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The Greek Heritage Study Bible - Print Proof</w:t>
      </w:r>
    </w:p>
    <w:p>
      <w:pPr>
        <w:pStyle w:val="Subtitle"/>
      </w:pPr>
      <w:r>
        <w:t xml:space="preserve">Compact physical proofreading copy</w:t>
      </w:r>
    </w:p>
    <w:p>
      <w:r>
        <w:t xml:space="preserve">Compact physical proofreading copy of The Greek Heritage Study Bible draft from OT LXX Greek and NT Scrivener 1894 Textus Receptus Greek.</w:t>
      </w:r>
    </w:p>
    <w:p>
      <w:r>
        <w:t xml:space="preserve">Includes reviewed OT and NT translation/textual notes. Generic MT/LXX boilerplate is omitted unless a concrete local difference can be stated.</w:t>
      </w:r>
    </w:p>
    <w:p>
      <w:r>
        <w:t xml:space="preserve">Book preface pages are excluded to keep this copy shorter.</w:t>
      </w:r>
    </w:p>
    <w:p>
      <w:r>
        <w:t xml:space="preserve">Minimal cross-reference layer: TSK phrase-anchored references only, no OpenBible fallback, capped to one cross-reference footnote per verse and two references per footnote.</w:t>
      </w:r>
    </w:p>
    <w:p>
      <w:r>
        <w:t xml:space="preserve">Name-meaning notes are included only at their listed first/source occurrence to keep the physical proof shorter.</w:t>
      </w:r>
    </w:p>
    <w:p>
      <w:r>
        <w:t xml:space="preserve">Brenton/source supplemental footnotes are excluded; this copy keeps only reviewed translation/textual notes, name meanings, and minimal cross-references.</w:t>
      </w:r>
    </w:p>
    <w:p>
      <w:r>
        <w:t xml:space="preserve">Greek vocabulary notes are excluded; name/proper-noun meanings remain included separately.</w:t>
      </w:r>
    </w:p>
    <w:p>
      <w:r>
        <w:t xml:space="preserve">Regular footnote numbering restarts by chapter. Cross-reference footnotes use normal numeric Word footnote references when enabled.</w:t>
      </w:r>
    </w:p>
    <w:p>
      <w:pPr>
        <w:pStyle w:val="Heading2"/>
      </w:pPr>
      <w:r>
        <w:t xml:space="preserve">Source Basis</w:t>
      </w:r>
    </w:p>
    <w:p>
      <w:r>
        <w:t xml:space="preserve">OT source basis: this branch translates the normalized LXX Greek source rows in data/raw/lxx_greek/ot_full.csv; it does not revise an English base text.</w:t>
      </w:r>
    </w:p>
    <w:p>
      <w:r>
        <w:t xml:space="preserve">NT source basis: this branch translates the Scrivener 1894 Textus Receptus stream imported from byztxt/greektext-scrivener text-only files.</w:t>
      </w:r>
    </w:p>
    <w:p>
      <w:r>
        <w:t xml:space="preserve">Daniel source basis: Daniel follows the Greek Daniel rows currently present in the OT source workspace. It is not silently replaced with Theodotion- or MT/Aramaic-shaped wording.</w:t>
      </w:r>
    </w:p>
    <w:p>
      <w:r>
        <w:t xml:space="preserve">Canon scope: deuterocanonical and apocryphal LXX books are planned as a separate workstream, not folded into this Protestant-canon branch.</w:t>
      </w:r>
    </w:p>
    <w:p>
      <w:pPr>
        <w:pStyle w:val="Heading2"/>
      </w:pPr>
      <w:r>
        <w:t xml:space="preserve">Reference Numbering Guide</w:t>
      </w:r>
    </w:p>
    <w:p>
      <w:r>
        <w:t xml:space="preserve">Visible OT chapter and verse numbers follow the LXX source rows. Many familiar English references, especially in Psalms and Jeremiah, therefore land at different places in this edition.</w:t>
      </w:r>
    </w:p>
    <w:p>
      <w:r>
        <w:t xml:space="preserve">English Psalm 22:1: see Psalms 21:2 here.</w:t>
      </w:r>
    </w:p>
    <w:p>
      <w:r>
        <w:t xml:space="preserve">English Psalm 23:1: see Psalms 22:1 here.</w:t>
      </w:r>
    </w:p>
    <w:p>
      <w:r>
        <w:t xml:space="preserve">English Psalm 110:1: see Psalms 109:1 here.</w:t>
      </w:r>
    </w:p>
    <w:p>
      <w:r>
        <w:t xml:space="preserve">English Psalm 119:1: see Psalms 118:1 here.</w:t>
      </w:r>
    </w:p>
    <w:p>
      <w:r>
        <w:t xml:space="preserve">English Jeremiah 31:31: see Jeremiah 38:31 here.</w:t>
      </w:r>
    </w:p>
    <w:p>
      <w:r>
        <w:t xml:space="preserve">English Isaiah 9:6: see Isaiah 9:5 here.</w:t>
      </w:r>
    </w:p>
    <w:p>
      <w:r>
        <w:t xml:space="preserve">English Micah 5:2: see Micah 5:1 here.</w:t>
      </w:r>
    </w:p>
    <w:p>
      <w:r>
        <w:t xml:space="preserve">English Malachi 4:5: see Malachi 3:22-23 here.</w:t>
      </w:r>
    </w:p>
    <w:p>
      <w:r>
        <w:t xml:space="preserve">This branch is a Protestant-canon LXX-based edition. Psalm 151 and other deuterocanonical or apocryphal books are reserved for a separate LXX deuterocanon workstream.</w:t>
      </w:r>
    </w:p>
    <w:p>
      <w:r>
        <w:br w:type="page"/>
      </w:r>
    </w:p>
    <w:p>
      <w:pPr>
        <w:pStyle w:val="Heading1"/>
      </w:pPr>
      <w:r>
        <w:t xml:space="preserve">Genesis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In the beginning, God</w:t>
      </w:r>
      <w:r>
        <w:rPr>
          <w:rStyle w:val="FootnoteReference"/>
        </w:rPr>
        <w:footnoteReference w:id="1"/>
      </w:r>
      <w:r>
        <w:t xml:space="preserve"> made heaven and earth</w:t>
      </w:r>
      <w:r>
        <w:rPr>
          <w:rStyle w:val="FootnoteReference"/>
        </w:rPr>
        <w:footnoteReference w:id="2"/>
      </w:r>
      <w:r>
        <w:t xml:space="preserve">.</w:t>
      </w:r>
      <w:r>
        <w:rPr>
          <w:rStyle w:val="FootnoteReference"/>
        </w:rPr>
        <w:footnoteReference w:id="3"/>
      </w:r>
    </w:p>
    <w:p>
      <w:r>
        <w:rPr>
          <w:b/>
        </w:rPr>
        <w:t xml:space="preserve">2 </w:t>
      </w:r>
      <w:r>
        <w:t xml:space="preserve">But the earth was unseen and unformed, darkness was over the abyss, and the Spirit of God</w:t>
      </w:r>
      <w:r>
        <w:rPr>
          <w:rStyle w:val="FootnoteReference"/>
        </w:rPr>
        <w:footnoteReference w:id="4"/>
      </w:r>
      <w:r>
        <w:t xml:space="preserve"> moved over the water.</w:t>
      </w:r>
    </w:p>
    <w:p>
      <w:r>
        <w:rPr>
          <w:b/>
        </w:rPr>
        <w:t xml:space="preserve">3 </w:t>
      </w:r>
      <w:r>
        <w:t xml:space="preserve">And God said, "Let light come to be</w:t>
      </w:r>
      <w:r>
        <w:rPr>
          <w:rStyle w:val="FootnoteReference"/>
        </w:rPr>
        <w:footnoteReference w:id="5"/>
      </w:r>
      <w:r>
        <w:t xml:space="preserve">." And light came to be.</w:t>
      </w:r>
    </w:p>
    <w:p>
      <w:r>
        <w:rPr>
          <w:b/>
        </w:rPr>
        <w:t xml:space="preserve">4 </w:t>
      </w:r>
      <w:r>
        <w:t xml:space="preserve">And God saw the light, that it was good. And God separated between the light and between the darkness.</w:t>
      </w:r>
    </w:p>
    <w:p>
      <w:r>
        <w:rPr>
          <w:b/>
        </w:rPr>
        <w:t xml:space="preserve">5 </w:t>
      </w:r>
      <w:r>
        <w:t xml:space="preserve">And God called the light Day, and the darkness he called Night. And evening came, and morning came: day one</w:t>
      </w:r>
      <w:r>
        <w:rPr>
          <w:rStyle w:val="FootnoteReference"/>
        </w:rPr>
        <w:footnoteReference w:id="6"/>
      </w:r>
      <w:r>
        <w:t xml:space="preserve">.</w:t>
      </w:r>
    </w:p>
    <w:p>
      <w:r>
        <w:rPr>
          <w:b/>
        </w:rPr>
        <w:t xml:space="preserve">6 </w:t>
      </w:r>
      <w:r>
        <w:t xml:space="preserve">And God said, "Let a firm span</w:t>
      </w:r>
      <w:r>
        <w:rPr>
          <w:rStyle w:val="FootnoteReference"/>
        </w:rPr>
        <w:footnoteReference w:id="7"/>
      </w:r>
      <w:r>
        <w:t xml:space="preserve"> come to be in the middle of the water, and let it divide water from water." And it came to be so.</w:t>
      </w:r>
    </w:p>
    <w:p>
      <w:r>
        <w:rPr>
          <w:b/>
        </w:rPr>
        <w:t xml:space="preserve">7 </w:t>
      </w:r>
      <w:r>
        <w:t xml:space="preserve">And God made the firm span, and God separated the water below the firm span from the water above the firm span.</w:t>
      </w:r>
    </w:p>
    <w:p>
      <w:r>
        <w:rPr>
          <w:b/>
        </w:rPr>
        <w:t xml:space="preserve">8 </w:t>
      </w:r>
      <w:r>
        <w:t xml:space="preserve">And God called the firm span Heaven. And God saw that it was good. And evening</w:t>
      </w:r>
      <w:r>
        <w:rPr>
          <w:rStyle w:val="FootnoteReference"/>
        </w:rPr>
        <w:footnoteReference w:id="8"/>
      </w:r>
      <w:r>
        <w:t xml:space="preserve"> came, and morning came: second day.</w:t>
      </w:r>
    </w:p>
    <w:p>
      <w:r>
        <w:rPr>
          <w:b/>
        </w:rPr>
        <w:t xml:space="preserve">9 </w:t>
      </w:r>
      <w:r>
        <w:t xml:space="preserve">And God said, "Let the water below Heaven be gathered into one gathering</w:t>
      </w:r>
      <w:r>
        <w:rPr>
          <w:rStyle w:val="FootnoteReference"/>
        </w:rPr>
        <w:footnoteReference w:id="9"/>
      </w:r>
      <w:r>
        <w:t xml:space="preserve">, and let the dry land appear." And it came to be so. And the water below Heaven was gathered into their gatherings, and the dry land appeared.</w:t>
      </w:r>
    </w:p>
    <w:p>
      <w:r>
        <w:rPr>
          <w:b/>
        </w:rPr>
        <w:t xml:space="preserve">10 </w:t>
      </w:r>
      <w:r>
        <w:t xml:space="preserve">And God called the dry land Earth, and the gathered bodies of the waters</w:t>
      </w:r>
      <w:r>
        <w:rPr>
          <w:rStyle w:val="FootnoteReference"/>
        </w:rPr>
        <w:footnoteReference w:id="10"/>
      </w:r>
      <w:r>
        <w:t xml:space="preserve"> he called Seas. And God saw</w:t>
      </w:r>
      <w:r>
        <w:rPr>
          <w:rStyle w:val="FootnoteReference"/>
        </w:rPr>
        <w:footnoteReference w:id="11"/>
      </w:r>
      <w:r>
        <w:t xml:space="preserve"> that it was good.</w:t>
      </w:r>
    </w:p>
    <w:p>
      <w:r>
        <w:rPr>
          <w:b/>
        </w:rPr>
        <w:t xml:space="preserve">11 </w:t>
      </w:r>
      <w:r>
        <w:t xml:space="preserve">And God said, "Let the earth sprout herb of grass sowing seed according to kind and according to likeness</w:t>
      </w:r>
      <w:r>
        <w:rPr>
          <w:rStyle w:val="FootnoteReference"/>
        </w:rPr>
        <w:footnoteReference w:id="12"/>
      </w:r>
      <w:r>
        <w:t xml:space="preserve">, and a fruit</w:t>
      </w:r>
      <w:r>
        <w:rPr>
          <w:rStyle w:val="FootnoteReference"/>
        </w:rPr>
        <w:footnoteReference w:id="13"/>
      </w:r>
      <w:r>
        <w:t xml:space="preserve">-bearing tree making fruit, whose seed is in it according to kind upon the earth." And it came to be so.</w:t>
      </w:r>
    </w:p>
    <w:p>
      <w:r>
        <w:rPr>
          <w:b/>
        </w:rPr>
        <w:t xml:space="preserve">12 </w:t>
      </w:r>
      <w:r>
        <w:t xml:space="preserve">And the earth brought forth herb</w:t>
      </w:r>
      <w:r>
        <w:rPr>
          <w:rStyle w:val="FootnoteReference"/>
        </w:rPr>
        <w:footnoteReference w:id="14"/>
      </w:r>
      <w:r>
        <w:t xml:space="preserve"> of grass sowing seed according to kind and according to likeness</w:t>
      </w:r>
      <w:r>
        <w:rPr>
          <w:rStyle w:val="FootnoteReference"/>
        </w:rPr>
        <w:footnoteReference w:id="15"/>
      </w:r>
      <w:r>
        <w:t xml:space="preserve">, and a fruit-bearing tree making fruit, whose seed is in it according to kind upon the earth. And God saw that it was good.</w:t>
      </w:r>
    </w:p>
    <w:p>
      <w:r>
        <w:rPr>
          <w:b/>
        </w:rPr>
        <w:t xml:space="preserve">13 </w:t>
      </w:r>
      <w:r>
        <w:t xml:space="preserve">And evening came, and morning came: third day.</w:t>
      </w:r>
    </w:p>
    <w:p>
      <w:r>
        <w:rPr>
          <w:b/>
        </w:rPr>
        <w:t xml:space="preserve">14 </w:t>
      </w:r>
      <w:r>
        <w:t xml:space="preserve">And God said, "Let light-bearers</w:t>
      </w:r>
      <w:r>
        <w:rPr>
          <w:rStyle w:val="FootnoteReference"/>
        </w:rPr>
        <w:footnoteReference w:id="16"/>
      </w:r>
      <w:r>
        <w:t xml:space="preserve"> come to be in the firm span of Heaven for shining upon the earth, for dividing between the day and between the night. And let</w:t>
      </w:r>
      <w:r>
        <w:rPr>
          <w:rStyle w:val="FootnoteReference"/>
        </w:rPr>
        <w:footnoteReference w:id="17"/>
      </w:r>
      <w:r>
        <w:t xml:space="preserve"> them be for signs and for seasons and for days and for years."</w:t>
      </w:r>
    </w:p>
    <w:p>
      <w:r>
        <w:rPr>
          <w:b/>
        </w:rPr>
        <w:t xml:space="preserve">15 </w:t>
      </w:r>
      <w:r>
        <w:t xml:space="preserve">And let them be for shining in the firm span of Heaven, so as to shine upon the earth. And it came to be so.</w:t>
      </w:r>
    </w:p>
    <w:p>
      <w:r>
        <w:rPr>
          <w:b/>
        </w:rPr>
        <w:t xml:space="preserve">16 </w:t>
      </w:r>
      <w:r>
        <w:t xml:space="preserve">And God made the two great light-bearers, the great light-bearer for the dominions</w:t>
      </w:r>
      <w:r>
        <w:rPr>
          <w:rStyle w:val="FootnoteReference"/>
        </w:rPr>
        <w:footnoteReference w:id="18"/>
      </w:r>
      <w:r>
        <w:t xml:space="preserve"> of the day and the lesser light-bearer for the dominions of the night, and the stars.</w:t>
      </w:r>
    </w:p>
    <w:p>
      <w:r>
        <w:rPr>
          <w:b/>
        </w:rPr>
        <w:t xml:space="preserve">17 </w:t>
      </w:r>
      <w:r>
        <w:t xml:space="preserve">And God placed them in the firm span of Heaven, so as to shine upon the earth.</w:t>
      </w:r>
    </w:p>
    <w:p>
      <w:r>
        <w:rPr>
          <w:b/>
        </w:rPr>
        <w:t xml:space="preserve">18 </w:t>
      </w:r>
      <w:r>
        <w:t xml:space="preserve">And to rule the day and the night and to divide between the light and between the darkness. And God saw that it was good.</w:t>
      </w:r>
    </w:p>
    <w:p>
      <w:r>
        <w:rPr>
          <w:b/>
        </w:rPr>
        <w:t xml:space="preserve">19 </w:t>
      </w:r>
      <w:r>
        <w:t xml:space="preserve">And evening came, and morning came: fourth day.</w:t>
      </w:r>
    </w:p>
    <w:p>
      <w:r>
        <w:rPr>
          <w:b/>
        </w:rPr>
        <w:t xml:space="preserve">20 </w:t>
      </w:r>
      <w:r>
        <w:t xml:space="preserve">And God said, "Let the waters</w:t>
      </w:r>
      <w:r>
        <w:rPr>
          <w:rStyle w:val="FootnoteReference"/>
        </w:rPr>
        <w:footnoteReference w:id="19"/>
      </w:r>
      <w:r>
        <w:t xml:space="preserve"> bring forth crawling things of living souls</w:t>
      </w:r>
      <w:r>
        <w:rPr>
          <w:rStyle w:val="FootnoteReference"/>
        </w:rPr>
        <w:footnoteReference w:id="20"/>
      </w:r>
      <w:r>
        <w:t xml:space="preserve"> and winged creatures flying upon the earth across the firm span of Heaven." And it came to be so.</w:t>
      </w:r>
    </w:p>
    <w:p>
      <w:r>
        <w:rPr>
          <w:b/>
        </w:rPr>
        <w:t xml:space="preserve">21 </w:t>
      </w:r>
      <w:r>
        <w:t xml:space="preserve">And God made the great sea-monsters</w:t>
      </w:r>
      <w:r>
        <w:rPr>
          <w:rStyle w:val="FootnoteReference"/>
        </w:rPr>
        <w:footnoteReference w:id="21"/>
      </w:r>
      <w:r>
        <w:t xml:space="preserve"> and every soul of living creeping things, which the waters brought forth according to their kinds, and every winged creature according to kind. And God saw that they were good.</w:t>
      </w:r>
      <w:r>
        <w:rPr>
          <w:rStyle w:val="FootnoteReference"/>
        </w:rPr>
        <w:footnoteReference w:id="22"/>
      </w:r>
    </w:p>
    <w:p>
      <w:r>
        <w:rPr>
          <w:b/>
        </w:rPr>
        <w:t xml:space="preserve">22 </w:t>
      </w:r>
      <w:r>
        <w:t xml:space="preserve">And God blessed them, saying, "Increase and multiply and fill the waters in the seas, and let the winged creatures be multiplied</w:t>
      </w:r>
      <w:r>
        <w:rPr>
          <w:rStyle w:val="FootnoteReference"/>
        </w:rPr>
        <w:footnoteReference w:id="23"/>
      </w:r>
      <w:r>
        <w:t xml:space="preserve"> upon the earth."</w:t>
      </w:r>
    </w:p>
    <w:p>
      <w:r>
        <w:rPr>
          <w:b/>
        </w:rPr>
        <w:t xml:space="preserve">23 </w:t>
      </w:r>
      <w:r>
        <w:t xml:space="preserve">And evening came, and morning came: fifth day.</w:t>
      </w:r>
    </w:p>
    <w:p>
      <w:r>
        <w:rPr>
          <w:b/>
        </w:rPr>
        <w:t xml:space="preserve">24 </w:t>
      </w:r>
      <w:r>
        <w:t xml:space="preserve">And God said, "Let the earth bring forth living soul</w:t>
      </w:r>
      <w:r>
        <w:rPr>
          <w:rStyle w:val="FootnoteReference"/>
        </w:rPr>
        <w:footnoteReference w:id="24"/>
      </w:r>
      <w:r>
        <w:t xml:space="preserve"> according to kind: four-footed animals and creeping things and wild beasts of the earth according to kind." And it came to be so.</w:t>
      </w:r>
    </w:p>
    <w:p>
      <w:r>
        <w:rPr>
          <w:b/>
        </w:rPr>
        <w:t xml:space="preserve">25 </w:t>
      </w:r>
      <w:r>
        <w:t xml:space="preserve">And God made the wild beasts of the earth according to kind, and the cattle</w:t>
      </w:r>
      <w:r>
        <w:rPr>
          <w:rStyle w:val="FootnoteReference"/>
        </w:rPr>
        <w:footnoteReference w:id="25"/>
      </w:r>
      <w:r>
        <w:t xml:space="preserve"> according to their kind, and all the creeping things of the earth according to their kind. And God saw that they were good.</w:t>
      </w:r>
    </w:p>
    <w:p>
      <w:r>
        <w:rPr>
          <w:b/>
        </w:rPr>
        <w:t xml:space="preserve">26 </w:t>
      </w:r>
      <w:r>
        <w:t xml:space="preserve">And God said, "Let us</w:t>
      </w:r>
      <w:r>
        <w:rPr>
          <w:rStyle w:val="FootnoteReference"/>
        </w:rPr>
        <w:footnoteReference w:id="26"/>
      </w:r>
      <w:r>
        <w:t xml:space="preserve"> make man</w:t>
      </w:r>
      <w:r>
        <w:rPr>
          <w:rStyle w:val="FootnoteReference"/>
        </w:rPr>
        <w:footnoteReference w:id="27"/>
      </w:r>
      <w:r>
        <w:t xml:space="preserve"> according to our image and according to likeness, and let them rule the fish of the sea and the birds of Heaven and the cattle and all the earth and all the creeping things creeping upon the earth."</w:t>
      </w:r>
      <w:r>
        <w:rPr>
          <w:rStyle w:val="FootnoteReference"/>
        </w:rPr>
        <w:footnoteReference w:id="28"/>
      </w:r>
    </w:p>
    <w:p>
      <w:r>
        <w:rPr>
          <w:b/>
        </w:rPr>
        <w:t xml:space="preserve">27 </w:t>
      </w:r>
      <w:r>
        <w:t xml:space="preserve">And God made the man</w:t>
      </w:r>
      <w:r>
        <w:rPr>
          <w:rStyle w:val="FootnoteReference"/>
        </w:rPr>
        <w:footnoteReference w:id="29"/>
      </w:r>
      <w:r>
        <w:t xml:space="preserve">; according to the image of God he made him. Male</w:t>
      </w:r>
      <w:r>
        <w:rPr>
          <w:rStyle w:val="FootnoteReference"/>
        </w:rPr>
        <w:footnoteReference w:id="30"/>
      </w:r>
      <w:r>
        <w:t xml:space="preserve"> and female he made them.</w:t>
      </w:r>
    </w:p>
    <w:p>
      <w:r>
        <w:rPr>
          <w:b/>
        </w:rPr>
        <w:t xml:space="preserve">28 </w:t>
      </w:r>
      <w:r>
        <w:t xml:space="preserve">And God blessed them, saying, "Increase and multiply and fill the earth and subdue it</w:t>
      </w:r>
      <w:r>
        <w:rPr>
          <w:rStyle w:val="FootnoteReference"/>
        </w:rPr>
        <w:footnoteReference w:id="31"/>
      </w:r>
      <w:r>
        <w:t xml:space="preserve">, and rule the fish of the sea and the birds of Heaven and all the cattle and all the earth</w:t>
      </w:r>
      <w:r>
        <w:rPr>
          <w:rStyle w:val="FootnoteReference"/>
        </w:rPr>
        <w:footnoteReference w:id="32"/>
      </w:r>
      <w:r>
        <w:t xml:space="preserve"> and all the creeping things creeping upon the earth."</w:t>
      </w:r>
    </w:p>
    <w:p>
      <w:r>
        <w:rPr>
          <w:b/>
        </w:rPr>
        <w:t xml:space="preserve">29 </w:t>
      </w:r>
      <w:r>
        <w:t xml:space="preserve">And God said, "Behold, I have given you every seed-bearing plant sowing seed</w:t>
      </w:r>
      <w:r>
        <w:rPr>
          <w:rStyle w:val="FootnoteReference"/>
        </w:rPr>
        <w:footnoteReference w:id="33"/>
      </w:r>
      <w:r>
        <w:t xml:space="preserve">, which is upon all the earth, and every tree that has in itself fruit of sowable seed. To you</w:t>
      </w:r>
      <w:r>
        <w:rPr>
          <w:rStyle w:val="FootnoteReference"/>
        </w:rPr>
        <w:footnoteReference w:id="34"/>
      </w:r>
      <w:r>
        <w:t xml:space="preserve"> it shall be for food."</w:t>
      </w:r>
    </w:p>
    <w:p>
      <w:r>
        <w:rPr>
          <w:b/>
        </w:rPr>
        <w:t xml:space="preserve">30 </w:t>
      </w:r>
      <w:r>
        <w:t xml:space="preserve">And to all the wild beasts of the earth and to all the birds of Heaven and to every creeping thing creeping upon the earth, which has in itself soul of life</w:t>
      </w:r>
      <w:r>
        <w:rPr>
          <w:rStyle w:val="FootnoteReference"/>
        </w:rPr>
        <w:footnoteReference w:id="35"/>
      </w:r>
      <w:r>
        <w:t xml:space="preserve">, I have given every green plant for food. And it came to be so.</w:t>
      </w:r>
    </w:p>
    <w:p>
      <w:r>
        <w:rPr>
          <w:b/>
        </w:rPr>
        <w:t xml:space="preserve">31 </w:t>
      </w:r>
      <w:r>
        <w:t xml:space="preserve">And God saw all things, as many as he made, and behold, they were very good</w:t>
      </w:r>
      <w:r>
        <w:rPr>
          <w:rStyle w:val="FootnoteReference"/>
        </w:rPr>
        <w:footnoteReference w:id="36"/>
      </w:r>
      <w:r>
        <w:t xml:space="preserve">. And evening came, and morning came: sixth day.</w:t>
      </w:r>
      <w:r>
        <w:rPr>
          <w:rStyle w:val="FootnoteReference"/>
        </w:rPr>
        <w:footnoteReference w:id="37"/>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Heaven and Earth were completed, and all their ordered array</w:t>
      </w:r>
      <w:r>
        <w:rPr>
          <w:rStyle w:val="FootnoteReference"/>
        </w:rPr>
        <w:footnoteReference w:id="38"/>
      </w:r>
      <w:r>
        <w:t xml:space="preserve">.</w:t>
      </w:r>
    </w:p>
    <w:p>
      <w:r>
        <w:rPr>
          <w:b/>
        </w:rPr>
        <w:t xml:space="preserve">2 </w:t>
      </w:r>
      <w:r>
        <w:t xml:space="preserve">And God completed on the sixth day</w:t>
      </w:r>
      <w:r>
        <w:rPr>
          <w:rStyle w:val="FootnoteReference"/>
        </w:rPr>
        <w:footnoteReference w:id="39"/>
      </w:r>
      <w:r>
        <w:t xml:space="preserve"> his works, which he made, and he rested on the seventh day from all his works, which he made.</w:t>
      </w:r>
    </w:p>
    <w:p>
      <w:r>
        <w:rPr>
          <w:b/>
        </w:rPr>
        <w:t xml:space="preserve">3 </w:t>
      </w:r>
      <w:r>
        <w:t xml:space="preserve">And God blessed</w:t>
      </w:r>
      <w:r>
        <w:rPr>
          <w:rStyle w:val="FootnoteReference"/>
        </w:rPr>
        <w:footnoteReference w:id="40"/>
      </w:r>
      <w:r>
        <w:t xml:space="preserve"> the seventh day and made it holy, because on it he rested from all his works, the works God had begun to make</w:t>
      </w:r>
      <w:r>
        <w:rPr>
          <w:rStyle w:val="FootnoteReference"/>
        </w:rPr>
        <w:footnoteReference w:id="41"/>
      </w:r>
      <w:r>
        <w:t xml:space="preserve">.</w:t>
      </w:r>
    </w:p>
    <w:p>
      <w:r>
        <w:rPr>
          <w:b/>
        </w:rPr>
        <w:t xml:space="preserve">4 </w:t>
      </w:r>
      <w:r>
        <w:t xml:space="preserve">This is the book of the genesis</w:t>
      </w:r>
      <w:r>
        <w:rPr>
          <w:rStyle w:val="FootnoteReference"/>
        </w:rPr>
        <w:footnoteReference w:id="42"/>
      </w:r>
      <w:r>
        <w:t xml:space="preserve"> of Heaven and Earth, when they came to be, on the day the Lord</w:t>
      </w:r>
      <w:r>
        <w:rPr>
          <w:rStyle w:val="FootnoteReference"/>
        </w:rPr>
        <w:footnoteReference w:id="43"/>
      </w:r>
      <w:r>
        <w:t xml:space="preserve"> God made Heaven and Earth.</w:t>
      </w:r>
      <w:r>
        <w:rPr>
          <w:rStyle w:val="FootnoteReference"/>
        </w:rPr>
        <w:footnoteReference w:id="44"/>
      </w:r>
      <w:r>
        <w:rPr>
          <w:rStyle w:val="FootnoteReference"/>
        </w:rPr>
        <w:footnoteReference w:id="45"/>
      </w:r>
      <w:r>
        <w:rPr>
          <w:rStyle w:val="FootnoteReference"/>
        </w:rPr>
        <w:footnoteReference w:id="46"/>
      </w:r>
    </w:p>
    <w:p>
      <w:r>
        <w:rPr>
          <w:b/>
        </w:rPr>
        <w:t xml:space="preserve">5 </w:t>
      </w:r>
      <w:r>
        <w:t xml:space="preserve">And every green thing of the field was there before it came to be on the earth, and every grass of the field before it sprang up; for God had not</w:t>
      </w:r>
      <w:r>
        <w:rPr>
          <w:rStyle w:val="FootnoteReference"/>
        </w:rPr>
        <w:footnoteReference w:id="47"/>
      </w:r>
      <w:r>
        <w:t xml:space="preserve"> rained on the earth, and there was no human to work it.</w:t>
      </w:r>
    </w:p>
    <w:p>
      <w:r>
        <w:rPr>
          <w:b/>
        </w:rPr>
        <w:t xml:space="preserve">6 </w:t>
      </w:r>
      <w:r>
        <w:t xml:space="preserve">But a spring</w:t>
      </w:r>
      <w:r>
        <w:rPr>
          <w:rStyle w:val="FootnoteReference"/>
        </w:rPr>
        <w:footnoteReference w:id="48"/>
      </w:r>
      <w:r>
        <w:t xml:space="preserve"> was rising from the earth and watering the whole face of the ground.</w:t>
      </w:r>
    </w:p>
    <w:p>
      <w:r>
        <w:rPr>
          <w:b/>
        </w:rPr>
        <w:t xml:space="preserve">7 </w:t>
      </w:r>
      <w:r>
        <w:t xml:space="preserve">And God formed</w:t>
      </w:r>
      <w:r>
        <w:rPr>
          <w:rStyle w:val="FootnoteReference"/>
        </w:rPr>
        <w:footnoteReference w:id="49"/>
      </w:r>
      <w:r>
        <w:t xml:space="preserve"> the human from the dust</w:t>
      </w:r>
      <w:r>
        <w:rPr>
          <w:rStyle w:val="FootnoteReference"/>
        </w:rPr>
        <w:footnoteReference w:id="50"/>
      </w:r>
      <w:r>
        <w:t xml:space="preserve"> of the earth and breathed into his face the breath of life, and the human became a living soul</w:t>
      </w:r>
      <w:r>
        <w:rPr>
          <w:rStyle w:val="FootnoteReference"/>
        </w:rPr>
        <w:footnoteReference w:id="51"/>
      </w:r>
      <w:r>
        <w:t xml:space="preserve">.</w:t>
      </w:r>
      <w:r>
        <w:rPr>
          <w:rStyle w:val="FootnoteReference"/>
        </w:rPr>
        <w:footnoteReference w:id="52"/>
      </w:r>
    </w:p>
    <w:p>
      <w:r>
        <w:rPr>
          <w:b/>
        </w:rPr>
        <w:t xml:space="preserve">8 </w:t>
      </w:r>
      <w:r>
        <w:t xml:space="preserve">And God planted a garden</w:t>
      </w:r>
      <w:r>
        <w:rPr>
          <w:rStyle w:val="FootnoteReference"/>
        </w:rPr>
        <w:footnoteReference w:id="53"/>
      </w:r>
      <w:r>
        <w:t xml:space="preserve"> in Eden</w:t>
      </w:r>
      <w:r>
        <w:rPr>
          <w:rStyle w:val="FootnoteReference"/>
        </w:rPr>
        <w:footnoteReference w:id="54"/>
      </w:r>
      <w:r>
        <w:t xml:space="preserve"> toward the east, and he placed there the human whom he formed.</w:t>
      </w:r>
      <w:r>
        <w:rPr>
          <w:rStyle w:val="FootnoteReference"/>
        </w:rPr>
        <w:footnoteReference w:id="55"/>
      </w:r>
    </w:p>
    <w:p>
      <w:r>
        <w:rPr>
          <w:b/>
        </w:rPr>
        <w:t xml:space="preserve">9 </w:t>
      </w:r>
      <w:r>
        <w:t xml:space="preserve">And God still caused every tree to spring up from the earth, beautiful to look at and good for food, and the tree of life</w:t>
      </w:r>
      <w:r>
        <w:rPr>
          <w:rStyle w:val="FootnoteReference"/>
        </w:rPr>
        <w:footnoteReference w:id="56"/>
      </w:r>
      <w:r>
        <w:t xml:space="preserve"> in the middle of the garden, and the tree of knowing good and evil</w:t>
      </w:r>
      <w:r>
        <w:rPr>
          <w:rStyle w:val="FootnoteReference"/>
        </w:rPr>
        <w:footnoteReference w:id="57"/>
      </w:r>
      <w:r>
        <w:t xml:space="preserve">.</w:t>
      </w:r>
    </w:p>
    <w:p>
      <w:r>
        <w:rPr>
          <w:b/>
        </w:rPr>
        <w:t xml:space="preserve">10 </w:t>
      </w:r>
      <w:r>
        <w:t xml:space="preserve">But a river</w:t>
      </w:r>
      <w:r>
        <w:rPr>
          <w:rStyle w:val="FootnoteReference"/>
        </w:rPr>
        <w:footnoteReference w:id="58"/>
      </w:r>
      <w:r>
        <w:t xml:space="preserve"> goes out from Eden to water the garden; from there it is divided into four heads</w:t>
      </w:r>
      <w:r>
        <w:rPr>
          <w:rStyle w:val="FootnoteReference"/>
        </w:rPr>
        <w:footnoteReference w:id="59"/>
      </w:r>
      <w:r>
        <w:t xml:space="preserve">.</w:t>
      </w:r>
    </w:p>
    <w:p>
      <w:r>
        <w:rPr>
          <w:b/>
        </w:rPr>
        <w:t xml:space="preserve">11 </w:t>
      </w:r>
      <w:r>
        <w:t xml:space="preserve">The name of the first is Pison</w:t>
      </w:r>
      <w:r>
        <w:rPr>
          <w:rStyle w:val="FootnoteReference"/>
        </w:rPr>
        <w:footnoteReference w:id="60"/>
      </w:r>
      <w:r>
        <w:t xml:space="preserve">; this is the one that circles all the land of Havilah</w:t>
      </w:r>
      <w:r>
        <w:rPr>
          <w:rStyle w:val="FootnoteReference"/>
        </w:rPr>
        <w:footnoteReference w:id="61"/>
      </w:r>
      <w:r>
        <w:t xml:space="preserve">, where the gold is.</w:t>
      </w:r>
      <w:r>
        <w:rPr>
          <w:rStyle w:val="FootnoteReference"/>
        </w:rPr>
        <w:footnoteReference w:id="62"/>
      </w:r>
    </w:p>
    <w:p>
      <w:r>
        <w:rPr>
          <w:b/>
        </w:rPr>
        <w:t xml:space="preserve">12 </w:t>
      </w:r>
      <w:r>
        <w:t xml:space="preserve">And the gold of that land is good; and there too are the carbuncle and the green stone.</w:t>
      </w:r>
    </w:p>
    <w:p>
      <w:r>
        <w:rPr>
          <w:b/>
        </w:rPr>
        <w:t xml:space="preserve">13 </w:t>
      </w:r>
      <w:r>
        <w:t xml:space="preserve">And the name of the second river is Gihon</w:t>
      </w:r>
      <w:r>
        <w:rPr>
          <w:rStyle w:val="FootnoteReference"/>
        </w:rPr>
        <w:footnoteReference w:id="63"/>
      </w:r>
      <w:r>
        <w:t xml:space="preserve">; this is the one that circles all the land of Ethiopia</w:t>
      </w:r>
      <w:r>
        <w:rPr>
          <w:rStyle w:val="FootnoteReference"/>
        </w:rPr>
        <w:footnoteReference w:id="64"/>
      </w:r>
      <w:r>
        <w:t xml:space="preserve">.</w:t>
      </w:r>
      <w:r>
        <w:rPr>
          <w:rStyle w:val="FootnoteReference"/>
        </w:rPr>
        <w:footnoteReference w:id="65"/>
      </w:r>
    </w:p>
    <w:p>
      <w:r>
        <w:rPr>
          <w:b/>
        </w:rPr>
        <w:t xml:space="preserve">14 </w:t>
      </w:r>
      <w:r>
        <w:t xml:space="preserve">And the third river is Tigris</w:t>
      </w:r>
      <w:r>
        <w:rPr>
          <w:rStyle w:val="FootnoteReference"/>
        </w:rPr>
        <w:footnoteReference w:id="66"/>
      </w:r>
      <w:r>
        <w:t xml:space="preserve">; this is the one that goes opposite the Assyrians</w:t>
      </w:r>
      <w:r>
        <w:rPr>
          <w:rStyle w:val="FootnoteReference"/>
        </w:rPr>
        <w:footnoteReference w:id="67"/>
      </w:r>
      <w:r>
        <w:t xml:space="preserve">. And the fourth river is Euphrates</w:t>
      </w:r>
      <w:r>
        <w:rPr>
          <w:rStyle w:val="FootnoteReference"/>
        </w:rPr>
        <w:footnoteReference w:id="68"/>
      </w:r>
      <w:r>
        <w:t xml:space="preserve">.</w:t>
      </w:r>
      <w:r>
        <w:rPr>
          <w:rStyle w:val="FootnoteReference"/>
        </w:rPr>
        <w:footnoteReference w:id="69"/>
      </w:r>
    </w:p>
    <w:p>
      <w:r>
        <w:rPr>
          <w:b/>
        </w:rPr>
        <w:t xml:space="preserve">15 </w:t>
      </w:r>
      <w:r>
        <w:t xml:space="preserve">And the Lord God took the human whom he had formed and placed him in the garden of delight, to work it and to keep it.</w:t>
      </w:r>
    </w:p>
    <w:p>
      <w:r>
        <w:rPr>
          <w:b/>
        </w:rPr>
        <w:t xml:space="preserve">16 </w:t>
      </w:r>
      <w:r>
        <w:t xml:space="preserve">And the Lord God commanded Adam, saying that from every tree in the garden he might surely eat,</w:t>
      </w:r>
    </w:p>
    <w:p>
      <w:r>
        <w:rPr>
          <w:b/>
        </w:rPr>
        <w:t xml:space="preserve">17 </w:t>
      </w:r>
      <w:r>
        <w:t xml:space="preserve">but from the tree of knowing good and evil, he was not to eat from it; on the day he ate from it, he would certainly die.</w:t>
      </w:r>
    </w:p>
    <w:p>
      <w:r>
        <w:rPr>
          <w:b/>
        </w:rPr>
        <w:t xml:space="preserve">18 </w:t>
      </w:r>
      <w:r>
        <w:t xml:space="preserve">And the Lord God said, "It is not good</w:t>
      </w:r>
      <w:r>
        <w:rPr>
          <w:rStyle w:val="FootnoteReference"/>
        </w:rPr>
        <w:footnoteReference w:id="70"/>
      </w:r>
      <w:r>
        <w:t xml:space="preserve"> for the human to be alone. Let us make for him a helper corresponding to him</w:t>
      </w:r>
      <w:r>
        <w:rPr>
          <w:rStyle w:val="FootnoteReference"/>
        </w:rPr>
        <w:footnoteReference w:id="71"/>
      </w:r>
      <w:r>
        <w:t xml:space="preserve">."</w:t>
      </w:r>
    </w:p>
    <w:p>
      <w:r>
        <w:rPr>
          <w:b/>
        </w:rPr>
        <w:t xml:space="preserve">19 </w:t>
      </w:r>
      <w:r>
        <w:t xml:space="preserve">And God still formed from the earth all the beasts of the field and all the birds of Heaven, and brought</w:t>
      </w:r>
      <w:r>
        <w:rPr>
          <w:rStyle w:val="FootnoteReference"/>
        </w:rPr>
        <w:footnoteReference w:id="72"/>
      </w:r>
      <w:r>
        <w:t xml:space="preserve"> them to Adam</w:t>
      </w:r>
      <w:r>
        <w:rPr>
          <w:rStyle w:val="FootnoteReference"/>
        </w:rPr>
        <w:footnoteReference w:id="73"/>
      </w:r>
      <w:r>
        <w:t xml:space="preserve"> to see what he would call them. And whatever Adam called each living creature, that was its name.</w:t>
      </w:r>
    </w:p>
    <w:p>
      <w:r>
        <w:rPr>
          <w:b/>
        </w:rPr>
        <w:t xml:space="preserve">20 </w:t>
      </w:r>
      <w:r>
        <w:t xml:space="preserve">And Adam gave names to all the livestock and to all the birds of Heaven and to all the beasts of the field. But for Adam no helper like him was found.</w:t>
      </w:r>
    </w:p>
    <w:p>
      <w:r>
        <w:rPr>
          <w:b/>
        </w:rPr>
        <w:t xml:space="preserve">21 </w:t>
      </w:r>
      <w:r>
        <w:t xml:space="preserve">And God cast a trance</w:t>
      </w:r>
      <w:r>
        <w:rPr>
          <w:rStyle w:val="FootnoteReference"/>
        </w:rPr>
        <w:footnoteReference w:id="74"/>
      </w:r>
      <w:r>
        <w:t xml:space="preserve"> on Adam, and he slept; and he took one of his sides and filled flesh in its place.</w:t>
      </w:r>
    </w:p>
    <w:p>
      <w:r>
        <w:rPr>
          <w:b/>
        </w:rPr>
        <w:t xml:space="preserve">22 </w:t>
      </w:r>
      <w:r>
        <w:t xml:space="preserve">And God built the side that he had taken from Adam into a woman and brought</w:t>
      </w:r>
      <w:r>
        <w:rPr>
          <w:rStyle w:val="FootnoteReference"/>
        </w:rPr>
        <w:footnoteReference w:id="75"/>
      </w:r>
      <w:r>
        <w:t xml:space="preserve"> her to Adam.</w:t>
      </w:r>
    </w:p>
    <w:p>
      <w:r>
        <w:rPr>
          <w:b/>
        </w:rPr>
        <w:t xml:space="preserve">23 </w:t>
      </w:r>
      <w:r>
        <w:t xml:space="preserve">And Adam said, "This now is bone</w:t>
      </w:r>
      <w:r>
        <w:rPr>
          <w:rStyle w:val="FootnoteReference"/>
        </w:rPr>
        <w:footnoteReference w:id="76"/>
      </w:r>
      <w:r>
        <w:t xml:space="preserve"> from my bones and flesh from my flesh. She shall be called woman, because she was taken from her man."</w:t>
      </w:r>
      <w:r>
        <w:rPr>
          <w:rStyle w:val="FootnoteReference"/>
        </w:rPr>
        <w:footnoteReference w:id="77"/>
      </w:r>
    </w:p>
    <w:p>
      <w:r>
        <w:rPr>
          <w:b/>
        </w:rPr>
        <w:t xml:space="preserve">24 </w:t>
      </w:r>
      <w:r>
        <w:t xml:space="preserve">Because of this, a man will leave</w:t>
      </w:r>
      <w:r>
        <w:rPr>
          <w:rStyle w:val="FootnoteReference"/>
        </w:rPr>
        <w:footnoteReference w:id="78"/>
      </w:r>
      <w:r>
        <w:t xml:space="preserve"> his father and his mother and be joined to his wife, and the two will become one flesh.</w:t>
      </w:r>
    </w:p>
    <w:p>
      <w:r>
        <w:rPr>
          <w:b/>
        </w:rPr>
        <w:t xml:space="preserve">25 </w:t>
      </w:r>
      <w:r>
        <w:t xml:space="preserve">And the two were naked</w:t>
      </w:r>
      <w:r>
        <w:rPr>
          <w:rStyle w:val="FootnoteReference"/>
        </w:rPr>
        <w:footnoteReference w:id="79"/>
      </w:r>
      <w:r>
        <w:t xml:space="preserve">, Adam and his wife, and they were not ashamed.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Now the serpent</w:t>
      </w:r>
      <w:r>
        <w:rPr>
          <w:rStyle w:val="FootnoteReference"/>
        </w:rPr>
        <w:footnoteReference w:id="80"/>
      </w:r>
      <w:r>
        <w:t xml:space="preserve"> was the most shrewd</w:t>
      </w:r>
      <w:r>
        <w:rPr>
          <w:rStyle w:val="FootnoteReference"/>
        </w:rPr>
        <w:footnoteReference w:id="81"/>
      </w:r>
      <w:r>
        <w:t xml:space="preserve"> of all the beasts on the earth that the Lord God had made. And the serpent said to the woman, "Why is it that God said, 'You shall not eat from every tree of the garden'?"</w:t>
      </w:r>
    </w:p>
    <w:p>
      <w:r>
        <w:rPr>
          <w:b/>
        </w:rPr>
        <w:t xml:space="preserve">2 </w:t>
      </w:r>
      <w:r>
        <w:t xml:space="preserve">And the woman said to the serpent</w:t>
      </w:r>
      <w:r>
        <w:rPr>
          <w:rStyle w:val="FootnoteReference"/>
        </w:rPr>
        <w:footnoteReference w:id="82"/>
      </w:r>
      <w:r>
        <w:t xml:space="preserve"> that they would eat from the fruit of the trees of the garden,</w:t>
      </w:r>
    </w:p>
    <w:p>
      <w:r>
        <w:rPr>
          <w:b/>
        </w:rPr>
        <w:t xml:space="preserve">3 </w:t>
      </w:r>
      <w:r>
        <w:t xml:space="preserve">but from the fruit of the tree that is in the middle of the garden, God had said they should not eat from it, nor indeed touch</w:t>
      </w:r>
      <w:r>
        <w:rPr>
          <w:rStyle w:val="FootnoteReference"/>
        </w:rPr>
        <w:footnoteReference w:id="83"/>
      </w:r>
      <w:r>
        <w:t xml:space="preserve"> it, lest they die.</w:t>
      </w:r>
    </w:p>
    <w:p>
      <w:r>
        <w:rPr>
          <w:b/>
        </w:rPr>
        <w:t xml:space="preserve">4 </w:t>
      </w:r>
      <w:r>
        <w:t xml:space="preserve">And the serpent</w:t>
      </w:r>
      <w:r>
        <w:rPr>
          <w:rStyle w:val="FootnoteReference"/>
        </w:rPr>
        <w:footnoteReference w:id="84"/>
      </w:r>
      <w:r>
        <w:t xml:space="preserve"> said to the woman that they would certainly not die.</w:t>
      </w:r>
    </w:p>
    <w:p>
      <w:r>
        <w:rPr>
          <w:b/>
        </w:rPr>
        <w:t xml:space="preserve">5 </w:t>
      </w:r>
      <w:r>
        <w:t xml:space="preserve">For God knew that on the day you eat from it, your eyes will be opened and you will be like gods, knowing</w:t>
      </w:r>
      <w:r>
        <w:rPr>
          <w:rStyle w:val="FootnoteReference"/>
        </w:rPr>
        <w:footnoteReference w:id="85"/>
      </w:r>
      <w:r>
        <w:t xml:space="preserve"> good and evil.'</w:t>
      </w:r>
    </w:p>
    <w:p>
      <w:r>
        <w:rPr>
          <w:b/>
        </w:rPr>
        <w:t xml:space="preserve">6 </w:t>
      </w:r>
      <w:r>
        <w:t xml:space="preserve">And the woman saw that the tree was good for food and pleasing to the eyes</w:t>
      </w:r>
      <w:r>
        <w:rPr>
          <w:rStyle w:val="FootnoteReference"/>
        </w:rPr>
        <w:footnoteReference w:id="86"/>
      </w:r>
      <w:r>
        <w:t xml:space="preserve"> to look at, and that it was beautiful for understanding. And taking from its fruit, she ate; and she gave also to her husband with her, and they ate.</w:t>
      </w:r>
      <w:r>
        <w:rPr>
          <w:rStyle w:val="FootnoteReference"/>
        </w:rPr>
        <w:footnoteReference w:id="87"/>
      </w:r>
    </w:p>
    <w:p>
      <w:r>
        <w:rPr>
          <w:b/>
        </w:rPr>
        <w:t xml:space="preserve">7 </w:t>
      </w:r>
      <w:r>
        <w:t xml:space="preserve">And the eyes of the two were opened, and they knew</w:t>
      </w:r>
      <w:r>
        <w:rPr>
          <w:rStyle w:val="FootnoteReference"/>
        </w:rPr>
        <w:footnoteReference w:id="88"/>
      </w:r>
      <w:r>
        <w:t xml:space="preserve"> that they were naked, and they sewed fig leaves together and made loincloths for themselves.</w:t>
      </w:r>
    </w:p>
    <w:p>
      <w:r>
        <w:rPr>
          <w:b/>
        </w:rPr>
        <w:t xml:space="preserve">8 </w:t>
      </w:r>
      <w:r>
        <w:t xml:space="preserve">And they heard the sound of the Lord God walking in the garden at evening, and Adam and his wife hid themselves from the face of the Lord God among the trees of the garden.</w:t>
      </w:r>
    </w:p>
    <w:p>
      <w:r>
        <w:rPr>
          <w:b/>
        </w:rPr>
        <w:t xml:space="preserve">9 </w:t>
      </w:r>
      <w:r>
        <w:t xml:space="preserve">And the Lord God called Adam and said to him, "Adam, where are you?"</w:t>
      </w:r>
    </w:p>
    <w:p>
      <w:r>
        <w:rPr>
          <w:b/>
        </w:rPr>
        <w:t xml:space="preserve">10 </w:t>
      </w:r>
      <w:r>
        <w:t xml:space="preserve">And he said to him, "I heard your sound as you were walking in the garden, and I was</w:t>
      </w:r>
      <w:r>
        <w:rPr>
          <w:rStyle w:val="FootnoteReference"/>
        </w:rPr>
        <w:footnoteReference w:id="89"/>
      </w:r>
      <w:r>
        <w:t xml:space="preserve"> afraid because I am naked, and I hid myself."</w:t>
      </w:r>
    </w:p>
    <w:p>
      <w:r>
        <w:rPr>
          <w:b/>
        </w:rPr>
        <w:t xml:space="preserve">11 </w:t>
      </w:r>
      <w:r>
        <w:t xml:space="preserve">And God said to him, "Who told you that you are naked, unless you have eaten from the tree from which alone I commanded you not to eat?"</w:t>
      </w:r>
    </w:p>
    <w:p>
      <w:r>
        <w:rPr>
          <w:b/>
        </w:rPr>
        <w:t xml:space="preserve">12 </w:t>
      </w:r>
      <w:r>
        <w:t xml:space="preserve">And Adam said, "The woman whom you gave with me, she gave me from the tree, and I ate."</w:t>
      </w:r>
    </w:p>
    <w:p>
      <w:r>
        <w:rPr>
          <w:b/>
        </w:rPr>
        <w:t xml:space="preserve">13 </w:t>
      </w:r>
      <w:r>
        <w:t xml:space="preserve">And the Lord God said to the woman, "What is this you have done?" And the woman said, "The serpent</w:t>
      </w:r>
      <w:r>
        <w:rPr>
          <w:rStyle w:val="FootnoteReference"/>
        </w:rPr>
        <w:footnoteReference w:id="90"/>
      </w:r>
      <w:r>
        <w:t xml:space="preserve"> deceived me, and I ate."</w:t>
      </w:r>
    </w:p>
    <w:p>
      <w:r>
        <w:rPr>
          <w:b/>
        </w:rPr>
        <w:t xml:space="preserve">14 </w:t>
      </w:r>
      <w:r>
        <w:t xml:space="preserve">And the Lord God said to the serpent that because you did this, you are cursed above all livestock and above all the beasts on the earth. On your chest and your belly you will go, and earth you will eat all the days of your life.</w:t>
      </w:r>
    </w:p>
    <w:p>
      <w:r>
        <w:rPr>
          <w:b/>
        </w:rPr>
        <w:t xml:space="preserve">15 </w:t>
      </w:r>
      <w:r>
        <w:t xml:space="preserve">And I will put enmity</w:t>
      </w:r>
      <w:r>
        <w:rPr>
          <w:rStyle w:val="FootnoteReference"/>
        </w:rPr>
        <w:footnoteReference w:id="91"/>
      </w:r>
      <w:r>
        <w:t xml:space="preserve"> between you and between the woman, and between your seed and between her seed. He will lie in wait for your head</w:t>
      </w:r>
      <w:r>
        <w:rPr>
          <w:rStyle w:val="FootnoteReference"/>
        </w:rPr>
        <w:footnoteReference w:id="92"/>
      </w:r>
      <w:r>
        <w:t xml:space="preserve">, and you will lie in wait for his heel.</w:t>
      </w:r>
    </w:p>
    <w:p>
      <w:r>
        <w:rPr>
          <w:b/>
        </w:rPr>
        <w:t xml:space="preserve">16 </w:t>
      </w:r>
      <w:r>
        <w:t xml:space="preserve">And to the woman he said, "Multiplying I will multiply your pains and your groaning. In pains you will bear children, and your turning</w:t>
      </w:r>
      <w:r>
        <w:rPr>
          <w:rStyle w:val="FootnoteReference"/>
        </w:rPr>
        <w:footnoteReference w:id="93"/>
      </w:r>
      <w:r>
        <w:t xml:space="preserve"> will be toward your husband, and he will rule</w:t>
      </w:r>
      <w:r>
        <w:rPr>
          <w:rStyle w:val="FootnoteReference"/>
        </w:rPr>
        <w:footnoteReference w:id="94"/>
      </w:r>
      <w:r>
        <w:t xml:space="preserve"> over you."</w:t>
      </w:r>
    </w:p>
    <w:p>
      <w:r>
        <w:rPr>
          <w:b/>
        </w:rPr>
        <w:t xml:space="preserve">17 </w:t>
      </w:r>
      <w:r>
        <w:t xml:space="preserve">And to Adam he said that because you listened to the voice of your wife and ate from the tree from which alone he commanded you not to eat, the ground is cursed</w:t>
      </w:r>
      <w:r>
        <w:rPr>
          <w:rStyle w:val="FootnoteReference"/>
        </w:rPr>
        <w:footnoteReference w:id="95"/>
      </w:r>
      <w:r>
        <w:t xml:space="preserve"> in your labors. In pains you will eat from it all the days of your life.</w:t>
      </w:r>
    </w:p>
    <w:p>
      <w:r>
        <w:rPr>
          <w:b/>
        </w:rPr>
        <w:t xml:space="preserve">18 </w:t>
      </w:r>
      <w:r>
        <w:t xml:space="preserve">It will bring forth thorns</w:t>
      </w:r>
      <w:r>
        <w:rPr>
          <w:rStyle w:val="FootnoteReference"/>
        </w:rPr>
        <w:footnoteReference w:id="96"/>
      </w:r>
      <w:r>
        <w:t xml:space="preserve"> and thistles for you, and you will eat the grass of the field.</w:t>
      </w:r>
    </w:p>
    <w:p>
      <w:r>
        <w:rPr>
          <w:b/>
        </w:rPr>
        <w:t xml:space="preserve">19 </w:t>
      </w:r>
      <w:r>
        <w:t xml:space="preserve">By the sweat of your face you will eat your bread, until you return to the earth from which you were taken; because earth you are, and to earth you will depart.</w:t>
      </w:r>
    </w:p>
    <w:p>
      <w:r>
        <w:rPr>
          <w:b/>
        </w:rPr>
        <w:t xml:space="preserve">20 </w:t>
      </w:r>
      <w:r>
        <w:t xml:space="preserve">And Adam</w:t>
      </w:r>
      <w:r>
        <w:rPr>
          <w:rStyle w:val="FootnoteReference"/>
        </w:rPr>
        <w:footnoteReference w:id="97"/>
      </w:r>
      <w:r>
        <w:t xml:space="preserve"> called the name of his wife Life, because she is the mother of all the living.</w:t>
      </w:r>
      <w:r>
        <w:rPr>
          <w:rStyle w:val="FootnoteReference"/>
        </w:rPr>
        <w:footnoteReference w:id="98"/>
      </w:r>
    </w:p>
    <w:p>
      <w:r>
        <w:rPr>
          <w:b/>
        </w:rPr>
        <w:t xml:space="preserve">21 </w:t>
      </w:r>
      <w:r>
        <w:t xml:space="preserve">And the Lord God made skin tunics</w:t>
      </w:r>
      <w:r>
        <w:rPr>
          <w:rStyle w:val="FootnoteReference"/>
        </w:rPr>
        <w:footnoteReference w:id="99"/>
      </w:r>
      <w:r>
        <w:t xml:space="preserve"> for Adam and for his wife, and clothed them.</w:t>
      </w:r>
    </w:p>
    <w:p>
      <w:r>
        <w:rPr>
          <w:b/>
        </w:rPr>
        <w:t xml:space="preserve">22 </w:t>
      </w:r>
      <w:r>
        <w:t xml:space="preserve">And God said, "Look, Adam has become like one of us, to know good and evil. And now, lest perhaps he stretch out his hand and take from the tree</w:t>
      </w:r>
      <w:r>
        <w:rPr>
          <w:rStyle w:val="FootnoteReference"/>
        </w:rPr>
        <w:footnoteReference w:id="100"/>
      </w:r>
      <w:r>
        <w:t xml:space="preserve"> of life and eat and live forever."</w:t>
      </w:r>
    </w:p>
    <w:p>
      <w:r>
        <w:rPr>
          <w:b/>
        </w:rPr>
        <w:t xml:space="preserve">23 </w:t>
      </w:r>
      <w:r>
        <w:t xml:space="preserve">And the Lord God sent him out from the garden of delight to work the earth from which he had been taken.</w:t>
      </w:r>
    </w:p>
    <w:p>
      <w:r>
        <w:rPr>
          <w:b/>
        </w:rPr>
        <w:t xml:space="preserve">24 </w:t>
      </w:r>
      <w:r>
        <w:t xml:space="preserve">And he cast Adam out and settled him opposite the garden of delight, and he stationed the Cherubim and the flaming turning sword to guard the way of the tree of life.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Adam knew</w:t>
      </w:r>
      <w:r>
        <w:rPr>
          <w:rStyle w:val="FootnoteReference"/>
        </w:rPr>
        <w:footnoteReference w:id="101"/>
      </w:r>
      <w:r>
        <w:t xml:space="preserve"> Eve his wife, and having conceived she bore Cain</w:t>
      </w:r>
      <w:r>
        <w:rPr>
          <w:rStyle w:val="FootnoteReference"/>
        </w:rPr>
        <w:footnoteReference w:id="102"/>
      </w:r>
      <w:r>
        <w:t xml:space="preserve"> and said, "I have acquired a man through God."</w:t>
      </w:r>
    </w:p>
    <w:p>
      <w:r>
        <w:rPr>
          <w:b/>
        </w:rPr>
        <w:t xml:space="preserve">2 </w:t>
      </w:r>
      <w:r>
        <w:t xml:space="preserve">And she added to bear his brother Abel</w:t>
      </w:r>
      <w:r>
        <w:rPr>
          <w:rStyle w:val="FootnoteReference"/>
        </w:rPr>
        <w:footnoteReference w:id="103"/>
      </w:r>
      <w:r>
        <w:t xml:space="preserve">. And Abel</w:t>
      </w:r>
      <w:r>
        <w:rPr>
          <w:rStyle w:val="FootnoteReference"/>
        </w:rPr>
        <w:footnoteReference w:id="104"/>
      </w:r>
      <w:r>
        <w:t xml:space="preserve"> became a shepherd of sheep, but Cain was working the earth.</w:t>
      </w:r>
    </w:p>
    <w:p>
      <w:r>
        <w:rPr>
          <w:b/>
        </w:rPr>
        <w:t xml:space="preserve">3 </w:t>
      </w:r>
      <w:r>
        <w:t xml:space="preserve">And it came to be after days that Cain brought from the fruits of the earth a sacrifice to the Lord,</w:t>
      </w:r>
    </w:p>
    <w:p>
      <w:r>
        <w:rPr>
          <w:b/>
        </w:rPr>
        <w:t xml:space="preserve">4 </w:t>
      </w:r>
      <w:r>
        <w:t xml:space="preserve">and Abel, he too brought from the firstborn of his sheep and from their fat portions. And God looked upon Abel and upon his gifts,</w:t>
      </w:r>
    </w:p>
    <w:p>
      <w:r>
        <w:rPr>
          <w:b/>
        </w:rPr>
        <w:t xml:space="preserve">5 </w:t>
      </w:r>
      <w:r>
        <w:t xml:space="preserve">but upon Cain and upon his sacrifices he gave no heed. And Cain was greatly grieved, and his face fell.</w:t>
      </w:r>
    </w:p>
    <w:p>
      <w:r>
        <w:rPr>
          <w:b/>
        </w:rPr>
        <w:t xml:space="preserve">6 </w:t>
      </w:r>
      <w:r>
        <w:t xml:space="preserve">And the Lord God said to Cain, "Why did you become deeply grieved, and why did your face fall?"</w:t>
      </w:r>
    </w:p>
    <w:p>
      <w:r>
        <w:rPr>
          <w:b/>
        </w:rPr>
        <w:t xml:space="preserve">7 </w:t>
      </w:r>
      <w:r>
        <w:t xml:space="preserve">"If you offered rightly, but did not divide rightly, did you not sin? Be still. Toward you is its turning, and you shall rule it."</w:t>
      </w:r>
    </w:p>
    <w:p>
      <w:r>
        <w:rPr>
          <w:b/>
        </w:rPr>
        <w:t xml:space="preserve">8 </w:t>
      </w:r>
      <w:r>
        <w:t xml:space="preserve">And Cain said to Abel his brother, "Let us go through into the field." And it came to be while they were in the field that Cain rose</w:t>
      </w:r>
      <w:r>
        <w:rPr>
          <w:rStyle w:val="FootnoteReference"/>
        </w:rPr>
        <w:footnoteReference w:id="105"/>
      </w:r>
      <w:r>
        <w:t xml:space="preserve"> against Abel his brother and killed him.</w:t>
      </w:r>
    </w:p>
    <w:p>
      <w:r>
        <w:rPr>
          <w:b/>
        </w:rPr>
        <w:t xml:space="preserve">9 </w:t>
      </w:r>
      <w:r>
        <w:t xml:space="preserve">And the Lord God said to Cain, "Where is</w:t>
      </w:r>
      <w:r>
        <w:rPr>
          <w:rStyle w:val="FootnoteReference"/>
        </w:rPr>
        <w:footnoteReference w:id="106"/>
      </w:r>
      <w:r>
        <w:t xml:space="preserve"> Abel your brother?" And he said, "I do not know. Am I my brother's keeper?"</w:t>
      </w:r>
    </w:p>
    <w:p>
      <w:r>
        <w:rPr>
          <w:b/>
        </w:rPr>
        <w:t xml:space="preserve">10 </w:t>
      </w:r>
      <w:r>
        <w:t xml:space="preserve">And the Lord said, "What have you done? A voice of your brother's blood cries out to me from the earth."</w:t>
      </w:r>
    </w:p>
    <w:p>
      <w:r>
        <w:rPr>
          <w:b/>
        </w:rPr>
        <w:t xml:space="preserve">11 </w:t>
      </w:r>
      <w:r>
        <w:t xml:space="preserve">And now cursed are you from the earth, which opened</w:t>
      </w:r>
      <w:r>
        <w:rPr>
          <w:rStyle w:val="FootnoteReference"/>
        </w:rPr>
        <w:footnoteReference w:id="107"/>
      </w:r>
      <w:r>
        <w:t xml:space="preserve"> its mouth to receive your brother's blood from your hand.</w:t>
      </w:r>
    </w:p>
    <w:p>
      <w:r>
        <w:rPr>
          <w:b/>
        </w:rPr>
        <w:t xml:space="preserve">12 </w:t>
      </w:r>
      <w:r>
        <w:t xml:space="preserve">When you work the earth, it shall not continue to give you its strength. Groaning and trembling you shall be on the earth.</w:t>
      </w:r>
    </w:p>
    <w:p>
      <w:r>
        <w:rPr>
          <w:b/>
        </w:rPr>
        <w:t xml:space="preserve">13 </w:t>
      </w:r>
      <w:r>
        <w:t xml:space="preserve">And Cain said to the Lord God, "Greater is my charge than for me to be forgiven."</w:t>
      </w:r>
    </w:p>
    <w:p>
      <w:r>
        <w:rPr>
          <w:b/>
        </w:rPr>
        <w:t xml:space="preserve">14 </w:t>
      </w:r>
      <w:r>
        <w:t xml:space="preserve">If you cast me out today from the face of the earth and I am hidden from your face, then I shall be groaning and trembling</w:t>
      </w:r>
      <w:r>
        <w:rPr>
          <w:rStyle w:val="FootnoteReference"/>
        </w:rPr>
        <w:footnoteReference w:id="108"/>
      </w:r>
      <w:r>
        <w:t xml:space="preserve"> on the earth, and everyone finding me will kill me.'</w:t>
      </w:r>
    </w:p>
    <w:p>
      <w:r>
        <w:rPr>
          <w:b/>
        </w:rPr>
        <w:t xml:space="preserve">15 </w:t>
      </w:r>
      <w:r>
        <w:t xml:space="preserve">And the Lord God said to him, "Not so. Everyone who kills Cain will pay sevenfold</w:t>
      </w:r>
      <w:r>
        <w:rPr>
          <w:rStyle w:val="FootnoteReference"/>
        </w:rPr>
        <w:footnoteReference w:id="109"/>
      </w:r>
      <w:r>
        <w:t xml:space="preserve">." And the Lord God set a sign for Cain, so that none finding him should kill him.</w:t>
      </w:r>
    </w:p>
    <w:p>
      <w:r>
        <w:rPr>
          <w:b/>
        </w:rPr>
        <w:t xml:space="preserve">16 </w:t>
      </w:r>
      <w:r>
        <w:t xml:space="preserve">And Cain went</w:t>
      </w:r>
      <w:r>
        <w:rPr>
          <w:rStyle w:val="FootnoteReference"/>
        </w:rPr>
        <w:footnoteReference w:id="110"/>
      </w:r>
      <w:r>
        <w:t xml:space="preserve"> out from the face of God and lived in the land of Nod</w:t>
      </w:r>
      <w:r>
        <w:rPr>
          <w:rStyle w:val="FootnoteReference"/>
        </w:rPr>
        <w:footnoteReference w:id="111"/>
      </w:r>
      <w:r>
        <w:t xml:space="preserve"> opposite Eden.</w:t>
      </w:r>
    </w:p>
    <w:p>
      <w:r>
        <w:rPr>
          <w:b/>
        </w:rPr>
        <w:t xml:space="preserve">17 </w:t>
      </w:r>
      <w:r>
        <w:t xml:space="preserve">And Cain knew his wife, and having conceived she bore Enoch</w:t>
      </w:r>
      <w:r>
        <w:rPr>
          <w:rStyle w:val="FootnoteReference"/>
        </w:rPr>
        <w:footnoteReference w:id="112"/>
      </w:r>
      <w:r>
        <w:t xml:space="preserve">. And he was building a city, and he named the city after the name of his son, Enoch.</w:t>
      </w:r>
      <w:r>
        <w:rPr>
          <w:rStyle w:val="FootnoteReference"/>
        </w:rPr>
        <w:footnoteReference w:id="113"/>
      </w:r>
    </w:p>
    <w:p>
      <w:r>
        <w:rPr>
          <w:b/>
        </w:rPr>
        <w:t xml:space="preserve">18 </w:t>
      </w:r>
      <w:r>
        <w:t xml:space="preserve">And to Enoch was born Irad</w:t>
      </w:r>
      <w:r>
        <w:rPr>
          <w:rStyle w:val="FootnoteReference"/>
        </w:rPr>
        <w:footnoteReference w:id="114"/>
      </w:r>
      <w:r>
        <w:t xml:space="preserve">, and Irad begot Mahalaleel</w:t>
      </w:r>
      <w:r>
        <w:rPr>
          <w:rStyle w:val="FootnoteReference"/>
        </w:rPr>
        <w:footnoteReference w:id="115"/>
      </w:r>
      <w:r>
        <w:t xml:space="preserve">, and Mahalaleel begot Methusael</w:t>
      </w:r>
      <w:r>
        <w:rPr>
          <w:rStyle w:val="FootnoteReference"/>
        </w:rPr>
        <w:footnoteReference w:id="116"/>
      </w:r>
      <w:r>
        <w:t xml:space="preserve">, and Methusael begot Lamech</w:t>
      </w:r>
      <w:r>
        <w:rPr>
          <w:rStyle w:val="FootnoteReference"/>
        </w:rPr>
        <w:footnoteReference w:id="117"/>
      </w:r>
      <w:r>
        <w:t xml:space="preserve">.</w:t>
      </w:r>
      <w:r>
        <w:rPr>
          <w:rStyle w:val="FootnoteReference"/>
        </w:rPr>
        <w:footnoteReference w:id="118"/>
      </w:r>
    </w:p>
    <w:p>
      <w:r>
        <w:rPr>
          <w:b/>
        </w:rPr>
        <w:t xml:space="preserve">19 </w:t>
      </w:r>
      <w:r>
        <w:t xml:space="preserve">And Lamech took two wives</w:t>
      </w:r>
      <w:r>
        <w:rPr>
          <w:rStyle w:val="FootnoteReference"/>
        </w:rPr>
        <w:footnoteReference w:id="119"/>
      </w:r>
      <w:r>
        <w:t xml:space="preserve"> for himself, the name of one Adah</w:t>
      </w:r>
      <w:r>
        <w:rPr>
          <w:rStyle w:val="FootnoteReference"/>
        </w:rPr>
        <w:footnoteReference w:id="120"/>
      </w:r>
      <w:r>
        <w:t xml:space="preserve"> and the name of the second Zillah</w:t>
      </w:r>
      <w:r>
        <w:rPr>
          <w:rStyle w:val="FootnoteReference"/>
        </w:rPr>
        <w:footnoteReference w:id="121"/>
      </w:r>
      <w:r>
        <w:t xml:space="preserve">.</w:t>
      </w:r>
    </w:p>
    <w:p>
      <w:r>
        <w:rPr>
          <w:b/>
        </w:rPr>
        <w:t xml:space="preserve">20 </w:t>
      </w:r>
      <w:r>
        <w:t xml:space="preserve">And Adah bore Jabal</w:t>
      </w:r>
      <w:r>
        <w:rPr>
          <w:rStyle w:val="FootnoteReference"/>
        </w:rPr>
        <w:footnoteReference w:id="122"/>
      </w:r>
      <w:r>
        <w:t xml:space="preserve">. He was the father</w:t>
      </w:r>
      <w:r>
        <w:rPr>
          <w:rStyle w:val="FootnoteReference"/>
        </w:rPr>
        <w:footnoteReference w:id="123"/>
      </w:r>
      <w:r>
        <w:t xml:space="preserve"> of those dwelling in tents, herders of livestock.</w:t>
      </w:r>
    </w:p>
    <w:p>
      <w:r>
        <w:rPr>
          <w:b/>
        </w:rPr>
        <w:t xml:space="preserve">21 </w:t>
      </w:r>
      <w:r>
        <w:t xml:space="preserve">And the name of his brother was Jubal</w:t>
      </w:r>
      <w:r>
        <w:rPr>
          <w:rStyle w:val="FootnoteReference"/>
        </w:rPr>
        <w:footnoteReference w:id="124"/>
      </w:r>
      <w:r>
        <w:t xml:space="preserve">. He was the one who introduced harp and lyre.</w:t>
      </w:r>
    </w:p>
    <w:p>
      <w:r>
        <w:rPr>
          <w:b/>
        </w:rPr>
        <w:t xml:space="preserve">22 </w:t>
      </w:r>
      <w:r>
        <w:t xml:space="preserve">And Zillah also bore Tubal</w:t>
      </w:r>
      <w:r>
        <w:rPr>
          <w:rStyle w:val="FootnoteReference"/>
        </w:rPr>
        <w:footnoteReference w:id="125"/>
      </w:r>
      <w:r>
        <w:t xml:space="preserve">, and he was a hammering smith of bronze and iron. And the sister of Tubal was Naamah</w:t>
      </w:r>
      <w:r>
        <w:rPr>
          <w:rStyle w:val="FootnoteReference"/>
        </w:rPr>
        <w:footnoteReference w:id="126"/>
      </w:r>
      <w:r>
        <w:t xml:space="preserve">.</w:t>
      </w:r>
    </w:p>
    <w:p>
      <w:r>
        <w:rPr>
          <w:b/>
        </w:rPr>
        <w:t xml:space="preserve">23 </w:t>
      </w:r>
      <w:r>
        <w:t xml:space="preserve">And Lamech said to his wives, "Adah and Zillah, hear</w:t>
      </w:r>
      <w:r>
        <w:rPr>
          <w:rStyle w:val="FootnoteReference"/>
        </w:rPr>
        <w:footnoteReference w:id="127"/>
      </w:r>
      <w:r>
        <w:t xml:space="preserve"> my voice; wives of Lamech, listen to my words. For I killed a man for a wound to me, and a young man for a welt to me."</w:t>
      </w:r>
    </w:p>
    <w:p>
      <w:r>
        <w:rPr>
          <w:b/>
        </w:rPr>
        <w:t xml:space="preserve">24 </w:t>
      </w:r>
      <w:r>
        <w:t xml:space="preserve">Because Cain has been avenged sevenfold</w:t>
      </w:r>
      <w:r>
        <w:rPr>
          <w:rStyle w:val="FootnoteReference"/>
        </w:rPr>
        <w:footnoteReference w:id="128"/>
      </w:r>
      <w:r>
        <w:t xml:space="preserve">, but Lamech seventy</w:t>
      </w:r>
      <w:r>
        <w:rPr>
          <w:rStyle w:val="FootnoteReference"/>
        </w:rPr>
        <w:footnoteReference w:id="129"/>
      </w:r>
      <w:r>
        <w:t xml:space="preserve"> times seven.'</w:t>
      </w:r>
    </w:p>
    <w:p>
      <w:r>
        <w:rPr>
          <w:b/>
        </w:rPr>
        <w:t xml:space="preserve">25 </w:t>
      </w:r>
      <w:r>
        <w:t xml:space="preserve">And Adam knew Eve his wife, and having conceived she bore a son, and named his name Seth</w:t>
      </w:r>
      <w:r>
        <w:rPr>
          <w:rStyle w:val="FootnoteReference"/>
        </w:rPr>
        <w:footnoteReference w:id="130"/>
      </w:r>
      <w:r>
        <w:t xml:space="preserve">, saying, "For God raised up for me another seed instead of Abel, whom Cain killed."</w:t>
      </w:r>
    </w:p>
    <w:p>
      <w:r>
        <w:rPr>
          <w:b/>
        </w:rPr>
        <w:t xml:space="preserve">26 </w:t>
      </w:r>
      <w:r>
        <w:t xml:space="preserve">And to Seth there came a son, and he named his name Enos</w:t>
      </w:r>
      <w:r>
        <w:rPr>
          <w:rStyle w:val="FootnoteReference"/>
        </w:rPr>
        <w:footnoteReference w:id="131"/>
      </w:r>
      <w:r>
        <w:t xml:space="preserve">. This one hoped to call on the name of the Lord God.</w:t>
      </w:r>
      <w:r>
        <w:rPr>
          <w:rStyle w:val="FootnoteReference"/>
        </w:rPr>
        <w:footnoteReference w:id="132"/>
      </w:r>
      <w:r>
        <w:rPr>
          <w:rStyle w:val="FootnoteReference"/>
        </w:rPr>
        <w:footnoteReference w:id="133"/>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This is the book</w:t>
      </w:r>
      <w:r>
        <w:rPr>
          <w:rStyle w:val="FootnoteReference"/>
        </w:rPr>
        <w:footnoteReference w:id="134"/>
      </w:r>
      <w:r>
        <w:t xml:space="preserve"> of the origin of humans. On the day God made Adam, according to the image of God he made him.</w:t>
      </w:r>
    </w:p>
    <w:p>
      <w:r>
        <w:rPr>
          <w:b/>
        </w:rPr>
        <w:t xml:space="preserve">2 </w:t>
      </w:r>
      <w:r>
        <w:t xml:space="preserve">Male</w:t>
      </w:r>
      <w:r>
        <w:rPr>
          <w:rStyle w:val="FootnoteReference"/>
        </w:rPr>
        <w:footnoteReference w:id="135"/>
      </w:r>
      <w:r>
        <w:t xml:space="preserve"> and female he made them, and he blessed them, and he called their name Adam on the day he made them.</w:t>
      </w:r>
    </w:p>
    <w:p>
      <w:r>
        <w:rPr>
          <w:b/>
        </w:rPr>
        <w:t xml:space="preserve">3 </w:t>
      </w:r>
      <w:r>
        <w:t xml:space="preserve">And Adam lived two hundred and thirty years, and begot according to his form and according to his image, and he named his name Seth.</w:t>
      </w:r>
    </w:p>
    <w:p>
      <w:r>
        <w:rPr>
          <w:b/>
        </w:rPr>
        <w:t xml:space="preserve">4 </w:t>
      </w:r>
      <w:r>
        <w:t xml:space="preserve">And the days of Adam, which he lived after begetting Seth, were seven hundred years, and he begot sons and daughters.</w:t>
      </w:r>
    </w:p>
    <w:p>
      <w:r>
        <w:rPr>
          <w:b/>
        </w:rPr>
        <w:t xml:space="preserve">5 </w:t>
      </w:r>
      <w:r>
        <w:t xml:space="preserve">And all the days of Adam, which he lived, were nine</w:t>
      </w:r>
      <w:r>
        <w:rPr>
          <w:rStyle w:val="FootnoteReference"/>
        </w:rPr>
        <w:footnoteReference w:id="136"/>
      </w:r>
      <w:r>
        <w:t xml:space="preserve"> hundred and thirty years, and he died.</w:t>
      </w:r>
    </w:p>
    <w:p>
      <w:r>
        <w:rPr>
          <w:b/>
        </w:rPr>
        <w:t xml:space="preserve">6 </w:t>
      </w:r>
      <w:r>
        <w:t xml:space="preserve">And Seth lived two hundred and five years and begot Enos.</w:t>
      </w:r>
    </w:p>
    <w:p>
      <w:r>
        <w:rPr>
          <w:b/>
        </w:rPr>
        <w:t xml:space="preserve">7 </w:t>
      </w:r>
      <w:r>
        <w:t xml:space="preserve">And Seth lived after begetting Enos seven hundred and seven years, and he begot sons and daughters.</w:t>
      </w:r>
    </w:p>
    <w:p>
      <w:r>
        <w:rPr>
          <w:b/>
        </w:rPr>
        <w:t xml:space="preserve">8 </w:t>
      </w:r>
      <w:r>
        <w:t xml:space="preserve">And all the days of Seth were nine hundred and twelve years, and he died.</w:t>
      </w:r>
    </w:p>
    <w:p>
      <w:r>
        <w:rPr>
          <w:b/>
        </w:rPr>
        <w:t xml:space="preserve">9 </w:t>
      </w:r>
      <w:r>
        <w:t xml:space="preserve">And Enos lived one hundred and ninety years and begot Cainan</w:t>
      </w:r>
      <w:r>
        <w:rPr>
          <w:rStyle w:val="FootnoteReference"/>
        </w:rPr>
        <w:footnoteReference w:id="137"/>
      </w:r>
      <w:r>
        <w:t xml:space="preserve">.</w:t>
      </w:r>
      <w:r>
        <w:rPr>
          <w:rStyle w:val="FootnoteReference"/>
        </w:rPr>
        <w:footnoteReference w:id="138"/>
      </w:r>
      <w:r>
        <w:rPr>
          <w:rStyle w:val="FootnoteReference"/>
        </w:rPr>
        <w:footnoteReference w:id="139"/>
      </w:r>
    </w:p>
    <w:p>
      <w:r>
        <w:rPr>
          <w:b/>
        </w:rPr>
        <w:t xml:space="preserve">10 </w:t>
      </w:r>
      <w:r>
        <w:t xml:space="preserve">And Enos lived after begetting Cainan seven hundred and fifteen years, and he begot sons and daughters.</w:t>
      </w:r>
    </w:p>
    <w:p>
      <w:r>
        <w:rPr>
          <w:b/>
        </w:rPr>
        <w:t xml:space="preserve">11 </w:t>
      </w:r>
      <w:r>
        <w:t xml:space="preserve">And all the days of Enos were nine hundred and five years, and he died</w:t>
      </w:r>
      <w:r>
        <w:rPr>
          <w:rStyle w:val="FootnoteReference"/>
        </w:rPr>
        <w:footnoteReference w:id="140"/>
      </w:r>
      <w:r>
        <w:t xml:space="preserve">.</w:t>
      </w:r>
    </w:p>
    <w:p>
      <w:r>
        <w:rPr>
          <w:b/>
        </w:rPr>
        <w:t xml:space="preserve">12 </w:t>
      </w:r>
      <w:r>
        <w:t xml:space="preserve">And Cainan lived one hundred and seventy years and begot Mahalaleel</w:t>
      </w:r>
      <w:r>
        <w:rPr>
          <w:rStyle w:val="FootnoteReference"/>
        </w:rPr>
        <w:footnoteReference w:id="141"/>
      </w:r>
      <w:r>
        <w:t xml:space="preserve">.</w:t>
      </w:r>
      <w:r>
        <w:rPr>
          <w:rStyle w:val="FootnoteReference"/>
        </w:rPr>
        <w:footnoteReference w:id="142"/>
      </w:r>
    </w:p>
    <w:p>
      <w:r>
        <w:rPr>
          <w:b/>
        </w:rPr>
        <w:t xml:space="preserve">13 </w:t>
      </w:r>
      <w:r>
        <w:t xml:space="preserve">And Cainan lived after begetting Mahalaleel seven hundred and forty years, and he begot sons and daughters.</w:t>
      </w:r>
    </w:p>
    <w:p>
      <w:r>
        <w:rPr>
          <w:b/>
        </w:rPr>
        <w:t xml:space="preserve">14 </w:t>
      </w:r>
      <w:r>
        <w:t xml:space="preserve">And all the days of Cainan were nine hundred and ten years, and he died.</w:t>
      </w:r>
    </w:p>
    <w:p>
      <w:r>
        <w:rPr>
          <w:b/>
        </w:rPr>
        <w:t xml:space="preserve">15 </w:t>
      </w:r>
      <w:r>
        <w:t xml:space="preserve">And Mahalaleel lived one hundred and sixty-five years and begot Jared</w:t>
      </w:r>
      <w:r>
        <w:rPr>
          <w:rStyle w:val="FootnoteReference"/>
        </w:rPr>
        <w:footnoteReference w:id="143"/>
      </w:r>
      <w:r>
        <w:t xml:space="preserve">.</w:t>
      </w:r>
      <w:r>
        <w:rPr>
          <w:rStyle w:val="FootnoteReference"/>
        </w:rPr>
        <w:footnoteReference w:id="144"/>
      </w:r>
    </w:p>
    <w:p>
      <w:r>
        <w:rPr>
          <w:b/>
        </w:rPr>
        <w:t xml:space="preserve">16 </w:t>
      </w:r>
      <w:r>
        <w:t xml:space="preserve">And Mahalaleel lived after begetting Jared seven hundred and thirty years, and he begot sons and daughters.</w:t>
      </w:r>
    </w:p>
    <w:p>
      <w:r>
        <w:rPr>
          <w:b/>
        </w:rPr>
        <w:t xml:space="preserve">17 </w:t>
      </w:r>
      <w:r>
        <w:t xml:space="preserve">And all the days of Mahalaleel were eight hundred and ninety-five years, and he died</w:t>
      </w:r>
      <w:r>
        <w:rPr>
          <w:rStyle w:val="FootnoteReference"/>
        </w:rPr>
        <w:footnoteReference w:id="145"/>
      </w:r>
      <w:r>
        <w:t xml:space="preserve">.</w:t>
      </w:r>
    </w:p>
    <w:p>
      <w:r>
        <w:rPr>
          <w:b/>
        </w:rPr>
        <w:t xml:space="preserve">18 </w:t>
      </w:r>
      <w:r>
        <w:t xml:space="preserve">And Jared lived one hundred and sixty-two years and begot Enoch</w:t>
      </w:r>
      <w:r>
        <w:rPr>
          <w:rStyle w:val="FootnoteReference"/>
        </w:rPr>
        <w:footnoteReference w:id="146"/>
      </w:r>
      <w:r>
        <w:t xml:space="preserve">.</w:t>
      </w:r>
    </w:p>
    <w:p>
      <w:r>
        <w:rPr>
          <w:b/>
        </w:rPr>
        <w:t xml:space="preserve">19 </w:t>
      </w:r>
      <w:r>
        <w:t xml:space="preserve">And Jared lived after begetting Enoch eight hundred years, and he begot sons and daughters.</w:t>
      </w:r>
    </w:p>
    <w:p>
      <w:r>
        <w:rPr>
          <w:b/>
        </w:rPr>
        <w:t xml:space="preserve">20 </w:t>
      </w:r>
      <w:r>
        <w:t xml:space="preserve">And all the days of Jared were nine hundred and sixty-two years, and he died</w:t>
      </w:r>
      <w:r>
        <w:rPr>
          <w:rStyle w:val="FootnoteReference"/>
        </w:rPr>
        <w:footnoteReference w:id="147"/>
      </w:r>
      <w:r>
        <w:t xml:space="preserve">.</w:t>
      </w:r>
    </w:p>
    <w:p>
      <w:r>
        <w:rPr>
          <w:b/>
        </w:rPr>
        <w:t xml:space="preserve">21 </w:t>
      </w:r>
      <w:r>
        <w:t xml:space="preserve">And Enoch lived one hundred and sixty-five years and begot Methuselah</w:t>
      </w:r>
      <w:r>
        <w:rPr>
          <w:rStyle w:val="FootnoteReference"/>
        </w:rPr>
        <w:footnoteReference w:id="148"/>
      </w:r>
      <w:r>
        <w:t xml:space="preserve">.</w:t>
      </w:r>
      <w:r>
        <w:rPr>
          <w:rStyle w:val="FootnoteReference"/>
        </w:rPr>
        <w:footnoteReference w:id="149"/>
      </w:r>
    </w:p>
    <w:p>
      <w:r>
        <w:rPr>
          <w:b/>
        </w:rPr>
        <w:t xml:space="preserve">22 </w:t>
      </w:r>
      <w:r>
        <w:t xml:space="preserve">And Enoch pleased God after begetting Methuselah two hundred years, and he begot sons and daughters.</w:t>
      </w:r>
    </w:p>
    <w:p>
      <w:r>
        <w:rPr>
          <w:b/>
        </w:rPr>
        <w:t xml:space="preserve">23 </w:t>
      </w:r>
      <w:r>
        <w:t xml:space="preserve">And all the days of Enoch were three hundred and sixty-five years.</w:t>
      </w:r>
    </w:p>
    <w:p>
      <w:r>
        <w:rPr>
          <w:b/>
        </w:rPr>
        <w:t xml:space="preserve">24 </w:t>
      </w:r>
      <w:r>
        <w:t xml:space="preserve">And Enoch pleased God, and he was not</w:t>
      </w:r>
      <w:r>
        <w:rPr>
          <w:rStyle w:val="FootnoteReference"/>
        </w:rPr>
        <w:footnoteReference w:id="150"/>
      </w:r>
      <w:r>
        <w:t xml:space="preserve"> found, because God transferred him.</w:t>
      </w:r>
    </w:p>
    <w:p>
      <w:r>
        <w:rPr>
          <w:b/>
        </w:rPr>
        <w:t xml:space="preserve">25 </w:t>
      </w:r>
      <w:r>
        <w:t xml:space="preserve">And Methuselah lived one hundred and sixty-seven years and begot Lamech.</w:t>
      </w:r>
    </w:p>
    <w:p>
      <w:r>
        <w:rPr>
          <w:b/>
        </w:rPr>
        <w:t xml:space="preserve">26 </w:t>
      </w:r>
      <w:r>
        <w:t xml:space="preserve">And Methuselah lived after begetting Lamech eight hundred and two years, and he begot sons and daughters.</w:t>
      </w:r>
    </w:p>
    <w:p>
      <w:r>
        <w:rPr>
          <w:b/>
        </w:rPr>
        <w:t xml:space="preserve">27 </w:t>
      </w:r>
      <w:r>
        <w:t xml:space="preserve">And all the days of Methuselah, which he lived, were nine hundred and sixty-nine years, and he died</w:t>
      </w:r>
      <w:r>
        <w:rPr>
          <w:rStyle w:val="FootnoteReference"/>
        </w:rPr>
        <w:footnoteReference w:id="151"/>
      </w:r>
      <w:r>
        <w:t xml:space="preserve">.</w:t>
      </w:r>
    </w:p>
    <w:p>
      <w:r>
        <w:rPr>
          <w:b/>
        </w:rPr>
        <w:t xml:space="preserve">28 </w:t>
      </w:r>
      <w:r>
        <w:t xml:space="preserve">And Lamech lived one hundred and eighty-eight years and begot a son.</w:t>
      </w:r>
    </w:p>
    <w:p>
      <w:r>
        <w:rPr>
          <w:b/>
        </w:rPr>
        <w:t xml:space="preserve">29 </w:t>
      </w:r>
      <w:r>
        <w:t xml:space="preserve">And he named his name Noah</w:t>
      </w:r>
      <w:r>
        <w:rPr>
          <w:rStyle w:val="FootnoteReference"/>
        </w:rPr>
        <w:footnoteReference w:id="152"/>
      </w:r>
      <w:r>
        <w:t xml:space="preserve">, saying, "This one will give us rest from our works and from the pains of our hands and from the earth, which the Lord God cursed."</w:t>
      </w:r>
    </w:p>
    <w:p>
      <w:r>
        <w:rPr>
          <w:b/>
        </w:rPr>
        <w:t xml:space="preserve">30 </w:t>
      </w:r>
      <w:r>
        <w:t xml:space="preserve">And Lamech lived after begetting Noah five hundred and sixty-five years, and he begot sons and daughters.</w:t>
      </w:r>
    </w:p>
    <w:p>
      <w:r>
        <w:rPr>
          <w:b/>
        </w:rPr>
        <w:t xml:space="preserve">31 </w:t>
      </w:r>
      <w:r>
        <w:t xml:space="preserve">And all the days of Lamech were seven hundred and fifty-three years, and he died</w:t>
      </w:r>
      <w:r>
        <w:rPr>
          <w:rStyle w:val="FootnoteReference"/>
        </w:rPr>
        <w:footnoteReference w:id="153"/>
      </w:r>
      <w:r>
        <w:t xml:space="preserve">.</w:t>
      </w:r>
    </w:p>
    <w:p>
      <w:r>
        <w:rPr>
          <w:b/>
        </w:rPr>
        <w:t xml:space="preserve">32 </w:t>
      </w:r>
      <w:r>
        <w:t xml:space="preserve">And Noah was five hundred years old, and he begot three sons: Shem</w:t>
      </w:r>
      <w:r>
        <w:rPr>
          <w:rStyle w:val="FootnoteReference"/>
        </w:rPr>
        <w:footnoteReference w:id="154"/>
      </w:r>
      <w:r>
        <w:t xml:space="preserve">, Ham</w:t>
      </w:r>
      <w:r>
        <w:rPr>
          <w:rStyle w:val="FootnoteReference"/>
        </w:rPr>
        <w:footnoteReference w:id="155"/>
      </w:r>
      <w:r>
        <w:t xml:space="preserve">, and Japheth</w:t>
      </w:r>
      <w:r>
        <w:rPr>
          <w:rStyle w:val="FootnoteReference"/>
        </w:rPr>
        <w:footnoteReference w:id="156"/>
      </w:r>
      <w:r>
        <w:t xml:space="preserve">.</w:t>
      </w:r>
      <w:r>
        <w:rPr>
          <w:rStyle w:val="FootnoteReference"/>
        </w:rPr>
        <w:footnoteReference w:id="157"/>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it came to be when humans began to become many on the earth, and daughters were born to them,</w:t>
      </w:r>
    </w:p>
    <w:p>
      <w:r>
        <w:rPr>
          <w:b/>
        </w:rPr>
        <w:t xml:space="preserve">2 </w:t>
      </w:r>
      <w:r>
        <w:t xml:space="preserve">that the sons</w:t>
      </w:r>
      <w:r>
        <w:rPr>
          <w:rStyle w:val="FootnoteReference"/>
        </w:rPr>
        <w:footnoteReference w:id="158"/>
      </w:r>
      <w:r>
        <w:t xml:space="preserve"> of God, seeing the daughters of humans that they are beautiful, took wives for themselves from all whom they chose.</w:t>
      </w:r>
    </w:p>
    <w:p>
      <w:r>
        <w:rPr>
          <w:b/>
        </w:rPr>
        <w:t xml:space="preserve">3 </w:t>
      </w:r>
      <w:r>
        <w:t xml:space="preserve">And the Lord God said, "My spirit shall certainly not remain in these humans forever, because they are flesh, but their days shall be one hundred and twenty years."</w:t>
      </w:r>
    </w:p>
    <w:p>
      <w:r>
        <w:rPr>
          <w:b/>
        </w:rPr>
        <w:t xml:space="preserve">4 </w:t>
      </w:r>
      <w:r>
        <w:t xml:space="preserve">Now giants</w:t>
      </w:r>
      <w:r>
        <w:rPr>
          <w:rStyle w:val="FootnoteReference"/>
        </w:rPr>
        <w:footnoteReference w:id="159"/>
      </w:r>
      <w:r>
        <w:t xml:space="preserve"> were on the earth in those days, and after that, whenever the sons of God were going in to the daughters of humans, they were bearing to them. Those were the giants from of old, the men of renown.</w:t>
      </w:r>
    </w:p>
    <w:p>
      <w:r>
        <w:rPr>
          <w:b/>
        </w:rPr>
        <w:t xml:space="preserve">5 </w:t>
      </w:r>
      <w:r>
        <w:t xml:space="preserve">And the Lord God, seeing that the evils of humans were multiplied on the earth, and that each one was carefully thinking in his heart upon evil things all the days,</w:t>
      </w:r>
    </w:p>
    <w:p>
      <w:r>
        <w:rPr>
          <w:b/>
        </w:rPr>
        <w:t xml:space="preserve">6 </w:t>
      </w:r>
      <w:r>
        <w:t xml:space="preserve">considered that he had made the human on the earth, and he thought it through.</w:t>
      </w:r>
    </w:p>
    <w:p>
      <w:r>
        <w:rPr>
          <w:b/>
        </w:rPr>
        <w:t xml:space="preserve">7 </w:t>
      </w:r>
      <w:r>
        <w:t xml:space="preserve">And God said, "I will wipe away the human whom I made from the face of the earth, from human to cattle and from creeping things to the birds of heaven, because I regret that I made them."</w:t>
      </w:r>
    </w:p>
    <w:p>
      <w:r>
        <w:rPr>
          <w:b/>
        </w:rPr>
        <w:t xml:space="preserve">8 </w:t>
      </w:r>
      <w:r>
        <w:t xml:space="preserve">But Noah found favor before the Lord God.</w:t>
      </w:r>
    </w:p>
    <w:p>
      <w:r>
        <w:rPr>
          <w:b/>
        </w:rPr>
        <w:t xml:space="preserve">9 </w:t>
      </w:r>
      <w:r>
        <w:t xml:space="preserve">Now these are the generations of Noah. Noah was a righteous man, complete in his generation. Noah was well-pleasing to God.</w:t>
      </w:r>
    </w:p>
    <w:p>
      <w:r>
        <w:rPr>
          <w:b/>
        </w:rPr>
        <w:t xml:space="preserve">10 </w:t>
      </w:r>
      <w:r>
        <w:t xml:space="preserve">And Noah begot three sons: Shem</w:t>
      </w:r>
      <w:r>
        <w:rPr>
          <w:rStyle w:val="FootnoteReference"/>
        </w:rPr>
        <w:footnoteReference w:id="160"/>
      </w:r>
      <w:r>
        <w:t xml:space="preserve">, Ham, and Japheth.</w:t>
      </w:r>
    </w:p>
    <w:p>
      <w:r>
        <w:rPr>
          <w:b/>
        </w:rPr>
        <w:t xml:space="preserve">11 </w:t>
      </w:r>
      <w:r>
        <w:t xml:space="preserve">And the earth was corrupted before God, and the earth was filled</w:t>
      </w:r>
      <w:r>
        <w:rPr>
          <w:rStyle w:val="FootnoteReference"/>
        </w:rPr>
        <w:footnoteReference w:id="161"/>
      </w:r>
      <w:r>
        <w:t xml:space="preserve"> with injustice.</w:t>
      </w:r>
    </w:p>
    <w:p>
      <w:r>
        <w:rPr>
          <w:b/>
        </w:rPr>
        <w:t xml:space="preserve">12 </w:t>
      </w:r>
      <w:r>
        <w:t xml:space="preserve">And the Lord God saw the earth, and it was corrupted, because all flesh had corrupted its way on the earth.</w:t>
      </w:r>
    </w:p>
    <w:p>
      <w:r>
        <w:rPr>
          <w:b/>
        </w:rPr>
        <w:t xml:space="preserve">13 </w:t>
      </w:r>
      <w:r>
        <w:t xml:space="preserve">And the Lord God said to Noah, "The end</w:t>
      </w:r>
      <w:r>
        <w:rPr>
          <w:rStyle w:val="FootnoteReference"/>
        </w:rPr>
        <w:footnoteReference w:id="162"/>
      </w:r>
      <w:r>
        <w:t xml:space="preserve"> of every human has come before me, because the earth is filled with injustice from them, and look, I am destroying them and the earth."</w:t>
      </w:r>
    </w:p>
    <w:p>
      <w:r>
        <w:rPr>
          <w:b/>
        </w:rPr>
        <w:t xml:space="preserve">14 </w:t>
      </w:r>
      <w:r>
        <w:t xml:space="preserve">"So make</w:t>
      </w:r>
      <w:r>
        <w:rPr>
          <w:rStyle w:val="FootnoteReference"/>
        </w:rPr>
        <w:footnoteReference w:id="163"/>
      </w:r>
      <w:r>
        <w:t xml:space="preserve"> for yourself an ark from squared timbers. You shall make nesting compartments in the ark, and you shall pitch it inside and outside with pitch."</w:t>
      </w:r>
    </w:p>
    <w:p>
      <w:r>
        <w:rPr>
          <w:b/>
        </w:rPr>
        <w:t xml:space="preserve">15 </w:t>
      </w:r>
      <w:r>
        <w:t xml:space="preserve">And this is how you shall make the ark: the length of the ark three hundred cubits</w:t>
      </w:r>
      <w:r>
        <w:rPr>
          <w:rStyle w:val="FootnoteReference"/>
        </w:rPr>
        <w:footnoteReference w:id="164"/>
      </w:r>
      <w:r>
        <w:t xml:space="preserve">, and the width fifty cubits, and the height thirty cubits.</w:t>
      </w:r>
      <w:r>
        <w:rPr>
          <w:rStyle w:val="FootnoteReference"/>
        </w:rPr>
        <w:footnoteReference w:id="165"/>
      </w:r>
    </w:p>
    <w:p>
      <w:r>
        <w:rPr>
          <w:b/>
        </w:rPr>
        <w:t xml:space="preserve">16 </w:t>
      </w:r>
      <w:r>
        <w:t xml:space="preserve">You shall make the ark converging together, and you shall finish it to one cubit above. And the door</w:t>
      </w:r>
      <w:r>
        <w:rPr>
          <w:rStyle w:val="FootnoteReference"/>
        </w:rPr>
        <w:footnoteReference w:id="166"/>
      </w:r>
      <w:r>
        <w:t xml:space="preserve"> of the ark you shall make from the side. Lower, second, and third stories you shall make it.</w:t>
      </w:r>
    </w:p>
    <w:p>
      <w:r>
        <w:rPr>
          <w:b/>
        </w:rPr>
        <w:t xml:space="preserve">17 </w:t>
      </w:r>
      <w:r>
        <w:t xml:space="preserve">And I, look, am bringing the flood, water upon the earth, to destroy all flesh in which is the</w:t>
      </w:r>
      <w:r>
        <w:rPr>
          <w:rStyle w:val="FootnoteReference"/>
        </w:rPr>
        <w:footnoteReference w:id="167"/>
      </w:r>
      <w:r>
        <w:t xml:space="preserve"> breath of life under heaven. And whatever is on the earth will die.</w:t>
      </w:r>
    </w:p>
    <w:p>
      <w:r>
        <w:rPr>
          <w:b/>
        </w:rPr>
        <w:t xml:space="preserve">18 </w:t>
      </w:r>
      <w:r>
        <w:t xml:space="preserve">And I will establish</w:t>
      </w:r>
      <w:r>
        <w:rPr>
          <w:rStyle w:val="FootnoteReference"/>
        </w:rPr>
        <w:footnoteReference w:id="168"/>
      </w:r>
      <w:r>
        <w:t xml:space="preserve"> my covenant with you, and you shall enter into the ark, you and your sons and your wife and the wives of your sons with you.</w:t>
      </w:r>
    </w:p>
    <w:p>
      <w:r>
        <w:rPr>
          <w:b/>
        </w:rPr>
        <w:t xml:space="preserve">19 </w:t>
      </w:r>
      <w:r>
        <w:t xml:space="preserve">And from all the cattle and from all the creeping things and from all the wild beasts and from all flesh, two by two from all you shall bring into the ark, so that you may feed them with yourself. Male and female they shall be.</w:t>
      </w:r>
    </w:p>
    <w:p>
      <w:r>
        <w:rPr>
          <w:b/>
        </w:rPr>
        <w:t xml:space="preserve">20 </w:t>
      </w:r>
      <w:r>
        <w:t xml:space="preserve">From all the birds, the flying ones according to kind, and from all the cattle according to kind, and from all the creeping things creeping on the earth according to kind, two by two from all shall come in to you, to be fed with you, male and female.</w:t>
      </w:r>
    </w:p>
    <w:p>
      <w:r>
        <w:rPr>
          <w:b/>
        </w:rPr>
        <w:t xml:space="preserve">21 </w:t>
      </w:r>
      <w:r>
        <w:t xml:space="preserve">And you shall take for yourself from all the foods that you eat, and gather it to yourself, and it shall be for you and for them to eat.</w:t>
      </w:r>
    </w:p>
    <w:p>
      <w:r>
        <w:rPr>
          <w:b/>
        </w:rPr>
        <w:t xml:space="preserve">22 </w:t>
      </w:r>
      <w:r>
        <w:t xml:space="preserve">And Noah did all that the Lord God commanded him; thus he did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the Lord God said to Noah, Enter, you and all your house, into the ark, because I have seen you righteous before me in this generation.</w:t>
      </w:r>
    </w:p>
    <w:p>
      <w:r>
        <w:rPr>
          <w:b/>
        </w:rPr>
        <w:t xml:space="preserve">2 </w:t>
      </w:r>
      <w:r>
        <w:t xml:space="preserve">And from the clean cattle bring in to yourself seven by seven, male and female, but from the cattle that are not clean, two by two, male and female,</w:t>
      </w:r>
    </w:p>
    <w:p>
      <w:r>
        <w:rPr>
          <w:b/>
        </w:rPr>
        <w:t xml:space="preserve">3 </w:t>
      </w:r>
      <w:r>
        <w:t xml:space="preserve">and from the clean birds of heaven seven by seven, male and female, and from all the birds not clean, two by two, male and female, to keep seed alive over all the earth.</w:t>
      </w:r>
    </w:p>
    <w:p>
      <w:r>
        <w:rPr>
          <w:b/>
        </w:rPr>
        <w:t xml:space="preserve">4 </w:t>
      </w:r>
      <w:r>
        <w:t xml:space="preserve">For still seven days, and I am bringing rain on the earth forty days</w:t>
      </w:r>
      <w:r>
        <w:rPr>
          <w:rStyle w:val="FootnoteReference"/>
        </w:rPr>
        <w:footnoteReference w:id="169"/>
      </w:r>
      <w:r>
        <w:t xml:space="preserve"> and forty nights, and I will wipe out every rising thing that I made from the face of all the earth.</w:t>
      </w:r>
    </w:p>
    <w:p>
      <w:r>
        <w:rPr>
          <w:b/>
        </w:rPr>
        <w:t xml:space="preserve">5 </w:t>
      </w:r>
      <w:r>
        <w:t xml:space="preserve">And Noah did all that the Lord God commanded him.</w:t>
      </w:r>
    </w:p>
    <w:p>
      <w:r>
        <w:rPr>
          <w:b/>
        </w:rPr>
        <w:t xml:space="preserve">6 </w:t>
      </w:r>
      <w:r>
        <w:t xml:space="preserve">And Noah was six hundred years old, and the flood of water came upon the earth.</w:t>
      </w:r>
    </w:p>
    <w:p>
      <w:r>
        <w:rPr>
          <w:b/>
        </w:rPr>
        <w:t xml:space="preserve">7 </w:t>
      </w:r>
      <w:r>
        <w:t xml:space="preserve">And Noah entered, and his sons and his wife and the wives of his sons with him, into the ark because of the floodwater.</w:t>
      </w:r>
    </w:p>
    <w:p>
      <w:r>
        <w:rPr>
          <w:b/>
        </w:rPr>
        <w:t xml:space="preserve">8 </w:t>
      </w:r>
      <w:r>
        <w:t xml:space="preserve">And from the clean birds and from the birds not clean and from the clean cattle and from the cattle not clean and from all the creeping things on the earth,</w:t>
      </w:r>
    </w:p>
    <w:p>
      <w:r>
        <w:rPr>
          <w:b/>
        </w:rPr>
        <w:t xml:space="preserve">9 </w:t>
      </w:r>
      <w:r>
        <w:t xml:space="preserve">two by two entered to Noah into the ark, male and female, just as God commanded Noah.</w:t>
      </w:r>
    </w:p>
    <w:p>
      <w:r>
        <w:rPr>
          <w:b/>
        </w:rPr>
        <w:t xml:space="preserve">10 </w:t>
      </w:r>
      <w:r>
        <w:t xml:space="preserve">And it came to be after the seven days that the water of the flood came upon the earth.</w:t>
      </w:r>
    </w:p>
    <w:p>
      <w:r>
        <w:rPr>
          <w:b/>
        </w:rPr>
        <w:t xml:space="preserve">11 </w:t>
      </w:r>
      <w:r>
        <w:t xml:space="preserve">In the six-hundredth year in the life of Noah, in the second month, on the twenty-seventh day of the month, on that day all the springs of the abyss burst open, and the floodgates of heaven were opened.</w:t>
      </w:r>
      <w:r>
        <w:rPr>
          <w:rStyle w:val="FootnoteReference"/>
        </w:rPr>
        <w:footnoteReference w:id="170"/>
      </w:r>
    </w:p>
    <w:p>
      <w:r>
        <w:rPr>
          <w:b/>
        </w:rPr>
        <w:t xml:space="preserve">12 </w:t>
      </w:r>
      <w:r>
        <w:t xml:space="preserve">And rain came upon the earth forty</w:t>
      </w:r>
      <w:r>
        <w:rPr>
          <w:rStyle w:val="FootnoteReference"/>
        </w:rPr>
        <w:footnoteReference w:id="171"/>
      </w:r>
      <w:r>
        <w:t xml:space="preserve"> days and forty nights.</w:t>
      </w:r>
    </w:p>
    <w:p>
      <w:r>
        <w:rPr>
          <w:b/>
        </w:rPr>
        <w:t xml:space="preserve">13 </w:t>
      </w:r>
      <w:r>
        <w:t xml:space="preserve">On that day Noah entered, Shem, Ham, Japheth, the sons of Noah, and Noah's wife and the three wives of his sons with him, into the ark,</w:t>
      </w:r>
    </w:p>
    <w:p>
      <w:r>
        <w:rPr>
          <w:b/>
        </w:rPr>
        <w:t xml:space="preserve">14 </w:t>
      </w:r>
      <w:r>
        <w:t xml:space="preserve">and every wild beast according to kind, and all the cattle according to kind, and every creeping thing moving on the earth according to kind, and every bird according to its kind,</w:t>
      </w:r>
    </w:p>
    <w:p>
      <w:r>
        <w:rPr>
          <w:b/>
        </w:rPr>
        <w:t xml:space="preserve">15 </w:t>
      </w:r>
      <w:r>
        <w:t xml:space="preserve">entered to Noah into the ark, two by two, male and female, from all flesh in which is the spirit of life.</w:t>
      </w:r>
    </w:p>
    <w:p>
      <w:r>
        <w:rPr>
          <w:b/>
        </w:rPr>
        <w:t xml:space="preserve">16 </w:t>
      </w:r>
      <w:r>
        <w:t xml:space="preserve">And those entering, male and female from all flesh, entered just as God commanded Noah. And the Lord God shut the ark outside him.</w:t>
      </w:r>
    </w:p>
    <w:p>
      <w:r>
        <w:rPr>
          <w:b/>
        </w:rPr>
        <w:t xml:space="preserve">17 </w:t>
      </w:r>
      <w:r>
        <w:t xml:space="preserve">And the flood came forty days and forty nights upon the earth, and the water multiplied and lifted the ark, and it was raised from the earth.</w:t>
      </w:r>
    </w:p>
    <w:p>
      <w:r>
        <w:rPr>
          <w:b/>
        </w:rPr>
        <w:t xml:space="preserve">18 </w:t>
      </w:r>
      <w:r>
        <w:t xml:space="preserve">And the water prevailed and multiplied greatly upon the earth, and the ark was borne along upon the water.</w:t>
      </w:r>
    </w:p>
    <w:p>
      <w:r>
        <w:rPr>
          <w:b/>
        </w:rPr>
        <w:t xml:space="preserve">19 </w:t>
      </w:r>
      <w:r>
        <w:t xml:space="preserve">And the water prevailed very, very greatly upon the earth and covered all the high mountains that were under heaven.</w:t>
      </w:r>
    </w:p>
    <w:p>
      <w:r>
        <w:rPr>
          <w:b/>
        </w:rPr>
        <w:t xml:space="preserve">20 </w:t>
      </w:r>
      <w:r>
        <w:t xml:space="preserve">Fifteen cubits above, the water rose and covered all the high mountains.</w:t>
      </w:r>
    </w:p>
    <w:p>
      <w:r>
        <w:rPr>
          <w:b/>
        </w:rPr>
        <w:t xml:space="preserve">21 </w:t>
      </w:r>
      <w:r>
        <w:t xml:space="preserve">And all flesh moving on the earth died: birds and cattle and wild beasts and every creeping thing moving on the earth, and every human.</w:t>
      </w:r>
    </w:p>
    <w:p>
      <w:r>
        <w:rPr>
          <w:b/>
        </w:rPr>
        <w:t xml:space="preserve">22 </w:t>
      </w:r>
      <w:r>
        <w:t xml:space="preserve">And everything having breath of life</w:t>
      </w:r>
      <w:r>
        <w:rPr>
          <w:rStyle w:val="FootnoteReference"/>
        </w:rPr>
        <w:footnoteReference w:id="172"/>
      </w:r>
      <w:r>
        <w:t xml:space="preserve">, and everything that was on the dry land, died.</w:t>
      </w:r>
    </w:p>
    <w:p>
      <w:r>
        <w:rPr>
          <w:b/>
        </w:rPr>
        <w:t xml:space="preserve">23 </w:t>
      </w:r>
      <w:r>
        <w:t xml:space="preserve">And he wiped out every rising thing</w:t>
      </w:r>
      <w:r>
        <w:rPr>
          <w:rStyle w:val="FootnoteReference"/>
        </w:rPr>
        <w:footnoteReference w:id="173"/>
      </w:r>
      <w:r>
        <w:t xml:space="preserve"> that was on the face of the earth, from human to cattle and creeping things and birds of heaven, and they were wiped from the earth. And Noah</w:t>
      </w:r>
      <w:r>
        <w:rPr>
          <w:rStyle w:val="FootnoteReference"/>
        </w:rPr>
        <w:footnoteReference w:id="174"/>
      </w:r>
      <w:r>
        <w:t xml:space="preserve"> alone was left, and those with him in the ark.</w:t>
      </w:r>
    </w:p>
    <w:p>
      <w:r>
        <w:rPr>
          <w:b/>
        </w:rPr>
        <w:t xml:space="preserve">24 </w:t>
      </w:r>
      <w:r>
        <w:t xml:space="preserve">And the water was raised over the earth one hundred and fifty days.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God remembered</w:t>
      </w:r>
      <w:r>
        <w:rPr>
          <w:rStyle w:val="FootnoteReference"/>
        </w:rPr>
        <w:footnoteReference w:id="175"/>
      </w:r>
      <w:r>
        <w:t xml:space="preserve"> Noah and all the wild beasts and all the cattle and all the birds and all the creeping things that creep, as many as were with him in the ark, and God brought a wind upon the earth, and the water subsided.</w:t>
      </w:r>
    </w:p>
    <w:p>
      <w:r>
        <w:rPr>
          <w:b/>
        </w:rPr>
        <w:t xml:space="preserve">2 </w:t>
      </w:r>
      <w:r>
        <w:t xml:space="preserve">And the springs of the abyss and the floodgates of heaven were covered over, and the rain</w:t>
      </w:r>
      <w:r>
        <w:rPr>
          <w:rStyle w:val="FootnoteReference"/>
        </w:rPr>
        <w:footnoteReference w:id="176"/>
      </w:r>
      <w:r>
        <w:t xml:space="preserve"> from heaven was held back.</w:t>
      </w:r>
    </w:p>
    <w:p>
      <w:r>
        <w:rPr>
          <w:b/>
        </w:rPr>
        <w:t xml:space="preserve">3 </w:t>
      </w:r>
      <w:r>
        <w:t xml:space="preserve">And the water kept withdrawing, going away from the earth, and the water diminished after one hundred</w:t>
      </w:r>
      <w:r>
        <w:rPr>
          <w:rStyle w:val="FootnoteReference"/>
        </w:rPr>
        <w:footnoteReference w:id="177"/>
      </w:r>
      <w:r>
        <w:t xml:space="preserve"> and fifty days.</w:t>
      </w:r>
    </w:p>
    <w:p>
      <w:r>
        <w:rPr>
          <w:b/>
        </w:rPr>
        <w:t xml:space="preserve">4 </w:t>
      </w:r>
      <w:r>
        <w:t xml:space="preserve">And the ark came to rest</w:t>
      </w:r>
      <w:r>
        <w:rPr>
          <w:rStyle w:val="FootnoteReference"/>
        </w:rPr>
        <w:footnoteReference w:id="178"/>
      </w:r>
      <w:r>
        <w:t xml:space="preserve"> in the seventh month, on the twenty-seventh day of the month, on the mountains of Ararat</w:t>
      </w:r>
      <w:r>
        <w:rPr>
          <w:rStyle w:val="FootnoteReference"/>
        </w:rPr>
        <w:footnoteReference w:id="179"/>
      </w:r>
      <w:r>
        <w:t xml:space="preserve">.</w:t>
      </w:r>
      <w:r>
        <w:rPr>
          <w:rStyle w:val="FootnoteReference"/>
        </w:rPr>
        <w:footnoteReference w:id="180"/>
      </w:r>
    </w:p>
    <w:p>
      <w:r>
        <w:rPr>
          <w:b/>
        </w:rPr>
        <w:t xml:space="preserve">5 </w:t>
      </w:r>
      <w:r>
        <w:t xml:space="preserve">And the water kept diminishing</w:t>
      </w:r>
      <w:r>
        <w:rPr>
          <w:rStyle w:val="FootnoteReference"/>
        </w:rPr>
        <w:footnoteReference w:id="181"/>
      </w:r>
      <w:r>
        <w:t xml:space="preserve"> until the tenth month, and in the tenth month, on the first day of the month, the tops of the mountains appeared.</w:t>
      </w:r>
    </w:p>
    <w:p>
      <w:r>
        <w:rPr>
          <w:b/>
        </w:rPr>
        <w:t xml:space="preserve">6 </w:t>
      </w:r>
      <w:r>
        <w:t xml:space="preserve">And it came to be after forty days that Noah opened the window</w:t>
      </w:r>
      <w:r>
        <w:rPr>
          <w:rStyle w:val="FootnoteReference"/>
        </w:rPr>
        <w:footnoteReference w:id="182"/>
      </w:r>
      <w:r>
        <w:t xml:space="preserve"> of the ark that he made, and he sent out the raven to see whether the water had subsided.</w:t>
      </w:r>
    </w:p>
    <w:p>
      <w:r>
        <w:rPr>
          <w:b/>
        </w:rPr>
        <w:t xml:space="preserve">7 </w:t>
      </w:r>
      <w:r>
        <w:t xml:space="preserve">And having gone out, it did not return until the water dried from the earth.</w:t>
      </w:r>
    </w:p>
    <w:p>
      <w:r>
        <w:rPr>
          <w:b/>
        </w:rPr>
        <w:t xml:space="preserve">8 </w:t>
      </w:r>
      <w:r>
        <w:t xml:space="preserve">And he sent the dove after it, to see whether the water had subsided from the earth.</w:t>
      </w:r>
    </w:p>
    <w:p>
      <w:r>
        <w:rPr>
          <w:b/>
        </w:rPr>
        <w:t xml:space="preserve">9 </w:t>
      </w:r>
      <w:r>
        <w:t xml:space="preserve">And the dove, not finding rest for its feet</w:t>
      </w:r>
      <w:r>
        <w:rPr>
          <w:rStyle w:val="FootnoteReference"/>
        </w:rPr>
        <w:footnoteReference w:id="183"/>
      </w:r>
      <w:r>
        <w:t xml:space="preserve">, returned to him into the ark, because water was on all the face of the earth. And stretching out his hand, he took it and brought it in to himself into the ark.</w:t>
      </w:r>
    </w:p>
    <w:p>
      <w:r>
        <w:rPr>
          <w:b/>
        </w:rPr>
        <w:t xml:space="preserve">10 </w:t>
      </w:r>
      <w:r>
        <w:t xml:space="preserve">And waiting still another seven</w:t>
      </w:r>
      <w:r>
        <w:rPr>
          <w:rStyle w:val="FootnoteReference"/>
        </w:rPr>
        <w:footnoteReference w:id="184"/>
      </w:r>
      <w:r>
        <w:t xml:space="preserve"> days, again he sent out the dove from the ark.</w:t>
      </w:r>
    </w:p>
    <w:p>
      <w:r>
        <w:rPr>
          <w:b/>
        </w:rPr>
        <w:t xml:space="preserve">11 </w:t>
      </w:r>
      <w:r>
        <w:t xml:space="preserve">And toward evening the dove returned to him, and had an olive</w:t>
      </w:r>
      <w:r>
        <w:rPr>
          <w:rStyle w:val="FootnoteReference"/>
        </w:rPr>
        <w:footnoteReference w:id="185"/>
      </w:r>
      <w:r>
        <w:t xml:space="preserve">-leaf fragment in its mouth. And Noah knew that the water had subsided from the earth.</w:t>
      </w:r>
    </w:p>
    <w:p>
      <w:r>
        <w:rPr>
          <w:b/>
        </w:rPr>
        <w:t xml:space="preserve">12 </w:t>
      </w:r>
      <w:r>
        <w:t xml:space="preserve">And waiting still another seven</w:t>
      </w:r>
      <w:r>
        <w:rPr>
          <w:rStyle w:val="FootnoteReference"/>
        </w:rPr>
        <w:footnoteReference w:id="186"/>
      </w:r>
      <w:r>
        <w:t xml:space="preserve"> days, again he sent out the dove, and it did not add to return to him any longer.</w:t>
      </w:r>
    </w:p>
    <w:p>
      <w:r>
        <w:rPr>
          <w:b/>
        </w:rPr>
        <w:t xml:space="preserve">13 </w:t>
      </w:r>
      <w:r>
        <w:t xml:space="preserve">And it came to be in the six-hundred-and-first year in the life of Noah, in the first month, on the first of the month, the water failed from the earth. And Noah uncovered the roof of the ark that he made and saw that the water had failed from the face of the earth.</w:t>
      </w:r>
      <w:r>
        <w:rPr>
          <w:rStyle w:val="FootnoteReference"/>
        </w:rPr>
        <w:footnoteReference w:id="187"/>
      </w:r>
    </w:p>
    <w:p>
      <w:r>
        <w:rPr>
          <w:b/>
        </w:rPr>
        <w:t xml:space="preserve">14 </w:t>
      </w:r>
      <w:r>
        <w:t xml:space="preserve">And in the second month, on the twenty-seventh day of the month, the earth dried.</w:t>
      </w:r>
    </w:p>
    <w:p>
      <w:r>
        <w:rPr>
          <w:b/>
        </w:rPr>
        <w:t xml:space="preserve">15 </w:t>
      </w:r>
      <w:r>
        <w:t xml:space="preserve">And the Lord God said to Noah, saying,</w:t>
      </w:r>
    </w:p>
    <w:p>
      <w:r>
        <w:rPr>
          <w:b/>
        </w:rPr>
        <w:t xml:space="preserve">16 </w:t>
      </w:r>
      <w:r>
        <w:t xml:space="preserve">Come out from the ark, you and your wife and your sons and the wives of your sons with you,</w:t>
      </w:r>
    </w:p>
    <w:p>
      <w:r>
        <w:rPr>
          <w:b/>
        </w:rPr>
        <w:t xml:space="preserve">17 </w:t>
      </w:r>
      <w:r>
        <w:t xml:space="preserve">and all the wild beasts</w:t>
      </w:r>
      <w:r>
        <w:rPr>
          <w:rStyle w:val="FootnoteReference"/>
        </w:rPr>
        <w:footnoteReference w:id="188"/>
      </w:r>
      <w:r>
        <w:t xml:space="preserve"> that are with you, and all flesh from birds to cattle, and every creeping thing moving on the earth, bring</w:t>
      </w:r>
      <w:r>
        <w:rPr>
          <w:rStyle w:val="FootnoteReference"/>
        </w:rPr>
        <w:footnoteReference w:id="189"/>
      </w:r>
      <w:r>
        <w:t xml:space="preserve"> out with yourself. And increase and multiply upon the earth.</w:t>
      </w:r>
    </w:p>
    <w:p>
      <w:r>
        <w:rPr>
          <w:b/>
        </w:rPr>
        <w:t xml:space="preserve">18 </w:t>
      </w:r>
      <w:r>
        <w:t xml:space="preserve">And Noah came out, and his wife and his sons and the wives of his sons with him.</w:t>
      </w:r>
    </w:p>
    <w:p>
      <w:r>
        <w:rPr>
          <w:b/>
        </w:rPr>
        <w:t xml:space="preserve">19 </w:t>
      </w:r>
      <w:r>
        <w:t xml:space="preserve">And every wild beast and every cattle and every bird and every creeping thing moving on the earth according to their kind came out from the ark.</w:t>
      </w:r>
    </w:p>
    <w:p>
      <w:r>
        <w:rPr>
          <w:b/>
        </w:rPr>
        <w:t xml:space="preserve">20 </w:t>
      </w:r>
      <w:r>
        <w:t xml:space="preserve">And Noah built an altar to the Lord, and took from all the clean cattle and from all the clean birds and offered up whole-burnt</w:t>
      </w:r>
      <w:r>
        <w:rPr>
          <w:rStyle w:val="FootnoteReference"/>
        </w:rPr>
        <w:footnoteReference w:id="190"/>
      </w:r>
      <w:r>
        <w:t xml:space="preserve"> offerings on the altar.</w:t>
      </w:r>
    </w:p>
    <w:p>
      <w:r>
        <w:rPr>
          <w:b/>
        </w:rPr>
        <w:t xml:space="preserve">21 </w:t>
      </w:r>
      <w:r>
        <w:t xml:space="preserve">And the Lord God smelled</w:t>
      </w:r>
      <w:r>
        <w:rPr>
          <w:rStyle w:val="FootnoteReference"/>
        </w:rPr>
        <w:footnoteReference w:id="191"/>
      </w:r>
      <w:r>
        <w:t xml:space="preserve"> an aroma of sweet fragrance, and the Lord God said, having considered, Let me not continue any longer to curse the earth because of the works of humans, because the mind of the human lies carefully upon evil things</w:t>
      </w:r>
      <w:r>
        <w:rPr>
          <w:rStyle w:val="FootnoteReference"/>
        </w:rPr>
        <w:footnoteReference w:id="192"/>
      </w:r>
      <w:r>
        <w:t xml:space="preserve"> from his youth. Therefore I will not continue any longer to strike all living flesh, as I have done.</w:t>
      </w:r>
    </w:p>
    <w:p>
      <w:r>
        <w:rPr>
          <w:b/>
        </w:rPr>
        <w:t xml:space="preserve">22 </w:t>
      </w:r>
      <w:r>
        <w:t xml:space="preserve">All the days of the earth, seed and harvest, cold and heat, summer and spring, day and night shall not cease.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God blessed</w:t>
      </w:r>
      <w:r>
        <w:rPr>
          <w:rStyle w:val="FootnoteReference"/>
        </w:rPr>
        <w:footnoteReference w:id="193"/>
      </w:r>
      <w:r>
        <w:t xml:space="preserve"> Noah and his sons and said to them, Increase and multiply and fill the earth and rule over it.</w:t>
      </w:r>
    </w:p>
    <w:p>
      <w:r>
        <w:rPr>
          <w:b/>
        </w:rPr>
        <w:t xml:space="preserve">2 </w:t>
      </w:r>
      <w:r>
        <w:t xml:space="preserve">And your dread and your fear shall be upon all the wild beasts of the earth, upon all the birds of heaven and upon all the moving things on the earth and upon all the fish of the sea. Into your hands I have given them.</w:t>
      </w:r>
      <w:r>
        <w:rPr>
          <w:rStyle w:val="FootnoteReference"/>
        </w:rPr>
        <w:footnoteReference w:id="194"/>
      </w:r>
    </w:p>
    <w:p>
      <w:r>
        <w:rPr>
          <w:b/>
        </w:rPr>
        <w:t xml:space="preserve">3 </w:t>
      </w:r>
      <w:r>
        <w:t xml:space="preserve">And every creeping thing that is living shall be for you as food. As green herbs I have given you all things</w:t>
      </w:r>
      <w:r>
        <w:rPr>
          <w:rStyle w:val="FootnoteReference"/>
        </w:rPr>
        <w:footnoteReference w:id="195"/>
      </w:r>
      <w:r>
        <w:t xml:space="preserve">.</w:t>
      </w:r>
    </w:p>
    <w:p>
      <w:r>
        <w:rPr>
          <w:b/>
        </w:rPr>
        <w:t xml:space="preserve">4 </w:t>
      </w:r>
      <w:r>
        <w:t xml:space="preserve">Only flesh with the blood of life in it you shall not eat.</w:t>
      </w:r>
    </w:p>
    <w:p>
      <w:r>
        <w:rPr>
          <w:b/>
        </w:rPr>
        <w:t xml:space="preserve">5 </w:t>
      </w:r>
      <w:r>
        <w:t xml:space="preserve">And indeed your blood of your lives I will seek out from the hand of all the wild beasts, and from the hand of a human, from the hand of a brother</w:t>
      </w:r>
      <w:r>
        <w:rPr>
          <w:rStyle w:val="FootnoteReference"/>
        </w:rPr>
        <w:footnoteReference w:id="196"/>
      </w:r>
      <w:r>
        <w:t xml:space="preserve">, I will seek out the life of the human.</w:t>
      </w:r>
    </w:p>
    <w:p>
      <w:r>
        <w:rPr>
          <w:b/>
        </w:rPr>
        <w:t xml:space="preserve">6 </w:t>
      </w:r>
      <w:r>
        <w:t xml:space="preserve">The one pouring out human blood, in return for that blood his own shall be poured out, because in the image of God I made the human.</w:t>
      </w:r>
    </w:p>
    <w:p>
      <w:r>
        <w:rPr>
          <w:b/>
        </w:rPr>
        <w:t xml:space="preserve">7 </w:t>
      </w:r>
      <w:r>
        <w:t xml:space="preserve">But you, increase and multiply and fill the earth and rule over it.</w:t>
      </w:r>
    </w:p>
    <w:p>
      <w:r>
        <w:rPr>
          <w:b/>
        </w:rPr>
        <w:t xml:space="preserve">8 </w:t>
      </w:r>
      <w:r>
        <w:t xml:space="preserve">And God said to Noah and to his sons with him, saying,</w:t>
      </w:r>
    </w:p>
    <w:p>
      <w:r>
        <w:rPr>
          <w:b/>
        </w:rPr>
        <w:t xml:space="preserve">9 </w:t>
      </w:r>
      <w:r>
        <w:t xml:space="preserve">And look, I am establishing my covenant with you and with your seed after you,</w:t>
      </w:r>
    </w:p>
    <w:p>
      <w:r>
        <w:rPr>
          <w:b/>
        </w:rPr>
        <w:t xml:space="preserve">10 </w:t>
      </w:r>
      <w:r>
        <w:t xml:space="preserve">and with every living life with you, from birds and from cattle and with all the wild beasts of the earth, as many as are with you, from all that came out of the ark.</w:t>
      </w:r>
    </w:p>
    <w:p>
      <w:r>
        <w:rPr>
          <w:b/>
        </w:rPr>
        <w:t xml:space="preserve">11 </w:t>
      </w:r>
      <w:r>
        <w:t xml:space="preserve">And I will establish my covenant with you, and all flesh shall not die any longer from the water of the flood, and there shall no longer be a flood of water to destroy all the earth.</w:t>
      </w:r>
    </w:p>
    <w:p>
      <w:r>
        <w:rPr>
          <w:b/>
        </w:rPr>
        <w:t xml:space="preserve">12 </w:t>
      </w:r>
      <w:r>
        <w:t xml:space="preserve">And the Lord God said to Noah, This is the sign of the covenant that I give between me and you and between every living life that is with you for everlasting generations:</w:t>
      </w:r>
    </w:p>
    <w:p>
      <w:r>
        <w:rPr>
          <w:b/>
        </w:rPr>
        <w:t xml:space="preserve">13 </w:t>
      </w:r>
      <w:r>
        <w:t xml:space="preserve">I place my bow in the cloud, and it shall be for a sign of covenant between me and the earth.</w:t>
      </w:r>
    </w:p>
    <w:p>
      <w:r>
        <w:rPr>
          <w:b/>
        </w:rPr>
        <w:t xml:space="preserve">14 </w:t>
      </w:r>
      <w:r>
        <w:t xml:space="preserve">And it shall be, when I cloud the earth with clouds, my bow shall be seen in the cloud,</w:t>
      </w:r>
    </w:p>
    <w:p>
      <w:r>
        <w:rPr>
          <w:b/>
        </w:rPr>
        <w:t xml:space="preserve">15 </w:t>
      </w:r>
      <w:r>
        <w:t xml:space="preserve">and I will remember</w:t>
      </w:r>
      <w:r>
        <w:rPr>
          <w:rStyle w:val="FootnoteReference"/>
        </w:rPr>
        <w:footnoteReference w:id="197"/>
      </w:r>
      <w:r>
        <w:t xml:space="preserve"> my covenant that is between me and you and between every living life in all flesh, and the water shall no longer become a flood so as to wipe out all flesh.</w:t>
      </w:r>
    </w:p>
    <w:p>
      <w:r>
        <w:rPr>
          <w:b/>
        </w:rPr>
        <w:t xml:space="preserve">16 </w:t>
      </w:r>
      <w:r>
        <w:t xml:space="preserve">And my bow shall be in the cloud, and I will see it to remember the everlasting</w:t>
      </w:r>
      <w:r>
        <w:rPr>
          <w:rStyle w:val="FootnoteReference"/>
        </w:rPr>
        <w:footnoteReference w:id="198"/>
      </w:r>
      <w:r>
        <w:t xml:space="preserve"> covenant between me and the earth and between living life in all flesh that is on the earth.</w:t>
      </w:r>
    </w:p>
    <w:p>
      <w:r>
        <w:rPr>
          <w:b/>
        </w:rPr>
        <w:t xml:space="preserve">17 </w:t>
      </w:r>
      <w:r>
        <w:t xml:space="preserve">And God said to Noah, This is the sign of the covenant that I established between me and all flesh that is on the earth.</w:t>
      </w:r>
    </w:p>
    <w:p>
      <w:r>
        <w:rPr>
          <w:b/>
        </w:rPr>
        <w:t xml:space="preserve">18 </w:t>
      </w:r>
      <w:r>
        <w:t xml:space="preserve">And the sons of Noah who came out of the ark were Shem</w:t>
      </w:r>
      <w:r>
        <w:rPr>
          <w:rStyle w:val="FootnoteReference"/>
        </w:rPr>
        <w:footnoteReference w:id="199"/>
      </w:r>
      <w:r>
        <w:t xml:space="preserve">, Ham, Japheth. Now Ham was the father of Canaan</w:t>
      </w:r>
      <w:r>
        <w:rPr>
          <w:rStyle w:val="FootnoteReference"/>
        </w:rPr>
        <w:footnoteReference w:id="200"/>
      </w:r>
      <w:r>
        <w:t xml:space="preserve">.</w:t>
      </w:r>
    </w:p>
    <w:p>
      <w:r>
        <w:rPr>
          <w:b/>
        </w:rPr>
        <w:t xml:space="preserve">19 </w:t>
      </w:r>
      <w:r>
        <w:t xml:space="preserve">These three are sons of Noah. From these the whole earth was scattered abroad.</w:t>
      </w:r>
    </w:p>
    <w:p>
      <w:r>
        <w:rPr>
          <w:b/>
        </w:rPr>
        <w:t xml:space="preserve">20 </w:t>
      </w:r>
      <w:r>
        <w:t xml:space="preserve">And Noah, a man, began to be a farmer of the earth and planted</w:t>
      </w:r>
      <w:r>
        <w:rPr>
          <w:rStyle w:val="FootnoteReference"/>
        </w:rPr>
        <w:footnoteReference w:id="201"/>
      </w:r>
      <w:r>
        <w:t xml:space="preserve"> a vineyard.</w:t>
      </w:r>
    </w:p>
    <w:p>
      <w:r>
        <w:rPr>
          <w:b/>
        </w:rPr>
        <w:t xml:space="preserve">21 </w:t>
      </w:r>
      <w:r>
        <w:t xml:space="preserve">And he drank from the wine and became drunk and was stripped naked in his house.</w:t>
      </w:r>
    </w:p>
    <w:p>
      <w:r>
        <w:rPr>
          <w:b/>
        </w:rPr>
        <w:t xml:space="preserve">22 </w:t>
      </w:r>
      <w:r>
        <w:t xml:space="preserve">And Ham, the father of Canaan, saw the nakedness of his father, and going out announced it to his two brothers outside.</w:t>
      </w:r>
    </w:p>
    <w:p>
      <w:r>
        <w:rPr>
          <w:b/>
        </w:rPr>
        <w:t xml:space="preserve">23 </w:t>
      </w:r>
      <w:r>
        <w:t xml:space="preserve">And taking the garment, Shem and Japheth placed it on their two backs</w:t>
      </w:r>
      <w:r>
        <w:rPr>
          <w:rStyle w:val="FootnoteReference"/>
        </w:rPr>
        <w:footnoteReference w:id="202"/>
      </w:r>
      <w:r>
        <w:t xml:space="preserve"> and walked backward and covered the nakedness of their father. And their face was backward, and they did not see the nakedness of their father.</w:t>
      </w:r>
    </w:p>
    <w:p>
      <w:r>
        <w:rPr>
          <w:b/>
        </w:rPr>
        <w:t xml:space="preserve">24 </w:t>
      </w:r>
      <w:r>
        <w:t xml:space="preserve">And Noah sobered up from the wine and knew what his younger son did to him,</w:t>
      </w:r>
    </w:p>
    <w:p>
      <w:r>
        <w:rPr>
          <w:b/>
        </w:rPr>
        <w:t xml:space="preserve">25 </w:t>
      </w:r>
      <w:r>
        <w:t xml:space="preserve">and said, Cursed</w:t>
      </w:r>
      <w:r>
        <w:rPr>
          <w:rStyle w:val="FootnoteReference"/>
        </w:rPr>
        <w:footnoteReference w:id="203"/>
      </w:r>
      <w:r>
        <w:t xml:space="preserve"> be Canaan. A house-servant slave shall he be to his brothers.</w:t>
      </w:r>
    </w:p>
    <w:p>
      <w:r>
        <w:rPr>
          <w:b/>
        </w:rPr>
        <w:t xml:space="preserve">26 </w:t>
      </w:r>
      <w:r>
        <w:t xml:space="preserve">And he said, Blessed</w:t>
      </w:r>
      <w:r>
        <w:rPr>
          <w:rStyle w:val="FootnoteReference"/>
        </w:rPr>
        <w:footnoteReference w:id="204"/>
      </w:r>
      <w:r>
        <w:t xml:space="preserve"> be the Lord God of Shem, and Canaan shall be his house-servant slave.</w:t>
      </w:r>
    </w:p>
    <w:p>
      <w:r>
        <w:rPr>
          <w:b/>
        </w:rPr>
        <w:t xml:space="preserve">27 </w:t>
      </w:r>
      <w:r>
        <w:t xml:space="preserve">May God widen Japheth, and let him dwell</w:t>
      </w:r>
      <w:r>
        <w:rPr>
          <w:rStyle w:val="FootnoteReference"/>
        </w:rPr>
        <w:footnoteReference w:id="205"/>
      </w:r>
      <w:r>
        <w:t xml:space="preserve"> in the houses of Shem, and let Canaan become his servant.</w:t>
      </w:r>
    </w:p>
    <w:p>
      <w:r>
        <w:rPr>
          <w:b/>
        </w:rPr>
        <w:t xml:space="preserve">28 </w:t>
      </w:r>
      <w:r>
        <w:t xml:space="preserve">And Noah lived after the flood three hundred and fifty years</w:t>
      </w:r>
      <w:r>
        <w:rPr>
          <w:rStyle w:val="FootnoteReference"/>
        </w:rPr>
        <w:footnoteReference w:id="206"/>
      </w:r>
      <w:r>
        <w:t xml:space="preserve">.</w:t>
      </w:r>
    </w:p>
    <w:p>
      <w:r>
        <w:rPr>
          <w:b/>
        </w:rPr>
        <w:t xml:space="preserve">29 </w:t>
      </w:r>
      <w:r>
        <w:t xml:space="preserve">And all the days of Noah were nine</w:t>
      </w:r>
      <w:r>
        <w:rPr>
          <w:rStyle w:val="FootnoteReference"/>
        </w:rPr>
        <w:footnoteReference w:id="207"/>
      </w:r>
      <w:r>
        <w:t xml:space="preserve"> hundred and fifty years, and he died.</w:t>
      </w:r>
      <w:r>
        <w:rPr>
          <w:rStyle w:val="FootnoteReference"/>
        </w:rPr>
        <w:footnoteReference w:id="208"/>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Now these are the</w:t>
      </w:r>
      <w:r>
        <w:rPr>
          <w:rStyle w:val="FootnoteReference"/>
        </w:rPr>
        <w:footnoteReference w:id="209"/>
      </w:r>
      <w:r>
        <w:t xml:space="preserve"> generations of the sons of Noah: Shem, Ham, Japheth. And sons were born to them after the flood.</w:t>
      </w:r>
    </w:p>
    <w:p>
      <w:r>
        <w:rPr>
          <w:b/>
        </w:rPr>
        <w:t xml:space="preserve">2 </w:t>
      </w:r>
      <w:r>
        <w:t xml:space="preserve">Sons of Japheth: Gomer</w:t>
      </w:r>
      <w:r>
        <w:rPr>
          <w:rStyle w:val="FootnoteReference"/>
        </w:rPr>
        <w:footnoteReference w:id="210"/>
      </w:r>
      <w:r>
        <w:t xml:space="preserve"> and Magog</w:t>
      </w:r>
      <w:r>
        <w:rPr>
          <w:rStyle w:val="FootnoteReference"/>
        </w:rPr>
        <w:footnoteReference w:id="211"/>
      </w:r>
      <w:r>
        <w:t xml:space="preserve"> and Madai</w:t>
      </w:r>
      <w:r>
        <w:rPr>
          <w:rStyle w:val="FootnoteReference"/>
        </w:rPr>
        <w:footnoteReference w:id="212"/>
      </w:r>
      <w:r>
        <w:t xml:space="preserve"> and Javan</w:t>
      </w:r>
      <w:r>
        <w:rPr>
          <w:rStyle w:val="FootnoteReference"/>
        </w:rPr>
        <w:footnoteReference w:id="213"/>
      </w:r>
      <w:r>
        <w:t xml:space="preserve"> and Elishah</w:t>
      </w:r>
      <w:r>
        <w:rPr>
          <w:rStyle w:val="FootnoteReference"/>
        </w:rPr>
        <w:footnoteReference w:id="214"/>
      </w:r>
      <w:r>
        <w:t xml:space="preserve"> and Tubal and Meshech</w:t>
      </w:r>
      <w:r>
        <w:rPr>
          <w:rStyle w:val="FootnoteReference"/>
        </w:rPr>
        <w:footnoteReference w:id="215"/>
      </w:r>
      <w:r>
        <w:t xml:space="preserve"> and Tiras</w:t>
      </w:r>
      <w:r>
        <w:rPr>
          <w:rStyle w:val="FootnoteReference"/>
        </w:rPr>
        <w:footnoteReference w:id="216"/>
      </w:r>
      <w:r>
        <w:t xml:space="preserve">.</w:t>
      </w:r>
    </w:p>
    <w:p>
      <w:r>
        <w:rPr>
          <w:b/>
        </w:rPr>
        <w:t xml:space="preserve">3 </w:t>
      </w:r>
      <w:r>
        <w:t xml:space="preserve">And sons of Gomer: Ashkenaz</w:t>
      </w:r>
      <w:r>
        <w:rPr>
          <w:rStyle w:val="FootnoteReference"/>
        </w:rPr>
        <w:footnoteReference w:id="217"/>
      </w:r>
      <w:r>
        <w:t xml:space="preserve"> and Riphath</w:t>
      </w:r>
      <w:r>
        <w:rPr>
          <w:rStyle w:val="FootnoteReference"/>
        </w:rPr>
        <w:footnoteReference w:id="218"/>
      </w:r>
      <w:r>
        <w:t xml:space="preserve"> and Togarmah</w:t>
      </w:r>
      <w:r>
        <w:rPr>
          <w:rStyle w:val="FootnoteReference"/>
        </w:rPr>
        <w:footnoteReference w:id="219"/>
      </w:r>
      <w:r>
        <w:t xml:space="preserve">.</w:t>
      </w:r>
    </w:p>
    <w:p>
      <w:r>
        <w:rPr>
          <w:b/>
        </w:rPr>
        <w:t xml:space="preserve">4 </w:t>
      </w:r>
      <w:r>
        <w:t xml:space="preserve">And sons of Javan: Elishah and Tarshish</w:t>
      </w:r>
      <w:r>
        <w:rPr>
          <w:rStyle w:val="FootnoteReference"/>
        </w:rPr>
        <w:footnoteReference w:id="220"/>
      </w:r>
      <w:r>
        <w:t xml:space="preserve">, Kittim</w:t>
      </w:r>
      <w:r>
        <w:rPr>
          <w:rStyle w:val="FootnoteReference"/>
        </w:rPr>
        <w:footnoteReference w:id="221"/>
      </w:r>
      <w:r>
        <w:t xml:space="preserve">, Dodanim</w:t>
      </w:r>
      <w:r>
        <w:rPr>
          <w:rStyle w:val="FootnoteReference"/>
        </w:rPr>
        <w:footnoteReference w:id="222"/>
      </w:r>
      <w:r>
        <w:t xml:space="preserve">.</w:t>
      </w:r>
      <w:r>
        <w:rPr>
          <w:rStyle w:val="FootnoteReference"/>
        </w:rPr>
        <w:footnoteReference w:id="223"/>
      </w:r>
    </w:p>
    <w:p>
      <w:r>
        <w:rPr>
          <w:b/>
        </w:rPr>
        <w:t xml:space="preserve">5 </w:t>
      </w:r>
      <w:r>
        <w:t xml:space="preserve">From these the islands of the nations were marked off in their land, each according to tongue, in their tribes and in their nations.</w:t>
      </w:r>
    </w:p>
    <w:p>
      <w:r>
        <w:rPr>
          <w:b/>
        </w:rPr>
        <w:t xml:space="preserve">6 </w:t>
      </w:r>
      <w:r>
        <w:t xml:space="preserve">And sons of Ham: Cush</w:t>
      </w:r>
      <w:r>
        <w:rPr>
          <w:rStyle w:val="FootnoteReference"/>
        </w:rPr>
        <w:footnoteReference w:id="224"/>
      </w:r>
      <w:r>
        <w:t xml:space="preserve"> and Mizraim</w:t>
      </w:r>
      <w:r>
        <w:rPr>
          <w:rStyle w:val="FootnoteReference"/>
        </w:rPr>
        <w:footnoteReference w:id="225"/>
      </w:r>
      <w:r>
        <w:t xml:space="preserve">, Phut and Canaan.</w:t>
      </w:r>
      <w:r>
        <w:rPr>
          <w:rStyle w:val="FootnoteReference"/>
        </w:rPr>
        <w:footnoteReference w:id="226"/>
      </w:r>
    </w:p>
    <w:p>
      <w:r>
        <w:rPr>
          <w:b/>
        </w:rPr>
        <w:t xml:space="preserve">7 </w:t>
      </w:r>
      <w:r>
        <w:t xml:space="preserve">And sons of Cush: Sheba</w:t>
      </w:r>
      <w:r>
        <w:rPr>
          <w:rStyle w:val="FootnoteReference"/>
        </w:rPr>
        <w:footnoteReference w:id="227"/>
      </w:r>
      <w:r>
        <w:t xml:space="preserve"> and Havilah</w:t>
      </w:r>
      <w:r>
        <w:rPr>
          <w:rStyle w:val="FootnoteReference"/>
        </w:rPr>
        <w:footnoteReference w:id="228"/>
      </w:r>
      <w:r>
        <w:t xml:space="preserve"> and Sabtah</w:t>
      </w:r>
      <w:r>
        <w:rPr>
          <w:rStyle w:val="FootnoteReference"/>
        </w:rPr>
        <w:footnoteReference w:id="229"/>
      </w:r>
      <w:r>
        <w:t xml:space="preserve"> and Raamah</w:t>
      </w:r>
      <w:r>
        <w:rPr>
          <w:rStyle w:val="FootnoteReference"/>
        </w:rPr>
        <w:footnoteReference w:id="230"/>
      </w:r>
      <w:r>
        <w:t xml:space="preserve"> and Sabtechah</w:t>
      </w:r>
      <w:r>
        <w:rPr>
          <w:rStyle w:val="FootnoteReference"/>
        </w:rPr>
        <w:footnoteReference w:id="231"/>
      </w:r>
      <w:r>
        <w:t xml:space="preserve">. And sons of Raamah: Sheba and Dedan</w:t>
      </w:r>
      <w:r>
        <w:rPr>
          <w:rStyle w:val="FootnoteReference"/>
        </w:rPr>
        <w:footnoteReference w:id="232"/>
      </w:r>
      <w:r>
        <w:t xml:space="preserve">.</w:t>
      </w:r>
    </w:p>
    <w:p>
      <w:r>
        <w:rPr>
          <w:b/>
        </w:rPr>
        <w:t xml:space="preserve">8 </w:t>
      </w:r>
      <w:r>
        <w:t xml:space="preserve">And Cush begot Nimrod</w:t>
      </w:r>
      <w:r>
        <w:rPr>
          <w:rStyle w:val="FootnoteReference"/>
        </w:rPr>
        <w:footnoteReference w:id="233"/>
      </w:r>
      <w:r>
        <w:t xml:space="preserve">. He began to be a giant upon the earth.</w:t>
      </w:r>
      <w:r>
        <w:rPr>
          <w:rStyle w:val="FootnoteReference"/>
        </w:rPr>
        <w:footnoteReference w:id="234"/>
      </w:r>
    </w:p>
    <w:p>
      <w:r>
        <w:rPr>
          <w:b/>
        </w:rPr>
        <w:t xml:space="preserve">9 </w:t>
      </w:r>
      <w:r>
        <w:t xml:space="preserve">He was a giant hunter before the Lord</w:t>
      </w:r>
      <w:r>
        <w:rPr>
          <w:rStyle w:val="FootnoteReference"/>
        </w:rPr>
        <w:footnoteReference w:id="235"/>
      </w:r>
      <w:r>
        <w:t xml:space="preserve"> God. Therefore they will say, Like Nimrod, a giant hunter before the Lord.</w:t>
      </w:r>
    </w:p>
    <w:p>
      <w:r>
        <w:rPr>
          <w:b/>
        </w:rPr>
        <w:t xml:space="preserve">10 </w:t>
      </w:r>
      <w:r>
        <w:t xml:space="preserve">And the beginning of his kingdom came to be Babylon</w:t>
      </w:r>
      <w:r>
        <w:rPr>
          <w:rStyle w:val="FootnoteReference"/>
        </w:rPr>
        <w:footnoteReference w:id="236"/>
      </w:r>
      <w:r>
        <w:t xml:space="preserve"> and Erech</w:t>
      </w:r>
      <w:r>
        <w:rPr>
          <w:rStyle w:val="FootnoteReference"/>
        </w:rPr>
        <w:footnoteReference w:id="237"/>
      </w:r>
      <w:r>
        <w:t xml:space="preserve"> and Accad</w:t>
      </w:r>
      <w:r>
        <w:rPr>
          <w:rStyle w:val="FootnoteReference"/>
        </w:rPr>
        <w:footnoteReference w:id="238"/>
      </w:r>
      <w:r>
        <w:t xml:space="preserve"> and Calneh</w:t>
      </w:r>
      <w:r>
        <w:rPr>
          <w:rStyle w:val="FootnoteReference"/>
        </w:rPr>
        <w:footnoteReference w:id="239"/>
      </w:r>
      <w:r>
        <w:t xml:space="preserve"> in the land of Shinar</w:t>
      </w:r>
      <w:r>
        <w:rPr>
          <w:rStyle w:val="FootnoteReference"/>
        </w:rPr>
        <w:footnoteReference w:id="240"/>
      </w:r>
      <w:r>
        <w:t xml:space="preserve">.</w:t>
      </w:r>
      <w:r>
        <w:rPr>
          <w:rStyle w:val="FootnoteReference"/>
        </w:rPr>
        <w:footnoteReference w:id="241"/>
      </w:r>
    </w:p>
    <w:p>
      <w:r>
        <w:rPr>
          <w:b/>
        </w:rPr>
        <w:t xml:space="preserve">11 </w:t>
      </w:r>
      <w:r>
        <w:t xml:space="preserve">From that land Asshur</w:t>
      </w:r>
      <w:r>
        <w:rPr>
          <w:rStyle w:val="FootnoteReference"/>
        </w:rPr>
        <w:footnoteReference w:id="242"/>
      </w:r>
      <w:r>
        <w:t xml:space="preserve"> went out and built Nineveh</w:t>
      </w:r>
      <w:r>
        <w:rPr>
          <w:rStyle w:val="FootnoteReference"/>
        </w:rPr>
        <w:footnoteReference w:id="243"/>
      </w:r>
      <w:r>
        <w:t xml:space="preserve"> and the city Rehoboth</w:t>
      </w:r>
      <w:r>
        <w:rPr>
          <w:rStyle w:val="FootnoteReference"/>
        </w:rPr>
        <w:footnoteReference w:id="244"/>
      </w:r>
      <w:r>
        <w:t xml:space="preserve"> and Calah</w:t>
      </w:r>
      <w:r>
        <w:rPr>
          <w:rStyle w:val="FootnoteReference"/>
        </w:rPr>
        <w:footnoteReference w:id="245"/>
      </w:r>
      <w:r>
        <w:t xml:space="preserve">,</w:t>
      </w:r>
      <w:r>
        <w:rPr>
          <w:rStyle w:val="FootnoteReference"/>
        </w:rPr>
        <w:footnoteReference w:id="246"/>
      </w:r>
    </w:p>
    <w:p>
      <w:r>
        <w:rPr>
          <w:b/>
        </w:rPr>
        <w:t xml:space="preserve">12 </w:t>
      </w:r>
      <w:r>
        <w:t xml:space="preserve">and Resen</w:t>
      </w:r>
      <w:r>
        <w:rPr>
          <w:rStyle w:val="FootnoteReference"/>
        </w:rPr>
        <w:footnoteReference w:id="247"/>
      </w:r>
      <w:r>
        <w:t xml:space="preserve"> between Nineveh and Calah. This is the great city.</w:t>
      </w:r>
    </w:p>
    <w:p>
      <w:r>
        <w:rPr>
          <w:b/>
        </w:rPr>
        <w:t xml:space="preserve">13 </w:t>
      </w:r>
      <w:r>
        <w:t xml:space="preserve">And Mizraim begot the Ludim</w:t>
      </w:r>
      <w:r>
        <w:rPr>
          <w:rStyle w:val="FootnoteReference"/>
        </w:rPr>
        <w:footnoteReference w:id="248"/>
      </w:r>
      <w:r>
        <w:t xml:space="preserve"> and the Anamim</w:t>
      </w:r>
      <w:r>
        <w:rPr>
          <w:rStyle w:val="FootnoteReference"/>
        </w:rPr>
        <w:footnoteReference w:id="249"/>
      </w:r>
      <w:r>
        <w:t xml:space="preserve"> and the Lehabim</w:t>
      </w:r>
      <w:r>
        <w:rPr>
          <w:rStyle w:val="FootnoteReference"/>
        </w:rPr>
        <w:footnoteReference w:id="250"/>
      </w:r>
      <w:r>
        <w:t xml:space="preserve"> and the Naphtuhim</w:t>
      </w:r>
      <w:r>
        <w:rPr>
          <w:rStyle w:val="FootnoteReference"/>
        </w:rPr>
        <w:footnoteReference w:id="251"/>
      </w:r>
      <w:r>
        <w:t xml:space="preserve"> and the Pathrusim</w:t>
      </w:r>
      <w:r>
        <w:rPr>
          <w:rStyle w:val="FootnoteReference"/>
        </w:rPr>
        <w:footnoteReference w:id="252"/>
      </w:r>
      <w:r>
        <w:t xml:space="preserve">,</w:t>
      </w:r>
      <w:r>
        <w:rPr>
          <w:rStyle w:val="FootnoteReference"/>
        </w:rPr>
        <w:footnoteReference w:id="253"/>
      </w:r>
    </w:p>
    <w:p>
      <w:r>
        <w:rPr>
          <w:b/>
        </w:rPr>
        <w:t xml:space="preserve">14 </w:t>
      </w:r>
      <w:r>
        <w:t xml:space="preserve">and the Casluhim</w:t>
      </w:r>
      <w:r>
        <w:rPr>
          <w:rStyle w:val="FootnoteReference"/>
        </w:rPr>
        <w:footnoteReference w:id="254"/>
      </w:r>
      <w:r>
        <w:t xml:space="preserve">, from where the Philistines</w:t>
      </w:r>
      <w:r>
        <w:rPr>
          <w:rStyle w:val="FootnoteReference"/>
        </w:rPr>
        <w:footnoteReference w:id="255"/>
      </w:r>
      <w:r>
        <w:t xml:space="preserve"> came out, and the Caphtorim</w:t>
      </w:r>
      <w:r>
        <w:rPr>
          <w:rStyle w:val="FootnoteReference"/>
        </w:rPr>
        <w:footnoteReference w:id="256"/>
      </w:r>
      <w:r>
        <w:t xml:space="preserve">.</w:t>
      </w:r>
      <w:r>
        <w:rPr>
          <w:rStyle w:val="FootnoteReference"/>
        </w:rPr>
        <w:footnoteReference w:id="257"/>
      </w:r>
    </w:p>
    <w:p>
      <w:r>
        <w:rPr>
          <w:b/>
        </w:rPr>
        <w:t xml:space="preserve">15 </w:t>
      </w:r>
      <w:r>
        <w:t xml:space="preserve">And Canaan</w:t>
      </w:r>
      <w:r>
        <w:rPr>
          <w:rStyle w:val="FootnoteReference"/>
        </w:rPr>
        <w:footnoteReference w:id="258"/>
      </w:r>
      <w:r>
        <w:t xml:space="preserve"> begot Sidon</w:t>
      </w:r>
      <w:r>
        <w:rPr>
          <w:rStyle w:val="FootnoteReference"/>
        </w:rPr>
        <w:footnoteReference w:id="259"/>
      </w:r>
      <w:r>
        <w:t xml:space="preserve"> his firstborn,</w:t>
      </w:r>
    </w:p>
    <w:p>
      <w:r>
        <w:rPr>
          <w:b/>
        </w:rPr>
        <w:t xml:space="preserve">16 </w:t>
      </w:r>
      <w:r>
        <w:t xml:space="preserve">and the Hettite and the Jebusite</w:t>
      </w:r>
      <w:r>
        <w:rPr>
          <w:rStyle w:val="FootnoteReference"/>
        </w:rPr>
        <w:footnoteReference w:id="260"/>
      </w:r>
      <w:r>
        <w:t xml:space="preserve"> and the Amorite</w:t>
      </w:r>
      <w:r>
        <w:rPr>
          <w:rStyle w:val="FootnoteReference"/>
        </w:rPr>
        <w:footnoteReference w:id="261"/>
      </w:r>
      <w:r>
        <w:t xml:space="preserve"> and the Gergesite</w:t>
      </w:r>
      <w:r>
        <w:rPr>
          <w:rStyle w:val="FootnoteReference"/>
        </w:rPr>
        <w:footnoteReference w:id="262"/>
      </w:r>
      <w:r>
        <w:t xml:space="preserve"> and the Evite and the Aroukite,</w:t>
      </w:r>
      <w:r>
        <w:rPr>
          <w:rStyle w:val="FootnoteReference"/>
        </w:rPr>
        <w:footnoteReference w:id="263"/>
      </w:r>
    </w:p>
    <w:p>
      <w:r>
        <w:rPr>
          <w:b/>
        </w:rPr>
        <w:t xml:space="preserve">17 </w:t>
      </w:r>
      <w:r>
        <w:t xml:space="preserve">and the Asennaite and the Aradian and the Samaraian and the Amittai</w:t>
      </w:r>
      <w:r>
        <w:rPr>
          <w:rStyle w:val="FootnoteReference"/>
        </w:rPr>
        <w:footnoteReference w:id="264"/>
      </w:r>
      <w:r>
        <w:t xml:space="preserve">.</w:t>
      </w:r>
    </w:p>
    <w:p>
      <w:r>
        <w:rPr>
          <w:b/>
        </w:rPr>
        <w:t xml:space="preserve">18 </w:t>
      </w:r>
      <w:r>
        <w:t xml:space="preserve">And after this the tribes of the Canaanites</w:t>
      </w:r>
      <w:r>
        <w:rPr>
          <w:rStyle w:val="FootnoteReference"/>
        </w:rPr>
        <w:footnoteReference w:id="265"/>
      </w:r>
      <w:r>
        <w:t xml:space="preserve"> were scattered.</w:t>
      </w:r>
    </w:p>
    <w:p>
      <w:r>
        <w:rPr>
          <w:b/>
        </w:rPr>
        <w:t xml:space="preserve">19 </w:t>
      </w:r>
      <w:r>
        <w:t xml:space="preserve">And the borders of the Canaanites came to be from Sidon until one comes to Gerar</w:t>
      </w:r>
      <w:r>
        <w:rPr>
          <w:rStyle w:val="FootnoteReference"/>
        </w:rPr>
        <w:footnoteReference w:id="266"/>
      </w:r>
      <w:r>
        <w:t xml:space="preserve"> and Gaza</w:t>
      </w:r>
      <w:r>
        <w:rPr>
          <w:rStyle w:val="FootnoteReference"/>
        </w:rPr>
        <w:footnoteReference w:id="267"/>
      </w:r>
      <w:r>
        <w:t xml:space="preserve">, until one comes as far as Sodom</w:t>
      </w:r>
      <w:r>
        <w:rPr>
          <w:rStyle w:val="FootnoteReference"/>
        </w:rPr>
        <w:footnoteReference w:id="268"/>
      </w:r>
      <w:r>
        <w:t xml:space="preserve"> and Gomorrah</w:t>
      </w:r>
      <w:r>
        <w:rPr>
          <w:rStyle w:val="FootnoteReference"/>
        </w:rPr>
        <w:footnoteReference w:id="269"/>
      </w:r>
      <w:r>
        <w:t xml:space="preserve">, Admah</w:t>
      </w:r>
      <w:r>
        <w:rPr>
          <w:rStyle w:val="FootnoteReference"/>
        </w:rPr>
        <w:footnoteReference w:id="270"/>
      </w:r>
      <w:r>
        <w:t xml:space="preserve"> and Zeboiim</w:t>
      </w:r>
      <w:r>
        <w:rPr>
          <w:rStyle w:val="FootnoteReference"/>
        </w:rPr>
        <w:footnoteReference w:id="271"/>
      </w:r>
      <w:r>
        <w:t xml:space="preserve">, as far as Lasha</w:t>
      </w:r>
      <w:r>
        <w:rPr>
          <w:rStyle w:val="FootnoteReference"/>
        </w:rPr>
        <w:footnoteReference w:id="272"/>
      </w:r>
      <w:r>
        <w:t xml:space="preserve">.</w:t>
      </w:r>
      <w:r>
        <w:rPr>
          <w:rStyle w:val="FootnoteReference"/>
        </w:rPr>
        <w:footnoteReference w:id="273"/>
      </w:r>
    </w:p>
    <w:p>
      <w:r>
        <w:rPr>
          <w:b/>
        </w:rPr>
        <w:t xml:space="preserve">20 </w:t>
      </w:r>
      <w:r>
        <w:t xml:space="preserve">These are sons of Ham, in their tribes, according to their tongues, in their lands and in their nations.</w:t>
      </w:r>
    </w:p>
    <w:p>
      <w:r>
        <w:rPr>
          <w:b/>
        </w:rPr>
        <w:t xml:space="preserve">21 </w:t>
      </w:r>
      <w:r>
        <w:t xml:space="preserve">And to Shem</w:t>
      </w:r>
      <w:r>
        <w:rPr>
          <w:rStyle w:val="FootnoteReference"/>
        </w:rPr>
        <w:footnoteReference w:id="274"/>
      </w:r>
      <w:r>
        <w:t xml:space="preserve">, to him also, father of all the sons of Eber</w:t>
      </w:r>
      <w:r>
        <w:rPr>
          <w:rStyle w:val="FootnoteReference"/>
        </w:rPr>
        <w:footnoteReference w:id="275"/>
      </w:r>
      <w:r>
        <w:t xml:space="preserve">, brother of Japheth the greater, sons were born.</w:t>
      </w:r>
    </w:p>
    <w:p>
      <w:r>
        <w:rPr>
          <w:b/>
        </w:rPr>
        <w:t xml:space="preserve">22 </w:t>
      </w:r>
      <w:r>
        <w:t xml:space="preserve">Sons of Shem: Elam</w:t>
      </w:r>
      <w:r>
        <w:rPr>
          <w:rStyle w:val="FootnoteReference"/>
        </w:rPr>
        <w:footnoteReference w:id="276"/>
      </w:r>
      <w:r>
        <w:t xml:space="preserve"> and Asshur and Arphaxad</w:t>
      </w:r>
      <w:r>
        <w:rPr>
          <w:rStyle w:val="FootnoteReference"/>
        </w:rPr>
        <w:footnoteReference w:id="277"/>
      </w:r>
      <w:r>
        <w:t xml:space="preserve"> and Lod</w:t>
      </w:r>
      <w:r>
        <w:rPr>
          <w:rStyle w:val="FootnoteReference"/>
        </w:rPr>
        <w:footnoteReference w:id="278"/>
      </w:r>
      <w:r>
        <w:t xml:space="preserve"> and Aram</w:t>
      </w:r>
      <w:r>
        <w:rPr>
          <w:rStyle w:val="FootnoteReference"/>
        </w:rPr>
        <w:footnoteReference w:id="279"/>
      </w:r>
      <w:r>
        <w:t xml:space="preserve"> and Cainan.</w:t>
      </w:r>
      <w:r>
        <w:rPr>
          <w:rStyle w:val="FootnoteReference"/>
        </w:rPr>
        <w:footnoteReference w:id="280"/>
      </w:r>
    </w:p>
    <w:p>
      <w:r>
        <w:rPr>
          <w:b/>
        </w:rPr>
        <w:t xml:space="preserve">23 </w:t>
      </w:r>
      <w:r>
        <w:t xml:space="preserve">And sons of Aram: Uz</w:t>
      </w:r>
      <w:r>
        <w:rPr>
          <w:rStyle w:val="FootnoteReference"/>
        </w:rPr>
        <w:footnoteReference w:id="281"/>
      </w:r>
      <w:r>
        <w:t xml:space="preserve"> and Hul</w:t>
      </w:r>
      <w:r>
        <w:rPr>
          <w:rStyle w:val="FootnoteReference"/>
        </w:rPr>
        <w:footnoteReference w:id="282"/>
      </w:r>
      <w:r>
        <w:t xml:space="preserve"> and Gether</w:t>
      </w:r>
      <w:r>
        <w:rPr>
          <w:rStyle w:val="FootnoteReference"/>
        </w:rPr>
        <w:footnoteReference w:id="283"/>
      </w:r>
      <w:r>
        <w:t xml:space="preserve"> and Mash</w:t>
      </w:r>
      <w:r>
        <w:rPr>
          <w:rStyle w:val="FootnoteReference"/>
        </w:rPr>
        <w:footnoteReference w:id="284"/>
      </w:r>
      <w:r>
        <w:t xml:space="preserve">.</w:t>
      </w:r>
    </w:p>
    <w:p>
      <w:r>
        <w:rPr>
          <w:b/>
        </w:rPr>
        <w:t xml:space="preserve">24 </w:t>
      </w:r>
      <w:r>
        <w:t xml:space="preserve">And Arphaxad begot Cainan, and Cainan begot Shelah</w:t>
      </w:r>
      <w:r>
        <w:rPr>
          <w:rStyle w:val="FootnoteReference"/>
        </w:rPr>
        <w:footnoteReference w:id="285"/>
      </w:r>
      <w:r>
        <w:t xml:space="preserve">, and Shelah begot Eber.</w:t>
      </w:r>
    </w:p>
    <w:p>
      <w:r>
        <w:rPr>
          <w:b/>
        </w:rPr>
        <w:t xml:space="preserve">25 </w:t>
      </w:r>
      <w:r>
        <w:t xml:space="preserve">And to Eber</w:t>
      </w:r>
      <w:r>
        <w:rPr>
          <w:rStyle w:val="FootnoteReference"/>
        </w:rPr>
        <w:footnoteReference w:id="286"/>
      </w:r>
      <w:r>
        <w:t xml:space="preserve"> two sons were born. The name of one was Peleg</w:t>
      </w:r>
      <w:r>
        <w:rPr>
          <w:rStyle w:val="FootnoteReference"/>
        </w:rPr>
        <w:footnoteReference w:id="287"/>
      </w:r>
      <w:r>
        <w:t xml:space="preserve">, because in his days the earth was divided, and the name of his brother was Joktan</w:t>
      </w:r>
      <w:r>
        <w:rPr>
          <w:rStyle w:val="FootnoteReference"/>
        </w:rPr>
        <w:footnoteReference w:id="288"/>
      </w:r>
      <w:r>
        <w:t xml:space="preserve">.</w:t>
      </w:r>
    </w:p>
    <w:p>
      <w:r>
        <w:rPr>
          <w:b/>
        </w:rPr>
        <w:t xml:space="preserve">26 </w:t>
      </w:r>
      <w:r>
        <w:t xml:space="preserve">And Joktan begot Almodad</w:t>
      </w:r>
      <w:r>
        <w:rPr>
          <w:rStyle w:val="FootnoteReference"/>
        </w:rPr>
        <w:footnoteReference w:id="289"/>
      </w:r>
      <w:r>
        <w:t xml:space="preserve"> and Sheleph</w:t>
      </w:r>
      <w:r>
        <w:rPr>
          <w:rStyle w:val="FootnoteReference"/>
        </w:rPr>
        <w:footnoteReference w:id="290"/>
      </w:r>
      <w:r>
        <w:t xml:space="preserve"> and Hazarmaveth</w:t>
      </w:r>
      <w:r>
        <w:rPr>
          <w:rStyle w:val="FootnoteReference"/>
        </w:rPr>
        <w:footnoteReference w:id="291"/>
      </w:r>
      <w:r>
        <w:t xml:space="preserve"> and Jerah</w:t>
      </w:r>
      <w:r>
        <w:rPr>
          <w:rStyle w:val="FootnoteReference"/>
        </w:rPr>
        <w:footnoteReference w:id="292"/>
      </w:r>
      <w:r>
        <w:t xml:space="preserve"> and Hadoram</w:t>
      </w:r>
      <w:r>
        <w:rPr>
          <w:rStyle w:val="FootnoteReference"/>
        </w:rPr>
        <w:footnoteReference w:id="293"/>
      </w:r>
      <w:r>
        <w:t xml:space="preserve"> and Uzal</w:t>
      </w:r>
      <w:r>
        <w:rPr>
          <w:rStyle w:val="FootnoteReference"/>
        </w:rPr>
        <w:footnoteReference w:id="294"/>
      </w:r>
      <w:r>
        <w:t xml:space="preserve"> and Diklah</w:t>
      </w:r>
      <w:r>
        <w:rPr>
          <w:rStyle w:val="FootnoteReference"/>
        </w:rPr>
        <w:footnoteReference w:id="295"/>
      </w:r>
      <w:r>
        <w:t xml:space="preserve">,</w:t>
      </w:r>
    </w:p>
    <w:p>
      <w:r>
        <w:rPr>
          <w:b/>
        </w:rPr>
        <w:t xml:space="preserve">27 </w:t>
      </w:r>
      <w:r>
        <w:t xml:space="preserve">and Obal</w:t>
      </w:r>
      <w:r>
        <w:rPr>
          <w:rStyle w:val="FootnoteReference"/>
        </w:rPr>
        <w:footnoteReference w:id="296"/>
      </w:r>
      <w:r>
        <w:t xml:space="preserve"> and Abimael</w:t>
      </w:r>
      <w:r>
        <w:rPr>
          <w:rStyle w:val="FootnoteReference"/>
        </w:rPr>
        <w:footnoteReference w:id="297"/>
      </w:r>
      <w:r>
        <w:t xml:space="preserve"> and Sheba,</w:t>
      </w:r>
    </w:p>
    <w:p>
      <w:r>
        <w:rPr>
          <w:b/>
        </w:rPr>
        <w:t xml:space="preserve">28 </w:t>
      </w:r>
      <w:r>
        <w:t xml:space="preserve">and Ophir</w:t>
      </w:r>
      <w:r>
        <w:rPr>
          <w:rStyle w:val="FootnoteReference"/>
        </w:rPr>
        <w:footnoteReference w:id="298"/>
      </w:r>
      <w:r>
        <w:t xml:space="preserve"> and Havilah and Jobab</w:t>
      </w:r>
      <w:r>
        <w:rPr>
          <w:rStyle w:val="FootnoteReference"/>
        </w:rPr>
        <w:footnoteReference w:id="299"/>
      </w:r>
      <w:r>
        <w:t xml:space="preserve">.</w:t>
      </w:r>
    </w:p>
    <w:p>
      <w:r>
        <w:rPr>
          <w:b/>
        </w:rPr>
        <w:t xml:space="preserve">29 </w:t>
      </w:r>
      <w:r>
        <w:t xml:space="preserve">All these were sons of Joktan.</w:t>
      </w:r>
    </w:p>
    <w:p>
      <w:r>
        <w:rPr>
          <w:b/>
        </w:rPr>
        <w:t xml:space="preserve">30 </w:t>
      </w:r>
      <w:r>
        <w:t xml:space="preserve">And their dwelling came to be from Massa</w:t>
      </w:r>
      <w:r>
        <w:rPr>
          <w:rStyle w:val="FootnoteReference"/>
        </w:rPr>
        <w:footnoteReference w:id="300"/>
      </w:r>
      <w:r>
        <w:t xml:space="preserve">, until one comes to Sephar</w:t>
      </w:r>
      <w:r>
        <w:rPr>
          <w:rStyle w:val="FootnoteReference"/>
        </w:rPr>
        <w:footnoteReference w:id="301"/>
      </w:r>
      <w:r>
        <w:t xml:space="preserve">, a mountain of the east.</w:t>
      </w:r>
    </w:p>
    <w:p>
      <w:r>
        <w:rPr>
          <w:b/>
        </w:rPr>
        <w:t xml:space="preserve">31 </w:t>
      </w:r>
      <w:r>
        <w:t xml:space="preserve">These are sons of Shem, in their tribes, according to their tongues, in their lands and in their nations.</w:t>
      </w:r>
    </w:p>
    <w:p>
      <w:r>
        <w:rPr>
          <w:b/>
        </w:rPr>
        <w:t xml:space="preserve">32 </w:t>
      </w:r>
      <w:r>
        <w:t xml:space="preserve">These are the</w:t>
      </w:r>
      <w:r>
        <w:rPr>
          <w:rStyle w:val="FootnoteReference"/>
        </w:rPr>
        <w:footnoteReference w:id="302"/>
      </w:r>
      <w:r>
        <w:t xml:space="preserve"> tribes of the sons of Noah according to their generations, according to their nations. From these the islands of the nations were scattered over the earth after the flood.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all the earth was one lip, and one voice for all.</w:t>
      </w:r>
    </w:p>
    <w:p>
      <w:r>
        <w:rPr>
          <w:b/>
        </w:rPr>
        <w:t xml:space="preserve">2 </w:t>
      </w:r>
      <w:r>
        <w:t xml:space="preserve">And it came to be when they moved from the east</w:t>
      </w:r>
      <w:r>
        <w:rPr>
          <w:rStyle w:val="FootnoteReference"/>
        </w:rPr>
        <w:footnoteReference w:id="303"/>
      </w:r>
      <w:r>
        <w:t xml:space="preserve">, they found a plain in the land of Shinar and lived there.</w:t>
      </w:r>
    </w:p>
    <w:p>
      <w:r>
        <w:rPr>
          <w:b/>
        </w:rPr>
        <w:t xml:space="preserve">3 </w:t>
      </w:r>
      <w:r>
        <w:t xml:space="preserve">And a person said to his neighbor, Come, let us make bricks and bake them with fire. And the brick</w:t>
      </w:r>
      <w:r>
        <w:rPr>
          <w:rStyle w:val="FootnoteReference"/>
        </w:rPr>
        <w:footnoteReference w:id="304"/>
      </w:r>
      <w:r>
        <w:t xml:space="preserve"> became stone for them, and bitumen was clay for them.</w:t>
      </w:r>
    </w:p>
    <w:p>
      <w:r>
        <w:rPr>
          <w:b/>
        </w:rPr>
        <w:t xml:space="preserve">4 </w:t>
      </w:r>
      <w:r>
        <w:t xml:space="preserve">And they said, Come, let us build for ourselves a city and a tower whose top will be as far as heaven, and let</w:t>
      </w:r>
      <w:r>
        <w:rPr>
          <w:rStyle w:val="FootnoteReference"/>
        </w:rPr>
        <w:footnoteReference w:id="305"/>
      </w:r>
      <w:r>
        <w:t xml:space="preserve"> us make a name for ourselves before we are scattered over the face of all the earth.</w:t>
      </w:r>
    </w:p>
    <w:p>
      <w:r>
        <w:rPr>
          <w:b/>
        </w:rPr>
        <w:t xml:space="preserve">5 </w:t>
      </w:r>
      <w:r>
        <w:t xml:space="preserve">And the Lord came down to see the city and the tower that the sons of men built.</w:t>
      </w:r>
    </w:p>
    <w:p>
      <w:r>
        <w:rPr>
          <w:b/>
        </w:rPr>
        <w:t xml:space="preserve">6 </w:t>
      </w:r>
      <w:r>
        <w:t xml:space="preserve">And the Lord said, Look, one race and one lip for all, and this they have begun to do, and now nothing will fail from them, whatever they may set themselves to do.</w:t>
      </w:r>
    </w:p>
    <w:p>
      <w:r>
        <w:rPr>
          <w:b/>
        </w:rPr>
        <w:t xml:space="preserve">7 </w:t>
      </w:r>
      <w:r>
        <w:t xml:space="preserve">Come, and having come down, let us confuse their tongue there, so that each may not hear the voice of his neighbor.</w:t>
      </w:r>
    </w:p>
    <w:p>
      <w:r>
        <w:rPr>
          <w:b/>
        </w:rPr>
        <w:t xml:space="preserve">8 </w:t>
      </w:r>
      <w:r>
        <w:t xml:space="preserve">And the Lord</w:t>
      </w:r>
      <w:r>
        <w:rPr>
          <w:rStyle w:val="FootnoteReference"/>
        </w:rPr>
        <w:footnoteReference w:id="306"/>
      </w:r>
      <w:r>
        <w:t xml:space="preserve"> scattered them from there over the face of all the earth, and they stopped building the city and the tower.</w:t>
      </w:r>
    </w:p>
    <w:p>
      <w:r>
        <w:rPr>
          <w:b/>
        </w:rPr>
        <w:t xml:space="preserve">9 </w:t>
      </w:r>
      <w:r>
        <w:t xml:space="preserve">Because of this its name was called Confusion, because there the Lord confused the lips of all the earth, and from there the Lord scattered them over the face</w:t>
      </w:r>
      <w:r>
        <w:rPr>
          <w:rStyle w:val="FootnoteReference"/>
        </w:rPr>
        <w:footnoteReference w:id="307"/>
      </w:r>
      <w:r>
        <w:t xml:space="preserve"> of all the earth.</w:t>
      </w:r>
    </w:p>
    <w:p>
      <w:r>
        <w:rPr>
          <w:b/>
        </w:rPr>
        <w:t xml:space="preserve">10 </w:t>
      </w:r>
      <w:r>
        <w:t xml:space="preserve">And these are the generations of Shem. And Shem was one hundred years old when he begot Arphaxad, in the second year after the flood.</w:t>
      </w:r>
    </w:p>
    <w:p>
      <w:r>
        <w:rPr>
          <w:b/>
        </w:rPr>
        <w:t xml:space="preserve">11 </w:t>
      </w:r>
      <w:r>
        <w:t xml:space="preserve">And Shem</w:t>
      </w:r>
      <w:r>
        <w:rPr>
          <w:rStyle w:val="FootnoteReference"/>
        </w:rPr>
        <w:footnoteReference w:id="308"/>
      </w:r>
      <w:r>
        <w:t xml:space="preserve"> lived after begetting Arphaxad five hundred years, and begot sons and daughters, and died.</w:t>
      </w:r>
    </w:p>
    <w:p>
      <w:r>
        <w:rPr>
          <w:b/>
        </w:rPr>
        <w:t xml:space="preserve">12 </w:t>
      </w:r>
      <w:r>
        <w:t xml:space="preserve">And Arphaxad lived one hundred and thirty-five years and begot Cainan.</w:t>
      </w:r>
    </w:p>
    <w:p>
      <w:r>
        <w:rPr>
          <w:b/>
        </w:rPr>
        <w:t xml:space="preserve">13 </w:t>
      </w:r>
      <w:r>
        <w:t xml:space="preserve">And Arphaxad lived after begetting Cainan four hundred years, and begot sons and daughters, and died. And Cainan lived one hundred and thirty years and begot Shelah. And Cainan lived after begetting Shelah three hundred and thirty years, and begot sons and daughters, and died.</w:t>
      </w:r>
    </w:p>
    <w:p>
      <w:r>
        <w:rPr>
          <w:b/>
        </w:rPr>
        <w:t xml:space="preserve">14 </w:t>
      </w:r>
      <w:r>
        <w:t xml:space="preserve">And Shelah lived one hundred and thirty years and begot Eber.</w:t>
      </w:r>
    </w:p>
    <w:p>
      <w:r>
        <w:rPr>
          <w:b/>
        </w:rPr>
        <w:t xml:space="preserve">15 </w:t>
      </w:r>
      <w:r>
        <w:t xml:space="preserve">And Shelah lived after begetting Eber three hundred and thirty years, and begot sons and daughters, and died.</w:t>
      </w:r>
    </w:p>
    <w:p>
      <w:r>
        <w:rPr>
          <w:b/>
        </w:rPr>
        <w:t xml:space="preserve">16 </w:t>
      </w:r>
      <w:r>
        <w:t xml:space="preserve">And Eber</w:t>
      </w:r>
      <w:r>
        <w:rPr>
          <w:rStyle w:val="FootnoteReference"/>
        </w:rPr>
        <w:footnoteReference w:id="309"/>
      </w:r>
      <w:r>
        <w:t xml:space="preserve"> lived one hundred and thirty-four years and begot Peleg.</w:t>
      </w:r>
    </w:p>
    <w:p>
      <w:r>
        <w:rPr>
          <w:b/>
        </w:rPr>
        <w:t xml:space="preserve">17 </w:t>
      </w:r>
      <w:r>
        <w:t xml:space="preserve">And Eber lived after begetting Peleg two hundred and seventy years, and begot sons and daughters, and died.</w:t>
      </w:r>
    </w:p>
    <w:p>
      <w:r>
        <w:rPr>
          <w:b/>
        </w:rPr>
        <w:t xml:space="preserve">18 </w:t>
      </w:r>
      <w:r>
        <w:t xml:space="preserve">And Peleg lived one hundred and thirty years and begot Reu</w:t>
      </w:r>
      <w:r>
        <w:rPr>
          <w:rStyle w:val="FootnoteReference"/>
        </w:rPr>
        <w:footnoteReference w:id="310"/>
      </w:r>
      <w:r>
        <w:t xml:space="preserve">.</w:t>
      </w:r>
    </w:p>
    <w:p>
      <w:r>
        <w:rPr>
          <w:b/>
        </w:rPr>
        <w:t xml:space="preserve">19 </w:t>
      </w:r>
      <w:r>
        <w:t xml:space="preserve">And Peleg lived after begetting Reu two hundred and nine years, and begot sons and daughters, and died.</w:t>
      </w:r>
    </w:p>
    <w:p>
      <w:r>
        <w:rPr>
          <w:b/>
        </w:rPr>
        <w:t xml:space="preserve">20 </w:t>
      </w:r>
      <w:r>
        <w:t xml:space="preserve">And Reu lived one hundred and thirty-two years and begot Serug</w:t>
      </w:r>
      <w:r>
        <w:rPr>
          <w:rStyle w:val="FootnoteReference"/>
        </w:rPr>
        <w:footnoteReference w:id="311"/>
      </w:r>
      <w:r>
        <w:t xml:space="preserve">.</w:t>
      </w:r>
      <w:r>
        <w:rPr>
          <w:rStyle w:val="FootnoteReference"/>
        </w:rPr>
        <w:footnoteReference w:id="312"/>
      </w:r>
    </w:p>
    <w:p>
      <w:r>
        <w:rPr>
          <w:b/>
        </w:rPr>
        <w:t xml:space="preserve">21 </w:t>
      </w:r>
      <w:r>
        <w:t xml:space="preserve">And Reu lived after begetting Serug two hundred and seven years, and begot sons and daughters, and died.</w:t>
      </w:r>
    </w:p>
    <w:p>
      <w:r>
        <w:rPr>
          <w:b/>
        </w:rPr>
        <w:t xml:space="preserve">22 </w:t>
      </w:r>
      <w:r>
        <w:t xml:space="preserve">And Serug lived one hundred and thirty years and begot Nahor</w:t>
      </w:r>
      <w:r>
        <w:rPr>
          <w:rStyle w:val="FootnoteReference"/>
        </w:rPr>
        <w:footnoteReference w:id="313"/>
      </w:r>
      <w:r>
        <w:t xml:space="preserve">.</w:t>
      </w:r>
      <w:r>
        <w:rPr>
          <w:rStyle w:val="FootnoteReference"/>
        </w:rPr>
        <w:footnoteReference w:id="314"/>
      </w:r>
    </w:p>
    <w:p>
      <w:r>
        <w:rPr>
          <w:b/>
        </w:rPr>
        <w:t xml:space="preserve">23 </w:t>
      </w:r>
      <w:r>
        <w:t xml:space="preserve">And Serug lived after begetting Nahor two hundred years, and begot sons and daughters, and died.</w:t>
      </w:r>
    </w:p>
    <w:p>
      <w:r>
        <w:rPr>
          <w:b/>
        </w:rPr>
        <w:t xml:space="preserve">24 </w:t>
      </w:r>
      <w:r>
        <w:t xml:space="preserve">And Nahor lived one hundred and seventy-nine years and begot Terah</w:t>
      </w:r>
      <w:r>
        <w:rPr>
          <w:rStyle w:val="FootnoteReference"/>
        </w:rPr>
        <w:footnoteReference w:id="315"/>
      </w:r>
      <w:r>
        <w:t xml:space="preserve">.</w:t>
      </w:r>
      <w:r>
        <w:rPr>
          <w:rStyle w:val="FootnoteReference"/>
        </w:rPr>
        <w:footnoteReference w:id="316"/>
      </w:r>
    </w:p>
    <w:p>
      <w:r>
        <w:rPr>
          <w:b/>
        </w:rPr>
        <w:t xml:space="preserve">25 </w:t>
      </w:r>
      <w:r>
        <w:t xml:space="preserve">And Nahor lived after begetting Terah one hundred and twenty-five years, and begot sons and daughters, and died.</w:t>
      </w:r>
    </w:p>
    <w:p>
      <w:r>
        <w:rPr>
          <w:b/>
        </w:rPr>
        <w:t xml:space="preserve">26 </w:t>
      </w:r>
      <w:r>
        <w:t xml:space="preserve">And Terah lived seventy years and begot Abram</w:t>
      </w:r>
      <w:r>
        <w:rPr>
          <w:rStyle w:val="FootnoteReference"/>
        </w:rPr>
        <w:footnoteReference w:id="317"/>
      </w:r>
      <w:r>
        <w:t xml:space="preserve"> and Nahor and Haran</w:t>
      </w:r>
      <w:r>
        <w:rPr>
          <w:rStyle w:val="FootnoteReference"/>
        </w:rPr>
        <w:footnoteReference w:id="318"/>
      </w:r>
      <w:r>
        <w:t xml:space="preserve">.</w:t>
      </w:r>
      <w:r>
        <w:rPr>
          <w:rStyle w:val="FootnoteReference"/>
        </w:rPr>
        <w:footnoteReference w:id="319"/>
      </w:r>
    </w:p>
    <w:p>
      <w:r>
        <w:rPr>
          <w:b/>
        </w:rPr>
        <w:t xml:space="preserve">27 </w:t>
      </w:r>
      <w:r>
        <w:t xml:space="preserve">These are the generations of Terah. Terah begot Abram and Nahor and Haran, and Haran begot Lot</w:t>
      </w:r>
      <w:r>
        <w:rPr>
          <w:rStyle w:val="FootnoteReference"/>
        </w:rPr>
        <w:footnoteReference w:id="320"/>
      </w:r>
      <w:r>
        <w:t xml:space="preserve">.</w:t>
      </w:r>
    </w:p>
    <w:p>
      <w:r>
        <w:rPr>
          <w:b/>
        </w:rPr>
        <w:t xml:space="preserve">28 </w:t>
      </w:r>
      <w:r>
        <w:t xml:space="preserve">And Haran died before Terah his father in the land where he was born, in the country of the Chaldeans</w:t>
      </w:r>
      <w:r>
        <w:rPr>
          <w:rStyle w:val="FootnoteReference"/>
        </w:rPr>
        <w:footnoteReference w:id="321"/>
      </w:r>
      <w:r>
        <w:t xml:space="preserve">.</w:t>
      </w:r>
    </w:p>
    <w:p>
      <w:r>
        <w:rPr>
          <w:b/>
        </w:rPr>
        <w:t xml:space="preserve">29 </w:t>
      </w:r>
      <w:r>
        <w:t xml:space="preserve">And Abram and Nahor took wives for themselves. The name of Abram's wife was Sara</w:t>
      </w:r>
      <w:r>
        <w:rPr>
          <w:rStyle w:val="FootnoteReference"/>
        </w:rPr>
        <w:footnoteReference w:id="322"/>
      </w:r>
      <w:r>
        <w:t xml:space="preserve">, and the name of Nahor's wife was Milcah</w:t>
      </w:r>
      <w:r>
        <w:rPr>
          <w:rStyle w:val="FootnoteReference"/>
        </w:rPr>
        <w:footnoteReference w:id="323"/>
      </w:r>
      <w:r>
        <w:t xml:space="preserve">, daughter of Haran, father of Milcah and father of Jescha.</w:t>
      </w:r>
      <w:r>
        <w:rPr>
          <w:rStyle w:val="FootnoteReference"/>
        </w:rPr>
        <w:footnoteReference w:id="324"/>
      </w:r>
    </w:p>
    <w:p>
      <w:r>
        <w:rPr>
          <w:b/>
        </w:rPr>
        <w:t xml:space="preserve">30 </w:t>
      </w:r>
      <w:r>
        <w:t xml:space="preserve">And Sara was barren</w:t>
      </w:r>
      <w:r>
        <w:rPr>
          <w:rStyle w:val="FootnoteReference"/>
        </w:rPr>
        <w:footnoteReference w:id="325"/>
      </w:r>
      <w:r>
        <w:t xml:space="preserve"> and was not bearing children.</w:t>
      </w:r>
    </w:p>
    <w:p>
      <w:r>
        <w:rPr>
          <w:b/>
        </w:rPr>
        <w:t xml:space="preserve">31 </w:t>
      </w:r>
      <w:r>
        <w:t xml:space="preserve">And Terah took</w:t>
      </w:r>
      <w:r>
        <w:rPr>
          <w:rStyle w:val="FootnoteReference"/>
        </w:rPr>
        <w:footnoteReference w:id="326"/>
      </w:r>
      <w:r>
        <w:t xml:space="preserve"> Abram his son and Lot son of Haran, son of his son, and Sara his daughter-in-law, wife of Abram his son, and brought them out</w:t>
      </w:r>
      <w:r>
        <w:rPr>
          <w:rStyle w:val="FootnoteReference"/>
        </w:rPr>
        <w:footnoteReference w:id="327"/>
      </w:r>
      <w:r>
        <w:t xml:space="preserve"> from the country of the Chaldeans to go into the land of Canaan. And they came as far as Haran, and he lived there.</w:t>
      </w:r>
    </w:p>
    <w:p>
      <w:r>
        <w:rPr>
          <w:b/>
        </w:rPr>
        <w:t xml:space="preserve">32 </w:t>
      </w:r>
      <w:r>
        <w:t xml:space="preserve">And all the days of Terah in the land of Haran were two hundred and five years, and Terah died in Haran.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 Lord said to Abram, Go out from your land and from your kin and from your father's house</w:t>
      </w:r>
      <w:r>
        <w:rPr>
          <w:rStyle w:val="FootnoteReference"/>
        </w:rPr>
        <w:footnoteReference w:id="328"/>
      </w:r>
      <w:r>
        <w:t xml:space="preserve">, and come into the land that I will show you.</w:t>
      </w:r>
    </w:p>
    <w:p>
      <w:r>
        <w:rPr>
          <w:b/>
        </w:rPr>
        <w:t xml:space="preserve">2 </w:t>
      </w:r>
      <w:r>
        <w:t xml:space="preserve">And I will make you into a great nation, and I will bless you and magnify your name, and you shall be blessed.</w:t>
      </w:r>
    </w:p>
    <w:p>
      <w:r>
        <w:rPr>
          <w:b/>
        </w:rPr>
        <w:t xml:space="preserve">3 </w:t>
      </w:r>
      <w:r>
        <w:t xml:space="preserve">And I will bless those blessing you, and those cursing you I will curse. And in you all the tribes of the earth shall be blessed.</w:t>
      </w:r>
    </w:p>
    <w:p>
      <w:r>
        <w:rPr>
          <w:b/>
        </w:rPr>
        <w:t xml:space="preserve">4 </w:t>
      </w:r>
      <w:r>
        <w:t xml:space="preserve">And Abram went, just as the Lord spoke to him, and Lot</w:t>
      </w:r>
      <w:r>
        <w:rPr>
          <w:rStyle w:val="FootnoteReference"/>
        </w:rPr>
        <w:footnoteReference w:id="329"/>
      </w:r>
      <w:r>
        <w:t xml:space="preserve"> went away with him. Abram was seventy-five years old when he went out from Haran.</w:t>
      </w:r>
    </w:p>
    <w:p>
      <w:r>
        <w:rPr>
          <w:b/>
        </w:rPr>
        <w:t xml:space="preserve">5 </w:t>
      </w:r>
      <w:r>
        <w:t xml:space="preserve">And Abram took Sarai his wife and Lot the son of his brother and all their possessions, as many as they had acquired, and every person</w:t>
      </w:r>
      <w:r>
        <w:rPr>
          <w:rStyle w:val="FootnoteReference"/>
        </w:rPr>
        <w:footnoteReference w:id="330"/>
      </w:r>
      <w:r>
        <w:t xml:space="preserve"> whom they had acquired in Haran, and they went out to go into the land of Canaan.</w:t>
      </w:r>
    </w:p>
    <w:p>
      <w:r>
        <w:rPr>
          <w:b/>
        </w:rPr>
        <w:t xml:space="preserve">6 </w:t>
      </w:r>
      <w:r>
        <w:t xml:space="preserve">And Abram passed</w:t>
      </w:r>
      <w:r>
        <w:rPr>
          <w:rStyle w:val="FootnoteReference"/>
        </w:rPr>
        <w:footnoteReference w:id="331"/>
      </w:r>
      <w:r>
        <w:t xml:space="preserve"> through the land through its length as far as the place Shechem</w:t>
      </w:r>
      <w:r>
        <w:rPr>
          <w:rStyle w:val="FootnoteReference"/>
        </w:rPr>
        <w:footnoteReference w:id="332"/>
      </w:r>
      <w:r>
        <w:t xml:space="preserve">, to the high oak. And the Canaanites then inhabited the land.</w:t>
      </w:r>
    </w:p>
    <w:p>
      <w:r>
        <w:rPr>
          <w:b/>
        </w:rPr>
        <w:t xml:space="preserve">7 </w:t>
      </w:r>
      <w:r>
        <w:t xml:space="preserve">And the Lord appeared</w:t>
      </w:r>
      <w:r>
        <w:rPr>
          <w:rStyle w:val="FootnoteReference"/>
        </w:rPr>
        <w:footnoteReference w:id="333"/>
      </w:r>
      <w:r>
        <w:t xml:space="preserve"> to Abram and said to him, To your seed I will give this land. And Abram built there an altar to the Lord who had appeared to him.</w:t>
      </w:r>
    </w:p>
    <w:p>
      <w:r>
        <w:rPr>
          <w:b/>
        </w:rPr>
        <w:t xml:space="preserve">8 </w:t>
      </w:r>
      <w:r>
        <w:t xml:space="preserve">And he departed from there to the mountain east of Bethel</w:t>
      </w:r>
      <w:r>
        <w:rPr>
          <w:rStyle w:val="FootnoteReference"/>
        </w:rPr>
        <w:footnoteReference w:id="334"/>
      </w:r>
      <w:r>
        <w:t xml:space="preserve"> and pitched his tent there, Bethel toward the sea and Ai</w:t>
      </w:r>
      <w:r>
        <w:rPr>
          <w:rStyle w:val="FootnoteReference"/>
        </w:rPr>
        <w:footnoteReference w:id="335"/>
      </w:r>
      <w:r>
        <w:t xml:space="preserve"> toward the east. And he built there an altar to the Lord and called on the name of the Lord</w:t>
      </w:r>
      <w:r>
        <w:rPr>
          <w:rStyle w:val="FootnoteReference"/>
        </w:rPr>
        <w:footnoteReference w:id="336"/>
      </w:r>
      <w:r>
        <w:t xml:space="preserve">.</w:t>
      </w:r>
    </w:p>
    <w:p>
      <w:r>
        <w:rPr>
          <w:b/>
        </w:rPr>
        <w:t xml:space="preserve">9 </w:t>
      </w:r>
      <w:r>
        <w:t xml:space="preserve">And Abram set out, and going on, camped in the wilderness.</w:t>
      </w:r>
    </w:p>
    <w:p>
      <w:r>
        <w:rPr>
          <w:b/>
        </w:rPr>
        <w:t xml:space="preserve">10 </w:t>
      </w:r>
      <w:r>
        <w:t xml:space="preserve">And a famine came upon the land, and Abram went</w:t>
      </w:r>
      <w:r>
        <w:rPr>
          <w:rStyle w:val="FootnoteReference"/>
        </w:rPr>
        <w:footnoteReference w:id="337"/>
      </w:r>
      <w:r>
        <w:t xml:space="preserve"> down into Egypt</w:t>
      </w:r>
      <w:r>
        <w:rPr>
          <w:rStyle w:val="FootnoteReference"/>
        </w:rPr>
        <w:footnoteReference w:id="338"/>
      </w:r>
      <w:r>
        <w:t xml:space="preserve"> to live as a foreigner there, because the famine grew strong upon the land.</w:t>
      </w:r>
    </w:p>
    <w:p>
      <w:r>
        <w:rPr>
          <w:b/>
        </w:rPr>
        <w:t xml:space="preserve">11 </w:t>
      </w:r>
      <w:r>
        <w:t xml:space="preserve">And it happened when Abram drew near to enter Egypt, Abram said to Sarai his wife, I know that you are a woman beautiful in face.</w:t>
      </w:r>
    </w:p>
    <w:p>
      <w:r>
        <w:rPr>
          <w:b/>
        </w:rPr>
        <w:t xml:space="preserve">12 </w:t>
      </w:r>
      <w:r>
        <w:t xml:space="preserve">Then it will be, when the Egyptians</w:t>
      </w:r>
      <w:r>
        <w:rPr>
          <w:rStyle w:val="FootnoteReference"/>
        </w:rPr>
        <w:footnoteReference w:id="339"/>
      </w:r>
      <w:r>
        <w:t xml:space="preserve"> see you, they will say, This is his wife. And they will kill</w:t>
      </w:r>
      <w:r>
        <w:rPr>
          <w:rStyle w:val="FootnoteReference"/>
        </w:rPr>
        <w:footnoteReference w:id="340"/>
      </w:r>
      <w:r>
        <w:t xml:space="preserve"> me, but preserve you.</w:t>
      </w:r>
      <w:r>
        <w:rPr>
          <w:rStyle w:val="FootnoteReference"/>
        </w:rPr>
        <w:footnoteReference w:id="341"/>
      </w:r>
    </w:p>
    <w:p>
      <w:r>
        <w:rPr>
          <w:b/>
        </w:rPr>
        <w:t xml:space="preserve">13 </w:t>
      </w:r>
      <w:r>
        <w:t xml:space="preserve">Say then, I am his sister, so that it may go well for me because of you, and my life will keep living because of you.</w:t>
      </w:r>
    </w:p>
    <w:p>
      <w:r>
        <w:rPr>
          <w:b/>
        </w:rPr>
        <w:t xml:space="preserve">14 </w:t>
      </w:r>
      <w:r>
        <w:t xml:space="preserve">And it happened when Abram entered Egypt, the Egyptians saw his wife, that she was very beautiful.</w:t>
      </w:r>
    </w:p>
    <w:p>
      <w:r>
        <w:rPr>
          <w:b/>
        </w:rPr>
        <w:t xml:space="preserve">15 </w:t>
      </w:r>
      <w:r>
        <w:t xml:space="preserve">And Pharaoh</w:t>
      </w:r>
      <w:r>
        <w:rPr>
          <w:rStyle w:val="FootnoteReference"/>
        </w:rPr>
        <w:footnoteReference w:id="342"/>
      </w:r>
      <w:r>
        <w:t xml:space="preserve">'s rulers saw her and praised her to Pharaoh, and they brought her into Pharaoh's house.</w:t>
      </w:r>
    </w:p>
    <w:p>
      <w:r>
        <w:rPr>
          <w:b/>
        </w:rPr>
        <w:t xml:space="preserve">16 </w:t>
      </w:r>
      <w:r>
        <w:t xml:space="preserve">And they treated Abram well because of her, and he came to have sheep and calves and donkeys and male-servants and female-servants and mules and camels.</w:t>
      </w:r>
    </w:p>
    <w:p>
      <w:r>
        <w:rPr>
          <w:b/>
        </w:rPr>
        <w:t xml:space="preserve">17 </w:t>
      </w:r>
      <w:r>
        <w:t xml:space="preserve">And God afflicted Pharaoh with great and grievous afflictions, and his house, because of Sarai Abram's wife.</w:t>
      </w:r>
    </w:p>
    <w:p>
      <w:r>
        <w:rPr>
          <w:b/>
        </w:rPr>
        <w:t xml:space="preserve">18 </w:t>
      </w:r>
      <w:r>
        <w:t xml:space="preserve">And Pharaoh called Abram and said, What is this you have done to me, that you did not report to me that she is your wife?</w:t>
      </w:r>
    </w:p>
    <w:p>
      <w:r>
        <w:rPr>
          <w:b/>
        </w:rPr>
        <w:t xml:space="preserve">19 </w:t>
      </w:r>
      <w:r>
        <w:t xml:space="preserve">Why did you say, She is my sister? And I took her for myself as a wife. And now look, your wife before you. Take her and hurry away.</w:t>
      </w:r>
    </w:p>
    <w:p>
      <w:r>
        <w:rPr>
          <w:b/>
        </w:rPr>
        <w:t xml:space="preserve">20 </w:t>
      </w:r>
      <w:r>
        <w:t xml:space="preserve">And Pharaoh instructed men concerning Abram to send him on, and his wife, and all that was his.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Abram went up from Egypt, he and his wife and all that was his and Lot with him, into the wilderness.</w:t>
      </w:r>
    </w:p>
    <w:p>
      <w:r>
        <w:rPr>
          <w:b/>
        </w:rPr>
        <w:t xml:space="preserve">2 </w:t>
      </w:r>
      <w:r>
        <w:t xml:space="preserve">And Abram was very rich in livestock and silver and gold.</w:t>
      </w:r>
    </w:p>
    <w:p>
      <w:r>
        <w:rPr>
          <w:b/>
        </w:rPr>
        <w:t xml:space="preserve">3 </w:t>
      </w:r>
      <w:r>
        <w:t xml:space="preserve">And he went to the place from which he had come into the wilderness as far as Bethel, as far as the place where his tent had been before, between Bethel and Ai,</w:t>
      </w:r>
    </w:p>
    <w:p>
      <w:r>
        <w:rPr>
          <w:b/>
        </w:rPr>
        <w:t xml:space="preserve">4 </w:t>
      </w:r>
      <w:r>
        <w:t xml:space="preserve">to the place of the altar that he had made there at the beginning. And Abram called</w:t>
      </w:r>
      <w:r>
        <w:rPr>
          <w:rStyle w:val="FootnoteReference"/>
        </w:rPr>
        <w:footnoteReference w:id="343"/>
      </w:r>
      <w:r>
        <w:t xml:space="preserve"> on the name of the Lord there.</w:t>
      </w:r>
    </w:p>
    <w:p>
      <w:r>
        <w:rPr>
          <w:b/>
        </w:rPr>
        <w:t xml:space="preserve">5 </w:t>
      </w:r>
      <w:r>
        <w:t xml:space="preserve">And Lot, who was traveling with Abram, had sheep and oxen and tents</w:t>
      </w:r>
      <w:r>
        <w:rPr>
          <w:rStyle w:val="FootnoteReference"/>
        </w:rPr>
        <w:footnoteReference w:id="344"/>
      </w:r>
      <w:r>
        <w:t xml:space="preserve">.</w:t>
      </w:r>
    </w:p>
    <w:p>
      <w:r>
        <w:rPr>
          <w:b/>
        </w:rPr>
        <w:t xml:space="preserve">6 </w:t>
      </w:r>
      <w:r>
        <w:t xml:space="preserve">And the land had no room for them to live together, because their possessions were many, and the land had no room for them to live together.</w:t>
      </w:r>
    </w:p>
    <w:p>
      <w:r>
        <w:rPr>
          <w:b/>
        </w:rPr>
        <w:t xml:space="preserve">7 </w:t>
      </w:r>
      <w:r>
        <w:t xml:space="preserve">And a conflict arose between the shepherds of Abram's livestock and the shepherds of Lot's livestock. And the Canaanites and the Perizzites</w:t>
      </w:r>
      <w:r>
        <w:rPr>
          <w:rStyle w:val="FootnoteReference"/>
        </w:rPr>
        <w:footnoteReference w:id="345"/>
      </w:r>
      <w:r>
        <w:t xml:space="preserve"> then inhabited the land.</w:t>
      </w:r>
    </w:p>
    <w:p>
      <w:r>
        <w:rPr>
          <w:b/>
        </w:rPr>
        <w:t xml:space="preserve">8 </w:t>
      </w:r>
      <w:r>
        <w:t xml:space="preserve">And Abram said to Lot, Let there not be a conflict between me and you and between my shepherds and your shepherds, because we are human brothers.</w:t>
      </w:r>
    </w:p>
    <w:p>
      <w:r>
        <w:rPr>
          <w:b/>
        </w:rPr>
        <w:t xml:space="preserve">9 </w:t>
      </w:r>
      <w:r>
        <w:t xml:space="preserve">Look, is not all the land before you? Separate yourself from me. If you go left, I will go right. If you go right, I will go left.</w:t>
      </w:r>
    </w:p>
    <w:p>
      <w:r>
        <w:rPr>
          <w:b/>
        </w:rPr>
        <w:t xml:space="preserve">10 </w:t>
      </w:r>
      <w:r>
        <w:t xml:space="preserve">And Lot lifted up his eyes and saw all the region around the Jordan</w:t>
      </w:r>
      <w:r>
        <w:rPr>
          <w:rStyle w:val="FootnoteReference"/>
        </w:rPr>
        <w:footnoteReference w:id="346"/>
      </w:r>
      <w:r>
        <w:t xml:space="preserve">, that all of it was watered before God overthrew Sodom and Gomorrah, like the garden</w:t>
      </w:r>
      <w:r>
        <w:rPr>
          <w:rStyle w:val="FootnoteReference"/>
        </w:rPr>
        <w:footnoteReference w:id="347"/>
      </w:r>
      <w:r>
        <w:t xml:space="preserve"> of God and like the land of Egypt, as far as one comes to Zoar</w:t>
      </w:r>
      <w:r>
        <w:rPr>
          <w:rStyle w:val="FootnoteReference"/>
        </w:rPr>
        <w:footnoteReference w:id="348"/>
      </w:r>
      <w:r>
        <w:t xml:space="preserve">.</w:t>
      </w:r>
    </w:p>
    <w:p>
      <w:r>
        <w:rPr>
          <w:b/>
        </w:rPr>
        <w:t xml:space="preserve">11 </w:t>
      </w:r>
      <w:r>
        <w:t xml:space="preserve">And Lot chose</w:t>
      </w:r>
      <w:r>
        <w:rPr>
          <w:rStyle w:val="FootnoteReference"/>
        </w:rPr>
        <w:footnoteReference w:id="349"/>
      </w:r>
      <w:r>
        <w:t xml:space="preserve"> for himself all the region around the Jordan, and Lot set out from the east, and they were separated, each from his brother.</w:t>
      </w:r>
    </w:p>
    <w:p>
      <w:r>
        <w:rPr>
          <w:b/>
        </w:rPr>
        <w:t xml:space="preserve">12 </w:t>
      </w:r>
      <w:r>
        <w:t xml:space="preserve">Abram dwelt in the land of Canaan, but Lot dwelt in a city of the surrounding region and pitched</w:t>
      </w:r>
      <w:r>
        <w:rPr>
          <w:rStyle w:val="FootnoteReference"/>
        </w:rPr>
        <w:footnoteReference w:id="350"/>
      </w:r>
      <w:r>
        <w:t xml:space="preserve"> tents in Sodom.</w:t>
      </w:r>
    </w:p>
    <w:p>
      <w:r>
        <w:rPr>
          <w:b/>
        </w:rPr>
        <w:t xml:space="preserve">13 </w:t>
      </w:r>
      <w:r>
        <w:t xml:space="preserve">Now the people in Sodom were wicked and sinful before God exceedingly.</w:t>
      </w:r>
      <w:r>
        <w:rPr>
          <w:rStyle w:val="FootnoteReference"/>
        </w:rPr>
        <w:footnoteReference w:id="351"/>
      </w:r>
    </w:p>
    <w:p>
      <w:r>
        <w:rPr>
          <w:b/>
        </w:rPr>
        <w:t xml:space="preserve">14 </w:t>
      </w:r>
      <w:r>
        <w:t xml:space="preserve">And God said to Abram after Lot had separated from him, Lift</w:t>
      </w:r>
      <w:r>
        <w:rPr>
          <w:rStyle w:val="FootnoteReference"/>
        </w:rPr>
        <w:footnoteReference w:id="352"/>
      </w:r>
      <w:r>
        <w:t xml:space="preserve"> up your eyes and see from the place where you are now, toward north and south and east and sea.</w:t>
      </w:r>
    </w:p>
    <w:p>
      <w:r>
        <w:rPr>
          <w:b/>
        </w:rPr>
        <w:t xml:space="preserve">15 </w:t>
      </w:r>
      <w:r>
        <w:t xml:space="preserve">Because all the land that you see, I will give it to you and to your seed forever.</w:t>
      </w:r>
    </w:p>
    <w:p>
      <w:r>
        <w:rPr>
          <w:b/>
        </w:rPr>
        <w:t xml:space="preserve">16 </w:t>
      </w:r>
      <w:r>
        <w:t xml:space="preserve">And I will make your seed like the sand of the earth. If anyone can number the sand of the earth, then your seed also shall be numbered.</w:t>
      </w:r>
    </w:p>
    <w:p>
      <w:r>
        <w:rPr>
          <w:b/>
        </w:rPr>
        <w:t xml:space="preserve">17 </w:t>
      </w:r>
      <w:r>
        <w:t xml:space="preserve">Rise, go through the land into its length and into its breadth, because I will give it to you and to your seed forever.</w:t>
      </w:r>
    </w:p>
    <w:p>
      <w:r>
        <w:rPr>
          <w:b/>
        </w:rPr>
        <w:t xml:space="preserve">18 </w:t>
      </w:r>
      <w:r>
        <w:t xml:space="preserve">And Abram, having moved his tent, came and dwelt by the oak of Mamre</w:t>
      </w:r>
      <w:r>
        <w:rPr>
          <w:rStyle w:val="FootnoteReference"/>
        </w:rPr>
        <w:footnoteReference w:id="353"/>
      </w:r>
      <w:r>
        <w:t xml:space="preserve">, which was in Hebron</w:t>
      </w:r>
      <w:r>
        <w:rPr>
          <w:rStyle w:val="FootnoteReference"/>
        </w:rPr>
        <w:footnoteReference w:id="354"/>
      </w:r>
      <w:r>
        <w:t xml:space="preserve">, and built there an altar to the Lord.</w:t>
      </w:r>
      <w:r>
        <w:rPr>
          <w:rStyle w:val="FootnoteReference"/>
        </w:rPr>
        <w:footnoteReference w:id="355"/>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it happened in the reign of Amraphel</w:t>
      </w:r>
      <w:r>
        <w:rPr>
          <w:rStyle w:val="FootnoteReference"/>
        </w:rPr>
        <w:footnoteReference w:id="356"/>
      </w:r>
      <w:r>
        <w:t xml:space="preserve"> king of Shinar</w:t>
      </w:r>
      <w:r>
        <w:rPr>
          <w:rStyle w:val="FootnoteReference"/>
        </w:rPr>
        <w:footnoteReference w:id="357"/>
      </w:r>
      <w:r>
        <w:t xml:space="preserve">, and Arioch</w:t>
      </w:r>
      <w:r>
        <w:rPr>
          <w:rStyle w:val="FootnoteReference"/>
        </w:rPr>
        <w:footnoteReference w:id="358"/>
      </w:r>
      <w:r>
        <w:t xml:space="preserve"> king of Ellasar</w:t>
      </w:r>
      <w:r>
        <w:rPr>
          <w:rStyle w:val="FootnoteReference"/>
        </w:rPr>
        <w:footnoteReference w:id="359"/>
      </w:r>
      <w:r>
        <w:t xml:space="preserve">, Chedorlaomer</w:t>
      </w:r>
      <w:r>
        <w:rPr>
          <w:rStyle w:val="FootnoteReference"/>
        </w:rPr>
        <w:footnoteReference w:id="360"/>
      </w:r>
      <w:r>
        <w:t xml:space="preserve"> king of Elam, and Tidal</w:t>
      </w:r>
      <w:r>
        <w:rPr>
          <w:rStyle w:val="FootnoteReference"/>
        </w:rPr>
        <w:footnoteReference w:id="361"/>
      </w:r>
      <w:r>
        <w:t xml:space="preserve"> king of nations,</w:t>
      </w:r>
    </w:p>
    <w:p>
      <w:r>
        <w:rPr>
          <w:b/>
        </w:rPr>
        <w:t xml:space="preserve">2 </w:t>
      </w:r>
      <w:r>
        <w:t xml:space="preserve">they made war with Bera</w:t>
      </w:r>
      <w:r>
        <w:rPr>
          <w:rStyle w:val="FootnoteReference"/>
        </w:rPr>
        <w:footnoteReference w:id="362"/>
      </w:r>
      <w:r>
        <w:t xml:space="preserve"> king of Sodom</w:t>
      </w:r>
      <w:r>
        <w:rPr>
          <w:rStyle w:val="FootnoteReference"/>
        </w:rPr>
        <w:footnoteReference w:id="363"/>
      </w:r>
      <w:r>
        <w:t xml:space="preserve"> and with Birsha</w:t>
      </w:r>
      <w:r>
        <w:rPr>
          <w:rStyle w:val="FootnoteReference"/>
        </w:rPr>
        <w:footnoteReference w:id="364"/>
      </w:r>
      <w:r>
        <w:t xml:space="preserve"> king of Gomorrah and with Shinar king of Admah and with Shemeber</w:t>
      </w:r>
      <w:r>
        <w:rPr>
          <w:rStyle w:val="FootnoteReference"/>
        </w:rPr>
        <w:footnoteReference w:id="365"/>
      </w:r>
      <w:r>
        <w:t xml:space="preserve"> king of Zeboiim and the king of Bela</w:t>
      </w:r>
      <w:r>
        <w:rPr>
          <w:rStyle w:val="FootnoteReference"/>
        </w:rPr>
        <w:footnoteReference w:id="366"/>
      </w:r>
      <w:r>
        <w:t xml:space="preserve">, this is Zoar.</w:t>
      </w:r>
    </w:p>
    <w:p>
      <w:r>
        <w:rPr>
          <w:b/>
        </w:rPr>
        <w:t xml:space="preserve">3 </w:t>
      </w:r>
      <w:r>
        <w:t xml:space="preserve">All these joined together at the salt valley. This is the Salt Sea</w:t>
      </w:r>
      <w:r>
        <w:rPr>
          <w:rStyle w:val="FootnoteReference"/>
        </w:rPr>
        <w:footnoteReference w:id="367"/>
      </w:r>
      <w:r>
        <w:t xml:space="preserve">.</w:t>
      </w:r>
    </w:p>
    <w:p>
      <w:r>
        <w:rPr>
          <w:b/>
        </w:rPr>
        <w:t xml:space="preserve">4 </w:t>
      </w:r>
      <w:r>
        <w:t xml:space="preserve">For twelve years they served</w:t>
      </w:r>
      <w:r>
        <w:rPr>
          <w:rStyle w:val="FootnoteReference"/>
        </w:rPr>
        <w:footnoteReference w:id="368"/>
      </w:r>
      <w:r>
        <w:t xml:space="preserve"> Chedorlaomer, but in the thirteenth year they revolted.</w:t>
      </w:r>
    </w:p>
    <w:p>
      <w:r>
        <w:rPr>
          <w:b/>
        </w:rPr>
        <w:t xml:space="preserve">5 </w:t>
      </w:r>
      <w:r>
        <w:t xml:space="preserve">And in the fourteenth year Chedorlaomer came, and the kings with him, and they cut down the giants in Ashtaroth</w:t>
      </w:r>
      <w:r>
        <w:rPr>
          <w:rStyle w:val="FootnoteReference"/>
        </w:rPr>
        <w:footnoteReference w:id="369"/>
      </w:r>
      <w:r>
        <w:t xml:space="preserve"> and Karnaim</w:t>
      </w:r>
      <w:r>
        <w:rPr>
          <w:rStyle w:val="FootnoteReference"/>
        </w:rPr>
        <w:footnoteReference w:id="370"/>
      </w:r>
      <w:r>
        <w:t xml:space="preserve">, and strong nations with them, and the Ommaeans</w:t>
      </w:r>
      <w:r>
        <w:rPr>
          <w:rStyle w:val="FootnoteReference"/>
        </w:rPr>
        <w:footnoteReference w:id="371"/>
      </w:r>
      <w:r>
        <w:t xml:space="preserve"> in the city Save,</w:t>
      </w:r>
    </w:p>
    <w:p>
      <w:r>
        <w:rPr>
          <w:b/>
        </w:rPr>
        <w:t xml:space="preserve">6 </w:t>
      </w:r>
      <w:r>
        <w:t xml:space="preserve">and the Horites</w:t>
      </w:r>
      <w:r>
        <w:rPr>
          <w:rStyle w:val="FootnoteReference"/>
        </w:rPr>
        <w:footnoteReference w:id="372"/>
      </w:r>
      <w:r>
        <w:t xml:space="preserve"> in the mountains of Seir</w:t>
      </w:r>
      <w:r>
        <w:rPr>
          <w:rStyle w:val="FootnoteReference"/>
        </w:rPr>
        <w:footnoteReference w:id="373"/>
      </w:r>
      <w:r>
        <w:t xml:space="preserve">, as far as the terebinth of Paran</w:t>
      </w:r>
      <w:r>
        <w:rPr>
          <w:rStyle w:val="FootnoteReference"/>
        </w:rPr>
        <w:footnoteReference w:id="374"/>
      </w:r>
      <w:r>
        <w:t xml:space="preserve">, which is in the wilderness.</w:t>
      </w:r>
      <w:r>
        <w:rPr>
          <w:rStyle w:val="FootnoteReference"/>
        </w:rPr>
        <w:footnoteReference w:id="375"/>
      </w:r>
    </w:p>
    <w:p>
      <w:r>
        <w:rPr>
          <w:b/>
        </w:rPr>
        <w:t xml:space="preserve">7 </w:t>
      </w:r>
      <w:r>
        <w:t xml:space="preserve">And having turned back they came to the spring of judgment, this is Kadesh</w:t>
      </w:r>
      <w:r>
        <w:rPr>
          <w:rStyle w:val="FootnoteReference"/>
        </w:rPr>
        <w:footnoteReference w:id="376"/>
      </w:r>
      <w:r>
        <w:t xml:space="preserve">, and they cut down all the rulers of Amalek</w:t>
      </w:r>
      <w:r>
        <w:rPr>
          <w:rStyle w:val="FootnoteReference"/>
        </w:rPr>
        <w:footnoteReference w:id="377"/>
      </w:r>
      <w:r>
        <w:t xml:space="preserve"> and the Amorites</w:t>
      </w:r>
      <w:r>
        <w:rPr>
          <w:rStyle w:val="FootnoteReference"/>
        </w:rPr>
        <w:footnoteReference w:id="378"/>
      </w:r>
      <w:r>
        <w:t xml:space="preserve"> dwelling in Asasonthamar.</w:t>
      </w:r>
      <w:r>
        <w:rPr>
          <w:rStyle w:val="FootnoteReference"/>
        </w:rPr>
        <w:footnoteReference w:id="379"/>
      </w:r>
    </w:p>
    <w:p>
      <w:r>
        <w:rPr>
          <w:b/>
        </w:rPr>
        <w:t xml:space="preserve">8 </w:t>
      </w:r>
      <w:r>
        <w:t xml:space="preserve">And the king of Sodom went out, and the king of Gomorrah and the king of Admah and the king of Zeboiim and the king of Bela, this is Zoar, and they drew up against them for war in the salt valley,</w:t>
      </w:r>
      <w:r>
        <w:rPr>
          <w:rStyle w:val="FootnoteReference"/>
        </w:rPr>
        <w:footnoteReference w:id="380"/>
      </w:r>
    </w:p>
    <w:p>
      <w:r>
        <w:rPr>
          <w:b/>
        </w:rPr>
        <w:t xml:space="preserve">9 </w:t>
      </w:r>
      <w:r>
        <w:t xml:space="preserve">against Chedorlaomer king of Elam and Tidal king of nations and Amraphel king of Shinar and Arioch king of Ellasar, four kings against the five.</w:t>
      </w:r>
    </w:p>
    <w:p>
      <w:r>
        <w:rPr>
          <w:b/>
        </w:rPr>
        <w:t xml:space="preserve">10 </w:t>
      </w:r>
      <w:r>
        <w:t xml:space="preserve">Now the salt valley had wells of asphalt. And the king of Sodom fled, and the king of Gomorrah, and they fell</w:t>
      </w:r>
      <w:r>
        <w:rPr>
          <w:rStyle w:val="FootnoteReference"/>
        </w:rPr>
        <w:footnoteReference w:id="381"/>
      </w:r>
      <w:r>
        <w:t xml:space="preserve"> there. But those left behind fled into the mountain country.</w:t>
      </w:r>
    </w:p>
    <w:p>
      <w:r>
        <w:rPr>
          <w:b/>
        </w:rPr>
        <w:t xml:space="preserve">11 </w:t>
      </w:r>
      <w:r>
        <w:t xml:space="preserve">And they took all the cavalry of Sodom and Gomorrah, and all their provisions, and went away.</w:t>
      </w:r>
    </w:p>
    <w:p>
      <w:r>
        <w:rPr>
          <w:b/>
        </w:rPr>
        <w:t xml:space="preserve">12 </w:t>
      </w:r>
      <w:r>
        <w:t xml:space="preserve">And they took Lot also, the son of Abram's brother, and his baggage, and went away, for he was dwelling in Sodom.</w:t>
      </w:r>
    </w:p>
    <w:p>
      <w:r>
        <w:rPr>
          <w:b/>
        </w:rPr>
        <w:t xml:space="preserve">13 </w:t>
      </w:r>
      <w:r>
        <w:t xml:space="preserve">And one of those rescued came and reported to Abram the Hebrew</w:t>
      </w:r>
      <w:r>
        <w:rPr>
          <w:rStyle w:val="FootnoteReference"/>
        </w:rPr>
        <w:footnoteReference w:id="382"/>
      </w:r>
      <w:r>
        <w:t xml:space="preserve">. He was dwelling by the oak of Mamre</w:t>
      </w:r>
      <w:r>
        <w:rPr>
          <w:rStyle w:val="FootnoteReference"/>
        </w:rPr>
        <w:footnoteReference w:id="383"/>
      </w:r>
      <w:r>
        <w:t xml:space="preserve"> the Amorite, brother of Eshcol</w:t>
      </w:r>
      <w:r>
        <w:rPr>
          <w:rStyle w:val="FootnoteReference"/>
        </w:rPr>
        <w:footnoteReference w:id="384"/>
      </w:r>
      <w:r>
        <w:t xml:space="preserve"> and brother of Onan</w:t>
      </w:r>
      <w:r>
        <w:rPr>
          <w:rStyle w:val="FootnoteReference"/>
        </w:rPr>
        <w:footnoteReference w:id="385"/>
      </w:r>
      <w:r>
        <w:t xml:space="preserve">, who were Abram's allies.</w:t>
      </w:r>
    </w:p>
    <w:p>
      <w:r>
        <w:rPr>
          <w:b/>
        </w:rPr>
        <w:t xml:space="preserve">14 </w:t>
      </w:r>
      <w:r>
        <w:t xml:space="preserve">And Abram, hearing that Lot his nephew had been taken captive, numbered his own home-born</w:t>
      </w:r>
      <w:r>
        <w:rPr>
          <w:rStyle w:val="FootnoteReference"/>
        </w:rPr>
        <w:footnoteReference w:id="386"/>
      </w:r>
      <w:r>
        <w:t xml:space="preserve"> ones, three hundred eighteen, and pursued after them as far as Dan.</w:t>
      </w:r>
    </w:p>
    <w:p>
      <w:r>
        <w:rPr>
          <w:b/>
        </w:rPr>
        <w:t xml:space="preserve">15 </w:t>
      </w:r>
      <w:r>
        <w:t xml:space="preserve">And he fell upon them by night, he and his servants, and struck them and pursued them as far as Hobah</w:t>
      </w:r>
      <w:r>
        <w:rPr>
          <w:rStyle w:val="FootnoteReference"/>
        </w:rPr>
        <w:footnoteReference w:id="387"/>
      </w:r>
      <w:r>
        <w:t xml:space="preserve">, which is left of Damascus</w:t>
      </w:r>
      <w:r>
        <w:rPr>
          <w:rStyle w:val="FootnoteReference"/>
        </w:rPr>
        <w:footnoteReference w:id="388"/>
      </w:r>
      <w:r>
        <w:t xml:space="preserve">.</w:t>
      </w:r>
      <w:r>
        <w:rPr>
          <w:rStyle w:val="FootnoteReference"/>
        </w:rPr>
        <w:footnoteReference w:id="389"/>
      </w:r>
    </w:p>
    <w:p>
      <w:r>
        <w:rPr>
          <w:b/>
        </w:rPr>
        <w:t xml:space="preserve">16 </w:t>
      </w:r>
      <w:r>
        <w:t xml:space="preserve">And he brought back all the cavalry of Sodom, and he brought back Lot his nephew and all his possessions and the women and the people.</w:t>
      </w:r>
    </w:p>
    <w:p>
      <w:r>
        <w:rPr>
          <w:b/>
        </w:rPr>
        <w:t xml:space="preserve">17 </w:t>
      </w:r>
      <w:r>
        <w:t xml:space="preserve">And the king of Sodom went out to meet him after he returned from the slaughter of Chedorlaomer and the kings with him, to the valley of Shaveh</w:t>
      </w:r>
      <w:r>
        <w:rPr>
          <w:rStyle w:val="FootnoteReference"/>
        </w:rPr>
        <w:footnoteReference w:id="390"/>
      </w:r>
      <w:r>
        <w:t xml:space="preserve">. This was the plain of the kings.</w:t>
      </w:r>
    </w:p>
    <w:p>
      <w:r>
        <w:rPr>
          <w:b/>
        </w:rPr>
        <w:t xml:space="preserve">18 </w:t>
      </w:r>
      <w:r>
        <w:t xml:space="preserve">And Melchizedek</w:t>
      </w:r>
      <w:r>
        <w:rPr>
          <w:rStyle w:val="FootnoteReference"/>
        </w:rPr>
        <w:footnoteReference w:id="391"/>
      </w:r>
      <w:r>
        <w:t xml:space="preserve"> king of Salem</w:t>
      </w:r>
      <w:r>
        <w:rPr>
          <w:rStyle w:val="FootnoteReference"/>
        </w:rPr>
        <w:footnoteReference w:id="392"/>
      </w:r>
      <w:r>
        <w:t xml:space="preserve"> brought out loaves and wine. He was a priest of God</w:t>
      </w:r>
      <w:r>
        <w:rPr>
          <w:rStyle w:val="FootnoteReference"/>
        </w:rPr>
        <w:footnoteReference w:id="393"/>
      </w:r>
      <w:r>
        <w:t xml:space="preserve"> Most High.</w:t>
      </w:r>
      <w:r>
        <w:rPr>
          <w:rStyle w:val="FootnoteReference"/>
        </w:rPr>
        <w:footnoteReference w:id="394"/>
      </w:r>
      <w:r>
        <w:rPr>
          <w:rStyle w:val="FootnoteReference"/>
        </w:rPr>
        <w:footnoteReference w:id="395"/>
      </w:r>
    </w:p>
    <w:p>
      <w:r>
        <w:rPr>
          <w:b/>
        </w:rPr>
        <w:t xml:space="preserve">19 </w:t>
      </w:r>
      <w:r>
        <w:t xml:space="preserve">And he blessed</w:t>
      </w:r>
      <w:r>
        <w:rPr>
          <w:rStyle w:val="FootnoteReference"/>
        </w:rPr>
        <w:footnoteReference w:id="396"/>
      </w:r>
      <w:r>
        <w:t xml:space="preserve"> Abram and said, Blessed be Abram by God Most High, who created heaven and earth.</w:t>
      </w:r>
    </w:p>
    <w:p>
      <w:r>
        <w:rPr>
          <w:b/>
        </w:rPr>
        <w:t xml:space="preserve">20 </w:t>
      </w:r>
      <w:r>
        <w:t xml:space="preserve">And blessed</w:t>
      </w:r>
      <w:r>
        <w:rPr>
          <w:rStyle w:val="FootnoteReference"/>
        </w:rPr>
        <w:footnoteReference w:id="397"/>
      </w:r>
      <w:r>
        <w:t xml:space="preserve"> be God Most High, who delivered your enemies under your hand. And Abram gave him a tenth of everything.</w:t>
      </w:r>
    </w:p>
    <w:p>
      <w:r>
        <w:rPr>
          <w:b/>
        </w:rPr>
        <w:t xml:space="preserve">21 </w:t>
      </w:r>
      <w:r>
        <w:t xml:space="preserve">And the king of Sodom said to Abram, Give me the men, but take the cavalry for yourself.</w:t>
      </w:r>
    </w:p>
    <w:p>
      <w:r>
        <w:rPr>
          <w:b/>
        </w:rPr>
        <w:t xml:space="preserve">22 </w:t>
      </w:r>
      <w:r>
        <w:t xml:space="preserve">And Abram said to the king of Sodom, I will stretch out my hand to the Lord, God Most High, who created heaven and earth,</w:t>
      </w:r>
    </w:p>
    <w:p>
      <w:r>
        <w:rPr>
          <w:b/>
        </w:rPr>
        <w:t xml:space="preserve">23 </w:t>
      </w:r>
      <w:r>
        <w:t xml:space="preserve">that I will not take anything from all that is yours, from a cord to a sandal-thong, so that you may not say, I made Abram rich.</w:t>
      </w:r>
    </w:p>
    <w:p>
      <w:r>
        <w:rPr>
          <w:b/>
        </w:rPr>
        <w:t xml:space="preserve">24 </w:t>
      </w:r>
      <w:r>
        <w:t xml:space="preserve">Except what the young men have eaten and the share of the men who went with me, Eshcol, Onan, Mamre. Let these take a share.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After these words the word of the Lord came to Abram in a vision, saying, Do not fear</w:t>
      </w:r>
      <w:r>
        <w:rPr>
          <w:rStyle w:val="FootnoteReference"/>
        </w:rPr>
        <w:footnoteReference w:id="398"/>
      </w:r>
      <w:r>
        <w:t xml:space="preserve">, Abram. I shield</w:t>
      </w:r>
      <w:r>
        <w:rPr>
          <w:rStyle w:val="FootnoteReference"/>
        </w:rPr>
        <w:footnoteReference w:id="399"/>
      </w:r>
      <w:r>
        <w:t xml:space="preserve"> you. Your reward shall be very great.</w:t>
      </w:r>
      <w:r>
        <w:rPr>
          <w:rStyle w:val="FootnoteReference"/>
        </w:rPr>
        <w:footnoteReference w:id="400"/>
      </w:r>
    </w:p>
    <w:p>
      <w:r>
        <w:rPr>
          <w:b/>
        </w:rPr>
        <w:t xml:space="preserve">2 </w:t>
      </w:r>
      <w:r>
        <w:t xml:space="preserve">And Abram said, Master Lord</w:t>
      </w:r>
      <w:r>
        <w:rPr>
          <w:rStyle w:val="FootnoteReference"/>
        </w:rPr>
        <w:footnoteReference w:id="401"/>
      </w:r>
      <w:r>
        <w:t xml:space="preserve">, what will you give me? I am being dismissed childless</w:t>
      </w:r>
      <w:r>
        <w:rPr>
          <w:rStyle w:val="FootnoteReference"/>
        </w:rPr>
        <w:footnoteReference w:id="402"/>
      </w:r>
      <w:r>
        <w:t xml:space="preserve">. And the steward of my household, this is Damascus Eliezer</w:t>
      </w:r>
      <w:r>
        <w:rPr>
          <w:rStyle w:val="FootnoteReference"/>
        </w:rPr>
        <w:footnoteReference w:id="403"/>
      </w:r>
      <w:r>
        <w:t xml:space="preserve">.</w:t>
      </w:r>
      <w:r>
        <w:rPr>
          <w:rStyle w:val="FootnoteReference"/>
        </w:rPr>
        <w:footnoteReference w:id="404"/>
      </w:r>
      <w:r>
        <w:rPr>
          <w:rStyle w:val="FootnoteReference"/>
        </w:rPr>
        <w:footnoteReference w:id="405"/>
      </w:r>
    </w:p>
    <w:p>
      <w:r>
        <w:rPr>
          <w:b/>
        </w:rPr>
        <w:t xml:space="preserve">3 </w:t>
      </w:r>
      <w:r>
        <w:t xml:space="preserve">And Abram said, Since you have not given me seed, my home-born</w:t>
      </w:r>
      <w:r>
        <w:rPr>
          <w:rStyle w:val="FootnoteReference"/>
        </w:rPr>
        <w:footnoteReference w:id="406"/>
      </w:r>
      <w:r>
        <w:t xml:space="preserve"> one will inherit for me.</w:t>
      </w:r>
    </w:p>
    <w:p>
      <w:r>
        <w:rPr>
          <w:b/>
        </w:rPr>
        <w:t xml:space="preserve">4 </w:t>
      </w:r>
      <w:r>
        <w:t xml:space="preserve">And immediately a voice of the Lord came to him, saying, This one shall not inherit you, but the one coming out from you, this one shall inherit you.</w:t>
      </w:r>
    </w:p>
    <w:p>
      <w:r>
        <w:rPr>
          <w:b/>
        </w:rPr>
        <w:t xml:space="preserve">5 </w:t>
      </w:r>
      <w:r>
        <w:t xml:space="preserve">And he brought him outside and said to him, Look up now to heaven and count the stars, if you can fully number them. And he said, So shall your seed be.</w:t>
      </w:r>
    </w:p>
    <w:p>
      <w:r>
        <w:rPr>
          <w:b/>
        </w:rPr>
        <w:t xml:space="preserve">6 </w:t>
      </w:r>
      <w:r>
        <w:t xml:space="preserve">And Abram believed God, and it was reckoned to him as righteousness.</w:t>
      </w:r>
    </w:p>
    <w:p>
      <w:r>
        <w:rPr>
          <w:b/>
        </w:rPr>
        <w:t xml:space="preserve">7 </w:t>
      </w:r>
      <w:r>
        <w:t xml:space="preserve">And he said to him, I am God who brought</w:t>
      </w:r>
      <w:r>
        <w:rPr>
          <w:rStyle w:val="FootnoteReference"/>
        </w:rPr>
        <w:footnoteReference w:id="407"/>
      </w:r>
      <w:r>
        <w:t xml:space="preserve"> you out from the land of the Chaldeans, so as to give you this land to inherit.</w:t>
      </w:r>
    </w:p>
    <w:p>
      <w:r>
        <w:rPr>
          <w:b/>
        </w:rPr>
        <w:t xml:space="preserve">8 </w:t>
      </w:r>
      <w:r>
        <w:t xml:space="preserve">And he said, Master Lord, by what shall I know that I will inherit it?</w:t>
      </w:r>
    </w:p>
    <w:p>
      <w:r>
        <w:rPr>
          <w:b/>
        </w:rPr>
        <w:t xml:space="preserve">9 </w:t>
      </w:r>
      <w:r>
        <w:t xml:space="preserve">And he said to him, Take for me a heifer in her third year and a she-goat in her third year and a ram in his third year and a turtledove and a pigeon.</w:t>
      </w:r>
    </w:p>
    <w:p>
      <w:r>
        <w:rPr>
          <w:b/>
        </w:rPr>
        <w:t xml:space="preserve">10 </w:t>
      </w:r>
      <w:r>
        <w:t xml:space="preserve">So he took all these for him and divided them</w:t>
      </w:r>
      <w:r>
        <w:rPr>
          <w:rStyle w:val="FootnoteReference"/>
        </w:rPr>
        <w:footnoteReference w:id="408"/>
      </w:r>
      <w:r>
        <w:t xml:space="preserve"> in the middle and placed them opposite each other. But the birds he did not divide.</w:t>
      </w:r>
    </w:p>
    <w:p>
      <w:r>
        <w:rPr>
          <w:b/>
        </w:rPr>
        <w:t xml:space="preserve">11 </w:t>
      </w:r>
      <w:r>
        <w:t xml:space="preserve">And birds came down on the bodies, on their cut pieces, and Abram sat with them</w:t>
      </w:r>
      <w:r>
        <w:rPr>
          <w:rStyle w:val="FootnoteReference"/>
        </w:rPr>
        <w:footnoteReference w:id="409"/>
      </w:r>
      <w:r>
        <w:t xml:space="preserve">.</w:t>
      </w:r>
      <w:r>
        <w:rPr>
          <w:rStyle w:val="FootnoteReference"/>
        </w:rPr>
        <w:footnoteReference w:id="410"/>
      </w:r>
    </w:p>
    <w:p>
      <w:r>
        <w:rPr>
          <w:b/>
        </w:rPr>
        <w:t xml:space="preserve">12 </w:t>
      </w:r>
      <w:r>
        <w:t xml:space="preserve">And about sunset a trance fell upon Abram, and look, a great dark fear falls upon him.</w:t>
      </w:r>
    </w:p>
    <w:p>
      <w:r>
        <w:rPr>
          <w:b/>
        </w:rPr>
        <w:t xml:space="preserve">13 </w:t>
      </w:r>
      <w:r>
        <w:t xml:space="preserve">And it was said to Abram, Knowing you shall know that your seed will be a foreigner in a land not its own, and they will enslave them and afflict them and humble them four</w:t>
      </w:r>
      <w:r>
        <w:rPr>
          <w:rStyle w:val="FootnoteReference"/>
        </w:rPr>
        <w:footnoteReference w:id="411"/>
      </w:r>
      <w:r>
        <w:t xml:space="preserve"> hundred years.</w:t>
      </w:r>
    </w:p>
    <w:p>
      <w:r>
        <w:rPr>
          <w:b/>
        </w:rPr>
        <w:t xml:space="preserve">14 </w:t>
      </w:r>
      <w:r>
        <w:t xml:space="preserve">But the nation to which they will serve, I will judge. And after these things they will come out here with much baggage.</w:t>
      </w:r>
    </w:p>
    <w:p>
      <w:r>
        <w:rPr>
          <w:b/>
        </w:rPr>
        <w:t xml:space="preserve">15 </w:t>
      </w:r>
      <w:r>
        <w:t xml:space="preserve">But you shall depart to your fathers in peace</w:t>
      </w:r>
      <w:r>
        <w:rPr>
          <w:rStyle w:val="FootnoteReference"/>
        </w:rPr>
        <w:footnoteReference w:id="412"/>
      </w:r>
      <w:r>
        <w:t xml:space="preserve">, nourished in good old age.</w:t>
      </w:r>
    </w:p>
    <w:p>
      <w:r>
        <w:rPr>
          <w:b/>
        </w:rPr>
        <w:t xml:space="preserve">16 </w:t>
      </w:r>
      <w:r>
        <w:t xml:space="preserve">And in the fourth generation they will return here, for the sins of the Amorites</w:t>
      </w:r>
      <w:r>
        <w:rPr>
          <w:rStyle w:val="FootnoteReference"/>
        </w:rPr>
        <w:footnoteReference w:id="413"/>
      </w:r>
      <w:r>
        <w:t xml:space="preserve"> have not yet been filled up until now.</w:t>
      </w:r>
    </w:p>
    <w:p>
      <w:r>
        <w:rPr>
          <w:b/>
        </w:rPr>
        <w:t xml:space="preserve">17 </w:t>
      </w:r>
      <w:r>
        <w:t xml:space="preserve">And when the sun had gone down, flame came to be, and look, a smoking</w:t>
      </w:r>
      <w:r>
        <w:rPr>
          <w:rStyle w:val="FootnoteReference"/>
        </w:rPr>
        <w:footnoteReference w:id="414"/>
      </w:r>
      <w:r>
        <w:t xml:space="preserve"> furnace and lamps of fire, which passed between these divided pieces.</w:t>
      </w:r>
    </w:p>
    <w:p>
      <w:r>
        <w:rPr>
          <w:b/>
        </w:rPr>
        <w:t xml:space="preserve">18 </w:t>
      </w:r>
      <w:r>
        <w:t xml:space="preserve">In that day the Lord made</w:t>
      </w:r>
      <w:r>
        <w:rPr>
          <w:rStyle w:val="FootnoteReference"/>
        </w:rPr>
        <w:footnoteReference w:id="415"/>
      </w:r>
      <w:r>
        <w:t xml:space="preserve"> a covenant with Abram, saying, To your seed I will give this land, from the river of Egypt as far as the great river, the Euphrates river,</w:t>
      </w:r>
    </w:p>
    <w:p>
      <w:r>
        <w:rPr>
          <w:b/>
        </w:rPr>
        <w:t xml:space="preserve">19 </w:t>
      </w:r>
      <w:r>
        <w:t xml:space="preserve">the Kenites</w:t>
      </w:r>
      <w:r>
        <w:rPr>
          <w:rStyle w:val="FootnoteReference"/>
        </w:rPr>
        <w:footnoteReference w:id="416"/>
      </w:r>
      <w:r>
        <w:t xml:space="preserve"> and the Kenizzites</w:t>
      </w:r>
      <w:r>
        <w:rPr>
          <w:rStyle w:val="FootnoteReference"/>
        </w:rPr>
        <w:footnoteReference w:id="417"/>
      </w:r>
      <w:r>
        <w:t xml:space="preserve"> and the Kadmonites</w:t>
      </w:r>
      <w:r>
        <w:rPr>
          <w:rStyle w:val="FootnoteReference"/>
        </w:rPr>
        <w:footnoteReference w:id="418"/>
      </w:r>
      <w:r>
        <w:t xml:space="preserve">,</w:t>
      </w:r>
      <w:r>
        <w:rPr>
          <w:rStyle w:val="FootnoteReference"/>
        </w:rPr>
        <w:footnoteReference w:id="419"/>
      </w:r>
    </w:p>
    <w:p>
      <w:r>
        <w:rPr>
          <w:b/>
        </w:rPr>
        <w:t xml:space="preserve">20 </w:t>
      </w:r>
      <w:r>
        <w:t xml:space="preserve">and the Hittites</w:t>
      </w:r>
      <w:r>
        <w:rPr>
          <w:rStyle w:val="FootnoteReference"/>
        </w:rPr>
        <w:footnoteReference w:id="420"/>
      </w:r>
      <w:r>
        <w:t xml:space="preserve"> and the Perizzites and the Rephaim</w:t>
      </w:r>
      <w:r>
        <w:rPr>
          <w:rStyle w:val="FootnoteReference"/>
        </w:rPr>
        <w:footnoteReference w:id="421"/>
      </w:r>
      <w:r>
        <w:t xml:space="preserve">,</w:t>
      </w:r>
    </w:p>
    <w:p>
      <w:r>
        <w:rPr>
          <w:b/>
        </w:rPr>
        <w:t xml:space="preserve">21 </w:t>
      </w:r>
      <w:r>
        <w:t xml:space="preserve">and the Amorites</w:t>
      </w:r>
      <w:r>
        <w:rPr>
          <w:rStyle w:val="FootnoteReference"/>
        </w:rPr>
        <w:footnoteReference w:id="422"/>
      </w:r>
      <w:r>
        <w:t xml:space="preserve"> and the Canaanites and the Hivites</w:t>
      </w:r>
      <w:r>
        <w:rPr>
          <w:rStyle w:val="FootnoteReference"/>
        </w:rPr>
        <w:footnoteReference w:id="423"/>
      </w:r>
      <w:r>
        <w:t xml:space="preserve"> and the Girgashites</w:t>
      </w:r>
      <w:r>
        <w:rPr>
          <w:rStyle w:val="FootnoteReference"/>
        </w:rPr>
        <w:footnoteReference w:id="424"/>
      </w:r>
      <w:r>
        <w:t xml:space="preserve"> and the Jebusites</w:t>
      </w:r>
      <w:r>
        <w:rPr>
          <w:rStyle w:val="FootnoteReference"/>
        </w:rPr>
        <w:footnoteReference w:id="425"/>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Now Sarai</w:t>
      </w:r>
      <w:r>
        <w:rPr>
          <w:rStyle w:val="FootnoteReference"/>
        </w:rPr>
        <w:footnoteReference w:id="426"/>
      </w:r>
      <w:r>
        <w:t xml:space="preserve"> Abram's wife was not bearing to him. She had an Egyptian</w:t>
      </w:r>
      <w:r>
        <w:rPr>
          <w:rStyle w:val="FootnoteReference"/>
        </w:rPr>
        <w:footnoteReference w:id="427"/>
      </w:r>
      <w:r>
        <w:t xml:space="preserve"> servant-girl whose name was Hagar</w:t>
      </w:r>
      <w:r>
        <w:rPr>
          <w:rStyle w:val="FootnoteReference"/>
        </w:rPr>
        <w:footnoteReference w:id="428"/>
      </w:r>
      <w:r>
        <w:t xml:space="preserve">.</w:t>
      </w:r>
      <w:r>
        <w:rPr>
          <w:rStyle w:val="FootnoteReference"/>
        </w:rPr>
        <w:footnoteReference w:id="429"/>
      </w:r>
    </w:p>
    <w:p>
      <w:r>
        <w:rPr>
          <w:b/>
        </w:rPr>
        <w:t xml:space="preserve">2 </w:t>
      </w:r>
      <w:r>
        <w:t xml:space="preserve">And Sarai said to Abram, Look, the Lord</w:t>
      </w:r>
      <w:r>
        <w:rPr>
          <w:rStyle w:val="FootnoteReference"/>
        </w:rPr>
        <w:footnoteReference w:id="430"/>
      </w:r>
      <w:r>
        <w:t xml:space="preserve"> has shut me up from not bearing. Go in then to my servant-girl, so that I may get children through her. And Abram listened to Sarai's voice.</w:t>
      </w:r>
    </w:p>
    <w:p>
      <w:r>
        <w:rPr>
          <w:b/>
        </w:rPr>
        <w:t xml:space="preserve">3 </w:t>
      </w:r>
      <w:r>
        <w:t xml:space="preserve">And Sarai, Abram's wife, took Hagar the Egyptian, her own servant-girl, after Abram had dwelt ten years in the land of Canaan, and gave</w:t>
      </w:r>
      <w:r>
        <w:rPr>
          <w:rStyle w:val="FootnoteReference"/>
        </w:rPr>
        <w:footnoteReference w:id="431"/>
      </w:r>
      <w:r>
        <w:t xml:space="preserve"> her to Abram her husband as a wife for him.</w:t>
      </w:r>
    </w:p>
    <w:p>
      <w:r>
        <w:rPr>
          <w:b/>
        </w:rPr>
        <w:t xml:space="preserve">4 </w:t>
      </w:r>
      <w:r>
        <w:t xml:space="preserve">And he went in to Hagar, and she conceived. And she saw that she was pregnant, and her mistress</w:t>
      </w:r>
      <w:r>
        <w:rPr>
          <w:rStyle w:val="FootnoteReference"/>
        </w:rPr>
        <w:footnoteReference w:id="432"/>
      </w:r>
      <w:r>
        <w:t xml:space="preserve"> was dishonored before her.</w:t>
      </w:r>
    </w:p>
    <w:p>
      <w:r>
        <w:rPr>
          <w:b/>
        </w:rPr>
        <w:t xml:space="preserve">5 </w:t>
      </w:r>
      <w:r>
        <w:t xml:space="preserve">And Sarai said to Abram, I am being wronged because of you. I gave my servant-girl into your bosom, and when she saw that she was pregnant, I was dishonored before her. God judge between me and you.</w:t>
      </w:r>
    </w:p>
    <w:p>
      <w:r>
        <w:rPr>
          <w:b/>
        </w:rPr>
        <w:t xml:space="preserve">6 </w:t>
      </w:r>
      <w:r>
        <w:t xml:space="preserve">And Abram</w:t>
      </w:r>
      <w:r>
        <w:rPr>
          <w:rStyle w:val="FootnoteReference"/>
        </w:rPr>
        <w:footnoteReference w:id="433"/>
      </w:r>
      <w:r>
        <w:t xml:space="preserve"> said to Sarai, Look, your servant-girl is in your hands. Use her as may seem good to you. And Sarai mistreated her, and she fled from her face.</w:t>
      </w:r>
    </w:p>
    <w:p>
      <w:r>
        <w:rPr>
          <w:b/>
        </w:rPr>
        <w:t xml:space="preserve">7 </w:t>
      </w:r>
      <w:r>
        <w:t xml:space="preserve">And an angel of the Lord found</w:t>
      </w:r>
      <w:r>
        <w:rPr>
          <w:rStyle w:val="FootnoteReference"/>
        </w:rPr>
        <w:footnoteReference w:id="434"/>
      </w:r>
      <w:r>
        <w:t xml:space="preserve"> her by the spring of water in the wilderness, by the spring on the way to Shur</w:t>
      </w:r>
      <w:r>
        <w:rPr>
          <w:rStyle w:val="FootnoteReference"/>
        </w:rPr>
        <w:footnoteReference w:id="435"/>
      </w:r>
      <w:r>
        <w:t xml:space="preserve">.</w:t>
      </w:r>
    </w:p>
    <w:p>
      <w:r>
        <w:rPr>
          <w:b/>
        </w:rPr>
        <w:t xml:space="preserve">8 </w:t>
      </w:r>
      <w:r>
        <w:t xml:space="preserve">And the angel of the Lord said to her, Hagar, Sarai's servant-girl, where are you coming from and where are you going? And she said, I am running away from the face of Sarai my mistress.</w:t>
      </w:r>
    </w:p>
    <w:p>
      <w:r>
        <w:rPr>
          <w:b/>
        </w:rPr>
        <w:t xml:space="preserve">9 </w:t>
      </w:r>
      <w:r>
        <w:t xml:space="preserve">And the angel of the Lord said to her, Return to your mistress and humble yourself under her hands.</w:t>
      </w:r>
    </w:p>
    <w:p>
      <w:r>
        <w:rPr>
          <w:b/>
        </w:rPr>
        <w:t xml:space="preserve">10 </w:t>
      </w:r>
      <w:r>
        <w:t xml:space="preserve">And the angel</w:t>
      </w:r>
      <w:r>
        <w:rPr>
          <w:rStyle w:val="FootnoteReference"/>
        </w:rPr>
        <w:footnoteReference w:id="436"/>
      </w:r>
      <w:r>
        <w:t xml:space="preserve"> of the Lord said to her, Multiplying I will multiply your seed, and it will not be numbered because of the multitude.</w:t>
      </w:r>
    </w:p>
    <w:p>
      <w:r>
        <w:rPr>
          <w:b/>
        </w:rPr>
        <w:t xml:space="preserve">11 </w:t>
      </w:r>
      <w:r>
        <w:t xml:space="preserve">And the angel of the Lord said to her, Look, you are pregnant and will bear a son, and you shall call his name Ishmael</w:t>
      </w:r>
      <w:r>
        <w:rPr>
          <w:rStyle w:val="FootnoteReference"/>
        </w:rPr>
        <w:footnoteReference w:id="437"/>
      </w:r>
      <w:r>
        <w:t xml:space="preserve">, because the Lord has hearkened to your humiliation.</w:t>
      </w:r>
    </w:p>
    <w:p>
      <w:r>
        <w:rPr>
          <w:b/>
        </w:rPr>
        <w:t xml:space="preserve">12 </w:t>
      </w:r>
      <w:r>
        <w:t xml:space="preserve">This one shall be a</w:t>
      </w:r>
      <w:r>
        <w:rPr>
          <w:rStyle w:val="FootnoteReference"/>
        </w:rPr>
        <w:footnoteReference w:id="438"/>
      </w:r>
      <w:r>
        <w:t xml:space="preserve"> wild man. His hands against all, and all hands against him, and before the face of all his brothers he shall dwell.</w:t>
      </w:r>
    </w:p>
    <w:p>
      <w:r>
        <w:rPr>
          <w:b/>
        </w:rPr>
        <w:t xml:space="preserve">13 </w:t>
      </w:r>
      <w:r>
        <w:t xml:space="preserve">And Hagar called</w:t>
      </w:r>
      <w:r>
        <w:rPr>
          <w:rStyle w:val="FootnoteReference"/>
        </w:rPr>
        <w:footnoteReference w:id="439"/>
      </w:r>
      <w:r>
        <w:t xml:space="preserve"> the name of the Lord who was speaking to her, You are God who saw me</w:t>
      </w:r>
      <w:r>
        <w:rPr>
          <w:rStyle w:val="FootnoteReference"/>
        </w:rPr>
        <w:footnoteReference w:id="440"/>
      </w:r>
      <w:r>
        <w:t xml:space="preserve">, because she said, For I have even here seen the one who appeared to me.</w:t>
      </w:r>
      <w:r>
        <w:rPr>
          <w:rStyle w:val="FootnoteReference"/>
        </w:rPr>
        <w:footnoteReference w:id="441"/>
      </w:r>
    </w:p>
    <w:p>
      <w:r>
        <w:rPr>
          <w:b/>
        </w:rPr>
        <w:t xml:space="preserve">14 </w:t>
      </w:r>
      <w:r>
        <w:t xml:space="preserve">Because of this she called the well, The well of the one whom I saw before me. Look, it is between Kadesh</w:t>
      </w:r>
      <w:r>
        <w:rPr>
          <w:rStyle w:val="FootnoteReference"/>
        </w:rPr>
        <w:footnoteReference w:id="442"/>
      </w:r>
      <w:r>
        <w:t xml:space="preserve"> and Bered</w:t>
      </w:r>
      <w:r>
        <w:rPr>
          <w:rStyle w:val="FootnoteReference"/>
        </w:rPr>
        <w:footnoteReference w:id="443"/>
      </w:r>
      <w:r>
        <w:t xml:space="preserve">.</w:t>
      </w:r>
    </w:p>
    <w:p>
      <w:r>
        <w:rPr>
          <w:b/>
        </w:rPr>
        <w:t xml:space="preserve">15 </w:t>
      </w:r>
      <w:r>
        <w:t xml:space="preserve">And Hagar</w:t>
      </w:r>
      <w:r>
        <w:rPr>
          <w:rStyle w:val="FootnoteReference"/>
        </w:rPr>
        <w:footnoteReference w:id="444"/>
      </w:r>
      <w:r>
        <w:t xml:space="preserve"> bore a son to Abram, and Abram called the name of his son, whom Hagar bore to him, Ishmael.</w:t>
      </w:r>
    </w:p>
    <w:p>
      <w:r>
        <w:rPr>
          <w:b/>
        </w:rPr>
        <w:t xml:space="preserve">16 </w:t>
      </w:r>
      <w:r>
        <w:t xml:space="preserve">Abram was eighty-six years old when Hagar bore Ishmael to Abram.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Abram became ninety-nine years old, and the Lord</w:t>
      </w:r>
      <w:r>
        <w:rPr>
          <w:rStyle w:val="FootnoteReference"/>
        </w:rPr>
        <w:footnoteReference w:id="445"/>
      </w:r>
      <w:r>
        <w:t xml:space="preserve"> appeared to Abram and said to him, I am your God</w:t>
      </w:r>
      <w:r>
        <w:rPr>
          <w:rStyle w:val="FootnoteReference"/>
        </w:rPr>
        <w:footnoteReference w:id="446"/>
      </w:r>
      <w:r>
        <w:t xml:space="preserve">. Be well-pleasing before me and become blameless.</w:t>
      </w:r>
      <w:r>
        <w:rPr>
          <w:rStyle w:val="FootnoteReference"/>
        </w:rPr>
        <w:footnoteReference w:id="447"/>
      </w:r>
    </w:p>
    <w:p>
      <w:r>
        <w:rPr>
          <w:b/>
        </w:rPr>
        <w:t xml:space="preserve">2 </w:t>
      </w:r>
      <w:r>
        <w:t xml:space="preserve">And I will place my covenant between me and you</w:t>
      </w:r>
      <w:r>
        <w:rPr>
          <w:rStyle w:val="FootnoteReference"/>
        </w:rPr>
        <w:footnoteReference w:id="448"/>
      </w:r>
      <w:r>
        <w:t xml:space="preserve"> and will multiply</w:t>
      </w:r>
      <w:r>
        <w:rPr>
          <w:rStyle w:val="FootnoteReference"/>
        </w:rPr>
        <w:footnoteReference w:id="449"/>
      </w:r>
      <w:r>
        <w:t xml:space="preserve"> you exceedingly.</w:t>
      </w:r>
    </w:p>
    <w:p>
      <w:r>
        <w:rPr>
          <w:b/>
        </w:rPr>
        <w:t xml:space="preserve">3 </w:t>
      </w:r>
      <w:r>
        <w:t xml:space="preserve">And Abram fell upon his face, and God spoke to him, saying,</w:t>
      </w:r>
    </w:p>
    <w:p>
      <w:r>
        <w:rPr>
          <w:b/>
        </w:rPr>
        <w:t xml:space="preserve">4 </w:t>
      </w:r>
      <w:r>
        <w:t xml:space="preserve">And I, look, my covenant is with you, and you shall be father of a multitude of nations,</w:t>
      </w:r>
    </w:p>
    <w:p>
      <w:r>
        <w:rPr>
          <w:b/>
        </w:rPr>
        <w:t xml:space="preserve">5 </w:t>
      </w:r>
      <w:r>
        <w:t xml:space="preserve">And your name shall no longer be called Abram, but your name shall be Abraham</w:t>
      </w:r>
      <w:r>
        <w:rPr>
          <w:rStyle w:val="FootnoteReference"/>
        </w:rPr>
        <w:footnoteReference w:id="450"/>
      </w:r>
      <w:r>
        <w:t xml:space="preserve">, because I have made you father of many nations.</w:t>
      </w:r>
    </w:p>
    <w:p>
      <w:r>
        <w:rPr>
          <w:b/>
        </w:rPr>
        <w:t xml:space="preserve">6 </w:t>
      </w:r>
      <w:r>
        <w:t xml:space="preserve">And I will increase you very exceedingly and make you into nations</w:t>
      </w:r>
      <w:r>
        <w:rPr>
          <w:rStyle w:val="FootnoteReference"/>
        </w:rPr>
        <w:footnoteReference w:id="451"/>
      </w:r>
      <w:r>
        <w:t xml:space="preserve">, and kings shall come out from you.</w:t>
      </w:r>
    </w:p>
    <w:p>
      <w:r>
        <w:rPr>
          <w:b/>
        </w:rPr>
        <w:t xml:space="preserve">7 </w:t>
      </w:r>
      <w:r>
        <w:t xml:space="preserve">And I will establish my covenant between me and you and your seed after you throughout their generations, as an everlasting covenant, to be God to you and to your seed after you</w:t>
      </w:r>
      <w:r>
        <w:rPr>
          <w:rStyle w:val="FootnoteReference"/>
        </w:rPr>
        <w:footnoteReference w:id="452"/>
      </w:r>
      <w:r>
        <w:t xml:space="preserve">.</w:t>
      </w:r>
    </w:p>
    <w:p>
      <w:r>
        <w:rPr>
          <w:b/>
        </w:rPr>
        <w:t xml:space="preserve">8 </w:t>
      </w:r>
      <w:r>
        <w:t xml:space="preserve">And I will give to you and to your seed after you the land that you are living as a foreigner in, all the land of Canaan, for an everlasting</w:t>
      </w:r>
      <w:r>
        <w:rPr>
          <w:rStyle w:val="FootnoteReference"/>
        </w:rPr>
        <w:footnoteReference w:id="453"/>
      </w:r>
      <w:r>
        <w:t xml:space="preserve"> possession, and I will be God to them.</w:t>
      </w:r>
    </w:p>
    <w:p>
      <w:r>
        <w:rPr>
          <w:b/>
        </w:rPr>
        <w:t xml:space="preserve">9 </w:t>
      </w:r>
      <w:r>
        <w:t xml:space="preserve">And God said to Abraham, And you, you shall keep my covenant, you and your seed after you throughout their generations.</w:t>
      </w:r>
    </w:p>
    <w:p>
      <w:r>
        <w:rPr>
          <w:b/>
        </w:rPr>
        <w:t xml:space="preserve">10 </w:t>
      </w:r>
      <w:r>
        <w:t xml:space="preserve">And this is the covenant which you shall keep, between me and you and your seed after you throughout their generations: every male among you shall be circumcised.</w:t>
      </w:r>
    </w:p>
    <w:p>
      <w:r>
        <w:rPr>
          <w:b/>
        </w:rPr>
        <w:t xml:space="preserve">11 </w:t>
      </w:r>
      <w:r>
        <w:t xml:space="preserve">And you shall circumcise the flesh</w:t>
      </w:r>
      <w:r>
        <w:rPr>
          <w:rStyle w:val="FootnoteReference"/>
        </w:rPr>
        <w:footnoteReference w:id="454"/>
      </w:r>
      <w:r>
        <w:t xml:space="preserve"> of your foreskin, and it shall be for a sign of covenant between me and you.</w:t>
      </w:r>
    </w:p>
    <w:p>
      <w:r>
        <w:rPr>
          <w:b/>
        </w:rPr>
        <w:t xml:space="preserve">12 </w:t>
      </w:r>
      <w:r>
        <w:t xml:space="preserve">And a child of eight days shall be circumcised by you, every male throughout your generations, the home-born and the silver-bought, from every son of a foreigner who is not of your seed.</w:t>
      </w:r>
    </w:p>
    <w:p>
      <w:r>
        <w:rPr>
          <w:b/>
        </w:rPr>
        <w:t xml:space="preserve">13 </w:t>
      </w:r>
      <w:r>
        <w:t xml:space="preserve">By circumcision the home-born</w:t>
      </w:r>
      <w:r>
        <w:rPr>
          <w:rStyle w:val="FootnoteReference"/>
        </w:rPr>
        <w:footnoteReference w:id="455"/>
      </w:r>
      <w:r>
        <w:t xml:space="preserve"> of your house and the one bought with silver shall be circumcised, and my covenant shall be on your flesh as an everlasting covenant.</w:t>
      </w:r>
    </w:p>
    <w:p>
      <w:r>
        <w:rPr>
          <w:b/>
        </w:rPr>
        <w:t xml:space="preserve">14 </w:t>
      </w:r>
      <w:r>
        <w:t xml:space="preserve">And the uncircumcised male, who will not circumcise the flesh of his foreskin on the eighth day, that life shall be utterly destroyed from its kind, because he has scattered my covenant.</w:t>
      </w:r>
    </w:p>
    <w:p>
      <w:r>
        <w:rPr>
          <w:b/>
        </w:rPr>
        <w:t xml:space="preserve">15 </w:t>
      </w:r>
      <w:r>
        <w:t xml:space="preserve">And God said to Abraham, Sarai your wife, her name shall not be called Sarai, but Sarah</w:t>
      </w:r>
      <w:r>
        <w:rPr>
          <w:rStyle w:val="FootnoteReference"/>
        </w:rPr>
        <w:footnoteReference w:id="456"/>
      </w:r>
      <w:r>
        <w:t xml:space="preserve"> shall be her name.</w:t>
      </w:r>
    </w:p>
    <w:p>
      <w:r>
        <w:rPr>
          <w:b/>
        </w:rPr>
        <w:t xml:space="preserve">16 </w:t>
      </w:r>
      <w:r>
        <w:t xml:space="preserve">And I will bless her, and I will give</w:t>
      </w:r>
      <w:r>
        <w:rPr>
          <w:rStyle w:val="FootnoteReference"/>
        </w:rPr>
        <w:footnoteReference w:id="457"/>
      </w:r>
      <w:r>
        <w:t xml:space="preserve"> you a child from her. And I will bless him, and he shall become nations, and kings of nations shall come from him.</w:t>
      </w:r>
    </w:p>
    <w:p>
      <w:r>
        <w:rPr>
          <w:b/>
        </w:rPr>
        <w:t xml:space="preserve">17 </w:t>
      </w:r>
      <w:r>
        <w:t xml:space="preserve">And Abraham fell</w:t>
      </w:r>
      <w:r>
        <w:rPr>
          <w:rStyle w:val="FootnoteReference"/>
        </w:rPr>
        <w:footnoteReference w:id="458"/>
      </w:r>
      <w:r>
        <w:t xml:space="preserve"> upon his face and laughed, and said in his mind, Shall a son be born to one who is a hundred years old? And shall Sarah, being ninety years old, bear?</w:t>
      </w:r>
    </w:p>
    <w:p>
      <w:r>
        <w:rPr>
          <w:b/>
        </w:rPr>
        <w:t xml:space="preserve">18 </w:t>
      </w:r>
      <w:r>
        <w:t xml:space="preserve">And Abraham said to God, Let this Ishmael live before you.</w:t>
      </w:r>
    </w:p>
    <w:p>
      <w:r>
        <w:rPr>
          <w:b/>
        </w:rPr>
        <w:t xml:space="preserve">19 </w:t>
      </w:r>
      <w:r>
        <w:t xml:space="preserve">And God said to Abraham, Yes. Look, Sarah</w:t>
      </w:r>
      <w:r>
        <w:rPr>
          <w:rStyle w:val="FootnoteReference"/>
        </w:rPr>
        <w:footnoteReference w:id="459"/>
      </w:r>
      <w:r>
        <w:t xml:space="preserve"> your wife shall bear you a son, and you shall call his name Isaac</w:t>
      </w:r>
      <w:r>
        <w:rPr>
          <w:rStyle w:val="FootnoteReference"/>
        </w:rPr>
        <w:footnoteReference w:id="460"/>
      </w:r>
      <w:r>
        <w:t xml:space="preserve">. And I will establish my covenant with him as an everlasting covenant, to be God to him and to his seed after him</w:t>
      </w:r>
      <w:r>
        <w:rPr>
          <w:rStyle w:val="FootnoteReference"/>
        </w:rPr>
        <w:footnoteReference w:id="461"/>
      </w:r>
      <w:r>
        <w:t xml:space="preserve">.</w:t>
      </w:r>
    </w:p>
    <w:p>
      <w:r>
        <w:rPr>
          <w:b/>
        </w:rPr>
        <w:t xml:space="preserve">20 </w:t>
      </w:r>
      <w:r>
        <w:t xml:space="preserve">And concerning Ishmael, look, I have heard you. And look, I have blessed</w:t>
      </w:r>
      <w:r>
        <w:rPr>
          <w:rStyle w:val="FootnoteReference"/>
        </w:rPr>
        <w:footnoteReference w:id="462"/>
      </w:r>
      <w:r>
        <w:t xml:space="preserve"> him and will increase him and multiply him exceedingly. He shall beget twelve nations, and I will make him into a great nation.</w:t>
      </w:r>
    </w:p>
    <w:p>
      <w:r>
        <w:rPr>
          <w:b/>
        </w:rPr>
        <w:t xml:space="preserve">21 </w:t>
      </w:r>
      <w:r>
        <w:t xml:space="preserve">But I will establish my covenant with Isaac, whom Sarah shall bear to you at this time in the next year.</w:t>
      </w:r>
    </w:p>
    <w:p>
      <w:r>
        <w:rPr>
          <w:b/>
        </w:rPr>
        <w:t xml:space="preserve">22 </w:t>
      </w:r>
      <w:r>
        <w:t xml:space="preserve">He finished speaking with him, and God went up from Abraham.</w:t>
      </w:r>
    </w:p>
    <w:p>
      <w:r>
        <w:rPr>
          <w:b/>
        </w:rPr>
        <w:t xml:space="preserve">23 </w:t>
      </w:r>
      <w:r>
        <w:t xml:space="preserve">And Abraham took Ishmael his son and all his home-born ones and all those bought with silver and every male of the men in Abraham's house, and circumcised</w:t>
      </w:r>
      <w:r>
        <w:rPr>
          <w:rStyle w:val="FootnoteReference"/>
        </w:rPr>
        <w:footnoteReference w:id="463"/>
      </w:r>
      <w:r>
        <w:t xml:space="preserve"> their foreskins in the time of that very day</w:t>
      </w:r>
      <w:r>
        <w:rPr>
          <w:rStyle w:val="FootnoteReference"/>
        </w:rPr>
        <w:footnoteReference w:id="464"/>
      </w:r>
      <w:r>
        <w:t xml:space="preserve">, just as God spoke to him.</w:t>
      </w:r>
    </w:p>
    <w:p>
      <w:r>
        <w:rPr>
          <w:b/>
        </w:rPr>
        <w:t xml:space="preserve">24 </w:t>
      </w:r>
      <w:r>
        <w:t xml:space="preserve">Abraham was ninety-nine years old when he circumcised the flesh of his foreskin.</w:t>
      </w:r>
    </w:p>
    <w:p>
      <w:r>
        <w:rPr>
          <w:b/>
        </w:rPr>
        <w:t xml:space="preserve">25 </w:t>
      </w:r>
      <w:r>
        <w:t xml:space="preserve">Ishmael his son was thirteen years old when he circumcised the flesh of his foreskin.</w:t>
      </w:r>
    </w:p>
    <w:p>
      <w:r>
        <w:rPr>
          <w:b/>
        </w:rPr>
        <w:t xml:space="preserve">26 </w:t>
      </w:r>
      <w:r>
        <w:t xml:space="preserve">At the time of that day Abraham was circumcised, and Ishmael his son,</w:t>
      </w:r>
    </w:p>
    <w:p>
      <w:r>
        <w:rPr>
          <w:b/>
        </w:rPr>
        <w:t xml:space="preserve">27 </w:t>
      </w:r>
      <w:r>
        <w:t xml:space="preserve">and all the men of his house, the home-born and the silver-bought from foreign nations, he circumcised</w:t>
      </w:r>
      <w:r>
        <w:rPr>
          <w:rStyle w:val="FootnoteReference"/>
        </w:rPr>
        <w:footnoteReference w:id="465"/>
      </w:r>
      <w:r>
        <w:t xml:space="preserve">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God appeared</w:t>
      </w:r>
      <w:r>
        <w:rPr>
          <w:rStyle w:val="FootnoteReference"/>
        </w:rPr>
        <w:footnoteReference w:id="466"/>
      </w:r>
      <w:r>
        <w:t xml:space="preserve"> to him by the oak of Mamre, as he sat at the door of his tent at midday.</w:t>
      </w:r>
    </w:p>
    <w:p>
      <w:r>
        <w:rPr>
          <w:b/>
        </w:rPr>
        <w:t xml:space="preserve">2 </w:t>
      </w:r>
      <w:r>
        <w:t xml:space="preserve">Looking up with his eyes he saw, and look, three</w:t>
      </w:r>
      <w:r>
        <w:rPr>
          <w:rStyle w:val="FootnoteReference"/>
        </w:rPr>
        <w:footnoteReference w:id="467"/>
      </w:r>
      <w:r>
        <w:t xml:space="preserve"> men stood over him. And seeing, he ran to meet them from the door of his tent and bowed to the ground.</w:t>
      </w:r>
    </w:p>
    <w:p>
      <w:r>
        <w:rPr>
          <w:b/>
        </w:rPr>
        <w:t xml:space="preserve">3 </w:t>
      </w:r>
      <w:r>
        <w:t xml:space="preserve">And he said, Lord, if I have found favor before you, do not pass by your servant.</w:t>
      </w:r>
    </w:p>
    <w:p>
      <w:r>
        <w:rPr>
          <w:b/>
        </w:rPr>
        <w:t xml:space="preserve">4 </w:t>
      </w:r>
      <w:r>
        <w:t xml:space="preserve">Let water be taken, and let them wash your feet</w:t>
      </w:r>
      <w:r>
        <w:rPr>
          <w:rStyle w:val="FootnoteReference"/>
        </w:rPr>
        <w:footnoteReference w:id="468"/>
      </w:r>
      <w:r>
        <w:t xml:space="preserve">, and cool yourselves under the tree.</w:t>
      </w:r>
    </w:p>
    <w:p>
      <w:r>
        <w:rPr>
          <w:b/>
        </w:rPr>
        <w:t xml:space="preserve">5 </w:t>
      </w:r>
      <w:r>
        <w:t xml:space="preserve">And I will take bread, and you shall eat, and after this you shall go on your way, because for this reason you turned aside to your servant. And they said, Do so, just as you have said.</w:t>
      </w:r>
    </w:p>
    <w:p>
      <w:r>
        <w:rPr>
          <w:b/>
        </w:rPr>
        <w:t xml:space="preserve">6 </w:t>
      </w:r>
      <w:r>
        <w:t xml:space="preserve">And Abraham hurried to the tent to Sarah and said to her, Hurry and knead three</w:t>
      </w:r>
      <w:r>
        <w:rPr>
          <w:rStyle w:val="FootnoteReference"/>
        </w:rPr>
        <w:footnoteReference w:id="469"/>
      </w:r>
      <w:r>
        <w:t xml:space="preserve"> measures of fine flour and make hearth-cakes.</w:t>
      </w:r>
    </w:p>
    <w:p>
      <w:r>
        <w:rPr>
          <w:b/>
        </w:rPr>
        <w:t xml:space="preserve">7 </w:t>
      </w:r>
      <w:r>
        <w:t xml:space="preserve">And Abraham ran to the cattle and took a tender and good calf and gave it to the servant-boy, and he hurried to prepare it.</w:t>
      </w:r>
    </w:p>
    <w:p>
      <w:r>
        <w:rPr>
          <w:b/>
        </w:rPr>
        <w:t xml:space="preserve">8 </w:t>
      </w:r>
      <w:r>
        <w:t xml:space="preserve">And he took</w:t>
      </w:r>
      <w:r>
        <w:rPr>
          <w:rStyle w:val="FootnoteReference"/>
        </w:rPr>
        <w:footnoteReference w:id="470"/>
      </w:r>
      <w:r>
        <w:t xml:space="preserve"> butter and milk and the calf that he had prepared and set it before them, and they ate. But he stood by them under the tree.</w:t>
      </w:r>
    </w:p>
    <w:p>
      <w:r>
        <w:rPr>
          <w:b/>
        </w:rPr>
        <w:t xml:space="preserve">9 </w:t>
      </w:r>
      <w:r>
        <w:t xml:space="preserve">And they said to him, Where is Sarah your wife? And answering he said, Look, in the tent.</w:t>
      </w:r>
    </w:p>
    <w:p>
      <w:r>
        <w:rPr>
          <w:b/>
        </w:rPr>
        <w:t xml:space="preserve">10 </w:t>
      </w:r>
      <w:r>
        <w:t xml:space="preserve">And he said</w:t>
      </w:r>
      <w:r>
        <w:rPr>
          <w:rStyle w:val="FootnoteReference"/>
        </w:rPr>
        <w:footnoteReference w:id="471"/>
      </w:r>
      <w:r>
        <w:t xml:space="preserve">, Returning I will come to you at this season in due time, and Sarah your wife shall have a son. Sarah heard at the door of the tent, being behind him.</w:t>
      </w:r>
    </w:p>
    <w:p>
      <w:r>
        <w:rPr>
          <w:b/>
        </w:rPr>
        <w:t xml:space="preserve">11 </w:t>
      </w:r>
      <w:r>
        <w:t xml:space="preserve">And Abraham and Sarah were old, advanced in days, and the things of women had ceased to be with Sarah.</w:t>
      </w:r>
    </w:p>
    <w:p>
      <w:r>
        <w:rPr>
          <w:b/>
        </w:rPr>
        <w:t xml:space="preserve">12 </w:t>
      </w:r>
      <w:r>
        <w:t xml:space="preserve">And Sarah laughed</w:t>
      </w:r>
      <w:r>
        <w:rPr>
          <w:rStyle w:val="FootnoteReference"/>
        </w:rPr>
        <w:footnoteReference w:id="472"/>
      </w:r>
      <w:r>
        <w:t xml:space="preserve"> in herself, saying, It has not happened to me until now, and my lord is old.</w:t>
      </w:r>
    </w:p>
    <w:p>
      <w:r>
        <w:rPr>
          <w:b/>
        </w:rPr>
        <w:t xml:space="preserve">13 </w:t>
      </w:r>
      <w:r>
        <w:t xml:space="preserve">And the Lord said to Abraham, Why is it that Sarah laughed in herself, saying, Shall I truly bear? But I have grown old.</w:t>
      </w:r>
    </w:p>
    <w:p>
      <w:r>
        <w:rPr>
          <w:b/>
        </w:rPr>
        <w:t xml:space="preserve">14 </w:t>
      </w:r>
      <w:r>
        <w:t xml:space="preserve">Shall any word be impossible with God? At this season I will return to you in due time, and Sarah shall have a son.</w:t>
      </w:r>
    </w:p>
    <w:p>
      <w:r>
        <w:rPr>
          <w:b/>
        </w:rPr>
        <w:t xml:space="preserve">15 </w:t>
      </w:r>
      <w:r>
        <w:t xml:space="preserve">And Sarah denied</w:t>
      </w:r>
      <w:r>
        <w:rPr>
          <w:rStyle w:val="FootnoteReference"/>
        </w:rPr>
        <w:footnoteReference w:id="473"/>
      </w:r>
      <w:r>
        <w:t xml:space="preserve">, saying, I did not laugh, for she was afraid. And he said to her, No, but you did laugh.</w:t>
      </w:r>
    </w:p>
    <w:p>
      <w:r>
        <w:rPr>
          <w:b/>
        </w:rPr>
        <w:t xml:space="preserve">16 </w:t>
      </w:r>
      <w:r>
        <w:t xml:space="preserve">And the men, rising from there, looked down toward Sodom and Gomorrah. But Abraham went with them, sending them on.</w:t>
      </w:r>
    </w:p>
    <w:p>
      <w:r>
        <w:rPr>
          <w:b/>
        </w:rPr>
        <w:t xml:space="preserve">17 </w:t>
      </w:r>
      <w:r>
        <w:t xml:space="preserve">And the Lord said, Shall I hide from Abraham my servant what I am doing?</w:t>
      </w:r>
    </w:p>
    <w:p>
      <w:r>
        <w:rPr>
          <w:b/>
        </w:rPr>
        <w:t xml:space="preserve">18 </w:t>
      </w:r>
      <w:r>
        <w:t xml:space="preserve">And Abraham indeed shall become</w:t>
      </w:r>
      <w:r>
        <w:rPr>
          <w:rStyle w:val="FootnoteReference"/>
        </w:rPr>
        <w:footnoteReference w:id="474"/>
      </w:r>
      <w:r>
        <w:t xml:space="preserve"> a great and numerous nation, and in him all the nations of the earth shall be blessed.</w:t>
      </w:r>
    </w:p>
    <w:p>
      <w:r>
        <w:rPr>
          <w:b/>
        </w:rPr>
        <w:t xml:space="preserve">19 </w:t>
      </w:r>
      <w:r>
        <w:t xml:space="preserve">For I</w:t>
      </w:r>
      <w:r>
        <w:rPr>
          <w:rStyle w:val="FootnoteReference"/>
        </w:rPr>
        <w:footnoteReference w:id="475"/>
      </w:r>
      <w:r>
        <w:t xml:space="preserve"> know that he will direct his sons and his household after him, and they will keep the ways of the Lord, to do righteousness and judgment, so that the Lord may bring upon Abraham all that he spoke to him.</w:t>
      </w:r>
      <w:r>
        <w:rPr>
          <w:rStyle w:val="FootnoteReference"/>
        </w:rPr>
        <w:footnoteReference w:id="476"/>
      </w:r>
    </w:p>
    <w:p>
      <w:r>
        <w:rPr>
          <w:b/>
        </w:rPr>
        <w:t xml:space="preserve">20 </w:t>
      </w:r>
      <w:r>
        <w:t xml:space="preserve">And the Lord said, The outcry of Sodom and Gomorrah has been multiplied toward me, and their sins are very great.</w:t>
      </w:r>
    </w:p>
    <w:p>
      <w:r>
        <w:rPr>
          <w:b/>
        </w:rPr>
        <w:t xml:space="preserve">21 </w:t>
      </w:r>
      <w:r>
        <w:t xml:space="preserve">So coming down I will see whether they are carried out according to their outcry that comes to me. But if not, so that I may know.</w:t>
      </w:r>
    </w:p>
    <w:p>
      <w:r>
        <w:rPr>
          <w:b/>
        </w:rPr>
        <w:t xml:space="preserve">22 </w:t>
      </w:r>
      <w:r>
        <w:t xml:space="preserve">And the men</w:t>
      </w:r>
      <w:r>
        <w:rPr>
          <w:rStyle w:val="FootnoteReference"/>
        </w:rPr>
        <w:footnoteReference w:id="477"/>
      </w:r>
      <w:r>
        <w:t xml:space="preserve">, turning from there, came to Sodom. But Abraham was still standing before the Lord.</w:t>
      </w:r>
    </w:p>
    <w:p>
      <w:r>
        <w:rPr>
          <w:b/>
        </w:rPr>
        <w:t xml:space="preserve">23 </w:t>
      </w:r>
      <w:r>
        <w:t xml:space="preserve">And Abraham, drawing near, said, Will you sweep away the righteous with the ungodly, and shall the righteous be like the ungodly?</w:t>
      </w:r>
    </w:p>
    <w:p>
      <w:r>
        <w:rPr>
          <w:b/>
        </w:rPr>
        <w:t xml:space="preserve">24 </w:t>
      </w:r>
      <w:r>
        <w:t xml:space="preserve">If there are fifty righteous in the city, will you destroy them? Will you not let the whole place go because of the fifty righteous, if they are in it?</w:t>
      </w:r>
    </w:p>
    <w:p>
      <w:r>
        <w:rPr>
          <w:b/>
        </w:rPr>
        <w:t xml:space="preserve">25 </w:t>
      </w:r>
      <w:r>
        <w:t xml:space="preserve">By no means will you do according to this word, to kill the righteous with the ungodly, and the righteous shall be like the ungodly. By no means. The one judging all the earth, will you not do judgment?</w:t>
      </w:r>
    </w:p>
    <w:p>
      <w:r>
        <w:rPr>
          <w:b/>
        </w:rPr>
        <w:t xml:space="preserve">26 </w:t>
      </w:r>
      <w:r>
        <w:t xml:space="preserve">And the Lord said, If there are fifty righteous in Sodom in the city, I will spare the whole city and all the place because of them.</w:t>
      </w:r>
    </w:p>
    <w:p>
      <w:r>
        <w:rPr>
          <w:b/>
        </w:rPr>
        <w:t xml:space="preserve">27 </w:t>
      </w:r>
      <w:r>
        <w:t xml:space="preserve">And Abraham answered and said, Now I have begun to speak to my Lord, and I am earth and ashes.</w:t>
      </w:r>
    </w:p>
    <w:p>
      <w:r>
        <w:rPr>
          <w:b/>
        </w:rPr>
        <w:t xml:space="preserve">28 </w:t>
      </w:r>
      <w:r>
        <w:t xml:space="preserve">But if the fifty righteous are lessened to forty-five, will you destroy the whole city because of the five? And he said, I will certainly not destroy it if I</w:t>
      </w:r>
      <w:r>
        <w:rPr>
          <w:rStyle w:val="FootnoteReference"/>
        </w:rPr>
        <w:footnoteReference w:id="478"/>
      </w:r>
      <w:r>
        <w:t xml:space="preserve"> find forty-five there.</w:t>
      </w:r>
    </w:p>
    <w:p>
      <w:r>
        <w:rPr>
          <w:b/>
        </w:rPr>
        <w:t xml:space="preserve">29 </w:t>
      </w:r>
      <w:r>
        <w:t xml:space="preserve">And he added still to speak to him and said, But if forty are found there? And he said, I will certainly not destroy it because of the forty.</w:t>
      </w:r>
    </w:p>
    <w:p>
      <w:r>
        <w:rPr>
          <w:b/>
        </w:rPr>
        <w:t xml:space="preserve">30 </w:t>
      </w:r>
      <w:r>
        <w:t xml:space="preserve">And he said, Let it not be so, Lord, if I speak. But if thirty are found there? And he said, I will certainly not destroy it because of the thirty.</w:t>
      </w:r>
    </w:p>
    <w:p>
      <w:r>
        <w:rPr>
          <w:b/>
        </w:rPr>
        <w:t xml:space="preserve">31 </w:t>
      </w:r>
      <w:r>
        <w:t xml:space="preserve">And he said, Since I have it to speak to the Lord, but if twenty are found there? And he said, I will certainly not destroy it if I find twenty there.</w:t>
      </w:r>
    </w:p>
    <w:p>
      <w:r>
        <w:rPr>
          <w:b/>
        </w:rPr>
        <w:t xml:space="preserve">32 </w:t>
      </w:r>
      <w:r>
        <w:t xml:space="preserve">And he said, Let it not be so, Lord, if I speak still once more. But if ten are found there? And he said, I will certainly not destroy it because of the ten.</w:t>
      </w:r>
    </w:p>
    <w:p>
      <w:r>
        <w:rPr>
          <w:b/>
        </w:rPr>
        <w:t xml:space="preserve">33 </w:t>
      </w:r>
      <w:r>
        <w:t xml:space="preserve">And the Lord departed when he ceased speaking with Abraham, and Abraham</w:t>
      </w:r>
      <w:r>
        <w:rPr>
          <w:rStyle w:val="FootnoteReference"/>
        </w:rPr>
        <w:footnoteReference w:id="479"/>
      </w:r>
      <w:r>
        <w:t xml:space="preserve"> returned to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the two angels came to Sodom at evening. And Lot was sitting by the gate of Sodom. Seeing them, Lot rose</w:t>
      </w:r>
      <w:r>
        <w:rPr>
          <w:rStyle w:val="FootnoteReference"/>
        </w:rPr>
        <w:footnoteReference w:id="480"/>
      </w:r>
      <w:r>
        <w:t xml:space="preserve"> to meet them and bowed with his face to the ground.</w:t>
      </w:r>
    </w:p>
    <w:p>
      <w:r>
        <w:rPr>
          <w:b/>
        </w:rPr>
        <w:t xml:space="preserve">2 </w:t>
      </w:r>
      <w:r>
        <w:t xml:space="preserve">And he said, Look, lords, turn</w:t>
      </w:r>
      <w:r>
        <w:rPr>
          <w:rStyle w:val="FootnoteReference"/>
        </w:rPr>
        <w:footnoteReference w:id="481"/>
      </w:r>
      <w:r>
        <w:t xml:space="preserve"> aside into the house of your servant and lodge and wash your feet, and rising early you shall go on your way. And they said, No, but we will lodge in the square</w:t>
      </w:r>
      <w:r>
        <w:rPr>
          <w:rStyle w:val="FootnoteReference"/>
        </w:rPr>
        <w:footnoteReference w:id="482"/>
      </w:r>
      <w:r>
        <w:t xml:space="preserve">.</w:t>
      </w:r>
    </w:p>
    <w:p>
      <w:r>
        <w:rPr>
          <w:b/>
        </w:rPr>
        <w:t xml:space="preserve">3 </w:t>
      </w:r>
      <w:r>
        <w:t xml:space="preserve">And he pressed</w:t>
      </w:r>
      <w:r>
        <w:rPr>
          <w:rStyle w:val="FootnoteReference"/>
        </w:rPr>
        <w:footnoteReference w:id="483"/>
      </w:r>
      <w:r>
        <w:t xml:space="preserve"> them, and they turned aside to him and entered into his house. And he made a feast for them, and baked unleavened bread for them, and they ate.</w:t>
      </w:r>
    </w:p>
    <w:p>
      <w:r>
        <w:rPr>
          <w:b/>
        </w:rPr>
        <w:t xml:space="preserve">4 </w:t>
      </w:r>
      <w:r>
        <w:t xml:space="preserve">But before they lay down, the men of the city, the Sodomites</w:t>
      </w:r>
      <w:r>
        <w:rPr>
          <w:rStyle w:val="FootnoteReference"/>
        </w:rPr>
        <w:footnoteReference w:id="484"/>
      </w:r>
      <w:r>
        <w:t xml:space="preserve">, surrounded the house, from young man to old man, all the people together.</w:t>
      </w:r>
    </w:p>
    <w:p>
      <w:r>
        <w:rPr>
          <w:b/>
        </w:rPr>
        <w:t xml:space="preserve">5 </w:t>
      </w:r>
      <w:r>
        <w:t xml:space="preserve">And they called out to Lot and said to him, Where are the men who entered to you tonight? Bring them out to us, so that we may be with them.</w:t>
      </w:r>
    </w:p>
    <w:p>
      <w:r>
        <w:rPr>
          <w:b/>
        </w:rPr>
        <w:t xml:space="preserve">6 </w:t>
      </w:r>
      <w:r>
        <w:t xml:space="preserve">And Lot went out to them to the porch, and he shut the door after him.</w:t>
      </w:r>
    </w:p>
    <w:p>
      <w:r>
        <w:rPr>
          <w:b/>
        </w:rPr>
        <w:t xml:space="preserve">7 </w:t>
      </w:r>
      <w:r>
        <w:t xml:space="preserve">And he said to them, By no means, brothers, do not act wickedly.</w:t>
      </w:r>
    </w:p>
    <w:p>
      <w:r>
        <w:rPr>
          <w:b/>
        </w:rPr>
        <w:t xml:space="preserve">8 </w:t>
      </w:r>
      <w:r>
        <w:t xml:space="preserve">Look, I have two daughters who have not known a man. I will bring them out to you, and use them as may please you. Only do no wrong to these men, because for this reason they entered under the shelter of my roof-beams</w:t>
      </w:r>
      <w:r>
        <w:rPr>
          <w:rStyle w:val="FootnoteReference"/>
        </w:rPr>
        <w:footnoteReference w:id="485"/>
      </w:r>
      <w:r>
        <w:t xml:space="preserve">.</w:t>
      </w:r>
    </w:p>
    <w:p>
      <w:r>
        <w:rPr>
          <w:b/>
        </w:rPr>
        <w:t xml:space="preserve">9 </w:t>
      </w:r>
      <w:r>
        <w:t xml:space="preserve">And they said to him, Stand</w:t>
      </w:r>
      <w:r>
        <w:rPr>
          <w:rStyle w:val="FootnoteReference"/>
        </w:rPr>
        <w:footnoteReference w:id="486"/>
      </w:r>
      <w:r>
        <w:t xml:space="preserve"> back there. You came in to live as a foreigner; do you also mean to judge</w:t>
      </w:r>
      <w:r>
        <w:rPr>
          <w:rStyle w:val="FootnoteReference"/>
        </w:rPr>
        <w:footnoteReference w:id="487"/>
      </w:r>
      <w:r>
        <w:t xml:space="preserve">? Now we will mistreat you more than them. And they pressed the man Lot very hard, and they drew near to break the door.</w:t>
      </w:r>
    </w:p>
    <w:p>
      <w:r>
        <w:rPr>
          <w:b/>
        </w:rPr>
        <w:t xml:space="preserve">10 </w:t>
      </w:r>
      <w:r>
        <w:t xml:space="preserve">And the men stretched out their hands and drew Lot into the house to themselves, and they shut the door of the house.</w:t>
      </w:r>
    </w:p>
    <w:p>
      <w:r>
        <w:rPr>
          <w:b/>
        </w:rPr>
        <w:t xml:space="preserve">11 </w:t>
      </w:r>
      <w:r>
        <w:t xml:space="preserve">And the men at the door of the house they struck with blindness</w:t>
      </w:r>
      <w:r>
        <w:rPr>
          <w:rStyle w:val="FootnoteReference"/>
        </w:rPr>
        <w:footnoteReference w:id="488"/>
      </w:r>
      <w:r>
        <w:t xml:space="preserve">, from small to great, and they were worn out seeking the door.</w:t>
      </w:r>
    </w:p>
    <w:p>
      <w:r>
        <w:rPr>
          <w:b/>
        </w:rPr>
        <w:t xml:space="preserve">12 </w:t>
      </w:r>
      <w:r>
        <w:t xml:space="preserve">And the men said to Lot, Do you have here sons-in-law or sons or daughters? Or if anyone else is yours in the city, bring them out from this place.</w:t>
      </w:r>
    </w:p>
    <w:p>
      <w:r>
        <w:rPr>
          <w:b/>
        </w:rPr>
        <w:t xml:space="preserve">13 </w:t>
      </w:r>
      <w:r>
        <w:t xml:space="preserve">Because we are destroying this place, because their outcry has been lifted up before the Lord, and the Lord has sent us to wipe it out.</w:t>
      </w:r>
    </w:p>
    <w:p>
      <w:r>
        <w:rPr>
          <w:b/>
        </w:rPr>
        <w:t xml:space="preserve">14 </w:t>
      </w:r>
      <w:r>
        <w:t xml:space="preserve">And Lot went out and spoke to his sons-in-law, those who had taken his daughters, and said, Rise and go out from this place, because the Lord is wiping out the city. But he seemed to be joking</w:t>
      </w:r>
      <w:r>
        <w:rPr>
          <w:rStyle w:val="FootnoteReference"/>
        </w:rPr>
        <w:footnoteReference w:id="489"/>
      </w:r>
      <w:r>
        <w:t xml:space="preserve"> before his sons-in-law.</w:t>
      </w:r>
    </w:p>
    <w:p>
      <w:r>
        <w:rPr>
          <w:b/>
        </w:rPr>
        <w:t xml:space="preserve">15 </w:t>
      </w:r>
      <w:r>
        <w:t xml:space="preserve">When dawn was coming, the angels urged Lot, saying, Rise, take your wife and your two daughters whom you have, and go out, lest you too be destroyed with the lawless acts of the city.</w:t>
      </w:r>
    </w:p>
    <w:p>
      <w:r>
        <w:rPr>
          <w:b/>
        </w:rPr>
        <w:t xml:space="preserve">16 </w:t>
      </w:r>
      <w:r>
        <w:t xml:space="preserve">And they were troubled</w:t>
      </w:r>
      <w:r>
        <w:rPr>
          <w:rStyle w:val="FootnoteReference"/>
        </w:rPr>
        <w:footnoteReference w:id="490"/>
      </w:r>
      <w:r>
        <w:t xml:space="preserve">, and the angels took hold of his hand and the hand of his wife and the hands of his two daughters, because the Lord</w:t>
      </w:r>
      <w:r>
        <w:rPr>
          <w:rStyle w:val="FootnoteReference"/>
        </w:rPr>
        <w:footnoteReference w:id="491"/>
      </w:r>
      <w:r>
        <w:t xml:space="preserve"> spared him.</w:t>
      </w:r>
    </w:p>
    <w:p>
      <w:r>
        <w:rPr>
          <w:b/>
        </w:rPr>
        <w:t xml:space="preserve">17 </w:t>
      </w:r>
      <w:r>
        <w:t xml:space="preserve">And it happened when they brought them outside that they said, Save your own life by all means. Do not look around to what is behind, and do not stand in all the surrounding region. Escape</w:t>
      </w:r>
      <w:r>
        <w:rPr>
          <w:rStyle w:val="FootnoteReference"/>
        </w:rPr>
        <w:footnoteReference w:id="492"/>
      </w:r>
      <w:r>
        <w:t xml:space="preserve"> to the mountain, lest perhaps you be taken together with them.</w:t>
      </w:r>
    </w:p>
    <w:p>
      <w:r>
        <w:rPr>
          <w:b/>
        </w:rPr>
        <w:t xml:space="preserve">18 </w:t>
      </w:r>
      <w:r>
        <w:t xml:space="preserve">And Lot said to them, I beg, lord,</w:t>
      </w:r>
    </w:p>
    <w:p>
      <w:r>
        <w:rPr>
          <w:b/>
        </w:rPr>
        <w:t xml:space="preserve">19 </w:t>
      </w:r>
      <w:r>
        <w:t xml:space="preserve">Since your servant has found mercy before you, and you have magnified your righteousness, what you are doing toward me to keep my life alive, I will not be able to escape to the mountain, lest perhaps the evils overtake me and I die.</w:t>
      </w:r>
      <w:r>
        <w:rPr>
          <w:rStyle w:val="FootnoteReference"/>
        </w:rPr>
        <w:footnoteReference w:id="493"/>
      </w:r>
    </w:p>
    <w:p>
      <w:r>
        <w:rPr>
          <w:b/>
        </w:rPr>
        <w:t xml:space="preserve">20 </w:t>
      </w:r>
      <w:r>
        <w:t xml:space="preserve">Look, this city is near for me to flee there, and it is small, and there I shall be preserved. Is it not small? And my</w:t>
      </w:r>
      <w:r>
        <w:rPr>
          <w:rStyle w:val="FootnoteReference"/>
        </w:rPr>
        <w:footnoteReference w:id="494"/>
      </w:r>
      <w:r>
        <w:t xml:space="preserve"> life shall live because of you.</w:t>
      </w:r>
    </w:p>
    <w:p>
      <w:r>
        <w:rPr>
          <w:b/>
        </w:rPr>
        <w:t xml:space="preserve">21 </w:t>
      </w:r>
      <w:r>
        <w:t xml:space="preserve">And he said to him, Look, I have shown regard for you also in this matter, that I should not overthrow the city about which you spoke.</w:t>
      </w:r>
    </w:p>
    <w:p>
      <w:r>
        <w:rPr>
          <w:b/>
        </w:rPr>
        <w:t xml:space="preserve">22 </w:t>
      </w:r>
      <w:r>
        <w:t xml:space="preserve">Hasten then to be saved there, for I will not be able to do anything until you come there. Because of this he called</w:t>
      </w:r>
      <w:r>
        <w:rPr>
          <w:rStyle w:val="FootnoteReference"/>
        </w:rPr>
        <w:footnoteReference w:id="495"/>
      </w:r>
      <w:r>
        <w:t xml:space="preserve"> the name of that city Zoar.</w:t>
      </w:r>
    </w:p>
    <w:p>
      <w:r>
        <w:rPr>
          <w:b/>
        </w:rPr>
        <w:t xml:space="preserve">23 </w:t>
      </w:r>
      <w:r>
        <w:t xml:space="preserve">The sun came out upon the earth, and Lot entered into Zoar.</w:t>
      </w:r>
    </w:p>
    <w:p>
      <w:r>
        <w:rPr>
          <w:b/>
        </w:rPr>
        <w:t xml:space="preserve">24 </w:t>
      </w:r>
      <w:r>
        <w:t xml:space="preserve">And the Lord</w:t>
      </w:r>
      <w:r>
        <w:rPr>
          <w:rStyle w:val="FootnoteReference"/>
        </w:rPr>
        <w:footnoteReference w:id="496"/>
      </w:r>
      <w:r>
        <w:t xml:space="preserve"> rained upon Sodom and Gomorrah sulfur and fire from the Lord out of heaven.</w:t>
      </w:r>
    </w:p>
    <w:p>
      <w:r>
        <w:rPr>
          <w:b/>
        </w:rPr>
        <w:t xml:space="preserve">25 </w:t>
      </w:r>
      <w:r>
        <w:t xml:space="preserve">And he overthrew these cities and all the surrounding region and all dwelling in the cities and the things springing up from the earth.</w:t>
      </w:r>
    </w:p>
    <w:p>
      <w:r>
        <w:rPr>
          <w:b/>
        </w:rPr>
        <w:t xml:space="preserve">26 </w:t>
      </w:r>
      <w:r>
        <w:t xml:space="preserve">And his wife looked</w:t>
      </w:r>
      <w:r>
        <w:rPr>
          <w:rStyle w:val="FootnoteReference"/>
        </w:rPr>
        <w:footnoteReference w:id="497"/>
      </w:r>
      <w:r>
        <w:t xml:space="preserve"> back, and she became a pillar of salt.</w:t>
      </w:r>
    </w:p>
    <w:p>
      <w:r>
        <w:rPr>
          <w:b/>
        </w:rPr>
        <w:t xml:space="preserve">27 </w:t>
      </w:r>
      <w:r>
        <w:t xml:space="preserve">And Abraham rose early</w:t>
      </w:r>
      <w:r>
        <w:rPr>
          <w:rStyle w:val="FootnoteReference"/>
        </w:rPr>
        <w:footnoteReference w:id="498"/>
      </w:r>
      <w:r>
        <w:t xml:space="preserve"> in the morning to the place where he had stood before the Lord.</w:t>
      </w:r>
    </w:p>
    <w:p>
      <w:r>
        <w:rPr>
          <w:b/>
        </w:rPr>
        <w:t xml:space="preserve">28 </w:t>
      </w:r>
      <w:r>
        <w:t xml:space="preserve">And he looked toward Sodom and Gomorrah and toward the surrounding region and saw, and look, flame went up from the earth like the vapor of a furnace.</w:t>
      </w:r>
    </w:p>
    <w:p>
      <w:r>
        <w:rPr>
          <w:b/>
        </w:rPr>
        <w:t xml:space="preserve">29 </w:t>
      </w:r>
      <w:r>
        <w:t xml:space="preserve">And it happened when God destroyed all the cities of the surrounding region, God remembered Abraham</w:t>
      </w:r>
      <w:r>
        <w:rPr>
          <w:rStyle w:val="FootnoteReference"/>
        </w:rPr>
        <w:footnoteReference w:id="499"/>
      </w:r>
      <w:r>
        <w:t xml:space="preserve"> and sent Lot out from the midst of the overthrow, when the Lord overthrew the cities in which Lot dwelt.</w:t>
      </w:r>
    </w:p>
    <w:p>
      <w:r>
        <w:rPr>
          <w:b/>
        </w:rPr>
        <w:t xml:space="preserve">30 </w:t>
      </w:r>
      <w:r>
        <w:t xml:space="preserve">And Lot went up from Zoar and dwelt in the mountain, he and his two daughters with him, for he</w:t>
      </w:r>
      <w:r>
        <w:rPr>
          <w:rStyle w:val="FootnoteReference"/>
        </w:rPr>
        <w:footnoteReference w:id="500"/>
      </w:r>
      <w:r>
        <w:t xml:space="preserve"> feared to dwell in Zoar. And he dwelt in the cave, he and his two daughters with him.</w:t>
      </w:r>
    </w:p>
    <w:p>
      <w:r>
        <w:rPr>
          <w:b/>
        </w:rPr>
        <w:t xml:space="preserve">31 </w:t>
      </w:r>
      <w:r>
        <w:t xml:space="preserve">And the elder said to the younger, Our father is old, and no one is on the earth who will come in to us, as is fitting for all the earth.</w:t>
      </w:r>
    </w:p>
    <w:p>
      <w:r>
        <w:rPr>
          <w:b/>
        </w:rPr>
        <w:t xml:space="preserve">32 </w:t>
      </w:r>
      <w:r>
        <w:t xml:space="preserve">Come and let us make our father drink</w:t>
      </w:r>
      <w:r>
        <w:rPr>
          <w:rStyle w:val="FootnoteReference"/>
        </w:rPr>
        <w:footnoteReference w:id="501"/>
      </w:r>
      <w:r>
        <w:t xml:space="preserve"> wine, and let us sleep with him, and let us raise up seed from our father.</w:t>
      </w:r>
    </w:p>
    <w:p>
      <w:r>
        <w:rPr>
          <w:b/>
        </w:rPr>
        <w:t xml:space="preserve">33 </w:t>
      </w:r>
      <w:r>
        <w:t xml:space="preserve">And they made their father drink</w:t>
      </w:r>
      <w:r>
        <w:rPr>
          <w:rStyle w:val="FootnoteReference"/>
        </w:rPr>
        <w:footnoteReference w:id="502"/>
      </w:r>
      <w:r>
        <w:t xml:space="preserve"> wine in that night, and the elder went in and lay with her father in that night, and he did not know when she lay down or when she rose up.</w:t>
      </w:r>
    </w:p>
    <w:p>
      <w:r>
        <w:rPr>
          <w:b/>
        </w:rPr>
        <w:t xml:space="preserve">34 </w:t>
      </w:r>
      <w:r>
        <w:t xml:space="preserve">And it happened on the next day that the elder said to the younger, Look, I slept yesterday with our father. Let us make him drink wine in this night also, and going in you sleep with him, and let us raise up seed</w:t>
      </w:r>
      <w:r>
        <w:rPr>
          <w:rStyle w:val="FootnoteReference"/>
        </w:rPr>
        <w:footnoteReference w:id="503"/>
      </w:r>
      <w:r>
        <w:t xml:space="preserve"> from our father.</w:t>
      </w:r>
    </w:p>
    <w:p>
      <w:r>
        <w:rPr>
          <w:b/>
        </w:rPr>
        <w:t xml:space="preserve">35 </w:t>
      </w:r>
      <w:r>
        <w:t xml:space="preserve">And they made their father drink wine in that night also, and the younger went in and slept with her father, and he did not know when she lay down nor when she arose.</w:t>
      </w:r>
    </w:p>
    <w:p>
      <w:r>
        <w:rPr>
          <w:b/>
        </w:rPr>
        <w:t xml:space="preserve">36 </w:t>
      </w:r>
      <w:r>
        <w:t xml:space="preserve">And the two daughters of Lot conceived by their father.</w:t>
      </w:r>
    </w:p>
    <w:p>
      <w:r>
        <w:rPr>
          <w:b/>
        </w:rPr>
        <w:t xml:space="preserve">37 </w:t>
      </w:r>
      <w:r>
        <w:t xml:space="preserve">And the elder bore a son and called his name Moab</w:t>
      </w:r>
      <w:r>
        <w:rPr>
          <w:rStyle w:val="FootnoteReference"/>
        </w:rPr>
        <w:footnoteReference w:id="504"/>
      </w:r>
      <w:r>
        <w:t xml:space="preserve">, saying, From my father. This one is the father of the Moabites</w:t>
      </w:r>
      <w:r>
        <w:rPr>
          <w:rStyle w:val="FootnoteReference"/>
        </w:rPr>
        <w:footnoteReference w:id="505"/>
      </w:r>
      <w:r>
        <w:t xml:space="preserve"> to the present day.</w:t>
      </w:r>
      <w:r>
        <w:rPr>
          <w:rStyle w:val="FootnoteReference"/>
        </w:rPr>
        <w:footnoteReference w:id="506"/>
      </w:r>
    </w:p>
    <w:p>
      <w:r>
        <w:rPr>
          <w:b/>
        </w:rPr>
        <w:t xml:space="preserve">38 </w:t>
      </w:r>
      <w:r>
        <w:t xml:space="preserve">And the younger also bore a son and called his name Benammi</w:t>
      </w:r>
      <w:r>
        <w:rPr>
          <w:rStyle w:val="FootnoteReference"/>
        </w:rPr>
        <w:footnoteReference w:id="507"/>
      </w:r>
      <w:r>
        <w:t xml:space="preserve">, saying, Son of my family. This one is the father of the Ammonites</w:t>
      </w:r>
      <w:r>
        <w:rPr>
          <w:rStyle w:val="FootnoteReference"/>
        </w:rPr>
        <w:footnoteReference w:id="508"/>
      </w:r>
      <w:r>
        <w:t xml:space="preserve"> to the present 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Abraham moved from there toward the south land and dwelt between Kadesh</w:t>
      </w:r>
      <w:r>
        <w:rPr>
          <w:rStyle w:val="FootnoteReference"/>
        </w:rPr>
        <w:footnoteReference w:id="509"/>
      </w:r>
      <w:r>
        <w:t xml:space="preserve"> and Shur, and lived as a foreigner in Gerar.</w:t>
      </w:r>
    </w:p>
    <w:p>
      <w:r>
        <w:rPr>
          <w:b/>
        </w:rPr>
        <w:t xml:space="preserve">2 </w:t>
      </w:r>
      <w:r>
        <w:t xml:space="preserve">And Abraham said</w:t>
      </w:r>
      <w:r>
        <w:rPr>
          <w:rStyle w:val="FootnoteReference"/>
        </w:rPr>
        <w:footnoteReference w:id="510"/>
      </w:r>
      <w:r>
        <w:t xml:space="preserve"> concerning Sarah his wife, She is my sister. For he feared to say, She is my wife, lest perhaps the men of the city kill him because of her. And Abimelech</w:t>
      </w:r>
      <w:r>
        <w:rPr>
          <w:rStyle w:val="FootnoteReference"/>
        </w:rPr>
        <w:footnoteReference w:id="511"/>
      </w:r>
      <w:r>
        <w:t xml:space="preserve"> king of Gerar sent and took Sarah.</w:t>
      </w:r>
    </w:p>
    <w:p>
      <w:r>
        <w:rPr>
          <w:b/>
        </w:rPr>
        <w:t xml:space="preserve">3 </w:t>
      </w:r>
      <w:r>
        <w:t xml:space="preserve">And God came to Abimelech in sleep by night and said, Look, you are dying because of the woman whom you have taken, but she has lived with a husband.</w:t>
      </w:r>
    </w:p>
    <w:p>
      <w:r>
        <w:rPr>
          <w:b/>
        </w:rPr>
        <w:t xml:space="preserve">4 </w:t>
      </w:r>
      <w:r>
        <w:t xml:space="preserve">But Abimelech had not touched her, and he said, Lord, will you destroy an ignorant and righteous nation?</w:t>
      </w:r>
    </w:p>
    <w:p>
      <w:r>
        <w:rPr>
          <w:b/>
        </w:rPr>
        <w:t xml:space="preserve">5 </w:t>
      </w:r>
      <w:r>
        <w:t xml:space="preserve">Did he not himself say to me, She is my sister? And did she not say to me, He is my brother? In a pure heart and in the righteousness of my hands I did this.</w:t>
      </w:r>
    </w:p>
    <w:p>
      <w:r>
        <w:rPr>
          <w:b/>
        </w:rPr>
        <w:t xml:space="preserve">6 </w:t>
      </w:r>
      <w:r>
        <w:t xml:space="preserve">And God said to him in sleep, Yes, I knew that you did this in a pure heart, and I spared you so that you should not sin against me. Because of this I did not permit you to touch</w:t>
      </w:r>
      <w:r>
        <w:rPr>
          <w:rStyle w:val="FootnoteReference"/>
        </w:rPr>
        <w:footnoteReference w:id="512"/>
      </w:r>
      <w:r>
        <w:t xml:space="preserve"> her.</w:t>
      </w:r>
    </w:p>
    <w:p>
      <w:r>
        <w:rPr>
          <w:b/>
        </w:rPr>
        <w:t xml:space="preserve">7 </w:t>
      </w:r>
      <w:r>
        <w:t xml:space="preserve">But now return the woman to the man, because he is a prophet</w:t>
      </w:r>
      <w:r>
        <w:rPr>
          <w:rStyle w:val="FootnoteReference"/>
        </w:rPr>
        <w:footnoteReference w:id="513"/>
      </w:r>
      <w:r>
        <w:t xml:space="preserve"> and he will pray for you and you will live. But if you do not return her, know that you shall die, you and all that is yours.</w:t>
      </w:r>
    </w:p>
    <w:p>
      <w:r>
        <w:rPr>
          <w:b/>
        </w:rPr>
        <w:t xml:space="preserve">8 </w:t>
      </w:r>
      <w:r>
        <w:t xml:space="preserve">And Abimelech rose early in the morning and called all his servants and spoke all these words into their ears, and all the men feared exceedingly.</w:t>
      </w:r>
    </w:p>
    <w:p>
      <w:r>
        <w:rPr>
          <w:b/>
        </w:rPr>
        <w:t xml:space="preserve">9 </w:t>
      </w:r>
      <w:r>
        <w:t xml:space="preserve">And Abimelech called Abraham and said to him, What is this you have done to us? Did we sin against you, that you brought upon me and upon my kingdom a great</w:t>
      </w:r>
      <w:r>
        <w:rPr>
          <w:rStyle w:val="FootnoteReference"/>
        </w:rPr>
        <w:footnoteReference w:id="514"/>
      </w:r>
      <w:r>
        <w:t xml:space="preserve"> sin? A deed that no one should do, you have done to me.</w:t>
      </w:r>
    </w:p>
    <w:p>
      <w:r>
        <w:rPr>
          <w:b/>
        </w:rPr>
        <w:t xml:space="preserve">10 </w:t>
      </w:r>
      <w:r>
        <w:t xml:space="preserve">And Abimelech said to Abraham, What did you see, that you did this?</w:t>
      </w:r>
    </w:p>
    <w:p>
      <w:r>
        <w:rPr>
          <w:b/>
        </w:rPr>
        <w:t xml:space="preserve">11 </w:t>
      </w:r>
      <w:r>
        <w:t xml:space="preserve">And Abraham said, For I said, Surely</w:t>
      </w:r>
      <w:r>
        <w:rPr>
          <w:rStyle w:val="FootnoteReference"/>
        </w:rPr>
        <w:footnoteReference w:id="515"/>
      </w:r>
      <w:r>
        <w:t xml:space="preserve"> there is no reverence for God in this place, and they will kill me because of my wife.</w:t>
      </w:r>
    </w:p>
    <w:p>
      <w:r>
        <w:rPr>
          <w:b/>
        </w:rPr>
        <w:t xml:space="preserve">12 </w:t>
      </w:r>
      <w:r>
        <w:t xml:space="preserve">And indeed she truly is my sister by my father, but not by my mother, and she became my wife.</w:t>
      </w:r>
    </w:p>
    <w:p>
      <w:r>
        <w:rPr>
          <w:b/>
        </w:rPr>
        <w:t xml:space="preserve">13 </w:t>
      </w:r>
      <w:r>
        <w:t xml:space="preserve">And it happened when God brought me out from my father's house, that I said to her, This righteousness you shall do</w:t>
      </w:r>
      <w:r>
        <w:rPr>
          <w:rStyle w:val="FootnoteReference"/>
        </w:rPr>
        <w:footnoteReference w:id="516"/>
      </w:r>
      <w:r>
        <w:t xml:space="preserve"> for me: in every place where we enter there, say of me, He is my brother.</w:t>
      </w:r>
    </w:p>
    <w:p>
      <w:r>
        <w:rPr>
          <w:b/>
        </w:rPr>
        <w:t xml:space="preserve">14 </w:t>
      </w:r>
      <w:r>
        <w:t xml:space="preserve">And Abimelech took</w:t>
      </w:r>
      <w:r>
        <w:rPr>
          <w:rStyle w:val="FootnoteReference"/>
        </w:rPr>
        <w:footnoteReference w:id="517"/>
      </w:r>
      <w:r>
        <w:t xml:space="preserve"> a thousand didrachmas and sheep and calves and male-servants and female-servants and gave them to Abraham, and returned Sarah his wife to him.</w:t>
      </w:r>
    </w:p>
    <w:p>
      <w:r>
        <w:rPr>
          <w:b/>
        </w:rPr>
        <w:t xml:space="preserve">15 </w:t>
      </w:r>
      <w:r>
        <w:t xml:space="preserve">And Abimelech said to Abraham, Look, my land</w:t>
      </w:r>
      <w:r>
        <w:rPr>
          <w:rStyle w:val="FootnoteReference"/>
        </w:rPr>
        <w:footnoteReference w:id="518"/>
      </w:r>
      <w:r>
        <w:t xml:space="preserve"> before you. Wherever it pleases you, dwell.</w:t>
      </w:r>
    </w:p>
    <w:p>
      <w:r>
        <w:rPr>
          <w:b/>
        </w:rPr>
        <w:t xml:space="preserve">16 </w:t>
      </w:r>
      <w:r>
        <w:t xml:space="preserve">And to Sarah he said, Look, I have given a thousand</w:t>
      </w:r>
      <w:r>
        <w:rPr>
          <w:rStyle w:val="FootnoteReference"/>
        </w:rPr>
        <w:footnoteReference w:id="519"/>
      </w:r>
      <w:r>
        <w:t xml:space="preserve"> didrachmas to your brother. These shall be to you for the honor of your face and to all the women with you. And speak truth in all things.</w:t>
      </w:r>
    </w:p>
    <w:p>
      <w:r>
        <w:rPr>
          <w:b/>
        </w:rPr>
        <w:t xml:space="preserve">17 </w:t>
      </w:r>
      <w:r>
        <w:t xml:space="preserve">And Abraham prayed to God, and God healed Abimelech and his wife and his female-servants, and they bore children.</w:t>
      </w:r>
    </w:p>
    <w:p>
      <w:r>
        <w:rPr>
          <w:b/>
        </w:rPr>
        <w:t xml:space="preserve">18 </w:t>
      </w:r>
      <w:r>
        <w:t xml:space="preserve">Because in closing the Lord had closed from outside every womb in Abimelech's house, because of Sarah Abraham's wife.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the Lord visited</w:t>
      </w:r>
      <w:r>
        <w:rPr>
          <w:rStyle w:val="FootnoteReference"/>
        </w:rPr>
        <w:footnoteReference w:id="520"/>
      </w:r>
      <w:r>
        <w:t xml:space="preserve"> Sarah, just as he said, and the Lord did for Sarah just as he spoke,</w:t>
      </w:r>
    </w:p>
    <w:p>
      <w:r>
        <w:rPr>
          <w:b/>
        </w:rPr>
        <w:t xml:space="preserve">2 </w:t>
      </w:r>
      <w:r>
        <w:t xml:space="preserve">and conceiving, she bore to Abraham a son in old age, at the appointed time, just as the Lord spoke to him.</w:t>
      </w:r>
    </w:p>
    <w:p>
      <w:r>
        <w:rPr>
          <w:b/>
        </w:rPr>
        <w:t xml:space="preserve">3 </w:t>
      </w:r>
      <w:r>
        <w:t xml:space="preserve">And Abraham called the name of his son who came to be for him, whom Sarah bore to him, Isaac.</w:t>
      </w:r>
    </w:p>
    <w:p>
      <w:r>
        <w:rPr>
          <w:b/>
        </w:rPr>
        <w:t xml:space="preserve">4 </w:t>
      </w:r>
      <w:r>
        <w:t xml:space="preserve">And Abraham circumcised Isaac on the eighth day, just as God commanded him.</w:t>
      </w:r>
    </w:p>
    <w:p>
      <w:r>
        <w:rPr>
          <w:b/>
        </w:rPr>
        <w:t xml:space="preserve">5 </w:t>
      </w:r>
      <w:r>
        <w:t xml:space="preserve">And Abraham was one hundred years old when Isaac his son came to be for him.</w:t>
      </w:r>
    </w:p>
    <w:p>
      <w:r>
        <w:rPr>
          <w:b/>
        </w:rPr>
        <w:t xml:space="preserve">6 </w:t>
      </w:r>
      <w:r>
        <w:t xml:space="preserve">And Sarah said, The Lord made laughter for me, for whoever hears will rejoice with me.</w:t>
      </w:r>
    </w:p>
    <w:p>
      <w:r>
        <w:rPr>
          <w:b/>
        </w:rPr>
        <w:t xml:space="preserve">7 </w:t>
      </w:r>
      <w:r>
        <w:t xml:space="preserve">And she said, Who will report to Abraham that Sarah nurses a child? For I</w:t>
      </w:r>
      <w:r>
        <w:rPr>
          <w:rStyle w:val="FootnoteReference"/>
        </w:rPr>
        <w:footnoteReference w:id="521"/>
      </w:r>
      <w:r>
        <w:t xml:space="preserve"> bore a son in my old age.</w:t>
      </w:r>
    </w:p>
    <w:p>
      <w:r>
        <w:rPr>
          <w:b/>
        </w:rPr>
        <w:t xml:space="preserve">8 </w:t>
      </w:r>
      <w:r>
        <w:t xml:space="preserve">And the child grew and was weaned, and Abraham made a great feast</w:t>
      </w:r>
      <w:r>
        <w:rPr>
          <w:rStyle w:val="FootnoteReference"/>
        </w:rPr>
        <w:footnoteReference w:id="522"/>
      </w:r>
      <w:r>
        <w:t xml:space="preserve"> on the day Isaac his son was weaned.</w:t>
      </w:r>
    </w:p>
    <w:p>
      <w:r>
        <w:rPr>
          <w:b/>
        </w:rPr>
        <w:t xml:space="preserve">9 </w:t>
      </w:r>
      <w:r>
        <w:t xml:space="preserve">And Sarah</w:t>
      </w:r>
      <w:r>
        <w:rPr>
          <w:rStyle w:val="FootnoteReference"/>
        </w:rPr>
        <w:footnoteReference w:id="523"/>
      </w:r>
      <w:r>
        <w:t xml:space="preserve"> saw the son of Hagar the Egyptian, who had come to be for Abraham, playing with Isaac her son.</w:t>
      </w:r>
    </w:p>
    <w:p>
      <w:r>
        <w:rPr>
          <w:b/>
        </w:rPr>
        <w:t xml:space="preserve">10 </w:t>
      </w:r>
      <w:r>
        <w:t xml:space="preserve">And she said to Abraham, Cast out</w:t>
      </w:r>
      <w:r>
        <w:rPr>
          <w:rStyle w:val="FootnoteReference"/>
        </w:rPr>
        <w:footnoteReference w:id="524"/>
      </w:r>
      <w:r>
        <w:t xml:space="preserve"> this servant-girl and her son, for the son of this servant-girl shall certainly not inherit with my son Isaac.</w:t>
      </w:r>
    </w:p>
    <w:p>
      <w:r>
        <w:rPr>
          <w:b/>
        </w:rPr>
        <w:t xml:space="preserve">11 </w:t>
      </w:r>
      <w:r>
        <w:t xml:space="preserve">But the word appeared very hard before Abraham concerning his son.</w:t>
      </w:r>
    </w:p>
    <w:p>
      <w:r>
        <w:rPr>
          <w:b/>
        </w:rPr>
        <w:t xml:space="preserve">12 </w:t>
      </w:r>
      <w:r>
        <w:t xml:space="preserve">And God said to Abraham, Let it not be hard before you concerning the child and concerning the servant-girl. In all that Sarah says to you, hear her voice, because in Isaac</w:t>
      </w:r>
      <w:r>
        <w:rPr>
          <w:rStyle w:val="FootnoteReference"/>
        </w:rPr>
        <w:footnoteReference w:id="525"/>
      </w:r>
      <w:r>
        <w:t xml:space="preserve"> seed shall be called for you.</w:t>
      </w:r>
    </w:p>
    <w:p>
      <w:r>
        <w:rPr>
          <w:b/>
        </w:rPr>
        <w:t xml:space="preserve">13 </w:t>
      </w:r>
      <w:r>
        <w:t xml:space="preserve">And I will make the son of this servant-girl into a great nation also, because he is your seed.</w:t>
      </w:r>
    </w:p>
    <w:p>
      <w:r>
        <w:rPr>
          <w:b/>
        </w:rPr>
        <w:t xml:space="preserve">14 </w:t>
      </w:r>
      <w:r>
        <w:t xml:space="preserve">And Abraham rose early in the morning and took</w:t>
      </w:r>
      <w:r>
        <w:rPr>
          <w:rStyle w:val="FootnoteReference"/>
        </w:rPr>
        <w:footnoteReference w:id="526"/>
      </w:r>
      <w:r>
        <w:t xml:space="preserve"> loaves and a skin of water and gave them to Hagar, and set the child on her shoulders, and sent her away. And departing, she wandered by the wilderness near the well of the oath.</w:t>
      </w:r>
      <w:r>
        <w:rPr>
          <w:rStyle w:val="FootnoteReference"/>
        </w:rPr>
        <w:footnoteReference w:id="527"/>
      </w:r>
    </w:p>
    <w:p>
      <w:r>
        <w:rPr>
          <w:b/>
        </w:rPr>
        <w:t xml:space="preserve">15 </w:t>
      </w:r>
      <w:r>
        <w:t xml:space="preserve">And the water</w:t>
      </w:r>
      <w:r>
        <w:rPr>
          <w:rStyle w:val="FootnoteReference"/>
        </w:rPr>
        <w:footnoteReference w:id="528"/>
      </w:r>
      <w:r>
        <w:t xml:space="preserve"> failed from the skin, and she threw the child under one fir tree.</w:t>
      </w:r>
    </w:p>
    <w:p>
      <w:r>
        <w:rPr>
          <w:b/>
        </w:rPr>
        <w:t xml:space="preserve">16 </w:t>
      </w:r>
      <w:r>
        <w:t xml:space="preserve">And departing she sat opposite him at a distance, about a bow-shot, for she said, I certainly shall not see the death of my child. And she sat opposite him, and the child cried out and wept.</w:t>
      </w:r>
    </w:p>
    <w:p>
      <w:r>
        <w:rPr>
          <w:b/>
        </w:rPr>
        <w:t xml:space="preserve">17 </w:t>
      </w:r>
      <w:r>
        <w:t xml:space="preserve">And God heard</w:t>
      </w:r>
      <w:r>
        <w:rPr>
          <w:rStyle w:val="FootnoteReference"/>
        </w:rPr>
        <w:footnoteReference w:id="529"/>
      </w:r>
      <w:r>
        <w:t xml:space="preserve"> the voice of the child from the place where he was, and an angel of God called Hagar out of heaven and said to her, What is it, Hagar? Do not fear, for God has heard the voice of the child from the place where he is.</w:t>
      </w:r>
    </w:p>
    <w:p>
      <w:r>
        <w:rPr>
          <w:b/>
        </w:rPr>
        <w:t xml:space="preserve">18 </w:t>
      </w:r>
      <w:r>
        <w:t xml:space="preserve">Rise and take the child and hold him in your hand, for I will make him into a great nation.</w:t>
      </w:r>
    </w:p>
    <w:p>
      <w:r>
        <w:rPr>
          <w:b/>
        </w:rPr>
        <w:t xml:space="preserve">19 </w:t>
      </w:r>
      <w:r>
        <w:t xml:space="preserve">And God opened her eyes, and she saw a well of living water and went and filled the skin with water and gave the child drink.</w:t>
      </w:r>
    </w:p>
    <w:p>
      <w:r>
        <w:rPr>
          <w:b/>
        </w:rPr>
        <w:t xml:space="preserve">20 </w:t>
      </w:r>
      <w:r>
        <w:t xml:space="preserve">And God was with the child, and he grew. And he dwelt in the wilderness and became an archer</w:t>
      </w:r>
      <w:r>
        <w:rPr>
          <w:rStyle w:val="FootnoteReference"/>
        </w:rPr>
        <w:footnoteReference w:id="530"/>
      </w:r>
      <w:r>
        <w:t xml:space="preserve">.</w:t>
      </w:r>
    </w:p>
    <w:p>
      <w:r>
        <w:rPr>
          <w:b/>
        </w:rPr>
        <w:t xml:space="preserve">21 </w:t>
      </w:r>
      <w:r>
        <w:t xml:space="preserve">And he dwelt in the wilderness of Paran, and his mother took a wife</w:t>
      </w:r>
      <w:r>
        <w:rPr>
          <w:rStyle w:val="FootnoteReference"/>
        </w:rPr>
        <w:footnoteReference w:id="531"/>
      </w:r>
      <w:r>
        <w:t xml:space="preserve"> for him out of the land of Egypt.</w:t>
      </w:r>
    </w:p>
    <w:p>
      <w:r>
        <w:rPr>
          <w:b/>
        </w:rPr>
        <w:t xml:space="preserve">22 </w:t>
      </w:r>
      <w:r>
        <w:t xml:space="preserve">And it happened at that time that Abimelech</w:t>
      </w:r>
      <w:r>
        <w:rPr>
          <w:rStyle w:val="FootnoteReference"/>
        </w:rPr>
        <w:footnoteReference w:id="532"/>
      </w:r>
      <w:r>
        <w:t xml:space="preserve"> and Ahuzzath</w:t>
      </w:r>
      <w:r>
        <w:rPr>
          <w:rStyle w:val="FootnoteReference"/>
        </w:rPr>
        <w:footnoteReference w:id="533"/>
      </w:r>
      <w:r>
        <w:t xml:space="preserve"> his marriage-companion and Phichol</w:t>
      </w:r>
      <w:r>
        <w:rPr>
          <w:rStyle w:val="FootnoteReference"/>
        </w:rPr>
        <w:footnoteReference w:id="534"/>
      </w:r>
      <w:r>
        <w:t xml:space="preserve"> the commander-in-chief of his force said to Abraham, saying, God is with you in all that you may do.</w:t>
      </w:r>
    </w:p>
    <w:p>
      <w:r>
        <w:rPr>
          <w:b/>
        </w:rPr>
        <w:t xml:space="preserve">23 </w:t>
      </w:r>
      <w:r>
        <w:t xml:space="preserve">Now then swear</w:t>
      </w:r>
      <w:r>
        <w:rPr>
          <w:rStyle w:val="FootnoteReference"/>
        </w:rPr>
        <w:footnoteReference w:id="535"/>
      </w:r>
      <w:r>
        <w:t xml:space="preserve"> to me by God that you will not wrong me, nor my seed, nor my name, but according to the righteousness that I did with you, you shall do with me and with the land in which you have lived as a foreigner.</w:t>
      </w:r>
      <w:r>
        <w:rPr>
          <w:rStyle w:val="FootnoteReference"/>
        </w:rPr>
        <w:footnoteReference w:id="536"/>
      </w:r>
    </w:p>
    <w:p>
      <w:r>
        <w:rPr>
          <w:b/>
        </w:rPr>
        <w:t xml:space="preserve">24 </w:t>
      </w:r>
      <w:r>
        <w:t xml:space="preserve">And Abraham said, I will swear</w:t>
      </w:r>
      <w:r>
        <w:rPr>
          <w:rStyle w:val="FootnoteReference"/>
        </w:rPr>
        <w:footnoteReference w:id="537"/>
      </w:r>
      <w:r>
        <w:t xml:space="preserve">.</w:t>
      </w:r>
    </w:p>
    <w:p>
      <w:r>
        <w:rPr>
          <w:b/>
        </w:rPr>
        <w:t xml:space="preserve">25 </w:t>
      </w:r>
      <w:r>
        <w:t xml:space="preserve">And Abraham reproved</w:t>
      </w:r>
      <w:r>
        <w:rPr>
          <w:rStyle w:val="FootnoteReference"/>
        </w:rPr>
        <w:footnoteReference w:id="538"/>
      </w:r>
      <w:r>
        <w:t xml:space="preserve"> Abimelech concerning the wells of water, which Abimelech's servants took away.</w:t>
      </w:r>
    </w:p>
    <w:p>
      <w:r>
        <w:rPr>
          <w:b/>
        </w:rPr>
        <w:t xml:space="preserve">26 </w:t>
      </w:r>
      <w:r>
        <w:t xml:space="preserve">And Abimelech said to him, I did not know who did this thing to you, nor did you report it to me, nor did I hear it except today.</w:t>
      </w:r>
    </w:p>
    <w:p>
      <w:r>
        <w:rPr>
          <w:b/>
        </w:rPr>
        <w:t xml:space="preserve">27 </w:t>
      </w:r>
      <w:r>
        <w:t xml:space="preserve">And Abraham took</w:t>
      </w:r>
      <w:r>
        <w:rPr>
          <w:rStyle w:val="FootnoteReference"/>
        </w:rPr>
        <w:footnoteReference w:id="539"/>
      </w:r>
      <w:r>
        <w:t xml:space="preserve"> sheep and calves and gave them to Abimelech, and the two made a covenant.</w:t>
      </w:r>
    </w:p>
    <w:p>
      <w:r>
        <w:rPr>
          <w:b/>
        </w:rPr>
        <w:t xml:space="preserve">28 </w:t>
      </w:r>
      <w:r>
        <w:t xml:space="preserve">And Abraham set seven ewe-lambs of the flock by themselves</w:t>
      </w:r>
      <w:r>
        <w:rPr>
          <w:rStyle w:val="FootnoteReference"/>
        </w:rPr>
        <w:footnoteReference w:id="540"/>
      </w:r>
      <w:r>
        <w:t xml:space="preserve">.</w:t>
      </w:r>
    </w:p>
    <w:p>
      <w:r>
        <w:rPr>
          <w:b/>
        </w:rPr>
        <w:t xml:space="preserve">29 </w:t>
      </w:r>
      <w:r>
        <w:t xml:space="preserve">And Abimelech said to Abraham, What are these seven ewe-lambs of the flock that you set by themselves?</w:t>
      </w:r>
    </w:p>
    <w:p>
      <w:r>
        <w:rPr>
          <w:b/>
        </w:rPr>
        <w:t xml:space="preserve">30 </w:t>
      </w:r>
      <w:r>
        <w:t xml:space="preserve">And Abraham said, You shall receive the seven ewe-lambs from me, so that they may be for me as a witness</w:t>
      </w:r>
      <w:r>
        <w:rPr>
          <w:rStyle w:val="FootnoteReference"/>
        </w:rPr>
        <w:footnoteReference w:id="541"/>
      </w:r>
      <w:r>
        <w:t xml:space="preserve"> that I dug this well.</w:t>
      </w:r>
    </w:p>
    <w:p>
      <w:r>
        <w:rPr>
          <w:b/>
        </w:rPr>
        <w:t xml:space="preserve">31 </w:t>
      </w:r>
      <w:r>
        <w:t xml:space="preserve">Because of this he named the name of that place, Well of Oath, because there both of them swore.</w:t>
      </w:r>
    </w:p>
    <w:p>
      <w:r>
        <w:rPr>
          <w:b/>
        </w:rPr>
        <w:t xml:space="preserve">32 </w:t>
      </w:r>
      <w:r>
        <w:t xml:space="preserve">And they made a covenant at the well of the oath. And Abimelech rose, and Ahuzzath his marriage-companion, and Phichol the commander-in-chief of his force, and they returned to the land of the Philistines</w:t>
      </w:r>
      <w:r>
        <w:rPr>
          <w:rStyle w:val="FootnoteReference"/>
        </w:rPr>
        <w:footnoteReference w:id="542"/>
      </w:r>
      <w:r>
        <w:t xml:space="preserve">.</w:t>
      </w:r>
    </w:p>
    <w:p>
      <w:r>
        <w:rPr>
          <w:b/>
        </w:rPr>
        <w:t xml:space="preserve">33 </w:t>
      </w:r>
      <w:r>
        <w:t xml:space="preserve">And Abraham planted a field at the well of the oath and called</w:t>
      </w:r>
      <w:r>
        <w:rPr>
          <w:rStyle w:val="FootnoteReference"/>
        </w:rPr>
        <w:footnoteReference w:id="543"/>
      </w:r>
      <w:r>
        <w:t xml:space="preserve"> there on the name of the Lord, Everlasting God</w:t>
      </w:r>
      <w:r>
        <w:rPr>
          <w:rStyle w:val="FootnoteReference"/>
        </w:rPr>
        <w:footnoteReference w:id="544"/>
      </w:r>
      <w:r>
        <w:t xml:space="preserve">.</w:t>
      </w:r>
      <w:r>
        <w:rPr>
          <w:rStyle w:val="FootnoteReference"/>
        </w:rPr>
        <w:footnoteReference w:id="545"/>
      </w:r>
    </w:p>
    <w:p>
      <w:r>
        <w:rPr>
          <w:b/>
        </w:rPr>
        <w:t xml:space="preserve">34 </w:t>
      </w:r>
      <w:r>
        <w:t xml:space="preserve">And Abraham lived as a foreigner in the land of the Philistines many days.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it happened after these words that God tested Abraham and said to him, Abraham, Abraham. And he said, Look, I am here.</w:t>
      </w:r>
    </w:p>
    <w:p>
      <w:r>
        <w:rPr>
          <w:b/>
        </w:rPr>
        <w:t xml:space="preserve">2 </w:t>
      </w:r>
      <w:r>
        <w:t xml:space="preserve">And he said, Take</w:t>
      </w:r>
      <w:r>
        <w:rPr>
          <w:rStyle w:val="FootnoteReference"/>
        </w:rPr>
        <w:footnoteReference w:id="546"/>
      </w:r>
      <w:r>
        <w:t xml:space="preserve"> your beloved son, whom you loved, Isaac, and go into the high land and bring him up there as a whole-burnt offering on one of the mountains that I will tell you.</w:t>
      </w:r>
    </w:p>
    <w:p>
      <w:r>
        <w:rPr>
          <w:b/>
        </w:rPr>
        <w:t xml:space="preserve">3 </w:t>
      </w:r>
      <w:r>
        <w:t xml:space="preserve">And Abraham rose early in the morning and saddled his donkey, and took with himself two servants and Isaac his son, and splitting wood for a whole-burnt offering</w:t>
      </w:r>
      <w:r>
        <w:rPr>
          <w:rStyle w:val="FootnoteReference"/>
        </w:rPr>
        <w:footnoteReference w:id="547"/>
      </w:r>
      <w:r>
        <w:t xml:space="preserve">, he rose and went and came to the place that God told him, on the third day.</w:t>
      </w:r>
    </w:p>
    <w:p>
      <w:r>
        <w:rPr>
          <w:b/>
        </w:rPr>
        <w:t xml:space="preserve">4 </w:t>
      </w:r>
      <w:r>
        <w:t xml:space="preserve">And Abraham, looking up with his eyes, saw the place from afar.</w:t>
      </w:r>
    </w:p>
    <w:p>
      <w:r>
        <w:rPr>
          <w:b/>
        </w:rPr>
        <w:t xml:space="preserve">5 </w:t>
      </w:r>
      <w:r>
        <w:t xml:space="preserve">And Abraham said to his servants, Sit here with the donkey, and I and the young one will go through as far as there, and having worshiped we will return to you.</w:t>
      </w:r>
    </w:p>
    <w:p>
      <w:r>
        <w:rPr>
          <w:b/>
        </w:rPr>
        <w:t xml:space="preserve">6 </w:t>
      </w:r>
      <w:r>
        <w:t xml:space="preserve">And Abraham took the wood of the whole-burnt offering and laid it</w:t>
      </w:r>
      <w:r>
        <w:rPr>
          <w:rStyle w:val="FootnoteReference"/>
        </w:rPr>
        <w:footnoteReference w:id="548"/>
      </w:r>
      <w:r>
        <w:t xml:space="preserve"> upon Isaac his son. And he took in his hands also the fire and the knife, and the two went together.</w:t>
      </w:r>
    </w:p>
    <w:p>
      <w:r>
        <w:rPr>
          <w:b/>
        </w:rPr>
        <w:t xml:space="preserve">7 </w:t>
      </w:r>
      <w:r>
        <w:t xml:space="preserve">And Isaac said to Abraham his father, Father. And he said, What is it, child? And he said, Look, the fire and the wood. Where is the sheep for a whole-burnt offering?</w:t>
      </w:r>
      <w:r>
        <w:rPr>
          <w:rStyle w:val="FootnoteReference"/>
        </w:rPr>
        <w:footnoteReference w:id="549"/>
      </w:r>
      <w:r>
        <w:t xml:space="preserve"/>
      </w:r>
    </w:p>
    <w:p>
      <w:r>
        <w:rPr>
          <w:b/>
        </w:rPr>
        <w:t xml:space="preserve">8 </w:t>
      </w:r>
      <w:r>
        <w:t xml:space="preserve">And Abraham said, God will see for himself a sheep for a whole-burnt offering, child. And both went on together.</w:t>
      </w:r>
    </w:p>
    <w:p>
      <w:r>
        <w:rPr>
          <w:b/>
        </w:rPr>
        <w:t xml:space="preserve">9 </w:t>
      </w:r>
      <w:r>
        <w:t xml:space="preserve">And they came to the place</w:t>
      </w:r>
      <w:r>
        <w:rPr>
          <w:rStyle w:val="FootnoteReference"/>
        </w:rPr>
        <w:footnoteReference w:id="550"/>
      </w:r>
      <w:r>
        <w:t xml:space="preserve"> that God told him. And Abraham built there the altar and placed the wood, and having bound together Isaac his son, he laid him on the altar upon the wood.</w:t>
      </w:r>
    </w:p>
    <w:p>
      <w:r>
        <w:rPr>
          <w:b/>
        </w:rPr>
        <w:t xml:space="preserve">10 </w:t>
      </w:r>
      <w:r>
        <w:t xml:space="preserve">And Abraham stretched out his hand to take the knife to slay his son.</w:t>
      </w:r>
    </w:p>
    <w:p>
      <w:r>
        <w:rPr>
          <w:b/>
        </w:rPr>
        <w:t xml:space="preserve">11 </w:t>
      </w:r>
      <w:r>
        <w:t xml:space="preserve">And an angel</w:t>
      </w:r>
      <w:r>
        <w:rPr>
          <w:rStyle w:val="FootnoteReference"/>
        </w:rPr>
        <w:footnoteReference w:id="551"/>
      </w:r>
      <w:r>
        <w:t xml:space="preserve"> of the Lord called him from heaven and said, Abraham, Abraham. And he said, Look, I am here.</w:t>
      </w:r>
    </w:p>
    <w:p>
      <w:r>
        <w:rPr>
          <w:b/>
        </w:rPr>
        <w:t xml:space="preserve">12 </w:t>
      </w:r>
      <w:r>
        <w:t xml:space="preserve">And he said, Do not lay your hand on the child, and do nothing to him, for now I know that you fear God, and for my sake you did not spare your beloved son.</w:t>
      </w:r>
    </w:p>
    <w:p>
      <w:r>
        <w:rPr>
          <w:b/>
        </w:rPr>
        <w:t xml:space="preserve">13 </w:t>
      </w:r>
      <w:r>
        <w:t xml:space="preserve">And Abraham, looking up with his eyes, saw, and look, one ram caught in a thicket by the horns</w:t>
      </w:r>
      <w:r>
        <w:rPr>
          <w:rStyle w:val="FootnoteReference"/>
        </w:rPr>
        <w:footnoteReference w:id="552"/>
      </w:r>
      <w:r>
        <w:t xml:space="preserve">. And Abraham went and took the ram and brought it up as a whole-burnt offering instead of Isaac his son.</w:t>
      </w:r>
    </w:p>
    <w:p>
      <w:r>
        <w:rPr>
          <w:b/>
        </w:rPr>
        <w:t xml:space="preserve">14 </w:t>
      </w:r>
      <w:r>
        <w:t xml:space="preserve">And Abraham called</w:t>
      </w:r>
      <w:r>
        <w:rPr>
          <w:rStyle w:val="FootnoteReference"/>
        </w:rPr>
        <w:footnoteReference w:id="553"/>
      </w:r>
      <w:r>
        <w:t xml:space="preserve"> the name of that place, The Lord saw</w:t>
      </w:r>
      <w:r>
        <w:rPr>
          <w:rStyle w:val="FootnoteReference"/>
        </w:rPr>
        <w:footnoteReference w:id="554"/>
      </w:r>
      <w:r>
        <w:t xml:space="preserve">, so that they may say today, On the mountain the Lord was seen.</w:t>
      </w:r>
      <w:r>
        <w:rPr>
          <w:rStyle w:val="FootnoteReference"/>
        </w:rPr>
        <w:footnoteReference w:id="555"/>
      </w:r>
    </w:p>
    <w:p>
      <w:r>
        <w:rPr>
          <w:b/>
        </w:rPr>
        <w:t xml:space="preserve">15 </w:t>
      </w:r>
      <w:r>
        <w:t xml:space="preserve">And an angel of the Lord called Abraham a second time from heaven, saying,</w:t>
      </w:r>
    </w:p>
    <w:p>
      <w:r>
        <w:rPr>
          <w:b/>
        </w:rPr>
        <w:t xml:space="preserve">16 </w:t>
      </w:r>
      <w:r>
        <w:t xml:space="preserve">By myself I have sworn, says the Lord, because you did this thing, and for my sake did not spare your beloved son,</w:t>
      </w:r>
    </w:p>
    <w:p>
      <w:r>
        <w:rPr>
          <w:b/>
        </w:rPr>
        <w:t xml:space="preserve">17 </w:t>
      </w:r>
      <w:r>
        <w:t xml:space="preserve">Surely in blessing</w:t>
      </w:r>
      <w:r>
        <w:rPr>
          <w:rStyle w:val="FootnoteReference"/>
        </w:rPr>
        <w:footnoteReference w:id="556"/>
      </w:r>
      <w:r>
        <w:t xml:space="preserve"> I will bless you, and in multiplying I will multiply your seed, like the stars of heaven and like the sand beside the shore of the sea, and your seed shall inherit the cities of the adversaries.</w:t>
      </w:r>
    </w:p>
    <w:p>
      <w:r>
        <w:rPr>
          <w:b/>
        </w:rPr>
        <w:t xml:space="preserve">18 </w:t>
      </w:r>
      <w:r>
        <w:t xml:space="preserve">And in</w:t>
      </w:r>
      <w:r>
        <w:rPr>
          <w:rStyle w:val="FootnoteReference"/>
        </w:rPr>
        <w:footnoteReference w:id="557"/>
      </w:r>
      <w:r>
        <w:t xml:space="preserve"> your seed all the nations of the earth shall be blessed, because you hearkened to my voice.</w:t>
      </w:r>
    </w:p>
    <w:p>
      <w:r>
        <w:rPr>
          <w:b/>
        </w:rPr>
        <w:t xml:space="preserve">19 </w:t>
      </w:r>
      <w:r>
        <w:t xml:space="preserve">And Abraham returned to his servants, and rising they went together to the well of the oath. And Abraham dwelt at the well of the oath.</w:t>
      </w:r>
    </w:p>
    <w:p>
      <w:r>
        <w:rPr>
          <w:b/>
        </w:rPr>
        <w:t xml:space="preserve">20 </w:t>
      </w:r>
      <w:r>
        <w:t xml:space="preserve">And it happened after these words that it was reported to Abraham, saying, Look, Milcah</w:t>
      </w:r>
      <w:r>
        <w:rPr>
          <w:rStyle w:val="FootnoteReference"/>
        </w:rPr>
        <w:footnoteReference w:id="558"/>
      </w:r>
      <w:r>
        <w:t xml:space="preserve"> also has borne sons to Nahor your brother,</w:t>
      </w:r>
    </w:p>
    <w:p>
      <w:r>
        <w:rPr>
          <w:b/>
        </w:rPr>
        <w:t xml:space="preserve">21 </w:t>
      </w:r>
      <w:r>
        <w:t xml:space="preserve">Uz the firstborn and Buz</w:t>
      </w:r>
      <w:r>
        <w:rPr>
          <w:rStyle w:val="FootnoteReference"/>
        </w:rPr>
        <w:footnoteReference w:id="559"/>
      </w:r>
      <w:r>
        <w:t xml:space="preserve"> his brother and Kemuel</w:t>
      </w:r>
      <w:r>
        <w:rPr>
          <w:rStyle w:val="FootnoteReference"/>
        </w:rPr>
        <w:footnoteReference w:id="560"/>
      </w:r>
      <w:r>
        <w:t xml:space="preserve"> father of the Syrians</w:t>
      </w:r>
      <w:r>
        <w:rPr>
          <w:rStyle w:val="FootnoteReference"/>
        </w:rPr>
        <w:footnoteReference w:id="561"/>
      </w:r>
      <w:r>
        <w:t xml:space="preserve"/>
      </w:r>
    </w:p>
    <w:p>
      <w:r>
        <w:rPr>
          <w:b/>
        </w:rPr>
        <w:t xml:space="preserve">22 </w:t>
      </w:r>
      <w:r>
        <w:t xml:space="preserve">and Chesed</w:t>
      </w:r>
      <w:r>
        <w:rPr>
          <w:rStyle w:val="FootnoteReference"/>
        </w:rPr>
        <w:footnoteReference w:id="562"/>
      </w:r>
      <w:r>
        <w:t xml:space="preserve"> and Hazo</w:t>
      </w:r>
      <w:r>
        <w:rPr>
          <w:rStyle w:val="FootnoteReference"/>
        </w:rPr>
        <w:footnoteReference w:id="563"/>
      </w:r>
      <w:r>
        <w:t xml:space="preserve"> and Pildash</w:t>
      </w:r>
      <w:r>
        <w:rPr>
          <w:rStyle w:val="FootnoteReference"/>
        </w:rPr>
        <w:footnoteReference w:id="564"/>
      </w:r>
      <w:r>
        <w:t xml:space="preserve"> and Jidlaph</w:t>
      </w:r>
      <w:r>
        <w:rPr>
          <w:rStyle w:val="FootnoteReference"/>
        </w:rPr>
        <w:footnoteReference w:id="565"/>
      </w:r>
      <w:r>
        <w:t xml:space="preserve"> and Bethuel</w:t>
      </w:r>
      <w:r>
        <w:rPr>
          <w:rStyle w:val="FootnoteReference"/>
        </w:rPr>
        <w:footnoteReference w:id="566"/>
      </w:r>
      <w:r>
        <w:t xml:space="preserve">.</w:t>
      </w:r>
      <w:r>
        <w:rPr>
          <w:rStyle w:val="FootnoteReference"/>
        </w:rPr>
        <w:footnoteReference w:id="567"/>
      </w:r>
    </w:p>
    <w:p>
      <w:r>
        <w:rPr>
          <w:b/>
        </w:rPr>
        <w:t xml:space="preserve">23 </w:t>
      </w:r>
      <w:r>
        <w:t xml:space="preserve">And Bethuel</w:t>
      </w:r>
      <w:r>
        <w:rPr>
          <w:rStyle w:val="FootnoteReference"/>
        </w:rPr>
        <w:footnoteReference w:id="568"/>
      </w:r>
      <w:r>
        <w:t xml:space="preserve"> begot Rebekah</w:t>
      </w:r>
      <w:r>
        <w:rPr>
          <w:rStyle w:val="FootnoteReference"/>
        </w:rPr>
        <w:footnoteReference w:id="569"/>
      </w:r>
      <w:r>
        <w:t xml:space="preserve">. These are eight sons whom Milcah bore to Nahor the brother of Abraham.</w:t>
      </w:r>
    </w:p>
    <w:p>
      <w:r>
        <w:rPr>
          <w:b/>
        </w:rPr>
        <w:t xml:space="preserve">24 </w:t>
      </w:r>
      <w:r>
        <w:t xml:space="preserve">And his concubine</w:t>
      </w:r>
      <w:r>
        <w:rPr>
          <w:rStyle w:val="FootnoteReference"/>
        </w:rPr>
        <w:footnoteReference w:id="570"/>
      </w:r>
      <w:r>
        <w:t xml:space="preserve">, whose name was Reumah</w:t>
      </w:r>
      <w:r>
        <w:rPr>
          <w:rStyle w:val="FootnoteReference"/>
        </w:rPr>
        <w:footnoteReference w:id="571"/>
      </w:r>
      <w:r>
        <w:t xml:space="preserve">, also bore Tebah</w:t>
      </w:r>
      <w:r>
        <w:rPr>
          <w:rStyle w:val="FootnoteReference"/>
        </w:rPr>
        <w:footnoteReference w:id="572"/>
      </w:r>
      <w:r>
        <w:t xml:space="preserve"> and Gaham</w:t>
      </w:r>
      <w:r>
        <w:rPr>
          <w:rStyle w:val="FootnoteReference"/>
        </w:rPr>
        <w:footnoteReference w:id="573"/>
      </w:r>
      <w:r>
        <w:t xml:space="preserve"> and Tahash</w:t>
      </w:r>
      <w:r>
        <w:rPr>
          <w:rStyle w:val="FootnoteReference"/>
        </w:rPr>
        <w:footnoteReference w:id="574"/>
      </w:r>
      <w:r>
        <w:t xml:space="preserve"> and Maachah</w:t>
      </w:r>
      <w:r>
        <w:rPr>
          <w:rStyle w:val="FootnoteReference"/>
        </w:rPr>
        <w:footnoteReference w:id="575"/>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Sarah's life was one hundred twenty-seven years.</w:t>
      </w:r>
    </w:p>
    <w:p>
      <w:r>
        <w:rPr>
          <w:b/>
        </w:rPr>
        <w:t xml:space="preserve">2 </w:t>
      </w:r>
      <w:r>
        <w:t xml:space="preserve">And Sarah died in the city of Arba</w:t>
      </w:r>
      <w:r>
        <w:rPr>
          <w:rStyle w:val="FootnoteReference"/>
        </w:rPr>
        <w:footnoteReference w:id="576"/>
      </w:r>
      <w:r>
        <w:t xml:space="preserve">, which is in the hollow (this is Hebron) in the land of Canaan. And Abraham came to lament Sarah and to mourn</w:t>
      </w:r>
      <w:r>
        <w:rPr>
          <w:rStyle w:val="FootnoteReference"/>
        </w:rPr>
        <w:footnoteReference w:id="577"/>
      </w:r>
      <w:r>
        <w:t xml:space="preserve">.</w:t>
      </w:r>
    </w:p>
    <w:p>
      <w:r>
        <w:rPr>
          <w:b/>
        </w:rPr>
        <w:t xml:space="preserve">3 </w:t>
      </w:r>
      <w:r>
        <w:t xml:space="preserve">And Abraham rose up from his dead and Abraham said to the sons of Heth</w:t>
      </w:r>
      <w:r>
        <w:rPr>
          <w:rStyle w:val="FootnoteReference"/>
        </w:rPr>
        <w:footnoteReference w:id="578"/>
      </w:r>
      <w:r>
        <w:t xml:space="preserve">, saying,</w:t>
      </w:r>
      <w:r>
        <w:rPr>
          <w:rStyle w:val="FootnoteReference"/>
        </w:rPr>
        <w:footnoteReference w:id="579"/>
      </w:r>
    </w:p>
    <w:p>
      <w:r>
        <w:rPr>
          <w:b/>
        </w:rPr>
        <w:t xml:space="preserve">4 </w:t>
      </w:r>
      <w:r>
        <w:t xml:space="preserve">I am a sojourner and a temporary resident among you. So give me a burial holding among you, and I will bury</w:t>
      </w:r>
      <w:r>
        <w:rPr>
          <w:rStyle w:val="FootnoteReference"/>
        </w:rPr>
        <w:footnoteReference w:id="580"/>
      </w:r>
      <w:r>
        <w:t xml:space="preserve"> my dead away from me.</w:t>
      </w:r>
    </w:p>
    <w:p>
      <w:r>
        <w:rPr>
          <w:b/>
        </w:rPr>
        <w:t xml:space="preserve">5 </w:t>
      </w:r>
      <w:r>
        <w:t xml:space="preserve">And the sons of Heth answered Abraham, saying, No, lord.</w:t>
      </w:r>
    </w:p>
    <w:p>
      <w:r>
        <w:rPr>
          <w:b/>
        </w:rPr>
        <w:t xml:space="preserve">6 </w:t>
      </w:r>
      <w:r>
        <w:t xml:space="preserve">Hear us. You are a king from God among us. In our choice tombs bury your dead, for none of us will withhold his tomb from you, so that you may bury your dead there.</w:t>
      </w:r>
    </w:p>
    <w:p>
      <w:r>
        <w:rPr>
          <w:b/>
        </w:rPr>
        <w:t xml:space="preserve">7 </w:t>
      </w:r>
      <w:r>
        <w:t xml:space="preserve">And Abraham rose and bowed to the people of the land, to the sons of Heth,</w:t>
      </w:r>
    </w:p>
    <w:p>
      <w:r>
        <w:rPr>
          <w:b/>
        </w:rPr>
        <w:t xml:space="preserve">8 </w:t>
      </w:r>
      <w:r>
        <w:t xml:space="preserve">and Abraham spoke to them, saying, If it is in your mind that I should bury my dead out of my sight, hear me and speak on my behalf to Ephron</w:t>
      </w:r>
      <w:r>
        <w:rPr>
          <w:rStyle w:val="FootnoteReference"/>
        </w:rPr>
        <w:footnoteReference w:id="581"/>
      </w:r>
      <w:r>
        <w:t xml:space="preserve"> son of Zohar</w:t>
      </w:r>
      <w:r>
        <w:rPr>
          <w:rStyle w:val="FootnoteReference"/>
        </w:rPr>
        <w:footnoteReference w:id="582"/>
      </w:r>
      <w:r>
        <w:t xml:space="preserve">,</w:t>
      </w:r>
    </w:p>
    <w:p>
      <w:r>
        <w:rPr>
          <w:b/>
        </w:rPr>
        <w:t xml:space="preserve">9 </w:t>
      </w:r>
      <w:r>
        <w:t xml:space="preserve">and let him give me the double cave, which belongs to him, which is in part of his field. Let him give it to me among you for full silver as a burial holding.</w:t>
      </w:r>
    </w:p>
    <w:p>
      <w:r>
        <w:rPr>
          <w:b/>
        </w:rPr>
        <w:t xml:space="preserve">10 </w:t>
      </w:r>
      <w:r>
        <w:t xml:space="preserve">Now Ephron was sitting in the midst of the sons of Heth. And Ephron the Hittite</w:t>
      </w:r>
      <w:r>
        <w:rPr>
          <w:rStyle w:val="FootnoteReference"/>
        </w:rPr>
        <w:footnoteReference w:id="583"/>
      </w:r>
      <w:r>
        <w:t xml:space="preserve"> answered Abraham, speaking in the hearing of the sons of Heth and of all who entered into the city, saying,</w:t>
      </w:r>
    </w:p>
    <w:p>
      <w:r>
        <w:rPr>
          <w:b/>
        </w:rPr>
        <w:t xml:space="preserve">11 </w:t>
      </w:r>
      <w:r>
        <w:t xml:space="preserve">Listen, lord, and hear me. I give you the field and the cave in it. Before all my fellow-citizens I have given it to you. Bury your dead.</w:t>
      </w:r>
    </w:p>
    <w:p>
      <w:r>
        <w:rPr>
          <w:b/>
        </w:rPr>
        <w:t xml:space="preserve">12 </w:t>
      </w:r>
      <w:r>
        <w:t xml:space="preserve">And Abraham bowed before the people of the land,</w:t>
      </w:r>
    </w:p>
    <w:p>
      <w:r>
        <w:rPr>
          <w:b/>
        </w:rPr>
        <w:t xml:space="preserve">13 </w:t>
      </w:r>
      <w:r>
        <w:t xml:space="preserve">and said to Ephron in the hearing of the people of the land, Since you are for me, hear me. Take the silver for the field from me, and I will bury my dead there.</w:t>
      </w:r>
    </w:p>
    <w:p>
      <w:r>
        <w:rPr>
          <w:b/>
        </w:rPr>
        <w:t xml:space="preserve">14 </w:t>
      </w:r>
      <w:r>
        <w:t xml:space="preserve">And Ephron answered Abraham, saying,</w:t>
      </w:r>
    </w:p>
    <w:p>
      <w:r>
        <w:rPr>
          <w:b/>
        </w:rPr>
        <w:t xml:space="preserve">15 </w:t>
      </w:r>
      <w:r>
        <w:t xml:space="preserve">No, lord, I have indeed heard. Land worth four hundred silver didrachms - but what is that between me and you? So bury your dead.</w:t>
      </w:r>
    </w:p>
    <w:p>
      <w:r>
        <w:rPr>
          <w:b/>
        </w:rPr>
        <w:t xml:space="preserve">16 </w:t>
      </w:r>
      <w:r>
        <w:t xml:space="preserve">And Abraham listened to Ephron, and Abraham weighed</w:t>
      </w:r>
      <w:r>
        <w:rPr>
          <w:rStyle w:val="FootnoteReference"/>
        </w:rPr>
        <w:footnoteReference w:id="584"/>
      </w:r>
      <w:r>
        <w:t xml:space="preserve"> out to Ephron the silver that he had spoken in the hearing of the sons of Heth, four hundred silver didrachms, merchant-approved.</w:t>
      </w:r>
    </w:p>
    <w:p>
      <w:r>
        <w:rPr>
          <w:b/>
        </w:rPr>
        <w:t xml:space="preserve">17 </w:t>
      </w:r>
      <w:r>
        <w:t xml:space="preserve">And the field</w:t>
      </w:r>
      <w:r>
        <w:rPr>
          <w:rStyle w:val="FootnoteReference"/>
        </w:rPr>
        <w:footnoteReference w:id="585"/>
      </w:r>
      <w:r>
        <w:t xml:space="preserve"> of Ephron, which was at the double cave</w:t>
      </w:r>
      <w:r>
        <w:rPr>
          <w:rStyle w:val="FootnoteReference"/>
        </w:rPr>
        <w:footnoteReference w:id="586"/>
      </w:r>
      <w:r>
        <w:t xml:space="preserve">, which is opposite Mamre, the field and the cave in it, and every tree that was in the field, and everything that was within all its borders round about, was established</w:t>
      </w:r>
    </w:p>
    <w:p>
      <w:r>
        <w:rPr>
          <w:b/>
        </w:rPr>
        <w:t xml:space="preserve">18 </w:t>
      </w:r>
      <w:r>
        <w:t xml:space="preserve">to Abraham as a holding, before the sons of Heth and all who entered into the city.</w:t>
      </w:r>
    </w:p>
    <w:p>
      <w:r>
        <w:rPr>
          <w:b/>
        </w:rPr>
        <w:t xml:space="preserve">19 </w:t>
      </w:r>
      <w:r>
        <w:t xml:space="preserve">After this Abraham buried Sarah his wife in the cave of the field at the double place, which is opposite Mamre (this is Hebron) in the land of Canaan.</w:t>
      </w:r>
    </w:p>
    <w:p>
      <w:r>
        <w:rPr>
          <w:b/>
        </w:rPr>
        <w:t xml:space="preserve">20 </w:t>
      </w:r>
      <w:r>
        <w:t xml:space="preserve">And the field and the cave in it were confirmed to Abraham as a burial holding from the sons of Heth.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Abraham was old</w:t>
      </w:r>
      <w:r>
        <w:rPr>
          <w:rStyle w:val="FootnoteReference"/>
        </w:rPr>
        <w:footnoteReference w:id="587"/>
      </w:r>
      <w:r>
        <w:t xml:space="preserve">, far advanced in days, and the Lord had blessed Abraham in everything.</w:t>
      </w:r>
    </w:p>
    <w:p>
      <w:r>
        <w:rPr>
          <w:b/>
        </w:rPr>
        <w:t xml:space="preserve">2 </w:t>
      </w:r>
      <w:r>
        <w:t xml:space="preserve">And Abraham said to his servant, the elder of his house, the ruler of all that was his, Put your hand under my thigh,</w:t>
      </w:r>
    </w:p>
    <w:p>
      <w:r>
        <w:rPr>
          <w:b/>
        </w:rPr>
        <w:t xml:space="preserve">3 </w:t>
      </w:r>
      <w:r>
        <w:t xml:space="preserve">and I will bind you by oath by the Lord, the God of heaven and the God of the earth, that you shall not take a wife for my son Isaac from the daughters of the Canaanites, among whom I dwell,</w:t>
      </w:r>
    </w:p>
    <w:p>
      <w:r>
        <w:rPr>
          <w:b/>
        </w:rPr>
        <w:t xml:space="preserve">4 </w:t>
      </w:r>
      <w:r>
        <w:t xml:space="preserve">but you shall go instead to my land, where I was born, and to my tribe, and take a wife from there for my son Isaac.</w:t>
      </w:r>
    </w:p>
    <w:p>
      <w:r>
        <w:rPr>
          <w:b/>
        </w:rPr>
        <w:t xml:space="preserve">5 </w:t>
      </w:r>
      <w:r>
        <w:t xml:space="preserve">And the servant said to him, Suppose the woman is not willing to come back with me to this land.</w:t>
      </w:r>
      <w:r>
        <w:rPr>
          <w:rStyle w:val="FootnoteReference"/>
        </w:rPr>
        <w:footnoteReference w:id="588"/>
      </w:r>
      <w:r>
        <w:t xml:space="preserve"> Shall I return your son to the land from which you came out?</w:t>
      </w:r>
    </w:p>
    <w:p>
      <w:r>
        <w:rPr>
          <w:b/>
        </w:rPr>
        <w:t xml:space="preserve">6 </w:t>
      </w:r>
      <w:r>
        <w:t xml:space="preserve">And Abraham said to him, Beware for yourself that you do not return my son there.</w:t>
      </w:r>
    </w:p>
    <w:p>
      <w:r>
        <w:rPr>
          <w:b/>
        </w:rPr>
        <w:t xml:space="preserve">7 </w:t>
      </w:r>
      <w:r>
        <w:t xml:space="preserve">The Lord, the God of heaven and the God of the earth, who took</w:t>
      </w:r>
      <w:r>
        <w:rPr>
          <w:rStyle w:val="FootnoteReference"/>
        </w:rPr>
        <w:footnoteReference w:id="589"/>
      </w:r>
      <w:r>
        <w:t xml:space="preserve"> me from my father's house and from the land where I was born</w:t>
      </w:r>
      <w:r>
        <w:rPr>
          <w:rStyle w:val="FootnoteReference"/>
        </w:rPr>
        <w:footnoteReference w:id="590"/>
      </w:r>
      <w:r>
        <w:t xml:space="preserve">, who spoke to me and swore to me, saying, To you and to your seed I will give this land - he himself will send his angel ahead of you, and you shall take a wife for my son from there.</w:t>
      </w:r>
    </w:p>
    <w:p>
      <w:r>
        <w:rPr>
          <w:b/>
        </w:rPr>
        <w:t xml:space="preserve">8 </w:t>
      </w:r>
      <w:r>
        <w:t xml:space="preserve">But if the woman is not willing to come with you into this land, you shall be clear</w:t>
      </w:r>
      <w:r>
        <w:rPr>
          <w:rStyle w:val="FootnoteReference"/>
        </w:rPr>
        <w:footnoteReference w:id="591"/>
      </w:r>
      <w:r>
        <w:t xml:space="preserve"> from my oath. Only do not return my son there.</w:t>
      </w:r>
    </w:p>
    <w:p>
      <w:r>
        <w:rPr>
          <w:b/>
        </w:rPr>
        <w:t xml:space="preserve">9 </w:t>
      </w:r>
      <w:r>
        <w:t xml:space="preserve">And the servant put his hand under the thigh of Abraham his lord and swore to him concerning this matter.</w:t>
      </w:r>
    </w:p>
    <w:p>
      <w:r>
        <w:rPr>
          <w:b/>
        </w:rPr>
        <w:t xml:space="preserve">10 </w:t>
      </w:r>
      <w:r>
        <w:t xml:space="preserve">And the servant took ten camels from the camels of his lord, and from all the good things of his lord with him. And he rose and went to Mesopotamia</w:t>
      </w:r>
      <w:r>
        <w:rPr>
          <w:rStyle w:val="FootnoteReference"/>
        </w:rPr>
        <w:footnoteReference w:id="592"/>
      </w:r>
      <w:r>
        <w:t xml:space="preserve">, to the city of Nahor.</w:t>
      </w:r>
      <w:r>
        <w:rPr>
          <w:rStyle w:val="FootnoteReference"/>
        </w:rPr>
        <w:footnoteReference w:id="593"/>
      </w:r>
    </w:p>
    <w:p>
      <w:r>
        <w:rPr>
          <w:b/>
        </w:rPr>
        <w:t xml:space="preserve">11 </w:t>
      </w:r>
      <w:r>
        <w:t xml:space="preserve">And he made the camels lie down outside the city beside the water well toward evening, at the time when the women who draw water go out.</w:t>
      </w:r>
    </w:p>
    <w:p>
      <w:r>
        <w:rPr>
          <w:b/>
        </w:rPr>
        <w:t xml:space="preserve">12 </w:t>
      </w:r>
      <w:r>
        <w:t xml:space="preserve">And he said, Lord, God of my lord Abraham, prosper things before me today and show mercy toward my lord Abraham.</w:t>
      </w:r>
    </w:p>
    <w:p>
      <w:r>
        <w:rPr>
          <w:b/>
        </w:rPr>
        <w:t xml:space="preserve">13 </w:t>
      </w:r>
      <w:r>
        <w:t xml:space="preserve">Look, I am standing at the spring of water, and the daughters</w:t>
      </w:r>
      <w:r>
        <w:rPr>
          <w:rStyle w:val="FootnoteReference"/>
        </w:rPr>
        <w:footnoteReference w:id="594"/>
      </w:r>
      <w:r>
        <w:t xml:space="preserve"> of those inhabiting the city are coming out to draw water,</w:t>
      </w:r>
    </w:p>
    <w:p>
      <w:r>
        <w:rPr>
          <w:b/>
        </w:rPr>
        <w:t xml:space="preserve">14 </w:t>
      </w:r>
      <w:r>
        <w:t xml:space="preserve">and let</w:t>
      </w:r>
      <w:r>
        <w:rPr>
          <w:rStyle w:val="FootnoteReference"/>
        </w:rPr>
        <w:footnoteReference w:id="595"/>
      </w:r>
      <w:r>
        <w:t xml:space="preserve"> it be that the virgin to whom I say, Lower your water jar so that I may drink, and she says to me, Drink, and I will water your camels until they stop drinking - this is the one you prepared for your servant Isaac, and by this I will know that you have done mercy with my lord Abraham</w:t>
      </w:r>
      <w:r>
        <w:rPr>
          <w:rStyle w:val="FootnoteReference"/>
        </w:rPr>
        <w:footnoteReference w:id="596"/>
      </w:r>
      <w:r>
        <w:t xml:space="preserve">.</w:t>
      </w:r>
    </w:p>
    <w:p>
      <w:r>
        <w:rPr>
          <w:b/>
        </w:rPr>
        <w:t xml:space="preserve">15 </w:t>
      </w:r>
      <w:r>
        <w:t xml:space="preserve">And it happened before he finished speaking in his mind</w:t>
      </w:r>
      <w:r>
        <w:rPr>
          <w:rStyle w:val="FootnoteReference"/>
        </w:rPr>
        <w:footnoteReference w:id="597"/>
      </w:r>
      <w:r>
        <w:t xml:space="preserve">, that at once Rebekah</w:t>
      </w:r>
      <w:r>
        <w:rPr>
          <w:rStyle w:val="FootnoteReference"/>
        </w:rPr>
        <w:footnoteReference w:id="598"/>
      </w:r>
      <w:r>
        <w:t xml:space="preserve"> came out, born to Bethuel son of Milcah wife of Nahor, Abraham's brother, having her water jar on her shoulders.</w:t>
      </w:r>
    </w:p>
    <w:p>
      <w:r>
        <w:rPr>
          <w:b/>
        </w:rPr>
        <w:t xml:space="preserve">16 </w:t>
      </w:r>
      <w:r>
        <w:t xml:space="preserve">And the virgin was very beautiful in appearance. She was a virgin; a man had not known</w:t>
      </w:r>
      <w:r>
        <w:rPr>
          <w:rStyle w:val="FootnoteReference"/>
        </w:rPr>
        <w:footnoteReference w:id="599"/>
      </w:r>
      <w:r>
        <w:t xml:space="preserve"> her. And she went down to the spring, filled her water jar, and came up.</w:t>
      </w:r>
    </w:p>
    <w:p>
      <w:r>
        <w:rPr>
          <w:b/>
        </w:rPr>
        <w:t xml:space="preserve">17 </w:t>
      </w:r>
      <w:r>
        <w:t xml:space="preserve">And the servant ran to meet her and said, Give me a little water to drink from your jar.</w:t>
      </w:r>
    </w:p>
    <w:p>
      <w:r>
        <w:rPr>
          <w:b/>
        </w:rPr>
        <w:t xml:space="preserve">18 </w:t>
      </w:r>
      <w:r>
        <w:t xml:space="preserve">And she said, Drink, lord. And she hurried and lowered the jar onto her arm and gave him drink until he stopped drinking.</w:t>
      </w:r>
    </w:p>
    <w:p>
      <w:r>
        <w:rPr>
          <w:b/>
        </w:rPr>
        <w:t xml:space="preserve">19 </w:t>
      </w:r>
      <w:r>
        <w:t xml:space="preserve">And she said, I will draw for your camels too, until they all drink.</w:t>
      </w:r>
    </w:p>
    <w:p>
      <w:r>
        <w:rPr>
          <w:b/>
        </w:rPr>
        <w:t xml:space="preserve">20 </w:t>
      </w:r>
      <w:r>
        <w:t xml:space="preserve">And she hurried and emptied the water jar into the trough and ran back to the well to draw again and drew for all the camels.</w:t>
      </w:r>
    </w:p>
    <w:p>
      <w:r>
        <w:rPr>
          <w:b/>
        </w:rPr>
        <w:t xml:space="preserve">21 </w:t>
      </w:r>
      <w:r>
        <w:t xml:space="preserve">And the man was closely observing her and kept silent, to know whether the Lord</w:t>
      </w:r>
      <w:r>
        <w:rPr>
          <w:rStyle w:val="FootnoteReference"/>
        </w:rPr>
        <w:footnoteReference w:id="600"/>
      </w:r>
      <w:r>
        <w:t xml:space="preserve"> had prospered his way or not.</w:t>
      </w:r>
    </w:p>
    <w:p>
      <w:r>
        <w:rPr>
          <w:b/>
        </w:rPr>
        <w:t xml:space="preserve">22 </w:t>
      </w:r>
      <w:r>
        <w:t xml:space="preserve">And it happened when all the camels stopped drinking, the man took</w:t>
      </w:r>
      <w:r>
        <w:rPr>
          <w:rStyle w:val="FootnoteReference"/>
        </w:rPr>
        <w:footnoteReference w:id="601"/>
      </w:r>
      <w:r>
        <w:t xml:space="preserve"> golden earrings, a drachm in weight each, and two bracelets for her hands, their weight ten gold pieces.</w:t>
      </w:r>
    </w:p>
    <w:p>
      <w:r>
        <w:rPr>
          <w:b/>
        </w:rPr>
        <w:t xml:space="preserve">23 </w:t>
      </w:r>
      <w:r>
        <w:t xml:space="preserve">And he asked her and said, Whose daughter are you? Tell me whether there is room at your father's house for us to lodge.</w:t>
      </w:r>
    </w:p>
    <w:p>
      <w:r>
        <w:rPr>
          <w:b/>
        </w:rPr>
        <w:t xml:space="preserve">24 </w:t>
      </w:r>
      <w:r>
        <w:t xml:space="preserve">And she said to him, I am daughter of Bethuel, son of Milcah, whom she bore to Nahor.</w:t>
      </w:r>
    </w:p>
    <w:p>
      <w:r>
        <w:rPr>
          <w:b/>
        </w:rPr>
        <w:t xml:space="preserve">25 </w:t>
      </w:r>
      <w:r>
        <w:t xml:space="preserve">And she said to him, We have both much straw and fodder with us, and room to lodge.</w:t>
      </w:r>
    </w:p>
    <w:p>
      <w:r>
        <w:rPr>
          <w:b/>
        </w:rPr>
        <w:t xml:space="preserve">26 </w:t>
      </w:r>
      <w:r>
        <w:t xml:space="preserve">And the man, being well pleased, bowed to the Lord and said,</w:t>
      </w:r>
    </w:p>
    <w:p>
      <w:r>
        <w:rPr>
          <w:b/>
        </w:rPr>
        <w:t xml:space="preserve">27 </w:t>
      </w:r>
      <w:r>
        <w:t xml:space="preserve">Blessed</w:t>
      </w:r>
      <w:r>
        <w:rPr>
          <w:rStyle w:val="FootnoteReference"/>
        </w:rPr>
        <w:footnoteReference w:id="602"/>
      </w:r>
      <w:r>
        <w:t xml:space="preserve"> be the Lord, the God of my lord Abraham, who has not withheld his righteousness and his truth from my lord. And the Lord guided me well to the house of my lord's brother.</w:t>
      </w:r>
    </w:p>
    <w:p>
      <w:r>
        <w:rPr>
          <w:b/>
        </w:rPr>
        <w:t xml:space="preserve">28 </w:t>
      </w:r>
      <w:r>
        <w:t xml:space="preserve">And the girl ran and reported to her mother's</w:t>
      </w:r>
      <w:r>
        <w:rPr>
          <w:rStyle w:val="FootnoteReference"/>
        </w:rPr>
        <w:footnoteReference w:id="603"/>
      </w:r>
      <w:r>
        <w:t xml:space="preserve"> house according to these words.</w:t>
      </w:r>
    </w:p>
    <w:p>
      <w:r>
        <w:rPr>
          <w:b/>
        </w:rPr>
        <w:t xml:space="preserve">29 </w:t>
      </w:r>
      <w:r>
        <w:t xml:space="preserve">Now Rebekah had a brother whose name was Laban</w:t>
      </w:r>
      <w:r>
        <w:rPr>
          <w:rStyle w:val="FootnoteReference"/>
        </w:rPr>
        <w:footnoteReference w:id="604"/>
      </w:r>
      <w:r>
        <w:t xml:space="preserve">. And Laban ran out to the man, to the spring.</w:t>
      </w:r>
    </w:p>
    <w:p>
      <w:r>
        <w:rPr>
          <w:b/>
        </w:rPr>
        <w:t xml:space="preserve">30 </w:t>
      </w:r>
      <w:r>
        <w:t xml:space="preserve">And it happened when he saw the earrings and the bracelets on his sister's hands, and when he heard the words of Rebekah his sister saying, Thus the man spoke to me, that he came to the man standing by the camels at the spring.</w:t>
      </w:r>
      <w:r>
        <w:rPr>
          <w:rStyle w:val="FootnoteReference"/>
        </w:rPr>
        <w:footnoteReference w:id="605"/>
      </w:r>
    </w:p>
    <w:p>
      <w:r>
        <w:rPr>
          <w:b/>
        </w:rPr>
        <w:t xml:space="preserve">31 </w:t>
      </w:r>
      <w:r>
        <w:t xml:space="preserve">And he said to him, Come in, blessed of the Lord. Why do you stand outside? I have prepared the house and a place for the camels.</w:t>
      </w:r>
    </w:p>
    <w:p>
      <w:r>
        <w:rPr>
          <w:b/>
        </w:rPr>
        <w:t xml:space="preserve">32 </w:t>
      </w:r>
      <w:r>
        <w:t xml:space="preserve">And the man entered the house and unloaded the camels and gave straw and fodder to the camels, and water to wash</w:t>
      </w:r>
      <w:r>
        <w:rPr>
          <w:rStyle w:val="FootnoteReference"/>
        </w:rPr>
        <w:footnoteReference w:id="606"/>
      </w:r>
      <w:r>
        <w:t xml:space="preserve"> his feet and the feet of the men with him.</w:t>
      </w:r>
    </w:p>
    <w:p>
      <w:r>
        <w:rPr>
          <w:b/>
        </w:rPr>
        <w:t xml:space="preserve">33 </w:t>
      </w:r>
      <w:r>
        <w:t xml:space="preserve">And he set loaves before them to eat. But he said, I will certainly not eat until I speak my words. And they said, Speak.</w:t>
      </w:r>
    </w:p>
    <w:p>
      <w:r>
        <w:rPr>
          <w:b/>
        </w:rPr>
        <w:t xml:space="preserve">34 </w:t>
      </w:r>
      <w:r>
        <w:t xml:space="preserve">And he said, I am Abraham's servant</w:t>
      </w:r>
      <w:r>
        <w:rPr>
          <w:rStyle w:val="FootnoteReference"/>
        </w:rPr>
        <w:footnoteReference w:id="607"/>
      </w:r>
      <w:r>
        <w:t xml:space="preserve">.</w:t>
      </w:r>
    </w:p>
    <w:p>
      <w:r>
        <w:rPr>
          <w:b/>
        </w:rPr>
        <w:t xml:space="preserve">35 </w:t>
      </w:r>
      <w:r>
        <w:t xml:space="preserve">And the Lord</w:t>
      </w:r>
      <w:r>
        <w:rPr>
          <w:rStyle w:val="FootnoteReference"/>
        </w:rPr>
        <w:footnoteReference w:id="608"/>
      </w:r>
      <w:r>
        <w:t xml:space="preserve"> greatly blessed my lord, and he was exalted. And he gave him sheep and calves and silver and gold and male servants and female servants and camels and donkeys.</w:t>
      </w:r>
    </w:p>
    <w:p>
      <w:r>
        <w:rPr>
          <w:b/>
        </w:rPr>
        <w:t xml:space="preserve">36 </w:t>
      </w:r>
      <w:r>
        <w:t xml:space="preserve">And Sarah</w:t>
      </w:r>
      <w:r>
        <w:rPr>
          <w:rStyle w:val="FootnoteReference"/>
        </w:rPr>
        <w:footnoteReference w:id="609"/>
      </w:r>
      <w:r>
        <w:t xml:space="preserve">, my lord's wife, bore one son to my lord after he had grown old, and he gave him all that he had.</w:t>
      </w:r>
    </w:p>
    <w:p>
      <w:r>
        <w:rPr>
          <w:b/>
        </w:rPr>
        <w:t xml:space="preserve">37 </w:t>
      </w:r>
      <w:r>
        <w:t xml:space="preserve">And my</w:t>
      </w:r>
      <w:r>
        <w:rPr>
          <w:rStyle w:val="FootnoteReference"/>
        </w:rPr>
        <w:footnoteReference w:id="610"/>
      </w:r>
      <w:r>
        <w:t xml:space="preserve"> lord made me swear, saying, You shall not take a wife for my son from the daughters of the Canaanites, among whose land I sojourn,</w:t>
      </w:r>
    </w:p>
    <w:p>
      <w:r>
        <w:rPr>
          <w:b/>
        </w:rPr>
        <w:t xml:space="preserve">38 </w:t>
      </w:r>
      <w:r>
        <w:t xml:space="preserve">but you shall go instead to my father's house and to my tribe</w:t>
      </w:r>
      <w:r>
        <w:rPr>
          <w:rStyle w:val="FootnoteReference"/>
        </w:rPr>
        <w:footnoteReference w:id="611"/>
      </w:r>
      <w:r>
        <w:t xml:space="preserve"> and take a wife for my son from there.</w:t>
      </w:r>
      <w:r>
        <w:rPr>
          <w:rStyle w:val="FootnoteReference"/>
        </w:rPr>
        <w:footnoteReference w:id="612"/>
      </w:r>
    </w:p>
    <w:p>
      <w:r>
        <w:rPr>
          <w:b/>
        </w:rPr>
        <w:t xml:space="preserve">39 </w:t>
      </w:r>
      <w:r>
        <w:t xml:space="preserve">And I said to my lord, Suppose the woman will not come with me.</w:t>
      </w:r>
    </w:p>
    <w:p>
      <w:r>
        <w:rPr>
          <w:b/>
        </w:rPr>
        <w:t xml:space="preserve">40 </w:t>
      </w:r>
      <w:r>
        <w:t xml:space="preserve">And he said to me, The Lord God, before whom I have been well-pleasing, will himself send out his angel with you</w:t>
      </w:r>
      <w:r>
        <w:rPr>
          <w:rStyle w:val="FootnoteReference"/>
        </w:rPr>
        <w:footnoteReference w:id="613"/>
      </w:r>
      <w:r>
        <w:t xml:space="preserve"> and prosper your way, and you shall take a wife for my son from my tribe and from my father's house.</w:t>
      </w:r>
      <w:r>
        <w:rPr>
          <w:rStyle w:val="FootnoteReference"/>
        </w:rPr>
        <w:footnoteReference w:id="614"/>
      </w:r>
    </w:p>
    <w:p>
      <w:r>
        <w:rPr>
          <w:b/>
        </w:rPr>
        <w:t xml:space="preserve">41 </w:t>
      </w:r>
      <w:r>
        <w:t xml:space="preserve">Then you shall be innocent of my curse, for whenever you come to my tribe and they do not give to you, you shall be innocent of my oath.</w:t>
      </w:r>
    </w:p>
    <w:p>
      <w:r>
        <w:rPr>
          <w:b/>
        </w:rPr>
        <w:t xml:space="preserve">42 </w:t>
      </w:r>
      <w:r>
        <w:t xml:space="preserve">And when I came today to the spring I said, Lord, God of my lord Abraham, if you are prospering the way on which I am now going,</w:t>
      </w:r>
    </w:p>
    <w:p>
      <w:r>
        <w:rPr>
          <w:b/>
        </w:rPr>
        <w:t xml:space="preserve">43 </w:t>
      </w:r>
      <w:r>
        <w:t xml:space="preserve">look, I am standing at the spring of water, and the daughters of the men of the city are coming out to draw water. And let it be that the virgin to whom I say, Give me a little water from your jar to drink,</w:t>
      </w:r>
    </w:p>
    <w:p>
      <w:r>
        <w:rPr>
          <w:b/>
        </w:rPr>
        <w:t xml:space="preserve">44 </w:t>
      </w:r>
      <w:r>
        <w:t xml:space="preserve">and she says to me, Drink yourself, and I will draw water for your camels too - this is the woman</w:t>
      </w:r>
      <w:r>
        <w:rPr>
          <w:rStyle w:val="FootnoteReference"/>
        </w:rPr>
        <w:footnoteReference w:id="615"/>
      </w:r>
      <w:r>
        <w:t xml:space="preserve"> whom the Lord prepared for his own servant Isaac, and by this I will know that you have done mercy with my lord Abraham.</w:t>
      </w:r>
    </w:p>
    <w:p>
      <w:r>
        <w:rPr>
          <w:b/>
        </w:rPr>
        <w:t xml:space="preserve">45 </w:t>
      </w:r>
      <w:r>
        <w:t xml:space="preserve">And it happened before I finished speaking</w:t>
      </w:r>
      <w:r>
        <w:rPr>
          <w:rStyle w:val="FootnoteReference"/>
        </w:rPr>
        <w:footnoteReference w:id="616"/>
      </w:r>
      <w:r>
        <w:t xml:space="preserve"> in my mind, at once Rebekah came out having the water jar on her shoulders, and she went down to the spring and drew water. And I said to her, Give me drink.</w:t>
      </w:r>
    </w:p>
    <w:p>
      <w:r>
        <w:rPr>
          <w:b/>
        </w:rPr>
        <w:t xml:space="preserve">46 </w:t>
      </w:r>
      <w:r>
        <w:t xml:space="preserve">And she hurried and lowered the water jar from herself onto her arm and said, Drink, and I will water your camels too. And I drank, and she watered the camels too.</w:t>
      </w:r>
    </w:p>
    <w:p>
      <w:r>
        <w:rPr>
          <w:b/>
        </w:rPr>
        <w:t xml:space="preserve">47 </w:t>
      </w:r>
      <w:r>
        <w:t xml:space="preserve">And I asked her and said, Whose daughter are you? Tell me. And she said, I am daughter of Bethuel son of Nahor, whom Milcah bore to him. And I put</w:t>
      </w:r>
      <w:r>
        <w:rPr>
          <w:rStyle w:val="FootnoteReference"/>
        </w:rPr>
        <w:footnoteReference w:id="617"/>
      </w:r>
      <w:r>
        <w:t xml:space="preserve"> the earrings on her and the bracelets around her hands.</w:t>
      </w:r>
    </w:p>
    <w:p>
      <w:r>
        <w:rPr>
          <w:b/>
        </w:rPr>
        <w:t xml:space="preserve">48 </w:t>
      </w:r>
      <w:r>
        <w:t xml:space="preserve">And being well pleased I bowed</w:t>
      </w:r>
      <w:r>
        <w:rPr>
          <w:rStyle w:val="FootnoteReference"/>
        </w:rPr>
        <w:footnoteReference w:id="618"/>
      </w:r>
      <w:r>
        <w:t xml:space="preserve"> to the Lord and blessed the Lord, the God of my lord Abraham, who prospered me on a true way to take the daughter of my lord's brother for his son.</w:t>
      </w:r>
    </w:p>
    <w:p>
      <w:r>
        <w:rPr>
          <w:b/>
        </w:rPr>
        <w:t xml:space="preserve">49 </w:t>
      </w:r>
      <w:r>
        <w:t xml:space="preserve">So now, if you are doing mercy and righteousness toward my lord, tell me. But if not, tell me, so that I may turn to the right or to the left.</w:t>
      </w:r>
    </w:p>
    <w:p>
      <w:r>
        <w:rPr>
          <w:b/>
        </w:rPr>
        <w:t xml:space="preserve">50 </w:t>
      </w:r>
      <w:r>
        <w:t xml:space="preserve">And Laban</w:t>
      </w:r>
      <w:r>
        <w:rPr>
          <w:rStyle w:val="FootnoteReference"/>
        </w:rPr>
        <w:footnoteReference w:id="619"/>
      </w:r>
      <w:r>
        <w:t xml:space="preserve"> and Bethuel answered and said, This command has gone out from the Lord. So we will not be able to speak against you evil or good.</w:t>
      </w:r>
    </w:p>
    <w:p>
      <w:r>
        <w:rPr>
          <w:b/>
        </w:rPr>
        <w:t xml:space="preserve">51 </w:t>
      </w:r>
      <w:r>
        <w:t xml:space="preserve">Look, Rebekah</w:t>
      </w:r>
      <w:r>
        <w:rPr>
          <w:rStyle w:val="FootnoteReference"/>
        </w:rPr>
        <w:footnoteReference w:id="620"/>
      </w:r>
      <w:r>
        <w:t xml:space="preserve"> is before you. Take her and go quickly, and let her be wife to your lord's son, just as the Lord spoke.</w:t>
      </w:r>
    </w:p>
    <w:p>
      <w:r>
        <w:rPr>
          <w:b/>
        </w:rPr>
        <w:t xml:space="preserve">52 </w:t>
      </w:r>
      <w:r>
        <w:t xml:space="preserve">And it happened when Abraham's servant heard these words, he bowed to the ground to the Lord.</w:t>
      </w:r>
    </w:p>
    <w:p>
      <w:r>
        <w:rPr>
          <w:b/>
        </w:rPr>
        <w:t xml:space="preserve">53 </w:t>
      </w:r>
      <w:r>
        <w:t xml:space="preserve">And the servant brought out silver vessels and gold vessels and clothing and gave them to Rebekah, and he gave gifts to her brother and to her mother.</w:t>
      </w:r>
    </w:p>
    <w:p>
      <w:r>
        <w:rPr>
          <w:b/>
        </w:rPr>
        <w:t xml:space="preserve">54 </w:t>
      </w:r>
      <w:r>
        <w:t xml:space="preserve">And he and the men with him ate and drank and slept. And rising in the morning, he said, Send me</w:t>
      </w:r>
      <w:r>
        <w:rPr>
          <w:rStyle w:val="FootnoteReference"/>
        </w:rPr>
        <w:footnoteReference w:id="621"/>
      </w:r>
      <w:r>
        <w:t xml:space="preserve"> away, so that I may go to my lord.</w:t>
      </w:r>
    </w:p>
    <w:p>
      <w:r>
        <w:rPr>
          <w:b/>
        </w:rPr>
        <w:t xml:space="preserve">55 </w:t>
      </w:r>
      <w:r>
        <w:t xml:space="preserve">But her brothers and her mother said, Let the virgin remain with us about ten days, and after that she will depart.</w:t>
      </w:r>
    </w:p>
    <w:p>
      <w:r>
        <w:rPr>
          <w:b/>
        </w:rPr>
        <w:t xml:space="preserve">56 </w:t>
      </w:r>
      <w:r>
        <w:t xml:space="preserve">But he said to them, Do not hold me back, for the Lord prospered</w:t>
      </w:r>
      <w:r>
        <w:rPr>
          <w:rStyle w:val="FootnoteReference"/>
        </w:rPr>
        <w:footnoteReference w:id="622"/>
      </w:r>
      <w:r>
        <w:t xml:space="preserve"> my way for me. Send me away, so that I may go to my lord.</w:t>
      </w:r>
    </w:p>
    <w:p>
      <w:r>
        <w:rPr>
          <w:b/>
        </w:rPr>
        <w:t xml:space="preserve">57 </w:t>
      </w:r>
      <w:r>
        <w:t xml:space="preserve">And they said, Let us call the girl and ask from her mouth.</w:t>
      </w:r>
    </w:p>
    <w:p>
      <w:r>
        <w:rPr>
          <w:b/>
        </w:rPr>
        <w:t xml:space="preserve">58 </w:t>
      </w:r>
      <w:r>
        <w:t xml:space="preserve">And they called Rebekah and said to her, Will you go with this man? And she said, I will go.</w:t>
      </w:r>
    </w:p>
    <w:p>
      <w:r>
        <w:rPr>
          <w:b/>
        </w:rPr>
        <w:t xml:space="preserve">59 </w:t>
      </w:r>
      <w:r>
        <w:t xml:space="preserve">And they sent away Rebekah their</w:t>
      </w:r>
      <w:r>
        <w:rPr>
          <w:rStyle w:val="FootnoteReference"/>
        </w:rPr>
        <w:footnoteReference w:id="623"/>
      </w:r>
      <w:r>
        <w:t xml:space="preserve"> sister and what belonged to her</w:t>
      </w:r>
      <w:r>
        <w:rPr>
          <w:rStyle w:val="FootnoteReference"/>
        </w:rPr>
        <w:footnoteReference w:id="624"/>
      </w:r>
      <w:r>
        <w:t xml:space="preserve">, and Abraham's servant and those with him.</w:t>
      </w:r>
    </w:p>
    <w:p>
      <w:r>
        <w:rPr>
          <w:b/>
        </w:rPr>
        <w:t xml:space="preserve">60 </w:t>
      </w:r>
      <w:r>
        <w:t xml:space="preserve">And they blessed Rebekah and said to her, You are our sister. Become into thousands</w:t>
      </w:r>
      <w:r>
        <w:rPr>
          <w:rStyle w:val="FootnoteReference"/>
        </w:rPr>
        <w:footnoteReference w:id="625"/>
      </w:r>
      <w:r>
        <w:t xml:space="preserve"> of myriads, and let your seed inherit the cities of the adversaries.</w:t>
      </w:r>
    </w:p>
    <w:p>
      <w:r>
        <w:rPr>
          <w:b/>
        </w:rPr>
        <w:t xml:space="preserve">61 </w:t>
      </w:r>
      <w:r>
        <w:t xml:space="preserve">And Rebekah rose up and her maidens, and they mounted the camels and went with the man. And the servant, taking Rebekah, went away.</w:t>
      </w:r>
    </w:p>
    <w:p>
      <w:r>
        <w:rPr>
          <w:b/>
        </w:rPr>
        <w:t xml:space="preserve">62 </w:t>
      </w:r>
      <w:r>
        <w:t xml:space="preserve">And Isaac was traveling through the wilderness by the well of the vision, and he was dwelling in the land toward the south</w:t>
      </w:r>
      <w:r>
        <w:rPr>
          <w:rStyle w:val="FootnoteReference"/>
        </w:rPr>
        <w:footnoteReference w:id="626"/>
      </w:r>
      <w:r>
        <w:t xml:space="preserve">.</w:t>
      </w:r>
    </w:p>
    <w:p>
      <w:r>
        <w:rPr>
          <w:b/>
        </w:rPr>
        <w:t xml:space="preserve">63 </w:t>
      </w:r>
      <w:r>
        <w:t xml:space="preserve">And Isaac went out to muse in the field toward evening, and lifting up his eyes he saw camels coming.</w:t>
      </w:r>
    </w:p>
    <w:p>
      <w:r>
        <w:rPr>
          <w:b/>
        </w:rPr>
        <w:t xml:space="preserve">64 </w:t>
      </w:r>
      <w:r>
        <w:t xml:space="preserve">And Rebekah lifted up her eyes and saw Isaac and sprang down from the camel.</w:t>
      </w:r>
    </w:p>
    <w:p>
      <w:r>
        <w:rPr>
          <w:b/>
        </w:rPr>
        <w:t xml:space="preserve">65 </w:t>
      </w:r>
      <w:r>
        <w:t xml:space="preserve">And she said to the servant, Who is that man there walking in the field to meet us? And the servant said, This is my lord. And she took the veil and covered herself.</w:t>
      </w:r>
    </w:p>
    <w:p>
      <w:r>
        <w:rPr>
          <w:b/>
        </w:rPr>
        <w:t xml:space="preserve">66 </w:t>
      </w:r>
      <w:r>
        <w:t xml:space="preserve">And the servant recounted to Isaac all the things that he had done.</w:t>
      </w:r>
    </w:p>
    <w:p>
      <w:r>
        <w:rPr>
          <w:b/>
        </w:rPr>
        <w:t xml:space="preserve">67 </w:t>
      </w:r>
      <w:r>
        <w:t xml:space="preserve">And Isaac went into the house of his mother</w:t>
      </w:r>
      <w:r>
        <w:rPr>
          <w:rStyle w:val="FootnoteReference"/>
        </w:rPr>
        <w:footnoteReference w:id="627"/>
      </w:r>
      <w:r>
        <w:t xml:space="preserve"> and took Rebekah, and she became his wife, and he loved her. And Isaac was comforted concerning Sarah his mother.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Abraham took another wife, whose name was Keturah</w:t>
      </w:r>
      <w:r>
        <w:rPr>
          <w:rStyle w:val="FootnoteReference"/>
        </w:rPr>
        <w:footnoteReference w:id="628"/>
      </w:r>
      <w:r>
        <w:t xml:space="preserve">.</w:t>
      </w:r>
    </w:p>
    <w:p>
      <w:r>
        <w:rPr>
          <w:b/>
        </w:rPr>
        <w:t xml:space="preserve">2 </w:t>
      </w:r>
      <w:r>
        <w:t xml:space="preserve">And she bore to him Zimran</w:t>
      </w:r>
      <w:r>
        <w:rPr>
          <w:rStyle w:val="FootnoteReference"/>
        </w:rPr>
        <w:footnoteReference w:id="629"/>
      </w:r>
      <w:r>
        <w:t xml:space="preserve"> and Jokshan</w:t>
      </w:r>
      <w:r>
        <w:rPr>
          <w:rStyle w:val="FootnoteReference"/>
        </w:rPr>
        <w:footnoteReference w:id="630"/>
      </w:r>
      <w:r>
        <w:t xml:space="preserve"> and Medan</w:t>
      </w:r>
      <w:r>
        <w:rPr>
          <w:rStyle w:val="FootnoteReference"/>
        </w:rPr>
        <w:footnoteReference w:id="631"/>
      </w:r>
      <w:r>
        <w:t xml:space="preserve"> and Midian</w:t>
      </w:r>
      <w:r>
        <w:rPr>
          <w:rStyle w:val="FootnoteReference"/>
        </w:rPr>
        <w:footnoteReference w:id="632"/>
      </w:r>
      <w:r>
        <w:t xml:space="preserve"> and Ishbak</w:t>
      </w:r>
      <w:r>
        <w:rPr>
          <w:rStyle w:val="FootnoteReference"/>
        </w:rPr>
        <w:footnoteReference w:id="633"/>
      </w:r>
      <w:r>
        <w:t xml:space="preserve"> and Shuah</w:t>
      </w:r>
      <w:r>
        <w:rPr>
          <w:rStyle w:val="FootnoteReference"/>
        </w:rPr>
        <w:footnoteReference w:id="634"/>
      </w:r>
      <w:r>
        <w:t xml:space="preserve">.</w:t>
      </w:r>
      <w:r>
        <w:rPr>
          <w:rStyle w:val="FootnoteReference"/>
        </w:rPr>
        <w:footnoteReference w:id="635"/>
      </w:r>
    </w:p>
    <w:p>
      <w:r>
        <w:rPr>
          <w:b/>
        </w:rPr>
        <w:t xml:space="preserve">3 </w:t>
      </w:r>
      <w:r>
        <w:t xml:space="preserve">And Jokshan begot Teman</w:t>
      </w:r>
      <w:r>
        <w:rPr>
          <w:rStyle w:val="FootnoteReference"/>
        </w:rPr>
        <w:footnoteReference w:id="636"/>
      </w:r>
      <w:r>
        <w:t xml:space="preserve"> and Sheba</w:t>
      </w:r>
      <w:r>
        <w:rPr>
          <w:rStyle w:val="FootnoteReference"/>
        </w:rPr>
        <w:footnoteReference w:id="637"/>
      </w:r>
      <w:r>
        <w:t xml:space="preserve"> and Dedan. And sons of Dedan became Reuel</w:t>
      </w:r>
      <w:r>
        <w:rPr>
          <w:rStyle w:val="FootnoteReference"/>
        </w:rPr>
        <w:footnoteReference w:id="638"/>
      </w:r>
      <w:r>
        <w:t xml:space="preserve"> and Adbeel</w:t>
      </w:r>
      <w:r>
        <w:rPr>
          <w:rStyle w:val="FootnoteReference"/>
        </w:rPr>
        <w:footnoteReference w:id="639"/>
      </w:r>
      <w:r>
        <w:t xml:space="preserve"> and Asshurim</w:t>
      </w:r>
      <w:r>
        <w:rPr>
          <w:rStyle w:val="FootnoteReference"/>
        </w:rPr>
        <w:footnoteReference w:id="640"/>
      </w:r>
      <w:r>
        <w:t xml:space="preserve"> and Letushim</w:t>
      </w:r>
      <w:r>
        <w:rPr>
          <w:rStyle w:val="FootnoteReference"/>
        </w:rPr>
        <w:footnoteReference w:id="641"/>
      </w:r>
      <w:r>
        <w:t xml:space="preserve"> and Leummim</w:t>
      </w:r>
      <w:r>
        <w:rPr>
          <w:rStyle w:val="FootnoteReference"/>
        </w:rPr>
        <w:footnoteReference w:id="642"/>
      </w:r>
      <w:r>
        <w:t xml:space="preserve">.</w:t>
      </w:r>
    </w:p>
    <w:p>
      <w:r>
        <w:rPr>
          <w:b/>
        </w:rPr>
        <w:t xml:space="preserve">4 </w:t>
      </w:r>
      <w:r>
        <w:t xml:space="preserve">And sons of Midian were Ephah</w:t>
      </w:r>
      <w:r>
        <w:rPr>
          <w:rStyle w:val="FootnoteReference"/>
        </w:rPr>
        <w:footnoteReference w:id="643"/>
      </w:r>
      <w:r>
        <w:t xml:space="preserve"> and Epher</w:t>
      </w:r>
      <w:r>
        <w:rPr>
          <w:rStyle w:val="FootnoteReference"/>
        </w:rPr>
        <w:footnoteReference w:id="644"/>
      </w:r>
      <w:r>
        <w:t xml:space="preserve"> and Enoch and Abidah</w:t>
      </w:r>
      <w:r>
        <w:rPr>
          <w:rStyle w:val="FootnoteReference"/>
        </w:rPr>
        <w:footnoteReference w:id="645"/>
      </w:r>
      <w:r>
        <w:t xml:space="preserve"> and Eldaah</w:t>
      </w:r>
      <w:r>
        <w:rPr>
          <w:rStyle w:val="FootnoteReference"/>
        </w:rPr>
        <w:footnoteReference w:id="646"/>
      </w:r>
      <w:r>
        <w:t xml:space="preserve">. All these were sons of Keturah.</w:t>
      </w:r>
      <w:r>
        <w:rPr>
          <w:rStyle w:val="FootnoteReference"/>
        </w:rPr>
        <w:footnoteReference w:id="647"/>
      </w:r>
    </w:p>
    <w:p>
      <w:r>
        <w:rPr>
          <w:b/>
        </w:rPr>
        <w:t xml:space="preserve">5 </w:t>
      </w:r>
      <w:r>
        <w:t xml:space="preserve">And Abraham gave all his possessions to Isaac his son,</w:t>
      </w:r>
    </w:p>
    <w:p>
      <w:r>
        <w:rPr>
          <w:b/>
        </w:rPr>
        <w:t xml:space="preserve">6 </w:t>
      </w:r>
      <w:r>
        <w:t xml:space="preserve">but to the sons of his concubines</w:t>
      </w:r>
      <w:r>
        <w:rPr>
          <w:rStyle w:val="FootnoteReference"/>
        </w:rPr>
        <w:footnoteReference w:id="648"/>
      </w:r>
      <w:r>
        <w:t xml:space="preserve"> Abraham gave gifts and sent them away from Isaac his son, while he was still alive, eastward into the eastern land.</w:t>
      </w:r>
    </w:p>
    <w:p>
      <w:r>
        <w:rPr>
          <w:b/>
        </w:rPr>
        <w:t xml:space="preserve">7 </w:t>
      </w:r>
      <w:r>
        <w:t xml:space="preserve">And these were the years of the days of Abraham's life, as many as he lived: one hundred seventy-five years.</w:t>
      </w:r>
    </w:p>
    <w:p>
      <w:r>
        <w:rPr>
          <w:b/>
        </w:rPr>
        <w:t xml:space="preserve">8 </w:t>
      </w:r>
      <w:r>
        <w:t xml:space="preserve">And Abraham came to his end and died in a good</w:t>
      </w:r>
      <w:r>
        <w:rPr>
          <w:rStyle w:val="FootnoteReference"/>
        </w:rPr>
        <w:footnoteReference w:id="649"/>
      </w:r>
      <w:r>
        <w:t xml:space="preserve"> old age, old and full of days, and was added to his people.</w:t>
      </w:r>
    </w:p>
    <w:p>
      <w:r>
        <w:rPr>
          <w:b/>
        </w:rPr>
        <w:t xml:space="preserve">9 </w:t>
      </w:r>
      <w:r>
        <w:t xml:space="preserve">And Isaac</w:t>
      </w:r>
      <w:r>
        <w:rPr>
          <w:rStyle w:val="FootnoteReference"/>
        </w:rPr>
        <w:footnoteReference w:id="650"/>
      </w:r>
      <w:r>
        <w:t xml:space="preserve"> and Ishmael his sons buried him in the double cave, in the field of Ephron son of Zohar the Hittite, which is opposite Mamre,</w:t>
      </w:r>
    </w:p>
    <w:p>
      <w:r>
        <w:rPr>
          <w:b/>
        </w:rPr>
        <w:t xml:space="preserve">10 </w:t>
      </w:r>
      <w:r>
        <w:t xml:space="preserve">the field</w:t>
      </w:r>
      <w:r>
        <w:rPr>
          <w:rStyle w:val="FootnoteReference"/>
        </w:rPr>
        <w:footnoteReference w:id="651"/>
      </w:r>
      <w:r>
        <w:t xml:space="preserve"> and the cave that Abraham acquired from the sons of Heth. There they buried Abraham and Sarah his wife.</w:t>
      </w:r>
    </w:p>
    <w:p>
      <w:r>
        <w:rPr>
          <w:b/>
        </w:rPr>
        <w:t xml:space="preserve">11 </w:t>
      </w:r>
      <w:r>
        <w:t xml:space="preserve">And it happened after Abraham died, God blessed Isaac his son. And Isaac dwelt by the well of the vision.</w:t>
      </w:r>
    </w:p>
    <w:p>
      <w:r>
        <w:rPr>
          <w:b/>
        </w:rPr>
        <w:t xml:space="preserve">12 </w:t>
      </w:r>
      <w:r>
        <w:t xml:space="preserve">And these are the generations of Ishmael son of Abraham, whom Hagar the Egyptian, Sarah's servant-girl, bore to Abraham.</w:t>
      </w:r>
    </w:p>
    <w:p>
      <w:r>
        <w:rPr>
          <w:b/>
        </w:rPr>
        <w:t xml:space="preserve">13 </w:t>
      </w:r>
      <w:r>
        <w:t xml:space="preserve">And these are the names</w:t>
      </w:r>
      <w:r>
        <w:rPr>
          <w:rStyle w:val="FootnoteReference"/>
        </w:rPr>
        <w:footnoteReference w:id="652"/>
      </w:r>
      <w:r>
        <w:t xml:space="preserve"> of Ishmael's sons according to the names of their generations: firstborn of Ishmael, Nebajoth</w:t>
      </w:r>
      <w:r>
        <w:rPr>
          <w:rStyle w:val="FootnoteReference"/>
        </w:rPr>
        <w:footnoteReference w:id="653"/>
      </w:r>
      <w:r>
        <w:t xml:space="preserve">, and Kedar</w:t>
      </w:r>
      <w:r>
        <w:rPr>
          <w:rStyle w:val="FootnoteReference"/>
        </w:rPr>
        <w:footnoteReference w:id="654"/>
      </w:r>
      <w:r>
        <w:t xml:space="preserve"> and Adbeel and Mibsam</w:t>
      </w:r>
      <w:r>
        <w:rPr>
          <w:rStyle w:val="FootnoteReference"/>
        </w:rPr>
        <w:footnoteReference w:id="655"/>
      </w:r>
      <w:r>
        <w:t xml:space="preserve"/>
      </w:r>
    </w:p>
    <w:p>
      <w:r>
        <w:rPr>
          <w:b/>
        </w:rPr>
        <w:t xml:space="preserve">14 </w:t>
      </w:r>
      <w:r>
        <w:t xml:space="preserve">and Mishma</w:t>
      </w:r>
      <w:r>
        <w:rPr>
          <w:rStyle w:val="FootnoteReference"/>
        </w:rPr>
        <w:footnoteReference w:id="656"/>
      </w:r>
      <w:r>
        <w:t xml:space="preserve"> and Dumah</w:t>
      </w:r>
      <w:r>
        <w:rPr>
          <w:rStyle w:val="FootnoteReference"/>
        </w:rPr>
        <w:footnoteReference w:id="657"/>
      </w:r>
      <w:r>
        <w:t xml:space="preserve"> and Massa</w:t>
      </w:r>
      <w:r>
        <w:rPr>
          <w:rStyle w:val="FootnoteReference"/>
        </w:rPr>
        <w:footnoteReference w:id="658"/>
      </w:r>
    </w:p>
    <w:p>
      <w:r>
        <w:rPr>
          <w:b/>
        </w:rPr>
        <w:t xml:space="preserve">15 </w:t>
      </w:r>
      <w:r>
        <w:t xml:space="preserve">and Hadar</w:t>
      </w:r>
      <w:r>
        <w:rPr>
          <w:rStyle w:val="FootnoteReference"/>
        </w:rPr>
        <w:footnoteReference w:id="659"/>
      </w:r>
      <w:r>
        <w:t xml:space="preserve"> and Teman and Jetur</w:t>
      </w:r>
      <w:r>
        <w:rPr>
          <w:rStyle w:val="FootnoteReference"/>
        </w:rPr>
        <w:footnoteReference w:id="660"/>
      </w:r>
      <w:r>
        <w:t xml:space="preserve"> and Naphish</w:t>
      </w:r>
      <w:r>
        <w:rPr>
          <w:rStyle w:val="FootnoteReference"/>
        </w:rPr>
        <w:footnoteReference w:id="661"/>
      </w:r>
      <w:r>
        <w:t xml:space="preserve"> and Kedemah</w:t>
      </w:r>
      <w:r>
        <w:rPr>
          <w:rStyle w:val="FootnoteReference"/>
        </w:rPr>
        <w:footnoteReference w:id="662"/>
      </w:r>
      <w:r>
        <w:t xml:space="preserve">.</w:t>
      </w:r>
      <w:r>
        <w:rPr>
          <w:rStyle w:val="FootnoteReference"/>
        </w:rPr>
        <w:footnoteReference w:id="663"/>
      </w:r>
    </w:p>
    <w:p>
      <w:r>
        <w:rPr>
          <w:b/>
        </w:rPr>
        <w:t xml:space="preserve">16 </w:t>
      </w:r>
      <w:r>
        <w:t xml:space="preserve">These are Ishmael's sons, and these are their names in their tents and in their settlements, twelve</w:t>
      </w:r>
      <w:r>
        <w:rPr>
          <w:rStyle w:val="FootnoteReference"/>
        </w:rPr>
        <w:footnoteReference w:id="664"/>
      </w:r>
      <w:r>
        <w:t xml:space="preserve"> rulers according to their nations.</w:t>
      </w:r>
    </w:p>
    <w:p>
      <w:r>
        <w:rPr>
          <w:b/>
        </w:rPr>
        <w:t xml:space="preserve">17 </w:t>
      </w:r>
      <w:r>
        <w:t xml:space="preserve">And these are</w:t>
      </w:r>
      <w:r>
        <w:rPr>
          <w:rStyle w:val="FootnoteReference"/>
        </w:rPr>
        <w:footnoteReference w:id="665"/>
      </w:r>
      <w:r>
        <w:t xml:space="preserve"> the years of Ishmael's life: one hundred thirty-seven years. And coming to his end he died and was added to his people.</w:t>
      </w:r>
    </w:p>
    <w:p>
      <w:r>
        <w:rPr>
          <w:b/>
        </w:rPr>
        <w:t xml:space="preserve">18 </w:t>
      </w:r>
      <w:r>
        <w:t xml:space="preserve">And he dwelt from Havilah</w:t>
      </w:r>
      <w:r>
        <w:rPr>
          <w:rStyle w:val="FootnoteReference"/>
        </w:rPr>
        <w:footnoteReference w:id="666"/>
      </w:r>
      <w:r>
        <w:t xml:space="preserve"> to Shur, which is opposite Egypt, until one comes to the Assyrians. He dwelt in the presence of all his brothers.</w:t>
      </w:r>
    </w:p>
    <w:p>
      <w:r>
        <w:rPr>
          <w:b/>
        </w:rPr>
        <w:t xml:space="preserve">19 </w:t>
      </w:r>
      <w:r>
        <w:t xml:space="preserve">And these are the generations of Isaac, Abraham</w:t>
      </w:r>
      <w:r>
        <w:rPr>
          <w:rStyle w:val="FootnoteReference"/>
        </w:rPr>
        <w:footnoteReference w:id="667"/>
      </w:r>
      <w:r>
        <w:t xml:space="preserve">'s son.</w:t>
      </w:r>
    </w:p>
    <w:p>
      <w:r>
        <w:rPr>
          <w:b/>
        </w:rPr>
        <w:t xml:space="preserve">20 </w:t>
      </w:r>
      <w:r>
        <w:t xml:space="preserve">Abraham begot Isaac. And Isaac was forty years old when he</w:t>
      </w:r>
      <w:r>
        <w:rPr>
          <w:rStyle w:val="FootnoteReference"/>
        </w:rPr>
        <w:footnoteReference w:id="668"/>
      </w:r>
      <w:r>
        <w:t xml:space="preserve"> took Rebekah, daughter of Bethuel the Syrian</w:t>
      </w:r>
      <w:r>
        <w:rPr>
          <w:rStyle w:val="FootnoteReference"/>
        </w:rPr>
        <w:footnoteReference w:id="669"/>
      </w:r>
      <w:r>
        <w:t xml:space="preserve"> from Mesopotamian Syria</w:t>
      </w:r>
      <w:r>
        <w:rPr>
          <w:rStyle w:val="FootnoteReference"/>
        </w:rPr>
        <w:footnoteReference w:id="670"/>
      </w:r>
      <w:r>
        <w:t xml:space="preserve">, sister of Laban the Syrian, as wife for himself.</w:t>
      </w:r>
    </w:p>
    <w:p>
      <w:r>
        <w:rPr>
          <w:b/>
        </w:rPr>
        <w:t xml:space="preserve">21 </w:t>
      </w:r>
      <w:r>
        <w:t xml:space="preserve">And Isaac was praying to the Lord concerning Rebekah his wife, because she was barren. And God heard him, and Rebekah</w:t>
      </w:r>
      <w:r>
        <w:rPr>
          <w:rStyle w:val="FootnoteReference"/>
        </w:rPr>
        <w:footnoteReference w:id="671"/>
      </w:r>
      <w:r>
        <w:t xml:space="preserve"> his wife conceived in her womb.</w:t>
      </w:r>
    </w:p>
    <w:p>
      <w:r>
        <w:rPr>
          <w:b/>
        </w:rPr>
        <w:t xml:space="preserve">22 </w:t>
      </w:r>
      <w:r>
        <w:t xml:space="preserve">And the children were leaping in her. And she said, If it is going to be like this for me, why is this happening to me? And she went to inquire</w:t>
      </w:r>
      <w:r>
        <w:rPr>
          <w:rStyle w:val="FootnoteReference"/>
        </w:rPr>
        <w:footnoteReference w:id="672"/>
      </w:r>
      <w:r>
        <w:t xml:space="preserve"> from the Lord.</w:t>
      </w:r>
    </w:p>
    <w:p>
      <w:r>
        <w:rPr>
          <w:b/>
        </w:rPr>
        <w:t xml:space="preserve">23 </w:t>
      </w:r>
      <w:r>
        <w:t xml:space="preserve">And the Lord said to her, Two nations</w:t>
      </w:r>
      <w:r>
        <w:rPr>
          <w:rStyle w:val="FootnoteReference"/>
        </w:rPr>
        <w:footnoteReference w:id="673"/>
      </w:r>
      <w:r>
        <w:t xml:space="preserve"> are in your womb, and two peoples will be separated from your belly. And one people will excel the other, and the greater will serve the lesser.</w:t>
      </w:r>
    </w:p>
    <w:p>
      <w:r>
        <w:rPr>
          <w:b/>
        </w:rPr>
        <w:t xml:space="preserve">24 </w:t>
      </w:r>
      <w:r>
        <w:t xml:space="preserve">And the days were fulfilled for her to give birth, and she had twins in her womb.</w:t>
      </w:r>
    </w:p>
    <w:p>
      <w:r>
        <w:rPr>
          <w:b/>
        </w:rPr>
        <w:t xml:space="preserve">25 </w:t>
      </w:r>
      <w:r>
        <w:t xml:space="preserve">And the first came out reddish, all hairy like a hide, and she called his name Esau</w:t>
      </w:r>
      <w:r>
        <w:rPr>
          <w:rStyle w:val="FootnoteReference"/>
        </w:rPr>
        <w:footnoteReference w:id="674"/>
      </w:r>
      <w:r>
        <w:t xml:space="preserve">.</w:t>
      </w:r>
      <w:r>
        <w:rPr>
          <w:rStyle w:val="FootnoteReference"/>
        </w:rPr>
        <w:footnoteReference w:id="675"/>
      </w:r>
    </w:p>
    <w:p>
      <w:r>
        <w:rPr>
          <w:b/>
        </w:rPr>
        <w:t xml:space="preserve">26 </w:t>
      </w:r>
      <w:r>
        <w:t xml:space="preserve">And after</w:t>
      </w:r>
      <w:r>
        <w:rPr>
          <w:rStyle w:val="FootnoteReference"/>
        </w:rPr>
        <w:footnoteReference w:id="676"/>
      </w:r>
      <w:r>
        <w:t xml:space="preserve"> this his brother came out, and his hand was gripping Esau's heel, and he called his name Jacob</w:t>
      </w:r>
      <w:r>
        <w:rPr>
          <w:rStyle w:val="FootnoteReference"/>
        </w:rPr>
        <w:footnoteReference w:id="677"/>
      </w:r>
      <w:r>
        <w:t xml:space="preserve">. And Isaac was sixty years old when Rebekah bore them.</w:t>
      </w:r>
    </w:p>
    <w:p>
      <w:r>
        <w:rPr>
          <w:b/>
        </w:rPr>
        <w:t xml:space="preserve">27 </w:t>
      </w:r>
      <w:r>
        <w:t xml:space="preserve">And the young men grew, and Esau was a man skilled in hunting, a country man, but Jacob was a straightforward man, dwelling</w:t>
      </w:r>
      <w:r>
        <w:rPr>
          <w:rStyle w:val="FootnoteReference"/>
        </w:rPr>
        <w:footnoteReference w:id="678"/>
      </w:r>
      <w:r>
        <w:t xml:space="preserve"> at home.</w:t>
      </w:r>
    </w:p>
    <w:p>
      <w:r>
        <w:rPr>
          <w:b/>
        </w:rPr>
        <w:t xml:space="preserve">28 </w:t>
      </w:r>
      <w:r>
        <w:t xml:space="preserve">And Isaac loved Esau, because his hunting was food for him, but Rebekah</w:t>
      </w:r>
      <w:r>
        <w:rPr>
          <w:rStyle w:val="FootnoteReference"/>
        </w:rPr>
        <w:footnoteReference w:id="679"/>
      </w:r>
      <w:r>
        <w:t xml:space="preserve"> loved Jacob.</w:t>
      </w:r>
    </w:p>
    <w:p>
      <w:r>
        <w:rPr>
          <w:b/>
        </w:rPr>
        <w:t xml:space="preserve">29 </w:t>
      </w:r>
      <w:r>
        <w:t xml:space="preserve">And Jacob cooked stew, and Esau came from the plain exhausted,</w:t>
      </w:r>
    </w:p>
    <w:p>
      <w:r>
        <w:rPr>
          <w:b/>
        </w:rPr>
        <w:t xml:space="preserve">30 </w:t>
      </w:r>
      <w:r>
        <w:t xml:space="preserve">and Esau said to Jacob, Feed me from this red stew, because I am exhausted. Therefore his name was called Edom</w:t>
      </w:r>
      <w:r>
        <w:rPr>
          <w:rStyle w:val="FootnoteReference"/>
        </w:rPr>
        <w:footnoteReference w:id="680"/>
      </w:r>
      <w:r>
        <w:t xml:space="preserve">.</w:t>
      </w:r>
      <w:r>
        <w:rPr>
          <w:rStyle w:val="FootnoteReference"/>
        </w:rPr>
        <w:footnoteReference w:id="681"/>
      </w:r>
    </w:p>
    <w:p>
      <w:r>
        <w:rPr>
          <w:b/>
        </w:rPr>
        <w:t xml:space="preserve">31 </w:t>
      </w:r>
      <w:r>
        <w:t xml:space="preserve">And Jacob said to Esau, Give over to me today your firstborn rights.</w:t>
      </w:r>
    </w:p>
    <w:p>
      <w:r>
        <w:rPr>
          <w:b/>
        </w:rPr>
        <w:t xml:space="preserve">32 </w:t>
      </w:r>
      <w:r>
        <w:t xml:space="preserve">And Esau said, Look, I am going to die, and why are these firstborn rights to me?</w:t>
      </w:r>
    </w:p>
    <w:p>
      <w:r>
        <w:rPr>
          <w:b/>
        </w:rPr>
        <w:t xml:space="preserve">33 </w:t>
      </w:r>
      <w:r>
        <w:t xml:space="preserve">And Jacob said to him, Swear</w:t>
      </w:r>
      <w:r>
        <w:rPr>
          <w:rStyle w:val="FootnoteReference"/>
        </w:rPr>
        <w:footnoteReference w:id="682"/>
      </w:r>
      <w:r>
        <w:t xml:space="preserve"> to me today. And he swore to him, and Esau sold the firstborn rights to Jacob.</w:t>
      </w:r>
    </w:p>
    <w:p>
      <w:r>
        <w:rPr>
          <w:b/>
        </w:rPr>
        <w:t xml:space="preserve">34 </w:t>
      </w:r>
      <w:r>
        <w:t xml:space="preserve">And Jacob gave Esau bread and lentil stew, and he ate and drank and rose and went away. And Esau made light of the firstborn rights.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there came a famine on the land besides the earlier famine that happened in Abraham's time. And Isaac</w:t>
      </w:r>
      <w:r>
        <w:rPr>
          <w:rStyle w:val="FootnoteReference"/>
        </w:rPr>
        <w:footnoteReference w:id="683"/>
      </w:r>
      <w:r>
        <w:t xml:space="preserve"> went to Abimelech king of the Philistines, to Gerar.</w:t>
      </w:r>
    </w:p>
    <w:p>
      <w:r>
        <w:rPr>
          <w:b/>
        </w:rPr>
        <w:t xml:space="preserve">2 </w:t>
      </w:r>
      <w:r>
        <w:t xml:space="preserve">And the Lord appeared</w:t>
      </w:r>
      <w:r>
        <w:rPr>
          <w:rStyle w:val="FootnoteReference"/>
        </w:rPr>
        <w:footnoteReference w:id="684"/>
      </w:r>
      <w:r>
        <w:t xml:space="preserve"> to him and said, Do not go down to Egypt, but dwell in the land that I tell you.</w:t>
      </w:r>
    </w:p>
    <w:p>
      <w:r>
        <w:rPr>
          <w:b/>
        </w:rPr>
        <w:t xml:space="preserve">3 </w:t>
      </w:r>
      <w:r>
        <w:t xml:space="preserve">And sojourn</w:t>
      </w:r>
      <w:r>
        <w:rPr>
          <w:rStyle w:val="FootnoteReference"/>
        </w:rPr>
        <w:footnoteReference w:id="685"/>
      </w:r>
      <w:r>
        <w:t xml:space="preserve"> in this land, and I will be with you and bless you, for to you and to your seed I will give all this land, and I will establish my oath that I swore to Abraham your father.</w:t>
      </w:r>
    </w:p>
    <w:p>
      <w:r>
        <w:rPr>
          <w:b/>
        </w:rPr>
        <w:t xml:space="preserve">4 </w:t>
      </w:r>
      <w:r>
        <w:t xml:space="preserve">And I will multiply</w:t>
      </w:r>
      <w:r>
        <w:rPr>
          <w:rStyle w:val="FootnoteReference"/>
        </w:rPr>
        <w:footnoteReference w:id="686"/>
      </w:r>
      <w:r>
        <w:t xml:space="preserve"> your seed like the stars of heaven and give all this land to your seed, and in your seed all the nations of the earth will be blessed,</w:t>
      </w:r>
    </w:p>
    <w:p>
      <w:r>
        <w:rPr>
          <w:b/>
        </w:rPr>
        <w:t xml:space="preserve">5 </w:t>
      </w:r>
      <w:r>
        <w:t xml:space="preserve">because Abraham your father heard my voice and kept my charges and my commandments and my ordinances and my statutes.</w:t>
      </w:r>
    </w:p>
    <w:p>
      <w:r>
        <w:rPr>
          <w:b/>
        </w:rPr>
        <w:t xml:space="preserve">6 </w:t>
      </w:r>
      <w:r>
        <w:t xml:space="preserve">And Isaac dwelt in Gerar</w:t>
      </w:r>
      <w:r>
        <w:rPr>
          <w:rStyle w:val="FootnoteReference"/>
        </w:rPr>
        <w:footnoteReference w:id="687"/>
      </w:r>
      <w:r>
        <w:t xml:space="preserve">.</w:t>
      </w:r>
    </w:p>
    <w:p>
      <w:r>
        <w:rPr>
          <w:b/>
        </w:rPr>
        <w:t xml:space="preserve">7 </w:t>
      </w:r>
      <w:r>
        <w:t xml:space="preserve">And the men of the place asked about Rebekah his wife, and he said, She is my sister</w:t>
      </w:r>
      <w:r>
        <w:rPr>
          <w:rStyle w:val="FootnoteReference"/>
        </w:rPr>
        <w:footnoteReference w:id="688"/>
      </w:r>
      <w:r>
        <w:t xml:space="preserve">, for he feared to say, She is my wife, lest the men of the place kill him because of Rebekah, because she was beautiful in appearance.</w:t>
      </w:r>
      <w:r>
        <w:rPr>
          <w:rStyle w:val="FootnoteReference"/>
        </w:rPr>
        <w:footnoteReference w:id="689"/>
      </w:r>
    </w:p>
    <w:p>
      <w:r>
        <w:rPr>
          <w:b/>
        </w:rPr>
        <w:t xml:space="preserve">8 </w:t>
      </w:r>
      <w:r>
        <w:t xml:space="preserve">And it happened after a long time there, Abimelech king of Gerar leaned through the window and saw Isaac sporting</w:t>
      </w:r>
      <w:r>
        <w:rPr>
          <w:rStyle w:val="FootnoteReference"/>
        </w:rPr>
        <w:footnoteReference w:id="690"/>
      </w:r>
      <w:r>
        <w:t xml:space="preserve"> with Rebekah his wife.</w:t>
      </w:r>
    </w:p>
    <w:p>
      <w:r>
        <w:rPr>
          <w:b/>
        </w:rPr>
        <w:t xml:space="preserve">9 </w:t>
      </w:r>
      <w:r>
        <w:t xml:space="preserve">And Abimelech called Isaac and said to him, So then is she your wife? Why did you say, She is my sister? And Isaac said to him, Because I said, Lest I die because of her.</w:t>
      </w:r>
    </w:p>
    <w:p>
      <w:r>
        <w:rPr>
          <w:b/>
        </w:rPr>
        <w:t xml:space="preserve">10 </w:t>
      </w:r>
      <w:r>
        <w:t xml:space="preserve">And Abimelech said to him, What is this you did to us? One of my people might almost have slept with your wife, and you would have brought guilt on us in ignorance</w:t>
      </w:r>
      <w:r>
        <w:rPr>
          <w:rStyle w:val="FootnoteReference"/>
        </w:rPr>
        <w:footnoteReference w:id="691"/>
      </w:r>
      <w:r>
        <w:t xml:space="preserve">.</w:t>
      </w:r>
    </w:p>
    <w:p>
      <w:r>
        <w:rPr>
          <w:b/>
        </w:rPr>
        <w:t xml:space="preserve">11 </w:t>
      </w:r>
      <w:r>
        <w:t xml:space="preserve">And Abimelech charged all his people, saying, Everyone touching this man or his wife will be liable to death.</w:t>
      </w:r>
    </w:p>
    <w:p>
      <w:r>
        <w:rPr>
          <w:b/>
        </w:rPr>
        <w:t xml:space="preserve">12 </w:t>
      </w:r>
      <w:r>
        <w:t xml:space="preserve">And Isaac sowed in that land and found in that year hundredfold barley. And the Lord blessed</w:t>
      </w:r>
      <w:r>
        <w:rPr>
          <w:rStyle w:val="FootnoteReference"/>
        </w:rPr>
        <w:footnoteReference w:id="692"/>
      </w:r>
      <w:r>
        <w:t xml:space="preserve"> him.</w:t>
      </w:r>
    </w:p>
    <w:p>
      <w:r>
        <w:rPr>
          <w:b/>
        </w:rPr>
        <w:t xml:space="preserve">13 </w:t>
      </w:r>
      <w:r>
        <w:t xml:space="preserve">And the man was exalted, and going forward he became greater until he became very great.</w:t>
      </w:r>
    </w:p>
    <w:p>
      <w:r>
        <w:rPr>
          <w:b/>
        </w:rPr>
        <w:t xml:space="preserve">14 </w:t>
      </w:r>
      <w:r>
        <w:t xml:space="preserve">And he had flocks of sheep and herds of cattle and many farms. And the Philistines envied</w:t>
      </w:r>
      <w:r>
        <w:rPr>
          <w:rStyle w:val="FootnoteReference"/>
        </w:rPr>
        <w:footnoteReference w:id="693"/>
      </w:r>
      <w:r>
        <w:t xml:space="preserve"> him,</w:t>
      </w:r>
    </w:p>
    <w:p>
      <w:r>
        <w:rPr>
          <w:b/>
        </w:rPr>
        <w:t xml:space="preserve">15 </w:t>
      </w:r>
      <w:r>
        <w:t xml:space="preserve">and all the wells that his father's</w:t>
      </w:r>
      <w:r>
        <w:rPr>
          <w:rStyle w:val="FootnoteReference"/>
        </w:rPr>
        <w:footnoteReference w:id="694"/>
      </w:r>
      <w:r>
        <w:t xml:space="preserve"> servants dug in his father's time, the Philistines stopped them up and filled them with earth.</w:t>
      </w:r>
    </w:p>
    <w:p>
      <w:r>
        <w:rPr>
          <w:b/>
        </w:rPr>
        <w:t xml:space="preserve">16 </w:t>
      </w:r>
      <w:r>
        <w:t xml:space="preserve">And Abimelech said to Isaac, Go away from us, because you have become much stronger than we are.</w:t>
      </w:r>
    </w:p>
    <w:p>
      <w:r>
        <w:rPr>
          <w:b/>
        </w:rPr>
        <w:t xml:space="preserve">17 </w:t>
      </w:r>
      <w:r>
        <w:t xml:space="preserve">And Isaac went away from there and camped in the valley of Gerar and dwelt there.</w:t>
      </w:r>
    </w:p>
    <w:p>
      <w:r>
        <w:rPr>
          <w:b/>
        </w:rPr>
        <w:t xml:space="preserve">18 </w:t>
      </w:r>
      <w:r>
        <w:t xml:space="preserve">And Isaac dug again the wells of water that his father Abraham's servants dug and the Philistines stopped up after Abraham his father died. And he called them by the names his father had named them.</w:t>
      </w:r>
    </w:p>
    <w:p>
      <w:r>
        <w:rPr>
          <w:b/>
        </w:rPr>
        <w:t xml:space="preserve">19 </w:t>
      </w:r>
      <w:r>
        <w:t xml:space="preserve">And Isaac's servants dug in the valley of Gerar and found there a well of living water.</w:t>
      </w:r>
    </w:p>
    <w:p>
      <w:r>
        <w:rPr>
          <w:b/>
        </w:rPr>
        <w:t xml:space="preserve">20 </w:t>
      </w:r>
      <w:r>
        <w:t xml:space="preserve">And the shepherds of Gerar fought with Isaac's shepherds, saying the water was theirs. And he called the name of the well Injustice, because they wronged him.</w:t>
      </w:r>
    </w:p>
    <w:p>
      <w:r>
        <w:rPr>
          <w:b/>
        </w:rPr>
        <w:t xml:space="preserve">21 </w:t>
      </w:r>
      <w:r>
        <w:t xml:space="preserve">And moving on from there, he dug another well, and they were quarreling over that one too. And he named it Enmity.</w:t>
      </w:r>
    </w:p>
    <w:p>
      <w:r>
        <w:rPr>
          <w:b/>
        </w:rPr>
        <w:t xml:space="preserve">22 </w:t>
      </w:r>
      <w:r>
        <w:t xml:space="preserve">And moving on from there, he dug another well, and they did not fight over it. And he named it Broad Space, saying, Because now the Lord</w:t>
      </w:r>
      <w:r>
        <w:rPr>
          <w:rStyle w:val="FootnoteReference"/>
        </w:rPr>
        <w:footnoteReference w:id="695"/>
      </w:r>
      <w:r>
        <w:t xml:space="preserve"> made room for us and increased us on the earth.</w:t>
      </w:r>
    </w:p>
    <w:p>
      <w:r>
        <w:rPr>
          <w:b/>
        </w:rPr>
        <w:t xml:space="preserve">23 </w:t>
      </w:r>
      <w:r>
        <w:t xml:space="preserve">And he went up from there to the Well of Oath.</w:t>
      </w:r>
    </w:p>
    <w:p>
      <w:r>
        <w:rPr>
          <w:b/>
        </w:rPr>
        <w:t xml:space="preserve">24 </w:t>
      </w:r>
      <w:r>
        <w:t xml:space="preserve">And the Lord appeared to him in that night and said, I am the</w:t>
      </w:r>
      <w:r>
        <w:rPr>
          <w:rStyle w:val="FootnoteReference"/>
        </w:rPr>
        <w:footnoteReference w:id="696"/>
      </w:r>
      <w:r>
        <w:t xml:space="preserve"> God of Abraham</w:t>
      </w:r>
      <w:r>
        <w:rPr>
          <w:rStyle w:val="FootnoteReference"/>
        </w:rPr>
        <w:footnoteReference w:id="697"/>
      </w:r>
      <w:r>
        <w:t xml:space="preserve"> your father. Do not fear, for I am with you, and I will bless you and multiply your seed because of Abraham your father.</w:t>
      </w:r>
      <w:r>
        <w:rPr>
          <w:rStyle w:val="FootnoteReference"/>
        </w:rPr>
        <w:footnoteReference w:id="698"/>
      </w:r>
    </w:p>
    <w:p>
      <w:r>
        <w:rPr>
          <w:b/>
        </w:rPr>
        <w:t xml:space="preserve">25 </w:t>
      </w:r>
      <w:r>
        <w:t xml:space="preserve">And he built there an altar and called</w:t>
      </w:r>
      <w:r>
        <w:rPr>
          <w:rStyle w:val="FootnoteReference"/>
        </w:rPr>
        <w:footnoteReference w:id="699"/>
      </w:r>
      <w:r>
        <w:t xml:space="preserve"> on the name of the Lord and pitched his tent there. And Isaac's servants dug a well there in the valley of Gerar.</w:t>
      </w:r>
    </w:p>
    <w:p>
      <w:r>
        <w:rPr>
          <w:b/>
        </w:rPr>
        <w:t xml:space="preserve">26 </w:t>
      </w:r>
      <w:r>
        <w:t xml:space="preserve">And Abimelech</w:t>
      </w:r>
      <w:r>
        <w:rPr>
          <w:rStyle w:val="FootnoteReference"/>
        </w:rPr>
        <w:footnoteReference w:id="700"/>
      </w:r>
      <w:r>
        <w:t xml:space="preserve"> went to him from Gerar, and Ahuzzath his marriage-companion and Phichol the commander-in-chief of his force.</w:t>
      </w:r>
    </w:p>
    <w:p>
      <w:r>
        <w:rPr>
          <w:b/>
        </w:rPr>
        <w:t xml:space="preserve">27 </w:t>
      </w:r>
      <w:r>
        <w:t xml:space="preserve">And Isaac said to them, Why did you come to me? You hated me and sent me</w:t>
      </w:r>
      <w:r>
        <w:rPr>
          <w:rStyle w:val="FootnoteReference"/>
        </w:rPr>
        <w:footnoteReference w:id="701"/>
      </w:r>
      <w:r>
        <w:t xml:space="preserve"> away from you.</w:t>
      </w:r>
    </w:p>
    <w:p>
      <w:r>
        <w:rPr>
          <w:b/>
        </w:rPr>
        <w:t xml:space="preserve">28 </w:t>
      </w:r>
      <w:r>
        <w:t xml:space="preserve">And they said, Seeing, we have seen that the Lord was with</w:t>
      </w:r>
      <w:r>
        <w:rPr>
          <w:rStyle w:val="FootnoteReference"/>
        </w:rPr>
        <w:footnoteReference w:id="702"/>
      </w:r>
      <w:r>
        <w:t xml:space="preserve"> you, and we said, Let there be an oath-curse between us and you, and we will make a covenant with you,</w:t>
      </w:r>
    </w:p>
    <w:p>
      <w:r>
        <w:rPr>
          <w:b/>
        </w:rPr>
        <w:t xml:space="preserve">29 </w:t>
      </w:r>
      <w:r>
        <w:t xml:space="preserve">that you not do us evil, since we did not abhor you and in the way we treated you well and sent you away with peace. And now you are blessed by the Lord.</w:t>
      </w:r>
    </w:p>
    <w:p>
      <w:r>
        <w:rPr>
          <w:b/>
        </w:rPr>
        <w:t xml:space="preserve">30 </w:t>
      </w:r>
      <w:r>
        <w:t xml:space="preserve">And he made a feast for them, and they ate and drank.</w:t>
      </w:r>
    </w:p>
    <w:p>
      <w:r>
        <w:rPr>
          <w:b/>
        </w:rPr>
        <w:t xml:space="preserve">31 </w:t>
      </w:r>
      <w:r>
        <w:t xml:space="preserve">And rising in the morning, each swore to his neighbor, and Isaac sent them away, and they went away from him in safety.</w:t>
      </w:r>
    </w:p>
    <w:p>
      <w:r>
        <w:rPr>
          <w:b/>
        </w:rPr>
        <w:t xml:space="preserve">32 </w:t>
      </w:r>
      <w:r>
        <w:t xml:space="preserve">And it happened in that day Isaac's servants came and reported to him about the well that they dug, and they said, We did not find water.</w:t>
      </w:r>
    </w:p>
    <w:p>
      <w:r>
        <w:rPr>
          <w:b/>
        </w:rPr>
        <w:t xml:space="preserve">33 </w:t>
      </w:r>
      <w:r>
        <w:t xml:space="preserve">And he called it Oath. Therefore</w:t>
      </w:r>
      <w:r>
        <w:rPr>
          <w:rStyle w:val="FootnoteReference"/>
        </w:rPr>
        <w:footnoteReference w:id="703"/>
      </w:r>
      <w:r>
        <w:t xml:space="preserve"> he called the name of that city Well of Oath until this day.</w:t>
      </w:r>
    </w:p>
    <w:p>
      <w:r>
        <w:rPr>
          <w:b/>
        </w:rPr>
        <w:t xml:space="preserve">34 </w:t>
      </w:r>
      <w:r>
        <w:t xml:space="preserve">And Esau</w:t>
      </w:r>
      <w:r>
        <w:rPr>
          <w:rStyle w:val="FootnoteReference"/>
        </w:rPr>
        <w:footnoteReference w:id="704"/>
      </w:r>
      <w:r>
        <w:t xml:space="preserve"> was forty years old and took Judith</w:t>
      </w:r>
      <w:r>
        <w:rPr>
          <w:rStyle w:val="FootnoteReference"/>
        </w:rPr>
        <w:footnoteReference w:id="705"/>
      </w:r>
      <w:r>
        <w:t xml:space="preserve">, daughter of Beeri</w:t>
      </w:r>
      <w:r>
        <w:rPr>
          <w:rStyle w:val="FootnoteReference"/>
        </w:rPr>
        <w:footnoteReference w:id="706"/>
      </w:r>
      <w:r>
        <w:t xml:space="preserve"> the Hittite, and Basemath</w:t>
      </w:r>
      <w:r>
        <w:rPr>
          <w:rStyle w:val="FootnoteReference"/>
        </w:rPr>
        <w:footnoteReference w:id="707"/>
      </w:r>
      <w:r>
        <w:t xml:space="preserve">, daughter of Helon</w:t>
      </w:r>
      <w:r>
        <w:rPr>
          <w:rStyle w:val="FootnoteReference"/>
        </w:rPr>
        <w:footnoteReference w:id="708"/>
      </w:r>
      <w:r>
        <w:t xml:space="preserve"> the Hittite, as wives.</w:t>
      </w:r>
    </w:p>
    <w:p>
      <w:r>
        <w:rPr>
          <w:b/>
        </w:rPr>
        <w:t xml:space="preserve">35 </w:t>
      </w:r>
      <w:r>
        <w:t xml:space="preserve">And they were contentious toward Isaac and Rebekah.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it happened after Isaac had grown old and his eyes had become dim for seeing, that he called Esau his older son and said to him, My son. And he said, Look, I am here.</w:t>
      </w:r>
    </w:p>
    <w:p>
      <w:r>
        <w:rPr>
          <w:b/>
        </w:rPr>
        <w:t xml:space="preserve">2 </w:t>
      </w:r>
      <w:r>
        <w:t xml:space="preserve">And he said, Look, I have grown old and do not know the day of my death.</w:t>
      </w:r>
    </w:p>
    <w:p>
      <w:r>
        <w:rPr>
          <w:b/>
        </w:rPr>
        <w:t xml:space="preserve">3 </w:t>
      </w:r>
      <w:r>
        <w:t xml:space="preserve">Now then take your gear, both quiver and bow, and go out into the plain and hunt game for me,</w:t>
      </w:r>
    </w:p>
    <w:p>
      <w:r>
        <w:rPr>
          <w:b/>
        </w:rPr>
        <w:t xml:space="preserve">4 </w:t>
      </w:r>
      <w:r>
        <w:t xml:space="preserve">and make me dishes, as I love, and bring them to me so that I may eat, so that my</w:t>
      </w:r>
      <w:r>
        <w:rPr>
          <w:rStyle w:val="FootnoteReference"/>
        </w:rPr>
        <w:footnoteReference w:id="709"/>
      </w:r>
      <w:r>
        <w:t xml:space="preserve"> soul may bless you before I die.</w:t>
      </w:r>
    </w:p>
    <w:p>
      <w:r>
        <w:rPr>
          <w:b/>
        </w:rPr>
        <w:t xml:space="preserve">5 </w:t>
      </w:r>
      <w:r>
        <w:t xml:space="preserve">Now Rebekah heard Isaac speaking to Esau his son. And Esau went into the plain to hunt game for his father.</w:t>
      </w:r>
    </w:p>
    <w:p>
      <w:r>
        <w:rPr>
          <w:b/>
        </w:rPr>
        <w:t xml:space="preserve">6 </w:t>
      </w:r>
      <w:r>
        <w:t xml:space="preserve">And Rebekah said to Jacob her son, the lesser one, Look, I heard your father speaking to Esau your brother, saying,</w:t>
      </w:r>
    </w:p>
    <w:p>
      <w:r>
        <w:rPr>
          <w:b/>
        </w:rPr>
        <w:t xml:space="preserve">7 </w:t>
      </w:r>
      <w:r>
        <w:t xml:space="preserve">Bring me game and make me dishes so that I may eat and bless you before the</w:t>
      </w:r>
      <w:r>
        <w:rPr>
          <w:rStyle w:val="FootnoteReference"/>
        </w:rPr>
        <w:footnoteReference w:id="710"/>
      </w:r>
      <w:r>
        <w:t xml:space="preserve"> Lord before I die.</w:t>
      </w:r>
    </w:p>
    <w:p>
      <w:r>
        <w:rPr>
          <w:b/>
        </w:rPr>
        <w:t xml:space="preserve">8 </w:t>
      </w:r>
      <w:r>
        <w:t xml:space="preserve">Now then, my son, hear me, as I command you.</w:t>
      </w:r>
    </w:p>
    <w:p>
      <w:r>
        <w:rPr>
          <w:b/>
        </w:rPr>
        <w:t xml:space="preserve">9 </w:t>
      </w:r>
      <w:r>
        <w:t xml:space="preserve">And go to the flock and take from there two tender good kids for me, and I will make them dishes for your father as he loves,</w:t>
      </w:r>
    </w:p>
    <w:p>
      <w:r>
        <w:rPr>
          <w:b/>
        </w:rPr>
        <w:t xml:space="preserve">10 </w:t>
      </w:r>
      <w:r>
        <w:t xml:space="preserve">and you shall bring them to your father and he will eat, so that your father may bless you before he dies.</w:t>
      </w:r>
    </w:p>
    <w:p>
      <w:r>
        <w:rPr>
          <w:b/>
        </w:rPr>
        <w:t xml:space="preserve">11 </w:t>
      </w:r>
      <w:r>
        <w:t xml:space="preserve">But Jacob said to Rebekah his mother, Esau my brother is a hairy man</w:t>
      </w:r>
      <w:r>
        <w:rPr>
          <w:rStyle w:val="FootnoteReference"/>
        </w:rPr>
        <w:footnoteReference w:id="711"/>
      </w:r>
      <w:r>
        <w:t xml:space="preserve">, but I am a smooth man.</w:t>
      </w:r>
    </w:p>
    <w:p>
      <w:r>
        <w:rPr>
          <w:b/>
        </w:rPr>
        <w:t xml:space="preserve">12 </w:t>
      </w:r>
      <w:r>
        <w:t xml:space="preserve">Perhaps my father will feel</w:t>
      </w:r>
      <w:r>
        <w:rPr>
          <w:rStyle w:val="FootnoteReference"/>
        </w:rPr>
        <w:footnoteReference w:id="712"/>
      </w:r>
      <w:r>
        <w:t xml:space="preserve"> me and I shall be before him as one mocking him, and I will bring a curse upon myself and not a blessing.</w:t>
      </w:r>
    </w:p>
    <w:p>
      <w:r>
        <w:rPr>
          <w:b/>
        </w:rPr>
        <w:t xml:space="preserve">13 </w:t>
      </w:r>
      <w:r>
        <w:t xml:space="preserve">But his mother said to him, Let your curse be on me, child. Only hear my voice, and go bring them to me.</w:t>
      </w:r>
    </w:p>
    <w:p>
      <w:r>
        <w:rPr>
          <w:b/>
        </w:rPr>
        <w:t xml:space="preserve">14 </w:t>
      </w:r>
      <w:r>
        <w:t xml:space="preserve">So he went and took them and brought them to his mother</w:t>
      </w:r>
      <w:r>
        <w:rPr>
          <w:rStyle w:val="FootnoteReference"/>
        </w:rPr>
        <w:footnoteReference w:id="713"/>
      </w:r>
      <w:r>
        <w:t xml:space="preserve">, and his mother made dishes as his father loved them.</w:t>
      </w:r>
    </w:p>
    <w:p>
      <w:r>
        <w:rPr>
          <w:b/>
        </w:rPr>
        <w:t xml:space="preserve">15 </w:t>
      </w:r>
      <w:r>
        <w:t xml:space="preserve">And Rebekah took the fine robe of Esau her older son, which was with her in the house, and put it on Jacob her younger son,</w:t>
      </w:r>
    </w:p>
    <w:p>
      <w:r>
        <w:rPr>
          <w:b/>
        </w:rPr>
        <w:t xml:space="preserve">16 </w:t>
      </w:r>
      <w:r>
        <w:t xml:space="preserve">and she put the skins</w:t>
      </w:r>
      <w:r>
        <w:rPr>
          <w:rStyle w:val="FootnoteReference"/>
        </w:rPr>
        <w:footnoteReference w:id="714"/>
      </w:r>
      <w:r>
        <w:t xml:space="preserve"> of the kids on his arms and on the bare parts of his neck,</w:t>
      </w:r>
    </w:p>
    <w:p>
      <w:r>
        <w:rPr>
          <w:b/>
        </w:rPr>
        <w:t xml:space="preserve">17 </w:t>
      </w:r>
      <w:r>
        <w:t xml:space="preserve">and gave the dishes and the loaves she made into Jacob her son's hands.</w:t>
      </w:r>
    </w:p>
    <w:p>
      <w:r>
        <w:rPr>
          <w:b/>
        </w:rPr>
        <w:t xml:space="preserve">18 </w:t>
      </w:r>
      <w:r>
        <w:t xml:space="preserve">And he brought them in to his father. And he said, Father. And he said, Look, I am here. Who are you, child?</w:t>
      </w:r>
    </w:p>
    <w:p>
      <w:r>
        <w:rPr>
          <w:b/>
        </w:rPr>
        <w:t xml:space="preserve">19 </w:t>
      </w:r>
      <w:r>
        <w:t xml:space="preserve">And Jacob said to his father, I am Esau your firstborn. I have done as you told me. Rise, sit, and eat of my game, so that your soul may bless me.</w:t>
      </w:r>
    </w:p>
    <w:p>
      <w:r>
        <w:rPr>
          <w:b/>
        </w:rPr>
        <w:t xml:space="preserve">20 </w:t>
      </w:r>
      <w:r>
        <w:t xml:space="preserve">And Isaac said to his son, What is this that you found so quickly, child? And he said, What the Lord your God handed over before me.</w:t>
      </w:r>
    </w:p>
    <w:p>
      <w:r>
        <w:rPr>
          <w:b/>
        </w:rPr>
        <w:t xml:space="preserve">21 </w:t>
      </w:r>
      <w:r>
        <w:t xml:space="preserve">And Isaac said to Jacob, Come near to me and I will feel you, child, whether you are my son Esau or not.</w:t>
      </w:r>
    </w:p>
    <w:p>
      <w:r>
        <w:rPr>
          <w:b/>
        </w:rPr>
        <w:t xml:space="preserve">22 </w:t>
      </w:r>
      <w:r>
        <w:t xml:space="preserve">And Jacob came near to Isaac his father, and he felt him and said, The voice</w:t>
      </w:r>
      <w:r>
        <w:rPr>
          <w:rStyle w:val="FootnoteReference"/>
        </w:rPr>
        <w:footnoteReference w:id="715"/>
      </w:r>
      <w:r>
        <w:t xml:space="preserve"> is Jacob's voice, but the hands are Esau's hands.</w:t>
      </w:r>
    </w:p>
    <w:p>
      <w:r>
        <w:rPr>
          <w:b/>
        </w:rPr>
        <w:t xml:space="preserve">23 </w:t>
      </w:r>
      <w:r>
        <w:t xml:space="preserve">And he did not recognize him, for his hands</w:t>
      </w:r>
      <w:r>
        <w:rPr>
          <w:rStyle w:val="FootnoteReference"/>
        </w:rPr>
        <w:footnoteReference w:id="716"/>
      </w:r>
      <w:r>
        <w:t xml:space="preserve"> were hairy like the hands of his brother Esau. And he blessed him,</w:t>
      </w:r>
    </w:p>
    <w:p>
      <w:r>
        <w:rPr>
          <w:b/>
        </w:rPr>
        <w:t xml:space="preserve">24 </w:t>
      </w:r>
      <w:r>
        <w:t xml:space="preserve">and said, Are you my son Esau? And he said, I am.</w:t>
      </w:r>
    </w:p>
    <w:p>
      <w:r>
        <w:rPr>
          <w:b/>
        </w:rPr>
        <w:t xml:space="preserve">25 </w:t>
      </w:r>
      <w:r>
        <w:t xml:space="preserve">And he said, Bring it near to me, and I will eat of your game, child, so that my</w:t>
      </w:r>
      <w:r>
        <w:rPr>
          <w:rStyle w:val="FootnoteReference"/>
        </w:rPr>
        <w:footnoteReference w:id="717"/>
      </w:r>
      <w:r>
        <w:t xml:space="preserve"> soul may bless you. And he brought it near to him, and he ate. And he brought him wine, and he drank.</w:t>
      </w:r>
    </w:p>
    <w:p>
      <w:r>
        <w:rPr>
          <w:b/>
        </w:rPr>
        <w:t xml:space="preserve">26 </w:t>
      </w:r>
      <w:r>
        <w:t xml:space="preserve">And Isaac his father said to him, Come near to me and kiss me, child.</w:t>
      </w:r>
    </w:p>
    <w:p>
      <w:r>
        <w:rPr>
          <w:b/>
        </w:rPr>
        <w:t xml:space="preserve">27 </w:t>
      </w:r>
      <w:r>
        <w:t xml:space="preserve">And he came near and kissed him, and he smelled the smell of his clothes and blessed</w:t>
      </w:r>
      <w:r>
        <w:rPr>
          <w:rStyle w:val="FootnoteReference"/>
        </w:rPr>
        <w:footnoteReference w:id="718"/>
      </w:r>
      <w:r>
        <w:t xml:space="preserve"> him and said, Look, the smell of my son is like the smell of a full field that the Lord blessed.</w:t>
      </w:r>
    </w:p>
    <w:p>
      <w:r>
        <w:rPr>
          <w:b/>
        </w:rPr>
        <w:t xml:space="preserve">28 </w:t>
      </w:r>
      <w:r>
        <w:t xml:space="preserve">And may God give you from the dew of heaven and from the fatness</w:t>
      </w:r>
      <w:r>
        <w:rPr>
          <w:rStyle w:val="FootnoteReference"/>
        </w:rPr>
        <w:footnoteReference w:id="719"/>
      </w:r>
      <w:r>
        <w:t xml:space="preserve"> of the earth and abundance of grain and wine.</w:t>
      </w:r>
    </w:p>
    <w:p>
      <w:r>
        <w:rPr>
          <w:b/>
        </w:rPr>
        <w:t xml:space="preserve">29 </w:t>
      </w:r>
      <w:r>
        <w:t xml:space="preserve">And let nations serve you, and let rulers bow down to you. And become lord of your brother, and the sons of your father shall bow to you. Cursed</w:t>
      </w:r>
      <w:r>
        <w:rPr>
          <w:rStyle w:val="FootnoteReference"/>
        </w:rPr>
        <w:footnoteReference w:id="720"/>
      </w:r>
      <w:r>
        <w:t xml:space="preserve"> be the one cursing you, and blessed be the one blessing you.</w:t>
      </w:r>
    </w:p>
    <w:p>
      <w:r>
        <w:rPr>
          <w:b/>
        </w:rPr>
        <w:t xml:space="preserve">30 </w:t>
      </w:r>
      <w:r>
        <w:t xml:space="preserve">And it happened after Isaac finished blessing Jacob his son, indeed it happened just as Jacob went out from before Isaac his father, that Esau his brother came from the hunt.</w:t>
      </w:r>
    </w:p>
    <w:p>
      <w:r>
        <w:rPr>
          <w:b/>
        </w:rPr>
        <w:t xml:space="preserve">31 </w:t>
      </w:r>
      <w:r>
        <w:t xml:space="preserve">And he too made dishes and brought them to his father. And he said to his father, Let my father arise and eat of his son's game, so that your soul may bless me.</w:t>
      </w:r>
    </w:p>
    <w:p>
      <w:r>
        <w:rPr>
          <w:b/>
        </w:rPr>
        <w:t xml:space="preserve">32 </w:t>
      </w:r>
      <w:r>
        <w:t xml:space="preserve">And Isaac his father said to him, Who are you? And he said, I am your firstborn son Esau.</w:t>
      </w:r>
    </w:p>
    <w:p>
      <w:r>
        <w:rPr>
          <w:b/>
        </w:rPr>
        <w:t xml:space="preserve">33 </w:t>
      </w:r>
      <w:r>
        <w:t xml:space="preserve">And Isaac was overcome with a very great astonishment and said, Who then was the one who hunted game for me and brought it to me? And I ate from everything before you came, and I blessed him, and blessed he shall be.</w:t>
      </w:r>
    </w:p>
    <w:p>
      <w:r>
        <w:rPr>
          <w:b/>
        </w:rPr>
        <w:t xml:space="preserve">34 </w:t>
      </w:r>
      <w:r>
        <w:t xml:space="preserve">And it happened when Esau heard the words of Isaac his father, he cried</w:t>
      </w:r>
      <w:r>
        <w:rPr>
          <w:rStyle w:val="FootnoteReference"/>
        </w:rPr>
        <w:footnoteReference w:id="721"/>
      </w:r>
      <w:r>
        <w:t xml:space="preserve"> out with a great and very bitter cry and said, Bless me too, father.</w:t>
      </w:r>
    </w:p>
    <w:p>
      <w:r>
        <w:rPr>
          <w:b/>
        </w:rPr>
        <w:t xml:space="preserve">35 </w:t>
      </w:r>
      <w:r>
        <w:t xml:space="preserve">And he said to him, Your brother came with deceit and took your blessing.</w:t>
      </w:r>
    </w:p>
    <w:p>
      <w:r>
        <w:rPr>
          <w:b/>
        </w:rPr>
        <w:t xml:space="preserve">36 </w:t>
      </w:r>
      <w:r>
        <w:t xml:space="preserve">And he said, Rightly was his name called Jacob</w:t>
      </w:r>
      <w:r>
        <w:rPr>
          <w:rStyle w:val="FootnoteReference"/>
        </w:rPr>
        <w:footnoteReference w:id="722"/>
      </w:r>
      <w:r>
        <w:t xml:space="preserve">, for now this second time he has tripped me by the heel. He took my firstborn rights, and now he has taken my blessing. And Esau said to his father, Did you not leave a blessing for me, father?</w:t>
      </w:r>
      <w:r>
        <w:rPr>
          <w:rStyle w:val="FootnoteReference"/>
        </w:rPr>
        <w:footnoteReference w:id="723"/>
      </w:r>
    </w:p>
    <w:p>
      <w:r>
        <w:rPr>
          <w:b/>
        </w:rPr>
        <w:t xml:space="preserve">37 </w:t>
      </w:r>
      <w:r>
        <w:t xml:space="preserve">But Isaac answered and said to Esau, If I made him your lord and made all his brothers his servants, and I strengthened him with grain and wine, what then shall I do for you, child?</w:t>
      </w:r>
      <w:r>
        <w:rPr>
          <w:rStyle w:val="FootnoteReference"/>
        </w:rPr>
        <w:footnoteReference w:id="724"/>
      </w:r>
    </w:p>
    <w:p>
      <w:r>
        <w:rPr>
          <w:b/>
        </w:rPr>
        <w:t xml:space="preserve">38 </w:t>
      </w:r>
      <w:r>
        <w:t xml:space="preserve">But Esau said to his father, Do you have only one blessing, father? Bless me too, father. And when Isaac was cut to the heart, Esau cried aloud and wept.</w:t>
      </w:r>
      <w:r>
        <w:rPr>
          <w:rStyle w:val="FootnoteReference"/>
        </w:rPr>
        <w:footnoteReference w:id="725"/>
      </w:r>
    </w:p>
    <w:p>
      <w:r>
        <w:rPr>
          <w:b/>
        </w:rPr>
        <w:t xml:space="preserve">39 </w:t>
      </w:r>
      <w:r>
        <w:t xml:space="preserve">And Isaac his father answered and said to him, Look, your dwelling shall be from the fatness</w:t>
      </w:r>
      <w:r>
        <w:rPr>
          <w:rStyle w:val="FootnoteReference"/>
        </w:rPr>
        <w:footnoteReference w:id="726"/>
      </w:r>
      <w:r>
        <w:t xml:space="preserve"> of the earth and from the dew of heaven above.</w:t>
      </w:r>
    </w:p>
    <w:p>
      <w:r>
        <w:rPr>
          <w:b/>
        </w:rPr>
        <w:t xml:space="preserve">40 </w:t>
      </w:r>
      <w:r>
        <w:t xml:space="preserve">And you shall live by your sword and serve</w:t>
      </w:r>
      <w:r>
        <w:rPr>
          <w:rStyle w:val="FootnoteReference"/>
        </w:rPr>
        <w:footnoteReference w:id="727"/>
      </w:r>
      <w:r>
        <w:t xml:space="preserve"> your brother. But when you break away, then you will loosen his yoke from your neck.</w:t>
      </w:r>
    </w:p>
    <w:p>
      <w:r>
        <w:rPr>
          <w:b/>
        </w:rPr>
        <w:t xml:space="preserve">41 </w:t>
      </w:r>
      <w:r>
        <w:t xml:space="preserve">And Esau kept anger against Jacob because of the blessing with which his father blessed him. And Esau said in his mind, Let the days</w:t>
      </w:r>
      <w:r>
        <w:rPr>
          <w:rStyle w:val="FootnoteReference"/>
        </w:rPr>
        <w:footnoteReference w:id="728"/>
      </w:r>
      <w:r>
        <w:t xml:space="preserve"> of mourning for my father draw near, so that I may kill Jacob my brother.</w:t>
      </w:r>
    </w:p>
    <w:p>
      <w:r>
        <w:rPr>
          <w:b/>
        </w:rPr>
        <w:t xml:space="preserve">42 </w:t>
      </w:r>
      <w:r>
        <w:t xml:space="preserve">And the words of Esau her older son were reported to Rebekah, and she sent and called Jacob her younger son and said to him, Look, Esau your brother is threatening you, intending to kill you.</w:t>
      </w:r>
      <w:r>
        <w:rPr>
          <w:rStyle w:val="FootnoteReference"/>
        </w:rPr>
        <w:footnoteReference w:id="729"/>
      </w:r>
    </w:p>
    <w:p>
      <w:r>
        <w:rPr>
          <w:b/>
        </w:rPr>
        <w:t xml:space="preserve">43 </w:t>
      </w:r>
      <w:r>
        <w:t xml:space="preserve">Now then, child, hear my voice and rise, flee to Mesopotamia to Laban my brother in Haran</w:t>
      </w:r>
      <w:r>
        <w:rPr>
          <w:rStyle w:val="FootnoteReference"/>
        </w:rPr>
        <w:footnoteReference w:id="730"/>
      </w:r>
      <w:r>
        <w:t xml:space="preserve">.</w:t>
      </w:r>
    </w:p>
    <w:p>
      <w:r>
        <w:rPr>
          <w:b/>
        </w:rPr>
        <w:t xml:space="preserve">44 </w:t>
      </w:r>
      <w:r>
        <w:t xml:space="preserve">And dwell with him some days,</w:t>
      </w:r>
    </w:p>
    <w:p>
      <w:r>
        <w:rPr>
          <w:b/>
        </w:rPr>
        <w:t xml:space="preserve">45 </w:t>
      </w:r>
      <w:r>
        <w:t xml:space="preserve">until the anger and wrath of your brother turn away from you and he forget what you did to him. Then I</w:t>
      </w:r>
      <w:r>
        <w:rPr>
          <w:rStyle w:val="FootnoteReference"/>
        </w:rPr>
        <w:footnoteReference w:id="731"/>
      </w:r>
      <w:r>
        <w:t xml:space="preserve"> will send and bring you back from there, lest I be bereaved of both of you in one day.</w:t>
      </w:r>
    </w:p>
    <w:p>
      <w:r>
        <w:rPr>
          <w:b/>
        </w:rPr>
        <w:t xml:space="preserve">46 </w:t>
      </w:r>
      <w:r>
        <w:t xml:space="preserve">And Rebekah said to Isaac, I am weary of my life because of the daughters of the sons of Heth. If Jacob</w:t>
      </w:r>
      <w:r>
        <w:rPr>
          <w:rStyle w:val="FootnoteReference"/>
        </w:rPr>
        <w:footnoteReference w:id="732"/>
      </w:r>
      <w:r>
        <w:t xml:space="preserve"> takes a wife from the daughters of this land, why should I go on living?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And Isaac, calling Jacob to him, blessed</w:t>
      </w:r>
      <w:r>
        <w:rPr>
          <w:rStyle w:val="FootnoteReference"/>
        </w:rPr>
        <w:footnoteReference w:id="733"/>
      </w:r>
      <w:r>
        <w:t xml:space="preserve"> him and charged him, saying, You shall not take a wife from the daughters of the Canaanites.</w:t>
      </w:r>
    </w:p>
    <w:p>
      <w:r>
        <w:rPr>
          <w:b/>
        </w:rPr>
        <w:t xml:space="preserve">2 </w:t>
      </w:r>
      <w:r>
        <w:t xml:space="preserve">Rise and flee to Mesopotamia, to the house of Bethuel the father of your mother, and take for yourself a wife from there, from the daughters of Laban</w:t>
      </w:r>
      <w:r>
        <w:rPr>
          <w:rStyle w:val="FootnoteReference"/>
        </w:rPr>
        <w:footnoteReference w:id="734"/>
      </w:r>
      <w:r>
        <w:t xml:space="preserve"> your mother's brother.</w:t>
      </w:r>
    </w:p>
    <w:p>
      <w:r>
        <w:rPr>
          <w:b/>
        </w:rPr>
        <w:t xml:space="preserve">3 </w:t>
      </w:r>
      <w:r>
        <w:t xml:space="preserve">And may my God bless you and increase you and multiply you, and you shall become gatherings of nations.</w:t>
      </w:r>
    </w:p>
    <w:p>
      <w:r>
        <w:rPr>
          <w:b/>
        </w:rPr>
        <w:t xml:space="preserve">4 </w:t>
      </w:r>
      <w:r>
        <w:t xml:space="preserve">And may he give to you the blessing</w:t>
      </w:r>
      <w:r>
        <w:rPr>
          <w:rStyle w:val="FootnoteReference"/>
        </w:rPr>
        <w:footnoteReference w:id="735"/>
      </w:r>
      <w:r>
        <w:t xml:space="preserve"> of Abraham my father, to you and to your seed after you, to inherit the land of your sojourning</w:t>
      </w:r>
      <w:r>
        <w:rPr>
          <w:rStyle w:val="FootnoteReference"/>
        </w:rPr>
        <w:footnoteReference w:id="736"/>
      </w:r>
      <w:r>
        <w:t xml:space="preserve">, which God gave to Abraham.</w:t>
      </w:r>
    </w:p>
    <w:p>
      <w:r>
        <w:rPr>
          <w:b/>
        </w:rPr>
        <w:t xml:space="preserve">5 </w:t>
      </w:r>
      <w:r>
        <w:t xml:space="preserve">And Isaac sent Jacob away, and he went to Mesopotamia to Laban son of Bethuel the Syrian, brother of Rebekah, mother of Jacob and Esau.</w:t>
      </w:r>
    </w:p>
    <w:p>
      <w:r>
        <w:rPr>
          <w:b/>
        </w:rPr>
        <w:t xml:space="preserve">6 </w:t>
      </w:r>
      <w:r>
        <w:t xml:space="preserve">And Esau</w:t>
      </w:r>
      <w:r>
        <w:rPr>
          <w:rStyle w:val="FootnoteReference"/>
        </w:rPr>
        <w:footnoteReference w:id="737"/>
      </w:r>
      <w:r>
        <w:t xml:space="preserve"> saw that Isaac blessed Jacob and sent him away to Mesopotamia of Syria to take a wife for himself from there when he blessed him, and that he charged him, saying, You shall not take a wife from the daughters of the Canaanites,</w:t>
      </w:r>
    </w:p>
    <w:p>
      <w:r>
        <w:rPr>
          <w:b/>
        </w:rPr>
        <w:t xml:space="preserve">7 </w:t>
      </w:r>
      <w:r>
        <w:t xml:space="preserve">and that Jacob heard his father and mother and went to Mesopotamia of Syria.</w:t>
      </w:r>
    </w:p>
    <w:p>
      <w:r>
        <w:rPr>
          <w:b/>
        </w:rPr>
        <w:t xml:space="preserve">8 </w:t>
      </w:r>
      <w:r>
        <w:t xml:space="preserve">And Esau also saw that the daughters</w:t>
      </w:r>
      <w:r>
        <w:rPr>
          <w:rStyle w:val="FootnoteReference"/>
        </w:rPr>
        <w:footnoteReference w:id="738"/>
      </w:r>
      <w:r>
        <w:t xml:space="preserve"> of Canaan were evil in the sight of Isaac his father,</w:t>
      </w:r>
    </w:p>
    <w:p>
      <w:r>
        <w:rPr>
          <w:b/>
        </w:rPr>
        <w:t xml:space="preserve">9 </w:t>
      </w:r>
      <w:r>
        <w:t xml:space="preserve">and Esau went to Ishmael and took Mahalath</w:t>
      </w:r>
      <w:r>
        <w:rPr>
          <w:rStyle w:val="FootnoteReference"/>
        </w:rPr>
        <w:footnoteReference w:id="739"/>
      </w:r>
      <w:r>
        <w:t xml:space="preserve"> daughter of Ishmael son of Abraham, sister of Nebajoth, as wife in addition to his wives.</w:t>
      </w:r>
      <w:r>
        <w:rPr>
          <w:rStyle w:val="FootnoteReference"/>
        </w:rPr>
        <w:footnoteReference w:id="740"/>
      </w:r>
    </w:p>
    <w:p>
      <w:r>
        <w:rPr>
          <w:b/>
        </w:rPr>
        <w:t xml:space="preserve">10 </w:t>
      </w:r>
      <w:r>
        <w:t xml:space="preserve">And Jacob went out from the Well of Oath and went to Haran.</w:t>
      </w:r>
    </w:p>
    <w:p>
      <w:r>
        <w:rPr>
          <w:b/>
        </w:rPr>
        <w:t xml:space="preserve">11 </w:t>
      </w:r>
      <w:r>
        <w:t xml:space="preserve">And he came upon a place and slept there, for the sun had gone down. And he took</w:t>
      </w:r>
      <w:r>
        <w:rPr>
          <w:rStyle w:val="FootnoteReference"/>
        </w:rPr>
        <w:footnoteReference w:id="741"/>
      </w:r>
      <w:r>
        <w:t xml:space="preserve"> one of the stones of the place and put it by his head and slept in that place.</w:t>
      </w:r>
    </w:p>
    <w:p>
      <w:r>
        <w:rPr>
          <w:b/>
        </w:rPr>
        <w:t xml:space="preserve">12 </w:t>
      </w:r>
      <w:r>
        <w:t xml:space="preserve">And he dreamed</w:t>
      </w:r>
      <w:r>
        <w:rPr>
          <w:rStyle w:val="FootnoteReference"/>
        </w:rPr>
        <w:footnoteReference w:id="742"/>
      </w:r>
      <w:r>
        <w:t xml:space="preserve">, and look, a ladder stood fixed in the earth, and its top reached to heaven, and the angels of God were ascending and descending on it.</w:t>
      </w:r>
    </w:p>
    <w:p>
      <w:r>
        <w:rPr>
          <w:b/>
        </w:rPr>
        <w:t xml:space="preserve">13 </w:t>
      </w:r>
      <w:r>
        <w:t xml:space="preserve">And the Lord stood</w:t>
      </w:r>
      <w:r>
        <w:rPr>
          <w:rStyle w:val="FootnoteReference"/>
        </w:rPr>
        <w:footnoteReference w:id="743"/>
      </w:r>
      <w:r>
        <w:t xml:space="preserve"> fixed on it and said, I am the God of Abraham your father and the God of Isaac</w:t>
      </w:r>
      <w:r>
        <w:rPr>
          <w:rStyle w:val="FootnoteReference"/>
        </w:rPr>
        <w:footnoteReference w:id="744"/>
      </w:r>
      <w:r>
        <w:t xml:space="preserve">. Do not fear. The land on which you are sleeping, to you I will give it and to your seed.</w:t>
      </w:r>
      <w:r>
        <w:rPr>
          <w:rStyle w:val="FootnoteReference"/>
        </w:rPr>
        <w:footnoteReference w:id="745"/>
      </w:r>
    </w:p>
    <w:p>
      <w:r>
        <w:rPr>
          <w:b/>
        </w:rPr>
        <w:t xml:space="preserve">14 </w:t>
      </w:r>
      <w:r>
        <w:t xml:space="preserve">And your seed shall be like the sand of the earth, and it shall spread out to the sea and to the south and to the north and to the east, and in you and in your seed all the tribes of the earth shall be blessed.</w:t>
      </w:r>
      <w:r>
        <w:rPr>
          <w:rStyle w:val="FootnoteReference"/>
        </w:rPr>
        <w:footnoteReference w:id="746"/>
      </w:r>
    </w:p>
    <w:p>
      <w:r>
        <w:rPr>
          <w:b/>
        </w:rPr>
        <w:t xml:space="preserve">15 </w:t>
      </w:r>
      <w:r>
        <w:t xml:space="preserve">And look, I am with you, guarding you on every road where you may go, and I will bring</w:t>
      </w:r>
      <w:r>
        <w:rPr>
          <w:rStyle w:val="FootnoteReference"/>
        </w:rPr>
        <w:footnoteReference w:id="747"/>
      </w:r>
      <w:r>
        <w:t xml:space="preserve"> you back to this land, because I will certainly not leave you until I do all that I spoke to you.</w:t>
      </w:r>
    </w:p>
    <w:p>
      <w:r>
        <w:rPr>
          <w:b/>
        </w:rPr>
        <w:t xml:space="preserve">16 </w:t>
      </w:r>
      <w:r>
        <w:t xml:space="preserve">And Jacob awoke from his sleep and said, Surely the Lord is in this place, and I did not know it.</w:t>
      </w:r>
    </w:p>
    <w:p>
      <w:r>
        <w:rPr>
          <w:b/>
        </w:rPr>
        <w:t xml:space="preserve">17 </w:t>
      </w:r>
      <w:r>
        <w:t xml:space="preserve">And he was afraid and said, How fearsome this place is. This is nothing other than God's house, and this is heaven's gate.</w:t>
      </w:r>
    </w:p>
    <w:p>
      <w:r>
        <w:rPr>
          <w:b/>
        </w:rPr>
        <w:t xml:space="preserve">18 </w:t>
      </w:r>
      <w:r>
        <w:t xml:space="preserve">And Jacob rose early in the morning and took the stone he had placed there by his head and set it</w:t>
      </w:r>
      <w:r>
        <w:rPr>
          <w:rStyle w:val="FootnoteReference"/>
        </w:rPr>
        <w:footnoteReference w:id="748"/>
      </w:r>
      <w:r>
        <w:t xml:space="preserve"> up as a pillar and poured oil on its top.</w:t>
      </w:r>
    </w:p>
    <w:p>
      <w:r>
        <w:rPr>
          <w:b/>
        </w:rPr>
        <w:t xml:space="preserve">19 </w:t>
      </w:r>
      <w:r>
        <w:t xml:space="preserve">And he called the name</w:t>
      </w:r>
      <w:r>
        <w:rPr>
          <w:rStyle w:val="FootnoteReference"/>
        </w:rPr>
        <w:footnoteReference w:id="749"/>
      </w:r>
      <w:r>
        <w:t xml:space="preserve"> of that place House of God, but Luz</w:t>
      </w:r>
      <w:r>
        <w:rPr>
          <w:rStyle w:val="FootnoteReference"/>
        </w:rPr>
        <w:footnoteReference w:id="750"/>
      </w:r>
      <w:r>
        <w:t xml:space="preserve"> was the name of the city before.</w:t>
      </w:r>
    </w:p>
    <w:p>
      <w:r>
        <w:rPr>
          <w:b/>
        </w:rPr>
        <w:t xml:space="preserve">20 </w:t>
      </w:r>
      <w:r>
        <w:t xml:space="preserve">And Jacob vowed</w:t>
      </w:r>
      <w:r>
        <w:rPr>
          <w:rStyle w:val="FootnoteReference"/>
        </w:rPr>
        <w:footnoteReference w:id="751"/>
      </w:r>
      <w:r>
        <w:t xml:space="preserve"> a vow, saying, If the Lord God is with me and guards me on this road on which I am going and gives me bread to eat and clothing to wear,</w:t>
      </w:r>
    </w:p>
    <w:p>
      <w:r>
        <w:rPr>
          <w:b/>
        </w:rPr>
        <w:t xml:space="preserve">21 </w:t>
      </w:r>
      <w:r>
        <w:t xml:space="preserve">and brings me back with safety to my father's house, then the Lord shall be God to me,</w:t>
      </w:r>
    </w:p>
    <w:p>
      <w:r>
        <w:rPr>
          <w:b/>
        </w:rPr>
        <w:t xml:space="preserve">22 </w:t>
      </w:r>
      <w:r>
        <w:t xml:space="preserve">and this stone that I set up as a pillar shall be God's</w:t>
      </w:r>
      <w:r>
        <w:rPr>
          <w:rStyle w:val="FootnoteReference"/>
        </w:rPr>
        <w:footnoteReference w:id="752"/>
      </w:r>
      <w:r>
        <w:t xml:space="preserve"> house, and from everything you give me, I will tithe a tenth of it to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And Jacob</w:t>
      </w:r>
      <w:r>
        <w:rPr>
          <w:rStyle w:val="FootnoteReference"/>
        </w:rPr>
        <w:footnoteReference w:id="753"/>
      </w:r>
      <w:r>
        <w:t xml:space="preserve">, lifting up his feet, went to the eastern land, to Laban son of Bethuel the Syrian, brother of Rebekah, mother of Jacob and Esau.</w:t>
      </w:r>
      <w:r>
        <w:rPr>
          <w:rStyle w:val="FootnoteReference"/>
        </w:rPr>
        <w:footnoteReference w:id="754"/>
      </w:r>
    </w:p>
    <w:p>
      <w:r>
        <w:rPr>
          <w:b/>
        </w:rPr>
        <w:t xml:space="preserve">2 </w:t>
      </w:r>
      <w:r>
        <w:t xml:space="preserve">And he sees, and look, a well</w:t>
      </w:r>
      <w:r>
        <w:rPr>
          <w:rStyle w:val="FootnoteReference"/>
        </w:rPr>
        <w:footnoteReference w:id="755"/>
      </w:r>
      <w:r>
        <w:t xml:space="preserve"> in the plain, and three flocks of sheep were lying there by it, for from that well they watered the flocks, and a great stone was on the mouth of the well,</w:t>
      </w:r>
    </w:p>
    <w:p>
      <w:r>
        <w:rPr>
          <w:b/>
        </w:rPr>
        <w:t xml:space="preserve">3 </w:t>
      </w:r>
      <w:r>
        <w:t xml:space="preserve">and all the flocks</w:t>
      </w:r>
      <w:r>
        <w:rPr>
          <w:rStyle w:val="FootnoteReference"/>
        </w:rPr>
        <w:footnoteReference w:id="756"/>
      </w:r>
      <w:r>
        <w:t xml:space="preserve"> were gathered there, and they would roll away the stone from the mouth of the well and water the sheep and set the stone back on the mouth of the well in its place.</w:t>
      </w:r>
    </w:p>
    <w:p>
      <w:r>
        <w:rPr>
          <w:b/>
        </w:rPr>
        <w:t xml:space="preserve">4 </w:t>
      </w:r>
      <w:r>
        <w:t xml:space="preserve">And Jacob said to them, Brothers, where are you from? And they said, We are from Haran.</w:t>
      </w:r>
    </w:p>
    <w:p>
      <w:r>
        <w:rPr>
          <w:b/>
        </w:rPr>
        <w:t xml:space="preserve">5 </w:t>
      </w:r>
      <w:r>
        <w:t xml:space="preserve">And he said to them, Do you know Laban son of</w:t>
      </w:r>
      <w:r>
        <w:rPr>
          <w:rStyle w:val="FootnoteReference"/>
        </w:rPr>
        <w:footnoteReference w:id="757"/>
      </w:r>
      <w:r>
        <w:t xml:space="preserve"> Nahor? And they said, We know him.</w:t>
      </w:r>
    </w:p>
    <w:p>
      <w:r>
        <w:rPr>
          <w:b/>
        </w:rPr>
        <w:t xml:space="preserve">6 </w:t>
      </w:r>
      <w:r>
        <w:t xml:space="preserve">And he said to them, Is he well</w:t>
      </w:r>
      <w:r>
        <w:rPr>
          <w:rStyle w:val="FootnoteReference"/>
        </w:rPr>
        <w:footnoteReference w:id="758"/>
      </w:r>
      <w:r>
        <w:t xml:space="preserve">? And they said, He is well. And look, Rachel</w:t>
      </w:r>
      <w:r>
        <w:rPr>
          <w:rStyle w:val="FootnoteReference"/>
        </w:rPr>
        <w:footnoteReference w:id="759"/>
      </w:r>
      <w:r>
        <w:t xml:space="preserve"> his daughter was coming with the sheep.</w:t>
      </w:r>
    </w:p>
    <w:p>
      <w:r>
        <w:rPr>
          <w:b/>
        </w:rPr>
        <w:t xml:space="preserve">7 </w:t>
      </w:r>
      <w:r>
        <w:t xml:space="preserve">And Jacob said, It is still much day, not yet time for the livestock to be gathered. Water the sheep, then go and pasture them.</w:t>
      </w:r>
    </w:p>
    <w:p>
      <w:r>
        <w:rPr>
          <w:b/>
        </w:rPr>
        <w:t xml:space="preserve">8 </w:t>
      </w:r>
      <w:r>
        <w:t xml:space="preserve">But they said, We cannot until all the shepherds are gathered and they roll</w:t>
      </w:r>
      <w:r>
        <w:rPr>
          <w:rStyle w:val="FootnoteReference"/>
        </w:rPr>
        <w:footnoteReference w:id="760"/>
      </w:r>
      <w:r>
        <w:t xml:space="preserve"> the stone away from the mouth of the well, then we water the sheep.</w:t>
      </w:r>
    </w:p>
    <w:p>
      <w:r>
        <w:rPr>
          <w:b/>
        </w:rPr>
        <w:t xml:space="preserve">9 </w:t>
      </w:r>
      <w:r>
        <w:t xml:space="preserve">While he was still speaking with them, look, Rachel</w:t>
      </w:r>
      <w:r>
        <w:rPr>
          <w:rStyle w:val="FootnoteReference"/>
        </w:rPr>
        <w:footnoteReference w:id="761"/>
      </w:r>
      <w:r>
        <w:t xml:space="preserve"> daughter of Laban was coming with her father's sheep, for she was shepherding her father's sheep.</w:t>
      </w:r>
    </w:p>
    <w:p>
      <w:r>
        <w:rPr>
          <w:b/>
        </w:rPr>
        <w:t xml:space="preserve">10 </w:t>
      </w:r>
      <w:r>
        <w:t xml:space="preserve">And it happened when Jacob saw Rachel daughter of Laban, brother of his mother, and the sheep of Laban, brother of his mother, Jacob came near and rolled</w:t>
      </w:r>
      <w:r>
        <w:rPr>
          <w:rStyle w:val="FootnoteReference"/>
        </w:rPr>
        <w:footnoteReference w:id="762"/>
      </w:r>
      <w:r>
        <w:t xml:space="preserve"> the stone from the mouth of the well and watered the sheep of Laban, brother of his mother.</w:t>
      </w:r>
    </w:p>
    <w:p>
      <w:r>
        <w:rPr>
          <w:b/>
        </w:rPr>
        <w:t xml:space="preserve">11 </w:t>
      </w:r>
      <w:r>
        <w:t xml:space="preserve">And Jacob kissed</w:t>
      </w:r>
      <w:r>
        <w:rPr>
          <w:rStyle w:val="FootnoteReference"/>
        </w:rPr>
        <w:footnoteReference w:id="763"/>
      </w:r>
      <w:r>
        <w:t xml:space="preserve"> Rachel, and crying out with his voice, he wept.</w:t>
      </w:r>
    </w:p>
    <w:p>
      <w:r>
        <w:rPr>
          <w:b/>
        </w:rPr>
        <w:t xml:space="preserve">12 </w:t>
      </w:r>
      <w:r>
        <w:t xml:space="preserve">And Jacob reported to Rachel that he was a relative of her father and that he was the son of Rebekah. And she</w:t>
      </w:r>
      <w:r>
        <w:rPr>
          <w:rStyle w:val="FootnoteReference"/>
        </w:rPr>
        <w:footnoteReference w:id="764"/>
      </w:r>
      <w:r>
        <w:t xml:space="preserve"> ran and reported to her father according to these words.</w:t>
      </w:r>
    </w:p>
    <w:p>
      <w:r>
        <w:rPr>
          <w:b/>
        </w:rPr>
        <w:t xml:space="preserve">13 </w:t>
      </w:r>
      <w:r>
        <w:t xml:space="preserve">And it happened when Laban heard the name of Jacob, son of his sister, he ran</w:t>
      </w:r>
      <w:r>
        <w:rPr>
          <w:rStyle w:val="FootnoteReference"/>
        </w:rPr>
        <w:footnoteReference w:id="765"/>
      </w:r>
      <w:r>
        <w:t xml:space="preserve"> to meet him and embraced him and kissed him and brought him into his house. And Jacob recounted to Laban all these matters.</w:t>
      </w:r>
    </w:p>
    <w:p>
      <w:r>
        <w:rPr>
          <w:b/>
        </w:rPr>
        <w:t xml:space="preserve">14 </w:t>
      </w:r>
      <w:r>
        <w:t xml:space="preserve">And Laban said to him, You are from my bones and from my flesh. And he was with him a month of days.</w:t>
      </w:r>
    </w:p>
    <w:p>
      <w:r>
        <w:rPr>
          <w:b/>
        </w:rPr>
        <w:t xml:space="preserve">15 </w:t>
      </w:r>
      <w:r>
        <w:t xml:space="preserve">And Laban said to Jacob, Because you are my brother, will you serve me for nothing?</w:t>
      </w:r>
      <w:r>
        <w:rPr>
          <w:rStyle w:val="FootnoteReference"/>
        </w:rPr>
        <w:footnoteReference w:id="766"/>
      </w:r>
      <w:r>
        <w:t xml:space="preserve"> Tell me</w:t>
      </w:r>
      <w:r>
        <w:rPr>
          <w:rStyle w:val="FootnoteReference"/>
        </w:rPr>
        <w:footnoteReference w:id="767"/>
      </w:r>
      <w:r>
        <w:t xml:space="preserve">, what shall your wages be?</w:t>
      </w:r>
    </w:p>
    <w:p>
      <w:r>
        <w:rPr>
          <w:b/>
        </w:rPr>
        <w:t xml:space="preserve">16 </w:t>
      </w:r>
      <w:r>
        <w:t xml:space="preserve">Now Laban had two daughters. The name of the elder was Leah</w:t>
      </w:r>
      <w:r>
        <w:rPr>
          <w:rStyle w:val="FootnoteReference"/>
        </w:rPr>
        <w:footnoteReference w:id="768"/>
      </w:r>
      <w:r>
        <w:t xml:space="preserve">, and the name of the younger Rachel</w:t>
      </w:r>
      <w:r>
        <w:rPr>
          <w:rStyle w:val="FootnoteReference"/>
        </w:rPr>
        <w:footnoteReference w:id="769"/>
      </w:r>
      <w:r>
        <w:t xml:space="preserve">.</w:t>
      </w:r>
      <w:r>
        <w:rPr>
          <w:rStyle w:val="FootnoteReference"/>
        </w:rPr>
        <w:footnoteReference w:id="770"/>
      </w:r>
    </w:p>
    <w:p>
      <w:r>
        <w:rPr>
          <w:b/>
        </w:rPr>
        <w:t xml:space="preserve">17 </w:t>
      </w:r>
      <w:r>
        <w:t xml:space="preserve">And Leah's eyes were weak, but Rachel</w:t>
      </w:r>
      <w:r>
        <w:rPr>
          <w:rStyle w:val="FootnoteReference"/>
        </w:rPr>
        <w:footnoteReference w:id="771"/>
      </w:r>
      <w:r>
        <w:t xml:space="preserve"> was beautiful in form and exceedingly lovely in appearance.</w:t>
      </w:r>
    </w:p>
    <w:p>
      <w:r>
        <w:rPr>
          <w:b/>
        </w:rPr>
        <w:t xml:space="preserve">18 </w:t>
      </w:r>
      <w:r>
        <w:t xml:space="preserve">And Jacob loved</w:t>
      </w:r>
      <w:r>
        <w:rPr>
          <w:rStyle w:val="FootnoteReference"/>
        </w:rPr>
        <w:footnoteReference w:id="772"/>
      </w:r>
      <w:r>
        <w:t xml:space="preserve"> Rachel and said, I will serve you seven years for Rachel your younger daughter</w:t>
      </w:r>
      <w:r>
        <w:rPr>
          <w:rStyle w:val="FootnoteReference"/>
        </w:rPr>
        <w:footnoteReference w:id="773"/>
      </w:r>
      <w:r>
        <w:t xml:space="preserve">.</w:t>
      </w:r>
      <w:r>
        <w:rPr>
          <w:rStyle w:val="FootnoteReference"/>
        </w:rPr>
        <w:footnoteReference w:id="774"/>
      </w:r>
    </w:p>
    <w:p>
      <w:r>
        <w:rPr>
          <w:b/>
        </w:rPr>
        <w:t xml:space="preserve">19 </w:t>
      </w:r>
      <w:r>
        <w:t xml:space="preserve">And Laban said to him, It is better for me to give her to you than for me to give her to another man. Dwell with me.</w:t>
      </w:r>
    </w:p>
    <w:p>
      <w:r>
        <w:rPr>
          <w:b/>
        </w:rPr>
        <w:t xml:space="preserve">20 </w:t>
      </w:r>
      <w:r>
        <w:t xml:space="preserve">And Jacob served</w:t>
      </w:r>
      <w:r>
        <w:rPr>
          <w:rStyle w:val="FootnoteReference"/>
        </w:rPr>
        <w:footnoteReference w:id="775"/>
      </w:r>
      <w:r>
        <w:t xml:space="preserve"> for Rachel seven years, and they were in his sight like a few days because he loved her.</w:t>
      </w:r>
    </w:p>
    <w:p>
      <w:r>
        <w:rPr>
          <w:b/>
        </w:rPr>
        <w:t xml:space="preserve">21 </w:t>
      </w:r>
      <w:r>
        <w:t xml:space="preserve">And Jacob said to Laban, Give me</w:t>
      </w:r>
      <w:r>
        <w:rPr>
          <w:rStyle w:val="FootnoteReference"/>
        </w:rPr>
        <w:footnoteReference w:id="776"/>
      </w:r>
      <w:r>
        <w:t xml:space="preserve"> my wife, for my days are fulfilled so that I may go in to her.</w:t>
      </w:r>
    </w:p>
    <w:p>
      <w:r>
        <w:rPr>
          <w:b/>
        </w:rPr>
        <w:t xml:space="preserve">22 </w:t>
      </w:r>
      <w:r>
        <w:t xml:space="preserve">And Laban gathered all the men of the place and made</w:t>
      </w:r>
      <w:r>
        <w:rPr>
          <w:rStyle w:val="FootnoteReference"/>
        </w:rPr>
        <w:footnoteReference w:id="777"/>
      </w:r>
      <w:r>
        <w:t xml:space="preserve"> a wedding feast.</w:t>
      </w:r>
    </w:p>
    <w:p>
      <w:r>
        <w:rPr>
          <w:b/>
        </w:rPr>
        <w:t xml:space="preserve">23 </w:t>
      </w:r>
      <w:r>
        <w:t xml:space="preserve">And it happened at evening that he took Leah his daughter and brought her</w:t>
      </w:r>
      <w:r>
        <w:rPr>
          <w:rStyle w:val="FootnoteReference"/>
        </w:rPr>
        <w:footnoteReference w:id="778"/>
      </w:r>
      <w:r>
        <w:t xml:space="preserve"> to Jacob, and Jacob went in to her.</w:t>
      </w:r>
    </w:p>
    <w:p>
      <w:r>
        <w:rPr>
          <w:b/>
        </w:rPr>
        <w:t xml:space="preserve">24 </w:t>
      </w:r>
      <w:r>
        <w:t xml:space="preserve">And Laban gave to Leah his daughter Zilpah</w:t>
      </w:r>
      <w:r>
        <w:rPr>
          <w:rStyle w:val="FootnoteReference"/>
        </w:rPr>
        <w:footnoteReference w:id="779"/>
      </w:r>
      <w:r>
        <w:t xml:space="preserve"> his servant-girl as servant-girl for her.</w:t>
      </w:r>
      <w:r>
        <w:rPr>
          <w:rStyle w:val="FootnoteReference"/>
        </w:rPr>
        <w:footnoteReference w:id="780"/>
      </w:r>
    </w:p>
    <w:p>
      <w:r>
        <w:rPr>
          <w:b/>
        </w:rPr>
        <w:t xml:space="preserve">25 </w:t>
      </w:r>
      <w:r>
        <w:t xml:space="preserve">And it happened in the morning</w:t>
      </w:r>
      <w:r>
        <w:rPr>
          <w:rStyle w:val="FootnoteReference"/>
        </w:rPr>
        <w:footnoteReference w:id="781"/>
      </w:r>
      <w:r>
        <w:t xml:space="preserve">, and look, it was Leah. And Jacob said to Laban, What is this you did to me? Was it not for Rachel that I served with you? And why did you trick me?</w:t>
      </w:r>
    </w:p>
    <w:p>
      <w:r>
        <w:rPr>
          <w:b/>
        </w:rPr>
        <w:t xml:space="preserve">26 </w:t>
      </w:r>
      <w:r>
        <w:t xml:space="preserve">And Laban answered, It is not done this way in our place, to give the younger before the elder.</w:t>
      </w:r>
    </w:p>
    <w:p>
      <w:r>
        <w:rPr>
          <w:b/>
        </w:rPr>
        <w:t xml:space="preserve">27 </w:t>
      </w:r>
      <w:r>
        <w:t xml:space="preserve">So fulfill this one's sevens, and I will give you that one too in exchange for the work that you work with me, still another seven years.</w:t>
      </w:r>
    </w:p>
    <w:p>
      <w:r>
        <w:rPr>
          <w:b/>
        </w:rPr>
        <w:t xml:space="preserve">28 </w:t>
      </w:r>
      <w:r>
        <w:t xml:space="preserve">And Jacob did so and fulfilled this one's sevens, and Laban gave him Rachel his daughter to him as wife.</w:t>
      </w:r>
    </w:p>
    <w:p>
      <w:r>
        <w:rPr>
          <w:b/>
        </w:rPr>
        <w:t xml:space="preserve">29 </w:t>
      </w:r>
      <w:r>
        <w:t xml:space="preserve">And Laban gave to his daughter Rachel Bilhah</w:t>
      </w:r>
      <w:r>
        <w:rPr>
          <w:rStyle w:val="FootnoteReference"/>
        </w:rPr>
        <w:footnoteReference w:id="782"/>
      </w:r>
      <w:r>
        <w:t xml:space="preserve"> his servant-girl as servant-girl for her.</w:t>
      </w:r>
      <w:r>
        <w:rPr>
          <w:rStyle w:val="FootnoteReference"/>
        </w:rPr>
        <w:footnoteReference w:id="783"/>
      </w:r>
    </w:p>
    <w:p>
      <w:r>
        <w:rPr>
          <w:b/>
        </w:rPr>
        <w:t xml:space="preserve">30 </w:t>
      </w:r>
      <w:r>
        <w:t xml:space="preserve">And he went in to Rachel, and he loved</w:t>
      </w:r>
      <w:r>
        <w:rPr>
          <w:rStyle w:val="FootnoteReference"/>
        </w:rPr>
        <w:footnoteReference w:id="784"/>
      </w:r>
      <w:r>
        <w:t xml:space="preserve"> Rachel more than Leah, and he served him another seven years.</w:t>
      </w:r>
    </w:p>
    <w:p>
      <w:r>
        <w:rPr>
          <w:b/>
        </w:rPr>
        <w:t xml:space="preserve">31 </w:t>
      </w:r>
      <w:r>
        <w:t xml:space="preserve">And when the Lord God saw that Leah was hated</w:t>
      </w:r>
      <w:r>
        <w:rPr>
          <w:rStyle w:val="FootnoteReference"/>
        </w:rPr>
        <w:footnoteReference w:id="785"/>
      </w:r>
      <w:r>
        <w:t xml:space="preserve">, he opened her womb, but Rachel was barren.</w:t>
      </w:r>
    </w:p>
    <w:p>
      <w:r>
        <w:rPr>
          <w:b/>
        </w:rPr>
        <w:t xml:space="preserve">32 </w:t>
      </w:r>
      <w:r>
        <w:t xml:space="preserve">And Leah conceived and bore a son to Jacob, and she called his name</w:t>
      </w:r>
      <w:r>
        <w:rPr>
          <w:rStyle w:val="FootnoteReference"/>
        </w:rPr>
        <w:footnoteReference w:id="786"/>
      </w:r>
      <w:r>
        <w:t xml:space="preserve"> Reuben</w:t>
      </w:r>
      <w:r>
        <w:rPr>
          <w:rStyle w:val="FootnoteReference"/>
        </w:rPr>
        <w:footnoteReference w:id="787"/>
      </w:r>
      <w:r>
        <w:t xml:space="preserve">, saying, Because the Lord saw my humiliation and gave me a son. So now my husband will love me.</w:t>
      </w:r>
    </w:p>
    <w:p>
      <w:r>
        <w:rPr>
          <w:b/>
        </w:rPr>
        <w:t xml:space="preserve">33 </w:t>
      </w:r>
      <w:r>
        <w:t xml:space="preserve">And she conceived again and bore a second son to Jacob and said, Because the Lord heard that I am hated, he gave me this one also. And she called</w:t>
      </w:r>
      <w:r>
        <w:rPr>
          <w:rStyle w:val="FootnoteReference"/>
        </w:rPr>
        <w:footnoteReference w:id="788"/>
      </w:r>
      <w:r>
        <w:t xml:space="preserve"> his name Simeon</w:t>
      </w:r>
      <w:r>
        <w:rPr>
          <w:rStyle w:val="FootnoteReference"/>
        </w:rPr>
        <w:footnoteReference w:id="789"/>
      </w:r>
      <w:r>
        <w:t xml:space="preserve">.</w:t>
      </w:r>
    </w:p>
    <w:p>
      <w:r>
        <w:rPr>
          <w:b/>
        </w:rPr>
        <w:t xml:space="preserve">34 </w:t>
      </w:r>
      <w:r>
        <w:t xml:space="preserve">And she conceived yet again and bore a son and said, At this time now my husband will be with me, for I have borne him three sons. Therefore she called his name Levi</w:t>
      </w:r>
      <w:r>
        <w:rPr>
          <w:rStyle w:val="FootnoteReference"/>
        </w:rPr>
        <w:footnoteReference w:id="790"/>
      </w:r>
      <w:r>
        <w:t xml:space="preserve">.</w:t>
      </w:r>
      <w:r>
        <w:rPr>
          <w:rStyle w:val="FootnoteReference"/>
        </w:rPr>
        <w:footnoteReference w:id="791"/>
      </w:r>
    </w:p>
    <w:p>
      <w:r>
        <w:rPr>
          <w:b/>
        </w:rPr>
        <w:t xml:space="preserve">35 </w:t>
      </w:r>
      <w:r>
        <w:t xml:space="preserve">And conceiving yet again she bore a son and said, Now this time I will give thanks to the Lord. Therefore she called</w:t>
      </w:r>
      <w:r>
        <w:rPr>
          <w:rStyle w:val="FootnoteReference"/>
        </w:rPr>
        <w:footnoteReference w:id="792"/>
      </w:r>
      <w:r>
        <w:t xml:space="preserve"> his name Judah</w:t>
      </w:r>
      <w:r>
        <w:rPr>
          <w:rStyle w:val="FootnoteReference"/>
        </w:rPr>
        <w:footnoteReference w:id="793"/>
      </w:r>
      <w:r>
        <w:t xml:space="preserve">. And she stopped bearing.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And Rachel, seeing that she bore no children to Jacob, became jealous of her sister and said to Jacob, Give me children, but if not, I will die.</w:t>
      </w:r>
    </w:p>
    <w:p>
      <w:r>
        <w:rPr>
          <w:b/>
        </w:rPr>
        <w:t xml:space="preserve">2 </w:t>
      </w:r>
      <w:r>
        <w:t xml:space="preserve">And Jacob, angered at Rachel, said to her, Am I</w:t>
      </w:r>
      <w:r>
        <w:rPr>
          <w:rStyle w:val="FootnoteReference"/>
        </w:rPr>
        <w:footnoteReference w:id="794"/>
      </w:r>
      <w:r>
        <w:t xml:space="preserve"> in the place of God, who deprived you of fruit of the womb?</w:t>
      </w:r>
    </w:p>
    <w:p>
      <w:r>
        <w:rPr>
          <w:b/>
        </w:rPr>
        <w:t xml:space="preserve">3 </w:t>
      </w:r>
      <w:r>
        <w:t xml:space="preserve">And Rachel said to Jacob, Look, my servant-girl Bilhah. Go in to her, and she will bear upon my knees, and I too will have children through her.</w:t>
      </w:r>
    </w:p>
    <w:p>
      <w:r>
        <w:rPr>
          <w:b/>
        </w:rPr>
        <w:t xml:space="preserve">4 </w:t>
      </w:r>
      <w:r>
        <w:t xml:space="preserve">And she gave him Bilhah her servant-girl as wife for him, and Jacob went in to her.</w:t>
      </w:r>
    </w:p>
    <w:p>
      <w:r>
        <w:rPr>
          <w:b/>
        </w:rPr>
        <w:t xml:space="preserve">5 </w:t>
      </w:r>
      <w:r>
        <w:t xml:space="preserve">And Bilhah, Rachel's servant-girl, conceived and bore a son to Jacob.</w:t>
      </w:r>
    </w:p>
    <w:p>
      <w:r>
        <w:rPr>
          <w:b/>
        </w:rPr>
        <w:t xml:space="preserve">6 </w:t>
      </w:r>
      <w:r>
        <w:t xml:space="preserve">And Rachel said, God judged for me and heard my voice and gave me a son. Therefore she called his name Dan</w:t>
      </w:r>
      <w:r>
        <w:rPr>
          <w:rStyle w:val="FootnoteReference"/>
        </w:rPr>
        <w:footnoteReference w:id="795"/>
      </w:r>
      <w:r>
        <w:t xml:space="preserve">.</w:t>
      </w:r>
    </w:p>
    <w:p>
      <w:r>
        <w:rPr>
          <w:b/>
        </w:rPr>
        <w:t xml:space="preserve">7 </w:t>
      </w:r>
      <w:r>
        <w:t xml:space="preserve">And Bilhah, Rachel's servant-girl, conceived again and bore a second son to Jacob.</w:t>
      </w:r>
    </w:p>
    <w:p>
      <w:r>
        <w:rPr>
          <w:b/>
        </w:rPr>
        <w:t xml:space="preserve">8 </w:t>
      </w:r>
      <w:r>
        <w:t xml:space="preserve">And Rachel said, God joined in my struggle, and I struggled with my sister and prevailed. And she</w:t>
      </w:r>
      <w:r>
        <w:rPr>
          <w:rStyle w:val="FootnoteReference"/>
        </w:rPr>
        <w:footnoteReference w:id="796"/>
      </w:r>
      <w:r>
        <w:t xml:space="preserve"> called his name Naphtali</w:t>
      </w:r>
      <w:r>
        <w:rPr>
          <w:rStyle w:val="FootnoteReference"/>
        </w:rPr>
        <w:footnoteReference w:id="797"/>
      </w:r>
      <w:r>
        <w:t xml:space="preserve">.</w:t>
      </w:r>
    </w:p>
    <w:p>
      <w:r>
        <w:rPr>
          <w:b/>
        </w:rPr>
        <w:t xml:space="preserve">9 </w:t>
      </w:r>
      <w:r>
        <w:t xml:space="preserve">And Leah saw that she had stopped bearing, and she took Zilpah her servant-girl and gave her</w:t>
      </w:r>
      <w:r>
        <w:rPr>
          <w:rStyle w:val="FootnoteReference"/>
        </w:rPr>
        <w:footnoteReference w:id="798"/>
      </w:r>
      <w:r>
        <w:t xml:space="preserve"> to Jacob as wife. And he went in to her.</w:t>
      </w:r>
    </w:p>
    <w:p>
      <w:r>
        <w:rPr>
          <w:b/>
        </w:rPr>
        <w:t xml:space="preserve">10 </w:t>
      </w:r>
      <w:r>
        <w:t xml:space="preserve">And Zilpah, Leah's servant-girl, conceived and bore a son to Jacob.</w:t>
      </w:r>
    </w:p>
    <w:p>
      <w:r>
        <w:rPr>
          <w:b/>
        </w:rPr>
        <w:t xml:space="preserve">11 </w:t>
      </w:r>
      <w:r>
        <w:t xml:space="preserve">And Leah said, In luck. And she called his name Gad</w:t>
      </w:r>
      <w:r>
        <w:rPr>
          <w:rStyle w:val="FootnoteReference"/>
        </w:rPr>
        <w:footnoteReference w:id="799"/>
      </w:r>
      <w:r>
        <w:t xml:space="preserve">.</w:t>
      </w:r>
    </w:p>
    <w:p>
      <w:r>
        <w:rPr>
          <w:b/>
        </w:rPr>
        <w:t xml:space="preserve">12 </w:t>
      </w:r>
      <w:r>
        <w:t xml:space="preserve">And Zilpah, Leah's servant-girl, conceived again and bore a second son to Jacob.</w:t>
      </w:r>
    </w:p>
    <w:p>
      <w:r>
        <w:rPr>
          <w:b/>
        </w:rPr>
        <w:t xml:space="preserve">13 </w:t>
      </w:r>
      <w:r>
        <w:t xml:space="preserve">And Leah said, Blessed am I, because the women will pronounce me blessed. And she</w:t>
      </w:r>
      <w:r>
        <w:rPr>
          <w:rStyle w:val="FootnoteReference"/>
        </w:rPr>
        <w:footnoteReference w:id="800"/>
      </w:r>
      <w:r>
        <w:t xml:space="preserve"> called his name Asher</w:t>
      </w:r>
      <w:r>
        <w:rPr>
          <w:rStyle w:val="FootnoteReference"/>
        </w:rPr>
        <w:footnoteReference w:id="801"/>
      </w:r>
      <w:r>
        <w:t xml:space="preserve">.</w:t>
      </w:r>
    </w:p>
    <w:p>
      <w:r>
        <w:rPr>
          <w:b/>
        </w:rPr>
        <w:t xml:space="preserve">14 </w:t>
      </w:r>
      <w:r>
        <w:t xml:space="preserve">And Reuben went in the days of wheat harvest and found mandrake apples in the field and brought them to Leah his mother. And Rachel said to Leah her sister, Give me some of your son's mandrakes</w:t>
      </w:r>
      <w:r>
        <w:rPr>
          <w:rStyle w:val="FootnoteReference"/>
        </w:rPr>
        <w:footnoteReference w:id="802"/>
      </w:r>
      <w:r>
        <w:t xml:space="preserve">.</w:t>
      </w:r>
    </w:p>
    <w:p>
      <w:r>
        <w:rPr>
          <w:b/>
        </w:rPr>
        <w:t xml:space="preserve">15 </w:t>
      </w:r>
      <w:r>
        <w:t xml:space="preserve">And Leah said, Is it not enough for you that you took my husband? Will you now take my son's mandrakes too? And Rachel said, Not so</w:t>
      </w:r>
      <w:r>
        <w:rPr>
          <w:rStyle w:val="FootnoteReference"/>
        </w:rPr>
        <w:footnoteReference w:id="803"/>
      </w:r>
      <w:r>
        <w:t xml:space="preserve">. Let him sleep with you tonight in exchange for your son's mandrakes.</w:t>
      </w:r>
    </w:p>
    <w:p>
      <w:r>
        <w:rPr>
          <w:b/>
        </w:rPr>
        <w:t xml:space="preserve">16 </w:t>
      </w:r>
      <w:r>
        <w:t xml:space="preserve">And Jacob came in from the field at evening, and Leah went out to meet him and said, You will come in to me today, for I hired you with my son's mandrakes. And he slept with her that night.</w:t>
      </w:r>
    </w:p>
    <w:p>
      <w:r>
        <w:rPr>
          <w:b/>
        </w:rPr>
        <w:t xml:space="preserve">17 </w:t>
      </w:r>
      <w:r>
        <w:t xml:space="preserve">And God heard Leah, and conceiving she bore a fifth son to Jacob.</w:t>
      </w:r>
    </w:p>
    <w:p>
      <w:r>
        <w:rPr>
          <w:b/>
        </w:rPr>
        <w:t xml:space="preserve">18 </w:t>
      </w:r>
      <w:r>
        <w:t xml:space="preserve">And Leah said, God gave me my wages, because I gave my servant-girl to my husband. And she</w:t>
      </w:r>
      <w:r>
        <w:rPr>
          <w:rStyle w:val="FootnoteReference"/>
        </w:rPr>
        <w:footnoteReference w:id="804"/>
      </w:r>
      <w:r>
        <w:t xml:space="preserve"> called his name Issachar</w:t>
      </w:r>
      <w:r>
        <w:rPr>
          <w:rStyle w:val="FootnoteReference"/>
        </w:rPr>
        <w:footnoteReference w:id="805"/>
      </w:r>
      <w:r>
        <w:t xml:space="preserve">, which means wages.</w:t>
      </w:r>
    </w:p>
    <w:p>
      <w:r>
        <w:rPr>
          <w:b/>
        </w:rPr>
        <w:t xml:space="preserve">19 </w:t>
      </w:r>
      <w:r>
        <w:t xml:space="preserve">And Leah conceived again and bore a sixth son to Jacob.</w:t>
      </w:r>
    </w:p>
    <w:p>
      <w:r>
        <w:rPr>
          <w:b/>
        </w:rPr>
        <w:t xml:space="preserve">20 </w:t>
      </w:r>
      <w:r>
        <w:t xml:space="preserve">And Leah said, God has gifted me with a good gift at this time. My husband will choose me, for I have borne him six sons. And she</w:t>
      </w:r>
      <w:r>
        <w:rPr>
          <w:rStyle w:val="FootnoteReference"/>
        </w:rPr>
        <w:footnoteReference w:id="806"/>
      </w:r>
      <w:r>
        <w:t xml:space="preserve"> called his name Zebulun</w:t>
      </w:r>
      <w:r>
        <w:rPr>
          <w:rStyle w:val="FootnoteReference"/>
        </w:rPr>
        <w:footnoteReference w:id="807"/>
      </w:r>
      <w:r>
        <w:t xml:space="preserve">.</w:t>
      </w:r>
    </w:p>
    <w:p>
      <w:r>
        <w:rPr>
          <w:b/>
        </w:rPr>
        <w:t xml:space="preserve">21 </w:t>
      </w:r>
      <w:r>
        <w:t xml:space="preserve">And after this she bore a daughter and called</w:t>
      </w:r>
      <w:r>
        <w:rPr>
          <w:rStyle w:val="FootnoteReference"/>
        </w:rPr>
        <w:footnoteReference w:id="808"/>
      </w:r>
      <w:r>
        <w:t xml:space="preserve"> her name Dinah</w:t>
      </w:r>
      <w:r>
        <w:rPr>
          <w:rStyle w:val="FootnoteReference"/>
        </w:rPr>
        <w:footnoteReference w:id="809"/>
      </w:r>
      <w:r>
        <w:t xml:space="preserve">.</w:t>
      </w:r>
    </w:p>
    <w:p>
      <w:r>
        <w:rPr>
          <w:b/>
        </w:rPr>
        <w:t xml:space="preserve">22 </w:t>
      </w:r>
      <w:r>
        <w:t xml:space="preserve">And God remembered</w:t>
      </w:r>
      <w:r>
        <w:rPr>
          <w:rStyle w:val="FootnoteReference"/>
        </w:rPr>
        <w:footnoteReference w:id="810"/>
      </w:r>
      <w:r>
        <w:t xml:space="preserve"> Rachel, and God heard her and opened her womb,</w:t>
      </w:r>
    </w:p>
    <w:p>
      <w:r>
        <w:rPr>
          <w:b/>
        </w:rPr>
        <w:t xml:space="preserve">23 </w:t>
      </w:r>
      <w:r>
        <w:t xml:space="preserve">and conceiving she bore a son to Jacob. And Rachel said, God took away my reproach.</w:t>
      </w:r>
    </w:p>
    <w:p>
      <w:r>
        <w:rPr>
          <w:b/>
        </w:rPr>
        <w:t xml:space="preserve">24 </w:t>
      </w:r>
      <w:r>
        <w:t xml:space="preserve">And she</w:t>
      </w:r>
      <w:r>
        <w:rPr>
          <w:rStyle w:val="FootnoteReference"/>
        </w:rPr>
        <w:footnoteReference w:id="811"/>
      </w:r>
      <w:r>
        <w:t xml:space="preserve"> called his name Joseph</w:t>
      </w:r>
      <w:r>
        <w:rPr>
          <w:rStyle w:val="FootnoteReference"/>
        </w:rPr>
        <w:footnoteReference w:id="812"/>
      </w:r>
      <w:r>
        <w:t xml:space="preserve">, saying, Let God add another son to me.</w:t>
      </w:r>
    </w:p>
    <w:p>
      <w:r>
        <w:rPr>
          <w:b/>
        </w:rPr>
        <w:t xml:space="preserve">25 </w:t>
      </w:r>
      <w:r>
        <w:t xml:space="preserve">And it happened when Rachel bore Joseph, Jacob said to Laban, Send me away</w:t>
      </w:r>
      <w:r>
        <w:rPr>
          <w:rStyle w:val="FootnoteReference"/>
        </w:rPr>
        <w:footnoteReference w:id="813"/>
      </w:r>
      <w:r>
        <w:t xml:space="preserve">, so that I may depart to my place and to my land.</w:t>
      </w:r>
    </w:p>
    <w:p>
      <w:r>
        <w:rPr>
          <w:b/>
        </w:rPr>
        <w:t xml:space="preserve">26 </w:t>
      </w:r>
      <w:r>
        <w:t xml:space="preserve">Restore my wives</w:t>
      </w:r>
      <w:r>
        <w:rPr>
          <w:rStyle w:val="FootnoteReference"/>
        </w:rPr>
        <w:footnoteReference w:id="814"/>
      </w:r>
      <w:r>
        <w:t xml:space="preserve"> and my children, for whom I have served you, so that I may depart, for you know the service with which I have served you.</w:t>
      </w:r>
    </w:p>
    <w:p>
      <w:r>
        <w:rPr>
          <w:b/>
        </w:rPr>
        <w:t xml:space="preserve">27 </w:t>
      </w:r>
      <w:r>
        <w:t xml:space="preserve">And Laban said to him, If I found favor before you, I would practice augury, for God blessed me at your coming in.</w:t>
      </w:r>
    </w:p>
    <w:p>
      <w:r>
        <w:rPr>
          <w:b/>
        </w:rPr>
        <w:t xml:space="preserve">28 </w:t>
      </w:r>
      <w:r>
        <w:t xml:space="preserve">Set your wages with me, and I will give them.</w:t>
      </w:r>
    </w:p>
    <w:p>
      <w:r>
        <w:rPr>
          <w:b/>
        </w:rPr>
        <w:t xml:space="preserve">29 </w:t>
      </w:r>
      <w:r>
        <w:t xml:space="preserve">And Jacob said, You know what things I have served you in and how much livestock of yours was with me,</w:t>
      </w:r>
    </w:p>
    <w:p>
      <w:r>
        <w:rPr>
          <w:b/>
        </w:rPr>
        <w:t xml:space="preserve">30 </w:t>
      </w:r>
      <w:r>
        <w:t xml:space="preserve">for what you had before me was little, and it increased</w:t>
      </w:r>
      <w:r>
        <w:rPr>
          <w:rStyle w:val="FootnoteReference"/>
        </w:rPr>
        <w:footnoteReference w:id="815"/>
      </w:r>
      <w:r>
        <w:t xml:space="preserve"> into a multitude, and the Lord God blessed you at my foot. Now then, when shall I too make a house for myself?</w:t>
      </w:r>
    </w:p>
    <w:p>
      <w:r>
        <w:rPr>
          <w:b/>
        </w:rPr>
        <w:t xml:space="preserve">31 </w:t>
      </w:r>
      <w:r>
        <w:t xml:space="preserve">And Laban said to him, What shall I give you? And Jacob said to him, You shall give me nothing. If you do this thing for me, I will again shepherd your sheep and keep them.</w:t>
      </w:r>
    </w:p>
    <w:p>
      <w:r>
        <w:rPr>
          <w:b/>
        </w:rPr>
        <w:t xml:space="preserve">32 </w:t>
      </w:r>
      <w:r>
        <w:t xml:space="preserve">Let all your sheep pass by today, and separate from there every gray sheep among the lambs and every white-marked and speckled one among the goats. This shall be my wages.</w:t>
      </w:r>
      <w:r>
        <w:rPr>
          <w:rStyle w:val="FootnoteReference"/>
        </w:rPr>
        <w:footnoteReference w:id="816"/>
      </w:r>
    </w:p>
    <w:p>
      <w:r>
        <w:rPr>
          <w:b/>
        </w:rPr>
        <w:t xml:space="preserve">33 </w:t>
      </w:r>
      <w:r>
        <w:t xml:space="preserve">And my righteousness</w:t>
      </w:r>
      <w:r>
        <w:rPr>
          <w:rStyle w:val="FootnoteReference"/>
        </w:rPr>
        <w:footnoteReference w:id="817"/>
      </w:r>
      <w:r>
        <w:t xml:space="preserve"> will answer for me on the next day, because my wages are before you. Everything that is not speckled and white-marked among the goats and gray among the lambs will be considered stolen with me.</w:t>
      </w:r>
      <w:r>
        <w:rPr>
          <w:rStyle w:val="FootnoteReference"/>
        </w:rPr>
        <w:footnoteReference w:id="818"/>
      </w:r>
    </w:p>
    <w:p>
      <w:r>
        <w:rPr>
          <w:b/>
        </w:rPr>
        <w:t xml:space="preserve">34 </w:t>
      </w:r>
      <w:r>
        <w:t xml:space="preserve">And Laban said to him, Let it be according to your word.</w:t>
      </w:r>
    </w:p>
    <w:p>
      <w:r>
        <w:rPr>
          <w:b/>
        </w:rPr>
        <w:t xml:space="preserve">35 </w:t>
      </w:r>
      <w:r>
        <w:t xml:space="preserve">And he separated on that day the speckled and white-marked he-goats and all the speckled and white-marked she-goats and everything gray among the lambs and everything white among them, and gave them into the hand</w:t>
      </w:r>
      <w:r>
        <w:rPr>
          <w:rStyle w:val="FootnoteReference"/>
        </w:rPr>
        <w:footnoteReference w:id="819"/>
      </w:r>
      <w:r>
        <w:t xml:space="preserve"> of his sons.</w:t>
      </w:r>
    </w:p>
    <w:p>
      <w:r>
        <w:rPr>
          <w:b/>
        </w:rPr>
        <w:t xml:space="preserve">36 </w:t>
      </w:r>
      <w:r>
        <w:t xml:space="preserve">And he set a journey of three days between them and Jacob. And Jacob was shepherding the remaining sheep of Laban.</w:t>
      </w:r>
    </w:p>
    <w:p>
      <w:r>
        <w:rPr>
          <w:b/>
        </w:rPr>
        <w:t xml:space="preserve">37 </w:t>
      </w:r>
      <w:r>
        <w:t xml:space="preserve">And Jacob</w:t>
      </w:r>
      <w:r>
        <w:rPr>
          <w:rStyle w:val="FootnoteReference"/>
        </w:rPr>
        <w:footnoteReference w:id="820"/>
      </w:r>
      <w:r>
        <w:t xml:space="preserve"> took for himself a green storax rod and walnut and plane-tree, and Jacob peeled white peelings on them, stripping away the green. And the white that he peeled showed variegated on the rods.</w:t>
      </w:r>
    </w:p>
    <w:p>
      <w:r>
        <w:rPr>
          <w:b/>
        </w:rPr>
        <w:t xml:space="preserve">38 </w:t>
      </w:r>
      <w:r>
        <w:t xml:space="preserve">And he set the rods that he peeled in the troughs of the watering places, so that when the sheep came to drink before the rods, when they came to drink, they might conceive by the rods.</w:t>
      </w:r>
    </w:p>
    <w:p>
      <w:r>
        <w:rPr>
          <w:b/>
        </w:rPr>
        <w:t xml:space="preserve">39 </w:t>
      </w:r>
      <w:r>
        <w:t xml:space="preserve">And the sheep were conceiving by the rods, and the sheep bore white-marked and variegated and ash-speckled young.</w:t>
      </w:r>
    </w:p>
    <w:p>
      <w:r>
        <w:rPr>
          <w:b/>
        </w:rPr>
        <w:t xml:space="preserve">40 </w:t>
      </w:r>
      <w:r>
        <w:t xml:space="preserve">And Jacob separated the lambs and set before the sheep a white-marked ram</w:t>
      </w:r>
      <w:r>
        <w:rPr>
          <w:rStyle w:val="FootnoteReference"/>
        </w:rPr>
        <w:footnoteReference w:id="821"/>
      </w:r>
      <w:r>
        <w:t xml:space="preserve"> and every variegated one among the lambs. And he separated flocks for himself by themselves and did not mix them into Laban's sheep.</w:t>
      </w:r>
    </w:p>
    <w:p>
      <w:r>
        <w:rPr>
          <w:b/>
        </w:rPr>
        <w:t xml:space="preserve">41 </w:t>
      </w:r>
      <w:r>
        <w:t xml:space="preserve">And it happened at the time when the sheep that were taking in seed conceived, Jacob set the rods before the sheep in the troughs, so that they might conceive in relation to the rods.</w:t>
      </w:r>
    </w:p>
    <w:p>
      <w:r>
        <w:rPr>
          <w:b/>
        </w:rPr>
        <w:t xml:space="preserve">42 </w:t>
      </w:r>
      <w:r>
        <w:t xml:space="preserve">But whenever the sheep were giving birth, he did not set them there. So the unmarked were Laban's, but the marked were Jacob's.</w:t>
      </w:r>
    </w:p>
    <w:p>
      <w:r>
        <w:rPr>
          <w:b/>
        </w:rPr>
        <w:t xml:space="preserve">43 </w:t>
      </w:r>
      <w:r>
        <w:t xml:space="preserve">And the man grew very, very rich, and he had many flocks and cattle and male servants and female servants and camels and donkeys.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And Jacob</w:t>
      </w:r>
      <w:r>
        <w:rPr>
          <w:rStyle w:val="FootnoteReference"/>
        </w:rPr>
        <w:footnoteReference w:id="822"/>
      </w:r>
      <w:r>
        <w:t xml:space="preserve"> heard the words of Laban's sons saying, Jacob has taken all that belonged to our father, and from what belonged to our father he made all this glory.</w:t>
      </w:r>
    </w:p>
    <w:p>
      <w:r>
        <w:rPr>
          <w:b/>
        </w:rPr>
        <w:t xml:space="preserve">2 </w:t>
      </w:r>
      <w:r>
        <w:t xml:space="preserve">And Jacob saw Laban's face, and look, it was</w:t>
      </w:r>
      <w:r>
        <w:rPr>
          <w:rStyle w:val="FootnoteReference"/>
        </w:rPr>
        <w:footnoteReference w:id="823"/>
      </w:r>
      <w:r>
        <w:t xml:space="preserve"> not toward him as yesterday and the third day.</w:t>
      </w:r>
    </w:p>
    <w:p>
      <w:r>
        <w:rPr>
          <w:b/>
        </w:rPr>
        <w:t xml:space="preserve">3 </w:t>
      </w:r>
      <w:r>
        <w:t xml:space="preserve">And the Lord said to Jacob, Return</w:t>
      </w:r>
      <w:r>
        <w:rPr>
          <w:rStyle w:val="FootnoteReference"/>
        </w:rPr>
        <w:footnoteReference w:id="824"/>
      </w:r>
      <w:r>
        <w:t xml:space="preserve"> to the land of your father and to your family line, and I will be with you.</w:t>
      </w:r>
    </w:p>
    <w:p>
      <w:r>
        <w:rPr>
          <w:b/>
        </w:rPr>
        <w:t xml:space="preserve">4 </w:t>
      </w:r>
      <w:r>
        <w:t xml:space="preserve">And Jacob sent and called Leah and Rachel into the plain where the flocks were.</w:t>
      </w:r>
    </w:p>
    <w:p>
      <w:r>
        <w:rPr>
          <w:b/>
        </w:rPr>
        <w:t xml:space="preserve">5 </w:t>
      </w:r>
      <w:r>
        <w:t xml:space="preserve">And he said to them, I see</w:t>
      </w:r>
      <w:r>
        <w:rPr>
          <w:rStyle w:val="FootnoteReference"/>
        </w:rPr>
        <w:footnoteReference w:id="825"/>
      </w:r>
      <w:r>
        <w:t xml:space="preserve"> your father's face, that it is not toward me as yesterday and the third day, but the God of my father was with me.</w:t>
      </w:r>
    </w:p>
    <w:p>
      <w:r>
        <w:rPr>
          <w:b/>
        </w:rPr>
        <w:t xml:space="preserve">6 </w:t>
      </w:r>
      <w:r>
        <w:t xml:space="preserve">And you yourselves know that with all my strength I served your father.</w:t>
      </w:r>
    </w:p>
    <w:p>
      <w:r>
        <w:rPr>
          <w:b/>
        </w:rPr>
        <w:t xml:space="preserve">7 </w:t>
      </w:r>
      <w:r>
        <w:t xml:space="preserve">But your father cheated me and changed my wages for the ten lambs, yet God did not let him harm me.</w:t>
      </w:r>
    </w:p>
    <w:p>
      <w:r>
        <w:rPr>
          <w:b/>
        </w:rPr>
        <w:t xml:space="preserve">8 </w:t>
      </w:r>
      <w:r>
        <w:t xml:space="preserve">If he said this, The variegated shall be your wages, then all the sheep would bear variegated. But if he said, The white ones shall be your wages, then all the sheep would bear white.</w:t>
      </w:r>
    </w:p>
    <w:p>
      <w:r>
        <w:rPr>
          <w:b/>
        </w:rPr>
        <w:t xml:space="preserve">9 </w:t>
      </w:r>
      <w:r>
        <w:t xml:space="preserve">So God took away all your father's livestock and gave them to me.</w:t>
      </w:r>
    </w:p>
    <w:p>
      <w:r>
        <w:rPr>
          <w:b/>
        </w:rPr>
        <w:t xml:space="preserve">10 </w:t>
      </w:r>
      <w:r>
        <w:t xml:space="preserve">And it happened when the sheep were conceiving and taking seed in the belly, I saw with my eyes in sleep, and look, the he-goats and rams mounting the sheep and the goats were white-marked and variegated and ash-speckled.</w:t>
      </w:r>
    </w:p>
    <w:p>
      <w:r>
        <w:rPr>
          <w:b/>
        </w:rPr>
        <w:t xml:space="preserve">11 </w:t>
      </w:r>
      <w:r>
        <w:t xml:space="preserve">And the angel</w:t>
      </w:r>
      <w:r>
        <w:rPr>
          <w:rStyle w:val="FootnoteReference"/>
        </w:rPr>
        <w:footnoteReference w:id="826"/>
      </w:r>
      <w:r>
        <w:t xml:space="preserve"> of God said to me in sleep, Jacob. And I said, What is it?</w:t>
      </w:r>
    </w:p>
    <w:p>
      <w:r>
        <w:rPr>
          <w:b/>
        </w:rPr>
        <w:t xml:space="preserve">12 </w:t>
      </w:r>
      <w:r>
        <w:t xml:space="preserve">And he said, Lift up</w:t>
      </w:r>
      <w:r>
        <w:rPr>
          <w:rStyle w:val="FootnoteReference"/>
        </w:rPr>
        <w:footnoteReference w:id="827"/>
      </w:r>
      <w:r>
        <w:t xml:space="preserve"> your eyes and see the he-goats and the rams mounting the sheep and the goats, white-marked and variegated and ash-speckled, for I have seen what things Laban does to you.</w:t>
      </w:r>
    </w:p>
    <w:p>
      <w:r>
        <w:rPr>
          <w:b/>
        </w:rPr>
        <w:t xml:space="preserve">13 </w:t>
      </w:r>
      <w:r>
        <w:t xml:space="preserve">I am the God who appeared to you in the place of God</w:t>
      </w:r>
      <w:r>
        <w:rPr>
          <w:rStyle w:val="FootnoteReference"/>
        </w:rPr>
        <w:footnoteReference w:id="828"/>
      </w:r>
      <w:r>
        <w:t xml:space="preserve">, where you anointed a pillar to me and vowed a vow to me there. So now rise and go out from this land and go to the land of your birth, and I will be with you.</w:t>
      </w:r>
      <w:r>
        <w:rPr>
          <w:rStyle w:val="FootnoteReference"/>
        </w:rPr>
        <w:footnoteReference w:id="829"/>
      </w:r>
      <w:r>
        <w:rPr>
          <w:rStyle w:val="FootnoteReference"/>
        </w:rPr>
        <w:footnoteReference w:id="830"/>
      </w:r>
    </w:p>
    <w:p>
      <w:r>
        <w:rPr>
          <w:b/>
        </w:rPr>
        <w:t xml:space="preserve">14 </w:t>
      </w:r>
      <w:r>
        <w:t xml:space="preserve">And Rachel</w:t>
      </w:r>
      <w:r>
        <w:rPr>
          <w:rStyle w:val="FootnoteReference"/>
        </w:rPr>
        <w:footnoteReference w:id="831"/>
      </w:r>
      <w:r>
        <w:t xml:space="preserve"> and Leah answered and said to him, Is there still a portion or inheritance</w:t>
      </w:r>
      <w:r>
        <w:rPr>
          <w:rStyle w:val="FootnoteReference"/>
        </w:rPr>
        <w:footnoteReference w:id="832"/>
      </w:r>
      <w:r>
        <w:t xml:space="preserve"> for us in our father's house?</w:t>
      </w:r>
    </w:p>
    <w:p>
      <w:r>
        <w:rPr>
          <w:b/>
        </w:rPr>
        <w:t xml:space="preserve">15 </w:t>
      </w:r>
      <w:r>
        <w:t xml:space="preserve">Are we not counted by him as foreigners? For he sold us</w:t>
      </w:r>
      <w:r>
        <w:rPr>
          <w:rStyle w:val="FootnoteReference"/>
        </w:rPr>
        <w:footnoteReference w:id="833"/>
      </w:r>
      <w:r>
        <w:t xml:space="preserve"> and by eating ate up our silver.</w:t>
      </w:r>
    </w:p>
    <w:p>
      <w:r>
        <w:rPr>
          <w:b/>
        </w:rPr>
        <w:t xml:space="preserve">16 </w:t>
      </w:r>
      <w:r>
        <w:t xml:space="preserve">All the wealth and the glory that God took away from our father shall be ours and our children's. So now whatever God said to you, do.</w:t>
      </w:r>
    </w:p>
    <w:p>
      <w:r>
        <w:rPr>
          <w:b/>
        </w:rPr>
        <w:t xml:space="preserve">17 </w:t>
      </w:r>
      <w:r>
        <w:t xml:space="preserve">And Jacob rose and took his wives and his children on the camels.</w:t>
      </w:r>
    </w:p>
    <w:p>
      <w:r>
        <w:rPr>
          <w:b/>
        </w:rPr>
        <w:t xml:space="preserve">18 </w:t>
      </w:r>
      <w:r>
        <w:t xml:space="preserve">And he led away all that belonged to him and all his baggage, which he acquired in Mesopotamia, all that was his, to go to Isaac his father in the land of Canaan.</w:t>
      </w:r>
    </w:p>
    <w:p>
      <w:r>
        <w:rPr>
          <w:b/>
        </w:rPr>
        <w:t xml:space="preserve">19 </w:t>
      </w:r>
      <w:r>
        <w:t xml:space="preserve">Now Laban had gone to shear his sheep, and Rachel stole her father's idols.</w:t>
      </w:r>
    </w:p>
    <w:p>
      <w:r>
        <w:rPr>
          <w:b/>
        </w:rPr>
        <w:t xml:space="preserve">20 </w:t>
      </w:r>
      <w:r>
        <w:t xml:space="preserve">And Jacob hid the matter from Laban the Syrian by not reporting to him that he was running away.</w:t>
      </w:r>
    </w:p>
    <w:p>
      <w:r>
        <w:rPr>
          <w:b/>
        </w:rPr>
        <w:t xml:space="preserve">21 </w:t>
      </w:r>
      <w:r>
        <w:t xml:space="preserve">And he fled, he and all that was his, and crossed the river and set out for the mountain of Gilead</w:t>
      </w:r>
      <w:r>
        <w:rPr>
          <w:rStyle w:val="FootnoteReference"/>
        </w:rPr>
        <w:footnoteReference w:id="834"/>
      </w:r>
      <w:r>
        <w:t xml:space="preserve">.</w:t>
      </w:r>
      <w:r>
        <w:rPr>
          <w:rStyle w:val="FootnoteReference"/>
        </w:rPr>
        <w:footnoteReference w:id="835"/>
      </w:r>
    </w:p>
    <w:p>
      <w:r>
        <w:rPr>
          <w:b/>
        </w:rPr>
        <w:t xml:space="preserve">22 </w:t>
      </w:r>
      <w:r>
        <w:t xml:space="preserve">And on the third day it was reported to Laban the Syrian that Jacob had fled,</w:t>
      </w:r>
    </w:p>
    <w:p>
      <w:r>
        <w:rPr>
          <w:b/>
        </w:rPr>
        <w:t xml:space="preserve">23 </w:t>
      </w:r>
      <w:r>
        <w:t xml:space="preserve">and taking his brothers with him, he pursued after him a journey of seven days and overtook him at the mountain of Gilead.</w:t>
      </w:r>
    </w:p>
    <w:p>
      <w:r>
        <w:rPr>
          <w:b/>
        </w:rPr>
        <w:t xml:space="preserve">24 </w:t>
      </w:r>
      <w:r>
        <w:t xml:space="preserve">And God came to Laban the Syrian</w:t>
      </w:r>
      <w:r>
        <w:rPr>
          <w:rStyle w:val="FootnoteReference"/>
        </w:rPr>
        <w:footnoteReference w:id="836"/>
      </w:r>
      <w:r>
        <w:t xml:space="preserve"> in sleep by night and said to him, Watch yourself, lest you speak evil things with Jacob.</w:t>
      </w:r>
    </w:p>
    <w:p>
      <w:r>
        <w:rPr>
          <w:b/>
        </w:rPr>
        <w:t xml:space="preserve">25 </w:t>
      </w:r>
      <w:r>
        <w:t xml:space="preserve">And Laban overtook Jacob. Now Jacob had pitched his tent in the mountain, and Laban stationed his brothers at the mountain of Gilead.</w:t>
      </w:r>
    </w:p>
    <w:p>
      <w:r>
        <w:rPr>
          <w:b/>
        </w:rPr>
        <w:t xml:space="preserve">26 </w:t>
      </w:r>
      <w:r>
        <w:t xml:space="preserve">And Laban said to Jacob, What did you do? Why did you run away in secret and carry me off by theft and lead away my daughters like captives of the sword?</w:t>
      </w:r>
    </w:p>
    <w:p>
      <w:r>
        <w:rPr>
          <w:b/>
        </w:rPr>
        <w:t xml:space="preserve">27 </w:t>
      </w:r>
      <w:r>
        <w:t xml:space="preserve">And if you had reported it to me, I would have sent you away with gladness and with songs and with tambourines and with lyre,</w:t>
      </w:r>
    </w:p>
    <w:p>
      <w:r>
        <w:rPr>
          <w:b/>
        </w:rPr>
        <w:t xml:space="preserve">28 </w:t>
      </w:r>
      <w:r>
        <w:t xml:space="preserve">and I was not counted worthy to kiss</w:t>
      </w:r>
      <w:r>
        <w:rPr>
          <w:rStyle w:val="FootnoteReference"/>
        </w:rPr>
        <w:footnoteReference w:id="837"/>
      </w:r>
      <w:r>
        <w:t xml:space="preserve"> my children and my daughters. But now you acted foolishly.</w:t>
      </w:r>
    </w:p>
    <w:p>
      <w:r>
        <w:rPr>
          <w:b/>
        </w:rPr>
        <w:t xml:space="preserve">29 </w:t>
      </w:r>
      <w:r>
        <w:t xml:space="preserve">And now my hand has power to harm you, but the God</w:t>
      </w:r>
      <w:r>
        <w:rPr>
          <w:rStyle w:val="FootnoteReference"/>
        </w:rPr>
        <w:footnoteReference w:id="838"/>
      </w:r>
      <w:r>
        <w:t xml:space="preserve"> of your father said to me yesterday, saying, Watch yourself, lest you speak evil things with Jacob.</w:t>
      </w:r>
    </w:p>
    <w:p>
      <w:r>
        <w:rPr>
          <w:b/>
        </w:rPr>
        <w:t xml:space="preserve">30 </w:t>
      </w:r>
      <w:r>
        <w:t xml:space="preserve">So now go on, for with desire you desired to go to your father's house. Why did you steal my gods</w:t>
      </w:r>
      <w:r>
        <w:rPr>
          <w:rStyle w:val="FootnoteReference"/>
        </w:rPr>
        <w:footnoteReference w:id="839"/>
      </w:r>
      <w:r>
        <w:t xml:space="preserve">?</w:t>
      </w:r>
    </w:p>
    <w:p>
      <w:r>
        <w:rPr>
          <w:b/>
        </w:rPr>
        <w:t xml:space="preserve">31 </w:t>
      </w:r>
      <w:r>
        <w:t xml:space="preserve">And Jacob answered and said to Laban, Because I was afraid, for I said, Perhaps you would take your daughters away from me and all that is mine.</w:t>
      </w:r>
    </w:p>
    <w:p>
      <w:r>
        <w:rPr>
          <w:b/>
        </w:rPr>
        <w:t xml:space="preserve">32 </w:t>
      </w:r>
      <w:r>
        <w:t xml:space="preserve">And Jacob said, With whomever you find your gods, he shall not live before our brothers. Recognize what of yours is with me and take it. But Jacob did not know that Rachel his wife had stolen them.</w:t>
      </w:r>
    </w:p>
    <w:p>
      <w:r>
        <w:rPr>
          <w:b/>
        </w:rPr>
        <w:t xml:space="preserve">33 </w:t>
      </w:r>
      <w:r>
        <w:t xml:space="preserve">And going in, Laban searched Leah's</w:t>
      </w:r>
      <w:r>
        <w:rPr>
          <w:rStyle w:val="FootnoteReference"/>
        </w:rPr>
        <w:footnoteReference w:id="840"/>
      </w:r>
      <w:r>
        <w:t xml:space="preserve"> house and did not find them. And he went out from Leah's house and searched Jacob's house and the house of the two servant-girls and did not find them. Then he entered Rachel's house too.</w:t>
      </w:r>
    </w:p>
    <w:p>
      <w:r>
        <w:rPr>
          <w:b/>
        </w:rPr>
        <w:t xml:space="preserve">34 </w:t>
      </w:r>
      <w:r>
        <w:t xml:space="preserve">Now Rachel had taken</w:t>
      </w:r>
      <w:r>
        <w:rPr>
          <w:rStyle w:val="FootnoteReference"/>
        </w:rPr>
        <w:footnoteReference w:id="841"/>
      </w:r>
      <w:r>
        <w:t xml:space="preserve"> the idols and thrown them among the camel packs and sat on them.</w:t>
      </w:r>
    </w:p>
    <w:p>
      <w:r>
        <w:rPr>
          <w:b/>
        </w:rPr>
        <w:t xml:space="preserve">35 </w:t>
      </w:r>
      <w:r>
        <w:t xml:space="preserve">And she said to her father, Do not take it heavily, lord. I cannot rise before you, because the custom</w:t>
      </w:r>
      <w:r>
        <w:rPr>
          <w:rStyle w:val="FootnoteReference"/>
        </w:rPr>
        <w:footnoteReference w:id="842"/>
      </w:r>
      <w:r>
        <w:t xml:space="preserve"> of women is upon me. And Laban searched through the whole house and did not find the idols.</w:t>
      </w:r>
    </w:p>
    <w:p>
      <w:r>
        <w:rPr>
          <w:b/>
        </w:rPr>
        <w:t xml:space="preserve">36 </w:t>
      </w:r>
      <w:r>
        <w:t xml:space="preserve">And Jacob grew angry and fought with Laban. And Jacob answered and said to Laban, What is my wrongdoing and what is my sin, that you pursued after me?</w:t>
      </w:r>
    </w:p>
    <w:p>
      <w:r>
        <w:rPr>
          <w:b/>
        </w:rPr>
        <w:t xml:space="preserve">37 </w:t>
      </w:r>
      <w:r>
        <w:t xml:space="preserve">And because you searched all the furnishings of my house, what did you find from all the furnishings of your house? Set it here</w:t>
      </w:r>
      <w:r>
        <w:rPr>
          <w:rStyle w:val="FootnoteReference"/>
        </w:rPr>
        <w:footnoteReference w:id="843"/>
      </w:r>
      <w:r>
        <w:t xml:space="preserve"> before your brothers and my brothers, and let them judge between the two of us.</w:t>
      </w:r>
    </w:p>
    <w:p>
      <w:r>
        <w:rPr>
          <w:b/>
        </w:rPr>
        <w:t xml:space="preserve">38 </w:t>
      </w:r>
      <w:r>
        <w:t xml:space="preserve">These twenty</w:t>
      </w:r>
      <w:r>
        <w:rPr>
          <w:rStyle w:val="FootnoteReference"/>
        </w:rPr>
        <w:footnoteReference w:id="844"/>
      </w:r>
      <w:r>
        <w:t xml:space="preserve"> years I have been with you. Your sheep and your goats did not miscarry, and I did not eat the rams of your sheep.</w:t>
      </w:r>
    </w:p>
    <w:p>
      <w:r>
        <w:rPr>
          <w:b/>
        </w:rPr>
        <w:t xml:space="preserve">39 </w:t>
      </w:r>
      <w:r>
        <w:t xml:space="preserve">What was torn by beasts I did not bring to you. I was making good from myself the thefts of day and the thefts of night</w:t>
      </w:r>
      <w:r>
        <w:rPr>
          <w:rStyle w:val="FootnoteReference"/>
        </w:rPr>
        <w:footnoteReference w:id="845"/>
      </w:r>
      <w:r>
        <w:t xml:space="preserve">.</w:t>
      </w:r>
    </w:p>
    <w:p>
      <w:r>
        <w:rPr>
          <w:b/>
        </w:rPr>
        <w:t xml:space="preserve">40 </w:t>
      </w:r>
      <w:r>
        <w:t xml:space="preserve">By day I was being burned together by the heat and by the frost of night, and my sleep departed from my eyes.</w:t>
      </w:r>
    </w:p>
    <w:p>
      <w:r>
        <w:rPr>
          <w:b/>
        </w:rPr>
        <w:t xml:space="preserve">41 </w:t>
      </w:r>
      <w:r>
        <w:t xml:space="preserve">These twenty years I have been in your house. I served you fourteen</w:t>
      </w:r>
      <w:r>
        <w:rPr>
          <w:rStyle w:val="FootnoteReference"/>
        </w:rPr>
        <w:footnoteReference w:id="846"/>
      </w:r>
      <w:r>
        <w:t xml:space="preserve"> years for your two daughters and six years among your sheep, and you tricked my wages by ten lambs.</w:t>
      </w:r>
    </w:p>
    <w:p>
      <w:r>
        <w:rPr>
          <w:b/>
        </w:rPr>
        <w:t xml:space="preserve">42 </w:t>
      </w:r>
      <w:r>
        <w:t xml:space="preserve">If the God of my father Abraham and the Fear</w:t>
      </w:r>
      <w:r>
        <w:rPr>
          <w:rStyle w:val="FootnoteReference"/>
        </w:rPr>
        <w:footnoteReference w:id="847"/>
      </w:r>
      <w:r>
        <w:t xml:space="preserve"> of Isaac had not been mine, now you would have sent me away empty. God saw my humiliation and the labor of my hands and rebuked you yesterday.</w:t>
      </w:r>
    </w:p>
    <w:p>
      <w:r>
        <w:rPr>
          <w:b/>
        </w:rPr>
        <w:t xml:space="preserve">43 </w:t>
      </w:r>
      <w:r>
        <w:t xml:space="preserve">But Laban answered and said to Jacob, The daughters are my daughters, and the sons my sons, and the livestock my livestock, and all that you see is mine and my daughters'</w:t>
      </w:r>
      <w:r>
        <w:rPr>
          <w:rStyle w:val="FootnoteReference"/>
        </w:rPr>
        <w:footnoteReference w:id="848"/>
      </w:r>
      <w:r>
        <w:t xml:space="preserve">. What shall I do to these today or to their children whom they bore?</w:t>
      </w:r>
    </w:p>
    <w:p>
      <w:r>
        <w:rPr>
          <w:b/>
        </w:rPr>
        <w:t xml:space="preserve">44 </w:t>
      </w:r>
      <w:r>
        <w:t xml:space="preserve">So now come, let us</w:t>
      </w:r>
      <w:r>
        <w:rPr>
          <w:rStyle w:val="FootnoteReference"/>
        </w:rPr>
        <w:footnoteReference w:id="849"/>
      </w:r>
      <w:r>
        <w:t xml:space="preserve"> make a covenant, both I and you, and it shall be for a witness between me and you. And he said to him, Look, no one is with us. Look, God is witness between me and you.</w:t>
      </w:r>
    </w:p>
    <w:p>
      <w:r>
        <w:rPr>
          <w:b/>
        </w:rPr>
        <w:t xml:space="preserve">45 </w:t>
      </w:r>
      <w:r>
        <w:t xml:space="preserve">And Jacob took a stone and set it up as a pillar</w:t>
      </w:r>
      <w:r>
        <w:rPr>
          <w:rStyle w:val="FootnoteReference"/>
        </w:rPr>
        <w:footnoteReference w:id="850"/>
      </w:r>
      <w:r>
        <w:t xml:space="preserve">.</w:t>
      </w:r>
    </w:p>
    <w:p>
      <w:r>
        <w:rPr>
          <w:b/>
        </w:rPr>
        <w:t xml:space="preserve">46 </w:t>
      </w:r>
      <w:r>
        <w:t xml:space="preserve">And Jacob said to his brothers, Gather stones</w:t>
      </w:r>
      <w:r>
        <w:rPr>
          <w:rStyle w:val="FootnoteReference"/>
        </w:rPr>
        <w:footnoteReference w:id="851"/>
      </w:r>
      <w:r>
        <w:t xml:space="preserve">. And they gathered stones and made a heap, and they ate there on the heap.</w:t>
      </w:r>
      <w:r>
        <w:rPr>
          <w:rStyle w:val="FootnoteReference"/>
        </w:rPr>
        <w:footnoteReference w:id="852"/>
      </w:r>
    </w:p>
    <w:p>
      <w:r>
        <w:rPr>
          <w:b/>
        </w:rPr>
        <w:t xml:space="preserve">47 </w:t>
      </w:r>
      <w:r>
        <w:t xml:space="preserve">And Laban said to him, This heap bears witness between me and you today.</w:t>
      </w:r>
    </w:p>
    <w:p>
      <w:r>
        <w:rPr>
          <w:b/>
        </w:rPr>
        <w:t xml:space="preserve">48 </w:t>
      </w:r>
      <w:r>
        <w:t xml:space="preserve">And Laban called it Heap of Witness, but Jacob called it Witness Heap. And Laban said to Jacob, Look, this heap</w:t>
      </w:r>
      <w:r>
        <w:rPr>
          <w:rStyle w:val="FootnoteReference"/>
        </w:rPr>
        <w:footnoteReference w:id="853"/>
      </w:r>
      <w:r>
        <w:t xml:space="preserve"> and this pillar that I set between me and you, this heap bears witness and this pillar bears witness. Therefore its name was called, Heap bears witness.</w:t>
      </w:r>
    </w:p>
    <w:p>
      <w:r>
        <w:rPr>
          <w:b/>
        </w:rPr>
        <w:t xml:space="preserve">49 </w:t>
      </w:r>
      <w:r>
        <w:t xml:space="preserve">And Watchpost, which he said, May God look between me and you, because we will be separated from one another.</w:t>
      </w:r>
    </w:p>
    <w:p>
      <w:r>
        <w:rPr>
          <w:b/>
        </w:rPr>
        <w:t xml:space="preserve">50 </w:t>
      </w:r>
      <w:r>
        <w:t xml:space="preserve">If you humble my daughters, if you take wives in addition to my daughters, see, no one is with us seeing. God is witness between me and you.</w:t>
      </w:r>
    </w:p>
    <w:p>
      <w:r>
        <w:rPr>
          <w:b/>
        </w:rPr>
        <w:t xml:space="preserve">52 </w:t>
      </w:r>
      <w:r>
        <w:t xml:space="preserve">For if I should not cross over to you, and you should not cross over to me beyond this heap and this pillar for evil,</w:t>
      </w:r>
    </w:p>
    <w:p>
      <w:r>
        <w:rPr>
          <w:b/>
        </w:rPr>
        <w:t xml:space="preserve">53 </w:t>
      </w:r>
      <w:r>
        <w:t xml:space="preserve">the God of Abraham</w:t>
      </w:r>
      <w:r>
        <w:rPr>
          <w:rStyle w:val="FootnoteReference"/>
        </w:rPr>
        <w:footnoteReference w:id="854"/>
      </w:r>
      <w:r>
        <w:t xml:space="preserve"> and the God of Nahor will judge between us.</w:t>
      </w:r>
    </w:p>
    <w:p>
      <w:r>
        <w:rPr>
          <w:b/>
        </w:rPr>
        <w:t xml:space="preserve">54 </w:t>
      </w:r>
      <w:r>
        <w:t xml:space="preserve">And Jacob swore by the Fear of Isaac his father and offered a sacrifice in the mountain and called his brothers, and they ate and drank and slept in the mountain.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t xml:space="preserve">And Jacob went on his own way. And lifting up his eyes, he saw a camp of God encamped, and the angels</w:t>
      </w:r>
      <w:r>
        <w:rPr>
          <w:rStyle w:val="FootnoteReference"/>
        </w:rPr>
        <w:footnoteReference w:id="855"/>
      </w:r>
      <w:r>
        <w:t xml:space="preserve"> of God met him.</w:t>
      </w:r>
    </w:p>
    <w:p>
      <w:r>
        <w:rPr>
          <w:b/>
        </w:rPr>
        <w:t xml:space="preserve">2 </w:t>
      </w:r>
      <w:r>
        <w:t xml:space="preserve">And Jacob said when he saw them, This is God's camp. And he called the name of that place Camps.</w:t>
      </w:r>
      <w:r>
        <w:rPr>
          <w:rStyle w:val="FootnoteReference"/>
        </w:rPr>
        <w:footnoteReference w:id="856"/>
      </w:r>
      <w:r>
        <w:t xml:space="preserve"/>
      </w:r>
      <w:r>
        <w:rPr>
          <w:rStyle w:val="FootnoteReference"/>
        </w:rPr>
        <w:footnoteReference w:id="857"/>
      </w:r>
    </w:p>
    <w:p>
      <w:r>
        <w:rPr>
          <w:b/>
        </w:rPr>
        <w:t xml:space="preserve">3 </w:t>
      </w:r>
      <w:r>
        <w:t xml:space="preserve">And Jacob sent messengers before him</w:t>
      </w:r>
      <w:r>
        <w:rPr>
          <w:rStyle w:val="FootnoteReference"/>
        </w:rPr>
        <w:footnoteReference w:id="858"/>
      </w:r>
      <w:r>
        <w:t xml:space="preserve"> to Esau his brother in the land of Seir, in the country of Edom.</w:t>
      </w:r>
      <w:r>
        <w:rPr>
          <w:rStyle w:val="FootnoteReference"/>
        </w:rPr>
        <w:footnoteReference w:id="859"/>
      </w:r>
    </w:p>
    <w:p>
      <w:r>
        <w:rPr>
          <w:b/>
        </w:rPr>
        <w:t xml:space="preserve">4 </w:t>
      </w:r>
      <w:r>
        <w:t xml:space="preserve">And he charged them, saying, Thus you will say to my lord</w:t>
      </w:r>
      <w:r>
        <w:rPr>
          <w:rStyle w:val="FootnoteReference"/>
        </w:rPr>
        <w:footnoteReference w:id="860"/>
      </w:r>
      <w:r>
        <w:t xml:space="preserve"> Esau, Thus says your servant Jacob: I sojourned with Laban and lingered until now,</w:t>
      </w:r>
    </w:p>
    <w:p>
      <w:r>
        <w:rPr>
          <w:b/>
        </w:rPr>
        <w:t xml:space="preserve">5 </w:t>
      </w:r>
      <w:r>
        <w:t xml:space="preserve">and there came to me oxen and donkeys and sheep and male servants and female servants, and I sent to report to my lord Esau, so that your servant may find</w:t>
      </w:r>
      <w:r>
        <w:rPr>
          <w:rStyle w:val="FootnoteReference"/>
        </w:rPr>
        <w:footnoteReference w:id="861"/>
      </w:r>
      <w:r>
        <w:t xml:space="preserve"> favor before you.</w:t>
      </w:r>
    </w:p>
    <w:p>
      <w:r>
        <w:rPr>
          <w:b/>
        </w:rPr>
        <w:t xml:space="preserve">6 </w:t>
      </w:r>
      <w:r>
        <w:t xml:space="preserve">And the messengers returned to Jacob</w:t>
      </w:r>
      <w:r>
        <w:rPr>
          <w:rStyle w:val="FootnoteReference"/>
        </w:rPr>
        <w:footnoteReference w:id="862"/>
      </w:r>
      <w:r>
        <w:t xml:space="preserve">, saying, We came to your brother Esau, and look, he is coming to meet you, and four</w:t>
      </w:r>
      <w:r>
        <w:rPr>
          <w:rStyle w:val="FootnoteReference"/>
        </w:rPr>
        <w:footnoteReference w:id="863"/>
      </w:r>
      <w:r>
        <w:t xml:space="preserve"> hundred men are with him.</w:t>
      </w:r>
    </w:p>
    <w:p>
      <w:r>
        <w:rPr>
          <w:b/>
        </w:rPr>
        <w:t xml:space="preserve">7 </w:t>
      </w:r>
      <w:r>
        <w:t xml:space="preserve">And Jacob feared greatly</w:t>
      </w:r>
      <w:r>
        <w:rPr>
          <w:rStyle w:val="FootnoteReference"/>
        </w:rPr>
        <w:footnoteReference w:id="864"/>
      </w:r>
      <w:r>
        <w:t xml:space="preserve"> and was perplexed. And he divided the people with him and the cattle and the camels and the sheep into two camps,</w:t>
      </w:r>
    </w:p>
    <w:p>
      <w:r>
        <w:rPr>
          <w:b/>
        </w:rPr>
        <w:t xml:space="preserve">8 </w:t>
      </w:r>
      <w:r>
        <w:t xml:space="preserve">and Jacob said, If Esau comes to one camp and cuts it down, the second camp will be for safety.</w:t>
      </w:r>
    </w:p>
    <w:p>
      <w:r>
        <w:rPr>
          <w:b/>
        </w:rPr>
        <w:t xml:space="preserve">9 </w:t>
      </w:r>
      <w:r>
        <w:t xml:space="preserve">And Jacob</w:t>
      </w:r>
      <w:r>
        <w:rPr>
          <w:rStyle w:val="FootnoteReference"/>
        </w:rPr>
        <w:footnoteReference w:id="865"/>
      </w:r>
      <w:r>
        <w:t xml:space="preserve"> said, God of my father Abraham and God of my father Isaac, Lord, you are the one who said to me, Run back to the land of your birth and I will do you good,</w:t>
      </w:r>
    </w:p>
    <w:p>
      <w:r>
        <w:rPr>
          <w:b/>
        </w:rPr>
        <w:t xml:space="preserve">10 </w:t>
      </w:r>
      <w:r>
        <w:t xml:space="preserve">Let there be to me a sufficiency of all the righteousness and all the truth</w:t>
      </w:r>
      <w:r>
        <w:rPr>
          <w:rStyle w:val="FootnoteReference"/>
        </w:rPr>
        <w:footnoteReference w:id="866"/>
      </w:r>
      <w:r>
        <w:t xml:space="preserve"> that you wrought with your servant, for with this staff I crossed this Jordan, and now I have become two camps.</w:t>
      </w:r>
    </w:p>
    <w:p>
      <w:r>
        <w:rPr>
          <w:b/>
        </w:rPr>
        <w:t xml:space="preserve">11 </w:t>
      </w:r>
      <w:r>
        <w:t xml:space="preserve">Deliver</w:t>
      </w:r>
      <w:r>
        <w:rPr>
          <w:rStyle w:val="FootnoteReference"/>
        </w:rPr>
        <w:footnoteReference w:id="867"/>
      </w:r>
      <w:r>
        <w:t xml:space="preserve"> me from the hand of my brother, from the hand of Esau, because I am afraid of him, lest he come and strike me, mother upon children</w:t>
      </w:r>
      <w:r>
        <w:rPr>
          <w:rStyle w:val="FootnoteReference"/>
        </w:rPr>
        <w:footnoteReference w:id="868"/>
      </w:r>
      <w:r>
        <w:t xml:space="preserve">.</w:t>
      </w:r>
    </w:p>
    <w:p>
      <w:r>
        <w:rPr>
          <w:b/>
        </w:rPr>
        <w:t xml:space="preserve">12 </w:t>
      </w:r>
      <w:r>
        <w:t xml:space="preserve">And you said, I will do you good</w:t>
      </w:r>
      <w:r>
        <w:rPr>
          <w:rStyle w:val="FootnoteReference"/>
        </w:rPr>
        <w:footnoteReference w:id="869"/>
      </w:r>
      <w:r>
        <w:t xml:space="preserve"> and make your seed like the sand of the sea, which will not be numbered because of the multitude.</w:t>
      </w:r>
    </w:p>
    <w:p>
      <w:r>
        <w:rPr>
          <w:b/>
        </w:rPr>
        <w:t xml:space="preserve">13 </w:t>
      </w:r>
      <w:r>
        <w:t xml:space="preserve">And he slept there that night and took from what he was carrying gifts and sent them to Esau his brother,</w:t>
      </w:r>
    </w:p>
    <w:p>
      <w:r>
        <w:rPr>
          <w:b/>
        </w:rPr>
        <w:t xml:space="preserve">14 </w:t>
      </w:r>
      <w:r>
        <w:t xml:space="preserve">two hundred she-goats, twenty he-goats, two hundred sheep, twenty rams,</w:t>
      </w:r>
      <w:r>
        <w:rPr>
          <w:rStyle w:val="FootnoteReference"/>
        </w:rPr>
        <w:footnoteReference w:id="870"/>
      </w:r>
    </w:p>
    <w:p>
      <w:r>
        <w:rPr>
          <w:b/>
        </w:rPr>
        <w:t xml:space="preserve">15 </w:t>
      </w:r>
      <w:r>
        <w:t xml:space="preserve">thirty milk camels and their young</w:t>
      </w:r>
      <w:r>
        <w:rPr>
          <w:rStyle w:val="FootnoteReference"/>
        </w:rPr>
        <w:footnoteReference w:id="871"/>
      </w:r>
      <w:r>
        <w:t xml:space="preserve">, forty cows, ten bulls, twenty donkeys, and ten foals.</w:t>
      </w:r>
    </w:p>
    <w:p>
      <w:r>
        <w:rPr>
          <w:b/>
        </w:rPr>
        <w:t xml:space="preserve">16 </w:t>
      </w:r>
      <w:r>
        <w:t xml:space="preserve">And he gave them to his servants, herd by itself. And he said to his servants, Go on before me, and put a gap between herd and herd.</w:t>
      </w:r>
    </w:p>
    <w:p>
      <w:r>
        <w:rPr>
          <w:b/>
        </w:rPr>
        <w:t xml:space="preserve">17 </w:t>
      </w:r>
      <w:r>
        <w:t xml:space="preserve">And he charged the first, saying, If Esau my brother meets you and asks you, saying, Whose are you and where are you going and whose are these going before you</w:t>
      </w:r>
      <w:r>
        <w:rPr>
          <w:rStyle w:val="FootnoteReference"/>
        </w:rPr>
        <w:footnoteReference w:id="872"/>
      </w:r>
      <w:r>
        <w:t xml:space="preserve">,</w:t>
      </w:r>
    </w:p>
    <w:p>
      <w:r>
        <w:rPr>
          <w:b/>
        </w:rPr>
        <w:t xml:space="preserve">18 </w:t>
      </w:r>
      <w:r>
        <w:t xml:space="preserve">you will say, They belong to your servant Jacob. He sent gifts to my lord Esau, and look, he himself is behind us.</w:t>
      </w:r>
    </w:p>
    <w:p>
      <w:r>
        <w:rPr>
          <w:b/>
        </w:rPr>
        <w:t xml:space="preserve">19 </w:t>
      </w:r>
      <w:r>
        <w:t xml:space="preserve">And he charged the first and the second and the third and all those going before behind these herds, saying, According to this word speak to Esau when you find him,</w:t>
      </w:r>
    </w:p>
    <w:p>
      <w:r>
        <w:rPr>
          <w:b/>
        </w:rPr>
        <w:t xml:space="preserve">20 </w:t>
      </w:r>
      <w:r>
        <w:t xml:space="preserve">and you will say, Look, your servant Jacob is coming behind us. For he said, I will propitiate his face with the gifts going before him, and after this I will see his face. For perhaps he will accept my face.</w:t>
      </w:r>
    </w:p>
    <w:p>
      <w:r>
        <w:rPr>
          <w:b/>
        </w:rPr>
        <w:t xml:space="preserve">21 </w:t>
      </w:r>
      <w:r>
        <w:t xml:space="preserve">And the gifts went on before him, but he himself slept that night in the camp.</w:t>
      </w:r>
    </w:p>
    <w:p>
      <w:r>
        <w:rPr>
          <w:b/>
        </w:rPr>
        <w:t xml:space="preserve">22 </w:t>
      </w:r>
      <w:r>
        <w:t xml:space="preserve">And rising in that night, he took his two wives</w:t>
      </w:r>
      <w:r>
        <w:rPr>
          <w:rStyle w:val="FootnoteReference"/>
        </w:rPr>
        <w:footnoteReference w:id="873"/>
      </w:r>
      <w:r>
        <w:t xml:space="preserve"> and his two servant-girls and his eleven children and crossed the ford of Jabbok</w:t>
      </w:r>
      <w:r>
        <w:rPr>
          <w:rStyle w:val="FootnoteReference"/>
        </w:rPr>
        <w:footnoteReference w:id="874"/>
      </w:r>
      <w:r>
        <w:t xml:space="preserve">.</w:t>
      </w:r>
      <w:r>
        <w:rPr>
          <w:rStyle w:val="FootnoteReference"/>
        </w:rPr>
        <w:footnoteReference w:id="875"/>
      </w:r>
    </w:p>
    <w:p>
      <w:r>
        <w:rPr>
          <w:b/>
        </w:rPr>
        <w:t xml:space="preserve">23 </w:t>
      </w:r>
      <w:r>
        <w:t xml:space="preserve">And he took them and crossed the torrent and brought over all that was his.</w:t>
      </w:r>
    </w:p>
    <w:p>
      <w:r>
        <w:rPr>
          <w:b/>
        </w:rPr>
        <w:t xml:space="preserve">24 </w:t>
      </w:r>
      <w:r>
        <w:t xml:space="preserve">And Jacob was left behind alone, and a man wrestled</w:t>
      </w:r>
      <w:r>
        <w:rPr>
          <w:rStyle w:val="FootnoteReference"/>
        </w:rPr>
        <w:footnoteReference w:id="876"/>
      </w:r>
      <w:r>
        <w:t xml:space="preserve"> with him until morning.</w:t>
      </w:r>
    </w:p>
    <w:p>
      <w:r>
        <w:rPr>
          <w:b/>
        </w:rPr>
        <w:t xml:space="preserve">25 </w:t>
      </w:r>
      <w:r>
        <w:t xml:space="preserve">And he saw that he could not prevail against him, and he touched</w:t>
      </w:r>
      <w:r>
        <w:rPr>
          <w:rStyle w:val="FootnoteReference"/>
        </w:rPr>
        <w:footnoteReference w:id="877"/>
      </w:r>
      <w:r>
        <w:t xml:space="preserve"> the broad part of his thigh, and the broad part of Jacob's thigh went numb</w:t>
      </w:r>
      <w:r>
        <w:rPr>
          <w:rStyle w:val="FootnoteReference"/>
        </w:rPr>
        <w:footnoteReference w:id="878"/>
      </w:r>
      <w:r>
        <w:t xml:space="preserve"> while he wrestled with him.</w:t>
      </w:r>
    </w:p>
    <w:p>
      <w:r>
        <w:rPr>
          <w:b/>
        </w:rPr>
        <w:t xml:space="preserve">26 </w:t>
      </w:r>
      <w:r>
        <w:t xml:space="preserve">And he said to him, Send me away, for dawn has come up. But he said, I will certainly not send you away unless you bless me.</w:t>
      </w:r>
    </w:p>
    <w:p>
      <w:r>
        <w:rPr>
          <w:b/>
        </w:rPr>
        <w:t xml:space="preserve">27 </w:t>
      </w:r>
      <w:r>
        <w:t xml:space="preserve">And he said to him, What is your name?</w:t>
      </w:r>
      <w:r>
        <w:rPr>
          <w:rStyle w:val="FootnoteReference"/>
        </w:rPr>
        <w:footnoteReference w:id="879"/>
      </w:r>
      <w:r>
        <w:t xml:space="preserve"> And he said, Jacob.</w:t>
      </w:r>
    </w:p>
    <w:p>
      <w:r>
        <w:rPr>
          <w:b/>
        </w:rPr>
        <w:t xml:space="preserve">28 </w:t>
      </w:r>
      <w:r>
        <w:t xml:space="preserve">And he said to him, Your name will no longer be called Jacob, but Israel</w:t>
      </w:r>
      <w:r>
        <w:rPr>
          <w:rStyle w:val="FootnoteReference"/>
        </w:rPr>
        <w:footnoteReference w:id="880"/>
      </w:r>
      <w:r>
        <w:t xml:space="preserve"> shall be your name, because you were strong with God, and with men</w:t>
      </w:r>
      <w:r>
        <w:rPr>
          <w:rStyle w:val="FootnoteReference"/>
        </w:rPr>
        <w:footnoteReference w:id="881"/>
      </w:r>
      <w:r>
        <w:t xml:space="preserve"> you will be powerful.</w:t>
      </w:r>
    </w:p>
    <w:p>
      <w:r>
        <w:rPr>
          <w:b/>
        </w:rPr>
        <w:t xml:space="preserve">29 </w:t>
      </w:r>
      <w:r>
        <w:t xml:space="preserve">And Jacob asked and said, Tell me your name</w:t>
      </w:r>
      <w:r>
        <w:rPr>
          <w:rStyle w:val="FootnoteReference"/>
        </w:rPr>
        <w:footnoteReference w:id="882"/>
      </w:r>
      <w:r>
        <w:t xml:space="preserve">. And he said, Why is this that you ask my name? And he blessed</w:t>
      </w:r>
      <w:r>
        <w:rPr>
          <w:rStyle w:val="FootnoteReference"/>
        </w:rPr>
        <w:footnoteReference w:id="883"/>
      </w:r>
      <w:r>
        <w:t xml:space="preserve"> him there.</w:t>
      </w:r>
    </w:p>
    <w:p>
      <w:r>
        <w:rPr>
          <w:b/>
        </w:rPr>
        <w:t xml:space="preserve">30 </w:t>
      </w:r>
      <w:r>
        <w:t xml:space="preserve">And Jacob</w:t>
      </w:r>
      <w:r>
        <w:rPr>
          <w:rStyle w:val="FootnoteReference"/>
        </w:rPr>
        <w:footnoteReference w:id="884"/>
      </w:r>
      <w:r>
        <w:t xml:space="preserve"> called the name of that place Form of God</w:t>
      </w:r>
      <w:r>
        <w:rPr>
          <w:rStyle w:val="FootnoteReference"/>
        </w:rPr>
        <w:footnoteReference w:id="885"/>
      </w:r>
      <w:r>
        <w:t xml:space="preserve">, for I saw God face to face, and my life was saved.</w:t>
      </w:r>
    </w:p>
    <w:p>
      <w:r>
        <w:rPr>
          <w:b/>
        </w:rPr>
        <w:t xml:space="preserve">31 </w:t>
      </w:r>
      <w:r>
        <w:t xml:space="preserve">And the sun rose on him when he passed the Form of God, and he was limping on his thigh.</w:t>
      </w:r>
    </w:p>
    <w:p>
      <w:r>
        <w:rPr>
          <w:b/>
        </w:rPr>
        <w:t xml:space="preserve">32 </w:t>
      </w:r>
      <w:r>
        <w:t xml:space="preserve">Because of this the sons of Israel shall never eat the sinew that went numb, which is on the broad part of the thigh, until this day, because he touched the broad part of Jacob's thigh, the sinew that went numb.</w:t>
      </w:r>
    </w:p>
    <w:p>
      <w:r>
        <w:rPr>
          <w:b/>
        </w:rPr>
        <w:t xml:space="preserve">33 </w:t>
      </w:r>
      <w:r>
        <w:t xml:space="preserve">Because of this the sons of Israel shall never eat the sinew that went numb, which is on the broad part of the thigh, until this day, because he touched the broad part of Jacob's thigh, the sinew and it went numb.</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And Jacob, lifting up his eyes, saw, and look, Esau his brother was coming and four hundred men with him. And Jacob divided the children among Leah and Rachel and the two servant-girls.</w:t>
      </w:r>
    </w:p>
    <w:p>
      <w:r>
        <w:rPr>
          <w:b/>
        </w:rPr>
        <w:t xml:space="preserve">2 </w:t>
      </w:r>
      <w:r>
        <w:t xml:space="preserve">And he placed the two servant-girls and their sons first, and Leah and her children behind, and Rachel</w:t>
      </w:r>
      <w:r>
        <w:rPr>
          <w:rStyle w:val="FootnoteReference"/>
        </w:rPr>
        <w:footnoteReference w:id="886"/>
      </w:r>
      <w:r>
        <w:t xml:space="preserve"> and Joseph last.</w:t>
      </w:r>
    </w:p>
    <w:p>
      <w:r>
        <w:rPr>
          <w:b/>
        </w:rPr>
        <w:t xml:space="preserve">3 </w:t>
      </w:r>
      <w:r>
        <w:t xml:space="preserve">But he himself went before them and bowed</w:t>
      </w:r>
      <w:r>
        <w:rPr>
          <w:rStyle w:val="FootnoteReference"/>
        </w:rPr>
        <w:footnoteReference w:id="887"/>
      </w:r>
      <w:r>
        <w:t xml:space="preserve"> to the ground seven times until he drew near to his brother.</w:t>
      </w:r>
    </w:p>
    <w:p>
      <w:r>
        <w:rPr>
          <w:b/>
        </w:rPr>
        <w:t xml:space="preserve">4 </w:t>
      </w:r>
      <w:r>
        <w:t xml:space="preserve">And Esau ran to meet him and embraced</w:t>
      </w:r>
      <w:r>
        <w:rPr>
          <w:rStyle w:val="FootnoteReference"/>
        </w:rPr>
        <w:footnoteReference w:id="888"/>
      </w:r>
      <w:r>
        <w:t xml:space="preserve"> him and fell on his neck and kissed him, and both wept.</w:t>
      </w:r>
    </w:p>
    <w:p>
      <w:r>
        <w:rPr>
          <w:b/>
        </w:rPr>
        <w:t xml:space="preserve">5 </w:t>
      </w:r>
      <w:r>
        <w:t xml:space="preserve">And Esau lifted up his eyes and saw the women and the children</w:t>
      </w:r>
      <w:r>
        <w:rPr>
          <w:rStyle w:val="FootnoteReference"/>
        </w:rPr>
        <w:footnoteReference w:id="889"/>
      </w:r>
      <w:r>
        <w:t xml:space="preserve"> and said, What are these to you? And he said, The children to whom God showed mercy to your servant.</w:t>
      </w:r>
    </w:p>
    <w:p>
      <w:r>
        <w:rPr>
          <w:b/>
        </w:rPr>
        <w:t xml:space="preserve">6 </w:t>
      </w:r>
      <w:r>
        <w:t xml:space="preserve">And the servant-girls and their children came near and bowed,</w:t>
      </w:r>
    </w:p>
    <w:p>
      <w:r>
        <w:rPr>
          <w:b/>
        </w:rPr>
        <w:t xml:space="preserve">7 </w:t>
      </w:r>
      <w:r>
        <w:t xml:space="preserve">and Leah and her children came near and bowed. And after these Rachel and Joseph came near and bowed.</w:t>
      </w:r>
    </w:p>
    <w:p>
      <w:r>
        <w:rPr>
          <w:b/>
        </w:rPr>
        <w:t xml:space="preserve">8 </w:t>
      </w:r>
      <w:r>
        <w:t xml:space="preserve">And he said, What are all these camps to you that I met? And he said, So that your servant may find favor before you, lord.</w:t>
      </w:r>
    </w:p>
    <w:p>
      <w:r>
        <w:rPr>
          <w:b/>
        </w:rPr>
        <w:t xml:space="preserve">9 </w:t>
      </w:r>
      <w:r>
        <w:t xml:space="preserve">And Esau said, I have much, brother. Let what is yours remain yours.</w:t>
      </w:r>
    </w:p>
    <w:p>
      <w:r>
        <w:rPr>
          <w:b/>
        </w:rPr>
        <w:t xml:space="preserve">10 </w:t>
      </w:r>
      <w:r>
        <w:t xml:space="preserve">And Jacob said, If I found favor before you, receive the gifts by my hands, because for this reason I saw your face as one might see God's face, and you were well pleased with me.</w:t>
      </w:r>
    </w:p>
    <w:p>
      <w:r>
        <w:rPr>
          <w:b/>
        </w:rPr>
        <w:t xml:space="preserve">11 </w:t>
      </w:r>
      <w:r>
        <w:t xml:space="preserve">Take my blessings that I brought to you, because God showed mercy to me and because</w:t>
      </w:r>
      <w:r>
        <w:rPr>
          <w:rStyle w:val="FootnoteReference"/>
        </w:rPr>
        <w:footnoteReference w:id="890"/>
      </w:r>
      <w:r>
        <w:t xml:space="preserve"> I have everything. And he pressed him, and he took them.</w:t>
      </w:r>
    </w:p>
    <w:p>
      <w:r>
        <w:rPr>
          <w:b/>
        </w:rPr>
        <w:t xml:space="preserve">12 </w:t>
      </w:r>
      <w:r>
        <w:t xml:space="preserve">And he said, Let us set out and go straight on.</w:t>
      </w:r>
    </w:p>
    <w:p>
      <w:r>
        <w:rPr>
          <w:b/>
        </w:rPr>
        <w:t xml:space="preserve">13 </w:t>
      </w:r>
      <w:r>
        <w:t xml:space="preserve">But he said to him, My lord knows that the children</w:t>
      </w:r>
      <w:r>
        <w:rPr>
          <w:rStyle w:val="FootnoteReference"/>
        </w:rPr>
        <w:footnoteReference w:id="891"/>
      </w:r>
      <w:r>
        <w:t xml:space="preserve"> are more delicate, and the sheep and the cattle with young are on me. So if I drive them hard one day, all the livestock will die.</w:t>
      </w:r>
    </w:p>
    <w:p>
      <w:r>
        <w:rPr>
          <w:b/>
        </w:rPr>
        <w:t xml:space="preserve">14 </w:t>
      </w:r>
      <w:r>
        <w:t xml:space="preserve">Let my lord go on before his servant, and I will strengthen myself on the road at the leisure of the journey before me and according to the pace of the children, until I come to my lord in Seir.</w:t>
      </w:r>
    </w:p>
    <w:p>
      <w:r>
        <w:rPr>
          <w:b/>
        </w:rPr>
        <w:t xml:space="preserve">15 </w:t>
      </w:r>
      <w:r>
        <w:t xml:space="preserve">And Esau said, I will leave with you some of the people with me. But he said, Why this? It is enough that I found favor before you, lord.</w:t>
      </w:r>
    </w:p>
    <w:p>
      <w:r>
        <w:rPr>
          <w:b/>
        </w:rPr>
        <w:t xml:space="preserve">16 </w:t>
      </w:r>
      <w:r>
        <w:t xml:space="preserve">And Esau turned back on that day on his way to Seir.</w:t>
      </w:r>
    </w:p>
    <w:p>
      <w:r>
        <w:rPr>
          <w:b/>
        </w:rPr>
        <w:t xml:space="preserve">17 </w:t>
      </w:r>
      <w:r>
        <w:t xml:space="preserve">And Jacob set out to Tents, and there he made houses for himself, and for his livestock he made tents. Therefore he called the name of that place, Tents.</w:t>
      </w:r>
    </w:p>
    <w:p>
      <w:r>
        <w:rPr>
          <w:b/>
        </w:rPr>
        <w:t xml:space="preserve">18 </w:t>
      </w:r>
      <w:r>
        <w:t xml:space="preserve">And Jacob came to Salem, city of Shechem, which is in the land of Canaan, when he returned from Mesopotamia of Syria, and he encamped in front of the city.</w:t>
      </w:r>
    </w:p>
    <w:p>
      <w:r>
        <w:rPr>
          <w:b/>
        </w:rPr>
        <w:t xml:space="preserve">19 </w:t>
      </w:r>
      <w:r>
        <w:t xml:space="preserve">And he bought</w:t>
      </w:r>
      <w:r>
        <w:rPr>
          <w:rStyle w:val="FootnoteReference"/>
        </w:rPr>
        <w:footnoteReference w:id="892"/>
      </w:r>
      <w:r>
        <w:t xml:space="preserve"> the portion of the field where he set his tent there from Hamor</w:t>
      </w:r>
      <w:r>
        <w:rPr>
          <w:rStyle w:val="FootnoteReference"/>
        </w:rPr>
        <w:footnoteReference w:id="893"/>
      </w:r>
      <w:r>
        <w:t xml:space="preserve"> father of Shechem for one hundred lambs.</w:t>
      </w:r>
    </w:p>
    <w:p>
      <w:r>
        <w:rPr>
          <w:b/>
        </w:rPr>
        <w:t xml:space="preserve">20 </w:t>
      </w:r>
      <w:r>
        <w:t xml:space="preserve">And he set up an altar</w:t>
      </w:r>
      <w:r>
        <w:rPr>
          <w:rStyle w:val="FootnoteReference"/>
        </w:rPr>
        <w:footnoteReference w:id="894"/>
      </w:r>
      <w:r>
        <w:t xml:space="preserve"> there and called on the God of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t xml:space="preserve">And Dinah</w:t>
      </w:r>
      <w:r>
        <w:rPr>
          <w:rStyle w:val="FootnoteReference"/>
        </w:rPr>
        <w:footnoteReference w:id="895"/>
      </w:r>
      <w:r>
        <w:t xml:space="preserve">, daughter of Leah, whom she bore to Jacob, went out to observe the daughters of the inhabitants.</w:t>
      </w:r>
    </w:p>
    <w:p>
      <w:r>
        <w:rPr>
          <w:b/>
        </w:rPr>
        <w:t xml:space="preserve">2 </w:t>
      </w:r>
      <w:r>
        <w:t xml:space="preserve">And Shechem</w:t>
      </w:r>
      <w:r>
        <w:rPr>
          <w:rStyle w:val="FootnoteReference"/>
        </w:rPr>
        <w:footnoteReference w:id="896"/>
      </w:r>
      <w:r>
        <w:t xml:space="preserve"> son of Hamor the Hivite</w:t>
      </w:r>
      <w:r>
        <w:rPr>
          <w:rStyle w:val="FootnoteReference"/>
        </w:rPr>
        <w:footnoteReference w:id="897"/>
      </w:r>
      <w:r>
        <w:t xml:space="preserve">, ruler of the land, saw her, and taking her, he lay with her and humbled her.</w:t>
      </w:r>
    </w:p>
    <w:p>
      <w:r>
        <w:rPr>
          <w:b/>
        </w:rPr>
        <w:t xml:space="preserve">3 </w:t>
      </w:r>
      <w:r>
        <w:t xml:space="preserve">And he was attached in soul to Dinah daughter of Jacob, and he loved the virgin and spoke to the heart of the virgin.</w:t>
      </w:r>
    </w:p>
    <w:p>
      <w:r>
        <w:rPr>
          <w:b/>
        </w:rPr>
        <w:t xml:space="preserve">4 </w:t>
      </w:r>
      <w:r>
        <w:t xml:space="preserve">And Shechem said to Hamor his father, saying, Take this girl for me as wife.</w:t>
      </w:r>
    </w:p>
    <w:p>
      <w:r>
        <w:rPr>
          <w:b/>
        </w:rPr>
        <w:t xml:space="preserve">5 </w:t>
      </w:r>
      <w:r>
        <w:t xml:space="preserve">And Jacob heard that the son of Hamor had defiled Dinah his daughter. But his sons were with his livestock in the plain. And Jacob kept silent until they came.</w:t>
      </w:r>
    </w:p>
    <w:p>
      <w:r>
        <w:rPr>
          <w:b/>
        </w:rPr>
        <w:t xml:space="preserve">6 </w:t>
      </w:r>
      <w:r>
        <w:t xml:space="preserve">And Hamor father of Shechem went out to Jacob to speak with him.</w:t>
      </w:r>
    </w:p>
    <w:p>
      <w:r>
        <w:rPr>
          <w:b/>
        </w:rPr>
        <w:t xml:space="preserve">7 </w:t>
      </w:r>
      <w:r>
        <w:t xml:space="preserve">And Jacob's sons came from the plain. And when they heard, the men were cut to the heart, and it was very grievous to them, because he had done a shameful thing</w:t>
      </w:r>
      <w:r>
        <w:rPr>
          <w:rStyle w:val="FootnoteReference"/>
        </w:rPr>
        <w:footnoteReference w:id="898"/>
      </w:r>
      <w:r>
        <w:t xml:space="preserve"> in Israel by lying with Jacob's daughter, and so it will not be.</w:t>
      </w:r>
    </w:p>
    <w:p>
      <w:r>
        <w:rPr>
          <w:b/>
        </w:rPr>
        <w:t xml:space="preserve">8 </w:t>
      </w:r>
      <w:r>
        <w:t xml:space="preserve">And Hamor spoke to them, saying, My son Shechem chose your daughter in his soul. So give her to him as wife,</w:t>
      </w:r>
    </w:p>
    <w:p>
      <w:r>
        <w:rPr>
          <w:b/>
        </w:rPr>
        <w:t xml:space="preserve">9 </w:t>
      </w:r>
      <w:r>
        <w:t xml:space="preserve">and intermarry with us. Give your daughters to us and take our daughters for your sons.</w:t>
      </w:r>
    </w:p>
    <w:p>
      <w:r>
        <w:rPr>
          <w:b/>
        </w:rPr>
        <w:t xml:space="preserve">10 </w:t>
      </w:r>
      <w:r>
        <w:t xml:space="preserve">And dwell among us, and look, the land is broad before you. Dwell and trade on it and gain possessions in it.</w:t>
      </w:r>
    </w:p>
    <w:p>
      <w:r>
        <w:rPr>
          <w:b/>
        </w:rPr>
        <w:t xml:space="preserve">11 </w:t>
      </w:r>
      <w:r>
        <w:t xml:space="preserve">And Shechem said to her father and to her brothers, May I find favor before you, and whatever you say, we will give.</w:t>
      </w:r>
    </w:p>
    <w:p>
      <w:r>
        <w:rPr>
          <w:b/>
        </w:rPr>
        <w:t xml:space="preserve">12 </w:t>
      </w:r>
      <w:r>
        <w:t xml:space="preserve">Greatly increase the dowry</w:t>
      </w:r>
      <w:r>
        <w:rPr>
          <w:rStyle w:val="FootnoteReference"/>
        </w:rPr>
        <w:footnoteReference w:id="899"/>
      </w:r>
      <w:r>
        <w:t xml:space="preserve">, and I will give according to whatever you say to me. Only give me this girl as wife.</w:t>
      </w:r>
    </w:p>
    <w:p>
      <w:r>
        <w:rPr>
          <w:b/>
        </w:rPr>
        <w:t xml:space="preserve">13 </w:t>
      </w:r>
      <w:r>
        <w:t xml:space="preserve">And Jacob's sons answered Shechem and Hamor his father with deceit and spoke to them, because they had defiled Dinah their sister,</w:t>
      </w:r>
    </w:p>
    <w:p>
      <w:r>
        <w:rPr>
          <w:b/>
        </w:rPr>
        <w:t xml:space="preserve">14 </w:t>
      </w:r>
      <w:r>
        <w:t xml:space="preserve">and Simeon and Levi, Dinah's brothers, said to them, We cannot do this thing, to give our sister to a man who has foreskin, for it is a reproach to us.</w:t>
      </w:r>
    </w:p>
    <w:p>
      <w:r>
        <w:rPr>
          <w:b/>
        </w:rPr>
        <w:t xml:space="preserve">15 </w:t>
      </w:r>
      <w:r>
        <w:t xml:space="preserve">Only in this will we become like you and dwell among you: if you too become as we are in every male of yours being circumcised.</w:t>
      </w:r>
    </w:p>
    <w:p>
      <w:r>
        <w:rPr>
          <w:b/>
        </w:rPr>
        <w:t xml:space="preserve">16 </w:t>
      </w:r>
      <w:r>
        <w:t xml:space="preserve">And we will give our daughters to you, and from your daughters we will take wives for ourselves, and we will dwell with you and become like one race.</w:t>
      </w:r>
    </w:p>
    <w:p>
      <w:r>
        <w:rPr>
          <w:b/>
        </w:rPr>
        <w:t xml:space="preserve">17 </w:t>
      </w:r>
      <w:r>
        <w:t xml:space="preserve">But if you do not listen to us to be circumcised, taking our daughter, we will depart.</w:t>
      </w:r>
    </w:p>
    <w:p>
      <w:r>
        <w:rPr>
          <w:b/>
        </w:rPr>
        <w:t xml:space="preserve">18 </w:t>
      </w:r>
      <w:r>
        <w:t xml:space="preserve">And the words were pleasing before Hamor and before Shechem son of Hamor.</w:t>
      </w:r>
    </w:p>
    <w:p>
      <w:r>
        <w:rPr>
          <w:b/>
        </w:rPr>
        <w:t xml:space="preserve">19 </w:t>
      </w:r>
      <w:r>
        <w:t xml:space="preserve">And the young man did not delay to do this thing, for he was attached to Jacob's daughter. And he was the most honored of all in his father's house.</w:t>
      </w:r>
    </w:p>
    <w:p>
      <w:r>
        <w:rPr>
          <w:b/>
        </w:rPr>
        <w:t xml:space="preserve">20 </w:t>
      </w:r>
      <w:r>
        <w:t xml:space="preserve">And Hamor and Shechem his son came to the gate</w:t>
      </w:r>
      <w:r>
        <w:rPr>
          <w:rStyle w:val="FootnoteReference"/>
        </w:rPr>
        <w:footnoteReference w:id="900"/>
      </w:r>
      <w:r>
        <w:t xml:space="preserve"> of their city and spoke to the men of their city, saying,</w:t>
      </w:r>
    </w:p>
    <w:p>
      <w:r>
        <w:rPr>
          <w:b/>
        </w:rPr>
        <w:t xml:space="preserve">21 </w:t>
      </w:r>
      <w:r>
        <w:t xml:space="preserve">These men are peaceable with us</w:t>
      </w:r>
      <w:r>
        <w:rPr>
          <w:rStyle w:val="FootnoteReference"/>
        </w:rPr>
        <w:footnoteReference w:id="901"/>
      </w:r>
      <w:r>
        <w:t xml:space="preserve">. Let them dwell on the land and trade it, and look, the land is broad before them. We will take their daughters as wives for ourselves, and we will give our daughters to them.</w:t>
      </w:r>
    </w:p>
    <w:p>
      <w:r>
        <w:rPr>
          <w:b/>
        </w:rPr>
        <w:t xml:space="preserve">22 </w:t>
      </w:r>
      <w:r>
        <w:t xml:space="preserve">Only in this will the men become like us to dwell with us, so as to be one people, in every male of us being circumcised, just as they also are circumcised.</w:t>
      </w:r>
    </w:p>
    <w:p>
      <w:r>
        <w:rPr>
          <w:b/>
        </w:rPr>
        <w:t xml:space="preserve">23 </w:t>
      </w:r>
      <w:r>
        <w:t xml:space="preserve">And will not their livestock and their four-footed animals and their possessions be ours? Only in this let us become like them, and they will dwell with us.</w:t>
      </w:r>
    </w:p>
    <w:p>
      <w:r>
        <w:rPr>
          <w:b/>
        </w:rPr>
        <w:t xml:space="preserve">24 </w:t>
      </w:r>
      <w:r>
        <w:t xml:space="preserve">And all who traded through the gate of their city listened to Hamor and Shechem his son, and every male</w:t>
      </w:r>
      <w:r>
        <w:rPr>
          <w:rStyle w:val="FootnoteReference"/>
        </w:rPr>
        <w:footnoteReference w:id="902"/>
      </w:r>
      <w:r>
        <w:t xml:space="preserve"> was circumcised in the flesh of their foreskin.</w:t>
      </w:r>
    </w:p>
    <w:p>
      <w:r>
        <w:rPr>
          <w:b/>
        </w:rPr>
        <w:t xml:space="preserve">25 </w:t>
      </w:r>
      <w:r>
        <w:t xml:space="preserve">And it happened on the third day, when they were in pain, the two sons of Jacob, Simeon</w:t>
      </w:r>
      <w:r>
        <w:rPr>
          <w:rStyle w:val="FootnoteReference"/>
        </w:rPr>
        <w:footnoteReference w:id="903"/>
      </w:r>
      <w:r>
        <w:t xml:space="preserve"> and Levi, Dinah's brothers, each took his sword and entered the city securely and killed every male.</w:t>
      </w:r>
    </w:p>
    <w:p>
      <w:r>
        <w:rPr>
          <w:b/>
        </w:rPr>
        <w:t xml:space="preserve">26 </w:t>
      </w:r>
      <w:r>
        <w:t xml:space="preserve">And they killed Hamor and Shechem his son by the mouth of the sword, and they took Dinah from Shechem's house and went out.</w:t>
      </w:r>
    </w:p>
    <w:p>
      <w:r>
        <w:rPr>
          <w:b/>
        </w:rPr>
        <w:t xml:space="preserve">27 </w:t>
      </w:r>
      <w:r>
        <w:t xml:space="preserve">And Jacob's sons entered upon the wounded and plundered the city in which they had defiled Dinah their sister,</w:t>
      </w:r>
    </w:p>
    <w:p>
      <w:r>
        <w:rPr>
          <w:b/>
        </w:rPr>
        <w:t xml:space="preserve">28 </w:t>
      </w:r>
      <w:r>
        <w:t xml:space="preserve">and they took their sheep and their cattle and their donkeys, whatever was in the city and whatever was in the field.</w:t>
      </w:r>
    </w:p>
    <w:p>
      <w:r>
        <w:rPr>
          <w:b/>
        </w:rPr>
        <w:t xml:space="preserve">29 </w:t>
      </w:r>
      <w:r>
        <w:t xml:space="preserve">And they took captive all their persons and all their baggage and their wives, and they plundered whatever was in the city and whatever was in the houses.</w:t>
      </w:r>
    </w:p>
    <w:p>
      <w:r>
        <w:rPr>
          <w:b/>
        </w:rPr>
        <w:t xml:space="preserve">30 </w:t>
      </w:r>
      <w:r>
        <w:t xml:space="preserve">And Jacob said to Simeon and Levi, You made me hateful, so that I am evil to all the inhabitants of the land, both among the Canaanites and among the Perizzites. And I am few in number, and gathering against me they will cut me down, and I and my house will be destroyed.</w:t>
      </w:r>
    </w:p>
    <w:p>
      <w:r>
        <w:rPr>
          <w:b/>
        </w:rPr>
        <w:t xml:space="preserve">31 </w:t>
      </w:r>
      <w:r>
        <w:t xml:space="preserve">But they said, Shall they treat our sister like a prostitute?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t xml:space="preserve">And God said</w:t>
      </w:r>
      <w:r>
        <w:rPr>
          <w:rStyle w:val="FootnoteReference"/>
        </w:rPr>
        <w:footnoteReference w:id="904"/>
      </w:r>
      <w:r>
        <w:t xml:space="preserve"> to Jacob, Rise, go up to the place Bethel and dwell there, and make there an altar to the God who appeared to you when you fled from the face of Esau your brother.</w:t>
      </w:r>
    </w:p>
    <w:p>
      <w:r>
        <w:rPr>
          <w:b/>
        </w:rPr>
        <w:t xml:space="preserve">2 </w:t>
      </w:r>
      <w:r>
        <w:t xml:space="preserve">And Jacob said to his house and to all with him, Take away the foreign gods from your midst and purify yourselves and change your garments,</w:t>
      </w:r>
    </w:p>
    <w:p>
      <w:r>
        <w:rPr>
          <w:b/>
        </w:rPr>
        <w:t xml:space="preserve">3 </w:t>
      </w:r>
      <w:r>
        <w:t xml:space="preserve">and rising, let us go up to Bethel and let us make there an altar to the God who heard me in the day of distress, who was with</w:t>
      </w:r>
      <w:r>
        <w:rPr>
          <w:rStyle w:val="FootnoteReference"/>
        </w:rPr>
        <w:footnoteReference w:id="905"/>
      </w:r>
      <w:r>
        <w:t xml:space="preserve"> me and preserved me on the road on which I traveled.</w:t>
      </w:r>
    </w:p>
    <w:p>
      <w:r>
        <w:rPr>
          <w:b/>
        </w:rPr>
        <w:t xml:space="preserve">4 </w:t>
      </w:r>
      <w:r>
        <w:t xml:space="preserve">And they gave Jacob the foreign gods that were in their hands and the earrings</w:t>
      </w:r>
      <w:r>
        <w:rPr>
          <w:rStyle w:val="FootnoteReference"/>
        </w:rPr>
        <w:footnoteReference w:id="906"/>
      </w:r>
      <w:r>
        <w:t xml:space="preserve"> in their ears, and Jacob hid them under the terebinth in Shechem, and he destroyed them until this day.</w:t>
      </w:r>
    </w:p>
    <w:p>
      <w:r>
        <w:rPr>
          <w:b/>
        </w:rPr>
        <w:t xml:space="preserve">5 </w:t>
      </w:r>
      <w:r>
        <w:t xml:space="preserve">And Israel set out from Shechem, and a fear of God came on the cities around them, and they did not pursue after the sons of Israel.</w:t>
      </w:r>
    </w:p>
    <w:p>
      <w:r>
        <w:rPr>
          <w:b/>
        </w:rPr>
        <w:t xml:space="preserve">6 </w:t>
      </w:r>
      <w:r>
        <w:t xml:space="preserve">And Jacob came to Luz, which is in the land of Canaan, which is Bethel, he and all the people with him.</w:t>
      </w:r>
    </w:p>
    <w:p>
      <w:r>
        <w:rPr>
          <w:b/>
        </w:rPr>
        <w:t xml:space="preserve">7 </w:t>
      </w:r>
      <w:r>
        <w:t xml:space="preserve">And he built</w:t>
      </w:r>
      <w:r>
        <w:rPr>
          <w:rStyle w:val="FootnoteReference"/>
        </w:rPr>
        <w:footnoteReference w:id="907"/>
      </w:r>
      <w:r>
        <w:t xml:space="preserve"> there an altar and called the name of the place Bethel, for there God appeared to him when he fled from the face of Esau his brother.</w:t>
      </w:r>
    </w:p>
    <w:p>
      <w:r>
        <w:rPr>
          <w:b/>
        </w:rPr>
        <w:t xml:space="preserve">8 </w:t>
      </w:r>
      <w:r>
        <w:t xml:space="preserve">And Deborah</w:t>
      </w:r>
      <w:r>
        <w:rPr>
          <w:rStyle w:val="FootnoteReference"/>
        </w:rPr>
        <w:footnoteReference w:id="908"/>
      </w:r>
      <w:r>
        <w:t xml:space="preserve">, Rebekah's</w:t>
      </w:r>
      <w:r>
        <w:rPr>
          <w:rStyle w:val="FootnoteReference"/>
        </w:rPr>
        <w:footnoteReference w:id="909"/>
      </w:r>
      <w:r>
        <w:t xml:space="preserve"> nurse, died and was buried below Bethel under the oak, and Jacob called its name Oak of Mourning.</w:t>
      </w:r>
    </w:p>
    <w:p>
      <w:r>
        <w:rPr>
          <w:b/>
        </w:rPr>
        <w:t xml:space="preserve">9 </w:t>
      </w:r>
      <w:r>
        <w:t xml:space="preserve">And God appeared to Jacob again in Luz, when he came from Mesopotamia of Syria, and God blessed him.</w:t>
      </w:r>
    </w:p>
    <w:p>
      <w:r>
        <w:rPr>
          <w:b/>
        </w:rPr>
        <w:t xml:space="preserve">10 </w:t>
      </w:r>
      <w:r>
        <w:t xml:space="preserve">And God said to him, Your name shall no longer be called Jacob, but Israel shall be your name. And he called his name Israel.</w:t>
      </w:r>
    </w:p>
    <w:p>
      <w:r>
        <w:rPr>
          <w:b/>
        </w:rPr>
        <w:t xml:space="preserve">11 </w:t>
      </w:r>
      <w:r>
        <w:t xml:space="preserve">And God said to him, I am your God. Increase and multiply. Nations and gatherings of nations</w:t>
      </w:r>
      <w:r>
        <w:rPr>
          <w:rStyle w:val="FootnoteReference"/>
        </w:rPr>
        <w:footnoteReference w:id="910"/>
      </w:r>
      <w:r>
        <w:t xml:space="preserve"> will come from you, and kings will come out from your loins.</w:t>
      </w:r>
    </w:p>
    <w:p>
      <w:r>
        <w:rPr>
          <w:b/>
        </w:rPr>
        <w:t xml:space="preserve">12 </w:t>
      </w:r>
      <w:r>
        <w:t xml:space="preserve">And the land that I gave to Abraham and Isaac, I have given it to you. It shall be yours, and to your seed after you I will give this land.</w:t>
      </w:r>
    </w:p>
    <w:p>
      <w:r>
        <w:rPr>
          <w:b/>
        </w:rPr>
        <w:t xml:space="preserve">13 </w:t>
      </w:r>
      <w:r>
        <w:t xml:space="preserve">And God went up from him from the place where he spoke with him.</w:t>
      </w:r>
    </w:p>
    <w:p>
      <w:r>
        <w:rPr>
          <w:b/>
        </w:rPr>
        <w:t xml:space="preserve">14 </w:t>
      </w:r>
      <w:r>
        <w:t xml:space="preserve">And Jacob set up a pillar in the place where God spoke with him, a stone pillar, and he poured a libation on it and poured oil on it.</w:t>
      </w:r>
    </w:p>
    <w:p>
      <w:r>
        <w:rPr>
          <w:b/>
        </w:rPr>
        <w:t xml:space="preserve">15 </w:t>
      </w:r>
      <w:r>
        <w:t xml:space="preserve">And Jacob called the name of the place where God spoke with him there, Bethel</w:t>
      </w:r>
      <w:r>
        <w:rPr>
          <w:rStyle w:val="FootnoteReference"/>
        </w:rPr>
        <w:footnoteReference w:id="911"/>
      </w:r>
      <w:r>
        <w:t xml:space="preserve">.</w:t>
      </w:r>
    </w:p>
    <w:p>
      <w:r>
        <w:rPr>
          <w:b/>
        </w:rPr>
        <w:t xml:space="preserve">16 </w:t>
      </w:r>
      <w:r>
        <w:t xml:space="preserve">And Jacob, setting out from Bethel, pitched his tent beyond the tower of Eder</w:t>
      </w:r>
      <w:r>
        <w:rPr>
          <w:rStyle w:val="FootnoteReference"/>
        </w:rPr>
        <w:footnoteReference w:id="912"/>
      </w:r>
      <w:r>
        <w:t xml:space="preserve">. And it happened when he drew near a little way to come</w:t>
      </w:r>
      <w:r>
        <w:rPr>
          <w:rStyle w:val="FootnoteReference"/>
        </w:rPr>
        <w:footnoteReference w:id="913"/>
      </w:r>
      <w:r>
        <w:t xml:space="preserve"> to Ephrathah</w:t>
      </w:r>
      <w:r>
        <w:rPr>
          <w:rStyle w:val="FootnoteReference"/>
        </w:rPr>
        <w:footnoteReference w:id="914"/>
      </w:r>
      <w:r>
        <w:t xml:space="preserve">, Rachel gave birth, and she was in hard labor in the birth.</w:t>
      </w:r>
    </w:p>
    <w:p>
      <w:r>
        <w:rPr>
          <w:b/>
        </w:rPr>
        <w:t xml:space="preserve">17 </w:t>
      </w:r>
      <w:r>
        <w:t xml:space="preserve">And it happened in her hard labor, the midwife said to her, Take courage</w:t>
      </w:r>
      <w:r>
        <w:rPr>
          <w:rStyle w:val="FootnoteReference"/>
        </w:rPr>
        <w:footnoteReference w:id="915"/>
      </w:r>
      <w:r>
        <w:t xml:space="preserve">, for this son also is yours.</w:t>
      </w:r>
    </w:p>
    <w:p>
      <w:r>
        <w:rPr>
          <w:b/>
        </w:rPr>
        <w:t xml:space="preserve">18 </w:t>
      </w:r>
      <w:r>
        <w:t xml:space="preserve">And it happened when her life was departing, for she was dying, she called his name Son of my pain. But his father called his name Benjamin</w:t>
      </w:r>
      <w:r>
        <w:rPr>
          <w:rStyle w:val="FootnoteReference"/>
        </w:rPr>
        <w:footnoteReference w:id="916"/>
      </w:r>
      <w:r>
        <w:t xml:space="preserve">.</w:t>
      </w:r>
      <w:r>
        <w:rPr>
          <w:rStyle w:val="FootnoteReference"/>
        </w:rPr>
        <w:footnoteReference w:id="917"/>
      </w:r>
    </w:p>
    <w:p>
      <w:r>
        <w:rPr>
          <w:b/>
        </w:rPr>
        <w:t xml:space="preserve">19 </w:t>
      </w:r>
      <w:r>
        <w:t xml:space="preserve">And Rachel died</w:t>
      </w:r>
      <w:r>
        <w:rPr>
          <w:rStyle w:val="FootnoteReference"/>
        </w:rPr>
        <w:footnoteReference w:id="918"/>
      </w:r>
      <w:r>
        <w:t xml:space="preserve"> and was buried on the road of the racecourse of Ephrathah (this is Bethlehem</w:t>
      </w:r>
      <w:r>
        <w:rPr>
          <w:rStyle w:val="FootnoteReference"/>
        </w:rPr>
        <w:footnoteReference w:id="919"/>
      </w:r>
      <w:r>
        <w:t xml:space="preserve">).</w:t>
      </w:r>
    </w:p>
    <w:p>
      <w:r>
        <w:rPr>
          <w:b/>
        </w:rPr>
        <w:t xml:space="preserve">20 </w:t>
      </w:r>
      <w:r>
        <w:t xml:space="preserve">And Jacob set up a pillar over her tomb. This is the pillar</w:t>
      </w:r>
      <w:r>
        <w:rPr>
          <w:rStyle w:val="FootnoteReference"/>
        </w:rPr>
        <w:footnoteReference w:id="920"/>
      </w:r>
      <w:r>
        <w:t xml:space="preserve"> over Rachel's tomb until this day.</w:t>
      </w:r>
    </w:p>
    <w:p>
      <w:r>
        <w:rPr>
          <w:b/>
        </w:rPr>
        <w:t xml:space="preserve">22 </w:t>
      </w:r>
      <w:r>
        <w:t xml:space="preserve">Now Jacob's sons were twelve</w:t>
      </w:r>
      <w:r>
        <w:rPr>
          <w:rStyle w:val="FootnoteReference"/>
        </w:rPr>
        <w:footnoteReference w:id="921"/>
      </w:r>
      <w:r>
        <w:t xml:space="preserve">.</w:t>
      </w:r>
    </w:p>
    <w:p>
      <w:r>
        <w:rPr>
          <w:b/>
        </w:rPr>
        <w:t xml:space="preserve">23 </w:t>
      </w:r>
      <w:r>
        <w:t xml:space="preserve">Sons of Leah: firstborn of Jacob, Reuben, Simeon, Levi, Judah, Issachar, Zebulun.</w:t>
      </w:r>
    </w:p>
    <w:p>
      <w:r>
        <w:rPr>
          <w:b/>
        </w:rPr>
        <w:t xml:space="preserve">24 </w:t>
      </w:r>
      <w:r>
        <w:t xml:space="preserve">And sons of Rachel: Joseph and Benjamin.</w:t>
      </w:r>
    </w:p>
    <w:p>
      <w:r>
        <w:rPr>
          <w:b/>
        </w:rPr>
        <w:t xml:space="preserve">25 </w:t>
      </w:r>
      <w:r>
        <w:t xml:space="preserve">And sons of Bilhah, Rachel's servant-girl</w:t>
      </w:r>
      <w:r>
        <w:rPr>
          <w:rStyle w:val="FootnoteReference"/>
        </w:rPr>
        <w:footnoteReference w:id="922"/>
      </w:r>
      <w:r>
        <w:t xml:space="preserve">: Dan and Naphtali.</w:t>
      </w:r>
    </w:p>
    <w:p>
      <w:r>
        <w:rPr>
          <w:b/>
        </w:rPr>
        <w:t xml:space="preserve">26 </w:t>
      </w:r>
      <w:r>
        <w:t xml:space="preserve">And sons of Zilpah, Leah's servant-girl: Gad and Asher. These are Jacob's sons, who came to him in Mesopotamia of Syria.</w:t>
      </w:r>
    </w:p>
    <w:p>
      <w:r>
        <w:rPr>
          <w:b/>
        </w:rPr>
        <w:t xml:space="preserve">27 </w:t>
      </w:r>
      <w:r>
        <w:t xml:space="preserve">And Jacob</w:t>
      </w:r>
      <w:r>
        <w:rPr>
          <w:rStyle w:val="FootnoteReference"/>
        </w:rPr>
        <w:footnoteReference w:id="923"/>
      </w:r>
      <w:r>
        <w:t xml:space="preserve"> came to Isaac his father at Mamre, to the city of the plain (this is Hebron) in the land of Canaan, where Abraham and Isaac had sojourned.</w:t>
      </w:r>
    </w:p>
    <w:p>
      <w:r>
        <w:rPr>
          <w:b/>
        </w:rPr>
        <w:t xml:space="preserve">28 </w:t>
      </w:r>
      <w:r>
        <w:t xml:space="preserve">And the days of Isaac that he lived became one hundred eighty years,</w:t>
      </w:r>
    </w:p>
    <w:p>
      <w:r>
        <w:rPr>
          <w:b/>
        </w:rPr>
        <w:t xml:space="preserve">29 </w:t>
      </w:r>
      <w:r>
        <w:t xml:space="preserve">and failing, Isaac</w:t>
      </w:r>
      <w:r>
        <w:rPr>
          <w:rStyle w:val="FootnoteReference"/>
        </w:rPr>
        <w:footnoteReference w:id="924"/>
      </w:r>
      <w:r>
        <w:t xml:space="preserve"> died and was added to his people, old and full of days. And Esau and Jacob his sons buried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t xml:space="preserve">And these are the generations of Esau (he is Edom):</w:t>
      </w:r>
    </w:p>
    <w:p>
      <w:r>
        <w:rPr>
          <w:b/>
        </w:rPr>
        <w:t xml:space="preserve">2 </w:t>
      </w:r>
      <w:r>
        <w:t xml:space="preserve">And Esau</w:t>
      </w:r>
      <w:r>
        <w:rPr>
          <w:rStyle w:val="FootnoteReference"/>
        </w:rPr>
        <w:footnoteReference w:id="925"/>
      </w:r>
      <w:r>
        <w:t xml:space="preserve"> took wives for himself from the daughters of the Canaanites: Adah daughter of Elon</w:t>
      </w:r>
      <w:r>
        <w:rPr>
          <w:rStyle w:val="FootnoteReference"/>
        </w:rPr>
        <w:footnoteReference w:id="926"/>
      </w:r>
      <w:r>
        <w:t xml:space="preserve"> the Hittite, and Aholibamah</w:t>
      </w:r>
      <w:r>
        <w:rPr>
          <w:rStyle w:val="FootnoteReference"/>
        </w:rPr>
        <w:footnoteReference w:id="927"/>
      </w:r>
      <w:r>
        <w:t xml:space="preserve"> daughter of Anah</w:t>
      </w:r>
      <w:r>
        <w:rPr>
          <w:rStyle w:val="FootnoteReference"/>
        </w:rPr>
        <w:footnoteReference w:id="928"/>
      </w:r>
      <w:r>
        <w:t xml:space="preserve"> son of Zibeon</w:t>
      </w:r>
      <w:r>
        <w:rPr>
          <w:rStyle w:val="FootnoteReference"/>
        </w:rPr>
        <w:footnoteReference w:id="929"/>
      </w:r>
      <w:r>
        <w:t xml:space="preserve"> the Hivite,</w:t>
      </w:r>
    </w:p>
    <w:p>
      <w:r>
        <w:rPr>
          <w:b/>
        </w:rPr>
        <w:t xml:space="preserve">3 </w:t>
      </w:r>
      <w:r>
        <w:t xml:space="preserve">and Basemath daughter of Ishmael, sister of Nebajoth.</w:t>
      </w:r>
    </w:p>
    <w:p>
      <w:r>
        <w:rPr>
          <w:b/>
        </w:rPr>
        <w:t xml:space="preserve">4 </w:t>
      </w:r>
      <w:r>
        <w:t xml:space="preserve">And Adah</w:t>
      </w:r>
      <w:r>
        <w:rPr>
          <w:rStyle w:val="FootnoteReference"/>
        </w:rPr>
        <w:footnoteReference w:id="930"/>
      </w:r>
      <w:r>
        <w:t xml:space="preserve"> bore Eliphaz</w:t>
      </w:r>
      <w:r>
        <w:rPr>
          <w:rStyle w:val="FootnoteReference"/>
        </w:rPr>
        <w:footnoteReference w:id="931"/>
      </w:r>
      <w:r>
        <w:t xml:space="preserve"> to him, and Basemath bore Reuel,</w:t>
      </w:r>
    </w:p>
    <w:p>
      <w:r>
        <w:rPr>
          <w:b/>
        </w:rPr>
        <w:t xml:space="preserve">5 </w:t>
      </w:r>
      <w:r>
        <w:t xml:space="preserve">and Aholibamah bore Jeush</w:t>
      </w:r>
      <w:r>
        <w:rPr>
          <w:rStyle w:val="FootnoteReference"/>
        </w:rPr>
        <w:footnoteReference w:id="932"/>
      </w:r>
      <w:r>
        <w:t xml:space="preserve"> and Jaalam</w:t>
      </w:r>
      <w:r>
        <w:rPr>
          <w:rStyle w:val="FootnoteReference"/>
        </w:rPr>
        <w:footnoteReference w:id="933"/>
      </w:r>
      <w:r>
        <w:t xml:space="preserve"> and Kore</w:t>
      </w:r>
      <w:r>
        <w:rPr>
          <w:rStyle w:val="FootnoteReference"/>
        </w:rPr>
        <w:footnoteReference w:id="934"/>
      </w:r>
      <w:r>
        <w:t xml:space="preserve">. These are Esau's sons who came to him in the land</w:t>
      </w:r>
      <w:r>
        <w:rPr>
          <w:rStyle w:val="FootnoteReference"/>
        </w:rPr>
        <w:footnoteReference w:id="935"/>
      </w:r>
      <w:r>
        <w:t xml:space="preserve"> of Canaan.</w:t>
      </w:r>
    </w:p>
    <w:p>
      <w:r>
        <w:rPr>
          <w:b/>
        </w:rPr>
        <w:t xml:space="preserve">6 </w:t>
      </w:r>
      <w:r>
        <w:t xml:space="preserve">And Esau took his wives and his sons and his daughters and all the persons</w:t>
      </w:r>
      <w:r>
        <w:rPr>
          <w:rStyle w:val="FootnoteReference"/>
        </w:rPr>
        <w:footnoteReference w:id="936"/>
      </w:r>
      <w:r>
        <w:t xml:space="preserve"> of his house and all his possessions and all his livestock and everything he acquired and everything he gained in the land of Canaan, and Esau went from the land of Canaan away from the face of Jacob his brother.</w:t>
      </w:r>
    </w:p>
    <w:p>
      <w:r>
        <w:rPr>
          <w:b/>
        </w:rPr>
        <w:t xml:space="preserve">7 </w:t>
      </w:r>
      <w:r>
        <w:t xml:space="preserve">For their possessions were too many to dwell together, and the land of their sojourning was not able to carry them because of the abundance of their possessions.</w:t>
      </w:r>
    </w:p>
    <w:p>
      <w:r>
        <w:rPr>
          <w:b/>
        </w:rPr>
        <w:t xml:space="preserve">8 </w:t>
      </w:r>
      <w:r>
        <w:t xml:space="preserve">And Esau dwelt in Mount Seir</w:t>
      </w:r>
      <w:r>
        <w:rPr>
          <w:rStyle w:val="FootnoteReference"/>
        </w:rPr>
        <w:footnoteReference w:id="937"/>
      </w:r>
      <w:r>
        <w:t xml:space="preserve"> (Esau, he is Edom).</w:t>
      </w:r>
    </w:p>
    <w:p>
      <w:r>
        <w:rPr>
          <w:b/>
        </w:rPr>
        <w:t xml:space="preserve">9 </w:t>
      </w:r>
      <w:r>
        <w:t xml:space="preserve">And these are the generations of Esau father of Edom in Mount Seir,</w:t>
      </w:r>
    </w:p>
    <w:p>
      <w:r>
        <w:rPr>
          <w:b/>
        </w:rPr>
        <w:t xml:space="preserve">10 </w:t>
      </w:r>
      <w:r>
        <w:t xml:space="preserve">and these are the names of Esau's sons: Eliphaz son of Adah, wife of Esau, and Reuel son of Basemath, wife of Esau.</w:t>
      </w:r>
    </w:p>
    <w:p>
      <w:r>
        <w:rPr>
          <w:b/>
        </w:rPr>
        <w:t xml:space="preserve">11 </w:t>
      </w:r>
      <w:r>
        <w:t xml:space="preserve">And Eliphaz' sons were Teman, Omar</w:t>
      </w:r>
      <w:r>
        <w:rPr>
          <w:rStyle w:val="FootnoteReference"/>
        </w:rPr>
        <w:footnoteReference w:id="938"/>
      </w:r>
      <w:r>
        <w:t xml:space="preserve">, Zepho</w:t>
      </w:r>
      <w:r>
        <w:rPr>
          <w:rStyle w:val="FootnoteReference"/>
        </w:rPr>
        <w:footnoteReference w:id="939"/>
      </w:r>
      <w:r>
        <w:t xml:space="preserve">, Gatam</w:t>
      </w:r>
      <w:r>
        <w:rPr>
          <w:rStyle w:val="FootnoteReference"/>
        </w:rPr>
        <w:footnoteReference w:id="940"/>
      </w:r>
      <w:r>
        <w:t xml:space="preserve">, and Kenaz</w:t>
      </w:r>
      <w:r>
        <w:rPr>
          <w:rStyle w:val="FootnoteReference"/>
        </w:rPr>
        <w:footnoteReference w:id="941"/>
      </w:r>
      <w:r>
        <w:t xml:space="preserve">.</w:t>
      </w:r>
      <w:r>
        <w:rPr>
          <w:rStyle w:val="FootnoteReference"/>
        </w:rPr>
        <w:footnoteReference w:id="942"/>
      </w:r>
    </w:p>
    <w:p>
      <w:r>
        <w:rPr>
          <w:b/>
        </w:rPr>
        <w:t xml:space="preserve">12 </w:t>
      </w:r>
      <w:r>
        <w:t xml:space="preserve">And Timnah</w:t>
      </w:r>
      <w:r>
        <w:rPr>
          <w:rStyle w:val="FootnoteReference"/>
        </w:rPr>
        <w:footnoteReference w:id="943"/>
      </w:r>
      <w:r>
        <w:t xml:space="preserve"> was a concubine of Eliphaz, Esau's son, and she bore Amalek</w:t>
      </w:r>
      <w:r>
        <w:rPr>
          <w:rStyle w:val="FootnoteReference"/>
        </w:rPr>
        <w:footnoteReference w:id="944"/>
      </w:r>
      <w:r>
        <w:t xml:space="preserve"> to Eliphaz. These are the sons of Adah, Esau's wife.</w:t>
      </w:r>
    </w:p>
    <w:p>
      <w:r>
        <w:rPr>
          <w:b/>
        </w:rPr>
        <w:t xml:space="preserve">13 </w:t>
      </w:r>
      <w:r>
        <w:t xml:space="preserve">And these are Reuel's sons: Nahath</w:t>
      </w:r>
      <w:r>
        <w:rPr>
          <w:rStyle w:val="FootnoteReference"/>
        </w:rPr>
        <w:footnoteReference w:id="945"/>
      </w:r>
      <w:r>
        <w:t xml:space="preserve">, Zerah</w:t>
      </w:r>
      <w:r>
        <w:rPr>
          <w:rStyle w:val="FootnoteReference"/>
        </w:rPr>
        <w:footnoteReference w:id="946"/>
      </w:r>
      <w:r>
        <w:t xml:space="preserve">, Some, and Mizzah</w:t>
      </w:r>
      <w:r>
        <w:rPr>
          <w:rStyle w:val="FootnoteReference"/>
        </w:rPr>
        <w:footnoteReference w:id="947"/>
      </w:r>
      <w:r>
        <w:t xml:space="preserve">. These were the sons of Basemath, Esau's wife.</w:t>
      </w:r>
    </w:p>
    <w:p>
      <w:r>
        <w:rPr>
          <w:b/>
        </w:rPr>
        <w:t xml:space="preserve">14 </w:t>
      </w:r>
      <w:r>
        <w:t xml:space="preserve">And these are the sons of Aholibamah, daughter of Anah son of Zibeon, wife of Esau. And she bore Jeush and Jaalam and Kore to Esau.</w:t>
      </w:r>
    </w:p>
    <w:p>
      <w:r>
        <w:rPr>
          <w:b/>
        </w:rPr>
        <w:t xml:space="preserve">15 </w:t>
      </w:r>
      <w:r>
        <w:t xml:space="preserve">These are the chiefs, sons of Esau. Sons of Eliphaz</w:t>
      </w:r>
      <w:r>
        <w:rPr>
          <w:rStyle w:val="FootnoteReference"/>
        </w:rPr>
        <w:footnoteReference w:id="948"/>
      </w:r>
      <w:r>
        <w:t xml:space="preserve">, Esau's firstborn: chief Teman, chief Omar, chief Zepho, chief Kenaz,</w:t>
      </w:r>
    </w:p>
    <w:p>
      <w:r>
        <w:rPr>
          <w:b/>
        </w:rPr>
        <w:t xml:space="preserve">16 </w:t>
      </w:r>
      <w:r>
        <w:t xml:space="preserve">chief Kore, chief Gatam, chief Amalek. These are the chiefs of Eliphaz in the land of Edom. These are the sons of Adah.</w:t>
      </w:r>
    </w:p>
    <w:p>
      <w:r>
        <w:rPr>
          <w:b/>
        </w:rPr>
        <w:t xml:space="preserve">17 </w:t>
      </w:r>
      <w:r>
        <w:t xml:space="preserve">And these are the sons of Reuel</w:t>
      </w:r>
      <w:r>
        <w:rPr>
          <w:rStyle w:val="FootnoteReference"/>
        </w:rPr>
        <w:footnoteReference w:id="949"/>
      </w:r>
      <w:r>
        <w:t xml:space="preserve">, son of Esau: chief Nahath, chief Zerah, chief Some, chief Mizzah. These are the chiefs of Reuel in the land of Edom. These are the sons of Basemath, Esau's wife.</w:t>
      </w:r>
    </w:p>
    <w:p>
      <w:r>
        <w:rPr>
          <w:b/>
        </w:rPr>
        <w:t xml:space="preserve">18 </w:t>
      </w:r>
      <w:r>
        <w:t xml:space="preserve">And these are the sons of Aholibamah, wife of Esau: chief Jeush, chief Jaalam, chief Kore. These are the chiefs of Aholibamah daughter of Anah, wife of Esau.</w:t>
      </w:r>
    </w:p>
    <w:p>
      <w:r>
        <w:rPr>
          <w:b/>
        </w:rPr>
        <w:t xml:space="preserve">19 </w:t>
      </w:r>
      <w:r>
        <w:t xml:space="preserve">These are the sons of Esau, and these are their chiefs. These are the sons of Edom.</w:t>
      </w:r>
    </w:p>
    <w:p>
      <w:r>
        <w:rPr>
          <w:b/>
        </w:rPr>
        <w:t xml:space="preserve">20 </w:t>
      </w:r>
      <w:r>
        <w:t xml:space="preserve">And these are the sons of Seir the Horite</w:t>
      </w:r>
      <w:r>
        <w:rPr>
          <w:rStyle w:val="FootnoteReference"/>
        </w:rPr>
        <w:footnoteReference w:id="950"/>
      </w:r>
      <w:r>
        <w:t xml:space="preserve">, who inhabited the land: Lotan</w:t>
      </w:r>
      <w:r>
        <w:rPr>
          <w:rStyle w:val="FootnoteReference"/>
        </w:rPr>
        <w:footnoteReference w:id="951"/>
      </w:r>
      <w:r>
        <w:t xml:space="preserve">, Shobal</w:t>
      </w:r>
      <w:r>
        <w:rPr>
          <w:rStyle w:val="FootnoteReference"/>
        </w:rPr>
        <w:footnoteReference w:id="952"/>
      </w:r>
      <w:r>
        <w:t xml:space="preserve">, Zibeon, Anah,</w:t>
      </w:r>
    </w:p>
    <w:p>
      <w:r>
        <w:rPr>
          <w:b/>
        </w:rPr>
        <w:t xml:space="preserve">21 </w:t>
      </w:r>
      <w:r>
        <w:t xml:space="preserve">and Dishon</w:t>
      </w:r>
      <w:r>
        <w:rPr>
          <w:rStyle w:val="FootnoteReference"/>
        </w:rPr>
        <w:footnoteReference w:id="953"/>
      </w:r>
      <w:r>
        <w:t xml:space="preserve"> and Ezer</w:t>
      </w:r>
      <w:r>
        <w:rPr>
          <w:rStyle w:val="FootnoteReference"/>
        </w:rPr>
        <w:footnoteReference w:id="954"/>
      </w:r>
      <w:r>
        <w:t xml:space="preserve"> and Dishan</w:t>
      </w:r>
      <w:r>
        <w:rPr>
          <w:rStyle w:val="FootnoteReference"/>
        </w:rPr>
        <w:footnoteReference w:id="955"/>
      </w:r>
      <w:r>
        <w:t xml:space="preserve">. These are the chiefs of the Horite, sons of Seir in the land of Edom.</w:t>
      </w:r>
    </w:p>
    <w:p>
      <w:r>
        <w:rPr>
          <w:b/>
        </w:rPr>
        <w:t xml:space="preserve">22 </w:t>
      </w:r>
      <w:r>
        <w:t xml:space="preserve">And Lotan's sons became Horites and Heman</w:t>
      </w:r>
      <w:r>
        <w:rPr>
          <w:rStyle w:val="FootnoteReference"/>
        </w:rPr>
        <w:footnoteReference w:id="956"/>
      </w:r>
      <w:r>
        <w:t xml:space="preserve">, and Lotan's sister was Timnah.</w:t>
      </w:r>
    </w:p>
    <w:p>
      <w:r>
        <w:rPr>
          <w:b/>
        </w:rPr>
        <w:t xml:space="preserve">23 </w:t>
      </w:r>
      <w:r>
        <w:t xml:space="preserve">And these are the sons of Shobal: Alvan</w:t>
      </w:r>
      <w:r>
        <w:rPr>
          <w:rStyle w:val="FootnoteReference"/>
        </w:rPr>
        <w:footnoteReference w:id="957"/>
      </w:r>
      <w:r>
        <w:t xml:space="preserve"> and Manahath and Ebal</w:t>
      </w:r>
      <w:r>
        <w:rPr>
          <w:rStyle w:val="FootnoteReference"/>
        </w:rPr>
        <w:footnoteReference w:id="958"/>
      </w:r>
      <w:r>
        <w:t xml:space="preserve"> and Shepho</w:t>
      </w:r>
      <w:r>
        <w:rPr>
          <w:rStyle w:val="FootnoteReference"/>
        </w:rPr>
        <w:footnoteReference w:id="959"/>
      </w:r>
      <w:r>
        <w:t xml:space="preserve"> and Onam</w:t>
      </w:r>
      <w:r>
        <w:rPr>
          <w:rStyle w:val="FootnoteReference"/>
        </w:rPr>
        <w:footnoteReference w:id="960"/>
      </w:r>
      <w:r>
        <w:t xml:space="preserve">.</w:t>
      </w:r>
      <w:r>
        <w:rPr>
          <w:rStyle w:val="FootnoteReference"/>
        </w:rPr>
        <w:footnoteReference w:id="961"/>
      </w:r>
    </w:p>
    <w:p>
      <w:r>
        <w:rPr>
          <w:b/>
        </w:rPr>
        <w:t xml:space="preserve">24 </w:t>
      </w:r>
      <w:r>
        <w:t xml:space="preserve">And these are the sons of Zibeon: Ajah</w:t>
      </w:r>
      <w:r>
        <w:rPr>
          <w:rStyle w:val="FootnoteReference"/>
        </w:rPr>
        <w:footnoteReference w:id="962"/>
      </w:r>
      <w:r>
        <w:t xml:space="preserve"> and Anah. This is Anah, who found</w:t>
      </w:r>
      <w:r>
        <w:rPr>
          <w:rStyle w:val="FootnoteReference"/>
        </w:rPr>
        <w:footnoteReference w:id="963"/>
      </w:r>
      <w:r>
        <w:t xml:space="preserve"> mules in the wilderness, when he tended the beasts of burden of Zibeon his father.</w:t>
      </w:r>
    </w:p>
    <w:p>
      <w:r>
        <w:rPr>
          <w:b/>
        </w:rPr>
        <w:t xml:space="preserve">25 </w:t>
      </w:r>
      <w:r>
        <w:t xml:space="preserve">And these are the sons of Anah: Dishon</w:t>
      </w:r>
      <w:r>
        <w:rPr>
          <w:rStyle w:val="FootnoteReference"/>
        </w:rPr>
        <w:footnoteReference w:id="964"/>
      </w:r>
      <w:r>
        <w:t xml:space="preserve"> and Aholibamah daughter of Anah.</w:t>
      </w:r>
    </w:p>
    <w:p>
      <w:r>
        <w:rPr>
          <w:b/>
        </w:rPr>
        <w:t xml:space="preserve">26 </w:t>
      </w:r>
      <w:r>
        <w:t xml:space="preserve">And these are the sons of Dishon: Hemdan</w:t>
      </w:r>
      <w:r>
        <w:rPr>
          <w:rStyle w:val="FootnoteReference"/>
        </w:rPr>
        <w:footnoteReference w:id="965"/>
      </w:r>
      <w:r>
        <w:t xml:space="preserve"> and Eshban</w:t>
      </w:r>
      <w:r>
        <w:rPr>
          <w:rStyle w:val="FootnoteReference"/>
        </w:rPr>
        <w:footnoteReference w:id="966"/>
      </w:r>
      <w:r>
        <w:t xml:space="preserve"> and Ithran</w:t>
      </w:r>
      <w:r>
        <w:rPr>
          <w:rStyle w:val="FootnoteReference"/>
        </w:rPr>
        <w:footnoteReference w:id="967"/>
      </w:r>
      <w:r>
        <w:t xml:space="preserve"> and Haran.</w:t>
      </w:r>
      <w:r>
        <w:rPr>
          <w:rStyle w:val="FootnoteReference"/>
        </w:rPr>
        <w:footnoteReference w:id="968"/>
      </w:r>
    </w:p>
    <w:p>
      <w:r>
        <w:rPr>
          <w:b/>
        </w:rPr>
        <w:t xml:space="preserve">27 </w:t>
      </w:r>
      <w:r>
        <w:t xml:space="preserve">And these are the sons of Ezer</w:t>
      </w:r>
      <w:r>
        <w:rPr>
          <w:rStyle w:val="FootnoteReference"/>
        </w:rPr>
        <w:footnoteReference w:id="969"/>
      </w:r>
      <w:r>
        <w:t xml:space="preserve">: Balaam and Zoukam and Joukam.</w:t>
      </w:r>
    </w:p>
    <w:p>
      <w:r>
        <w:rPr>
          <w:b/>
        </w:rPr>
        <w:t xml:space="preserve">28 </w:t>
      </w:r>
      <w:r>
        <w:t xml:space="preserve">And these are the sons of Dishan: Hos and Aran</w:t>
      </w:r>
      <w:r>
        <w:rPr>
          <w:rStyle w:val="FootnoteReference"/>
        </w:rPr>
        <w:footnoteReference w:id="970"/>
      </w:r>
      <w:r>
        <w:t xml:space="preserve">.</w:t>
      </w:r>
    </w:p>
    <w:p>
      <w:r>
        <w:rPr>
          <w:b/>
        </w:rPr>
        <w:t xml:space="preserve">29 </w:t>
      </w:r>
      <w:r>
        <w:t xml:space="preserve">And these are the chiefs of Horites</w:t>
      </w:r>
      <w:r>
        <w:rPr>
          <w:rStyle w:val="FootnoteReference"/>
        </w:rPr>
        <w:footnoteReference w:id="971"/>
      </w:r>
      <w:r>
        <w:t xml:space="preserve">: chief Lotan, chief Shobal, chief Zibeon, chief Anah,</w:t>
      </w:r>
    </w:p>
    <w:p>
      <w:r>
        <w:rPr>
          <w:b/>
        </w:rPr>
        <w:t xml:space="preserve">30 </w:t>
      </w:r>
      <w:r>
        <w:t xml:space="preserve">chief Dishon, chief Ezer, chief Dishan. These are the chiefs of Horites in their chiefships in the land of Edom.</w:t>
      </w:r>
    </w:p>
    <w:p>
      <w:r>
        <w:rPr>
          <w:b/>
        </w:rPr>
        <w:t xml:space="preserve">31 </w:t>
      </w:r>
      <w:r>
        <w:t xml:space="preserve">And these are the kings</w:t>
      </w:r>
      <w:r>
        <w:rPr>
          <w:rStyle w:val="FootnoteReference"/>
        </w:rPr>
        <w:footnoteReference w:id="972"/>
      </w:r>
      <w:r>
        <w:t xml:space="preserve"> who reigned in Edom before a king reigned in Israel.</w:t>
      </w:r>
    </w:p>
    <w:p>
      <w:r>
        <w:rPr>
          <w:b/>
        </w:rPr>
        <w:t xml:space="preserve">32 </w:t>
      </w:r>
      <w:r>
        <w:t xml:space="preserve">And Balac</w:t>
      </w:r>
      <w:r>
        <w:rPr>
          <w:rStyle w:val="FootnoteReference"/>
        </w:rPr>
        <w:footnoteReference w:id="973"/>
      </w:r>
      <w:r>
        <w:t xml:space="preserve"> son of Beor</w:t>
      </w:r>
      <w:r>
        <w:rPr>
          <w:rStyle w:val="FootnoteReference"/>
        </w:rPr>
        <w:footnoteReference w:id="974"/>
      </w:r>
      <w:r>
        <w:t xml:space="preserve"> reigned in Edom, and the name of his city was Dinhabah</w:t>
      </w:r>
      <w:r>
        <w:rPr>
          <w:rStyle w:val="FootnoteReference"/>
        </w:rPr>
        <w:footnoteReference w:id="975"/>
      </w:r>
      <w:r>
        <w:t xml:space="preserve">.</w:t>
      </w:r>
    </w:p>
    <w:p>
      <w:r>
        <w:rPr>
          <w:b/>
        </w:rPr>
        <w:t xml:space="preserve">33 </w:t>
      </w:r>
      <w:r>
        <w:t xml:space="preserve">And Balac died, and Jobab son of Zerah from Bozrah</w:t>
      </w:r>
      <w:r>
        <w:rPr>
          <w:rStyle w:val="FootnoteReference"/>
        </w:rPr>
        <w:footnoteReference w:id="976"/>
      </w:r>
      <w:r>
        <w:t xml:space="preserve"> reigned in his place.</w:t>
      </w:r>
      <w:r>
        <w:rPr>
          <w:rStyle w:val="FootnoteReference"/>
        </w:rPr>
        <w:footnoteReference w:id="977"/>
      </w:r>
    </w:p>
    <w:p>
      <w:r>
        <w:rPr>
          <w:b/>
        </w:rPr>
        <w:t xml:space="preserve">34 </w:t>
      </w:r>
      <w:r>
        <w:t xml:space="preserve">And Jobab died, and Husham</w:t>
      </w:r>
      <w:r>
        <w:rPr>
          <w:rStyle w:val="FootnoteReference"/>
        </w:rPr>
        <w:footnoteReference w:id="978"/>
      </w:r>
      <w:r>
        <w:t xml:space="preserve"> from the land of the Temanites</w:t>
      </w:r>
      <w:r>
        <w:rPr>
          <w:rStyle w:val="FootnoteReference"/>
        </w:rPr>
        <w:footnoteReference w:id="979"/>
      </w:r>
      <w:r>
        <w:t xml:space="preserve"> reigned in his place.</w:t>
      </w:r>
    </w:p>
    <w:p>
      <w:r>
        <w:rPr>
          <w:b/>
        </w:rPr>
        <w:t xml:space="preserve">35 </w:t>
      </w:r>
      <w:r>
        <w:t xml:space="preserve">And Husham died, and Hadad</w:t>
      </w:r>
      <w:r>
        <w:rPr>
          <w:rStyle w:val="FootnoteReference"/>
        </w:rPr>
        <w:footnoteReference w:id="980"/>
      </w:r>
      <w:r>
        <w:t xml:space="preserve"> son of Bedad</w:t>
      </w:r>
      <w:r>
        <w:rPr>
          <w:rStyle w:val="FootnoteReference"/>
        </w:rPr>
        <w:footnoteReference w:id="981"/>
      </w:r>
      <w:r>
        <w:t xml:space="preserve">, who cut down Midian in the plain of Moab, reigned in his place, and the name of his city was Gittaim</w:t>
      </w:r>
      <w:r>
        <w:rPr>
          <w:rStyle w:val="FootnoteReference"/>
        </w:rPr>
        <w:footnoteReference w:id="982"/>
      </w:r>
      <w:r>
        <w:t xml:space="preserve">.</w:t>
      </w:r>
    </w:p>
    <w:p>
      <w:r>
        <w:rPr>
          <w:b/>
        </w:rPr>
        <w:t xml:space="preserve">36 </w:t>
      </w:r>
      <w:r>
        <w:t xml:space="preserve">And Hadad died, and Samlah</w:t>
      </w:r>
      <w:r>
        <w:rPr>
          <w:rStyle w:val="FootnoteReference"/>
        </w:rPr>
        <w:footnoteReference w:id="983"/>
      </w:r>
      <w:r>
        <w:t xml:space="preserve"> from Masrekah</w:t>
      </w:r>
      <w:r>
        <w:rPr>
          <w:rStyle w:val="FootnoteReference"/>
        </w:rPr>
        <w:footnoteReference w:id="984"/>
      </w:r>
      <w:r>
        <w:t xml:space="preserve"> reigned in his place.</w:t>
      </w:r>
    </w:p>
    <w:p>
      <w:r>
        <w:rPr>
          <w:b/>
        </w:rPr>
        <w:t xml:space="preserve">37 </w:t>
      </w:r>
      <w:r>
        <w:t xml:space="preserve">And Samlah died, and Saul from Rehoboth</w:t>
      </w:r>
      <w:r>
        <w:rPr>
          <w:rStyle w:val="FootnoteReference"/>
        </w:rPr>
        <w:footnoteReference w:id="985"/>
      </w:r>
      <w:r>
        <w:t xml:space="preserve"> by the river reigned in his place.</w:t>
      </w:r>
    </w:p>
    <w:p>
      <w:r>
        <w:rPr>
          <w:b/>
        </w:rPr>
        <w:t xml:space="preserve">38 </w:t>
      </w:r>
      <w:r>
        <w:t xml:space="preserve">And Saul died, and Baal-hanan</w:t>
      </w:r>
      <w:r>
        <w:rPr>
          <w:rStyle w:val="FootnoteReference"/>
        </w:rPr>
        <w:footnoteReference w:id="986"/>
      </w:r>
      <w:r>
        <w:t xml:space="preserve"> son of Achbor</w:t>
      </w:r>
      <w:r>
        <w:rPr>
          <w:rStyle w:val="FootnoteReference"/>
        </w:rPr>
        <w:footnoteReference w:id="987"/>
      </w:r>
      <w:r>
        <w:t xml:space="preserve"> reigned in his place.</w:t>
      </w:r>
    </w:p>
    <w:p>
      <w:r>
        <w:rPr>
          <w:b/>
        </w:rPr>
        <w:t xml:space="preserve">39 </w:t>
      </w:r>
      <w:r>
        <w:t xml:space="preserve">And Baal-hanan son of Achbor died, and Hadar</w:t>
      </w:r>
      <w:r>
        <w:rPr>
          <w:rStyle w:val="FootnoteReference"/>
        </w:rPr>
        <w:footnoteReference w:id="988"/>
      </w:r>
      <w:r>
        <w:t xml:space="preserve"> son of Matred</w:t>
      </w:r>
      <w:r>
        <w:rPr>
          <w:rStyle w:val="FootnoteReference"/>
        </w:rPr>
        <w:footnoteReference w:id="989"/>
      </w:r>
      <w:r>
        <w:t xml:space="preserve"> reigned in his place, and the name of his city was Peor</w:t>
      </w:r>
      <w:r>
        <w:rPr>
          <w:rStyle w:val="FootnoteReference"/>
        </w:rPr>
        <w:footnoteReference w:id="990"/>
      </w:r>
      <w:r>
        <w:t xml:space="preserve">, and the name of his wife was Mehetabel</w:t>
      </w:r>
      <w:r>
        <w:rPr>
          <w:rStyle w:val="FootnoteReference"/>
        </w:rPr>
        <w:footnoteReference w:id="991"/>
      </w:r>
      <w:r>
        <w:t xml:space="preserve">, daughter of Matred son of Mezahab</w:t>
      </w:r>
      <w:r>
        <w:rPr>
          <w:rStyle w:val="FootnoteReference"/>
        </w:rPr>
        <w:footnoteReference w:id="992"/>
      </w:r>
      <w:r>
        <w:t xml:space="preserve">.</w:t>
      </w:r>
    </w:p>
    <w:p>
      <w:r>
        <w:rPr>
          <w:b/>
        </w:rPr>
        <w:t xml:space="preserve">40 </w:t>
      </w:r>
      <w:r>
        <w:t xml:space="preserve">These are the names of the chiefs of Esau in their tribes according to their place, in their lands and in their nations: chief Timnah, chief Alvah</w:t>
      </w:r>
      <w:r>
        <w:rPr>
          <w:rStyle w:val="FootnoteReference"/>
        </w:rPr>
        <w:footnoteReference w:id="993"/>
      </w:r>
      <w:r>
        <w:t xml:space="preserve">, chief Jether</w:t>
      </w:r>
      <w:r>
        <w:rPr>
          <w:rStyle w:val="FootnoteReference"/>
        </w:rPr>
        <w:footnoteReference w:id="994"/>
      </w:r>
      <w:r>
        <w:t xml:space="preserve">,</w:t>
      </w:r>
      <w:r>
        <w:rPr>
          <w:rStyle w:val="FootnoteReference"/>
        </w:rPr>
        <w:footnoteReference w:id="995"/>
      </w:r>
    </w:p>
    <w:p>
      <w:r>
        <w:rPr>
          <w:b/>
        </w:rPr>
        <w:t xml:space="preserve">41 </w:t>
      </w:r>
      <w:r>
        <w:t xml:space="preserve">chief Aholibamah, chief Elah</w:t>
      </w:r>
      <w:r>
        <w:rPr>
          <w:rStyle w:val="FootnoteReference"/>
        </w:rPr>
        <w:footnoteReference w:id="996"/>
      </w:r>
      <w:r>
        <w:t xml:space="preserve">, chief Pinon</w:t>
      </w:r>
      <w:r>
        <w:rPr>
          <w:rStyle w:val="FootnoteReference"/>
        </w:rPr>
        <w:footnoteReference w:id="997"/>
      </w:r>
      <w:r>
        <w:t xml:space="preserve">,</w:t>
      </w:r>
    </w:p>
    <w:p>
      <w:r>
        <w:rPr>
          <w:b/>
        </w:rPr>
        <w:t xml:space="preserve">42 </w:t>
      </w:r>
      <w:r>
        <w:t xml:space="preserve">chief Kenaz, chief Teman, chief Mibzar</w:t>
      </w:r>
      <w:r>
        <w:rPr>
          <w:rStyle w:val="FootnoteReference"/>
        </w:rPr>
        <w:footnoteReference w:id="998"/>
      </w:r>
      <w:r>
        <w:t xml:space="preserve">,</w:t>
      </w:r>
    </w:p>
    <w:p>
      <w:r>
        <w:rPr>
          <w:b/>
        </w:rPr>
        <w:t xml:space="preserve">43 </w:t>
      </w:r>
      <w:r>
        <w:t xml:space="preserve">chief Magdiel</w:t>
      </w:r>
      <w:r>
        <w:rPr>
          <w:rStyle w:val="FootnoteReference"/>
        </w:rPr>
        <w:footnoteReference w:id="999"/>
      </w:r>
      <w:r>
        <w:t xml:space="preserve">, chief Zaphoin. These are the chiefs of Edom in the places built up in the land of their</w:t>
      </w:r>
      <w:r>
        <w:rPr>
          <w:rStyle w:val="FootnoteReference"/>
        </w:rPr>
        <w:footnoteReference w:id="1000"/>
      </w:r>
      <w:r>
        <w:t xml:space="preserve"> possession. This is Esau, father of Edom.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37</w:t>
      </w:r>
    </w:p>
    <w:p>
      <w:r>
        <w:rPr>
          <w:b/>
        </w:rPr>
        <w:t xml:space="preserve">1 </w:t>
      </w:r>
      <w:r>
        <w:t xml:space="preserve">Now Jacob lived in the land where his father had sojourned, in the land of Canaan.</w:t>
      </w:r>
    </w:p>
    <w:p>
      <w:r>
        <w:rPr>
          <w:b/>
        </w:rPr>
        <w:t xml:space="preserve">2 </w:t>
      </w:r>
      <w:r>
        <w:t xml:space="preserve">And these are the generations</w:t>
      </w:r>
      <w:r>
        <w:rPr>
          <w:rStyle w:val="FootnoteReference"/>
        </w:rPr>
        <w:footnoteReference w:id="1001"/>
      </w:r>
      <w:r>
        <w:t xml:space="preserve"> of Jacob. Joseph was seventeen years old, shepherding his father's sheep with his brothers, being young, with the sons of Bilhah and with the sons of Zilpah, the wives of his father. And Joseph brought a bad report to Israel their father.</w:t>
      </w:r>
    </w:p>
    <w:p>
      <w:r>
        <w:rPr>
          <w:b/>
        </w:rPr>
        <w:t xml:space="preserve">3 </w:t>
      </w:r>
      <w:r>
        <w:t xml:space="preserve">Now Jacob loved</w:t>
      </w:r>
      <w:r>
        <w:rPr>
          <w:rStyle w:val="FootnoteReference"/>
        </w:rPr>
        <w:footnoteReference w:id="1002"/>
      </w:r>
      <w:r>
        <w:t xml:space="preserve"> Joseph more than all his sons, because he was a son of old age to him. And he made him a varicolored tunic.</w:t>
      </w:r>
    </w:p>
    <w:p>
      <w:r>
        <w:rPr>
          <w:b/>
        </w:rPr>
        <w:t xml:space="preserve">4 </w:t>
      </w:r>
      <w:r>
        <w:t xml:space="preserve">And when his brothers saw that their father loved him more than all his sons, they hated him</w:t>
      </w:r>
      <w:r>
        <w:rPr>
          <w:rStyle w:val="FootnoteReference"/>
        </w:rPr>
        <w:footnoteReference w:id="1003"/>
      </w:r>
      <w:r>
        <w:t xml:space="preserve"> and could not speak anything peaceful to him.</w:t>
      </w:r>
    </w:p>
    <w:p>
      <w:r>
        <w:rPr>
          <w:b/>
        </w:rPr>
        <w:t xml:space="preserve">5 </w:t>
      </w:r>
      <w:r>
        <w:t xml:space="preserve">And Joseph dreamed</w:t>
      </w:r>
      <w:r>
        <w:rPr>
          <w:rStyle w:val="FootnoteReference"/>
        </w:rPr>
        <w:footnoteReference w:id="1004"/>
      </w:r>
      <w:r>
        <w:t xml:space="preserve"> a dream and told it to his brothers.</w:t>
      </w:r>
    </w:p>
    <w:p>
      <w:r>
        <w:rPr>
          <w:b/>
        </w:rPr>
        <w:t xml:space="preserve">6 </w:t>
      </w:r>
      <w:r>
        <w:t xml:space="preserve">And he said to them, Hear</w:t>
      </w:r>
      <w:r>
        <w:rPr>
          <w:rStyle w:val="FootnoteReference"/>
        </w:rPr>
        <w:footnoteReference w:id="1005"/>
      </w:r>
      <w:r>
        <w:t xml:space="preserve"> this dream that I dreamed:</w:t>
      </w:r>
    </w:p>
    <w:p>
      <w:r>
        <w:rPr>
          <w:b/>
        </w:rPr>
        <w:t xml:space="preserve">7 </w:t>
      </w:r>
      <w:r>
        <w:t xml:space="preserve">I thought you were binding sheaves in the middle of the field, and my sheaf rose and stood upright, and your sheaves</w:t>
      </w:r>
      <w:r>
        <w:rPr>
          <w:rStyle w:val="FootnoteReference"/>
        </w:rPr>
        <w:footnoteReference w:id="1006"/>
      </w:r>
      <w:r>
        <w:t xml:space="preserve"> turned around and bowed to my sheaf.</w:t>
      </w:r>
    </w:p>
    <w:p>
      <w:r>
        <w:rPr>
          <w:b/>
        </w:rPr>
        <w:t xml:space="preserve">8 </w:t>
      </w:r>
      <w:r>
        <w:t xml:space="preserve">And his brothers said to him, Reigning will you reign over us</w:t>
      </w:r>
      <w:r>
        <w:rPr>
          <w:rStyle w:val="FootnoteReference"/>
        </w:rPr>
        <w:footnoteReference w:id="1007"/>
      </w:r>
      <w:r>
        <w:t xml:space="preserve">, or ruling will you rule us? And they added still more to hate him because of his dreams and because of his words.</w:t>
      </w:r>
    </w:p>
    <w:p>
      <w:r>
        <w:rPr>
          <w:b/>
        </w:rPr>
        <w:t xml:space="preserve">9 </w:t>
      </w:r>
      <w:r>
        <w:t xml:space="preserve">And he saw another dream</w:t>
      </w:r>
      <w:r>
        <w:rPr>
          <w:rStyle w:val="FootnoteReference"/>
        </w:rPr>
        <w:footnoteReference w:id="1008"/>
      </w:r>
      <w:r>
        <w:t xml:space="preserve"> and told it to his father and to his brothers and said, Look, I dreamed another dream, like the sun and the moon and eleven stars bowing to me.</w:t>
      </w:r>
    </w:p>
    <w:p>
      <w:r>
        <w:rPr>
          <w:b/>
        </w:rPr>
        <w:t xml:space="preserve">10 </w:t>
      </w:r>
      <w:r>
        <w:t xml:space="preserve">And his father rebuked him and said to him, What is this dream that you dreamed? Shall I</w:t>
      </w:r>
      <w:r>
        <w:rPr>
          <w:rStyle w:val="FootnoteReference"/>
        </w:rPr>
        <w:footnoteReference w:id="1009"/>
      </w:r>
      <w:r>
        <w:t xml:space="preserve"> and your mother and your brothers truly come to bow to you on the ground?</w:t>
      </w:r>
    </w:p>
    <w:p>
      <w:r>
        <w:rPr>
          <w:b/>
        </w:rPr>
        <w:t xml:space="preserve">11 </w:t>
      </w:r>
      <w:r>
        <w:t xml:space="preserve">And his brothers envied</w:t>
      </w:r>
      <w:r>
        <w:rPr>
          <w:rStyle w:val="FootnoteReference"/>
        </w:rPr>
        <w:footnoteReference w:id="1010"/>
      </w:r>
      <w:r>
        <w:t xml:space="preserve"> him, but his father kept the saying.</w:t>
      </w:r>
    </w:p>
    <w:p>
      <w:r>
        <w:rPr>
          <w:b/>
        </w:rPr>
        <w:t xml:space="preserve">12 </w:t>
      </w:r>
      <w:r>
        <w:t xml:space="preserve">And his brothers went to pasture their father's sheep</w:t>
      </w:r>
      <w:r>
        <w:rPr>
          <w:rStyle w:val="FootnoteReference"/>
        </w:rPr>
        <w:footnoteReference w:id="1011"/>
      </w:r>
      <w:r>
        <w:t xml:space="preserve"> at Shechem.</w:t>
      </w:r>
    </w:p>
    <w:p>
      <w:r>
        <w:rPr>
          <w:b/>
        </w:rPr>
        <w:t xml:space="preserve">13 </w:t>
      </w:r>
      <w:r>
        <w:t xml:space="preserve">And Israel said to Joseph, Are not your brothers shepherding at Shechem? Come, I will send you to them. And he said to him, Look, I am here.</w:t>
      </w:r>
    </w:p>
    <w:p>
      <w:r>
        <w:rPr>
          <w:b/>
        </w:rPr>
        <w:t xml:space="preserve">14 </w:t>
      </w:r>
      <w:r>
        <w:t xml:space="preserve">And Israel said to him, Go and see whether your brothers are well and whether the sheep are well, and report to me. And he sent him from the valley of Hebron</w:t>
      </w:r>
      <w:r>
        <w:rPr>
          <w:rStyle w:val="FootnoteReference"/>
        </w:rPr>
        <w:footnoteReference w:id="1012"/>
      </w:r>
      <w:r>
        <w:t xml:space="preserve">, and he came to Shechem.</w:t>
      </w:r>
    </w:p>
    <w:p>
      <w:r>
        <w:rPr>
          <w:b/>
        </w:rPr>
        <w:t xml:space="preserve">15 </w:t>
      </w:r>
      <w:r>
        <w:t xml:space="preserve">And a man found him wandering in the field, and the man asked him, saying, What do you seek?</w:t>
      </w:r>
    </w:p>
    <w:p>
      <w:r>
        <w:rPr>
          <w:b/>
        </w:rPr>
        <w:t xml:space="preserve">16 </w:t>
      </w:r>
      <w:r>
        <w:t xml:space="preserve">And he said, I seek</w:t>
      </w:r>
      <w:r>
        <w:rPr>
          <w:rStyle w:val="FootnoteReference"/>
        </w:rPr>
        <w:footnoteReference w:id="1013"/>
      </w:r>
      <w:r>
        <w:t xml:space="preserve"> my brothers. Tell me where they are shepherding.</w:t>
      </w:r>
    </w:p>
    <w:p>
      <w:r>
        <w:rPr>
          <w:b/>
        </w:rPr>
        <w:t xml:space="preserve">17 </w:t>
      </w:r>
      <w:r>
        <w:t xml:space="preserve">And the man said to him, They have departed from here, for I heard them saying, Let us go to Dothan</w:t>
      </w:r>
      <w:r>
        <w:rPr>
          <w:rStyle w:val="FootnoteReference"/>
        </w:rPr>
        <w:footnoteReference w:id="1014"/>
      </w:r>
      <w:r>
        <w:t xml:space="preserve">. And Joseph went after his brothers and found them at Dothan.</w:t>
      </w:r>
      <w:r>
        <w:rPr>
          <w:rStyle w:val="FootnoteReference"/>
        </w:rPr>
        <w:footnoteReference w:id="1015"/>
      </w:r>
    </w:p>
    <w:p>
      <w:r>
        <w:rPr>
          <w:b/>
        </w:rPr>
        <w:t xml:space="preserve">18 </w:t>
      </w:r>
      <w:r>
        <w:t xml:space="preserve">And they saw him from far away before he came near to them, and they plotted wickedly to kill him.</w:t>
      </w:r>
    </w:p>
    <w:p>
      <w:r>
        <w:rPr>
          <w:b/>
        </w:rPr>
        <w:t xml:space="preserve">19 </w:t>
      </w:r>
      <w:r>
        <w:t xml:space="preserve">And each said to his brother, Look, that dreamer</w:t>
      </w:r>
      <w:r>
        <w:rPr>
          <w:rStyle w:val="FootnoteReference"/>
        </w:rPr>
        <w:footnoteReference w:id="1016"/>
      </w:r>
      <w:r>
        <w:t xml:space="preserve"> is coming.</w:t>
      </w:r>
    </w:p>
    <w:p>
      <w:r>
        <w:rPr>
          <w:b/>
        </w:rPr>
        <w:t xml:space="preserve">20 </w:t>
      </w:r>
      <w:r>
        <w:t xml:space="preserve">Now then come, let us kill him and throw him into one of the pits, and we</w:t>
      </w:r>
      <w:r>
        <w:rPr>
          <w:rStyle w:val="FootnoteReference"/>
        </w:rPr>
        <w:footnoteReference w:id="1017"/>
      </w:r>
      <w:r>
        <w:t xml:space="preserve"> will say, An evil beast devoured him. And we will see what his dreams will become.</w:t>
      </w:r>
    </w:p>
    <w:p>
      <w:r>
        <w:rPr>
          <w:b/>
        </w:rPr>
        <w:t xml:space="preserve">21 </w:t>
      </w:r>
      <w:r>
        <w:t xml:space="preserve">And Reuben, hearing, rescued him from their hands and said, Let us not strike him down to death.</w:t>
      </w:r>
    </w:p>
    <w:p>
      <w:r>
        <w:rPr>
          <w:b/>
        </w:rPr>
        <w:t xml:space="preserve">22 </w:t>
      </w:r>
      <w:r>
        <w:t xml:space="preserve">And Reuben said</w:t>
      </w:r>
      <w:r>
        <w:rPr>
          <w:rStyle w:val="FootnoteReference"/>
        </w:rPr>
        <w:footnoteReference w:id="1018"/>
      </w:r>
      <w:r>
        <w:t xml:space="preserve"> to them, Do not shed blood. Throw him into one of these pits in the wilderness, but do not lay a hand on him, so that he might rescue him from their hands and restore him to his father.</w:t>
      </w:r>
    </w:p>
    <w:p>
      <w:r>
        <w:rPr>
          <w:b/>
        </w:rPr>
        <w:t xml:space="preserve">23 </w:t>
      </w:r>
      <w:r>
        <w:t xml:space="preserve">And it happened when Joseph came to his brothers, they stripped Joseph of the varicolored tunic that was around him.</w:t>
      </w:r>
    </w:p>
    <w:p>
      <w:r>
        <w:rPr>
          <w:b/>
        </w:rPr>
        <w:t xml:space="preserve">24 </w:t>
      </w:r>
      <w:r>
        <w:t xml:space="preserve">And taking him, they threw him into the pit</w:t>
      </w:r>
      <w:r>
        <w:rPr>
          <w:rStyle w:val="FootnoteReference"/>
        </w:rPr>
        <w:footnoteReference w:id="1019"/>
      </w:r>
      <w:r>
        <w:t xml:space="preserve">. And the pit was empty; it had no water.</w:t>
      </w:r>
    </w:p>
    <w:p>
      <w:r>
        <w:rPr>
          <w:b/>
        </w:rPr>
        <w:t xml:space="preserve">25 </w:t>
      </w:r>
      <w:r>
        <w:t xml:space="preserve">And they sat</w:t>
      </w:r>
      <w:r>
        <w:rPr>
          <w:rStyle w:val="FootnoteReference"/>
        </w:rPr>
        <w:footnoteReference w:id="1020"/>
      </w:r>
      <w:r>
        <w:t xml:space="preserve"> down to eat bread, and looking up with their eyes they saw, and look, Ishmaelite</w:t>
      </w:r>
      <w:r>
        <w:rPr>
          <w:rStyle w:val="FootnoteReference"/>
        </w:rPr>
        <w:footnoteReference w:id="1021"/>
      </w:r>
      <w:r>
        <w:t xml:space="preserve"> travelers</w:t>
      </w:r>
      <w:r>
        <w:rPr>
          <w:rStyle w:val="FootnoteReference"/>
        </w:rPr>
        <w:footnoteReference w:id="1022"/>
      </w:r>
      <w:r>
        <w:t xml:space="preserve"> were coming from Gilead, and their camels were full of aromatics and resin and stacte, and they were going to carry them down to Egypt.</w:t>
      </w:r>
    </w:p>
    <w:p>
      <w:r>
        <w:rPr>
          <w:b/>
        </w:rPr>
        <w:t xml:space="preserve">26 </w:t>
      </w:r>
      <w:r>
        <w:t xml:space="preserve">And Judah said to his brothers, What profit</w:t>
      </w:r>
      <w:r>
        <w:rPr>
          <w:rStyle w:val="FootnoteReference"/>
        </w:rPr>
        <w:footnoteReference w:id="1023"/>
      </w:r>
      <w:r>
        <w:t xml:space="preserve"> is there if we kill our brother and hide his blood?</w:t>
      </w:r>
    </w:p>
    <w:p>
      <w:r>
        <w:rPr>
          <w:b/>
        </w:rPr>
        <w:t xml:space="preserve">27 </w:t>
      </w:r>
      <w:r>
        <w:t xml:space="preserve">Come, let us sell him</w:t>
      </w:r>
      <w:r>
        <w:rPr>
          <w:rStyle w:val="FootnoteReference"/>
        </w:rPr>
        <w:footnoteReference w:id="1024"/>
      </w:r>
      <w:r>
        <w:t xml:space="preserve"> to these Ishmaelites</w:t>
      </w:r>
      <w:r>
        <w:rPr>
          <w:rStyle w:val="FootnoteReference"/>
        </w:rPr>
        <w:footnoteReference w:id="1025"/>
      </w:r>
      <w:r>
        <w:t xml:space="preserve">, and let not our hands be upon him, because he is our brother and our flesh. And his brothers listened.</w:t>
      </w:r>
    </w:p>
    <w:p>
      <w:r>
        <w:rPr>
          <w:b/>
        </w:rPr>
        <w:t xml:space="preserve">28 </w:t>
      </w:r>
      <w:r>
        <w:t xml:space="preserve">And Midianite</w:t>
      </w:r>
      <w:r>
        <w:rPr>
          <w:rStyle w:val="FootnoteReference"/>
        </w:rPr>
        <w:footnoteReference w:id="1026"/>
      </w:r>
      <w:r>
        <w:t xml:space="preserve"> merchant men passed by, and they drew Joseph up and brought him out of the pit and sold</w:t>
      </w:r>
      <w:r>
        <w:rPr>
          <w:rStyle w:val="FootnoteReference"/>
        </w:rPr>
        <w:footnoteReference w:id="1027"/>
      </w:r>
      <w:r>
        <w:t xml:space="preserve"> Joseph to the Ishmaelites for twenty gold pieces. And they brought Joseph down to Egypt.</w:t>
      </w:r>
    </w:p>
    <w:p>
      <w:r>
        <w:rPr>
          <w:b/>
        </w:rPr>
        <w:t xml:space="preserve">29 </w:t>
      </w:r>
      <w:r>
        <w:t xml:space="preserve">And Reuben returned to the pit and did not see Joseph in the pit. And he tore his garments.</w:t>
      </w:r>
    </w:p>
    <w:p>
      <w:r>
        <w:rPr>
          <w:b/>
        </w:rPr>
        <w:t xml:space="preserve">30 </w:t>
      </w:r>
      <w:r>
        <w:t xml:space="preserve">And he returned to his brothers and said, The child is not there, and I, where shall I still go?</w:t>
      </w:r>
      <w:r>
        <w:rPr>
          <w:rStyle w:val="FootnoteReference"/>
        </w:rPr>
        <w:footnoteReference w:id="1028"/>
      </w:r>
      <w:r>
        <w:t xml:space="preserve"/>
      </w:r>
    </w:p>
    <w:p>
      <w:r>
        <w:rPr>
          <w:b/>
        </w:rPr>
        <w:t xml:space="preserve">31 </w:t>
      </w:r>
      <w:r>
        <w:t xml:space="preserve">And taking Joseph's tunic, they slaughtered a kid of the goats and stained the tunic with blood.</w:t>
      </w:r>
    </w:p>
    <w:p>
      <w:r>
        <w:rPr>
          <w:b/>
        </w:rPr>
        <w:t xml:space="preserve">32 </w:t>
      </w:r>
      <w:r>
        <w:t xml:space="preserve">And they sent the varicolored tunic and brought it to their father. And they said, We found this. Recognize whether it is your son's tunic or not.</w:t>
      </w:r>
    </w:p>
    <w:p>
      <w:r>
        <w:rPr>
          <w:b/>
        </w:rPr>
        <w:t xml:space="preserve">33 </w:t>
      </w:r>
      <w:r>
        <w:t xml:space="preserve">And he recognized it and said, It is my son's tunic. An evil beast</w:t>
      </w:r>
      <w:r>
        <w:rPr>
          <w:rStyle w:val="FootnoteReference"/>
        </w:rPr>
        <w:footnoteReference w:id="1029"/>
      </w:r>
      <w:r>
        <w:t xml:space="preserve"> devoured him. A beast seized Joseph.</w:t>
      </w:r>
    </w:p>
    <w:p>
      <w:r>
        <w:rPr>
          <w:b/>
        </w:rPr>
        <w:t xml:space="preserve">34 </w:t>
      </w:r>
      <w:r>
        <w:t xml:space="preserve">And Jacob tore his garments and put sackcloth on his loins and mourned his son many days.</w:t>
      </w:r>
    </w:p>
    <w:p>
      <w:r>
        <w:rPr>
          <w:b/>
        </w:rPr>
        <w:t xml:space="preserve">35 </w:t>
      </w:r>
      <w:r>
        <w:t xml:space="preserve">And all his sons and daughters gathered and came to comfort him, but he would not be comforted, saying, I will go down mourning to my son into Hades. And his father wept for him.</w:t>
      </w:r>
    </w:p>
    <w:p>
      <w:r>
        <w:rPr>
          <w:b/>
        </w:rPr>
        <w:t xml:space="preserve">36 </w:t>
      </w:r>
      <w:r>
        <w:t xml:space="preserve">And the Midianites</w:t>
      </w:r>
      <w:r>
        <w:rPr>
          <w:rStyle w:val="FootnoteReference"/>
        </w:rPr>
        <w:footnoteReference w:id="1030"/>
      </w:r>
      <w:r>
        <w:t xml:space="preserve"> sold Joseph in Egypt to Potiphar</w:t>
      </w:r>
      <w:r>
        <w:rPr>
          <w:rStyle w:val="FootnoteReference"/>
        </w:rPr>
        <w:footnoteReference w:id="1031"/>
      </w:r>
      <w:r>
        <w:t xml:space="preserve">, Pharaoh's eunuch, the chief-cook.</w:t>
      </w:r>
      <w:r>
        <w:rPr>
          <w:rStyle w:val="FootnoteReference"/>
        </w:rPr>
        <w:footnoteReference w:id="1032"/>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38</w:t>
      </w:r>
    </w:p>
    <w:p>
      <w:r>
        <w:rPr>
          <w:b/>
        </w:rPr>
        <w:t xml:space="preserve">1 </w:t>
      </w:r>
      <w:r>
        <w:t xml:space="preserve">And it happened at that time, Judah went down from his brothers and came as far as a certain Adullamite</w:t>
      </w:r>
      <w:r>
        <w:rPr>
          <w:rStyle w:val="FootnoteReference"/>
        </w:rPr>
        <w:footnoteReference w:id="1033"/>
      </w:r>
      <w:r>
        <w:t xml:space="preserve"> man whose name was Hirah</w:t>
      </w:r>
      <w:r>
        <w:rPr>
          <w:rStyle w:val="FootnoteReference"/>
        </w:rPr>
        <w:footnoteReference w:id="1034"/>
      </w:r>
      <w:r>
        <w:t xml:space="preserve">.</w:t>
      </w:r>
      <w:r>
        <w:rPr>
          <w:rStyle w:val="FootnoteReference"/>
        </w:rPr>
        <w:footnoteReference w:id="1035"/>
      </w:r>
    </w:p>
    <w:p>
      <w:r>
        <w:rPr>
          <w:b/>
        </w:rPr>
        <w:t xml:space="preserve">2 </w:t>
      </w:r>
      <w:r>
        <w:t xml:space="preserve">And Judah saw there the daughter of a Canaanite</w:t>
      </w:r>
      <w:r>
        <w:rPr>
          <w:rStyle w:val="FootnoteReference"/>
        </w:rPr>
        <w:footnoteReference w:id="1036"/>
      </w:r>
      <w:r>
        <w:t xml:space="preserve"> man whose name was Shua</w:t>
      </w:r>
      <w:r>
        <w:rPr>
          <w:rStyle w:val="FootnoteReference"/>
        </w:rPr>
        <w:footnoteReference w:id="1037"/>
      </w:r>
      <w:r>
        <w:t xml:space="preserve">, and he took</w:t>
      </w:r>
      <w:r>
        <w:rPr>
          <w:rStyle w:val="FootnoteReference"/>
        </w:rPr>
        <w:footnoteReference w:id="1038"/>
      </w:r>
      <w:r>
        <w:t xml:space="preserve"> her and went in to her.</w:t>
      </w:r>
    </w:p>
    <w:p>
      <w:r>
        <w:rPr>
          <w:b/>
        </w:rPr>
        <w:t xml:space="preserve">3 </w:t>
      </w:r>
      <w:r>
        <w:t xml:space="preserve">And she conceived and bore a son, and he called his name Er</w:t>
      </w:r>
      <w:r>
        <w:rPr>
          <w:rStyle w:val="FootnoteReference"/>
        </w:rPr>
        <w:footnoteReference w:id="1039"/>
      </w:r>
      <w:r>
        <w:t xml:space="preserve">.</w:t>
      </w:r>
    </w:p>
    <w:p>
      <w:r>
        <w:rPr>
          <w:b/>
        </w:rPr>
        <w:t xml:space="preserve">4 </w:t>
      </w:r>
      <w:r>
        <w:t xml:space="preserve">And again she conceived and bore a son and called his name Onan</w:t>
      </w:r>
      <w:r>
        <w:rPr>
          <w:rStyle w:val="FootnoteReference"/>
        </w:rPr>
        <w:footnoteReference w:id="1040"/>
      </w:r>
      <w:r>
        <w:t xml:space="preserve">.</w:t>
      </w:r>
    </w:p>
    <w:p>
      <w:r>
        <w:rPr>
          <w:b/>
        </w:rPr>
        <w:t xml:space="preserve">5 </w:t>
      </w:r>
      <w:r>
        <w:t xml:space="preserve">And adding again, she bore a son and called his name Shelah</w:t>
      </w:r>
      <w:r>
        <w:rPr>
          <w:rStyle w:val="FootnoteReference"/>
        </w:rPr>
        <w:footnoteReference w:id="1041"/>
      </w:r>
      <w:r>
        <w:t xml:space="preserve">. And she was in Chezib</w:t>
      </w:r>
      <w:r>
        <w:rPr>
          <w:rStyle w:val="FootnoteReference"/>
        </w:rPr>
        <w:footnoteReference w:id="1042"/>
      </w:r>
      <w:r>
        <w:t xml:space="preserve"> when she bore them.</w:t>
      </w:r>
    </w:p>
    <w:p>
      <w:r>
        <w:rPr>
          <w:b/>
        </w:rPr>
        <w:t xml:space="preserve">6 </w:t>
      </w:r>
      <w:r>
        <w:t xml:space="preserve">And Judah took</w:t>
      </w:r>
      <w:r>
        <w:rPr>
          <w:rStyle w:val="FootnoteReference"/>
        </w:rPr>
        <w:footnoteReference w:id="1043"/>
      </w:r>
      <w:r>
        <w:t xml:space="preserve"> a wife for Er his firstborn, whose name was Tamar</w:t>
      </w:r>
      <w:r>
        <w:rPr>
          <w:rStyle w:val="FootnoteReference"/>
        </w:rPr>
        <w:footnoteReference w:id="1044"/>
      </w:r>
      <w:r>
        <w:t xml:space="preserve">.</w:t>
      </w:r>
      <w:r>
        <w:rPr>
          <w:rStyle w:val="FootnoteReference"/>
        </w:rPr>
        <w:footnoteReference w:id="1045"/>
      </w:r>
    </w:p>
    <w:p>
      <w:r>
        <w:rPr>
          <w:b/>
        </w:rPr>
        <w:t xml:space="preserve">7 </w:t>
      </w:r>
      <w:r>
        <w:t xml:space="preserve">And Er, Judah's firstborn, became evil before the Lord, and God killed him.</w:t>
      </w:r>
    </w:p>
    <w:p>
      <w:r>
        <w:rPr>
          <w:b/>
        </w:rPr>
        <w:t xml:space="preserve">8 </w:t>
      </w:r>
      <w:r>
        <w:t xml:space="preserve">And Judah said to Onan, Go in to your brother's wife and perform a brother-in-law's duty for her and raise up seed for your brother.</w:t>
      </w:r>
    </w:p>
    <w:p>
      <w:r>
        <w:rPr>
          <w:b/>
        </w:rPr>
        <w:t xml:space="preserve">9 </w:t>
      </w:r>
      <w:r>
        <w:t xml:space="preserve">And Onan, knowing that the seed would not be his, whenever he went in to his brother's wife, spilled it on the ground so as not to give seed to his brother.</w:t>
      </w:r>
    </w:p>
    <w:p>
      <w:r>
        <w:rPr>
          <w:b/>
        </w:rPr>
        <w:t xml:space="preserve">10 </w:t>
      </w:r>
      <w:r>
        <w:t xml:space="preserve">And what he did appeared evil before God, and he put him to death also.</w:t>
      </w:r>
    </w:p>
    <w:p>
      <w:r>
        <w:rPr>
          <w:b/>
        </w:rPr>
        <w:t xml:space="preserve">11 </w:t>
      </w:r>
      <w:r>
        <w:t xml:space="preserve">And Judah said to Tamar his daughter-in-law, Sit as a widow in your father's house until my son Shelah grows up. For he said, Lest he also die like his brothers. And Tamar went away and sat in her</w:t>
      </w:r>
      <w:r>
        <w:rPr>
          <w:rStyle w:val="FootnoteReference"/>
        </w:rPr>
        <w:footnoteReference w:id="1046"/>
      </w:r>
      <w:r>
        <w:t xml:space="preserve"> father's house.</w:t>
      </w:r>
    </w:p>
    <w:p>
      <w:r>
        <w:rPr>
          <w:b/>
        </w:rPr>
        <w:t xml:space="preserve">12 </w:t>
      </w:r>
      <w:r>
        <w:t xml:space="preserve">And the days multiplied, and Shua, Judah's wife, died. And Judah, having been comforted, went up to those shearing his sheep, he and Hirah his Adullamite shepherd, to Timnath</w:t>
      </w:r>
      <w:r>
        <w:rPr>
          <w:rStyle w:val="FootnoteReference"/>
        </w:rPr>
        <w:footnoteReference w:id="1047"/>
      </w:r>
      <w:r>
        <w:t xml:space="preserve">.</w:t>
      </w:r>
      <w:r>
        <w:rPr>
          <w:rStyle w:val="FootnoteReference"/>
        </w:rPr>
        <w:footnoteReference w:id="1048"/>
      </w:r>
    </w:p>
    <w:p>
      <w:r>
        <w:rPr>
          <w:b/>
        </w:rPr>
        <w:t xml:space="preserve">13 </w:t>
      </w:r>
      <w:r>
        <w:t xml:space="preserve">And it was reported to Tamar, saying, Look, your father-in-law is going up to Timnath to shear his sheep.</w:t>
      </w:r>
      <w:r>
        <w:rPr>
          <w:rStyle w:val="FootnoteReference"/>
        </w:rPr>
        <w:footnoteReference w:id="1049"/>
      </w:r>
    </w:p>
    <w:p>
      <w:r>
        <w:rPr>
          <w:b/>
        </w:rPr>
        <w:t xml:space="preserve">14 </w:t>
      </w:r>
      <w:r>
        <w:t xml:space="preserve">And taking off the garments of her widowhood from herself, she put on a veil and adorned herself</w:t>
      </w:r>
      <w:r>
        <w:rPr>
          <w:rStyle w:val="FootnoteReference"/>
        </w:rPr>
        <w:footnoteReference w:id="1050"/>
      </w:r>
      <w:r>
        <w:t xml:space="preserve"> and sat</w:t>
      </w:r>
      <w:r>
        <w:rPr>
          <w:rStyle w:val="FootnoteReference"/>
        </w:rPr>
        <w:footnoteReference w:id="1051"/>
      </w:r>
      <w:r>
        <w:t xml:space="preserve"> by the gates of Enaim</w:t>
      </w:r>
      <w:r>
        <w:rPr>
          <w:rStyle w:val="FootnoteReference"/>
        </w:rPr>
        <w:footnoteReference w:id="1052"/>
      </w:r>
      <w:r>
        <w:t xml:space="preserve">, which is on the road to Timnath, for she saw that Shelah had grown up and he had not given her to him as wife.</w:t>
      </w:r>
    </w:p>
    <w:p>
      <w:r>
        <w:rPr>
          <w:b/>
        </w:rPr>
        <w:t xml:space="preserve">15 </w:t>
      </w:r>
      <w:r>
        <w:t xml:space="preserve">And Judah, seeing her, thought her to be a prostitute, for she had covered her face and he did not recognize her.</w:t>
      </w:r>
    </w:p>
    <w:p>
      <w:r>
        <w:rPr>
          <w:b/>
        </w:rPr>
        <w:t xml:space="preserve">16 </w:t>
      </w:r>
      <w:r>
        <w:t xml:space="preserve">And he turned aside to her on the road and said to her, Let me come in to you, for he did not know that she was his daughter-in-law. And she said, What will you give me if you come in to me?</w:t>
      </w:r>
    </w:p>
    <w:p>
      <w:r>
        <w:rPr>
          <w:b/>
        </w:rPr>
        <w:t xml:space="preserve">17 </w:t>
      </w:r>
      <w:r>
        <w:t xml:space="preserve">And he said, I will send you a kid of the goats from my flock. And she said, If you will give me a pledge until you send it.</w:t>
      </w:r>
    </w:p>
    <w:p>
      <w:r>
        <w:rPr>
          <w:b/>
        </w:rPr>
        <w:t xml:space="preserve">18 </w:t>
      </w:r>
      <w:r>
        <w:t xml:space="preserve">And he said, What pledge shall I give you? And she said, Your signet and your cord and the staff in your hand. And he gave them to her and went in to her, and she conceived by him.</w:t>
      </w:r>
    </w:p>
    <w:p>
      <w:r>
        <w:rPr>
          <w:b/>
        </w:rPr>
        <w:t xml:space="preserve">19 </w:t>
      </w:r>
      <w:r>
        <w:t xml:space="preserve">And she rose and went away and took off her veil from herself and put on the garments of her widowhood.</w:t>
      </w:r>
    </w:p>
    <w:p>
      <w:r>
        <w:rPr>
          <w:b/>
        </w:rPr>
        <w:t xml:space="preserve">20 </w:t>
      </w:r>
      <w:r>
        <w:t xml:space="preserve">And Judah sent the kid of the goats by the hand of his Adullamite shepherd to receive the pledge from the woman, and he did not find her.</w:t>
      </w:r>
    </w:p>
    <w:p>
      <w:r>
        <w:rPr>
          <w:b/>
        </w:rPr>
        <w:t xml:space="preserve">21 </w:t>
      </w:r>
      <w:r>
        <w:t xml:space="preserve">And he asked the men of the place, Where is the prostitute who was at Enaim by the road? And they said, There was no prostitute here.</w:t>
      </w:r>
    </w:p>
    <w:p>
      <w:r>
        <w:rPr>
          <w:b/>
        </w:rPr>
        <w:t xml:space="preserve">22 </w:t>
      </w:r>
      <w:r>
        <w:t xml:space="preserve">And he returned to Judah and said, I did not find her, and the men of the place say there was no prostitute here.</w:t>
      </w:r>
    </w:p>
    <w:p>
      <w:r>
        <w:rPr>
          <w:b/>
        </w:rPr>
        <w:t xml:space="preserve">23 </w:t>
      </w:r>
      <w:r>
        <w:t xml:space="preserve">And Judah said, Let her keep them, lest perhaps we become a laughingstock. I sent this kid, but you did not find her.</w:t>
      </w:r>
    </w:p>
    <w:p>
      <w:r>
        <w:rPr>
          <w:b/>
        </w:rPr>
        <w:t xml:space="preserve">24 </w:t>
      </w:r>
      <w:r>
        <w:t xml:space="preserve">And it happened after three months, it was reported to Judah, saying, Tamar your daughter-in-law has prostituted herself, and look, she is with child from prostitution</w:t>
      </w:r>
      <w:r>
        <w:rPr>
          <w:rStyle w:val="FootnoteReference"/>
        </w:rPr>
        <w:footnoteReference w:id="1053"/>
      </w:r>
      <w:r>
        <w:t xml:space="preserve">. And Judah said, Bring her out and let her</w:t>
      </w:r>
      <w:r>
        <w:rPr>
          <w:rStyle w:val="FootnoteReference"/>
        </w:rPr>
        <w:footnoteReference w:id="1054"/>
      </w:r>
      <w:r>
        <w:t xml:space="preserve"> be burned.</w:t>
      </w:r>
    </w:p>
    <w:p>
      <w:r>
        <w:rPr>
          <w:b/>
        </w:rPr>
        <w:t xml:space="preserve">25 </w:t>
      </w:r>
      <w:r>
        <w:t xml:space="preserve">And as she was being brought out, she sent to her father-in-law, saying, By the man whose these things are, I am with child. And she said, Recognize whose signet and cord and staff these are.</w:t>
      </w:r>
    </w:p>
    <w:p>
      <w:r>
        <w:rPr>
          <w:b/>
        </w:rPr>
        <w:t xml:space="preserve">26 </w:t>
      </w:r>
      <w:r>
        <w:t xml:space="preserve">And Judah recognized them and said, Tamar is more righteous</w:t>
      </w:r>
      <w:r>
        <w:rPr>
          <w:rStyle w:val="FootnoteReference"/>
        </w:rPr>
        <w:footnoteReference w:id="1055"/>
      </w:r>
      <w:r>
        <w:t xml:space="preserve"> than I, because I did not give her to my son Shelah. And he did not continue to know her.</w:t>
      </w:r>
    </w:p>
    <w:p>
      <w:r>
        <w:rPr>
          <w:b/>
        </w:rPr>
        <w:t xml:space="preserve">27 </w:t>
      </w:r>
      <w:r>
        <w:t xml:space="preserve">And it happened when she was giving birth, that twins were in her womb.</w:t>
      </w:r>
    </w:p>
    <w:p>
      <w:r>
        <w:rPr>
          <w:b/>
        </w:rPr>
        <w:t xml:space="preserve">28 </w:t>
      </w:r>
      <w:r>
        <w:t xml:space="preserve">And it happened while she was giving birth, one put out a hand. And the midwife took it and tied scarlet on his hand, saying, This one will come out first.</w:t>
      </w:r>
    </w:p>
    <w:p>
      <w:r>
        <w:rPr>
          <w:b/>
        </w:rPr>
        <w:t xml:space="preserve">29 </w:t>
      </w:r>
      <w:r>
        <w:t xml:space="preserve">And when he drew back his hand, immediately his brother came out. And she said, Why did a breach break out because of you? And she called his name</w:t>
      </w:r>
      <w:r>
        <w:rPr>
          <w:rStyle w:val="FootnoteReference"/>
        </w:rPr>
        <w:footnoteReference w:id="1056"/>
      </w:r>
      <w:r>
        <w:t xml:space="preserve"> Perez</w:t>
      </w:r>
      <w:r>
        <w:rPr>
          <w:rStyle w:val="FootnoteReference"/>
        </w:rPr>
        <w:footnoteReference w:id="1057"/>
      </w:r>
      <w:r>
        <w:t xml:space="preserve">.</w:t>
      </w:r>
    </w:p>
    <w:p>
      <w:r>
        <w:rPr>
          <w:b/>
        </w:rPr>
        <w:t xml:space="preserve">30 </w:t>
      </w:r>
      <w:r>
        <w:t xml:space="preserve">And after this his brother came out, on whose hand was the scarlet, and she called his name Zerah.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39</w:t>
      </w:r>
    </w:p>
    <w:p>
      <w:r>
        <w:rPr>
          <w:b/>
        </w:rPr>
        <w:t xml:space="preserve">1 </w:t>
      </w:r>
      <w:r>
        <w:t xml:space="preserve">And Joseph</w:t>
      </w:r>
      <w:r>
        <w:rPr>
          <w:rStyle w:val="FootnoteReference"/>
        </w:rPr>
        <w:footnoteReference w:id="1058"/>
      </w:r>
      <w:r>
        <w:t xml:space="preserve"> was brought down to Egypt, and Potiphar, Pharaoh's eunuch, the chief-cook, an Egyptian man, bought him from the hands of the Ishmaelites, who had brought him down there.</w:t>
      </w:r>
    </w:p>
    <w:p>
      <w:r>
        <w:rPr>
          <w:b/>
        </w:rPr>
        <w:t xml:space="preserve">2 </w:t>
      </w:r>
      <w:r>
        <w:t xml:space="preserve">And the Lord</w:t>
      </w:r>
      <w:r>
        <w:rPr>
          <w:rStyle w:val="FootnoteReference"/>
        </w:rPr>
        <w:footnoteReference w:id="1059"/>
      </w:r>
      <w:r>
        <w:t xml:space="preserve"> was with Joseph, and he was a man finding success, and he came to be in the house of his Egyptian master.</w:t>
      </w:r>
    </w:p>
    <w:p>
      <w:r>
        <w:rPr>
          <w:b/>
        </w:rPr>
        <w:t xml:space="preserve">3 </w:t>
      </w:r>
      <w:r>
        <w:t xml:space="preserve">And his master knew that the Lord was with him, and whatever he did, the Lord prospered in his hands.</w:t>
      </w:r>
    </w:p>
    <w:p>
      <w:r>
        <w:rPr>
          <w:b/>
        </w:rPr>
        <w:t xml:space="preserve">4 </w:t>
      </w:r>
      <w:r>
        <w:t xml:space="preserve">And Joseph</w:t>
      </w:r>
      <w:r>
        <w:rPr>
          <w:rStyle w:val="FootnoteReference"/>
        </w:rPr>
        <w:footnoteReference w:id="1060"/>
      </w:r>
      <w:r>
        <w:t xml:space="preserve"> found favor before his master and was well-pleasing to him, and he appointed him over his house, and all that he had he gave into Joseph's hand.</w:t>
      </w:r>
    </w:p>
    <w:p>
      <w:r>
        <w:rPr>
          <w:b/>
        </w:rPr>
        <w:t xml:space="preserve">5 </w:t>
      </w:r>
      <w:r>
        <w:t xml:space="preserve">And it happened after he appointed him over his house and over all that he had, the Lord blessed the Egyptian's house because of Joseph, and the blessing of the Lord came upon all his possessions in the house and in his field.</w:t>
      </w:r>
    </w:p>
    <w:p>
      <w:r>
        <w:rPr>
          <w:b/>
        </w:rPr>
        <w:t xml:space="preserve">6 </w:t>
      </w:r>
      <w:r>
        <w:t xml:space="preserve">And he entrusted all that he had into Joseph's hands, and knew nothing of what belonged to him except the bread he ate. And Joseph was handsome in form and very beautiful in appearance.</w:t>
      </w:r>
    </w:p>
    <w:p>
      <w:r>
        <w:rPr>
          <w:b/>
        </w:rPr>
        <w:t xml:space="preserve">7 </w:t>
      </w:r>
      <w:r>
        <w:t xml:space="preserve">And it happened after these things, his master's wife cast</w:t>
      </w:r>
      <w:r>
        <w:rPr>
          <w:rStyle w:val="FootnoteReference"/>
        </w:rPr>
        <w:footnoteReference w:id="1061"/>
      </w:r>
      <w:r>
        <w:t xml:space="preserve"> her eyes on Joseph and said, Sleep with me.</w:t>
      </w:r>
    </w:p>
    <w:p>
      <w:r>
        <w:rPr>
          <w:b/>
        </w:rPr>
        <w:t xml:space="preserve">8 </w:t>
      </w:r>
      <w:r>
        <w:t xml:space="preserve">But he would not, and he said to his master's wife, If because of me my master</w:t>
      </w:r>
      <w:r>
        <w:rPr>
          <w:rStyle w:val="FootnoteReference"/>
        </w:rPr>
        <w:footnoteReference w:id="1062"/>
      </w:r>
      <w:r>
        <w:t xml:space="preserve"> knows nothing in his house, and all that is his he has given into my hands,</w:t>
      </w:r>
    </w:p>
    <w:p>
      <w:r>
        <w:rPr>
          <w:b/>
        </w:rPr>
        <w:t xml:space="preserve">9 </w:t>
      </w:r>
      <w:r>
        <w:t xml:space="preserve">and nothing in this house is greater than I, nor has he withheld anything from me except you, because you are his wife, how shall I do this evil thing and sin before God?</w:t>
      </w:r>
    </w:p>
    <w:p>
      <w:r>
        <w:rPr>
          <w:b/>
        </w:rPr>
        <w:t xml:space="preserve">10 </w:t>
      </w:r>
      <w:r>
        <w:t xml:space="preserve">And when she spoke to Joseph day after day, he did not heed her, to sleep with her or to be</w:t>
      </w:r>
      <w:r>
        <w:rPr>
          <w:rStyle w:val="FootnoteReference"/>
        </w:rPr>
        <w:footnoteReference w:id="1063"/>
      </w:r>
      <w:r>
        <w:t xml:space="preserve"> with her.</w:t>
      </w:r>
    </w:p>
    <w:p>
      <w:r>
        <w:rPr>
          <w:b/>
        </w:rPr>
        <w:t xml:space="preserve">11 </w:t>
      </w:r>
      <w:r>
        <w:t xml:space="preserve">And it happened on such a day, Joseph entered the house to do his work, and none of the people of the house was inside.</w:t>
      </w:r>
    </w:p>
    <w:p>
      <w:r>
        <w:rPr>
          <w:b/>
        </w:rPr>
        <w:t xml:space="preserve">12 </w:t>
      </w:r>
      <w:r>
        <w:t xml:space="preserve">And she grabbed him by his garments, saying, Sleep with me. But leaving his garments in her hands, he fled and went outside.</w:t>
      </w:r>
    </w:p>
    <w:p>
      <w:r>
        <w:rPr>
          <w:b/>
        </w:rPr>
        <w:t xml:space="preserve">13 </w:t>
      </w:r>
      <w:r>
        <w:t xml:space="preserve">And it happened when she saw that, leaving his garments in her hands, he fled and went outside,</w:t>
      </w:r>
    </w:p>
    <w:p>
      <w:r>
        <w:rPr>
          <w:b/>
        </w:rPr>
        <w:t xml:space="preserve">14 </w:t>
      </w:r>
      <w:r>
        <w:t xml:space="preserve">she called those in the house and said to them, saying, See, he brought in to us a Hebrew servant to mock us. He came</w:t>
      </w:r>
      <w:r>
        <w:rPr>
          <w:rStyle w:val="FootnoteReference"/>
        </w:rPr>
        <w:footnoteReference w:id="1064"/>
      </w:r>
      <w:r>
        <w:t xml:space="preserve"> in to me, saying, Sleep with me, and I cried with a loud voice.</w:t>
      </w:r>
    </w:p>
    <w:p>
      <w:r>
        <w:rPr>
          <w:b/>
        </w:rPr>
        <w:t xml:space="preserve">15 </w:t>
      </w:r>
      <w:r>
        <w:t xml:space="preserve">And when he heard that I lifted my voice and cried, leaving his garments beside me, he fled and went outside.</w:t>
      </w:r>
    </w:p>
    <w:p>
      <w:r>
        <w:rPr>
          <w:b/>
        </w:rPr>
        <w:t xml:space="preserve">16 </w:t>
      </w:r>
      <w:r>
        <w:t xml:space="preserve">And she kept his garments beside herself until his master came into his house.</w:t>
      </w:r>
    </w:p>
    <w:p>
      <w:r>
        <w:rPr>
          <w:b/>
        </w:rPr>
        <w:t xml:space="preserve">17 </w:t>
      </w:r>
      <w:r>
        <w:t xml:space="preserve">And she spoke to him according to these words, saying, The Hebrew servant whom you brought in to us came in to me to mock me and said, I will sleep with you.</w:t>
      </w:r>
    </w:p>
    <w:p>
      <w:r>
        <w:rPr>
          <w:b/>
        </w:rPr>
        <w:t xml:space="preserve">18 </w:t>
      </w:r>
      <w:r>
        <w:t xml:space="preserve">And when he heard that I lifted my voice and cried, leaving his garments beside me, he fled and went outside.</w:t>
      </w:r>
    </w:p>
    <w:p>
      <w:r>
        <w:rPr>
          <w:b/>
        </w:rPr>
        <w:t xml:space="preserve">19 </w:t>
      </w:r>
      <w:r>
        <w:t xml:space="preserve">And it happened when his master heard</w:t>
      </w:r>
      <w:r>
        <w:rPr>
          <w:rStyle w:val="FootnoteReference"/>
        </w:rPr>
        <w:footnoteReference w:id="1065"/>
      </w:r>
      <w:r>
        <w:t xml:space="preserve"> the words of his wife that she spoke to him, saying, Thus your servant did to me, he became angry with wrath.</w:t>
      </w:r>
    </w:p>
    <w:p>
      <w:r>
        <w:rPr>
          <w:b/>
        </w:rPr>
        <w:t xml:space="preserve">20 </w:t>
      </w:r>
      <w:r>
        <w:t xml:space="preserve">And Joseph's master took him and threw him into the fortress, into the place where the king's</w:t>
      </w:r>
      <w:r>
        <w:rPr>
          <w:rStyle w:val="FootnoteReference"/>
        </w:rPr>
        <w:footnoteReference w:id="1066"/>
      </w:r>
      <w:r>
        <w:t xml:space="preserve"> prisoners were kept, there in the fortress.</w:t>
      </w:r>
    </w:p>
    <w:p>
      <w:r>
        <w:rPr>
          <w:b/>
        </w:rPr>
        <w:t xml:space="preserve">21 </w:t>
      </w:r>
      <w:r>
        <w:t xml:space="preserve">And the Lord</w:t>
      </w:r>
      <w:r>
        <w:rPr>
          <w:rStyle w:val="FootnoteReference"/>
        </w:rPr>
        <w:footnoteReference w:id="1067"/>
      </w:r>
      <w:r>
        <w:t xml:space="preserve"> was with Joseph and poured out mercy on him and gave him favor before the chief jailer.</w:t>
      </w:r>
    </w:p>
    <w:p>
      <w:r>
        <w:rPr>
          <w:b/>
        </w:rPr>
        <w:t xml:space="preserve">22 </w:t>
      </w:r>
      <w:r>
        <w:t xml:space="preserve">And the chief jailer gave the prison into Joseph's hand, and all the prisoners, as many as were in the prison, and whatever was done there, he was the one doing it.</w:t>
      </w:r>
    </w:p>
    <w:p>
      <w:r>
        <w:rPr>
          <w:b/>
        </w:rPr>
        <w:t xml:space="preserve">23 </w:t>
      </w:r>
      <w:r>
        <w:t xml:space="preserve">The chief jailer knew nothing because of him, for all things were by Joseph's hand, because the Lord was with him, and whatever he did, the Lord prospered in his hands.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40</w:t>
      </w:r>
    </w:p>
    <w:p>
      <w:r>
        <w:rPr>
          <w:b/>
        </w:rPr>
        <w:t xml:space="preserve">1 </w:t>
      </w:r>
      <w:r>
        <w:t xml:space="preserve">And it happened after these matters, the chief cupbearer of the king of Egypt and the chief baker sinned against their lord, the king of Egypt.</w:t>
      </w:r>
    </w:p>
    <w:p>
      <w:r>
        <w:rPr>
          <w:b/>
        </w:rPr>
        <w:t xml:space="preserve">2 </w:t>
      </w:r>
      <w:r>
        <w:t xml:space="preserve">And Pharaoh grew angry at his two eunuchs, at the chief cupbearer and at the chief baker.</w:t>
      </w:r>
    </w:p>
    <w:p>
      <w:r>
        <w:rPr>
          <w:b/>
        </w:rPr>
        <w:t xml:space="preserve">3 </w:t>
      </w:r>
      <w:r>
        <w:t xml:space="preserve">And he put them under guard in the prison, in the place</w:t>
      </w:r>
      <w:r>
        <w:rPr>
          <w:rStyle w:val="FootnoteReference"/>
        </w:rPr>
        <w:footnoteReference w:id="1068"/>
      </w:r>
      <w:r>
        <w:t xml:space="preserve"> where Joseph had been led away there.</w:t>
      </w:r>
    </w:p>
    <w:p>
      <w:r>
        <w:rPr>
          <w:b/>
        </w:rPr>
        <w:t xml:space="preserve">4 </w:t>
      </w:r>
      <w:r>
        <w:t xml:space="preserve">And the chief jailer assigned them to Joseph, and he attended them. And they were some days under guard.</w:t>
      </w:r>
    </w:p>
    <w:p>
      <w:r>
        <w:rPr>
          <w:b/>
        </w:rPr>
        <w:t xml:space="preserve">5 </w:t>
      </w:r>
      <w:r>
        <w:t xml:space="preserve">And both saw a dream in one night. And this was the vision of the dream of the chief cupbearer and chief baker of the king of Egypt, who were in the prison.</w:t>
      </w:r>
    </w:p>
    <w:p>
      <w:r>
        <w:rPr>
          <w:b/>
        </w:rPr>
        <w:t xml:space="preserve">6 </w:t>
      </w:r>
      <w:r>
        <w:t xml:space="preserve">And Joseph came in to them in the morning and saw them, and they were troubled.</w:t>
      </w:r>
    </w:p>
    <w:p>
      <w:r>
        <w:rPr>
          <w:b/>
        </w:rPr>
        <w:t xml:space="preserve">7 </w:t>
      </w:r>
      <w:r>
        <w:t xml:space="preserve">And he asked Pharaoh's eunuchs, who were with him under guard in his master's house, saying, Why are your faces gloomy today?</w:t>
      </w:r>
    </w:p>
    <w:p>
      <w:r>
        <w:rPr>
          <w:b/>
        </w:rPr>
        <w:t xml:space="preserve">8 </w:t>
      </w:r>
      <w:r>
        <w:t xml:space="preserve">And they said to him, We have seen a dream, and there is no one to interpret it. And Joseph said to them, Are not their explanations through God? Tell them to me, then.</w:t>
      </w:r>
    </w:p>
    <w:p>
      <w:r>
        <w:rPr>
          <w:b/>
        </w:rPr>
        <w:t xml:space="preserve">9 </w:t>
      </w:r>
      <w:r>
        <w:t xml:space="preserve">And the chief cupbearer told his dream to Joseph and said, In my sleep there was a vine</w:t>
      </w:r>
      <w:r>
        <w:rPr>
          <w:rStyle w:val="FootnoteReference"/>
        </w:rPr>
        <w:footnoteReference w:id="1069"/>
      </w:r>
      <w:r>
        <w:t xml:space="preserve"> before me.</w:t>
      </w:r>
    </w:p>
    <w:p>
      <w:r>
        <w:rPr>
          <w:b/>
        </w:rPr>
        <w:t xml:space="preserve">10 </w:t>
      </w:r>
      <w:r>
        <w:t xml:space="preserve">And on the vine were three stems, and it was budding, bringing up shoots. Its grape-clusters were ripe.</w:t>
      </w:r>
    </w:p>
    <w:p>
      <w:r>
        <w:rPr>
          <w:b/>
        </w:rPr>
        <w:t xml:space="preserve">11 </w:t>
      </w:r>
      <w:r>
        <w:t xml:space="preserve">And Pharaoh's cup was in my hand</w:t>
      </w:r>
      <w:r>
        <w:rPr>
          <w:rStyle w:val="FootnoteReference"/>
        </w:rPr>
        <w:footnoteReference w:id="1070"/>
      </w:r>
      <w:r>
        <w:t xml:space="preserve">. And I took the grapes and squeezed them into the cup and gave the cup into Pharaoh's hand.</w:t>
      </w:r>
    </w:p>
    <w:p>
      <w:r>
        <w:rPr>
          <w:b/>
        </w:rPr>
        <w:t xml:space="preserve">12 </w:t>
      </w:r>
      <w:r>
        <w:t xml:space="preserve">And Joseph said to him, This is its interpretation: the three</w:t>
      </w:r>
      <w:r>
        <w:rPr>
          <w:rStyle w:val="FootnoteReference"/>
        </w:rPr>
        <w:footnoteReference w:id="1071"/>
      </w:r>
      <w:r>
        <w:t xml:space="preserve"> stems are three days.</w:t>
      </w:r>
    </w:p>
    <w:p>
      <w:r>
        <w:rPr>
          <w:b/>
        </w:rPr>
        <w:t xml:space="preserve">13 </w:t>
      </w:r>
      <w:r>
        <w:t xml:space="preserve">Yet three days and Pharaoh will remember your office and restore you to your chief-cupbearing, and you will give Pharaoh's cup into his hand according to your former office, as when you were cupbearer.</w:t>
      </w:r>
    </w:p>
    <w:p>
      <w:r>
        <w:rPr>
          <w:b/>
        </w:rPr>
        <w:t xml:space="preserve">14 </w:t>
      </w:r>
      <w:r>
        <w:t xml:space="preserve">But remember me because of yourself when it goes well with you, and show</w:t>
      </w:r>
      <w:r>
        <w:rPr>
          <w:rStyle w:val="FootnoteReference"/>
        </w:rPr>
        <w:footnoteReference w:id="1072"/>
      </w:r>
      <w:r>
        <w:t xml:space="preserve"> mercy to me and make mention of me to Pharaoh and bring me out of this fortress.</w:t>
      </w:r>
    </w:p>
    <w:p>
      <w:r>
        <w:rPr>
          <w:b/>
        </w:rPr>
        <w:t xml:space="preserve">15 </w:t>
      </w:r>
      <w:r>
        <w:t xml:space="preserve">Because by theft I was stolen</w:t>
      </w:r>
      <w:r>
        <w:rPr>
          <w:rStyle w:val="FootnoteReference"/>
        </w:rPr>
        <w:footnoteReference w:id="1073"/>
      </w:r>
      <w:r>
        <w:t xml:space="preserve"> from the land of the Hebrews</w:t>
      </w:r>
      <w:r>
        <w:rPr>
          <w:rStyle w:val="FootnoteReference"/>
        </w:rPr>
        <w:footnoteReference w:id="1074"/>
      </w:r>
      <w:r>
        <w:t xml:space="preserve">, and here also I did nothing, yet they threw me into this pit.</w:t>
      </w:r>
    </w:p>
    <w:p>
      <w:r>
        <w:rPr>
          <w:b/>
        </w:rPr>
        <w:t xml:space="preserve">16 </w:t>
      </w:r>
      <w:r>
        <w:t xml:space="preserve">And the chief</w:t>
      </w:r>
      <w:r>
        <w:rPr>
          <w:rStyle w:val="FootnoteReference"/>
        </w:rPr>
        <w:footnoteReference w:id="1075"/>
      </w:r>
      <w:r>
        <w:t xml:space="preserve"> baker saw that he interpreted rightly and said to Joseph, I also saw a dream, and I thought I was carrying three baskets of pastry on my head.</w:t>
      </w:r>
    </w:p>
    <w:p>
      <w:r>
        <w:rPr>
          <w:b/>
        </w:rPr>
        <w:t xml:space="preserve">17 </w:t>
      </w:r>
      <w:r>
        <w:t xml:space="preserve">And in the upper basket were all kinds of things that Pharaoh eats, the work of a baker, and the birds of heaven were eating them from the basket on top of my head.</w:t>
      </w:r>
    </w:p>
    <w:p>
      <w:r>
        <w:rPr>
          <w:b/>
        </w:rPr>
        <w:t xml:space="preserve">18 </w:t>
      </w:r>
      <w:r>
        <w:t xml:space="preserve">And Joseph answered and said to him, This is its interpretation: the three baskets are three days.</w:t>
      </w:r>
    </w:p>
    <w:p>
      <w:r>
        <w:rPr>
          <w:b/>
        </w:rPr>
        <w:t xml:space="preserve">19 </w:t>
      </w:r>
      <w:r>
        <w:t xml:space="preserve">Yet three days and Pharaoh will lift your head from off you and hang you on a tree, and the birds</w:t>
      </w:r>
      <w:r>
        <w:rPr>
          <w:rStyle w:val="FootnoteReference"/>
        </w:rPr>
        <w:footnoteReference w:id="1076"/>
      </w:r>
      <w:r>
        <w:t xml:space="preserve"> of heaven will eat your flesh from off you.</w:t>
      </w:r>
    </w:p>
    <w:p>
      <w:r>
        <w:rPr>
          <w:b/>
        </w:rPr>
        <w:t xml:space="preserve">20 </w:t>
      </w:r>
      <w:r>
        <w:t xml:space="preserve">And it happened on the third day</w:t>
      </w:r>
      <w:r>
        <w:rPr>
          <w:rStyle w:val="FootnoteReference"/>
        </w:rPr>
        <w:footnoteReference w:id="1077"/>
      </w:r>
      <w:r>
        <w:t xml:space="preserve">, Pharaoh's birthday, he made a drinking-feast for all his servants. And he remembered the office of the cupbearer and the office of the baker among his servants.</w:t>
      </w:r>
    </w:p>
    <w:p>
      <w:r>
        <w:rPr>
          <w:b/>
        </w:rPr>
        <w:t xml:space="preserve">21 </w:t>
      </w:r>
      <w:r>
        <w:t xml:space="preserve">And he restored the chief cupbearer to his office, and he gave the cup</w:t>
      </w:r>
      <w:r>
        <w:rPr>
          <w:rStyle w:val="FootnoteReference"/>
        </w:rPr>
        <w:footnoteReference w:id="1078"/>
      </w:r>
      <w:r>
        <w:t xml:space="preserve"> into Pharaoh's hand.</w:t>
      </w:r>
    </w:p>
    <w:p>
      <w:r>
        <w:rPr>
          <w:b/>
        </w:rPr>
        <w:t xml:space="preserve">22 </w:t>
      </w:r>
      <w:r>
        <w:t xml:space="preserve">But the chief baker he hanged</w:t>
      </w:r>
      <w:r>
        <w:rPr>
          <w:rStyle w:val="FootnoteReference"/>
        </w:rPr>
        <w:footnoteReference w:id="1079"/>
      </w:r>
      <w:r>
        <w:t xml:space="preserve">, just as Joseph had interpreted to them.</w:t>
      </w:r>
    </w:p>
    <w:p>
      <w:r>
        <w:rPr>
          <w:b/>
        </w:rPr>
        <w:t xml:space="preserve">23 </w:t>
      </w:r>
      <w:r>
        <w:t xml:space="preserve">And the chief cupbearer did not remember Joseph, but forgot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41</w:t>
      </w:r>
    </w:p>
    <w:p>
      <w:r>
        <w:rPr>
          <w:b/>
        </w:rPr>
        <w:t xml:space="preserve">1 </w:t>
      </w:r>
      <w:r>
        <w:t xml:space="preserve">And it happened after two full years</w:t>
      </w:r>
      <w:r>
        <w:rPr>
          <w:rStyle w:val="FootnoteReference"/>
        </w:rPr>
        <w:footnoteReference w:id="1080"/>
      </w:r>
      <w:r>
        <w:t xml:space="preserve">, Pharaoh saw a dream. He thought he was standing by the river.</w:t>
      </w:r>
    </w:p>
    <w:p>
      <w:r>
        <w:rPr>
          <w:b/>
        </w:rPr>
        <w:t xml:space="preserve">2 </w:t>
      </w:r>
      <w:r>
        <w:t xml:space="preserve">And look, as though out of the river seven cows were coming up, beautiful in appearance and choice in flesh, and they were grazing among the reeds.</w:t>
      </w:r>
    </w:p>
    <w:p>
      <w:r>
        <w:rPr>
          <w:b/>
        </w:rPr>
        <w:t xml:space="preserve">3 </w:t>
      </w:r>
      <w:r>
        <w:t xml:space="preserve">And seven other cows came up after these out of the river, ugly in appearance and thin in flesh, and they were feeding beside the cows on the bank of the river.</w:t>
      </w:r>
    </w:p>
    <w:p>
      <w:r>
        <w:rPr>
          <w:b/>
        </w:rPr>
        <w:t xml:space="preserve">4 </w:t>
      </w:r>
      <w:r>
        <w:t xml:space="preserve">And the seven cows ugly in appearance and thin in flesh devoured the seven cows beautiful in appearance and choice in flesh. And Pharaoh woke up.</w:t>
      </w:r>
    </w:p>
    <w:p>
      <w:r>
        <w:rPr>
          <w:b/>
        </w:rPr>
        <w:t xml:space="preserve">5 </w:t>
      </w:r>
      <w:r>
        <w:t xml:space="preserve">And he dreamed a second time, and look, seven ears were coming up on one stalk, choice and good.</w:t>
      </w:r>
    </w:p>
    <w:p>
      <w:r>
        <w:rPr>
          <w:b/>
        </w:rPr>
        <w:t xml:space="preserve">6 </w:t>
      </w:r>
      <w:r>
        <w:t xml:space="preserve">And look, seven thin ears, wind-stricken, sprang up after them.</w:t>
      </w:r>
    </w:p>
    <w:p>
      <w:r>
        <w:rPr>
          <w:b/>
        </w:rPr>
        <w:t xml:space="preserve">7 </w:t>
      </w:r>
      <w:r>
        <w:t xml:space="preserve">And the seven thin ears, wind-stricken, swallowed the seven choice and full ears. And Pharaoh woke up, and it was a dream</w:t>
      </w:r>
      <w:r>
        <w:rPr>
          <w:rStyle w:val="FootnoteReference"/>
        </w:rPr>
        <w:footnoteReference w:id="1081"/>
      </w:r>
      <w:r>
        <w:t xml:space="preserve">.</w:t>
      </w:r>
    </w:p>
    <w:p>
      <w:r>
        <w:rPr>
          <w:b/>
        </w:rPr>
        <w:t xml:space="preserve">8 </w:t>
      </w:r>
      <w:r>
        <w:t xml:space="preserve">And it happened in the morning, his soul was troubled, and he sent and called all the interpreters of Egypt and all its wise men, and Pharaoh told them his dream, and there was no one to declare it to Pharaoh.</w:t>
      </w:r>
    </w:p>
    <w:p>
      <w:r>
        <w:rPr>
          <w:b/>
        </w:rPr>
        <w:t xml:space="preserve">9 </w:t>
      </w:r>
      <w:r>
        <w:t xml:space="preserve">And the chief cupbearer spoke to Pharaoh, saying, I remember my sin today.</w:t>
      </w:r>
    </w:p>
    <w:p>
      <w:r>
        <w:rPr>
          <w:b/>
        </w:rPr>
        <w:t xml:space="preserve">10 </w:t>
      </w:r>
      <w:r>
        <w:t xml:space="preserve">Pharaoh</w:t>
      </w:r>
      <w:r>
        <w:rPr>
          <w:rStyle w:val="FootnoteReference"/>
        </w:rPr>
        <w:footnoteReference w:id="1082"/>
      </w:r>
      <w:r>
        <w:t xml:space="preserve"> grew angry at his servants and put us under guard in the house of the chief-cook, both me and the chief baker.</w:t>
      </w:r>
    </w:p>
    <w:p>
      <w:r>
        <w:rPr>
          <w:b/>
        </w:rPr>
        <w:t xml:space="preserve">11 </w:t>
      </w:r>
      <w:r>
        <w:t xml:space="preserve">And both of us saw a dream in one night, I and he. Each of us saw according to his own dream.</w:t>
      </w:r>
      <w:r>
        <w:rPr>
          <w:rStyle w:val="FootnoteReference"/>
        </w:rPr>
        <w:footnoteReference w:id="1083"/>
      </w:r>
      <w:r>
        <w:t xml:space="preserve"/>
      </w:r>
    </w:p>
    <w:p>
      <w:r>
        <w:rPr>
          <w:b/>
        </w:rPr>
        <w:t xml:space="preserve">12 </w:t>
      </w:r>
      <w:r>
        <w:t xml:space="preserve">And there was with us there a young Hebrew servant</w:t>
      </w:r>
      <w:r>
        <w:rPr>
          <w:rStyle w:val="FootnoteReference"/>
        </w:rPr>
        <w:footnoteReference w:id="1084"/>
      </w:r>
      <w:r>
        <w:t xml:space="preserve"> of the chief-cook, and we told him, and he interpreted for us.</w:t>
      </w:r>
    </w:p>
    <w:p>
      <w:r>
        <w:rPr>
          <w:b/>
        </w:rPr>
        <w:t xml:space="preserve">13 </w:t>
      </w:r>
      <w:r>
        <w:t xml:space="preserve">And as he interpreted to us, so also it happened. I was restored to my office, and that man was hanged.</w:t>
      </w:r>
    </w:p>
    <w:p>
      <w:r>
        <w:rPr>
          <w:b/>
        </w:rPr>
        <w:t xml:space="preserve">14 </w:t>
      </w:r>
      <w:r>
        <w:t xml:space="preserve">And Pharaoh sent</w:t>
      </w:r>
      <w:r>
        <w:rPr>
          <w:rStyle w:val="FootnoteReference"/>
        </w:rPr>
        <w:footnoteReference w:id="1085"/>
      </w:r>
      <w:r>
        <w:t xml:space="preserve"> and called Joseph, and they brought him out of the fortress and shaved him and changed his clothing, and he came to Pharaoh.</w:t>
      </w:r>
    </w:p>
    <w:p>
      <w:r>
        <w:rPr>
          <w:b/>
        </w:rPr>
        <w:t xml:space="preserve">15 </w:t>
      </w:r>
      <w:r>
        <w:t xml:space="preserve">And Pharaoh said to Joseph, I have seen a dream, and there is no one to interpret it. But I have heard</w:t>
      </w:r>
      <w:r>
        <w:rPr>
          <w:rStyle w:val="FootnoteReference"/>
        </w:rPr>
        <w:footnoteReference w:id="1086"/>
      </w:r>
      <w:r>
        <w:t xml:space="preserve"> concerning you, men saying that when you hear dreams, you interpret them.</w:t>
      </w:r>
    </w:p>
    <w:p>
      <w:r>
        <w:rPr>
          <w:b/>
        </w:rPr>
        <w:t xml:space="preserve">16 </w:t>
      </w:r>
      <w:r>
        <w:t xml:space="preserve">And Joseph answered Pharaoh and said, Apart from God, no answer of safety will be given to Pharaoh.</w:t>
      </w:r>
    </w:p>
    <w:p>
      <w:r>
        <w:rPr>
          <w:b/>
        </w:rPr>
        <w:t xml:space="preserve">17 </w:t>
      </w:r>
      <w:r>
        <w:t xml:space="preserve">And Pharaoh spoke to Joseph, saying, In my dream I thought I was standing by the bank of the river.</w:t>
      </w:r>
    </w:p>
    <w:p>
      <w:r>
        <w:rPr>
          <w:b/>
        </w:rPr>
        <w:t xml:space="preserve">18 </w:t>
      </w:r>
      <w:r>
        <w:t xml:space="preserve">And as though out of the river seven cows were coming up, beautiful in appearance and choice in flesh, and they were feeding among the reeds.</w:t>
      </w:r>
    </w:p>
    <w:p>
      <w:r>
        <w:rPr>
          <w:b/>
        </w:rPr>
        <w:t xml:space="preserve">19 </w:t>
      </w:r>
      <w:r>
        <w:t xml:space="preserve">And look, seven other cows came up after them out of the river, evil and ugly in appearance and thin in flesh, such that I never saw uglier ones in all the land of Egypt.</w:t>
      </w:r>
    </w:p>
    <w:p>
      <w:r>
        <w:rPr>
          <w:b/>
        </w:rPr>
        <w:t xml:space="preserve">20 </w:t>
      </w:r>
      <w:r>
        <w:t xml:space="preserve">And the seven cows ugly and thin devoured the seven first cows, the beautiful ones and the choice ones.</w:t>
      </w:r>
      <w:r>
        <w:rPr>
          <w:rStyle w:val="FootnoteReference"/>
        </w:rPr>
        <w:footnoteReference w:id="1087"/>
      </w:r>
    </w:p>
    <w:p>
      <w:r>
        <w:rPr>
          <w:b/>
        </w:rPr>
        <w:t xml:space="preserve">21 </w:t>
      </w:r>
      <w:r>
        <w:t xml:space="preserve">And they went into their bellies, and it was not evident that they had gone into their bellies, and their appearance remained ugly as at the beginning. And after I woke, I slept.</w:t>
      </w:r>
    </w:p>
    <w:p>
      <w:r>
        <w:rPr>
          <w:b/>
        </w:rPr>
        <w:t xml:space="preserve">22 </w:t>
      </w:r>
      <w:r>
        <w:t xml:space="preserve">And I saw again in my sleep, and as though seven ears were coming up on one stalk, full and good.</w:t>
      </w:r>
    </w:p>
    <w:p>
      <w:r>
        <w:rPr>
          <w:b/>
        </w:rPr>
        <w:t xml:space="preserve">23 </w:t>
      </w:r>
      <w:r>
        <w:t xml:space="preserve">And seven other ears, thin</w:t>
      </w:r>
      <w:r>
        <w:rPr>
          <w:rStyle w:val="FootnoteReference"/>
        </w:rPr>
        <w:footnoteReference w:id="1088"/>
      </w:r>
      <w:r>
        <w:t xml:space="preserve"> and wind-stricken, sprang up close after them.</w:t>
      </w:r>
    </w:p>
    <w:p>
      <w:r>
        <w:rPr>
          <w:b/>
        </w:rPr>
        <w:t xml:space="preserve">24 </w:t>
      </w:r>
      <w:r>
        <w:t xml:space="preserve">And the seven thin and wind-stricken ears swallowed the seven good and full ears. So I told the interpreters, and there was no one to declare it to me.</w:t>
      </w:r>
    </w:p>
    <w:p>
      <w:r>
        <w:rPr>
          <w:b/>
        </w:rPr>
        <w:t xml:space="preserve">25 </w:t>
      </w:r>
      <w:r>
        <w:t xml:space="preserve">And Joseph said to Pharaoh, Pharaoh's dream is one. What God is doing he has shown to Pharaoh.</w:t>
      </w:r>
    </w:p>
    <w:p>
      <w:r>
        <w:rPr>
          <w:b/>
        </w:rPr>
        <w:t xml:space="preserve">26 </w:t>
      </w:r>
      <w:r>
        <w:t xml:space="preserve">The seven good cows are seven years, and the seven good ears are seven</w:t>
      </w:r>
      <w:r>
        <w:rPr>
          <w:rStyle w:val="FootnoteReference"/>
        </w:rPr>
        <w:footnoteReference w:id="1089"/>
      </w:r>
      <w:r>
        <w:t xml:space="preserve"> years. Pharaoh's dream is one.</w:t>
      </w:r>
    </w:p>
    <w:p>
      <w:r>
        <w:rPr>
          <w:b/>
        </w:rPr>
        <w:t xml:space="preserve">27 </w:t>
      </w:r>
      <w:r>
        <w:t xml:space="preserve">And the seven thin cows coming up after them are seven years, and the seven thin ears, wind-stricken, will be seven years of famine</w:t>
      </w:r>
      <w:r>
        <w:rPr>
          <w:rStyle w:val="FootnoteReference"/>
        </w:rPr>
        <w:footnoteReference w:id="1090"/>
      </w:r>
      <w:r>
        <w:t xml:space="preserve">.</w:t>
      </w:r>
    </w:p>
    <w:p>
      <w:r>
        <w:rPr>
          <w:b/>
        </w:rPr>
        <w:t xml:space="preserve">28 </w:t>
      </w:r>
      <w:r>
        <w:t xml:space="preserve">This is the word I spoke to Pharaoh: what God</w:t>
      </w:r>
      <w:r>
        <w:rPr>
          <w:rStyle w:val="FootnoteReference"/>
        </w:rPr>
        <w:footnoteReference w:id="1091"/>
      </w:r>
      <w:r>
        <w:t xml:space="preserve"> is doing he has shown to Pharaoh.</w:t>
      </w:r>
    </w:p>
    <w:p>
      <w:r>
        <w:rPr>
          <w:b/>
        </w:rPr>
        <w:t xml:space="preserve">29 </w:t>
      </w:r>
      <w:r>
        <w:t xml:space="preserve">Look, seven years of great plenty are coming in all the land of Egypt.</w:t>
      </w:r>
    </w:p>
    <w:p>
      <w:r>
        <w:rPr>
          <w:b/>
        </w:rPr>
        <w:t xml:space="preserve">30 </w:t>
      </w:r>
      <w:r>
        <w:t xml:space="preserve">But seven years</w:t>
      </w:r>
      <w:r>
        <w:rPr>
          <w:rStyle w:val="FootnoteReference"/>
        </w:rPr>
        <w:footnoteReference w:id="1092"/>
      </w:r>
      <w:r>
        <w:t xml:space="preserve"> of famine will come after these, and the plenty that was in all Egypt will be forgotten, and the famine will consume the land.</w:t>
      </w:r>
    </w:p>
    <w:p>
      <w:r>
        <w:rPr>
          <w:b/>
        </w:rPr>
        <w:t xml:space="preserve">31 </w:t>
      </w:r>
      <w:r>
        <w:t xml:space="preserve">And the plenty will not be recognized on the land because of the famine coming after this, for it will be very severe.</w:t>
      </w:r>
    </w:p>
    <w:p>
      <w:r>
        <w:rPr>
          <w:b/>
        </w:rPr>
        <w:t xml:space="preserve">32 </w:t>
      </w:r>
      <w:r>
        <w:t xml:space="preserve">And because Pharaoh's dream was doubled</w:t>
      </w:r>
      <w:r>
        <w:rPr>
          <w:rStyle w:val="FootnoteReference"/>
        </w:rPr>
        <w:footnoteReference w:id="1093"/>
      </w:r>
      <w:r>
        <w:t xml:space="preserve"> twice, the thing will be true from God, and God will hasten to do it.</w:t>
      </w:r>
    </w:p>
    <w:p>
      <w:r>
        <w:rPr>
          <w:b/>
        </w:rPr>
        <w:t xml:space="preserve">33 </w:t>
      </w:r>
      <w:r>
        <w:t xml:space="preserve">Now then, look for a prudent and understanding man and appoint him over the land of Egypt.</w:t>
      </w:r>
    </w:p>
    <w:p>
      <w:r>
        <w:rPr>
          <w:b/>
        </w:rPr>
        <w:t xml:space="preserve">34 </w:t>
      </w:r>
      <w:r>
        <w:t xml:space="preserve">And let Pharaoh act and appoint local governors over the land, and let them take up a fifth of all the produce of the land of Egypt during the seven years of plenty.</w:t>
      </w:r>
    </w:p>
    <w:p>
      <w:r>
        <w:rPr>
          <w:b/>
        </w:rPr>
        <w:t xml:space="preserve">35 </w:t>
      </w:r>
      <w:r>
        <w:t xml:space="preserve">And let them gather</w:t>
      </w:r>
      <w:r>
        <w:rPr>
          <w:rStyle w:val="FootnoteReference"/>
        </w:rPr>
        <w:footnoteReference w:id="1094"/>
      </w:r>
      <w:r>
        <w:t xml:space="preserve"> all the food of these coming good years, and let grain be gathered under Pharaoh's hand. Let food be kept in the cities.</w:t>
      </w:r>
    </w:p>
    <w:p>
      <w:r>
        <w:rPr>
          <w:b/>
        </w:rPr>
        <w:t xml:space="preserve">36 </w:t>
      </w:r>
      <w:r>
        <w:t xml:space="preserve">And the stored food will be for the land against the seven years of famine that will be in the land of Egypt, and the land will not be destroyed by the famine.</w:t>
      </w:r>
    </w:p>
    <w:p>
      <w:r>
        <w:rPr>
          <w:b/>
        </w:rPr>
        <w:t xml:space="preserve">37 </w:t>
      </w:r>
      <w:r>
        <w:t xml:space="preserve">And the word pleased Pharaoh and all his servants.</w:t>
      </w:r>
    </w:p>
    <w:p>
      <w:r>
        <w:rPr>
          <w:b/>
        </w:rPr>
        <w:t xml:space="preserve">38 </w:t>
      </w:r>
      <w:r>
        <w:t xml:space="preserve">And Pharaoh said to all his servants, Shall we find another man like this, who has the spirit of God in him?</w:t>
      </w:r>
    </w:p>
    <w:p>
      <w:r>
        <w:rPr>
          <w:b/>
        </w:rPr>
        <w:t xml:space="preserve">39 </w:t>
      </w:r>
      <w:r>
        <w:t xml:space="preserve">And Pharaoh said to Joseph, Since God has shown you all these things, there is no one more prudent and more understanding than you.</w:t>
      </w:r>
    </w:p>
    <w:p>
      <w:r>
        <w:rPr>
          <w:b/>
        </w:rPr>
        <w:t xml:space="preserve">40 </w:t>
      </w:r>
      <w:r>
        <w:t xml:space="preserve">You will be over my house, and by your mouth all my people will obey. Only in the throne will I be above you.</w:t>
      </w:r>
    </w:p>
    <w:p>
      <w:r>
        <w:rPr>
          <w:b/>
        </w:rPr>
        <w:t xml:space="preserve">41 </w:t>
      </w:r>
      <w:r>
        <w:t xml:space="preserve">And Pharaoh said to Joseph, Look, I appoint you today over all the land of Egypt.</w:t>
      </w:r>
    </w:p>
    <w:p>
      <w:r>
        <w:rPr>
          <w:b/>
        </w:rPr>
        <w:t xml:space="preserve">42 </w:t>
      </w:r>
      <w:r>
        <w:t xml:space="preserve">And Pharaoh took the ring from his hand and put it on Joseph's hand and clothed him in a linen robe and put a golden collar around his neck.</w:t>
      </w:r>
    </w:p>
    <w:p>
      <w:r>
        <w:rPr>
          <w:b/>
        </w:rPr>
        <w:t xml:space="preserve">43 </w:t>
      </w:r>
      <w:r>
        <w:t xml:space="preserve">And he mounted him on his second chariot, and a herald cried before him</w:t>
      </w:r>
      <w:r>
        <w:rPr>
          <w:rStyle w:val="FootnoteReference"/>
        </w:rPr>
        <w:footnoteReference w:id="1095"/>
      </w:r>
      <w:r>
        <w:t xml:space="preserve">. And he set him over all the land of Egypt.</w:t>
      </w:r>
    </w:p>
    <w:p>
      <w:r>
        <w:rPr>
          <w:b/>
        </w:rPr>
        <w:t xml:space="preserve">44 </w:t>
      </w:r>
      <w:r>
        <w:t xml:space="preserve">And Pharaoh said to Joseph, I am Pharaoh. Without you no one will lift his hand over all the land of Egypt.</w:t>
      </w:r>
    </w:p>
    <w:p>
      <w:r>
        <w:rPr>
          <w:b/>
        </w:rPr>
        <w:t xml:space="preserve">45 </w:t>
      </w:r>
      <w:r>
        <w:t xml:space="preserve">And Pharaoh called Joseph's name Zaphnathpaaneah</w:t>
      </w:r>
      <w:r>
        <w:rPr>
          <w:rStyle w:val="FootnoteReference"/>
        </w:rPr>
        <w:footnoteReference w:id="1096"/>
      </w:r>
      <w:r>
        <w:t xml:space="preserve">, and he gave him Asenath</w:t>
      </w:r>
      <w:r>
        <w:rPr>
          <w:rStyle w:val="FootnoteReference"/>
        </w:rPr>
        <w:footnoteReference w:id="1097"/>
      </w:r>
      <w:r>
        <w:t xml:space="preserve">, daughter of Potiphera</w:t>
      </w:r>
      <w:r>
        <w:rPr>
          <w:rStyle w:val="FootnoteReference"/>
        </w:rPr>
        <w:footnoteReference w:id="1098"/>
      </w:r>
      <w:r>
        <w:t xml:space="preserve"> priest of Heliopolis, as wife.</w:t>
      </w:r>
      <w:r>
        <w:rPr>
          <w:rStyle w:val="FootnoteReference"/>
        </w:rPr>
        <w:footnoteReference w:id="1099"/>
      </w:r>
    </w:p>
    <w:p>
      <w:r>
        <w:rPr>
          <w:b/>
        </w:rPr>
        <w:t xml:space="preserve">46 </w:t>
      </w:r>
      <w:r>
        <w:t xml:space="preserve">And Joseph was thirty years</w:t>
      </w:r>
      <w:r>
        <w:rPr>
          <w:rStyle w:val="FootnoteReference"/>
        </w:rPr>
        <w:footnoteReference w:id="1100"/>
      </w:r>
      <w:r>
        <w:t xml:space="preserve"> old when he stood before Pharaoh king of Egypt. And Joseph went out from Pharaoh's presence and passed through all the land of Egypt.</w:t>
      </w:r>
    </w:p>
    <w:p>
      <w:r>
        <w:rPr>
          <w:b/>
        </w:rPr>
        <w:t xml:space="preserve">47 </w:t>
      </w:r>
      <w:r>
        <w:t xml:space="preserve">And the land produced by sheaves in the seven years of plenty.</w:t>
      </w:r>
    </w:p>
    <w:p>
      <w:r>
        <w:rPr>
          <w:b/>
        </w:rPr>
        <w:t xml:space="preserve">48 </w:t>
      </w:r>
      <w:r>
        <w:t xml:space="preserve">And he gathered all the food of the seven years in which there was plenty in the land of Egypt and put the food in the cities. The food of the fields around each city he put within it.</w:t>
      </w:r>
    </w:p>
    <w:p>
      <w:r>
        <w:rPr>
          <w:b/>
        </w:rPr>
        <w:t xml:space="preserve">49 </w:t>
      </w:r>
      <w:r>
        <w:t xml:space="preserve">And Joseph gathered grain like the sand of the sea, very much, until it could no longer be counted, for there was no number.</w:t>
      </w:r>
    </w:p>
    <w:p>
      <w:r>
        <w:rPr>
          <w:b/>
        </w:rPr>
        <w:t xml:space="preserve">50 </w:t>
      </w:r>
      <w:r>
        <w:t xml:space="preserve">And to Joseph two sons were born before the seven years of famine came, whom Asenath</w:t>
      </w:r>
      <w:r>
        <w:rPr>
          <w:rStyle w:val="FootnoteReference"/>
        </w:rPr>
        <w:footnoteReference w:id="1101"/>
      </w:r>
      <w:r>
        <w:t xml:space="preserve"> daughter of Potiphera priest of Heliopolis bore to him.</w:t>
      </w:r>
    </w:p>
    <w:p>
      <w:r>
        <w:rPr>
          <w:b/>
        </w:rPr>
        <w:t xml:space="preserve">51 </w:t>
      </w:r>
      <w:r>
        <w:t xml:space="preserve">And Joseph called</w:t>
      </w:r>
      <w:r>
        <w:rPr>
          <w:rStyle w:val="FootnoteReference"/>
        </w:rPr>
        <w:footnoteReference w:id="1102"/>
      </w:r>
      <w:r>
        <w:t xml:space="preserve"> the name of the firstborn Manasseh</w:t>
      </w:r>
      <w:r>
        <w:rPr>
          <w:rStyle w:val="FootnoteReference"/>
        </w:rPr>
        <w:footnoteReference w:id="1103"/>
      </w:r>
      <w:r>
        <w:t xml:space="preserve">, because God made me forget all my troubles and all the things of my father.</w:t>
      </w:r>
    </w:p>
    <w:p>
      <w:r>
        <w:rPr>
          <w:b/>
        </w:rPr>
        <w:t xml:space="preserve">52 </w:t>
      </w:r>
      <w:r>
        <w:t xml:space="preserve">And he called the name of the second Ephraim</w:t>
      </w:r>
      <w:r>
        <w:rPr>
          <w:rStyle w:val="FootnoteReference"/>
        </w:rPr>
        <w:footnoteReference w:id="1104"/>
      </w:r>
      <w:r>
        <w:t xml:space="preserve">, because God increased me in the land of my humiliation.</w:t>
      </w:r>
      <w:r>
        <w:rPr>
          <w:rStyle w:val="FootnoteReference"/>
        </w:rPr>
        <w:footnoteReference w:id="1105"/>
      </w:r>
    </w:p>
    <w:p>
      <w:r>
        <w:rPr>
          <w:b/>
        </w:rPr>
        <w:t xml:space="preserve">53 </w:t>
      </w:r>
      <w:r>
        <w:t xml:space="preserve">And the seven years of plenty that came in the land of Egypt passed by.</w:t>
      </w:r>
    </w:p>
    <w:p>
      <w:r>
        <w:rPr>
          <w:b/>
        </w:rPr>
        <w:t xml:space="preserve">54 </w:t>
      </w:r>
      <w:r>
        <w:t xml:space="preserve">And the seven</w:t>
      </w:r>
      <w:r>
        <w:rPr>
          <w:rStyle w:val="FootnoteReference"/>
        </w:rPr>
        <w:footnoteReference w:id="1106"/>
      </w:r>
      <w:r>
        <w:t xml:space="preserve"> years of famine began to come, just as Joseph had said. And famine came in all the land, but in all the land of Egypt there was bread.</w:t>
      </w:r>
    </w:p>
    <w:p>
      <w:r>
        <w:rPr>
          <w:b/>
        </w:rPr>
        <w:t xml:space="preserve">55 </w:t>
      </w:r>
      <w:r>
        <w:t xml:space="preserve">And all the land of Egypt hungered, and the people cried to Pharaoh for bread. And Pharaoh said to all the Egyptians, Go to Joseph, and whatever he says to you, do.</w:t>
      </w:r>
    </w:p>
    <w:p>
      <w:r>
        <w:rPr>
          <w:b/>
        </w:rPr>
        <w:t xml:space="preserve">56 </w:t>
      </w:r>
      <w:r>
        <w:t xml:space="preserve">And the famine was upon the face</w:t>
      </w:r>
      <w:r>
        <w:rPr>
          <w:rStyle w:val="FootnoteReference"/>
        </w:rPr>
        <w:footnoteReference w:id="1107"/>
      </w:r>
      <w:r>
        <w:t xml:space="preserve"> of all the land. And Joseph opened all the granaries and sold to all the Egyptians.</w:t>
      </w:r>
    </w:p>
    <w:p>
      <w:r>
        <w:rPr>
          <w:b/>
        </w:rPr>
        <w:t xml:space="preserve">57 </w:t>
      </w:r>
      <w:r>
        <w:t xml:space="preserve">And all the lands came into Egypt to Joseph to buy, for the famine prevailed in all the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42</w:t>
      </w:r>
    </w:p>
    <w:p>
      <w:r>
        <w:rPr>
          <w:b/>
        </w:rPr>
        <w:t xml:space="preserve">1 </w:t>
      </w:r>
      <w:r>
        <w:t xml:space="preserve">And Jacob, seeing that there was grain for sale in Egypt, said to his sons, Why are you idle?</w:t>
      </w:r>
    </w:p>
    <w:p>
      <w:r>
        <w:rPr>
          <w:b/>
        </w:rPr>
        <w:t xml:space="preserve">2 </w:t>
      </w:r>
      <w:r>
        <w:t xml:space="preserve">Look, I have heard that there is grain in Egypt. Go down there and buy us a little food, so that we</w:t>
      </w:r>
      <w:r>
        <w:rPr>
          <w:rStyle w:val="FootnoteReference"/>
        </w:rPr>
        <w:footnoteReference w:id="1108"/>
      </w:r>
      <w:r>
        <w:t xml:space="preserve"> may live and not die.</w:t>
      </w:r>
    </w:p>
    <w:p>
      <w:r>
        <w:rPr>
          <w:b/>
        </w:rPr>
        <w:t xml:space="preserve">3 </w:t>
      </w:r>
      <w:r>
        <w:t xml:space="preserve">And the ten brothers of Joseph went down to buy grain from Egypt.</w:t>
      </w:r>
    </w:p>
    <w:p>
      <w:r>
        <w:rPr>
          <w:b/>
        </w:rPr>
        <w:t xml:space="preserve">4 </w:t>
      </w:r>
      <w:r>
        <w:t xml:space="preserve">But Benjamin</w:t>
      </w:r>
      <w:r>
        <w:rPr>
          <w:rStyle w:val="FootnoteReference"/>
        </w:rPr>
        <w:footnoteReference w:id="1109"/>
      </w:r>
      <w:r>
        <w:t xml:space="preserve">, Joseph's brother, he did not send with his brothers, for he said, Lest perhaps some harm happen to him.</w:t>
      </w:r>
    </w:p>
    <w:p>
      <w:r>
        <w:rPr>
          <w:b/>
        </w:rPr>
        <w:t xml:space="preserve">5 </w:t>
      </w:r>
      <w:r>
        <w:t xml:space="preserve">And the sons of Israel came to buy among those coming, for the famine was in the land of Canaan.</w:t>
      </w:r>
    </w:p>
    <w:p>
      <w:r>
        <w:rPr>
          <w:b/>
        </w:rPr>
        <w:t xml:space="preserve">6 </w:t>
      </w:r>
      <w:r>
        <w:t xml:space="preserve">And Joseph was the ruler of the land. He sold to all the people of the land. And Joseph's brothers came and bowed</w:t>
      </w:r>
      <w:r>
        <w:rPr>
          <w:rStyle w:val="FootnoteReference"/>
        </w:rPr>
        <w:footnoteReference w:id="1110"/>
      </w:r>
      <w:r>
        <w:t xml:space="preserve"> to him with face to the ground.</w:t>
      </w:r>
    </w:p>
    <w:p>
      <w:r>
        <w:rPr>
          <w:b/>
        </w:rPr>
        <w:t xml:space="preserve">7 </w:t>
      </w:r>
      <w:r>
        <w:t xml:space="preserve">And Joseph saw his brothers and recognized them, but made himself strange</w:t>
      </w:r>
      <w:r>
        <w:rPr>
          <w:rStyle w:val="FootnoteReference"/>
        </w:rPr>
        <w:footnoteReference w:id="1111"/>
      </w:r>
      <w:r>
        <w:t xml:space="preserve"> to them and spoke harshly to them and said to them, Where have you come from? And they said, From the land of Canaan, to buy food.</w:t>
      </w:r>
    </w:p>
    <w:p>
      <w:r>
        <w:rPr>
          <w:b/>
        </w:rPr>
        <w:t xml:space="preserve">8 </w:t>
      </w:r>
      <w:r>
        <w:t xml:space="preserve">And Joseph recognized his brothers, but they did not recognize him.</w:t>
      </w:r>
    </w:p>
    <w:p>
      <w:r>
        <w:rPr>
          <w:b/>
        </w:rPr>
        <w:t xml:space="preserve">9 </w:t>
      </w:r>
      <w:r>
        <w:t xml:space="preserve">And Joseph remembered</w:t>
      </w:r>
      <w:r>
        <w:rPr>
          <w:rStyle w:val="FootnoteReference"/>
        </w:rPr>
        <w:footnoteReference w:id="1112"/>
      </w:r>
      <w:r>
        <w:t xml:space="preserve"> his dreams that he had seen, and he said to them, You are spies. You came to inspect the tracks of the land.</w:t>
      </w:r>
    </w:p>
    <w:p>
      <w:r>
        <w:rPr>
          <w:b/>
        </w:rPr>
        <w:t xml:space="preserve">10 </w:t>
      </w:r>
      <w:r>
        <w:t xml:space="preserve">And they said, No, lord. Your servants came to buy food.</w:t>
      </w:r>
    </w:p>
    <w:p>
      <w:r>
        <w:rPr>
          <w:b/>
        </w:rPr>
        <w:t xml:space="preserve">11 </w:t>
      </w:r>
      <w:r>
        <w:t xml:space="preserve">We are all sons of one man. We are peaceful. Your servants are not spies.</w:t>
      </w:r>
    </w:p>
    <w:p>
      <w:r>
        <w:rPr>
          <w:b/>
        </w:rPr>
        <w:t xml:space="preserve">12 </w:t>
      </w:r>
      <w:r>
        <w:t xml:space="preserve">And he said to them, No, but you came to see the tracks of the land.</w:t>
      </w:r>
    </w:p>
    <w:p>
      <w:r>
        <w:rPr>
          <w:b/>
        </w:rPr>
        <w:t xml:space="preserve">13 </w:t>
      </w:r>
      <w:r>
        <w:t xml:space="preserve">And they said, We your servants are twelve brothers in the land of Canaan, and look, the youngest is with our father today, and the other is no more.</w:t>
      </w:r>
    </w:p>
    <w:p>
      <w:r>
        <w:rPr>
          <w:b/>
        </w:rPr>
        <w:t xml:space="preserve">14 </w:t>
      </w:r>
      <w:r>
        <w:t xml:space="preserve">And Joseph said to them, This is what I told you, saying that you are spies.</w:t>
      </w:r>
    </w:p>
    <w:p>
      <w:r>
        <w:rPr>
          <w:b/>
        </w:rPr>
        <w:t xml:space="preserve">15 </w:t>
      </w:r>
      <w:r>
        <w:t xml:space="preserve">In this you will be shown. By Pharaoh's health, you shall not leave this place unless your youngest brother comes here.</w:t>
      </w:r>
    </w:p>
    <w:p>
      <w:r>
        <w:rPr>
          <w:b/>
        </w:rPr>
        <w:t xml:space="preserve">16 </w:t>
      </w:r>
      <w:r>
        <w:t xml:space="preserve">Send one of you and let him take your brother, but you will be led away until your words become clear</w:t>
      </w:r>
      <w:r>
        <w:rPr>
          <w:rStyle w:val="FootnoteReference"/>
        </w:rPr>
        <w:footnoteReference w:id="1113"/>
      </w:r>
      <w:r>
        <w:t xml:space="preserve">, whether you speak truly or not. But if not, by Pharaoh's health, surely you are spies.</w:t>
      </w:r>
    </w:p>
    <w:p>
      <w:r>
        <w:rPr>
          <w:b/>
        </w:rPr>
        <w:t xml:space="preserve">17 </w:t>
      </w:r>
      <w:r>
        <w:t xml:space="preserve">And he put them under guard for three days.</w:t>
      </w:r>
    </w:p>
    <w:p>
      <w:r>
        <w:rPr>
          <w:b/>
        </w:rPr>
        <w:t xml:space="preserve">18 </w:t>
      </w:r>
      <w:r>
        <w:t xml:space="preserve">And on the third day Joseph said to them, Do this and live, for I fear God</w:t>
      </w:r>
      <w:r>
        <w:rPr>
          <w:rStyle w:val="FootnoteReference"/>
        </w:rPr>
        <w:footnoteReference w:id="1114"/>
      </w:r>
      <w:r>
        <w:t xml:space="preserve">.</w:t>
      </w:r>
    </w:p>
    <w:p>
      <w:r>
        <w:rPr>
          <w:b/>
        </w:rPr>
        <w:t xml:space="preserve">19 </w:t>
      </w:r>
      <w:r>
        <w:t xml:space="preserve">If you are peaceful, let one of your brothers be held in the prison, but you go and carry the grain for your provision.</w:t>
      </w:r>
    </w:p>
    <w:p>
      <w:r>
        <w:rPr>
          <w:b/>
        </w:rPr>
        <w:t xml:space="preserve">20 </w:t>
      </w:r>
      <w:r>
        <w:t xml:space="preserve">And bring</w:t>
      </w:r>
      <w:r>
        <w:rPr>
          <w:rStyle w:val="FootnoteReference"/>
        </w:rPr>
        <w:footnoteReference w:id="1115"/>
      </w:r>
      <w:r>
        <w:t xml:space="preserve"> your youngest brother to me, and your words will be believed. But if not, you will die. And they did so.</w:t>
      </w:r>
    </w:p>
    <w:p>
      <w:r>
        <w:rPr>
          <w:b/>
        </w:rPr>
        <w:t xml:space="preserve">21 </w:t>
      </w:r>
      <w:r>
        <w:t xml:space="preserve">And each said to his brother, Yes, for we are in sins concerning our brother, because we overlooked the anguish of his soul when he begged us and we did not listen to him. Because of this, this anguish has come upon us.</w:t>
      </w:r>
    </w:p>
    <w:p>
      <w:r>
        <w:rPr>
          <w:b/>
        </w:rPr>
        <w:t xml:space="preserve">22 </w:t>
      </w:r>
      <w:r>
        <w:t xml:space="preserve">And Reuben answered and said to them, Did I not speak to you, saying, Do not wrong the child? And you did not listen to me. And look, his blood</w:t>
      </w:r>
      <w:r>
        <w:rPr>
          <w:rStyle w:val="FootnoteReference"/>
        </w:rPr>
        <w:footnoteReference w:id="1116"/>
      </w:r>
      <w:r>
        <w:t xml:space="preserve"> is being required.</w:t>
      </w:r>
    </w:p>
    <w:p>
      <w:r>
        <w:rPr>
          <w:b/>
        </w:rPr>
        <w:t xml:space="preserve">23 </w:t>
      </w:r>
      <w:r>
        <w:t xml:space="preserve">But they did not know that Joseph heard, for the interpreter was between them.</w:t>
      </w:r>
    </w:p>
    <w:p>
      <w:r>
        <w:rPr>
          <w:b/>
        </w:rPr>
        <w:t xml:space="preserve">24 </w:t>
      </w:r>
      <w:r>
        <w:t xml:space="preserve">And Joseph turned away from them and wept</w:t>
      </w:r>
      <w:r>
        <w:rPr>
          <w:rStyle w:val="FootnoteReference"/>
        </w:rPr>
        <w:footnoteReference w:id="1117"/>
      </w:r>
      <w:r>
        <w:t xml:space="preserve">. Then he came near to them again and spoke to them, and he took Simeon from them and bound him before them.</w:t>
      </w:r>
    </w:p>
    <w:p>
      <w:r>
        <w:rPr>
          <w:b/>
        </w:rPr>
        <w:t xml:space="preserve">25 </w:t>
      </w:r>
      <w:r>
        <w:t xml:space="preserve">And Joseph commanded</w:t>
      </w:r>
      <w:r>
        <w:rPr>
          <w:rStyle w:val="FootnoteReference"/>
        </w:rPr>
        <w:footnoteReference w:id="1118"/>
      </w:r>
      <w:r>
        <w:t xml:space="preserve"> that their containers be filled with grain and that each man's money be returned into his sack and that provisions for the road be given to them. And it was done for them in this way.</w:t>
      </w:r>
    </w:p>
    <w:p>
      <w:r>
        <w:rPr>
          <w:b/>
        </w:rPr>
        <w:t xml:space="preserve">26 </w:t>
      </w:r>
      <w:r>
        <w:t xml:space="preserve">And placing the grain on their donkeys, they departed from there.</w:t>
      </w:r>
    </w:p>
    <w:p>
      <w:r>
        <w:rPr>
          <w:b/>
        </w:rPr>
        <w:t xml:space="preserve">27 </w:t>
      </w:r>
      <w:r>
        <w:t xml:space="preserve">And one of them loosened his bag to give fodder to his donkeys where they camped, and he saw his bundle of money, and look, it was on the mouth of the bag.</w:t>
      </w:r>
    </w:p>
    <w:p>
      <w:r>
        <w:rPr>
          <w:b/>
        </w:rPr>
        <w:t xml:space="preserve">28 </w:t>
      </w:r>
      <w:r>
        <w:t xml:space="preserve">And he said to his brothers, My money has been returned to me, and look, this is in my bag. And their heart was stunned</w:t>
      </w:r>
      <w:r>
        <w:rPr>
          <w:rStyle w:val="FootnoteReference"/>
        </w:rPr>
        <w:footnoteReference w:id="1119"/>
      </w:r>
      <w:r>
        <w:t xml:space="preserve">, and they were troubled to one another, saying, What is this that God has done to us?</w:t>
      </w:r>
      <w:r>
        <w:rPr>
          <w:rStyle w:val="FootnoteReference"/>
        </w:rPr>
        <w:footnoteReference w:id="1120"/>
      </w:r>
    </w:p>
    <w:p>
      <w:r>
        <w:rPr>
          <w:b/>
        </w:rPr>
        <w:t xml:space="preserve">29 </w:t>
      </w:r>
      <w:r>
        <w:t xml:space="preserve">And they came to Jacob their father in the land of Canaan and told him all the things that had happened to them, saying:</w:t>
      </w:r>
    </w:p>
    <w:p>
      <w:r>
        <w:rPr>
          <w:b/>
        </w:rPr>
        <w:t xml:space="preserve">30 </w:t>
      </w:r>
      <w:r>
        <w:t xml:space="preserve">The man, the lord of the land, spoke harshly to us and put us under guard as though spying out the land.</w:t>
      </w:r>
    </w:p>
    <w:p>
      <w:r>
        <w:rPr>
          <w:b/>
        </w:rPr>
        <w:t xml:space="preserve">31 </w:t>
      </w:r>
      <w:r>
        <w:t xml:space="preserve">And we said to him, We are peaceful. We are not spies.</w:t>
      </w:r>
    </w:p>
    <w:p>
      <w:r>
        <w:rPr>
          <w:b/>
        </w:rPr>
        <w:t xml:space="preserve">32 </w:t>
      </w:r>
      <w:r>
        <w:t xml:space="preserve">We are twelve brothers, sons of our father. One is no more, and the youngest is with our father today in the land of Canaan.</w:t>
      </w:r>
    </w:p>
    <w:p>
      <w:r>
        <w:rPr>
          <w:b/>
        </w:rPr>
        <w:t xml:space="preserve">33 </w:t>
      </w:r>
      <w:r>
        <w:t xml:space="preserve">And the man, the lord of the land, said to us, By this I will know that you are peaceful. Leave one brother here with me, and taking the grain for your household's provision, go.</w:t>
      </w:r>
    </w:p>
    <w:p>
      <w:r>
        <w:rPr>
          <w:b/>
        </w:rPr>
        <w:t xml:space="preserve">34 </w:t>
      </w:r>
      <w:r>
        <w:t xml:space="preserve">And bring your youngest brother to me, and I will know that you are not spies but peaceful men, and I will give your brother back to you, and you will trade in the land.</w:t>
      </w:r>
    </w:p>
    <w:p>
      <w:r>
        <w:rPr>
          <w:b/>
        </w:rPr>
        <w:t xml:space="preserve">35 </w:t>
      </w:r>
      <w:r>
        <w:t xml:space="preserve">And it happened as they were emptying their sacks, each man's bundle of money was in his sack. And they and their father saw their bundles of money and were afraid.</w:t>
      </w:r>
    </w:p>
    <w:p>
      <w:r>
        <w:rPr>
          <w:b/>
        </w:rPr>
        <w:t xml:space="preserve">36 </w:t>
      </w:r>
      <w:r>
        <w:t xml:space="preserve">And Jacob their father said to them, You have made me childless. Joseph is not, Simeon is not, and Benjamin you will take. On me all these things have come.</w:t>
      </w:r>
    </w:p>
    <w:p>
      <w:r>
        <w:rPr>
          <w:b/>
        </w:rPr>
        <w:t xml:space="preserve">37 </w:t>
      </w:r>
      <w:r>
        <w:t xml:space="preserve">And Reuben said to his father, saying, Kill my two sons if I do not bring him to you. Give him into my hand, and I will bring him back to you.</w:t>
      </w:r>
    </w:p>
    <w:p>
      <w:r>
        <w:rPr>
          <w:b/>
        </w:rPr>
        <w:t xml:space="preserve">38 </w:t>
      </w:r>
      <w:r>
        <w:t xml:space="preserve">And he said, My son shall not go down with you, because his brother</w:t>
      </w:r>
      <w:r>
        <w:rPr>
          <w:rStyle w:val="FootnoteReference"/>
        </w:rPr>
        <w:footnoteReference w:id="1121"/>
      </w:r>
      <w:r>
        <w:t xml:space="preserve"> died and he alone has been left. And it may happen that he is weakened on the road where you go, and you will bring my old age down with sorrow into Hades.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43</w:t>
      </w:r>
    </w:p>
    <w:p>
      <w:r>
        <w:rPr>
          <w:b/>
        </w:rPr>
        <w:t xml:space="preserve">1 </w:t>
      </w:r>
      <w:r>
        <w:t xml:space="preserve">But the famine prevailed in the land.</w:t>
      </w:r>
    </w:p>
    <w:p>
      <w:r>
        <w:rPr>
          <w:b/>
        </w:rPr>
        <w:t xml:space="preserve">2 </w:t>
      </w:r>
      <w:r>
        <w:t xml:space="preserve">And it happened when they finished eating the grain that they had brought out of Egypt, their father said to them, Go again; buy us a little food.</w:t>
      </w:r>
    </w:p>
    <w:p>
      <w:r>
        <w:rPr>
          <w:b/>
        </w:rPr>
        <w:t xml:space="preserve">3 </w:t>
      </w:r>
      <w:r>
        <w:t xml:space="preserve">And Judah said to him, saying, The man, the lord of the land, solemnly testified to us, saying, You shall not see my face</w:t>
      </w:r>
      <w:r>
        <w:rPr>
          <w:rStyle w:val="FootnoteReference"/>
        </w:rPr>
        <w:footnoteReference w:id="1122"/>
      </w:r>
      <w:r>
        <w:t xml:space="preserve"> unless your younger brother is with you.</w:t>
      </w:r>
    </w:p>
    <w:p>
      <w:r>
        <w:rPr>
          <w:b/>
        </w:rPr>
        <w:t xml:space="preserve">4 </w:t>
      </w:r>
      <w:r>
        <w:t xml:space="preserve">If then you send our brother with us, we will go down and buy you food.</w:t>
      </w:r>
    </w:p>
    <w:p>
      <w:r>
        <w:rPr>
          <w:b/>
        </w:rPr>
        <w:t xml:space="preserve">5 </w:t>
      </w:r>
      <w:r>
        <w:t xml:space="preserve">But if you do not send our brother with us, we will not</w:t>
      </w:r>
      <w:r>
        <w:rPr>
          <w:rStyle w:val="FootnoteReference"/>
        </w:rPr>
        <w:footnoteReference w:id="1123"/>
      </w:r>
      <w:r>
        <w:t xml:space="preserve"> go. For the man said to us, You shall not see my face unless your younger brother is with you.</w:t>
      </w:r>
    </w:p>
    <w:p>
      <w:r>
        <w:rPr>
          <w:b/>
        </w:rPr>
        <w:t xml:space="preserve">6 </w:t>
      </w:r>
      <w:r>
        <w:t xml:space="preserve">And Israel said, Why did you mistreat me by telling the man that you had a brother?</w:t>
      </w:r>
    </w:p>
    <w:p>
      <w:r>
        <w:rPr>
          <w:b/>
        </w:rPr>
        <w:t xml:space="preserve">7 </w:t>
      </w:r>
      <w:r>
        <w:t xml:space="preserve">And they said, The man kept questioning us and our family</w:t>
      </w:r>
      <w:r>
        <w:rPr>
          <w:rStyle w:val="FootnoteReference"/>
        </w:rPr>
        <w:footnoteReference w:id="1124"/>
      </w:r>
      <w:r>
        <w:t xml:space="preserve">, saying, Is your father still alive, and do you have a brother? And we told him according to this questioning. Did we know that he would say to us, Bring your brother down?</w:t>
      </w:r>
    </w:p>
    <w:p>
      <w:r>
        <w:rPr>
          <w:b/>
        </w:rPr>
        <w:t xml:space="preserve">8 </w:t>
      </w:r>
      <w:r>
        <w:t xml:space="preserve">And Judah said to Israel his father, Send the boy with me, and rising, we will go, so that we</w:t>
      </w:r>
      <w:r>
        <w:rPr>
          <w:rStyle w:val="FootnoteReference"/>
        </w:rPr>
        <w:footnoteReference w:id="1125"/>
      </w:r>
      <w:r>
        <w:t xml:space="preserve"> may live and not die, both we and you and our households.</w:t>
      </w:r>
    </w:p>
    <w:p>
      <w:r>
        <w:rPr>
          <w:b/>
        </w:rPr>
        <w:t xml:space="preserve">9 </w:t>
      </w:r>
      <w:r>
        <w:t xml:space="preserve">And I myself guarantee him. From my hand seek him. If I do not bring him to you and set him before you, I shall be guilty toward you all my days.</w:t>
      </w:r>
    </w:p>
    <w:p>
      <w:r>
        <w:rPr>
          <w:b/>
        </w:rPr>
        <w:t xml:space="preserve">10 </w:t>
      </w:r>
      <w:r>
        <w:t xml:space="preserve">For if we had not delayed, by now we would have returned twice.</w:t>
      </w:r>
    </w:p>
    <w:p>
      <w:r>
        <w:rPr>
          <w:b/>
        </w:rPr>
        <w:t xml:space="preserve">11 </w:t>
      </w:r>
      <w:r>
        <w:t xml:space="preserve">And Israel their father said to them, If it is so, do this. Take from the fruits of the land in your containers and carry down</w:t>
      </w:r>
      <w:r>
        <w:rPr>
          <w:rStyle w:val="FootnoteReference"/>
        </w:rPr>
        <w:footnoteReference w:id="1126"/>
      </w:r>
      <w:r>
        <w:t xml:space="preserve"> gifts to the man: resin and honey, spices and stacte, turpentine and walnuts</w:t>
      </w:r>
      <w:r>
        <w:rPr>
          <w:rStyle w:val="FootnoteReference"/>
        </w:rPr>
        <w:footnoteReference w:id="1127"/>
      </w:r>
      <w:r>
        <w:t xml:space="preserve">.</w:t>
      </w:r>
    </w:p>
    <w:p>
      <w:r>
        <w:rPr>
          <w:b/>
        </w:rPr>
        <w:t xml:space="preserve">12 </w:t>
      </w:r>
      <w:r>
        <w:t xml:space="preserve">And take double</w:t>
      </w:r>
      <w:r>
        <w:rPr>
          <w:rStyle w:val="FootnoteReference"/>
        </w:rPr>
        <w:footnoteReference w:id="1128"/>
      </w:r>
      <w:r>
        <w:t xml:space="preserve"> money in your hands. And the money returned in your bags carry back with you, lest perhaps it is an oversight.</w:t>
      </w:r>
    </w:p>
    <w:p>
      <w:r>
        <w:rPr>
          <w:b/>
        </w:rPr>
        <w:t xml:space="preserve">13 </w:t>
      </w:r>
      <w:r>
        <w:t xml:space="preserve">And take your brother and rise and go down to the man.</w:t>
      </w:r>
    </w:p>
    <w:p>
      <w:r>
        <w:rPr>
          <w:b/>
        </w:rPr>
        <w:t xml:space="preserve">14 </w:t>
      </w:r>
      <w:r>
        <w:t xml:space="preserve">And my God give you favor before the man and send away your one brother and Benjamin. And as for me, as I have been bereaved, I have been bereaved.</w:t>
      </w:r>
    </w:p>
    <w:p>
      <w:r>
        <w:rPr>
          <w:b/>
        </w:rPr>
        <w:t xml:space="preserve">15 </w:t>
      </w:r>
      <w:r>
        <w:t xml:space="preserve">And the men took these gifts and took double money in their hands and Benjamin, and rising, they went down to Egypt and stood before Joseph.</w:t>
      </w:r>
    </w:p>
    <w:p>
      <w:r>
        <w:rPr>
          <w:b/>
        </w:rPr>
        <w:t xml:space="preserve">16 </w:t>
      </w:r>
      <w:r>
        <w:t xml:space="preserve">And Joseph saw them and Benjamin his brother, born of the same mother, and he said to the man over his house, Bring the men into the house and slaughter beasts and prepare, for the men will eat bread with me at noon.</w:t>
      </w:r>
    </w:p>
    <w:p>
      <w:r>
        <w:rPr>
          <w:b/>
        </w:rPr>
        <w:t xml:space="preserve">17 </w:t>
      </w:r>
      <w:r>
        <w:t xml:space="preserve">And the man did as Joseph said, and he brought the men into Joseph's house.</w:t>
      </w:r>
    </w:p>
    <w:p>
      <w:r>
        <w:rPr>
          <w:b/>
        </w:rPr>
        <w:t xml:space="preserve">18 </w:t>
      </w:r>
      <w:r>
        <w:t xml:space="preserve">And the men</w:t>
      </w:r>
      <w:r>
        <w:rPr>
          <w:rStyle w:val="FootnoteReference"/>
        </w:rPr>
        <w:footnoteReference w:id="1129"/>
      </w:r>
      <w:r>
        <w:t xml:space="preserve">, when they saw that they had been brought into Joseph's house, said, We are being brought in because of the money returned in our bags the first time, to inform against us and to attack us</w:t>
      </w:r>
      <w:r>
        <w:rPr>
          <w:rStyle w:val="FootnoteReference"/>
        </w:rPr>
        <w:footnoteReference w:id="1130"/>
      </w:r>
      <w:r>
        <w:t xml:space="preserve">, to take us as servants and our donkeys.</w:t>
      </w:r>
    </w:p>
    <w:p>
      <w:r>
        <w:rPr>
          <w:b/>
        </w:rPr>
        <w:t xml:space="preserve">19 </w:t>
      </w:r>
      <w:r>
        <w:t xml:space="preserve">And coming near to the man over Joseph's house, they spoke to him at the gateway of the house,</w:t>
      </w:r>
    </w:p>
    <w:p>
      <w:r>
        <w:rPr>
          <w:b/>
        </w:rPr>
        <w:t xml:space="preserve">20 </w:t>
      </w:r>
      <w:r>
        <w:t xml:space="preserve">saying, We beg you, lord. We came down the first time to buy food.</w:t>
      </w:r>
    </w:p>
    <w:p>
      <w:r>
        <w:rPr>
          <w:b/>
        </w:rPr>
        <w:t xml:space="preserve">21 </w:t>
      </w:r>
      <w:r>
        <w:t xml:space="preserve">And it happened when we came</w:t>
      </w:r>
      <w:r>
        <w:rPr>
          <w:rStyle w:val="FootnoteReference"/>
        </w:rPr>
        <w:footnoteReference w:id="1131"/>
      </w:r>
      <w:r>
        <w:t xml:space="preserve"> to the lodging-place and opened our bags, each man's money was in his bag. We have now brought our money back in our hands by weight,</w:t>
      </w:r>
    </w:p>
    <w:p>
      <w:r>
        <w:rPr>
          <w:b/>
        </w:rPr>
        <w:t xml:space="preserve">22 </w:t>
      </w:r>
      <w:r>
        <w:t xml:space="preserve">and we have brought other money with us to buy food. We do not know who put our money into our bags.</w:t>
      </w:r>
    </w:p>
    <w:p>
      <w:r>
        <w:rPr>
          <w:b/>
        </w:rPr>
        <w:t xml:space="preserve">23 </w:t>
      </w:r>
      <w:r>
        <w:t xml:space="preserve">And he said to them, Mercy to you. Do not be afraid. Your God and the God of your fathers gave you treasures in your bags, and I have your approved money. And he brought Simeon</w:t>
      </w:r>
      <w:r>
        <w:rPr>
          <w:rStyle w:val="FootnoteReference"/>
        </w:rPr>
        <w:footnoteReference w:id="1132"/>
      </w:r>
      <w:r>
        <w:t xml:space="preserve"> out to them.</w:t>
      </w:r>
      <w:r>
        <w:rPr>
          <w:rStyle w:val="FootnoteReference"/>
        </w:rPr>
        <w:footnoteReference w:id="1133"/>
      </w:r>
    </w:p>
    <w:p>
      <w:r>
        <w:rPr>
          <w:b/>
        </w:rPr>
        <w:t xml:space="preserve">24 </w:t>
      </w:r>
      <w:r>
        <w:t xml:space="preserve">And he brought water to wash their feet and gave fodder to their donkeys.</w:t>
      </w:r>
    </w:p>
    <w:p>
      <w:r>
        <w:rPr>
          <w:b/>
        </w:rPr>
        <w:t xml:space="preserve">25 </w:t>
      </w:r>
      <w:r>
        <w:t xml:space="preserve">And they prepared the gifts until Joseph came at noon, for they heard that he was going to dine there.</w:t>
      </w:r>
    </w:p>
    <w:p>
      <w:r>
        <w:rPr>
          <w:b/>
        </w:rPr>
        <w:t xml:space="preserve">26 </w:t>
      </w:r>
      <w:r>
        <w:t xml:space="preserve">And Joseph entered the house, and they brought him the gifts that they had in their hands into the house, and they bowed</w:t>
      </w:r>
      <w:r>
        <w:rPr>
          <w:rStyle w:val="FootnoteReference"/>
        </w:rPr>
        <w:footnoteReference w:id="1134"/>
      </w:r>
      <w:r>
        <w:t xml:space="preserve"> to him with face to the ground.</w:t>
      </w:r>
    </w:p>
    <w:p>
      <w:r>
        <w:rPr>
          <w:b/>
        </w:rPr>
        <w:t xml:space="preserve">27 </w:t>
      </w:r>
      <w:r>
        <w:t xml:space="preserve">And he asked them, How are you? And he said to them, Is your father well</w:t>
      </w:r>
      <w:r>
        <w:rPr>
          <w:rStyle w:val="FootnoteReference"/>
        </w:rPr>
        <w:footnoteReference w:id="1135"/>
      </w:r>
      <w:r>
        <w:t xml:space="preserve">, the old man of whom you spoke? Does he still live?</w:t>
      </w:r>
    </w:p>
    <w:p>
      <w:r>
        <w:rPr>
          <w:b/>
        </w:rPr>
        <w:t xml:space="preserve">28 </w:t>
      </w:r>
      <w:r>
        <w:t xml:space="preserve">And they said, Your servant our father is well. He still lives. And he said, Blessed be that man by God. And bowing, they did him reverence.</w:t>
      </w:r>
    </w:p>
    <w:p>
      <w:r>
        <w:rPr>
          <w:b/>
        </w:rPr>
        <w:t xml:space="preserve">29 </w:t>
      </w:r>
      <w:r>
        <w:t xml:space="preserve">And Joseph, lifting up his eyes, saw Benjamin his brother, born of the same mother, and said, Is this your younger brother, whom you said to me you would bring? And he said, God show mercy to you, child.</w:t>
      </w:r>
    </w:p>
    <w:p>
      <w:r>
        <w:rPr>
          <w:b/>
        </w:rPr>
        <w:t xml:space="preserve">30 </w:t>
      </w:r>
      <w:r>
        <w:t xml:space="preserve">And Joseph was troubled, for his inward parts turned upon his brother, and he sought to weep. And going into the chamber, he wept there</w:t>
      </w:r>
      <w:r>
        <w:rPr>
          <w:rStyle w:val="FootnoteReference"/>
        </w:rPr>
        <w:footnoteReference w:id="1136"/>
      </w:r>
      <w:r>
        <w:t xml:space="preserve">.</w:t>
      </w:r>
    </w:p>
    <w:p>
      <w:r>
        <w:rPr>
          <w:b/>
        </w:rPr>
        <w:t xml:space="preserve">31 </w:t>
      </w:r>
      <w:r>
        <w:t xml:space="preserve">And washing his face, he came out and restrained himself and said, Serve bread</w:t>
      </w:r>
      <w:r>
        <w:rPr>
          <w:rStyle w:val="FootnoteReference"/>
        </w:rPr>
        <w:footnoteReference w:id="1137"/>
      </w:r>
      <w:r>
        <w:t xml:space="preserve">.</w:t>
      </w:r>
    </w:p>
    <w:p>
      <w:r>
        <w:rPr>
          <w:b/>
        </w:rPr>
        <w:t xml:space="preserve">32 </w:t>
      </w:r>
      <w:r>
        <w:t xml:space="preserve">And they served him alone and them by themselves and the Egyptians dining with him by themselves, because the Egyptians could not eat bread</w:t>
      </w:r>
      <w:r>
        <w:rPr>
          <w:rStyle w:val="FootnoteReference"/>
        </w:rPr>
        <w:footnoteReference w:id="1138"/>
      </w:r>
      <w:r>
        <w:t xml:space="preserve"> with the Hebrews, for it is an abomination to the Egyptians.</w:t>
      </w:r>
    </w:p>
    <w:p>
      <w:r>
        <w:rPr>
          <w:b/>
        </w:rPr>
        <w:t xml:space="preserve">33 </w:t>
      </w:r>
      <w:r>
        <w:t xml:space="preserve">And they sat before him, the firstborn according to his seniority and the younger according to his youth, and the men looked in amazement each at his brother.</w:t>
      </w:r>
    </w:p>
    <w:p>
      <w:r>
        <w:rPr>
          <w:b/>
        </w:rPr>
        <w:t xml:space="preserve">34 </w:t>
      </w:r>
      <w:r>
        <w:t xml:space="preserve">And they took portions from him to themselves, but Benjamin's portion was enlarged beyond the portions of all, fivefold beyond theirs, and they drank and became drunk with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44</w:t>
      </w:r>
    </w:p>
    <w:p>
      <w:r>
        <w:rPr>
          <w:b/>
        </w:rPr>
        <w:t xml:space="preserve">1 </w:t>
      </w:r>
      <w:r>
        <w:t xml:space="preserve">And Joseph commanded the man over his house, saying, Fill the</w:t>
      </w:r>
      <w:r>
        <w:rPr>
          <w:rStyle w:val="FootnoteReference"/>
        </w:rPr>
        <w:footnoteReference w:id="1139"/>
      </w:r>
      <w:r>
        <w:t xml:space="preserve"> bags of the men with food, as much as they are able to carry, and put each man's money on the mouth of his bag,</w:t>
      </w:r>
    </w:p>
    <w:p>
      <w:r>
        <w:rPr>
          <w:b/>
        </w:rPr>
        <w:t xml:space="preserve">2 </w:t>
      </w:r>
      <w:r>
        <w:t xml:space="preserve">and put my silver cup into the bag of the youngest and the price of his grain. And it was done according to Joseph's word, just as he said.</w:t>
      </w:r>
    </w:p>
    <w:p>
      <w:r>
        <w:rPr>
          <w:b/>
        </w:rPr>
        <w:t xml:space="preserve">3 </w:t>
      </w:r>
      <w:r>
        <w:t xml:space="preserve">The morning dawned, and the men were sent away, they and their donkeys.</w:t>
      </w:r>
    </w:p>
    <w:p>
      <w:r>
        <w:rPr>
          <w:b/>
        </w:rPr>
        <w:t xml:space="preserve">4 </w:t>
      </w:r>
      <w:r>
        <w:t xml:space="preserve">And when they had gone out of the city, they were not far away, and Joseph said to the man over his house, Rise, pursue after the men, and you will overtake them, and you will say to them, Why did you repay evil for good? Why did you steal my silver cup?</w:t>
      </w:r>
    </w:p>
    <w:p>
      <w:r>
        <w:rPr>
          <w:b/>
        </w:rPr>
        <w:t xml:space="preserve">5 </w:t>
      </w:r>
      <w:r>
        <w:t xml:space="preserve">Is this not the one in which my lord drinks? And he himself surely practices divination with it. You have done evil in what you have done.</w:t>
      </w:r>
    </w:p>
    <w:p>
      <w:r>
        <w:rPr>
          <w:b/>
        </w:rPr>
        <w:t xml:space="preserve">6 </w:t>
      </w:r>
      <w:r>
        <w:t xml:space="preserve">And finding them, he spoke to them according to these words.</w:t>
      </w:r>
    </w:p>
    <w:p>
      <w:r>
        <w:rPr>
          <w:b/>
        </w:rPr>
        <w:t xml:space="preserve">7 </w:t>
      </w:r>
      <w:r>
        <w:t xml:space="preserve">And they said to him, Why does my lord speak according to these words? Far be it from your servants to do according to this word.</w:t>
      </w:r>
    </w:p>
    <w:p>
      <w:r>
        <w:rPr>
          <w:b/>
        </w:rPr>
        <w:t xml:space="preserve">8 </w:t>
      </w:r>
      <w:r>
        <w:t xml:space="preserve">If the money</w:t>
      </w:r>
      <w:r>
        <w:rPr>
          <w:rStyle w:val="FootnoteReference"/>
        </w:rPr>
        <w:footnoteReference w:id="1140"/>
      </w:r>
      <w:r>
        <w:t xml:space="preserve"> that we found in our bags we brought back to you from the land of Canaan, how would we steal silver or gold out of your lord's house?</w:t>
      </w:r>
    </w:p>
    <w:p>
      <w:r>
        <w:rPr>
          <w:b/>
        </w:rPr>
        <w:t xml:space="preserve">9 </w:t>
      </w:r>
      <w:r>
        <w:t xml:space="preserve">With whomever you find the cup among your servants, let him die. And we</w:t>
      </w:r>
      <w:r>
        <w:rPr>
          <w:rStyle w:val="FootnoteReference"/>
        </w:rPr>
        <w:footnoteReference w:id="1141"/>
      </w:r>
      <w:r>
        <w:t xml:space="preserve"> too will be servants to our lord.</w:t>
      </w:r>
    </w:p>
    <w:p>
      <w:r>
        <w:rPr>
          <w:b/>
        </w:rPr>
        <w:t xml:space="preserve">10 </w:t>
      </w:r>
      <w:r>
        <w:t xml:space="preserve">And he said, And now, as you say, so it will be. The one with whom the cup is found will be my servant, but you will be innocent.</w:t>
      </w:r>
    </w:p>
    <w:p>
      <w:r>
        <w:rPr>
          <w:b/>
        </w:rPr>
        <w:t xml:space="preserve">11 </w:t>
      </w:r>
      <w:r>
        <w:t xml:space="preserve">And they hurried, and each brought down his bag to the ground, and each opened his bag.</w:t>
      </w:r>
    </w:p>
    <w:p>
      <w:r>
        <w:rPr>
          <w:b/>
        </w:rPr>
        <w:t xml:space="preserve">12 </w:t>
      </w:r>
      <w:r>
        <w:t xml:space="preserve">And he searched, beginning from the elder until he came to the youngest, and he found the cup in Benjamin's bag.</w:t>
      </w:r>
    </w:p>
    <w:p>
      <w:r>
        <w:rPr>
          <w:b/>
        </w:rPr>
        <w:t xml:space="preserve">13 </w:t>
      </w:r>
      <w:r>
        <w:t xml:space="preserve">And they tore their garments and each loaded his bag on his donkey, and they returned to the city.</w:t>
      </w:r>
    </w:p>
    <w:p>
      <w:r>
        <w:rPr>
          <w:b/>
        </w:rPr>
        <w:t xml:space="preserve">14 </w:t>
      </w:r>
      <w:r>
        <w:t xml:space="preserve">And Judah and his brothers entered to Joseph, while he was still there, and they fell before him to the ground</w:t>
      </w:r>
      <w:r>
        <w:rPr>
          <w:rStyle w:val="FootnoteReference"/>
        </w:rPr>
        <w:footnoteReference w:id="1142"/>
      </w:r>
      <w:r>
        <w:t xml:space="preserve">.</w:t>
      </w:r>
      <w:r>
        <w:rPr>
          <w:rStyle w:val="FootnoteReference"/>
        </w:rPr>
        <w:footnoteReference w:id="1143"/>
      </w:r>
    </w:p>
    <w:p>
      <w:r>
        <w:rPr>
          <w:b/>
        </w:rPr>
        <w:t xml:space="preserve">15 </w:t>
      </w:r>
      <w:r>
        <w:t xml:space="preserve">And Joseph said to them, What is this deed that you have done? Do you not know that a man like me surely practices divination?</w:t>
      </w:r>
    </w:p>
    <w:p>
      <w:r>
        <w:rPr>
          <w:b/>
        </w:rPr>
        <w:t xml:space="preserve">16 </w:t>
      </w:r>
      <w:r>
        <w:t xml:space="preserve">And Judah</w:t>
      </w:r>
      <w:r>
        <w:rPr>
          <w:rStyle w:val="FootnoteReference"/>
        </w:rPr>
        <w:footnoteReference w:id="1144"/>
      </w:r>
      <w:r>
        <w:t xml:space="preserve"> said, What shall we answer to our lord, or what shall we speak, or how shall we be justified? God found the injustice of your servants. Look, we are servants to our lord, both we and the one with whom the cup was found.</w:t>
      </w:r>
      <w:r>
        <w:rPr>
          <w:rStyle w:val="FootnoteReference"/>
        </w:rPr>
        <w:footnoteReference w:id="1145"/>
      </w:r>
    </w:p>
    <w:p>
      <w:r>
        <w:rPr>
          <w:b/>
        </w:rPr>
        <w:t xml:space="preserve">17 </w:t>
      </w:r>
      <w:r>
        <w:t xml:space="preserve">And Joseph said, Far be it from me to do this thing. The man with whom the cup was found, he will be my servant. But you go up in peace</w:t>
      </w:r>
      <w:r>
        <w:rPr>
          <w:rStyle w:val="FootnoteReference"/>
        </w:rPr>
        <w:footnoteReference w:id="1146"/>
      </w:r>
      <w:r>
        <w:t xml:space="preserve"> to your father.</w:t>
      </w:r>
    </w:p>
    <w:p>
      <w:r>
        <w:rPr>
          <w:b/>
        </w:rPr>
        <w:t xml:space="preserve">18 </w:t>
      </w:r>
      <w:r>
        <w:t xml:space="preserve">And Judah came near to him and said, I beg you, lord. Let your servant speak a word before you, and do not be angry with your servant, for you are as Pharaoh</w:t>
      </w:r>
      <w:r>
        <w:rPr>
          <w:rStyle w:val="FootnoteReference"/>
        </w:rPr>
        <w:footnoteReference w:id="1147"/>
      </w:r>
      <w:r>
        <w:t xml:space="preserve">.</w:t>
      </w:r>
    </w:p>
    <w:p>
      <w:r>
        <w:rPr>
          <w:b/>
        </w:rPr>
        <w:t xml:space="preserve">19 </w:t>
      </w:r>
      <w:r>
        <w:t xml:space="preserve">My lord, you asked your servants, saying, Do you have a father or a brother?</w:t>
      </w:r>
    </w:p>
    <w:p>
      <w:r>
        <w:rPr>
          <w:b/>
        </w:rPr>
        <w:t xml:space="preserve">20 </w:t>
      </w:r>
      <w:r>
        <w:t xml:space="preserve">And we said</w:t>
      </w:r>
      <w:r>
        <w:rPr>
          <w:rStyle w:val="FootnoteReference"/>
        </w:rPr>
        <w:footnoteReference w:id="1148"/>
      </w:r>
      <w:r>
        <w:t xml:space="preserve"> to our lord, We have an elderly father and a child of his old age, younger to him, and his brother died, and he alone was left to his mother, and his father loved him.</w:t>
      </w:r>
    </w:p>
    <w:p>
      <w:r>
        <w:rPr>
          <w:b/>
        </w:rPr>
        <w:t xml:space="preserve">21 </w:t>
      </w:r>
      <w:r>
        <w:t xml:space="preserve">And you said to your servants, Bring</w:t>
      </w:r>
      <w:r>
        <w:rPr>
          <w:rStyle w:val="FootnoteReference"/>
        </w:rPr>
        <w:footnoteReference w:id="1149"/>
      </w:r>
      <w:r>
        <w:t xml:space="preserve"> him down to me, and I will care for him.</w:t>
      </w:r>
    </w:p>
    <w:p>
      <w:r>
        <w:rPr>
          <w:b/>
        </w:rPr>
        <w:t xml:space="preserve">22 </w:t>
      </w:r>
      <w:r>
        <w:t xml:space="preserve">And we said to our lord, The child will not be able to leave his father, and if he leaves his father, he will die.</w:t>
      </w:r>
    </w:p>
    <w:p>
      <w:r>
        <w:rPr>
          <w:b/>
        </w:rPr>
        <w:t xml:space="preserve">23 </w:t>
      </w:r>
      <w:r>
        <w:t xml:space="preserve">But you said to your servants, Unless your younger brother comes down with you, you shall not continue to see my face.</w:t>
      </w:r>
    </w:p>
    <w:p>
      <w:r>
        <w:rPr>
          <w:b/>
        </w:rPr>
        <w:t xml:space="preserve">24 </w:t>
      </w:r>
      <w:r>
        <w:t xml:space="preserve">And it happened when we went up to your servant our father, we told him</w:t>
      </w:r>
      <w:r>
        <w:rPr>
          <w:rStyle w:val="FootnoteReference"/>
        </w:rPr>
        <w:footnoteReference w:id="1150"/>
      </w:r>
      <w:r>
        <w:t xml:space="preserve"> the words of our lord.</w:t>
      </w:r>
    </w:p>
    <w:p>
      <w:r>
        <w:rPr>
          <w:b/>
        </w:rPr>
        <w:t xml:space="preserve">25 </w:t>
      </w:r>
      <w:r>
        <w:t xml:space="preserve">And our father said, Go again and buy us a little food.</w:t>
      </w:r>
    </w:p>
    <w:p>
      <w:r>
        <w:rPr>
          <w:b/>
        </w:rPr>
        <w:t xml:space="preserve">26 </w:t>
      </w:r>
      <w:r>
        <w:t xml:space="preserve">And we said, We will not be able to go down. But if our younger brother goes down with us, we will go down, for we will not be able to see the man's face if our younger brother is not with us.</w:t>
      </w:r>
    </w:p>
    <w:p>
      <w:r>
        <w:rPr>
          <w:b/>
        </w:rPr>
        <w:t xml:space="preserve">27 </w:t>
      </w:r>
      <w:r>
        <w:t xml:space="preserve">And your servant our father said to us, You know that my wife bore me two sons.</w:t>
      </w:r>
    </w:p>
    <w:p>
      <w:r>
        <w:rPr>
          <w:b/>
        </w:rPr>
        <w:t xml:space="preserve">28 </w:t>
      </w:r>
      <w:r>
        <w:t xml:space="preserve">And the one</w:t>
      </w:r>
      <w:r>
        <w:rPr>
          <w:rStyle w:val="FootnoteReference"/>
        </w:rPr>
        <w:footnoteReference w:id="1151"/>
      </w:r>
      <w:r>
        <w:t xml:space="preserve"> went out from me, and you said, He has become eaten by beasts, and I have not seen him until now.</w:t>
      </w:r>
    </w:p>
    <w:p>
      <w:r>
        <w:rPr>
          <w:b/>
        </w:rPr>
        <w:t xml:space="preserve">29 </w:t>
      </w:r>
      <w:r>
        <w:t xml:space="preserve">If then you take this one also from my face, and some harm happens to him on the road, you will bring my old age down with sorrow</w:t>
      </w:r>
      <w:r>
        <w:rPr>
          <w:rStyle w:val="FootnoteReference"/>
        </w:rPr>
        <w:footnoteReference w:id="1152"/>
      </w:r>
      <w:r>
        <w:t xml:space="preserve"> into Hades.</w:t>
      </w:r>
    </w:p>
    <w:p>
      <w:r>
        <w:rPr>
          <w:b/>
        </w:rPr>
        <w:t xml:space="preserve">30 </w:t>
      </w:r>
      <w:r>
        <w:t xml:space="preserve">Now then, if I go in to your servant my father and the child is not with us, and his soul hangs from this child's soul,</w:t>
      </w:r>
    </w:p>
    <w:p>
      <w:r>
        <w:rPr>
          <w:b/>
        </w:rPr>
        <w:t xml:space="preserve">31 </w:t>
      </w:r>
      <w:r>
        <w:t xml:space="preserve">then it will happen that when he</w:t>
      </w:r>
      <w:r>
        <w:rPr>
          <w:rStyle w:val="FootnoteReference"/>
        </w:rPr>
        <w:footnoteReference w:id="1153"/>
      </w:r>
      <w:r>
        <w:t xml:space="preserve"> sees that the child is not with us, he will die, and your servants will bring down the old age of your servant our father with sorrow into Hades.</w:t>
      </w:r>
    </w:p>
    <w:p>
      <w:r>
        <w:rPr>
          <w:b/>
        </w:rPr>
        <w:t xml:space="preserve">32 </w:t>
      </w:r>
      <w:r>
        <w:t xml:space="preserve">For your servant has taken the child as a pledge from the father, saying, If I do not bring him to you and set him before you, I shall be guilty before my father all my days.</w:t>
      </w:r>
    </w:p>
    <w:p>
      <w:r>
        <w:rPr>
          <w:b/>
        </w:rPr>
        <w:t xml:space="preserve">33 </w:t>
      </w:r>
      <w:r>
        <w:t xml:space="preserve">Now then, let me remain as a servant to my lord in place of the child, but let the child go up with his brothers.</w:t>
      </w:r>
    </w:p>
    <w:p>
      <w:r>
        <w:rPr>
          <w:b/>
        </w:rPr>
        <w:t xml:space="preserve">34 </w:t>
      </w:r>
      <w:r>
        <w:t xml:space="preserve">For how shall I go up to my father if the child is not with us? Lest I see the evils that will find my father.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45</w:t>
      </w:r>
    </w:p>
    <w:p>
      <w:r>
        <w:rPr>
          <w:b/>
        </w:rPr>
        <w:t xml:space="preserve">1 </w:t>
      </w:r>
      <w:r>
        <w:t xml:space="preserve">And Joseph was not able to hold out</w:t>
      </w:r>
      <w:r>
        <w:rPr>
          <w:rStyle w:val="FootnoteReference"/>
        </w:rPr>
        <w:footnoteReference w:id="1154"/>
      </w:r>
      <w:r>
        <w:t xml:space="preserve"> before all those standing by him, but said, Send everyone away from me. And no one stood with Joseph when he made himself known to his brothers.</w:t>
      </w:r>
    </w:p>
    <w:p>
      <w:r>
        <w:rPr>
          <w:b/>
        </w:rPr>
        <w:t xml:space="preserve">2 </w:t>
      </w:r>
      <w:r>
        <w:t xml:space="preserve">And he lifted up his voice with weeping. And all the Egyptians heard, and it became heard in Pharaoh's house.</w:t>
      </w:r>
    </w:p>
    <w:p>
      <w:r>
        <w:rPr>
          <w:b/>
        </w:rPr>
        <w:t xml:space="preserve">3 </w:t>
      </w:r>
      <w:r>
        <w:t xml:space="preserve">And Joseph said to his brothers, I am Joseph</w:t>
      </w:r>
      <w:r>
        <w:rPr>
          <w:rStyle w:val="FootnoteReference"/>
        </w:rPr>
        <w:footnoteReference w:id="1155"/>
      </w:r>
      <w:r>
        <w:t xml:space="preserve">. Does my father still live? And his brothers were not able to answer him, for they were troubled.</w:t>
      </w:r>
    </w:p>
    <w:p>
      <w:r>
        <w:rPr>
          <w:b/>
        </w:rPr>
        <w:t xml:space="preserve">4 </w:t>
      </w:r>
      <w:r>
        <w:t xml:space="preserve">And Joseph said to his brothers, Come near to me, and they came near. And he said, I am Joseph</w:t>
      </w:r>
      <w:r>
        <w:rPr>
          <w:rStyle w:val="FootnoteReference"/>
        </w:rPr>
        <w:footnoteReference w:id="1156"/>
      </w:r>
      <w:r>
        <w:t xml:space="preserve"> your brother, whom you sold into Egypt.</w:t>
      </w:r>
    </w:p>
    <w:p>
      <w:r>
        <w:rPr>
          <w:b/>
        </w:rPr>
        <w:t xml:space="preserve">5 </w:t>
      </w:r>
      <w:r>
        <w:t xml:space="preserve">And now do not be grieved, nor let it seem hard to you, because you sold me here. For God sent me before you for life.</w:t>
      </w:r>
    </w:p>
    <w:p>
      <w:r>
        <w:rPr>
          <w:b/>
        </w:rPr>
        <w:t xml:space="preserve">6 </w:t>
      </w:r>
      <w:r>
        <w:t xml:space="preserve">For this is the second year of famine upon the land, and there are still five years in which there will be neither plowing nor harvest.</w:t>
      </w:r>
    </w:p>
    <w:p>
      <w:r>
        <w:rPr>
          <w:b/>
        </w:rPr>
        <w:t xml:space="preserve">7 </w:t>
      </w:r>
      <w:r>
        <w:t xml:space="preserve">For God sent me before you to leave for you a remnant on the earth and to preserve for you a great remnant.</w:t>
      </w:r>
    </w:p>
    <w:p>
      <w:r>
        <w:rPr>
          <w:b/>
        </w:rPr>
        <w:t xml:space="preserve">8 </w:t>
      </w:r>
      <w:r>
        <w:t xml:space="preserve">And now it was not</w:t>
      </w:r>
      <w:r>
        <w:rPr>
          <w:rStyle w:val="FootnoteReference"/>
        </w:rPr>
        <w:footnoteReference w:id="1157"/>
      </w:r>
      <w:r>
        <w:t xml:space="preserve"> you who sent me here, but God, and he made me as a father to Pharaoh and lord of all his house and ruler of all the land of Egypt.</w:t>
      </w:r>
    </w:p>
    <w:p>
      <w:r>
        <w:rPr>
          <w:b/>
        </w:rPr>
        <w:t xml:space="preserve">9 </w:t>
      </w:r>
      <w:r>
        <w:t xml:space="preserve">Hurry then and go up to my father and say to him, Thus says your son Joseph: God made me lord of all the land of Egypt. Come down to me, and do not remain.</w:t>
      </w:r>
    </w:p>
    <w:p>
      <w:r>
        <w:rPr>
          <w:b/>
        </w:rPr>
        <w:t xml:space="preserve">10 </w:t>
      </w:r>
      <w:r>
        <w:t xml:space="preserve">And you will dwell in the land</w:t>
      </w:r>
      <w:r>
        <w:rPr>
          <w:rStyle w:val="FootnoteReference"/>
        </w:rPr>
        <w:footnoteReference w:id="1158"/>
      </w:r>
      <w:r>
        <w:t xml:space="preserve"> of Goshen</w:t>
      </w:r>
      <w:r>
        <w:rPr>
          <w:rStyle w:val="FootnoteReference"/>
        </w:rPr>
        <w:footnoteReference w:id="1159"/>
      </w:r>
      <w:r>
        <w:t xml:space="preserve"> of Arabia</w:t>
      </w:r>
      <w:r>
        <w:rPr>
          <w:rStyle w:val="FootnoteReference"/>
        </w:rPr>
        <w:footnoteReference w:id="1160"/>
      </w:r>
      <w:r>
        <w:t xml:space="preserve">, and you will be near me, you and your sons and the sons of your sons, your sheep and your cattle and all that is yours,</w:t>
      </w:r>
    </w:p>
    <w:p>
      <w:r>
        <w:rPr>
          <w:b/>
        </w:rPr>
        <w:t xml:space="preserve">11 </w:t>
      </w:r>
      <w:r>
        <w:t xml:space="preserve">and I will nourish you there, for there are still five years of famine, lest you and your sons and all your possessions be destroyed.</w:t>
      </w:r>
    </w:p>
    <w:p>
      <w:r>
        <w:rPr>
          <w:b/>
        </w:rPr>
        <w:t xml:space="preserve">12 </w:t>
      </w:r>
      <w:r>
        <w:t xml:space="preserve">Look, your eyes</w:t>
      </w:r>
      <w:r>
        <w:rPr>
          <w:rStyle w:val="FootnoteReference"/>
        </w:rPr>
        <w:footnoteReference w:id="1161"/>
      </w:r>
      <w:r>
        <w:t xml:space="preserve"> see, and the eyes of Benjamin my brother see, that my mouth is the one speaking to you.</w:t>
      </w:r>
    </w:p>
    <w:p>
      <w:r>
        <w:rPr>
          <w:b/>
        </w:rPr>
        <w:t xml:space="preserve">13 </w:t>
      </w:r>
      <w:r>
        <w:t xml:space="preserve">Then tell my father all my glory</w:t>
      </w:r>
      <w:r>
        <w:rPr>
          <w:rStyle w:val="FootnoteReference"/>
        </w:rPr>
        <w:footnoteReference w:id="1162"/>
      </w:r>
      <w:r>
        <w:t xml:space="preserve"> in Egypt and all that you have seen, and hurry and bring my father down here.</w:t>
      </w:r>
    </w:p>
    <w:p>
      <w:r>
        <w:rPr>
          <w:b/>
        </w:rPr>
        <w:t xml:space="preserve">14 </w:t>
      </w:r>
      <w:r>
        <w:t xml:space="preserve">And falling on the neck of Benjamin his brother, he wept over him, and Benjamin wept on his neck.</w:t>
      </w:r>
    </w:p>
    <w:p>
      <w:r>
        <w:rPr>
          <w:b/>
        </w:rPr>
        <w:t xml:space="preserve">15 </w:t>
      </w:r>
      <w:r>
        <w:t xml:space="preserve">And kissing all his brothers, he wept over them, and after this his brothers spoke to him.</w:t>
      </w:r>
    </w:p>
    <w:p>
      <w:r>
        <w:rPr>
          <w:b/>
        </w:rPr>
        <w:t xml:space="preserve">16 </w:t>
      </w:r>
      <w:r>
        <w:t xml:space="preserve">And the report was heard in Pharaoh's house, saying, Joseph's brothers have come. And Pharaoh and his household rejoiced.</w:t>
      </w:r>
    </w:p>
    <w:p>
      <w:r>
        <w:rPr>
          <w:b/>
        </w:rPr>
        <w:t xml:space="preserve">17 </w:t>
      </w:r>
      <w:r>
        <w:t xml:space="preserve">And Pharaoh said to Joseph, Tell your brothers, Do this: fill your beasts and go to the land of Canaan,</w:t>
      </w:r>
    </w:p>
    <w:p>
      <w:r>
        <w:rPr>
          <w:b/>
        </w:rPr>
        <w:t xml:space="preserve">18 </w:t>
      </w:r>
      <w:r>
        <w:t xml:space="preserve">and take your father and your possessions and come to me, and I will give you from all the good things of Egypt, and you will eat the marrow of the land.</w:t>
      </w:r>
    </w:p>
    <w:p>
      <w:r>
        <w:rPr>
          <w:b/>
        </w:rPr>
        <w:t xml:space="preserve">19 </w:t>
      </w:r>
      <w:r>
        <w:t xml:space="preserve">And you, command this: take carts for them out of the land of Egypt for your</w:t>
      </w:r>
      <w:r>
        <w:rPr>
          <w:rStyle w:val="FootnoteReference"/>
        </w:rPr>
        <w:footnoteReference w:id="1163"/>
      </w:r>
      <w:r>
        <w:t xml:space="preserve"> little ones and your wives. And taking your father, come.</w:t>
      </w:r>
    </w:p>
    <w:p>
      <w:r>
        <w:rPr>
          <w:b/>
        </w:rPr>
        <w:t xml:space="preserve">20 </w:t>
      </w:r>
      <w:r>
        <w:t xml:space="preserve">And do not spare your eyes for your goods, for all the good</w:t>
      </w:r>
      <w:r>
        <w:rPr>
          <w:rStyle w:val="FootnoteReference"/>
        </w:rPr>
        <w:footnoteReference w:id="1164"/>
      </w:r>
      <w:r>
        <w:t xml:space="preserve"> things of Egypt will be yours.</w:t>
      </w:r>
    </w:p>
    <w:p>
      <w:r>
        <w:rPr>
          <w:b/>
        </w:rPr>
        <w:t xml:space="preserve">21 </w:t>
      </w:r>
      <w:r>
        <w:t xml:space="preserve">And the sons of Israel did so. And Joseph gave them carts according to Pharaoh's word and gave them provisions for the road,</w:t>
      </w:r>
    </w:p>
    <w:p>
      <w:r>
        <w:rPr>
          <w:b/>
        </w:rPr>
        <w:t xml:space="preserve">22 </w:t>
      </w:r>
      <w:r>
        <w:t xml:space="preserve">and to all he gave two garments apiece, but to Benjamin</w:t>
      </w:r>
      <w:r>
        <w:rPr>
          <w:rStyle w:val="FootnoteReference"/>
        </w:rPr>
        <w:footnoteReference w:id="1165"/>
      </w:r>
      <w:r>
        <w:t xml:space="preserve"> he gave three hundred gold pieces and five changing garments,</w:t>
      </w:r>
    </w:p>
    <w:p>
      <w:r>
        <w:rPr>
          <w:b/>
        </w:rPr>
        <w:t xml:space="preserve">23 </w:t>
      </w:r>
      <w:r>
        <w:t xml:space="preserve">and to his father he sent likewise: ten donkeys carrying from all the good things</w:t>
      </w:r>
      <w:r>
        <w:rPr>
          <w:rStyle w:val="FootnoteReference"/>
        </w:rPr>
        <w:footnoteReference w:id="1166"/>
      </w:r>
      <w:r>
        <w:t xml:space="preserve"> of Egypt, and ten she-donkeys carrying bread for his father for the journey.</w:t>
      </w:r>
    </w:p>
    <w:p>
      <w:r>
        <w:rPr>
          <w:b/>
        </w:rPr>
        <w:t xml:space="preserve">24 </w:t>
      </w:r>
      <w:r>
        <w:t xml:space="preserve">And he sent away his brothers, and they went. And he said to them, Do not be angry on the road.</w:t>
      </w:r>
    </w:p>
    <w:p>
      <w:r>
        <w:rPr>
          <w:b/>
        </w:rPr>
        <w:t xml:space="preserve">25 </w:t>
      </w:r>
      <w:r>
        <w:t xml:space="preserve">And they went up out of Egypt and came to the land of Canaan to Jacob their father,</w:t>
      </w:r>
    </w:p>
    <w:p>
      <w:r>
        <w:rPr>
          <w:b/>
        </w:rPr>
        <w:t xml:space="preserve">26 </w:t>
      </w:r>
      <w:r>
        <w:t xml:space="preserve">and they reported to him, saying, Your son Joseph</w:t>
      </w:r>
      <w:r>
        <w:rPr>
          <w:rStyle w:val="FootnoteReference"/>
        </w:rPr>
        <w:footnoteReference w:id="1167"/>
      </w:r>
      <w:r>
        <w:t xml:space="preserve"> lives, and he rules all the land of Egypt. And Jacob was stunned in mind, for he did not believe them.</w:t>
      </w:r>
    </w:p>
    <w:p>
      <w:r>
        <w:rPr>
          <w:b/>
        </w:rPr>
        <w:t xml:space="preserve">27 </w:t>
      </w:r>
      <w:r>
        <w:t xml:space="preserve">And they told him all the words of Joseph that he had spoken to them. And when he saw the carts that Joseph had sent to take him, the spirit of Jacob their father revived</w:t>
      </w:r>
      <w:r>
        <w:rPr>
          <w:rStyle w:val="FootnoteReference"/>
        </w:rPr>
        <w:footnoteReference w:id="1168"/>
      </w:r>
      <w:r>
        <w:t xml:space="preserve">.</w:t>
      </w:r>
      <w:r>
        <w:rPr>
          <w:rStyle w:val="FootnoteReference"/>
        </w:rPr>
        <w:footnoteReference w:id="1169"/>
      </w:r>
    </w:p>
    <w:p>
      <w:r>
        <w:rPr>
          <w:b/>
        </w:rPr>
        <w:t xml:space="preserve">28 </w:t>
      </w:r>
      <w:r>
        <w:t xml:space="preserve">And Israel said, It is a great thing for me if Joseph my son still lives. I will go and see him before I die.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46</w:t>
      </w:r>
    </w:p>
    <w:p>
      <w:r>
        <w:rPr>
          <w:b/>
        </w:rPr>
        <w:t xml:space="preserve">1 </w:t>
      </w:r>
      <w:r>
        <w:t xml:space="preserve">And Israel departed, he and all that was his, and came to the Well of the Oath and offered</w:t>
      </w:r>
      <w:r>
        <w:rPr>
          <w:rStyle w:val="FootnoteReference"/>
        </w:rPr>
        <w:footnoteReference w:id="1170"/>
      </w:r>
      <w:r>
        <w:t xml:space="preserve"> sacrifice to the God of his father Isaac.</w:t>
      </w:r>
    </w:p>
    <w:p>
      <w:r>
        <w:rPr>
          <w:b/>
        </w:rPr>
        <w:t xml:space="preserve">2 </w:t>
      </w:r>
      <w:r>
        <w:t xml:space="preserve">And God spoke to Israel in a vision of the night, saying, Jacob</w:t>
      </w:r>
      <w:r>
        <w:rPr>
          <w:rStyle w:val="FootnoteReference"/>
        </w:rPr>
        <w:footnoteReference w:id="1171"/>
      </w:r>
      <w:r>
        <w:t xml:space="preserve">, Jacob. And he said, What is it?</w:t>
      </w:r>
    </w:p>
    <w:p>
      <w:r>
        <w:rPr>
          <w:b/>
        </w:rPr>
        <w:t xml:space="preserve">3 </w:t>
      </w:r>
      <w:r>
        <w:t xml:space="preserve">And he says to him, I am the God</w:t>
      </w:r>
      <w:r>
        <w:rPr>
          <w:rStyle w:val="FootnoteReference"/>
        </w:rPr>
        <w:footnoteReference w:id="1172"/>
      </w:r>
      <w:r>
        <w:t xml:space="preserve"> of your fathers. Do not fear to go down into Egypt, for I will make you there into a great nation,</w:t>
      </w:r>
    </w:p>
    <w:p>
      <w:r>
        <w:rPr>
          <w:b/>
        </w:rPr>
        <w:t xml:space="preserve">4 </w:t>
      </w:r>
      <w:r>
        <w:t xml:space="preserve">and I will go</w:t>
      </w:r>
      <w:r>
        <w:rPr>
          <w:rStyle w:val="FootnoteReference"/>
        </w:rPr>
        <w:footnoteReference w:id="1173"/>
      </w:r>
      <w:r>
        <w:t xml:space="preserve"> down with you into Egypt, and I will bring you up at the end, and Joseph will place his hands on your eyes.</w:t>
      </w:r>
    </w:p>
    <w:p>
      <w:r>
        <w:rPr>
          <w:b/>
        </w:rPr>
        <w:t xml:space="preserve">5 </w:t>
      </w:r>
      <w:r>
        <w:t xml:space="preserve">And Jacob</w:t>
      </w:r>
      <w:r>
        <w:rPr>
          <w:rStyle w:val="FootnoteReference"/>
        </w:rPr>
        <w:footnoteReference w:id="1174"/>
      </w:r>
      <w:r>
        <w:t xml:space="preserve"> rose from the Well of the Oath, and the sons of Israel took up their father and their households and their wives on the carts that Joseph sent to take him,</w:t>
      </w:r>
    </w:p>
    <w:p>
      <w:r>
        <w:rPr>
          <w:b/>
        </w:rPr>
        <w:t xml:space="preserve">6 </w:t>
      </w:r>
      <w:r>
        <w:t xml:space="preserve">and taking up their possessions and all the property that they had acquired in the land of Canaan, they entered into Egypt</w:t>
      </w:r>
      <w:r>
        <w:rPr>
          <w:rStyle w:val="FootnoteReference"/>
        </w:rPr>
        <w:footnoteReference w:id="1175"/>
      </w:r>
      <w:r>
        <w:t xml:space="preserve">, Jacob and all his seed with him,</w:t>
      </w:r>
    </w:p>
    <w:p>
      <w:r>
        <w:rPr>
          <w:b/>
        </w:rPr>
        <w:t xml:space="preserve">7 </w:t>
      </w:r>
      <w:r>
        <w:t xml:space="preserve">sons and sons of his sons with him, daughters and daughters of his daughters. And he brought all his seed into Egypt.</w:t>
      </w:r>
    </w:p>
    <w:p>
      <w:r>
        <w:rPr>
          <w:b/>
        </w:rPr>
        <w:t xml:space="preserve">8 </w:t>
      </w:r>
      <w:r>
        <w:t xml:space="preserve">And these are the names</w:t>
      </w:r>
      <w:r>
        <w:rPr>
          <w:rStyle w:val="FootnoteReference"/>
        </w:rPr>
        <w:footnoteReference w:id="1176"/>
      </w:r>
      <w:r>
        <w:t xml:space="preserve"> of the sons of Israel who entered into Egypt along with Jacob their father: Jacob and his sons. The firstborn of Jacob was Reuben.</w:t>
      </w:r>
    </w:p>
    <w:p>
      <w:r>
        <w:rPr>
          <w:b/>
        </w:rPr>
        <w:t xml:space="preserve">9 </w:t>
      </w:r>
      <w:r>
        <w:t xml:space="preserve">And the sons of Reuben: Enoch and Pallu</w:t>
      </w:r>
      <w:r>
        <w:rPr>
          <w:rStyle w:val="FootnoteReference"/>
        </w:rPr>
        <w:footnoteReference w:id="1177"/>
      </w:r>
      <w:r>
        <w:t xml:space="preserve">, Hezron</w:t>
      </w:r>
      <w:r>
        <w:rPr>
          <w:rStyle w:val="FootnoteReference"/>
        </w:rPr>
        <w:footnoteReference w:id="1178"/>
      </w:r>
      <w:r>
        <w:t xml:space="preserve"> and Carmi</w:t>
      </w:r>
      <w:r>
        <w:rPr>
          <w:rStyle w:val="FootnoteReference"/>
        </w:rPr>
        <w:footnoteReference w:id="1179"/>
      </w:r>
      <w:r>
        <w:t xml:space="preserve">.</w:t>
      </w:r>
    </w:p>
    <w:p>
      <w:r>
        <w:rPr>
          <w:b/>
        </w:rPr>
        <w:t xml:space="preserve">10 </w:t>
      </w:r>
      <w:r>
        <w:t xml:space="preserve">And the sons of Simeon</w:t>
      </w:r>
      <w:r>
        <w:rPr>
          <w:rStyle w:val="FootnoteReference"/>
        </w:rPr>
        <w:footnoteReference w:id="1180"/>
      </w:r>
      <w:r>
        <w:t xml:space="preserve">: Jemuel</w:t>
      </w:r>
      <w:r>
        <w:rPr>
          <w:rStyle w:val="FootnoteReference"/>
        </w:rPr>
        <w:footnoteReference w:id="1181"/>
      </w:r>
      <w:r>
        <w:t xml:space="preserve"> and Jamin</w:t>
      </w:r>
      <w:r>
        <w:rPr>
          <w:rStyle w:val="FootnoteReference"/>
        </w:rPr>
        <w:footnoteReference w:id="1182"/>
      </w:r>
      <w:r>
        <w:t xml:space="preserve"> and Ohad</w:t>
      </w:r>
      <w:r>
        <w:rPr>
          <w:rStyle w:val="FootnoteReference"/>
        </w:rPr>
        <w:footnoteReference w:id="1183"/>
      </w:r>
      <w:r>
        <w:t xml:space="preserve"> and Jachin</w:t>
      </w:r>
      <w:r>
        <w:rPr>
          <w:rStyle w:val="FootnoteReference"/>
        </w:rPr>
        <w:footnoteReference w:id="1184"/>
      </w:r>
      <w:r>
        <w:t xml:space="preserve"> and Zohar and Saul, son of the Canaanite woman.</w:t>
      </w:r>
    </w:p>
    <w:p>
      <w:r>
        <w:rPr>
          <w:b/>
        </w:rPr>
        <w:t xml:space="preserve">11 </w:t>
      </w:r>
      <w:r>
        <w:t xml:space="preserve">And the sons of Levi</w:t>
      </w:r>
      <w:r>
        <w:rPr>
          <w:rStyle w:val="FootnoteReference"/>
        </w:rPr>
        <w:footnoteReference w:id="1185"/>
      </w:r>
      <w:r>
        <w:t xml:space="preserve">: Gershon</w:t>
      </w:r>
      <w:r>
        <w:rPr>
          <w:rStyle w:val="FootnoteReference"/>
        </w:rPr>
        <w:footnoteReference w:id="1186"/>
      </w:r>
      <w:r>
        <w:t xml:space="preserve">, Kohath</w:t>
      </w:r>
      <w:r>
        <w:rPr>
          <w:rStyle w:val="FootnoteReference"/>
        </w:rPr>
        <w:footnoteReference w:id="1187"/>
      </w:r>
      <w:r>
        <w:t xml:space="preserve"> and Merari</w:t>
      </w:r>
      <w:r>
        <w:rPr>
          <w:rStyle w:val="FootnoteReference"/>
        </w:rPr>
        <w:footnoteReference w:id="1188"/>
      </w:r>
      <w:r>
        <w:t xml:space="preserve">.</w:t>
      </w:r>
    </w:p>
    <w:p>
      <w:r>
        <w:rPr>
          <w:b/>
        </w:rPr>
        <w:t xml:space="preserve">12 </w:t>
      </w:r>
      <w:r>
        <w:t xml:space="preserve">And the sons of Judah</w:t>
      </w:r>
      <w:r>
        <w:rPr>
          <w:rStyle w:val="FootnoteReference"/>
        </w:rPr>
        <w:footnoteReference w:id="1189"/>
      </w:r>
      <w:r>
        <w:t xml:space="preserve">: Er and Onan and Shallum</w:t>
      </w:r>
      <w:r>
        <w:rPr>
          <w:rStyle w:val="FootnoteReference"/>
        </w:rPr>
        <w:footnoteReference w:id="1190"/>
      </w:r>
      <w:r>
        <w:t xml:space="preserve"> and Perez and Zerah. And Er and Onan died in the land of Canaan. And the sons of Perez became Hezron and Jemuel.</w:t>
      </w:r>
    </w:p>
    <w:p>
      <w:r>
        <w:rPr>
          <w:b/>
        </w:rPr>
        <w:t xml:space="preserve">13 </w:t>
      </w:r>
      <w:r>
        <w:t xml:space="preserve">And the sons of Issachar</w:t>
      </w:r>
      <w:r>
        <w:rPr>
          <w:rStyle w:val="FootnoteReference"/>
        </w:rPr>
        <w:footnoteReference w:id="1191"/>
      </w:r>
      <w:r>
        <w:t xml:space="preserve">: Tola</w:t>
      </w:r>
      <w:r>
        <w:rPr>
          <w:rStyle w:val="FootnoteReference"/>
        </w:rPr>
        <w:footnoteReference w:id="1192"/>
      </w:r>
      <w:r>
        <w:t xml:space="preserve"> and Puah</w:t>
      </w:r>
      <w:r>
        <w:rPr>
          <w:rStyle w:val="FootnoteReference"/>
        </w:rPr>
        <w:footnoteReference w:id="1193"/>
      </w:r>
      <w:r>
        <w:t xml:space="preserve"> and Job and Shimron</w:t>
      </w:r>
      <w:r>
        <w:rPr>
          <w:rStyle w:val="FootnoteReference"/>
        </w:rPr>
        <w:footnoteReference w:id="1194"/>
      </w:r>
      <w:r>
        <w:t xml:space="preserve">.</w:t>
      </w:r>
      <w:r>
        <w:rPr>
          <w:rStyle w:val="FootnoteReference"/>
        </w:rPr>
        <w:footnoteReference w:id="1195"/>
      </w:r>
    </w:p>
    <w:p>
      <w:r>
        <w:rPr>
          <w:b/>
        </w:rPr>
        <w:t xml:space="preserve">14 </w:t>
      </w:r>
      <w:r>
        <w:t xml:space="preserve">And the sons of Zebulun</w:t>
      </w:r>
      <w:r>
        <w:rPr>
          <w:rStyle w:val="FootnoteReference"/>
        </w:rPr>
        <w:footnoteReference w:id="1196"/>
      </w:r>
      <w:r>
        <w:t xml:space="preserve">: Sered</w:t>
      </w:r>
      <w:r>
        <w:rPr>
          <w:rStyle w:val="FootnoteReference"/>
        </w:rPr>
        <w:footnoteReference w:id="1197"/>
      </w:r>
      <w:r>
        <w:t xml:space="preserve"> and Allon</w:t>
      </w:r>
      <w:r>
        <w:rPr>
          <w:rStyle w:val="FootnoteReference"/>
        </w:rPr>
        <w:footnoteReference w:id="1198"/>
      </w:r>
      <w:r>
        <w:t xml:space="preserve"> and Jahleel</w:t>
      </w:r>
      <w:r>
        <w:rPr>
          <w:rStyle w:val="FootnoteReference"/>
        </w:rPr>
        <w:footnoteReference w:id="1199"/>
      </w:r>
      <w:r>
        <w:t xml:space="preserve">.</w:t>
      </w:r>
    </w:p>
    <w:p>
      <w:r>
        <w:rPr>
          <w:b/>
        </w:rPr>
        <w:t xml:space="preserve">15 </w:t>
      </w:r>
      <w:r>
        <w:t xml:space="preserve">These are the sons of Leah</w:t>
      </w:r>
      <w:r>
        <w:rPr>
          <w:rStyle w:val="FootnoteReference"/>
        </w:rPr>
        <w:footnoteReference w:id="1200"/>
      </w:r>
      <w:r>
        <w:t xml:space="preserve">, whom she bore to Jacob in Mesopotamia of Syria, and Dinah his daughter. All the souls, sons and daughters, were thirty-three.</w:t>
      </w:r>
    </w:p>
    <w:p>
      <w:r>
        <w:rPr>
          <w:b/>
        </w:rPr>
        <w:t xml:space="preserve">16 </w:t>
      </w:r>
      <w:r>
        <w:t xml:space="preserve">And the sons of</w:t>
      </w:r>
      <w:r>
        <w:rPr>
          <w:rStyle w:val="FootnoteReference"/>
        </w:rPr>
        <w:footnoteReference w:id="1201"/>
      </w:r>
      <w:r>
        <w:t xml:space="preserve"> Gad: Zephon</w:t>
      </w:r>
      <w:r>
        <w:rPr>
          <w:rStyle w:val="FootnoteReference"/>
        </w:rPr>
        <w:footnoteReference w:id="1202"/>
      </w:r>
      <w:r>
        <w:t xml:space="preserve"> and Haggi</w:t>
      </w:r>
      <w:r>
        <w:rPr>
          <w:rStyle w:val="FootnoteReference"/>
        </w:rPr>
        <w:footnoteReference w:id="1203"/>
      </w:r>
      <w:r>
        <w:t xml:space="preserve"> and Shuni</w:t>
      </w:r>
      <w:r>
        <w:rPr>
          <w:rStyle w:val="FootnoteReference"/>
        </w:rPr>
        <w:footnoteReference w:id="1204"/>
      </w:r>
      <w:r>
        <w:t xml:space="preserve"> and Ezbon</w:t>
      </w:r>
      <w:r>
        <w:rPr>
          <w:rStyle w:val="FootnoteReference"/>
        </w:rPr>
        <w:footnoteReference w:id="1205"/>
      </w:r>
      <w:r>
        <w:t xml:space="preserve"> and Eri</w:t>
      </w:r>
      <w:r>
        <w:rPr>
          <w:rStyle w:val="FootnoteReference"/>
        </w:rPr>
        <w:footnoteReference w:id="1206"/>
      </w:r>
      <w:r>
        <w:t xml:space="preserve"> and Arodi</w:t>
      </w:r>
      <w:r>
        <w:rPr>
          <w:rStyle w:val="FootnoteReference"/>
        </w:rPr>
        <w:footnoteReference w:id="1207"/>
      </w:r>
      <w:r>
        <w:t xml:space="preserve"> and Areli</w:t>
      </w:r>
      <w:r>
        <w:rPr>
          <w:rStyle w:val="FootnoteReference"/>
        </w:rPr>
        <w:footnoteReference w:id="1208"/>
      </w:r>
      <w:r>
        <w:t xml:space="preserve">.</w:t>
      </w:r>
    </w:p>
    <w:p>
      <w:r>
        <w:rPr>
          <w:b/>
        </w:rPr>
        <w:t xml:space="preserve">17 </w:t>
      </w:r>
      <w:r>
        <w:t xml:space="preserve">And the sons of Asher</w:t>
      </w:r>
      <w:r>
        <w:rPr>
          <w:rStyle w:val="FootnoteReference"/>
        </w:rPr>
        <w:footnoteReference w:id="1209"/>
      </w:r>
      <w:r>
        <w:t xml:space="preserve">: Jimnah</w:t>
      </w:r>
      <w:r>
        <w:rPr>
          <w:rStyle w:val="FootnoteReference"/>
        </w:rPr>
        <w:footnoteReference w:id="1210"/>
      </w:r>
      <w:r>
        <w:t xml:space="preserve">, Jessua and Jeush and Beriah</w:t>
      </w:r>
      <w:r>
        <w:rPr>
          <w:rStyle w:val="FootnoteReference"/>
        </w:rPr>
        <w:footnoteReference w:id="1211"/>
      </w:r>
      <w:r>
        <w:t xml:space="preserve"> and Sara their sister. And the sons of Beriah: Heber</w:t>
      </w:r>
      <w:r>
        <w:rPr>
          <w:rStyle w:val="FootnoteReference"/>
        </w:rPr>
        <w:footnoteReference w:id="1212"/>
      </w:r>
      <w:r>
        <w:t xml:space="preserve"> and Malchiel</w:t>
      </w:r>
      <w:r>
        <w:rPr>
          <w:rStyle w:val="FootnoteReference"/>
        </w:rPr>
        <w:footnoteReference w:id="1213"/>
      </w:r>
      <w:r>
        <w:t xml:space="preserve">.</w:t>
      </w:r>
    </w:p>
    <w:p>
      <w:r>
        <w:rPr>
          <w:b/>
        </w:rPr>
        <w:t xml:space="preserve">18 </w:t>
      </w:r>
      <w:r>
        <w:t xml:space="preserve">These are the sons of Zilpah</w:t>
      </w:r>
      <w:r>
        <w:rPr>
          <w:rStyle w:val="FootnoteReference"/>
        </w:rPr>
        <w:footnoteReference w:id="1214"/>
      </w:r>
      <w:r>
        <w:t xml:space="preserve">, whom Laban gave to Leah his daughter, who bore these to Jacob, sixteen souls.</w:t>
      </w:r>
    </w:p>
    <w:p>
      <w:r>
        <w:rPr>
          <w:b/>
        </w:rPr>
        <w:t xml:space="preserve">19 </w:t>
      </w:r>
      <w:r>
        <w:t xml:space="preserve">And the sons of Rachel, Jacob's wife</w:t>
      </w:r>
      <w:r>
        <w:rPr>
          <w:rStyle w:val="FootnoteReference"/>
        </w:rPr>
        <w:footnoteReference w:id="1215"/>
      </w:r>
      <w:r>
        <w:t xml:space="preserve">: Joseph and Benjamin.</w:t>
      </w:r>
      <w:r>
        <w:rPr>
          <w:rStyle w:val="FootnoteReference"/>
        </w:rPr>
        <w:footnoteReference w:id="1216"/>
      </w:r>
    </w:p>
    <w:p>
      <w:r>
        <w:rPr>
          <w:b/>
        </w:rPr>
        <w:t xml:space="preserve">20 </w:t>
      </w:r>
      <w:r>
        <w:t xml:space="preserve">And sons were born to Joseph in the land of Egypt, whom Asenath daughter of Potiphera priest of Heliopolis bore to him, Manasseh</w:t>
      </w:r>
      <w:r>
        <w:rPr>
          <w:rStyle w:val="FootnoteReference"/>
        </w:rPr>
        <w:footnoteReference w:id="1217"/>
      </w:r>
      <w:r>
        <w:t xml:space="preserve"> and Ephraim. And there were sons of Manasseh, whom the Syrian concubine bore to him, Machir</w:t>
      </w:r>
      <w:r>
        <w:rPr>
          <w:rStyle w:val="FootnoteReference"/>
        </w:rPr>
        <w:footnoteReference w:id="1218"/>
      </w:r>
      <w:r>
        <w:t xml:space="preserve">. And Machir begot Gilead. And the sons of Ephraim, brother of Manasseh, were Shuthelah</w:t>
      </w:r>
      <w:r>
        <w:rPr>
          <w:rStyle w:val="FootnoteReference"/>
        </w:rPr>
        <w:footnoteReference w:id="1219"/>
      </w:r>
      <w:r>
        <w:t xml:space="preserve"> and Tahan</w:t>
      </w:r>
      <w:r>
        <w:rPr>
          <w:rStyle w:val="FootnoteReference"/>
        </w:rPr>
        <w:footnoteReference w:id="1220"/>
      </w:r>
      <w:r>
        <w:t xml:space="preserve">. And the sons of Shuthelah were Eran</w:t>
      </w:r>
      <w:r>
        <w:rPr>
          <w:rStyle w:val="FootnoteReference"/>
        </w:rPr>
        <w:footnoteReference w:id="1221"/>
      </w:r>
      <w:r>
        <w:t xml:space="preserve">.</w:t>
      </w:r>
    </w:p>
    <w:p>
      <w:r>
        <w:rPr>
          <w:b/>
        </w:rPr>
        <w:t xml:space="preserve">21 </w:t>
      </w:r>
      <w:r>
        <w:t xml:space="preserve">And the sons</w:t>
      </w:r>
      <w:r>
        <w:rPr>
          <w:rStyle w:val="FootnoteReference"/>
        </w:rPr>
        <w:footnoteReference w:id="1222"/>
      </w:r>
      <w:r>
        <w:t xml:space="preserve"> of Benjamin: Belah</w:t>
      </w:r>
      <w:r>
        <w:rPr>
          <w:rStyle w:val="FootnoteReference"/>
        </w:rPr>
        <w:footnoteReference w:id="1223"/>
      </w:r>
      <w:r>
        <w:t xml:space="preserve"> and Heber and Ashbel</w:t>
      </w:r>
      <w:r>
        <w:rPr>
          <w:rStyle w:val="FootnoteReference"/>
        </w:rPr>
        <w:footnoteReference w:id="1224"/>
      </w:r>
      <w:r>
        <w:t xml:space="preserve">. And the sons of Belah were: Gera</w:t>
      </w:r>
      <w:r>
        <w:rPr>
          <w:rStyle w:val="FootnoteReference"/>
        </w:rPr>
        <w:footnoteReference w:id="1225"/>
      </w:r>
      <w:r>
        <w:t xml:space="preserve"> and Naaman</w:t>
      </w:r>
      <w:r>
        <w:rPr>
          <w:rStyle w:val="FootnoteReference"/>
        </w:rPr>
        <w:footnoteReference w:id="1226"/>
      </w:r>
      <w:r>
        <w:t xml:space="preserve"> and Anchis and Rosh</w:t>
      </w:r>
      <w:r>
        <w:rPr>
          <w:rStyle w:val="FootnoteReference"/>
        </w:rPr>
        <w:footnoteReference w:id="1227"/>
      </w:r>
      <w:r>
        <w:t xml:space="preserve"> and Muppim</w:t>
      </w:r>
      <w:r>
        <w:rPr>
          <w:rStyle w:val="FootnoteReference"/>
        </w:rPr>
        <w:footnoteReference w:id="1228"/>
      </w:r>
      <w:r>
        <w:t xml:space="preserve"> and Ophimin. And Gera begot Ard</w:t>
      </w:r>
      <w:r>
        <w:rPr>
          <w:rStyle w:val="FootnoteReference"/>
        </w:rPr>
        <w:footnoteReference w:id="1229"/>
      </w:r>
      <w:r>
        <w:t xml:space="preserve">.</w:t>
      </w:r>
    </w:p>
    <w:p>
      <w:r>
        <w:rPr>
          <w:b/>
        </w:rPr>
        <w:t xml:space="preserve">22 </w:t>
      </w:r>
      <w:r>
        <w:t xml:space="preserve">These are the sons of Rachel, whom she bore to Jacob. All the souls were eighteen.</w:t>
      </w:r>
    </w:p>
    <w:p>
      <w:r>
        <w:rPr>
          <w:b/>
        </w:rPr>
        <w:t xml:space="preserve">23 </w:t>
      </w:r>
      <w:r>
        <w:t xml:space="preserve">And the sons of Dan: Hushim</w:t>
      </w:r>
      <w:r>
        <w:rPr>
          <w:rStyle w:val="FootnoteReference"/>
        </w:rPr>
        <w:footnoteReference w:id="1230"/>
      </w:r>
      <w:r>
        <w:t xml:space="preserve">.</w:t>
      </w:r>
      <w:r>
        <w:rPr>
          <w:rStyle w:val="FootnoteReference"/>
        </w:rPr>
        <w:footnoteReference w:id="1231"/>
      </w:r>
    </w:p>
    <w:p>
      <w:r>
        <w:rPr>
          <w:b/>
        </w:rPr>
        <w:t xml:space="preserve">24 </w:t>
      </w:r>
      <w:r>
        <w:t xml:space="preserve">And the sons of Naphtali</w:t>
      </w:r>
      <w:r>
        <w:rPr>
          <w:rStyle w:val="FootnoteReference"/>
        </w:rPr>
        <w:footnoteReference w:id="1232"/>
      </w:r>
      <w:r>
        <w:t xml:space="preserve">: Asiel</w:t>
      </w:r>
      <w:r>
        <w:rPr>
          <w:rStyle w:val="FootnoteReference"/>
        </w:rPr>
        <w:footnoteReference w:id="1233"/>
      </w:r>
      <w:r>
        <w:t xml:space="preserve"> and Guni</w:t>
      </w:r>
      <w:r>
        <w:rPr>
          <w:rStyle w:val="FootnoteReference"/>
        </w:rPr>
        <w:footnoteReference w:id="1234"/>
      </w:r>
      <w:r>
        <w:t xml:space="preserve"> and Izhar</w:t>
      </w:r>
      <w:r>
        <w:rPr>
          <w:rStyle w:val="FootnoteReference"/>
        </w:rPr>
        <w:footnoteReference w:id="1235"/>
      </w:r>
      <w:r>
        <w:t xml:space="preserve"> and Shillem</w:t>
      </w:r>
      <w:r>
        <w:rPr>
          <w:rStyle w:val="FootnoteReference"/>
        </w:rPr>
        <w:footnoteReference w:id="1236"/>
      </w:r>
      <w:r>
        <w:t xml:space="preserve">.</w:t>
      </w:r>
    </w:p>
    <w:p>
      <w:r>
        <w:rPr>
          <w:b/>
        </w:rPr>
        <w:t xml:space="preserve">25 </w:t>
      </w:r>
      <w:r>
        <w:t xml:space="preserve">These are the sons of Bilhah</w:t>
      </w:r>
      <w:r>
        <w:rPr>
          <w:rStyle w:val="FootnoteReference"/>
        </w:rPr>
        <w:footnoteReference w:id="1237"/>
      </w:r>
      <w:r>
        <w:t xml:space="preserve">, whom Laban gave to Rachel his daughter, who bore these to Jacob. All the souls were seven.</w:t>
      </w:r>
    </w:p>
    <w:p>
      <w:r>
        <w:rPr>
          <w:b/>
        </w:rPr>
        <w:t xml:space="preserve">26 </w:t>
      </w:r>
      <w:r>
        <w:t xml:space="preserve">And all the souls that entered with Jacob into Egypt, those who came out of his loins</w:t>
      </w:r>
      <w:r>
        <w:rPr>
          <w:rStyle w:val="FootnoteReference"/>
        </w:rPr>
        <w:footnoteReference w:id="1238"/>
      </w:r>
      <w:r>
        <w:t xml:space="preserve">, apart from the wives of Jacob's sons, all the souls were sixty-six.</w:t>
      </w:r>
    </w:p>
    <w:p>
      <w:r>
        <w:rPr>
          <w:b/>
        </w:rPr>
        <w:t xml:space="preserve">27 </w:t>
      </w:r>
      <w:r>
        <w:t xml:space="preserve">And the sons of Joseph born to him in the land of Egypt were nine souls. All the souls of the house of Jacob that entered into Egypt with Jacob were seventy-five souls.</w:t>
      </w:r>
    </w:p>
    <w:p>
      <w:r>
        <w:rPr>
          <w:b/>
        </w:rPr>
        <w:t xml:space="preserve">28 </w:t>
      </w:r>
      <w:r>
        <w:t xml:space="preserve">And he sent Judah</w:t>
      </w:r>
      <w:r>
        <w:rPr>
          <w:rStyle w:val="FootnoteReference"/>
        </w:rPr>
        <w:footnoteReference w:id="1239"/>
      </w:r>
      <w:r>
        <w:t xml:space="preserve"> before him to Joseph to meet him at the city of Heroes, into the land of Rameses</w:t>
      </w:r>
      <w:r>
        <w:rPr>
          <w:rStyle w:val="FootnoteReference"/>
        </w:rPr>
        <w:footnoteReference w:id="1240"/>
      </w:r>
      <w:r>
        <w:t xml:space="preserve">.</w:t>
      </w:r>
    </w:p>
    <w:p>
      <w:r>
        <w:rPr>
          <w:b/>
        </w:rPr>
        <w:t xml:space="preserve">29 </w:t>
      </w:r>
      <w:r>
        <w:t xml:space="preserve">And Joseph, yoking his chariots, went up to meet Israel his father at the city of Heroes, and appearing to him, he fell on</w:t>
      </w:r>
      <w:r>
        <w:rPr>
          <w:rStyle w:val="FootnoteReference"/>
        </w:rPr>
        <w:footnoteReference w:id="1241"/>
      </w:r>
      <w:r>
        <w:t xml:space="preserve"> his neck and wept with abundant weeping.</w:t>
      </w:r>
    </w:p>
    <w:p>
      <w:r>
        <w:rPr>
          <w:b/>
        </w:rPr>
        <w:t xml:space="preserve">30 </w:t>
      </w:r>
      <w:r>
        <w:t xml:space="preserve">And Israel said to Joseph, From now on I will die</w:t>
      </w:r>
      <w:r>
        <w:rPr>
          <w:rStyle w:val="FootnoteReference"/>
        </w:rPr>
        <w:footnoteReference w:id="1242"/>
      </w:r>
      <w:r>
        <w:t xml:space="preserve">, since I have seen your face, because you still live.</w:t>
      </w:r>
    </w:p>
    <w:p>
      <w:r>
        <w:rPr>
          <w:b/>
        </w:rPr>
        <w:t xml:space="preserve">31 </w:t>
      </w:r>
      <w:r>
        <w:t xml:space="preserve">And Joseph said to his brothers, I will go up and report to Pharaoh, and I will say to him, My brothers and my father's house, who were in the land of Canaan, have come to me.</w:t>
      </w:r>
    </w:p>
    <w:p>
      <w:r>
        <w:rPr>
          <w:b/>
        </w:rPr>
        <w:t xml:space="preserve">32 </w:t>
      </w:r>
      <w:r>
        <w:t xml:space="preserve">And the men are shepherds</w:t>
      </w:r>
      <w:r>
        <w:rPr>
          <w:rStyle w:val="FootnoteReference"/>
        </w:rPr>
        <w:footnoteReference w:id="1243"/>
      </w:r>
      <w:r>
        <w:t xml:space="preserve">, for they were men who bred cattle, and they have brought their cattle and their oxen and all that is theirs.</w:t>
      </w:r>
    </w:p>
    <w:p>
      <w:r>
        <w:rPr>
          <w:b/>
        </w:rPr>
        <w:t xml:space="preserve">33 </w:t>
      </w:r>
      <w:r>
        <w:t xml:space="preserve">If then Pharaoh calls you and says to you, What is</w:t>
      </w:r>
      <w:r>
        <w:rPr>
          <w:rStyle w:val="FootnoteReference"/>
        </w:rPr>
        <w:footnoteReference w:id="1244"/>
      </w:r>
      <w:r>
        <w:t xml:space="preserve"> your work?</w:t>
      </w:r>
    </w:p>
    <w:p>
      <w:r>
        <w:rPr>
          <w:b/>
        </w:rPr>
        <w:t xml:space="preserve">34 </w:t>
      </w:r>
      <w:r>
        <w:t xml:space="preserve">you will say, Your servants are breeders of cattle from childhood until now, both we and our fathers, so that you may dwell in the land of Goshen of Arabia</w:t>
      </w:r>
      <w:r>
        <w:rPr>
          <w:rStyle w:val="FootnoteReference"/>
        </w:rPr>
        <w:footnoteReference w:id="1245"/>
      </w:r>
      <w:r>
        <w:t xml:space="preserve">, for every</w:t>
      </w:r>
      <w:r>
        <w:rPr>
          <w:rStyle w:val="FootnoteReference"/>
        </w:rPr>
        <w:footnoteReference w:id="1246"/>
      </w:r>
      <w:r>
        <w:t xml:space="preserve"> shepherd of sheep is an abomination to the Egyptians.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47</w:t>
      </w:r>
    </w:p>
    <w:p>
      <w:r>
        <w:rPr>
          <w:b/>
        </w:rPr>
        <w:t xml:space="preserve">1 </w:t>
      </w:r>
      <w:r>
        <w:t xml:space="preserve">And Joseph</w:t>
      </w:r>
      <w:r>
        <w:rPr>
          <w:rStyle w:val="FootnoteReference"/>
        </w:rPr>
        <w:footnoteReference w:id="1247"/>
      </w:r>
      <w:r>
        <w:t xml:space="preserve"> came and reported to Pharaoh, saying, My father and my brothers and their cattle and their oxen and all that is theirs have come out of the land of Canaan, and look, they are in the land of Goshen.</w:t>
      </w:r>
      <w:r>
        <w:rPr>
          <w:rStyle w:val="FootnoteReference"/>
        </w:rPr>
        <w:footnoteReference w:id="1248"/>
      </w:r>
    </w:p>
    <w:p>
      <w:r>
        <w:rPr>
          <w:b/>
        </w:rPr>
        <w:t xml:space="preserve">2 </w:t>
      </w:r>
      <w:r>
        <w:t xml:space="preserve">And from his brothers he took five men and set them before Pharaoh.</w:t>
      </w:r>
    </w:p>
    <w:p>
      <w:r>
        <w:rPr>
          <w:b/>
        </w:rPr>
        <w:t xml:space="preserve">3 </w:t>
      </w:r>
      <w:r>
        <w:t xml:space="preserve">And Pharaoh said to Joseph's brothers, What is</w:t>
      </w:r>
      <w:r>
        <w:rPr>
          <w:rStyle w:val="FootnoteReference"/>
        </w:rPr>
        <w:footnoteReference w:id="1249"/>
      </w:r>
      <w:r>
        <w:t xml:space="preserve"> your work? And they said to Pharaoh, Your servants are shepherds of sheep, both we and our fathers.</w:t>
      </w:r>
    </w:p>
    <w:p>
      <w:r>
        <w:rPr>
          <w:b/>
        </w:rPr>
        <w:t xml:space="preserve">4 </w:t>
      </w:r>
      <w:r>
        <w:t xml:space="preserve">And they said to Pharaoh, We have come to sojourn in the land, for there is no pasture for the flocks of your servants, because the famine prevailed in the land of Canaan. Now then, let your servants dwell in the land of Goshen.</w:t>
      </w:r>
    </w:p>
    <w:p>
      <w:r>
        <w:rPr>
          <w:b/>
        </w:rPr>
        <w:t xml:space="preserve">5 </w:t>
      </w:r>
      <w:r>
        <w:t xml:space="preserve">And Pharaoh said to Joseph, Let them dwell in the land of Goshen. And if you know that there are able men among them, appoint them rulers over my cattle. And Jacob and his sons came into Egypt to Joseph, and Pharaoh king of Egypt heard.</w:t>
      </w:r>
    </w:p>
    <w:p>
      <w:r>
        <w:rPr>
          <w:b/>
        </w:rPr>
        <w:t xml:space="preserve">6 </w:t>
      </w:r>
      <w:r>
        <w:t xml:space="preserve">And Pharaoh said to Joseph, Your father and your brothers have come to you. Look, the land of Egypt is before you. In the best land settle your father and your brothers.</w:t>
      </w:r>
      <w:r>
        <w:rPr>
          <w:rStyle w:val="FootnoteReference"/>
        </w:rPr>
        <w:footnoteReference w:id="1250"/>
      </w:r>
    </w:p>
    <w:p>
      <w:r>
        <w:rPr>
          <w:b/>
        </w:rPr>
        <w:t xml:space="preserve">7 </w:t>
      </w:r>
      <w:r>
        <w:t xml:space="preserve">And Joseph brought in Jacob his father and set him before Pharaoh, and Jacob blessed Pharaoh</w:t>
      </w:r>
      <w:r>
        <w:rPr>
          <w:rStyle w:val="FootnoteReference"/>
        </w:rPr>
        <w:footnoteReference w:id="1251"/>
      </w:r>
      <w:r>
        <w:t xml:space="preserve">.</w:t>
      </w:r>
      <w:r>
        <w:rPr>
          <w:rStyle w:val="FootnoteReference"/>
        </w:rPr>
        <w:footnoteReference w:id="1252"/>
      </w:r>
    </w:p>
    <w:p>
      <w:r>
        <w:rPr>
          <w:b/>
        </w:rPr>
        <w:t xml:space="preserve">8 </w:t>
      </w:r>
      <w:r>
        <w:t xml:space="preserve">And Pharaoh said to Jacob, How many are the years of the days of your life?</w:t>
      </w:r>
    </w:p>
    <w:p>
      <w:r>
        <w:rPr>
          <w:b/>
        </w:rPr>
        <w:t xml:space="preserve">9 </w:t>
      </w:r>
      <w:r>
        <w:t xml:space="preserve">And Jacob said to Pharaoh, The days</w:t>
      </w:r>
      <w:r>
        <w:rPr>
          <w:rStyle w:val="FootnoteReference"/>
        </w:rPr>
        <w:footnoteReference w:id="1253"/>
      </w:r>
      <w:r>
        <w:t xml:space="preserve"> of the years of my life in which I sojourn are one hundred thirty years. Few and evil have become the days of the years of my life, and they have not reached the days of the years of the life of my fathers, in which days they sojourned.</w:t>
      </w:r>
    </w:p>
    <w:p>
      <w:r>
        <w:rPr>
          <w:b/>
        </w:rPr>
        <w:t xml:space="preserve">10 </w:t>
      </w:r>
      <w:r>
        <w:t xml:space="preserve">And Jacob, having blessed Pharaoh, went out from him.</w:t>
      </w:r>
    </w:p>
    <w:p>
      <w:r>
        <w:rPr>
          <w:b/>
        </w:rPr>
        <w:t xml:space="preserve">11 </w:t>
      </w:r>
      <w:r>
        <w:t xml:space="preserve">And Joseph settled his father and his brothers and gave them a possession in the land of Egypt, in the best land, in the land of Rameses</w:t>
      </w:r>
      <w:r>
        <w:rPr>
          <w:rStyle w:val="FootnoteReference"/>
        </w:rPr>
        <w:footnoteReference w:id="1254"/>
      </w:r>
      <w:r>
        <w:t xml:space="preserve">, just as Pharaoh commanded.</w:t>
      </w:r>
    </w:p>
    <w:p>
      <w:r>
        <w:rPr>
          <w:b/>
        </w:rPr>
        <w:t xml:space="preserve">12 </w:t>
      </w:r>
      <w:r>
        <w:t xml:space="preserve">And Joseph measured out grain to his father</w:t>
      </w:r>
      <w:r>
        <w:rPr>
          <w:rStyle w:val="FootnoteReference"/>
        </w:rPr>
        <w:footnoteReference w:id="1255"/>
      </w:r>
      <w:r>
        <w:t xml:space="preserve"> and his brothers and to all the house of his father according to persons.</w:t>
      </w:r>
    </w:p>
    <w:p>
      <w:r>
        <w:rPr>
          <w:b/>
        </w:rPr>
        <w:t xml:space="preserve">13 </w:t>
      </w:r>
      <w:r>
        <w:t xml:space="preserve">And there was no grain in all the land, for the famine prevailed greatly. And the land of Egypt and the land of Canaan failed because of the famine.</w:t>
      </w:r>
    </w:p>
    <w:p>
      <w:r>
        <w:rPr>
          <w:b/>
        </w:rPr>
        <w:t xml:space="preserve">14 </w:t>
      </w:r>
      <w:r>
        <w:t xml:space="preserve">And Joseph gathered all the money</w:t>
      </w:r>
      <w:r>
        <w:rPr>
          <w:rStyle w:val="FootnoteReference"/>
        </w:rPr>
        <w:footnoteReference w:id="1256"/>
      </w:r>
      <w:r>
        <w:t xml:space="preserve"> found in the land of Egypt and in the land of Canaan for the grain that they were buying, and he measured out grain to them. And Joseph brought all the money into Pharaoh's house.</w:t>
      </w:r>
      <w:r>
        <w:rPr>
          <w:rStyle w:val="FootnoteReference"/>
        </w:rPr>
        <w:footnoteReference w:id="1257"/>
      </w:r>
    </w:p>
    <w:p>
      <w:r>
        <w:rPr>
          <w:b/>
        </w:rPr>
        <w:t xml:space="preserve">15 </w:t>
      </w:r>
      <w:r>
        <w:t xml:space="preserve">And all the money failed out of the land of Egypt and out of the land of Canaan. And all the Egyptians came to Joseph, saying, Give us bread</w:t>
      </w:r>
      <w:r>
        <w:rPr>
          <w:rStyle w:val="FootnoteReference"/>
        </w:rPr>
        <w:footnoteReference w:id="1258"/>
      </w:r>
      <w:r>
        <w:t xml:space="preserve">, and why should we die before you? For our money has failed.</w:t>
      </w:r>
    </w:p>
    <w:p>
      <w:r>
        <w:rPr>
          <w:b/>
        </w:rPr>
        <w:t xml:space="preserve">16 </w:t>
      </w:r>
      <w:r>
        <w:t xml:space="preserve">And Joseph said to them, Bring your livestock, and I will give you bread in exchange for your livestock, if your money has failed.</w:t>
      </w:r>
    </w:p>
    <w:p>
      <w:r>
        <w:rPr>
          <w:b/>
        </w:rPr>
        <w:t xml:space="preserve">17 </w:t>
      </w:r>
      <w:r>
        <w:t xml:space="preserve">And they brought their livestock to Joseph, and Joseph gave them bread in exchange for</w:t>
      </w:r>
      <w:r>
        <w:rPr>
          <w:rStyle w:val="FootnoteReference"/>
        </w:rPr>
        <w:footnoteReference w:id="1259"/>
      </w:r>
      <w:r>
        <w:t xml:space="preserve"> the horses and in exchange for the sheep and in exchange for the oxen and in exchange for the donkeys. And he fed them with bread in exchange for all their livestock in that year.</w:t>
      </w:r>
    </w:p>
    <w:p>
      <w:r>
        <w:rPr>
          <w:b/>
        </w:rPr>
        <w:t xml:space="preserve">18 </w:t>
      </w:r>
      <w:r>
        <w:t xml:space="preserve">And that year ended, and they came to him in the second year and said to him, Let us not be wiped out before our lord. For if our money has failed and our possessions and livestock belong to you, our lord, nothing is left for us before our lord</w:t>
      </w:r>
      <w:r>
        <w:rPr>
          <w:rStyle w:val="FootnoteReference"/>
        </w:rPr>
        <w:footnoteReference w:id="1260"/>
      </w:r>
      <w:r>
        <w:t xml:space="preserve"> except our own bodies and our land.</w:t>
      </w:r>
    </w:p>
    <w:p>
      <w:r>
        <w:rPr>
          <w:b/>
        </w:rPr>
        <w:t xml:space="preserve">19 </w:t>
      </w:r>
      <w:r>
        <w:t xml:space="preserve">So then, let us not die before you and let not the land be made desolate. Buy us and our land for bread</w:t>
      </w:r>
      <w:r>
        <w:rPr>
          <w:rStyle w:val="FootnoteReference"/>
        </w:rPr>
        <w:footnoteReference w:id="1261"/>
      </w:r>
      <w:r>
        <w:t xml:space="preserve">, and we and our land will be servants to Pharaoh. Give seed, so that we may sow and live and not die, and the land will not be made desolate.</w:t>
      </w:r>
      <w:r>
        <w:rPr>
          <w:rStyle w:val="FootnoteReference"/>
        </w:rPr>
        <w:footnoteReference w:id="1262"/>
      </w:r>
    </w:p>
    <w:p>
      <w:r>
        <w:rPr>
          <w:b/>
        </w:rPr>
        <w:t xml:space="preserve">20 </w:t>
      </w:r>
      <w:r>
        <w:t xml:space="preserve">And Joseph bought all the land of the Egyptians for Pharaoh, for the Egyptians sold their land to Pharaoh, because the famine prevailed against them, and the land became Pharaoh's.</w:t>
      </w:r>
    </w:p>
    <w:p>
      <w:r>
        <w:rPr>
          <w:b/>
        </w:rPr>
        <w:t xml:space="preserve">21 </w:t>
      </w:r>
      <w:r>
        <w:t xml:space="preserve">And he enslaved the people to him as servants from one border of Egypt to the other.</w:t>
      </w:r>
    </w:p>
    <w:p>
      <w:r>
        <w:rPr>
          <w:b/>
        </w:rPr>
        <w:t xml:space="preserve">22 </w:t>
      </w:r>
      <w:r>
        <w:t xml:space="preserve">Only the land of the priests</w:t>
      </w:r>
      <w:r>
        <w:rPr>
          <w:rStyle w:val="FootnoteReference"/>
        </w:rPr>
        <w:footnoteReference w:id="1263"/>
      </w:r>
      <w:r>
        <w:t xml:space="preserve"> Joseph did not buy, for Pharaoh gave a fixed allowance to the priests, and they ate the allowance that Pharaoh gave them. Because of this they did not sell their land.</w:t>
      </w:r>
    </w:p>
    <w:p>
      <w:r>
        <w:rPr>
          <w:b/>
        </w:rPr>
        <w:t xml:space="preserve">23 </w:t>
      </w:r>
      <w:r>
        <w:t xml:space="preserve">And Joseph said to all the Egyptians, Look, I have bought</w:t>
      </w:r>
      <w:r>
        <w:rPr>
          <w:rStyle w:val="FootnoteReference"/>
        </w:rPr>
        <w:footnoteReference w:id="1264"/>
      </w:r>
      <w:r>
        <w:t xml:space="preserve"> you and your land today for Pharaoh. Take seed for yourselves and sow the land,</w:t>
      </w:r>
    </w:p>
    <w:p>
      <w:r>
        <w:rPr>
          <w:b/>
        </w:rPr>
        <w:t xml:space="preserve">24 </w:t>
      </w:r>
      <w:r>
        <w:t xml:space="preserve">and its produce will come</w:t>
      </w:r>
      <w:r>
        <w:rPr>
          <w:rStyle w:val="FootnoteReference"/>
        </w:rPr>
        <w:footnoteReference w:id="1265"/>
      </w:r>
      <w:r>
        <w:t xml:space="preserve">, and you will give the fifth part</w:t>
      </w:r>
      <w:r>
        <w:rPr>
          <w:rStyle w:val="FootnoteReference"/>
        </w:rPr>
        <w:footnoteReference w:id="1266"/>
      </w:r>
      <w:r>
        <w:t xml:space="preserve"> to Pharaoh, and the four parts will be for you yourselves, for seed for the land and for food for you and all those in your houses.</w:t>
      </w:r>
    </w:p>
    <w:p>
      <w:r>
        <w:rPr>
          <w:b/>
        </w:rPr>
        <w:t xml:space="preserve">25 </w:t>
      </w:r>
      <w:r>
        <w:t xml:space="preserve">And they said, You have saved us. We have found favor before our lord, and we will be servants to Pharaoh.</w:t>
      </w:r>
    </w:p>
    <w:p>
      <w:r>
        <w:rPr>
          <w:b/>
        </w:rPr>
        <w:t xml:space="preserve">26 </w:t>
      </w:r>
      <w:r>
        <w:t xml:space="preserve">And Joseph set it for them as an ordinance until this day on the land of Egypt, reserving a fifth part for Pharaoh, except</w:t>
      </w:r>
      <w:r>
        <w:rPr>
          <w:rStyle w:val="FootnoteReference"/>
        </w:rPr>
        <w:footnoteReference w:id="1267"/>
      </w:r>
      <w:r>
        <w:t xml:space="preserve"> only the land of the priests, which did not belong to Pharaoh.</w:t>
      </w:r>
    </w:p>
    <w:p>
      <w:r>
        <w:rPr>
          <w:b/>
        </w:rPr>
        <w:t xml:space="preserve">27 </w:t>
      </w:r>
      <w:r>
        <w:t xml:space="preserve">And Israel dwelt</w:t>
      </w:r>
      <w:r>
        <w:rPr>
          <w:rStyle w:val="FootnoteReference"/>
        </w:rPr>
        <w:footnoteReference w:id="1268"/>
      </w:r>
      <w:r>
        <w:t xml:space="preserve"> in the land of Egypt, on the land of Goshen, and they gained an inheritance on it and increased and multiplied greatly.</w:t>
      </w:r>
    </w:p>
    <w:p>
      <w:r>
        <w:rPr>
          <w:b/>
        </w:rPr>
        <w:t xml:space="preserve">28 </w:t>
      </w:r>
      <w:r>
        <w:t xml:space="preserve">And Jacob lived in the land of Egypt seventeen</w:t>
      </w:r>
      <w:r>
        <w:rPr>
          <w:rStyle w:val="FootnoteReference"/>
        </w:rPr>
        <w:footnoteReference w:id="1269"/>
      </w:r>
      <w:r>
        <w:t xml:space="preserve"> years, and the days of Jacob, the years of his life, became one hundred forty-seven years.</w:t>
      </w:r>
    </w:p>
    <w:p>
      <w:r>
        <w:rPr>
          <w:b/>
        </w:rPr>
        <w:t xml:space="preserve">29 </w:t>
      </w:r>
      <w:r>
        <w:t xml:space="preserve">And the days of Israel drew near for him to die, and he called his son Joseph and said to him, If I have found favor before you, put your hand under my thigh, and you will do mercy and truth</w:t>
      </w:r>
      <w:r>
        <w:rPr>
          <w:rStyle w:val="FootnoteReference"/>
        </w:rPr>
        <w:footnoteReference w:id="1270"/>
      </w:r>
      <w:r>
        <w:t xml:space="preserve"> toward me so as not to bury me in Egypt,</w:t>
      </w:r>
    </w:p>
    <w:p>
      <w:r>
        <w:rPr>
          <w:b/>
        </w:rPr>
        <w:t xml:space="preserve">30 </w:t>
      </w:r>
      <w:r>
        <w:t xml:space="preserve">but I will sleep with my fathers, and you will carry me up out of Egypt and bury me in their tomb. And he said, I will do according to your word.</w:t>
      </w:r>
    </w:p>
    <w:p>
      <w:r>
        <w:rPr>
          <w:b/>
        </w:rPr>
        <w:t xml:space="preserve">31 </w:t>
      </w:r>
      <w:r>
        <w:t xml:space="preserve">And he said, Swear</w:t>
      </w:r>
      <w:r>
        <w:rPr>
          <w:rStyle w:val="FootnoteReference"/>
        </w:rPr>
        <w:footnoteReference w:id="1271"/>
      </w:r>
      <w:r>
        <w:t xml:space="preserve"> to me. And he swore to him. And Israel bowed upon the top of his staff.</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48</w:t>
      </w:r>
    </w:p>
    <w:p>
      <w:r>
        <w:rPr>
          <w:b/>
        </w:rPr>
        <w:t xml:space="preserve">1 </w:t>
      </w:r>
      <w:r>
        <w:t xml:space="preserve">And it happened after these matters, it was reported to Joseph that your father is ill. And taking his two sons</w:t>
      </w:r>
      <w:r>
        <w:rPr>
          <w:rStyle w:val="FootnoteReference"/>
        </w:rPr>
        <w:footnoteReference w:id="1272"/>
      </w:r>
      <w:r>
        <w:t xml:space="preserve">, Manasseh and Ephraim, he came to Jacob.</w:t>
      </w:r>
    </w:p>
    <w:p>
      <w:r>
        <w:rPr>
          <w:b/>
        </w:rPr>
        <w:t xml:space="preserve">2 </w:t>
      </w:r>
      <w:r>
        <w:t xml:space="preserve">And it was reported to Jacob, saying, Look, your son Joseph is coming to you. And Israel, strengthening himself, sat upon the bed.</w:t>
      </w:r>
    </w:p>
    <w:p>
      <w:r>
        <w:rPr>
          <w:b/>
        </w:rPr>
        <w:t xml:space="preserve">3 </w:t>
      </w:r>
      <w:r>
        <w:t xml:space="preserve">And Jacob said to Joseph, My God appeared</w:t>
      </w:r>
      <w:r>
        <w:rPr>
          <w:rStyle w:val="FootnoteReference"/>
        </w:rPr>
        <w:footnoteReference w:id="1273"/>
      </w:r>
      <w:r>
        <w:t xml:space="preserve"> to me in Luz in the land of Canaan and blessed me</w:t>
      </w:r>
    </w:p>
    <w:p>
      <w:r>
        <w:rPr>
          <w:b/>
        </w:rPr>
        <w:t xml:space="preserve">4 </w:t>
      </w:r>
      <w:r>
        <w:t xml:space="preserve">and said to me, Look, I will increase you and multiply you and make you into gatherings of nations, and I will give</w:t>
      </w:r>
      <w:r>
        <w:rPr>
          <w:rStyle w:val="FootnoteReference"/>
        </w:rPr>
        <w:footnoteReference w:id="1274"/>
      </w:r>
      <w:r>
        <w:t xml:space="preserve"> this land to you and to your seed after you for an everlasting possession.</w:t>
      </w:r>
    </w:p>
    <w:p>
      <w:r>
        <w:rPr>
          <w:b/>
        </w:rPr>
        <w:t xml:space="preserve">5 </w:t>
      </w:r>
      <w:r>
        <w:t xml:space="preserve">Now then, your two sons</w:t>
      </w:r>
      <w:r>
        <w:rPr>
          <w:rStyle w:val="FootnoteReference"/>
        </w:rPr>
        <w:footnoteReference w:id="1275"/>
      </w:r>
      <w:r>
        <w:t xml:space="preserve"> born to you in the land of Egypt before I came to you into Egypt are mine. Ephraim and Manasseh shall be mine as Reuben and Simeon are.</w:t>
      </w:r>
    </w:p>
    <w:p>
      <w:r>
        <w:rPr>
          <w:b/>
        </w:rPr>
        <w:t xml:space="preserve">6 </w:t>
      </w:r>
      <w:r>
        <w:t xml:space="preserve">And the offspring that you beget after these will be under the name of their brothers. They will be called after their brothers' inheritances.</w:t>
      </w:r>
    </w:p>
    <w:p>
      <w:r>
        <w:rPr>
          <w:b/>
        </w:rPr>
        <w:t xml:space="preserve">7 </w:t>
      </w:r>
      <w:r>
        <w:t xml:space="preserve">And as for me, when I was coming from Mesopotamia of Syria, Rachel</w:t>
      </w:r>
      <w:r>
        <w:rPr>
          <w:rStyle w:val="FootnoteReference"/>
        </w:rPr>
        <w:footnoteReference w:id="1276"/>
      </w:r>
      <w:r>
        <w:t xml:space="preserve"> your mother died in the land of Canaan as I drew near when there was still a little way to come to Ephrathah, and I buried her on the road of Ephrathah. This is Bethlehem.</w:t>
      </w:r>
      <w:r>
        <w:rPr>
          <w:rStyle w:val="FootnoteReference"/>
        </w:rPr>
        <w:footnoteReference w:id="1277"/>
      </w:r>
    </w:p>
    <w:p>
      <w:r>
        <w:rPr>
          <w:b/>
        </w:rPr>
        <w:t xml:space="preserve">8 </w:t>
      </w:r>
      <w:r>
        <w:t xml:space="preserve">And when Israel saw the sons of Joseph, he said, Who are these to you?</w:t>
      </w:r>
    </w:p>
    <w:p>
      <w:r>
        <w:rPr>
          <w:b/>
        </w:rPr>
        <w:t xml:space="preserve">9 </w:t>
      </w:r>
      <w:r>
        <w:t xml:space="preserve">And Joseph said to his father, They are my sons</w:t>
      </w:r>
      <w:r>
        <w:rPr>
          <w:rStyle w:val="FootnoteReference"/>
        </w:rPr>
        <w:footnoteReference w:id="1278"/>
      </w:r>
      <w:r>
        <w:t xml:space="preserve">, whom God gave me here</w:t>
      </w:r>
      <w:r>
        <w:rPr>
          <w:rStyle w:val="FootnoteReference"/>
        </w:rPr>
        <w:footnoteReference w:id="1279"/>
      </w:r>
      <w:r>
        <w:t xml:space="preserve">. And Jacob said, Bring them to me, so that I may bless them.</w:t>
      </w:r>
    </w:p>
    <w:p>
      <w:r>
        <w:rPr>
          <w:b/>
        </w:rPr>
        <w:t xml:space="preserve">10 </w:t>
      </w:r>
      <w:r>
        <w:t xml:space="preserve">Now the eyes</w:t>
      </w:r>
      <w:r>
        <w:rPr>
          <w:rStyle w:val="FootnoteReference"/>
        </w:rPr>
        <w:footnoteReference w:id="1280"/>
      </w:r>
      <w:r>
        <w:t xml:space="preserve"> of Israel were dim from old age, and he was not able to see. And Joseph brought them near to him, and he kissed them and embraced them.</w:t>
      </w:r>
    </w:p>
    <w:p>
      <w:r>
        <w:rPr>
          <w:b/>
        </w:rPr>
        <w:t xml:space="preserve">11 </w:t>
      </w:r>
      <w:r>
        <w:t xml:space="preserve">And Israel said to Joseph, Look, I was not deprived even of your face, and look, God also showed me your seed.</w:t>
      </w:r>
    </w:p>
    <w:p>
      <w:r>
        <w:rPr>
          <w:b/>
        </w:rPr>
        <w:t xml:space="preserve">12 </w:t>
      </w:r>
      <w:r>
        <w:t xml:space="preserve">And Joseph brought them out from his knees, and they bowed to him with face to the ground.</w:t>
      </w:r>
    </w:p>
    <w:p>
      <w:r>
        <w:rPr>
          <w:b/>
        </w:rPr>
        <w:t xml:space="preserve">13 </w:t>
      </w:r>
      <w:r>
        <w:t xml:space="preserve">And Joseph took his two sons, Ephraim in his right hand on Israel's left, and Manasseh in his left hand on Israel's right, and brought them near to him.</w:t>
      </w:r>
    </w:p>
    <w:p>
      <w:r>
        <w:rPr>
          <w:b/>
        </w:rPr>
        <w:t xml:space="preserve">14 </w:t>
      </w:r>
      <w:r>
        <w:t xml:space="preserve">And Israel, stretching out his right hand</w:t>
      </w:r>
      <w:r>
        <w:rPr>
          <w:rStyle w:val="FootnoteReference"/>
        </w:rPr>
        <w:footnoteReference w:id="1281"/>
      </w:r>
      <w:r>
        <w:t xml:space="preserve">, laid it on Ephraim's head, though he was the younger, and his left on Manasseh's head, crossing his hands.</w:t>
      </w:r>
    </w:p>
    <w:p>
      <w:r>
        <w:rPr>
          <w:b/>
        </w:rPr>
        <w:t xml:space="preserve">15 </w:t>
      </w:r>
      <w:r>
        <w:t xml:space="preserve">And he blessed</w:t>
      </w:r>
      <w:r>
        <w:rPr>
          <w:rStyle w:val="FootnoteReference"/>
        </w:rPr>
        <w:footnoteReference w:id="1282"/>
      </w:r>
      <w:r>
        <w:t xml:space="preserve"> them and said, The God before whom my fathers Abraham and Isaac were well-pleasing, the God who feeds me from youth until this day,</w:t>
      </w:r>
    </w:p>
    <w:p>
      <w:r>
        <w:rPr>
          <w:b/>
        </w:rPr>
        <w:t xml:space="preserve">16 </w:t>
      </w:r>
      <w:r>
        <w:t xml:space="preserve">the angel</w:t>
      </w:r>
      <w:r>
        <w:rPr>
          <w:rStyle w:val="FootnoteReference"/>
        </w:rPr>
        <w:footnoteReference w:id="1283"/>
      </w:r>
      <w:r>
        <w:t xml:space="preserve"> who rescues me from all evils, may he bless these boys. And let my name be called on them, and the name of my fathers Abraham and Isaac, and let them be multiplied into a great multitude on the earth.</w:t>
      </w:r>
    </w:p>
    <w:p>
      <w:r>
        <w:rPr>
          <w:b/>
        </w:rPr>
        <w:t xml:space="preserve">17 </w:t>
      </w:r>
      <w:r>
        <w:t xml:space="preserve">And Joseph, seeing that his father laid his</w:t>
      </w:r>
      <w:r>
        <w:rPr>
          <w:rStyle w:val="FootnoteReference"/>
        </w:rPr>
        <w:footnoteReference w:id="1284"/>
      </w:r>
      <w:r>
        <w:t xml:space="preserve"> right hand on Ephraim's head, it seemed grievous to him</w:t>
      </w:r>
      <w:r>
        <w:rPr>
          <w:rStyle w:val="FootnoteReference"/>
        </w:rPr>
        <w:footnoteReference w:id="1285"/>
      </w:r>
      <w:r>
        <w:t xml:space="preserve">, and Joseph took hold of his father's hand to remove it from Ephraim's head onto Manasseh's head.</w:t>
      </w:r>
    </w:p>
    <w:p>
      <w:r>
        <w:rPr>
          <w:b/>
        </w:rPr>
        <w:t xml:space="preserve">18 </w:t>
      </w:r>
      <w:r>
        <w:t xml:space="preserve">And Joseph said to his father, Not so</w:t>
      </w:r>
      <w:r>
        <w:rPr>
          <w:rStyle w:val="FootnoteReference"/>
        </w:rPr>
        <w:footnoteReference w:id="1286"/>
      </w:r>
      <w:r>
        <w:t xml:space="preserve">, father, for this one is the firstborn. Put your right hand on his head.</w:t>
      </w:r>
      <w:r>
        <w:rPr>
          <w:rStyle w:val="FootnoteReference"/>
        </w:rPr>
        <w:footnoteReference w:id="1287"/>
      </w:r>
      <w:r>
        <w:t xml:space="preserve"/>
      </w:r>
    </w:p>
    <w:p>
      <w:r>
        <w:rPr>
          <w:b/>
        </w:rPr>
        <w:t xml:space="preserve">19 </w:t>
      </w:r>
      <w:r>
        <w:t xml:space="preserve">And he would not, but said, I know, child, I know. He also will become</w:t>
      </w:r>
      <w:r>
        <w:rPr>
          <w:rStyle w:val="FootnoteReference"/>
        </w:rPr>
        <w:footnoteReference w:id="1288"/>
      </w:r>
      <w:r>
        <w:t xml:space="preserve"> a people, and he also will be exalted</w:t>
      </w:r>
      <w:r>
        <w:rPr>
          <w:rStyle w:val="FootnoteReference"/>
        </w:rPr>
        <w:footnoteReference w:id="1289"/>
      </w:r>
      <w:r>
        <w:t xml:space="preserve">. But his younger brother will be greater than he, and his seed will become a multitude of nations.</w:t>
      </w:r>
    </w:p>
    <w:p>
      <w:r>
        <w:rPr>
          <w:b/>
        </w:rPr>
        <w:t xml:space="preserve">20 </w:t>
      </w:r>
      <w:r>
        <w:t xml:space="preserve">And he blessed them in that day, saying, In you Israel will be blessed, saying, God make you as Ephraim and as Manasseh. And he put Ephraim before Manasseh.</w:t>
      </w:r>
    </w:p>
    <w:p>
      <w:r>
        <w:rPr>
          <w:b/>
        </w:rPr>
        <w:t xml:space="preserve">21 </w:t>
      </w:r>
      <w:r>
        <w:t xml:space="preserve">And Israel said to Joseph, Look, I am dying, and God will be with you and return you to the land</w:t>
      </w:r>
      <w:r>
        <w:rPr>
          <w:rStyle w:val="FootnoteReference"/>
        </w:rPr>
        <w:footnoteReference w:id="1290"/>
      </w:r>
      <w:r>
        <w:t xml:space="preserve"> of your fathers.</w:t>
      </w:r>
    </w:p>
    <w:p>
      <w:r>
        <w:rPr>
          <w:b/>
        </w:rPr>
        <w:t xml:space="preserve">22 </w:t>
      </w:r>
      <w:r>
        <w:t xml:space="preserve">And I give to you Shechem, a chosen portion above your brothers, which I took from the hand of the Amorites with my sword and my bow.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49</w:t>
      </w:r>
    </w:p>
    <w:p>
      <w:r>
        <w:rPr>
          <w:b/>
        </w:rPr>
        <w:t xml:space="preserve">1 </w:t>
      </w:r>
      <w:r>
        <w:t xml:space="preserve">And Jacob called his sons and said to them, Gather</w:t>
      </w:r>
      <w:r>
        <w:rPr>
          <w:rStyle w:val="FootnoteReference"/>
        </w:rPr>
        <w:footnoteReference w:id="1291"/>
      </w:r>
      <w:r>
        <w:t xml:space="preserve"> yourselves, so that I may tell you what will meet you in the last days.</w:t>
      </w:r>
    </w:p>
    <w:p>
      <w:r>
        <w:rPr>
          <w:b/>
        </w:rPr>
        <w:t xml:space="preserve">2 </w:t>
      </w:r>
      <w:r>
        <w:t xml:space="preserve">Gather yourselves and hear me, sons of Jacob. Hear Israel your father.</w:t>
      </w:r>
    </w:p>
    <w:p>
      <w:r>
        <w:rPr>
          <w:b/>
        </w:rPr>
        <w:t xml:space="preserve">3 </w:t>
      </w:r>
      <w:r>
        <w:t xml:space="preserve">Reuben, my firstborn</w:t>
      </w:r>
      <w:r>
        <w:rPr>
          <w:rStyle w:val="FootnoteReference"/>
        </w:rPr>
        <w:footnoteReference w:id="1292"/>
      </w:r>
      <w:r>
        <w:t xml:space="preserve">, you are my strength and the beginning of my children, hard to bear and hard, self-willed.</w:t>
      </w:r>
    </w:p>
    <w:p>
      <w:r>
        <w:rPr>
          <w:b/>
        </w:rPr>
        <w:t xml:space="preserve">4 </w:t>
      </w:r>
      <w:r>
        <w:t xml:space="preserve">You were insolent like water; do not boil over, for you went up to your father's bed. Then you defiled the couch where you went up.</w:t>
      </w:r>
    </w:p>
    <w:p>
      <w:r>
        <w:rPr>
          <w:b/>
        </w:rPr>
        <w:t xml:space="preserve">5 </w:t>
      </w:r>
      <w:r>
        <w:t xml:space="preserve">Simeon</w:t>
      </w:r>
      <w:r>
        <w:rPr>
          <w:rStyle w:val="FootnoteReference"/>
        </w:rPr>
        <w:footnoteReference w:id="1293"/>
      </w:r>
      <w:r>
        <w:t xml:space="preserve"> and Levi are brothers. They accomplished injustice from their own choosing.</w:t>
      </w:r>
    </w:p>
    <w:p>
      <w:r>
        <w:rPr>
          <w:b/>
        </w:rPr>
        <w:t xml:space="preserve">6 </w:t>
      </w:r>
      <w:r>
        <w:t xml:space="preserve">Let not my soul come into their counsel, and let not my inward parts lean upon their conspiracy, because in their wrath they killed men, and in their desire they hamstrung a bull.</w:t>
      </w:r>
    </w:p>
    <w:p>
      <w:r>
        <w:rPr>
          <w:b/>
        </w:rPr>
        <w:t xml:space="preserve">7 </w:t>
      </w:r>
      <w:r>
        <w:t xml:space="preserve">Cursed</w:t>
      </w:r>
      <w:r>
        <w:rPr>
          <w:rStyle w:val="FootnoteReference"/>
        </w:rPr>
        <w:footnoteReference w:id="1294"/>
      </w:r>
      <w:r>
        <w:t xml:space="preserve"> be their wrath, because it was self-willed, and their anger, because it grew hard. I will divide them in Jacob and scatter them in Israel.</w:t>
      </w:r>
    </w:p>
    <w:p>
      <w:r>
        <w:rPr>
          <w:b/>
        </w:rPr>
        <w:t xml:space="preserve">8 </w:t>
      </w:r>
      <w:r>
        <w:t xml:space="preserve">Judah, your brothers will praise you. Your hands will be on the back of your enemies. Your father's sons will bow to you.</w:t>
      </w:r>
    </w:p>
    <w:p>
      <w:r>
        <w:rPr>
          <w:b/>
        </w:rPr>
        <w:t xml:space="preserve">9 </w:t>
      </w:r>
      <w:r>
        <w:t xml:space="preserve">Judah is a lion's</w:t>
      </w:r>
      <w:r>
        <w:rPr>
          <w:rStyle w:val="FootnoteReference"/>
        </w:rPr>
        <w:footnoteReference w:id="1295"/>
      </w:r>
      <w:r>
        <w:t xml:space="preserve"> cub. From a shoot, my son, you went up. Having lain down, you slept as a lion and as a cub. Who will rouse him?</w:t>
      </w:r>
    </w:p>
    <w:p>
      <w:r>
        <w:rPr>
          <w:b/>
        </w:rPr>
        <w:t xml:space="preserve">10 </w:t>
      </w:r>
      <w:r>
        <w:t xml:space="preserve">A ruler will not fail from Judah, nor a leader from his loins, until the things stored up for him come, and he is the expectation of nations.</w:t>
      </w:r>
    </w:p>
    <w:p>
      <w:r>
        <w:rPr>
          <w:b/>
        </w:rPr>
        <w:t xml:space="preserve">11 </w:t>
      </w:r>
      <w:r>
        <w:t xml:space="preserve">Binding his foal</w:t>
      </w:r>
      <w:r>
        <w:rPr>
          <w:rStyle w:val="FootnoteReference"/>
        </w:rPr>
        <w:footnoteReference w:id="1296"/>
      </w:r>
      <w:r>
        <w:t xml:space="preserve"> to the vine and the foal of his donkey to the tendril, he will wash his robe in wine and his garment in the blood of the grape.</w:t>
      </w:r>
    </w:p>
    <w:p>
      <w:r>
        <w:rPr>
          <w:b/>
        </w:rPr>
        <w:t xml:space="preserve">12 </w:t>
      </w:r>
      <w:r>
        <w:t xml:space="preserve">His eyes are gladdening from wine, and his teeth are whiter than milk.</w:t>
      </w:r>
    </w:p>
    <w:p>
      <w:r>
        <w:rPr>
          <w:b/>
        </w:rPr>
        <w:t xml:space="preserve">13 </w:t>
      </w:r>
      <w:r>
        <w:t xml:space="preserve">Zebulun will dwell by the sea, and he will be by a harbor of ships, and he will stretch out as far as Sidon.</w:t>
      </w:r>
    </w:p>
    <w:p>
      <w:r>
        <w:rPr>
          <w:b/>
        </w:rPr>
        <w:t xml:space="preserve">14 </w:t>
      </w:r>
      <w:r>
        <w:t xml:space="preserve">Issachar desired the good, resting between the allotments.</w:t>
      </w:r>
    </w:p>
    <w:p>
      <w:r>
        <w:rPr>
          <w:b/>
        </w:rPr>
        <w:t xml:space="preserve">15 </w:t>
      </w:r>
      <w:r>
        <w:t xml:space="preserve">And seeing that the rest</w:t>
      </w:r>
      <w:r>
        <w:rPr>
          <w:rStyle w:val="FootnoteReference"/>
        </w:rPr>
        <w:footnoteReference w:id="1297"/>
      </w:r>
      <w:r>
        <w:t xml:space="preserve"> was good and the land rich, he put his shoulder to labor and became a farmer.</w:t>
      </w:r>
    </w:p>
    <w:p>
      <w:r>
        <w:rPr>
          <w:b/>
        </w:rPr>
        <w:t xml:space="preserve">16 </w:t>
      </w:r>
      <w:r>
        <w:t xml:space="preserve">Dan will judge his people, as one tribe too in Israel.</w:t>
      </w:r>
    </w:p>
    <w:p>
      <w:r>
        <w:rPr>
          <w:b/>
        </w:rPr>
        <w:t xml:space="preserve">17 </w:t>
      </w:r>
      <w:r>
        <w:t xml:space="preserve">And let Dan become a serpent on the road, sitting by the path, biting the horse's heel, and the rider will fall backward,</w:t>
      </w:r>
    </w:p>
    <w:p>
      <w:r>
        <w:rPr>
          <w:b/>
        </w:rPr>
        <w:t xml:space="preserve">18 </w:t>
      </w:r>
      <w:r>
        <w:t xml:space="preserve">waiting for the salvation of the Lord.</w:t>
      </w:r>
    </w:p>
    <w:p>
      <w:r>
        <w:rPr>
          <w:b/>
        </w:rPr>
        <w:t xml:space="preserve">19 </w:t>
      </w:r>
      <w:r>
        <w:t xml:space="preserve">Gad, a raiding troop will raid him, but he will raid it at heel.</w:t>
      </w:r>
    </w:p>
    <w:p>
      <w:r>
        <w:rPr>
          <w:b/>
        </w:rPr>
        <w:t xml:space="preserve">20 </w:t>
      </w:r>
      <w:r>
        <w:t xml:space="preserve">Asher, his bread is rich, and he will give delicacies to rulers.</w:t>
      </w:r>
    </w:p>
    <w:p>
      <w:r>
        <w:rPr>
          <w:b/>
        </w:rPr>
        <w:t xml:space="preserve">21 </w:t>
      </w:r>
      <w:r>
        <w:t xml:space="preserve">Naphtali is a released stem, bestowing beauty in its fruit.</w:t>
      </w:r>
    </w:p>
    <w:p>
      <w:r>
        <w:rPr>
          <w:b/>
        </w:rPr>
        <w:t xml:space="preserve">22 </w:t>
      </w:r>
      <w:r>
        <w:t xml:space="preserve">Joseph is a son increased, my increased and envied son, my youngest son. Return to me.</w:t>
      </w:r>
      <w:r>
        <w:rPr>
          <w:rStyle w:val="FootnoteReference"/>
        </w:rPr>
        <w:footnoteReference w:id="1298"/>
      </w:r>
      <w:r>
        <w:t xml:space="preserve"/>
      </w:r>
    </w:p>
    <w:p>
      <w:r>
        <w:rPr>
          <w:b/>
        </w:rPr>
        <w:t xml:space="preserve">23 </w:t>
      </w:r>
      <w:r>
        <w:t xml:space="preserve">Against him, taking evil counsel, they reviled him, and lords of arrows pressed hard upon him.</w:t>
      </w:r>
    </w:p>
    <w:p>
      <w:r>
        <w:rPr>
          <w:b/>
        </w:rPr>
        <w:t xml:space="preserve">24 </w:t>
      </w:r>
      <w:r>
        <w:t xml:space="preserve">But their bows were shattered with strength, and the sinews of their arms were loosened by the hand of the Mighty One of Jacob</w:t>
      </w:r>
      <w:r>
        <w:rPr>
          <w:rStyle w:val="FootnoteReference"/>
        </w:rPr>
        <w:footnoteReference w:id="1299"/>
      </w:r>
      <w:r>
        <w:t xml:space="preserve">. From there is the one who strengthened Israel, from the God of your father,</w:t>
      </w:r>
      <w:r>
        <w:rPr>
          <w:rStyle w:val="FootnoteReference"/>
        </w:rPr>
        <w:footnoteReference w:id="1300"/>
      </w:r>
      <w:r>
        <w:rPr>
          <w:rStyle w:val="FootnoteReference"/>
        </w:rPr>
        <w:footnoteReference w:id="1301"/>
      </w:r>
    </w:p>
    <w:p>
      <w:r>
        <w:rPr>
          <w:b/>
        </w:rPr>
        <w:t xml:space="preserve">25 </w:t>
      </w:r>
      <w:r>
        <w:t xml:space="preserve">and my God helped you and blessed you with the blessing of heaven from above and blessing of earth possessing all things, because of blessing of breasts and womb,</w:t>
      </w:r>
    </w:p>
    <w:p>
      <w:r>
        <w:rPr>
          <w:b/>
        </w:rPr>
        <w:t xml:space="preserve">26 </w:t>
      </w:r>
      <w:r>
        <w:t xml:space="preserve">the blessings of your father and mother prevailed above the blessings of abiding mountains and the blessings of everlasting hills</w:t>
      </w:r>
      <w:r>
        <w:rPr>
          <w:rStyle w:val="FootnoteReference"/>
        </w:rPr>
        <w:footnoteReference w:id="1302"/>
      </w:r>
      <w:r>
        <w:t xml:space="preserve">. They will be on Joseph's head and on the crown of the one who led his brothers.</w:t>
      </w:r>
    </w:p>
    <w:p>
      <w:r>
        <w:rPr>
          <w:b/>
        </w:rPr>
        <w:t xml:space="preserve">27 </w:t>
      </w:r>
      <w:r>
        <w:t xml:space="preserve">Benjamin is a ravening wolf. In the morning he will still eat, and toward evening he gives food.</w:t>
      </w:r>
    </w:p>
    <w:p>
      <w:r>
        <w:rPr>
          <w:b/>
        </w:rPr>
        <w:t xml:space="preserve">28 </w:t>
      </w:r>
      <w:r>
        <w:t xml:space="preserve">All these are the twelve</w:t>
      </w:r>
      <w:r>
        <w:rPr>
          <w:rStyle w:val="FootnoteReference"/>
        </w:rPr>
        <w:footnoteReference w:id="1303"/>
      </w:r>
      <w:r>
        <w:t xml:space="preserve"> sons of Jacob. And these are the things their father spoke to them, and he blessed them. He blessed each according to his blessing.</w:t>
      </w:r>
    </w:p>
    <w:p>
      <w:r>
        <w:rPr>
          <w:b/>
        </w:rPr>
        <w:t xml:space="preserve">29 </w:t>
      </w:r>
      <w:r>
        <w:t xml:space="preserve">And he said to them, I am being added to my people. Bury me</w:t>
      </w:r>
      <w:r>
        <w:rPr>
          <w:rStyle w:val="FootnoteReference"/>
        </w:rPr>
        <w:footnoteReference w:id="1304"/>
      </w:r>
      <w:r>
        <w:t xml:space="preserve"> with my fathers in the cave that is in the field of Ephron the Hittite,</w:t>
      </w:r>
    </w:p>
    <w:p>
      <w:r>
        <w:rPr>
          <w:b/>
        </w:rPr>
        <w:t xml:space="preserve">30 </w:t>
      </w:r>
      <w:r>
        <w:t xml:space="preserve">in the double cave opposite Mamre in the land of Canaan, which Abraham acquired from Ephron the Hittite as a possession for a tomb,</w:t>
      </w:r>
    </w:p>
    <w:p>
      <w:r>
        <w:rPr>
          <w:b/>
        </w:rPr>
        <w:t xml:space="preserve">31 </w:t>
      </w:r>
      <w:r>
        <w:t xml:space="preserve">there they buried Abraham and Sarah his wife, there they buried Isaac and Rebekah his wife, there I buried Leah,</w:t>
      </w:r>
    </w:p>
    <w:p>
      <w:r>
        <w:rPr>
          <w:b/>
        </w:rPr>
        <w:t xml:space="preserve">32 </w:t>
      </w:r>
      <w:r>
        <w:t xml:space="preserve">in the purchase of the field and of the cave that is in it, from the sons of Heth.</w:t>
      </w:r>
    </w:p>
    <w:p>
      <w:r>
        <w:rPr>
          <w:b/>
        </w:rPr>
        <w:t xml:space="preserve">33 </w:t>
      </w:r>
      <w:r>
        <w:t xml:space="preserve">And Jacob ceased commanding his sons, and lifting his feet onto the bed, he failed and was added to his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50</w:t>
      </w:r>
    </w:p>
    <w:p>
      <w:r>
        <w:rPr>
          <w:b/>
        </w:rPr>
        <w:t xml:space="preserve">1 </w:t>
      </w:r>
      <w:r>
        <w:t xml:space="preserve">And Joseph, falling on his father's face, wept</w:t>
      </w:r>
      <w:r>
        <w:rPr>
          <w:rStyle w:val="FootnoteReference"/>
        </w:rPr>
        <w:footnoteReference w:id="1305"/>
      </w:r>
      <w:r>
        <w:t xml:space="preserve"> over him and kissed him.</w:t>
      </w:r>
    </w:p>
    <w:p>
      <w:r>
        <w:rPr>
          <w:b/>
        </w:rPr>
        <w:t xml:space="preserve">2 </w:t>
      </w:r>
      <w:r>
        <w:t xml:space="preserve">And Joseph commanded his servants the embalmers to embalm his father, and the embalmers embalmed</w:t>
      </w:r>
      <w:r>
        <w:rPr>
          <w:rStyle w:val="FootnoteReference"/>
        </w:rPr>
        <w:footnoteReference w:id="1306"/>
      </w:r>
      <w:r>
        <w:t xml:space="preserve"> Israel.</w:t>
      </w:r>
    </w:p>
    <w:p>
      <w:r>
        <w:rPr>
          <w:b/>
        </w:rPr>
        <w:t xml:space="preserve">3 </w:t>
      </w:r>
      <w:r>
        <w:t xml:space="preserve">And they completed forty days for him, for so the days of embalming are counted. And Egypt mourned for him seventy days.</w:t>
      </w:r>
    </w:p>
    <w:p>
      <w:r>
        <w:rPr>
          <w:b/>
        </w:rPr>
        <w:t xml:space="preserve">4 </w:t>
      </w:r>
      <w:r>
        <w:t xml:space="preserve">And when the days</w:t>
      </w:r>
      <w:r>
        <w:rPr>
          <w:rStyle w:val="FootnoteReference"/>
        </w:rPr>
        <w:footnoteReference w:id="1307"/>
      </w:r>
      <w:r>
        <w:t xml:space="preserve"> of mourning passed, Joseph spoke to Pharaoh's nobles, saying, If I have found favor before you, speak concerning me into Pharaoh's ears, saying,</w:t>
      </w:r>
    </w:p>
    <w:p>
      <w:r>
        <w:rPr>
          <w:b/>
        </w:rPr>
        <w:t xml:space="preserve">5 </w:t>
      </w:r>
      <w:r>
        <w:t xml:space="preserve">My father adjured me, saying, In the tomb that I dug for myself</w:t>
      </w:r>
      <w:r>
        <w:rPr>
          <w:rStyle w:val="FootnoteReference"/>
        </w:rPr>
        <w:footnoteReference w:id="1308"/>
      </w:r>
      <w:r>
        <w:t xml:space="preserve"> in the land of Canaan, there you will bury me</w:t>
      </w:r>
      <w:r>
        <w:rPr>
          <w:rStyle w:val="FootnoteReference"/>
        </w:rPr>
        <w:footnoteReference w:id="1309"/>
      </w:r>
      <w:r>
        <w:t xml:space="preserve">. Now then I will go up and bury my father, and I will return again.</w:t>
      </w:r>
    </w:p>
    <w:p>
      <w:r>
        <w:rPr>
          <w:b/>
        </w:rPr>
        <w:t xml:space="preserve">6 </w:t>
      </w:r>
      <w:r>
        <w:t xml:space="preserve">And Pharaoh said to Joseph, Go up and bury your father, just as he caused you to swear.</w:t>
      </w:r>
    </w:p>
    <w:p>
      <w:r>
        <w:rPr>
          <w:b/>
        </w:rPr>
        <w:t xml:space="preserve">7 </w:t>
      </w:r>
      <w:r>
        <w:t xml:space="preserve">And Joseph went up to bury his father, and all Pharaoh's servants went up with him, and the elders of his house, and all the elders of the land of Egypt,</w:t>
      </w:r>
    </w:p>
    <w:p>
      <w:r>
        <w:rPr>
          <w:b/>
        </w:rPr>
        <w:t xml:space="preserve">8 </w:t>
      </w:r>
      <w:r>
        <w:t xml:space="preserve">and all the household of Joseph, and his brothers, and all his father's house, and his kin. But they left behind the sheep and the oxen in the land of Goshen.</w:t>
      </w:r>
    </w:p>
    <w:p>
      <w:r>
        <w:rPr>
          <w:b/>
        </w:rPr>
        <w:t xml:space="preserve">9 </w:t>
      </w:r>
      <w:r>
        <w:t xml:space="preserve">And chariots</w:t>
      </w:r>
      <w:r>
        <w:rPr>
          <w:rStyle w:val="FootnoteReference"/>
        </w:rPr>
        <w:footnoteReference w:id="1310"/>
      </w:r>
      <w:r>
        <w:t xml:space="preserve"> and horsemen also went up with him, and the company became very great.</w:t>
      </w:r>
    </w:p>
    <w:p>
      <w:r>
        <w:rPr>
          <w:b/>
        </w:rPr>
        <w:t xml:space="preserve">10 </w:t>
      </w:r>
      <w:r>
        <w:t xml:space="preserve">And they came to the threshing-floor of Atad</w:t>
      </w:r>
      <w:r>
        <w:rPr>
          <w:rStyle w:val="FootnoteReference"/>
        </w:rPr>
        <w:footnoteReference w:id="1311"/>
      </w:r>
      <w:r>
        <w:t xml:space="preserve">, which is beyond</w:t>
      </w:r>
      <w:r>
        <w:rPr>
          <w:rStyle w:val="FootnoteReference"/>
        </w:rPr>
        <w:footnoteReference w:id="1312"/>
      </w:r>
      <w:r>
        <w:t xml:space="preserve"> the Jordan, and they bewailed him with a great and very strong lamentation. And he made mourning for his father seven days.</w:t>
      </w:r>
    </w:p>
    <w:p>
      <w:r>
        <w:rPr>
          <w:b/>
        </w:rPr>
        <w:t xml:space="preserve">11 </w:t>
      </w:r>
      <w:r>
        <w:t xml:space="preserve">And the inhabitants of the land of Canaan saw the mourning at the threshing-floor of Atad and said, This is a great mourning for the Egyptians. Because of this he called its name Mourning of Egypt, which is beyond the Jordan.</w:t>
      </w:r>
    </w:p>
    <w:p>
      <w:r>
        <w:rPr>
          <w:b/>
        </w:rPr>
        <w:t xml:space="preserve">12 </w:t>
      </w:r>
      <w:r>
        <w:t xml:space="preserve">And his sons did so for him.</w:t>
      </w:r>
    </w:p>
    <w:p>
      <w:r>
        <w:rPr>
          <w:b/>
        </w:rPr>
        <w:t xml:space="preserve">13 </w:t>
      </w:r>
      <w:r>
        <w:t xml:space="preserve">And his sons carried him up into the land of Canaan and buried him in the double cave</w:t>
      </w:r>
      <w:r>
        <w:rPr>
          <w:rStyle w:val="FootnoteReference"/>
        </w:rPr>
        <w:footnoteReference w:id="1313"/>
      </w:r>
      <w:r>
        <w:t xml:space="preserve">, which Abraham acquired as a possession for a tomb from Ephron the Hittite, before Mamre.</w:t>
      </w:r>
    </w:p>
    <w:p>
      <w:r>
        <w:rPr>
          <w:b/>
        </w:rPr>
        <w:t xml:space="preserve">14 </w:t>
      </w:r>
      <w:r>
        <w:t xml:space="preserve">And Joseph returned to Egypt, he and his brothers and those who went up with him to bury his father.</w:t>
      </w:r>
    </w:p>
    <w:p>
      <w:r>
        <w:rPr>
          <w:b/>
        </w:rPr>
        <w:t xml:space="preserve">15 </w:t>
      </w:r>
      <w:r>
        <w:t xml:space="preserve">And Joseph's brothers, seeing that their father</w:t>
      </w:r>
      <w:r>
        <w:rPr>
          <w:rStyle w:val="FootnoteReference"/>
        </w:rPr>
        <w:footnoteReference w:id="1314"/>
      </w:r>
      <w:r>
        <w:t xml:space="preserve"> had died, said, Perhaps Joseph will remember evil against us and repay us with repayment for all the evils that we showed against him.</w:t>
      </w:r>
    </w:p>
    <w:p>
      <w:r>
        <w:rPr>
          <w:b/>
        </w:rPr>
        <w:t xml:space="preserve">16 </w:t>
      </w:r>
      <w:r>
        <w:t xml:space="preserve">And coming to Joseph they said, Your father adjured before his death, saying,</w:t>
      </w:r>
    </w:p>
    <w:p>
      <w:r>
        <w:rPr>
          <w:b/>
        </w:rPr>
        <w:t xml:space="preserve">17 </w:t>
      </w:r>
      <w:r>
        <w:t xml:space="preserve">Thus you will say to Joseph, Forgive</w:t>
      </w:r>
      <w:r>
        <w:rPr>
          <w:rStyle w:val="FootnoteReference"/>
        </w:rPr>
        <w:footnoteReference w:id="1315"/>
      </w:r>
      <w:r>
        <w:t xml:space="preserve"> them their injustice and their sin, because they showed evil to you. And now accept the injustice</w:t>
      </w:r>
      <w:r>
        <w:rPr>
          <w:rStyle w:val="FootnoteReference"/>
        </w:rPr>
        <w:footnoteReference w:id="1316"/>
      </w:r>
      <w:r>
        <w:t xml:space="preserve"> of the servants of the God of your father. And Joseph wept while they spoke to him.</w:t>
      </w:r>
    </w:p>
    <w:p>
      <w:r>
        <w:rPr>
          <w:b/>
        </w:rPr>
        <w:t xml:space="preserve">18 </w:t>
      </w:r>
      <w:r>
        <w:t xml:space="preserve">And they came to him and said, Here we are, your suppliants.</w:t>
      </w:r>
    </w:p>
    <w:p>
      <w:r>
        <w:rPr>
          <w:b/>
        </w:rPr>
        <w:t xml:space="preserve">19 </w:t>
      </w:r>
      <w:r>
        <w:t xml:space="preserve">And Joseph said to them, Do not fear, for I am God's.</w:t>
      </w:r>
    </w:p>
    <w:p>
      <w:r>
        <w:rPr>
          <w:b/>
        </w:rPr>
        <w:t xml:space="preserve">20 </w:t>
      </w:r>
      <w:r>
        <w:t xml:space="preserve">You planned against me for evil, but God planned concerning me for good, so that it might happen as today and much people might be fed.</w:t>
      </w:r>
    </w:p>
    <w:p>
      <w:r>
        <w:rPr>
          <w:b/>
        </w:rPr>
        <w:t xml:space="preserve">21 </w:t>
      </w:r>
      <w:r>
        <w:t xml:space="preserve">And he said to them, Do not fear. I will nourish</w:t>
      </w:r>
      <w:r>
        <w:rPr>
          <w:rStyle w:val="FootnoteReference"/>
        </w:rPr>
        <w:footnoteReference w:id="1317"/>
      </w:r>
      <w:r>
        <w:t xml:space="preserve"> you and your households. And he comforted them and spoke to their heart.</w:t>
      </w:r>
    </w:p>
    <w:p>
      <w:r>
        <w:rPr>
          <w:b/>
        </w:rPr>
        <w:t xml:space="preserve">22 </w:t>
      </w:r>
      <w:r>
        <w:t xml:space="preserve">And Joseph dwelt in Egypt, he and his brothers and all the household of his father, and Joseph lived one hundred ten years.</w:t>
      </w:r>
    </w:p>
    <w:p>
      <w:r>
        <w:rPr>
          <w:b/>
        </w:rPr>
        <w:t xml:space="preserve">23 </w:t>
      </w:r>
      <w:r>
        <w:t xml:space="preserve">And Joseph saw Ephraim's children to the third generation, and the sons of Machir son of Manasseh were born upon Joseph's</w:t>
      </w:r>
      <w:r>
        <w:rPr>
          <w:rStyle w:val="FootnoteReference"/>
        </w:rPr>
        <w:footnoteReference w:id="1318"/>
      </w:r>
      <w:r>
        <w:t xml:space="preserve"> thighs.</w:t>
      </w:r>
    </w:p>
    <w:p>
      <w:r>
        <w:rPr>
          <w:b/>
        </w:rPr>
        <w:t xml:space="preserve">24 </w:t>
      </w:r>
      <w:r>
        <w:t xml:space="preserve">And Joseph said to his brothers, saying, I am dying. But with visitation God will visit you</w:t>
      </w:r>
      <w:r>
        <w:rPr>
          <w:rStyle w:val="FootnoteReference"/>
        </w:rPr>
        <w:footnoteReference w:id="1319"/>
      </w:r>
      <w:r>
        <w:t xml:space="preserve"> and bring you up out of this land to the land that God swore to our fathers Abraham, Isaac and Jacob.</w:t>
      </w:r>
      <w:r>
        <w:rPr>
          <w:rStyle w:val="FootnoteReference"/>
        </w:rPr>
        <w:footnoteReference w:id="1320"/>
      </w:r>
    </w:p>
    <w:p>
      <w:r>
        <w:rPr>
          <w:b/>
        </w:rPr>
        <w:t xml:space="preserve">25 </w:t>
      </w:r>
      <w:r>
        <w:t xml:space="preserve">And Joseph adjured the sons of Israel, saying, In the visitation with which God will visit you, then you will carry up my bones from here with you.</w:t>
      </w:r>
    </w:p>
    <w:p>
      <w:r>
        <w:rPr>
          <w:b/>
        </w:rPr>
        <w:t xml:space="preserve">26 </w:t>
      </w:r>
      <w:r>
        <w:t xml:space="preserve">And Joseph died, being one hundred ten years old, and they prepared him and put him in the coffin in Egypt.</w:t>
      </w:r>
    </w:p>
    <w:p>
      <w:r>
        <w:br w:type="page"/>
      </w:r>
    </w:p>
    <w:p>
      <w:pPr>
        <w:pStyle w:val="Heading1"/>
      </w:pPr>
      <w:r>
        <w:t xml:space="preserve">Exodus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These are the names of the sons of Israel who entered into Egypt with Jacob their father; each entered with his whole household.</w:t>
      </w:r>
    </w:p>
    <w:p>
      <w:r>
        <w:rPr>
          <w:b/>
        </w:rPr>
        <w:t xml:space="preserve">2 </w:t>
      </w:r>
      <w:r>
        <w:t xml:space="preserve">Reuben</w:t>
      </w:r>
      <w:r>
        <w:rPr>
          <w:rStyle w:val="FootnoteReference"/>
        </w:rPr>
        <w:footnoteReference w:id="1321"/>
      </w:r>
      <w:r>
        <w:t xml:space="preserve">, Simeon, Levi, Judah,</w:t>
      </w:r>
    </w:p>
    <w:p>
      <w:r>
        <w:rPr>
          <w:b/>
        </w:rPr>
        <w:t xml:space="preserve">3 </w:t>
      </w:r>
      <w:r>
        <w:t xml:space="preserve">Issachar</w:t>
      </w:r>
      <w:r>
        <w:rPr>
          <w:rStyle w:val="FootnoteReference"/>
        </w:rPr>
        <w:footnoteReference w:id="1322"/>
      </w:r>
      <w:r>
        <w:t xml:space="preserve">, Zebulun, and Benjamin,</w:t>
      </w:r>
      <w:r>
        <w:rPr>
          <w:rStyle w:val="FootnoteReference"/>
        </w:rPr>
        <w:footnoteReference w:id="1323"/>
      </w:r>
    </w:p>
    <w:p>
      <w:r>
        <w:rPr>
          <w:b/>
        </w:rPr>
        <w:t xml:space="preserve">4 </w:t>
      </w:r>
      <w:r>
        <w:t xml:space="preserve">Dan and Naphtali, Gad and Asher</w:t>
      </w:r>
      <w:r>
        <w:rPr>
          <w:rStyle w:val="FootnoteReference"/>
        </w:rPr>
        <w:footnoteReference w:id="1324"/>
      </w:r>
      <w:r>
        <w:t xml:space="preserve">.</w:t>
      </w:r>
      <w:r>
        <w:rPr>
          <w:rStyle w:val="FootnoteReference"/>
        </w:rPr>
        <w:footnoteReference w:id="1325"/>
      </w:r>
    </w:p>
    <w:p>
      <w:r>
        <w:rPr>
          <w:b/>
        </w:rPr>
        <w:t xml:space="preserve">5 </w:t>
      </w:r>
      <w:r>
        <w:t xml:space="preserve">But Joseph was in Egypt. And all the persons from Jacob were seventy</w:t>
      </w:r>
      <w:r>
        <w:rPr>
          <w:rStyle w:val="FootnoteReference"/>
        </w:rPr>
        <w:footnoteReference w:id="1326"/>
      </w:r>
      <w:r>
        <w:t xml:space="preserve">-five.</w:t>
      </w:r>
    </w:p>
    <w:p>
      <w:r>
        <w:rPr>
          <w:b/>
        </w:rPr>
        <w:t xml:space="preserve">6 </w:t>
      </w:r>
      <w:r>
        <w:t xml:space="preserve">And Joseph died, and all his brothers, and all that generation.</w:t>
      </w:r>
    </w:p>
    <w:p>
      <w:r>
        <w:rPr>
          <w:b/>
        </w:rPr>
        <w:t xml:space="preserve">7 </w:t>
      </w:r>
      <w:r>
        <w:t xml:space="preserve">But the sons of Israel increased and multiplied and became numerous, and they grew exceedingly, exceedingly strong; and the land multiplied them.</w:t>
      </w:r>
    </w:p>
    <w:p>
      <w:r>
        <w:rPr>
          <w:b/>
        </w:rPr>
        <w:t xml:space="preserve">8 </w:t>
      </w:r>
      <w:r>
        <w:t xml:space="preserve">Then another king arose over Egypt who did not know Joseph.</w:t>
      </w:r>
    </w:p>
    <w:p>
      <w:r>
        <w:rPr>
          <w:b/>
        </w:rPr>
        <w:t xml:space="preserve">9 </w:t>
      </w:r>
      <w:r>
        <w:t xml:space="preserve">And he said to his people, "Look, the race of the sons of Israel is a great multitude and stronger than we are."</w:t>
      </w:r>
    </w:p>
    <w:p>
      <w:r>
        <w:rPr>
          <w:b/>
        </w:rPr>
        <w:t xml:space="preserve">10 </w:t>
      </w:r>
      <w:r>
        <w:t xml:space="preserve">Come then, let us deal shrewdly with them, lest they multiply, and whenever war comes upon us, they too will be added to our enemies and fight against us and depart from the land.</w:t>
      </w:r>
    </w:p>
    <w:p>
      <w:r>
        <w:rPr>
          <w:b/>
        </w:rPr>
        <w:t xml:space="preserve">11 </w:t>
      </w:r>
      <w:r>
        <w:t xml:space="preserve">So he set over them overseers of labor to afflict</w:t>
      </w:r>
      <w:r>
        <w:rPr>
          <w:rStyle w:val="FootnoteReference"/>
        </w:rPr>
        <w:footnoteReference w:id="1327"/>
      </w:r>
      <w:r>
        <w:t xml:space="preserve"> them in their labors; and they built fortified cities for Pharaoh: Pithom</w:t>
      </w:r>
      <w:r>
        <w:rPr>
          <w:rStyle w:val="FootnoteReference"/>
        </w:rPr>
        <w:footnoteReference w:id="1328"/>
      </w:r>
      <w:r>
        <w:t xml:space="preserve">, Rameses, and On, which is Heliopolis.</w:t>
      </w:r>
    </w:p>
    <w:p>
      <w:r>
        <w:rPr>
          <w:b/>
        </w:rPr>
        <w:t xml:space="preserve">12 </w:t>
      </w:r>
      <w:r>
        <w:t xml:space="preserve">But as much as they humbled them, so much more they became many and grew exceedingly, exceedingly strong, and the Egyptians were disgusted by the sons of Israel.</w:t>
      </w:r>
    </w:p>
    <w:p>
      <w:r>
        <w:rPr>
          <w:b/>
        </w:rPr>
        <w:t xml:space="preserve">13 </w:t>
      </w:r>
      <w:r>
        <w:t xml:space="preserve">And the Egyptians oppressed the sons of Israel by force.</w:t>
      </w:r>
    </w:p>
    <w:p>
      <w:r>
        <w:rPr>
          <w:b/>
        </w:rPr>
        <w:t xml:space="preserve">14 </w:t>
      </w:r>
      <w:r>
        <w:t xml:space="preserve">And they made their life bitter with hard labors, in clay and in brick-making and in every field-labor, according to all the work by which they enslaved them with violence.</w:t>
      </w:r>
    </w:p>
    <w:p>
      <w:r>
        <w:rPr>
          <w:b/>
        </w:rPr>
        <w:t xml:space="preserve">15 </w:t>
      </w:r>
      <w:r>
        <w:t xml:space="preserve">And the king of Egypt spoke to the Hebrew midwives; the name of the one was Shiphrah</w:t>
      </w:r>
      <w:r>
        <w:rPr>
          <w:rStyle w:val="FootnoteReference"/>
        </w:rPr>
        <w:footnoteReference w:id="1329"/>
      </w:r>
      <w:r>
        <w:t xml:space="preserve">, and the name of the second, Puah.</w:t>
      </w:r>
    </w:p>
    <w:p>
      <w:r>
        <w:rPr>
          <w:b/>
        </w:rPr>
        <w:t xml:space="preserve">16 </w:t>
      </w:r>
      <w:r>
        <w:t xml:space="preserve">And he said, "When you serve as midwives for the Hebrew women and they are at the time of giving birth, if it is a male, kill it; but if a female, keep it alive."</w:t>
      </w:r>
    </w:p>
    <w:p>
      <w:r>
        <w:rPr>
          <w:b/>
        </w:rPr>
        <w:t xml:space="preserve">17 </w:t>
      </w:r>
      <w:r>
        <w:t xml:space="preserve">But the midwives feared God</w:t>
      </w:r>
      <w:r>
        <w:rPr>
          <w:rStyle w:val="FootnoteReference"/>
        </w:rPr>
        <w:footnoteReference w:id="1330"/>
      </w:r>
      <w:r>
        <w:t xml:space="preserve"> and did not do as the king of Egypt ordered them, and they kept the male children alive.</w:t>
      </w:r>
    </w:p>
    <w:p>
      <w:r>
        <w:rPr>
          <w:b/>
        </w:rPr>
        <w:t xml:space="preserve">18 </w:t>
      </w:r>
      <w:r>
        <w:t xml:space="preserve">So the king of Egypt called the midwives and said to them, "Why have</w:t>
      </w:r>
      <w:r>
        <w:rPr>
          <w:rStyle w:val="FootnoteReference"/>
        </w:rPr>
        <w:footnoteReference w:id="1331"/>
      </w:r>
      <w:r>
        <w:t xml:space="preserve"> you done this thing and kept the male children alive?"</w:t>
      </w:r>
    </w:p>
    <w:p>
      <w:r>
        <w:rPr>
          <w:b/>
        </w:rPr>
        <w:t xml:space="preserve">19 </w:t>
      </w:r>
      <w:r>
        <w:t xml:space="preserve">And the midwives said to Pharaoh, "The Hebrew women are not like the women of Egypt, for before the midwives can go in to them, they give birth."</w:t>
      </w:r>
    </w:p>
    <w:p>
      <w:r>
        <w:rPr>
          <w:b/>
        </w:rPr>
        <w:t xml:space="preserve">20 </w:t>
      </w:r>
      <w:r>
        <w:t xml:space="preserve">And God did well to the midwives, and the people multiplied and grew very strong.</w:t>
      </w:r>
    </w:p>
    <w:p>
      <w:r>
        <w:rPr>
          <w:b/>
        </w:rPr>
        <w:t xml:space="preserve">21 </w:t>
      </w:r>
      <w:r>
        <w:t xml:space="preserve">And because the midwives feared God, they established households for themselves.</w:t>
      </w:r>
    </w:p>
    <w:p>
      <w:r>
        <w:rPr>
          <w:b/>
        </w:rPr>
        <w:t xml:space="preserve">22 </w:t>
      </w:r>
      <w:r>
        <w:t xml:space="preserve">Then Pharaoh charged all his people, saying, "Every male that is born to the Hebrews, throw it into the river; but keep every female alive."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Now a certain man from the tribe of Levi went and took one of the daughters of Levi.</w:t>
      </w:r>
    </w:p>
    <w:p>
      <w:r>
        <w:rPr>
          <w:b/>
        </w:rPr>
        <w:t xml:space="preserve">2 </w:t>
      </w:r>
      <w:r>
        <w:t xml:space="preserve">And she conceived and bore a male child, and seeing that he was beautiful, they hid him three months.</w:t>
      </w:r>
    </w:p>
    <w:p>
      <w:r>
        <w:rPr>
          <w:b/>
        </w:rPr>
        <w:t xml:space="preserve">3 </w:t>
      </w:r>
      <w:r>
        <w:t xml:space="preserve">But when they could no longer hide him, his mother took for him a basket and coated it with bitumen and pitch, and she put the child into it and set it in the reeds by the river.</w:t>
      </w:r>
    </w:p>
    <w:p>
      <w:r>
        <w:rPr>
          <w:b/>
        </w:rPr>
        <w:t xml:space="preserve">4 </w:t>
      </w:r>
      <w:r>
        <w:t xml:space="preserve">And his sister kept watch from a distance to learn what would happen to him.</w:t>
      </w:r>
    </w:p>
    <w:p>
      <w:r>
        <w:rPr>
          <w:b/>
        </w:rPr>
        <w:t xml:space="preserve">5 </w:t>
      </w:r>
      <w:r>
        <w:t xml:space="preserve">Then Pharaoh's daughter came down to bathe at the river, and her young women were walking along beside the river. Seeing the basket in the reeds, she sent her maid and took it.</w:t>
      </w:r>
    </w:p>
    <w:p>
      <w:r>
        <w:rPr>
          <w:b/>
        </w:rPr>
        <w:t xml:space="preserve">6 </w:t>
      </w:r>
      <w:r>
        <w:t xml:space="preserve">And when she opened it, she sees a child crying in the basket. And Pharaoh's daughter had compassion on him and said, "This is one of the Hebrews" children.'</w:t>
      </w:r>
    </w:p>
    <w:p>
      <w:r>
        <w:rPr>
          <w:b/>
        </w:rPr>
        <w:t xml:space="preserve">7 </w:t>
      </w:r>
      <w:r>
        <w:t xml:space="preserve">Then his sister said to Pharaoh's daughter, "Do you want me to call a nursing woman from the Hebrews, and she will nurse the child for you?"</w:t>
      </w:r>
    </w:p>
    <w:p>
      <w:r>
        <w:rPr>
          <w:b/>
        </w:rPr>
        <w:t xml:space="preserve">8 </w:t>
      </w:r>
      <w:r>
        <w:t xml:space="preserve">And Pharaoh's daughter said to her, "Go." So the young woman went and called the child's mother</w:t>
      </w:r>
      <w:r>
        <w:rPr>
          <w:rStyle w:val="FootnoteReference"/>
        </w:rPr>
        <w:footnoteReference w:id="1332"/>
      </w:r>
      <w:r>
        <w:t xml:space="preserve">.</w:t>
      </w:r>
      <w:r>
        <w:rPr>
          <w:rStyle w:val="FootnoteReference"/>
        </w:rPr>
        <w:footnoteReference w:id="1333"/>
      </w:r>
    </w:p>
    <w:p>
      <w:r>
        <w:rPr>
          <w:b/>
        </w:rPr>
        <w:t xml:space="preserve">9 </w:t>
      </w:r>
      <w:r>
        <w:t xml:space="preserve">And Pharaoh's daughter said to her, "Keep this child for me and nurse him for me</w:t>
      </w:r>
      <w:r>
        <w:rPr>
          <w:rStyle w:val="FootnoteReference"/>
        </w:rPr>
        <w:footnoteReference w:id="1334"/>
      </w:r>
      <w:r>
        <w:t xml:space="preserve">, and I will give you your wages." So the woman took the child and nursed him.</w:t>
      </w:r>
    </w:p>
    <w:p>
      <w:r>
        <w:rPr>
          <w:b/>
        </w:rPr>
        <w:t xml:space="preserve">10 </w:t>
      </w:r>
      <w:r>
        <w:t xml:space="preserve">And when the child grew strong, she brought him to Pharaoh's daughter, and he became her son. And she called his name Moses</w:t>
      </w:r>
      <w:r>
        <w:rPr>
          <w:rStyle w:val="FootnoteReference"/>
        </w:rPr>
        <w:footnoteReference w:id="1335"/>
      </w:r>
      <w:r>
        <w:t xml:space="preserve">, saying, "For I drew him out of the water."</w:t>
      </w:r>
    </w:p>
    <w:p>
      <w:r>
        <w:rPr>
          <w:b/>
        </w:rPr>
        <w:t xml:space="preserve">11 </w:t>
      </w:r>
      <w:r>
        <w:t xml:space="preserve">Now in those many days, when Moses</w:t>
      </w:r>
      <w:r>
        <w:rPr>
          <w:rStyle w:val="FootnoteReference"/>
        </w:rPr>
        <w:footnoteReference w:id="1336"/>
      </w:r>
      <w:r>
        <w:t xml:space="preserve"> had grown great, he went out to his brothers, the sons of Israel. And observing their hardship, he saw an Egyptian striking a certain Hebrew, one of his own brothers from the sons of Israel.</w:t>
      </w:r>
    </w:p>
    <w:p>
      <w:r>
        <w:rPr>
          <w:b/>
        </w:rPr>
        <w:t xml:space="preserve">12 </w:t>
      </w:r>
      <w:r>
        <w:t xml:space="preserve">And looking this way and that way, he saw no one, so he struck the Egyptian and hid him in the sand.</w:t>
      </w:r>
    </w:p>
    <w:p>
      <w:r>
        <w:rPr>
          <w:b/>
        </w:rPr>
        <w:t xml:space="preserve">13 </w:t>
      </w:r>
      <w:r>
        <w:t xml:space="preserve">And going out on the second day, he saw two Hebrew men fighting, and he says to the one doing wrong, "Why are you striking your neighbor?"</w:t>
      </w:r>
    </w:p>
    <w:p>
      <w:r>
        <w:rPr>
          <w:b/>
        </w:rPr>
        <w:t xml:space="preserve">14 </w:t>
      </w:r>
      <w:r>
        <w:t xml:space="preserve">But he said, "Who made you ruler and judge over us? Do you mean to kill me as you killed the Egyptian yesterday?" Then Moses</w:t>
      </w:r>
      <w:r>
        <w:rPr>
          <w:rStyle w:val="FootnoteReference"/>
        </w:rPr>
        <w:footnoteReference w:id="1337"/>
      </w:r>
      <w:r>
        <w:t xml:space="preserve"> became afraid and said, "So then this matter has become known."</w:t>
      </w:r>
    </w:p>
    <w:p>
      <w:r>
        <w:rPr>
          <w:b/>
        </w:rPr>
        <w:t xml:space="preserve">15 </w:t>
      </w:r>
      <w:r>
        <w:t xml:space="preserve">And Pharaoh heard this matter and sought to kill Moses. But Moses withdrew from Pharaoh's face</w:t>
      </w:r>
      <w:r>
        <w:rPr>
          <w:rStyle w:val="FootnoteReference"/>
        </w:rPr>
        <w:footnoteReference w:id="1338"/>
      </w:r>
      <w:r>
        <w:t xml:space="preserve"> and lived in the land of Midian</w:t>
      </w:r>
      <w:r>
        <w:rPr>
          <w:rStyle w:val="FootnoteReference"/>
        </w:rPr>
        <w:footnoteReference w:id="1339"/>
      </w:r>
      <w:r>
        <w:t xml:space="preserve">. And when he came into the land of Midian, he sat by the well.</w:t>
      </w:r>
    </w:p>
    <w:p>
      <w:r>
        <w:rPr>
          <w:b/>
        </w:rPr>
        <w:t xml:space="preserve">16 </w:t>
      </w:r>
      <w:r>
        <w:t xml:space="preserve">Now the priest</w:t>
      </w:r>
      <w:r>
        <w:rPr>
          <w:rStyle w:val="FootnoteReference"/>
        </w:rPr>
        <w:footnoteReference w:id="1340"/>
      </w:r>
      <w:r>
        <w:t xml:space="preserve"> of Midian had seven daughters, tending the flock of their father Jethro</w:t>
      </w:r>
      <w:r>
        <w:rPr>
          <w:rStyle w:val="FootnoteReference"/>
        </w:rPr>
        <w:footnoteReference w:id="1341"/>
      </w:r>
      <w:r>
        <w:t xml:space="preserve">. And when they came, they drew water until they filled the troughs to water the flock of their father Jethro.</w:t>
      </w:r>
    </w:p>
    <w:p>
      <w:r>
        <w:rPr>
          <w:b/>
        </w:rPr>
        <w:t xml:space="preserve">17 </w:t>
      </w:r>
      <w:r>
        <w:t xml:space="preserve">But when the shepherds</w:t>
      </w:r>
      <w:r>
        <w:rPr>
          <w:rStyle w:val="FootnoteReference"/>
        </w:rPr>
        <w:footnoteReference w:id="1342"/>
      </w:r>
      <w:r>
        <w:t xml:space="preserve"> came, they drove them away. Then Moses rose and rescued them, and he drew water for them and watered their flock.</w:t>
      </w:r>
    </w:p>
    <w:p>
      <w:r>
        <w:rPr>
          <w:b/>
        </w:rPr>
        <w:t xml:space="preserve">18 </w:t>
      </w:r>
      <w:r>
        <w:t xml:space="preserve">Then they came to Raguel</w:t>
      </w:r>
      <w:r>
        <w:rPr>
          <w:rStyle w:val="FootnoteReference"/>
        </w:rPr>
        <w:footnoteReference w:id="1343"/>
      </w:r>
      <w:r>
        <w:t xml:space="preserve"> their father, and he said to them, "Why have you come so quickly today?"</w:t>
      </w:r>
    </w:p>
    <w:p>
      <w:r>
        <w:rPr>
          <w:b/>
        </w:rPr>
        <w:t xml:space="preserve">19 </w:t>
      </w:r>
      <w:r>
        <w:t xml:space="preserve">And they said, "An Egyptian</w:t>
      </w:r>
      <w:r>
        <w:rPr>
          <w:rStyle w:val="FootnoteReference"/>
        </w:rPr>
        <w:footnoteReference w:id="1344"/>
      </w:r>
      <w:r>
        <w:t xml:space="preserve"> man rescued us from the shepherds, and he also drew water for us and watered our flock."</w:t>
      </w:r>
    </w:p>
    <w:p>
      <w:r>
        <w:rPr>
          <w:b/>
        </w:rPr>
        <w:t xml:space="preserve">20 </w:t>
      </w:r>
      <w:r>
        <w:t xml:space="preserve">And he said to his daughters, "Then where is he? And why have you left the man like this? Call him</w:t>
      </w:r>
      <w:r>
        <w:rPr>
          <w:rStyle w:val="FootnoteReference"/>
        </w:rPr>
        <w:footnoteReference w:id="1345"/>
      </w:r>
      <w:r>
        <w:t xml:space="preserve"> then, so that he may eat bread."</w:t>
      </w:r>
    </w:p>
    <w:p>
      <w:r>
        <w:rPr>
          <w:b/>
        </w:rPr>
        <w:t xml:space="preserve">21 </w:t>
      </w:r>
      <w:r>
        <w:t xml:space="preserve">And Moses settled with the man, and he gave Shiphrah his daughter to Moses as a wife.</w:t>
      </w:r>
    </w:p>
    <w:p>
      <w:r>
        <w:rPr>
          <w:b/>
        </w:rPr>
        <w:t xml:space="preserve">22 </w:t>
      </w:r>
      <w:r>
        <w:t xml:space="preserve">And the woman conceived and bore a son, and Moses called his name Gershom</w:t>
      </w:r>
      <w:r>
        <w:rPr>
          <w:rStyle w:val="FootnoteReference"/>
        </w:rPr>
        <w:footnoteReference w:id="1346"/>
      </w:r>
      <w:r>
        <w:t xml:space="preserve">, saying, "Because I am a sojourner in a foreign land."</w:t>
      </w:r>
      <w:r>
        <w:rPr>
          <w:rStyle w:val="FootnoteReference"/>
        </w:rPr>
        <w:footnoteReference w:id="1347"/>
      </w:r>
    </w:p>
    <w:p>
      <w:r>
        <w:rPr>
          <w:b/>
        </w:rPr>
        <w:t xml:space="preserve">23 </w:t>
      </w:r>
      <w:r>
        <w:t xml:space="preserve">Now after those many days the king of Egypt died, and the sons of Israel groaned from the labors and cried out, and their cry went up to God from the labors.</w:t>
      </w:r>
    </w:p>
    <w:p>
      <w:r>
        <w:rPr>
          <w:b/>
        </w:rPr>
        <w:t xml:space="preserve">24 </w:t>
      </w:r>
      <w:r>
        <w:t xml:space="preserve">And God heard</w:t>
      </w:r>
      <w:r>
        <w:rPr>
          <w:rStyle w:val="FootnoteReference"/>
        </w:rPr>
        <w:footnoteReference w:id="1348"/>
      </w:r>
      <w:r>
        <w:t xml:space="preserve"> their groaning, and God remembered his covenant with Abraham and Isaac and Jacob.</w:t>
      </w:r>
    </w:p>
    <w:p>
      <w:r>
        <w:rPr>
          <w:b/>
        </w:rPr>
        <w:t xml:space="preserve">25 </w:t>
      </w:r>
      <w:r>
        <w:t xml:space="preserve">And God saw the sons of Israel and was made known to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Now Moses was shepherding the flock of Jethro his father</w:t>
      </w:r>
      <w:r>
        <w:rPr>
          <w:rStyle w:val="FootnoteReference"/>
        </w:rPr>
        <w:footnoteReference w:id="1349"/>
      </w:r>
      <w:r>
        <w:t xml:space="preserve">-in-law, the priest of Midian, and he led the flock into the wilderness and came to Mount Horeb</w:t>
      </w:r>
      <w:r>
        <w:rPr>
          <w:rStyle w:val="FootnoteReference"/>
        </w:rPr>
        <w:footnoteReference w:id="1350"/>
      </w:r>
      <w:r>
        <w:t xml:space="preserve">.</w:t>
      </w:r>
    </w:p>
    <w:p>
      <w:r>
        <w:rPr>
          <w:b/>
        </w:rPr>
        <w:t xml:space="preserve">2 </w:t>
      </w:r>
      <w:r>
        <w:t xml:space="preserve">Then an angel of the Lord</w:t>
      </w:r>
      <w:r>
        <w:rPr>
          <w:rStyle w:val="FootnoteReference"/>
        </w:rPr>
        <w:footnoteReference w:id="1351"/>
      </w:r>
      <w:r>
        <w:t xml:space="preserve"> appeared to him in a flame of fire out of the bush. And he saw that the bush burned with fire, but the bush was not being consumed.</w:t>
      </w:r>
      <w:r>
        <w:rPr>
          <w:rStyle w:val="FootnoteReference"/>
        </w:rPr>
        <w:footnoteReference w:id="1352"/>
      </w:r>
    </w:p>
    <w:p>
      <w:r>
        <w:rPr>
          <w:b/>
        </w:rPr>
        <w:t xml:space="preserve">3 </w:t>
      </w:r>
      <w:r>
        <w:t xml:space="preserve">And Moses said, "I will go over now and see this great sight, why the bush is not burned up."</w:t>
      </w:r>
    </w:p>
    <w:p>
      <w:r>
        <w:rPr>
          <w:b/>
        </w:rPr>
        <w:t xml:space="preserve">4 </w:t>
      </w:r>
      <w:r>
        <w:t xml:space="preserve">And when the Lord saw that he was coming near to see, the Lord called to him from the bush, saying, "Moses</w:t>
      </w:r>
      <w:r>
        <w:rPr>
          <w:rStyle w:val="FootnoteReference"/>
        </w:rPr>
        <w:footnoteReference w:id="1353"/>
      </w:r>
      <w:r>
        <w:t xml:space="preserve">, Moses." And he said, "What is it?"</w:t>
      </w:r>
    </w:p>
    <w:p>
      <w:r>
        <w:rPr>
          <w:b/>
        </w:rPr>
        <w:t xml:space="preserve">5 </w:t>
      </w:r>
      <w:r>
        <w:t xml:space="preserve">And he said, "Do not come near here. Untie your sandals from your feet, for the place on which you stand is holy ground."</w:t>
      </w:r>
    </w:p>
    <w:p>
      <w:r>
        <w:rPr>
          <w:b/>
        </w:rPr>
        <w:t xml:space="preserve">6 </w:t>
      </w:r>
      <w:r>
        <w:t xml:space="preserve">And he said to him, "I am the God of your father, the God of Abraham and the God of Isaac and the God of Jacob</w:t>
      </w:r>
      <w:r>
        <w:rPr>
          <w:rStyle w:val="FootnoteReference"/>
        </w:rPr>
        <w:footnoteReference w:id="1354"/>
      </w:r>
      <w:r>
        <w:t xml:space="preserve">." Then Moses turned away his face, for he feared to gaze before God.</w:t>
      </w:r>
      <w:r>
        <w:rPr>
          <w:rStyle w:val="FootnoteReference"/>
        </w:rPr>
        <w:footnoteReference w:id="1355"/>
      </w:r>
    </w:p>
    <w:p>
      <w:r>
        <w:rPr>
          <w:b/>
        </w:rPr>
        <w:t xml:space="preserve">7 </w:t>
      </w:r>
      <w:r>
        <w:t xml:space="preserve">And the Lord said to Moses, "I have surely seen the affliction of my people in Egypt, and I have heard their cry from the taskmasters, for I know their pain."</w:t>
      </w:r>
    </w:p>
    <w:p>
      <w:r>
        <w:rPr>
          <w:b/>
        </w:rPr>
        <w:t xml:space="preserve">8 </w:t>
      </w:r>
      <w:r>
        <w:t xml:space="preserve">And I have come down to take them out</w:t>
      </w:r>
      <w:r>
        <w:rPr>
          <w:rStyle w:val="FootnoteReference"/>
        </w:rPr>
        <w:footnoteReference w:id="1356"/>
      </w:r>
      <w:r>
        <w:t xml:space="preserve"> from the hand of the Egyptians and to bring them out of that land into a good and broad land, into a land flowing with milk and honey, into the place of the Canaanites</w:t>
      </w:r>
      <w:r>
        <w:rPr>
          <w:rStyle w:val="FootnoteReference"/>
        </w:rPr>
        <w:footnoteReference w:id="1357"/>
      </w:r>
      <w:r>
        <w:t xml:space="preserve"> and Hittites and Amorites and Perizzites and Girgashites and Hivites and Jebusites.</w:t>
      </w:r>
    </w:p>
    <w:p>
      <w:r>
        <w:rPr>
          <w:b/>
        </w:rPr>
        <w:t xml:space="preserve">9 </w:t>
      </w:r>
      <w:r>
        <w:t xml:space="preserve">And now, look, the cry</w:t>
      </w:r>
      <w:r>
        <w:rPr>
          <w:rStyle w:val="FootnoteReference"/>
        </w:rPr>
        <w:footnoteReference w:id="1358"/>
      </w:r>
      <w:r>
        <w:t xml:space="preserve"> of the sons of Israel has come to me, and I have seen the oppression with which the Egyptians oppress them.</w:t>
      </w:r>
    </w:p>
    <w:p>
      <w:r>
        <w:rPr>
          <w:b/>
        </w:rPr>
        <w:t xml:space="preserve">10 </w:t>
      </w:r>
      <w:r>
        <w:t xml:space="preserve">And now come, I will send you to Pharaoh king of Egypt, and you shall bring out my people, the sons of Israel, from the land of Egypt.</w:t>
      </w:r>
    </w:p>
    <w:p>
      <w:r>
        <w:rPr>
          <w:b/>
        </w:rPr>
        <w:t xml:space="preserve">11 </w:t>
      </w:r>
      <w:r>
        <w:t xml:space="preserve">And Moses said to God, "Who am I, that I should go to Pharaoh king of Egypt and that I should bring out the sons of Israel from the land of Egypt?"</w:t>
      </w:r>
    </w:p>
    <w:p>
      <w:r>
        <w:rPr>
          <w:b/>
        </w:rPr>
        <w:t xml:space="preserve">12 </w:t>
      </w:r>
      <w:r>
        <w:t xml:space="preserve">And God said to Moses, saying, "For I will be with you, and this will be the sign for you that I am the one sending you: when you bring out my people from Egypt, you will serve God on this mountain."</w:t>
      </w:r>
    </w:p>
    <w:p>
      <w:r>
        <w:rPr>
          <w:b/>
        </w:rPr>
        <w:t xml:space="preserve">13 </w:t>
      </w:r>
      <w:r>
        <w:t xml:space="preserve">And Moses said to God, "Look, I will come to the sons of Israel and say to them, The God of your fathers has sent me to you. And they will ask me, What is his name</w:t>
      </w:r>
      <w:r>
        <w:rPr>
          <w:rStyle w:val="FootnoteReference"/>
        </w:rPr>
        <w:footnoteReference w:id="1359"/>
      </w:r>
      <w:r>
        <w:t xml:space="preserve">? What should I say to them?"</w:t>
      </w:r>
    </w:p>
    <w:p>
      <w:r>
        <w:rPr>
          <w:b/>
        </w:rPr>
        <w:t xml:space="preserve">14 </w:t>
      </w:r>
      <w:r>
        <w:t xml:space="preserve">And God said to Moses, "I am the One who is</w:t>
      </w:r>
      <w:r>
        <w:rPr>
          <w:rStyle w:val="FootnoteReference"/>
        </w:rPr>
        <w:footnoteReference w:id="1360"/>
      </w:r>
      <w:r>
        <w:t xml:space="preserve">." And he said, "Thus shall you say to the sons of Israel: The One who is has sent me to you."</w:t>
      </w:r>
      <w:r>
        <w:rPr>
          <w:rStyle w:val="FootnoteReference"/>
        </w:rPr>
        <w:footnoteReference w:id="1361"/>
      </w:r>
    </w:p>
    <w:p>
      <w:r>
        <w:rPr>
          <w:b/>
        </w:rPr>
        <w:t xml:space="preserve">15 </w:t>
      </w:r>
      <w:r>
        <w:t xml:space="preserve">And God said again to Moses, "Thus shall you say to the sons of Israel: The Lord</w:t>
      </w:r>
      <w:r>
        <w:rPr>
          <w:rStyle w:val="FootnoteReference"/>
        </w:rPr>
        <w:footnoteReference w:id="1362"/>
      </w:r>
      <w:r>
        <w:t xml:space="preserve">, the God of your fathers, the God of Abraham and the God of Isaac and the God of Jacob, has sent me to you. This is my eternal name and my memorial from generation to generation."</w:t>
      </w:r>
    </w:p>
    <w:p>
      <w:r>
        <w:rPr>
          <w:b/>
        </w:rPr>
        <w:t xml:space="preserve">16 </w:t>
      </w:r>
      <w:r>
        <w:t xml:space="preserve">Go then, gather the elders</w:t>
      </w:r>
      <w:r>
        <w:rPr>
          <w:rStyle w:val="FootnoteReference"/>
        </w:rPr>
        <w:footnoteReference w:id="1363"/>
      </w:r>
      <w:r>
        <w:t xml:space="preserve"> of the sons of Israel and say to them, "The Lord, the God of your fathers, has appeared to me, the God of Abraham and the God of Isaac and the God of Jacob, saying, I have surely visited you</w:t>
      </w:r>
      <w:r>
        <w:rPr>
          <w:rStyle w:val="FootnoteReference"/>
        </w:rPr>
        <w:footnoteReference w:id="1364"/>
      </w:r>
      <w:r>
        <w:t xml:space="preserve"> and the things that have happened to you in Egypt."</w:t>
      </w:r>
    </w:p>
    <w:p>
      <w:r>
        <w:rPr>
          <w:b/>
        </w:rPr>
        <w:t xml:space="preserve">17 </w:t>
      </w:r>
      <w:r>
        <w:t xml:space="preserve">And I said, I will bring</w:t>
      </w:r>
      <w:r>
        <w:rPr>
          <w:rStyle w:val="FootnoteReference"/>
        </w:rPr>
        <w:footnoteReference w:id="1365"/>
      </w:r>
      <w:r>
        <w:t xml:space="preserve"> you up out of the affliction of the Egyptians into the land of the Canaanites and Hittites and Amorites and Perizzites and Girgashites and Hivites and Jebusites, into a land flowing with milk and honey.</w:t>
      </w:r>
    </w:p>
    <w:p>
      <w:r>
        <w:rPr>
          <w:b/>
        </w:rPr>
        <w:t xml:space="preserve">18 </w:t>
      </w:r>
      <w:r>
        <w:t xml:space="preserve">And they will listen to your voice, and you and the elders of Israel shall go in to Pharaoh king of Egypt, and you shall say to him, "The God of the Hebrews has summoned us</w:t>
      </w:r>
      <w:r>
        <w:rPr>
          <w:rStyle w:val="FootnoteReference"/>
        </w:rPr>
        <w:footnoteReference w:id="1366"/>
      </w:r>
      <w:r>
        <w:t xml:space="preserve">. Let us go then a journey of three days into the wilderness so that we may</w:t>
      </w:r>
      <w:r>
        <w:rPr>
          <w:rStyle w:val="FootnoteReference"/>
        </w:rPr>
        <w:footnoteReference w:id="1367"/>
      </w:r>
      <w:r>
        <w:t xml:space="preserve"> sacrifice to our God."</w:t>
      </w:r>
    </w:p>
    <w:p>
      <w:r>
        <w:rPr>
          <w:b/>
        </w:rPr>
        <w:t xml:space="preserve">19 </w:t>
      </w:r>
      <w:r>
        <w:t xml:space="preserve">But I know that Pharaoh king of Egypt will not</w:t>
      </w:r>
      <w:r>
        <w:rPr>
          <w:rStyle w:val="FootnoteReference"/>
        </w:rPr>
        <w:footnoteReference w:id="1368"/>
      </w:r>
      <w:r>
        <w:t xml:space="preserve"> let you go, except under a mighty hand.</w:t>
      </w:r>
    </w:p>
    <w:p>
      <w:r>
        <w:rPr>
          <w:b/>
        </w:rPr>
        <w:t xml:space="preserve">20 </w:t>
      </w:r>
      <w:r>
        <w:t xml:space="preserve">And stretching out my hand, I will strike the Egyptians with all my wonders that I will do among them, and after these things he will send you out.</w:t>
      </w:r>
    </w:p>
    <w:p>
      <w:r>
        <w:rPr>
          <w:b/>
        </w:rPr>
        <w:t xml:space="preserve">21 </w:t>
      </w:r>
      <w:r>
        <w:t xml:space="preserve">And I will give favor to this people before the Egyptians, and when you depart, you will not depart empty.</w:t>
      </w:r>
    </w:p>
    <w:p>
      <w:r>
        <w:rPr>
          <w:b/>
        </w:rPr>
        <w:t xml:space="preserve">22 </w:t>
      </w:r>
      <w:r>
        <w:t xml:space="preserve">Each woman shall ask from her neighbor and her fellow-dweller</w:t>
      </w:r>
      <w:r>
        <w:rPr>
          <w:rStyle w:val="FootnoteReference"/>
        </w:rPr>
        <w:footnoteReference w:id="1369"/>
      </w:r>
      <w:r>
        <w:t xml:space="preserve"> articles of silver and gold and clothing, and you shall put them on your sons and on your daughters, and you shall plunder the Egyptians.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Moses answered and said, "What if they do not believe me or listen to my voice? For they will say, God has not appeared to you. What shall I say to them?"</w:t>
      </w:r>
    </w:p>
    <w:p>
      <w:r>
        <w:rPr>
          <w:b/>
        </w:rPr>
        <w:t xml:space="preserve">2 </w:t>
      </w:r>
      <w:r>
        <w:t xml:space="preserve">And the Lord said to him, "What is this in your hand?" And he said, "A staff."</w:t>
      </w:r>
    </w:p>
    <w:p>
      <w:r>
        <w:rPr>
          <w:b/>
        </w:rPr>
        <w:t xml:space="preserve">3 </w:t>
      </w:r>
      <w:r>
        <w:t xml:space="preserve">And he said, "Throw it on the ground." And he threw it on the ground, and it became</w:t>
      </w:r>
      <w:r>
        <w:rPr>
          <w:rStyle w:val="FootnoteReference"/>
        </w:rPr>
        <w:footnoteReference w:id="1370"/>
      </w:r>
      <w:r>
        <w:t xml:space="preserve"> a serpent, and Moses fled from it.</w:t>
      </w:r>
    </w:p>
    <w:p>
      <w:r>
        <w:rPr>
          <w:b/>
        </w:rPr>
        <w:t xml:space="preserve">4 </w:t>
      </w:r>
      <w:r>
        <w:t xml:space="preserve">And the Lord said to Moses, "Stretch out your hand and seize its tail." So stretching out his hand, he seized its tail, and it became a staff in his hand.</w:t>
      </w:r>
    </w:p>
    <w:p>
      <w:r>
        <w:rPr>
          <w:b/>
        </w:rPr>
        <w:t xml:space="preserve">5 </w:t>
      </w:r>
      <w:r>
        <w:t xml:space="preserve">So that they may believe you that the Lord</w:t>
      </w:r>
      <w:r>
        <w:rPr>
          <w:rStyle w:val="FootnoteReference"/>
        </w:rPr>
        <w:footnoteReference w:id="1371"/>
      </w:r>
      <w:r>
        <w:t xml:space="preserve">, the God of their fathers, the God of Abraham and the God of Isaac and the God of Jacob, has appeared to you</w:t>
      </w:r>
      <w:r>
        <w:rPr>
          <w:rStyle w:val="FootnoteReference"/>
        </w:rPr>
        <w:footnoteReference w:id="1372"/>
      </w:r>
      <w:r>
        <w:t xml:space="preserve">.</w:t>
      </w:r>
    </w:p>
    <w:p>
      <w:r>
        <w:rPr>
          <w:b/>
        </w:rPr>
        <w:t xml:space="preserve">6 </w:t>
      </w:r>
      <w:r>
        <w:t xml:space="preserve">And the Lord said to him again, "Put your hand into your bosom." And he put his hand into his bosom, and he brought his hand out of his bosom, and his hand became like snow.</w:t>
      </w:r>
    </w:p>
    <w:p>
      <w:r>
        <w:rPr>
          <w:b/>
        </w:rPr>
        <w:t xml:space="preserve">7 </w:t>
      </w:r>
      <w:r>
        <w:t xml:space="preserve">And he said again, "Put your hand into your bosom." And he put his hand into his bosom and brought it out of his bosom, and it was restored again to the color of his flesh.</w:t>
      </w:r>
    </w:p>
    <w:p>
      <w:r>
        <w:rPr>
          <w:b/>
        </w:rPr>
        <w:t xml:space="preserve">8 </w:t>
      </w:r>
      <w:r>
        <w:t xml:space="preserve">And if they</w:t>
      </w:r>
      <w:r>
        <w:rPr>
          <w:rStyle w:val="FootnoteReference"/>
        </w:rPr>
        <w:footnoteReference w:id="1373"/>
      </w:r>
      <w:r>
        <w:t xml:space="preserve"> do not believe you or listen to the voice of the first sign, they will believe the voice of the last sign.</w:t>
      </w:r>
    </w:p>
    <w:p>
      <w:r>
        <w:rPr>
          <w:b/>
        </w:rPr>
        <w:t xml:space="preserve">9 </w:t>
      </w:r>
      <w:r>
        <w:t xml:space="preserve">And it will be, if they do not believe you by these two signs and do not listen to your voice, you shall take from the water</w:t>
      </w:r>
      <w:r>
        <w:rPr>
          <w:rStyle w:val="FootnoteReference"/>
        </w:rPr>
        <w:footnoteReference w:id="1374"/>
      </w:r>
      <w:r>
        <w:t xml:space="preserve"> of the river and pour it on the dry ground, and the water that you take from the river will become blood on the dry ground</w:t>
      </w:r>
      <w:r>
        <w:rPr>
          <w:rStyle w:val="FootnoteReference"/>
        </w:rPr>
        <w:footnoteReference w:id="1375"/>
      </w:r>
      <w:r>
        <w:t xml:space="preserve">.</w:t>
      </w:r>
    </w:p>
    <w:p>
      <w:r>
        <w:rPr>
          <w:b/>
        </w:rPr>
        <w:t xml:space="preserve">10 </w:t>
      </w:r>
      <w:r>
        <w:t xml:space="preserve">And Moses said to the Lord, "I beg you, Lord, I have not been adequate before, neither yesterday nor the day before, nor since you began speaking to your servant. I am weak-voiced and slow-tongued."</w:t>
      </w:r>
    </w:p>
    <w:p>
      <w:r>
        <w:rPr>
          <w:b/>
        </w:rPr>
        <w:t xml:space="preserve">11 </w:t>
      </w:r>
      <w:r>
        <w:t xml:space="preserve">And the Lord said to Moses, "Who gave a mouth to a human being? And who made one hard of hearing and deaf, seeing and blind? Is it not I, God?"</w:t>
      </w:r>
    </w:p>
    <w:p>
      <w:r>
        <w:rPr>
          <w:b/>
        </w:rPr>
        <w:t xml:space="preserve">12 </w:t>
      </w:r>
      <w:r>
        <w:t xml:space="preserve">And now go, and I will open your mouth and instruct you in what you are about to say.</w:t>
      </w:r>
    </w:p>
    <w:p>
      <w:r>
        <w:rPr>
          <w:b/>
        </w:rPr>
        <w:t xml:space="preserve">13 </w:t>
      </w:r>
      <w:r>
        <w:t xml:space="preserve">And Moses said, "I beg you, Lord, appoint another capable one whom you will send</w:t>
      </w:r>
      <w:r>
        <w:rPr>
          <w:rStyle w:val="FootnoteReference"/>
        </w:rPr>
        <w:footnoteReference w:id="1376"/>
      </w:r>
      <w:r>
        <w:t xml:space="preserve">."</w:t>
      </w:r>
    </w:p>
    <w:p>
      <w:r>
        <w:rPr>
          <w:b/>
        </w:rPr>
        <w:t xml:space="preserve">14 </w:t>
      </w:r>
      <w:r>
        <w:t xml:space="preserve">And the Lord, angered with wrath against Moses, said, "Look, is not Aaron</w:t>
      </w:r>
      <w:r>
        <w:rPr>
          <w:rStyle w:val="FootnoteReference"/>
        </w:rPr>
        <w:footnoteReference w:id="1377"/>
      </w:r>
      <w:r>
        <w:t xml:space="preserve"> the Levite</w:t>
      </w:r>
      <w:r>
        <w:rPr>
          <w:rStyle w:val="FootnoteReference"/>
        </w:rPr>
        <w:footnoteReference w:id="1378"/>
      </w:r>
      <w:r>
        <w:t xml:space="preserve"> your brother? I know that speaking he will speak for you. And look, he himself will come out to meet you, and seeing you, he will rejoice within himself</w:t>
      </w:r>
      <w:r>
        <w:rPr>
          <w:rStyle w:val="FootnoteReference"/>
        </w:rPr>
        <w:footnoteReference w:id="1379"/>
      </w:r>
      <w:r>
        <w:t xml:space="preserve">."</w:t>
      </w:r>
    </w:p>
    <w:p>
      <w:r>
        <w:rPr>
          <w:b/>
        </w:rPr>
        <w:t xml:space="preserve">15 </w:t>
      </w:r>
      <w:r>
        <w:t xml:space="preserve">And you shall speak to him and put</w:t>
      </w:r>
      <w:r>
        <w:rPr>
          <w:rStyle w:val="FootnoteReference"/>
        </w:rPr>
        <w:footnoteReference w:id="1380"/>
      </w:r>
      <w:r>
        <w:t xml:space="preserve"> my words into his mouth, and I will open your mouth and his mouth, and I will instruct you what you shall do.</w:t>
      </w:r>
    </w:p>
    <w:p>
      <w:r>
        <w:rPr>
          <w:b/>
        </w:rPr>
        <w:t xml:space="preserve">16 </w:t>
      </w:r>
      <w:r>
        <w:t xml:space="preserve">And he himself will speak for you to the people, and he will be your mouth, but you will be for him in the things toward God.</w:t>
      </w:r>
    </w:p>
    <w:p>
      <w:r>
        <w:rPr>
          <w:b/>
        </w:rPr>
        <w:t xml:space="preserve">17 </w:t>
      </w:r>
      <w:r>
        <w:t xml:space="preserve">And this staff, the one turned into a serpent, you shall take in your hand, with it you shall do the signs.</w:t>
      </w:r>
    </w:p>
    <w:p>
      <w:r>
        <w:rPr>
          <w:b/>
        </w:rPr>
        <w:t xml:space="preserve">18 </w:t>
      </w:r>
      <w:r>
        <w:t xml:space="preserve">And Moses went and returned to Jethro</w:t>
      </w:r>
      <w:r>
        <w:rPr>
          <w:rStyle w:val="FootnoteReference"/>
        </w:rPr>
        <w:footnoteReference w:id="1381"/>
      </w:r>
      <w:r>
        <w:t xml:space="preserve"> his father-in-law and said, "I will go now and return to my brothers in Egypt and see whether they are still alive." And Jethro said to Moses, "Go in health."</w:t>
      </w:r>
    </w:p>
    <w:p>
      <w:r>
        <w:rPr>
          <w:b/>
        </w:rPr>
        <w:t xml:space="preserve">19 </w:t>
      </w:r>
      <w:r>
        <w:t xml:space="preserve">Now after those many days the king of Egypt died. And the Lord said to Moses in Midian, "Go, depart into Egypt, for all</w:t>
      </w:r>
      <w:r>
        <w:rPr>
          <w:rStyle w:val="FootnoteReference"/>
        </w:rPr>
        <w:footnoteReference w:id="1382"/>
      </w:r>
      <w:r>
        <w:t xml:space="preserve"> seeking your life have died."</w:t>
      </w:r>
    </w:p>
    <w:p>
      <w:r>
        <w:rPr>
          <w:b/>
        </w:rPr>
        <w:t xml:space="preserve">20 </w:t>
      </w:r>
      <w:r>
        <w:t xml:space="preserve">And Moses, taking his wife and his children, mounted them on the pack animals and returned to Egypt. And Moses took the staff from God in his hand.</w:t>
      </w:r>
    </w:p>
    <w:p>
      <w:r>
        <w:rPr>
          <w:b/>
        </w:rPr>
        <w:t xml:space="preserve">21 </w:t>
      </w:r>
      <w:r>
        <w:t xml:space="preserve">And the Lord said to Moses, "When you go and return to Egypt, see that you do all the wonders</w:t>
      </w:r>
      <w:r>
        <w:rPr>
          <w:rStyle w:val="FootnoteReference"/>
        </w:rPr>
        <w:footnoteReference w:id="1383"/>
      </w:r>
      <w:r>
        <w:t xml:space="preserve"> that I gave into your hands before Pharaoh. But I will harden his heart, and he will certainly not send out the people."</w:t>
      </w:r>
    </w:p>
    <w:p>
      <w:r>
        <w:rPr>
          <w:b/>
        </w:rPr>
        <w:t xml:space="preserve">22 </w:t>
      </w:r>
      <w:r>
        <w:t xml:space="preserve">And you shall say to Pharaoh, "These things says the Lord: Israel</w:t>
      </w:r>
      <w:r>
        <w:rPr>
          <w:rStyle w:val="FootnoteReference"/>
        </w:rPr>
        <w:footnoteReference w:id="1384"/>
      </w:r>
      <w:r>
        <w:t xml:space="preserve"> is my firstborn son."</w:t>
      </w:r>
    </w:p>
    <w:p>
      <w:r>
        <w:rPr>
          <w:b/>
        </w:rPr>
        <w:t xml:space="preserve">23 </w:t>
      </w:r>
      <w:r>
        <w:t xml:space="preserve">And I said to you, Send out my people so that they may serve me. But if you refuse to send them out, look then, I will kill your firstborn son.'</w:t>
      </w:r>
    </w:p>
    <w:p>
      <w:r>
        <w:rPr>
          <w:b/>
        </w:rPr>
        <w:t xml:space="preserve">24 </w:t>
      </w:r>
      <w:r>
        <w:t xml:space="preserve">And it happened on the way, at the lodging place, that an angel of the Lord</w:t>
      </w:r>
      <w:r>
        <w:rPr>
          <w:rStyle w:val="FootnoteReference"/>
        </w:rPr>
        <w:footnoteReference w:id="1385"/>
      </w:r>
      <w:r>
        <w:t xml:space="preserve"> met him and sought to kill him.</w:t>
      </w:r>
    </w:p>
    <w:p>
      <w:r>
        <w:rPr>
          <w:b/>
        </w:rPr>
        <w:t xml:space="preserve">25 </w:t>
      </w:r>
      <w:r>
        <w:t xml:space="preserve">And Shiphrah, taking a stone, circumcised the foreskin of her son and fell at his feet and said, "The blood of my child's circumcision stands."</w:t>
      </w:r>
    </w:p>
    <w:p>
      <w:r>
        <w:rPr>
          <w:b/>
        </w:rPr>
        <w:t xml:space="preserve">26 </w:t>
      </w:r>
      <w:r>
        <w:t xml:space="preserve">And he departed from him, because she said, "The blood of my child's circumcision stands."</w:t>
      </w:r>
    </w:p>
    <w:p>
      <w:r>
        <w:rPr>
          <w:b/>
        </w:rPr>
        <w:t xml:space="preserve">27 </w:t>
      </w:r>
      <w:r>
        <w:t xml:space="preserve">And the Lord said to Aaron, "Go into</w:t>
      </w:r>
      <w:r>
        <w:rPr>
          <w:rStyle w:val="FootnoteReference"/>
        </w:rPr>
        <w:footnoteReference w:id="1386"/>
      </w:r>
      <w:r>
        <w:t xml:space="preserve"> the wilderness to meet Moses." And he went and met him at the mountain of God, and they kissed one another.</w:t>
      </w:r>
    </w:p>
    <w:p>
      <w:r>
        <w:rPr>
          <w:b/>
        </w:rPr>
        <w:t xml:space="preserve">28 </w:t>
      </w:r>
      <w:r>
        <w:t xml:space="preserve">And Moses reported to Aaron all the words of the Lord with which he had sent him, and all the signs that he had commanded him.</w:t>
      </w:r>
    </w:p>
    <w:p>
      <w:r>
        <w:rPr>
          <w:b/>
        </w:rPr>
        <w:t xml:space="preserve">29 </w:t>
      </w:r>
      <w:r>
        <w:t xml:space="preserve">And Moses and Aaron went and gathered the elders of the sons of Israel.</w:t>
      </w:r>
    </w:p>
    <w:p>
      <w:r>
        <w:rPr>
          <w:b/>
        </w:rPr>
        <w:t xml:space="preserve">30 </w:t>
      </w:r>
      <w:r>
        <w:t xml:space="preserve">And Aaron</w:t>
      </w:r>
      <w:r>
        <w:rPr>
          <w:rStyle w:val="FootnoteReference"/>
        </w:rPr>
        <w:footnoteReference w:id="1387"/>
      </w:r>
      <w:r>
        <w:t xml:space="preserve"> spoke all these words that God had spoken to Moses, and he did the signs before the people.</w:t>
      </w:r>
    </w:p>
    <w:p>
      <w:r>
        <w:rPr>
          <w:b/>
        </w:rPr>
        <w:t xml:space="preserve">31 </w:t>
      </w:r>
      <w:r>
        <w:t xml:space="preserve">And the people believed</w:t>
      </w:r>
      <w:r>
        <w:rPr>
          <w:rStyle w:val="FootnoteReference"/>
        </w:rPr>
        <w:footnoteReference w:id="1388"/>
      </w:r>
      <w:r>
        <w:t xml:space="preserve"> and rejoiced because God had visited the sons of Israel and because he had seen their affliction. And bowing down, the people worshiped.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after these things Moses and Aaron went in to Pharaoh and said to him, "These things says the Lord, the God of Israel: Send out my people so that they may hold a feast</w:t>
      </w:r>
      <w:r>
        <w:rPr>
          <w:rStyle w:val="FootnoteReference"/>
        </w:rPr>
        <w:footnoteReference w:id="1389"/>
      </w:r>
      <w:r>
        <w:t xml:space="preserve"> to me in the wilderness."</w:t>
      </w:r>
    </w:p>
    <w:p>
      <w:r>
        <w:rPr>
          <w:b/>
        </w:rPr>
        <w:t xml:space="preserve">2 </w:t>
      </w:r>
      <w:r>
        <w:t xml:space="preserve">And Pharaoh said, "Who is this, whose voice I should listen to so as to send out the sons of Israel? I do not know the Lord, and I will not send Israel out."</w:t>
      </w:r>
    </w:p>
    <w:p>
      <w:r>
        <w:rPr>
          <w:b/>
        </w:rPr>
        <w:t xml:space="preserve">3 </w:t>
      </w:r>
      <w:r>
        <w:t xml:space="preserve">And they say to him, "The God</w:t>
      </w:r>
      <w:r>
        <w:rPr>
          <w:rStyle w:val="FootnoteReference"/>
        </w:rPr>
        <w:footnoteReference w:id="1390"/>
      </w:r>
      <w:r>
        <w:t xml:space="preserve"> of the Hebrews has summoned us. Let us go then a journey of three days into the wilderness so that we may sacrifice to our God, lest death or slaughter meet us</w:t>
      </w:r>
      <w:r>
        <w:rPr>
          <w:rStyle w:val="FootnoteReference"/>
        </w:rPr>
        <w:footnoteReference w:id="1391"/>
      </w:r>
      <w:r>
        <w:t xml:space="preserve">."</w:t>
      </w:r>
    </w:p>
    <w:p>
      <w:r>
        <w:rPr>
          <w:b/>
        </w:rPr>
        <w:t xml:space="preserve">4 </w:t>
      </w:r>
      <w:r>
        <w:t xml:space="preserve">And the king of Egypt said to them, "Why, Moses and Aaron, do you turn my people away from their works? Go away, each of you, to his work."</w:t>
      </w:r>
    </w:p>
    <w:p>
      <w:r>
        <w:rPr>
          <w:b/>
        </w:rPr>
        <w:t xml:space="preserve">5 </w:t>
      </w:r>
      <w:r>
        <w:t xml:space="preserve">And Pharaoh said, "Look now, the people are numerous. Should we then give them rest from their works?"</w:t>
      </w:r>
    </w:p>
    <w:p>
      <w:r>
        <w:rPr>
          <w:b/>
        </w:rPr>
        <w:t xml:space="preserve">6 </w:t>
      </w:r>
      <w:r>
        <w:t xml:space="preserve">And Pharaoh commanded the taskmasters</w:t>
      </w:r>
      <w:r>
        <w:rPr>
          <w:rStyle w:val="FootnoteReference"/>
        </w:rPr>
        <w:footnoteReference w:id="1392"/>
      </w:r>
      <w:r>
        <w:t xml:space="preserve"> of the people and the scribes, saying,</w:t>
      </w:r>
    </w:p>
    <w:p>
      <w:r>
        <w:rPr>
          <w:b/>
        </w:rPr>
        <w:t xml:space="preserve">7 </w:t>
      </w:r>
      <w:r>
        <w:t xml:space="preserve">You shall no longer continue giving straw</w:t>
      </w:r>
      <w:r>
        <w:rPr>
          <w:rStyle w:val="FootnoteReference"/>
        </w:rPr>
        <w:footnoteReference w:id="1393"/>
      </w:r>
      <w:r>
        <w:t xml:space="preserve"> to the people for brick-making as yesterday and the day before. Let them go and gather straw for themselves.</w:t>
      </w:r>
    </w:p>
    <w:p>
      <w:r>
        <w:rPr>
          <w:b/>
        </w:rPr>
        <w:t xml:space="preserve">8 </w:t>
      </w:r>
      <w:r>
        <w:t xml:space="preserve">And the quota of brick</w:t>
      </w:r>
      <w:r>
        <w:rPr>
          <w:rStyle w:val="FootnoteReference"/>
        </w:rPr>
        <w:footnoteReference w:id="1394"/>
      </w:r>
      <w:r>
        <w:t xml:space="preserve"> that they make each day, you shall impose on them; you shall not take away anything, for they are idle. Because of this they cry out, saying, Let us go and sacrifice to our God.</w:t>
      </w:r>
    </w:p>
    <w:p>
      <w:r>
        <w:rPr>
          <w:b/>
        </w:rPr>
        <w:t xml:space="preserve">9 </w:t>
      </w:r>
      <w:r>
        <w:t xml:space="preserve">Let the works of these men be made heavy, and let them attend to these things, and let them not attend to empty words.</w:t>
      </w:r>
    </w:p>
    <w:p>
      <w:r>
        <w:rPr>
          <w:b/>
        </w:rPr>
        <w:t xml:space="preserve">10 </w:t>
      </w:r>
      <w:r>
        <w:t xml:space="preserve">And the taskmasters</w:t>
      </w:r>
      <w:r>
        <w:rPr>
          <w:rStyle w:val="FootnoteReference"/>
        </w:rPr>
        <w:footnoteReference w:id="1395"/>
      </w:r>
      <w:r>
        <w:t xml:space="preserve"> and the scribes hurried them and spoke to the people, saying, "These things says Pharaoh: I no longer give you straw."</w:t>
      </w:r>
    </w:p>
    <w:p>
      <w:r>
        <w:rPr>
          <w:b/>
        </w:rPr>
        <w:t xml:space="preserve">11 </w:t>
      </w:r>
      <w:r>
        <w:t xml:space="preserve">You yourselves go gather straw for yourselves wherever you can find it, for nothing is taken away from your quota.</w:t>
      </w:r>
    </w:p>
    <w:p>
      <w:r>
        <w:rPr>
          <w:b/>
        </w:rPr>
        <w:t xml:space="preserve">12 </w:t>
      </w:r>
      <w:r>
        <w:t xml:space="preserve">So the people were scattered through all Egypt to gather stubble</w:t>
      </w:r>
      <w:r>
        <w:rPr>
          <w:rStyle w:val="FootnoteReference"/>
        </w:rPr>
        <w:footnoteReference w:id="1396"/>
      </w:r>
      <w:r>
        <w:t xml:space="preserve"> for straw.</w:t>
      </w:r>
    </w:p>
    <w:p>
      <w:r>
        <w:rPr>
          <w:b/>
        </w:rPr>
        <w:t xml:space="preserve">13 </w:t>
      </w:r>
      <w:r>
        <w:t xml:space="preserve">And the taskmasters hurried them, saying, "Finish the works assigned each day, just as when the straw was being given to you."</w:t>
      </w:r>
    </w:p>
    <w:p>
      <w:r>
        <w:rPr>
          <w:b/>
        </w:rPr>
        <w:t xml:space="preserve">14 </w:t>
      </w:r>
      <w:r>
        <w:t xml:space="preserve">And the scribes from the race of the sons of Israel, those appointed over them by Pharaoh's overseers, were beaten, saying, "Why have you not completed your quotas of brick-making as yesterday and the day before</w:t>
      </w:r>
      <w:r>
        <w:rPr>
          <w:rStyle w:val="FootnoteReference"/>
        </w:rPr>
        <w:footnoteReference w:id="1397"/>
      </w:r>
      <w:r>
        <w:t xml:space="preserve">, and now today as well?"</w:t>
      </w:r>
    </w:p>
    <w:p>
      <w:r>
        <w:rPr>
          <w:b/>
        </w:rPr>
        <w:t xml:space="preserve">15 </w:t>
      </w:r>
      <w:r>
        <w:t xml:space="preserve">Then the scribes of the sons of Israel went in and cried out to Pharaoh, saying, "Why do you act this way toward your servants?"</w:t>
      </w:r>
    </w:p>
    <w:p>
      <w:r>
        <w:rPr>
          <w:b/>
        </w:rPr>
        <w:t xml:space="preserve">16 </w:t>
      </w:r>
      <w:r>
        <w:t xml:space="preserve">Straw is not given to your servants, and they tell us, Make bricks. And look, your servants are being beaten. But you do wrong to your people.</w:t>
      </w:r>
    </w:p>
    <w:p>
      <w:r>
        <w:rPr>
          <w:b/>
        </w:rPr>
        <w:t xml:space="preserve">17 </w:t>
      </w:r>
      <w:r>
        <w:t xml:space="preserve">And he said to them, "You are idle; you are idlers. Because of this you say, Let us go sacrifice to our God."</w:t>
      </w:r>
    </w:p>
    <w:p>
      <w:r>
        <w:rPr>
          <w:b/>
        </w:rPr>
        <w:t xml:space="preserve">18 </w:t>
      </w:r>
      <w:r>
        <w:t xml:space="preserve">Now then, go work. For straw will not be given to you, yet you must deliver the quota of bricks.</w:t>
      </w:r>
    </w:p>
    <w:p>
      <w:r>
        <w:rPr>
          <w:b/>
        </w:rPr>
        <w:t xml:space="preserve">19 </w:t>
      </w:r>
      <w:r>
        <w:t xml:space="preserve">And the scribes of the sons of Israel saw themselves in trouble, as it was said, "You shall not leave off from the bricks assigned each day."</w:t>
      </w:r>
    </w:p>
    <w:p>
      <w:r>
        <w:rPr>
          <w:b/>
        </w:rPr>
        <w:t xml:space="preserve">20 </w:t>
      </w:r>
      <w:r>
        <w:t xml:space="preserve">Then they met Moses and Aaron, who were standing to meet them as they came out from Pharaoh.</w:t>
      </w:r>
    </w:p>
    <w:p>
      <w:r>
        <w:rPr>
          <w:b/>
        </w:rPr>
        <w:t xml:space="preserve">21 </w:t>
      </w:r>
      <w:r>
        <w:t xml:space="preserve">And they said to them, "May God look upon you and judge, because you have made our smell abhorrent before Pharaoh and before his servants, putting a sword into his hands to kill us."</w:t>
      </w:r>
    </w:p>
    <w:p>
      <w:r>
        <w:rPr>
          <w:b/>
        </w:rPr>
        <w:t xml:space="preserve">22 </w:t>
      </w:r>
      <w:r>
        <w:t xml:space="preserve">Then Moses turned back to the Lord and said, "Lord, why have you afflicted this people, and why have you sent me?"</w:t>
      </w:r>
    </w:p>
    <w:p>
      <w:r>
        <w:rPr>
          <w:b/>
        </w:rPr>
        <w:t xml:space="preserve">23 </w:t>
      </w:r>
      <w:r>
        <w:t xml:space="preserve">For from the time I went to Pharaoh to speak in your name, he has afflicted this people, and you have certainly not rescued your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the Lord said to Moses, "Now you will see what I will do to Pharaoh. For with a mighty hand he will send them out, and with a high arm he will cast them out of his land."</w:t>
      </w:r>
    </w:p>
    <w:p>
      <w:r>
        <w:rPr>
          <w:b/>
        </w:rPr>
        <w:t xml:space="preserve">2 </w:t>
      </w:r>
      <w:r>
        <w:t xml:space="preserve">And God spoke to Moses and said to him, "I am the Lord</w:t>
      </w:r>
      <w:r>
        <w:rPr>
          <w:rStyle w:val="FootnoteReference"/>
        </w:rPr>
        <w:footnoteReference w:id="1398"/>
      </w:r>
      <w:r>
        <w:t xml:space="preserve">."</w:t>
      </w:r>
    </w:p>
    <w:p>
      <w:r>
        <w:rPr>
          <w:b/>
        </w:rPr>
        <w:t xml:space="preserve">3 </w:t>
      </w:r>
      <w:r>
        <w:t xml:space="preserve">And I appeared to Abraham and Isaac and Jacob as their God, but my name, Lord, I did not make known to them.</w:t>
      </w:r>
      <w:r>
        <w:rPr>
          <w:rStyle w:val="FootnoteReference"/>
        </w:rPr>
        <w:footnoteReference w:id="1399"/>
      </w:r>
    </w:p>
    <w:p>
      <w:r>
        <w:rPr>
          <w:b/>
        </w:rPr>
        <w:t xml:space="preserve">4 </w:t>
      </w:r>
      <w:r>
        <w:t xml:space="preserve">And I also established</w:t>
      </w:r>
      <w:r>
        <w:rPr>
          <w:rStyle w:val="FootnoteReference"/>
        </w:rPr>
        <w:footnoteReference w:id="1400"/>
      </w:r>
      <w:r>
        <w:t xml:space="preserve"> my covenant with them, to give them the land of the Canaanites, the land where they sojourned, in which they also lived as strangers.</w:t>
      </w:r>
    </w:p>
    <w:p>
      <w:r>
        <w:rPr>
          <w:b/>
        </w:rPr>
        <w:t xml:space="preserve">5 </w:t>
      </w:r>
      <w:r>
        <w:t xml:space="preserve">And I also heard the groaning</w:t>
      </w:r>
      <w:r>
        <w:rPr>
          <w:rStyle w:val="FootnoteReference"/>
        </w:rPr>
        <w:footnoteReference w:id="1401"/>
      </w:r>
      <w:r>
        <w:t xml:space="preserve"> of the sons of Israel, whom the Egyptians enslave, and I remembered the covenant with you.</w:t>
      </w:r>
    </w:p>
    <w:p>
      <w:r>
        <w:rPr>
          <w:b/>
        </w:rPr>
        <w:t xml:space="preserve">6 </w:t>
      </w:r>
      <w:r>
        <w:t xml:space="preserve">Go, say to the sons of Israel, I am the Lord</w:t>
      </w:r>
      <w:r>
        <w:rPr>
          <w:rStyle w:val="FootnoteReference"/>
        </w:rPr>
        <w:footnoteReference w:id="1402"/>
      </w:r>
      <w:r>
        <w:t xml:space="preserve">, and I will bring you out from the tyranny of the Egyptians, and I will rescue you from slavery, and I will redeem you with a high arm and with great judgment.</w:t>
      </w:r>
    </w:p>
    <w:p>
      <w:r>
        <w:rPr>
          <w:b/>
        </w:rPr>
        <w:t xml:space="preserve">7 </w:t>
      </w:r>
      <w:r>
        <w:t xml:space="preserve">And I will take</w:t>
      </w:r>
      <w:r>
        <w:rPr>
          <w:rStyle w:val="FootnoteReference"/>
        </w:rPr>
        <w:footnoteReference w:id="1403"/>
      </w:r>
      <w:r>
        <w:t xml:space="preserve"> you to myself as a people for me, and I will be your God, and you will know that I am the Lord your God, the one bringing you out from the oppression of the Egyptians.</w:t>
      </w:r>
    </w:p>
    <w:p>
      <w:r>
        <w:rPr>
          <w:b/>
        </w:rPr>
        <w:t xml:space="preserve">8 </w:t>
      </w:r>
      <w:r>
        <w:t xml:space="preserve">And I will bring you into the land into which I stretched out my hand to give</w:t>
      </w:r>
      <w:r>
        <w:rPr>
          <w:rStyle w:val="FootnoteReference"/>
        </w:rPr>
        <w:footnoteReference w:id="1404"/>
      </w:r>
      <w:r>
        <w:t xml:space="preserve"> it to Abraham and Isaac and Jacob, and I will give it to you as an inheritance. I am the Lord.</w:t>
      </w:r>
    </w:p>
    <w:p>
      <w:r>
        <w:rPr>
          <w:b/>
        </w:rPr>
        <w:t xml:space="preserve">9 </w:t>
      </w:r>
      <w:r>
        <w:t xml:space="preserve">And Moses spoke thus to the sons of Israel, but they did not listen to Moses because of shortness of spirit and because of the hard labors.</w:t>
      </w:r>
    </w:p>
    <w:p>
      <w:r>
        <w:rPr>
          <w:b/>
        </w:rPr>
        <w:t xml:space="preserve">10 </w:t>
      </w:r>
      <w:r>
        <w:t xml:space="preserve">Then the Lord said to Moses, saying,</w:t>
      </w:r>
    </w:p>
    <w:p>
      <w:r>
        <w:rPr>
          <w:b/>
        </w:rPr>
        <w:t xml:space="preserve">11 </w:t>
      </w:r>
      <w:r>
        <w:t xml:space="preserve">Go in, speak to Pharaoh king of Egypt, so that he may send out the sons of Israel from his land.</w:t>
      </w:r>
    </w:p>
    <w:p>
      <w:r>
        <w:rPr>
          <w:b/>
        </w:rPr>
        <w:t xml:space="preserve">12 </w:t>
      </w:r>
      <w:r>
        <w:t xml:space="preserve">But Moses spoke before the Lord, saying, "Look, the sons of Israel did not listen to me; so how will Pharaoh listen to me? And I am without speech."</w:t>
      </w:r>
    </w:p>
    <w:p>
      <w:r>
        <w:rPr>
          <w:b/>
        </w:rPr>
        <w:t xml:space="preserve">13 </w:t>
      </w:r>
      <w:r>
        <w:t xml:space="preserve">And the Lord spoke to Moses and Aaron, and he charged them concerning Pharaoh king of Egypt, that he should send out the sons of Israel from the land of Egypt.</w:t>
      </w:r>
    </w:p>
    <w:p>
      <w:r>
        <w:rPr>
          <w:b/>
        </w:rPr>
        <w:t xml:space="preserve">14 </w:t>
      </w:r>
      <w:r>
        <w:t xml:space="preserve">And these are the heads</w:t>
      </w:r>
      <w:r>
        <w:rPr>
          <w:rStyle w:val="FootnoteReference"/>
        </w:rPr>
        <w:footnoteReference w:id="1405"/>
      </w:r>
      <w:r>
        <w:t xml:space="preserve"> of the houses of their families: sons of Reuben, firstborn of Israel: Enoch and Pallu, Hezron and Carmi. This is the kindred of Reuben.</w:t>
      </w:r>
    </w:p>
    <w:p>
      <w:r>
        <w:rPr>
          <w:b/>
        </w:rPr>
        <w:t xml:space="preserve">15 </w:t>
      </w:r>
      <w:r>
        <w:t xml:space="preserve">And sons of Simeon: Jemuel and Jamin and Ohad and Jachin and Zohar and Saul, the one from the Phoenician woman. These are the families of the sons of Simeon.</w:t>
      </w:r>
    </w:p>
    <w:p>
      <w:r>
        <w:rPr>
          <w:b/>
        </w:rPr>
        <w:t xml:space="preserve">16 </w:t>
      </w:r>
      <w:r>
        <w:t xml:space="preserve">And these are the names of the sons of Levi according to their kinships: Gershon, Kohath</w:t>
      </w:r>
      <w:r>
        <w:rPr>
          <w:rStyle w:val="FootnoteReference"/>
        </w:rPr>
        <w:footnoteReference w:id="1406"/>
      </w:r>
      <w:r>
        <w:t xml:space="preserve">, and Merari. And the years of Levi's life were one hundred thirty-seven.</w:t>
      </w:r>
    </w:p>
    <w:p>
      <w:r>
        <w:rPr>
          <w:b/>
        </w:rPr>
        <w:t xml:space="preserve">17 </w:t>
      </w:r>
      <w:r>
        <w:t xml:space="preserve">And these are the sons of Gershon: Libni</w:t>
      </w:r>
      <w:r>
        <w:rPr>
          <w:rStyle w:val="FootnoteReference"/>
        </w:rPr>
        <w:footnoteReference w:id="1407"/>
      </w:r>
      <w:r>
        <w:t xml:space="preserve"> and Shimi</w:t>
      </w:r>
      <w:r>
        <w:rPr>
          <w:rStyle w:val="FootnoteReference"/>
        </w:rPr>
        <w:footnoteReference w:id="1408"/>
      </w:r>
      <w:r>
        <w:t xml:space="preserve">, houses of their families.</w:t>
      </w:r>
    </w:p>
    <w:p>
      <w:r>
        <w:rPr>
          <w:b/>
        </w:rPr>
        <w:t xml:space="preserve">18 </w:t>
      </w:r>
      <w:r>
        <w:t xml:space="preserve">And sons of Kohath: Amram</w:t>
      </w:r>
      <w:r>
        <w:rPr>
          <w:rStyle w:val="FootnoteReference"/>
        </w:rPr>
        <w:footnoteReference w:id="1409"/>
      </w:r>
      <w:r>
        <w:t xml:space="preserve"> and Izhar, Hebron, and Uzziel</w:t>
      </w:r>
      <w:r>
        <w:rPr>
          <w:rStyle w:val="FootnoteReference"/>
        </w:rPr>
        <w:footnoteReference w:id="1410"/>
      </w:r>
      <w:r>
        <w:t xml:space="preserve">. And the years</w:t>
      </w:r>
      <w:r>
        <w:rPr>
          <w:rStyle w:val="FootnoteReference"/>
        </w:rPr>
        <w:footnoteReference w:id="1411"/>
      </w:r>
      <w:r>
        <w:t xml:space="preserve"> of Kohath's life were one hundred thirty years.</w:t>
      </w:r>
    </w:p>
    <w:p>
      <w:r>
        <w:rPr>
          <w:b/>
        </w:rPr>
        <w:t xml:space="preserve">19 </w:t>
      </w:r>
      <w:r>
        <w:t xml:space="preserve">And sons of Merari: Mahali</w:t>
      </w:r>
      <w:r>
        <w:rPr>
          <w:rStyle w:val="FootnoteReference"/>
        </w:rPr>
        <w:footnoteReference w:id="1412"/>
      </w:r>
      <w:r>
        <w:t xml:space="preserve"> and Mushi</w:t>
      </w:r>
      <w:r>
        <w:rPr>
          <w:rStyle w:val="FootnoteReference"/>
        </w:rPr>
        <w:footnoteReference w:id="1413"/>
      </w:r>
      <w:r>
        <w:t xml:space="preserve">. These are the houses of Levi according to their kinships.</w:t>
      </w:r>
    </w:p>
    <w:p>
      <w:r>
        <w:rPr>
          <w:b/>
        </w:rPr>
        <w:t xml:space="preserve">20 </w:t>
      </w:r>
      <w:r>
        <w:t xml:space="preserve">And Amram</w:t>
      </w:r>
      <w:r>
        <w:rPr>
          <w:rStyle w:val="FootnoteReference"/>
        </w:rPr>
        <w:footnoteReference w:id="1414"/>
      </w:r>
      <w:r>
        <w:t xml:space="preserve"> took Jochebed</w:t>
      </w:r>
      <w:r>
        <w:rPr>
          <w:rStyle w:val="FootnoteReference"/>
        </w:rPr>
        <w:footnoteReference w:id="1415"/>
      </w:r>
      <w:r>
        <w:t xml:space="preserve">, daughter of his father's brother, as wife to himself, and she bore to him Aaron and Moses and Miriam</w:t>
      </w:r>
      <w:r>
        <w:rPr>
          <w:rStyle w:val="FootnoteReference"/>
        </w:rPr>
        <w:footnoteReference w:id="1416"/>
      </w:r>
      <w:r>
        <w:t xml:space="preserve"> their sister. And the years of Amram's life were one hundred thirty-two years.</w:t>
      </w:r>
    </w:p>
    <w:p>
      <w:r>
        <w:rPr>
          <w:b/>
        </w:rPr>
        <w:t xml:space="preserve">21 </w:t>
      </w:r>
      <w:r>
        <w:t xml:space="preserve">And sons of Izhar: Core and Nepheg</w:t>
      </w:r>
      <w:r>
        <w:rPr>
          <w:rStyle w:val="FootnoteReference"/>
        </w:rPr>
        <w:footnoteReference w:id="1417"/>
      </w:r>
      <w:r>
        <w:t xml:space="preserve"> and Zichri</w:t>
      </w:r>
      <w:r>
        <w:rPr>
          <w:rStyle w:val="FootnoteReference"/>
        </w:rPr>
        <w:footnoteReference w:id="1418"/>
      </w:r>
      <w:r>
        <w:t xml:space="preserve">.</w:t>
      </w:r>
    </w:p>
    <w:p>
      <w:r>
        <w:rPr>
          <w:b/>
        </w:rPr>
        <w:t xml:space="preserve">22 </w:t>
      </w:r>
      <w:r>
        <w:t xml:space="preserve">And sons of Uzziel: Elzaphan</w:t>
      </w:r>
      <w:r>
        <w:rPr>
          <w:rStyle w:val="FootnoteReference"/>
        </w:rPr>
        <w:footnoteReference w:id="1419"/>
      </w:r>
      <w:r>
        <w:t xml:space="preserve"> and Setri.</w:t>
      </w:r>
    </w:p>
    <w:p>
      <w:r>
        <w:rPr>
          <w:b/>
        </w:rPr>
        <w:t xml:space="preserve">23 </w:t>
      </w:r>
      <w:r>
        <w:t xml:space="preserve">And Aaron took Elizabeth</w:t>
      </w:r>
      <w:r>
        <w:rPr>
          <w:rStyle w:val="FootnoteReference"/>
        </w:rPr>
        <w:footnoteReference w:id="1420"/>
      </w:r>
      <w:r>
        <w:t xml:space="preserve"> daughter of Amminadab</w:t>
      </w:r>
      <w:r>
        <w:rPr>
          <w:rStyle w:val="FootnoteReference"/>
        </w:rPr>
        <w:footnoteReference w:id="1421"/>
      </w:r>
      <w:r>
        <w:t xml:space="preserve">, sister of Nahshon</w:t>
      </w:r>
      <w:r>
        <w:rPr>
          <w:rStyle w:val="FootnoteReference"/>
        </w:rPr>
        <w:footnoteReference w:id="1422"/>
      </w:r>
      <w:r>
        <w:t xml:space="preserve">, as wife to himself, and she bore to him Nadab</w:t>
      </w:r>
      <w:r>
        <w:rPr>
          <w:rStyle w:val="FootnoteReference"/>
        </w:rPr>
        <w:footnoteReference w:id="1423"/>
      </w:r>
      <w:r>
        <w:t xml:space="preserve"> and Abiud</w:t>
      </w:r>
      <w:r>
        <w:rPr>
          <w:rStyle w:val="FootnoteReference"/>
        </w:rPr>
        <w:footnoteReference w:id="1424"/>
      </w:r>
      <w:r>
        <w:t xml:space="preserve"> and Eleazar</w:t>
      </w:r>
      <w:r>
        <w:rPr>
          <w:rStyle w:val="FootnoteReference"/>
        </w:rPr>
        <w:footnoteReference w:id="1425"/>
      </w:r>
      <w:r>
        <w:t xml:space="preserve"> and Ithamar</w:t>
      </w:r>
      <w:r>
        <w:rPr>
          <w:rStyle w:val="FootnoteReference"/>
        </w:rPr>
        <w:footnoteReference w:id="1426"/>
      </w:r>
      <w:r>
        <w:t xml:space="preserve">.</w:t>
      </w:r>
      <w:r>
        <w:rPr>
          <w:rStyle w:val="FootnoteReference"/>
        </w:rPr>
        <w:footnoteReference w:id="1427"/>
      </w:r>
    </w:p>
    <w:p>
      <w:r>
        <w:rPr>
          <w:b/>
        </w:rPr>
        <w:t xml:space="preserve">24 </w:t>
      </w:r>
      <w:r>
        <w:t xml:space="preserve">And sons of Core: Assir</w:t>
      </w:r>
      <w:r>
        <w:rPr>
          <w:rStyle w:val="FootnoteReference"/>
        </w:rPr>
        <w:footnoteReference w:id="1428"/>
      </w:r>
      <w:r>
        <w:t xml:space="preserve"> and Elkanah</w:t>
      </w:r>
      <w:r>
        <w:rPr>
          <w:rStyle w:val="FootnoteReference"/>
        </w:rPr>
        <w:footnoteReference w:id="1429"/>
      </w:r>
      <w:r>
        <w:t xml:space="preserve"> and Abiasaph</w:t>
      </w:r>
      <w:r>
        <w:rPr>
          <w:rStyle w:val="FootnoteReference"/>
        </w:rPr>
        <w:footnoteReference w:id="1430"/>
      </w:r>
      <w:r>
        <w:t xml:space="preserve">. These are the generations of Core.</w:t>
      </w:r>
      <w:r>
        <w:rPr>
          <w:rStyle w:val="FootnoteReference"/>
        </w:rPr>
        <w:footnoteReference w:id="1431"/>
      </w:r>
    </w:p>
    <w:p>
      <w:r>
        <w:rPr>
          <w:b/>
        </w:rPr>
        <w:t xml:space="preserve">25 </w:t>
      </w:r>
      <w:r>
        <w:t xml:space="preserve">And Eleazar son of Aaron took for himself as wife one of the daughters of Putiel</w:t>
      </w:r>
      <w:r>
        <w:rPr>
          <w:rStyle w:val="FootnoteReference"/>
        </w:rPr>
        <w:footnoteReference w:id="1432"/>
      </w:r>
      <w:r>
        <w:t xml:space="preserve">, and she bore to him Phinehas</w:t>
      </w:r>
      <w:r>
        <w:rPr>
          <w:rStyle w:val="FootnoteReference"/>
        </w:rPr>
        <w:footnoteReference w:id="1433"/>
      </w:r>
      <w:r>
        <w:t xml:space="preserve">. These are the heads of the fathers of the Levites</w:t>
      </w:r>
      <w:r>
        <w:rPr>
          <w:rStyle w:val="FootnoteReference"/>
        </w:rPr>
        <w:footnoteReference w:id="1434"/>
      </w:r>
      <w:r>
        <w:t xml:space="preserve"> according to their generations.</w:t>
      </w:r>
      <w:r>
        <w:rPr>
          <w:rStyle w:val="FootnoteReference"/>
        </w:rPr>
        <w:footnoteReference w:id="1435"/>
      </w:r>
    </w:p>
    <w:p>
      <w:r>
        <w:rPr>
          <w:b/>
        </w:rPr>
        <w:t xml:space="preserve">26 </w:t>
      </w:r>
      <w:r>
        <w:t xml:space="preserve">This is Aaron and Moses, to whom God told them to bring</w:t>
      </w:r>
      <w:r>
        <w:rPr>
          <w:rStyle w:val="FootnoteReference"/>
        </w:rPr>
        <w:footnoteReference w:id="1436"/>
      </w:r>
      <w:r>
        <w:t xml:space="preserve"> out the sons of Israel from the land of Egypt with their forces.</w:t>
      </w:r>
    </w:p>
    <w:p>
      <w:r>
        <w:rPr>
          <w:b/>
        </w:rPr>
        <w:t xml:space="preserve">27 </w:t>
      </w:r>
      <w:r>
        <w:t xml:space="preserve">These are the ones speaking to Pharaoh king of Egypt and bringing out the sons of Israel from Egypt: this Aaron and Moses.</w:t>
      </w:r>
    </w:p>
    <w:p>
      <w:r>
        <w:rPr>
          <w:b/>
        </w:rPr>
        <w:t xml:space="preserve">28 </w:t>
      </w:r>
      <w:r>
        <w:t xml:space="preserve">Now it happened on the day the Lord spoke to Moses in the land of Egypt,</w:t>
      </w:r>
    </w:p>
    <w:p>
      <w:r>
        <w:rPr>
          <w:b/>
        </w:rPr>
        <w:t xml:space="preserve">29 </w:t>
      </w:r>
      <w:r>
        <w:t xml:space="preserve">that the Lord spoke to Moses, saying, "I am the</w:t>
      </w:r>
      <w:r>
        <w:rPr>
          <w:rStyle w:val="FootnoteReference"/>
        </w:rPr>
        <w:footnoteReference w:id="1437"/>
      </w:r>
      <w:r>
        <w:t xml:space="preserve"> Lord. Speak to Pharaoh king of Egypt all that I speak to you."</w:t>
      </w:r>
    </w:p>
    <w:p>
      <w:r>
        <w:rPr>
          <w:b/>
        </w:rPr>
        <w:t xml:space="preserve">30 </w:t>
      </w:r>
      <w:r>
        <w:t xml:space="preserve">And Moses said before the Lord, "Look, I am weak-voiced, and how will Pharaoh listen to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the Lord said to Moses, saying, "See, I have given you as god to Pharaoh, and Aaron your brother shall be your prophet."</w:t>
      </w:r>
    </w:p>
    <w:p>
      <w:r>
        <w:rPr>
          <w:b/>
        </w:rPr>
        <w:t xml:space="preserve">2 </w:t>
      </w:r>
      <w:r>
        <w:t xml:space="preserve">You shall speak to him all that I command you, and Aaron your brother shall speak to Pharaoh</w:t>
      </w:r>
      <w:r>
        <w:rPr>
          <w:rStyle w:val="FootnoteReference"/>
        </w:rPr>
        <w:footnoteReference w:id="1438"/>
      </w:r>
      <w:r>
        <w:t xml:space="preserve"> so that he may send out the sons of Israel from his land.</w:t>
      </w:r>
    </w:p>
    <w:p>
      <w:r>
        <w:rPr>
          <w:b/>
        </w:rPr>
        <w:t xml:space="preserve">3 </w:t>
      </w:r>
      <w:r>
        <w:t xml:space="preserve">But I will harden Pharaoh's heart, and I will multiply</w:t>
      </w:r>
      <w:r>
        <w:rPr>
          <w:rStyle w:val="FootnoteReference"/>
        </w:rPr>
        <w:footnoteReference w:id="1439"/>
      </w:r>
      <w:r>
        <w:t xml:space="preserve"> my signs and wonders in the land of Egypt.</w:t>
      </w:r>
    </w:p>
    <w:p>
      <w:r>
        <w:rPr>
          <w:b/>
        </w:rPr>
        <w:t xml:space="preserve">4 </w:t>
      </w:r>
      <w:r>
        <w:t xml:space="preserve">And Pharaoh will not listen to you, and I will lay my hand upon Egypt, and with my power I will bring out my people, the sons of Israel, from the land of Egypt with great vengeance.</w:t>
      </w:r>
    </w:p>
    <w:p>
      <w:r>
        <w:rPr>
          <w:b/>
        </w:rPr>
        <w:t xml:space="preserve">5 </w:t>
      </w:r>
      <w:r>
        <w:t xml:space="preserve">And all the Egyptians</w:t>
      </w:r>
      <w:r>
        <w:rPr>
          <w:rStyle w:val="FootnoteReference"/>
        </w:rPr>
        <w:footnoteReference w:id="1440"/>
      </w:r>
      <w:r>
        <w:t xml:space="preserve"> shall know that I am the Lord, stretching out my hand upon Egypt, when I bring out the sons of Israel from their midst.</w:t>
      </w:r>
    </w:p>
    <w:p>
      <w:r>
        <w:rPr>
          <w:b/>
        </w:rPr>
        <w:t xml:space="preserve">6 </w:t>
      </w:r>
      <w:r>
        <w:t xml:space="preserve">And Moses and Aaron did just as the Lord commanded them; so they did.</w:t>
      </w:r>
    </w:p>
    <w:p>
      <w:r>
        <w:rPr>
          <w:b/>
        </w:rPr>
        <w:t xml:space="preserve">7 </w:t>
      </w:r>
      <w:r>
        <w:t xml:space="preserve">Now Moses was eighty years old, and Aaron his brother was eighty-three years old, when he spoke to Pharaoh.</w:t>
      </w:r>
    </w:p>
    <w:p>
      <w:r>
        <w:rPr>
          <w:b/>
        </w:rPr>
        <w:t xml:space="preserve">8 </w:t>
      </w:r>
      <w:r>
        <w:t xml:space="preserve">And the Lord said to Moses and Aaron, saying,</w:t>
      </w:r>
    </w:p>
    <w:p>
      <w:r>
        <w:rPr>
          <w:b/>
        </w:rPr>
        <w:t xml:space="preserve">9 </w:t>
      </w:r>
      <w:r>
        <w:t xml:space="preserve">And if Pharaoh speaks to you, saying, Give us a sign or a wonder, then you shall say to Aaron your brother, Take</w:t>
      </w:r>
      <w:r>
        <w:rPr>
          <w:rStyle w:val="FootnoteReference"/>
        </w:rPr>
        <w:footnoteReference w:id="1441"/>
      </w:r>
      <w:r>
        <w:t xml:space="preserve"> the staff and throw it on the ground before Pharaoh and before his servants, and it will become a dragon.</w:t>
      </w:r>
    </w:p>
    <w:p>
      <w:r>
        <w:rPr>
          <w:b/>
        </w:rPr>
        <w:t xml:space="preserve">10 </w:t>
      </w:r>
      <w:r>
        <w:t xml:space="preserve">And Moses and Aaron went in before Pharaoh and his servants, and they did so, just as the Lord</w:t>
      </w:r>
      <w:r>
        <w:rPr>
          <w:rStyle w:val="FootnoteReference"/>
        </w:rPr>
        <w:footnoteReference w:id="1442"/>
      </w:r>
      <w:r>
        <w:t xml:space="preserve"> had commanded them. And Aaron threw down his staff before Pharaoh and before his servants, and it became a dragon.</w:t>
      </w:r>
    </w:p>
    <w:p>
      <w:r>
        <w:rPr>
          <w:b/>
        </w:rPr>
        <w:t xml:space="preserve">11 </w:t>
      </w:r>
      <w:r>
        <w:t xml:space="preserve">Then Pharaoh called together the wise men</w:t>
      </w:r>
      <w:r>
        <w:rPr>
          <w:rStyle w:val="FootnoteReference"/>
        </w:rPr>
        <w:footnoteReference w:id="1443"/>
      </w:r>
      <w:r>
        <w:t xml:space="preserve"> of Egypt and the sorcerers, and the enchanters of the Egyptians also did likewise with their sorceries.</w:t>
      </w:r>
    </w:p>
    <w:p>
      <w:r>
        <w:rPr>
          <w:b/>
        </w:rPr>
        <w:t xml:space="preserve">12 </w:t>
      </w:r>
      <w:r>
        <w:t xml:space="preserve">And each one threw down his staff, and they became dragons, but Aaron's</w:t>
      </w:r>
      <w:r>
        <w:rPr>
          <w:rStyle w:val="FootnoteReference"/>
        </w:rPr>
        <w:footnoteReference w:id="1444"/>
      </w:r>
      <w:r>
        <w:t xml:space="preserve"> staff swallowed up their staffs.</w:t>
      </w:r>
    </w:p>
    <w:p>
      <w:r>
        <w:rPr>
          <w:b/>
        </w:rPr>
        <w:t xml:space="preserve">13 </w:t>
      </w:r>
      <w:r>
        <w:t xml:space="preserve">And Pharaoh's heart grew strong, and he did not listen to them, just as the Lord had spoken to them.</w:t>
      </w:r>
    </w:p>
    <w:p>
      <w:r>
        <w:rPr>
          <w:b/>
        </w:rPr>
        <w:t xml:space="preserve">14 </w:t>
      </w:r>
      <w:r>
        <w:t xml:space="preserve">And the Lord said to Moses, "Pharaoh's</w:t>
      </w:r>
      <w:r>
        <w:rPr>
          <w:rStyle w:val="FootnoteReference"/>
        </w:rPr>
        <w:footnoteReference w:id="1445"/>
      </w:r>
      <w:r>
        <w:t xml:space="preserve"> heart has become heavy, so that he will not send out the people."</w:t>
      </w:r>
    </w:p>
    <w:p>
      <w:r>
        <w:rPr>
          <w:b/>
        </w:rPr>
        <w:t xml:space="preserve">15 </w:t>
      </w:r>
      <w:r>
        <w:t xml:space="preserve">Go to Pharaoh in the morning. Look, he is going out to the water, and you shall stand to meet him on the bank of the river, and you shall take in your hand the staff that was turned into a snake.</w:t>
      </w:r>
    </w:p>
    <w:p>
      <w:r>
        <w:rPr>
          <w:b/>
        </w:rPr>
        <w:t xml:space="preserve">16 </w:t>
      </w:r>
      <w:r>
        <w:t xml:space="preserve">And you shall say to him, The Lord</w:t>
      </w:r>
      <w:r>
        <w:rPr>
          <w:rStyle w:val="FootnoteReference"/>
        </w:rPr>
        <w:footnoteReference w:id="1446"/>
      </w:r>
      <w:r>
        <w:t xml:space="preserve">, the God of the Hebrews, has sent me to you, saying, Send out my people so that they may serve me in the wilderness, and look, until now you have not listened.</w:t>
      </w:r>
    </w:p>
    <w:p>
      <w:r>
        <w:rPr>
          <w:b/>
        </w:rPr>
        <w:t xml:space="preserve">17 </w:t>
      </w:r>
      <w:r>
        <w:t xml:space="preserve">These things says the Lord: By this you shall know that I am the Lord. Look, I strike with the staff in my hand upon the water in the river, and it will turn into blood.</w:t>
      </w:r>
    </w:p>
    <w:p>
      <w:r>
        <w:rPr>
          <w:b/>
        </w:rPr>
        <w:t xml:space="preserve">18 </w:t>
      </w:r>
      <w:r>
        <w:t xml:space="preserve">And the fish</w:t>
      </w:r>
      <w:r>
        <w:rPr>
          <w:rStyle w:val="FootnoteReference"/>
        </w:rPr>
        <w:footnoteReference w:id="1447"/>
      </w:r>
      <w:r>
        <w:t xml:space="preserve"> in the river will die, and the river will stink, and the Egyptians will not be able to drink water from the river.</w:t>
      </w:r>
    </w:p>
    <w:p>
      <w:r>
        <w:rPr>
          <w:b/>
        </w:rPr>
        <w:t xml:space="preserve">19 </w:t>
      </w:r>
      <w:r>
        <w:t xml:space="preserve">And the Lord said to Moses, Say to Aaron your brother, Take your staff and stretch</w:t>
      </w:r>
      <w:r>
        <w:rPr>
          <w:rStyle w:val="FootnoteReference"/>
        </w:rPr>
        <w:footnoteReference w:id="1448"/>
      </w:r>
      <w:r>
        <w:t xml:space="preserve"> out your hand over the waters of Egypt, over their rivers and their canals and their marshes and every standing water of theirs, and it will become blood. And there will be blood in all the land of Egypt, both in the woods and in the stones.</w:t>
      </w:r>
      <w:r>
        <w:rPr>
          <w:rStyle w:val="FootnoteReference"/>
        </w:rPr>
        <w:footnoteReference w:id="1449"/>
      </w:r>
    </w:p>
    <w:p>
      <w:r>
        <w:rPr>
          <w:b/>
        </w:rPr>
        <w:t xml:space="preserve">20 </w:t>
      </w:r>
      <w:r>
        <w:t xml:space="preserve">And Moses and Aaron did so, just as the Lord commanded them, and lifting up his staff, he struck the water in the river before Pharaoh and before his servants, and all the water in the river turned into blood.</w:t>
      </w:r>
      <w:r>
        <w:rPr>
          <w:rStyle w:val="FootnoteReference"/>
        </w:rPr>
        <w:footnoteReference w:id="1450"/>
      </w:r>
    </w:p>
    <w:p>
      <w:r>
        <w:rPr>
          <w:b/>
        </w:rPr>
        <w:t xml:space="preserve">21 </w:t>
      </w:r>
      <w:r>
        <w:t xml:space="preserve">And the fish in the river died, and the river stank, and the Egyptians were not able to drink water from the river, and the blood was in all the land of Egypt.</w:t>
      </w:r>
    </w:p>
    <w:p>
      <w:r>
        <w:rPr>
          <w:b/>
        </w:rPr>
        <w:t xml:space="preserve">22 </w:t>
      </w:r>
      <w:r>
        <w:t xml:space="preserve">And the enchanters of the Egyptians did likewise with their sorceries, and Pharaoh's</w:t>
      </w:r>
      <w:r>
        <w:rPr>
          <w:rStyle w:val="FootnoteReference"/>
        </w:rPr>
        <w:footnoteReference w:id="1451"/>
      </w:r>
      <w:r>
        <w:t xml:space="preserve"> heart was hardened, and he did not listen to them, just as the Lord had said.</w:t>
      </w:r>
    </w:p>
    <w:p>
      <w:r>
        <w:rPr>
          <w:b/>
        </w:rPr>
        <w:t xml:space="preserve">23 </w:t>
      </w:r>
      <w:r>
        <w:t xml:space="preserve">And Pharaoh turned and went into his house, and he did not set his mind even on this.</w:t>
      </w:r>
    </w:p>
    <w:p>
      <w:r>
        <w:rPr>
          <w:b/>
        </w:rPr>
        <w:t xml:space="preserve">24 </w:t>
      </w:r>
      <w:r>
        <w:t xml:space="preserve">And all the Egyptians dug around the river so that they might drink water, for they</w:t>
      </w:r>
      <w:r>
        <w:rPr>
          <w:rStyle w:val="FootnoteReference"/>
        </w:rPr>
        <w:footnoteReference w:id="1452"/>
      </w:r>
      <w:r>
        <w:t xml:space="preserve"> were not able to drink water from the river.</w:t>
      </w:r>
    </w:p>
    <w:p>
      <w:r>
        <w:rPr>
          <w:b/>
        </w:rPr>
        <w:t xml:space="preserve">25 </w:t>
      </w:r>
      <w:r>
        <w:t xml:space="preserve">And seven days were fulfilled after the Lord struck the river.</w:t>
      </w:r>
    </w:p>
    <w:p>
      <w:r>
        <w:rPr>
          <w:b/>
        </w:rPr>
        <w:t xml:space="preserve">26 </w:t>
      </w:r>
      <w:r>
        <w:t xml:space="preserve">And the Lord said to Moses, Go in to Pharaoh and say to him, These things says the Lord: Send out my people so that they may serve me.</w:t>
      </w:r>
    </w:p>
    <w:p>
      <w:r>
        <w:rPr>
          <w:b/>
        </w:rPr>
        <w:t xml:space="preserve">27 </w:t>
      </w:r>
      <w:r>
        <w:t xml:space="preserve">But if you do not want to send them out, look, I strike all your borders with frogs.</w:t>
      </w:r>
    </w:p>
    <w:p>
      <w:r>
        <w:rPr>
          <w:b/>
        </w:rPr>
        <w:t xml:space="preserve">28 </w:t>
      </w:r>
      <w:r>
        <w:t xml:space="preserve">And the river will teem with frogs, and they will come up and enter into your houses and into the inner rooms of your bedchambers and upon your beds and into the houses of your servants and your people and into your dough and your ovens.</w:t>
      </w:r>
    </w:p>
    <w:p>
      <w:r>
        <w:rPr>
          <w:b/>
        </w:rPr>
        <w:t xml:space="preserve">29 </w:t>
      </w:r>
      <w:r>
        <w:t xml:space="preserve">And upon you and upon your servants and upon your people the frogs will come up.</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the Lord said to Moses, Say to Aaron your brother, Stretch out your hand with your staff over the rivers and over the canals and over the marshes, and bring up the frogs.</w:t>
      </w:r>
    </w:p>
    <w:p>
      <w:r>
        <w:rPr>
          <w:b/>
        </w:rPr>
        <w:t xml:space="preserve">2 </w:t>
      </w:r>
      <w:r>
        <w:t xml:space="preserve">And Aaron stretched out his hand over the waters of Egypt and brought up the frogs</w:t>
      </w:r>
      <w:r>
        <w:rPr>
          <w:rStyle w:val="FootnoteReference"/>
        </w:rPr>
        <w:footnoteReference w:id="1453"/>
      </w:r>
      <w:r>
        <w:t xml:space="preserve">, and the frog came up</w:t>
      </w:r>
      <w:r>
        <w:rPr>
          <w:rStyle w:val="FootnoteReference"/>
        </w:rPr>
        <w:footnoteReference w:id="1454"/>
      </w:r>
      <w:r>
        <w:t xml:space="preserve"> and covered the land of Egypt.</w:t>
      </w:r>
    </w:p>
    <w:p>
      <w:r>
        <w:rPr>
          <w:b/>
        </w:rPr>
        <w:t xml:space="preserve">3 </w:t>
      </w:r>
      <w:r>
        <w:t xml:space="preserve">And the enchanters of the Egyptians did likewise with their sorceries, and they brought up the frogs</w:t>
      </w:r>
      <w:r>
        <w:rPr>
          <w:rStyle w:val="FootnoteReference"/>
        </w:rPr>
        <w:footnoteReference w:id="1455"/>
      </w:r>
      <w:r>
        <w:t xml:space="preserve"> upon the land of Egypt.</w:t>
      </w:r>
    </w:p>
    <w:p>
      <w:r>
        <w:rPr>
          <w:b/>
        </w:rPr>
        <w:t xml:space="preserve">4 </w:t>
      </w:r>
      <w:r>
        <w:t xml:space="preserve">And Pharaoh called Moses and Aaron and said, Pray concerning me to the Lord, and let him take away the frogs from me and from my people, and I will send out the people, and they will sacrifice to the Lord.</w:t>
      </w:r>
      <w:r>
        <w:rPr>
          <w:rStyle w:val="FootnoteReference"/>
        </w:rPr>
        <w:footnoteReference w:id="1456"/>
      </w:r>
    </w:p>
    <w:p>
      <w:r>
        <w:rPr>
          <w:b/>
        </w:rPr>
        <w:t xml:space="preserve">5 </w:t>
      </w:r>
      <w:r>
        <w:t xml:space="preserve">And Moses said to Pharaoh, Set for me when I should pray concerning you and concerning your servants and concerning your people, to wipe out the frogs from you and from your people and from your houses; only in the river will they be left.</w:t>
      </w:r>
    </w:p>
    <w:p>
      <w:r>
        <w:rPr>
          <w:b/>
        </w:rPr>
        <w:t xml:space="preserve">6 </w:t>
      </w:r>
      <w:r>
        <w:t xml:space="preserve">And he said, Tomorrow. Then he said, As you have spoken, so that you may know that there is no other besides the Lord.</w:t>
      </w:r>
      <w:r>
        <w:rPr>
          <w:rStyle w:val="FootnoteReference"/>
        </w:rPr>
        <w:footnoteReference w:id="1457"/>
      </w:r>
      <w:r>
        <w:t xml:space="preserve"/>
      </w:r>
    </w:p>
    <w:p>
      <w:r>
        <w:rPr>
          <w:b/>
        </w:rPr>
        <w:t xml:space="preserve">7 </w:t>
      </w:r>
      <w:r>
        <w:t xml:space="preserve">And the frogs will be taken away from you and from your houses and from the courtyards and from your servants and from your people; only in the river will they be left.</w:t>
      </w:r>
    </w:p>
    <w:p>
      <w:r>
        <w:rPr>
          <w:b/>
        </w:rPr>
        <w:t xml:space="preserve">8 </w:t>
      </w:r>
      <w:r>
        <w:t xml:space="preserve">And Moses and Aaron went out from Pharaoh, and Moses cried out to the Lord concerning the appointed matter of the frogs, as Pharaoh had set it.</w:t>
      </w:r>
    </w:p>
    <w:p>
      <w:r>
        <w:rPr>
          <w:b/>
        </w:rPr>
        <w:t xml:space="preserve">9 </w:t>
      </w:r>
      <w:r>
        <w:t xml:space="preserve">And the Lord did just as Moses said, and the frogs died out of the houses and out of the courtyards and out of the fields.</w:t>
      </w:r>
    </w:p>
    <w:p>
      <w:r>
        <w:rPr>
          <w:b/>
        </w:rPr>
        <w:t xml:space="preserve">10 </w:t>
      </w:r>
      <w:r>
        <w:t xml:space="preserve">And they gathered them in heaps upon heaps, and the land stank.</w:t>
      </w:r>
    </w:p>
    <w:p>
      <w:r>
        <w:rPr>
          <w:b/>
        </w:rPr>
        <w:t xml:space="preserve">11 </w:t>
      </w:r>
      <w:r>
        <w:t xml:space="preserve">And Pharaoh, seeing that there had come relief, made his heart heavy, and he did not listen to them, just as the Lord had spoken.</w:t>
      </w:r>
    </w:p>
    <w:p>
      <w:r>
        <w:rPr>
          <w:b/>
        </w:rPr>
        <w:t xml:space="preserve">12 </w:t>
      </w:r>
      <w:r>
        <w:t xml:space="preserve">And the Lord said to Moses, Say to Aaron, Stretch out your hand with your staff and strike the dust of the earth, and there will be gnats both on human beings and on the four-footed animals and in all the land of Egypt.</w:t>
      </w:r>
    </w:p>
    <w:p>
      <w:r>
        <w:rPr>
          <w:b/>
        </w:rPr>
        <w:t xml:space="preserve">13 </w:t>
      </w:r>
      <w:r>
        <w:t xml:space="preserve">So Aaron stretched out his hand with the staff and struck the dust of the earth, and the gnats</w:t>
      </w:r>
      <w:r>
        <w:rPr>
          <w:rStyle w:val="FootnoteReference"/>
        </w:rPr>
        <w:footnoteReference w:id="1458"/>
      </w:r>
      <w:r>
        <w:t xml:space="preserve"> came on human beings and on the four-footed animals, and in all the dust of the earth there were gnats in all the land of Egypt.</w:t>
      </w:r>
    </w:p>
    <w:p>
      <w:r>
        <w:rPr>
          <w:b/>
        </w:rPr>
        <w:t xml:space="preserve">14 </w:t>
      </w:r>
      <w:r>
        <w:t xml:space="preserve">And the enchanters did likewise with their sorceries, trying to bring out the gnat</w:t>
      </w:r>
      <w:r>
        <w:rPr>
          <w:rStyle w:val="FootnoteReference"/>
        </w:rPr>
        <w:footnoteReference w:id="1459"/>
      </w:r>
      <w:r>
        <w:t xml:space="preserve">, and they were not able, and the gnats were on the human beings and on the four-footed animals.</w:t>
      </w:r>
    </w:p>
    <w:p>
      <w:r>
        <w:rPr>
          <w:b/>
        </w:rPr>
        <w:t xml:space="preserve">15 </w:t>
      </w:r>
      <w:r>
        <w:t xml:space="preserve">Then the enchanters said to Pharaoh, This is the finger of God. And Pharaoh's heart was hardened, and he did not listen to them, just as the Lord had spoken.</w:t>
      </w:r>
    </w:p>
    <w:p>
      <w:r>
        <w:rPr>
          <w:b/>
        </w:rPr>
        <w:t xml:space="preserve">16 </w:t>
      </w:r>
      <w:r>
        <w:t xml:space="preserve">And the Lord said to Moses, Rise early in the morning and stand before Pharaoh, and look, he goes out to the water, and you shall say to him, These things says the Lord: Send out my people so that they may serve me in the wilderness.</w:t>
      </w:r>
    </w:p>
    <w:p>
      <w:r>
        <w:rPr>
          <w:b/>
        </w:rPr>
        <w:t xml:space="preserve">17 </w:t>
      </w:r>
      <w:r>
        <w:t xml:space="preserve">But if you do not want to send out my people, look, I send upon you and upon your servants and upon your people and upon your houses the dog-fly, and the houses of the Egyptians will be filled with the dog-fly, and even the land on which they are.</w:t>
      </w:r>
      <w:r>
        <w:rPr>
          <w:rStyle w:val="FootnoteReference"/>
        </w:rPr>
        <w:footnoteReference w:id="1460"/>
      </w:r>
    </w:p>
    <w:p>
      <w:r>
        <w:rPr>
          <w:b/>
        </w:rPr>
        <w:t xml:space="preserve">18 </w:t>
      </w:r>
      <w:r>
        <w:t xml:space="preserve">And I will distinguish wondrously on that day the land of Goshen, on which my people dwell, where the dog-fly will not be there, so that you may know that I am the Lord, the Lord of all the earth.</w:t>
      </w:r>
    </w:p>
    <w:p>
      <w:r>
        <w:rPr>
          <w:b/>
        </w:rPr>
        <w:t xml:space="preserve">19 </w:t>
      </w:r>
      <w:r>
        <w:t xml:space="preserve">And I will put a distinction between my people and between your people. Tomorrow this sign will be upon the land.</w:t>
      </w:r>
    </w:p>
    <w:p>
      <w:r>
        <w:rPr>
          <w:b/>
        </w:rPr>
        <w:t xml:space="preserve">20 </w:t>
      </w:r>
      <w:r>
        <w:t xml:space="preserve">And the Lord did so, and the dog-fly came in abundance into the houses of Pharaoh and into the houses of his servants and into all the land of Egypt, and the land was ruined by the dog-fly.</w:t>
      </w:r>
    </w:p>
    <w:p>
      <w:r>
        <w:rPr>
          <w:b/>
        </w:rPr>
        <w:t xml:space="preserve">21 </w:t>
      </w:r>
      <w:r>
        <w:t xml:space="preserve">Then Pharaoh called Moses and Aaron, saying, Go, sacrifice to your God in the land.</w:t>
      </w:r>
      <w:r>
        <w:rPr>
          <w:rStyle w:val="FootnoteReference"/>
        </w:rPr>
        <w:footnoteReference w:id="1461"/>
      </w:r>
    </w:p>
    <w:p>
      <w:r>
        <w:rPr>
          <w:b/>
        </w:rPr>
        <w:t xml:space="preserve">22 </w:t>
      </w:r>
      <w:r>
        <w:t xml:space="preserve">And Moses said, It cannot happen this way, for we shall sacrifice to the Lord our God the abominations of the Egyptians; for if we sacrifice the abominations of the Egyptians before them, we shall be stoned.</w:t>
      </w:r>
    </w:p>
    <w:p>
      <w:r>
        <w:rPr>
          <w:b/>
        </w:rPr>
        <w:t xml:space="preserve">23 </w:t>
      </w:r>
      <w:r>
        <w:t xml:space="preserve">We will go a journey of three days into the wilderness, and we will sacrifice to the Lord our God, just as he said to us.</w:t>
      </w:r>
    </w:p>
    <w:p>
      <w:r>
        <w:rPr>
          <w:b/>
        </w:rPr>
        <w:t xml:space="preserve">24 </w:t>
      </w:r>
      <w:r>
        <w:t xml:space="preserve">And Pharaoh said, I send you out, and sacrifice to the Lord your God in the wilderness, only do not cut it too far to go</w:t>
      </w:r>
      <w:r>
        <w:rPr>
          <w:rStyle w:val="FootnoteReference"/>
        </w:rPr>
        <w:footnoteReference w:id="1462"/>
      </w:r>
      <w:r>
        <w:t xml:space="preserve">. Pray then concerning me to the Lord.</w:t>
      </w:r>
    </w:p>
    <w:p>
      <w:r>
        <w:rPr>
          <w:b/>
        </w:rPr>
        <w:t xml:space="preserve">25 </w:t>
      </w:r>
      <w:r>
        <w:t xml:space="preserve">And Moses said, Look, I am going out from you, and I will pray to God, and the dog-fly</w:t>
      </w:r>
      <w:r>
        <w:rPr>
          <w:rStyle w:val="FootnoteReference"/>
        </w:rPr>
        <w:footnoteReference w:id="1463"/>
      </w:r>
      <w:r>
        <w:t xml:space="preserve"> will depart from you and from your servants and your people tomorrow. Only do not add again, Pharaoh, to deceive by not sending out the people to sacrifice to the Lord.</w:t>
      </w:r>
    </w:p>
    <w:p>
      <w:r>
        <w:rPr>
          <w:b/>
        </w:rPr>
        <w:t xml:space="preserve">26 </w:t>
      </w:r>
      <w:r>
        <w:t xml:space="preserve">And Moses went out from Pharaoh and prayed to God.</w:t>
      </w:r>
      <w:r>
        <w:rPr>
          <w:rStyle w:val="FootnoteReference"/>
        </w:rPr>
        <w:footnoteReference w:id="1464"/>
      </w:r>
    </w:p>
    <w:p>
      <w:r>
        <w:rPr>
          <w:b/>
        </w:rPr>
        <w:t xml:space="preserve">27 </w:t>
      </w:r>
      <w:r>
        <w:t xml:space="preserve">And the Lord did just as Moses said, and he removed the dog-fly from Pharaoh and his servants and his people, and not one was left.</w:t>
      </w:r>
      <w:r>
        <w:rPr>
          <w:rStyle w:val="FootnoteReference"/>
        </w:rPr>
        <w:footnoteReference w:id="1465"/>
      </w:r>
    </w:p>
    <w:p>
      <w:r>
        <w:rPr>
          <w:b/>
        </w:rPr>
        <w:t xml:space="preserve">28 </w:t>
      </w:r>
      <w:r>
        <w:t xml:space="preserve">And Pharaoh made his heart heavy also at this time, and he did not want to send out the people.</w:t>
      </w:r>
      <w:r>
        <w:rPr>
          <w:rStyle w:val="FootnoteReference"/>
        </w:rPr>
        <w:footnoteReference w:id="1466"/>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the Lord said to Moses, Go in to Pharaoh, and you shall say to him, These things says the Lord, the God of the Hebrews: Send out my people so that they may serve me.</w:t>
      </w:r>
    </w:p>
    <w:p>
      <w:r>
        <w:rPr>
          <w:b/>
        </w:rPr>
        <w:t xml:space="preserve">2 </w:t>
      </w:r>
      <w:r>
        <w:t xml:space="preserve">If, however, you do not want to send out my people, but still hold them back,</w:t>
      </w:r>
    </w:p>
    <w:p>
      <w:r>
        <w:rPr>
          <w:b/>
        </w:rPr>
        <w:t xml:space="preserve">3 </w:t>
      </w:r>
      <w:r>
        <w:t xml:space="preserve">look, the hand</w:t>
      </w:r>
      <w:r>
        <w:rPr>
          <w:rStyle w:val="FootnoteReference"/>
        </w:rPr>
        <w:footnoteReference w:id="1467"/>
      </w:r>
      <w:r>
        <w:t xml:space="preserve"> of the Lord will come upon your livestock in the fields, both on the horses and on the beasts of burden and the camels and oxen and sheep, a very great death.</w:t>
      </w:r>
    </w:p>
    <w:p>
      <w:r>
        <w:rPr>
          <w:b/>
        </w:rPr>
        <w:t xml:space="preserve">4 </w:t>
      </w:r>
      <w:r>
        <w:t xml:space="preserve">And I will make a wondrous distinction at that time between the livestock of the Egyptians and the livestock of the sons of Israel; not one thing from all that belongs to the sons of Israel shall die.</w:t>
      </w:r>
    </w:p>
    <w:p>
      <w:r>
        <w:rPr>
          <w:b/>
        </w:rPr>
        <w:t xml:space="preserve">5 </w:t>
      </w:r>
      <w:r>
        <w:t xml:space="preserve">And God set a limit, saying, Tomorrow the Lord will do this thing on the land.</w:t>
      </w:r>
    </w:p>
    <w:p>
      <w:r>
        <w:rPr>
          <w:b/>
        </w:rPr>
        <w:t xml:space="preserve">6 </w:t>
      </w:r>
      <w:r>
        <w:t xml:space="preserve">And the Lord did this thing on the next day, and all the livestock of the Egyptians died, but from the livestock of the sons of Israel not one died.</w:t>
      </w:r>
    </w:p>
    <w:p>
      <w:r>
        <w:rPr>
          <w:b/>
        </w:rPr>
        <w:t xml:space="preserve">7 </w:t>
      </w:r>
      <w:r>
        <w:t xml:space="preserve">And Pharaoh, seeing that not one had died from all the livestock of the sons of Israel, made Pharaoh's heart heavy, and he did not send out the people.</w:t>
      </w:r>
    </w:p>
    <w:p>
      <w:r>
        <w:rPr>
          <w:b/>
        </w:rPr>
        <w:t xml:space="preserve">8 </w:t>
      </w:r>
      <w:r>
        <w:t xml:space="preserve">And the Lord said to Moses and Aaron, saying, Take for yourselves full handfuls of furnace soot, and let Moses scatter it into the sky before Pharaoh and before his servants.</w:t>
      </w:r>
    </w:p>
    <w:p>
      <w:r>
        <w:rPr>
          <w:b/>
        </w:rPr>
        <w:t xml:space="preserve">9 </w:t>
      </w:r>
      <w:r>
        <w:t xml:space="preserve">And let it become dust over all the land of Egypt, and it will be on the human beings and on the four-footed animals sores with blisters boiling up in all the land of Egypt.</w:t>
      </w:r>
    </w:p>
    <w:p>
      <w:r>
        <w:rPr>
          <w:b/>
        </w:rPr>
        <w:t xml:space="preserve">10 </w:t>
      </w:r>
      <w:r>
        <w:t xml:space="preserve">So they took the furnace soot before Pharaoh, and Moses scattered it into the sky, and it became sores with blisters boiling up on the human beings and on the four-footed animals.</w:t>
      </w:r>
    </w:p>
    <w:p>
      <w:r>
        <w:rPr>
          <w:b/>
        </w:rPr>
        <w:t xml:space="preserve">11 </w:t>
      </w:r>
      <w:r>
        <w:t xml:space="preserve">And the sorcerers were not able to stand before Moses because of the sores, for the sores came on the sorcerers and in all the land of Egypt.</w:t>
      </w:r>
    </w:p>
    <w:p>
      <w:r>
        <w:rPr>
          <w:b/>
        </w:rPr>
        <w:t xml:space="preserve">12 </w:t>
      </w:r>
      <w:r>
        <w:t xml:space="preserve">And the Lord hardened Pharaoh's heart, and he did not listen to them, just as the Lord had commanded.</w:t>
      </w:r>
    </w:p>
    <w:p>
      <w:r>
        <w:rPr>
          <w:b/>
        </w:rPr>
        <w:t xml:space="preserve">13 </w:t>
      </w:r>
      <w:r>
        <w:t xml:space="preserve">And the Lord said to Moses, Rise early in the morning and stand before Pharaoh, and you shall say to him, These things says the Lord, the God of the Hebrews: Send out my people so that they may serve me.</w:t>
      </w:r>
    </w:p>
    <w:p>
      <w:r>
        <w:rPr>
          <w:b/>
        </w:rPr>
        <w:t xml:space="preserve">14 </w:t>
      </w:r>
      <w:r>
        <w:t xml:space="preserve">For at this present time I send all</w:t>
      </w:r>
      <w:r>
        <w:rPr>
          <w:rStyle w:val="FootnoteReference"/>
        </w:rPr>
        <w:footnoteReference w:id="1468"/>
      </w:r>
      <w:r>
        <w:t xml:space="preserve"> my blows into your heart and into the heart of your servants and your people, so that you may know that there is no other like me in all the earth.</w:t>
      </w:r>
    </w:p>
    <w:p>
      <w:r>
        <w:rPr>
          <w:b/>
        </w:rPr>
        <w:t xml:space="preserve">15 </w:t>
      </w:r>
      <w:r>
        <w:t xml:space="preserve">For now, sending out my hand, I will strike you and your people with death</w:t>
      </w:r>
      <w:r>
        <w:rPr>
          <w:rStyle w:val="FootnoteReference"/>
        </w:rPr>
        <w:footnoteReference w:id="1469"/>
      </w:r>
      <w:r>
        <w:t xml:space="preserve">, and you will be wiped off from the earth.</w:t>
      </w:r>
    </w:p>
    <w:p>
      <w:r>
        <w:rPr>
          <w:b/>
        </w:rPr>
        <w:t xml:space="preserve">16 </w:t>
      </w:r>
      <w:r>
        <w:t xml:space="preserve">And because of this you have been preserved, so that I may display in you my strength and so that my</w:t>
      </w:r>
      <w:r>
        <w:rPr>
          <w:rStyle w:val="FootnoteReference"/>
        </w:rPr>
        <w:footnoteReference w:id="1470"/>
      </w:r>
      <w:r>
        <w:t xml:space="preserve"> name may be proclaimed in all the earth.</w:t>
      </w:r>
    </w:p>
    <w:p>
      <w:r>
        <w:rPr>
          <w:b/>
        </w:rPr>
        <w:t xml:space="preserve">17 </w:t>
      </w:r>
      <w:r>
        <w:t xml:space="preserve">Do you still set yourself against my people so as not to send them out?</w:t>
      </w:r>
    </w:p>
    <w:p>
      <w:r>
        <w:rPr>
          <w:b/>
        </w:rPr>
        <w:t xml:space="preserve">18 </w:t>
      </w:r>
      <w:r>
        <w:t xml:space="preserve">Look, tomorrow at this hour I will rain a very great hail, such as has not happened in Egypt from the day it was created until this day.</w:t>
      </w:r>
    </w:p>
    <w:p>
      <w:r>
        <w:rPr>
          <w:b/>
        </w:rPr>
        <w:t xml:space="preserve">19 </w:t>
      </w:r>
      <w:r>
        <w:t xml:space="preserve">Now then hasten to gather your livestock and all that is yours in the field</w:t>
      </w:r>
      <w:r>
        <w:rPr>
          <w:rStyle w:val="FootnoteReference"/>
        </w:rPr>
        <w:footnoteReference w:id="1471"/>
      </w:r>
      <w:r>
        <w:t xml:space="preserve">, for all the human beings and the livestock, as many as may be found in the field and not come into a house, when the hail</w:t>
      </w:r>
      <w:r>
        <w:rPr>
          <w:rStyle w:val="FootnoteReference"/>
        </w:rPr>
        <w:footnoteReference w:id="1472"/>
      </w:r>
      <w:r>
        <w:t xml:space="preserve"> falls upon them, will die.</w:t>
      </w:r>
    </w:p>
    <w:p>
      <w:r>
        <w:rPr>
          <w:b/>
        </w:rPr>
        <w:t xml:space="preserve">20 </w:t>
      </w:r>
      <w:r>
        <w:t xml:space="preserve">The one fearing the word of the Lord among Pharaoh's servants gathered his livestock into the houses.</w:t>
      </w:r>
    </w:p>
    <w:p>
      <w:r>
        <w:rPr>
          <w:b/>
        </w:rPr>
        <w:t xml:space="preserve">21 </w:t>
      </w:r>
      <w:r>
        <w:t xml:space="preserve">But whoever did not attend in his mind to the word of the Lord left the livestock in the fields.</w:t>
      </w:r>
    </w:p>
    <w:p>
      <w:r>
        <w:rPr>
          <w:b/>
        </w:rPr>
        <w:t xml:space="preserve">22 </w:t>
      </w:r>
      <w:r>
        <w:t xml:space="preserve">And the Lord said to Moses, Stretch out your hand to the sky, and there will be hail on all the land of Egypt, both on the human beings and on the livestock and on every plant on the land.</w:t>
      </w:r>
    </w:p>
    <w:p>
      <w:r>
        <w:rPr>
          <w:b/>
        </w:rPr>
        <w:t xml:space="preserve">23 </w:t>
      </w:r>
      <w:r>
        <w:t xml:space="preserve">And Moses stretched out his hand to the sky, and the Lord gave voices and hail</w:t>
      </w:r>
      <w:r>
        <w:rPr>
          <w:rStyle w:val="FootnoteReference"/>
        </w:rPr>
        <w:footnoteReference w:id="1473"/>
      </w:r>
      <w:r>
        <w:t xml:space="preserve">, and the fire ran along on the ground, and the Lord rained hail upon all the land of Egypt.</w:t>
      </w:r>
    </w:p>
    <w:p>
      <w:r>
        <w:rPr>
          <w:b/>
        </w:rPr>
        <w:t xml:space="preserve">24 </w:t>
      </w:r>
      <w:r>
        <w:t xml:space="preserve">And there was hail, and the fire flaming in the hail, and the hail was very, very great, such as had not happened in Egypt from the time a nation came to be upon it.</w:t>
      </w:r>
    </w:p>
    <w:p>
      <w:r>
        <w:rPr>
          <w:b/>
        </w:rPr>
        <w:t xml:space="preserve">25 </w:t>
      </w:r>
      <w:r>
        <w:t xml:space="preserve">And the hail struck in all the land of Egypt, from human being to livestock, and the hail struck every plant in the field, and the hail shattered all the trees in the field.</w:t>
      </w:r>
    </w:p>
    <w:p>
      <w:r>
        <w:rPr>
          <w:b/>
        </w:rPr>
        <w:t xml:space="preserve">26 </w:t>
      </w:r>
      <w:r>
        <w:t xml:space="preserve">Only in the land of Goshen, where the sons of Israel were, there was no hail.</w:t>
      </w:r>
    </w:p>
    <w:p>
      <w:r>
        <w:rPr>
          <w:b/>
        </w:rPr>
        <w:t xml:space="preserve">27 </w:t>
      </w:r>
      <w:r>
        <w:t xml:space="preserve">And Pharaoh sent and called Moses and Aaron and said to them, I have sinned this time. The Lord</w:t>
      </w:r>
      <w:r>
        <w:rPr>
          <w:rStyle w:val="FootnoteReference"/>
        </w:rPr>
        <w:footnoteReference w:id="1474"/>
      </w:r>
      <w:r>
        <w:t xml:space="preserve"> is righteous, but I and my people are ungodly.</w:t>
      </w:r>
    </w:p>
    <w:p>
      <w:r>
        <w:rPr>
          <w:b/>
        </w:rPr>
        <w:t xml:space="preserve">28 </w:t>
      </w:r>
      <w:r>
        <w:t xml:space="preserve">Pray then concerning me to the Lord, and let there cease from becoming voices of God and hail and fire, and I will send you out, and you shall no longer remain.</w:t>
      </w:r>
    </w:p>
    <w:p>
      <w:r>
        <w:rPr>
          <w:b/>
        </w:rPr>
        <w:t xml:space="preserve">29 </w:t>
      </w:r>
      <w:r>
        <w:t xml:space="preserve">And Moses said to him, As soon as I go out from the city, I will spread out my hands</w:t>
      </w:r>
      <w:r>
        <w:rPr>
          <w:rStyle w:val="FootnoteReference"/>
        </w:rPr>
        <w:footnoteReference w:id="1475"/>
      </w:r>
      <w:r>
        <w:t xml:space="preserve"> to the Lord, and the voices will cease, and the hail and the rain will be no more, so that you may know that the earth belongs to the Lord.</w:t>
      </w:r>
      <w:r>
        <w:rPr>
          <w:rStyle w:val="FootnoteReference"/>
        </w:rPr>
        <w:footnoteReference w:id="1476"/>
      </w:r>
    </w:p>
    <w:p>
      <w:r>
        <w:rPr>
          <w:b/>
        </w:rPr>
        <w:t xml:space="preserve">30 </w:t>
      </w:r>
      <w:r>
        <w:t xml:space="preserve">But you and your servants, I know that you do not yet fear the Lord.</w:t>
      </w:r>
    </w:p>
    <w:p>
      <w:r>
        <w:rPr>
          <w:b/>
        </w:rPr>
        <w:t xml:space="preserve">31 </w:t>
      </w:r>
      <w:r>
        <w:t xml:space="preserve">And the flax and the barley</w:t>
      </w:r>
      <w:r>
        <w:rPr>
          <w:rStyle w:val="FootnoteReference"/>
        </w:rPr>
        <w:footnoteReference w:id="1477"/>
      </w:r>
      <w:r>
        <w:t xml:space="preserve"> were struck, for the barley was standing, and the flax was seeding.</w:t>
      </w:r>
    </w:p>
    <w:p>
      <w:r>
        <w:rPr>
          <w:b/>
        </w:rPr>
        <w:t xml:space="preserve">32 </w:t>
      </w:r>
      <w:r>
        <w:t xml:space="preserve">But the wheat and the rye were not struck, for they were late.</w:t>
      </w:r>
    </w:p>
    <w:p>
      <w:r>
        <w:rPr>
          <w:b/>
        </w:rPr>
        <w:t xml:space="preserve">33 </w:t>
      </w:r>
      <w:r>
        <w:t xml:space="preserve">And Moses went out from Pharaoh, outside the city, and spread</w:t>
      </w:r>
      <w:r>
        <w:rPr>
          <w:rStyle w:val="FootnoteReference"/>
        </w:rPr>
        <w:footnoteReference w:id="1478"/>
      </w:r>
      <w:r>
        <w:t xml:space="preserve"> out his hands to the Lord, and the voices ceased and the hail and the rain no longer fell on the earth.</w:t>
      </w:r>
    </w:p>
    <w:p>
      <w:r>
        <w:rPr>
          <w:b/>
        </w:rPr>
        <w:t xml:space="preserve">34 </w:t>
      </w:r>
      <w:r>
        <w:t xml:space="preserve">And Pharaoh, seeing that the rain and the hail and the voices had ceased, added to sin, and he made heavy his heart and the heart of his servants.</w:t>
      </w:r>
    </w:p>
    <w:p>
      <w:r>
        <w:rPr>
          <w:b/>
        </w:rPr>
        <w:t xml:space="preserve">35 </w:t>
      </w:r>
      <w:r>
        <w:t xml:space="preserve">And Pharaoh's heart was hardened, and he did not send out the sons of Israel, just as the Lord had spoken to Moses.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Then the Lord said to Moses, "Go in to Pharaoh, for I have hardened</w:t>
      </w:r>
      <w:r>
        <w:rPr>
          <w:rStyle w:val="FootnoteReference"/>
        </w:rPr>
        <w:footnoteReference w:id="1479"/>
      </w:r>
      <w:r>
        <w:t xml:space="preserve"> his heart and the heart of his servants, so that these signs may come in turn</w:t>
      </w:r>
      <w:r>
        <w:rPr>
          <w:rStyle w:val="FootnoteReference"/>
        </w:rPr>
        <w:footnoteReference w:id="1480"/>
      </w:r>
      <w:r>
        <w:t xml:space="preserve"> upon them,"</w:t>
      </w:r>
    </w:p>
    <w:p>
      <w:r>
        <w:rPr>
          <w:b/>
        </w:rPr>
        <w:t xml:space="preserve">2 </w:t>
      </w:r>
      <w:r>
        <w:t xml:space="preserve">"so that you may tell your children and your children's children how I mocked the Egyptians and the signs I performed among them, and you will know that I am the Lord."</w:t>
      </w:r>
    </w:p>
    <w:p>
      <w:r>
        <w:rPr>
          <w:b/>
        </w:rPr>
        <w:t xml:space="preserve">3 </w:t>
      </w:r>
      <w:r>
        <w:t xml:space="preserve">Then Moses and Aaron went in before Pharaoh and said to him, "These things says the Lord, the God of the Hebrews: How long</w:t>
      </w:r>
      <w:r>
        <w:rPr>
          <w:rStyle w:val="FootnoteReference"/>
        </w:rPr>
        <w:footnoteReference w:id="1481"/>
      </w:r>
      <w:r>
        <w:t xml:space="preserve"> will you refuse to humble yourself before me? Send my people away, so that they may serve me."</w:t>
      </w:r>
    </w:p>
    <w:p>
      <w:r>
        <w:rPr>
          <w:b/>
        </w:rPr>
        <w:t xml:space="preserve">4 </w:t>
      </w:r>
      <w:r>
        <w:t xml:space="preserve">"But if you refuse to send my people away, behold, at this hour tomorrow I am bringing a great swarm of locusts</w:t>
      </w:r>
      <w:r>
        <w:rPr>
          <w:rStyle w:val="FootnoteReference"/>
        </w:rPr>
        <w:footnoteReference w:id="1482"/>
      </w:r>
      <w:r>
        <w:t xml:space="preserve"> upon all your borders."</w:t>
      </w:r>
    </w:p>
    <w:p>
      <w:r>
        <w:rPr>
          <w:b/>
        </w:rPr>
        <w:t xml:space="preserve">5 </w:t>
      </w:r>
      <w:r>
        <w:t xml:space="preserve">"They will cover the face</w:t>
      </w:r>
      <w:r>
        <w:rPr>
          <w:rStyle w:val="FootnoteReference"/>
        </w:rPr>
        <w:footnoteReference w:id="1483"/>
      </w:r>
      <w:r>
        <w:t xml:space="preserve"> of the earth, and you will not be able to see the earth. They will eat every remainder of the land left behind, what the hail left for you, and they will eat every tree growing for you on the land."</w:t>
      </w:r>
    </w:p>
    <w:p>
      <w:r>
        <w:rPr>
          <w:b/>
        </w:rPr>
        <w:t xml:space="preserve">6 </w:t>
      </w:r>
      <w:r>
        <w:t xml:space="preserve">"Your houses will be filled, and the houses of your servants, and all the houses in all the land of the Egyptians, with things your fathers never saw, nor their forefathers, from the day they came to be on the earth until this day." Then Moses turned away</w:t>
      </w:r>
      <w:r>
        <w:rPr>
          <w:rStyle w:val="FootnoteReference"/>
        </w:rPr>
        <w:footnoteReference w:id="1484"/>
      </w:r>
      <w:r>
        <w:t xml:space="preserve"> and went out from Pharaoh.</w:t>
      </w:r>
    </w:p>
    <w:p>
      <w:r>
        <w:rPr>
          <w:b/>
        </w:rPr>
        <w:t xml:space="preserve">7 </w:t>
      </w:r>
      <w:r>
        <w:t xml:space="preserve">And Pharaoh's servants said to him, "How long</w:t>
      </w:r>
      <w:r>
        <w:rPr>
          <w:rStyle w:val="FootnoteReference"/>
        </w:rPr>
        <w:footnoteReference w:id="1485"/>
      </w:r>
      <w:r>
        <w:t xml:space="preserve"> will this be a snare to us? Send the men away, so that they may serve their God. Do you need to learn that Egypt is ruined?"</w:t>
      </w:r>
    </w:p>
    <w:p>
      <w:r>
        <w:rPr>
          <w:b/>
        </w:rPr>
        <w:t xml:space="preserve">8 </w:t>
      </w:r>
      <w:r>
        <w:t xml:space="preserve">And they brought</w:t>
      </w:r>
      <w:r>
        <w:rPr>
          <w:rStyle w:val="FootnoteReference"/>
        </w:rPr>
        <w:footnoteReference w:id="1486"/>
      </w:r>
      <w:r>
        <w:t xml:space="preserve"> Moses and Aaron back to Pharaoh, and he said to them, "Go, serve the Lord your God. But who exactly are the ones going?"</w:t>
      </w:r>
    </w:p>
    <w:p>
      <w:r>
        <w:rPr>
          <w:b/>
        </w:rPr>
        <w:t xml:space="preserve">9 </w:t>
      </w:r>
      <w:r>
        <w:t xml:space="preserve">And Moses said, "We will go</w:t>
      </w:r>
      <w:r>
        <w:rPr>
          <w:rStyle w:val="FootnoteReference"/>
        </w:rPr>
        <w:footnoteReference w:id="1487"/>
      </w:r>
      <w:r>
        <w:t xml:space="preserve"> with young and old, with our sons and daughters, with our sheep and cattle, for we have a feast of the Lord our God."</w:t>
      </w:r>
    </w:p>
    <w:p>
      <w:r>
        <w:rPr>
          <w:b/>
        </w:rPr>
        <w:t xml:space="preserve">10 </w:t>
      </w:r>
      <w:r>
        <w:t xml:space="preserve">And he said to them, "So be it: may the Lord be with you, just as I send you out, you and your baggage. See, evil lies ahead of you."</w:t>
      </w:r>
    </w:p>
    <w:p>
      <w:r>
        <w:rPr>
          <w:b/>
        </w:rPr>
        <w:t xml:space="preserve">11 </w:t>
      </w:r>
      <w:r>
        <w:t xml:space="preserve">"Not so. Let the men go and serve God, for this is what you yourselves seek." And they drove them out from Pharaoh's presence.</w:t>
      </w:r>
    </w:p>
    <w:p>
      <w:r>
        <w:rPr>
          <w:b/>
        </w:rPr>
        <w:t xml:space="preserve">12 </w:t>
      </w:r>
      <w:r>
        <w:t xml:space="preserve">Then the Lord said to Moses, "Stretch</w:t>
      </w:r>
      <w:r>
        <w:rPr>
          <w:rStyle w:val="FootnoteReference"/>
        </w:rPr>
        <w:footnoteReference w:id="1488"/>
      </w:r>
      <w:r>
        <w:t xml:space="preserve"> out your hand over the land of Egypt, and let the locust come up on the land</w:t>
      </w:r>
      <w:r>
        <w:rPr>
          <w:rStyle w:val="FootnoteReference"/>
        </w:rPr>
        <w:footnoteReference w:id="1489"/>
      </w:r>
      <w:r>
        <w:t xml:space="preserve"> and eat every plant of the land and every fruit of the trees that the hail left."</w:t>
      </w:r>
    </w:p>
    <w:p>
      <w:r>
        <w:rPr>
          <w:b/>
        </w:rPr>
        <w:t xml:space="preserve">13 </w:t>
      </w:r>
      <w:r>
        <w:t xml:space="preserve">And Moses lifted up the rod toward heaven, and the Lord brought a south wind upon the land all that day and all that night. Morning came, and the south wind brought in the locust.</w:t>
      </w:r>
    </w:p>
    <w:p>
      <w:r>
        <w:rPr>
          <w:b/>
        </w:rPr>
        <w:t xml:space="preserve">14 </w:t>
      </w:r>
      <w:r>
        <w:t xml:space="preserve">And it came up over all the land of Egypt, and it settled over all the borders of Egypt in very great abundance. Before it no locust like it had come to be, and after it none will be so.</w:t>
      </w:r>
    </w:p>
    <w:p>
      <w:r>
        <w:rPr>
          <w:b/>
        </w:rPr>
        <w:t xml:space="preserve">15 </w:t>
      </w:r>
      <w:r>
        <w:t xml:space="preserve">And it covered the face of the earth, and the land was ruined</w:t>
      </w:r>
      <w:r>
        <w:rPr>
          <w:rStyle w:val="FootnoteReference"/>
        </w:rPr>
        <w:footnoteReference w:id="1490"/>
      </w:r>
      <w:r>
        <w:t xml:space="preserve">. And it ate every plant of the earth and every fruit of the trees left by the hail. No green thing was left on the trees or in any plant of the field in all the land of Egypt.</w:t>
      </w:r>
    </w:p>
    <w:p>
      <w:r>
        <w:rPr>
          <w:b/>
        </w:rPr>
        <w:t xml:space="preserve">16 </w:t>
      </w:r>
      <w:r>
        <w:t xml:space="preserve">Then Pharaoh hurried to call Moses and Aaron, saying, "I have sinned before the Lord your God and against you."</w:t>
      </w:r>
    </w:p>
    <w:p>
      <w:r>
        <w:rPr>
          <w:b/>
        </w:rPr>
        <w:t xml:space="preserve">17 </w:t>
      </w:r>
      <w:r>
        <w:t xml:space="preserve">"Forgive</w:t>
      </w:r>
      <w:r>
        <w:rPr>
          <w:rStyle w:val="FootnoteReference"/>
        </w:rPr>
        <w:footnoteReference w:id="1491"/>
      </w:r>
      <w:r>
        <w:t xml:space="preserve">, then, my sin just this once, and pray to the Lord your God, and let him take this death away from me."</w:t>
      </w:r>
    </w:p>
    <w:p>
      <w:r>
        <w:rPr>
          <w:b/>
        </w:rPr>
        <w:t xml:space="preserve">18 </w:t>
      </w:r>
      <w:r>
        <w:t xml:space="preserve">And Moses went</w:t>
      </w:r>
      <w:r>
        <w:rPr>
          <w:rStyle w:val="FootnoteReference"/>
        </w:rPr>
        <w:footnoteReference w:id="1492"/>
      </w:r>
      <w:r>
        <w:t xml:space="preserve"> out from Pharaoh and prayed to God.</w:t>
      </w:r>
    </w:p>
    <w:p>
      <w:r>
        <w:rPr>
          <w:b/>
        </w:rPr>
        <w:t xml:space="preserve">19 </w:t>
      </w:r>
      <w:r>
        <w:t xml:space="preserve">And the Lord changed the wind to a strong wind from the sea, and it took up the locust and cast it into the Red Sea</w:t>
      </w:r>
      <w:r>
        <w:rPr>
          <w:rStyle w:val="FootnoteReference"/>
        </w:rPr>
        <w:footnoteReference w:id="1493"/>
      </w:r>
      <w:r>
        <w:t xml:space="preserve">. Not one locust was left in all the land of Egypt.</w:t>
      </w:r>
    </w:p>
    <w:p>
      <w:r>
        <w:rPr>
          <w:b/>
        </w:rPr>
        <w:t xml:space="preserve">20 </w:t>
      </w:r>
      <w:r>
        <w:t xml:space="preserve">And the Lord hardened Pharaoh's heart, and he did not send away the sons of Israel.</w:t>
      </w:r>
    </w:p>
    <w:p>
      <w:r>
        <w:rPr>
          <w:b/>
        </w:rPr>
        <w:t xml:space="preserve">21 </w:t>
      </w:r>
      <w:r>
        <w:t xml:space="preserve">Then the Lord said to Moses, "Stretch</w:t>
      </w:r>
      <w:r>
        <w:rPr>
          <w:rStyle w:val="FootnoteReference"/>
        </w:rPr>
        <w:footnoteReference w:id="1494"/>
      </w:r>
      <w:r>
        <w:t xml:space="preserve"> out your hand to heaven, and let darkness come over the land of Egypt, darkness that can be felt."</w:t>
      </w:r>
    </w:p>
    <w:p>
      <w:r>
        <w:rPr>
          <w:b/>
        </w:rPr>
        <w:t xml:space="preserve">22 </w:t>
      </w:r>
      <w:r>
        <w:t xml:space="preserve">And Moses stretched out his hand to heaven, and there came darkness, gloom, storm-cloud over all the land of Egypt for three days.</w:t>
      </w:r>
    </w:p>
    <w:p>
      <w:r>
        <w:rPr>
          <w:b/>
        </w:rPr>
        <w:t xml:space="preserve">23 </w:t>
      </w:r>
      <w:r>
        <w:t xml:space="preserve">No one saw his brother for three days, and no one rose from his bed for three days. But all</w:t>
      </w:r>
      <w:r>
        <w:rPr>
          <w:rStyle w:val="FootnoteReference"/>
        </w:rPr>
        <w:footnoteReference w:id="1495"/>
      </w:r>
      <w:r>
        <w:t xml:space="preserve"> the sons of Israel had light in every place where they lived.</w:t>
      </w:r>
    </w:p>
    <w:p>
      <w:r>
        <w:rPr>
          <w:b/>
        </w:rPr>
        <w:t xml:space="preserve">24 </w:t>
      </w:r>
      <w:r>
        <w:t xml:space="preserve">Then Pharaoh called Moses and Aaron, saying, "Go, serve the Lord your God. Only leave the sheep and cattle behind, and let your baggage go along with you."</w:t>
      </w:r>
    </w:p>
    <w:p>
      <w:r>
        <w:rPr>
          <w:b/>
        </w:rPr>
        <w:t xml:space="preserve">25 </w:t>
      </w:r>
      <w:r>
        <w:t xml:space="preserve">And Moses said, "But you too will give us whole burnt offerings and sacrifices</w:t>
      </w:r>
      <w:r>
        <w:rPr>
          <w:rStyle w:val="FootnoteReference"/>
        </w:rPr>
        <w:footnoteReference w:id="1496"/>
      </w:r>
      <w:r>
        <w:t xml:space="preserve">, and we will offer them to the Lord our God."</w:t>
      </w:r>
    </w:p>
    <w:p>
      <w:r>
        <w:rPr>
          <w:b/>
        </w:rPr>
        <w:t xml:space="preserve">26 </w:t>
      </w:r>
      <w:r>
        <w:t xml:space="preserve">"Our livestock too will go with us, and we</w:t>
      </w:r>
      <w:r>
        <w:rPr>
          <w:rStyle w:val="FootnoteReference"/>
        </w:rPr>
        <w:footnoteReference w:id="1497"/>
      </w:r>
      <w:r>
        <w:t xml:space="preserve"> will not leave behind a hoof, for from them we will take what we need to serve the Lord our God. But we do not know with what we will serve the Lord our God until we come there."</w:t>
      </w:r>
    </w:p>
    <w:p>
      <w:r>
        <w:rPr>
          <w:b/>
        </w:rPr>
        <w:t xml:space="preserve">27 </w:t>
      </w:r>
      <w:r>
        <w:t xml:space="preserve">But the Lord hardened Pharaoh's heart, and he was not willing to send them away</w:t>
      </w:r>
      <w:r>
        <w:rPr>
          <w:rStyle w:val="FootnoteReference"/>
        </w:rPr>
        <w:footnoteReference w:id="1498"/>
      </w:r>
      <w:r>
        <w:t xml:space="preserve">.</w:t>
      </w:r>
    </w:p>
    <w:p>
      <w:r>
        <w:rPr>
          <w:b/>
        </w:rPr>
        <w:t xml:space="preserve">28 </w:t>
      </w:r>
      <w:r>
        <w:t xml:space="preserve">And Pharaoh said, "Go away from me. Watch yourself. Do not see my face again, for on the day you appear before me, you will die."</w:t>
      </w:r>
    </w:p>
    <w:p>
      <w:r>
        <w:rPr>
          <w:b/>
        </w:rPr>
        <w:t xml:space="preserve">29 </w:t>
      </w:r>
      <w:r>
        <w:t xml:space="preserve">And Moses said, "You have spoken. I will no longer appear before your face."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Then the Lord said to Moses, "Yet one plague I will bring upon Pharaoh and upon Egypt, and after that he will send you out from here. Whenever he sends you out, he will surely drive you out with a complete expulsion</w:t>
      </w:r>
      <w:r>
        <w:rPr>
          <w:rStyle w:val="FootnoteReference"/>
        </w:rPr>
        <w:footnoteReference w:id="1499"/>
      </w:r>
      <w:r>
        <w:t xml:space="preserve">."</w:t>
      </w:r>
    </w:p>
    <w:p>
      <w:r>
        <w:rPr>
          <w:b/>
        </w:rPr>
        <w:t xml:space="preserve">2 </w:t>
      </w:r>
      <w:r>
        <w:t xml:space="preserve">"Speak secretly into the ears of the people, and let each man ask from his neighbor, and each woman from her neighbor, silver and gold vessels and clothing."</w:t>
      </w:r>
    </w:p>
    <w:p>
      <w:r>
        <w:rPr>
          <w:b/>
        </w:rPr>
        <w:t xml:space="preserve">3 </w:t>
      </w:r>
      <w:r>
        <w:t xml:space="preserve">And the Lord</w:t>
      </w:r>
      <w:r>
        <w:rPr>
          <w:rStyle w:val="FootnoteReference"/>
        </w:rPr>
        <w:footnoteReference w:id="1500"/>
      </w:r>
      <w:r>
        <w:t xml:space="preserve"> gave his people favor in the sight of the Egyptians, and they lent to them. And Moses the man became exceedingly great in the sight of the Egyptians and before Pharaoh and before all his servants.</w:t>
      </w:r>
    </w:p>
    <w:p>
      <w:r>
        <w:rPr>
          <w:b/>
        </w:rPr>
        <w:t xml:space="preserve">4 </w:t>
      </w:r>
      <w:r>
        <w:t xml:space="preserve">And Moses said, "These things says the Lord: About midnight I enter into the midst of Egypt,"</w:t>
      </w:r>
    </w:p>
    <w:p>
      <w:r>
        <w:rPr>
          <w:b/>
        </w:rPr>
        <w:t xml:space="preserve">5 </w:t>
      </w:r>
      <w:r>
        <w:t xml:space="preserve">"and every firstborn in the land of Egypt will die, from Pharaoh's firstborn who sits on the throne to the firstborn</w:t>
      </w:r>
      <w:r>
        <w:rPr>
          <w:rStyle w:val="FootnoteReference"/>
        </w:rPr>
        <w:footnoteReference w:id="1501"/>
      </w:r>
      <w:r>
        <w:t xml:space="preserve"> of the female servant by the mill, and to the firstborn of every beast."</w:t>
      </w:r>
    </w:p>
    <w:p>
      <w:r>
        <w:rPr>
          <w:b/>
        </w:rPr>
        <w:t xml:space="preserve">6 </w:t>
      </w:r>
      <w:r>
        <w:t xml:space="preserve">"And there will be a great cry through all the land of Egypt, such as has never happened and will never be added again."</w:t>
      </w:r>
    </w:p>
    <w:p>
      <w:r>
        <w:rPr>
          <w:b/>
        </w:rPr>
        <w:t xml:space="preserve">7 </w:t>
      </w:r>
      <w:r>
        <w:t xml:space="preserve">"But among all the sons of Israel not a dog will snarl with its tongue, from man to beast, so that you may know how marvelously the Lord will distinguish between the Egyptians and Israel."</w:t>
      </w:r>
    </w:p>
    <w:p>
      <w:r>
        <w:rPr>
          <w:b/>
        </w:rPr>
        <w:t xml:space="preserve">8 </w:t>
      </w:r>
      <w:r>
        <w:t xml:space="preserve">"And all these servants of yours will come down to me and bow to me, saying, Go out, you and all the people whom you lead</w:t>
      </w:r>
      <w:r>
        <w:rPr>
          <w:rStyle w:val="FootnoteReference"/>
        </w:rPr>
        <w:footnoteReference w:id="1502"/>
      </w:r>
      <w:r>
        <w:t xml:space="preserve">, and after that I will go out." Then Moses went out from Pharaoh with anger.</w:t>
      </w:r>
    </w:p>
    <w:p>
      <w:r>
        <w:rPr>
          <w:b/>
        </w:rPr>
        <w:t xml:space="preserve">9 </w:t>
      </w:r>
      <w:r>
        <w:t xml:space="preserve">Then the Lord said to Moses, "Pharaoh</w:t>
      </w:r>
      <w:r>
        <w:rPr>
          <w:rStyle w:val="FootnoteReference"/>
        </w:rPr>
        <w:footnoteReference w:id="1503"/>
      </w:r>
      <w:r>
        <w:t xml:space="preserve"> will not listen to you, so that I may greatly multiply my signs and wonders in the land of Egypt."</w:t>
      </w:r>
    </w:p>
    <w:p>
      <w:r>
        <w:rPr>
          <w:b/>
        </w:rPr>
        <w:t xml:space="preserve">10 </w:t>
      </w:r>
      <w:r>
        <w:t xml:space="preserve">And Moses and Aaron did all these signs and wonders in the land of Egypt before Pharaoh. But the Lord</w:t>
      </w:r>
      <w:r>
        <w:rPr>
          <w:rStyle w:val="FootnoteReference"/>
        </w:rPr>
        <w:footnoteReference w:id="1504"/>
      </w:r>
      <w:r>
        <w:t xml:space="preserve"> hardened Pharaoh's heart, and he was not willing to send the sons of Israel out of the land of Egypt.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Then the Lord said to Moses and Aaron in the land of Egypt, saying,</w:t>
      </w:r>
    </w:p>
    <w:p>
      <w:r>
        <w:rPr>
          <w:b/>
        </w:rPr>
        <w:t xml:space="preserve">2 </w:t>
      </w:r>
      <w:r>
        <w:t xml:space="preserve">"This month will be for you the beginning of months; it is first for you among the months of the year."</w:t>
      </w:r>
    </w:p>
    <w:p>
      <w:r>
        <w:rPr>
          <w:b/>
        </w:rPr>
        <w:t xml:space="preserve">3 </w:t>
      </w:r>
      <w:r>
        <w:t xml:space="preserve">"Speak to the whole assembly of the sons of Israel, saying, On the tenth day of this month let each take for themselves an animal from the flock according to ancestral houses, each an animal from the flock for the household."</w:t>
      </w:r>
    </w:p>
    <w:p>
      <w:r>
        <w:rPr>
          <w:b/>
        </w:rPr>
        <w:t xml:space="preserve">4 </w:t>
      </w:r>
      <w:r>
        <w:t xml:space="preserve">"But if those in the house are too few for an animal from the flock</w:t>
      </w:r>
      <w:r>
        <w:rPr>
          <w:rStyle w:val="FootnoteReference"/>
        </w:rPr>
        <w:footnoteReference w:id="1505"/>
      </w:r>
      <w:r>
        <w:t xml:space="preserve">, he shall take along his neighbor nearest to him according to the number of persons. Each according to what is enough for him shall be counted toward the animal from the flock."</w:t>
      </w:r>
    </w:p>
    <w:p>
      <w:r>
        <w:rPr>
          <w:b/>
        </w:rPr>
        <w:t xml:space="preserve">5 </w:t>
      </w:r>
      <w:r>
        <w:t xml:space="preserve">"The animal from the flock shall be for you unblemished, male, a year old. You shall take it from the lambs and from the kids."</w:t>
      </w:r>
    </w:p>
    <w:p>
      <w:r>
        <w:rPr>
          <w:b/>
        </w:rPr>
        <w:t xml:space="preserve">6 </w:t>
      </w:r>
      <w:r>
        <w:t xml:space="preserve">"And it shall be kept by you until the fourteenth</w:t>
      </w:r>
      <w:r>
        <w:rPr>
          <w:rStyle w:val="FootnoteReference"/>
        </w:rPr>
        <w:footnoteReference w:id="1506"/>
      </w:r>
      <w:r>
        <w:t xml:space="preserve"> day of this month, and the whole multitude of the assembly of the sons of Israel shall slaughter it toward evening."</w:t>
      </w:r>
    </w:p>
    <w:p>
      <w:r>
        <w:rPr>
          <w:b/>
        </w:rPr>
        <w:t xml:space="preserve">7 </w:t>
      </w:r>
      <w:r>
        <w:t xml:space="preserve">"And they shall take some of the blood and put it on the two doorposts and on the lintel in the houses where they eat it."</w:t>
      </w:r>
    </w:p>
    <w:p>
      <w:r>
        <w:rPr>
          <w:b/>
        </w:rPr>
        <w:t xml:space="preserve">8 </w:t>
      </w:r>
      <w:r>
        <w:t xml:space="preserve">"And they shall eat the</w:t>
      </w:r>
      <w:r>
        <w:rPr>
          <w:rStyle w:val="FootnoteReference"/>
        </w:rPr>
        <w:footnoteReference w:id="1507"/>
      </w:r>
      <w:r>
        <w:t xml:space="preserve"> flesh on this night, roasted by fire, and unleavened bread. With bitter herbs they shall eat it."</w:t>
      </w:r>
      <w:r>
        <w:rPr>
          <w:rStyle w:val="FootnoteReference"/>
        </w:rPr>
        <w:footnoteReference w:id="1508"/>
      </w:r>
    </w:p>
    <w:p>
      <w:r>
        <w:rPr>
          <w:b/>
        </w:rPr>
        <w:t xml:space="preserve">9 </w:t>
      </w:r>
      <w:r>
        <w:t xml:space="preserve">"You shall not eat any of it raw or boiled in water, but only roasted by fire, the head with the feet and the inner parts."</w:t>
      </w:r>
    </w:p>
    <w:p>
      <w:r>
        <w:rPr>
          <w:b/>
        </w:rPr>
        <w:t xml:space="preserve">10 </w:t>
      </w:r>
      <w:r>
        <w:t xml:space="preserve">"You shall not leave any of it until morning, and you shall not break a bone from it. But what remains of it until morning you shall burn with fire."</w:t>
      </w:r>
    </w:p>
    <w:p>
      <w:r>
        <w:rPr>
          <w:b/>
        </w:rPr>
        <w:t xml:space="preserve">11 </w:t>
      </w:r>
      <w:r>
        <w:t xml:space="preserve">"And thus you shall eat it: your waists girded, your sandals on your feet, your staffs in your hands, and you shall eat it in haste. It is Passover to the Lord."</w:t>
      </w:r>
    </w:p>
    <w:p>
      <w:r>
        <w:rPr>
          <w:b/>
        </w:rPr>
        <w:t xml:space="preserve">12 </w:t>
      </w:r>
      <w:r>
        <w:t xml:space="preserve">"And I will pass</w:t>
      </w:r>
      <w:r>
        <w:rPr>
          <w:rStyle w:val="FootnoteReference"/>
        </w:rPr>
        <w:footnoteReference w:id="1509"/>
      </w:r>
      <w:r>
        <w:t xml:space="preserve"> through the land of Egypt on this night, and I will strike every firstborn in the land of Egypt, from man to beast, and on all the gods of the Egyptians I will execute vengeance. I am the Lord."</w:t>
      </w:r>
    </w:p>
    <w:p>
      <w:r>
        <w:rPr>
          <w:b/>
        </w:rPr>
        <w:t xml:space="preserve">13 </w:t>
      </w:r>
      <w:r>
        <w:t xml:space="preserve">"And the blood</w:t>
      </w:r>
      <w:r>
        <w:rPr>
          <w:rStyle w:val="FootnoteReference"/>
        </w:rPr>
        <w:footnoteReference w:id="1510"/>
      </w:r>
      <w:r>
        <w:t xml:space="preserve"> will be for you as a sign on the houses where you are, and I will see the blood and shelter you</w:t>
      </w:r>
      <w:r>
        <w:rPr>
          <w:rStyle w:val="FootnoteReference"/>
        </w:rPr>
        <w:footnoteReference w:id="1511"/>
      </w:r>
      <w:r>
        <w:t xml:space="preserve">, and there shall not be among you a blow of destruction when I strike in the land of Egypt."</w:t>
      </w:r>
    </w:p>
    <w:p>
      <w:r>
        <w:rPr>
          <w:b/>
        </w:rPr>
        <w:t xml:space="preserve">14 </w:t>
      </w:r>
      <w:r>
        <w:t xml:space="preserve">"And this day will be for you a memorial</w:t>
      </w:r>
      <w:r>
        <w:rPr>
          <w:rStyle w:val="FootnoteReference"/>
        </w:rPr>
        <w:footnoteReference w:id="1512"/>
      </w:r>
      <w:r>
        <w:t xml:space="preserve">, and you shall celebrate it as a feast to the Lord throughout your generations. As an age-lasting ordinance you shall celebrate it."</w:t>
      </w:r>
    </w:p>
    <w:p>
      <w:r>
        <w:rPr>
          <w:b/>
        </w:rPr>
        <w:t xml:space="preserve">15 </w:t>
      </w:r>
      <w:r>
        <w:t xml:space="preserve">"Seven</w:t>
      </w:r>
      <w:r>
        <w:rPr>
          <w:rStyle w:val="FootnoteReference"/>
        </w:rPr>
        <w:footnoteReference w:id="1513"/>
      </w:r>
      <w:r>
        <w:t xml:space="preserve"> days you shall eat unleavened bread, and from the first day you shall remove leaven from your houses. Everyone who eats leavened food, that person shall be destroyed</w:t>
      </w:r>
      <w:r>
        <w:rPr>
          <w:rStyle w:val="FootnoteReference"/>
        </w:rPr>
        <w:footnoteReference w:id="1514"/>
      </w:r>
      <w:r>
        <w:t xml:space="preserve"> from Israel, from the first day until the seventh day."</w:t>
      </w:r>
    </w:p>
    <w:p>
      <w:r>
        <w:rPr>
          <w:b/>
        </w:rPr>
        <w:t xml:space="preserve">16 </w:t>
      </w:r>
      <w:r>
        <w:t xml:space="preserve">"And the first day</w:t>
      </w:r>
      <w:r>
        <w:rPr>
          <w:rStyle w:val="FootnoteReference"/>
        </w:rPr>
        <w:footnoteReference w:id="1515"/>
      </w:r>
      <w:r>
        <w:t xml:space="preserve"> shall be called holy, and the seventh day shall be a holy assembly for you. No work of service shall you do on them, except what will be made for every person</w:t>
      </w:r>
      <w:r>
        <w:rPr>
          <w:rStyle w:val="FootnoteReference"/>
        </w:rPr>
        <w:footnoteReference w:id="1516"/>
      </w:r>
      <w:r>
        <w:t xml:space="preserve">; that alone may be done for you."</w:t>
      </w:r>
    </w:p>
    <w:p>
      <w:r>
        <w:rPr>
          <w:b/>
        </w:rPr>
        <w:t xml:space="preserve">17 </w:t>
      </w:r>
      <w:r>
        <w:t xml:space="preserve">"And you shall keep this command</w:t>
      </w:r>
      <w:r>
        <w:rPr>
          <w:rStyle w:val="FootnoteReference"/>
        </w:rPr>
        <w:footnoteReference w:id="1517"/>
      </w:r>
      <w:r>
        <w:t xml:space="preserve">, for on this very day I will bring your hosts out of the land of Egypt, and you shall keep this day throughout your generations as an age-lasting ordinance."</w:t>
      </w:r>
    </w:p>
    <w:p>
      <w:r>
        <w:rPr>
          <w:b/>
        </w:rPr>
        <w:t xml:space="preserve">18 </w:t>
      </w:r>
      <w:r>
        <w:t xml:space="preserve">"Beginning on the fourteenth day of the first month at evening, you shall eat unleavened bread until evening of the twenty-first day of the month."</w:t>
      </w:r>
    </w:p>
    <w:p>
      <w:r>
        <w:rPr>
          <w:b/>
        </w:rPr>
        <w:t xml:space="preserve">19 </w:t>
      </w:r>
      <w:r>
        <w:t xml:space="preserve">"For seven</w:t>
      </w:r>
      <w:r>
        <w:rPr>
          <w:rStyle w:val="FootnoteReference"/>
        </w:rPr>
        <w:footnoteReference w:id="1518"/>
      </w:r>
      <w:r>
        <w:t xml:space="preserve"> days no leaven shall be found in your houses. Everyone who eats leavened food, that person shall be destroyed from the assembly of Israel, among both the newcomer and the native-born of the land."</w:t>
      </w:r>
    </w:p>
    <w:p>
      <w:r>
        <w:rPr>
          <w:b/>
        </w:rPr>
        <w:t xml:space="preserve">20 </w:t>
      </w:r>
      <w:r>
        <w:t xml:space="preserve">"You shall eat nothing leavened. In every dwelling of yours you shall eat unleavened bread."</w:t>
      </w:r>
    </w:p>
    <w:p>
      <w:r>
        <w:rPr>
          <w:b/>
        </w:rPr>
        <w:t xml:space="preserve">21 </w:t>
      </w:r>
      <w:r>
        <w:t xml:space="preserve">Then Moses called all the elders</w:t>
      </w:r>
      <w:r>
        <w:rPr>
          <w:rStyle w:val="FootnoteReference"/>
        </w:rPr>
        <w:footnoteReference w:id="1519"/>
      </w:r>
      <w:r>
        <w:t xml:space="preserve"> of the sons of Israel and said to them, "Go and take for yourselves an animal from the flock according to your families, and sacrifice the Passover."</w:t>
      </w:r>
    </w:p>
    <w:p>
      <w:r>
        <w:rPr>
          <w:b/>
        </w:rPr>
        <w:t xml:space="preserve">22 </w:t>
      </w:r>
      <w:r>
        <w:t xml:space="preserve">"And you shall take a bunch of hyssop</w:t>
      </w:r>
      <w:r>
        <w:rPr>
          <w:rStyle w:val="FootnoteReference"/>
        </w:rPr>
        <w:footnoteReference w:id="1520"/>
      </w:r>
      <w:r>
        <w:t xml:space="preserve">, and after dipping it in some of the blood by the door, you shall touch the lintel and both doorposts with some of the blood by the door. But none of you shall go out from the door of his house until morning."</w:t>
      </w:r>
      <w:r>
        <w:rPr>
          <w:rStyle w:val="FootnoteReference"/>
        </w:rPr>
        <w:footnoteReference w:id="1521"/>
      </w:r>
    </w:p>
    <w:p>
      <w:r>
        <w:rPr>
          <w:b/>
        </w:rPr>
        <w:t xml:space="preserve">23 </w:t>
      </w:r>
      <w:r>
        <w:t xml:space="preserve">"And the Lord will pass by to strike the Egyptians, and he will see the blood on the lintel and on both doorposts, and the Lord will pass by the door and will not allow the destroyer to enter</w:t>
      </w:r>
      <w:r>
        <w:rPr>
          <w:rStyle w:val="FootnoteReference"/>
        </w:rPr>
        <w:footnoteReference w:id="1522"/>
      </w:r>
      <w:r>
        <w:t xml:space="preserve"> your houses to strike."</w:t>
      </w:r>
      <w:r>
        <w:rPr>
          <w:rStyle w:val="FootnoteReference"/>
        </w:rPr>
        <w:footnoteReference w:id="1523"/>
      </w:r>
    </w:p>
    <w:p>
      <w:r>
        <w:rPr>
          <w:b/>
        </w:rPr>
        <w:t xml:space="preserve">24 </w:t>
      </w:r>
      <w:r>
        <w:t xml:space="preserve">"And you shall keep this word as an ordinance for you and for your sons forever."</w:t>
      </w:r>
    </w:p>
    <w:p>
      <w:r>
        <w:rPr>
          <w:b/>
        </w:rPr>
        <w:t xml:space="preserve">25 </w:t>
      </w:r>
      <w:r>
        <w:t xml:space="preserve">"And when you enter the land that the Lord will give you, just as he spoke, you shall keep this service."</w:t>
      </w:r>
    </w:p>
    <w:p>
      <w:r>
        <w:rPr>
          <w:b/>
        </w:rPr>
        <w:t xml:space="preserve">26 </w:t>
      </w:r>
      <w:r>
        <w:t xml:space="preserve">"And it shall be that when your sons say to you, What is this service?"</w:t>
      </w:r>
    </w:p>
    <w:p>
      <w:r>
        <w:rPr>
          <w:b/>
        </w:rPr>
        <w:t xml:space="preserve">27 </w:t>
      </w:r>
      <w:r>
        <w:t xml:space="preserve">"you shall say to them, This Passover is a sacrifice to the Lord, who sheltered the houses of the sons of Israel in Egypt when he struck the Egyptians but rescued our houses." And the people bowed</w:t>
      </w:r>
      <w:r>
        <w:rPr>
          <w:rStyle w:val="FootnoteReference"/>
        </w:rPr>
        <w:footnoteReference w:id="1524"/>
      </w:r>
      <w:r>
        <w:t xml:space="preserve"> low and worshiped.</w:t>
      </w:r>
    </w:p>
    <w:p>
      <w:r>
        <w:rPr>
          <w:b/>
        </w:rPr>
        <w:t xml:space="preserve">28 </w:t>
      </w:r>
      <w:r>
        <w:t xml:space="preserve">And the sons of Israel went away and did just as the Lord commanded</w:t>
      </w:r>
      <w:r>
        <w:rPr>
          <w:rStyle w:val="FootnoteReference"/>
        </w:rPr>
        <w:footnoteReference w:id="1525"/>
      </w:r>
      <w:r>
        <w:t xml:space="preserve"> Moses and Aaron; so they did.</w:t>
      </w:r>
    </w:p>
    <w:p>
      <w:r>
        <w:rPr>
          <w:b/>
        </w:rPr>
        <w:t xml:space="preserve">29 </w:t>
      </w:r>
      <w:r>
        <w:t xml:space="preserve">And it happened at midnight</w:t>
      </w:r>
      <w:r>
        <w:rPr>
          <w:rStyle w:val="FootnoteReference"/>
        </w:rPr>
        <w:footnoteReference w:id="1526"/>
      </w:r>
      <w:r>
        <w:t xml:space="preserve"> that the Lord struck every firstborn in the land of Egypt, from Pharaoh's firstborn sitting on the throne to the firstborn of the captive woman in the pit, and every firstborn of beast.</w:t>
      </w:r>
    </w:p>
    <w:p>
      <w:r>
        <w:rPr>
          <w:b/>
        </w:rPr>
        <w:t xml:space="preserve">30 </w:t>
      </w:r>
      <w:r>
        <w:t xml:space="preserve">And Pharaoh rose by night, and all his servants, and all the Egyptians, and there was a great cry</w:t>
      </w:r>
      <w:r>
        <w:rPr>
          <w:rStyle w:val="FootnoteReference"/>
        </w:rPr>
        <w:footnoteReference w:id="1527"/>
      </w:r>
      <w:r>
        <w:t xml:space="preserve"> in all the land of Egypt, for there was no house in which there was not one dead.</w:t>
      </w:r>
    </w:p>
    <w:p>
      <w:r>
        <w:rPr>
          <w:b/>
        </w:rPr>
        <w:t xml:space="preserve">31 </w:t>
      </w:r>
      <w:r>
        <w:t xml:space="preserve">And Pharaoh called</w:t>
      </w:r>
      <w:r>
        <w:rPr>
          <w:rStyle w:val="FootnoteReference"/>
        </w:rPr>
        <w:footnoteReference w:id="1528"/>
      </w:r>
      <w:r>
        <w:t xml:space="preserve"> Moses and Aaron by night and said to them, "Rise up and go out from my people, both you and the sons of Israel. Go and serve the Lord your God, just as you say."</w:t>
      </w:r>
    </w:p>
    <w:p>
      <w:r>
        <w:rPr>
          <w:b/>
        </w:rPr>
        <w:t xml:space="preserve">32 </w:t>
      </w:r>
      <w:r>
        <w:t xml:space="preserve">"Take your sheep and your cattle and go. But bless me</w:t>
      </w:r>
      <w:r>
        <w:rPr>
          <w:rStyle w:val="FootnoteReference"/>
        </w:rPr>
        <w:footnoteReference w:id="1529"/>
      </w:r>
      <w:r>
        <w:t xml:space="preserve"> too."</w:t>
      </w:r>
    </w:p>
    <w:p>
      <w:r>
        <w:rPr>
          <w:b/>
        </w:rPr>
        <w:t xml:space="preserve">33 </w:t>
      </w:r>
      <w:r>
        <w:t xml:space="preserve">And the Egyptians pressed the people in haste to drive them out of the land, for they said, "We are all dying."</w:t>
      </w:r>
    </w:p>
    <w:p>
      <w:r>
        <w:rPr>
          <w:b/>
        </w:rPr>
        <w:t xml:space="preserve">34 </w:t>
      </w:r>
      <w:r>
        <w:t xml:space="preserve">And the people took the dough before it was leavened, their kneaded batches wrapped in their garments on their shoulders.</w:t>
      </w:r>
    </w:p>
    <w:p>
      <w:r>
        <w:rPr>
          <w:b/>
        </w:rPr>
        <w:t xml:space="preserve">35 </w:t>
      </w:r>
      <w:r>
        <w:t xml:space="preserve">And the sons of Israel did just as Moses instructed them, and they asked from the Egyptians silver and gold vessels and clothing.</w:t>
      </w:r>
    </w:p>
    <w:p>
      <w:r>
        <w:rPr>
          <w:b/>
        </w:rPr>
        <w:t xml:space="preserve">36 </w:t>
      </w:r>
      <w:r>
        <w:t xml:space="preserve">And the Lord</w:t>
      </w:r>
      <w:r>
        <w:rPr>
          <w:rStyle w:val="FootnoteReference"/>
        </w:rPr>
        <w:footnoteReference w:id="1530"/>
      </w:r>
      <w:r>
        <w:t xml:space="preserve"> gave his people favor in the sight of the Egyptians, and they lent to them, and they plundered the Egyptians.</w:t>
      </w:r>
    </w:p>
    <w:p>
      <w:r>
        <w:rPr>
          <w:b/>
        </w:rPr>
        <w:t xml:space="preserve">37 </w:t>
      </w:r>
      <w:r>
        <w:t xml:space="preserve">Then the sons of Israel set out from Rameses</w:t>
      </w:r>
      <w:r>
        <w:rPr>
          <w:rStyle w:val="FootnoteReference"/>
        </w:rPr>
        <w:footnoteReference w:id="1531"/>
      </w:r>
      <w:r>
        <w:t xml:space="preserve"> to Succoth</w:t>
      </w:r>
      <w:r>
        <w:rPr>
          <w:rStyle w:val="FootnoteReference"/>
        </w:rPr>
        <w:footnoteReference w:id="1532"/>
      </w:r>
      <w:r>
        <w:t xml:space="preserve">, about six hundred thousand men on foot, besides the baggage.</w:t>
      </w:r>
    </w:p>
    <w:p>
      <w:r>
        <w:rPr>
          <w:b/>
        </w:rPr>
        <w:t xml:space="preserve">38 </w:t>
      </w:r>
      <w:r>
        <w:t xml:space="preserve">And a great mixed company went up with them, and sheep and cattle and very much livestock.</w:t>
      </w:r>
    </w:p>
    <w:p>
      <w:r>
        <w:rPr>
          <w:b/>
        </w:rPr>
        <w:t xml:space="preserve">39 </w:t>
      </w:r>
      <w:r>
        <w:t xml:space="preserve">And they baked the dough they had brought out from Egypt into unleavened cakes, for it had not been leavened, because the Egyptians had driven them out and they were not able to delay, nor had they prepared provisions for themselves for the journey.</w:t>
      </w:r>
      <w:r>
        <w:rPr>
          <w:rStyle w:val="FootnoteReference"/>
        </w:rPr>
        <w:footnoteReference w:id="1533"/>
      </w:r>
    </w:p>
    <w:p>
      <w:r>
        <w:rPr>
          <w:b/>
        </w:rPr>
        <w:t xml:space="preserve">40 </w:t>
      </w:r>
      <w:r>
        <w:t xml:space="preserve">Now the dwelling of the sons of Israel, during which they had dwelt in the land of Egypt and in the land of Canaan, was four hundred</w:t>
      </w:r>
      <w:r>
        <w:rPr>
          <w:rStyle w:val="FootnoteReference"/>
        </w:rPr>
        <w:footnoteReference w:id="1534"/>
      </w:r>
      <w:r>
        <w:t xml:space="preserve"> and thirty years.</w:t>
      </w:r>
    </w:p>
    <w:p>
      <w:r>
        <w:rPr>
          <w:b/>
        </w:rPr>
        <w:t xml:space="preserve">41 </w:t>
      </w:r>
      <w:r>
        <w:t xml:space="preserve">And it happened after the four hundred and thirty years that all the hosts</w:t>
      </w:r>
      <w:r>
        <w:rPr>
          <w:rStyle w:val="FootnoteReference"/>
        </w:rPr>
        <w:footnoteReference w:id="1535"/>
      </w:r>
      <w:r>
        <w:t xml:space="preserve"> of the Lord went out from the land of Egypt.</w:t>
      </w:r>
    </w:p>
    <w:p>
      <w:r>
        <w:rPr>
          <w:b/>
        </w:rPr>
        <w:t xml:space="preserve">42 </w:t>
      </w:r>
      <w:r>
        <w:t xml:space="preserve">It is a night-watch kept for the Lord, so as to bring them out from the land of Egypt. This same night is a watch kept for the Lord for all the sons of Israel throughout their generations.</w:t>
      </w:r>
    </w:p>
    <w:p>
      <w:r>
        <w:rPr>
          <w:b/>
        </w:rPr>
        <w:t xml:space="preserve">43 </w:t>
      </w:r>
      <w:r>
        <w:t xml:space="preserve">Then the Lord said to Moses and Aaron, "This is the law of the Passover: no foreigner shall eat of it."</w:t>
      </w:r>
    </w:p>
    <w:p>
      <w:r>
        <w:rPr>
          <w:b/>
        </w:rPr>
        <w:t xml:space="preserve">44 </w:t>
      </w:r>
      <w:r>
        <w:t xml:space="preserve">"And every household slave or one bought with silver, you shall circumcise him, and then he shall eat of it."</w:t>
      </w:r>
    </w:p>
    <w:p>
      <w:r>
        <w:rPr>
          <w:b/>
        </w:rPr>
        <w:t xml:space="preserve">45 </w:t>
      </w:r>
      <w:r>
        <w:t xml:space="preserve">"A settler or a hired worker shall not eat of it."</w:t>
      </w:r>
    </w:p>
    <w:p>
      <w:r>
        <w:rPr>
          <w:b/>
        </w:rPr>
        <w:t xml:space="preserve">46 </w:t>
      </w:r>
      <w:r>
        <w:t xml:space="preserve">"In one house</w:t>
      </w:r>
      <w:r>
        <w:rPr>
          <w:rStyle w:val="FootnoteReference"/>
        </w:rPr>
        <w:footnoteReference w:id="1536"/>
      </w:r>
      <w:r>
        <w:t xml:space="preserve"> it shall be eaten, and you shall not carry any of the flesh out from the house, and you shall not break a bone from it."</w:t>
      </w:r>
    </w:p>
    <w:p>
      <w:r>
        <w:rPr>
          <w:b/>
        </w:rPr>
        <w:t xml:space="preserve">47 </w:t>
      </w:r>
      <w:r>
        <w:t xml:space="preserve">"The whole assembly of the sons of Israel shall keep it."</w:t>
      </w:r>
    </w:p>
    <w:p>
      <w:r>
        <w:rPr>
          <w:b/>
        </w:rPr>
        <w:t xml:space="preserve">48 </w:t>
      </w:r>
      <w:r>
        <w:t xml:space="preserve">"And if any newcomer comes to you</w:t>
      </w:r>
      <w:r>
        <w:rPr>
          <w:rStyle w:val="FootnoteReference"/>
        </w:rPr>
        <w:footnoteReference w:id="1537"/>
      </w:r>
      <w:r>
        <w:t xml:space="preserve"> to keep Passover to the Lord, you shall circumcise every male of him, and then he shall come near to keep it, and he shall be</w:t>
      </w:r>
      <w:r>
        <w:rPr>
          <w:rStyle w:val="FootnoteReference"/>
        </w:rPr>
        <w:footnoteReference w:id="1538"/>
      </w:r>
      <w:r>
        <w:t xml:space="preserve"> like the native-born of the land. No uncircumcised person shall eat of it."</w:t>
      </w:r>
    </w:p>
    <w:p>
      <w:r>
        <w:rPr>
          <w:b/>
        </w:rPr>
        <w:t xml:space="preserve">49 </w:t>
      </w:r>
      <w:r>
        <w:t xml:space="preserve">"One law shall be for the native-born and for the newcomer who comes among you."</w:t>
      </w:r>
    </w:p>
    <w:p>
      <w:r>
        <w:rPr>
          <w:b/>
        </w:rPr>
        <w:t xml:space="preserve">50 </w:t>
      </w:r>
      <w:r>
        <w:t xml:space="preserve">And the sons of Israel did just as the Lord</w:t>
      </w:r>
      <w:r>
        <w:rPr>
          <w:rStyle w:val="FootnoteReference"/>
        </w:rPr>
        <w:footnoteReference w:id="1539"/>
      </w:r>
      <w:r>
        <w:t xml:space="preserve"> commanded Moses and Aaron for them; so they did.</w:t>
      </w:r>
    </w:p>
    <w:p>
      <w:r>
        <w:rPr>
          <w:b/>
        </w:rPr>
        <w:t xml:space="preserve">51 </w:t>
      </w:r>
      <w:r>
        <w:t xml:space="preserve">And it happened on that day that the Lord brought the sons of Israel out from the land of Egypt with their hosts.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Then the Lord said to Moses, saying,</w:t>
      </w:r>
    </w:p>
    <w:p>
      <w:r>
        <w:rPr>
          <w:b/>
        </w:rPr>
        <w:t xml:space="preserve">2 </w:t>
      </w:r>
      <w:r>
        <w:t xml:space="preserve">"Set apart to me every firstborn, first issue, opening every womb among the sons of Israel, from man to beast. It is mine."</w:t>
      </w:r>
    </w:p>
    <w:p>
      <w:r>
        <w:rPr>
          <w:b/>
        </w:rPr>
        <w:t xml:space="preserve">3 </w:t>
      </w:r>
      <w:r>
        <w:t xml:space="preserve">Then Moses said to the people, "Remember</w:t>
      </w:r>
      <w:r>
        <w:rPr>
          <w:rStyle w:val="FootnoteReference"/>
        </w:rPr>
        <w:footnoteReference w:id="1540"/>
      </w:r>
      <w:r>
        <w:t xml:space="preserve"> this day on which you came out from the land of Egypt, out of the house of slavery, for with a mighty hand the Lord brought you out from there, and leaven shall not be eaten."</w:t>
      </w:r>
      <w:r>
        <w:rPr>
          <w:rStyle w:val="FootnoteReference"/>
        </w:rPr>
        <w:footnoteReference w:id="1541"/>
      </w:r>
    </w:p>
    <w:p>
      <w:r>
        <w:rPr>
          <w:b/>
        </w:rPr>
        <w:t xml:space="preserve">4 </w:t>
      </w:r>
      <w:r>
        <w:t xml:space="preserve">"For on this day you are going out, in the month of new grain."</w:t>
      </w:r>
    </w:p>
    <w:p>
      <w:r>
        <w:rPr>
          <w:b/>
        </w:rPr>
        <w:t xml:space="preserve">5 </w:t>
      </w:r>
      <w:r>
        <w:t xml:space="preserve">"And it shall be that when the Lord your God brings you into the land of the Canaanites and Hittites and Hivites and Girgashites and Amorites and Perizzites and Jebusites, which he swore to your fathers to give you, a land</w:t>
      </w:r>
      <w:r>
        <w:rPr>
          <w:rStyle w:val="FootnoteReference"/>
        </w:rPr>
        <w:footnoteReference w:id="1542"/>
      </w:r>
      <w:r>
        <w:t xml:space="preserve"> flowing with milk and honey, you shall perform this service</w:t>
      </w:r>
      <w:r>
        <w:rPr>
          <w:rStyle w:val="FootnoteReference"/>
        </w:rPr>
        <w:footnoteReference w:id="1543"/>
      </w:r>
      <w:r>
        <w:t xml:space="preserve"> in this month."</w:t>
      </w:r>
    </w:p>
    <w:p>
      <w:r>
        <w:rPr>
          <w:b/>
        </w:rPr>
        <w:t xml:space="preserve">6 </w:t>
      </w:r>
      <w:r>
        <w:t xml:space="preserve">"For six days you shall eat unleavened bread, and on the seventh day there shall be a feast to the Lord."</w:t>
      </w:r>
    </w:p>
    <w:p>
      <w:r>
        <w:rPr>
          <w:b/>
        </w:rPr>
        <w:t xml:space="preserve">7 </w:t>
      </w:r>
      <w:r>
        <w:t xml:space="preserve">"For seven days you shall eat unleavened bread. No leavened thing shall be seen among you, nor shall leaven be with you in all your borders."</w:t>
      </w:r>
    </w:p>
    <w:p>
      <w:r>
        <w:rPr>
          <w:b/>
        </w:rPr>
        <w:t xml:space="preserve">8 </w:t>
      </w:r>
      <w:r>
        <w:t xml:space="preserve">"And you shall tell your son on that day, saying, Because of this the Lord my God dealt with me when I was going out from Egypt."</w:t>
      </w:r>
    </w:p>
    <w:p>
      <w:r>
        <w:rPr>
          <w:b/>
        </w:rPr>
        <w:t xml:space="preserve">9 </w:t>
      </w:r>
      <w:r>
        <w:t xml:space="preserve">"And it shall be for you as a sign</w:t>
      </w:r>
      <w:r>
        <w:rPr>
          <w:rStyle w:val="FootnoteReference"/>
        </w:rPr>
        <w:footnoteReference w:id="1544"/>
      </w:r>
      <w:r>
        <w:t xml:space="preserve"> on your hand and as a memorial before your eyes, so that the law of the Lord may be in your mouth, for with a mighty hand the Lord God brought you out from Egypt."</w:t>
      </w:r>
    </w:p>
    <w:p>
      <w:r>
        <w:rPr>
          <w:b/>
        </w:rPr>
        <w:t xml:space="preserve">10 </w:t>
      </w:r>
      <w:r>
        <w:t xml:space="preserve">"And you shall keep this law at the appointed times, from days to days."</w:t>
      </w:r>
    </w:p>
    <w:p>
      <w:r>
        <w:rPr>
          <w:b/>
        </w:rPr>
        <w:t xml:space="preserve">11 </w:t>
      </w:r>
      <w:r>
        <w:t xml:space="preserve">"And it shall be that when the Lord your God brings you into the land of the Canaanites, just as he swore to your fathers, and gives it to you,"</w:t>
      </w:r>
    </w:p>
    <w:p>
      <w:r>
        <w:rPr>
          <w:b/>
        </w:rPr>
        <w:t xml:space="preserve">12 </w:t>
      </w:r>
      <w:r>
        <w:t xml:space="preserve">"you shall set apart to the Lord every opener of the womb, the males. Every opener of the womb from the herds or among your livestock, as many as come to you, the males you shall consecrate to the Lord."</w:t>
      </w:r>
    </w:p>
    <w:p>
      <w:r>
        <w:rPr>
          <w:b/>
        </w:rPr>
        <w:t xml:space="preserve">13 </w:t>
      </w:r>
      <w:r>
        <w:t xml:space="preserve">"Every opener of the womb of a donkey you shall exchange for a sheep, and if you do not exchange it, you shall redeem it. Every firstborn of man among your sons you shall redeem."</w:t>
      </w:r>
    </w:p>
    <w:p>
      <w:r>
        <w:rPr>
          <w:b/>
        </w:rPr>
        <w:t xml:space="preserve">14 </w:t>
      </w:r>
      <w:r>
        <w:t xml:space="preserve">"And if your son asks you after this, saying, What is this? you shall say to him, With a mighty hand the Lord brought us out from the land of Egypt, out of the house of slavery."</w:t>
      </w:r>
    </w:p>
    <w:p>
      <w:r>
        <w:rPr>
          <w:b/>
        </w:rPr>
        <w:t xml:space="preserve">15 </w:t>
      </w:r>
      <w:r>
        <w:t xml:space="preserve">"And when Pharaoh hardened himself against sending us away, he killed every firstborn in the land of Egypt, from the firstborn of humans to the firstborn of beasts. Because of this I sacrifice to the Lord every opener of the womb, the males, and every firstborn of my sons I will redeem."</w:t>
      </w:r>
      <w:r>
        <w:rPr>
          <w:rStyle w:val="FootnoteReference"/>
        </w:rPr>
        <w:footnoteReference w:id="1545"/>
      </w:r>
    </w:p>
    <w:p>
      <w:r>
        <w:rPr>
          <w:b/>
        </w:rPr>
        <w:t xml:space="preserve">16 </w:t>
      </w:r>
      <w:r>
        <w:t xml:space="preserve">"And it shall be as a sign on your hand and fixed before your eyes, for with a mighty hand the Lord brought you out from Egypt."</w:t>
      </w:r>
    </w:p>
    <w:p>
      <w:r>
        <w:rPr>
          <w:b/>
        </w:rPr>
        <w:t xml:space="preserve">17 </w:t>
      </w:r>
      <w:r>
        <w:t xml:space="preserve">And when Pharaoh sent the people away, God did not lead them by the way of the land of the Philistines, because it was near</w:t>
      </w:r>
      <w:r>
        <w:rPr>
          <w:rStyle w:val="FootnoteReference"/>
        </w:rPr>
        <w:footnoteReference w:id="1546"/>
      </w:r>
      <w:r>
        <w:t xml:space="preserve">. For God said, "Lest perhaps the people change their mind when they see war and turn back to Egypt."</w:t>
      </w:r>
    </w:p>
    <w:p>
      <w:r>
        <w:rPr>
          <w:b/>
        </w:rPr>
        <w:t xml:space="preserve">18 </w:t>
      </w:r>
      <w:r>
        <w:t xml:space="preserve">So God led the</w:t>
      </w:r>
      <w:r>
        <w:rPr>
          <w:rStyle w:val="FootnoteReference"/>
        </w:rPr>
        <w:footnoteReference w:id="1547"/>
      </w:r>
      <w:r>
        <w:t xml:space="preserve"> people around by the road to the wilderness, to the Red Sea. And in the fifth generation the sons of Israel went up out from the land of Egypt.</w:t>
      </w:r>
    </w:p>
    <w:p>
      <w:r>
        <w:rPr>
          <w:b/>
        </w:rPr>
        <w:t xml:space="preserve">19 </w:t>
      </w:r>
      <w:r>
        <w:t xml:space="preserve">And Moses took the bones of Joseph with him, for Joseph had solemnly bound the sons of Israel by oath, saying, God will surely visit you, and you shall carry my bones up from here with you.</w:t>
      </w:r>
    </w:p>
    <w:p>
      <w:r>
        <w:rPr>
          <w:b/>
        </w:rPr>
        <w:t xml:space="preserve">20 </w:t>
      </w:r>
      <w:r>
        <w:t xml:space="preserve">Then the sons of Israel set out from Succoth and camped at Etham</w:t>
      </w:r>
      <w:r>
        <w:rPr>
          <w:rStyle w:val="FootnoteReference"/>
        </w:rPr>
        <w:footnoteReference w:id="1548"/>
      </w:r>
      <w:r>
        <w:t xml:space="preserve"> by the wilderness.</w:t>
      </w:r>
    </w:p>
    <w:p>
      <w:r>
        <w:rPr>
          <w:b/>
        </w:rPr>
        <w:t xml:space="preserve">21 </w:t>
      </w:r>
      <w:r>
        <w:t xml:space="preserve">And God led them, by day in a pillar of cloud to show them the way, and by night in a pillar of fire.</w:t>
      </w:r>
    </w:p>
    <w:p>
      <w:r>
        <w:rPr>
          <w:b/>
        </w:rPr>
        <w:t xml:space="preserve">22 </w:t>
      </w:r>
      <w:r>
        <w:t xml:space="preserve">The pillar of cloud by day did not fail, nor the pillar of fire</w:t>
      </w:r>
      <w:r>
        <w:rPr>
          <w:rStyle w:val="FootnoteReference"/>
        </w:rPr>
        <w:footnoteReference w:id="1549"/>
      </w:r>
      <w:r>
        <w:t xml:space="preserve"> by night, before all the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the Lord spoke to Moses, saying,</w:t>
      </w:r>
    </w:p>
    <w:p>
      <w:r>
        <w:rPr>
          <w:b/>
        </w:rPr>
        <w:t xml:space="preserve">2 </w:t>
      </w:r>
      <w:r>
        <w:t xml:space="preserve">"Speak to the sons of Israel, and after turning back let them camp opposite the village, between Migdol</w:t>
      </w:r>
      <w:r>
        <w:rPr>
          <w:rStyle w:val="FootnoteReference"/>
        </w:rPr>
        <w:footnoteReference w:id="1550"/>
      </w:r>
      <w:r>
        <w:t xml:space="preserve"> and the sea. Opposite Baalzephon</w:t>
      </w:r>
      <w:r>
        <w:rPr>
          <w:rStyle w:val="FootnoteReference"/>
        </w:rPr>
        <w:footnoteReference w:id="1551"/>
      </w:r>
      <w:r>
        <w:t xml:space="preserve">, before them, you shall camp by the sea."</w:t>
      </w:r>
      <w:r>
        <w:rPr>
          <w:rStyle w:val="FootnoteReference"/>
        </w:rPr>
        <w:footnoteReference w:id="1552"/>
      </w:r>
    </w:p>
    <w:p>
      <w:r>
        <w:rPr>
          <w:b/>
        </w:rPr>
        <w:t xml:space="preserve">3 </w:t>
      </w:r>
      <w:r>
        <w:t xml:space="preserve">"And Pharaoh</w:t>
      </w:r>
      <w:r>
        <w:rPr>
          <w:rStyle w:val="FootnoteReference"/>
        </w:rPr>
        <w:footnoteReference w:id="1553"/>
      </w:r>
      <w:r>
        <w:t xml:space="preserve"> will say to his people, These sons of Israel are wandering in the land, for the wilderness has shut them in."</w:t>
      </w:r>
    </w:p>
    <w:p>
      <w:r>
        <w:rPr>
          <w:b/>
        </w:rPr>
        <w:t xml:space="preserve">4 </w:t>
      </w:r>
      <w:r>
        <w:t xml:space="preserve">"And I will harden</w:t>
      </w:r>
      <w:r>
        <w:rPr>
          <w:rStyle w:val="FootnoteReference"/>
        </w:rPr>
        <w:footnoteReference w:id="1554"/>
      </w:r>
      <w:r>
        <w:t xml:space="preserve"> Pharaoh's heart, and he will pursue after them, and I will be glorified in Pharaoh and in all his army, and all the Egyptians will know that I am the Lord." And they did so.</w:t>
      </w:r>
    </w:p>
    <w:p>
      <w:r>
        <w:rPr>
          <w:b/>
        </w:rPr>
        <w:t xml:space="preserve">5 </w:t>
      </w:r>
      <w:r>
        <w:t xml:space="preserve">And it was reported to the king of the Egyptians that the people had fled, and the heart</w:t>
      </w:r>
      <w:r>
        <w:rPr>
          <w:rStyle w:val="FootnoteReference"/>
        </w:rPr>
        <w:footnoteReference w:id="1555"/>
      </w:r>
      <w:r>
        <w:t xml:space="preserve"> of Pharaoh and of his servants was turned against the people, and they said, "Why have we done this, sending away the sons of Israel so that they need not serve us?"</w:t>
      </w:r>
    </w:p>
    <w:p>
      <w:r>
        <w:rPr>
          <w:b/>
        </w:rPr>
        <w:t xml:space="preserve">6 </w:t>
      </w:r>
      <w:r>
        <w:t xml:space="preserve">So Pharaoh yoked his chariots, and he gathered all his people</w:t>
      </w:r>
      <w:r>
        <w:rPr>
          <w:rStyle w:val="FootnoteReference"/>
        </w:rPr>
        <w:footnoteReference w:id="1556"/>
      </w:r>
      <w:r>
        <w:t xml:space="preserve"> with himself.</w:t>
      </w:r>
    </w:p>
    <w:p>
      <w:r>
        <w:rPr>
          <w:b/>
        </w:rPr>
        <w:t xml:space="preserve">7 </w:t>
      </w:r>
      <w:r>
        <w:t xml:space="preserve">And taking six hundred chosen chariots and all the cavalry of the Egyptians, he took commanders over all of them.</w:t>
      </w:r>
    </w:p>
    <w:p>
      <w:r>
        <w:rPr>
          <w:b/>
        </w:rPr>
        <w:t xml:space="preserve">8 </w:t>
      </w:r>
      <w:r>
        <w:t xml:space="preserve">And the Lord</w:t>
      </w:r>
      <w:r>
        <w:rPr>
          <w:rStyle w:val="FootnoteReference"/>
        </w:rPr>
        <w:footnoteReference w:id="1557"/>
      </w:r>
      <w:r>
        <w:t xml:space="preserve"> hardened the heart of Pharaoh king of Egypt and of his servants, and he pursued after the sons of Israel. But the sons of Israel were going out with uplifted hand.</w:t>
      </w:r>
    </w:p>
    <w:p>
      <w:r>
        <w:rPr>
          <w:b/>
        </w:rPr>
        <w:t xml:space="preserve">9 </w:t>
      </w:r>
      <w:r>
        <w:t xml:space="preserve">And the Egyptians</w:t>
      </w:r>
      <w:r>
        <w:rPr>
          <w:rStyle w:val="FootnoteReference"/>
        </w:rPr>
        <w:footnoteReference w:id="1558"/>
      </w:r>
      <w:r>
        <w:t xml:space="preserve"> pursued after them and found them encamped by the sea, all Pharaoh's cavalry and chariots and horsemen and army, opposite the village, opposite Baalzephon.</w:t>
      </w:r>
    </w:p>
    <w:p>
      <w:r>
        <w:rPr>
          <w:b/>
        </w:rPr>
        <w:t xml:space="preserve">10 </w:t>
      </w:r>
      <w:r>
        <w:t xml:space="preserve">And Pharaoh drew near, and the sons of Israel lifted up their eyes and saw: the Egyptians had camped behind them. And they feared greatly, and the sons of Israel cried out</w:t>
      </w:r>
      <w:r>
        <w:rPr>
          <w:rStyle w:val="FootnoteReference"/>
        </w:rPr>
        <w:footnoteReference w:id="1559"/>
      </w:r>
      <w:r>
        <w:t xml:space="preserve"> to the Lord.</w:t>
      </w:r>
    </w:p>
    <w:p>
      <w:r>
        <w:rPr>
          <w:b/>
        </w:rPr>
        <w:t xml:space="preserve">11 </w:t>
      </w:r>
      <w:r>
        <w:t xml:space="preserve">And they said to Moses, "Was it because there were no tombs in the land of Egypt that you brought us out to die in the wilderness? Why have you done this to us, bringing us out from Egypt?"</w:t>
      </w:r>
    </w:p>
    <w:p>
      <w:r>
        <w:rPr>
          <w:b/>
        </w:rPr>
        <w:t xml:space="preserve">12 </w:t>
      </w:r>
      <w:r>
        <w:t xml:space="preserve">"Was this not the word we spoke to you in Egypt, saying, Leave us alone so that we may serve the Egyptians? For it would be better for us to serve the Egyptians than to die in this wilderness."</w:t>
      </w:r>
    </w:p>
    <w:p>
      <w:r>
        <w:rPr>
          <w:b/>
        </w:rPr>
        <w:t xml:space="preserve">13 </w:t>
      </w:r>
      <w:r>
        <w:t xml:space="preserve">Then Moses said to the people, "Take courage. Stand and see the</w:t>
      </w:r>
      <w:r>
        <w:rPr>
          <w:rStyle w:val="FootnoteReference"/>
        </w:rPr>
        <w:footnoteReference w:id="1560"/>
      </w:r>
      <w:r>
        <w:t xml:space="preserve"> salvation from God</w:t>
      </w:r>
      <w:r>
        <w:rPr>
          <w:rStyle w:val="FootnoteReference"/>
        </w:rPr>
        <w:footnoteReference w:id="1561"/>
      </w:r>
      <w:r>
        <w:t xml:space="preserve"> that he will accomplish for us today. For in the way you have seen the Egyptians today, you shall never again see them through all time."</w:t>
      </w:r>
    </w:p>
    <w:p>
      <w:r>
        <w:rPr>
          <w:b/>
        </w:rPr>
        <w:t xml:space="preserve">14 </w:t>
      </w:r>
      <w:r>
        <w:t xml:space="preserve">"The Lord</w:t>
      </w:r>
      <w:r>
        <w:rPr>
          <w:rStyle w:val="FootnoteReference"/>
        </w:rPr>
        <w:footnoteReference w:id="1562"/>
      </w:r>
      <w:r>
        <w:t xml:space="preserve"> will fight for you, and you will be still."</w:t>
      </w:r>
    </w:p>
    <w:p>
      <w:r>
        <w:rPr>
          <w:b/>
        </w:rPr>
        <w:t xml:space="preserve">15 </w:t>
      </w:r>
      <w:r>
        <w:t xml:space="preserve">Then the Lord said to Moses, "Why do you cry out to me? Speak to the sons of Israel, and let them break camp."</w:t>
      </w:r>
    </w:p>
    <w:p>
      <w:r>
        <w:rPr>
          <w:b/>
        </w:rPr>
        <w:t xml:space="preserve">16 </w:t>
      </w:r>
      <w:r>
        <w:t xml:space="preserve">"And you, lift</w:t>
      </w:r>
      <w:r>
        <w:rPr>
          <w:rStyle w:val="FootnoteReference"/>
        </w:rPr>
        <w:footnoteReference w:id="1563"/>
      </w:r>
      <w:r>
        <w:t xml:space="preserve"> up your rod and stretch out your hand over the sea and split it, and let the sons of Israel enter into the midst of the sea on dry ground."</w:t>
      </w:r>
    </w:p>
    <w:p>
      <w:r>
        <w:rPr>
          <w:b/>
        </w:rPr>
        <w:t xml:space="preserve">17 </w:t>
      </w:r>
      <w:r>
        <w:t xml:space="preserve">"And behold</w:t>
      </w:r>
      <w:r>
        <w:rPr>
          <w:rStyle w:val="FootnoteReference"/>
        </w:rPr>
        <w:footnoteReference w:id="1564"/>
      </w:r>
      <w:r>
        <w:t xml:space="preserve">, I am hardening the heart of Pharaoh and of all the Egyptians, and they will go in after them, and I will be glorified in Pharaoh and in all his army and in his chariots and horses."</w:t>
      </w:r>
    </w:p>
    <w:p>
      <w:r>
        <w:rPr>
          <w:b/>
        </w:rPr>
        <w:t xml:space="preserve">18 </w:t>
      </w:r>
      <w:r>
        <w:t xml:space="preserve">"And all the Egyptians will know that I am the Lord when I am glorified in Pharaoh and in his chariots and horses."</w:t>
      </w:r>
    </w:p>
    <w:p>
      <w:r>
        <w:rPr>
          <w:b/>
        </w:rPr>
        <w:t xml:space="preserve">19 </w:t>
      </w:r>
      <w:r>
        <w:t xml:space="preserve">Then the angel of God</w:t>
      </w:r>
      <w:r>
        <w:rPr>
          <w:rStyle w:val="FootnoteReference"/>
        </w:rPr>
        <w:footnoteReference w:id="1565"/>
      </w:r>
      <w:r>
        <w:t xml:space="preserve"> who went before the camp of the sons of Israel moved and went behind them, and the pillar of cloud also moved from before them and stood behind them.</w:t>
      </w:r>
      <w:r>
        <w:rPr>
          <w:rStyle w:val="FootnoteReference"/>
        </w:rPr>
        <w:footnoteReference w:id="1566"/>
      </w:r>
    </w:p>
    <w:p>
      <w:r>
        <w:rPr>
          <w:b/>
        </w:rPr>
        <w:t xml:space="preserve">20 </w:t>
      </w:r>
      <w:r>
        <w:t xml:space="preserve">And it came between the camp of the Egyptians and the camp of Israel, and there it stood. And there came darkness and gloom, and the night passed, and they did not come near one another through all the night.</w:t>
      </w:r>
    </w:p>
    <w:p>
      <w:r>
        <w:rPr>
          <w:b/>
        </w:rPr>
        <w:t xml:space="preserve">21 </w:t>
      </w:r>
      <w:r>
        <w:t xml:space="preserve">Then Moses stretched</w:t>
      </w:r>
      <w:r>
        <w:rPr>
          <w:rStyle w:val="FootnoteReference"/>
        </w:rPr>
        <w:footnoteReference w:id="1567"/>
      </w:r>
      <w:r>
        <w:t xml:space="preserve"> out his hand over the sea, and the Lord drew back the sea by a violent south wind all night, and he made the sea dry, and the water was split.</w:t>
      </w:r>
    </w:p>
    <w:p>
      <w:r>
        <w:rPr>
          <w:b/>
        </w:rPr>
        <w:t xml:space="preserve">22 </w:t>
      </w:r>
      <w:r>
        <w:t xml:space="preserve">And the sons of Israel entered into the midst of the sea on dry ground, and the water was a wall</w:t>
      </w:r>
      <w:r>
        <w:rPr>
          <w:rStyle w:val="FootnoteReference"/>
        </w:rPr>
        <w:footnoteReference w:id="1568"/>
      </w:r>
      <w:r>
        <w:t xml:space="preserve"> for them on the right and a wall on the left.</w:t>
      </w:r>
    </w:p>
    <w:p>
      <w:r>
        <w:rPr>
          <w:b/>
        </w:rPr>
        <w:t xml:space="preserve">23 </w:t>
      </w:r>
      <w:r>
        <w:t xml:space="preserve">Then the Egyptians pursued and went in after them into the midst of the sea, all Pharaoh's horses, chariots, and riders.</w:t>
      </w:r>
      <w:r>
        <w:rPr>
          <w:rStyle w:val="FootnoteReference"/>
        </w:rPr>
        <w:footnoteReference w:id="1569"/>
      </w:r>
      <w:r>
        <w:t xml:space="preserve"/>
      </w:r>
    </w:p>
    <w:p>
      <w:r>
        <w:rPr>
          <w:b/>
        </w:rPr>
        <w:t xml:space="preserve">24 </w:t>
      </w:r>
      <w:r>
        <w:t xml:space="preserve">And in the morning watch the Lord looked upon the camp of the Egyptians through the pillar of fire and cloud, and he threw the camp of the Egyptians into confusion.</w:t>
      </w:r>
    </w:p>
    <w:p>
      <w:r>
        <w:rPr>
          <w:b/>
        </w:rPr>
        <w:t xml:space="preserve">25 </w:t>
      </w:r>
      <w:r>
        <w:t xml:space="preserve">And he bound the axles of their chariots and made them drive with difficulty. And the Egyptians said, "Let us flee</w:t>
      </w:r>
      <w:r>
        <w:rPr>
          <w:rStyle w:val="FootnoteReference"/>
        </w:rPr>
        <w:footnoteReference w:id="1570"/>
      </w:r>
      <w:r>
        <w:t xml:space="preserve"> from before Israel, for the Lord fights for them against the Egyptians."</w:t>
      </w:r>
    </w:p>
    <w:p>
      <w:r>
        <w:rPr>
          <w:b/>
        </w:rPr>
        <w:t xml:space="preserve">26 </w:t>
      </w:r>
      <w:r>
        <w:t xml:space="preserve">Then the Lord said to Moses, "Stretch out</w:t>
      </w:r>
      <w:r>
        <w:rPr>
          <w:rStyle w:val="FootnoteReference"/>
        </w:rPr>
        <w:footnoteReference w:id="1571"/>
      </w:r>
      <w:r>
        <w:t xml:space="preserve"> your hand over the sea, and let the water return and cover the Egyptians, both the chariots and the riders."</w:t>
      </w:r>
    </w:p>
    <w:p>
      <w:r>
        <w:rPr>
          <w:b/>
        </w:rPr>
        <w:t xml:space="preserve">27 </w:t>
      </w:r>
      <w:r>
        <w:t xml:space="preserve">And Moses stretched out his hand over the sea, and the water returned toward day to its place. And the Egyptians fled down into the water, and the Lord shook the Egyptians off into the midst of the sea.</w:t>
      </w:r>
    </w:p>
    <w:p>
      <w:r>
        <w:rPr>
          <w:b/>
        </w:rPr>
        <w:t xml:space="preserve">28 </w:t>
      </w:r>
      <w:r>
        <w:t xml:space="preserve">And the water returned and covered the chariots and the riders and all Pharaoh's force, those who had gone in after them into the sea. Not even one of them was left.</w:t>
      </w:r>
    </w:p>
    <w:p>
      <w:r>
        <w:rPr>
          <w:b/>
        </w:rPr>
        <w:t xml:space="preserve">29 </w:t>
      </w:r>
      <w:r>
        <w:t xml:space="preserve">But the sons of Israel traveled through dry ground in the midst of the sea, and the water was a wall</w:t>
      </w:r>
      <w:r>
        <w:rPr>
          <w:rStyle w:val="FootnoteReference"/>
        </w:rPr>
        <w:footnoteReference w:id="1572"/>
      </w:r>
      <w:r>
        <w:t xml:space="preserve"> for them on the right and on the left.</w:t>
      </w:r>
    </w:p>
    <w:p>
      <w:r>
        <w:rPr>
          <w:b/>
        </w:rPr>
        <w:t xml:space="preserve">30 </w:t>
      </w:r>
      <w:r>
        <w:t xml:space="preserve">Thus the Lord</w:t>
      </w:r>
      <w:r>
        <w:rPr>
          <w:rStyle w:val="FootnoteReference"/>
        </w:rPr>
        <w:footnoteReference w:id="1573"/>
      </w:r>
      <w:r>
        <w:t xml:space="preserve"> rescued Israel on that day from the hand of the Egyptians, and Israel saw the Egyptians lying dead by the shore of the sea.</w:t>
      </w:r>
    </w:p>
    <w:p>
      <w:r>
        <w:rPr>
          <w:b/>
        </w:rPr>
        <w:t xml:space="preserve">31 </w:t>
      </w:r>
      <w:r>
        <w:t xml:space="preserve">And Israel saw the great hand</w:t>
      </w:r>
      <w:r>
        <w:rPr>
          <w:rStyle w:val="FootnoteReference"/>
        </w:rPr>
        <w:footnoteReference w:id="1574"/>
      </w:r>
      <w:r>
        <w:t xml:space="preserve">, the things the Lord had done against the Egyptians, and the people feared</w:t>
      </w:r>
      <w:r>
        <w:rPr>
          <w:rStyle w:val="FootnoteReference"/>
        </w:rPr>
        <w:footnoteReference w:id="1575"/>
      </w:r>
      <w:r>
        <w:t xml:space="preserve"> the Lord, and they believed God and Moses his attendant.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Then Moses and the sons of Israel sang this song to God and said, "Let us sing to the Lord, for he has been glorified gloriously; horse and rider he has thrown into the sea."</w:t>
      </w:r>
    </w:p>
    <w:p>
      <w:r>
        <w:rPr>
          <w:b/>
        </w:rPr>
        <w:t xml:space="preserve">2 </w:t>
      </w:r>
      <w:r>
        <w:t xml:space="preserve">"He became for me a helper and a shelter for salvation. This is my God</w:t>
      </w:r>
      <w:r>
        <w:rPr>
          <w:rStyle w:val="FootnoteReference"/>
        </w:rPr>
        <w:footnoteReference w:id="1576"/>
      </w:r>
      <w:r>
        <w:t xml:space="preserve">, and I will glorify him, God of my father, and I will exalt him."</w:t>
      </w:r>
      <w:r>
        <w:rPr>
          <w:rStyle w:val="FootnoteReference"/>
        </w:rPr>
        <w:footnoteReference w:id="1577"/>
      </w:r>
      <w:r>
        <w:rPr>
          <w:rStyle w:val="FootnoteReference"/>
        </w:rPr>
        <w:footnoteReference w:id="1578"/>
      </w:r>
    </w:p>
    <w:p>
      <w:r>
        <w:rPr>
          <w:b/>
        </w:rPr>
        <w:t xml:space="preserve">3 </w:t>
      </w:r>
      <w:r>
        <w:t xml:space="preserve">"The Lord shattering wars; the Lord is his name</w:t>
      </w:r>
      <w:r>
        <w:rPr>
          <w:rStyle w:val="FootnoteReference"/>
        </w:rPr>
        <w:footnoteReference w:id="1579"/>
      </w:r>
      <w:r>
        <w:t xml:space="preserve">."</w:t>
      </w:r>
    </w:p>
    <w:p>
      <w:r>
        <w:rPr>
          <w:b/>
        </w:rPr>
        <w:t xml:space="preserve">4 </w:t>
      </w:r>
      <w:r>
        <w:t xml:space="preserve">"Pharaoh's chariots and his force he threw into the sea; chosen</w:t>
      </w:r>
      <w:r>
        <w:rPr>
          <w:rStyle w:val="FootnoteReference"/>
        </w:rPr>
        <w:footnoteReference w:id="1580"/>
      </w:r>
      <w:r>
        <w:t xml:space="preserve"> mounted officers he sank in the Red Sea."</w:t>
      </w:r>
    </w:p>
    <w:p>
      <w:r>
        <w:rPr>
          <w:b/>
        </w:rPr>
        <w:t xml:space="preserve">5 </w:t>
      </w:r>
      <w:r>
        <w:t xml:space="preserve">"The deep covered them; they went down into the depth like a stone."</w:t>
      </w:r>
    </w:p>
    <w:p>
      <w:r>
        <w:rPr>
          <w:b/>
        </w:rPr>
        <w:t xml:space="preserve">6 </w:t>
      </w:r>
      <w:r>
        <w:t xml:space="preserve">"Your right hand</w:t>
      </w:r>
      <w:r>
        <w:rPr>
          <w:rStyle w:val="FootnoteReference"/>
        </w:rPr>
        <w:footnoteReference w:id="1581"/>
      </w:r>
      <w:r>
        <w:t xml:space="preserve">, O Lord, has been glorified in strength; your right hand, O Lord, shattered enemies."</w:t>
      </w:r>
    </w:p>
    <w:p>
      <w:r>
        <w:rPr>
          <w:b/>
        </w:rPr>
        <w:t xml:space="preserve">7 </w:t>
      </w:r>
      <w:r>
        <w:t xml:space="preserve">"And in the abundance of your glory you crushed the adversaries; you sent out your wrath, and it devoured them like stubble."</w:t>
      </w:r>
    </w:p>
    <w:p>
      <w:r>
        <w:rPr>
          <w:b/>
        </w:rPr>
        <w:t xml:space="preserve">8 </w:t>
      </w:r>
      <w:r>
        <w:t xml:space="preserve">"And by the breath of your wrath the water stood apart; the waters congealed like a wall; the waves congealed in the midst of the sea."</w:t>
      </w:r>
    </w:p>
    <w:p>
      <w:r>
        <w:rPr>
          <w:b/>
        </w:rPr>
        <w:t xml:space="preserve">9 </w:t>
      </w:r>
      <w:r>
        <w:t xml:space="preserve">"The enemy said, I will pursue</w:t>
      </w:r>
      <w:r>
        <w:rPr>
          <w:rStyle w:val="FootnoteReference"/>
        </w:rPr>
        <w:footnoteReference w:id="1582"/>
      </w:r>
      <w:r>
        <w:t xml:space="preserve">, I will overtake, I will divide spoil, I will fill my soul, I will kill with my sword, my hand will rule."</w:t>
      </w:r>
    </w:p>
    <w:p>
      <w:r>
        <w:rPr>
          <w:b/>
        </w:rPr>
        <w:t xml:space="preserve">10 </w:t>
      </w:r>
      <w:r>
        <w:t xml:space="preserve">"You sent out your wind, the sea</w:t>
      </w:r>
      <w:r>
        <w:rPr>
          <w:rStyle w:val="FootnoteReference"/>
        </w:rPr>
        <w:footnoteReference w:id="1583"/>
      </w:r>
      <w:r>
        <w:t xml:space="preserve"> covered them; they sank like lead in mighty water."</w:t>
      </w:r>
    </w:p>
    <w:p>
      <w:r>
        <w:rPr>
          <w:b/>
        </w:rPr>
        <w:t xml:space="preserve">11 </w:t>
      </w:r>
      <w:r>
        <w:t xml:space="preserve">"Who is like you among gods, O Lord? Who is like you, glorified among holy ones, wondrous in glories, doing wonders?"</w:t>
      </w:r>
    </w:p>
    <w:p>
      <w:r>
        <w:rPr>
          <w:b/>
        </w:rPr>
        <w:t xml:space="preserve">12 </w:t>
      </w:r>
      <w:r>
        <w:t xml:space="preserve">"You stretched out your right hand; earth swallowed them</w:t>
      </w:r>
      <w:r>
        <w:rPr>
          <w:rStyle w:val="FootnoteReference"/>
        </w:rPr>
        <w:footnoteReference w:id="1584"/>
      </w:r>
      <w:r>
        <w:t xml:space="preserve">."</w:t>
      </w:r>
    </w:p>
    <w:p>
      <w:r>
        <w:rPr>
          <w:b/>
        </w:rPr>
        <w:t xml:space="preserve">13 </w:t>
      </w:r>
      <w:r>
        <w:t xml:space="preserve">"You guided</w:t>
      </w:r>
      <w:r>
        <w:rPr>
          <w:rStyle w:val="FootnoteReference"/>
        </w:rPr>
        <w:footnoteReference w:id="1585"/>
      </w:r>
      <w:r>
        <w:t xml:space="preserve"> in your righteousness this people whom you redeemed; by your strength you led them onward to your holy resting-place."</w:t>
      </w:r>
    </w:p>
    <w:p>
      <w:r>
        <w:rPr>
          <w:b/>
        </w:rPr>
        <w:t xml:space="preserve">14 </w:t>
      </w:r>
      <w:r>
        <w:t xml:space="preserve">"Nations heard and grew angry; pangs seized those dwelling among the Philistines."</w:t>
      </w:r>
    </w:p>
    <w:p>
      <w:r>
        <w:rPr>
          <w:b/>
        </w:rPr>
        <w:t xml:space="preserve">15 </w:t>
      </w:r>
      <w:r>
        <w:t xml:space="preserve">"Then the chiefs of Edom hastened; the rulers of the Moabites, trembling took hold of them; all the inhabitants of Canaan melted away."</w:t>
      </w:r>
    </w:p>
    <w:p>
      <w:r>
        <w:rPr>
          <w:b/>
        </w:rPr>
        <w:t xml:space="preserve">16 </w:t>
      </w:r>
      <w:r>
        <w:t xml:space="preserve">"Let fear and trembling fall upon them; by the greatness of your arm let them turn to stone, until your people pass over, O Lord, until this people passes over, whom you acquired."</w:t>
      </w:r>
    </w:p>
    <w:p>
      <w:r>
        <w:rPr>
          <w:b/>
        </w:rPr>
        <w:t xml:space="preserve">17 </w:t>
      </w:r>
      <w:r>
        <w:t xml:space="preserve">"Bring them in and plant</w:t>
      </w:r>
      <w:r>
        <w:rPr>
          <w:rStyle w:val="FootnoteReference"/>
        </w:rPr>
        <w:footnoteReference w:id="1586"/>
      </w:r>
      <w:r>
        <w:t xml:space="preserve"> them on the mountain of your inheritance, in your prepared dwelling-place, which you prepared, O Lord, the sanctuary, O Lord, which your hands made ready."</w:t>
      </w:r>
    </w:p>
    <w:p>
      <w:r>
        <w:rPr>
          <w:b/>
        </w:rPr>
        <w:t xml:space="preserve">18 </w:t>
      </w:r>
      <w:r>
        <w:t xml:space="preserve">"The Lord reigns forever and beyond."</w:t>
      </w:r>
    </w:p>
    <w:p>
      <w:r>
        <w:rPr>
          <w:b/>
        </w:rPr>
        <w:t xml:space="preserve">19 </w:t>
      </w:r>
      <w:r>
        <w:t xml:space="preserve">For Pharaoh's horse</w:t>
      </w:r>
      <w:r>
        <w:rPr>
          <w:rStyle w:val="FootnoteReference"/>
        </w:rPr>
        <w:footnoteReference w:id="1587"/>
      </w:r>
      <w:r>
        <w:t xml:space="preserve"> went in with chariots and riders into the sea, and the Lord brought the water of the sea upon them. But the sons of Israel traveled on dry ground through the midst of the sea.</w:t>
      </w:r>
    </w:p>
    <w:p>
      <w:r>
        <w:rPr>
          <w:b/>
        </w:rPr>
        <w:t xml:space="preserve">20 </w:t>
      </w:r>
      <w:r>
        <w:t xml:space="preserve">Then Miriam the prophetess</w:t>
      </w:r>
      <w:r>
        <w:rPr>
          <w:rStyle w:val="FootnoteReference"/>
        </w:rPr>
        <w:footnoteReference w:id="1588"/>
      </w:r>
      <w:r>
        <w:t xml:space="preserve">, the sister of Aaron, took the timbrel in her hand, and all the women went out after her with timbrels and dances</w:t>
      </w:r>
      <w:r>
        <w:rPr>
          <w:rStyle w:val="FootnoteReference"/>
        </w:rPr>
        <w:footnoteReference w:id="1589"/>
      </w:r>
      <w:r>
        <w:t xml:space="preserve">.</w:t>
      </w:r>
    </w:p>
    <w:p>
      <w:r>
        <w:rPr>
          <w:b/>
        </w:rPr>
        <w:t xml:space="preserve">21 </w:t>
      </w:r>
      <w:r>
        <w:t xml:space="preserve">And Miriam led them, saying, "Let us sing to the Lord, for he has been glorified gloriously; horse and rider he has thrown into the sea."</w:t>
      </w:r>
    </w:p>
    <w:p>
      <w:r>
        <w:rPr>
          <w:b/>
        </w:rPr>
        <w:t xml:space="preserve">22 </w:t>
      </w:r>
      <w:r>
        <w:t xml:space="preserve">Then Moses moved the sons of Israel away from the Red Sea and led them into the wilderness of Shur</w:t>
      </w:r>
      <w:r>
        <w:rPr>
          <w:rStyle w:val="FootnoteReference"/>
        </w:rPr>
        <w:footnoteReference w:id="1590"/>
      </w:r>
      <w:r>
        <w:t xml:space="preserve">. And they went three days in the wilderness and found no water to drink.</w:t>
      </w:r>
    </w:p>
    <w:p>
      <w:r>
        <w:rPr>
          <w:b/>
        </w:rPr>
        <w:t xml:space="preserve">23 </w:t>
      </w:r>
      <w:r>
        <w:t xml:space="preserve">And they came to Marah</w:t>
      </w:r>
      <w:r>
        <w:rPr>
          <w:rStyle w:val="FootnoteReference"/>
        </w:rPr>
        <w:footnoteReference w:id="1591"/>
      </w:r>
      <w:r>
        <w:t xml:space="preserve">, and they were not able to drink from Marah, for it was bitter. Because of this the name of that place was called Bitterness.</w:t>
      </w:r>
      <w:r>
        <w:rPr>
          <w:rStyle w:val="FootnoteReference"/>
        </w:rPr>
        <w:footnoteReference w:id="1592"/>
      </w:r>
    </w:p>
    <w:p>
      <w:r>
        <w:rPr>
          <w:b/>
        </w:rPr>
        <w:t xml:space="preserve">24 </w:t>
      </w:r>
      <w:r>
        <w:t xml:space="preserve">And the people grumbled against Moses, saying, "What will we drink?"</w:t>
      </w:r>
    </w:p>
    <w:p>
      <w:r>
        <w:rPr>
          <w:b/>
        </w:rPr>
        <w:t xml:space="preserve">25 </w:t>
      </w:r>
      <w:r>
        <w:t xml:space="preserve">Then Moses cried</w:t>
      </w:r>
      <w:r>
        <w:rPr>
          <w:rStyle w:val="FootnoteReference"/>
        </w:rPr>
        <w:footnoteReference w:id="1593"/>
      </w:r>
      <w:r>
        <w:t xml:space="preserve"> out to the Lord, and the Lord showed him a piece of wood, and he cast it into the water, and the water was sweetened. There he set for him ordinances and judgments, and there he tested him.</w:t>
      </w:r>
    </w:p>
    <w:p>
      <w:r>
        <w:rPr>
          <w:b/>
        </w:rPr>
        <w:t xml:space="preserve">26 </w:t>
      </w:r>
      <w:r>
        <w:t xml:space="preserve">And he said, "If in hearing you hear the voice of the Lord your God and do the things pleasing before him and give ear to his commands and keep all his ordinances, every sickness that I brought upon the Egyptians I will not bring upon you, for I am</w:t>
      </w:r>
      <w:r>
        <w:rPr>
          <w:rStyle w:val="FootnoteReference"/>
        </w:rPr>
        <w:footnoteReference w:id="1594"/>
      </w:r>
      <w:r>
        <w:t xml:space="preserve"> the Lord who heals you</w:t>
      </w:r>
      <w:r>
        <w:rPr>
          <w:rStyle w:val="FootnoteReference"/>
        </w:rPr>
        <w:footnoteReference w:id="1595"/>
      </w:r>
      <w:r>
        <w:t xml:space="preserve">."</w:t>
      </w:r>
      <w:r>
        <w:rPr>
          <w:rStyle w:val="FootnoteReference"/>
        </w:rPr>
        <w:footnoteReference w:id="1596"/>
      </w:r>
      <w:r>
        <w:rPr>
          <w:rStyle w:val="FootnoteReference"/>
        </w:rPr>
        <w:footnoteReference w:id="1597"/>
      </w:r>
    </w:p>
    <w:p>
      <w:r>
        <w:rPr>
          <w:b/>
        </w:rPr>
        <w:t xml:space="preserve">27 </w:t>
      </w:r>
      <w:r>
        <w:t xml:space="preserve">And they came to Elim</w:t>
      </w:r>
      <w:r>
        <w:rPr>
          <w:rStyle w:val="FootnoteReference"/>
        </w:rPr>
        <w:footnoteReference w:id="1598"/>
      </w:r>
      <w:r>
        <w:t xml:space="preserve">, and there were there twelve springs of water and seventy trunks of palm trees, and they camped there by the waters.</w:t>
      </w:r>
      <w:r>
        <w:rPr>
          <w:rStyle w:val="FootnoteReference"/>
        </w:rPr>
        <w:footnoteReference w:id="1599"/>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they set out from Elim</w:t>
      </w:r>
      <w:r>
        <w:rPr>
          <w:rStyle w:val="FootnoteReference"/>
        </w:rPr>
        <w:footnoteReference w:id="1600"/>
      </w:r>
      <w:r>
        <w:t xml:space="preserve">, and the whole assembly of the sons of Israel came into the wilderness of Sin</w:t>
      </w:r>
      <w:r>
        <w:rPr>
          <w:rStyle w:val="FootnoteReference"/>
        </w:rPr>
        <w:footnoteReference w:id="1601"/>
      </w:r>
      <w:r>
        <w:t xml:space="preserve">, which is between Elim and Sinai</w:t>
      </w:r>
      <w:r>
        <w:rPr>
          <w:rStyle w:val="FootnoteReference"/>
        </w:rPr>
        <w:footnoteReference w:id="1602"/>
      </w:r>
      <w:r>
        <w:t xml:space="preserve">, on the fifteenth day of the second month after they had come out from the land of Egypt.</w:t>
      </w:r>
    </w:p>
    <w:p>
      <w:r>
        <w:rPr>
          <w:b/>
        </w:rPr>
        <w:t xml:space="preserve">2 </w:t>
      </w:r>
      <w:r>
        <w:t xml:space="preserve">And the whole assembly of the sons of Israel grumbled against Moses and Aaron,</w:t>
      </w:r>
    </w:p>
    <w:p>
      <w:r>
        <w:rPr>
          <w:b/>
        </w:rPr>
        <w:t xml:space="preserve">3 </w:t>
      </w:r>
      <w:r>
        <w:t xml:space="preserve">and the sons of Israel said to them, "If only we had</w:t>
      </w:r>
      <w:r>
        <w:rPr>
          <w:rStyle w:val="FootnoteReference"/>
        </w:rPr>
        <w:footnoteReference w:id="1603"/>
      </w:r>
      <w:r>
        <w:t xml:space="preserve"> died, struck by the Lord</w:t>
      </w:r>
      <w:r>
        <w:rPr>
          <w:rStyle w:val="FootnoteReference"/>
        </w:rPr>
        <w:footnoteReference w:id="1604"/>
      </w:r>
      <w:r>
        <w:t xml:space="preserve"> in the land of Egypt, when we sat by the pots of meat and ate bread to fullness. But you have brought us out into this wilderness to kill this whole assembly with hunger."</w:t>
      </w:r>
    </w:p>
    <w:p>
      <w:r>
        <w:rPr>
          <w:b/>
        </w:rPr>
        <w:t xml:space="preserve">4 </w:t>
      </w:r>
      <w:r>
        <w:t xml:space="preserve">Then the Lord said to Moses, "Behold, I am raining bread for you from heaven</w:t>
      </w:r>
      <w:r>
        <w:rPr>
          <w:rStyle w:val="FootnoteReference"/>
        </w:rPr>
        <w:footnoteReference w:id="1605"/>
      </w:r>
      <w:r>
        <w:t xml:space="preserve">, and the people will go out and gather what is needed for the day, day by day, so that I may test them whether they will walk in my law or not."</w:t>
      </w:r>
    </w:p>
    <w:p>
      <w:r>
        <w:rPr>
          <w:b/>
        </w:rPr>
        <w:t xml:space="preserve">5 </w:t>
      </w:r>
      <w:r>
        <w:t xml:space="preserve">"And it shall be on the sixth day that they will prepare</w:t>
      </w:r>
      <w:r>
        <w:rPr>
          <w:rStyle w:val="FootnoteReference"/>
        </w:rPr>
        <w:footnoteReference w:id="1606"/>
      </w:r>
      <w:r>
        <w:t xml:space="preserve"> what they bring in, and it will be double what they gather, day by day."</w:t>
      </w:r>
    </w:p>
    <w:p>
      <w:r>
        <w:rPr>
          <w:b/>
        </w:rPr>
        <w:t xml:space="preserve">6 </w:t>
      </w:r>
      <w:r>
        <w:t xml:space="preserve">And Moses and Aaron said to the whole assembly of the sons of Israel, "At evening you will know that the Lord</w:t>
      </w:r>
      <w:r>
        <w:rPr>
          <w:rStyle w:val="FootnoteReference"/>
        </w:rPr>
        <w:footnoteReference w:id="1607"/>
      </w:r>
      <w:r>
        <w:t xml:space="preserve"> has brought you out from the land of Egypt,"</w:t>
      </w:r>
    </w:p>
    <w:p>
      <w:r>
        <w:rPr>
          <w:b/>
        </w:rPr>
        <w:t xml:space="preserve">7 </w:t>
      </w:r>
      <w:r>
        <w:t xml:space="preserve">"and in the morning</w:t>
      </w:r>
      <w:r>
        <w:rPr>
          <w:rStyle w:val="FootnoteReference"/>
        </w:rPr>
        <w:footnoteReference w:id="1608"/>
      </w:r>
      <w:r>
        <w:t xml:space="preserve"> you will see the glory of the Lord, because he has heard your grumbling against God. And what are we, that you grumble against us?"</w:t>
      </w:r>
    </w:p>
    <w:p>
      <w:r>
        <w:rPr>
          <w:b/>
        </w:rPr>
        <w:t xml:space="preserve">8 </w:t>
      </w:r>
      <w:r>
        <w:t xml:space="preserve">And Moses said, "This will be when the Lord gives you meat to eat in the evening and bread in the morning to fullness, because the Lord has heard your grumbling that you grumble against us. And what are we? Your grumbling is not against us but against God</w:t>
      </w:r>
      <w:r>
        <w:rPr>
          <w:rStyle w:val="FootnoteReference"/>
        </w:rPr>
        <w:footnoteReference w:id="1609"/>
      </w:r>
      <w:r>
        <w:t xml:space="preserve">."</w:t>
      </w:r>
      <w:r>
        <w:rPr>
          <w:rStyle w:val="FootnoteReference"/>
        </w:rPr>
        <w:footnoteReference w:id="1610"/>
      </w:r>
      <w:r>
        <w:rPr>
          <w:rStyle w:val="FootnoteReference"/>
        </w:rPr>
        <w:footnoteReference w:id="1611"/>
      </w:r>
    </w:p>
    <w:p>
      <w:r>
        <w:rPr>
          <w:b/>
        </w:rPr>
        <w:t xml:space="preserve">9 </w:t>
      </w:r>
      <w:r>
        <w:t xml:space="preserve">Then Moses said to Aaron, "Tell the whole assembly of the sons of Israel, Come near</w:t>
      </w:r>
      <w:r>
        <w:rPr>
          <w:rStyle w:val="FootnoteReference"/>
        </w:rPr>
        <w:footnoteReference w:id="1612"/>
      </w:r>
      <w:r>
        <w:t xml:space="preserve"> before God, for he has heard your grumbling."</w:t>
      </w:r>
    </w:p>
    <w:p>
      <w:r>
        <w:rPr>
          <w:b/>
        </w:rPr>
        <w:t xml:space="preserve">10 </w:t>
      </w:r>
      <w:r>
        <w:t xml:space="preserve">And when Aaron spoke to the whole assembly of the sons of Israel, they turned toward the wilderness, and the glory of the Lord appeared</w:t>
      </w:r>
      <w:r>
        <w:rPr>
          <w:rStyle w:val="FootnoteReference"/>
        </w:rPr>
        <w:footnoteReference w:id="1613"/>
      </w:r>
      <w:r>
        <w:t xml:space="preserve"> in a cloud.</w:t>
      </w:r>
    </w:p>
    <w:p>
      <w:r>
        <w:rPr>
          <w:b/>
        </w:rPr>
        <w:t xml:space="preserve">11 </w:t>
      </w:r>
      <w:r>
        <w:t xml:space="preserve">And the Lord spoke to Moses, saying,</w:t>
      </w:r>
    </w:p>
    <w:p>
      <w:r>
        <w:rPr>
          <w:b/>
        </w:rPr>
        <w:t xml:space="preserve">12 </w:t>
      </w:r>
      <w:r>
        <w:t xml:space="preserve">"I have heard the grumbling of the sons of Israel. Speak to them, saying, Toward evening you shall eat meat</w:t>
      </w:r>
      <w:r>
        <w:rPr>
          <w:rStyle w:val="FootnoteReference"/>
        </w:rPr>
        <w:footnoteReference w:id="1614"/>
      </w:r>
      <w:r>
        <w:t xml:space="preserve">, and in the morning</w:t>
      </w:r>
      <w:r>
        <w:rPr>
          <w:rStyle w:val="FootnoteReference"/>
        </w:rPr>
        <w:footnoteReference w:id="1615"/>
      </w:r>
      <w:r>
        <w:t xml:space="preserve"> you shall be filled with bread, and you shall know that I am the Lord your God."</w:t>
      </w:r>
    </w:p>
    <w:p>
      <w:r>
        <w:rPr>
          <w:b/>
        </w:rPr>
        <w:t xml:space="preserve">13 </w:t>
      </w:r>
      <w:r>
        <w:t xml:space="preserve">And it happened at evening that quail came up and covered the camp</w:t>
      </w:r>
      <w:r>
        <w:rPr>
          <w:rStyle w:val="FootnoteReference"/>
        </w:rPr>
        <w:footnoteReference w:id="1616"/>
      </w:r>
      <w:r>
        <w:t xml:space="preserve">, and in the morning, as the dew</w:t>
      </w:r>
      <w:r>
        <w:rPr>
          <w:rStyle w:val="FootnoteReference"/>
        </w:rPr>
        <w:footnoteReference w:id="1617"/>
      </w:r>
      <w:r>
        <w:t xml:space="preserve"> was settling around the camp,</w:t>
      </w:r>
    </w:p>
    <w:p>
      <w:r>
        <w:rPr>
          <w:b/>
        </w:rPr>
        <w:t xml:space="preserve">14 </w:t>
      </w:r>
      <w:r>
        <w:t xml:space="preserve">behold, over the face of the wilderness was a fine thing, like coriander seed, white like frost upon the earth.</w:t>
      </w:r>
    </w:p>
    <w:p>
      <w:r>
        <w:rPr>
          <w:b/>
        </w:rPr>
        <w:t xml:space="preserve">15 </w:t>
      </w:r>
      <w:r>
        <w:t xml:space="preserve">And when the sons of Israel saw it, they said one to another, "What is this?</w:t>
      </w:r>
      <w:r>
        <w:rPr>
          <w:rStyle w:val="FootnoteReference"/>
        </w:rPr>
        <w:footnoteReference w:id="1618"/>
      </w:r>
      <w:r>
        <w:t xml:space="preserve">" for they did not know what it was. Then Moses said to them, "This is</w:t>
      </w:r>
      <w:r>
        <w:rPr>
          <w:rStyle w:val="FootnoteReference"/>
        </w:rPr>
        <w:footnoteReference w:id="1619"/>
      </w:r>
      <w:r>
        <w:t xml:space="preserve"> the bread that the Lord has given you to eat."</w:t>
      </w:r>
    </w:p>
    <w:p>
      <w:r>
        <w:rPr>
          <w:b/>
        </w:rPr>
        <w:t xml:space="preserve">16 </w:t>
      </w:r>
      <w:r>
        <w:t xml:space="preserve">"This is the word the Lord has commanded: Gather from it, each for those assigned to him, a gomor per head, according to the number of your persons. Each with those in your tent shall gather it."</w:t>
      </w:r>
    </w:p>
    <w:p>
      <w:r>
        <w:rPr>
          <w:b/>
        </w:rPr>
        <w:t xml:space="preserve">17 </w:t>
      </w:r>
      <w:r>
        <w:t xml:space="preserve">And the sons of Israel did so, and some gathered much and some little.</w:t>
      </w:r>
    </w:p>
    <w:p>
      <w:r>
        <w:rPr>
          <w:b/>
        </w:rPr>
        <w:t xml:space="preserve">18 </w:t>
      </w:r>
      <w:r>
        <w:t xml:space="preserve">And when they measured it by the gomor, the one who had much had nothing left over, and the one who had little had no lack. Each gathered according to those assigned to him.</w:t>
      </w:r>
    </w:p>
    <w:p>
      <w:r>
        <w:rPr>
          <w:b/>
        </w:rPr>
        <w:t xml:space="preserve">19 </w:t>
      </w:r>
      <w:r>
        <w:t xml:space="preserve">Then Moses said to them, "Let no one leave any of it until morning."</w:t>
      </w:r>
    </w:p>
    <w:p>
      <w:r>
        <w:rPr>
          <w:b/>
        </w:rPr>
        <w:t xml:space="preserve">20 </w:t>
      </w:r>
      <w:r>
        <w:t xml:space="preserve">But they did not listen to Moses, and some left from it until morning, and it bred worms</w:t>
      </w:r>
      <w:r>
        <w:rPr>
          <w:rStyle w:val="FootnoteReference"/>
        </w:rPr>
        <w:footnoteReference w:id="1620"/>
      </w:r>
      <w:r>
        <w:t xml:space="preserve"> and stank, and Moses was embittered against them.</w:t>
      </w:r>
    </w:p>
    <w:p>
      <w:r>
        <w:rPr>
          <w:b/>
        </w:rPr>
        <w:t xml:space="preserve">21 </w:t>
      </w:r>
      <w:r>
        <w:t xml:space="preserve">And they gathered it morning by morning, each according to what was needed for him. But when the sun grew hot, it melted.</w:t>
      </w:r>
    </w:p>
    <w:p>
      <w:r>
        <w:rPr>
          <w:b/>
        </w:rPr>
        <w:t xml:space="preserve">22 </w:t>
      </w:r>
      <w:r>
        <w:t xml:space="preserve">And it happened on the sixth day that they gathered what was needed double, two gomors for one person. Then all the rulers of the assembly came in and reported it to Moses.</w:t>
      </w:r>
    </w:p>
    <w:p>
      <w:r>
        <w:rPr>
          <w:b/>
        </w:rPr>
        <w:t xml:space="preserve">23 </w:t>
      </w:r>
      <w:r>
        <w:t xml:space="preserve">And Moses said to them, "This is the word the Lord spoke: Tomorrow is Sabbath, a holy rest</w:t>
      </w:r>
      <w:r>
        <w:rPr>
          <w:rStyle w:val="FootnoteReference"/>
        </w:rPr>
        <w:footnoteReference w:id="1621"/>
      </w:r>
      <w:r>
        <w:t xml:space="preserve"> to the Lord. Whatever you will bake, bake, and whatever you will boil, boil, and all that is left over leave stored up until morning."</w:t>
      </w:r>
      <w:r>
        <w:rPr>
          <w:rStyle w:val="FootnoteReference"/>
        </w:rPr>
        <w:footnoteReference w:id="1622"/>
      </w:r>
    </w:p>
    <w:p>
      <w:r>
        <w:rPr>
          <w:b/>
        </w:rPr>
        <w:t xml:space="preserve">24 </w:t>
      </w:r>
      <w:r>
        <w:t xml:space="preserve">And they left some of it until morning, just as Moses commanded them, and it did not stink, nor did a worm appear in it.</w:t>
      </w:r>
    </w:p>
    <w:p>
      <w:r>
        <w:rPr>
          <w:b/>
        </w:rPr>
        <w:t xml:space="preserve">25 </w:t>
      </w:r>
      <w:r>
        <w:t xml:space="preserve">Then Moses said, "Eat it today, for today is Sabbath to the Lord. Today it will not be found in the field."</w:t>
      </w:r>
    </w:p>
    <w:p>
      <w:r>
        <w:rPr>
          <w:b/>
        </w:rPr>
        <w:t xml:space="preserve">26 </w:t>
      </w:r>
      <w:r>
        <w:t xml:space="preserve">"For six days you shall gather it, but on the seventh day is Sabbath, because it will not be on that day."</w:t>
      </w:r>
    </w:p>
    <w:p>
      <w:r>
        <w:rPr>
          <w:b/>
        </w:rPr>
        <w:t xml:space="preserve">27 </w:t>
      </w:r>
      <w:r>
        <w:t xml:space="preserve">And it happened on the seventh day that some of the people went out to gather, and they found none</w:t>
      </w:r>
      <w:r>
        <w:rPr>
          <w:rStyle w:val="FootnoteReference"/>
        </w:rPr>
        <w:footnoteReference w:id="1623"/>
      </w:r>
      <w:r>
        <w:t xml:space="preserve">.</w:t>
      </w:r>
    </w:p>
    <w:p>
      <w:r>
        <w:rPr>
          <w:b/>
        </w:rPr>
        <w:t xml:space="preserve">28 </w:t>
      </w:r>
      <w:r>
        <w:t xml:space="preserve">Then the Lord said to Moses, "How long will you refuse to listen to my commands and my law?"</w:t>
      </w:r>
    </w:p>
    <w:p>
      <w:r>
        <w:rPr>
          <w:b/>
        </w:rPr>
        <w:t xml:space="preserve">29 </w:t>
      </w:r>
      <w:r>
        <w:t xml:space="preserve">"See, for the Lord has given you this day as the Sabbath. Because of this he has given you on the sixth day bread for two days. Let each stay in his houses. Let no one go out from his place on the seventh day.</w:t>
      </w:r>
      <w:r>
        <w:rPr>
          <w:rStyle w:val="FootnoteReference"/>
        </w:rPr>
        <w:footnoteReference w:id="1624"/>
      </w:r>
      <w:r>
        <w:t xml:space="preserve">"</w:t>
      </w:r>
    </w:p>
    <w:p>
      <w:r>
        <w:rPr>
          <w:b/>
        </w:rPr>
        <w:t xml:space="preserve">30 </w:t>
      </w:r>
      <w:r>
        <w:t xml:space="preserve">And the people Sabbathed on the seventh day.</w:t>
      </w:r>
    </w:p>
    <w:p>
      <w:r>
        <w:rPr>
          <w:b/>
        </w:rPr>
        <w:t xml:space="preserve">31 </w:t>
      </w:r>
      <w:r>
        <w:t xml:space="preserve">And the sons of Israel called its name Man. It was like white coriander seed, and its taste was like a cake in honey.</w:t>
      </w:r>
    </w:p>
    <w:p>
      <w:r>
        <w:rPr>
          <w:b/>
        </w:rPr>
        <w:t xml:space="preserve">32 </w:t>
      </w:r>
      <w:r>
        <w:t xml:space="preserve">Then Moses said, "This is the word the Lord commanded: Fill the gomor with Man</w:t>
      </w:r>
      <w:r>
        <w:rPr>
          <w:rStyle w:val="FootnoteReference"/>
        </w:rPr>
        <w:footnoteReference w:id="1625"/>
      </w:r>
      <w:r>
        <w:t xml:space="preserve"> for storage throughout your generations, so that they may see the bread that you ate in the wilderness when the Lord brought you out from the land of Egypt."</w:t>
      </w:r>
    </w:p>
    <w:p>
      <w:r>
        <w:rPr>
          <w:b/>
        </w:rPr>
        <w:t xml:space="preserve">33 </w:t>
      </w:r>
      <w:r>
        <w:t xml:space="preserve">And Moses said to Aaron, "Take one golden jar and put into it a full gomor of Man, and you shall place it before God for preservation throughout your generations,"</w:t>
      </w:r>
    </w:p>
    <w:p>
      <w:r>
        <w:rPr>
          <w:b/>
        </w:rPr>
        <w:t xml:space="preserve">34 </w:t>
      </w:r>
      <w:r>
        <w:t xml:space="preserve">just as the Lord commanded Moses, and Aaron placed it before the testimony for preservation.</w:t>
      </w:r>
    </w:p>
    <w:p>
      <w:r>
        <w:rPr>
          <w:b/>
        </w:rPr>
        <w:t xml:space="preserve">35 </w:t>
      </w:r>
      <w:r>
        <w:t xml:space="preserve">And the sons of Israel ate Man forty years</w:t>
      </w:r>
      <w:r>
        <w:rPr>
          <w:rStyle w:val="FootnoteReference"/>
        </w:rPr>
        <w:footnoteReference w:id="1626"/>
      </w:r>
      <w:r>
        <w:t xml:space="preserve">, until they came into an inhabited land. They ate Man until they came to the region of Phoenicia</w:t>
      </w:r>
      <w:r>
        <w:rPr>
          <w:rStyle w:val="FootnoteReference"/>
        </w:rPr>
        <w:footnoteReference w:id="1627"/>
      </w:r>
      <w:r>
        <w:t xml:space="preserve">.</w:t>
      </w:r>
    </w:p>
    <w:p>
      <w:r>
        <w:rPr>
          <w:b/>
        </w:rPr>
        <w:t xml:space="preserve">36 </w:t>
      </w:r>
      <w:r>
        <w:t xml:space="preserve">Now the gomor was the tenth part of three measures.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the whole assembly of the sons of Israel set out from the wilderness of Sin, by their encampments</w:t>
      </w:r>
      <w:r>
        <w:rPr>
          <w:rStyle w:val="FootnoteReference"/>
        </w:rPr>
        <w:footnoteReference w:id="1628"/>
      </w:r>
      <w:r>
        <w:t xml:space="preserve">, according to the word of the Lord, and they camped in Rephidim</w:t>
      </w:r>
      <w:r>
        <w:rPr>
          <w:rStyle w:val="FootnoteReference"/>
        </w:rPr>
        <w:footnoteReference w:id="1629"/>
      </w:r>
      <w:r>
        <w:t xml:space="preserve">. But there was no water for the people to drink.</w:t>
      </w:r>
      <w:r>
        <w:rPr>
          <w:rStyle w:val="FootnoteReference"/>
        </w:rPr>
        <w:footnoteReference w:id="1630"/>
      </w:r>
    </w:p>
    <w:p>
      <w:r>
        <w:rPr>
          <w:b/>
        </w:rPr>
        <w:t xml:space="preserve">2 </w:t>
      </w:r>
      <w:r>
        <w:t xml:space="preserve">And the people reviled Moses, saying, "Give us</w:t>
      </w:r>
      <w:r>
        <w:rPr>
          <w:rStyle w:val="FootnoteReference"/>
        </w:rPr>
        <w:footnoteReference w:id="1631"/>
      </w:r>
      <w:r>
        <w:t xml:space="preserve"> water, so that we may drink." And Moses said to them, "Why do you revile me, and why do you test the Lord?"</w:t>
      </w:r>
    </w:p>
    <w:p>
      <w:r>
        <w:rPr>
          <w:b/>
        </w:rPr>
        <w:t xml:space="preserve">3 </w:t>
      </w:r>
      <w:r>
        <w:t xml:space="preserve">And there the people thirsted for water, and there the people grumbled against Moses, saying, "Why is this? Have you brought us up out from Egypt to kill us and our children and our livestock with thirst?"</w:t>
      </w:r>
    </w:p>
    <w:p>
      <w:r>
        <w:rPr>
          <w:b/>
        </w:rPr>
        <w:t xml:space="preserve">4 </w:t>
      </w:r>
      <w:r>
        <w:t xml:space="preserve">Then Moses cried</w:t>
      </w:r>
      <w:r>
        <w:rPr>
          <w:rStyle w:val="FootnoteReference"/>
        </w:rPr>
        <w:footnoteReference w:id="1632"/>
      </w:r>
      <w:r>
        <w:t xml:space="preserve"> out to the Lord, saying, "What shall I do with this people? A little more and they will stone me."</w:t>
      </w:r>
    </w:p>
    <w:p>
      <w:r>
        <w:rPr>
          <w:b/>
        </w:rPr>
        <w:t xml:space="preserve">5 </w:t>
      </w:r>
      <w:r>
        <w:t xml:space="preserve">And the Lord said to Moses, "Go on</w:t>
      </w:r>
      <w:r>
        <w:rPr>
          <w:rStyle w:val="FootnoteReference"/>
        </w:rPr>
        <w:footnoteReference w:id="1633"/>
      </w:r>
      <w:r>
        <w:t xml:space="preserve"> ahead of this people, and take with yourself some of the elders of the people. And the rod with which you struck the river, take in your hand and go."</w:t>
      </w:r>
    </w:p>
    <w:p>
      <w:r>
        <w:rPr>
          <w:b/>
        </w:rPr>
        <w:t xml:space="preserve">6 </w:t>
      </w:r>
      <w:r>
        <w:t xml:space="preserve">"Look, I am standing</w:t>
      </w:r>
      <w:r>
        <w:rPr>
          <w:rStyle w:val="FootnoteReference"/>
        </w:rPr>
        <w:footnoteReference w:id="1634"/>
      </w:r>
      <w:r>
        <w:t xml:space="preserve"> before you there on the rock in Horeb</w:t>
      </w:r>
      <w:r>
        <w:rPr>
          <w:rStyle w:val="FootnoteReference"/>
        </w:rPr>
        <w:footnoteReference w:id="1635"/>
      </w:r>
      <w:r>
        <w:t xml:space="preserve">, and you shall strike the rock, and water will come out from it, and my people will drink." And Moses did so before the sons of Israel.</w:t>
      </w:r>
    </w:p>
    <w:p>
      <w:r>
        <w:rPr>
          <w:b/>
        </w:rPr>
        <w:t xml:space="preserve">7 </w:t>
      </w:r>
      <w:r>
        <w:t xml:space="preserve">And he called the name of that place Testing and Reviling, because of the reviling of the sons of Israel and because of their testing the Lord, saying, "Is the Lord</w:t>
      </w:r>
      <w:r>
        <w:rPr>
          <w:rStyle w:val="FootnoteReference"/>
        </w:rPr>
        <w:footnoteReference w:id="1636"/>
      </w:r>
      <w:r>
        <w:t xml:space="preserve"> among us or not?"</w:t>
      </w:r>
    </w:p>
    <w:p>
      <w:r>
        <w:rPr>
          <w:b/>
        </w:rPr>
        <w:t xml:space="preserve">8 </w:t>
      </w:r>
      <w:r>
        <w:t xml:space="preserve">Then Amalek came and fought with Israel in Rephidim.</w:t>
      </w:r>
    </w:p>
    <w:p>
      <w:r>
        <w:rPr>
          <w:b/>
        </w:rPr>
        <w:t xml:space="preserve">9 </w:t>
      </w:r>
      <w:r>
        <w:t xml:space="preserve">And Moses said to Joshua</w:t>
      </w:r>
      <w:r>
        <w:rPr>
          <w:rStyle w:val="FootnoteReference"/>
        </w:rPr>
        <w:footnoteReference w:id="1637"/>
      </w:r>
      <w:r>
        <w:t xml:space="preserve">, "Choose</w:t>
      </w:r>
      <w:r>
        <w:rPr>
          <w:rStyle w:val="FootnoteReference"/>
        </w:rPr>
        <w:footnoteReference w:id="1638"/>
      </w:r>
      <w:r>
        <w:t xml:space="preserve"> for yourself strong men and go out and draw up in battle array</w:t>
      </w:r>
      <w:r>
        <w:rPr>
          <w:rStyle w:val="FootnoteReference"/>
        </w:rPr>
        <w:footnoteReference w:id="1639"/>
      </w:r>
      <w:r>
        <w:t xml:space="preserve"> against Amalek tomorrow. And look, I will stand on the top of the hill, and the rod of God will be in my hand."</w:t>
      </w:r>
    </w:p>
    <w:p>
      <w:r>
        <w:rPr>
          <w:b/>
        </w:rPr>
        <w:t xml:space="preserve">10 </w:t>
      </w:r>
      <w:r>
        <w:t xml:space="preserve">And Joshua</w:t>
      </w:r>
      <w:r>
        <w:rPr>
          <w:rStyle w:val="FootnoteReference"/>
        </w:rPr>
        <w:footnoteReference w:id="1640"/>
      </w:r>
      <w:r>
        <w:t xml:space="preserve"> did just as Moses told him, and he went out and drew up in battle array against Amalek. And Moses and Aaron and Hur</w:t>
      </w:r>
      <w:r>
        <w:rPr>
          <w:rStyle w:val="FootnoteReference"/>
        </w:rPr>
        <w:footnoteReference w:id="1641"/>
      </w:r>
      <w:r>
        <w:t xml:space="preserve"> went up to the top of the hill.</w:t>
      </w:r>
    </w:p>
    <w:p>
      <w:r>
        <w:rPr>
          <w:b/>
        </w:rPr>
        <w:t xml:space="preserve">11 </w:t>
      </w:r>
      <w:r>
        <w:t xml:space="preserve">And it happened that whenever Moses lifted up his hands, Israel prevailed, and whenever he let down his hands, Amalek prevailed.</w:t>
      </w:r>
    </w:p>
    <w:p>
      <w:r>
        <w:rPr>
          <w:b/>
        </w:rPr>
        <w:t xml:space="preserve">12 </w:t>
      </w:r>
      <w:r>
        <w:t xml:space="preserve">But Moses' hands</w:t>
      </w:r>
      <w:r>
        <w:rPr>
          <w:rStyle w:val="FootnoteReference"/>
        </w:rPr>
        <w:footnoteReference w:id="1642"/>
      </w:r>
      <w:r>
        <w:t xml:space="preserve"> were heavy, and taking a stone they put it under him, and he sat on it. And Aaron and Hur were supporting his hands, one from this side and one from that side, and Moses' hands became supported</w:t>
      </w:r>
      <w:r>
        <w:rPr>
          <w:rStyle w:val="FootnoteReference"/>
        </w:rPr>
        <w:footnoteReference w:id="1643"/>
      </w:r>
      <w:r>
        <w:t xml:space="preserve"> until the setting of the sun.</w:t>
      </w:r>
    </w:p>
    <w:p>
      <w:r>
        <w:rPr>
          <w:b/>
        </w:rPr>
        <w:t xml:space="preserve">13 </w:t>
      </w:r>
      <w:r>
        <w:t xml:space="preserve">And Joshua routed Amalek and all his people with the slaughter of the sword.</w:t>
      </w:r>
    </w:p>
    <w:p>
      <w:r>
        <w:rPr>
          <w:b/>
        </w:rPr>
        <w:t xml:space="preserve">14 </w:t>
      </w:r>
      <w:r>
        <w:t xml:space="preserve">Then the Lord said to Moses, "Write this as a memorial</w:t>
      </w:r>
      <w:r>
        <w:rPr>
          <w:rStyle w:val="FootnoteReference"/>
        </w:rPr>
        <w:footnoteReference w:id="1644"/>
      </w:r>
      <w:r>
        <w:t xml:space="preserve"> in a book, and put it into the ears of Joshua, for in wiping out I will wipe out the memorial of Amalek from under heaven."</w:t>
      </w:r>
    </w:p>
    <w:p>
      <w:r>
        <w:rPr>
          <w:b/>
        </w:rPr>
        <w:t xml:space="preserve">15 </w:t>
      </w:r>
      <w:r>
        <w:t xml:space="preserve">And Moses built an altar to the Lord and called its name, "The Lord is my refuge</w:t>
      </w:r>
      <w:r>
        <w:rPr>
          <w:rStyle w:val="FootnoteReference"/>
        </w:rPr>
        <w:footnoteReference w:id="1645"/>
      </w:r>
      <w:r>
        <w:t xml:space="preserve">,"</w:t>
      </w:r>
      <w:r>
        <w:rPr>
          <w:rStyle w:val="FootnoteReference"/>
        </w:rPr>
        <w:footnoteReference w:id="1646"/>
      </w:r>
    </w:p>
    <w:p>
      <w:r>
        <w:rPr>
          <w:b/>
        </w:rPr>
        <w:t xml:space="preserve">16 </w:t>
      </w:r>
      <w:r>
        <w:t xml:space="preserve">for with hidden hand the Lord wages war against Amalek from generation to generation.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Jethro</w:t>
      </w:r>
      <w:r>
        <w:rPr>
          <w:rStyle w:val="FootnoteReference"/>
        </w:rPr>
        <w:footnoteReference w:id="1647"/>
      </w:r>
      <w:r>
        <w:t xml:space="preserve">, priest of Midian, the father-in-law of Moses, heard all that the Lord had done for Israel, his own people, for the Lord had brought Israel out from Egypt.</w:t>
      </w:r>
    </w:p>
    <w:p>
      <w:r>
        <w:rPr>
          <w:b/>
        </w:rPr>
        <w:t xml:space="preserve">2 </w:t>
      </w:r>
      <w:r>
        <w:t xml:space="preserve">And Jethro, the father-in-law of Moses, took Zipporah</w:t>
      </w:r>
      <w:r>
        <w:rPr>
          <w:rStyle w:val="FootnoteReference"/>
        </w:rPr>
        <w:footnoteReference w:id="1648"/>
      </w:r>
      <w:r>
        <w:t xml:space="preserve">, the wife of Moses, after her sending away.</w:t>
      </w:r>
      <w:r>
        <w:rPr>
          <w:rStyle w:val="FootnoteReference"/>
        </w:rPr>
        <w:footnoteReference w:id="1649"/>
      </w:r>
    </w:p>
    <w:p>
      <w:r>
        <w:rPr>
          <w:b/>
        </w:rPr>
        <w:t xml:space="preserve">3 </w:t>
      </w:r>
      <w:r>
        <w:t xml:space="preserve">and her two sons</w:t>
      </w:r>
      <w:r>
        <w:rPr>
          <w:rStyle w:val="FootnoteReference"/>
        </w:rPr>
        <w:footnoteReference w:id="1650"/>
      </w:r>
      <w:r>
        <w:t xml:space="preserve">. The name of one was Gershom, saying, "I was a resident alien in a foreign land,"</w:t>
      </w:r>
    </w:p>
    <w:p>
      <w:r>
        <w:rPr>
          <w:b/>
        </w:rPr>
        <w:t xml:space="preserve">4 </w:t>
      </w:r>
      <w:r>
        <w:t xml:space="preserve">and the name of the second was Eliezer</w:t>
      </w:r>
      <w:r>
        <w:rPr>
          <w:rStyle w:val="FootnoteReference"/>
        </w:rPr>
        <w:footnoteReference w:id="1651"/>
      </w:r>
      <w:r>
        <w:t xml:space="preserve">, saying, "For the God of my father is my helper, and he rescued me from the hand of Pharaoh."</w:t>
      </w:r>
    </w:p>
    <w:p>
      <w:r>
        <w:rPr>
          <w:b/>
        </w:rPr>
        <w:t xml:space="preserve">5 </w:t>
      </w:r>
      <w:r>
        <w:t xml:space="preserve">And Jethro, the father-in-law of Moses, and his sons and wife, came out to Moses into the wilderness where he had camped at the mountain of God.</w:t>
      </w:r>
    </w:p>
    <w:p>
      <w:r>
        <w:rPr>
          <w:b/>
        </w:rPr>
        <w:t xml:space="preserve">6 </w:t>
      </w:r>
      <w:r>
        <w:t xml:space="preserve">And word was reported to Moses, saying, "Look, your father-in-law Jethro is coming to you, and your wife and your two sons with him."</w:t>
      </w:r>
    </w:p>
    <w:p>
      <w:r>
        <w:rPr>
          <w:b/>
        </w:rPr>
        <w:t xml:space="preserve">7 </w:t>
      </w:r>
      <w:r>
        <w:t xml:space="preserve">Then Moses went</w:t>
      </w:r>
      <w:r>
        <w:rPr>
          <w:rStyle w:val="FootnoteReference"/>
        </w:rPr>
        <w:footnoteReference w:id="1652"/>
      </w:r>
      <w:r>
        <w:t xml:space="preserve"> out to meet his father-in-law and bowed down to him and kissed him, and they greeted one another and brought him into the tent.</w:t>
      </w:r>
    </w:p>
    <w:p>
      <w:r>
        <w:rPr>
          <w:b/>
        </w:rPr>
        <w:t xml:space="preserve">8 </w:t>
      </w:r>
      <w:r>
        <w:t xml:space="preserve">And Moses recounted to his father-in-law all that the Lord had done to Pharaoh and the Egyptians for Israel's sake, and all the hardship that had come upon them on the way</w:t>
      </w:r>
      <w:r>
        <w:rPr>
          <w:rStyle w:val="FootnoteReference"/>
        </w:rPr>
        <w:footnoteReference w:id="1653"/>
      </w:r>
      <w:r>
        <w:t xml:space="preserve">, and that the Lord had rescued them from the hand of Pharaoh and from the hand of the Egyptians.</w:t>
      </w:r>
      <w:r>
        <w:rPr>
          <w:rStyle w:val="FootnoteReference"/>
        </w:rPr>
        <w:footnoteReference w:id="1654"/>
      </w:r>
    </w:p>
    <w:p>
      <w:r>
        <w:rPr>
          <w:b/>
        </w:rPr>
        <w:t xml:space="preserve">9 </w:t>
      </w:r>
      <w:r>
        <w:t xml:space="preserve">And Jethro was amazed at all the good things that the Lord had done for them, that he had rescued them from the hand of the Egyptians and from the hand of Pharaoh.</w:t>
      </w:r>
    </w:p>
    <w:p>
      <w:r>
        <w:rPr>
          <w:b/>
        </w:rPr>
        <w:t xml:space="preserve">10 </w:t>
      </w:r>
      <w:r>
        <w:t xml:space="preserve">And Jethro said, "Blessed be the Lord, because he has rescued his people from the hand of the Egyptians and from the hand of Pharaoh."</w:t>
      </w:r>
    </w:p>
    <w:p>
      <w:r>
        <w:rPr>
          <w:b/>
        </w:rPr>
        <w:t xml:space="preserve">11 </w:t>
      </w:r>
      <w:r>
        <w:t xml:space="preserve">"Now I</w:t>
      </w:r>
      <w:r>
        <w:rPr>
          <w:rStyle w:val="FootnoteReference"/>
        </w:rPr>
        <w:footnoteReference w:id="1655"/>
      </w:r>
      <w:r>
        <w:t xml:space="preserve"> know that the Lord is great above all the gods, because in this matter they acted arrogantly against them."</w:t>
      </w:r>
    </w:p>
    <w:p>
      <w:r>
        <w:rPr>
          <w:b/>
        </w:rPr>
        <w:t xml:space="preserve">12 </w:t>
      </w:r>
      <w:r>
        <w:t xml:space="preserve">And Jethro, the father-in-law of Moses, took</w:t>
      </w:r>
      <w:r>
        <w:rPr>
          <w:rStyle w:val="FootnoteReference"/>
        </w:rPr>
        <w:footnoteReference w:id="1656"/>
      </w:r>
      <w:r>
        <w:t xml:space="preserve"> whole burnt offerings and sacrifices to God. And Aaron and all the elders of Israel came to eat bread with the father-in-law of Moses before God.</w:t>
      </w:r>
    </w:p>
    <w:p>
      <w:r>
        <w:rPr>
          <w:b/>
        </w:rPr>
        <w:t xml:space="preserve">13 </w:t>
      </w:r>
      <w:r>
        <w:t xml:space="preserve">And it happened on the next day that Moses sat to judge the people, and all the people stood by Moses from morning until evening.</w:t>
      </w:r>
    </w:p>
    <w:p>
      <w:r>
        <w:rPr>
          <w:b/>
        </w:rPr>
        <w:t xml:space="preserve">14 </w:t>
      </w:r>
      <w:r>
        <w:t xml:space="preserve">And when Jethro saw all that Moses was doing for the people, he said, "What is this that you are doing for the people? Why do you sit alone while all the people stand by you from morning until evening?"</w:t>
      </w:r>
    </w:p>
    <w:p>
      <w:r>
        <w:rPr>
          <w:b/>
        </w:rPr>
        <w:t xml:space="preserve">15 </w:t>
      </w:r>
      <w:r>
        <w:t xml:space="preserve">And Moses said to his father-in-law, "Because the people come to me to seek judgment from God."</w:t>
      </w:r>
    </w:p>
    <w:p>
      <w:r>
        <w:rPr>
          <w:b/>
        </w:rPr>
        <w:t xml:space="preserve">16 </w:t>
      </w:r>
      <w:r>
        <w:t xml:space="preserve">"For whenever they have a dispute and come to me, I decide each one and instruct them in the ordinances of God and his law."</w:t>
      </w:r>
    </w:p>
    <w:p>
      <w:r>
        <w:rPr>
          <w:b/>
        </w:rPr>
        <w:t xml:space="preserve">17 </w:t>
      </w:r>
      <w:r>
        <w:t xml:space="preserve">Then the father-in-law of Moses said to him, "This thing that you are doing is not right."</w:t>
      </w:r>
    </w:p>
    <w:p>
      <w:r>
        <w:rPr>
          <w:b/>
        </w:rPr>
        <w:t xml:space="preserve">18 </w:t>
      </w:r>
      <w:r>
        <w:t xml:space="preserve">"With ruin you will wear away, with unbearable exhaustion, both you and all this people that is with you. This thing is too heavy for you. You will not be able to do it alone."</w:t>
      </w:r>
    </w:p>
    <w:p>
      <w:r>
        <w:rPr>
          <w:b/>
        </w:rPr>
        <w:t xml:space="preserve">19 </w:t>
      </w:r>
      <w:r>
        <w:t xml:space="preserve">"Now then, listen to me, and I will advise you, and God will be with you. Be for the people in the things toward God, and you shall bring</w:t>
      </w:r>
      <w:r>
        <w:rPr>
          <w:rStyle w:val="FootnoteReference"/>
        </w:rPr>
        <w:footnoteReference w:id="1657"/>
      </w:r>
      <w:r>
        <w:t xml:space="preserve"> their words to God."</w:t>
      </w:r>
    </w:p>
    <w:p>
      <w:r>
        <w:rPr>
          <w:b/>
        </w:rPr>
        <w:t xml:space="preserve">20 </w:t>
      </w:r>
      <w:r>
        <w:t xml:space="preserve">"And you shall testify to them the ordinances of God and his law, and you shall make known to them the ways in which they shall walk and the works that they shall do."</w:t>
      </w:r>
    </w:p>
    <w:p>
      <w:r>
        <w:rPr>
          <w:b/>
        </w:rPr>
        <w:t xml:space="preserve">21 </w:t>
      </w:r>
      <w:r>
        <w:t xml:space="preserve">"And you, select for yourself from all the people able men</w:t>
      </w:r>
      <w:r>
        <w:rPr>
          <w:rStyle w:val="FootnoteReference"/>
        </w:rPr>
        <w:footnoteReference w:id="1658"/>
      </w:r>
      <w:r>
        <w:t xml:space="preserve">, God-fearing men, righteous men, hating arrogance</w:t>
      </w:r>
      <w:r>
        <w:rPr>
          <w:rStyle w:val="FootnoteReference"/>
        </w:rPr>
        <w:footnoteReference w:id="1659"/>
      </w:r>
      <w:r>
        <w:t xml:space="preserve">, and you shall appoint them over them as commanders of thousands and hundreds and fifties and tens."</w:t>
      </w:r>
    </w:p>
    <w:p>
      <w:r>
        <w:rPr>
          <w:b/>
        </w:rPr>
        <w:t xml:space="preserve">22 </w:t>
      </w:r>
      <w:r>
        <w:t xml:space="preserve">"And they shall judge the people at every hour. The over-large matter they shall bring to you, but the small cases they shall judge themselves, and they shall lighten the load from you and help you."</w:t>
      </w:r>
    </w:p>
    <w:p>
      <w:r>
        <w:rPr>
          <w:b/>
        </w:rPr>
        <w:t xml:space="preserve">23 </w:t>
      </w:r>
      <w:r>
        <w:t xml:space="preserve">"If you do this thing, God will strengthen you, and you will be able to stand, and all this</w:t>
      </w:r>
      <w:r>
        <w:rPr>
          <w:rStyle w:val="FootnoteReference"/>
        </w:rPr>
        <w:footnoteReference w:id="1660"/>
      </w:r>
      <w:r>
        <w:t xml:space="preserve"> people will come to its own place with peace."</w:t>
      </w:r>
    </w:p>
    <w:p>
      <w:r>
        <w:rPr>
          <w:b/>
        </w:rPr>
        <w:t xml:space="preserve">24 </w:t>
      </w:r>
      <w:r>
        <w:t xml:space="preserve">And Moses listened to the voice of his father-in-law and did all that he said to him.</w:t>
      </w:r>
    </w:p>
    <w:p>
      <w:r>
        <w:rPr>
          <w:b/>
        </w:rPr>
        <w:t xml:space="preserve">25 </w:t>
      </w:r>
      <w:r>
        <w:t xml:space="preserve">And Moses chose able men from all Israel and made them over the people as commanders of thousands and hundreds and fifties and tens</w:t>
      </w:r>
      <w:r>
        <w:rPr>
          <w:rStyle w:val="FootnoteReference"/>
        </w:rPr>
        <w:footnoteReference w:id="1661"/>
      </w:r>
      <w:r>
        <w:t xml:space="preserve">.</w:t>
      </w:r>
    </w:p>
    <w:p>
      <w:r>
        <w:rPr>
          <w:b/>
        </w:rPr>
        <w:t xml:space="preserve">26 </w:t>
      </w:r>
      <w:r>
        <w:t xml:space="preserve">And they judged the people at every hour. Every over-large matter they brought to Moses, but every light matter they judged themselves.</w:t>
      </w:r>
    </w:p>
    <w:p>
      <w:r>
        <w:rPr>
          <w:b/>
        </w:rPr>
        <w:t xml:space="preserve">27 </w:t>
      </w:r>
      <w:r>
        <w:t xml:space="preserve">Then Moses sent away his father-in-law, and he went to his own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in the third</w:t>
      </w:r>
      <w:r>
        <w:rPr>
          <w:rStyle w:val="FootnoteReference"/>
        </w:rPr>
        <w:footnoteReference w:id="1662"/>
      </w:r>
      <w:r>
        <w:t xml:space="preserve"> month of the departure of the sons of Israel from the land of Egypt, on this day they came into the wilderness of Sinai.</w:t>
      </w:r>
    </w:p>
    <w:p>
      <w:r>
        <w:rPr>
          <w:b/>
        </w:rPr>
        <w:t xml:space="preserve">2 </w:t>
      </w:r>
      <w:r>
        <w:t xml:space="preserve">And they set out from Rephidim</w:t>
      </w:r>
      <w:r>
        <w:rPr>
          <w:rStyle w:val="FootnoteReference"/>
        </w:rPr>
        <w:footnoteReference w:id="1663"/>
      </w:r>
      <w:r>
        <w:t xml:space="preserve"> and came into the wilderness of Sinai, and Israel camped there opposite the mountain.</w:t>
      </w:r>
    </w:p>
    <w:p>
      <w:r>
        <w:rPr>
          <w:b/>
        </w:rPr>
        <w:t xml:space="preserve">3 </w:t>
      </w:r>
      <w:r>
        <w:t xml:space="preserve">And Moses went up</w:t>
      </w:r>
      <w:r>
        <w:rPr>
          <w:rStyle w:val="FootnoteReference"/>
        </w:rPr>
        <w:footnoteReference w:id="1664"/>
      </w:r>
      <w:r>
        <w:t xml:space="preserve"> to the mountain of God, and God called to him from the mountain, saying, "These things you shall say to the house of Jacob, and you shall announce to the sons of Israel:"</w:t>
      </w:r>
    </w:p>
    <w:p>
      <w:r>
        <w:rPr>
          <w:b/>
        </w:rPr>
        <w:t xml:space="preserve">4 </w:t>
      </w:r>
      <w:r>
        <w:t xml:space="preserve">"You yourselves have seen</w:t>
      </w:r>
      <w:r>
        <w:rPr>
          <w:rStyle w:val="FootnoteReference"/>
        </w:rPr>
        <w:footnoteReference w:id="1665"/>
      </w:r>
      <w:r>
        <w:t xml:space="preserve"> what I did to the Egyptians, and I took you up as on the wings of eagles, and I brought you near to myself."</w:t>
      </w:r>
    </w:p>
    <w:p>
      <w:r>
        <w:rPr>
          <w:b/>
        </w:rPr>
        <w:t xml:space="preserve">5 </w:t>
      </w:r>
      <w:r>
        <w:t xml:space="preserve">"And now, if in hearing you hear my voice and keep</w:t>
      </w:r>
      <w:r>
        <w:rPr>
          <w:rStyle w:val="FootnoteReference"/>
        </w:rPr>
        <w:footnoteReference w:id="1666"/>
      </w:r>
      <w:r>
        <w:t xml:space="preserve"> my covenant, you shall be to me a people of special possession from among all the nations, for the whole earth is mine."</w:t>
      </w:r>
    </w:p>
    <w:p>
      <w:r>
        <w:rPr>
          <w:b/>
        </w:rPr>
        <w:t xml:space="preserve">6 </w:t>
      </w:r>
      <w:r>
        <w:t xml:space="preserve">"And you shall be to me a royal priesthood and a holy nation. These are the words you shall speak to the sons of Israel."</w:t>
      </w:r>
    </w:p>
    <w:p>
      <w:r>
        <w:rPr>
          <w:b/>
        </w:rPr>
        <w:t xml:space="preserve">7 </w:t>
      </w:r>
      <w:r>
        <w:t xml:space="preserve">Then Moses came and called the elders</w:t>
      </w:r>
      <w:r>
        <w:rPr>
          <w:rStyle w:val="FootnoteReference"/>
        </w:rPr>
        <w:footnoteReference w:id="1667"/>
      </w:r>
      <w:r>
        <w:t xml:space="preserve"> of the people and set before them all these words that God had commanded him.</w:t>
      </w:r>
    </w:p>
    <w:p>
      <w:r>
        <w:rPr>
          <w:b/>
        </w:rPr>
        <w:t xml:space="preserve">8 </w:t>
      </w:r>
      <w:r>
        <w:t xml:space="preserve">And all the people answered with one accord and said, "All that God has spoken, we will do and we will hear." And Moses carried the words of the people up to God.</w:t>
      </w:r>
    </w:p>
    <w:p>
      <w:r>
        <w:rPr>
          <w:b/>
        </w:rPr>
        <w:t xml:space="preserve">9 </w:t>
      </w:r>
      <w:r>
        <w:t xml:space="preserve">Then the Lord said to Moses, "Look, I am coming to you in a pillar of cloud, so that the people may hear me speaking with you and may trust you forever." And Moses reported the words of the people to the Lord.</w:t>
      </w:r>
    </w:p>
    <w:p>
      <w:r>
        <w:rPr>
          <w:b/>
        </w:rPr>
        <w:t xml:space="preserve">10 </w:t>
      </w:r>
      <w:r>
        <w:t xml:space="preserve">And the Lord said to Moses, "Go down and solemnly warn the people, and purify them today and tomorrow, and let them wash</w:t>
      </w:r>
      <w:r>
        <w:rPr>
          <w:rStyle w:val="FootnoteReference"/>
        </w:rPr>
        <w:footnoteReference w:id="1668"/>
      </w:r>
      <w:r>
        <w:t xml:space="preserve"> their garments,"</w:t>
      </w:r>
    </w:p>
    <w:p>
      <w:r>
        <w:rPr>
          <w:b/>
        </w:rPr>
        <w:t xml:space="preserve">11 </w:t>
      </w:r>
      <w:r>
        <w:t xml:space="preserve">"and let them be ready for the third day, for on the third day the Lord</w:t>
      </w:r>
      <w:r>
        <w:rPr>
          <w:rStyle w:val="FootnoteReference"/>
        </w:rPr>
        <w:footnoteReference w:id="1669"/>
      </w:r>
      <w:r>
        <w:t xml:space="preserve"> will come down upon Mount Sinai before all the people."</w:t>
      </w:r>
    </w:p>
    <w:p>
      <w:r>
        <w:rPr>
          <w:b/>
        </w:rPr>
        <w:t xml:space="preserve">12 </w:t>
      </w:r>
      <w:r>
        <w:t xml:space="preserve">"And you shall mark off the people all around</w:t>
      </w:r>
      <w:r>
        <w:rPr>
          <w:rStyle w:val="FootnoteReference"/>
        </w:rPr>
        <w:footnoteReference w:id="1670"/>
      </w:r>
      <w:r>
        <w:t xml:space="preserve">, saying, Take</w:t>
      </w:r>
      <w:r>
        <w:rPr>
          <w:rStyle w:val="FootnoteReference"/>
        </w:rPr>
        <w:footnoteReference w:id="1671"/>
      </w:r>
      <w:r>
        <w:t xml:space="preserve"> heed for yourselves not to go up on the mountain or touch any part of it. Everyone who touches the mountain shall surely die."</w:t>
      </w:r>
    </w:p>
    <w:p>
      <w:r>
        <w:rPr>
          <w:b/>
        </w:rPr>
        <w:t xml:space="preserve">13 </w:t>
      </w:r>
      <w:r>
        <w:t xml:space="preserve">"No hand shall touch him, for he shall certainly be stoned with stones or shot through with a missile. Whether</w:t>
      </w:r>
      <w:r>
        <w:rPr>
          <w:rStyle w:val="FootnoteReference"/>
        </w:rPr>
        <w:footnoteReference w:id="1672"/>
      </w:r>
      <w:r>
        <w:t xml:space="preserve"> beast or man, he shall not live. When the voices and the trumpets and the cloud depart from the mountain, they may come up on the mountain."</w:t>
      </w:r>
    </w:p>
    <w:p>
      <w:r>
        <w:rPr>
          <w:b/>
        </w:rPr>
        <w:t xml:space="preserve">14 </w:t>
      </w:r>
      <w:r>
        <w:t xml:space="preserve">Then Moses went down from the mountain to the people and sanctified</w:t>
      </w:r>
      <w:r>
        <w:rPr>
          <w:rStyle w:val="FootnoteReference"/>
        </w:rPr>
        <w:footnoteReference w:id="1673"/>
      </w:r>
      <w:r>
        <w:t xml:space="preserve"> them, and they washed their garments.</w:t>
      </w:r>
    </w:p>
    <w:p>
      <w:r>
        <w:rPr>
          <w:b/>
        </w:rPr>
        <w:t xml:space="preserve">15 </w:t>
      </w:r>
      <w:r>
        <w:t xml:space="preserve">And he said to the people, "Be ready</w:t>
      </w:r>
      <w:r>
        <w:rPr>
          <w:rStyle w:val="FootnoteReference"/>
        </w:rPr>
        <w:footnoteReference w:id="1674"/>
      </w:r>
      <w:r>
        <w:t xml:space="preserve"> for three days. Do not come near a woman."</w:t>
      </w:r>
    </w:p>
    <w:p>
      <w:r>
        <w:rPr>
          <w:b/>
        </w:rPr>
        <w:t xml:space="preserve">16 </w:t>
      </w:r>
      <w:r>
        <w:t xml:space="preserve">And it happened on the third day, when morning came, that there were voices and lightnings and a gloomy cloud</w:t>
      </w:r>
      <w:r>
        <w:rPr>
          <w:rStyle w:val="FootnoteReference"/>
        </w:rPr>
        <w:footnoteReference w:id="1675"/>
      </w:r>
      <w:r>
        <w:t xml:space="preserve"> on Mount Sinai. The sound of the trumpet rang out loudly, and all the people</w:t>
      </w:r>
      <w:r>
        <w:rPr>
          <w:rStyle w:val="FootnoteReference"/>
        </w:rPr>
        <w:footnoteReference w:id="1676"/>
      </w:r>
      <w:r>
        <w:t xml:space="preserve"> in the camp were terrified.</w:t>
      </w:r>
    </w:p>
    <w:p>
      <w:r>
        <w:rPr>
          <w:b/>
        </w:rPr>
        <w:t xml:space="preserve">17 </w:t>
      </w:r>
      <w:r>
        <w:t xml:space="preserve">And Moses brought the people out from the camp to meet God, and they stood beneath the mountain.</w:t>
      </w:r>
    </w:p>
    <w:p>
      <w:r>
        <w:rPr>
          <w:b/>
        </w:rPr>
        <w:t xml:space="preserve">18 </w:t>
      </w:r>
      <w:r>
        <w:t xml:space="preserve">And Mount Sinai</w:t>
      </w:r>
      <w:r>
        <w:rPr>
          <w:rStyle w:val="FootnoteReference"/>
        </w:rPr>
        <w:footnoteReference w:id="1677"/>
      </w:r>
      <w:r>
        <w:t xml:space="preserve"> smoked all over because God had come down upon it in fire, and the smoke went up like the smoke of a furnace, and all the people were exceedingly astonished.</w:t>
      </w:r>
    </w:p>
    <w:p>
      <w:r>
        <w:rPr>
          <w:b/>
        </w:rPr>
        <w:t xml:space="preserve">19 </w:t>
      </w:r>
      <w:r>
        <w:t xml:space="preserve">And the sounds of the trumpet kept advancing, growing much stronger. Moses</w:t>
      </w:r>
      <w:r>
        <w:rPr>
          <w:rStyle w:val="FootnoteReference"/>
        </w:rPr>
        <w:footnoteReference w:id="1678"/>
      </w:r>
      <w:r>
        <w:t xml:space="preserve"> was speaking, and God answered him with a voice.</w:t>
      </w:r>
    </w:p>
    <w:p>
      <w:r>
        <w:rPr>
          <w:b/>
        </w:rPr>
        <w:t xml:space="preserve">20 </w:t>
      </w:r>
      <w:r>
        <w:t xml:space="preserve">And the Lord came</w:t>
      </w:r>
      <w:r>
        <w:rPr>
          <w:rStyle w:val="FootnoteReference"/>
        </w:rPr>
        <w:footnoteReference w:id="1679"/>
      </w:r>
      <w:r>
        <w:t xml:space="preserve"> down on Mount Sinai, on the top of the mountain, and the Lord called Moses to the top of the mountain, and Moses went up.</w:t>
      </w:r>
    </w:p>
    <w:p>
      <w:r>
        <w:rPr>
          <w:b/>
        </w:rPr>
        <w:t xml:space="preserve">21 </w:t>
      </w:r>
      <w:r>
        <w:t xml:space="preserve">And God said to Moses, saying, "Go down and solemnly warn the people lest they draw near to God to gaze, and a multitude from among them fall."</w:t>
      </w:r>
    </w:p>
    <w:p>
      <w:r>
        <w:rPr>
          <w:b/>
        </w:rPr>
        <w:t xml:space="preserve">22 </w:t>
      </w:r>
      <w:r>
        <w:t xml:space="preserve">"And let the priests</w:t>
      </w:r>
      <w:r>
        <w:rPr>
          <w:rStyle w:val="FootnoteReference"/>
        </w:rPr>
        <w:footnoteReference w:id="1680"/>
      </w:r>
      <w:r>
        <w:t xml:space="preserve"> who draw near to the Lord God sanctify themselves, lest the Lord break out against some of them."</w:t>
      </w:r>
    </w:p>
    <w:p>
      <w:r>
        <w:rPr>
          <w:b/>
        </w:rPr>
        <w:t xml:space="preserve">23 </w:t>
      </w:r>
      <w:r>
        <w:t xml:space="preserve">And Moses said to God, "The people will not be able to come up to Mount Sinai, for you yourself solemnly warned us, saying, Mark</w:t>
      </w:r>
      <w:r>
        <w:rPr>
          <w:rStyle w:val="FootnoteReference"/>
        </w:rPr>
        <w:footnoteReference w:id="1681"/>
      </w:r>
      <w:r>
        <w:t xml:space="preserve"> off the mountain and sanctify it."</w:t>
      </w:r>
    </w:p>
    <w:p>
      <w:r>
        <w:rPr>
          <w:b/>
        </w:rPr>
        <w:t xml:space="preserve">24 </w:t>
      </w:r>
      <w:r>
        <w:t xml:space="preserve">And the Lord said to him, "Go, go down, and then come up, you and Aaron with you. But let</w:t>
      </w:r>
      <w:r>
        <w:rPr>
          <w:rStyle w:val="FootnoteReference"/>
        </w:rPr>
        <w:footnoteReference w:id="1682"/>
      </w:r>
      <w:r>
        <w:t xml:space="preserve"> not the priests and the people force their way to come up to God, lest the Lord destroy some of them."</w:t>
      </w:r>
    </w:p>
    <w:p>
      <w:r>
        <w:rPr>
          <w:b/>
        </w:rPr>
        <w:t xml:space="preserve">25 </w:t>
      </w:r>
      <w:r>
        <w:t xml:space="preserve">Then Moses went down to the people and spoke to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the Lord spoke all these words, saying,</w:t>
      </w:r>
    </w:p>
    <w:p>
      <w:r>
        <w:rPr>
          <w:b/>
        </w:rPr>
        <w:t xml:space="preserve">2 </w:t>
      </w:r>
      <w:r>
        <w:t xml:space="preserve">"I am the Lord</w:t>
      </w:r>
      <w:r>
        <w:rPr>
          <w:rStyle w:val="FootnoteReference"/>
        </w:rPr>
        <w:footnoteReference w:id="1683"/>
      </w:r>
      <w:r>
        <w:t xml:space="preserve"> your God, who brought you out from the land of Egypt, out of the house of slavery."</w:t>
      </w:r>
    </w:p>
    <w:p>
      <w:r>
        <w:rPr>
          <w:b/>
        </w:rPr>
        <w:t xml:space="preserve">3 </w:t>
      </w:r>
      <w:r>
        <w:t xml:space="preserve">"No other gods shall be yours besides me."</w:t>
      </w:r>
    </w:p>
    <w:p>
      <w:r>
        <w:rPr>
          <w:b/>
        </w:rPr>
        <w:t xml:space="preserve">4 </w:t>
      </w:r>
      <w:r>
        <w:t xml:space="preserve">"You shall not make for yourself an idol</w:t>
      </w:r>
      <w:r>
        <w:rPr>
          <w:rStyle w:val="FootnoteReference"/>
        </w:rPr>
        <w:footnoteReference w:id="1684"/>
      </w:r>
      <w:r>
        <w:t xml:space="preserve">, nor any likeness of whatever is in heaven above and whatever is in the earth below and whatever is in the waters beneath the earth."</w:t>
      </w:r>
    </w:p>
    <w:p>
      <w:r>
        <w:rPr>
          <w:b/>
        </w:rPr>
        <w:t xml:space="preserve">5 </w:t>
      </w:r>
      <w:r>
        <w:t xml:space="preserve">"You shall not bow down</w:t>
      </w:r>
      <w:r>
        <w:rPr>
          <w:rStyle w:val="FootnoteReference"/>
        </w:rPr>
        <w:footnoteReference w:id="1685"/>
      </w:r>
      <w:r>
        <w:t xml:space="preserve"> to them, nor indeed serve them, for I am the Lord your God, a jealous God, repaying fathers' sins upon children to the third and fourth generation of those who hate me,"</w:t>
      </w:r>
    </w:p>
    <w:p>
      <w:r>
        <w:rPr>
          <w:b/>
        </w:rPr>
        <w:t xml:space="preserve">6 </w:t>
      </w:r>
      <w:r>
        <w:t xml:space="preserve">"and showing mercy into thousands</w:t>
      </w:r>
      <w:r>
        <w:rPr>
          <w:rStyle w:val="FootnoteReference"/>
        </w:rPr>
        <w:footnoteReference w:id="1686"/>
      </w:r>
      <w:r>
        <w:t xml:space="preserve"> for those who love me and keep my commandments."</w:t>
      </w:r>
      <w:r>
        <w:rPr>
          <w:rStyle w:val="FootnoteReference"/>
        </w:rPr>
        <w:footnoteReference w:id="1687"/>
      </w:r>
    </w:p>
    <w:p>
      <w:r>
        <w:rPr>
          <w:b/>
        </w:rPr>
        <w:t xml:space="preserve">7 </w:t>
      </w:r>
      <w:r>
        <w:t xml:space="preserve">"You shall not take</w:t>
      </w:r>
      <w:r>
        <w:rPr>
          <w:rStyle w:val="FootnoteReference"/>
        </w:rPr>
        <w:footnoteReference w:id="1688"/>
      </w:r>
      <w:r>
        <w:t xml:space="preserve"> the name of the Lord your God in vain</w:t>
      </w:r>
      <w:r>
        <w:rPr>
          <w:rStyle w:val="FootnoteReference"/>
        </w:rPr>
        <w:footnoteReference w:id="1689"/>
      </w:r>
      <w:r>
        <w:t xml:space="preserve">, for the Lord will certainly not clear the one who takes his name in vain."</w:t>
      </w:r>
    </w:p>
    <w:p>
      <w:r>
        <w:rPr>
          <w:b/>
        </w:rPr>
        <w:t xml:space="preserve">8 </w:t>
      </w:r>
      <w:r>
        <w:t xml:space="preserve">"Remember the day of the Sabbaths, to keep it holy."</w:t>
      </w:r>
    </w:p>
    <w:p>
      <w:r>
        <w:rPr>
          <w:b/>
        </w:rPr>
        <w:t xml:space="preserve">9 </w:t>
      </w:r>
      <w:r>
        <w:t xml:space="preserve">"For six days you shall work and do all your works,</w:t>
      </w:r>
      <w:r>
        <w:rPr>
          <w:rStyle w:val="FootnoteReference"/>
        </w:rPr>
        <w:footnoteReference w:id="1690"/>
      </w:r>
      <w:r>
        <w:t xml:space="preserve">"</w:t>
      </w:r>
    </w:p>
    <w:p>
      <w:r>
        <w:rPr>
          <w:b/>
        </w:rPr>
        <w:t xml:space="preserve">10 </w:t>
      </w:r>
      <w:r>
        <w:t xml:space="preserve">"but the seventh</w:t>
      </w:r>
      <w:r>
        <w:rPr>
          <w:rStyle w:val="FootnoteReference"/>
        </w:rPr>
        <w:footnoteReference w:id="1691"/>
      </w:r>
      <w:r>
        <w:t xml:space="preserve"> day is Sabbath to the Lord your God. On it you shall do no work, you and your son and your daughter, your male servant and your female servant, your ox and your pack animal and every beast of yours and the newcomer staying among you."</w:t>
      </w:r>
    </w:p>
    <w:p>
      <w:r>
        <w:rPr>
          <w:b/>
        </w:rPr>
        <w:t xml:space="preserve">11 </w:t>
      </w:r>
      <w:r>
        <w:t xml:space="preserve">"For in six days the Lord made heaven and earth and the sea and everything in them, and he rested on the seventh day. Therefore the Lord blessed the seventh day and sanctified it."</w:t>
      </w:r>
    </w:p>
    <w:p>
      <w:r>
        <w:rPr>
          <w:b/>
        </w:rPr>
        <w:t xml:space="preserve">12 </w:t>
      </w:r>
      <w:r>
        <w:t xml:space="preserve">"Honor your father and your mother, so that it may go well for you and so that you may become long-lived on the good land that the Lord your God is giving you."</w:t>
      </w:r>
    </w:p>
    <w:p>
      <w:r>
        <w:rPr>
          <w:b/>
        </w:rPr>
        <w:t xml:space="preserve">13 </w:t>
      </w:r>
      <w:r>
        <w:t xml:space="preserve">"You shall not commit adultery."</w:t>
      </w:r>
      <w:r>
        <w:rPr>
          <w:rStyle w:val="FootnoteReference"/>
        </w:rPr>
        <w:footnoteReference w:id="1692"/>
      </w:r>
      <w:r>
        <w:t xml:space="preserve"/>
      </w:r>
    </w:p>
    <w:p>
      <w:r>
        <w:rPr>
          <w:b/>
        </w:rPr>
        <w:t xml:space="preserve">14 </w:t>
      </w:r>
      <w:r>
        <w:t xml:space="preserve">"You shall not steal."</w:t>
      </w:r>
    </w:p>
    <w:p>
      <w:r>
        <w:rPr>
          <w:b/>
        </w:rPr>
        <w:t xml:space="preserve">15 </w:t>
      </w:r>
      <w:r>
        <w:t xml:space="preserve">"You shall not murder.</w:t>
      </w:r>
      <w:r>
        <w:rPr>
          <w:rStyle w:val="FootnoteReference"/>
        </w:rPr>
        <w:footnoteReference w:id="1693"/>
      </w:r>
      <w:r>
        <w:t xml:space="preserve">"</w:t>
      </w:r>
    </w:p>
    <w:p>
      <w:r>
        <w:rPr>
          <w:b/>
        </w:rPr>
        <w:t xml:space="preserve">16 </w:t>
      </w:r>
      <w:r>
        <w:t xml:space="preserve">"You shall not bear false witness against your neighbor, false testimony."</w:t>
      </w:r>
    </w:p>
    <w:p>
      <w:r>
        <w:rPr>
          <w:b/>
        </w:rPr>
        <w:t xml:space="preserve">17 </w:t>
      </w:r>
      <w:r>
        <w:t xml:space="preserve">"You shall not desire your neighbor's wife. You shall not desire your neighbor's house, nor his field, nor his male servant, nor his female servant, nor his ox, nor his pack animal, nor any beast of his, nor whatever belongs to your neighbor."</w:t>
      </w:r>
    </w:p>
    <w:p>
      <w:r>
        <w:rPr>
          <w:b/>
        </w:rPr>
        <w:t xml:space="preserve">18 </w:t>
      </w:r>
      <w:r>
        <w:t xml:space="preserve">And all the people were seeing the voice and the torches and the sound of the trumpet and the mountain smoking. And all the people were afraid and stood far off,</w:t>
      </w:r>
    </w:p>
    <w:p>
      <w:r>
        <w:rPr>
          <w:b/>
        </w:rPr>
        <w:t xml:space="preserve">19 </w:t>
      </w:r>
      <w:r>
        <w:t xml:space="preserve">and they said to Moses, "You speak to us, and let not</w:t>
      </w:r>
      <w:r>
        <w:rPr>
          <w:rStyle w:val="FootnoteReference"/>
        </w:rPr>
        <w:footnoteReference w:id="1694"/>
      </w:r>
      <w:r>
        <w:t xml:space="preserve"> God speak to us, lest we die."</w:t>
      </w:r>
    </w:p>
    <w:p>
      <w:r>
        <w:rPr>
          <w:b/>
        </w:rPr>
        <w:t xml:space="preserve">20 </w:t>
      </w:r>
      <w:r>
        <w:t xml:space="preserve">And Moses said to them, "Take courage, for God has come for the sake of testing you, so that his fear</w:t>
      </w:r>
      <w:r>
        <w:rPr>
          <w:rStyle w:val="FootnoteReference"/>
        </w:rPr>
        <w:footnoteReference w:id="1695"/>
      </w:r>
      <w:r>
        <w:t xml:space="preserve"> may be among you, so that you may not sin."</w:t>
      </w:r>
    </w:p>
    <w:p>
      <w:r>
        <w:rPr>
          <w:b/>
        </w:rPr>
        <w:t xml:space="preserve">21 </w:t>
      </w:r>
      <w:r>
        <w:t xml:space="preserve">And the people stood far off, but Moses entered into the gloom where God was.</w:t>
      </w:r>
    </w:p>
    <w:p>
      <w:r>
        <w:rPr>
          <w:b/>
        </w:rPr>
        <w:t xml:space="preserve">22 </w:t>
      </w:r>
      <w:r>
        <w:t xml:space="preserve">Then the Lord said to Moses, "These things you shall say to the house of Jacob, and you shall announce to the sons of Israel: You yourselves have seen that from heaven I have spoken to you."</w:t>
      </w:r>
    </w:p>
    <w:p>
      <w:r>
        <w:rPr>
          <w:b/>
        </w:rPr>
        <w:t xml:space="preserve">23 </w:t>
      </w:r>
      <w:r>
        <w:t xml:space="preserve">"You shall not make for yourselves gods of silver, and gods of gold you shall not make for yourselves."</w:t>
      </w:r>
    </w:p>
    <w:p>
      <w:r>
        <w:rPr>
          <w:b/>
        </w:rPr>
        <w:t xml:space="preserve">24 </w:t>
      </w:r>
      <w:r>
        <w:t xml:space="preserve">"You shall make me an altar</w:t>
      </w:r>
      <w:r>
        <w:rPr>
          <w:rStyle w:val="FootnoteReference"/>
        </w:rPr>
        <w:footnoteReference w:id="1696"/>
      </w:r>
      <w:r>
        <w:t xml:space="preserve"> of earth, and upon it you shall sacrifice your whole burnt offerings and your offerings of salvation</w:t>
      </w:r>
      <w:r>
        <w:rPr>
          <w:rStyle w:val="FootnoteReference"/>
        </w:rPr>
        <w:footnoteReference w:id="1697"/>
      </w:r>
      <w:r>
        <w:t xml:space="preserve">, your sheep and your calves. In every place where I cause my name to be called</w:t>
      </w:r>
      <w:r>
        <w:rPr>
          <w:rStyle w:val="FootnoteReference"/>
        </w:rPr>
        <w:footnoteReference w:id="1698"/>
      </w:r>
      <w:r>
        <w:t xml:space="preserve">, I will come to you and bless you."</w:t>
      </w:r>
      <w:r>
        <w:rPr>
          <w:rStyle w:val="FootnoteReference"/>
        </w:rPr>
        <w:footnoteReference w:id="1699"/>
      </w:r>
    </w:p>
    <w:p>
      <w:r>
        <w:rPr>
          <w:b/>
        </w:rPr>
        <w:t xml:space="preserve">25 </w:t>
      </w:r>
      <w:r>
        <w:t xml:space="preserve">"But if you make me an altar of stones, you shall not build them cut, for you have laid your tool upon them, and they have been defiled."</w:t>
      </w:r>
    </w:p>
    <w:p>
      <w:r>
        <w:rPr>
          <w:b/>
        </w:rPr>
        <w:t xml:space="preserve">26 </w:t>
      </w:r>
      <w:r>
        <w:t xml:space="preserve">"And you shall not go up by steps to my altar, so that you do not uncover your indecency upon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these are the ordinances that you shall set before them.</w:t>
      </w:r>
    </w:p>
    <w:p>
      <w:r>
        <w:rPr>
          <w:b/>
        </w:rPr>
        <w:t xml:space="preserve">2 </w:t>
      </w:r>
      <w:r>
        <w:t xml:space="preserve">If you buy a Hebrew servant, six years he shall serve you, and in the</w:t>
      </w:r>
      <w:r>
        <w:rPr>
          <w:rStyle w:val="FootnoteReference"/>
        </w:rPr>
        <w:footnoteReference w:id="1700"/>
      </w:r>
      <w:r>
        <w:t xml:space="preserve"> seventh year he shall go out free for nothing.</w:t>
      </w:r>
    </w:p>
    <w:p>
      <w:r>
        <w:rPr>
          <w:b/>
        </w:rPr>
        <w:t xml:space="preserve">3 </w:t>
      </w:r>
      <w:r>
        <w:t xml:space="preserve">If he comes in alone, he shall also go out alone. But if his wife comes in with him, his wife shall also go out with him.</w:t>
      </w:r>
    </w:p>
    <w:p>
      <w:r>
        <w:rPr>
          <w:b/>
        </w:rPr>
        <w:t xml:space="preserve">4 </w:t>
      </w:r>
      <w:r>
        <w:t xml:space="preserve">But if his master gives him a wife and she bears him sons or daughters, the wife and the children shall belong to his master, and he alone shall go out.</w:t>
      </w:r>
    </w:p>
    <w:p>
      <w:r>
        <w:rPr>
          <w:b/>
        </w:rPr>
        <w:t xml:space="preserve">5 </w:t>
      </w:r>
      <w:r>
        <w:t xml:space="preserve">But if the servant answers and says, "I have loved my master and my wife and my children. I will not run away free,"</w:t>
      </w:r>
    </w:p>
    <w:p>
      <w:r>
        <w:rPr>
          <w:b/>
        </w:rPr>
        <w:t xml:space="preserve">6 </w:t>
      </w:r>
      <w:r>
        <w:t xml:space="preserve">then his master shall bring him to the judgment-seat of God. Then he shall bring him to the door, to the doorpost, and his master shall pierce his ear with an awl, and he shall serve him forever.</w:t>
      </w:r>
    </w:p>
    <w:p>
      <w:r>
        <w:rPr>
          <w:b/>
        </w:rPr>
        <w:t xml:space="preserve">7 </w:t>
      </w:r>
      <w:r>
        <w:t xml:space="preserve">If someone sells his own daughter as a household servant, she shall not go out</w:t>
      </w:r>
      <w:r>
        <w:rPr>
          <w:rStyle w:val="FootnoteReference"/>
        </w:rPr>
        <w:footnoteReference w:id="1701"/>
      </w:r>
      <w:r>
        <w:t xml:space="preserve"> as the female servants go out.</w:t>
      </w:r>
    </w:p>
    <w:p>
      <w:r>
        <w:rPr>
          <w:b/>
        </w:rPr>
        <w:t xml:space="preserve">8 </w:t>
      </w:r>
      <w:r>
        <w:t xml:space="preserve">If she does not please her master, to whom she had been promised, he shall let her be redeemed. He has no authority to sell her to a foreign nation, because he has broken faith with her.</w:t>
      </w:r>
    </w:p>
    <w:p>
      <w:r>
        <w:rPr>
          <w:b/>
        </w:rPr>
        <w:t xml:space="preserve">9 </w:t>
      </w:r>
      <w:r>
        <w:t xml:space="preserve">But if he promises her to his son, he shall treat her according to the right of daughters.</w:t>
      </w:r>
    </w:p>
    <w:p>
      <w:r>
        <w:rPr>
          <w:b/>
        </w:rPr>
        <w:t xml:space="preserve">10 </w:t>
      </w:r>
      <w:r>
        <w:t xml:space="preserve">But if he takes another woman for himself, he shall not deprive her of what is needed, or of clothing, or of her companionship.</w:t>
      </w:r>
    </w:p>
    <w:p>
      <w:r>
        <w:rPr>
          <w:b/>
        </w:rPr>
        <w:t xml:space="preserve">11 </w:t>
      </w:r>
      <w:r>
        <w:t xml:space="preserve">But if he does not do these three things for her, she shall go out free, without money.</w:t>
      </w:r>
    </w:p>
    <w:p>
      <w:r>
        <w:rPr>
          <w:b/>
        </w:rPr>
        <w:t xml:space="preserve">12 </w:t>
      </w:r>
      <w:r>
        <w:t xml:space="preserve">If someone strikes a person and he dies, let him certainly be put to death.</w:t>
      </w:r>
    </w:p>
    <w:p>
      <w:r>
        <w:rPr>
          <w:b/>
        </w:rPr>
        <w:t xml:space="preserve">13 </w:t>
      </w:r>
      <w:r>
        <w:t xml:space="preserve">But if he did not do it willingly, and God delivered him into his hands, I will give you a place where the killer may flee.</w:t>
      </w:r>
    </w:p>
    <w:p>
      <w:r>
        <w:rPr>
          <w:b/>
        </w:rPr>
        <w:t xml:space="preserve">14 </w:t>
      </w:r>
      <w:r>
        <w:t xml:space="preserve">But if someone attacks his neighbor to kill him with deceit, and he flees to my altar, you shall take him</w:t>
      </w:r>
      <w:r>
        <w:rPr>
          <w:rStyle w:val="FootnoteReference"/>
        </w:rPr>
        <w:footnoteReference w:id="1702"/>
      </w:r>
      <w:r>
        <w:t xml:space="preserve"> from there to put him to death.</w:t>
      </w:r>
    </w:p>
    <w:p>
      <w:r>
        <w:rPr>
          <w:b/>
        </w:rPr>
        <w:t xml:space="preserve">15 </w:t>
      </w:r>
      <w:r>
        <w:t xml:space="preserve">Whoever strikes his father or his mother, let him certainly be put to death.</w:t>
      </w:r>
    </w:p>
    <w:p>
      <w:r>
        <w:rPr>
          <w:b/>
        </w:rPr>
        <w:t xml:space="preserve">16 </w:t>
      </w:r>
      <w:r>
        <w:t xml:space="preserve">Whoever reviles his father or his mother shall surely die.</w:t>
      </w:r>
    </w:p>
    <w:p>
      <w:r>
        <w:rPr>
          <w:b/>
        </w:rPr>
        <w:t xml:space="preserve">17 </w:t>
      </w:r>
      <w:r>
        <w:t xml:space="preserve">Whoever steals one of the sons of Israel, and after overpowering him sells him, and he is found in his hand, let him certainly be put to death.</w:t>
      </w:r>
    </w:p>
    <w:p>
      <w:r>
        <w:rPr>
          <w:b/>
        </w:rPr>
        <w:t xml:space="preserve">18 </w:t>
      </w:r>
      <w:r>
        <w:t xml:space="preserve">If two men revile each other and one strikes his neighbor with a stone</w:t>
      </w:r>
      <w:r>
        <w:rPr>
          <w:rStyle w:val="FootnoteReference"/>
        </w:rPr>
        <w:footnoteReference w:id="1703"/>
      </w:r>
      <w:r>
        <w:t xml:space="preserve"> or with his fist and he does not die but is laid in bed,</w:t>
      </w:r>
    </w:p>
    <w:p>
      <w:r>
        <w:rPr>
          <w:b/>
        </w:rPr>
        <w:t xml:space="preserve">19 </w:t>
      </w:r>
      <w:r>
        <w:t xml:space="preserve">if the man rises and walks about outside on his staff, the one who struck him shall be clear. Yet he shall pay for his idleness and for his healing.</w:t>
      </w:r>
    </w:p>
    <w:p>
      <w:r>
        <w:rPr>
          <w:b/>
        </w:rPr>
        <w:t xml:space="preserve">20 </w:t>
      </w:r>
      <w:r>
        <w:t xml:space="preserve">If someone strikes his male servant or his female servant with a rod and the servant dies under his hands, let justice be exacted.</w:t>
      </w:r>
    </w:p>
    <w:p>
      <w:r>
        <w:rPr>
          <w:b/>
        </w:rPr>
        <w:t xml:space="preserve">21 </w:t>
      </w:r>
      <w:r>
        <w:t xml:space="preserve">But if the servant lives a day or two, he shall not be avenged, for he is his money.</w:t>
      </w:r>
    </w:p>
    <w:p>
      <w:r>
        <w:rPr>
          <w:b/>
        </w:rPr>
        <w:t xml:space="preserve">22 </w:t>
      </w:r>
      <w:r>
        <w:t xml:space="preserve">If two men fight and strike a pregnant woman, and her child comes out not yet formed</w:t>
      </w:r>
      <w:r>
        <w:rPr>
          <w:rStyle w:val="FootnoteReference"/>
        </w:rPr>
        <w:footnoteReference w:id="1704"/>
      </w:r>
      <w:r>
        <w:t xml:space="preserve">, he shall pay a penalty according as the woman's husband lays upon him. He shall pay with assessment.</w:t>
      </w:r>
    </w:p>
    <w:p>
      <w:r>
        <w:rPr>
          <w:b/>
        </w:rPr>
        <w:t xml:space="preserve">23 </w:t>
      </w:r>
      <w:r>
        <w:t xml:space="preserve">But if it is formed, he shall give life for life</w:t>
      </w:r>
      <w:r>
        <w:rPr>
          <w:rStyle w:val="FootnoteReference"/>
        </w:rPr>
        <w:footnoteReference w:id="1705"/>
      </w:r>
      <w:r>
        <w:t xml:space="preserve">,</w:t>
      </w:r>
    </w:p>
    <w:p>
      <w:r>
        <w:rPr>
          <w:b/>
        </w:rPr>
        <w:t xml:space="preserve">24 </w:t>
      </w:r>
      <w:r>
        <w:t xml:space="preserve">eye for eye, tooth for tooth, hand for hand, foot for foot,</w:t>
      </w:r>
    </w:p>
    <w:p>
      <w:r>
        <w:rPr>
          <w:b/>
        </w:rPr>
        <w:t xml:space="preserve">25 </w:t>
      </w:r>
      <w:r>
        <w:t xml:space="preserve">burn for burn, wound for wound, bruise for bruise.</w:t>
      </w:r>
    </w:p>
    <w:p>
      <w:r>
        <w:rPr>
          <w:b/>
        </w:rPr>
        <w:t xml:space="preserve">26 </w:t>
      </w:r>
      <w:r>
        <w:t xml:space="preserve">If someone strikes the eye of his servant or the eye of his female servant and blinds it, he shall send them out free for their eye.</w:t>
      </w:r>
    </w:p>
    <w:p>
      <w:r>
        <w:rPr>
          <w:b/>
        </w:rPr>
        <w:t xml:space="preserve">27 </w:t>
      </w:r>
      <w:r>
        <w:t xml:space="preserve">And if he knocks out the tooth of his servant or the tooth of his female servant, he shall send them out free for their tooth.</w:t>
      </w:r>
    </w:p>
    <w:p>
      <w:r>
        <w:rPr>
          <w:b/>
        </w:rPr>
        <w:t xml:space="preserve">28 </w:t>
      </w:r>
      <w:r>
        <w:t xml:space="preserve">If a bull gores a man or a woman and they die, the bull shall be stoned with stones, and its flesh shall not be eaten. But the bull's owner shall be clear.</w:t>
      </w:r>
    </w:p>
    <w:p>
      <w:r>
        <w:rPr>
          <w:b/>
        </w:rPr>
        <w:t xml:space="preserve">29 </w:t>
      </w:r>
      <w:r>
        <w:t xml:space="preserve">But if the bull has been a gorer since yesterday and the third day, and they have testified to its owner and he has not confined it, and it kills a man or a woman, the bull shall be stoned, and its owner shall also die.</w:t>
      </w:r>
      <w:r>
        <w:rPr>
          <w:rStyle w:val="FootnoteReference"/>
        </w:rPr>
        <w:footnoteReference w:id="1706"/>
      </w:r>
    </w:p>
    <w:p>
      <w:r>
        <w:rPr>
          <w:b/>
        </w:rPr>
        <w:t xml:space="preserve">30 </w:t>
      </w:r>
      <w:r>
        <w:t xml:space="preserve">But if a ransom</w:t>
      </w:r>
      <w:r>
        <w:rPr>
          <w:rStyle w:val="FootnoteReference"/>
        </w:rPr>
        <w:footnoteReference w:id="1707"/>
      </w:r>
      <w:r>
        <w:t xml:space="preserve"> is laid upon him, he shall give a ransom for his life, whatever they lay upon him.</w:t>
      </w:r>
    </w:p>
    <w:p>
      <w:r>
        <w:rPr>
          <w:b/>
        </w:rPr>
        <w:t xml:space="preserve">31 </w:t>
      </w:r>
      <w:r>
        <w:t xml:space="preserve">If it gores a son or a daughter, they shall do to him according to this ordinance.</w:t>
      </w:r>
    </w:p>
    <w:p>
      <w:r>
        <w:rPr>
          <w:b/>
        </w:rPr>
        <w:t xml:space="preserve">32 </w:t>
      </w:r>
      <w:r>
        <w:t xml:space="preserve">But if the bull gores a male servant or a female servant, he shall give thirty silver didrachms to their master, and the bull shall be stoned.</w:t>
      </w:r>
    </w:p>
    <w:p>
      <w:r>
        <w:rPr>
          <w:b/>
        </w:rPr>
        <w:t xml:space="preserve">33 </w:t>
      </w:r>
      <w:r>
        <w:t xml:space="preserve">If someone opens a pit or quarries a pit and does not cover it, and an ox or a donkey falls in there,</w:t>
      </w:r>
    </w:p>
    <w:p>
      <w:r>
        <w:rPr>
          <w:b/>
        </w:rPr>
        <w:t xml:space="preserve">34 </w:t>
      </w:r>
      <w:r>
        <w:t xml:space="preserve">the owner of the pit shall make compensation. He shall give silver to their owner, and the dead animal shall be his.</w:t>
      </w:r>
    </w:p>
    <w:p>
      <w:r>
        <w:rPr>
          <w:b/>
        </w:rPr>
        <w:t xml:space="preserve">35 </w:t>
      </w:r>
      <w:r>
        <w:t xml:space="preserve">If one person's bull gores the bull of his neighbor and it dies, they shall sell the living bull and divide its silver, and they shall divide the dead one.</w:t>
      </w:r>
    </w:p>
    <w:p>
      <w:r>
        <w:rPr>
          <w:b/>
        </w:rPr>
        <w:t xml:space="preserve">36 </w:t>
      </w:r>
      <w:r>
        <w:t xml:space="preserve">But if it is known that the bull has been a gorer since yesterday and the third day, and testimony had been made to its owner, and he did not confine it, he shall repay bull for bull, and the dead one shall be his.</w:t>
      </w:r>
    </w:p>
    <w:p>
      <w:r>
        <w:rPr>
          <w:b/>
        </w:rPr>
        <w:t xml:space="preserve">37 </w:t>
      </w:r>
      <w:r>
        <w:t xml:space="preserve">If someone steals an ox or a sheep and slaughters it or sells it, he shall repay five oxen for the ox and four sheep for the sheep.</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If the thief is found in the breach and is struck and dies, there is no bloodguilt for him.</w:t>
      </w:r>
      <w:r>
        <w:rPr>
          <w:rStyle w:val="FootnoteReference"/>
        </w:rPr>
        <w:footnoteReference w:id="1708"/>
      </w:r>
      <w:r>
        <w:t xml:space="preserve"/>
      </w:r>
    </w:p>
    <w:p>
      <w:r>
        <w:rPr>
          <w:b/>
        </w:rPr>
        <w:t xml:space="preserve">2 </w:t>
      </w:r>
      <w:r>
        <w:t xml:space="preserve">But if the sun rises on him, there is guilt. He shall die in return. But if he has nothing, let him be sold for what was stolen.</w:t>
      </w:r>
    </w:p>
    <w:p>
      <w:r>
        <w:rPr>
          <w:b/>
        </w:rPr>
        <w:t xml:space="preserve">3 </w:t>
      </w:r>
      <w:r>
        <w:t xml:space="preserve">If the stolen thing is found alive in his hand, whether donkey or sheep, he shall repay them double.</w:t>
      </w:r>
      <w:r>
        <w:rPr>
          <w:rStyle w:val="FootnoteReference"/>
        </w:rPr>
        <w:footnoteReference w:id="1709"/>
      </w:r>
      <w:r>
        <w:t xml:space="preserve"/>
      </w:r>
    </w:p>
    <w:p>
      <w:r>
        <w:rPr>
          <w:b/>
        </w:rPr>
        <w:t xml:space="preserve">4 </w:t>
      </w:r>
      <w:r>
        <w:t xml:space="preserve">If someone lets a field or vineyard be grazed and lets his beast graze another field, he shall repay from his own field according to its produce. But if it grazes the whole field, he shall repay the best of his own field and the best of his vineyard.</w:t>
      </w:r>
      <w:r>
        <w:rPr>
          <w:rStyle w:val="FootnoteReference"/>
        </w:rPr>
        <w:footnoteReference w:id="1710"/>
      </w:r>
    </w:p>
    <w:p>
      <w:r>
        <w:rPr>
          <w:b/>
        </w:rPr>
        <w:t xml:space="preserve">5 </w:t>
      </w:r>
      <w:r>
        <w:t xml:space="preserve">If fire goes out and finds thorns and sets aflame a threshing floor or sheaves or a field, the one who kindled the fire shall make repayment.</w:t>
      </w:r>
      <w:r>
        <w:rPr>
          <w:rStyle w:val="FootnoteReference"/>
        </w:rPr>
        <w:footnoteReference w:id="1711"/>
      </w:r>
    </w:p>
    <w:p>
      <w:r>
        <w:rPr>
          <w:b/>
        </w:rPr>
        <w:t xml:space="preserve">6 </w:t>
      </w:r>
      <w:r>
        <w:t xml:space="preserve">If someone gives his neighbor silver or goods to keep, and it is stolen from the man's house, if the thief is found, he shall repay double.</w:t>
      </w:r>
    </w:p>
    <w:p>
      <w:r>
        <w:rPr>
          <w:b/>
        </w:rPr>
        <w:t xml:space="preserve">7 </w:t>
      </w:r>
      <w:r>
        <w:t xml:space="preserve">But if the thief is not found, the master of the house shall come before God and swear that he has surely not acted wickedly against any part of his neighbor's deposit.</w:t>
      </w:r>
      <w:r>
        <w:rPr>
          <w:rStyle w:val="FootnoteReference"/>
        </w:rPr>
        <w:footnoteReference w:id="1712"/>
      </w:r>
    </w:p>
    <w:p>
      <w:r>
        <w:rPr>
          <w:b/>
        </w:rPr>
        <w:t xml:space="preserve">8 </w:t>
      </w:r>
      <w:r>
        <w:t xml:space="preserve">In every matter of wrongdoing, concerning an ox and a beast of burden and a sheep and a garment and every alleged loss, whatever it may be, the judgment of both shall come before God, and the one convicted through God shall repay double to his neighbor.</w:t>
      </w:r>
      <w:r>
        <w:rPr>
          <w:rStyle w:val="FootnoteReference"/>
        </w:rPr>
        <w:footnoteReference w:id="1713"/>
      </w:r>
    </w:p>
    <w:p>
      <w:r>
        <w:rPr>
          <w:b/>
        </w:rPr>
        <w:t xml:space="preserve">9 </w:t>
      </w:r>
      <w:r>
        <w:t xml:space="preserve">If someone gives his neighbor a beast of burden or an ox or a sheep or any livestock to keep, and it is injured or dies or is taken captive</w:t>
      </w:r>
      <w:r>
        <w:rPr>
          <w:rStyle w:val="FootnoteReference"/>
        </w:rPr>
        <w:footnoteReference w:id="1714"/>
      </w:r>
      <w:r>
        <w:t xml:space="preserve">, and no one knows,</w:t>
      </w:r>
    </w:p>
    <w:p>
      <w:r>
        <w:rPr>
          <w:b/>
        </w:rPr>
        <w:t xml:space="preserve">10 </w:t>
      </w:r>
      <w:r>
        <w:t xml:space="preserve">an oath of God shall be between both of them, that he surely has not acted wickedly against any part of his neighbor's deposit. So its owner shall accept it, and he shall not repay.</w:t>
      </w:r>
      <w:r>
        <w:rPr>
          <w:rStyle w:val="FootnoteReference"/>
        </w:rPr>
        <w:footnoteReference w:id="1715"/>
      </w:r>
    </w:p>
    <w:p>
      <w:r>
        <w:rPr>
          <w:b/>
        </w:rPr>
        <w:t xml:space="preserve">11 </w:t>
      </w:r>
      <w:r>
        <w:t xml:space="preserve">But if it is stolen from him, he shall repay</w:t>
      </w:r>
      <w:r>
        <w:rPr>
          <w:rStyle w:val="FootnoteReference"/>
        </w:rPr>
        <w:footnoteReference w:id="1716"/>
      </w:r>
      <w:r>
        <w:t xml:space="preserve"> its owner.</w:t>
      </w:r>
    </w:p>
    <w:p>
      <w:r>
        <w:rPr>
          <w:b/>
        </w:rPr>
        <w:t xml:space="preserve">12 </w:t>
      </w:r>
      <w:r>
        <w:t xml:space="preserve">But if it becomes beast-torn, he shall bring it as evidence of the prey, and he shall not repay.</w:t>
      </w:r>
    </w:p>
    <w:p>
      <w:r>
        <w:rPr>
          <w:b/>
        </w:rPr>
        <w:t xml:space="preserve">13 </w:t>
      </w:r>
      <w:r>
        <w:t xml:space="preserve">If someone borrows from his neighbor, and it is injured or dies or is taken captive, and its owner is not with it, he shall repay.</w:t>
      </w:r>
      <w:r>
        <w:rPr>
          <w:rStyle w:val="FootnoteReference"/>
        </w:rPr>
        <w:footnoteReference w:id="1717"/>
      </w:r>
    </w:p>
    <w:p>
      <w:r>
        <w:rPr>
          <w:b/>
        </w:rPr>
        <w:t xml:space="preserve">14 </w:t>
      </w:r>
      <w:r>
        <w:t xml:space="preserve">But if the owner is with it, he shall not repay. But if it is hired, it shall stand for its hire.</w:t>
      </w:r>
    </w:p>
    <w:p>
      <w:r>
        <w:rPr>
          <w:b/>
        </w:rPr>
        <w:t xml:space="preserve">15 </w:t>
      </w:r>
      <w:r>
        <w:t xml:space="preserve">If someone entices an unbetrothed virgin and lies with her, he shall surely pay the bride-price and take her as wife for himself.</w:t>
      </w:r>
    </w:p>
    <w:p>
      <w:r>
        <w:rPr>
          <w:b/>
        </w:rPr>
        <w:t xml:space="preserve">16 </w:t>
      </w:r>
      <w:r>
        <w:t xml:space="preserve">But if her father utterly refuses and does not wish to give her to him as wife, he shall pay silver to her father according to the bride-price of virgins.</w:t>
      </w:r>
    </w:p>
    <w:p>
      <w:r>
        <w:rPr>
          <w:b/>
        </w:rPr>
        <w:t xml:space="preserve">17 </w:t>
      </w:r>
      <w:r>
        <w:t xml:space="preserve">You shall not preserve sorcerers alive.</w:t>
      </w:r>
    </w:p>
    <w:p>
      <w:r>
        <w:rPr>
          <w:b/>
        </w:rPr>
        <w:t xml:space="preserve">18 </w:t>
      </w:r>
      <w:r>
        <w:t xml:space="preserve">Everyone who lies with an animal, you shall certainly put them to death.</w:t>
      </w:r>
    </w:p>
    <w:p>
      <w:r>
        <w:rPr>
          <w:b/>
        </w:rPr>
        <w:t xml:space="preserve">19 </w:t>
      </w:r>
      <w:r>
        <w:t xml:space="preserve">The one sacrificing to gods shall be destroyed by death, except to the Lord alone.</w:t>
      </w:r>
    </w:p>
    <w:p>
      <w:r>
        <w:rPr>
          <w:b/>
        </w:rPr>
        <w:t xml:space="preserve">20 </w:t>
      </w:r>
      <w:r>
        <w:t xml:space="preserve">You shall not mistreat a newcomer, nor oppress him, for you were newcomers in the land of Egypt.</w:t>
      </w:r>
    </w:p>
    <w:p>
      <w:r>
        <w:rPr>
          <w:b/>
        </w:rPr>
        <w:t xml:space="preserve">21 </w:t>
      </w:r>
      <w:r>
        <w:t xml:space="preserve">You shall mistreat no widow or orphan.</w:t>
      </w:r>
    </w:p>
    <w:p>
      <w:r>
        <w:rPr>
          <w:b/>
        </w:rPr>
        <w:t xml:space="preserve">22 </w:t>
      </w:r>
      <w:r>
        <w:t xml:space="preserve">But if by evil-treatment you mistreat</w:t>
      </w:r>
      <w:r>
        <w:rPr>
          <w:rStyle w:val="FootnoteReference"/>
        </w:rPr>
        <w:footnoteReference w:id="1718"/>
      </w:r>
      <w:r>
        <w:t xml:space="preserve"> them, and crying out they cry to me, I will surely hear their voice.</w:t>
      </w:r>
    </w:p>
    <w:p>
      <w:r>
        <w:rPr>
          <w:b/>
        </w:rPr>
        <w:t xml:space="preserve">23 </w:t>
      </w:r>
      <w:r>
        <w:t xml:space="preserve">And I will become angry with wrath</w:t>
      </w:r>
      <w:r>
        <w:rPr>
          <w:rStyle w:val="FootnoteReference"/>
        </w:rPr>
        <w:footnoteReference w:id="1719"/>
      </w:r>
      <w:r>
        <w:t xml:space="preserve"> and kill you with the sword, and your wives shall be widows and your children orphans.</w:t>
      </w:r>
    </w:p>
    <w:p>
      <w:r>
        <w:rPr>
          <w:b/>
        </w:rPr>
        <w:t xml:space="preserve">24 </w:t>
      </w:r>
      <w:r>
        <w:t xml:space="preserve">If you lend silver to your poor brother beside you, you shall not press him hard, nor lay interest upon him</w:t>
      </w:r>
      <w:r>
        <w:rPr>
          <w:rStyle w:val="FootnoteReference"/>
        </w:rPr>
        <w:footnoteReference w:id="1720"/>
      </w:r>
      <w:r>
        <w:t xml:space="preserve">.</w:t>
      </w:r>
    </w:p>
    <w:p>
      <w:r>
        <w:rPr>
          <w:b/>
        </w:rPr>
        <w:t xml:space="preserve">25 </w:t>
      </w:r>
      <w:r>
        <w:t xml:space="preserve">If you take your neighbor's garment as a pledge, you shall give it back to him before sunset.</w:t>
      </w:r>
    </w:p>
    <w:p>
      <w:r>
        <w:rPr>
          <w:b/>
        </w:rPr>
        <w:t xml:space="preserve">26 </w:t>
      </w:r>
      <w:r>
        <w:t xml:space="preserve">For this alone is his covering; this is the garment of his nakedness. In what shall he sleep? So if he cries out to me, I will hear him, for I am merciful.</w:t>
      </w:r>
    </w:p>
    <w:p>
      <w:r>
        <w:rPr>
          <w:b/>
        </w:rPr>
        <w:t xml:space="preserve">27 </w:t>
      </w:r>
      <w:r>
        <w:t xml:space="preserve">You shall not revile gods, and you shall not speak evil of a ruler of your people.</w:t>
      </w:r>
    </w:p>
    <w:p>
      <w:r>
        <w:rPr>
          <w:b/>
        </w:rPr>
        <w:t xml:space="preserve">28 </w:t>
      </w:r>
      <w:r>
        <w:t xml:space="preserve">You shall not delay the firstfruits of your threshing floor and your winepress. You shall give me the firstborn of your sons.</w:t>
      </w:r>
    </w:p>
    <w:p>
      <w:r>
        <w:rPr>
          <w:b/>
        </w:rPr>
        <w:t xml:space="preserve">29 </w:t>
      </w:r>
      <w:r>
        <w:t xml:space="preserve">So you shall do with your ox and your sheep and your beast of burden. Seven days it shall be under its mother, and on the eighth day you shall give it to me.</w:t>
      </w:r>
    </w:p>
    <w:p>
      <w:r>
        <w:rPr>
          <w:b/>
        </w:rPr>
        <w:t xml:space="preserve">30 </w:t>
      </w:r>
      <w:r>
        <w:t xml:space="preserve">And you shall be holy men to me, and you shall not eat flesh torn by beasts</w:t>
      </w:r>
      <w:r>
        <w:rPr>
          <w:rStyle w:val="FootnoteReference"/>
        </w:rPr>
        <w:footnoteReference w:id="1721"/>
      </w:r>
      <w:r>
        <w:t xml:space="preserve">; you shall throw it to the dog.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You shall not accept a vain report. You shall not join with the unjust to become an unjust witness.</w:t>
      </w:r>
    </w:p>
    <w:p>
      <w:r>
        <w:rPr>
          <w:b/>
        </w:rPr>
        <w:t xml:space="preserve">2 </w:t>
      </w:r>
      <w:r>
        <w:t xml:space="preserve">You shall not be with the many for evil. You shall not side with a crowd to turn aside with the many so as to bend justice.</w:t>
      </w:r>
    </w:p>
    <w:p>
      <w:r>
        <w:rPr>
          <w:b/>
        </w:rPr>
        <w:t xml:space="preserve">3 </w:t>
      </w:r>
      <w:r>
        <w:t xml:space="preserve">And you shall not spare a poor man in judgment.</w:t>
      </w:r>
    </w:p>
    <w:p>
      <w:r>
        <w:rPr>
          <w:b/>
        </w:rPr>
        <w:t xml:space="preserve">4 </w:t>
      </w:r>
      <w:r>
        <w:t xml:space="preserve">If you meet your enemy's ox or his beast of burden wandering, you shall surely turn it back and return it to him.</w:t>
      </w:r>
    </w:p>
    <w:p>
      <w:r>
        <w:rPr>
          <w:b/>
        </w:rPr>
        <w:t xml:space="preserve">5 </w:t>
      </w:r>
      <w:r>
        <w:t xml:space="preserve">If you see your enemy's beast of burden fallen under its load, you shall not pass it by, but you shall help raise it with him.</w:t>
      </w:r>
    </w:p>
    <w:p>
      <w:r>
        <w:rPr>
          <w:b/>
        </w:rPr>
        <w:t xml:space="preserve">6 </w:t>
      </w:r>
      <w:r>
        <w:t xml:space="preserve">You shall not pervert the judgment of a poor man in his case</w:t>
      </w:r>
      <w:r>
        <w:rPr>
          <w:rStyle w:val="FootnoteReference"/>
        </w:rPr>
        <w:footnoteReference w:id="1722"/>
      </w:r>
      <w:r>
        <w:t xml:space="preserve">.</w:t>
      </w:r>
    </w:p>
    <w:p>
      <w:r>
        <w:rPr>
          <w:b/>
        </w:rPr>
        <w:t xml:space="preserve">7 </w:t>
      </w:r>
      <w:r>
        <w:t xml:space="preserve">Keep far from</w:t>
      </w:r>
      <w:r>
        <w:rPr>
          <w:rStyle w:val="FootnoteReference"/>
        </w:rPr>
        <w:footnoteReference w:id="1723"/>
      </w:r>
      <w:r>
        <w:t xml:space="preserve"> every unjust word. You shall not kill the innocent and the righteous, and you shall not justify the ungodly for gifts.</w:t>
      </w:r>
    </w:p>
    <w:p>
      <w:r>
        <w:rPr>
          <w:b/>
        </w:rPr>
        <w:t xml:space="preserve">8 </w:t>
      </w:r>
      <w:r>
        <w:t xml:space="preserve">You shall not take gifts, for gifts blind the eyes of those who see and destroy just words.</w:t>
      </w:r>
    </w:p>
    <w:p>
      <w:r>
        <w:rPr>
          <w:b/>
        </w:rPr>
        <w:t xml:space="preserve">9 </w:t>
      </w:r>
      <w:r>
        <w:t xml:space="preserve">You shall not oppress a newcomer, for you know the soul of the newcomer, because you were newcomers in the land of Egypt.</w:t>
      </w:r>
    </w:p>
    <w:p>
      <w:r>
        <w:rPr>
          <w:b/>
        </w:rPr>
        <w:t xml:space="preserve">10 </w:t>
      </w:r>
      <w:r>
        <w:t xml:space="preserve">Six years</w:t>
      </w:r>
      <w:r>
        <w:rPr>
          <w:rStyle w:val="FootnoteReference"/>
        </w:rPr>
        <w:footnoteReference w:id="1724"/>
      </w:r>
      <w:r>
        <w:t xml:space="preserve"> you shall sow your land and gather its produce.</w:t>
      </w:r>
    </w:p>
    <w:p>
      <w:r>
        <w:rPr>
          <w:b/>
        </w:rPr>
        <w:t xml:space="preserve">11 </w:t>
      </w:r>
      <w:r>
        <w:t xml:space="preserve">But in the seventh</w:t>
      </w:r>
      <w:r>
        <w:rPr>
          <w:rStyle w:val="FootnoteReference"/>
        </w:rPr>
        <w:footnoteReference w:id="1725"/>
      </w:r>
      <w:r>
        <w:t xml:space="preserve"> you shall make a release</w:t>
      </w:r>
      <w:r>
        <w:rPr>
          <w:rStyle w:val="FootnoteReference"/>
        </w:rPr>
        <w:footnoteReference w:id="1726"/>
      </w:r>
      <w:r>
        <w:t xml:space="preserve"> and let it rest, and the poor of your nation shall eat, and what they leave the wild beasts shall eat. So you shall do with your vineyard and your oliveyard.</w:t>
      </w:r>
    </w:p>
    <w:p>
      <w:r>
        <w:rPr>
          <w:b/>
        </w:rPr>
        <w:t xml:space="preserve">12 </w:t>
      </w:r>
      <w:r>
        <w:t xml:space="preserve">Six days</w:t>
      </w:r>
      <w:r>
        <w:rPr>
          <w:rStyle w:val="FootnoteReference"/>
        </w:rPr>
        <w:footnoteReference w:id="1727"/>
      </w:r>
      <w:r>
        <w:t xml:space="preserve"> you shall do your works, but on the seventh day there shall be rest, so that your ox and your beast of burden may rest, and the son of your female servant and the newcomer may be refreshed.</w:t>
      </w:r>
    </w:p>
    <w:p>
      <w:r>
        <w:rPr>
          <w:b/>
        </w:rPr>
        <w:t xml:space="preserve">13 </w:t>
      </w:r>
      <w:r>
        <w:t xml:space="preserve">Guard all that I have said to you, and you shall not mention the name of other gods, nor shall it be heard from your mouth.</w:t>
      </w:r>
    </w:p>
    <w:p>
      <w:r>
        <w:rPr>
          <w:b/>
        </w:rPr>
        <w:t xml:space="preserve">14 </w:t>
      </w:r>
      <w:r>
        <w:t xml:space="preserve">Three times of the year celebrate a feast to me.</w:t>
      </w:r>
    </w:p>
    <w:p>
      <w:r>
        <w:rPr>
          <w:b/>
        </w:rPr>
        <w:t xml:space="preserve">15 </w:t>
      </w:r>
      <w:r>
        <w:t xml:space="preserve">Keep the feast</w:t>
      </w:r>
      <w:r>
        <w:rPr>
          <w:rStyle w:val="FootnoteReference"/>
        </w:rPr>
        <w:footnoteReference w:id="1728"/>
      </w:r>
      <w:r>
        <w:t xml:space="preserve"> of unleavened bread. Seven days you shall eat unleavened bread, just as I commanded you, at the time of the month of new grain</w:t>
      </w:r>
      <w:r>
        <w:rPr>
          <w:rStyle w:val="FootnoteReference"/>
        </w:rPr>
        <w:footnoteReference w:id="1729"/>
      </w:r>
      <w:r>
        <w:t xml:space="preserve">, for in it you came out from Egypt. You shall not appear before me empty.</w:t>
      </w:r>
    </w:p>
    <w:p>
      <w:r>
        <w:rPr>
          <w:b/>
        </w:rPr>
        <w:t xml:space="preserve">16 </w:t>
      </w:r>
      <w:r>
        <w:t xml:space="preserve">And you shall keep the feast of harvest</w:t>
      </w:r>
      <w:r>
        <w:rPr>
          <w:rStyle w:val="FootnoteReference"/>
        </w:rPr>
        <w:footnoteReference w:id="1730"/>
      </w:r>
      <w:r>
        <w:t xml:space="preserve"> of the first produce of your labors, whatever you sow in your field, and the feast of completion at the going out of the year, in the gathering of your labors from your field.</w:t>
      </w:r>
      <w:r>
        <w:rPr>
          <w:rStyle w:val="FootnoteReference"/>
        </w:rPr>
        <w:footnoteReference w:id="1731"/>
      </w:r>
    </w:p>
    <w:p>
      <w:r>
        <w:rPr>
          <w:b/>
        </w:rPr>
        <w:t xml:space="preserve">17 </w:t>
      </w:r>
      <w:r>
        <w:t xml:space="preserve">Three times of the year every male of yours shall appear before the Lord your God.</w:t>
      </w:r>
    </w:p>
    <w:p>
      <w:r>
        <w:rPr>
          <w:b/>
        </w:rPr>
        <w:t xml:space="preserve">18 </w:t>
      </w:r>
      <w:r>
        <w:t xml:space="preserve">For when I cast out nations from before you and widen your borders, you shall not sacrifice the blood</w:t>
      </w:r>
      <w:r>
        <w:rPr>
          <w:rStyle w:val="FootnoteReference"/>
        </w:rPr>
        <w:footnoteReference w:id="1732"/>
      </w:r>
      <w:r>
        <w:t xml:space="preserve"> of my sacrifice with leaven, nor shall the fat of my feast lie down until morning.</w:t>
      </w:r>
    </w:p>
    <w:p>
      <w:r>
        <w:rPr>
          <w:b/>
        </w:rPr>
        <w:t xml:space="preserve">19 </w:t>
      </w:r>
      <w:r>
        <w:t xml:space="preserve">You shall bring the firstfruits of the first produce of your land into the house of the Lord your God. You shall not boil a lamb in its mother's milk.</w:t>
      </w:r>
    </w:p>
    <w:p>
      <w:r>
        <w:rPr>
          <w:b/>
        </w:rPr>
        <w:t xml:space="preserve">20 </w:t>
      </w:r>
      <w:r>
        <w:t xml:space="preserve">And behold, I send my angel</w:t>
      </w:r>
      <w:r>
        <w:rPr>
          <w:rStyle w:val="FootnoteReference"/>
        </w:rPr>
        <w:footnoteReference w:id="1733"/>
      </w:r>
      <w:r>
        <w:t xml:space="preserve"> before your face to keep you on the way, so that he may bring you into the land that I have prepared for you.</w:t>
      </w:r>
      <w:r>
        <w:rPr>
          <w:rStyle w:val="FootnoteReference"/>
        </w:rPr>
        <w:footnoteReference w:id="1734"/>
      </w:r>
    </w:p>
    <w:p>
      <w:r>
        <w:rPr>
          <w:b/>
        </w:rPr>
        <w:t xml:space="preserve">21 </w:t>
      </w:r>
      <w:r>
        <w:t xml:space="preserve">Pay attention to yourself and listen to him, and do not disobey him, for he will never yield to you, because my name</w:t>
      </w:r>
      <w:r>
        <w:rPr>
          <w:rStyle w:val="FootnoteReference"/>
        </w:rPr>
        <w:footnoteReference w:id="1735"/>
      </w:r>
      <w:r>
        <w:t xml:space="preserve"> is upon him.</w:t>
      </w:r>
    </w:p>
    <w:p>
      <w:r>
        <w:rPr>
          <w:b/>
        </w:rPr>
        <w:t xml:space="preserve">22 </w:t>
      </w:r>
      <w:r>
        <w:t xml:space="preserve">If you truly hear my voice and do all that I command you and keep my covenant, you shall be for me a people of special possession out of all nations, for all the earth is mine. And you shall be for me a royal priesthood and a holy nation. These are the words you shall speak to the sons of Israel. If you truly hear my voice and do all that I say to you, I will be hostile to your enemies and oppose those who oppose you.</w:t>
      </w:r>
    </w:p>
    <w:p>
      <w:r>
        <w:rPr>
          <w:b/>
        </w:rPr>
        <w:t xml:space="preserve">23 </w:t>
      </w:r>
      <w:r>
        <w:t xml:space="preserve">For my angel shall go leading you and bring you to the Amorite and Hittite and Perizzite</w:t>
      </w:r>
      <w:r>
        <w:rPr>
          <w:rStyle w:val="FootnoteReference"/>
        </w:rPr>
        <w:footnoteReference w:id="1736"/>
      </w:r>
      <w:r>
        <w:t xml:space="preserve"> and Canaanite and Girgashite</w:t>
      </w:r>
      <w:r>
        <w:rPr>
          <w:rStyle w:val="FootnoteReference"/>
        </w:rPr>
        <w:footnoteReference w:id="1737"/>
      </w:r>
      <w:r>
        <w:t xml:space="preserve"> and Hivite and Jebusite, and I will wipe them out.</w:t>
      </w:r>
    </w:p>
    <w:p>
      <w:r>
        <w:rPr>
          <w:b/>
        </w:rPr>
        <w:t xml:space="preserve">24 </w:t>
      </w:r>
      <w:r>
        <w:t xml:space="preserve">You shall not worship their gods, nor serve them. You shall not do according to their works, but by pulling down you shall pull down, and by breaking you shall break their pillars.</w:t>
      </w:r>
    </w:p>
    <w:p>
      <w:r>
        <w:rPr>
          <w:b/>
        </w:rPr>
        <w:t xml:space="preserve">25 </w:t>
      </w:r>
      <w:r>
        <w:t xml:space="preserve">And you shall serve the Lord your God, and I will bless your bread and your wine and your water, and I will turn sickness away from you.</w:t>
      </w:r>
    </w:p>
    <w:p>
      <w:r>
        <w:rPr>
          <w:b/>
        </w:rPr>
        <w:t xml:space="preserve">26 </w:t>
      </w:r>
      <w:r>
        <w:t xml:space="preserve">None shall be barren or sterile in your land. I will fill up the number</w:t>
      </w:r>
      <w:r>
        <w:rPr>
          <w:rStyle w:val="FootnoteReference"/>
        </w:rPr>
        <w:footnoteReference w:id="1738"/>
      </w:r>
      <w:r>
        <w:t xml:space="preserve"> of your days.</w:t>
      </w:r>
    </w:p>
    <w:p>
      <w:r>
        <w:rPr>
          <w:b/>
        </w:rPr>
        <w:t xml:space="preserve">27 </w:t>
      </w:r>
      <w:r>
        <w:t xml:space="preserve">And I will send fear ahead of you and throw into confusion all the nations among whom you enter, and I will make all your adversaries flee.</w:t>
      </w:r>
    </w:p>
    <w:p>
      <w:r>
        <w:rPr>
          <w:b/>
        </w:rPr>
        <w:t xml:space="preserve">28 </w:t>
      </w:r>
      <w:r>
        <w:t xml:space="preserve">And I will send hornets</w:t>
      </w:r>
      <w:r>
        <w:rPr>
          <w:rStyle w:val="FootnoteReference"/>
        </w:rPr>
        <w:footnoteReference w:id="1739"/>
      </w:r>
      <w:r>
        <w:t xml:space="preserve"> ahead of you, and they shall drive out the Amorites and the Hivites and the Canaanites and the Hittites from before you.</w:t>
      </w:r>
    </w:p>
    <w:p>
      <w:r>
        <w:rPr>
          <w:b/>
        </w:rPr>
        <w:t xml:space="preserve">29 </w:t>
      </w:r>
      <w:r>
        <w:t xml:space="preserve">I will not drive them out in one year</w:t>
      </w:r>
      <w:r>
        <w:rPr>
          <w:rStyle w:val="FootnoteReference"/>
        </w:rPr>
        <w:footnoteReference w:id="1740"/>
      </w:r>
      <w:r>
        <w:t xml:space="preserve">, lest the land become desolate and the beasts of the earth multiply against you.</w:t>
      </w:r>
    </w:p>
    <w:p>
      <w:r>
        <w:rPr>
          <w:b/>
        </w:rPr>
        <w:t xml:space="preserve">30 </w:t>
      </w:r>
      <w:r>
        <w:t xml:space="preserve">Little by little I will drive them out</w:t>
      </w:r>
      <w:r>
        <w:rPr>
          <w:rStyle w:val="FootnoteReference"/>
        </w:rPr>
        <w:footnoteReference w:id="1741"/>
      </w:r>
      <w:r>
        <w:t xml:space="preserve"> from before you, until you increase and inherit the land.</w:t>
      </w:r>
    </w:p>
    <w:p>
      <w:r>
        <w:rPr>
          <w:b/>
        </w:rPr>
        <w:t xml:space="preserve">31 </w:t>
      </w:r>
      <w:r>
        <w:t xml:space="preserve">And I will set</w:t>
      </w:r>
      <w:r>
        <w:rPr>
          <w:rStyle w:val="FootnoteReference"/>
        </w:rPr>
        <w:footnoteReference w:id="1742"/>
      </w:r>
      <w:r>
        <w:t xml:space="preserve"> your borders from the Red Sea to the Sea of the Philistines, and from the wilderness to the great river Euphrates. And I will give the inhabitants of the land into your hands, and I will drive them out from before you.</w:t>
      </w:r>
    </w:p>
    <w:p>
      <w:r>
        <w:rPr>
          <w:b/>
        </w:rPr>
        <w:t xml:space="preserve">32 </w:t>
      </w:r>
      <w:r>
        <w:t xml:space="preserve">You shall make no covenant with them or with their gods</w:t>
      </w:r>
      <w:r>
        <w:rPr>
          <w:rStyle w:val="FootnoteReference"/>
        </w:rPr>
        <w:footnoteReference w:id="1743"/>
      </w:r>
      <w:r>
        <w:t xml:space="preserve">.</w:t>
      </w:r>
    </w:p>
    <w:p>
      <w:r>
        <w:rPr>
          <w:b/>
        </w:rPr>
        <w:t xml:space="preserve">33 </w:t>
      </w:r>
      <w:r>
        <w:t xml:space="preserve">They shall not dwell in your land, lest they make</w:t>
      </w:r>
      <w:r>
        <w:rPr>
          <w:rStyle w:val="FootnoteReference"/>
        </w:rPr>
        <w:footnoteReference w:id="1744"/>
      </w:r>
      <w:r>
        <w:t xml:space="preserve"> you sin against me. For if you serve their gods, these will be a stumbling block to you</w:t>
      </w:r>
      <w:r>
        <w:rPr>
          <w:rStyle w:val="FootnoteReference"/>
        </w:rPr>
        <w:footnoteReference w:id="1745"/>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to Moses he said, "Come up</w:t>
      </w:r>
      <w:r>
        <w:rPr>
          <w:rStyle w:val="FootnoteReference"/>
        </w:rPr>
        <w:footnoteReference w:id="1746"/>
      </w:r>
      <w:r>
        <w:t xml:space="preserve"> to the Lord, you and Aaron and Nadab and Abihu</w:t>
      </w:r>
      <w:r>
        <w:rPr>
          <w:rStyle w:val="FootnoteReference"/>
        </w:rPr>
        <w:footnoteReference w:id="1747"/>
      </w:r>
      <w:r>
        <w:t xml:space="preserve"> and seventy of the elders of Israel, and worship from far off."</w:t>
      </w:r>
    </w:p>
    <w:p>
      <w:r>
        <w:rPr>
          <w:b/>
        </w:rPr>
        <w:t xml:space="preserve">2 </w:t>
      </w:r>
      <w:r>
        <w:t xml:space="preserve">And Moses alone shall come near to God. But they shall not come near, and the people shall not come up with them.</w:t>
      </w:r>
    </w:p>
    <w:p>
      <w:r>
        <w:rPr>
          <w:b/>
        </w:rPr>
        <w:t xml:space="preserve">3 </w:t>
      </w:r>
      <w:r>
        <w:t xml:space="preserve">And Moses went in and related to the people all the words</w:t>
      </w:r>
      <w:r>
        <w:rPr>
          <w:rStyle w:val="FootnoteReference"/>
        </w:rPr>
        <w:footnoteReference w:id="1748"/>
      </w:r>
      <w:r>
        <w:t xml:space="preserve"> of God and the ordinances. And all the people answered with one voice, saying, "All the words that the Lord has spoken we will do and we will hear."</w:t>
      </w:r>
    </w:p>
    <w:p>
      <w:r>
        <w:rPr>
          <w:b/>
        </w:rPr>
        <w:t xml:space="preserve">4 </w:t>
      </w:r>
      <w:r>
        <w:t xml:space="preserve">And Moses wrote</w:t>
      </w:r>
      <w:r>
        <w:rPr>
          <w:rStyle w:val="FootnoteReference"/>
        </w:rPr>
        <w:footnoteReference w:id="1749"/>
      </w:r>
      <w:r>
        <w:t xml:space="preserve"> all the words of the Lord. Rising early in the morning, Moses built an altar under the mountain, and twelve stones for the twelve tribes of Israel.</w:t>
      </w:r>
    </w:p>
    <w:p>
      <w:r>
        <w:rPr>
          <w:b/>
        </w:rPr>
        <w:t xml:space="preserve">5 </w:t>
      </w:r>
      <w:r>
        <w:t xml:space="preserve">And he sent the young men</w:t>
      </w:r>
      <w:r>
        <w:rPr>
          <w:rStyle w:val="FootnoteReference"/>
        </w:rPr>
        <w:footnoteReference w:id="1750"/>
      </w:r>
      <w:r>
        <w:t xml:space="preserve"> of the sons of Israel, and they offered whole burnt offerings and sacrificed calves as offerings of salvation</w:t>
      </w:r>
      <w:r>
        <w:rPr>
          <w:rStyle w:val="FootnoteReference"/>
        </w:rPr>
        <w:footnoteReference w:id="1751"/>
      </w:r>
      <w:r>
        <w:t xml:space="preserve"> to God.</w:t>
      </w:r>
    </w:p>
    <w:p>
      <w:r>
        <w:rPr>
          <w:b/>
        </w:rPr>
        <w:t xml:space="preserve">6 </w:t>
      </w:r>
      <w:r>
        <w:t xml:space="preserve">And Moses took half the blood and poured it into bowls, and half the blood he</w:t>
      </w:r>
      <w:r>
        <w:rPr>
          <w:rStyle w:val="FootnoteReference"/>
        </w:rPr>
        <w:footnoteReference w:id="1752"/>
      </w:r>
      <w:r>
        <w:t xml:space="preserve"> poured out upon the altar.</w:t>
      </w:r>
    </w:p>
    <w:p>
      <w:r>
        <w:rPr>
          <w:b/>
        </w:rPr>
        <w:t xml:space="preserve">7 </w:t>
      </w:r>
      <w:r>
        <w:t xml:space="preserve">And taking the book</w:t>
      </w:r>
      <w:r>
        <w:rPr>
          <w:rStyle w:val="FootnoteReference"/>
        </w:rPr>
        <w:footnoteReference w:id="1753"/>
      </w:r>
      <w:r>
        <w:t xml:space="preserve"> of the covenant, he read it in the hearing of the people, and they said, "All that the Lord has spoken we will do and we will hear."</w:t>
      </w:r>
    </w:p>
    <w:p>
      <w:r>
        <w:rPr>
          <w:b/>
        </w:rPr>
        <w:t xml:space="preserve">8 </w:t>
      </w:r>
      <w:r>
        <w:t xml:space="preserve">And Moses took the blood and splashed it on the people and said, "Behold</w:t>
      </w:r>
      <w:r>
        <w:rPr>
          <w:rStyle w:val="FootnoteReference"/>
        </w:rPr>
        <w:footnoteReference w:id="1754"/>
      </w:r>
      <w:r>
        <w:t xml:space="preserve">, the blood of the covenant that the Lord has made with you concerning all these words."</w:t>
      </w:r>
    </w:p>
    <w:p>
      <w:r>
        <w:rPr>
          <w:b/>
        </w:rPr>
        <w:t xml:space="preserve">9 </w:t>
      </w:r>
      <w:r>
        <w:t xml:space="preserve">Then Moses and Aaron and Nadab and Abihu and seventy from the council of Israel went up.</w:t>
      </w:r>
    </w:p>
    <w:p>
      <w:r>
        <w:rPr>
          <w:b/>
        </w:rPr>
        <w:t xml:space="preserve">10 </w:t>
      </w:r>
      <w:r>
        <w:t xml:space="preserve">And they saw the place where the God of Israel had stood. And under his feet was like the work of sapphire brick, and like the appearance of the firmament of heaven in purity.</w:t>
      </w:r>
    </w:p>
    <w:p>
      <w:r>
        <w:rPr>
          <w:b/>
        </w:rPr>
        <w:t xml:space="preserve">11 </w:t>
      </w:r>
      <w:r>
        <w:t xml:space="preserve">And of the chosen ones of Israel not even one was missing. And they appeared in the place of God, and they ate and drank.</w:t>
      </w:r>
    </w:p>
    <w:p>
      <w:r>
        <w:rPr>
          <w:b/>
        </w:rPr>
        <w:t xml:space="preserve">12 </w:t>
      </w:r>
      <w:r>
        <w:t xml:space="preserve">And the Lord said to Moses, "Come up</w:t>
      </w:r>
      <w:r>
        <w:rPr>
          <w:rStyle w:val="FootnoteReference"/>
        </w:rPr>
        <w:footnoteReference w:id="1755"/>
      </w:r>
      <w:r>
        <w:t xml:space="preserve"> to me on the mountain and stay there, and I will give you the stone tablets, the law and the commandments that I wrote to give them law."</w:t>
      </w:r>
    </w:p>
    <w:p>
      <w:r>
        <w:rPr>
          <w:b/>
        </w:rPr>
        <w:t xml:space="preserve">13 </w:t>
      </w:r>
      <w:r>
        <w:t xml:space="preserve">And Moses rose, and Joshua who stood beside him, and they went up</w:t>
      </w:r>
      <w:r>
        <w:rPr>
          <w:rStyle w:val="FootnoteReference"/>
        </w:rPr>
        <w:footnoteReference w:id="1756"/>
      </w:r>
      <w:r>
        <w:t xml:space="preserve"> into the mountain of God.</w:t>
      </w:r>
    </w:p>
    <w:p>
      <w:r>
        <w:rPr>
          <w:b/>
        </w:rPr>
        <w:t xml:space="preserve">14 </w:t>
      </w:r>
      <w:r>
        <w:t xml:space="preserve">And to the elders they said, "Stay still there until we return to you. And look, Aaron and Hur are with you. If any matter of judgment happens to anyone, let them go to them."</w:t>
      </w:r>
    </w:p>
    <w:p>
      <w:r>
        <w:rPr>
          <w:b/>
        </w:rPr>
        <w:t xml:space="preserve">15 </w:t>
      </w:r>
      <w:r>
        <w:t xml:space="preserve">And Moses and Joshua went up into the mountain, and the cloud covered the mountain.</w:t>
      </w:r>
    </w:p>
    <w:p>
      <w:r>
        <w:rPr>
          <w:b/>
        </w:rPr>
        <w:t xml:space="preserve">16 </w:t>
      </w:r>
      <w:r>
        <w:t xml:space="preserve">And the glory</w:t>
      </w:r>
      <w:r>
        <w:rPr>
          <w:rStyle w:val="FootnoteReference"/>
        </w:rPr>
        <w:footnoteReference w:id="1757"/>
      </w:r>
      <w:r>
        <w:t xml:space="preserve"> of God came down upon Mount Sinai, and the cloud covered it six days. And on the seventh day the Lord called Moses from the midst of the cloud.</w:t>
      </w:r>
    </w:p>
    <w:p>
      <w:r>
        <w:rPr>
          <w:b/>
        </w:rPr>
        <w:t xml:space="preserve">17 </w:t>
      </w:r>
      <w:r>
        <w:t xml:space="preserve">And the appearance of the glory of the Lord was like burning fire on the top of the mountain before the sons of Israel.</w:t>
      </w:r>
    </w:p>
    <w:p>
      <w:r>
        <w:rPr>
          <w:b/>
        </w:rPr>
        <w:t xml:space="preserve">18 </w:t>
      </w:r>
      <w:r>
        <w:t xml:space="preserve">And Moses entered into the midst of the cloud and went up into the mountain. And he was there on the mountain forty days</w:t>
      </w:r>
      <w:r>
        <w:rPr>
          <w:rStyle w:val="FootnoteReference"/>
        </w:rPr>
        <w:footnoteReference w:id="1758"/>
      </w:r>
      <w:r>
        <w:t xml:space="preserve"> and forty nights.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the Lord spoke to Moses, saying,</w:t>
      </w:r>
    </w:p>
    <w:p>
      <w:r>
        <w:rPr>
          <w:b/>
        </w:rPr>
        <w:t xml:space="preserve">2 </w:t>
      </w:r>
      <w:r>
        <w:t xml:space="preserve">"Tell the sons of Israel to take contributions for me. From everyone whose heart deems it good, you shall take my contributions."</w:t>
      </w:r>
    </w:p>
    <w:p>
      <w:r>
        <w:rPr>
          <w:b/>
        </w:rPr>
        <w:t xml:space="preserve">3 </w:t>
      </w:r>
      <w:r>
        <w:t xml:space="preserve">And this is the contribution that you shall take from them: gold and silver and bronze,</w:t>
      </w:r>
    </w:p>
    <w:p>
      <w:r>
        <w:rPr>
          <w:b/>
        </w:rPr>
        <w:t xml:space="preserve">4 </w:t>
      </w:r>
      <w:r>
        <w:t xml:space="preserve">and blue and purple and doubled scarlet and spun fine linen</w:t>
      </w:r>
      <w:r>
        <w:rPr>
          <w:rStyle w:val="FootnoteReference"/>
        </w:rPr>
        <w:footnoteReference w:id="1759"/>
      </w:r>
      <w:r>
        <w:t xml:space="preserve"> and goat hair,</w:t>
      </w:r>
    </w:p>
    <w:p>
      <w:r>
        <w:rPr>
          <w:b/>
        </w:rPr>
        <w:t xml:space="preserve">5 </w:t>
      </w:r>
      <w:r>
        <w:t xml:space="preserve">and rams' skins dyed red and blue skins and incorruptible wood,</w:t>
      </w:r>
    </w:p>
    <w:p>
      <w:r>
        <w:rPr>
          <w:b/>
        </w:rPr>
        <w:t xml:space="preserve">7 </w:t>
      </w:r>
      <w:r>
        <w:t xml:space="preserve">and sardius stones and stones for engraving, for the ephod</w:t>
      </w:r>
      <w:r>
        <w:rPr>
          <w:rStyle w:val="FootnoteReference"/>
        </w:rPr>
        <w:footnoteReference w:id="1760"/>
      </w:r>
      <w:r>
        <w:t xml:space="preserve"> and the robe.</w:t>
      </w:r>
    </w:p>
    <w:p>
      <w:r>
        <w:rPr>
          <w:b/>
        </w:rPr>
        <w:t xml:space="preserve">8 </w:t>
      </w:r>
      <w:r>
        <w:t xml:space="preserve">And you shall make me a holy place, and I will be seen among you.</w:t>
      </w:r>
    </w:p>
    <w:p>
      <w:r>
        <w:rPr>
          <w:b/>
        </w:rPr>
        <w:t xml:space="preserve">9 </w:t>
      </w:r>
      <w:r>
        <w:t xml:space="preserve">And you shall make them for me according to all that I show you on the mountain: the pattern of the tent and the pattern of all its furnishings. So you shall make them.</w:t>
      </w:r>
    </w:p>
    <w:p>
      <w:r>
        <w:rPr>
          <w:b/>
        </w:rPr>
        <w:t xml:space="preserve">10 </w:t>
      </w:r>
      <w:r>
        <w:t xml:space="preserve">And you shall make an ark</w:t>
      </w:r>
      <w:r>
        <w:rPr>
          <w:rStyle w:val="FootnoteReference"/>
        </w:rPr>
        <w:footnoteReference w:id="1761"/>
      </w:r>
      <w:r>
        <w:t xml:space="preserve"> of testimony of incorruptible wood: two and a half cubits its length, one and a half cubits its breadth, and one and a half cubits its height.</w:t>
      </w:r>
    </w:p>
    <w:p>
      <w:r>
        <w:rPr>
          <w:b/>
        </w:rPr>
        <w:t xml:space="preserve">11 </w:t>
      </w:r>
      <w:r>
        <w:t xml:space="preserve">And you shall overlay it with pure gold. Inside and outside you shall overlay it, and you shall make for it twisted golden moldings all around.</w:t>
      </w:r>
    </w:p>
    <w:p>
      <w:r>
        <w:rPr>
          <w:b/>
        </w:rPr>
        <w:t xml:space="preserve">12 </w:t>
      </w:r>
      <w:r>
        <w:t xml:space="preserve">And you shall cast for it four golden rings and place them on its four sides, two rings on one side and two rings on the second side.</w:t>
      </w:r>
    </w:p>
    <w:p>
      <w:r>
        <w:rPr>
          <w:b/>
        </w:rPr>
        <w:t xml:space="preserve">13 </w:t>
      </w:r>
      <w:r>
        <w:t xml:space="preserve">And you shall make carrying-poles of incorruptible wood and overlay them with gold.</w:t>
      </w:r>
    </w:p>
    <w:p>
      <w:r>
        <w:rPr>
          <w:b/>
        </w:rPr>
        <w:t xml:space="preserve">14 </w:t>
      </w:r>
      <w:r>
        <w:t xml:space="preserve">And you shall put the poles into the rings on the sides of the ark, to carry the ark by them.</w:t>
      </w:r>
    </w:p>
    <w:p>
      <w:r>
        <w:rPr>
          <w:b/>
        </w:rPr>
        <w:t xml:space="preserve">15 </w:t>
      </w:r>
      <w:r>
        <w:t xml:space="preserve">The poles shall stay fixed in the rings of the ark.</w:t>
      </w:r>
    </w:p>
    <w:p>
      <w:r>
        <w:rPr>
          <w:b/>
        </w:rPr>
        <w:t xml:space="preserve">16 </w:t>
      </w:r>
      <w:r>
        <w:t xml:space="preserve">And you shall put into the ark the testimonies that I shall give you.</w:t>
      </w:r>
    </w:p>
    <w:p>
      <w:r>
        <w:rPr>
          <w:b/>
        </w:rPr>
        <w:t xml:space="preserve">17 </w:t>
      </w:r>
      <w:r>
        <w:t xml:space="preserve">And you shall make a propitiatory lid of pure gold: two and a half cubits its length, and one and a half cubits its breadth.</w:t>
      </w:r>
    </w:p>
    <w:p>
      <w:r>
        <w:rPr>
          <w:b/>
        </w:rPr>
        <w:t xml:space="preserve">18 </w:t>
      </w:r>
      <w:r>
        <w:t xml:space="preserve">And you shall make two cherubim of beaten gold, and you shall place them on both ends of the propitiatory.</w:t>
      </w:r>
    </w:p>
    <w:p>
      <w:r>
        <w:rPr>
          <w:b/>
        </w:rPr>
        <w:t xml:space="preserve">19 </w:t>
      </w:r>
      <w:r>
        <w:t xml:space="preserve">One cherub shall be made on this end and one cherub on the second end of the propitiatory. You shall make the two cherubim on the two ends.</w:t>
      </w:r>
    </w:p>
    <w:p>
      <w:r>
        <w:rPr>
          <w:b/>
        </w:rPr>
        <w:t xml:space="preserve">20 </w:t>
      </w:r>
      <w:r>
        <w:t xml:space="preserve">And the cherubim shall be stretching out their wings above, overshadowing the propitiatory with their wings, and their faces shall be toward</w:t>
      </w:r>
      <w:r>
        <w:rPr>
          <w:rStyle w:val="FootnoteReference"/>
        </w:rPr>
        <w:footnoteReference w:id="1762"/>
      </w:r>
      <w:r>
        <w:t xml:space="preserve"> one another. The faces of the cherubim shall be toward the propitiatory.</w:t>
      </w:r>
    </w:p>
    <w:p>
      <w:r>
        <w:rPr>
          <w:b/>
        </w:rPr>
        <w:t xml:space="preserve">21 </w:t>
      </w:r>
      <w:r>
        <w:t xml:space="preserve">And you shall place the propitiatory on top of the ark, and into the ark you shall put the testimonies that I shall give you.</w:t>
      </w:r>
    </w:p>
    <w:p>
      <w:r>
        <w:rPr>
          <w:b/>
        </w:rPr>
        <w:t xml:space="preserve">22 </w:t>
      </w:r>
      <w:r>
        <w:t xml:space="preserve">And I will make myself known</w:t>
      </w:r>
      <w:r>
        <w:rPr>
          <w:rStyle w:val="FootnoteReference"/>
        </w:rPr>
        <w:footnoteReference w:id="1763"/>
      </w:r>
      <w:r>
        <w:t xml:space="preserve"> to you there, and I will speak to you from above the propitiatory, from between the two cherubim that are on the ark of testimony, according to all that I shall command you for the sons of Israel.</w:t>
      </w:r>
      <w:r>
        <w:rPr>
          <w:rStyle w:val="FootnoteReference"/>
        </w:rPr>
        <w:footnoteReference w:id="1764"/>
      </w:r>
    </w:p>
    <w:p>
      <w:r>
        <w:rPr>
          <w:b/>
        </w:rPr>
        <w:t xml:space="preserve">23 </w:t>
      </w:r>
      <w:r>
        <w:t xml:space="preserve">And you shall make a table</w:t>
      </w:r>
      <w:r>
        <w:rPr>
          <w:rStyle w:val="FootnoteReference"/>
        </w:rPr>
        <w:footnoteReference w:id="1765"/>
      </w:r>
      <w:r>
        <w:t xml:space="preserve"> of pure gold: two cubits its length, one cubit its breadth, and one and a half cubits its height.</w:t>
      </w:r>
    </w:p>
    <w:p>
      <w:r>
        <w:rPr>
          <w:b/>
        </w:rPr>
        <w:t xml:space="preserve">24 </w:t>
      </w:r>
      <w:r>
        <w:t xml:space="preserve">And you shall make for it twisted golden moldings all around.</w:t>
      </w:r>
    </w:p>
    <w:p>
      <w:r>
        <w:rPr>
          <w:b/>
        </w:rPr>
        <w:t xml:space="preserve">25 </w:t>
      </w:r>
      <w:r>
        <w:t xml:space="preserve">And you shall make for it a rim a handbreadth around it, and you shall make a twisted molding around the rim.</w:t>
      </w:r>
    </w:p>
    <w:p>
      <w:r>
        <w:rPr>
          <w:b/>
        </w:rPr>
        <w:t xml:space="preserve">26 </w:t>
      </w:r>
      <w:r>
        <w:t xml:space="preserve">And you shall make four golden rings and place the rings on the four parts of its feet.</w:t>
      </w:r>
    </w:p>
    <w:p>
      <w:r>
        <w:rPr>
          <w:b/>
        </w:rPr>
        <w:t xml:space="preserve">27 </w:t>
      </w:r>
      <w:r>
        <w:t xml:space="preserve">The rings shall be under the rim, as holders for the carrying-poles, so that the table may be carried by them.</w:t>
      </w:r>
    </w:p>
    <w:p>
      <w:r>
        <w:rPr>
          <w:b/>
        </w:rPr>
        <w:t xml:space="preserve">28 </w:t>
      </w:r>
      <w:r>
        <w:t xml:space="preserve">And you shall make the poles of incorruptible wood and overlay them with pure gold, and the table</w:t>
      </w:r>
      <w:r>
        <w:rPr>
          <w:rStyle w:val="FootnoteReference"/>
        </w:rPr>
        <w:footnoteReference w:id="1766"/>
      </w:r>
      <w:r>
        <w:t xml:space="preserve"> shall be carried by them.</w:t>
      </w:r>
    </w:p>
    <w:p>
      <w:r>
        <w:rPr>
          <w:b/>
        </w:rPr>
        <w:t xml:space="preserve">29 </w:t>
      </w:r>
      <w:r>
        <w:t xml:space="preserve">And you shall make its dishes and censers and libation bowls and cups with which you shall pour offerings. You shall make them of pure gold.</w:t>
      </w:r>
    </w:p>
    <w:p>
      <w:r>
        <w:rPr>
          <w:b/>
        </w:rPr>
        <w:t xml:space="preserve">30 </w:t>
      </w:r>
      <w:r>
        <w:t xml:space="preserve">And you shall set on the table loaves before my face continually.</w:t>
      </w:r>
    </w:p>
    <w:p>
      <w:r>
        <w:rPr>
          <w:b/>
        </w:rPr>
        <w:t xml:space="preserve">31 </w:t>
      </w:r>
      <w:r>
        <w:t xml:space="preserve">And you shall make a lampstand of pure gold. Beaten work shall you make the lampstand: its shaft and its branches, its bowls and knobs and lilies shall be from it.</w:t>
      </w:r>
    </w:p>
    <w:p>
      <w:r>
        <w:rPr>
          <w:b/>
        </w:rPr>
        <w:t xml:space="preserve">32 </w:t>
      </w:r>
      <w:r>
        <w:t xml:space="preserve">Six branches shall come out from its sides: three branches of the lampstand from one side and three branches of the lampstand from the second side.</w:t>
      </w:r>
    </w:p>
    <w:p>
      <w:r>
        <w:rPr>
          <w:b/>
        </w:rPr>
        <w:t xml:space="preserve">33 </w:t>
      </w:r>
      <w:r>
        <w:t xml:space="preserve">Three almond-shaped bowls</w:t>
      </w:r>
      <w:r>
        <w:rPr>
          <w:rStyle w:val="FootnoteReference"/>
        </w:rPr>
        <w:footnoteReference w:id="1767"/>
      </w:r>
      <w:r>
        <w:t xml:space="preserve"> on one branch, with knob and lily. So also on the six branches that come out from the lampstand.</w:t>
      </w:r>
    </w:p>
    <w:p>
      <w:r>
        <w:rPr>
          <w:b/>
        </w:rPr>
        <w:t xml:space="preserve">34 </w:t>
      </w:r>
      <w:r>
        <w:t xml:space="preserve">And on the lampstand four almond-shaped bowls, with its knobs and its lilies.</w:t>
      </w:r>
    </w:p>
    <w:p>
      <w:r>
        <w:rPr>
          <w:b/>
        </w:rPr>
        <w:t xml:space="preserve">35 </w:t>
      </w:r>
      <w:r>
        <w:t xml:space="preserve">A knob</w:t>
      </w:r>
      <w:r>
        <w:rPr>
          <w:rStyle w:val="FootnoteReference"/>
        </w:rPr>
        <w:footnoteReference w:id="1768"/>
      </w:r>
      <w:r>
        <w:t xml:space="preserve"> under two branches from it, and a knob under four branches from it, so also for the six branches that come out from the lampstand.</w:t>
      </w:r>
    </w:p>
    <w:p>
      <w:r>
        <w:rPr>
          <w:b/>
        </w:rPr>
        <w:t xml:space="preserve">36 </w:t>
      </w:r>
      <w:r>
        <w:t xml:space="preserve">Their knobs and their branches shall be from it. All shall be one beaten piece of pure gold.</w:t>
      </w:r>
      <w:r>
        <w:rPr>
          <w:rStyle w:val="FootnoteReference"/>
        </w:rPr>
        <w:footnoteReference w:id="1769"/>
      </w:r>
      <w:r>
        <w:t xml:space="preserve"/>
      </w:r>
      <w:r>
        <w:rPr>
          <w:rStyle w:val="FootnoteReference"/>
        </w:rPr>
        <w:footnoteReference w:id="1770"/>
      </w:r>
    </w:p>
    <w:p>
      <w:r>
        <w:rPr>
          <w:b/>
        </w:rPr>
        <w:t xml:space="preserve">37 </w:t>
      </w:r>
      <w:r>
        <w:t xml:space="preserve">And you shall make its seven</w:t>
      </w:r>
      <w:r>
        <w:rPr>
          <w:rStyle w:val="FootnoteReference"/>
        </w:rPr>
        <w:footnoteReference w:id="1771"/>
      </w:r>
      <w:r>
        <w:t xml:space="preserve"> lamps. And you shall set up the lamps, and they shall shine from the one front.</w:t>
      </w:r>
    </w:p>
    <w:p>
      <w:r>
        <w:rPr>
          <w:b/>
        </w:rPr>
        <w:t xml:space="preserve">38 </w:t>
      </w:r>
      <w:r>
        <w:t xml:space="preserve">And you shall make its snuffers and its trays of pure gold.</w:t>
      </w:r>
    </w:p>
    <w:p>
      <w:r>
        <w:rPr>
          <w:b/>
        </w:rPr>
        <w:t xml:space="preserve">39 </w:t>
      </w:r>
      <w:r>
        <w:t xml:space="preserve">All these utensils shall be one talent</w:t>
      </w:r>
      <w:r>
        <w:rPr>
          <w:rStyle w:val="FootnoteReference"/>
        </w:rPr>
        <w:footnoteReference w:id="1772"/>
      </w:r>
      <w:r>
        <w:t xml:space="preserve"> of pure gold.</w:t>
      </w:r>
    </w:p>
    <w:p>
      <w:r>
        <w:rPr>
          <w:b/>
        </w:rPr>
        <w:t xml:space="preserve">40 </w:t>
      </w:r>
      <w:r>
        <w:t xml:space="preserve">See that you make them according to the pattern shown you on the mountain.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the tent you shall make with ten curtains of woven fine linen and blue and purple and spun scarlet. You shall make them with cherubim, woven work.</w:t>
      </w:r>
    </w:p>
    <w:p>
      <w:r>
        <w:rPr>
          <w:b/>
        </w:rPr>
        <w:t xml:space="preserve">2 </w:t>
      </w:r>
      <w:r>
        <w:t xml:space="preserve">The length of one curtain</w:t>
      </w:r>
      <w:r>
        <w:rPr>
          <w:rStyle w:val="FootnoteReference"/>
        </w:rPr>
        <w:footnoteReference w:id="1773"/>
      </w:r>
      <w:r>
        <w:t xml:space="preserve"> shall be twenty-eight cubits, and the breadth of one curtain four cubits. One measure shall belong to all the curtains.</w:t>
      </w:r>
    </w:p>
    <w:p>
      <w:r>
        <w:rPr>
          <w:b/>
        </w:rPr>
        <w:t xml:space="preserve">3 </w:t>
      </w:r>
      <w:r>
        <w:t xml:space="preserve">Five curtains shall be joined one to another, and five curtains shall be held together one to another.</w:t>
      </w:r>
    </w:p>
    <w:p>
      <w:r>
        <w:rPr>
          <w:b/>
        </w:rPr>
        <w:t xml:space="preserve">4 </w:t>
      </w:r>
      <w:r>
        <w:t xml:space="preserve">And you shall make blue loops on the edge of one curtain on one side for the coupling, and so you shall make on the edge of the outer curtain for the second coupling.</w:t>
      </w:r>
    </w:p>
    <w:p>
      <w:r>
        <w:rPr>
          <w:b/>
        </w:rPr>
        <w:t xml:space="preserve">5 </w:t>
      </w:r>
      <w:r>
        <w:t xml:space="preserve">Fifty loops you shall make on the one curtain, and fifty loops on the part of the curtain at the coupling of the second, matching one another</w:t>
      </w:r>
      <w:r>
        <w:rPr>
          <w:rStyle w:val="FootnoteReference"/>
        </w:rPr>
        <w:footnoteReference w:id="1774"/>
      </w:r>
      <w:r>
        <w:t xml:space="preserve">.</w:t>
      </w:r>
    </w:p>
    <w:p>
      <w:r>
        <w:rPr>
          <w:b/>
        </w:rPr>
        <w:t xml:space="preserve">6 </w:t>
      </w:r>
      <w:r>
        <w:t xml:space="preserve">And you shall make fifty gold clasps and join the curtains one to another with the clasps, and the tent shall be one.</w:t>
      </w:r>
    </w:p>
    <w:p>
      <w:r>
        <w:rPr>
          <w:b/>
        </w:rPr>
        <w:t xml:space="preserve">7 </w:t>
      </w:r>
      <w:r>
        <w:t xml:space="preserve">And you shall make goat-hair coverings as a covering over the tent. Eleven</w:t>
      </w:r>
      <w:r>
        <w:rPr>
          <w:rStyle w:val="FootnoteReference"/>
        </w:rPr>
        <w:footnoteReference w:id="1775"/>
      </w:r>
      <w:r>
        <w:t xml:space="preserve"> coverings you shall make.</w:t>
      </w:r>
    </w:p>
    <w:p>
      <w:r>
        <w:rPr>
          <w:b/>
        </w:rPr>
        <w:t xml:space="preserve">8 </w:t>
      </w:r>
      <w:r>
        <w:t xml:space="preserve">The length of one covering shall be thirty cubits, and the breadth of one covering four cubits. One measure shall belong to the eleven coverings.</w:t>
      </w:r>
    </w:p>
    <w:p>
      <w:r>
        <w:rPr>
          <w:b/>
        </w:rPr>
        <w:t xml:space="preserve">9 </w:t>
      </w:r>
      <w:r>
        <w:t xml:space="preserve">And you shall join the five coverings together and the six coverings together, and you shall fold the sixth covering over at the front of the tent.</w:t>
      </w:r>
    </w:p>
    <w:p>
      <w:r>
        <w:rPr>
          <w:b/>
        </w:rPr>
        <w:t xml:space="preserve">10 </w:t>
      </w:r>
      <w:r>
        <w:t xml:space="preserve">And you shall make fifty loops</w:t>
      </w:r>
      <w:r>
        <w:rPr>
          <w:rStyle w:val="FootnoteReference"/>
        </w:rPr>
        <w:footnoteReference w:id="1776"/>
      </w:r>
      <w:r>
        <w:t xml:space="preserve"> on the edge of the one covering that is in the middle at the joining, and fifty loops on the edge of the second covering that joins it.</w:t>
      </w:r>
    </w:p>
    <w:p>
      <w:r>
        <w:rPr>
          <w:b/>
        </w:rPr>
        <w:t xml:space="preserve">11 </w:t>
      </w:r>
      <w:r>
        <w:t xml:space="preserve">And you shall make fifty bronze clasps, and you shall join the clasps through the loops and join the coverings, and it shall be one.</w:t>
      </w:r>
    </w:p>
    <w:p>
      <w:r>
        <w:rPr>
          <w:b/>
        </w:rPr>
        <w:t xml:space="preserve">12 </w:t>
      </w:r>
      <w:r>
        <w:t xml:space="preserve">And the extra part in the coverings of the tent, the half-covering that remains</w:t>
      </w:r>
      <w:r>
        <w:rPr>
          <w:rStyle w:val="FootnoteReference"/>
        </w:rPr>
        <w:footnoteReference w:id="1777"/>
      </w:r>
      <w:r>
        <w:t xml:space="preserve">, you shall let hang over the back of the tent.</w:t>
      </w:r>
    </w:p>
    <w:p>
      <w:r>
        <w:rPr>
          <w:b/>
        </w:rPr>
        <w:t xml:space="preserve">13 </w:t>
      </w:r>
      <w:r>
        <w:t xml:space="preserve">A cubit</w:t>
      </w:r>
      <w:r>
        <w:rPr>
          <w:rStyle w:val="FootnoteReference"/>
        </w:rPr>
        <w:footnoteReference w:id="1778"/>
      </w:r>
      <w:r>
        <w:t xml:space="preserve"> on this side and a cubit on that side, from the excess in the length of the tent coverings, shall hang over the sides of the tent on this side and that side to cover it.</w:t>
      </w:r>
    </w:p>
    <w:p>
      <w:r>
        <w:rPr>
          <w:b/>
        </w:rPr>
        <w:t xml:space="preserve">14 </w:t>
      </w:r>
      <w:r>
        <w:t xml:space="preserve">And you shall make for the tent a covering</w:t>
      </w:r>
      <w:r>
        <w:rPr>
          <w:rStyle w:val="FootnoteReference"/>
        </w:rPr>
        <w:footnoteReference w:id="1779"/>
      </w:r>
      <w:r>
        <w:t xml:space="preserve"> of red-dyed rams' skins, and coverings of blue skins above.</w:t>
      </w:r>
    </w:p>
    <w:p>
      <w:r>
        <w:rPr>
          <w:b/>
        </w:rPr>
        <w:t xml:space="preserve">15 </w:t>
      </w:r>
      <w:r>
        <w:t xml:space="preserve">And you shall make uprights for the tent of incorruptible wood.</w:t>
      </w:r>
    </w:p>
    <w:p>
      <w:r>
        <w:rPr>
          <w:b/>
        </w:rPr>
        <w:t xml:space="preserve">16 </w:t>
      </w:r>
      <w:r>
        <w:t xml:space="preserve">Ten cubits shall you make one upright, and one and a half cubits the breadth of one upright.</w:t>
      </w:r>
    </w:p>
    <w:p>
      <w:r>
        <w:rPr>
          <w:b/>
        </w:rPr>
        <w:t xml:space="preserve">17 </w:t>
      </w:r>
      <w:r>
        <w:t xml:space="preserve">Two tenons</w:t>
      </w:r>
      <w:r>
        <w:rPr>
          <w:rStyle w:val="FootnoteReference"/>
        </w:rPr>
        <w:footnoteReference w:id="1780"/>
      </w:r>
      <w:r>
        <w:t xml:space="preserve"> for each upright, corresponding one to another. So you shall do for all the uprights of the tent.</w:t>
      </w:r>
    </w:p>
    <w:p>
      <w:r>
        <w:rPr>
          <w:b/>
        </w:rPr>
        <w:t xml:space="preserve">18 </w:t>
      </w:r>
      <w:r>
        <w:t xml:space="preserve">And you shall make the uprights for the tent, twenty uprights on the side toward the north.</w:t>
      </w:r>
    </w:p>
    <w:p>
      <w:r>
        <w:rPr>
          <w:b/>
        </w:rPr>
        <w:t xml:space="preserve">19 </w:t>
      </w:r>
      <w:r>
        <w:t xml:space="preserve">And you shall make forty silver bases for the twenty uprights, two bases for one upright on its two sides and two bases for the next upright on its two sides.</w:t>
      </w:r>
    </w:p>
    <w:p>
      <w:r>
        <w:rPr>
          <w:b/>
        </w:rPr>
        <w:t xml:space="preserve">20 </w:t>
      </w:r>
      <w:r>
        <w:t xml:space="preserve">And on the second side, the side toward the south, twenty uprights.</w:t>
      </w:r>
    </w:p>
    <w:p>
      <w:r>
        <w:rPr>
          <w:b/>
        </w:rPr>
        <w:t xml:space="preserve">21 </w:t>
      </w:r>
      <w:r>
        <w:t xml:space="preserve">And their forty silver bases, two bases for one upright on its two sides and two bases for the next upright on its two sides.</w:t>
      </w:r>
    </w:p>
    <w:p>
      <w:r>
        <w:rPr>
          <w:b/>
        </w:rPr>
        <w:t xml:space="preserve">22 </w:t>
      </w:r>
      <w:r>
        <w:t xml:space="preserve">And at the back of the tent, at the side toward the sea, you shall make six uprights.</w:t>
      </w:r>
    </w:p>
    <w:p>
      <w:r>
        <w:rPr>
          <w:b/>
        </w:rPr>
        <w:t xml:space="preserve">23 </w:t>
      </w:r>
      <w:r>
        <w:t xml:space="preserve">And you shall make two uprights for the corners</w:t>
      </w:r>
      <w:r>
        <w:rPr>
          <w:rStyle w:val="FootnoteReference"/>
        </w:rPr>
        <w:footnoteReference w:id="1781"/>
      </w:r>
      <w:r>
        <w:t xml:space="preserve"> of the tent at the back.</w:t>
      </w:r>
    </w:p>
    <w:p>
      <w:r>
        <w:rPr>
          <w:b/>
        </w:rPr>
        <w:t xml:space="preserve">24 </w:t>
      </w:r>
      <w:r>
        <w:t xml:space="preserve">And they shall be equal below, and together they shall be equal up to the tops for one joining. So you shall make them for both, for the two corners.</w:t>
      </w:r>
    </w:p>
    <w:p>
      <w:r>
        <w:rPr>
          <w:b/>
        </w:rPr>
        <w:t xml:space="preserve">25 </w:t>
      </w:r>
      <w:r>
        <w:t xml:space="preserve">And there shall be eight uprights, and their silver bases sixteen: two bases for one upright on its two sides and two bases for the next upright.</w:t>
      </w:r>
    </w:p>
    <w:p>
      <w:r>
        <w:rPr>
          <w:b/>
        </w:rPr>
        <w:t xml:space="preserve">26 </w:t>
      </w:r>
      <w:r>
        <w:t xml:space="preserve">And you shall make bars of incorruptible wood, five for the uprights on one side of the tent,</w:t>
      </w:r>
    </w:p>
    <w:p>
      <w:r>
        <w:rPr>
          <w:b/>
        </w:rPr>
        <w:t xml:space="preserve">27 </w:t>
      </w:r>
      <w:r>
        <w:t xml:space="preserve">and five bars for the uprights on the second side of the tent, and five bars for the hindmost uprights on the side of the tent toward the sea.</w:t>
      </w:r>
    </w:p>
    <w:p>
      <w:r>
        <w:rPr>
          <w:b/>
        </w:rPr>
        <w:t xml:space="preserve">28 </w:t>
      </w:r>
      <w:r>
        <w:t xml:space="preserve">And the middle bar, in the midst of the uprights, shall pass through from one side to the other.</w:t>
      </w:r>
    </w:p>
    <w:p>
      <w:r>
        <w:rPr>
          <w:b/>
        </w:rPr>
        <w:t xml:space="preserve">29 </w:t>
      </w:r>
      <w:r>
        <w:t xml:space="preserve">And you shall overlay the uprights with gold, and you shall make gold rings into which you shall bring in the bars, and you shall overlay the bars with gold.</w:t>
      </w:r>
    </w:p>
    <w:p>
      <w:r>
        <w:rPr>
          <w:b/>
        </w:rPr>
        <w:t xml:space="preserve">30 </w:t>
      </w:r>
      <w:r>
        <w:t xml:space="preserve">And you shall set up the tent according to the pattern shown you on the mountain.</w:t>
      </w:r>
    </w:p>
    <w:p>
      <w:r>
        <w:rPr>
          <w:b/>
        </w:rPr>
        <w:t xml:space="preserve">31 </w:t>
      </w:r>
      <w:r>
        <w:t xml:space="preserve">And you shall make a curtain of blue</w:t>
      </w:r>
      <w:r>
        <w:rPr>
          <w:rStyle w:val="FootnoteReference"/>
        </w:rPr>
        <w:footnoteReference w:id="1782"/>
      </w:r>
      <w:r>
        <w:t xml:space="preserve"> and purple and spun scarlet and woven fine linen. You shall make it with cherubim, woven work.</w:t>
      </w:r>
    </w:p>
    <w:p>
      <w:r>
        <w:rPr>
          <w:b/>
        </w:rPr>
        <w:t xml:space="preserve">32 </w:t>
      </w:r>
      <w:r>
        <w:t xml:space="preserve">And you shall place it on four incorruptible posts overlaid with gold, their capitals gold, and their four bases silver.</w:t>
      </w:r>
    </w:p>
    <w:p>
      <w:r>
        <w:rPr>
          <w:b/>
        </w:rPr>
        <w:t xml:space="preserve">33 </w:t>
      </w:r>
      <w:r>
        <w:t xml:space="preserve">And you shall put the curtain on the posts, and within the curtain you shall bring in there the ark of testimony. And the curtain shall divide for you between the Holy Place</w:t>
      </w:r>
      <w:r>
        <w:rPr>
          <w:rStyle w:val="FootnoteReference"/>
        </w:rPr>
        <w:footnoteReference w:id="1783"/>
      </w:r>
      <w:r>
        <w:t xml:space="preserve"> and the Holy of Holies.</w:t>
      </w:r>
    </w:p>
    <w:p>
      <w:r>
        <w:rPr>
          <w:b/>
        </w:rPr>
        <w:t xml:space="preserve">34 </w:t>
      </w:r>
      <w:r>
        <w:t xml:space="preserve">And with the curtain you shall cover the ark of testimony in the Holy of Holies.</w:t>
      </w:r>
    </w:p>
    <w:p>
      <w:r>
        <w:rPr>
          <w:b/>
        </w:rPr>
        <w:t xml:space="preserve">35 </w:t>
      </w:r>
      <w:r>
        <w:t xml:space="preserve">And you shall place the table</w:t>
      </w:r>
      <w:r>
        <w:rPr>
          <w:rStyle w:val="FootnoteReference"/>
        </w:rPr>
        <w:footnoteReference w:id="1784"/>
      </w:r>
      <w:r>
        <w:t xml:space="preserve"> outside the curtain, and the lampstand opposite the table on the south side of the tent. And you shall put the table on the north side of the tent.</w:t>
      </w:r>
    </w:p>
    <w:p>
      <w:r>
        <w:rPr>
          <w:b/>
        </w:rPr>
        <w:t xml:space="preserve">36 </w:t>
      </w:r>
      <w:r>
        <w:t xml:space="preserve">And you shall make a screen for the entrance of the tent</w:t>
      </w:r>
      <w:r>
        <w:rPr>
          <w:rStyle w:val="FootnoteReference"/>
        </w:rPr>
        <w:footnoteReference w:id="1785"/>
      </w:r>
      <w:r>
        <w:t xml:space="preserve">, of blue and purple and spun scarlet and woven fine linen, embroidered work.</w:t>
      </w:r>
    </w:p>
    <w:p>
      <w:r>
        <w:rPr>
          <w:b/>
        </w:rPr>
        <w:t xml:space="preserve">37 </w:t>
      </w:r>
      <w:r>
        <w:t xml:space="preserve">And you shall make for the screen five posts and overlay them with gold</w:t>
      </w:r>
      <w:r>
        <w:rPr>
          <w:rStyle w:val="FootnoteReference"/>
        </w:rPr>
        <w:footnoteReference w:id="1786"/>
      </w:r>
      <w:r>
        <w:t xml:space="preserve">, and their capitals gold, and you shall cast for them five bronze bases.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you shall make the altar of incorruptible wood, five cubits its length and five cubits its breadth. The altar shall be square, and its height three cubits.</w:t>
      </w:r>
    </w:p>
    <w:p>
      <w:r>
        <w:rPr>
          <w:b/>
        </w:rPr>
        <w:t xml:space="preserve">2 </w:t>
      </w:r>
      <w:r>
        <w:t xml:space="preserve">And you shall make the horns upon its four corners. The horns shall be from it, and you shall cover them with bronze.</w:t>
      </w:r>
    </w:p>
    <w:p>
      <w:r>
        <w:rPr>
          <w:b/>
        </w:rPr>
        <w:t xml:space="preserve">3 </w:t>
      </w:r>
      <w:r>
        <w:t xml:space="preserve">And you shall make a rim for the altar, and its pans and its bowls and its flesh-hooks and its fire-pan. All its utensils you shall make of bronze.</w:t>
      </w:r>
    </w:p>
    <w:p>
      <w:r>
        <w:rPr>
          <w:b/>
        </w:rPr>
        <w:t xml:space="preserve">4 </w:t>
      </w:r>
      <w:r>
        <w:t xml:space="preserve">And you shall make for it a bronze grate of net-work, and you shall make for the grate four bronze rings on its four sides.</w:t>
      </w:r>
    </w:p>
    <w:p>
      <w:r>
        <w:rPr>
          <w:b/>
        </w:rPr>
        <w:t xml:space="preserve">5 </w:t>
      </w:r>
      <w:r>
        <w:t xml:space="preserve">And you shall set them under the grate of the altar below, and the grate shall reach to the middle of the altar.</w:t>
      </w:r>
    </w:p>
    <w:p>
      <w:r>
        <w:rPr>
          <w:b/>
        </w:rPr>
        <w:t xml:space="preserve">6 </w:t>
      </w:r>
      <w:r>
        <w:t xml:space="preserve">And you shall make poles for the altar of incorruptible wood, and you shall overlay them with bronze.</w:t>
      </w:r>
    </w:p>
    <w:p>
      <w:r>
        <w:rPr>
          <w:b/>
        </w:rPr>
        <w:t xml:space="preserve">7 </w:t>
      </w:r>
      <w:r>
        <w:t xml:space="preserve">And you shall bring the poles into the rings, and the poles shall be on the sides of the altar when it is carried.</w:t>
      </w:r>
    </w:p>
    <w:p>
      <w:r>
        <w:rPr>
          <w:b/>
        </w:rPr>
        <w:t xml:space="preserve">8 </w:t>
      </w:r>
      <w:r>
        <w:t xml:space="preserve">Hollow, of boards, you shall make it. According to what was shown you on the mountain, so you shall make it.</w:t>
      </w:r>
    </w:p>
    <w:p>
      <w:r>
        <w:rPr>
          <w:b/>
        </w:rPr>
        <w:t xml:space="preserve">9 </w:t>
      </w:r>
      <w:r>
        <w:t xml:space="preserve">And you shall make a court for the tent. On the side toward the south wind, hangings of woven fine linen, one hundred cubits long for one side.</w:t>
      </w:r>
    </w:p>
    <w:p>
      <w:r>
        <w:rPr>
          <w:b/>
        </w:rPr>
        <w:t xml:space="preserve">10 </w:t>
      </w:r>
      <w:r>
        <w:t xml:space="preserve">And their pillars twenty, and their twenty bronze bases, and their hooks and fastenings of silver.</w:t>
      </w:r>
    </w:p>
    <w:p>
      <w:r>
        <w:rPr>
          <w:b/>
        </w:rPr>
        <w:t xml:space="preserve">11 </w:t>
      </w:r>
      <w:r>
        <w:t xml:space="preserve">So also for the side toward the east wind, hangings one hundred cubits long, and their pillars twenty, and their twenty bronze bases, and the hooks and fastenings of the pillars silver-covered.</w:t>
      </w:r>
    </w:p>
    <w:p>
      <w:r>
        <w:rPr>
          <w:b/>
        </w:rPr>
        <w:t xml:space="preserve">12 </w:t>
      </w:r>
      <w:r>
        <w:t xml:space="preserve">And on the breadth of the court toward the sea, hangings fifty cubits, their pillars ten and their bases ten.</w:t>
      </w:r>
    </w:p>
    <w:p>
      <w:r>
        <w:rPr>
          <w:b/>
        </w:rPr>
        <w:t xml:space="preserve">13 </w:t>
      </w:r>
      <w:r>
        <w:t xml:space="preserve">And on the breadth of the court toward the south, hangings fifty cubits, their pillars ten and their bases ten.</w:t>
      </w:r>
    </w:p>
    <w:p>
      <w:r>
        <w:rPr>
          <w:b/>
        </w:rPr>
        <w:t xml:space="preserve">14 </w:t>
      </w:r>
      <w:r>
        <w:t xml:space="preserve">And the hangings shall be fifteen cubits high on one side, their pillars three and their bases three.</w:t>
      </w:r>
    </w:p>
    <w:p>
      <w:r>
        <w:rPr>
          <w:b/>
        </w:rPr>
        <w:t xml:space="preserve">15 </w:t>
      </w:r>
      <w:r>
        <w:t xml:space="preserve">And for the second side, fifteen cubits the height of the hangings, their pillars three and their bases three.</w:t>
      </w:r>
    </w:p>
    <w:p>
      <w:r>
        <w:rPr>
          <w:b/>
        </w:rPr>
        <w:t xml:space="preserve">16 </w:t>
      </w:r>
      <w:r>
        <w:t xml:space="preserve">And for the gate of the court, a screen twenty cubits long, of blue</w:t>
      </w:r>
      <w:r>
        <w:rPr>
          <w:rStyle w:val="FootnoteReference"/>
        </w:rPr>
        <w:footnoteReference w:id="1787"/>
      </w:r>
      <w:r>
        <w:t xml:space="preserve"> and purple and spun scarlet and woven fine linen, worked by an embroiderer, their pillars four and their bases four.</w:t>
      </w:r>
    </w:p>
    <w:p>
      <w:r>
        <w:rPr>
          <w:b/>
        </w:rPr>
        <w:t xml:space="preserve">17 </w:t>
      </w:r>
      <w:r>
        <w:t xml:space="preserve">All the pillars of the court all around silver-covered, their capitals silver, and their bases bronze.</w:t>
      </w:r>
    </w:p>
    <w:p>
      <w:r>
        <w:rPr>
          <w:b/>
        </w:rPr>
        <w:t xml:space="preserve">18 </w:t>
      </w:r>
      <w:r>
        <w:t xml:space="preserve">And the length of the court</w:t>
      </w:r>
      <w:r>
        <w:rPr>
          <w:rStyle w:val="FootnoteReference"/>
        </w:rPr>
        <w:footnoteReference w:id="1788"/>
      </w:r>
      <w:r>
        <w:t xml:space="preserve"> shall be one hundred by one hundred, and the breadth fifty by fifty, and the height five cubits, of woven fine linen, and their bases bronze.</w:t>
      </w:r>
    </w:p>
    <w:p>
      <w:r>
        <w:rPr>
          <w:b/>
        </w:rPr>
        <w:t xml:space="preserve">19 </w:t>
      </w:r>
      <w:r>
        <w:t xml:space="preserve">And all the furnishing and all the implements and the pegs of the court shall be bronze.</w:t>
      </w:r>
    </w:p>
    <w:p>
      <w:r>
        <w:rPr>
          <w:b/>
        </w:rPr>
        <w:t xml:space="preserve">20 </w:t>
      </w:r>
      <w:r>
        <w:t xml:space="preserve">And you shall charge the sons of Israel, and let them bring you pure beaten olive oil for the light</w:t>
      </w:r>
      <w:r>
        <w:rPr>
          <w:rStyle w:val="FootnoteReference"/>
        </w:rPr>
        <w:footnoteReference w:id="1789"/>
      </w:r>
      <w:r>
        <w:t xml:space="preserve">, that a lamp may burn continually.</w:t>
      </w:r>
    </w:p>
    <w:p>
      <w:r>
        <w:rPr>
          <w:b/>
        </w:rPr>
        <w:t xml:space="preserve">21 </w:t>
      </w:r>
      <w:r>
        <w:t xml:space="preserve">In the tent of testimony</w:t>
      </w:r>
      <w:r>
        <w:rPr>
          <w:rStyle w:val="FootnoteReference"/>
        </w:rPr>
        <w:footnoteReference w:id="1790"/>
      </w:r>
      <w:r>
        <w:t xml:space="preserve">, outside the curtain that is over the covenant, Aaron and his sons shall tend it from evening until morning before the Lord. This is an everlasting ordinance throughout your generations from the sons of Israel.</w:t>
      </w:r>
      <w:r>
        <w:rPr>
          <w:rStyle w:val="FootnoteReference"/>
        </w:rPr>
        <w:footnoteReference w:id="1791"/>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And you, bring near to yourself</w:t>
      </w:r>
      <w:r>
        <w:rPr>
          <w:rStyle w:val="FootnoteReference"/>
        </w:rPr>
        <w:footnoteReference w:id="1792"/>
      </w:r>
      <w:r>
        <w:t xml:space="preserve"> Aaron your brother and his sons with him from among</w:t>
      </w:r>
      <w:r>
        <w:rPr>
          <w:rStyle w:val="FootnoteReference"/>
        </w:rPr>
        <w:footnoteReference w:id="1793"/>
      </w:r>
      <w:r>
        <w:t xml:space="preserve"> the sons of Israel to serve as priests to me: Aaron and Nadab and Abihu and Eleazar and Ithamar, Aaron's sons.</w:t>
      </w:r>
    </w:p>
    <w:p>
      <w:r>
        <w:rPr>
          <w:b/>
        </w:rPr>
        <w:t xml:space="preserve">2 </w:t>
      </w:r>
      <w:r>
        <w:t xml:space="preserve">And you shall make holy apparel for Aaron your brother, for honor and glory</w:t>
      </w:r>
      <w:r>
        <w:rPr>
          <w:rStyle w:val="FootnoteReference"/>
        </w:rPr>
        <w:footnoteReference w:id="1794"/>
      </w:r>
      <w:r>
        <w:t xml:space="preserve">.</w:t>
      </w:r>
    </w:p>
    <w:p>
      <w:r>
        <w:rPr>
          <w:b/>
        </w:rPr>
        <w:t xml:space="preserve">3 </w:t>
      </w:r>
      <w:r>
        <w:t xml:space="preserve">And you shall speak to all the wise in mind, whom I have filled</w:t>
      </w:r>
      <w:r>
        <w:rPr>
          <w:rStyle w:val="FootnoteReference"/>
        </w:rPr>
        <w:footnoteReference w:id="1795"/>
      </w:r>
      <w:r>
        <w:t xml:space="preserve"> with a spirit of perception, and they shall make Aaron's holy apparel for the sanctuary, in which he shall serve as priest to me.</w:t>
      </w:r>
    </w:p>
    <w:p>
      <w:r>
        <w:rPr>
          <w:b/>
        </w:rPr>
        <w:t xml:space="preserve">4 </w:t>
      </w:r>
      <w:r>
        <w:t xml:space="preserve">And these are the garments they shall make: the breastpiece and the ephod</w:t>
      </w:r>
      <w:r>
        <w:rPr>
          <w:rStyle w:val="FootnoteReference"/>
        </w:rPr>
        <w:footnoteReference w:id="1796"/>
      </w:r>
      <w:r>
        <w:t xml:space="preserve"> and the robe and the fringed tunic</w:t>
      </w:r>
      <w:r>
        <w:rPr>
          <w:rStyle w:val="FootnoteReference"/>
        </w:rPr>
        <w:footnoteReference w:id="1797"/>
      </w:r>
      <w:r>
        <w:t xml:space="preserve"> and the turban and the sash. And they shall make holy garments for Aaron and his sons to serve as priests to me.</w:t>
      </w:r>
    </w:p>
    <w:p>
      <w:r>
        <w:rPr>
          <w:b/>
        </w:rPr>
        <w:t xml:space="preserve">5 </w:t>
      </w:r>
      <w:r>
        <w:t xml:space="preserve">And they shall take the gold</w:t>
      </w:r>
      <w:r>
        <w:rPr>
          <w:rStyle w:val="FootnoteReference"/>
        </w:rPr>
        <w:footnoteReference w:id="1798"/>
      </w:r>
      <w:r>
        <w:t xml:space="preserve"> and the blue and the purple and the scarlet and the fine linen.</w:t>
      </w:r>
    </w:p>
    <w:p>
      <w:r>
        <w:rPr>
          <w:b/>
        </w:rPr>
        <w:t xml:space="preserve">6 </w:t>
      </w:r>
      <w:r>
        <w:t xml:space="preserve">And they shall make the ephod of woven fine linen</w:t>
      </w:r>
      <w:r>
        <w:rPr>
          <w:rStyle w:val="FootnoteReference"/>
        </w:rPr>
        <w:footnoteReference w:id="1799"/>
      </w:r>
      <w:r>
        <w:t xml:space="preserve">, work of an embroiderer.</w:t>
      </w:r>
    </w:p>
    <w:p>
      <w:r>
        <w:rPr>
          <w:b/>
        </w:rPr>
        <w:t xml:space="preserve">7 </w:t>
      </w:r>
      <w:r>
        <w:t xml:space="preserve">It shall have two shoulder-pieces joined together, fastened on the two sides.</w:t>
      </w:r>
    </w:p>
    <w:p>
      <w:r>
        <w:rPr>
          <w:b/>
        </w:rPr>
        <w:t xml:space="preserve">8 </w:t>
      </w:r>
      <w:r>
        <w:t xml:space="preserve">And the woven band of the shoulder-pieces that is upon it shall be of one piece with it, of gold and blue and purple and spun scarlet and woven fine linen.</w:t>
      </w:r>
    </w:p>
    <w:p>
      <w:r>
        <w:rPr>
          <w:b/>
        </w:rPr>
        <w:t xml:space="preserve">9 </w:t>
      </w:r>
      <w:r>
        <w:t xml:space="preserve">And you shall take the two emerald stones</w:t>
      </w:r>
      <w:r>
        <w:rPr>
          <w:rStyle w:val="FootnoteReference"/>
        </w:rPr>
        <w:footnoteReference w:id="1800"/>
      </w:r>
      <w:r>
        <w:t xml:space="preserve"> and engrave on them the names of the sons of Israel,</w:t>
      </w:r>
    </w:p>
    <w:p>
      <w:r>
        <w:rPr>
          <w:b/>
        </w:rPr>
        <w:t xml:space="preserve">10 </w:t>
      </w:r>
      <w:r>
        <w:t xml:space="preserve">six names on one stone and the remaining six names on the second stone, according to their births.</w:t>
      </w:r>
    </w:p>
    <w:p>
      <w:r>
        <w:rPr>
          <w:b/>
        </w:rPr>
        <w:t xml:space="preserve">11 </w:t>
      </w:r>
      <w:r>
        <w:t xml:space="preserve">As a stonecutter engraves a seal, so you shall engrave the two stones with the names of the sons of Israel.</w:t>
      </w:r>
    </w:p>
    <w:p>
      <w:r>
        <w:rPr>
          <w:b/>
        </w:rPr>
        <w:t xml:space="preserve">12 </w:t>
      </w:r>
      <w:r>
        <w:t xml:space="preserve">And you shall place the two stones on the shoulders</w:t>
      </w:r>
      <w:r>
        <w:rPr>
          <w:rStyle w:val="FootnoteReference"/>
        </w:rPr>
        <w:footnoteReference w:id="1801"/>
      </w:r>
      <w:r>
        <w:t xml:space="preserve"> of the ephod. They are memorial stones</w:t>
      </w:r>
      <w:r>
        <w:rPr>
          <w:rStyle w:val="FootnoteReference"/>
        </w:rPr>
        <w:footnoteReference w:id="1802"/>
      </w:r>
      <w:r>
        <w:t xml:space="preserve"> for the sons of Israel. And Aaron shall bear the names of the sons of Israel before the Lord on his two shoulders as a memorial concerning them.</w:t>
      </w:r>
    </w:p>
    <w:p>
      <w:r>
        <w:rPr>
          <w:b/>
        </w:rPr>
        <w:t xml:space="preserve">13 </w:t>
      </w:r>
      <w:r>
        <w:t xml:space="preserve">And you shall make settings of pure gold,</w:t>
      </w:r>
    </w:p>
    <w:p>
      <w:r>
        <w:rPr>
          <w:b/>
        </w:rPr>
        <w:t xml:space="preserve">14 </w:t>
      </w:r>
      <w:r>
        <w:t xml:space="preserve">and two braided cords</w:t>
      </w:r>
      <w:r>
        <w:rPr>
          <w:rStyle w:val="FootnoteReference"/>
        </w:rPr>
        <w:footnoteReference w:id="1803"/>
      </w:r>
      <w:r>
        <w:t xml:space="preserve"> of pure gold, mixed in floral work, woven. And you shall place the woven cords on the settings by their shoulder-pieces at the front.</w:t>
      </w:r>
    </w:p>
    <w:p>
      <w:r>
        <w:rPr>
          <w:b/>
        </w:rPr>
        <w:t xml:space="preserve">15 </w:t>
      </w:r>
      <w:r>
        <w:t xml:space="preserve">And you shall make a breastpiece of judgments, embroidered work. According to the pattern of the ephod you shall make it, of gold and blue and purple and spun scarlet and woven fine linen.</w:t>
      </w:r>
    </w:p>
    <w:p>
      <w:r>
        <w:rPr>
          <w:b/>
        </w:rPr>
        <w:t xml:space="preserve">16 </w:t>
      </w:r>
      <w:r>
        <w:t xml:space="preserve">It shall be square and doubled, a span its length and a span its breadth.</w:t>
      </w:r>
    </w:p>
    <w:p>
      <w:r>
        <w:rPr>
          <w:b/>
        </w:rPr>
        <w:t xml:space="preserve">17 </w:t>
      </w:r>
      <w:r>
        <w:t xml:space="preserve">And you shall weave into it a setting of four rows of stones. The first row</w:t>
      </w:r>
      <w:r>
        <w:rPr>
          <w:rStyle w:val="FootnoteReference"/>
        </w:rPr>
        <w:footnoteReference w:id="1804"/>
      </w:r>
      <w:r>
        <w:t xml:space="preserve">: sardius, topaz, emerald.</w:t>
      </w:r>
    </w:p>
    <w:p>
      <w:r>
        <w:rPr>
          <w:b/>
        </w:rPr>
        <w:t xml:space="preserve">18 </w:t>
      </w:r>
      <w:r>
        <w:t xml:space="preserve">And the second row: carbuncle, sapphire</w:t>
      </w:r>
      <w:r>
        <w:rPr>
          <w:rStyle w:val="FootnoteReference"/>
        </w:rPr>
        <w:footnoteReference w:id="1805"/>
      </w:r>
      <w:r>
        <w:t xml:space="preserve">, jasper.</w:t>
      </w:r>
    </w:p>
    <w:p>
      <w:r>
        <w:rPr>
          <w:b/>
        </w:rPr>
        <w:t xml:space="preserve">19 </w:t>
      </w:r>
      <w:r>
        <w:t xml:space="preserve">And the third row: ligure, agate, amethyst.</w:t>
      </w:r>
    </w:p>
    <w:p>
      <w:r>
        <w:rPr>
          <w:b/>
        </w:rPr>
        <w:t xml:space="preserve">20 </w:t>
      </w:r>
      <w:r>
        <w:t xml:space="preserve">And the fourth row: chrysolite, beryl, onyx, encircled and bound in gold according to their row.</w:t>
      </w:r>
    </w:p>
    <w:p>
      <w:r>
        <w:rPr>
          <w:b/>
        </w:rPr>
        <w:t xml:space="preserve">21 </w:t>
      </w:r>
      <w:r>
        <w:t xml:space="preserve">And the stones shall correspond to the names of the sons of Israel, twelve</w:t>
      </w:r>
      <w:r>
        <w:rPr>
          <w:rStyle w:val="FootnoteReference"/>
        </w:rPr>
        <w:footnoteReference w:id="1806"/>
      </w:r>
      <w:r>
        <w:t xml:space="preserve"> according to their names, engravings of seals, each according to its name for the twelve tribes.</w:t>
      </w:r>
    </w:p>
    <w:p>
      <w:r>
        <w:rPr>
          <w:b/>
        </w:rPr>
        <w:t xml:space="preserve">22 </w:t>
      </w:r>
      <w:r>
        <w:t xml:space="preserve">And you shall make on the breastpiece braided cords, chainwork of pure gold.</w:t>
      </w:r>
    </w:p>
    <w:p>
      <w:r>
        <w:rPr>
          <w:b/>
        </w:rPr>
        <w:t xml:space="preserve">29 </w:t>
      </w:r>
      <w:r>
        <w:t xml:space="preserve">And Aaron shall bear the names of the sons of Israel on the breastpiece of judgments upon his chest</w:t>
      </w:r>
      <w:r>
        <w:rPr>
          <w:rStyle w:val="FootnoteReference"/>
        </w:rPr>
        <w:footnoteReference w:id="1807"/>
      </w:r>
      <w:r>
        <w:t xml:space="preserve"> when he goes into the holy place, as a memorial before God.</w:t>
      </w:r>
      <w:r>
        <w:rPr>
          <w:rStyle w:val="FootnoteReference"/>
        </w:rPr>
        <w:footnoteReference w:id="1808"/>
      </w:r>
    </w:p>
    <w:p>
      <w:r>
        <w:rPr>
          <w:b/>
        </w:rPr>
        <w:t xml:space="preserve">30 </w:t>
      </w:r>
      <w:r>
        <w:t xml:space="preserve">And you shall put on the breastpiece of judgments the Disclosure and the Truth</w:t>
      </w:r>
      <w:r>
        <w:rPr>
          <w:rStyle w:val="FootnoteReference"/>
        </w:rPr>
        <w:footnoteReference w:id="1809"/>
      </w:r>
      <w:r>
        <w:t xml:space="preserve">, and it shall be on Aaron's chest when he goes into the holy place before the Lord. And Aaron shall bear the judgments of the sons of Israel upon his chest before the Lord continually.</w:t>
      </w:r>
    </w:p>
    <w:p>
      <w:r>
        <w:rPr>
          <w:b/>
        </w:rPr>
        <w:t xml:space="preserve">31 </w:t>
      </w:r>
      <w:r>
        <w:t xml:space="preserve">And you shall make the robe under the ephod all blue</w:t>
      </w:r>
      <w:r>
        <w:rPr>
          <w:rStyle w:val="FootnoteReference"/>
        </w:rPr>
        <w:footnoteReference w:id="1810"/>
      </w:r>
      <w:r>
        <w:t xml:space="preserve">.</w:t>
      </w:r>
    </w:p>
    <w:p>
      <w:r>
        <w:rPr>
          <w:b/>
        </w:rPr>
        <w:t xml:space="preserve">32 </w:t>
      </w:r>
      <w:r>
        <w:t xml:space="preserve">And its opening shall be in the middle, with a woven border all around the opening, joined from the same work so that it may not tear.</w:t>
      </w:r>
    </w:p>
    <w:p>
      <w:r>
        <w:rPr>
          <w:b/>
        </w:rPr>
        <w:t xml:space="preserve">33 </w:t>
      </w:r>
      <w:r>
        <w:t xml:space="preserve">And on the hem of the robe below you shall make pomegranates</w:t>
      </w:r>
      <w:r>
        <w:rPr>
          <w:rStyle w:val="FootnoteReference"/>
        </w:rPr>
        <w:footnoteReference w:id="1811"/>
      </w:r>
      <w:r>
        <w:t xml:space="preserve"> like blossoming pomegranate fruit, of blue and purple and spun scarlet and woven fine linen, on the hem of the robe all around; and golden pomegranates and bells all around between them.</w:t>
      </w:r>
    </w:p>
    <w:p>
      <w:r>
        <w:rPr>
          <w:b/>
        </w:rPr>
        <w:t xml:space="preserve">34 </w:t>
      </w:r>
      <w:r>
        <w:t xml:space="preserve">A golden bell beside a pomegranate, and blossom-work on the hem of the robe all around.</w:t>
      </w:r>
    </w:p>
    <w:p>
      <w:r>
        <w:rPr>
          <w:b/>
        </w:rPr>
        <w:t xml:space="preserve">35 </w:t>
      </w:r>
      <w:r>
        <w:t xml:space="preserve">And Aaron shall wear it when he ministers, and its sound shall be heard</w:t>
      </w:r>
      <w:r>
        <w:rPr>
          <w:rStyle w:val="FootnoteReference"/>
        </w:rPr>
        <w:footnoteReference w:id="1812"/>
      </w:r>
      <w:r>
        <w:t xml:space="preserve"> when he goes into the holy place before the Lord and when he comes out, so that he may not die.</w:t>
      </w:r>
    </w:p>
    <w:p>
      <w:r>
        <w:rPr>
          <w:b/>
        </w:rPr>
        <w:t xml:space="preserve">36 </w:t>
      </w:r>
      <w:r>
        <w:t xml:space="preserve">And you shall make a pure gold plate, and engrave on it like the engraving of a seal, "Holiness</w:t>
      </w:r>
      <w:r>
        <w:rPr>
          <w:rStyle w:val="FootnoteReference"/>
        </w:rPr>
        <w:footnoteReference w:id="1813"/>
      </w:r>
      <w:r>
        <w:t xml:space="preserve"> of the Lord."</w:t>
      </w:r>
    </w:p>
    <w:p>
      <w:r>
        <w:rPr>
          <w:b/>
        </w:rPr>
        <w:t xml:space="preserve">37 </w:t>
      </w:r>
      <w:r>
        <w:t xml:space="preserve">And you shall place it on a blue</w:t>
      </w:r>
      <w:r>
        <w:rPr>
          <w:rStyle w:val="FootnoteReference"/>
        </w:rPr>
        <w:footnoteReference w:id="1814"/>
      </w:r>
      <w:r>
        <w:t xml:space="preserve"> cord, and it shall be on the turban; it shall be on the front of the turban.</w:t>
      </w:r>
    </w:p>
    <w:p>
      <w:r>
        <w:rPr>
          <w:b/>
        </w:rPr>
        <w:t xml:space="preserve">38 </w:t>
      </w:r>
      <w:r>
        <w:t xml:space="preserve">And it shall be on Aaron's forehead, and Aaron shall bear away the sins of the holy things, whatever holy gifts the sons of Israel sanctify. And it shall be on Aaron's forehead continually, acceptable for them before the Lord.</w:t>
      </w:r>
      <w:r>
        <w:rPr>
          <w:rStyle w:val="FootnoteReference"/>
        </w:rPr>
        <w:footnoteReference w:id="1815"/>
      </w:r>
    </w:p>
    <w:p>
      <w:r>
        <w:rPr>
          <w:b/>
        </w:rPr>
        <w:t xml:space="preserve">39 </w:t>
      </w:r>
      <w:r>
        <w:t xml:space="preserve">And the fringes of the tunics shall be of fine linen, and you shall make a fine linen turban, and you shall make a sash, work of an embroiderer.</w:t>
      </w:r>
    </w:p>
    <w:p>
      <w:r>
        <w:rPr>
          <w:b/>
        </w:rPr>
        <w:t xml:space="preserve">40 </w:t>
      </w:r>
      <w:r>
        <w:t xml:space="preserve">And for Aaron's</w:t>
      </w:r>
      <w:r>
        <w:rPr>
          <w:rStyle w:val="FootnoteReference"/>
        </w:rPr>
        <w:footnoteReference w:id="1816"/>
      </w:r>
      <w:r>
        <w:t xml:space="preserve"> sons you shall make tunics and sashes, and you shall make turbans for them, for honor and glory.</w:t>
      </w:r>
    </w:p>
    <w:p>
      <w:r>
        <w:rPr>
          <w:b/>
        </w:rPr>
        <w:t xml:space="preserve">41 </w:t>
      </w:r>
      <w:r>
        <w:t xml:space="preserve">And you shall clothe Aaron your brother and his sons with him, and you shall anoint them</w:t>
      </w:r>
      <w:r>
        <w:rPr>
          <w:rStyle w:val="FootnoteReference"/>
        </w:rPr>
        <w:footnoteReference w:id="1817"/>
      </w:r>
      <w:r>
        <w:t xml:space="preserve"> and fill their hands and sanctify them, that they may serve as priests to me.</w:t>
      </w:r>
    </w:p>
    <w:p>
      <w:r>
        <w:rPr>
          <w:b/>
        </w:rPr>
        <w:t xml:space="preserve">42 </w:t>
      </w:r>
      <w:r>
        <w:t xml:space="preserve">And you shall make for them linen undergarments to cover the nakedness of their flesh; they shall reach from loins to thighs.</w:t>
      </w:r>
    </w:p>
    <w:p>
      <w:r>
        <w:rPr>
          <w:b/>
        </w:rPr>
        <w:t xml:space="preserve">43 </w:t>
      </w:r>
      <w:r>
        <w:t xml:space="preserve">And Aaron shall wear them, and his sons, whenever they enter the tent of testimony or approach the altar to minister in the holy place, so that they may not bring sin upon themselves</w:t>
      </w:r>
      <w:r>
        <w:rPr>
          <w:rStyle w:val="FootnoteReference"/>
        </w:rPr>
        <w:footnoteReference w:id="1818"/>
      </w:r>
      <w:r>
        <w:t xml:space="preserve"> and die. An everlasting statute for him and for his seed after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And these are the things that you shall do for them to sanctify them, so that they may serve as priests to me: take</w:t>
      </w:r>
      <w:r>
        <w:rPr>
          <w:rStyle w:val="FootnoteReference"/>
        </w:rPr>
        <w:footnoteReference w:id="1819"/>
      </w:r>
      <w:r>
        <w:t xml:space="preserve"> one young bull from the herd and two flawless rams,</w:t>
      </w:r>
    </w:p>
    <w:p>
      <w:r>
        <w:rPr>
          <w:b/>
        </w:rPr>
        <w:t xml:space="preserve">2 </w:t>
      </w:r>
      <w:r>
        <w:t xml:space="preserve">and unleavened loaves kneaded with oil and unleavened cakes anointed with oil. You shall make them of fine wheat flour.</w:t>
      </w:r>
    </w:p>
    <w:p>
      <w:r>
        <w:rPr>
          <w:b/>
        </w:rPr>
        <w:t xml:space="preserve">3 </w:t>
      </w:r>
      <w:r>
        <w:t xml:space="preserve">And you shall put them on one basket, and you shall bring them on the basket, and the young bull and the two rams.</w:t>
      </w:r>
    </w:p>
    <w:p>
      <w:r>
        <w:rPr>
          <w:b/>
        </w:rPr>
        <w:t xml:space="preserve">4 </w:t>
      </w:r>
      <w:r>
        <w:t xml:space="preserve">And Aaron and his sons you shall bring to the doors of the tent of testimony, and you shall wash them</w:t>
      </w:r>
      <w:r>
        <w:rPr>
          <w:rStyle w:val="FootnoteReference"/>
        </w:rPr>
        <w:footnoteReference w:id="1820"/>
      </w:r>
      <w:r>
        <w:t xml:space="preserve"> with water.</w:t>
      </w:r>
    </w:p>
    <w:p>
      <w:r>
        <w:rPr>
          <w:b/>
        </w:rPr>
        <w:t xml:space="preserve">5 </w:t>
      </w:r>
      <w:r>
        <w:t xml:space="preserve">And taking the garments</w:t>
      </w:r>
      <w:r>
        <w:rPr>
          <w:rStyle w:val="FootnoteReference"/>
        </w:rPr>
        <w:footnoteReference w:id="1821"/>
      </w:r>
      <w:r>
        <w:t xml:space="preserve">, you shall clothe Aaron your brother with the tunic and the robe and the ephod and the breastpiece, and you shall fasten the breastpiece to the ephod for him.</w:t>
      </w:r>
    </w:p>
    <w:p>
      <w:r>
        <w:rPr>
          <w:b/>
        </w:rPr>
        <w:t xml:space="preserve">6 </w:t>
      </w:r>
      <w:r>
        <w:t xml:space="preserve">And you shall put the turban on his head, and you shall put the holy plate on the turban</w:t>
      </w:r>
      <w:r>
        <w:rPr>
          <w:rStyle w:val="FootnoteReference"/>
        </w:rPr>
        <w:footnoteReference w:id="1822"/>
      </w:r>
      <w:r>
        <w:t xml:space="preserve">.</w:t>
      </w:r>
    </w:p>
    <w:p>
      <w:r>
        <w:rPr>
          <w:b/>
        </w:rPr>
        <w:t xml:space="preserve">7 </w:t>
      </w:r>
      <w:r>
        <w:t xml:space="preserve">And you shall take the anointing oil and pour it on his head and anoint him.</w:t>
      </w:r>
    </w:p>
    <w:p>
      <w:r>
        <w:rPr>
          <w:b/>
        </w:rPr>
        <w:t xml:space="preserve">8 </w:t>
      </w:r>
      <w:r>
        <w:t xml:space="preserve">And you shall bring his sons and clothe them with tunics.</w:t>
      </w:r>
    </w:p>
    <w:p>
      <w:r>
        <w:rPr>
          <w:b/>
        </w:rPr>
        <w:t xml:space="preserve">9 </w:t>
      </w:r>
      <w:r>
        <w:t xml:space="preserve">And you shall gird them with sashes and put the turbans on them, and they shall have a priesthood for me forever. And you shall fill the hands of Aaron and the hands of his sons.</w:t>
      </w:r>
    </w:p>
    <w:p>
      <w:r>
        <w:rPr>
          <w:b/>
        </w:rPr>
        <w:t xml:space="preserve">10 </w:t>
      </w:r>
      <w:r>
        <w:t xml:space="preserve">And you shall bring the young bull to the doors of the tent of testimony, and Aaron and his sons shall lay their hands on the head of the young bull before the Lord by the doors of the tent of testimony.</w:t>
      </w:r>
    </w:p>
    <w:p>
      <w:r>
        <w:rPr>
          <w:b/>
        </w:rPr>
        <w:t xml:space="preserve">11 </w:t>
      </w:r>
      <w:r>
        <w:t xml:space="preserve">And you shall slaughter the young bull before the Lord by the doors of the tent of testimony.</w:t>
      </w:r>
    </w:p>
    <w:p>
      <w:r>
        <w:rPr>
          <w:b/>
        </w:rPr>
        <w:t xml:space="preserve">12 </w:t>
      </w:r>
      <w:r>
        <w:t xml:space="preserve">And you shall take some of the blood</w:t>
      </w:r>
      <w:r>
        <w:rPr>
          <w:rStyle w:val="FootnoteReference"/>
        </w:rPr>
        <w:footnoteReference w:id="1823"/>
      </w:r>
      <w:r>
        <w:t xml:space="preserve"> of the young bull and put it on the horns of the altar with your finger, and all the rest of the blood you shall pour out beside the base of the altar.</w:t>
      </w:r>
    </w:p>
    <w:p>
      <w:r>
        <w:rPr>
          <w:b/>
        </w:rPr>
        <w:t xml:space="preserve">13 </w:t>
      </w:r>
      <w:r>
        <w:t xml:space="preserve">And you shall take all the fat</w:t>
      </w:r>
      <w:r>
        <w:rPr>
          <w:rStyle w:val="FootnoteReference"/>
        </w:rPr>
        <w:footnoteReference w:id="1824"/>
      </w:r>
      <w:r>
        <w:t xml:space="preserve"> on the belly and the lobe of the liver and the two kidneys and the fat on them, and you shall place them on the altar.</w:t>
      </w:r>
    </w:p>
    <w:p>
      <w:r>
        <w:rPr>
          <w:b/>
        </w:rPr>
        <w:t xml:space="preserve">14 </w:t>
      </w:r>
      <w:r>
        <w:t xml:space="preserve">But the flesh</w:t>
      </w:r>
      <w:r>
        <w:rPr>
          <w:rStyle w:val="FootnoteReference"/>
        </w:rPr>
        <w:footnoteReference w:id="1825"/>
      </w:r>
      <w:r>
        <w:t xml:space="preserve"> of the young bull and its skin and its dung you shall burn with fire outside the camp, for it is a sin offering.</w:t>
      </w:r>
    </w:p>
    <w:p>
      <w:r>
        <w:rPr>
          <w:b/>
        </w:rPr>
        <w:t xml:space="preserve">15 </w:t>
      </w:r>
      <w:r>
        <w:t xml:space="preserve">And you shall take the one ram, and Aaron and his sons shall lay their hands on the head of the ram.</w:t>
      </w:r>
    </w:p>
    <w:p>
      <w:r>
        <w:rPr>
          <w:b/>
        </w:rPr>
        <w:t xml:space="preserve">16 </w:t>
      </w:r>
      <w:r>
        <w:t xml:space="preserve">And you shall slaughter it and, taking the blood, pour it around the altar.</w:t>
      </w:r>
    </w:p>
    <w:p>
      <w:r>
        <w:rPr>
          <w:b/>
        </w:rPr>
        <w:t xml:space="preserve">17 </w:t>
      </w:r>
      <w:r>
        <w:t xml:space="preserve">And you shall divide the ram by its limbs, and you shall wash the</w:t>
      </w:r>
      <w:r>
        <w:rPr>
          <w:rStyle w:val="FootnoteReference"/>
        </w:rPr>
        <w:footnoteReference w:id="1826"/>
      </w:r>
      <w:r>
        <w:t xml:space="preserve"> inward parts and the feet with water, and place them upon the divided pieces with the head.</w:t>
      </w:r>
    </w:p>
    <w:p>
      <w:r>
        <w:rPr>
          <w:b/>
        </w:rPr>
        <w:t xml:space="preserve">18 </w:t>
      </w:r>
      <w:r>
        <w:t xml:space="preserve">And you shall offer up the whole ram on the altar. It is a whole burnt offering to the Lord, a smell of sweet fragrance, an offering to the Lord.</w:t>
      </w:r>
    </w:p>
    <w:p>
      <w:r>
        <w:rPr>
          <w:b/>
        </w:rPr>
        <w:t xml:space="preserve">19 </w:t>
      </w:r>
      <w:r>
        <w:t xml:space="preserve">And you shall take the second ram, and Aaron</w:t>
      </w:r>
      <w:r>
        <w:rPr>
          <w:rStyle w:val="FootnoteReference"/>
        </w:rPr>
        <w:footnoteReference w:id="1827"/>
      </w:r>
      <w:r>
        <w:t xml:space="preserve"> and his sons shall lay their hands on the head of the ram.</w:t>
      </w:r>
    </w:p>
    <w:p>
      <w:r>
        <w:rPr>
          <w:b/>
        </w:rPr>
        <w:t xml:space="preserve">20 </w:t>
      </w:r>
      <w:r>
        <w:t xml:space="preserve">And you shall slaughter it and take some of its blood and place it on the tip of Aaron's right ear and on the thumb of his right hand and on the great toe of his right foot, and on the right earlobes of his sons and on the thumbs of their right hands and on the great toes of their right feet.</w:t>
      </w:r>
      <w:r>
        <w:rPr>
          <w:rStyle w:val="FootnoteReference"/>
        </w:rPr>
        <w:footnoteReference w:id="1828"/>
      </w:r>
    </w:p>
    <w:p>
      <w:r>
        <w:rPr>
          <w:b/>
        </w:rPr>
        <w:t xml:space="preserve">21 </w:t>
      </w:r>
      <w:r>
        <w:t xml:space="preserve">And you shall take some of the blood from the altar and some of the anointing oil</w:t>
      </w:r>
      <w:r>
        <w:rPr>
          <w:rStyle w:val="FootnoteReference"/>
        </w:rPr>
        <w:footnoteReference w:id="1829"/>
      </w:r>
      <w:r>
        <w:t xml:space="preserve">, and you shall sprinkle it on Aaron and on his garment and on his sons and on the garments of his sons with him, and he shall be sanctified, and his garment, and his sons, and the garments of his sons with him. And the blood of the ram you shall pour around the altar.</w:t>
      </w:r>
      <w:r>
        <w:rPr>
          <w:rStyle w:val="FootnoteReference"/>
        </w:rPr>
        <w:footnoteReference w:id="1830"/>
      </w:r>
    </w:p>
    <w:p>
      <w:r>
        <w:rPr>
          <w:b/>
        </w:rPr>
        <w:t xml:space="preserve">22 </w:t>
      </w:r>
      <w:r>
        <w:t xml:space="preserve">And you shall take from the ram its fat and the fat covering the belly and the lobe of the liver and the two kidneys and the fat on them and the right arm, for this is an ordination.</w:t>
      </w:r>
      <w:r>
        <w:rPr>
          <w:rStyle w:val="FootnoteReference"/>
        </w:rPr>
        <w:footnoteReference w:id="1831"/>
      </w:r>
    </w:p>
    <w:p>
      <w:r>
        <w:rPr>
          <w:b/>
        </w:rPr>
        <w:t xml:space="preserve">23 </w:t>
      </w:r>
      <w:r>
        <w:t xml:space="preserve">And one loaf of oil bread and one cake from the basket of unleavened bread set before the Lord.</w:t>
      </w:r>
    </w:p>
    <w:p>
      <w:r>
        <w:rPr>
          <w:b/>
        </w:rPr>
        <w:t xml:space="preserve">24 </w:t>
      </w:r>
      <w:r>
        <w:t xml:space="preserve">And you shall place all these on the hands of Aaron and on the hands of his sons, and you shall separate them as a separated offering before the Lord.</w:t>
      </w:r>
    </w:p>
    <w:p>
      <w:r>
        <w:rPr>
          <w:b/>
        </w:rPr>
        <w:t xml:space="preserve">25 </w:t>
      </w:r>
      <w:r>
        <w:t xml:space="preserve">And you shall take them from their hands and offer them on the altar upon the whole burnt offering</w:t>
      </w:r>
      <w:r>
        <w:rPr>
          <w:rStyle w:val="FootnoteReference"/>
        </w:rPr>
        <w:footnoteReference w:id="1832"/>
      </w:r>
      <w:r>
        <w:t xml:space="preserve">, as a smell of sweet fragrance before the Lord. It is an offering to the Lord.</w:t>
      </w:r>
    </w:p>
    <w:p>
      <w:r>
        <w:rPr>
          <w:b/>
        </w:rPr>
        <w:t xml:space="preserve">26 </w:t>
      </w:r>
      <w:r>
        <w:t xml:space="preserve">And you shall take the breast</w:t>
      </w:r>
      <w:r>
        <w:rPr>
          <w:rStyle w:val="FootnoteReference"/>
        </w:rPr>
        <w:footnoteReference w:id="1833"/>
      </w:r>
      <w:r>
        <w:t xml:space="preserve"> from the ram of ordination that belongs to Aaron, and you shall separate it as a separated offering before the Lord, and it shall be your portion.</w:t>
      </w:r>
    </w:p>
    <w:p>
      <w:r>
        <w:rPr>
          <w:b/>
        </w:rPr>
        <w:t xml:space="preserve">27 </w:t>
      </w:r>
      <w:r>
        <w:t xml:space="preserve">And you shall sanctify the breast</w:t>
      </w:r>
      <w:r>
        <w:rPr>
          <w:rStyle w:val="FootnoteReference"/>
        </w:rPr>
        <w:footnoteReference w:id="1834"/>
      </w:r>
      <w:r>
        <w:t xml:space="preserve"> of the separated offering and the arm of the removal offering, that which was separated and that which was removed from the ram of ordination, from Aaron and from his sons.</w:t>
      </w:r>
      <w:r>
        <w:rPr>
          <w:rStyle w:val="FootnoteReference"/>
        </w:rPr>
        <w:footnoteReference w:id="1835"/>
      </w:r>
    </w:p>
    <w:p>
      <w:r>
        <w:rPr>
          <w:b/>
        </w:rPr>
        <w:t xml:space="preserve">28 </w:t>
      </w:r>
      <w:r>
        <w:t xml:space="preserve">And it shall be for Aaron and for his sons an everlasting statute from the sons of Israel. For this is a removal offering</w:t>
      </w:r>
      <w:r>
        <w:rPr>
          <w:rStyle w:val="FootnoteReference"/>
        </w:rPr>
        <w:footnoteReference w:id="1836"/>
      </w:r>
      <w:r>
        <w:t xml:space="preserve">, and it shall be a removal offering from the sons of Israel, from the sacrifices of salvation of the sons of Israel, a removal offering to the Lord.</w:t>
      </w:r>
    </w:p>
    <w:p>
      <w:r>
        <w:rPr>
          <w:b/>
        </w:rPr>
        <w:t xml:space="preserve">29 </w:t>
      </w:r>
      <w:r>
        <w:t xml:space="preserve">And the holy</w:t>
      </w:r>
      <w:r>
        <w:rPr>
          <w:rStyle w:val="FootnoteReference"/>
        </w:rPr>
        <w:footnoteReference w:id="1837"/>
      </w:r>
      <w:r>
        <w:t xml:space="preserve"> garments that are Aaron's shall belong to his sons after him, that they may be anointed in them and their hands filled in them.</w:t>
      </w:r>
    </w:p>
    <w:p>
      <w:r>
        <w:rPr>
          <w:b/>
        </w:rPr>
        <w:t xml:space="preserve">30 </w:t>
      </w:r>
      <w:r>
        <w:t xml:space="preserve">Seven days</w:t>
      </w:r>
      <w:r>
        <w:rPr>
          <w:rStyle w:val="FootnoteReference"/>
        </w:rPr>
        <w:footnoteReference w:id="1838"/>
      </w:r>
      <w:r>
        <w:t xml:space="preserve"> the priest who succeeds him from among his sons, who enters the tent of testimony to minister in the holy place, shall wear them.</w:t>
      </w:r>
    </w:p>
    <w:p>
      <w:r>
        <w:rPr>
          <w:b/>
        </w:rPr>
        <w:t xml:space="preserve">31 </w:t>
      </w:r>
      <w:r>
        <w:t xml:space="preserve">And you shall take the ram</w:t>
      </w:r>
      <w:r>
        <w:rPr>
          <w:rStyle w:val="FootnoteReference"/>
        </w:rPr>
        <w:footnoteReference w:id="1839"/>
      </w:r>
      <w:r>
        <w:t xml:space="preserve"> of ordination and boil its flesh in a holy place.</w:t>
      </w:r>
    </w:p>
    <w:p>
      <w:r>
        <w:rPr>
          <w:b/>
        </w:rPr>
        <w:t xml:space="preserve">32 </w:t>
      </w:r>
      <w:r>
        <w:t xml:space="preserve">And Aaron</w:t>
      </w:r>
      <w:r>
        <w:rPr>
          <w:rStyle w:val="FootnoteReference"/>
        </w:rPr>
        <w:footnoteReference w:id="1840"/>
      </w:r>
      <w:r>
        <w:t xml:space="preserve"> and his sons shall eat the flesh of the ram and the bread in the basket by the doors of the tent of testimony.</w:t>
      </w:r>
    </w:p>
    <w:p>
      <w:r>
        <w:rPr>
          <w:b/>
        </w:rPr>
        <w:t xml:space="preserve">33 </w:t>
      </w:r>
      <w:r>
        <w:t xml:space="preserve">They shall eat those</w:t>
      </w:r>
      <w:r>
        <w:rPr>
          <w:rStyle w:val="FootnoteReference"/>
        </w:rPr>
        <w:footnoteReference w:id="1841"/>
      </w:r>
      <w:r>
        <w:t xml:space="preserve"> things by which they were sanctified, to fill their hands, to sanctify them. But an outsider shall not eat of them, for they are holy.</w:t>
      </w:r>
    </w:p>
    <w:p>
      <w:r>
        <w:rPr>
          <w:b/>
        </w:rPr>
        <w:t xml:space="preserve">34 </w:t>
      </w:r>
      <w:r>
        <w:t xml:space="preserve">If any of the flesh</w:t>
      </w:r>
      <w:r>
        <w:rPr>
          <w:rStyle w:val="FootnoteReference"/>
        </w:rPr>
        <w:footnoteReference w:id="1842"/>
      </w:r>
      <w:r>
        <w:t xml:space="preserve"> of the sacrifice of ordination or of the bread remains until morning, you shall burn the remainder with fire. It shall not be eaten, for it is holy.</w:t>
      </w:r>
    </w:p>
    <w:p>
      <w:r>
        <w:rPr>
          <w:b/>
        </w:rPr>
        <w:t xml:space="preserve">35 </w:t>
      </w:r>
      <w:r>
        <w:t xml:space="preserve">And thus you shall do for Aaron and for his sons according to all that I commanded you. Seven days</w:t>
      </w:r>
      <w:r>
        <w:rPr>
          <w:rStyle w:val="FootnoteReference"/>
        </w:rPr>
        <w:footnoteReference w:id="1843"/>
      </w:r>
      <w:r>
        <w:t xml:space="preserve"> you shall fill their hands.</w:t>
      </w:r>
    </w:p>
    <w:p>
      <w:r>
        <w:rPr>
          <w:b/>
        </w:rPr>
        <w:t xml:space="preserve">36 </w:t>
      </w:r>
      <w:r>
        <w:t xml:space="preserve">And you shall offer the young bull of the sin offering on the day of purification, and you shall purify the altar when you sanctify it upon it, and you shall anoint it</w:t>
      </w:r>
      <w:r>
        <w:rPr>
          <w:rStyle w:val="FootnoteReference"/>
        </w:rPr>
        <w:footnoteReference w:id="1844"/>
      </w:r>
      <w:r>
        <w:t xml:space="preserve"> so as to sanctify it.</w:t>
      </w:r>
    </w:p>
    <w:p>
      <w:r>
        <w:rPr>
          <w:b/>
        </w:rPr>
        <w:t xml:space="preserve">37 </w:t>
      </w:r>
      <w:r>
        <w:t xml:space="preserve">Seven days you shall purify the altar and sanctify it</w:t>
      </w:r>
      <w:r>
        <w:rPr>
          <w:rStyle w:val="FootnoteReference"/>
        </w:rPr>
        <w:footnoteReference w:id="1845"/>
      </w:r>
      <w:r>
        <w:t xml:space="preserve">, and the altar shall be most holy. Everyone touching the altar shall be sanctified.</w:t>
      </w:r>
    </w:p>
    <w:p>
      <w:r>
        <w:rPr>
          <w:b/>
        </w:rPr>
        <w:t xml:space="preserve">38 </w:t>
      </w:r>
      <w:r>
        <w:t xml:space="preserve">And these are the things that you shall offer upon the altar: two year-old flawless lambs each day upon the altar continually, a continual offering.</w:t>
      </w:r>
    </w:p>
    <w:p>
      <w:r>
        <w:rPr>
          <w:b/>
        </w:rPr>
        <w:t xml:space="preserve">39 </w:t>
      </w:r>
      <w:r>
        <w:t xml:space="preserve">The one lamb you shall offer in the morning</w:t>
      </w:r>
      <w:r>
        <w:rPr>
          <w:rStyle w:val="FootnoteReference"/>
        </w:rPr>
        <w:footnoteReference w:id="1846"/>
      </w:r>
      <w:r>
        <w:t xml:space="preserve">, and the second lamb you shall offer at evening.</w:t>
      </w:r>
    </w:p>
    <w:p>
      <w:r>
        <w:rPr>
          <w:b/>
        </w:rPr>
        <w:t xml:space="preserve">40 </w:t>
      </w:r>
      <w:r>
        <w:t xml:space="preserve">And with the one lamb, a tenth</w:t>
      </w:r>
      <w:r>
        <w:rPr>
          <w:rStyle w:val="FootnoteReference"/>
        </w:rPr>
        <w:footnoteReference w:id="1847"/>
      </w:r>
      <w:r>
        <w:t xml:space="preserve"> of fine flour kneaded in a quarter-hin of beaten oil, and a drink offering, a quarter-hin of wine.</w:t>
      </w:r>
    </w:p>
    <w:p>
      <w:r>
        <w:rPr>
          <w:b/>
        </w:rPr>
        <w:t xml:space="preserve">41 </w:t>
      </w:r>
      <w:r>
        <w:t xml:space="preserve">And the second lamb you shall offer</w:t>
      </w:r>
      <w:r>
        <w:rPr>
          <w:rStyle w:val="FootnoteReference"/>
        </w:rPr>
        <w:footnoteReference w:id="1848"/>
      </w:r>
      <w:r>
        <w:t xml:space="preserve"> at evening. According to the morning sacrifice and according to its drink offering you shall offer it, as a smell of sweet fragrance, an offering to the Lord.</w:t>
      </w:r>
    </w:p>
    <w:p>
      <w:r>
        <w:rPr>
          <w:b/>
        </w:rPr>
        <w:t xml:space="preserve">42 </w:t>
      </w:r>
      <w:r>
        <w:t xml:space="preserve">A continual</w:t>
      </w:r>
      <w:r>
        <w:rPr>
          <w:rStyle w:val="FootnoteReference"/>
        </w:rPr>
        <w:footnoteReference w:id="1849"/>
      </w:r>
      <w:r>
        <w:t xml:space="preserve"> sacrifice throughout your generations at the doors of the tent of testimony before the Lord, where I will make myself known to you there so as to speak to you.</w:t>
      </w:r>
    </w:p>
    <w:p>
      <w:r>
        <w:rPr>
          <w:b/>
        </w:rPr>
        <w:t xml:space="preserve">43 </w:t>
      </w:r>
      <w:r>
        <w:t xml:space="preserve">And there I will appoint things for the sons of Israel, and I will be sanctified</w:t>
      </w:r>
      <w:r>
        <w:rPr>
          <w:rStyle w:val="FootnoteReference"/>
        </w:rPr>
        <w:footnoteReference w:id="1850"/>
      </w:r>
      <w:r>
        <w:t xml:space="preserve"> in my glory.</w:t>
      </w:r>
    </w:p>
    <w:p>
      <w:r>
        <w:rPr>
          <w:b/>
        </w:rPr>
        <w:t xml:space="preserve">44 </w:t>
      </w:r>
      <w:r>
        <w:t xml:space="preserve">And I will sanctify the tent of testimony and the altar, and Aaron and his sons I will sanctify to serve as priests to me.</w:t>
      </w:r>
    </w:p>
    <w:p>
      <w:r>
        <w:rPr>
          <w:b/>
        </w:rPr>
        <w:t xml:space="preserve">45 </w:t>
      </w:r>
      <w:r>
        <w:t xml:space="preserve">And I will be called upon among the sons of Israel, and I will be their God.</w:t>
      </w:r>
    </w:p>
    <w:p>
      <w:r>
        <w:rPr>
          <w:b/>
        </w:rPr>
        <w:t xml:space="preserve">46 </w:t>
      </w:r>
      <w:r>
        <w:t xml:space="preserve">And they shall know that I am</w:t>
      </w:r>
      <w:r>
        <w:rPr>
          <w:rStyle w:val="FootnoteReference"/>
        </w:rPr>
        <w:footnoteReference w:id="1851"/>
      </w:r>
      <w:r>
        <w:t xml:space="preserve"> the Lord their God, who brought them out of the land of Egypt to be called upon by them and to be their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And you shall make an altar</w:t>
      </w:r>
      <w:r>
        <w:rPr>
          <w:rStyle w:val="FootnoteReference"/>
        </w:rPr>
        <w:footnoteReference w:id="1852"/>
      </w:r>
      <w:r>
        <w:t xml:space="preserve"> of incense of incorruptible wood, and you shall make it</w:t>
      </w:r>
    </w:p>
    <w:p>
      <w:r>
        <w:rPr>
          <w:b/>
        </w:rPr>
        <w:t xml:space="preserve">2 </w:t>
      </w:r>
      <w:r>
        <w:t xml:space="preserve">one cubit its length and one cubit its breadth. It shall be square, and its height two cubits. Its horns shall be from it.</w:t>
      </w:r>
    </w:p>
    <w:p>
      <w:r>
        <w:rPr>
          <w:b/>
        </w:rPr>
        <w:t xml:space="preserve">3 </w:t>
      </w:r>
      <w:r>
        <w:t xml:space="preserve">And you shall overlay it</w:t>
      </w:r>
      <w:r>
        <w:rPr>
          <w:rStyle w:val="FootnoteReference"/>
        </w:rPr>
        <w:footnoteReference w:id="1853"/>
      </w:r>
      <w:r>
        <w:t xml:space="preserve"> with pure gold, its top and its walls all around and its horns, and you shall make for it a twisted golden border all around.</w:t>
      </w:r>
    </w:p>
    <w:p>
      <w:r>
        <w:rPr>
          <w:b/>
        </w:rPr>
        <w:t xml:space="preserve">4 </w:t>
      </w:r>
      <w:r>
        <w:t xml:space="preserve">And you shall make two rings</w:t>
      </w:r>
      <w:r>
        <w:rPr>
          <w:rStyle w:val="FootnoteReference"/>
        </w:rPr>
        <w:footnoteReference w:id="1854"/>
      </w:r>
      <w:r>
        <w:t xml:space="preserve"> of pure gold under its twisted border. On its two sides you shall make them at the two corners, and they shall be holders for the poles, to carry it by them.</w:t>
      </w:r>
    </w:p>
    <w:p>
      <w:r>
        <w:rPr>
          <w:b/>
        </w:rPr>
        <w:t xml:space="preserve">5 </w:t>
      </w:r>
      <w:r>
        <w:t xml:space="preserve">And you shall make poles of incorruptible wood and overlay them with gold.</w:t>
      </w:r>
    </w:p>
    <w:p>
      <w:r>
        <w:rPr>
          <w:b/>
        </w:rPr>
        <w:t xml:space="preserve">6 </w:t>
      </w:r>
      <w:r>
        <w:t xml:space="preserve">And you shall place it opposite the curtain that is over the ark of testimonies, where I will make myself known to you there.</w:t>
      </w:r>
    </w:p>
    <w:p>
      <w:r>
        <w:rPr>
          <w:b/>
        </w:rPr>
        <w:t xml:space="preserve">7 </w:t>
      </w:r>
      <w:r>
        <w:t xml:space="preserve">And Aaron shall burn on it compounded fine incense every morning. When he trims the lamps, he shall burn incense on it.</w:t>
      </w:r>
    </w:p>
    <w:p>
      <w:r>
        <w:rPr>
          <w:b/>
        </w:rPr>
        <w:t xml:space="preserve">8 </w:t>
      </w:r>
      <w:r>
        <w:t xml:space="preserve">And when Aaron lights the lamps at evening, he shall burn incense on it, a continual incense before the Lord throughout their generations.</w:t>
      </w:r>
    </w:p>
    <w:p>
      <w:r>
        <w:rPr>
          <w:b/>
        </w:rPr>
        <w:t xml:space="preserve">9 </w:t>
      </w:r>
      <w:r>
        <w:t xml:space="preserve">And you shall not offer on it different incense, or an offering, or a sacrifice, and you shall not pour a drink offering on it.</w:t>
      </w:r>
    </w:p>
    <w:p>
      <w:r>
        <w:rPr>
          <w:b/>
        </w:rPr>
        <w:t xml:space="preserve">10 </w:t>
      </w:r>
      <w:r>
        <w:t xml:space="preserve">And Aaron</w:t>
      </w:r>
      <w:r>
        <w:rPr>
          <w:rStyle w:val="FootnoteReference"/>
        </w:rPr>
        <w:footnoteReference w:id="1855"/>
      </w:r>
      <w:r>
        <w:t xml:space="preserve"> shall make atonement upon its horns once each year. From the blood of purification for sins</w:t>
      </w:r>
      <w:r>
        <w:rPr>
          <w:rStyle w:val="FootnoteReference"/>
        </w:rPr>
        <w:footnoteReference w:id="1856"/>
      </w:r>
      <w:r>
        <w:t xml:space="preserve">, from the atonement, once each year he shall cleanse it throughout their generations. It is Holy of Holies to the Lord.</w:t>
      </w:r>
    </w:p>
    <w:p>
      <w:r>
        <w:rPr>
          <w:b/>
        </w:rPr>
        <w:t xml:space="preserve">11 </w:t>
      </w:r>
      <w:r>
        <w:t xml:space="preserve">And the Lord spoke to Moses, saying,</w:t>
      </w:r>
    </w:p>
    <w:p>
      <w:r>
        <w:rPr>
          <w:b/>
        </w:rPr>
        <w:t xml:space="preserve">12 </w:t>
      </w:r>
      <w:r>
        <w:t xml:space="preserve">If you take the numbering of the sons of Israel at their visitation</w:t>
      </w:r>
      <w:r>
        <w:rPr>
          <w:rStyle w:val="FootnoteReference"/>
        </w:rPr>
        <w:footnoteReference w:id="1857"/>
      </w:r>
      <w:r>
        <w:t xml:space="preserve">, each shall give a ransom</w:t>
      </w:r>
      <w:r>
        <w:rPr>
          <w:rStyle w:val="FootnoteReference"/>
        </w:rPr>
        <w:footnoteReference w:id="1858"/>
      </w:r>
      <w:r>
        <w:t xml:space="preserve"> for his life to the Lord, and there shall be no plague among them at their visitation.</w:t>
      </w:r>
    </w:p>
    <w:p>
      <w:r>
        <w:rPr>
          <w:b/>
        </w:rPr>
        <w:t xml:space="preserve">13 </w:t>
      </w:r>
      <w:r>
        <w:t xml:space="preserve">And this is what they shall give, all who pass through the visitation: half the didrachm, according to the didrachm of the sanctuary. Twenty obols to the didrachm. But the half-didrachm is an offering to the Lord.</w:t>
      </w:r>
    </w:p>
    <w:p>
      <w:r>
        <w:rPr>
          <w:b/>
        </w:rPr>
        <w:t xml:space="preserve">14 </w:t>
      </w:r>
      <w:r>
        <w:t xml:space="preserve">Everyone who passes through the visitation, from twenty</w:t>
      </w:r>
      <w:r>
        <w:rPr>
          <w:rStyle w:val="FootnoteReference"/>
        </w:rPr>
        <w:footnoteReference w:id="1859"/>
      </w:r>
      <w:r>
        <w:t xml:space="preserve"> years old and above, shall give the offering to the Lord.</w:t>
      </w:r>
    </w:p>
    <w:p>
      <w:r>
        <w:rPr>
          <w:b/>
        </w:rPr>
        <w:t xml:space="preserve">15 </w:t>
      </w:r>
      <w:r>
        <w:t xml:space="preserve">The rich</w:t>
      </w:r>
      <w:r>
        <w:rPr>
          <w:rStyle w:val="FootnoteReference"/>
        </w:rPr>
        <w:footnoteReference w:id="1860"/>
      </w:r>
      <w:r>
        <w:t xml:space="preserve"> shall not add and the poor shall not lessen from the half-didrachm in giving the offering to the Lord, to make atonement for your lives.</w:t>
      </w:r>
    </w:p>
    <w:p>
      <w:r>
        <w:rPr>
          <w:b/>
        </w:rPr>
        <w:t xml:space="preserve">16 </w:t>
      </w:r>
      <w:r>
        <w:t xml:space="preserve">And you shall take the silver of the offering</w:t>
      </w:r>
      <w:r>
        <w:rPr>
          <w:rStyle w:val="FootnoteReference"/>
        </w:rPr>
        <w:footnoteReference w:id="1861"/>
      </w:r>
      <w:r>
        <w:t xml:space="preserve"> from the sons of Israel and give it for the work of the tent of testimony, and it shall be a memorial</w:t>
      </w:r>
      <w:r>
        <w:rPr>
          <w:rStyle w:val="FootnoteReference"/>
        </w:rPr>
        <w:footnoteReference w:id="1862"/>
      </w:r>
      <w:r>
        <w:t xml:space="preserve"> before the Lord for the sons of Israel, to make atonement for your lives.</w:t>
      </w:r>
    </w:p>
    <w:p>
      <w:r>
        <w:rPr>
          <w:b/>
        </w:rPr>
        <w:t xml:space="preserve">17 </w:t>
      </w:r>
      <w:r>
        <w:t xml:space="preserve">And the Lord spoke to Moses, saying,</w:t>
      </w:r>
    </w:p>
    <w:p>
      <w:r>
        <w:rPr>
          <w:b/>
        </w:rPr>
        <w:t xml:space="preserve">18 </w:t>
      </w:r>
      <w:r>
        <w:t xml:space="preserve">Make a bronze laver and a bronze base for it for washing, and you shall place it between the tent of testimony and the altar, and you shall pour water into it.</w:t>
      </w:r>
      <w:r>
        <w:rPr>
          <w:rStyle w:val="FootnoteReference"/>
        </w:rPr>
        <w:footnoteReference w:id="1863"/>
      </w:r>
    </w:p>
    <w:p>
      <w:r>
        <w:rPr>
          <w:b/>
        </w:rPr>
        <w:t xml:space="preserve">19 </w:t>
      </w:r>
      <w:r>
        <w:t xml:space="preserve">And Aaron and his sons shall wash from it their hands and feet with water.</w:t>
      </w:r>
    </w:p>
    <w:p>
      <w:r>
        <w:rPr>
          <w:b/>
        </w:rPr>
        <w:t xml:space="preserve">20 </w:t>
      </w:r>
      <w:r>
        <w:t xml:space="preserve">When they enter into the tent of testimony, they shall wash with water and not die; or when they approach the altar to minister and offer the whole burnt offerings to the Lord.</w:t>
      </w:r>
    </w:p>
    <w:p>
      <w:r>
        <w:rPr>
          <w:b/>
        </w:rPr>
        <w:t xml:space="preserve">21 </w:t>
      </w:r>
      <w:r>
        <w:t xml:space="preserve">They shall wash their hands and feet with water when they enter into the tent of testimony, so that they may not die. And it shall be an everlasting statute for them, for him and for his generations after him.</w:t>
      </w:r>
    </w:p>
    <w:p>
      <w:r>
        <w:rPr>
          <w:b/>
        </w:rPr>
        <w:t xml:space="preserve">22 </w:t>
      </w:r>
      <w:r>
        <w:t xml:space="preserve">And the Lord spoke to Moses, saying,</w:t>
      </w:r>
    </w:p>
    <w:p>
      <w:r>
        <w:rPr>
          <w:b/>
        </w:rPr>
        <w:t xml:space="preserve">23 </w:t>
      </w:r>
      <w:r>
        <w:t xml:space="preserve">And you, take sweet spices: five hundred shekels of choice-flowing myrrh, and half that amount, two hundred fifty of sweet cinnamon, and two hundred fifty of sweet calamus,</w:t>
      </w:r>
    </w:p>
    <w:p>
      <w:r>
        <w:rPr>
          <w:b/>
        </w:rPr>
        <w:t xml:space="preserve">24 </w:t>
      </w:r>
      <w:r>
        <w:t xml:space="preserve">and five hundred shekels of cassia</w:t>
      </w:r>
      <w:r>
        <w:rPr>
          <w:rStyle w:val="FootnoteReference"/>
        </w:rPr>
        <w:footnoteReference w:id="1864"/>
      </w:r>
      <w:r>
        <w:t xml:space="preserve"> by the sanctuary shekel, and a hin of olive oil.</w:t>
      </w:r>
    </w:p>
    <w:p>
      <w:r>
        <w:rPr>
          <w:b/>
        </w:rPr>
        <w:t xml:space="preserve">25 </w:t>
      </w:r>
      <w:r>
        <w:t xml:space="preserve">And you shall make it holy anointing oil, perfumed ointment, work of a perfumer. It shall be holy anointing oil.</w:t>
      </w:r>
    </w:p>
    <w:p>
      <w:r>
        <w:rPr>
          <w:b/>
        </w:rPr>
        <w:t xml:space="preserve">26 </w:t>
      </w:r>
      <w:r>
        <w:t xml:space="preserve">And you shall anoint with it the tent of testimony and the ark of testimony,</w:t>
      </w:r>
    </w:p>
    <w:p>
      <w:r>
        <w:rPr>
          <w:b/>
        </w:rPr>
        <w:t xml:space="preserve">27 </w:t>
      </w:r>
      <w:r>
        <w:t xml:space="preserve">and the lampstand and all its utensils and the altar of incense,</w:t>
      </w:r>
    </w:p>
    <w:p>
      <w:r>
        <w:rPr>
          <w:b/>
        </w:rPr>
        <w:t xml:space="preserve">28 </w:t>
      </w:r>
      <w:r>
        <w:t xml:space="preserve">and the altar of whole burnt offerings and all its utensils and the table and all its utensils and the laver and its base.</w:t>
      </w:r>
    </w:p>
    <w:p>
      <w:r>
        <w:rPr>
          <w:b/>
        </w:rPr>
        <w:t xml:space="preserve">29 </w:t>
      </w:r>
      <w:r>
        <w:t xml:space="preserve">And you shall sanctify them, and they shall be Holy of Holies. Everyone touching them shall be sanctified.</w:t>
      </w:r>
    </w:p>
    <w:p>
      <w:r>
        <w:rPr>
          <w:b/>
        </w:rPr>
        <w:t xml:space="preserve">30 </w:t>
      </w:r>
      <w:r>
        <w:t xml:space="preserve">And you shall anoint</w:t>
      </w:r>
      <w:r>
        <w:rPr>
          <w:rStyle w:val="FootnoteReference"/>
        </w:rPr>
        <w:footnoteReference w:id="1865"/>
      </w:r>
      <w:r>
        <w:t xml:space="preserve"> Aaron and his sons and sanctify them to serve as priests to me.</w:t>
      </w:r>
    </w:p>
    <w:p>
      <w:r>
        <w:rPr>
          <w:b/>
        </w:rPr>
        <w:t xml:space="preserve">31 </w:t>
      </w:r>
      <w:r>
        <w:t xml:space="preserve">And you shall speak to the sons of Israel, saying, "This shall be holy oil of anointing for you throughout your generations.</w:t>
      </w:r>
    </w:p>
    <w:p>
      <w:r>
        <w:rPr>
          <w:b/>
        </w:rPr>
        <w:t xml:space="preserve">32 </w:t>
      </w:r>
      <w:r>
        <w:t xml:space="preserve">It shall not be poured on human flesh, and according to this composition you shall not make any for yourselves in the same way. It is holy, and it shall be holiness for you.</w:t>
      </w:r>
    </w:p>
    <w:p>
      <w:r>
        <w:rPr>
          <w:b/>
        </w:rPr>
        <w:t xml:space="preserve">33 </w:t>
      </w:r>
      <w:r>
        <w:t xml:space="preserve">Whoever makes any like it, and whoever gives some of it to an outsider, shall be destroyed from his people."</w:t>
      </w:r>
    </w:p>
    <w:p>
      <w:r>
        <w:rPr>
          <w:b/>
        </w:rPr>
        <w:t xml:space="preserve">34 </w:t>
      </w:r>
      <w:r>
        <w:t xml:space="preserve">And the Lord said to Moses, "Take for yourself sweet spices: stacte, onycha, sweet galbanum, and pure frankincense</w:t>
      </w:r>
      <w:r>
        <w:rPr>
          <w:rStyle w:val="FootnoteReference"/>
        </w:rPr>
        <w:footnoteReference w:id="1866"/>
      </w:r>
      <w:r>
        <w:t xml:space="preserve">. There shall be equal amounts of each.</w:t>
      </w:r>
    </w:p>
    <w:p>
      <w:r>
        <w:rPr>
          <w:b/>
        </w:rPr>
        <w:t xml:space="preserve">35 </w:t>
      </w:r>
      <w:r>
        <w:t xml:space="preserve">And they shall make from it incense, perfumed compound, work of a perfumer, mixed, pure, holy.</w:t>
      </w:r>
    </w:p>
    <w:p>
      <w:r>
        <w:rPr>
          <w:b/>
        </w:rPr>
        <w:t xml:space="preserve">36 </w:t>
      </w:r>
      <w:r>
        <w:t xml:space="preserve">And you shall beat some of it very fine and place it before the testimonies in the tent of testimony, where I will</w:t>
      </w:r>
      <w:r>
        <w:rPr>
          <w:rStyle w:val="FootnoteReference"/>
        </w:rPr>
        <w:footnoteReference w:id="1867"/>
      </w:r>
      <w:r>
        <w:t xml:space="preserve"> make myself known to you there. It shall be Holy of Holies for you.</w:t>
      </w:r>
    </w:p>
    <w:p>
      <w:r>
        <w:rPr>
          <w:b/>
        </w:rPr>
        <w:t xml:space="preserve">37 </w:t>
      </w:r>
      <w:r>
        <w:t xml:space="preserve">And incense according to this composition you shall not make for yourselves. It shall</w:t>
      </w:r>
      <w:r>
        <w:rPr>
          <w:rStyle w:val="FootnoteReference"/>
        </w:rPr>
        <w:footnoteReference w:id="1868"/>
      </w:r>
      <w:r>
        <w:t xml:space="preserve"> be a holy thing for you to the Lord.</w:t>
      </w:r>
    </w:p>
    <w:p>
      <w:r>
        <w:rPr>
          <w:b/>
        </w:rPr>
        <w:t xml:space="preserve">38 </w:t>
      </w:r>
      <w:r>
        <w:t xml:space="preserve">Whoever makes any like it to smell it shall perish from his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And the Lord spoke to Moses, saying,</w:t>
      </w:r>
    </w:p>
    <w:p>
      <w:r>
        <w:rPr>
          <w:b/>
        </w:rPr>
        <w:t xml:space="preserve">2 </w:t>
      </w:r>
      <w:r>
        <w:t xml:space="preserve">"Look, I have called by name Bezalel</w:t>
      </w:r>
      <w:r>
        <w:rPr>
          <w:rStyle w:val="FootnoteReference"/>
        </w:rPr>
        <w:footnoteReference w:id="1869"/>
      </w:r>
      <w:r>
        <w:t xml:space="preserve"> son of Uri</w:t>
      </w:r>
      <w:r>
        <w:rPr>
          <w:rStyle w:val="FootnoteReference"/>
        </w:rPr>
        <w:footnoteReference w:id="1870"/>
      </w:r>
      <w:r>
        <w:t xml:space="preserve"> son of Hur, of the tribe of Judah.</w:t>
      </w:r>
    </w:p>
    <w:p>
      <w:r>
        <w:rPr>
          <w:b/>
        </w:rPr>
        <w:t xml:space="preserve">3 </w:t>
      </w:r>
      <w:r>
        <w:t xml:space="preserve">And I have filled</w:t>
      </w:r>
      <w:r>
        <w:rPr>
          <w:rStyle w:val="FootnoteReference"/>
        </w:rPr>
        <w:footnoteReference w:id="1871"/>
      </w:r>
      <w:r>
        <w:t xml:space="preserve"> him with a divine spirit of wisdom and understanding and knowledge in every work,</w:t>
      </w:r>
    </w:p>
    <w:p>
      <w:r>
        <w:rPr>
          <w:b/>
        </w:rPr>
        <w:t xml:space="preserve">4 </w:t>
      </w:r>
      <w:r>
        <w:t xml:space="preserve">to devise and design, to work gold and silver and bronze, and blue and purple and spun scarlet and woven fine linen,</w:t>
      </w:r>
    </w:p>
    <w:p>
      <w:r>
        <w:rPr>
          <w:b/>
        </w:rPr>
        <w:t xml:space="preserve">5 </w:t>
      </w:r>
      <w:r>
        <w:t xml:space="preserve">and in stone-cutting and woodwork, to work in every task.</w:t>
      </w:r>
    </w:p>
    <w:p>
      <w:r>
        <w:rPr>
          <w:b/>
        </w:rPr>
        <w:t xml:space="preserve">6 </w:t>
      </w:r>
      <w:r>
        <w:t xml:space="preserve">And I, behold, have appointed with him Oholiab</w:t>
      </w:r>
      <w:r>
        <w:rPr>
          <w:rStyle w:val="FootnoteReference"/>
        </w:rPr>
        <w:footnoteReference w:id="1872"/>
      </w:r>
      <w:r>
        <w:t xml:space="preserve"> son of Ahisamach</w:t>
      </w:r>
      <w:r>
        <w:rPr>
          <w:rStyle w:val="FootnoteReference"/>
        </w:rPr>
        <w:footnoteReference w:id="1873"/>
      </w:r>
      <w:r>
        <w:t xml:space="preserve">, of the tribe of Dan. And to everyone wise in heart</w:t>
      </w:r>
      <w:r>
        <w:rPr>
          <w:rStyle w:val="FootnoteReference"/>
        </w:rPr>
        <w:footnoteReference w:id="1874"/>
      </w:r>
      <w:r>
        <w:t xml:space="preserve"> I have given</w:t>
      </w:r>
      <w:r>
        <w:rPr>
          <w:rStyle w:val="FootnoteReference"/>
        </w:rPr>
        <w:footnoteReference w:id="1875"/>
      </w:r>
      <w:r>
        <w:t xml:space="preserve"> understanding, and they shall make all that I commanded you:</w:t>
      </w:r>
    </w:p>
    <w:p>
      <w:r>
        <w:rPr>
          <w:b/>
        </w:rPr>
        <w:t xml:space="preserve">7 </w:t>
      </w:r>
      <w:r>
        <w:t xml:space="preserve">the tent of testimony and the ark of the covenant and the propitiatory upon it and the furnishings of the tent,</w:t>
      </w:r>
    </w:p>
    <w:p>
      <w:r>
        <w:rPr>
          <w:b/>
        </w:rPr>
        <w:t xml:space="preserve">8 </w:t>
      </w:r>
      <w:r>
        <w:t xml:space="preserve">and the altars and the table</w:t>
      </w:r>
      <w:r>
        <w:rPr>
          <w:rStyle w:val="FootnoteReference"/>
        </w:rPr>
        <w:footnoteReference w:id="1876"/>
      </w:r>
      <w:r>
        <w:t xml:space="preserve"> and all its utensils and the pure lampstand and all its utensils,</w:t>
      </w:r>
    </w:p>
    <w:p>
      <w:r>
        <w:rPr>
          <w:b/>
        </w:rPr>
        <w:t xml:space="preserve">9 </w:t>
      </w:r>
      <w:r>
        <w:t xml:space="preserve">and the laver</w:t>
      </w:r>
      <w:r>
        <w:rPr>
          <w:rStyle w:val="FootnoteReference"/>
        </w:rPr>
        <w:footnoteReference w:id="1877"/>
      </w:r>
      <w:r>
        <w:t xml:space="preserve"> and its base,</w:t>
      </w:r>
    </w:p>
    <w:p>
      <w:r>
        <w:rPr>
          <w:b/>
        </w:rPr>
        <w:t xml:space="preserve">10 </w:t>
      </w:r>
      <w:r>
        <w:t xml:space="preserve">and the ministering garments of Aaron and the garments of his sons to serve as priests to me,</w:t>
      </w:r>
    </w:p>
    <w:p>
      <w:r>
        <w:rPr>
          <w:b/>
        </w:rPr>
        <w:t xml:space="preserve">11 </w:t>
      </w:r>
      <w:r>
        <w:t xml:space="preserve">and the anointing</w:t>
      </w:r>
      <w:r>
        <w:rPr>
          <w:rStyle w:val="FootnoteReference"/>
        </w:rPr>
        <w:footnoteReference w:id="1878"/>
      </w:r>
      <w:r>
        <w:t xml:space="preserve"> oil and the compounded incense of the holy place. According to all that I commanded you, they shall make them."</w:t>
      </w:r>
    </w:p>
    <w:p>
      <w:r>
        <w:rPr>
          <w:b/>
        </w:rPr>
        <w:t xml:space="preserve">12 </w:t>
      </w:r>
      <w:r>
        <w:t xml:space="preserve">And the Lord spoke to Moses, saying,</w:t>
      </w:r>
    </w:p>
    <w:p>
      <w:r>
        <w:rPr>
          <w:b/>
        </w:rPr>
        <w:t xml:space="preserve">13 </w:t>
      </w:r>
      <w:r>
        <w:t xml:space="preserve">"And you, command the sons of Israel, saying, See that you keep my Sabbaths, for it is a sign</w:t>
      </w:r>
      <w:r>
        <w:rPr>
          <w:rStyle w:val="FootnoteReference"/>
        </w:rPr>
        <w:footnoteReference w:id="1879"/>
      </w:r>
      <w:r>
        <w:t xml:space="preserve"> between me and you throughout your generations, that you may know that I am the Lord who sanctifies you</w:t>
      </w:r>
      <w:r>
        <w:rPr>
          <w:rStyle w:val="FootnoteReference"/>
        </w:rPr>
        <w:footnoteReference w:id="1880"/>
      </w:r>
      <w:r>
        <w:t xml:space="preserve">.</w:t>
      </w:r>
      <w:r>
        <w:rPr>
          <w:rStyle w:val="FootnoteReference"/>
        </w:rPr>
        <w:footnoteReference w:id="1881"/>
      </w:r>
    </w:p>
    <w:p>
      <w:r>
        <w:rPr>
          <w:b/>
        </w:rPr>
        <w:t xml:space="preserve">14 </w:t>
      </w:r>
      <w:r>
        <w:t xml:space="preserve">And you shall keep</w:t>
      </w:r>
      <w:r>
        <w:rPr>
          <w:rStyle w:val="FootnoteReference"/>
        </w:rPr>
        <w:footnoteReference w:id="1882"/>
      </w:r>
      <w:r>
        <w:t xml:space="preserve"> the Sabbaths, because this is holy to the Lord for you. The one profaning it shall certainly be put to death. Everyone who does work on it, that life shall be destroyed</w:t>
      </w:r>
      <w:r>
        <w:rPr>
          <w:rStyle w:val="FootnoteReference"/>
        </w:rPr>
        <w:footnoteReference w:id="1883"/>
      </w:r>
      <w:r>
        <w:t xml:space="preserve"> from the midst of his people.</w:t>
      </w:r>
    </w:p>
    <w:p>
      <w:r>
        <w:rPr>
          <w:b/>
        </w:rPr>
        <w:t xml:space="preserve">15 </w:t>
      </w:r>
      <w:r>
        <w:t xml:space="preserve">Six days</w:t>
      </w:r>
      <w:r>
        <w:rPr>
          <w:rStyle w:val="FootnoteReference"/>
        </w:rPr>
        <w:footnoteReference w:id="1884"/>
      </w:r>
      <w:r>
        <w:t xml:space="preserve"> you shall do works, but on the seventh day is Sabbath rest, holy to the Lord. Everyone who does work on the seventh day shall certainly be put to death.</w:t>
      </w:r>
    </w:p>
    <w:p>
      <w:r>
        <w:rPr>
          <w:b/>
        </w:rPr>
        <w:t xml:space="preserve">16 </w:t>
      </w:r>
      <w:r>
        <w:t xml:space="preserve">And the sons of Israel shall keep the Sabbaths, to do them throughout their generations, an everlasting covenant.</w:t>
      </w:r>
    </w:p>
    <w:p>
      <w:r>
        <w:rPr>
          <w:b/>
        </w:rPr>
        <w:t xml:space="preserve">17 </w:t>
      </w:r>
      <w:r>
        <w:t xml:space="preserve">Between me and the sons of Israel it is an everlasting sign, because in six days</w:t>
      </w:r>
      <w:r>
        <w:rPr>
          <w:rStyle w:val="FootnoteReference"/>
        </w:rPr>
        <w:footnoteReference w:id="1885"/>
      </w:r>
      <w:r>
        <w:t xml:space="preserve"> the Lord made heaven and earth, and on the seventh day he ceased and rested."</w:t>
      </w:r>
    </w:p>
    <w:p>
      <w:r>
        <w:rPr>
          <w:b/>
        </w:rPr>
        <w:t xml:space="preserve">18 </w:t>
      </w:r>
      <w:r>
        <w:t xml:space="preserve">And when he finished speaking to him on Mount Sinai, he gave</w:t>
      </w:r>
      <w:r>
        <w:rPr>
          <w:rStyle w:val="FootnoteReference"/>
        </w:rPr>
        <w:footnoteReference w:id="1886"/>
      </w:r>
      <w:r>
        <w:t xml:space="preserve"> Moses the two tablets of testimony, stone tablets written with the finger of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t xml:space="preserve">And when the people saw that Moses had delayed</w:t>
      </w:r>
      <w:r>
        <w:rPr>
          <w:rStyle w:val="FootnoteReference"/>
        </w:rPr>
        <w:footnoteReference w:id="1887"/>
      </w:r>
      <w:r>
        <w:t xml:space="preserve"> to come down from the mountain, the people gathered against Aaron and said to him, "Rise up and make gods for us who will go before us. For as for this Moses, the man who brought us up from Egypt, we do not know what has happened to him."</w:t>
      </w:r>
    </w:p>
    <w:p>
      <w:r>
        <w:rPr>
          <w:b/>
        </w:rPr>
        <w:t xml:space="preserve">2 </w:t>
      </w:r>
      <w:r>
        <w:t xml:space="preserve">And Aaron said to them, "Strip off the gold earrings in the ears of your wives and daughters and bring them to me."</w:t>
      </w:r>
    </w:p>
    <w:p>
      <w:r>
        <w:rPr>
          <w:b/>
        </w:rPr>
        <w:t xml:space="preserve">3 </w:t>
      </w:r>
      <w:r>
        <w:t xml:space="preserve">And all the people stripped off the gold earrings in their ears and brought them to Aaron.</w:t>
      </w:r>
    </w:p>
    <w:p>
      <w:r>
        <w:rPr>
          <w:b/>
        </w:rPr>
        <w:t xml:space="preserve">4 </w:t>
      </w:r>
      <w:r>
        <w:t xml:space="preserve">And he took them from their hands and formed them with the graving tool and made them a molten calf</w:t>
      </w:r>
      <w:r>
        <w:rPr>
          <w:rStyle w:val="FootnoteReference"/>
        </w:rPr>
        <w:footnoteReference w:id="1888"/>
      </w:r>
      <w:r>
        <w:t xml:space="preserve">. And he said, "These are your gods, Israel, who brought you up from Egypt."</w:t>
      </w:r>
    </w:p>
    <w:p>
      <w:r>
        <w:rPr>
          <w:b/>
        </w:rPr>
        <w:t xml:space="preserve">5 </w:t>
      </w:r>
      <w:r>
        <w:t xml:space="preserve">And Aaron</w:t>
      </w:r>
      <w:r>
        <w:rPr>
          <w:rStyle w:val="FootnoteReference"/>
        </w:rPr>
        <w:footnoteReference w:id="1889"/>
      </w:r>
      <w:r>
        <w:t xml:space="preserve">, seeing, built an altar before it, and Aaron proclaimed, saying, "Tomorrow is a feast of the Lord."</w:t>
      </w:r>
    </w:p>
    <w:p>
      <w:r>
        <w:rPr>
          <w:b/>
        </w:rPr>
        <w:t xml:space="preserve">6 </w:t>
      </w:r>
      <w:r>
        <w:t xml:space="preserve">And rising early the next day, he offered</w:t>
      </w:r>
      <w:r>
        <w:rPr>
          <w:rStyle w:val="FootnoteReference"/>
        </w:rPr>
        <w:footnoteReference w:id="1890"/>
      </w:r>
      <w:r>
        <w:t xml:space="preserve"> whole burnt offerings and brought sacrifices of salvation. And the people sat down to eat and drink and rose up to play.</w:t>
      </w:r>
    </w:p>
    <w:p>
      <w:r>
        <w:rPr>
          <w:b/>
        </w:rPr>
        <w:t xml:space="preserve">7 </w:t>
      </w:r>
      <w:r>
        <w:t xml:space="preserve">And the Lord spoke to Moses, saying, "Go, hurry down from here, for your people whom you brought up from Egypt have acted lawlessly.</w:t>
      </w:r>
    </w:p>
    <w:p>
      <w:r>
        <w:rPr>
          <w:b/>
        </w:rPr>
        <w:t xml:space="preserve">8 </w:t>
      </w:r>
      <w:r>
        <w:t xml:space="preserve">They have quickly turned aside</w:t>
      </w:r>
      <w:r>
        <w:rPr>
          <w:rStyle w:val="FootnoteReference"/>
        </w:rPr>
        <w:footnoteReference w:id="1891"/>
      </w:r>
      <w:r>
        <w:t xml:space="preserve"> from the way that I commanded them. They have made for themselves a calf and have worshiped it and sacrificed to it and said, "These are your gods, Israel, who brought you up from Egypt.""</w:t>
      </w:r>
    </w:p>
    <w:p>
      <w:r>
        <w:rPr>
          <w:b/>
        </w:rPr>
        <w:t xml:space="preserve">10 </w:t>
      </w:r>
      <w:r>
        <w:t xml:space="preserve">And now let me alone</w:t>
      </w:r>
      <w:r>
        <w:rPr>
          <w:rStyle w:val="FootnoteReference"/>
        </w:rPr>
        <w:footnoteReference w:id="1892"/>
      </w:r>
      <w:r>
        <w:t xml:space="preserve">, and in anger I will destroy them, and I will make you a great nation.</w:t>
      </w:r>
      <w:r>
        <w:rPr>
          <w:rStyle w:val="FootnoteReference"/>
        </w:rPr>
        <w:footnoteReference w:id="1893"/>
      </w:r>
    </w:p>
    <w:p>
      <w:r>
        <w:rPr>
          <w:b/>
        </w:rPr>
        <w:t xml:space="preserve">11 </w:t>
      </w:r>
      <w:r>
        <w:t xml:space="preserve">And Moses entreated before the Lord God and said, "Why, Lord, does angry wrath burn against your people whom you brought out from Egypt with great strength and with your high arm?</w:t>
      </w:r>
    </w:p>
    <w:p>
      <w:r>
        <w:rPr>
          <w:b/>
        </w:rPr>
        <w:t xml:space="preserve">12 </w:t>
      </w:r>
      <w:r>
        <w:t xml:space="preserve">Let not the Egyptians ever say, "He brought them out with evil intent, to kill them in the mountains and consume them from the earth." Stop from the anger of your wrath and be merciful concerning the evil</w:t>
      </w:r>
      <w:r>
        <w:rPr>
          <w:rStyle w:val="FootnoteReference"/>
        </w:rPr>
        <w:footnoteReference w:id="1894"/>
      </w:r>
      <w:r>
        <w:t xml:space="preserve"> of your people.</w:t>
      </w:r>
    </w:p>
    <w:p>
      <w:r>
        <w:rPr>
          <w:b/>
        </w:rPr>
        <w:t xml:space="preserve">13 </w:t>
      </w:r>
      <w:r>
        <w:t xml:space="preserve">Remember</w:t>
      </w:r>
      <w:r>
        <w:rPr>
          <w:rStyle w:val="FootnoteReference"/>
        </w:rPr>
        <w:footnoteReference w:id="1895"/>
      </w:r>
      <w:r>
        <w:t xml:space="preserve"> Abraham and Isaac and Jacob</w:t>
      </w:r>
      <w:r>
        <w:rPr>
          <w:rStyle w:val="FootnoteReference"/>
        </w:rPr>
        <w:footnoteReference w:id="1896"/>
      </w:r>
      <w:r>
        <w:t xml:space="preserve"> your servants, to whom you swore by yourself and spoke to them, saying, "I will greatly multiply your seed like the stars of heaven in multitude, and all this land that I said I would give to your seed, and they shall possess it forever.""</w:t>
      </w:r>
    </w:p>
    <w:p>
      <w:r>
        <w:rPr>
          <w:b/>
        </w:rPr>
        <w:t xml:space="preserve">14 </w:t>
      </w:r>
      <w:r>
        <w:t xml:space="preserve">And the Lord was propitiated concerning the evil that he had said he would do to his people.</w:t>
      </w:r>
    </w:p>
    <w:p>
      <w:r>
        <w:rPr>
          <w:b/>
        </w:rPr>
        <w:t xml:space="preserve">15 </w:t>
      </w:r>
      <w:r>
        <w:t xml:space="preserve">And Moses turned</w:t>
      </w:r>
      <w:r>
        <w:rPr>
          <w:rStyle w:val="FootnoteReference"/>
        </w:rPr>
        <w:footnoteReference w:id="1897"/>
      </w:r>
      <w:r>
        <w:t xml:space="preserve"> and went down from the mountain, and the two tablets of testimony were in his hands, stone tablets inscribed on both their sides, written on this side and that side.</w:t>
      </w:r>
    </w:p>
    <w:p>
      <w:r>
        <w:rPr>
          <w:b/>
        </w:rPr>
        <w:t xml:space="preserve">16 </w:t>
      </w:r>
      <w:r>
        <w:t xml:space="preserve">And the tablets were God's work, and the writing was God's writing, engraved upon the tablets.</w:t>
      </w:r>
    </w:p>
    <w:p>
      <w:r>
        <w:rPr>
          <w:b/>
        </w:rPr>
        <w:t xml:space="preserve">17 </w:t>
      </w:r>
      <w:r>
        <w:t xml:space="preserve">And Joshua</w:t>
      </w:r>
      <w:r>
        <w:rPr>
          <w:rStyle w:val="FootnoteReference"/>
        </w:rPr>
        <w:footnoteReference w:id="1898"/>
      </w:r>
      <w:r>
        <w:t xml:space="preserve">, hearing the voice of the people crying out, said to Moses, "A sound of war is in the camp."</w:t>
      </w:r>
    </w:p>
    <w:p>
      <w:r>
        <w:rPr>
          <w:b/>
        </w:rPr>
        <w:t xml:space="preserve">18 </w:t>
      </w:r>
      <w:r>
        <w:t xml:space="preserve">And he said, "It is not the sound of those shouting in strength, nor the sound of those shouting in rout, but the</w:t>
      </w:r>
      <w:r>
        <w:rPr>
          <w:rStyle w:val="FootnoteReference"/>
        </w:rPr>
        <w:footnoteReference w:id="1899"/>
      </w:r>
      <w:r>
        <w:t xml:space="preserve"> sound of those striking up wine-song that I hear."</w:t>
      </w:r>
    </w:p>
    <w:p>
      <w:r>
        <w:rPr>
          <w:b/>
        </w:rPr>
        <w:t xml:space="preserve">19 </w:t>
      </w:r>
      <w:r>
        <w:t xml:space="preserve">And when he drew near to the camp, he saw</w:t>
      </w:r>
      <w:r>
        <w:rPr>
          <w:rStyle w:val="FootnoteReference"/>
        </w:rPr>
        <w:footnoteReference w:id="1900"/>
      </w:r>
      <w:r>
        <w:t xml:space="preserve"> the calf and the dances. And Moses, burning with anger, threw the two tablets from his hands and shattered them at the foot of the mountain.</w:t>
      </w:r>
    </w:p>
    <w:p>
      <w:r>
        <w:rPr>
          <w:b/>
        </w:rPr>
        <w:t xml:space="preserve">20 </w:t>
      </w:r>
      <w:r>
        <w:t xml:space="preserve">And taking the calf that they had made, he burned it in fire and ground it fine and scattered it on the water and made the</w:t>
      </w:r>
      <w:r>
        <w:rPr>
          <w:rStyle w:val="FootnoteReference"/>
        </w:rPr>
        <w:footnoteReference w:id="1901"/>
      </w:r>
      <w:r>
        <w:t xml:space="preserve"> sons of Israel drink it.</w:t>
      </w:r>
    </w:p>
    <w:p>
      <w:r>
        <w:rPr>
          <w:b/>
        </w:rPr>
        <w:t xml:space="preserve">21 </w:t>
      </w:r>
      <w:r>
        <w:t xml:space="preserve">And Moses said to Aaron, "What did this people do to you that you brought a great sin upon them</w:t>
      </w:r>
      <w:r>
        <w:rPr>
          <w:rStyle w:val="FootnoteReference"/>
        </w:rPr>
        <w:footnoteReference w:id="1902"/>
      </w:r>
      <w:r>
        <w:t xml:space="preserve">?"</w:t>
      </w:r>
    </w:p>
    <w:p>
      <w:r>
        <w:rPr>
          <w:b/>
        </w:rPr>
        <w:t xml:space="preserve">22 </w:t>
      </w:r>
      <w:r>
        <w:t xml:space="preserve">And Aaron said to Moses, "Do not be angry, my lord. You know the rush of this people.</w:t>
      </w:r>
    </w:p>
    <w:p>
      <w:r>
        <w:rPr>
          <w:b/>
        </w:rPr>
        <w:t xml:space="preserve">23 </w:t>
      </w:r>
      <w:r>
        <w:t xml:space="preserve">For they say to me, "Make gods for us who will go before us. For as for this Moses, the man who brought us up from Egypt, we do not know what has happened to him."</w:t>
      </w:r>
    </w:p>
    <w:p>
      <w:r>
        <w:rPr>
          <w:b/>
        </w:rPr>
        <w:t xml:space="preserve">24 </w:t>
      </w:r>
      <w:r>
        <w:t xml:space="preserve">And I said to them, "Whoever has gold ornaments, strip them off." And they gave them to me, and I threw them into the fire, and out came this calf."</w:t>
      </w:r>
    </w:p>
    <w:p>
      <w:r>
        <w:rPr>
          <w:b/>
        </w:rPr>
        <w:t xml:space="preserve">25 </w:t>
      </w:r>
      <w:r>
        <w:t xml:space="preserve">And Moses, seeing that the people were scattered, for Aaron</w:t>
      </w:r>
      <w:r>
        <w:rPr>
          <w:rStyle w:val="FootnoteReference"/>
        </w:rPr>
        <w:footnoteReference w:id="1903"/>
      </w:r>
      <w:r>
        <w:t xml:space="preserve"> had scattered them into mockery for their enemies,</w:t>
      </w:r>
    </w:p>
    <w:p>
      <w:r>
        <w:rPr>
          <w:b/>
        </w:rPr>
        <w:t xml:space="preserve">26 </w:t>
      </w:r>
      <w:r>
        <w:t xml:space="preserve">stood at the gate of the camp and said, "Who is for the Lord? Let him come to me." Then all the sons of Levi gathered to him.</w:t>
      </w:r>
    </w:p>
    <w:p>
      <w:r>
        <w:rPr>
          <w:b/>
        </w:rPr>
        <w:t xml:space="preserve">27 </w:t>
      </w:r>
      <w:r>
        <w:t xml:space="preserve">And he said to them, "Thus says the Lord God of Israel: Let each put his sword upon his thigh and go through and return from gate to gate through the camp, and let each kill his brother and each his neighbor</w:t>
      </w:r>
      <w:r>
        <w:rPr>
          <w:rStyle w:val="FootnoteReference"/>
        </w:rPr>
        <w:footnoteReference w:id="1904"/>
      </w:r>
      <w:r>
        <w:t xml:space="preserve"> and each his nearest one."</w:t>
      </w:r>
    </w:p>
    <w:p>
      <w:r>
        <w:rPr>
          <w:b/>
        </w:rPr>
        <w:t xml:space="preserve">28 </w:t>
      </w:r>
      <w:r>
        <w:t xml:space="preserve">And the sons of Levi did as Moses spoke to them, and about three thousand men from the people fell that day.</w:t>
      </w:r>
    </w:p>
    <w:p>
      <w:r>
        <w:rPr>
          <w:b/>
        </w:rPr>
        <w:t xml:space="preserve">29 </w:t>
      </w:r>
      <w:r>
        <w:t xml:space="preserve">And Moses</w:t>
      </w:r>
      <w:r>
        <w:rPr>
          <w:rStyle w:val="FootnoteReference"/>
        </w:rPr>
        <w:footnoteReference w:id="1905"/>
      </w:r>
      <w:r>
        <w:t xml:space="preserve"> said to them, "You have filled your hands today to the Lord, each one against his son or his brother, so that blessing may be given upon you."</w:t>
      </w:r>
    </w:p>
    <w:p>
      <w:r>
        <w:rPr>
          <w:b/>
        </w:rPr>
        <w:t xml:space="preserve">30 </w:t>
      </w:r>
      <w:r>
        <w:t xml:space="preserve">And it came about on the next day that Moses said to the people, "You have sinned a great sin. And now I will go up to God, so that I may make atonement for your sin."</w:t>
      </w:r>
    </w:p>
    <w:p>
      <w:r>
        <w:rPr>
          <w:b/>
        </w:rPr>
        <w:t xml:space="preserve">31 </w:t>
      </w:r>
      <w:r>
        <w:t xml:space="preserve">And Moses returned</w:t>
      </w:r>
      <w:r>
        <w:rPr>
          <w:rStyle w:val="FootnoteReference"/>
        </w:rPr>
        <w:footnoteReference w:id="1906"/>
      </w:r>
      <w:r>
        <w:t xml:space="preserve"> to the Lord and said, "I beg, Lord, this people has sinned a great sin, and they made for themselves gods of gold.</w:t>
      </w:r>
    </w:p>
    <w:p>
      <w:r>
        <w:rPr>
          <w:b/>
        </w:rPr>
        <w:t xml:space="preserve">32 </w:t>
      </w:r>
      <w:r>
        <w:t xml:space="preserve">And now, if indeed you forgive their sin, forgive. But if not, blot me</w:t>
      </w:r>
      <w:r>
        <w:rPr>
          <w:rStyle w:val="FootnoteReference"/>
        </w:rPr>
        <w:footnoteReference w:id="1907"/>
      </w:r>
      <w:r>
        <w:t xml:space="preserve"> out from your book that you wrote."</w:t>
      </w:r>
    </w:p>
    <w:p>
      <w:r>
        <w:rPr>
          <w:b/>
        </w:rPr>
        <w:t xml:space="preserve">33 </w:t>
      </w:r>
      <w:r>
        <w:t xml:space="preserve">And the Lord said to Moses, "Whoever has sinned</w:t>
      </w:r>
      <w:r>
        <w:rPr>
          <w:rStyle w:val="FootnoteReference"/>
        </w:rPr>
        <w:footnoteReference w:id="1908"/>
      </w:r>
      <w:r>
        <w:t xml:space="preserve"> before me, him I will blot out from my book.</w:t>
      </w:r>
    </w:p>
    <w:p>
      <w:r>
        <w:rPr>
          <w:b/>
        </w:rPr>
        <w:t xml:space="preserve">34 </w:t>
      </w:r>
      <w:r>
        <w:t xml:space="preserve">And now go, descend, and lead this people to the place of which I spoke to you. Behold, my angel goes before your face. But in the day when I visit, I will bring their sin upon them."</w:t>
      </w:r>
    </w:p>
    <w:p>
      <w:r>
        <w:rPr>
          <w:b/>
        </w:rPr>
        <w:t xml:space="preserve">35 </w:t>
      </w:r>
      <w:r>
        <w:t xml:space="preserve">And the Lord struck the people because of the making of the calf that Aaron made.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And the Lord said to Moses, "Go, go up from here</w:t>
      </w:r>
      <w:r>
        <w:rPr>
          <w:rStyle w:val="FootnoteReference"/>
        </w:rPr>
        <w:footnoteReference w:id="1909"/>
      </w:r>
      <w:r>
        <w:t xml:space="preserve">, you and your people whom you brought out of Egypt, to the land that I swore to Abraham and Isaac and Jacob, saying, 'To your seed I will give it.'</w:t>
      </w:r>
    </w:p>
    <w:p>
      <w:r>
        <w:rPr>
          <w:b/>
        </w:rPr>
        <w:t xml:space="preserve">2 </w:t>
      </w:r>
      <w:r>
        <w:t xml:space="preserve">And I will send my angel with you and drive out the Amorite and Hittite and Perizzite and Girgashite and Hivite and Jebusite.</w:t>
      </w:r>
    </w:p>
    <w:p>
      <w:r>
        <w:rPr>
          <w:b/>
        </w:rPr>
        <w:t xml:space="preserve">3 </w:t>
      </w:r>
      <w:r>
        <w:t xml:space="preserve">And I will bring you into a land</w:t>
      </w:r>
      <w:r>
        <w:rPr>
          <w:rStyle w:val="FootnoteReference"/>
        </w:rPr>
        <w:footnoteReference w:id="1910"/>
      </w:r>
      <w:r>
        <w:t xml:space="preserve"> flowing with milk and honey, but I will certainly not go up with you, because you are a stiff-necked people, lest I consume you on the way."</w:t>
      </w:r>
    </w:p>
    <w:p>
      <w:r>
        <w:rPr>
          <w:b/>
        </w:rPr>
        <w:t xml:space="preserve">4 </w:t>
      </w:r>
      <w:r>
        <w:t xml:space="preserve">And when the people heard this evil word, they mourned</w:t>
      </w:r>
      <w:r>
        <w:rPr>
          <w:rStyle w:val="FootnoteReference"/>
        </w:rPr>
        <w:footnoteReference w:id="1911"/>
      </w:r>
      <w:r>
        <w:t xml:space="preserve"> in mourning clothes.</w:t>
      </w:r>
    </w:p>
    <w:p>
      <w:r>
        <w:rPr>
          <w:b/>
        </w:rPr>
        <w:t xml:space="preserve">5 </w:t>
      </w:r>
      <w:r>
        <w:t xml:space="preserve">And the Lord said to the sons of Israel, "You are a stiff-necked people. See that I do not bring another plague upon you and consume you. Now then strip off your glorious garments and ornaments</w:t>
      </w:r>
      <w:r>
        <w:rPr>
          <w:rStyle w:val="FootnoteReference"/>
        </w:rPr>
        <w:footnoteReference w:id="1912"/>
      </w:r>
      <w:r>
        <w:t xml:space="preserve">, and I will show you what I will do to you."</w:t>
      </w:r>
    </w:p>
    <w:p>
      <w:r>
        <w:rPr>
          <w:b/>
        </w:rPr>
        <w:t xml:space="preserve">6 </w:t>
      </w:r>
      <w:r>
        <w:t xml:space="preserve">So the sons of Israel stripped off their ornaments and their array from Mount Horeb onward.</w:t>
      </w:r>
    </w:p>
    <w:p>
      <w:r>
        <w:rPr>
          <w:b/>
        </w:rPr>
        <w:t xml:space="preserve">7 </w:t>
      </w:r>
      <w:r>
        <w:t xml:space="preserve">And Moses took his tent</w:t>
      </w:r>
      <w:r>
        <w:rPr>
          <w:rStyle w:val="FootnoteReference"/>
        </w:rPr>
        <w:footnoteReference w:id="1913"/>
      </w:r>
      <w:r>
        <w:t xml:space="preserve"> and pitched it outside the camp, far from the camp, and it was called Tent of Testimony. And everyone seeking the Lord went out</w:t>
      </w:r>
      <w:r>
        <w:rPr>
          <w:rStyle w:val="FootnoteReference"/>
        </w:rPr>
        <w:footnoteReference w:id="1914"/>
      </w:r>
      <w:r>
        <w:t xml:space="preserve"> to the tent outside the camp.</w:t>
      </w:r>
    </w:p>
    <w:p>
      <w:r>
        <w:rPr>
          <w:b/>
        </w:rPr>
        <w:t xml:space="preserve">8 </w:t>
      </w:r>
      <w:r>
        <w:t xml:space="preserve">And whenever Moses went into the tent outside the camp, all the people stood watching, each at the door of his tent, and they gazed after Moses until he entered the tent.</w:t>
      </w:r>
    </w:p>
    <w:p>
      <w:r>
        <w:rPr>
          <w:b/>
        </w:rPr>
        <w:t xml:space="preserve">9 </w:t>
      </w:r>
      <w:r>
        <w:t xml:space="preserve">And when Moses entered the tent, the pillar of the cloud came down and stood at the door of the tent, and he spoke with Moses.</w:t>
      </w:r>
    </w:p>
    <w:p>
      <w:r>
        <w:rPr>
          <w:b/>
        </w:rPr>
        <w:t xml:space="preserve">10 </w:t>
      </w:r>
      <w:r>
        <w:t xml:space="preserve">And all the people saw the pillar of the cloud standing at the door of the tent, and all the people stood and worshiped, each from the door of his tent.</w:t>
      </w:r>
    </w:p>
    <w:p>
      <w:r>
        <w:rPr>
          <w:b/>
        </w:rPr>
        <w:t xml:space="preserve">11 </w:t>
      </w:r>
      <w:r>
        <w:t xml:space="preserve">And the Lord spoke to Moses face to face, as if one would speak to his own friend. And he would return to the camp. But his servant</w:t>
      </w:r>
      <w:r>
        <w:rPr>
          <w:rStyle w:val="FootnoteReference"/>
        </w:rPr>
        <w:footnoteReference w:id="1915"/>
      </w:r>
      <w:r>
        <w:t xml:space="preserve"> Joshua son of Nun</w:t>
      </w:r>
      <w:r>
        <w:rPr>
          <w:rStyle w:val="FootnoteReference"/>
        </w:rPr>
        <w:footnoteReference w:id="1916"/>
      </w:r>
      <w:r>
        <w:t xml:space="preserve">, a young man, would not depart from the tent.</w:t>
      </w:r>
    </w:p>
    <w:p>
      <w:r>
        <w:rPr>
          <w:b/>
        </w:rPr>
        <w:t xml:space="preserve">12 </w:t>
      </w:r>
      <w:r>
        <w:t xml:space="preserve">And Moses said to the Lord, "See, you say to me, 'Lead up this people,' but you have not made clear to me whom you will send with me. Yet you have said to me, 'I know you above all, and you have favor with me.'</w:t>
      </w:r>
    </w:p>
    <w:p>
      <w:r>
        <w:rPr>
          <w:b/>
        </w:rPr>
        <w:t xml:space="preserve">13 </w:t>
      </w:r>
      <w:r>
        <w:t xml:space="preserve">If then I have found favor before you, reveal yourself to me plainly, that I may see you, so that I may continue finding favor before you, and so that I may know that this great nation is your people."</w:t>
      </w:r>
    </w:p>
    <w:p>
      <w:r>
        <w:rPr>
          <w:b/>
        </w:rPr>
        <w:t xml:space="preserve">14 </w:t>
      </w:r>
      <w:r>
        <w:t xml:space="preserve">And he said, "I myself will go before you and give you rest</w:t>
      </w:r>
      <w:r>
        <w:rPr>
          <w:rStyle w:val="FootnoteReference"/>
        </w:rPr>
        <w:footnoteReference w:id="1917"/>
      </w:r>
      <w:r>
        <w:t xml:space="preserve">."</w:t>
      </w:r>
    </w:p>
    <w:p>
      <w:r>
        <w:rPr>
          <w:b/>
        </w:rPr>
        <w:t xml:space="preserve">15 </w:t>
      </w:r>
      <w:r>
        <w:t xml:space="preserve">And he said to him, "If you yourself do not go with us, do not lead me up from here.</w:t>
      </w:r>
    </w:p>
    <w:p>
      <w:r>
        <w:rPr>
          <w:b/>
        </w:rPr>
        <w:t xml:space="preserve">16 </w:t>
      </w:r>
      <w:r>
        <w:t xml:space="preserve">For how shall it truly become known that both I and your people have found favor with you, except when you go with us? Then both I and your people will be glorified beyond all the nations</w:t>
      </w:r>
      <w:r>
        <w:rPr>
          <w:rStyle w:val="FootnoteReference"/>
        </w:rPr>
        <w:footnoteReference w:id="1918"/>
      </w:r>
      <w:r>
        <w:t xml:space="preserve"> that are on the earth."</w:t>
      </w:r>
    </w:p>
    <w:p>
      <w:r>
        <w:rPr>
          <w:b/>
        </w:rPr>
        <w:t xml:space="preserve">17 </w:t>
      </w:r>
      <w:r>
        <w:t xml:space="preserve">And the Lord said to Moses, "I will also do this word that you have spoken, for you have found favor before me, and I know you above all."</w:t>
      </w:r>
    </w:p>
    <w:p>
      <w:r>
        <w:rPr>
          <w:b/>
        </w:rPr>
        <w:t xml:space="preserve">18 </w:t>
      </w:r>
      <w:r>
        <w:t xml:space="preserve">And he said, "Show me your own glory.</w:t>
      </w:r>
      <w:r>
        <w:rPr>
          <w:rStyle w:val="FootnoteReference"/>
        </w:rPr>
        <w:footnoteReference w:id="1919"/>
      </w:r>
      <w:r>
        <w:t xml:space="preserve">"</w:t>
      </w:r>
    </w:p>
    <w:p>
      <w:r>
        <w:rPr>
          <w:b/>
        </w:rPr>
        <w:t xml:space="preserve">19 </w:t>
      </w:r>
      <w:r>
        <w:t xml:space="preserve">And he said, "I will pass before you in my glory</w:t>
      </w:r>
      <w:r>
        <w:rPr>
          <w:rStyle w:val="FootnoteReference"/>
        </w:rPr>
        <w:footnoteReference w:id="1920"/>
      </w:r>
      <w:r>
        <w:t xml:space="preserve">, and I will call on my name, 'Lord,' before you. And I will have mercy on whom I have mercy, and I will pity whom I pity."</w:t>
      </w:r>
    </w:p>
    <w:p>
      <w:r>
        <w:rPr>
          <w:b/>
        </w:rPr>
        <w:t xml:space="preserve">20 </w:t>
      </w:r>
      <w:r>
        <w:t xml:space="preserve">And he said, "You cannot see my face, for no human shall see my face and live."</w:t>
      </w:r>
    </w:p>
    <w:p>
      <w:r>
        <w:rPr>
          <w:b/>
        </w:rPr>
        <w:t xml:space="preserve">21 </w:t>
      </w:r>
      <w:r>
        <w:t xml:space="preserve">And the Lord said, "Behold, a place is beside me. Stand upon the rock.</w:t>
      </w:r>
    </w:p>
    <w:p>
      <w:r>
        <w:rPr>
          <w:b/>
        </w:rPr>
        <w:t xml:space="preserve">22 </w:t>
      </w:r>
      <w:r>
        <w:t xml:space="preserve">And when my glory passes by, I will put you in a hollow of the rock and cover you with my hand until I pass by.</w:t>
      </w:r>
    </w:p>
    <w:p>
      <w:r>
        <w:rPr>
          <w:b/>
        </w:rPr>
        <w:t xml:space="preserve">23 </w:t>
      </w:r>
      <w:r>
        <w:t xml:space="preserve">And I will remove my hand, and then you shall see my back, but my face shall not be seen by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t xml:space="preserve">And the Lord said to Moses, "Hew for yourself two stone tablets like the first, and come up to me on the mountain, and I will write on the tablets the words</w:t>
      </w:r>
      <w:r>
        <w:rPr>
          <w:rStyle w:val="FootnoteReference"/>
        </w:rPr>
        <w:footnoteReference w:id="1921"/>
      </w:r>
      <w:r>
        <w:t xml:space="preserve"> that were on the first tablets which you shattered</w:t>
      </w:r>
      <w:r>
        <w:rPr>
          <w:rStyle w:val="FootnoteReference"/>
        </w:rPr>
        <w:footnoteReference w:id="1922"/>
      </w:r>
      <w:r>
        <w:t xml:space="preserve">.</w:t>
      </w:r>
    </w:p>
    <w:p>
      <w:r>
        <w:rPr>
          <w:b/>
        </w:rPr>
        <w:t xml:space="preserve">2 </w:t>
      </w:r>
      <w:r>
        <w:t xml:space="preserve">And be ready for the morning, and you shall come up to Mount Sinai and stand there for me on the top of the mountain.</w:t>
      </w:r>
    </w:p>
    <w:p>
      <w:r>
        <w:rPr>
          <w:b/>
        </w:rPr>
        <w:t xml:space="preserve">3 </w:t>
      </w:r>
      <w:r>
        <w:t xml:space="preserve">And let no one come up with you, nor be seen on all the mountain, and let not the sheep and the oxen graze near that mountain."</w:t>
      </w:r>
    </w:p>
    <w:p>
      <w:r>
        <w:rPr>
          <w:b/>
        </w:rPr>
        <w:t xml:space="preserve">4 </w:t>
      </w:r>
      <w:r>
        <w:t xml:space="preserve">And he hewed two stone tablets like the first. And Moses, rising early, went up to Mount Sinai, just as the Lord had appointed him, and Moses took the two stone tablets.</w:t>
      </w:r>
    </w:p>
    <w:p>
      <w:r>
        <w:rPr>
          <w:b/>
        </w:rPr>
        <w:t xml:space="preserve">5 </w:t>
      </w:r>
      <w:r>
        <w:t xml:space="preserve">And the Lord came down in a cloud and stood with him there and called on the name</w:t>
      </w:r>
      <w:r>
        <w:rPr>
          <w:rStyle w:val="FootnoteReference"/>
        </w:rPr>
        <w:footnoteReference w:id="1923"/>
      </w:r>
      <w:r>
        <w:t xml:space="preserve"> of the Lord.</w:t>
      </w:r>
    </w:p>
    <w:p>
      <w:r>
        <w:rPr>
          <w:b/>
        </w:rPr>
        <w:t xml:space="preserve">6 </w:t>
      </w:r>
      <w:r>
        <w:t xml:space="preserve">And the Lord passed</w:t>
      </w:r>
      <w:r>
        <w:rPr>
          <w:rStyle w:val="FootnoteReference"/>
        </w:rPr>
        <w:footnoteReference w:id="1924"/>
      </w:r>
      <w:r>
        <w:t xml:space="preserve"> before his face and proclaimed, "The Lord God, compassionate and merciful, slow to anger and very merciful and true,</w:t>
      </w:r>
    </w:p>
    <w:p>
      <w:r>
        <w:rPr>
          <w:b/>
        </w:rPr>
        <w:t xml:space="preserve">7 </w:t>
      </w:r>
      <w:r>
        <w:t xml:space="preserve">keeping righteousness and showing mercy</w:t>
      </w:r>
      <w:r>
        <w:rPr>
          <w:rStyle w:val="FootnoteReference"/>
        </w:rPr>
        <w:footnoteReference w:id="1925"/>
      </w:r>
      <w:r>
        <w:t xml:space="preserve"> to thousands, taking away lawlessness and unrighteousness and sins, and he will not clear the guilty, bringing fathers' lawlessness upon children and upon children's children, to the third and fourth generation."</w:t>
      </w:r>
      <w:r>
        <w:rPr>
          <w:rStyle w:val="FootnoteReference"/>
        </w:rPr>
        <w:footnoteReference w:id="1926"/>
      </w:r>
    </w:p>
    <w:p>
      <w:r>
        <w:rPr>
          <w:b/>
        </w:rPr>
        <w:t xml:space="preserve">8 </w:t>
      </w:r>
      <w:r>
        <w:t xml:space="preserve">And Moses hurried, bowed to the earth, and worshiped.</w:t>
      </w:r>
    </w:p>
    <w:p>
      <w:r>
        <w:rPr>
          <w:b/>
        </w:rPr>
        <w:t xml:space="preserve">9 </w:t>
      </w:r>
      <w:r>
        <w:t xml:space="preserve">And he said, "If I have found favor before you, let my Lord</w:t>
      </w:r>
      <w:r>
        <w:rPr>
          <w:rStyle w:val="FootnoteReference"/>
        </w:rPr>
        <w:footnoteReference w:id="1927"/>
      </w:r>
      <w:r>
        <w:t xml:space="preserve"> go with us, for the people is stiff-necked, and you will take away our sins and our lawlessnesses, and we will be yours."</w:t>
      </w:r>
    </w:p>
    <w:p>
      <w:r>
        <w:rPr>
          <w:b/>
        </w:rPr>
        <w:t xml:space="preserve">10 </w:t>
      </w:r>
      <w:r>
        <w:t xml:space="preserve">And the Lord said to Moses, "Behold, I establish a covenant for you. Before all your people I will do glorious things that have not been done in all the earth or in any nation, and all the people among whom you are shall see the works of the Lord, because the things that I will do for you are wonderful.</w:t>
      </w:r>
      <w:r>
        <w:rPr>
          <w:rStyle w:val="FootnoteReference"/>
        </w:rPr>
        <w:footnoteReference w:id="1928"/>
      </w:r>
    </w:p>
    <w:p>
      <w:r>
        <w:rPr>
          <w:b/>
        </w:rPr>
        <w:t xml:space="preserve">11 </w:t>
      </w:r>
      <w:r>
        <w:t xml:space="preserve">Pay attention to all that I command you. Behold, I drive</w:t>
      </w:r>
      <w:r>
        <w:rPr>
          <w:rStyle w:val="FootnoteReference"/>
        </w:rPr>
        <w:footnoteReference w:id="1929"/>
      </w:r>
      <w:r>
        <w:t xml:space="preserve"> out before you the Amorite and Canaanite and Hittite and Perizzite and Hivite and Girgashite and Jebusite.</w:t>
      </w:r>
    </w:p>
    <w:p>
      <w:r>
        <w:rPr>
          <w:b/>
        </w:rPr>
        <w:t xml:space="preserve">12 </w:t>
      </w:r>
      <w:r>
        <w:t xml:space="preserve">Pay attention to yourself, lest you make a covenant with those settled on the land into which you are entering, lest it become a stumbling block among you.</w:t>
      </w:r>
    </w:p>
    <w:p>
      <w:r>
        <w:rPr>
          <w:b/>
        </w:rPr>
        <w:t xml:space="preserve">13 </w:t>
      </w:r>
      <w:r>
        <w:t xml:space="preserve">You shall tear down their altars and break in pieces their pillars and cut down their groves, and the carved images of their gods you shall burn with fire.</w:t>
      </w:r>
    </w:p>
    <w:p>
      <w:r>
        <w:rPr>
          <w:b/>
        </w:rPr>
        <w:t xml:space="preserve">14 </w:t>
      </w:r>
      <w:r>
        <w:t xml:space="preserve">For you shall certainly not worship</w:t>
      </w:r>
      <w:r>
        <w:rPr>
          <w:rStyle w:val="FootnoteReference"/>
        </w:rPr>
        <w:footnoteReference w:id="1930"/>
      </w:r>
      <w:r>
        <w:t xml:space="preserve"> another god, for the Lord God, Jealous is his name; he is a jealous God.</w:t>
      </w:r>
    </w:p>
    <w:p>
      <w:r>
        <w:rPr>
          <w:b/>
        </w:rPr>
        <w:t xml:space="preserve">15 </w:t>
      </w:r>
      <w:r>
        <w:t xml:space="preserve">Lest you make</w:t>
      </w:r>
      <w:r>
        <w:rPr>
          <w:rStyle w:val="FootnoteReference"/>
        </w:rPr>
        <w:footnoteReference w:id="1931"/>
      </w:r>
      <w:r>
        <w:t xml:space="preserve"> a covenant with those settled on the land, and they prostitute themselves after their gods and sacrifice to their gods and invite you and you eat from their sacrifices,</w:t>
      </w:r>
    </w:p>
    <w:p>
      <w:r>
        <w:rPr>
          <w:b/>
        </w:rPr>
        <w:t xml:space="preserve">16 </w:t>
      </w:r>
      <w:r>
        <w:t xml:space="preserve">and you take some of their daughters for your sons and give some of your daughters to their sons, and your daughters prostitute themselves after their gods and make your sons prostitute themselves after their gods.</w:t>
      </w:r>
    </w:p>
    <w:p>
      <w:r>
        <w:rPr>
          <w:b/>
        </w:rPr>
        <w:t xml:space="preserve">17 </w:t>
      </w:r>
      <w:r>
        <w:t xml:space="preserve">And you shall not make molten gods for yourself.</w:t>
      </w:r>
    </w:p>
    <w:p>
      <w:r>
        <w:rPr>
          <w:b/>
        </w:rPr>
        <w:t xml:space="preserve">18 </w:t>
      </w:r>
      <w:r>
        <w:t xml:space="preserve">And you shall keep the feast of unleavened bread. Seven days you shall eat unleavened bread, as I commanded you, at the appointed time in the month of new grain</w:t>
      </w:r>
      <w:r>
        <w:rPr>
          <w:rStyle w:val="FootnoteReference"/>
        </w:rPr>
        <w:footnoteReference w:id="1932"/>
      </w:r>
      <w:r>
        <w:t xml:space="preserve">, for in the month of new grain you came out from Egypt.</w:t>
      </w:r>
    </w:p>
    <w:p>
      <w:r>
        <w:rPr>
          <w:b/>
        </w:rPr>
        <w:t xml:space="preserve">19 </w:t>
      </w:r>
      <w:r>
        <w:t xml:space="preserve">Everything opening the womb is mine, every male firstborn of ox and every firstborn of sheep.</w:t>
      </w:r>
    </w:p>
    <w:p>
      <w:r>
        <w:rPr>
          <w:b/>
        </w:rPr>
        <w:t xml:space="preserve">20 </w:t>
      </w:r>
      <w:r>
        <w:t xml:space="preserve">And the firstborn of a beast of burden you shall redeem with a sheep. And if you do not redeem it, you shall pay a price. Every firstborn of your sons you shall redeem. You shall not appear before me empty.</w:t>
      </w:r>
    </w:p>
    <w:p>
      <w:r>
        <w:rPr>
          <w:b/>
        </w:rPr>
        <w:t xml:space="preserve">21 </w:t>
      </w:r>
      <w:r>
        <w:t xml:space="preserve">Six days you shall work, and on the seventh you shall rest; in seedtime and harvest you shall rest</w:t>
      </w:r>
      <w:r>
        <w:rPr>
          <w:rStyle w:val="FootnoteReference"/>
        </w:rPr>
        <w:footnoteReference w:id="1933"/>
      </w:r>
      <w:r>
        <w:t xml:space="preserve">.</w:t>
      </w:r>
    </w:p>
    <w:p>
      <w:r>
        <w:rPr>
          <w:b/>
        </w:rPr>
        <w:t xml:space="preserve">22 </w:t>
      </w:r>
      <w:r>
        <w:t xml:space="preserve">And you shall keep for me the feast of weeks</w:t>
      </w:r>
      <w:r>
        <w:rPr>
          <w:rStyle w:val="FootnoteReference"/>
        </w:rPr>
        <w:footnoteReference w:id="1934"/>
      </w:r>
      <w:r>
        <w:t xml:space="preserve">, the first of wheat harvest, and the feast of ingathering in the middle of the year.</w:t>
      </w:r>
    </w:p>
    <w:p>
      <w:r>
        <w:rPr>
          <w:b/>
        </w:rPr>
        <w:t xml:space="preserve">23 </w:t>
      </w:r>
      <w:r>
        <w:t xml:space="preserve">Three times in the year every male of yours shall appear before the Lord God of Israel.</w:t>
      </w:r>
    </w:p>
    <w:p>
      <w:r>
        <w:rPr>
          <w:b/>
        </w:rPr>
        <w:t xml:space="preserve">24 </w:t>
      </w:r>
      <w:r>
        <w:t xml:space="preserve">For when I cast out the nations before your face and enlarge</w:t>
      </w:r>
      <w:r>
        <w:rPr>
          <w:rStyle w:val="FootnoteReference"/>
        </w:rPr>
        <w:footnoteReference w:id="1935"/>
      </w:r>
      <w:r>
        <w:t xml:space="preserve"> your borders, no one shall desire your land</w:t>
      </w:r>
      <w:r>
        <w:rPr>
          <w:rStyle w:val="FootnoteReference"/>
        </w:rPr>
        <w:footnoteReference w:id="1936"/>
      </w:r>
      <w:r>
        <w:t xml:space="preserve"> when you go up to appear before the Lord your God three times in the year.</w:t>
      </w:r>
    </w:p>
    <w:p>
      <w:r>
        <w:rPr>
          <w:b/>
        </w:rPr>
        <w:t xml:space="preserve">25 </w:t>
      </w:r>
      <w:r>
        <w:t xml:space="preserve">You shall not slaughter the blood of my offerings with leaven</w:t>
      </w:r>
      <w:r>
        <w:rPr>
          <w:rStyle w:val="FootnoteReference"/>
        </w:rPr>
        <w:footnoteReference w:id="1937"/>
      </w:r>
      <w:r>
        <w:t xml:space="preserve">, and the sacrifice of Passover shall not lie down until morning.</w:t>
      </w:r>
    </w:p>
    <w:p>
      <w:r>
        <w:rPr>
          <w:b/>
        </w:rPr>
        <w:t xml:space="preserve">26 </w:t>
      </w:r>
      <w:r>
        <w:t xml:space="preserve">The first</w:t>
      </w:r>
      <w:r>
        <w:rPr>
          <w:rStyle w:val="FootnoteReference"/>
        </w:rPr>
        <w:footnoteReference w:id="1938"/>
      </w:r>
      <w:r>
        <w:t xml:space="preserve"> produce of your land you shall place in the house of the Lord your God. You shall not offer a lamb in its mother's milk.</w:t>
      </w:r>
    </w:p>
    <w:p>
      <w:r>
        <w:rPr>
          <w:b/>
        </w:rPr>
        <w:t xml:space="preserve">27 </w:t>
      </w:r>
      <w:r>
        <w:t xml:space="preserve">And the Lord said to Moses, "Write</w:t>
      </w:r>
      <w:r>
        <w:rPr>
          <w:rStyle w:val="FootnoteReference"/>
        </w:rPr>
        <w:footnoteReference w:id="1939"/>
      </w:r>
      <w:r>
        <w:t xml:space="preserve"> these words for yourself, for on these words I have established a covenant with you and with Israel."</w:t>
      </w:r>
    </w:p>
    <w:p>
      <w:r>
        <w:rPr>
          <w:b/>
        </w:rPr>
        <w:t xml:space="preserve">28 </w:t>
      </w:r>
      <w:r>
        <w:t xml:space="preserve">And Moses was there before the Lord forty days</w:t>
      </w:r>
      <w:r>
        <w:rPr>
          <w:rStyle w:val="FootnoteReference"/>
        </w:rPr>
        <w:footnoteReference w:id="1940"/>
      </w:r>
      <w:r>
        <w:t xml:space="preserve"> and forty nights. He did not eat bread and did not drink water. And he wrote on the tablets the words of the covenant, the ten sayings.</w:t>
      </w:r>
    </w:p>
    <w:p>
      <w:r>
        <w:rPr>
          <w:b/>
        </w:rPr>
        <w:t xml:space="preserve">29 </w:t>
      </w:r>
      <w:r>
        <w:t xml:space="preserve">And when Moses came down from the mountain, the two tablets were in Moses' hands. And as he came down from the mountain, Moses did not know that the appearance of the skin</w:t>
      </w:r>
      <w:r>
        <w:rPr>
          <w:rStyle w:val="FootnoteReference"/>
        </w:rPr>
        <w:footnoteReference w:id="1941"/>
      </w:r>
      <w:r>
        <w:t xml:space="preserve"> of his face had been glorified when God spoke with him.</w:t>
      </w:r>
    </w:p>
    <w:p>
      <w:r>
        <w:rPr>
          <w:b/>
        </w:rPr>
        <w:t xml:space="preserve">30 </w:t>
      </w:r>
      <w:r>
        <w:t xml:space="preserve">And Aaron and all the elders of Israel saw Moses, and the appearance of the skin of his face had been glorified, and they feared to come near him.</w:t>
      </w:r>
    </w:p>
    <w:p>
      <w:r>
        <w:rPr>
          <w:b/>
        </w:rPr>
        <w:t xml:space="preserve">31 </w:t>
      </w:r>
      <w:r>
        <w:t xml:space="preserve">And Moses called</w:t>
      </w:r>
      <w:r>
        <w:rPr>
          <w:rStyle w:val="FootnoteReference"/>
        </w:rPr>
        <w:footnoteReference w:id="1942"/>
      </w:r>
      <w:r>
        <w:t xml:space="preserve"> them, and Aaron and all the rulers of the congregation turned back to him, and Moses spoke to them.</w:t>
      </w:r>
    </w:p>
    <w:p>
      <w:r>
        <w:rPr>
          <w:b/>
        </w:rPr>
        <w:t xml:space="preserve">32 </w:t>
      </w:r>
      <w:r>
        <w:t xml:space="preserve">And after these things all the sons of Israel came near to him, and he commanded them all that the Lord had spoken to him on Mount Sinai.</w:t>
      </w:r>
    </w:p>
    <w:p>
      <w:r>
        <w:rPr>
          <w:b/>
        </w:rPr>
        <w:t xml:space="preserve">33 </w:t>
      </w:r>
      <w:r>
        <w:t xml:space="preserve">And when he ceased speaking to them, he put a veil</w:t>
      </w:r>
      <w:r>
        <w:rPr>
          <w:rStyle w:val="FootnoteReference"/>
        </w:rPr>
        <w:footnoteReference w:id="1943"/>
      </w:r>
      <w:r>
        <w:t xml:space="preserve"> on his face.</w:t>
      </w:r>
    </w:p>
    <w:p>
      <w:r>
        <w:rPr>
          <w:b/>
        </w:rPr>
        <w:t xml:space="preserve">34 </w:t>
      </w:r>
      <w:r>
        <w:t xml:space="preserve">Whenever Moses went in before the Lord to speak with him, he removed the veil until he came out, and coming out he spoke to all the sons of Israel whatever the Lord had commanded him.</w:t>
      </w:r>
    </w:p>
    <w:p>
      <w:r>
        <w:rPr>
          <w:b/>
        </w:rPr>
        <w:t xml:space="preserve">35 </w:t>
      </w:r>
      <w:r>
        <w:t xml:space="preserve">And the sons of Israel saw the face of Moses, that it had been glorified, and Moses put the veil on his face until he went in to speak with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t xml:space="preserve">And Moses gathered all the congregation of the sons of Israel and said to them, "These are the words that the Lord spoke, to do them</w:t>
      </w:r>
      <w:r>
        <w:rPr>
          <w:rStyle w:val="FootnoteReference"/>
        </w:rPr>
        <w:footnoteReference w:id="1944"/>
      </w:r>
      <w:r>
        <w:t xml:space="preserve">.</w:t>
      </w:r>
    </w:p>
    <w:p>
      <w:r>
        <w:rPr>
          <w:b/>
        </w:rPr>
        <w:t xml:space="preserve">2 </w:t>
      </w:r>
      <w:r>
        <w:t xml:space="preserve">Six days</w:t>
      </w:r>
      <w:r>
        <w:rPr>
          <w:rStyle w:val="FootnoteReference"/>
        </w:rPr>
        <w:footnoteReference w:id="1945"/>
      </w:r>
      <w:r>
        <w:t xml:space="preserve"> you shall do works, but on the seventh day there shall be rest, holy Sabbath rest to the Lord. Everyone doing work on it shall die.</w:t>
      </w:r>
    </w:p>
    <w:p>
      <w:r>
        <w:rPr>
          <w:b/>
        </w:rPr>
        <w:t xml:space="preserve">3 </w:t>
      </w:r>
      <w:r>
        <w:t xml:space="preserve">You shall not burn fire in any of your dwellings on the day of the Sabbaths. I am the Lord."</w:t>
      </w:r>
    </w:p>
    <w:p>
      <w:r>
        <w:rPr>
          <w:b/>
        </w:rPr>
        <w:t xml:space="preserve">4 </w:t>
      </w:r>
      <w:r>
        <w:t xml:space="preserve">And Moses said to all the congregation of the sons of Israel, saying, "This is</w:t>
      </w:r>
      <w:r>
        <w:rPr>
          <w:rStyle w:val="FootnoteReference"/>
        </w:rPr>
        <w:footnoteReference w:id="1946"/>
      </w:r>
      <w:r>
        <w:t xml:space="preserve"> the word that the Lord commanded, saying,</w:t>
      </w:r>
    </w:p>
    <w:p>
      <w:r>
        <w:rPr>
          <w:b/>
        </w:rPr>
        <w:t xml:space="preserve">5 </w:t>
      </w:r>
      <w:r>
        <w:t xml:space="preserve">Take from yourselves a contribution to the Lord. Everyone accepting it in heart shall bring the Lord's first-contributions: gold, silver, bronze,</w:t>
      </w:r>
    </w:p>
    <w:p>
      <w:r>
        <w:rPr>
          <w:b/>
        </w:rPr>
        <w:t xml:space="preserve">6 </w:t>
      </w:r>
      <w:r>
        <w:t xml:space="preserve">blue</w:t>
      </w:r>
      <w:r>
        <w:rPr>
          <w:rStyle w:val="FootnoteReference"/>
        </w:rPr>
        <w:footnoteReference w:id="1947"/>
      </w:r>
      <w:r>
        <w:t xml:space="preserve">, purple, doubled scarlet spun, woven fine linen, and goat hair,</w:t>
      </w:r>
    </w:p>
    <w:p>
      <w:r>
        <w:rPr>
          <w:b/>
        </w:rPr>
        <w:t xml:space="preserve">7 </w:t>
      </w:r>
      <w:r>
        <w:t xml:space="preserve">and rams' skins dyed red and blue skins and incorruptible wood,</w:t>
      </w:r>
    </w:p>
    <w:p>
      <w:r>
        <w:rPr>
          <w:b/>
        </w:rPr>
        <w:t xml:space="preserve">9 </w:t>
      </w:r>
      <w:r>
        <w:t xml:space="preserve">and sardius stones and stones for engraving, for the ephod and the robe.</w:t>
      </w:r>
    </w:p>
    <w:p>
      <w:r>
        <w:rPr>
          <w:b/>
        </w:rPr>
        <w:t xml:space="preserve">10 </w:t>
      </w:r>
      <w:r>
        <w:t xml:space="preserve">And every wise-hearted person among you</w:t>
      </w:r>
      <w:r>
        <w:rPr>
          <w:rStyle w:val="FootnoteReference"/>
        </w:rPr>
        <w:footnoteReference w:id="1948"/>
      </w:r>
      <w:r>
        <w:t xml:space="preserve">, let him come and make all that the Lord has commanded:</w:t>
      </w:r>
    </w:p>
    <w:p>
      <w:r>
        <w:rPr>
          <w:b/>
        </w:rPr>
        <w:t xml:space="preserve">11 </w:t>
      </w:r>
      <w:r>
        <w:t xml:space="preserve">the tent and the hangings and the coverings and the rings and the bars and the posts,</w:t>
      </w:r>
    </w:p>
    <w:p>
      <w:r>
        <w:rPr>
          <w:b/>
        </w:rPr>
        <w:t xml:space="preserve">12 </w:t>
      </w:r>
      <w:r>
        <w:t xml:space="preserve">and the ark of testimony and its poles and its propitiatory</w:t>
      </w:r>
      <w:r>
        <w:rPr>
          <w:rStyle w:val="FootnoteReference"/>
        </w:rPr>
        <w:footnoteReference w:id="1949"/>
      </w:r>
      <w:r>
        <w:t xml:space="preserve"> and the curtain,</w:t>
      </w:r>
    </w:p>
    <w:p>
      <w:r>
        <w:rPr>
          <w:b/>
        </w:rPr>
        <w:t xml:space="preserve">13 </w:t>
      </w:r>
      <w:r>
        <w:t xml:space="preserve">and the table and all its utensils,</w:t>
      </w:r>
    </w:p>
    <w:p>
      <w:r>
        <w:rPr>
          <w:b/>
        </w:rPr>
        <w:t xml:space="preserve">14 </w:t>
      </w:r>
      <w:r>
        <w:t xml:space="preserve">and the lampstand of light and all its utensils,</w:t>
      </w:r>
    </w:p>
    <w:p>
      <w:r>
        <w:rPr>
          <w:b/>
        </w:rPr>
        <w:t xml:space="preserve">16 </w:t>
      </w:r>
      <w:r>
        <w:t xml:space="preserve">and the altar</w:t>
      </w:r>
      <w:r>
        <w:rPr>
          <w:rStyle w:val="FootnoteReference"/>
        </w:rPr>
        <w:footnoteReference w:id="1950"/>
      </w:r>
      <w:r>
        <w:t xml:space="preserve"> and all its utensils,</w:t>
      </w:r>
    </w:p>
    <w:p>
      <w:r>
        <w:rPr>
          <w:b/>
        </w:rPr>
        <w:t xml:space="preserve">19 </w:t>
      </w:r>
      <w:r>
        <w:t xml:space="preserve">and the holy</w:t>
      </w:r>
      <w:r>
        <w:rPr>
          <w:rStyle w:val="FootnoteReference"/>
        </w:rPr>
        <w:footnoteReference w:id="1951"/>
      </w:r>
      <w:r>
        <w:t xml:space="preserve"> garments of Aaron the priest and the garments in which they shall minister, and the tunics for Aaron's sons for the priesthood, and the anointing oil and the compounded incense."</w:t>
      </w:r>
    </w:p>
    <w:p>
      <w:r>
        <w:rPr>
          <w:b/>
        </w:rPr>
        <w:t xml:space="preserve">20 </w:t>
      </w:r>
      <w:r>
        <w:t xml:space="preserve">And all the congregation of the sons of Israel went out from Moses</w:t>
      </w:r>
      <w:r>
        <w:rPr>
          <w:rStyle w:val="FootnoteReference"/>
        </w:rPr>
        <w:footnoteReference w:id="1952"/>
      </w:r>
      <w:r>
        <w:t xml:space="preserve">.</w:t>
      </w:r>
    </w:p>
    <w:p>
      <w:r>
        <w:rPr>
          <w:b/>
        </w:rPr>
        <w:t xml:space="preserve">21 </w:t>
      </w:r>
      <w:r>
        <w:t xml:space="preserve">And each one whose heart brought him, and each one to whom it seemed good in soul</w:t>
      </w:r>
      <w:r>
        <w:rPr>
          <w:rStyle w:val="FootnoteReference"/>
        </w:rPr>
        <w:footnoteReference w:id="1953"/>
      </w:r>
      <w:r>
        <w:t xml:space="preserve">, brought the Lord's contribution for all the works of the tent of testimony and for all its services and for all the holy garments.</w:t>
      </w:r>
    </w:p>
    <w:p>
      <w:r>
        <w:rPr>
          <w:b/>
        </w:rPr>
        <w:t xml:space="preserve">22 </w:t>
      </w:r>
      <w:r>
        <w:t xml:space="preserve">And the men brought from among the women—everyone to whom it seemed good in mind—they brought seals and earrings and rings and necklaces and bracelets</w:t>
      </w:r>
      <w:r>
        <w:rPr>
          <w:rStyle w:val="FootnoteReference"/>
        </w:rPr>
        <w:footnoteReference w:id="1954"/>
      </w:r>
      <w:r>
        <w:t xml:space="preserve">, every gold vessel. And all who brought gold contributions to the Lord brought them.</w:t>
      </w:r>
      <w:r>
        <w:rPr>
          <w:rStyle w:val="FootnoteReference"/>
        </w:rPr>
        <w:footnoteReference w:id="1955"/>
      </w:r>
    </w:p>
    <w:p>
      <w:r>
        <w:rPr>
          <w:b/>
        </w:rPr>
        <w:t xml:space="preserve">23 </w:t>
      </w:r>
      <w:r>
        <w:t xml:space="preserve">And everyone with whom fine linen and blue skins and red-dyed rams' skins were found, brought them.</w:t>
      </w:r>
    </w:p>
    <w:p>
      <w:r>
        <w:rPr>
          <w:b/>
        </w:rPr>
        <w:t xml:space="preserve">24 </w:t>
      </w:r>
      <w:r>
        <w:t xml:space="preserve">And everyone offering a silver or bronze contribution brought the Lord's contributions, and those with whom incorruptible wood was found for all the works of preparation brought it.</w:t>
      </w:r>
    </w:p>
    <w:p>
      <w:r>
        <w:rPr>
          <w:b/>
        </w:rPr>
        <w:t xml:space="preserve">25 </w:t>
      </w:r>
      <w:r>
        <w:t xml:space="preserve">And every woman wise in mind spun with her hands and brought what was spun: the blue and the purple and the scarlet and the fine linen.</w:t>
      </w:r>
    </w:p>
    <w:p>
      <w:r>
        <w:rPr>
          <w:b/>
        </w:rPr>
        <w:t xml:space="preserve">26 </w:t>
      </w:r>
      <w:r>
        <w:t xml:space="preserve">And all the women whose mind moved them in wisdom spun the goat hair.</w:t>
      </w:r>
    </w:p>
    <w:p>
      <w:r>
        <w:rPr>
          <w:b/>
        </w:rPr>
        <w:t xml:space="preserve">27 </w:t>
      </w:r>
      <w:r>
        <w:t xml:space="preserve">And the rulers brought the sardius stones and the stones of filling for the ephod and for the breastpiece,</w:t>
      </w:r>
    </w:p>
    <w:p>
      <w:r>
        <w:rPr>
          <w:b/>
        </w:rPr>
        <w:t xml:space="preserve">28 </w:t>
      </w:r>
      <w:r>
        <w:t xml:space="preserve">and the spices and the oil of anointing and the compounded incense.</w:t>
      </w:r>
    </w:p>
    <w:p>
      <w:r>
        <w:rPr>
          <w:b/>
        </w:rPr>
        <w:t xml:space="preserve">29 </w:t>
      </w:r>
      <w:r>
        <w:t xml:space="preserve">Every man and woman whose mind moved them to come in and do all the works that the Lord</w:t>
      </w:r>
      <w:r>
        <w:rPr>
          <w:rStyle w:val="FootnoteReference"/>
        </w:rPr>
        <w:footnoteReference w:id="1956"/>
      </w:r>
      <w:r>
        <w:t xml:space="preserve"> had commanded to be done through Moses—the sons of Israel brought a contribution to the Lord.</w:t>
      </w:r>
      <w:r>
        <w:rPr>
          <w:rStyle w:val="FootnoteReference"/>
        </w:rPr>
        <w:footnoteReference w:id="1957"/>
      </w:r>
    </w:p>
    <w:p>
      <w:r>
        <w:rPr>
          <w:b/>
        </w:rPr>
        <w:t xml:space="preserve">30 </w:t>
      </w:r>
      <w:r>
        <w:t xml:space="preserve">And Moses said to the sons of Israel, "Look, God has called by name Bezalel son of Uri son of Hur, of the tribe of Judah,</w:t>
      </w:r>
    </w:p>
    <w:p>
      <w:r>
        <w:rPr>
          <w:b/>
        </w:rPr>
        <w:t xml:space="preserve">31 </w:t>
      </w:r>
      <w:r>
        <w:t xml:space="preserve">and has filled him with a divine spirit of wisdom and understanding and knowledge of all things,</w:t>
      </w:r>
    </w:p>
    <w:p>
      <w:r>
        <w:rPr>
          <w:b/>
        </w:rPr>
        <w:t xml:space="preserve">32 </w:t>
      </w:r>
      <w:r>
        <w:t xml:space="preserve">to devise skillfully in all works of craftsmanship, to make gold and silver and bronze,</w:t>
      </w:r>
    </w:p>
    <w:p>
      <w:r>
        <w:rPr>
          <w:b/>
        </w:rPr>
        <w:t xml:space="preserve">33 </w:t>
      </w:r>
      <w:r>
        <w:t xml:space="preserve">and to cut stone and work wood and do every work of wisdom.</w:t>
      </w:r>
    </w:p>
    <w:p>
      <w:r>
        <w:rPr>
          <w:b/>
        </w:rPr>
        <w:t xml:space="preserve">34 </w:t>
      </w:r>
      <w:r>
        <w:t xml:space="preserve">And he gave improvement in understanding in his mind, both to him and to Oholiab son of Ahisamach, of the tribe of Dan.</w:t>
      </w:r>
    </w:p>
    <w:p>
      <w:r>
        <w:rPr>
          <w:b/>
        </w:rPr>
        <w:t xml:space="preserve">35 </w:t>
      </w:r>
      <w:r>
        <w:t xml:space="preserve">He filled</w:t>
      </w:r>
      <w:r>
        <w:rPr>
          <w:rStyle w:val="FootnoteReference"/>
        </w:rPr>
        <w:footnoteReference w:id="1958"/>
      </w:r>
      <w:r>
        <w:t xml:space="preserve"> them with wisdom, understanding, and insight to understand and do all the works of the holy place, and to weave woven and variegated work with the scarlet and fine linen, to do every work of craftsmanship and embroidery."</w:t>
      </w:r>
      <w:r>
        <w:rPr>
          <w:rStyle w:val="FootnoteReference"/>
        </w:rPr>
        <w:footnoteReference w:id="1959"/>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t xml:space="preserve">And Bezalel and Oholiab and every wise-hearted one to whom wisdom and knowledge</w:t>
      </w:r>
      <w:r>
        <w:rPr>
          <w:rStyle w:val="FootnoteReference"/>
        </w:rPr>
        <w:footnoteReference w:id="1960"/>
      </w:r>
      <w:r>
        <w:t xml:space="preserve"> were given, to understand how to do all the works of the holy duties, did all that the Lord commanded.</w:t>
      </w:r>
    </w:p>
    <w:p>
      <w:r>
        <w:rPr>
          <w:b/>
        </w:rPr>
        <w:t xml:space="preserve">2 </w:t>
      </w:r>
      <w:r>
        <w:t xml:space="preserve">And Moses called Bezalel and Oholiab and all those having wisdom, to whom God gave knowledge in heart, and all who willingly wanted to come near to the works to perform them.</w:t>
      </w:r>
    </w:p>
    <w:p>
      <w:r>
        <w:rPr>
          <w:b/>
        </w:rPr>
        <w:t xml:space="preserve">3 </w:t>
      </w:r>
      <w:r>
        <w:t xml:space="preserve">And they received from Moses all the contributions that the sons of Israel had brought for all the works of the holy place to do them. And they were still receiving</w:t>
      </w:r>
      <w:r>
        <w:rPr>
          <w:rStyle w:val="FootnoteReference"/>
        </w:rPr>
        <w:footnoteReference w:id="1961"/>
      </w:r>
      <w:r>
        <w:t xml:space="preserve"> what was brought by those bringing it each morning.</w:t>
      </w:r>
    </w:p>
    <w:p>
      <w:r>
        <w:rPr>
          <w:b/>
        </w:rPr>
        <w:t xml:space="preserve">4 </w:t>
      </w:r>
      <w:r>
        <w:t xml:space="preserve">And all the wise men doing the works of the holy place came, each from his own work that he was doing,</w:t>
      </w:r>
    </w:p>
    <w:p>
      <w:r>
        <w:rPr>
          <w:b/>
        </w:rPr>
        <w:t xml:space="preserve">5 </w:t>
      </w:r>
      <w:r>
        <w:t xml:space="preserve">and they said to Moses, "The people are bringing more than enough</w:t>
      </w:r>
      <w:r>
        <w:rPr>
          <w:rStyle w:val="FootnoteReference"/>
        </w:rPr>
        <w:footnoteReference w:id="1962"/>
      </w:r>
      <w:r>
        <w:t xml:space="preserve"> for the works that the Lord commanded to be done."</w:t>
      </w:r>
    </w:p>
    <w:p>
      <w:r>
        <w:rPr>
          <w:b/>
        </w:rPr>
        <w:t xml:space="preserve">6 </w:t>
      </w:r>
      <w:r>
        <w:t xml:space="preserve">And Moses commanded, and proclamation was made in the camp, saying, "Let neither man nor woman work any longer for the first-contributions of the holy place." So the people were restrained from bringing more.</w:t>
      </w:r>
      <w:r>
        <w:rPr>
          <w:rStyle w:val="FootnoteReference"/>
        </w:rPr>
        <w:footnoteReference w:id="1963"/>
      </w:r>
    </w:p>
    <w:p>
      <w:r>
        <w:rPr>
          <w:b/>
        </w:rPr>
        <w:t xml:space="preserve">7 </w:t>
      </w:r>
      <w:r>
        <w:t xml:space="preserve">And the works they had were sufficient for the making, and there was some left over.</w:t>
      </w:r>
    </w:p>
    <w:p>
      <w:r>
        <w:rPr>
          <w:b/>
        </w:rPr>
        <w:t xml:space="preserve">8 </w:t>
      </w:r>
      <w:r>
        <w:t xml:space="preserve">And every wise</w:t>
      </w:r>
      <w:r>
        <w:rPr>
          <w:rStyle w:val="FootnoteReference"/>
        </w:rPr>
        <w:footnoteReference w:id="1964"/>
      </w:r>
      <w:r>
        <w:t xml:space="preserve"> one among those working made the holy garments that belong to Aaron the priest, as the Lord commanded Moses.</w:t>
      </w:r>
      <w:r>
        <w:rPr>
          <w:rStyle w:val="FootnoteReference"/>
        </w:rPr>
        <w:footnoteReference w:id="1965"/>
      </w:r>
    </w:p>
    <w:p>
      <w:r>
        <w:rPr>
          <w:b/>
        </w:rPr>
        <w:t xml:space="preserve">9 </w:t>
      </w:r>
      <w:r>
        <w:t xml:space="preserve">And they made the ephod of gold and blue and purple and spun scarlet and woven fine linen.</w:t>
      </w:r>
      <w:r>
        <w:rPr>
          <w:rStyle w:val="FootnoteReference"/>
        </w:rPr>
        <w:footnoteReference w:id="1966"/>
      </w:r>
      <w:r>
        <w:t xml:space="preserve"/>
      </w:r>
    </w:p>
    <w:p>
      <w:r>
        <w:rPr>
          <w:b/>
        </w:rPr>
        <w:t xml:space="preserve">10 </w:t>
      </w:r>
      <w:r>
        <w:t xml:space="preserve">And the plates of gold were cut into threads, so that they might be woven with the blue and the purple and the spun scarlet and the woven fine linen, a woven work.</w:t>
      </w:r>
    </w:p>
    <w:p>
      <w:r>
        <w:rPr>
          <w:b/>
        </w:rPr>
        <w:t xml:space="preserve">11 </w:t>
      </w:r>
      <w:r>
        <w:t xml:space="preserve">They made shoulder-pieces joined from both sides.</w:t>
      </w:r>
      <w:r>
        <w:rPr>
          <w:rStyle w:val="FootnoteReference"/>
        </w:rPr>
        <w:footnoteReference w:id="1967"/>
      </w:r>
      <w:r>
        <w:t xml:space="preserve"/>
      </w:r>
    </w:p>
    <w:p>
      <w:r>
        <w:rPr>
          <w:b/>
        </w:rPr>
        <w:t xml:space="preserve">12 </w:t>
      </w:r>
      <w:r>
        <w:t xml:space="preserve">A woven work intertwined into one another</w:t>
      </w:r>
      <w:r>
        <w:rPr>
          <w:rStyle w:val="FootnoteReference"/>
        </w:rPr>
        <w:footnoteReference w:id="1968"/>
      </w:r>
      <w:r>
        <w:t xml:space="preserve"> they made from the same material, of gold and blue and purple and spun scarlet and woven fine linen, just as the Lord commanded Moses.</w:t>
      </w:r>
    </w:p>
    <w:p>
      <w:r>
        <w:rPr>
          <w:b/>
        </w:rPr>
        <w:t xml:space="preserve">13 </w:t>
      </w:r>
      <w:r>
        <w:t xml:space="preserve">And they made the two emerald stones clasped and encircled in gold, engraved and carved like the carving of a seal, with the names of the sons of Israel.</w:t>
      </w:r>
    </w:p>
    <w:p>
      <w:r>
        <w:rPr>
          <w:b/>
        </w:rPr>
        <w:t xml:space="preserve">14 </w:t>
      </w:r>
      <w:r>
        <w:t xml:space="preserve">And he placed them on the shoulders of the ephod, as memorial stones of the sons of Israel, as the Lord commanded Moses.</w:t>
      </w:r>
    </w:p>
    <w:p>
      <w:r>
        <w:rPr>
          <w:b/>
        </w:rPr>
        <w:t xml:space="preserve">15 </w:t>
      </w:r>
      <w:r>
        <w:t xml:space="preserve">And they made the breastpiece</w:t>
      </w:r>
      <w:r>
        <w:rPr>
          <w:rStyle w:val="FootnoteReference"/>
        </w:rPr>
        <w:footnoteReference w:id="1969"/>
      </w:r>
      <w:r>
        <w:t xml:space="preserve">, embroidered work, according to the work of the ephod, of gold and blue and purple and spun scarlet and woven fine linen.</w:t>
      </w:r>
    </w:p>
    <w:p>
      <w:r>
        <w:rPr>
          <w:b/>
        </w:rPr>
        <w:t xml:space="preserve">16 </w:t>
      </w:r>
      <w:r>
        <w:t xml:space="preserve">They made the breastpiece square and doubled, a span its length and a span its breadth, doubled.</w:t>
      </w:r>
      <w:r>
        <w:rPr>
          <w:rStyle w:val="FootnoteReference"/>
        </w:rPr>
        <w:footnoteReference w:id="1970"/>
      </w:r>
      <w:r>
        <w:t xml:space="preserve"/>
      </w:r>
    </w:p>
    <w:p>
      <w:r>
        <w:rPr>
          <w:b/>
        </w:rPr>
        <w:t xml:space="preserve">17 </w:t>
      </w:r>
      <w:r>
        <w:t xml:space="preserve">And a setting of four rows of stones was woven into it: sardius and topaz and emerald, the first row.</w:t>
      </w:r>
    </w:p>
    <w:p>
      <w:r>
        <w:rPr>
          <w:b/>
        </w:rPr>
        <w:t xml:space="preserve">18 </w:t>
      </w:r>
      <w:r>
        <w:t xml:space="preserve">And the second row: carbuncle and sapphire and jasper</w:t>
      </w:r>
      <w:r>
        <w:rPr>
          <w:rStyle w:val="FootnoteReference"/>
        </w:rPr>
        <w:footnoteReference w:id="1971"/>
      </w:r>
      <w:r>
        <w:t xml:space="preserve">.</w:t>
      </w:r>
    </w:p>
    <w:p>
      <w:r>
        <w:rPr>
          <w:b/>
        </w:rPr>
        <w:t xml:space="preserve">19 </w:t>
      </w:r>
      <w:r>
        <w:t xml:space="preserve">And the third row: ligure and agate and amethyst.</w:t>
      </w:r>
      <w:r>
        <w:rPr>
          <w:rStyle w:val="FootnoteReference"/>
        </w:rPr>
        <w:footnoteReference w:id="1972"/>
      </w:r>
      <w:r>
        <w:t xml:space="preserve"/>
      </w:r>
    </w:p>
    <w:p>
      <w:r>
        <w:rPr>
          <w:b/>
        </w:rPr>
        <w:t xml:space="preserve">20 </w:t>
      </w:r>
      <w:r>
        <w:t xml:space="preserve">And the fourth row: chrysolite and beryl and onyx, encircled with gold and bound in gold.</w:t>
      </w:r>
      <w:r>
        <w:rPr>
          <w:rStyle w:val="FootnoteReference"/>
        </w:rPr>
        <w:footnoteReference w:id="1973"/>
      </w:r>
      <w:r>
        <w:t xml:space="preserve"/>
      </w:r>
    </w:p>
    <w:p>
      <w:r>
        <w:rPr>
          <w:b/>
        </w:rPr>
        <w:t xml:space="preserve">21 </w:t>
      </w:r>
      <w:r>
        <w:t xml:space="preserve">And the stones were twelve according to the names of the sons of Israel, engraved like seals, each with its own name for the twelve tribes.</w:t>
      </w:r>
      <w:r>
        <w:rPr>
          <w:rStyle w:val="FootnoteReference"/>
        </w:rPr>
        <w:footnoteReference w:id="1974"/>
      </w:r>
    </w:p>
    <w:p>
      <w:r>
        <w:rPr>
          <w:b/>
        </w:rPr>
        <w:t xml:space="preserve">22 </w:t>
      </w:r>
      <w:r>
        <w:t xml:space="preserve">And they made on the breastpiece braided cords, woven chainwork of pure gold.</w:t>
      </w:r>
      <w:r>
        <w:rPr>
          <w:rStyle w:val="FootnoteReference"/>
        </w:rPr>
        <w:footnoteReference w:id="1975"/>
      </w:r>
      <w:r>
        <w:t xml:space="preserve"/>
      </w:r>
    </w:p>
    <w:p>
      <w:r>
        <w:rPr>
          <w:b/>
        </w:rPr>
        <w:t xml:space="preserve">23 </w:t>
      </w:r>
      <w:r>
        <w:t xml:space="preserve">And they made two gold settings and two gold rings and placed the two gold rings on both ends of the breastpiece.</w:t>
      </w:r>
    </w:p>
    <w:p>
      <w:r>
        <w:rPr>
          <w:b/>
        </w:rPr>
        <w:t xml:space="preserve">24 </w:t>
      </w:r>
      <w:r>
        <w:t xml:space="preserve">And they placed the gold woven cords on the rings at both sides of the breastpiece</w:t>
      </w:r>
      <w:r>
        <w:rPr>
          <w:rStyle w:val="FootnoteReference"/>
        </w:rPr>
        <w:footnoteReference w:id="1976"/>
      </w:r>
      <w:r>
        <w:t xml:space="preserve">.</w:t>
      </w:r>
    </w:p>
    <w:p>
      <w:r>
        <w:rPr>
          <w:b/>
        </w:rPr>
        <w:t xml:space="preserve">25 </w:t>
      </w:r>
      <w:r>
        <w:t xml:space="preserve">And the two woven cords they set into the two couplings, and they placed them on the two settings, and they placed them on the shoulders of the ephod opposite each other at the front.</w:t>
      </w:r>
      <w:r>
        <w:rPr>
          <w:rStyle w:val="FootnoteReference"/>
        </w:rPr>
        <w:footnoteReference w:id="1977"/>
      </w:r>
    </w:p>
    <w:p>
      <w:r>
        <w:rPr>
          <w:b/>
        </w:rPr>
        <w:t xml:space="preserve">26 </w:t>
      </w:r>
      <w:r>
        <w:t xml:space="preserve">And they made two gold rings and placed them on the two wings at the edge of the breastpiece, on the inner edge of the back of the ephod.</w:t>
      </w:r>
    </w:p>
    <w:p>
      <w:r>
        <w:rPr>
          <w:b/>
        </w:rPr>
        <w:t xml:space="preserve">27 </w:t>
      </w:r>
      <w:r>
        <w:t xml:space="preserve">And they made two gold rings and placed them on both shoulders of the ephod beneath it, at the front, by the joining above the woven band of the ephod.</w:t>
      </w:r>
    </w:p>
    <w:p>
      <w:r>
        <w:rPr>
          <w:b/>
        </w:rPr>
        <w:t xml:space="preserve">28 </w:t>
      </w:r>
      <w:r>
        <w:t xml:space="preserve">And he fastened the breastpiece from its rings to the rings of the ephod, joined with blue woven cord to the woven band of the ephod, so that the breastpiece might not loosen from the ephod, as the Lord commanded Moses.</w:t>
      </w:r>
      <w:r>
        <w:rPr>
          <w:rStyle w:val="FootnoteReference"/>
        </w:rPr>
        <w:footnoteReference w:id="1978"/>
      </w:r>
    </w:p>
    <w:p>
      <w:r>
        <w:rPr>
          <w:b/>
        </w:rPr>
        <w:t xml:space="preserve">29 </w:t>
      </w:r>
      <w:r>
        <w:t xml:space="preserve">And they made the robe under the ephod, woven work, all blue.</w:t>
      </w:r>
    </w:p>
    <w:p>
      <w:r>
        <w:rPr>
          <w:b/>
        </w:rPr>
        <w:t xml:space="preserve">30 </w:t>
      </w:r>
      <w:r>
        <w:t xml:space="preserve">And the opening of the robe in the middle was woven close together, with a border around the opening, not to be torn.</w:t>
      </w:r>
    </w:p>
    <w:p>
      <w:r>
        <w:rPr>
          <w:b/>
        </w:rPr>
        <w:t xml:space="preserve">31 </w:t>
      </w:r>
      <w:r>
        <w:t xml:space="preserve">And on the hem of the robe below they made pomegranates like blossoming pomegranate fruit, of blue and purple and spun scarlet and woven fine linen.</w:t>
      </w:r>
      <w:r>
        <w:rPr>
          <w:rStyle w:val="FootnoteReference"/>
        </w:rPr>
        <w:footnoteReference w:id="1979"/>
      </w:r>
    </w:p>
    <w:p>
      <w:r>
        <w:rPr>
          <w:b/>
        </w:rPr>
        <w:t xml:space="preserve">32 </w:t>
      </w:r>
      <w:r>
        <w:t xml:space="preserve">And they made gold bells and placed the bells on the hem of the robe all around between the pomegranates,</w:t>
      </w:r>
    </w:p>
    <w:p>
      <w:r>
        <w:rPr>
          <w:b/>
        </w:rPr>
        <w:t xml:space="preserve">33 </w:t>
      </w:r>
      <w:r>
        <w:t xml:space="preserve">a gold bell and a pomegranate on the hem of the robe all around, for ministering, as the Lord commanded Moses.</w:t>
      </w:r>
    </w:p>
    <w:p>
      <w:r>
        <w:rPr>
          <w:b/>
        </w:rPr>
        <w:t xml:space="preserve">34 </w:t>
      </w:r>
      <w:r>
        <w:t xml:space="preserve">And they made woven fine linen tunics for Aaron and his sons,</w:t>
      </w:r>
    </w:p>
    <w:p>
      <w:r>
        <w:rPr>
          <w:b/>
        </w:rPr>
        <w:t xml:space="preserve">35 </w:t>
      </w:r>
      <w:r>
        <w:t xml:space="preserve">and the turbans of fine linen and the headdress of fine linen and the undergarments of woven fine linen,</w:t>
      </w:r>
    </w:p>
    <w:p>
      <w:r>
        <w:rPr>
          <w:b/>
        </w:rPr>
        <w:t xml:space="preserve">36 </w:t>
      </w:r>
      <w:r>
        <w:t xml:space="preserve">and their sashes</w:t>
      </w:r>
      <w:r>
        <w:rPr>
          <w:rStyle w:val="FootnoteReference"/>
        </w:rPr>
        <w:footnoteReference w:id="1980"/>
      </w:r>
      <w:r>
        <w:t xml:space="preserve"> of fine linen and blue and purple and spun scarlet, embroidered work, as the Lord commanded Moses.</w:t>
      </w:r>
    </w:p>
    <w:p>
      <w:r>
        <w:rPr>
          <w:b/>
        </w:rPr>
        <w:t xml:space="preserve">37 </w:t>
      </w:r>
      <w:r>
        <w:t xml:space="preserve">And they made the gold plate, the separated thing of the holy place, of pure gold, and wrote on it engraved letters like the engraving of a seal: "Holiness to the Lord."</w:t>
      </w:r>
    </w:p>
    <w:p>
      <w:r>
        <w:rPr>
          <w:b/>
        </w:rPr>
        <w:t xml:space="preserve">38 </w:t>
      </w:r>
      <w:r>
        <w:t xml:space="preserve">And they placed on it a blue cord so that it would be on the turban above, as the Lord commanded Moses.</w:t>
      </w:r>
      <w:r>
        <w:rPr>
          <w:rStyle w:val="FootnoteReference"/>
        </w:rPr>
        <w:footnoteReference w:id="1981"/>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37</w:t>
      </w:r>
    </w:p>
    <w:p>
      <w:r>
        <w:rPr>
          <w:b/>
        </w:rPr>
        <w:t xml:space="preserve">1 </w:t>
      </w:r>
      <w:r>
        <w:t xml:space="preserve">And they made ten curtains for the tent.</w:t>
      </w:r>
      <w:r>
        <w:rPr>
          <w:rStyle w:val="FootnoteReference"/>
        </w:rPr>
        <w:footnoteReference w:id="1982"/>
      </w:r>
      <w:r>
        <w:t xml:space="preserve"/>
      </w:r>
    </w:p>
    <w:p>
      <w:r>
        <w:rPr>
          <w:b/>
        </w:rPr>
        <w:t xml:space="preserve">2 </w:t>
      </w:r>
      <w:r>
        <w:t xml:space="preserve">The length of one curtain was twenty-eight cubits; one measure</w:t>
      </w:r>
      <w:r>
        <w:rPr>
          <w:rStyle w:val="FootnoteReference"/>
        </w:rPr>
        <w:footnoteReference w:id="1983"/>
      </w:r>
      <w:r>
        <w:t xml:space="preserve"> belonged to all of them, and the breadth of one curtain was four cubits.</w:t>
      </w:r>
    </w:p>
    <w:p>
      <w:r>
        <w:rPr>
          <w:b/>
        </w:rPr>
        <w:t xml:space="preserve">3 </w:t>
      </w:r>
      <w:r>
        <w:t xml:space="preserve">And they made the curtain of blue and purple and spun scarlet and woven fine linen, woven work with cherubim.</w:t>
      </w:r>
    </w:p>
    <w:p>
      <w:r>
        <w:rPr>
          <w:b/>
        </w:rPr>
        <w:t xml:space="preserve">4 </w:t>
      </w:r>
      <w:r>
        <w:t xml:space="preserve">And they placed it on four incorruptible posts overlaid with gold</w:t>
      </w:r>
      <w:r>
        <w:rPr>
          <w:rStyle w:val="FootnoteReference"/>
        </w:rPr>
        <w:footnoteReference w:id="1984"/>
      </w:r>
      <w:r>
        <w:t xml:space="preserve">, and their capitals gold, and their four bases silver.</w:t>
      </w:r>
    </w:p>
    <w:p>
      <w:r>
        <w:rPr>
          <w:b/>
        </w:rPr>
        <w:t xml:space="preserve">5 </w:t>
      </w:r>
      <w:r>
        <w:t xml:space="preserve">And they made the curtain of the door of the tent of testimony of blue and purple and spun scarlet and woven fine linen, woven work with cherubim.</w:t>
      </w:r>
      <w:r>
        <w:rPr>
          <w:rStyle w:val="FootnoteReference"/>
        </w:rPr>
        <w:footnoteReference w:id="1985"/>
      </w:r>
    </w:p>
    <w:p>
      <w:r>
        <w:rPr>
          <w:b/>
        </w:rPr>
        <w:t xml:space="preserve">6 </w:t>
      </w:r>
      <w:r>
        <w:t xml:space="preserve">And its five posts and rings, and they overlaid their capitals and clasps with gold, and their five bases were bronze.</w:t>
      </w:r>
    </w:p>
    <w:p>
      <w:r>
        <w:rPr>
          <w:b/>
        </w:rPr>
        <w:t xml:space="preserve">7 </w:t>
      </w:r>
      <w:r>
        <w:t xml:space="preserve">And they made the court. Toward the south wind were hangings of the court of woven fine linen, one hundred by one hundred.</w:t>
      </w:r>
    </w:p>
    <w:p>
      <w:r>
        <w:rPr>
          <w:b/>
        </w:rPr>
        <w:t xml:space="preserve">8 </w:t>
      </w:r>
      <w:r>
        <w:t xml:space="preserve">And their pillars twenty and their bases twenty.</w:t>
      </w:r>
      <w:r>
        <w:rPr>
          <w:rStyle w:val="FootnoteReference"/>
        </w:rPr>
        <w:footnoteReference w:id="1986"/>
      </w:r>
      <w:r>
        <w:t xml:space="preserve"/>
      </w:r>
    </w:p>
    <w:p>
      <w:r>
        <w:rPr>
          <w:b/>
        </w:rPr>
        <w:t xml:space="preserve">9 </w:t>
      </w:r>
      <w:r>
        <w:t xml:space="preserve">And on the side toward the north, one hundred by one hundred, and their pillars twenty and their bases twenty.</w:t>
      </w:r>
      <w:r>
        <w:rPr>
          <w:rStyle w:val="FootnoteReference"/>
        </w:rPr>
        <w:footnoteReference w:id="1987"/>
      </w:r>
      <w:r>
        <w:t xml:space="preserve"/>
      </w:r>
    </w:p>
    <w:p>
      <w:r>
        <w:rPr>
          <w:b/>
        </w:rPr>
        <w:t xml:space="preserve">10 </w:t>
      </w:r>
      <w:r>
        <w:t xml:space="preserve">And on the side toward the sea, curtains of fifty cubits, their pillars ten and their bases ten.</w:t>
      </w:r>
    </w:p>
    <w:p>
      <w:r>
        <w:rPr>
          <w:b/>
        </w:rPr>
        <w:t xml:space="preserve">11 </w:t>
      </w:r>
      <w:r>
        <w:t xml:space="preserve">And on the side toward the east, fifty cubits.</w:t>
      </w:r>
      <w:r>
        <w:rPr>
          <w:rStyle w:val="FootnoteReference"/>
        </w:rPr>
        <w:footnoteReference w:id="1988"/>
      </w:r>
      <w:r>
        <w:t xml:space="preserve"/>
      </w:r>
    </w:p>
    <w:p>
      <w:r>
        <w:rPr>
          <w:b/>
        </w:rPr>
        <w:t xml:space="preserve">12 </w:t>
      </w:r>
      <w:r>
        <w:t xml:space="preserve">Hangings fifteen cubits at the back, and their pillars three and their bases three.</w:t>
      </w:r>
      <w:r>
        <w:rPr>
          <w:rStyle w:val="FootnoteReference"/>
        </w:rPr>
        <w:footnoteReference w:id="1989"/>
      </w:r>
      <w:r>
        <w:t xml:space="preserve"/>
      </w:r>
    </w:p>
    <w:p>
      <w:r>
        <w:rPr>
          <w:b/>
        </w:rPr>
        <w:t xml:space="preserve">13 </w:t>
      </w:r>
      <w:r>
        <w:t xml:space="preserve">And on the second back, on this side and that, by the gate of the court, hangings fifteen cubits, and their pillars three and their bases three.</w:t>
      </w:r>
      <w:r>
        <w:rPr>
          <w:rStyle w:val="FootnoteReference"/>
        </w:rPr>
        <w:footnoteReference w:id="1990"/>
      </w:r>
    </w:p>
    <w:p>
      <w:r>
        <w:rPr>
          <w:b/>
        </w:rPr>
        <w:t xml:space="preserve">14 </w:t>
      </w:r>
      <w:r>
        <w:t xml:space="preserve">All the hangings of the court were of woven fine linen.</w:t>
      </w:r>
    </w:p>
    <w:p>
      <w:r>
        <w:rPr>
          <w:b/>
        </w:rPr>
        <w:t xml:space="preserve">15 </w:t>
      </w:r>
      <w:r>
        <w:t xml:space="preserve">And the bases of their pillars were bronze, and their hooks silver, and their capitals silver-covered, and all the pillars of the court were silver-covered.</w:t>
      </w:r>
      <w:r>
        <w:rPr>
          <w:rStyle w:val="FootnoteReference"/>
        </w:rPr>
        <w:footnoteReference w:id="1991"/>
      </w:r>
    </w:p>
    <w:p>
      <w:r>
        <w:rPr>
          <w:b/>
        </w:rPr>
        <w:t xml:space="preserve">16 </w:t>
      </w:r>
      <w:r>
        <w:t xml:space="preserve">And the curtain of the gate of the court, embroidered work</w:t>
      </w:r>
      <w:r>
        <w:rPr>
          <w:rStyle w:val="FootnoteReference"/>
        </w:rPr>
        <w:footnoteReference w:id="1992"/>
      </w:r>
      <w:r>
        <w:t xml:space="preserve">, of blue and purple and spun scarlet and woven fine linen, was twenty cubits long, and its height and breadth five cubits, equal to the hangings of the court.</w:t>
      </w:r>
    </w:p>
    <w:p>
      <w:r>
        <w:rPr>
          <w:b/>
        </w:rPr>
        <w:t xml:space="preserve">17 </w:t>
      </w:r>
      <w:r>
        <w:t xml:space="preserve">And their pillars four and their bases four bronze, and their hooks silver, and their capitals silver-covered.</w:t>
      </w:r>
    </w:p>
    <w:p>
      <w:r>
        <w:rPr>
          <w:b/>
        </w:rPr>
        <w:t xml:space="preserve">18 </w:t>
      </w:r>
      <w:r>
        <w:t xml:space="preserve">They also were silver-covered, and all the pegs of the court all around were bronze.</w:t>
      </w:r>
      <w:r>
        <w:rPr>
          <w:rStyle w:val="FootnoteReference"/>
        </w:rPr>
        <w:footnoteReference w:id="1993"/>
      </w:r>
      <w:r>
        <w:t xml:space="preserve"/>
      </w:r>
    </w:p>
    <w:p>
      <w:r>
        <w:rPr>
          <w:b/>
        </w:rPr>
        <w:t xml:space="preserve">19 </w:t>
      </w:r>
      <w:r>
        <w:t xml:space="preserve">And this was the ordering of the tent of testimony</w:t>
      </w:r>
      <w:r>
        <w:rPr>
          <w:rStyle w:val="FootnoteReference"/>
        </w:rPr>
        <w:footnoteReference w:id="1994"/>
      </w:r>
      <w:r>
        <w:t xml:space="preserve">, as it was arranged by Moses for the service of the Levites through Ithamar son of Aaron the priest.</w:t>
      </w:r>
    </w:p>
    <w:p>
      <w:r>
        <w:rPr>
          <w:b/>
        </w:rPr>
        <w:t xml:space="preserve">20 </w:t>
      </w:r>
      <w:r>
        <w:t xml:space="preserve">And Bezalel son of Uri, of the tribe of Judah, made as the Lord commanded Moses.</w:t>
      </w:r>
    </w:p>
    <w:p>
      <w:r>
        <w:rPr>
          <w:b/>
        </w:rPr>
        <w:t xml:space="preserve">21 </w:t>
      </w:r>
      <w:r>
        <w:t xml:space="preserve">And Oholiab son of Ahisamach, of the tribe of Dan, was there, chief craftsman</w:t>
      </w:r>
      <w:r>
        <w:rPr>
          <w:rStyle w:val="FootnoteReference"/>
        </w:rPr>
        <w:footnoteReference w:id="1995"/>
      </w:r>
      <w:r>
        <w:t xml:space="preserve"> in woven works and embroidery and variegated weaving with scarlet and fine linen.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38</w:t>
      </w:r>
    </w:p>
    <w:p>
      <w:r>
        <w:rPr>
          <w:b/>
        </w:rPr>
        <w:t xml:space="preserve">1 </w:t>
      </w:r>
      <w:r>
        <w:t xml:space="preserve">And Bezalel made the ark,</w:t>
      </w:r>
      <w:r>
        <w:rPr>
          <w:rStyle w:val="FootnoteReference"/>
        </w:rPr>
        <w:footnoteReference w:id="1996"/>
      </w:r>
    </w:p>
    <w:p>
      <w:r>
        <w:rPr>
          <w:b/>
        </w:rPr>
        <w:t xml:space="preserve">2 </w:t>
      </w:r>
      <w:r>
        <w:t xml:space="preserve">and overlaid it with pure gold inside and outside.</w:t>
      </w:r>
      <w:r>
        <w:rPr>
          <w:rStyle w:val="FootnoteReference"/>
        </w:rPr>
        <w:footnoteReference w:id="1997"/>
      </w:r>
      <w:r>
        <w:t xml:space="preserve"/>
      </w:r>
    </w:p>
    <w:p>
      <w:r>
        <w:rPr>
          <w:b/>
        </w:rPr>
        <w:t xml:space="preserve">3 </w:t>
      </w:r>
      <w:r>
        <w:t xml:space="preserve">And he cast for it four gold rings, two on one side and two on the second side,</w:t>
      </w:r>
    </w:p>
    <w:p>
      <w:r>
        <w:rPr>
          <w:b/>
        </w:rPr>
        <w:t xml:space="preserve">4 </w:t>
      </w:r>
      <w:r>
        <w:t xml:space="preserve">broad enough for the poles, so that they might carry it by them.</w:t>
      </w:r>
    </w:p>
    <w:p>
      <w:r>
        <w:rPr>
          <w:b/>
        </w:rPr>
        <w:t xml:space="preserve">5 </w:t>
      </w:r>
      <w:r>
        <w:t xml:space="preserve">And he made the propitiatory above the ark of pure gold,</w:t>
      </w:r>
    </w:p>
    <w:p>
      <w:r>
        <w:rPr>
          <w:b/>
        </w:rPr>
        <w:t xml:space="preserve">6 </w:t>
      </w:r>
      <w:r>
        <w:t xml:space="preserve">and the two gold cherubim,</w:t>
      </w:r>
      <w:r>
        <w:rPr>
          <w:rStyle w:val="FootnoteReference"/>
        </w:rPr>
        <w:footnoteReference w:id="1998"/>
      </w:r>
      <w:r>
        <w:t xml:space="preserve"/>
      </w:r>
    </w:p>
    <w:p>
      <w:r>
        <w:rPr>
          <w:b/>
        </w:rPr>
        <w:t xml:space="preserve">7 </w:t>
      </w:r>
      <w:r>
        <w:t xml:space="preserve">one cherub on one end of the propitiatory and one cherub on the second end of the propitiatory,</w:t>
      </w:r>
    </w:p>
    <w:p>
      <w:r>
        <w:rPr>
          <w:b/>
        </w:rPr>
        <w:t xml:space="preserve">8 </w:t>
      </w:r>
      <w:r>
        <w:t xml:space="preserve">overshadowing the propitiatory with their wings.</w:t>
      </w:r>
    </w:p>
    <w:p>
      <w:r>
        <w:rPr>
          <w:b/>
        </w:rPr>
        <w:t xml:space="preserve">9 </w:t>
      </w:r>
      <w:r>
        <w:t xml:space="preserve">And he made the presentation table of pure gold,</w:t>
      </w:r>
    </w:p>
    <w:p>
      <w:r>
        <w:rPr>
          <w:b/>
        </w:rPr>
        <w:t xml:space="preserve">10 </w:t>
      </w:r>
      <w:r>
        <w:t xml:space="preserve">and cast for it four rings, two on one side and two on the second side, broad enough so that it might be lifted with the poles in them.</w:t>
      </w:r>
    </w:p>
    <w:p>
      <w:r>
        <w:rPr>
          <w:b/>
        </w:rPr>
        <w:t xml:space="preserve">11 </w:t>
      </w:r>
      <w:r>
        <w:t xml:space="preserve">And he made the poles of the ark and of the table and overlaid them with gold.</w:t>
      </w:r>
    </w:p>
    <w:p>
      <w:r>
        <w:rPr>
          <w:b/>
        </w:rPr>
        <w:t xml:space="preserve">12 </w:t>
      </w:r>
      <w:r>
        <w:t xml:space="preserve">And he made the utensils of the table, both the dishes and the censers and the cups and the bowls in which he would pour offerings, of gold.</w:t>
      </w:r>
    </w:p>
    <w:p>
      <w:r>
        <w:rPr>
          <w:b/>
        </w:rPr>
        <w:t xml:space="preserve">13 </w:t>
      </w:r>
      <w:r>
        <w:t xml:space="preserve">And he made the lampstand that gives light, of solid gold, the shaft</w:t>
      </w:r>
    </w:p>
    <w:p>
      <w:r>
        <w:rPr>
          <w:b/>
        </w:rPr>
        <w:t xml:space="preserve">14 </w:t>
      </w:r>
      <w:r>
        <w:t xml:space="preserve">and the branches</w:t>
      </w:r>
      <w:r>
        <w:rPr>
          <w:rStyle w:val="FootnoteReference"/>
        </w:rPr>
        <w:footnoteReference w:id="1999"/>
      </w:r>
      <w:r>
        <w:t xml:space="preserve"> from both sides of it,</w:t>
      </w:r>
    </w:p>
    <w:p>
      <w:r>
        <w:rPr>
          <w:b/>
        </w:rPr>
        <w:t xml:space="preserve">15 </w:t>
      </w:r>
      <w:r>
        <w:t xml:space="preserve">and buds springing out from its branches, three on this side and three on that, matching one another.</w:t>
      </w:r>
      <w:r>
        <w:rPr>
          <w:rStyle w:val="FootnoteReference"/>
        </w:rPr>
        <w:footnoteReference w:id="2000"/>
      </w:r>
      <w:r>
        <w:t xml:space="preserve"/>
      </w:r>
    </w:p>
    <w:p>
      <w:r>
        <w:rPr>
          <w:b/>
        </w:rPr>
        <w:t xml:space="preserve">16 </w:t>
      </w:r>
      <w:r>
        <w:t xml:space="preserve">And as for the lamps that are at the ends, nut-like cups came from them, and sockets</w:t>
      </w:r>
      <w:r>
        <w:rPr>
          <w:rStyle w:val="FootnoteReference"/>
        </w:rPr>
        <w:footnoteReference w:id="2001"/>
      </w:r>
      <w:r>
        <w:t xml:space="preserve"> from them, so that the lamps might rest on them; and the seventh socket, at the top of the lampstand, at the summit above, was wholly solid gold.</w:t>
      </w:r>
    </w:p>
    <w:p>
      <w:r>
        <w:rPr>
          <w:b/>
        </w:rPr>
        <w:t xml:space="preserve">17 </w:t>
      </w:r>
      <w:r>
        <w:t xml:space="preserve">And on the lampstand were seven gold lamps, and its snuffers gold, and their trays gold</w:t>
      </w:r>
      <w:r>
        <w:rPr>
          <w:rStyle w:val="FootnoteReference"/>
        </w:rPr>
        <w:footnoteReference w:id="2002"/>
      </w:r>
      <w:r>
        <w:t xml:space="preserve">.</w:t>
      </w:r>
    </w:p>
    <w:p>
      <w:r>
        <w:rPr>
          <w:b/>
        </w:rPr>
        <w:t xml:space="preserve">18 </w:t>
      </w:r>
      <w:r>
        <w:t xml:space="preserve">He silver-covered the posts</w:t>
      </w:r>
      <w:r>
        <w:rPr>
          <w:rStyle w:val="FootnoteReference"/>
        </w:rPr>
        <w:footnoteReference w:id="2003"/>
      </w:r>
      <w:r>
        <w:t xml:space="preserve"> and cast gold rings for each post and overlaid the bars with gold. He overlaid the posts of the curtain with gold and made gold hooks.</w:t>
      </w:r>
    </w:p>
    <w:p>
      <w:r>
        <w:rPr>
          <w:b/>
        </w:rPr>
        <w:t xml:space="preserve">19 </w:t>
      </w:r>
      <w:r>
        <w:t xml:space="preserve">He also made the rings of the tent gold, and the rings of the court, and rings for drawing out the upper covering, bronze.</w:t>
      </w:r>
    </w:p>
    <w:p>
      <w:r>
        <w:rPr>
          <w:b/>
        </w:rPr>
        <w:t xml:space="preserve">20 </w:t>
      </w:r>
      <w:r>
        <w:t xml:space="preserve">He cast the silver capitals of the tent and the bronze capitals of the door of the tent and the gate of the court, and he made silver hooks for the posts and silver-covered them on the posts.</w:t>
      </w:r>
    </w:p>
    <w:p>
      <w:r>
        <w:rPr>
          <w:b/>
        </w:rPr>
        <w:t xml:space="preserve">21 </w:t>
      </w:r>
      <w:r>
        <w:t xml:space="preserve">He made the pegs of the tent and the pegs of the court, bronze.</w:t>
      </w:r>
      <w:r>
        <w:rPr>
          <w:rStyle w:val="FootnoteReference"/>
        </w:rPr>
        <w:footnoteReference w:id="2004"/>
      </w:r>
      <w:r>
        <w:t xml:space="preserve"/>
      </w:r>
    </w:p>
    <w:p>
      <w:r>
        <w:rPr>
          <w:b/>
        </w:rPr>
        <w:t xml:space="preserve">22 </w:t>
      </w:r>
      <w:r>
        <w:t xml:space="preserve">He made the bronze altar from the bronze fire-pans that belonged to the men who stirred up revolt with the company of Korah</w:t>
      </w:r>
      <w:r>
        <w:rPr>
          <w:rStyle w:val="FootnoteReference"/>
        </w:rPr>
        <w:footnoteReference w:id="2005"/>
      </w:r>
      <w:r>
        <w:t xml:space="preserve">.</w:t>
      </w:r>
      <w:r>
        <w:rPr>
          <w:rStyle w:val="FootnoteReference"/>
        </w:rPr>
        <w:footnoteReference w:id="2006"/>
      </w:r>
    </w:p>
    <w:p>
      <w:r>
        <w:rPr>
          <w:b/>
        </w:rPr>
        <w:t xml:space="preserve">23 </w:t>
      </w:r>
      <w:r>
        <w:t xml:space="preserve">He made all the utensils of the altar and its fire-pan and the base and the bowls and the bronze flesh-hooks.</w:t>
      </w:r>
    </w:p>
    <w:p>
      <w:r>
        <w:rPr>
          <w:b/>
        </w:rPr>
        <w:t xml:space="preserve">24 </w:t>
      </w:r>
      <w:r>
        <w:t xml:space="preserve">He made for the altar a surrounding frame of net-work</w:t>
      </w:r>
      <w:r>
        <w:rPr>
          <w:rStyle w:val="FootnoteReference"/>
        </w:rPr>
        <w:footnoteReference w:id="2007"/>
      </w:r>
      <w:r>
        <w:t xml:space="preserve"> beneath its fire-pan underneath it as far as its middle, and he fixed to it four bronze rings on the four sides of the frame of the altar, wide enough for the bars, so that the altar might be carried by them.</w:t>
      </w:r>
    </w:p>
    <w:p>
      <w:r>
        <w:rPr>
          <w:b/>
        </w:rPr>
        <w:t xml:space="preserve">25 </w:t>
      </w:r>
      <w:r>
        <w:t xml:space="preserve">He made the holy anointing oil and the pure compounded incense, work of a perfumer.</w:t>
      </w:r>
      <w:r>
        <w:rPr>
          <w:rStyle w:val="FootnoteReference"/>
        </w:rPr>
        <w:footnoteReference w:id="2008"/>
      </w:r>
      <w:r>
        <w:t xml:space="preserve"/>
      </w:r>
    </w:p>
    <w:p>
      <w:r>
        <w:rPr>
          <w:b/>
        </w:rPr>
        <w:t xml:space="preserve">26 </w:t>
      </w:r>
      <w:r>
        <w:t xml:space="preserve">He made the bronze laver and its bronze base from the mirrors of the women who fasted</w:t>
      </w:r>
      <w:r>
        <w:rPr>
          <w:rStyle w:val="FootnoteReference"/>
        </w:rPr>
        <w:footnoteReference w:id="2009"/>
      </w:r>
      <w:r>
        <w:t xml:space="preserve">, who fasted by the doors of the tent of testimony on the day it was set up.</w:t>
      </w:r>
    </w:p>
    <w:p>
      <w:r>
        <w:rPr>
          <w:b/>
        </w:rPr>
        <w:t xml:space="preserve">27 </w:t>
      </w:r>
      <w:r>
        <w:t xml:space="preserve">And he made the laver so that Moses and Aaron and his sons might wash their hands and feet from it. Whenever they entered the tent of testimony or approached the altar to minister, they washed from it, just as the Lord commanded Moses.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39</w:t>
      </w:r>
    </w:p>
    <w:p>
      <w:r>
        <w:rPr>
          <w:b/>
        </w:rPr>
        <w:t xml:space="preserve">1 </w:t>
      </w:r>
      <w:r>
        <w:t xml:space="preserve">All the gold that was worked for the works, for all the labor of the holy</w:t>
      </w:r>
      <w:r>
        <w:rPr>
          <w:rStyle w:val="FootnoteReference"/>
        </w:rPr>
        <w:footnoteReference w:id="2010"/>
      </w:r>
      <w:r>
        <w:t xml:space="preserve"> things, was gold from the contribution, twenty-nine talents and seven hundred twenty shekels by the holy shekel.</w:t>
      </w:r>
    </w:p>
    <w:p>
      <w:r>
        <w:rPr>
          <w:b/>
        </w:rPr>
        <w:t xml:space="preserve">2 </w:t>
      </w:r>
      <w:r>
        <w:t xml:space="preserve">And the silver contribution from the men counted in the congregation was one hundred talents and one thousand seven hundred seventy-five shekels,</w:t>
      </w:r>
    </w:p>
    <w:p>
      <w:r>
        <w:rPr>
          <w:b/>
        </w:rPr>
        <w:t xml:space="preserve">3 </w:t>
      </w:r>
      <w:r>
        <w:t xml:space="preserve">one drachma per head, half the shekel by the holy shekel, for everyone passing through the visitation, from twenty years and above, six hundred three thousand five hundred fifty.</w:t>
      </w:r>
      <w:r>
        <w:rPr>
          <w:rStyle w:val="FootnoteReference"/>
        </w:rPr>
        <w:footnoteReference w:id="2011"/>
      </w:r>
    </w:p>
    <w:p>
      <w:r>
        <w:rPr>
          <w:b/>
        </w:rPr>
        <w:t xml:space="preserve">4 </w:t>
      </w:r>
      <w:r>
        <w:t xml:space="preserve">And the one hundred talents of silver became the casting of the one hundred capitals of the tent and the capitals of the curtain, one hundred capitals for the one hundred talents, a talent per capital.</w:t>
      </w:r>
      <w:r>
        <w:rPr>
          <w:rStyle w:val="FootnoteReference"/>
        </w:rPr>
        <w:footnoteReference w:id="2012"/>
      </w:r>
    </w:p>
    <w:p>
      <w:r>
        <w:rPr>
          <w:b/>
        </w:rPr>
        <w:t xml:space="preserve">5 </w:t>
      </w:r>
      <w:r>
        <w:t xml:space="preserve">And the one thousand seven hundred seventy-five shekels they made into hooks for the posts, and he overlaid their capitals and adorned them.</w:t>
      </w:r>
      <w:r>
        <w:rPr>
          <w:rStyle w:val="FootnoteReference"/>
        </w:rPr>
        <w:footnoteReference w:id="2013"/>
      </w:r>
    </w:p>
    <w:p>
      <w:r>
        <w:rPr>
          <w:b/>
        </w:rPr>
        <w:t xml:space="preserve">6 </w:t>
      </w:r>
      <w:r>
        <w:t xml:space="preserve">And the bronze of the contribution was seventy talents and one thousand five hundred shekels.</w:t>
      </w:r>
      <w:r>
        <w:rPr>
          <w:rStyle w:val="FootnoteReference"/>
        </w:rPr>
        <w:footnoteReference w:id="2014"/>
      </w:r>
      <w:r>
        <w:t xml:space="preserve"/>
      </w:r>
    </w:p>
    <w:p>
      <w:r>
        <w:rPr>
          <w:b/>
        </w:rPr>
        <w:t xml:space="preserve">7 </w:t>
      </w:r>
      <w:r>
        <w:t xml:space="preserve">And from it he made the bases of the door of the tent of testimony,</w:t>
      </w:r>
    </w:p>
    <w:p>
      <w:r>
        <w:rPr>
          <w:b/>
        </w:rPr>
        <w:t xml:space="preserve">8 </w:t>
      </w:r>
      <w:r>
        <w:t xml:space="preserve">and the bases of the court all around and the bases of the gate of the court and the pegs of the tent and the pegs of the court all around,</w:t>
      </w:r>
    </w:p>
    <w:p>
      <w:r>
        <w:rPr>
          <w:b/>
        </w:rPr>
        <w:t xml:space="preserve">9 </w:t>
      </w:r>
      <w:r>
        <w:t xml:space="preserve">and the bronze frame of the altar and all the utensils of the altar and all the instruments of the tent of testimony.</w:t>
      </w:r>
    </w:p>
    <w:p>
      <w:r>
        <w:rPr>
          <w:b/>
        </w:rPr>
        <w:t xml:space="preserve">10 </w:t>
      </w:r>
      <w:r>
        <w:t xml:space="preserve">And the sons of Israel did as the Lord commanded Moses; so they did.</w:t>
      </w:r>
      <w:r>
        <w:rPr>
          <w:rStyle w:val="FootnoteReference"/>
        </w:rPr>
        <w:footnoteReference w:id="2015"/>
      </w:r>
      <w:r>
        <w:t xml:space="preserve"/>
      </w:r>
    </w:p>
    <w:p>
      <w:r>
        <w:rPr>
          <w:b/>
        </w:rPr>
        <w:t xml:space="preserve">11 </w:t>
      </w:r>
      <w:r>
        <w:t xml:space="preserve">And from the gold that remained of the contribution they made vessels to minister with before the Lord.</w:t>
      </w:r>
      <w:r>
        <w:rPr>
          <w:rStyle w:val="FootnoteReference"/>
        </w:rPr>
        <w:footnoteReference w:id="2016"/>
      </w:r>
      <w:r>
        <w:t xml:space="preserve"/>
      </w:r>
    </w:p>
    <w:p>
      <w:r>
        <w:rPr>
          <w:b/>
        </w:rPr>
        <w:t xml:space="preserve">12 </w:t>
      </w:r>
      <w:r>
        <w:t xml:space="preserve">And the remaining blue and purple and scarlet they made into ministering garments for Aaron, so that he might minister with them in the holy place.</w:t>
      </w:r>
      <w:r>
        <w:rPr>
          <w:rStyle w:val="FootnoteReference"/>
        </w:rPr>
        <w:footnoteReference w:id="2017"/>
      </w:r>
    </w:p>
    <w:p>
      <w:r>
        <w:rPr>
          <w:b/>
        </w:rPr>
        <w:t xml:space="preserve">13 </w:t>
      </w:r>
      <w:r>
        <w:t xml:space="preserve">And they brought the garments to Moses, and the tent and its utensils and its bases and its bars and the posts,</w:t>
      </w:r>
      <w:r>
        <w:rPr>
          <w:rStyle w:val="FootnoteReference"/>
        </w:rPr>
        <w:footnoteReference w:id="2018"/>
      </w:r>
      <w:r>
        <w:t xml:space="preserve"/>
      </w:r>
    </w:p>
    <w:p>
      <w:r>
        <w:rPr>
          <w:b/>
        </w:rPr>
        <w:t xml:space="preserve">14 </w:t>
      </w:r>
      <w:r>
        <w:t xml:space="preserve">and the ark of the covenant and its carrying-poles,</w:t>
      </w:r>
      <w:r>
        <w:rPr>
          <w:rStyle w:val="FootnoteReference"/>
        </w:rPr>
        <w:footnoteReference w:id="2019"/>
      </w:r>
      <w:r>
        <w:t xml:space="preserve"/>
      </w:r>
    </w:p>
    <w:p>
      <w:r>
        <w:rPr>
          <w:b/>
        </w:rPr>
        <w:t xml:space="preserve">15 </w:t>
      </w:r>
      <w:r>
        <w:t xml:space="preserve">and the altar and all its utensils and the anointing oil and the compounded incense,</w:t>
      </w:r>
    </w:p>
    <w:p>
      <w:r>
        <w:rPr>
          <w:b/>
        </w:rPr>
        <w:t xml:space="preserve">16 </w:t>
      </w:r>
      <w:r>
        <w:t xml:space="preserve">and the pure lampstand and its lamps, lamps for burning, and the oil of light,</w:t>
      </w:r>
    </w:p>
    <w:p>
      <w:r>
        <w:rPr>
          <w:b/>
        </w:rPr>
        <w:t xml:space="preserve">17 </w:t>
      </w:r>
      <w:r>
        <w:t xml:space="preserve">and the presentation table and all its utensils and the loaves laid out,</w:t>
      </w:r>
      <w:r>
        <w:rPr>
          <w:rStyle w:val="FootnoteReference"/>
        </w:rPr>
        <w:footnoteReference w:id="2020"/>
      </w:r>
      <w:r>
        <w:t xml:space="preserve"/>
      </w:r>
    </w:p>
    <w:p>
      <w:r>
        <w:rPr>
          <w:b/>
        </w:rPr>
        <w:t xml:space="preserve">18 </w:t>
      </w:r>
      <w:r>
        <w:t xml:space="preserve">and the holy garments that belong to Aaron and the garments of his sons for the priesthood,</w:t>
      </w:r>
    </w:p>
    <w:p>
      <w:r>
        <w:rPr>
          <w:b/>
        </w:rPr>
        <w:t xml:space="preserve">19 </w:t>
      </w:r>
      <w:r>
        <w:t xml:space="preserve">and the hangings of the court and the posts and the curtain of the door of the tent and of the gate of the court and all the utensils of the tent and all its instruments,</w:t>
      </w:r>
    </w:p>
    <w:p>
      <w:r>
        <w:rPr>
          <w:b/>
        </w:rPr>
        <w:t xml:space="preserve">20 </w:t>
      </w:r>
      <w:r>
        <w:t xml:space="preserve">and the red-dyed rams' skins and the blue skin coverings and the coverings for the remaining things,</w:t>
      </w:r>
    </w:p>
    <w:p>
      <w:r>
        <w:rPr>
          <w:b/>
        </w:rPr>
        <w:t xml:space="preserve">21 </w:t>
      </w:r>
      <w:r>
        <w:t xml:space="preserve">and the pegs and all the instruments</w:t>
      </w:r>
      <w:r>
        <w:rPr>
          <w:rStyle w:val="FootnoteReference"/>
        </w:rPr>
        <w:footnoteReference w:id="2021"/>
      </w:r>
      <w:r>
        <w:t xml:space="preserve"> for the works of the tent of testimony.</w:t>
      </w:r>
    </w:p>
    <w:p>
      <w:r>
        <w:rPr>
          <w:b/>
        </w:rPr>
        <w:t xml:space="preserve">22 </w:t>
      </w:r>
      <w:r>
        <w:t xml:space="preserve">As the Lord commanded Moses, so the sons of Israel made all the equipment.</w:t>
      </w:r>
    </w:p>
    <w:p>
      <w:r>
        <w:rPr>
          <w:b/>
        </w:rPr>
        <w:t xml:space="preserve">23 </w:t>
      </w:r>
      <w:r>
        <w:t xml:space="preserve">And Moses saw all the works, and they had done them just as the Lord commanded Moses. So they made them, and Moses blessed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40</w:t>
      </w:r>
    </w:p>
    <w:p>
      <w:r>
        <w:rPr>
          <w:b/>
        </w:rPr>
        <w:t xml:space="preserve">1 </w:t>
      </w:r>
      <w:r>
        <w:t xml:space="preserve">And the Lord spoke to Moses, saying,</w:t>
      </w:r>
    </w:p>
    <w:p>
      <w:r>
        <w:rPr>
          <w:b/>
        </w:rPr>
        <w:t xml:space="preserve">2 </w:t>
      </w:r>
      <w:r>
        <w:t xml:space="preserve">"On one day, the new moon of the first month</w:t>
      </w:r>
      <w:r>
        <w:rPr>
          <w:rStyle w:val="FootnoteReference"/>
        </w:rPr>
        <w:footnoteReference w:id="2022"/>
      </w:r>
      <w:r>
        <w:t xml:space="preserve">, you shall set up the tent of testimony.</w:t>
      </w:r>
    </w:p>
    <w:p>
      <w:r>
        <w:rPr>
          <w:b/>
        </w:rPr>
        <w:t xml:space="preserve">3 </w:t>
      </w:r>
      <w:r>
        <w:t xml:space="preserve">And you shall place the ark of testimony and cover the ark with the curtain.</w:t>
      </w:r>
    </w:p>
    <w:p>
      <w:r>
        <w:rPr>
          <w:b/>
        </w:rPr>
        <w:t xml:space="preserve">4 </w:t>
      </w:r>
      <w:r>
        <w:t xml:space="preserve">And you shall bring in the table</w:t>
      </w:r>
      <w:r>
        <w:rPr>
          <w:rStyle w:val="FootnoteReference"/>
        </w:rPr>
        <w:footnoteReference w:id="2023"/>
      </w:r>
      <w:r>
        <w:t xml:space="preserve"> and arrange its arrangement, and you shall bring in the lampstand and place its lamps.</w:t>
      </w:r>
    </w:p>
    <w:p>
      <w:r>
        <w:rPr>
          <w:b/>
        </w:rPr>
        <w:t xml:space="preserve">5 </w:t>
      </w:r>
      <w:r>
        <w:t xml:space="preserve">And you shall place the gold altar for incense before the ark, and you shall place the curtain-screen on the door of the tent of testimony.</w:t>
      </w:r>
    </w:p>
    <w:p>
      <w:r>
        <w:rPr>
          <w:b/>
        </w:rPr>
        <w:t xml:space="preserve">6 </w:t>
      </w:r>
      <w:r>
        <w:t xml:space="preserve">And you shall place the altar of offerings by the doors of the tent of testimony.</w:t>
      </w:r>
    </w:p>
    <w:p>
      <w:r>
        <w:rPr>
          <w:b/>
        </w:rPr>
        <w:t xml:space="preserve">8 </w:t>
      </w:r>
      <w:r>
        <w:t xml:space="preserve">And you shall set the tent around it and sanctify all that belongs to it all around.</w:t>
      </w:r>
    </w:p>
    <w:p>
      <w:r>
        <w:rPr>
          <w:b/>
        </w:rPr>
        <w:t xml:space="preserve">9 </w:t>
      </w:r>
      <w:r>
        <w:t xml:space="preserve">And you shall take the anointing oil</w:t>
      </w:r>
      <w:r>
        <w:rPr>
          <w:rStyle w:val="FootnoteReference"/>
        </w:rPr>
        <w:footnoteReference w:id="2024"/>
      </w:r>
      <w:r>
        <w:t xml:space="preserve"> and anoint the tent and all that is in it, and you shall sanctify it and all its utensils, and it shall be holy.</w:t>
      </w:r>
    </w:p>
    <w:p>
      <w:r>
        <w:rPr>
          <w:b/>
        </w:rPr>
        <w:t xml:space="preserve">10 </w:t>
      </w:r>
      <w:r>
        <w:t xml:space="preserve">And you shall anoint the altar of offerings and all its utensils, and you shall sanctify</w:t>
      </w:r>
      <w:r>
        <w:rPr>
          <w:rStyle w:val="FootnoteReference"/>
        </w:rPr>
        <w:footnoteReference w:id="2025"/>
      </w:r>
      <w:r>
        <w:t xml:space="preserve"> the altar, and the altar shall be Holy of Holies.</w:t>
      </w:r>
    </w:p>
    <w:p>
      <w:r>
        <w:rPr>
          <w:b/>
        </w:rPr>
        <w:t xml:space="preserve">12 </w:t>
      </w:r>
      <w:r>
        <w:t xml:space="preserve">And you shall bring Aaron and his sons to the doors of the tent of testimony and wash them with water.</w:t>
      </w:r>
    </w:p>
    <w:p>
      <w:r>
        <w:rPr>
          <w:b/>
        </w:rPr>
        <w:t xml:space="preserve">13 </w:t>
      </w:r>
      <w:r>
        <w:t xml:space="preserve">And you shall clothe Aaron with the holy garments and anoint him</w:t>
      </w:r>
      <w:r>
        <w:rPr>
          <w:rStyle w:val="FootnoteReference"/>
        </w:rPr>
        <w:footnoteReference w:id="2026"/>
      </w:r>
      <w:r>
        <w:t xml:space="preserve"> and sanctify him, and he shall serve as priest to me.</w:t>
      </w:r>
    </w:p>
    <w:p>
      <w:r>
        <w:rPr>
          <w:b/>
        </w:rPr>
        <w:t xml:space="preserve">14 </w:t>
      </w:r>
      <w:r>
        <w:t xml:space="preserve">And you shall bring his sons and clothe them with tunics</w:t>
      </w:r>
      <w:r>
        <w:rPr>
          <w:rStyle w:val="FootnoteReference"/>
        </w:rPr>
        <w:footnoteReference w:id="2027"/>
      </w:r>
      <w:r>
        <w:t xml:space="preserve">.</w:t>
      </w:r>
    </w:p>
    <w:p>
      <w:r>
        <w:rPr>
          <w:b/>
        </w:rPr>
        <w:t xml:space="preserve">15 </w:t>
      </w:r>
      <w:r>
        <w:t xml:space="preserve">And you shall anoint them just as you anointed their father, and they shall serve as priests to me. And it shall be for them an anointing of priesthood</w:t>
      </w:r>
      <w:r>
        <w:rPr>
          <w:rStyle w:val="FootnoteReference"/>
        </w:rPr>
        <w:footnoteReference w:id="2028"/>
      </w:r>
      <w:r>
        <w:t xml:space="preserve"> forever throughout their generations."</w:t>
      </w:r>
    </w:p>
    <w:p>
      <w:r>
        <w:rPr>
          <w:b/>
        </w:rPr>
        <w:t xml:space="preserve">16 </w:t>
      </w:r>
      <w:r>
        <w:t xml:space="preserve">And Moses did all that the Lord commanded him; so he did.</w:t>
      </w:r>
    </w:p>
    <w:p>
      <w:r>
        <w:rPr>
          <w:b/>
        </w:rPr>
        <w:t xml:space="preserve">17 </w:t>
      </w:r>
      <w:r>
        <w:t xml:space="preserve">And it came about in the first month</w:t>
      </w:r>
      <w:r>
        <w:rPr>
          <w:rStyle w:val="FootnoteReference"/>
        </w:rPr>
        <w:footnoteReference w:id="2029"/>
      </w:r>
      <w:r>
        <w:t xml:space="preserve">, in the second year after they went out from Egypt, at the new moon, that the tent was set up.</w:t>
      </w:r>
    </w:p>
    <w:p>
      <w:r>
        <w:rPr>
          <w:b/>
        </w:rPr>
        <w:t xml:space="preserve">18 </w:t>
      </w:r>
      <w:r>
        <w:t xml:space="preserve">And Moses set up the tent and put on the capitals and inserted the bars and set up the posts.</w:t>
      </w:r>
    </w:p>
    <w:p>
      <w:r>
        <w:rPr>
          <w:b/>
        </w:rPr>
        <w:t xml:space="preserve">19 </w:t>
      </w:r>
      <w:r>
        <w:t xml:space="preserve">And he stretched out the curtains over the tent</w:t>
      </w:r>
      <w:r>
        <w:rPr>
          <w:rStyle w:val="FootnoteReference"/>
        </w:rPr>
        <w:footnoteReference w:id="2030"/>
      </w:r>
      <w:r>
        <w:t xml:space="preserve"> and put the covering of the tent above it, as the Lord commanded Moses.</w:t>
      </w:r>
    </w:p>
    <w:p>
      <w:r>
        <w:rPr>
          <w:b/>
        </w:rPr>
        <w:t xml:space="preserve">20 </w:t>
      </w:r>
      <w:r>
        <w:t xml:space="preserve">And taking the testimonies, he put them into the ark and placed the poles beside the ark.</w:t>
      </w:r>
    </w:p>
    <w:p>
      <w:r>
        <w:rPr>
          <w:b/>
        </w:rPr>
        <w:t xml:space="preserve">21 </w:t>
      </w:r>
      <w:r>
        <w:t xml:space="preserve">And he brought</w:t>
      </w:r>
      <w:r>
        <w:rPr>
          <w:rStyle w:val="FootnoteReference"/>
        </w:rPr>
        <w:footnoteReference w:id="2031"/>
      </w:r>
      <w:r>
        <w:t xml:space="preserve"> the ark into the tent and put on the curtain-covering and covered the ark of testimony, just as the Lord commanded Moses.</w:t>
      </w:r>
    </w:p>
    <w:p>
      <w:r>
        <w:rPr>
          <w:b/>
        </w:rPr>
        <w:t xml:space="preserve">22 </w:t>
      </w:r>
      <w:r>
        <w:t xml:space="preserve">And he placed the table in the tent of testimony on the north side of the tent, outside the curtain of the tent.</w:t>
      </w:r>
    </w:p>
    <w:p>
      <w:r>
        <w:rPr>
          <w:b/>
        </w:rPr>
        <w:t xml:space="preserve">23 </w:t>
      </w:r>
      <w:r>
        <w:t xml:space="preserve">And he set upon it the loaves of presentation before the Lord, just as the Lord commanded Moses.</w:t>
      </w:r>
    </w:p>
    <w:p>
      <w:r>
        <w:rPr>
          <w:b/>
        </w:rPr>
        <w:t xml:space="preserve">24 </w:t>
      </w:r>
      <w:r>
        <w:t xml:space="preserve">And he placed the lampstand in the tent of testimony on the south side of the tent.</w:t>
      </w:r>
    </w:p>
    <w:p>
      <w:r>
        <w:rPr>
          <w:b/>
        </w:rPr>
        <w:t xml:space="preserve">25 </w:t>
      </w:r>
      <w:r>
        <w:t xml:space="preserve">And he placed its lamps before the Lord, just as the Lord commanded Moses.</w:t>
      </w:r>
    </w:p>
    <w:p>
      <w:r>
        <w:rPr>
          <w:b/>
        </w:rPr>
        <w:t xml:space="preserve">26 </w:t>
      </w:r>
      <w:r>
        <w:t xml:space="preserve">And he placed the golden altar in the tent of testimony opposite the curtain.</w:t>
      </w:r>
    </w:p>
    <w:p>
      <w:r>
        <w:rPr>
          <w:b/>
        </w:rPr>
        <w:t xml:space="preserve">27 </w:t>
      </w:r>
      <w:r>
        <w:t xml:space="preserve">And he burned on it the compounded incense, just as the Lord commanded Moses.</w:t>
      </w:r>
    </w:p>
    <w:p>
      <w:r>
        <w:rPr>
          <w:b/>
        </w:rPr>
        <w:t xml:space="preserve">29 </w:t>
      </w:r>
      <w:r>
        <w:t xml:space="preserve">And he placed the altar</w:t>
      </w:r>
      <w:r>
        <w:rPr>
          <w:rStyle w:val="FootnoteReference"/>
        </w:rPr>
        <w:footnoteReference w:id="2032"/>
      </w:r>
      <w:r>
        <w:t xml:space="preserve"> of offerings by the doors of the tent.</w:t>
      </w:r>
    </w:p>
    <w:p>
      <w:r>
        <w:rPr>
          <w:b/>
        </w:rPr>
        <w:t xml:space="preserve">33 </w:t>
      </w:r>
      <w:r>
        <w:t xml:space="preserve">And he set up the court</w:t>
      </w:r>
      <w:r>
        <w:rPr>
          <w:rStyle w:val="FootnoteReference"/>
        </w:rPr>
        <w:footnoteReference w:id="2033"/>
      </w:r>
      <w:r>
        <w:t xml:space="preserve"> around the tent and the altar, and Moses finished all the works.</w:t>
      </w:r>
    </w:p>
    <w:p>
      <w:r>
        <w:rPr>
          <w:b/>
        </w:rPr>
        <w:t xml:space="preserve">34 </w:t>
      </w:r>
      <w:r>
        <w:t xml:space="preserve">And the cloud covered the tent of testimony, and the tent was filled with the glory of the Lord.</w:t>
      </w:r>
    </w:p>
    <w:p>
      <w:r>
        <w:rPr>
          <w:b/>
        </w:rPr>
        <w:t xml:space="preserve">35 </w:t>
      </w:r>
      <w:r>
        <w:t xml:space="preserve">And Moses was not able to enter into the tent of testimony, because the cloud overshadowed it, and the tent was filled with the glory of the Lord.</w:t>
      </w:r>
    </w:p>
    <w:p>
      <w:r>
        <w:rPr>
          <w:b/>
        </w:rPr>
        <w:t xml:space="preserve">36 </w:t>
      </w:r>
      <w:r>
        <w:t xml:space="preserve">And whenever the cloud went up from the tent, the sons of Israel set out with all their baggage.</w:t>
      </w:r>
    </w:p>
    <w:p>
      <w:r>
        <w:rPr>
          <w:b/>
        </w:rPr>
        <w:t xml:space="preserve">37 </w:t>
      </w:r>
      <w:r>
        <w:t xml:space="preserve">But if the cloud did not go up, they did not set out until the day the cloud went up.</w:t>
      </w:r>
    </w:p>
    <w:p>
      <w:r>
        <w:rPr>
          <w:b/>
        </w:rPr>
        <w:t xml:space="preserve">38 </w:t>
      </w:r>
      <w:r>
        <w:t xml:space="preserve">For the cloud</w:t>
      </w:r>
      <w:r>
        <w:rPr>
          <w:rStyle w:val="FootnoteReference"/>
        </w:rPr>
        <w:footnoteReference w:id="2034"/>
      </w:r>
      <w:r>
        <w:t xml:space="preserve"> was upon the tent by day, and fire upon it by night, before all Israel in all their journeys.</w:t>
      </w:r>
    </w:p>
    <w:p>
      <w:r>
        <w:br w:type="page"/>
      </w:r>
    </w:p>
    <w:p>
      <w:pPr>
        <w:pStyle w:val="Heading1"/>
      </w:pPr>
      <w:r>
        <w:t xml:space="preserve">Leviticus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the Lord called</w:t>
      </w:r>
      <w:r>
        <w:rPr>
          <w:rStyle w:val="FootnoteReference"/>
        </w:rPr>
        <w:footnoteReference w:id="2035"/>
      </w:r>
      <w:r>
        <w:t xml:space="preserve"> Moses and spoke to him from the tent of testimony</w:t>
      </w:r>
      <w:r>
        <w:rPr>
          <w:rStyle w:val="FootnoteReference"/>
        </w:rPr>
        <w:footnoteReference w:id="2036"/>
      </w:r>
      <w:r>
        <w:t xml:space="preserve">, saying,</w:t>
      </w:r>
    </w:p>
    <w:p>
      <w:r>
        <w:rPr>
          <w:b/>
        </w:rPr>
        <w:t xml:space="preserve">2 </w:t>
      </w:r>
      <w:r>
        <w:t xml:space="preserve">Speak to the sons of Israel and say to them, If a person from among you brings gifts to the Lord, you shall bring your gifts from the livestock, from the cattle and from the sheep.</w:t>
      </w:r>
    </w:p>
    <w:p>
      <w:r>
        <w:rPr>
          <w:b/>
        </w:rPr>
        <w:t xml:space="preserve">3 </w:t>
      </w:r>
      <w:r>
        <w:t xml:space="preserve">If his gift is a whole burnt offering from the cattle, he shall bring a male</w:t>
      </w:r>
      <w:r>
        <w:rPr>
          <w:rStyle w:val="FootnoteReference"/>
        </w:rPr>
        <w:footnoteReference w:id="2037"/>
      </w:r>
      <w:r>
        <w:t xml:space="preserve"> without blemish to the entrance of the tent of testimony. He shall bring it as accepted before the Lord.</w:t>
      </w:r>
    </w:p>
    <w:p>
      <w:r>
        <w:rPr>
          <w:b/>
        </w:rPr>
        <w:t xml:space="preserve">4 </w:t>
      </w:r>
      <w:r>
        <w:t xml:space="preserve">And he shall lay his hand on the head of the offering</w:t>
      </w:r>
      <w:r>
        <w:rPr>
          <w:rStyle w:val="FootnoteReference"/>
        </w:rPr>
        <w:footnoteReference w:id="2038"/>
      </w:r>
      <w:r>
        <w:t xml:space="preserve">. It shall be accepted</w:t>
      </w:r>
      <w:r>
        <w:rPr>
          <w:rStyle w:val="FootnoteReference"/>
        </w:rPr>
        <w:footnoteReference w:id="2039"/>
      </w:r>
      <w:r>
        <w:t xml:space="preserve"> for him, to make atonement for him.</w:t>
      </w:r>
    </w:p>
    <w:p>
      <w:r>
        <w:rPr>
          <w:b/>
        </w:rPr>
        <w:t xml:space="preserve">5 </w:t>
      </w:r>
      <w:r>
        <w:t xml:space="preserve">And they shall slaughter the calf before the Lord, and the sons of Aaron, the priests</w:t>
      </w:r>
      <w:r>
        <w:rPr>
          <w:rStyle w:val="FootnoteReference"/>
        </w:rPr>
        <w:footnoteReference w:id="2040"/>
      </w:r>
      <w:r>
        <w:t xml:space="preserve">, shall bring the blood and pour the blood</w:t>
      </w:r>
      <w:r>
        <w:rPr>
          <w:rStyle w:val="FootnoteReference"/>
        </w:rPr>
        <w:footnoteReference w:id="2041"/>
      </w:r>
      <w:r>
        <w:t xml:space="preserve"> around on the altar, the one at the entrance of the tent of testimony.</w:t>
      </w:r>
    </w:p>
    <w:p>
      <w:r>
        <w:rPr>
          <w:b/>
        </w:rPr>
        <w:t xml:space="preserve">6 </w:t>
      </w:r>
      <w:r>
        <w:t xml:space="preserve">And after flaying the whole burnt offering, they shall divide it by limbs.</w:t>
      </w:r>
    </w:p>
    <w:p>
      <w:r>
        <w:rPr>
          <w:b/>
        </w:rPr>
        <w:t xml:space="preserve">7 </w:t>
      </w:r>
      <w:r>
        <w:t xml:space="preserve">And the sons of Aaron, the priests, shall place fire</w:t>
      </w:r>
      <w:r>
        <w:rPr>
          <w:rStyle w:val="FootnoteReference"/>
        </w:rPr>
        <w:footnoteReference w:id="2042"/>
      </w:r>
      <w:r>
        <w:t xml:space="preserve"> on the altar and pile wood upon the fire.</w:t>
      </w:r>
    </w:p>
    <w:p>
      <w:r>
        <w:rPr>
          <w:b/>
        </w:rPr>
        <w:t xml:space="preserve">8 </w:t>
      </w:r>
      <w:r>
        <w:t xml:space="preserve">And the sons of Aaron, the priests, shall pile the divided pieces and the head and the fat upon the wood on the fire that is on the altar.</w:t>
      </w:r>
    </w:p>
    <w:p>
      <w:r>
        <w:rPr>
          <w:b/>
        </w:rPr>
        <w:t xml:space="preserve">9 </w:t>
      </w:r>
      <w:r>
        <w:t xml:space="preserve">And they shall wash the entrails and the feet with water, and the priests shall place everything upon the altar. It is an offering, a sacrifice, an aroma of sweet fragrance to the Lord.</w:t>
      </w:r>
    </w:p>
    <w:p>
      <w:r>
        <w:rPr>
          <w:b/>
        </w:rPr>
        <w:t xml:space="preserve">10 </w:t>
      </w:r>
      <w:r>
        <w:t xml:space="preserve">And if his gift to the Lord is from the sheep, from the lambs or from the young goats, for a whole burnt offering, he shall bring it, a male</w:t>
      </w:r>
      <w:r>
        <w:rPr>
          <w:rStyle w:val="FootnoteReference"/>
        </w:rPr>
        <w:footnoteReference w:id="2043"/>
      </w:r>
      <w:r>
        <w:t xml:space="preserve"> without blemish, and he shall lay his hand on its head.</w:t>
      </w:r>
    </w:p>
    <w:p>
      <w:r>
        <w:rPr>
          <w:b/>
        </w:rPr>
        <w:t xml:space="preserve">11 </w:t>
      </w:r>
      <w:r>
        <w:t xml:space="preserve">And they shall slaughter it on the side of the altar toward the north before the Lord, and the sons of Aaron, the priests, shall pour its blood around on the altar.</w:t>
      </w:r>
    </w:p>
    <w:p>
      <w:r>
        <w:rPr>
          <w:b/>
        </w:rPr>
        <w:t xml:space="preserve">12 </w:t>
      </w:r>
      <w:r>
        <w:t xml:space="preserve">And they shall divide it by limbs, with the head and the fat, and the priests shall pile them on the wood on the fire on the altar.</w:t>
      </w:r>
    </w:p>
    <w:p>
      <w:r>
        <w:rPr>
          <w:b/>
        </w:rPr>
        <w:t xml:space="preserve">13 </w:t>
      </w:r>
      <w:r>
        <w:t xml:space="preserve">And they shall wash the entrails and the feet with water, and the priest shall bring everything and place it upon the altar. It is an offering, a sacrifice, an aroma of sweet fragrance to the Lord.</w:t>
      </w:r>
    </w:p>
    <w:p>
      <w:r>
        <w:rPr>
          <w:b/>
        </w:rPr>
        <w:t xml:space="preserve">14 </w:t>
      </w:r>
      <w:r>
        <w:t xml:space="preserve">And if he brings from the birds an offering as a gift to the Lord, he shall bring his gift from the turtledoves or from the pigeons.</w:t>
      </w:r>
    </w:p>
    <w:p>
      <w:r>
        <w:rPr>
          <w:b/>
        </w:rPr>
        <w:t xml:space="preserve">15 </w:t>
      </w:r>
      <w:r>
        <w:t xml:space="preserve">And the priest shall bring it to the altar and wring off its head and place it on the altar, and he shall drain out the blood against the base of the altar.</w:t>
      </w:r>
    </w:p>
    <w:p>
      <w:r>
        <w:rPr>
          <w:b/>
        </w:rPr>
        <w:t xml:space="preserve">16 </w:t>
      </w:r>
      <w:r>
        <w:t xml:space="preserve">And he shall remove the crop with its feathers and throw it beside the altar on the east, to the place of ashes.</w:t>
      </w:r>
    </w:p>
    <w:p>
      <w:r>
        <w:rPr>
          <w:b/>
        </w:rPr>
        <w:t xml:space="preserve">17 </w:t>
      </w:r>
      <w:r>
        <w:t xml:space="preserve">And he shall split it open by the wings</w:t>
      </w:r>
      <w:r>
        <w:rPr>
          <w:rStyle w:val="FootnoteReference"/>
        </w:rPr>
        <w:footnoteReference w:id="2044"/>
      </w:r>
      <w:r>
        <w:t xml:space="preserve"> and shall not</w:t>
      </w:r>
      <w:r>
        <w:rPr>
          <w:rStyle w:val="FootnoteReference"/>
        </w:rPr>
        <w:footnoteReference w:id="2045"/>
      </w:r>
      <w:r>
        <w:t xml:space="preserve"> divide it, and the priest shall place it on the altar, on the wood on the fire. It is an offering, a sacrifice, an aroma of sweet fragrance to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if a person brings a sacrifice as a gift to the Lord, his gift shall be fine flour</w:t>
      </w:r>
      <w:r>
        <w:rPr>
          <w:rStyle w:val="FootnoteReference"/>
        </w:rPr>
        <w:footnoteReference w:id="2046"/>
      </w:r>
      <w:r>
        <w:t xml:space="preserve">, and he shall pour oil upon it and place frankincense upon it. It is a sacrifice.</w:t>
      </w:r>
    </w:p>
    <w:p>
      <w:r>
        <w:rPr>
          <w:b/>
        </w:rPr>
        <w:t xml:space="preserve">2 </w:t>
      </w:r>
      <w:r>
        <w:t xml:space="preserve">And he shall bring it to the sons of Aaron, the priests, and taking from it a full handful</w:t>
      </w:r>
      <w:r>
        <w:rPr>
          <w:rStyle w:val="FootnoteReference"/>
        </w:rPr>
        <w:footnoteReference w:id="2047"/>
      </w:r>
      <w:r>
        <w:t xml:space="preserve"> of the fine flour with the oil and all its frankincense, the priest shall place its memorial portion on the altar, a sacrifice, an aroma of sweet fragrance to the Lord.</w:t>
      </w:r>
    </w:p>
    <w:p>
      <w:r>
        <w:rPr>
          <w:b/>
        </w:rPr>
        <w:t xml:space="preserve">3 </w:t>
      </w:r>
      <w:r>
        <w:t xml:space="preserve">And what remains from the sacrifice shall belong to Aaron and his sons, a holy of holies from the sacrifices of the Lord.</w:t>
      </w:r>
    </w:p>
    <w:p>
      <w:r>
        <w:rPr>
          <w:b/>
        </w:rPr>
        <w:t xml:space="preserve">4 </w:t>
      </w:r>
      <w:r>
        <w:t xml:space="preserve">And if he brings as a gift a sacrifice baked in an oven, as a gift to the Lord, it shall be unleavened loaves of fine flour mixed with oil and unleavened wafers</w:t>
      </w:r>
      <w:r>
        <w:rPr>
          <w:rStyle w:val="FootnoteReference"/>
        </w:rPr>
        <w:footnoteReference w:id="2048"/>
      </w:r>
      <w:r>
        <w:t xml:space="preserve"> anointed with oil.</w:t>
      </w:r>
    </w:p>
    <w:p>
      <w:r>
        <w:rPr>
          <w:b/>
        </w:rPr>
        <w:t xml:space="preserve">5 </w:t>
      </w:r>
      <w:r>
        <w:t xml:space="preserve">And if your gift is a sacrifice from a griddle, it shall be fine flour mixed with oil, unleavened.</w:t>
      </w:r>
    </w:p>
    <w:p>
      <w:r>
        <w:rPr>
          <w:b/>
        </w:rPr>
        <w:t xml:space="preserve">6 </w:t>
      </w:r>
      <w:r>
        <w:t xml:space="preserve">And you shall crumble them into pieces and pour oil upon them. It is a sacrifice to the Lord.</w:t>
      </w:r>
    </w:p>
    <w:p>
      <w:r>
        <w:rPr>
          <w:b/>
        </w:rPr>
        <w:t xml:space="preserve">7 </w:t>
      </w:r>
      <w:r>
        <w:t xml:space="preserve">And if your gift is a sacrifice from a hearth-pan, it shall be made from fine flour with oil.</w:t>
      </w:r>
    </w:p>
    <w:p>
      <w:r>
        <w:rPr>
          <w:b/>
        </w:rPr>
        <w:t xml:space="preserve">8 </w:t>
      </w:r>
      <w:r>
        <w:t xml:space="preserve">And he shall bring to the Lord the sacrifice that he makes from these, and he shall bring it to the priest and bring it near to the altar.</w:t>
      </w:r>
    </w:p>
    <w:p>
      <w:r>
        <w:rPr>
          <w:b/>
        </w:rPr>
        <w:t xml:space="preserve">9 </w:t>
      </w:r>
      <w:r>
        <w:t xml:space="preserve">And the priest shall remove from the sacrifice its memorial portion and place it on the altar, an offering</w:t>
      </w:r>
      <w:r>
        <w:rPr>
          <w:rStyle w:val="FootnoteReference"/>
        </w:rPr>
        <w:footnoteReference w:id="2049"/>
      </w:r>
      <w:r>
        <w:t xml:space="preserve">, an aroma of sweet fragrance to the Lord.</w:t>
      </w:r>
    </w:p>
    <w:p>
      <w:r>
        <w:rPr>
          <w:b/>
        </w:rPr>
        <w:t xml:space="preserve">10 </w:t>
      </w:r>
      <w:r>
        <w:t xml:space="preserve">And what remains from the sacrifice shall belong to Aaron and his sons, a holy of holies from the offerings of the Lord.</w:t>
      </w:r>
    </w:p>
    <w:p>
      <w:r>
        <w:rPr>
          <w:b/>
        </w:rPr>
        <w:t xml:space="preserve">11 </w:t>
      </w:r>
      <w:r>
        <w:t xml:space="preserve">Every sacrifice that you bring to the Lord you shall not make leavened, for no leaven</w:t>
      </w:r>
      <w:r>
        <w:rPr>
          <w:rStyle w:val="FootnoteReference"/>
        </w:rPr>
        <w:footnoteReference w:id="2050"/>
      </w:r>
      <w:r>
        <w:t xml:space="preserve"> and no honey shall you bring from it as an offering to the Lord.</w:t>
      </w:r>
    </w:p>
    <w:p>
      <w:r>
        <w:rPr>
          <w:b/>
        </w:rPr>
        <w:t xml:space="preserve">12 </w:t>
      </w:r>
      <w:r>
        <w:t xml:space="preserve">You shall bring them to the Lord as a gift of firstfruits, but upon the altar they shall not be offered up as an aroma of sweet fragrance to the Lord.</w:t>
      </w:r>
    </w:p>
    <w:p>
      <w:r>
        <w:rPr>
          <w:b/>
        </w:rPr>
        <w:t xml:space="preserve">13 </w:t>
      </w:r>
      <w:r>
        <w:t xml:space="preserve">And every gift of your sacrifice shall be salted with salt</w:t>
      </w:r>
      <w:r>
        <w:rPr>
          <w:rStyle w:val="FootnoteReference"/>
        </w:rPr>
        <w:footnoteReference w:id="2051"/>
      </w:r>
      <w:r>
        <w:t xml:space="preserve">. You shall not let the salt of the covenant of the Lord</w:t>
      </w:r>
      <w:r>
        <w:rPr>
          <w:rStyle w:val="FootnoteReference"/>
        </w:rPr>
        <w:footnoteReference w:id="2052"/>
      </w:r>
      <w:r>
        <w:t xml:space="preserve"> cease from your sacrifices. On every gift of yours you shall bring salt to the Lord your God.</w:t>
      </w:r>
    </w:p>
    <w:p>
      <w:r>
        <w:rPr>
          <w:b/>
        </w:rPr>
        <w:t xml:space="preserve">14 </w:t>
      </w:r>
      <w:r>
        <w:t xml:space="preserve">And if you bring a sacrifice of first produce to the Lord, you shall bring fresh roasted grain, crushed from the tender growth, for the sacrifice of first produce.</w:t>
      </w:r>
    </w:p>
    <w:p>
      <w:r>
        <w:rPr>
          <w:b/>
        </w:rPr>
        <w:t xml:space="preserve">15 </w:t>
      </w:r>
      <w:r>
        <w:t xml:space="preserve">And you shall pour oil upon it and place frankincense upon it. It is a sacrifice.</w:t>
      </w:r>
    </w:p>
    <w:p>
      <w:r>
        <w:rPr>
          <w:b/>
        </w:rPr>
        <w:t xml:space="preserve">16 </w:t>
      </w:r>
      <w:r>
        <w:t xml:space="preserve">And the priest shall offer up its memorial portion from the crushed grain with the oil and all its frankincense. It is an offering to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if his gift to the Lord is a sacrifice of salvation</w:t>
      </w:r>
      <w:r>
        <w:rPr>
          <w:rStyle w:val="FootnoteReference"/>
        </w:rPr>
        <w:footnoteReference w:id="2053"/>
      </w:r>
      <w:r>
        <w:t xml:space="preserve">, if he brings it from the cattle, whether male or female, he shall bring it without blemish before the Lord.</w:t>
      </w:r>
      <w:r>
        <w:rPr>
          <w:rStyle w:val="FootnoteReference"/>
        </w:rPr>
        <w:footnoteReference w:id="2054"/>
      </w:r>
    </w:p>
    <w:p>
      <w:r>
        <w:rPr>
          <w:b/>
        </w:rPr>
        <w:t xml:space="preserve">2 </w:t>
      </w:r>
      <w:r>
        <w:t xml:space="preserve">And he shall lay his hands on the head of the gift and slaughter it beside the doors of the tent of testimony, and the sons of Aaron, the priests, shall pour the blood around on the altar of whole burnt offerings.</w:t>
      </w:r>
    </w:p>
    <w:p>
      <w:r>
        <w:rPr>
          <w:b/>
        </w:rPr>
        <w:t xml:space="preserve">3 </w:t>
      </w:r>
      <w:r>
        <w:t xml:space="preserve">And from the sacrifice of salvation they shall bring an offering to the Lord: the fat</w:t>
      </w:r>
      <w:r>
        <w:rPr>
          <w:rStyle w:val="FootnoteReference"/>
        </w:rPr>
        <w:footnoteReference w:id="2055"/>
      </w:r>
      <w:r>
        <w:t xml:space="preserve"> that covers the belly and all the fat that is on the belly,</w:t>
      </w:r>
    </w:p>
    <w:p>
      <w:r>
        <w:rPr>
          <w:b/>
        </w:rPr>
        <w:t xml:space="preserve">4 </w:t>
      </w:r>
      <w:r>
        <w:t xml:space="preserve">and the two kidneys and the fat that is on them, that on the thighs, and he shall remove the lobe above the liver with the kidneys.</w:t>
      </w:r>
    </w:p>
    <w:p>
      <w:r>
        <w:rPr>
          <w:b/>
        </w:rPr>
        <w:t xml:space="preserve">5 </w:t>
      </w:r>
      <w:r>
        <w:t xml:space="preserve">And the sons of Aaron, the priests, shall offer them on the altar upon the whole burnt offerings, upon the wood on the fire on the altar, an offering, an aroma of sweet fragrance to the Lord.</w:t>
      </w:r>
    </w:p>
    <w:p>
      <w:r>
        <w:rPr>
          <w:b/>
        </w:rPr>
        <w:t xml:space="preserve">6 </w:t>
      </w:r>
      <w:r>
        <w:t xml:space="preserve">And if his gift from the sheep is a sacrifice</w:t>
      </w:r>
      <w:r>
        <w:rPr>
          <w:rStyle w:val="FootnoteReference"/>
        </w:rPr>
        <w:footnoteReference w:id="2056"/>
      </w:r>
      <w:r>
        <w:t xml:space="preserve"> of salvation to the Lord, male or female, he shall bring it without blemish.</w:t>
      </w:r>
    </w:p>
    <w:p>
      <w:r>
        <w:rPr>
          <w:b/>
        </w:rPr>
        <w:t xml:space="preserve">7 </w:t>
      </w:r>
      <w:r>
        <w:t xml:space="preserve">If he brings a lamb as his gift, he shall bring it before the Lord.</w:t>
      </w:r>
    </w:p>
    <w:p>
      <w:r>
        <w:rPr>
          <w:b/>
        </w:rPr>
        <w:t xml:space="preserve">8 </w:t>
      </w:r>
      <w:r>
        <w:t xml:space="preserve">And he shall</w:t>
      </w:r>
      <w:r>
        <w:rPr>
          <w:rStyle w:val="FootnoteReference"/>
        </w:rPr>
        <w:footnoteReference w:id="2057"/>
      </w:r>
      <w:r>
        <w:t xml:space="preserve"> lay his hands on the head of his gift and slaughter it beside the doors of the tent of testimony, and the sons of Aaron, the priests, shall pour the blood around on the altar.</w:t>
      </w:r>
    </w:p>
    <w:p>
      <w:r>
        <w:rPr>
          <w:b/>
        </w:rPr>
        <w:t xml:space="preserve">9 </w:t>
      </w:r>
      <w:r>
        <w:t xml:space="preserve">And from the sacrifice of salvation he shall bring an offering to God: the fat</w:t>
      </w:r>
      <w:r>
        <w:rPr>
          <w:rStyle w:val="FootnoteReference"/>
        </w:rPr>
        <w:footnoteReference w:id="2058"/>
      </w:r>
      <w:r>
        <w:t xml:space="preserve"> and the unblemished hind-part</w:t>
      </w:r>
      <w:r>
        <w:rPr>
          <w:rStyle w:val="FootnoteReference"/>
        </w:rPr>
        <w:footnoteReference w:id="2059"/>
      </w:r>
      <w:r>
        <w:t xml:space="preserve">, he shall remove it with the lower back, and the fat of the belly,</w:t>
      </w:r>
    </w:p>
    <w:p>
      <w:r>
        <w:rPr>
          <w:b/>
        </w:rPr>
        <w:t xml:space="preserve">10 </w:t>
      </w:r>
      <w:r>
        <w:t xml:space="preserve">and both kidneys and the fat on them, that on the thighs, and removing the lobe above the liver with the kidneys,</w:t>
      </w:r>
    </w:p>
    <w:p>
      <w:r>
        <w:rPr>
          <w:b/>
        </w:rPr>
        <w:t xml:space="preserve">11 </w:t>
      </w:r>
      <w:r>
        <w:t xml:space="preserve">the priest shall offer it on the altar, an aroma of sweet fragrance, an offering to the Lord.</w:t>
      </w:r>
    </w:p>
    <w:p>
      <w:r>
        <w:rPr>
          <w:b/>
        </w:rPr>
        <w:t xml:space="preserve">12 </w:t>
      </w:r>
      <w:r>
        <w:t xml:space="preserve">And if his gift is from the goats, then he shall bring it before the Lord.</w:t>
      </w:r>
    </w:p>
    <w:p>
      <w:r>
        <w:rPr>
          <w:b/>
        </w:rPr>
        <w:t xml:space="preserve">13 </w:t>
      </w:r>
      <w:r>
        <w:t xml:space="preserve">And he shall lay his hands on its head, and they shall slaughter it before the Lord beside the doors of the tent of testimony, and the sons of Aaron, the priests, shall pour its blood around on the altar.</w:t>
      </w:r>
    </w:p>
    <w:p>
      <w:r>
        <w:rPr>
          <w:b/>
        </w:rPr>
        <w:t xml:space="preserve">14 </w:t>
      </w:r>
      <w:r>
        <w:t xml:space="preserve">And he shall bring from it an offering to the Lord: the fat that covers the belly and all the fat that is on the belly,</w:t>
      </w:r>
    </w:p>
    <w:p>
      <w:r>
        <w:rPr>
          <w:b/>
        </w:rPr>
        <w:t xml:space="preserve">15 </w:t>
      </w:r>
      <w:r>
        <w:t xml:space="preserve">and both kidneys and all the fat that is on them, that on the thighs, and he shall remove the lobe of the liver with the kidneys.</w:t>
      </w:r>
    </w:p>
    <w:p>
      <w:r>
        <w:rPr>
          <w:b/>
        </w:rPr>
        <w:t xml:space="preserve">16 </w:t>
      </w:r>
      <w:r>
        <w:t xml:space="preserve">And the priest shall offer it on the altar, an offering, an aroma of sweet fragrance to the Lord. All the fat</w:t>
      </w:r>
      <w:r>
        <w:rPr>
          <w:rStyle w:val="FootnoteReference"/>
        </w:rPr>
        <w:footnoteReference w:id="2060"/>
      </w:r>
      <w:r>
        <w:t xml:space="preserve"> belongs to the Lord.</w:t>
      </w:r>
    </w:p>
    <w:p>
      <w:r>
        <w:rPr>
          <w:b/>
        </w:rPr>
        <w:t xml:space="preserve">17 </w:t>
      </w:r>
      <w:r>
        <w:t xml:space="preserve">It is a statute forever throughout your generations in all your dwellings. You shall eat no fat and no blood</w:t>
      </w:r>
      <w:r>
        <w:rPr>
          <w:rStyle w:val="FootnoteReference"/>
        </w:rPr>
        <w:footnoteReference w:id="2061"/>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the Lord spoke to Moses, saying,</w:t>
      </w:r>
    </w:p>
    <w:p>
      <w:r>
        <w:rPr>
          <w:b/>
        </w:rPr>
        <w:t xml:space="preserve">2 </w:t>
      </w:r>
      <w:r>
        <w:t xml:space="preserve">Speak to the sons of Israel, saying, If a person sins unintentionally</w:t>
      </w:r>
      <w:r>
        <w:rPr>
          <w:rStyle w:val="FootnoteReference"/>
        </w:rPr>
        <w:footnoteReference w:id="2062"/>
      </w:r>
      <w:r>
        <w:t xml:space="preserve"> before the Lord in any of the commands of the Lord about things that ought not to be done, and does one of them,</w:t>
      </w:r>
    </w:p>
    <w:p>
      <w:r>
        <w:rPr>
          <w:b/>
        </w:rPr>
        <w:t xml:space="preserve">3 </w:t>
      </w:r>
      <w:r>
        <w:t xml:space="preserve">if the anointed high priest sins so as to make the people sin</w:t>
      </w:r>
      <w:r>
        <w:rPr>
          <w:rStyle w:val="FootnoteReference"/>
        </w:rPr>
        <w:footnoteReference w:id="2063"/>
      </w:r>
      <w:r>
        <w:t xml:space="preserve">, then he shall bring for his sin that he sinned a calf from the cattle, without blemish, to the Lord for his sin.</w:t>
      </w:r>
    </w:p>
    <w:p>
      <w:r>
        <w:rPr>
          <w:b/>
        </w:rPr>
        <w:t xml:space="preserve">4 </w:t>
      </w:r>
      <w:r>
        <w:t xml:space="preserve">And he shall bring</w:t>
      </w:r>
      <w:r>
        <w:rPr>
          <w:rStyle w:val="FootnoteReference"/>
        </w:rPr>
        <w:footnoteReference w:id="2064"/>
      </w:r>
      <w:r>
        <w:t xml:space="preserve"> the calf to the entrance of the tent of testimony before the Lord, and he shall lay his hand on the head of the calf before the Lord and slaughter the calf before the Lord.</w:t>
      </w:r>
    </w:p>
    <w:p>
      <w:r>
        <w:rPr>
          <w:b/>
        </w:rPr>
        <w:t xml:space="preserve">5 </w:t>
      </w:r>
      <w:r>
        <w:t xml:space="preserve">And the anointed priest whose hands have been consecrated shall take some of the blood of the calf and bring it into the tent of testimony.</w:t>
      </w:r>
    </w:p>
    <w:p>
      <w:r>
        <w:rPr>
          <w:b/>
        </w:rPr>
        <w:t xml:space="preserve">6 </w:t>
      </w:r>
      <w:r>
        <w:t xml:space="preserve">And the priest shall dip his finger into the blood and sprinkle some of the blood seven times</w:t>
      </w:r>
      <w:r>
        <w:rPr>
          <w:rStyle w:val="FootnoteReference"/>
        </w:rPr>
        <w:footnoteReference w:id="2065"/>
      </w:r>
      <w:r>
        <w:t xml:space="preserve"> before the Lord, before the holy curtain.</w:t>
      </w:r>
    </w:p>
    <w:p>
      <w:r>
        <w:rPr>
          <w:b/>
        </w:rPr>
        <w:t xml:space="preserve">7 </w:t>
      </w:r>
      <w:r>
        <w:t xml:space="preserve">And the priest shall place some of the blood of the calf on the horns</w:t>
      </w:r>
      <w:r>
        <w:rPr>
          <w:rStyle w:val="FootnoteReference"/>
        </w:rPr>
        <w:footnoteReference w:id="2066"/>
      </w:r>
      <w:r>
        <w:t xml:space="preserve"> of the altar of the blended incense that is before the Lord, which is in the tent of testimony, and he shall pour out all the blood of the calf at the base of the altar of whole burnt offerings, which is by the doors of the tent of testimony.</w:t>
      </w:r>
      <w:r>
        <w:rPr>
          <w:rStyle w:val="FootnoteReference"/>
        </w:rPr>
        <w:footnoteReference w:id="2067"/>
      </w:r>
    </w:p>
    <w:p>
      <w:r>
        <w:rPr>
          <w:b/>
        </w:rPr>
        <w:t xml:space="preserve">8 </w:t>
      </w:r>
      <w:r>
        <w:t xml:space="preserve">And he shall remove from it all the fat of the calf for sin</w:t>
      </w:r>
      <w:r>
        <w:rPr>
          <w:rStyle w:val="FootnoteReference"/>
        </w:rPr>
        <w:footnoteReference w:id="2068"/>
      </w:r>
      <w:r>
        <w:t xml:space="preserve">: the fat that covers the inward parts and all the fat that is on the inward parts,</w:t>
      </w:r>
    </w:p>
    <w:p>
      <w:r>
        <w:rPr>
          <w:b/>
        </w:rPr>
        <w:t xml:space="preserve">9 </w:t>
      </w:r>
      <w:r>
        <w:t xml:space="preserve">and the two kidneys and the fat that is on them, that on the thighs, and he shall remove the lobe above the liver with the kidneys,</w:t>
      </w:r>
    </w:p>
    <w:p>
      <w:r>
        <w:rPr>
          <w:b/>
        </w:rPr>
        <w:t xml:space="preserve">10 </w:t>
      </w:r>
      <w:r>
        <w:t xml:space="preserve">just as it is removed from the calf of the sacrifice of salvation. And the priest shall offer it on the altar of offering.</w:t>
      </w:r>
    </w:p>
    <w:p>
      <w:r>
        <w:rPr>
          <w:b/>
        </w:rPr>
        <w:t xml:space="preserve">11 </w:t>
      </w:r>
      <w:r>
        <w:t xml:space="preserve">And the skin of the calf and all its flesh, with the head and the extremities and the belly and the dung,</w:t>
      </w:r>
    </w:p>
    <w:p>
      <w:r>
        <w:rPr>
          <w:b/>
        </w:rPr>
        <w:t xml:space="preserve">12 </w:t>
      </w:r>
      <w:r>
        <w:t xml:space="preserve">they shall carry out the whole calf outside the camp to a clean place, where they pour out the ashes</w:t>
      </w:r>
      <w:r>
        <w:rPr>
          <w:rStyle w:val="FootnoteReference"/>
        </w:rPr>
        <w:footnoteReference w:id="2069"/>
      </w:r>
      <w:r>
        <w:t xml:space="preserve">, and they shall burn it on wood with fire. It shall be burned where the ashes are poured out.</w:t>
      </w:r>
    </w:p>
    <w:p>
      <w:r>
        <w:rPr>
          <w:b/>
        </w:rPr>
        <w:t xml:space="preserve">13 </w:t>
      </w:r>
      <w:r>
        <w:t xml:space="preserve">And if the whole assembly of Israel unintentionally fails to notice, and the matter escapes the eyes of the assembly, and they do one of all the commands of the Lord that must not be done, and become guilty,</w:t>
      </w:r>
      <w:r>
        <w:rPr>
          <w:rStyle w:val="FootnoteReference"/>
        </w:rPr>
        <w:footnoteReference w:id="2070"/>
      </w:r>
    </w:p>
    <w:p>
      <w:r>
        <w:rPr>
          <w:b/>
        </w:rPr>
        <w:t xml:space="preserve">14 </w:t>
      </w:r>
      <w:r>
        <w:t xml:space="preserve">and the sin that they sinned in it becomes known to them, then the assembly shall bring a calf from the cattle, without blemish, for sin, and they shall bring it to the doors of the tent of testimony.</w:t>
      </w:r>
    </w:p>
    <w:p>
      <w:r>
        <w:rPr>
          <w:b/>
        </w:rPr>
        <w:t xml:space="preserve">15 </w:t>
      </w:r>
      <w:r>
        <w:t xml:space="preserve">And the elders</w:t>
      </w:r>
      <w:r>
        <w:rPr>
          <w:rStyle w:val="FootnoteReference"/>
        </w:rPr>
        <w:footnoteReference w:id="2071"/>
      </w:r>
      <w:r>
        <w:t xml:space="preserve"> of the assembly shall lay their hands on the head of the calf before the Lord, and they shall slaughter the calf before the Lord.</w:t>
      </w:r>
    </w:p>
    <w:p>
      <w:r>
        <w:rPr>
          <w:b/>
        </w:rPr>
        <w:t xml:space="preserve">16 </w:t>
      </w:r>
      <w:r>
        <w:t xml:space="preserve">And the anointed priest shall bring some of the blood of the calf into the tent of testimony.</w:t>
      </w:r>
    </w:p>
    <w:p>
      <w:r>
        <w:rPr>
          <w:b/>
        </w:rPr>
        <w:t xml:space="preserve">17 </w:t>
      </w:r>
      <w:r>
        <w:t xml:space="preserve">And the priest shall dip his finger in some of the blood of the calf and sprinkle it seven times before the Lord, in front of the holy curtain.</w:t>
      </w:r>
    </w:p>
    <w:p>
      <w:r>
        <w:rPr>
          <w:b/>
        </w:rPr>
        <w:t xml:space="preserve">18 </w:t>
      </w:r>
      <w:r>
        <w:t xml:space="preserve">And the priest shall place some of the blood on the horns of the altar of the blended incense</w:t>
      </w:r>
      <w:r>
        <w:rPr>
          <w:rStyle w:val="FootnoteReference"/>
        </w:rPr>
        <w:footnoteReference w:id="2072"/>
      </w:r>
      <w:r>
        <w:t xml:space="preserve">, which is before the Lord, which is in the tent of testimony, and he shall pour out all the blood at the base of the altar of offerings, the one by the door of the tent of testimony.</w:t>
      </w:r>
    </w:p>
    <w:p>
      <w:r>
        <w:rPr>
          <w:b/>
        </w:rPr>
        <w:t xml:space="preserve">19 </w:t>
      </w:r>
      <w:r>
        <w:t xml:space="preserve">And he shall remove all the fat from it and offer it on the altar.</w:t>
      </w:r>
    </w:p>
    <w:p>
      <w:r>
        <w:rPr>
          <w:b/>
        </w:rPr>
        <w:t xml:space="preserve">20 </w:t>
      </w:r>
      <w:r>
        <w:t xml:space="preserve">And he shall do to the calf just as he did to the calf for sin; so shall it be done. And the priest shall make atonement for them, and it shall be forgiven them.</w:t>
      </w:r>
    </w:p>
    <w:p>
      <w:r>
        <w:rPr>
          <w:b/>
        </w:rPr>
        <w:t xml:space="preserve">21 </w:t>
      </w:r>
      <w:r>
        <w:t xml:space="preserve">And they shall carry out the whole calf outside the camp and burn the calf as they burned the earlier calf. It is the sin-offering of the assembly.</w:t>
      </w:r>
    </w:p>
    <w:p>
      <w:r>
        <w:rPr>
          <w:b/>
        </w:rPr>
        <w:t xml:space="preserve">22 </w:t>
      </w:r>
      <w:r>
        <w:t xml:space="preserve">And if a ruler sins and does one of all the commands of the Lord their God that must not be done, unintentionally, and sins and becomes guilty,</w:t>
      </w:r>
    </w:p>
    <w:p>
      <w:r>
        <w:rPr>
          <w:b/>
        </w:rPr>
        <w:t xml:space="preserve">23 </w:t>
      </w:r>
      <w:r>
        <w:t xml:space="preserve">and the sin that he sinned becomes known to him, then he shall bring his gift, a he-goat from the goats, a male without blemish.</w:t>
      </w:r>
    </w:p>
    <w:p>
      <w:r>
        <w:rPr>
          <w:b/>
        </w:rPr>
        <w:t xml:space="preserve">24 </w:t>
      </w:r>
      <w:r>
        <w:t xml:space="preserve">And he shall lay his hand on the head of the he-goat, and they shall slaughter it in the place</w:t>
      </w:r>
      <w:r>
        <w:rPr>
          <w:rStyle w:val="FootnoteReference"/>
        </w:rPr>
        <w:footnoteReference w:id="2073"/>
      </w:r>
      <w:r>
        <w:t xml:space="preserve"> where they slaughter the whole burnt offerings before the Lord. It is a sin-offering.</w:t>
      </w:r>
    </w:p>
    <w:p>
      <w:r>
        <w:rPr>
          <w:b/>
        </w:rPr>
        <w:t xml:space="preserve">25 </w:t>
      </w:r>
      <w:r>
        <w:t xml:space="preserve">And the priest shall place some of the blood of the sin-offering with his finger on the horns of the altar of whole burnt offerings</w:t>
      </w:r>
      <w:r>
        <w:rPr>
          <w:rStyle w:val="FootnoteReference"/>
        </w:rPr>
        <w:footnoteReference w:id="2074"/>
      </w:r>
      <w:r>
        <w:t xml:space="preserve">, and he shall pour out all its blood at the base of the altar of whole burnt offerings.</w:t>
      </w:r>
    </w:p>
    <w:p>
      <w:r>
        <w:rPr>
          <w:b/>
        </w:rPr>
        <w:t xml:space="preserve">26 </w:t>
      </w:r>
      <w:r>
        <w:t xml:space="preserve">And he shall offer all its fat on the altar, just like the fat</w:t>
      </w:r>
      <w:r>
        <w:rPr>
          <w:rStyle w:val="FootnoteReference"/>
        </w:rPr>
        <w:footnoteReference w:id="2075"/>
      </w:r>
      <w:r>
        <w:t xml:space="preserve"> of the sacrifice of salvation. And the priest shall make atonement for him for his sin, and it shall be forgiven him.</w:t>
      </w:r>
    </w:p>
    <w:p>
      <w:r>
        <w:rPr>
          <w:b/>
        </w:rPr>
        <w:t xml:space="preserve">27 </w:t>
      </w:r>
      <w:r>
        <w:t xml:space="preserve">And if one person from the people of the land sins unintentionally by doing one of all the commands of the Lord that must not be done, and becomes guilty,</w:t>
      </w:r>
    </w:p>
    <w:p>
      <w:r>
        <w:rPr>
          <w:b/>
        </w:rPr>
        <w:t xml:space="preserve">28 </w:t>
      </w:r>
      <w:r>
        <w:t xml:space="preserve">and the sin that he sinned becomes known to him, then he shall bring a female</w:t>
      </w:r>
      <w:r>
        <w:rPr>
          <w:rStyle w:val="FootnoteReference"/>
        </w:rPr>
        <w:footnoteReference w:id="2076"/>
      </w:r>
      <w:r>
        <w:t xml:space="preserve"> goat from the goats, without blemish, for the sin that he sinned.</w:t>
      </w:r>
    </w:p>
    <w:p>
      <w:r>
        <w:rPr>
          <w:b/>
        </w:rPr>
        <w:t xml:space="preserve">29 </w:t>
      </w:r>
      <w:r>
        <w:t xml:space="preserve">And he shall lay his hand on the head of his sin-offering, and they shall slaughter the female goat of the sin-offering in the place where they slaughter the whole burnt offerings.</w:t>
      </w:r>
    </w:p>
    <w:p>
      <w:r>
        <w:rPr>
          <w:b/>
        </w:rPr>
        <w:t xml:space="preserve">30 </w:t>
      </w:r>
      <w:r>
        <w:t xml:space="preserve">And the priest shall take some of its blood with his finger and place it on the horns of the altar of whole burnt offerings, and he shall pour out all its blood at the base of the altar.</w:t>
      </w:r>
    </w:p>
    <w:p>
      <w:r>
        <w:rPr>
          <w:b/>
        </w:rPr>
        <w:t xml:space="preserve">31 </w:t>
      </w:r>
      <w:r>
        <w:t xml:space="preserve">And he shall remove all the fat</w:t>
      </w:r>
      <w:r>
        <w:rPr>
          <w:rStyle w:val="FootnoteReference"/>
        </w:rPr>
        <w:footnoteReference w:id="2077"/>
      </w:r>
      <w:r>
        <w:t xml:space="preserve">, just as the fat is removed from the sacrifice of salvation</w:t>
      </w:r>
      <w:r>
        <w:rPr>
          <w:rStyle w:val="FootnoteReference"/>
        </w:rPr>
        <w:footnoteReference w:id="2078"/>
      </w:r>
      <w:r>
        <w:t xml:space="preserve">, and the priest shall offer it on the altar as an aroma of sweet fragrance to the Lord. And the priest shall make atonement for him, and it shall be forgiven him.</w:t>
      </w:r>
      <w:r>
        <w:rPr>
          <w:rStyle w:val="FootnoteReference"/>
        </w:rPr>
        <w:footnoteReference w:id="2079"/>
      </w:r>
    </w:p>
    <w:p>
      <w:r>
        <w:rPr>
          <w:b/>
        </w:rPr>
        <w:t xml:space="preserve">32 </w:t>
      </w:r>
      <w:r>
        <w:t xml:space="preserve">And if he brings a sheep as his gift for sin, he shall bring a female without blemish</w:t>
      </w:r>
      <w:r>
        <w:rPr>
          <w:rStyle w:val="FootnoteReference"/>
        </w:rPr>
        <w:footnoteReference w:id="2080"/>
      </w:r>
      <w:r>
        <w:t xml:space="preserve">.</w:t>
      </w:r>
      <w:r>
        <w:rPr>
          <w:rStyle w:val="FootnoteReference"/>
        </w:rPr>
        <w:footnoteReference w:id="2081"/>
      </w:r>
    </w:p>
    <w:p>
      <w:r>
        <w:rPr>
          <w:b/>
        </w:rPr>
        <w:t xml:space="preserve">33 </w:t>
      </w:r>
      <w:r>
        <w:t xml:space="preserve">And he shall lay his hand on the head of the sin-offering, and they shall slaughter it in the place where they slaughter the whole burnt offerings.</w:t>
      </w:r>
    </w:p>
    <w:p>
      <w:r>
        <w:rPr>
          <w:b/>
        </w:rPr>
        <w:t xml:space="preserve">34 </w:t>
      </w:r>
      <w:r>
        <w:t xml:space="preserve">And the priest shall take some of the blood of the sin-offering with his finger and place it on the horns of the altar</w:t>
      </w:r>
      <w:r>
        <w:rPr>
          <w:rStyle w:val="FootnoteReference"/>
        </w:rPr>
        <w:footnoteReference w:id="2082"/>
      </w:r>
      <w:r>
        <w:t xml:space="preserve"> of whole burnt offering, and he shall pour out all its blood at the base of the altar of whole burnt offering</w:t>
      </w:r>
      <w:r>
        <w:rPr>
          <w:rStyle w:val="FootnoteReference"/>
        </w:rPr>
        <w:footnoteReference w:id="2083"/>
      </w:r>
      <w:r>
        <w:t xml:space="preserve">.</w:t>
      </w:r>
    </w:p>
    <w:p>
      <w:r>
        <w:rPr>
          <w:b/>
        </w:rPr>
        <w:t xml:space="preserve">35 </w:t>
      </w:r>
      <w:r>
        <w:t xml:space="preserve">And he shall remove all its fat, just as the fat of a sheep is removed from the sacrifice of salvation, and the priest shall place it on the altar, on the Lord's whole burnt offering. And the priest shall make</w:t>
      </w:r>
      <w:r>
        <w:rPr>
          <w:rStyle w:val="FootnoteReference"/>
        </w:rPr>
        <w:footnoteReference w:id="2084"/>
      </w:r>
      <w:r>
        <w:t xml:space="preserve"> atonement for him for the sin that he sinned, and it shall be forgiven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if a person sins and hears a sworn charge, and he is a witness or has seen or knows, if he does not report it, he shall bear</w:t>
      </w:r>
      <w:r>
        <w:rPr>
          <w:rStyle w:val="FootnoteReference"/>
        </w:rPr>
        <w:footnoteReference w:id="2085"/>
      </w:r>
      <w:r>
        <w:t xml:space="preserve"> the sin.</w:t>
      </w:r>
    </w:p>
    <w:p>
      <w:r>
        <w:rPr>
          <w:b/>
        </w:rPr>
        <w:t xml:space="preserve">2 </w:t>
      </w:r>
      <w:r>
        <w:t xml:space="preserve">Or if a person touches any unclean thing, whether the carcass of an unclean wild beast</w:t>
      </w:r>
      <w:r>
        <w:rPr>
          <w:rStyle w:val="FootnoteReference"/>
        </w:rPr>
        <w:footnoteReference w:id="2086"/>
      </w:r>
      <w:r>
        <w:t xml:space="preserve">, or carcasses of unclean abominations, or carcasses of unclean cattle,</w:t>
      </w:r>
    </w:p>
    <w:p>
      <w:r>
        <w:rPr>
          <w:b/>
        </w:rPr>
        <w:t xml:space="preserve">3 </w:t>
      </w:r>
      <w:r>
        <w:t xml:space="preserve">or touches human uncleanness, any uncleanness by which, when touching it, he would be defiled, and it escapes him, but afterward he knows and becomes guilty,</w:t>
      </w:r>
    </w:p>
    <w:p>
      <w:r>
        <w:rPr>
          <w:b/>
        </w:rPr>
        <w:t xml:space="preserve">4 </w:t>
      </w:r>
      <w:r>
        <w:t xml:space="preserve">or if a person swears, rashly speaking with the lips</w:t>
      </w:r>
      <w:r>
        <w:rPr>
          <w:rStyle w:val="FootnoteReference"/>
        </w:rPr>
        <w:footnoteReference w:id="2087"/>
      </w:r>
      <w:r>
        <w:t xml:space="preserve">, to do evil</w:t>
      </w:r>
      <w:r>
        <w:rPr>
          <w:rStyle w:val="FootnoteReference"/>
        </w:rPr>
        <w:footnoteReference w:id="2088"/>
      </w:r>
      <w:r>
        <w:t xml:space="preserve"> or to do good, according to whatever a man may utter with an oath, and it escapes him before his eyes, and later he knows and sins in one of these things,</w:t>
      </w:r>
    </w:p>
    <w:p>
      <w:r>
        <w:rPr>
          <w:b/>
        </w:rPr>
        <w:t xml:space="preserve">5 </w:t>
      </w:r>
      <w:r>
        <w:t xml:space="preserve">then he shall confess</w:t>
      </w:r>
      <w:r>
        <w:rPr>
          <w:rStyle w:val="FootnoteReference"/>
        </w:rPr>
        <w:footnoteReference w:id="2089"/>
      </w:r>
      <w:r>
        <w:t xml:space="preserve"> the sin in which he has sinned.</w:t>
      </w:r>
    </w:p>
    <w:p>
      <w:r>
        <w:rPr>
          <w:b/>
        </w:rPr>
        <w:t xml:space="preserve">6 </w:t>
      </w:r>
      <w:r>
        <w:t xml:space="preserve">And he shall bring to the Lord for what he became guilty in</w:t>
      </w:r>
      <w:r>
        <w:rPr>
          <w:rStyle w:val="FootnoteReference"/>
        </w:rPr>
        <w:footnoteReference w:id="2090"/>
      </w:r>
      <w:r>
        <w:t xml:space="preserve">, for the sin that he sinned, a female</w:t>
      </w:r>
      <w:r>
        <w:rPr>
          <w:rStyle w:val="FootnoteReference"/>
        </w:rPr>
        <w:footnoteReference w:id="2091"/>
      </w:r>
      <w:r>
        <w:t xml:space="preserve"> from the sheep, a ewe lamb or a female goat, for sin, and the priest shall make atonement for him for his sin, and it shall be forgiven him.</w:t>
      </w:r>
    </w:p>
    <w:p>
      <w:r>
        <w:rPr>
          <w:b/>
        </w:rPr>
        <w:t xml:space="preserve">7 </w:t>
      </w:r>
      <w:r>
        <w:t xml:space="preserve">And if his hand is not strong enough</w:t>
      </w:r>
      <w:r>
        <w:rPr>
          <w:rStyle w:val="FootnoteReference"/>
        </w:rPr>
        <w:footnoteReference w:id="2092"/>
      </w:r>
      <w:r>
        <w:t xml:space="preserve"> for a sheep, he shall bring for his sin that he sinned two turtledoves</w:t>
      </w:r>
      <w:r>
        <w:rPr>
          <w:rStyle w:val="FootnoteReference"/>
        </w:rPr>
        <w:footnoteReference w:id="2093"/>
      </w:r>
      <w:r>
        <w:t xml:space="preserve"> or two young pigeons to the Lord, one for sin and one for a whole burnt offering.</w:t>
      </w:r>
    </w:p>
    <w:p>
      <w:r>
        <w:rPr>
          <w:b/>
        </w:rPr>
        <w:t xml:space="preserve">8 </w:t>
      </w:r>
      <w:r>
        <w:t xml:space="preserve">And he shall bring them to the priest, and the priest shall bring the one for sin first, and the priest shall pinch off its head from the neck, but shall not divide it.</w:t>
      </w:r>
    </w:p>
    <w:p>
      <w:r>
        <w:rPr>
          <w:b/>
        </w:rPr>
        <w:t xml:space="preserve">9 </w:t>
      </w:r>
      <w:r>
        <w:t xml:space="preserve">And he shall sprinkle</w:t>
      </w:r>
      <w:r>
        <w:rPr>
          <w:rStyle w:val="FootnoteReference"/>
        </w:rPr>
        <w:footnoteReference w:id="2094"/>
      </w:r>
      <w:r>
        <w:t xml:space="preserve"> some of the blood of the one for sin on the wall of the altar, and the rest of the blood he shall drain out at the base of the altar, for it is a sin-offering.</w:t>
      </w:r>
    </w:p>
    <w:p>
      <w:r>
        <w:rPr>
          <w:b/>
        </w:rPr>
        <w:t xml:space="preserve">10 </w:t>
      </w:r>
      <w:r>
        <w:t xml:space="preserve">And he shall make</w:t>
      </w:r>
      <w:r>
        <w:rPr>
          <w:rStyle w:val="FootnoteReference"/>
        </w:rPr>
        <w:footnoteReference w:id="2095"/>
      </w:r>
      <w:r>
        <w:t xml:space="preserve"> the second one a whole burnt offering, as is proper</w:t>
      </w:r>
      <w:r>
        <w:rPr>
          <w:rStyle w:val="FootnoteReference"/>
        </w:rPr>
        <w:footnoteReference w:id="2096"/>
      </w:r>
      <w:r>
        <w:t xml:space="preserve">, and the priest shall make atonement for him for his sin that he sinned, and it shall be forgiven him.</w:t>
      </w:r>
    </w:p>
    <w:p>
      <w:r>
        <w:rPr>
          <w:b/>
        </w:rPr>
        <w:t xml:space="preserve">11 </w:t>
      </w:r>
      <w:r>
        <w:t xml:space="preserve">And if his hand cannot find a pair of turtledoves or two young pigeons, then he shall bring as his gift for the sin that he sinned</w:t>
      </w:r>
      <w:r>
        <w:rPr>
          <w:rStyle w:val="FootnoteReference"/>
        </w:rPr>
        <w:footnoteReference w:id="2097"/>
      </w:r>
      <w:r>
        <w:t xml:space="preserve"> a tenth of an ephah of fine flour</w:t>
      </w:r>
      <w:r>
        <w:rPr>
          <w:rStyle w:val="FootnoteReference"/>
        </w:rPr>
        <w:footnoteReference w:id="2098"/>
      </w:r>
      <w:r>
        <w:t xml:space="preserve"> for sin. He shall not pour oil on it, nor place frankincense on it, because it is a sin-offering.</w:t>
      </w:r>
    </w:p>
    <w:p>
      <w:r>
        <w:rPr>
          <w:b/>
        </w:rPr>
        <w:t xml:space="preserve">12 </w:t>
      </w:r>
      <w:r>
        <w:t xml:space="preserve">And he shall bring it to the priest, and the priest, taking from it a full handful</w:t>
      </w:r>
      <w:r>
        <w:rPr>
          <w:rStyle w:val="FootnoteReference"/>
        </w:rPr>
        <w:footnoteReference w:id="2099"/>
      </w:r>
      <w:r>
        <w:t xml:space="preserve">, its memorial portion, shall place it on the altar of whole burnt offerings to the Lord. It is a sin-offering.</w:t>
      </w:r>
    </w:p>
    <w:p>
      <w:r>
        <w:rPr>
          <w:b/>
        </w:rPr>
        <w:t xml:space="preserve">13 </w:t>
      </w:r>
      <w:r>
        <w:t xml:space="preserve">And the priest</w:t>
      </w:r>
      <w:r>
        <w:rPr>
          <w:rStyle w:val="FootnoteReference"/>
        </w:rPr>
        <w:footnoteReference w:id="2100"/>
      </w:r>
      <w:r>
        <w:t xml:space="preserve"> shall make atonement for him for the sin that he sinned in one of these things, and it shall be forgiven him. And what remains shall belong to the priest, like the sacrifice of fine flour.</w:t>
      </w:r>
    </w:p>
    <w:p>
      <w:r>
        <w:rPr>
          <w:b/>
        </w:rPr>
        <w:t xml:space="preserve">14 </w:t>
      </w:r>
      <w:r>
        <w:t xml:space="preserve">And the Lord spoke to Moses, saying,</w:t>
      </w:r>
    </w:p>
    <w:p>
      <w:r>
        <w:rPr>
          <w:b/>
        </w:rPr>
        <w:t xml:space="preserve">15 </w:t>
      </w:r>
      <w:r>
        <w:t xml:space="preserve">If a person</w:t>
      </w:r>
      <w:r>
        <w:rPr>
          <w:rStyle w:val="FootnoteReference"/>
        </w:rPr>
        <w:footnoteReference w:id="2101"/>
      </w:r>
      <w:r>
        <w:t xml:space="preserve"> is overtaken by forgetfulness</w:t>
      </w:r>
      <w:r>
        <w:rPr>
          <w:rStyle w:val="FootnoteReference"/>
        </w:rPr>
        <w:footnoteReference w:id="2102"/>
      </w:r>
      <w:r>
        <w:t xml:space="preserve"> and sins unintentionally in the holy things of the Lord, then he shall bring for his trespass to the Lord a ram without blemish from the sheep, valued in silver shekels by the sanctuary shekel, for the thing in which he trespassed.</w:t>
      </w:r>
    </w:p>
    <w:p>
      <w:r>
        <w:rPr>
          <w:b/>
        </w:rPr>
        <w:t xml:space="preserve">16 </w:t>
      </w:r>
      <w:r>
        <w:t xml:space="preserve">And what he sinned from the holy things he shall repay</w:t>
      </w:r>
      <w:r>
        <w:rPr>
          <w:rStyle w:val="FootnoteReference"/>
        </w:rPr>
        <w:footnoteReference w:id="2103"/>
      </w:r>
      <w:r>
        <w:t xml:space="preserve">, and he shall add a fifth to it and give it to the priest. And the priest shall make</w:t>
      </w:r>
      <w:r>
        <w:rPr>
          <w:rStyle w:val="FootnoteReference"/>
        </w:rPr>
        <w:footnoteReference w:id="2104"/>
      </w:r>
      <w:r>
        <w:t xml:space="preserve"> atonement for him with the ram of trespass, and it shall be forgiven him.</w:t>
      </w:r>
    </w:p>
    <w:p>
      <w:r>
        <w:rPr>
          <w:b/>
        </w:rPr>
        <w:t xml:space="preserve">17 </w:t>
      </w:r>
      <w:r>
        <w:t xml:space="preserve">And if a person sins and does one of all the commands of the Lord that must not be done, and he does not know it, yet becomes guilty and bears the sin,</w:t>
      </w:r>
    </w:p>
    <w:p>
      <w:r>
        <w:rPr>
          <w:b/>
        </w:rPr>
        <w:t xml:space="preserve">18 </w:t>
      </w:r>
      <w:r>
        <w:t xml:space="preserve">then he shall bring a ram without blemish from the sheep, valued in silver, for trespass to the priest. And the priest</w:t>
      </w:r>
      <w:r>
        <w:rPr>
          <w:rStyle w:val="FootnoteReference"/>
        </w:rPr>
        <w:footnoteReference w:id="2105"/>
      </w:r>
      <w:r>
        <w:t xml:space="preserve"> shall make atonement for him for his ignorance that he committed in ignorance</w:t>
      </w:r>
      <w:r>
        <w:rPr>
          <w:rStyle w:val="FootnoteReference"/>
        </w:rPr>
        <w:footnoteReference w:id="2106"/>
      </w:r>
      <w:r>
        <w:t xml:space="preserve">, and he did not know it, and it shall be forgiven him.</w:t>
      </w:r>
    </w:p>
    <w:p>
      <w:r>
        <w:rPr>
          <w:b/>
        </w:rPr>
        <w:t xml:space="preserve">19 </w:t>
      </w:r>
      <w:r>
        <w:t xml:space="preserve">For by guilt he has been guilty before the Lord.</w:t>
      </w:r>
    </w:p>
    <w:p>
      <w:r>
        <w:rPr>
          <w:b/>
        </w:rPr>
        <w:t xml:space="preserve">20 </w:t>
      </w:r>
      <w:r>
        <w:t xml:space="preserve">And the Lord spoke to Moses, saying,</w:t>
      </w:r>
    </w:p>
    <w:p>
      <w:r>
        <w:rPr>
          <w:b/>
        </w:rPr>
        <w:t xml:space="preserve">21 </w:t>
      </w:r>
      <w:r>
        <w:t xml:space="preserve">If a person sins and deliberately overlooks the commands of the Lord and lies about matters concerning his neighbor, in a deposit or in a partnership or in a robbery, or has wronged his neighbor in something,</w:t>
      </w:r>
    </w:p>
    <w:p>
      <w:r>
        <w:rPr>
          <w:b/>
        </w:rPr>
        <w:t xml:space="preserve">22 </w:t>
      </w:r>
      <w:r>
        <w:t xml:space="preserve">or has found something lost and lies about it and swears unjustly concerning any one of all the things that a person may do so as to sin in them,</w:t>
      </w:r>
    </w:p>
    <w:p>
      <w:r>
        <w:rPr>
          <w:b/>
        </w:rPr>
        <w:t xml:space="preserve">23 </w:t>
      </w:r>
      <w:r>
        <w:t xml:space="preserve">then it shall be, whenever he sins and becomes guilty, that he shall restore the plunder that he seized, or the wrong that he committed, or the deposit entrusted to him, or the lost thing that he found,</w:t>
      </w:r>
    </w:p>
    <w:p>
      <w:r>
        <w:rPr>
          <w:b/>
        </w:rPr>
        <w:t xml:space="preserve">24 </w:t>
      </w:r>
      <w:r>
        <w:t xml:space="preserve">from any matter about which he swore unjustly, he shall repay its principal and add a fifth to it. He shall give it to the one to whom it belongs on the day he is convicted.</w:t>
      </w:r>
    </w:p>
    <w:p>
      <w:r>
        <w:rPr>
          <w:b/>
        </w:rPr>
        <w:t xml:space="preserve">25 </w:t>
      </w:r>
      <w:r>
        <w:t xml:space="preserve">And for his trespass he shall bring to the Lord a ram from the sheep, without blemish, valued for the matter in which he trespassed.</w:t>
      </w:r>
    </w:p>
    <w:p>
      <w:r>
        <w:rPr>
          <w:b/>
        </w:rPr>
        <w:t xml:space="preserve">26 </w:t>
      </w:r>
      <w:r>
        <w:t xml:space="preserve">And the priest shall make atonement for him before the Lord, and it shall be forgiven him for any one of all the things that he did and trespassed 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the Lord spoke to Moses, saying,</w:t>
      </w:r>
    </w:p>
    <w:p>
      <w:r>
        <w:rPr>
          <w:b/>
        </w:rPr>
        <w:t xml:space="preserve">2 </w:t>
      </w:r>
      <w:r>
        <w:t xml:space="preserve">Charge Aaron and his sons, saying, This is the law of the whole burnt offering</w:t>
      </w:r>
      <w:r>
        <w:rPr>
          <w:rStyle w:val="FootnoteReference"/>
        </w:rPr>
        <w:footnoteReference w:id="2107"/>
      </w:r>
      <w:r>
        <w:t xml:space="preserve">: this is the whole burnt offering on its burning upon the altar all night until morning, and the fire of the altar shall burn on it; it shall not be extinguished.</w:t>
      </w:r>
    </w:p>
    <w:p>
      <w:r>
        <w:rPr>
          <w:b/>
        </w:rPr>
        <w:t xml:space="preserve">3 </w:t>
      </w:r>
      <w:r>
        <w:t xml:space="preserve">And the priest shall put on a linen tunic, and he shall put linen undergarments around his body, and he shall remove the ashes that the fire consumed from the whole burnt offering on the altar, and he shall place them beside the altar.</w:t>
      </w:r>
      <w:r>
        <w:rPr>
          <w:rStyle w:val="FootnoteReference"/>
        </w:rPr>
        <w:footnoteReference w:id="2108"/>
      </w:r>
    </w:p>
    <w:p>
      <w:r>
        <w:rPr>
          <w:b/>
        </w:rPr>
        <w:t xml:space="preserve">4 </w:t>
      </w:r>
      <w:r>
        <w:t xml:space="preserve">And he shall take off his garment and put on another garment, and he shall carry the ashes outside the camp</w:t>
      </w:r>
      <w:r>
        <w:rPr>
          <w:rStyle w:val="FootnoteReference"/>
        </w:rPr>
        <w:footnoteReference w:id="2109"/>
      </w:r>
      <w:r>
        <w:t xml:space="preserve"> to a clean place.</w:t>
      </w:r>
    </w:p>
    <w:p>
      <w:r>
        <w:rPr>
          <w:b/>
        </w:rPr>
        <w:t xml:space="preserve">5 </w:t>
      </w:r>
      <w:r>
        <w:t xml:space="preserve">And the fire on the altar</w:t>
      </w:r>
      <w:r>
        <w:rPr>
          <w:rStyle w:val="FootnoteReference"/>
        </w:rPr>
        <w:footnoteReference w:id="2110"/>
      </w:r>
      <w:r>
        <w:t xml:space="preserve"> shall burn upon it and shall not be extinguished, and the priest shall burn wood on it every morning and stack the whole burnt offering upon it, and he shall place on it the fat of the sacrifice of salvation.</w:t>
      </w:r>
    </w:p>
    <w:p>
      <w:r>
        <w:rPr>
          <w:b/>
        </w:rPr>
        <w:t xml:space="preserve">6 </w:t>
      </w:r>
      <w:r>
        <w:t xml:space="preserve">And fire shall burn continually on the altar; it shall not be extinguished.</w:t>
      </w:r>
    </w:p>
    <w:p>
      <w:r>
        <w:rPr>
          <w:b/>
        </w:rPr>
        <w:t xml:space="preserve">7 </w:t>
      </w:r>
      <w:r>
        <w:t xml:space="preserve">This is the law of the sacrifice that the sons of Aaron shall bring before the Lord, before the altar.</w:t>
      </w:r>
    </w:p>
    <w:p>
      <w:r>
        <w:rPr>
          <w:b/>
        </w:rPr>
        <w:t xml:space="preserve">8 </w:t>
      </w:r>
      <w:r>
        <w:t xml:space="preserve">And he shall take from it with his handful from the fine flour of the sacrifice with its oil and all the frankincense that is on the sacrifice, and he shall offer on the altar an offering, an aroma of sweet fragrance, its memorial to the Lord</w:t>
      </w:r>
      <w:r>
        <w:rPr>
          <w:rStyle w:val="FootnoteReference"/>
        </w:rPr>
        <w:footnoteReference w:id="2111"/>
      </w:r>
      <w:r>
        <w:t xml:space="preserve">.</w:t>
      </w:r>
    </w:p>
    <w:p>
      <w:r>
        <w:rPr>
          <w:b/>
        </w:rPr>
        <w:t xml:space="preserve">9 </w:t>
      </w:r>
      <w:r>
        <w:t xml:space="preserve">And Aaron and his sons shall eat what is left of it</w:t>
      </w:r>
      <w:r>
        <w:rPr>
          <w:rStyle w:val="FootnoteReference"/>
        </w:rPr>
        <w:footnoteReference w:id="2112"/>
      </w:r>
      <w:r>
        <w:t xml:space="preserve">. It shall be eaten unleavened in a holy place; they shall eat it in the court of the tent of testimony.</w:t>
      </w:r>
    </w:p>
    <w:p>
      <w:r>
        <w:rPr>
          <w:b/>
        </w:rPr>
        <w:t xml:space="preserve">10 </w:t>
      </w:r>
      <w:r>
        <w:t xml:space="preserve">It shall not be baked leavened</w:t>
      </w:r>
      <w:r>
        <w:rPr>
          <w:rStyle w:val="FootnoteReference"/>
        </w:rPr>
        <w:footnoteReference w:id="2113"/>
      </w:r>
      <w:r>
        <w:t xml:space="preserve">. I have given it to them as a portion from the Lord's offerings. It is holy of holies, like that for sin and like that for trespass.</w:t>
      </w:r>
    </w:p>
    <w:p>
      <w:r>
        <w:rPr>
          <w:b/>
        </w:rPr>
        <w:t xml:space="preserve">11 </w:t>
      </w:r>
      <w:r>
        <w:t xml:space="preserve">Every male among the priests shall eat it. It is an everlasting statute throughout your generations from the Lord's offerings. Everyone who touches them shall be sanctified.</w:t>
      </w:r>
      <w:r>
        <w:rPr>
          <w:rStyle w:val="FootnoteReference"/>
        </w:rPr>
        <w:footnoteReference w:id="2114"/>
      </w:r>
    </w:p>
    <w:p>
      <w:r>
        <w:rPr>
          <w:b/>
        </w:rPr>
        <w:t xml:space="preserve">12 </w:t>
      </w:r>
      <w:r>
        <w:t xml:space="preserve">And the Lord spoke to Moses, saying,</w:t>
      </w:r>
    </w:p>
    <w:p>
      <w:r>
        <w:rPr>
          <w:b/>
        </w:rPr>
        <w:t xml:space="preserve">13 </w:t>
      </w:r>
      <w:r>
        <w:t xml:space="preserve">This is the gift of Aaron and of his sons that they shall bring to the Lord on the day when he anoints him: a tenth of an ephah of fine flour for a continual sacrifice, half of it in the morning and half of it in the evening.</w:t>
      </w:r>
      <w:r>
        <w:rPr>
          <w:rStyle w:val="FootnoteReference"/>
        </w:rPr>
        <w:footnoteReference w:id="2115"/>
      </w:r>
    </w:p>
    <w:p>
      <w:r>
        <w:rPr>
          <w:b/>
        </w:rPr>
        <w:t xml:space="preserve">14 </w:t>
      </w:r>
      <w:r>
        <w:t xml:space="preserve">It shall be made on a griddle with oil. He shall bring it well mixed, a sacrifice rolled out in pieces</w:t>
      </w:r>
      <w:r>
        <w:rPr>
          <w:rStyle w:val="FootnoteReference"/>
        </w:rPr>
        <w:footnoteReference w:id="2116"/>
      </w:r>
      <w:r>
        <w:t xml:space="preserve">, an aroma of sweet fragrance to the Lord.</w:t>
      </w:r>
    </w:p>
    <w:p>
      <w:r>
        <w:rPr>
          <w:b/>
        </w:rPr>
        <w:t xml:space="preserve">15 </w:t>
      </w:r>
      <w:r>
        <w:t xml:space="preserve">The anointed priest in his place from among his sons shall make it. It is an everlasting statute. It shall all be completely offered</w:t>
      </w:r>
      <w:r>
        <w:rPr>
          <w:rStyle w:val="FootnoteReference"/>
        </w:rPr>
        <w:footnoteReference w:id="2117"/>
      </w:r>
      <w:r>
        <w:t xml:space="preserve">.</w:t>
      </w:r>
    </w:p>
    <w:p>
      <w:r>
        <w:rPr>
          <w:b/>
        </w:rPr>
        <w:t xml:space="preserve">16 </w:t>
      </w:r>
      <w:r>
        <w:t xml:space="preserve">And every sacrifice of a priest shall be wholly burned and shall not be eaten.</w:t>
      </w:r>
    </w:p>
    <w:p>
      <w:r>
        <w:rPr>
          <w:b/>
        </w:rPr>
        <w:t xml:space="preserve">17 </w:t>
      </w:r>
      <w:r>
        <w:t xml:space="preserve">And the Lord spoke to Moses, saying,</w:t>
      </w:r>
    </w:p>
    <w:p>
      <w:r>
        <w:rPr>
          <w:b/>
        </w:rPr>
        <w:t xml:space="preserve">18 </w:t>
      </w:r>
      <w:r>
        <w:t xml:space="preserve">Speak to Aaron and to his sons, saying, This is the law of the thing for sin</w:t>
      </w:r>
      <w:r>
        <w:rPr>
          <w:rStyle w:val="FootnoteReference"/>
        </w:rPr>
        <w:footnoteReference w:id="2118"/>
      </w:r>
      <w:r>
        <w:t xml:space="preserve">: in the place where they slaughter the whole burnt offering, they shall slaughter the things for sin before the Lord. It is holy of holies.</w:t>
      </w:r>
    </w:p>
    <w:p>
      <w:r>
        <w:rPr>
          <w:b/>
        </w:rPr>
        <w:t xml:space="preserve">19 </w:t>
      </w:r>
      <w:r>
        <w:t xml:space="preserve">The priest who offers it shall eat it. It shall be eaten in a holy place, in the court of the tent of testimony.</w:t>
      </w:r>
      <w:r>
        <w:rPr>
          <w:rStyle w:val="FootnoteReference"/>
        </w:rPr>
        <w:footnoteReference w:id="2119"/>
      </w:r>
      <w:r>
        <w:t xml:space="preserve"/>
      </w:r>
    </w:p>
    <w:p>
      <w:r>
        <w:rPr>
          <w:b/>
        </w:rPr>
        <w:t xml:space="preserve">20 </w:t>
      </w:r>
      <w:r>
        <w:t xml:space="preserve">Everyone touching its flesh</w:t>
      </w:r>
      <w:r>
        <w:rPr>
          <w:rStyle w:val="FootnoteReference"/>
        </w:rPr>
        <w:footnoteReference w:id="2120"/>
      </w:r>
      <w:r>
        <w:t xml:space="preserve"> shall be sanctified, and whatever garment is sprinkled with some of its blood, you shall wash what was sprinkled on it in a holy place.</w:t>
      </w:r>
    </w:p>
    <w:p>
      <w:r>
        <w:rPr>
          <w:b/>
        </w:rPr>
        <w:t xml:space="preserve">21 </w:t>
      </w:r>
      <w:r>
        <w:t xml:space="preserve">And the earthen vessel in which it was boiled shall be broken. And if it was boiled in a bronze vessel, he shall scour it and rinse it with water.</w:t>
      </w:r>
    </w:p>
    <w:p>
      <w:r>
        <w:rPr>
          <w:b/>
        </w:rPr>
        <w:t xml:space="preserve">22 </w:t>
      </w:r>
      <w:r>
        <w:t xml:space="preserve">Every male among the priests shall eat it. It is holy of holies to the Lord.</w:t>
      </w:r>
    </w:p>
    <w:p>
      <w:r>
        <w:rPr>
          <w:b/>
        </w:rPr>
        <w:t xml:space="preserve">23 </w:t>
      </w:r>
      <w:r>
        <w:t xml:space="preserve">And every thing for sin, from whose blood some is brought into the tent of testimony to make atonement in the holy place, shall not be eaten. It shall be burned with fire.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this is the law</w:t>
      </w:r>
      <w:r>
        <w:rPr>
          <w:rStyle w:val="FootnoteReference"/>
        </w:rPr>
        <w:footnoteReference w:id="2121"/>
      </w:r>
      <w:r>
        <w:t xml:space="preserve"> of the ram for trespass. It is holy of holies.</w:t>
      </w:r>
    </w:p>
    <w:p>
      <w:r>
        <w:rPr>
          <w:b/>
        </w:rPr>
        <w:t xml:space="preserve">2 </w:t>
      </w:r>
      <w:r>
        <w:t xml:space="preserve">In the place</w:t>
      </w:r>
      <w:r>
        <w:rPr>
          <w:rStyle w:val="FootnoteReference"/>
        </w:rPr>
        <w:footnoteReference w:id="2122"/>
      </w:r>
      <w:r>
        <w:t xml:space="preserve"> where they slaughter the whole burnt offering, they shall slaughter the ram of trespass before the Lord, and he shall pour the blood around on the altar.</w:t>
      </w:r>
    </w:p>
    <w:p>
      <w:r>
        <w:rPr>
          <w:b/>
        </w:rPr>
        <w:t xml:space="preserve">3 </w:t>
      </w:r>
      <w:r>
        <w:t xml:space="preserve">And he shall bring from it all its fat, and the loin, and all the fat that covers the inward parts and all the fat that is on the inward parts,</w:t>
      </w:r>
    </w:p>
    <w:p>
      <w:r>
        <w:rPr>
          <w:b/>
        </w:rPr>
        <w:t xml:space="preserve">4 </w:t>
      </w:r>
      <w:r>
        <w:t xml:space="preserve">and the two kidneys and the fat that is on them, that on the thighs, and he shall remove the lobe above the liver with the kidneys.</w:t>
      </w:r>
    </w:p>
    <w:p>
      <w:r>
        <w:rPr>
          <w:b/>
        </w:rPr>
        <w:t xml:space="preserve">5 </w:t>
      </w:r>
      <w:r>
        <w:t xml:space="preserve">And the priest shall offer them on the altar, an offering to the Lord. It is for trespass.</w:t>
      </w:r>
    </w:p>
    <w:p>
      <w:r>
        <w:rPr>
          <w:b/>
        </w:rPr>
        <w:t xml:space="preserve">6 </w:t>
      </w:r>
      <w:r>
        <w:t xml:space="preserve">Every male</w:t>
      </w:r>
      <w:r>
        <w:rPr>
          <w:rStyle w:val="FootnoteReference"/>
        </w:rPr>
        <w:footnoteReference w:id="2123"/>
      </w:r>
      <w:r>
        <w:t xml:space="preserve"> among the priests shall eat them. They shall eat them in a holy place. It is holy of holies</w:t>
      </w:r>
      <w:r>
        <w:rPr>
          <w:rStyle w:val="FootnoteReference"/>
        </w:rPr>
        <w:footnoteReference w:id="2124"/>
      </w:r>
      <w:r>
        <w:t xml:space="preserve">.</w:t>
      </w:r>
    </w:p>
    <w:p>
      <w:r>
        <w:rPr>
          <w:b/>
        </w:rPr>
        <w:t xml:space="preserve">7 </w:t>
      </w:r>
      <w:r>
        <w:t xml:space="preserve">As the thing for sin, so also the thing for trespass. There is one law for them. The priest who makes atonement with it, it shall belong to him.</w:t>
      </w:r>
    </w:p>
    <w:p>
      <w:r>
        <w:rPr>
          <w:b/>
        </w:rPr>
        <w:t xml:space="preserve">8 </w:t>
      </w:r>
      <w:r>
        <w:t xml:space="preserve">And the priest who offers a person's whole burnt offering, the skin</w:t>
      </w:r>
      <w:r>
        <w:rPr>
          <w:rStyle w:val="FootnoteReference"/>
        </w:rPr>
        <w:footnoteReference w:id="2125"/>
      </w:r>
      <w:r>
        <w:t xml:space="preserve"> of the whole burnt offering that he offers shall belong to him.</w:t>
      </w:r>
    </w:p>
    <w:p>
      <w:r>
        <w:rPr>
          <w:b/>
        </w:rPr>
        <w:t xml:space="preserve">9 </w:t>
      </w:r>
      <w:r>
        <w:t xml:space="preserve">And every sacrifice that is prepared in the oven, and everything that is prepared on the hearth-pan or on the griddle, shall belong to the priest who offers it.</w:t>
      </w:r>
    </w:p>
    <w:p>
      <w:r>
        <w:rPr>
          <w:b/>
        </w:rPr>
        <w:t xml:space="preserve">10 </w:t>
      </w:r>
      <w:r>
        <w:t xml:space="preserve">And every sacrifice mixed with oil and not mixed with oil shall belong equally to all the sons of Aaron.</w:t>
      </w:r>
    </w:p>
    <w:p>
      <w:r>
        <w:rPr>
          <w:b/>
        </w:rPr>
        <w:t xml:space="preserve">11 </w:t>
      </w:r>
      <w:r>
        <w:t xml:space="preserve">This is the law of the sacrifice of salvation that they shall bring to the Lord.</w:t>
      </w:r>
    </w:p>
    <w:p>
      <w:r>
        <w:rPr>
          <w:b/>
        </w:rPr>
        <w:t xml:space="preserve">12 </w:t>
      </w:r>
      <w:r>
        <w:t xml:space="preserve">If he brings it for praise, then on the sacrifice of praise</w:t>
      </w:r>
      <w:r>
        <w:rPr>
          <w:rStyle w:val="FootnoteReference"/>
        </w:rPr>
        <w:footnoteReference w:id="2126"/>
      </w:r>
      <w:r>
        <w:t xml:space="preserve"> he shall bring loaves from fine flour mixed with oil, unleavened wafers</w:t>
      </w:r>
      <w:r>
        <w:rPr>
          <w:rStyle w:val="FootnoteReference"/>
        </w:rPr>
        <w:footnoteReference w:id="2127"/>
      </w:r>
      <w:r>
        <w:t xml:space="preserve"> anointed with oil, and fine flour well mixed with oil.</w:t>
      </w:r>
    </w:p>
    <w:p>
      <w:r>
        <w:rPr>
          <w:b/>
        </w:rPr>
        <w:t xml:space="preserve">13 </w:t>
      </w:r>
      <w:r>
        <w:t xml:space="preserve">With leavened</w:t>
      </w:r>
      <w:r>
        <w:rPr>
          <w:rStyle w:val="FootnoteReference"/>
        </w:rPr>
        <w:footnoteReference w:id="2128"/>
      </w:r>
      <w:r>
        <w:t xml:space="preserve"> loaves he shall bring his gifts with the sacrifice of praise of salvation.</w:t>
      </w:r>
    </w:p>
    <w:p>
      <w:r>
        <w:rPr>
          <w:b/>
        </w:rPr>
        <w:t xml:space="preserve">14 </w:t>
      </w:r>
      <w:r>
        <w:t xml:space="preserve">And he shall bring one from all his gifts as a contribution to the Lord. It shall belong to the priest who pours out the blood of the sacrifice of salvation.</w:t>
      </w:r>
    </w:p>
    <w:p>
      <w:r>
        <w:rPr>
          <w:b/>
        </w:rPr>
        <w:t xml:space="preserve">15 </w:t>
      </w:r>
      <w:r>
        <w:t xml:space="preserve">And the flesh of the sacrifice of praise of salvation</w:t>
      </w:r>
      <w:r>
        <w:rPr>
          <w:rStyle w:val="FootnoteReference"/>
        </w:rPr>
        <w:footnoteReference w:id="2129"/>
      </w:r>
      <w:r>
        <w:t xml:space="preserve"> shall belong to him, and it shall be eaten on the day it is offered. They shall not leave any of it until morning.</w:t>
      </w:r>
    </w:p>
    <w:p>
      <w:r>
        <w:rPr>
          <w:b/>
        </w:rPr>
        <w:t xml:space="preserve">16 </w:t>
      </w:r>
      <w:r>
        <w:t xml:space="preserve">And if his gift is a vow or a voluntary</w:t>
      </w:r>
      <w:r>
        <w:rPr>
          <w:rStyle w:val="FootnoteReference"/>
        </w:rPr>
        <w:footnoteReference w:id="2130"/>
      </w:r>
      <w:r>
        <w:t xml:space="preserve"> offering, on the day when he offers his sacrifice it shall be eaten, and on the next day,</w:t>
      </w:r>
    </w:p>
    <w:p>
      <w:r>
        <w:rPr>
          <w:b/>
        </w:rPr>
        <w:t xml:space="preserve">17 </w:t>
      </w:r>
      <w:r>
        <w:t xml:space="preserve">and what remains from the flesh of the sacrifice until the third day shall be burned with fire.</w:t>
      </w:r>
    </w:p>
    <w:p>
      <w:r>
        <w:rPr>
          <w:b/>
        </w:rPr>
        <w:t xml:space="preserve">18 </w:t>
      </w:r>
      <w:r>
        <w:t xml:space="preserve">And if anyone eats from the flesh on the third day, it shall</w:t>
      </w:r>
      <w:r>
        <w:rPr>
          <w:rStyle w:val="FootnoteReference"/>
        </w:rPr>
        <w:footnoteReference w:id="2131"/>
      </w:r>
      <w:r>
        <w:t xml:space="preserve"> not be accepted for the one who offers it. It shall not be reckoned to him. It is pollution</w:t>
      </w:r>
      <w:r>
        <w:rPr>
          <w:rStyle w:val="FootnoteReference"/>
        </w:rPr>
        <w:footnoteReference w:id="2132"/>
      </w:r>
      <w:r>
        <w:t xml:space="preserve">, and the person who eats from it shall bear the sin.</w:t>
      </w:r>
    </w:p>
    <w:p>
      <w:r>
        <w:rPr>
          <w:b/>
        </w:rPr>
        <w:t xml:space="preserve">19 </w:t>
      </w:r>
      <w:r>
        <w:t xml:space="preserve">And flesh that touches any unclean thing shall not be eaten. It shall be burned with fire. Every clean person may eat flesh.</w:t>
      </w:r>
    </w:p>
    <w:p>
      <w:r>
        <w:rPr>
          <w:b/>
        </w:rPr>
        <w:t xml:space="preserve">20 </w:t>
      </w:r>
      <w:r>
        <w:t xml:space="preserve">And the person who eats from the flesh of the sacrifice of salvation, which belongs to the Lord, while his uncleanness is upon him, that person shall perish from his people.</w:t>
      </w:r>
    </w:p>
    <w:p>
      <w:r>
        <w:rPr>
          <w:b/>
        </w:rPr>
        <w:t xml:space="preserve">21 </w:t>
      </w:r>
      <w:r>
        <w:t xml:space="preserve">And if a person touches any unclean</w:t>
      </w:r>
      <w:r>
        <w:rPr>
          <w:rStyle w:val="FootnoteReference"/>
        </w:rPr>
        <w:footnoteReference w:id="2133"/>
      </w:r>
      <w:r>
        <w:t xml:space="preserve"> thing, whether human uncleanness or unclean quadrupeds or any unclean abomination, and eats from the flesh of the sacrifice of salvation, which belongs to the Lord, that person shall perish from his people</w:t>
      </w:r>
      <w:r>
        <w:rPr>
          <w:rStyle w:val="FootnoteReference"/>
        </w:rPr>
        <w:footnoteReference w:id="2134"/>
      </w:r>
      <w:r>
        <w:t xml:space="preserve">.</w:t>
      </w:r>
    </w:p>
    <w:p>
      <w:r>
        <w:rPr>
          <w:b/>
        </w:rPr>
        <w:t xml:space="preserve">22 </w:t>
      </w:r>
      <w:r>
        <w:t xml:space="preserve">And the Lord spoke to Moses, saying,</w:t>
      </w:r>
    </w:p>
    <w:p>
      <w:r>
        <w:rPr>
          <w:b/>
        </w:rPr>
        <w:t xml:space="preserve">23 </w:t>
      </w:r>
      <w:r>
        <w:t xml:space="preserve">Speak to the sons of Israel, saying, You shall eat no fat of cattle or sheep or goats.</w:t>
      </w:r>
    </w:p>
    <w:p>
      <w:r>
        <w:rPr>
          <w:b/>
        </w:rPr>
        <w:t xml:space="preserve">24 </w:t>
      </w:r>
      <w:r>
        <w:t xml:space="preserve">And the fat of animals that died on their own or were torn by beasts may be used for any work, but for eating it shall not be eaten.</w:t>
      </w:r>
    </w:p>
    <w:p>
      <w:r>
        <w:rPr>
          <w:b/>
        </w:rPr>
        <w:t xml:space="preserve">25 </w:t>
      </w:r>
      <w:r>
        <w:t xml:space="preserve">Everyone who eats fat from the animals from which they bring an offering to the Lord, that person shall perish from his people.</w:t>
      </w:r>
    </w:p>
    <w:p>
      <w:r>
        <w:rPr>
          <w:b/>
        </w:rPr>
        <w:t xml:space="preserve">26 </w:t>
      </w:r>
      <w:r>
        <w:t xml:space="preserve">You shall eat no blood in all your dwellings, whether from birds or from cattle.</w:t>
      </w:r>
    </w:p>
    <w:p>
      <w:r>
        <w:rPr>
          <w:b/>
        </w:rPr>
        <w:t xml:space="preserve">27 </w:t>
      </w:r>
      <w:r>
        <w:t xml:space="preserve">Every person who eats blood, that person shall perish from his people.</w:t>
      </w:r>
    </w:p>
    <w:p>
      <w:r>
        <w:rPr>
          <w:b/>
        </w:rPr>
        <w:t xml:space="preserve">28 </w:t>
      </w:r>
      <w:r>
        <w:t xml:space="preserve">And the Lord spoke to Moses, saying,</w:t>
      </w:r>
    </w:p>
    <w:p>
      <w:r>
        <w:rPr>
          <w:b/>
        </w:rPr>
        <w:t xml:space="preserve">29 </w:t>
      </w:r>
      <w:r>
        <w:t xml:space="preserve">And you shall speak to the sons of Israel, saying, The one who brings a sacrifice of salvation to the Lord shall bring his gift to the Lord from the sacrifice of salvation.</w:t>
      </w:r>
    </w:p>
    <w:p>
      <w:r>
        <w:rPr>
          <w:b/>
        </w:rPr>
        <w:t xml:space="preserve">30 </w:t>
      </w:r>
      <w:r>
        <w:t xml:space="preserve">His hands shall bring the Lord's offerings: the fat on the breast and the lobe of the liver he shall bring them to set them as a gift before the Lord.</w:t>
      </w:r>
    </w:p>
    <w:p>
      <w:r>
        <w:rPr>
          <w:b/>
        </w:rPr>
        <w:t xml:space="preserve">31 </w:t>
      </w:r>
      <w:r>
        <w:t xml:space="preserve">And the priest</w:t>
      </w:r>
      <w:r>
        <w:rPr>
          <w:rStyle w:val="FootnoteReference"/>
        </w:rPr>
        <w:footnoteReference w:id="2135"/>
      </w:r>
      <w:r>
        <w:t xml:space="preserve"> shall offer the fat on the altar, and the breast shall belong to Aaron and to his sons.</w:t>
      </w:r>
    </w:p>
    <w:p>
      <w:r>
        <w:rPr>
          <w:b/>
        </w:rPr>
        <w:t xml:space="preserve">32 </w:t>
      </w:r>
      <w:r>
        <w:t xml:space="preserve">And you shall give the right arm</w:t>
      </w:r>
      <w:r>
        <w:rPr>
          <w:rStyle w:val="FootnoteReference"/>
        </w:rPr>
        <w:footnoteReference w:id="2136"/>
      </w:r>
      <w:r>
        <w:t xml:space="preserve"> as a contribution to the priest from your sacrifices of salvation.</w:t>
      </w:r>
    </w:p>
    <w:p>
      <w:r>
        <w:rPr>
          <w:b/>
        </w:rPr>
        <w:t xml:space="preserve">33 </w:t>
      </w:r>
      <w:r>
        <w:t xml:space="preserve">The one from among the sons of Aaron who offers the blood of the sacrifice of salvation and the fat, to him the right arm shall belong as a portion.</w:t>
      </w:r>
    </w:p>
    <w:p>
      <w:r>
        <w:rPr>
          <w:b/>
        </w:rPr>
        <w:t xml:space="preserve">34 </w:t>
      </w:r>
      <w:r>
        <w:t xml:space="preserve">For I have taken the breast of the presentation and the arm of the contribution from the sons of Israel, from your sacrifices of salvation, and I have given them to Aaron the priest and to his sons as an everlasting statute from the sons of Israel.</w:t>
      </w:r>
      <w:r>
        <w:rPr>
          <w:rStyle w:val="FootnoteReference"/>
        </w:rPr>
        <w:footnoteReference w:id="2137"/>
      </w:r>
    </w:p>
    <w:p>
      <w:r>
        <w:rPr>
          <w:b/>
        </w:rPr>
        <w:t xml:space="preserve">35 </w:t>
      </w:r>
      <w:r>
        <w:t xml:space="preserve">This is the anointing of Aaron and the anointing of his sons from the Lord's offerings, on the day when he brought them to serve as priests to the Lord,</w:t>
      </w:r>
    </w:p>
    <w:p>
      <w:r>
        <w:rPr>
          <w:b/>
        </w:rPr>
        <w:t xml:space="preserve">36 </w:t>
      </w:r>
      <w:r>
        <w:t xml:space="preserve">just as the Lord commanded to give to them on the day he anointed them, from the sons of Israel, an everlasting statute throughout their generations.</w:t>
      </w:r>
    </w:p>
    <w:p>
      <w:r>
        <w:rPr>
          <w:b/>
        </w:rPr>
        <w:t xml:space="preserve">37 </w:t>
      </w:r>
      <w:r>
        <w:t xml:space="preserve">This is the law</w:t>
      </w:r>
      <w:r>
        <w:rPr>
          <w:rStyle w:val="FootnoteReference"/>
        </w:rPr>
        <w:footnoteReference w:id="2138"/>
      </w:r>
      <w:r>
        <w:t xml:space="preserve"> of the whole burnt offerings and of sacrifice and of the thing for sin and of trespass and of consecration and of the sacrifice of salvation,</w:t>
      </w:r>
    </w:p>
    <w:p>
      <w:r>
        <w:rPr>
          <w:b/>
        </w:rPr>
        <w:t xml:space="preserve">38 </w:t>
      </w:r>
      <w:r>
        <w:t xml:space="preserve">just as the Lord commanded</w:t>
      </w:r>
      <w:r>
        <w:rPr>
          <w:rStyle w:val="FootnoteReference"/>
        </w:rPr>
        <w:footnoteReference w:id="2139"/>
      </w:r>
      <w:r>
        <w:t xml:space="preserve"> Moses on Mount Sinai, on the day when he commanded the sons of Israel to bring their gifts before the Lord in the wilderness of Sinai.</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the Lord spoke to Moses, saying,</w:t>
      </w:r>
    </w:p>
    <w:p>
      <w:r>
        <w:rPr>
          <w:b/>
        </w:rPr>
        <w:t xml:space="preserve">2 </w:t>
      </w:r>
      <w:r>
        <w:t xml:space="preserve">Take Aaron</w:t>
      </w:r>
      <w:r>
        <w:rPr>
          <w:rStyle w:val="FootnoteReference"/>
        </w:rPr>
        <w:footnoteReference w:id="2140"/>
      </w:r>
      <w:r>
        <w:t xml:space="preserve"> and his sons, and his garments, and the anointing oil, and the calf for sin, and the two rams, and the basket of unleavened bread,</w:t>
      </w:r>
    </w:p>
    <w:p>
      <w:r>
        <w:rPr>
          <w:b/>
        </w:rPr>
        <w:t xml:space="preserve">3 </w:t>
      </w:r>
      <w:r>
        <w:t xml:space="preserve">and assemble all the congregation at the door of the tent of testimony.</w:t>
      </w:r>
    </w:p>
    <w:p>
      <w:r>
        <w:rPr>
          <w:b/>
        </w:rPr>
        <w:t xml:space="preserve">4 </w:t>
      </w:r>
      <w:r>
        <w:t xml:space="preserve">And Moses did just as the Lord commanded him, and he assembled the congregation at the door of the tent of testimony.</w:t>
      </w:r>
    </w:p>
    <w:p>
      <w:r>
        <w:rPr>
          <w:b/>
        </w:rPr>
        <w:t xml:space="preserve">5 </w:t>
      </w:r>
      <w:r>
        <w:t xml:space="preserve">And Moses said to the congregation, This is the word that the Lord commanded to be done</w:t>
      </w:r>
      <w:r>
        <w:rPr>
          <w:rStyle w:val="FootnoteReference"/>
        </w:rPr>
        <w:footnoteReference w:id="2141"/>
      </w:r>
      <w:r>
        <w:t xml:space="preserve">.</w:t>
      </w:r>
    </w:p>
    <w:p>
      <w:r>
        <w:rPr>
          <w:b/>
        </w:rPr>
        <w:t xml:space="preserve">6 </w:t>
      </w:r>
      <w:r>
        <w:t xml:space="preserve">And Moses brought Aaron and his sons near and washed</w:t>
      </w:r>
      <w:r>
        <w:rPr>
          <w:rStyle w:val="FootnoteReference"/>
        </w:rPr>
        <w:footnoteReference w:id="2142"/>
      </w:r>
      <w:r>
        <w:t xml:space="preserve"> them with water.</w:t>
      </w:r>
    </w:p>
    <w:p>
      <w:r>
        <w:rPr>
          <w:b/>
        </w:rPr>
        <w:t xml:space="preserve">7 </w:t>
      </w:r>
      <w:r>
        <w:t xml:space="preserve">And he put</w:t>
      </w:r>
      <w:r>
        <w:rPr>
          <w:rStyle w:val="FootnoteReference"/>
        </w:rPr>
        <w:footnoteReference w:id="2143"/>
      </w:r>
      <w:r>
        <w:t xml:space="preserve"> the tunic on him, and girded him with the sash, and clothed him with the robe, and put the ephod on him, and girded him according to the making of the ephod, and bound him in it.</w:t>
      </w:r>
    </w:p>
    <w:p>
      <w:r>
        <w:rPr>
          <w:b/>
        </w:rPr>
        <w:t xml:space="preserve">8 </w:t>
      </w:r>
      <w:r>
        <w:t xml:space="preserve">And he put the breastpiece on it, and on the breastpiece he put the Disclosure and the Truth</w:t>
      </w:r>
      <w:r>
        <w:rPr>
          <w:rStyle w:val="FootnoteReference"/>
        </w:rPr>
        <w:footnoteReference w:id="2144"/>
      </w:r>
      <w:r>
        <w:t xml:space="preserve">.</w:t>
      </w:r>
    </w:p>
    <w:p>
      <w:r>
        <w:rPr>
          <w:b/>
        </w:rPr>
        <w:t xml:space="preserve">9 </w:t>
      </w:r>
      <w:r>
        <w:t xml:space="preserve">And he put the turban on his head, and on the turban, at the front of it, he put the golden plate, the sanctified holy thing, just as the Lord commanded Moses.</w:t>
      </w:r>
    </w:p>
    <w:p>
      <w:r>
        <w:rPr>
          <w:b/>
        </w:rPr>
        <w:t xml:space="preserve">10 </w:t>
      </w:r>
      <w:r>
        <w:t xml:space="preserve">And Moses took some of the anointing oil.</w:t>
      </w:r>
    </w:p>
    <w:p>
      <w:r>
        <w:rPr>
          <w:b/>
        </w:rPr>
        <w:t xml:space="preserve">11 </w:t>
      </w:r>
      <w:r>
        <w:t xml:space="preserve">And he sprinkled from it on the altar seven times, and anointed the altar and sanctified it, and all its utensils, and the laver and its base, and sanctified them. And he anointed the tent and everything in it, and sanctified it.</w:t>
      </w:r>
    </w:p>
    <w:p>
      <w:r>
        <w:rPr>
          <w:b/>
        </w:rPr>
        <w:t xml:space="preserve">12 </w:t>
      </w:r>
      <w:r>
        <w:t xml:space="preserve">And Moses poured some of the anointing oil on Aaron's head and anointed him and sanctified him.</w:t>
      </w:r>
    </w:p>
    <w:p>
      <w:r>
        <w:rPr>
          <w:b/>
        </w:rPr>
        <w:t xml:space="preserve">13 </w:t>
      </w:r>
      <w:r>
        <w:t xml:space="preserve">And Moses</w:t>
      </w:r>
      <w:r>
        <w:rPr>
          <w:rStyle w:val="FootnoteReference"/>
        </w:rPr>
        <w:footnoteReference w:id="2145"/>
      </w:r>
      <w:r>
        <w:t xml:space="preserve"> brought Aaron's sons near and clothed them with tunics and girded them with sashes and put caps on them, just as the Lord commanded Moses.</w:t>
      </w:r>
    </w:p>
    <w:p>
      <w:r>
        <w:rPr>
          <w:b/>
        </w:rPr>
        <w:t xml:space="preserve">14 </w:t>
      </w:r>
      <w:r>
        <w:t xml:space="preserve">And Moses brought near the calf for sin, and Aaron and his sons laid</w:t>
      </w:r>
      <w:r>
        <w:rPr>
          <w:rStyle w:val="FootnoteReference"/>
        </w:rPr>
        <w:footnoteReference w:id="2146"/>
      </w:r>
      <w:r>
        <w:t xml:space="preserve"> their hands on the head of the calf for sin.</w:t>
      </w:r>
    </w:p>
    <w:p>
      <w:r>
        <w:rPr>
          <w:b/>
        </w:rPr>
        <w:t xml:space="preserve">15 </w:t>
      </w:r>
      <w:r>
        <w:t xml:space="preserve">And he slaughtered it, and Moses</w:t>
      </w:r>
      <w:r>
        <w:rPr>
          <w:rStyle w:val="FootnoteReference"/>
        </w:rPr>
        <w:footnoteReference w:id="2147"/>
      </w:r>
      <w:r>
        <w:t xml:space="preserve"> took some of the blood and put it on the horns of the altar all around with his finger, and purified the altar</w:t>
      </w:r>
      <w:r>
        <w:rPr>
          <w:rStyle w:val="FootnoteReference"/>
        </w:rPr>
        <w:footnoteReference w:id="2148"/>
      </w:r>
      <w:r>
        <w:t xml:space="preserve">, and poured out the blood at the base of the altar, and sanctified it, to make atonement on it.</w:t>
      </w:r>
    </w:p>
    <w:p>
      <w:r>
        <w:rPr>
          <w:b/>
        </w:rPr>
        <w:t xml:space="preserve">16 </w:t>
      </w:r>
      <w:r>
        <w:t xml:space="preserve">And Moses took all the fat on the inward parts, and the lobe above the liver, and both kidneys, and the fat on them, and Moses offered them on the altar.</w:t>
      </w:r>
    </w:p>
    <w:p>
      <w:r>
        <w:rPr>
          <w:b/>
        </w:rPr>
        <w:t xml:space="preserve">17 </w:t>
      </w:r>
      <w:r>
        <w:t xml:space="preserve">And the calf and its hide and its flesh and its dung he burned with fire outside the camp, just as the Lord commanded Moses.</w:t>
      </w:r>
    </w:p>
    <w:p>
      <w:r>
        <w:rPr>
          <w:b/>
        </w:rPr>
        <w:t xml:space="preserve">18 </w:t>
      </w:r>
      <w:r>
        <w:t xml:space="preserve">And Moses brought near the ram for whole burnt offering</w:t>
      </w:r>
      <w:r>
        <w:rPr>
          <w:rStyle w:val="FootnoteReference"/>
        </w:rPr>
        <w:footnoteReference w:id="2149"/>
      </w:r>
      <w:r>
        <w:t xml:space="preserve">, and Aaron and his sons laid their hands on the head of the ram.</w:t>
      </w:r>
    </w:p>
    <w:p>
      <w:r>
        <w:rPr>
          <w:b/>
        </w:rPr>
        <w:t xml:space="preserve">19 </w:t>
      </w:r>
      <w:r>
        <w:t xml:space="preserve">And Moses slaughtered the ram and poured the blood around on the altar.</w:t>
      </w:r>
    </w:p>
    <w:p>
      <w:r>
        <w:rPr>
          <w:b/>
        </w:rPr>
        <w:t xml:space="preserve">20 </w:t>
      </w:r>
      <w:r>
        <w:t xml:space="preserve">And he cut the ram into limbs</w:t>
      </w:r>
      <w:r>
        <w:rPr>
          <w:rStyle w:val="FootnoteReference"/>
        </w:rPr>
        <w:footnoteReference w:id="2150"/>
      </w:r>
      <w:r>
        <w:t xml:space="preserve">, and Moses offered the head and the limbs and the fat.</w:t>
      </w:r>
    </w:p>
    <w:p>
      <w:r>
        <w:rPr>
          <w:b/>
        </w:rPr>
        <w:t xml:space="preserve">21 </w:t>
      </w:r>
      <w:r>
        <w:t xml:space="preserve">And he washed the belly and the feet with water, and Moses offered the whole ram on the altar. It was a whole burnt offering for an aroma of sweet fragrance, an offering to the Lord, just as the Lord commanded Moses.</w:t>
      </w:r>
      <w:r>
        <w:rPr>
          <w:rStyle w:val="FootnoteReference"/>
        </w:rPr>
        <w:footnoteReference w:id="2151"/>
      </w:r>
    </w:p>
    <w:p>
      <w:r>
        <w:rPr>
          <w:b/>
        </w:rPr>
        <w:t xml:space="preserve">22 </w:t>
      </w:r>
      <w:r>
        <w:t xml:space="preserve">And Moses brought near the second ram, the ram of completion</w:t>
      </w:r>
      <w:r>
        <w:rPr>
          <w:rStyle w:val="FootnoteReference"/>
        </w:rPr>
        <w:footnoteReference w:id="2152"/>
      </w:r>
      <w:r>
        <w:t xml:space="preserve">, and Aaron and his sons laid their hands on the head of the ram.</w:t>
      </w:r>
    </w:p>
    <w:p>
      <w:r>
        <w:rPr>
          <w:b/>
        </w:rPr>
        <w:t xml:space="preserve">23 </w:t>
      </w:r>
      <w:r>
        <w:t xml:space="preserve">And he slaughtered it, and Moses took</w:t>
      </w:r>
      <w:r>
        <w:rPr>
          <w:rStyle w:val="FootnoteReference"/>
        </w:rPr>
        <w:footnoteReference w:id="2153"/>
      </w:r>
      <w:r>
        <w:t xml:space="preserve"> some of its blood and put it on the lobe of Aaron's right ear</w:t>
      </w:r>
      <w:r>
        <w:rPr>
          <w:rStyle w:val="FootnoteReference"/>
        </w:rPr>
        <w:footnoteReference w:id="2154"/>
      </w:r>
      <w:r>
        <w:t xml:space="preserve"> and on the tip of his right hand and on the tip of his right foot.</w:t>
      </w:r>
    </w:p>
    <w:p>
      <w:r>
        <w:rPr>
          <w:b/>
        </w:rPr>
        <w:t xml:space="preserve">24 </w:t>
      </w:r>
      <w:r>
        <w:t xml:space="preserve">And Moses brought Aaron's sons near, and Moses put some of the blood on the lobes of their right ears</w:t>
      </w:r>
      <w:r>
        <w:rPr>
          <w:rStyle w:val="FootnoteReference"/>
        </w:rPr>
        <w:footnoteReference w:id="2155"/>
      </w:r>
      <w:r>
        <w:t xml:space="preserve"> and on the tips of their right hands and on the tips of their right feet, and Moses poured the blood around on the altar.</w:t>
      </w:r>
    </w:p>
    <w:p>
      <w:r>
        <w:rPr>
          <w:b/>
        </w:rPr>
        <w:t xml:space="preserve">25 </w:t>
      </w:r>
      <w:r>
        <w:t xml:space="preserve">And he took the fat and the loin</w:t>
      </w:r>
      <w:r>
        <w:rPr>
          <w:rStyle w:val="FootnoteReference"/>
        </w:rPr>
        <w:footnoteReference w:id="2156"/>
      </w:r>
      <w:r>
        <w:t xml:space="preserve"> and the fat on the belly and the lobe of the liver and the two kidneys and the fat on them and the right arm.</w:t>
      </w:r>
    </w:p>
    <w:p>
      <w:r>
        <w:rPr>
          <w:b/>
        </w:rPr>
        <w:t xml:space="preserve">26 </w:t>
      </w:r>
      <w:r>
        <w:t xml:space="preserve">And from the basket of completion that was before the Lord</w:t>
      </w:r>
      <w:r>
        <w:rPr>
          <w:rStyle w:val="FootnoteReference"/>
        </w:rPr>
        <w:footnoteReference w:id="2157"/>
      </w:r>
      <w:r>
        <w:t xml:space="preserve"> he took one unleavened loaf and one loaf of oil and one wafer, and placed them on the fat and the right arm.</w:t>
      </w:r>
    </w:p>
    <w:p>
      <w:r>
        <w:rPr>
          <w:b/>
        </w:rPr>
        <w:t xml:space="preserve">27 </w:t>
      </w:r>
      <w:r>
        <w:t xml:space="preserve">And he placed all of them on Aaron's hands and on the hands of his sons, and offered them as a contribution before the Lord.</w:t>
      </w:r>
    </w:p>
    <w:p>
      <w:r>
        <w:rPr>
          <w:b/>
        </w:rPr>
        <w:t xml:space="preserve">28 </w:t>
      </w:r>
      <w:r>
        <w:t xml:space="preserve">And Moses</w:t>
      </w:r>
      <w:r>
        <w:rPr>
          <w:rStyle w:val="FootnoteReference"/>
        </w:rPr>
        <w:footnoteReference w:id="2158"/>
      </w:r>
      <w:r>
        <w:t xml:space="preserve"> took them from their hands and offered them on the altar, on the whole burnt offering of completion. It is an aroma of sweet fragrance, an offering to the Lord.</w:t>
      </w:r>
    </w:p>
    <w:p>
      <w:r>
        <w:rPr>
          <w:b/>
        </w:rPr>
        <w:t xml:space="preserve">29 </w:t>
      </w:r>
      <w:r>
        <w:t xml:space="preserve">And Moses, taking the breast, presented it before the Lord</w:t>
      </w:r>
      <w:r>
        <w:rPr>
          <w:rStyle w:val="FootnoteReference"/>
        </w:rPr>
        <w:footnoteReference w:id="2159"/>
      </w:r>
      <w:r>
        <w:t xml:space="preserve"> from the ram of completion, and it became Moses' portion, just as the Lord commanded Moses.</w:t>
      </w:r>
    </w:p>
    <w:p>
      <w:r>
        <w:rPr>
          <w:b/>
        </w:rPr>
        <w:t xml:space="preserve">30 </w:t>
      </w:r>
      <w:r>
        <w:t xml:space="preserve">And Moses took some of the anointing</w:t>
      </w:r>
      <w:r>
        <w:rPr>
          <w:rStyle w:val="FootnoteReference"/>
        </w:rPr>
        <w:footnoteReference w:id="2160"/>
      </w:r>
      <w:r>
        <w:t xml:space="preserve"> oil and some of the blood that was on the altar and sprinkled it on Aaron and on his garments and on his sons and on the garments of his sons with him, and he sanctified Aaron and his garments and his sons and the garments of his sons with him</w:t>
      </w:r>
      <w:r>
        <w:rPr>
          <w:rStyle w:val="FootnoteReference"/>
        </w:rPr>
        <w:footnoteReference w:id="2161"/>
      </w:r>
      <w:r>
        <w:t xml:space="preserve">.</w:t>
      </w:r>
    </w:p>
    <w:p>
      <w:r>
        <w:rPr>
          <w:b/>
        </w:rPr>
        <w:t xml:space="preserve">31 </w:t>
      </w:r>
      <w:r>
        <w:t xml:space="preserve">And Moses said to Aaron and to his sons, Boil</w:t>
      </w:r>
      <w:r>
        <w:rPr>
          <w:rStyle w:val="FootnoteReference"/>
        </w:rPr>
        <w:footnoteReference w:id="2162"/>
      </w:r>
      <w:r>
        <w:t xml:space="preserve"> the flesh in the court of the tent of testimony, in a holy place, and there eat it, and the loaves in the basket of completion, just as it has been ordered to me, saying, Aaron and his sons shall eat them.</w:t>
      </w:r>
      <w:r>
        <w:rPr>
          <w:rStyle w:val="FootnoteReference"/>
        </w:rPr>
        <w:footnoteReference w:id="2163"/>
      </w:r>
    </w:p>
    <w:p>
      <w:r>
        <w:rPr>
          <w:b/>
        </w:rPr>
        <w:t xml:space="preserve">32 </w:t>
      </w:r>
      <w:r>
        <w:t xml:space="preserve">And what remains of the flesh and of the loaves shall be burned with fire.</w:t>
      </w:r>
    </w:p>
    <w:p>
      <w:r>
        <w:rPr>
          <w:b/>
        </w:rPr>
        <w:t xml:space="preserve">33 </w:t>
      </w:r>
      <w:r>
        <w:t xml:space="preserve">And you shall not go out from the door of the tent of testimony for seven days</w:t>
      </w:r>
      <w:r>
        <w:rPr>
          <w:rStyle w:val="FootnoteReference"/>
        </w:rPr>
        <w:footnoteReference w:id="2164"/>
      </w:r>
      <w:r>
        <w:t xml:space="preserve">, until the day of your completion is fulfilled, for seven days he will consecrate your hands.</w:t>
      </w:r>
    </w:p>
    <w:p>
      <w:r>
        <w:rPr>
          <w:b/>
        </w:rPr>
        <w:t xml:space="preserve">34 </w:t>
      </w:r>
      <w:r>
        <w:t xml:space="preserve">Just as he did on this day, the Lord commanded to do, so as to make atonement for you.</w:t>
      </w:r>
    </w:p>
    <w:p>
      <w:r>
        <w:rPr>
          <w:b/>
        </w:rPr>
        <w:t xml:space="preserve">35 </w:t>
      </w:r>
      <w:r>
        <w:t xml:space="preserve">And at the door of the tent of testimony you shall sit seven days, day and night, and you shall keep</w:t>
      </w:r>
      <w:r>
        <w:rPr>
          <w:rStyle w:val="FootnoteReference"/>
        </w:rPr>
        <w:footnoteReference w:id="2165"/>
      </w:r>
      <w:r>
        <w:t xml:space="preserve"> the Lord's charges, so that you may not die. For thus the Lord God commanded me.</w:t>
      </w:r>
    </w:p>
    <w:p>
      <w:r>
        <w:rPr>
          <w:b/>
        </w:rPr>
        <w:t xml:space="preserve">36 </w:t>
      </w:r>
      <w:r>
        <w:t xml:space="preserve">And Aaron</w:t>
      </w:r>
      <w:r>
        <w:rPr>
          <w:rStyle w:val="FootnoteReference"/>
        </w:rPr>
        <w:footnoteReference w:id="2166"/>
      </w:r>
      <w:r>
        <w:t xml:space="preserve"> and his sons did all the words that the Lord commanded Moses.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it happened on the eighth day</w:t>
      </w:r>
      <w:r>
        <w:rPr>
          <w:rStyle w:val="FootnoteReference"/>
        </w:rPr>
        <w:footnoteReference w:id="2167"/>
      </w:r>
      <w:r>
        <w:t xml:space="preserve"> that Moses called Aaron and his sons and the elders of Israel.</w:t>
      </w:r>
    </w:p>
    <w:p>
      <w:r>
        <w:rPr>
          <w:b/>
        </w:rPr>
        <w:t xml:space="preserve">2 </w:t>
      </w:r>
      <w:r>
        <w:t xml:space="preserve">And Moses said to Aaron, Take for yourself a calf from the cattle for sin and a ram</w:t>
      </w:r>
      <w:r>
        <w:rPr>
          <w:rStyle w:val="FootnoteReference"/>
        </w:rPr>
        <w:footnoteReference w:id="2168"/>
      </w:r>
      <w:r>
        <w:t xml:space="preserve"> for whole burnt offering, both without blemish, and bring them before the Lord.</w:t>
      </w:r>
    </w:p>
    <w:p>
      <w:r>
        <w:rPr>
          <w:b/>
        </w:rPr>
        <w:t xml:space="preserve">3 </w:t>
      </w:r>
      <w:r>
        <w:t xml:space="preserve">And to the elders of Israel speak, saying, Take one he-goat from the goats for sin, and a calf</w:t>
      </w:r>
      <w:r>
        <w:rPr>
          <w:rStyle w:val="FootnoteReference"/>
        </w:rPr>
        <w:footnoteReference w:id="2169"/>
      </w:r>
      <w:r>
        <w:t xml:space="preserve"> and a year-old lamb, both without blemish, for whole burnt offering,</w:t>
      </w:r>
    </w:p>
    <w:p>
      <w:r>
        <w:rPr>
          <w:b/>
        </w:rPr>
        <w:t xml:space="preserve">4 </w:t>
      </w:r>
      <w:r>
        <w:t xml:space="preserve">and a calf and a ram for a sacrifice of salvation before the Lord, and fine flour mixed with oil, because today the Lord will appear among you.</w:t>
      </w:r>
    </w:p>
    <w:p>
      <w:r>
        <w:rPr>
          <w:b/>
        </w:rPr>
        <w:t xml:space="preserve">5 </w:t>
      </w:r>
      <w:r>
        <w:t xml:space="preserve">And they took what Moses commanded before the tent of testimony, and all the congregation</w:t>
      </w:r>
      <w:r>
        <w:rPr>
          <w:rStyle w:val="FootnoteReference"/>
        </w:rPr>
        <w:footnoteReference w:id="2170"/>
      </w:r>
      <w:r>
        <w:t xml:space="preserve"> came near and stood before the Lord.</w:t>
      </w:r>
    </w:p>
    <w:p>
      <w:r>
        <w:rPr>
          <w:b/>
        </w:rPr>
        <w:t xml:space="preserve">6 </w:t>
      </w:r>
      <w:r>
        <w:t xml:space="preserve">And Moses said, This is the word that the Lord spoke: Do it, and the glory</w:t>
      </w:r>
      <w:r>
        <w:rPr>
          <w:rStyle w:val="FootnoteReference"/>
        </w:rPr>
        <w:footnoteReference w:id="2171"/>
      </w:r>
      <w:r>
        <w:t xml:space="preserve"> of the Lord will appear among you.</w:t>
      </w:r>
    </w:p>
    <w:p>
      <w:r>
        <w:rPr>
          <w:b/>
        </w:rPr>
        <w:t xml:space="preserve">7 </w:t>
      </w:r>
      <w:r>
        <w:t xml:space="preserve">And Moses said to Aaron, Come near to the altar and make your sin-offering and your whole burnt offering and make atonement for yourself and for your house, and make the gifts of the people</w:t>
      </w:r>
      <w:r>
        <w:rPr>
          <w:rStyle w:val="FootnoteReference"/>
        </w:rPr>
        <w:footnoteReference w:id="2172"/>
      </w:r>
      <w:r>
        <w:t xml:space="preserve"> and make atonement for them, just as the Lord commanded Moses.</w:t>
      </w:r>
    </w:p>
    <w:p>
      <w:r>
        <w:rPr>
          <w:b/>
        </w:rPr>
        <w:t xml:space="preserve">8 </w:t>
      </w:r>
      <w:r>
        <w:t xml:space="preserve">And Aaron came near to the altar and slaughtered the calf of the sin-offering.</w:t>
      </w:r>
    </w:p>
    <w:p>
      <w:r>
        <w:rPr>
          <w:b/>
        </w:rPr>
        <w:t xml:space="preserve">9 </w:t>
      </w:r>
      <w:r>
        <w:t xml:space="preserve">And the sons of Aaron brought the blood to him, and he dipped his finger into the blood and put it on the horns of the altar, and he poured the blood out at the base of the altar.</w:t>
      </w:r>
    </w:p>
    <w:p>
      <w:r>
        <w:rPr>
          <w:b/>
        </w:rPr>
        <w:t xml:space="preserve">10 </w:t>
      </w:r>
      <w:r>
        <w:t xml:space="preserve">And the fat</w:t>
      </w:r>
      <w:r>
        <w:rPr>
          <w:rStyle w:val="FootnoteReference"/>
        </w:rPr>
        <w:footnoteReference w:id="2173"/>
      </w:r>
      <w:r>
        <w:t xml:space="preserve"> and the kidneys and the lobe of the liver of the sin-offering he offered on the altar</w:t>
      </w:r>
      <w:r>
        <w:rPr>
          <w:rStyle w:val="FootnoteReference"/>
        </w:rPr>
        <w:footnoteReference w:id="2174"/>
      </w:r>
      <w:r>
        <w:t xml:space="preserve">, just as the Lord commanded Moses.</w:t>
      </w:r>
    </w:p>
    <w:p>
      <w:r>
        <w:rPr>
          <w:b/>
        </w:rPr>
        <w:t xml:space="preserve">11 </w:t>
      </w:r>
      <w:r>
        <w:t xml:space="preserve">And the flesh and the hide he burned with fire outside the camp.</w:t>
      </w:r>
    </w:p>
    <w:p>
      <w:r>
        <w:rPr>
          <w:b/>
        </w:rPr>
        <w:t xml:space="preserve">12 </w:t>
      </w:r>
      <w:r>
        <w:t xml:space="preserve">And he slaughtered the whole burnt offering, and the sons of Aaron brought the blood to him, and he poured it around on the altar.</w:t>
      </w:r>
    </w:p>
    <w:p>
      <w:r>
        <w:rPr>
          <w:b/>
        </w:rPr>
        <w:t xml:space="preserve">13 </w:t>
      </w:r>
      <w:r>
        <w:t xml:space="preserve">And they brought the whole burnt offering to him piece by piece, and the head, and he placed them on the altar.</w:t>
      </w:r>
    </w:p>
    <w:p>
      <w:r>
        <w:rPr>
          <w:b/>
        </w:rPr>
        <w:t xml:space="preserve">14 </w:t>
      </w:r>
      <w:r>
        <w:t xml:space="preserve">And he washed the belly and the feet with water and placed them on the whole burnt offering on the altar.</w:t>
      </w:r>
    </w:p>
    <w:p>
      <w:r>
        <w:rPr>
          <w:b/>
        </w:rPr>
        <w:t xml:space="preserve">15 </w:t>
      </w:r>
      <w:r>
        <w:t xml:space="preserve">And they brought the people's gift, and he took the he-goat for the people's sin-offering and slaughtered it and purified it just like the first.</w:t>
      </w:r>
    </w:p>
    <w:p>
      <w:r>
        <w:rPr>
          <w:b/>
        </w:rPr>
        <w:t xml:space="preserve">16 </w:t>
      </w:r>
      <w:r>
        <w:t xml:space="preserve">And he brought the whole burnt offering and made it as is proper.</w:t>
      </w:r>
    </w:p>
    <w:p>
      <w:r>
        <w:rPr>
          <w:b/>
        </w:rPr>
        <w:t xml:space="preserve">17 </w:t>
      </w:r>
      <w:r>
        <w:t xml:space="preserve">And he brought the sacrifice and filled his hands from it and placed it on the altar, apart from the morning whole burnt offering.</w:t>
      </w:r>
    </w:p>
    <w:p>
      <w:r>
        <w:rPr>
          <w:b/>
        </w:rPr>
        <w:t xml:space="preserve">18 </w:t>
      </w:r>
      <w:r>
        <w:t xml:space="preserve">And he slaughtered the calf and the ram of the people's sacrifice of salvation, and the sons of Aaron brought the blood to him, and he poured it around on the altar.</w:t>
      </w:r>
    </w:p>
    <w:p>
      <w:r>
        <w:rPr>
          <w:b/>
        </w:rPr>
        <w:t xml:space="preserve">19 </w:t>
      </w:r>
      <w:r>
        <w:t xml:space="preserve">And the fat from the calf and from the ram, the loin and the fat covering the belly and the two kidneys and the fat on them and the lobe above the liver,</w:t>
      </w:r>
    </w:p>
    <w:p>
      <w:r>
        <w:rPr>
          <w:b/>
        </w:rPr>
        <w:t xml:space="preserve">20 </w:t>
      </w:r>
      <w:r>
        <w:t xml:space="preserve">and he placed the fats on the breasts, and they offered the fats on the altar.</w:t>
      </w:r>
    </w:p>
    <w:p>
      <w:r>
        <w:rPr>
          <w:b/>
        </w:rPr>
        <w:t xml:space="preserve">21 </w:t>
      </w:r>
      <w:r>
        <w:t xml:space="preserve">And Aaron presented the breast and the right arm before the Lord as a contribution, just as the Lord commanded Moses.</w:t>
      </w:r>
    </w:p>
    <w:p>
      <w:r>
        <w:rPr>
          <w:b/>
        </w:rPr>
        <w:t xml:space="preserve">22 </w:t>
      </w:r>
      <w:r>
        <w:t xml:space="preserve">And Aaron, lifting up his hands over the people, blessed them, and he came down after making the sin-offering and the whole burnt offerings and the things of salvation.</w:t>
      </w:r>
    </w:p>
    <w:p>
      <w:r>
        <w:rPr>
          <w:b/>
        </w:rPr>
        <w:t xml:space="preserve">23 </w:t>
      </w:r>
      <w:r>
        <w:t xml:space="preserve">And Moses and Aaron entered into the tent of testimony, and coming out they blessed all the people, and the glory</w:t>
      </w:r>
      <w:r>
        <w:rPr>
          <w:rStyle w:val="FootnoteReference"/>
        </w:rPr>
        <w:footnoteReference w:id="2175"/>
      </w:r>
      <w:r>
        <w:t xml:space="preserve"> of the Lord appeared to all the people.</w:t>
      </w:r>
    </w:p>
    <w:p>
      <w:r>
        <w:rPr>
          <w:b/>
        </w:rPr>
        <w:t xml:space="preserve">24 </w:t>
      </w:r>
      <w:r>
        <w:t xml:space="preserve">And fire came out from the Lord and consumed on the altar the whole burnt offerings and the fats, and all the people saw and were astonished and fell on their faces.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the two sons of Aaron, Nadab</w:t>
      </w:r>
      <w:r>
        <w:rPr>
          <w:rStyle w:val="FootnoteReference"/>
        </w:rPr>
        <w:footnoteReference w:id="2176"/>
      </w:r>
      <w:r>
        <w:t xml:space="preserve"> and Abihu, each taking his firepan, put fire in it and put incense on it and brought foreign fire before the Lord, which the Lord had not commanded them.</w:t>
      </w:r>
    </w:p>
    <w:p>
      <w:r>
        <w:rPr>
          <w:b/>
        </w:rPr>
        <w:t xml:space="preserve">2 </w:t>
      </w:r>
      <w:r>
        <w:t xml:space="preserve">And fire</w:t>
      </w:r>
      <w:r>
        <w:rPr>
          <w:rStyle w:val="FootnoteReference"/>
        </w:rPr>
        <w:footnoteReference w:id="2177"/>
      </w:r>
      <w:r>
        <w:t xml:space="preserve"> came out from the Lord and consumed them, and they died before the Lord.</w:t>
      </w:r>
    </w:p>
    <w:p>
      <w:r>
        <w:rPr>
          <w:b/>
        </w:rPr>
        <w:t xml:space="preserve">3 </w:t>
      </w:r>
      <w:r>
        <w:t xml:space="preserve">And Moses said to Aaron, This is what the Lord said, saying, Among those drawing near to me I will be</w:t>
      </w:r>
      <w:r>
        <w:rPr>
          <w:rStyle w:val="FootnoteReference"/>
        </w:rPr>
        <w:footnoteReference w:id="2178"/>
      </w:r>
      <w:r>
        <w:t xml:space="preserve"> sanctified, and before all the congregation I will be glorified. And Aaron was cut to the heart.</w:t>
      </w:r>
    </w:p>
    <w:p>
      <w:r>
        <w:rPr>
          <w:b/>
        </w:rPr>
        <w:t xml:space="preserve">4 </w:t>
      </w:r>
      <w:r>
        <w:t xml:space="preserve">And Moses called Mishael</w:t>
      </w:r>
      <w:r>
        <w:rPr>
          <w:rStyle w:val="FootnoteReference"/>
        </w:rPr>
        <w:footnoteReference w:id="2179"/>
      </w:r>
      <w:r>
        <w:t xml:space="preserve"> and Elzaphan, sons of Uzziel</w:t>
      </w:r>
      <w:r>
        <w:rPr>
          <w:rStyle w:val="FootnoteReference"/>
        </w:rPr>
        <w:footnoteReference w:id="2180"/>
      </w:r>
      <w:r>
        <w:t xml:space="preserve">, sons of Aaron's father's brother, and said to them, Come near and carry your brothers from before the holy things, outside the camp.</w:t>
      </w:r>
    </w:p>
    <w:p>
      <w:r>
        <w:rPr>
          <w:b/>
        </w:rPr>
        <w:t xml:space="preserve">5 </w:t>
      </w:r>
      <w:r>
        <w:t xml:space="preserve">And they came near and carried them in their tunics outside the camp, just as Moses said.</w:t>
      </w:r>
    </w:p>
    <w:p>
      <w:r>
        <w:rPr>
          <w:b/>
        </w:rPr>
        <w:t xml:space="preserve">6 </w:t>
      </w:r>
      <w:r>
        <w:t xml:space="preserve">And Moses said to Aaron and to Eleazar and Ithamar, his sons who remained, Do not uncover</w:t>
      </w:r>
      <w:r>
        <w:rPr>
          <w:rStyle w:val="FootnoteReference"/>
        </w:rPr>
        <w:footnoteReference w:id="2181"/>
      </w:r>
      <w:r>
        <w:t xml:space="preserve"> your heads and do not tear your garments, so that you may not die and wrath come upon all the congregation. But your brothers, the whole house of Israel, shall mourn the burning</w:t>
      </w:r>
      <w:r>
        <w:rPr>
          <w:rStyle w:val="FootnoteReference"/>
        </w:rPr>
        <w:footnoteReference w:id="2182"/>
      </w:r>
      <w:r>
        <w:t xml:space="preserve"> with which they were burned by the Lord.</w:t>
      </w:r>
    </w:p>
    <w:p>
      <w:r>
        <w:rPr>
          <w:b/>
        </w:rPr>
        <w:t xml:space="preserve">7 </w:t>
      </w:r>
      <w:r>
        <w:t xml:space="preserve">And you shall not go out from the door of the tent of testimony, so that you may not die, for the anointing</w:t>
      </w:r>
      <w:r>
        <w:rPr>
          <w:rStyle w:val="FootnoteReference"/>
        </w:rPr>
        <w:footnoteReference w:id="2183"/>
      </w:r>
      <w:r>
        <w:t xml:space="preserve"> oil from the Lord is upon you. And they did according to the word of Moses.</w:t>
      </w:r>
    </w:p>
    <w:p>
      <w:r>
        <w:rPr>
          <w:b/>
        </w:rPr>
        <w:t xml:space="preserve">8 </w:t>
      </w:r>
      <w:r>
        <w:t xml:space="preserve">And the Lord spoke to Aaron, saying,</w:t>
      </w:r>
    </w:p>
    <w:p>
      <w:r>
        <w:rPr>
          <w:b/>
        </w:rPr>
        <w:t xml:space="preserve">9 </w:t>
      </w:r>
      <w:r>
        <w:t xml:space="preserve">Wine and strong drink you shall not drink, you and your sons with you, whenever you enter into the tent of testimony or when you approach the altar, and you shall certainly not die. It is an everlasting statute throughout your generations,</w:t>
      </w:r>
    </w:p>
    <w:p>
      <w:r>
        <w:rPr>
          <w:b/>
        </w:rPr>
        <w:t xml:space="preserve">10 </w:t>
      </w:r>
      <w:r>
        <w:t xml:space="preserve">to distinguish between the holy and the profane, and between the unclean and the clean,</w:t>
      </w:r>
    </w:p>
    <w:p>
      <w:r>
        <w:rPr>
          <w:b/>
        </w:rPr>
        <w:t xml:space="preserve">11 </w:t>
      </w:r>
      <w:r>
        <w:t xml:space="preserve">and you shall instruct the sons of Israel in all the statutes that the Lord spoke to them by the hand of Moses.</w:t>
      </w:r>
    </w:p>
    <w:p>
      <w:r>
        <w:rPr>
          <w:b/>
        </w:rPr>
        <w:t xml:space="preserve">12 </w:t>
      </w:r>
      <w:r>
        <w:t xml:space="preserve">And Moses said to Aaron and to Eleazar and Ithamar, the sons of Aaron who remained, Take</w:t>
      </w:r>
      <w:r>
        <w:rPr>
          <w:rStyle w:val="FootnoteReference"/>
        </w:rPr>
        <w:footnoteReference w:id="2184"/>
      </w:r>
      <w:r>
        <w:t xml:space="preserve"> the sacrifice left from the Lord's offerings and eat it unleavened beside the altar, because it is holy of holies.</w:t>
      </w:r>
    </w:p>
    <w:p>
      <w:r>
        <w:rPr>
          <w:b/>
        </w:rPr>
        <w:t xml:space="preserve">13 </w:t>
      </w:r>
      <w:r>
        <w:t xml:space="preserve">And you shall eat it in a holy place, because it is a statute for you and a statute for your sons from the Lord's offerings, for thus it has been commanded to me.</w:t>
      </w:r>
    </w:p>
    <w:p>
      <w:r>
        <w:rPr>
          <w:b/>
        </w:rPr>
        <w:t xml:space="preserve">14 </w:t>
      </w:r>
      <w:r>
        <w:t xml:space="preserve">And you shall eat the breast of separation</w:t>
      </w:r>
      <w:r>
        <w:rPr>
          <w:rStyle w:val="FootnoteReference"/>
        </w:rPr>
        <w:footnoteReference w:id="2185"/>
      </w:r>
      <w:r>
        <w:t xml:space="preserve"> and the arm of contribution in a holy place, you and your sons and your house with you, because it has been given as a statute for you and a statute for your sons from the sacrifices of salvation of the sons of Israel.</w:t>
      </w:r>
    </w:p>
    <w:p>
      <w:r>
        <w:rPr>
          <w:b/>
        </w:rPr>
        <w:t xml:space="preserve">15 </w:t>
      </w:r>
      <w:r>
        <w:t xml:space="preserve">They shall bring the arm of contribution</w:t>
      </w:r>
      <w:r>
        <w:rPr>
          <w:rStyle w:val="FootnoteReference"/>
        </w:rPr>
        <w:footnoteReference w:id="2186"/>
      </w:r>
      <w:r>
        <w:t xml:space="preserve"> and the breast of separation with the offerings of the fats, to set them apart before the Lord, and it shall belong to you and to your sons and to your daughters with you as an everlasting statute, just as the Lord commanded Moses.</w:t>
      </w:r>
    </w:p>
    <w:p>
      <w:r>
        <w:rPr>
          <w:b/>
        </w:rPr>
        <w:t xml:space="preserve">16 </w:t>
      </w:r>
      <w:r>
        <w:t xml:space="preserve">And Moses sought diligently for the he-goat for sin, and see, it had been burned up, and Moses was angry</w:t>
      </w:r>
      <w:r>
        <w:rPr>
          <w:rStyle w:val="FootnoteReference"/>
        </w:rPr>
        <w:footnoteReference w:id="2187"/>
      </w:r>
      <w:r>
        <w:t xml:space="preserve"> with Eleazar and Ithamar, the sons of Aaron who remained, saying,</w:t>
      </w:r>
    </w:p>
    <w:p>
      <w:r>
        <w:rPr>
          <w:b/>
        </w:rPr>
        <w:t xml:space="preserve">17 </w:t>
      </w:r>
      <w:r>
        <w:t xml:space="preserve">Why did you not eat the thing for sin in the holy place? For it is holy of holies, and he gave it to you to eat, so that you might take away the sin of the congregation</w:t>
      </w:r>
      <w:r>
        <w:rPr>
          <w:rStyle w:val="FootnoteReference"/>
        </w:rPr>
        <w:footnoteReference w:id="2188"/>
      </w:r>
      <w:r>
        <w:t xml:space="preserve"> and make atonement for them before the Lord.</w:t>
      </w:r>
    </w:p>
    <w:p>
      <w:r>
        <w:rPr>
          <w:b/>
        </w:rPr>
        <w:t xml:space="preserve">18 </w:t>
      </w:r>
      <w:r>
        <w:t xml:space="preserve">For its blood was not brought inside into the holy place. You certainly should have eaten it in the holy place, just as the Lord commanded me.</w:t>
      </w:r>
    </w:p>
    <w:p>
      <w:r>
        <w:rPr>
          <w:b/>
        </w:rPr>
        <w:t xml:space="preserve">19 </w:t>
      </w:r>
      <w:r>
        <w:t xml:space="preserve">And Aaron spoke to Moses, saying, If today they have brought near their things for sin</w:t>
      </w:r>
      <w:r>
        <w:rPr>
          <w:rStyle w:val="FootnoteReference"/>
        </w:rPr>
        <w:footnoteReference w:id="2189"/>
      </w:r>
      <w:r>
        <w:t xml:space="preserve"> and their whole burnt offerings before the Lord, and these things have happened to me, and were I to eat the things for sin today, would it be pleasing to the Lord?</w:t>
      </w:r>
    </w:p>
    <w:p>
      <w:r>
        <w:rPr>
          <w:b/>
        </w:rPr>
        <w:t xml:space="preserve">20 </w:t>
      </w:r>
      <w:r>
        <w:t xml:space="preserve">And Moses heard, and it pleased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the Lord spoke to Moses and Aaron, saying,</w:t>
      </w:r>
    </w:p>
    <w:p>
      <w:r>
        <w:rPr>
          <w:b/>
        </w:rPr>
        <w:t xml:space="preserve">2 </w:t>
      </w:r>
      <w:r>
        <w:t xml:space="preserve">Speak to the sons of Israel, saying, These are the animals that you shall eat from all the animals upon the earth.</w:t>
      </w:r>
    </w:p>
    <w:p>
      <w:r>
        <w:rPr>
          <w:b/>
        </w:rPr>
        <w:t xml:space="preserve">3 </w:t>
      </w:r>
      <w:r>
        <w:t xml:space="preserve">Every animal that divides the hoof and splits the hoof in two and chews the cud among the animals, these you shall eat.</w:t>
      </w:r>
    </w:p>
    <w:p>
      <w:r>
        <w:rPr>
          <w:b/>
        </w:rPr>
        <w:t xml:space="preserve">4 </w:t>
      </w:r>
      <w:r>
        <w:t xml:space="preserve">But from these you shall not eat: from those chewing the cud and from those dividing the hoof and splitting the claws. The camel, because it chews the cud, but does not divide the hoof, it is unclean to you.</w:t>
      </w:r>
    </w:p>
    <w:p>
      <w:r>
        <w:rPr>
          <w:b/>
        </w:rPr>
        <w:t xml:space="preserve">5 </w:t>
      </w:r>
      <w:r>
        <w:t xml:space="preserve">And the hare, because it chews the cud, but does not divide the hoof, it is unclean to you.</w:t>
      </w:r>
    </w:p>
    <w:p>
      <w:r>
        <w:rPr>
          <w:b/>
        </w:rPr>
        <w:t xml:space="preserve">6 </w:t>
      </w:r>
      <w:r>
        <w:t xml:space="preserve">And the rock-badger, because it chews the cud, but does not divide the hoof, it is unclean to you.</w:t>
      </w:r>
    </w:p>
    <w:p>
      <w:r>
        <w:rPr>
          <w:b/>
        </w:rPr>
        <w:t xml:space="preserve">7 </w:t>
      </w:r>
      <w:r>
        <w:t xml:space="preserve">And the pig, because it divides the hoof and splits the hoof-claws, but does not chew the cud, it is unclean to you.</w:t>
      </w:r>
    </w:p>
    <w:p>
      <w:r>
        <w:rPr>
          <w:b/>
        </w:rPr>
        <w:t xml:space="preserve">8 </w:t>
      </w:r>
      <w:r>
        <w:t xml:space="preserve">From their flesh you shall not eat, and their carcasses you shall not touch</w:t>
      </w:r>
      <w:r>
        <w:rPr>
          <w:rStyle w:val="FootnoteReference"/>
        </w:rPr>
        <w:footnoteReference w:id="2190"/>
      </w:r>
      <w:r>
        <w:t xml:space="preserve">. They are unclean</w:t>
      </w:r>
      <w:r>
        <w:rPr>
          <w:rStyle w:val="FootnoteReference"/>
        </w:rPr>
        <w:footnoteReference w:id="2191"/>
      </w:r>
      <w:r>
        <w:t xml:space="preserve"> to you.</w:t>
      </w:r>
    </w:p>
    <w:p>
      <w:r>
        <w:rPr>
          <w:b/>
        </w:rPr>
        <w:t xml:space="preserve">9 </w:t>
      </w:r>
      <w:r>
        <w:t xml:space="preserve">And these are what you shall eat from all that are in the waters: everything that has fins and scales in the waters, and in the seas, and in the streams, these you shall eat.</w:t>
      </w:r>
    </w:p>
    <w:p>
      <w:r>
        <w:rPr>
          <w:b/>
        </w:rPr>
        <w:t xml:space="preserve">10 </w:t>
      </w:r>
      <w:r>
        <w:t xml:space="preserve">And everything that does not have fins or scales in the water, or in the seas, and in the streams, from everything with which the waters teem and from every living creature in the water, is an abomination.</w:t>
      </w:r>
    </w:p>
    <w:p>
      <w:r>
        <w:rPr>
          <w:b/>
        </w:rPr>
        <w:t xml:space="preserve">11 </w:t>
      </w:r>
      <w:r>
        <w:t xml:space="preserve">And they shall be abominations to you. From their flesh you shall not eat, and their carcasses you shall abhor.</w:t>
      </w:r>
    </w:p>
    <w:p>
      <w:r>
        <w:rPr>
          <w:b/>
        </w:rPr>
        <w:t xml:space="preserve">12 </w:t>
      </w:r>
      <w:r>
        <w:t xml:space="preserve">Everything in the waters that does not have fins and scales, this is an abomination to you.</w:t>
      </w:r>
    </w:p>
    <w:p>
      <w:r>
        <w:rPr>
          <w:b/>
        </w:rPr>
        <w:t xml:space="preserve">13 </w:t>
      </w:r>
      <w:r>
        <w:t xml:space="preserve">And these you shall abhor from among the birds; they shall not be eaten. They are an abomination: the eagle</w:t>
      </w:r>
      <w:r>
        <w:rPr>
          <w:rStyle w:val="FootnoteReference"/>
        </w:rPr>
        <w:footnoteReference w:id="2192"/>
      </w:r>
      <w:r>
        <w:t xml:space="preserve"> and the griffin and the sea-eagle,</w:t>
      </w:r>
    </w:p>
    <w:p>
      <w:r>
        <w:rPr>
          <w:b/>
        </w:rPr>
        <w:t xml:space="preserve">14 </w:t>
      </w:r>
      <w:r>
        <w:t xml:space="preserve">and the vulture and the kite and those like it,</w:t>
      </w:r>
    </w:p>
    <w:p>
      <w:r>
        <w:rPr>
          <w:b/>
        </w:rPr>
        <w:t xml:space="preserve">15 </w:t>
      </w:r>
      <w:r>
        <w:t xml:space="preserve">and every raven and those like it,</w:t>
      </w:r>
    </w:p>
    <w:p>
      <w:r>
        <w:rPr>
          <w:b/>
        </w:rPr>
        <w:t xml:space="preserve">16 </w:t>
      </w:r>
      <w:r>
        <w:t xml:space="preserve">and the ostrich and the owl and the gull and those like it, and the hawk and those like it,</w:t>
      </w:r>
    </w:p>
    <w:p>
      <w:r>
        <w:rPr>
          <w:b/>
        </w:rPr>
        <w:t xml:space="preserve">17 </w:t>
      </w:r>
      <w:r>
        <w:t xml:space="preserve">and the night-raven and the diver and the ibis,</w:t>
      </w:r>
    </w:p>
    <w:p>
      <w:r>
        <w:rPr>
          <w:b/>
        </w:rPr>
        <w:t xml:space="preserve">18 </w:t>
      </w:r>
      <w:r>
        <w:t xml:space="preserve">and the water-hen and the pelican and the swan,</w:t>
      </w:r>
    </w:p>
    <w:p>
      <w:r>
        <w:rPr>
          <w:b/>
        </w:rPr>
        <w:t xml:space="preserve">19 </w:t>
      </w:r>
      <w:r>
        <w:t xml:space="preserve">and the heron and the plover and those like it, and the hoopoe and the bat.</w:t>
      </w:r>
    </w:p>
    <w:p>
      <w:r>
        <w:rPr>
          <w:b/>
        </w:rPr>
        <w:t xml:space="preserve">20 </w:t>
      </w:r>
      <w:r>
        <w:t xml:space="preserve">And every winged creeping thing that goes on four feet is an abomination to you.</w:t>
      </w:r>
    </w:p>
    <w:p>
      <w:r>
        <w:rPr>
          <w:b/>
        </w:rPr>
        <w:t xml:space="preserve">21 </w:t>
      </w:r>
      <w:r>
        <w:t xml:space="preserve">But these you may eat from the winged creeping things that go on four feet, which have legs above their feet to leap with on the ground.</w:t>
      </w:r>
    </w:p>
    <w:p>
      <w:r>
        <w:rPr>
          <w:b/>
        </w:rPr>
        <w:t xml:space="preserve">22 </w:t>
      </w:r>
      <w:r>
        <w:t xml:space="preserve">And these of them you may eat: the locust and those like it, and the attacus and those like it, and the grasshopper and those like it, and the serpent-fighter and those like it.</w:t>
      </w:r>
    </w:p>
    <w:p>
      <w:r>
        <w:rPr>
          <w:b/>
        </w:rPr>
        <w:t xml:space="preserve">23 </w:t>
      </w:r>
      <w:r>
        <w:t xml:space="preserve">Every winged creeping thing that has four feet is an abomination to you.</w:t>
      </w:r>
    </w:p>
    <w:p>
      <w:r>
        <w:rPr>
          <w:b/>
        </w:rPr>
        <w:t xml:space="preserve">24 </w:t>
      </w:r>
      <w:r>
        <w:t xml:space="preserve">And by these you shall become unclean. Everyone touching their carcasses shall be unclean until evening.</w:t>
      </w:r>
    </w:p>
    <w:p>
      <w:r>
        <w:rPr>
          <w:b/>
        </w:rPr>
        <w:t xml:space="preserve">25 </w:t>
      </w:r>
      <w:r>
        <w:t xml:space="preserve">And everyone carrying their carcasses shall wash his garments and be unclean</w:t>
      </w:r>
      <w:r>
        <w:rPr>
          <w:rStyle w:val="FootnoteReference"/>
        </w:rPr>
        <w:footnoteReference w:id="2193"/>
      </w:r>
      <w:r>
        <w:t xml:space="preserve"> until evening.</w:t>
      </w:r>
    </w:p>
    <w:p>
      <w:r>
        <w:rPr>
          <w:b/>
        </w:rPr>
        <w:t xml:space="preserve">26 </w:t>
      </w:r>
      <w:r>
        <w:t xml:space="preserve">Among all the animals, anything that divides the hoof and splits the claw, but does not chew the cud, shall be unclean to you. Everyone touching their carcasses shall be unclean until evening.</w:t>
      </w:r>
    </w:p>
    <w:p>
      <w:r>
        <w:rPr>
          <w:b/>
        </w:rPr>
        <w:t xml:space="preserve">27 </w:t>
      </w:r>
      <w:r>
        <w:t xml:space="preserve">And everyone among the wild beasts that goes on forepaws, that goes on all fours, is unclean to you. Everyone touching their carcasses shall be unclean until evening.</w:t>
      </w:r>
    </w:p>
    <w:p>
      <w:r>
        <w:rPr>
          <w:b/>
        </w:rPr>
        <w:t xml:space="preserve">28 </w:t>
      </w:r>
      <w:r>
        <w:t xml:space="preserve">And the one carrying their carcasses shall wash</w:t>
      </w:r>
      <w:r>
        <w:rPr>
          <w:rStyle w:val="FootnoteReference"/>
        </w:rPr>
        <w:footnoteReference w:id="2194"/>
      </w:r>
      <w:r>
        <w:t xml:space="preserve"> his garments and be unclean until evening. These are unclean to you.</w:t>
      </w:r>
    </w:p>
    <w:p>
      <w:r>
        <w:rPr>
          <w:b/>
        </w:rPr>
        <w:t xml:space="preserve">29 </w:t>
      </w:r>
      <w:r>
        <w:t xml:space="preserve">And these are unclean to you from among the creeping things that creep</w:t>
      </w:r>
      <w:r>
        <w:rPr>
          <w:rStyle w:val="FootnoteReference"/>
        </w:rPr>
        <w:footnoteReference w:id="2195"/>
      </w:r>
      <w:r>
        <w:t xml:space="preserve"> on the earth: the weasel and the mouse and the land-crocodile,</w:t>
      </w:r>
    </w:p>
    <w:p>
      <w:r>
        <w:rPr>
          <w:b/>
        </w:rPr>
        <w:t xml:space="preserve">30 </w:t>
      </w:r>
      <w:r>
        <w:t xml:space="preserve">the shrew and the chameleon and the lizard and the lizard-kind and the mole,</w:t>
      </w:r>
    </w:p>
    <w:p>
      <w:r>
        <w:rPr>
          <w:b/>
        </w:rPr>
        <w:t xml:space="preserve">31 </w:t>
      </w:r>
      <w:r>
        <w:t xml:space="preserve">these are unclean to you from all the creeping things on the earth. Everyone touching them when they are dead shall be unclean until evening.</w:t>
      </w:r>
    </w:p>
    <w:p>
      <w:r>
        <w:rPr>
          <w:b/>
        </w:rPr>
        <w:t xml:space="preserve">32 </w:t>
      </w:r>
      <w:r>
        <w:t xml:space="preserve">And anything on which one of them falls, after they are dead, shall be unclean, whether any wooden vessel or garment or skin or sack, every vessel in which work is done</w:t>
      </w:r>
      <w:r>
        <w:rPr>
          <w:rStyle w:val="FootnoteReference"/>
        </w:rPr>
        <w:footnoteReference w:id="2196"/>
      </w:r>
      <w:r>
        <w:t xml:space="preserve">. It shall be dipped in water and be unclean until evening, and then it shall be clean.</w:t>
      </w:r>
    </w:p>
    <w:p>
      <w:r>
        <w:rPr>
          <w:b/>
        </w:rPr>
        <w:t xml:space="preserve">33 </w:t>
      </w:r>
      <w:r>
        <w:t xml:space="preserve">And every earthen vessel into which one of these falls inside, everything inside it shall be unclean, and the vessel itself shall be broken.</w:t>
      </w:r>
    </w:p>
    <w:p>
      <w:r>
        <w:rPr>
          <w:b/>
        </w:rPr>
        <w:t xml:space="preserve">34 </w:t>
      </w:r>
      <w:r>
        <w:t xml:space="preserve">And every food that is eaten, if water comes on it, shall be unclean. And every drink that is drunk in any vessel shall be unclean.</w:t>
      </w:r>
    </w:p>
    <w:p>
      <w:r>
        <w:rPr>
          <w:b/>
        </w:rPr>
        <w:t xml:space="preserve">35 </w:t>
      </w:r>
      <w:r>
        <w:t xml:space="preserve">And everything on which any of their carcasses falls shall be unclean. Ovens and cooking-stands shall be torn down. They are unclean, and shall be unclean to you.</w:t>
      </w:r>
    </w:p>
    <w:p>
      <w:r>
        <w:rPr>
          <w:b/>
        </w:rPr>
        <w:t xml:space="preserve">36 </w:t>
      </w:r>
      <w:r>
        <w:t xml:space="preserve">Only springs of waters and cisterns and gatherings of water shall be clean, but the one touching their carcasses shall be unclean.</w:t>
      </w:r>
    </w:p>
    <w:p>
      <w:r>
        <w:rPr>
          <w:b/>
        </w:rPr>
        <w:t xml:space="preserve">37 </w:t>
      </w:r>
      <w:r>
        <w:t xml:space="preserve">And if any of their carcasses falls upon any seed for sowing that is to be sown, it shall be clean.</w:t>
      </w:r>
    </w:p>
    <w:p>
      <w:r>
        <w:rPr>
          <w:b/>
        </w:rPr>
        <w:t xml:space="preserve">38 </w:t>
      </w:r>
      <w:r>
        <w:t xml:space="preserve">But if water is poured on any seed and any of their carcasses falls upon it, it is unclean to you.</w:t>
      </w:r>
    </w:p>
    <w:p>
      <w:r>
        <w:rPr>
          <w:b/>
        </w:rPr>
        <w:t xml:space="preserve">39 </w:t>
      </w:r>
      <w:r>
        <w:t xml:space="preserve">And if one of the animals that are for you to eat dies, the one touching its carcass shall be unclean until evening.</w:t>
      </w:r>
    </w:p>
    <w:p>
      <w:r>
        <w:rPr>
          <w:b/>
        </w:rPr>
        <w:t xml:space="preserve">40 </w:t>
      </w:r>
      <w:r>
        <w:t xml:space="preserve">And the one eating from their carcasses shall wash</w:t>
      </w:r>
      <w:r>
        <w:rPr>
          <w:rStyle w:val="FootnoteReference"/>
        </w:rPr>
        <w:footnoteReference w:id="2197"/>
      </w:r>
      <w:r>
        <w:t xml:space="preserve"> his garments and be unclean until evening, and the one carrying from their carcasses shall wash his garments and bathe in water and be unclean until evening.</w:t>
      </w:r>
    </w:p>
    <w:p>
      <w:r>
        <w:rPr>
          <w:b/>
        </w:rPr>
        <w:t xml:space="preserve">41 </w:t>
      </w:r>
      <w:r>
        <w:t xml:space="preserve">And every creeping thing that creeps upon the earth</w:t>
      </w:r>
      <w:r>
        <w:rPr>
          <w:rStyle w:val="FootnoteReference"/>
        </w:rPr>
        <w:footnoteReference w:id="2198"/>
      </w:r>
      <w:r>
        <w:t xml:space="preserve"> is an abomination. It shall not be eaten.</w:t>
      </w:r>
    </w:p>
    <w:p>
      <w:r>
        <w:rPr>
          <w:b/>
        </w:rPr>
        <w:t xml:space="preserve">42 </w:t>
      </w:r>
      <w:r>
        <w:t xml:space="preserve">Everything that goes on its belly, and everything that goes on four feet, and everything with many feet</w:t>
      </w:r>
      <w:r>
        <w:rPr>
          <w:rStyle w:val="FootnoteReference"/>
        </w:rPr>
        <w:footnoteReference w:id="2199"/>
      </w:r>
      <w:r>
        <w:t xml:space="preserve"> among all the creeping things that creep upon the earth, you shall not eat, because it is an abomination to you.</w:t>
      </w:r>
    </w:p>
    <w:p>
      <w:r>
        <w:rPr>
          <w:b/>
        </w:rPr>
        <w:t xml:space="preserve">43 </w:t>
      </w:r>
      <w:r>
        <w:t xml:space="preserve">And you shall not make your lives abominable among all the creeping things that creep on the earth, and you shall not be defiled by them, and you shall not become unclean by them.</w:t>
      </w:r>
    </w:p>
    <w:p>
      <w:r>
        <w:rPr>
          <w:b/>
        </w:rPr>
        <w:t xml:space="preserve">44 </w:t>
      </w:r>
      <w:r>
        <w:t xml:space="preserve">For I am the</w:t>
      </w:r>
      <w:r>
        <w:rPr>
          <w:rStyle w:val="FootnoteReference"/>
        </w:rPr>
        <w:footnoteReference w:id="2200"/>
      </w:r>
      <w:r>
        <w:t xml:space="preserve"> Lord your God, and you shall be sanctified and shall be holy, because I am holy, the Lord your God. And you shall not defile your lives</w:t>
      </w:r>
      <w:r>
        <w:rPr>
          <w:rStyle w:val="FootnoteReference"/>
        </w:rPr>
        <w:footnoteReference w:id="2201"/>
      </w:r>
      <w:r>
        <w:t xml:space="preserve"> among all the creeping things moving on the earth.</w:t>
      </w:r>
    </w:p>
    <w:p>
      <w:r>
        <w:rPr>
          <w:b/>
        </w:rPr>
        <w:t xml:space="preserve">45 </w:t>
      </w:r>
      <w:r>
        <w:t xml:space="preserve">For I am the Lord who brought you up from the land of Egypt to be your God, and you shall be holy</w:t>
      </w:r>
      <w:r>
        <w:rPr>
          <w:rStyle w:val="FootnoteReference"/>
        </w:rPr>
        <w:footnoteReference w:id="2202"/>
      </w:r>
      <w:r>
        <w:t xml:space="preserve">, because I am holy, the Lord.</w:t>
      </w:r>
    </w:p>
    <w:p>
      <w:r>
        <w:rPr>
          <w:b/>
        </w:rPr>
        <w:t xml:space="preserve">46 </w:t>
      </w:r>
      <w:r>
        <w:t xml:space="preserve">This is the law concerning the animals and the birds and every living creature moving in the water and every living creature creeping upon the earth,</w:t>
      </w:r>
    </w:p>
    <w:p>
      <w:r>
        <w:rPr>
          <w:b/>
        </w:rPr>
        <w:t xml:space="preserve">47 </w:t>
      </w:r>
      <w:r>
        <w:t xml:space="preserve">to distinguish between the unclean and the clean</w:t>
      </w:r>
      <w:r>
        <w:rPr>
          <w:rStyle w:val="FootnoteReference"/>
        </w:rPr>
        <w:footnoteReference w:id="2203"/>
      </w:r>
      <w:r>
        <w:t xml:space="preserve">, and between the living things that may be eaten and the living things that may not be eaten.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 Lord spoke to Moses, saying,</w:t>
      </w:r>
    </w:p>
    <w:p>
      <w:r>
        <w:rPr>
          <w:b/>
        </w:rPr>
        <w:t xml:space="preserve">2 </w:t>
      </w:r>
      <w:r>
        <w:t xml:space="preserve">Speak to the sons of Israel and say to them, If a woman</w:t>
      </w:r>
      <w:r>
        <w:rPr>
          <w:rStyle w:val="FootnoteReference"/>
        </w:rPr>
        <w:footnoteReference w:id="2204"/>
      </w:r>
      <w:r>
        <w:t xml:space="preserve"> conceives seed</w:t>
      </w:r>
      <w:r>
        <w:rPr>
          <w:rStyle w:val="FootnoteReference"/>
        </w:rPr>
        <w:footnoteReference w:id="2205"/>
      </w:r>
      <w:r>
        <w:t xml:space="preserve"> and bears a male, she shall be unclean seven days; according to the days of the separation of her monthly flow she shall be unclean.</w:t>
      </w:r>
    </w:p>
    <w:p>
      <w:r>
        <w:rPr>
          <w:b/>
        </w:rPr>
        <w:t xml:space="preserve">3 </w:t>
      </w:r>
      <w:r>
        <w:t xml:space="preserve">And on the eighth day he shall circumcise the flesh of his foreskin.</w:t>
      </w:r>
    </w:p>
    <w:p>
      <w:r>
        <w:rPr>
          <w:b/>
        </w:rPr>
        <w:t xml:space="preserve">4 </w:t>
      </w:r>
      <w:r>
        <w:t xml:space="preserve">And for thirty-three days she shall sit in the blood of her uncleanness. She shall touch nothing holy, and she shall not enter into the sanctuary until the days of her purification are fulfilled.</w:t>
      </w:r>
    </w:p>
    <w:p>
      <w:r>
        <w:rPr>
          <w:b/>
        </w:rPr>
        <w:t xml:space="preserve">5 </w:t>
      </w:r>
      <w:r>
        <w:t xml:space="preserve">But if she bears a female, she shall be unclean for twice seven days, according to the time of her monthly flow, and for sixty-six days she shall sit in the blood of her uncleanness.</w:t>
      </w:r>
    </w:p>
    <w:p>
      <w:r>
        <w:rPr>
          <w:b/>
        </w:rPr>
        <w:t xml:space="preserve">6 </w:t>
      </w:r>
      <w:r>
        <w:t xml:space="preserve">And when the days of her purification are fulfilled, for a son or for a daughter, she shall bring a year-old lamb without blemish for whole burnt offering, and a young pigeon or turtledove</w:t>
      </w:r>
      <w:r>
        <w:rPr>
          <w:rStyle w:val="FootnoteReference"/>
        </w:rPr>
        <w:footnoteReference w:id="2206"/>
      </w:r>
      <w:r>
        <w:t xml:space="preserve"> for sin, to the door of the tent of testimony, to the priest.</w:t>
      </w:r>
    </w:p>
    <w:p>
      <w:r>
        <w:rPr>
          <w:b/>
        </w:rPr>
        <w:t xml:space="preserve">7 </w:t>
      </w:r>
      <w:r>
        <w:t xml:space="preserve">And he shall bring it before the Lord, and the priest shall make</w:t>
      </w:r>
      <w:r>
        <w:rPr>
          <w:rStyle w:val="FootnoteReference"/>
        </w:rPr>
        <w:footnoteReference w:id="2207"/>
      </w:r>
      <w:r>
        <w:t xml:space="preserve"> atonement for her and cleanse her from the fountain of her blood. This is the law of the one bearing a male or a female.</w:t>
      </w:r>
    </w:p>
    <w:p>
      <w:r>
        <w:rPr>
          <w:b/>
        </w:rPr>
        <w:t xml:space="preserve">8 </w:t>
      </w:r>
      <w:r>
        <w:t xml:space="preserve">And if her hand does not find what is sufficient</w:t>
      </w:r>
      <w:r>
        <w:rPr>
          <w:rStyle w:val="FootnoteReference"/>
        </w:rPr>
        <w:footnoteReference w:id="2208"/>
      </w:r>
      <w:r>
        <w:t xml:space="preserve"> for a lamb, then she shall take two turtledoves or two young pigeons, one for whole burnt offering and one for sin, and the priest shall make atonement for her, and she shall be cleansed.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the Lord spoke to Moses and Aaron, saying,</w:t>
      </w:r>
    </w:p>
    <w:p>
      <w:r>
        <w:rPr>
          <w:b/>
        </w:rPr>
        <w:t xml:space="preserve">2 </w:t>
      </w:r>
      <w:r>
        <w:t xml:space="preserve">If a person has on the skin of his flesh a swelling or a bright mark or a shining spot, and it becomes on the skin of his flesh a mark of skin-disease</w:t>
      </w:r>
      <w:r>
        <w:rPr>
          <w:rStyle w:val="FootnoteReference"/>
        </w:rPr>
        <w:footnoteReference w:id="2209"/>
      </w:r>
      <w:r>
        <w:t xml:space="preserve">, then he shall</w:t>
      </w:r>
      <w:r>
        <w:rPr>
          <w:rStyle w:val="FootnoteReference"/>
        </w:rPr>
        <w:footnoteReference w:id="2210"/>
      </w:r>
      <w:r>
        <w:t xml:space="preserve"> be brought to Aaron the priest or to one of his sons the priests.</w:t>
      </w:r>
    </w:p>
    <w:p>
      <w:r>
        <w:rPr>
          <w:b/>
        </w:rPr>
        <w:t xml:space="preserve">3 </w:t>
      </w:r>
      <w:r>
        <w:t xml:space="preserve">And the priest shall inspect the mark on the skin of his flesh, and if the hair in the mark has turned</w:t>
      </w:r>
      <w:r>
        <w:rPr>
          <w:rStyle w:val="FootnoteReference"/>
        </w:rPr>
        <w:footnoteReference w:id="2211"/>
      </w:r>
      <w:r>
        <w:t xml:space="preserve"> white and the appearance of the mark is deeper than the skin of his flesh, it is a mark of skin-disease. And the priest shall inspect him and pronounce him unclean.</w:t>
      </w:r>
      <w:r>
        <w:rPr>
          <w:rStyle w:val="FootnoteReference"/>
        </w:rPr>
        <w:footnoteReference w:id="2212"/>
      </w:r>
    </w:p>
    <w:p>
      <w:r>
        <w:rPr>
          <w:b/>
        </w:rPr>
        <w:t xml:space="preserve">4 </w:t>
      </w:r>
      <w:r>
        <w:t xml:space="preserve">But if the bright spot is white on the skin of his flesh, and its appearance is not deeper than the skin, and its hair has not turned white, and it is dim, then the priest shall isolate the mark seven days</w:t>
      </w:r>
      <w:r>
        <w:rPr>
          <w:rStyle w:val="FootnoteReference"/>
        </w:rPr>
        <w:footnoteReference w:id="2213"/>
      </w:r>
      <w:r>
        <w:t xml:space="preserve">.</w:t>
      </w:r>
    </w:p>
    <w:p>
      <w:r>
        <w:rPr>
          <w:b/>
        </w:rPr>
        <w:t xml:space="preserve">5 </w:t>
      </w:r>
      <w:r>
        <w:t xml:space="preserve">And the priest shall inspect the mark on the seventh day, and if the mark remains before him and has not spread in the skin, the priest shall isolate him a second seven days.</w:t>
      </w:r>
    </w:p>
    <w:p>
      <w:r>
        <w:rPr>
          <w:b/>
        </w:rPr>
        <w:t xml:space="preserve">6 </w:t>
      </w:r>
      <w:r>
        <w:t xml:space="preserve">And the priest shall inspect him the second time on the seventh day, and if the mark is dim and has not spread in the skin, the priest shall pronounce</w:t>
      </w:r>
      <w:r>
        <w:rPr>
          <w:rStyle w:val="FootnoteReference"/>
        </w:rPr>
        <w:footnoteReference w:id="2214"/>
      </w:r>
      <w:r>
        <w:t xml:space="preserve"> him clean, for it is a mark only</w:t>
      </w:r>
      <w:r>
        <w:rPr>
          <w:rStyle w:val="FootnoteReference"/>
        </w:rPr>
        <w:footnoteReference w:id="2215"/>
      </w:r>
      <w:r>
        <w:t xml:space="preserve">. And after washing his garments, he shall be clean.</w:t>
      </w:r>
    </w:p>
    <w:p>
      <w:r>
        <w:rPr>
          <w:b/>
        </w:rPr>
        <w:t xml:space="preserve">7 </w:t>
      </w:r>
      <w:r>
        <w:t xml:space="preserve">But if the mark does spread in the skin after the priest has seen him to cleanse him, he shall appear a second time to the priest.</w:t>
      </w:r>
    </w:p>
    <w:p>
      <w:r>
        <w:rPr>
          <w:b/>
        </w:rPr>
        <w:t xml:space="preserve">8 </w:t>
      </w:r>
      <w:r>
        <w:t xml:space="preserve">And the priest shall inspect him, and if the mark has spread in the skin, the priest shall pronounce him unclean. It is skin-disease.</w:t>
      </w:r>
    </w:p>
    <w:p>
      <w:r>
        <w:rPr>
          <w:b/>
        </w:rPr>
        <w:t xml:space="preserve">9 </w:t>
      </w:r>
      <w:r>
        <w:t xml:space="preserve">And if a mark of skin-disease arises in a person, he shall come to the priest.</w:t>
      </w:r>
    </w:p>
    <w:p>
      <w:r>
        <w:rPr>
          <w:b/>
        </w:rPr>
        <w:t xml:space="preserve">10 </w:t>
      </w:r>
      <w:r>
        <w:t xml:space="preserve">And the priest shall inspect, and if there is a white swelling in the skin and it has turned the hair white, and there is healthy living flesh in the swelling,</w:t>
      </w:r>
    </w:p>
    <w:p>
      <w:r>
        <w:rPr>
          <w:b/>
        </w:rPr>
        <w:t xml:space="preserve">11 </w:t>
      </w:r>
      <w:r>
        <w:t xml:space="preserve">it is an old skin-disease in the skin of his flesh. And the priest shall pronounce him unclean and shall not isolate him, because he is unclean.</w:t>
      </w:r>
    </w:p>
    <w:p>
      <w:r>
        <w:rPr>
          <w:b/>
        </w:rPr>
        <w:t xml:space="preserve">12 </w:t>
      </w:r>
      <w:r>
        <w:t xml:space="preserve">But if the skin-disease breaks out and spreads in the skin and the skin-disease covers all the skin of the mark from head to foot, as far as the priest can see,</w:t>
      </w:r>
    </w:p>
    <w:p>
      <w:r>
        <w:rPr>
          <w:b/>
        </w:rPr>
        <w:t xml:space="preserve">13 </w:t>
      </w:r>
      <w:r>
        <w:t xml:space="preserve">then the priest shall inspect, and if the skin-disease has covered all the skin of the flesh, the priest shall pronounce the mark clean</w:t>
      </w:r>
      <w:r>
        <w:rPr>
          <w:rStyle w:val="FootnoteReference"/>
        </w:rPr>
        <w:footnoteReference w:id="2216"/>
      </w:r>
      <w:r>
        <w:t xml:space="preserve">, because it has all turned white. He is clean</w:t>
      </w:r>
      <w:r>
        <w:rPr>
          <w:rStyle w:val="FootnoteReference"/>
        </w:rPr>
        <w:footnoteReference w:id="2217"/>
      </w:r>
      <w:r>
        <w:t xml:space="preserve">.</w:t>
      </w:r>
    </w:p>
    <w:p>
      <w:r>
        <w:rPr>
          <w:b/>
        </w:rPr>
        <w:t xml:space="preserve">14 </w:t>
      </w:r>
      <w:r>
        <w:t xml:space="preserve">But on whatever day living flesh appears in him, he shall be pronounced unclean.</w:t>
      </w:r>
    </w:p>
    <w:p>
      <w:r>
        <w:rPr>
          <w:b/>
        </w:rPr>
        <w:t xml:space="preserve">15 </w:t>
      </w:r>
      <w:r>
        <w:t xml:space="preserve">And the priest shall inspect the healthy flesh and pronounce him unclean. The healthy flesh is unclean.</w:t>
      </w:r>
      <w:r>
        <w:rPr>
          <w:rStyle w:val="FootnoteReference"/>
        </w:rPr>
        <w:footnoteReference w:id="2218"/>
      </w:r>
      <w:r>
        <w:t xml:space="preserve"> It is skin-disease.</w:t>
      </w:r>
    </w:p>
    <w:p>
      <w:r>
        <w:rPr>
          <w:b/>
        </w:rPr>
        <w:t xml:space="preserve">16 </w:t>
      </w:r>
      <w:r>
        <w:t xml:space="preserve">But if the healthy flesh is restored and turns white, then he shall come to the priest.</w:t>
      </w:r>
    </w:p>
    <w:p>
      <w:r>
        <w:rPr>
          <w:b/>
        </w:rPr>
        <w:t xml:space="preserve">17 </w:t>
      </w:r>
      <w:r>
        <w:t xml:space="preserve">And the priest shall inspect, and if the mark has turned white, the priest shall pronounce the mark clean. He is clean.</w:t>
      </w:r>
    </w:p>
    <w:p>
      <w:r>
        <w:rPr>
          <w:b/>
        </w:rPr>
        <w:t xml:space="preserve">18 </w:t>
      </w:r>
      <w:r>
        <w:t xml:space="preserve">And if flesh has in its skin an ulcer and it is healed,</w:t>
      </w:r>
    </w:p>
    <w:p>
      <w:r>
        <w:rPr>
          <w:b/>
        </w:rPr>
        <w:t xml:space="preserve">19 </w:t>
      </w:r>
      <w:r>
        <w:t xml:space="preserve">and there comes in the place of the ulcer a white swelling or a white bright spot tinged reddish</w:t>
      </w:r>
      <w:r>
        <w:rPr>
          <w:rStyle w:val="FootnoteReference"/>
        </w:rPr>
        <w:footnoteReference w:id="2219"/>
      </w:r>
      <w:r>
        <w:t xml:space="preserve">, then it shall be shown to the priest.</w:t>
      </w:r>
    </w:p>
    <w:p>
      <w:r>
        <w:rPr>
          <w:b/>
        </w:rPr>
        <w:t xml:space="preserve">20 </w:t>
      </w:r>
      <w:r>
        <w:t xml:space="preserve">And the priest shall inspect, and if its appearance is lower than the skin and its hair has turned white, the priest shall pronounce him unclean. It is a mark of skin-disease; it has broken out in the ulcer.</w:t>
      </w:r>
    </w:p>
    <w:p>
      <w:r>
        <w:rPr>
          <w:b/>
        </w:rPr>
        <w:t xml:space="preserve">21 </w:t>
      </w:r>
      <w:r>
        <w:t xml:space="preserve">But if the priest inspects and there is no white hair in it, and it is not lower than the skin of the flesh, and it is dim, the priest shall isolate him seven days.</w:t>
      </w:r>
    </w:p>
    <w:p>
      <w:r>
        <w:rPr>
          <w:b/>
        </w:rPr>
        <w:t xml:space="preserve">22 </w:t>
      </w:r>
      <w:r>
        <w:t xml:space="preserve">And if it does spread in the skin, the priest shall pronounce him unclean. It is a mark of skin-disease; it has broken out in the ulcer.</w:t>
      </w:r>
    </w:p>
    <w:p>
      <w:r>
        <w:rPr>
          <w:b/>
        </w:rPr>
        <w:t xml:space="preserve">23 </w:t>
      </w:r>
      <w:r>
        <w:t xml:space="preserve">But if the bright spot remains in its place and does not spread, it is the scar of the ulcer, and the priest shall pronounce him clean.</w:t>
      </w:r>
    </w:p>
    <w:p>
      <w:r>
        <w:rPr>
          <w:b/>
        </w:rPr>
        <w:t xml:space="preserve">24 </w:t>
      </w:r>
      <w:r>
        <w:t xml:space="preserve">And if flesh has in its skin a burn of fire, and the healed part of the burn becomes a bright spot, white tinged red or pure white,</w:t>
      </w:r>
    </w:p>
    <w:p>
      <w:r>
        <w:rPr>
          <w:b/>
        </w:rPr>
        <w:t xml:space="preserve">25 </w:t>
      </w:r>
      <w:r>
        <w:t xml:space="preserve">then the priest shall inspect it, and if the hair in the bright spot has turned white</w:t>
      </w:r>
      <w:r>
        <w:rPr>
          <w:rStyle w:val="FootnoteReference"/>
        </w:rPr>
        <w:footnoteReference w:id="2220"/>
      </w:r>
      <w:r>
        <w:t xml:space="preserve"> and its appearance is lower than the skin, it is skin-disease; it has broken out in the burn</w:t>
      </w:r>
      <w:r>
        <w:rPr>
          <w:rStyle w:val="FootnoteReference"/>
        </w:rPr>
        <w:footnoteReference w:id="2221"/>
      </w:r>
      <w:r>
        <w:t xml:space="preserve">. And the priest shall pronounce him unclean. It is a mark of skin-disease.</w:t>
      </w:r>
    </w:p>
    <w:p>
      <w:r>
        <w:rPr>
          <w:b/>
        </w:rPr>
        <w:t xml:space="preserve">26 </w:t>
      </w:r>
      <w:r>
        <w:t xml:space="preserve">But if the priest inspects and there is no white hair in the bright spot, and it is not lower than the skin, and it is dim, the priest shall isolate him seven days.</w:t>
      </w:r>
    </w:p>
    <w:p>
      <w:r>
        <w:rPr>
          <w:b/>
        </w:rPr>
        <w:t xml:space="preserve">27 </w:t>
      </w:r>
      <w:r>
        <w:t xml:space="preserve">And the priest shall inspect him on the seventh day. If it is spreading in the skin, the priest shall pronounce him unclean. It is a mark of skin-disease.</w:t>
      </w:r>
    </w:p>
    <w:p>
      <w:r>
        <w:rPr>
          <w:b/>
        </w:rPr>
        <w:t xml:space="preserve">28 </w:t>
      </w:r>
      <w:r>
        <w:t xml:space="preserve">But if the bright spot remains in its place and does not spread in the skin, and it is dim, it is the scar of the burn, and the priest shall pronounce him clean, for it is the mark of the burn.</w:t>
      </w:r>
      <w:r>
        <w:rPr>
          <w:rStyle w:val="FootnoteReference"/>
        </w:rPr>
        <w:footnoteReference w:id="2222"/>
      </w:r>
    </w:p>
    <w:p>
      <w:r>
        <w:rPr>
          <w:b/>
        </w:rPr>
        <w:t xml:space="preserve">29 </w:t>
      </w:r>
      <w:r>
        <w:t xml:space="preserve">And if a man or a woman has a mark on the head or on the beard,</w:t>
      </w:r>
    </w:p>
    <w:p>
      <w:r>
        <w:rPr>
          <w:b/>
        </w:rPr>
        <w:t xml:space="preserve">30 </w:t>
      </w:r>
      <w:r>
        <w:t xml:space="preserve">the priest shall inspect the mark, and if its appearance is deeper than the skin and there is in it thin yellowish hair, the priest shall pronounce him unclean. It is a scaly patch</w:t>
      </w:r>
      <w:r>
        <w:rPr>
          <w:rStyle w:val="FootnoteReference"/>
        </w:rPr>
        <w:footnoteReference w:id="2223"/>
      </w:r>
      <w:r>
        <w:t xml:space="preserve">; it is skin-disease of the head or skin-disease of the beard.</w:t>
      </w:r>
    </w:p>
    <w:p>
      <w:r>
        <w:rPr>
          <w:b/>
        </w:rPr>
        <w:t xml:space="preserve">31 </w:t>
      </w:r>
      <w:r>
        <w:t xml:space="preserve">But if the priest inspects the mark of the scaly patch and its appearance is not deeper than the skin and there is no yellowish hair</w:t>
      </w:r>
      <w:r>
        <w:rPr>
          <w:rStyle w:val="FootnoteReference"/>
        </w:rPr>
        <w:footnoteReference w:id="2224"/>
      </w:r>
      <w:r>
        <w:t xml:space="preserve"> in it, the priest shall isolate the mark of the scaly patch seven days</w:t>
      </w:r>
      <w:r>
        <w:rPr>
          <w:rStyle w:val="FootnoteReference"/>
        </w:rPr>
        <w:footnoteReference w:id="2225"/>
      </w:r>
      <w:r>
        <w:t xml:space="preserve">.</w:t>
      </w:r>
    </w:p>
    <w:p>
      <w:r>
        <w:rPr>
          <w:b/>
        </w:rPr>
        <w:t xml:space="preserve">32 </w:t>
      </w:r>
      <w:r>
        <w:t xml:space="preserve">And the priest shall inspect the mark on the seventh day, and if the scaly patch has not spread, and there is no yellowish hair in it, and the appearance of the scaly patch is not hollow beneath the skin,</w:t>
      </w:r>
    </w:p>
    <w:p>
      <w:r>
        <w:rPr>
          <w:b/>
        </w:rPr>
        <w:t xml:space="preserve">33 </w:t>
      </w:r>
      <w:r>
        <w:t xml:space="preserve">then he shall shave himself, but the scaly patch he shall not shave, and the priest shall isolate the scaly patch a second seven days.</w:t>
      </w:r>
    </w:p>
    <w:p>
      <w:r>
        <w:rPr>
          <w:b/>
        </w:rPr>
        <w:t xml:space="preserve">34 </w:t>
      </w:r>
      <w:r>
        <w:t xml:space="preserve">And the priest shall inspect the scaly patch on the seventh</w:t>
      </w:r>
      <w:r>
        <w:rPr>
          <w:rStyle w:val="FootnoteReference"/>
        </w:rPr>
        <w:footnoteReference w:id="2226"/>
      </w:r>
      <w:r>
        <w:t xml:space="preserve"> day, and if the scaly patch has not spread in the skin after the shaving, and its appearance is not deeper than the skin, the priest shall pronounce him clean. And after washing his garments, he shall be clean.</w:t>
      </w:r>
    </w:p>
    <w:p>
      <w:r>
        <w:rPr>
          <w:b/>
        </w:rPr>
        <w:t xml:space="preserve">35 </w:t>
      </w:r>
      <w:r>
        <w:t xml:space="preserve">But if the scaly patch spreads in the skin</w:t>
      </w:r>
      <w:r>
        <w:rPr>
          <w:rStyle w:val="FootnoteReference"/>
        </w:rPr>
        <w:footnoteReference w:id="2227"/>
      </w:r>
      <w:r>
        <w:t xml:space="preserve"> after his cleansing,</w:t>
      </w:r>
    </w:p>
    <w:p>
      <w:r>
        <w:rPr>
          <w:b/>
        </w:rPr>
        <w:t xml:space="preserve">36 </w:t>
      </w:r>
      <w:r>
        <w:t xml:space="preserve">then the priest shall inspect, and if the scaly patch has spread in the skin, the priest need not search for the yellowish hair, because he is unclean.</w:t>
      </w:r>
    </w:p>
    <w:p>
      <w:r>
        <w:rPr>
          <w:b/>
        </w:rPr>
        <w:t xml:space="preserve">37 </w:t>
      </w:r>
      <w:r>
        <w:t xml:space="preserve">But if in his sight the scaly patch stays in place and black hair grows in it, the scaly patch is healed. He is clean, and the priest shall pronounce him clean.</w:t>
      </w:r>
    </w:p>
    <w:p>
      <w:r>
        <w:rPr>
          <w:b/>
        </w:rPr>
        <w:t xml:space="preserve">38 </w:t>
      </w:r>
      <w:r>
        <w:t xml:space="preserve">And if a man or a woman has on the skin of the flesh bright spots, pale white bright spots,</w:t>
      </w:r>
      <w:r>
        <w:rPr>
          <w:rStyle w:val="FootnoteReference"/>
        </w:rPr>
        <w:footnoteReference w:id="2228"/>
      </w:r>
    </w:p>
    <w:p>
      <w:r>
        <w:rPr>
          <w:b/>
        </w:rPr>
        <w:t xml:space="preserve">39 </w:t>
      </w:r>
      <w:r>
        <w:t xml:space="preserve">then the priest shall inspect, and if on the skin of their flesh there are pale white bright spots</w:t>
      </w:r>
      <w:r>
        <w:rPr>
          <w:rStyle w:val="FootnoteReference"/>
        </w:rPr>
        <w:footnoteReference w:id="2229"/>
      </w:r>
      <w:r>
        <w:t xml:space="preserve">, it is a white eruption. It has broken out in the skin of his flesh. He is clean.</w:t>
      </w:r>
    </w:p>
    <w:p>
      <w:r>
        <w:rPr>
          <w:b/>
        </w:rPr>
        <w:t xml:space="preserve">40 </w:t>
      </w:r>
      <w:r>
        <w:t xml:space="preserve">And if a man loses the hair of his head, he is bald. He is clean.</w:t>
      </w:r>
    </w:p>
    <w:p>
      <w:r>
        <w:rPr>
          <w:b/>
        </w:rPr>
        <w:t xml:space="preserve">41 </w:t>
      </w:r>
      <w:r>
        <w:t xml:space="preserve">And if he loses the hair of his head at the front, he is forehead-bald. He is clean.</w:t>
      </w:r>
    </w:p>
    <w:p>
      <w:r>
        <w:rPr>
          <w:b/>
        </w:rPr>
        <w:t xml:space="preserve">42 </w:t>
      </w:r>
      <w:r>
        <w:t xml:space="preserve">But if there is on his baldness or on his forehead-baldness a white or reddish mark, it is skin-disease in his baldness or in his forehead-baldness.</w:t>
      </w:r>
    </w:p>
    <w:p>
      <w:r>
        <w:rPr>
          <w:b/>
        </w:rPr>
        <w:t xml:space="preserve">43 </w:t>
      </w:r>
      <w:r>
        <w:t xml:space="preserve">And the priest shall inspect him, and if the appearance of the mark is white tinged red</w:t>
      </w:r>
      <w:r>
        <w:rPr>
          <w:rStyle w:val="FootnoteReference"/>
        </w:rPr>
        <w:footnoteReference w:id="2230"/>
      </w:r>
      <w:r>
        <w:t xml:space="preserve"> on his baldness or his forehead-baldness, like the appearance of skin-disease in the skin of flesh,</w:t>
      </w:r>
    </w:p>
    <w:p>
      <w:r>
        <w:rPr>
          <w:b/>
        </w:rPr>
        <w:t xml:space="preserve">44 </w:t>
      </w:r>
      <w:r>
        <w:t xml:space="preserve">he is a person with skin-disease. The priest shall surely pronounce him unclean. His mark is on his head.</w:t>
      </w:r>
    </w:p>
    <w:p>
      <w:r>
        <w:rPr>
          <w:b/>
        </w:rPr>
        <w:t xml:space="preserve">45 </w:t>
      </w:r>
      <w:r>
        <w:t xml:space="preserve">And the one with skin-disease in whom the mark is, his garments shall be loosened and his head</w:t>
      </w:r>
      <w:r>
        <w:rPr>
          <w:rStyle w:val="FootnoteReference"/>
        </w:rPr>
        <w:footnoteReference w:id="2231"/>
      </w:r>
      <w:r>
        <w:t xml:space="preserve"> uncovered, and he shall cover around his mouth and cry out, Unclean, unclean.</w:t>
      </w:r>
    </w:p>
    <w:p>
      <w:r>
        <w:rPr>
          <w:b/>
        </w:rPr>
        <w:t xml:space="preserve">46 </w:t>
      </w:r>
      <w:r>
        <w:t xml:space="preserve">All the days</w:t>
      </w:r>
      <w:r>
        <w:rPr>
          <w:rStyle w:val="FootnoteReference"/>
        </w:rPr>
        <w:footnoteReference w:id="2232"/>
      </w:r>
      <w:r>
        <w:t xml:space="preserve"> that the mark is upon him, he shall be unclean. Being unclean, he shall dwell apart. His dwelling shall be outside the camp.</w:t>
      </w:r>
    </w:p>
    <w:p>
      <w:r>
        <w:rPr>
          <w:b/>
        </w:rPr>
        <w:t xml:space="preserve">47 </w:t>
      </w:r>
      <w:r>
        <w:t xml:space="preserve">And if in a garment there is a mark of skin-disease, whether in a woolen garment or in a linen garment,</w:t>
      </w:r>
    </w:p>
    <w:p>
      <w:r>
        <w:rPr>
          <w:b/>
        </w:rPr>
        <w:t xml:space="preserve">48 </w:t>
      </w:r>
      <w:r>
        <w:t xml:space="preserve">or in warp or in woof, whether in linen or in wool, or in leather or in any article made of leather,</w:t>
      </w:r>
    </w:p>
    <w:p>
      <w:r>
        <w:rPr>
          <w:b/>
        </w:rPr>
        <w:t xml:space="preserve">49 </w:t>
      </w:r>
      <w:r>
        <w:t xml:space="preserve">and the mark becomes greenish or reddish in the garment or in the leather or in the warp or in the woof or in any article of leather, it is a mark of skin-disease and shall be shown to the priest.</w:t>
      </w:r>
    </w:p>
    <w:p>
      <w:r>
        <w:rPr>
          <w:b/>
        </w:rPr>
        <w:t xml:space="preserve">50 </w:t>
      </w:r>
      <w:r>
        <w:t xml:space="preserve">And the priest shall inspect the mark and isolate the mark seven days.</w:t>
      </w:r>
    </w:p>
    <w:p>
      <w:r>
        <w:rPr>
          <w:b/>
        </w:rPr>
        <w:t xml:space="preserve">51 </w:t>
      </w:r>
      <w:r>
        <w:t xml:space="preserve">And the priest shall inspect the mark on the seventh day. If the mark has spread in the garment or in the warp or in the woof or in the leather, in whatever is made of leather for use, the mark is persistent skin-disease</w:t>
      </w:r>
      <w:r>
        <w:rPr>
          <w:rStyle w:val="FootnoteReference"/>
        </w:rPr>
        <w:footnoteReference w:id="2233"/>
      </w:r>
      <w:r>
        <w:t xml:space="preserve">. It is unclean.</w:t>
      </w:r>
    </w:p>
    <w:p>
      <w:r>
        <w:rPr>
          <w:b/>
        </w:rPr>
        <w:t xml:space="preserve">52 </w:t>
      </w:r>
      <w:r>
        <w:t xml:space="preserve">He shall burn</w:t>
      </w:r>
      <w:r>
        <w:rPr>
          <w:rStyle w:val="FootnoteReference"/>
        </w:rPr>
        <w:footnoteReference w:id="2234"/>
      </w:r>
      <w:r>
        <w:t xml:space="preserve"> the garment, or the warp or the woof, whether in wool or in linen, or any leather article in which the mark is, because it is persistent skin-disease. It shall be burned with fire.</w:t>
      </w:r>
    </w:p>
    <w:p>
      <w:r>
        <w:rPr>
          <w:b/>
        </w:rPr>
        <w:t xml:space="preserve">53 </w:t>
      </w:r>
      <w:r>
        <w:t xml:space="preserve">But if the priest inspects and the mark has not spread in the garment or in the warp or in the woof or in any leather article,</w:t>
      </w:r>
    </w:p>
    <w:p>
      <w:r>
        <w:rPr>
          <w:b/>
        </w:rPr>
        <w:t xml:space="preserve">54 </w:t>
      </w:r>
      <w:r>
        <w:t xml:space="preserve">then the priest shall command, and they shall wash that in which the mark is, and the priest shall isolate the mark a second seven days.</w:t>
      </w:r>
    </w:p>
    <w:p>
      <w:r>
        <w:rPr>
          <w:b/>
        </w:rPr>
        <w:t xml:space="preserve">55 </w:t>
      </w:r>
      <w:r>
        <w:t xml:space="preserve">And the priest shall inspect after the mark has been washed, and if the mark has not changed its appearance and the mark has not spread, it is unclean. It shall be burned with fire. It is fixed in the garment or in the warp or in the woof.</w:t>
      </w:r>
      <w:r>
        <w:rPr>
          <w:rStyle w:val="FootnoteReference"/>
        </w:rPr>
        <w:footnoteReference w:id="2235"/>
      </w:r>
    </w:p>
    <w:p>
      <w:r>
        <w:rPr>
          <w:b/>
        </w:rPr>
        <w:t xml:space="preserve">56 </w:t>
      </w:r>
      <w:r>
        <w:t xml:space="preserve">But if the priest inspects and the mark is dim after it has been washed, he shall tear it out of the garment or out of the leather or out of the warp or out of the woof.</w:t>
      </w:r>
    </w:p>
    <w:p>
      <w:r>
        <w:rPr>
          <w:b/>
        </w:rPr>
        <w:t xml:space="preserve">57 </w:t>
      </w:r>
      <w:r>
        <w:t xml:space="preserve">But if it still appears in the garment or in the warp or in the woof or in any leather article, it is skin-disease breaking out. Whatever has the mark shall be burned with fire.</w:t>
      </w:r>
    </w:p>
    <w:p>
      <w:r>
        <w:rPr>
          <w:b/>
        </w:rPr>
        <w:t xml:space="preserve">58 </w:t>
      </w:r>
      <w:r>
        <w:t xml:space="preserve">And the garment or the warp or the woof or any leather article that is washed, and the mark departs from it, shall be washed</w:t>
      </w:r>
      <w:r>
        <w:rPr>
          <w:rStyle w:val="FootnoteReference"/>
        </w:rPr>
        <w:footnoteReference w:id="2236"/>
      </w:r>
      <w:r>
        <w:t xml:space="preserve"> a second time and shall be clean.</w:t>
      </w:r>
    </w:p>
    <w:p>
      <w:r>
        <w:rPr>
          <w:b/>
        </w:rPr>
        <w:t xml:space="preserve">59 </w:t>
      </w:r>
      <w:r>
        <w:t xml:space="preserve">This is the law of the mark of skin-disease in a woolen garment or linen garment or warp or woof or any leather article, to pronounce it clean or to pronounce it unclean.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the Lord spoke to Moses, saying,</w:t>
      </w:r>
    </w:p>
    <w:p>
      <w:r>
        <w:rPr>
          <w:b/>
        </w:rPr>
        <w:t xml:space="preserve">2 </w:t>
      </w:r>
      <w:r>
        <w:t xml:space="preserve">This is the law</w:t>
      </w:r>
      <w:r>
        <w:rPr>
          <w:rStyle w:val="FootnoteReference"/>
        </w:rPr>
        <w:footnoteReference w:id="2237"/>
      </w:r>
      <w:r>
        <w:t xml:space="preserve"> for the one with skin-disease on the day he is cleansed: he shall be brought to the priest.</w:t>
      </w:r>
    </w:p>
    <w:p>
      <w:r>
        <w:rPr>
          <w:b/>
        </w:rPr>
        <w:t xml:space="preserve">3 </w:t>
      </w:r>
      <w:r>
        <w:t xml:space="preserve">And the priest shall go outside the camp, and the priest shall inspect, and if the mark of the skin-disease has been healed from the one with skin-disease,</w:t>
      </w:r>
    </w:p>
    <w:p>
      <w:r>
        <w:rPr>
          <w:b/>
        </w:rPr>
        <w:t xml:space="preserve">4 </w:t>
      </w:r>
      <w:r>
        <w:t xml:space="preserve">then the priest shall command, and they shall take for the one being cleansed two living clean birds and cedar</w:t>
      </w:r>
      <w:r>
        <w:rPr>
          <w:rStyle w:val="FootnoteReference"/>
        </w:rPr>
        <w:footnoteReference w:id="2238"/>
      </w:r>
      <w:r>
        <w:t xml:space="preserve"> wood and spun scarlet and hyssop.</w:t>
      </w:r>
    </w:p>
    <w:p>
      <w:r>
        <w:rPr>
          <w:b/>
        </w:rPr>
        <w:t xml:space="preserve">5 </w:t>
      </w:r>
      <w:r>
        <w:t xml:space="preserve">And the priest shall command, and they shall slaughter the one bird in an earthen vessel</w:t>
      </w:r>
      <w:r>
        <w:rPr>
          <w:rStyle w:val="FootnoteReference"/>
        </w:rPr>
        <w:footnoteReference w:id="2239"/>
      </w:r>
      <w:r>
        <w:t xml:space="preserve"> over living water.</w:t>
      </w:r>
    </w:p>
    <w:p>
      <w:r>
        <w:rPr>
          <w:b/>
        </w:rPr>
        <w:t xml:space="preserve">6 </w:t>
      </w:r>
      <w:r>
        <w:t xml:space="preserve">And he shall take the living bird</w:t>
      </w:r>
      <w:r>
        <w:rPr>
          <w:rStyle w:val="FootnoteReference"/>
        </w:rPr>
        <w:footnoteReference w:id="2240"/>
      </w:r>
      <w:r>
        <w:t xml:space="preserve"> and the cedar wood and the spun scarlet and the hyssop, and dip them and the living bird in the blood of the bird that was slaughtered over living water.</w:t>
      </w:r>
    </w:p>
    <w:p>
      <w:r>
        <w:rPr>
          <w:b/>
        </w:rPr>
        <w:t xml:space="preserve">7 </w:t>
      </w:r>
      <w:r>
        <w:t xml:space="preserve">And he shall sprinkle</w:t>
      </w:r>
      <w:r>
        <w:rPr>
          <w:rStyle w:val="FootnoteReference"/>
        </w:rPr>
        <w:footnoteReference w:id="2241"/>
      </w:r>
      <w:r>
        <w:t xml:space="preserve"> seven times on the one cleansed from the skin-disease, and he shall be clean. And he shall release the living bird into the open field.</w:t>
      </w:r>
    </w:p>
    <w:p>
      <w:r>
        <w:rPr>
          <w:b/>
        </w:rPr>
        <w:t xml:space="preserve">8 </w:t>
      </w:r>
      <w:r>
        <w:t xml:space="preserve">And the one being cleansed shall wash his</w:t>
      </w:r>
      <w:r>
        <w:rPr>
          <w:rStyle w:val="FootnoteReference"/>
        </w:rPr>
        <w:footnoteReference w:id="2242"/>
      </w:r>
      <w:r>
        <w:t xml:space="preserve"> garments and shave all his hair and bathe in water and be clean. And after these things he shall enter into the camp and remain outside his house seven days</w:t>
      </w:r>
      <w:r>
        <w:rPr>
          <w:rStyle w:val="FootnoteReference"/>
        </w:rPr>
        <w:footnoteReference w:id="2243"/>
      </w:r>
      <w:r>
        <w:t xml:space="preserve">.</w:t>
      </w:r>
    </w:p>
    <w:p>
      <w:r>
        <w:rPr>
          <w:b/>
        </w:rPr>
        <w:t xml:space="preserve">9 </w:t>
      </w:r>
      <w:r>
        <w:t xml:space="preserve">And it shall be on the seventh day: he shall shave all</w:t>
      </w:r>
      <w:r>
        <w:rPr>
          <w:rStyle w:val="FootnoteReference"/>
        </w:rPr>
        <w:footnoteReference w:id="2244"/>
      </w:r>
      <w:r>
        <w:t xml:space="preserve"> his hair, his head and his beard and his eyebrows, all his hair he shall shave, and he shall wash his garments and bathe his body in water and be clean.</w:t>
      </w:r>
    </w:p>
    <w:p>
      <w:r>
        <w:rPr>
          <w:b/>
        </w:rPr>
        <w:t xml:space="preserve">10 </w:t>
      </w:r>
      <w:r>
        <w:t xml:space="preserve">And on the eighth day</w:t>
      </w:r>
      <w:r>
        <w:rPr>
          <w:rStyle w:val="FootnoteReference"/>
        </w:rPr>
        <w:footnoteReference w:id="2245"/>
      </w:r>
      <w:r>
        <w:t xml:space="preserve"> he shall take two year-old lambs without blemish and one year-old ewe without blemish and three tenths of fine flour mixed with oil for sacrifice and one cup of oil.</w:t>
      </w:r>
    </w:p>
    <w:p>
      <w:r>
        <w:rPr>
          <w:b/>
        </w:rPr>
        <w:t xml:space="preserve">11 </w:t>
      </w:r>
      <w:r>
        <w:t xml:space="preserve">And the priest who cleanses shall present the person being cleansed and these things before the Lord at the door of the tent of testimony.</w:t>
      </w:r>
    </w:p>
    <w:p>
      <w:r>
        <w:rPr>
          <w:b/>
        </w:rPr>
        <w:t xml:space="preserve">12 </w:t>
      </w:r>
      <w:r>
        <w:t xml:space="preserve">And the priest shall take the one lamb and bring it for trespass</w:t>
      </w:r>
      <w:r>
        <w:rPr>
          <w:rStyle w:val="FootnoteReference"/>
        </w:rPr>
        <w:footnoteReference w:id="2246"/>
      </w:r>
      <w:r>
        <w:t xml:space="preserve">, and the cup of oil, and present them before the Lord as a contribution.</w:t>
      </w:r>
    </w:p>
    <w:p>
      <w:r>
        <w:rPr>
          <w:b/>
        </w:rPr>
        <w:t xml:space="preserve">13 </w:t>
      </w:r>
      <w:r>
        <w:t xml:space="preserve">And they shall slaughter the lamb in the place</w:t>
      </w:r>
      <w:r>
        <w:rPr>
          <w:rStyle w:val="FootnoteReference"/>
        </w:rPr>
        <w:footnoteReference w:id="2247"/>
      </w:r>
      <w:r>
        <w:t xml:space="preserve"> where they slaughter the whole burnt offerings and the things for sin, in a holy place, for as the thing for sin, so also the thing for trespass belongs to the priest. It is holy of holies.</w:t>
      </w:r>
    </w:p>
    <w:p>
      <w:r>
        <w:rPr>
          <w:b/>
        </w:rPr>
        <w:t xml:space="preserve">14 </w:t>
      </w:r>
      <w:r>
        <w:t xml:space="preserve">And the priest shall take some of the blood of the thing for trespass, and the priest shall place it on the lobe of the right ear of the one being cleansed and on the tip of his right hand and on the tip of his right foot.</w:t>
      </w:r>
      <w:r>
        <w:rPr>
          <w:rStyle w:val="FootnoteReference"/>
        </w:rPr>
        <w:footnoteReference w:id="2248"/>
      </w:r>
    </w:p>
    <w:p>
      <w:r>
        <w:rPr>
          <w:b/>
        </w:rPr>
        <w:t xml:space="preserve">15 </w:t>
      </w:r>
      <w:r>
        <w:t xml:space="preserve">And the priest, taking some of the cup of oil, shall pour it on the priest's left hand.</w:t>
      </w:r>
    </w:p>
    <w:p>
      <w:r>
        <w:rPr>
          <w:b/>
        </w:rPr>
        <w:t xml:space="preserve">16 </w:t>
      </w:r>
      <w:r>
        <w:t xml:space="preserve">And the priest shall dip his right finger in the oil that is on his left hand</w:t>
      </w:r>
      <w:r>
        <w:rPr>
          <w:rStyle w:val="FootnoteReference"/>
        </w:rPr>
        <w:footnoteReference w:id="2249"/>
      </w:r>
      <w:r>
        <w:t xml:space="preserve"> and sprinkle some of the oil with his finger seven times before the Lord.</w:t>
      </w:r>
    </w:p>
    <w:p>
      <w:r>
        <w:rPr>
          <w:b/>
        </w:rPr>
        <w:t xml:space="preserve">17 </w:t>
      </w:r>
      <w:r>
        <w:t xml:space="preserve">And the oil remaining in his hand the priest shall place on the lobe of the right ear of the one being cleansed and on the tip of his right hand and on the tip of his right foot, on the place of the blood</w:t>
      </w:r>
      <w:r>
        <w:rPr>
          <w:rStyle w:val="FootnoteReference"/>
        </w:rPr>
        <w:footnoteReference w:id="2250"/>
      </w:r>
      <w:r>
        <w:t xml:space="preserve"> of the thing for trespass.</w:t>
      </w:r>
    </w:p>
    <w:p>
      <w:r>
        <w:rPr>
          <w:b/>
        </w:rPr>
        <w:t xml:space="preserve">18 </w:t>
      </w:r>
      <w:r>
        <w:t xml:space="preserve">And the oil remaining on the priest's hand the priest shall place on the head of the one cleansed, and the priest shall make atonement for him before the Lord.</w:t>
      </w:r>
    </w:p>
    <w:p>
      <w:r>
        <w:rPr>
          <w:b/>
        </w:rPr>
        <w:t xml:space="preserve">19 </w:t>
      </w:r>
      <w:r>
        <w:t xml:space="preserve">And the priest shall make the thing for sin, and the priest shall make atonement for the unclean one being cleansed from his sin, and after this the priest shall slaughter the whole burnt offering.</w:t>
      </w:r>
    </w:p>
    <w:p>
      <w:r>
        <w:rPr>
          <w:b/>
        </w:rPr>
        <w:t xml:space="preserve">20 </w:t>
      </w:r>
      <w:r>
        <w:t xml:space="preserve">And the priest shall offer the whole burnt offering and the sacrifice on the altar before the Lord, and the priest shall make atonement for him, and he shall be cleansed.</w:t>
      </w:r>
    </w:p>
    <w:p>
      <w:r>
        <w:rPr>
          <w:b/>
        </w:rPr>
        <w:t xml:space="preserve">21 </w:t>
      </w:r>
      <w:r>
        <w:t xml:space="preserve">But if he is poor and his hand cannot find enough</w:t>
      </w:r>
      <w:r>
        <w:rPr>
          <w:rStyle w:val="FootnoteReference"/>
        </w:rPr>
        <w:footnoteReference w:id="2251"/>
      </w:r>
      <w:r>
        <w:t xml:space="preserve">, he shall take one lamb for the thing in which he trespassed, as a contribution to make atonement for him, and one tenth of fine flour mixed with oil for sacrifice, and one cup of oil,</w:t>
      </w:r>
      <w:r>
        <w:rPr>
          <w:rStyle w:val="FootnoteReference"/>
        </w:rPr>
        <w:footnoteReference w:id="2252"/>
      </w:r>
    </w:p>
    <w:p>
      <w:r>
        <w:rPr>
          <w:b/>
        </w:rPr>
        <w:t xml:space="preserve">22 </w:t>
      </w:r>
      <w:r>
        <w:t xml:space="preserve">and two turtledoves or two young pigeons, whatever his hand can find, and one shall be for sin and one for whole burnt offering.</w:t>
      </w:r>
    </w:p>
    <w:p>
      <w:r>
        <w:rPr>
          <w:b/>
        </w:rPr>
        <w:t xml:space="preserve">23 </w:t>
      </w:r>
      <w:r>
        <w:t xml:space="preserve">And he shall bring them on the eighth day for his cleansing to the priest, to the door of the tent of testimony, before the Lord.</w:t>
      </w:r>
    </w:p>
    <w:p>
      <w:r>
        <w:rPr>
          <w:b/>
        </w:rPr>
        <w:t xml:space="preserve">24 </w:t>
      </w:r>
      <w:r>
        <w:t xml:space="preserve">And the priest shall take the lamb for trespass and the cup of oil and present them before the Lord as a presentation.</w:t>
      </w:r>
    </w:p>
    <w:p>
      <w:r>
        <w:rPr>
          <w:b/>
        </w:rPr>
        <w:t xml:space="preserve">25 </w:t>
      </w:r>
      <w:r>
        <w:t xml:space="preserve">And he shall slaughter the lamb for trespass, and the priest shall take some of the blood of the thing for trespass</w:t>
      </w:r>
      <w:r>
        <w:rPr>
          <w:rStyle w:val="FootnoteReference"/>
        </w:rPr>
        <w:footnoteReference w:id="2253"/>
      </w:r>
      <w:r>
        <w:t xml:space="preserve"> and place it on the lobe of the right ear of the one being cleansed and on the tip of his right hand and on the tip of his right foot.</w:t>
      </w:r>
    </w:p>
    <w:p>
      <w:r>
        <w:rPr>
          <w:b/>
        </w:rPr>
        <w:t xml:space="preserve">26 </w:t>
      </w:r>
      <w:r>
        <w:t xml:space="preserve">And some of the oil the priest shall pour on the priest's left hand.</w:t>
      </w:r>
    </w:p>
    <w:p>
      <w:r>
        <w:rPr>
          <w:b/>
        </w:rPr>
        <w:t xml:space="preserve">27 </w:t>
      </w:r>
      <w:r>
        <w:t xml:space="preserve">And the priest shall sprinkle with his right finger</w:t>
      </w:r>
      <w:r>
        <w:rPr>
          <w:rStyle w:val="FootnoteReference"/>
        </w:rPr>
        <w:footnoteReference w:id="2254"/>
      </w:r>
      <w:r>
        <w:t xml:space="preserve"> some of the oil that is in his left hand seven times before the Lord.</w:t>
      </w:r>
    </w:p>
    <w:p>
      <w:r>
        <w:rPr>
          <w:b/>
        </w:rPr>
        <w:t xml:space="preserve">28 </w:t>
      </w:r>
      <w:r>
        <w:t xml:space="preserve">And the priest shall place some of the oil on his hand on the lobe of the right ear of the one being cleansed and on the tip of his right hand and on the tip of his right foot, on the place of the blood of the thing for trespass</w:t>
      </w:r>
      <w:r>
        <w:rPr>
          <w:rStyle w:val="FootnoteReference"/>
        </w:rPr>
        <w:footnoteReference w:id="2255"/>
      </w:r>
      <w:r>
        <w:t xml:space="preserve">.</w:t>
      </w:r>
    </w:p>
    <w:p>
      <w:r>
        <w:rPr>
          <w:b/>
        </w:rPr>
        <w:t xml:space="preserve">29 </w:t>
      </w:r>
      <w:r>
        <w:t xml:space="preserve">And what remains of the oil on the priest's hand the priest shall place on the head of the one cleansed, and the priest shall make atonement for him before the Lord.</w:t>
      </w:r>
    </w:p>
    <w:p>
      <w:r>
        <w:rPr>
          <w:b/>
        </w:rPr>
        <w:t xml:space="preserve">30 </w:t>
      </w:r>
      <w:r>
        <w:t xml:space="preserve">And he shall make one of the turtledoves or of the young pigeons, whatever his hand can find,</w:t>
      </w:r>
    </w:p>
    <w:p>
      <w:r>
        <w:rPr>
          <w:b/>
        </w:rPr>
        <w:t xml:space="preserve">31 </w:t>
      </w:r>
      <w:r>
        <w:t xml:space="preserve">the one for sin and the one for whole burnt offering with the sacrifice</w:t>
      </w:r>
      <w:r>
        <w:rPr>
          <w:rStyle w:val="FootnoteReference"/>
        </w:rPr>
        <w:footnoteReference w:id="2256"/>
      </w:r>
      <w:r>
        <w:t xml:space="preserve">, and the priest shall make atonement before the Lord for the one being cleansed.</w:t>
      </w:r>
    </w:p>
    <w:p>
      <w:r>
        <w:rPr>
          <w:b/>
        </w:rPr>
        <w:t xml:space="preserve">32 </w:t>
      </w:r>
      <w:r>
        <w:t xml:space="preserve">This is the law for the one in whom is the mark of skin-disease, and whose hand</w:t>
      </w:r>
      <w:r>
        <w:rPr>
          <w:rStyle w:val="FootnoteReference"/>
        </w:rPr>
        <w:footnoteReference w:id="2257"/>
      </w:r>
      <w:r>
        <w:t xml:space="preserve"> does not find enough for his cleansing.</w:t>
      </w:r>
    </w:p>
    <w:p>
      <w:r>
        <w:rPr>
          <w:b/>
        </w:rPr>
        <w:t xml:space="preserve">33 </w:t>
      </w:r>
      <w:r>
        <w:t xml:space="preserve">And the Lord spoke to Moses and Aaron, saying,</w:t>
      </w:r>
    </w:p>
    <w:p>
      <w:r>
        <w:rPr>
          <w:b/>
        </w:rPr>
        <w:t xml:space="preserve">34 </w:t>
      </w:r>
      <w:r>
        <w:t xml:space="preserve">When you enter into the land of the Canaanites, which I</w:t>
      </w:r>
      <w:r>
        <w:rPr>
          <w:rStyle w:val="FootnoteReference"/>
        </w:rPr>
        <w:footnoteReference w:id="2258"/>
      </w:r>
      <w:r>
        <w:t xml:space="preserve"> give you for a possession, and I place a mark of skin-disease in the houses of the land of your possession,</w:t>
      </w:r>
    </w:p>
    <w:p>
      <w:r>
        <w:rPr>
          <w:b/>
        </w:rPr>
        <w:t xml:space="preserve">35 </w:t>
      </w:r>
      <w:r>
        <w:t xml:space="preserve">then the one whose house it is shall come and report to the priest, saying, Something like a mark has appeared to me in the house.</w:t>
      </w:r>
    </w:p>
    <w:p>
      <w:r>
        <w:rPr>
          <w:b/>
        </w:rPr>
        <w:t xml:space="preserve">36 </w:t>
      </w:r>
      <w:r>
        <w:t xml:space="preserve">And the priest shall command them to empty the house</w:t>
      </w:r>
      <w:r>
        <w:rPr>
          <w:rStyle w:val="FootnoteReference"/>
        </w:rPr>
        <w:footnoteReference w:id="2259"/>
      </w:r>
      <w:r>
        <w:t xml:space="preserve"> before the priest goes in to inspect the mark, so that everything in the house may not become unclean. And after this the priest shall go in to inspect the house.</w:t>
      </w:r>
    </w:p>
    <w:p>
      <w:r>
        <w:rPr>
          <w:b/>
        </w:rPr>
        <w:t xml:space="preserve">37 </w:t>
      </w:r>
      <w:r>
        <w:t xml:space="preserve">And he shall inspect the mark, and if the mark on the walls of the house has greenish or reddish hollows, and their appearance is deeper than the walls,</w:t>
      </w:r>
    </w:p>
    <w:p>
      <w:r>
        <w:rPr>
          <w:b/>
        </w:rPr>
        <w:t xml:space="preserve">38 </w:t>
      </w:r>
      <w:r>
        <w:t xml:space="preserve">then the priest shall go out of the house to the door of the house, and the priest shall isolate the house seven days.</w:t>
      </w:r>
    </w:p>
    <w:p>
      <w:r>
        <w:rPr>
          <w:b/>
        </w:rPr>
        <w:t xml:space="preserve">39 </w:t>
      </w:r>
      <w:r>
        <w:t xml:space="preserve">And the priest shall return on the seventh day and inspect, and if the mark has spread in the walls of the house,</w:t>
      </w:r>
    </w:p>
    <w:p>
      <w:r>
        <w:rPr>
          <w:b/>
        </w:rPr>
        <w:t xml:space="preserve">40 </w:t>
      </w:r>
      <w:r>
        <w:t xml:space="preserve">then the priest shall command, and they shall remove the stones in which the mark is and throw them outside the city into an unclean place.</w:t>
      </w:r>
    </w:p>
    <w:p>
      <w:r>
        <w:rPr>
          <w:b/>
        </w:rPr>
        <w:t xml:space="preserve">41 </w:t>
      </w:r>
      <w:r>
        <w:t xml:space="preserve">And they shall scrape the house inside all around, and they shall pour out the dust that they scraped outside the city into an unclean place</w:t>
      </w:r>
      <w:r>
        <w:rPr>
          <w:rStyle w:val="FootnoteReference"/>
        </w:rPr>
        <w:footnoteReference w:id="2260"/>
      </w:r>
      <w:r>
        <w:t xml:space="preserve">.</w:t>
      </w:r>
    </w:p>
    <w:p>
      <w:r>
        <w:rPr>
          <w:b/>
        </w:rPr>
        <w:t xml:space="preserve">42 </w:t>
      </w:r>
      <w:r>
        <w:t xml:space="preserve">And they shall take other stones, scraped, and put them in place of the stones, and they shall take other plaster and plaster the house.</w:t>
      </w:r>
    </w:p>
    <w:p>
      <w:r>
        <w:rPr>
          <w:b/>
        </w:rPr>
        <w:t xml:space="preserve">43 </w:t>
      </w:r>
      <w:r>
        <w:t xml:space="preserve">But if the mark comes again and springs up in the house after they remove the stones and after the house is scraped and after it is plastered,</w:t>
      </w:r>
    </w:p>
    <w:p>
      <w:r>
        <w:rPr>
          <w:b/>
        </w:rPr>
        <w:t xml:space="preserve">44 </w:t>
      </w:r>
      <w:r>
        <w:t xml:space="preserve">then the priest shall go in and inspect. If the mark has spread in the house, it is persistent skin-disease in the house. It is unclean.</w:t>
      </w:r>
    </w:p>
    <w:p>
      <w:r>
        <w:rPr>
          <w:b/>
        </w:rPr>
        <w:t xml:space="preserve">45 </w:t>
      </w:r>
      <w:r>
        <w:t xml:space="preserve">And they shall pull down the house, and its timbers and its stones, and all its dust they shall carry outside the city into an unclean place</w:t>
      </w:r>
      <w:r>
        <w:rPr>
          <w:rStyle w:val="FootnoteReference"/>
        </w:rPr>
        <w:footnoteReference w:id="2261"/>
      </w:r>
      <w:r>
        <w:t xml:space="preserve">.</w:t>
      </w:r>
    </w:p>
    <w:p>
      <w:r>
        <w:rPr>
          <w:b/>
        </w:rPr>
        <w:t xml:space="preserve">46 </w:t>
      </w:r>
      <w:r>
        <w:t xml:space="preserve">And the one entering into the house all the days during which it is isolated shall be unclean</w:t>
      </w:r>
      <w:r>
        <w:rPr>
          <w:rStyle w:val="FootnoteReference"/>
        </w:rPr>
        <w:footnoteReference w:id="2262"/>
      </w:r>
      <w:r>
        <w:t xml:space="preserve"> until evening.</w:t>
      </w:r>
    </w:p>
    <w:p>
      <w:r>
        <w:rPr>
          <w:b/>
        </w:rPr>
        <w:t xml:space="preserve">47 </w:t>
      </w:r>
      <w:r>
        <w:t xml:space="preserve">And the one sleeping in the house shall wash his garments and be unclean until evening, and the one eating in the house shall wash his garments and be unclean until evening.</w:t>
      </w:r>
    </w:p>
    <w:p>
      <w:r>
        <w:rPr>
          <w:b/>
        </w:rPr>
        <w:t xml:space="preserve">48 </w:t>
      </w:r>
      <w:r>
        <w:t xml:space="preserve">But if the priest does come and inspect, and if the mark has not spread in the house after the house was plastered, then the priest shall pronounce the house clean, because the mark is healed.</w:t>
      </w:r>
    </w:p>
    <w:p>
      <w:r>
        <w:rPr>
          <w:b/>
        </w:rPr>
        <w:t xml:space="preserve">49 </w:t>
      </w:r>
      <w:r>
        <w:t xml:space="preserve">And he shall take to purify the house two living clean birds and cedar wood and spun scarlet and hyssop.</w:t>
      </w:r>
    </w:p>
    <w:p>
      <w:r>
        <w:rPr>
          <w:b/>
        </w:rPr>
        <w:t xml:space="preserve">50 </w:t>
      </w:r>
      <w:r>
        <w:t xml:space="preserve">And he shall slaughter the one bird in an earthen vessel over living water.</w:t>
      </w:r>
    </w:p>
    <w:p>
      <w:r>
        <w:rPr>
          <w:b/>
        </w:rPr>
        <w:t xml:space="preserve">51 </w:t>
      </w:r>
      <w:r>
        <w:t xml:space="preserve">And he shall take the cedar wood and the spun scarlet and the hyssop and the living bird, and dip them in the blood of the slaughtered bird over living water, and with them he shall sprinkle the house seven times.</w:t>
      </w:r>
      <w:r>
        <w:rPr>
          <w:rStyle w:val="FootnoteReference"/>
        </w:rPr>
        <w:footnoteReference w:id="2263"/>
      </w:r>
      <w:r>
        <w:t xml:space="preserve"/>
      </w:r>
    </w:p>
    <w:p>
      <w:r>
        <w:rPr>
          <w:b/>
        </w:rPr>
        <w:t xml:space="preserve">52 </w:t>
      </w:r>
      <w:r>
        <w:t xml:space="preserve">And he shall purify the house with the blood of the bird and with the living water and with the living bird and with the cedar wood and with the hyssop and with the spun scarlet.</w:t>
      </w:r>
    </w:p>
    <w:p>
      <w:r>
        <w:rPr>
          <w:b/>
        </w:rPr>
        <w:t xml:space="preserve">53 </w:t>
      </w:r>
      <w:r>
        <w:t xml:space="preserve">And he shall release the living bird outside the city into the open field, and shall make atonement for the house, and it shall be clean.</w:t>
      </w:r>
    </w:p>
    <w:p>
      <w:r>
        <w:rPr>
          <w:b/>
        </w:rPr>
        <w:t xml:space="preserve">54 </w:t>
      </w:r>
      <w:r>
        <w:t xml:space="preserve">This is the law</w:t>
      </w:r>
      <w:r>
        <w:rPr>
          <w:rStyle w:val="FootnoteReference"/>
        </w:rPr>
        <w:footnoteReference w:id="2264"/>
      </w:r>
      <w:r>
        <w:t xml:space="preserve"> for every mark of skin-disease and scaly patch,</w:t>
      </w:r>
    </w:p>
    <w:p>
      <w:r>
        <w:rPr>
          <w:b/>
        </w:rPr>
        <w:t xml:space="preserve">55 </w:t>
      </w:r>
      <w:r>
        <w:t xml:space="preserve">and for skin-disease of garment and house,</w:t>
      </w:r>
    </w:p>
    <w:p>
      <w:r>
        <w:rPr>
          <w:b/>
        </w:rPr>
        <w:t xml:space="preserve">56 </w:t>
      </w:r>
      <w:r>
        <w:t xml:space="preserve">and for swelling and mark and bright spot,</w:t>
      </w:r>
    </w:p>
    <w:p>
      <w:r>
        <w:rPr>
          <w:b/>
        </w:rPr>
        <w:t xml:space="preserve">57 </w:t>
      </w:r>
      <w:r>
        <w:t xml:space="preserve">to explain the day when it is unclean and the day when it is clean</w:t>
      </w:r>
      <w:r>
        <w:rPr>
          <w:rStyle w:val="FootnoteReference"/>
        </w:rPr>
        <w:footnoteReference w:id="2265"/>
      </w:r>
      <w:r>
        <w:t xml:space="preserve">. This is</w:t>
      </w:r>
      <w:r>
        <w:rPr>
          <w:rStyle w:val="FootnoteReference"/>
        </w:rPr>
        <w:footnoteReference w:id="2266"/>
      </w:r>
      <w:r>
        <w:t xml:space="preserve"> the law of skin-disease.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the Lord spoke to Moses and Aaron</w:t>
      </w:r>
      <w:r>
        <w:rPr>
          <w:rStyle w:val="FootnoteReference"/>
        </w:rPr>
        <w:footnoteReference w:id="2267"/>
      </w:r>
      <w:r>
        <w:t xml:space="preserve">, saying,</w:t>
      </w:r>
    </w:p>
    <w:p>
      <w:r>
        <w:rPr>
          <w:b/>
        </w:rPr>
        <w:t xml:space="preserve">2 </w:t>
      </w:r>
      <w:r>
        <w:t xml:space="preserve">Speak to the sons of Israel and say to them, If any man has a discharge from his body, his discharge is unclean.</w:t>
      </w:r>
    </w:p>
    <w:p>
      <w:r>
        <w:rPr>
          <w:b/>
        </w:rPr>
        <w:t xml:space="preserve">3 </w:t>
      </w:r>
      <w:r>
        <w:t xml:space="preserve">And this is the law of his uncleanness in his discharge: whether his body runs with the discharge or his body is stopped up from the discharge, this is his uncleanness. All the days of the discharge of his body, or if his body is stopped up by the discharge, this is his uncleanness.</w:t>
      </w:r>
    </w:p>
    <w:p>
      <w:r>
        <w:rPr>
          <w:b/>
        </w:rPr>
        <w:t xml:space="preserve">4 </w:t>
      </w:r>
      <w:r>
        <w:t xml:space="preserve">Every bed on which the one with discharge lies is unclean, and every vessel on which the one with discharge sits shall be unclean</w:t>
      </w:r>
      <w:r>
        <w:rPr>
          <w:rStyle w:val="FootnoteReference"/>
        </w:rPr>
        <w:footnoteReference w:id="2268"/>
      </w:r>
      <w:r>
        <w:t xml:space="preserve">.</w:t>
      </w:r>
    </w:p>
    <w:p>
      <w:r>
        <w:rPr>
          <w:b/>
        </w:rPr>
        <w:t xml:space="preserve">5 </w:t>
      </w:r>
      <w:r>
        <w:t xml:space="preserve">And the person who touches his bed shall wash his garments and bathe in water and be unclean until evening.</w:t>
      </w:r>
    </w:p>
    <w:p>
      <w:r>
        <w:rPr>
          <w:b/>
        </w:rPr>
        <w:t xml:space="preserve">6 </w:t>
      </w:r>
      <w:r>
        <w:t xml:space="preserve">And the one sitting on the vessel on which the one with discharge sat shall wash his garments and bathe in water and be unclean until evening.</w:t>
      </w:r>
    </w:p>
    <w:p>
      <w:r>
        <w:rPr>
          <w:b/>
        </w:rPr>
        <w:t xml:space="preserve">7 </w:t>
      </w:r>
      <w:r>
        <w:t xml:space="preserve">And the one touching the flesh of the one with discharge shall wash his garments and bathe in water and be unclean until evening.</w:t>
      </w:r>
    </w:p>
    <w:p>
      <w:r>
        <w:rPr>
          <w:b/>
        </w:rPr>
        <w:t xml:space="preserve">8 </w:t>
      </w:r>
      <w:r>
        <w:t xml:space="preserve">And if the one with discharge spits on the clean person, he shall wash his garments and bathe in water and be unclean until evening.</w:t>
      </w:r>
    </w:p>
    <w:p>
      <w:r>
        <w:rPr>
          <w:b/>
        </w:rPr>
        <w:t xml:space="preserve">9 </w:t>
      </w:r>
      <w:r>
        <w:t xml:space="preserve">And every saddle</w:t>
      </w:r>
      <w:r>
        <w:rPr>
          <w:rStyle w:val="FootnoteReference"/>
        </w:rPr>
        <w:footnoteReference w:id="2269"/>
      </w:r>
      <w:r>
        <w:t xml:space="preserve"> of a donkey on which the one with discharge rides shall be unclean until evening.</w:t>
      </w:r>
    </w:p>
    <w:p>
      <w:r>
        <w:rPr>
          <w:b/>
        </w:rPr>
        <w:t xml:space="preserve">10 </w:t>
      </w:r>
      <w:r>
        <w:t xml:space="preserve">And everyone touching whatever is under him shall be unclean until evening, and the one carrying those things</w:t>
      </w:r>
      <w:r>
        <w:rPr>
          <w:rStyle w:val="FootnoteReference"/>
        </w:rPr>
        <w:footnoteReference w:id="2270"/>
      </w:r>
      <w:r>
        <w:t xml:space="preserve"> shall wash his garments and bathe in water and be unclean until evening.</w:t>
      </w:r>
    </w:p>
    <w:p>
      <w:r>
        <w:rPr>
          <w:b/>
        </w:rPr>
        <w:t xml:space="preserve">11 </w:t>
      </w:r>
      <w:r>
        <w:t xml:space="preserve">And whomever the one with discharge touches, if he has not washed his hands in water, he shall wash his garments and bathe his body in water and be unclean until evening.</w:t>
      </w:r>
    </w:p>
    <w:p>
      <w:r>
        <w:rPr>
          <w:b/>
        </w:rPr>
        <w:t xml:space="preserve">12 </w:t>
      </w:r>
      <w:r>
        <w:t xml:space="preserve">And an earthen vessel</w:t>
      </w:r>
      <w:r>
        <w:rPr>
          <w:rStyle w:val="FootnoteReference"/>
        </w:rPr>
        <w:footnoteReference w:id="2271"/>
      </w:r>
      <w:r>
        <w:t xml:space="preserve"> that the one with discharge touches shall be broken, and a wooden vessel shall be washed with water and shall be clean.</w:t>
      </w:r>
    </w:p>
    <w:p>
      <w:r>
        <w:rPr>
          <w:b/>
        </w:rPr>
        <w:t xml:space="preserve">13 </w:t>
      </w:r>
      <w:r>
        <w:t xml:space="preserve">And if the one with discharge is cleansed from his discharge, then he shall count seven days</w:t>
      </w:r>
      <w:r>
        <w:rPr>
          <w:rStyle w:val="FootnoteReference"/>
        </w:rPr>
        <w:footnoteReference w:id="2272"/>
      </w:r>
      <w:r>
        <w:t xml:space="preserve"> for his cleansing and wash his garments and bathe his body in water and be clean.</w:t>
      </w:r>
    </w:p>
    <w:p>
      <w:r>
        <w:rPr>
          <w:b/>
        </w:rPr>
        <w:t xml:space="preserve">14 </w:t>
      </w:r>
      <w:r>
        <w:t xml:space="preserve">And on the eighth day he shall take for himself two turtledoves or two young pigeons and bring them before the Lord to the doors of the tent of testimony and give them to the priest.</w:t>
      </w:r>
    </w:p>
    <w:p>
      <w:r>
        <w:rPr>
          <w:b/>
        </w:rPr>
        <w:t xml:space="preserve">15 </w:t>
      </w:r>
      <w:r>
        <w:t xml:space="preserve">And the priest shall make them, one for sin and one for whole burnt offering, and the priest shall make atonement for him before the Lord from his discharge.</w:t>
      </w:r>
    </w:p>
    <w:p>
      <w:r>
        <w:rPr>
          <w:b/>
        </w:rPr>
        <w:t xml:space="preserve">16 </w:t>
      </w:r>
      <w:r>
        <w:t xml:space="preserve">And a man from whom an emission of seed goes out shall bathe all his body in water and be unclean until evening.</w:t>
      </w:r>
    </w:p>
    <w:p>
      <w:r>
        <w:rPr>
          <w:b/>
        </w:rPr>
        <w:t xml:space="preserve">17 </w:t>
      </w:r>
      <w:r>
        <w:t xml:space="preserve">And every garment and every skin on which there is an emission of seed shall be washed with water and be unclean until evening.</w:t>
      </w:r>
    </w:p>
    <w:p>
      <w:r>
        <w:rPr>
          <w:b/>
        </w:rPr>
        <w:t xml:space="preserve">18 </w:t>
      </w:r>
      <w:r>
        <w:t xml:space="preserve">And if a woman lies with a man in an emission of seed, they shall bathe in water and be unclean</w:t>
      </w:r>
      <w:r>
        <w:rPr>
          <w:rStyle w:val="FootnoteReference"/>
        </w:rPr>
        <w:footnoteReference w:id="2273"/>
      </w:r>
      <w:r>
        <w:t xml:space="preserve"> until evening.</w:t>
      </w:r>
    </w:p>
    <w:p>
      <w:r>
        <w:rPr>
          <w:b/>
        </w:rPr>
        <w:t xml:space="preserve">19 </w:t>
      </w:r>
      <w:r>
        <w:t xml:space="preserve">And if a woman has a flow of blood, her flow being in her body, she shall be in her separation seven days. Everyone touching her shall be unclean until evening.</w:t>
      </w:r>
    </w:p>
    <w:p>
      <w:r>
        <w:rPr>
          <w:b/>
        </w:rPr>
        <w:t xml:space="preserve">20 </w:t>
      </w:r>
      <w:r>
        <w:t xml:space="preserve">And everything on which she lies during her separation shall be unclean, and everything on which she sits shall be unclean.</w:t>
      </w:r>
    </w:p>
    <w:p>
      <w:r>
        <w:rPr>
          <w:b/>
        </w:rPr>
        <w:t xml:space="preserve">21 </w:t>
      </w:r>
      <w:r>
        <w:t xml:space="preserve">And everyone touching her bed shall wash his garments and bathe his body in water and be unclean until evening.</w:t>
      </w:r>
    </w:p>
    <w:p>
      <w:r>
        <w:rPr>
          <w:b/>
        </w:rPr>
        <w:t xml:space="preserve">22 </w:t>
      </w:r>
      <w:r>
        <w:t xml:space="preserve">And everyone touching any vessel on which she sits shall wash his garments and bathe in water and be unclean until evening.</w:t>
      </w:r>
    </w:p>
    <w:p>
      <w:r>
        <w:rPr>
          <w:b/>
        </w:rPr>
        <w:t xml:space="preserve">23 </w:t>
      </w:r>
      <w:r>
        <w:t xml:space="preserve">And if it is on the bed or on the vessel on which she sat, when he touches it he shall be unclean until evening.</w:t>
      </w:r>
    </w:p>
    <w:p>
      <w:r>
        <w:rPr>
          <w:b/>
        </w:rPr>
        <w:t xml:space="preserve">24 </w:t>
      </w:r>
      <w:r>
        <w:t xml:space="preserve">And if anyone lies with her and her uncleanness comes upon him, he shall be unclean seven days, and every bed on which he lies shall be unclean.</w:t>
      </w:r>
    </w:p>
    <w:p>
      <w:r>
        <w:rPr>
          <w:b/>
        </w:rPr>
        <w:t xml:space="preserve">25 </w:t>
      </w:r>
      <w:r>
        <w:t xml:space="preserve">And if a woman has a flow of blood for many days, not at the time of her separation, or if she flows after her separation, all the days of the flow of her uncleanness, just as in the days of her separation, she shall be unclean.</w:t>
      </w:r>
    </w:p>
    <w:p>
      <w:r>
        <w:rPr>
          <w:b/>
        </w:rPr>
        <w:t xml:space="preserve">26 </w:t>
      </w:r>
      <w:r>
        <w:t xml:space="preserve">And every bed on which she lies during all the days of her flow shall be to her like the bed of her separation</w:t>
      </w:r>
      <w:r>
        <w:rPr>
          <w:rStyle w:val="FootnoteReference"/>
        </w:rPr>
        <w:footnoteReference w:id="2274"/>
      </w:r>
      <w:r>
        <w:t xml:space="preserve">, and every vessel on which she sits shall be unclean like the uncleanness of her separation.</w:t>
      </w:r>
    </w:p>
    <w:p>
      <w:r>
        <w:rPr>
          <w:b/>
        </w:rPr>
        <w:t xml:space="preserve">27 </w:t>
      </w:r>
      <w:r>
        <w:t xml:space="preserve">Everyone touching her shall be unclean, and he shall wash his garments and bathe his body in water</w:t>
      </w:r>
      <w:r>
        <w:rPr>
          <w:rStyle w:val="FootnoteReference"/>
        </w:rPr>
        <w:footnoteReference w:id="2275"/>
      </w:r>
      <w:r>
        <w:t xml:space="preserve"> and be unclean until evening.</w:t>
      </w:r>
    </w:p>
    <w:p>
      <w:r>
        <w:rPr>
          <w:b/>
        </w:rPr>
        <w:t xml:space="preserve">28 </w:t>
      </w:r>
      <w:r>
        <w:t xml:space="preserve">But if she is cleansed from her flow, then she shall count seven days for herself, and after this she shall be clean.</w:t>
      </w:r>
    </w:p>
    <w:p>
      <w:r>
        <w:rPr>
          <w:b/>
        </w:rPr>
        <w:t xml:space="preserve">29 </w:t>
      </w:r>
      <w:r>
        <w:t xml:space="preserve">And on the eighth day she shall take for herself two turtledoves or two young pigeons and bring them to the priest, to the door of the tent of testimony.</w:t>
      </w:r>
    </w:p>
    <w:p>
      <w:r>
        <w:rPr>
          <w:b/>
        </w:rPr>
        <w:t xml:space="preserve">30 </w:t>
      </w:r>
      <w:r>
        <w:t xml:space="preserve">And the priest shall make the one for sin and the one for whole burnt offering, and the priest shall make atonement for her before the Lord from the flow of her uncleanness.</w:t>
      </w:r>
    </w:p>
    <w:p>
      <w:r>
        <w:rPr>
          <w:b/>
        </w:rPr>
        <w:t xml:space="preserve">31 </w:t>
      </w:r>
      <w:r>
        <w:t xml:space="preserve">And you shall make the sons of Israel cautious from their uncleannesses, and they shall not die because of their uncleannesses by defiling my tent that is among them.</w:t>
      </w:r>
    </w:p>
    <w:p>
      <w:r>
        <w:rPr>
          <w:b/>
        </w:rPr>
        <w:t xml:space="preserve">32 </w:t>
      </w:r>
      <w:r>
        <w:t xml:space="preserve">This is the law of the one with discharge, and of the one from whom an emission of seed goes out so as to become unclean by it,</w:t>
      </w:r>
    </w:p>
    <w:p>
      <w:r>
        <w:rPr>
          <w:b/>
        </w:rPr>
        <w:t xml:space="preserve">33 </w:t>
      </w:r>
      <w:r>
        <w:t xml:space="preserve">and of the woman flowing in her separation, and of the one with discharge in his flow, for the male and for the female, and for the man who lies with a separated woman.</w:t>
      </w:r>
      <w:r>
        <w:rPr>
          <w:rStyle w:val="FootnoteReference"/>
        </w:rPr>
        <w:footnoteReference w:id="2276"/>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the Lord spoke to Moses after the two sons of Aaron died when they brought foreign fire before the Lord, and they died.</w:t>
      </w:r>
    </w:p>
    <w:p>
      <w:r>
        <w:rPr>
          <w:b/>
        </w:rPr>
        <w:t xml:space="preserve">2 </w:t>
      </w:r>
      <w:r>
        <w:t xml:space="preserve">And the Lord said to Moses, Speak to Aaron your brother, and let him not enter at every time into the holy place within the veil, before the propitiatory that is upon the ark of testimony, so that he may not die, for in a cloud I will be seen upon the propitiatory.</w:t>
      </w:r>
      <w:r>
        <w:rPr>
          <w:rStyle w:val="FootnoteReference"/>
        </w:rPr>
        <w:footnoteReference w:id="2277"/>
      </w:r>
    </w:p>
    <w:p>
      <w:r>
        <w:rPr>
          <w:b/>
        </w:rPr>
        <w:t xml:space="preserve">3 </w:t>
      </w:r>
      <w:r>
        <w:t xml:space="preserve">Thus Aaron</w:t>
      </w:r>
      <w:r>
        <w:rPr>
          <w:rStyle w:val="FootnoteReference"/>
        </w:rPr>
        <w:footnoteReference w:id="2278"/>
      </w:r>
      <w:r>
        <w:t xml:space="preserve"> shall enter into the holy place: with a calf from the cattle for sin and a ram for whole burnt offering.</w:t>
      </w:r>
    </w:p>
    <w:p>
      <w:r>
        <w:rPr>
          <w:b/>
        </w:rPr>
        <w:t xml:space="preserve">4 </w:t>
      </w:r>
      <w:r>
        <w:t xml:space="preserve">And he shall put on the holy linen tunic, and linen undergarments</w:t>
      </w:r>
      <w:r>
        <w:rPr>
          <w:rStyle w:val="FootnoteReference"/>
        </w:rPr>
        <w:footnoteReference w:id="2279"/>
      </w:r>
      <w:r>
        <w:t xml:space="preserve"> shall be upon his flesh, and he shall gird himself with a linen sash, and shall put on a linen turban. They are holy garments. And he shall bathe all his body in water and put them on.</w:t>
      </w:r>
    </w:p>
    <w:p>
      <w:r>
        <w:rPr>
          <w:b/>
        </w:rPr>
        <w:t xml:space="preserve">5 </w:t>
      </w:r>
      <w:r>
        <w:t xml:space="preserve">And from the congregation of the sons of Israel he shall take two he-goats from the goats for sin and one ram for whole burnt offering.</w:t>
      </w:r>
    </w:p>
    <w:p>
      <w:r>
        <w:rPr>
          <w:b/>
        </w:rPr>
        <w:t xml:space="preserve">6 </w:t>
      </w:r>
      <w:r>
        <w:t xml:space="preserve">And Aaron shall bring the calf for his own sin and make atonement for himself</w:t>
      </w:r>
      <w:r>
        <w:rPr>
          <w:rStyle w:val="FootnoteReference"/>
        </w:rPr>
        <w:footnoteReference w:id="2280"/>
      </w:r>
      <w:r>
        <w:t xml:space="preserve"> and for his house.</w:t>
      </w:r>
    </w:p>
    <w:p>
      <w:r>
        <w:rPr>
          <w:b/>
        </w:rPr>
        <w:t xml:space="preserve">7 </w:t>
      </w:r>
      <w:r>
        <w:t xml:space="preserve">And he shall take the two he-goats and set them before the Lord by the door of the tent of testimony.</w:t>
      </w:r>
    </w:p>
    <w:p>
      <w:r>
        <w:rPr>
          <w:b/>
        </w:rPr>
        <w:t xml:space="preserve">8 </w:t>
      </w:r>
      <w:r>
        <w:t xml:space="preserve">And Aaron shall cast lots</w:t>
      </w:r>
      <w:r>
        <w:rPr>
          <w:rStyle w:val="FootnoteReference"/>
        </w:rPr>
        <w:footnoteReference w:id="2281"/>
      </w:r>
      <w:r>
        <w:t xml:space="preserve"> upon the two he-goats, one lot for the Lord and one lot for the sending-away goat.</w:t>
      </w:r>
    </w:p>
    <w:p>
      <w:r>
        <w:rPr>
          <w:b/>
        </w:rPr>
        <w:t xml:space="preserve">9 </w:t>
      </w:r>
      <w:r>
        <w:t xml:space="preserve">And Aaron shall bring the he-goat on which the lot for the Lord fell and shall offer it for sin.</w:t>
      </w:r>
    </w:p>
    <w:p>
      <w:r>
        <w:rPr>
          <w:b/>
        </w:rPr>
        <w:t xml:space="preserve">10 </w:t>
      </w:r>
      <w:r>
        <w:t xml:space="preserve">But the he-goat on which the lot of the sending-away goat fell, he shall set alive before the Lord, to make</w:t>
      </w:r>
      <w:r>
        <w:rPr>
          <w:rStyle w:val="FootnoteReference"/>
        </w:rPr>
        <w:footnoteReference w:id="2282"/>
      </w:r>
      <w:r>
        <w:t xml:space="preserve"> atonement over it, so as to send it away in the sending-away, into the wilderness.</w:t>
      </w:r>
    </w:p>
    <w:p>
      <w:r>
        <w:rPr>
          <w:b/>
        </w:rPr>
        <w:t xml:space="preserve">11 </w:t>
      </w:r>
      <w:r>
        <w:t xml:space="preserve">And Aaron shall bring the calf for his own sin, for himself and his house alone</w:t>
      </w:r>
      <w:r>
        <w:rPr>
          <w:rStyle w:val="FootnoteReference"/>
        </w:rPr>
        <w:footnoteReference w:id="2283"/>
      </w:r>
      <w:r>
        <w:t xml:space="preserve">, and make atonement for himself and for his house, and he shall slaughter the calf for his own sin.</w:t>
      </w:r>
    </w:p>
    <w:p>
      <w:r>
        <w:rPr>
          <w:b/>
        </w:rPr>
        <w:t xml:space="preserve">12 </w:t>
      </w:r>
      <w:r>
        <w:t xml:space="preserve">And he shall take the firepan full of coals of fire from the altar before the Lord, and he shall fill his hands with fine blended incense and bring it within the veil.</w:t>
      </w:r>
    </w:p>
    <w:p>
      <w:r>
        <w:rPr>
          <w:b/>
        </w:rPr>
        <w:t xml:space="preserve">13 </w:t>
      </w:r>
      <w:r>
        <w:t xml:space="preserve">And he shall put the incense on the fire before the Lord, and the vapor of the incense shall cover the propitiatory that is over the testimonies, so that he may not die.</w:t>
      </w:r>
    </w:p>
    <w:p>
      <w:r>
        <w:rPr>
          <w:b/>
        </w:rPr>
        <w:t xml:space="preserve">14 </w:t>
      </w:r>
      <w:r>
        <w:t xml:space="preserve">And he shall take some of the blood of the calf and sprinkle it with his finger on the propitiatory eastward, and before the propitiatory he shall sprinkle from the blood with his finger seven times.</w:t>
      </w:r>
    </w:p>
    <w:p>
      <w:r>
        <w:rPr>
          <w:b/>
        </w:rPr>
        <w:t xml:space="preserve">15 </w:t>
      </w:r>
      <w:r>
        <w:t xml:space="preserve">And he shall slaughter the he-goat for sin, the one for the people, before the Lord, and he shall bring</w:t>
      </w:r>
      <w:r>
        <w:rPr>
          <w:rStyle w:val="FootnoteReference"/>
        </w:rPr>
        <w:footnoteReference w:id="2284"/>
      </w:r>
      <w:r>
        <w:t xml:space="preserve"> some of its blood within the veil and do with its blood just as he did with the blood of the calf, and he shall sprinkle its blood upon the propitiatory and before the propitiatory.</w:t>
      </w:r>
      <w:r>
        <w:rPr>
          <w:rStyle w:val="FootnoteReference"/>
        </w:rPr>
        <w:footnoteReference w:id="2285"/>
      </w:r>
    </w:p>
    <w:p>
      <w:r>
        <w:rPr>
          <w:b/>
        </w:rPr>
        <w:t xml:space="preserve">16 </w:t>
      </w:r>
      <w:r>
        <w:t xml:space="preserve">And he shall make atonement for the holy place from the uncleannesses of the sons of Israel and from their wrongdoings concerning all their sins</w:t>
      </w:r>
      <w:r>
        <w:rPr>
          <w:rStyle w:val="FootnoteReference"/>
        </w:rPr>
        <w:footnoteReference w:id="2286"/>
      </w:r>
      <w:r>
        <w:t xml:space="preserve">. And thus he shall do for the tent of testimony that is pitched among them in the midst of their uncleannesses.</w:t>
      </w:r>
    </w:p>
    <w:p>
      <w:r>
        <w:rPr>
          <w:b/>
        </w:rPr>
        <w:t xml:space="preserve">17 </w:t>
      </w:r>
      <w:r>
        <w:t xml:space="preserve">And no person shall be in the tent of testimony when he enters to make atonement in the holy place until he comes out, and he shall make atonement for himself and for his house and for all the congregation of the sons of Israel.</w:t>
      </w:r>
    </w:p>
    <w:p>
      <w:r>
        <w:rPr>
          <w:b/>
        </w:rPr>
        <w:t xml:space="preserve">18 </w:t>
      </w:r>
      <w:r>
        <w:t xml:space="preserve">And he shall go out to the altar that is before the Lord and make atonement on it, and he shall take some of the blood of the calf and some of the blood of the he-goat and place it on the horns of the altar all around.</w:t>
      </w:r>
    </w:p>
    <w:p>
      <w:r>
        <w:rPr>
          <w:b/>
        </w:rPr>
        <w:t xml:space="preserve">19 </w:t>
      </w:r>
      <w:r>
        <w:t xml:space="preserve">And he shall sprinkle some of the blood on it with his finger seven times</w:t>
      </w:r>
      <w:r>
        <w:rPr>
          <w:rStyle w:val="FootnoteReference"/>
        </w:rPr>
        <w:footnoteReference w:id="2287"/>
      </w:r>
      <w:r>
        <w:t xml:space="preserve"> and cleanse it and sanctify it from the uncleannesses of the sons of Israel.</w:t>
      </w:r>
    </w:p>
    <w:p>
      <w:r>
        <w:rPr>
          <w:b/>
        </w:rPr>
        <w:t xml:space="preserve">20 </w:t>
      </w:r>
      <w:r>
        <w:t xml:space="preserve">And when he finishes making atonement for the holy place and the tent of testimony and the altar and purifying concerning the priests, he shall bring near the live he-goat.</w:t>
      </w:r>
    </w:p>
    <w:p>
      <w:r>
        <w:rPr>
          <w:b/>
        </w:rPr>
        <w:t xml:space="preserve">21 </w:t>
      </w:r>
      <w:r>
        <w:t xml:space="preserve">And Aaron shall lay his hands on the head of the live he-goat and confess over</w:t>
      </w:r>
      <w:r>
        <w:rPr>
          <w:rStyle w:val="FootnoteReference"/>
        </w:rPr>
        <w:footnoteReference w:id="2288"/>
      </w:r>
      <w:r>
        <w:t xml:space="preserve"> it all the lawless deeds of the sons of Israel and all their wrongdoings and all their sins, and he shall place them on the head of the live he-goat and send it away by the hand of a ready man into the wilderness.</w:t>
      </w:r>
    </w:p>
    <w:p>
      <w:r>
        <w:rPr>
          <w:b/>
        </w:rPr>
        <w:t xml:space="preserve">22 </w:t>
      </w:r>
      <w:r>
        <w:t xml:space="preserve">And the he-goat shall take their wrongdoings upon itself into an untrodden land, and he shall send the he-goat away into the wilderness.</w:t>
      </w:r>
    </w:p>
    <w:p>
      <w:r>
        <w:rPr>
          <w:b/>
        </w:rPr>
        <w:t xml:space="preserve">23 </w:t>
      </w:r>
      <w:r>
        <w:t xml:space="preserve">And Aaron shall enter into the tent of testimony and take off the linen garment that he put on when entering into the holy place and lay it there.</w:t>
      </w:r>
    </w:p>
    <w:p>
      <w:r>
        <w:rPr>
          <w:b/>
        </w:rPr>
        <w:t xml:space="preserve">24 </w:t>
      </w:r>
      <w:r>
        <w:t xml:space="preserve">And he shall bathe his body in water in a holy place and put on his garment, and going out he shall make his whole burnt offering and the whole burnt offering of the people, and he shall make atonement for himself and for his house and for the people, as also for the priests.</w:t>
      </w:r>
    </w:p>
    <w:p>
      <w:r>
        <w:rPr>
          <w:b/>
        </w:rPr>
        <w:t xml:space="preserve">25 </w:t>
      </w:r>
      <w:r>
        <w:t xml:space="preserve">And the fat for the things concerning sins he shall offer on the altar.</w:t>
      </w:r>
    </w:p>
    <w:p>
      <w:r>
        <w:rPr>
          <w:b/>
        </w:rPr>
        <w:t xml:space="preserve">26 </w:t>
      </w:r>
      <w:r>
        <w:t xml:space="preserve">And the one sending away the he-goat that has been set apart for release shall wash</w:t>
      </w:r>
      <w:r>
        <w:rPr>
          <w:rStyle w:val="FootnoteReference"/>
        </w:rPr>
        <w:footnoteReference w:id="2289"/>
      </w:r>
      <w:r>
        <w:t xml:space="preserve"> his garments and bathe his body in water, and after this shall enter into the camp.</w:t>
      </w:r>
    </w:p>
    <w:p>
      <w:r>
        <w:rPr>
          <w:b/>
        </w:rPr>
        <w:t xml:space="preserve">27 </w:t>
      </w:r>
      <w:r>
        <w:t xml:space="preserve">And the calf for sin and the he-goat for sin, whose blood was brought in to make atonement in the holy place, they shall carry outside the camp and burn them with fire, their skins and their flesh and their dung.</w:t>
      </w:r>
    </w:p>
    <w:p>
      <w:r>
        <w:rPr>
          <w:b/>
        </w:rPr>
        <w:t xml:space="preserve">28 </w:t>
      </w:r>
      <w:r>
        <w:t xml:space="preserve">And the one burning them shall wash his garments and bathe his body in water, and after this shall enter into the camp.</w:t>
      </w:r>
    </w:p>
    <w:p>
      <w:r>
        <w:rPr>
          <w:b/>
        </w:rPr>
        <w:t xml:space="preserve">29 </w:t>
      </w:r>
      <w:r>
        <w:t xml:space="preserve">And this shall be an everlasting statute for you: in the seventh</w:t>
      </w:r>
      <w:r>
        <w:rPr>
          <w:rStyle w:val="FootnoteReference"/>
        </w:rPr>
        <w:footnoteReference w:id="2290"/>
      </w:r>
      <w:r>
        <w:t xml:space="preserve"> month, on the tenth day of the month, you shall humble your lives</w:t>
      </w:r>
      <w:r>
        <w:rPr>
          <w:rStyle w:val="FootnoteReference"/>
        </w:rPr>
        <w:footnoteReference w:id="2291"/>
      </w:r>
      <w:r>
        <w:t xml:space="preserve"> and do no work, whether the native or the newcomer who dwells among you.</w:t>
      </w:r>
    </w:p>
    <w:p>
      <w:r>
        <w:rPr>
          <w:b/>
        </w:rPr>
        <w:t xml:space="preserve">30 </w:t>
      </w:r>
      <w:r>
        <w:t xml:space="preserve">For on this day he shall make atonement for you, to cleanse you from all your sins before the Lord, and you shall be cleansed.</w:t>
      </w:r>
    </w:p>
    <w:p>
      <w:r>
        <w:rPr>
          <w:b/>
        </w:rPr>
        <w:t xml:space="preserve">31 </w:t>
      </w:r>
      <w:r>
        <w:t xml:space="preserve">It shall be a sabbath of sabbaths, a rest for you, and you shall humble your lives. It is an everlasting statute.</w:t>
      </w:r>
    </w:p>
    <w:p>
      <w:r>
        <w:rPr>
          <w:b/>
        </w:rPr>
        <w:t xml:space="preserve">32 </w:t>
      </w:r>
      <w:r>
        <w:t xml:space="preserve">And the priest</w:t>
      </w:r>
      <w:r>
        <w:rPr>
          <w:rStyle w:val="FootnoteReference"/>
        </w:rPr>
        <w:footnoteReference w:id="2292"/>
      </w:r>
      <w:r>
        <w:t xml:space="preserve"> whom they anoint and whose hands they consecrate</w:t>
      </w:r>
      <w:r>
        <w:rPr>
          <w:rStyle w:val="FootnoteReference"/>
        </w:rPr>
        <w:footnoteReference w:id="2293"/>
      </w:r>
      <w:r>
        <w:t xml:space="preserve"> to serve as priest after his father shall make atonement, and he shall put on the holy linen garment.</w:t>
      </w:r>
    </w:p>
    <w:p>
      <w:r>
        <w:rPr>
          <w:b/>
        </w:rPr>
        <w:t xml:space="preserve">33 </w:t>
      </w:r>
      <w:r>
        <w:t xml:space="preserve">And he shall make atonement for the holy of the holy place, and for the tent of testimony, and he shall make atonement for the altar, and for the priests and for all the congregation he shall make atonement.</w:t>
      </w:r>
      <w:r>
        <w:rPr>
          <w:rStyle w:val="FootnoteReference"/>
        </w:rPr>
        <w:footnoteReference w:id="2294"/>
      </w:r>
    </w:p>
    <w:p>
      <w:r>
        <w:rPr>
          <w:b/>
        </w:rPr>
        <w:t xml:space="preserve">34 </w:t>
      </w:r>
      <w:r>
        <w:t xml:space="preserve">And this shall be an everlasting</w:t>
      </w:r>
      <w:r>
        <w:rPr>
          <w:rStyle w:val="FootnoteReference"/>
        </w:rPr>
        <w:footnoteReference w:id="2295"/>
      </w:r>
      <w:r>
        <w:t xml:space="preserve"> statute for you, to make atonement for the sons of Israel from all their sins once in the year. It shall be done just as the Lord commanded Moses.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the Lord spoke to Moses, saying,</w:t>
      </w:r>
    </w:p>
    <w:p>
      <w:r>
        <w:rPr>
          <w:b/>
        </w:rPr>
        <w:t xml:space="preserve">2 </w:t>
      </w:r>
      <w:r>
        <w:t xml:space="preserve">Speak to Aaron and to his sons and to all the sons of Israel, and say to them, This is the word that the Lord commanded, saying,</w:t>
      </w:r>
    </w:p>
    <w:p>
      <w:r>
        <w:rPr>
          <w:b/>
        </w:rPr>
        <w:t xml:space="preserve">3 </w:t>
      </w:r>
      <w:r>
        <w:t xml:space="preserve">Any man of the sons of Israel or of the newcomers dwelling among you who slaughters a calf or a sheep or a goat in the camp, or who slaughters it outside the camp,</w:t>
      </w:r>
    </w:p>
    <w:p>
      <w:r>
        <w:rPr>
          <w:b/>
        </w:rPr>
        <w:t xml:space="preserve">4 </w:t>
      </w:r>
      <w:r>
        <w:t xml:space="preserve">and does not bring it to the door of the tent of testimony so as to make it a whole burnt offering or an offering of salvation</w:t>
      </w:r>
      <w:r>
        <w:rPr>
          <w:rStyle w:val="FootnoteReference"/>
        </w:rPr>
        <w:footnoteReference w:id="2296"/>
      </w:r>
      <w:r>
        <w:t xml:space="preserve"> to the Lord, accepted as an aroma of sweet fragrance, and whoever slaughters it outside and does not bring it to the door of the tent of testimony so as not to bring a gift to the Lord before the Lord's tent, blood shall</w:t>
      </w:r>
      <w:r>
        <w:rPr>
          <w:rStyle w:val="FootnoteReference"/>
        </w:rPr>
        <w:footnoteReference w:id="2297"/>
      </w:r>
      <w:r>
        <w:t xml:space="preserve"> be reckoned to that man. He has shed blood. That person shall be cut off from his people.</w:t>
      </w:r>
    </w:p>
    <w:p>
      <w:r>
        <w:rPr>
          <w:b/>
        </w:rPr>
        <w:t xml:space="preserve">5 </w:t>
      </w:r>
      <w:r>
        <w:t xml:space="preserve">So that the sons of Israel may bring their sacrifices that they slaughter in the open</w:t>
      </w:r>
      <w:r>
        <w:rPr>
          <w:rStyle w:val="FootnoteReference"/>
        </w:rPr>
        <w:footnoteReference w:id="2298"/>
      </w:r>
      <w:r>
        <w:t xml:space="preserve"> fields, and bring them to the Lord at the doors of the tent of testimony, to the priest, and sacrifice them as sacrifices of salvation to the Lord.</w:t>
      </w:r>
    </w:p>
    <w:p>
      <w:r>
        <w:rPr>
          <w:b/>
        </w:rPr>
        <w:t xml:space="preserve">6 </w:t>
      </w:r>
      <w:r>
        <w:t xml:space="preserve">And the priest shall pour the blood on the altar all around before the Lord by the doors of the tent of testimony, and shall offer the fat as an aroma of sweet fragrance to the Lord.</w:t>
      </w:r>
    </w:p>
    <w:p>
      <w:r>
        <w:rPr>
          <w:b/>
        </w:rPr>
        <w:t xml:space="preserve">7 </w:t>
      </w:r>
      <w:r>
        <w:t xml:space="preserve">And they shall no longer sacrifice their sacrifices to vain things, after which they prostitute themselves. This shall be an everlasting statute for you throughout your generations.</w:t>
      </w:r>
    </w:p>
    <w:p>
      <w:r>
        <w:rPr>
          <w:b/>
        </w:rPr>
        <w:t xml:space="preserve">8 </w:t>
      </w:r>
      <w:r>
        <w:t xml:space="preserve">And you shall say to them, Any man of the sons of Israel or of the newcomer sons dwelling among you who makes a whole burnt offering or sacrifice,</w:t>
      </w:r>
    </w:p>
    <w:p>
      <w:r>
        <w:rPr>
          <w:b/>
        </w:rPr>
        <w:t xml:space="preserve">9 </w:t>
      </w:r>
      <w:r>
        <w:t xml:space="preserve">and does not bring it to the door of the tent of testimony to make it for the Lord, that man shall be cut off from his people.</w:t>
      </w:r>
    </w:p>
    <w:p>
      <w:r>
        <w:rPr>
          <w:b/>
        </w:rPr>
        <w:t xml:space="preserve">10 </w:t>
      </w:r>
      <w:r>
        <w:t xml:space="preserve">And any man of the sons of Israel or of the newcomers dwelling among you who eats any blood, I will set my face against the person</w:t>
      </w:r>
      <w:r>
        <w:rPr>
          <w:rStyle w:val="FootnoteReference"/>
        </w:rPr>
        <w:footnoteReference w:id="2299"/>
      </w:r>
      <w:r>
        <w:t xml:space="preserve"> who eats the blood and will destroy him from his people.</w:t>
      </w:r>
    </w:p>
    <w:p>
      <w:r>
        <w:rPr>
          <w:b/>
        </w:rPr>
        <w:t xml:space="preserve">11 </w:t>
      </w:r>
      <w:r>
        <w:t xml:space="preserve">For the life</w:t>
      </w:r>
      <w:r>
        <w:rPr>
          <w:rStyle w:val="FootnoteReference"/>
        </w:rPr>
        <w:footnoteReference w:id="2300"/>
      </w:r>
      <w:r>
        <w:t xml:space="preserve"> of all flesh is its blood, and I have given it to you upon the altar to make atonement for your lives, for its blood shall make atonement in place of the life.</w:t>
      </w:r>
    </w:p>
    <w:p>
      <w:r>
        <w:rPr>
          <w:b/>
        </w:rPr>
        <w:t xml:space="preserve">12 </w:t>
      </w:r>
      <w:r>
        <w:t xml:space="preserve">Because of this I said to the sons of Israel, No person among you shall eat blood, and the newcomer dwelling among you shall not eat blood.</w:t>
      </w:r>
    </w:p>
    <w:p>
      <w:r>
        <w:rPr>
          <w:b/>
        </w:rPr>
        <w:t xml:space="preserve">13 </w:t>
      </w:r>
      <w:r>
        <w:t xml:space="preserve">And any man of the sons of Israel or of the newcomers dwelling among you who hunts game</w:t>
      </w:r>
      <w:r>
        <w:rPr>
          <w:rStyle w:val="FootnoteReference"/>
        </w:rPr>
        <w:footnoteReference w:id="2301"/>
      </w:r>
      <w:r>
        <w:t xml:space="preserve">, wild animal or bird that may be eaten, shall pour out</w:t>
      </w:r>
      <w:r>
        <w:rPr>
          <w:rStyle w:val="FootnoteReference"/>
        </w:rPr>
        <w:footnoteReference w:id="2302"/>
      </w:r>
      <w:r>
        <w:t xml:space="preserve"> the blood and cover it with earth.</w:t>
      </w:r>
    </w:p>
    <w:p>
      <w:r>
        <w:rPr>
          <w:b/>
        </w:rPr>
        <w:t xml:space="preserve">14 </w:t>
      </w:r>
      <w:r>
        <w:t xml:space="preserve">For the life of all flesh is its blood</w:t>
      </w:r>
      <w:r>
        <w:rPr>
          <w:rStyle w:val="FootnoteReference"/>
        </w:rPr>
        <w:footnoteReference w:id="2303"/>
      </w:r>
      <w:r>
        <w:t xml:space="preserve">, and I said to the sons of Israel, You shall not eat the blood of any flesh, because the life of all flesh is its blood. Everyone eating it shall be cut off.</w:t>
      </w:r>
    </w:p>
    <w:p>
      <w:r>
        <w:rPr>
          <w:b/>
        </w:rPr>
        <w:t xml:space="preserve">15 </w:t>
      </w:r>
      <w:r>
        <w:t xml:space="preserve">And every person who eats something dead of itself or torn by beasts</w:t>
      </w:r>
      <w:r>
        <w:rPr>
          <w:rStyle w:val="FootnoteReference"/>
        </w:rPr>
        <w:footnoteReference w:id="2304"/>
      </w:r>
      <w:r>
        <w:t xml:space="preserve">, whether among the natives or among the newcomers, shall wash his garments and bathe in water and be unclean until evening, and then shall be clean.</w:t>
      </w:r>
    </w:p>
    <w:p>
      <w:r>
        <w:rPr>
          <w:b/>
        </w:rPr>
        <w:t xml:space="preserve">16 </w:t>
      </w:r>
      <w:r>
        <w:t xml:space="preserve">But if he does not wash his garments and does not bathe his body in water, then he shall bear his lawlessness.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the Lord spoke to Moses, saying,</w:t>
      </w:r>
    </w:p>
    <w:p>
      <w:r>
        <w:rPr>
          <w:b/>
        </w:rPr>
        <w:t xml:space="preserve">2 </w:t>
      </w:r>
      <w:r>
        <w:t xml:space="preserve">Speak to the sons of Israel and say to them, I am the Lord your God.</w:t>
      </w:r>
    </w:p>
    <w:p>
      <w:r>
        <w:rPr>
          <w:b/>
        </w:rPr>
        <w:t xml:space="preserve">3 </w:t>
      </w:r>
      <w:r>
        <w:t xml:space="preserve">According to the practices of the land</w:t>
      </w:r>
      <w:r>
        <w:rPr>
          <w:rStyle w:val="FootnoteReference"/>
        </w:rPr>
        <w:footnoteReference w:id="2305"/>
      </w:r>
      <w:r>
        <w:t xml:space="preserve"> of Egypt, in which you dwelt, you shall not do, and according to the practices of the land of Canaan, into which I am bringing you, there you shall not do, and in their ordinances you shall not walk.</w:t>
      </w:r>
    </w:p>
    <w:p>
      <w:r>
        <w:rPr>
          <w:b/>
        </w:rPr>
        <w:t xml:space="preserve">4 </w:t>
      </w:r>
      <w:r>
        <w:t xml:space="preserve">You shall do my judgments, and you shall keep my commands to walk in them. I am the Lord your God.</w:t>
      </w:r>
    </w:p>
    <w:p>
      <w:r>
        <w:rPr>
          <w:b/>
        </w:rPr>
        <w:t xml:space="preserve">5 </w:t>
      </w:r>
      <w:r>
        <w:t xml:space="preserve">And you shall keep all my commands and all my judgments and do them, which when a person does, he shall live in them. I am the Lord</w:t>
      </w:r>
      <w:r>
        <w:rPr>
          <w:rStyle w:val="FootnoteReference"/>
        </w:rPr>
        <w:footnoteReference w:id="2306"/>
      </w:r>
      <w:r>
        <w:t xml:space="preserve"> your God.</w:t>
      </w:r>
    </w:p>
    <w:p>
      <w:r>
        <w:rPr>
          <w:b/>
        </w:rPr>
        <w:t xml:space="preserve">6 </w:t>
      </w:r>
      <w:r>
        <w:t xml:space="preserve">Any man to anyone of his own flesh shall not come near to uncover</w:t>
      </w:r>
      <w:r>
        <w:rPr>
          <w:rStyle w:val="FootnoteReference"/>
        </w:rPr>
        <w:footnoteReference w:id="2307"/>
      </w:r>
      <w:r>
        <w:t xml:space="preserve"> nakedness. I am the Lord.</w:t>
      </w:r>
    </w:p>
    <w:p>
      <w:r>
        <w:rPr>
          <w:b/>
        </w:rPr>
        <w:t xml:space="preserve">7 </w:t>
      </w:r>
      <w:r>
        <w:t xml:space="preserve">The nakedness of your father and the nakedness of your mother you shall not uncover</w:t>
      </w:r>
      <w:r>
        <w:rPr>
          <w:rStyle w:val="FootnoteReference"/>
        </w:rPr>
        <w:footnoteReference w:id="2308"/>
      </w:r>
      <w:r>
        <w:t xml:space="preserve">, for she is your mother. You shall not uncover her nakedness.</w:t>
      </w:r>
    </w:p>
    <w:p>
      <w:r>
        <w:rPr>
          <w:b/>
        </w:rPr>
        <w:t xml:space="preserve">8 </w:t>
      </w:r>
      <w:r>
        <w:t xml:space="preserve">The nakedness of your father's wife you shall not uncover</w:t>
      </w:r>
      <w:r>
        <w:rPr>
          <w:rStyle w:val="FootnoteReference"/>
        </w:rPr>
        <w:footnoteReference w:id="2309"/>
      </w:r>
      <w:r>
        <w:t xml:space="preserve">. It is your father's nakedness.</w:t>
      </w:r>
    </w:p>
    <w:p>
      <w:r>
        <w:rPr>
          <w:b/>
        </w:rPr>
        <w:t xml:space="preserve">9 </w:t>
      </w:r>
      <w:r>
        <w:t xml:space="preserve">The nakedness of your sister, from your father or from your mother, homeborn or born outside, you shall not uncover her nakedness.</w:t>
      </w:r>
    </w:p>
    <w:p>
      <w:r>
        <w:rPr>
          <w:b/>
        </w:rPr>
        <w:t xml:space="preserve">10 </w:t>
      </w:r>
      <w:r>
        <w:t xml:space="preserve">The nakedness of your son's daughter or your daughter's daughter you shall not uncover their nakedness, because it is your own nakedness.</w:t>
      </w:r>
    </w:p>
    <w:p>
      <w:r>
        <w:rPr>
          <w:b/>
        </w:rPr>
        <w:t xml:space="preserve">11 </w:t>
      </w:r>
      <w:r>
        <w:t xml:space="preserve">The nakedness of the daughter of your father's wife you shall not uncover. She is your sister by the same father. You shall not uncover her nakedness.</w:t>
      </w:r>
    </w:p>
    <w:p>
      <w:r>
        <w:rPr>
          <w:b/>
        </w:rPr>
        <w:t xml:space="preserve">12 </w:t>
      </w:r>
      <w:r>
        <w:t xml:space="preserve">The nakedness of your father's sister you shall not uncover, for she is your father's close kin.</w:t>
      </w:r>
    </w:p>
    <w:p>
      <w:r>
        <w:rPr>
          <w:b/>
        </w:rPr>
        <w:t xml:space="preserve">13 </w:t>
      </w:r>
      <w:r>
        <w:t xml:space="preserve">The nakedness of your mother's sister you shall not uncover, for she is your mother's close kin.</w:t>
      </w:r>
    </w:p>
    <w:p>
      <w:r>
        <w:rPr>
          <w:b/>
        </w:rPr>
        <w:t xml:space="preserve">14 </w:t>
      </w:r>
      <w:r>
        <w:t xml:space="preserve">The nakedness of your father's brother you shall not uncover, and you shall not go in to his wife, for she is your relative.</w:t>
      </w:r>
    </w:p>
    <w:p>
      <w:r>
        <w:rPr>
          <w:b/>
        </w:rPr>
        <w:t xml:space="preserve">15 </w:t>
      </w:r>
      <w:r>
        <w:t xml:space="preserve">The nakedness of your daughter-in-law you shall not uncover, for she is your son's wife. You shall not uncover her nakedness.</w:t>
      </w:r>
    </w:p>
    <w:p>
      <w:r>
        <w:rPr>
          <w:b/>
        </w:rPr>
        <w:t xml:space="preserve">16 </w:t>
      </w:r>
      <w:r>
        <w:t xml:space="preserve">The nakedness of your brother's wife you shall not uncover. It is your brother's nakedness.</w:t>
      </w:r>
    </w:p>
    <w:p>
      <w:r>
        <w:rPr>
          <w:b/>
        </w:rPr>
        <w:t xml:space="preserve">17 </w:t>
      </w:r>
      <w:r>
        <w:t xml:space="preserve">The nakedness of a woman</w:t>
      </w:r>
      <w:r>
        <w:rPr>
          <w:rStyle w:val="FootnoteReference"/>
        </w:rPr>
        <w:footnoteReference w:id="2310"/>
      </w:r>
      <w:r>
        <w:t xml:space="preserve"> and her daughter you shall not uncover. The daughter of her son and the daughter of her daughter you shall not take to uncover their nakedness, for they are your own kin. It is impiety</w:t>
      </w:r>
      <w:r>
        <w:rPr>
          <w:rStyle w:val="FootnoteReference"/>
        </w:rPr>
        <w:footnoteReference w:id="2311"/>
      </w:r>
      <w:r>
        <w:t xml:space="preserve">.</w:t>
      </w:r>
    </w:p>
    <w:p>
      <w:r>
        <w:rPr>
          <w:b/>
        </w:rPr>
        <w:t xml:space="preserve">18 </w:t>
      </w:r>
      <w:r>
        <w:t xml:space="preserve">A woman in addition to her sister you shall not take as a rival, to uncover her nakedness over against her while she is still alive.</w:t>
      </w:r>
    </w:p>
    <w:p>
      <w:r>
        <w:rPr>
          <w:b/>
        </w:rPr>
        <w:t xml:space="preserve">19 </w:t>
      </w:r>
      <w:r>
        <w:t xml:space="preserve">And to a woman in the separation of her uncleanness you shall not come near to uncover her nakedness.</w:t>
      </w:r>
    </w:p>
    <w:p>
      <w:r>
        <w:rPr>
          <w:b/>
        </w:rPr>
        <w:t xml:space="preserve">20 </w:t>
      </w:r>
      <w:r>
        <w:t xml:space="preserve">And with your neighbor's wife you shall not give the bed of your seed, to defile yourself with her.</w:t>
      </w:r>
    </w:p>
    <w:p>
      <w:r>
        <w:rPr>
          <w:b/>
        </w:rPr>
        <w:t xml:space="preserve">21 </w:t>
      </w:r>
      <w:r>
        <w:t xml:space="preserve">And from your seed you shall not give to serve a ruler</w:t>
      </w:r>
      <w:r>
        <w:rPr>
          <w:rStyle w:val="FootnoteReference"/>
        </w:rPr>
        <w:footnoteReference w:id="2312"/>
      </w:r>
      <w:r>
        <w:t xml:space="preserve">, and you shall not profane</w:t>
      </w:r>
      <w:r>
        <w:rPr>
          <w:rStyle w:val="FootnoteReference"/>
        </w:rPr>
        <w:footnoteReference w:id="2313"/>
      </w:r>
      <w:r>
        <w:t xml:space="preserve"> my holy name. I am the Lord.</w:t>
      </w:r>
    </w:p>
    <w:p>
      <w:r>
        <w:rPr>
          <w:b/>
        </w:rPr>
        <w:t xml:space="preserve">22 </w:t>
      </w:r>
      <w:r>
        <w:t xml:space="preserve">And with a male you shall not lie the bed of a woman, for it is an abomination.</w:t>
      </w:r>
    </w:p>
    <w:p>
      <w:r>
        <w:rPr>
          <w:b/>
        </w:rPr>
        <w:t xml:space="preserve">23 </w:t>
      </w:r>
      <w:r>
        <w:t xml:space="preserve">And with any four-footed animal you shall not give your bed for seed, to defile yourself with it, and a woman shall not stand before any four-footed animal to mate with it, for it is foulness.</w:t>
      </w:r>
    </w:p>
    <w:p>
      <w:r>
        <w:rPr>
          <w:b/>
        </w:rPr>
        <w:t xml:space="preserve">24 </w:t>
      </w:r>
      <w:r>
        <w:t xml:space="preserve">Do not defile</w:t>
      </w:r>
      <w:r>
        <w:rPr>
          <w:rStyle w:val="FootnoteReference"/>
        </w:rPr>
        <w:footnoteReference w:id="2314"/>
      </w:r>
      <w:r>
        <w:t xml:space="preserve"> yourselves in all these things, for in all these things the nations are defiled, whom I am sending out from before you.</w:t>
      </w:r>
    </w:p>
    <w:p>
      <w:r>
        <w:rPr>
          <w:b/>
        </w:rPr>
        <w:t xml:space="preserve">25 </w:t>
      </w:r>
      <w:r>
        <w:t xml:space="preserve">And the land was defiled, and I repaid their wrongdoing upon them because of it, and the land was aggrieved with those dwelling upon it.</w:t>
      </w:r>
    </w:p>
    <w:p>
      <w:r>
        <w:rPr>
          <w:b/>
        </w:rPr>
        <w:t xml:space="preserve">26 </w:t>
      </w:r>
      <w:r>
        <w:t xml:space="preserve">And you shall keep</w:t>
      </w:r>
      <w:r>
        <w:rPr>
          <w:rStyle w:val="FootnoteReference"/>
        </w:rPr>
        <w:footnoteReference w:id="2315"/>
      </w:r>
      <w:r>
        <w:t xml:space="preserve"> all my statutes and all my commands, and you shall do none of all these abominations, whether the native or the newcomer joined among you.</w:t>
      </w:r>
    </w:p>
    <w:p>
      <w:r>
        <w:rPr>
          <w:b/>
        </w:rPr>
        <w:t xml:space="preserve">27 </w:t>
      </w:r>
      <w:r>
        <w:t xml:space="preserve">For all these abominations the people of the land did, those who were before you, and the land was defiled.</w:t>
      </w:r>
    </w:p>
    <w:p>
      <w:r>
        <w:rPr>
          <w:b/>
        </w:rPr>
        <w:t xml:space="preserve">28 </w:t>
      </w:r>
      <w:r>
        <w:t xml:space="preserve">And let not the land be aggrieved with you when you defile it, just as it was aggrieved with the nations before you.</w:t>
      </w:r>
    </w:p>
    <w:p>
      <w:r>
        <w:rPr>
          <w:b/>
        </w:rPr>
        <w:t xml:space="preserve">29 </w:t>
      </w:r>
      <w:r>
        <w:t xml:space="preserve">For everyone who does any of all these abominations, the persons who do them shall be cut off from among their people.</w:t>
      </w:r>
    </w:p>
    <w:p>
      <w:r>
        <w:rPr>
          <w:b/>
        </w:rPr>
        <w:t xml:space="preserve">30 </w:t>
      </w:r>
      <w:r>
        <w:t xml:space="preserve">And you shall keep my commands, so as not to do any of the abominable</w:t>
      </w:r>
      <w:r>
        <w:rPr>
          <w:rStyle w:val="FootnoteReference"/>
        </w:rPr>
        <w:footnoteReference w:id="2316"/>
      </w:r>
      <w:r>
        <w:t xml:space="preserve"> statutes that came before you, and you shall not be defiled by them, because I am the Lord your God.</w:t>
      </w:r>
      <w:r>
        <w:rPr>
          <w:rStyle w:val="FootnoteReference"/>
        </w:rPr>
        <w:footnoteReference w:id="2317"/>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the Lord spoke to Moses, saying,</w:t>
      </w:r>
    </w:p>
    <w:p>
      <w:r>
        <w:rPr>
          <w:b/>
        </w:rPr>
        <w:t xml:space="preserve">2 </w:t>
      </w:r>
      <w:r>
        <w:t xml:space="preserve">Speak to the congregation of the sons of Israel and say to them, You shall be holy, because I, the Lord your God, am holy.</w:t>
      </w:r>
    </w:p>
    <w:p>
      <w:r>
        <w:rPr>
          <w:b/>
        </w:rPr>
        <w:t xml:space="preserve">3 </w:t>
      </w:r>
      <w:r>
        <w:t xml:space="preserve">Each of you shall fear</w:t>
      </w:r>
      <w:r>
        <w:rPr>
          <w:rStyle w:val="FootnoteReference"/>
        </w:rPr>
        <w:footnoteReference w:id="2318"/>
      </w:r>
      <w:r>
        <w:t xml:space="preserve"> his father and his mother, and you shall keep my sabbaths. I am the Lord your God.</w:t>
      </w:r>
    </w:p>
    <w:p>
      <w:r>
        <w:rPr>
          <w:b/>
        </w:rPr>
        <w:t xml:space="preserve">4 </w:t>
      </w:r>
      <w:r>
        <w:t xml:space="preserve">You shall not follow idols, and molten gods</w:t>
      </w:r>
      <w:r>
        <w:rPr>
          <w:rStyle w:val="FootnoteReference"/>
        </w:rPr>
        <w:footnoteReference w:id="2319"/>
      </w:r>
      <w:r>
        <w:t xml:space="preserve"> you shall not make for yourselves. I am the Lord your God.</w:t>
      </w:r>
    </w:p>
    <w:p>
      <w:r>
        <w:rPr>
          <w:b/>
        </w:rPr>
        <w:t xml:space="preserve">5 </w:t>
      </w:r>
      <w:r>
        <w:t xml:space="preserve">And if you sacrifice a sacrifice</w:t>
      </w:r>
      <w:r>
        <w:rPr>
          <w:rStyle w:val="FootnoteReference"/>
        </w:rPr>
        <w:footnoteReference w:id="2320"/>
      </w:r>
      <w:r>
        <w:t xml:space="preserve"> of salvation to the Lord, you shall sacrifice it so that you may be accepted.</w:t>
      </w:r>
    </w:p>
    <w:p>
      <w:r>
        <w:rPr>
          <w:b/>
        </w:rPr>
        <w:t xml:space="preserve">6 </w:t>
      </w:r>
      <w:r>
        <w:t xml:space="preserve">On the day when you sacrifice it, it shall be eaten, and on the next day, and if anything is left until the third day, it shall be burned with fire.</w:t>
      </w:r>
    </w:p>
    <w:p>
      <w:r>
        <w:rPr>
          <w:b/>
        </w:rPr>
        <w:t xml:space="preserve">7 </w:t>
      </w:r>
      <w:r>
        <w:t xml:space="preserve">But if it is indeed eaten on the third day, it is unfit. It shall</w:t>
      </w:r>
      <w:r>
        <w:rPr>
          <w:rStyle w:val="FootnoteReference"/>
        </w:rPr>
        <w:footnoteReference w:id="2321"/>
      </w:r>
      <w:r>
        <w:t xml:space="preserve"> not be accepted.</w:t>
      </w:r>
    </w:p>
    <w:p>
      <w:r>
        <w:rPr>
          <w:b/>
        </w:rPr>
        <w:t xml:space="preserve">8 </w:t>
      </w:r>
      <w:r>
        <w:t xml:space="preserve">And the one eating it shall bear sin, because he profaned the holy things of the Lord, and the persons eating it shall be cut off from their people.</w:t>
      </w:r>
    </w:p>
    <w:p>
      <w:r>
        <w:rPr>
          <w:b/>
        </w:rPr>
        <w:t xml:space="preserve">9 </w:t>
      </w:r>
      <w:r>
        <w:t xml:space="preserve">And when you reap the harvest of your land, you shall not finish reaping the harvest of your field, and the fallen things of your harvest you shall not gather.</w:t>
      </w:r>
    </w:p>
    <w:p>
      <w:r>
        <w:rPr>
          <w:b/>
        </w:rPr>
        <w:t xml:space="preserve">10 </w:t>
      </w:r>
      <w:r>
        <w:t xml:space="preserve">And your vineyard you shall not glean</w:t>
      </w:r>
      <w:r>
        <w:rPr>
          <w:rStyle w:val="FootnoteReference"/>
        </w:rPr>
        <w:footnoteReference w:id="2322"/>
      </w:r>
      <w:r>
        <w:t xml:space="preserve"> over, nor the grapes of your vineyard shall you gather. For the poor and the newcomer you shall leave them. I am the Lord your God.</w:t>
      </w:r>
    </w:p>
    <w:p>
      <w:r>
        <w:rPr>
          <w:b/>
        </w:rPr>
        <w:t xml:space="preserve">11 </w:t>
      </w:r>
      <w:r>
        <w:t xml:space="preserve">You shall not</w:t>
      </w:r>
      <w:r>
        <w:rPr>
          <w:rStyle w:val="FootnoteReference"/>
        </w:rPr>
        <w:footnoteReference w:id="2323"/>
      </w:r>
      <w:r>
        <w:t xml:space="preserve"> steal. You shall not lie. No one shall inform falsely against his neighbor.</w:t>
      </w:r>
    </w:p>
    <w:p>
      <w:r>
        <w:rPr>
          <w:b/>
        </w:rPr>
        <w:t xml:space="preserve">12 </w:t>
      </w:r>
      <w:r>
        <w:t xml:space="preserve">And you shall not swear by my name in injustice, and you shall not profane</w:t>
      </w:r>
      <w:r>
        <w:rPr>
          <w:rStyle w:val="FootnoteReference"/>
        </w:rPr>
        <w:footnoteReference w:id="2324"/>
      </w:r>
      <w:r>
        <w:t xml:space="preserve"> the name of your God. I am the Lord your God.</w:t>
      </w:r>
    </w:p>
    <w:p>
      <w:r>
        <w:rPr>
          <w:b/>
        </w:rPr>
        <w:t xml:space="preserve">13 </w:t>
      </w:r>
      <w:r>
        <w:t xml:space="preserve">You shall not wrong your neighbor, and you shall not rob, and the wage of the hired laborer shall not sleep with you until morning.</w:t>
      </w:r>
    </w:p>
    <w:p>
      <w:r>
        <w:rPr>
          <w:b/>
        </w:rPr>
        <w:t xml:space="preserve">14 </w:t>
      </w:r>
      <w:r>
        <w:t xml:space="preserve">You shall not speak evil to the deaf, and before the blind you shall not put a stumbling block, and you shall fear</w:t>
      </w:r>
      <w:r>
        <w:rPr>
          <w:rStyle w:val="FootnoteReference"/>
        </w:rPr>
        <w:footnoteReference w:id="2325"/>
      </w:r>
      <w:r>
        <w:t xml:space="preserve"> the Lord your God. I am the Lord your God.</w:t>
      </w:r>
    </w:p>
    <w:p>
      <w:r>
        <w:rPr>
          <w:b/>
        </w:rPr>
        <w:t xml:space="preserve">15 </w:t>
      </w:r>
      <w:r>
        <w:t xml:space="preserve">You shall do no injustice in judgment. You shall not take the face of the poor, nor marvel at the face of the powerful. In righteousness you shall judge your neighbor.</w:t>
      </w:r>
    </w:p>
    <w:p>
      <w:r>
        <w:rPr>
          <w:b/>
        </w:rPr>
        <w:t xml:space="preserve">16 </w:t>
      </w:r>
      <w:r>
        <w:t xml:space="preserve">You shall not go with deceit among your people. You shall not rise up against the blood of your neighbor. I am the Lord your God.</w:t>
      </w:r>
    </w:p>
    <w:p>
      <w:r>
        <w:rPr>
          <w:b/>
        </w:rPr>
        <w:t xml:space="preserve">17 </w:t>
      </w:r>
      <w:r>
        <w:t xml:space="preserve">You shall not hate</w:t>
      </w:r>
      <w:r>
        <w:rPr>
          <w:rStyle w:val="FootnoteReference"/>
        </w:rPr>
        <w:footnoteReference w:id="2326"/>
      </w:r>
      <w:r>
        <w:t xml:space="preserve"> your brother in your mind. With reproof you shall reprove your neighbor, and you shall not take sin because of him.</w:t>
      </w:r>
    </w:p>
    <w:p>
      <w:r>
        <w:rPr>
          <w:b/>
        </w:rPr>
        <w:t xml:space="preserve">18 </w:t>
      </w:r>
      <w:r>
        <w:t xml:space="preserve">And your hand shall not avenge</w:t>
      </w:r>
      <w:r>
        <w:rPr>
          <w:rStyle w:val="FootnoteReference"/>
        </w:rPr>
        <w:footnoteReference w:id="2327"/>
      </w:r>
      <w:r>
        <w:t xml:space="preserve">, and you shall not be angry with the sons of your people, and you shall love your neighbor as yourself. I am the Lord.</w:t>
      </w:r>
    </w:p>
    <w:p>
      <w:r>
        <w:rPr>
          <w:b/>
        </w:rPr>
        <w:t xml:space="preserve">19 </w:t>
      </w:r>
      <w:r>
        <w:t xml:space="preserve">You shall keep my law. Your cattle you shall not breed with a different kind, and your vineyard you shall not sow with mixed seed, and a garment woven from two kinds, counterfeit cloth</w:t>
      </w:r>
      <w:r>
        <w:rPr>
          <w:rStyle w:val="FootnoteReference"/>
        </w:rPr>
        <w:footnoteReference w:id="2328"/>
      </w:r>
      <w:r>
        <w:t xml:space="preserve">, you shall not put on yourself.</w:t>
      </w:r>
    </w:p>
    <w:p>
      <w:r>
        <w:rPr>
          <w:b/>
        </w:rPr>
        <w:t xml:space="preserve">20 </w:t>
      </w:r>
      <w:r>
        <w:t xml:space="preserve">And if a man lies with a woman with the bed of seed, and she is a female servant reserved for a man, and she has not been redeemed with a ransom, nor has freedom been given to her, there shall be oversight for them</w:t>
      </w:r>
      <w:r>
        <w:rPr>
          <w:rStyle w:val="FootnoteReference"/>
        </w:rPr>
        <w:footnoteReference w:id="2329"/>
      </w:r>
      <w:r>
        <w:t xml:space="preserve">. They shall not die, because she has not been freed.</w:t>
      </w:r>
    </w:p>
    <w:p>
      <w:r>
        <w:rPr>
          <w:b/>
        </w:rPr>
        <w:t xml:space="preserve">21 </w:t>
      </w:r>
      <w:r>
        <w:t xml:space="preserve">And he shall bring his trespass to the Lord at the door of the tent of testimony, a ram of trespass.</w:t>
      </w:r>
    </w:p>
    <w:p>
      <w:r>
        <w:rPr>
          <w:b/>
        </w:rPr>
        <w:t xml:space="preserve">22 </w:t>
      </w:r>
      <w:r>
        <w:t xml:space="preserve">And the priest shall make atonement for him with the ram of trespass before the Lord for the sin that he sinned, and the sin</w:t>
      </w:r>
      <w:r>
        <w:rPr>
          <w:rStyle w:val="FootnoteReference"/>
        </w:rPr>
        <w:footnoteReference w:id="2330"/>
      </w:r>
      <w:r>
        <w:t xml:space="preserve"> that he sinned shall be forgiven him.</w:t>
      </w:r>
    </w:p>
    <w:p>
      <w:r>
        <w:rPr>
          <w:b/>
        </w:rPr>
        <w:t xml:space="preserve">23 </w:t>
      </w:r>
      <w:r>
        <w:t xml:space="preserve">And when</w:t>
      </w:r>
      <w:r>
        <w:rPr>
          <w:rStyle w:val="FootnoteReference"/>
        </w:rPr>
        <w:footnoteReference w:id="2331"/>
      </w:r>
      <w:r>
        <w:t xml:space="preserve"> you enter into the land that the Lord your God is giving you, and you plant every edible tree, then you shall purge away its uncleanness</w:t>
      </w:r>
      <w:r>
        <w:rPr>
          <w:rStyle w:val="FootnoteReference"/>
        </w:rPr>
        <w:footnoteReference w:id="2332"/>
      </w:r>
      <w:r>
        <w:t xml:space="preserve">. Its fruit shall be uncleansed to you for three years. It shall not be eaten.</w:t>
      </w:r>
    </w:p>
    <w:p>
      <w:r>
        <w:rPr>
          <w:b/>
        </w:rPr>
        <w:t xml:space="preserve">24 </w:t>
      </w:r>
      <w:r>
        <w:t xml:space="preserve">And in the fourth year all its fruit shall be holy, praiseworthy to the Lord.</w:t>
      </w:r>
    </w:p>
    <w:p>
      <w:r>
        <w:rPr>
          <w:b/>
        </w:rPr>
        <w:t xml:space="preserve">25 </w:t>
      </w:r>
      <w:r>
        <w:t xml:space="preserve">And in the fifth year you shall eat the fruit, as an addition of its produce for you. I am the Lord your God.</w:t>
      </w:r>
    </w:p>
    <w:p>
      <w:r>
        <w:rPr>
          <w:b/>
        </w:rPr>
        <w:t xml:space="preserve">26 </w:t>
      </w:r>
      <w:r>
        <w:t xml:space="preserve">You shall not eat upon the mountains, and you shall not practice augury, nor observe birds for omens.</w:t>
      </w:r>
    </w:p>
    <w:p>
      <w:r>
        <w:rPr>
          <w:b/>
        </w:rPr>
        <w:t xml:space="preserve">27 </w:t>
      </w:r>
      <w:r>
        <w:t xml:space="preserve">You shall not make a rounded trimming from the hair of your head, nor destroy the appearance of your beard.</w:t>
      </w:r>
    </w:p>
    <w:p>
      <w:r>
        <w:rPr>
          <w:b/>
        </w:rPr>
        <w:t xml:space="preserve">28 </w:t>
      </w:r>
      <w:r>
        <w:t xml:space="preserve">And cuttings</w:t>
      </w:r>
      <w:r>
        <w:rPr>
          <w:rStyle w:val="FootnoteReference"/>
        </w:rPr>
        <w:footnoteReference w:id="2333"/>
      </w:r>
      <w:r>
        <w:t xml:space="preserve"> for a dead person you shall not make in your body, and tattooed writings you shall not make on yourselves. I am the Lord your God.</w:t>
      </w:r>
    </w:p>
    <w:p>
      <w:r>
        <w:rPr>
          <w:b/>
        </w:rPr>
        <w:t xml:space="preserve">29 </w:t>
      </w:r>
      <w:r>
        <w:t xml:space="preserve">You shall not profane your daughter by prostituting her, and the land shall not prostitute itself, and the land shall not be filled with lawlessness.</w:t>
      </w:r>
    </w:p>
    <w:p>
      <w:r>
        <w:rPr>
          <w:b/>
        </w:rPr>
        <w:t xml:space="preserve">30 </w:t>
      </w:r>
      <w:r>
        <w:t xml:space="preserve">You shall keep</w:t>
      </w:r>
      <w:r>
        <w:rPr>
          <w:rStyle w:val="FootnoteReference"/>
        </w:rPr>
        <w:footnoteReference w:id="2334"/>
      </w:r>
      <w:r>
        <w:t xml:space="preserve"> my sabbaths, and from my holy things you shall stand in fear. I am the Lord.</w:t>
      </w:r>
    </w:p>
    <w:p>
      <w:r>
        <w:rPr>
          <w:b/>
        </w:rPr>
        <w:t xml:space="preserve">31 </w:t>
      </w:r>
      <w:r>
        <w:t xml:space="preserve">You shall not follow ventriloquists, and to enchanters you shall not cling, to be defiled by them. I am the Lord your God.</w:t>
      </w:r>
    </w:p>
    <w:p>
      <w:r>
        <w:rPr>
          <w:b/>
        </w:rPr>
        <w:t xml:space="preserve">32 </w:t>
      </w:r>
      <w:r>
        <w:t xml:space="preserve">Before gray hair you shall rise, and you shall honor the face of the elder, and you shall fear your God. I am the Lord your God.</w:t>
      </w:r>
    </w:p>
    <w:p>
      <w:r>
        <w:rPr>
          <w:b/>
        </w:rPr>
        <w:t xml:space="preserve">33 </w:t>
      </w:r>
      <w:r>
        <w:t xml:space="preserve">And if</w:t>
      </w:r>
      <w:r>
        <w:rPr>
          <w:rStyle w:val="FootnoteReference"/>
        </w:rPr>
        <w:footnoteReference w:id="2335"/>
      </w:r>
      <w:r>
        <w:t xml:space="preserve"> a newcomer comes to you in your land, you shall not oppress him.</w:t>
      </w:r>
    </w:p>
    <w:p>
      <w:r>
        <w:rPr>
          <w:b/>
        </w:rPr>
        <w:t xml:space="preserve">34 </w:t>
      </w:r>
      <w:r>
        <w:t xml:space="preserve">Like the native among you shall be the newcomer who comes to you, and you shall love him as yourself, because you became newcomers in the land of Egypt. I am the Lord your God.</w:t>
      </w:r>
    </w:p>
    <w:p>
      <w:r>
        <w:rPr>
          <w:b/>
        </w:rPr>
        <w:t xml:space="preserve">35 </w:t>
      </w:r>
      <w:r>
        <w:t xml:space="preserve">You shall do no injustice in judgment, in measures and in weights and in scales.</w:t>
      </w:r>
    </w:p>
    <w:p>
      <w:r>
        <w:rPr>
          <w:b/>
        </w:rPr>
        <w:t xml:space="preserve">36 </w:t>
      </w:r>
      <w:r>
        <w:t xml:space="preserve">Just scales and just weights and a just liquid-measure shall be for you. I am the Lord your God who brought you out from the land of Egypt.</w:t>
      </w:r>
    </w:p>
    <w:p>
      <w:r>
        <w:rPr>
          <w:b/>
        </w:rPr>
        <w:t xml:space="preserve">37 </w:t>
      </w:r>
      <w:r>
        <w:t xml:space="preserve">And you shall keep all my law and all my commands and do them. I am the Lord your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the Lord spoke to Moses, saying,</w:t>
      </w:r>
    </w:p>
    <w:p>
      <w:r>
        <w:rPr>
          <w:b/>
        </w:rPr>
        <w:t xml:space="preserve">2 </w:t>
      </w:r>
      <w:r>
        <w:t xml:space="preserve">And to the sons of Israel you shall say: If any of the sons of Israel or of the newcomer newcomers in Israel gives of his seed to a ruler</w:t>
      </w:r>
      <w:r>
        <w:rPr>
          <w:rStyle w:val="FootnoteReference"/>
        </w:rPr>
        <w:footnoteReference w:id="2336"/>
      </w:r>
      <w:r>
        <w:t xml:space="preserve">, he shall surely be put to death. The people of the land shall stone him with stones.</w:t>
      </w:r>
    </w:p>
    <w:p>
      <w:r>
        <w:rPr>
          <w:b/>
        </w:rPr>
        <w:t xml:space="preserve">3 </w:t>
      </w:r>
      <w:r>
        <w:t xml:space="preserve">And I will set</w:t>
      </w:r>
      <w:r>
        <w:rPr>
          <w:rStyle w:val="FootnoteReference"/>
        </w:rPr>
        <w:footnoteReference w:id="2337"/>
      </w:r>
      <w:r>
        <w:t xml:space="preserve"> my face against that man and destroy him from his people, because he gave of his seed to a ruler so as to defile my holy things and profane the name of those sanctified to me.</w:t>
      </w:r>
    </w:p>
    <w:p>
      <w:r>
        <w:rPr>
          <w:b/>
        </w:rPr>
        <w:t xml:space="preserve">4 </w:t>
      </w:r>
      <w:r>
        <w:t xml:space="preserve">But if the natives of the land by overlooking overlook that man with their eyes when he gives of his seed to a ruler, so as not to put him to death,</w:t>
      </w:r>
    </w:p>
    <w:p>
      <w:r>
        <w:rPr>
          <w:b/>
        </w:rPr>
        <w:t xml:space="preserve">5 </w:t>
      </w:r>
      <w:r>
        <w:t xml:space="preserve">then I will set my face against that man and against his</w:t>
      </w:r>
      <w:r>
        <w:rPr>
          <w:rStyle w:val="FootnoteReference"/>
        </w:rPr>
        <w:footnoteReference w:id="2338"/>
      </w:r>
      <w:r>
        <w:t xml:space="preserve"> kin, and I will destroy him and all who are of one mind with him, so that he prostitutes himself to the rulers, from their people.</w:t>
      </w:r>
    </w:p>
    <w:p>
      <w:r>
        <w:rPr>
          <w:b/>
        </w:rPr>
        <w:t xml:space="preserve">6 </w:t>
      </w:r>
      <w:r>
        <w:t xml:space="preserve">And the person who follows ventriloquists or enchanters so as to prostitute himself after them, I will set my face against that person and destroy him from his people.</w:t>
      </w:r>
    </w:p>
    <w:p>
      <w:r>
        <w:rPr>
          <w:b/>
        </w:rPr>
        <w:t xml:space="preserve">7 </w:t>
      </w:r>
      <w:r>
        <w:t xml:space="preserve">And you shall be holy, because I, the Lord your God, am holy.</w:t>
      </w:r>
    </w:p>
    <w:p>
      <w:r>
        <w:rPr>
          <w:b/>
        </w:rPr>
        <w:t xml:space="preserve">8 </w:t>
      </w:r>
      <w:r>
        <w:t xml:space="preserve">And you shall keep my commands and do them. I am the Lord who sanctifies you.</w:t>
      </w:r>
    </w:p>
    <w:p>
      <w:r>
        <w:rPr>
          <w:b/>
        </w:rPr>
        <w:t xml:space="preserve">9 </w:t>
      </w:r>
      <w:r>
        <w:t xml:space="preserve">Every man who speaks evil of his father or of his mother</w:t>
      </w:r>
      <w:r>
        <w:rPr>
          <w:rStyle w:val="FootnoteReference"/>
        </w:rPr>
        <w:footnoteReference w:id="2339"/>
      </w:r>
      <w:r>
        <w:t xml:space="preserve"> shall surely be put to death. He spoke evil of his father or his mother. He shall be guilty.</w:t>
      </w:r>
    </w:p>
    <w:p>
      <w:r>
        <w:rPr>
          <w:b/>
        </w:rPr>
        <w:t xml:space="preserve">10 </w:t>
      </w:r>
      <w:r>
        <w:t xml:space="preserve">Any man who commits adultery with the wife of a man, or who commits adultery with the wife of his neighbor, the adulterer</w:t>
      </w:r>
      <w:r>
        <w:rPr>
          <w:rStyle w:val="FootnoteReference"/>
        </w:rPr>
        <w:footnoteReference w:id="2340"/>
      </w:r>
      <w:r>
        <w:t xml:space="preserve"> and the adulteress shall surely be put to death.</w:t>
      </w:r>
    </w:p>
    <w:p>
      <w:r>
        <w:rPr>
          <w:b/>
        </w:rPr>
        <w:t xml:space="preserve">11 </w:t>
      </w:r>
      <w:r>
        <w:t xml:space="preserve">And if anyone lies with his father's wife, he has uncovered his father's nakedness. Both shall surely be put to death. They are guilty.</w:t>
      </w:r>
    </w:p>
    <w:p>
      <w:r>
        <w:rPr>
          <w:b/>
        </w:rPr>
        <w:t xml:space="preserve">12 </w:t>
      </w:r>
      <w:r>
        <w:t xml:space="preserve">And if anyone lies with his daughter-in-law, both shall surely be put to death, for they have acted impiously. They are guilty.</w:t>
      </w:r>
    </w:p>
    <w:p>
      <w:r>
        <w:rPr>
          <w:b/>
        </w:rPr>
        <w:t xml:space="preserve">13 </w:t>
      </w:r>
      <w:r>
        <w:t xml:space="preserve">And whoever lies with a male the bed of a woman, both have done an abomination. They shall surely be put to death. They are guilty.</w:t>
      </w:r>
    </w:p>
    <w:p>
      <w:r>
        <w:rPr>
          <w:b/>
        </w:rPr>
        <w:t xml:space="preserve">14 </w:t>
      </w:r>
      <w:r>
        <w:t xml:space="preserve">Whoever takes a woman and her mother, it is lawlessness. They shall burn him and them with fire, and there shall not be lawlessness among you.</w:t>
      </w:r>
    </w:p>
    <w:p>
      <w:r>
        <w:rPr>
          <w:b/>
        </w:rPr>
        <w:t xml:space="preserve">15 </w:t>
      </w:r>
      <w:r>
        <w:t xml:space="preserve">And whoever gives his bed to a four-footed animal shall surely be put to death, and you shall kill the four-footed animal.</w:t>
      </w:r>
    </w:p>
    <w:p>
      <w:r>
        <w:rPr>
          <w:b/>
        </w:rPr>
        <w:t xml:space="preserve">16 </w:t>
      </w:r>
      <w:r>
        <w:t xml:space="preserve">And if a woman</w:t>
      </w:r>
      <w:r>
        <w:rPr>
          <w:rStyle w:val="FootnoteReference"/>
        </w:rPr>
        <w:footnoteReference w:id="2341"/>
      </w:r>
      <w:r>
        <w:t xml:space="preserve"> comes near to any beast to mate with it, you shall kill the woman and the beast. They shall surely be put to death. They are guilty.</w:t>
      </w:r>
    </w:p>
    <w:p>
      <w:r>
        <w:rPr>
          <w:b/>
        </w:rPr>
        <w:t xml:space="preserve">17 </w:t>
      </w:r>
      <w:r>
        <w:t xml:space="preserve">Whoever takes his sister by his father or by his mother and sees her nakedness and she sees his nakedness, it is a reproach</w:t>
      </w:r>
      <w:r>
        <w:rPr>
          <w:rStyle w:val="FootnoteReference"/>
        </w:rPr>
        <w:footnoteReference w:id="2342"/>
      </w:r>
      <w:r>
        <w:t xml:space="preserve">. They shall be cut off before the sons of their family. He uncovered his sister's nakedness. They shall bear sin.</w:t>
      </w:r>
    </w:p>
    <w:p>
      <w:r>
        <w:rPr>
          <w:b/>
        </w:rPr>
        <w:t xml:space="preserve">18 </w:t>
      </w:r>
      <w:r>
        <w:t xml:space="preserve">And a man who lies with a woman under separation and uncovers her nakedness, he has uncovered her fountain and she has uncovered the flow of her blood. Both shall be cut off from among their family</w:t>
      </w:r>
      <w:r>
        <w:rPr>
          <w:rStyle w:val="FootnoteReference"/>
        </w:rPr>
        <w:footnoteReference w:id="2343"/>
      </w:r>
      <w:r>
        <w:t xml:space="preserve">.</w:t>
      </w:r>
    </w:p>
    <w:p>
      <w:r>
        <w:rPr>
          <w:b/>
        </w:rPr>
        <w:t xml:space="preserve">19 </w:t>
      </w:r>
      <w:r>
        <w:t xml:space="preserve">And the nakedness of your father's sister and your mother's</w:t>
      </w:r>
      <w:r>
        <w:rPr>
          <w:rStyle w:val="FootnoteReference"/>
        </w:rPr>
        <w:footnoteReference w:id="2344"/>
      </w:r>
      <w:r>
        <w:t xml:space="preserve"> sister you shall not uncover, for he has uncovered close kin. They shall bear sin.</w:t>
      </w:r>
    </w:p>
    <w:p>
      <w:r>
        <w:rPr>
          <w:b/>
        </w:rPr>
        <w:t xml:space="preserve">20 </w:t>
      </w:r>
      <w:r>
        <w:t xml:space="preserve">Whoever lies with his relative, he has uncovered the nakedness of his kin. They shall die childless</w:t>
      </w:r>
      <w:r>
        <w:rPr>
          <w:rStyle w:val="FootnoteReference"/>
        </w:rPr>
        <w:footnoteReference w:id="2345"/>
      </w:r>
      <w:r>
        <w:t xml:space="preserve">.</w:t>
      </w:r>
    </w:p>
    <w:p>
      <w:r>
        <w:rPr>
          <w:b/>
        </w:rPr>
        <w:t xml:space="preserve">21 </w:t>
      </w:r>
      <w:r>
        <w:t xml:space="preserve">Whoever takes his brother's</w:t>
      </w:r>
      <w:r>
        <w:rPr>
          <w:rStyle w:val="FootnoteReference"/>
        </w:rPr>
        <w:footnoteReference w:id="2346"/>
      </w:r>
      <w:r>
        <w:t xml:space="preserve"> wife, it is uncleanness. He has uncovered his brother's nakedness. They shall die childless.</w:t>
      </w:r>
    </w:p>
    <w:p>
      <w:r>
        <w:rPr>
          <w:b/>
        </w:rPr>
        <w:t xml:space="preserve">22 </w:t>
      </w:r>
      <w:r>
        <w:t xml:space="preserve">And keep all my commands and all my judgments</w:t>
      </w:r>
      <w:r>
        <w:rPr>
          <w:rStyle w:val="FootnoteReference"/>
        </w:rPr>
        <w:footnoteReference w:id="2347"/>
      </w:r>
      <w:r>
        <w:t xml:space="preserve"> and do them, and let not the land into which I am bringing you there to dwell on it be aggrieved with you.</w:t>
      </w:r>
    </w:p>
    <w:p>
      <w:r>
        <w:rPr>
          <w:b/>
        </w:rPr>
        <w:t xml:space="preserve">23 </w:t>
      </w:r>
      <w:r>
        <w:t xml:space="preserve">And do not walk in the statutes of the nations that I am sending away from before you, because they did all these things and I abhorred them.</w:t>
      </w:r>
    </w:p>
    <w:p>
      <w:r>
        <w:rPr>
          <w:b/>
        </w:rPr>
        <w:t xml:space="preserve">24 </w:t>
      </w:r>
      <w:r>
        <w:t xml:space="preserve">And I said to you, You shall inherit their land, and I will give it to you for a possession, a land flowing with milk and honey. I am the Lord your God, who separated you from all the nations</w:t>
      </w:r>
      <w:r>
        <w:rPr>
          <w:rStyle w:val="FootnoteReference"/>
        </w:rPr>
        <w:footnoteReference w:id="2348"/>
      </w:r>
      <w:r>
        <w:t xml:space="preserve">.</w:t>
      </w:r>
    </w:p>
    <w:p>
      <w:r>
        <w:rPr>
          <w:b/>
        </w:rPr>
        <w:t xml:space="preserve">25 </w:t>
      </w:r>
      <w:r>
        <w:t xml:space="preserve">And you shall distinguish between the clean animals and the unclean animals and between the clean birds and the unclean birds, and you shall not make your lives abominable</w:t>
      </w:r>
      <w:r>
        <w:rPr>
          <w:rStyle w:val="FootnoteReference"/>
        </w:rPr>
        <w:footnoteReference w:id="2349"/>
      </w:r>
      <w:r>
        <w:t xml:space="preserve"> among the animals and among the birds and among all the creeping things of the earth, which I set apart for you in uncleanness.</w:t>
      </w:r>
      <w:r>
        <w:rPr>
          <w:rStyle w:val="FootnoteReference"/>
        </w:rPr>
        <w:footnoteReference w:id="2350"/>
      </w:r>
    </w:p>
    <w:p>
      <w:r>
        <w:rPr>
          <w:b/>
        </w:rPr>
        <w:t xml:space="preserve">26 </w:t>
      </w:r>
      <w:r>
        <w:t xml:space="preserve">And you shall be holy to me, because I, the Lord</w:t>
      </w:r>
      <w:r>
        <w:rPr>
          <w:rStyle w:val="FootnoteReference"/>
        </w:rPr>
        <w:footnoteReference w:id="2351"/>
      </w:r>
      <w:r>
        <w:t xml:space="preserve"> your God, am holy, who separated you from all the nations to be mine.</w:t>
      </w:r>
    </w:p>
    <w:p>
      <w:r>
        <w:rPr>
          <w:b/>
        </w:rPr>
        <w:t xml:space="preserve">27 </w:t>
      </w:r>
      <w:r>
        <w:t xml:space="preserve">And if a man or a woman among them becomes a ventriloquist or an enchanter, both shall surely be put to death. Stone them with stones. They are guilty.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the Lord said to Moses, saying, Speak</w:t>
      </w:r>
      <w:r>
        <w:rPr>
          <w:rStyle w:val="FootnoteReference"/>
        </w:rPr>
        <w:footnoteReference w:id="2352"/>
      </w:r>
      <w:r>
        <w:t xml:space="preserve"> to the priests, sons of Aaron, and you shall say to them: For a dead person they shall not defile themselves among their people,</w:t>
      </w:r>
    </w:p>
    <w:p>
      <w:r>
        <w:rPr>
          <w:b/>
        </w:rPr>
        <w:t xml:space="preserve">2 </w:t>
      </w:r>
      <w:r>
        <w:t xml:space="preserve">except for close kin nearest to them: for father and mother and sons and daughters and brother,</w:t>
      </w:r>
    </w:p>
    <w:p>
      <w:r>
        <w:rPr>
          <w:b/>
        </w:rPr>
        <w:t xml:space="preserve">3 </w:t>
      </w:r>
      <w:r>
        <w:t xml:space="preserve">and for a virgin sister near to him, not given to a man; for these he shall defile himself.</w:t>
      </w:r>
    </w:p>
    <w:p>
      <w:r>
        <w:rPr>
          <w:b/>
        </w:rPr>
        <w:t xml:space="preserve">4 </w:t>
      </w:r>
      <w:r>
        <w:t xml:space="preserve">He shall not defile himself suddenly among his people so as to profane himself.</w:t>
      </w:r>
    </w:p>
    <w:p>
      <w:r>
        <w:rPr>
          <w:b/>
        </w:rPr>
        <w:t xml:space="preserve">5 </w:t>
      </w:r>
      <w:r>
        <w:t xml:space="preserve">They shall not shave a bald patch on their head for a dead one, and they shall not shave the face of the beard, and on their flesh they shall not cut cuttings.</w:t>
      </w:r>
    </w:p>
    <w:p>
      <w:r>
        <w:rPr>
          <w:b/>
        </w:rPr>
        <w:t xml:space="preserve">6 </w:t>
      </w:r>
      <w:r>
        <w:t xml:space="preserve">They shall be holy</w:t>
      </w:r>
      <w:r>
        <w:rPr>
          <w:rStyle w:val="FootnoteReference"/>
        </w:rPr>
        <w:footnoteReference w:id="2353"/>
      </w:r>
      <w:r>
        <w:t xml:space="preserve"> to their God, and they shall not profane the name of their God, because they offer the sacrifices of the Lord, gifts of their God, and they shall be holy.</w:t>
      </w:r>
    </w:p>
    <w:p>
      <w:r>
        <w:rPr>
          <w:b/>
        </w:rPr>
        <w:t xml:space="preserve">7 </w:t>
      </w:r>
      <w:r>
        <w:t xml:space="preserve">A prostitute and a profaned woman they shall not take, and a woman cast out from her husband they shall not take, because he is holy to the Lord his God.</w:t>
      </w:r>
    </w:p>
    <w:p>
      <w:r>
        <w:rPr>
          <w:b/>
        </w:rPr>
        <w:t xml:space="preserve">8 </w:t>
      </w:r>
      <w:r>
        <w:t xml:space="preserve">And you shall sanctify</w:t>
      </w:r>
      <w:r>
        <w:rPr>
          <w:rStyle w:val="FootnoteReference"/>
        </w:rPr>
        <w:footnoteReference w:id="2354"/>
      </w:r>
      <w:r>
        <w:t xml:space="preserve"> him, because he offers the gifts of the Lord your God. He shall be holy, because I, the Lord who sanctifies them, am holy.</w:t>
      </w:r>
    </w:p>
    <w:p>
      <w:r>
        <w:rPr>
          <w:b/>
        </w:rPr>
        <w:t xml:space="preserve">9 </w:t>
      </w:r>
      <w:r>
        <w:t xml:space="preserve">And if the daughter</w:t>
      </w:r>
      <w:r>
        <w:rPr>
          <w:rStyle w:val="FootnoteReference"/>
        </w:rPr>
        <w:footnoteReference w:id="2355"/>
      </w:r>
      <w:r>
        <w:t xml:space="preserve"> of a priestly man profanes herself by whoring, she profanes her father's name. She shall be burned with fire.</w:t>
      </w:r>
    </w:p>
    <w:p>
      <w:r>
        <w:rPr>
          <w:b/>
        </w:rPr>
        <w:t xml:space="preserve">10 </w:t>
      </w:r>
      <w:r>
        <w:t xml:space="preserve">And the high priest from among his brothers, on whose head the anointing oil has been poured and who has been completed to put on the garments, shall not unbind his head-covering, and shall not tear his garments.</w:t>
      </w:r>
    </w:p>
    <w:p>
      <w:r>
        <w:rPr>
          <w:b/>
        </w:rPr>
        <w:t xml:space="preserve">11 </w:t>
      </w:r>
      <w:r>
        <w:t xml:space="preserve">And he shall not enter upon any dead person. For his father</w:t>
      </w:r>
      <w:r>
        <w:rPr>
          <w:rStyle w:val="FootnoteReference"/>
        </w:rPr>
        <w:footnoteReference w:id="2356"/>
      </w:r>
      <w:r>
        <w:t xml:space="preserve"> or his mother he shall not defile himself.</w:t>
      </w:r>
    </w:p>
    <w:p>
      <w:r>
        <w:rPr>
          <w:b/>
        </w:rPr>
        <w:t xml:space="preserve">12 </w:t>
      </w:r>
      <w:r>
        <w:t xml:space="preserve">And he shall not go out</w:t>
      </w:r>
      <w:r>
        <w:rPr>
          <w:rStyle w:val="FootnoteReference"/>
        </w:rPr>
        <w:footnoteReference w:id="2357"/>
      </w:r>
      <w:r>
        <w:t xml:space="preserve"> from the holy things, and he shall not profane the sanctuary of his God, because the holy anointing oil of his God is upon him. I am the Lord.</w:t>
      </w:r>
    </w:p>
    <w:p>
      <w:r>
        <w:rPr>
          <w:b/>
        </w:rPr>
        <w:t xml:space="preserve">13 </w:t>
      </w:r>
      <w:r>
        <w:t xml:space="preserve">This man shall take a virgin woman from his own kindred.</w:t>
      </w:r>
    </w:p>
    <w:p>
      <w:r>
        <w:rPr>
          <w:b/>
        </w:rPr>
        <w:t xml:space="preserve">14 </w:t>
      </w:r>
      <w:r>
        <w:t xml:space="preserve">But a widow and a cast-out woman and a profaned woman and a prostitute, these he shall not take. Rather, he shall take as wife a virgin from his own people.</w:t>
      </w:r>
    </w:p>
    <w:p>
      <w:r>
        <w:rPr>
          <w:b/>
        </w:rPr>
        <w:t xml:space="preserve">15 </w:t>
      </w:r>
      <w:r>
        <w:t xml:space="preserve">And he shall not profane</w:t>
      </w:r>
      <w:r>
        <w:rPr>
          <w:rStyle w:val="FootnoteReference"/>
        </w:rPr>
        <w:footnoteReference w:id="2358"/>
      </w:r>
      <w:r>
        <w:t xml:space="preserve"> his seed among his people. I am the Lord who sanctifies him.</w:t>
      </w:r>
    </w:p>
    <w:p>
      <w:r>
        <w:rPr>
          <w:b/>
        </w:rPr>
        <w:t xml:space="preserve">16 </w:t>
      </w:r>
      <w:r>
        <w:t xml:space="preserve">And the Lord spoke to Moses, saying,</w:t>
      </w:r>
    </w:p>
    <w:p>
      <w:r>
        <w:rPr>
          <w:b/>
        </w:rPr>
        <w:t xml:space="preserve">17 </w:t>
      </w:r>
      <w:r>
        <w:t xml:space="preserve">Speak to Aaron: A man from your seed throughout your generations, if a blemish</w:t>
      </w:r>
      <w:r>
        <w:rPr>
          <w:rStyle w:val="FootnoteReference"/>
        </w:rPr>
        <w:footnoteReference w:id="2359"/>
      </w:r>
      <w:r>
        <w:t xml:space="preserve"> is in him, shall not approach to offer the gifts of his God.</w:t>
      </w:r>
    </w:p>
    <w:p>
      <w:r>
        <w:rPr>
          <w:b/>
        </w:rPr>
        <w:t xml:space="preserve">18 </w:t>
      </w:r>
      <w:r>
        <w:t xml:space="preserve">Every man in whom there is a blemish shall not approach: a lame or blind man, or one disfigured in face or cut in ear,</w:t>
      </w:r>
    </w:p>
    <w:p>
      <w:r>
        <w:rPr>
          <w:b/>
        </w:rPr>
        <w:t xml:space="preserve">19 </w:t>
      </w:r>
      <w:r>
        <w:t xml:space="preserve">or a man who has a fracture of hand or a fracture of foot,</w:t>
      </w:r>
    </w:p>
    <w:p>
      <w:r>
        <w:rPr>
          <w:b/>
        </w:rPr>
        <w:t xml:space="preserve">20 </w:t>
      </w:r>
      <w:r>
        <w:t xml:space="preserve">or hunchbacked or stunted, or a man with a blemish in his eyes, or one who has itching scabs or ringworm, or one with a single testicle.</w:t>
      </w:r>
    </w:p>
    <w:p>
      <w:r>
        <w:rPr>
          <w:b/>
        </w:rPr>
        <w:t xml:space="preserve">21 </w:t>
      </w:r>
      <w:r>
        <w:t xml:space="preserve">Any man in whom there is a blemish, from the seed of Aaron the priest, shall not come near to offer</w:t>
      </w:r>
      <w:r>
        <w:rPr>
          <w:rStyle w:val="FootnoteReference"/>
        </w:rPr>
        <w:footnoteReference w:id="2360"/>
      </w:r>
      <w:r>
        <w:t xml:space="preserve"> the sacrifices to your God. Because a blemish is in him, he shall not approach to offer the gifts of his God.</w:t>
      </w:r>
    </w:p>
    <w:p>
      <w:r>
        <w:rPr>
          <w:b/>
        </w:rPr>
        <w:t xml:space="preserve">22 </w:t>
      </w:r>
      <w:r>
        <w:t xml:space="preserve">He may eat the gifts of God, the holy of holies and the holy things.</w:t>
      </w:r>
    </w:p>
    <w:p>
      <w:r>
        <w:rPr>
          <w:b/>
        </w:rPr>
        <w:t xml:space="preserve">23 </w:t>
      </w:r>
      <w:r>
        <w:t xml:space="preserve">Only he shall not approach the curtain, and he shall not come near the altar, because he has a blemish, and he shall not profane</w:t>
      </w:r>
      <w:r>
        <w:rPr>
          <w:rStyle w:val="FootnoteReference"/>
        </w:rPr>
        <w:footnoteReference w:id="2361"/>
      </w:r>
      <w:r>
        <w:t xml:space="preserve"> the holy place of his God, because I am the Lord who sanctifies them.</w:t>
      </w:r>
    </w:p>
    <w:p>
      <w:r>
        <w:rPr>
          <w:b/>
        </w:rPr>
        <w:t xml:space="preserve">24 </w:t>
      </w:r>
      <w:r>
        <w:t xml:space="preserve">And Moses spoke to Aaron</w:t>
      </w:r>
      <w:r>
        <w:rPr>
          <w:rStyle w:val="FootnoteReference"/>
        </w:rPr>
        <w:footnoteReference w:id="2362"/>
      </w:r>
      <w:r>
        <w:t xml:space="preserve"> and his sons and to all the sons of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the Lord spoke to Moses, saying,</w:t>
      </w:r>
    </w:p>
    <w:p>
      <w:r>
        <w:rPr>
          <w:b/>
        </w:rPr>
        <w:t xml:space="preserve">2 </w:t>
      </w:r>
      <w:r>
        <w:t xml:space="preserve">Speak to Aaron and his sons, and let them attend carefully to the holy things</w:t>
      </w:r>
      <w:r>
        <w:rPr>
          <w:rStyle w:val="FootnoteReference"/>
        </w:rPr>
        <w:footnoteReference w:id="2363"/>
      </w:r>
      <w:r>
        <w:t xml:space="preserve"> of the sons of Israel, and they shall not profane my holy name in what they consecrate to me. I am the Lord.</w:t>
      </w:r>
    </w:p>
    <w:p>
      <w:r>
        <w:rPr>
          <w:b/>
        </w:rPr>
        <w:t xml:space="preserve">3 </w:t>
      </w:r>
      <w:r>
        <w:t xml:space="preserve">Say to them: Throughout your generations any man from all your seed who approaches the holy things that the sons of Israel consecrate to the Lord, while his uncleanness is upon him, that person shall be destroyed from before me</w:t>
      </w:r>
      <w:r>
        <w:rPr>
          <w:rStyle w:val="FootnoteReference"/>
        </w:rPr>
        <w:footnoteReference w:id="2364"/>
      </w:r>
      <w:r>
        <w:t xml:space="preserve">. I am the Lord your God.</w:t>
      </w:r>
    </w:p>
    <w:p>
      <w:r>
        <w:rPr>
          <w:b/>
        </w:rPr>
        <w:t xml:space="preserve">4 </w:t>
      </w:r>
      <w:r>
        <w:t xml:space="preserve">And any man from the seed of Aaron the priest, if he has skin-disease or a discharge, shall not eat the holy things</w:t>
      </w:r>
      <w:r>
        <w:rPr>
          <w:rStyle w:val="FootnoteReference"/>
        </w:rPr>
        <w:footnoteReference w:id="2365"/>
      </w:r>
      <w:r>
        <w:t xml:space="preserve"> until he is cleansed. And if one touches any uncleanness of a dead person, or a man from whom a flow of seed goes out</w:t>
      </w:r>
      <w:r>
        <w:rPr>
          <w:rStyle w:val="FootnoteReference"/>
        </w:rPr>
        <w:footnoteReference w:id="2366"/>
      </w:r>
      <w:r>
        <w:t xml:space="preserve">,</w:t>
      </w:r>
    </w:p>
    <w:p>
      <w:r>
        <w:rPr>
          <w:b/>
        </w:rPr>
        <w:t xml:space="preserve">5 </w:t>
      </w:r>
      <w:r>
        <w:t xml:space="preserve">or whoever touches any unclean creeping thing that would make him unclean, or a human by whom he would become unclean according to all his uncleanness,</w:t>
      </w:r>
    </w:p>
    <w:p>
      <w:r>
        <w:rPr>
          <w:b/>
        </w:rPr>
        <w:t xml:space="preserve">6 </w:t>
      </w:r>
      <w:r>
        <w:t xml:space="preserve">a person who touches these shall be unclean until evening and shall not eat from the holy things unless he washes his body in water.</w:t>
      </w:r>
    </w:p>
    <w:p>
      <w:r>
        <w:rPr>
          <w:b/>
        </w:rPr>
        <w:t xml:space="preserve">7 </w:t>
      </w:r>
      <w:r>
        <w:t xml:space="preserve">And when the sun goes down, he shall be clean, and afterward he shall eat of the holy things, because that is his bread.</w:t>
      </w:r>
    </w:p>
    <w:p>
      <w:r>
        <w:rPr>
          <w:b/>
        </w:rPr>
        <w:t xml:space="preserve">8 </w:t>
      </w:r>
      <w:r>
        <w:t xml:space="preserve">What dies of itself or is torn by beasts he shall not eat, to be defiled by them. I am the Lord.</w:t>
      </w:r>
      <w:r>
        <w:rPr>
          <w:rStyle w:val="FootnoteReference"/>
        </w:rPr>
        <w:footnoteReference w:id="2367"/>
      </w:r>
    </w:p>
    <w:p>
      <w:r>
        <w:rPr>
          <w:b/>
        </w:rPr>
        <w:t xml:space="preserve">9 </w:t>
      </w:r>
      <w:r>
        <w:t xml:space="preserve">And they shall keep my ordinances, so that they may not bear sin because of them and die because of them if they profane them. I am the Lord God who sanctifies them.</w:t>
      </w:r>
    </w:p>
    <w:p>
      <w:r>
        <w:rPr>
          <w:b/>
        </w:rPr>
        <w:t xml:space="preserve">10 </w:t>
      </w:r>
      <w:r>
        <w:t xml:space="preserve">And no foreigner shall eat holy things. A resident of a priest or a hired servant shall not eat holy things.</w:t>
      </w:r>
    </w:p>
    <w:p>
      <w:r>
        <w:rPr>
          <w:b/>
        </w:rPr>
        <w:t xml:space="preserve">11 </w:t>
      </w:r>
      <w:r>
        <w:t xml:space="preserve">But if a priest acquires a person as property with silver, that one shall eat of his bread, and those born in his house, they too shall eat of his bread.</w:t>
      </w:r>
    </w:p>
    <w:p>
      <w:r>
        <w:rPr>
          <w:b/>
        </w:rPr>
        <w:t xml:space="preserve">12 </w:t>
      </w:r>
      <w:r>
        <w:t xml:space="preserve">And if a priest's daughter belongs to a foreign man, she shall not eat of the firstfruits of the holy things.</w:t>
      </w:r>
    </w:p>
    <w:p>
      <w:r>
        <w:rPr>
          <w:b/>
        </w:rPr>
        <w:t xml:space="preserve">13 </w:t>
      </w:r>
      <w:r>
        <w:t xml:space="preserve">But if a priest's daughter becomes a widow or cast out, and there is no seed for her, and she returns to her father's house as in her</w:t>
      </w:r>
      <w:r>
        <w:rPr>
          <w:rStyle w:val="FootnoteReference"/>
        </w:rPr>
        <w:footnoteReference w:id="2368"/>
      </w:r>
      <w:r>
        <w:t xml:space="preserve"> youth, she shall eat of her father's bread. But no foreigner shall eat from them.</w:t>
      </w:r>
    </w:p>
    <w:p>
      <w:r>
        <w:rPr>
          <w:b/>
        </w:rPr>
        <w:t xml:space="preserve">14 </w:t>
      </w:r>
      <w:r>
        <w:t xml:space="preserve">And if a man eats holy things by ignorance, he shall add a fifth part to it and give the holy thing to the priest.</w:t>
      </w:r>
    </w:p>
    <w:p>
      <w:r>
        <w:rPr>
          <w:b/>
        </w:rPr>
        <w:t xml:space="preserve">15 </w:t>
      </w:r>
      <w:r>
        <w:t xml:space="preserve">And they shall not profane the holy things of the sons of Israel, which they set apart for the Lord,</w:t>
      </w:r>
    </w:p>
    <w:p>
      <w:r>
        <w:rPr>
          <w:b/>
        </w:rPr>
        <w:t xml:space="preserve">16 </w:t>
      </w:r>
      <w:r>
        <w:t xml:space="preserve">and bring upon themselves guilt of trespass when they eat their holy things, because I am the Lord who sanctifies them.</w:t>
      </w:r>
    </w:p>
    <w:p>
      <w:r>
        <w:rPr>
          <w:b/>
        </w:rPr>
        <w:t xml:space="preserve">17 </w:t>
      </w:r>
      <w:r>
        <w:t xml:space="preserve">And the Lord spoke to Moses, saying,</w:t>
      </w:r>
    </w:p>
    <w:p>
      <w:r>
        <w:rPr>
          <w:b/>
        </w:rPr>
        <w:t xml:space="preserve">18 </w:t>
      </w:r>
      <w:r>
        <w:t xml:space="preserve">Speak to Aaron and to his sons and to all the congregation of Israel, and you shall say to them: Any man from the sons of Israel or from the sons of the newcomers attached to them</w:t>
      </w:r>
      <w:r>
        <w:rPr>
          <w:rStyle w:val="FootnoteReference"/>
        </w:rPr>
        <w:footnoteReference w:id="2369"/>
      </w:r>
      <w:r>
        <w:t xml:space="preserve"> in Israel who brings his gifts according to all their vows</w:t>
      </w:r>
      <w:r>
        <w:rPr>
          <w:rStyle w:val="FootnoteReference"/>
        </w:rPr>
        <w:footnoteReference w:id="2370"/>
      </w:r>
      <w:r>
        <w:t xml:space="preserve"> or according to all their freewill choices, whatever they may bring to God as a whole burnt offering,</w:t>
      </w:r>
    </w:p>
    <w:p>
      <w:r>
        <w:rPr>
          <w:b/>
        </w:rPr>
        <w:t xml:space="preserve">19 </w:t>
      </w:r>
      <w:r>
        <w:t xml:space="preserve">for acceptance for you, shall bring an unblemished male from the cattle and from the sheep and from the goats.</w:t>
      </w:r>
    </w:p>
    <w:p>
      <w:r>
        <w:rPr>
          <w:b/>
        </w:rPr>
        <w:t xml:space="preserve">20 </w:t>
      </w:r>
      <w:r>
        <w:t xml:space="preserve">Whatever has a blemish in it you shall not bring to the Lord, because it shall not be acceptable for you.</w:t>
      </w:r>
    </w:p>
    <w:p>
      <w:r>
        <w:rPr>
          <w:b/>
        </w:rPr>
        <w:t xml:space="preserve">21 </w:t>
      </w:r>
      <w:r>
        <w:t xml:space="preserve">And if a man brings a sacrifice of salvation to the Lord, fulfilling a vow or as a freewill choice or in your festivals, it shall be unblemished for acceptance, from the cattle or from the sheep. No blemish shall be in it.</w:t>
      </w:r>
    </w:p>
    <w:p>
      <w:r>
        <w:rPr>
          <w:b/>
        </w:rPr>
        <w:t xml:space="preserve">22 </w:t>
      </w:r>
      <w:r>
        <w:t xml:space="preserve">A blind</w:t>
      </w:r>
      <w:r>
        <w:rPr>
          <w:rStyle w:val="FootnoteReference"/>
        </w:rPr>
        <w:footnoteReference w:id="2371"/>
      </w:r>
      <w:r>
        <w:t xml:space="preserve"> or crushed or cut-tongued animal, or one with warts or with mange or with ringworm, these you shall not bring to the Lord, and from them you shall not place an offering upon the altar to the Lord.</w:t>
      </w:r>
    </w:p>
    <w:p>
      <w:r>
        <w:rPr>
          <w:b/>
        </w:rPr>
        <w:t xml:space="preserve">23 </w:t>
      </w:r>
      <w:r>
        <w:t xml:space="preserve">And a calf or sheep cut in ear or short in tail, you shall make them as slaughter-offerings for yourself, but for your vow it shall not be accepted.</w:t>
      </w:r>
    </w:p>
    <w:p>
      <w:r>
        <w:rPr>
          <w:b/>
        </w:rPr>
        <w:t xml:space="preserve">24 </w:t>
      </w:r>
      <w:r>
        <w:t xml:space="preserve">One bruised or crushed or cut out or torn away you shall not bring to the Lord, and in your land you shall not do so.</w:t>
      </w:r>
    </w:p>
    <w:p>
      <w:r>
        <w:rPr>
          <w:b/>
        </w:rPr>
        <w:t xml:space="preserve">25 </w:t>
      </w:r>
      <w:r>
        <w:t xml:space="preserve">And from the hand of a foreigner you shall not bring gifts to your God from any of these, because ruin is in them; blemish is in them; these shall not be accepted for you.</w:t>
      </w:r>
    </w:p>
    <w:p>
      <w:r>
        <w:rPr>
          <w:b/>
        </w:rPr>
        <w:t xml:space="preserve">26 </w:t>
      </w:r>
      <w:r>
        <w:t xml:space="preserve">And the Lord spoke to Moses, saying,</w:t>
      </w:r>
    </w:p>
    <w:p>
      <w:r>
        <w:rPr>
          <w:b/>
        </w:rPr>
        <w:t xml:space="preserve">27 </w:t>
      </w:r>
      <w:r>
        <w:t xml:space="preserve">A calf or sheep or goat, whenever it is born, shall be seven days</w:t>
      </w:r>
      <w:r>
        <w:rPr>
          <w:rStyle w:val="FootnoteReference"/>
        </w:rPr>
        <w:footnoteReference w:id="2372"/>
      </w:r>
      <w:r>
        <w:t xml:space="preserve"> under its mother, but on the eighth day and beyond it shall be accepted as a gift, an offering to the Lord.</w:t>
      </w:r>
    </w:p>
    <w:p>
      <w:r>
        <w:rPr>
          <w:b/>
        </w:rPr>
        <w:t xml:space="preserve">28 </w:t>
      </w:r>
      <w:r>
        <w:t xml:space="preserve">And a calf or sheep, her and her young you shall not slaughter in one day.</w:t>
      </w:r>
    </w:p>
    <w:p>
      <w:r>
        <w:rPr>
          <w:b/>
        </w:rPr>
        <w:t xml:space="preserve">29 </w:t>
      </w:r>
      <w:r>
        <w:t xml:space="preserve">And if you sacrifice to the Lord a sacrifice, a vow of rejoicing, you shall sacrifice it for acceptance for you.</w:t>
      </w:r>
    </w:p>
    <w:p>
      <w:r>
        <w:rPr>
          <w:b/>
        </w:rPr>
        <w:t xml:space="preserve">30 </w:t>
      </w:r>
      <w:r>
        <w:t xml:space="preserve">It shall be eaten on that same day; you shall not leave any of the meat from it until morning. I am the Lord.</w:t>
      </w:r>
    </w:p>
    <w:p>
      <w:r>
        <w:rPr>
          <w:b/>
        </w:rPr>
        <w:t xml:space="preserve">31 </w:t>
      </w:r>
      <w:r>
        <w:t xml:space="preserve">And you shall keep my commands and do them.</w:t>
      </w:r>
    </w:p>
    <w:p>
      <w:r>
        <w:rPr>
          <w:b/>
        </w:rPr>
        <w:t xml:space="preserve">32 </w:t>
      </w:r>
      <w:r>
        <w:t xml:space="preserve">And you shall not profane my holy name, and I shall be sanctified in the midst of the sons of Israel. I am the Lord who sanctifies you,</w:t>
      </w:r>
    </w:p>
    <w:p>
      <w:r>
        <w:rPr>
          <w:b/>
        </w:rPr>
        <w:t xml:space="preserve">33 </w:t>
      </w:r>
      <w:r>
        <w:t xml:space="preserve">who brought you out from the land of Egypt so as to be your God.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the Lord said to Moses, saying,</w:t>
      </w:r>
    </w:p>
    <w:p>
      <w:r>
        <w:rPr>
          <w:b/>
        </w:rPr>
        <w:t xml:space="preserve">2 </w:t>
      </w:r>
      <w:r>
        <w:t xml:space="preserve">Speak to the sons of Israel and say to them: These are the feasts</w:t>
      </w:r>
      <w:r>
        <w:rPr>
          <w:rStyle w:val="FootnoteReference"/>
        </w:rPr>
        <w:footnoteReference w:id="2373"/>
      </w:r>
      <w:r>
        <w:t xml:space="preserve"> of the Lord, which you shall call holy convocations; these are my feasts.</w:t>
      </w:r>
    </w:p>
    <w:p>
      <w:r>
        <w:rPr>
          <w:b/>
        </w:rPr>
        <w:t xml:space="preserve">3 </w:t>
      </w:r>
      <w:r>
        <w:t xml:space="preserve">Six days you shall do works, and on the seventh day there shall be Sabbaths, rest, a holy convocation to the Lord. You shall do no work. It is Sabbath to the Lord in every dwelling of yours.</w:t>
      </w:r>
    </w:p>
    <w:p>
      <w:r>
        <w:rPr>
          <w:b/>
        </w:rPr>
        <w:t xml:space="preserve">4 </w:t>
      </w:r>
      <w:r>
        <w:t xml:space="preserve">These are the feasts of the Lord, holy convocations, which you shall call in their times.</w:t>
      </w:r>
    </w:p>
    <w:p>
      <w:r>
        <w:rPr>
          <w:b/>
        </w:rPr>
        <w:t xml:space="preserve">5 </w:t>
      </w:r>
      <w:r>
        <w:t xml:space="preserve">In the first month, on the fourteenth day of the month, between the evenings, is Passover to the Lord.</w:t>
      </w:r>
    </w:p>
    <w:p>
      <w:r>
        <w:rPr>
          <w:b/>
        </w:rPr>
        <w:t xml:space="preserve">6 </w:t>
      </w:r>
      <w:r>
        <w:t xml:space="preserve">And on the fifteenth day of this month is the feast of Unleavened Bread to the Lord. Seven days you shall eat unleavened bread.</w:t>
      </w:r>
    </w:p>
    <w:p>
      <w:r>
        <w:rPr>
          <w:b/>
        </w:rPr>
        <w:t xml:space="preserve">7 </w:t>
      </w:r>
      <w:r>
        <w:t xml:space="preserve">And the first day shall be a holy convocation for you. You shall do no servile work.</w:t>
      </w:r>
    </w:p>
    <w:p>
      <w:r>
        <w:rPr>
          <w:b/>
        </w:rPr>
        <w:t xml:space="preserve">8 </w:t>
      </w:r>
      <w:r>
        <w:t xml:space="preserve">And you shall bring whole burnt offerings to the Lord seven days, and the seventh day shall be a holy convocation for you. You shall do no servile work.</w:t>
      </w:r>
    </w:p>
    <w:p>
      <w:r>
        <w:rPr>
          <w:b/>
        </w:rPr>
        <w:t xml:space="preserve">9 </w:t>
      </w:r>
      <w:r>
        <w:t xml:space="preserve">And the Lord spoke to Moses, saying,</w:t>
      </w:r>
    </w:p>
    <w:p>
      <w:r>
        <w:rPr>
          <w:b/>
        </w:rPr>
        <w:t xml:space="preserve">10 </w:t>
      </w:r>
      <w:r>
        <w:t xml:space="preserve">Speak to the sons of Israel and say to them: When you enter the land that I give you and reap its harvest, you shall bring a sheaf</w:t>
      </w:r>
      <w:r>
        <w:rPr>
          <w:rStyle w:val="FootnoteReference"/>
        </w:rPr>
        <w:footnoteReference w:id="2374"/>
      </w:r>
      <w:r>
        <w:t xml:space="preserve">, the firstfruits of your harvest, to the priest.</w:t>
      </w:r>
    </w:p>
    <w:p>
      <w:r>
        <w:rPr>
          <w:b/>
        </w:rPr>
        <w:t xml:space="preserve">11 </w:t>
      </w:r>
      <w:r>
        <w:t xml:space="preserve">And he shall lift the sheaf before the Lord, acceptable for you. On the day after the first day the priest shall lift it.</w:t>
      </w:r>
    </w:p>
    <w:p>
      <w:r>
        <w:rPr>
          <w:b/>
        </w:rPr>
        <w:t xml:space="preserve">12 </w:t>
      </w:r>
      <w:r>
        <w:t xml:space="preserve">And on the day when you bring the sheaf, you shall prepare an unblemished yearling lamb as a whole burnt offering to the Lord.</w:t>
      </w:r>
    </w:p>
    <w:p>
      <w:r>
        <w:rPr>
          <w:b/>
        </w:rPr>
        <w:t xml:space="preserve">13 </w:t>
      </w:r>
      <w:r>
        <w:t xml:space="preserve">And its sacrifice shall be two tenths of fine flour mixed with oil, an offering to the Lord, an aroma of sweet fragrance to the Lord, and its libation</w:t>
      </w:r>
      <w:r>
        <w:rPr>
          <w:rStyle w:val="FootnoteReference"/>
        </w:rPr>
        <w:footnoteReference w:id="2375"/>
      </w:r>
      <w:r>
        <w:t xml:space="preserve"> shall be a fourth of a hin of wine.</w:t>
      </w:r>
    </w:p>
    <w:p>
      <w:r>
        <w:rPr>
          <w:b/>
        </w:rPr>
        <w:t xml:space="preserve">14 </w:t>
      </w:r>
      <w:r>
        <w:t xml:space="preserve">And bread and parched grain and fresh kernels</w:t>
      </w:r>
      <w:r>
        <w:rPr>
          <w:rStyle w:val="FootnoteReference"/>
        </w:rPr>
        <w:footnoteReference w:id="2376"/>
      </w:r>
      <w:r>
        <w:t xml:space="preserve"> you shall not eat until this very day, until you bring the gifts to your God. It is a perpetual statute throughout your generations in every dwelling of yours.</w:t>
      </w:r>
    </w:p>
    <w:p>
      <w:r>
        <w:rPr>
          <w:b/>
        </w:rPr>
        <w:t xml:space="preserve">15 </w:t>
      </w:r>
      <w:r>
        <w:t xml:space="preserve">And you shall count for yourselves from the day after the Sabbaths, from the day when you bring the sheaf of the raised offering, seven full weeks.</w:t>
      </w:r>
    </w:p>
    <w:p>
      <w:r>
        <w:rPr>
          <w:b/>
        </w:rPr>
        <w:t xml:space="preserve">16 </w:t>
      </w:r>
      <w:r>
        <w:t xml:space="preserve">Until the day after the last week you shall count fifty days, and you shall bring a new sacrifice to the Lord.</w:t>
      </w:r>
    </w:p>
    <w:p>
      <w:r>
        <w:rPr>
          <w:b/>
        </w:rPr>
        <w:t xml:space="preserve">17 </w:t>
      </w:r>
      <w:r>
        <w:t xml:space="preserve">From your dwellings you shall bring loaves as a raised offering, two loaves from two tenths of fine flour. They shall be baked leavened, firstfruits to the Lord.</w:t>
      </w:r>
    </w:p>
    <w:p>
      <w:r>
        <w:rPr>
          <w:b/>
        </w:rPr>
        <w:t xml:space="preserve">18 </w:t>
      </w:r>
      <w:r>
        <w:t xml:space="preserve">And you shall bring with the loaves seven unblemished yearling lambs and one calf from the cattle and two unblemished rams. They shall be a whole burnt offering to the Lord, and their sacrifices and their libations, an offering, an aroma of sweet fragrance to the Lord.</w:t>
      </w:r>
      <w:r>
        <w:rPr>
          <w:rStyle w:val="FootnoteReference"/>
        </w:rPr>
        <w:footnoteReference w:id="2377"/>
      </w:r>
    </w:p>
    <w:p>
      <w:r>
        <w:rPr>
          <w:b/>
        </w:rPr>
        <w:t xml:space="preserve">19 </w:t>
      </w:r>
      <w:r>
        <w:t xml:space="preserve">And they shall offer one kid</w:t>
      </w:r>
      <w:r>
        <w:rPr>
          <w:rStyle w:val="FootnoteReference"/>
        </w:rPr>
        <w:footnoteReference w:id="2378"/>
      </w:r>
      <w:r>
        <w:t xml:space="preserve"> from the goats for sin, and two yearling lambs as a sacrifice of salvation with the loaves of firstfruits.</w:t>
      </w:r>
    </w:p>
    <w:p>
      <w:r>
        <w:rPr>
          <w:b/>
        </w:rPr>
        <w:t xml:space="preserve">20 </w:t>
      </w:r>
      <w:r>
        <w:t xml:space="preserve">And the priest shall place them with the loaves of firstfruits as a raised offering before the Lord with the two lambs. They shall be holy to</w:t>
      </w:r>
      <w:r>
        <w:rPr>
          <w:rStyle w:val="FootnoteReference"/>
        </w:rPr>
        <w:footnoteReference w:id="2379"/>
      </w:r>
      <w:r>
        <w:t xml:space="preserve"> the Lord for the priest who offers them; they shall be his.</w:t>
      </w:r>
    </w:p>
    <w:p>
      <w:r>
        <w:rPr>
          <w:b/>
        </w:rPr>
        <w:t xml:space="preserve">21 </w:t>
      </w:r>
      <w:r>
        <w:t xml:space="preserve">And you shall proclaim</w:t>
      </w:r>
      <w:r>
        <w:rPr>
          <w:rStyle w:val="FootnoteReference"/>
        </w:rPr>
        <w:footnoteReference w:id="2380"/>
      </w:r>
      <w:r>
        <w:t xml:space="preserve"> this day; it shall be a holy convocation for you. You shall do no servile work in it. It is a perpetual statute throughout your generations in every dwelling of yours.</w:t>
      </w:r>
    </w:p>
    <w:p>
      <w:r>
        <w:rPr>
          <w:b/>
        </w:rPr>
        <w:t xml:space="preserve">22 </w:t>
      </w:r>
      <w:r>
        <w:t xml:space="preserve">And when you reap the harvest of your land, you shall not finish off the remainder of your field when you reap, and the fallen gleanings</w:t>
      </w:r>
      <w:r>
        <w:rPr>
          <w:rStyle w:val="FootnoteReference"/>
        </w:rPr>
        <w:footnoteReference w:id="2381"/>
      </w:r>
      <w:r>
        <w:t xml:space="preserve"> of your harvest you shall not gather. For the poor and for the newcomer you shall leave them. I am the Lord your God.</w:t>
      </w:r>
    </w:p>
    <w:p>
      <w:r>
        <w:rPr>
          <w:b/>
        </w:rPr>
        <w:t xml:space="preserve">23 </w:t>
      </w:r>
      <w:r>
        <w:t xml:space="preserve">And the Lord spoke to Moses, saying,</w:t>
      </w:r>
    </w:p>
    <w:p>
      <w:r>
        <w:rPr>
          <w:b/>
        </w:rPr>
        <w:t xml:space="preserve">24 </w:t>
      </w:r>
      <w:r>
        <w:t xml:space="preserve">Speak to the sons of Israel, saying, In the seventh</w:t>
      </w:r>
      <w:r>
        <w:rPr>
          <w:rStyle w:val="FootnoteReference"/>
        </w:rPr>
        <w:footnoteReference w:id="2382"/>
      </w:r>
      <w:r>
        <w:t xml:space="preserve"> month, on the first day of the month, you shall have a rest, a memorial of trumpets, a holy convocation.</w:t>
      </w:r>
    </w:p>
    <w:p>
      <w:r>
        <w:rPr>
          <w:b/>
        </w:rPr>
        <w:t xml:space="preserve">25 </w:t>
      </w:r>
      <w:r>
        <w:t xml:space="preserve">You shall do no servile work, and you shall bring a whole burnt offering to the Lord.</w:t>
      </w:r>
    </w:p>
    <w:p>
      <w:r>
        <w:rPr>
          <w:b/>
        </w:rPr>
        <w:t xml:space="preserve">26 </w:t>
      </w:r>
      <w:r>
        <w:t xml:space="preserve">And the Lord spoke to Moses, saying,</w:t>
      </w:r>
    </w:p>
    <w:p>
      <w:r>
        <w:rPr>
          <w:b/>
        </w:rPr>
        <w:t xml:space="preserve">27 </w:t>
      </w:r>
      <w:r>
        <w:t xml:space="preserve">And on the tenth</w:t>
      </w:r>
      <w:r>
        <w:rPr>
          <w:rStyle w:val="FootnoteReference"/>
        </w:rPr>
        <w:footnoteReference w:id="2383"/>
      </w:r>
      <w:r>
        <w:t xml:space="preserve"> day of this seventh month is the day of atonement. It shall be a holy convocation for you, and you shall humble your lives, and you shall bring a whole burnt offering to the Lord.</w:t>
      </w:r>
    </w:p>
    <w:p>
      <w:r>
        <w:rPr>
          <w:b/>
        </w:rPr>
        <w:t xml:space="preserve">28 </w:t>
      </w:r>
      <w:r>
        <w:t xml:space="preserve">You shall do no work on this very day, because it is a day of atonement, to make atonement for you before the Lord your God.</w:t>
      </w:r>
    </w:p>
    <w:p>
      <w:r>
        <w:rPr>
          <w:b/>
        </w:rPr>
        <w:t xml:space="preserve">29 </w:t>
      </w:r>
      <w:r>
        <w:t xml:space="preserve">Every person who is not humbled on this very day shall be destroyed from her people.</w:t>
      </w:r>
    </w:p>
    <w:p>
      <w:r>
        <w:rPr>
          <w:b/>
        </w:rPr>
        <w:t xml:space="preserve">30 </w:t>
      </w:r>
      <w:r>
        <w:t xml:space="preserve">And every person who does work on this very day, that person shall perish from her people.</w:t>
      </w:r>
    </w:p>
    <w:p>
      <w:r>
        <w:rPr>
          <w:b/>
        </w:rPr>
        <w:t xml:space="preserve">31 </w:t>
      </w:r>
      <w:r>
        <w:t xml:space="preserve">You shall do no work. It is a perpetual statute throughout your generations in all your dwellings.</w:t>
      </w:r>
    </w:p>
    <w:p>
      <w:r>
        <w:rPr>
          <w:b/>
        </w:rPr>
        <w:t xml:space="preserve">32 </w:t>
      </w:r>
      <w:r>
        <w:t xml:space="preserve">It shall be a Sabbath</w:t>
      </w:r>
      <w:r>
        <w:rPr>
          <w:rStyle w:val="FootnoteReference"/>
        </w:rPr>
        <w:footnoteReference w:id="2384"/>
      </w:r>
      <w:r>
        <w:t xml:space="preserve"> of Sabbaths for you, and you shall humble your lives. From the ninth day of the month, from evening to evening, you shall sabbatize your Sabbaths.</w:t>
      </w:r>
    </w:p>
    <w:p>
      <w:r>
        <w:rPr>
          <w:b/>
        </w:rPr>
        <w:t xml:space="preserve">33 </w:t>
      </w:r>
      <w:r>
        <w:t xml:space="preserve">And the Lord spoke to Moses, saying,</w:t>
      </w:r>
    </w:p>
    <w:p>
      <w:r>
        <w:rPr>
          <w:b/>
        </w:rPr>
        <w:t xml:space="preserve">34 </w:t>
      </w:r>
      <w:r>
        <w:t xml:space="preserve">Speak to the sons of Israel, saying, On the fifteenth</w:t>
      </w:r>
      <w:r>
        <w:rPr>
          <w:rStyle w:val="FootnoteReference"/>
        </w:rPr>
        <w:footnoteReference w:id="2385"/>
      </w:r>
      <w:r>
        <w:t xml:space="preserve"> day of this seventh month is the feast of Booths for seven days to the Lord.</w:t>
      </w:r>
    </w:p>
    <w:p>
      <w:r>
        <w:rPr>
          <w:b/>
        </w:rPr>
        <w:t xml:space="preserve">35 </w:t>
      </w:r>
      <w:r>
        <w:t xml:space="preserve">And the first day shall be a holy convocation. You shall do no servile work.</w:t>
      </w:r>
    </w:p>
    <w:p>
      <w:r>
        <w:rPr>
          <w:b/>
        </w:rPr>
        <w:t xml:space="preserve">36 </w:t>
      </w:r>
      <w:r>
        <w:t xml:space="preserve">Seven</w:t>
      </w:r>
      <w:r>
        <w:rPr>
          <w:rStyle w:val="FootnoteReference"/>
        </w:rPr>
        <w:footnoteReference w:id="2386"/>
      </w:r>
      <w:r>
        <w:t xml:space="preserve"> days you shall bring whole burnt offerings to the Lord, and the eighth day shall be a holy convocation for you, and you shall bring whole burnt offerings to the Lord. It is a conclusion. You shall do no servile work.</w:t>
      </w:r>
      <w:r>
        <w:rPr>
          <w:rStyle w:val="FootnoteReference"/>
        </w:rPr>
        <w:footnoteReference w:id="2387"/>
      </w:r>
    </w:p>
    <w:p>
      <w:r>
        <w:rPr>
          <w:b/>
        </w:rPr>
        <w:t xml:space="preserve">37 </w:t>
      </w:r>
      <w:r>
        <w:t xml:space="preserve">These are the feasts</w:t>
      </w:r>
      <w:r>
        <w:rPr>
          <w:rStyle w:val="FootnoteReference"/>
        </w:rPr>
        <w:footnoteReference w:id="2388"/>
      </w:r>
      <w:r>
        <w:t xml:space="preserve"> of the Lord, which you shall call holy convocations, so as to bring offerings to the Lord, whole burnt offerings and their sacrifices and their libations, each day as required for the day,</w:t>
      </w:r>
    </w:p>
    <w:p>
      <w:r>
        <w:rPr>
          <w:b/>
        </w:rPr>
        <w:t xml:space="preserve">38 </w:t>
      </w:r>
      <w:r>
        <w:t xml:space="preserve">apart from the Sabbaths</w:t>
      </w:r>
      <w:r>
        <w:rPr>
          <w:rStyle w:val="FootnoteReference"/>
        </w:rPr>
        <w:footnoteReference w:id="2389"/>
      </w:r>
      <w:r>
        <w:t xml:space="preserve"> of the Lord and apart from your gifts and apart from all your vows and apart from all your freewill offerings that you give to the Lord.</w:t>
      </w:r>
    </w:p>
    <w:p>
      <w:r>
        <w:rPr>
          <w:b/>
        </w:rPr>
        <w:t xml:space="preserve">39 </w:t>
      </w:r>
      <w:r>
        <w:t xml:space="preserve">And on the fifteenth day of this seventh month, whenever you finish the produce of the land, you shall keep feast to the Lord seven days. On the first</w:t>
      </w:r>
      <w:r>
        <w:rPr>
          <w:rStyle w:val="FootnoteReference"/>
        </w:rPr>
        <w:footnoteReference w:id="2390"/>
      </w:r>
      <w:r>
        <w:t xml:space="preserve"> day there shall be rest, and on the eighth day there shall be rest.</w:t>
      </w:r>
    </w:p>
    <w:p>
      <w:r>
        <w:rPr>
          <w:b/>
        </w:rPr>
        <w:t xml:space="preserve">40 </w:t>
      </w:r>
      <w:r>
        <w:t xml:space="preserve">And on the first day you shall take splendid fruit of trees and branches of palms and boughs of leafy tree and willows and branches of chaste tree from the torrent, to rejoice</w:t>
      </w:r>
      <w:r>
        <w:rPr>
          <w:rStyle w:val="FootnoteReference"/>
        </w:rPr>
        <w:footnoteReference w:id="2391"/>
      </w:r>
      <w:r>
        <w:t xml:space="preserve"> before the Lord your God seven days.</w:t>
      </w:r>
    </w:p>
    <w:p>
      <w:r>
        <w:rPr>
          <w:b/>
        </w:rPr>
        <w:t xml:space="preserve">41 </w:t>
      </w:r>
      <w:r>
        <w:t xml:space="preserve">It is a perpetual statute throughout your generations. In the seventh month you shall keep feast to it.</w:t>
      </w:r>
    </w:p>
    <w:p>
      <w:r>
        <w:rPr>
          <w:b/>
        </w:rPr>
        <w:t xml:space="preserve">42 </w:t>
      </w:r>
      <w:r>
        <w:t xml:space="preserve">You shall dwell in booths seven days. Every native-born person in Israel shall dwell in booths,</w:t>
      </w:r>
    </w:p>
    <w:p>
      <w:r>
        <w:rPr>
          <w:b/>
        </w:rPr>
        <w:t xml:space="preserve">43 </w:t>
      </w:r>
      <w:r>
        <w:t xml:space="preserve">so that your generations may see that in booths I settled the sons of Israel when I brought them out from the land of Egypt. I am the Lord your God.</w:t>
      </w:r>
    </w:p>
    <w:p>
      <w:r>
        <w:rPr>
          <w:b/>
        </w:rPr>
        <w:t xml:space="preserve">44 </w:t>
      </w:r>
      <w:r>
        <w:t xml:space="preserve">And Moses spoke the feasts of the Lord to the sons of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the Lord spoke to Moses, saying,</w:t>
      </w:r>
    </w:p>
    <w:p>
      <w:r>
        <w:rPr>
          <w:b/>
        </w:rPr>
        <w:t xml:space="preserve">2 </w:t>
      </w:r>
      <w:r>
        <w:t xml:space="preserve">Command the sons of Israel, and let them take for me clear beaten olive oil for light, to burn a lamp continually.</w:t>
      </w:r>
    </w:p>
    <w:p>
      <w:r>
        <w:rPr>
          <w:b/>
        </w:rPr>
        <w:t xml:space="preserve">3 </w:t>
      </w:r>
      <w:r>
        <w:t xml:space="preserve">Outside the curtain in the tent of testimony, Aaron and his sons shall burn it</w:t>
      </w:r>
      <w:r>
        <w:rPr>
          <w:rStyle w:val="FootnoteReference"/>
        </w:rPr>
        <w:footnoteReference w:id="2392"/>
      </w:r>
      <w:r>
        <w:t xml:space="preserve"> from evening until morning before the Lord continually, a perpetual statute throughout your generations.</w:t>
      </w:r>
    </w:p>
    <w:p>
      <w:r>
        <w:rPr>
          <w:b/>
        </w:rPr>
        <w:t xml:space="preserve">4 </w:t>
      </w:r>
      <w:r>
        <w:t xml:space="preserve">On the pure</w:t>
      </w:r>
      <w:r>
        <w:rPr>
          <w:rStyle w:val="FootnoteReference"/>
        </w:rPr>
        <w:footnoteReference w:id="2393"/>
      </w:r>
      <w:r>
        <w:t xml:space="preserve"> lampstand you shall burn the lamps before the Lord until morning.</w:t>
      </w:r>
    </w:p>
    <w:p>
      <w:r>
        <w:rPr>
          <w:b/>
        </w:rPr>
        <w:t xml:space="preserve">5 </w:t>
      </w:r>
      <w:r>
        <w:t xml:space="preserve">And you shall take fine flour and make from it twelve loaves. Each loaf shall be of two tenths.</w:t>
      </w:r>
    </w:p>
    <w:p>
      <w:r>
        <w:rPr>
          <w:b/>
        </w:rPr>
        <w:t xml:space="preserve">6 </w:t>
      </w:r>
      <w:r>
        <w:t xml:space="preserve">And you shall place them in two arrangements, six loaves in one arrangement, on the pure</w:t>
      </w:r>
      <w:r>
        <w:rPr>
          <w:rStyle w:val="FootnoteReference"/>
        </w:rPr>
        <w:footnoteReference w:id="2394"/>
      </w:r>
      <w:r>
        <w:t xml:space="preserve"> table before the Lord.</w:t>
      </w:r>
    </w:p>
    <w:p>
      <w:r>
        <w:rPr>
          <w:b/>
        </w:rPr>
        <w:t xml:space="preserve">7 </w:t>
      </w:r>
      <w:r>
        <w:t xml:space="preserve">And you shall place on the arrangement pure</w:t>
      </w:r>
      <w:r>
        <w:rPr>
          <w:rStyle w:val="FootnoteReference"/>
        </w:rPr>
        <w:footnoteReference w:id="2395"/>
      </w:r>
      <w:r>
        <w:t xml:space="preserve"> frankincense and salt, and they shall be for the loaves as a memorial, set before the Lord.</w:t>
      </w:r>
    </w:p>
    <w:p>
      <w:r>
        <w:rPr>
          <w:b/>
        </w:rPr>
        <w:t xml:space="preserve">8 </w:t>
      </w:r>
      <w:r>
        <w:t xml:space="preserve">On the day of the Sabbaths it shall be set out before the Lord continually, from the sons of Israel as an everlasting covenant.</w:t>
      </w:r>
    </w:p>
    <w:p>
      <w:r>
        <w:rPr>
          <w:b/>
        </w:rPr>
        <w:t xml:space="preserve">9 </w:t>
      </w:r>
      <w:r>
        <w:t xml:space="preserve">And it shall belong to Aaron and to his sons, and they shall eat them in a holy place, because this is holy of holies for him from the things sacrificed to the Lord, a perpetual statute.</w:t>
      </w:r>
    </w:p>
    <w:p>
      <w:r>
        <w:rPr>
          <w:b/>
        </w:rPr>
        <w:t xml:space="preserve">10 </w:t>
      </w:r>
      <w:r>
        <w:t xml:space="preserve">And there came out a son of an Israelite</w:t>
      </w:r>
      <w:r>
        <w:rPr>
          <w:rStyle w:val="FootnoteReference"/>
        </w:rPr>
        <w:footnoteReference w:id="2396"/>
      </w:r>
      <w:r>
        <w:t xml:space="preserve"> woman, and he was the son of an Egyptian, among the sons of Israel, and the one from the Israelite woman and the Israelite man fought in the camp.</w:t>
      </w:r>
    </w:p>
    <w:p>
      <w:r>
        <w:rPr>
          <w:b/>
        </w:rPr>
        <w:t xml:space="preserve">11 </w:t>
      </w:r>
      <w:r>
        <w:t xml:space="preserve">And the son of the Israelite woman, having named the Name</w:t>
      </w:r>
      <w:r>
        <w:rPr>
          <w:rStyle w:val="FootnoteReference"/>
        </w:rPr>
        <w:footnoteReference w:id="2397"/>
      </w:r>
      <w:r>
        <w:t xml:space="preserve">, cursed, and they brought him to Moses. And his mother's name was Shelomith</w:t>
      </w:r>
      <w:r>
        <w:rPr>
          <w:rStyle w:val="FootnoteReference"/>
        </w:rPr>
        <w:footnoteReference w:id="2398"/>
      </w:r>
      <w:r>
        <w:t xml:space="preserve">, daughter of Dibri</w:t>
      </w:r>
      <w:r>
        <w:rPr>
          <w:rStyle w:val="FootnoteReference"/>
        </w:rPr>
        <w:footnoteReference w:id="2399"/>
      </w:r>
      <w:r>
        <w:t xml:space="preserve">, from the tribe of Dan.</w:t>
      </w:r>
    </w:p>
    <w:p>
      <w:r>
        <w:rPr>
          <w:b/>
        </w:rPr>
        <w:t xml:space="preserve">12 </w:t>
      </w:r>
      <w:r>
        <w:t xml:space="preserve">And they put him into custody, to judge him by the command of the Lord.</w:t>
      </w:r>
    </w:p>
    <w:p>
      <w:r>
        <w:rPr>
          <w:b/>
        </w:rPr>
        <w:t xml:space="preserve">13 </w:t>
      </w:r>
      <w:r>
        <w:t xml:space="preserve">And the Lord spoke to Moses, saying,</w:t>
      </w:r>
    </w:p>
    <w:p>
      <w:r>
        <w:rPr>
          <w:b/>
        </w:rPr>
        <w:t xml:space="preserve">14 </w:t>
      </w:r>
      <w:r>
        <w:t xml:space="preserve">Bring out the one who cursed outside the camp, and let all who heard place their hands on his head, and let all the</w:t>
      </w:r>
      <w:r>
        <w:rPr>
          <w:rStyle w:val="FootnoteReference"/>
        </w:rPr>
        <w:footnoteReference w:id="2400"/>
      </w:r>
      <w:r>
        <w:t xml:space="preserve"> congregation stone him.</w:t>
      </w:r>
    </w:p>
    <w:p>
      <w:r>
        <w:rPr>
          <w:b/>
        </w:rPr>
        <w:t xml:space="preserve">15 </w:t>
      </w:r>
      <w:r>
        <w:t xml:space="preserve">And speak to the sons of Israel, and you shall say to them: A man who curses God shall bear sin.</w:t>
      </w:r>
    </w:p>
    <w:p>
      <w:r>
        <w:rPr>
          <w:b/>
        </w:rPr>
        <w:t xml:space="preserve">16 </w:t>
      </w:r>
      <w:r>
        <w:t xml:space="preserve">And the one naming the name of the Lord</w:t>
      </w:r>
      <w:r>
        <w:rPr>
          <w:rStyle w:val="FootnoteReference"/>
        </w:rPr>
        <w:footnoteReference w:id="2401"/>
      </w:r>
      <w:r>
        <w:t xml:space="preserve">, let him surely be put to death; with stones let all the congregation stone him. Whether newcomer or native-born, when he names the name of the Lord, let him die.</w:t>
      </w:r>
    </w:p>
    <w:p>
      <w:r>
        <w:rPr>
          <w:b/>
        </w:rPr>
        <w:t xml:space="preserve">17 </w:t>
      </w:r>
      <w:r>
        <w:t xml:space="preserve">And a man who strikes a human life, and it dies, let him surely be put to death.</w:t>
      </w:r>
    </w:p>
    <w:p>
      <w:r>
        <w:rPr>
          <w:b/>
        </w:rPr>
        <w:t xml:space="preserve">18 </w:t>
      </w:r>
      <w:r>
        <w:t xml:space="preserve">And whoever strikes an animal and it dies, let him pay life for life.</w:t>
      </w:r>
    </w:p>
    <w:p>
      <w:r>
        <w:rPr>
          <w:b/>
        </w:rPr>
        <w:t xml:space="preserve">19 </w:t>
      </w:r>
      <w:r>
        <w:t xml:space="preserve">And if anyone gives a blemish to his neighbor, as he did, so it shall be done back to him:</w:t>
      </w:r>
      <w:r>
        <w:rPr>
          <w:rStyle w:val="FootnoteReference"/>
        </w:rPr>
        <w:footnoteReference w:id="2402"/>
      </w:r>
    </w:p>
    <w:p>
      <w:r>
        <w:rPr>
          <w:b/>
        </w:rPr>
        <w:t xml:space="preserve">20 </w:t>
      </w:r>
      <w:r>
        <w:t xml:space="preserve">fracture for fracture, eye for eye, tooth for tooth. According as he gave a blemish to a person, so shall it be given to him.</w:t>
      </w:r>
    </w:p>
    <w:p>
      <w:r>
        <w:rPr>
          <w:b/>
        </w:rPr>
        <w:t xml:space="preserve">21 </w:t>
      </w:r>
      <w:r>
        <w:t xml:space="preserve">Whoever strikes a person and he dies, let him surely be put to death.</w:t>
      </w:r>
    </w:p>
    <w:p>
      <w:r>
        <w:rPr>
          <w:b/>
        </w:rPr>
        <w:t xml:space="preserve">22 </w:t>
      </w:r>
      <w:r>
        <w:t xml:space="preserve">One righteous judgment shall be for the newcomer and for the native-born, because I am the Lord your God.</w:t>
      </w:r>
    </w:p>
    <w:p>
      <w:r>
        <w:rPr>
          <w:b/>
        </w:rPr>
        <w:t xml:space="preserve">23 </w:t>
      </w:r>
      <w:r>
        <w:t xml:space="preserve">And Moses spoke to the sons of Israel, and they brought out the one who cursed outside the camp and stoned him with stones. And the sons of Israel did just as the Lord commanded Moses.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the Lord spoke to Moses on Mount Sinai, saying,</w:t>
      </w:r>
    </w:p>
    <w:p>
      <w:r>
        <w:rPr>
          <w:b/>
        </w:rPr>
        <w:t xml:space="preserve">2 </w:t>
      </w:r>
      <w:r>
        <w:t xml:space="preserve">Speak to the sons of Israel, and you shall say to them: When you enter the land that I give you, the land that I give you shall rest, Sabbaths to the Lord.</w:t>
      </w:r>
    </w:p>
    <w:p>
      <w:r>
        <w:rPr>
          <w:b/>
        </w:rPr>
        <w:t xml:space="preserve">3 </w:t>
      </w:r>
      <w:r>
        <w:t xml:space="preserve">Six years you shall sow your field, and six years you shall prune your vineyard and gather its fruit.</w:t>
      </w:r>
    </w:p>
    <w:p>
      <w:r>
        <w:rPr>
          <w:b/>
        </w:rPr>
        <w:t xml:space="preserve">4 </w:t>
      </w:r>
      <w:r>
        <w:t xml:space="preserve">But in the seventh year there shall be Sabbaths of rest for the land, Sabbaths to the Lord. Your field you shall not sow, and your vineyard you shall not prune.</w:t>
      </w:r>
    </w:p>
    <w:p>
      <w:r>
        <w:rPr>
          <w:b/>
        </w:rPr>
        <w:t xml:space="preserve">5 </w:t>
      </w:r>
      <w:r>
        <w:t xml:space="preserve">And the spontaneous growths of your field you shall not reap, and the grapes of your consecrated growth you shall not gather. It shall be a year of rest for the land.</w:t>
      </w:r>
    </w:p>
    <w:p>
      <w:r>
        <w:rPr>
          <w:b/>
        </w:rPr>
        <w:t xml:space="preserve">6 </w:t>
      </w:r>
      <w:r>
        <w:t xml:space="preserve">And the Sabbaths of the land shall be food for you and for your servant and for your maidservant and for your hired worker and for the resident staying with you,</w:t>
      </w:r>
    </w:p>
    <w:p>
      <w:r>
        <w:rPr>
          <w:b/>
        </w:rPr>
        <w:t xml:space="preserve">7 </w:t>
      </w:r>
      <w:r>
        <w:t xml:space="preserve">and for your cattle and for the wild animals in your land. All its produce shall be for eating.</w:t>
      </w:r>
    </w:p>
    <w:p>
      <w:r>
        <w:rPr>
          <w:b/>
        </w:rPr>
        <w:t xml:space="preserve">8 </w:t>
      </w:r>
      <w:r>
        <w:t xml:space="preserve">And you shall count for yourself seven rests of years, seven years seven times, and you shall have seven weeks of years, forty-nine years.</w:t>
      </w:r>
    </w:p>
    <w:p>
      <w:r>
        <w:rPr>
          <w:b/>
        </w:rPr>
        <w:t xml:space="preserve">9 </w:t>
      </w:r>
      <w:r>
        <w:t xml:space="preserve">And you shall proclaim a trumpet's sound through all your land in the seventh month, on the tenth day of the month. On the day of atonement you shall proclaim with trumpet through all your land.</w:t>
      </w:r>
    </w:p>
    <w:p>
      <w:r>
        <w:rPr>
          <w:b/>
        </w:rPr>
        <w:t xml:space="preserve">10 </w:t>
      </w:r>
      <w:r>
        <w:t xml:space="preserve">And you shall sanctify the fiftieth year, and you shall proclaim</w:t>
      </w:r>
      <w:r>
        <w:rPr>
          <w:rStyle w:val="FootnoteReference"/>
        </w:rPr>
        <w:footnoteReference w:id="2403"/>
      </w:r>
      <w:r>
        <w:t xml:space="preserve"> release upon the land to all dwelling in it. This year shall be for you a signal of release</w:t>
      </w:r>
      <w:r>
        <w:rPr>
          <w:rStyle w:val="FootnoteReference"/>
        </w:rPr>
        <w:footnoteReference w:id="2404"/>
      </w:r>
      <w:r>
        <w:t xml:space="preserve">, and each shall go out to his possession, and each shall return to his homeland.</w:t>
      </w:r>
    </w:p>
    <w:p>
      <w:r>
        <w:rPr>
          <w:b/>
        </w:rPr>
        <w:t xml:space="preserve">11 </w:t>
      </w:r>
      <w:r>
        <w:t xml:space="preserve">This fiftieth year shall be for you a signal of release. You shall not sow, nor reap its spontaneous growths, nor gather its consecrated produce.</w:t>
      </w:r>
    </w:p>
    <w:p>
      <w:r>
        <w:rPr>
          <w:b/>
        </w:rPr>
        <w:t xml:space="preserve">12 </w:t>
      </w:r>
      <w:r>
        <w:t xml:space="preserve">Because it is a signal of release, it shall be holy to you. From the fields you shall eat its produce.</w:t>
      </w:r>
    </w:p>
    <w:p>
      <w:r>
        <w:rPr>
          <w:b/>
        </w:rPr>
        <w:t xml:space="preserve">13 </w:t>
      </w:r>
      <w:r>
        <w:t xml:space="preserve">In this year of its signal of release each shall return to his possession.</w:t>
      </w:r>
    </w:p>
    <w:p>
      <w:r>
        <w:rPr>
          <w:b/>
        </w:rPr>
        <w:t xml:space="preserve">14 </w:t>
      </w:r>
      <w:r>
        <w:t xml:space="preserve">And if you make a sale to your neighbor, or acquire from your neighbor, let no one oppress his neighbor.</w:t>
      </w:r>
    </w:p>
    <w:p>
      <w:r>
        <w:rPr>
          <w:b/>
        </w:rPr>
        <w:t xml:space="preserve">15 </w:t>
      </w:r>
      <w:r>
        <w:t xml:space="preserve">According to the number of years after the signal you shall acquire from your neighbor; according to the number of crop-years he shall sell to you.</w:t>
      </w:r>
    </w:p>
    <w:p>
      <w:r>
        <w:rPr>
          <w:b/>
        </w:rPr>
        <w:t xml:space="preserve">16 </w:t>
      </w:r>
      <w:r>
        <w:t xml:space="preserve">According as the years are many, you shall increase its purchase, and according as the years are few, you shall lessen its purchase, because according to the number of its crops he sells to you.</w:t>
      </w:r>
      <w:r>
        <w:rPr>
          <w:rStyle w:val="FootnoteReference"/>
        </w:rPr>
        <w:footnoteReference w:id="2405"/>
      </w:r>
    </w:p>
    <w:p>
      <w:r>
        <w:rPr>
          <w:b/>
        </w:rPr>
        <w:t xml:space="preserve">17 </w:t>
      </w:r>
      <w:r>
        <w:t xml:space="preserve">Let no one oppress his neighbor, and you shall fear</w:t>
      </w:r>
      <w:r>
        <w:rPr>
          <w:rStyle w:val="FootnoteReference"/>
        </w:rPr>
        <w:footnoteReference w:id="2406"/>
      </w:r>
      <w:r>
        <w:t xml:space="preserve"> the Lord your God. I am the Lord your God.</w:t>
      </w:r>
    </w:p>
    <w:p>
      <w:r>
        <w:rPr>
          <w:b/>
        </w:rPr>
        <w:t xml:space="preserve">18 </w:t>
      </w:r>
      <w:r>
        <w:t xml:space="preserve">And you shall do all my ordinances and all my judgments, and keep them and do them, and you shall dwell confidently on the land.</w:t>
      </w:r>
    </w:p>
    <w:p>
      <w:r>
        <w:rPr>
          <w:b/>
        </w:rPr>
        <w:t xml:space="preserve">19 </w:t>
      </w:r>
      <w:r>
        <w:t xml:space="preserve">And the land shall give its produce, and you shall eat to fullness and dwell confidently on it.</w:t>
      </w:r>
    </w:p>
    <w:p>
      <w:r>
        <w:rPr>
          <w:b/>
        </w:rPr>
        <w:t xml:space="preserve">20 </w:t>
      </w:r>
      <w:r>
        <w:t xml:space="preserve">And if you say, What shall we eat in this seventh year, if we do not sow nor gather our produce?</w:t>
      </w:r>
    </w:p>
    <w:p>
      <w:r>
        <w:rPr>
          <w:b/>
        </w:rPr>
        <w:t xml:space="preserve">21 </w:t>
      </w:r>
      <w:r>
        <w:t xml:space="preserve">Then I will send my blessing to you in the sixth year, and it shall make its produce for three years</w:t>
      </w:r>
      <w:r>
        <w:rPr>
          <w:rStyle w:val="FootnoteReference"/>
        </w:rPr>
        <w:footnoteReference w:id="2407"/>
      </w:r>
      <w:r>
        <w:t xml:space="preserve">.</w:t>
      </w:r>
    </w:p>
    <w:p>
      <w:r>
        <w:rPr>
          <w:b/>
        </w:rPr>
        <w:t xml:space="preserve">22 </w:t>
      </w:r>
      <w:r>
        <w:t xml:space="preserve">And you shall sow in the eighth</w:t>
      </w:r>
      <w:r>
        <w:rPr>
          <w:rStyle w:val="FootnoteReference"/>
        </w:rPr>
        <w:footnoteReference w:id="2408"/>
      </w:r>
      <w:r>
        <w:t xml:space="preserve"> year and eat from the old produce until the ninth year; until its produce comes in, you shall eat old stores of old things.</w:t>
      </w:r>
    </w:p>
    <w:p>
      <w:r>
        <w:rPr>
          <w:b/>
        </w:rPr>
        <w:t xml:space="preserve">23 </w:t>
      </w:r>
      <w:r>
        <w:t xml:space="preserve">And the land shall not be sold into permanence, because the land is mine. For you are newcomers and residents before me.</w:t>
      </w:r>
    </w:p>
    <w:p>
      <w:r>
        <w:rPr>
          <w:b/>
        </w:rPr>
        <w:t xml:space="preserve">24 </w:t>
      </w:r>
      <w:r>
        <w:t xml:space="preserve">And through all the land of your possession you shall give redemption for the land</w:t>
      </w:r>
      <w:r>
        <w:rPr>
          <w:rStyle w:val="FootnoteReference"/>
        </w:rPr>
        <w:footnoteReference w:id="2409"/>
      </w:r>
      <w:r>
        <w:t xml:space="preserve">.</w:t>
      </w:r>
      <w:r>
        <w:rPr>
          <w:rStyle w:val="FootnoteReference"/>
        </w:rPr>
        <w:footnoteReference w:id="2410"/>
      </w:r>
    </w:p>
    <w:p>
      <w:r>
        <w:rPr>
          <w:b/>
        </w:rPr>
        <w:t xml:space="preserve">25 </w:t>
      </w:r>
      <w:r>
        <w:t xml:space="preserve">And if your brother beside you becomes poor and sells from his possession, and his near kinsman comes, the one nearest to him, he shall redeem the sale of his brother.</w:t>
      </w:r>
    </w:p>
    <w:p>
      <w:r>
        <w:rPr>
          <w:b/>
        </w:rPr>
        <w:t xml:space="preserve">26 </w:t>
      </w:r>
      <w:r>
        <w:t xml:space="preserve">And if he has no kinsman, but his hand prospers and sufficient redemption is found for him,</w:t>
      </w:r>
    </w:p>
    <w:p>
      <w:r>
        <w:rPr>
          <w:b/>
        </w:rPr>
        <w:t xml:space="preserve">27 </w:t>
      </w:r>
      <w:r>
        <w:t xml:space="preserve">then he shall calculate the years of his sale and pay back the surplus to the man to whom he sold himself, and he shall return to his possession.</w:t>
      </w:r>
    </w:p>
    <w:p>
      <w:r>
        <w:rPr>
          <w:b/>
        </w:rPr>
        <w:t xml:space="preserve">28 </w:t>
      </w:r>
      <w:r>
        <w:t xml:space="preserve">But if his hand does not prosper enough</w:t>
      </w:r>
      <w:r>
        <w:rPr>
          <w:rStyle w:val="FootnoteReference"/>
        </w:rPr>
        <w:footnoteReference w:id="2411"/>
      </w:r>
      <w:r>
        <w:t xml:space="preserve"> to repay him, then the sale shall remain with the one who acquired it until the year of release, and he shall</w:t>
      </w:r>
      <w:r>
        <w:rPr>
          <w:rStyle w:val="FootnoteReference"/>
        </w:rPr>
        <w:footnoteReference w:id="2412"/>
      </w:r>
      <w:r>
        <w:t xml:space="preserve"> go out in the release and return to his possession.</w:t>
      </w:r>
    </w:p>
    <w:p>
      <w:r>
        <w:rPr>
          <w:b/>
        </w:rPr>
        <w:t xml:space="preserve">29 </w:t>
      </w:r>
      <w:r>
        <w:t xml:space="preserve">And if anyone sells a dwelling house in a walled city, its redemption shall continue until a full year of days is completed; its redemption shall last a full year.</w:t>
      </w:r>
    </w:p>
    <w:p>
      <w:r>
        <w:rPr>
          <w:b/>
        </w:rPr>
        <w:t xml:space="preserve">30 </w:t>
      </w:r>
      <w:r>
        <w:t xml:space="preserve">But if it is not redeemed until a whole year is completed for it, then the house in the city that has a wall shall be confirmed permanently to the one who acquired it, throughout his generations. It shall not go out in the release</w:t>
      </w:r>
      <w:r>
        <w:rPr>
          <w:rStyle w:val="FootnoteReference"/>
        </w:rPr>
        <w:footnoteReference w:id="2413"/>
      </w:r>
      <w:r>
        <w:t xml:space="preserve">.</w:t>
      </w:r>
    </w:p>
    <w:p>
      <w:r>
        <w:rPr>
          <w:b/>
        </w:rPr>
        <w:t xml:space="preserve">31 </w:t>
      </w:r>
      <w:r>
        <w:t xml:space="preserve">But the houses in villages that have no wall around them shall be counted with the field of the land. They shall always be redeemable, and in the release they shall go out.</w:t>
      </w:r>
    </w:p>
    <w:p>
      <w:r>
        <w:rPr>
          <w:b/>
        </w:rPr>
        <w:t xml:space="preserve">32 </w:t>
      </w:r>
      <w:r>
        <w:t xml:space="preserve">And the cities</w:t>
      </w:r>
      <w:r>
        <w:rPr>
          <w:rStyle w:val="FootnoteReference"/>
        </w:rPr>
        <w:footnoteReference w:id="2414"/>
      </w:r>
      <w:r>
        <w:t xml:space="preserve"> of the Levites, the houses of the cities of their possession, shall always be redeemable for the Levites.</w:t>
      </w:r>
    </w:p>
    <w:p>
      <w:r>
        <w:rPr>
          <w:b/>
        </w:rPr>
        <w:t xml:space="preserve">33 </w:t>
      </w:r>
      <w:r>
        <w:t xml:space="preserve">And whoever redeems from the Levites, then the sale of houses of the city of their possession shall go</w:t>
      </w:r>
      <w:r>
        <w:rPr>
          <w:rStyle w:val="FootnoteReference"/>
        </w:rPr>
        <w:footnoteReference w:id="2415"/>
      </w:r>
      <w:r>
        <w:t xml:space="preserve"> out in the release, because the houses of the cities of the Levites are their possession in the midst of the sons of Israel.</w:t>
      </w:r>
      <w:r>
        <w:rPr>
          <w:rStyle w:val="FootnoteReference"/>
        </w:rPr>
        <w:footnoteReference w:id="2416"/>
      </w:r>
    </w:p>
    <w:p>
      <w:r>
        <w:rPr>
          <w:b/>
        </w:rPr>
        <w:t xml:space="preserve">34 </w:t>
      </w:r>
      <w:r>
        <w:t xml:space="preserve">And the fields set apart for their cities shall not be sold, because this is their everlasting possession.</w:t>
      </w:r>
    </w:p>
    <w:p>
      <w:r>
        <w:rPr>
          <w:b/>
        </w:rPr>
        <w:t xml:space="preserve">35 </w:t>
      </w:r>
      <w:r>
        <w:t xml:space="preserve">And if your brother becomes poor and grows weak in his hands beside you, you shall take hold of him as of a newcomer and a resident, and your brother shall live with you.</w:t>
      </w:r>
    </w:p>
    <w:p>
      <w:r>
        <w:rPr>
          <w:b/>
        </w:rPr>
        <w:t xml:space="preserve">36 </w:t>
      </w:r>
      <w:r>
        <w:t xml:space="preserve">You shall not take interest from him, nor increase, and you shall fear</w:t>
      </w:r>
      <w:r>
        <w:rPr>
          <w:rStyle w:val="FootnoteReference"/>
        </w:rPr>
        <w:footnoteReference w:id="2417"/>
      </w:r>
      <w:r>
        <w:t xml:space="preserve"> your God. I am the Lord, and your brother shall live with you.</w:t>
      </w:r>
    </w:p>
    <w:p>
      <w:r>
        <w:rPr>
          <w:b/>
        </w:rPr>
        <w:t xml:space="preserve">37 </w:t>
      </w:r>
      <w:r>
        <w:t xml:space="preserve">Your silver you shall not give to him at interest, and your food you shall not give to him for increase.</w:t>
      </w:r>
    </w:p>
    <w:p>
      <w:r>
        <w:rPr>
          <w:b/>
        </w:rPr>
        <w:t xml:space="preserve">38 </w:t>
      </w:r>
      <w:r>
        <w:t xml:space="preserve">I am the Lord your God, who brought you out from the land of Egypt, to give you the land of Canaan, so as to be your God.</w:t>
      </w:r>
    </w:p>
    <w:p>
      <w:r>
        <w:rPr>
          <w:b/>
        </w:rPr>
        <w:t xml:space="preserve">39 </w:t>
      </w:r>
      <w:r>
        <w:t xml:space="preserve">And if your brother beside you is humbled and is sold to you, he shall not serve you with a servant's service.</w:t>
      </w:r>
    </w:p>
    <w:p>
      <w:r>
        <w:rPr>
          <w:b/>
        </w:rPr>
        <w:t xml:space="preserve">40 </w:t>
      </w:r>
      <w:r>
        <w:t xml:space="preserve">He shall be with you as a hired worker or a resident. He shall work beside you until the year of release,</w:t>
      </w:r>
    </w:p>
    <w:p>
      <w:r>
        <w:rPr>
          <w:b/>
        </w:rPr>
        <w:t xml:space="preserve">41 </w:t>
      </w:r>
      <w:r>
        <w:t xml:space="preserve">and he shall go out in the release, he and his children with him, and he shall return</w:t>
      </w:r>
      <w:r>
        <w:rPr>
          <w:rStyle w:val="FootnoteReference"/>
        </w:rPr>
        <w:footnoteReference w:id="2418"/>
      </w:r>
      <w:r>
        <w:t xml:space="preserve"> to his family; to his paternal possession he shall run back.</w:t>
      </w:r>
    </w:p>
    <w:p>
      <w:r>
        <w:rPr>
          <w:b/>
        </w:rPr>
        <w:t xml:space="preserve">42 </w:t>
      </w:r>
      <w:r>
        <w:t xml:space="preserve">Because these are my domestics, whom I brought out from the land of Egypt. They shall not be sold in a servant's sale.</w:t>
      </w:r>
    </w:p>
    <w:p>
      <w:r>
        <w:rPr>
          <w:b/>
        </w:rPr>
        <w:t xml:space="preserve">43 </w:t>
      </w:r>
      <w:r>
        <w:t xml:space="preserve">You shall not stretch him hard in toil, and you shall fear the Lord your God.</w:t>
      </w:r>
    </w:p>
    <w:p>
      <w:r>
        <w:rPr>
          <w:b/>
        </w:rPr>
        <w:t xml:space="preserve">44 </w:t>
      </w:r>
      <w:r>
        <w:t xml:space="preserve">And slave and slave-girl, as many as may come to you from the nations that are around you, from them you shall acquire male slave and female slave.</w:t>
      </w:r>
    </w:p>
    <w:p>
      <w:r>
        <w:rPr>
          <w:b/>
        </w:rPr>
        <w:t xml:space="preserve">45 </w:t>
      </w:r>
      <w:r>
        <w:t xml:space="preserve">And from the sons of the residents who are among you, from these you shall acquire, and from their families, as many as may be born in your land, and they shall be for you as a possession.</w:t>
      </w:r>
      <w:r>
        <w:rPr>
          <w:rStyle w:val="FootnoteReference"/>
        </w:rPr>
        <w:footnoteReference w:id="2419"/>
      </w:r>
    </w:p>
    <w:p>
      <w:r>
        <w:rPr>
          <w:b/>
        </w:rPr>
        <w:t xml:space="preserve">46 </w:t>
      </w:r>
      <w:r>
        <w:t xml:space="preserve">And you shall distribute them to your children after you, and they shall be for you as permanent holdings forever. But among your brothers, the sons of Israel, no one shall stretch his brother hard in toils</w:t>
      </w:r>
      <w:r>
        <w:rPr>
          <w:rStyle w:val="FootnoteReference"/>
        </w:rPr>
        <w:footnoteReference w:id="2420"/>
      </w:r>
      <w:r>
        <w:t xml:space="preserve">.</w:t>
      </w:r>
    </w:p>
    <w:p>
      <w:r>
        <w:rPr>
          <w:b/>
        </w:rPr>
        <w:t xml:space="preserve">47 </w:t>
      </w:r>
      <w:r>
        <w:t xml:space="preserve">And if the hand of the newcomer or the resident beside you prospers, and your brother grows poor and is sold to the newcomer or resident beside you, to one born from newcomer stock,</w:t>
      </w:r>
    </w:p>
    <w:p>
      <w:r>
        <w:rPr>
          <w:b/>
        </w:rPr>
        <w:t xml:space="preserve">48 </w:t>
      </w:r>
      <w:r>
        <w:t xml:space="preserve">after he has been sold, redemption shall be for him; one of his brothers shall redeem him.</w:t>
      </w:r>
    </w:p>
    <w:p>
      <w:r>
        <w:rPr>
          <w:b/>
        </w:rPr>
        <w:t xml:space="preserve">49 </w:t>
      </w:r>
      <w:r>
        <w:t xml:space="preserve">His father's brother or the son of his father's brother shall redeem him, or one from his own flesh, from his tribe, shall redeem him. But if he prospers in his hands, he may redeem himself.</w:t>
      </w:r>
    </w:p>
    <w:p>
      <w:r>
        <w:rPr>
          <w:b/>
        </w:rPr>
        <w:t xml:space="preserve">50 </w:t>
      </w:r>
      <w:r>
        <w:t xml:space="preserve">And he shall calculate with the one who acquired him</w:t>
      </w:r>
      <w:r>
        <w:rPr>
          <w:rStyle w:val="FootnoteReference"/>
        </w:rPr>
        <w:footnoteReference w:id="2421"/>
      </w:r>
      <w:r>
        <w:t xml:space="preserve"> from the year that he sold himself to him until the year of release, and the silver of his sale shall be according to a hired worker's wage, year by year it shall be with him.</w:t>
      </w:r>
    </w:p>
    <w:p>
      <w:r>
        <w:rPr>
          <w:b/>
        </w:rPr>
        <w:t xml:space="preserve">51 </w:t>
      </w:r>
      <w:r>
        <w:t xml:space="preserve">And if many years remain, according to these he shall pay his redemption from the silver of his sale.</w:t>
      </w:r>
    </w:p>
    <w:p>
      <w:r>
        <w:rPr>
          <w:b/>
        </w:rPr>
        <w:t xml:space="preserve">52 </w:t>
      </w:r>
      <w:r>
        <w:t xml:space="preserve">And if only a few years remain until the year of release, then he shall calculate for him according to his years, and he shall pay his redemption.</w:t>
      </w:r>
    </w:p>
    <w:p>
      <w:r>
        <w:rPr>
          <w:b/>
        </w:rPr>
        <w:t xml:space="preserve">53 </w:t>
      </w:r>
      <w:r>
        <w:t xml:space="preserve">He shall be with him as a hired worker year by year. You shall not stretch him hard in toil before you.</w:t>
      </w:r>
    </w:p>
    <w:p>
      <w:r>
        <w:rPr>
          <w:b/>
        </w:rPr>
        <w:t xml:space="preserve">54 </w:t>
      </w:r>
      <w:r>
        <w:t xml:space="preserve">But if he is not redeemed by these means, he shall go out in the year of release, he and his children with him.</w:t>
      </w:r>
    </w:p>
    <w:p>
      <w:r>
        <w:rPr>
          <w:b/>
        </w:rPr>
        <w:t xml:space="preserve">55 </w:t>
      </w:r>
      <w:r>
        <w:t xml:space="preserve">Because the sons of Israel are mine as domestics</w:t>
      </w:r>
      <w:r>
        <w:rPr>
          <w:rStyle w:val="FootnoteReference"/>
        </w:rPr>
        <w:footnoteReference w:id="2422"/>
      </w:r>
      <w:r>
        <w:t xml:space="preserve">. They are my servants</w:t>
      </w:r>
      <w:r>
        <w:rPr>
          <w:rStyle w:val="FootnoteReference"/>
        </w:rPr>
        <w:footnoteReference w:id="2423"/>
      </w:r>
      <w:r>
        <w:t xml:space="preserve">, whom I brought out from the land of Egypt. I am the Lord your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Do not make for yourselves idols made by hand, nor carved images, nor set up a pillar for yourselves, nor place a watching stone in your land to bow down to it, because I am the Lord your God.</w:t>
      </w:r>
    </w:p>
    <w:p>
      <w:r>
        <w:rPr>
          <w:b/>
        </w:rPr>
        <w:t xml:space="preserve">2 </w:t>
      </w:r>
      <w:r>
        <w:t xml:space="preserve">Keep my Sabbaths, and stand in awe before my holy things. I am the Lord.</w:t>
      </w:r>
    </w:p>
    <w:p>
      <w:r>
        <w:rPr>
          <w:b/>
        </w:rPr>
        <w:t xml:space="preserve">3 </w:t>
      </w:r>
      <w:r>
        <w:t xml:space="preserve">If you walk in my ordinances and keep my commands and do them,</w:t>
      </w:r>
    </w:p>
    <w:p>
      <w:r>
        <w:rPr>
          <w:b/>
        </w:rPr>
        <w:t xml:space="preserve">4 </w:t>
      </w:r>
      <w:r>
        <w:t xml:space="preserve">then I</w:t>
      </w:r>
      <w:r>
        <w:rPr>
          <w:rStyle w:val="FootnoteReference"/>
        </w:rPr>
        <w:footnoteReference w:id="2424"/>
      </w:r>
      <w:r>
        <w:t xml:space="preserve"> will give you rain in its season, and the land will give its produce, and the trees of the plains will yield their fruit.</w:t>
      </w:r>
    </w:p>
    <w:p>
      <w:r>
        <w:rPr>
          <w:b/>
        </w:rPr>
        <w:t xml:space="preserve">5 </w:t>
      </w:r>
      <w:r>
        <w:t xml:space="preserve">And threshing</w:t>
      </w:r>
      <w:r>
        <w:rPr>
          <w:rStyle w:val="FootnoteReference"/>
        </w:rPr>
        <w:footnoteReference w:id="2425"/>
      </w:r>
      <w:r>
        <w:t xml:space="preserve"> will overtake vintage for you, and vintage will overtake sowing, and you will eat your bread to fullness and dwell in safety on your land.</w:t>
      </w:r>
    </w:p>
    <w:p>
      <w:r>
        <w:rPr>
          <w:b/>
        </w:rPr>
        <w:t xml:space="preserve">6 </w:t>
      </w:r>
      <w:r>
        <w:t xml:space="preserve">And war will not pass through your land, and I will give peace in your land, and you will sleep, and there will be none to frighten you, and I will destroy harmful wild beasts from your land.</w:t>
      </w:r>
    </w:p>
    <w:p>
      <w:r>
        <w:rPr>
          <w:b/>
        </w:rPr>
        <w:t xml:space="preserve">7 </w:t>
      </w:r>
      <w:r>
        <w:t xml:space="preserve">And you will pursue your enemies, and they will fall before you by slaughter.</w:t>
      </w:r>
    </w:p>
    <w:p>
      <w:r>
        <w:rPr>
          <w:b/>
        </w:rPr>
        <w:t xml:space="preserve">8 </w:t>
      </w:r>
      <w:r>
        <w:t xml:space="preserve">And five of you will pursue a hundred, and a hundred of you will pursue myriads, and your enemies will fall before you by sword.</w:t>
      </w:r>
    </w:p>
    <w:p>
      <w:r>
        <w:rPr>
          <w:b/>
        </w:rPr>
        <w:t xml:space="preserve">9 </w:t>
      </w:r>
      <w:r>
        <w:t xml:space="preserve">And I will look upon you and increase you and multiply you, and I will establish</w:t>
      </w:r>
      <w:r>
        <w:rPr>
          <w:rStyle w:val="FootnoteReference"/>
        </w:rPr>
        <w:footnoteReference w:id="2426"/>
      </w:r>
      <w:r>
        <w:t xml:space="preserve"> my covenant with you.</w:t>
      </w:r>
    </w:p>
    <w:p>
      <w:r>
        <w:rPr>
          <w:b/>
        </w:rPr>
        <w:t xml:space="preserve">10 </w:t>
      </w:r>
      <w:r>
        <w:t xml:space="preserve">And you will eat old stores, even very old stores, and you will clear out the old before the new.</w:t>
      </w:r>
    </w:p>
    <w:p>
      <w:r>
        <w:rPr>
          <w:b/>
        </w:rPr>
        <w:t xml:space="preserve">11 </w:t>
      </w:r>
      <w:r>
        <w:t xml:space="preserve">And I will set my covenant among you, and my soul will not abhor</w:t>
      </w:r>
      <w:r>
        <w:rPr>
          <w:rStyle w:val="FootnoteReference"/>
        </w:rPr>
        <w:footnoteReference w:id="2427"/>
      </w:r>
      <w:r>
        <w:t xml:space="preserve"> you.</w:t>
      </w:r>
    </w:p>
    <w:p>
      <w:r>
        <w:rPr>
          <w:b/>
        </w:rPr>
        <w:t xml:space="preserve">12 </w:t>
      </w:r>
      <w:r>
        <w:t xml:space="preserve">And I will walk among you and will be</w:t>
      </w:r>
      <w:r>
        <w:rPr>
          <w:rStyle w:val="FootnoteReference"/>
        </w:rPr>
        <w:footnoteReference w:id="2428"/>
      </w:r>
      <w:r>
        <w:t xml:space="preserve"> your God, and you will be my people.</w:t>
      </w:r>
    </w:p>
    <w:p>
      <w:r>
        <w:rPr>
          <w:b/>
        </w:rPr>
        <w:t xml:space="preserve">13 </w:t>
      </w:r>
      <w:r>
        <w:t xml:space="preserve">I am the Lord your God, who brought you out of the land of Egypt when you were slaves, and I shattered the bonds of your yoke and led you with boldness.</w:t>
      </w:r>
    </w:p>
    <w:p>
      <w:r>
        <w:rPr>
          <w:b/>
        </w:rPr>
        <w:t xml:space="preserve">14 </w:t>
      </w:r>
      <w:r>
        <w:t xml:space="preserve">But if you do not listen to me and do not do these ordinances,</w:t>
      </w:r>
    </w:p>
    <w:p>
      <w:r>
        <w:rPr>
          <w:b/>
        </w:rPr>
        <w:t xml:space="preserve">15 </w:t>
      </w:r>
      <w:r>
        <w:t xml:space="preserve">but disobey them, and your soul loathes my judgments, so that you do not do all my commands, so as to break</w:t>
      </w:r>
      <w:r>
        <w:rPr>
          <w:rStyle w:val="FootnoteReference"/>
        </w:rPr>
        <w:footnoteReference w:id="2429"/>
      </w:r>
      <w:r>
        <w:t xml:space="preserve"> my covenant,</w:t>
      </w:r>
    </w:p>
    <w:p>
      <w:r>
        <w:rPr>
          <w:b/>
        </w:rPr>
        <w:t xml:space="preserve">16 </w:t>
      </w:r>
      <w:r>
        <w:t xml:space="preserve">then I also will do this to you: I will bring upon you distress, scab, and jaundice, wasting your eyes and consuming your life, and you will sow your seed for nothing, and your adversaries will eat it.</w:t>
      </w:r>
      <w:r>
        <w:rPr>
          <w:rStyle w:val="FootnoteReference"/>
        </w:rPr>
        <w:footnoteReference w:id="2430"/>
      </w:r>
    </w:p>
    <w:p>
      <w:r>
        <w:rPr>
          <w:b/>
        </w:rPr>
        <w:t xml:space="preserve">17 </w:t>
      </w:r>
      <w:r>
        <w:t xml:space="preserve">And I will set my face against you, and you will fall before your enemies, and those who hate you will pursue you, and you will flee though none pursues you.</w:t>
      </w:r>
    </w:p>
    <w:p>
      <w:r>
        <w:rPr>
          <w:b/>
        </w:rPr>
        <w:t xml:space="preserve">18 </w:t>
      </w:r>
      <w:r>
        <w:t xml:space="preserve">And if even after this you do not listen to me, I will continue to discipline you sevenfold for your sins.</w:t>
      </w:r>
    </w:p>
    <w:p>
      <w:r>
        <w:rPr>
          <w:b/>
        </w:rPr>
        <w:t xml:space="preserve">19 </w:t>
      </w:r>
      <w:r>
        <w:t xml:space="preserve">And I will shatter the arrogance of your pride, and I will make</w:t>
      </w:r>
      <w:r>
        <w:rPr>
          <w:rStyle w:val="FootnoteReference"/>
        </w:rPr>
        <w:footnoteReference w:id="2431"/>
      </w:r>
      <w:r>
        <w:t xml:space="preserve"> your sky iron and your land like bronze.</w:t>
      </w:r>
    </w:p>
    <w:p>
      <w:r>
        <w:rPr>
          <w:b/>
        </w:rPr>
        <w:t xml:space="preserve">20 </w:t>
      </w:r>
      <w:r>
        <w:t xml:space="preserve">And your strength</w:t>
      </w:r>
      <w:r>
        <w:rPr>
          <w:rStyle w:val="FootnoteReference"/>
        </w:rPr>
        <w:footnoteReference w:id="2432"/>
      </w:r>
      <w:r>
        <w:t xml:space="preserve"> will be spent in vain, and your land will not give its seed, and the tree of your field will not give its fruit.</w:t>
      </w:r>
    </w:p>
    <w:p>
      <w:r>
        <w:rPr>
          <w:b/>
        </w:rPr>
        <w:t xml:space="preserve">21 </w:t>
      </w:r>
      <w:r>
        <w:t xml:space="preserve">And if after this you go at odds with me and are unwilling to listen to me, I will add blows to you sevenfold according to your sins.</w:t>
      </w:r>
    </w:p>
    <w:p>
      <w:r>
        <w:rPr>
          <w:b/>
        </w:rPr>
        <w:t xml:space="preserve">22 </w:t>
      </w:r>
      <w:r>
        <w:t xml:space="preserve">And I will send against you the wild</w:t>
      </w:r>
      <w:r>
        <w:rPr>
          <w:rStyle w:val="FootnoteReference"/>
        </w:rPr>
        <w:footnoteReference w:id="2433"/>
      </w:r>
      <w:r>
        <w:t xml:space="preserve"> beasts of the land, and they will devour you and destroy your cattle and make you few, and your roads will be desolate.</w:t>
      </w:r>
    </w:p>
    <w:p>
      <w:r>
        <w:rPr>
          <w:b/>
        </w:rPr>
        <w:t xml:space="preserve">23 </w:t>
      </w:r>
      <w:r>
        <w:t xml:space="preserve">And if by these things you are not disciplined, but go at odds with me,</w:t>
      </w:r>
    </w:p>
    <w:p>
      <w:r>
        <w:rPr>
          <w:b/>
        </w:rPr>
        <w:t xml:space="preserve">24 </w:t>
      </w:r>
      <w:r>
        <w:t xml:space="preserve">then I also will go with you in anger at odds, and I myself will strike you sevenfold for your sins.</w:t>
      </w:r>
    </w:p>
    <w:p>
      <w:r>
        <w:rPr>
          <w:b/>
        </w:rPr>
        <w:t xml:space="preserve">25 </w:t>
      </w:r>
      <w:r>
        <w:t xml:space="preserve">And I will bring</w:t>
      </w:r>
      <w:r>
        <w:rPr>
          <w:rStyle w:val="FootnoteReference"/>
        </w:rPr>
        <w:footnoteReference w:id="2434"/>
      </w:r>
      <w:r>
        <w:t xml:space="preserve"> upon you a sword avenging covenant justice, and you will flee into your cities, and I will send death among you, and you will be handed over into enemies' hands.</w:t>
      </w:r>
    </w:p>
    <w:p>
      <w:r>
        <w:rPr>
          <w:b/>
        </w:rPr>
        <w:t xml:space="preserve">26 </w:t>
      </w:r>
      <w:r>
        <w:t xml:space="preserve">When I afflict you with the scarcity of breads, ten women will bake your breads in one oven and give back your breads by weight, and you will eat and not be filled.</w:t>
      </w:r>
    </w:p>
    <w:p>
      <w:r>
        <w:rPr>
          <w:b/>
        </w:rPr>
        <w:t xml:space="preserve">27 </w:t>
      </w:r>
      <w:r>
        <w:t xml:space="preserve">But if after these things you do not listen to me and go with me at odds,</w:t>
      </w:r>
    </w:p>
    <w:p>
      <w:r>
        <w:rPr>
          <w:b/>
        </w:rPr>
        <w:t xml:space="preserve">28 </w:t>
      </w:r>
      <w:r>
        <w:t xml:space="preserve">then I myself will go with you in wrath at odds and discipline you sevenfold according to your sins.</w:t>
      </w:r>
    </w:p>
    <w:p>
      <w:r>
        <w:rPr>
          <w:b/>
        </w:rPr>
        <w:t xml:space="preserve">29 </w:t>
      </w:r>
      <w:r>
        <w:t xml:space="preserve">And you will eat the flesh of your sons, and you will eat the flesh of your daughters.</w:t>
      </w:r>
    </w:p>
    <w:p>
      <w:r>
        <w:rPr>
          <w:b/>
        </w:rPr>
        <w:t xml:space="preserve">30 </w:t>
      </w:r>
      <w:r>
        <w:t xml:space="preserve">And I will lay waste your pillars and destroy your wooden idols, and I will place your carcasses upon the carcasses of your idols, and my soul</w:t>
      </w:r>
      <w:r>
        <w:rPr>
          <w:rStyle w:val="FootnoteReference"/>
        </w:rPr>
        <w:footnoteReference w:id="2435"/>
      </w:r>
      <w:r>
        <w:t xml:space="preserve"> will loathe you.</w:t>
      </w:r>
    </w:p>
    <w:p>
      <w:r>
        <w:rPr>
          <w:b/>
        </w:rPr>
        <w:t xml:space="preserve">31 </w:t>
      </w:r>
      <w:r>
        <w:t xml:space="preserve">And I will make</w:t>
      </w:r>
      <w:r>
        <w:rPr>
          <w:rStyle w:val="FootnoteReference"/>
        </w:rPr>
        <w:footnoteReference w:id="2436"/>
      </w:r>
      <w:r>
        <w:t xml:space="preserve"> your cities desolate and lay waste your holy places, and I will not smell the fragrance of your sacrifices.</w:t>
      </w:r>
    </w:p>
    <w:p>
      <w:r>
        <w:rPr>
          <w:b/>
        </w:rPr>
        <w:t xml:space="preserve">32 </w:t>
      </w:r>
      <w:r>
        <w:t xml:space="preserve">And I myself will lay waste the land, and your</w:t>
      </w:r>
      <w:r>
        <w:rPr>
          <w:rStyle w:val="FootnoteReference"/>
        </w:rPr>
        <w:footnoteReference w:id="2437"/>
      </w:r>
      <w:r>
        <w:t xml:space="preserve"> enemies who dwell in it will wonder at it.</w:t>
      </w:r>
    </w:p>
    <w:p>
      <w:r>
        <w:rPr>
          <w:b/>
        </w:rPr>
        <w:t xml:space="preserve">33 </w:t>
      </w:r>
      <w:r>
        <w:t xml:space="preserve">And I will scatter you among the nations, and the sword coming after you will consume you, and your land will be desolate and your cities desolate.</w:t>
      </w:r>
    </w:p>
    <w:p>
      <w:r>
        <w:rPr>
          <w:b/>
        </w:rPr>
        <w:t xml:space="preserve">34 </w:t>
      </w:r>
      <w:r>
        <w:t xml:space="preserve">Then the land will welcome its Sabbaths all the days of its desolation, while you are in the land of your enemies; then the land will keep Sabbath and welcome its Sabbaths.</w:t>
      </w:r>
    </w:p>
    <w:p>
      <w:r>
        <w:rPr>
          <w:b/>
        </w:rPr>
        <w:t xml:space="preserve">35 </w:t>
      </w:r>
      <w:r>
        <w:t xml:space="preserve">All the days of its desolation it will keep Sabbath, what it did not keep Sabbath in your Sabbaths when you were dwelling on it.</w:t>
      </w:r>
    </w:p>
    <w:p>
      <w:r>
        <w:rPr>
          <w:b/>
        </w:rPr>
        <w:t xml:space="preserve">36 </w:t>
      </w:r>
      <w:r>
        <w:t xml:space="preserve">And to those left of you I will bring fear into their heart in the land of their enemies, and the sound of a driven leaf will pursue them, and they will flee as fleeing from war and will fall with none pursuing.</w:t>
      </w:r>
      <w:r>
        <w:rPr>
          <w:rStyle w:val="FootnoteReference"/>
        </w:rPr>
        <w:footnoteReference w:id="2438"/>
      </w:r>
    </w:p>
    <w:p>
      <w:r>
        <w:rPr>
          <w:b/>
        </w:rPr>
        <w:t xml:space="preserve">37 </w:t>
      </w:r>
      <w:r>
        <w:t xml:space="preserve">And brother will disregard brother, as in war, though none chases, and you will not be able to stand against your enemies.</w:t>
      </w:r>
    </w:p>
    <w:p>
      <w:r>
        <w:rPr>
          <w:b/>
        </w:rPr>
        <w:t xml:space="preserve">38 </w:t>
      </w:r>
      <w:r>
        <w:t xml:space="preserve">And you will perish among the nations, and the land of your enemies will devour you.</w:t>
      </w:r>
    </w:p>
    <w:p>
      <w:r>
        <w:rPr>
          <w:b/>
        </w:rPr>
        <w:t xml:space="preserve">39 </w:t>
      </w:r>
      <w:r>
        <w:t xml:space="preserve">And those left of you will waste away for their sins in the land of their enemies; they also will melt away for the sins of their fathers.</w:t>
      </w:r>
    </w:p>
    <w:p>
      <w:r>
        <w:rPr>
          <w:b/>
        </w:rPr>
        <w:t xml:space="preserve">40 </w:t>
      </w:r>
      <w:r>
        <w:t xml:space="preserve">And they will confess</w:t>
      </w:r>
      <w:r>
        <w:rPr>
          <w:rStyle w:val="FootnoteReference"/>
        </w:rPr>
        <w:footnoteReference w:id="2439"/>
      </w:r>
      <w:r>
        <w:t xml:space="preserve"> their sins and the sins of their fathers, that they transgressed and overlooked me and went at odds with me.</w:t>
      </w:r>
    </w:p>
    <w:p>
      <w:r>
        <w:rPr>
          <w:b/>
        </w:rPr>
        <w:t xml:space="preserve">41 </w:t>
      </w:r>
      <w:r>
        <w:t xml:space="preserve">And I also went with them in anger at odds</w:t>
      </w:r>
      <w:r>
        <w:rPr>
          <w:rStyle w:val="FootnoteReference"/>
        </w:rPr>
        <w:footnoteReference w:id="2440"/>
      </w:r>
      <w:r>
        <w:t xml:space="preserve"> and destroyed them in the land of their enemies. Then their uncircumcised</w:t>
      </w:r>
      <w:r>
        <w:rPr>
          <w:rStyle w:val="FootnoteReference"/>
        </w:rPr>
        <w:footnoteReference w:id="2441"/>
      </w:r>
      <w:r>
        <w:t xml:space="preserve"> heart will be ashamed, and then they will accept their sins.</w:t>
      </w:r>
    </w:p>
    <w:p>
      <w:r>
        <w:rPr>
          <w:b/>
        </w:rPr>
        <w:t xml:space="preserve">42 </w:t>
      </w:r>
      <w:r>
        <w:t xml:space="preserve">And I will</w:t>
      </w:r>
      <w:r>
        <w:rPr>
          <w:rStyle w:val="FootnoteReference"/>
        </w:rPr>
        <w:footnoteReference w:id="2442"/>
      </w:r>
      <w:r>
        <w:t xml:space="preserve"> remember the covenant of Jacob, and the covenant of Isaac, and the covenant of Abraham I will remember, and I will remember the land.</w:t>
      </w:r>
    </w:p>
    <w:p>
      <w:r>
        <w:rPr>
          <w:b/>
        </w:rPr>
        <w:t xml:space="preserve">43 </w:t>
      </w:r>
      <w:r>
        <w:t xml:space="preserve">And the land will be left by them; then it will welcome its Sabbaths</w:t>
      </w:r>
      <w:r>
        <w:rPr>
          <w:rStyle w:val="FootnoteReference"/>
        </w:rPr>
        <w:footnoteReference w:id="2443"/>
      </w:r>
      <w:r>
        <w:t xml:space="preserve"> while made desolate because of them, and they will accept their lawless deeds, because they overlooked my judgments and their soul</w:t>
      </w:r>
      <w:r>
        <w:rPr>
          <w:rStyle w:val="FootnoteReference"/>
        </w:rPr>
        <w:footnoteReference w:id="2444"/>
      </w:r>
      <w:r>
        <w:t xml:space="preserve"> loathed my ordinances.</w:t>
      </w:r>
    </w:p>
    <w:p>
      <w:r>
        <w:rPr>
          <w:b/>
        </w:rPr>
        <w:t xml:space="preserve">44 </w:t>
      </w:r>
      <w:r>
        <w:t xml:space="preserve">Yet not even while they are in the land of their enemies have I overlooked them or loathed them</w:t>
      </w:r>
      <w:r>
        <w:rPr>
          <w:rStyle w:val="FootnoteReference"/>
        </w:rPr>
        <w:footnoteReference w:id="2445"/>
      </w:r>
      <w:r>
        <w:t xml:space="preserve"> so as to destroy them, so as to break</w:t>
      </w:r>
      <w:r>
        <w:rPr>
          <w:rStyle w:val="FootnoteReference"/>
        </w:rPr>
        <w:footnoteReference w:id="2446"/>
      </w:r>
      <w:r>
        <w:t xml:space="preserve"> my covenant with them, because I am the Lord their God.</w:t>
      </w:r>
    </w:p>
    <w:p>
      <w:r>
        <w:rPr>
          <w:b/>
        </w:rPr>
        <w:t xml:space="preserve">45 </w:t>
      </w:r>
      <w:r>
        <w:t xml:space="preserve">And I will remember for them the earlier covenant, when I brought them out of the land of Egypt, out of a house of slavery, before the nations, to be their God. I am the Lord.</w:t>
      </w:r>
    </w:p>
    <w:p>
      <w:r>
        <w:rPr>
          <w:b/>
        </w:rPr>
        <w:t xml:space="preserve">46 </w:t>
      </w:r>
      <w:r>
        <w:t xml:space="preserve">These are the judgments and the ordinances and the law that the Lord gave between himself and the sons of Israel on Mount Sinai by Moses' hand.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the Lord spoke to Moses, saying,</w:t>
      </w:r>
    </w:p>
    <w:p>
      <w:r>
        <w:rPr>
          <w:b/>
        </w:rPr>
        <w:t xml:space="preserve">2 </w:t>
      </w:r>
      <w:r>
        <w:t xml:space="preserve">Speak to the sons of Israel, and you shall say to them: Whoever vows a vow, setting the valuation of his life to the Lord,</w:t>
      </w:r>
    </w:p>
    <w:p>
      <w:r>
        <w:rPr>
          <w:b/>
        </w:rPr>
        <w:t xml:space="preserve">3 </w:t>
      </w:r>
      <w:r>
        <w:t xml:space="preserve">the valuation of the male from twenty years old to sixty years old shall be fifty silver didrachms by the holy standard.</w:t>
      </w:r>
    </w:p>
    <w:p>
      <w:r>
        <w:rPr>
          <w:b/>
        </w:rPr>
        <w:t xml:space="preserve">4 </w:t>
      </w:r>
      <w:r>
        <w:t xml:space="preserve">And the valuation of the female shall be thirty didrachms.</w:t>
      </w:r>
    </w:p>
    <w:p>
      <w:r>
        <w:rPr>
          <w:b/>
        </w:rPr>
        <w:t xml:space="preserve">5 </w:t>
      </w:r>
      <w:r>
        <w:t xml:space="preserve">And if from five years old to twenty years old, the valuation of the male shall be twenty didrachms, and of the female ten didrachms.</w:t>
      </w:r>
    </w:p>
    <w:p>
      <w:r>
        <w:rPr>
          <w:b/>
        </w:rPr>
        <w:t xml:space="preserve">6 </w:t>
      </w:r>
      <w:r>
        <w:t xml:space="preserve">And from a month old to five years old, the valuation of the male shall be five silver didrachms, and of the female three didrachms.</w:t>
      </w:r>
    </w:p>
    <w:p>
      <w:r>
        <w:rPr>
          <w:b/>
        </w:rPr>
        <w:t xml:space="preserve">7 </w:t>
      </w:r>
      <w:r>
        <w:t xml:space="preserve">And if from sixty years old and upward, if male, the valuation shall be fifteen silver didrachms, and if female, ten didrachms.</w:t>
      </w:r>
    </w:p>
    <w:p>
      <w:r>
        <w:rPr>
          <w:b/>
        </w:rPr>
        <w:t xml:space="preserve">8 </w:t>
      </w:r>
      <w:r>
        <w:t xml:space="preserve">And if he is too poor for the valuation, he shall stand before the priest, and the priest shall value him; according as the hand of the one who vowed is able, the priest shall value him.</w:t>
      </w:r>
    </w:p>
    <w:p>
      <w:r>
        <w:rPr>
          <w:b/>
        </w:rPr>
        <w:t xml:space="preserve">9 </w:t>
      </w:r>
      <w:r>
        <w:t xml:space="preserve">And if it is from the cattle that people bring from them as a gift to the Lord, whatever someone gives from these to the Lord shall be holy.</w:t>
      </w:r>
    </w:p>
    <w:p>
      <w:r>
        <w:rPr>
          <w:b/>
        </w:rPr>
        <w:t xml:space="preserve">10 </w:t>
      </w:r>
      <w:r>
        <w:t xml:space="preserve">He shall not exchange it, good for bad or bad for good. But if in exchanging he does exchange animal for animal, both it and its exchange shall be holy.</w:t>
      </w:r>
    </w:p>
    <w:p>
      <w:r>
        <w:rPr>
          <w:b/>
        </w:rPr>
        <w:t xml:space="preserve">11 </w:t>
      </w:r>
      <w:r>
        <w:t xml:space="preserve">And if it is any unclean animal, from which they do not bring a gift to the Lord, he shall set the animal before the priest.</w:t>
      </w:r>
    </w:p>
    <w:p>
      <w:r>
        <w:rPr>
          <w:b/>
        </w:rPr>
        <w:t xml:space="preserve">12 </w:t>
      </w:r>
      <w:r>
        <w:t xml:space="preserve">And the priest shall value it between good and bad, and as the priest values it, so it shall stand.</w:t>
      </w:r>
    </w:p>
    <w:p>
      <w:r>
        <w:rPr>
          <w:b/>
        </w:rPr>
        <w:t xml:space="preserve">13 </w:t>
      </w:r>
      <w:r>
        <w:t xml:space="preserve">But if in redeeming he redeems it, he shall add the fifth part to its valuation.</w:t>
      </w:r>
    </w:p>
    <w:p>
      <w:r>
        <w:rPr>
          <w:b/>
        </w:rPr>
        <w:t xml:space="preserve">14 </w:t>
      </w:r>
      <w:r>
        <w:t xml:space="preserve">And if a person sanctifies his house as holy to the Lord, the priest shall value it between good and bad; as the priest</w:t>
      </w:r>
      <w:r>
        <w:rPr>
          <w:rStyle w:val="FootnoteReference"/>
        </w:rPr>
        <w:footnoteReference w:id="2447"/>
      </w:r>
      <w:r>
        <w:t xml:space="preserve"> values it, so it shall stand.</w:t>
      </w:r>
    </w:p>
    <w:p>
      <w:r>
        <w:rPr>
          <w:b/>
        </w:rPr>
        <w:t xml:space="preserve">15 </w:t>
      </w:r>
      <w:r>
        <w:t xml:space="preserve">And if the one who sanctified it redeems his house, he shall add to it the fifth part of the silver of its valuation, and it shall be his.</w:t>
      </w:r>
    </w:p>
    <w:p>
      <w:r>
        <w:rPr>
          <w:b/>
        </w:rPr>
        <w:t xml:space="preserve">16 </w:t>
      </w:r>
      <w:r>
        <w:t xml:space="preserve">And if a person sanctifies to the Lord part of the field of his possession, its valuation shall be according to its seed: a homer of barley seed, fifty silver didrachms.</w:t>
      </w:r>
    </w:p>
    <w:p>
      <w:r>
        <w:rPr>
          <w:b/>
        </w:rPr>
        <w:t xml:space="preserve">17 </w:t>
      </w:r>
      <w:r>
        <w:t xml:space="preserve">And if he sanctifies his field from the year of release, it shall stand according to its valuation.</w:t>
      </w:r>
    </w:p>
    <w:p>
      <w:r>
        <w:rPr>
          <w:b/>
        </w:rPr>
        <w:t xml:space="preserve">18 </w:t>
      </w:r>
      <w:r>
        <w:t xml:space="preserve">But if he sanctifies his field later, after the release, the priest shall reckon the silver</w:t>
      </w:r>
      <w:r>
        <w:rPr>
          <w:rStyle w:val="FootnoteReference"/>
        </w:rPr>
        <w:footnoteReference w:id="2448"/>
      </w:r>
      <w:r>
        <w:t xml:space="preserve"> for him according to the years remaining until the year of release, and it shall be deducted from its valuation.</w:t>
      </w:r>
    </w:p>
    <w:p>
      <w:r>
        <w:rPr>
          <w:b/>
        </w:rPr>
        <w:t xml:space="preserve">19 </w:t>
      </w:r>
      <w:r>
        <w:t xml:space="preserve">And if the one who sanctified it redeems the field, he shall add the fifth part of the silver to its valuation, and it shall be his.</w:t>
      </w:r>
    </w:p>
    <w:p>
      <w:r>
        <w:rPr>
          <w:b/>
        </w:rPr>
        <w:t xml:space="preserve">20 </w:t>
      </w:r>
      <w:r>
        <w:t xml:space="preserve">But if he does not redeem the field, and the field is sold to another person, he may no longer redeem it.</w:t>
      </w:r>
    </w:p>
    <w:p>
      <w:r>
        <w:rPr>
          <w:b/>
        </w:rPr>
        <w:t xml:space="preserve">21 </w:t>
      </w:r>
      <w:r>
        <w:t xml:space="preserve">But when the field goes out in the release, it shall be holy to the Lord, like land set apart. It shall belong to the priest as a possession.</w:t>
      </w:r>
    </w:p>
    <w:p>
      <w:r>
        <w:rPr>
          <w:b/>
        </w:rPr>
        <w:t xml:space="preserve">22 </w:t>
      </w:r>
      <w:r>
        <w:t xml:space="preserve">And if he sanctifies to the Lord part of a field he bought, which is not from the field of his possession</w:t>
      </w:r>
      <w:r>
        <w:rPr>
          <w:rStyle w:val="FootnoteReference"/>
        </w:rPr>
        <w:footnoteReference w:id="2449"/>
      </w:r>
      <w:r>
        <w:t xml:space="preserve">,</w:t>
      </w:r>
    </w:p>
    <w:p>
      <w:r>
        <w:rPr>
          <w:b/>
        </w:rPr>
        <w:t xml:space="preserve">23 </w:t>
      </w:r>
      <w:r>
        <w:t xml:space="preserve">the priest shall reckon for him the full amount of the valuation until the year of release, and he shall give the valuation on that day, holy to the Lord.</w:t>
      </w:r>
    </w:p>
    <w:p>
      <w:r>
        <w:rPr>
          <w:b/>
        </w:rPr>
        <w:t xml:space="preserve">24 </w:t>
      </w:r>
      <w:r>
        <w:t xml:space="preserve">And in the year of release the field shall be returned to the person from whom he bought it, to the one whose possession the land was.</w:t>
      </w:r>
    </w:p>
    <w:p>
      <w:r>
        <w:rPr>
          <w:b/>
        </w:rPr>
        <w:t xml:space="preserve">25 </w:t>
      </w:r>
      <w:r>
        <w:t xml:space="preserve">And every valuation shall be by holy weights; twenty</w:t>
      </w:r>
      <w:r>
        <w:rPr>
          <w:rStyle w:val="FootnoteReference"/>
        </w:rPr>
        <w:footnoteReference w:id="2450"/>
      </w:r>
      <w:r>
        <w:t xml:space="preserve"> obols shall be the didrachm.</w:t>
      </w:r>
    </w:p>
    <w:p>
      <w:r>
        <w:rPr>
          <w:b/>
        </w:rPr>
        <w:t xml:space="preserve">26 </w:t>
      </w:r>
      <w:r>
        <w:t xml:space="preserve">But every firstborn that is born among your cattle shall belong to the Lord, and no one shall sanctify it, whether calf or sheep; it belongs to the Lord.</w:t>
      </w:r>
    </w:p>
    <w:p>
      <w:r>
        <w:rPr>
          <w:b/>
        </w:rPr>
        <w:t xml:space="preserve">27 </w:t>
      </w:r>
      <w:r>
        <w:t xml:space="preserve">And if it is from the unclean four-footed animals</w:t>
      </w:r>
      <w:r>
        <w:rPr>
          <w:rStyle w:val="FootnoteReference"/>
        </w:rPr>
        <w:footnoteReference w:id="2451"/>
      </w:r>
      <w:r>
        <w:t xml:space="preserve">, he shall redeem it according to its valuation and add the fifth part to it, and it shall be his. But if it is not redeemed, it shall be sold according to its valuation.</w:t>
      </w:r>
    </w:p>
    <w:p>
      <w:r>
        <w:rPr>
          <w:b/>
        </w:rPr>
        <w:t xml:space="preserve">28 </w:t>
      </w:r>
      <w:r>
        <w:t xml:space="preserve">But every devoted thing that a person devotes to the Lord, from all that belongs to him, from human to beast and from the field of his possession, shall not be sold and shall not be redeemed. Every devoted thing is holy of holies</w:t>
      </w:r>
      <w:r>
        <w:rPr>
          <w:rStyle w:val="FootnoteReference"/>
        </w:rPr>
        <w:footnoteReference w:id="2452"/>
      </w:r>
      <w:r>
        <w:t xml:space="preserve"> to the Lord.</w:t>
      </w:r>
    </w:p>
    <w:p>
      <w:r>
        <w:rPr>
          <w:b/>
        </w:rPr>
        <w:t xml:space="preserve">29 </w:t>
      </w:r>
      <w:r>
        <w:t xml:space="preserve">And every devoted thing that is devoted from humans shall not be redeemed</w:t>
      </w:r>
      <w:r>
        <w:rPr>
          <w:rStyle w:val="FootnoteReference"/>
        </w:rPr>
        <w:footnoteReference w:id="2453"/>
      </w:r>
      <w:r>
        <w:t xml:space="preserve">, but shall surely be put to death.</w:t>
      </w:r>
    </w:p>
    <w:p>
      <w:r>
        <w:rPr>
          <w:b/>
        </w:rPr>
        <w:t xml:space="preserve">30 </w:t>
      </w:r>
      <w:r>
        <w:t xml:space="preserve">And every tithe of the land, from the seed of the land and from the fruit of the trees, belongs to the Lord; it is holy to the Lord.</w:t>
      </w:r>
    </w:p>
    <w:p>
      <w:r>
        <w:rPr>
          <w:b/>
        </w:rPr>
        <w:t xml:space="preserve">31 </w:t>
      </w:r>
      <w:r>
        <w:t xml:space="preserve">And if a person redeems his tithe in redeeming, he shall add the fifth part to it, and it shall be his.</w:t>
      </w:r>
    </w:p>
    <w:p>
      <w:r>
        <w:rPr>
          <w:b/>
        </w:rPr>
        <w:t xml:space="preserve">32 </w:t>
      </w:r>
      <w:r>
        <w:t xml:space="preserve">And every tithe of cattle and sheep, everything that passes under the rod, the tenth shall be holy to the Lord.</w:t>
      </w:r>
    </w:p>
    <w:p>
      <w:r>
        <w:rPr>
          <w:b/>
        </w:rPr>
        <w:t xml:space="preserve">33 </w:t>
      </w:r>
      <w:r>
        <w:t xml:space="preserve">He shall not inspect whether it is good or bad, and he shall not exchange it. But if in exchanging he does exchange it, both it and its exchange shall be holy</w:t>
      </w:r>
      <w:r>
        <w:rPr>
          <w:rStyle w:val="FootnoteReference"/>
        </w:rPr>
        <w:footnoteReference w:id="2454"/>
      </w:r>
      <w:r>
        <w:t xml:space="preserve">; it shall not be redeemed.</w:t>
      </w:r>
    </w:p>
    <w:p>
      <w:r>
        <w:rPr>
          <w:b/>
        </w:rPr>
        <w:t xml:space="preserve">34 </w:t>
      </w:r>
      <w:r>
        <w:t xml:space="preserve">These are the commands that the Lord commanded Moses for the sons of Israel on Mount Sinai.</w:t>
      </w:r>
    </w:p>
    <w:p>
      <w:r>
        <w:br w:type="page"/>
      </w:r>
    </w:p>
    <w:p>
      <w:pPr>
        <w:pStyle w:val="Heading1"/>
      </w:pPr>
      <w:r>
        <w:t xml:space="preserve">Numbers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the Lord spoke to Moses in the wilderness</w:t>
      </w:r>
      <w:r>
        <w:rPr>
          <w:rStyle w:val="FootnoteReference"/>
        </w:rPr>
        <w:footnoteReference w:id="2455"/>
      </w:r>
      <w:r>
        <w:t xml:space="preserve"> of Sinai, in the tent of testimony, on the first day of the second month, in the second year after they came out of the land of Egypt, saying,</w:t>
      </w:r>
    </w:p>
    <w:p>
      <w:r>
        <w:rPr>
          <w:b/>
        </w:rPr>
        <w:t xml:space="preserve">2 </w:t>
      </w:r>
      <w:r>
        <w:t xml:space="preserve">Take the headcount of the whole congregation of the sons of Israel by their families, by the houses of their fathers, by the number of their names, by their heads, every male,</w:t>
      </w:r>
      <w:r>
        <w:rPr>
          <w:rStyle w:val="FootnoteReference"/>
        </w:rPr>
        <w:footnoteReference w:id="2456"/>
      </w:r>
    </w:p>
    <w:p>
      <w:r>
        <w:rPr>
          <w:b/>
        </w:rPr>
        <w:t xml:space="preserve">3 </w:t>
      </w:r>
      <w:r>
        <w:t xml:space="preserve">from twenty</w:t>
      </w:r>
      <w:r>
        <w:rPr>
          <w:rStyle w:val="FootnoteReference"/>
        </w:rPr>
        <w:footnoteReference w:id="2457"/>
      </w:r>
      <w:r>
        <w:t xml:space="preserve"> years old and upward, every one going out in force in Israel. You and Aaron shall count them with their strength.</w:t>
      </w:r>
    </w:p>
    <w:p>
      <w:r>
        <w:rPr>
          <w:b/>
        </w:rPr>
        <w:t xml:space="preserve">4 </w:t>
      </w:r>
      <w:r>
        <w:t xml:space="preserve">And with you there shall be one man from each tribe; they shall be chiefs by the houses of their fathers.</w:t>
      </w:r>
    </w:p>
    <w:p>
      <w:r>
        <w:rPr>
          <w:b/>
        </w:rPr>
        <w:t xml:space="preserve">5 </w:t>
      </w:r>
      <w:r>
        <w:t xml:space="preserve">And these are the names of the men who shall stand with you: from Reuben, Elizur</w:t>
      </w:r>
      <w:r>
        <w:rPr>
          <w:rStyle w:val="FootnoteReference"/>
        </w:rPr>
        <w:footnoteReference w:id="2458"/>
      </w:r>
      <w:r>
        <w:t xml:space="preserve"> son of Shedeur</w:t>
      </w:r>
      <w:r>
        <w:rPr>
          <w:rStyle w:val="FootnoteReference"/>
        </w:rPr>
        <w:footnoteReference w:id="2459"/>
      </w:r>
      <w:r>
        <w:t xml:space="preserve">;</w:t>
      </w:r>
      <w:r>
        <w:rPr>
          <w:rStyle w:val="FootnoteReference"/>
        </w:rPr>
        <w:footnoteReference w:id="2460"/>
      </w:r>
    </w:p>
    <w:p>
      <w:r>
        <w:rPr>
          <w:b/>
        </w:rPr>
        <w:t xml:space="preserve">6 </w:t>
      </w:r>
      <w:r>
        <w:t xml:space="preserve">from Simeon, Shelumiel</w:t>
      </w:r>
      <w:r>
        <w:rPr>
          <w:rStyle w:val="FootnoteReference"/>
        </w:rPr>
        <w:footnoteReference w:id="2461"/>
      </w:r>
      <w:r>
        <w:t xml:space="preserve"> son of Zurishaddai</w:t>
      </w:r>
      <w:r>
        <w:rPr>
          <w:rStyle w:val="FootnoteReference"/>
        </w:rPr>
        <w:footnoteReference w:id="2462"/>
      </w:r>
      <w:r>
        <w:t xml:space="preserve">;</w:t>
      </w:r>
      <w:r>
        <w:rPr>
          <w:rStyle w:val="FootnoteReference"/>
        </w:rPr>
        <w:footnoteReference w:id="2463"/>
      </w:r>
      <w:r>
        <w:rPr>
          <w:rStyle w:val="FootnoteReference"/>
        </w:rPr>
        <w:footnoteReference w:id="2464"/>
      </w:r>
    </w:p>
    <w:p>
      <w:r>
        <w:rPr>
          <w:b/>
        </w:rPr>
        <w:t xml:space="preserve">7 </w:t>
      </w:r>
      <w:r>
        <w:t xml:space="preserve">from Judah, Nahshon</w:t>
      </w:r>
      <w:r>
        <w:rPr>
          <w:rStyle w:val="FootnoteReference"/>
        </w:rPr>
        <w:footnoteReference w:id="2465"/>
      </w:r>
      <w:r>
        <w:t xml:space="preserve"> son of Amminadab;</w:t>
      </w:r>
    </w:p>
    <w:p>
      <w:r>
        <w:rPr>
          <w:b/>
        </w:rPr>
        <w:t xml:space="preserve">8 </w:t>
      </w:r>
      <w:r>
        <w:t xml:space="preserve">from Issachar, Nethanel</w:t>
      </w:r>
      <w:r>
        <w:rPr>
          <w:rStyle w:val="FootnoteReference"/>
        </w:rPr>
        <w:footnoteReference w:id="2466"/>
      </w:r>
      <w:r>
        <w:t xml:space="preserve"> son of Zuar</w:t>
      </w:r>
      <w:r>
        <w:rPr>
          <w:rStyle w:val="FootnoteReference"/>
        </w:rPr>
        <w:footnoteReference w:id="2467"/>
      </w:r>
      <w:r>
        <w:t xml:space="preserve">;</w:t>
      </w:r>
    </w:p>
    <w:p>
      <w:r>
        <w:rPr>
          <w:b/>
        </w:rPr>
        <w:t xml:space="preserve">9 </w:t>
      </w:r>
      <w:r>
        <w:t xml:space="preserve">from Zebulun, Eliab</w:t>
      </w:r>
      <w:r>
        <w:rPr>
          <w:rStyle w:val="FootnoteReference"/>
        </w:rPr>
        <w:footnoteReference w:id="2468"/>
      </w:r>
      <w:r>
        <w:t xml:space="preserve"> son of Helon;</w:t>
      </w:r>
      <w:r>
        <w:rPr>
          <w:rStyle w:val="FootnoteReference"/>
        </w:rPr>
        <w:footnoteReference w:id="2469"/>
      </w:r>
      <w:r>
        <w:rPr>
          <w:rStyle w:val="FootnoteReference"/>
        </w:rPr>
        <w:footnoteReference w:id="2470"/>
      </w:r>
    </w:p>
    <w:p>
      <w:r>
        <w:rPr>
          <w:b/>
        </w:rPr>
        <w:t xml:space="preserve">10 </w:t>
      </w:r>
      <w:r>
        <w:t xml:space="preserve">from the sons of Joseph: from Ephraim, Elishama</w:t>
      </w:r>
      <w:r>
        <w:rPr>
          <w:rStyle w:val="FootnoteReference"/>
        </w:rPr>
        <w:footnoteReference w:id="2471"/>
      </w:r>
      <w:r>
        <w:t xml:space="preserve"> son of Ammihud</w:t>
      </w:r>
      <w:r>
        <w:rPr>
          <w:rStyle w:val="FootnoteReference"/>
        </w:rPr>
        <w:footnoteReference w:id="2472"/>
      </w:r>
      <w:r>
        <w:t xml:space="preserve">; from Manasseh, Gamaliel</w:t>
      </w:r>
      <w:r>
        <w:rPr>
          <w:rStyle w:val="FootnoteReference"/>
        </w:rPr>
        <w:footnoteReference w:id="2473"/>
      </w:r>
      <w:r>
        <w:t xml:space="preserve"> son of Pedahzur</w:t>
      </w:r>
      <w:r>
        <w:rPr>
          <w:rStyle w:val="FootnoteReference"/>
        </w:rPr>
        <w:footnoteReference w:id="2474"/>
      </w:r>
      <w:r>
        <w:t xml:space="preserve">;</w:t>
      </w:r>
      <w:r>
        <w:rPr>
          <w:rStyle w:val="FootnoteReference"/>
        </w:rPr>
        <w:footnoteReference w:id="2475"/>
      </w:r>
    </w:p>
    <w:p>
      <w:r>
        <w:rPr>
          <w:b/>
        </w:rPr>
        <w:t xml:space="preserve">11 </w:t>
      </w:r>
      <w:r>
        <w:t xml:space="preserve">from Benjamin, Abidan</w:t>
      </w:r>
      <w:r>
        <w:rPr>
          <w:rStyle w:val="FootnoteReference"/>
        </w:rPr>
        <w:footnoteReference w:id="2476"/>
      </w:r>
      <w:r>
        <w:t xml:space="preserve"> son of Gideoni</w:t>
      </w:r>
      <w:r>
        <w:rPr>
          <w:rStyle w:val="FootnoteReference"/>
        </w:rPr>
        <w:footnoteReference w:id="2477"/>
      </w:r>
      <w:r>
        <w:t xml:space="preserve">;</w:t>
      </w:r>
      <w:r>
        <w:rPr>
          <w:rStyle w:val="FootnoteReference"/>
        </w:rPr>
        <w:footnoteReference w:id="2478"/>
      </w:r>
    </w:p>
    <w:p>
      <w:r>
        <w:rPr>
          <w:b/>
        </w:rPr>
        <w:t xml:space="preserve">12 </w:t>
      </w:r>
      <w:r>
        <w:t xml:space="preserve">from Dan, Ahiezer</w:t>
      </w:r>
      <w:r>
        <w:rPr>
          <w:rStyle w:val="FootnoteReference"/>
        </w:rPr>
        <w:footnoteReference w:id="2479"/>
      </w:r>
      <w:r>
        <w:t xml:space="preserve"> son of Ammishaddai</w:t>
      </w:r>
      <w:r>
        <w:rPr>
          <w:rStyle w:val="FootnoteReference"/>
        </w:rPr>
        <w:footnoteReference w:id="2480"/>
      </w:r>
      <w:r>
        <w:t xml:space="preserve">;</w:t>
      </w:r>
      <w:r>
        <w:rPr>
          <w:rStyle w:val="FootnoteReference"/>
        </w:rPr>
        <w:footnoteReference w:id="2481"/>
      </w:r>
    </w:p>
    <w:p>
      <w:r>
        <w:rPr>
          <w:b/>
        </w:rPr>
        <w:t xml:space="preserve">13 </w:t>
      </w:r>
      <w:r>
        <w:t xml:space="preserve">from Asher, Pagiel</w:t>
      </w:r>
      <w:r>
        <w:rPr>
          <w:rStyle w:val="FootnoteReference"/>
        </w:rPr>
        <w:footnoteReference w:id="2482"/>
      </w:r>
      <w:r>
        <w:t xml:space="preserve"> son of Ocran</w:t>
      </w:r>
      <w:r>
        <w:rPr>
          <w:rStyle w:val="FootnoteReference"/>
        </w:rPr>
        <w:footnoteReference w:id="2483"/>
      </w:r>
      <w:r>
        <w:t xml:space="preserve">;</w:t>
      </w:r>
      <w:r>
        <w:rPr>
          <w:rStyle w:val="FootnoteReference"/>
        </w:rPr>
        <w:footnoteReference w:id="2484"/>
      </w:r>
    </w:p>
    <w:p>
      <w:r>
        <w:rPr>
          <w:b/>
        </w:rPr>
        <w:t xml:space="preserve">14 </w:t>
      </w:r>
      <w:r>
        <w:t xml:space="preserve">from Gad, Eliasaph</w:t>
      </w:r>
      <w:r>
        <w:rPr>
          <w:rStyle w:val="FootnoteReference"/>
        </w:rPr>
        <w:footnoteReference w:id="2485"/>
      </w:r>
      <w:r>
        <w:t xml:space="preserve"> son of Reuel;</w:t>
      </w:r>
      <w:r>
        <w:rPr>
          <w:rStyle w:val="FootnoteReference"/>
        </w:rPr>
        <w:footnoteReference w:id="2486"/>
      </w:r>
    </w:p>
    <w:p>
      <w:r>
        <w:rPr>
          <w:b/>
        </w:rPr>
        <w:t xml:space="preserve">15 </w:t>
      </w:r>
      <w:r>
        <w:t xml:space="preserve">from Naphtali, Ahira</w:t>
      </w:r>
      <w:r>
        <w:rPr>
          <w:rStyle w:val="FootnoteReference"/>
        </w:rPr>
        <w:footnoteReference w:id="2487"/>
      </w:r>
      <w:r>
        <w:t xml:space="preserve"> son of Enan</w:t>
      </w:r>
      <w:r>
        <w:rPr>
          <w:rStyle w:val="FootnoteReference"/>
        </w:rPr>
        <w:footnoteReference w:id="2488"/>
      </w:r>
      <w:r>
        <w:t xml:space="preserve">.</w:t>
      </w:r>
      <w:r>
        <w:rPr>
          <w:rStyle w:val="FootnoteReference"/>
        </w:rPr>
        <w:footnoteReference w:id="2489"/>
      </w:r>
      <w:r>
        <w:rPr>
          <w:rStyle w:val="FootnoteReference"/>
        </w:rPr>
        <w:footnoteReference w:id="2490"/>
      </w:r>
    </w:p>
    <w:p>
      <w:r>
        <w:rPr>
          <w:b/>
        </w:rPr>
        <w:t xml:space="preserve">16 </w:t>
      </w:r>
      <w:r>
        <w:t xml:space="preserve">These were the called ones of the congregation</w:t>
      </w:r>
      <w:r>
        <w:rPr>
          <w:rStyle w:val="FootnoteReference"/>
        </w:rPr>
        <w:footnoteReference w:id="2491"/>
      </w:r>
      <w:r>
        <w:t xml:space="preserve">, chiefs of the tribes of their fathers, commanders of thousands in Israel.</w:t>
      </w:r>
    </w:p>
    <w:p>
      <w:r>
        <w:rPr>
          <w:b/>
        </w:rPr>
        <w:t xml:space="preserve">17 </w:t>
      </w:r>
      <w:r>
        <w:t xml:space="preserve">And Moses and Aaron took these men, the ones called by name,</w:t>
      </w:r>
    </w:p>
    <w:p>
      <w:r>
        <w:rPr>
          <w:b/>
        </w:rPr>
        <w:t xml:space="preserve">18 </w:t>
      </w:r>
      <w:r>
        <w:t xml:space="preserve">and they assembled the whole congregation on the first day of the second month in the second year, and they enrolled themselves by their generations, by their fathers, by the number of their names, from twenty years old and upward, every male by their heads.</w:t>
      </w:r>
      <w:r>
        <w:rPr>
          <w:rStyle w:val="FootnoteReference"/>
        </w:rPr>
        <w:footnoteReference w:id="2492"/>
      </w:r>
    </w:p>
    <w:p>
      <w:r>
        <w:rPr>
          <w:b/>
        </w:rPr>
        <w:t xml:space="preserve">19 </w:t>
      </w:r>
      <w:r>
        <w:t xml:space="preserve">As the Lord commanded Moses, so they were counted in the wilderness of Sinai.</w:t>
      </w:r>
    </w:p>
    <w:p>
      <w:r>
        <w:rPr>
          <w:b/>
        </w:rPr>
        <w:t xml:space="preserve">20 </w:t>
      </w:r>
      <w:r>
        <w:t xml:space="preserve">And the sons of Reuben, Israel's firstborn, by their families, by their clans, by the houses of their fathers, by the number of their names, by their headcount, every male from twenty years old and upward, every one going out in force</w:t>
      </w:r>
      <w:r>
        <w:rPr>
          <w:rStyle w:val="FootnoteReference"/>
        </w:rPr>
        <w:footnoteReference w:id="2493"/>
      </w:r>
      <w:r>
        <w:t xml:space="preserve">,</w:t>
      </w:r>
    </w:p>
    <w:p>
      <w:r>
        <w:rPr>
          <w:b/>
        </w:rPr>
        <w:t xml:space="preserve">21 </w:t>
      </w:r>
      <w:r>
        <w:t xml:space="preserve">those counted from the tribe of Reuben: forty-six thousand five hundred.</w:t>
      </w:r>
    </w:p>
    <w:p>
      <w:r>
        <w:rPr>
          <w:b/>
        </w:rPr>
        <w:t xml:space="preserve">22 </w:t>
      </w:r>
      <w:r>
        <w:t xml:space="preserve">As for the sons of Simeon, by their families, by their clans, by the houses of their fathers, by the number of their names, by their headcount</w:t>
      </w:r>
      <w:r>
        <w:rPr>
          <w:rStyle w:val="FootnoteReference"/>
        </w:rPr>
        <w:footnoteReference w:id="2494"/>
      </w:r>
      <w:r>
        <w:t xml:space="preserve">, every male from twenty years old and upward, every one going out in force,</w:t>
      </w:r>
    </w:p>
    <w:p>
      <w:r>
        <w:rPr>
          <w:b/>
        </w:rPr>
        <w:t xml:space="preserve">23 </w:t>
      </w:r>
      <w:r>
        <w:t xml:space="preserve">those counted from the tribe of Simeon: fifty-nine thousand three hundred.</w:t>
      </w:r>
    </w:p>
    <w:p>
      <w:r>
        <w:rPr>
          <w:b/>
        </w:rPr>
        <w:t xml:space="preserve">24 </w:t>
      </w:r>
      <w:r>
        <w:t xml:space="preserve">As for the sons of Judah, by their families, by their clans, by the houses of their fathers, by the number of their names, by their headcount</w:t>
      </w:r>
      <w:r>
        <w:rPr>
          <w:rStyle w:val="FootnoteReference"/>
        </w:rPr>
        <w:footnoteReference w:id="2495"/>
      </w:r>
      <w:r>
        <w:t xml:space="preserve">, every male from twenty years old and upward, every one going out in force,</w:t>
      </w:r>
    </w:p>
    <w:p>
      <w:r>
        <w:rPr>
          <w:b/>
        </w:rPr>
        <w:t xml:space="preserve">25 </w:t>
      </w:r>
      <w:r>
        <w:t xml:space="preserve">those counted from the tribe of Judah: seventy-four thousand six hundred.</w:t>
      </w:r>
    </w:p>
    <w:p>
      <w:r>
        <w:rPr>
          <w:b/>
        </w:rPr>
        <w:t xml:space="preserve">26 </w:t>
      </w:r>
      <w:r>
        <w:t xml:space="preserve">As for the sons of Issachar, by their families, by their clans, by the houses of their fathers, by the number of their names, by their headcount</w:t>
      </w:r>
      <w:r>
        <w:rPr>
          <w:rStyle w:val="FootnoteReference"/>
        </w:rPr>
        <w:footnoteReference w:id="2496"/>
      </w:r>
      <w:r>
        <w:t xml:space="preserve">, every male from twenty years old and upward, every one going out in force,</w:t>
      </w:r>
    </w:p>
    <w:p>
      <w:r>
        <w:rPr>
          <w:b/>
        </w:rPr>
        <w:t xml:space="preserve">27 </w:t>
      </w:r>
      <w:r>
        <w:t xml:space="preserve">those counted from the tribe of Issachar: fifty-four thousand four hundred.</w:t>
      </w:r>
    </w:p>
    <w:p>
      <w:r>
        <w:rPr>
          <w:b/>
        </w:rPr>
        <w:t xml:space="preserve">28 </w:t>
      </w:r>
      <w:r>
        <w:t xml:space="preserve">As for the sons of Zebulun, by their families, by their clans, by the houses of their fathers, by the number of their names, by their headcount</w:t>
      </w:r>
      <w:r>
        <w:rPr>
          <w:rStyle w:val="FootnoteReference"/>
        </w:rPr>
        <w:footnoteReference w:id="2497"/>
      </w:r>
      <w:r>
        <w:t xml:space="preserve">, every male from twenty years old and upward, every one going out in force,</w:t>
      </w:r>
    </w:p>
    <w:p>
      <w:r>
        <w:rPr>
          <w:b/>
        </w:rPr>
        <w:t xml:space="preserve">29 </w:t>
      </w:r>
      <w:r>
        <w:t xml:space="preserve">those counted from the tribe of Zebulun: fifty-seven thousand four hundred.</w:t>
      </w:r>
    </w:p>
    <w:p>
      <w:r>
        <w:rPr>
          <w:b/>
        </w:rPr>
        <w:t xml:space="preserve">30 </w:t>
      </w:r>
      <w:r>
        <w:t xml:space="preserve">As for the sons of Joseph, the sons of Ephraim, by their families, by their clans, by the houses of their fathers, by the number of their names, by their headcount, every male from twenty years old and upward, every one going out in force,</w:t>
      </w:r>
      <w:r>
        <w:rPr>
          <w:rStyle w:val="FootnoteReference"/>
        </w:rPr>
        <w:footnoteReference w:id="2498"/>
      </w:r>
    </w:p>
    <w:p>
      <w:r>
        <w:rPr>
          <w:b/>
        </w:rPr>
        <w:t xml:space="preserve">31 </w:t>
      </w:r>
      <w:r>
        <w:t xml:space="preserve">those counted from the tribe of Ephraim: forty thousand five hundred.</w:t>
      </w:r>
    </w:p>
    <w:p>
      <w:r>
        <w:rPr>
          <w:b/>
        </w:rPr>
        <w:t xml:space="preserve">32 </w:t>
      </w:r>
      <w:r>
        <w:t xml:space="preserve">As for the sons of Manasseh, by their families, by their clans, by the houses of their fathers, by the number of their names, by their headcount, every male from twenty years old and upward, every one going out in force,</w:t>
      </w:r>
      <w:r>
        <w:rPr>
          <w:rStyle w:val="FootnoteReference"/>
        </w:rPr>
        <w:footnoteReference w:id="2499"/>
      </w:r>
    </w:p>
    <w:p>
      <w:r>
        <w:rPr>
          <w:b/>
        </w:rPr>
        <w:t xml:space="preserve">33 </w:t>
      </w:r>
      <w:r>
        <w:t xml:space="preserve">those counted from the tribe</w:t>
      </w:r>
      <w:r>
        <w:rPr>
          <w:rStyle w:val="FootnoteReference"/>
        </w:rPr>
        <w:footnoteReference w:id="2500"/>
      </w:r>
      <w:r>
        <w:t xml:space="preserve"> of Manasseh: thirty-two thousand two hundred.</w:t>
      </w:r>
    </w:p>
    <w:p>
      <w:r>
        <w:rPr>
          <w:b/>
        </w:rPr>
        <w:t xml:space="preserve">34 </w:t>
      </w:r>
      <w:r>
        <w:t xml:space="preserve">As for the sons of Benjamin, by their families, by their clans, by the houses of their fathers, by the number of their names, by their headcount, every male from twenty years old and upward, every one going out in force,</w:t>
      </w:r>
    </w:p>
    <w:p>
      <w:r>
        <w:rPr>
          <w:b/>
        </w:rPr>
        <w:t xml:space="preserve">35 </w:t>
      </w:r>
      <w:r>
        <w:t xml:space="preserve">those counted from the tribe of Benjamin: thirty-five thousand four hundred.</w:t>
      </w:r>
    </w:p>
    <w:p>
      <w:r>
        <w:rPr>
          <w:b/>
        </w:rPr>
        <w:t xml:space="preserve">36 </w:t>
      </w:r>
      <w:r>
        <w:t xml:space="preserve">As for the sons of Gad, by their families, by their clans, by the houses of their fathers, by the number of their names, by their headcount</w:t>
      </w:r>
      <w:r>
        <w:rPr>
          <w:rStyle w:val="FootnoteReference"/>
        </w:rPr>
        <w:footnoteReference w:id="2501"/>
      </w:r>
      <w:r>
        <w:t xml:space="preserve">, every male from twenty years old and upward, every one going out in force,</w:t>
      </w:r>
    </w:p>
    <w:p>
      <w:r>
        <w:rPr>
          <w:b/>
        </w:rPr>
        <w:t xml:space="preserve">37 </w:t>
      </w:r>
      <w:r>
        <w:t xml:space="preserve">those counted from the tribe of Gad: forty-five thousand six hundred fifty.</w:t>
      </w:r>
    </w:p>
    <w:p>
      <w:r>
        <w:rPr>
          <w:b/>
        </w:rPr>
        <w:t xml:space="preserve">38 </w:t>
      </w:r>
      <w:r>
        <w:t xml:space="preserve">As for the sons of Dan, by their families, by their clans, by the houses of their fathers, by the number of their names, by their headcount, every male from twenty years old and upward, every one going out in force,</w:t>
      </w:r>
    </w:p>
    <w:p>
      <w:r>
        <w:rPr>
          <w:b/>
        </w:rPr>
        <w:t xml:space="preserve">39 </w:t>
      </w:r>
      <w:r>
        <w:t xml:space="preserve">those counted from the tribe of Dan: sixty-two thousand seven hundred.</w:t>
      </w:r>
    </w:p>
    <w:p>
      <w:r>
        <w:rPr>
          <w:b/>
        </w:rPr>
        <w:t xml:space="preserve">40 </w:t>
      </w:r>
      <w:r>
        <w:t xml:space="preserve">As for the sons of Asher, by their families, by their clans, by the houses of their fathers, by the number of their names, by their headcount, every male from twenty years old and upward, every one going out in force,</w:t>
      </w:r>
    </w:p>
    <w:p>
      <w:r>
        <w:rPr>
          <w:b/>
        </w:rPr>
        <w:t xml:space="preserve">41 </w:t>
      </w:r>
      <w:r>
        <w:t xml:space="preserve">those counted from the tribe of Asher: forty-one thousand five hundred.</w:t>
      </w:r>
    </w:p>
    <w:p>
      <w:r>
        <w:rPr>
          <w:b/>
        </w:rPr>
        <w:t xml:space="preserve">42 </w:t>
      </w:r>
      <w:r>
        <w:t xml:space="preserve">As for the sons of Naphtali</w:t>
      </w:r>
      <w:r>
        <w:rPr>
          <w:rStyle w:val="FootnoteReference"/>
        </w:rPr>
        <w:footnoteReference w:id="2502"/>
      </w:r>
      <w:r>
        <w:t xml:space="preserve">, by their families, by their clans, by the houses of their fathers, by the number of their names, by their headcount, every male from twenty years old and upward, every one going out in force</w:t>
      </w:r>
      <w:r>
        <w:rPr>
          <w:rStyle w:val="FootnoteReference"/>
        </w:rPr>
        <w:footnoteReference w:id="2503"/>
      </w:r>
      <w:r>
        <w:t xml:space="preserve">,</w:t>
      </w:r>
    </w:p>
    <w:p>
      <w:r>
        <w:rPr>
          <w:b/>
        </w:rPr>
        <w:t xml:space="preserve">43 </w:t>
      </w:r>
      <w:r>
        <w:t xml:space="preserve">those counted from the tribe of Naphtali: fifty-three thousand four hundred.</w:t>
      </w:r>
    </w:p>
    <w:p>
      <w:r>
        <w:rPr>
          <w:b/>
        </w:rPr>
        <w:t xml:space="preserve">44 </w:t>
      </w:r>
      <w:r>
        <w:t xml:space="preserve">This was the counting that Moses and Aaron and the chiefs of Israel counted, twelve men; one man for each tribe, by the tribe of his fathers' houses.</w:t>
      </w:r>
    </w:p>
    <w:p>
      <w:r>
        <w:rPr>
          <w:b/>
        </w:rPr>
        <w:t xml:space="preserve">45 </w:t>
      </w:r>
      <w:r>
        <w:t xml:space="preserve">And the whole counting of the sons of Israel, with their strength, from twenty years old and upward, every one going out to line up for battle in Israel,</w:t>
      </w:r>
    </w:p>
    <w:p>
      <w:r>
        <w:rPr>
          <w:b/>
        </w:rPr>
        <w:t xml:space="preserve">46 </w:t>
      </w:r>
      <w:r>
        <w:t xml:space="preserve">was six hundred three thousand five hundred fifty.</w:t>
      </w:r>
    </w:p>
    <w:p>
      <w:r>
        <w:rPr>
          <w:b/>
        </w:rPr>
        <w:t xml:space="preserve">47 </w:t>
      </w:r>
      <w:r>
        <w:t xml:space="preserve">But the Levites by the tribe of their fathers were not counted among the sons of Israel.</w:t>
      </w:r>
    </w:p>
    <w:p>
      <w:r>
        <w:rPr>
          <w:b/>
        </w:rPr>
        <w:t xml:space="preserve">48 </w:t>
      </w:r>
      <w:r>
        <w:t xml:space="preserve">And the Lord spoke to Moses, saying,</w:t>
      </w:r>
    </w:p>
    <w:p>
      <w:r>
        <w:rPr>
          <w:b/>
        </w:rPr>
        <w:t xml:space="preserve">49 </w:t>
      </w:r>
      <w:r>
        <w:t xml:space="preserve">See to the tribe of Levi; you shall not count them, and you shall not take their number among the sons of Israel.</w:t>
      </w:r>
    </w:p>
    <w:p>
      <w:r>
        <w:rPr>
          <w:b/>
        </w:rPr>
        <w:t xml:space="preserve">50 </w:t>
      </w:r>
      <w:r>
        <w:t xml:space="preserve">But you shall appoint the Levites over the tent of testimony and over all its furnishings and over everything in it. They shall carry the tent and all its furnishings, and they shall minister in it, and they shall camp around the tent.</w:t>
      </w:r>
    </w:p>
    <w:p>
      <w:r>
        <w:rPr>
          <w:b/>
        </w:rPr>
        <w:t xml:space="preserve">51 </w:t>
      </w:r>
      <w:r>
        <w:t xml:space="preserve">And when the tent is taken down, the Levites</w:t>
      </w:r>
      <w:r>
        <w:rPr>
          <w:rStyle w:val="FootnoteReference"/>
        </w:rPr>
        <w:footnoteReference w:id="2504"/>
      </w:r>
      <w:r>
        <w:t xml:space="preserve"> shall take it down, and when the tent camps, the Levites shall set it up. And the stranger who comes near shall die.</w:t>
      </w:r>
    </w:p>
    <w:p>
      <w:r>
        <w:rPr>
          <w:b/>
        </w:rPr>
        <w:t xml:space="preserve">52 </w:t>
      </w:r>
      <w:r>
        <w:t xml:space="preserve">And the sons of Israel shall camp, each in his own order and each by his own command, with their strength.</w:t>
      </w:r>
    </w:p>
    <w:p>
      <w:r>
        <w:rPr>
          <w:b/>
        </w:rPr>
        <w:t xml:space="preserve">53 </w:t>
      </w:r>
      <w:r>
        <w:t xml:space="preserve">But the Levites shall camp before the Lord around the tent of testimony, and there shall not be offense</w:t>
      </w:r>
      <w:r>
        <w:rPr>
          <w:rStyle w:val="FootnoteReference"/>
        </w:rPr>
        <w:footnoteReference w:id="2505"/>
      </w:r>
      <w:r>
        <w:t xml:space="preserve"> among the sons of Israel. And the Levites themselves shall keep the charge of the tent of testimony.</w:t>
      </w:r>
    </w:p>
    <w:p>
      <w:r>
        <w:rPr>
          <w:b/>
        </w:rPr>
        <w:t xml:space="preserve">54 </w:t>
      </w:r>
      <w:r>
        <w:t xml:space="preserve">And the sons of Israel did according to all that the Lord commanded Moses and Aaron; so they did.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the Lord spoke to Moses and Aaron, saying,</w:t>
      </w:r>
    </w:p>
    <w:p>
      <w:r>
        <w:rPr>
          <w:b/>
        </w:rPr>
        <w:t xml:space="preserve">2 </w:t>
      </w:r>
      <w:r>
        <w:t xml:space="preserve">The sons of Israel shall camp, each close by his own order, by standards, by the houses of their fathers. Opposite, around the tent of testimony, the sons of Israel shall camp.</w:t>
      </w:r>
    </w:p>
    <w:p>
      <w:r>
        <w:rPr>
          <w:b/>
        </w:rPr>
        <w:t xml:space="preserve">3 </w:t>
      </w:r>
      <w:r>
        <w:t xml:space="preserve">And those camping first on the east shall be the order of the camp of Judah, with their strength. And the chief of the sons of Judah shall be Nahshon</w:t>
      </w:r>
      <w:r>
        <w:rPr>
          <w:rStyle w:val="FootnoteReference"/>
        </w:rPr>
        <w:footnoteReference w:id="2506"/>
      </w:r>
      <w:r>
        <w:t xml:space="preserve"> son of Amminadab.</w:t>
      </w:r>
      <w:r>
        <w:rPr>
          <w:rStyle w:val="FootnoteReference"/>
        </w:rPr>
        <w:footnoteReference w:id="2507"/>
      </w:r>
    </w:p>
    <w:p>
      <w:r>
        <w:rPr>
          <w:b/>
        </w:rPr>
        <w:t xml:space="preserve">4 </w:t>
      </w:r>
      <w:r>
        <w:t xml:space="preserve">His force, the ones counted, was seventy-four thousand six hundred.</w:t>
      </w:r>
    </w:p>
    <w:p>
      <w:r>
        <w:rPr>
          <w:b/>
        </w:rPr>
        <w:t xml:space="preserve">5 </w:t>
      </w:r>
      <w:r>
        <w:t xml:space="preserve">And those camping next to them shall be the tribe of Issachar. And the chief of the sons of Issachar shall be Nethanel son of Zuar.</w:t>
      </w:r>
    </w:p>
    <w:p>
      <w:r>
        <w:rPr>
          <w:b/>
        </w:rPr>
        <w:t xml:space="preserve">6 </w:t>
      </w:r>
      <w:r>
        <w:t xml:space="preserve">His force, the ones counted, was fifty-four thousand four hundred.</w:t>
      </w:r>
    </w:p>
    <w:p>
      <w:r>
        <w:rPr>
          <w:b/>
        </w:rPr>
        <w:t xml:space="preserve">7 </w:t>
      </w:r>
      <w:r>
        <w:t xml:space="preserve">And those camping next shall be the tribe of Zebulun. And the chief of the sons of Zebulun shall be Eliab son of Helon.</w:t>
      </w:r>
    </w:p>
    <w:p>
      <w:r>
        <w:rPr>
          <w:b/>
        </w:rPr>
        <w:t xml:space="preserve">8 </w:t>
      </w:r>
      <w:r>
        <w:t xml:space="preserve">His force, the ones counted, was fifty-seven thousand four hundred.</w:t>
      </w:r>
    </w:p>
    <w:p>
      <w:r>
        <w:rPr>
          <w:b/>
        </w:rPr>
        <w:t xml:space="preserve">9 </w:t>
      </w:r>
      <w:r>
        <w:t xml:space="preserve">All those counted of the camp of Judah were a hundred eighty-six thousand four hundred, with their strength. They shall set out first.</w:t>
      </w:r>
    </w:p>
    <w:p>
      <w:r>
        <w:rPr>
          <w:b/>
        </w:rPr>
        <w:t xml:space="preserve">10 </w:t>
      </w:r>
      <w:r>
        <w:t xml:space="preserve">The order of the camp of Reuben</w:t>
      </w:r>
      <w:r>
        <w:rPr>
          <w:rStyle w:val="FootnoteReference"/>
        </w:rPr>
        <w:footnoteReference w:id="2508"/>
      </w:r>
      <w:r>
        <w:t xml:space="preserve"> shall be to the south, with their strength. And the chief of the sons of Reuben shall be Elizur son of Shedeur.</w:t>
      </w:r>
    </w:p>
    <w:p>
      <w:r>
        <w:rPr>
          <w:b/>
        </w:rPr>
        <w:t xml:space="preserve">11 </w:t>
      </w:r>
      <w:r>
        <w:t xml:space="preserve">His force, the ones counted, was forty-six thousand five hundred.</w:t>
      </w:r>
    </w:p>
    <w:p>
      <w:r>
        <w:rPr>
          <w:b/>
        </w:rPr>
        <w:t xml:space="preserve">12 </w:t>
      </w:r>
      <w:r>
        <w:t xml:space="preserve">And those camping next to him shall be the tribe of Simeon. And the chief of the sons of Simeon shall be Shelumiel</w:t>
      </w:r>
      <w:r>
        <w:rPr>
          <w:rStyle w:val="FootnoteReference"/>
        </w:rPr>
        <w:footnoteReference w:id="2509"/>
      </w:r>
      <w:r>
        <w:t xml:space="preserve"> son of Zurishaddai.</w:t>
      </w:r>
    </w:p>
    <w:p>
      <w:r>
        <w:rPr>
          <w:b/>
        </w:rPr>
        <w:t xml:space="preserve">13 </w:t>
      </w:r>
      <w:r>
        <w:t xml:space="preserve">His force, the ones counted, was fifty-nine thousand three hundred.</w:t>
      </w:r>
    </w:p>
    <w:p>
      <w:r>
        <w:rPr>
          <w:b/>
        </w:rPr>
        <w:t xml:space="preserve">14 </w:t>
      </w:r>
      <w:r>
        <w:t xml:space="preserve">And those camping next to him shall be the tribe of Gad. And the chief of the sons of Gad shall be Eliasaph</w:t>
      </w:r>
      <w:r>
        <w:rPr>
          <w:rStyle w:val="FootnoteReference"/>
        </w:rPr>
        <w:footnoteReference w:id="2510"/>
      </w:r>
      <w:r>
        <w:t xml:space="preserve"> son of Reuel.</w:t>
      </w:r>
    </w:p>
    <w:p>
      <w:r>
        <w:rPr>
          <w:b/>
        </w:rPr>
        <w:t xml:space="preserve">15 </w:t>
      </w:r>
      <w:r>
        <w:t xml:space="preserve">His force, the ones counted, was forty-five thousand six hundred fifty.</w:t>
      </w:r>
    </w:p>
    <w:p>
      <w:r>
        <w:rPr>
          <w:b/>
        </w:rPr>
        <w:t xml:space="preserve">16 </w:t>
      </w:r>
      <w:r>
        <w:t xml:space="preserve">All those counted of the camp of Reuben were a hundred fifty-one thousand four hundred fifty, with their strength. They shall set out second.</w:t>
      </w:r>
    </w:p>
    <w:p>
      <w:r>
        <w:rPr>
          <w:b/>
        </w:rPr>
        <w:t xml:space="preserve">17 </w:t>
      </w:r>
      <w:r>
        <w:t xml:space="preserve">Then the tent of testimony and the camp of the Levites shall be taken up in the middle of the camps. As they camp, so they shall set out, each one next in order to his command.</w:t>
      </w:r>
    </w:p>
    <w:p>
      <w:r>
        <w:rPr>
          <w:b/>
        </w:rPr>
        <w:t xml:space="preserve">18 </w:t>
      </w:r>
      <w:r>
        <w:t xml:space="preserve">The order of the camp of Ephraim</w:t>
      </w:r>
      <w:r>
        <w:rPr>
          <w:rStyle w:val="FootnoteReference"/>
        </w:rPr>
        <w:footnoteReference w:id="2511"/>
      </w:r>
      <w:r>
        <w:t xml:space="preserve"> shall be by the sea, with their strength. And the chief of the sons of Ephraim shall be Elishama son of Ammihud.</w:t>
      </w:r>
    </w:p>
    <w:p>
      <w:r>
        <w:rPr>
          <w:b/>
        </w:rPr>
        <w:t xml:space="preserve">19 </w:t>
      </w:r>
      <w:r>
        <w:t xml:space="preserve">His force, the ones counted, was forty thousand five hundred.</w:t>
      </w:r>
    </w:p>
    <w:p>
      <w:r>
        <w:rPr>
          <w:b/>
        </w:rPr>
        <w:t xml:space="preserve">20 </w:t>
      </w:r>
      <w:r>
        <w:t xml:space="preserve">And those camping next shall be the tribe of Manasseh. And the chief of the sons of Manasseh shall be Gamaliel</w:t>
      </w:r>
      <w:r>
        <w:rPr>
          <w:rStyle w:val="FootnoteReference"/>
        </w:rPr>
        <w:footnoteReference w:id="2512"/>
      </w:r>
      <w:r>
        <w:t xml:space="preserve"> son of Pedahzur.</w:t>
      </w:r>
    </w:p>
    <w:p>
      <w:r>
        <w:rPr>
          <w:b/>
        </w:rPr>
        <w:t xml:space="preserve">21 </w:t>
      </w:r>
      <w:r>
        <w:t xml:space="preserve">His force, the ones counted, was thirty-two thousand two hundred.</w:t>
      </w:r>
    </w:p>
    <w:p>
      <w:r>
        <w:rPr>
          <w:b/>
        </w:rPr>
        <w:t xml:space="preserve">22 </w:t>
      </w:r>
      <w:r>
        <w:t xml:space="preserve">And those camping next shall be the tribe of Benjamin. And the chief of the sons of Benjamin shall be Abidan</w:t>
      </w:r>
      <w:r>
        <w:rPr>
          <w:rStyle w:val="FootnoteReference"/>
        </w:rPr>
        <w:footnoteReference w:id="2513"/>
      </w:r>
      <w:r>
        <w:t xml:space="preserve"> son of Gideoni.</w:t>
      </w:r>
    </w:p>
    <w:p>
      <w:r>
        <w:rPr>
          <w:b/>
        </w:rPr>
        <w:t xml:space="preserve">23 </w:t>
      </w:r>
      <w:r>
        <w:t xml:space="preserve">His force, the ones counted, was thirty-five thousand four hundred.</w:t>
      </w:r>
    </w:p>
    <w:p>
      <w:r>
        <w:rPr>
          <w:b/>
        </w:rPr>
        <w:t xml:space="preserve">24 </w:t>
      </w:r>
      <w:r>
        <w:t xml:space="preserve">All those counted of the camp of Ephraim were a hundred eight thousand one hundred, with their strength. They shall set out third.</w:t>
      </w:r>
    </w:p>
    <w:p>
      <w:r>
        <w:rPr>
          <w:b/>
        </w:rPr>
        <w:t xml:space="preserve">25 </w:t>
      </w:r>
      <w:r>
        <w:t xml:space="preserve">The order of the camp of Dan shall be to the north, with their strength. And the chief of the sons of Dan shall be Ahiezer</w:t>
      </w:r>
      <w:r>
        <w:rPr>
          <w:rStyle w:val="FootnoteReference"/>
        </w:rPr>
        <w:footnoteReference w:id="2514"/>
      </w:r>
      <w:r>
        <w:t xml:space="preserve"> son of Ammishaddai.</w:t>
      </w:r>
    </w:p>
    <w:p>
      <w:r>
        <w:rPr>
          <w:b/>
        </w:rPr>
        <w:t xml:space="preserve">26 </w:t>
      </w:r>
      <w:r>
        <w:t xml:space="preserve">His force, the ones counted, was sixty-two thousand seven hundred.</w:t>
      </w:r>
    </w:p>
    <w:p>
      <w:r>
        <w:rPr>
          <w:b/>
        </w:rPr>
        <w:t xml:space="preserve">27 </w:t>
      </w:r>
      <w:r>
        <w:t xml:space="preserve">And those camping next to him shall be the tribe of Asher. And the chief of the sons of Asher shall be Pagiel</w:t>
      </w:r>
      <w:r>
        <w:rPr>
          <w:rStyle w:val="FootnoteReference"/>
        </w:rPr>
        <w:footnoteReference w:id="2515"/>
      </w:r>
      <w:r>
        <w:t xml:space="preserve"> son of Ocran.</w:t>
      </w:r>
    </w:p>
    <w:p>
      <w:r>
        <w:rPr>
          <w:b/>
        </w:rPr>
        <w:t xml:space="preserve">28 </w:t>
      </w:r>
      <w:r>
        <w:t xml:space="preserve">His force, the ones counted, was forty</w:t>
      </w:r>
      <w:r>
        <w:rPr>
          <w:rStyle w:val="FootnoteReference"/>
        </w:rPr>
        <w:footnoteReference w:id="2516"/>
      </w:r>
      <w:r>
        <w:t xml:space="preserve">-one thousand five hundred.</w:t>
      </w:r>
    </w:p>
    <w:p>
      <w:r>
        <w:rPr>
          <w:b/>
        </w:rPr>
        <w:t xml:space="preserve">29 </w:t>
      </w:r>
      <w:r>
        <w:t xml:space="preserve">And those camping next shall be the tribe</w:t>
      </w:r>
      <w:r>
        <w:rPr>
          <w:rStyle w:val="FootnoteReference"/>
        </w:rPr>
        <w:footnoteReference w:id="2517"/>
      </w:r>
      <w:r>
        <w:t xml:space="preserve"> of Naphtali. And the chief of the sons of Naphtali shall be Ahira son of Enan.</w:t>
      </w:r>
    </w:p>
    <w:p>
      <w:r>
        <w:rPr>
          <w:b/>
        </w:rPr>
        <w:t xml:space="preserve">30 </w:t>
      </w:r>
      <w:r>
        <w:t xml:space="preserve">His force, the ones counted, was fifty-three thousand four hundred.</w:t>
      </w:r>
    </w:p>
    <w:p>
      <w:r>
        <w:rPr>
          <w:b/>
        </w:rPr>
        <w:t xml:space="preserve">31 </w:t>
      </w:r>
      <w:r>
        <w:t xml:space="preserve">All those counted of the camp of Dan were a hundred fifty-seven thousand six hundred. They shall set out last according to their order.</w:t>
      </w:r>
    </w:p>
    <w:p>
      <w:r>
        <w:rPr>
          <w:b/>
        </w:rPr>
        <w:t xml:space="preserve">32 </w:t>
      </w:r>
      <w:r>
        <w:t xml:space="preserve">This was the counting of the sons of Israel by the houses of their fathers. The whole counting of the camps, with their strength, was six hundred three thousand five hundred fifty.</w:t>
      </w:r>
    </w:p>
    <w:p>
      <w:r>
        <w:rPr>
          <w:b/>
        </w:rPr>
        <w:t xml:space="preserve">33 </w:t>
      </w:r>
      <w:r>
        <w:t xml:space="preserve">But the Levites were not counted among them, just as the Lord commanded Moses.</w:t>
      </w:r>
    </w:p>
    <w:p>
      <w:r>
        <w:rPr>
          <w:b/>
        </w:rPr>
        <w:t xml:space="preserve">34 </w:t>
      </w:r>
      <w:r>
        <w:t xml:space="preserve">And the sons of Israel did according to all that the Lord commanded Moses. So they</w:t>
      </w:r>
      <w:r>
        <w:rPr>
          <w:rStyle w:val="FootnoteReference"/>
        </w:rPr>
        <w:footnoteReference w:id="2518"/>
      </w:r>
      <w:r>
        <w:t xml:space="preserve"> camped by their order, and so they set out, each one next by their clans, by the houses of their fathers.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these are the generations</w:t>
      </w:r>
      <w:r>
        <w:rPr>
          <w:rStyle w:val="FootnoteReference"/>
        </w:rPr>
        <w:footnoteReference w:id="2519"/>
      </w:r>
      <w:r>
        <w:t xml:space="preserve"> of Aaron and Moses on the day when the Lord spoke to Moses on Mount Sinai.</w:t>
      </w:r>
    </w:p>
    <w:p>
      <w:r>
        <w:rPr>
          <w:b/>
        </w:rPr>
        <w:t xml:space="preserve">2 </w:t>
      </w:r>
      <w:r>
        <w:t xml:space="preserve">And these are the names of the sons of Aaron: Nadab the firstborn, and Abihu, Eleazar, and Ithamar.</w:t>
      </w:r>
      <w:r>
        <w:rPr>
          <w:rStyle w:val="FootnoteReference"/>
        </w:rPr>
        <w:footnoteReference w:id="2520"/>
      </w:r>
    </w:p>
    <w:p>
      <w:r>
        <w:rPr>
          <w:b/>
        </w:rPr>
        <w:t xml:space="preserve">3 </w:t>
      </w:r>
      <w:r>
        <w:t xml:space="preserve">These are the names of the sons of Aaron, the priests</w:t>
      </w:r>
      <w:r>
        <w:rPr>
          <w:rStyle w:val="FootnoteReference"/>
        </w:rPr>
        <w:footnoteReference w:id="2521"/>
      </w:r>
      <w:r>
        <w:t xml:space="preserve">, the anointed ones whose hands were consecrated to serve as priests.</w:t>
      </w:r>
    </w:p>
    <w:p>
      <w:r>
        <w:rPr>
          <w:b/>
        </w:rPr>
        <w:t xml:space="preserve">4 </w:t>
      </w:r>
      <w:r>
        <w:t xml:space="preserve">And Nadab</w:t>
      </w:r>
      <w:r>
        <w:rPr>
          <w:rStyle w:val="FootnoteReference"/>
        </w:rPr>
        <w:footnoteReference w:id="2522"/>
      </w:r>
      <w:r>
        <w:t xml:space="preserve"> and Abihu died before the Lord when they offered strange fire before the Lord in the wilderness of Sinai, and they had no children. And Eleazar and Ithamar served as priests with Aaron their father.</w:t>
      </w:r>
    </w:p>
    <w:p>
      <w:r>
        <w:rPr>
          <w:b/>
        </w:rPr>
        <w:t xml:space="preserve">5 </w:t>
      </w:r>
      <w:r>
        <w:t xml:space="preserve">And the Lord spoke to Moses, saying,</w:t>
      </w:r>
    </w:p>
    <w:p>
      <w:r>
        <w:rPr>
          <w:b/>
        </w:rPr>
        <w:t xml:space="preserve">6 </w:t>
      </w:r>
      <w:r>
        <w:t xml:space="preserve">Take the tribe of Levi and set them before Aaron the priest, and they shall minister to him.</w:t>
      </w:r>
    </w:p>
    <w:p>
      <w:r>
        <w:rPr>
          <w:b/>
        </w:rPr>
        <w:t xml:space="preserve">7 </w:t>
      </w:r>
      <w:r>
        <w:t xml:space="preserve">And they shall keep</w:t>
      </w:r>
      <w:r>
        <w:rPr>
          <w:rStyle w:val="FootnoteReference"/>
        </w:rPr>
        <w:footnoteReference w:id="2523"/>
      </w:r>
      <w:r>
        <w:t xml:space="preserve"> his charges and the charges of the sons of Israel before the tent of testimony, to do the works of the tent.</w:t>
      </w:r>
    </w:p>
    <w:p>
      <w:r>
        <w:rPr>
          <w:b/>
        </w:rPr>
        <w:t xml:space="preserve">8 </w:t>
      </w:r>
      <w:r>
        <w:t xml:space="preserve">And they shall keep all the furnishings of the tent of testimony and the charges of the sons of Israel according to all the works of the tent.</w:t>
      </w:r>
    </w:p>
    <w:p>
      <w:r>
        <w:rPr>
          <w:b/>
        </w:rPr>
        <w:t xml:space="preserve">9 </w:t>
      </w:r>
      <w:r>
        <w:t xml:space="preserve">And you shall give the Levites to Aaron and to his sons the priests. Given as a gift, these are mine from the sons of Israel.</w:t>
      </w:r>
    </w:p>
    <w:p>
      <w:r>
        <w:rPr>
          <w:b/>
        </w:rPr>
        <w:t xml:space="preserve">10 </w:t>
      </w:r>
      <w:r>
        <w:t xml:space="preserve">And you shall appoint Aaron and his sons over the tent of testimony, and they shall keep their priesthood and all things concerning the altar and inside the veil. And the stranger</w:t>
      </w:r>
      <w:r>
        <w:rPr>
          <w:rStyle w:val="FootnoteReference"/>
        </w:rPr>
        <w:footnoteReference w:id="2524"/>
      </w:r>
      <w:r>
        <w:t xml:space="preserve"> who touches shall die.</w:t>
      </w:r>
    </w:p>
    <w:p>
      <w:r>
        <w:rPr>
          <w:b/>
        </w:rPr>
        <w:t xml:space="preserve">11 </w:t>
      </w:r>
      <w:r>
        <w:t xml:space="preserve">And the Lord spoke to Moses, saying,</w:t>
      </w:r>
    </w:p>
    <w:p>
      <w:r>
        <w:rPr>
          <w:b/>
        </w:rPr>
        <w:t xml:space="preserve">12 </w:t>
      </w:r>
      <w:r>
        <w:t xml:space="preserve">And I, behold, have taken the Levites from the midst of the sons of Israel instead of every firstborn opening a womb among the sons of Israel. They shall be their ransom, and the Levites shall be mine.</w:t>
      </w:r>
    </w:p>
    <w:p>
      <w:r>
        <w:rPr>
          <w:b/>
        </w:rPr>
        <w:t xml:space="preserve">13 </w:t>
      </w:r>
      <w:r>
        <w:t xml:space="preserve">For every firstborn is mine. On the day</w:t>
      </w:r>
      <w:r>
        <w:rPr>
          <w:rStyle w:val="FootnoteReference"/>
        </w:rPr>
        <w:footnoteReference w:id="2525"/>
      </w:r>
      <w:r>
        <w:t xml:space="preserve"> I struck every firstborn in the land of Egypt, I sanctified to myself</w:t>
      </w:r>
      <w:r>
        <w:rPr>
          <w:rStyle w:val="FootnoteReference"/>
        </w:rPr>
        <w:footnoteReference w:id="2526"/>
      </w:r>
      <w:r>
        <w:t xml:space="preserve"> every firstborn in Israel, from human to beast. They shall be mine. I am the Lord.</w:t>
      </w:r>
    </w:p>
    <w:p>
      <w:r>
        <w:rPr>
          <w:b/>
        </w:rPr>
        <w:t xml:space="preserve">14 </w:t>
      </w:r>
      <w:r>
        <w:t xml:space="preserve">And the Lord spoke to Moses in the wilderness of Sinai, saying,</w:t>
      </w:r>
    </w:p>
    <w:p>
      <w:r>
        <w:rPr>
          <w:b/>
        </w:rPr>
        <w:t xml:space="preserve">15 </w:t>
      </w:r>
      <w:r>
        <w:t xml:space="preserve">Count the sons of Levi by the houses of their fathers, by their clans, by their families. Every male from a month old and upward you shall count.</w:t>
      </w:r>
      <w:r>
        <w:rPr>
          <w:rStyle w:val="FootnoteReference"/>
        </w:rPr>
        <w:footnoteReference w:id="2527"/>
      </w:r>
    </w:p>
    <w:p>
      <w:r>
        <w:rPr>
          <w:b/>
        </w:rPr>
        <w:t xml:space="preserve">16 </w:t>
      </w:r>
      <w:r>
        <w:t xml:space="preserve">And Moses and Aaron counted them by the word</w:t>
      </w:r>
      <w:r>
        <w:rPr>
          <w:rStyle w:val="FootnoteReference"/>
        </w:rPr>
        <w:footnoteReference w:id="2528"/>
      </w:r>
      <w:r>
        <w:t xml:space="preserve"> of the Lord, just as the Lord commanded them.</w:t>
      </w:r>
    </w:p>
    <w:p>
      <w:r>
        <w:rPr>
          <w:b/>
        </w:rPr>
        <w:t xml:space="preserve">17 </w:t>
      </w:r>
      <w:r>
        <w:t xml:space="preserve">And these were the sons of Levi by their names: Gershon</w:t>
      </w:r>
      <w:r>
        <w:rPr>
          <w:rStyle w:val="FootnoteReference"/>
        </w:rPr>
        <w:footnoteReference w:id="2529"/>
      </w:r>
      <w:r>
        <w:t xml:space="preserve">, Kohath, and Merari.</w:t>
      </w:r>
    </w:p>
    <w:p>
      <w:r>
        <w:rPr>
          <w:b/>
        </w:rPr>
        <w:t xml:space="preserve">18 </w:t>
      </w:r>
      <w:r>
        <w:t xml:space="preserve">And these are the names of the sons of Gershon by their clans: Libni and Shimei</w:t>
      </w:r>
      <w:r>
        <w:rPr>
          <w:rStyle w:val="FootnoteReference"/>
        </w:rPr>
        <w:footnoteReference w:id="2530"/>
      </w:r>
      <w:r>
        <w:t xml:space="preserve">.</w:t>
      </w:r>
    </w:p>
    <w:p>
      <w:r>
        <w:rPr>
          <w:b/>
        </w:rPr>
        <w:t xml:space="preserve">19 </w:t>
      </w:r>
      <w:r>
        <w:t xml:space="preserve">And the sons of Kohath by their clans: Amram and Izehar</w:t>
      </w:r>
      <w:r>
        <w:rPr>
          <w:rStyle w:val="FootnoteReference"/>
        </w:rPr>
        <w:footnoteReference w:id="2531"/>
      </w:r>
      <w:r>
        <w:t xml:space="preserve">, Hebron and Uzziel.</w:t>
      </w:r>
    </w:p>
    <w:p>
      <w:r>
        <w:rPr>
          <w:b/>
        </w:rPr>
        <w:t xml:space="preserve">20 </w:t>
      </w:r>
      <w:r>
        <w:t xml:space="preserve">And the sons of Merari by their clans: Mahali and Mushi. These are the clans of the Levites by the houses of their fathers.</w:t>
      </w:r>
    </w:p>
    <w:p>
      <w:r>
        <w:rPr>
          <w:b/>
        </w:rPr>
        <w:t xml:space="preserve">21 </w:t>
      </w:r>
      <w:r>
        <w:t xml:space="preserve">To Gershon belonged the clan of Libni and the clan of Shimei. These are the clans of Gershon.</w:t>
      </w:r>
    </w:p>
    <w:p>
      <w:r>
        <w:rPr>
          <w:b/>
        </w:rPr>
        <w:t xml:space="preserve">22 </w:t>
      </w:r>
      <w:r>
        <w:t xml:space="preserve">Their counting, by the number of every male from a month old</w:t>
      </w:r>
      <w:r>
        <w:rPr>
          <w:rStyle w:val="FootnoteReference"/>
        </w:rPr>
        <w:footnoteReference w:id="2532"/>
      </w:r>
      <w:r>
        <w:t xml:space="preserve"> and upward, was seven thousand five hundred.</w:t>
      </w:r>
    </w:p>
    <w:p>
      <w:r>
        <w:rPr>
          <w:b/>
        </w:rPr>
        <w:t xml:space="preserve">23 </w:t>
      </w:r>
      <w:r>
        <w:t xml:space="preserve">The sons of Gershon shall camp behind the tent, by the sea.</w:t>
      </w:r>
    </w:p>
    <w:p>
      <w:r>
        <w:rPr>
          <w:b/>
        </w:rPr>
        <w:t xml:space="preserve">24 </w:t>
      </w:r>
      <w:r>
        <w:t xml:space="preserve">And the chief of the fathers' house</w:t>
      </w:r>
      <w:r>
        <w:rPr>
          <w:rStyle w:val="FootnoteReference"/>
        </w:rPr>
        <w:footnoteReference w:id="2533"/>
      </w:r>
      <w:r>
        <w:t xml:space="preserve"> of the clan of Gershon was Eliasaph son of Lael</w:t>
      </w:r>
      <w:r>
        <w:rPr>
          <w:rStyle w:val="FootnoteReference"/>
        </w:rPr>
        <w:footnoteReference w:id="2534"/>
      </w:r>
      <w:r>
        <w:t xml:space="preserve">.</w:t>
      </w:r>
      <w:r>
        <w:rPr>
          <w:rStyle w:val="FootnoteReference"/>
        </w:rPr>
        <w:footnoteReference w:id="2535"/>
      </w:r>
    </w:p>
    <w:p>
      <w:r>
        <w:rPr>
          <w:b/>
        </w:rPr>
        <w:t xml:space="preserve">25 </w:t>
      </w:r>
      <w:r>
        <w:t xml:space="preserve">And the charge</w:t>
      </w:r>
      <w:r>
        <w:rPr>
          <w:rStyle w:val="FootnoteReference"/>
        </w:rPr>
        <w:footnoteReference w:id="2536"/>
      </w:r>
      <w:r>
        <w:t xml:space="preserve"> of the sons of Gershon in the tent of testimony was the tent and the covering and the screen of the door of the tent of testimony,</w:t>
      </w:r>
    </w:p>
    <w:p>
      <w:r>
        <w:rPr>
          <w:b/>
        </w:rPr>
        <w:t xml:space="preserve">26 </w:t>
      </w:r>
      <w:r>
        <w:t xml:space="preserve">and the curtains of the court and the screen of the gate of the court that is by the tent, and the rest of all its works.</w:t>
      </w:r>
    </w:p>
    <w:p>
      <w:r>
        <w:rPr>
          <w:b/>
        </w:rPr>
        <w:t xml:space="preserve">27 </w:t>
      </w:r>
      <w:r>
        <w:t xml:space="preserve">To Kohath belonged the clan of the Amramites</w:t>
      </w:r>
      <w:r>
        <w:rPr>
          <w:rStyle w:val="FootnoteReference"/>
        </w:rPr>
        <w:footnoteReference w:id="2537"/>
      </w:r>
      <w:r>
        <w:t xml:space="preserve"> and the clan of the Issaharites and the clan of the Hebronites</w:t>
      </w:r>
      <w:r>
        <w:rPr>
          <w:rStyle w:val="FootnoteReference"/>
        </w:rPr>
        <w:footnoteReference w:id="2538"/>
      </w:r>
      <w:r>
        <w:t xml:space="preserve"> and the clan of the Uzzielites</w:t>
      </w:r>
      <w:r>
        <w:rPr>
          <w:rStyle w:val="FootnoteReference"/>
        </w:rPr>
        <w:footnoteReference w:id="2539"/>
      </w:r>
      <w:r>
        <w:t xml:space="preserve">. These are the clans of Kohath.</w:t>
      </w:r>
      <w:r>
        <w:rPr>
          <w:rStyle w:val="FootnoteReference"/>
        </w:rPr>
        <w:footnoteReference w:id="2540"/>
      </w:r>
    </w:p>
    <w:p>
      <w:r>
        <w:rPr>
          <w:b/>
        </w:rPr>
        <w:t xml:space="preserve">28 </w:t>
      </w:r>
      <w:r>
        <w:t xml:space="preserve">By the number of every male from a month old and upward, there were eight thousand</w:t>
      </w:r>
      <w:r>
        <w:rPr>
          <w:rStyle w:val="FootnoteReference"/>
        </w:rPr>
        <w:footnoteReference w:id="2541"/>
      </w:r>
      <w:r>
        <w:t xml:space="preserve"> six hundred, keeping the charges of the holy things.</w:t>
      </w:r>
    </w:p>
    <w:p>
      <w:r>
        <w:rPr>
          <w:b/>
        </w:rPr>
        <w:t xml:space="preserve">29 </w:t>
      </w:r>
      <w:r>
        <w:t xml:space="preserve">The clans of the sons of Kohath shall camp at the sides of the tent, toward the south.</w:t>
      </w:r>
    </w:p>
    <w:p>
      <w:r>
        <w:rPr>
          <w:b/>
        </w:rPr>
        <w:t xml:space="preserve">30 </w:t>
      </w:r>
      <w:r>
        <w:t xml:space="preserve">And the chief of the fathers' house of the clans of Kohath was Elzaphan son of Uzziel.</w:t>
      </w:r>
    </w:p>
    <w:p>
      <w:r>
        <w:rPr>
          <w:b/>
        </w:rPr>
        <w:t xml:space="preserve">31 </w:t>
      </w:r>
      <w:r>
        <w:t xml:space="preserve">And their charge was the ark</w:t>
      </w:r>
      <w:r>
        <w:rPr>
          <w:rStyle w:val="FootnoteReference"/>
        </w:rPr>
        <w:footnoteReference w:id="2542"/>
      </w:r>
      <w:r>
        <w:t xml:space="preserve"> and the table and the lampstand and the altars and the vessels of the sanctuary with which they minister and the covering and all their works.</w:t>
      </w:r>
    </w:p>
    <w:p>
      <w:r>
        <w:rPr>
          <w:b/>
        </w:rPr>
        <w:t xml:space="preserve">32 </w:t>
      </w:r>
      <w:r>
        <w:t xml:space="preserve">And the chief over the chiefs of the Levites was Eleazar the son of Aaron the priest, appointed to keep the charges of the holy things.</w:t>
      </w:r>
    </w:p>
    <w:p>
      <w:r>
        <w:rPr>
          <w:b/>
        </w:rPr>
        <w:t xml:space="preserve">33 </w:t>
      </w:r>
      <w:r>
        <w:t xml:space="preserve">To Merari belonged the clan of the Moolites and the clan of the Mushites</w:t>
      </w:r>
      <w:r>
        <w:rPr>
          <w:rStyle w:val="FootnoteReference"/>
        </w:rPr>
        <w:footnoteReference w:id="2543"/>
      </w:r>
      <w:r>
        <w:t xml:space="preserve">. These are the clans of Merari.</w:t>
      </w:r>
    </w:p>
    <w:p>
      <w:r>
        <w:rPr>
          <w:b/>
        </w:rPr>
        <w:t xml:space="preserve">34 </w:t>
      </w:r>
      <w:r>
        <w:t xml:space="preserve">Their counting, by the number of every male from a month old and upward, was six thousand fifty.</w:t>
      </w:r>
    </w:p>
    <w:p>
      <w:r>
        <w:rPr>
          <w:b/>
        </w:rPr>
        <w:t xml:space="preserve">35 </w:t>
      </w:r>
      <w:r>
        <w:t xml:space="preserve">And the chief of the fathers' house of the clan of Merari was Zuriel</w:t>
      </w:r>
      <w:r>
        <w:rPr>
          <w:rStyle w:val="FootnoteReference"/>
        </w:rPr>
        <w:footnoteReference w:id="2544"/>
      </w:r>
      <w:r>
        <w:t xml:space="preserve"> son of Abihail</w:t>
      </w:r>
      <w:r>
        <w:rPr>
          <w:rStyle w:val="FootnoteReference"/>
        </w:rPr>
        <w:footnoteReference w:id="2545"/>
      </w:r>
      <w:r>
        <w:t xml:space="preserve">. They shall camp at the sides of the tent, toward the north.</w:t>
      </w:r>
    </w:p>
    <w:p>
      <w:r>
        <w:rPr>
          <w:b/>
        </w:rPr>
        <w:t xml:space="preserve">36 </w:t>
      </w:r>
      <w:r>
        <w:t xml:space="preserve">And the charge of the sons of Merari was the frames of the tent and its bars and its pillars and its bases and all their furnishings and all their works,</w:t>
      </w:r>
      <w:r>
        <w:rPr>
          <w:rStyle w:val="FootnoteReference"/>
        </w:rPr>
        <w:footnoteReference w:id="2546"/>
      </w:r>
    </w:p>
    <w:p>
      <w:r>
        <w:rPr>
          <w:b/>
        </w:rPr>
        <w:t xml:space="preserve">37 </w:t>
      </w:r>
      <w:r>
        <w:t xml:space="preserve">and the pillars of the court all around and their bases and their pegs and their cords.</w:t>
      </w:r>
    </w:p>
    <w:p>
      <w:r>
        <w:rPr>
          <w:b/>
        </w:rPr>
        <w:t xml:space="preserve">38 </w:t>
      </w:r>
      <w:r>
        <w:t xml:space="preserve">And those camping before the tent of testimony on the east were Moses and Aaron and his sons, keeping</w:t>
      </w:r>
      <w:r>
        <w:rPr>
          <w:rStyle w:val="FootnoteReference"/>
        </w:rPr>
        <w:footnoteReference w:id="2547"/>
      </w:r>
      <w:r>
        <w:t xml:space="preserve"> the charges of the sanctuary for the charges of the sons of Israel</w:t>
      </w:r>
      <w:r>
        <w:rPr>
          <w:rStyle w:val="FootnoteReference"/>
        </w:rPr>
        <w:footnoteReference w:id="2548"/>
      </w:r>
      <w:r>
        <w:t xml:space="preserve">. And the stranger who touches shall die.</w:t>
      </w:r>
    </w:p>
    <w:p>
      <w:r>
        <w:rPr>
          <w:b/>
        </w:rPr>
        <w:t xml:space="preserve">39 </w:t>
      </w:r>
      <w:r>
        <w:t xml:space="preserve">All the counting of the Levites whom Moses and Aaron</w:t>
      </w:r>
      <w:r>
        <w:rPr>
          <w:rStyle w:val="FootnoteReference"/>
        </w:rPr>
        <w:footnoteReference w:id="2549"/>
      </w:r>
      <w:r>
        <w:t xml:space="preserve"> counted by the word of the Lord, by their clans, every male from a month old and upward, was twenty-two thousand.</w:t>
      </w:r>
    </w:p>
    <w:p>
      <w:r>
        <w:rPr>
          <w:b/>
        </w:rPr>
        <w:t xml:space="preserve">40 </w:t>
      </w:r>
      <w:r>
        <w:t xml:space="preserve">And the Lord said to Moses, saying, Count every firstborn male of the sons of Israel from a month old and upward, and take the number by name.</w:t>
      </w:r>
    </w:p>
    <w:p>
      <w:r>
        <w:rPr>
          <w:b/>
        </w:rPr>
        <w:t xml:space="preserve">41 </w:t>
      </w:r>
      <w:r>
        <w:t xml:space="preserve">And you shall take the Levites for me, I am the Lord, in place of all the firstborn of the sons of Israel, and the cattle of the Levites in place of all the firstborn among the cattle of the sons of Israel.</w:t>
      </w:r>
    </w:p>
    <w:p>
      <w:r>
        <w:rPr>
          <w:b/>
        </w:rPr>
        <w:t xml:space="preserve">42 </w:t>
      </w:r>
      <w:r>
        <w:t xml:space="preserve">And Moses counted, just as the Lord commanded, every firstborn among the sons of Israel.</w:t>
      </w:r>
    </w:p>
    <w:p>
      <w:r>
        <w:rPr>
          <w:b/>
        </w:rPr>
        <w:t xml:space="preserve">43 </w:t>
      </w:r>
      <w:r>
        <w:t xml:space="preserve">And all the firstborn males by the number of names, from a month old and upward, from their counting, were twenty-two thousand two hundred seventy-three.</w:t>
      </w:r>
    </w:p>
    <w:p>
      <w:r>
        <w:rPr>
          <w:b/>
        </w:rPr>
        <w:t xml:space="preserve">44 </w:t>
      </w:r>
      <w:r>
        <w:t xml:space="preserve">And the Lord spoke to Moses, saying,</w:t>
      </w:r>
    </w:p>
    <w:p>
      <w:r>
        <w:rPr>
          <w:b/>
        </w:rPr>
        <w:t xml:space="preserve">45 </w:t>
      </w:r>
      <w:r>
        <w:t xml:space="preserve">Take the Levites in place of all the firstborn of the sons of Israel and the cattle of the Levites in place of their cattle, and the Levites shall be mine. I am the Lord.</w:t>
      </w:r>
    </w:p>
    <w:p>
      <w:r>
        <w:rPr>
          <w:b/>
        </w:rPr>
        <w:t xml:space="preserve">46 </w:t>
      </w:r>
      <w:r>
        <w:t xml:space="preserve">And for the ransom of the two hundred</w:t>
      </w:r>
      <w:r>
        <w:rPr>
          <w:rStyle w:val="FootnoteReference"/>
        </w:rPr>
        <w:footnoteReference w:id="2550"/>
      </w:r>
      <w:r>
        <w:t xml:space="preserve"> seventy-three who exceed the Levites from the firstborn of the sons of Israel,</w:t>
      </w:r>
    </w:p>
    <w:p>
      <w:r>
        <w:rPr>
          <w:b/>
        </w:rPr>
        <w:t xml:space="preserve">47 </w:t>
      </w:r>
      <w:r>
        <w:t xml:space="preserve">you shall take five shekels</w:t>
      </w:r>
      <w:r>
        <w:rPr>
          <w:rStyle w:val="FootnoteReference"/>
        </w:rPr>
        <w:footnoteReference w:id="2551"/>
      </w:r>
      <w:r>
        <w:t xml:space="preserve"> per head, by the holy didrachm; you shall take twenty obols to the shekel.</w:t>
      </w:r>
    </w:p>
    <w:p>
      <w:r>
        <w:rPr>
          <w:b/>
        </w:rPr>
        <w:t xml:space="preserve">48 </w:t>
      </w:r>
      <w:r>
        <w:t xml:space="preserve">And you shall give the silver to Aaron and to his sons as the ransom of those exceeding among them.</w:t>
      </w:r>
    </w:p>
    <w:p>
      <w:r>
        <w:rPr>
          <w:b/>
        </w:rPr>
        <w:t xml:space="preserve">49 </w:t>
      </w:r>
      <w:r>
        <w:t xml:space="preserve">And Moses took the silver of ransom from those who exceeded in redemption beyond the Levites.</w:t>
      </w:r>
    </w:p>
    <w:p>
      <w:r>
        <w:rPr>
          <w:b/>
        </w:rPr>
        <w:t xml:space="preserve">50 </w:t>
      </w:r>
      <w:r>
        <w:t xml:space="preserve">From the firstborn of the sons of Israel he took the silver: one thousand three hundred sixty-five shekels by the holy shekel.</w:t>
      </w:r>
    </w:p>
    <w:p>
      <w:r>
        <w:rPr>
          <w:b/>
        </w:rPr>
        <w:t xml:space="preserve">51 </w:t>
      </w:r>
      <w:r>
        <w:t xml:space="preserve">And Moses</w:t>
      </w:r>
      <w:r>
        <w:rPr>
          <w:rStyle w:val="FootnoteReference"/>
        </w:rPr>
        <w:footnoteReference w:id="2552"/>
      </w:r>
      <w:r>
        <w:t xml:space="preserve"> gave the silver for the ransom of those exceeding to Aaron and to his sons by the word of the Lord, just as the Lord commanded Moses.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the Lord spoke to Moses and Aaron, saying,</w:t>
      </w:r>
    </w:p>
    <w:p>
      <w:r>
        <w:rPr>
          <w:b/>
        </w:rPr>
        <w:t xml:space="preserve">2 </w:t>
      </w:r>
      <w:r>
        <w:t xml:space="preserve">Take the headcount of the sons of Kohath</w:t>
      </w:r>
      <w:r>
        <w:rPr>
          <w:rStyle w:val="FootnoteReference"/>
        </w:rPr>
        <w:footnoteReference w:id="2553"/>
      </w:r>
      <w:r>
        <w:t xml:space="preserve"> from among the sons of Levi, by their clans, by the houses of their fathers,</w:t>
      </w:r>
    </w:p>
    <w:p>
      <w:r>
        <w:rPr>
          <w:b/>
        </w:rPr>
        <w:t xml:space="preserve">3 </w:t>
      </w:r>
      <w:r>
        <w:t xml:space="preserve">from twenty-five years old and upward to fifty years old, every one entering to minister, to do</w:t>
      </w:r>
      <w:r>
        <w:rPr>
          <w:rStyle w:val="FootnoteReference"/>
        </w:rPr>
        <w:footnoteReference w:id="2554"/>
      </w:r>
      <w:r>
        <w:t xml:space="preserve"> all the works in the tent of testimony.</w:t>
      </w:r>
    </w:p>
    <w:p>
      <w:r>
        <w:rPr>
          <w:b/>
        </w:rPr>
        <w:t xml:space="preserve">4 </w:t>
      </w:r>
      <w:r>
        <w:t xml:space="preserve">And these are the works of the sons of Kohath in the tent of testimony: the holy of holies.</w:t>
      </w:r>
    </w:p>
    <w:p>
      <w:r>
        <w:rPr>
          <w:b/>
        </w:rPr>
        <w:t xml:space="preserve">5 </w:t>
      </w:r>
      <w:r>
        <w:t xml:space="preserve">And Aaron and his sons shall go in when the camp is taken up, and they shall take down the screening veil and with it cover the ark of testimony.</w:t>
      </w:r>
    </w:p>
    <w:p>
      <w:r>
        <w:rPr>
          <w:b/>
        </w:rPr>
        <w:t xml:space="preserve">6 </w:t>
      </w:r>
      <w:r>
        <w:t xml:space="preserve">And they shall put upon it a blue leather covering and spread over it an all-blue cloth above, and they shall put in its carrying poles.</w:t>
      </w:r>
    </w:p>
    <w:p>
      <w:r>
        <w:rPr>
          <w:b/>
        </w:rPr>
        <w:t xml:space="preserve">7 </w:t>
      </w:r>
      <w:r>
        <w:t xml:space="preserve">And upon the table</w:t>
      </w:r>
      <w:r>
        <w:rPr>
          <w:rStyle w:val="FootnoteReference"/>
        </w:rPr>
        <w:footnoteReference w:id="2555"/>
      </w:r>
      <w:r>
        <w:t xml:space="preserve"> set forth they shall spread a purple cloth, and they shall place upon it the dishes and the censers and the bowls and the libation vessels with which they pour. And the continual breads shall remain on it.</w:t>
      </w:r>
    </w:p>
    <w:p>
      <w:r>
        <w:rPr>
          <w:b/>
        </w:rPr>
        <w:t xml:space="preserve">8 </w:t>
      </w:r>
      <w:r>
        <w:t xml:space="preserve">And they shall spread over it a scarlet cloth and cover it with a blue leather covering and put through it the carrying poles.</w:t>
      </w:r>
    </w:p>
    <w:p>
      <w:r>
        <w:rPr>
          <w:b/>
        </w:rPr>
        <w:t xml:space="preserve">9 </w:t>
      </w:r>
      <w:r>
        <w:t xml:space="preserve">And they shall take a blue cloth and cover the lampstand that gives light and its lamps and its tongs and its snuffers and all its oil vessels by which they minister with them.</w:t>
      </w:r>
    </w:p>
    <w:p>
      <w:r>
        <w:rPr>
          <w:b/>
        </w:rPr>
        <w:t xml:space="preserve">10 </w:t>
      </w:r>
      <w:r>
        <w:t xml:space="preserve">And they shall place it and all its vessels into a blue leather covering and set it upon carrying poles.</w:t>
      </w:r>
    </w:p>
    <w:p>
      <w:r>
        <w:rPr>
          <w:b/>
        </w:rPr>
        <w:t xml:space="preserve">11 </w:t>
      </w:r>
      <w:r>
        <w:t xml:space="preserve">And upon the golden altar they shall spread a blue cloth and cover it with a blue leather covering and put through its poles.</w:t>
      </w:r>
    </w:p>
    <w:p>
      <w:r>
        <w:rPr>
          <w:b/>
        </w:rPr>
        <w:t xml:space="preserve">12 </w:t>
      </w:r>
      <w:r>
        <w:t xml:space="preserve">And they shall take all the service vessels with which they minister in the sanctuary and place them into a blue cloth and cover them with a blue leather covering and set them upon carrying poles</w:t>
      </w:r>
      <w:r>
        <w:rPr>
          <w:rStyle w:val="FootnoteReference"/>
        </w:rPr>
        <w:footnoteReference w:id="2556"/>
      </w:r>
      <w:r>
        <w:t xml:space="preserve">.</w:t>
      </w:r>
    </w:p>
    <w:p>
      <w:r>
        <w:rPr>
          <w:b/>
        </w:rPr>
        <w:t xml:space="preserve">13 </w:t>
      </w:r>
      <w:r>
        <w:t xml:space="preserve">And they shall place the cover-pan on the altar and spread over it a whole purple cloth.</w:t>
      </w:r>
    </w:p>
    <w:p>
      <w:r>
        <w:rPr>
          <w:b/>
        </w:rPr>
        <w:t xml:space="preserve">14 </w:t>
      </w:r>
      <w:r>
        <w:t xml:space="preserve">And they shall place upon it all the vessels with which they minister on it, the firepans and the flesh-hooks and the bowls and the cover-pan, all the vessels of the altar. And they shall spread over it a blue leather covering</w:t>
      </w:r>
      <w:r>
        <w:rPr>
          <w:rStyle w:val="FootnoteReference"/>
        </w:rPr>
        <w:footnoteReference w:id="2557"/>
      </w:r>
      <w:r>
        <w:t xml:space="preserve"> and put through its poles. And they shall take a purple cloth and cover the laver and its base and place them in a blue leather covering and set them upon carrying poles.</w:t>
      </w:r>
    </w:p>
    <w:p>
      <w:r>
        <w:rPr>
          <w:b/>
        </w:rPr>
        <w:t xml:space="preserve">15 </w:t>
      </w:r>
      <w:r>
        <w:t xml:space="preserve">And Aaron and his sons shall finish covering the holy things and all the holy vessels when the camp is taken up, and after these things</w:t>
      </w:r>
      <w:r>
        <w:rPr>
          <w:rStyle w:val="FootnoteReference"/>
        </w:rPr>
        <w:footnoteReference w:id="2558"/>
      </w:r>
      <w:r>
        <w:t xml:space="preserve"> the sons of Kohath shall go in to carry</w:t>
      </w:r>
      <w:r>
        <w:rPr>
          <w:rStyle w:val="FootnoteReference"/>
        </w:rPr>
        <w:footnoteReference w:id="2559"/>
      </w:r>
      <w:r>
        <w:t xml:space="preserve"> them. But they shall not touch the holy things, lest they die. These are the things the sons of Kohath shall carry in the tent of testimony.</w:t>
      </w:r>
    </w:p>
    <w:p>
      <w:r>
        <w:rPr>
          <w:b/>
        </w:rPr>
        <w:t xml:space="preserve">16 </w:t>
      </w:r>
      <w:r>
        <w:t xml:space="preserve">And the oversight</w:t>
      </w:r>
      <w:r>
        <w:rPr>
          <w:rStyle w:val="FootnoteReference"/>
        </w:rPr>
        <w:footnoteReference w:id="2560"/>
      </w:r>
      <w:r>
        <w:t xml:space="preserve"> of Eleazar son of Aaron the priest is the oil</w:t>
      </w:r>
      <w:r>
        <w:rPr>
          <w:rStyle w:val="FootnoteReference"/>
        </w:rPr>
        <w:footnoteReference w:id="2561"/>
      </w:r>
      <w:r>
        <w:t xml:space="preserve"> for the light and the compound incense and the daily sacrifice and the anointing oil, the oversight of the whole tent and everything in it, in the sanctuary and in all its works.</w:t>
      </w:r>
    </w:p>
    <w:p>
      <w:r>
        <w:rPr>
          <w:b/>
        </w:rPr>
        <w:t xml:space="preserve">17 </w:t>
      </w:r>
      <w:r>
        <w:t xml:space="preserve">And the Lord spoke to Moses and Aaron, saying,</w:t>
      </w:r>
    </w:p>
    <w:p>
      <w:r>
        <w:rPr>
          <w:b/>
        </w:rPr>
        <w:t xml:space="preserve">18 </w:t>
      </w:r>
      <w:r>
        <w:t xml:space="preserve">Do not destroy the clan of Kohath from among the Levites.</w:t>
      </w:r>
    </w:p>
    <w:p>
      <w:r>
        <w:rPr>
          <w:b/>
        </w:rPr>
        <w:t xml:space="preserve">19 </w:t>
      </w:r>
      <w:r>
        <w:t xml:space="preserve">Do this for them, and they shall live and not die when they approach the holy of holies: Aaron and his sons shall go in and appoint each of them to his task and to his burden.</w:t>
      </w:r>
    </w:p>
    <w:p>
      <w:r>
        <w:rPr>
          <w:b/>
        </w:rPr>
        <w:t xml:space="preserve">20 </w:t>
      </w:r>
      <w:r>
        <w:t xml:space="preserve">And they shall not go in to look suddenly upon the holy things</w:t>
      </w:r>
      <w:r>
        <w:rPr>
          <w:rStyle w:val="FootnoteReference"/>
        </w:rPr>
        <w:footnoteReference w:id="2562"/>
      </w:r>
      <w:r>
        <w:t xml:space="preserve"> and die.</w:t>
      </w:r>
    </w:p>
    <w:p>
      <w:r>
        <w:rPr>
          <w:b/>
        </w:rPr>
        <w:t xml:space="preserve">21 </w:t>
      </w:r>
      <w:r>
        <w:t xml:space="preserve">And the Lord spoke to Moses, saying,</w:t>
      </w:r>
    </w:p>
    <w:p>
      <w:r>
        <w:rPr>
          <w:b/>
        </w:rPr>
        <w:t xml:space="preserve">22 </w:t>
      </w:r>
      <w:r>
        <w:t xml:space="preserve">Take the headcount of the sons of Gershon</w:t>
      </w:r>
      <w:r>
        <w:rPr>
          <w:rStyle w:val="FootnoteReference"/>
        </w:rPr>
        <w:footnoteReference w:id="2563"/>
      </w:r>
      <w:r>
        <w:t xml:space="preserve">, these also, by the houses of their fathers, by their clans.</w:t>
      </w:r>
    </w:p>
    <w:p>
      <w:r>
        <w:rPr>
          <w:b/>
        </w:rPr>
        <w:t xml:space="preserve">23 </w:t>
      </w:r>
      <w:r>
        <w:t xml:space="preserve">From twenty-five years old and upward to fifty years old, count them, every one entering to minister and to do his works in the tent of testimony.</w:t>
      </w:r>
    </w:p>
    <w:p>
      <w:r>
        <w:rPr>
          <w:b/>
        </w:rPr>
        <w:t xml:space="preserve">24 </w:t>
      </w:r>
      <w:r>
        <w:t xml:space="preserve">This is the service of the clan of Gershon, to minister and to carry.</w:t>
      </w:r>
    </w:p>
    <w:p>
      <w:r>
        <w:rPr>
          <w:b/>
        </w:rPr>
        <w:t xml:space="preserve">25 </w:t>
      </w:r>
      <w:r>
        <w:t xml:space="preserve">And he shall carry the skins of the tent and the tent of testimony and its covering and the blue covering that is over it above</w:t>
      </w:r>
      <w:r>
        <w:rPr>
          <w:rStyle w:val="FootnoteReference"/>
        </w:rPr>
        <w:footnoteReference w:id="2564"/>
      </w:r>
      <w:r>
        <w:t xml:space="preserve"> and the screen of the door of the tent of testimony,</w:t>
      </w:r>
    </w:p>
    <w:p>
      <w:r>
        <w:rPr>
          <w:b/>
        </w:rPr>
        <w:t xml:space="preserve">26 </w:t>
      </w:r>
      <w:r>
        <w:t xml:space="preserve">and the curtains of the court that are by the tent of testimony and the extra pieces</w:t>
      </w:r>
      <w:r>
        <w:rPr>
          <w:rStyle w:val="FootnoteReference"/>
        </w:rPr>
        <w:footnoteReference w:id="2565"/>
      </w:r>
      <w:r>
        <w:t xml:space="preserve"> and all the service vessels with which they minister in them. They shall do all these things.</w:t>
      </w:r>
    </w:p>
    <w:p>
      <w:r>
        <w:rPr>
          <w:b/>
        </w:rPr>
        <w:t xml:space="preserve">27 </w:t>
      </w:r>
      <w:r>
        <w:t xml:space="preserve">At Aaron's command and at the command of his sons shall be all the service of the sons of Gershon in all their ministries and in all the things carried by them</w:t>
      </w:r>
      <w:r>
        <w:rPr>
          <w:rStyle w:val="FootnoteReference"/>
        </w:rPr>
        <w:footnoteReference w:id="2566"/>
      </w:r>
      <w:r>
        <w:t xml:space="preserve">. And you shall oversee for them by name all the things carried by them.</w:t>
      </w:r>
    </w:p>
    <w:p>
      <w:r>
        <w:rPr>
          <w:b/>
        </w:rPr>
        <w:t xml:space="preserve">28 </w:t>
      </w:r>
      <w:r>
        <w:t xml:space="preserve">This is the service of the sons of Gershon in the tent of testimony, and their charge is in the hand of Ithamar son of Aaron the priest.</w:t>
      </w:r>
    </w:p>
    <w:p>
      <w:r>
        <w:rPr>
          <w:b/>
        </w:rPr>
        <w:t xml:space="preserve">29 </w:t>
      </w:r>
      <w:r>
        <w:t xml:space="preserve">Count the sons of Merari by their clans, by the houses of their fathers.</w:t>
      </w:r>
    </w:p>
    <w:p>
      <w:r>
        <w:rPr>
          <w:b/>
        </w:rPr>
        <w:t xml:space="preserve">30 </w:t>
      </w:r>
      <w:r>
        <w:t xml:space="preserve">From twenty-five years old and upward to fifty years old, count them, every one entering to minister in the works of the tent of testimony.</w:t>
      </w:r>
    </w:p>
    <w:p>
      <w:r>
        <w:rPr>
          <w:b/>
        </w:rPr>
        <w:t xml:space="preserve">31 </w:t>
      </w:r>
      <w:r>
        <w:t xml:space="preserve">And these are the charges of the things carried by them according to all their works in the tent of testimony: the frames of the tent and its bars and its pillars and its bases and the screen and the bases of them and its pillars and the screen of the door of the tent,</w:t>
      </w:r>
      <w:r>
        <w:rPr>
          <w:rStyle w:val="FootnoteReference"/>
        </w:rPr>
        <w:footnoteReference w:id="2567"/>
      </w:r>
    </w:p>
    <w:p>
      <w:r>
        <w:rPr>
          <w:b/>
        </w:rPr>
        <w:t xml:space="preserve">32 </w:t>
      </w:r>
      <w:r>
        <w:t xml:space="preserve">and the pillars of the court all around and their bases and the pillars of the screen of the gate of the court and their bases and their pegs and their cords and all their furnishings and all their services. By name you shall count them and all the vessels of the charge of the things carried by them.</w:t>
      </w:r>
    </w:p>
    <w:p>
      <w:r>
        <w:rPr>
          <w:b/>
        </w:rPr>
        <w:t xml:space="preserve">33 </w:t>
      </w:r>
      <w:r>
        <w:t xml:space="preserve">This is the service of the clan of the sons of Merari in all their works in the tent of testimony, in the hand of Ithamar son of Aaron the priest.</w:t>
      </w:r>
    </w:p>
    <w:p>
      <w:r>
        <w:rPr>
          <w:b/>
        </w:rPr>
        <w:t xml:space="preserve">34 </w:t>
      </w:r>
      <w:r>
        <w:t xml:space="preserve">And Moses and Aaron and the chiefs of Israel counted the sons of Kohath by their clans, by the houses of their fathers,</w:t>
      </w:r>
    </w:p>
    <w:p>
      <w:r>
        <w:rPr>
          <w:b/>
        </w:rPr>
        <w:t xml:space="preserve">35 </w:t>
      </w:r>
      <w:r>
        <w:t xml:space="preserve">from twenty-five years old and upward to fifty years old, every one entering to minister and to work in the tent of testimony.</w:t>
      </w:r>
    </w:p>
    <w:p>
      <w:r>
        <w:rPr>
          <w:b/>
        </w:rPr>
        <w:t xml:space="preserve">36 </w:t>
      </w:r>
      <w:r>
        <w:t xml:space="preserve">And their counting by their clans was two thousand two hundred fifty.</w:t>
      </w:r>
    </w:p>
    <w:p>
      <w:r>
        <w:rPr>
          <w:b/>
        </w:rPr>
        <w:t xml:space="preserve">37 </w:t>
      </w:r>
      <w:r>
        <w:t xml:space="preserve">This was the counting of the clan</w:t>
      </w:r>
      <w:r>
        <w:rPr>
          <w:rStyle w:val="FootnoteReference"/>
        </w:rPr>
        <w:footnoteReference w:id="2568"/>
      </w:r>
      <w:r>
        <w:t xml:space="preserve"> of Kohath, every one ministering in the tent of testimony, whom Moses and Aaron counted by the word of the Lord by Moses' hand.</w:t>
      </w:r>
    </w:p>
    <w:p>
      <w:r>
        <w:rPr>
          <w:b/>
        </w:rPr>
        <w:t xml:space="preserve">38 </w:t>
      </w:r>
      <w:r>
        <w:t xml:space="preserve">And the sons of Gershon were counted by their clans, by the houses of their fathers,</w:t>
      </w:r>
    </w:p>
    <w:p>
      <w:r>
        <w:rPr>
          <w:b/>
        </w:rPr>
        <w:t xml:space="preserve">39 </w:t>
      </w:r>
      <w:r>
        <w:t xml:space="preserve">from twenty-five years old and upward to fifty years old, every one entering to minister and to do the works in the tent of testimony.</w:t>
      </w:r>
    </w:p>
    <w:p>
      <w:r>
        <w:rPr>
          <w:b/>
        </w:rPr>
        <w:t xml:space="preserve">40 </w:t>
      </w:r>
      <w:r>
        <w:t xml:space="preserve">And their counting by their clans, by the houses of their fathers, was two thousand six hundred thirty.</w:t>
      </w:r>
    </w:p>
    <w:p>
      <w:r>
        <w:rPr>
          <w:b/>
        </w:rPr>
        <w:t xml:space="preserve">41 </w:t>
      </w:r>
      <w:r>
        <w:t xml:space="preserve">This was the counting of the clan of the sons of Gershon, every one ministering in the tent of testimony, whom Moses and Aaron counted by the word of the Lord by Moses' hand.</w:t>
      </w:r>
      <w:r>
        <w:rPr>
          <w:rStyle w:val="FootnoteReference"/>
        </w:rPr>
        <w:footnoteReference w:id="2569"/>
      </w:r>
    </w:p>
    <w:p>
      <w:r>
        <w:rPr>
          <w:b/>
        </w:rPr>
        <w:t xml:space="preserve">42 </w:t>
      </w:r>
      <w:r>
        <w:t xml:space="preserve">And the clan of the sons of Merari also was counted by their clans, by the houses of their fathers,</w:t>
      </w:r>
    </w:p>
    <w:p>
      <w:r>
        <w:rPr>
          <w:b/>
        </w:rPr>
        <w:t xml:space="preserve">43 </w:t>
      </w:r>
      <w:r>
        <w:t xml:space="preserve">from twenty-five years old and upward to fifty years old, every one entering to minister for the works of the tent of testimony.</w:t>
      </w:r>
    </w:p>
    <w:p>
      <w:r>
        <w:rPr>
          <w:b/>
        </w:rPr>
        <w:t xml:space="preserve">44 </w:t>
      </w:r>
      <w:r>
        <w:t xml:space="preserve">And their counting by their clans, by the houses of their fathers, was three thousand two hundred.</w:t>
      </w:r>
    </w:p>
    <w:p>
      <w:r>
        <w:rPr>
          <w:b/>
        </w:rPr>
        <w:t xml:space="preserve">45 </w:t>
      </w:r>
      <w:r>
        <w:t xml:space="preserve">This was the counting of the clan of the sons of Merari, whom Moses and Aaron counted by the word of the Lord by Moses' hand.</w:t>
      </w:r>
    </w:p>
    <w:p>
      <w:r>
        <w:rPr>
          <w:b/>
        </w:rPr>
        <w:t xml:space="preserve">46 </w:t>
      </w:r>
      <w:r>
        <w:t xml:space="preserve">All those counted whom Moses and Aaron and the chiefs of Israel counted, the Levites by their clans, by the houses of their fathers,</w:t>
      </w:r>
    </w:p>
    <w:p>
      <w:r>
        <w:rPr>
          <w:b/>
        </w:rPr>
        <w:t xml:space="preserve">47 </w:t>
      </w:r>
      <w:r>
        <w:t xml:space="preserve">from twenty-five years old and upward to fifty years old, every one</w:t>
      </w:r>
      <w:r>
        <w:rPr>
          <w:rStyle w:val="FootnoteReference"/>
        </w:rPr>
        <w:footnoteReference w:id="2570"/>
      </w:r>
      <w:r>
        <w:t xml:space="preserve"> entering for the work of the works and the things carried in the tent of testimony,</w:t>
      </w:r>
    </w:p>
    <w:p>
      <w:r>
        <w:rPr>
          <w:b/>
        </w:rPr>
        <w:t xml:space="preserve">48 </w:t>
      </w:r>
      <w:r>
        <w:t xml:space="preserve">their count was eight thousand five hundred eighty.</w:t>
      </w:r>
    </w:p>
    <w:p>
      <w:r>
        <w:rPr>
          <w:b/>
        </w:rPr>
        <w:t xml:space="preserve">49 </w:t>
      </w:r>
      <w:r>
        <w:t xml:space="preserve">By the word of the Lord he counted them by Moses' hand, each man over his works and over what they carried</w:t>
      </w:r>
      <w:r>
        <w:rPr>
          <w:rStyle w:val="FootnoteReference"/>
        </w:rPr>
        <w:footnoteReference w:id="2571"/>
      </w:r>
      <w:r>
        <w:t xml:space="preserve">. And they were counted just as the Lord</w:t>
      </w:r>
      <w:r>
        <w:rPr>
          <w:rStyle w:val="FootnoteReference"/>
        </w:rPr>
        <w:footnoteReference w:id="2572"/>
      </w:r>
      <w:r>
        <w:t xml:space="preserve"> commanded Moses.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the Lord spoke to Moses, saying,</w:t>
      </w:r>
    </w:p>
    <w:p>
      <w:r>
        <w:rPr>
          <w:b/>
        </w:rPr>
        <w:t xml:space="preserve">2 </w:t>
      </w:r>
      <w:r>
        <w:t xml:space="preserve">Command the sons of Israel, and let them send out from the camp every leprous person and every</w:t>
      </w:r>
      <w:r>
        <w:rPr>
          <w:rStyle w:val="FootnoteReference"/>
        </w:rPr>
        <w:footnoteReference w:id="2573"/>
      </w:r>
      <w:r>
        <w:t xml:space="preserve"> one with a discharge and every one unclean by a dead person.</w:t>
      </w:r>
    </w:p>
    <w:p>
      <w:r>
        <w:rPr>
          <w:b/>
        </w:rPr>
        <w:t xml:space="preserve">3 </w:t>
      </w:r>
      <w:r>
        <w:t xml:space="preserve">From male to female you shall send them out of the camp, and they shall not defile their camps, in the midst</w:t>
      </w:r>
      <w:r>
        <w:rPr>
          <w:rStyle w:val="FootnoteReference"/>
        </w:rPr>
        <w:footnoteReference w:id="2574"/>
      </w:r>
      <w:r>
        <w:t xml:space="preserve"> of which I dwell among them.</w:t>
      </w:r>
    </w:p>
    <w:p>
      <w:r>
        <w:rPr>
          <w:b/>
        </w:rPr>
        <w:t xml:space="preserve">4 </w:t>
      </w:r>
      <w:r>
        <w:t xml:space="preserve">And the sons of Israel did so and sent them out of the camp. Just as the Lord spoke to Moses, so the sons of Israel did.</w:t>
      </w:r>
    </w:p>
    <w:p>
      <w:r>
        <w:rPr>
          <w:b/>
        </w:rPr>
        <w:t xml:space="preserve">5 </w:t>
      </w:r>
      <w:r>
        <w:t xml:space="preserve">And the Lord spoke to Moses, saying,</w:t>
      </w:r>
    </w:p>
    <w:p>
      <w:r>
        <w:rPr>
          <w:b/>
        </w:rPr>
        <w:t xml:space="preserve">6 </w:t>
      </w:r>
      <w:r>
        <w:t xml:space="preserve">Speak to the sons of Israel, saying, If a man or a woman does any of the human sins, and in overlooking overlooks, and that soul trespasses,</w:t>
      </w:r>
    </w:p>
    <w:p>
      <w:r>
        <w:rPr>
          <w:b/>
        </w:rPr>
        <w:t xml:space="preserve">7 </w:t>
      </w:r>
      <w:r>
        <w:t xml:space="preserve">he shall confess</w:t>
      </w:r>
      <w:r>
        <w:rPr>
          <w:rStyle w:val="FootnoteReference"/>
        </w:rPr>
        <w:footnoteReference w:id="2575"/>
      </w:r>
      <w:r>
        <w:t xml:space="preserve"> the sin that he did, and he shall repay the principal of the trespass</w:t>
      </w:r>
      <w:r>
        <w:rPr>
          <w:rStyle w:val="FootnoteReference"/>
        </w:rPr>
        <w:footnoteReference w:id="2576"/>
      </w:r>
      <w:r>
        <w:t xml:space="preserve"> and add its fifth part to it and give it to the one against whom he trespassed.</w:t>
      </w:r>
    </w:p>
    <w:p>
      <w:r>
        <w:rPr>
          <w:b/>
        </w:rPr>
        <w:t xml:space="preserve">8 </w:t>
      </w:r>
      <w:r>
        <w:t xml:space="preserve">But if the person has no near kinsman</w:t>
      </w:r>
      <w:r>
        <w:rPr>
          <w:rStyle w:val="FootnoteReference"/>
        </w:rPr>
        <w:footnoteReference w:id="2577"/>
      </w:r>
      <w:r>
        <w:t xml:space="preserve"> so that the trespass may be repaid to him, the trespass repaid to the Lord shall be for the priest, besides the ram of atonement by which he shall make atonement for him.</w:t>
      </w:r>
    </w:p>
    <w:p>
      <w:r>
        <w:rPr>
          <w:b/>
        </w:rPr>
        <w:t xml:space="preserve">9 </w:t>
      </w:r>
      <w:r>
        <w:t xml:space="preserve">And every firstfruit among all the holy things of the sons of Israel, whatever they bring to the Lord, shall be his, for the priest.</w:t>
      </w:r>
    </w:p>
    <w:p>
      <w:r>
        <w:rPr>
          <w:b/>
        </w:rPr>
        <w:t xml:space="preserve">10 </w:t>
      </w:r>
      <w:r>
        <w:t xml:space="preserve">And each man's holy things shall be his</w:t>
      </w:r>
      <w:r>
        <w:rPr>
          <w:rStyle w:val="FootnoteReference"/>
        </w:rPr>
        <w:footnoteReference w:id="2578"/>
      </w:r>
      <w:r>
        <w:t xml:space="preserve">. Whatever a man gives to the priest shall be his.</w:t>
      </w:r>
    </w:p>
    <w:p>
      <w:r>
        <w:rPr>
          <w:b/>
        </w:rPr>
        <w:t xml:space="preserve">11 </w:t>
      </w:r>
      <w:r>
        <w:t xml:space="preserve">And the Lord spoke to Moses, saying,</w:t>
      </w:r>
    </w:p>
    <w:p>
      <w:r>
        <w:rPr>
          <w:b/>
        </w:rPr>
        <w:t xml:space="preserve">12 </w:t>
      </w:r>
      <w:r>
        <w:t xml:space="preserve">Speak to the sons of Israel, and you shall say to them, If any man's wife goes astray and in overlooking overlooks him,</w:t>
      </w:r>
    </w:p>
    <w:p>
      <w:r>
        <w:rPr>
          <w:b/>
        </w:rPr>
        <w:t xml:space="preserve">13 </w:t>
      </w:r>
      <w:r>
        <w:t xml:space="preserve">and someone lies with her in a bed of seed, and it is hidden from the eyes of her husband, and she herself is concealed, though she has been defiled, and there is no witness with her, and she was not caught,</w:t>
      </w:r>
    </w:p>
    <w:p>
      <w:r>
        <w:rPr>
          <w:b/>
        </w:rPr>
        <w:t xml:space="preserve">14 </w:t>
      </w:r>
      <w:r>
        <w:t xml:space="preserve">and a spirit of jealousy</w:t>
      </w:r>
      <w:r>
        <w:rPr>
          <w:rStyle w:val="FootnoteReference"/>
        </w:rPr>
        <w:footnoteReference w:id="2579"/>
      </w:r>
      <w:r>
        <w:t xml:space="preserve"> comes upon him and he is jealous of his wife and she has been defiled, or a spirit of jealousy comes upon him and he is jealous of his wife and she has not been defiled,</w:t>
      </w:r>
    </w:p>
    <w:p>
      <w:r>
        <w:rPr>
          <w:b/>
        </w:rPr>
        <w:t xml:space="preserve">15 </w:t>
      </w:r>
      <w:r>
        <w:t xml:space="preserve">then the man shall bring his wife to the priest and bring her gift concerning her: a tenth of an ephah of barley flour. He shall not pour oil upon it, nor place frankincense upon it, because it is a sacrifice of jealousy, a sacrifice of memorial, bringing sin to remembrance</w:t>
      </w:r>
      <w:r>
        <w:rPr>
          <w:rStyle w:val="FootnoteReference"/>
        </w:rPr>
        <w:footnoteReference w:id="2580"/>
      </w:r>
      <w:r>
        <w:t xml:space="preserve">.</w:t>
      </w:r>
      <w:r>
        <w:rPr>
          <w:rStyle w:val="FootnoteReference"/>
        </w:rPr>
        <w:footnoteReference w:id="2581"/>
      </w:r>
    </w:p>
    <w:p>
      <w:r>
        <w:rPr>
          <w:b/>
        </w:rPr>
        <w:t xml:space="preserve">16 </w:t>
      </w:r>
      <w:r>
        <w:t xml:space="preserve">And the priest shall bring her near and set her before the Lord</w:t>
      </w:r>
      <w:r>
        <w:rPr>
          <w:rStyle w:val="FootnoteReference"/>
        </w:rPr>
        <w:footnoteReference w:id="2582"/>
      </w:r>
      <w:r>
        <w:t xml:space="preserve">.</w:t>
      </w:r>
      <w:r>
        <w:rPr>
          <w:rStyle w:val="FootnoteReference"/>
        </w:rPr>
        <w:footnoteReference w:id="2583"/>
      </w:r>
    </w:p>
    <w:p>
      <w:r>
        <w:rPr>
          <w:b/>
        </w:rPr>
        <w:t xml:space="preserve">17 </w:t>
      </w:r>
      <w:r>
        <w:t xml:space="preserve">And the priest shall take pure living water in an earthen vessel</w:t>
      </w:r>
      <w:r>
        <w:rPr>
          <w:rStyle w:val="FootnoteReference"/>
        </w:rPr>
        <w:footnoteReference w:id="2584"/>
      </w:r>
      <w:r>
        <w:t xml:space="preserve">, and from the dust that is on the floor of the tent of testimony, taking it, the priest shall put it into the water.</w:t>
      </w:r>
    </w:p>
    <w:p>
      <w:r>
        <w:rPr>
          <w:b/>
        </w:rPr>
        <w:t xml:space="preserve">18 </w:t>
      </w:r>
      <w:r>
        <w:t xml:space="preserve">And the priest</w:t>
      </w:r>
      <w:r>
        <w:rPr>
          <w:rStyle w:val="FootnoteReference"/>
        </w:rPr>
        <w:footnoteReference w:id="2585"/>
      </w:r>
      <w:r>
        <w:t xml:space="preserve"> shall set the woman before the Lord and uncover the woman's head and put upon her hands the sacrifice of memorial, the sacrifice of jealousy. And in the priest's hand shall be the water of reproof</w:t>
      </w:r>
      <w:r>
        <w:rPr>
          <w:rStyle w:val="FootnoteReference"/>
        </w:rPr>
        <w:footnoteReference w:id="2586"/>
      </w:r>
      <w:r>
        <w:t xml:space="preserve">, this cursed water.</w:t>
      </w:r>
    </w:p>
    <w:p>
      <w:r>
        <w:rPr>
          <w:b/>
        </w:rPr>
        <w:t xml:space="preserve">19 </w:t>
      </w:r>
      <w:r>
        <w:t xml:space="preserve">And the priest shall adjure her and say to the woman, If no man has lain with you, and if you have not gone astray to be defiled under your own husband, be innocent from this water of reproof, this cursed water.</w:t>
      </w:r>
    </w:p>
    <w:p>
      <w:r>
        <w:rPr>
          <w:b/>
        </w:rPr>
        <w:t xml:space="preserve">20 </w:t>
      </w:r>
      <w:r>
        <w:t xml:space="preserve">But if you have gone astray under your husband, and if you are defiled, and some man besides your husband has given his bed in you,</w:t>
      </w:r>
    </w:p>
    <w:p>
      <w:r>
        <w:rPr>
          <w:b/>
        </w:rPr>
        <w:t xml:space="preserve">21 </w:t>
      </w:r>
      <w:r>
        <w:t xml:space="preserve">then the priest shall adjure the woman with the oaths of this curse, and the priest shall say to the woman: May the Lord make you a curse and an oath</w:t>
      </w:r>
      <w:r>
        <w:rPr>
          <w:rStyle w:val="FootnoteReference"/>
        </w:rPr>
        <w:footnoteReference w:id="2587"/>
      </w:r>
      <w:r>
        <w:t xml:space="preserve"> in the midst of your people, when the Lord gives your thigh fallen away and your belly swollen.</w:t>
      </w:r>
    </w:p>
    <w:p>
      <w:r>
        <w:rPr>
          <w:b/>
        </w:rPr>
        <w:t xml:space="preserve">22 </w:t>
      </w:r>
      <w:r>
        <w:t xml:space="preserve">And this cursed water shall enter into your belly to make the belly swell and to make your thigh fall away. And the woman</w:t>
      </w:r>
      <w:r>
        <w:rPr>
          <w:rStyle w:val="FootnoteReference"/>
        </w:rPr>
        <w:footnoteReference w:id="2588"/>
      </w:r>
      <w:r>
        <w:t xml:space="preserve"> shall say, Amen, amen.</w:t>
      </w:r>
    </w:p>
    <w:p>
      <w:r>
        <w:rPr>
          <w:b/>
        </w:rPr>
        <w:t xml:space="preserve">23 </w:t>
      </w:r>
      <w:r>
        <w:t xml:space="preserve">And the priest shall write these</w:t>
      </w:r>
      <w:r>
        <w:rPr>
          <w:rStyle w:val="FootnoteReference"/>
        </w:rPr>
        <w:footnoteReference w:id="2589"/>
      </w:r>
      <w:r>
        <w:t xml:space="preserve"> curses in a scroll and wipe them into the water of reproof, this cursed water.</w:t>
      </w:r>
    </w:p>
    <w:p>
      <w:r>
        <w:rPr>
          <w:b/>
        </w:rPr>
        <w:t xml:space="preserve">24 </w:t>
      </w:r>
      <w:r>
        <w:t xml:space="preserve">And he shall make the woman drink the water of reproof, this cursed water, and the cursed water of reproof shall enter into her.</w:t>
      </w:r>
    </w:p>
    <w:p>
      <w:r>
        <w:rPr>
          <w:b/>
        </w:rPr>
        <w:t xml:space="preserve">25 </w:t>
      </w:r>
      <w:r>
        <w:t xml:space="preserve">And the priest</w:t>
      </w:r>
      <w:r>
        <w:rPr>
          <w:rStyle w:val="FootnoteReference"/>
        </w:rPr>
        <w:footnoteReference w:id="2590"/>
      </w:r>
      <w:r>
        <w:t xml:space="preserve"> shall take from the woman's hand the sacrifice of jealousy and shall present the sacrifice before the Lord and bring it to the altar.</w:t>
      </w:r>
    </w:p>
    <w:p>
      <w:r>
        <w:rPr>
          <w:b/>
        </w:rPr>
        <w:t xml:space="preserve">26 </w:t>
      </w:r>
      <w:r>
        <w:t xml:space="preserve">And the priest shall take a handful from the sacrifice as its memorial and offer it upon the altar, and after these things he shall make the woman drink the water.</w:t>
      </w:r>
    </w:p>
    <w:p>
      <w:r>
        <w:rPr>
          <w:b/>
        </w:rPr>
        <w:t xml:space="preserve">27 </w:t>
      </w:r>
      <w:r>
        <w:t xml:space="preserve">And it shall be, if she has been defiled and by concealment concealed it</w:t>
      </w:r>
      <w:r>
        <w:rPr>
          <w:rStyle w:val="FootnoteReference"/>
        </w:rPr>
        <w:footnoteReference w:id="2591"/>
      </w:r>
      <w:r>
        <w:t xml:space="preserve"> from her husband, then the water of reproof, the cursed water, shall enter into her, and her belly shall swell and her thigh shall fall away, and the woman</w:t>
      </w:r>
      <w:r>
        <w:rPr>
          <w:rStyle w:val="FootnoteReference"/>
        </w:rPr>
        <w:footnoteReference w:id="2592"/>
      </w:r>
      <w:r>
        <w:t xml:space="preserve"> shall become a curse among her people.</w:t>
      </w:r>
    </w:p>
    <w:p>
      <w:r>
        <w:rPr>
          <w:b/>
        </w:rPr>
        <w:t xml:space="preserve">28 </w:t>
      </w:r>
      <w:r>
        <w:t xml:space="preserve">But if the woman has not been defiled and is clean, she shall be innocent and shall</w:t>
      </w:r>
      <w:r>
        <w:rPr>
          <w:rStyle w:val="FootnoteReference"/>
        </w:rPr>
        <w:footnoteReference w:id="2593"/>
      </w:r>
      <w:r>
        <w:t xml:space="preserve"> conceive seed.</w:t>
      </w:r>
    </w:p>
    <w:p>
      <w:r>
        <w:rPr>
          <w:b/>
        </w:rPr>
        <w:t xml:space="preserve">29 </w:t>
      </w:r>
      <w:r>
        <w:t xml:space="preserve">This is the law</w:t>
      </w:r>
      <w:r>
        <w:rPr>
          <w:rStyle w:val="FootnoteReference"/>
        </w:rPr>
        <w:footnoteReference w:id="2594"/>
      </w:r>
      <w:r>
        <w:t xml:space="preserve"> of jealousy, when a woman, being under a husband, goes astray and is defiled,</w:t>
      </w:r>
    </w:p>
    <w:p>
      <w:r>
        <w:rPr>
          <w:b/>
        </w:rPr>
        <w:t xml:space="preserve">30 </w:t>
      </w:r>
      <w:r>
        <w:t xml:space="preserve">or when a spirit of jealousy comes upon a man</w:t>
      </w:r>
      <w:r>
        <w:rPr>
          <w:rStyle w:val="FootnoteReference"/>
        </w:rPr>
        <w:footnoteReference w:id="2595"/>
      </w:r>
      <w:r>
        <w:t xml:space="preserve"> and he is jealous of his wife, and he shall set his wife before the Lord, and the priest shall do to her all this law.</w:t>
      </w:r>
    </w:p>
    <w:p>
      <w:r>
        <w:rPr>
          <w:b/>
        </w:rPr>
        <w:t xml:space="preserve">31 </w:t>
      </w:r>
      <w:r>
        <w:t xml:space="preserve">And the man shall be clear from sin, but that woman shall bear</w:t>
      </w:r>
      <w:r>
        <w:rPr>
          <w:rStyle w:val="FootnoteReference"/>
        </w:rPr>
        <w:footnoteReference w:id="2596"/>
      </w:r>
      <w:r>
        <w:t xml:space="preserve"> her sin.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the Lord spoke to Moses, saying,</w:t>
      </w:r>
    </w:p>
    <w:p>
      <w:r>
        <w:rPr>
          <w:b/>
        </w:rPr>
        <w:t xml:space="preserve">2 </w:t>
      </w:r>
      <w:r>
        <w:t xml:space="preserve">Speak to the sons of Israel, and you shall say to them: A man or a woman who greatly vows a vow, to consecrate a consecration to the Lord,</w:t>
      </w:r>
    </w:p>
    <w:p>
      <w:r>
        <w:rPr>
          <w:b/>
        </w:rPr>
        <w:t xml:space="preserve">3 </w:t>
      </w:r>
      <w:r>
        <w:t xml:space="preserve">shall separate himself from wine and strong drink. He shall not drink vinegar from wine or vinegar from strong drink, and he shall not drink whatever is produced from grapes</w:t>
      </w:r>
      <w:r>
        <w:rPr>
          <w:rStyle w:val="FootnoteReference"/>
        </w:rPr>
        <w:footnoteReference w:id="2597"/>
      </w:r>
      <w:r>
        <w:t xml:space="preserve">, and he shall not eat fresh grapes or raisins.</w:t>
      </w:r>
    </w:p>
    <w:p>
      <w:r>
        <w:rPr>
          <w:b/>
        </w:rPr>
        <w:t xml:space="preserve">4 </w:t>
      </w:r>
      <w:r>
        <w:t xml:space="preserve">All the days of his vow, from everything made from the vine of wine, from grape husks to grape seed, he shall not eat.</w:t>
      </w:r>
    </w:p>
    <w:p>
      <w:r>
        <w:rPr>
          <w:b/>
        </w:rPr>
        <w:t xml:space="preserve">5 </w:t>
      </w:r>
      <w:r>
        <w:t xml:space="preserve">All the days of the vow of his consecration, a razor</w:t>
      </w:r>
      <w:r>
        <w:rPr>
          <w:rStyle w:val="FootnoteReference"/>
        </w:rPr>
        <w:footnoteReference w:id="2598"/>
      </w:r>
      <w:r>
        <w:t xml:space="preserve"> shall not come upon his head until the days are fulfilled that he vowed to the Lord. He shall be holy, letting the hair of his head grow long</w:t>
      </w:r>
      <w:r>
        <w:rPr>
          <w:rStyle w:val="FootnoteReference"/>
        </w:rPr>
        <w:footnoteReference w:id="2599"/>
      </w:r>
      <w:r>
        <w:t xml:space="preserve">.</w:t>
      </w:r>
    </w:p>
    <w:p>
      <w:r>
        <w:rPr>
          <w:b/>
        </w:rPr>
        <w:t xml:space="preserve">6 </w:t>
      </w:r>
      <w:r>
        <w:t xml:space="preserve">All the days of his vow to the Lord, he shall not go in to any dead person.</w:t>
      </w:r>
    </w:p>
    <w:p>
      <w:r>
        <w:rPr>
          <w:b/>
        </w:rPr>
        <w:t xml:space="preserve">7 </w:t>
      </w:r>
      <w:r>
        <w:t xml:space="preserve">For father and for mother and for brother and for sister, he shall not be defiled for them when they die, because the vow of his God is upon his head.</w:t>
      </w:r>
    </w:p>
    <w:p>
      <w:r>
        <w:rPr>
          <w:b/>
        </w:rPr>
        <w:t xml:space="preserve">8 </w:t>
      </w:r>
      <w:r>
        <w:t xml:space="preserve">All the days of his vow he shall be holy to the Lord.</w:t>
      </w:r>
    </w:p>
    <w:p>
      <w:r>
        <w:rPr>
          <w:b/>
        </w:rPr>
        <w:t xml:space="preserve">9 </w:t>
      </w:r>
      <w:r>
        <w:t xml:space="preserve">But if someone suddenly dies beside him at once, the head of his vow will be defiled, and he shall shave</w:t>
      </w:r>
      <w:r>
        <w:rPr>
          <w:rStyle w:val="FootnoteReference"/>
        </w:rPr>
        <w:footnoteReference w:id="2600"/>
      </w:r>
      <w:r>
        <w:t xml:space="preserve"> his head on whatever day he is cleansed; on the seventh day it shall be shaved.</w:t>
      </w:r>
    </w:p>
    <w:p>
      <w:r>
        <w:rPr>
          <w:b/>
        </w:rPr>
        <w:t xml:space="preserve">10 </w:t>
      </w:r>
      <w:r>
        <w:t xml:space="preserve">And on the eighth day he shall bring two turtledoves or two young pigeons to the priest at the doors of the tent of testimony.</w:t>
      </w:r>
    </w:p>
    <w:p>
      <w:r>
        <w:rPr>
          <w:b/>
        </w:rPr>
        <w:t xml:space="preserve">11 </w:t>
      </w:r>
      <w:r>
        <w:t xml:space="preserve">And the priest shall make one a sin offering and one a whole burnt offering, and the priest shall make atonement for him for what he sinned concerning the dead person</w:t>
      </w:r>
      <w:r>
        <w:rPr>
          <w:rStyle w:val="FootnoteReference"/>
        </w:rPr>
        <w:footnoteReference w:id="2601"/>
      </w:r>
      <w:r>
        <w:t xml:space="preserve">, and he shall sanctify his head on that day.</w:t>
      </w:r>
    </w:p>
    <w:p>
      <w:r>
        <w:rPr>
          <w:b/>
        </w:rPr>
        <w:t xml:space="preserve">12 </w:t>
      </w:r>
      <w:r>
        <w:t xml:space="preserve">And he shall consecrate to the Lord the days of his vow and bring a year-old lamb for a trespass</w:t>
      </w:r>
      <w:r>
        <w:rPr>
          <w:rStyle w:val="FootnoteReference"/>
        </w:rPr>
        <w:footnoteReference w:id="2602"/>
      </w:r>
      <w:r>
        <w:t xml:space="preserve"> offering, and the former days shall be without account</w:t>
      </w:r>
      <w:r>
        <w:rPr>
          <w:rStyle w:val="FootnoteReference"/>
        </w:rPr>
        <w:footnoteReference w:id="2603"/>
      </w:r>
      <w:r>
        <w:t xml:space="preserve">, because the head of his vow was defiled.</w:t>
      </w:r>
    </w:p>
    <w:p>
      <w:r>
        <w:rPr>
          <w:b/>
        </w:rPr>
        <w:t xml:space="preserve">13 </w:t>
      </w:r>
      <w:r>
        <w:t xml:space="preserve">And this is the law of the one who has vowed: on whatever day he completes the days of his vow, he shall bring himself to the doors of the tent of testimony.</w:t>
      </w:r>
    </w:p>
    <w:p>
      <w:r>
        <w:rPr>
          <w:b/>
        </w:rPr>
        <w:t xml:space="preserve">14 </w:t>
      </w:r>
      <w:r>
        <w:t xml:space="preserve">And he shall bring his gift to the Lord: one unblemished year-old male lamb for a whole burnt offering, and one unblemished year-old ewe lamb for a sin offering, and one unblemished ram for a sacrifice of salvation</w:t>
      </w:r>
      <w:r>
        <w:rPr>
          <w:rStyle w:val="FootnoteReference"/>
        </w:rPr>
        <w:footnoteReference w:id="2604"/>
      </w:r>
      <w:r>
        <w:t xml:space="preserve">,</w:t>
      </w:r>
    </w:p>
    <w:p>
      <w:r>
        <w:rPr>
          <w:b/>
        </w:rPr>
        <w:t xml:space="preserve">15 </w:t>
      </w:r>
      <w:r>
        <w:t xml:space="preserve">and a basket</w:t>
      </w:r>
      <w:r>
        <w:rPr>
          <w:rStyle w:val="FootnoteReference"/>
        </w:rPr>
        <w:footnoteReference w:id="2605"/>
      </w:r>
      <w:r>
        <w:t xml:space="preserve"> of unleavened bread, fine-flour loaves prepared with oil and unleavened wafers anointed with oil, and their sacrifice and their libation.</w:t>
      </w:r>
    </w:p>
    <w:p>
      <w:r>
        <w:rPr>
          <w:b/>
        </w:rPr>
        <w:t xml:space="preserve">16 </w:t>
      </w:r>
      <w:r>
        <w:t xml:space="preserve">And the priest shall bring them before the Lord and make his sin offering and his whole burnt offering.</w:t>
      </w:r>
    </w:p>
    <w:p>
      <w:r>
        <w:rPr>
          <w:b/>
        </w:rPr>
        <w:t xml:space="preserve">17 </w:t>
      </w:r>
      <w:r>
        <w:t xml:space="preserve">And he shall make the ram a sacrifice of salvation to the Lord with the basket of unleavened bread, and the priest shall make his sacrifice and his libation.</w:t>
      </w:r>
    </w:p>
    <w:p>
      <w:r>
        <w:rPr>
          <w:b/>
        </w:rPr>
        <w:t xml:space="preserve">18 </w:t>
      </w:r>
      <w:r>
        <w:t xml:space="preserve">And the one who vowed</w:t>
      </w:r>
      <w:r>
        <w:rPr>
          <w:rStyle w:val="FootnoteReference"/>
        </w:rPr>
        <w:footnoteReference w:id="2606"/>
      </w:r>
      <w:r>
        <w:t xml:space="preserve"> shall shave the head of his vow</w:t>
      </w:r>
      <w:r>
        <w:rPr>
          <w:rStyle w:val="FootnoteReference"/>
        </w:rPr>
        <w:footnoteReference w:id="2607"/>
      </w:r>
      <w:r>
        <w:t xml:space="preserve"> at the doors of the tent of testimony and place the hair of his vow upon the fire that is under the sacrifice of salvation</w:t>
      </w:r>
      <w:r>
        <w:rPr>
          <w:rStyle w:val="FootnoteReference"/>
        </w:rPr>
        <w:footnoteReference w:id="2608"/>
      </w:r>
      <w:r>
        <w:t xml:space="preserve">.</w:t>
      </w:r>
      <w:r>
        <w:rPr>
          <w:rStyle w:val="FootnoteReference"/>
        </w:rPr>
        <w:footnoteReference w:id="2609"/>
      </w:r>
      <w:r>
        <w:rPr>
          <w:rStyle w:val="FootnoteReference"/>
        </w:rPr>
        <w:footnoteReference w:id="2610"/>
      </w:r>
    </w:p>
    <w:p>
      <w:r>
        <w:rPr>
          <w:b/>
        </w:rPr>
        <w:t xml:space="preserve">19 </w:t>
      </w:r>
      <w:r>
        <w:t xml:space="preserve">And the priest shall take the boiled shoulder</w:t>
      </w:r>
      <w:r>
        <w:rPr>
          <w:rStyle w:val="FootnoteReference"/>
        </w:rPr>
        <w:footnoteReference w:id="2611"/>
      </w:r>
      <w:r>
        <w:t xml:space="preserve"> from the ram and one unleavened loaf from the basket and one unleavened wafer and place them on the hands of the one who vowed, after he has shaved his vow.</w:t>
      </w:r>
    </w:p>
    <w:p>
      <w:r>
        <w:rPr>
          <w:b/>
        </w:rPr>
        <w:t xml:space="preserve">20 </w:t>
      </w:r>
      <w:r>
        <w:t xml:space="preserve">And the priest shall</w:t>
      </w:r>
      <w:r>
        <w:rPr>
          <w:rStyle w:val="FootnoteReference"/>
        </w:rPr>
        <w:footnoteReference w:id="2612"/>
      </w:r>
      <w:r>
        <w:t xml:space="preserve"> present them as an offering set before the Lord. It shall be holy for the priest, besides the breast of the offering set before the Lord and besides the arm of the contribution. And after these things the one who vowed shall drink wine.</w:t>
      </w:r>
    </w:p>
    <w:p>
      <w:r>
        <w:rPr>
          <w:b/>
        </w:rPr>
        <w:t xml:space="preserve">21 </w:t>
      </w:r>
      <w:r>
        <w:t xml:space="preserve">This is the law</w:t>
      </w:r>
      <w:r>
        <w:rPr>
          <w:rStyle w:val="FootnoteReference"/>
        </w:rPr>
        <w:footnoteReference w:id="2613"/>
      </w:r>
      <w:r>
        <w:t xml:space="preserve"> of the one who vowed, who vows his gift to the Lord concerning his vow, apart from whatever his hand may find</w:t>
      </w:r>
      <w:r>
        <w:rPr>
          <w:rStyle w:val="FootnoteReference"/>
        </w:rPr>
        <w:footnoteReference w:id="2614"/>
      </w:r>
      <w:r>
        <w:t xml:space="preserve">. According to the power of his vow that he vowed, according to the law of consecration, so shall he do.</w:t>
      </w:r>
    </w:p>
    <w:p>
      <w:r>
        <w:rPr>
          <w:b/>
        </w:rPr>
        <w:t xml:space="preserve">22 </w:t>
      </w:r>
      <w:r>
        <w:t xml:space="preserve">And the Lord spoke to Moses, saying,</w:t>
      </w:r>
    </w:p>
    <w:p>
      <w:r>
        <w:rPr>
          <w:b/>
        </w:rPr>
        <w:t xml:space="preserve">23 </w:t>
      </w:r>
      <w:r>
        <w:t xml:space="preserve">Speak to Aaron and to his sons, saying, Thus you shall bless the sons of Israel, saying to them. And they shall put my name upon the sons of Israel, and I the Lord will bless them.</w:t>
      </w:r>
    </w:p>
    <w:p>
      <w:r>
        <w:rPr>
          <w:b/>
        </w:rPr>
        <w:t xml:space="preserve">24 </w:t>
      </w:r>
      <w:r>
        <w:t xml:space="preserve">May the Lord bless you and keep you.</w:t>
      </w:r>
      <w:r>
        <w:rPr>
          <w:rStyle w:val="FootnoteReference"/>
        </w:rPr>
        <w:footnoteReference w:id="2615"/>
      </w:r>
      <w:r>
        <w:t xml:space="preserve"/>
      </w:r>
      <w:r>
        <w:rPr>
          <w:rStyle w:val="FootnoteReference"/>
        </w:rPr>
        <w:footnoteReference w:id="2616"/>
      </w:r>
    </w:p>
    <w:p>
      <w:r>
        <w:rPr>
          <w:b/>
        </w:rPr>
        <w:t xml:space="preserve">25 </w:t>
      </w:r>
      <w:r>
        <w:t xml:space="preserve">May the Lord</w:t>
      </w:r>
      <w:r>
        <w:rPr>
          <w:rStyle w:val="FootnoteReference"/>
        </w:rPr>
        <w:footnoteReference w:id="2617"/>
      </w:r>
      <w:r>
        <w:t xml:space="preserve"> make his face shine upon you and have mercy on you.</w:t>
      </w:r>
    </w:p>
    <w:p>
      <w:r>
        <w:rPr>
          <w:b/>
        </w:rPr>
        <w:t xml:space="preserve">26 </w:t>
      </w:r>
      <w:r>
        <w:t xml:space="preserve">May the Lord lift up his face upon you and give you peace</w:t>
      </w:r>
      <w:r>
        <w:rPr>
          <w:rStyle w:val="FootnoteReference"/>
        </w:rPr>
        <w:footnoteReference w:id="2618"/>
      </w:r>
      <w:r>
        <w:t xml:space="preserve">.</w:t>
      </w:r>
      <w:r>
        <w:rPr>
          <w:rStyle w:val="FootnoteReference"/>
        </w:rPr>
        <w:footnoteReference w:id="2619"/>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it happened on the day Moses finished setting up the tent and anointed it</w:t>
      </w:r>
      <w:r>
        <w:rPr>
          <w:rStyle w:val="FootnoteReference"/>
        </w:rPr>
        <w:footnoteReference w:id="2620"/>
      </w:r>
      <w:r>
        <w:t xml:space="preserve"> and sanctified it and all its furnishings and the altar and all its vessels, and he anointed them and sanctified them,</w:t>
      </w:r>
      <w:r>
        <w:rPr>
          <w:rStyle w:val="FootnoteReference"/>
        </w:rPr>
        <w:footnoteReference w:id="2621"/>
      </w:r>
    </w:p>
    <w:p>
      <w:r>
        <w:rPr>
          <w:b/>
        </w:rPr>
        <w:t xml:space="preserve">2 </w:t>
      </w:r>
      <w:r>
        <w:t xml:space="preserve">that the chiefs of Israel brought offerings, twelve chiefs of the houses of their fathers. These were chiefs of the tribes, these the ones standing over the counting.</w:t>
      </w:r>
    </w:p>
    <w:p>
      <w:r>
        <w:rPr>
          <w:b/>
        </w:rPr>
        <w:t xml:space="preserve">3 </w:t>
      </w:r>
      <w:r>
        <w:t xml:space="preserve">And they brought their gifts before the Lord: six covered wagons</w:t>
      </w:r>
      <w:r>
        <w:rPr>
          <w:rStyle w:val="FootnoteReference"/>
        </w:rPr>
        <w:footnoteReference w:id="2622"/>
      </w:r>
      <w:r>
        <w:t xml:space="preserve"> and twelve oxen, a wagon from every two chiefs and an ox from each one, and they brought them before the tent.</w:t>
      </w:r>
    </w:p>
    <w:p>
      <w:r>
        <w:rPr>
          <w:b/>
        </w:rPr>
        <w:t xml:space="preserve">4 </w:t>
      </w:r>
      <w:r>
        <w:t xml:space="preserve">And the Lord said to Moses, saying,</w:t>
      </w:r>
    </w:p>
    <w:p>
      <w:r>
        <w:rPr>
          <w:b/>
        </w:rPr>
        <w:t xml:space="preserve">5 </w:t>
      </w:r>
      <w:r>
        <w:t xml:space="preserve">Take them from them, and they shall be for the service works of the tent of testimony, and you shall give them to the Levites, to each according to his service.</w:t>
      </w:r>
    </w:p>
    <w:p>
      <w:r>
        <w:rPr>
          <w:b/>
        </w:rPr>
        <w:t xml:space="preserve">6 </w:t>
      </w:r>
      <w:r>
        <w:t xml:space="preserve">And Moses took the wagons and the oxen and gave them to the Levites.</w:t>
      </w:r>
    </w:p>
    <w:p>
      <w:r>
        <w:rPr>
          <w:b/>
        </w:rPr>
        <w:t xml:space="preserve">7 </w:t>
      </w:r>
      <w:r>
        <w:t xml:space="preserve">The two wagons and the four oxen</w:t>
      </w:r>
      <w:r>
        <w:rPr>
          <w:rStyle w:val="FootnoteReference"/>
        </w:rPr>
        <w:footnoteReference w:id="2623"/>
      </w:r>
      <w:r>
        <w:t xml:space="preserve"> he gave to the sons of Gershon according to their services.</w:t>
      </w:r>
      <w:r>
        <w:rPr>
          <w:rStyle w:val="FootnoteReference"/>
        </w:rPr>
        <w:footnoteReference w:id="2624"/>
      </w:r>
    </w:p>
    <w:p>
      <w:r>
        <w:rPr>
          <w:b/>
        </w:rPr>
        <w:t xml:space="preserve">8 </w:t>
      </w:r>
      <w:r>
        <w:t xml:space="preserve">And the four wagons</w:t>
      </w:r>
      <w:r>
        <w:rPr>
          <w:rStyle w:val="FootnoteReference"/>
        </w:rPr>
        <w:footnoteReference w:id="2625"/>
      </w:r>
      <w:r>
        <w:t xml:space="preserve"> and the eight oxen he gave to the sons of Merari according to their services, by the hand of Ithamar son of Aaron the priest.</w:t>
      </w:r>
    </w:p>
    <w:p>
      <w:r>
        <w:rPr>
          <w:b/>
        </w:rPr>
        <w:t xml:space="preserve">9 </w:t>
      </w:r>
      <w:r>
        <w:t xml:space="preserve">But to the sons of Kohath he did not give any, because they have the services of the holy things; upon their shoulders they shall carry them.</w:t>
      </w:r>
    </w:p>
    <w:p>
      <w:r>
        <w:rPr>
          <w:b/>
        </w:rPr>
        <w:t xml:space="preserve">10 </w:t>
      </w:r>
      <w:r>
        <w:t xml:space="preserve">And the chiefs brought offerings for the dedication of the altar on the day he anointed it, and the chiefs brought their gifts before the altar.</w:t>
      </w:r>
    </w:p>
    <w:p>
      <w:r>
        <w:rPr>
          <w:b/>
        </w:rPr>
        <w:t xml:space="preserve">11 </w:t>
      </w:r>
      <w:r>
        <w:t xml:space="preserve">And the Lord said to Moses, One chief each day, one chief each day, shall bring their gifts for the dedication of the altar.</w:t>
      </w:r>
    </w:p>
    <w:p>
      <w:r>
        <w:rPr>
          <w:b/>
        </w:rPr>
        <w:t xml:space="preserve">12 </w:t>
      </w:r>
      <w:r>
        <w:t xml:space="preserve">And the one bringing his gift on the first day was Nahshon son of Amminadab, chief of the tribe of Judah.</w:t>
      </w:r>
    </w:p>
    <w:p>
      <w:r>
        <w:rPr>
          <w:b/>
        </w:rPr>
        <w:t xml:space="preserve">13 </w:t>
      </w:r>
      <w:r>
        <w:t xml:space="preserve">And he brought his gift: one silver dish, its weight one hundred thirty shekels, one silver bowl of seventy shekels by the holy shekel, both full of fine flour prepared with oil for sacrifice</w:t>
      </w:r>
      <w:r>
        <w:rPr>
          <w:rStyle w:val="FootnoteReference"/>
        </w:rPr>
        <w:footnoteReference w:id="2626"/>
      </w:r>
      <w:r>
        <w:t xml:space="preserve">,</w:t>
      </w:r>
    </w:p>
    <w:p>
      <w:r>
        <w:rPr>
          <w:b/>
        </w:rPr>
        <w:t xml:space="preserve">14 </w:t>
      </w:r>
      <w:r>
        <w:t xml:space="preserve">one golden censer of ten gold pieces, full of incense</w:t>
      </w:r>
      <w:r>
        <w:rPr>
          <w:rStyle w:val="FootnoteReference"/>
        </w:rPr>
        <w:footnoteReference w:id="2627"/>
      </w:r>
      <w:r>
        <w:t xml:space="preserve">,</w:t>
      </w:r>
    </w:p>
    <w:p>
      <w:r>
        <w:rPr>
          <w:b/>
        </w:rPr>
        <w:t xml:space="preserve">15 </w:t>
      </w:r>
      <w:r>
        <w:t xml:space="preserve">one bull from the cattle, one ram, one yearling lamb, for whole burnt offering,</w:t>
      </w:r>
    </w:p>
    <w:p>
      <w:r>
        <w:rPr>
          <w:b/>
        </w:rPr>
        <w:t xml:space="preserve">16 </w:t>
      </w:r>
      <w:r>
        <w:t xml:space="preserve">and one goat kid for sin offering,</w:t>
      </w:r>
    </w:p>
    <w:p>
      <w:r>
        <w:rPr>
          <w:b/>
        </w:rPr>
        <w:t xml:space="preserve">17 </w:t>
      </w:r>
      <w:r>
        <w:t xml:space="preserve">and for the sacrifice of salvation, two cows, five rams, five goats, five yearling ewe lambs. This was the gift of Nahshon son of Amminadab.</w:t>
      </w:r>
    </w:p>
    <w:p>
      <w:r>
        <w:rPr>
          <w:b/>
        </w:rPr>
        <w:t xml:space="preserve">18 </w:t>
      </w:r>
      <w:r>
        <w:t xml:space="preserve">On the second day Nethanel son of Zuar, chief of the tribe of Issachar, brought his offering.</w:t>
      </w:r>
    </w:p>
    <w:p>
      <w:r>
        <w:rPr>
          <w:b/>
        </w:rPr>
        <w:t xml:space="preserve">19 </w:t>
      </w:r>
      <w:r>
        <w:t xml:space="preserve">And he brought his gift: one silver dish, its weight one hundred thirty shekels, one silver bowl of seventy shekels by the holy shekel, both full of fine flour prepared with oil for sacrifice</w:t>
      </w:r>
      <w:r>
        <w:rPr>
          <w:rStyle w:val="FootnoteReference"/>
        </w:rPr>
        <w:footnoteReference w:id="2628"/>
      </w:r>
      <w:r>
        <w:t xml:space="preserve">,</w:t>
      </w:r>
    </w:p>
    <w:p>
      <w:r>
        <w:rPr>
          <w:b/>
        </w:rPr>
        <w:t xml:space="preserve">20 </w:t>
      </w:r>
      <w:r>
        <w:t xml:space="preserve">one golden censer of ten gold pieces, full of incense,</w:t>
      </w:r>
    </w:p>
    <w:p>
      <w:r>
        <w:rPr>
          <w:b/>
        </w:rPr>
        <w:t xml:space="preserve">21 </w:t>
      </w:r>
      <w:r>
        <w:t xml:space="preserve">one bull from the cattle, one ram, one yearling lamb, for whole burnt offering,</w:t>
      </w:r>
    </w:p>
    <w:p>
      <w:r>
        <w:rPr>
          <w:b/>
        </w:rPr>
        <w:t xml:space="preserve">22 </w:t>
      </w:r>
      <w:r>
        <w:t xml:space="preserve">and one goat kid for sin offering,</w:t>
      </w:r>
    </w:p>
    <w:p>
      <w:r>
        <w:rPr>
          <w:b/>
        </w:rPr>
        <w:t xml:space="preserve">23 </w:t>
      </w:r>
      <w:r>
        <w:t xml:space="preserve">and for the sacrifice of salvation, two cows, five rams, five goats, five yearling ewe lambs. This was the gift of Nethanel son of Zuar.</w:t>
      </w:r>
    </w:p>
    <w:p>
      <w:r>
        <w:rPr>
          <w:b/>
        </w:rPr>
        <w:t xml:space="preserve">24 </w:t>
      </w:r>
      <w:r>
        <w:t xml:space="preserve">On the third day, the chief of the sons of Zebulun was Eliab son of Helon.</w:t>
      </w:r>
    </w:p>
    <w:p>
      <w:r>
        <w:rPr>
          <w:b/>
        </w:rPr>
        <w:t xml:space="preserve">25 </w:t>
      </w:r>
      <w:r>
        <w:t xml:space="preserve">His gift was one silver dish, its weight one hundred thirty shekels, one silver bowl of seventy shekels by the holy shekel, both full of fine flour prepared with oil for sacrifice,</w:t>
      </w:r>
    </w:p>
    <w:p>
      <w:r>
        <w:rPr>
          <w:b/>
        </w:rPr>
        <w:t xml:space="preserve">26 </w:t>
      </w:r>
      <w:r>
        <w:t xml:space="preserve">one golden censer of ten gold pieces, full of incense,</w:t>
      </w:r>
    </w:p>
    <w:p>
      <w:r>
        <w:rPr>
          <w:b/>
        </w:rPr>
        <w:t xml:space="preserve">27 </w:t>
      </w:r>
      <w:r>
        <w:t xml:space="preserve">one bull from the cattle, one ram, one yearling lamb, for whole burnt offering,</w:t>
      </w:r>
    </w:p>
    <w:p>
      <w:r>
        <w:rPr>
          <w:b/>
        </w:rPr>
        <w:t xml:space="preserve">28 </w:t>
      </w:r>
      <w:r>
        <w:t xml:space="preserve">and one goat kid for sin offering,</w:t>
      </w:r>
    </w:p>
    <w:p>
      <w:r>
        <w:rPr>
          <w:b/>
        </w:rPr>
        <w:t xml:space="preserve">29 </w:t>
      </w:r>
      <w:r>
        <w:t xml:space="preserve">and for the sacrifice of salvation, two cows, five rams, five goats, five yearling ewe lambs. This was the gift of Eliab son of Helon.</w:t>
      </w:r>
    </w:p>
    <w:p>
      <w:r>
        <w:rPr>
          <w:b/>
        </w:rPr>
        <w:t xml:space="preserve">30 </w:t>
      </w:r>
      <w:r>
        <w:t xml:space="preserve">On the fourth day, the chief of the sons of Reuben was Elizur son of Shedeur.</w:t>
      </w:r>
    </w:p>
    <w:p>
      <w:r>
        <w:rPr>
          <w:b/>
        </w:rPr>
        <w:t xml:space="preserve">31 </w:t>
      </w:r>
      <w:r>
        <w:t xml:space="preserve">His gift was one silver dish, its weight one hundred thirty shekels, one silver bowl</w:t>
      </w:r>
      <w:r>
        <w:rPr>
          <w:rStyle w:val="FootnoteReference"/>
        </w:rPr>
        <w:footnoteReference w:id="2629"/>
      </w:r>
      <w:r>
        <w:t xml:space="preserve"> of seventy shekels by the holy shekel, both full of fine flour prepared with oil for sacrifice,</w:t>
      </w:r>
    </w:p>
    <w:p>
      <w:r>
        <w:rPr>
          <w:b/>
        </w:rPr>
        <w:t xml:space="preserve">32 </w:t>
      </w:r>
      <w:r>
        <w:t xml:space="preserve">one golden censer of ten gold pieces, full of incense</w:t>
      </w:r>
      <w:r>
        <w:rPr>
          <w:rStyle w:val="FootnoteReference"/>
        </w:rPr>
        <w:footnoteReference w:id="2630"/>
      </w:r>
      <w:r>
        <w:t xml:space="preserve">,</w:t>
      </w:r>
    </w:p>
    <w:p>
      <w:r>
        <w:rPr>
          <w:b/>
        </w:rPr>
        <w:t xml:space="preserve">33 </w:t>
      </w:r>
      <w:r>
        <w:t xml:space="preserve">one bull from the cattle, one ram, one yearling lamb, for whole burnt offering,</w:t>
      </w:r>
    </w:p>
    <w:p>
      <w:r>
        <w:rPr>
          <w:b/>
        </w:rPr>
        <w:t xml:space="preserve">34 </w:t>
      </w:r>
      <w:r>
        <w:t xml:space="preserve">and one goat kid for sin offering,</w:t>
      </w:r>
    </w:p>
    <w:p>
      <w:r>
        <w:rPr>
          <w:b/>
        </w:rPr>
        <w:t xml:space="preserve">35 </w:t>
      </w:r>
      <w:r>
        <w:t xml:space="preserve">and for the sacrifice of salvation, two cows, five rams, five goats, five yearling ewe lambs. This was the gift of Elizur son of Shedeur.</w:t>
      </w:r>
    </w:p>
    <w:p>
      <w:r>
        <w:rPr>
          <w:b/>
        </w:rPr>
        <w:t xml:space="preserve">36 </w:t>
      </w:r>
      <w:r>
        <w:t xml:space="preserve">On the fifth day, the chief of the sons of Simeon was Shelumiel son of Zurishaddai.</w:t>
      </w:r>
    </w:p>
    <w:p>
      <w:r>
        <w:rPr>
          <w:b/>
        </w:rPr>
        <w:t xml:space="preserve">37 </w:t>
      </w:r>
      <w:r>
        <w:t xml:space="preserve">His gift was one silver dish, its weight one hundred thirty shekels, one silver bowl of seventy shekels by the holy shekel, both full of fine flour prepared with oil for sacrifice,</w:t>
      </w:r>
    </w:p>
    <w:p>
      <w:r>
        <w:rPr>
          <w:b/>
        </w:rPr>
        <w:t xml:space="preserve">38 </w:t>
      </w:r>
      <w:r>
        <w:t xml:space="preserve">one golden censer of ten gold pieces, full of incense,</w:t>
      </w:r>
    </w:p>
    <w:p>
      <w:r>
        <w:rPr>
          <w:b/>
        </w:rPr>
        <w:t xml:space="preserve">39 </w:t>
      </w:r>
      <w:r>
        <w:t xml:space="preserve">one bull from the cattle, one ram, one yearling lamb, for whole burnt offering,</w:t>
      </w:r>
    </w:p>
    <w:p>
      <w:r>
        <w:rPr>
          <w:b/>
        </w:rPr>
        <w:t xml:space="preserve">40 </w:t>
      </w:r>
      <w:r>
        <w:t xml:space="preserve">and one goat kid for sin offering,</w:t>
      </w:r>
    </w:p>
    <w:p>
      <w:r>
        <w:rPr>
          <w:b/>
        </w:rPr>
        <w:t xml:space="preserve">41 </w:t>
      </w:r>
      <w:r>
        <w:t xml:space="preserve">and for the sacrifice of salvation, two cows, five rams, five goats, five yearling ewe lambs. This was the gift of Shelumiel son of Zurishaddai.</w:t>
      </w:r>
    </w:p>
    <w:p>
      <w:r>
        <w:rPr>
          <w:b/>
        </w:rPr>
        <w:t xml:space="preserve">42 </w:t>
      </w:r>
      <w:r>
        <w:t xml:space="preserve">On the sixth day, the chief of the sons of Gad was Eliasaph son of Reuel.</w:t>
      </w:r>
    </w:p>
    <w:p>
      <w:r>
        <w:rPr>
          <w:b/>
        </w:rPr>
        <w:t xml:space="preserve">43 </w:t>
      </w:r>
      <w:r>
        <w:t xml:space="preserve">His gift was one silver dish, its weight one hundred thirty shekels, one silver bowl of seventy shekels by the holy shekel, both full of fine flour prepared with oil for sacrifice,</w:t>
      </w:r>
    </w:p>
    <w:p>
      <w:r>
        <w:rPr>
          <w:b/>
        </w:rPr>
        <w:t xml:space="preserve">44 </w:t>
      </w:r>
      <w:r>
        <w:t xml:space="preserve">one golden censer of ten gold pieces, full of incense,</w:t>
      </w:r>
    </w:p>
    <w:p>
      <w:r>
        <w:rPr>
          <w:b/>
        </w:rPr>
        <w:t xml:space="preserve">45 </w:t>
      </w:r>
      <w:r>
        <w:t xml:space="preserve">one bull from the cattle, one ram, one yearling lamb, for whole burnt offering,</w:t>
      </w:r>
    </w:p>
    <w:p>
      <w:r>
        <w:rPr>
          <w:b/>
        </w:rPr>
        <w:t xml:space="preserve">46 </w:t>
      </w:r>
      <w:r>
        <w:t xml:space="preserve">and one goat kid for sin offering,</w:t>
      </w:r>
    </w:p>
    <w:p>
      <w:r>
        <w:rPr>
          <w:b/>
        </w:rPr>
        <w:t xml:space="preserve">47 </w:t>
      </w:r>
      <w:r>
        <w:t xml:space="preserve">and for the sacrifice of salvation, two cows, five rams, five goats, five yearling ewe lambs. This was the gift of Eliasaph son of Reuel.</w:t>
      </w:r>
    </w:p>
    <w:p>
      <w:r>
        <w:rPr>
          <w:b/>
        </w:rPr>
        <w:t xml:space="preserve">48 </w:t>
      </w:r>
      <w:r>
        <w:t xml:space="preserve">On the seventh day, the chief of the sons of Ephraim was Elishama</w:t>
      </w:r>
      <w:r>
        <w:rPr>
          <w:rStyle w:val="FootnoteReference"/>
        </w:rPr>
        <w:footnoteReference w:id="2631"/>
      </w:r>
      <w:r>
        <w:t xml:space="preserve"> son of Ammihud.</w:t>
      </w:r>
    </w:p>
    <w:p>
      <w:r>
        <w:rPr>
          <w:b/>
        </w:rPr>
        <w:t xml:space="preserve">49 </w:t>
      </w:r>
      <w:r>
        <w:t xml:space="preserve">His gift was one silver dish, its weight one hundred thirty shekels, one silver bowl of seventy shekels by the holy shekel, both full of fine flour prepared with oil for sacrifice,</w:t>
      </w:r>
    </w:p>
    <w:p>
      <w:r>
        <w:rPr>
          <w:b/>
        </w:rPr>
        <w:t xml:space="preserve">50 </w:t>
      </w:r>
      <w:r>
        <w:t xml:space="preserve">one golden censer of ten gold pieces, full of incense,</w:t>
      </w:r>
    </w:p>
    <w:p>
      <w:r>
        <w:rPr>
          <w:b/>
        </w:rPr>
        <w:t xml:space="preserve">51 </w:t>
      </w:r>
      <w:r>
        <w:t xml:space="preserve">one bull from the cattle, one ram, one yearling lamb, for whole burnt offering,</w:t>
      </w:r>
    </w:p>
    <w:p>
      <w:r>
        <w:rPr>
          <w:b/>
        </w:rPr>
        <w:t xml:space="preserve">52 </w:t>
      </w:r>
      <w:r>
        <w:t xml:space="preserve">and one goat kid for sin offering,</w:t>
      </w:r>
    </w:p>
    <w:p>
      <w:r>
        <w:rPr>
          <w:b/>
        </w:rPr>
        <w:t xml:space="preserve">53 </w:t>
      </w:r>
      <w:r>
        <w:t xml:space="preserve">and for the sacrifice of salvation, two cows, five rams, five goats, five yearling ewe lambs. This was the gift of Elishama son of Ammihud.</w:t>
      </w:r>
    </w:p>
    <w:p>
      <w:r>
        <w:rPr>
          <w:b/>
        </w:rPr>
        <w:t xml:space="preserve">54 </w:t>
      </w:r>
      <w:r>
        <w:t xml:space="preserve">On the eighth day, the chief of the sons of Manasseh was Gamaliel son of Pedahzur.</w:t>
      </w:r>
    </w:p>
    <w:p>
      <w:r>
        <w:rPr>
          <w:b/>
        </w:rPr>
        <w:t xml:space="preserve">55 </w:t>
      </w:r>
      <w:r>
        <w:t xml:space="preserve">His gift was one silver dish, its weight one hundred thirty shekels, one silver bowl of seventy shekels by the holy shekel, both full of fine flour prepared with oil for sacrifice,</w:t>
      </w:r>
    </w:p>
    <w:p>
      <w:r>
        <w:rPr>
          <w:b/>
        </w:rPr>
        <w:t xml:space="preserve">56 </w:t>
      </w:r>
      <w:r>
        <w:t xml:space="preserve">one golden censer of ten gold pieces, full of incense,</w:t>
      </w:r>
    </w:p>
    <w:p>
      <w:r>
        <w:rPr>
          <w:b/>
        </w:rPr>
        <w:t xml:space="preserve">57 </w:t>
      </w:r>
      <w:r>
        <w:t xml:space="preserve">one bull from the cattle, one ram, one yearling lamb, for whole burnt offering,</w:t>
      </w:r>
    </w:p>
    <w:p>
      <w:r>
        <w:rPr>
          <w:b/>
        </w:rPr>
        <w:t xml:space="preserve">58 </w:t>
      </w:r>
      <w:r>
        <w:t xml:space="preserve">and one goat kid for sin offering,</w:t>
      </w:r>
    </w:p>
    <w:p>
      <w:r>
        <w:rPr>
          <w:b/>
        </w:rPr>
        <w:t xml:space="preserve">59 </w:t>
      </w:r>
      <w:r>
        <w:t xml:space="preserve">and for the sacrifice of salvation, two cows, five rams, five goats, five yearling ewe lambs. This was the gift of Gamaliel son of Pedahzur.</w:t>
      </w:r>
    </w:p>
    <w:p>
      <w:r>
        <w:rPr>
          <w:b/>
        </w:rPr>
        <w:t xml:space="preserve">60 </w:t>
      </w:r>
      <w:r>
        <w:t xml:space="preserve">On the ninth day, the chief of the sons of Benjamin was Abidan son of Gideoni.</w:t>
      </w:r>
    </w:p>
    <w:p>
      <w:r>
        <w:rPr>
          <w:b/>
        </w:rPr>
        <w:t xml:space="preserve">61 </w:t>
      </w:r>
      <w:r>
        <w:t xml:space="preserve">His gift was one silver dish, its weight one hundred thirty shekels, one silver bowl of seventy shekels by the holy shekel, both full of fine flour prepared with oil for sacrifice,</w:t>
      </w:r>
    </w:p>
    <w:p>
      <w:r>
        <w:rPr>
          <w:b/>
        </w:rPr>
        <w:t xml:space="preserve">62 </w:t>
      </w:r>
      <w:r>
        <w:t xml:space="preserve">one golden censer of ten gold pieces, full of incense,</w:t>
      </w:r>
    </w:p>
    <w:p>
      <w:r>
        <w:rPr>
          <w:b/>
        </w:rPr>
        <w:t xml:space="preserve">63 </w:t>
      </w:r>
      <w:r>
        <w:t xml:space="preserve">one bull from the cattle, one ram, one yearling lamb, for whole burnt offering,</w:t>
      </w:r>
    </w:p>
    <w:p>
      <w:r>
        <w:rPr>
          <w:b/>
        </w:rPr>
        <w:t xml:space="preserve">64 </w:t>
      </w:r>
      <w:r>
        <w:t xml:space="preserve">and one goat kid for sin offering,</w:t>
      </w:r>
    </w:p>
    <w:p>
      <w:r>
        <w:rPr>
          <w:b/>
        </w:rPr>
        <w:t xml:space="preserve">65 </w:t>
      </w:r>
      <w:r>
        <w:t xml:space="preserve">and for the sacrifice of salvation, two cows, five rams, five goats, five yearling ewe lambs. This was the gift of Abidan son of Gideoni.</w:t>
      </w:r>
    </w:p>
    <w:p>
      <w:r>
        <w:rPr>
          <w:b/>
        </w:rPr>
        <w:t xml:space="preserve">66 </w:t>
      </w:r>
      <w:r>
        <w:t xml:space="preserve">On the tenth day</w:t>
      </w:r>
      <w:r>
        <w:rPr>
          <w:rStyle w:val="FootnoteReference"/>
        </w:rPr>
        <w:footnoteReference w:id="2632"/>
      </w:r>
      <w:r>
        <w:t xml:space="preserve">, the chief of the sons of Dan was Ahiezer son of Ammishaddai.</w:t>
      </w:r>
    </w:p>
    <w:p>
      <w:r>
        <w:rPr>
          <w:b/>
        </w:rPr>
        <w:t xml:space="preserve">67 </w:t>
      </w:r>
      <w:r>
        <w:t xml:space="preserve">His gift was one silver dish, its weight one hundred thirty shekels, one silver bowl of seventy shekels by the holy shekel, both full of fine flour prepared with oil for sacrifice,</w:t>
      </w:r>
    </w:p>
    <w:p>
      <w:r>
        <w:rPr>
          <w:b/>
        </w:rPr>
        <w:t xml:space="preserve">68 </w:t>
      </w:r>
      <w:r>
        <w:t xml:space="preserve">one golden censer of ten gold pieces, full of incense,</w:t>
      </w:r>
    </w:p>
    <w:p>
      <w:r>
        <w:rPr>
          <w:b/>
        </w:rPr>
        <w:t xml:space="preserve">69 </w:t>
      </w:r>
      <w:r>
        <w:t xml:space="preserve">one bull from the cattle, one ram, one yearling lamb, for whole burnt offering,</w:t>
      </w:r>
    </w:p>
    <w:p>
      <w:r>
        <w:rPr>
          <w:b/>
        </w:rPr>
        <w:t xml:space="preserve">70 </w:t>
      </w:r>
      <w:r>
        <w:t xml:space="preserve">and one goat kid for sin offering,</w:t>
      </w:r>
    </w:p>
    <w:p>
      <w:r>
        <w:rPr>
          <w:b/>
        </w:rPr>
        <w:t xml:space="preserve">71 </w:t>
      </w:r>
      <w:r>
        <w:t xml:space="preserve">and for the sacrifice of salvation, two cows, five rams, five goats, five yearling ewe lambs. This was the gift of Ahiezer son of Ammishaddai.</w:t>
      </w:r>
    </w:p>
    <w:p>
      <w:r>
        <w:rPr>
          <w:b/>
        </w:rPr>
        <w:t xml:space="preserve">72 </w:t>
      </w:r>
      <w:r>
        <w:t xml:space="preserve">On the eleventh day</w:t>
      </w:r>
      <w:r>
        <w:rPr>
          <w:rStyle w:val="FootnoteReference"/>
        </w:rPr>
        <w:footnoteReference w:id="2633"/>
      </w:r>
      <w:r>
        <w:t xml:space="preserve">, the chief of the sons of Asher was Pagiel son of Ocran.</w:t>
      </w:r>
    </w:p>
    <w:p>
      <w:r>
        <w:rPr>
          <w:b/>
        </w:rPr>
        <w:t xml:space="preserve">73 </w:t>
      </w:r>
      <w:r>
        <w:t xml:space="preserve">His gift was one silver dish, its weight one hundred thirty shekels, one silver bowl of seventy shekels by the holy shekel, both full of fine flour prepared with oil for sacrifice,</w:t>
      </w:r>
    </w:p>
    <w:p>
      <w:r>
        <w:rPr>
          <w:b/>
        </w:rPr>
        <w:t xml:space="preserve">74 </w:t>
      </w:r>
      <w:r>
        <w:t xml:space="preserve">one golden censer of ten gold pieces, full of incense,</w:t>
      </w:r>
    </w:p>
    <w:p>
      <w:r>
        <w:rPr>
          <w:b/>
        </w:rPr>
        <w:t xml:space="preserve">75 </w:t>
      </w:r>
      <w:r>
        <w:t xml:space="preserve">one bull from the cattle, one ram, one yearling lamb, for whole burnt offering,</w:t>
      </w:r>
    </w:p>
    <w:p>
      <w:r>
        <w:rPr>
          <w:b/>
        </w:rPr>
        <w:t xml:space="preserve">76 </w:t>
      </w:r>
      <w:r>
        <w:t xml:space="preserve">and one goat kid for sin offering,</w:t>
      </w:r>
    </w:p>
    <w:p>
      <w:r>
        <w:rPr>
          <w:b/>
        </w:rPr>
        <w:t xml:space="preserve">77 </w:t>
      </w:r>
      <w:r>
        <w:t xml:space="preserve">and for the sacrifice of salvation, two cows, five rams, five goats, five yearling ewe lambs. This was the gift of Pagiel son of Ocran.</w:t>
      </w:r>
    </w:p>
    <w:p>
      <w:r>
        <w:rPr>
          <w:b/>
        </w:rPr>
        <w:t xml:space="preserve">78 </w:t>
      </w:r>
      <w:r>
        <w:t xml:space="preserve">On the twelfth day, the chief of the sons of Naphtali was Ahira son of Enan.</w:t>
      </w:r>
    </w:p>
    <w:p>
      <w:r>
        <w:rPr>
          <w:b/>
        </w:rPr>
        <w:t xml:space="preserve">79 </w:t>
      </w:r>
      <w:r>
        <w:t xml:space="preserve">His gift was one silver dish, its weight one hundred thirty shekels, one silver bowl of seventy shekels by the holy shekel, both full of fine flour prepared with oil for sacrifice,</w:t>
      </w:r>
    </w:p>
    <w:p>
      <w:r>
        <w:rPr>
          <w:b/>
        </w:rPr>
        <w:t xml:space="preserve">80 </w:t>
      </w:r>
      <w:r>
        <w:t xml:space="preserve">one golden censer of ten gold pieces, full of incense,</w:t>
      </w:r>
    </w:p>
    <w:p>
      <w:r>
        <w:rPr>
          <w:b/>
        </w:rPr>
        <w:t xml:space="preserve">81 </w:t>
      </w:r>
      <w:r>
        <w:t xml:space="preserve">one bull from the cattle, one ram, one yearling lamb, for whole burnt offering,</w:t>
      </w:r>
    </w:p>
    <w:p>
      <w:r>
        <w:rPr>
          <w:b/>
        </w:rPr>
        <w:t xml:space="preserve">82 </w:t>
      </w:r>
      <w:r>
        <w:t xml:space="preserve">and one goat kid for sin offering,</w:t>
      </w:r>
    </w:p>
    <w:p>
      <w:r>
        <w:rPr>
          <w:b/>
        </w:rPr>
        <w:t xml:space="preserve">83 </w:t>
      </w:r>
      <w:r>
        <w:t xml:space="preserve">and for the sacrifice of salvation, two cows, five rams, five goats, five yearling ewe lambs. This was the gift of Ahira son of Enan.</w:t>
      </w:r>
    </w:p>
    <w:p>
      <w:r>
        <w:rPr>
          <w:b/>
        </w:rPr>
        <w:t xml:space="preserve">84 </w:t>
      </w:r>
      <w:r>
        <w:t xml:space="preserve">This was the dedication</w:t>
      </w:r>
      <w:r>
        <w:rPr>
          <w:rStyle w:val="FootnoteReference"/>
        </w:rPr>
        <w:footnoteReference w:id="2634"/>
      </w:r>
      <w:r>
        <w:t xml:space="preserve"> of the altar on the day he anointed it, from the chiefs of the sons of Israel: twelve silver dishes, twelve silver bowls, twelve golden censers,</w:t>
      </w:r>
    </w:p>
    <w:p>
      <w:r>
        <w:rPr>
          <w:b/>
        </w:rPr>
        <w:t xml:space="preserve">85 </w:t>
      </w:r>
      <w:r>
        <w:t xml:space="preserve">each dish one hundred thirty shekels, and each bowl seventy shekels. All the silver of the vessels was two thousand</w:t>
      </w:r>
      <w:r>
        <w:rPr>
          <w:rStyle w:val="FootnoteReference"/>
        </w:rPr>
        <w:footnoteReference w:id="2635"/>
      </w:r>
      <w:r>
        <w:t xml:space="preserve"> four hundred shekels by the holy shekel.</w:t>
      </w:r>
    </w:p>
    <w:p>
      <w:r>
        <w:rPr>
          <w:b/>
        </w:rPr>
        <w:t xml:space="preserve">86 </w:t>
      </w:r>
      <w:r>
        <w:t xml:space="preserve">Twelve golden censers full of incense. All the gold of the censers was one hundred twenty gold pieces.</w:t>
      </w:r>
    </w:p>
    <w:p>
      <w:r>
        <w:rPr>
          <w:b/>
        </w:rPr>
        <w:t xml:space="preserve">87 </w:t>
      </w:r>
      <w:r>
        <w:t xml:space="preserve">All the cattle for whole burnt offering were twelve bulls, twelve rams, twelve yearling lambs, and their sacrifices and their libations, and twelve goat kids for sin offering.</w:t>
      </w:r>
    </w:p>
    <w:p>
      <w:r>
        <w:rPr>
          <w:b/>
        </w:rPr>
        <w:t xml:space="preserve">88 </w:t>
      </w:r>
      <w:r>
        <w:t xml:space="preserve">All the cattle for the sacrifice of salvation</w:t>
      </w:r>
      <w:r>
        <w:rPr>
          <w:rStyle w:val="FootnoteReference"/>
        </w:rPr>
        <w:footnoteReference w:id="2636"/>
      </w:r>
      <w:r>
        <w:t xml:space="preserve"> were twenty-four cows, sixty rams, sixty goats, sixty unblemished yearling ewe lambs. This was the dedication of the altar after the filling of its hands and after he anointed it.</w:t>
      </w:r>
    </w:p>
    <w:p>
      <w:r>
        <w:rPr>
          <w:b/>
        </w:rPr>
        <w:t xml:space="preserve">89 </w:t>
      </w:r>
      <w:r>
        <w:t xml:space="preserve">When Moses entered into the tent of testimony to speak</w:t>
      </w:r>
      <w:r>
        <w:rPr>
          <w:rStyle w:val="FootnoteReference"/>
        </w:rPr>
        <w:footnoteReference w:id="2637"/>
      </w:r>
      <w:r>
        <w:t xml:space="preserve"> with him, he heard the voice of the Lord speaking</w:t>
      </w:r>
      <w:r>
        <w:rPr>
          <w:rStyle w:val="FootnoteReference"/>
        </w:rPr>
        <w:footnoteReference w:id="2638"/>
      </w:r>
      <w:r>
        <w:t xml:space="preserve"> to him from above the mercy seat that is upon the ark of testimony, from between the two cherubim, and he spoke to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the Lord spoke to Moses, saying,</w:t>
      </w:r>
    </w:p>
    <w:p>
      <w:r>
        <w:rPr>
          <w:b/>
        </w:rPr>
        <w:t xml:space="preserve">2 </w:t>
      </w:r>
      <w:r>
        <w:t xml:space="preserve">Speak to Aaron, and you shall say to him: When you set the lamps in place, toward the front of the lampstand the seven lamps shall give light.</w:t>
      </w:r>
    </w:p>
    <w:p>
      <w:r>
        <w:rPr>
          <w:b/>
        </w:rPr>
        <w:t xml:space="preserve">3 </w:t>
      </w:r>
      <w:r>
        <w:t xml:space="preserve">And Aaron did so. From one side toward the front of the lampstand he lit its lamps, just as the Lord commanded Moses.</w:t>
      </w:r>
    </w:p>
    <w:p>
      <w:r>
        <w:rPr>
          <w:b/>
        </w:rPr>
        <w:t xml:space="preserve">4 </w:t>
      </w:r>
      <w:r>
        <w:t xml:space="preserve">And this was the workmanship of the lampstand: solid gold</w:t>
      </w:r>
      <w:r>
        <w:rPr>
          <w:rStyle w:val="FootnoteReference"/>
        </w:rPr>
        <w:footnoteReference w:id="2639"/>
      </w:r>
      <w:r>
        <w:t xml:space="preserve">, its stem and its lilies, all solid. According to the pattern</w:t>
      </w:r>
      <w:r>
        <w:rPr>
          <w:rStyle w:val="FootnoteReference"/>
        </w:rPr>
        <w:footnoteReference w:id="2640"/>
      </w:r>
      <w:r>
        <w:t xml:space="preserve"> the Lord showed Moses, so he made the lampstand.</w:t>
      </w:r>
    </w:p>
    <w:p>
      <w:r>
        <w:rPr>
          <w:b/>
        </w:rPr>
        <w:t xml:space="preserve">5 </w:t>
      </w:r>
      <w:r>
        <w:t xml:space="preserve">And the Lord spoke to Moses, saying,</w:t>
      </w:r>
    </w:p>
    <w:p>
      <w:r>
        <w:rPr>
          <w:b/>
        </w:rPr>
        <w:t xml:space="preserve">6 </w:t>
      </w:r>
      <w:r>
        <w:t xml:space="preserve">Take the Levites from the midst of the sons of Israel and purify them.</w:t>
      </w:r>
    </w:p>
    <w:p>
      <w:r>
        <w:rPr>
          <w:b/>
        </w:rPr>
        <w:t xml:space="preserve">7 </w:t>
      </w:r>
      <w:r>
        <w:t xml:space="preserve">And thus you shall do to them for their purification: sprinkle</w:t>
      </w:r>
      <w:r>
        <w:rPr>
          <w:rStyle w:val="FootnoteReference"/>
        </w:rPr>
        <w:footnoteReference w:id="2641"/>
      </w:r>
      <w:r>
        <w:t xml:space="preserve"> them with the water of purification, and a razor shall go over all their body, and they shall wash their garments and be clean.</w:t>
      </w:r>
    </w:p>
    <w:p>
      <w:r>
        <w:rPr>
          <w:b/>
        </w:rPr>
        <w:t xml:space="preserve">8 </w:t>
      </w:r>
      <w:r>
        <w:t xml:space="preserve">And they shall take one bull from the cattle and its sacrifice of fine flour prepared with oil, and you shall take another</w:t>
      </w:r>
      <w:r>
        <w:rPr>
          <w:rStyle w:val="FootnoteReference"/>
        </w:rPr>
        <w:footnoteReference w:id="2642"/>
      </w:r>
      <w:r>
        <w:t xml:space="preserve"> yearling bull from the cattle for sin offering.</w:t>
      </w:r>
    </w:p>
    <w:p>
      <w:r>
        <w:rPr>
          <w:b/>
        </w:rPr>
        <w:t xml:space="preserve">9 </w:t>
      </w:r>
      <w:r>
        <w:t xml:space="preserve">And you shall bring the Levites before the tent of testimony, and you shall gather the whole congregation of the sons of Israel.</w:t>
      </w:r>
    </w:p>
    <w:p>
      <w:r>
        <w:rPr>
          <w:b/>
        </w:rPr>
        <w:t xml:space="preserve">10 </w:t>
      </w:r>
      <w:r>
        <w:t xml:space="preserve">And you shall bring the Levites before the Lord, and the sons of Israel shall place their hands upon the Levites.</w:t>
      </w:r>
    </w:p>
    <w:p>
      <w:r>
        <w:rPr>
          <w:b/>
        </w:rPr>
        <w:t xml:space="preserve">11 </w:t>
      </w:r>
      <w:r>
        <w:t xml:space="preserve">And Aaron shall set apart the Levites as an offering</w:t>
      </w:r>
      <w:r>
        <w:rPr>
          <w:rStyle w:val="FootnoteReference"/>
        </w:rPr>
        <w:footnoteReference w:id="2643"/>
      </w:r>
      <w:r>
        <w:t xml:space="preserve"> before the Lord from the sons of Israel, and they shall be for working the works of the Lord.</w:t>
      </w:r>
    </w:p>
    <w:p>
      <w:r>
        <w:rPr>
          <w:b/>
        </w:rPr>
        <w:t xml:space="preserve">12 </w:t>
      </w:r>
      <w:r>
        <w:t xml:space="preserve">And the Levites</w:t>
      </w:r>
      <w:r>
        <w:rPr>
          <w:rStyle w:val="FootnoteReference"/>
        </w:rPr>
        <w:footnoteReference w:id="2644"/>
      </w:r>
      <w:r>
        <w:t xml:space="preserve"> shall place their hands upon the heads of the bulls, and he shall make one a sin offering</w:t>
      </w:r>
      <w:r>
        <w:rPr>
          <w:rStyle w:val="FootnoteReference"/>
        </w:rPr>
        <w:footnoteReference w:id="2645"/>
      </w:r>
      <w:r>
        <w:t xml:space="preserve"> and one a whole burnt offering to the Lord, to make atonement for them.</w:t>
      </w:r>
    </w:p>
    <w:p>
      <w:r>
        <w:rPr>
          <w:b/>
        </w:rPr>
        <w:t xml:space="preserve">13 </w:t>
      </w:r>
      <w:r>
        <w:t xml:space="preserve">And you shall station the Levites before the Lord and before Aaron and before his sons, and you shall present them as an offering before the Lord.</w:t>
      </w:r>
    </w:p>
    <w:p>
      <w:r>
        <w:rPr>
          <w:b/>
        </w:rPr>
        <w:t xml:space="preserve">14 </w:t>
      </w:r>
      <w:r>
        <w:t xml:space="preserve">And you shall separate</w:t>
      </w:r>
      <w:r>
        <w:rPr>
          <w:rStyle w:val="FootnoteReference"/>
        </w:rPr>
        <w:footnoteReference w:id="2646"/>
      </w:r>
      <w:r>
        <w:t xml:space="preserve"> the Levites from the midst of the sons of Israel, and they shall be mine.</w:t>
      </w:r>
    </w:p>
    <w:p>
      <w:r>
        <w:rPr>
          <w:b/>
        </w:rPr>
        <w:t xml:space="preserve">15 </w:t>
      </w:r>
      <w:r>
        <w:t xml:space="preserve">And after these things the Levites shall go in</w:t>
      </w:r>
      <w:r>
        <w:rPr>
          <w:rStyle w:val="FootnoteReference"/>
        </w:rPr>
        <w:footnoteReference w:id="2647"/>
      </w:r>
      <w:r>
        <w:t xml:space="preserve"> to work the works of the tent of testimony, and you shall cleanse them and present them before the Lord.</w:t>
      </w:r>
    </w:p>
    <w:p>
      <w:r>
        <w:rPr>
          <w:b/>
        </w:rPr>
        <w:t xml:space="preserve">16 </w:t>
      </w:r>
      <w:r>
        <w:t xml:space="preserve">Because given as a gift, gift-given, these are mine from the midst of the sons of Israel. In place of those opening every womb, all the firstborn of the sons of Israel, I have taken them for myself.</w:t>
      </w:r>
    </w:p>
    <w:p>
      <w:r>
        <w:rPr>
          <w:b/>
        </w:rPr>
        <w:t xml:space="preserve">17 </w:t>
      </w:r>
      <w:r>
        <w:t xml:space="preserve">Because every firstborn among the sons of Israel is mine, from human to beast. On the day</w:t>
      </w:r>
      <w:r>
        <w:rPr>
          <w:rStyle w:val="FootnoteReference"/>
        </w:rPr>
        <w:footnoteReference w:id="2648"/>
      </w:r>
      <w:r>
        <w:t xml:space="preserve"> I struck every firstborn in the land of Egypt, I sanctified them to myself.</w:t>
      </w:r>
    </w:p>
    <w:p>
      <w:r>
        <w:rPr>
          <w:b/>
        </w:rPr>
        <w:t xml:space="preserve">18 </w:t>
      </w:r>
      <w:r>
        <w:t xml:space="preserve">And I took the Levites instead of every firstborn among the sons of Israel.</w:t>
      </w:r>
    </w:p>
    <w:p>
      <w:r>
        <w:rPr>
          <w:b/>
        </w:rPr>
        <w:t xml:space="preserve">19 </w:t>
      </w:r>
      <w:r>
        <w:t xml:space="preserve">And I gave the Levites as an offering, given</w:t>
      </w:r>
      <w:r>
        <w:rPr>
          <w:rStyle w:val="FootnoteReference"/>
        </w:rPr>
        <w:footnoteReference w:id="2649"/>
      </w:r>
      <w:r>
        <w:t xml:space="preserve"> to Aaron and to his sons from the midst of the sons of Israel, to work the works of the sons of Israel in the tent of testimony and to make atonement for the sons of Israel, and there shall not be among the sons of Israel one coming near the holy things.</w:t>
      </w:r>
    </w:p>
    <w:p>
      <w:r>
        <w:rPr>
          <w:b/>
        </w:rPr>
        <w:t xml:space="preserve">20 </w:t>
      </w:r>
      <w:r>
        <w:t xml:space="preserve">And Moses and Aaron and the whole congregation of the sons of Israel did to the Levites just as the Lord commanded Moses concerning the Levites; so the sons of Israel did to them.</w:t>
      </w:r>
    </w:p>
    <w:p>
      <w:r>
        <w:rPr>
          <w:b/>
        </w:rPr>
        <w:t xml:space="preserve">21 </w:t>
      </w:r>
      <w:r>
        <w:t xml:space="preserve">And the Levites purified themselves and washed their garments, and Aaron presented them as an offering before the Lord, and Aaron made</w:t>
      </w:r>
      <w:r>
        <w:rPr>
          <w:rStyle w:val="FootnoteReference"/>
        </w:rPr>
        <w:footnoteReference w:id="2650"/>
      </w:r>
      <w:r>
        <w:t xml:space="preserve"> atonement for them to purify them.</w:t>
      </w:r>
    </w:p>
    <w:p>
      <w:r>
        <w:rPr>
          <w:b/>
        </w:rPr>
        <w:t xml:space="preserve">22 </w:t>
      </w:r>
      <w:r>
        <w:t xml:space="preserve">And after these things the Levites went in to minister their ministry</w:t>
      </w:r>
      <w:r>
        <w:rPr>
          <w:rStyle w:val="FootnoteReference"/>
        </w:rPr>
        <w:footnoteReference w:id="2651"/>
      </w:r>
      <w:r>
        <w:t xml:space="preserve"> in the tent of testimony before Aaron and before his sons. Just as the Lord</w:t>
      </w:r>
      <w:r>
        <w:rPr>
          <w:rStyle w:val="FootnoteReference"/>
        </w:rPr>
        <w:footnoteReference w:id="2652"/>
      </w:r>
      <w:r>
        <w:t xml:space="preserve"> commanded Moses concerning the Levites, so they did to them.</w:t>
      </w:r>
    </w:p>
    <w:p>
      <w:r>
        <w:rPr>
          <w:b/>
        </w:rPr>
        <w:t xml:space="preserve">23 </w:t>
      </w:r>
      <w:r>
        <w:t xml:space="preserve">And the Lord spoke to Moses, saying,</w:t>
      </w:r>
    </w:p>
    <w:p>
      <w:r>
        <w:rPr>
          <w:b/>
        </w:rPr>
        <w:t xml:space="preserve">24 </w:t>
      </w:r>
      <w:r>
        <w:t xml:space="preserve">This is what concerns the Levites: from twenty</w:t>
      </w:r>
      <w:r>
        <w:rPr>
          <w:rStyle w:val="FootnoteReference"/>
        </w:rPr>
        <w:footnoteReference w:id="2653"/>
      </w:r>
      <w:r>
        <w:t xml:space="preserve">-five years old and upward they shall go in to work in the tent of testimony.</w:t>
      </w:r>
    </w:p>
    <w:p>
      <w:r>
        <w:rPr>
          <w:b/>
        </w:rPr>
        <w:t xml:space="preserve">25 </w:t>
      </w:r>
      <w:r>
        <w:t xml:space="preserve">And from fifty years old they shall withdraw from the ministry and shall work no more.</w:t>
      </w:r>
    </w:p>
    <w:p>
      <w:r>
        <w:rPr>
          <w:b/>
        </w:rPr>
        <w:t xml:space="preserve">26 </w:t>
      </w:r>
      <w:r>
        <w:t xml:space="preserve">But his brother shall minister in the tent of testimony to keep</w:t>
      </w:r>
      <w:r>
        <w:rPr>
          <w:rStyle w:val="FootnoteReference"/>
        </w:rPr>
        <w:footnoteReference w:id="2654"/>
      </w:r>
      <w:r>
        <w:t xml:space="preserve"> charges, though he shall do no work. Thus you shall do to the Levites in their charges.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the Lord spoke to Moses in the wilderness of Sinai, in the second year after they came out of the land of Egypt, in the first month</w:t>
      </w:r>
      <w:r>
        <w:rPr>
          <w:rStyle w:val="FootnoteReference"/>
        </w:rPr>
        <w:footnoteReference w:id="2655"/>
      </w:r>
      <w:r>
        <w:t xml:space="preserve">, saying,</w:t>
      </w:r>
    </w:p>
    <w:p>
      <w:r>
        <w:rPr>
          <w:b/>
        </w:rPr>
        <w:t xml:space="preserve">2 </w:t>
      </w:r>
      <w:r>
        <w:t xml:space="preserve">Tell the sons of Israel also to keep the Passover at its appointed time</w:t>
      </w:r>
      <w:r>
        <w:rPr>
          <w:rStyle w:val="FootnoteReference"/>
        </w:rPr>
        <w:footnoteReference w:id="2656"/>
      </w:r>
      <w:r>
        <w:t xml:space="preserve">.</w:t>
      </w:r>
      <w:r>
        <w:rPr>
          <w:rStyle w:val="FootnoteReference"/>
        </w:rPr>
        <w:footnoteReference w:id="2657"/>
      </w:r>
    </w:p>
    <w:p>
      <w:r>
        <w:rPr>
          <w:b/>
        </w:rPr>
        <w:t xml:space="preserve">3 </w:t>
      </w:r>
      <w:r>
        <w:t xml:space="preserve">On the fourteenth</w:t>
      </w:r>
      <w:r>
        <w:rPr>
          <w:rStyle w:val="FootnoteReference"/>
        </w:rPr>
        <w:footnoteReference w:id="2658"/>
      </w:r>
      <w:r>
        <w:t xml:space="preserve"> day of the first month, toward evening, you shall keep it at its appointed times. According to its law and according to its ordinance you shall keep it.</w:t>
      </w:r>
    </w:p>
    <w:p>
      <w:r>
        <w:rPr>
          <w:b/>
        </w:rPr>
        <w:t xml:space="preserve">4 </w:t>
      </w:r>
      <w:r>
        <w:t xml:space="preserve">And Moses spoke to the sons of Israel to keep the Passover.</w:t>
      </w:r>
    </w:p>
    <w:p>
      <w:r>
        <w:rPr>
          <w:b/>
        </w:rPr>
        <w:t xml:space="preserve">5 </w:t>
      </w:r>
      <w:r>
        <w:t xml:space="preserve">At evening, on the fourteenth day of the month, in the wilderness of Sinai, just as the Lord commanded Moses, so the sons of Israel did.</w:t>
      </w:r>
    </w:p>
    <w:p>
      <w:r>
        <w:rPr>
          <w:b/>
        </w:rPr>
        <w:t xml:space="preserve">6 </w:t>
      </w:r>
      <w:r>
        <w:t xml:space="preserve">And there were men who were unclean by a dead person and were not able to keep the Passover on that day, and they came</w:t>
      </w:r>
      <w:r>
        <w:rPr>
          <w:rStyle w:val="FootnoteReference"/>
        </w:rPr>
        <w:footnoteReference w:id="2659"/>
      </w:r>
      <w:r>
        <w:t xml:space="preserve"> before Moses and Aaron on that day.</w:t>
      </w:r>
    </w:p>
    <w:p>
      <w:r>
        <w:rPr>
          <w:b/>
        </w:rPr>
        <w:t xml:space="preserve">7 </w:t>
      </w:r>
      <w:r>
        <w:t xml:space="preserve">And those men said to him, We are unclean by a dead person. Must we then be kept back from bringing the Lord's gift at its appointed time in the midst of the sons of Israel?</w:t>
      </w:r>
    </w:p>
    <w:p>
      <w:r>
        <w:rPr>
          <w:b/>
        </w:rPr>
        <w:t xml:space="preserve">8 </w:t>
      </w:r>
      <w:r>
        <w:t xml:space="preserve">And Moses said to them, Stand</w:t>
      </w:r>
      <w:r>
        <w:rPr>
          <w:rStyle w:val="FootnoteReference"/>
        </w:rPr>
        <w:footnoteReference w:id="2660"/>
      </w:r>
      <w:r>
        <w:t xml:space="preserve"> there, and I will hear what the Lord will command concerning you.</w:t>
      </w:r>
    </w:p>
    <w:p>
      <w:r>
        <w:rPr>
          <w:b/>
        </w:rPr>
        <w:t xml:space="preserve">9 </w:t>
      </w:r>
      <w:r>
        <w:t xml:space="preserve">And the Lord spoke to Moses, saying,</w:t>
      </w:r>
    </w:p>
    <w:p>
      <w:r>
        <w:rPr>
          <w:b/>
        </w:rPr>
        <w:t xml:space="preserve">10 </w:t>
      </w:r>
      <w:r>
        <w:t xml:space="preserve">Speak to the sons of Israel, saying, If any man becomes unclean by a dead person, or is on a far journey among you or in your generations, and he keeps Passover to the Lord,</w:t>
      </w:r>
    </w:p>
    <w:p>
      <w:r>
        <w:rPr>
          <w:b/>
        </w:rPr>
        <w:t xml:space="preserve">11 </w:t>
      </w:r>
      <w:r>
        <w:t xml:space="preserve">then in the second month, on the fourteenth</w:t>
      </w:r>
      <w:r>
        <w:rPr>
          <w:rStyle w:val="FootnoteReference"/>
        </w:rPr>
        <w:footnoteReference w:id="2661"/>
      </w:r>
      <w:r>
        <w:t xml:space="preserve"> day toward evening, they shall keep it. With unleavened bread and bitter herbs they shall eat it.</w:t>
      </w:r>
    </w:p>
    <w:p>
      <w:r>
        <w:rPr>
          <w:b/>
        </w:rPr>
        <w:t xml:space="preserve">12 </w:t>
      </w:r>
      <w:r>
        <w:t xml:space="preserve">They shall leave</w:t>
      </w:r>
      <w:r>
        <w:rPr>
          <w:rStyle w:val="FootnoteReference"/>
        </w:rPr>
        <w:footnoteReference w:id="2662"/>
      </w:r>
      <w:r>
        <w:t xml:space="preserve"> none of it until morning, and they shall not break a bone of it</w:t>
      </w:r>
      <w:r>
        <w:rPr>
          <w:rStyle w:val="FootnoteReference"/>
        </w:rPr>
        <w:footnoteReference w:id="2663"/>
      </w:r>
      <w:r>
        <w:t xml:space="preserve">. According to the law of the Passover they shall keep it.</w:t>
      </w:r>
    </w:p>
    <w:p>
      <w:r>
        <w:rPr>
          <w:b/>
        </w:rPr>
        <w:t xml:space="preserve">13 </w:t>
      </w:r>
      <w:r>
        <w:t xml:space="preserve">But the man who is clean and is not on a far journey and yet neglects to keep the Passover, that soul shall be cut off</w:t>
      </w:r>
      <w:r>
        <w:rPr>
          <w:rStyle w:val="FootnoteReference"/>
        </w:rPr>
        <w:footnoteReference w:id="2664"/>
      </w:r>
      <w:r>
        <w:t xml:space="preserve"> from its people, because he did not bring the Lord's gift at its appointed time. That man shall bear his sin</w:t>
      </w:r>
      <w:r>
        <w:rPr>
          <w:rStyle w:val="FootnoteReference"/>
        </w:rPr>
        <w:footnoteReference w:id="2665"/>
      </w:r>
      <w:r>
        <w:t xml:space="preserve">.</w:t>
      </w:r>
    </w:p>
    <w:p>
      <w:r>
        <w:rPr>
          <w:b/>
        </w:rPr>
        <w:t xml:space="preserve">14 </w:t>
      </w:r>
      <w:r>
        <w:t xml:space="preserve">And if a sojourner comes near you</w:t>
      </w:r>
      <w:r>
        <w:rPr>
          <w:rStyle w:val="FootnoteReference"/>
        </w:rPr>
        <w:footnoteReference w:id="2666"/>
      </w:r>
      <w:r>
        <w:t xml:space="preserve"> in your land and keeps Passover to the Lord, according to the law of the Passover and according to its ordinance he shall keep it. One law shall be for you and for the sojourner and for the native of the land.</w:t>
      </w:r>
    </w:p>
    <w:p>
      <w:r>
        <w:rPr>
          <w:b/>
        </w:rPr>
        <w:t xml:space="preserve">15 </w:t>
      </w:r>
      <w:r>
        <w:t xml:space="preserve">And on the day</w:t>
      </w:r>
      <w:r>
        <w:rPr>
          <w:rStyle w:val="FootnoteReference"/>
        </w:rPr>
        <w:footnoteReference w:id="2667"/>
      </w:r>
      <w:r>
        <w:t xml:space="preserve"> the tent was set up, the cloud covered the tent, the house of testimony. And in the evening it was over the tent like the appearance of fire until morning.</w:t>
      </w:r>
    </w:p>
    <w:p>
      <w:r>
        <w:rPr>
          <w:b/>
        </w:rPr>
        <w:t xml:space="preserve">16 </w:t>
      </w:r>
      <w:r>
        <w:t xml:space="preserve">So it was continually: the cloud covered it by day, and the appearance of fire by night.</w:t>
      </w:r>
    </w:p>
    <w:p>
      <w:r>
        <w:rPr>
          <w:b/>
        </w:rPr>
        <w:t xml:space="preserve">17 </w:t>
      </w:r>
      <w:r>
        <w:t xml:space="preserve">And whenever the cloud went up from the tent, after that the sons of Israel would set out, and in the</w:t>
      </w:r>
      <w:r>
        <w:rPr>
          <w:rStyle w:val="FootnoteReference"/>
        </w:rPr>
        <w:footnoteReference w:id="2668"/>
      </w:r>
      <w:r>
        <w:t xml:space="preserve"> place where the cloud stood, there the sons of Israel would camp.</w:t>
      </w:r>
    </w:p>
    <w:p>
      <w:r>
        <w:rPr>
          <w:b/>
        </w:rPr>
        <w:t xml:space="preserve">18 </w:t>
      </w:r>
      <w:r>
        <w:t xml:space="preserve">At the command of the Lord the sons of Israel would camp, and at the</w:t>
      </w:r>
      <w:r>
        <w:rPr>
          <w:rStyle w:val="FootnoteReference"/>
        </w:rPr>
        <w:footnoteReference w:id="2669"/>
      </w:r>
      <w:r>
        <w:t xml:space="preserve"> command of the Lord they would set out. All the days in which the cloud overshadowed the tent, the sons of Israel would camp.</w:t>
      </w:r>
    </w:p>
    <w:p>
      <w:r>
        <w:rPr>
          <w:b/>
        </w:rPr>
        <w:t xml:space="preserve">19 </w:t>
      </w:r>
      <w:r>
        <w:t xml:space="preserve">And when the cloud lingered over the tent many days, the sons of Israel kept the</w:t>
      </w:r>
      <w:r>
        <w:rPr>
          <w:rStyle w:val="FootnoteReference"/>
        </w:rPr>
        <w:footnoteReference w:id="2670"/>
      </w:r>
      <w:r>
        <w:t xml:space="preserve"> charge of God and did not set out.</w:t>
      </w:r>
    </w:p>
    <w:p>
      <w:r>
        <w:rPr>
          <w:b/>
        </w:rPr>
        <w:t xml:space="preserve">20 </w:t>
      </w:r>
      <w:r>
        <w:t xml:space="preserve">And it would happen when the cloud covered the tent for a number of days: at the Lord's voice they would camp, and at the Lord's command they would set out.</w:t>
      </w:r>
    </w:p>
    <w:p>
      <w:r>
        <w:rPr>
          <w:b/>
        </w:rPr>
        <w:t xml:space="preserve">21 </w:t>
      </w:r>
      <w:r>
        <w:t xml:space="preserve">And it would happen when the cloud was there from evening until morning and the cloud went up in the morning, they would set out by day or by night.</w:t>
      </w:r>
    </w:p>
    <w:p>
      <w:r>
        <w:rPr>
          <w:b/>
        </w:rPr>
        <w:t xml:space="preserve">22 </w:t>
      </w:r>
      <w:r>
        <w:t xml:space="preserve">Or when the cloud lingered for a month or more days</w:t>
      </w:r>
      <w:r>
        <w:rPr>
          <w:rStyle w:val="FootnoteReference"/>
        </w:rPr>
        <w:footnoteReference w:id="2671"/>
      </w:r>
      <w:r>
        <w:t xml:space="preserve">, overshadowing it, the sons of Israel would camp and would not set out.</w:t>
      </w:r>
    </w:p>
    <w:p>
      <w:r>
        <w:rPr>
          <w:b/>
        </w:rPr>
        <w:t xml:space="preserve">23 </w:t>
      </w:r>
      <w:r>
        <w:t xml:space="preserve">Because at the Lord's command they would set out, and at the Lord's command they would camp. They kept</w:t>
      </w:r>
      <w:r>
        <w:rPr>
          <w:rStyle w:val="FootnoteReference"/>
        </w:rPr>
        <w:footnoteReference w:id="2672"/>
      </w:r>
      <w:r>
        <w:t xml:space="preserve"> the charge of the Lord by Moses' hand.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the Lord spoke to Moses, saying,</w:t>
      </w:r>
    </w:p>
    <w:p>
      <w:r>
        <w:rPr>
          <w:b/>
        </w:rPr>
        <w:t xml:space="preserve">2 </w:t>
      </w:r>
      <w:r>
        <w:t xml:space="preserve">Make for yourself two silver trumpets; you shall make them hammered, and they shall be for you for calling the congregation and for breaking camp.</w:t>
      </w:r>
    </w:p>
    <w:p>
      <w:r>
        <w:rPr>
          <w:b/>
        </w:rPr>
        <w:t xml:space="preserve">3 </w:t>
      </w:r>
      <w:r>
        <w:t xml:space="preserve">And you shall blow with them, and the whole congregation shall gather to the door of the tent of testimony.</w:t>
      </w:r>
    </w:p>
    <w:p>
      <w:r>
        <w:rPr>
          <w:b/>
        </w:rPr>
        <w:t xml:space="preserve">4 </w:t>
      </w:r>
      <w:r>
        <w:t xml:space="preserve">But if they blow with one, all the chiefs, the leaders of Israel, shall come near to you.</w:t>
      </w:r>
    </w:p>
    <w:p>
      <w:r>
        <w:rPr>
          <w:b/>
        </w:rPr>
        <w:t xml:space="preserve">5 </w:t>
      </w:r>
      <w:r>
        <w:t xml:space="preserve">And you shall blow</w:t>
      </w:r>
      <w:r>
        <w:rPr>
          <w:rStyle w:val="FootnoteReference"/>
        </w:rPr>
        <w:footnoteReference w:id="2673"/>
      </w:r>
      <w:r>
        <w:t xml:space="preserve"> a signal, and the camps camping to the east shall set out.</w:t>
      </w:r>
    </w:p>
    <w:p>
      <w:r>
        <w:rPr>
          <w:b/>
        </w:rPr>
        <w:t xml:space="preserve">6 </w:t>
      </w:r>
      <w:r>
        <w:t xml:space="preserve">And you shall blow a second signal, and the camps</w:t>
      </w:r>
      <w:r>
        <w:rPr>
          <w:rStyle w:val="FootnoteReference"/>
        </w:rPr>
        <w:footnoteReference w:id="2674"/>
      </w:r>
      <w:r>
        <w:t xml:space="preserve"> camping to the south shall set out. And you shall blow a third signal, and the camps camping by the sea shall set out. And you shall blow a fourth signal, and the camps camping to the north shall set out. They shall blow a signal when they set out.</w:t>
      </w:r>
    </w:p>
    <w:p>
      <w:r>
        <w:rPr>
          <w:b/>
        </w:rPr>
        <w:t xml:space="preserve">7 </w:t>
      </w:r>
      <w:r>
        <w:t xml:space="preserve">And when you gather the congregation, you shall blow, but not a signal.</w:t>
      </w:r>
    </w:p>
    <w:p>
      <w:r>
        <w:rPr>
          <w:b/>
        </w:rPr>
        <w:t xml:space="preserve">8 </w:t>
      </w:r>
      <w:r>
        <w:t xml:space="preserve">And the sons of Aaron, the priests, shall blow the trumpets, and it shall be for you an everlasting statute throughout your generations</w:t>
      </w:r>
      <w:r>
        <w:rPr>
          <w:rStyle w:val="FootnoteReference"/>
        </w:rPr>
        <w:footnoteReference w:id="2675"/>
      </w:r>
      <w:r>
        <w:t xml:space="preserve">.</w:t>
      </w:r>
    </w:p>
    <w:p>
      <w:r>
        <w:rPr>
          <w:b/>
        </w:rPr>
        <w:t xml:space="preserve">9 </w:t>
      </w:r>
      <w:r>
        <w:t xml:space="preserve">And if you go out to war in your land against the adversaries standing against you, then you shall signal with the trumpets</w:t>
      </w:r>
      <w:r>
        <w:rPr>
          <w:rStyle w:val="FootnoteReference"/>
        </w:rPr>
        <w:footnoteReference w:id="2676"/>
      </w:r>
      <w:r>
        <w:t xml:space="preserve">, and you shall be remembered</w:t>
      </w:r>
      <w:r>
        <w:rPr>
          <w:rStyle w:val="FootnoteReference"/>
        </w:rPr>
        <w:footnoteReference w:id="2677"/>
      </w:r>
      <w:r>
        <w:t xml:space="preserve"> before the Lord and be saved from your enemies.</w:t>
      </w:r>
    </w:p>
    <w:p>
      <w:r>
        <w:rPr>
          <w:b/>
        </w:rPr>
        <w:t xml:space="preserve">10 </w:t>
      </w:r>
      <w:r>
        <w:t xml:space="preserve">And in the days of your gladness and in your feasts and in your new moons, you shall blow the trumpets over your whole burnt offerings and over your sacrifices of salvation, and it shall be a memorial</w:t>
      </w:r>
      <w:r>
        <w:rPr>
          <w:rStyle w:val="FootnoteReference"/>
        </w:rPr>
        <w:footnoteReference w:id="2678"/>
      </w:r>
      <w:r>
        <w:t xml:space="preserve"> for you before your God. I am the Lord your God.</w:t>
      </w:r>
    </w:p>
    <w:p>
      <w:r>
        <w:rPr>
          <w:b/>
        </w:rPr>
        <w:t xml:space="preserve">11 </w:t>
      </w:r>
      <w:r>
        <w:t xml:space="preserve">And it happened in the second year, in the second month, on the twentieth day of the month, that the cloud</w:t>
      </w:r>
      <w:r>
        <w:rPr>
          <w:rStyle w:val="FootnoteReference"/>
        </w:rPr>
        <w:footnoteReference w:id="2679"/>
      </w:r>
      <w:r>
        <w:t xml:space="preserve"> went up from the tent of testimony.</w:t>
      </w:r>
    </w:p>
    <w:p>
      <w:r>
        <w:rPr>
          <w:b/>
        </w:rPr>
        <w:t xml:space="preserve">12 </w:t>
      </w:r>
      <w:r>
        <w:t xml:space="preserve">And the sons of Israel set out by their stages in the wilderness</w:t>
      </w:r>
      <w:r>
        <w:rPr>
          <w:rStyle w:val="FootnoteReference"/>
        </w:rPr>
        <w:footnoteReference w:id="2680"/>
      </w:r>
      <w:r>
        <w:t xml:space="preserve"> of Sinai, and the cloud stood in the wilderness of Paran.</w:t>
      </w:r>
    </w:p>
    <w:p>
      <w:r>
        <w:rPr>
          <w:b/>
        </w:rPr>
        <w:t xml:space="preserve">13 </w:t>
      </w:r>
      <w:r>
        <w:t xml:space="preserve">And they set out first by the word of the Lord by Moses' hand.</w:t>
      </w:r>
    </w:p>
    <w:p>
      <w:r>
        <w:rPr>
          <w:b/>
        </w:rPr>
        <w:t xml:space="preserve">14 </w:t>
      </w:r>
      <w:r>
        <w:t xml:space="preserve">And the order of the camp of the sons of Judah set out first with their strength, and over their strength was Nahshon</w:t>
      </w:r>
      <w:r>
        <w:rPr>
          <w:rStyle w:val="FootnoteReference"/>
        </w:rPr>
        <w:footnoteReference w:id="2681"/>
      </w:r>
      <w:r>
        <w:t xml:space="preserve"> son of Amminadab.</w:t>
      </w:r>
    </w:p>
    <w:p>
      <w:r>
        <w:rPr>
          <w:b/>
        </w:rPr>
        <w:t xml:space="preserve">15 </w:t>
      </w:r>
      <w:r>
        <w:t xml:space="preserve">And over the strength of the tribe of the sons of Issachar was Nethanel son of Zuar.</w:t>
      </w:r>
    </w:p>
    <w:p>
      <w:r>
        <w:rPr>
          <w:b/>
        </w:rPr>
        <w:t xml:space="preserve">16 </w:t>
      </w:r>
      <w:r>
        <w:t xml:space="preserve">And over the strength of the tribe of the sons of Zebulun was Eliab son of Helon.</w:t>
      </w:r>
    </w:p>
    <w:p>
      <w:r>
        <w:rPr>
          <w:b/>
        </w:rPr>
        <w:t xml:space="preserve">17 </w:t>
      </w:r>
      <w:r>
        <w:t xml:space="preserve">And they took down the tent, and the sons</w:t>
      </w:r>
      <w:r>
        <w:rPr>
          <w:rStyle w:val="FootnoteReference"/>
        </w:rPr>
        <w:footnoteReference w:id="2682"/>
      </w:r>
      <w:r>
        <w:t xml:space="preserve"> of Gershon and the sons of Merari set out carrying the tent.</w:t>
      </w:r>
    </w:p>
    <w:p>
      <w:r>
        <w:rPr>
          <w:b/>
        </w:rPr>
        <w:t xml:space="preserve">18 </w:t>
      </w:r>
      <w:r>
        <w:t xml:space="preserve">And the order of the camp</w:t>
      </w:r>
      <w:r>
        <w:rPr>
          <w:rStyle w:val="FootnoteReference"/>
        </w:rPr>
        <w:footnoteReference w:id="2683"/>
      </w:r>
      <w:r>
        <w:t xml:space="preserve"> of Reuben set out with their strength, and over their strength was Elizur son of Shedeur.</w:t>
      </w:r>
    </w:p>
    <w:p>
      <w:r>
        <w:rPr>
          <w:b/>
        </w:rPr>
        <w:t xml:space="preserve">19 </w:t>
      </w:r>
      <w:r>
        <w:t xml:space="preserve">And over the strength of the tribe of the sons of Simeon</w:t>
      </w:r>
      <w:r>
        <w:rPr>
          <w:rStyle w:val="FootnoteReference"/>
        </w:rPr>
        <w:footnoteReference w:id="2684"/>
      </w:r>
      <w:r>
        <w:t xml:space="preserve"> was Shelumiel son of Zurishaddai.</w:t>
      </w:r>
    </w:p>
    <w:p>
      <w:r>
        <w:rPr>
          <w:b/>
        </w:rPr>
        <w:t xml:space="preserve">20 </w:t>
      </w:r>
      <w:r>
        <w:t xml:space="preserve">And over the strength of the tribe of the sons of Gad was Eliasaph</w:t>
      </w:r>
      <w:r>
        <w:rPr>
          <w:rStyle w:val="FootnoteReference"/>
        </w:rPr>
        <w:footnoteReference w:id="2685"/>
      </w:r>
      <w:r>
        <w:t xml:space="preserve"> son of Reuel.</w:t>
      </w:r>
    </w:p>
    <w:p>
      <w:r>
        <w:rPr>
          <w:b/>
        </w:rPr>
        <w:t xml:space="preserve">21 </w:t>
      </w:r>
      <w:r>
        <w:t xml:space="preserve">And the sons of Kohath set out carrying the holy things, and they would set up the tent until these arrived.</w:t>
      </w:r>
    </w:p>
    <w:p>
      <w:r>
        <w:rPr>
          <w:b/>
        </w:rPr>
        <w:t xml:space="preserve">22 </w:t>
      </w:r>
      <w:r>
        <w:t xml:space="preserve">And the order of the camp</w:t>
      </w:r>
      <w:r>
        <w:rPr>
          <w:rStyle w:val="FootnoteReference"/>
        </w:rPr>
        <w:footnoteReference w:id="2686"/>
      </w:r>
      <w:r>
        <w:t xml:space="preserve"> of Ephraim set out with their strength, and over their strength was Elishama son of Ammihud.</w:t>
      </w:r>
    </w:p>
    <w:p>
      <w:r>
        <w:rPr>
          <w:b/>
        </w:rPr>
        <w:t xml:space="preserve">23 </w:t>
      </w:r>
      <w:r>
        <w:t xml:space="preserve">And over the strength of the tribe of the sons of Manasseh was Gamaliel</w:t>
      </w:r>
      <w:r>
        <w:rPr>
          <w:rStyle w:val="FootnoteReference"/>
        </w:rPr>
        <w:footnoteReference w:id="2687"/>
      </w:r>
      <w:r>
        <w:t xml:space="preserve"> son of Pedahzur.</w:t>
      </w:r>
    </w:p>
    <w:p>
      <w:r>
        <w:rPr>
          <w:b/>
        </w:rPr>
        <w:t xml:space="preserve">24 </w:t>
      </w:r>
      <w:r>
        <w:t xml:space="preserve">And over the strength of the tribe of the sons of Benjamin was Abidan</w:t>
      </w:r>
      <w:r>
        <w:rPr>
          <w:rStyle w:val="FootnoteReference"/>
        </w:rPr>
        <w:footnoteReference w:id="2688"/>
      </w:r>
      <w:r>
        <w:t xml:space="preserve"> son of Gideoni.</w:t>
      </w:r>
    </w:p>
    <w:p>
      <w:r>
        <w:rPr>
          <w:b/>
        </w:rPr>
        <w:t xml:space="preserve">25 </w:t>
      </w:r>
      <w:r>
        <w:t xml:space="preserve">And the order of the camp</w:t>
      </w:r>
      <w:r>
        <w:rPr>
          <w:rStyle w:val="FootnoteReference"/>
        </w:rPr>
        <w:footnoteReference w:id="2689"/>
      </w:r>
      <w:r>
        <w:t xml:space="preserve"> of the sons of Dan set out last of all the camps with their strength, and over their strength was Ahiezer son of Ammishaddai.</w:t>
      </w:r>
    </w:p>
    <w:p>
      <w:r>
        <w:rPr>
          <w:b/>
        </w:rPr>
        <w:t xml:space="preserve">26 </w:t>
      </w:r>
      <w:r>
        <w:t xml:space="preserve">And over the strength of the tribe of the sons of Asher was Pagiel</w:t>
      </w:r>
      <w:r>
        <w:rPr>
          <w:rStyle w:val="FootnoteReference"/>
        </w:rPr>
        <w:footnoteReference w:id="2690"/>
      </w:r>
      <w:r>
        <w:t xml:space="preserve"> son of Ocran.</w:t>
      </w:r>
    </w:p>
    <w:p>
      <w:r>
        <w:rPr>
          <w:b/>
        </w:rPr>
        <w:t xml:space="preserve">27 </w:t>
      </w:r>
      <w:r>
        <w:t xml:space="preserve">And over the strength of the tribe of the sons of Naphtali was Ahira</w:t>
      </w:r>
      <w:r>
        <w:rPr>
          <w:rStyle w:val="FootnoteReference"/>
        </w:rPr>
        <w:footnoteReference w:id="2691"/>
      </w:r>
      <w:r>
        <w:t xml:space="preserve"> son of Enan.</w:t>
      </w:r>
    </w:p>
    <w:p>
      <w:r>
        <w:rPr>
          <w:b/>
        </w:rPr>
        <w:t xml:space="preserve">28 </w:t>
      </w:r>
      <w:r>
        <w:t xml:space="preserve">These are the armies of the sons of Israel, and they set out with their strength.</w:t>
      </w:r>
    </w:p>
    <w:p>
      <w:r>
        <w:rPr>
          <w:b/>
        </w:rPr>
        <w:t xml:space="preserve">29 </w:t>
      </w:r>
      <w:r>
        <w:t xml:space="preserve">And Moses said to Hobab</w:t>
      </w:r>
      <w:r>
        <w:rPr>
          <w:rStyle w:val="FootnoteReference"/>
        </w:rPr>
        <w:footnoteReference w:id="2692"/>
      </w:r>
      <w:r>
        <w:t xml:space="preserve"> son of Reuel the Midianite, Moses' relative by marriage, We are setting out to the place of which the Lord</w:t>
      </w:r>
      <w:r>
        <w:rPr>
          <w:rStyle w:val="FootnoteReference"/>
        </w:rPr>
        <w:footnoteReference w:id="2693"/>
      </w:r>
      <w:r>
        <w:t xml:space="preserve"> said, This I will give to you. Come with us, and we will do you good, because the Lord has spoken good things concerning Israel.</w:t>
      </w:r>
      <w:r>
        <w:rPr>
          <w:rStyle w:val="FootnoteReference"/>
        </w:rPr>
        <w:footnoteReference w:id="2694"/>
      </w:r>
    </w:p>
    <w:p>
      <w:r>
        <w:rPr>
          <w:b/>
        </w:rPr>
        <w:t xml:space="preserve">30 </w:t>
      </w:r>
      <w:r>
        <w:t xml:space="preserve">And he said to him, I will not go, but I will go to my land and to my family.</w:t>
      </w:r>
    </w:p>
    <w:p>
      <w:r>
        <w:rPr>
          <w:b/>
        </w:rPr>
        <w:t xml:space="preserve">31 </w:t>
      </w:r>
      <w:r>
        <w:t xml:space="preserve">And he said, Do not leave us, because for this reason you were with us in the wilderness, and you shall be among us an elder.</w:t>
      </w:r>
    </w:p>
    <w:p>
      <w:r>
        <w:rPr>
          <w:b/>
        </w:rPr>
        <w:t xml:space="preserve">32 </w:t>
      </w:r>
      <w:r>
        <w:t xml:space="preserve">And it shall be, if you go with us, then whatever good things the Lord does for us, we will do for you.</w:t>
      </w:r>
    </w:p>
    <w:p>
      <w:r>
        <w:rPr>
          <w:b/>
        </w:rPr>
        <w:t xml:space="preserve">33 </w:t>
      </w:r>
      <w:r>
        <w:t xml:space="preserve">And they set out from the mountain of the Lord a three days' journey, and the ark</w:t>
      </w:r>
      <w:r>
        <w:rPr>
          <w:rStyle w:val="FootnoteReference"/>
        </w:rPr>
        <w:footnoteReference w:id="2695"/>
      </w:r>
      <w:r>
        <w:t xml:space="preserve"> of the covenant of the Lord went before them a three days' journey to seek out rest for them.</w:t>
      </w:r>
    </w:p>
    <w:p>
      <w:r>
        <w:rPr>
          <w:b/>
        </w:rPr>
        <w:t xml:space="preserve">34 </w:t>
      </w:r>
      <w:r>
        <w:t xml:space="preserve">And it happened, when the ark set out, that Moses said, Rise up, Lord; let your enemies be scattered, let all who hate you flee.</w:t>
      </w:r>
    </w:p>
    <w:p>
      <w:r>
        <w:rPr>
          <w:b/>
        </w:rPr>
        <w:t xml:space="preserve">35 </w:t>
      </w:r>
      <w:r>
        <w:t xml:space="preserve">And in its resting he said, Return, Lord, the thousands of myriads in Israel.</w:t>
      </w:r>
    </w:p>
    <w:p>
      <w:r>
        <w:rPr>
          <w:b/>
        </w:rPr>
        <w:t xml:space="preserve">36 </w:t>
      </w:r>
      <w:r>
        <w:t xml:space="preserve">And the cloud was overshadowing them by day when they set out from the camp.</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the people were grumbling evil things</w:t>
      </w:r>
      <w:r>
        <w:rPr>
          <w:rStyle w:val="FootnoteReference"/>
        </w:rPr>
        <w:footnoteReference w:id="2696"/>
      </w:r>
      <w:r>
        <w:t xml:space="preserve"> before the Lord, and the Lord heard and burned with anger, and fire from the Lord burned among them and devoured some part of the camp.</w:t>
      </w:r>
    </w:p>
    <w:p>
      <w:r>
        <w:rPr>
          <w:b/>
        </w:rPr>
        <w:t xml:space="preserve">2 </w:t>
      </w:r>
      <w:r>
        <w:t xml:space="preserve">And the people cried</w:t>
      </w:r>
      <w:r>
        <w:rPr>
          <w:rStyle w:val="FootnoteReference"/>
        </w:rPr>
        <w:footnoteReference w:id="2697"/>
      </w:r>
      <w:r>
        <w:t xml:space="preserve"> out to Moses, and Moses prayed to the Lord, and the fire died down.</w:t>
      </w:r>
    </w:p>
    <w:p>
      <w:r>
        <w:rPr>
          <w:b/>
        </w:rPr>
        <w:t xml:space="preserve">3 </w:t>
      </w:r>
      <w:r>
        <w:t xml:space="preserve">And the name of that place was called Burning, because fire from the Lord burned among them.</w:t>
      </w:r>
    </w:p>
    <w:p>
      <w:r>
        <w:rPr>
          <w:b/>
        </w:rPr>
        <w:t xml:space="preserve">4 </w:t>
      </w:r>
      <w:r>
        <w:t xml:space="preserve">And the mixed</w:t>
      </w:r>
      <w:r>
        <w:rPr>
          <w:rStyle w:val="FootnoteReference"/>
        </w:rPr>
        <w:footnoteReference w:id="2698"/>
      </w:r>
      <w:r>
        <w:t xml:space="preserve"> company among them desired a desire, and sitting down, the sons of Israel also wept and said, Who will feed us meat?</w:t>
      </w:r>
    </w:p>
    <w:p>
      <w:r>
        <w:rPr>
          <w:b/>
        </w:rPr>
        <w:t xml:space="preserve">5 </w:t>
      </w:r>
      <w:r>
        <w:t xml:space="preserve">We remember the fish</w:t>
      </w:r>
      <w:r>
        <w:rPr>
          <w:rStyle w:val="FootnoteReference"/>
        </w:rPr>
        <w:footnoteReference w:id="2699"/>
      </w:r>
      <w:r>
        <w:t xml:space="preserve"> that we ate in Egypt for nothing, and the cucumbers and the melons and the leeks and the onions and the garlic.</w:t>
      </w:r>
    </w:p>
    <w:p>
      <w:r>
        <w:rPr>
          <w:b/>
        </w:rPr>
        <w:t xml:space="preserve">6 </w:t>
      </w:r>
      <w:r>
        <w:t xml:space="preserve">But now our life is dried up</w:t>
      </w:r>
      <w:r>
        <w:rPr>
          <w:rStyle w:val="FootnoteReference"/>
        </w:rPr>
        <w:footnoteReference w:id="2700"/>
      </w:r>
      <w:r>
        <w:t xml:space="preserve">. There is nothing except this manna before our eyes.</w:t>
      </w:r>
    </w:p>
    <w:p>
      <w:r>
        <w:rPr>
          <w:b/>
        </w:rPr>
        <w:t xml:space="preserve">7 </w:t>
      </w:r>
      <w:r>
        <w:t xml:space="preserve">And the manna</w:t>
      </w:r>
      <w:r>
        <w:rPr>
          <w:rStyle w:val="FootnoteReference"/>
        </w:rPr>
        <w:footnoteReference w:id="2701"/>
      </w:r>
      <w:r>
        <w:t xml:space="preserve"> was like coriander seed, and its appearance was like the appearance of crystal.</w:t>
      </w:r>
    </w:p>
    <w:p>
      <w:r>
        <w:rPr>
          <w:b/>
        </w:rPr>
        <w:t xml:space="preserve">8 </w:t>
      </w:r>
      <w:r>
        <w:t xml:space="preserve">And the people would go around and gather it, and they would grind it in the mill and pound it in the mortar and boil it in the pot and make it into cakes, and its taste was like the flavor of a cake from oil.</w:t>
      </w:r>
    </w:p>
    <w:p>
      <w:r>
        <w:rPr>
          <w:b/>
        </w:rPr>
        <w:t xml:space="preserve">9 </w:t>
      </w:r>
      <w:r>
        <w:t xml:space="preserve">And when the dew came down upon the camp at night, the manna came down upon it.</w:t>
      </w:r>
    </w:p>
    <w:p>
      <w:r>
        <w:rPr>
          <w:b/>
        </w:rPr>
        <w:t xml:space="preserve">10 </w:t>
      </w:r>
      <w:r>
        <w:t xml:space="preserve">And Moses heard them weeping by their clans, each at his door, and the anger</w:t>
      </w:r>
      <w:r>
        <w:rPr>
          <w:rStyle w:val="FootnoteReference"/>
        </w:rPr>
        <w:footnoteReference w:id="2702"/>
      </w:r>
      <w:r>
        <w:t xml:space="preserve"> of the Lord burned greatly, and in Moses' sight it was evil.</w:t>
      </w:r>
    </w:p>
    <w:p>
      <w:r>
        <w:rPr>
          <w:b/>
        </w:rPr>
        <w:t xml:space="preserve">11 </w:t>
      </w:r>
      <w:r>
        <w:t xml:space="preserve">And Moses said to the Lord, Why have you mistreated your servant, and why have I not found favor before you, to lay the rush of all this people upon me?</w:t>
      </w:r>
    </w:p>
    <w:p>
      <w:r>
        <w:rPr>
          <w:b/>
        </w:rPr>
        <w:t xml:space="preserve">12 </w:t>
      </w:r>
      <w:r>
        <w:t xml:space="preserve">Did I conceive all this people in the womb, or did I bear them, that you say to me, Take him in your bosom, like a nurse carrying the suckling child, into the land that you swore to their fathers?</w:t>
      </w:r>
      <w:r>
        <w:rPr>
          <w:rStyle w:val="FootnoteReference"/>
        </w:rPr>
        <w:footnoteReference w:id="2703"/>
      </w:r>
    </w:p>
    <w:p>
      <w:r>
        <w:rPr>
          <w:b/>
        </w:rPr>
        <w:t xml:space="preserve">13 </w:t>
      </w:r>
      <w:r>
        <w:t xml:space="preserve">From where is there meat for me to give to all this people? For they weep over me, saying, Give us meat, that we may eat.</w:t>
      </w:r>
    </w:p>
    <w:p>
      <w:r>
        <w:rPr>
          <w:b/>
        </w:rPr>
        <w:t xml:space="preserve">14 </w:t>
      </w:r>
      <w:r>
        <w:t xml:space="preserve">I am not able, I alone, to bear all this people, because this word is too heavy for me.</w:t>
      </w:r>
      <w:r>
        <w:rPr>
          <w:rStyle w:val="FootnoteReference"/>
        </w:rPr>
        <w:footnoteReference w:id="2704"/>
      </w:r>
    </w:p>
    <w:p>
      <w:r>
        <w:rPr>
          <w:b/>
        </w:rPr>
        <w:t xml:space="preserve">15 </w:t>
      </w:r>
      <w:r>
        <w:t xml:space="preserve">And if this is how you deal with me, kill me</w:t>
      </w:r>
      <w:r>
        <w:rPr>
          <w:rStyle w:val="FootnoteReference"/>
        </w:rPr>
        <w:footnoteReference w:id="2705"/>
      </w:r>
      <w:r>
        <w:t xml:space="preserve"> by slaughter, if I have found mercy before you, so that I may not see my affliction.</w:t>
      </w:r>
    </w:p>
    <w:p>
      <w:r>
        <w:rPr>
          <w:b/>
        </w:rPr>
        <w:t xml:space="preserve">16 </w:t>
      </w:r>
      <w:r>
        <w:t xml:space="preserve">And the Lord said to Moses, Gather for me seventy</w:t>
      </w:r>
      <w:r>
        <w:rPr>
          <w:rStyle w:val="FootnoteReference"/>
        </w:rPr>
        <w:footnoteReference w:id="2706"/>
      </w:r>
      <w:r>
        <w:t xml:space="preserve"> men from the elders of Israel, whom you yourself know that these are elders of the people and their officers, and you shall bring them to the tent of testimony, and they shall stand there with you.</w:t>
      </w:r>
    </w:p>
    <w:p>
      <w:r>
        <w:rPr>
          <w:b/>
        </w:rPr>
        <w:t xml:space="preserve">17 </w:t>
      </w:r>
      <w:r>
        <w:t xml:space="preserve">And I will come</w:t>
      </w:r>
      <w:r>
        <w:rPr>
          <w:rStyle w:val="FootnoteReference"/>
        </w:rPr>
        <w:footnoteReference w:id="2707"/>
      </w:r>
      <w:r>
        <w:t xml:space="preserve"> down and speak with you there, and I will take from the Spirit upon you and place it upon them, and they shall help bear with you the rush of the people, and you shall not bear them alone.</w:t>
      </w:r>
    </w:p>
    <w:p>
      <w:r>
        <w:rPr>
          <w:b/>
        </w:rPr>
        <w:t xml:space="preserve">18 </w:t>
      </w:r>
      <w:r>
        <w:t xml:space="preserve">And to the people you shall say, Purify yourselves for tomorrow, and you shall eat meat, because you wept before the Lord, saying, Who will feed us meat</w:t>
      </w:r>
      <w:r>
        <w:rPr>
          <w:rStyle w:val="FootnoteReference"/>
        </w:rPr>
        <w:footnoteReference w:id="2708"/>
      </w:r>
      <w:r>
        <w:t xml:space="preserve">? For it was good for us in Egypt. And the Lord will give you meat to eat, and you shall eat meat.</w:t>
      </w:r>
      <w:r>
        <w:rPr>
          <w:rStyle w:val="FootnoteReference"/>
        </w:rPr>
        <w:footnoteReference w:id="2709"/>
      </w:r>
      <w:r>
        <w:rPr>
          <w:rStyle w:val="FootnoteReference"/>
        </w:rPr>
        <w:footnoteReference w:id="2710"/>
      </w:r>
      <w:r>
        <w:rPr>
          <w:rStyle w:val="FootnoteReference"/>
        </w:rPr>
        <w:footnoteReference w:id="2711"/>
      </w:r>
    </w:p>
    <w:p>
      <w:r>
        <w:rPr>
          <w:b/>
        </w:rPr>
        <w:t xml:space="preserve">19 </w:t>
      </w:r>
      <w:r>
        <w:t xml:space="preserve">You shall not eat for one day, nor two, nor five days, nor ten days, nor twenty days,</w:t>
      </w:r>
    </w:p>
    <w:p>
      <w:r>
        <w:rPr>
          <w:b/>
        </w:rPr>
        <w:t xml:space="preserve">20 </w:t>
      </w:r>
      <w:r>
        <w:t xml:space="preserve">but for a month of days you shall eat, until it comes out of your nostrils and becomes loathsome to you, because you disobeyed the Lord who is among you and wept before him, saying, Why did we come out from Egypt?</w:t>
      </w:r>
    </w:p>
    <w:p>
      <w:r>
        <w:rPr>
          <w:b/>
        </w:rPr>
        <w:t xml:space="preserve">21 </w:t>
      </w:r>
      <w:r>
        <w:t xml:space="preserve">And Moses said, The people in whose midst I am are six hundred thousand on foot, and you said, I will give them meat, and they shall eat for a month of days.</w:t>
      </w:r>
    </w:p>
    <w:p>
      <w:r>
        <w:rPr>
          <w:b/>
        </w:rPr>
        <w:t xml:space="preserve">22 </w:t>
      </w:r>
      <w:r>
        <w:t xml:space="preserve">Will sheep and cattle be slaughtered for them, and will it be enough for them? Or will every fish of the sea be gathered for them, and will it be enough for them?</w:t>
      </w:r>
    </w:p>
    <w:p>
      <w:r>
        <w:rPr>
          <w:b/>
        </w:rPr>
        <w:t xml:space="preserve">23 </w:t>
      </w:r>
      <w:r>
        <w:t xml:space="preserve">And the Lord said to Moses, Is the Lord's hand not enough?</w:t>
      </w:r>
      <w:r>
        <w:rPr>
          <w:rStyle w:val="FootnoteReference"/>
        </w:rPr>
        <w:footnoteReference w:id="2712"/>
      </w:r>
      <w:r>
        <w:t xml:space="preserve"> Now you shall know whether my word will overtake you or not.</w:t>
      </w:r>
      <w:r>
        <w:rPr>
          <w:rStyle w:val="FootnoteReference"/>
        </w:rPr>
        <w:footnoteReference w:id="2713"/>
      </w:r>
    </w:p>
    <w:p>
      <w:r>
        <w:rPr>
          <w:b/>
        </w:rPr>
        <w:t xml:space="preserve">24 </w:t>
      </w:r>
      <w:r>
        <w:t xml:space="preserve">And Moses went out and spoke to the people the words of the Lord, and he gathered</w:t>
      </w:r>
      <w:r>
        <w:rPr>
          <w:rStyle w:val="FootnoteReference"/>
        </w:rPr>
        <w:footnoteReference w:id="2714"/>
      </w:r>
      <w:r>
        <w:t xml:space="preserve"> seventy men from the elders of the people and stood them around the tent.</w:t>
      </w:r>
    </w:p>
    <w:p>
      <w:r>
        <w:rPr>
          <w:b/>
        </w:rPr>
        <w:t xml:space="preserve">25 </w:t>
      </w:r>
      <w:r>
        <w:t xml:space="preserve">And the Lord came down</w:t>
      </w:r>
      <w:r>
        <w:rPr>
          <w:rStyle w:val="FootnoteReference"/>
        </w:rPr>
        <w:footnoteReference w:id="2715"/>
      </w:r>
      <w:r>
        <w:t xml:space="preserve"> in a cloud and spoke to him, and he took from the Spirit upon him and placed it upon the seventy elders. And when the Spirit rested upon them, they prophesied, and they did not continue</w:t>
      </w:r>
      <w:r>
        <w:rPr>
          <w:rStyle w:val="FootnoteReference"/>
        </w:rPr>
        <w:footnoteReference w:id="2716"/>
      </w:r>
      <w:r>
        <w:t xml:space="preserve">.</w:t>
      </w:r>
    </w:p>
    <w:p>
      <w:r>
        <w:rPr>
          <w:b/>
        </w:rPr>
        <w:t xml:space="preserve">26 </w:t>
      </w:r>
      <w:r>
        <w:t xml:space="preserve">And two men remained in the camp, the name of the one Eldad</w:t>
      </w:r>
      <w:r>
        <w:rPr>
          <w:rStyle w:val="FootnoteReference"/>
        </w:rPr>
        <w:footnoteReference w:id="2717"/>
      </w:r>
      <w:r>
        <w:t xml:space="preserve"> and the name of the second Medad</w:t>
      </w:r>
      <w:r>
        <w:rPr>
          <w:rStyle w:val="FootnoteReference"/>
        </w:rPr>
        <w:footnoteReference w:id="2718"/>
      </w:r>
      <w:r>
        <w:t xml:space="preserve">, and the Spirit rested upon them. And these were among those enrolled, and they had not come to the tent, and they prophesied in the camp.</w:t>
      </w:r>
      <w:r>
        <w:rPr>
          <w:rStyle w:val="FootnoteReference"/>
        </w:rPr>
        <w:footnoteReference w:id="2719"/>
      </w:r>
    </w:p>
    <w:p>
      <w:r>
        <w:rPr>
          <w:b/>
        </w:rPr>
        <w:t xml:space="preserve">27 </w:t>
      </w:r>
      <w:r>
        <w:t xml:space="preserve">And a young man ran and reported to Moses and said, Eldad and Medad are prophesying in the camp.</w:t>
      </w:r>
    </w:p>
    <w:p>
      <w:r>
        <w:rPr>
          <w:b/>
        </w:rPr>
        <w:t xml:space="preserve">28 </w:t>
      </w:r>
      <w:r>
        <w:t xml:space="preserve">And Joshua</w:t>
      </w:r>
      <w:r>
        <w:rPr>
          <w:rStyle w:val="FootnoteReference"/>
        </w:rPr>
        <w:footnoteReference w:id="2720"/>
      </w:r>
      <w:r>
        <w:t xml:space="preserve"> son of Nun, the attendant of Moses, the chosen one, answered and said, My lord Moses, stop them.</w:t>
      </w:r>
    </w:p>
    <w:p>
      <w:r>
        <w:rPr>
          <w:b/>
        </w:rPr>
        <w:t xml:space="preserve">29 </w:t>
      </w:r>
      <w:r>
        <w:t xml:space="preserve">And Moses said to him, Are you jealous for me? Would that all the Lord's people were prophets, whenever the Lord might give his Spirit upon them.</w:t>
      </w:r>
    </w:p>
    <w:p>
      <w:r>
        <w:rPr>
          <w:b/>
        </w:rPr>
        <w:t xml:space="preserve">30 </w:t>
      </w:r>
      <w:r>
        <w:t xml:space="preserve">And Moses went away into the camp, he and the elders of Israel.</w:t>
      </w:r>
    </w:p>
    <w:p>
      <w:r>
        <w:rPr>
          <w:b/>
        </w:rPr>
        <w:t xml:space="preserve">31 </w:t>
      </w:r>
      <w:r>
        <w:t xml:space="preserve">And a wind</w:t>
      </w:r>
      <w:r>
        <w:rPr>
          <w:rStyle w:val="FootnoteReference"/>
        </w:rPr>
        <w:footnoteReference w:id="2721"/>
      </w:r>
      <w:r>
        <w:t xml:space="preserve"> went out from the Lord and swept quail from the sea</w:t>
      </w:r>
      <w:r>
        <w:rPr>
          <w:rStyle w:val="FootnoteReference"/>
        </w:rPr>
        <w:footnoteReference w:id="2722"/>
      </w:r>
      <w:r>
        <w:t xml:space="preserve"> and threw them over the camp, a day's journey this way and a day's journey that way, around the camp, about two cubits above the ground.</w:t>
      </w:r>
    </w:p>
    <w:p>
      <w:r>
        <w:rPr>
          <w:b/>
        </w:rPr>
        <w:t xml:space="preserve">32 </w:t>
      </w:r>
      <w:r>
        <w:t xml:space="preserve">And the people rose all that day and all that night and all the next day and gathered the quail. The one gathering the least gathered ten cors, and they spread them out for themselves all around the camp.</w:t>
      </w:r>
    </w:p>
    <w:p>
      <w:r>
        <w:rPr>
          <w:b/>
        </w:rPr>
        <w:t xml:space="preserve">33 </w:t>
      </w:r>
      <w:r>
        <w:t xml:space="preserve">The meat was still in their teeth before it failed, and the Lord burned with anger against the people, and the Lord struck the people with a very great plague.</w:t>
      </w:r>
    </w:p>
    <w:p>
      <w:r>
        <w:rPr>
          <w:b/>
        </w:rPr>
        <w:t xml:space="preserve">34 </w:t>
      </w:r>
      <w:r>
        <w:t xml:space="preserve">And the name of that place was called Graves of Desire, because there they buried the desirous people.</w:t>
      </w:r>
    </w:p>
    <w:p>
      <w:r>
        <w:rPr>
          <w:b/>
        </w:rPr>
        <w:t xml:space="preserve">35 </w:t>
      </w:r>
      <w:r>
        <w:t xml:space="preserve">From Graves of Desire the people set out to Hazeroth</w:t>
      </w:r>
      <w:r>
        <w:rPr>
          <w:rStyle w:val="FootnoteReference"/>
        </w:rPr>
        <w:footnoteReference w:id="2723"/>
      </w:r>
      <w:r>
        <w:t xml:space="preserve">, and the people came to be in Hazeroth.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Miriam</w:t>
      </w:r>
      <w:r>
        <w:rPr>
          <w:rStyle w:val="FootnoteReference"/>
        </w:rPr>
        <w:footnoteReference w:id="2724"/>
      </w:r>
      <w:r>
        <w:t xml:space="preserve"> and Aaron spoke against Moses because of the Cushite woman whom Moses took, because he had taken a Cushite woman.</w:t>
      </w:r>
    </w:p>
    <w:p>
      <w:r>
        <w:rPr>
          <w:b/>
        </w:rPr>
        <w:t xml:space="preserve">2 </w:t>
      </w:r>
      <w:r>
        <w:t xml:space="preserve">And they said, Has the Lord spoken only by Moses? Has he not also spoken by us? And the Lord heard it.</w:t>
      </w:r>
    </w:p>
    <w:p>
      <w:r>
        <w:rPr>
          <w:b/>
        </w:rPr>
        <w:t xml:space="preserve">3 </w:t>
      </w:r>
      <w:r>
        <w:t xml:space="preserve">And the man Moses was very</w:t>
      </w:r>
      <w:r>
        <w:rPr>
          <w:rStyle w:val="FootnoteReference"/>
        </w:rPr>
        <w:footnoteReference w:id="2725"/>
      </w:r>
      <w:r>
        <w:t xml:space="preserve"> gentle, beyond all the people who were upon the earth.</w:t>
      </w:r>
    </w:p>
    <w:p>
      <w:r>
        <w:rPr>
          <w:b/>
        </w:rPr>
        <w:t xml:space="preserve">4 </w:t>
      </w:r>
      <w:r>
        <w:t xml:space="preserve">And the Lord</w:t>
      </w:r>
      <w:r>
        <w:rPr>
          <w:rStyle w:val="FootnoteReference"/>
        </w:rPr>
        <w:footnoteReference w:id="2726"/>
      </w:r>
      <w:r>
        <w:t xml:space="preserve"> said at once to Moses and Miriam and Aaron, Come out, you three, to the tent of testimony. And the three went out to the tent of testimony.</w:t>
      </w:r>
    </w:p>
    <w:p>
      <w:r>
        <w:rPr>
          <w:b/>
        </w:rPr>
        <w:t xml:space="preserve">5 </w:t>
      </w:r>
      <w:r>
        <w:t xml:space="preserve">And the Lord came down in a pillar of cloud and stood at the door of the tent of testimony</w:t>
      </w:r>
      <w:r>
        <w:rPr>
          <w:rStyle w:val="FootnoteReference"/>
        </w:rPr>
        <w:footnoteReference w:id="2727"/>
      </w:r>
      <w:r>
        <w:t xml:space="preserve">, and Aaron and Miriam were called, and both came out.</w:t>
      </w:r>
    </w:p>
    <w:p>
      <w:r>
        <w:rPr>
          <w:b/>
        </w:rPr>
        <w:t xml:space="preserve">6 </w:t>
      </w:r>
      <w:r>
        <w:t xml:space="preserve">And he said to them, Hear my words: if there is a prophet</w:t>
      </w:r>
      <w:r>
        <w:rPr>
          <w:rStyle w:val="FootnoteReference"/>
        </w:rPr>
        <w:footnoteReference w:id="2728"/>
      </w:r>
      <w:r>
        <w:t xml:space="preserve"> of yours to the Lord, I will make myself known to him in a vision, and in sleep I will speak to him.</w:t>
      </w:r>
    </w:p>
    <w:p>
      <w:r>
        <w:rPr>
          <w:b/>
        </w:rPr>
        <w:t xml:space="preserve">7 </w:t>
      </w:r>
      <w:r>
        <w:t xml:space="preserve">Not so with my servant</w:t>
      </w:r>
      <w:r>
        <w:rPr>
          <w:rStyle w:val="FootnoteReference"/>
        </w:rPr>
        <w:footnoteReference w:id="2729"/>
      </w:r>
      <w:r>
        <w:t xml:space="preserve"> Moses; in all my house he is faithful.</w:t>
      </w:r>
    </w:p>
    <w:p>
      <w:r>
        <w:rPr>
          <w:b/>
        </w:rPr>
        <w:t xml:space="preserve">8 </w:t>
      </w:r>
      <w:r>
        <w:t xml:space="preserve">Mouth to mouth</w:t>
      </w:r>
      <w:r>
        <w:rPr>
          <w:rStyle w:val="FootnoteReference"/>
        </w:rPr>
        <w:footnoteReference w:id="2730"/>
      </w:r>
      <w:r>
        <w:t xml:space="preserve"> I will speak to him, in visible form and not by riddles, and he has seen the glory of the Lord. And why were you not afraid to speak against my servant Moses?</w:t>
      </w:r>
      <w:r>
        <w:rPr>
          <w:rStyle w:val="FootnoteReference"/>
        </w:rPr>
        <w:footnoteReference w:id="2731"/>
      </w:r>
    </w:p>
    <w:p>
      <w:r>
        <w:rPr>
          <w:b/>
        </w:rPr>
        <w:t xml:space="preserve">9 </w:t>
      </w:r>
      <w:r>
        <w:t xml:space="preserve">And the anger of the Lord's wrath was upon them, and he departed.</w:t>
      </w:r>
    </w:p>
    <w:p>
      <w:r>
        <w:rPr>
          <w:b/>
        </w:rPr>
        <w:t xml:space="preserve">10 </w:t>
      </w:r>
      <w:r>
        <w:t xml:space="preserve">And the cloud</w:t>
      </w:r>
      <w:r>
        <w:rPr>
          <w:rStyle w:val="FootnoteReference"/>
        </w:rPr>
        <w:footnoteReference w:id="2732"/>
      </w:r>
      <w:r>
        <w:t xml:space="preserve"> departed from the tent, and behold, Miriam had become leprous like snow. And Aaron looked upon Miriam, and behold, she was leprous.</w:t>
      </w:r>
    </w:p>
    <w:p>
      <w:r>
        <w:rPr>
          <w:b/>
        </w:rPr>
        <w:t xml:space="preserve">11 </w:t>
      </w:r>
      <w:r>
        <w:t xml:space="preserve">And Aaron said to Moses, I beg, my lord, do not lay sin upon us, because we were ignorant and because we sinned.</w:t>
      </w:r>
    </w:p>
    <w:p>
      <w:r>
        <w:rPr>
          <w:b/>
        </w:rPr>
        <w:t xml:space="preserve">12 </w:t>
      </w:r>
      <w:r>
        <w:t xml:space="preserve">Let her not become as one equal to death, like a miscarriage coming out from the womb of its mother and devouring half her flesh.</w:t>
      </w:r>
    </w:p>
    <w:p>
      <w:r>
        <w:rPr>
          <w:b/>
        </w:rPr>
        <w:t xml:space="preserve">13 </w:t>
      </w:r>
      <w:r>
        <w:t xml:space="preserve">And Moses cried out to the Lord, saying, O God, I beg you, heal her.</w:t>
      </w:r>
    </w:p>
    <w:p>
      <w:r>
        <w:rPr>
          <w:b/>
        </w:rPr>
        <w:t xml:space="preserve">14 </w:t>
      </w:r>
      <w:r>
        <w:t xml:space="preserve">And the Lord said to Moses, If her father had spit</w:t>
      </w:r>
      <w:r>
        <w:rPr>
          <w:rStyle w:val="FootnoteReference"/>
        </w:rPr>
        <w:footnoteReference w:id="2733"/>
      </w:r>
      <w:r>
        <w:t xml:space="preserve"> a spit into her face, would she not be ashamed seven days? Let her be set apart outside the camp seven days, and after these things she shall come in.</w:t>
      </w:r>
    </w:p>
    <w:p>
      <w:r>
        <w:rPr>
          <w:b/>
        </w:rPr>
        <w:t xml:space="preserve">15 </w:t>
      </w:r>
      <w:r>
        <w:t xml:space="preserve">And Miriam was set apart outside the camp seven days, and the people did not set out until Miriam was cleansed.</w:t>
      </w:r>
    </w:p>
    <w:p>
      <w:r>
        <w:rPr>
          <w:b/>
        </w:rPr>
        <w:t xml:space="preserve">16 </w:t>
      </w:r>
      <w:r>
        <w:t xml:space="preserve">And after these things the people set out from Hazeroth</w:t>
      </w:r>
      <w:r>
        <w:rPr>
          <w:rStyle w:val="FootnoteReference"/>
        </w:rPr>
        <w:footnoteReference w:id="2734"/>
      </w:r>
      <w:r>
        <w:t xml:space="preserve"> and camped in the wilderness of Paran.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the Lord spoke to Moses, saying,</w:t>
      </w:r>
    </w:p>
    <w:p>
      <w:r>
        <w:rPr>
          <w:b/>
        </w:rPr>
        <w:t xml:space="preserve">2 </w:t>
      </w:r>
      <w:r>
        <w:t xml:space="preserve">Send for yourself men, and let them spy out the land of the Canaanites, which I am giving to the sons of Israel for possession. One man each by tribe, by the clans of their fathers, you shall send them, every one a leader among them.</w:t>
      </w:r>
    </w:p>
    <w:p>
      <w:r>
        <w:rPr>
          <w:b/>
        </w:rPr>
        <w:t xml:space="preserve">3 </w:t>
      </w:r>
      <w:r>
        <w:t xml:space="preserve">And Moses sent them from the wilderness of Paran by the Lord's word. All these men were leaders of the sons of Israel.</w:t>
      </w:r>
    </w:p>
    <w:p>
      <w:r>
        <w:rPr>
          <w:b/>
        </w:rPr>
        <w:t xml:space="preserve">4 </w:t>
      </w:r>
      <w:r>
        <w:t xml:space="preserve">And these are their names: from the tribe of Reuben, Shammua</w:t>
      </w:r>
      <w:r>
        <w:rPr>
          <w:rStyle w:val="FootnoteReference"/>
        </w:rPr>
        <w:footnoteReference w:id="2735"/>
      </w:r>
      <w:r>
        <w:t xml:space="preserve"> son of Zaccur</w:t>
      </w:r>
      <w:r>
        <w:rPr>
          <w:rStyle w:val="FootnoteReference"/>
        </w:rPr>
        <w:footnoteReference w:id="2736"/>
      </w:r>
      <w:r>
        <w:t xml:space="preserve">;</w:t>
      </w:r>
    </w:p>
    <w:p>
      <w:r>
        <w:rPr>
          <w:b/>
        </w:rPr>
        <w:t xml:space="preserve">5 </w:t>
      </w:r>
      <w:r>
        <w:t xml:space="preserve">from the tribe of Simeon, Shaphat</w:t>
      </w:r>
      <w:r>
        <w:rPr>
          <w:rStyle w:val="FootnoteReference"/>
        </w:rPr>
        <w:footnoteReference w:id="2737"/>
      </w:r>
      <w:r>
        <w:t xml:space="preserve"> son of Hori</w:t>
      </w:r>
      <w:r>
        <w:rPr>
          <w:rStyle w:val="FootnoteReference"/>
        </w:rPr>
        <w:footnoteReference w:id="2738"/>
      </w:r>
      <w:r>
        <w:t xml:space="preserve">;</w:t>
      </w:r>
    </w:p>
    <w:p>
      <w:r>
        <w:rPr>
          <w:b/>
        </w:rPr>
        <w:t xml:space="preserve">6 </w:t>
      </w:r>
      <w:r>
        <w:t xml:space="preserve">from the tribe of Judah, Caleb</w:t>
      </w:r>
      <w:r>
        <w:rPr>
          <w:rStyle w:val="FootnoteReference"/>
        </w:rPr>
        <w:footnoteReference w:id="2739"/>
      </w:r>
      <w:r>
        <w:t xml:space="preserve"> son of Jephunneh</w:t>
      </w:r>
      <w:r>
        <w:rPr>
          <w:rStyle w:val="FootnoteReference"/>
        </w:rPr>
        <w:footnoteReference w:id="2740"/>
      </w:r>
      <w:r>
        <w:t xml:space="preserve">;</w:t>
      </w:r>
      <w:r>
        <w:rPr>
          <w:rStyle w:val="FootnoteReference"/>
        </w:rPr>
        <w:footnoteReference w:id="2741"/>
      </w:r>
    </w:p>
    <w:p>
      <w:r>
        <w:rPr>
          <w:b/>
        </w:rPr>
        <w:t xml:space="preserve">7 </w:t>
      </w:r>
      <w:r>
        <w:t xml:space="preserve">from the tribe of Issachar, Igal</w:t>
      </w:r>
      <w:r>
        <w:rPr>
          <w:rStyle w:val="FootnoteReference"/>
        </w:rPr>
        <w:footnoteReference w:id="2742"/>
      </w:r>
      <w:r>
        <w:t xml:space="preserve"> son of Joseph;</w:t>
      </w:r>
    </w:p>
    <w:p>
      <w:r>
        <w:rPr>
          <w:b/>
        </w:rPr>
        <w:t xml:space="preserve">8 </w:t>
      </w:r>
      <w:r>
        <w:t xml:space="preserve">from the tribe of Ephraim, Hoshea</w:t>
      </w:r>
      <w:r>
        <w:rPr>
          <w:rStyle w:val="FootnoteReference"/>
        </w:rPr>
        <w:footnoteReference w:id="2743"/>
      </w:r>
      <w:r>
        <w:t xml:space="preserve"> son of Nun;</w:t>
      </w:r>
    </w:p>
    <w:p>
      <w:r>
        <w:rPr>
          <w:b/>
        </w:rPr>
        <w:t xml:space="preserve">9 </w:t>
      </w:r>
      <w:r>
        <w:t xml:space="preserve">from the tribe of Benjamin, Palti</w:t>
      </w:r>
      <w:r>
        <w:rPr>
          <w:rStyle w:val="FootnoteReference"/>
        </w:rPr>
        <w:footnoteReference w:id="2744"/>
      </w:r>
      <w:r>
        <w:t xml:space="preserve"> son of Raphu</w:t>
      </w:r>
      <w:r>
        <w:rPr>
          <w:rStyle w:val="FootnoteReference"/>
        </w:rPr>
        <w:footnoteReference w:id="2745"/>
      </w:r>
      <w:r>
        <w:t xml:space="preserve">;</w:t>
      </w:r>
    </w:p>
    <w:p>
      <w:r>
        <w:rPr>
          <w:b/>
        </w:rPr>
        <w:t xml:space="preserve">10 </w:t>
      </w:r>
      <w:r>
        <w:t xml:space="preserve">from the tribe of Zebulun, Gaddiel</w:t>
      </w:r>
      <w:r>
        <w:rPr>
          <w:rStyle w:val="FootnoteReference"/>
        </w:rPr>
        <w:footnoteReference w:id="2746"/>
      </w:r>
      <w:r>
        <w:t xml:space="preserve"> son of Sodi</w:t>
      </w:r>
      <w:r>
        <w:rPr>
          <w:rStyle w:val="FootnoteReference"/>
        </w:rPr>
        <w:footnoteReference w:id="2747"/>
      </w:r>
      <w:r>
        <w:t xml:space="preserve">;</w:t>
      </w:r>
    </w:p>
    <w:p>
      <w:r>
        <w:rPr>
          <w:b/>
        </w:rPr>
        <w:t xml:space="preserve">11 </w:t>
      </w:r>
      <w:r>
        <w:t xml:space="preserve">from the tribe of Joseph, from the sons of Manasseh, Gaddi</w:t>
      </w:r>
      <w:r>
        <w:rPr>
          <w:rStyle w:val="FootnoteReference"/>
        </w:rPr>
        <w:footnoteReference w:id="2748"/>
      </w:r>
      <w:r>
        <w:t xml:space="preserve"> son of Susi</w:t>
      </w:r>
      <w:r>
        <w:rPr>
          <w:rStyle w:val="FootnoteReference"/>
        </w:rPr>
        <w:footnoteReference w:id="2749"/>
      </w:r>
      <w:r>
        <w:t xml:space="preserve">;</w:t>
      </w:r>
    </w:p>
    <w:p>
      <w:r>
        <w:rPr>
          <w:b/>
        </w:rPr>
        <w:t xml:space="preserve">12 </w:t>
      </w:r>
      <w:r>
        <w:t xml:space="preserve">from the tribe of Dan, Ammiel</w:t>
      </w:r>
      <w:r>
        <w:rPr>
          <w:rStyle w:val="FootnoteReference"/>
        </w:rPr>
        <w:footnoteReference w:id="2750"/>
      </w:r>
      <w:r>
        <w:t xml:space="preserve"> son of Gemalli</w:t>
      </w:r>
      <w:r>
        <w:rPr>
          <w:rStyle w:val="FootnoteReference"/>
        </w:rPr>
        <w:footnoteReference w:id="2751"/>
      </w:r>
      <w:r>
        <w:t xml:space="preserve">;</w:t>
      </w:r>
    </w:p>
    <w:p>
      <w:r>
        <w:rPr>
          <w:b/>
        </w:rPr>
        <w:t xml:space="preserve">13 </w:t>
      </w:r>
      <w:r>
        <w:t xml:space="preserve">from the tribe of Asher, Sethur</w:t>
      </w:r>
      <w:r>
        <w:rPr>
          <w:rStyle w:val="FootnoteReference"/>
        </w:rPr>
        <w:footnoteReference w:id="2752"/>
      </w:r>
      <w:r>
        <w:t xml:space="preserve"> son of Michael</w:t>
      </w:r>
      <w:r>
        <w:rPr>
          <w:rStyle w:val="FootnoteReference"/>
        </w:rPr>
        <w:footnoteReference w:id="2753"/>
      </w:r>
      <w:r>
        <w:t xml:space="preserve">;</w:t>
      </w:r>
    </w:p>
    <w:p>
      <w:r>
        <w:rPr>
          <w:b/>
        </w:rPr>
        <w:t xml:space="preserve">14 </w:t>
      </w:r>
      <w:r>
        <w:t xml:space="preserve">from the tribe of Naphtali, Nahbi</w:t>
      </w:r>
      <w:r>
        <w:rPr>
          <w:rStyle w:val="FootnoteReference"/>
        </w:rPr>
        <w:footnoteReference w:id="2754"/>
      </w:r>
      <w:r>
        <w:t xml:space="preserve"> son of Vophsi</w:t>
      </w:r>
      <w:r>
        <w:rPr>
          <w:rStyle w:val="FootnoteReference"/>
        </w:rPr>
        <w:footnoteReference w:id="2755"/>
      </w:r>
      <w:r>
        <w:t xml:space="preserve">;</w:t>
      </w:r>
    </w:p>
    <w:p>
      <w:r>
        <w:rPr>
          <w:b/>
        </w:rPr>
        <w:t xml:space="preserve">15 </w:t>
      </w:r>
      <w:r>
        <w:t xml:space="preserve">from the tribe of Gad, Gaddiel son of Machi</w:t>
      </w:r>
      <w:r>
        <w:rPr>
          <w:rStyle w:val="FootnoteReference"/>
        </w:rPr>
        <w:footnoteReference w:id="2756"/>
      </w:r>
      <w:r>
        <w:t xml:space="preserve">.</w:t>
      </w:r>
    </w:p>
    <w:p>
      <w:r>
        <w:rPr>
          <w:b/>
        </w:rPr>
        <w:t xml:space="preserve">16 </w:t>
      </w:r>
      <w:r>
        <w:t xml:space="preserve">These are the names of the men whom Moses sent to spy out the land, and Moses renamed Hoshea son of Nun as Joshua.</w:t>
      </w:r>
    </w:p>
    <w:p>
      <w:r>
        <w:rPr>
          <w:b/>
        </w:rPr>
        <w:t xml:space="preserve">17 </w:t>
      </w:r>
      <w:r>
        <w:t xml:space="preserve">And Moses sent them to spy out the land of Canaan and said to them, Go up by this wilderness, and you shall go up into the hill country.</w:t>
      </w:r>
    </w:p>
    <w:p>
      <w:r>
        <w:rPr>
          <w:b/>
        </w:rPr>
        <w:t xml:space="preserve">18 </w:t>
      </w:r>
      <w:r>
        <w:t xml:space="preserve">And you shall look at the land, what it is, and the people dwelling upon it, whether it is stronger or weak, whether they are few or many.</w:t>
      </w:r>
    </w:p>
    <w:p>
      <w:r>
        <w:rPr>
          <w:b/>
        </w:rPr>
        <w:t xml:space="preserve">19 </w:t>
      </w:r>
      <w:r>
        <w:t xml:space="preserve">And what is the land on which these dwell, whether it is good or bad, and what are the cities in which they dwell, whether walled or unwalled.</w:t>
      </w:r>
    </w:p>
    <w:p>
      <w:r>
        <w:rPr>
          <w:b/>
        </w:rPr>
        <w:t xml:space="preserve">20 </w:t>
      </w:r>
      <w:r>
        <w:t xml:space="preserve">And what is the land, whether rich or poor, whether there are trees in it or not. And be courageous and take from the fruits of the land. And the days were the spring days, firstfruits of grape</w:t>
      </w:r>
      <w:r>
        <w:rPr>
          <w:rStyle w:val="FootnoteReference"/>
        </w:rPr>
        <w:footnoteReference w:id="2757"/>
      </w:r>
      <w:r>
        <w:t xml:space="preserve">.</w:t>
      </w:r>
    </w:p>
    <w:p>
      <w:r>
        <w:rPr>
          <w:b/>
        </w:rPr>
        <w:t xml:space="preserve">21 </w:t>
      </w:r>
      <w:r>
        <w:t xml:space="preserve">And they went up and spied out the land from the wilderness of Sin as far as Rehob</w:t>
      </w:r>
      <w:r>
        <w:rPr>
          <w:rStyle w:val="FootnoteReference"/>
        </w:rPr>
        <w:footnoteReference w:id="2758"/>
      </w:r>
      <w:r>
        <w:t xml:space="preserve">, as one enters Hamath</w:t>
      </w:r>
      <w:r>
        <w:rPr>
          <w:rStyle w:val="FootnoteReference"/>
        </w:rPr>
        <w:footnoteReference w:id="2759"/>
      </w:r>
      <w:r>
        <w:t xml:space="preserve">.</w:t>
      </w:r>
      <w:r>
        <w:rPr>
          <w:rStyle w:val="FootnoteReference"/>
        </w:rPr>
        <w:footnoteReference w:id="2760"/>
      </w:r>
    </w:p>
    <w:p>
      <w:r>
        <w:rPr>
          <w:b/>
        </w:rPr>
        <w:t xml:space="preserve">22 </w:t>
      </w:r>
      <w:r>
        <w:t xml:space="preserve">And they went up through the wilderness and came as far as Hebron, and there were Ahiman</w:t>
      </w:r>
      <w:r>
        <w:rPr>
          <w:rStyle w:val="FootnoteReference"/>
        </w:rPr>
        <w:footnoteReference w:id="2761"/>
      </w:r>
      <w:r>
        <w:t xml:space="preserve"> and Sheshai</w:t>
      </w:r>
      <w:r>
        <w:rPr>
          <w:rStyle w:val="FootnoteReference"/>
        </w:rPr>
        <w:footnoteReference w:id="2762"/>
      </w:r>
      <w:r>
        <w:t xml:space="preserve"> and Talmai</w:t>
      </w:r>
      <w:r>
        <w:rPr>
          <w:rStyle w:val="FootnoteReference"/>
        </w:rPr>
        <w:footnoteReference w:id="2763"/>
      </w:r>
      <w:r>
        <w:t xml:space="preserve">, the offspring of Anak</w:t>
      </w:r>
      <w:r>
        <w:rPr>
          <w:rStyle w:val="FootnoteReference"/>
        </w:rPr>
        <w:footnoteReference w:id="2764"/>
      </w:r>
      <w:r>
        <w:t xml:space="preserve">. And Hebron was built seven years before Zoan</w:t>
      </w:r>
      <w:r>
        <w:rPr>
          <w:rStyle w:val="FootnoteReference"/>
        </w:rPr>
        <w:footnoteReference w:id="2765"/>
      </w:r>
      <w:r>
        <w:t xml:space="preserve"> of Egypt.</w:t>
      </w:r>
      <w:r>
        <w:rPr>
          <w:rStyle w:val="FootnoteReference"/>
        </w:rPr>
        <w:footnoteReference w:id="2766"/>
      </w:r>
    </w:p>
    <w:p>
      <w:r>
        <w:rPr>
          <w:b/>
        </w:rPr>
        <w:t xml:space="preserve">23 </w:t>
      </w:r>
      <w:r>
        <w:t xml:space="preserve">And they came as far as the Ravine of Cluster and spied it out, and they cut from there a branch with one cluster of grapes on it, and they carried it on poles, and also some of the pomegranates and the figs.</w:t>
      </w:r>
    </w:p>
    <w:p>
      <w:r>
        <w:rPr>
          <w:b/>
        </w:rPr>
        <w:t xml:space="preserve">24 </w:t>
      </w:r>
      <w:r>
        <w:t xml:space="preserve">That place they named Ravine of Cluster because of the cluster which the sons of Israel cut from there.</w:t>
      </w:r>
    </w:p>
    <w:p>
      <w:r>
        <w:rPr>
          <w:b/>
        </w:rPr>
        <w:t xml:space="preserve">25 </w:t>
      </w:r>
      <w:r>
        <w:t xml:space="preserve">And they returned from there after spying out the land in forty days</w:t>
      </w:r>
      <w:r>
        <w:rPr>
          <w:rStyle w:val="FootnoteReference"/>
        </w:rPr>
        <w:footnoteReference w:id="2767"/>
      </w:r>
      <w:r>
        <w:t xml:space="preserve">.</w:t>
      </w:r>
    </w:p>
    <w:p>
      <w:r>
        <w:rPr>
          <w:b/>
        </w:rPr>
        <w:t xml:space="preserve">26 </w:t>
      </w:r>
      <w:r>
        <w:t xml:space="preserve">And going on, they came to Moses and Aaron and to the whole congregation of the sons of Israel in the wilderness of Paran at Kadesh</w:t>
      </w:r>
      <w:r>
        <w:rPr>
          <w:rStyle w:val="FootnoteReference"/>
        </w:rPr>
        <w:footnoteReference w:id="2768"/>
      </w:r>
      <w:r>
        <w:t xml:space="preserve">, and they brought back word to them and to all the congregation, and they showed the fruit of the land.</w:t>
      </w:r>
      <w:r>
        <w:rPr>
          <w:rStyle w:val="FootnoteReference"/>
        </w:rPr>
        <w:footnoteReference w:id="2769"/>
      </w:r>
    </w:p>
    <w:p>
      <w:r>
        <w:rPr>
          <w:b/>
        </w:rPr>
        <w:t xml:space="preserve">27 </w:t>
      </w:r>
      <w:r>
        <w:t xml:space="preserve">And they described it to him and said, We came into the land where you sent us, a land flowing with milk and honey, and this is its fruit.</w:t>
      </w:r>
    </w:p>
    <w:p>
      <w:r>
        <w:rPr>
          <w:b/>
        </w:rPr>
        <w:t xml:space="preserve">28 </w:t>
      </w:r>
      <w:r>
        <w:t xml:space="preserve">But the people dwelling upon it are bold, and the cities are fortified, walled, and very large, and we saw there the offspring of Anak.</w:t>
      </w:r>
    </w:p>
    <w:p>
      <w:r>
        <w:rPr>
          <w:b/>
        </w:rPr>
        <w:t xml:space="preserve">29 </w:t>
      </w:r>
      <w:r>
        <w:t xml:space="preserve">And Amalek dwells in the land toward the south, and the Hittite and the Hivite and the Jebusite and the Amorite dwell in the hill country, and the Canaanite dwells by the sea and beside the Jordan River.</w:t>
      </w:r>
    </w:p>
    <w:p>
      <w:r>
        <w:rPr>
          <w:b/>
        </w:rPr>
        <w:t xml:space="preserve">30 </w:t>
      </w:r>
      <w:r>
        <w:t xml:space="preserve">And Caleb silenced the people before Moses and said to him, No, but going up, we shall go up and inherit it, because we are certainly able to prevail against them.</w:t>
      </w:r>
    </w:p>
    <w:p>
      <w:r>
        <w:rPr>
          <w:b/>
        </w:rPr>
        <w:t xml:space="preserve">31 </w:t>
      </w:r>
      <w:r>
        <w:t xml:space="preserve">And the men going up with him said, We will not go up, because we will not be able to go up against the nation, because it is stronger than we are.</w:t>
      </w:r>
    </w:p>
    <w:p>
      <w:r>
        <w:rPr>
          <w:b/>
        </w:rPr>
        <w:t xml:space="preserve">32 </w:t>
      </w:r>
      <w:r>
        <w:t xml:space="preserve">And they brought</w:t>
      </w:r>
      <w:r>
        <w:rPr>
          <w:rStyle w:val="FootnoteReference"/>
        </w:rPr>
        <w:footnoteReference w:id="2770"/>
      </w:r>
      <w:r>
        <w:t xml:space="preserve"> an alarming report</w:t>
      </w:r>
      <w:r>
        <w:rPr>
          <w:rStyle w:val="FootnoteReference"/>
        </w:rPr>
        <w:footnoteReference w:id="2771"/>
      </w:r>
      <w:r>
        <w:t xml:space="preserve"> of the land that they had spied out to the sons of Israel, saying, The land through which we passed to spy it out is a land devouring those dwelling upon it, and all the people whom we saw in it were very tall men.</w:t>
      </w:r>
      <w:r>
        <w:rPr>
          <w:rStyle w:val="FootnoteReference"/>
        </w:rPr>
        <w:footnoteReference w:id="2772"/>
      </w:r>
      <w:r>
        <w:rPr>
          <w:rStyle w:val="FootnoteReference"/>
        </w:rPr>
        <w:footnoteReference w:id="2773"/>
      </w:r>
      <w:r>
        <w:rPr>
          <w:rStyle w:val="FootnoteReference"/>
        </w:rPr>
        <w:footnoteReference w:id="2774"/>
      </w:r>
    </w:p>
    <w:p>
      <w:r>
        <w:rPr>
          <w:b/>
        </w:rPr>
        <w:t xml:space="preserve">33 </w:t>
      </w:r>
      <w:r>
        <w:t xml:space="preserve">And there we saw the giants</w:t>
      </w:r>
      <w:r>
        <w:rPr>
          <w:rStyle w:val="FootnoteReference"/>
        </w:rPr>
        <w:footnoteReference w:id="2775"/>
      </w:r>
      <w:r>
        <w:t xml:space="preserve">, and before them we were like locusts, and so we were before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the whole congregation, taking it up, raised their voice, and the people wept all that night.</w:t>
      </w:r>
    </w:p>
    <w:p>
      <w:r>
        <w:rPr>
          <w:b/>
        </w:rPr>
        <w:t xml:space="preserve">2 </w:t>
      </w:r>
      <w:r>
        <w:t xml:space="preserve">And all the sons of Israel grumbled against Moses and Aaron, and the whole congregation said to them, Would that we had died in the land of Egypt, or would that we had died in this wilderness.</w:t>
      </w:r>
    </w:p>
    <w:p>
      <w:r>
        <w:rPr>
          <w:b/>
        </w:rPr>
        <w:t xml:space="preserve">3 </w:t>
      </w:r>
      <w:r>
        <w:t xml:space="preserve">And why is the Lord</w:t>
      </w:r>
      <w:r>
        <w:rPr>
          <w:rStyle w:val="FootnoteReference"/>
        </w:rPr>
        <w:footnoteReference w:id="2776"/>
      </w:r>
      <w:r>
        <w:t xml:space="preserve"> bringing us into this land to fall in war? Our wives and our little children will be for plunder. So now it is better for us to turn back into Egypt.</w:t>
      </w:r>
    </w:p>
    <w:p>
      <w:r>
        <w:rPr>
          <w:b/>
        </w:rPr>
        <w:t xml:space="preserve">4 </w:t>
      </w:r>
      <w:r>
        <w:t xml:space="preserve">And they said, one to another, Let us appoint a leader and turn back into Egypt.</w:t>
      </w:r>
    </w:p>
    <w:p>
      <w:r>
        <w:rPr>
          <w:b/>
        </w:rPr>
        <w:t xml:space="preserve">5 </w:t>
      </w:r>
      <w:r>
        <w:t xml:space="preserve">And Moses and Aaron fell on their face before the whole congregation of the sons of Israel.</w:t>
      </w:r>
    </w:p>
    <w:p>
      <w:r>
        <w:rPr>
          <w:b/>
        </w:rPr>
        <w:t xml:space="preserve">6 </w:t>
      </w:r>
      <w:r>
        <w:t xml:space="preserve">And Joshua</w:t>
      </w:r>
      <w:r>
        <w:rPr>
          <w:rStyle w:val="FootnoteReference"/>
        </w:rPr>
        <w:footnoteReference w:id="2777"/>
      </w:r>
      <w:r>
        <w:t xml:space="preserve"> son of Nun and Caleb son of Jephunneh, of those who spied out the land, tore their garments.</w:t>
      </w:r>
    </w:p>
    <w:p>
      <w:r>
        <w:rPr>
          <w:b/>
        </w:rPr>
        <w:t xml:space="preserve">7 </w:t>
      </w:r>
      <w:r>
        <w:t xml:space="preserve">And they said to the whole congregation of the sons of Israel, saying, The land that we spied out is very, very good.</w:t>
      </w:r>
    </w:p>
    <w:p>
      <w:r>
        <w:rPr>
          <w:b/>
        </w:rPr>
        <w:t xml:space="preserve">8 </w:t>
      </w:r>
      <w:r>
        <w:t xml:space="preserve">If the Lord takes pleasure in us, he will bring us into this land and give it to us, a land flowing with milk and honey.</w:t>
      </w:r>
    </w:p>
    <w:p>
      <w:r>
        <w:rPr>
          <w:b/>
        </w:rPr>
        <w:t xml:space="preserve">9 </w:t>
      </w:r>
      <w:r>
        <w:t xml:space="preserve">Only do not become apostates from the Lord</w:t>
      </w:r>
      <w:r>
        <w:rPr>
          <w:rStyle w:val="FootnoteReference"/>
        </w:rPr>
        <w:footnoteReference w:id="2778"/>
      </w:r>
      <w:r>
        <w:t xml:space="preserve">, and do not fear the people of the land, because they are food for us. For their time has departed from them, but the Lord is in us. Do not fear them.</w:t>
      </w:r>
    </w:p>
    <w:p>
      <w:r>
        <w:rPr>
          <w:b/>
        </w:rPr>
        <w:t xml:space="preserve">10 </w:t>
      </w:r>
      <w:r>
        <w:t xml:space="preserve">And the whole congregation said to stone them with stones, and the glory of the Lord appeared in a cloud upon the tent of testimony before all the sons of Israel.</w:t>
      </w:r>
    </w:p>
    <w:p>
      <w:r>
        <w:rPr>
          <w:b/>
        </w:rPr>
        <w:t xml:space="preserve">11 </w:t>
      </w:r>
      <w:r>
        <w:t xml:space="preserve">And the Lord said to Moses, How long will this</w:t>
      </w:r>
      <w:r>
        <w:rPr>
          <w:rStyle w:val="FootnoteReference"/>
        </w:rPr>
        <w:footnoteReference w:id="2779"/>
      </w:r>
      <w:r>
        <w:t xml:space="preserve"> people provoke me, and how long will they not believe me in all the signs that I did among them?</w:t>
      </w:r>
    </w:p>
    <w:p>
      <w:r>
        <w:rPr>
          <w:b/>
        </w:rPr>
        <w:t xml:space="preserve">12 </w:t>
      </w:r>
      <w:r>
        <w:t xml:space="preserve">I will strike them with death and destroy them, and I will make</w:t>
      </w:r>
      <w:r>
        <w:rPr>
          <w:rStyle w:val="FootnoteReference"/>
        </w:rPr>
        <w:footnoteReference w:id="2780"/>
      </w:r>
      <w:r>
        <w:t xml:space="preserve"> you and your father's house into a nation great and much greater than this.</w:t>
      </w:r>
    </w:p>
    <w:p>
      <w:r>
        <w:rPr>
          <w:b/>
        </w:rPr>
        <w:t xml:space="preserve">13 </w:t>
      </w:r>
      <w:r>
        <w:t xml:space="preserve">And Moses said to the Lord, And Egypt will hear, because you brought up this people from among them by your strength.</w:t>
      </w:r>
    </w:p>
    <w:p>
      <w:r>
        <w:rPr>
          <w:b/>
        </w:rPr>
        <w:t xml:space="preserve">14 </w:t>
      </w:r>
      <w:r>
        <w:t xml:space="preserve">And all dwelling on this land have heard that you are Lord among this people, that you, Lord, are seen eye to eye</w:t>
      </w:r>
      <w:r>
        <w:rPr>
          <w:rStyle w:val="FootnoteReference"/>
        </w:rPr>
        <w:footnoteReference w:id="2781"/>
      </w:r>
      <w:r>
        <w:t xml:space="preserve">, and your cloud stands over them, and in a pillar of cloud you go before them by day and in a pillar of fire by night.</w:t>
      </w:r>
    </w:p>
    <w:p>
      <w:r>
        <w:rPr>
          <w:b/>
        </w:rPr>
        <w:t xml:space="preserve">15 </w:t>
      </w:r>
      <w:r>
        <w:t xml:space="preserve">And if you destroy this people like one man, the nations who have heard your name will say,</w:t>
      </w:r>
    </w:p>
    <w:p>
      <w:r>
        <w:rPr>
          <w:b/>
        </w:rPr>
        <w:t xml:space="preserve">16 </w:t>
      </w:r>
      <w:r>
        <w:t xml:space="preserve">Because the Lord was not able to bring this people into the land that he swore to them, he struck them down in the wilderness.</w:t>
      </w:r>
    </w:p>
    <w:p>
      <w:r>
        <w:rPr>
          <w:b/>
        </w:rPr>
        <w:t xml:space="preserve">17 </w:t>
      </w:r>
      <w:r>
        <w:t xml:space="preserve">And now let your strength be exalted, Lord, as you spoke, saying,</w:t>
      </w:r>
    </w:p>
    <w:p>
      <w:r>
        <w:rPr>
          <w:b/>
        </w:rPr>
        <w:t xml:space="preserve">18 </w:t>
      </w:r>
      <w:r>
        <w:t xml:space="preserve">The Lord is long-suffering and greatly merciful and true</w:t>
      </w:r>
      <w:r>
        <w:rPr>
          <w:rStyle w:val="FootnoteReference"/>
        </w:rPr>
        <w:footnoteReference w:id="2782"/>
      </w:r>
      <w:r>
        <w:t xml:space="preserve">, removing lawlessness and injustice and sins, and in cleansing will not cleanse the guilty, repaying fathers' sins upon children to the third and fourth generation.</w:t>
      </w:r>
    </w:p>
    <w:p>
      <w:r>
        <w:rPr>
          <w:b/>
        </w:rPr>
        <w:t xml:space="preserve">19 </w:t>
      </w:r>
      <w:r>
        <w:t xml:space="preserve">Forgive the sin of this people according to your great mercy, just as you have been gracious to them from Egypt until now.</w:t>
      </w:r>
    </w:p>
    <w:p>
      <w:r>
        <w:rPr>
          <w:b/>
        </w:rPr>
        <w:t xml:space="preserve">20 </w:t>
      </w:r>
      <w:r>
        <w:t xml:space="preserve">And the Lord said to Moses, I am gracious to them according to your word.</w:t>
      </w:r>
    </w:p>
    <w:p>
      <w:r>
        <w:rPr>
          <w:b/>
        </w:rPr>
        <w:t xml:space="preserve">21 </w:t>
      </w:r>
      <w:r>
        <w:t xml:space="preserve">But I live, and my name lives, and the glory of the Lord shall fill the whole earth.</w:t>
      </w:r>
    </w:p>
    <w:p>
      <w:r>
        <w:rPr>
          <w:b/>
        </w:rPr>
        <w:t xml:space="preserve">22 </w:t>
      </w:r>
      <w:r>
        <w:t xml:space="preserve">For all the men who saw my glory and the signs that I did in Egypt and in this wilderness, and tested me this tenth time and did not obey my voice,</w:t>
      </w:r>
    </w:p>
    <w:p>
      <w:r>
        <w:rPr>
          <w:b/>
        </w:rPr>
        <w:t xml:space="preserve">23 </w:t>
      </w:r>
      <w:r>
        <w:t xml:space="preserve">surely they shall not see</w:t>
      </w:r>
      <w:r>
        <w:rPr>
          <w:rStyle w:val="FootnoteReference"/>
        </w:rPr>
        <w:footnoteReference w:id="2783"/>
      </w:r>
      <w:r>
        <w:t xml:space="preserve"> the land that I swore to their fathers. But their children who are here with me, as many as do not know good or evil, every young inexperienced one, to these I will give the land. But all who provoked me shall not see it.</w:t>
      </w:r>
    </w:p>
    <w:p>
      <w:r>
        <w:rPr>
          <w:b/>
        </w:rPr>
        <w:t xml:space="preserve">24 </w:t>
      </w:r>
      <w:r>
        <w:t xml:space="preserve">But my servant</w:t>
      </w:r>
      <w:r>
        <w:rPr>
          <w:rStyle w:val="FootnoteReference"/>
        </w:rPr>
        <w:footnoteReference w:id="2784"/>
      </w:r>
      <w:r>
        <w:t xml:space="preserve"> Caleb, because a different spirit came to be in him and he followed me, I will bring him into the land into which he entered, and his seed shall inherit it.</w:t>
      </w:r>
    </w:p>
    <w:p>
      <w:r>
        <w:rPr>
          <w:b/>
        </w:rPr>
        <w:t xml:space="preserve">25 </w:t>
      </w:r>
      <w:r>
        <w:t xml:space="preserve">And Amalek and the Canaanite dwell in the valley. Tomorrow turn yourselves and set out into the wilderness by the way of the Red Sea.</w:t>
      </w:r>
    </w:p>
    <w:p>
      <w:r>
        <w:rPr>
          <w:b/>
        </w:rPr>
        <w:t xml:space="preserve">26 </w:t>
      </w:r>
      <w:r>
        <w:t xml:space="preserve">And the Lord said to Moses and Aaron, saying,</w:t>
      </w:r>
    </w:p>
    <w:p>
      <w:r>
        <w:rPr>
          <w:b/>
        </w:rPr>
        <w:t xml:space="preserve">27 </w:t>
      </w:r>
      <w:r>
        <w:t xml:space="preserve">How long</w:t>
      </w:r>
      <w:r>
        <w:rPr>
          <w:rStyle w:val="FootnoteReference"/>
        </w:rPr>
        <w:footnoteReference w:id="2785"/>
      </w:r>
      <w:r>
        <w:t xml:space="preserve"> shall I bear with this evil congregation, these things they are grumbling against me? The grumbling of the sons of Israel that they grumbled about you, I have heard.</w:t>
      </w:r>
    </w:p>
    <w:p>
      <w:r>
        <w:rPr>
          <w:b/>
        </w:rPr>
        <w:t xml:space="preserve">28 </w:t>
      </w:r>
      <w:r>
        <w:t xml:space="preserve">Say to them, As I live, says the Lord, surely just as you have spoken in my ears, so I will do to you.</w:t>
      </w:r>
    </w:p>
    <w:p>
      <w:r>
        <w:rPr>
          <w:b/>
        </w:rPr>
        <w:t xml:space="preserve">29 </w:t>
      </w:r>
      <w:r>
        <w:t xml:space="preserve">In this wilderness your carcasses shall fall, and all your number, all those counted of you from twenty years old and upward, whoever grumbled against me,</w:t>
      </w:r>
    </w:p>
    <w:p>
      <w:r>
        <w:rPr>
          <w:b/>
        </w:rPr>
        <w:t xml:space="preserve">30 </w:t>
      </w:r>
      <w:r>
        <w:t xml:space="preserve">surely you shall not enter into the land upon which I stretched out my hand to settle you on it, except Caleb son of Jephunneh and Joshua son of Nun.</w:t>
      </w:r>
    </w:p>
    <w:p>
      <w:r>
        <w:rPr>
          <w:b/>
        </w:rPr>
        <w:t xml:space="preserve">31 </w:t>
      </w:r>
      <w:r>
        <w:t xml:space="preserve">And your little children, whom you said would be for plunder, I will bring into the land, and they shall inherit the land from which you turned away.</w:t>
      </w:r>
    </w:p>
    <w:p>
      <w:r>
        <w:rPr>
          <w:b/>
        </w:rPr>
        <w:t xml:space="preserve">32 </w:t>
      </w:r>
      <w:r>
        <w:t xml:space="preserve">But your carcasses shall fall in this wilderness.</w:t>
      </w:r>
    </w:p>
    <w:p>
      <w:r>
        <w:rPr>
          <w:b/>
        </w:rPr>
        <w:t xml:space="preserve">33 </w:t>
      </w:r>
      <w:r>
        <w:t xml:space="preserve">And your sons shall be feeding in the wilderness forty years</w:t>
      </w:r>
      <w:r>
        <w:rPr>
          <w:rStyle w:val="FootnoteReference"/>
        </w:rPr>
        <w:footnoteReference w:id="2786"/>
      </w:r>
      <w:r>
        <w:t xml:space="preserve">, and they shall bear your prostitution until your carcasses are consumed in the wilderness.</w:t>
      </w:r>
    </w:p>
    <w:p>
      <w:r>
        <w:rPr>
          <w:b/>
        </w:rPr>
        <w:t xml:space="preserve">34 </w:t>
      </w:r>
      <w:r>
        <w:t xml:space="preserve">According to the number</w:t>
      </w:r>
      <w:r>
        <w:rPr>
          <w:rStyle w:val="FootnoteReference"/>
        </w:rPr>
        <w:footnoteReference w:id="2787"/>
      </w:r>
      <w:r>
        <w:t xml:space="preserve"> of the days in which you spied out the land, forty days, a day for a year, you shall bear your sins forty years, and you shall know the fury of my anger</w:t>
      </w:r>
      <w:r>
        <w:rPr>
          <w:rStyle w:val="FootnoteReference"/>
        </w:rPr>
        <w:footnoteReference w:id="2788"/>
      </w:r>
      <w:r>
        <w:t xml:space="preserve">.</w:t>
      </w:r>
    </w:p>
    <w:p>
      <w:r>
        <w:rPr>
          <w:b/>
        </w:rPr>
        <w:t xml:space="preserve">35 </w:t>
      </w:r>
      <w:r>
        <w:t xml:space="preserve">I, the Lord, have spoken. Surely thus I will do to this whole evil congregation gathered together against me. In this wilderness they shall be consumed, and there they shall die.</w:t>
      </w:r>
    </w:p>
    <w:p>
      <w:r>
        <w:rPr>
          <w:b/>
        </w:rPr>
        <w:t xml:space="preserve">36 </w:t>
      </w:r>
      <w:r>
        <w:t xml:space="preserve">And the men whom Moses sent to spy out the land, and who came back and made the whole congregation grumble against it by bringing out evil words about the land,</w:t>
      </w:r>
    </w:p>
    <w:p>
      <w:r>
        <w:rPr>
          <w:b/>
        </w:rPr>
        <w:t xml:space="preserve">37 </w:t>
      </w:r>
      <w:r>
        <w:t xml:space="preserve">those men who spoke evil against the land died</w:t>
      </w:r>
      <w:r>
        <w:rPr>
          <w:rStyle w:val="FootnoteReference"/>
        </w:rPr>
        <w:footnoteReference w:id="2789"/>
      </w:r>
      <w:r>
        <w:t xml:space="preserve"> in the plague before the Lord.</w:t>
      </w:r>
    </w:p>
    <w:p>
      <w:r>
        <w:rPr>
          <w:b/>
        </w:rPr>
        <w:t xml:space="preserve">38 </w:t>
      </w:r>
      <w:r>
        <w:t xml:space="preserve">But Joshua son of Nun and Caleb son of Jephunneh lived on from those men who had gone to spy out the land.</w:t>
      </w:r>
    </w:p>
    <w:p>
      <w:r>
        <w:rPr>
          <w:b/>
        </w:rPr>
        <w:t xml:space="preserve">39 </w:t>
      </w:r>
      <w:r>
        <w:t xml:space="preserve">And Moses spoke these words to all the sons of Israel, and the people mourned greatly</w:t>
      </w:r>
      <w:r>
        <w:rPr>
          <w:rStyle w:val="FootnoteReference"/>
        </w:rPr>
        <w:footnoteReference w:id="2790"/>
      </w:r>
      <w:r>
        <w:t xml:space="preserve">.</w:t>
      </w:r>
    </w:p>
    <w:p>
      <w:r>
        <w:rPr>
          <w:b/>
        </w:rPr>
        <w:t xml:space="preserve">40 </w:t>
      </w:r>
      <w:r>
        <w:t xml:space="preserve">And rising early in the morning, they went up to the top of the mountain, saying, Behold, here we are. We will go up to the place that the Lord spoke of, because we have sinned.</w:t>
      </w:r>
    </w:p>
    <w:p>
      <w:r>
        <w:rPr>
          <w:b/>
        </w:rPr>
        <w:t xml:space="preserve">41 </w:t>
      </w:r>
      <w:r>
        <w:t xml:space="preserve">And Moses said, Why are you transgressing the Lord's word? It will not prosper for you.</w:t>
      </w:r>
    </w:p>
    <w:p>
      <w:r>
        <w:rPr>
          <w:b/>
        </w:rPr>
        <w:t xml:space="preserve">42 </w:t>
      </w:r>
      <w:r>
        <w:t xml:space="preserve">Do not go up, for the Lord is not with you, and you will fall before your enemies.</w:t>
      </w:r>
    </w:p>
    <w:p>
      <w:r>
        <w:rPr>
          <w:b/>
        </w:rPr>
        <w:t xml:space="preserve">43 </w:t>
      </w:r>
      <w:r>
        <w:t xml:space="preserve">For Amalek and the Canaanite are there before you, and you will fall by sword, because you turned away in disobedience from the Lord, and the Lord will not be among you.</w:t>
      </w:r>
    </w:p>
    <w:p>
      <w:r>
        <w:rPr>
          <w:b/>
        </w:rPr>
        <w:t xml:space="preserve">44 </w:t>
      </w:r>
      <w:r>
        <w:t xml:space="preserve">And forcing themselves, they went up to the top of the mountain, but the ark</w:t>
      </w:r>
      <w:r>
        <w:rPr>
          <w:rStyle w:val="FootnoteReference"/>
        </w:rPr>
        <w:footnoteReference w:id="2791"/>
      </w:r>
      <w:r>
        <w:t xml:space="preserve"> of the covenant of the Lord and Moses did not move from the camp.</w:t>
      </w:r>
    </w:p>
    <w:p>
      <w:r>
        <w:rPr>
          <w:b/>
        </w:rPr>
        <w:t xml:space="preserve">45 </w:t>
      </w:r>
      <w:r>
        <w:t xml:space="preserve">And Amalek came down, and the Canaanite dwelling in that mountain, and they routed them and cut them down as far as Hormah</w:t>
      </w:r>
      <w:r>
        <w:rPr>
          <w:rStyle w:val="FootnoteReference"/>
        </w:rPr>
        <w:footnoteReference w:id="2792"/>
      </w:r>
      <w:r>
        <w:t xml:space="preserve">, and they turned back to the camp.</w:t>
      </w:r>
      <w:r>
        <w:rPr>
          <w:rStyle w:val="FootnoteReference"/>
        </w:rPr>
        <w:footnoteReference w:id="2793"/>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the Lord said to Moses, saying,</w:t>
      </w:r>
    </w:p>
    <w:p>
      <w:r>
        <w:rPr>
          <w:b/>
        </w:rPr>
        <w:t xml:space="preserve">2 </w:t>
      </w:r>
      <w:r>
        <w:t xml:space="preserve">Speak to the sons of Israel, and you shall say to them, When you enter into the land of your dwelling, which I am giving to you,</w:t>
      </w:r>
    </w:p>
    <w:p>
      <w:r>
        <w:rPr>
          <w:b/>
        </w:rPr>
        <w:t xml:space="preserve">3 </w:t>
      </w:r>
      <w:r>
        <w:t xml:space="preserve">and you make whole burnt offerings to the Lord, a whole burnt offering or a sacrifice</w:t>
      </w:r>
      <w:r>
        <w:rPr>
          <w:rStyle w:val="FootnoteReference"/>
        </w:rPr>
        <w:footnoteReference w:id="2794"/>
      </w:r>
      <w:r>
        <w:t xml:space="preserve">, to fulfill a vow</w:t>
      </w:r>
      <w:r>
        <w:rPr>
          <w:rStyle w:val="FootnoteReference"/>
        </w:rPr>
        <w:footnoteReference w:id="2795"/>
      </w:r>
      <w:r>
        <w:t xml:space="preserve"> or as a freewill offering or in your feasts, to make an aroma of sweet fragrance to the Lord, whether from the cattle or from the sheep,</w:t>
      </w:r>
    </w:p>
    <w:p>
      <w:r>
        <w:rPr>
          <w:b/>
        </w:rPr>
        <w:t xml:space="preserve">4 </w:t>
      </w:r>
      <w:r>
        <w:t xml:space="preserve">then the one bringing his gift to the Lord shall bring a sacrifice of fine flour, a tenth of an ephah, prepared with oil, one fourth of a hin.</w:t>
      </w:r>
    </w:p>
    <w:p>
      <w:r>
        <w:rPr>
          <w:b/>
        </w:rPr>
        <w:t xml:space="preserve">5 </w:t>
      </w:r>
      <w:r>
        <w:t xml:space="preserve">And wine for a libation, one fourth of a hin, you shall prepare with the whole burnt offering or with the sacrifice for the one lamb, so much as a gift, an aroma of sweet fragrance to the Lord.</w:t>
      </w:r>
    </w:p>
    <w:p>
      <w:r>
        <w:rPr>
          <w:b/>
        </w:rPr>
        <w:t xml:space="preserve">6 </w:t>
      </w:r>
      <w:r>
        <w:t xml:space="preserve">And for the ram, when you make it as a whole burnt offering or as a sacrifice, you shall make a sacrifice of fine flour, two tenths, prepared with oil, one third of a hin.</w:t>
      </w:r>
    </w:p>
    <w:p>
      <w:r>
        <w:rPr>
          <w:b/>
        </w:rPr>
        <w:t xml:space="preserve">7 </w:t>
      </w:r>
      <w:r>
        <w:t xml:space="preserve">And wine for a libation, one third of a hin, you shall bring as an aroma of sweet fragrance to the Lord.</w:t>
      </w:r>
    </w:p>
    <w:p>
      <w:r>
        <w:rPr>
          <w:b/>
        </w:rPr>
        <w:t xml:space="preserve">8 </w:t>
      </w:r>
      <w:r>
        <w:t xml:space="preserve">And if you make from the cattle as a whole burnt offering or as a sacrifice to fulfill a vow or as an offering of salvation to the Lord,</w:t>
      </w:r>
    </w:p>
    <w:p>
      <w:r>
        <w:rPr>
          <w:b/>
        </w:rPr>
        <w:t xml:space="preserve">9 </w:t>
      </w:r>
      <w:r>
        <w:t xml:space="preserve">then with the bull he shall bring a sacrifice of fine flour, three tenths, prepared with oil, one half of a hin.</w:t>
      </w:r>
    </w:p>
    <w:p>
      <w:r>
        <w:rPr>
          <w:b/>
        </w:rPr>
        <w:t xml:space="preserve">10 </w:t>
      </w:r>
      <w:r>
        <w:t xml:space="preserve">And wine for a libation, one half of a hin, a gift, an aroma of sweet fragrance to the Lord.</w:t>
      </w:r>
    </w:p>
    <w:p>
      <w:r>
        <w:rPr>
          <w:b/>
        </w:rPr>
        <w:t xml:space="preserve">11 </w:t>
      </w:r>
      <w:r>
        <w:t xml:space="preserve">Thus you shall do for the one bull, or for the one ram, or for the one lamb from the sheep or from the goats.</w:t>
      </w:r>
    </w:p>
    <w:p>
      <w:r>
        <w:rPr>
          <w:b/>
        </w:rPr>
        <w:t xml:space="preserve">12 </w:t>
      </w:r>
      <w:r>
        <w:t xml:space="preserve">According to the number that you make, so you shall do for the one according to their number.</w:t>
      </w:r>
    </w:p>
    <w:p>
      <w:r>
        <w:rPr>
          <w:b/>
        </w:rPr>
        <w:t xml:space="preserve">13 </w:t>
      </w:r>
      <w:r>
        <w:t xml:space="preserve">Every native-born shall do thus, these things, to bring gifts as an aroma of sweet fragrance to the Lord.</w:t>
      </w:r>
    </w:p>
    <w:p>
      <w:r>
        <w:rPr>
          <w:b/>
        </w:rPr>
        <w:t xml:space="preserve">14 </w:t>
      </w:r>
      <w:r>
        <w:t xml:space="preserve">And if a sojourner joins himself to you in your land, or whoever may be among you in your generations, and makes a gift as an aroma of sweet fragrance to the Lord, just as you do, so shall the congregation do to the Lord.</w:t>
      </w:r>
    </w:p>
    <w:p>
      <w:r>
        <w:rPr>
          <w:b/>
        </w:rPr>
        <w:t xml:space="preserve">15 </w:t>
      </w:r>
      <w:r>
        <w:t xml:space="preserve">One law shall be for you and for the sojourners dwelling with you, an everlasting law throughout your generations. As you are, so shall the sojourner be</w:t>
      </w:r>
      <w:r>
        <w:rPr>
          <w:rStyle w:val="FootnoteReference"/>
        </w:rPr>
        <w:footnoteReference w:id="2796"/>
      </w:r>
      <w:r>
        <w:t xml:space="preserve"> before the Lord.</w:t>
      </w:r>
    </w:p>
    <w:p>
      <w:r>
        <w:rPr>
          <w:b/>
        </w:rPr>
        <w:t xml:space="preserve">16 </w:t>
      </w:r>
      <w:r>
        <w:t xml:space="preserve">One law shall be, and one ordinance shall be for you and for the sojourner dwelling among you.</w:t>
      </w:r>
    </w:p>
    <w:p>
      <w:r>
        <w:rPr>
          <w:b/>
        </w:rPr>
        <w:t xml:space="preserve">17 </w:t>
      </w:r>
      <w:r>
        <w:t xml:space="preserve">And the Lord spoke to Moses, saying,</w:t>
      </w:r>
    </w:p>
    <w:p>
      <w:r>
        <w:rPr>
          <w:b/>
        </w:rPr>
        <w:t xml:space="preserve">18 </w:t>
      </w:r>
      <w:r>
        <w:t xml:space="preserve">Speak to the sons of Israel, and you shall say to them, In your entering into the land into which I am bringing you there,</w:t>
      </w:r>
    </w:p>
    <w:p>
      <w:r>
        <w:rPr>
          <w:b/>
        </w:rPr>
        <w:t xml:space="preserve">19 </w:t>
      </w:r>
      <w:r>
        <w:t xml:space="preserve">then it shall be, when you eat from the breads of the land, you shall remove a contribution set apart for the Lord.</w:t>
      </w:r>
    </w:p>
    <w:p>
      <w:r>
        <w:rPr>
          <w:b/>
        </w:rPr>
        <w:t xml:space="preserve">20 </w:t>
      </w:r>
      <w:r>
        <w:t xml:space="preserve">The firstfruits of your dough, a loaf, you shall set apart as a contribution. As a contribution from the threshing floor, so you shall remove it.</w:t>
      </w:r>
    </w:p>
    <w:p>
      <w:r>
        <w:rPr>
          <w:b/>
        </w:rPr>
        <w:t xml:space="preserve">21 </w:t>
      </w:r>
      <w:r>
        <w:t xml:space="preserve">From the firstfruits of your dough you shall give a contribution to the Lord throughout your generations.</w:t>
      </w:r>
    </w:p>
    <w:p>
      <w:r>
        <w:rPr>
          <w:b/>
        </w:rPr>
        <w:t xml:space="preserve">22 </w:t>
      </w:r>
      <w:r>
        <w:t xml:space="preserve">But when you go astray and do not do all these commands that the Lord spoke to Moses,</w:t>
      </w:r>
    </w:p>
    <w:p>
      <w:r>
        <w:rPr>
          <w:b/>
        </w:rPr>
        <w:t xml:space="preserve">23 </w:t>
      </w:r>
      <w:r>
        <w:t xml:space="preserve">just as the Lord commanded you by Moses' hand, from the day that the Lord commanded you and onward throughout your generations,</w:t>
      </w:r>
    </w:p>
    <w:p>
      <w:r>
        <w:rPr>
          <w:b/>
        </w:rPr>
        <w:t xml:space="preserve">24 </w:t>
      </w:r>
      <w:r>
        <w:t xml:space="preserve">then it shall be, if it happens unintentionally from the eyes of the congregation, the whole congregation shall offer one unblemished bull from the cattle as a whole burnt offering, as an aroma of sweet fragrance to the Lord, and its sacrifice and its libation according to the ordinance, and one goat kid for sin offering.</w:t>
      </w:r>
      <w:r>
        <w:rPr>
          <w:rStyle w:val="FootnoteReference"/>
        </w:rPr>
        <w:footnoteReference w:id="2797"/>
      </w:r>
    </w:p>
    <w:p>
      <w:r>
        <w:rPr>
          <w:b/>
        </w:rPr>
        <w:t xml:space="preserve">25 </w:t>
      </w:r>
      <w:r>
        <w:t xml:space="preserve">And the priest</w:t>
      </w:r>
      <w:r>
        <w:rPr>
          <w:rStyle w:val="FootnoteReference"/>
        </w:rPr>
        <w:footnoteReference w:id="2798"/>
      </w:r>
      <w:r>
        <w:t xml:space="preserve"> shall make atonement for the whole congregation of the sons of Israel, and it shall be forgiven them, because it is unintentional. And they brought their gift, a gift to the Lord, for their sin before the Lord, for their unintentional acts</w:t>
      </w:r>
      <w:r>
        <w:rPr>
          <w:rStyle w:val="FootnoteReference"/>
        </w:rPr>
        <w:footnoteReference w:id="2799"/>
      </w:r>
      <w:r>
        <w:t xml:space="preserve">.</w:t>
      </w:r>
    </w:p>
    <w:p>
      <w:r>
        <w:rPr>
          <w:b/>
        </w:rPr>
        <w:t xml:space="preserve">26 </w:t>
      </w:r>
      <w:r>
        <w:t xml:space="preserve">And it shall be forgiven to the whole congregation of the sons of Israel and to the sojourner dwelling among you, because to all the people it was unintentional.</w:t>
      </w:r>
    </w:p>
    <w:p>
      <w:r>
        <w:rPr>
          <w:b/>
        </w:rPr>
        <w:t xml:space="preserve">27 </w:t>
      </w:r>
      <w:r>
        <w:t xml:space="preserve">And if one person sins unintentionally, he shall bring one year-old goat for sin offering.</w:t>
      </w:r>
    </w:p>
    <w:p>
      <w:r>
        <w:rPr>
          <w:b/>
        </w:rPr>
        <w:t xml:space="preserve">28 </w:t>
      </w:r>
      <w:r>
        <w:t xml:space="preserve">And the priest shall make atonement for the person who sinned unintentionally before the Lord, to make atonement for him.</w:t>
      </w:r>
    </w:p>
    <w:p>
      <w:r>
        <w:rPr>
          <w:b/>
        </w:rPr>
        <w:t xml:space="preserve">29 </w:t>
      </w:r>
      <w:r>
        <w:t xml:space="preserve">For the native among the sons of Israel and for the sojourner dwelling among them, one law</w:t>
      </w:r>
      <w:r>
        <w:rPr>
          <w:rStyle w:val="FootnoteReference"/>
        </w:rPr>
        <w:footnoteReference w:id="2800"/>
      </w:r>
      <w:r>
        <w:t xml:space="preserve"> shall be for them, whoever acts unintentionally.</w:t>
      </w:r>
    </w:p>
    <w:p>
      <w:r>
        <w:rPr>
          <w:b/>
        </w:rPr>
        <w:t xml:space="preserve">30 </w:t>
      </w:r>
      <w:r>
        <w:t xml:space="preserve">But the person who acts with a hand of arrogance, whether from the native-born or from the sojourners, this one provokes God. That person shall be cut off from his people.</w:t>
      </w:r>
    </w:p>
    <w:p>
      <w:r>
        <w:rPr>
          <w:b/>
        </w:rPr>
        <w:t xml:space="preserve">31 </w:t>
      </w:r>
      <w:r>
        <w:t xml:space="preserve">Because he treated the Lord's word as worthless and scattered his commands, that person shall be utterly destroyed. His sin is in him.</w:t>
      </w:r>
    </w:p>
    <w:p>
      <w:r>
        <w:rPr>
          <w:b/>
        </w:rPr>
        <w:t xml:space="preserve">32 </w:t>
      </w:r>
      <w:r>
        <w:t xml:space="preserve">And the sons of Israel were in the wilderness, and they found a man</w:t>
      </w:r>
      <w:r>
        <w:rPr>
          <w:rStyle w:val="FootnoteReference"/>
        </w:rPr>
        <w:footnoteReference w:id="2801"/>
      </w:r>
      <w:r>
        <w:t xml:space="preserve"> gathering wood on the day of the Sabbaths.</w:t>
      </w:r>
    </w:p>
    <w:p>
      <w:r>
        <w:rPr>
          <w:b/>
        </w:rPr>
        <w:t xml:space="preserve">33 </w:t>
      </w:r>
      <w:r>
        <w:t xml:space="preserve">And those who found him gathering wood on the day of the Sabbaths brought him to Moses and Aaron and to the whole congregation of the sons of Israel.</w:t>
      </w:r>
    </w:p>
    <w:p>
      <w:r>
        <w:rPr>
          <w:b/>
        </w:rPr>
        <w:t xml:space="preserve">34 </w:t>
      </w:r>
      <w:r>
        <w:t xml:space="preserve">And they put him under guard, for they had not judged what should be done to him.</w:t>
      </w:r>
    </w:p>
    <w:p>
      <w:r>
        <w:rPr>
          <w:b/>
        </w:rPr>
        <w:t xml:space="preserve">35 </w:t>
      </w:r>
      <w:r>
        <w:t xml:space="preserve">And the Lord spoke to Moses, saying, Let the man</w:t>
      </w:r>
      <w:r>
        <w:rPr>
          <w:rStyle w:val="FootnoteReference"/>
        </w:rPr>
        <w:footnoteReference w:id="2802"/>
      </w:r>
      <w:r>
        <w:t xml:space="preserve"> surely be put to death. Let the whole congregation stone him with stones.</w:t>
      </w:r>
    </w:p>
    <w:p>
      <w:r>
        <w:rPr>
          <w:b/>
        </w:rPr>
        <w:t xml:space="preserve">36 </w:t>
      </w:r>
      <w:r>
        <w:t xml:space="preserve">And the whole congregation brought him outside the camp and the whole congregation stoned him with stones outside the camp, just as the Lord commanded Moses.</w:t>
      </w:r>
    </w:p>
    <w:p>
      <w:r>
        <w:rPr>
          <w:b/>
        </w:rPr>
        <w:t xml:space="preserve">37 </w:t>
      </w:r>
      <w:r>
        <w:t xml:space="preserve">And the Lord said to Moses, saying,</w:t>
      </w:r>
    </w:p>
    <w:p>
      <w:r>
        <w:rPr>
          <w:b/>
        </w:rPr>
        <w:t xml:space="preserve">38 </w:t>
      </w:r>
      <w:r>
        <w:t xml:space="preserve">Speak to the sons of Israel, and you shall say to them that they should make for themselves tassels on the wings</w:t>
      </w:r>
      <w:r>
        <w:rPr>
          <w:rStyle w:val="FootnoteReference"/>
        </w:rPr>
        <w:footnoteReference w:id="2803"/>
      </w:r>
      <w:r>
        <w:t xml:space="preserve"> of their garments throughout their generations, and you shall place on the tassels of the wings a blue cord.</w:t>
      </w:r>
    </w:p>
    <w:p>
      <w:r>
        <w:rPr>
          <w:b/>
        </w:rPr>
        <w:t xml:space="preserve">39 </w:t>
      </w:r>
      <w:r>
        <w:t xml:space="preserve">And it shall be for you in the tassels, and you shall look at them and remember</w:t>
      </w:r>
      <w:r>
        <w:rPr>
          <w:rStyle w:val="FootnoteReference"/>
        </w:rPr>
        <w:footnoteReference w:id="2804"/>
      </w:r>
      <w:r>
        <w:t xml:space="preserve"> all the Lord's commands and do them, and you shall not turn aside after your minds and after your eyes, in which you prostitute yourselves</w:t>
      </w:r>
      <w:r>
        <w:rPr>
          <w:rStyle w:val="FootnoteReference"/>
        </w:rPr>
        <w:footnoteReference w:id="2805"/>
      </w:r>
      <w:r>
        <w:t xml:space="preserve"> after them.</w:t>
      </w:r>
    </w:p>
    <w:p>
      <w:r>
        <w:rPr>
          <w:b/>
        </w:rPr>
        <w:t xml:space="preserve">40 </w:t>
      </w:r>
      <w:r>
        <w:t xml:space="preserve">So that you may remember and do all my commands and be holy</w:t>
      </w:r>
      <w:r>
        <w:rPr>
          <w:rStyle w:val="FootnoteReference"/>
        </w:rPr>
        <w:footnoteReference w:id="2806"/>
      </w:r>
      <w:r>
        <w:t xml:space="preserve"> to your God.</w:t>
      </w:r>
    </w:p>
    <w:p>
      <w:r>
        <w:rPr>
          <w:b/>
        </w:rPr>
        <w:t xml:space="preserve">41 </w:t>
      </w:r>
      <w:r>
        <w:t xml:space="preserve">I am the Lord your God, who brought you out of the land of Egypt to be your God. I am the Lord your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Korah</w:t>
      </w:r>
      <w:r>
        <w:rPr>
          <w:rStyle w:val="FootnoteReference"/>
        </w:rPr>
        <w:footnoteReference w:id="2807"/>
      </w:r>
      <w:r>
        <w:t xml:space="preserve"> son of Izhar son of Kohath son of Levi, and Dathan</w:t>
      </w:r>
      <w:r>
        <w:rPr>
          <w:rStyle w:val="FootnoteReference"/>
        </w:rPr>
        <w:footnoteReference w:id="2808"/>
      </w:r>
      <w:r>
        <w:t xml:space="preserve"> and Abiram</w:t>
      </w:r>
      <w:r>
        <w:rPr>
          <w:rStyle w:val="FootnoteReference"/>
        </w:rPr>
        <w:footnoteReference w:id="2809"/>
      </w:r>
      <w:r>
        <w:t xml:space="preserve"> sons of Eliab, and Aun son of Peleth</w:t>
      </w:r>
      <w:r>
        <w:rPr>
          <w:rStyle w:val="FootnoteReference"/>
        </w:rPr>
        <w:footnoteReference w:id="2810"/>
      </w:r>
      <w:r>
        <w:t xml:space="preserve"> son of Reuben, spoke,</w:t>
      </w:r>
    </w:p>
    <w:p>
      <w:r>
        <w:rPr>
          <w:b/>
        </w:rPr>
        <w:t xml:space="preserve">2 </w:t>
      </w:r>
      <w:r>
        <w:t xml:space="preserve">and they rose up before Moses, along with two hundred fifty men of the sons of Israel, leaders of the congregation, summoned of the council, men of name.</w:t>
      </w:r>
    </w:p>
    <w:p>
      <w:r>
        <w:rPr>
          <w:b/>
        </w:rPr>
        <w:t xml:space="preserve">3 </w:t>
      </w:r>
      <w:r>
        <w:t xml:space="preserve">They stood together against Moses and Aaron and said, Let it be enough for you</w:t>
      </w:r>
      <w:r>
        <w:rPr>
          <w:rStyle w:val="FootnoteReference"/>
        </w:rPr>
        <w:footnoteReference w:id="2811"/>
      </w:r>
      <w:r>
        <w:t xml:space="preserve">, because the whole congregation, every one of them, is holy, and the Lord</w:t>
      </w:r>
      <w:r>
        <w:rPr>
          <w:rStyle w:val="FootnoteReference"/>
        </w:rPr>
        <w:footnoteReference w:id="2812"/>
      </w:r>
      <w:r>
        <w:t xml:space="preserve"> is among them. And why do you rise up against the congregation of the Lord?</w:t>
      </w:r>
    </w:p>
    <w:p>
      <w:r>
        <w:rPr>
          <w:b/>
        </w:rPr>
        <w:t xml:space="preserve">4 </w:t>
      </w:r>
      <w:r>
        <w:t xml:space="preserve">And Moses, hearing it, fell on his face.</w:t>
      </w:r>
    </w:p>
    <w:p>
      <w:r>
        <w:rPr>
          <w:b/>
        </w:rPr>
        <w:t xml:space="preserve">5 </w:t>
      </w:r>
      <w:r>
        <w:t xml:space="preserve">And he spoke to Korah and to all his congregation, saying, God has visited and known</w:t>
      </w:r>
      <w:r>
        <w:rPr>
          <w:rStyle w:val="FootnoteReference"/>
        </w:rPr>
        <w:footnoteReference w:id="2813"/>
      </w:r>
      <w:r>
        <w:t xml:space="preserve"> those who are his and the holy ones, and he has brought near to himself those whom he chose for himself.</w:t>
      </w:r>
    </w:p>
    <w:p>
      <w:r>
        <w:rPr>
          <w:b/>
        </w:rPr>
        <w:t xml:space="preserve">6 </w:t>
      </w:r>
      <w:r>
        <w:t xml:space="preserve">Do this: take for yourselves firepans, Korah and all his congregation,</w:t>
      </w:r>
    </w:p>
    <w:p>
      <w:r>
        <w:rPr>
          <w:b/>
        </w:rPr>
        <w:t xml:space="preserve">7 </w:t>
      </w:r>
      <w:r>
        <w:t xml:space="preserve">and place fire on them and place incense on them before the Lord tomorrow, and it shall be that the man</w:t>
      </w:r>
      <w:r>
        <w:rPr>
          <w:rStyle w:val="FootnoteReference"/>
        </w:rPr>
        <w:footnoteReference w:id="2814"/>
      </w:r>
      <w:r>
        <w:t xml:space="preserve"> whom the Lord chooses, this one is holy. Let it be enough for you, sons of Levi.</w:t>
      </w:r>
    </w:p>
    <w:p>
      <w:r>
        <w:rPr>
          <w:b/>
        </w:rPr>
        <w:t xml:space="preserve">8 </w:t>
      </w:r>
      <w:r>
        <w:t xml:space="preserve">And Moses said to Korah, Hear me, sons of Levi.</w:t>
      </w:r>
    </w:p>
    <w:p>
      <w:r>
        <w:rPr>
          <w:b/>
        </w:rPr>
        <w:t xml:space="preserve">9 </w:t>
      </w:r>
      <w:r>
        <w:t xml:space="preserve">Is this a small thing to you, that the God of Israel separated</w:t>
      </w:r>
      <w:r>
        <w:rPr>
          <w:rStyle w:val="FootnoteReference"/>
        </w:rPr>
        <w:footnoteReference w:id="2815"/>
      </w:r>
      <w:r>
        <w:t xml:space="preserve"> you from the congregation of Israel and brought you near to himself to minister the ministries of the tent of the Lord and to stand before the congregation to serve them?</w:t>
      </w:r>
    </w:p>
    <w:p>
      <w:r>
        <w:rPr>
          <w:b/>
        </w:rPr>
        <w:t xml:space="preserve">10 </w:t>
      </w:r>
      <w:r>
        <w:t xml:space="preserve">And he brought you near, and all your brothers the sons of Levi with you, and now do you seek to serve as priests?</w:t>
      </w:r>
    </w:p>
    <w:p>
      <w:r>
        <w:rPr>
          <w:b/>
        </w:rPr>
        <w:t xml:space="preserve">11 </w:t>
      </w:r>
      <w:r>
        <w:t xml:space="preserve">Thus you and all your congregation have gathered together against</w:t>
      </w:r>
      <w:r>
        <w:rPr>
          <w:rStyle w:val="FootnoteReference"/>
        </w:rPr>
        <w:footnoteReference w:id="2816"/>
      </w:r>
      <w:r>
        <w:t xml:space="preserve"> God, and Aaron, who is he that you grumble against him?</w:t>
      </w:r>
    </w:p>
    <w:p>
      <w:r>
        <w:rPr>
          <w:b/>
        </w:rPr>
        <w:t xml:space="preserve">12 </w:t>
      </w:r>
      <w:r>
        <w:t xml:space="preserve">And Moses sent to call Dathan and Abiram sons of Eliab, and they said, We will not come up.</w:t>
      </w:r>
    </w:p>
    <w:p>
      <w:r>
        <w:rPr>
          <w:b/>
        </w:rPr>
        <w:t xml:space="preserve">13 </w:t>
      </w:r>
      <w:r>
        <w:t xml:space="preserve">Is it a small</w:t>
      </w:r>
      <w:r>
        <w:rPr>
          <w:rStyle w:val="FootnoteReference"/>
        </w:rPr>
        <w:footnoteReference w:id="2817"/>
      </w:r>
      <w:r>
        <w:t xml:space="preserve"> thing that you brought us up from a land flowing with milk and honey to kill us in the wilderness, that you also rule over us as a ruler?</w:t>
      </w:r>
    </w:p>
    <w:p>
      <w:r>
        <w:rPr>
          <w:b/>
        </w:rPr>
        <w:t xml:space="preserve">14 </w:t>
      </w:r>
      <w:r>
        <w:t xml:space="preserve">Even if you had brought us into a land flowing with milk and honey and given us an inheritance of field and vineyards, would you gouge out the eyes of those men</w:t>
      </w:r>
      <w:r>
        <w:rPr>
          <w:rStyle w:val="FootnoteReference"/>
        </w:rPr>
        <w:footnoteReference w:id="2818"/>
      </w:r>
      <w:r>
        <w:t xml:space="preserve">? We will not come up.</w:t>
      </w:r>
    </w:p>
    <w:p>
      <w:r>
        <w:rPr>
          <w:b/>
        </w:rPr>
        <w:t xml:space="preserve">15 </w:t>
      </w:r>
      <w:r>
        <w:t xml:space="preserve">And Moses was greatly weighed down and said to the Lord, Do not attend to their sacrifice. I have taken not one thing desired from any of them, nor have I harmed any one of them.</w:t>
      </w:r>
    </w:p>
    <w:p>
      <w:r>
        <w:rPr>
          <w:b/>
        </w:rPr>
        <w:t xml:space="preserve">16 </w:t>
      </w:r>
      <w:r>
        <w:t xml:space="preserve">And Moses said to Korah, Sanctify your congregation and be ready before the Lord, you and they and Aaron, tomorrow.</w:t>
      </w:r>
    </w:p>
    <w:p>
      <w:r>
        <w:rPr>
          <w:b/>
        </w:rPr>
        <w:t xml:space="preserve">17 </w:t>
      </w:r>
      <w:r>
        <w:t xml:space="preserve">And let each take his firepan and place incense on them, and each bring his firepan before the Lord, two hundred fifty firepans, and you and Aaron, each his firepan.</w:t>
      </w:r>
    </w:p>
    <w:p>
      <w:r>
        <w:rPr>
          <w:b/>
        </w:rPr>
        <w:t xml:space="preserve">18 </w:t>
      </w:r>
      <w:r>
        <w:t xml:space="preserve">And each took his firepan and put fire on them and cast incense on it, and they stood by the doors of the tent of testimony, Moses and Aaron.</w:t>
      </w:r>
    </w:p>
    <w:p>
      <w:r>
        <w:rPr>
          <w:b/>
        </w:rPr>
        <w:t xml:space="preserve">19 </w:t>
      </w:r>
      <w:r>
        <w:t xml:space="preserve">And Korah gathered his whole congregation</w:t>
      </w:r>
      <w:r>
        <w:rPr>
          <w:rStyle w:val="FootnoteReference"/>
        </w:rPr>
        <w:footnoteReference w:id="2819"/>
      </w:r>
      <w:r>
        <w:t xml:space="preserve"> against them by the door of the tent of testimony, and the glory of the Lord appeared to all the congregation.</w:t>
      </w:r>
      <w:r>
        <w:rPr>
          <w:rStyle w:val="FootnoteReference"/>
        </w:rPr>
        <w:footnoteReference w:id="2820"/>
      </w:r>
    </w:p>
    <w:p>
      <w:r>
        <w:rPr>
          <w:b/>
        </w:rPr>
        <w:t xml:space="preserve">20 </w:t>
      </w:r>
      <w:r>
        <w:t xml:space="preserve">And the Lord spoke to Moses and Aaron, saying,</w:t>
      </w:r>
    </w:p>
    <w:p>
      <w:r>
        <w:rPr>
          <w:b/>
        </w:rPr>
        <w:t xml:space="preserve">21 </w:t>
      </w:r>
      <w:r>
        <w:t xml:space="preserve">Separate</w:t>
      </w:r>
      <w:r>
        <w:rPr>
          <w:rStyle w:val="FootnoteReference"/>
        </w:rPr>
        <w:footnoteReference w:id="2821"/>
      </w:r>
      <w:r>
        <w:t xml:space="preserve"> yourselves from the midst of this congregation, and I will consume them at once.</w:t>
      </w:r>
    </w:p>
    <w:p>
      <w:r>
        <w:rPr>
          <w:b/>
        </w:rPr>
        <w:t xml:space="preserve">22 </w:t>
      </w:r>
      <w:r>
        <w:t xml:space="preserve">And they fell</w:t>
      </w:r>
      <w:r>
        <w:rPr>
          <w:rStyle w:val="FootnoteReference"/>
        </w:rPr>
        <w:footnoteReference w:id="2822"/>
      </w:r>
      <w:r>
        <w:t xml:space="preserve"> on their face and said, God, God of the spirits and of all flesh, if one man sinned, will the Lord's wrath be upon the whole congregation?</w:t>
      </w:r>
    </w:p>
    <w:p>
      <w:r>
        <w:rPr>
          <w:b/>
        </w:rPr>
        <w:t xml:space="preserve">23 </w:t>
      </w:r>
      <w:r>
        <w:t xml:space="preserve">And the Lord spoke to Moses, saying,</w:t>
      </w:r>
    </w:p>
    <w:p>
      <w:r>
        <w:rPr>
          <w:b/>
        </w:rPr>
        <w:t xml:space="preserve">24 </w:t>
      </w:r>
      <w:r>
        <w:t xml:space="preserve">Speak to the congregation, saying, Withdraw all around from the congregation of Korah.</w:t>
      </w:r>
    </w:p>
    <w:p>
      <w:r>
        <w:rPr>
          <w:b/>
        </w:rPr>
        <w:t xml:space="preserve">25 </w:t>
      </w:r>
      <w:r>
        <w:t xml:space="preserve">And Moses rose and went to Dathan and Abiram, and all the elders of Israel went with him.</w:t>
      </w:r>
    </w:p>
    <w:p>
      <w:r>
        <w:rPr>
          <w:b/>
        </w:rPr>
        <w:t xml:space="preserve">26 </w:t>
      </w:r>
      <w:r>
        <w:t xml:space="preserve">And he spoke to the congregation, saying, Separate yourselves from the tents of these hard men, and do not touch anything that belongs to them, lest you perish together in all their sin.</w:t>
      </w:r>
    </w:p>
    <w:p>
      <w:r>
        <w:rPr>
          <w:b/>
        </w:rPr>
        <w:t xml:space="preserve">27 </w:t>
      </w:r>
      <w:r>
        <w:t xml:space="preserve">And they stood away from the tent of Korah all around, and Dathan and Abiram came out and stood</w:t>
      </w:r>
      <w:r>
        <w:rPr>
          <w:rStyle w:val="FootnoteReference"/>
        </w:rPr>
        <w:footnoteReference w:id="2823"/>
      </w:r>
      <w:r>
        <w:t xml:space="preserve"> by the doors of their tents, and their wives and their children and their baggage</w:t>
      </w:r>
      <w:r>
        <w:rPr>
          <w:rStyle w:val="FootnoteReference"/>
        </w:rPr>
        <w:footnoteReference w:id="2824"/>
      </w:r>
      <w:r>
        <w:t xml:space="preserve">.</w:t>
      </w:r>
    </w:p>
    <w:p>
      <w:r>
        <w:rPr>
          <w:b/>
        </w:rPr>
        <w:t xml:space="preserve">28 </w:t>
      </w:r>
      <w:r>
        <w:t xml:space="preserve">And Moses said, By this you shall know that the Lord has sent me to do all these works, because they are not from myself.</w:t>
      </w:r>
    </w:p>
    <w:p>
      <w:r>
        <w:rPr>
          <w:b/>
        </w:rPr>
        <w:t xml:space="preserve">29 </w:t>
      </w:r>
      <w:r>
        <w:t xml:space="preserve">If these die by the death of all the people, and if their visitation is according to the visitation of all the people, then the Lord</w:t>
      </w:r>
      <w:r>
        <w:rPr>
          <w:rStyle w:val="FootnoteReference"/>
        </w:rPr>
        <w:footnoteReference w:id="2825"/>
      </w:r>
      <w:r>
        <w:t xml:space="preserve"> has not sent me.</w:t>
      </w:r>
    </w:p>
    <w:p>
      <w:r>
        <w:rPr>
          <w:b/>
        </w:rPr>
        <w:t xml:space="preserve">30 </w:t>
      </w:r>
      <w:r>
        <w:t xml:space="preserve">But if the Lord shows this by a wonder, and the earth, opening its mouth, swallows them and their houses and their tents and everything that belongs to them, and they go down alive into Hades</w:t>
      </w:r>
      <w:r>
        <w:rPr>
          <w:rStyle w:val="FootnoteReference"/>
        </w:rPr>
        <w:footnoteReference w:id="2826"/>
      </w:r>
      <w:r>
        <w:t xml:space="preserve">, then you shall know that these men provoked the Lord.</w:t>
      </w:r>
    </w:p>
    <w:p>
      <w:r>
        <w:rPr>
          <w:b/>
        </w:rPr>
        <w:t xml:space="preserve">31 </w:t>
      </w:r>
      <w:r>
        <w:t xml:space="preserve">And when he finished speaking all these words, the earth beneath them was torn open.</w:t>
      </w:r>
    </w:p>
    <w:p>
      <w:r>
        <w:rPr>
          <w:b/>
        </w:rPr>
        <w:t xml:space="preserve">32 </w:t>
      </w:r>
      <w:r>
        <w:t xml:space="preserve">And the earth</w:t>
      </w:r>
      <w:r>
        <w:rPr>
          <w:rStyle w:val="FootnoteReference"/>
        </w:rPr>
        <w:footnoteReference w:id="2827"/>
      </w:r>
      <w:r>
        <w:t xml:space="preserve"> opened and swallowed them and their houses and all the people who were with Korah and their cattle.</w:t>
      </w:r>
    </w:p>
    <w:p>
      <w:r>
        <w:rPr>
          <w:b/>
        </w:rPr>
        <w:t xml:space="preserve">33 </w:t>
      </w:r>
      <w:r>
        <w:t xml:space="preserve">And they and all that belonged to them went down alive into Hades, and the earth covered them, and they perished</w:t>
      </w:r>
      <w:r>
        <w:rPr>
          <w:rStyle w:val="FootnoteReference"/>
        </w:rPr>
        <w:footnoteReference w:id="2828"/>
      </w:r>
      <w:r>
        <w:t xml:space="preserve"> from the midst of the congregation.</w:t>
      </w:r>
    </w:p>
    <w:p>
      <w:r>
        <w:rPr>
          <w:b/>
        </w:rPr>
        <w:t xml:space="preserve">34 </w:t>
      </w:r>
      <w:r>
        <w:t xml:space="preserve">And all Israel around them fled</w:t>
      </w:r>
      <w:r>
        <w:rPr>
          <w:rStyle w:val="FootnoteReference"/>
        </w:rPr>
        <w:footnoteReference w:id="2829"/>
      </w:r>
      <w:r>
        <w:t xml:space="preserve"> from their cry, for they said, Lest the earth swallow us too.</w:t>
      </w:r>
    </w:p>
    <w:p>
      <w:r>
        <w:rPr>
          <w:b/>
        </w:rPr>
        <w:t xml:space="preserve">35 </w:t>
      </w:r>
      <w:r>
        <w:t xml:space="preserve">And fire went out from the Lord and devoured the two hundred</w:t>
      </w:r>
      <w:r>
        <w:rPr>
          <w:rStyle w:val="FootnoteReference"/>
        </w:rPr>
        <w:footnoteReference w:id="2830"/>
      </w:r>
      <w:r>
        <w:t xml:space="preserve"> fifty men offering the incense.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the Lord said to Moses,</w:t>
      </w:r>
    </w:p>
    <w:p>
      <w:r>
        <w:rPr>
          <w:b/>
        </w:rPr>
        <w:t xml:space="preserve">2 </w:t>
      </w:r>
      <w:r>
        <w:t xml:space="preserve">And to Eleazar son of Aaron the priest: take up the bronze firepans from the midst of the burned ones, and scatter this strange fire there, because they were sanctified.</w:t>
      </w:r>
      <w:r>
        <w:rPr>
          <w:rStyle w:val="FootnoteReference"/>
        </w:rPr>
        <w:footnoteReference w:id="2831"/>
      </w:r>
    </w:p>
    <w:p>
      <w:r>
        <w:rPr>
          <w:b/>
        </w:rPr>
        <w:t xml:space="preserve">3 </w:t>
      </w:r>
      <w:r>
        <w:t xml:space="preserve">The firepans of these sinners against their own lives: make them hammered plates as a covering for the altar, because they were brought before the Lord and were sanctified, and they became a sign to the sons of Israel.</w:t>
      </w:r>
    </w:p>
    <w:p>
      <w:r>
        <w:rPr>
          <w:b/>
        </w:rPr>
        <w:t xml:space="preserve">4 </w:t>
      </w:r>
      <w:r>
        <w:t xml:space="preserve">And Eleazar son of Aaron the priest took the bronze firepans that the burned ones had brought, and they added them as a covering for the altar,</w:t>
      </w:r>
    </w:p>
    <w:p>
      <w:r>
        <w:rPr>
          <w:b/>
        </w:rPr>
        <w:t xml:space="preserve">5 </w:t>
      </w:r>
      <w:r>
        <w:t xml:space="preserve">a memorial to the sons of Israel, so that no stranger who is not from the seed of Aaron may come near to place incense before the Lord, and he will not be like Korah and his gathering together, just as the Lord spoke by Moses' hand.</w:t>
      </w:r>
      <w:r>
        <w:rPr>
          <w:rStyle w:val="FootnoteReference"/>
        </w:rPr>
        <w:footnoteReference w:id="2832"/>
      </w:r>
    </w:p>
    <w:p>
      <w:r>
        <w:rPr>
          <w:b/>
        </w:rPr>
        <w:t xml:space="preserve">6 </w:t>
      </w:r>
      <w:r>
        <w:t xml:space="preserve">And the next day the sons of Israel grumbled against Moses and Aaron, saying, You have killed the people of the Lord</w:t>
      </w:r>
      <w:r>
        <w:rPr>
          <w:rStyle w:val="FootnoteReference"/>
        </w:rPr>
        <w:footnoteReference w:id="2833"/>
      </w:r>
      <w:r>
        <w:t xml:space="preserve">.</w:t>
      </w:r>
    </w:p>
    <w:p>
      <w:r>
        <w:rPr>
          <w:b/>
        </w:rPr>
        <w:t xml:space="preserve">7 </w:t>
      </w:r>
      <w:r>
        <w:t xml:space="preserve">And it happened, when the congregation rushed together against Moses and Aaron, they rushed toward the tent of testimony, and behold, the cloud covered it, and the glory of the Lord appeared.</w:t>
      </w:r>
    </w:p>
    <w:p>
      <w:r>
        <w:rPr>
          <w:b/>
        </w:rPr>
        <w:t xml:space="preserve">8 </w:t>
      </w:r>
      <w:r>
        <w:t xml:space="preserve">And Moses and Aaron went in before the tent of testimony</w:t>
      </w:r>
      <w:r>
        <w:rPr>
          <w:rStyle w:val="FootnoteReference"/>
        </w:rPr>
        <w:footnoteReference w:id="2834"/>
      </w:r>
      <w:r>
        <w:t xml:space="preserve">.</w:t>
      </w:r>
    </w:p>
    <w:p>
      <w:r>
        <w:rPr>
          <w:b/>
        </w:rPr>
        <w:t xml:space="preserve">9 </w:t>
      </w:r>
      <w:r>
        <w:t xml:space="preserve">And the Lord spoke to Moses and Aaron, saying,</w:t>
      </w:r>
    </w:p>
    <w:p>
      <w:r>
        <w:rPr>
          <w:b/>
        </w:rPr>
        <w:t xml:space="preserve">10 </w:t>
      </w:r>
      <w:r>
        <w:t xml:space="preserve">Move away from the midst of this congregation, and I will consume them at once</w:t>
      </w:r>
      <w:r>
        <w:rPr>
          <w:rStyle w:val="FootnoteReference"/>
        </w:rPr>
        <w:footnoteReference w:id="2835"/>
      </w:r>
      <w:r>
        <w:t xml:space="preserve">. And they fell on their face.</w:t>
      </w:r>
    </w:p>
    <w:p>
      <w:r>
        <w:rPr>
          <w:b/>
        </w:rPr>
        <w:t xml:space="preserve">11 </w:t>
      </w:r>
      <w:r>
        <w:t xml:space="preserve">And Moses said to Aaron, Take the firepan and place upon it fire from the altar and cast incense upon it, and carry it quickly</w:t>
      </w:r>
      <w:r>
        <w:rPr>
          <w:rStyle w:val="FootnoteReference"/>
        </w:rPr>
        <w:footnoteReference w:id="2836"/>
      </w:r>
      <w:r>
        <w:t xml:space="preserve"> into the camp and make atonement for them, for wrath has gone out from the Lord; the breaking of the people has begun.</w:t>
      </w:r>
    </w:p>
    <w:p>
      <w:r>
        <w:rPr>
          <w:b/>
        </w:rPr>
        <w:t xml:space="preserve">12 </w:t>
      </w:r>
      <w:r>
        <w:t xml:space="preserve">And Aaron took it, just as Moses spoke to him, and ran into the congregation, and already the breaking had begun among the people. And he cast the incense and made atonement for the people.</w:t>
      </w:r>
      <w:r>
        <w:rPr>
          <w:rStyle w:val="FootnoteReference"/>
        </w:rPr>
        <w:footnoteReference w:id="2837"/>
      </w:r>
    </w:p>
    <w:p>
      <w:r>
        <w:rPr>
          <w:b/>
        </w:rPr>
        <w:t xml:space="preserve">13 </w:t>
      </w:r>
      <w:r>
        <w:t xml:space="preserve">And he stood between the dead and the living, and the breaking ceased.</w:t>
      </w:r>
      <w:r>
        <w:rPr>
          <w:rStyle w:val="FootnoteReference"/>
        </w:rPr>
        <w:footnoteReference w:id="2838"/>
      </w:r>
      <w:r>
        <w:t xml:space="preserve"/>
      </w:r>
    </w:p>
    <w:p>
      <w:r>
        <w:rPr>
          <w:b/>
        </w:rPr>
        <w:t xml:space="preserve">14 </w:t>
      </w:r>
      <w:r>
        <w:t xml:space="preserve">And those dead in the breaking were fourteen thousand seven hundred, besides those dead because of Korah.</w:t>
      </w:r>
    </w:p>
    <w:p>
      <w:r>
        <w:rPr>
          <w:b/>
        </w:rPr>
        <w:t xml:space="preserve">15 </w:t>
      </w:r>
      <w:r>
        <w:t xml:space="preserve">And Aaron returned to Moses at the door of the tent of testimony, and the breaking ceased.</w:t>
      </w:r>
    </w:p>
    <w:p>
      <w:r>
        <w:rPr>
          <w:b/>
        </w:rPr>
        <w:t xml:space="preserve">16 </w:t>
      </w:r>
      <w:r>
        <w:t xml:space="preserve">And the Lord spoke to Moses, saying,</w:t>
      </w:r>
    </w:p>
    <w:p>
      <w:r>
        <w:rPr>
          <w:b/>
        </w:rPr>
        <w:t xml:space="preserve">17 </w:t>
      </w:r>
      <w:r>
        <w:t xml:space="preserve">Speak to the sons of Israel and take from them rod by rod according to the houses of their fathers, from all their chiefs according to the houses of their fathers, twelve rods, and write each one's name on his rod.</w:t>
      </w:r>
    </w:p>
    <w:p>
      <w:r>
        <w:rPr>
          <w:b/>
        </w:rPr>
        <w:t xml:space="preserve">18 </w:t>
      </w:r>
      <w:r>
        <w:t xml:space="preserve">And Aaron's name you shall write on the rod of Levi, for there shall be one rod for each tribe of the houses of their fathers.</w:t>
      </w:r>
    </w:p>
    <w:p>
      <w:r>
        <w:rPr>
          <w:b/>
        </w:rPr>
        <w:t xml:space="preserve">19 </w:t>
      </w:r>
      <w:r>
        <w:t xml:space="preserve">And you shall place them in the tent of testimony opposite the testimonies, where I will make myself known to you there.</w:t>
      </w:r>
    </w:p>
    <w:p>
      <w:r>
        <w:rPr>
          <w:b/>
        </w:rPr>
        <w:t xml:space="preserve">20 </w:t>
      </w:r>
      <w:r>
        <w:t xml:space="preserve">And it shall be that the man whom I choose, his rod shall sprout, and I will remove from myself the grumbling of the sons of Israel, which they grumble against you.</w:t>
      </w:r>
    </w:p>
    <w:p>
      <w:r>
        <w:rPr>
          <w:b/>
        </w:rPr>
        <w:t xml:space="preserve">21 </w:t>
      </w:r>
      <w:r>
        <w:t xml:space="preserve">And Moses spoke to the sons of Israel, and all their chiefs gave him a rod, one rod to each chief according to the houses of their fathers, twelve rods, and Aaron's rod was among their rods.</w:t>
      </w:r>
    </w:p>
    <w:p>
      <w:r>
        <w:rPr>
          <w:b/>
        </w:rPr>
        <w:t xml:space="preserve">22 </w:t>
      </w:r>
      <w:r>
        <w:t xml:space="preserve">And Moses placed the rods before the Lord in the tent of testimony.</w:t>
      </w:r>
    </w:p>
    <w:p>
      <w:r>
        <w:rPr>
          <w:b/>
        </w:rPr>
        <w:t xml:space="preserve">23 </w:t>
      </w:r>
      <w:r>
        <w:t xml:space="preserve">And it happened on the next day, Moses and Aaron entered into the tent of testimony, and behold, the rod of Aaron for the house of Levi had sprouted and brought forth a shoot and bloomed blossoms and sprouted nuts.</w:t>
      </w:r>
    </w:p>
    <w:p>
      <w:r>
        <w:rPr>
          <w:b/>
        </w:rPr>
        <w:t xml:space="preserve">24 </w:t>
      </w:r>
      <w:r>
        <w:t xml:space="preserve">And Moses brought out all the rods from before the Lord to all the sons of Israel, and they saw and each took his rod.</w:t>
      </w:r>
    </w:p>
    <w:p>
      <w:r>
        <w:rPr>
          <w:b/>
        </w:rPr>
        <w:t xml:space="preserve">25 </w:t>
      </w:r>
      <w:r>
        <w:t xml:space="preserve">And the Lord said to Moses, Put Aaron's rod before the testimonies for keeping, as a sign to the sons of disobedience, and let their grumbling cease from me, and they shall not die.</w:t>
      </w:r>
    </w:p>
    <w:p>
      <w:r>
        <w:rPr>
          <w:b/>
        </w:rPr>
        <w:t xml:space="preserve">26 </w:t>
      </w:r>
      <w:r>
        <w:t xml:space="preserve">And Moses and Aaron did just as the Lord commanded Moses; so they did.</w:t>
      </w:r>
    </w:p>
    <w:p>
      <w:r>
        <w:rPr>
          <w:b/>
        </w:rPr>
        <w:t xml:space="preserve">27 </w:t>
      </w:r>
      <w:r>
        <w:t xml:space="preserve">And the sons of Israel said to Moses, saying, Behold, we are consumed, we are lost, we are utterly destroyed.</w:t>
      </w:r>
    </w:p>
    <w:p>
      <w:r>
        <w:rPr>
          <w:b/>
        </w:rPr>
        <w:t xml:space="preserve">28 </w:t>
      </w:r>
      <w:r>
        <w:t xml:space="preserve">Everyone who touches the tent of the Lord dies. Shall we die to the end?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the Lord said to Aaron, saying: you and your sons and your fathers' house with you shall bear</w:t>
      </w:r>
      <w:r>
        <w:rPr>
          <w:rStyle w:val="FootnoteReference"/>
        </w:rPr>
        <w:footnoteReference w:id="2839"/>
      </w:r>
      <w:r>
        <w:t xml:space="preserve"> the sins of the holy things, and you and your sons shall bear the sins of your priesthood.</w:t>
      </w:r>
    </w:p>
    <w:p>
      <w:r>
        <w:rPr>
          <w:b/>
        </w:rPr>
        <w:t xml:space="preserve">2 </w:t>
      </w:r>
      <w:r>
        <w:t xml:space="preserve">And your brothers, the tribe of Levi, the clan of your father, bring near to yourself, and let them be joined to you</w:t>
      </w:r>
      <w:r>
        <w:rPr>
          <w:rStyle w:val="FootnoteReference"/>
        </w:rPr>
        <w:footnoteReference w:id="2840"/>
      </w:r>
      <w:r>
        <w:t xml:space="preserve"> and minister</w:t>
      </w:r>
      <w:r>
        <w:rPr>
          <w:rStyle w:val="FootnoteReference"/>
        </w:rPr>
        <w:footnoteReference w:id="2841"/>
      </w:r>
      <w:r>
        <w:t xml:space="preserve"> to you, and you and your sons with you shall be before the tent of testimony.</w:t>
      </w:r>
    </w:p>
    <w:p>
      <w:r>
        <w:rPr>
          <w:b/>
        </w:rPr>
        <w:t xml:space="preserve">3 </w:t>
      </w:r>
      <w:r>
        <w:t xml:space="preserve">And they shall keep your charges and the charges of the tent, only they</w:t>
      </w:r>
      <w:r>
        <w:rPr>
          <w:rStyle w:val="FootnoteReference"/>
        </w:rPr>
        <w:footnoteReference w:id="2842"/>
      </w:r>
      <w:r>
        <w:t xml:space="preserve"> shall not approach the holy vessels and the altar, and they shall not die, both they and you.</w:t>
      </w:r>
    </w:p>
    <w:p>
      <w:r>
        <w:rPr>
          <w:b/>
        </w:rPr>
        <w:t xml:space="preserve">4 </w:t>
      </w:r>
      <w:r>
        <w:t xml:space="preserve">And they shall be joined to you and keep the charges of the tent of testimony according to all the services of the tent, and the stranger shall not come near to you.</w:t>
      </w:r>
    </w:p>
    <w:p>
      <w:r>
        <w:rPr>
          <w:b/>
        </w:rPr>
        <w:t xml:space="preserve">5 </w:t>
      </w:r>
      <w:r>
        <w:t xml:space="preserve">And you shall keep the charges of the holy things and the charges of the altar, and there shall not be wrath among the sons of Israel.</w:t>
      </w:r>
    </w:p>
    <w:p>
      <w:r>
        <w:rPr>
          <w:b/>
        </w:rPr>
        <w:t xml:space="preserve">6 </w:t>
      </w:r>
      <w:r>
        <w:t xml:space="preserve">And I have taken your brothers, the Levites, from the midst of the sons of Israel, a gift given</w:t>
      </w:r>
      <w:r>
        <w:rPr>
          <w:rStyle w:val="FootnoteReference"/>
        </w:rPr>
        <w:footnoteReference w:id="2843"/>
      </w:r>
      <w:r>
        <w:t xml:space="preserve"> to the Lord, to minister the services of the tent of testimony.</w:t>
      </w:r>
    </w:p>
    <w:p>
      <w:r>
        <w:rPr>
          <w:b/>
        </w:rPr>
        <w:t xml:space="preserve">7 </w:t>
      </w:r>
      <w:r>
        <w:t xml:space="preserve">And you and your sons with you shall keep your priesthood according to every matter of the altar and what is within</w:t>
      </w:r>
      <w:r>
        <w:rPr>
          <w:rStyle w:val="FootnoteReference"/>
        </w:rPr>
        <w:footnoteReference w:id="2844"/>
      </w:r>
      <w:r>
        <w:t xml:space="preserve"> the veil, and you shall minister the ministries. I give your priesthood as a gift, and the stranger coming near shall die.</w:t>
      </w:r>
      <w:r>
        <w:rPr>
          <w:rStyle w:val="FootnoteReference"/>
        </w:rPr>
        <w:footnoteReference w:id="2845"/>
      </w:r>
    </w:p>
    <w:p>
      <w:r>
        <w:rPr>
          <w:b/>
        </w:rPr>
        <w:t xml:space="preserve">8 </w:t>
      </w:r>
      <w:r>
        <w:t xml:space="preserve">And the Lord spoke to Aaron: and I, behold, have given you the keeping of the firstfruits from all things sanctified to me from the sons of Israel. I have given them to you as an honor and to your sons after you, an everlasting statute.</w:t>
      </w:r>
      <w:r>
        <w:rPr>
          <w:rStyle w:val="FootnoteReference"/>
        </w:rPr>
        <w:footnoteReference w:id="2846"/>
      </w:r>
    </w:p>
    <w:p>
      <w:r>
        <w:rPr>
          <w:b/>
        </w:rPr>
        <w:t xml:space="preserve">9 </w:t>
      </w:r>
      <w:r>
        <w:t xml:space="preserve">And this shall be yours from the holy things of the gifts: from all their gifts and from all their sacrifices and from all their trespasses and from all their sins</w:t>
      </w:r>
      <w:r>
        <w:rPr>
          <w:rStyle w:val="FootnoteReference"/>
        </w:rPr>
        <w:footnoteReference w:id="2847"/>
      </w:r>
      <w:r>
        <w:t xml:space="preserve">, whatever they give back to me from all the holy things shall be yours and your sons'.</w:t>
      </w:r>
    </w:p>
    <w:p>
      <w:r>
        <w:rPr>
          <w:b/>
        </w:rPr>
        <w:t xml:space="preserve">10 </w:t>
      </w:r>
      <w:r>
        <w:t xml:space="preserve">In the holy of holies you shall eat them. Every male</w:t>
      </w:r>
      <w:r>
        <w:rPr>
          <w:rStyle w:val="FootnoteReference"/>
        </w:rPr>
        <w:footnoteReference w:id="2848"/>
      </w:r>
      <w:r>
        <w:t xml:space="preserve"> shall eat them, you and your sons. They shall be holy to you.</w:t>
      </w:r>
    </w:p>
    <w:p>
      <w:r>
        <w:rPr>
          <w:b/>
        </w:rPr>
        <w:t xml:space="preserve">11 </w:t>
      </w:r>
      <w:r>
        <w:t xml:space="preserve">And this shall be yours: the firstfruits of their gifts</w:t>
      </w:r>
      <w:r>
        <w:rPr>
          <w:rStyle w:val="FootnoteReference"/>
        </w:rPr>
        <w:footnoteReference w:id="2849"/>
      </w:r>
      <w:r>
        <w:t xml:space="preserve"> from all the offerings of the sons of Israel. I have given them to you and to your sons and your daughters with you, an everlasting statute. Everyone clean in your house shall eat them.</w:t>
      </w:r>
    </w:p>
    <w:p>
      <w:r>
        <w:rPr>
          <w:b/>
        </w:rPr>
        <w:t xml:space="preserve">12 </w:t>
      </w:r>
      <w:r>
        <w:t xml:space="preserve">All the firstfruits</w:t>
      </w:r>
      <w:r>
        <w:rPr>
          <w:rStyle w:val="FootnoteReference"/>
        </w:rPr>
        <w:footnoteReference w:id="2850"/>
      </w:r>
      <w:r>
        <w:t xml:space="preserve"> of oil and all the firstfruits of wine and grain, their firstfruits, whatever they give to the Lord, I have given them to you.</w:t>
      </w:r>
    </w:p>
    <w:p>
      <w:r>
        <w:rPr>
          <w:b/>
        </w:rPr>
        <w:t xml:space="preserve">13 </w:t>
      </w:r>
      <w:r>
        <w:t xml:space="preserve">All the first produce in their land, whatever they bring to the Lord, shall be yours. Everyone clean in your house shall eat them.</w:t>
      </w:r>
    </w:p>
    <w:p>
      <w:r>
        <w:rPr>
          <w:b/>
        </w:rPr>
        <w:t xml:space="preserve">14 </w:t>
      </w:r>
      <w:r>
        <w:t xml:space="preserve">Every devoted thing among the sons of Israel shall be yours.</w:t>
      </w:r>
    </w:p>
    <w:p>
      <w:r>
        <w:rPr>
          <w:b/>
        </w:rPr>
        <w:t xml:space="preserve">15 </w:t>
      </w:r>
      <w:r>
        <w:t xml:space="preserve">And every opener of the womb from all flesh</w:t>
      </w:r>
      <w:r>
        <w:rPr>
          <w:rStyle w:val="FootnoteReference"/>
        </w:rPr>
        <w:footnoteReference w:id="2851"/>
      </w:r>
      <w:r>
        <w:t xml:space="preserve">, which they bring to the Lord, from human to beast, shall be yours. But in redeeming, the firstborn</w:t>
      </w:r>
      <w:r>
        <w:rPr>
          <w:rStyle w:val="FootnoteReference"/>
        </w:rPr>
        <w:footnoteReference w:id="2852"/>
      </w:r>
      <w:r>
        <w:t xml:space="preserve"> of humans shall be redeemed, and the firstborn of unclean beasts you shall redeem.</w:t>
      </w:r>
    </w:p>
    <w:p>
      <w:r>
        <w:rPr>
          <w:b/>
        </w:rPr>
        <w:t xml:space="preserve">16 </w:t>
      </w:r>
      <w:r>
        <w:t xml:space="preserve">And its redemption from one month old shall be, by valuation, five shekels according to the holy shekel; twenty obols they are.</w:t>
      </w:r>
    </w:p>
    <w:p>
      <w:r>
        <w:rPr>
          <w:b/>
        </w:rPr>
        <w:t xml:space="preserve">17 </w:t>
      </w:r>
      <w:r>
        <w:t xml:space="preserve">Only the firstborn of cattle and the firstborn of sheep and the firstborn of goats you shall not redeem; they are holy. And their blood you shall pour out toward the altar, and the fat you shall offer as a gift, as an aroma of sweet fragrance to the Lord.</w:t>
      </w:r>
      <w:r>
        <w:rPr>
          <w:rStyle w:val="FootnoteReference"/>
        </w:rPr>
        <w:footnoteReference w:id="2853"/>
      </w:r>
    </w:p>
    <w:p>
      <w:r>
        <w:rPr>
          <w:b/>
        </w:rPr>
        <w:t xml:space="preserve">18 </w:t>
      </w:r>
      <w:r>
        <w:t xml:space="preserve">And the meat shall be yours, just as the breast of the offering set before the Lord and the right arm shall be yours.</w:t>
      </w:r>
    </w:p>
    <w:p>
      <w:r>
        <w:rPr>
          <w:b/>
        </w:rPr>
        <w:t xml:space="preserve">19 </w:t>
      </w:r>
      <w:r>
        <w:t xml:space="preserve">All the contributions of the holy things, whatever the sons of Israel remove for the Lord, I have given to you and to your sons and your daughters with you, an everlasting statute. It is a</w:t>
      </w:r>
      <w:r>
        <w:rPr>
          <w:rStyle w:val="FootnoteReference"/>
        </w:rPr>
        <w:footnoteReference w:id="2854"/>
      </w:r>
      <w:r>
        <w:t xml:space="preserve"> covenant of everlasting salt</w:t>
      </w:r>
      <w:r>
        <w:rPr>
          <w:rStyle w:val="FootnoteReference"/>
        </w:rPr>
        <w:footnoteReference w:id="2855"/>
      </w:r>
      <w:r>
        <w:t xml:space="preserve"> before the Lord for you and for your seed after you.</w:t>
      </w:r>
    </w:p>
    <w:p>
      <w:r>
        <w:rPr>
          <w:b/>
        </w:rPr>
        <w:t xml:space="preserve">20 </w:t>
      </w:r>
      <w:r>
        <w:t xml:space="preserve">And the Lord spoke to Aaron: In their land you shall not inherit, and no part shall be yours among them, because I am your part and your inheritance in the midst of the sons of Israel.</w:t>
      </w:r>
    </w:p>
    <w:p>
      <w:r>
        <w:rPr>
          <w:b/>
        </w:rPr>
        <w:t xml:space="preserve">21 </w:t>
      </w:r>
      <w:r>
        <w:t xml:space="preserve">And to the sons of Levi, behold, I have given every tithe in Israel as an inheritance in exchange for their services, whatever services they minister in the tent of testimony.</w:t>
      </w:r>
    </w:p>
    <w:p>
      <w:r>
        <w:rPr>
          <w:b/>
        </w:rPr>
        <w:t xml:space="preserve">22 </w:t>
      </w:r>
      <w:r>
        <w:t xml:space="preserve">And the sons of Israel shall no longer come near to the tent of testimony, to bear a deadly sin.</w:t>
      </w:r>
    </w:p>
    <w:p>
      <w:r>
        <w:rPr>
          <w:b/>
        </w:rPr>
        <w:t xml:space="preserve">23 </w:t>
      </w:r>
      <w:r>
        <w:t xml:space="preserve">And the Levite himself shall minister the ministry of the tent of testimony, and they shall bear their sins</w:t>
      </w:r>
      <w:r>
        <w:rPr>
          <w:rStyle w:val="FootnoteReference"/>
        </w:rPr>
        <w:footnoteReference w:id="2856"/>
      </w:r>
      <w:r>
        <w:t xml:space="preserve">, an everlasting statute throughout their generations. And in the midst of the sons of Israel they shall not inherit an inheritance.</w:t>
      </w:r>
    </w:p>
    <w:p>
      <w:r>
        <w:rPr>
          <w:b/>
        </w:rPr>
        <w:t xml:space="preserve">24 </w:t>
      </w:r>
      <w:r>
        <w:t xml:space="preserve">Because the tithes of the sons of Israel, whatever they set apart to the Lord as a contribution, I have given to the Levites as an inheritance. Therefore I said to them, In the midst of the sons of Israel they shall not inherit an inheritance.</w:t>
      </w:r>
      <w:r>
        <w:rPr>
          <w:rStyle w:val="FootnoteReference"/>
        </w:rPr>
        <w:footnoteReference w:id="2857"/>
      </w:r>
    </w:p>
    <w:p>
      <w:r>
        <w:rPr>
          <w:b/>
        </w:rPr>
        <w:t xml:space="preserve">25 </w:t>
      </w:r>
      <w:r>
        <w:t xml:space="preserve">And the Lord spoke to Moses, saying,</w:t>
      </w:r>
    </w:p>
    <w:p>
      <w:r>
        <w:rPr>
          <w:b/>
        </w:rPr>
        <w:t xml:space="preserve">26 </w:t>
      </w:r>
      <w:r>
        <w:t xml:space="preserve">And you shall speak to the Levites and say to them, If you receive from the sons of Israel the tithe that I have given you from them as an inheritance, then you shall remove from it a contribution to the Lord, a tithe from the tithe</w:t>
      </w:r>
      <w:r>
        <w:rPr>
          <w:rStyle w:val="FootnoteReference"/>
        </w:rPr>
        <w:footnoteReference w:id="2858"/>
      </w:r>
      <w:r>
        <w:t xml:space="preserve">.</w:t>
      </w:r>
    </w:p>
    <w:p>
      <w:r>
        <w:rPr>
          <w:b/>
        </w:rPr>
        <w:t xml:space="preserve">27 </w:t>
      </w:r>
      <w:r>
        <w:t xml:space="preserve">And your contributions shall be reckoned to you as grain from the threshing floor and as contribution from the winepress.</w:t>
      </w:r>
    </w:p>
    <w:p>
      <w:r>
        <w:rPr>
          <w:b/>
        </w:rPr>
        <w:t xml:space="preserve">28 </w:t>
      </w:r>
      <w:r>
        <w:t xml:space="preserve">Thus you also shall remove the Lord's contribution from all your tithes, whatever you receive from the sons of Israel, and from them you shall give the Lord's contribution to Aaron the priest.</w:t>
      </w:r>
      <w:r>
        <w:rPr>
          <w:rStyle w:val="FootnoteReference"/>
        </w:rPr>
        <w:footnoteReference w:id="2859"/>
      </w:r>
    </w:p>
    <w:p>
      <w:r>
        <w:rPr>
          <w:b/>
        </w:rPr>
        <w:t xml:space="preserve">29 </w:t>
      </w:r>
      <w:r>
        <w:t xml:space="preserve">From all your gifts you shall remove the Lord's contribution, from all the firstfruits, the holy part from it.</w:t>
      </w:r>
    </w:p>
    <w:p>
      <w:r>
        <w:rPr>
          <w:b/>
        </w:rPr>
        <w:t xml:space="preserve">30 </w:t>
      </w:r>
      <w:r>
        <w:t xml:space="preserve">And you shall say to them, When you remove the first part</w:t>
      </w:r>
      <w:r>
        <w:rPr>
          <w:rStyle w:val="FootnoteReference"/>
        </w:rPr>
        <w:footnoteReference w:id="2860"/>
      </w:r>
      <w:r>
        <w:t xml:space="preserve"> from it, it shall be reckoned to the Levites as produce from the threshing floor and as produce from the winepress.</w:t>
      </w:r>
    </w:p>
    <w:p>
      <w:r>
        <w:rPr>
          <w:b/>
        </w:rPr>
        <w:t xml:space="preserve">31 </w:t>
      </w:r>
      <w:r>
        <w:t xml:space="preserve">And you shall eat it in every</w:t>
      </w:r>
      <w:r>
        <w:rPr>
          <w:rStyle w:val="FootnoteReference"/>
        </w:rPr>
        <w:footnoteReference w:id="2861"/>
      </w:r>
      <w:r>
        <w:t xml:space="preserve"> place, you and your households, because this is wages for you in exchange for your services in the tent of testimony.</w:t>
      </w:r>
    </w:p>
    <w:p>
      <w:r>
        <w:rPr>
          <w:b/>
        </w:rPr>
        <w:t xml:space="preserve">32 </w:t>
      </w:r>
      <w:r>
        <w:t xml:space="preserve">And you shall not bear</w:t>
      </w:r>
      <w:r>
        <w:rPr>
          <w:rStyle w:val="FootnoteReference"/>
        </w:rPr>
        <w:footnoteReference w:id="2862"/>
      </w:r>
      <w:r>
        <w:t xml:space="preserve"> sin because of it when you remove the first part from it, and you shall not profane the holy things of the sons of Israel, so that you do not die.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the Lord spoke to Moses and Aaron, saying,</w:t>
      </w:r>
    </w:p>
    <w:p>
      <w:r>
        <w:rPr>
          <w:b/>
        </w:rPr>
        <w:t xml:space="preserve">2 </w:t>
      </w:r>
      <w:r>
        <w:t xml:space="preserve">This is the ordinance</w:t>
      </w:r>
      <w:r>
        <w:rPr>
          <w:rStyle w:val="FootnoteReference"/>
        </w:rPr>
        <w:footnoteReference w:id="2863"/>
      </w:r>
      <w:r>
        <w:t xml:space="preserve"> of the law, what the Lord commanded, saying: Speak to the sons of Israel, and let them take to you a red heifer, unblemished, in which there is no defect and on which a yoke has not come.</w:t>
      </w:r>
    </w:p>
    <w:p>
      <w:r>
        <w:rPr>
          <w:b/>
        </w:rPr>
        <w:t xml:space="preserve">3 </w:t>
      </w:r>
      <w:r>
        <w:t xml:space="preserve">And you shall give it to Eleazar the priest, and they shall bring it outside the camp to a clean place, and they shall slaughter it before him.</w:t>
      </w:r>
    </w:p>
    <w:p>
      <w:r>
        <w:rPr>
          <w:b/>
        </w:rPr>
        <w:t xml:space="preserve">4 </w:t>
      </w:r>
      <w:r>
        <w:t xml:space="preserve">And Eleazar shall take from its blood and sprinkle</w:t>
      </w:r>
      <w:r>
        <w:rPr>
          <w:rStyle w:val="FootnoteReference"/>
        </w:rPr>
        <w:footnoteReference w:id="2864"/>
      </w:r>
      <w:r>
        <w:t xml:space="preserve"> from its blood seven times toward the face of the tent of testimony.</w:t>
      </w:r>
    </w:p>
    <w:p>
      <w:r>
        <w:rPr>
          <w:b/>
        </w:rPr>
        <w:t xml:space="preserve">5 </w:t>
      </w:r>
      <w:r>
        <w:t xml:space="preserve">And they shall burn it before him, and its skin and its flesh and its blood with its dung shall be burned.</w:t>
      </w:r>
    </w:p>
    <w:p>
      <w:r>
        <w:rPr>
          <w:b/>
        </w:rPr>
        <w:t xml:space="preserve">6 </w:t>
      </w:r>
      <w:r>
        <w:t xml:space="preserve">And the priest shall take cedar wood and hyssop and scarlet and cast them into the midst of the burning of the heifer.</w:t>
      </w:r>
    </w:p>
    <w:p>
      <w:r>
        <w:rPr>
          <w:b/>
        </w:rPr>
        <w:t xml:space="preserve">7 </w:t>
      </w:r>
      <w:r>
        <w:t xml:space="preserve">And the priest shall wash his garments and bathe his body in water, and after these things he shall enter into the camp, and the priest shall be unclean until evening.</w:t>
      </w:r>
    </w:p>
    <w:p>
      <w:r>
        <w:rPr>
          <w:b/>
        </w:rPr>
        <w:t xml:space="preserve">8 </w:t>
      </w:r>
      <w:r>
        <w:t xml:space="preserve">And the one burning it shall wash his garments and bathe his body, and he shall be unclean until evening.</w:t>
      </w:r>
    </w:p>
    <w:p>
      <w:r>
        <w:rPr>
          <w:b/>
        </w:rPr>
        <w:t xml:space="preserve">9 </w:t>
      </w:r>
      <w:r>
        <w:t xml:space="preserve">And a clean</w:t>
      </w:r>
      <w:r>
        <w:rPr>
          <w:rStyle w:val="FootnoteReference"/>
        </w:rPr>
        <w:footnoteReference w:id="2865"/>
      </w:r>
      <w:r>
        <w:t xml:space="preserve"> man shall gather the ashes of the heifer and place them outside the camp in a clean place, and it shall be for the congregation of the sons of Israel for keeping, as water of sprinkling; it is purification.</w:t>
      </w:r>
    </w:p>
    <w:p>
      <w:r>
        <w:rPr>
          <w:b/>
        </w:rPr>
        <w:t xml:space="preserve">10 </w:t>
      </w:r>
      <w:r>
        <w:t xml:space="preserve">And the one gathering the ashes of the heifer shall wash his</w:t>
      </w:r>
      <w:r>
        <w:rPr>
          <w:rStyle w:val="FootnoteReference"/>
        </w:rPr>
        <w:footnoteReference w:id="2866"/>
      </w:r>
      <w:r>
        <w:t xml:space="preserve"> garments and be unclean until evening, and it shall be for the sons of Israel and for the sojourners dwelling among them</w:t>
      </w:r>
      <w:r>
        <w:rPr>
          <w:rStyle w:val="FootnoteReference"/>
        </w:rPr>
        <w:footnoteReference w:id="2867"/>
      </w:r>
      <w:r>
        <w:t xml:space="preserve"> an everlasting statute.</w:t>
      </w:r>
    </w:p>
    <w:p>
      <w:r>
        <w:rPr>
          <w:b/>
        </w:rPr>
        <w:t xml:space="preserve">11 </w:t>
      </w:r>
      <w:r>
        <w:t xml:space="preserve">The one touching the dead of any human person shall be unclean seven days.</w:t>
      </w:r>
    </w:p>
    <w:p>
      <w:r>
        <w:rPr>
          <w:b/>
        </w:rPr>
        <w:t xml:space="preserve">12 </w:t>
      </w:r>
      <w:r>
        <w:t xml:space="preserve">This one shall be purified on the third day</w:t>
      </w:r>
      <w:r>
        <w:rPr>
          <w:rStyle w:val="FootnoteReference"/>
        </w:rPr>
        <w:footnoteReference w:id="2868"/>
      </w:r>
      <w:r>
        <w:t xml:space="preserve"> and on the seventh day and shall be clean. But if he is not purified on the third day and on the seventh day, he shall not be clean.</w:t>
      </w:r>
    </w:p>
    <w:p>
      <w:r>
        <w:rPr>
          <w:b/>
        </w:rPr>
        <w:t xml:space="preserve">13 </w:t>
      </w:r>
      <w:r>
        <w:t xml:space="preserve">Everyone touching the dead body of a human person who dies and not purifying himself has defiled the tent of the Lord. That person shall be cut off from Israel, because water of sprinkling</w:t>
      </w:r>
      <w:r>
        <w:rPr>
          <w:rStyle w:val="FootnoteReference"/>
        </w:rPr>
        <w:footnoteReference w:id="2869"/>
      </w:r>
      <w:r>
        <w:t xml:space="preserve"> was not sprinkled upon him. He is unclean; his uncleanness</w:t>
      </w:r>
      <w:r>
        <w:rPr>
          <w:rStyle w:val="FootnoteReference"/>
        </w:rPr>
        <w:footnoteReference w:id="2870"/>
      </w:r>
      <w:r>
        <w:t xml:space="preserve"> is still in him.</w:t>
      </w:r>
    </w:p>
    <w:p>
      <w:r>
        <w:rPr>
          <w:b/>
        </w:rPr>
        <w:t xml:space="preserve">14 </w:t>
      </w:r>
      <w:r>
        <w:t xml:space="preserve">And this is the law: if a person dies in a house, everyone entering into the house and everything in the house shall be unclean seven days.</w:t>
      </w:r>
    </w:p>
    <w:p>
      <w:r>
        <w:rPr>
          <w:b/>
        </w:rPr>
        <w:t xml:space="preserve">15 </w:t>
      </w:r>
      <w:r>
        <w:t xml:space="preserve">And every open vessel on which no binding is tied shall be unclean.</w:t>
      </w:r>
    </w:p>
    <w:p>
      <w:r>
        <w:rPr>
          <w:b/>
        </w:rPr>
        <w:t xml:space="preserve">16 </w:t>
      </w:r>
      <w:r>
        <w:t xml:space="preserve">And everyone who touches on the face of the field one slain or a dead body or a human bone or a grave</w:t>
      </w:r>
      <w:r>
        <w:rPr>
          <w:rStyle w:val="FootnoteReference"/>
        </w:rPr>
        <w:footnoteReference w:id="2871"/>
      </w:r>
      <w:r>
        <w:t xml:space="preserve"> shall be unclean seven days.</w:t>
      </w:r>
    </w:p>
    <w:p>
      <w:r>
        <w:rPr>
          <w:b/>
        </w:rPr>
        <w:t xml:space="preserve">17 </w:t>
      </w:r>
      <w:r>
        <w:t xml:space="preserve">And for the unclean they shall take from the ashes</w:t>
      </w:r>
      <w:r>
        <w:rPr>
          <w:rStyle w:val="FootnoteReference"/>
        </w:rPr>
        <w:footnoteReference w:id="2872"/>
      </w:r>
      <w:r>
        <w:t xml:space="preserve"> of the burnt purification and pour living water upon it into a vessel.</w:t>
      </w:r>
    </w:p>
    <w:p>
      <w:r>
        <w:rPr>
          <w:b/>
        </w:rPr>
        <w:t xml:space="preserve">18 </w:t>
      </w:r>
      <w:r>
        <w:t xml:space="preserve">And a clean man shall take hyssop and dip it into the water and sprinkle it upon the house and upon the vessels and upon the persons who are there, and upon the one who touched the bone, the human body, or the slain one</w:t>
      </w:r>
      <w:r>
        <w:rPr>
          <w:rStyle w:val="FootnoteReference"/>
        </w:rPr>
        <w:footnoteReference w:id="2873"/>
      </w:r>
      <w:r>
        <w:t xml:space="preserve">, or the dead one, or the grave.</w:t>
      </w:r>
    </w:p>
    <w:p>
      <w:r>
        <w:rPr>
          <w:b/>
        </w:rPr>
        <w:t xml:space="preserve">19 </w:t>
      </w:r>
      <w:r>
        <w:t xml:space="preserve">And the clean person shall sprinkle</w:t>
      </w:r>
      <w:r>
        <w:rPr>
          <w:rStyle w:val="FootnoteReference"/>
        </w:rPr>
        <w:footnoteReference w:id="2874"/>
      </w:r>
      <w:r>
        <w:t xml:space="preserve"> upon the unclean on the third day and on the seventh day, and he shall be purified on the seventh day and wash his garments and bathe in water, and he shall be unclean until evening.</w:t>
      </w:r>
    </w:p>
    <w:p>
      <w:r>
        <w:rPr>
          <w:b/>
        </w:rPr>
        <w:t xml:space="preserve">20 </w:t>
      </w:r>
      <w:r>
        <w:t xml:space="preserve">And the person who becomes unclean and is not purified shall be cut off from the midst of the congregation, because he has defiled the holy things of the Lord</w:t>
      </w:r>
      <w:r>
        <w:rPr>
          <w:rStyle w:val="FootnoteReference"/>
        </w:rPr>
        <w:footnoteReference w:id="2875"/>
      </w:r>
      <w:r>
        <w:t xml:space="preserve">, because water of sprinkling was not sprinkled upon him. He is unclean.</w:t>
      </w:r>
    </w:p>
    <w:p>
      <w:r>
        <w:rPr>
          <w:b/>
        </w:rPr>
        <w:t xml:space="preserve">21 </w:t>
      </w:r>
      <w:r>
        <w:t xml:space="preserve">And it shall be for you an everlasting statute, and the one sprinkling water of sprinkling shall wash his garments, and the one touching the water of sprinkling shall be unclean until evening.</w:t>
      </w:r>
    </w:p>
    <w:p>
      <w:r>
        <w:rPr>
          <w:b/>
        </w:rPr>
        <w:t xml:space="preserve">22 </w:t>
      </w:r>
      <w:r>
        <w:t xml:space="preserve">And everything that the unclean person touches shall be unclean, and the person touching it shall be unclean until evening.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the sons of Israel, the whole congregation, came into the wilderness of Sin in the first month, and the people stayed in Kadesh</w:t>
      </w:r>
      <w:r>
        <w:rPr>
          <w:rStyle w:val="FootnoteReference"/>
        </w:rPr>
        <w:footnoteReference w:id="2876"/>
      </w:r>
      <w:r>
        <w:t xml:space="preserve">, and Miriam died there and was buried there.</w:t>
      </w:r>
    </w:p>
    <w:p>
      <w:r>
        <w:rPr>
          <w:b/>
        </w:rPr>
        <w:t xml:space="preserve">2 </w:t>
      </w:r>
      <w:r>
        <w:t xml:space="preserve">And there was no water for the congregation, and they gathered</w:t>
      </w:r>
      <w:r>
        <w:rPr>
          <w:rStyle w:val="FootnoteReference"/>
        </w:rPr>
        <w:footnoteReference w:id="2877"/>
      </w:r>
      <w:r>
        <w:t xml:space="preserve"> against Moses and Aaron.</w:t>
      </w:r>
    </w:p>
    <w:p>
      <w:r>
        <w:rPr>
          <w:b/>
        </w:rPr>
        <w:t xml:space="preserve">3 </w:t>
      </w:r>
      <w:r>
        <w:t xml:space="preserve">And the people were reviling Moses, saying, If only we had died in the destruction of our brothers before the Lord.</w:t>
      </w:r>
    </w:p>
    <w:p>
      <w:r>
        <w:rPr>
          <w:b/>
        </w:rPr>
        <w:t xml:space="preserve">4 </w:t>
      </w:r>
      <w:r>
        <w:t xml:space="preserve">And why did you bring up the congregation of the Lord into this wilderness, to kill us and our cattle?</w:t>
      </w:r>
    </w:p>
    <w:p>
      <w:r>
        <w:rPr>
          <w:b/>
        </w:rPr>
        <w:t xml:space="preserve">5 </w:t>
      </w:r>
      <w:r>
        <w:t xml:space="preserve">And why is this, that you brought us up from Egypt, to come into this evil</w:t>
      </w:r>
      <w:r>
        <w:rPr>
          <w:rStyle w:val="FootnoteReference"/>
        </w:rPr>
        <w:footnoteReference w:id="2878"/>
      </w:r>
      <w:r>
        <w:t xml:space="preserve"> place? It is no place for sowing, or figs, or vines, or pomegranates, and there is no water to drink.</w:t>
      </w:r>
    </w:p>
    <w:p>
      <w:r>
        <w:rPr>
          <w:b/>
        </w:rPr>
        <w:t xml:space="preserve">6 </w:t>
      </w:r>
      <w:r>
        <w:t xml:space="preserve">And Moses and Aaron came from before the congregation to the door of the tent of testimony and fell on their face, and the glory</w:t>
      </w:r>
      <w:r>
        <w:rPr>
          <w:rStyle w:val="FootnoteReference"/>
        </w:rPr>
        <w:footnoteReference w:id="2879"/>
      </w:r>
      <w:r>
        <w:t xml:space="preserve"> of the Lord appeared to them.</w:t>
      </w:r>
    </w:p>
    <w:p>
      <w:r>
        <w:rPr>
          <w:b/>
        </w:rPr>
        <w:t xml:space="preserve">7 </w:t>
      </w:r>
      <w:r>
        <w:t xml:space="preserve">And the Lord spoke to Moses, saying,</w:t>
      </w:r>
    </w:p>
    <w:p>
      <w:r>
        <w:rPr>
          <w:b/>
        </w:rPr>
        <w:t xml:space="preserve">8 </w:t>
      </w:r>
      <w:r>
        <w:t xml:space="preserve">Take the rod</w:t>
      </w:r>
      <w:r>
        <w:rPr>
          <w:rStyle w:val="FootnoteReference"/>
        </w:rPr>
        <w:footnoteReference w:id="2880"/>
      </w:r>
      <w:r>
        <w:t xml:space="preserve"> and assemble the congregation</w:t>
      </w:r>
      <w:r>
        <w:rPr>
          <w:rStyle w:val="FootnoteReference"/>
        </w:rPr>
        <w:footnoteReference w:id="2881"/>
      </w:r>
      <w:r>
        <w:t xml:space="preserve">, you and Aaron your brother, and speak to the rock before them, and it will give its waters, and you shall bring out water for them from the rock, and you shall give drink to the congregation and to their cattle.</w:t>
      </w:r>
    </w:p>
    <w:p>
      <w:r>
        <w:rPr>
          <w:b/>
        </w:rPr>
        <w:t xml:space="preserve">9 </w:t>
      </w:r>
      <w:r>
        <w:t xml:space="preserve">And Moses took the rod from before the Lord, just as the Lord commanded.</w:t>
      </w:r>
    </w:p>
    <w:p>
      <w:r>
        <w:rPr>
          <w:b/>
        </w:rPr>
        <w:t xml:space="preserve">10 </w:t>
      </w:r>
      <w:r>
        <w:t xml:space="preserve">And Moses and Aaron assembled the congregation before the rock, and he said to them, Hear me, you disobedient ones. Shall we bring out water for you from this rock?</w:t>
      </w:r>
    </w:p>
    <w:p>
      <w:r>
        <w:rPr>
          <w:b/>
        </w:rPr>
        <w:t xml:space="preserve">11 </w:t>
      </w:r>
      <w:r>
        <w:t xml:space="preserve">And Moses lifted his hand and struck the rock with the rod twice, and much water came out, and the congregation and their cattle drank.</w:t>
      </w:r>
    </w:p>
    <w:p>
      <w:r>
        <w:rPr>
          <w:b/>
        </w:rPr>
        <w:t xml:space="preserve">12 </w:t>
      </w:r>
      <w:r>
        <w:t xml:space="preserve">And the Lord said to Moses and Aaron, Because you did not trust me, to sanctify</w:t>
      </w:r>
      <w:r>
        <w:rPr>
          <w:rStyle w:val="FootnoteReference"/>
        </w:rPr>
        <w:footnoteReference w:id="2882"/>
      </w:r>
      <w:r>
        <w:t xml:space="preserve"> me before the sons of Israel, therefore you shall not bring this congregation into the land that I have given them.</w:t>
      </w:r>
    </w:p>
    <w:p>
      <w:r>
        <w:rPr>
          <w:b/>
        </w:rPr>
        <w:t xml:space="preserve">13 </w:t>
      </w:r>
      <w:r>
        <w:t xml:space="preserve">This is the water</w:t>
      </w:r>
      <w:r>
        <w:rPr>
          <w:rStyle w:val="FootnoteReference"/>
        </w:rPr>
        <w:footnoteReference w:id="2883"/>
      </w:r>
      <w:r>
        <w:t xml:space="preserve"> of reviling, because the sons of Israel reviled before the Lord, and he was sanctified among them.</w:t>
      </w:r>
    </w:p>
    <w:p>
      <w:r>
        <w:rPr>
          <w:b/>
        </w:rPr>
        <w:t xml:space="preserve">14 </w:t>
      </w:r>
      <w:r>
        <w:t xml:space="preserve">And Moses</w:t>
      </w:r>
      <w:r>
        <w:rPr>
          <w:rStyle w:val="FootnoteReference"/>
        </w:rPr>
        <w:footnoteReference w:id="2884"/>
      </w:r>
      <w:r>
        <w:t xml:space="preserve"> sent messengers from Kadesh to the king of Edom, saying, These things says your brother Israel: you know all the hardship that found us.</w:t>
      </w:r>
    </w:p>
    <w:p>
      <w:r>
        <w:rPr>
          <w:b/>
        </w:rPr>
        <w:t xml:space="preserve">15 </w:t>
      </w:r>
      <w:r>
        <w:t xml:space="preserve">And our fathers</w:t>
      </w:r>
      <w:r>
        <w:rPr>
          <w:rStyle w:val="FootnoteReference"/>
        </w:rPr>
        <w:footnoteReference w:id="2885"/>
      </w:r>
      <w:r>
        <w:t xml:space="preserve"> went down into Egypt, and we lived in Egypt many days, and the Egyptians mistreated us and our fathers.</w:t>
      </w:r>
    </w:p>
    <w:p>
      <w:r>
        <w:rPr>
          <w:b/>
        </w:rPr>
        <w:t xml:space="preserve">16 </w:t>
      </w:r>
      <w:r>
        <w:t xml:space="preserve">And we cried</w:t>
      </w:r>
      <w:r>
        <w:rPr>
          <w:rStyle w:val="FootnoteReference"/>
        </w:rPr>
        <w:footnoteReference w:id="2886"/>
      </w:r>
      <w:r>
        <w:t xml:space="preserve"> out to the Lord, and the Lord heard our voice, and sending an angel brought us out from Egypt. And now we are in Kadesh, a city at the edge of your borders.</w:t>
      </w:r>
    </w:p>
    <w:p>
      <w:r>
        <w:rPr>
          <w:b/>
        </w:rPr>
        <w:t xml:space="preserve">17 </w:t>
      </w:r>
      <w:r>
        <w:t xml:space="preserve">We shall pass through your land. We shall not pass through fields or through vineyards, nor shall we drink water from your cistern</w:t>
      </w:r>
      <w:r>
        <w:rPr>
          <w:rStyle w:val="FootnoteReference"/>
        </w:rPr>
        <w:footnoteReference w:id="2887"/>
      </w:r>
      <w:r>
        <w:t xml:space="preserve">. We shall go by the king's road. We shall not turn aside right or left until we pass your borders.</w:t>
      </w:r>
    </w:p>
    <w:p>
      <w:r>
        <w:rPr>
          <w:b/>
        </w:rPr>
        <w:t xml:space="preserve">18 </w:t>
      </w:r>
      <w:r>
        <w:t xml:space="preserve">And Edom said to him, You shall not pass through me. Otherwise I will come out to meet you in war.</w:t>
      </w:r>
    </w:p>
    <w:p>
      <w:r>
        <w:rPr>
          <w:b/>
        </w:rPr>
        <w:t xml:space="preserve">19 </w:t>
      </w:r>
      <w:r>
        <w:t xml:space="preserve">And the sons of Israel say to him, We shall pass along the mountain. And if I and my cattle drink your water, I will give payment to you. But the matter is nothing. We shall pass along the mountain.</w:t>
      </w:r>
    </w:p>
    <w:p>
      <w:r>
        <w:rPr>
          <w:b/>
        </w:rPr>
        <w:t xml:space="preserve">20 </w:t>
      </w:r>
      <w:r>
        <w:t xml:space="preserve">But he said, You shall not pass through me. And Edom</w:t>
      </w:r>
      <w:r>
        <w:rPr>
          <w:rStyle w:val="FootnoteReference"/>
        </w:rPr>
        <w:footnoteReference w:id="2888"/>
      </w:r>
      <w:r>
        <w:t xml:space="preserve"> came out to meet him with a heavy crowd and with a strong hand.</w:t>
      </w:r>
    </w:p>
    <w:p>
      <w:r>
        <w:rPr>
          <w:b/>
        </w:rPr>
        <w:t xml:space="preserve">21 </w:t>
      </w:r>
      <w:r>
        <w:t xml:space="preserve">And Edom was not willing to let Israel pass through his borders, and Israel turned aside from him.</w:t>
      </w:r>
    </w:p>
    <w:p>
      <w:r>
        <w:rPr>
          <w:b/>
        </w:rPr>
        <w:t xml:space="preserve">22 </w:t>
      </w:r>
      <w:r>
        <w:t xml:space="preserve">And they set out from Kadesh</w:t>
      </w:r>
      <w:r>
        <w:rPr>
          <w:rStyle w:val="FootnoteReference"/>
        </w:rPr>
        <w:footnoteReference w:id="2889"/>
      </w:r>
      <w:r>
        <w:t xml:space="preserve">, and the sons of Israel, the whole congregation, came to Mount Hor</w:t>
      </w:r>
      <w:r>
        <w:rPr>
          <w:rStyle w:val="FootnoteReference"/>
        </w:rPr>
        <w:footnoteReference w:id="2890"/>
      </w:r>
      <w:r>
        <w:t xml:space="preserve">.</w:t>
      </w:r>
    </w:p>
    <w:p>
      <w:r>
        <w:rPr>
          <w:b/>
        </w:rPr>
        <w:t xml:space="preserve">23 </w:t>
      </w:r>
      <w:r>
        <w:t xml:space="preserve">And the Lord said to Moses and Aaron at Mount Hor on the borders of the land of Edom, saying,</w:t>
      </w:r>
    </w:p>
    <w:p>
      <w:r>
        <w:rPr>
          <w:b/>
        </w:rPr>
        <w:t xml:space="preserve">24 </w:t>
      </w:r>
      <w:r>
        <w:t xml:space="preserve">Let Aaron be added to his people, because you shall surely not enter into the land that I have given to the sons of Israel, because you provoked me at the water of reviling.</w:t>
      </w:r>
    </w:p>
    <w:p>
      <w:r>
        <w:rPr>
          <w:b/>
        </w:rPr>
        <w:t xml:space="preserve">25 </w:t>
      </w:r>
      <w:r>
        <w:t xml:space="preserve">Take Aaron and Eleazar his son, and bring them up to Mount Hor before all the congregation.</w:t>
      </w:r>
    </w:p>
    <w:p>
      <w:r>
        <w:rPr>
          <w:b/>
        </w:rPr>
        <w:t xml:space="preserve">26 </w:t>
      </w:r>
      <w:r>
        <w:t xml:space="preserve">And strip Aaron of his robe and put it on Eleazar his son, and Aaron, being added, shall die there.</w:t>
      </w:r>
      <w:r>
        <w:rPr>
          <w:rStyle w:val="FootnoteReference"/>
        </w:rPr>
        <w:footnoteReference w:id="2891"/>
      </w:r>
    </w:p>
    <w:p>
      <w:r>
        <w:rPr>
          <w:b/>
        </w:rPr>
        <w:t xml:space="preserve">27 </w:t>
      </w:r>
      <w:r>
        <w:t xml:space="preserve">And Moses did just as the Lord commanded, and he brought him up to Mount Hor before all the congregation.</w:t>
      </w:r>
    </w:p>
    <w:p>
      <w:r>
        <w:rPr>
          <w:b/>
        </w:rPr>
        <w:t xml:space="preserve">28 </w:t>
      </w:r>
      <w:r>
        <w:t xml:space="preserve">And Moses</w:t>
      </w:r>
      <w:r>
        <w:rPr>
          <w:rStyle w:val="FootnoteReference"/>
        </w:rPr>
        <w:footnoteReference w:id="2892"/>
      </w:r>
      <w:r>
        <w:t xml:space="preserve"> stripped Aaron of his garments and clothed Eleazar his son with them, and Aaron died there on the top of the mountain. And Moses and Eleazar came down from the mountain.</w:t>
      </w:r>
    </w:p>
    <w:p>
      <w:r>
        <w:rPr>
          <w:b/>
        </w:rPr>
        <w:t xml:space="preserve">29 </w:t>
      </w:r>
      <w:r>
        <w:t xml:space="preserve">And all the congregation saw that Aaron had been released, and all the house of Israel mourned Aaron thirty days.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the Canaanite king of Arad</w:t>
      </w:r>
      <w:r>
        <w:rPr>
          <w:rStyle w:val="FootnoteReference"/>
        </w:rPr>
        <w:footnoteReference w:id="2893"/>
      </w:r>
      <w:r>
        <w:t xml:space="preserve">, who dwelt by the wilderness, heard, for Israel was coming by the way of Atharim</w:t>
      </w:r>
      <w:r>
        <w:rPr>
          <w:rStyle w:val="FootnoteReference"/>
        </w:rPr>
        <w:footnoteReference w:id="2894"/>
      </w:r>
      <w:r>
        <w:t xml:space="preserve">, and he fought against Israel and took captives from them.</w:t>
      </w:r>
      <w:r>
        <w:rPr>
          <w:rStyle w:val="FootnoteReference"/>
        </w:rPr>
        <w:footnoteReference w:id="2895"/>
      </w:r>
    </w:p>
    <w:p>
      <w:r>
        <w:rPr>
          <w:b/>
        </w:rPr>
        <w:t xml:space="preserve">2 </w:t>
      </w:r>
      <w:r>
        <w:t xml:space="preserve">And Israel vowed</w:t>
      </w:r>
      <w:r>
        <w:rPr>
          <w:rStyle w:val="FootnoteReference"/>
        </w:rPr>
        <w:footnoteReference w:id="2896"/>
      </w:r>
      <w:r>
        <w:t xml:space="preserve"> a vow to the Lord and said, If you hand this people over into my hand, I will devote them and their cities to destruction.</w:t>
      </w:r>
    </w:p>
    <w:p>
      <w:r>
        <w:rPr>
          <w:b/>
        </w:rPr>
        <w:t xml:space="preserve">3 </w:t>
      </w:r>
      <w:r>
        <w:t xml:space="preserve">And the Lord heard the voice of Israel and handed over the Canaanite into his hand, and he devoted him and his cities to destruction, and they called the name</w:t>
      </w:r>
      <w:r>
        <w:rPr>
          <w:rStyle w:val="FootnoteReference"/>
        </w:rPr>
        <w:footnoteReference w:id="2897"/>
      </w:r>
      <w:r>
        <w:t xml:space="preserve"> of that place Devoted Destruction.</w:t>
      </w:r>
    </w:p>
    <w:p>
      <w:r>
        <w:rPr>
          <w:b/>
        </w:rPr>
        <w:t xml:space="preserve">4 </w:t>
      </w:r>
      <w:r>
        <w:t xml:space="preserve">And setting out from Mount Hor</w:t>
      </w:r>
      <w:r>
        <w:rPr>
          <w:rStyle w:val="FootnoteReference"/>
        </w:rPr>
        <w:footnoteReference w:id="2898"/>
      </w:r>
      <w:r>
        <w:t xml:space="preserve"> by the way of the Red Sea, they went around the land of Edom, and the people grew short-souled on the way.</w:t>
      </w:r>
    </w:p>
    <w:p>
      <w:r>
        <w:rPr>
          <w:b/>
        </w:rPr>
        <w:t xml:space="preserve">5 </w:t>
      </w:r>
      <w:r>
        <w:t xml:space="preserve">And the people were speaking against God and against Moses, saying, Why did you bring us up from Egypt, to kill us in the wilderness? For there is no bread and no water, and our soul</w:t>
      </w:r>
      <w:r>
        <w:rPr>
          <w:rStyle w:val="FootnoteReference"/>
        </w:rPr>
        <w:footnoteReference w:id="2899"/>
      </w:r>
      <w:r>
        <w:t xml:space="preserve"> has loathed this empty bread</w:t>
      </w:r>
      <w:r>
        <w:rPr>
          <w:rStyle w:val="FootnoteReference"/>
        </w:rPr>
        <w:footnoteReference w:id="2900"/>
      </w:r>
      <w:r>
        <w:t xml:space="preserve">.</w:t>
      </w:r>
    </w:p>
    <w:p>
      <w:r>
        <w:rPr>
          <w:b/>
        </w:rPr>
        <w:t xml:space="preserve">6 </w:t>
      </w:r>
      <w:r>
        <w:t xml:space="preserve">And the Lord sent among the people deadly snakes, and they were biting the people, and many people from the sons of Israel died.</w:t>
      </w:r>
    </w:p>
    <w:p>
      <w:r>
        <w:rPr>
          <w:b/>
        </w:rPr>
        <w:t xml:space="preserve">7 </w:t>
      </w:r>
      <w:r>
        <w:t xml:space="preserve">And the people came to Moses and were saying</w:t>
      </w:r>
      <w:r>
        <w:rPr>
          <w:rStyle w:val="FootnoteReference"/>
        </w:rPr>
        <w:footnoteReference w:id="2901"/>
      </w:r>
      <w:r>
        <w:t xml:space="preserve">, We sinned, because we spoke against the Lord and against you. Pray</w:t>
      </w:r>
      <w:r>
        <w:rPr>
          <w:rStyle w:val="FootnoteReference"/>
        </w:rPr>
        <w:footnoteReference w:id="2902"/>
      </w:r>
      <w:r>
        <w:t xml:space="preserve"> then to the Lord, and let him take the snake away from us. And Moses prayed to the Lord concerning the people.</w:t>
      </w:r>
    </w:p>
    <w:p>
      <w:r>
        <w:rPr>
          <w:b/>
        </w:rPr>
        <w:t xml:space="preserve">8 </w:t>
      </w:r>
      <w:r>
        <w:t xml:space="preserve">And the Lord said to Moses, Make yourself a snake and set it on a sign, and it shall be that if a snake bites a person, everyone bitten, looking at it, shall live.</w:t>
      </w:r>
    </w:p>
    <w:p>
      <w:r>
        <w:rPr>
          <w:b/>
        </w:rPr>
        <w:t xml:space="preserve">9 </w:t>
      </w:r>
      <w:r>
        <w:t xml:space="preserve">And Moses made a bronze snake and set it on a sign, and it came to pass, when a snake bit a person and he looked on the bronze snake, he lived</w:t>
      </w:r>
      <w:r>
        <w:rPr>
          <w:rStyle w:val="FootnoteReference"/>
        </w:rPr>
        <w:footnoteReference w:id="2903"/>
      </w:r>
      <w:r>
        <w:t xml:space="preserve">.</w:t>
      </w:r>
    </w:p>
    <w:p>
      <w:r>
        <w:rPr>
          <w:b/>
        </w:rPr>
        <w:t xml:space="preserve">10 </w:t>
      </w:r>
      <w:r>
        <w:t xml:space="preserve">And the sons of Israel set out and camped in Oboth</w:t>
      </w:r>
      <w:r>
        <w:rPr>
          <w:rStyle w:val="FootnoteReference"/>
        </w:rPr>
        <w:footnoteReference w:id="2904"/>
      </w:r>
      <w:r>
        <w:t xml:space="preserve">.</w:t>
      </w:r>
    </w:p>
    <w:p>
      <w:r>
        <w:rPr>
          <w:b/>
        </w:rPr>
        <w:t xml:space="preserve">11 </w:t>
      </w:r>
      <w:r>
        <w:t xml:space="preserve">And setting out from Oboth, they camped in Achelgai beyond, in the wilderness that is opposite Moab, toward the sunrise.</w:t>
      </w:r>
    </w:p>
    <w:p>
      <w:r>
        <w:rPr>
          <w:b/>
        </w:rPr>
        <w:t xml:space="preserve">12 </w:t>
      </w:r>
      <w:r>
        <w:t xml:space="preserve">From there they set out and camped in the ravine of Zared</w:t>
      </w:r>
      <w:r>
        <w:rPr>
          <w:rStyle w:val="FootnoteReference"/>
        </w:rPr>
        <w:footnoteReference w:id="2905"/>
      </w:r>
      <w:r>
        <w:t xml:space="preserve">.</w:t>
      </w:r>
    </w:p>
    <w:p>
      <w:r>
        <w:rPr>
          <w:b/>
        </w:rPr>
        <w:t xml:space="preserve">13 </w:t>
      </w:r>
      <w:r>
        <w:t xml:space="preserve">And from there, setting out, they camped beyond Arnon, in the wilderness that extends from the borders of the Amorites</w:t>
      </w:r>
      <w:r>
        <w:rPr>
          <w:rStyle w:val="FootnoteReference"/>
        </w:rPr>
        <w:footnoteReference w:id="2906"/>
      </w:r>
      <w:r>
        <w:t xml:space="preserve">. For Arnon is the border of Moab, between Moab and the Amorite.</w:t>
      </w:r>
      <w:r>
        <w:rPr>
          <w:rStyle w:val="FootnoteReference"/>
        </w:rPr>
        <w:footnoteReference w:id="2907"/>
      </w:r>
    </w:p>
    <w:p>
      <w:r>
        <w:rPr>
          <w:b/>
        </w:rPr>
        <w:t xml:space="preserve">14 </w:t>
      </w:r>
      <w:r>
        <w:t xml:space="preserve">Therefore it is said in the Book</w:t>
      </w:r>
      <w:r>
        <w:rPr>
          <w:rStyle w:val="FootnoteReference"/>
        </w:rPr>
        <w:footnoteReference w:id="2908"/>
      </w:r>
      <w:r>
        <w:t xml:space="preserve">, The War of the Lord: Zoob he set aflame, and the torrents of Arnon.</w:t>
      </w:r>
    </w:p>
    <w:p>
      <w:r>
        <w:rPr>
          <w:b/>
        </w:rPr>
        <w:t xml:space="preserve">15 </w:t>
      </w:r>
      <w:r>
        <w:t xml:space="preserve">And he established the torrents to make Ar</w:t>
      </w:r>
      <w:r>
        <w:rPr>
          <w:rStyle w:val="FootnoteReference"/>
        </w:rPr>
        <w:footnoteReference w:id="2909"/>
      </w:r>
      <w:r>
        <w:t xml:space="preserve"> a dwelling, and it lies against the borders of Moab.</w:t>
      </w:r>
    </w:p>
    <w:p>
      <w:r>
        <w:rPr>
          <w:b/>
        </w:rPr>
        <w:t xml:space="preserve">16 </w:t>
      </w:r>
      <w:r>
        <w:t xml:space="preserve">And from there to the well. This is the well about which the Lord said to Moses, Gather</w:t>
      </w:r>
      <w:r>
        <w:rPr>
          <w:rStyle w:val="FootnoteReference"/>
        </w:rPr>
        <w:footnoteReference w:id="2910"/>
      </w:r>
      <w:r>
        <w:t xml:space="preserve"> the people, and I will give them water to drink.</w:t>
      </w:r>
    </w:p>
    <w:p>
      <w:r>
        <w:rPr>
          <w:b/>
        </w:rPr>
        <w:t xml:space="preserve">17 </w:t>
      </w:r>
      <w:r>
        <w:t xml:space="preserve">Then Israel sang</w:t>
      </w:r>
      <w:r>
        <w:rPr>
          <w:rStyle w:val="FootnoteReference"/>
        </w:rPr>
        <w:footnoteReference w:id="2911"/>
      </w:r>
      <w:r>
        <w:t xml:space="preserve"> this song over the well: Sing to it.</w:t>
      </w:r>
    </w:p>
    <w:p>
      <w:r>
        <w:rPr>
          <w:b/>
        </w:rPr>
        <w:t xml:space="preserve">18 </w:t>
      </w:r>
      <w:r>
        <w:t xml:space="preserve">Well that rulers dug, kings of nations quarried out in their kingdom, when they ruled. And from</w:t>
      </w:r>
      <w:r>
        <w:rPr>
          <w:rStyle w:val="FootnoteReference"/>
        </w:rPr>
        <w:footnoteReference w:id="2912"/>
      </w:r>
      <w:r>
        <w:t xml:space="preserve"> the well to Mattanah</w:t>
      </w:r>
      <w:r>
        <w:rPr>
          <w:rStyle w:val="FootnoteReference"/>
        </w:rPr>
        <w:footnoteReference w:id="2913"/>
      </w:r>
      <w:r>
        <w:t xml:space="preserve">,</w:t>
      </w:r>
    </w:p>
    <w:p>
      <w:r>
        <w:rPr>
          <w:b/>
        </w:rPr>
        <w:t xml:space="preserve">19 </w:t>
      </w:r>
      <w:r>
        <w:t xml:space="preserve">and from Mattanah to Nahaliel</w:t>
      </w:r>
      <w:r>
        <w:rPr>
          <w:rStyle w:val="FootnoteReference"/>
        </w:rPr>
        <w:footnoteReference w:id="2914"/>
      </w:r>
      <w:r>
        <w:t xml:space="preserve">, and from Nahaliel to Bamoth</w:t>
      </w:r>
      <w:r>
        <w:rPr>
          <w:rStyle w:val="FootnoteReference"/>
        </w:rPr>
        <w:footnoteReference w:id="2915"/>
      </w:r>
      <w:r>
        <w:t xml:space="preserve">,</w:t>
      </w:r>
      <w:r>
        <w:rPr>
          <w:rStyle w:val="FootnoteReference"/>
        </w:rPr>
        <w:footnoteReference w:id="2916"/>
      </w:r>
    </w:p>
    <w:p>
      <w:r>
        <w:rPr>
          <w:b/>
        </w:rPr>
        <w:t xml:space="preserve">20 </w:t>
      </w:r>
      <w:r>
        <w:t xml:space="preserve">and from Bamoth to the valley that is in the field of Moab, from the top of the Hewn Place, which looks toward the face of the wilderness.</w:t>
      </w:r>
    </w:p>
    <w:p>
      <w:r>
        <w:rPr>
          <w:b/>
        </w:rPr>
        <w:t xml:space="preserve">21 </w:t>
      </w:r>
      <w:r>
        <w:t xml:space="preserve">And Moses sent envoys to Sihon</w:t>
      </w:r>
      <w:r>
        <w:rPr>
          <w:rStyle w:val="FootnoteReference"/>
        </w:rPr>
        <w:footnoteReference w:id="2917"/>
      </w:r>
      <w:r>
        <w:t xml:space="preserve"> king of the Amorites with the words of peace, saying,</w:t>
      </w:r>
    </w:p>
    <w:p>
      <w:r>
        <w:rPr>
          <w:b/>
        </w:rPr>
        <w:t xml:space="preserve">22 </w:t>
      </w:r>
      <w:r>
        <w:t xml:space="preserve">We shall pass through your land. We shall go by the road. We shall not turn aside into field or vineyard. We shall not drink water from your well. We shall go by the king's road until we pass your borders.</w:t>
      </w:r>
    </w:p>
    <w:p>
      <w:r>
        <w:rPr>
          <w:b/>
        </w:rPr>
        <w:t xml:space="preserve">23 </w:t>
      </w:r>
      <w:r>
        <w:t xml:space="preserve">And Sihon did not let Israel pass through his borders</w:t>
      </w:r>
      <w:r>
        <w:rPr>
          <w:rStyle w:val="FootnoteReference"/>
        </w:rPr>
        <w:footnoteReference w:id="2918"/>
      </w:r>
      <w:r>
        <w:t xml:space="preserve">, and Sihon gathered all his people and came out to array for battle against Israel in the wilderness, and he came to Jahaz</w:t>
      </w:r>
      <w:r>
        <w:rPr>
          <w:rStyle w:val="FootnoteReference"/>
        </w:rPr>
        <w:footnoteReference w:id="2919"/>
      </w:r>
      <w:r>
        <w:t xml:space="preserve"> and arrayed for battle against Israel.</w:t>
      </w:r>
      <w:r>
        <w:rPr>
          <w:rStyle w:val="FootnoteReference"/>
        </w:rPr>
        <w:footnoteReference w:id="2920"/>
      </w:r>
    </w:p>
    <w:p>
      <w:r>
        <w:rPr>
          <w:b/>
        </w:rPr>
        <w:t xml:space="preserve">24 </w:t>
      </w:r>
      <w:r>
        <w:t xml:space="preserve">And Israel</w:t>
      </w:r>
      <w:r>
        <w:rPr>
          <w:rStyle w:val="FootnoteReference"/>
        </w:rPr>
        <w:footnoteReference w:id="2921"/>
      </w:r>
      <w:r>
        <w:t xml:space="preserve"> struck him with slaughter by sword and took possession of his land from Arnon to Jabbok, as far as the sons of Ammon</w:t>
      </w:r>
      <w:r>
        <w:rPr>
          <w:rStyle w:val="FootnoteReference"/>
        </w:rPr>
        <w:footnoteReference w:id="2922"/>
      </w:r>
      <w:r>
        <w:t xml:space="preserve">, for Jaazer is the border of the sons of Ammon.</w:t>
      </w:r>
    </w:p>
    <w:p>
      <w:r>
        <w:rPr>
          <w:b/>
        </w:rPr>
        <w:t xml:space="preserve">25 </w:t>
      </w:r>
      <w:r>
        <w:t xml:space="preserve">And Israel took all these cities, and Israel settled in all the cities of the Amorites, in Heshbon</w:t>
      </w:r>
      <w:r>
        <w:rPr>
          <w:rStyle w:val="FootnoteReference"/>
        </w:rPr>
        <w:footnoteReference w:id="2923"/>
      </w:r>
      <w:r>
        <w:t xml:space="preserve"> and in all the villages depending on it.</w:t>
      </w:r>
      <w:r>
        <w:rPr>
          <w:rStyle w:val="FootnoteReference"/>
        </w:rPr>
        <w:footnoteReference w:id="2924"/>
      </w:r>
    </w:p>
    <w:p>
      <w:r>
        <w:rPr>
          <w:b/>
        </w:rPr>
        <w:t xml:space="preserve">26 </w:t>
      </w:r>
      <w:r>
        <w:t xml:space="preserve">For Heshbon was the city of Sihon king of the Amorites, and he had fought earlier against the king of Moab and taken all his land from Aroer</w:t>
      </w:r>
      <w:r>
        <w:rPr>
          <w:rStyle w:val="FootnoteReference"/>
        </w:rPr>
        <w:footnoteReference w:id="2925"/>
      </w:r>
      <w:r>
        <w:t xml:space="preserve"> to Arnon</w:t>
      </w:r>
      <w:r>
        <w:rPr>
          <w:rStyle w:val="FootnoteReference"/>
        </w:rPr>
        <w:footnoteReference w:id="2926"/>
      </w:r>
      <w:r>
        <w:t xml:space="preserve">.</w:t>
      </w:r>
    </w:p>
    <w:p>
      <w:r>
        <w:rPr>
          <w:b/>
        </w:rPr>
        <w:t xml:space="preserve">27 </w:t>
      </w:r>
      <w:r>
        <w:t xml:space="preserve">Therefore the riddle-speakers say, Come to Heshbon, so that the city of Sihon may be built and prepared.</w:t>
      </w:r>
    </w:p>
    <w:p>
      <w:r>
        <w:rPr>
          <w:b/>
        </w:rPr>
        <w:t xml:space="preserve">28 </w:t>
      </w:r>
      <w:r>
        <w:t xml:space="preserve">For fire came out from Heshbon, a flame from the city of Sihon, and it devoured as far as Moab and swallowed the pillars of Arnon.</w:t>
      </w:r>
    </w:p>
    <w:p>
      <w:r>
        <w:rPr>
          <w:b/>
        </w:rPr>
        <w:t xml:space="preserve">29 </w:t>
      </w:r>
      <w:r>
        <w:t xml:space="preserve">Woe to you, Moab. You are destroyed, people of Chemosh</w:t>
      </w:r>
      <w:r>
        <w:rPr>
          <w:rStyle w:val="FootnoteReference"/>
        </w:rPr>
        <w:footnoteReference w:id="2927"/>
      </w:r>
      <w:r>
        <w:t xml:space="preserve">. His sons were given over to escape, and his daughters as captives to Sihon king of the Amorites.</w:t>
      </w:r>
    </w:p>
    <w:p>
      <w:r>
        <w:rPr>
          <w:b/>
        </w:rPr>
        <w:t xml:space="preserve">30 </w:t>
      </w:r>
      <w:r>
        <w:t xml:space="preserve">And their seed shall perish from Heshbon to Dibon</w:t>
      </w:r>
      <w:r>
        <w:rPr>
          <w:rStyle w:val="FootnoteReference"/>
        </w:rPr>
        <w:footnoteReference w:id="2928"/>
      </w:r>
      <w:r>
        <w:t xml:space="preserve">, and the women still kindled fire against Moab.</w:t>
      </w:r>
      <w:r>
        <w:rPr>
          <w:rStyle w:val="FootnoteReference"/>
        </w:rPr>
        <w:footnoteReference w:id="2929"/>
      </w:r>
    </w:p>
    <w:p>
      <w:r>
        <w:rPr>
          <w:b/>
        </w:rPr>
        <w:t xml:space="preserve">31 </w:t>
      </w:r>
      <w:r>
        <w:t xml:space="preserve">And Israel settled in all the cities of the Amorites.</w:t>
      </w:r>
    </w:p>
    <w:p>
      <w:r>
        <w:rPr>
          <w:b/>
        </w:rPr>
        <w:t xml:space="preserve">32 </w:t>
      </w:r>
      <w:r>
        <w:t xml:space="preserve">And Moses sent to spy out Jaazer</w:t>
      </w:r>
      <w:r>
        <w:rPr>
          <w:rStyle w:val="FootnoteReference"/>
        </w:rPr>
        <w:footnoteReference w:id="2930"/>
      </w:r>
      <w:r>
        <w:t xml:space="preserve">, and they took it and its villages and cast out the Amorite dwelling there.</w:t>
      </w:r>
    </w:p>
    <w:p>
      <w:r>
        <w:rPr>
          <w:b/>
        </w:rPr>
        <w:t xml:space="preserve">33 </w:t>
      </w:r>
      <w:r>
        <w:t xml:space="preserve">And turning, they went up by the road to Bashan</w:t>
      </w:r>
      <w:r>
        <w:rPr>
          <w:rStyle w:val="FootnoteReference"/>
        </w:rPr>
        <w:footnoteReference w:id="2931"/>
      </w:r>
      <w:r>
        <w:t xml:space="preserve">, and Og</w:t>
      </w:r>
      <w:r>
        <w:rPr>
          <w:rStyle w:val="FootnoteReference"/>
        </w:rPr>
        <w:footnoteReference w:id="2932"/>
      </w:r>
      <w:r>
        <w:t xml:space="preserve"> king of Bashan came out to meet them, he and all his people, for battle at Edrei</w:t>
      </w:r>
      <w:r>
        <w:rPr>
          <w:rStyle w:val="FootnoteReference"/>
        </w:rPr>
        <w:footnoteReference w:id="2933"/>
      </w:r>
      <w:r>
        <w:t xml:space="preserve">.</w:t>
      </w:r>
      <w:r>
        <w:rPr>
          <w:rStyle w:val="FootnoteReference"/>
        </w:rPr>
        <w:footnoteReference w:id="2934"/>
      </w:r>
    </w:p>
    <w:p>
      <w:r>
        <w:rPr>
          <w:b/>
        </w:rPr>
        <w:t xml:space="preserve">34 </w:t>
      </w:r>
      <w:r>
        <w:t xml:space="preserve">And the Lord said to Moses, Do not fear him</w:t>
      </w:r>
      <w:r>
        <w:rPr>
          <w:rStyle w:val="FootnoteReference"/>
        </w:rPr>
        <w:footnoteReference w:id="2935"/>
      </w:r>
      <w:r>
        <w:t xml:space="preserve">, because into your hands I have handed him over</w:t>
      </w:r>
      <w:r>
        <w:rPr>
          <w:rStyle w:val="FootnoteReference"/>
        </w:rPr>
        <w:footnoteReference w:id="2936"/>
      </w:r>
      <w:r>
        <w:t xml:space="preserve">, and all his people and all his land, and you shall do to him just as you did to Sihon king of the Amorites, who dwelt in Heshbon.</w:t>
      </w:r>
    </w:p>
    <w:p>
      <w:r>
        <w:rPr>
          <w:b/>
        </w:rPr>
        <w:t xml:space="preserve">35 </w:t>
      </w:r>
      <w:r>
        <w:t xml:space="preserve">And he struck him and his sons and all his people, until none of his people remained alive, and they inherited their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the sons of Israel set out and camped west of Moab by the Jordan at Jericho</w:t>
      </w:r>
      <w:r>
        <w:rPr>
          <w:rStyle w:val="FootnoteReference"/>
        </w:rPr>
        <w:footnoteReference w:id="2937"/>
      </w:r>
      <w:r>
        <w:t xml:space="preserve">.</w:t>
      </w:r>
    </w:p>
    <w:p>
      <w:r>
        <w:rPr>
          <w:b/>
        </w:rPr>
        <w:t xml:space="preserve">2 </w:t>
      </w:r>
      <w:r>
        <w:t xml:space="preserve">And Balak son of Zippor saw</w:t>
      </w:r>
      <w:r>
        <w:rPr>
          <w:rStyle w:val="FootnoteReference"/>
        </w:rPr>
        <w:footnoteReference w:id="2938"/>
      </w:r>
      <w:r>
        <w:t xml:space="preserve"> all that Israel had done to the Amorite.</w:t>
      </w:r>
      <w:r>
        <w:rPr>
          <w:rStyle w:val="FootnoteReference"/>
        </w:rPr>
        <w:footnoteReference w:id="2939"/>
      </w:r>
      <w:r>
        <w:rPr>
          <w:rStyle w:val="FootnoteReference"/>
        </w:rPr>
        <w:footnoteReference w:id="2940"/>
      </w:r>
    </w:p>
    <w:p>
      <w:r>
        <w:rPr>
          <w:b/>
        </w:rPr>
        <w:t xml:space="preserve">3 </w:t>
      </w:r>
      <w:r>
        <w:t xml:space="preserve">And Moab feared the people greatly, because they were many, and Moab was sickened because of the presence of the sons of Israel.</w:t>
      </w:r>
    </w:p>
    <w:p>
      <w:r>
        <w:rPr>
          <w:b/>
        </w:rPr>
        <w:t xml:space="preserve">4 </w:t>
      </w:r>
      <w:r>
        <w:t xml:space="preserve">And Moab said to the elders</w:t>
      </w:r>
      <w:r>
        <w:rPr>
          <w:rStyle w:val="FootnoteReference"/>
        </w:rPr>
        <w:footnoteReference w:id="2941"/>
      </w:r>
      <w:r>
        <w:t xml:space="preserve"> of Midian, Now this congregation will lick up all around us, as the calf licks up the green growth of the plain. And Balak son of Zippor was king of Moab at that time.</w:t>
      </w:r>
      <w:r>
        <w:rPr>
          <w:rStyle w:val="FootnoteReference"/>
        </w:rPr>
        <w:footnoteReference w:id="2942"/>
      </w:r>
    </w:p>
    <w:p>
      <w:r>
        <w:rPr>
          <w:b/>
        </w:rPr>
        <w:t xml:space="preserve">5 </w:t>
      </w:r>
      <w:r>
        <w:t xml:space="preserve">And he sent</w:t>
      </w:r>
      <w:r>
        <w:rPr>
          <w:rStyle w:val="FootnoteReference"/>
        </w:rPr>
        <w:footnoteReference w:id="2943"/>
      </w:r>
      <w:r>
        <w:t xml:space="preserve"> envoys to Balaam</w:t>
      </w:r>
      <w:r>
        <w:rPr>
          <w:rStyle w:val="FootnoteReference"/>
        </w:rPr>
        <w:footnoteReference w:id="2944"/>
      </w:r>
      <w:r>
        <w:t xml:space="preserve"> son of Beor at Pathoura, which is on the river, in the land of the sons of his people, to call him, saying, Behold, a people has come out from Egypt, and behold, it has covered the face of the land, and it sits beside me.</w:t>
      </w:r>
      <w:r>
        <w:rPr>
          <w:rStyle w:val="FootnoteReference"/>
        </w:rPr>
        <w:footnoteReference w:id="2945"/>
      </w:r>
    </w:p>
    <w:p>
      <w:r>
        <w:rPr>
          <w:b/>
        </w:rPr>
        <w:t xml:space="preserve">6 </w:t>
      </w:r>
      <w:r>
        <w:t xml:space="preserve">And now come, curse this people for me, because they are stronger than we. If perhaps we can strike them and drive them from the land, for I know that whomever you bless are blessed, and whomever you curse are cursed.</w:t>
      </w:r>
    </w:p>
    <w:p>
      <w:r>
        <w:rPr>
          <w:b/>
        </w:rPr>
        <w:t xml:space="preserve">7 </w:t>
      </w:r>
      <w:r>
        <w:t xml:space="preserve">And the elders of Moab and the elders of Midian went, and the divinations were in their hands. And they came to Balaam and spoke to him the words of Balak.</w:t>
      </w:r>
    </w:p>
    <w:p>
      <w:r>
        <w:rPr>
          <w:b/>
        </w:rPr>
        <w:t xml:space="preserve">8 </w:t>
      </w:r>
      <w:r>
        <w:t xml:space="preserve">And he said to them, Lodge here tonight, and I will answer you with the matters that the Lord may speak to me. And the princes of Moab stayed with Balaam.</w:t>
      </w:r>
    </w:p>
    <w:p>
      <w:r>
        <w:rPr>
          <w:b/>
        </w:rPr>
        <w:t xml:space="preserve">9 </w:t>
      </w:r>
      <w:r>
        <w:t xml:space="preserve">And God came to Balaam and said to him, Who are these men with you?</w:t>
      </w:r>
    </w:p>
    <w:p>
      <w:r>
        <w:rPr>
          <w:b/>
        </w:rPr>
        <w:t xml:space="preserve">10 </w:t>
      </w:r>
      <w:r>
        <w:t xml:space="preserve">And Balaam said to God, Balak son of Zippor, king of Moab, sent them to me, saying,</w:t>
      </w:r>
    </w:p>
    <w:p>
      <w:r>
        <w:rPr>
          <w:b/>
        </w:rPr>
        <w:t xml:space="preserve">11 </w:t>
      </w:r>
      <w:r>
        <w:t xml:space="preserve">Behold, a people has come out from Egypt, and behold, it has covered the face of the land, and it sits beside me. And now come, curse it for me. If perhaps I can strike it and drive it from the land.</w:t>
      </w:r>
    </w:p>
    <w:p>
      <w:r>
        <w:rPr>
          <w:b/>
        </w:rPr>
        <w:t xml:space="preserve">12 </w:t>
      </w:r>
      <w:r>
        <w:t xml:space="preserve">And God said to Balaam, You shall not go with them, nor shall you curse the people, for it is blessed.</w:t>
      </w:r>
    </w:p>
    <w:p>
      <w:r>
        <w:rPr>
          <w:b/>
        </w:rPr>
        <w:t xml:space="preserve">13 </w:t>
      </w:r>
      <w:r>
        <w:t xml:space="preserve">And Balaam rose in the morning and said to Balak's princes, Run back to your lord. God does not allow me to go with you.</w:t>
      </w:r>
    </w:p>
    <w:p>
      <w:r>
        <w:rPr>
          <w:b/>
        </w:rPr>
        <w:t xml:space="preserve">14 </w:t>
      </w:r>
      <w:r>
        <w:t xml:space="preserve">And the princes of Moab rose and came to Balak and said, Balaam does not want to come with us.</w:t>
      </w:r>
    </w:p>
    <w:p>
      <w:r>
        <w:rPr>
          <w:b/>
        </w:rPr>
        <w:t xml:space="preserve">15 </w:t>
      </w:r>
      <w:r>
        <w:t xml:space="preserve">And Balak again sent more princes</w:t>
      </w:r>
      <w:r>
        <w:rPr>
          <w:rStyle w:val="FootnoteReference"/>
        </w:rPr>
        <w:footnoteReference w:id="2946"/>
      </w:r>
      <w:r>
        <w:t xml:space="preserve"> and more honored than these.</w:t>
      </w:r>
    </w:p>
    <w:p>
      <w:r>
        <w:rPr>
          <w:b/>
        </w:rPr>
        <w:t xml:space="preserve">16 </w:t>
      </w:r>
      <w:r>
        <w:t xml:space="preserve">And they came to Balaam and say to him, Thus says Balak son of Zippor: I ask you, do not delay to come to me.</w:t>
      </w:r>
    </w:p>
    <w:p>
      <w:r>
        <w:rPr>
          <w:b/>
        </w:rPr>
        <w:t xml:space="preserve">17 </w:t>
      </w:r>
      <w:r>
        <w:t xml:space="preserve">For I will honor you greatly, and whatever you say I will do for you. And come, curse this people for me.</w:t>
      </w:r>
    </w:p>
    <w:p>
      <w:r>
        <w:rPr>
          <w:b/>
        </w:rPr>
        <w:t xml:space="preserve">18 </w:t>
      </w:r>
      <w:r>
        <w:t xml:space="preserve">And Balaam answered and said to the princes of Balak, If Balak</w:t>
      </w:r>
      <w:r>
        <w:rPr>
          <w:rStyle w:val="FootnoteReference"/>
        </w:rPr>
        <w:footnoteReference w:id="2947"/>
      </w:r>
      <w:r>
        <w:t xml:space="preserve"> gave me his house full of silver and gold, I would not be able to go beyond the word of the Lord my God</w:t>
      </w:r>
      <w:r>
        <w:rPr>
          <w:rStyle w:val="FootnoteReference"/>
        </w:rPr>
        <w:footnoteReference w:id="2948"/>
      </w:r>
      <w:r>
        <w:t xml:space="preserve">, to do it small or great in my mind.</w:t>
      </w:r>
    </w:p>
    <w:p>
      <w:r>
        <w:rPr>
          <w:b/>
        </w:rPr>
        <w:t xml:space="preserve">19 </w:t>
      </w:r>
      <w:r>
        <w:t xml:space="preserve">And now remain here, you too, this night, and I will know what more the Lord will speak to me.</w:t>
      </w:r>
    </w:p>
    <w:p>
      <w:r>
        <w:rPr>
          <w:b/>
        </w:rPr>
        <w:t xml:space="preserve">20 </w:t>
      </w:r>
      <w:r>
        <w:t xml:space="preserve">And God came to Balaam by night and said to him, If these men have come to call you, rise, follow them. But the word that I shall speak to you, this you shall do.</w:t>
      </w:r>
    </w:p>
    <w:p>
      <w:r>
        <w:rPr>
          <w:b/>
        </w:rPr>
        <w:t xml:space="preserve">21 </w:t>
      </w:r>
      <w:r>
        <w:t xml:space="preserve">And Balaam rose in the morning, saddled his donkey, and went with the princes of Moab.</w:t>
      </w:r>
    </w:p>
    <w:p>
      <w:r>
        <w:rPr>
          <w:b/>
        </w:rPr>
        <w:t xml:space="preserve">22 </w:t>
      </w:r>
      <w:r>
        <w:t xml:space="preserve">And God was enraged in anger because he went, and the angel of God rose up to oppose him</w:t>
      </w:r>
      <w:r>
        <w:rPr>
          <w:rStyle w:val="FootnoteReference"/>
        </w:rPr>
        <w:footnoteReference w:id="2949"/>
      </w:r>
      <w:r>
        <w:t xml:space="preserve">. And he was riding on his donkey, and his two servants were with him.</w:t>
      </w:r>
      <w:r>
        <w:rPr>
          <w:rStyle w:val="FootnoteReference"/>
        </w:rPr>
        <w:footnoteReference w:id="2950"/>
      </w:r>
    </w:p>
    <w:p>
      <w:r>
        <w:rPr>
          <w:b/>
        </w:rPr>
        <w:t xml:space="preserve">23 </w:t>
      </w:r>
      <w:r>
        <w:t xml:space="preserve">And the donkey, seeing the angel of God</w:t>
      </w:r>
      <w:r>
        <w:rPr>
          <w:rStyle w:val="FootnoteReference"/>
        </w:rPr>
        <w:footnoteReference w:id="2951"/>
      </w:r>
      <w:r>
        <w:t xml:space="preserve"> standing in the road and his sword drawn in his hand, turned aside from the road and went into the field, and Balaam struck the donkey with the rod to set her straight on the road.</w:t>
      </w:r>
    </w:p>
    <w:p>
      <w:r>
        <w:rPr>
          <w:b/>
        </w:rPr>
        <w:t xml:space="preserve">24 </w:t>
      </w:r>
      <w:r>
        <w:t xml:space="preserve">And the angel of God stood in the vineyards' furrows, a fence here and a fence there.</w:t>
      </w:r>
    </w:p>
    <w:p>
      <w:r>
        <w:rPr>
          <w:b/>
        </w:rPr>
        <w:t xml:space="preserve">25 </w:t>
      </w:r>
      <w:r>
        <w:t xml:space="preserve">And the donkey, seeing the angel of God, pressed herself against the wall and crushed Balaam's</w:t>
      </w:r>
      <w:r>
        <w:rPr>
          <w:rStyle w:val="FootnoteReference"/>
        </w:rPr>
        <w:footnoteReference w:id="2952"/>
      </w:r>
      <w:r>
        <w:t xml:space="preserve"> foot, and he continued to whip her.</w:t>
      </w:r>
    </w:p>
    <w:p>
      <w:r>
        <w:rPr>
          <w:b/>
        </w:rPr>
        <w:t xml:space="preserve">26 </w:t>
      </w:r>
      <w:r>
        <w:t xml:space="preserve">And the angel of God went on and stood in a narrow place where there was no turning aside right or left.</w:t>
      </w:r>
    </w:p>
    <w:p>
      <w:r>
        <w:rPr>
          <w:b/>
        </w:rPr>
        <w:t xml:space="preserve">27 </w:t>
      </w:r>
      <w:r>
        <w:t xml:space="preserve">And the donkey, seeing the angel of God, sat down under Balaam, and Balaam became angry and was striking the donkey with the rod.</w:t>
      </w:r>
    </w:p>
    <w:p>
      <w:r>
        <w:rPr>
          <w:b/>
        </w:rPr>
        <w:t xml:space="preserve">28 </w:t>
      </w:r>
      <w:r>
        <w:t xml:space="preserve">And God opened the mouth of the donkey, and she says to Balaam, What have I</w:t>
      </w:r>
      <w:r>
        <w:rPr>
          <w:rStyle w:val="FootnoteReference"/>
        </w:rPr>
        <w:footnoteReference w:id="2953"/>
      </w:r>
      <w:r>
        <w:t xml:space="preserve"> done to you that you have beaten me this third time?</w:t>
      </w:r>
    </w:p>
    <w:p>
      <w:r>
        <w:rPr>
          <w:b/>
        </w:rPr>
        <w:t xml:space="preserve">29 </w:t>
      </w:r>
      <w:r>
        <w:t xml:space="preserve">And Balaam said to the donkey, Because you have mocked me. If I had a sword in my hand, already I would have pierced you.</w:t>
      </w:r>
    </w:p>
    <w:p>
      <w:r>
        <w:rPr>
          <w:b/>
        </w:rPr>
        <w:t xml:space="preserve">30 </w:t>
      </w:r>
      <w:r>
        <w:t xml:space="preserve">And the donkey says to Balaam, Am I not your donkey, on which you have ridden from your youth until this day? Have I ever neglected you and acted thus toward you? And he said, No.</w:t>
      </w:r>
    </w:p>
    <w:p>
      <w:r>
        <w:rPr>
          <w:b/>
        </w:rPr>
        <w:t xml:space="preserve">31 </w:t>
      </w:r>
      <w:r>
        <w:t xml:space="preserve">And God uncovered Balaam's eyes, and he saw the angel of the Lord standing in the road and the sword drawn in his hand, and bending down, he worshiped with his face.</w:t>
      </w:r>
    </w:p>
    <w:p>
      <w:r>
        <w:rPr>
          <w:b/>
        </w:rPr>
        <w:t xml:space="preserve">32 </w:t>
      </w:r>
      <w:r>
        <w:t xml:space="preserve">And the angel of God said to him, Why did you strike your donkey this third time? And behold, I came out as your adversary, because your way is not fitting before me</w:t>
      </w:r>
      <w:r>
        <w:rPr>
          <w:rStyle w:val="FootnoteReference"/>
        </w:rPr>
        <w:footnoteReference w:id="2954"/>
      </w:r>
      <w:r>
        <w:t xml:space="preserve">.</w:t>
      </w:r>
    </w:p>
    <w:p>
      <w:r>
        <w:rPr>
          <w:b/>
        </w:rPr>
        <w:t xml:space="preserve">33 </w:t>
      </w:r>
      <w:r>
        <w:t xml:space="preserve">And the donkey saw me and turned aside from me this third time. And if she had not turned aside, then now I would have killed you, and I would have preserved her alive.</w:t>
      </w:r>
    </w:p>
    <w:p>
      <w:r>
        <w:rPr>
          <w:b/>
        </w:rPr>
        <w:t xml:space="preserve">34 </w:t>
      </w:r>
      <w:r>
        <w:t xml:space="preserve">And Balaam said to the angel of the Lord, I sinned, for I did not know that you stood against me in the road to meet me. And now, if it does not please you, I will turn back.</w:t>
      </w:r>
      <w:r>
        <w:rPr>
          <w:rStyle w:val="FootnoteReference"/>
        </w:rPr>
        <w:footnoteReference w:id="2955"/>
      </w:r>
    </w:p>
    <w:p>
      <w:r>
        <w:rPr>
          <w:b/>
        </w:rPr>
        <w:t xml:space="preserve">35 </w:t>
      </w:r>
      <w:r>
        <w:t xml:space="preserve">And the angel of God said to Balaam, Go along with the men, except that the word that I tell you, this keep to speak. And Balaam went with the princes of Balak.</w:t>
      </w:r>
    </w:p>
    <w:p>
      <w:r>
        <w:rPr>
          <w:b/>
        </w:rPr>
        <w:t xml:space="preserve">36 </w:t>
      </w:r>
      <w:r>
        <w:t xml:space="preserve">And Balak, hearing that Balaam had come, went</w:t>
      </w:r>
      <w:r>
        <w:rPr>
          <w:rStyle w:val="FootnoteReference"/>
        </w:rPr>
        <w:footnoteReference w:id="2956"/>
      </w:r>
      <w:r>
        <w:t xml:space="preserve"> out to meet him at the City of Moab, which is on the borders of Arnon, which is at the edge of the border.</w:t>
      </w:r>
    </w:p>
    <w:p>
      <w:r>
        <w:rPr>
          <w:b/>
        </w:rPr>
        <w:t xml:space="preserve">37 </w:t>
      </w:r>
      <w:r>
        <w:t xml:space="preserve">And Balak said to Balaam, Did I not send to call you? Why did you not come to me? Am I really not able to honor you?</w:t>
      </w:r>
    </w:p>
    <w:p>
      <w:r>
        <w:rPr>
          <w:b/>
        </w:rPr>
        <w:t xml:space="preserve">38 </w:t>
      </w:r>
      <w:r>
        <w:t xml:space="preserve">And Balaam said to Balak, Behold, I have come to you now. Shall I be able to speak anything? The word</w:t>
      </w:r>
      <w:r>
        <w:rPr>
          <w:rStyle w:val="FootnoteReference"/>
        </w:rPr>
        <w:footnoteReference w:id="2957"/>
      </w:r>
      <w:r>
        <w:t xml:space="preserve"> that God puts in my mouth, this I shall speak.</w:t>
      </w:r>
    </w:p>
    <w:p>
      <w:r>
        <w:rPr>
          <w:b/>
        </w:rPr>
        <w:t xml:space="preserve">39 </w:t>
      </w:r>
      <w:r>
        <w:t xml:space="preserve">And Balaam went with Balak, and they came to the cities of the settlements.</w:t>
      </w:r>
    </w:p>
    <w:p>
      <w:r>
        <w:rPr>
          <w:b/>
        </w:rPr>
        <w:t xml:space="preserve">40 </w:t>
      </w:r>
      <w:r>
        <w:t xml:space="preserve">And Balak sacrificed sheep and calves and sent portions to Balaam and to the princes with him.</w:t>
      </w:r>
    </w:p>
    <w:p>
      <w:r>
        <w:rPr>
          <w:b/>
        </w:rPr>
        <w:t xml:space="preserve">41 </w:t>
      </w:r>
      <w:r>
        <w:t xml:space="preserve">And it happened in the morning, and Balak took Balaam and brought him up to the pillar of Baal</w:t>
      </w:r>
      <w:r>
        <w:rPr>
          <w:rStyle w:val="FootnoteReference"/>
        </w:rPr>
        <w:footnoteReference w:id="2958"/>
      </w:r>
      <w:r>
        <w:t xml:space="preserve">, and from there he showed him some part of the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Balaam said to Balak, Build here seven altars</w:t>
      </w:r>
      <w:r>
        <w:rPr>
          <w:rStyle w:val="FootnoteReference"/>
        </w:rPr>
        <w:footnoteReference w:id="2959"/>
      </w:r>
      <w:r>
        <w:t xml:space="preserve"> for me, and prepare here seven calves and seven rams for me.</w:t>
      </w:r>
    </w:p>
    <w:p>
      <w:r>
        <w:rPr>
          <w:b/>
        </w:rPr>
        <w:t xml:space="preserve">2 </w:t>
      </w:r>
      <w:r>
        <w:t xml:space="preserve">And Balak did as Balaam said to him, and he offered</w:t>
      </w:r>
      <w:r>
        <w:rPr>
          <w:rStyle w:val="FootnoteReference"/>
        </w:rPr>
        <w:footnoteReference w:id="2960"/>
      </w:r>
      <w:r>
        <w:t xml:space="preserve"> up a calf and a ram on the altar.</w:t>
      </w:r>
    </w:p>
    <w:p>
      <w:r>
        <w:rPr>
          <w:b/>
        </w:rPr>
        <w:t xml:space="preserve">3 </w:t>
      </w:r>
      <w:r>
        <w:t xml:space="preserve">And Balaam said to Balak, Stand</w:t>
      </w:r>
      <w:r>
        <w:rPr>
          <w:rStyle w:val="FootnoteReference"/>
        </w:rPr>
        <w:footnoteReference w:id="2961"/>
      </w:r>
      <w:r>
        <w:t xml:space="preserve"> by your sacrifice, and I will go, if perhaps God will appear to me in a meeting, and whatever word he shows me I will report to you. And Balak stood by his sacrifice, and Balaam went to inquire of God and went straight.</w:t>
      </w:r>
    </w:p>
    <w:p>
      <w:r>
        <w:rPr>
          <w:b/>
        </w:rPr>
        <w:t xml:space="preserve">4 </w:t>
      </w:r>
      <w:r>
        <w:t xml:space="preserve">And God appeared to Balaam, and he said to him, I have prepared</w:t>
      </w:r>
      <w:r>
        <w:rPr>
          <w:rStyle w:val="FootnoteReference"/>
        </w:rPr>
        <w:footnoteReference w:id="2962"/>
      </w:r>
      <w:r>
        <w:t xml:space="preserve"> the seven altars, and I offered up a calf and a ram on the altar.</w:t>
      </w:r>
    </w:p>
    <w:p>
      <w:r>
        <w:rPr>
          <w:b/>
        </w:rPr>
        <w:t xml:space="preserve">5 </w:t>
      </w:r>
      <w:r>
        <w:t xml:space="preserve">And God put a word in Balaam's mouth</w:t>
      </w:r>
      <w:r>
        <w:rPr>
          <w:rStyle w:val="FootnoteReference"/>
        </w:rPr>
        <w:footnoteReference w:id="2963"/>
      </w:r>
      <w:r>
        <w:t xml:space="preserve"> and said, Returning to Balak, you shall speak thus.</w:t>
      </w:r>
    </w:p>
    <w:p>
      <w:r>
        <w:rPr>
          <w:b/>
        </w:rPr>
        <w:t xml:space="preserve">6 </w:t>
      </w:r>
      <w:r>
        <w:t xml:space="preserve">And he returned to him, and behold, he had stood by his whole burnt offerings, and all the princes of Moab with him.</w:t>
      </w:r>
    </w:p>
    <w:p>
      <w:r>
        <w:rPr>
          <w:b/>
        </w:rPr>
        <w:t xml:space="preserve">7 </w:t>
      </w:r>
      <w:r>
        <w:t xml:space="preserve">And the Spirit of God came to be on him, and taking up his oracle, he said: From Mesopotamia Balak king of Moab has summoned me, from the mountains of the east, saying, Come, curse Jacob for me, and come, curse Israel for me.</w:t>
      </w:r>
    </w:p>
    <w:p>
      <w:r>
        <w:rPr>
          <w:b/>
        </w:rPr>
        <w:t xml:space="preserve">8 </w:t>
      </w:r>
      <w:r>
        <w:t xml:space="preserve">What shall I curse, whom the Lord does not curse? Or what shall I denounce, whom God does not denounce?</w:t>
      </w:r>
    </w:p>
    <w:p>
      <w:r>
        <w:rPr>
          <w:b/>
        </w:rPr>
        <w:t xml:space="preserve">9 </w:t>
      </w:r>
      <w:r>
        <w:t xml:space="preserve">For from the top of mountains I shall see him, and from the hills I shall perceive him. Behold, a people shall dwell alone</w:t>
      </w:r>
      <w:r>
        <w:rPr>
          <w:rStyle w:val="FootnoteReference"/>
        </w:rPr>
        <w:footnoteReference w:id="2964"/>
      </w:r>
      <w:r>
        <w:t xml:space="preserve">, and among nations it shall not be reckoned.</w:t>
      </w:r>
    </w:p>
    <w:p>
      <w:r>
        <w:rPr>
          <w:b/>
        </w:rPr>
        <w:t xml:space="preserve">10 </w:t>
      </w:r>
      <w:r>
        <w:t xml:space="preserve">Who has searched out the seed of Jacob, and who will number the peoples of Israel? Let my soul die among the souls of the righteous, and let my seed become like the seed of these.</w:t>
      </w:r>
    </w:p>
    <w:p>
      <w:r>
        <w:rPr>
          <w:b/>
        </w:rPr>
        <w:t xml:space="preserve">11 </w:t>
      </w:r>
      <w:r>
        <w:t xml:space="preserve">And Balak said to Balaam, What have you done to me? I called you to curse my enemies, and behold, you have blessed with blessing.</w:t>
      </w:r>
    </w:p>
    <w:p>
      <w:r>
        <w:rPr>
          <w:b/>
        </w:rPr>
        <w:t xml:space="preserve">12 </w:t>
      </w:r>
      <w:r>
        <w:t xml:space="preserve">And Balaam said to Balak, Shall I not carefully speak whatever God puts into my mouth?</w:t>
      </w:r>
    </w:p>
    <w:p>
      <w:r>
        <w:rPr>
          <w:b/>
        </w:rPr>
        <w:t xml:space="preserve">13 </w:t>
      </w:r>
      <w:r>
        <w:t xml:space="preserve">And Balak said to him, Come still with me to another place from which you will not see him from there, but you will see only some part of him, and all of him you shall certainly not see. And curse him for me from there.</w:t>
      </w:r>
    </w:p>
    <w:p>
      <w:r>
        <w:rPr>
          <w:b/>
        </w:rPr>
        <w:t xml:space="preserve">14 </w:t>
      </w:r>
      <w:r>
        <w:t xml:space="preserve">And he took him to the field of Lookout, to the top of the Hewn Place, and he built there seven altars and offered up a calf and a ram on the altar.</w:t>
      </w:r>
    </w:p>
    <w:p>
      <w:r>
        <w:rPr>
          <w:b/>
        </w:rPr>
        <w:t xml:space="preserve">15 </w:t>
      </w:r>
      <w:r>
        <w:t xml:space="preserve">And Balaam said to Balak, Stand by your sacrifice, but I will go to inquire of God.</w:t>
      </w:r>
    </w:p>
    <w:p>
      <w:r>
        <w:rPr>
          <w:b/>
        </w:rPr>
        <w:t xml:space="preserve">16 </w:t>
      </w:r>
      <w:r>
        <w:t xml:space="preserve">And God met Balaam and put a word in his mouth and said, Turn back to Balak, and these things you shall speak.</w:t>
      </w:r>
    </w:p>
    <w:p>
      <w:r>
        <w:rPr>
          <w:b/>
        </w:rPr>
        <w:t xml:space="preserve">17 </w:t>
      </w:r>
      <w:r>
        <w:t xml:space="preserve">And he returned to him, and behold, he had stood by his whole burnt offering, and all the princes of Moab with him. And Balak said to him, What has the Lord spoken?</w:t>
      </w:r>
    </w:p>
    <w:p>
      <w:r>
        <w:rPr>
          <w:b/>
        </w:rPr>
        <w:t xml:space="preserve">18 </w:t>
      </w:r>
      <w:r>
        <w:t xml:space="preserve">And taking up his oracle, he said: Rise, Balak, and hear. Give ear, witness, son of Zippor.</w:t>
      </w:r>
    </w:p>
    <w:p>
      <w:r>
        <w:rPr>
          <w:b/>
        </w:rPr>
        <w:t xml:space="preserve">19 </w:t>
      </w:r>
      <w:r>
        <w:t xml:space="preserve">God is not like a man, to waver, nor like a son of man, to be threatened. He himself said, shall he not do it? He will speak, and will he not remain in it?</w:t>
      </w:r>
    </w:p>
    <w:p>
      <w:r>
        <w:rPr>
          <w:b/>
        </w:rPr>
        <w:t xml:space="preserve">20 </w:t>
      </w:r>
      <w:r>
        <w:t xml:space="preserve">Behold, I have received a charge to bless. I will bless, and I shall not turn back.</w:t>
      </w:r>
    </w:p>
    <w:p>
      <w:r>
        <w:rPr>
          <w:b/>
        </w:rPr>
        <w:t xml:space="preserve">21 </w:t>
      </w:r>
      <w:r>
        <w:t xml:space="preserve">There shall not be hardship in Jacob, nor shall trouble be seen in Israel. The Lord</w:t>
      </w:r>
      <w:r>
        <w:rPr>
          <w:rStyle w:val="FootnoteReference"/>
        </w:rPr>
        <w:footnoteReference w:id="2965"/>
      </w:r>
      <w:r>
        <w:t xml:space="preserve"> his God is with him. The glories of rulers are in him.</w:t>
      </w:r>
    </w:p>
    <w:p>
      <w:r>
        <w:rPr>
          <w:b/>
        </w:rPr>
        <w:t xml:space="preserve">22 </w:t>
      </w:r>
      <w:r>
        <w:t xml:space="preserve">God, who brought them out of Egypt, is like the glory of a one-horned beast to them.</w:t>
      </w:r>
    </w:p>
    <w:p>
      <w:r>
        <w:rPr>
          <w:b/>
        </w:rPr>
        <w:t xml:space="preserve">23 </w:t>
      </w:r>
      <w:r>
        <w:t xml:space="preserve">For there is no omen in Jacob, nor divination in Israel. In season it shall be said to Jacob and to Israel what God will accomplish.</w:t>
      </w:r>
    </w:p>
    <w:p>
      <w:r>
        <w:rPr>
          <w:b/>
        </w:rPr>
        <w:t xml:space="preserve">24 </w:t>
      </w:r>
      <w:r>
        <w:t xml:space="preserve">Behold, a people shall rise like a cub and exalt itself like a lion. It shall not lie down until it eats prey and drinks the blood of the wounded.</w:t>
      </w:r>
    </w:p>
    <w:p>
      <w:r>
        <w:rPr>
          <w:b/>
        </w:rPr>
        <w:t xml:space="preserve">25 </w:t>
      </w:r>
      <w:r>
        <w:t xml:space="preserve">And Balak said to Balaam, Neither curse him with curses for me, nor blessing bless him for me.</w:t>
      </w:r>
    </w:p>
    <w:p>
      <w:r>
        <w:rPr>
          <w:b/>
        </w:rPr>
        <w:t xml:space="preserve">26 </w:t>
      </w:r>
      <w:r>
        <w:t xml:space="preserve">And Balaam answered and said to Balak, Did I not speak to you, saying, The word that God speaks, this I will do?</w:t>
      </w:r>
    </w:p>
    <w:p>
      <w:r>
        <w:rPr>
          <w:b/>
        </w:rPr>
        <w:t xml:space="preserve">27 </w:t>
      </w:r>
      <w:r>
        <w:t xml:space="preserve">And Balak said to Balaam, Come, let me take you to another place. If it pleases God, curse him for me from there.</w:t>
      </w:r>
    </w:p>
    <w:p>
      <w:r>
        <w:rPr>
          <w:b/>
        </w:rPr>
        <w:t xml:space="preserve">28 </w:t>
      </w:r>
      <w:r>
        <w:t xml:space="preserve">And Balak took Balaam to the top of Peor, which stretches toward the wilderness.</w:t>
      </w:r>
    </w:p>
    <w:p>
      <w:r>
        <w:rPr>
          <w:b/>
        </w:rPr>
        <w:t xml:space="preserve">29 </w:t>
      </w:r>
      <w:r>
        <w:t xml:space="preserve">And Balaam said to Balak, Build for me here seven altars, and prepare for me here seven calves and seven rams.</w:t>
      </w:r>
    </w:p>
    <w:p>
      <w:r>
        <w:rPr>
          <w:b/>
        </w:rPr>
        <w:t xml:space="preserve">30 </w:t>
      </w:r>
      <w:r>
        <w:t xml:space="preserve">And Balak did just as Balaam said to him and offered up a calf and a ram on the altar.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Balaam, seeing that it is good before the Lord to bless Israel, did not go as usual to meet the omens, and he turned his face toward the wilderness.</w:t>
      </w:r>
    </w:p>
    <w:p>
      <w:r>
        <w:rPr>
          <w:b/>
        </w:rPr>
        <w:t xml:space="preserve">2 </w:t>
      </w:r>
      <w:r>
        <w:t xml:space="preserve">And Balaam lifted his eyes and saw Israel encamped tribe by tribe, and the Spirit</w:t>
      </w:r>
      <w:r>
        <w:rPr>
          <w:rStyle w:val="FootnoteReference"/>
        </w:rPr>
        <w:footnoteReference w:id="2966"/>
      </w:r>
      <w:r>
        <w:t xml:space="preserve"> of God came to be in him.</w:t>
      </w:r>
    </w:p>
    <w:p>
      <w:r>
        <w:rPr>
          <w:b/>
        </w:rPr>
        <w:t xml:space="preserve">3 </w:t>
      </w:r>
      <w:r>
        <w:t xml:space="preserve">And taking up his oracle, he said: Balaam son of Beor says, the man who truly sees says,</w:t>
      </w:r>
    </w:p>
    <w:p>
      <w:r>
        <w:rPr>
          <w:b/>
        </w:rPr>
        <w:t xml:space="preserve">4 </w:t>
      </w:r>
      <w:r>
        <w:t xml:space="preserve">says the one hearing the oracles of God, who saw a vision of God in sleep, his eyes having been uncovered.</w:t>
      </w:r>
    </w:p>
    <w:p>
      <w:r>
        <w:rPr>
          <w:b/>
        </w:rPr>
        <w:t xml:space="preserve">5 </w:t>
      </w:r>
      <w:r>
        <w:t xml:space="preserve">How good are your houses, Jacob, your tents, Israel.</w:t>
      </w:r>
    </w:p>
    <w:p>
      <w:r>
        <w:rPr>
          <w:b/>
        </w:rPr>
        <w:t xml:space="preserve">6 </w:t>
      </w:r>
      <w:r>
        <w:t xml:space="preserve">Like shaded valleys, and like gardens beside rivers, and like tents that the Lord pitched, like cedars by waters.</w:t>
      </w:r>
    </w:p>
    <w:p>
      <w:r>
        <w:rPr>
          <w:b/>
        </w:rPr>
        <w:t xml:space="preserve">7 </w:t>
      </w:r>
      <w:r>
        <w:t xml:space="preserve">A man shall come out from his seed and shall rule many nations, and his kingdom</w:t>
      </w:r>
      <w:r>
        <w:rPr>
          <w:rStyle w:val="FootnoteReference"/>
        </w:rPr>
        <w:footnoteReference w:id="2967"/>
      </w:r>
      <w:r>
        <w:t xml:space="preserve"> shall be exalted above Gog</w:t>
      </w:r>
      <w:r>
        <w:rPr>
          <w:rStyle w:val="FootnoteReference"/>
        </w:rPr>
        <w:footnoteReference w:id="2968"/>
      </w:r>
      <w:r>
        <w:t xml:space="preserve">, and his kingdom shall be increased.</w:t>
      </w:r>
    </w:p>
    <w:p>
      <w:r>
        <w:rPr>
          <w:b/>
        </w:rPr>
        <w:t xml:space="preserve">8 </w:t>
      </w:r>
      <w:r>
        <w:t xml:space="preserve">God guided him out of Egypt. He is like the glory of a one-horned beast to him. He shall eat</w:t>
      </w:r>
      <w:r>
        <w:rPr>
          <w:rStyle w:val="FootnoteReference"/>
        </w:rPr>
        <w:footnoteReference w:id="2969"/>
      </w:r>
      <w:r>
        <w:t xml:space="preserve"> the nations of his enemies and suck out their marrow, and with his missiles he shall shoot through an enemy.</w:t>
      </w:r>
    </w:p>
    <w:p>
      <w:r>
        <w:rPr>
          <w:b/>
        </w:rPr>
        <w:t xml:space="preserve">9 </w:t>
      </w:r>
      <w:r>
        <w:t xml:space="preserve">Lying down, he rested like a lion and like a cub. Who will raise him? Those blessing you are blessed</w:t>
      </w:r>
      <w:r>
        <w:rPr>
          <w:rStyle w:val="FootnoteReference"/>
        </w:rPr>
        <w:footnoteReference w:id="2970"/>
      </w:r>
      <w:r>
        <w:t xml:space="preserve">, and those cursing you are cursed.</w:t>
      </w:r>
    </w:p>
    <w:p>
      <w:r>
        <w:rPr>
          <w:b/>
        </w:rPr>
        <w:t xml:space="preserve">10 </w:t>
      </w:r>
      <w:r>
        <w:t xml:space="preserve">And Balak became angry against Balaam and clapped his hands</w:t>
      </w:r>
      <w:r>
        <w:rPr>
          <w:rStyle w:val="FootnoteReference"/>
        </w:rPr>
        <w:footnoteReference w:id="2971"/>
      </w:r>
      <w:r>
        <w:t xml:space="preserve">, and Balak said to Balaam, I called</w:t>
      </w:r>
      <w:r>
        <w:rPr>
          <w:rStyle w:val="FootnoteReference"/>
        </w:rPr>
        <w:footnoteReference w:id="2972"/>
      </w:r>
      <w:r>
        <w:t xml:space="preserve"> you to curse my enemy, and behold, blessing you have blessed this third time.</w:t>
      </w:r>
    </w:p>
    <w:p>
      <w:r>
        <w:rPr>
          <w:b/>
        </w:rPr>
        <w:t xml:space="preserve">11 </w:t>
      </w:r>
      <w:r>
        <w:t xml:space="preserve">Now then flee to your place. I said I would honor you, and now the Lord</w:t>
      </w:r>
      <w:r>
        <w:rPr>
          <w:rStyle w:val="FootnoteReference"/>
        </w:rPr>
        <w:footnoteReference w:id="2973"/>
      </w:r>
      <w:r>
        <w:t xml:space="preserve"> has deprived you of glory.</w:t>
      </w:r>
    </w:p>
    <w:p>
      <w:r>
        <w:rPr>
          <w:b/>
        </w:rPr>
        <w:t xml:space="preserve">12 </w:t>
      </w:r>
      <w:r>
        <w:t xml:space="preserve">And Balaam said to Balak, Did I not also speak to your messengers whom you sent to me, saying,</w:t>
      </w:r>
    </w:p>
    <w:p>
      <w:r>
        <w:rPr>
          <w:b/>
        </w:rPr>
        <w:t xml:space="preserve">13 </w:t>
      </w:r>
      <w:r>
        <w:t xml:space="preserve">If Balak gave me his house full of silver and gold, I would not be able to go beyond the word of the Lord, to do evil or good from myself. Whatever God says, these things I will say.</w:t>
      </w:r>
    </w:p>
    <w:p>
      <w:r>
        <w:rPr>
          <w:b/>
        </w:rPr>
        <w:t xml:space="preserve">14 </w:t>
      </w:r>
      <w:r>
        <w:t xml:space="preserve">And now behold, I am going back to my place. Come, I will advise you what this people will do to your people at the last of days.</w:t>
      </w:r>
    </w:p>
    <w:p>
      <w:r>
        <w:rPr>
          <w:b/>
        </w:rPr>
        <w:t xml:space="preserve">15 </w:t>
      </w:r>
      <w:r>
        <w:t xml:space="preserve">And taking up his oracle, he said: Balaam son of Beor says, the man who truly sees says,</w:t>
      </w:r>
    </w:p>
    <w:p>
      <w:r>
        <w:rPr>
          <w:b/>
        </w:rPr>
        <w:t xml:space="preserve">16 </w:t>
      </w:r>
      <w:r>
        <w:t xml:space="preserve">who hears the oracles of God, knowing knowledge from the Most High, who saw a vision of God in sleep, his eyes having been uncovered.</w:t>
      </w:r>
    </w:p>
    <w:p>
      <w:r>
        <w:rPr>
          <w:b/>
        </w:rPr>
        <w:t xml:space="preserve">17 </w:t>
      </w:r>
      <w:r>
        <w:t xml:space="preserve">I will point him out, but not now. I count him blessed, and he is not near. A star</w:t>
      </w:r>
      <w:r>
        <w:rPr>
          <w:rStyle w:val="FootnoteReference"/>
        </w:rPr>
        <w:footnoteReference w:id="2974"/>
      </w:r>
      <w:r>
        <w:t xml:space="preserve"> shall rise out of Jacob, and a man shall stand up out of Israel</w:t>
      </w:r>
      <w:r>
        <w:rPr>
          <w:rStyle w:val="FootnoteReference"/>
        </w:rPr>
        <w:footnoteReference w:id="2975"/>
      </w:r>
      <w:r>
        <w:t xml:space="preserve">, and he shall crush the leaders of Moab and plunder all the sons of Seth.</w:t>
      </w:r>
    </w:p>
    <w:p>
      <w:r>
        <w:rPr>
          <w:b/>
        </w:rPr>
        <w:t xml:space="preserve">18 </w:t>
      </w:r>
      <w:r>
        <w:t xml:space="preserve">And Edom shall be an inheritance, and Esau his enemy shall be an inheritance, and Israel acted in strength.</w:t>
      </w:r>
    </w:p>
    <w:p>
      <w:r>
        <w:rPr>
          <w:b/>
        </w:rPr>
        <w:t xml:space="preserve">19 </w:t>
      </w:r>
      <w:r>
        <w:t xml:space="preserve">And one shall rise from Jacob and destroy the survivor from the city.</w:t>
      </w:r>
    </w:p>
    <w:p>
      <w:r>
        <w:rPr>
          <w:b/>
        </w:rPr>
        <w:t xml:space="preserve">20 </w:t>
      </w:r>
      <w:r>
        <w:t xml:space="preserve">And seeing Amalek and taking up his oracle, he said: Amalek is the beginning of nations, and their seed shall perish.</w:t>
      </w:r>
    </w:p>
    <w:p>
      <w:r>
        <w:rPr>
          <w:b/>
        </w:rPr>
        <w:t xml:space="preserve">21 </w:t>
      </w:r>
      <w:r>
        <w:t xml:space="preserve">And seeing the Kenite</w:t>
      </w:r>
      <w:r>
        <w:rPr>
          <w:rStyle w:val="FootnoteReference"/>
        </w:rPr>
        <w:footnoteReference w:id="2976"/>
      </w:r>
      <w:r>
        <w:t xml:space="preserve"> and taking up his oracle, he said: Strong is your dwelling-place</w:t>
      </w:r>
      <w:r>
        <w:rPr>
          <w:rStyle w:val="FootnoteReference"/>
        </w:rPr>
        <w:footnoteReference w:id="2977"/>
      </w:r>
      <w:r>
        <w:t xml:space="preserve">, and if you set your nest in the rock,</w:t>
      </w:r>
    </w:p>
    <w:p>
      <w:r>
        <w:rPr>
          <w:b/>
        </w:rPr>
        <w:t xml:space="preserve">22 </w:t>
      </w:r>
      <w:r>
        <w:t xml:space="preserve">then if Beor's nest should come to be in craftiness, Assyrians shall take you captive.</w:t>
      </w:r>
    </w:p>
    <w:p>
      <w:r>
        <w:rPr>
          <w:b/>
        </w:rPr>
        <w:t xml:space="preserve">23 </w:t>
      </w:r>
      <w:r>
        <w:t xml:space="preserve">And seeing Og and taking up his oracle, he said: Oh, oh, who shall live when God</w:t>
      </w:r>
      <w:r>
        <w:rPr>
          <w:rStyle w:val="FootnoteReference"/>
        </w:rPr>
        <w:footnoteReference w:id="2978"/>
      </w:r>
      <w:r>
        <w:t xml:space="preserve"> sets these things in place?</w:t>
      </w:r>
    </w:p>
    <w:p>
      <w:r>
        <w:rPr>
          <w:b/>
        </w:rPr>
        <w:t xml:space="preserve">24 </w:t>
      </w:r>
      <w:r>
        <w:t xml:space="preserve">And one shall come out from the hand of Kittim, and they shall afflict Asshur and afflict Hebrews, and they themselves together shall perish.</w:t>
      </w:r>
    </w:p>
    <w:p>
      <w:r>
        <w:rPr>
          <w:b/>
        </w:rPr>
        <w:t xml:space="preserve">25 </w:t>
      </w:r>
      <w:r>
        <w:t xml:space="preserve">And Balaam rose and went away, turning back to his place, and Balak went to himself.</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Israel stayed in Shittim</w:t>
      </w:r>
      <w:r>
        <w:rPr>
          <w:rStyle w:val="FootnoteReference"/>
        </w:rPr>
        <w:footnoteReference w:id="2979"/>
      </w:r>
      <w:r>
        <w:t xml:space="preserve">, and the people were profaned to prostitute themselves with the daughters of Moab.</w:t>
      </w:r>
      <w:r>
        <w:rPr>
          <w:rStyle w:val="FootnoteReference"/>
        </w:rPr>
        <w:footnoteReference w:id="2980"/>
      </w:r>
    </w:p>
    <w:p>
      <w:r>
        <w:rPr>
          <w:b/>
        </w:rPr>
        <w:t xml:space="preserve">2 </w:t>
      </w:r>
      <w:r>
        <w:t xml:space="preserve">And they called</w:t>
      </w:r>
      <w:r>
        <w:rPr>
          <w:rStyle w:val="FootnoteReference"/>
        </w:rPr>
        <w:footnoteReference w:id="2981"/>
      </w:r>
      <w:r>
        <w:t xml:space="preserve"> them to the sacrifices of their idols, and the people ate from their sacrifices and bowed to their idols.</w:t>
      </w:r>
    </w:p>
    <w:p>
      <w:r>
        <w:rPr>
          <w:b/>
        </w:rPr>
        <w:t xml:space="preserve">3 </w:t>
      </w:r>
      <w:r>
        <w:t xml:space="preserve">And Israel joined</w:t>
      </w:r>
      <w:r>
        <w:rPr>
          <w:rStyle w:val="FootnoteReference"/>
        </w:rPr>
        <w:footnoteReference w:id="2982"/>
      </w:r>
      <w:r>
        <w:t xml:space="preserve"> itself to Baal-peor</w:t>
      </w:r>
      <w:r>
        <w:rPr>
          <w:rStyle w:val="FootnoteReference"/>
        </w:rPr>
        <w:footnoteReference w:id="2983"/>
      </w:r>
      <w:r>
        <w:t xml:space="preserve">, and the Lord was enraged in anger against Israel.</w:t>
      </w:r>
    </w:p>
    <w:p>
      <w:r>
        <w:rPr>
          <w:b/>
        </w:rPr>
        <w:t xml:space="preserve">4 </w:t>
      </w:r>
      <w:r>
        <w:t xml:space="preserve">And the Lord said to Moses, Take all the leaders of the people and make an example of them for the Lord before the sun, and the anger of the Lord's wrath will turn away from Israel.</w:t>
      </w:r>
    </w:p>
    <w:p>
      <w:r>
        <w:rPr>
          <w:b/>
        </w:rPr>
        <w:t xml:space="preserve">5 </w:t>
      </w:r>
      <w:r>
        <w:t xml:space="preserve">And Moses said to the tribes of Israel, Let each one kill his own kinsman who has been joined to Baal-peor.</w:t>
      </w:r>
    </w:p>
    <w:p>
      <w:r>
        <w:rPr>
          <w:b/>
        </w:rPr>
        <w:t xml:space="preserve">6 </w:t>
      </w:r>
      <w:r>
        <w:t xml:space="preserve">And behold, a man from the sons of Israel came and brought the Midianite woman before Moses and before the whole congregation of the sons of Israel, while they were weeping</w:t>
      </w:r>
      <w:r>
        <w:rPr>
          <w:rStyle w:val="FootnoteReference"/>
        </w:rPr>
        <w:footnoteReference w:id="2984"/>
      </w:r>
      <w:r>
        <w:t xml:space="preserve"> at the door of the tent of testimony.</w:t>
      </w:r>
      <w:r>
        <w:rPr>
          <w:rStyle w:val="FootnoteReference"/>
        </w:rPr>
        <w:footnoteReference w:id="2985"/>
      </w:r>
    </w:p>
    <w:p>
      <w:r>
        <w:rPr>
          <w:b/>
        </w:rPr>
        <w:t xml:space="preserve">7 </w:t>
      </w:r>
      <w:r>
        <w:t xml:space="preserve">And Phinehas</w:t>
      </w:r>
      <w:r>
        <w:rPr>
          <w:rStyle w:val="FootnoteReference"/>
        </w:rPr>
        <w:footnoteReference w:id="2986"/>
      </w:r>
      <w:r>
        <w:t xml:space="preserve"> son of Eleazar son of Aaron the priest saw, rose up from the midst of the congregation, and taking a spear in his hand,</w:t>
      </w:r>
    </w:p>
    <w:p>
      <w:r>
        <w:rPr>
          <w:b/>
        </w:rPr>
        <w:t xml:space="preserve">8 </w:t>
      </w:r>
      <w:r>
        <w:t xml:space="preserve">went in after the Israelite man into the chamber and pierced both of them, both the Israelite man and the woman through her womb. And the plague ceased from the sons of Israel.</w:t>
      </w:r>
    </w:p>
    <w:p>
      <w:r>
        <w:rPr>
          <w:b/>
        </w:rPr>
        <w:t xml:space="preserve">9 </w:t>
      </w:r>
      <w:r>
        <w:t xml:space="preserve">And those who died in the plague became twenty-four thousand.</w:t>
      </w:r>
    </w:p>
    <w:p>
      <w:r>
        <w:rPr>
          <w:b/>
        </w:rPr>
        <w:t xml:space="preserve">10 </w:t>
      </w:r>
      <w:r>
        <w:t xml:space="preserve">And the Lord spoke to Moses, saying,</w:t>
      </w:r>
    </w:p>
    <w:p>
      <w:r>
        <w:rPr>
          <w:b/>
        </w:rPr>
        <w:t xml:space="preserve">11 </w:t>
      </w:r>
      <w:r>
        <w:t xml:space="preserve">Phinehas son of Eleazar son of Aaron the priest has stopped my wrath from the sons of Israel by being jealous with my jealousy among them, and I did not consume the sons of Israel in my jealousy.</w:t>
      </w:r>
    </w:p>
    <w:p>
      <w:r>
        <w:rPr>
          <w:b/>
        </w:rPr>
        <w:t xml:space="preserve">12 </w:t>
      </w:r>
      <w:r>
        <w:t xml:space="preserve">Therefore say, Behold, I give him a covenant of peace</w:t>
      </w:r>
      <w:r>
        <w:rPr>
          <w:rStyle w:val="FootnoteReference"/>
        </w:rPr>
        <w:footnoteReference w:id="2987"/>
      </w:r>
      <w:r>
        <w:t xml:space="preserve">.</w:t>
      </w:r>
    </w:p>
    <w:p>
      <w:r>
        <w:rPr>
          <w:b/>
        </w:rPr>
        <w:t xml:space="preserve">13 </w:t>
      </w:r>
      <w:r>
        <w:t xml:space="preserve">And it shall be to him and to his seed</w:t>
      </w:r>
      <w:r>
        <w:rPr>
          <w:rStyle w:val="FootnoteReference"/>
        </w:rPr>
        <w:footnoteReference w:id="2988"/>
      </w:r>
      <w:r>
        <w:t xml:space="preserve"> after him a covenant of everlasting priesthood</w:t>
      </w:r>
      <w:r>
        <w:rPr>
          <w:rStyle w:val="FootnoteReference"/>
        </w:rPr>
        <w:footnoteReference w:id="2989"/>
      </w:r>
      <w:r>
        <w:t xml:space="preserve">, because he was jealous for his God and made atonement for the sons of Israel.</w:t>
      </w:r>
    </w:p>
    <w:p>
      <w:r>
        <w:rPr>
          <w:b/>
        </w:rPr>
        <w:t xml:space="preserve">14 </w:t>
      </w:r>
      <w:r>
        <w:t xml:space="preserve">And the name of the Israelite man who had been struck, who was struck with the Midianite woman, was Zimri</w:t>
      </w:r>
      <w:r>
        <w:rPr>
          <w:rStyle w:val="FootnoteReference"/>
        </w:rPr>
        <w:footnoteReference w:id="2990"/>
      </w:r>
      <w:r>
        <w:t xml:space="preserve"> son of Salu</w:t>
      </w:r>
      <w:r>
        <w:rPr>
          <w:rStyle w:val="FootnoteReference"/>
        </w:rPr>
        <w:footnoteReference w:id="2991"/>
      </w:r>
      <w:r>
        <w:t xml:space="preserve">, leader of a father's house of the Simeonites</w:t>
      </w:r>
      <w:r>
        <w:rPr>
          <w:rStyle w:val="FootnoteReference"/>
        </w:rPr>
        <w:footnoteReference w:id="2992"/>
      </w:r>
      <w:r>
        <w:t xml:space="preserve">.</w:t>
      </w:r>
      <w:r>
        <w:rPr>
          <w:rStyle w:val="FootnoteReference"/>
        </w:rPr>
        <w:footnoteReference w:id="2993"/>
      </w:r>
    </w:p>
    <w:p>
      <w:r>
        <w:rPr>
          <w:b/>
        </w:rPr>
        <w:t xml:space="preserve">15 </w:t>
      </w:r>
      <w:r>
        <w:t xml:space="preserve">And the name of the Midianite woman who had been struck was Cozbi</w:t>
      </w:r>
      <w:r>
        <w:rPr>
          <w:rStyle w:val="FootnoteReference"/>
        </w:rPr>
        <w:footnoteReference w:id="2994"/>
      </w:r>
      <w:r>
        <w:t xml:space="preserve"> daughter of Zur</w:t>
      </w:r>
      <w:r>
        <w:rPr>
          <w:rStyle w:val="FootnoteReference"/>
        </w:rPr>
        <w:footnoteReference w:id="2995"/>
      </w:r>
      <w:r>
        <w:t xml:space="preserve">, chief of a father's house among Midian.</w:t>
      </w:r>
    </w:p>
    <w:p>
      <w:r>
        <w:rPr>
          <w:b/>
        </w:rPr>
        <w:t xml:space="preserve">16 </w:t>
      </w:r>
      <w:r>
        <w:t xml:space="preserve">And the Lord spoke to Moses, saying,</w:t>
      </w:r>
      <w:r>
        <w:rPr>
          <w:rStyle w:val="FootnoteReference"/>
        </w:rPr>
        <w:footnoteReference w:id="2996"/>
      </w:r>
      <w:r>
        <w:t xml:space="preserve"/>
      </w:r>
    </w:p>
    <w:p>
      <w:r>
        <w:rPr>
          <w:b/>
        </w:rPr>
        <w:t xml:space="preserve">17 </w:t>
      </w:r>
      <w:r>
        <w:t xml:space="preserve">Treat the Midianites as enemies and strike them,</w:t>
      </w:r>
    </w:p>
    <w:p>
      <w:r>
        <w:rPr>
          <w:b/>
        </w:rPr>
        <w:t xml:space="preserve">18 </w:t>
      </w:r>
      <w:r>
        <w:t xml:space="preserve">because they act as enemies toward you in the deceit with which they deceive you</w:t>
      </w:r>
      <w:r>
        <w:rPr>
          <w:rStyle w:val="FootnoteReference"/>
        </w:rPr>
        <w:footnoteReference w:id="2997"/>
      </w:r>
      <w:r>
        <w:t xml:space="preserve"> over Peor and over Cozbi daughter of the chief of Midian, their sister, the one struck down on the day of the plague over Peor.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it came to pass after the plague, and the Lord spoke to Moses and to Eleazar the priest, saying,</w:t>
      </w:r>
    </w:p>
    <w:p>
      <w:r>
        <w:rPr>
          <w:b/>
        </w:rPr>
        <w:t xml:space="preserve">2 </w:t>
      </w:r>
      <w:r>
        <w:t xml:space="preserve">Take the sum of the whole congregation of the sons of Israel, from twenty years old and upward, by their ancestral houses, everyone who goes out to array for battle in Israel.</w:t>
      </w:r>
    </w:p>
    <w:p>
      <w:r>
        <w:rPr>
          <w:b/>
        </w:rPr>
        <w:t xml:space="preserve">3 </w:t>
      </w:r>
      <w:r>
        <w:t xml:space="preserve">And Moses and Eleazar the priest spoke in the plains of Moab by the Jordan at Jericho, saying,</w:t>
      </w:r>
    </w:p>
    <w:p>
      <w:r>
        <w:rPr>
          <w:b/>
        </w:rPr>
        <w:t xml:space="preserve">4 </w:t>
      </w:r>
      <w:r>
        <w:t xml:space="preserve">From twenty years old and upward, just as the Lord commanded Moses. And these are the sons of Israel who came out of Egypt:</w:t>
      </w:r>
    </w:p>
    <w:p>
      <w:r>
        <w:rPr>
          <w:b/>
        </w:rPr>
        <w:t xml:space="preserve">5 </w:t>
      </w:r>
      <w:r>
        <w:t xml:space="preserve">Reuben, Israel firstborn. And the sons of Reuben: of Hanoch</w:t>
      </w:r>
      <w:r>
        <w:rPr>
          <w:rStyle w:val="FootnoteReference"/>
        </w:rPr>
        <w:footnoteReference w:id="2998"/>
      </w:r>
      <w:r>
        <w:t xml:space="preserve">, the clan of the Hanochite</w:t>
      </w:r>
      <w:r>
        <w:rPr>
          <w:rStyle w:val="FootnoteReference"/>
        </w:rPr>
        <w:footnoteReference w:id="2999"/>
      </w:r>
      <w:r>
        <w:t xml:space="preserve">; of Pallu, the clan of the Palluites</w:t>
      </w:r>
      <w:r>
        <w:rPr>
          <w:rStyle w:val="FootnoteReference"/>
        </w:rPr>
        <w:footnoteReference w:id="3000"/>
      </w:r>
      <w:r>
        <w:t xml:space="preserve">.</w:t>
      </w:r>
    </w:p>
    <w:p>
      <w:r>
        <w:rPr>
          <w:b/>
        </w:rPr>
        <w:t xml:space="preserve">6 </w:t>
      </w:r>
      <w:r>
        <w:t xml:space="preserve">Of Hezron, the clan of the Hezronite; of Carmi, the clan of the Carmite</w:t>
      </w:r>
      <w:r>
        <w:rPr>
          <w:rStyle w:val="FootnoteReference"/>
        </w:rPr>
        <w:footnoteReference w:id="3001"/>
      </w:r>
      <w:r>
        <w:t xml:space="preserve">.</w:t>
      </w:r>
      <w:r>
        <w:rPr>
          <w:rStyle w:val="FootnoteReference"/>
        </w:rPr>
        <w:footnoteReference w:id="3002"/>
      </w:r>
    </w:p>
    <w:p>
      <w:r>
        <w:rPr>
          <w:b/>
        </w:rPr>
        <w:t xml:space="preserve">7 </w:t>
      </w:r>
      <w:r>
        <w:t xml:space="preserve">These are the clans of Reuben, and their enrollment became forty-three thousand seven hundred thirty.</w:t>
      </w:r>
    </w:p>
    <w:p>
      <w:r>
        <w:rPr>
          <w:b/>
        </w:rPr>
        <w:t xml:space="preserve">8 </w:t>
      </w:r>
      <w:r>
        <w:t xml:space="preserve">And the sons of Pallu: Eliab.</w:t>
      </w:r>
    </w:p>
    <w:p>
      <w:r>
        <w:rPr>
          <w:b/>
        </w:rPr>
        <w:t xml:space="preserve">9 </w:t>
      </w:r>
      <w:r>
        <w:t xml:space="preserve">And the sons of Eliab: Nemuel</w:t>
      </w:r>
      <w:r>
        <w:rPr>
          <w:rStyle w:val="FootnoteReference"/>
        </w:rPr>
        <w:footnoteReference w:id="3003"/>
      </w:r>
      <w:r>
        <w:t xml:space="preserve"> and Dathan and Abiram. These are the called men of the congregation, the ones who rose up against Moses and Aaron in the congregation of Korah, in the uprising against the Lord.</w:t>
      </w:r>
      <w:r>
        <w:rPr>
          <w:rStyle w:val="FootnoteReference"/>
        </w:rPr>
        <w:footnoteReference w:id="3004"/>
      </w:r>
    </w:p>
    <w:p>
      <w:r>
        <w:rPr>
          <w:b/>
        </w:rPr>
        <w:t xml:space="preserve">10 </w:t>
      </w:r>
      <w:r>
        <w:t xml:space="preserve">And the earth, opening its mouth, swallowed them and Korah in the death of his congregation, when the fire devoured the two hundred fifty, and they became a sign</w:t>
      </w:r>
      <w:r>
        <w:rPr>
          <w:rStyle w:val="FootnoteReference"/>
        </w:rPr>
        <w:footnoteReference w:id="3005"/>
      </w:r>
      <w:r>
        <w:t xml:space="preserve">.</w:t>
      </w:r>
    </w:p>
    <w:p>
      <w:r>
        <w:rPr>
          <w:b/>
        </w:rPr>
        <w:t xml:space="preserve">11 </w:t>
      </w:r>
      <w:r>
        <w:t xml:space="preserve">But the sons of Korah did not die.</w:t>
      </w:r>
    </w:p>
    <w:p>
      <w:r>
        <w:rPr>
          <w:b/>
        </w:rPr>
        <w:t xml:space="preserve">12 </w:t>
      </w:r>
      <w:r>
        <w:t xml:space="preserve">And the sons of Simeon, the clan of the sons of Simeon: of Nemuel</w:t>
      </w:r>
      <w:r>
        <w:rPr>
          <w:rStyle w:val="FootnoteReference"/>
        </w:rPr>
        <w:footnoteReference w:id="3006"/>
      </w:r>
      <w:r>
        <w:t xml:space="preserve">, the clan of the Nemuelites</w:t>
      </w:r>
      <w:r>
        <w:rPr>
          <w:rStyle w:val="FootnoteReference"/>
        </w:rPr>
        <w:footnoteReference w:id="3007"/>
      </w:r>
      <w:r>
        <w:t xml:space="preserve">; of Jamin, the clan of the Jaminites</w:t>
      </w:r>
      <w:r>
        <w:rPr>
          <w:rStyle w:val="FootnoteReference"/>
        </w:rPr>
        <w:footnoteReference w:id="3008"/>
      </w:r>
      <w:r>
        <w:t xml:space="preserve">; of Jachin, the clan of the Jachinite</w:t>
      </w:r>
      <w:r>
        <w:rPr>
          <w:rStyle w:val="FootnoteReference"/>
        </w:rPr>
        <w:footnoteReference w:id="3009"/>
      </w:r>
      <w:r>
        <w:t xml:space="preserve">.</w:t>
      </w:r>
    </w:p>
    <w:p>
      <w:r>
        <w:rPr>
          <w:b/>
        </w:rPr>
        <w:t xml:space="preserve">13 </w:t>
      </w:r>
      <w:r>
        <w:t xml:space="preserve">Of Zerah</w:t>
      </w:r>
      <w:r>
        <w:rPr>
          <w:rStyle w:val="FootnoteReference"/>
        </w:rPr>
        <w:footnoteReference w:id="3010"/>
      </w:r>
      <w:r>
        <w:t xml:space="preserve">, the clan of the Zarhites</w:t>
      </w:r>
      <w:r>
        <w:rPr>
          <w:rStyle w:val="FootnoteReference"/>
        </w:rPr>
        <w:footnoteReference w:id="3011"/>
      </w:r>
      <w:r>
        <w:t xml:space="preserve">; of Saul, the clan of the Shaulites</w:t>
      </w:r>
      <w:r>
        <w:rPr>
          <w:rStyle w:val="FootnoteReference"/>
        </w:rPr>
        <w:footnoteReference w:id="3012"/>
      </w:r>
      <w:r>
        <w:t xml:space="preserve">.</w:t>
      </w:r>
    </w:p>
    <w:p>
      <w:r>
        <w:rPr>
          <w:b/>
        </w:rPr>
        <w:t xml:space="preserve">14 </w:t>
      </w:r>
      <w:r>
        <w:t xml:space="preserve">These are the clans of Simeon from their enrollment, twenty-two thousand two hundred.</w:t>
      </w:r>
    </w:p>
    <w:p>
      <w:r>
        <w:rPr>
          <w:b/>
        </w:rPr>
        <w:t xml:space="preserve">15 </w:t>
      </w:r>
      <w:r>
        <w:t xml:space="preserve">And the sons of Judah were Er and Onan</w:t>
      </w:r>
      <w:r>
        <w:rPr>
          <w:rStyle w:val="FootnoteReference"/>
        </w:rPr>
        <w:footnoteReference w:id="3013"/>
      </w:r>
      <w:r>
        <w:t xml:space="preserve">, and Er and Onan died in the land of Canaan.</w:t>
      </w:r>
    </w:p>
    <w:p>
      <w:r>
        <w:rPr>
          <w:b/>
        </w:rPr>
        <w:t xml:space="preserve">16 </w:t>
      </w:r>
      <w:r>
        <w:t xml:space="preserve">And the sons of Judah came to be by their clans: of Shelah, the clan of the Shelanite</w:t>
      </w:r>
      <w:r>
        <w:rPr>
          <w:rStyle w:val="FootnoteReference"/>
        </w:rPr>
        <w:footnoteReference w:id="3014"/>
      </w:r>
      <w:r>
        <w:t xml:space="preserve">; of Pharez, the clan of the Pharezite; of Zerah, the clan of the Zerahite</w:t>
      </w:r>
      <w:r>
        <w:rPr>
          <w:rStyle w:val="FootnoteReference"/>
        </w:rPr>
        <w:footnoteReference w:id="3015"/>
      </w:r>
      <w:r>
        <w:t xml:space="preserve">.</w:t>
      </w:r>
    </w:p>
    <w:p>
      <w:r>
        <w:rPr>
          <w:b/>
        </w:rPr>
        <w:t xml:space="preserve">17 </w:t>
      </w:r>
      <w:r>
        <w:t xml:space="preserve">And the sons of Pharez: of Hezron, the clan of the Hezronite; of Jamoun, the clan of the Jamounite.</w:t>
      </w:r>
    </w:p>
    <w:p>
      <w:r>
        <w:rPr>
          <w:b/>
        </w:rPr>
        <w:t xml:space="preserve">18 </w:t>
      </w:r>
      <w:r>
        <w:t xml:space="preserve">These are the clans of Judah by their enrollment, seventy-six thousand five hundred.</w:t>
      </w:r>
    </w:p>
    <w:p>
      <w:r>
        <w:rPr>
          <w:b/>
        </w:rPr>
        <w:t xml:space="preserve">19 </w:t>
      </w:r>
      <w:r>
        <w:t xml:space="preserve">And the sons of Issachar by their clans: of Tola, the clan of the Tholaite; of Puah, the clan of the Phuaite.</w:t>
      </w:r>
    </w:p>
    <w:p>
      <w:r>
        <w:rPr>
          <w:b/>
        </w:rPr>
        <w:t xml:space="preserve">20 </w:t>
      </w:r>
      <w:r>
        <w:t xml:space="preserve">Of Jashub</w:t>
      </w:r>
      <w:r>
        <w:rPr>
          <w:rStyle w:val="FootnoteReference"/>
        </w:rPr>
        <w:footnoteReference w:id="3016"/>
      </w:r>
      <w:r>
        <w:t xml:space="preserve">, the clan of the Jashubite</w:t>
      </w:r>
      <w:r>
        <w:rPr>
          <w:rStyle w:val="FootnoteReference"/>
        </w:rPr>
        <w:footnoteReference w:id="3017"/>
      </w:r>
      <w:r>
        <w:t xml:space="preserve">; of Samaran, the clan of the Samaranite.</w:t>
      </w:r>
    </w:p>
    <w:p>
      <w:r>
        <w:rPr>
          <w:b/>
        </w:rPr>
        <w:t xml:space="preserve">21 </w:t>
      </w:r>
      <w:r>
        <w:t xml:space="preserve">These are the clans of Issachar by their enrollment, sixty-four thousand three hundred.</w:t>
      </w:r>
    </w:p>
    <w:p>
      <w:r>
        <w:rPr>
          <w:b/>
        </w:rPr>
        <w:t xml:space="preserve">22 </w:t>
      </w:r>
      <w:r>
        <w:t xml:space="preserve">The sons of Zebulun by their clans: of Sered, the clan of the Sardite; of Allon, the clan of the Allonite; of Allel, the clan of the Allelite.</w:t>
      </w:r>
    </w:p>
    <w:p>
      <w:r>
        <w:rPr>
          <w:b/>
        </w:rPr>
        <w:t xml:space="preserve">23 </w:t>
      </w:r>
      <w:r>
        <w:t xml:space="preserve">These are the clans of Zebulun by their enrollment, sixty thousand five hundred.</w:t>
      </w:r>
    </w:p>
    <w:p>
      <w:r>
        <w:rPr>
          <w:b/>
        </w:rPr>
        <w:t xml:space="preserve">24 </w:t>
      </w:r>
      <w:r>
        <w:t xml:space="preserve">The sons of Gad by their clans: of Zephon, the clan of the Saphonite; of Angi, the clan of the Angite; of Suni, the clan of the Sunite.</w:t>
      </w:r>
    </w:p>
    <w:p>
      <w:r>
        <w:rPr>
          <w:b/>
        </w:rPr>
        <w:t xml:space="preserve">25 </w:t>
      </w:r>
      <w:r>
        <w:t xml:space="preserve">Of Azeni, the clan of the Azenite; of Addi</w:t>
      </w:r>
      <w:r>
        <w:rPr>
          <w:rStyle w:val="FootnoteReference"/>
        </w:rPr>
        <w:footnoteReference w:id="3018"/>
      </w:r>
      <w:r>
        <w:t xml:space="preserve">, the clan of the Addite.</w:t>
      </w:r>
    </w:p>
    <w:p>
      <w:r>
        <w:rPr>
          <w:b/>
        </w:rPr>
        <w:t xml:space="preserve">26 </w:t>
      </w:r>
      <w:r>
        <w:t xml:space="preserve">Of Aroadi, the clan of the Aroadite; of Ariel</w:t>
      </w:r>
      <w:r>
        <w:rPr>
          <w:rStyle w:val="FootnoteReference"/>
        </w:rPr>
        <w:footnoteReference w:id="3019"/>
      </w:r>
      <w:r>
        <w:t xml:space="preserve">, the clan of the Arielite.</w:t>
      </w:r>
    </w:p>
    <w:p>
      <w:r>
        <w:rPr>
          <w:b/>
        </w:rPr>
        <w:t xml:space="preserve">27 </w:t>
      </w:r>
      <w:r>
        <w:t xml:space="preserve">These are the clans of the sons of Gad by their enrollment, forty thousand five hundred.</w:t>
      </w:r>
    </w:p>
    <w:p>
      <w:r>
        <w:rPr>
          <w:b/>
        </w:rPr>
        <w:t xml:space="preserve">28 </w:t>
      </w:r>
      <w:r>
        <w:t xml:space="preserve">The sons of Asher by their clans: of Jamin, the clan of the Jaminites; of Jesui, the clan of the Jesuite; of Beri</w:t>
      </w:r>
      <w:r>
        <w:rPr>
          <w:rStyle w:val="FootnoteReference"/>
        </w:rPr>
        <w:footnoteReference w:id="3020"/>
      </w:r>
      <w:r>
        <w:t xml:space="preserve">, the clan of the Bariite.</w:t>
      </w:r>
    </w:p>
    <w:p>
      <w:r>
        <w:rPr>
          <w:b/>
        </w:rPr>
        <w:t xml:space="preserve">29 </w:t>
      </w:r>
      <w:r>
        <w:t xml:space="preserve">Of Chober, the clan of the Choberite; of Melchiel</w:t>
      </w:r>
      <w:r>
        <w:rPr>
          <w:rStyle w:val="FootnoteReference"/>
        </w:rPr>
        <w:footnoteReference w:id="3021"/>
      </w:r>
      <w:r>
        <w:t xml:space="preserve">, the clan of the Melchielite.</w:t>
      </w:r>
    </w:p>
    <w:p>
      <w:r>
        <w:rPr>
          <w:b/>
        </w:rPr>
        <w:t xml:space="preserve">30 </w:t>
      </w:r>
      <w:r>
        <w:t xml:space="preserve">And the name of Ashers daughter was Sara.</w:t>
      </w:r>
      <w:r>
        <w:rPr>
          <w:rStyle w:val="FootnoteReference"/>
        </w:rPr>
        <w:footnoteReference w:id="3022"/>
      </w:r>
      <w:r>
        <w:t xml:space="preserve"/>
      </w:r>
    </w:p>
    <w:p>
      <w:r>
        <w:rPr>
          <w:b/>
        </w:rPr>
        <w:t xml:space="preserve">31 </w:t>
      </w:r>
      <w:r>
        <w:t xml:space="preserve">These are the clans of Asher by their enrollment, fifty-three thousand four hundred.</w:t>
      </w:r>
    </w:p>
    <w:p>
      <w:r>
        <w:rPr>
          <w:b/>
        </w:rPr>
        <w:t xml:space="preserve">32 </w:t>
      </w:r>
      <w:r>
        <w:t xml:space="preserve">The sons of Joseph by their clans: Manasseh and Ephraim.</w:t>
      </w:r>
      <w:r>
        <w:rPr>
          <w:rStyle w:val="FootnoteReference"/>
        </w:rPr>
        <w:footnoteReference w:id="3023"/>
      </w:r>
      <w:r>
        <w:t xml:space="preserve"/>
      </w:r>
    </w:p>
    <w:p>
      <w:r>
        <w:rPr>
          <w:b/>
        </w:rPr>
        <w:t xml:space="preserve">33 </w:t>
      </w:r>
      <w:r>
        <w:t xml:space="preserve">The sons of Manasseh: of Machir, the clan of the Machirite. And Machir begot Gilead; of Gilead, the clan of the Gileadite</w:t>
      </w:r>
      <w:r>
        <w:rPr>
          <w:rStyle w:val="FootnoteReference"/>
        </w:rPr>
        <w:footnoteReference w:id="3024"/>
      </w:r>
      <w:r>
        <w:t xml:space="preserve">.</w:t>
      </w:r>
    </w:p>
    <w:p>
      <w:r>
        <w:rPr>
          <w:b/>
        </w:rPr>
        <w:t xml:space="preserve">34 </w:t>
      </w:r>
      <w:r>
        <w:t xml:space="preserve">And these are the sons of Gilead: of Ahiezer, the clan of the Achiezerite; of Cheleg, the clan of the Chelegite.</w:t>
      </w:r>
    </w:p>
    <w:p>
      <w:r>
        <w:rPr>
          <w:b/>
        </w:rPr>
        <w:t xml:space="preserve">35 </w:t>
      </w:r>
      <w:r>
        <w:t xml:space="preserve">Of Azriel, the clan of the Esrielite; of Shechem, the clan of the Sychemite.</w:t>
      </w:r>
      <w:r>
        <w:rPr>
          <w:rStyle w:val="FootnoteReference"/>
        </w:rPr>
        <w:footnoteReference w:id="3025"/>
      </w:r>
      <w:r>
        <w:t xml:space="preserve"/>
      </w:r>
      <w:r>
        <w:rPr>
          <w:rStyle w:val="FootnoteReference"/>
        </w:rPr>
        <w:footnoteReference w:id="3026"/>
      </w:r>
    </w:p>
    <w:p>
      <w:r>
        <w:rPr>
          <w:b/>
        </w:rPr>
        <w:t xml:space="preserve">36 </w:t>
      </w:r>
      <w:r>
        <w:t xml:space="preserve">Of Symaer, the clan of the Symaerite; and of Hepher</w:t>
      </w:r>
      <w:r>
        <w:rPr>
          <w:rStyle w:val="FootnoteReference"/>
        </w:rPr>
        <w:footnoteReference w:id="3027"/>
      </w:r>
      <w:r>
        <w:t xml:space="preserve">, the clan of the Opherite.</w:t>
      </w:r>
    </w:p>
    <w:p>
      <w:r>
        <w:rPr>
          <w:b/>
        </w:rPr>
        <w:t xml:space="preserve">37 </w:t>
      </w:r>
      <w:r>
        <w:t xml:space="preserve">And to Zelophehad</w:t>
      </w:r>
      <w:r>
        <w:rPr>
          <w:rStyle w:val="FootnoteReference"/>
        </w:rPr>
        <w:footnoteReference w:id="3028"/>
      </w:r>
      <w:r>
        <w:t xml:space="preserve"> son of Hepher there were no sons, but daughters. And these are the names of the daughters of Zelophehad: Mahlah</w:t>
      </w:r>
      <w:r>
        <w:rPr>
          <w:rStyle w:val="FootnoteReference"/>
        </w:rPr>
        <w:footnoteReference w:id="3029"/>
      </w:r>
      <w:r>
        <w:t xml:space="preserve"> and Noah and Hoglah</w:t>
      </w:r>
      <w:r>
        <w:rPr>
          <w:rStyle w:val="FootnoteReference"/>
        </w:rPr>
        <w:footnoteReference w:id="3030"/>
      </w:r>
      <w:r>
        <w:t xml:space="preserve"> and Milcah and Tirzah</w:t>
      </w:r>
      <w:r>
        <w:rPr>
          <w:rStyle w:val="FootnoteReference"/>
        </w:rPr>
        <w:footnoteReference w:id="3031"/>
      </w:r>
      <w:r>
        <w:t xml:space="preserve">.</w:t>
      </w:r>
    </w:p>
    <w:p>
      <w:r>
        <w:rPr>
          <w:b/>
        </w:rPr>
        <w:t xml:space="preserve">38 </w:t>
      </w:r>
      <w:r>
        <w:t xml:space="preserve">These are the clans of Manasseh by their enrollment, fifty-two thousand seven hundred.</w:t>
      </w:r>
      <w:r>
        <w:rPr>
          <w:rStyle w:val="FootnoteReference"/>
        </w:rPr>
        <w:footnoteReference w:id="3032"/>
      </w:r>
      <w:r>
        <w:t xml:space="preserve"/>
      </w:r>
    </w:p>
    <w:p>
      <w:r>
        <w:rPr>
          <w:b/>
        </w:rPr>
        <w:t xml:space="preserve">39 </w:t>
      </w:r>
      <w:r>
        <w:t xml:space="preserve">And these are the sons of Ephraim: of Shuthelah, the clan of the Shuthelahite</w:t>
      </w:r>
      <w:r>
        <w:rPr>
          <w:rStyle w:val="FootnoteReference"/>
        </w:rPr>
        <w:footnoteReference w:id="3033"/>
      </w:r>
      <w:r>
        <w:t xml:space="preserve">; of Tanach</w:t>
      </w:r>
      <w:r>
        <w:rPr>
          <w:rStyle w:val="FootnoteReference"/>
        </w:rPr>
        <w:footnoteReference w:id="3034"/>
      </w:r>
      <w:r>
        <w:t xml:space="preserve">, the clan of the Tanachite.</w:t>
      </w:r>
    </w:p>
    <w:p>
      <w:r>
        <w:rPr>
          <w:b/>
        </w:rPr>
        <w:t xml:space="preserve">40 </w:t>
      </w:r>
      <w:r>
        <w:t xml:space="preserve">These are the sons of Shuthelah: of Eran, the clan of the Edenite.</w:t>
      </w:r>
    </w:p>
    <w:p>
      <w:r>
        <w:rPr>
          <w:b/>
        </w:rPr>
        <w:t xml:space="preserve">41 </w:t>
      </w:r>
      <w:r>
        <w:t xml:space="preserve">These are the clans of Ephraim by their enrollment, thirty-two thousand five hundred. These are the clans of the sons of Joseph by their clans.</w:t>
      </w:r>
    </w:p>
    <w:p>
      <w:r>
        <w:rPr>
          <w:b/>
        </w:rPr>
        <w:t xml:space="preserve">42 </w:t>
      </w:r>
      <w:r>
        <w:t xml:space="preserve">The sons of Benjamin by their clans: of Bela, the clan of the Baleite; of Asyber, the clan of the Asyberite; of Jachiran, the clan of the Jachiranite.</w:t>
      </w:r>
    </w:p>
    <w:p>
      <w:r>
        <w:rPr>
          <w:b/>
        </w:rPr>
        <w:t xml:space="preserve">43 </w:t>
      </w:r>
      <w:r>
        <w:t xml:space="preserve">Of Sophan, the clan of the Sophanite.</w:t>
      </w:r>
      <w:r>
        <w:rPr>
          <w:rStyle w:val="FootnoteReference"/>
        </w:rPr>
        <w:footnoteReference w:id="3035"/>
      </w:r>
      <w:r>
        <w:t xml:space="preserve"/>
      </w:r>
    </w:p>
    <w:p>
      <w:r>
        <w:rPr>
          <w:b/>
        </w:rPr>
        <w:t xml:space="preserve">44 </w:t>
      </w:r>
      <w:r>
        <w:t xml:space="preserve">And the sons of Bela came to be Adar</w:t>
      </w:r>
      <w:r>
        <w:rPr>
          <w:rStyle w:val="FootnoteReference"/>
        </w:rPr>
        <w:footnoteReference w:id="3036"/>
      </w:r>
      <w:r>
        <w:t xml:space="preserve"> and Naaman: of Adar, the clan of the Adarite; of Naaman, the clan of the Noemanite.</w:t>
      </w:r>
    </w:p>
    <w:p>
      <w:r>
        <w:rPr>
          <w:b/>
        </w:rPr>
        <w:t xml:space="preserve">45 </w:t>
      </w:r>
      <w:r>
        <w:t xml:space="preserve">These are the sons of Benjamin by their clans, by their enrollment, forty-five thousand six hundred.</w:t>
      </w:r>
    </w:p>
    <w:p>
      <w:r>
        <w:rPr>
          <w:b/>
        </w:rPr>
        <w:t xml:space="preserve">46 </w:t>
      </w:r>
      <w:r>
        <w:t xml:space="preserve">And the sons of Dan by their clans: of Shuham</w:t>
      </w:r>
      <w:r>
        <w:rPr>
          <w:rStyle w:val="FootnoteReference"/>
        </w:rPr>
        <w:footnoteReference w:id="3037"/>
      </w:r>
      <w:r>
        <w:t xml:space="preserve">, the clan of the Shuhamite</w:t>
      </w:r>
      <w:r>
        <w:rPr>
          <w:rStyle w:val="FootnoteReference"/>
        </w:rPr>
        <w:footnoteReference w:id="3038"/>
      </w:r>
      <w:r>
        <w:t xml:space="preserve">. These are the clans of Dan by their clans.</w:t>
      </w:r>
    </w:p>
    <w:p>
      <w:r>
        <w:rPr>
          <w:b/>
        </w:rPr>
        <w:t xml:space="preserve">47 </w:t>
      </w:r>
      <w:r>
        <w:t xml:space="preserve">All the clans of Shuham by their enrollment were sixty-four thousand four hundred.</w:t>
      </w:r>
    </w:p>
    <w:p>
      <w:r>
        <w:rPr>
          <w:b/>
        </w:rPr>
        <w:t xml:space="preserve">48 </w:t>
      </w:r>
      <w:r>
        <w:t xml:space="preserve">The sons of Naphtali</w:t>
      </w:r>
      <w:r>
        <w:rPr>
          <w:rStyle w:val="FootnoteReference"/>
        </w:rPr>
        <w:footnoteReference w:id="3039"/>
      </w:r>
      <w:r>
        <w:t xml:space="preserve"> by their clans: of Asiel, the clan of the Jahzeelites</w:t>
      </w:r>
      <w:r>
        <w:rPr>
          <w:rStyle w:val="FootnoteReference"/>
        </w:rPr>
        <w:footnoteReference w:id="3040"/>
      </w:r>
      <w:r>
        <w:t xml:space="preserve">; of Guni, the clan of the Gaunite.</w:t>
      </w:r>
    </w:p>
    <w:p>
      <w:r>
        <w:rPr>
          <w:b/>
        </w:rPr>
        <w:t xml:space="preserve">49 </w:t>
      </w:r>
      <w:r>
        <w:t xml:space="preserve">Of Jezer</w:t>
      </w:r>
      <w:r>
        <w:rPr>
          <w:rStyle w:val="FootnoteReference"/>
        </w:rPr>
        <w:footnoteReference w:id="3041"/>
      </w:r>
      <w:r>
        <w:t xml:space="preserve">, the clan of the Jezerites</w:t>
      </w:r>
      <w:r>
        <w:rPr>
          <w:rStyle w:val="FootnoteReference"/>
        </w:rPr>
        <w:footnoteReference w:id="3042"/>
      </w:r>
      <w:r>
        <w:t xml:space="preserve">; of Shillem</w:t>
      </w:r>
      <w:r>
        <w:rPr>
          <w:rStyle w:val="FootnoteReference"/>
        </w:rPr>
        <w:footnoteReference w:id="3043"/>
      </w:r>
      <w:r>
        <w:t xml:space="preserve">, the clan of the Shillemites</w:t>
      </w:r>
      <w:r>
        <w:rPr>
          <w:rStyle w:val="FootnoteReference"/>
        </w:rPr>
        <w:footnoteReference w:id="3044"/>
      </w:r>
      <w:r>
        <w:t xml:space="preserve">.</w:t>
      </w:r>
    </w:p>
    <w:p>
      <w:r>
        <w:rPr>
          <w:b/>
        </w:rPr>
        <w:t xml:space="preserve">50 </w:t>
      </w:r>
      <w:r>
        <w:t xml:space="preserve">These are the clans of Naphtali by their enrollment, forty-five thousand four hundred.</w:t>
      </w:r>
    </w:p>
    <w:p>
      <w:r>
        <w:rPr>
          <w:b/>
        </w:rPr>
        <w:t xml:space="preserve">51 </w:t>
      </w:r>
      <w:r>
        <w:t xml:space="preserve">This is the enrollment of the sons of Israel: six hundred one thousand seven hundred thirty.</w:t>
      </w:r>
    </w:p>
    <w:p>
      <w:r>
        <w:rPr>
          <w:b/>
        </w:rPr>
        <w:t xml:space="preserve">52 </w:t>
      </w:r>
      <w:r>
        <w:t xml:space="preserve">And the Lord spoke to Moses, saying,</w:t>
      </w:r>
    </w:p>
    <w:p>
      <w:r>
        <w:rPr>
          <w:b/>
        </w:rPr>
        <w:t xml:space="preserve">53 </w:t>
      </w:r>
      <w:r>
        <w:t xml:space="preserve">To these the land shall be divided for inheritance by the number of names.</w:t>
      </w:r>
    </w:p>
    <w:p>
      <w:r>
        <w:rPr>
          <w:b/>
        </w:rPr>
        <w:t xml:space="preserve">54 </w:t>
      </w:r>
      <w:r>
        <w:t xml:space="preserve">To the more you shall increase the inheritance, and to the fewer you shall lessen the inheritance. To each one according to those who were enrolled shall their inheritance be given.</w:t>
      </w:r>
    </w:p>
    <w:p>
      <w:r>
        <w:rPr>
          <w:b/>
        </w:rPr>
        <w:t xml:space="preserve">55 </w:t>
      </w:r>
      <w:r>
        <w:t xml:space="preserve">The land shall be divided by lots.</w:t>
      </w:r>
      <w:r>
        <w:rPr>
          <w:rStyle w:val="FootnoteReference"/>
        </w:rPr>
        <w:footnoteReference w:id="3045"/>
      </w:r>
      <w:r>
        <w:t xml:space="preserve"> By the names of the tribes of their fathers they shall inherit.</w:t>
      </w:r>
    </w:p>
    <w:p>
      <w:r>
        <w:rPr>
          <w:b/>
        </w:rPr>
        <w:t xml:space="preserve">56 </w:t>
      </w:r>
      <w:r>
        <w:t xml:space="preserve">Out of the lot you shall divide their inheritance between many and few.</w:t>
      </w:r>
    </w:p>
    <w:p>
      <w:r>
        <w:rPr>
          <w:b/>
        </w:rPr>
        <w:t xml:space="preserve">57 </w:t>
      </w:r>
      <w:r>
        <w:t xml:space="preserve">And the sons of Levi by their clans: of Gershon, the clan of the Gershonites</w:t>
      </w:r>
      <w:r>
        <w:rPr>
          <w:rStyle w:val="FootnoteReference"/>
        </w:rPr>
        <w:footnoteReference w:id="3046"/>
      </w:r>
      <w:r>
        <w:t xml:space="preserve">; of Kohath, the clan of the Kohathites</w:t>
      </w:r>
      <w:r>
        <w:rPr>
          <w:rStyle w:val="FootnoteReference"/>
        </w:rPr>
        <w:footnoteReference w:id="3047"/>
      </w:r>
      <w:r>
        <w:t xml:space="preserve">; of Merari, the clan of the Merarite.</w:t>
      </w:r>
    </w:p>
    <w:p>
      <w:r>
        <w:rPr>
          <w:b/>
        </w:rPr>
        <w:t xml:space="preserve">58 </w:t>
      </w:r>
      <w:r>
        <w:t xml:space="preserve">These are the clans of the sons of Levi: the clan of the Lobenite, the clan of the Hebronites, the clan of Kore, and the clan of Mushi. And Kohath begot Amram.</w:t>
      </w:r>
      <w:r>
        <w:rPr>
          <w:rStyle w:val="FootnoteReference"/>
        </w:rPr>
        <w:footnoteReference w:id="3048"/>
      </w:r>
    </w:p>
    <w:p>
      <w:r>
        <w:rPr>
          <w:b/>
        </w:rPr>
        <w:t xml:space="preserve">59 </w:t>
      </w:r>
      <w:r>
        <w:t xml:space="preserve">And the name of his wife was Jochebed, daughter of Levi, who bore these to Levi in Egypt, and she bore to Amram Aaron and Moses and Miriam their sister.</w:t>
      </w:r>
    </w:p>
    <w:p>
      <w:r>
        <w:rPr>
          <w:b/>
        </w:rPr>
        <w:t xml:space="preserve">60 </w:t>
      </w:r>
      <w:r>
        <w:t xml:space="preserve">And to Aaron were born Nadab and Abihu and Eleazar and Ithamar.</w:t>
      </w:r>
    </w:p>
    <w:p>
      <w:r>
        <w:rPr>
          <w:b/>
        </w:rPr>
        <w:t xml:space="preserve">61 </w:t>
      </w:r>
      <w:r>
        <w:t xml:space="preserve">And Nadab and Abihu died when they brought strange fire before the Lord in the wilderness of Sinai.</w:t>
      </w:r>
    </w:p>
    <w:p>
      <w:r>
        <w:rPr>
          <w:b/>
        </w:rPr>
        <w:t xml:space="preserve">62 </w:t>
      </w:r>
      <w:r>
        <w:t xml:space="preserve">And those from their enrollment became twenty-three thousand, every male from one month old and upward. For they were not</w:t>
      </w:r>
      <w:r>
        <w:rPr>
          <w:rStyle w:val="FootnoteReference"/>
        </w:rPr>
        <w:footnoteReference w:id="3049"/>
      </w:r>
      <w:r>
        <w:t xml:space="preserve"> enrolled among the sons of Israel, because no inheritance is given to them</w:t>
      </w:r>
      <w:r>
        <w:rPr>
          <w:rStyle w:val="FootnoteReference"/>
        </w:rPr>
        <w:footnoteReference w:id="3050"/>
      </w:r>
      <w:r>
        <w:t xml:space="preserve"> among the sons of Israel.</w:t>
      </w:r>
    </w:p>
    <w:p>
      <w:r>
        <w:rPr>
          <w:b/>
        </w:rPr>
        <w:t xml:space="preserve">63 </w:t>
      </w:r>
      <w:r>
        <w:t xml:space="preserve">And this is the enrollment of Moses and Eleazar the priest, who enrolled the sons of Israel in the plains of Moab by the Jordan at Jericho.</w:t>
      </w:r>
    </w:p>
    <w:p>
      <w:r>
        <w:rPr>
          <w:b/>
        </w:rPr>
        <w:t xml:space="preserve">64 </w:t>
      </w:r>
      <w:r>
        <w:t xml:space="preserve">And among these there was no man from those enrolled by Moses and Aaron who enrolled the sons of Israel in the wilderness of Sinai.</w:t>
      </w:r>
    </w:p>
    <w:p>
      <w:r>
        <w:rPr>
          <w:b/>
        </w:rPr>
        <w:t xml:space="preserve">65 </w:t>
      </w:r>
      <w:r>
        <w:t xml:space="preserve">Because the Lord said to them, By death they shall die in the wilderness. And there was not left from them even one, except Caleb son of Jephunneh and Joshua son of Nun.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the daughters of Zelophehad</w:t>
      </w:r>
      <w:r>
        <w:rPr>
          <w:rStyle w:val="FootnoteReference"/>
        </w:rPr>
        <w:footnoteReference w:id="3051"/>
      </w:r>
      <w:r>
        <w:t xml:space="preserve"> son of Hepher, son of Gilead, son of Machir, from the clan of Manasseh of the sons of Joseph, came near. And these are their names: Mahlah and Noah and Hoglah and Milcah and Tirzah.</w:t>
      </w:r>
      <w:r>
        <w:rPr>
          <w:rStyle w:val="FootnoteReference"/>
        </w:rPr>
        <w:footnoteReference w:id="3052"/>
      </w:r>
    </w:p>
    <w:p>
      <w:r>
        <w:rPr>
          <w:b/>
        </w:rPr>
        <w:t xml:space="preserve">2 </w:t>
      </w:r>
      <w:r>
        <w:t xml:space="preserve">And they stood before Moses and before Eleazar the priest and before the leaders and before the whole congregation at the door of the tent of testimony, saying,</w:t>
      </w:r>
    </w:p>
    <w:p>
      <w:r>
        <w:rPr>
          <w:b/>
        </w:rPr>
        <w:t xml:space="preserve">3 </w:t>
      </w:r>
      <w:r>
        <w:t xml:space="preserve">Our father died in the</w:t>
      </w:r>
      <w:r>
        <w:rPr>
          <w:rStyle w:val="FootnoteReference"/>
        </w:rPr>
        <w:footnoteReference w:id="3053"/>
      </w:r>
      <w:r>
        <w:t xml:space="preserve"> wilderness, and he was not in the midst of the congregation that gathered against the Lord</w:t>
      </w:r>
      <w:r>
        <w:rPr>
          <w:rStyle w:val="FootnoteReference"/>
        </w:rPr>
        <w:footnoteReference w:id="3054"/>
      </w:r>
      <w:r>
        <w:t xml:space="preserve"> in the congregation of Korah, but he died for his own sin, and sons were not born to him.</w:t>
      </w:r>
    </w:p>
    <w:p>
      <w:r>
        <w:rPr>
          <w:b/>
        </w:rPr>
        <w:t xml:space="preserve">4 </w:t>
      </w:r>
      <w:r>
        <w:t xml:space="preserve">Let not the name of our father be wiped out</w:t>
      </w:r>
      <w:r>
        <w:rPr>
          <w:rStyle w:val="FootnoteReference"/>
        </w:rPr>
        <w:footnoteReference w:id="3055"/>
      </w:r>
      <w:r>
        <w:t xml:space="preserve"> from the midst of his clan because he has no son. Give</w:t>
      </w:r>
      <w:r>
        <w:rPr>
          <w:rStyle w:val="FootnoteReference"/>
        </w:rPr>
        <w:footnoteReference w:id="3056"/>
      </w:r>
      <w:r>
        <w:t xml:space="preserve"> us a possession among the brothers of our father.</w:t>
      </w:r>
    </w:p>
    <w:p>
      <w:r>
        <w:rPr>
          <w:b/>
        </w:rPr>
        <w:t xml:space="preserve">5 </w:t>
      </w:r>
      <w:r>
        <w:t xml:space="preserve">And Moses brought their judgment before the Lord</w:t>
      </w:r>
      <w:r>
        <w:rPr>
          <w:rStyle w:val="FootnoteReference"/>
        </w:rPr>
        <w:footnoteReference w:id="3057"/>
      </w:r>
      <w:r>
        <w:t xml:space="preserve">.</w:t>
      </w:r>
    </w:p>
    <w:p>
      <w:r>
        <w:rPr>
          <w:b/>
        </w:rPr>
        <w:t xml:space="preserve">6 </w:t>
      </w:r>
      <w:r>
        <w:t xml:space="preserve">And the Lord spoke to Moses, saying,</w:t>
      </w:r>
      <w:r>
        <w:rPr>
          <w:rStyle w:val="FootnoteReference"/>
        </w:rPr>
        <w:footnoteReference w:id="3058"/>
      </w:r>
    </w:p>
    <w:p>
      <w:r>
        <w:rPr>
          <w:b/>
        </w:rPr>
        <w:t xml:space="preserve">7 </w:t>
      </w:r>
      <w:r>
        <w:t xml:space="preserve">The daughters of Zelophehad have spoken rightly</w:t>
      </w:r>
      <w:r>
        <w:rPr>
          <w:rStyle w:val="FootnoteReference"/>
        </w:rPr>
        <w:footnoteReference w:id="3059"/>
      </w:r>
      <w:r>
        <w:t xml:space="preserve">. Giving you shall give them a possession of inheritance among the brothers of their father, and you shall put the inheritance of their father upon them.</w:t>
      </w:r>
    </w:p>
    <w:p>
      <w:r>
        <w:rPr>
          <w:b/>
        </w:rPr>
        <w:t xml:space="preserve">8 </w:t>
      </w:r>
      <w:r>
        <w:t xml:space="preserve">And you shall speak to the sons of Israel, saying, If a man dies and has no son, you shall put his inheritance upon his daughter</w:t>
      </w:r>
      <w:r>
        <w:rPr>
          <w:rStyle w:val="FootnoteReference"/>
        </w:rPr>
        <w:footnoteReference w:id="3060"/>
      </w:r>
      <w:r>
        <w:t xml:space="preserve">.</w:t>
      </w:r>
    </w:p>
    <w:p>
      <w:r>
        <w:rPr>
          <w:b/>
        </w:rPr>
        <w:t xml:space="preserve">9 </w:t>
      </w:r>
      <w:r>
        <w:t xml:space="preserve">And if he has no daughter, you shall give his inheritance to his brother.</w:t>
      </w:r>
    </w:p>
    <w:p>
      <w:r>
        <w:rPr>
          <w:b/>
        </w:rPr>
        <w:t xml:space="preserve">10 </w:t>
      </w:r>
      <w:r>
        <w:t xml:space="preserve">And if he has no brothers, you shall give his inheritance to the brother of his father.</w:t>
      </w:r>
    </w:p>
    <w:p>
      <w:r>
        <w:rPr>
          <w:b/>
        </w:rPr>
        <w:t xml:space="preserve">11 </w:t>
      </w:r>
      <w:r>
        <w:t xml:space="preserve">And if there are no brothers of his father, you shall give his inheritance to his nearest kinsman</w:t>
      </w:r>
      <w:r>
        <w:rPr>
          <w:rStyle w:val="FootnoteReference"/>
        </w:rPr>
        <w:footnoteReference w:id="3061"/>
      </w:r>
      <w:r>
        <w:t xml:space="preserve"> from his tribe, and he shall inherit what is his. And this shall be for the sons of Israel an ordinance of judgment, just as the Lord commanded Moses.</w:t>
      </w:r>
    </w:p>
    <w:p>
      <w:r>
        <w:rPr>
          <w:b/>
        </w:rPr>
        <w:t xml:space="preserve">12 </w:t>
      </w:r>
      <w:r>
        <w:t xml:space="preserve">And the Lord said to Moses, Go up into this mountain across here, Mount</w:t>
      </w:r>
      <w:r>
        <w:rPr>
          <w:rStyle w:val="FootnoteReference"/>
        </w:rPr>
        <w:footnoteReference w:id="3062"/>
      </w:r>
      <w:r>
        <w:t xml:space="preserve"> Nebo</w:t>
      </w:r>
      <w:r>
        <w:rPr>
          <w:rStyle w:val="FootnoteReference"/>
        </w:rPr>
        <w:footnoteReference w:id="3063"/>
      </w:r>
      <w:r>
        <w:t xml:space="preserve">, and see the land of Canaan that I give to the sons of Israel as a possession.</w:t>
      </w:r>
    </w:p>
    <w:p>
      <w:r>
        <w:rPr>
          <w:b/>
        </w:rPr>
        <w:t xml:space="preserve">13 </w:t>
      </w:r>
      <w:r>
        <w:t xml:space="preserve">And you shall see it, and you too shall be added to your people, just as Aaron</w:t>
      </w:r>
      <w:r>
        <w:rPr>
          <w:rStyle w:val="FootnoteReference"/>
        </w:rPr>
        <w:footnoteReference w:id="3064"/>
      </w:r>
      <w:r>
        <w:t xml:space="preserve"> your brother was added on Mount Hor.</w:t>
      </w:r>
    </w:p>
    <w:p>
      <w:r>
        <w:rPr>
          <w:b/>
        </w:rPr>
        <w:t xml:space="preserve">14 </w:t>
      </w:r>
      <w:r>
        <w:t xml:space="preserve">Because you transgressed my word in the wilderness of Sin when the congregation fell against me. To sanctify me, you did not sanctify me over the water before them. This is the water of reviling</w:t>
      </w:r>
      <w:r>
        <w:rPr>
          <w:rStyle w:val="FootnoteReference"/>
        </w:rPr>
        <w:footnoteReference w:id="3065"/>
      </w:r>
      <w:r>
        <w:t xml:space="preserve"> at Kadesh in the wilderness of Sin.</w:t>
      </w:r>
    </w:p>
    <w:p>
      <w:r>
        <w:rPr>
          <w:b/>
        </w:rPr>
        <w:t xml:space="preserve">15 </w:t>
      </w:r>
      <w:r>
        <w:t xml:space="preserve">And Moses said to the Lord,</w:t>
      </w:r>
    </w:p>
    <w:p>
      <w:r>
        <w:rPr>
          <w:b/>
        </w:rPr>
        <w:t xml:space="preserve">16 </w:t>
      </w:r>
      <w:r>
        <w:t xml:space="preserve">Let the Lord</w:t>
      </w:r>
      <w:r>
        <w:rPr>
          <w:rStyle w:val="FootnoteReference"/>
        </w:rPr>
        <w:footnoteReference w:id="3066"/>
      </w:r>
      <w:r>
        <w:t xml:space="preserve">, the God of the spirits and of all flesh, appoint a man over this congregation,</w:t>
      </w:r>
    </w:p>
    <w:p>
      <w:r>
        <w:rPr>
          <w:b/>
        </w:rPr>
        <w:t xml:space="preserve">17 </w:t>
      </w:r>
      <w:r>
        <w:t xml:space="preserve">one who shall go out</w:t>
      </w:r>
      <w:r>
        <w:rPr>
          <w:rStyle w:val="FootnoteReference"/>
        </w:rPr>
        <w:footnoteReference w:id="3067"/>
      </w:r>
      <w:r>
        <w:t xml:space="preserve"> before their face and one who shall come in before their face, and one who shall bring them out and one who shall bring them in, and the congregation of the Lord shall not be like sheep that have no shepherd.</w:t>
      </w:r>
    </w:p>
    <w:p>
      <w:r>
        <w:rPr>
          <w:b/>
        </w:rPr>
        <w:t xml:space="preserve">18 </w:t>
      </w:r>
      <w:r>
        <w:t xml:space="preserve">And the Lord spoke to Moses, saying, Take to yourself Joshua son of Nun, a man</w:t>
      </w:r>
      <w:r>
        <w:rPr>
          <w:rStyle w:val="FootnoteReference"/>
        </w:rPr>
        <w:footnoteReference w:id="3068"/>
      </w:r>
      <w:r>
        <w:t xml:space="preserve"> who has spirit in himself, and you shall lay your hands upon him.</w:t>
      </w:r>
    </w:p>
    <w:p>
      <w:r>
        <w:rPr>
          <w:b/>
        </w:rPr>
        <w:t xml:space="preserve">19 </w:t>
      </w:r>
      <w:r>
        <w:t xml:space="preserve">And you shall set him before Eleazar the priest and command him before the whole congregation, and command concerning him before them.</w:t>
      </w:r>
    </w:p>
    <w:p>
      <w:r>
        <w:rPr>
          <w:b/>
        </w:rPr>
        <w:t xml:space="preserve">20 </w:t>
      </w:r>
      <w:r>
        <w:t xml:space="preserve">And you shall give some of your glory upon him, so that the sons of Israel may hear him.</w:t>
      </w:r>
    </w:p>
    <w:p>
      <w:r>
        <w:rPr>
          <w:b/>
        </w:rPr>
        <w:t xml:space="preserve">21 </w:t>
      </w:r>
      <w:r>
        <w:t xml:space="preserve">And he shall</w:t>
      </w:r>
      <w:r>
        <w:rPr>
          <w:rStyle w:val="FootnoteReference"/>
        </w:rPr>
        <w:footnoteReference w:id="3069"/>
      </w:r>
      <w:r>
        <w:t xml:space="preserve"> stand before Eleazar the priest, and they shall inquire for him the judgment of the Disclosures</w:t>
      </w:r>
      <w:r>
        <w:rPr>
          <w:rStyle w:val="FootnoteReference"/>
        </w:rPr>
        <w:footnoteReference w:id="3070"/>
      </w:r>
      <w:r>
        <w:t xml:space="preserve"> before the Lord. At his word they shall go out, and at his word they shall come in, he and the sons of Israel together and the whole congregation.</w:t>
      </w:r>
    </w:p>
    <w:p>
      <w:r>
        <w:rPr>
          <w:b/>
        </w:rPr>
        <w:t xml:space="preserve">22 </w:t>
      </w:r>
      <w:r>
        <w:t xml:space="preserve">And Moses did just as the Lord commanded him, and taking Joshua he set him before Eleazar the priest and before the whole congregation.</w:t>
      </w:r>
    </w:p>
    <w:p>
      <w:r>
        <w:rPr>
          <w:b/>
        </w:rPr>
        <w:t xml:space="preserve">23 </w:t>
      </w:r>
      <w:r>
        <w:t xml:space="preserve">And he laid his hands upon him and appointed him, just as the Lord commanded Moses.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And the Lord spoke to Moses, saying,</w:t>
      </w:r>
    </w:p>
    <w:p>
      <w:r>
        <w:rPr>
          <w:b/>
        </w:rPr>
        <w:t xml:space="preserve">2 </w:t>
      </w:r>
      <w:r>
        <w:t xml:space="preserve">Command the sons of Israel and say to them, saying: My gifts, my offerings, my fruit-gifts for an aroma of sweet fragrance, you shall keep to offer to me at my feasts.</w:t>
      </w:r>
    </w:p>
    <w:p>
      <w:r>
        <w:rPr>
          <w:b/>
        </w:rPr>
        <w:t xml:space="preserve">3 </w:t>
      </w:r>
      <w:r>
        <w:t xml:space="preserve">And you shall say to them, These are the fruit-gifts that you shall bring near to the Lord: two one-year lambs without blemish each day for a continual whole burnt offering.</w:t>
      </w:r>
    </w:p>
    <w:p>
      <w:r>
        <w:rPr>
          <w:b/>
        </w:rPr>
        <w:t xml:space="preserve">4 </w:t>
      </w:r>
      <w:r>
        <w:t xml:space="preserve">The one lamb you shall do</w:t>
      </w:r>
      <w:r>
        <w:rPr>
          <w:rStyle w:val="FootnoteReference"/>
        </w:rPr>
        <w:footnoteReference w:id="3071"/>
      </w:r>
      <w:r>
        <w:t xml:space="preserve"> in the morning, and the second lamb you shall do at evening.</w:t>
      </w:r>
    </w:p>
    <w:p>
      <w:r>
        <w:rPr>
          <w:b/>
        </w:rPr>
        <w:t xml:space="preserve">5 </w:t>
      </w:r>
      <w:r>
        <w:t xml:space="preserve">And you shall make a tenth of an ephah of fine flour for a sacrifice kneaded in oil, a fourth of a hin.</w:t>
      </w:r>
    </w:p>
    <w:p>
      <w:r>
        <w:rPr>
          <w:b/>
        </w:rPr>
        <w:t xml:space="preserve">6 </w:t>
      </w:r>
      <w:r>
        <w:t xml:space="preserve">It is a continual</w:t>
      </w:r>
      <w:r>
        <w:rPr>
          <w:rStyle w:val="FootnoteReference"/>
        </w:rPr>
        <w:footnoteReference w:id="3072"/>
      </w:r>
      <w:r>
        <w:t xml:space="preserve"> whole burnt offering made on Mount Sinai for an aroma of sweet fragrance to the Lord.</w:t>
      </w:r>
    </w:p>
    <w:p>
      <w:r>
        <w:rPr>
          <w:b/>
        </w:rPr>
        <w:t xml:space="preserve">7 </w:t>
      </w:r>
      <w:r>
        <w:t xml:space="preserve">And its libation, a fourth of a hin for the one lamb. In the holy</w:t>
      </w:r>
      <w:r>
        <w:rPr>
          <w:rStyle w:val="FootnoteReference"/>
        </w:rPr>
        <w:footnoteReference w:id="3073"/>
      </w:r>
      <w:r>
        <w:t xml:space="preserve"> place you shall pour out a libation of strong drink to the Lord.</w:t>
      </w:r>
    </w:p>
    <w:p>
      <w:r>
        <w:rPr>
          <w:b/>
        </w:rPr>
        <w:t xml:space="preserve">8 </w:t>
      </w:r>
      <w:r>
        <w:t xml:space="preserve">And the second lamb you shall do at evening. According to its sacrifice and according to its libation you shall do it for an aroma of sweet fragrance to the Lord.</w:t>
      </w:r>
    </w:p>
    <w:p>
      <w:r>
        <w:rPr>
          <w:b/>
        </w:rPr>
        <w:t xml:space="preserve">9 </w:t>
      </w:r>
      <w:r>
        <w:t xml:space="preserve">And on the day of the Sabbaths you shall bring two one-year lambs without blemish and two tenths of fine flour kneaded in oil for a sacrifice and a libation.</w:t>
      </w:r>
    </w:p>
    <w:p>
      <w:r>
        <w:rPr>
          <w:b/>
        </w:rPr>
        <w:t xml:space="preserve">10 </w:t>
      </w:r>
      <w:r>
        <w:t xml:space="preserve">A whole burnt offering of Sabbaths on the Sabbaths, besides the continual</w:t>
      </w:r>
      <w:r>
        <w:rPr>
          <w:rStyle w:val="FootnoteReference"/>
        </w:rPr>
        <w:footnoteReference w:id="3074"/>
      </w:r>
      <w:r>
        <w:t xml:space="preserve"> whole burnt offering and its libation.</w:t>
      </w:r>
    </w:p>
    <w:p>
      <w:r>
        <w:rPr>
          <w:b/>
        </w:rPr>
        <w:t xml:space="preserve">11 </w:t>
      </w:r>
      <w:r>
        <w:t xml:space="preserve">And at the new moons you shall bring whole burnt offerings to the Lord: two young</w:t>
      </w:r>
      <w:r>
        <w:rPr>
          <w:rStyle w:val="FootnoteReference"/>
        </w:rPr>
        <w:footnoteReference w:id="3075"/>
      </w:r>
      <w:r>
        <w:t xml:space="preserve"> bulls from the cattle and one ram, seven one-year lambs without blemish,</w:t>
      </w:r>
    </w:p>
    <w:p>
      <w:r>
        <w:rPr>
          <w:b/>
        </w:rPr>
        <w:t xml:space="preserve">12 </w:t>
      </w:r>
      <w:r>
        <w:t xml:space="preserve">three tenths of fine flour kneaded in oil for the one bull and two tenths of fine flour kneaded in oil for the one ram,</w:t>
      </w:r>
    </w:p>
    <w:p>
      <w:r>
        <w:rPr>
          <w:b/>
        </w:rPr>
        <w:t xml:space="preserve">13 </w:t>
      </w:r>
      <w:r>
        <w:t xml:space="preserve">a tenth of fine flour kneaded in oil for the one lamb, a sacrifice, an aroma of sweet fragrance, a fruit-gift to the Lord.</w:t>
      </w:r>
    </w:p>
    <w:p>
      <w:r>
        <w:rPr>
          <w:b/>
        </w:rPr>
        <w:t xml:space="preserve">14 </w:t>
      </w:r>
      <w:r>
        <w:t xml:space="preserve">And their libation shall be half a hin for the one bull and a third of a hin for the one ram and a fourth of a hin of wine for the one lamb. This is the whole burnt offering of the month by month throughout the months of the year.</w:t>
      </w:r>
    </w:p>
    <w:p>
      <w:r>
        <w:rPr>
          <w:b/>
        </w:rPr>
        <w:t xml:space="preserve">15 </w:t>
      </w:r>
      <w:r>
        <w:t xml:space="preserve">And one kid</w:t>
      </w:r>
      <w:r>
        <w:rPr>
          <w:rStyle w:val="FootnoteReference"/>
        </w:rPr>
        <w:footnoteReference w:id="3076"/>
      </w:r>
      <w:r>
        <w:t xml:space="preserve"> from the goats for a sin offering to the Lord; besides the continual whole burnt offering it shall be made, and its libation.</w:t>
      </w:r>
    </w:p>
    <w:p>
      <w:r>
        <w:rPr>
          <w:b/>
        </w:rPr>
        <w:t xml:space="preserve">16 </w:t>
      </w:r>
      <w:r>
        <w:t xml:space="preserve">And in the first month, on the fourteenth day of the month, Passover to the Lord.</w:t>
      </w:r>
    </w:p>
    <w:p>
      <w:r>
        <w:rPr>
          <w:b/>
        </w:rPr>
        <w:t xml:space="preserve">17 </w:t>
      </w:r>
      <w:r>
        <w:t xml:space="preserve">And on the fifteenth day of this month, a feast. Seven days you shall eat unleavened bread.</w:t>
      </w:r>
    </w:p>
    <w:p>
      <w:r>
        <w:rPr>
          <w:b/>
        </w:rPr>
        <w:t xml:space="preserve">18 </w:t>
      </w:r>
      <w:r>
        <w:t xml:space="preserve">And the first day shall be a called holy day for you. You shall do no service-work.</w:t>
      </w:r>
    </w:p>
    <w:p>
      <w:r>
        <w:rPr>
          <w:b/>
        </w:rPr>
        <w:t xml:space="preserve">19 </w:t>
      </w:r>
      <w:r>
        <w:t xml:space="preserve">And you shall bring whole burnt offerings, fruit-gifts to the Lord: two young</w:t>
      </w:r>
      <w:r>
        <w:rPr>
          <w:rStyle w:val="FootnoteReference"/>
        </w:rPr>
        <w:footnoteReference w:id="3077"/>
      </w:r>
      <w:r>
        <w:t xml:space="preserve"> bulls from the cattle, one ram, seven one-year lambs. They shall be without blemish for you.</w:t>
      </w:r>
    </w:p>
    <w:p>
      <w:r>
        <w:rPr>
          <w:b/>
        </w:rPr>
        <w:t xml:space="preserve">20 </w:t>
      </w:r>
      <w:r>
        <w:t xml:space="preserve">And their sacrifice shall be fine flour kneaded in oil, three tenths for the one bull and two tenths for the one ram.</w:t>
      </w:r>
    </w:p>
    <w:p>
      <w:r>
        <w:rPr>
          <w:b/>
        </w:rPr>
        <w:t xml:space="preserve">21 </w:t>
      </w:r>
      <w:r>
        <w:t xml:space="preserve">A tenth by a tenth you shall do for the one lamb, for the seven lambs.</w:t>
      </w:r>
    </w:p>
    <w:p>
      <w:r>
        <w:rPr>
          <w:b/>
        </w:rPr>
        <w:t xml:space="preserve">22 </w:t>
      </w:r>
      <w:r>
        <w:t xml:space="preserve">And one kid from the goats for a sin offering, to make atonement for you.</w:t>
      </w:r>
    </w:p>
    <w:p>
      <w:r>
        <w:rPr>
          <w:b/>
        </w:rPr>
        <w:t xml:space="preserve">23 </w:t>
      </w:r>
      <w:r>
        <w:t xml:space="preserve">Besides the continual morning whole burnt offering, which is a continual whole burnt offering.</w:t>
      </w:r>
    </w:p>
    <w:p>
      <w:r>
        <w:rPr>
          <w:b/>
        </w:rPr>
        <w:t xml:space="preserve">24 </w:t>
      </w:r>
      <w:r>
        <w:t xml:space="preserve">So shall you do these things day by day for the seven days, a gift, a fruit-gift</w:t>
      </w:r>
      <w:r>
        <w:rPr>
          <w:rStyle w:val="FootnoteReference"/>
        </w:rPr>
        <w:footnoteReference w:id="3078"/>
      </w:r>
      <w:r>
        <w:t xml:space="preserve"> for an aroma of sweet fragrance to the Lord. Besides the continual whole burnt offering you shall do it and its libation.</w:t>
      </w:r>
    </w:p>
    <w:p>
      <w:r>
        <w:rPr>
          <w:b/>
        </w:rPr>
        <w:t xml:space="preserve">25 </w:t>
      </w:r>
      <w:r>
        <w:t xml:space="preserve">And the seventh day shall be a called holy day for you. You shall do no service-work on it.</w:t>
      </w:r>
    </w:p>
    <w:p>
      <w:r>
        <w:rPr>
          <w:b/>
        </w:rPr>
        <w:t xml:space="preserve">26 </w:t>
      </w:r>
      <w:r>
        <w:t xml:space="preserve">And on the day of the new things, when you offer a new sacrifice to the Lord in the Feast of Weeks, it shall be a called holy day for you. You shall do no service-work.</w:t>
      </w:r>
    </w:p>
    <w:p>
      <w:r>
        <w:rPr>
          <w:b/>
        </w:rPr>
        <w:t xml:space="preserve">27 </w:t>
      </w:r>
      <w:r>
        <w:t xml:space="preserve">And you shall bring whole burnt offerings for an aroma of sweet fragrance to the Lord: two young</w:t>
      </w:r>
      <w:r>
        <w:rPr>
          <w:rStyle w:val="FootnoteReference"/>
        </w:rPr>
        <w:footnoteReference w:id="3079"/>
      </w:r>
      <w:r>
        <w:t xml:space="preserve"> bulls from the cattle, one ram, seven one-year lambs without blemish,</w:t>
      </w:r>
    </w:p>
    <w:p>
      <w:r>
        <w:rPr>
          <w:b/>
        </w:rPr>
        <w:t xml:space="preserve">28 </w:t>
      </w:r>
      <w:r>
        <w:t xml:space="preserve">their sacrifice being fine flour kneaded in oil, three tenths for the one bull and two tenths for the one ram,</w:t>
      </w:r>
    </w:p>
    <w:p>
      <w:r>
        <w:rPr>
          <w:b/>
        </w:rPr>
        <w:t xml:space="preserve">29 </w:t>
      </w:r>
      <w:r>
        <w:t xml:space="preserve">a tenth by a tenth for the one lamb, for the seven lambs,</w:t>
      </w:r>
    </w:p>
    <w:p>
      <w:r>
        <w:rPr>
          <w:b/>
        </w:rPr>
        <w:t xml:space="preserve">30 </w:t>
      </w:r>
      <w:r>
        <w:t xml:space="preserve">and one kid from the goats for a sin offering, to make atonement for you</w:t>
      </w:r>
      <w:r>
        <w:rPr>
          <w:rStyle w:val="FootnoteReference"/>
        </w:rPr>
        <w:footnoteReference w:id="3080"/>
      </w:r>
      <w:r>
        <w:t xml:space="preserve">.</w:t>
      </w:r>
    </w:p>
    <w:p>
      <w:r>
        <w:rPr>
          <w:b/>
        </w:rPr>
        <w:t xml:space="preserve">31 </w:t>
      </w:r>
      <w:r>
        <w:t xml:space="preserve">Besides the continual whole burnt offering and their sacrifice you shall do them for me. They shall be without blemish</w:t>
      </w:r>
      <w:r>
        <w:rPr>
          <w:rStyle w:val="FootnoteReference"/>
        </w:rPr>
        <w:footnoteReference w:id="3081"/>
      </w:r>
      <w:r>
        <w:t xml:space="preserve"> for you, and their libations.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And in the seventh</w:t>
      </w:r>
      <w:r>
        <w:rPr>
          <w:rStyle w:val="FootnoteReference"/>
        </w:rPr>
        <w:footnoteReference w:id="3082"/>
      </w:r>
      <w:r>
        <w:t xml:space="preserve"> month, on the first day of the month, it shall be a called holy day for you. You shall do no service-work. It shall be a day of signal for you.</w:t>
      </w:r>
    </w:p>
    <w:p>
      <w:r>
        <w:rPr>
          <w:b/>
        </w:rPr>
        <w:t xml:space="preserve">2 </w:t>
      </w:r>
      <w:r>
        <w:t xml:space="preserve">And you shall make whole burnt offerings for an aroma of sweet fragrance to the Lord: one bull from the cattle, one ram, seven one-year lambs without blemish,</w:t>
      </w:r>
    </w:p>
    <w:p>
      <w:r>
        <w:rPr>
          <w:b/>
        </w:rPr>
        <w:t xml:space="preserve">3 </w:t>
      </w:r>
      <w:r>
        <w:t xml:space="preserve">their sacrifice being fine flour kneaded in oil, three tenths for the one bull and two tenths for the one ram,</w:t>
      </w:r>
    </w:p>
    <w:p>
      <w:r>
        <w:rPr>
          <w:b/>
        </w:rPr>
        <w:t xml:space="preserve">4 </w:t>
      </w:r>
      <w:r>
        <w:t xml:space="preserve">a tenth by a tenth for the one lamb, for the seven lambs,</w:t>
      </w:r>
    </w:p>
    <w:p>
      <w:r>
        <w:rPr>
          <w:b/>
        </w:rPr>
        <w:t xml:space="preserve">5 </w:t>
      </w:r>
      <w:r>
        <w:t xml:space="preserve">and one kid from the goats for a sin offering, to make atonement for you,</w:t>
      </w:r>
    </w:p>
    <w:p>
      <w:r>
        <w:rPr>
          <w:b/>
        </w:rPr>
        <w:t xml:space="preserve">6 </w:t>
      </w:r>
      <w:r>
        <w:t xml:space="preserve">besides the whole burnt offerings of the new moon and their sacrifices and their libations, and the continual whole burnt offering and their sacrifices and their libations, according to their reckoning</w:t>
      </w:r>
      <w:r>
        <w:rPr>
          <w:rStyle w:val="FootnoteReference"/>
        </w:rPr>
        <w:footnoteReference w:id="3083"/>
      </w:r>
      <w:r>
        <w:t xml:space="preserve">, for an aroma of sweet fragrance to the Lord.</w:t>
      </w:r>
    </w:p>
    <w:p>
      <w:r>
        <w:rPr>
          <w:b/>
        </w:rPr>
        <w:t xml:space="preserve">7 </w:t>
      </w:r>
      <w:r>
        <w:t xml:space="preserve">And on the tenth</w:t>
      </w:r>
      <w:r>
        <w:rPr>
          <w:rStyle w:val="FootnoteReference"/>
        </w:rPr>
        <w:footnoteReference w:id="3084"/>
      </w:r>
      <w:r>
        <w:t xml:space="preserve"> of this month, it shall be a called holy day for you, and you shall afflict your souls, and you shall do no work.</w:t>
      </w:r>
    </w:p>
    <w:p>
      <w:r>
        <w:rPr>
          <w:b/>
        </w:rPr>
        <w:t xml:space="preserve">8 </w:t>
      </w:r>
      <w:r>
        <w:t xml:space="preserve">And you shall offer whole burnt offerings for an aroma of sweet fragrance, fruit-gifts to the Lord: one bull from the cattle, one ram, seven one-year lambs. They shall be without blemish</w:t>
      </w:r>
      <w:r>
        <w:rPr>
          <w:rStyle w:val="FootnoteReference"/>
        </w:rPr>
        <w:footnoteReference w:id="3085"/>
      </w:r>
      <w:r>
        <w:t xml:space="preserve"> for you.</w:t>
      </w:r>
    </w:p>
    <w:p>
      <w:r>
        <w:rPr>
          <w:b/>
        </w:rPr>
        <w:t xml:space="preserve">9 </w:t>
      </w:r>
      <w:r>
        <w:t xml:space="preserve">their sacrifice being fine flour kneaded in oil, three tenths for the one bull and two tenths for the one ram,</w:t>
      </w:r>
    </w:p>
    <w:p>
      <w:r>
        <w:rPr>
          <w:b/>
        </w:rPr>
        <w:t xml:space="preserve">10 </w:t>
      </w:r>
      <w:r>
        <w:t xml:space="preserve">a tenth by a tenth for the one lamb, for the seven lambs,</w:t>
      </w:r>
    </w:p>
    <w:p>
      <w:r>
        <w:rPr>
          <w:b/>
        </w:rPr>
        <w:t xml:space="preserve">11 </w:t>
      </w:r>
      <w:r>
        <w:t xml:space="preserve">and one kid from the goats for a sin offering, to make atonement for you, besides the sin offering of atonement and the continual</w:t>
      </w:r>
      <w:r>
        <w:rPr>
          <w:rStyle w:val="FootnoteReference"/>
        </w:rPr>
        <w:footnoteReference w:id="3086"/>
      </w:r>
      <w:r>
        <w:t xml:space="preserve"> whole burnt offering and its sacrifice and its libation, according to the reckoning, for an aroma of sweet fragrance, a fruit-gift to the Lord.</w:t>
      </w:r>
    </w:p>
    <w:p>
      <w:r>
        <w:rPr>
          <w:b/>
        </w:rPr>
        <w:t xml:space="preserve">12 </w:t>
      </w:r>
      <w:r>
        <w:t xml:space="preserve">And on the fifteenth day</w:t>
      </w:r>
      <w:r>
        <w:rPr>
          <w:rStyle w:val="FootnoteReference"/>
        </w:rPr>
        <w:footnoteReference w:id="3087"/>
      </w:r>
      <w:r>
        <w:t xml:space="preserve"> of this seventh month it shall be a called holy day for you. You shall do no service-work, and you shall celebrate it as a feast to the Lord seven days.</w:t>
      </w:r>
    </w:p>
    <w:p>
      <w:r>
        <w:rPr>
          <w:b/>
        </w:rPr>
        <w:t xml:space="preserve">13 </w:t>
      </w:r>
      <w:r>
        <w:t xml:space="preserve">And you shall bring whole burnt offerings, fruit-gifts</w:t>
      </w:r>
      <w:r>
        <w:rPr>
          <w:rStyle w:val="FootnoteReference"/>
        </w:rPr>
        <w:footnoteReference w:id="3088"/>
      </w:r>
      <w:r>
        <w:t xml:space="preserve"> for an aroma of sweet fragrance to the Lord: on the first day, thirteen bulls from the cattle, two rams, fourteen one-year lambs. They shall be without blemish.</w:t>
      </w:r>
    </w:p>
    <w:p>
      <w:r>
        <w:rPr>
          <w:b/>
        </w:rPr>
        <w:t xml:space="preserve">14 </w:t>
      </w:r>
      <w:r>
        <w:t xml:space="preserve">Their sacrifices shall be fine flour kneaded in oil, three tenths for the one bull, for the thirteen bulls, and two tenths for the one ram, for the two rams,</w:t>
      </w:r>
    </w:p>
    <w:p>
      <w:r>
        <w:rPr>
          <w:b/>
        </w:rPr>
        <w:t xml:space="preserve">15 </w:t>
      </w:r>
      <w:r>
        <w:t xml:space="preserve">a tenth by a tenth for the one lamb, for the fourteen lambs,</w:t>
      </w:r>
    </w:p>
    <w:p>
      <w:r>
        <w:rPr>
          <w:b/>
        </w:rPr>
        <w:t xml:space="preserve">16 </w:t>
      </w:r>
      <w:r>
        <w:t xml:space="preserve">and one kid from the goats for a sin offering, besides the continual whole burnt offering, their sacrifices, and their libations.</w:t>
      </w:r>
    </w:p>
    <w:p>
      <w:r>
        <w:rPr>
          <w:b/>
        </w:rPr>
        <w:t xml:space="preserve">17 </w:t>
      </w:r>
      <w:r>
        <w:t xml:space="preserve">And on the second day, twelve bulls, two rams, fourteen one-year lambs without blemish,</w:t>
      </w:r>
    </w:p>
    <w:p>
      <w:r>
        <w:rPr>
          <w:b/>
        </w:rPr>
        <w:t xml:space="preserve">18 </w:t>
      </w:r>
      <w:r>
        <w:t xml:space="preserve">their sacrifices and their libations for the bulls and for the rams and for the lambs, according to their number, according to their reckoning,</w:t>
      </w:r>
    </w:p>
    <w:p>
      <w:r>
        <w:rPr>
          <w:b/>
        </w:rPr>
        <w:t xml:space="preserve">19 </w:t>
      </w:r>
      <w:r>
        <w:t xml:space="preserve">and one kid from the goats for a sin offering, besides the continual whole burnt offering, their sacrifices, and their libations.</w:t>
      </w:r>
    </w:p>
    <w:p>
      <w:r>
        <w:rPr>
          <w:b/>
        </w:rPr>
        <w:t xml:space="preserve">20 </w:t>
      </w:r>
      <w:r>
        <w:t xml:space="preserve">On the third day, eleven bulls, two rams, fourteen one-year lambs without blemish,</w:t>
      </w:r>
    </w:p>
    <w:p>
      <w:r>
        <w:rPr>
          <w:b/>
        </w:rPr>
        <w:t xml:space="preserve">21 </w:t>
      </w:r>
      <w:r>
        <w:t xml:space="preserve">their sacrifices and their libations for the bulls and for the rams and for the lambs, according to their number, according to their reckoning,</w:t>
      </w:r>
    </w:p>
    <w:p>
      <w:r>
        <w:rPr>
          <w:b/>
        </w:rPr>
        <w:t xml:space="preserve">22 </w:t>
      </w:r>
      <w:r>
        <w:t xml:space="preserve">and one kid from the goats for a sin offering, besides the continual whole burnt offering, their sacrifices, and their libations.</w:t>
      </w:r>
    </w:p>
    <w:p>
      <w:r>
        <w:rPr>
          <w:b/>
        </w:rPr>
        <w:t xml:space="preserve">23 </w:t>
      </w:r>
      <w:r>
        <w:t xml:space="preserve">On the fourth day, ten bulls, two rams, fourteen one-year lambs without blemish,</w:t>
      </w:r>
    </w:p>
    <w:p>
      <w:r>
        <w:rPr>
          <w:b/>
        </w:rPr>
        <w:t xml:space="preserve">24 </w:t>
      </w:r>
      <w:r>
        <w:t xml:space="preserve">their sacrifices and their libations for the bulls and for the rams and for the lambs, according to their number, according to their reckoning,</w:t>
      </w:r>
    </w:p>
    <w:p>
      <w:r>
        <w:rPr>
          <w:b/>
        </w:rPr>
        <w:t xml:space="preserve">25 </w:t>
      </w:r>
      <w:r>
        <w:t xml:space="preserve">and one kid from the goats for a sin offering, besides the continual whole burnt offering, their sacrifices, and their libations.</w:t>
      </w:r>
    </w:p>
    <w:p>
      <w:r>
        <w:rPr>
          <w:b/>
        </w:rPr>
        <w:t xml:space="preserve">26 </w:t>
      </w:r>
      <w:r>
        <w:t xml:space="preserve">On the fifth day, nine bulls, two rams, fourteen one-year lambs without blemish,</w:t>
      </w:r>
    </w:p>
    <w:p>
      <w:r>
        <w:rPr>
          <w:b/>
        </w:rPr>
        <w:t xml:space="preserve">27 </w:t>
      </w:r>
      <w:r>
        <w:t xml:space="preserve">their sacrifices and their libations for the bulls and for the rams and for the lambs, according to their number, according to their reckoning,</w:t>
      </w:r>
    </w:p>
    <w:p>
      <w:r>
        <w:rPr>
          <w:b/>
        </w:rPr>
        <w:t xml:space="preserve">28 </w:t>
      </w:r>
      <w:r>
        <w:t xml:space="preserve">and one kid from the goats for a sin offering, besides the continual whole burnt offering, their sacrifices, and their libations.</w:t>
      </w:r>
    </w:p>
    <w:p>
      <w:r>
        <w:rPr>
          <w:b/>
        </w:rPr>
        <w:t xml:space="preserve">29 </w:t>
      </w:r>
      <w:r>
        <w:t xml:space="preserve">On the sixth day, eight bulls, two rams, fourteen one-year lambs without blemish,</w:t>
      </w:r>
    </w:p>
    <w:p>
      <w:r>
        <w:rPr>
          <w:b/>
        </w:rPr>
        <w:t xml:space="preserve">30 </w:t>
      </w:r>
      <w:r>
        <w:t xml:space="preserve">their sacrifices and their libations for the bulls and for the rams and for the lambs, according to their number, according to their reckoning,</w:t>
      </w:r>
    </w:p>
    <w:p>
      <w:r>
        <w:rPr>
          <w:b/>
        </w:rPr>
        <w:t xml:space="preserve">31 </w:t>
      </w:r>
      <w:r>
        <w:t xml:space="preserve">and one kid from the goats for a sin offering, besides the continual whole burnt offering, their sacrifices, and their libations.</w:t>
      </w:r>
    </w:p>
    <w:p>
      <w:r>
        <w:rPr>
          <w:b/>
        </w:rPr>
        <w:t xml:space="preserve">32 </w:t>
      </w:r>
      <w:r>
        <w:t xml:space="preserve">On the seventh day, seven bulls, two rams, fourteen one-year lambs without blemish,</w:t>
      </w:r>
    </w:p>
    <w:p>
      <w:r>
        <w:rPr>
          <w:b/>
        </w:rPr>
        <w:t xml:space="preserve">33 </w:t>
      </w:r>
      <w:r>
        <w:t xml:space="preserve">their sacrifices and their libations for the bulls and for the rams and for the lambs, according to their number, according to their reckoning,</w:t>
      </w:r>
    </w:p>
    <w:p>
      <w:r>
        <w:rPr>
          <w:b/>
        </w:rPr>
        <w:t xml:space="preserve">34 </w:t>
      </w:r>
      <w:r>
        <w:t xml:space="preserve">and one kid from the goats for a sin offering, besides the continual whole burnt offering, their sacrifices, and their libations.</w:t>
      </w:r>
    </w:p>
    <w:p>
      <w:r>
        <w:rPr>
          <w:b/>
        </w:rPr>
        <w:t xml:space="preserve">35 </w:t>
      </w:r>
      <w:r>
        <w:t xml:space="preserve">And on the eighth day</w:t>
      </w:r>
      <w:r>
        <w:rPr>
          <w:rStyle w:val="FootnoteReference"/>
        </w:rPr>
        <w:footnoteReference w:id="3089"/>
      </w:r>
      <w:r>
        <w:t xml:space="preserve"> there shall be a dismissal for you. You shall do no service-work on it.</w:t>
      </w:r>
    </w:p>
    <w:p>
      <w:r>
        <w:rPr>
          <w:b/>
        </w:rPr>
        <w:t xml:space="preserve">36 </w:t>
      </w:r>
      <w:r>
        <w:t xml:space="preserve">And you shall bring whole burnt offerings for an aroma of sweet fragrance, fruit-gifts to the Lord: one bull, one ram, seven one-year lambs without blemish,</w:t>
      </w:r>
    </w:p>
    <w:p>
      <w:r>
        <w:rPr>
          <w:b/>
        </w:rPr>
        <w:t xml:space="preserve">37 </w:t>
      </w:r>
      <w:r>
        <w:t xml:space="preserve">their sacrifices and their libations for the bull and for the ram and for the lambs, according to their number, according to their reckoning,</w:t>
      </w:r>
    </w:p>
    <w:p>
      <w:r>
        <w:rPr>
          <w:b/>
        </w:rPr>
        <w:t xml:space="preserve">38 </w:t>
      </w:r>
      <w:r>
        <w:t xml:space="preserve">and one kid from the goats for a sin offering, besides the continual whole burnt offering, their sacrifices, and their libations.</w:t>
      </w:r>
    </w:p>
    <w:p>
      <w:r>
        <w:rPr>
          <w:b/>
        </w:rPr>
        <w:t xml:space="preserve">39 </w:t>
      </w:r>
      <w:r>
        <w:t xml:space="preserve">These things you shall do for the Lord at your feasts, besides your vows and your voluntary offerings and your whole burnt offerings and your sacrifices and your libations and your offerings of salvation.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And Moses spoke to the sons of Israel according to all that the Lord commanded Moses.</w:t>
      </w:r>
    </w:p>
    <w:p>
      <w:r>
        <w:rPr>
          <w:b/>
        </w:rPr>
        <w:t xml:space="preserve">2 </w:t>
      </w:r>
      <w:r>
        <w:t xml:space="preserve">And Moses spoke to the leaders of the tribes of Israel, saying, This is the word</w:t>
      </w:r>
      <w:r>
        <w:rPr>
          <w:rStyle w:val="FootnoteReference"/>
        </w:rPr>
        <w:footnoteReference w:id="3090"/>
      </w:r>
      <w:r>
        <w:t xml:space="preserve"> that the Lord commanded.</w:t>
      </w:r>
    </w:p>
    <w:p>
      <w:r>
        <w:rPr>
          <w:b/>
        </w:rPr>
        <w:t xml:space="preserve">3 </w:t>
      </w:r>
      <w:r>
        <w:t xml:space="preserve">Man by man, whoever vows a vow to the Lord or swears an oath or binds himself with a binding over his life, he shall not profane his word. Everything that goes out from his mouth he shall do.</w:t>
      </w:r>
    </w:p>
    <w:p>
      <w:r>
        <w:rPr>
          <w:b/>
        </w:rPr>
        <w:t xml:space="preserve">4 </w:t>
      </w:r>
      <w:r>
        <w:t xml:space="preserve">But if a woman vows a vow to the Lord or binds a binding in the house of her father in her youth,</w:t>
      </w:r>
      <w:r>
        <w:rPr>
          <w:rStyle w:val="FootnoteReference"/>
        </w:rPr>
        <w:footnoteReference w:id="3091"/>
      </w:r>
    </w:p>
    <w:p>
      <w:r>
        <w:rPr>
          <w:b/>
        </w:rPr>
        <w:t xml:space="preserve">5 </w:t>
      </w:r>
      <w:r>
        <w:t xml:space="preserve">and her father hears her vows and her bindings which she bound against her life and her father keeps silent to her, then all her vows shall stand</w:t>
      </w:r>
      <w:r>
        <w:rPr>
          <w:rStyle w:val="FootnoteReference"/>
        </w:rPr>
        <w:footnoteReference w:id="3092"/>
      </w:r>
      <w:r>
        <w:t xml:space="preserve">, and all the bindings which she bound against her life shall remain for her.</w:t>
      </w:r>
    </w:p>
    <w:p>
      <w:r>
        <w:rPr>
          <w:b/>
        </w:rPr>
        <w:t xml:space="preserve">6 </w:t>
      </w:r>
      <w:r>
        <w:t xml:space="preserve">But if her father by refusal refuses</w:t>
      </w:r>
      <w:r>
        <w:rPr>
          <w:rStyle w:val="FootnoteReference"/>
        </w:rPr>
        <w:footnoteReference w:id="3093"/>
      </w:r>
      <w:r>
        <w:t xml:space="preserve"> her on the day he hears all her vows and the bindings which she bound against her life, they shall not stand, and the Lord will clear her, because her father refused her.</w:t>
      </w:r>
    </w:p>
    <w:p>
      <w:r>
        <w:rPr>
          <w:b/>
        </w:rPr>
        <w:t xml:space="preserve">7 </w:t>
      </w:r>
      <w:r>
        <w:t xml:space="preserve">And if, having become, she becomes to a man, and her vows are upon her according to the utterance of her lips, which she bound against her life,</w:t>
      </w:r>
    </w:p>
    <w:p>
      <w:r>
        <w:rPr>
          <w:b/>
        </w:rPr>
        <w:t xml:space="preserve">8 </w:t>
      </w:r>
      <w:r>
        <w:t xml:space="preserve">and her husband hears and keeps silent to her</w:t>
      </w:r>
      <w:r>
        <w:rPr>
          <w:rStyle w:val="FootnoteReference"/>
        </w:rPr>
        <w:footnoteReference w:id="3094"/>
      </w:r>
      <w:r>
        <w:t xml:space="preserve"> on the day he hears, then all her vows shall stand, and her bindings which she bound against her life shall stand.</w:t>
      </w:r>
    </w:p>
    <w:p>
      <w:r>
        <w:rPr>
          <w:b/>
        </w:rPr>
        <w:t xml:space="preserve">9 </w:t>
      </w:r>
      <w:r>
        <w:t xml:space="preserve">But if her husband by refusal refuses her on the day he hears, all her vows and her bindings which she bound against her life shall not remain, because her husband refused them from her, and the Lord will clear her.</w:t>
      </w:r>
      <w:r>
        <w:rPr>
          <w:rStyle w:val="FootnoteReference"/>
        </w:rPr>
        <w:footnoteReference w:id="3095"/>
      </w:r>
    </w:p>
    <w:p>
      <w:r>
        <w:rPr>
          <w:b/>
        </w:rPr>
        <w:t xml:space="preserve">10 </w:t>
      </w:r>
      <w:r>
        <w:t xml:space="preserve">And the vow of a widow or of one cast out, whatever she vows against her life, shall remain for her.</w:t>
      </w:r>
    </w:p>
    <w:p>
      <w:r>
        <w:rPr>
          <w:b/>
        </w:rPr>
        <w:t xml:space="preserve">11 </w:t>
      </w:r>
      <w:r>
        <w:t xml:space="preserve">But if in the house of her husband her vow or the binding against her life is with an oath,</w:t>
      </w:r>
    </w:p>
    <w:p>
      <w:r>
        <w:rPr>
          <w:b/>
        </w:rPr>
        <w:t xml:space="preserve">12 </w:t>
      </w:r>
      <w:r>
        <w:t xml:space="preserve">and her husband hears and keeps silent to her and does not refuse her, then all her vows shall stand, and all her bindings which she bound against her life shall stand against her.</w:t>
      </w:r>
      <w:r>
        <w:rPr>
          <w:rStyle w:val="FootnoteReference"/>
        </w:rPr>
        <w:footnoteReference w:id="3096"/>
      </w:r>
    </w:p>
    <w:p>
      <w:r>
        <w:rPr>
          <w:b/>
        </w:rPr>
        <w:t xml:space="preserve">13 </w:t>
      </w:r>
      <w:r>
        <w:t xml:space="preserve">But if her husband removes them</w:t>
      </w:r>
      <w:r>
        <w:rPr>
          <w:rStyle w:val="FootnoteReference"/>
        </w:rPr>
        <w:footnoteReference w:id="3097"/>
      </w:r>
      <w:r>
        <w:t xml:space="preserve"> when he hears, everything that has gone out from her lips according to her vows and according to the bindings against her life shall not remain for her. Her husband removed them, and the Lord will clear her.</w:t>
      </w:r>
    </w:p>
    <w:p>
      <w:r>
        <w:rPr>
          <w:b/>
        </w:rPr>
        <w:t xml:space="preserve">14 </w:t>
      </w:r>
      <w:r>
        <w:t xml:space="preserve">Every vow and every binding oath to afflict a life, her husband shall establish it for her</w:t>
      </w:r>
      <w:r>
        <w:rPr>
          <w:rStyle w:val="FootnoteReference"/>
        </w:rPr>
        <w:footnoteReference w:id="3098"/>
      </w:r>
      <w:r>
        <w:t xml:space="preserve">, and her husband shall remove it.</w:t>
      </w:r>
    </w:p>
    <w:p>
      <w:r>
        <w:rPr>
          <w:b/>
        </w:rPr>
        <w:t xml:space="preserve">15 </w:t>
      </w:r>
      <w:r>
        <w:t xml:space="preserve">But if her husband keeps silent to her day after day, he shall establish all her vows and the bindings upon her. He shall establish them for her, because he kept silent to her on the day he heard.</w:t>
      </w:r>
    </w:p>
    <w:p>
      <w:r>
        <w:rPr>
          <w:b/>
        </w:rPr>
        <w:t xml:space="preserve">16 </w:t>
      </w:r>
      <w:r>
        <w:t xml:space="preserve">But if he removes them after the day he heard, he shall bear his sin.</w:t>
      </w:r>
      <w:r>
        <w:rPr>
          <w:rStyle w:val="FootnoteReference"/>
        </w:rPr>
        <w:footnoteReference w:id="3099"/>
      </w:r>
      <w:r>
        <w:t xml:space="preserve"/>
      </w:r>
    </w:p>
    <w:p>
      <w:r>
        <w:rPr>
          <w:b/>
        </w:rPr>
        <w:t xml:space="preserve">17 </w:t>
      </w:r>
      <w:r>
        <w:t xml:space="preserve">These are the ordinances that the Lord commanded Moses between a man and his wife and between a father and daughter in youth in the house of her father.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And the Lord spoke to Moses, saying,</w:t>
      </w:r>
    </w:p>
    <w:p>
      <w:r>
        <w:rPr>
          <w:b/>
        </w:rPr>
        <w:t xml:space="preserve">2 </w:t>
      </w:r>
      <w:r>
        <w:t xml:space="preserve">Avenge</w:t>
      </w:r>
      <w:r>
        <w:rPr>
          <w:rStyle w:val="FootnoteReference"/>
        </w:rPr>
        <w:footnoteReference w:id="3100"/>
      </w:r>
      <w:r>
        <w:t xml:space="preserve"> the vengeance of the sons of Israel on the Midianites, and at the end you shall be added to your people.</w:t>
      </w:r>
    </w:p>
    <w:p>
      <w:r>
        <w:rPr>
          <w:b/>
        </w:rPr>
        <w:t xml:space="preserve">3 </w:t>
      </w:r>
      <w:r>
        <w:t xml:space="preserve">And Moses spoke to the people, saying, Arm men from among you to array for battle before the Lord against Midian, to return vengeance from the Lord upon Midian.</w:t>
      </w:r>
    </w:p>
    <w:p>
      <w:r>
        <w:rPr>
          <w:b/>
        </w:rPr>
        <w:t xml:space="preserve">4 </w:t>
      </w:r>
      <w:r>
        <w:t xml:space="preserve">A thousand</w:t>
      </w:r>
      <w:r>
        <w:rPr>
          <w:rStyle w:val="FootnoteReference"/>
        </w:rPr>
        <w:footnoteReference w:id="3101"/>
      </w:r>
      <w:r>
        <w:t xml:space="preserve"> from a tribe, a thousand from a tribe, from all the tribes of Israel, send out to array for battle.</w:t>
      </w:r>
    </w:p>
    <w:p>
      <w:r>
        <w:rPr>
          <w:b/>
        </w:rPr>
        <w:t xml:space="preserve">5 </w:t>
      </w:r>
      <w:r>
        <w:t xml:space="preserve">And they were counted from the thousands of Israel, a thousand from a tribe, twelve thousand armed for battle.</w:t>
      </w:r>
    </w:p>
    <w:p>
      <w:r>
        <w:rPr>
          <w:b/>
        </w:rPr>
        <w:t xml:space="preserve">6 </w:t>
      </w:r>
      <w:r>
        <w:t xml:space="preserve">And Moses sent them, a thousand from a tribe, a thousand from a tribe, with their force, and Phinehas</w:t>
      </w:r>
      <w:r>
        <w:rPr>
          <w:rStyle w:val="FootnoteReference"/>
        </w:rPr>
        <w:footnoteReference w:id="3102"/>
      </w:r>
      <w:r>
        <w:t xml:space="preserve"> son of Eleazar son of Aaron the priest, and the holy vessels and the trumpets of the signals in their hands.</w:t>
      </w:r>
    </w:p>
    <w:p>
      <w:r>
        <w:rPr>
          <w:b/>
        </w:rPr>
        <w:t xml:space="preserve">7 </w:t>
      </w:r>
      <w:r>
        <w:t xml:space="preserve">And they arrayed against Midian just as the Lord commanded Moses, and they killed every male.</w:t>
      </w:r>
    </w:p>
    <w:p>
      <w:r>
        <w:rPr>
          <w:b/>
        </w:rPr>
        <w:t xml:space="preserve">8 </w:t>
      </w:r>
      <w:r>
        <w:t xml:space="preserve">And the kings</w:t>
      </w:r>
      <w:r>
        <w:rPr>
          <w:rStyle w:val="FootnoteReference"/>
        </w:rPr>
        <w:footnoteReference w:id="3103"/>
      </w:r>
      <w:r>
        <w:t xml:space="preserve"> of Midian they killed along with their wounded: Evi</w:t>
      </w:r>
      <w:r>
        <w:rPr>
          <w:rStyle w:val="FootnoteReference"/>
        </w:rPr>
        <w:footnoteReference w:id="3104"/>
      </w:r>
      <w:r>
        <w:t xml:space="preserve"> and Rekem</w:t>
      </w:r>
      <w:r>
        <w:rPr>
          <w:rStyle w:val="FootnoteReference"/>
        </w:rPr>
        <w:footnoteReference w:id="3105"/>
      </w:r>
      <w:r>
        <w:t xml:space="preserve"> and Zur and Hur and Reba</w:t>
      </w:r>
      <w:r>
        <w:rPr>
          <w:rStyle w:val="FootnoteReference"/>
        </w:rPr>
        <w:footnoteReference w:id="3106"/>
      </w:r>
      <w:r>
        <w:t xml:space="preserve">, five kings of Midian. And Balaam son of Beor they killed with sword along with their wounded.</w:t>
      </w:r>
    </w:p>
    <w:p>
      <w:r>
        <w:rPr>
          <w:b/>
        </w:rPr>
        <w:t xml:space="preserve">9 </w:t>
      </w:r>
      <w:r>
        <w:t xml:space="preserve">And they plundered the women of Midian and their baggage and their cattle and all their possessions and all their force they plundered.</w:t>
      </w:r>
    </w:p>
    <w:p>
      <w:r>
        <w:rPr>
          <w:b/>
        </w:rPr>
        <w:t xml:space="preserve">10 </w:t>
      </w:r>
      <w:r>
        <w:t xml:space="preserve">And all their cities in their dwellings and their camps they burned with fire.</w:t>
      </w:r>
    </w:p>
    <w:p>
      <w:r>
        <w:rPr>
          <w:b/>
        </w:rPr>
        <w:t xml:space="preserve">11 </w:t>
      </w:r>
      <w:r>
        <w:t xml:space="preserve">And they took all the plunder and all their spoils, from human to beast.</w:t>
      </w:r>
    </w:p>
    <w:p>
      <w:r>
        <w:rPr>
          <w:b/>
        </w:rPr>
        <w:t xml:space="preserve">12 </w:t>
      </w:r>
      <w:r>
        <w:t xml:space="preserve">And they brought to Moses and to Eleazar the priest and to all the sons of Israel the captivity and the spoils and the plunder to the camp in the plains of Moab</w:t>
      </w:r>
      <w:r>
        <w:rPr>
          <w:rStyle w:val="FootnoteReference"/>
        </w:rPr>
        <w:footnoteReference w:id="3107"/>
      </w:r>
      <w:r>
        <w:t xml:space="preserve">, which are by the Jordan at Jericho.</w:t>
      </w:r>
    </w:p>
    <w:p>
      <w:r>
        <w:rPr>
          <w:b/>
        </w:rPr>
        <w:t xml:space="preserve">13 </w:t>
      </w:r>
      <w:r>
        <w:t xml:space="preserve">And Moses and Eleazar the priest and all the leaders of the congregation went out to meet them outside the camp</w:t>
      </w:r>
      <w:r>
        <w:rPr>
          <w:rStyle w:val="FootnoteReference"/>
        </w:rPr>
        <w:footnoteReference w:id="3108"/>
      </w:r>
      <w:r>
        <w:t xml:space="preserve">.</w:t>
      </w:r>
    </w:p>
    <w:p>
      <w:r>
        <w:rPr>
          <w:b/>
        </w:rPr>
        <w:t xml:space="preserve">14 </w:t>
      </w:r>
      <w:r>
        <w:t xml:space="preserve">And Moses was angry with the overseers of the force, the chiliarchs and centurions coming from the battle line of the war.</w:t>
      </w:r>
    </w:p>
    <w:p>
      <w:r>
        <w:rPr>
          <w:b/>
        </w:rPr>
        <w:t xml:space="preserve">15 </w:t>
      </w:r>
      <w:r>
        <w:t xml:space="preserve">And Moses said to them, Why have you kept every female alive?</w:t>
      </w:r>
    </w:p>
    <w:p>
      <w:r>
        <w:rPr>
          <w:b/>
        </w:rPr>
        <w:t xml:space="preserve">16 </w:t>
      </w:r>
      <w:r>
        <w:t xml:space="preserve">For these became for the sons of Israel, according to the word of Balaam, a cause to depart and despise the word of the Lord for the sake of Peor, and the plague came in the congregation of the Lord.</w:t>
      </w:r>
    </w:p>
    <w:p>
      <w:r>
        <w:rPr>
          <w:b/>
        </w:rPr>
        <w:t xml:space="preserve">17 </w:t>
      </w:r>
      <w:r>
        <w:t xml:space="preserve">And now kill every male</w:t>
      </w:r>
      <w:r>
        <w:rPr>
          <w:rStyle w:val="FootnoteReference"/>
        </w:rPr>
        <w:footnoteReference w:id="3109"/>
      </w:r>
      <w:r>
        <w:t xml:space="preserve"> among all the company, and every woman who has known the bed of a male kill.</w:t>
      </w:r>
    </w:p>
    <w:p>
      <w:r>
        <w:rPr>
          <w:b/>
        </w:rPr>
        <w:t xml:space="preserve">18 </w:t>
      </w:r>
      <w:r>
        <w:t xml:space="preserve">But every company of women who has not known the bed of a male keep alive for yourselves</w:t>
      </w:r>
      <w:r>
        <w:rPr>
          <w:rStyle w:val="FootnoteReference"/>
        </w:rPr>
        <w:footnoteReference w:id="3110"/>
      </w:r>
      <w:r>
        <w:t xml:space="preserve">.</w:t>
      </w:r>
    </w:p>
    <w:p>
      <w:r>
        <w:rPr>
          <w:b/>
        </w:rPr>
        <w:t xml:space="preserve">19 </w:t>
      </w:r>
      <w:r>
        <w:t xml:space="preserve">And you camp outside the camp seven days, every one who killed and every one touching the wounded</w:t>
      </w:r>
      <w:r>
        <w:rPr>
          <w:rStyle w:val="FootnoteReference"/>
        </w:rPr>
        <w:footnoteReference w:id="3111"/>
      </w:r>
      <w:r>
        <w:t xml:space="preserve">. He shall be purified on the third day and on the seventh day, you and your captives.</w:t>
      </w:r>
    </w:p>
    <w:p>
      <w:r>
        <w:rPr>
          <w:b/>
        </w:rPr>
        <w:t xml:space="preserve">20 </w:t>
      </w:r>
      <w:r>
        <w:t xml:space="preserve">And every garment and every leather vessel and every work of goats hair and every wooden vessel you shall cleanse.</w:t>
      </w:r>
    </w:p>
    <w:p>
      <w:r>
        <w:rPr>
          <w:b/>
        </w:rPr>
        <w:t xml:space="preserve">21 </w:t>
      </w:r>
      <w:r>
        <w:t xml:space="preserve">And Eleazar the priest said to the men of the force who had come from the battle line of the war, This is the ordinance of the law that the Lord commanded Moses:</w:t>
      </w:r>
    </w:p>
    <w:p>
      <w:r>
        <w:rPr>
          <w:b/>
        </w:rPr>
        <w:t xml:space="preserve">22 </w:t>
      </w:r>
      <w:r>
        <w:t xml:space="preserve">Except the gold and the silver and bronze and iron and lead and tin,</w:t>
      </w:r>
    </w:p>
    <w:p>
      <w:r>
        <w:rPr>
          <w:b/>
        </w:rPr>
        <w:t xml:space="preserve">23 </w:t>
      </w:r>
      <w:r>
        <w:t xml:space="preserve">every thing that goes through fire shall be purified, but it shall be purified</w:t>
      </w:r>
      <w:r>
        <w:rPr>
          <w:rStyle w:val="FootnoteReference"/>
        </w:rPr>
        <w:footnoteReference w:id="3112"/>
      </w:r>
      <w:r>
        <w:t xml:space="preserve"> by the water of purification</w:t>
      </w:r>
      <w:r>
        <w:rPr>
          <w:rStyle w:val="FootnoteReference"/>
        </w:rPr>
        <w:footnoteReference w:id="3113"/>
      </w:r>
      <w:r>
        <w:t xml:space="preserve">. And everything that does not pass through fire shall go through water.</w:t>
      </w:r>
    </w:p>
    <w:p>
      <w:r>
        <w:rPr>
          <w:b/>
        </w:rPr>
        <w:t xml:space="preserve">24 </w:t>
      </w:r>
      <w:r>
        <w:t xml:space="preserve">And you shall wash your garments on the seventh day and you shall be clean, and after these things you shall enter into the camp</w:t>
      </w:r>
      <w:r>
        <w:rPr>
          <w:rStyle w:val="FootnoteReference"/>
        </w:rPr>
        <w:footnoteReference w:id="3114"/>
      </w:r>
      <w:r>
        <w:t xml:space="preserve">.</w:t>
      </w:r>
    </w:p>
    <w:p>
      <w:r>
        <w:rPr>
          <w:b/>
        </w:rPr>
        <w:t xml:space="preserve">25 </w:t>
      </w:r>
      <w:r>
        <w:t xml:space="preserve">And the Lord spoke to Moses, saying,</w:t>
      </w:r>
    </w:p>
    <w:p>
      <w:r>
        <w:rPr>
          <w:b/>
        </w:rPr>
        <w:t xml:space="preserve">26 </w:t>
      </w:r>
      <w:r>
        <w:t xml:space="preserve">Take the total of the spoil of the captivity, from human to beast, you and Eleazar the priest and the leaders of the ancestral houses of the congregation.</w:t>
      </w:r>
    </w:p>
    <w:p>
      <w:r>
        <w:rPr>
          <w:b/>
        </w:rPr>
        <w:t xml:space="preserve">27 </w:t>
      </w:r>
      <w:r>
        <w:t xml:space="preserve">And divide the spoils between the warriors who went out into battle and the whole congregation.</w:t>
      </w:r>
    </w:p>
    <w:p>
      <w:r>
        <w:rPr>
          <w:b/>
        </w:rPr>
        <w:t xml:space="preserve">28 </w:t>
      </w:r>
      <w:r>
        <w:t xml:space="preserve">And remove a tax for the Lord from the warriors who went out into battle, one soul</w:t>
      </w:r>
      <w:r>
        <w:rPr>
          <w:rStyle w:val="FootnoteReference"/>
        </w:rPr>
        <w:footnoteReference w:id="3115"/>
      </w:r>
      <w:r>
        <w:t xml:space="preserve"> out of five hundred, from the humans and from the cattle and from the oxen and from the sheep and from the goats.</w:t>
      </w:r>
    </w:p>
    <w:p>
      <w:r>
        <w:rPr>
          <w:b/>
        </w:rPr>
        <w:t xml:space="preserve">29 </w:t>
      </w:r>
      <w:r>
        <w:t xml:space="preserve">And from their half you shall take and give to Eleazar the priest the firstfruits of the Lord.</w:t>
      </w:r>
    </w:p>
    <w:p>
      <w:r>
        <w:rPr>
          <w:b/>
        </w:rPr>
        <w:t xml:space="preserve">30 </w:t>
      </w:r>
      <w:r>
        <w:t xml:space="preserve">And from the half of the sons of Israel you shall take one out of fifty</w:t>
      </w:r>
      <w:r>
        <w:rPr>
          <w:rStyle w:val="FootnoteReference"/>
        </w:rPr>
        <w:footnoteReference w:id="3116"/>
      </w:r>
      <w:r>
        <w:t xml:space="preserve">, from the humans and from the oxen and from the sheep and from the donkeys and from all the cattle, and you shall give them to the Levites who keep the</w:t>
      </w:r>
      <w:r>
        <w:rPr>
          <w:rStyle w:val="FootnoteReference"/>
        </w:rPr>
        <w:footnoteReference w:id="3117"/>
      </w:r>
      <w:r>
        <w:t xml:space="preserve"> charges in the tent of the Lord.</w:t>
      </w:r>
    </w:p>
    <w:p>
      <w:r>
        <w:rPr>
          <w:b/>
        </w:rPr>
        <w:t xml:space="preserve">31 </w:t>
      </w:r>
      <w:r>
        <w:t xml:space="preserve">And Moses and Eleazar the priest did just as the Lord commanded Moses.</w:t>
      </w:r>
    </w:p>
    <w:p>
      <w:r>
        <w:rPr>
          <w:b/>
        </w:rPr>
        <w:t xml:space="preserve">32 </w:t>
      </w:r>
      <w:r>
        <w:t xml:space="preserve">And the excess of plunder that the fighting men plundered from the sheep was six hundred seventy-five thousand.</w:t>
      </w:r>
    </w:p>
    <w:p>
      <w:r>
        <w:rPr>
          <w:b/>
        </w:rPr>
        <w:t xml:space="preserve">33 </w:t>
      </w:r>
      <w:r>
        <w:t xml:space="preserve">And cattle, seventy-two thousand.</w:t>
      </w:r>
    </w:p>
    <w:p>
      <w:r>
        <w:rPr>
          <w:b/>
        </w:rPr>
        <w:t xml:space="preserve">34 </w:t>
      </w:r>
      <w:r>
        <w:t xml:space="preserve">And donkeys, sixty-one thousand.</w:t>
      </w:r>
    </w:p>
    <w:p>
      <w:r>
        <w:rPr>
          <w:b/>
        </w:rPr>
        <w:t xml:space="preserve">35 </w:t>
      </w:r>
      <w:r>
        <w:t xml:space="preserve">And human souls from the women who had not known the bed of a male, all the souls, thirty-two thousand.</w:t>
      </w:r>
    </w:p>
    <w:p>
      <w:r>
        <w:rPr>
          <w:b/>
        </w:rPr>
        <w:t xml:space="preserve">36 </w:t>
      </w:r>
      <w:r>
        <w:t xml:space="preserve">And the half, the share of those who went out to war, from the number of the sheep, was three hundred thirty-seven thousand five hundred.</w:t>
      </w:r>
    </w:p>
    <w:p>
      <w:r>
        <w:rPr>
          <w:b/>
        </w:rPr>
        <w:t xml:space="preserve">37 </w:t>
      </w:r>
      <w:r>
        <w:t xml:space="preserve">And the tax to the Lord from the sheep was six hundred seventy-five.</w:t>
      </w:r>
    </w:p>
    <w:p>
      <w:r>
        <w:rPr>
          <w:b/>
        </w:rPr>
        <w:t xml:space="preserve">38 </w:t>
      </w:r>
      <w:r>
        <w:t xml:space="preserve">And cattle, thirty-six thousand, and the tax to the Lord, seventy-two.</w:t>
      </w:r>
    </w:p>
    <w:p>
      <w:r>
        <w:rPr>
          <w:b/>
        </w:rPr>
        <w:t xml:space="preserve">39 </w:t>
      </w:r>
      <w:r>
        <w:t xml:space="preserve">And donkeys, thirty thousand five hundred, and the tax to the Lord, sixty-one.</w:t>
      </w:r>
    </w:p>
    <w:p>
      <w:r>
        <w:rPr>
          <w:b/>
        </w:rPr>
        <w:t xml:space="preserve">40 </w:t>
      </w:r>
      <w:r>
        <w:t xml:space="preserve">And human souls, sixteen thousand, and their tax to the Lord, thirty-two souls.</w:t>
      </w:r>
    </w:p>
    <w:p>
      <w:r>
        <w:rPr>
          <w:b/>
        </w:rPr>
        <w:t xml:space="preserve">41 </w:t>
      </w:r>
      <w:r>
        <w:t xml:space="preserve">And Moses gave the tax to the Lord, the removed offering of God, to Eleazar</w:t>
      </w:r>
      <w:r>
        <w:rPr>
          <w:rStyle w:val="FootnoteReference"/>
        </w:rPr>
        <w:footnoteReference w:id="3118"/>
      </w:r>
      <w:r>
        <w:t xml:space="preserve"> the priest, just as the Lord commanded Moses.</w:t>
      </w:r>
    </w:p>
    <w:p>
      <w:r>
        <w:rPr>
          <w:b/>
        </w:rPr>
        <w:t xml:space="preserve">42 </w:t>
      </w:r>
      <w:r>
        <w:t xml:space="preserve">From the half of the sons of Israel, which Moses divided off from the fighting men,</w:t>
      </w:r>
    </w:p>
    <w:p>
      <w:r>
        <w:rPr>
          <w:b/>
        </w:rPr>
        <w:t xml:space="preserve">43 </w:t>
      </w:r>
      <w:r>
        <w:t xml:space="preserve">and the half of the congregation was, from the sheep, three hundred thirty-seven thousand five hundred,</w:t>
      </w:r>
    </w:p>
    <w:p>
      <w:r>
        <w:rPr>
          <w:b/>
        </w:rPr>
        <w:t xml:space="preserve">44 </w:t>
      </w:r>
      <w:r>
        <w:t xml:space="preserve">and cattle, thirty-six thousand,</w:t>
      </w:r>
    </w:p>
    <w:p>
      <w:r>
        <w:rPr>
          <w:b/>
        </w:rPr>
        <w:t xml:space="preserve">45 </w:t>
      </w:r>
      <w:r>
        <w:t xml:space="preserve">donkeys, thirty thousand five hundred,</w:t>
      </w:r>
    </w:p>
    <w:p>
      <w:r>
        <w:rPr>
          <w:b/>
        </w:rPr>
        <w:t xml:space="preserve">46 </w:t>
      </w:r>
      <w:r>
        <w:t xml:space="preserve">and human souls, sixteen thousand.</w:t>
      </w:r>
    </w:p>
    <w:p>
      <w:r>
        <w:rPr>
          <w:b/>
        </w:rPr>
        <w:t xml:space="preserve">47 </w:t>
      </w:r>
      <w:r>
        <w:t xml:space="preserve">And Moses took from the half of the sons of Israel one out of fifty</w:t>
      </w:r>
      <w:r>
        <w:rPr>
          <w:rStyle w:val="FootnoteReference"/>
        </w:rPr>
        <w:footnoteReference w:id="3119"/>
      </w:r>
      <w:r>
        <w:t xml:space="preserve">, from the humans and from the cattle, and gave them to the Levites</w:t>
      </w:r>
      <w:r>
        <w:rPr>
          <w:rStyle w:val="FootnoteReference"/>
        </w:rPr>
        <w:footnoteReference w:id="3120"/>
      </w:r>
      <w:r>
        <w:t xml:space="preserve"> who keep the charges of the tent of the Lord, just as the Lord commanded Moses.</w:t>
      </w:r>
    </w:p>
    <w:p>
      <w:r>
        <w:rPr>
          <w:b/>
        </w:rPr>
        <w:t xml:space="preserve">48 </w:t>
      </w:r>
      <w:r>
        <w:t xml:space="preserve">And all those appointed over the thousands of the force, the chiliarchs and centurions, came near to Moses</w:t>
      </w:r>
    </w:p>
    <w:p>
      <w:r>
        <w:rPr>
          <w:b/>
        </w:rPr>
        <w:t xml:space="preserve">49 </w:t>
      </w:r>
      <w:r>
        <w:t xml:space="preserve">and said to Moses, Your servants have taken the total of the fighting men from among us, and not even one is missing from them.</w:t>
      </w:r>
    </w:p>
    <w:p>
      <w:r>
        <w:rPr>
          <w:b/>
        </w:rPr>
        <w:t xml:space="preserve">50 </w:t>
      </w:r>
      <w:r>
        <w:t xml:space="preserve">And we have brought the gift to the Lord, each man what he found, a gold article, chain and bracelet and ring and armlet and clasped ornament, to make atonement for us before the Lord.</w:t>
      </w:r>
    </w:p>
    <w:p>
      <w:r>
        <w:rPr>
          <w:b/>
        </w:rPr>
        <w:t xml:space="preserve">51 </w:t>
      </w:r>
      <w:r>
        <w:t xml:space="preserve">And Moses and Eleazar the priest took the gold from them, every worked article.</w:t>
      </w:r>
    </w:p>
    <w:p>
      <w:r>
        <w:rPr>
          <w:b/>
        </w:rPr>
        <w:t xml:space="preserve">52 </w:t>
      </w:r>
      <w:r>
        <w:t xml:space="preserve">And all the gold, the removed offering</w:t>
      </w:r>
      <w:r>
        <w:rPr>
          <w:rStyle w:val="FootnoteReference"/>
        </w:rPr>
        <w:footnoteReference w:id="3121"/>
      </w:r>
      <w:r>
        <w:t xml:space="preserve"> that they removed for the Lord, was sixteen thousand seven hundred fifty shekels from the chiliarchs and from the centurions.</w:t>
      </w:r>
    </w:p>
    <w:p>
      <w:r>
        <w:rPr>
          <w:b/>
        </w:rPr>
        <w:t xml:space="preserve">53 </w:t>
      </w:r>
      <w:r>
        <w:t xml:space="preserve">And the fighting men had each plundered for himself.</w:t>
      </w:r>
    </w:p>
    <w:p>
      <w:r>
        <w:rPr>
          <w:b/>
        </w:rPr>
        <w:t xml:space="preserve">54 </w:t>
      </w:r>
      <w:r>
        <w:t xml:space="preserve">And Moses and Eleazar the priest took the gold from the chiliarchs</w:t>
      </w:r>
      <w:r>
        <w:rPr>
          <w:rStyle w:val="FootnoteReference"/>
        </w:rPr>
        <w:footnoteReference w:id="3122"/>
      </w:r>
      <w:r>
        <w:t xml:space="preserve"> and from the centurions and brought it into the tent of testimony, a memorial</w:t>
      </w:r>
      <w:r>
        <w:rPr>
          <w:rStyle w:val="FootnoteReference"/>
        </w:rPr>
        <w:footnoteReference w:id="3123"/>
      </w:r>
      <w:r>
        <w:t xml:space="preserve"> of the sons of Israel before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t xml:space="preserve">And cattle in great multitude belonged to the sons of Reuben and to the sons of Gad, very many, and they saw the land of Jaazer and the land of Gilead, and the place</w:t>
      </w:r>
      <w:r>
        <w:rPr>
          <w:rStyle w:val="FootnoteReference"/>
        </w:rPr>
        <w:footnoteReference w:id="3124"/>
      </w:r>
      <w:r>
        <w:t xml:space="preserve"> was a place for cattle.</w:t>
      </w:r>
    </w:p>
    <w:p>
      <w:r>
        <w:rPr>
          <w:b/>
        </w:rPr>
        <w:t xml:space="preserve">2 </w:t>
      </w:r>
      <w:r>
        <w:t xml:space="preserve">And the sons of Reuben and the sons of Gad came and said to Moses and to Eleazar the priest and to the leaders of the congregation, saying,</w:t>
      </w:r>
    </w:p>
    <w:p>
      <w:r>
        <w:rPr>
          <w:b/>
        </w:rPr>
        <w:t xml:space="preserve">3 </w:t>
      </w:r>
      <w:r>
        <w:t xml:space="preserve">Ataroth</w:t>
      </w:r>
      <w:r>
        <w:rPr>
          <w:rStyle w:val="FootnoteReference"/>
        </w:rPr>
        <w:footnoteReference w:id="3125"/>
      </w:r>
      <w:r>
        <w:t xml:space="preserve"> and Dibon and Jaazer and Nimrah</w:t>
      </w:r>
      <w:r>
        <w:rPr>
          <w:rStyle w:val="FootnoteReference"/>
        </w:rPr>
        <w:footnoteReference w:id="3126"/>
      </w:r>
      <w:r>
        <w:t xml:space="preserve"> and Heshbon and Elealeh</w:t>
      </w:r>
      <w:r>
        <w:rPr>
          <w:rStyle w:val="FootnoteReference"/>
        </w:rPr>
        <w:footnoteReference w:id="3127"/>
      </w:r>
      <w:r>
        <w:t xml:space="preserve"> and Shebam</w:t>
      </w:r>
      <w:r>
        <w:rPr>
          <w:rStyle w:val="FootnoteReference"/>
        </w:rPr>
        <w:footnoteReference w:id="3128"/>
      </w:r>
      <w:r>
        <w:t xml:space="preserve"> and Nebo and Baian,</w:t>
      </w:r>
      <w:r>
        <w:rPr>
          <w:rStyle w:val="FootnoteReference"/>
        </w:rPr>
        <w:footnoteReference w:id="3129"/>
      </w:r>
    </w:p>
    <w:p>
      <w:r>
        <w:rPr>
          <w:b/>
        </w:rPr>
        <w:t xml:space="preserve">4 </w:t>
      </w:r>
      <w:r>
        <w:t xml:space="preserve">the land that the Lord handed over before the sons of Israel, is cattle-land, and your servants have cattle.</w:t>
      </w:r>
    </w:p>
    <w:p>
      <w:r>
        <w:rPr>
          <w:b/>
        </w:rPr>
        <w:t xml:space="preserve">5 </w:t>
      </w:r>
      <w:r>
        <w:t xml:space="preserve">And they said, If we have</w:t>
      </w:r>
      <w:r>
        <w:rPr>
          <w:rStyle w:val="FootnoteReference"/>
        </w:rPr>
        <w:footnoteReference w:id="3130"/>
      </w:r>
      <w:r>
        <w:t xml:space="preserve"> found favor before you, let this land be given to your servants as a possession, and do not carry us across the Jordan.</w:t>
      </w:r>
    </w:p>
    <w:p>
      <w:r>
        <w:rPr>
          <w:b/>
        </w:rPr>
        <w:t xml:space="preserve">6 </w:t>
      </w:r>
      <w:r>
        <w:t xml:space="preserve">And Moses said to the sons of Gad and to the sons of Reuben, Shall your brothers go to war and you sit here?</w:t>
      </w:r>
    </w:p>
    <w:p>
      <w:r>
        <w:rPr>
          <w:b/>
        </w:rPr>
        <w:t xml:space="preserve">7 </w:t>
      </w:r>
      <w:r>
        <w:t xml:space="preserve">And why do you twist the minds of the sons of Israel, so that they do not cross into the land that the Lord gives them?</w:t>
      </w:r>
    </w:p>
    <w:p>
      <w:r>
        <w:rPr>
          <w:b/>
        </w:rPr>
        <w:t xml:space="preserve">8 </w:t>
      </w:r>
      <w:r>
        <w:t xml:space="preserve">Did not your fathers do thus when I sent them from Kadesh-Barnea</w:t>
      </w:r>
      <w:r>
        <w:rPr>
          <w:rStyle w:val="FootnoteReference"/>
        </w:rPr>
        <w:footnoteReference w:id="3131"/>
      </w:r>
      <w:r>
        <w:t xml:space="preserve"> to look upon the land?</w:t>
      </w:r>
    </w:p>
    <w:p>
      <w:r>
        <w:rPr>
          <w:b/>
        </w:rPr>
        <w:t xml:space="preserve">9 </w:t>
      </w:r>
      <w:r>
        <w:t xml:space="preserve">And they went up to the Ravine of Cluster and looked upon the land, and turned away the heart of the sons of Israel so that they did not enter into the land that the Lord gave them.</w:t>
      </w:r>
    </w:p>
    <w:p>
      <w:r>
        <w:rPr>
          <w:b/>
        </w:rPr>
        <w:t xml:space="preserve">10 </w:t>
      </w:r>
      <w:r>
        <w:t xml:space="preserve">And the Lord was enraged in anger on that day and swore, saying,</w:t>
      </w:r>
    </w:p>
    <w:p>
      <w:r>
        <w:rPr>
          <w:b/>
        </w:rPr>
        <w:t xml:space="preserve">11 </w:t>
      </w:r>
      <w:r>
        <w:t xml:space="preserve">If these men who came up from Egypt, from twenty</w:t>
      </w:r>
      <w:r>
        <w:rPr>
          <w:rStyle w:val="FootnoteReference"/>
        </w:rPr>
        <w:footnoteReference w:id="3132"/>
      </w:r>
      <w:r>
        <w:t xml:space="preserve"> years old and upward, who know evil and good</w:t>
      </w:r>
      <w:r>
        <w:rPr>
          <w:rStyle w:val="FootnoteReference"/>
        </w:rPr>
        <w:footnoteReference w:id="3133"/>
      </w:r>
      <w:r>
        <w:t xml:space="preserve">, shall see the land that I swore to Abraham and Isaac and Jacob, because they did not follow after me—</w:t>
      </w:r>
    </w:p>
    <w:p>
      <w:r>
        <w:rPr>
          <w:b/>
        </w:rPr>
        <w:t xml:space="preserve">12 </w:t>
      </w:r>
      <w:r>
        <w:t xml:space="preserve">except Caleb son of Jephunneh, the separated one, and Joshua son of Nun, because he followed after the Lord.</w:t>
      </w:r>
    </w:p>
    <w:p>
      <w:r>
        <w:rPr>
          <w:b/>
        </w:rPr>
        <w:t xml:space="preserve">13 </w:t>
      </w:r>
      <w:r>
        <w:t xml:space="preserve">And the Lord was enraged in anger against Israel and drove them round in the wilderness forty years</w:t>
      </w:r>
      <w:r>
        <w:rPr>
          <w:rStyle w:val="FootnoteReference"/>
        </w:rPr>
        <w:footnoteReference w:id="3134"/>
      </w:r>
      <w:r>
        <w:t xml:space="preserve"> until all</w:t>
      </w:r>
      <w:r>
        <w:rPr>
          <w:rStyle w:val="FootnoteReference"/>
        </w:rPr>
        <w:footnoteReference w:id="3135"/>
      </w:r>
      <w:r>
        <w:t xml:space="preserve"> the generation doing evil before the Lord was consumed.</w:t>
      </w:r>
    </w:p>
    <w:p>
      <w:r>
        <w:rPr>
          <w:b/>
        </w:rPr>
        <w:t xml:space="preserve">14 </w:t>
      </w:r>
      <w:r>
        <w:t xml:space="preserve">Behold, you rose up in place of your fathers, a twisted growth of sinful men, to add yet more to the fury of the Lord's anger against Israel.</w:t>
      </w:r>
    </w:p>
    <w:p>
      <w:r>
        <w:rPr>
          <w:b/>
        </w:rPr>
        <w:t xml:space="preserve">15 </w:t>
      </w:r>
      <w:r>
        <w:t xml:space="preserve">For you will turn away from him, to add yet again to leave him in the wilderness, and you will do lawlessness against all this congregation.</w:t>
      </w:r>
    </w:p>
    <w:p>
      <w:r>
        <w:rPr>
          <w:b/>
        </w:rPr>
        <w:t xml:space="preserve">16 </w:t>
      </w:r>
      <w:r>
        <w:t xml:space="preserve">And they came near to him and said, Let us build sheepfolds here for our cattle and cities for our baggage.</w:t>
      </w:r>
    </w:p>
    <w:p>
      <w:r>
        <w:rPr>
          <w:b/>
        </w:rPr>
        <w:t xml:space="preserve">17 </w:t>
      </w:r>
      <w:r>
        <w:t xml:space="preserve">But we, armed for a guard, will go first before the sons of Israel until we bring them to their place, and our baggage will dwell in fortified cities because of those dwelling in the land.</w:t>
      </w:r>
      <w:r>
        <w:rPr>
          <w:rStyle w:val="FootnoteReference"/>
        </w:rPr>
        <w:footnoteReference w:id="3136"/>
      </w:r>
    </w:p>
    <w:p>
      <w:r>
        <w:rPr>
          <w:b/>
        </w:rPr>
        <w:t xml:space="preserve">18 </w:t>
      </w:r>
      <w:r>
        <w:t xml:space="preserve">We shall certainly not turn back to our houses until the sons of Israel are apportioned, each one into his inheritance.</w:t>
      </w:r>
    </w:p>
    <w:p>
      <w:r>
        <w:rPr>
          <w:b/>
        </w:rPr>
        <w:t xml:space="preserve">19 </w:t>
      </w:r>
      <w:r>
        <w:t xml:space="preserve">And we shall no longer inherit with them from beyond the Jordan and further on, because our allotments are here beyond the Jordan to the east.</w:t>
      </w:r>
    </w:p>
    <w:p>
      <w:r>
        <w:rPr>
          <w:b/>
        </w:rPr>
        <w:t xml:space="preserve">20 </w:t>
      </w:r>
      <w:r>
        <w:t xml:space="preserve">And Moses said to them, If you do this thing, if you arm yourselves before the Lord for war,</w:t>
      </w:r>
    </w:p>
    <w:p>
      <w:r>
        <w:rPr>
          <w:b/>
        </w:rPr>
        <w:t xml:space="preserve">21 </w:t>
      </w:r>
      <w:r>
        <w:t xml:space="preserve">and every armed man of yours crosses the Jordan before the Lord until his enemy is crushed from before him,</w:t>
      </w:r>
    </w:p>
    <w:p>
      <w:r>
        <w:rPr>
          <w:b/>
        </w:rPr>
        <w:t xml:space="preserve">22 </w:t>
      </w:r>
      <w:r>
        <w:t xml:space="preserve">and the land is subdued before the Lord, and afterward you turn back, then you shall be innocent before the Lord and from Israel, and this land</w:t>
      </w:r>
      <w:r>
        <w:rPr>
          <w:rStyle w:val="FootnoteReference"/>
        </w:rPr>
        <w:footnoteReference w:id="3137"/>
      </w:r>
      <w:r>
        <w:t xml:space="preserve"> shall be for you as a possession before the Lord.</w:t>
      </w:r>
    </w:p>
    <w:p>
      <w:r>
        <w:rPr>
          <w:b/>
        </w:rPr>
        <w:t xml:space="preserve">23 </w:t>
      </w:r>
      <w:r>
        <w:t xml:space="preserve">But if you do not do thus, you will sin before the Lord, and you shall know your sin when evils overtake you.</w:t>
      </w:r>
    </w:p>
    <w:p>
      <w:r>
        <w:rPr>
          <w:b/>
        </w:rPr>
        <w:t xml:space="preserve">24 </w:t>
      </w:r>
      <w:r>
        <w:t xml:space="preserve">And you shall build cities for your baggage and sheepfolds for your cattle, and what goes out from your mouth you shall do.</w:t>
      </w:r>
    </w:p>
    <w:p>
      <w:r>
        <w:rPr>
          <w:b/>
        </w:rPr>
        <w:t xml:space="preserve">25 </w:t>
      </w:r>
      <w:r>
        <w:t xml:space="preserve">And the sons of Reuben and the sons of Gad said to Moses, saying, Your servants will do just as our lord commands.</w:t>
      </w:r>
    </w:p>
    <w:p>
      <w:r>
        <w:rPr>
          <w:b/>
        </w:rPr>
        <w:t xml:space="preserve">26 </w:t>
      </w:r>
      <w:r>
        <w:t xml:space="preserve">Our baggage and our wives and all our cattle will be in the cities of Gilead.</w:t>
      </w:r>
    </w:p>
    <w:p>
      <w:r>
        <w:rPr>
          <w:b/>
        </w:rPr>
        <w:t xml:space="preserve">27 </w:t>
      </w:r>
      <w:r>
        <w:t xml:space="preserve">But your servants will cross over, all armed</w:t>
      </w:r>
      <w:r>
        <w:rPr>
          <w:rStyle w:val="FootnoteReference"/>
        </w:rPr>
        <w:footnoteReference w:id="3138"/>
      </w:r>
      <w:r>
        <w:t xml:space="preserve"> and drawn up before the Lord for battle, as our lord says.</w:t>
      </w:r>
    </w:p>
    <w:p>
      <w:r>
        <w:rPr>
          <w:b/>
        </w:rPr>
        <w:t xml:space="preserve">28 </w:t>
      </w:r>
      <w:r>
        <w:t xml:space="preserve">And Moses appointed over them Eleazar the priest and Joshua son of Nun and the leaders of the ancestral houses of the tribes of Israel.</w:t>
      </w:r>
    </w:p>
    <w:p>
      <w:r>
        <w:rPr>
          <w:b/>
        </w:rPr>
        <w:t xml:space="preserve">29 </w:t>
      </w:r>
      <w:r>
        <w:t xml:space="preserve">And Moses said to them, If the sons of Reuben and the sons of Gad cross the Jordan with you, every armed man for war before the Lord, and you subdue the land before you, then you shall give them the land of Gilead as a possession.</w:t>
      </w:r>
    </w:p>
    <w:p>
      <w:r>
        <w:rPr>
          <w:b/>
        </w:rPr>
        <w:t xml:space="preserve">30 </w:t>
      </w:r>
      <w:r>
        <w:t xml:space="preserve">But if they do not cross armed with you before the Lord into war, then you shall bring their baggage and their wives and their cattle across ahead of you into the land of Canaan, and they shall inherit along with you in the land of Canaan.</w:t>
      </w:r>
    </w:p>
    <w:p>
      <w:r>
        <w:rPr>
          <w:b/>
        </w:rPr>
        <w:t xml:space="preserve">31 </w:t>
      </w:r>
      <w:r>
        <w:t xml:space="preserve">And the sons of Reuben and the sons of Gad answered, saying, Whatever the Lord says to his servants, so we will do.</w:t>
      </w:r>
    </w:p>
    <w:p>
      <w:r>
        <w:rPr>
          <w:b/>
        </w:rPr>
        <w:t xml:space="preserve">32 </w:t>
      </w:r>
      <w:r>
        <w:t xml:space="preserve">We will cross armed before the Lord into the land of Canaan, and give us the possession beyond the Jordan.</w:t>
      </w:r>
    </w:p>
    <w:p>
      <w:r>
        <w:rPr>
          <w:b/>
        </w:rPr>
        <w:t xml:space="preserve">33 </w:t>
      </w:r>
      <w:r>
        <w:t xml:space="preserve">And Moses</w:t>
      </w:r>
      <w:r>
        <w:rPr>
          <w:rStyle w:val="FootnoteReference"/>
        </w:rPr>
        <w:footnoteReference w:id="3139"/>
      </w:r>
      <w:r>
        <w:t xml:space="preserve"> gave to them—to the sons of Gad and to the sons of Reuben and to the half-tribe of Manasseh, sons of Joseph—the kingdom of Sihon king of the Amorites and the kingdom of Og king of Bashan, the land and its cities with its borders, the cities of the land around.</w:t>
      </w:r>
    </w:p>
    <w:p>
      <w:r>
        <w:rPr>
          <w:b/>
        </w:rPr>
        <w:t xml:space="preserve">34 </w:t>
      </w:r>
      <w:r>
        <w:t xml:space="preserve">And the sons of Gad built Dibon</w:t>
      </w:r>
      <w:r>
        <w:rPr>
          <w:rStyle w:val="FootnoteReference"/>
        </w:rPr>
        <w:footnoteReference w:id="3140"/>
      </w:r>
      <w:r>
        <w:t xml:space="preserve"> and Ataroth and Aroer,</w:t>
      </w:r>
    </w:p>
    <w:p>
      <w:r>
        <w:rPr>
          <w:b/>
        </w:rPr>
        <w:t xml:space="preserve">35 </w:t>
      </w:r>
      <w:r>
        <w:t xml:space="preserve">and Shophan</w:t>
      </w:r>
      <w:r>
        <w:rPr>
          <w:rStyle w:val="FootnoteReference"/>
        </w:rPr>
        <w:footnoteReference w:id="3141"/>
      </w:r>
      <w:r>
        <w:t xml:space="preserve"> and Jaazer</w:t>
      </w:r>
      <w:r>
        <w:rPr>
          <w:rStyle w:val="FootnoteReference"/>
        </w:rPr>
        <w:footnoteReference w:id="3142"/>
      </w:r>
      <w:r>
        <w:t xml:space="preserve"> and fortified them,</w:t>
      </w:r>
    </w:p>
    <w:p>
      <w:r>
        <w:rPr>
          <w:b/>
        </w:rPr>
        <w:t xml:space="preserve">36 </w:t>
      </w:r>
      <w:r>
        <w:t xml:space="preserve">and Beth-nimrah</w:t>
      </w:r>
      <w:r>
        <w:rPr>
          <w:rStyle w:val="FootnoteReference"/>
        </w:rPr>
        <w:footnoteReference w:id="3143"/>
      </w:r>
      <w:r>
        <w:t xml:space="preserve"> and Bethharan</w:t>
      </w:r>
      <w:r>
        <w:rPr>
          <w:rStyle w:val="FootnoteReference"/>
        </w:rPr>
        <w:footnoteReference w:id="3144"/>
      </w:r>
      <w:r>
        <w:t xml:space="preserve">, fortified cities, and sheepfolds.</w:t>
      </w:r>
    </w:p>
    <w:p>
      <w:r>
        <w:rPr>
          <w:b/>
        </w:rPr>
        <w:t xml:space="preserve">37 </w:t>
      </w:r>
      <w:r>
        <w:t xml:space="preserve">And the sons of Reuben built Heshbon</w:t>
      </w:r>
      <w:r>
        <w:rPr>
          <w:rStyle w:val="FootnoteReference"/>
        </w:rPr>
        <w:footnoteReference w:id="3145"/>
      </w:r>
      <w:r>
        <w:t xml:space="preserve"> and Elealeh and Kirjathaim</w:t>
      </w:r>
      <w:r>
        <w:rPr>
          <w:rStyle w:val="FootnoteReference"/>
        </w:rPr>
        <w:footnoteReference w:id="3146"/>
      </w:r>
      <w:r>
        <w:t xml:space="preserve">,</w:t>
      </w:r>
    </w:p>
    <w:p>
      <w:r>
        <w:rPr>
          <w:b/>
        </w:rPr>
        <w:t xml:space="preserve">38 </w:t>
      </w:r>
      <w:r>
        <w:t xml:space="preserve">and Baal-meon</w:t>
      </w:r>
      <w:r>
        <w:rPr>
          <w:rStyle w:val="FootnoteReference"/>
        </w:rPr>
        <w:footnoteReference w:id="3147"/>
      </w:r>
      <w:r>
        <w:t xml:space="preserve">, surrounded with walls, and Shebam, and they renamed by their names the names of the cities that they built.</w:t>
      </w:r>
    </w:p>
    <w:p>
      <w:r>
        <w:rPr>
          <w:b/>
        </w:rPr>
        <w:t xml:space="preserve">39 </w:t>
      </w:r>
      <w:r>
        <w:t xml:space="preserve">And a son of Machir son of Manasseh went into Gilead and took it and destroyed the Amorite dwelling in it.</w:t>
      </w:r>
    </w:p>
    <w:p>
      <w:r>
        <w:rPr>
          <w:b/>
        </w:rPr>
        <w:t xml:space="preserve">40 </w:t>
      </w:r>
      <w:r>
        <w:t xml:space="preserve">And Moses gave Gilead to Machir son of Manasseh, and he dwelt there.</w:t>
      </w:r>
    </w:p>
    <w:p>
      <w:r>
        <w:rPr>
          <w:b/>
        </w:rPr>
        <w:t xml:space="preserve">41 </w:t>
      </w:r>
      <w:r>
        <w:t xml:space="preserve">And Jair</w:t>
      </w:r>
      <w:r>
        <w:rPr>
          <w:rStyle w:val="FootnoteReference"/>
        </w:rPr>
        <w:footnoteReference w:id="3148"/>
      </w:r>
      <w:r>
        <w:t xml:space="preserve"> the Manassite</w:t>
      </w:r>
      <w:r>
        <w:rPr>
          <w:rStyle w:val="FootnoteReference"/>
        </w:rPr>
        <w:footnoteReference w:id="3149"/>
      </w:r>
      <w:r>
        <w:t xml:space="preserve"> went and took their camps and named them Jair Camps.</w:t>
      </w:r>
      <w:r>
        <w:rPr>
          <w:rStyle w:val="FootnoteReference"/>
        </w:rPr>
        <w:footnoteReference w:id="3150"/>
      </w:r>
    </w:p>
    <w:p>
      <w:r>
        <w:rPr>
          <w:b/>
        </w:rPr>
        <w:t xml:space="preserve">42 </w:t>
      </w:r>
      <w:r>
        <w:t xml:space="preserve">And Nebo went and took Kenaath and its villages and named them Naboth</w:t>
      </w:r>
      <w:r>
        <w:rPr>
          <w:rStyle w:val="FootnoteReference"/>
        </w:rPr>
        <w:footnoteReference w:id="3151"/>
      </w:r>
      <w:r>
        <w:t xml:space="preserve"> after his name.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And these are the stages of the sons of Israel as they went out from the land of Egypt with their forces by the hand of Moses and Aaron.</w:t>
      </w:r>
    </w:p>
    <w:p>
      <w:r>
        <w:rPr>
          <w:b/>
        </w:rPr>
        <w:t xml:space="preserve">2 </w:t>
      </w:r>
      <w:r>
        <w:t xml:space="preserve">And Moses wrote down their departures and their stages by the word of the Lord. And these are the stages of their journey.</w:t>
      </w:r>
    </w:p>
    <w:p>
      <w:r>
        <w:rPr>
          <w:b/>
        </w:rPr>
        <w:t xml:space="preserve">3 </w:t>
      </w:r>
      <w:r>
        <w:t xml:space="preserve">They set out from Rameses in the first</w:t>
      </w:r>
      <w:r>
        <w:rPr>
          <w:rStyle w:val="FootnoteReference"/>
        </w:rPr>
        <w:footnoteReference w:id="3152"/>
      </w:r>
      <w:r>
        <w:t xml:space="preserve"> month, on the fifteenth day of the first month, on the day after Passover. The sons of Israel went out with uplifted hand</w:t>
      </w:r>
      <w:r>
        <w:rPr>
          <w:rStyle w:val="FootnoteReference"/>
        </w:rPr>
        <w:footnoteReference w:id="3153"/>
      </w:r>
      <w:r>
        <w:t xml:space="preserve"> before all the Egyptians,</w:t>
      </w:r>
    </w:p>
    <w:p>
      <w:r>
        <w:rPr>
          <w:b/>
        </w:rPr>
        <w:t xml:space="preserve">4 </w:t>
      </w:r>
      <w:r>
        <w:t xml:space="preserve">while the Egyptians were burying from among them all the dead whom the Lord had struck, every firstborn in the land of Egypt. And on their gods the Lord executed vengeance.</w:t>
      </w:r>
    </w:p>
    <w:p>
      <w:r>
        <w:rPr>
          <w:b/>
        </w:rPr>
        <w:t xml:space="preserve">5 </w:t>
      </w:r>
      <w:r>
        <w:t xml:space="preserve">And the sons of Israel set out from Rameses and camped in Succoth.</w:t>
      </w:r>
    </w:p>
    <w:p>
      <w:r>
        <w:rPr>
          <w:b/>
        </w:rPr>
        <w:t xml:space="preserve">6 </w:t>
      </w:r>
      <w:r>
        <w:t xml:space="preserve">And they set out from Succoth and camped in Etham, which is some part of the wilderness.</w:t>
      </w:r>
    </w:p>
    <w:p>
      <w:r>
        <w:rPr>
          <w:b/>
        </w:rPr>
        <w:t xml:space="preserve">7 </w:t>
      </w:r>
      <w:r>
        <w:t xml:space="preserve">And they set out from Etham and camped at the mouth of Pi-hahiroth</w:t>
      </w:r>
      <w:r>
        <w:rPr>
          <w:rStyle w:val="FootnoteReference"/>
        </w:rPr>
        <w:footnoteReference w:id="3154"/>
      </w:r>
      <w:r>
        <w:t xml:space="preserve">, which is opposite Baalzephon, and camped opposite Migdol.</w:t>
      </w:r>
    </w:p>
    <w:p>
      <w:r>
        <w:rPr>
          <w:b/>
        </w:rPr>
        <w:t xml:space="preserve">8 </w:t>
      </w:r>
      <w:r>
        <w:t xml:space="preserve">And they set out from opposite Pi-hahiroth and passed through the midst of the sea into the wilderness, and they went a road of three days through the wilderness, they themselves, and camped in Marah.</w:t>
      </w:r>
    </w:p>
    <w:p>
      <w:r>
        <w:rPr>
          <w:b/>
        </w:rPr>
        <w:t xml:space="preserve">9 </w:t>
      </w:r>
      <w:r>
        <w:t xml:space="preserve">And they set out from Marah and came to Elim, and in Elim were twelve springs of waters and seventy trunks of palms, and they camped there by the water.</w:t>
      </w:r>
    </w:p>
    <w:p>
      <w:r>
        <w:rPr>
          <w:b/>
        </w:rPr>
        <w:t xml:space="preserve">10 </w:t>
      </w:r>
      <w:r>
        <w:t xml:space="preserve">And they set out from Elim</w:t>
      </w:r>
      <w:r>
        <w:rPr>
          <w:rStyle w:val="FootnoteReference"/>
        </w:rPr>
        <w:footnoteReference w:id="3155"/>
      </w:r>
      <w:r>
        <w:t xml:space="preserve"> and camped by the Red Sea.</w:t>
      </w:r>
    </w:p>
    <w:p>
      <w:r>
        <w:rPr>
          <w:b/>
        </w:rPr>
        <w:t xml:space="preserve">11 </w:t>
      </w:r>
      <w:r>
        <w:t xml:space="preserve">And they set out from the Red Sea and camped in the wilderness of Sin.</w:t>
      </w:r>
    </w:p>
    <w:p>
      <w:r>
        <w:rPr>
          <w:b/>
        </w:rPr>
        <w:t xml:space="preserve">12 </w:t>
      </w:r>
      <w:r>
        <w:t xml:space="preserve">And they set out from the wilderness of Sin and camped in Dophkah</w:t>
      </w:r>
      <w:r>
        <w:rPr>
          <w:rStyle w:val="FootnoteReference"/>
        </w:rPr>
        <w:footnoteReference w:id="3156"/>
      </w:r>
      <w:r>
        <w:t xml:space="preserve">.</w:t>
      </w:r>
    </w:p>
    <w:p>
      <w:r>
        <w:rPr>
          <w:b/>
        </w:rPr>
        <w:t xml:space="preserve">13 </w:t>
      </w:r>
      <w:r>
        <w:t xml:space="preserve">And they set out from Dophkah and camped in Alush</w:t>
      </w:r>
      <w:r>
        <w:rPr>
          <w:rStyle w:val="FootnoteReference"/>
        </w:rPr>
        <w:footnoteReference w:id="3157"/>
      </w:r>
      <w:r>
        <w:t xml:space="preserve">.</w:t>
      </w:r>
    </w:p>
    <w:p>
      <w:r>
        <w:rPr>
          <w:b/>
        </w:rPr>
        <w:t xml:space="preserve">14 </w:t>
      </w:r>
      <w:r>
        <w:t xml:space="preserve">And they set out from Alush and camped in Rephidim</w:t>
      </w:r>
      <w:r>
        <w:rPr>
          <w:rStyle w:val="FootnoteReference"/>
        </w:rPr>
        <w:footnoteReference w:id="3158"/>
      </w:r>
      <w:r>
        <w:t xml:space="preserve">, and there was no water for the people to drink there.</w:t>
      </w:r>
    </w:p>
    <w:p>
      <w:r>
        <w:rPr>
          <w:b/>
        </w:rPr>
        <w:t xml:space="preserve">15 </w:t>
      </w:r>
      <w:r>
        <w:t xml:space="preserve">And they set out from Rephidim and camped in the wilderness of Sinai.</w:t>
      </w:r>
    </w:p>
    <w:p>
      <w:r>
        <w:rPr>
          <w:b/>
        </w:rPr>
        <w:t xml:space="preserve">16 </w:t>
      </w:r>
      <w:r>
        <w:t xml:space="preserve">And they set out from the wilderness of Sinai and camped at the Tombs of Desire.</w:t>
      </w:r>
    </w:p>
    <w:p>
      <w:r>
        <w:rPr>
          <w:b/>
        </w:rPr>
        <w:t xml:space="preserve">17 </w:t>
      </w:r>
      <w:r>
        <w:t xml:space="preserve">And they set out from the Tombs of Desire and camped in Hazeroth.</w:t>
      </w:r>
    </w:p>
    <w:p>
      <w:r>
        <w:rPr>
          <w:b/>
        </w:rPr>
        <w:t xml:space="preserve">18 </w:t>
      </w:r>
      <w:r>
        <w:t xml:space="preserve">And they set out from Hazeroth and camped in Rithmah</w:t>
      </w:r>
      <w:r>
        <w:rPr>
          <w:rStyle w:val="FootnoteReference"/>
        </w:rPr>
        <w:footnoteReference w:id="3159"/>
      </w:r>
      <w:r>
        <w:t xml:space="preserve">.</w:t>
      </w:r>
    </w:p>
    <w:p>
      <w:r>
        <w:rPr>
          <w:b/>
        </w:rPr>
        <w:t xml:space="preserve">19 </w:t>
      </w:r>
      <w:r>
        <w:t xml:space="preserve">And they set out from Rithmah and camped in Rimmon-Phares.</w:t>
      </w:r>
    </w:p>
    <w:p>
      <w:r>
        <w:rPr>
          <w:b/>
        </w:rPr>
        <w:t xml:space="preserve">20 </w:t>
      </w:r>
      <w:r>
        <w:t xml:space="preserve">And they set out from Rimmon-Phares and camped in Libnah</w:t>
      </w:r>
      <w:r>
        <w:rPr>
          <w:rStyle w:val="FootnoteReference"/>
        </w:rPr>
        <w:footnoteReference w:id="3160"/>
      </w:r>
      <w:r>
        <w:t xml:space="preserve">.</w:t>
      </w:r>
    </w:p>
    <w:p>
      <w:r>
        <w:rPr>
          <w:b/>
        </w:rPr>
        <w:t xml:space="preserve">21 </w:t>
      </w:r>
      <w:r>
        <w:t xml:space="preserve">And they set out from Libnah</w:t>
      </w:r>
      <w:r>
        <w:rPr>
          <w:rStyle w:val="FootnoteReference"/>
        </w:rPr>
        <w:footnoteReference w:id="3161"/>
      </w:r>
      <w:r>
        <w:t xml:space="preserve"> and camped at Rissah</w:t>
      </w:r>
      <w:r>
        <w:rPr>
          <w:rStyle w:val="FootnoteReference"/>
        </w:rPr>
        <w:footnoteReference w:id="3162"/>
      </w:r>
      <w:r>
        <w:t xml:space="preserve">.</w:t>
      </w:r>
    </w:p>
    <w:p>
      <w:r>
        <w:rPr>
          <w:b/>
        </w:rPr>
        <w:t xml:space="preserve">22 </w:t>
      </w:r>
      <w:r>
        <w:t xml:space="preserve">And they set out from Rissah and camped at Kehelathah</w:t>
      </w:r>
      <w:r>
        <w:rPr>
          <w:rStyle w:val="FootnoteReference"/>
        </w:rPr>
        <w:footnoteReference w:id="3163"/>
      </w:r>
      <w:r>
        <w:t xml:space="preserve">.</w:t>
      </w:r>
    </w:p>
    <w:p>
      <w:r>
        <w:rPr>
          <w:b/>
        </w:rPr>
        <w:t xml:space="preserve">23 </w:t>
      </w:r>
      <w:r>
        <w:t xml:space="preserve">And they set out from Kehelathah and camped at Mount Shapher.</w:t>
      </w:r>
    </w:p>
    <w:p>
      <w:r>
        <w:rPr>
          <w:b/>
        </w:rPr>
        <w:t xml:space="preserve">24 </w:t>
      </w:r>
      <w:r>
        <w:t xml:space="preserve">And they set out from Mount Shapher</w:t>
      </w:r>
      <w:r>
        <w:rPr>
          <w:rStyle w:val="FootnoteReference"/>
        </w:rPr>
        <w:footnoteReference w:id="3164"/>
      </w:r>
      <w:r>
        <w:t xml:space="preserve"> and camped at Haradah</w:t>
      </w:r>
      <w:r>
        <w:rPr>
          <w:rStyle w:val="FootnoteReference"/>
        </w:rPr>
        <w:footnoteReference w:id="3165"/>
      </w:r>
      <w:r>
        <w:t xml:space="preserve">.</w:t>
      </w:r>
    </w:p>
    <w:p>
      <w:r>
        <w:rPr>
          <w:b/>
        </w:rPr>
        <w:t xml:space="preserve">25 </w:t>
      </w:r>
      <w:r>
        <w:t xml:space="preserve">And they set out from Haradah and camped at Makheloth</w:t>
      </w:r>
      <w:r>
        <w:rPr>
          <w:rStyle w:val="FootnoteReference"/>
        </w:rPr>
        <w:footnoteReference w:id="3166"/>
      </w:r>
      <w:r>
        <w:t xml:space="preserve">.</w:t>
      </w:r>
    </w:p>
    <w:p>
      <w:r>
        <w:rPr>
          <w:b/>
        </w:rPr>
        <w:t xml:space="preserve">26 </w:t>
      </w:r>
      <w:r>
        <w:t xml:space="preserve">And they set out from Makheloth and camped at Tahath</w:t>
      </w:r>
      <w:r>
        <w:rPr>
          <w:rStyle w:val="FootnoteReference"/>
        </w:rPr>
        <w:footnoteReference w:id="3167"/>
      </w:r>
      <w:r>
        <w:t xml:space="preserve">.</w:t>
      </w:r>
    </w:p>
    <w:p>
      <w:r>
        <w:rPr>
          <w:b/>
        </w:rPr>
        <w:t xml:space="preserve">27 </w:t>
      </w:r>
      <w:r>
        <w:t xml:space="preserve">And they set out from Tahath and camped at Tarah</w:t>
      </w:r>
      <w:r>
        <w:rPr>
          <w:rStyle w:val="FootnoteReference"/>
        </w:rPr>
        <w:footnoteReference w:id="3168"/>
      </w:r>
      <w:r>
        <w:t xml:space="preserve">.</w:t>
      </w:r>
    </w:p>
    <w:p>
      <w:r>
        <w:rPr>
          <w:b/>
        </w:rPr>
        <w:t xml:space="preserve">28 </w:t>
      </w:r>
      <w:r>
        <w:t xml:space="preserve">And they set out from Tarah and camped at Mithcah</w:t>
      </w:r>
      <w:r>
        <w:rPr>
          <w:rStyle w:val="FootnoteReference"/>
        </w:rPr>
        <w:footnoteReference w:id="3169"/>
      </w:r>
      <w:r>
        <w:t xml:space="preserve">.</w:t>
      </w:r>
    </w:p>
    <w:p>
      <w:r>
        <w:rPr>
          <w:b/>
        </w:rPr>
        <w:t xml:space="preserve">29 </w:t>
      </w:r>
      <w:r>
        <w:t xml:space="preserve">And they set out from Mithcah and camped at Zalmonah</w:t>
      </w:r>
      <w:r>
        <w:rPr>
          <w:rStyle w:val="FootnoteReference"/>
        </w:rPr>
        <w:footnoteReference w:id="3170"/>
      </w:r>
      <w:r>
        <w:t xml:space="preserve">.</w:t>
      </w:r>
    </w:p>
    <w:p>
      <w:r>
        <w:rPr>
          <w:b/>
        </w:rPr>
        <w:t xml:space="preserve">30 </w:t>
      </w:r>
      <w:r>
        <w:t xml:space="preserve">And they set out from Zalmonah and camped at Moseroth</w:t>
      </w:r>
      <w:r>
        <w:rPr>
          <w:rStyle w:val="FootnoteReference"/>
        </w:rPr>
        <w:footnoteReference w:id="3171"/>
      </w:r>
      <w:r>
        <w:t xml:space="preserve">.</w:t>
      </w:r>
      <w:r>
        <w:rPr>
          <w:rStyle w:val="FootnoteReference"/>
        </w:rPr>
        <w:footnoteReference w:id="3172"/>
      </w:r>
    </w:p>
    <w:p>
      <w:r>
        <w:rPr>
          <w:b/>
        </w:rPr>
        <w:t xml:space="preserve">31 </w:t>
      </w:r>
      <w:r>
        <w:t xml:space="preserve">And they set out from Moseroth and camped at Benaiah</w:t>
      </w:r>
      <w:r>
        <w:rPr>
          <w:rStyle w:val="FootnoteReference"/>
        </w:rPr>
        <w:footnoteReference w:id="3173"/>
      </w:r>
      <w:r>
        <w:t xml:space="preserve">.</w:t>
      </w:r>
    </w:p>
    <w:p>
      <w:r>
        <w:rPr>
          <w:b/>
        </w:rPr>
        <w:t xml:space="preserve">32 </w:t>
      </w:r>
      <w:r>
        <w:t xml:space="preserve">And they set out from Benaiah and camped at Mount Horhagidgad</w:t>
      </w:r>
      <w:r>
        <w:rPr>
          <w:rStyle w:val="FootnoteReference"/>
        </w:rPr>
        <w:footnoteReference w:id="3174"/>
      </w:r>
      <w:r>
        <w:t xml:space="preserve">.</w:t>
      </w:r>
    </w:p>
    <w:p>
      <w:r>
        <w:rPr>
          <w:b/>
        </w:rPr>
        <w:t xml:space="preserve">33 </w:t>
      </w:r>
      <w:r>
        <w:t xml:space="preserve">And they set out from Mount Horhagidgad and camped at Jotbathah</w:t>
      </w:r>
      <w:r>
        <w:rPr>
          <w:rStyle w:val="FootnoteReference"/>
        </w:rPr>
        <w:footnoteReference w:id="3175"/>
      </w:r>
      <w:r>
        <w:t xml:space="preserve">.</w:t>
      </w:r>
      <w:r>
        <w:rPr>
          <w:rStyle w:val="FootnoteReference"/>
        </w:rPr>
        <w:footnoteReference w:id="3176"/>
      </w:r>
    </w:p>
    <w:p>
      <w:r>
        <w:rPr>
          <w:b/>
        </w:rPr>
        <w:t xml:space="preserve">34 </w:t>
      </w:r>
      <w:r>
        <w:t xml:space="preserve">And they set out from Jotbathah and camped at Ebronah</w:t>
      </w:r>
      <w:r>
        <w:rPr>
          <w:rStyle w:val="FootnoteReference"/>
        </w:rPr>
        <w:footnoteReference w:id="3177"/>
      </w:r>
      <w:r>
        <w:t xml:space="preserve">.</w:t>
      </w:r>
      <w:r>
        <w:rPr>
          <w:rStyle w:val="FootnoteReference"/>
        </w:rPr>
        <w:footnoteReference w:id="3178"/>
      </w:r>
    </w:p>
    <w:p>
      <w:r>
        <w:rPr>
          <w:b/>
        </w:rPr>
        <w:t xml:space="preserve">35 </w:t>
      </w:r>
      <w:r>
        <w:t xml:space="preserve">And they set out from Ebronah and camped at Eziongaber</w:t>
      </w:r>
      <w:r>
        <w:rPr>
          <w:rStyle w:val="FootnoteReference"/>
        </w:rPr>
        <w:footnoteReference w:id="3179"/>
      </w:r>
      <w:r>
        <w:t xml:space="preserve">.</w:t>
      </w:r>
    </w:p>
    <w:p>
      <w:r>
        <w:rPr>
          <w:b/>
        </w:rPr>
        <w:t xml:space="preserve">36 </w:t>
      </w:r>
      <w:r>
        <w:t xml:space="preserve">And they set out from Eziongaber and camped in the wilderness of Sin, and they set out from the wilderness of Sin and camped in the wilderness of Paran; this is Kadesh.</w:t>
      </w:r>
    </w:p>
    <w:p>
      <w:r>
        <w:rPr>
          <w:b/>
        </w:rPr>
        <w:t xml:space="preserve">37 </w:t>
      </w:r>
      <w:r>
        <w:t xml:space="preserve">And they set out from Kadesh</w:t>
      </w:r>
      <w:r>
        <w:rPr>
          <w:rStyle w:val="FootnoteReference"/>
        </w:rPr>
        <w:footnoteReference w:id="3180"/>
      </w:r>
      <w:r>
        <w:t xml:space="preserve"> and camped at Mount Hor, near the land of Edom.</w:t>
      </w:r>
    </w:p>
    <w:p>
      <w:r>
        <w:rPr>
          <w:b/>
        </w:rPr>
        <w:t xml:space="preserve">38 </w:t>
      </w:r>
      <w:r>
        <w:t xml:space="preserve">And Aaron the priest went up by the command of the Lord and died there, in the fortieth year of the departure of the sons of Israel from the land of Egypt, in the fifth month, on the first day of the month.</w:t>
      </w:r>
    </w:p>
    <w:p>
      <w:r>
        <w:rPr>
          <w:b/>
        </w:rPr>
        <w:t xml:space="preserve">39 </w:t>
      </w:r>
      <w:r>
        <w:t xml:space="preserve">And Aaron was one hundred twenty-three years old when he died on Mount Hor.</w:t>
      </w:r>
    </w:p>
    <w:p>
      <w:r>
        <w:rPr>
          <w:b/>
        </w:rPr>
        <w:t xml:space="preserve">40 </w:t>
      </w:r>
      <w:r>
        <w:t xml:space="preserve">And the Canaanite king of Arad heard, and he himself dwelt in the land of Canaan, when the sons of Israel were entering.</w:t>
      </w:r>
    </w:p>
    <w:p>
      <w:r>
        <w:rPr>
          <w:b/>
        </w:rPr>
        <w:t xml:space="preserve">41 </w:t>
      </w:r>
      <w:r>
        <w:t xml:space="preserve">And they set out from Mount Hor and camped at Zalmonah.</w:t>
      </w:r>
    </w:p>
    <w:p>
      <w:r>
        <w:rPr>
          <w:b/>
        </w:rPr>
        <w:t xml:space="preserve">42 </w:t>
      </w:r>
      <w:r>
        <w:t xml:space="preserve">And they set out from Zalmonah and camped at Punon</w:t>
      </w:r>
      <w:r>
        <w:rPr>
          <w:rStyle w:val="FootnoteReference"/>
        </w:rPr>
        <w:footnoteReference w:id="3181"/>
      </w:r>
      <w:r>
        <w:t xml:space="preserve">.</w:t>
      </w:r>
      <w:r>
        <w:rPr>
          <w:rStyle w:val="FootnoteReference"/>
        </w:rPr>
        <w:footnoteReference w:id="3182"/>
      </w:r>
    </w:p>
    <w:p>
      <w:r>
        <w:rPr>
          <w:b/>
        </w:rPr>
        <w:t xml:space="preserve">43 </w:t>
      </w:r>
      <w:r>
        <w:t xml:space="preserve">And they set out from Punon and camped at Oboth.</w:t>
      </w:r>
    </w:p>
    <w:p>
      <w:r>
        <w:rPr>
          <w:b/>
        </w:rPr>
        <w:t xml:space="preserve">44 </w:t>
      </w:r>
      <w:r>
        <w:t xml:space="preserve">And they set out from Oboth and camped in Ijeabarim</w:t>
      </w:r>
      <w:r>
        <w:rPr>
          <w:rStyle w:val="FootnoteReference"/>
        </w:rPr>
        <w:footnoteReference w:id="3183"/>
      </w:r>
      <w:r>
        <w:t xml:space="preserve"> on the borders of Moab.</w:t>
      </w:r>
      <w:r>
        <w:rPr>
          <w:rStyle w:val="FootnoteReference"/>
        </w:rPr>
        <w:footnoteReference w:id="3184"/>
      </w:r>
    </w:p>
    <w:p>
      <w:r>
        <w:rPr>
          <w:b/>
        </w:rPr>
        <w:t xml:space="preserve">45 </w:t>
      </w:r>
      <w:r>
        <w:t xml:space="preserve">And they set out from Iim</w:t>
      </w:r>
      <w:r>
        <w:rPr>
          <w:rStyle w:val="FootnoteReference"/>
        </w:rPr>
        <w:footnoteReference w:id="3185"/>
      </w:r>
      <w:r>
        <w:t xml:space="preserve"> and camped at Dibongad</w:t>
      </w:r>
      <w:r>
        <w:rPr>
          <w:rStyle w:val="FootnoteReference"/>
        </w:rPr>
        <w:footnoteReference w:id="3186"/>
      </w:r>
      <w:r>
        <w:t xml:space="preserve">.</w:t>
      </w:r>
    </w:p>
    <w:p>
      <w:r>
        <w:rPr>
          <w:b/>
        </w:rPr>
        <w:t xml:space="preserve">46 </w:t>
      </w:r>
      <w:r>
        <w:t xml:space="preserve">And they set out from Dibongad</w:t>
      </w:r>
      <w:r>
        <w:rPr>
          <w:rStyle w:val="FootnoteReference"/>
        </w:rPr>
        <w:footnoteReference w:id="3187"/>
      </w:r>
      <w:r>
        <w:t xml:space="preserve"> and camped in Almon-diblathaim</w:t>
      </w:r>
      <w:r>
        <w:rPr>
          <w:rStyle w:val="FootnoteReference"/>
        </w:rPr>
        <w:footnoteReference w:id="3188"/>
      </w:r>
      <w:r>
        <w:t xml:space="preserve">.</w:t>
      </w:r>
      <w:r>
        <w:rPr>
          <w:rStyle w:val="FootnoteReference"/>
        </w:rPr>
        <w:footnoteReference w:id="3189"/>
      </w:r>
    </w:p>
    <w:p>
      <w:r>
        <w:rPr>
          <w:b/>
        </w:rPr>
        <w:t xml:space="preserve">47 </w:t>
      </w:r>
      <w:r>
        <w:t xml:space="preserve">And they set out from Almon-diblathaim and camped at the mountains</w:t>
      </w:r>
      <w:r>
        <w:rPr>
          <w:rStyle w:val="FootnoteReference"/>
        </w:rPr>
        <w:footnoteReference w:id="3190"/>
      </w:r>
      <w:r>
        <w:t xml:space="preserve"> of Abarim</w:t>
      </w:r>
      <w:r>
        <w:rPr>
          <w:rStyle w:val="FootnoteReference"/>
        </w:rPr>
        <w:footnoteReference w:id="3191"/>
      </w:r>
      <w:r>
        <w:t xml:space="preserve"> opposite Nebo.</w:t>
      </w:r>
    </w:p>
    <w:p>
      <w:r>
        <w:rPr>
          <w:b/>
        </w:rPr>
        <w:t xml:space="preserve">48 </w:t>
      </w:r>
      <w:r>
        <w:t xml:space="preserve">And they set out from the mountains of Abarim and camped west of Moab by the Jordan at Jericho.</w:t>
      </w:r>
    </w:p>
    <w:p>
      <w:r>
        <w:rPr>
          <w:b/>
        </w:rPr>
        <w:t xml:space="preserve">49 </w:t>
      </w:r>
      <w:r>
        <w:t xml:space="preserve">And they camped by the Jordan, from Bethjesimoth</w:t>
      </w:r>
      <w:r>
        <w:rPr>
          <w:rStyle w:val="FootnoteReference"/>
        </w:rPr>
        <w:footnoteReference w:id="3192"/>
      </w:r>
      <w:r>
        <w:t xml:space="preserve"> to Abelshittim</w:t>
      </w:r>
      <w:r>
        <w:rPr>
          <w:rStyle w:val="FootnoteReference"/>
        </w:rPr>
        <w:footnoteReference w:id="3193"/>
      </w:r>
      <w:r>
        <w:t xml:space="preserve">, west of Moab.</w:t>
      </w:r>
      <w:r>
        <w:rPr>
          <w:rStyle w:val="FootnoteReference"/>
        </w:rPr>
        <w:footnoteReference w:id="3194"/>
      </w:r>
    </w:p>
    <w:p>
      <w:r>
        <w:rPr>
          <w:b/>
        </w:rPr>
        <w:t xml:space="preserve">50 </w:t>
      </w:r>
      <w:r>
        <w:t xml:space="preserve">And the Lord spoke to Moses west of Moab by the Jordan at Jericho, saying,</w:t>
      </w:r>
    </w:p>
    <w:p>
      <w:r>
        <w:rPr>
          <w:b/>
        </w:rPr>
        <w:t xml:space="preserve">51 </w:t>
      </w:r>
      <w:r>
        <w:t xml:space="preserve">Speak to the sons of Israel and say to them, You are crossing the Jordan into the land of Canaan.</w:t>
      </w:r>
    </w:p>
    <w:p>
      <w:r>
        <w:rPr>
          <w:b/>
        </w:rPr>
        <w:t xml:space="preserve">52 </w:t>
      </w:r>
      <w:r>
        <w:t xml:space="preserve">And you shall destroy all the inhabitants in the land from before you, and you shall remove their watch-posts, and all their molten idols you shall destroy them, and all their pillars you shall remove.</w:t>
      </w:r>
    </w:p>
    <w:p>
      <w:r>
        <w:rPr>
          <w:b/>
        </w:rPr>
        <w:t xml:space="preserve">53 </w:t>
      </w:r>
      <w:r>
        <w:t xml:space="preserve">And you shall destroy all those inhabiting the land and dwell in it, for I have given you their land by lot.</w:t>
      </w:r>
    </w:p>
    <w:p>
      <w:r>
        <w:rPr>
          <w:b/>
        </w:rPr>
        <w:t xml:space="preserve">54 </w:t>
      </w:r>
      <w:r>
        <w:t xml:space="preserve">And you shall take possession of their land by lot according to your tribes. To the greater you shall increase their possession, and to the fewer you shall lessen their possession. Wherever his lot comes out, there it shall be his. According to the tribes of your fathers you shall inherit.</w:t>
      </w:r>
      <w:r>
        <w:rPr>
          <w:rStyle w:val="FootnoteReference"/>
        </w:rPr>
        <w:footnoteReference w:id="3195"/>
      </w:r>
    </w:p>
    <w:p>
      <w:r>
        <w:rPr>
          <w:b/>
        </w:rPr>
        <w:t xml:space="preserve">55 </w:t>
      </w:r>
      <w:r>
        <w:t xml:space="preserve">But if you do not destroy the inhabitants of the land from before you, then those you leave from them shall be spikes in your eyes and darts in your sides</w:t>
      </w:r>
      <w:r>
        <w:rPr>
          <w:rStyle w:val="FootnoteReference"/>
        </w:rPr>
        <w:footnoteReference w:id="3196"/>
      </w:r>
      <w:r>
        <w:t xml:space="preserve">, and they shall be hostile over the land on which you dwell.</w:t>
      </w:r>
    </w:p>
    <w:p>
      <w:r>
        <w:rPr>
          <w:b/>
        </w:rPr>
        <w:t xml:space="preserve">56 </w:t>
      </w:r>
      <w:r>
        <w:t xml:space="preserve">And it shall be, just as I determined to do to them, I will do to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t xml:space="preserve">And the Lord spoke to Moses, saying,</w:t>
      </w:r>
    </w:p>
    <w:p>
      <w:r>
        <w:rPr>
          <w:b/>
        </w:rPr>
        <w:t xml:space="preserve">2 </w:t>
      </w:r>
      <w:r>
        <w:t xml:space="preserve">Command the sons of Israel and say to them, You are entering into the land of Canaan. This shall be for you as an inheritance</w:t>
      </w:r>
      <w:r>
        <w:rPr>
          <w:rStyle w:val="FootnoteReference"/>
        </w:rPr>
        <w:footnoteReference w:id="3197"/>
      </w:r>
      <w:r>
        <w:t xml:space="preserve">, the land of Canaan with its borders.</w:t>
      </w:r>
    </w:p>
    <w:p>
      <w:r>
        <w:rPr>
          <w:b/>
        </w:rPr>
        <w:t xml:space="preserve">3 </w:t>
      </w:r>
      <w:r>
        <w:t xml:space="preserve">And for you the south side shall be from the wilderness of Sin up to Edom, and for you the southern borders shall be from the side of the Salt Sea eastward</w:t>
      </w:r>
      <w:r>
        <w:rPr>
          <w:rStyle w:val="FootnoteReference"/>
        </w:rPr>
        <w:footnoteReference w:id="3198"/>
      </w:r>
      <w:r>
        <w:t xml:space="preserve">.</w:t>
      </w:r>
    </w:p>
    <w:p>
      <w:r>
        <w:rPr>
          <w:b/>
        </w:rPr>
        <w:t xml:space="preserve">4 </w:t>
      </w:r>
      <w:r>
        <w:t xml:space="preserve">And the borders shall turn for you from the south to the ascent of Akrabbim</w:t>
      </w:r>
      <w:r>
        <w:rPr>
          <w:rStyle w:val="FootnoteReference"/>
        </w:rPr>
        <w:footnoteReference w:id="3199"/>
      </w:r>
      <w:r>
        <w:t xml:space="preserve"> and shall pass Sena, and its exit shall be south of Kadesh-Barnea and shall go out to the camp of Arad and shall pass Azmon</w:t>
      </w:r>
      <w:r>
        <w:rPr>
          <w:rStyle w:val="FootnoteReference"/>
        </w:rPr>
        <w:footnoteReference w:id="3200"/>
      </w:r>
      <w:r>
        <w:t xml:space="preserve">.</w:t>
      </w:r>
      <w:r>
        <w:rPr>
          <w:rStyle w:val="FootnoteReference"/>
        </w:rPr>
        <w:footnoteReference w:id="3201"/>
      </w:r>
    </w:p>
    <w:p>
      <w:r>
        <w:rPr>
          <w:b/>
        </w:rPr>
        <w:t xml:space="preserve">5 </w:t>
      </w:r>
      <w:r>
        <w:t xml:space="preserve">And the borders shall turn from Azmon to the Torrent of Egypt, and its exit shall be the sea</w:t>
      </w:r>
      <w:r>
        <w:rPr>
          <w:rStyle w:val="FootnoteReference"/>
        </w:rPr>
        <w:footnoteReference w:id="3202"/>
      </w:r>
      <w:r>
        <w:t xml:space="preserve">.</w:t>
      </w:r>
    </w:p>
    <w:p>
      <w:r>
        <w:rPr>
          <w:b/>
        </w:rPr>
        <w:t xml:space="preserve">6 </w:t>
      </w:r>
      <w:r>
        <w:t xml:space="preserve">And your sea border shall be the Great Sea; it shall mark the boundary. This shall be for you the sea border.</w:t>
      </w:r>
    </w:p>
    <w:p>
      <w:r>
        <w:rPr>
          <w:b/>
        </w:rPr>
        <w:t xml:space="preserve">7 </w:t>
      </w:r>
      <w:r>
        <w:t xml:space="preserve">And this shall be the border for you to the north. From the Great Sea you shall measure for yourselves by Mount Hor</w:t>
      </w:r>
      <w:r>
        <w:rPr>
          <w:rStyle w:val="FootnoteReference"/>
        </w:rPr>
        <w:footnoteReference w:id="3203"/>
      </w:r>
      <w:r>
        <w:t xml:space="preserve">.</w:t>
      </w:r>
    </w:p>
    <w:p>
      <w:r>
        <w:rPr>
          <w:b/>
        </w:rPr>
        <w:t xml:space="preserve">8 </w:t>
      </w:r>
      <w:r>
        <w:t xml:space="preserve">And from Mount Hor you shall measure for yourselves entering into Hamath, and its exit shall be the borders of Sarada.</w:t>
      </w:r>
    </w:p>
    <w:p>
      <w:r>
        <w:rPr>
          <w:b/>
        </w:rPr>
        <w:t xml:space="preserve">9 </w:t>
      </w:r>
      <w:r>
        <w:t xml:space="preserve">And the borders shall go out to Ziphron</w:t>
      </w:r>
      <w:r>
        <w:rPr>
          <w:rStyle w:val="FootnoteReference"/>
        </w:rPr>
        <w:footnoteReference w:id="3204"/>
      </w:r>
      <w:r>
        <w:t xml:space="preserve">, and its exit shall be Hazarenan</w:t>
      </w:r>
      <w:r>
        <w:rPr>
          <w:rStyle w:val="FootnoteReference"/>
        </w:rPr>
        <w:footnoteReference w:id="3205"/>
      </w:r>
      <w:r>
        <w:t xml:space="preserve">. This shall be for you the northern border.</w:t>
      </w:r>
      <w:r>
        <w:rPr>
          <w:rStyle w:val="FootnoteReference"/>
        </w:rPr>
        <w:footnoteReference w:id="3206"/>
      </w:r>
    </w:p>
    <w:p>
      <w:r>
        <w:rPr>
          <w:b/>
        </w:rPr>
        <w:t xml:space="preserve">10 </w:t>
      </w:r>
      <w:r>
        <w:t xml:space="preserve">And you shall measure for yourselves the eastern border from Hazarenan to Sephama.</w:t>
      </w:r>
    </w:p>
    <w:p>
      <w:r>
        <w:rPr>
          <w:b/>
        </w:rPr>
        <w:t xml:space="preserve">11 </w:t>
      </w:r>
      <w:r>
        <w:t xml:space="preserve">And the border shall go down from Sepham to Riblah</w:t>
      </w:r>
      <w:r>
        <w:rPr>
          <w:rStyle w:val="FootnoteReference"/>
        </w:rPr>
        <w:footnoteReference w:id="3207"/>
      </w:r>
      <w:r>
        <w:t xml:space="preserve"> eastward by the springs, and the border shall go down to Bela on the slope of the Sea of Chinnereth</w:t>
      </w:r>
      <w:r>
        <w:rPr>
          <w:rStyle w:val="FootnoteReference"/>
        </w:rPr>
        <w:footnoteReference w:id="3208"/>
      </w:r>
      <w:r>
        <w:t xml:space="preserve"> eastward.</w:t>
      </w:r>
      <w:r>
        <w:rPr>
          <w:rStyle w:val="FootnoteReference"/>
        </w:rPr>
        <w:footnoteReference w:id="3209"/>
      </w:r>
    </w:p>
    <w:p>
      <w:r>
        <w:rPr>
          <w:b/>
        </w:rPr>
        <w:t xml:space="preserve">12 </w:t>
      </w:r>
      <w:r>
        <w:t xml:space="preserve">And the border shall go down to the Jordan, and its exit shall be the Salt Sea</w:t>
      </w:r>
      <w:r>
        <w:rPr>
          <w:rStyle w:val="FootnoteReference"/>
        </w:rPr>
        <w:footnoteReference w:id="3210"/>
      </w:r>
      <w:r>
        <w:t xml:space="preserve">. This shall be for you the land and its borders all around.</w:t>
      </w:r>
    </w:p>
    <w:p>
      <w:r>
        <w:rPr>
          <w:b/>
        </w:rPr>
        <w:t xml:space="preserve">13 </w:t>
      </w:r>
      <w:r>
        <w:t xml:space="preserve">And Moses commanded the sons of Israel, saying, This is the land</w:t>
      </w:r>
      <w:r>
        <w:rPr>
          <w:rStyle w:val="FootnoteReference"/>
        </w:rPr>
        <w:footnoteReference w:id="3211"/>
      </w:r>
      <w:r>
        <w:t xml:space="preserve"> that you shall inherit by lot, which the Lord commanded Moses to give it to the nine tribes and to the half-tribe of Manasseh,</w:t>
      </w:r>
    </w:p>
    <w:p>
      <w:r>
        <w:rPr>
          <w:b/>
        </w:rPr>
        <w:t xml:space="preserve">14 </w:t>
      </w:r>
      <w:r>
        <w:t xml:space="preserve">because the tribe of the sons of Reuben and the tribe of the sons of Gad by their ancestral houses and the half-tribe of Manasseh received their allotments</w:t>
      </w:r>
      <w:r>
        <w:rPr>
          <w:rStyle w:val="FootnoteReference"/>
        </w:rPr>
        <w:footnoteReference w:id="3212"/>
      </w:r>
      <w:r>
        <w:t xml:space="preserve">.</w:t>
      </w:r>
    </w:p>
    <w:p>
      <w:r>
        <w:rPr>
          <w:b/>
        </w:rPr>
        <w:t xml:space="preserve">15 </w:t>
      </w:r>
      <w:r>
        <w:t xml:space="preserve">Two tribes and a half-tribe received their allotments beyond the Jordan at Jericho, from the south eastward.</w:t>
      </w:r>
    </w:p>
    <w:p>
      <w:r>
        <w:rPr>
          <w:b/>
        </w:rPr>
        <w:t xml:space="preserve">16 </w:t>
      </w:r>
      <w:r>
        <w:t xml:space="preserve">And the Lord spoke to Moses, saying,</w:t>
      </w:r>
    </w:p>
    <w:p>
      <w:r>
        <w:rPr>
          <w:b/>
        </w:rPr>
        <w:t xml:space="preserve">17 </w:t>
      </w:r>
      <w:r>
        <w:t xml:space="preserve">These are the names</w:t>
      </w:r>
      <w:r>
        <w:rPr>
          <w:rStyle w:val="FootnoteReference"/>
        </w:rPr>
        <w:footnoteReference w:id="3213"/>
      </w:r>
      <w:r>
        <w:t xml:space="preserve"> of the men who shall allot the land to you: Eleazar the priest and Joshua son of Nun.</w:t>
      </w:r>
    </w:p>
    <w:p>
      <w:r>
        <w:rPr>
          <w:b/>
        </w:rPr>
        <w:t xml:space="preserve">18 </w:t>
      </w:r>
      <w:r>
        <w:t xml:space="preserve">And one leader from each tribe you shall take to allot the land for you.</w:t>
      </w:r>
    </w:p>
    <w:p>
      <w:r>
        <w:rPr>
          <w:b/>
        </w:rPr>
        <w:t xml:space="preserve">19 </w:t>
      </w:r>
      <w:r>
        <w:t xml:space="preserve">And these are the names of the men: from the tribe of Judah, Caleb</w:t>
      </w:r>
      <w:r>
        <w:rPr>
          <w:rStyle w:val="FootnoteReference"/>
        </w:rPr>
        <w:footnoteReference w:id="3214"/>
      </w:r>
      <w:r>
        <w:t xml:space="preserve"> son of Jephunneh.</w:t>
      </w:r>
    </w:p>
    <w:p>
      <w:r>
        <w:rPr>
          <w:b/>
        </w:rPr>
        <w:t xml:space="preserve">20 </w:t>
      </w:r>
      <w:r>
        <w:t xml:space="preserve">From the tribe of Simeon, Shammua son of Ammihud.</w:t>
      </w:r>
    </w:p>
    <w:p>
      <w:r>
        <w:rPr>
          <w:b/>
        </w:rPr>
        <w:t xml:space="preserve">21 </w:t>
      </w:r>
      <w:r>
        <w:t xml:space="preserve">From the tribe of Benjamin, Eldad son of Chislon</w:t>
      </w:r>
      <w:r>
        <w:rPr>
          <w:rStyle w:val="FootnoteReference"/>
        </w:rPr>
        <w:footnoteReference w:id="3215"/>
      </w:r>
      <w:r>
        <w:t xml:space="preserve">.</w:t>
      </w:r>
    </w:p>
    <w:p>
      <w:r>
        <w:rPr>
          <w:b/>
        </w:rPr>
        <w:t xml:space="preserve">22 </w:t>
      </w:r>
      <w:r>
        <w:t xml:space="preserve">From the tribe of Dan, the leader Bacchir son of Jogli</w:t>
      </w:r>
      <w:r>
        <w:rPr>
          <w:rStyle w:val="FootnoteReference"/>
        </w:rPr>
        <w:footnoteReference w:id="3216"/>
      </w:r>
      <w:r>
        <w:t xml:space="preserve">.</w:t>
      </w:r>
    </w:p>
    <w:p>
      <w:r>
        <w:rPr>
          <w:b/>
        </w:rPr>
        <w:t xml:space="preserve">23 </w:t>
      </w:r>
      <w:r>
        <w:t xml:space="preserve">From the sons of Joseph, from the tribe of the sons of Manasseh, the leader Hanniel</w:t>
      </w:r>
      <w:r>
        <w:rPr>
          <w:rStyle w:val="FootnoteReference"/>
        </w:rPr>
        <w:footnoteReference w:id="3217"/>
      </w:r>
      <w:r>
        <w:t xml:space="preserve"> son of Ouphi.</w:t>
      </w:r>
    </w:p>
    <w:p>
      <w:r>
        <w:rPr>
          <w:b/>
        </w:rPr>
        <w:t xml:space="preserve">24 </w:t>
      </w:r>
      <w:r>
        <w:t xml:space="preserve">From the tribe of the sons of Ephraim, the leader Kemuel son of Shiphtan</w:t>
      </w:r>
      <w:r>
        <w:rPr>
          <w:rStyle w:val="FootnoteReference"/>
        </w:rPr>
        <w:footnoteReference w:id="3218"/>
      </w:r>
      <w:r>
        <w:t xml:space="preserve">.</w:t>
      </w:r>
    </w:p>
    <w:p>
      <w:r>
        <w:rPr>
          <w:b/>
        </w:rPr>
        <w:t xml:space="preserve">25 </w:t>
      </w:r>
      <w:r>
        <w:t xml:space="preserve">From the tribe of Zebulun, the leader Elzaphan son of Parnach</w:t>
      </w:r>
      <w:r>
        <w:rPr>
          <w:rStyle w:val="FootnoteReference"/>
        </w:rPr>
        <w:footnoteReference w:id="3219"/>
      </w:r>
      <w:r>
        <w:t xml:space="preserve">.</w:t>
      </w:r>
    </w:p>
    <w:p>
      <w:r>
        <w:rPr>
          <w:b/>
        </w:rPr>
        <w:t xml:space="preserve">26 </w:t>
      </w:r>
      <w:r>
        <w:t xml:space="preserve">From the tribe of the sons of Issachar, the leader Paltiel</w:t>
      </w:r>
      <w:r>
        <w:rPr>
          <w:rStyle w:val="FootnoteReference"/>
        </w:rPr>
        <w:footnoteReference w:id="3220"/>
      </w:r>
      <w:r>
        <w:t xml:space="preserve"> son of Azzan</w:t>
      </w:r>
      <w:r>
        <w:rPr>
          <w:rStyle w:val="FootnoteReference"/>
        </w:rPr>
        <w:footnoteReference w:id="3221"/>
      </w:r>
      <w:r>
        <w:t xml:space="preserve">.</w:t>
      </w:r>
    </w:p>
    <w:p>
      <w:r>
        <w:rPr>
          <w:b/>
        </w:rPr>
        <w:t xml:space="preserve">27 </w:t>
      </w:r>
      <w:r>
        <w:t xml:space="preserve">From the tribe of the sons of Asher, the leader Ahihud</w:t>
      </w:r>
      <w:r>
        <w:rPr>
          <w:rStyle w:val="FootnoteReference"/>
        </w:rPr>
        <w:footnoteReference w:id="3222"/>
      </w:r>
      <w:r>
        <w:t xml:space="preserve"> son of Shelomi</w:t>
      </w:r>
      <w:r>
        <w:rPr>
          <w:rStyle w:val="FootnoteReference"/>
        </w:rPr>
        <w:footnoteReference w:id="3223"/>
      </w:r>
      <w:r>
        <w:t xml:space="preserve">.</w:t>
      </w:r>
    </w:p>
    <w:p>
      <w:r>
        <w:rPr>
          <w:b/>
        </w:rPr>
        <w:t xml:space="preserve">28 </w:t>
      </w:r>
      <w:r>
        <w:t xml:space="preserve">From the tribe of Naphtali, the leader Pedahel</w:t>
      </w:r>
      <w:r>
        <w:rPr>
          <w:rStyle w:val="FootnoteReference"/>
        </w:rPr>
        <w:footnoteReference w:id="3224"/>
      </w:r>
      <w:r>
        <w:t xml:space="preserve"> son of Ammihud.</w:t>
      </w:r>
    </w:p>
    <w:p>
      <w:r>
        <w:rPr>
          <w:b/>
        </w:rPr>
        <w:t xml:space="preserve">29 </w:t>
      </w:r>
      <w:r>
        <w:t xml:space="preserve">These are the ones whom the Lord commanded to divide the land for the sons of Israel</w:t>
      </w:r>
      <w:r>
        <w:rPr>
          <w:rStyle w:val="FootnoteReference"/>
        </w:rPr>
        <w:footnoteReference w:id="3225"/>
      </w:r>
      <w:r>
        <w:t xml:space="preserve"> in the land of Canaan.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t xml:space="preserve">And the Lord spoke to Moses west of Moab by the Jordan at Jericho, saying,</w:t>
      </w:r>
    </w:p>
    <w:p>
      <w:r>
        <w:rPr>
          <w:b/>
        </w:rPr>
        <w:t xml:space="preserve">2 </w:t>
      </w:r>
      <w:r>
        <w:t xml:space="preserve">Command the sons of Israel, and they shall give to the Levites from the lots of their possession cities to dwell in, and the outskirts</w:t>
      </w:r>
      <w:r>
        <w:rPr>
          <w:rStyle w:val="FootnoteReference"/>
        </w:rPr>
        <w:footnoteReference w:id="3226"/>
      </w:r>
      <w:r>
        <w:t xml:space="preserve"> of the cities around them they shall give to the Levites.</w:t>
      </w:r>
    </w:p>
    <w:p>
      <w:r>
        <w:rPr>
          <w:b/>
        </w:rPr>
        <w:t xml:space="preserve">3 </w:t>
      </w:r>
      <w:r>
        <w:t xml:space="preserve">And the cities shall be for them to dwell in, and their separated lands shall be for their cattle and for all their four-footed animals.</w:t>
      </w:r>
    </w:p>
    <w:p>
      <w:r>
        <w:rPr>
          <w:b/>
        </w:rPr>
        <w:t xml:space="preserve">4 </w:t>
      </w:r>
      <w:r>
        <w:t xml:space="preserve">And the surrounding lands of the cities that you shall give to the Levites, from the wall of the city and outward, shall be two thousand cubits all around.</w:t>
      </w:r>
    </w:p>
    <w:p>
      <w:r>
        <w:rPr>
          <w:b/>
        </w:rPr>
        <w:t xml:space="preserve">5 </w:t>
      </w:r>
      <w:r>
        <w:t xml:space="preserve">And you shall measure outside the city the east side two thousand cubits and the south side two thousand cubits and the west side two thousand cubits and the north side two thousand cubits, and the city shall be in the middle of this. These shall be for you the adjoining lands of the cities.</w:t>
      </w:r>
    </w:p>
    <w:p>
      <w:r>
        <w:rPr>
          <w:b/>
        </w:rPr>
        <w:t xml:space="preserve">6 </w:t>
      </w:r>
      <w:r>
        <w:t xml:space="preserve">And the cities that you shall give to the Levites, the six cities of refuges, which you shall give for the slayer to flee there, and besides these, forty-two cities.</w:t>
      </w:r>
    </w:p>
    <w:p>
      <w:r>
        <w:rPr>
          <w:b/>
        </w:rPr>
        <w:t xml:space="preserve">7 </w:t>
      </w:r>
      <w:r>
        <w:t xml:space="preserve">All the cities that you shall give to the Levites shall be forty-eight cities, these and their outskirts.</w:t>
      </w:r>
    </w:p>
    <w:p>
      <w:r>
        <w:rPr>
          <w:b/>
        </w:rPr>
        <w:t xml:space="preserve">8 </w:t>
      </w:r>
      <w:r>
        <w:t xml:space="preserve">And the cities that you shall give from the possession</w:t>
      </w:r>
      <w:r>
        <w:rPr>
          <w:rStyle w:val="FootnoteReference"/>
        </w:rPr>
        <w:footnoteReference w:id="3227"/>
      </w:r>
      <w:r>
        <w:t xml:space="preserve"> of the sons of Israel, from the greater share many, and from the smaller share fewer. Each according to his inheritance that they will inherit, they shall give from their cities to the Levites.</w:t>
      </w:r>
      <w:r>
        <w:rPr>
          <w:rStyle w:val="FootnoteReference"/>
        </w:rPr>
        <w:footnoteReference w:id="3228"/>
      </w:r>
    </w:p>
    <w:p>
      <w:r>
        <w:rPr>
          <w:b/>
        </w:rPr>
        <w:t xml:space="preserve">9 </w:t>
      </w:r>
      <w:r>
        <w:t xml:space="preserve">And the Lord spoke to Moses, saying,</w:t>
      </w:r>
    </w:p>
    <w:p>
      <w:r>
        <w:rPr>
          <w:b/>
        </w:rPr>
        <w:t xml:space="preserve">10 </w:t>
      </w:r>
      <w:r>
        <w:t xml:space="preserve">Speak to the sons of Israel and say to them, You are crossing the Jordan into the land of Canaan.</w:t>
      </w:r>
    </w:p>
    <w:p>
      <w:r>
        <w:rPr>
          <w:b/>
        </w:rPr>
        <w:t xml:space="preserve">11 </w:t>
      </w:r>
      <w:r>
        <w:t xml:space="preserve">And you shall designate cities for yourselves. They shall be refuges for you, for the slayer to flee there, everyone who struck down a soul unintentionally.</w:t>
      </w:r>
    </w:p>
    <w:p>
      <w:r>
        <w:rPr>
          <w:b/>
        </w:rPr>
        <w:t xml:space="preserve">12 </w:t>
      </w:r>
      <w:r>
        <w:t xml:space="preserve">And the cities shall be refuges for you from the avenger</w:t>
      </w:r>
      <w:r>
        <w:rPr>
          <w:rStyle w:val="FootnoteReference"/>
        </w:rPr>
        <w:footnoteReference w:id="3229"/>
      </w:r>
      <w:r>
        <w:t xml:space="preserve"> of blood, and the slayer shall certainly not die until he stands before the congregation for judgment.</w:t>
      </w:r>
    </w:p>
    <w:p>
      <w:r>
        <w:rPr>
          <w:b/>
        </w:rPr>
        <w:t xml:space="preserve">13 </w:t>
      </w:r>
      <w:r>
        <w:t xml:space="preserve">And the cities that you shall give, the six cities</w:t>
      </w:r>
      <w:r>
        <w:rPr>
          <w:rStyle w:val="FootnoteReference"/>
        </w:rPr>
        <w:footnoteReference w:id="3230"/>
      </w:r>
      <w:r>
        <w:t xml:space="preserve">, shall be refuges for you.</w:t>
      </w:r>
    </w:p>
    <w:p>
      <w:r>
        <w:rPr>
          <w:b/>
        </w:rPr>
        <w:t xml:space="preserve">14 </w:t>
      </w:r>
      <w:r>
        <w:t xml:space="preserve">Three cities</w:t>
      </w:r>
      <w:r>
        <w:rPr>
          <w:rStyle w:val="FootnoteReference"/>
        </w:rPr>
        <w:footnoteReference w:id="3231"/>
      </w:r>
      <w:r>
        <w:t xml:space="preserve"> you shall give beyond the Jordan, and three cities you shall give in the land of Canaan.</w:t>
      </w:r>
    </w:p>
    <w:p>
      <w:r>
        <w:rPr>
          <w:b/>
        </w:rPr>
        <w:t xml:space="preserve">15 </w:t>
      </w:r>
      <w:r>
        <w:t xml:space="preserve">The refuge shall be for the sons of Israel and for the proselyte and for the resident among you. These cities shall be a refuge, for everyone striking a soul unintentionally to flee there.</w:t>
      </w:r>
    </w:p>
    <w:p>
      <w:r>
        <w:rPr>
          <w:b/>
        </w:rPr>
        <w:t xml:space="preserve">16 </w:t>
      </w:r>
      <w:r>
        <w:t xml:space="preserve">But if he strikes him with an iron tool and he dies, he is a murderer. The murderer shall surely be put to death</w:t>
      </w:r>
      <w:r>
        <w:rPr>
          <w:rStyle w:val="FootnoteReference"/>
        </w:rPr>
        <w:footnoteReference w:id="3232"/>
      </w:r>
      <w:r>
        <w:t xml:space="preserve">.</w:t>
      </w:r>
    </w:p>
    <w:p>
      <w:r>
        <w:rPr>
          <w:b/>
        </w:rPr>
        <w:t xml:space="preserve">17 </w:t>
      </w:r>
      <w:r>
        <w:t xml:space="preserve">And if with a stone in the hand by which one may die he strikes him and he dies, he is a murderer. The murderer shall surely be put to death.</w:t>
      </w:r>
    </w:p>
    <w:p>
      <w:r>
        <w:rPr>
          <w:b/>
        </w:rPr>
        <w:t xml:space="preserve">18 </w:t>
      </w:r>
      <w:r>
        <w:t xml:space="preserve">And if with a wooden tool in the hand by which one may die he strikes him and he dies, he is a murderer. The murderer shall surely be put to death.</w:t>
      </w:r>
    </w:p>
    <w:p>
      <w:r>
        <w:rPr>
          <w:b/>
        </w:rPr>
        <w:t xml:space="preserve">19 </w:t>
      </w:r>
      <w:r>
        <w:t xml:space="preserve">The avenger of blood</w:t>
      </w:r>
      <w:r>
        <w:rPr>
          <w:rStyle w:val="FootnoteReference"/>
        </w:rPr>
        <w:footnoteReference w:id="3233"/>
      </w:r>
      <w:r>
        <w:t xml:space="preserve">, this one shall kill the murderer. When he meets him, this one shall kill him.</w:t>
      </w:r>
    </w:p>
    <w:p>
      <w:r>
        <w:rPr>
          <w:b/>
        </w:rPr>
        <w:t xml:space="preserve">20 </w:t>
      </w:r>
      <w:r>
        <w:t xml:space="preserve">And if through enmity he pushes him, or throws any object upon him from ambush, and he dies,</w:t>
      </w:r>
    </w:p>
    <w:p>
      <w:r>
        <w:rPr>
          <w:b/>
        </w:rPr>
        <w:t xml:space="preserve">21 </w:t>
      </w:r>
      <w:r>
        <w:t xml:space="preserve">or in anger strikes him with the hand and he dies, the one striking shall surely be put to death</w:t>
      </w:r>
      <w:r>
        <w:rPr>
          <w:rStyle w:val="FootnoteReference"/>
        </w:rPr>
        <w:footnoteReference w:id="3234"/>
      </w:r>
      <w:r>
        <w:t xml:space="preserve">. He is a murderer. The avenger of blood shall kill the murderer when he meets him.</w:t>
      </w:r>
    </w:p>
    <w:p>
      <w:r>
        <w:rPr>
          <w:b/>
        </w:rPr>
        <w:t xml:space="preserve">22 </w:t>
      </w:r>
      <w:r>
        <w:t xml:space="preserve">But if suddenly, not through enmity, he pushes him, or throws any object upon him not from ambush,</w:t>
      </w:r>
    </w:p>
    <w:p>
      <w:r>
        <w:rPr>
          <w:b/>
        </w:rPr>
        <w:t xml:space="preserve">23 </w:t>
      </w:r>
      <w:r>
        <w:t xml:space="preserve">or with any stone by which one may die, not knowing, it falls on him and he dies, while he was not his enemy nor seeking to do him harm,</w:t>
      </w:r>
    </w:p>
    <w:p>
      <w:r>
        <w:rPr>
          <w:b/>
        </w:rPr>
        <w:t xml:space="preserve">24 </w:t>
      </w:r>
      <w:r>
        <w:t xml:space="preserve">then the congregation shall judge between the striker and the avenger of blood according to these judgments.</w:t>
      </w:r>
    </w:p>
    <w:p>
      <w:r>
        <w:rPr>
          <w:b/>
        </w:rPr>
        <w:t xml:space="preserve">25 </w:t>
      </w:r>
      <w:r>
        <w:t xml:space="preserve">And the congregation shall rescue the slayer from the avenger of blood, and the congregation shall restore him to the city of his refuge where he fled, and he shall dwell there until the high priest dies, the one whom they anointed</w:t>
      </w:r>
      <w:r>
        <w:rPr>
          <w:rStyle w:val="FootnoteReference"/>
        </w:rPr>
        <w:footnoteReference w:id="3235"/>
      </w:r>
      <w:r>
        <w:t xml:space="preserve"> with the holy oil.</w:t>
      </w:r>
      <w:r>
        <w:rPr>
          <w:rStyle w:val="FootnoteReference"/>
        </w:rPr>
        <w:footnoteReference w:id="3236"/>
      </w:r>
    </w:p>
    <w:p>
      <w:r>
        <w:rPr>
          <w:b/>
        </w:rPr>
        <w:t xml:space="preserve">26 </w:t>
      </w:r>
      <w:r>
        <w:t xml:space="preserve">But if the slayer goes out beyond the bounds of the city where he fled there,</w:t>
      </w:r>
    </w:p>
    <w:p>
      <w:r>
        <w:rPr>
          <w:b/>
        </w:rPr>
        <w:t xml:space="preserve">27 </w:t>
      </w:r>
      <w:r>
        <w:t xml:space="preserve">and the avenger of blood finds him outside the bounds of the city of his refuge and the avenger of blood kills the slayer, he is not guilty.</w:t>
      </w:r>
    </w:p>
    <w:p>
      <w:r>
        <w:rPr>
          <w:b/>
        </w:rPr>
        <w:t xml:space="preserve">28 </w:t>
      </w:r>
      <w:r>
        <w:t xml:space="preserve">For he shall dwell in the city of refuge until the high priest dies, and after the high priest dies the slayer shall return to the land of his possession.</w:t>
      </w:r>
    </w:p>
    <w:p>
      <w:r>
        <w:rPr>
          <w:b/>
        </w:rPr>
        <w:t xml:space="preserve">29 </w:t>
      </w:r>
      <w:r>
        <w:t xml:space="preserve">And these things shall be for you an ordinance of judgment throughout your generations in all your dwellings.</w:t>
      </w:r>
    </w:p>
    <w:p>
      <w:r>
        <w:rPr>
          <w:b/>
        </w:rPr>
        <w:t xml:space="preserve">30 </w:t>
      </w:r>
      <w:r>
        <w:t xml:space="preserve">Everyone striking a soul, by witnesses you shall kill the murderer, but one witness shall not testify against a soul for dying.</w:t>
      </w:r>
    </w:p>
    <w:p>
      <w:r>
        <w:rPr>
          <w:b/>
        </w:rPr>
        <w:t xml:space="preserve">31 </w:t>
      </w:r>
      <w:r>
        <w:t xml:space="preserve">And you shall not take ransom for the life of the murderer who is guilty to be taken away, for by death he shall be put to death.</w:t>
      </w:r>
    </w:p>
    <w:p>
      <w:r>
        <w:rPr>
          <w:b/>
        </w:rPr>
        <w:t xml:space="preserve">32 </w:t>
      </w:r>
      <w:r>
        <w:t xml:space="preserve">You shall not take ransom for fleeing into the city of refuges, for returning to dwell upon the land until the high priest dies.</w:t>
      </w:r>
    </w:p>
    <w:p>
      <w:r>
        <w:rPr>
          <w:b/>
        </w:rPr>
        <w:t xml:space="preserve">33 </w:t>
      </w:r>
      <w:r>
        <w:t xml:space="preserve">And you shall certainly not murder the land in which you dwell, for blood murders the land, and the land shall not be atoned for from the blood poured out on it except by the blood of the one pouring it out.</w:t>
      </w:r>
    </w:p>
    <w:p>
      <w:r>
        <w:rPr>
          <w:b/>
        </w:rPr>
        <w:t xml:space="preserve">34 </w:t>
      </w:r>
      <w:r>
        <w:t xml:space="preserve">And you shall not defile the land on which you dwell, upon which I tabernacle among you, for I am the Lord tabernacling in the midst of the sons of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t xml:space="preserve">And the leaders of the tribe of the sons of Gilead</w:t>
      </w:r>
      <w:r>
        <w:rPr>
          <w:rStyle w:val="FootnoteReference"/>
        </w:rPr>
        <w:footnoteReference w:id="3237"/>
      </w:r>
      <w:r>
        <w:t xml:space="preserve"> son of Machir son of Manasseh, from the tribe of the sons of Joseph, came near and spoke before Moses and before Eleazar</w:t>
      </w:r>
      <w:r>
        <w:rPr>
          <w:rStyle w:val="FootnoteReference"/>
        </w:rPr>
        <w:footnoteReference w:id="3238"/>
      </w:r>
      <w:r>
        <w:t xml:space="preserve"> the priest and before the leaders of the ancestral houses of the sons of Israel.</w:t>
      </w:r>
    </w:p>
    <w:p>
      <w:r>
        <w:rPr>
          <w:b/>
        </w:rPr>
        <w:t xml:space="preserve">2 </w:t>
      </w:r>
      <w:r>
        <w:t xml:space="preserve">And they said to our lord, The Lord commanded</w:t>
      </w:r>
      <w:r>
        <w:rPr>
          <w:rStyle w:val="FootnoteReference"/>
        </w:rPr>
        <w:footnoteReference w:id="3239"/>
      </w:r>
      <w:r>
        <w:t xml:space="preserve"> to give the land of inheritance by lot to the sons of Israel, and to our lord the Lord commanded</w:t>
      </w:r>
      <w:r>
        <w:rPr>
          <w:rStyle w:val="FootnoteReference"/>
        </w:rPr>
        <w:footnoteReference w:id="3240"/>
      </w:r>
      <w:r>
        <w:t xml:space="preserve"> to give the inheritance of Zelophehad our brother to his daughters.</w:t>
      </w:r>
    </w:p>
    <w:p>
      <w:r>
        <w:rPr>
          <w:b/>
        </w:rPr>
        <w:t xml:space="preserve">3 </w:t>
      </w:r>
      <w:r>
        <w:t xml:space="preserve">And if they become wives to one of the tribes of the sons of Israel, their inheritance will be taken away from the possession of our fathers and added to the inheritance of the tribe to which they become wives, and it will be taken away from the lot of our inheritance.</w:t>
      </w:r>
      <w:r>
        <w:rPr>
          <w:rStyle w:val="FootnoteReference"/>
        </w:rPr>
        <w:footnoteReference w:id="3241"/>
      </w:r>
    </w:p>
    <w:p>
      <w:r>
        <w:rPr>
          <w:b/>
        </w:rPr>
        <w:t xml:space="preserve">4 </w:t>
      </w:r>
      <w:r>
        <w:t xml:space="preserve">And if the release of the sons of Israel comes, their inheritance will be added to the inheritance of the tribe to which they become wives, and their inheritance will be taken away from the inheritance of the tribe of our fathers.</w:t>
      </w:r>
      <w:r>
        <w:rPr>
          <w:rStyle w:val="FootnoteReference"/>
        </w:rPr>
        <w:footnoteReference w:id="3242"/>
      </w:r>
    </w:p>
    <w:p>
      <w:r>
        <w:rPr>
          <w:b/>
        </w:rPr>
        <w:t xml:space="preserve">5 </w:t>
      </w:r>
      <w:r>
        <w:t xml:space="preserve">And Moses commanded the sons of Israel by the command of the Lord, saying, Thus the tribe of the sons of Joseph speaks.</w:t>
      </w:r>
    </w:p>
    <w:p>
      <w:r>
        <w:rPr>
          <w:b/>
        </w:rPr>
        <w:t xml:space="preserve">6 </w:t>
      </w:r>
      <w:r>
        <w:t xml:space="preserve">This is the word that the Lord commanded for the daughters of Zelophehad, saying, Let them become wives to whom it is pleasing before them. Only from the clan of their father shall they become wives.</w:t>
      </w:r>
    </w:p>
    <w:p>
      <w:r>
        <w:rPr>
          <w:b/>
        </w:rPr>
        <w:t xml:space="preserve">7 </w:t>
      </w:r>
      <w:r>
        <w:t xml:space="preserve">And inheritance shall not be turned around for the sons of Israel from tribe to tribe, because the sons of Israel shall cling each to the inheritance of the tribe of his fathers.</w:t>
      </w:r>
    </w:p>
    <w:p>
      <w:r>
        <w:rPr>
          <w:b/>
        </w:rPr>
        <w:t xml:space="preserve">8 </w:t>
      </w:r>
      <w:r>
        <w:t xml:space="preserve">And every daughter</w:t>
      </w:r>
      <w:r>
        <w:rPr>
          <w:rStyle w:val="FootnoteReference"/>
        </w:rPr>
        <w:footnoteReference w:id="3243"/>
      </w:r>
      <w:r>
        <w:t xml:space="preserve"> inheriting inheritance from the tribes of the sons of Israel shall become wife to one from the clan of her father, so that the sons of Israel may inherit each the inheritance of his fathers.</w:t>
      </w:r>
      <w:r>
        <w:rPr>
          <w:rStyle w:val="FootnoteReference"/>
        </w:rPr>
        <w:footnoteReference w:id="3244"/>
      </w:r>
    </w:p>
    <w:p>
      <w:r>
        <w:rPr>
          <w:b/>
        </w:rPr>
        <w:t xml:space="preserve">9 </w:t>
      </w:r>
      <w:r>
        <w:t xml:space="preserve">And a lot shall not be turned from tribe to another tribe, but the sons of Israel shall cling each to his own inheritance.</w:t>
      </w:r>
    </w:p>
    <w:p>
      <w:r>
        <w:rPr>
          <w:b/>
        </w:rPr>
        <w:t xml:space="preserve">10 </w:t>
      </w:r>
      <w:r>
        <w:t xml:space="preserve">Just as the Lord commanded Moses, so the daughters of Zelophehad did.</w:t>
      </w:r>
    </w:p>
    <w:p>
      <w:r>
        <w:rPr>
          <w:b/>
        </w:rPr>
        <w:t xml:space="preserve">11 </w:t>
      </w:r>
      <w:r>
        <w:t xml:space="preserve">And Tirzah and Hoglah and Milcah and Noah and Mahlah, daughters of Zelophehad, became wives to their cousins.</w:t>
      </w:r>
    </w:p>
    <w:p>
      <w:r>
        <w:rPr>
          <w:b/>
        </w:rPr>
        <w:t xml:space="preserve">12 </w:t>
      </w:r>
      <w:r>
        <w:t xml:space="preserve">From the clan of Manasseh, sons of Joseph, they became wives, and their inheritance remained upon the tribe of the clan of their father.</w:t>
      </w:r>
    </w:p>
    <w:p>
      <w:r>
        <w:rPr>
          <w:b/>
        </w:rPr>
        <w:t xml:space="preserve">13 </w:t>
      </w:r>
      <w:r>
        <w:t xml:space="preserve">These are the commands and the ordinances and the judgments that the Lord commanded by the hand of Moses west of Moab by the Jordan at Jericho.</w:t>
      </w:r>
    </w:p>
    <w:p>
      <w:r>
        <w:br w:type="page"/>
      </w:r>
    </w:p>
    <w:p>
      <w:pPr>
        <w:pStyle w:val="Heading1"/>
      </w:pPr>
      <w:r>
        <w:t xml:space="preserve">Deuteronomy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These are the words that Moses spoke to all Israel beyond the Jordan in the wilderness, toward the west, near the Red Sea</w:t>
      </w:r>
      <w:r>
        <w:rPr>
          <w:rStyle w:val="FootnoteReference"/>
        </w:rPr>
        <w:footnoteReference w:id="3245"/>
      </w:r>
      <w:r>
        <w:t xml:space="preserve">, between Paran and Tophel</w:t>
      </w:r>
      <w:r>
        <w:rPr>
          <w:rStyle w:val="FootnoteReference"/>
        </w:rPr>
        <w:footnoteReference w:id="3246"/>
      </w:r>
      <w:r>
        <w:t xml:space="preserve"> and Laban and Aulon and Dizahab</w:t>
      </w:r>
      <w:r>
        <w:rPr>
          <w:rStyle w:val="FootnoteReference"/>
        </w:rPr>
        <w:footnoteReference w:id="3247"/>
      </w:r>
      <w:r>
        <w:t xml:space="preserve">.</w:t>
      </w:r>
    </w:p>
    <w:p>
      <w:r>
        <w:rPr>
          <w:b/>
        </w:rPr>
        <w:t xml:space="preserve">2 </w:t>
      </w:r>
      <w:r>
        <w:t xml:space="preserve">Eleven days from Horeb</w:t>
      </w:r>
      <w:r>
        <w:rPr>
          <w:rStyle w:val="FootnoteReference"/>
        </w:rPr>
        <w:footnoteReference w:id="3248"/>
      </w:r>
      <w:r>
        <w:t xml:space="preserve"> by the road of Mount Seir to Kadesh-Barnea.</w:t>
      </w:r>
    </w:p>
    <w:p>
      <w:r>
        <w:rPr>
          <w:b/>
        </w:rPr>
        <w:t xml:space="preserve">3 </w:t>
      </w:r>
      <w:r>
        <w:t xml:space="preserve">And it came to pass in the fortieth year, in the eleventh month, on the first of the month, Moses spoke to all the sons of Israel according to all that the Lord commanded him to them,</w:t>
      </w:r>
    </w:p>
    <w:p>
      <w:r>
        <w:rPr>
          <w:b/>
        </w:rPr>
        <w:t xml:space="preserve">4 </w:t>
      </w:r>
      <w:r>
        <w:t xml:space="preserve">after he struck Sihon king of the Amorites who dwelt in Heshbon and Og king of Bashan who dwelt in Ashtaroth and in Edrei.</w:t>
      </w:r>
    </w:p>
    <w:p>
      <w:r>
        <w:rPr>
          <w:b/>
        </w:rPr>
        <w:t xml:space="preserve">5 </w:t>
      </w:r>
      <w:r>
        <w:t xml:space="preserve">Beyond the Jordan, in the land of Moab, Moses began to make this law clear, saying,</w:t>
      </w:r>
    </w:p>
    <w:p>
      <w:r>
        <w:rPr>
          <w:b/>
        </w:rPr>
        <w:t xml:space="preserve">6 </w:t>
      </w:r>
      <w:r>
        <w:t xml:space="preserve">The Lord our God spoke to us in Horeb</w:t>
      </w:r>
      <w:r>
        <w:rPr>
          <w:rStyle w:val="FootnoteReference"/>
        </w:rPr>
        <w:footnoteReference w:id="3249"/>
      </w:r>
      <w:r>
        <w:t xml:space="preserve">, saying, Let it be enough for you to dwell on this mountain.</w:t>
      </w:r>
    </w:p>
    <w:p>
      <w:r>
        <w:rPr>
          <w:b/>
        </w:rPr>
        <w:t xml:space="preserve">7 </w:t>
      </w:r>
      <w:r>
        <w:t xml:space="preserve">Turn and set out, you, and enter into the hill-country of the Amorites and to all the neighbors of the Arabah</w:t>
      </w:r>
      <w:r>
        <w:rPr>
          <w:rStyle w:val="FootnoteReference"/>
        </w:rPr>
        <w:footnoteReference w:id="3250"/>
      </w:r>
      <w:r>
        <w:t xml:space="preserve">, into mountain and plain and toward the south and the coastland, the land of the Canaanites and Lebanon</w:t>
      </w:r>
      <w:r>
        <w:rPr>
          <w:rStyle w:val="FootnoteReference"/>
        </w:rPr>
        <w:footnoteReference w:id="3251"/>
      </w:r>
      <w:r>
        <w:t xml:space="preserve">, as far as the great</w:t>
      </w:r>
      <w:r>
        <w:rPr>
          <w:rStyle w:val="FootnoteReference"/>
        </w:rPr>
        <w:footnoteReference w:id="3252"/>
      </w:r>
      <w:r>
        <w:t xml:space="preserve"> river Euphrates.</w:t>
      </w:r>
      <w:r>
        <w:rPr>
          <w:rStyle w:val="FootnoteReference"/>
        </w:rPr>
        <w:footnoteReference w:id="3253"/>
      </w:r>
    </w:p>
    <w:p>
      <w:r>
        <w:rPr>
          <w:b/>
        </w:rPr>
        <w:t xml:space="preserve">8 </w:t>
      </w:r>
      <w:r>
        <w:t xml:space="preserve">See, I have handed over the land before you. Having entered, inherit the land which I swore to your fathers, to Abraham and Isaac and Jacob, to give to them and to their seed after them.</w:t>
      </w:r>
    </w:p>
    <w:p>
      <w:r>
        <w:rPr>
          <w:b/>
        </w:rPr>
        <w:t xml:space="preserve">9 </w:t>
      </w:r>
      <w:r>
        <w:t xml:space="preserve">And I said to you at that time, saying, I will not be able to bear you alone.</w:t>
      </w:r>
    </w:p>
    <w:p>
      <w:r>
        <w:rPr>
          <w:b/>
        </w:rPr>
        <w:t xml:space="preserve">10 </w:t>
      </w:r>
      <w:r>
        <w:t xml:space="preserve">The Lord your God</w:t>
      </w:r>
      <w:r>
        <w:rPr>
          <w:rStyle w:val="FootnoteReference"/>
        </w:rPr>
        <w:footnoteReference w:id="3254"/>
      </w:r>
      <w:r>
        <w:t xml:space="preserve"> multiplied you, and behold, today you are as the stars of heaven in multitude.</w:t>
      </w:r>
    </w:p>
    <w:p>
      <w:r>
        <w:rPr>
          <w:b/>
        </w:rPr>
        <w:t xml:space="preserve">11 </w:t>
      </w:r>
      <w:r>
        <w:t xml:space="preserve">May the Lord, the God of your fathers, add to you, as you are, a thousandfold, and bless you</w:t>
      </w:r>
      <w:r>
        <w:rPr>
          <w:rStyle w:val="FootnoteReference"/>
        </w:rPr>
        <w:footnoteReference w:id="3255"/>
      </w:r>
      <w:r>
        <w:t xml:space="preserve"> just as he spoke to you.</w:t>
      </w:r>
    </w:p>
    <w:p>
      <w:r>
        <w:rPr>
          <w:b/>
        </w:rPr>
        <w:t xml:space="preserve">12 </w:t>
      </w:r>
      <w:r>
        <w:t xml:space="preserve">How will I be able alone to bear your toil and your standing and your disputes?</w:t>
      </w:r>
    </w:p>
    <w:p>
      <w:r>
        <w:rPr>
          <w:b/>
        </w:rPr>
        <w:t xml:space="preserve">13 </w:t>
      </w:r>
      <w:r>
        <w:t xml:space="preserve">Give yourselves men wise and understanding and prudent for your tribes, and I will appoint them as leaders over you.</w:t>
      </w:r>
    </w:p>
    <w:p>
      <w:r>
        <w:rPr>
          <w:b/>
        </w:rPr>
        <w:t xml:space="preserve">14 </w:t>
      </w:r>
      <w:r>
        <w:t xml:space="preserve">And you answered me and said, Good is the word that you spoke to do.</w:t>
      </w:r>
    </w:p>
    <w:p>
      <w:r>
        <w:rPr>
          <w:b/>
        </w:rPr>
        <w:t xml:space="preserve">15 </w:t>
      </w:r>
      <w:r>
        <w:t xml:space="preserve">And I took</w:t>
      </w:r>
      <w:r>
        <w:rPr>
          <w:rStyle w:val="FootnoteReference"/>
        </w:rPr>
        <w:footnoteReference w:id="3256"/>
      </w:r>
      <w:r>
        <w:t xml:space="preserve"> from among you men wise and understanding and prudent, and I appointed them to lead over you as chiliarchs and centurions and leaders of fifty and leaders of ten and record-keepers</w:t>
      </w:r>
      <w:r>
        <w:rPr>
          <w:rStyle w:val="FootnoteReference"/>
        </w:rPr>
        <w:footnoteReference w:id="3257"/>
      </w:r>
      <w:r>
        <w:t xml:space="preserve"> for your judges.</w:t>
      </w:r>
    </w:p>
    <w:p>
      <w:r>
        <w:rPr>
          <w:b/>
        </w:rPr>
        <w:t xml:space="preserve">16 </w:t>
      </w:r>
      <w:r>
        <w:t xml:space="preserve">And I commanded your judges at that time, saying, Hear</w:t>
      </w:r>
      <w:r>
        <w:rPr>
          <w:rStyle w:val="FootnoteReference"/>
        </w:rPr>
        <w:footnoteReference w:id="3258"/>
      </w:r>
      <w:r>
        <w:t xml:space="preserve"> between your brothers and judge righteously between a man and his brother and his proselyte.</w:t>
      </w:r>
    </w:p>
    <w:p>
      <w:r>
        <w:rPr>
          <w:b/>
        </w:rPr>
        <w:t xml:space="preserve">17 </w:t>
      </w:r>
      <w:r>
        <w:t xml:space="preserve">You shall not</w:t>
      </w:r>
      <w:r>
        <w:rPr>
          <w:rStyle w:val="FootnoteReference"/>
        </w:rPr>
        <w:footnoteReference w:id="3259"/>
      </w:r>
      <w:r>
        <w:t xml:space="preserve"> recognize a face in judgment</w:t>
      </w:r>
      <w:r>
        <w:rPr>
          <w:rStyle w:val="FootnoteReference"/>
        </w:rPr>
        <w:footnoteReference w:id="3260"/>
      </w:r>
      <w:r>
        <w:t xml:space="preserve">. By the small and by the great you shall judge. You shall not shrink from a man's face, because the judgment is God's. And the matter that is hard for you, you shall bring it up to me, and I will hear it.</w:t>
      </w:r>
    </w:p>
    <w:p>
      <w:r>
        <w:rPr>
          <w:b/>
        </w:rPr>
        <w:t xml:space="preserve">18 </w:t>
      </w:r>
      <w:r>
        <w:t xml:space="preserve">And I commanded you at that time all the matters that you should do</w:t>
      </w:r>
      <w:r>
        <w:rPr>
          <w:rStyle w:val="FootnoteReference"/>
        </w:rPr>
        <w:footnoteReference w:id="3261"/>
      </w:r>
      <w:r>
        <w:t xml:space="preserve">.</w:t>
      </w:r>
    </w:p>
    <w:p>
      <w:r>
        <w:rPr>
          <w:b/>
        </w:rPr>
        <w:t xml:space="preserve">19 </w:t>
      </w:r>
      <w:r>
        <w:t xml:space="preserve">And setting out from Horeb, we went through all that great and fearful wilderness</w:t>
      </w:r>
      <w:r>
        <w:rPr>
          <w:rStyle w:val="FootnoteReference"/>
        </w:rPr>
        <w:footnoteReference w:id="3262"/>
      </w:r>
      <w:r>
        <w:t xml:space="preserve"> which you saw, by the road of the mountain of the Amorite, just as the Lord our God commanded us, and we came</w:t>
      </w:r>
      <w:r>
        <w:rPr>
          <w:rStyle w:val="FootnoteReference"/>
        </w:rPr>
        <w:footnoteReference w:id="3263"/>
      </w:r>
      <w:r>
        <w:t xml:space="preserve"> as far as Kadesh-Barnea.</w:t>
      </w:r>
    </w:p>
    <w:p>
      <w:r>
        <w:rPr>
          <w:b/>
        </w:rPr>
        <w:t xml:space="preserve">20 </w:t>
      </w:r>
      <w:r>
        <w:t xml:space="preserve">And I said to you, You have come as far as the mountain</w:t>
      </w:r>
      <w:r>
        <w:rPr>
          <w:rStyle w:val="FootnoteReference"/>
        </w:rPr>
        <w:footnoteReference w:id="3264"/>
      </w:r>
      <w:r>
        <w:t xml:space="preserve"> of the Amorite, which the Lord our God gives you.</w:t>
      </w:r>
    </w:p>
    <w:p>
      <w:r>
        <w:rPr>
          <w:b/>
        </w:rPr>
        <w:t xml:space="preserve">21 </w:t>
      </w:r>
      <w:r>
        <w:t xml:space="preserve">See, the Lord your God has handed over the land before you. Go up, inherit, just as the Lord the God of your fathers said to you. Do not fear and do not lose heart.</w:t>
      </w:r>
    </w:p>
    <w:p>
      <w:r>
        <w:rPr>
          <w:b/>
        </w:rPr>
        <w:t xml:space="preserve">22 </w:t>
      </w:r>
      <w:r>
        <w:t xml:space="preserve">And you all came near to me and said, Let us send men before us, and let them explore the land for us and report back to us the answer, the road by which we shall go up in it and the cities into which we shall enter.</w:t>
      </w:r>
      <w:r>
        <w:rPr>
          <w:rStyle w:val="FootnoteReference"/>
        </w:rPr>
        <w:footnoteReference w:id="3265"/>
      </w:r>
    </w:p>
    <w:p>
      <w:r>
        <w:rPr>
          <w:b/>
        </w:rPr>
        <w:t xml:space="preserve">23 </w:t>
      </w:r>
      <w:r>
        <w:t xml:space="preserve">And the word pleased me, and I took from among you twelve men, one man by tribe.</w:t>
      </w:r>
    </w:p>
    <w:p>
      <w:r>
        <w:rPr>
          <w:b/>
        </w:rPr>
        <w:t xml:space="preserve">24 </w:t>
      </w:r>
      <w:r>
        <w:t xml:space="preserve">And turning, they went up into the mountain and came as far as the Ravine of Cluster and spied it out.</w:t>
      </w:r>
    </w:p>
    <w:p>
      <w:r>
        <w:rPr>
          <w:b/>
        </w:rPr>
        <w:t xml:space="preserve">25 </w:t>
      </w:r>
      <w:r>
        <w:t xml:space="preserve">And they took in their hands from the fruit of the land and brought it down to us and said, Good is the land that the Lord our God gives us.</w:t>
      </w:r>
    </w:p>
    <w:p>
      <w:r>
        <w:rPr>
          <w:b/>
        </w:rPr>
        <w:t xml:space="preserve">26 </w:t>
      </w:r>
      <w:r>
        <w:t xml:space="preserve">But you were not willing to go up, and you disobeyed the word of the Lord</w:t>
      </w:r>
      <w:r>
        <w:rPr>
          <w:rStyle w:val="FootnoteReference"/>
        </w:rPr>
        <w:footnoteReference w:id="3266"/>
      </w:r>
      <w:r>
        <w:t xml:space="preserve"> your God.</w:t>
      </w:r>
    </w:p>
    <w:p>
      <w:r>
        <w:rPr>
          <w:b/>
        </w:rPr>
        <w:t xml:space="preserve">27 </w:t>
      </w:r>
      <w:r>
        <w:t xml:space="preserve">And you were grumbling in your tents and said, Because the Lord hates us, he brought us out from the land of Egypt to hand us over into the hands of the Amorites to destroy us.</w:t>
      </w:r>
    </w:p>
    <w:p>
      <w:r>
        <w:rPr>
          <w:b/>
        </w:rPr>
        <w:t xml:space="preserve">28 </w:t>
      </w:r>
      <w:r>
        <w:t xml:space="preserve">Where are we going up? Our brothers turned away your heart</w:t>
      </w:r>
      <w:r>
        <w:rPr>
          <w:rStyle w:val="FootnoteReference"/>
        </w:rPr>
        <w:footnoteReference w:id="3267"/>
      </w:r>
      <w:r>
        <w:t xml:space="preserve">, saying, The nation is great and many and stronger than we, and the cities great and walled up to heaven, and moreover we saw sons of giants there.</w:t>
      </w:r>
    </w:p>
    <w:p>
      <w:r>
        <w:rPr>
          <w:b/>
        </w:rPr>
        <w:t xml:space="preserve">29 </w:t>
      </w:r>
      <w:r>
        <w:t xml:space="preserve">And I said to you, Do not be terrified, and do not fear them.</w:t>
      </w:r>
    </w:p>
    <w:p>
      <w:r>
        <w:rPr>
          <w:b/>
        </w:rPr>
        <w:t xml:space="preserve">30 </w:t>
      </w:r>
      <w:r>
        <w:t xml:space="preserve">The Lord your God who goes before your face, he himself will fight together with them for you according to all that he did for you in the land of Egypt,</w:t>
      </w:r>
    </w:p>
    <w:p>
      <w:r>
        <w:rPr>
          <w:b/>
        </w:rPr>
        <w:t xml:space="preserve">31 </w:t>
      </w:r>
      <w:r>
        <w:t xml:space="preserve">and in this wilderness which you saw, how the Lord your God carried you as someone would carry his son, throughout all the road that you traveled until you came to this place.</w:t>
      </w:r>
    </w:p>
    <w:p>
      <w:r>
        <w:rPr>
          <w:b/>
        </w:rPr>
        <w:t xml:space="preserve">32 </w:t>
      </w:r>
      <w:r>
        <w:t xml:space="preserve">And in this matter you did not trust the Lord your God,</w:t>
      </w:r>
    </w:p>
    <w:p>
      <w:r>
        <w:rPr>
          <w:b/>
        </w:rPr>
        <w:t xml:space="preserve">33 </w:t>
      </w:r>
      <w:r>
        <w:t xml:space="preserve">who goes ahead of you on the road, choosing for you a place, leading you in fire</w:t>
      </w:r>
      <w:r>
        <w:rPr>
          <w:rStyle w:val="FootnoteReference"/>
        </w:rPr>
        <w:footnoteReference w:id="3268"/>
      </w:r>
      <w:r>
        <w:t xml:space="preserve"> by night, showing you the road on which you go, and in cloud by day.</w:t>
      </w:r>
    </w:p>
    <w:p>
      <w:r>
        <w:rPr>
          <w:b/>
        </w:rPr>
        <w:t xml:space="preserve">34 </w:t>
      </w:r>
      <w:r>
        <w:t xml:space="preserve">And the Lord heard the voice of your words and, being provoked, swore, saying,</w:t>
      </w:r>
    </w:p>
    <w:p>
      <w:r>
        <w:rPr>
          <w:b/>
        </w:rPr>
        <w:t xml:space="preserve">35 </w:t>
      </w:r>
      <w:r>
        <w:t xml:space="preserve">If any of these men shall see this good land that I swore to their fathers—</w:t>
      </w:r>
    </w:p>
    <w:p>
      <w:r>
        <w:rPr>
          <w:b/>
        </w:rPr>
        <w:t xml:space="preserve">36 </w:t>
      </w:r>
      <w:r>
        <w:t xml:space="preserve">except Caleb</w:t>
      </w:r>
      <w:r>
        <w:rPr>
          <w:rStyle w:val="FootnoteReference"/>
        </w:rPr>
        <w:footnoteReference w:id="3269"/>
      </w:r>
      <w:r>
        <w:t xml:space="preserve"> son of Jephunneh. He shall see it, and to him I will give the land on which he trod and to his sons, because he clung to the things of the Lord.</w:t>
      </w:r>
    </w:p>
    <w:p>
      <w:r>
        <w:rPr>
          <w:b/>
        </w:rPr>
        <w:t xml:space="preserve">37 </w:t>
      </w:r>
      <w:r>
        <w:t xml:space="preserve">And the Lord was angry with me because of you, saying, Neither shall you enter there.</w:t>
      </w:r>
    </w:p>
    <w:p>
      <w:r>
        <w:rPr>
          <w:b/>
        </w:rPr>
        <w:t xml:space="preserve">38 </w:t>
      </w:r>
      <w:r>
        <w:t xml:space="preserve">Joshua</w:t>
      </w:r>
      <w:r>
        <w:rPr>
          <w:rStyle w:val="FootnoteReference"/>
        </w:rPr>
        <w:footnoteReference w:id="3270"/>
      </w:r>
      <w:r>
        <w:t xml:space="preserve"> son of Nun, the one standing by you, he shall enter there. Strengthen him, because he shall allot it to Israel.</w:t>
      </w:r>
    </w:p>
    <w:p>
      <w:r>
        <w:rPr>
          <w:b/>
        </w:rPr>
        <w:t xml:space="preserve">39 </w:t>
      </w:r>
      <w:r>
        <w:t xml:space="preserve">And every young child</w:t>
      </w:r>
      <w:r>
        <w:rPr>
          <w:rStyle w:val="FootnoteReference"/>
        </w:rPr>
        <w:footnoteReference w:id="3271"/>
      </w:r>
      <w:r>
        <w:t xml:space="preserve"> who today does not know good or evil, these shall enter there, and to these I will give it, and they shall inherit it.</w:t>
      </w:r>
    </w:p>
    <w:p>
      <w:r>
        <w:rPr>
          <w:b/>
        </w:rPr>
        <w:t xml:space="preserve">40 </w:t>
      </w:r>
      <w:r>
        <w:t xml:space="preserve">And you, having turned, camp yourselves in the wilderness by the road of the Red Sea.</w:t>
      </w:r>
    </w:p>
    <w:p>
      <w:r>
        <w:rPr>
          <w:b/>
        </w:rPr>
        <w:t xml:space="preserve">41 </w:t>
      </w:r>
      <w:r>
        <w:t xml:space="preserve">And you answered me and said, We sinned before the Lord our God. We ourselves, going up, will wage war according to all that the Lord our God commanded us. And each taking up his weapons of war and gathering yourselves</w:t>
      </w:r>
      <w:r>
        <w:rPr>
          <w:rStyle w:val="FootnoteReference"/>
        </w:rPr>
        <w:footnoteReference w:id="3272"/>
      </w:r>
      <w:r>
        <w:t xml:space="preserve">, you were going up into the mountain.</w:t>
      </w:r>
    </w:p>
    <w:p>
      <w:r>
        <w:rPr>
          <w:b/>
        </w:rPr>
        <w:t xml:space="preserve">42 </w:t>
      </w:r>
      <w:r>
        <w:t xml:space="preserve">And the Lord said to me, Tell them, You shall not go up, nor shall you fight, for I am not</w:t>
      </w:r>
      <w:r>
        <w:rPr>
          <w:rStyle w:val="FootnoteReference"/>
        </w:rPr>
        <w:footnoteReference w:id="3273"/>
      </w:r>
      <w:r>
        <w:t xml:space="preserve"> with you, and you shall not be crushed before your enemies.</w:t>
      </w:r>
    </w:p>
    <w:p>
      <w:r>
        <w:rPr>
          <w:b/>
        </w:rPr>
        <w:t xml:space="preserve">43 </w:t>
      </w:r>
      <w:r>
        <w:t xml:space="preserve">And I spoke to you, and you did not listen to me, and you transgressed the word of the Lord, and forcing your way, you went up into the mountain.</w:t>
      </w:r>
    </w:p>
    <w:p>
      <w:r>
        <w:rPr>
          <w:b/>
        </w:rPr>
        <w:t xml:space="preserve">44 </w:t>
      </w:r>
      <w:r>
        <w:t xml:space="preserve">And the Amorite who dwelt in that mountain came out to meet you and pursued you as bees might do and were wounding you from Seir to Hormah.</w:t>
      </w:r>
    </w:p>
    <w:p>
      <w:r>
        <w:rPr>
          <w:b/>
        </w:rPr>
        <w:t xml:space="preserve">45 </w:t>
      </w:r>
      <w:r>
        <w:t xml:space="preserve">And sitting down, you were weeping before the Lord, and the Lord did not hear your voice nor pay attention to you.</w:t>
      </w:r>
    </w:p>
    <w:p>
      <w:r>
        <w:rPr>
          <w:b/>
        </w:rPr>
        <w:t xml:space="preserve">46 </w:t>
      </w:r>
      <w:r>
        <w:t xml:space="preserve">And you remained in Kadesh many days, however many days you remained.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turning, we set out into the wilderness by the way of the Red Sea, just as the Lord spoke to me, and we went around Mount Seir many days.</w:t>
      </w:r>
    </w:p>
    <w:p>
      <w:r>
        <w:rPr>
          <w:b/>
        </w:rPr>
        <w:t xml:space="preserve">2 </w:t>
      </w:r>
      <w:r>
        <w:t xml:space="preserve">And the Lord said to me,</w:t>
      </w:r>
      <w:r>
        <w:rPr>
          <w:rStyle w:val="FootnoteReference"/>
        </w:rPr>
        <w:footnoteReference w:id="3274"/>
      </w:r>
      <w:r>
        <w:t xml:space="preserve"/>
      </w:r>
    </w:p>
    <w:p>
      <w:r>
        <w:rPr>
          <w:b/>
        </w:rPr>
        <w:t xml:space="preserve">3 </w:t>
      </w:r>
      <w:r>
        <w:t xml:space="preserve">Let it be enough for you to go around this mountain. Turn then to the north.</w:t>
      </w:r>
    </w:p>
    <w:p>
      <w:r>
        <w:rPr>
          <w:b/>
        </w:rPr>
        <w:t xml:space="preserve">4 </w:t>
      </w:r>
      <w:r>
        <w:t xml:space="preserve">And command the people, saying, You are passing through the borders of your brothers, the sons of Esau, who dwell in Seir, and they shall fear you and be very wary</w:t>
      </w:r>
      <w:r>
        <w:rPr>
          <w:rStyle w:val="FootnoteReference"/>
        </w:rPr>
        <w:footnoteReference w:id="3275"/>
      </w:r>
      <w:r>
        <w:t xml:space="preserve"> of you.</w:t>
      </w:r>
    </w:p>
    <w:p>
      <w:r>
        <w:rPr>
          <w:b/>
        </w:rPr>
        <w:t xml:space="preserve">5 </w:t>
      </w:r>
      <w:r>
        <w:t xml:space="preserve">Do not join battle with them, for I shall certainly not give you from their land even a step of foot, because I have given Mount Seir to the sons of Esau as an inheritance.</w:t>
      </w:r>
    </w:p>
    <w:p>
      <w:r>
        <w:rPr>
          <w:b/>
        </w:rPr>
        <w:t xml:space="preserve">6 </w:t>
      </w:r>
      <w:r>
        <w:t xml:space="preserve">Buy food from them with silver and eat, and water by measure</w:t>
      </w:r>
      <w:r>
        <w:rPr>
          <w:rStyle w:val="FootnoteReference"/>
        </w:rPr>
        <w:footnoteReference w:id="3276"/>
      </w:r>
      <w:r>
        <w:t xml:space="preserve"> take from them for silver and drink.</w:t>
      </w:r>
    </w:p>
    <w:p>
      <w:r>
        <w:rPr>
          <w:b/>
        </w:rPr>
        <w:t xml:space="preserve">7 </w:t>
      </w:r>
      <w:r>
        <w:t xml:space="preserve">For the Lord our God blessed</w:t>
      </w:r>
      <w:r>
        <w:rPr>
          <w:rStyle w:val="FootnoteReference"/>
        </w:rPr>
        <w:footnoteReference w:id="3277"/>
      </w:r>
      <w:r>
        <w:t xml:space="preserve"> you in every work of your hands. Know how you passed through that great and fearful wilderness. Behold, forty years the Lord your God is with you. You lacked no thing</w:t>
      </w:r>
      <w:r>
        <w:rPr>
          <w:rStyle w:val="FootnoteReference"/>
        </w:rPr>
        <w:footnoteReference w:id="3278"/>
      </w:r>
      <w:r>
        <w:t xml:space="preserve">.</w:t>
      </w:r>
    </w:p>
    <w:p>
      <w:r>
        <w:rPr>
          <w:b/>
        </w:rPr>
        <w:t xml:space="preserve">8 </w:t>
      </w:r>
      <w:r>
        <w:t xml:space="preserve">And we passed by our brothers, the sons of Esau, who dwell in Seir, by the road of the Arabah, from Elon and from Eziongeber</w:t>
      </w:r>
      <w:r>
        <w:rPr>
          <w:rStyle w:val="FootnoteReference"/>
        </w:rPr>
        <w:footnoteReference w:id="3279"/>
      </w:r>
      <w:r>
        <w:t xml:space="preserve">. And turning, we passed by the road of the wilderness of Moab.</w:t>
      </w:r>
    </w:p>
    <w:p>
      <w:r>
        <w:rPr>
          <w:b/>
        </w:rPr>
        <w:t xml:space="preserve">9 </w:t>
      </w:r>
      <w:r>
        <w:t xml:space="preserve">And the Lord said to me, Do not treat the Moabites as enemies, and do not join them in war, for I shall certainly not give you from their land as an inheritance, because I have given Seir to the sons of Lot as an inheritance.</w:t>
      </w:r>
      <w:r>
        <w:rPr>
          <w:rStyle w:val="FootnoteReference"/>
        </w:rPr>
        <w:footnoteReference w:id="3280"/>
      </w:r>
    </w:p>
    <w:p>
      <w:r>
        <w:rPr>
          <w:b/>
        </w:rPr>
        <w:t xml:space="preserve">10 </w:t>
      </w:r>
      <w:r>
        <w:t xml:space="preserve">The Emims</w:t>
      </w:r>
      <w:r>
        <w:rPr>
          <w:rStyle w:val="FootnoteReference"/>
        </w:rPr>
        <w:footnoteReference w:id="3281"/>
      </w:r>
      <w:r>
        <w:t xml:space="preserve"> lived on it formerly, a great and many people and mighty, like the Anakim</w:t>
      </w:r>
      <w:r>
        <w:rPr>
          <w:rStyle w:val="FootnoteReference"/>
        </w:rPr>
        <w:footnoteReference w:id="3282"/>
      </w:r>
      <w:r>
        <w:t xml:space="preserve">.</w:t>
      </w:r>
    </w:p>
    <w:p>
      <w:r>
        <w:rPr>
          <w:b/>
        </w:rPr>
        <w:t xml:space="preserve">11 </w:t>
      </w:r>
      <w:r>
        <w:t xml:space="preserve">These also are counted as Raphain</w:t>
      </w:r>
      <w:r>
        <w:rPr>
          <w:rStyle w:val="FootnoteReference"/>
        </w:rPr>
        <w:footnoteReference w:id="3283"/>
      </w:r>
      <w:r>
        <w:t xml:space="preserve">, like the Anakim, and the Moabites call them Emims.</w:t>
      </w:r>
    </w:p>
    <w:p>
      <w:r>
        <w:rPr>
          <w:b/>
        </w:rPr>
        <w:t xml:space="preserve">12 </w:t>
      </w:r>
      <w:r>
        <w:t xml:space="preserve">And in Seir the Horims</w:t>
      </w:r>
      <w:r>
        <w:rPr>
          <w:rStyle w:val="FootnoteReference"/>
        </w:rPr>
        <w:footnoteReference w:id="3284"/>
      </w:r>
      <w:r>
        <w:t xml:space="preserve"> dwelt formerly, and the sons of Esau destroyed them and crushed them from before them and settled in their place, just as Israel did to the land of his inheritance which the Lord gave them.</w:t>
      </w:r>
      <w:r>
        <w:rPr>
          <w:rStyle w:val="FootnoteReference"/>
        </w:rPr>
        <w:footnoteReference w:id="3285"/>
      </w:r>
    </w:p>
    <w:p>
      <w:r>
        <w:rPr>
          <w:b/>
        </w:rPr>
        <w:t xml:space="preserve">13 </w:t>
      </w:r>
      <w:r>
        <w:t xml:space="preserve">Now then rise and set out, you, and pass through the Ravine of Zared. And we passed through the Ravine of Zared.</w:t>
      </w:r>
    </w:p>
    <w:p>
      <w:r>
        <w:rPr>
          <w:b/>
        </w:rPr>
        <w:t xml:space="preserve">14 </w:t>
      </w:r>
      <w:r>
        <w:t xml:space="preserve">And the days that we traveled from Kadesh-Barnea until we passed through the Ravine of Zared were thirty-eight years, until all the generation</w:t>
      </w:r>
      <w:r>
        <w:rPr>
          <w:rStyle w:val="FootnoteReference"/>
        </w:rPr>
        <w:footnoteReference w:id="3286"/>
      </w:r>
      <w:r>
        <w:t xml:space="preserve"> of fighting men fell away, dying from the camp</w:t>
      </w:r>
      <w:r>
        <w:rPr>
          <w:rStyle w:val="FootnoteReference"/>
        </w:rPr>
        <w:footnoteReference w:id="3287"/>
      </w:r>
      <w:r>
        <w:t xml:space="preserve">, just as God swore to them.</w:t>
      </w:r>
    </w:p>
    <w:p>
      <w:r>
        <w:rPr>
          <w:b/>
        </w:rPr>
        <w:t xml:space="preserve">15 </w:t>
      </w:r>
      <w:r>
        <w:t xml:space="preserve">And the hand of God was upon them to consume them from the camp until they fell away.</w:t>
      </w:r>
    </w:p>
    <w:p>
      <w:r>
        <w:rPr>
          <w:b/>
        </w:rPr>
        <w:t xml:space="preserve">16 </w:t>
      </w:r>
      <w:r>
        <w:t xml:space="preserve">And it came to pass, when all the fighting men had fallen away, dying from the midst of the people,</w:t>
      </w:r>
    </w:p>
    <w:p>
      <w:r>
        <w:rPr>
          <w:b/>
        </w:rPr>
        <w:t xml:space="preserve">17 </w:t>
      </w:r>
      <w:r>
        <w:t xml:space="preserve">The Lord spoke to me, saying,</w:t>
      </w:r>
    </w:p>
    <w:p>
      <w:r>
        <w:rPr>
          <w:b/>
        </w:rPr>
        <w:t xml:space="preserve">18 </w:t>
      </w:r>
      <w:r>
        <w:t xml:space="preserve">You are passing today the borders of Moab, Seir.</w:t>
      </w:r>
    </w:p>
    <w:p>
      <w:r>
        <w:rPr>
          <w:b/>
        </w:rPr>
        <w:t xml:space="preserve">19 </w:t>
      </w:r>
      <w:r>
        <w:t xml:space="preserve">And you will come near to the sons of Ammon. Do not treat them as enemies</w:t>
      </w:r>
      <w:r>
        <w:rPr>
          <w:rStyle w:val="FootnoteReference"/>
        </w:rPr>
        <w:footnoteReference w:id="3288"/>
      </w:r>
      <w:r>
        <w:t xml:space="preserve"> and do not join them in war, for I shall certainly not give you from the land of the sons of Ammon as an inheritance, because I have given it to the sons of Lot as an inheritance.</w:t>
      </w:r>
    </w:p>
    <w:p>
      <w:r>
        <w:rPr>
          <w:b/>
        </w:rPr>
        <w:t xml:space="preserve">20 </w:t>
      </w:r>
      <w:r>
        <w:t xml:space="preserve">It is counted as land of Raphain, for Raphain dwelt on it formerly, and the Ammonites call them Zamzummims</w:t>
      </w:r>
      <w:r>
        <w:rPr>
          <w:rStyle w:val="FootnoteReference"/>
        </w:rPr>
        <w:footnoteReference w:id="3289"/>
      </w:r>
      <w:r>
        <w:t xml:space="preserve">,</w:t>
      </w:r>
      <w:r>
        <w:rPr>
          <w:rStyle w:val="FootnoteReference"/>
        </w:rPr>
        <w:footnoteReference w:id="3290"/>
      </w:r>
    </w:p>
    <w:p>
      <w:r>
        <w:rPr>
          <w:b/>
        </w:rPr>
        <w:t xml:space="preserve">21 </w:t>
      </w:r>
      <w:r>
        <w:t xml:space="preserve">a great</w:t>
      </w:r>
      <w:r>
        <w:rPr>
          <w:rStyle w:val="FootnoteReference"/>
        </w:rPr>
        <w:footnoteReference w:id="3291"/>
      </w:r>
      <w:r>
        <w:t xml:space="preserve"> and many people and stronger than you, like the Anakim. And the Lord destroyed them from before them, and they inherited and dwelt in their place to this day,</w:t>
      </w:r>
    </w:p>
    <w:p>
      <w:r>
        <w:rPr>
          <w:b/>
        </w:rPr>
        <w:t xml:space="preserve">22 </w:t>
      </w:r>
      <w:r>
        <w:t xml:space="preserve">just as they did for the sons of Esau</w:t>
      </w:r>
      <w:r>
        <w:rPr>
          <w:rStyle w:val="FootnoteReference"/>
        </w:rPr>
        <w:footnoteReference w:id="3292"/>
      </w:r>
      <w:r>
        <w:t xml:space="preserve"> who dwell in Seir, in the way they crushed the Horims from before them and inherited and dwelt in their place to this day.</w:t>
      </w:r>
    </w:p>
    <w:p>
      <w:r>
        <w:rPr>
          <w:b/>
        </w:rPr>
        <w:t xml:space="preserve">23 </w:t>
      </w:r>
      <w:r>
        <w:t xml:space="preserve">And the Euaeans who dwelt in Hazeroth as far as Gaza, and the Cappadocians who came out from Cappadocia</w:t>
      </w:r>
      <w:r>
        <w:rPr>
          <w:rStyle w:val="FootnoteReference"/>
        </w:rPr>
        <w:footnoteReference w:id="3293"/>
      </w:r>
      <w:r>
        <w:t xml:space="preserve"> crushed them and dwelt in their place.</w:t>
      </w:r>
    </w:p>
    <w:p>
      <w:r>
        <w:rPr>
          <w:b/>
        </w:rPr>
        <w:t xml:space="preserve">24 </w:t>
      </w:r>
      <w:r>
        <w:t xml:space="preserve">Now then rise and set out and pass through the Ravine of Arnon. Behold</w:t>
      </w:r>
      <w:r>
        <w:rPr>
          <w:rStyle w:val="FootnoteReference"/>
        </w:rPr>
        <w:footnoteReference w:id="3294"/>
      </w:r>
      <w:r>
        <w:t xml:space="preserve">, I have handed into your hands Sihon king of Heshbon the Amorite and his land. Begin to inherit; join battle with him</w:t>
      </w:r>
      <w:r>
        <w:rPr>
          <w:rStyle w:val="FootnoteReference"/>
        </w:rPr>
        <w:footnoteReference w:id="3295"/>
      </w:r>
      <w:r>
        <w:t xml:space="preserve">.</w:t>
      </w:r>
    </w:p>
    <w:p>
      <w:r>
        <w:rPr>
          <w:b/>
        </w:rPr>
        <w:t xml:space="preserve">25 </w:t>
      </w:r>
      <w:r>
        <w:t xml:space="preserve">On this day begin to give your terror and your fear on the face of all the nations under heaven, who, hearing your name, shall be troubled and shall have birth-pains from before your face.</w:t>
      </w:r>
    </w:p>
    <w:p>
      <w:r>
        <w:rPr>
          <w:b/>
        </w:rPr>
        <w:t xml:space="preserve">26 </w:t>
      </w:r>
      <w:r>
        <w:t xml:space="preserve">And I sent envoys from the wilderness of Kedemoth</w:t>
      </w:r>
      <w:r>
        <w:rPr>
          <w:rStyle w:val="FootnoteReference"/>
        </w:rPr>
        <w:footnoteReference w:id="3296"/>
      </w:r>
      <w:r>
        <w:t xml:space="preserve"> to Sihon king of Heshbon with the words of peace, saying,</w:t>
      </w:r>
      <w:r>
        <w:rPr>
          <w:rStyle w:val="FootnoteReference"/>
        </w:rPr>
        <w:footnoteReference w:id="3297"/>
      </w:r>
    </w:p>
    <w:p>
      <w:r>
        <w:rPr>
          <w:b/>
        </w:rPr>
        <w:t xml:space="preserve">27 </w:t>
      </w:r>
      <w:r>
        <w:t xml:space="preserve">I shall pass through your land. By the road I shall pass. I shall not turn aside right or left.</w:t>
      </w:r>
    </w:p>
    <w:p>
      <w:r>
        <w:rPr>
          <w:b/>
        </w:rPr>
        <w:t xml:space="preserve">28 </w:t>
      </w:r>
      <w:r>
        <w:t xml:space="preserve">Food for silver you shall give me and I shall eat, and water for silver you shall give me and I shall drink, except that I shall pass through on foot,</w:t>
      </w:r>
    </w:p>
    <w:p>
      <w:r>
        <w:rPr>
          <w:b/>
        </w:rPr>
        <w:t xml:space="preserve">29 </w:t>
      </w:r>
      <w:r>
        <w:t xml:space="preserve">just as the sons of Esau dwelling in Seir did for me, and the Moabites dwelling in Aroer, until I pass through the Jordan into the land</w:t>
      </w:r>
      <w:r>
        <w:rPr>
          <w:rStyle w:val="FootnoteReference"/>
        </w:rPr>
        <w:footnoteReference w:id="3298"/>
      </w:r>
      <w:r>
        <w:t xml:space="preserve"> that the Lord our God gives us.</w:t>
      </w:r>
    </w:p>
    <w:p>
      <w:r>
        <w:rPr>
          <w:b/>
        </w:rPr>
        <w:t xml:space="preserve">30 </w:t>
      </w:r>
      <w:r>
        <w:t xml:space="preserve">And Sihon king of Heshbon was not willing to let us pass through him, because the Lord our God hardened his spirit and strengthened his heart</w:t>
      </w:r>
      <w:r>
        <w:rPr>
          <w:rStyle w:val="FootnoteReference"/>
        </w:rPr>
        <w:footnoteReference w:id="3299"/>
      </w:r>
      <w:r>
        <w:t xml:space="preserve">, so that he might be handed into your hands, as at this day.</w:t>
      </w:r>
    </w:p>
    <w:p>
      <w:r>
        <w:rPr>
          <w:b/>
        </w:rPr>
        <w:t xml:space="preserve">31 </w:t>
      </w:r>
      <w:r>
        <w:t xml:space="preserve">And the Lord said to me, Behold, I have begun to hand over before your face Sihon king of Heshbon the Amorite and his land. Begin to inherit his land.</w:t>
      </w:r>
    </w:p>
    <w:p>
      <w:r>
        <w:rPr>
          <w:b/>
        </w:rPr>
        <w:t xml:space="preserve">32 </w:t>
      </w:r>
      <w:r>
        <w:t xml:space="preserve">And Sihon king of Heshbon came out to meet us, he and all his people, for battle at Jahaz.</w:t>
      </w:r>
    </w:p>
    <w:p>
      <w:r>
        <w:rPr>
          <w:b/>
        </w:rPr>
        <w:t xml:space="preserve">33 </w:t>
      </w:r>
      <w:r>
        <w:t xml:space="preserve">And the Lord</w:t>
      </w:r>
      <w:r>
        <w:rPr>
          <w:rStyle w:val="FootnoteReference"/>
        </w:rPr>
        <w:footnoteReference w:id="3300"/>
      </w:r>
      <w:r>
        <w:t xml:space="preserve"> our God handed him over before our face, and we struck him and his sons and all his people.</w:t>
      </w:r>
    </w:p>
    <w:p>
      <w:r>
        <w:rPr>
          <w:b/>
        </w:rPr>
        <w:t xml:space="preserve">34 </w:t>
      </w:r>
      <w:r>
        <w:t xml:space="preserve">And we seized all his cities at that time and utterly destroyed</w:t>
      </w:r>
      <w:r>
        <w:rPr>
          <w:rStyle w:val="FootnoteReference"/>
        </w:rPr>
        <w:footnoteReference w:id="3301"/>
      </w:r>
      <w:r>
        <w:t xml:space="preserve"> every city in succession, and their women and their children. We left no living captive.</w:t>
      </w:r>
    </w:p>
    <w:p>
      <w:r>
        <w:rPr>
          <w:b/>
        </w:rPr>
        <w:t xml:space="preserve">35 </w:t>
      </w:r>
      <w:r>
        <w:t xml:space="preserve">Except the cattle we plundered and the spoils of the cities we took.</w:t>
      </w:r>
    </w:p>
    <w:p>
      <w:r>
        <w:rPr>
          <w:b/>
        </w:rPr>
        <w:t xml:space="preserve">36 </w:t>
      </w:r>
      <w:r>
        <w:t xml:space="preserve">From Aroer</w:t>
      </w:r>
      <w:r>
        <w:rPr>
          <w:rStyle w:val="FootnoteReference"/>
        </w:rPr>
        <w:footnoteReference w:id="3302"/>
      </w:r>
      <w:r>
        <w:t xml:space="preserve">, which is by the lip of the torrent Arnon, and the city that is in the ravine, even to the mountain of Gilead, there was no city that escaped us</w:t>
      </w:r>
      <w:r>
        <w:rPr>
          <w:rStyle w:val="FootnoteReference"/>
        </w:rPr>
        <w:footnoteReference w:id="3303"/>
      </w:r>
      <w:r>
        <w:t xml:space="preserve">. The Lord our God handed all of them into our hands.</w:t>
      </w:r>
    </w:p>
    <w:p>
      <w:r>
        <w:rPr>
          <w:b/>
        </w:rPr>
        <w:t xml:space="preserve">37 </w:t>
      </w:r>
      <w:r>
        <w:t xml:space="preserve">Except to the land of the sons of Ammon we did not come near, all adjoining the torrent Jabbok</w:t>
      </w:r>
      <w:r>
        <w:rPr>
          <w:rStyle w:val="FootnoteReference"/>
        </w:rPr>
        <w:footnoteReference w:id="3304"/>
      </w:r>
      <w:r>
        <w:t xml:space="preserve">, and the cities in the hill country, just as the Lord our God commanded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turning, we went up by the road to Bashan</w:t>
      </w:r>
      <w:r>
        <w:rPr>
          <w:rStyle w:val="FootnoteReference"/>
        </w:rPr>
        <w:footnoteReference w:id="3305"/>
      </w:r>
      <w:r>
        <w:t xml:space="preserve">, and Og king of Bashan came out to meet us, he and all his people, for battle at Edrei.</w:t>
      </w:r>
    </w:p>
    <w:p>
      <w:r>
        <w:rPr>
          <w:b/>
        </w:rPr>
        <w:t xml:space="preserve">2 </w:t>
      </w:r>
      <w:r>
        <w:t xml:space="preserve">And the Lord said to me, Do not fear</w:t>
      </w:r>
      <w:r>
        <w:rPr>
          <w:rStyle w:val="FootnoteReference"/>
        </w:rPr>
        <w:footnoteReference w:id="3306"/>
      </w:r>
      <w:r>
        <w:t xml:space="preserve"> him, because I have handed him over</w:t>
      </w:r>
      <w:r>
        <w:rPr>
          <w:rStyle w:val="FootnoteReference"/>
        </w:rPr>
        <w:footnoteReference w:id="3307"/>
      </w:r>
      <w:r>
        <w:t xml:space="preserve"> into your hands, and all his people and all his land, and you shall do to him just as you did to Sihon king of the Amorites who dwelt in Heshbon.</w:t>
      </w:r>
    </w:p>
    <w:p>
      <w:r>
        <w:rPr>
          <w:b/>
        </w:rPr>
        <w:t xml:space="preserve">3 </w:t>
      </w:r>
      <w:r>
        <w:t xml:space="preserve">And the Lord our God handed him into our hands, Og king of Bashan and all his people, and we struck him until no seed of his was left.</w:t>
      </w:r>
    </w:p>
    <w:p>
      <w:r>
        <w:rPr>
          <w:b/>
        </w:rPr>
        <w:t xml:space="preserve">4 </w:t>
      </w:r>
      <w:r>
        <w:t xml:space="preserve">And we seized all his cities</w:t>
      </w:r>
      <w:r>
        <w:rPr>
          <w:rStyle w:val="FootnoteReference"/>
        </w:rPr>
        <w:footnoteReference w:id="3308"/>
      </w:r>
      <w:r>
        <w:t xml:space="preserve"> at that time. There was no city that we did not take from them: sixty cities, all the region of Argob</w:t>
      </w:r>
      <w:r>
        <w:rPr>
          <w:rStyle w:val="FootnoteReference"/>
        </w:rPr>
        <w:footnoteReference w:id="3309"/>
      </w:r>
      <w:r>
        <w:t xml:space="preserve">, the kingdom of Og in Bashan.</w:t>
      </w:r>
    </w:p>
    <w:p>
      <w:r>
        <w:rPr>
          <w:b/>
        </w:rPr>
        <w:t xml:space="preserve">5 </w:t>
      </w:r>
      <w:r>
        <w:t xml:space="preserve">All the cities were fortified, with high walls, gates, and bars, besides the very many villages of the Perizzites.</w:t>
      </w:r>
    </w:p>
    <w:p>
      <w:r>
        <w:rPr>
          <w:b/>
        </w:rPr>
        <w:t xml:space="preserve">6 </w:t>
      </w:r>
      <w:r>
        <w:t xml:space="preserve">We utterly</w:t>
      </w:r>
      <w:r>
        <w:rPr>
          <w:rStyle w:val="FootnoteReference"/>
        </w:rPr>
        <w:footnoteReference w:id="3310"/>
      </w:r>
      <w:r>
        <w:t xml:space="preserve"> destroyed them, just as we did to Sihon king of Heshbon, and we utterly destroyed every city in succession, and the women and the children.</w:t>
      </w:r>
    </w:p>
    <w:p>
      <w:r>
        <w:rPr>
          <w:b/>
        </w:rPr>
        <w:t xml:space="preserve">7 </w:t>
      </w:r>
      <w:r>
        <w:t xml:space="preserve">And all the cattle and the spoils of the cities we plundered for ourselves</w:t>
      </w:r>
      <w:r>
        <w:rPr>
          <w:rStyle w:val="FootnoteReference"/>
        </w:rPr>
        <w:footnoteReference w:id="3311"/>
      </w:r>
      <w:r>
        <w:t xml:space="preserve">.</w:t>
      </w:r>
    </w:p>
    <w:p>
      <w:r>
        <w:rPr>
          <w:b/>
        </w:rPr>
        <w:t xml:space="preserve">8 </w:t>
      </w:r>
      <w:r>
        <w:t xml:space="preserve">And we took at that time the land from the hands of the two kings of the Amorites who were beyond the Jordan, from the torrent Arnon as far as Hermon</w:t>
      </w:r>
      <w:r>
        <w:rPr>
          <w:rStyle w:val="FootnoteReference"/>
        </w:rPr>
        <w:footnoteReference w:id="3312"/>
      </w:r>
      <w:r>
        <w:t xml:space="preserve">.</w:t>
      </w:r>
    </w:p>
    <w:p>
      <w:r>
        <w:rPr>
          <w:b/>
        </w:rPr>
        <w:t xml:space="preserve">9 </w:t>
      </w:r>
      <w:r>
        <w:t xml:space="preserve">The Phoenicians call Hermon</w:t>
      </w:r>
      <w:r>
        <w:rPr>
          <w:rStyle w:val="FootnoteReference"/>
        </w:rPr>
        <w:footnoteReference w:id="3313"/>
      </w:r>
      <w:r>
        <w:t xml:space="preserve"> Sanior, and the Amorite named it Senir</w:t>
      </w:r>
      <w:r>
        <w:rPr>
          <w:rStyle w:val="FootnoteReference"/>
        </w:rPr>
        <w:footnoteReference w:id="3314"/>
      </w:r>
      <w:r>
        <w:t xml:space="preserve">.</w:t>
      </w:r>
    </w:p>
    <w:p>
      <w:r>
        <w:rPr>
          <w:b/>
        </w:rPr>
        <w:t xml:space="preserve">10 </w:t>
      </w:r>
      <w:r>
        <w:t xml:space="preserve">All the cities</w:t>
      </w:r>
      <w:r>
        <w:rPr>
          <w:rStyle w:val="FootnoteReference"/>
        </w:rPr>
        <w:footnoteReference w:id="3315"/>
      </w:r>
      <w:r>
        <w:t xml:space="preserve"> of Mishor</w:t>
      </w:r>
      <w:r>
        <w:rPr>
          <w:rStyle w:val="FootnoteReference"/>
        </w:rPr>
        <w:footnoteReference w:id="3316"/>
      </w:r>
      <w:r>
        <w:t xml:space="preserve"> and all Gilead and all Bashan as far as Salcah</w:t>
      </w:r>
      <w:r>
        <w:rPr>
          <w:rStyle w:val="FootnoteReference"/>
        </w:rPr>
        <w:footnoteReference w:id="3317"/>
      </w:r>
      <w:r>
        <w:t xml:space="preserve"> and Edrei, cities of the kingdom of Og in Bashan.</w:t>
      </w:r>
    </w:p>
    <w:p>
      <w:r>
        <w:rPr>
          <w:b/>
        </w:rPr>
        <w:t xml:space="preserve">11 </w:t>
      </w:r>
      <w:r>
        <w:t xml:space="preserve">For only Og king of Bashan was left from the Raphain. Behold, his bed was an iron bed. Behold, it is in Akra of the sons of Ammon, nine cubits</w:t>
      </w:r>
      <w:r>
        <w:rPr>
          <w:rStyle w:val="FootnoteReference"/>
        </w:rPr>
        <w:footnoteReference w:id="3318"/>
      </w:r>
      <w:r>
        <w:t xml:space="preserve"> its length and four cubits its width, by a man's cubit.</w:t>
      </w:r>
      <w:r>
        <w:rPr>
          <w:rStyle w:val="FootnoteReference"/>
        </w:rPr>
        <w:footnoteReference w:id="3319"/>
      </w:r>
    </w:p>
    <w:p>
      <w:r>
        <w:rPr>
          <w:b/>
        </w:rPr>
        <w:t xml:space="preserve">12 </w:t>
      </w:r>
      <w:r>
        <w:t xml:space="preserve">And this land we inherited at that time, from Aroer</w:t>
      </w:r>
      <w:r>
        <w:rPr>
          <w:rStyle w:val="FootnoteReference"/>
        </w:rPr>
        <w:footnoteReference w:id="3320"/>
      </w:r>
      <w:r>
        <w:t xml:space="preserve"> which is on the lip of the torrent Arnon, and half the mountain of Gilead and its cities I gave to Reuben and to Gad.</w:t>
      </w:r>
    </w:p>
    <w:p>
      <w:r>
        <w:rPr>
          <w:b/>
        </w:rPr>
        <w:t xml:space="preserve">13 </w:t>
      </w:r>
      <w:r>
        <w:t xml:space="preserve">And the rest</w:t>
      </w:r>
      <w:r>
        <w:rPr>
          <w:rStyle w:val="FootnoteReference"/>
        </w:rPr>
        <w:footnoteReference w:id="3321"/>
      </w:r>
      <w:r>
        <w:t xml:space="preserve"> of Gilead and all Bashan, the kingdom of Og, I gave to the half-tribe of Manasseh, and all the region of Argob, all that Bashan; that land shall be counted as land of Raphain.</w:t>
      </w:r>
    </w:p>
    <w:p>
      <w:r>
        <w:rPr>
          <w:b/>
        </w:rPr>
        <w:t xml:space="preserve">14 </w:t>
      </w:r>
      <w:r>
        <w:t xml:space="preserve">And Jair</w:t>
      </w:r>
      <w:r>
        <w:rPr>
          <w:rStyle w:val="FootnoteReference"/>
        </w:rPr>
        <w:footnoteReference w:id="3322"/>
      </w:r>
      <w:r>
        <w:t xml:space="preserve"> son of Manasseh took all the region of Argob up to the borders of the Girgashites and the Maakathites, and he named them after his own name, Bashan: Jair's Camps, to this day.</w:t>
      </w:r>
    </w:p>
    <w:p>
      <w:r>
        <w:rPr>
          <w:b/>
        </w:rPr>
        <w:t xml:space="preserve">15 </w:t>
      </w:r>
      <w:r>
        <w:t xml:space="preserve">And to Machir</w:t>
      </w:r>
      <w:r>
        <w:rPr>
          <w:rStyle w:val="FootnoteReference"/>
        </w:rPr>
        <w:footnoteReference w:id="3323"/>
      </w:r>
      <w:r>
        <w:t xml:space="preserve"> I gave Gilead.</w:t>
      </w:r>
    </w:p>
    <w:p>
      <w:r>
        <w:rPr>
          <w:b/>
        </w:rPr>
        <w:t xml:space="preserve">16 </w:t>
      </w:r>
      <w:r>
        <w:t xml:space="preserve">And to Reuben and to Gad I gave from Gilead as far as the torrent Arnon, the middle of the torrent as a border, and as far as Jabbok, the torrent being the border of the sons of Ammon.</w:t>
      </w:r>
    </w:p>
    <w:p>
      <w:r>
        <w:rPr>
          <w:b/>
        </w:rPr>
        <w:t xml:space="preserve">17 </w:t>
      </w:r>
      <w:r>
        <w:t xml:space="preserve">And the Arabah and the Jordan as a border, from Machanaereth even to the Sea</w:t>
      </w:r>
      <w:r>
        <w:rPr>
          <w:rStyle w:val="FootnoteReference"/>
        </w:rPr>
        <w:footnoteReference w:id="3324"/>
      </w:r>
      <w:r>
        <w:t xml:space="preserve"> of the Arabah, the Salt Sea, under Ashdod</w:t>
      </w:r>
      <w:r>
        <w:rPr>
          <w:rStyle w:val="FootnoteReference"/>
        </w:rPr>
        <w:footnoteReference w:id="3325"/>
      </w:r>
      <w:r>
        <w:t xml:space="preserve"> of Pisgah</w:t>
      </w:r>
      <w:r>
        <w:rPr>
          <w:rStyle w:val="FootnoteReference"/>
        </w:rPr>
        <w:footnoteReference w:id="3326"/>
      </w:r>
      <w:r>
        <w:t xml:space="preserve"> eastward.</w:t>
      </w:r>
    </w:p>
    <w:p>
      <w:r>
        <w:rPr>
          <w:b/>
        </w:rPr>
        <w:t xml:space="preserve">18 </w:t>
      </w:r>
      <w:r>
        <w:t xml:space="preserve">And I commanded</w:t>
      </w:r>
      <w:r>
        <w:rPr>
          <w:rStyle w:val="FootnoteReference"/>
        </w:rPr>
        <w:footnoteReference w:id="3327"/>
      </w:r>
      <w:r>
        <w:t xml:space="preserve"> you at that time, saying, The Lord your God gave you this land as an inheritance. Armed, go before your brothers, the sons of Israel, every mighty man.</w:t>
      </w:r>
    </w:p>
    <w:p>
      <w:r>
        <w:rPr>
          <w:b/>
        </w:rPr>
        <w:t xml:space="preserve">19 </w:t>
      </w:r>
      <w:r>
        <w:t xml:space="preserve">Only your wives and your children and your cattle—I know that you have many cattle—shall dwell in your cities that I have given you.</w:t>
      </w:r>
    </w:p>
    <w:p>
      <w:r>
        <w:rPr>
          <w:b/>
        </w:rPr>
        <w:t xml:space="preserve">20 </w:t>
      </w:r>
      <w:r>
        <w:t xml:space="preserve">Until the Lord your God gives your brothers rest</w:t>
      </w:r>
      <w:r>
        <w:rPr>
          <w:rStyle w:val="FootnoteReference"/>
        </w:rPr>
        <w:footnoteReference w:id="3328"/>
      </w:r>
      <w:r>
        <w:t xml:space="preserve"> as also to you, and they too inherit the land that the Lord our God gives them beyond the Jordan. And you shall return</w:t>
      </w:r>
      <w:r>
        <w:rPr>
          <w:rStyle w:val="FootnoteReference"/>
        </w:rPr>
        <w:footnoteReference w:id="3329"/>
      </w:r>
      <w:r>
        <w:t xml:space="preserve">, each to his inheritance that I gave you.</w:t>
      </w:r>
    </w:p>
    <w:p>
      <w:r>
        <w:rPr>
          <w:b/>
        </w:rPr>
        <w:t xml:space="preserve">21 </w:t>
      </w:r>
      <w:r>
        <w:t xml:space="preserve">And to Joshua I commanded</w:t>
      </w:r>
      <w:r>
        <w:rPr>
          <w:rStyle w:val="FootnoteReference"/>
        </w:rPr>
        <w:footnoteReference w:id="3330"/>
      </w:r>
      <w:r>
        <w:t xml:space="preserve"> at that time, saying, Your eyes have seen all that the Lord our God did to these two kings. So the Lord our God will do to all the kingdoms into which you are crossing there</w:t>
      </w:r>
      <w:r>
        <w:rPr>
          <w:rStyle w:val="FootnoteReference"/>
        </w:rPr>
        <w:footnoteReference w:id="3331"/>
      </w:r>
      <w:r>
        <w:t xml:space="preserve">.</w:t>
      </w:r>
    </w:p>
    <w:p>
      <w:r>
        <w:rPr>
          <w:b/>
        </w:rPr>
        <w:t xml:space="preserve">22 </w:t>
      </w:r>
      <w:r>
        <w:t xml:space="preserve">You shall not</w:t>
      </w:r>
      <w:r>
        <w:rPr>
          <w:rStyle w:val="FootnoteReference"/>
        </w:rPr>
        <w:footnoteReference w:id="3332"/>
      </w:r>
      <w:r>
        <w:t xml:space="preserve"> fear them, because the Lord our God himself will fight for you.</w:t>
      </w:r>
    </w:p>
    <w:p>
      <w:r>
        <w:rPr>
          <w:b/>
        </w:rPr>
        <w:t xml:space="preserve">23 </w:t>
      </w:r>
      <w:r>
        <w:t xml:space="preserve">And I pleaded with the Lord at that time, saying,</w:t>
      </w:r>
    </w:p>
    <w:p>
      <w:r>
        <w:rPr>
          <w:b/>
        </w:rPr>
        <w:t xml:space="preserve">24 </w:t>
      </w:r>
      <w:r>
        <w:t xml:space="preserve">Lord, Lord, you began to show your servant your strength and your power and your mighty hand and your high arm. For what god</w:t>
      </w:r>
      <w:r>
        <w:rPr>
          <w:rStyle w:val="FootnoteReference"/>
        </w:rPr>
        <w:footnoteReference w:id="3333"/>
      </w:r>
      <w:r>
        <w:t xml:space="preserve"> is there in heaven or on earth who will do as you did and according to your strength?</w:t>
      </w:r>
    </w:p>
    <w:p>
      <w:r>
        <w:rPr>
          <w:b/>
        </w:rPr>
        <w:t xml:space="preserve">25 </w:t>
      </w:r>
      <w:r>
        <w:t xml:space="preserve">Crossing over then, I shall see this good land that is beyond the Jordan, this good mountain and Anti-Lebanon</w:t>
      </w:r>
      <w:r>
        <w:rPr>
          <w:rStyle w:val="FootnoteReference"/>
        </w:rPr>
        <w:footnoteReference w:id="3334"/>
      </w:r>
      <w:r>
        <w:t xml:space="preserve">.</w:t>
      </w:r>
    </w:p>
    <w:p>
      <w:r>
        <w:rPr>
          <w:b/>
        </w:rPr>
        <w:t xml:space="preserve">26 </w:t>
      </w:r>
      <w:r>
        <w:t xml:space="preserve">And the Lord</w:t>
      </w:r>
      <w:r>
        <w:rPr>
          <w:rStyle w:val="FootnoteReference"/>
        </w:rPr>
        <w:footnoteReference w:id="3335"/>
      </w:r>
      <w:r>
        <w:t xml:space="preserve"> overlooked me because of you and did not hear me, and the Lord said to me, Let it be enough for you; do not add to speak this word any more.</w:t>
      </w:r>
    </w:p>
    <w:p>
      <w:r>
        <w:rPr>
          <w:b/>
        </w:rPr>
        <w:t xml:space="preserve">27 </w:t>
      </w:r>
      <w:r>
        <w:t xml:space="preserve">Go up onto the top of the Hewn Place, and looking up with your eyes toward the sea and north and south and east, see with your eyes, because you shall not cross this Jordan.</w:t>
      </w:r>
    </w:p>
    <w:p>
      <w:r>
        <w:rPr>
          <w:b/>
        </w:rPr>
        <w:t xml:space="preserve">28 </w:t>
      </w:r>
      <w:r>
        <w:t xml:space="preserve">And command Joshua and strengthen him and encourage him, because he shall cross before this people and he shall allot to them the land that you saw.</w:t>
      </w:r>
    </w:p>
    <w:p>
      <w:r>
        <w:rPr>
          <w:b/>
        </w:rPr>
        <w:t xml:space="preserve">29 </w:t>
      </w:r>
      <w:r>
        <w:t xml:space="preserve">And we stayed in the valley near the house of Peor.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now, Israel, hear the ordinances and the judgments that I teach you today to do, so that you may live and multiply</w:t>
      </w:r>
      <w:r>
        <w:rPr>
          <w:rStyle w:val="FootnoteReference"/>
        </w:rPr>
        <w:footnoteReference w:id="3336"/>
      </w:r>
      <w:r>
        <w:t xml:space="preserve"> and, entering in, inherit the land that the Lord God of your fathers gives you.</w:t>
      </w:r>
    </w:p>
    <w:p>
      <w:r>
        <w:rPr>
          <w:b/>
        </w:rPr>
        <w:t xml:space="preserve">2 </w:t>
      </w:r>
      <w:r>
        <w:t xml:space="preserve">You shall not add to the word that I command you, and you shall not take away from it. Keep the commands of the Lord your God that I command you today.</w:t>
      </w:r>
    </w:p>
    <w:p>
      <w:r>
        <w:rPr>
          <w:b/>
        </w:rPr>
        <w:t xml:space="preserve">3 </w:t>
      </w:r>
      <w:r>
        <w:t xml:space="preserve">Your eyes saw all that the Lord our God did at Baal-peor, because every man who went after Baal-peor, the Lord your God crushed him from among you.</w:t>
      </w:r>
    </w:p>
    <w:p>
      <w:r>
        <w:rPr>
          <w:b/>
        </w:rPr>
        <w:t xml:space="preserve">4 </w:t>
      </w:r>
      <w:r>
        <w:t xml:space="preserve">But you who cling to the Lord your God are all alive today.</w:t>
      </w:r>
    </w:p>
    <w:p>
      <w:r>
        <w:rPr>
          <w:b/>
        </w:rPr>
        <w:t xml:space="preserve">5 </w:t>
      </w:r>
      <w:r>
        <w:t xml:space="preserve">See, I have shown you ordinances and judgments just as the Lord commanded me, so that you may do thus in the land into which you are entering there to inherit it.</w:t>
      </w:r>
    </w:p>
    <w:p>
      <w:r>
        <w:rPr>
          <w:b/>
        </w:rPr>
        <w:t xml:space="preserve">6 </w:t>
      </w:r>
      <w:r>
        <w:t xml:space="preserve">And you shall keep and do them, because this is your</w:t>
      </w:r>
      <w:r>
        <w:rPr>
          <w:rStyle w:val="FootnoteReference"/>
        </w:rPr>
        <w:footnoteReference w:id="3337"/>
      </w:r>
      <w:r>
        <w:t xml:space="preserve"> wisdom and your understanding before all the nations, whoever hears all these ordinances and says, Behold, this great nation is a wise and understanding people</w:t>
      </w:r>
      <w:r>
        <w:rPr>
          <w:rStyle w:val="FootnoteReference"/>
        </w:rPr>
        <w:footnoteReference w:id="3338"/>
      </w:r>
      <w:r>
        <w:t xml:space="preserve">.</w:t>
      </w:r>
    </w:p>
    <w:p>
      <w:r>
        <w:rPr>
          <w:b/>
        </w:rPr>
        <w:t xml:space="preserve">7 </w:t>
      </w:r>
      <w:r>
        <w:t xml:space="preserve">For what great nation has a god drawing near to them as the Lord our God in all the things for which we call on him?</w:t>
      </w:r>
    </w:p>
    <w:p>
      <w:r>
        <w:rPr>
          <w:b/>
        </w:rPr>
        <w:t xml:space="preserve">8 </w:t>
      </w:r>
      <w:r>
        <w:t xml:space="preserve">And what great nation has righteous ordinances and judgments according to all this law that I set before you today?</w:t>
      </w:r>
    </w:p>
    <w:p>
      <w:r>
        <w:rPr>
          <w:b/>
        </w:rPr>
        <w:t xml:space="preserve">9 </w:t>
      </w:r>
      <w:r>
        <w:t xml:space="preserve">Take heed to yourself and guard your soul greatly, lest you forget all the words that your eyes saw and lest they</w:t>
      </w:r>
      <w:r>
        <w:rPr>
          <w:rStyle w:val="FootnoteReference"/>
        </w:rPr>
        <w:footnoteReference w:id="3339"/>
      </w:r>
      <w:r>
        <w:t xml:space="preserve"> depart from your heart all the days of your life, and you shall teach them to your sons and to the sons of your sons:</w:t>
      </w:r>
    </w:p>
    <w:p>
      <w:r>
        <w:rPr>
          <w:b/>
        </w:rPr>
        <w:t xml:space="preserve">10 </w:t>
      </w:r>
      <w:r>
        <w:t xml:space="preserve">The day you stood before the Lord your God in Horeb, the day of the assembly, when the Lord said to me, Assemble the people to me, and let them hear my words so that they may learn to fear me</w:t>
      </w:r>
      <w:r>
        <w:rPr>
          <w:rStyle w:val="FootnoteReference"/>
        </w:rPr>
        <w:footnoteReference w:id="3340"/>
      </w:r>
      <w:r>
        <w:t xml:space="preserve"> all the days they live upon the land and teach their sons.</w:t>
      </w:r>
      <w:r>
        <w:rPr>
          <w:rStyle w:val="FootnoteReference"/>
        </w:rPr>
        <w:footnoteReference w:id="3341"/>
      </w:r>
    </w:p>
    <w:p>
      <w:r>
        <w:rPr>
          <w:b/>
        </w:rPr>
        <w:t xml:space="preserve">11 </w:t>
      </w:r>
      <w:r>
        <w:t xml:space="preserve">And you came near and stood</w:t>
      </w:r>
      <w:r>
        <w:rPr>
          <w:rStyle w:val="FootnoteReference"/>
        </w:rPr>
        <w:footnoteReference w:id="3342"/>
      </w:r>
      <w:r>
        <w:t xml:space="preserve"> under the mountain, and the mountain was burning with fire up to heaven, darkness, gloom, storm, a great sound.</w:t>
      </w:r>
    </w:p>
    <w:p>
      <w:r>
        <w:rPr>
          <w:b/>
        </w:rPr>
        <w:t xml:space="preserve">12 </w:t>
      </w:r>
      <w:r>
        <w:t xml:space="preserve">And the Lord</w:t>
      </w:r>
      <w:r>
        <w:rPr>
          <w:rStyle w:val="FootnoteReference"/>
        </w:rPr>
        <w:footnoteReference w:id="3343"/>
      </w:r>
      <w:r>
        <w:t xml:space="preserve"> spoke to you from the midst of the fire. You heard a voice of words, and you saw no form, only a voice.</w:t>
      </w:r>
    </w:p>
    <w:p>
      <w:r>
        <w:rPr>
          <w:b/>
        </w:rPr>
        <w:t xml:space="preserve">13 </w:t>
      </w:r>
      <w:r>
        <w:t xml:space="preserve">And he declared to you his covenant that he commanded you to do, the ten words, and he wrote</w:t>
      </w:r>
      <w:r>
        <w:rPr>
          <w:rStyle w:val="FootnoteReference"/>
        </w:rPr>
        <w:footnoteReference w:id="3344"/>
      </w:r>
      <w:r>
        <w:t xml:space="preserve"> them on two stone tablets.</w:t>
      </w:r>
    </w:p>
    <w:p>
      <w:r>
        <w:rPr>
          <w:b/>
        </w:rPr>
        <w:t xml:space="preserve">14 </w:t>
      </w:r>
      <w:r>
        <w:t xml:space="preserve">And to me the Lord commanded at that time to teach you ordinances and judgments, for you to do them in the land into which you are entering there to inherit it.</w:t>
      </w:r>
    </w:p>
    <w:p>
      <w:r>
        <w:rPr>
          <w:b/>
        </w:rPr>
        <w:t xml:space="preserve">15 </w:t>
      </w:r>
      <w:r>
        <w:t xml:space="preserve">And guard your souls greatly, because you saw no form on the day the Lord spoke to you in Horeb in the mountain from the midst of the fire,</w:t>
      </w:r>
    </w:p>
    <w:p>
      <w:r>
        <w:rPr>
          <w:b/>
        </w:rPr>
        <w:t xml:space="preserve">16 </w:t>
      </w:r>
      <w:r>
        <w:t xml:space="preserve">lest you act lawlessly and make for yourselves a carved image, any likeness, likeness of male or female,</w:t>
      </w:r>
    </w:p>
    <w:p>
      <w:r>
        <w:rPr>
          <w:b/>
        </w:rPr>
        <w:t xml:space="preserve">17 </w:t>
      </w:r>
      <w:r>
        <w:t xml:space="preserve">likeness of any beast that is on the earth, likeness of any winged bird that flies under heaven,</w:t>
      </w:r>
    </w:p>
    <w:p>
      <w:r>
        <w:rPr>
          <w:b/>
        </w:rPr>
        <w:t xml:space="preserve">18 </w:t>
      </w:r>
      <w:r>
        <w:t xml:space="preserve">likeness of any creeping thing that creeps on the earth, likeness of any fish that is in the waters below the earth.</w:t>
      </w:r>
    </w:p>
    <w:p>
      <w:r>
        <w:rPr>
          <w:b/>
        </w:rPr>
        <w:t xml:space="preserve">19 </w:t>
      </w:r>
      <w:r>
        <w:t xml:space="preserve">And lest, looking up to heaven and seeing the sun and the moon and the stars and all the order of heaven</w:t>
      </w:r>
      <w:r>
        <w:rPr>
          <w:rStyle w:val="FootnoteReference"/>
        </w:rPr>
        <w:footnoteReference w:id="3345"/>
      </w:r>
      <w:r>
        <w:t xml:space="preserve">, you be led astray and bow to them and serve them, things that the Lord your God assigned to all the nations under heaven.</w:t>
      </w:r>
    </w:p>
    <w:p>
      <w:r>
        <w:rPr>
          <w:b/>
        </w:rPr>
        <w:t xml:space="preserve">20 </w:t>
      </w:r>
      <w:r>
        <w:t xml:space="preserve">But God took you and brought you out from the iron</w:t>
      </w:r>
      <w:r>
        <w:rPr>
          <w:rStyle w:val="FootnoteReference"/>
        </w:rPr>
        <w:footnoteReference w:id="3346"/>
      </w:r>
      <w:r>
        <w:t xml:space="preserve"> furnace, from Egypt, to be for him an inherited people, as at this day.</w:t>
      </w:r>
    </w:p>
    <w:p>
      <w:r>
        <w:rPr>
          <w:b/>
        </w:rPr>
        <w:t xml:space="preserve">21 </w:t>
      </w:r>
      <w:r>
        <w:t xml:space="preserve">And the Lord was angry with me over the things spoken by you and swore that I should not cross this Jordan and should not enter into the land that the Lord God gives you as an inheritance.</w:t>
      </w:r>
    </w:p>
    <w:p>
      <w:r>
        <w:rPr>
          <w:b/>
        </w:rPr>
        <w:t xml:space="preserve">22 </w:t>
      </w:r>
      <w:r>
        <w:t xml:space="preserve">For I am dying in this land and not crossing this Jordan, but you are crossing and inheriting this good land.</w:t>
      </w:r>
    </w:p>
    <w:p>
      <w:r>
        <w:rPr>
          <w:b/>
        </w:rPr>
        <w:t xml:space="preserve">23 </w:t>
      </w:r>
      <w:r>
        <w:t xml:space="preserve">Watch yourselves, lest you forget the covenant of the Lord your God that he covenanted with you, and make for yourselves a carved likeness</w:t>
      </w:r>
      <w:r>
        <w:rPr>
          <w:rStyle w:val="FootnoteReference"/>
        </w:rPr>
        <w:footnoteReference w:id="3347"/>
      </w:r>
      <w:r>
        <w:t xml:space="preserve"> of anything that the Lord your God commanded you not to make.</w:t>
      </w:r>
    </w:p>
    <w:p>
      <w:r>
        <w:rPr>
          <w:b/>
        </w:rPr>
        <w:t xml:space="preserve">24 </w:t>
      </w:r>
      <w:r>
        <w:t xml:space="preserve">Because the Lord your God is a consuming fire, a jealous God</w:t>
      </w:r>
      <w:r>
        <w:rPr>
          <w:rStyle w:val="FootnoteReference"/>
        </w:rPr>
        <w:footnoteReference w:id="3348"/>
      </w:r>
      <w:r>
        <w:t xml:space="preserve">.</w:t>
      </w:r>
    </w:p>
    <w:p>
      <w:r>
        <w:rPr>
          <w:b/>
        </w:rPr>
        <w:t xml:space="preserve">25 </w:t>
      </w:r>
      <w:r>
        <w:t xml:space="preserve">But if you beget</w:t>
      </w:r>
      <w:r>
        <w:rPr>
          <w:rStyle w:val="FootnoteReference"/>
        </w:rPr>
        <w:footnoteReference w:id="3349"/>
      </w:r>
      <w:r>
        <w:t xml:space="preserve"> sons and sons of sons</w:t>
      </w:r>
      <w:r>
        <w:rPr>
          <w:rStyle w:val="FootnoteReference"/>
        </w:rPr>
        <w:footnoteReference w:id="3350"/>
      </w:r>
      <w:r>
        <w:t xml:space="preserve"> and remain long in the land and act lawlessly and make a carved likeness of anything and do evil before the Lord your God to provoke him,</w:t>
      </w:r>
    </w:p>
    <w:p>
      <w:r>
        <w:rPr>
          <w:b/>
        </w:rPr>
        <w:t xml:space="preserve">26 </w:t>
      </w:r>
      <w:r>
        <w:t xml:space="preserve">I call heaven</w:t>
      </w:r>
      <w:r>
        <w:rPr>
          <w:rStyle w:val="FootnoteReference"/>
        </w:rPr>
        <w:footnoteReference w:id="3351"/>
      </w:r>
      <w:r>
        <w:t xml:space="preserve"> and earth to witness against you today that with destruction you shall perish from the land into which you are crossing the Jordan there to inherit it. You shall not remain many days on it, but with crushing you shall be crushed</w:t>
      </w:r>
      <w:r>
        <w:rPr>
          <w:rStyle w:val="FootnoteReference"/>
        </w:rPr>
        <w:footnoteReference w:id="3352"/>
      </w:r>
      <w:r>
        <w:t xml:space="preserve">.</w:t>
      </w:r>
    </w:p>
    <w:p>
      <w:r>
        <w:rPr>
          <w:b/>
        </w:rPr>
        <w:t xml:space="preserve">27 </w:t>
      </w:r>
      <w:r>
        <w:t xml:space="preserve">And the Lord will scatter you among all the nations, and you shall be left few in number among the nations into which the Lord will bring you there.</w:t>
      </w:r>
    </w:p>
    <w:p>
      <w:r>
        <w:rPr>
          <w:b/>
        </w:rPr>
        <w:t xml:space="preserve">28 </w:t>
      </w:r>
      <w:r>
        <w:t xml:space="preserve">And there you shall serve other gods, works of human hands, wood and stone, which shall not see and shall certainly not hear, neither shall they eat nor smell.</w:t>
      </w:r>
    </w:p>
    <w:p>
      <w:r>
        <w:rPr>
          <w:b/>
        </w:rPr>
        <w:t xml:space="preserve">29 </w:t>
      </w:r>
      <w:r>
        <w:t xml:space="preserve">And there you shall seek the Lord your God and find him when you seek him out from all your heart and from all your soul in your affliction.</w:t>
      </w:r>
    </w:p>
    <w:p>
      <w:r>
        <w:rPr>
          <w:b/>
        </w:rPr>
        <w:t xml:space="preserve">30 </w:t>
      </w:r>
      <w:r>
        <w:t xml:space="preserve">And all these</w:t>
      </w:r>
      <w:r>
        <w:rPr>
          <w:rStyle w:val="FootnoteReference"/>
        </w:rPr>
        <w:footnoteReference w:id="3353"/>
      </w:r>
      <w:r>
        <w:t xml:space="preserve"> words will find you at the last of the days, and you will turn to the Lord your God and listen to his voice.</w:t>
      </w:r>
    </w:p>
    <w:p>
      <w:r>
        <w:rPr>
          <w:b/>
        </w:rPr>
        <w:t xml:space="preserve">31 </w:t>
      </w:r>
      <w:r>
        <w:t xml:space="preserve">Because the Lord</w:t>
      </w:r>
      <w:r>
        <w:rPr>
          <w:rStyle w:val="FootnoteReference"/>
        </w:rPr>
        <w:footnoteReference w:id="3354"/>
      </w:r>
      <w:r>
        <w:t xml:space="preserve"> your God is a compassionate God. He will not forsake you, nor will he surely crush you, nor forget the covenant of your fathers that he swore to them.</w:t>
      </w:r>
    </w:p>
    <w:p>
      <w:r>
        <w:rPr>
          <w:b/>
        </w:rPr>
        <w:t xml:space="preserve">32 </w:t>
      </w:r>
      <w:r>
        <w:t xml:space="preserve">Ask the earlier days that came before you</w:t>
      </w:r>
      <w:r>
        <w:rPr>
          <w:rStyle w:val="FootnoteReference"/>
        </w:rPr>
        <w:footnoteReference w:id="3355"/>
      </w:r>
      <w:r>
        <w:t xml:space="preserve">, from the day God created humankind on the earth, and from one end of heaven to the end of heaven, whether there has happened anything according to this great word or whether anything like it has been heard.</w:t>
      </w:r>
    </w:p>
    <w:p>
      <w:r>
        <w:rPr>
          <w:b/>
        </w:rPr>
        <w:t xml:space="preserve">33 </w:t>
      </w:r>
      <w:r>
        <w:t xml:space="preserve">Has any nation heard the voice of the living God speaking from the midst of the fire the way you heard and lived?</w:t>
      </w:r>
    </w:p>
    <w:p>
      <w:r>
        <w:rPr>
          <w:b/>
        </w:rPr>
        <w:t xml:space="preserve">34 </w:t>
      </w:r>
      <w:r>
        <w:t xml:space="preserve">Has God attempted, entering in, to take for himself a nation from the midst of a nation, by trial and by signs</w:t>
      </w:r>
      <w:r>
        <w:rPr>
          <w:rStyle w:val="FootnoteReference"/>
        </w:rPr>
        <w:footnoteReference w:id="3356"/>
      </w:r>
      <w:r>
        <w:t xml:space="preserve"> and by wonders and by war and by mighty hand and by high arm and by great sights, according to all that the Lord our God did in Egypt before you while you watched?</w:t>
      </w:r>
    </w:p>
    <w:p>
      <w:r>
        <w:rPr>
          <w:b/>
        </w:rPr>
        <w:t xml:space="preserve">35 </w:t>
      </w:r>
      <w:r>
        <w:t xml:space="preserve">So that you might know</w:t>
      </w:r>
      <w:r>
        <w:rPr>
          <w:rStyle w:val="FootnoteReference"/>
        </w:rPr>
        <w:footnoteReference w:id="3357"/>
      </w:r>
      <w:r>
        <w:t xml:space="preserve"> that the Lord your God, this one is God, and there is no other besides him.</w:t>
      </w:r>
    </w:p>
    <w:p>
      <w:r>
        <w:rPr>
          <w:b/>
        </w:rPr>
        <w:t xml:space="preserve">36 </w:t>
      </w:r>
      <w:r>
        <w:t xml:space="preserve">From heaven his voice was made heard to discipline you, and on the earth he showed you his great fire, and you heard his words from the midst of the fire.</w:t>
      </w:r>
    </w:p>
    <w:p>
      <w:r>
        <w:rPr>
          <w:b/>
        </w:rPr>
        <w:t xml:space="preserve">37 </w:t>
      </w:r>
      <w:r>
        <w:t xml:space="preserve">Because he loved your fathers and chose their seed after them, you, and he brought you out himself by his great strength from Egypt,</w:t>
      </w:r>
    </w:p>
    <w:p>
      <w:r>
        <w:rPr>
          <w:b/>
        </w:rPr>
        <w:t xml:space="preserve">38 </w:t>
      </w:r>
      <w:r>
        <w:t xml:space="preserve">to destroy nations greater and stronger than you from before your face, to bring you in, to give you their land to inherit, as you have today.</w:t>
      </w:r>
    </w:p>
    <w:p>
      <w:r>
        <w:rPr>
          <w:b/>
        </w:rPr>
        <w:t xml:space="preserve">39 </w:t>
      </w:r>
      <w:r>
        <w:t xml:space="preserve">And you shall know today and turn it back to your mind that the Lord</w:t>
      </w:r>
      <w:r>
        <w:rPr>
          <w:rStyle w:val="FootnoteReference"/>
        </w:rPr>
        <w:footnoteReference w:id="3358"/>
      </w:r>
      <w:r>
        <w:t xml:space="preserve"> your God, this one is God in heaven above and on the earth below, and there is no other besides him.</w:t>
      </w:r>
    </w:p>
    <w:p>
      <w:r>
        <w:rPr>
          <w:b/>
        </w:rPr>
        <w:t xml:space="preserve">40 </w:t>
      </w:r>
      <w:r>
        <w:t xml:space="preserve">And you shall keep</w:t>
      </w:r>
      <w:r>
        <w:rPr>
          <w:rStyle w:val="FootnoteReference"/>
        </w:rPr>
        <w:footnoteReference w:id="3359"/>
      </w:r>
      <w:r>
        <w:t xml:space="preserve"> his ordinances and his commands that I command you today, so that it may be well with you and with your sons after you, so that you may be long-lived on the land</w:t>
      </w:r>
      <w:r>
        <w:rPr>
          <w:rStyle w:val="FootnoteReference"/>
        </w:rPr>
        <w:footnoteReference w:id="3360"/>
      </w:r>
      <w:r>
        <w:t xml:space="preserve"> that the Lord your God gives you all the days.</w:t>
      </w:r>
    </w:p>
    <w:p>
      <w:r>
        <w:rPr>
          <w:b/>
        </w:rPr>
        <w:t xml:space="preserve">41 </w:t>
      </w:r>
      <w:r>
        <w:t xml:space="preserve">Then Moses marked off three cities beyond the Jordan from the rising of the sun,</w:t>
      </w:r>
    </w:p>
    <w:p>
      <w:r>
        <w:rPr>
          <w:b/>
        </w:rPr>
        <w:t xml:space="preserve">42 </w:t>
      </w:r>
      <w:r>
        <w:t xml:space="preserve">for the killer to flee there, whoever kills his neighbor not knowing, and this one not hating him before yesterday or the third day, and he shall flee into one of these cities and live:</w:t>
      </w:r>
    </w:p>
    <w:p>
      <w:r>
        <w:rPr>
          <w:b/>
        </w:rPr>
        <w:t xml:space="preserve">43 </w:t>
      </w:r>
      <w:r>
        <w:t xml:space="preserve">Besor</w:t>
      </w:r>
      <w:r>
        <w:rPr>
          <w:rStyle w:val="FootnoteReference"/>
        </w:rPr>
        <w:footnoteReference w:id="3361"/>
      </w:r>
      <w:r>
        <w:t xml:space="preserve"> in the wilderness in the level land for Reuben, and Ramoth</w:t>
      </w:r>
      <w:r>
        <w:rPr>
          <w:rStyle w:val="FootnoteReference"/>
        </w:rPr>
        <w:footnoteReference w:id="3362"/>
      </w:r>
      <w:r>
        <w:t xml:space="preserve"> in Gilead for Gad, and Golan</w:t>
      </w:r>
      <w:r>
        <w:rPr>
          <w:rStyle w:val="FootnoteReference"/>
        </w:rPr>
        <w:footnoteReference w:id="3363"/>
      </w:r>
      <w:r>
        <w:t xml:space="preserve"> in Bashan for Manasseh.</w:t>
      </w:r>
      <w:r>
        <w:rPr>
          <w:rStyle w:val="FootnoteReference"/>
        </w:rPr>
        <w:footnoteReference w:id="3364"/>
      </w:r>
    </w:p>
    <w:p>
      <w:r>
        <w:rPr>
          <w:b/>
        </w:rPr>
        <w:t xml:space="preserve">44 </w:t>
      </w:r>
      <w:r>
        <w:t xml:space="preserve">This is the law that Moses set before the sons of Israel,</w:t>
      </w:r>
    </w:p>
    <w:p>
      <w:r>
        <w:rPr>
          <w:b/>
        </w:rPr>
        <w:t xml:space="preserve">45 </w:t>
      </w:r>
      <w:r>
        <w:t xml:space="preserve">these are the testimonies and the ordinances and the judgments</w:t>
      </w:r>
      <w:r>
        <w:rPr>
          <w:rStyle w:val="FootnoteReference"/>
        </w:rPr>
        <w:footnoteReference w:id="3365"/>
      </w:r>
      <w:r>
        <w:t xml:space="preserve"> that Moses spoke to the sons of Israel in the wilderness when they came out from the land of Egypt,</w:t>
      </w:r>
    </w:p>
    <w:p>
      <w:r>
        <w:rPr>
          <w:b/>
        </w:rPr>
        <w:t xml:space="preserve">46 </w:t>
      </w:r>
      <w:r>
        <w:t xml:space="preserve">beyond the Jordan in the valley near the house of Peor, in the land of Sihon king of the Amorites who dwelt in Heshbon, whom Moses</w:t>
      </w:r>
      <w:r>
        <w:rPr>
          <w:rStyle w:val="FootnoteReference"/>
        </w:rPr>
        <w:footnoteReference w:id="3366"/>
      </w:r>
      <w:r>
        <w:t xml:space="preserve"> and the sons of Israel struck when they came out from the land of Egypt,</w:t>
      </w:r>
      <w:r>
        <w:rPr>
          <w:rStyle w:val="FootnoteReference"/>
        </w:rPr>
        <w:footnoteReference w:id="3367"/>
      </w:r>
    </w:p>
    <w:p>
      <w:r>
        <w:rPr>
          <w:b/>
        </w:rPr>
        <w:t xml:space="preserve">47 </w:t>
      </w:r>
      <w:r>
        <w:t xml:space="preserve">and they inherited his land and the land of Og king of Bashan, the two kings of the Amorites who were beyond the Jordan toward the sunrise,</w:t>
      </w:r>
    </w:p>
    <w:p>
      <w:r>
        <w:rPr>
          <w:b/>
        </w:rPr>
        <w:t xml:space="preserve">48 </w:t>
      </w:r>
      <w:r>
        <w:t xml:space="preserve">from Aroer</w:t>
      </w:r>
      <w:r>
        <w:rPr>
          <w:rStyle w:val="FootnoteReference"/>
        </w:rPr>
        <w:footnoteReference w:id="3368"/>
      </w:r>
      <w:r>
        <w:t xml:space="preserve"> which is on the lip of the torrent Arnon and up to the mountain of Zion</w:t>
      </w:r>
      <w:r>
        <w:rPr>
          <w:rStyle w:val="FootnoteReference"/>
        </w:rPr>
        <w:footnoteReference w:id="3369"/>
      </w:r>
      <w:r>
        <w:t xml:space="preserve">, which is Hermon,</w:t>
      </w:r>
    </w:p>
    <w:p>
      <w:r>
        <w:rPr>
          <w:b/>
        </w:rPr>
        <w:t xml:space="preserve">49 </w:t>
      </w:r>
      <w:r>
        <w:t xml:space="preserve">all the Arabah beyond the Jordan toward the sunrise under Ashdod the Hewn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Moses called all Israel</w:t>
      </w:r>
      <w:r>
        <w:rPr>
          <w:rStyle w:val="FootnoteReference"/>
        </w:rPr>
        <w:footnoteReference w:id="3370"/>
      </w:r>
      <w:r>
        <w:t xml:space="preserve"> and said to them, Hear, Israel, the ordinances and the judgments that I speak in your ears today, and you shall learn them and keep to do them.</w:t>
      </w:r>
    </w:p>
    <w:p>
      <w:r>
        <w:rPr>
          <w:b/>
        </w:rPr>
        <w:t xml:space="preserve">2 </w:t>
      </w:r>
      <w:r>
        <w:t xml:space="preserve">The Lord your God covenanted with you in Horeb.</w:t>
      </w:r>
    </w:p>
    <w:p>
      <w:r>
        <w:rPr>
          <w:b/>
        </w:rPr>
        <w:t xml:space="preserve">3 </w:t>
      </w:r>
      <w:r>
        <w:t xml:space="preserve">Not with your fathers did the Lord covenant this covenant, but with you, you here, all alive today.</w:t>
      </w:r>
    </w:p>
    <w:p>
      <w:r>
        <w:rPr>
          <w:b/>
        </w:rPr>
        <w:t xml:space="preserve">4 </w:t>
      </w:r>
      <w:r>
        <w:t xml:space="preserve">Face to face the Lord spoke to you on the mountain from the midst of the fire.</w:t>
      </w:r>
    </w:p>
    <w:p>
      <w:r>
        <w:rPr>
          <w:b/>
        </w:rPr>
        <w:t xml:space="preserve">5 </w:t>
      </w:r>
      <w:r>
        <w:t xml:space="preserve">And I was standing between the Lord and you at that time, to report to you the words of the Lord, because you feared before the fire and did not go up onto the mountain, saying:</w:t>
      </w:r>
    </w:p>
    <w:p>
      <w:r>
        <w:rPr>
          <w:b/>
        </w:rPr>
        <w:t xml:space="preserve">6 </w:t>
      </w:r>
      <w:r>
        <w:t xml:space="preserve">I am the</w:t>
      </w:r>
      <w:r>
        <w:rPr>
          <w:rStyle w:val="FootnoteReference"/>
        </w:rPr>
        <w:footnoteReference w:id="3371"/>
      </w:r>
      <w:r>
        <w:t xml:space="preserve"> Lord your God who brought you out from the land of Egypt, from the house of slavery.</w:t>
      </w:r>
    </w:p>
    <w:p>
      <w:r>
        <w:rPr>
          <w:b/>
        </w:rPr>
        <w:t xml:space="preserve">7 </w:t>
      </w:r>
      <w:r>
        <w:t xml:space="preserve">There shall not be for you other gods before my face.</w:t>
      </w:r>
    </w:p>
    <w:p>
      <w:r>
        <w:rPr>
          <w:b/>
        </w:rPr>
        <w:t xml:space="preserve">8 </w:t>
      </w:r>
      <w:r>
        <w:t xml:space="preserve">You shall not make for yourself an idol, nor any likeness of whatever is in the heaven above and whatever is on the earth below and whatever is in the waters below the earth.</w:t>
      </w:r>
    </w:p>
    <w:p>
      <w:r>
        <w:rPr>
          <w:b/>
        </w:rPr>
        <w:t xml:space="preserve">9 </w:t>
      </w:r>
      <w:r>
        <w:t xml:space="preserve">You shall not bow to them, nor shall you serve them, because I am the Lord</w:t>
      </w:r>
      <w:r>
        <w:rPr>
          <w:rStyle w:val="FootnoteReference"/>
        </w:rPr>
        <w:footnoteReference w:id="3372"/>
      </w:r>
      <w:r>
        <w:t xml:space="preserve"> your God, a jealous God, repaying fathers sins upon children</w:t>
      </w:r>
      <w:r>
        <w:rPr>
          <w:rStyle w:val="FootnoteReference"/>
        </w:rPr>
        <w:footnoteReference w:id="3373"/>
      </w:r>
      <w:r>
        <w:t xml:space="preserve"> to the third and fourth generation of those who hate me,</w:t>
      </w:r>
    </w:p>
    <w:p>
      <w:r>
        <w:rPr>
          <w:b/>
        </w:rPr>
        <w:t xml:space="preserve">10 </w:t>
      </w:r>
      <w:r>
        <w:t xml:space="preserve">and showing</w:t>
      </w:r>
      <w:r>
        <w:rPr>
          <w:rStyle w:val="FootnoteReference"/>
        </w:rPr>
        <w:footnoteReference w:id="3374"/>
      </w:r>
      <w:r>
        <w:t xml:space="preserve"> mercy to thousands, to those who love me and keep my commands.</w:t>
      </w:r>
    </w:p>
    <w:p>
      <w:r>
        <w:rPr>
          <w:b/>
        </w:rPr>
        <w:t xml:space="preserve">11 </w:t>
      </w:r>
      <w:r>
        <w:t xml:space="preserve">You shall not take the name of the Lord your God in vain</w:t>
      </w:r>
      <w:r>
        <w:rPr>
          <w:rStyle w:val="FootnoteReference"/>
        </w:rPr>
        <w:footnoteReference w:id="3375"/>
      </w:r>
      <w:r>
        <w:t xml:space="preserve">, because the Lord shall certainly not clear the one taking his name in vain.</w:t>
      </w:r>
    </w:p>
    <w:p>
      <w:r>
        <w:rPr>
          <w:b/>
        </w:rPr>
        <w:t xml:space="preserve">12 </w:t>
      </w:r>
      <w:r>
        <w:t xml:space="preserve">Keep the day of the Sabbaths, to sanctify it, just as the Lord your God commanded you.</w:t>
      </w:r>
    </w:p>
    <w:p>
      <w:r>
        <w:rPr>
          <w:b/>
        </w:rPr>
        <w:t xml:space="preserve">13 </w:t>
      </w:r>
      <w:r>
        <w:t xml:space="preserve">Six days work, and you shall do all your works.</w:t>
      </w:r>
    </w:p>
    <w:p>
      <w:r>
        <w:rPr>
          <w:b/>
        </w:rPr>
        <w:t xml:space="preserve">14 </w:t>
      </w:r>
      <w:r>
        <w:t xml:space="preserve">But the seventh day is Sabbath to the Lord your God. You shall do no work on it, you and your sons and your daughter, your male servant and your female servant, your ox and your beast of burden</w:t>
      </w:r>
      <w:r>
        <w:rPr>
          <w:rStyle w:val="FootnoteReference"/>
        </w:rPr>
        <w:footnoteReference w:id="3376"/>
      </w:r>
      <w:r>
        <w:t xml:space="preserve"> and every animal of yours, and the proselyte residing among you, so that your male servant and your female servant may rest as you do.</w:t>
      </w:r>
    </w:p>
    <w:p>
      <w:r>
        <w:rPr>
          <w:b/>
        </w:rPr>
        <w:t xml:space="preserve">15 </w:t>
      </w:r>
      <w:r>
        <w:t xml:space="preserve">And you shall remember</w:t>
      </w:r>
      <w:r>
        <w:rPr>
          <w:rStyle w:val="FootnoteReference"/>
        </w:rPr>
        <w:footnoteReference w:id="3377"/>
      </w:r>
      <w:r>
        <w:t xml:space="preserve"> that you were a slave in the land of Egypt, and the Lord your God brought you out from there with mighty hand and high arm. Therefore the Lord your God commanded you so as to keep the day of the Sabbaths</w:t>
      </w:r>
      <w:r>
        <w:rPr>
          <w:rStyle w:val="FootnoteReference"/>
        </w:rPr>
        <w:footnoteReference w:id="3378"/>
      </w:r>
      <w:r>
        <w:t xml:space="preserve"> and sanctify it.</w:t>
      </w:r>
    </w:p>
    <w:p>
      <w:r>
        <w:rPr>
          <w:b/>
        </w:rPr>
        <w:t xml:space="preserve">16 </w:t>
      </w:r>
      <w:r>
        <w:t xml:space="preserve">Honor your father and your mother, just as the Lord your God commanded you, so that it may be well with you and so that you may be long-lived on the land that the Lord your God gives you.</w:t>
      </w:r>
    </w:p>
    <w:p>
      <w:r>
        <w:rPr>
          <w:b/>
        </w:rPr>
        <w:t xml:space="preserve">17 </w:t>
      </w:r>
      <w:r>
        <w:t xml:space="preserve">You shall not commit adultery.</w:t>
      </w:r>
    </w:p>
    <w:p>
      <w:r>
        <w:rPr>
          <w:b/>
        </w:rPr>
        <w:t xml:space="preserve">18 </w:t>
      </w:r>
      <w:r>
        <w:t xml:space="preserve">You shall not murder.</w:t>
      </w:r>
    </w:p>
    <w:p>
      <w:r>
        <w:rPr>
          <w:b/>
        </w:rPr>
        <w:t xml:space="preserve">19 </w:t>
      </w:r>
      <w:r>
        <w:t xml:space="preserve">You shall not steal.</w:t>
      </w:r>
    </w:p>
    <w:p>
      <w:r>
        <w:rPr>
          <w:b/>
        </w:rPr>
        <w:t xml:space="preserve">20 </w:t>
      </w:r>
      <w:r>
        <w:t xml:space="preserve">You shall not bear false testimony against your neighbor, a false witness.</w:t>
      </w:r>
    </w:p>
    <w:p>
      <w:r>
        <w:rPr>
          <w:b/>
        </w:rPr>
        <w:t xml:space="preserve">21 </w:t>
      </w:r>
      <w:r>
        <w:t xml:space="preserve">You shall not desire your neighbor's wife. You shall not desire your neighbor's house, nor his field, nor his male servant, nor his female servant, nor his ox, nor his beast of burden, nor any of his cattle, nor whatever belongs to your neighbor.</w:t>
      </w:r>
    </w:p>
    <w:p>
      <w:r>
        <w:rPr>
          <w:b/>
        </w:rPr>
        <w:t xml:space="preserve">22 </w:t>
      </w:r>
      <w:r>
        <w:t xml:space="preserve">These words</w:t>
      </w:r>
      <w:r>
        <w:rPr>
          <w:rStyle w:val="FootnoteReference"/>
        </w:rPr>
        <w:footnoteReference w:id="3379"/>
      </w:r>
      <w:r>
        <w:t xml:space="preserve"> the Lord spoke to all your congregation on the mountain from the midst of the fire, darkness, gloom, storm, a great voice, and he added no more. And he wrote them on two stone tablets and gave them to me.</w:t>
      </w:r>
    </w:p>
    <w:p>
      <w:r>
        <w:rPr>
          <w:b/>
        </w:rPr>
        <w:t xml:space="preserve">23 </w:t>
      </w:r>
      <w:r>
        <w:t xml:space="preserve">And it came to pass, when you heard the voice from the midst of the fire, and the mountain was burning with fire, you came near to me, all the leaders of your tribes and your elders,</w:t>
      </w:r>
      <w:r>
        <w:rPr>
          <w:rStyle w:val="FootnoteReference"/>
        </w:rPr>
        <w:footnoteReference w:id="3380"/>
      </w:r>
    </w:p>
    <w:p>
      <w:r>
        <w:rPr>
          <w:b/>
        </w:rPr>
        <w:t xml:space="preserve">24 </w:t>
      </w:r>
      <w:r>
        <w:t xml:space="preserve">and you were saying, Behold, the Lord our God showed us his glory, and his voice we heard from the midst of the fire. On this day we saw that God will speak to a human and he shall live</w:t>
      </w:r>
      <w:r>
        <w:rPr>
          <w:rStyle w:val="FootnoteReference"/>
        </w:rPr>
        <w:footnoteReference w:id="3381"/>
      </w:r>
      <w:r>
        <w:t xml:space="preserve">.</w:t>
      </w:r>
    </w:p>
    <w:p>
      <w:r>
        <w:rPr>
          <w:b/>
        </w:rPr>
        <w:t xml:space="preserve">25 </w:t>
      </w:r>
      <w:r>
        <w:t xml:space="preserve">And now let us not die, because this great</w:t>
      </w:r>
      <w:r>
        <w:rPr>
          <w:rStyle w:val="FootnoteReference"/>
        </w:rPr>
        <w:footnoteReference w:id="3382"/>
      </w:r>
      <w:r>
        <w:t xml:space="preserve"> fire will consume us. If we add any more to hear the voice of the Lord our God, then we shall die.</w:t>
      </w:r>
    </w:p>
    <w:p>
      <w:r>
        <w:rPr>
          <w:b/>
        </w:rPr>
        <w:t xml:space="preserve">26 </w:t>
      </w:r>
      <w:r>
        <w:t xml:space="preserve">For what flesh is there that heard the voice of the living</w:t>
      </w:r>
      <w:r>
        <w:rPr>
          <w:rStyle w:val="FootnoteReference"/>
        </w:rPr>
        <w:footnoteReference w:id="3383"/>
      </w:r>
      <w:r>
        <w:t xml:space="preserve"> God speaking from the midst of the fire as we did and shall live?</w:t>
      </w:r>
    </w:p>
    <w:p>
      <w:r>
        <w:rPr>
          <w:b/>
        </w:rPr>
        <w:t xml:space="preserve">27 </w:t>
      </w:r>
      <w:r>
        <w:t xml:space="preserve">Come near, you, and hear whatever the Lord our God may say, and you will speak to us all that the Lord our God speaks to you, and we shall hear and do.</w:t>
      </w:r>
      <w:r>
        <w:rPr>
          <w:rStyle w:val="FootnoteReference"/>
        </w:rPr>
        <w:footnoteReference w:id="3384"/>
      </w:r>
      <w:r>
        <w:t xml:space="preserve"/>
      </w:r>
    </w:p>
    <w:p>
      <w:r>
        <w:rPr>
          <w:b/>
        </w:rPr>
        <w:t xml:space="preserve">28 </w:t>
      </w:r>
      <w:r>
        <w:t xml:space="preserve">And the Lord heard the voice of your words while you spoke to me, and the Lord said to me, I heard the voice of the words of this people, whatever they spoke to you. They spoke rightly all that they spoke.</w:t>
      </w:r>
    </w:p>
    <w:p>
      <w:r>
        <w:rPr>
          <w:b/>
        </w:rPr>
        <w:t xml:space="preserve">29 </w:t>
      </w:r>
      <w:r>
        <w:t xml:space="preserve">Who will give that their heart should be thus in them, so as to fear me and keep all</w:t>
      </w:r>
      <w:r>
        <w:rPr>
          <w:rStyle w:val="FootnoteReference"/>
        </w:rPr>
        <w:footnoteReference w:id="3385"/>
      </w:r>
      <w:r>
        <w:t xml:space="preserve"> my commands all the days, so that it may be well with them and with their sons forever?</w:t>
      </w:r>
    </w:p>
    <w:p>
      <w:r>
        <w:rPr>
          <w:b/>
        </w:rPr>
        <w:t xml:space="preserve">30 </w:t>
      </w:r>
      <w:r>
        <w:t xml:space="preserve">Go, say to them, Turn back, you, into your houses.</w:t>
      </w:r>
    </w:p>
    <w:p>
      <w:r>
        <w:rPr>
          <w:b/>
        </w:rPr>
        <w:t xml:space="preserve">31 </w:t>
      </w:r>
      <w:r>
        <w:t xml:space="preserve">But you stand here with me</w:t>
      </w:r>
      <w:r>
        <w:rPr>
          <w:rStyle w:val="FootnoteReference"/>
        </w:rPr>
        <w:footnoteReference w:id="3386"/>
      </w:r>
      <w:r>
        <w:t xml:space="preserve">, and I will speak to you the commands and the ordinances and the judgments that you shall teach them, and let them do them in the land that I give them as an inheritance.</w:t>
      </w:r>
    </w:p>
    <w:p>
      <w:r>
        <w:rPr>
          <w:b/>
        </w:rPr>
        <w:t xml:space="preserve">32 </w:t>
      </w:r>
      <w:r>
        <w:t xml:space="preserve">And you shall keep to do as the Lord your God commanded you. You shall not turn aside to the right nor to the left.</w:t>
      </w:r>
    </w:p>
    <w:p>
      <w:r>
        <w:rPr>
          <w:b/>
        </w:rPr>
        <w:t xml:space="preserve">33 </w:t>
      </w:r>
      <w:r>
        <w:t xml:space="preserve">In all the road that the Lord your God commanded you to go in it, so that he may give you rest and it may be well</w:t>
      </w:r>
      <w:r>
        <w:rPr>
          <w:rStyle w:val="FootnoteReference"/>
        </w:rPr>
        <w:footnoteReference w:id="3387"/>
      </w:r>
      <w:r>
        <w:t xml:space="preserve"> with you and you may be long-lived on the land that you shall inherit.</w:t>
      </w:r>
      <w:r>
        <w:rPr>
          <w:rStyle w:val="FootnoteReference"/>
        </w:rPr>
        <w:footnoteReference w:id="3388"/>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these are the commands and the ordinances and the judgments that the Lord our God commanded to teach you, for you to do them in the land into which you are entering there to inherit it.</w:t>
      </w:r>
    </w:p>
    <w:p>
      <w:r>
        <w:rPr>
          <w:b/>
        </w:rPr>
        <w:t xml:space="preserve">2 </w:t>
      </w:r>
      <w:r>
        <w:t xml:space="preserve">so that you may fear</w:t>
      </w:r>
      <w:r>
        <w:rPr>
          <w:rStyle w:val="FootnoteReference"/>
        </w:rPr>
        <w:footnoteReference w:id="3389"/>
      </w:r>
      <w:r>
        <w:t xml:space="preserve"> the Lord your God, keeping all his ordinances and his commands that I command you today, you and your sons and the sons of your sons, all the days of your life, so that you may be long-lived</w:t>
      </w:r>
      <w:r>
        <w:rPr>
          <w:rStyle w:val="FootnoteReference"/>
        </w:rPr>
        <w:footnoteReference w:id="3390"/>
      </w:r>
      <w:r>
        <w:t xml:space="preserve">.</w:t>
      </w:r>
    </w:p>
    <w:p>
      <w:r>
        <w:rPr>
          <w:b/>
        </w:rPr>
        <w:t xml:space="preserve">3 </w:t>
      </w:r>
      <w:r>
        <w:t xml:space="preserve">And hear, Israel, and keep to do, so that it may be well with you and that you may multiply greatly, just as the Lord, the God of your fathers, spoke, to give you a land</w:t>
      </w:r>
      <w:r>
        <w:rPr>
          <w:rStyle w:val="FootnoteReference"/>
        </w:rPr>
        <w:footnoteReference w:id="3391"/>
      </w:r>
      <w:r>
        <w:t xml:space="preserve"> flowing with milk and honey.</w:t>
      </w:r>
    </w:p>
    <w:p>
      <w:r>
        <w:rPr>
          <w:b/>
        </w:rPr>
        <w:t xml:space="preserve">4 </w:t>
      </w:r>
      <w:r>
        <w:t xml:space="preserve">And these are the ordinances and the judgments that the Lord</w:t>
      </w:r>
      <w:r>
        <w:rPr>
          <w:rStyle w:val="FootnoteReference"/>
        </w:rPr>
        <w:footnoteReference w:id="3392"/>
      </w:r>
      <w:r>
        <w:t xml:space="preserve"> commanded the sons of Israel in the wilderness, when they came out from the land of Egypt: Hear, Israel, the Lord our God, the Lord is one.</w:t>
      </w:r>
      <w:r>
        <w:rPr>
          <w:rStyle w:val="FootnoteReference"/>
        </w:rPr>
        <w:footnoteReference w:id="3393"/>
      </w:r>
    </w:p>
    <w:p>
      <w:r>
        <w:rPr>
          <w:b/>
        </w:rPr>
        <w:t xml:space="preserve">5 </w:t>
      </w:r>
      <w:r>
        <w:t xml:space="preserve">And you shall love the Lord your God from your whole heart and from your whole soul and from your whole strength.</w:t>
      </w:r>
    </w:p>
    <w:p>
      <w:r>
        <w:rPr>
          <w:b/>
        </w:rPr>
        <w:t xml:space="preserve">6 </w:t>
      </w:r>
      <w:r>
        <w:t xml:space="preserve">And these words that I command you today shall be</w:t>
      </w:r>
      <w:r>
        <w:rPr>
          <w:rStyle w:val="FootnoteReference"/>
        </w:rPr>
        <w:footnoteReference w:id="3394"/>
      </w:r>
      <w:r>
        <w:t xml:space="preserve"> in your heart and in your soul.</w:t>
      </w:r>
    </w:p>
    <w:p>
      <w:r>
        <w:rPr>
          <w:b/>
        </w:rPr>
        <w:t xml:space="preserve">7 </w:t>
      </w:r>
      <w:r>
        <w:t xml:space="preserve">And you shall pass them on to your sons, and you shall speak of them while sitting in the house and while walking on the road and while lying down and while rising up.</w:t>
      </w:r>
    </w:p>
    <w:p>
      <w:r>
        <w:rPr>
          <w:b/>
        </w:rPr>
        <w:t xml:space="preserve">8 </w:t>
      </w:r>
      <w:r>
        <w:t xml:space="preserve">And you shall bind them as a sign on your hand, and it shall be fixed before your eyes.</w:t>
      </w:r>
    </w:p>
    <w:p>
      <w:r>
        <w:rPr>
          <w:b/>
        </w:rPr>
        <w:t xml:space="preserve">9 </w:t>
      </w:r>
      <w:r>
        <w:t xml:space="preserve">And you shall write them on the doorposts of your houses and your gates.</w:t>
      </w:r>
    </w:p>
    <w:p>
      <w:r>
        <w:rPr>
          <w:b/>
        </w:rPr>
        <w:t xml:space="preserve">10 </w:t>
      </w:r>
      <w:r>
        <w:t xml:space="preserve">And it shall be, when the Lord your God brings you into the land that he swore to your fathers, to Abraham and Isaac and Jacob, to give you, cities great and good</w:t>
      </w:r>
      <w:r>
        <w:rPr>
          <w:rStyle w:val="FootnoteReference"/>
        </w:rPr>
        <w:footnoteReference w:id="3395"/>
      </w:r>
      <w:r>
        <w:t xml:space="preserve"> that you did not build,</w:t>
      </w:r>
    </w:p>
    <w:p>
      <w:r>
        <w:rPr>
          <w:b/>
        </w:rPr>
        <w:t xml:space="preserve">11 </w:t>
      </w:r>
      <w:r>
        <w:t xml:space="preserve">houses full of every good thing that you did not fill, cisterns cut out that you did not cut out, vineyards and olive groves that you did not plant, and when you eat and are filled,</w:t>
      </w:r>
    </w:p>
    <w:p>
      <w:r>
        <w:rPr>
          <w:b/>
        </w:rPr>
        <w:t xml:space="preserve">12 </w:t>
      </w:r>
      <w:r>
        <w:t xml:space="preserve">watch yourself lest you forget the Lord your God who brought you out from the land of Egypt, from the house of slavery.</w:t>
      </w:r>
    </w:p>
    <w:p>
      <w:r>
        <w:rPr>
          <w:b/>
        </w:rPr>
        <w:t xml:space="preserve">13 </w:t>
      </w:r>
      <w:r>
        <w:t xml:space="preserve">You shall fear</w:t>
      </w:r>
      <w:r>
        <w:rPr>
          <w:rStyle w:val="FootnoteReference"/>
        </w:rPr>
        <w:footnoteReference w:id="3396"/>
      </w:r>
      <w:r>
        <w:t xml:space="preserve"> the Lord your God, and you shall serve him and cling to him</w:t>
      </w:r>
      <w:r>
        <w:rPr>
          <w:rStyle w:val="FootnoteReference"/>
        </w:rPr>
        <w:footnoteReference w:id="3397"/>
      </w:r>
      <w:r>
        <w:t xml:space="preserve"> and swear by his name.</w:t>
      </w:r>
    </w:p>
    <w:p>
      <w:r>
        <w:rPr>
          <w:b/>
        </w:rPr>
        <w:t xml:space="preserve">14 </w:t>
      </w:r>
      <w:r>
        <w:t xml:space="preserve">You shall not go</w:t>
      </w:r>
      <w:r>
        <w:rPr>
          <w:rStyle w:val="FootnoteReference"/>
        </w:rPr>
        <w:footnoteReference w:id="3398"/>
      </w:r>
      <w:r>
        <w:t xml:space="preserve"> after other gods from the gods of the nations around you,</w:t>
      </w:r>
    </w:p>
    <w:p>
      <w:r>
        <w:rPr>
          <w:b/>
        </w:rPr>
        <w:t xml:space="preserve">15 </w:t>
      </w:r>
      <w:r>
        <w:t xml:space="preserve">because the Lord your God in your midst is a jealous</w:t>
      </w:r>
      <w:r>
        <w:rPr>
          <w:rStyle w:val="FootnoteReference"/>
        </w:rPr>
        <w:footnoteReference w:id="3399"/>
      </w:r>
      <w:r>
        <w:t xml:space="preserve"> God, lest the Lord your God in your midst, having become angry in wrath, destroy you from the face of the earth.</w:t>
      </w:r>
    </w:p>
    <w:p>
      <w:r>
        <w:rPr>
          <w:b/>
        </w:rPr>
        <w:t xml:space="preserve">16 </w:t>
      </w:r>
      <w:r>
        <w:t xml:space="preserve">You shall not test the Lord your God in the way you tested him in the Testing.</w:t>
      </w:r>
    </w:p>
    <w:p>
      <w:r>
        <w:rPr>
          <w:b/>
        </w:rPr>
        <w:t xml:space="preserve">17 </w:t>
      </w:r>
      <w:r>
        <w:t xml:space="preserve">Keeping, you shall keep the commands of the Lord your God, the testimonies and the ordinances that he commanded you.</w:t>
      </w:r>
    </w:p>
    <w:p>
      <w:r>
        <w:rPr>
          <w:b/>
        </w:rPr>
        <w:t xml:space="preserve">18 </w:t>
      </w:r>
      <w:r>
        <w:t xml:space="preserve">And you shall do what is pleasing and good before the Lord your God, so that it may</w:t>
      </w:r>
      <w:r>
        <w:rPr>
          <w:rStyle w:val="FootnoteReference"/>
        </w:rPr>
        <w:footnoteReference w:id="3400"/>
      </w:r>
      <w:r>
        <w:t xml:space="preserve"> be well with you and you may enter and inherit the good land that the Lord swore to your fathers,</w:t>
      </w:r>
    </w:p>
    <w:p>
      <w:r>
        <w:rPr>
          <w:b/>
        </w:rPr>
        <w:t xml:space="preserve">19 </w:t>
      </w:r>
      <w:r>
        <w:t xml:space="preserve">to drive out all your enemies from before your face, just as he spoke.</w:t>
      </w:r>
    </w:p>
    <w:p>
      <w:r>
        <w:rPr>
          <w:b/>
        </w:rPr>
        <w:t xml:space="preserve">20 </w:t>
      </w:r>
      <w:r>
        <w:t xml:space="preserve">And it shall be, when your son asks you tomorrow, saying, What are the testimonies and the ordinances and the judgments that the Lord our God commanded you?</w:t>
      </w:r>
    </w:p>
    <w:p>
      <w:r>
        <w:rPr>
          <w:b/>
        </w:rPr>
        <w:t xml:space="preserve">21 </w:t>
      </w:r>
      <w:r>
        <w:t xml:space="preserve">then you shall say to your son, We were</w:t>
      </w:r>
      <w:r>
        <w:rPr>
          <w:rStyle w:val="FootnoteReference"/>
        </w:rPr>
        <w:footnoteReference w:id="3401"/>
      </w:r>
      <w:r>
        <w:t xml:space="preserve"> household servants to Pharaoh in the land of Egypt, and the Lord brought us out from there with mighty hand and high arm.</w:t>
      </w:r>
    </w:p>
    <w:p>
      <w:r>
        <w:rPr>
          <w:b/>
        </w:rPr>
        <w:t xml:space="preserve">22 </w:t>
      </w:r>
      <w:r>
        <w:t xml:space="preserve">And the Lord gave signs and wonders, great and grievous, in Egypt, against Pharaoh and against his house, before us.</w:t>
      </w:r>
    </w:p>
    <w:p>
      <w:r>
        <w:rPr>
          <w:b/>
        </w:rPr>
        <w:t xml:space="preserve">23 </w:t>
      </w:r>
      <w:r>
        <w:t xml:space="preserve">And he brought us out from there so that he might bring us in</w:t>
      </w:r>
      <w:r>
        <w:rPr>
          <w:rStyle w:val="FootnoteReference"/>
        </w:rPr>
        <w:footnoteReference w:id="3402"/>
      </w:r>
      <w:r>
        <w:t xml:space="preserve">, to give us</w:t>
      </w:r>
      <w:r>
        <w:rPr>
          <w:rStyle w:val="FootnoteReference"/>
        </w:rPr>
        <w:footnoteReference w:id="3403"/>
      </w:r>
      <w:r>
        <w:t xml:space="preserve"> this land that he swore to give to our fathers.</w:t>
      </w:r>
    </w:p>
    <w:p>
      <w:r>
        <w:rPr>
          <w:b/>
        </w:rPr>
        <w:t xml:space="preserve">24 </w:t>
      </w:r>
      <w:r>
        <w:t xml:space="preserve">And the Lord commanded us to do all these ordinances, to fear</w:t>
      </w:r>
      <w:r>
        <w:rPr>
          <w:rStyle w:val="FootnoteReference"/>
        </w:rPr>
        <w:footnoteReference w:id="3404"/>
      </w:r>
      <w:r>
        <w:t xml:space="preserve"> the Lord our God, so that it may be well with us all the days, so that we may live, as also today.</w:t>
      </w:r>
    </w:p>
    <w:p>
      <w:r>
        <w:rPr>
          <w:b/>
        </w:rPr>
        <w:t xml:space="preserve">25 </w:t>
      </w:r>
      <w:r>
        <w:t xml:space="preserve">And it will be righteousness for us if we keep to do all these commands before the Lord our God, just as the Lord commanded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if the Lord</w:t>
      </w:r>
      <w:r>
        <w:rPr>
          <w:rStyle w:val="FootnoteReference"/>
        </w:rPr>
        <w:footnoteReference w:id="3405"/>
      </w:r>
      <w:r>
        <w:t xml:space="preserve"> your God brings you into the land into which you are entering there to inherit it, and he removes great nations from before your face, the Hittite and Gergesite and Amorite and Canaanite and Perizzite and Hivite and Jebusite, seven nations many and stronger than you</w:t>
      </w:r>
      <w:r>
        <w:rPr>
          <w:rStyle w:val="FootnoteReference"/>
        </w:rPr>
        <w:footnoteReference w:id="3406"/>
      </w:r>
      <w:r>
        <w:t xml:space="preserve">,</w:t>
      </w:r>
    </w:p>
    <w:p>
      <w:r>
        <w:rPr>
          <w:b/>
        </w:rPr>
        <w:t xml:space="preserve">2 </w:t>
      </w:r>
      <w:r>
        <w:t xml:space="preserve">and the Lord your God gives them into your hands, then you shall strike them. With utter destruction you shall utterly</w:t>
      </w:r>
      <w:r>
        <w:rPr>
          <w:rStyle w:val="FootnoteReference"/>
        </w:rPr>
        <w:footnoteReference w:id="3407"/>
      </w:r>
      <w:r>
        <w:t xml:space="preserve"> destroy them. You shall not covenant a covenant with them, nor indeed show them mercy.</w:t>
      </w:r>
    </w:p>
    <w:p>
      <w:r>
        <w:rPr>
          <w:b/>
        </w:rPr>
        <w:t xml:space="preserve">3 </w:t>
      </w:r>
      <w:r>
        <w:t xml:space="preserve">And you shall certainly not intermarry with them</w:t>
      </w:r>
      <w:r>
        <w:rPr>
          <w:rStyle w:val="FootnoteReference"/>
        </w:rPr>
        <w:footnoteReference w:id="3408"/>
      </w:r>
      <w:r>
        <w:t xml:space="preserve">. Your daughter you shall not give to his son, and his daughter you shall not take for your son,</w:t>
      </w:r>
    </w:p>
    <w:p>
      <w:r>
        <w:rPr>
          <w:b/>
        </w:rPr>
        <w:t xml:space="preserve">4 </w:t>
      </w:r>
      <w:r>
        <w:t xml:space="preserve">for he will turn your son away from me, and he will serve other gods, and the Lord will be angered in wrath against you and destroy you quickly.</w:t>
      </w:r>
    </w:p>
    <w:p>
      <w:r>
        <w:rPr>
          <w:b/>
        </w:rPr>
        <w:t xml:space="preserve">5 </w:t>
      </w:r>
      <w:r>
        <w:t xml:space="preserve">But thus you shall do to them: their altars you shall pull down, and their pillars you shall shatter, and their sacred groves you shall cut down, and the carved images</w:t>
      </w:r>
      <w:r>
        <w:rPr>
          <w:rStyle w:val="FootnoteReference"/>
        </w:rPr>
        <w:footnoteReference w:id="3409"/>
      </w:r>
      <w:r>
        <w:t xml:space="preserve"> of their gods you shall burn with fire.</w:t>
      </w:r>
    </w:p>
    <w:p>
      <w:r>
        <w:rPr>
          <w:b/>
        </w:rPr>
        <w:t xml:space="preserve">6 </w:t>
      </w:r>
      <w:r>
        <w:t xml:space="preserve">Because you are a holy people to the Lord your God, and the Lord your God chose you to be for him a people of special possession beyond all the nations that are on the face of the earth.</w:t>
      </w:r>
    </w:p>
    <w:p>
      <w:r>
        <w:rPr>
          <w:b/>
        </w:rPr>
        <w:t xml:space="preserve">7 </w:t>
      </w:r>
      <w:r>
        <w:t xml:space="preserve">Not because you are more numerous than all the nations did the Lord</w:t>
      </w:r>
      <w:r>
        <w:rPr>
          <w:rStyle w:val="FootnoteReference"/>
        </w:rPr>
        <w:footnoteReference w:id="3410"/>
      </w:r>
      <w:r>
        <w:t xml:space="preserve"> choose you and select you, for you are fewer than all the nations,</w:t>
      </w:r>
    </w:p>
    <w:p>
      <w:r>
        <w:rPr>
          <w:b/>
        </w:rPr>
        <w:t xml:space="preserve">8 </w:t>
      </w:r>
      <w:r>
        <w:t xml:space="preserve">but because the Lord loves you and keeps the oath</w:t>
      </w:r>
      <w:r>
        <w:rPr>
          <w:rStyle w:val="FootnoteReference"/>
        </w:rPr>
        <w:footnoteReference w:id="3411"/>
      </w:r>
      <w:r>
        <w:t xml:space="preserve"> that he swore to your fathers, the Lord brought you out with mighty hand and high arm</w:t>
      </w:r>
      <w:r>
        <w:rPr>
          <w:rStyle w:val="FootnoteReference"/>
        </w:rPr>
        <w:footnoteReference w:id="3412"/>
      </w:r>
      <w:r>
        <w:t xml:space="preserve">, and he redeemed you from the house of slavery, from the hand of Pharaoh king of Egypt.</w:t>
      </w:r>
    </w:p>
    <w:p>
      <w:r>
        <w:rPr>
          <w:b/>
        </w:rPr>
        <w:t xml:space="preserve">9 </w:t>
      </w:r>
      <w:r>
        <w:t xml:space="preserve">And you shall know that the Lord your God, this one is God, faithful God, keeping covenant and mercy with those who love him and with those who keep his commands, to a thousand</w:t>
      </w:r>
      <w:r>
        <w:rPr>
          <w:rStyle w:val="FootnoteReference"/>
        </w:rPr>
        <w:footnoteReference w:id="3413"/>
      </w:r>
      <w:r>
        <w:t xml:space="preserve"> generations,</w:t>
      </w:r>
    </w:p>
    <w:p>
      <w:r>
        <w:rPr>
          <w:b/>
        </w:rPr>
        <w:t xml:space="preserve">10 </w:t>
      </w:r>
      <w:r>
        <w:t xml:space="preserve">and repaying those who hate him to their face, to destroy them. He will not delay with those who hate him; he will repay them to their face.</w:t>
      </w:r>
    </w:p>
    <w:p>
      <w:r>
        <w:rPr>
          <w:b/>
        </w:rPr>
        <w:t xml:space="preserve">11 </w:t>
      </w:r>
      <w:r>
        <w:t xml:space="preserve">And you shall keep these commands and ordinances and judgments that I command you today, to do them.</w:t>
      </w:r>
    </w:p>
    <w:p>
      <w:r>
        <w:rPr>
          <w:b/>
        </w:rPr>
        <w:t xml:space="preserve">12 </w:t>
      </w:r>
      <w:r>
        <w:t xml:space="preserve">And it shall be, when you hear all these ordinances and keep and do them, then the Lord your God will keep for you the covenant and the mercy</w:t>
      </w:r>
      <w:r>
        <w:rPr>
          <w:rStyle w:val="FootnoteReference"/>
        </w:rPr>
        <w:footnoteReference w:id="3414"/>
      </w:r>
      <w:r>
        <w:t xml:space="preserve"> that he swore to your fathers.</w:t>
      </w:r>
      <w:r>
        <w:rPr>
          <w:rStyle w:val="FootnoteReference"/>
        </w:rPr>
        <w:footnoteReference w:id="3415"/>
      </w:r>
    </w:p>
    <w:p>
      <w:r>
        <w:rPr>
          <w:b/>
        </w:rPr>
        <w:t xml:space="preserve">13 </w:t>
      </w:r>
      <w:r>
        <w:t xml:space="preserve">And he will love</w:t>
      </w:r>
      <w:r>
        <w:rPr>
          <w:rStyle w:val="FootnoteReference"/>
        </w:rPr>
        <w:footnoteReference w:id="3416"/>
      </w:r>
      <w:r>
        <w:t xml:space="preserve"> you and bless you and multiply you, and he will bless the offspring of your womb and the fruit of your land, your grain and your wine and your oil, the herds of your cattle and the flocks of your sheep, on the land that the Lord swore to your fathers to give you.</w:t>
      </w:r>
    </w:p>
    <w:p>
      <w:r>
        <w:rPr>
          <w:b/>
        </w:rPr>
        <w:t xml:space="preserve">14 </w:t>
      </w:r>
      <w:r>
        <w:t xml:space="preserve">You shall be blessed</w:t>
      </w:r>
      <w:r>
        <w:rPr>
          <w:rStyle w:val="FootnoteReference"/>
        </w:rPr>
        <w:footnoteReference w:id="3417"/>
      </w:r>
      <w:r>
        <w:t xml:space="preserve"> beyond all the nations. There shall not be among you one without offspring or barren, nor among your cattle.</w:t>
      </w:r>
    </w:p>
    <w:p>
      <w:r>
        <w:rPr>
          <w:b/>
        </w:rPr>
        <w:t xml:space="preserve">15 </w:t>
      </w:r>
      <w:r>
        <w:t xml:space="preserve">And the Lord will remove from you every sickness, and all the evil diseases of Egypt that you have seen and all that you have known he will not put on you, but he will put them on all who hate you.</w:t>
      </w:r>
    </w:p>
    <w:p>
      <w:r>
        <w:rPr>
          <w:b/>
        </w:rPr>
        <w:t xml:space="preserve">16 </w:t>
      </w:r>
      <w:r>
        <w:t xml:space="preserve">And you shall consume</w:t>
      </w:r>
      <w:r>
        <w:rPr>
          <w:rStyle w:val="FootnoteReference"/>
        </w:rPr>
        <w:footnoteReference w:id="3418"/>
      </w:r>
      <w:r>
        <w:t xml:space="preserve"> all the spoils of the nations that the Lord your God gives you. Your eye shall not spare them, and you shall not serve their gods, because this is a stumbling block to you.</w:t>
      </w:r>
    </w:p>
    <w:p>
      <w:r>
        <w:rPr>
          <w:b/>
        </w:rPr>
        <w:t xml:space="preserve">17 </w:t>
      </w:r>
      <w:r>
        <w:t xml:space="preserve">And if you say in your mind, This nation is more numerous than I. How shall I be able to utterly destroy them?</w:t>
      </w:r>
    </w:p>
    <w:p>
      <w:r>
        <w:rPr>
          <w:b/>
        </w:rPr>
        <w:t xml:space="preserve">18 </w:t>
      </w:r>
      <w:r>
        <w:t xml:space="preserve">you shall not fear them. In remembrance you shall remember</w:t>
      </w:r>
      <w:r>
        <w:rPr>
          <w:rStyle w:val="FootnoteReference"/>
        </w:rPr>
        <w:footnoteReference w:id="3419"/>
      </w:r>
      <w:r>
        <w:t xml:space="preserve"> what the Lord your God did to Pharaoh and to all the Egyptians,</w:t>
      </w:r>
    </w:p>
    <w:p>
      <w:r>
        <w:rPr>
          <w:b/>
        </w:rPr>
        <w:t xml:space="preserve">19 </w:t>
      </w:r>
      <w:r>
        <w:t xml:space="preserve">the great</w:t>
      </w:r>
      <w:r>
        <w:rPr>
          <w:rStyle w:val="FootnoteReference"/>
        </w:rPr>
        <w:footnoteReference w:id="3420"/>
      </w:r>
      <w:r>
        <w:t xml:space="preserve"> trials that your eyes saw, those signs and great wonders, the mighty hand and the high arm</w:t>
      </w:r>
      <w:r>
        <w:rPr>
          <w:rStyle w:val="FootnoteReference"/>
        </w:rPr>
        <w:footnoteReference w:id="3421"/>
      </w:r>
      <w:r>
        <w:t xml:space="preserve"> by which the Lord your God brought you out. Thus the Lord our God will do to all the nations whose face you fear.</w:t>
      </w:r>
    </w:p>
    <w:p>
      <w:r>
        <w:rPr>
          <w:b/>
        </w:rPr>
        <w:t xml:space="preserve">20 </w:t>
      </w:r>
      <w:r>
        <w:t xml:space="preserve">And the Lord your God will send the hornets against them until the remnant and those hidden from you are ground away.</w:t>
      </w:r>
    </w:p>
    <w:p>
      <w:r>
        <w:rPr>
          <w:b/>
        </w:rPr>
        <w:t xml:space="preserve">21 </w:t>
      </w:r>
      <w:r>
        <w:t xml:space="preserve">You shall not be broken before their face, because the Lord</w:t>
      </w:r>
      <w:r>
        <w:rPr>
          <w:rStyle w:val="FootnoteReference"/>
        </w:rPr>
        <w:footnoteReference w:id="3422"/>
      </w:r>
      <w:r>
        <w:t xml:space="preserve"> your God in your midst is a great and mighty God.</w:t>
      </w:r>
    </w:p>
    <w:p>
      <w:r>
        <w:rPr>
          <w:b/>
        </w:rPr>
        <w:t xml:space="preserve">22 </w:t>
      </w:r>
      <w:r>
        <w:t xml:space="preserve">And the Lord your God will consume these nations from before your face little by little. You will not be able to consume them quickly, lest the land become desolate and the wild beasts multiply against you.</w:t>
      </w:r>
    </w:p>
    <w:p>
      <w:r>
        <w:rPr>
          <w:b/>
        </w:rPr>
        <w:t xml:space="preserve">23 </w:t>
      </w:r>
      <w:r>
        <w:t xml:space="preserve">And the Lord</w:t>
      </w:r>
      <w:r>
        <w:rPr>
          <w:rStyle w:val="FootnoteReference"/>
        </w:rPr>
        <w:footnoteReference w:id="3423"/>
      </w:r>
      <w:r>
        <w:t xml:space="preserve"> your God will give them into your hands and destroy them with a great destruction until he utterly destroys them.</w:t>
      </w:r>
    </w:p>
    <w:p>
      <w:r>
        <w:rPr>
          <w:b/>
        </w:rPr>
        <w:t xml:space="preserve">24 </w:t>
      </w:r>
      <w:r>
        <w:t xml:space="preserve">And he will give their kings into your hands, and their name</w:t>
      </w:r>
      <w:r>
        <w:rPr>
          <w:rStyle w:val="FootnoteReference"/>
        </w:rPr>
        <w:footnoteReference w:id="3424"/>
      </w:r>
      <w:r>
        <w:t xml:space="preserve"> will perish from that place. No one shall stand against your face until you utterly destroy them.</w:t>
      </w:r>
    </w:p>
    <w:p>
      <w:r>
        <w:rPr>
          <w:b/>
        </w:rPr>
        <w:t xml:space="preserve">25 </w:t>
      </w:r>
      <w:r>
        <w:t xml:space="preserve">The carved images of their gods you shall burn with fire. You shall not desire the silver or gold from them, nor take it for yourself, lest you stumble because of it, because it is an abomination</w:t>
      </w:r>
      <w:r>
        <w:rPr>
          <w:rStyle w:val="FootnoteReference"/>
        </w:rPr>
        <w:footnoteReference w:id="3425"/>
      </w:r>
      <w:r>
        <w:t xml:space="preserve"> to the Lord your God.</w:t>
      </w:r>
    </w:p>
    <w:p>
      <w:r>
        <w:rPr>
          <w:b/>
        </w:rPr>
        <w:t xml:space="preserve">26 </w:t>
      </w:r>
      <w:r>
        <w:t xml:space="preserve">And you shall not bring an abomination into your house, and you shall be devoted to destruction like it. With abhorrence you shall abhor it, and with loathing you shall loathe it, because it is devoted to destruction.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All the commands that I command you today you shall keep to do, so that you may live and be multiplied and enter and inherit the land that the Lord your God swore to your fathers.</w:t>
      </w:r>
    </w:p>
    <w:p>
      <w:r>
        <w:rPr>
          <w:b/>
        </w:rPr>
        <w:t xml:space="preserve">2 </w:t>
      </w:r>
      <w:r>
        <w:t xml:space="preserve">And you shall remember</w:t>
      </w:r>
      <w:r>
        <w:rPr>
          <w:rStyle w:val="FootnoteReference"/>
        </w:rPr>
        <w:footnoteReference w:id="3426"/>
      </w:r>
      <w:r>
        <w:t xml:space="preserve"> all the road that the Lord your God led you in the wilderness, so that he might afflict you and test you, and so that the things in your heart might be known, whether you would keep his commands or not.</w:t>
      </w:r>
      <w:r>
        <w:rPr>
          <w:rStyle w:val="FootnoteReference"/>
        </w:rPr>
        <w:footnoteReference w:id="3427"/>
      </w:r>
    </w:p>
    <w:p>
      <w:r>
        <w:rPr>
          <w:b/>
        </w:rPr>
        <w:t xml:space="preserve">3 </w:t>
      </w:r>
      <w:r>
        <w:t xml:space="preserve">And he afflicted you and made you hunger, and he fed you with the manna that your fathers did not know, so that he might tell you</w:t>
      </w:r>
      <w:r>
        <w:rPr>
          <w:rStyle w:val="FootnoteReference"/>
        </w:rPr>
        <w:footnoteReference w:id="3428"/>
      </w:r>
      <w:r>
        <w:t xml:space="preserve"> that not on bread alone shall a human live, but on every word going out through the mouth of God shall a human live.</w:t>
      </w:r>
    </w:p>
    <w:p>
      <w:r>
        <w:rPr>
          <w:b/>
        </w:rPr>
        <w:t xml:space="preserve">4 </w:t>
      </w:r>
      <w:r>
        <w:t xml:space="preserve">Your clothes did not wear out from upon you, and your feet did not become calloused, behold, these forty years.</w:t>
      </w:r>
    </w:p>
    <w:p>
      <w:r>
        <w:rPr>
          <w:b/>
        </w:rPr>
        <w:t xml:space="preserve">5 </w:t>
      </w:r>
      <w:r>
        <w:t xml:space="preserve">And you shall know in your heart that as someone might discipline his son, so the Lord your God will discipline you.</w:t>
      </w:r>
    </w:p>
    <w:p>
      <w:r>
        <w:rPr>
          <w:b/>
        </w:rPr>
        <w:t xml:space="preserve">6 </w:t>
      </w:r>
      <w:r>
        <w:t xml:space="preserve">And you shall keep the commands of the Lord your God, to walk</w:t>
      </w:r>
      <w:r>
        <w:rPr>
          <w:rStyle w:val="FootnoteReference"/>
        </w:rPr>
        <w:footnoteReference w:id="3429"/>
      </w:r>
      <w:r>
        <w:t xml:space="preserve"> in his ways and fear him.</w:t>
      </w:r>
    </w:p>
    <w:p>
      <w:r>
        <w:rPr>
          <w:b/>
        </w:rPr>
        <w:t xml:space="preserve">7 </w:t>
      </w:r>
      <w:r>
        <w:t xml:space="preserve">For the Lord your God is bringing you into a good and rich land, a land of watercourses and springs and depths coming out through plains and through mountains,</w:t>
      </w:r>
    </w:p>
    <w:p>
      <w:r>
        <w:rPr>
          <w:b/>
        </w:rPr>
        <w:t xml:space="preserve">8 </w:t>
      </w:r>
      <w:r>
        <w:t xml:space="preserve">a land of wheat</w:t>
      </w:r>
      <w:r>
        <w:rPr>
          <w:rStyle w:val="FootnoteReference"/>
        </w:rPr>
        <w:footnoteReference w:id="3430"/>
      </w:r>
      <w:r>
        <w:t xml:space="preserve"> and barley, vines, fig trees, and pomegranates, a land of olive oil and honey,</w:t>
      </w:r>
    </w:p>
    <w:p>
      <w:r>
        <w:rPr>
          <w:b/>
        </w:rPr>
        <w:t xml:space="preserve">9 </w:t>
      </w:r>
      <w:r>
        <w:t xml:space="preserve">a land on which you will not eat your bread with poverty, and you shall lack nothing on it, a land whose stones</w:t>
      </w:r>
      <w:r>
        <w:rPr>
          <w:rStyle w:val="FootnoteReference"/>
        </w:rPr>
        <w:footnoteReference w:id="3431"/>
      </w:r>
      <w:r>
        <w:t xml:space="preserve"> are iron and from whose mountains you shall mine copper.</w:t>
      </w:r>
    </w:p>
    <w:p>
      <w:r>
        <w:rPr>
          <w:b/>
        </w:rPr>
        <w:t xml:space="preserve">10 </w:t>
      </w:r>
      <w:r>
        <w:t xml:space="preserve">And you shall eat and be filled and bless the Lord your God for the good land that he gave you.</w:t>
      </w:r>
    </w:p>
    <w:p>
      <w:r>
        <w:rPr>
          <w:b/>
        </w:rPr>
        <w:t xml:space="preserve">11 </w:t>
      </w:r>
      <w:r>
        <w:t xml:space="preserve">Watch yourself lest you forget the Lord your God by not keeping his commands and judgments and ordinances that I command you today,</w:t>
      </w:r>
    </w:p>
    <w:p>
      <w:r>
        <w:rPr>
          <w:b/>
        </w:rPr>
        <w:t xml:space="preserve">12 </w:t>
      </w:r>
      <w:r>
        <w:t xml:space="preserve">lest, having eaten and been filled and built good houses and lived in them,</w:t>
      </w:r>
    </w:p>
    <w:p>
      <w:r>
        <w:rPr>
          <w:b/>
        </w:rPr>
        <w:t xml:space="preserve">13 </w:t>
      </w:r>
      <w:r>
        <w:t xml:space="preserve">and your cattle and your sheep have been multiplied to you, and silver and gold have been multiplied to you, and all that belongs to you has been multiplied to you,</w:t>
      </w:r>
    </w:p>
    <w:p>
      <w:r>
        <w:rPr>
          <w:b/>
        </w:rPr>
        <w:t xml:space="preserve">14 </w:t>
      </w:r>
      <w:r>
        <w:t xml:space="preserve">your heart be lifted up and you forget</w:t>
      </w:r>
      <w:r>
        <w:rPr>
          <w:rStyle w:val="FootnoteReference"/>
        </w:rPr>
        <w:footnoteReference w:id="3432"/>
      </w:r>
      <w:r>
        <w:t xml:space="preserve"> the Lord your God who brought you out from the land of Egypt, from the house of slavery,</w:t>
      </w:r>
    </w:p>
    <w:p>
      <w:r>
        <w:rPr>
          <w:b/>
        </w:rPr>
        <w:t xml:space="preserve">15 </w:t>
      </w:r>
      <w:r>
        <w:t xml:space="preserve">who led you through that great and fearful wilderness where the biting serpent and scorpion were, and thirst where there was no water, who brought</w:t>
      </w:r>
      <w:r>
        <w:rPr>
          <w:rStyle w:val="FootnoteReference"/>
        </w:rPr>
        <w:footnoteReference w:id="3433"/>
      </w:r>
      <w:r>
        <w:t xml:space="preserve"> out for you a spring of water from sheer rock,</w:t>
      </w:r>
    </w:p>
    <w:p>
      <w:r>
        <w:rPr>
          <w:b/>
        </w:rPr>
        <w:t xml:space="preserve">16 </w:t>
      </w:r>
      <w:r>
        <w:t xml:space="preserve">who fed you with manna in the wilderness that your fathers did not know, so that he might</w:t>
      </w:r>
      <w:r>
        <w:rPr>
          <w:rStyle w:val="FootnoteReference"/>
        </w:rPr>
        <w:footnoteReference w:id="3434"/>
      </w:r>
      <w:r>
        <w:t xml:space="preserve"> afflict you and test you and do good for you at the end of your days.</w:t>
      </w:r>
    </w:p>
    <w:p>
      <w:r>
        <w:rPr>
          <w:b/>
        </w:rPr>
        <w:t xml:space="preserve">17 </w:t>
      </w:r>
      <w:r>
        <w:t xml:space="preserve">Do not say in your heart, My strength and the power of my hand made for me this great power.</w:t>
      </w:r>
    </w:p>
    <w:p>
      <w:r>
        <w:rPr>
          <w:b/>
        </w:rPr>
        <w:t xml:space="preserve">18 </w:t>
      </w:r>
      <w:r>
        <w:t xml:space="preserve">And you shall remember the Lord your God, because he gives you strength to make power, and so that he may</w:t>
      </w:r>
      <w:r>
        <w:rPr>
          <w:rStyle w:val="FootnoteReference"/>
        </w:rPr>
        <w:footnoteReference w:id="3435"/>
      </w:r>
      <w:r>
        <w:t xml:space="preserve"> establish his covenant that the Lord swore to your fathers, as today.</w:t>
      </w:r>
    </w:p>
    <w:p>
      <w:r>
        <w:rPr>
          <w:b/>
        </w:rPr>
        <w:t xml:space="preserve">19 </w:t>
      </w:r>
      <w:r>
        <w:t xml:space="preserve">And it shall be, if in forgetfulness you forget the Lord your God and go after other gods and serve them and bow to them, I testify to you today, both heaven and earth, that with destruction you shall perish.</w:t>
      </w:r>
    </w:p>
    <w:p>
      <w:r>
        <w:rPr>
          <w:b/>
        </w:rPr>
        <w:t xml:space="preserve">20 </w:t>
      </w:r>
      <w:r>
        <w:t xml:space="preserve">Just as the other nations that the Lord destroys from before your face, so you shall perish, because you did not hear the voice of the Lord your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Hear, Israel: you are crossing the Jordan today to enter and inherit nations</w:t>
      </w:r>
      <w:r>
        <w:rPr>
          <w:rStyle w:val="FootnoteReference"/>
        </w:rPr>
        <w:footnoteReference w:id="3436"/>
      </w:r>
      <w:r>
        <w:t xml:space="preserve"> greater and stronger than you, cities great and walled up to heaven,</w:t>
      </w:r>
    </w:p>
    <w:p>
      <w:r>
        <w:rPr>
          <w:b/>
        </w:rPr>
        <w:t xml:space="preserve">2 </w:t>
      </w:r>
      <w:r>
        <w:t xml:space="preserve">a people great</w:t>
      </w:r>
      <w:r>
        <w:rPr>
          <w:rStyle w:val="FootnoteReference"/>
        </w:rPr>
        <w:footnoteReference w:id="3437"/>
      </w:r>
      <w:r>
        <w:t xml:space="preserve"> and many and tall, sons of Anak, whom you know and of whom you heard, Who shall stand against the face of the sons of Anak?</w:t>
      </w:r>
    </w:p>
    <w:p>
      <w:r>
        <w:rPr>
          <w:b/>
        </w:rPr>
        <w:t xml:space="preserve">3 </w:t>
      </w:r>
      <w:r>
        <w:t xml:space="preserve">And you shall know today that the Lord your God, this one goes before your face. He is a consuming fire</w:t>
      </w:r>
      <w:r>
        <w:rPr>
          <w:rStyle w:val="FootnoteReference"/>
        </w:rPr>
        <w:footnoteReference w:id="3438"/>
      </w:r>
      <w:r>
        <w:t xml:space="preserve">. He will utterly destroy them, and he will turn them back from before your face</w:t>
      </w:r>
      <w:r>
        <w:rPr>
          <w:rStyle w:val="FootnoteReference"/>
        </w:rPr>
        <w:footnoteReference w:id="3439"/>
      </w:r>
      <w:r>
        <w:t xml:space="preserve">, and you shall destroy them, just as the Lord said to you.</w:t>
      </w:r>
    </w:p>
    <w:p>
      <w:r>
        <w:rPr>
          <w:b/>
        </w:rPr>
        <w:t xml:space="preserve">4 </w:t>
      </w:r>
      <w:r>
        <w:t xml:space="preserve">Do not say in your heart</w:t>
      </w:r>
      <w:r>
        <w:rPr>
          <w:rStyle w:val="FootnoteReference"/>
        </w:rPr>
        <w:footnoteReference w:id="3440"/>
      </w:r>
      <w:r>
        <w:t xml:space="preserve">, when the Lord your God consumes these nations from before your face, saying, Because of my righteousness the Lord brought me in to inherit this good land. Rather, because of the ungodliness of these nations the Lord will utterly destroy them from before your face.</w:t>
      </w:r>
    </w:p>
    <w:p>
      <w:r>
        <w:rPr>
          <w:b/>
        </w:rPr>
        <w:t xml:space="preserve">5 </w:t>
      </w:r>
      <w:r>
        <w:t xml:space="preserve">Not because of your righteousness or because of the holiness of your heart</w:t>
      </w:r>
      <w:r>
        <w:rPr>
          <w:rStyle w:val="FootnoteReference"/>
        </w:rPr>
        <w:footnoteReference w:id="3441"/>
      </w:r>
      <w:r>
        <w:t xml:space="preserve"> are you entering to inherit their land, but because of the ungodliness of these nations the Lord will utterly destroy them from before your face, and so that he may</w:t>
      </w:r>
      <w:r>
        <w:rPr>
          <w:rStyle w:val="FootnoteReference"/>
        </w:rPr>
        <w:footnoteReference w:id="3442"/>
      </w:r>
      <w:r>
        <w:t xml:space="preserve"> establish his covenant that he swore to your fathers, to Abraham and to Isaac and to Jacob.</w:t>
      </w:r>
    </w:p>
    <w:p>
      <w:r>
        <w:rPr>
          <w:b/>
        </w:rPr>
        <w:t xml:space="preserve">6 </w:t>
      </w:r>
      <w:r>
        <w:t xml:space="preserve">And you shall know today that not because of your righteousness does the Lord your God give you this good land to inherit, because you are a stiff-necked people.</w:t>
      </w:r>
    </w:p>
    <w:p>
      <w:r>
        <w:rPr>
          <w:b/>
        </w:rPr>
        <w:t xml:space="preserve">7 </w:t>
      </w:r>
      <w:r>
        <w:t xml:space="preserve">Remember</w:t>
      </w:r>
      <w:r>
        <w:rPr>
          <w:rStyle w:val="FootnoteReference"/>
        </w:rPr>
        <w:footnoteReference w:id="3443"/>
      </w:r>
      <w:r>
        <w:t xml:space="preserve">, do not forget how much you provoked the Lord your God in the wilderness. From the day you came out from Egypt until you came to this place, you kept being disobedient in the things toward the Lord.</w:t>
      </w:r>
      <w:r>
        <w:rPr>
          <w:rStyle w:val="FootnoteReference"/>
        </w:rPr>
        <w:footnoteReference w:id="3444"/>
      </w:r>
    </w:p>
    <w:p>
      <w:r>
        <w:rPr>
          <w:b/>
        </w:rPr>
        <w:t xml:space="preserve">8 </w:t>
      </w:r>
      <w:r>
        <w:t xml:space="preserve">And in Horeb you provoked the Lord, and the Lord became angry with you, to utterly destroy you.</w:t>
      </w:r>
    </w:p>
    <w:p>
      <w:r>
        <w:rPr>
          <w:b/>
        </w:rPr>
        <w:t xml:space="preserve">9 </w:t>
      </w:r>
      <w:r>
        <w:t xml:space="preserve">When I went up onto the mountain to take the stone tablets, tablets of the covenant that the Lord covenanted with you, I remained on the mountain forty days and forty nights. Bread I did not eat, and water I did not drink.</w:t>
      </w:r>
      <w:r>
        <w:rPr>
          <w:rStyle w:val="FootnoteReference"/>
        </w:rPr>
        <w:footnoteReference w:id="3445"/>
      </w:r>
    </w:p>
    <w:p>
      <w:r>
        <w:rPr>
          <w:b/>
        </w:rPr>
        <w:t xml:space="preserve">10 </w:t>
      </w:r>
      <w:r>
        <w:t xml:space="preserve">And the Lord</w:t>
      </w:r>
      <w:r>
        <w:rPr>
          <w:rStyle w:val="FootnoteReference"/>
        </w:rPr>
        <w:footnoteReference w:id="3446"/>
      </w:r>
      <w:r>
        <w:t xml:space="preserve"> gave me the two stone tablets written by the finger of God, and on them had been written all the words that the Lord spoke to you on the mountain in the day of assembly</w:t>
      </w:r>
      <w:r>
        <w:rPr>
          <w:rStyle w:val="FootnoteReference"/>
        </w:rPr>
        <w:footnoteReference w:id="3447"/>
      </w:r>
      <w:r>
        <w:t xml:space="preserve">.</w:t>
      </w:r>
    </w:p>
    <w:p>
      <w:r>
        <w:rPr>
          <w:b/>
        </w:rPr>
        <w:t xml:space="preserve">11 </w:t>
      </w:r>
      <w:r>
        <w:t xml:space="preserve">And it came to pass, after forty days and forty nights, the Lord gave me the two stone tablets, tablets of the covenant.</w:t>
      </w:r>
    </w:p>
    <w:p>
      <w:r>
        <w:rPr>
          <w:b/>
        </w:rPr>
        <w:t xml:space="preserve">12 </w:t>
      </w:r>
      <w:r>
        <w:t xml:space="preserve">And the Lord said to me, Rise, go down quickly from here, because your people whom you brought out from the land of Egypt have acted lawlessly</w:t>
      </w:r>
      <w:r>
        <w:rPr>
          <w:rStyle w:val="FootnoteReference"/>
        </w:rPr>
        <w:footnoteReference w:id="3448"/>
      </w:r>
      <w:r>
        <w:t xml:space="preserve">. They turned quickly out of the way that I commanded them. They made a molten image for themselves.</w:t>
      </w:r>
    </w:p>
    <w:p>
      <w:r>
        <w:rPr>
          <w:b/>
        </w:rPr>
        <w:t xml:space="preserve">13 </w:t>
      </w:r>
      <w:r>
        <w:t xml:space="preserve">And the Lord said to me, I have spoken to you once and twice, saying, I have seen this people, and behold, it is a stiff-necked people.</w:t>
      </w:r>
    </w:p>
    <w:p>
      <w:r>
        <w:rPr>
          <w:b/>
        </w:rPr>
        <w:t xml:space="preserve">14 </w:t>
      </w:r>
      <w:r>
        <w:t xml:space="preserve">Let me</w:t>
      </w:r>
      <w:r>
        <w:rPr>
          <w:rStyle w:val="FootnoteReference"/>
        </w:rPr>
        <w:footnoteReference w:id="3449"/>
      </w:r>
      <w:r>
        <w:t xml:space="preserve"> alone, and I will utterly destroy them and wipe out their name from under heaven, and I will make you into a nation great and strong and much more than this.</w:t>
      </w:r>
    </w:p>
    <w:p>
      <w:r>
        <w:rPr>
          <w:b/>
        </w:rPr>
        <w:t xml:space="preserve">15 </w:t>
      </w:r>
      <w:r>
        <w:t xml:space="preserve">And turning, I came down from the mountain, and the mountain was burning with fire, and the two tablets were on my two hands.</w:t>
      </w:r>
    </w:p>
    <w:p>
      <w:r>
        <w:rPr>
          <w:b/>
        </w:rPr>
        <w:t xml:space="preserve">16 </w:t>
      </w:r>
      <w:r>
        <w:t xml:space="preserve">And I saw that you had sinned before the Lord your God and made for yourselves a molten image, and you had turned from the way that the Lord commanded you.</w:t>
      </w:r>
    </w:p>
    <w:p>
      <w:r>
        <w:rPr>
          <w:b/>
        </w:rPr>
        <w:t xml:space="preserve">17 </w:t>
      </w:r>
      <w:r>
        <w:t xml:space="preserve">And seizing the two tablets, I threw them from my two hands and shattered them before you.</w:t>
      </w:r>
    </w:p>
    <w:p>
      <w:r>
        <w:rPr>
          <w:b/>
        </w:rPr>
        <w:t xml:space="preserve">18 </w:t>
      </w:r>
      <w:r>
        <w:t xml:space="preserve">And I pleaded</w:t>
      </w:r>
      <w:r>
        <w:rPr>
          <w:rStyle w:val="FootnoteReference"/>
        </w:rPr>
        <w:footnoteReference w:id="3450"/>
      </w:r>
      <w:r>
        <w:t xml:space="preserve"> before the Lord the second time, as also the first, forty days and forty nights. Bread I did not eat, and water I did not drink, on account of all your sins that you sinned, doing evil before the Lord your God to provoke him.</w:t>
      </w:r>
    </w:p>
    <w:p>
      <w:r>
        <w:rPr>
          <w:b/>
        </w:rPr>
        <w:t xml:space="preserve">19 </w:t>
      </w:r>
      <w:r>
        <w:t xml:space="preserve">And I was terrified because of the anger and the wrath, because the Lord had been provoked against you, to utterly destroy you. And the Lord heard me at that time also.</w:t>
      </w:r>
    </w:p>
    <w:p>
      <w:r>
        <w:rPr>
          <w:b/>
        </w:rPr>
        <w:t xml:space="preserve">20 </w:t>
      </w:r>
      <w:r>
        <w:t xml:space="preserve">And against Aaron the Lord was very angry, to utterly destroy him, and I prayed also concerning Aaron at that time.</w:t>
      </w:r>
    </w:p>
    <w:p>
      <w:r>
        <w:rPr>
          <w:b/>
        </w:rPr>
        <w:t xml:space="preserve">21 </w:t>
      </w:r>
      <w:r>
        <w:t xml:space="preserve">And your sin that you made, the calf, I took</w:t>
      </w:r>
      <w:r>
        <w:rPr>
          <w:rStyle w:val="FootnoteReference"/>
        </w:rPr>
        <w:footnoteReference w:id="3451"/>
      </w:r>
      <w:r>
        <w:t xml:space="preserve"> it and burned it in fire and crushed it, grinding it down thoroughly until it became fine</w:t>
      </w:r>
      <w:r>
        <w:rPr>
          <w:rStyle w:val="FootnoteReference"/>
        </w:rPr>
        <w:footnoteReference w:id="3452"/>
      </w:r>
      <w:r>
        <w:t xml:space="preserve"> and became like dust, and I threw the dust into the torrent that came down from the mountain.</w:t>
      </w:r>
    </w:p>
    <w:p>
      <w:r>
        <w:rPr>
          <w:b/>
        </w:rPr>
        <w:t xml:space="preserve">22 </w:t>
      </w:r>
      <w:r>
        <w:t xml:space="preserve">And at the Burning and at the Testing and at the Graves of Desire you were provoking the Lord your God.</w:t>
      </w:r>
    </w:p>
    <w:p>
      <w:r>
        <w:rPr>
          <w:b/>
        </w:rPr>
        <w:t xml:space="preserve">23 </w:t>
      </w:r>
      <w:r>
        <w:t xml:space="preserve">And when the Lord sent you out from Kadesh-Barnea, saying, Go up and inherit the land that I give you, then you disobeyed the word of the Lord your God and did not believe him</w:t>
      </w:r>
      <w:r>
        <w:rPr>
          <w:rStyle w:val="FootnoteReference"/>
        </w:rPr>
        <w:footnoteReference w:id="3453"/>
      </w:r>
      <w:r>
        <w:t xml:space="preserve"> and did not listen to his voice.</w:t>
      </w:r>
    </w:p>
    <w:p>
      <w:r>
        <w:rPr>
          <w:b/>
        </w:rPr>
        <w:t xml:space="preserve">24 </w:t>
      </w:r>
      <w:r>
        <w:t xml:space="preserve">You kept being disobedient in the things toward the Lord from the day he became known to you.</w:t>
      </w:r>
    </w:p>
    <w:p>
      <w:r>
        <w:rPr>
          <w:b/>
        </w:rPr>
        <w:t xml:space="preserve">25 </w:t>
      </w:r>
      <w:r>
        <w:t xml:space="preserve">And I pleaded before the Lord forty days and forty nights, as many as I pleaded, for the Lord said he would utterly destroy you.</w:t>
      </w:r>
    </w:p>
    <w:p>
      <w:r>
        <w:rPr>
          <w:b/>
        </w:rPr>
        <w:t xml:space="preserve">26 </w:t>
      </w:r>
      <w:r>
        <w:t xml:space="preserve">And I prayed</w:t>
      </w:r>
      <w:r>
        <w:rPr>
          <w:rStyle w:val="FootnoteReference"/>
        </w:rPr>
        <w:footnoteReference w:id="3454"/>
      </w:r>
      <w:r>
        <w:t xml:space="preserve"> to God and said, Lord, Lord, King of the gods</w:t>
      </w:r>
      <w:r>
        <w:rPr>
          <w:rStyle w:val="FootnoteReference"/>
        </w:rPr>
        <w:footnoteReference w:id="3455"/>
      </w:r>
      <w:r>
        <w:t xml:space="preserve">, do not utterly destroy your people and your portion, whom you redeemed in your great strength, whom you brought out from the land of Egypt in your great strength and with your mighty hand and high arm.</w:t>
      </w:r>
    </w:p>
    <w:p>
      <w:r>
        <w:rPr>
          <w:b/>
        </w:rPr>
        <w:t xml:space="preserve">27 </w:t>
      </w:r>
      <w:r>
        <w:t xml:space="preserve">Remember</w:t>
      </w:r>
      <w:r>
        <w:rPr>
          <w:rStyle w:val="FootnoteReference"/>
        </w:rPr>
        <w:footnoteReference w:id="3456"/>
      </w:r>
      <w:r>
        <w:t xml:space="preserve"> Abraham and Isaac and Jacob, your servants, to whom you swore by yourself. Do not look upon the hardness of this people and their ungodly deeds and their sins,</w:t>
      </w:r>
    </w:p>
    <w:p>
      <w:r>
        <w:rPr>
          <w:b/>
        </w:rPr>
        <w:t xml:space="preserve">28 </w:t>
      </w:r>
      <w:r>
        <w:t xml:space="preserve">lest those dwelling in the land from which you brought us out there say, Because the Lord was not able</w:t>
      </w:r>
      <w:r>
        <w:rPr>
          <w:rStyle w:val="FootnoteReference"/>
        </w:rPr>
        <w:footnoteReference w:id="3457"/>
      </w:r>
      <w:r>
        <w:t xml:space="preserve"> to bring them into the land that he said to them, and because he hated them, he brought them out to kill them in the wilderness.</w:t>
      </w:r>
    </w:p>
    <w:p>
      <w:r>
        <w:rPr>
          <w:b/>
        </w:rPr>
        <w:t xml:space="preserve">29 </w:t>
      </w:r>
      <w:r>
        <w:t xml:space="preserve">But they are your people and your inheritance, whom you brought out from the land of Egypt in your great strength and with your high arm.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At that time the Lord said to me, Carve for yourself two stone tablets like the first ones, and come up to me onto the mountain, and make for yourself a wooden ark.</w:t>
      </w:r>
    </w:p>
    <w:p>
      <w:r>
        <w:rPr>
          <w:b/>
        </w:rPr>
        <w:t xml:space="preserve">2 </w:t>
      </w:r>
      <w:r>
        <w:t xml:space="preserve">And I will write on the tablets the words that were on the first tablets that you shattered, and you shall put them into the ark.</w:t>
      </w:r>
    </w:p>
    <w:p>
      <w:r>
        <w:rPr>
          <w:b/>
        </w:rPr>
        <w:t xml:space="preserve">3 </w:t>
      </w:r>
      <w:r>
        <w:t xml:space="preserve">And I made</w:t>
      </w:r>
      <w:r>
        <w:rPr>
          <w:rStyle w:val="FootnoteReference"/>
        </w:rPr>
        <w:footnoteReference w:id="3458"/>
      </w:r>
      <w:r>
        <w:t xml:space="preserve"> an ark from incorruptible woods, and I carved the two stone tablets like the first ones, and I went up onto the mountain, and the two tablets were on my hands.</w:t>
      </w:r>
    </w:p>
    <w:p>
      <w:r>
        <w:rPr>
          <w:b/>
        </w:rPr>
        <w:t xml:space="preserve">4 </w:t>
      </w:r>
      <w:r>
        <w:t xml:space="preserve">And he wrote</w:t>
      </w:r>
      <w:r>
        <w:rPr>
          <w:rStyle w:val="FootnoteReference"/>
        </w:rPr>
        <w:footnoteReference w:id="3459"/>
      </w:r>
      <w:r>
        <w:t xml:space="preserve"> on the tablets, according to the first writing, the ten words that the Lord spoke to you on the mountain from the midst of the fire, and the Lord gave them to me.</w:t>
      </w:r>
    </w:p>
    <w:p>
      <w:r>
        <w:rPr>
          <w:b/>
        </w:rPr>
        <w:t xml:space="preserve">5 </w:t>
      </w:r>
      <w:r>
        <w:t xml:space="preserve">And turning, I came down from the mountain and put the</w:t>
      </w:r>
      <w:r>
        <w:rPr>
          <w:rStyle w:val="FootnoteReference"/>
        </w:rPr>
        <w:footnoteReference w:id="3460"/>
      </w:r>
      <w:r>
        <w:t xml:space="preserve"> tablets into the ark that I had made, and they were there, just as the Lord commanded me.</w:t>
      </w:r>
    </w:p>
    <w:p>
      <w:r>
        <w:rPr>
          <w:b/>
        </w:rPr>
        <w:t xml:space="preserve">6 </w:t>
      </w:r>
      <w:r>
        <w:t xml:space="preserve">And the sons of Israel set out from Beeroth</w:t>
      </w:r>
      <w:r>
        <w:rPr>
          <w:rStyle w:val="FootnoteReference"/>
        </w:rPr>
        <w:footnoteReference w:id="3461"/>
      </w:r>
      <w:r>
        <w:t xml:space="preserve"> of the sons of Jaakan</w:t>
      </w:r>
      <w:r>
        <w:rPr>
          <w:rStyle w:val="FootnoteReference"/>
        </w:rPr>
        <w:footnoteReference w:id="3462"/>
      </w:r>
      <w:r>
        <w:t xml:space="preserve"> to Mosera</w:t>
      </w:r>
      <w:r>
        <w:rPr>
          <w:rStyle w:val="FootnoteReference"/>
        </w:rPr>
        <w:footnoteReference w:id="3463"/>
      </w:r>
      <w:r>
        <w:t xml:space="preserve">. There Aaron died and was buried there, and Eleazar his son served as priest in his place.</w:t>
      </w:r>
    </w:p>
    <w:p>
      <w:r>
        <w:rPr>
          <w:b/>
        </w:rPr>
        <w:t xml:space="preserve">7 </w:t>
      </w:r>
      <w:r>
        <w:t xml:space="preserve">From there they set out to Horhagidgad, and from Horhagidgad to Jotbathah, a land of watercourses.</w:t>
      </w:r>
    </w:p>
    <w:p>
      <w:r>
        <w:rPr>
          <w:b/>
        </w:rPr>
        <w:t xml:space="preserve">8 </w:t>
      </w:r>
      <w:r>
        <w:t xml:space="preserve">At that time the Lord</w:t>
      </w:r>
      <w:r>
        <w:rPr>
          <w:rStyle w:val="FootnoteReference"/>
        </w:rPr>
        <w:footnoteReference w:id="3464"/>
      </w:r>
      <w:r>
        <w:t xml:space="preserve"> set apart the tribe of Levi to carry the ark of the covenant of the Lord, to stand before the Lord, to minister, and to bless in his name, until this day.</w:t>
      </w:r>
    </w:p>
    <w:p>
      <w:r>
        <w:rPr>
          <w:b/>
        </w:rPr>
        <w:t xml:space="preserve">9 </w:t>
      </w:r>
      <w:r>
        <w:t xml:space="preserve">Because of this the Levites have no portion or inheritance among their brothers; the Lord himself is his inheritance, just as he said to him.</w:t>
      </w:r>
    </w:p>
    <w:p>
      <w:r>
        <w:rPr>
          <w:b/>
        </w:rPr>
        <w:t xml:space="preserve">10 </w:t>
      </w:r>
      <w:r>
        <w:t xml:space="preserve">And I stood on the mountain forty days and forty nights, and the Lord heard me at that time also, and the Lord was not willing to utterly destroy you.</w:t>
      </w:r>
    </w:p>
    <w:p>
      <w:r>
        <w:rPr>
          <w:b/>
        </w:rPr>
        <w:t xml:space="preserve">11 </w:t>
      </w:r>
      <w:r>
        <w:t xml:space="preserve">And the Lord said to me, Go, set out before this people, and let them enter and inherit the land that I swore to their fathers to give them.</w:t>
      </w:r>
    </w:p>
    <w:p>
      <w:r>
        <w:rPr>
          <w:b/>
        </w:rPr>
        <w:t xml:space="preserve">12 </w:t>
      </w:r>
      <w:r>
        <w:t xml:space="preserve">And now, Israel, what does the Lord your God ask from you except to fear</w:t>
      </w:r>
      <w:r>
        <w:rPr>
          <w:rStyle w:val="FootnoteReference"/>
        </w:rPr>
        <w:footnoteReference w:id="3465"/>
      </w:r>
      <w:r>
        <w:t xml:space="preserve"> the Lord your God, to walk in all his ways and to love him and to serve the Lord your God from your whole heart and from your whole soul,</w:t>
      </w:r>
    </w:p>
    <w:p>
      <w:r>
        <w:rPr>
          <w:b/>
        </w:rPr>
        <w:t xml:space="preserve">13 </w:t>
      </w:r>
      <w:r>
        <w:t xml:space="preserve">to keep the commands of the Lord your God and his ordinances that I command you today, so that it may be well with you?</w:t>
      </w:r>
    </w:p>
    <w:p>
      <w:r>
        <w:rPr>
          <w:b/>
        </w:rPr>
        <w:t xml:space="preserve">14 </w:t>
      </w:r>
      <w:r>
        <w:t xml:space="preserve">Behold, to the Lord your God belong the heaven</w:t>
      </w:r>
      <w:r>
        <w:rPr>
          <w:rStyle w:val="FootnoteReference"/>
        </w:rPr>
        <w:footnoteReference w:id="3466"/>
      </w:r>
      <w:r>
        <w:t xml:space="preserve"> and the heaven of heaven, the earth and all that is in it.</w:t>
      </w:r>
    </w:p>
    <w:p>
      <w:r>
        <w:rPr>
          <w:b/>
        </w:rPr>
        <w:t xml:space="preserve">15 </w:t>
      </w:r>
      <w:r>
        <w:t xml:space="preserve">Only your fathers did the Lord choose, to love them, and he chose their seed after them, you, above all the nations, as on this day.</w:t>
      </w:r>
    </w:p>
    <w:p>
      <w:r>
        <w:rPr>
          <w:b/>
        </w:rPr>
        <w:t xml:space="preserve">16 </w:t>
      </w:r>
      <w:r>
        <w:t xml:space="preserve">And circumcise</w:t>
      </w:r>
      <w:r>
        <w:rPr>
          <w:rStyle w:val="FootnoteReference"/>
        </w:rPr>
        <w:footnoteReference w:id="3467"/>
      </w:r>
      <w:r>
        <w:t xml:space="preserve"> your hard-heartedness, and do not harden your neck any longer.</w:t>
      </w:r>
    </w:p>
    <w:p>
      <w:r>
        <w:rPr>
          <w:b/>
        </w:rPr>
        <w:t xml:space="preserve">17 </w:t>
      </w:r>
      <w:r>
        <w:t xml:space="preserve">For the Lord your God, this one is the God of gods</w:t>
      </w:r>
      <w:r>
        <w:rPr>
          <w:rStyle w:val="FootnoteReference"/>
        </w:rPr>
        <w:footnoteReference w:id="3468"/>
      </w:r>
      <w:r>
        <w:t xml:space="preserve"> and the Lord of lords, the great and mighty and fearful God, who does not show partiality and certainly does not take a gift,</w:t>
      </w:r>
    </w:p>
    <w:p>
      <w:r>
        <w:rPr>
          <w:b/>
        </w:rPr>
        <w:t xml:space="preserve">18 </w:t>
      </w:r>
      <w:r>
        <w:t xml:space="preserve">doing justice for the proselyte and the orphan and the widow, and loving the proselyte, to give him bread and clothing.</w:t>
      </w:r>
    </w:p>
    <w:p>
      <w:r>
        <w:rPr>
          <w:b/>
        </w:rPr>
        <w:t xml:space="preserve">19 </w:t>
      </w:r>
      <w:r>
        <w:t xml:space="preserve">And you shall love the proselyte, because you were proselytes in the land of Egypt.</w:t>
      </w:r>
    </w:p>
    <w:p>
      <w:r>
        <w:rPr>
          <w:b/>
        </w:rPr>
        <w:t xml:space="preserve">20 </w:t>
      </w:r>
      <w:r>
        <w:t xml:space="preserve">You shall fear</w:t>
      </w:r>
      <w:r>
        <w:rPr>
          <w:rStyle w:val="FootnoteReference"/>
        </w:rPr>
        <w:footnoteReference w:id="3469"/>
      </w:r>
      <w:r>
        <w:t xml:space="preserve"> the Lord your God, and you shall serve him and cling to him and swear by his name.</w:t>
      </w:r>
    </w:p>
    <w:p>
      <w:r>
        <w:rPr>
          <w:b/>
        </w:rPr>
        <w:t xml:space="preserve">21 </w:t>
      </w:r>
      <w:r>
        <w:t xml:space="preserve">He is your boast, and he is your God, who did among you these great and glorious things that your eyes saw.</w:t>
      </w:r>
    </w:p>
    <w:p>
      <w:r>
        <w:rPr>
          <w:b/>
        </w:rPr>
        <w:t xml:space="preserve">22 </w:t>
      </w:r>
      <w:r>
        <w:t xml:space="preserve">With seventy souls your fathers went down into Egypt, but now the Lord your God made you like the stars of heaven in multitude.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you shall love the Lord your God and keep</w:t>
      </w:r>
      <w:r>
        <w:rPr>
          <w:rStyle w:val="FootnoteReference"/>
        </w:rPr>
        <w:footnoteReference w:id="3470"/>
      </w:r>
      <w:r>
        <w:t xml:space="preserve"> his charges and his ordinances and his judgments all the days.</w:t>
      </w:r>
    </w:p>
    <w:p>
      <w:r>
        <w:rPr>
          <w:b/>
        </w:rPr>
        <w:t xml:space="preserve">2 </w:t>
      </w:r>
      <w:r>
        <w:t xml:space="preserve">And know</w:t>
      </w:r>
      <w:r>
        <w:rPr>
          <w:rStyle w:val="FootnoteReference"/>
        </w:rPr>
        <w:footnoteReference w:id="3471"/>
      </w:r>
      <w:r>
        <w:t xml:space="preserve"> today that it was not your children who did not know and did not see the discipline of the Lord your God, his greatness and his mighty hand and his high arm,</w:t>
      </w:r>
    </w:p>
    <w:p>
      <w:r>
        <w:rPr>
          <w:b/>
        </w:rPr>
        <w:t xml:space="preserve">3 </w:t>
      </w:r>
      <w:r>
        <w:t xml:space="preserve">and his signs and his wonders that he did in the midst of Egypt to Pharaoh king of Egypt and to all his land,</w:t>
      </w:r>
    </w:p>
    <w:p>
      <w:r>
        <w:rPr>
          <w:b/>
        </w:rPr>
        <w:t xml:space="preserve">4 </w:t>
      </w:r>
      <w:r>
        <w:t xml:space="preserve">and what he did to the power of the Egyptians, to their chariots and their horsemen, how he flooded the water of the Red Sea over their face while they pursued from behind you, and the Lord destroyed them until this day,</w:t>
      </w:r>
      <w:r>
        <w:rPr>
          <w:rStyle w:val="FootnoteReference"/>
        </w:rPr>
        <w:footnoteReference w:id="3472"/>
      </w:r>
    </w:p>
    <w:p>
      <w:r>
        <w:rPr>
          <w:b/>
        </w:rPr>
        <w:t xml:space="preserve">5 </w:t>
      </w:r>
      <w:r>
        <w:t xml:space="preserve">and what he did for you in the wilderness until you came to this place,</w:t>
      </w:r>
    </w:p>
    <w:p>
      <w:r>
        <w:rPr>
          <w:b/>
        </w:rPr>
        <w:t xml:space="preserve">6 </w:t>
      </w:r>
      <w:r>
        <w:t xml:space="preserve">and what he did to Dathan and Abiram, sons of Eliab son of Reuben, whom the earth, opening its mouth, swallowed, and their households and their tents and all their substance that was with them in the midst of all Israel.</w:t>
      </w:r>
    </w:p>
    <w:p>
      <w:r>
        <w:rPr>
          <w:b/>
        </w:rPr>
        <w:t xml:space="preserve">7 </w:t>
      </w:r>
      <w:r>
        <w:t xml:space="preserve">Because your eyes have seen all the great works of the Lord, all that he did for you today.</w:t>
      </w:r>
    </w:p>
    <w:p>
      <w:r>
        <w:rPr>
          <w:b/>
        </w:rPr>
        <w:t xml:space="preserve">8 </w:t>
      </w:r>
      <w:r>
        <w:t xml:space="preserve">And you shall keep all his commands that I command you today, so that you may live and be multiplied and, entering in, inherit the land into which you are crossing the Jordan there to inherit it,</w:t>
      </w:r>
    </w:p>
    <w:p>
      <w:r>
        <w:rPr>
          <w:b/>
        </w:rPr>
        <w:t xml:space="preserve">9 </w:t>
      </w:r>
      <w:r>
        <w:t xml:space="preserve">so that you may be long-lived on the land that the Lord swore to your fathers to give to them and to their seed after them, a land</w:t>
      </w:r>
      <w:r>
        <w:rPr>
          <w:rStyle w:val="FootnoteReference"/>
        </w:rPr>
        <w:footnoteReference w:id="3473"/>
      </w:r>
      <w:r>
        <w:t xml:space="preserve"> flowing with milk and honey.</w:t>
      </w:r>
    </w:p>
    <w:p>
      <w:r>
        <w:rPr>
          <w:b/>
        </w:rPr>
        <w:t xml:space="preserve">10 </w:t>
      </w:r>
      <w:r>
        <w:t xml:space="preserve">For the land into which you are entering there to inherit it is not like the land of Egypt from which you came out, where they sow the seed and water it with their feet like a vegetable garden.</w:t>
      </w:r>
    </w:p>
    <w:p>
      <w:r>
        <w:rPr>
          <w:b/>
        </w:rPr>
        <w:t xml:space="preserve">11 </w:t>
      </w:r>
      <w:r>
        <w:t xml:space="preserve">But the land into which you are entering there to inherit it is a mountainous and plain land; from the rain of heaven it drinks water,</w:t>
      </w:r>
    </w:p>
    <w:p>
      <w:r>
        <w:rPr>
          <w:b/>
        </w:rPr>
        <w:t xml:space="preserve">12 </w:t>
      </w:r>
      <w:r>
        <w:t xml:space="preserve">a land that the Lord your God watches over. The eyes</w:t>
      </w:r>
      <w:r>
        <w:rPr>
          <w:rStyle w:val="FootnoteReference"/>
        </w:rPr>
        <w:footnoteReference w:id="3474"/>
      </w:r>
      <w:r>
        <w:t xml:space="preserve"> of the Lord your God are always on it, from the beginning of the year until the end of the year.</w:t>
      </w:r>
    </w:p>
    <w:p>
      <w:r>
        <w:rPr>
          <w:b/>
        </w:rPr>
        <w:t xml:space="preserve">13 </w:t>
      </w:r>
      <w:r>
        <w:t xml:space="preserve">And it shall be, if indeed you listen to all his commands that I command you today, to love</w:t>
      </w:r>
      <w:r>
        <w:rPr>
          <w:rStyle w:val="FootnoteReference"/>
        </w:rPr>
        <w:footnoteReference w:id="3475"/>
      </w:r>
      <w:r>
        <w:t xml:space="preserve"> the Lord your God and to serve him from your whole heart and from your whole soul,</w:t>
      </w:r>
    </w:p>
    <w:p>
      <w:r>
        <w:rPr>
          <w:b/>
        </w:rPr>
        <w:t xml:space="preserve">14 </w:t>
      </w:r>
      <w:r>
        <w:t xml:space="preserve">then he will give rain to your land in its season, early and late, and you shall bring in your grain and your wine and your oil,</w:t>
      </w:r>
    </w:p>
    <w:p>
      <w:r>
        <w:rPr>
          <w:b/>
        </w:rPr>
        <w:t xml:space="preserve">15 </w:t>
      </w:r>
      <w:r>
        <w:t xml:space="preserve">and he will give fodder in your fields for your cattle, and you shall eat and be filled.</w:t>
      </w:r>
    </w:p>
    <w:p>
      <w:r>
        <w:rPr>
          <w:b/>
        </w:rPr>
        <w:t xml:space="preserve">16 </w:t>
      </w:r>
      <w:r>
        <w:t xml:space="preserve">Watch yourselves lest your heart</w:t>
      </w:r>
      <w:r>
        <w:rPr>
          <w:rStyle w:val="FootnoteReference"/>
        </w:rPr>
        <w:footnoteReference w:id="3476"/>
      </w:r>
      <w:r>
        <w:t xml:space="preserve"> turn aside and you transgress and serve other gods and bow to them,</w:t>
      </w:r>
    </w:p>
    <w:p>
      <w:r>
        <w:rPr>
          <w:b/>
        </w:rPr>
        <w:t xml:space="preserve">17 </w:t>
      </w:r>
      <w:r>
        <w:t xml:space="preserve">and the Lord, angered in wrath against you, shut up</w:t>
      </w:r>
      <w:r>
        <w:rPr>
          <w:rStyle w:val="FootnoteReference"/>
        </w:rPr>
        <w:footnoteReference w:id="3477"/>
      </w:r>
      <w:r>
        <w:t xml:space="preserve"> the heaven, and there will be no rain and the land will not give its fruit, and you will perish quickly from the good land that the Lord gave you.</w:t>
      </w:r>
    </w:p>
    <w:p>
      <w:r>
        <w:rPr>
          <w:b/>
        </w:rPr>
        <w:t xml:space="preserve">18 </w:t>
      </w:r>
      <w:r>
        <w:t xml:space="preserve">And you shall put these words into your heart and into your soul, and you shall bind them as a sign</w:t>
      </w:r>
      <w:r>
        <w:rPr>
          <w:rStyle w:val="FootnoteReference"/>
        </w:rPr>
        <w:footnoteReference w:id="3478"/>
      </w:r>
      <w:r>
        <w:t xml:space="preserve"> on your hand, and they shall be fixed before your eyes.</w:t>
      </w:r>
    </w:p>
    <w:p>
      <w:r>
        <w:rPr>
          <w:b/>
        </w:rPr>
        <w:t xml:space="preserve">19 </w:t>
      </w:r>
      <w:r>
        <w:t xml:space="preserve">And you shall teach them to your children, speaking of them while sitting in the house and while walking on the road and while lying down and while rising up.</w:t>
      </w:r>
    </w:p>
    <w:p>
      <w:r>
        <w:rPr>
          <w:b/>
        </w:rPr>
        <w:t xml:space="preserve">20 </w:t>
      </w:r>
      <w:r>
        <w:t xml:space="preserve">And you shall write them on the doorposts of your houses and your gates,</w:t>
      </w:r>
    </w:p>
    <w:p>
      <w:r>
        <w:rPr>
          <w:b/>
        </w:rPr>
        <w:t xml:space="preserve">21 </w:t>
      </w:r>
      <w:r>
        <w:t xml:space="preserve">so that your days</w:t>
      </w:r>
      <w:r>
        <w:rPr>
          <w:rStyle w:val="FootnoteReference"/>
        </w:rPr>
        <w:footnoteReference w:id="3479"/>
      </w:r>
      <w:r>
        <w:t xml:space="preserve"> and the days of your children may be many on the land that the Lord swore to your fathers to give them, as the days of heaven upon the earth.</w:t>
      </w:r>
    </w:p>
    <w:p>
      <w:r>
        <w:rPr>
          <w:b/>
        </w:rPr>
        <w:t xml:space="preserve">22 </w:t>
      </w:r>
      <w:r>
        <w:t xml:space="preserve">And it shall be, if indeed you listen to all these commands that I command you today to do, to love</w:t>
      </w:r>
      <w:r>
        <w:rPr>
          <w:rStyle w:val="FootnoteReference"/>
        </w:rPr>
        <w:footnoteReference w:id="3480"/>
      </w:r>
      <w:r>
        <w:t xml:space="preserve"> the Lord our God and to walk in all his ways and cling to him,</w:t>
      </w:r>
    </w:p>
    <w:p>
      <w:r>
        <w:rPr>
          <w:b/>
        </w:rPr>
        <w:t xml:space="preserve">23 </w:t>
      </w:r>
      <w:r>
        <w:t xml:space="preserve">then the Lord will cast out all these nations from before your face, and you will inherit nations greater and stronger than you.</w:t>
      </w:r>
    </w:p>
    <w:p>
      <w:r>
        <w:rPr>
          <w:b/>
        </w:rPr>
        <w:t xml:space="preserve">24 </w:t>
      </w:r>
      <w:r>
        <w:t xml:space="preserve">Every place where the track of your foot treads shall be yours, from the wilderness and Anti-Lebanon, and from the great river, the river Euphrates, and as far as the western sea shall be your boundaries.</w:t>
      </w:r>
    </w:p>
    <w:p>
      <w:r>
        <w:rPr>
          <w:b/>
        </w:rPr>
        <w:t xml:space="preserve">25 </w:t>
      </w:r>
      <w:r>
        <w:t xml:space="preserve">No one shall stand against your face. The Lord your God will put your terror and your fear on the face of all the land on which you step, in the way the Lord spoke to you.</w:t>
      </w:r>
    </w:p>
    <w:p>
      <w:r>
        <w:rPr>
          <w:b/>
        </w:rPr>
        <w:t xml:space="preserve">26 </w:t>
      </w:r>
      <w:r>
        <w:t xml:space="preserve">Behold, I set before you today blessing and curse:</w:t>
      </w:r>
    </w:p>
    <w:p>
      <w:r>
        <w:rPr>
          <w:b/>
        </w:rPr>
        <w:t xml:space="preserve">27 </w:t>
      </w:r>
      <w:r>
        <w:t xml:space="preserve">the blessing, if you hear the commands of the Lord your God that I command you today,</w:t>
      </w:r>
    </w:p>
    <w:p>
      <w:r>
        <w:rPr>
          <w:b/>
        </w:rPr>
        <w:t xml:space="preserve">28 </w:t>
      </w:r>
      <w:r>
        <w:t xml:space="preserve">and the curse, if you do not hear the commands of the Lord your God that I command you today and wander from the way that I commanded you, going to serve other gods whom you do not know.</w:t>
      </w:r>
    </w:p>
    <w:p>
      <w:r>
        <w:rPr>
          <w:b/>
        </w:rPr>
        <w:t xml:space="preserve">29 </w:t>
      </w:r>
      <w:r>
        <w:t xml:space="preserve">And it shall be, when the Lord your God brings you into the land into which you are crossing there to inherit it, then you shall place the blessing on Mount Gerizim</w:t>
      </w:r>
      <w:r>
        <w:rPr>
          <w:rStyle w:val="FootnoteReference"/>
        </w:rPr>
        <w:footnoteReference w:id="3481"/>
      </w:r>
      <w:r>
        <w:t xml:space="preserve"> and the curse on Mount Ebal.</w:t>
      </w:r>
      <w:r>
        <w:rPr>
          <w:rStyle w:val="FootnoteReference"/>
        </w:rPr>
        <w:footnoteReference w:id="3482"/>
      </w:r>
    </w:p>
    <w:p>
      <w:r>
        <w:rPr>
          <w:b/>
        </w:rPr>
        <w:t xml:space="preserve">30 </w:t>
      </w:r>
      <w:r>
        <w:t xml:space="preserve">Behold, are these not beyond the Jordan, behind the road of the sun's setting, in the land of Canaan that lies westward, near Golgol, beside the tall oak?</w:t>
      </w:r>
    </w:p>
    <w:p>
      <w:r>
        <w:rPr>
          <w:b/>
        </w:rPr>
        <w:t xml:space="preserve">31 </w:t>
      </w:r>
      <w:r>
        <w:t xml:space="preserve">For you are crossing the Jordan, entering to inherit the land that the Lord your God gives you as an inheritance all the days, and you shall inherit it and dwell in it.</w:t>
      </w:r>
    </w:p>
    <w:p>
      <w:r>
        <w:rPr>
          <w:b/>
        </w:rPr>
        <w:t xml:space="preserve">32 </w:t>
      </w:r>
      <w:r>
        <w:t xml:space="preserve">And you shall keep to do all his ordinances and these judgments that I set before you today.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these are the ordinances and the judgments that you shall keep to do on the land that the Lord God of your fathers gives you as an inheritance, all the days</w:t>
      </w:r>
      <w:r>
        <w:rPr>
          <w:rStyle w:val="FootnoteReference"/>
        </w:rPr>
        <w:footnoteReference w:id="3483"/>
      </w:r>
      <w:r>
        <w:t xml:space="preserve"> that you live on the land.</w:t>
      </w:r>
    </w:p>
    <w:p>
      <w:r>
        <w:rPr>
          <w:b/>
        </w:rPr>
        <w:t xml:space="preserve">2 </w:t>
      </w:r>
      <w:r>
        <w:t xml:space="preserve">With destruction you shall destroy all the places in which those whom you inherit served their gods, on the high mountains and on the hills and under every dense tree.</w:t>
      </w:r>
    </w:p>
    <w:p>
      <w:r>
        <w:rPr>
          <w:b/>
        </w:rPr>
        <w:t xml:space="preserve">3 </w:t>
      </w:r>
      <w:r>
        <w:t xml:space="preserve">And you shall dig down their altars</w:t>
      </w:r>
      <w:r>
        <w:rPr>
          <w:rStyle w:val="FootnoteReference"/>
        </w:rPr>
        <w:footnoteReference w:id="3484"/>
      </w:r>
      <w:r>
        <w:t xml:space="preserve"> and shatter their pillars and cut down their sacred groves, and the carved images of their gods you shall burn with fire, and their name shall perish from that place.</w:t>
      </w:r>
    </w:p>
    <w:p>
      <w:r>
        <w:rPr>
          <w:b/>
        </w:rPr>
        <w:t xml:space="preserve">4 </w:t>
      </w:r>
      <w:r>
        <w:t xml:space="preserve">You shall not do thus to the Lord your God.</w:t>
      </w:r>
    </w:p>
    <w:p>
      <w:r>
        <w:rPr>
          <w:b/>
        </w:rPr>
        <w:t xml:space="preserve">5 </w:t>
      </w:r>
      <w:r>
        <w:t xml:space="preserve">But only to the place that the Lord your God chooses in one of your tribes, to have his name called there, you shall seek, and you shall go in there.</w:t>
      </w:r>
    </w:p>
    <w:p>
      <w:r>
        <w:rPr>
          <w:b/>
        </w:rPr>
        <w:t xml:space="preserve">6 </w:t>
      </w:r>
      <w:r>
        <w:t xml:space="preserve">And you shall bring there your whole burnt offerings and your sacrifices and your firstfruits</w:t>
      </w:r>
      <w:r>
        <w:rPr>
          <w:rStyle w:val="FootnoteReference"/>
        </w:rPr>
        <w:footnoteReference w:id="3485"/>
      </w:r>
      <w:r>
        <w:t xml:space="preserve"> and your vows and your freewill offerings and the firstborn of your cattle and your sheep,</w:t>
      </w:r>
    </w:p>
    <w:p>
      <w:r>
        <w:rPr>
          <w:b/>
        </w:rPr>
        <w:t xml:space="preserve">7 </w:t>
      </w:r>
      <w:r>
        <w:t xml:space="preserve">and you shall eat there before the Lord your God and rejoice in everything to which you put your hand, you and your households, in the way the Lord your God blessed you.</w:t>
      </w:r>
    </w:p>
    <w:p>
      <w:r>
        <w:rPr>
          <w:b/>
        </w:rPr>
        <w:t xml:space="preserve">8 </w:t>
      </w:r>
      <w:r>
        <w:t xml:space="preserve">You shall not do all that we do here today, each one what is pleasing before himself,</w:t>
      </w:r>
    </w:p>
    <w:p>
      <w:r>
        <w:rPr>
          <w:b/>
        </w:rPr>
        <w:t xml:space="preserve">9 </w:t>
      </w:r>
      <w:r>
        <w:t xml:space="preserve">for you have not come until now to the rest and to the inheritance that the Lord your God gives you.</w:t>
      </w:r>
    </w:p>
    <w:p>
      <w:r>
        <w:rPr>
          <w:b/>
        </w:rPr>
        <w:t xml:space="preserve">10 </w:t>
      </w:r>
      <w:r>
        <w:t xml:space="preserve">And you shall cross the Jordan and dwell on the land that the Lord your God gives you as an inheritance, and he will give you rest from all your enemies around, and you shall dwell in safety.</w:t>
      </w:r>
    </w:p>
    <w:p>
      <w:r>
        <w:rPr>
          <w:b/>
        </w:rPr>
        <w:t xml:space="preserve">11 </w:t>
      </w:r>
      <w:r>
        <w:t xml:space="preserve">And it shall be, the place that the Lord your God chooses for his name to be called there</w:t>
      </w:r>
      <w:r>
        <w:rPr>
          <w:rStyle w:val="FootnoteReference"/>
        </w:rPr>
        <w:footnoteReference w:id="3486"/>
      </w:r>
      <w:r>
        <w:t xml:space="preserve">, there you shall bring everything that I command you today, your whole burnt offerings and your sacrifices and your tithes and the firstfruits of your hands and every choice gift that you vow to your God.</w:t>
      </w:r>
      <w:r>
        <w:rPr>
          <w:rStyle w:val="FootnoteReference"/>
        </w:rPr>
        <w:footnoteReference w:id="3487"/>
      </w:r>
    </w:p>
    <w:p>
      <w:r>
        <w:rPr>
          <w:b/>
        </w:rPr>
        <w:t xml:space="preserve">12 </w:t>
      </w:r>
      <w:r>
        <w:t xml:space="preserve">And you shall rejoice before the Lord your God, you and your sons and your daughters, your male servants and your female servants, and the Levite</w:t>
      </w:r>
      <w:r>
        <w:rPr>
          <w:rStyle w:val="FootnoteReference"/>
        </w:rPr>
        <w:footnoteReference w:id="3488"/>
      </w:r>
      <w:r>
        <w:t xml:space="preserve"> within your gates, because he has no portion or inheritance with you</w:t>
      </w:r>
      <w:r>
        <w:rPr>
          <w:rStyle w:val="FootnoteReference"/>
        </w:rPr>
        <w:footnoteReference w:id="3489"/>
      </w:r>
      <w:r>
        <w:t xml:space="preserve">.</w:t>
      </w:r>
    </w:p>
    <w:p>
      <w:r>
        <w:rPr>
          <w:b/>
        </w:rPr>
        <w:t xml:space="preserve">13 </w:t>
      </w:r>
      <w:r>
        <w:t xml:space="preserve">Watch yourself lest you bring up your whole burnt offerings</w:t>
      </w:r>
      <w:r>
        <w:rPr>
          <w:rStyle w:val="FootnoteReference"/>
        </w:rPr>
        <w:footnoteReference w:id="3490"/>
      </w:r>
      <w:r>
        <w:t xml:space="preserve"> in every place that you see,</w:t>
      </w:r>
    </w:p>
    <w:p>
      <w:r>
        <w:rPr>
          <w:b/>
        </w:rPr>
        <w:t xml:space="preserve">14 </w:t>
      </w:r>
      <w:r>
        <w:t xml:space="preserve">but only at the place that the Lord your God chooses, that one, in one of your tribes, there you shall offer your whole burnt offerings and there you shall do everything that I command you today.</w:t>
      </w:r>
    </w:p>
    <w:p>
      <w:r>
        <w:rPr>
          <w:b/>
        </w:rPr>
        <w:t xml:space="preserve">15 </w:t>
      </w:r>
      <w:r>
        <w:t xml:space="preserve">But according to all your desire</w:t>
      </w:r>
      <w:r>
        <w:rPr>
          <w:rStyle w:val="FootnoteReference"/>
        </w:rPr>
        <w:footnoteReference w:id="3491"/>
      </w:r>
      <w:r>
        <w:t xml:space="preserve">, you may slaughter and eat meat according to the blessing of the Lord your God that he gave you in every city. The unclean</w:t>
      </w:r>
      <w:r>
        <w:rPr>
          <w:rStyle w:val="FootnoteReference"/>
        </w:rPr>
        <w:footnoteReference w:id="3492"/>
      </w:r>
      <w:r>
        <w:t xml:space="preserve"> among you and the clean alike shall eat it, as the gazelle or the deer.</w:t>
      </w:r>
    </w:p>
    <w:p>
      <w:r>
        <w:rPr>
          <w:b/>
        </w:rPr>
        <w:t xml:space="preserve">16 </w:t>
      </w:r>
      <w:r>
        <w:t xml:space="preserve">Except the blood, you shall not eat it. You shall pour it out on the ground like water.</w:t>
      </w:r>
    </w:p>
    <w:p>
      <w:r>
        <w:rPr>
          <w:b/>
        </w:rPr>
        <w:t xml:space="preserve">17 </w:t>
      </w:r>
      <w:r>
        <w:t xml:space="preserve">You shall not be able to eat in your cities the tithe</w:t>
      </w:r>
      <w:r>
        <w:rPr>
          <w:rStyle w:val="FootnoteReference"/>
        </w:rPr>
        <w:footnoteReference w:id="3493"/>
      </w:r>
      <w:r>
        <w:t xml:space="preserve"> of your grain and your wine and your oil, the firstborn of your cattle and your sheep, and all the vows that you vow and your confessions and the firstfruits of your hands</w:t>
      </w:r>
      <w:r>
        <w:rPr>
          <w:rStyle w:val="FootnoteReference"/>
        </w:rPr>
        <w:footnoteReference w:id="3494"/>
      </w:r>
      <w:r>
        <w:t xml:space="preserve">,</w:t>
      </w:r>
    </w:p>
    <w:p>
      <w:r>
        <w:rPr>
          <w:b/>
        </w:rPr>
        <w:t xml:space="preserve">18 </w:t>
      </w:r>
      <w:r>
        <w:t xml:space="preserve">but only before the Lord your God shall you eat them in the place that the Lord your God chooses for himself, you and your son and your daughter, your male servant and your female servant and the proselyte in your cities, and you shall rejoice</w:t>
      </w:r>
      <w:r>
        <w:rPr>
          <w:rStyle w:val="FootnoteReference"/>
        </w:rPr>
        <w:footnoteReference w:id="3495"/>
      </w:r>
      <w:r>
        <w:t xml:space="preserve"> before the Lord your God in everything to which you put your hand</w:t>
      </w:r>
      <w:r>
        <w:rPr>
          <w:rStyle w:val="FootnoteReference"/>
        </w:rPr>
        <w:footnoteReference w:id="3496"/>
      </w:r>
      <w:r>
        <w:t xml:space="preserve">.</w:t>
      </w:r>
    </w:p>
    <w:p>
      <w:r>
        <w:rPr>
          <w:b/>
        </w:rPr>
        <w:t xml:space="preserve">19 </w:t>
      </w:r>
      <w:r>
        <w:t xml:space="preserve">Watch yourself lest you abandon the Levite for all the time that you live on the land.</w:t>
      </w:r>
    </w:p>
    <w:p>
      <w:r>
        <w:rPr>
          <w:b/>
        </w:rPr>
        <w:t xml:space="preserve">20 </w:t>
      </w:r>
      <w:r>
        <w:t xml:space="preserve">And if the Lord your God enlarges your boundaries, just as he spoke to you, and you say, I will eat meat, if your soul desires to eat meat, then by every desire of your soul you may eat meat.</w:t>
      </w:r>
    </w:p>
    <w:p>
      <w:r>
        <w:rPr>
          <w:b/>
        </w:rPr>
        <w:t xml:space="preserve">21 </w:t>
      </w:r>
      <w:r>
        <w:t xml:space="preserve">And if the place that the Lord your God chooses for his name to be called there</w:t>
      </w:r>
      <w:r>
        <w:rPr>
          <w:rStyle w:val="FootnoteReference"/>
        </w:rPr>
        <w:footnoteReference w:id="3497"/>
      </w:r>
      <w:r>
        <w:t xml:space="preserve"> is farther from you, then you shall slaughter from your cattle and from your sheep that God gave you, in the way I commanded you, and you shall eat in your cities according to the desire of your soul.</w:t>
      </w:r>
      <w:r>
        <w:rPr>
          <w:rStyle w:val="FootnoteReference"/>
        </w:rPr>
        <w:footnoteReference w:id="3498"/>
      </w:r>
    </w:p>
    <w:p>
      <w:r>
        <w:rPr>
          <w:b/>
        </w:rPr>
        <w:t xml:space="preserve">22 </w:t>
      </w:r>
      <w:r>
        <w:t xml:space="preserve">Just as the gazelle and the deer are eaten, so you shall eat it. The unclean among you and the clean alike shall eat it.</w:t>
      </w:r>
    </w:p>
    <w:p>
      <w:r>
        <w:rPr>
          <w:b/>
        </w:rPr>
        <w:t xml:space="preserve">23 </w:t>
      </w:r>
      <w:r>
        <w:t xml:space="preserve">Watch strongly that you do not eat blood, because its blood is life. Life shall not be eaten with the flesh.</w:t>
      </w:r>
    </w:p>
    <w:p>
      <w:r>
        <w:rPr>
          <w:b/>
        </w:rPr>
        <w:t xml:space="preserve">24 </w:t>
      </w:r>
      <w:r>
        <w:t xml:space="preserve">You shall not eat it. You shall pour it out on the ground like water.</w:t>
      </w:r>
    </w:p>
    <w:p>
      <w:r>
        <w:rPr>
          <w:b/>
        </w:rPr>
        <w:t xml:space="preserve">25 </w:t>
      </w:r>
      <w:r>
        <w:t xml:space="preserve">You shall not eat it, so that it</w:t>
      </w:r>
      <w:r>
        <w:rPr>
          <w:rStyle w:val="FootnoteReference"/>
        </w:rPr>
        <w:footnoteReference w:id="3499"/>
      </w:r>
      <w:r>
        <w:t xml:space="preserve"> may be well with you and with your sons after you, if you do what is good and pleasing before the Lord your God.</w:t>
      </w:r>
    </w:p>
    <w:p>
      <w:r>
        <w:rPr>
          <w:b/>
        </w:rPr>
        <w:t xml:space="preserve">26 </w:t>
      </w:r>
      <w:r>
        <w:t xml:space="preserve">Except your holy</w:t>
      </w:r>
      <w:r>
        <w:rPr>
          <w:rStyle w:val="FootnoteReference"/>
        </w:rPr>
        <w:footnoteReference w:id="3500"/>
      </w:r>
      <w:r>
        <w:t xml:space="preserve"> things that you may have, and your vows, taking them you shall come to the place that the Lord your God chooses for his name to be called there</w:t>
      </w:r>
      <w:r>
        <w:rPr>
          <w:rStyle w:val="FootnoteReference"/>
        </w:rPr>
        <w:footnoteReference w:id="3501"/>
      </w:r>
      <w:r>
        <w:t xml:space="preserve">.</w:t>
      </w:r>
      <w:r>
        <w:rPr>
          <w:rStyle w:val="FootnoteReference"/>
        </w:rPr>
        <w:footnoteReference w:id="3502"/>
      </w:r>
    </w:p>
    <w:p>
      <w:r>
        <w:rPr>
          <w:b/>
        </w:rPr>
        <w:t xml:space="preserve">27 </w:t>
      </w:r>
      <w:r>
        <w:t xml:space="preserve">And you shall make your whole burnt offerings: the meat you shall offer on the altar of the Lord your God, and the blood</w:t>
      </w:r>
      <w:r>
        <w:rPr>
          <w:rStyle w:val="FootnoteReference"/>
        </w:rPr>
        <w:footnoteReference w:id="3503"/>
      </w:r>
      <w:r>
        <w:t xml:space="preserve"> of your sacrifices you shall pour out at the base of the altar of the Lord your God, but the meat you shall eat.</w:t>
      </w:r>
    </w:p>
    <w:p>
      <w:r>
        <w:rPr>
          <w:b/>
        </w:rPr>
        <w:t xml:space="preserve">28 </w:t>
      </w:r>
      <w:r>
        <w:t xml:space="preserve">Keep and hear and do all these words</w:t>
      </w:r>
      <w:r>
        <w:rPr>
          <w:rStyle w:val="FootnoteReference"/>
        </w:rPr>
        <w:footnoteReference w:id="3504"/>
      </w:r>
      <w:r>
        <w:t xml:space="preserve"> that I command you, so that it may</w:t>
      </w:r>
      <w:r>
        <w:rPr>
          <w:rStyle w:val="FootnoteReference"/>
        </w:rPr>
        <w:footnoteReference w:id="3505"/>
      </w:r>
      <w:r>
        <w:t xml:space="preserve"> be well with you and with your sons forever, if you do what is good and pleasing before the Lord your God.</w:t>
      </w:r>
    </w:p>
    <w:p>
      <w:r>
        <w:rPr>
          <w:b/>
        </w:rPr>
        <w:t xml:space="preserve">29 </w:t>
      </w:r>
      <w:r>
        <w:t xml:space="preserve">And if the Lord your God utterly destroys the nations into whose land you are entering there to inherit it from before your face, and you fully inherit them and dwell in their land,</w:t>
      </w:r>
    </w:p>
    <w:p>
      <w:r>
        <w:rPr>
          <w:b/>
        </w:rPr>
        <w:t xml:space="preserve">30 </w:t>
      </w:r>
      <w:r>
        <w:t xml:space="preserve">watch yourself lest you seek to follow after them after they have been destroyed from before your face. You shall certainly not seek their gods</w:t>
      </w:r>
      <w:r>
        <w:rPr>
          <w:rStyle w:val="FootnoteReference"/>
        </w:rPr>
        <w:footnoteReference w:id="3506"/>
      </w:r>
      <w:r>
        <w:t xml:space="preserve">, saying, How do these nations act toward their gods? I also will do likewise.</w:t>
      </w:r>
    </w:p>
    <w:p>
      <w:r>
        <w:rPr>
          <w:b/>
        </w:rPr>
        <w:t xml:space="preserve">31 </w:t>
      </w:r>
      <w:r>
        <w:t xml:space="preserve">You shall not do thus to the Lord your God, for the abominations that the Lord hated they did to their gods, because they burn their sons and their daughters in fire to their gods.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Every word that I command you today, this you shall keep to do. You shall not add to it, nor take away from it.</w:t>
      </w:r>
    </w:p>
    <w:p>
      <w:r>
        <w:rPr>
          <w:b/>
        </w:rPr>
        <w:t xml:space="preserve">2 </w:t>
      </w:r>
      <w:r>
        <w:t xml:space="preserve">And if a prophet arises among you, or one dreaming a dream, and he gives you a sign or a wonder,</w:t>
      </w:r>
      <w:r>
        <w:rPr>
          <w:rStyle w:val="FootnoteReference"/>
        </w:rPr>
        <w:footnoteReference w:id="3507"/>
      </w:r>
    </w:p>
    <w:p>
      <w:r>
        <w:rPr>
          <w:b/>
        </w:rPr>
        <w:t xml:space="preserve">3 </w:t>
      </w:r>
      <w:r>
        <w:t xml:space="preserve">and the sign or wonder comes</w:t>
      </w:r>
      <w:r>
        <w:rPr>
          <w:rStyle w:val="FootnoteReference"/>
        </w:rPr>
        <w:footnoteReference w:id="3508"/>
      </w:r>
      <w:r>
        <w:t xml:space="preserve"> that he spoke to you, saying, Let us go and serve other gods whom you do not know,</w:t>
      </w:r>
    </w:p>
    <w:p>
      <w:r>
        <w:rPr>
          <w:b/>
        </w:rPr>
        <w:t xml:space="preserve">4 </w:t>
      </w:r>
      <w:r>
        <w:t xml:space="preserve">you shall not listen to the words of that prophet or that dreamer of the dream, because the Lord your God tests you, to know whether you love the Lord your God from your whole heart and from your whole soul.</w:t>
      </w:r>
    </w:p>
    <w:p>
      <w:r>
        <w:rPr>
          <w:b/>
        </w:rPr>
        <w:t xml:space="preserve">5 </w:t>
      </w:r>
      <w:r>
        <w:t xml:space="preserve">After the Lord your God you shall walk, and him you shall fear, and his commands you shall keep, and his voice you shall hear, and to him you shall be joined</w:t>
      </w:r>
      <w:r>
        <w:rPr>
          <w:rStyle w:val="FootnoteReference"/>
        </w:rPr>
        <w:footnoteReference w:id="3509"/>
      </w:r>
      <w:r>
        <w:t xml:space="preserve">.</w:t>
      </w:r>
    </w:p>
    <w:p>
      <w:r>
        <w:rPr>
          <w:b/>
        </w:rPr>
        <w:t xml:space="preserve">6 </w:t>
      </w:r>
      <w:r>
        <w:t xml:space="preserve">And that prophet or that dreamer of the dream shall die, because he spoke to lead you astray from the Lord your God who brought you out from the land of Egypt, who redeemed you from slavery, to drive you out of the way that the Lord your God commanded you to walk in it. And you shall destroy the evil one from among you</w:t>
      </w:r>
      <w:r>
        <w:rPr>
          <w:rStyle w:val="FootnoteReference"/>
        </w:rPr>
        <w:footnoteReference w:id="3510"/>
      </w:r>
      <w:r>
        <w:t xml:space="preserve">.</w:t>
      </w:r>
    </w:p>
    <w:p>
      <w:r>
        <w:rPr>
          <w:b/>
        </w:rPr>
        <w:t xml:space="preserve">7 </w:t>
      </w:r>
      <w:r>
        <w:t xml:space="preserve">And if your brother from your father or from your mother or your son or your daughter or the wife in your bosom or the friend equal to your soul secretly urges you, saying, Let us go and serve other gods whom neither you nor your fathers knew,</w:t>
      </w:r>
    </w:p>
    <w:p>
      <w:r>
        <w:rPr>
          <w:b/>
        </w:rPr>
        <w:t xml:space="preserve">8 </w:t>
      </w:r>
      <w:r>
        <w:t xml:space="preserve">from the gods of the nations around you, those near you or those far from you, from one end of the earth to the other end of the earth,</w:t>
      </w:r>
      <w:r>
        <w:rPr>
          <w:rStyle w:val="FootnoteReference"/>
        </w:rPr>
        <w:footnoteReference w:id="3511"/>
      </w:r>
    </w:p>
    <w:p>
      <w:r>
        <w:rPr>
          <w:b/>
        </w:rPr>
        <w:t xml:space="preserve">9 </w:t>
      </w:r>
      <w:r>
        <w:t xml:space="preserve">you shall not agree with him, and you shall not listen to him, and your eye shall not spare him, and you shall not long for him, nor indeed hide him.</w:t>
      </w:r>
    </w:p>
    <w:p>
      <w:r>
        <w:rPr>
          <w:b/>
        </w:rPr>
        <w:t xml:space="preserve">10 </w:t>
      </w:r>
      <w:r>
        <w:t xml:space="preserve">Reporting, you shall report concerning him. Your hands shall be upon him first to kill him, and the hands of all the people last.</w:t>
      </w:r>
    </w:p>
    <w:p>
      <w:r>
        <w:rPr>
          <w:b/>
        </w:rPr>
        <w:t xml:space="preserve">11 </w:t>
      </w:r>
      <w:r>
        <w:t xml:space="preserve">And they shall stone him with stones, and he shall die, because he sought to turn you away from the Lord your God who brought you out from the land of Egypt, from the house of slavery.</w:t>
      </w:r>
      <w:r>
        <w:rPr>
          <w:rStyle w:val="FootnoteReference"/>
        </w:rPr>
        <w:footnoteReference w:id="3512"/>
      </w:r>
    </w:p>
    <w:p>
      <w:r>
        <w:rPr>
          <w:b/>
        </w:rPr>
        <w:t xml:space="preserve">12 </w:t>
      </w:r>
      <w:r>
        <w:t xml:space="preserve">And all Israel, hearing, shall fear, and they shall not add again to do according to this evil word among you.</w:t>
      </w:r>
    </w:p>
    <w:p>
      <w:r>
        <w:rPr>
          <w:b/>
        </w:rPr>
        <w:t xml:space="preserve">13 </w:t>
      </w:r>
      <w:r>
        <w:t xml:space="preserve">And if you hear in one of your cities</w:t>
      </w:r>
      <w:r>
        <w:rPr>
          <w:rStyle w:val="FootnoteReference"/>
        </w:rPr>
        <w:footnoteReference w:id="3513"/>
      </w:r>
      <w:r>
        <w:t xml:space="preserve"> that the Lord your God gives you to dwell there, people saying,</w:t>
      </w:r>
    </w:p>
    <w:p>
      <w:r>
        <w:rPr>
          <w:b/>
        </w:rPr>
        <w:t xml:space="preserve">14 </w:t>
      </w:r>
      <w:r>
        <w:t xml:space="preserve">Lawless men have gone out from among you</w:t>
      </w:r>
      <w:r>
        <w:rPr>
          <w:rStyle w:val="FootnoteReference"/>
        </w:rPr>
        <w:footnoteReference w:id="3514"/>
      </w:r>
      <w:r>
        <w:t xml:space="preserve"> and turned away all those dwelling in their city, saying, Let us go and serve other gods whom you did not know,</w:t>
      </w:r>
    </w:p>
    <w:p>
      <w:r>
        <w:rPr>
          <w:b/>
        </w:rPr>
        <w:t xml:space="preserve">15 </w:t>
      </w:r>
      <w:r>
        <w:t xml:space="preserve">then you shall inquire and search very carefully, and behold, if the matter has clearly become true, that this abomination happened among you,</w:t>
      </w:r>
      <w:r>
        <w:rPr>
          <w:rStyle w:val="FootnoteReference"/>
        </w:rPr>
        <w:footnoteReference w:id="3515"/>
      </w:r>
    </w:p>
    <w:p>
      <w:r>
        <w:rPr>
          <w:b/>
        </w:rPr>
        <w:t xml:space="preserve">16 </w:t>
      </w:r>
      <w:r>
        <w:t xml:space="preserve">killing, you shall kill all those dwelling in that city with the slaughter of the sword. With a devoted thing you shall devote it</w:t>
      </w:r>
      <w:r>
        <w:rPr>
          <w:rStyle w:val="FootnoteReference"/>
        </w:rPr>
        <w:footnoteReference w:id="3516"/>
      </w:r>
      <w:r>
        <w:t xml:space="preserve"> and everything in it.</w:t>
      </w:r>
    </w:p>
    <w:p>
      <w:r>
        <w:rPr>
          <w:b/>
        </w:rPr>
        <w:t xml:space="preserve">17 </w:t>
      </w:r>
      <w:r>
        <w:t xml:space="preserve">And all its spoils you shall gather into its crossroads</w:t>
      </w:r>
      <w:r>
        <w:rPr>
          <w:rStyle w:val="FootnoteReference"/>
        </w:rPr>
        <w:footnoteReference w:id="3517"/>
      </w:r>
      <w:r>
        <w:t xml:space="preserve">, and you shall burn the city with fire and all its spoils publicly before the Lord</w:t>
      </w:r>
      <w:r>
        <w:rPr>
          <w:rStyle w:val="FootnoteReference"/>
        </w:rPr>
        <w:footnoteReference w:id="3518"/>
      </w:r>
      <w:r>
        <w:t xml:space="preserve"> your God, and it shall be uninhabited forever. It shall not be built again.</w:t>
      </w:r>
    </w:p>
    <w:p>
      <w:r>
        <w:rPr>
          <w:b/>
        </w:rPr>
        <w:t xml:space="preserve">18 </w:t>
      </w:r>
      <w:r>
        <w:t xml:space="preserve">Nothing from the devoted thing shall cling to your hand, so that the Lord may turn from the wrath of his anger and give you mercy and show you mercy and multiply you, in the way the Lord swore to your fathers,</w:t>
      </w:r>
    </w:p>
    <w:p>
      <w:r>
        <w:rPr>
          <w:b/>
        </w:rPr>
        <w:t xml:space="preserve">19 </w:t>
      </w:r>
      <w:r>
        <w:t xml:space="preserve">if you hear the voice of the Lord your God, keeping all his commands that I command you today, to do what is good and pleasing before the Lord your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You are sons of the Lord your God. You shall not gash yourselves, nor put baldness between your eyes for the dead,</w:t>
      </w:r>
    </w:p>
    <w:p>
      <w:r>
        <w:rPr>
          <w:b/>
        </w:rPr>
        <w:t xml:space="preserve">2 </w:t>
      </w:r>
      <w:r>
        <w:t xml:space="preserve">because you are a holy people to the Lord your God, and the Lord your God chose you to become for him a people of special possession from all the nations on the face of the earth.</w:t>
      </w:r>
    </w:p>
    <w:p>
      <w:r>
        <w:rPr>
          <w:b/>
        </w:rPr>
        <w:t xml:space="preserve">3 </w:t>
      </w:r>
      <w:r>
        <w:t xml:space="preserve">You shall not eat any abomination.</w:t>
      </w:r>
    </w:p>
    <w:p>
      <w:r>
        <w:rPr>
          <w:b/>
        </w:rPr>
        <w:t xml:space="preserve">4 </w:t>
      </w:r>
      <w:r>
        <w:t xml:space="preserve">These are the animals that you shall eat: calf from the cattle, lamb from the sheep, and kid from the goats,</w:t>
      </w:r>
    </w:p>
    <w:p>
      <w:r>
        <w:rPr>
          <w:b/>
        </w:rPr>
        <w:t xml:space="preserve">5 </w:t>
      </w:r>
      <w:r>
        <w:t xml:space="preserve">stag and gazelle and buffalo and goat-deer and pygarg and oryx and giraffe.</w:t>
      </w:r>
    </w:p>
    <w:p>
      <w:r>
        <w:rPr>
          <w:b/>
        </w:rPr>
        <w:t xml:space="preserve">6 </w:t>
      </w:r>
      <w:r>
        <w:t xml:space="preserve">Every animal that parts the hoof and splits the claws in two hoof-parts and brings up cud among the animals, these you shall eat.</w:t>
      </w:r>
    </w:p>
    <w:p>
      <w:r>
        <w:rPr>
          <w:b/>
        </w:rPr>
        <w:t xml:space="preserve">7 </w:t>
      </w:r>
      <w:r>
        <w:t xml:space="preserve">And these you shall not eat from those that bring up cud and from those that part the hoof and split the claws</w:t>
      </w:r>
      <w:r>
        <w:rPr>
          <w:rStyle w:val="FootnoteReference"/>
        </w:rPr>
        <w:footnoteReference w:id="3519"/>
      </w:r>
      <w:r>
        <w:t xml:space="preserve">: the camel and the hare and the hyrax, because they bring up cud but do not part the hoof. These are unclean for you.</w:t>
      </w:r>
    </w:p>
    <w:p>
      <w:r>
        <w:rPr>
          <w:b/>
        </w:rPr>
        <w:t xml:space="preserve">8 </w:t>
      </w:r>
      <w:r>
        <w:t xml:space="preserve">And the pig, because it parts the hoof and splits the hoof-claws, but it does not chew the cud, this is unclean for you. From their flesh you shall not eat, and their carcasses you shall not touch</w:t>
      </w:r>
      <w:r>
        <w:rPr>
          <w:rStyle w:val="FootnoteReference"/>
        </w:rPr>
        <w:footnoteReference w:id="3520"/>
      </w:r>
      <w:r>
        <w:t xml:space="preserve">.</w:t>
      </w:r>
    </w:p>
    <w:p>
      <w:r>
        <w:rPr>
          <w:b/>
        </w:rPr>
        <w:t xml:space="preserve">9 </w:t>
      </w:r>
      <w:r>
        <w:t xml:space="preserve">And these you shall eat from all that are in the waters: everything that has fins and scales in them you shall eat.</w:t>
      </w:r>
    </w:p>
    <w:p>
      <w:r>
        <w:rPr>
          <w:b/>
        </w:rPr>
        <w:t xml:space="preserve">10 </w:t>
      </w:r>
      <w:r>
        <w:t xml:space="preserve">And everything that does not have fins and scales you shall not eat. They are unclean for you.</w:t>
      </w:r>
    </w:p>
    <w:p>
      <w:r>
        <w:rPr>
          <w:b/>
        </w:rPr>
        <w:t xml:space="preserve">11 </w:t>
      </w:r>
      <w:r>
        <w:t xml:space="preserve">Every clean bird you shall eat.</w:t>
      </w:r>
    </w:p>
    <w:p>
      <w:r>
        <w:rPr>
          <w:b/>
        </w:rPr>
        <w:t xml:space="preserve">12 </w:t>
      </w:r>
      <w:r>
        <w:t xml:space="preserve">And these are what you shall not eat from them: the eagle and the griffin and the sea-eagle,</w:t>
      </w:r>
    </w:p>
    <w:p>
      <w:r>
        <w:rPr>
          <w:b/>
        </w:rPr>
        <w:t xml:space="preserve">13 </w:t>
      </w:r>
      <w:r>
        <w:t xml:space="preserve">and the vulture and the kite and those like it,</w:t>
      </w:r>
    </w:p>
    <w:p>
      <w:r>
        <w:rPr>
          <w:b/>
        </w:rPr>
        <w:t xml:space="preserve">14 </w:t>
      </w:r>
      <w:r>
        <w:t xml:space="preserve">and every raven and those like it,</w:t>
      </w:r>
    </w:p>
    <w:p>
      <w:r>
        <w:rPr>
          <w:b/>
        </w:rPr>
        <w:t xml:space="preserve">15 </w:t>
      </w:r>
      <w:r>
        <w:t xml:space="preserve">and the ostrich and the owl and the gull,</w:t>
      </w:r>
    </w:p>
    <w:p>
      <w:r>
        <w:rPr>
          <w:b/>
        </w:rPr>
        <w:t xml:space="preserve">16 </w:t>
      </w:r>
      <w:r>
        <w:t xml:space="preserve">and the heron and the swan</w:t>
      </w:r>
      <w:r>
        <w:rPr>
          <w:rStyle w:val="FootnoteReference"/>
        </w:rPr>
        <w:footnoteReference w:id="3521"/>
      </w:r>
      <w:r>
        <w:t xml:space="preserve"> and the ibis,</w:t>
      </w:r>
    </w:p>
    <w:p>
      <w:r>
        <w:rPr>
          <w:b/>
        </w:rPr>
        <w:t xml:space="preserve">17 </w:t>
      </w:r>
      <w:r>
        <w:t xml:space="preserve">and the diver and the hawk and those like it and the hoopoe and the night-raven,</w:t>
      </w:r>
    </w:p>
    <w:p>
      <w:r>
        <w:rPr>
          <w:b/>
        </w:rPr>
        <w:t xml:space="preserve">18 </w:t>
      </w:r>
      <w:r>
        <w:t xml:space="preserve">and the pelican and the plover and those like it and the purple bird and the bat.</w:t>
      </w:r>
    </w:p>
    <w:p>
      <w:r>
        <w:rPr>
          <w:b/>
        </w:rPr>
        <w:t xml:space="preserve">19 </w:t>
      </w:r>
      <w:r>
        <w:t xml:space="preserve">Every creeping thing of the birds is unclean for you. You shall not eat from them.</w:t>
      </w:r>
    </w:p>
    <w:p>
      <w:r>
        <w:rPr>
          <w:b/>
        </w:rPr>
        <w:t xml:space="preserve">20 </w:t>
      </w:r>
      <w:r>
        <w:t xml:space="preserve">Every clean flying thing you shall eat.</w:t>
      </w:r>
    </w:p>
    <w:p>
      <w:r>
        <w:rPr>
          <w:b/>
        </w:rPr>
        <w:t xml:space="preserve">21 </w:t>
      </w:r>
      <w:r>
        <w:t xml:space="preserve">You shall not eat any carcass</w:t>
      </w:r>
      <w:r>
        <w:rPr>
          <w:rStyle w:val="FootnoteReference"/>
        </w:rPr>
        <w:footnoteReference w:id="3522"/>
      </w:r>
      <w:r>
        <w:t xml:space="preserve">. It shall be given to the resident alien in your cities, and he shall eat it, or you may sell it to the foreigner, because you are a holy people to the Lord your God. You shall not boil a lamb in its mother's milk.</w:t>
      </w:r>
    </w:p>
    <w:p>
      <w:r>
        <w:rPr>
          <w:b/>
        </w:rPr>
        <w:t xml:space="preserve">22 </w:t>
      </w:r>
      <w:r>
        <w:t xml:space="preserve">Tithing, you shall tithe all the produce of your seed, the produce of your field, year by year.</w:t>
      </w:r>
    </w:p>
    <w:p>
      <w:r>
        <w:rPr>
          <w:b/>
        </w:rPr>
        <w:t xml:space="preserve">23 </w:t>
      </w:r>
      <w:r>
        <w:t xml:space="preserve">And you shall eat it before the Lord your God in the place where the Lord your God chooses for his name to be called there</w:t>
      </w:r>
      <w:r>
        <w:rPr>
          <w:rStyle w:val="FootnoteReference"/>
        </w:rPr>
        <w:footnoteReference w:id="3523"/>
      </w:r>
      <w:r>
        <w:t xml:space="preserve">. You shall bring the tithes of your grain and your wine and your oil and the firstborn of your cattle and your sheep, so that you may learn to fear the Lord your God all the days.</w:t>
      </w:r>
    </w:p>
    <w:p>
      <w:r>
        <w:rPr>
          <w:b/>
        </w:rPr>
        <w:t xml:space="preserve">24 </w:t>
      </w:r>
      <w:r>
        <w:t xml:space="preserve">And if the road is too long for you and you are not able to carry them, because the place that the Lord your God chooses for his name to be called there is far from you, because the Lord your God will bless you,</w:t>
      </w:r>
    </w:p>
    <w:p>
      <w:r>
        <w:rPr>
          <w:b/>
        </w:rPr>
        <w:t xml:space="preserve">25 </w:t>
      </w:r>
      <w:r>
        <w:t xml:space="preserve">then you shall exchange them for silver and take the silver in your hands and go to the place that the Lord your God chooses, that one,</w:t>
      </w:r>
    </w:p>
    <w:p>
      <w:r>
        <w:rPr>
          <w:b/>
        </w:rPr>
        <w:t xml:space="preserve">26 </w:t>
      </w:r>
      <w:r>
        <w:t xml:space="preserve">and you shall give the silver for everything your soul desires</w:t>
      </w:r>
      <w:r>
        <w:rPr>
          <w:rStyle w:val="FootnoteReference"/>
        </w:rPr>
        <w:footnoteReference w:id="3524"/>
      </w:r>
      <w:r>
        <w:t xml:space="preserve">, for cattle or for sheep, for wine or for strong drink or for anything your soul desires, and you shall eat there before the Lord your God and rejoice</w:t>
      </w:r>
      <w:r>
        <w:rPr>
          <w:rStyle w:val="FootnoteReference"/>
        </w:rPr>
        <w:footnoteReference w:id="3525"/>
      </w:r>
      <w:r>
        <w:t xml:space="preserve">, you and your household.</w:t>
      </w:r>
    </w:p>
    <w:p>
      <w:r>
        <w:rPr>
          <w:b/>
        </w:rPr>
        <w:t xml:space="preserve">27 </w:t>
      </w:r>
      <w:r>
        <w:t xml:space="preserve">And the Levite</w:t>
      </w:r>
      <w:r>
        <w:rPr>
          <w:rStyle w:val="FootnoteReference"/>
        </w:rPr>
        <w:footnoteReference w:id="3526"/>
      </w:r>
      <w:r>
        <w:t xml:space="preserve"> who is in your cities, because he has no portion or inheritance with you,</w:t>
      </w:r>
    </w:p>
    <w:p>
      <w:r>
        <w:rPr>
          <w:b/>
        </w:rPr>
        <w:t xml:space="preserve">28 </w:t>
      </w:r>
      <w:r>
        <w:t xml:space="preserve">after three years you shall bring out all the tithe of your produce in that year and place it in your cities,</w:t>
      </w:r>
    </w:p>
    <w:p>
      <w:r>
        <w:rPr>
          <w:b/>
        </w:rPr>
        <w:t xml:space="preserve">29 </w:t>
      </w:r>
      <w:r>
        <w:t xml:space="preserve">and the Levite will come, because he has no portion or inheritance with you, and the proselyte</w:t>
      </w:r>
      <w:r>
        <w:rPr>
          <w:rStyle w:val="FootnoteReference"/>
        </w:rPr>
        <w:footnoteReference w:id="3527"/>
      </w:r>
      <w:r>
        <w:t xml:space="preserve"> and the orphan and the widow who are in your cities, and they shall eat and be filled, so that the Lord</w:t>
      </w:r>
      <w:r>
        <w:rPr>
          <w:rStyle w:val="FootnoteReference"/>
        </w:rPr>
        <w:footnoteReference w:id="3528"/>
      </w:r>
      <w:r>
        <w:t xml:space="preserve"> your God may bless you in all the works that you do.</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At the end of seven years you shall make a release</w:t>
      </w:r>
      <w:r>
        <w:rPr>
          <w:rStyle w:val="FootnoteReference"/>
        </w:rPr>
        <w:footnoteReference w:id="3529"/>
      </w:r>
      <w:r>
        <w:t xml:space="preserve">.</w:t>
      </w:r>
    </w:p>
    <w:p>
      <w:r>
        <w:rPr>
          <w:b/>
        </w:rPr>
        <w:t xml:space="preserve">2 </w:t>
      </w:r>
      <w:r>
        <w:t xml:space="preserve">And this is the ordinance of the release: you shall release every personal debt</w:t>
      </w:r>
      <w:r>
        <w:rPr>
          <w:rStyle w:val="FootnoteReference"/>
        </w:rPr>
        <w:footnoteReference w:id="3530"/>
      </w:r>
      <w:r>
        <w:t xml:space="preserve"> that your neighbor owes you, and you shall not demand it from your brother, because a release has been proclaimed to the Lord your God.</w:t>
      </w:r>
    </w:p>
    <w:p>
      <w:r>
        <w:rPr>
          <w:b/>
        </w:rPr>
        <w:t xml:space="preserve">3 </w:t>
      </w:r>
      <w:r>
        <w:t xml:space="preserve">From the foreigner you shall demand, but from your brother you shall make a release of your debt.</w:t>
      </w:r>
    </w:p>
    <w:p>
      <w:r>
        <w:rPr>
          <w:b/>
        </w:rPr>
        <w:t xml:space="preserve">4 </w:t>
      </w:r>
      <w:r>
        <w:t xml:space="preserve">Because there shall not be one in need among you, because in blessing the Lord your God will bless you in the land that the Lord your God gives you as an inheritance to inherit it,</w:t>
      </w:r>
    </w:p>
    <w:p>
      <w:r>
        <w:rPr>
          <w:b/>
        </w:rPr>
        <w:t xml:space="preserve">5 </w:t>
      </w:r>
      <w:r>
        <w:t xml:space="preserve">if indeed you listen to the voice of the Lord your God, keeping and doing all these commands that I command you today.</w:t>
      </w:r>
    </w:p>
    <w:p>
      <w:r>
        <w:rPr>
          <w:b/>
        </w:rPr>
        <w:t xml:space="preserve">6 </w:t>
      </w:r>
      <w:r>
        <w:t xml:space="preserve">Because the Lord your God blessed you in the way he spoke to you, and you shall lend to many nations, but you shall not borrow, and you shall rule many nations, but they shall not rule you.</w:t>
      </w:r>
      <w:r>
        <w:rPr>
          <w:rStyle w:val="FootnoteReference"/>
        </w:rPr>
        <w:footnoteReference w:id="3531"/>
      </w:r>
    </w:p>
    <w:p>
      <w:r>
        <w:rPr>
          <w:b/>
        </w:rPr>
        <w:t xml:space="preserve">7 </w:t>
      </w:r>
      <w:r>
        <w:t xml:space="preserve">And if one in need arises among you from your brothers in one of your cities, in the land that the Lord your God gives you, you shall not harden your heart, nor indeed close your hand from your needy brother,</w:t>
      </w:r>
    </w:p>
    <w:p>
      <w:r>
        <w:rPr>
          <w:b/>
        </w:rPr>
        <w:t xml:space="preserve">8 </w:t>
      </w:r>
      <w:r>
        <w:t xml:space="preserve">but opening, you shall open your hands to him. Lending, you shall lend to him as much as he needs, according to what he lacks.</w:t>
      </w:r>
    </w:p>
    <w:p>
      <w:r>
        <w:rPr>
          <w:b/>
        </w:rPr>
        <w:t xml:space="preserve">9 </w:t>
      </w:r>
      <w:r>
        <w:t xml:space="preserve">Watch yourself lest a hidden matter of lawlessness</w:t>
      </w:r>
      <w:r>
        <w:rPr>
          <w:rStyle w:val="FootnoteReference"/>
        </w:rPr>
        <w:footnoteReference w:id="3532"/>
      </w:r>
      <w:r>
        <w:t xml:space="preserve"> arise in your heart, saying, The seventh year, the year of release, draws near, and your eye become evil toward your needy brother and you do not give to him, and he cries out against you to the Lord, and there will be great sin in you.</w:t>
      </w:r>
    </w:p>
    <w:p>
      <w:r>
        <w:rPr>
          <w:b/>
        </w:rPr>
        <w:t xml:space="preserve">10 </w:t>
      </w:r>
      <w:r>
        <w:t xml:space="preserve">Giving, you shall give to him, and lending, you shall lend to him as much as he needs, and you shall not grieve in your heart while giving to him, because for this word the Lord your God will bless you in all your works and in everything to which you put your hand.</w:t>
      </w:r>
      <w:r>
        <w:rPr>
          <w:rStyle w:val="FootnoteReference"/>
        </w:rPr>
        <w:footnoteReference w:id="3533"/>
      </w:r>
    </w:p>
    <w:p>
      <w:r>
        <w:rPr>
          <w:b/>
        </w:rPr>
        <w:t xml:space="preserve">11 </w:t>
      </w:r>
      <w:r>
        <w:t xml:space="preserve">For one in need shall certainly not fail from the land. Because of this I command you to do this word, saying, Opening, you shall open your hands to your brother, to the poor</w:t>
      </w:r>
      <w:r>
        <w:rPr>
          <w:rStyle w:val="FootnoteReference"/>
        </w:rPr>
        <w:footnoteReference w:id="3534"/>
      </w:r>
      <w:r>
        <w:t xml:space="preserve"> and the needy one on your land.</w:t>
      </w:r>
    </w:p>
    <w:p>
      <w:r>
        <w:rPr>
          <w:b/>
        </w:rPr>
        <w:t xml:space="preserve">12 </w:t>
      </w:r>
      <w:r>
        <w:t xml:space="preserve">And if your Hebrew brother or Hebrew sister is sold to you, he shall serve you six years, and in the seventh you shall send him away from you free.</w:t>
      </w:r>
    </w:p>
    <w:p>
      <w:r>
        <w:rPr>
          <w:b/>
        </w:rPr>
        <w:t xml:space="preserve">13 </w:t>
      </w:r>
      <w:r>
        <w:t xml:space="preserve">And when you send him away from you free, you shall not send him away empty.</w:t>
      </w:r>
    </w:p>
    <w:p>
      <w:r>
        <w:rPr>
          <w:b/>
        </w:rPr>
        <w:t xml:space="preserve">14 </w:t>
      </w:r>
      <w:r>
        <w:t xml:space="preserve">Furnishing, you shall furnish him from your sheep and from your grain and from your winepress. In the way the Lord</w:t>
      </w:r>
      <w:r>
        <w:rPr>
          <w:rStyle w:val="FootnoteReference"/>
        </w:rPr>
        <w:footnoteReference w:id="3535"/>
      </w:r>
      <w:r>
        <w:t xml:space="preserve"> your God blessed you, you shall give to him.</w:t>
      </w:r>
    </w:p>
    <w:p>
      <w:r>
        <w:rPr>
          <w:b/>
        </w:rPr>
        <w:t xml:space="preserve">15 </w:t>
      </w:r>
      <w:r>
        <w:t xml:space="preserve">And you shall remember that you were a servant in the land of Egypt, and the Lord your God redeemed you from there. Because of this I command you to do this word.</w:t>
      </w:r>
    </w:p>
    <w:p>
      <w:r>
        <w:rPr>
          <w:b/>
        </w:rPr>
        <w:t xml:space="preserve">16 </w:t>
      </w:r>
      <w:r>
        <w:t xml:space="preserve">And if he says to you, I will not go out from you, because he loved you and your household, because it is well for him with you</w:t>
      </w:r>
      <w:r>
        <w:rPr>
          <w:rStyle w:val="FootnoteReference"/>
        </w:rPr>
        <w:footnoteReference w:id="3536"/>
      </w:r>
      <w:r>
        <w:t xml:space="preserve">,</w:t>
      </w:r>
    </w:p>
    <w:p>
      <w:r>
        <w:rPr>
          <w:b/>
        </w:rPr>
        <w:t xml:space="preserve">17 </w:t>
      </w:r>
      <w:r>
        <w:t xml:space="preserve">then you shall take the awl and pierce his ear to the door, and he shall be your household servant forever. And you shall do likewise to your female servant.</w:t>
      </w:r>
    </w:p>
    <w:p>
      <w:r>
        <w:rPr>
          <w:b/>
        </w:rPr>
        <w:t xml:space="preserve">18 </w:t>
      </w:r>
      <w:r>
        <w:t xml:space="preserve">It shall not</w:t>
      </w:r>
      <w:r>
        <w:rPr>
          <w:rStyle w:val="FootnoteReference"/>
        </w:rPr>
        <w:footnoteReference w:id="3537"/>
      </w:r>
      <w:r>
        <w:t xml:space="preserve"> be hard before you when you send them away free from you, because he served you six years for a yearly wage doubled</w:t>
      </w:r>
      <w:r>
        <w:rPr>
          <w:rStyle w:val="FootnoteReference"/>
        </w:rPr>
        <w:footnoteReference w:id="3538"/>
      </w:r>
      <w:r>
        <w:t xml:space="preserve"> from the hired worker, and the Lord your God will bless you in all that you do.</w:t>
      </w:r>
    </w:p>
    <w:p>
      <w:r>
        <w:rPr>
          <w:b/>
        </w:rPr>
        <w:t xml:space="preserve">19 </w:t>
      </w:r>
      <w:r>
        <w:t xml:space="preserve">Every firstborn, whatever is born among your cattle and your sheep, the males, you shall consecrate to the Lord your God. You shall not work with your firstborn calf</w:t>
      </w:r>
      <w:r>
        <w:rPr>
          <w:rStyle w:val="FootnoteReference"/>
        </w:rPr>
        <w:footnoteReference w:id="3539"/>
      </w:r>
      <w:r>
        <w:t xml:space="preserve">, nor shall you shear the firstborn of your sheep.</w:t>
      </w:r>
    </w:p>
    <w:p>
      <w:r>
        <w:rPr>
          <w:b/>
        </w:rPr>
        <w:t xml:space="preserve">20 </w:t>
      </w:r>
      <w:r>
        <w:t xml:space="preserve">Before the Lord your God you shall eat it, year by year, in the place that the Lord your God chooses, you and your household.</w:t>
      </w:r>
    </w:p>
    <w:p>
      <w:r>
        <w:rPr>
          <w:b/>
        </w:rPr>
        <w:t xml:space="preserve">21 </w:t>
      </w:r>
      <w:r>
        <w:t xml:space="preserve">And if there is a blemish in it, lame or blind or any evil blemish, you shall not sacrifice it to the Lord your God.</w:t>
      </w:r>
    </w:p>
    <w:p>
      <w:r>
        <w:rPr>
          <w:b/>
        </w:rPr>
        <w:t xml:space="preserve">22 </w:t>
      </w:r>
      <w:r>
        <w:t xml:space="preserve">In your cities you shall eat it. The unclean</w:t>
      </w:r>
      <w:r>
        <w:rPr>
          <w:rStyle w:val="FootnoteReference"/>
        </w:rPr>
        <w:footnoteReference w:id="3540"/>
      </w:r>
      <w:r>
        <w:t xml:space="preserve"> among you and the clean alike shall eat it, as the gazelle or the deer.</w:t>
      </w:r>
    </w:p>
    <w:p>
      <w:r>
        <w:rPr>
          <w:b/>
        </w:rPr>
        <w:t xml:space="preserve">23 </w:t>
      </w:r>
      <w:r>
        <w:t xml:space="preserve">Except the blood, you shall not eat it. You shall pour it out on the ground like water.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Keep the month</w:t>
      </w:r>
      <w:r>
        <w:rPr>
          <w:rStyle w:val="FootnoteReference"/>
        </w:rPr>
        <w:footnoteReference w:id="3541"/>
      </w:r>
      <w:r>
        <w:t xml:space="preserve"> of new grain, and you shall make the Passover to the Lord your God, because in the month of new grain you came out from Egypt by night.</w:t>
      </w:r>
    </w:p>
    <w:p>
      <w:r>
        <w:rPr>
          <w:b/>
        </w:rPr>
        <w:t xml:space="preserve">2 </w:t>
      </w:r>
      <w:r>
        <w:t xml:space="preserve">And you shall sacrifice</w:t>
      </w:r>
      <w:r>
        <w:rPr>
          <w:rStyle w:val="FootnoteReference"/>
        </w:rPr>
        <w:footnoteReference w:id="3542"/>
      </w:r>
      <w:r>
        <w:t xml:space="preserve"> the Passover to the Lord your God, sheep and cattle</w:t>
      </w:r>
      <w:r>
        <w:rPr>
          <w:rStyle w:val="FootnoteReference"/>
        </w:rPr>
        <w:footnoteReference w:id="3543"/>
      </w:r>
      <w:r>
        <w:t xml:space="preserve">, in the place that the Lord your God chooses for his name to be called there</w:t>
      </w:r>
      <w:r>
        <w:rPr>
          <w:rStyle w:val="FootnoteReference"/>
        </w:rPr>
        <w:footnoteReference w:id="3544"/>
      </w:r>
      <w:r>
        <w:t xml:space="preserve">.</w:t>
      </w:r>
    </w:p>
    <w:p>
      <w:r>
        <w:rPr>
          <w:b/>
        </w:rPr>
        <w:t xml:space="preserve">3 </w:t>
      </w:r>
      <w:r>
        <w:t xml:space="preserve">You shall not eat leaven on it. Seven days you shall eat on it unleavened bread, bread of affliction</w:t>
      </w:r>
      <w:r>
        <w:rPr>
          <w:rStyle w:val="FootnoteReference"/>
        </w:rPr>
        <w:footnoteReference w:id="3545"/>
      </w:r>
      <w:r>
        <w:t xml:space="preserve">, because in haste you came out from Egypt, so that you may remember the day of your departure from the land of Egypt all the days of your life.</w:t>
      </w:r>
    </w:p>
    <w:p>
      <w:r>
        <w:rPr>
          <w:b/>
        </w:rPr>
        <w:t xml:space="preserve">4 </w:t>
      </w:r>
      <w:r>
        <w:t xml:space="preserve">No leaven shall be seen to you in all your boundaries seven days, and none of the meat that you sacrifice in the evening on the first day shall remain overnight</w:t>
      </w:r>
      <w:r>
        <w:rPr>
          <w:rStyle w:val="FootnoteReference"/>
        </w:rPr>
        <w:footnoteReference w:id="3546"/>
      </w:r>
      <w:r>
        <w:t xml:space="preserve"> until morning.</w:t>
      </w:r>
    </w:p>
    <w:p>
      <w:r>
        <w:rPr>
          <w:b/>
        </w:rPr>
        <w:t xml:space="preserve">5 </w:t>
      </w:r>
      <w:r>
        <w:t xml:space="preserve">You shall not be able to sacrifice</w:t>
      </w:r>
      <w:r>
        <w:rPr>
          <w:rStyle w:val="FootnoteReference"/>
        </w:rPr>
        <w:footnoteReference w:id="3547"/>
      </w:r>
      <w:r>
        <w:t xml:space="preserve"> the Passover in any of your cities that the Lord your God gives you,</w:t>
      </w:r>
    </w:p>
    <w:p>
      <w:r>
        <w:rPr>
          <w:b/>
        </w:rPr>
        <w:t xml:space="preserve">6 </w:t>
      </w:r>
      <w:r>
        <w:t xml:space="preserve">but only at the place that the Lord your God chooses for his name to be called there, there you shall sacrifice the Passover in the evening, at the setting of the sun, at the time when you came out from Egypt.</w:t>
      </w:r>
    </w:p>
    <w:p>
      <w:r>
        <w:rPr>
          <w:b/>
        </w:rPr>
        <w:t xml:space="preserve">7 </w:t>
      </w:r>
      <w:r>
        <w:t xml:space="preserve">And you shall cook and roast</w:t>
      </w:r>
      <w:r>
        <w:rPr>
          <w:rStyle w:val="FootnoteReference"/>
        </w:rPr>
        <w:footnoteReference w:id="3548"/>
      </w:r>
      <w:r>
        <w:t xml:space="preserve"> and eat it in the place that the Lord your God chooses, that one, and in the morning you shall turn and go away to your houses.</w:t>
      </w:r>
    </w:p>
    <w:p>
      <w:r>
        <w:rPr>
          <w:b/>
        </w:rPr>
        <w:t xml:space="preserve">8 </w:t>
      </w:r>
      <w:r>
        <w:t xml:space="preserve">Six days</w:t>
      </w:r>
      <w:r>
        <w:rPr>
          <w:rStyle w:val="FootnoteReference"/>
        </w:rPr>
        <w:footnoteReference w:id="3549"/>
      </w:r>
      <w:r>
        <w:t xml:space="preserve"> you shall eat unleavened bread, and on the seventh day, departure feast to the Lord your God. You shall do no work in it except what shall be done for a life.</w:t>
      </w:r>
    </w:p>
    <w:p>
      <w:r>
        <w:rPr>
          <w:b/>
        </w:rPr>
        <w:t xml:space="preserve">9 </w:t>
      </w:r>
      <w:r>
        <w:t xml:space="preserve">Seven full weeks you shall count for yourself. From when you begin to put the sickle to the standing grain you shall begin to count seven weeks.</w:t>
      </w:r>
    </w:p>
    <w:p>
      <w:r>
        <w:rPr>
          <w:b/>
        </w:rPr>
        <w:t xml:space="preserve">10 </w:t>
      </w:r>
      <w:r>
        <w:t xml:space="preserve">And you shall make the Feast of Weeks to the Lord your God according to the strength of your hand, whatever you may give, in the way the Lord your God blessed you.</w:t>
      </w:r>
    </w:p>
    <w:p>
      <w:r>
        <w:rPr>
          <w:b/>
        </w:rPr>
        <w:t xml:space="preserve">11 </w:t>
      </w:r>
      <w:r>
        <w:t xml:space="preserve">And you shall rejoice before the Lord your God, you and your son and your daughter, your male servant and your female servant, and the Levite in your cities and the proselyte and the orphan and the widow among you, in the place that the Lord your God chooses for his name to be called there.</w:t>
      </w:r>
    </w:p>
    <w:p>
      <w:r>
        <w:rPr>
          <w:b/>
        </w:rPr>
        <w:t xml:space="preserve">12 </w:t>
      </w:r>
      <w:r>
        <w:t xml:space="preserve">And you shall remember that you were a servant in the land of Egypt, and you shall keep and do these commands.</w:t>
      </w:r>
    </w:p>
    <w:p>
      <w:r>
        <w:rPr>
          <w:b/>
        </w:rPr>
        <w:t xml:space="preserve">13 </w:t>
      </w:r>
      <w:r>
        <w:t xml:space="preserve">You shall make the Feast</w:t>
      </w:r>
      <w:r>
        <w:rPr>
          <w:rStyle w:val="FootnoteReference"/>
        </w:rPr>
        <w:footnoteReference w:id="3550"/>
      </w:r>
      <w:r>
        <w:t xml:space="preserve"> of Booths for yourself seven days, when you gather in from your threshing floor and from your winepress.</w:t>
      </w:r>
    </w:p>
    <w:p>
      <w:r>
        <w:rPr>
          <w:b/>
        </w:rPr>
        <w:t xml:space="preserve">14 </w:t>
      </w:r>
      <w:r>
        <w:t xml:space="preserve">And you shall rejoice in your feast, you and your son and your daughter, your male servant and your female servant, and the Levite and the proselyte and the orphan and the widow who are in your cities.</w:t>
      </w:r>
    </w:p>
    <w:p>
      <w:r>
        <w:rPr>
          <w:b/>
        </w:rPr>
        <w:t xml:space="preserve">15 </w:t>
      </w:r>
      <w:r>
        <w:t xml:space="preserve">Seven days</w:t>
      </w:r>
      <w:r>
        <w:rPr>
          <w:rStyle w:val="FootnoteReference"/>
        </w:rPr>
        <w:footnoteReference w:id="3551"/>
      </w:r>
      <w:r>
        <w:t xml:space="preserve"> you shall feast to the Lord your God in the place that the Lord your God chooses for himself, because if the Lord your God blesses you in all your produce and in all the work of your hands, then you shall be rejoicing.</w:t>
      </w:r>
    </w:p>
    <w:p>
      <w:r>
        <w:rPr>
          <w:b/>
        </w:rPr>
        <w:t xml:space="preserve">16 </w:t>
      </w:r>
      <w:r>
        <w:t xml:space="preserve">Three times</w:t>
      </w:r>
      <w:r>
        <w:rPr>
          <w:rStyle w:val="FootnoteReference"/>
        </w:rPr>
        <w:footnoteReference w:id="3552"/>
      </w:r>
      <w:r>
        <w:t xml:space="preserve"> in the year every male among you shall appear before the Lord your God in the place that the Lord chooses: in the Feast of Unleavened Bread and in the Feast of Weeks and in the Feast of Tabernacle-making</w:t>
      </w:r>
      <w:r>
        <w:rPr>
          <w:rStyle w:val="FootnoteReference"/>
        </w:rPr>
        <w:footnoteReference w:id="3553"/>
      </w:r>
      <w:r>
        <w:t xml:space="preserve">. You shall not appear before the Lord your God empty,</w:t>
      </w:r>
      <w:r>
        <w:rPr>
          <w:rStyle w:val="FootnoteReference"/>
        </w:rPr>
        <w:footnoteReference w:id="3554"/>
      </w:r>
      <w:r>
        <w:rPr>
          <w:rStyle w:val="FootnoteReference"/>
        </w:rPr>
        <w:footnoteReference w:id="3555"/>
      </w:r>
      <w:r>
        <w:rPr>
          <w:rStyle w:val="FootnoteReference"/>
        </w:rPr>
        <w:footnoteReference w:id="3556"/>
      </w:r>
      <w:r>
        <w:rPr>
          <w:rStyle w:val="FootnoteReference"/>
        </w:rPr>
        <w:footnoteReference w:id="3557"/>
      </w:r>
    </w:p>
    <w:p>
      <w:r>
        <w:rPr>
          <w:b/>
        </w:rPr>
        <w:t xml:space="preserve">17 </w:t>
      </w:r>
      <w:r>
        <w:t xml:space="preserve">each according to the ability of your hands, according to the blessing of the Lord your God that he gave you.</w:t>
      </w:r>
    </w:p>
    <w:p>
      <w:r>
        <w:rPr>
          <w:b/>
        </w:rPr>
        <w:t xml:space="preserve">18 </w:t>
      </w:r>
      <w:r>
        <w:t xml:space="preserve">You shall appoint judges</w:t>
      </w:r>
      <w:r>
        <w:rPr>
          <w:rStyle w:val="FootnoteReference"/>
        </w:rPr>
        <w:footnoteReference w:id="3558"/>
      </w:r>
      <w:r>
        <w:t xml:space="preserve"> and scribes for yourself in all your cities that the Lord your God gives you, according to tribes, and they shall judge the people with righteous judgment.</w:t>
      </w:r>
    </w:p>
    <w:p>
      <w:r>
        <w:rPr>
          <w:b/>
        </w:rPr>
        <w:t xml:space="preserve">19 </w:t>
      </w:r>
      <w:r>
        <w:t xml:space="preserve">They shall not turn aside judgment. They shall not recognize a face, nor take a gift, because gifts blind the eyes of the wise and remove the words of the righteous.</w:t>
      </w:r>
    </w:p>
    <w:p>
      <w:r>
        <w:rPr>
          <w:b/>
        </w:rPr>
        <w:t xml:space="preserve">20 </w:t>
      </w:r>
      <w:r>
        <w:t xml:space="preserve">Justly pursue what is just, so that you may live</w:t>
      </w:r>
      <w:r>
        <w:rPr>
          <w:rStyle w:val="FootnoteReference"/>
        </w:rPr>
        <w:footnoteReference w:id="3559"/>
      </w:r>
      <w:r>
        <w:t xml:space="preserve"> and, entering in, inherit the land that the Lord your God gives you.</w:t>
      </w:r>
    </w:p>
    <w:p>
      <w:r>
        <w:rPr>
          <w:b/>
        </w:rPr>
        <w:t xml:space="preserve">21 </w:t>
      </w:r>
      <w:r>
        <w:t xml:space="preserve">You shall not plant for yourself a grove, any tree</w:t>
      </w:r>
      <w:r>
        <w:rPr>
          <w:rStyle w:val="FootnoteReference"/>
        </w:rPr>
        <w:footnoteReference w:id="3560"/>
      </w:r>
      <w:r>
        <w:t xml:space="preserve">, beside the altar of the Lord your God that you make for yourself.</w:t>
      </w:r>
    </w:p>
    <w:p>
      <w:r>
        <w:rPr>
          <w:b/>
        </w:rPr>
        <w:t xml:space="preserve">22 </w:t>
      </w:r>
      <w:r>
        <w:t xml:space="preserve">You shall not set up for yourself a pillar, which the Lord your God hated.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You shall not sacrifice to the Lord your God a calf or a sheep</w:t>
      </w:r>
      <w:r>
        <w:rPr>
          <w:rStyle w:val="FootnoteReference"/>
        </w:rPr>
        <w:footnoteReference w:id="3561"/>
      </w:r>
      <w:r>
        <w:t xml:space="preserve"> in which there is a blemish, any evil thing, because it is an abomination to the Lord your God.</w:t>
      </w:r>
    </w:p>
    <w:p>
      <w:r>
        <w:rPr>
          <w:b/>
        </w:rPr>
        <w:t xml:space="preserve">2 </w:t>
      </w:r>
      <w:r>
        <w:t xml:space="preserve">And if there is found among you in one of your cities that the Lord your God gives you, a man or a woman who does evil before the Lord your God by transgressing his covenant,</w:t>
      </w:r>
    </w:p>
    <w:p>
      <w:r>
        <w:rPr>
          <w:b/>
        </w:rPr>
        <w:t xml:space="preserve">3 </w:t>
      </w:r>
      <w:r>
        <w:t xml:space="preserve">and they go and serve other gods and bow to them, to the sun</w:t>
      </w:r>
      <w:r>
        <w:rPr>
          <w:rStyle w:val="FootnoteReference"/>
        </w:rPr>
        <w:footnoteReference w:id="3562"/>
      </w:r>
      <w:r>
        <w:t xml:space="preserve"> or to the moon or to anything from the order of heaven, which he did not command,</w:t>
      </w:r>
    </w:p>
    <w:p>
      <w:r>
        <w:rPr>
          <w:b/>
        </w:rPr>
        <w:t xml:space="preserve">4 </w:t>
      </w:r>
      <w:r>
        <w:t xml:space="preserve">and it is reported to you, and you search it out very carefully, and behold, the matter has truly happened, this abomination has occurred in Israel,</w:t>
      </w:r>
    </w:p>
    <w:p>
      <w:r>
        <w:rPr>
          <w:b/>
        </w:rPr>
        <w:t xml:space="preserve">5 </w:t>
      </w:r>
      <w:r>
        <w:t xml:space="preserve">then you shall bring out that man or that woman, and you shall stone them</w:t>
      </w:r>
      <w:r>
        <w:rPr>
          <w:rStyle w:val="FootnoteReference"/>
        </w:rPr>
        <w:footnoteReference w:id="3563"/>
      </w:r>
      <w:r>
        <w:t xml:space="preserve"> with stones, and they shall die.</w:t>
      </w:r>
    </w:p>
    <w:p>
      <w:r>
        <w:rPr>
          <w:b/>
        </w:rPr>
        <w:t xml:space="preserve">6 </w:t>
      </w:r>
      <w:r>
        <w:t xml:space="preserve">On two witnesses or on three witnesses the one dying shall die. He shall not die on one witness.</w:t>
      </w:r>
    </w:p>
    <w:p>
      <w:r>
        <w:rPr>
          <w:b/>
        </w:rPr>
        <w:t xml:space="preserve">7 </w:t>
      </w:r>
      <w:r>
        <w:t xml:space="preserve">And the hand of the witnesses</w:t>
      </w:r>
      <w:r>
        <w:rPr>
          <w:rStyle w:val="FootnoteReference"/>
        </w:rPr>
        <w:footnoteReference w:id="3564"/>
      </w:r>
      <w:r>
        <w:t xml:space="preserve"> shall be upon him first to put him to death, and the hand of all the people last. And you shall destroy the evil one from among you.</w:t>
      </w:r>
    </w:p>
    <w:p>
      <w:r>
        <w:rPr>
          <w:b/>
        </w:rPr>
        <w:t xml:space="preserve">8 </w:t>
      </w:r>
      <w:r>
        <w:t xml:space="preserve">And if a matter in judgment is too hard for you, between blood</w:t>
      </w:r>
      <w:r>
        <w:rPr>
          <w:rStyle w:val="FootnoteReference"/>
        </w:rPr>
        <w:footnoteReference w:id="3565"/>
      </w:r>
      <w:r>
        <w:t xml:space="preserve"> and blood, and between judgment and judgment, and between wound and wound</w:t>
      </w:r>
      <w:r>
        <w:rPr>
          <w:rStyle w:val="FootnoteReference"/>
        </w:rPr>
        <w:footnoteReference w:id="3566"/>
      </w:r>
      <w:r>
        <w:t xml:space="preserve">, words of judgment in your cities, then, rising, you shall go up to the place that the Lord your God chooses for his name to be called there</w:t>
      </w:r>
      <w:r>
        <w:rPr>
          <w:rStyle w:val="FootnoteReference"/>
        </w:rPr>
        <w:footnoteReference w:id="3567"/>
      </w:r>
      <w:r>
        <w:t xml:space="preserve">.</w:t>
      </w:r>
    </w:p>
    <w:p>
      <w:r>
        <w:rPr>
          <w:b/>
        </w:rPr>
        <w:t xml:space="preserve">9 </w:t>
      </w:r>
      <w:r>
        <w:t xml:space="preserve">And you shall come to the Levitical</w:t>
      </w:r>
      <w:r>
        <w:rPr>
          <w:rStyle w:val="FootnoteReference"/>
        </w:rPr>
        <w:footnoteReference w:id="3568"/>
      </w:r>
      <w:r>
        <w:t xml:space="preserve"> priests and to the judge who may be in those days, and, after seeking, they shall report the judgment to you.</w:t>
      </w:r>
    </w:p>
    <w:p>
      <w:r>
        <w:rPr>
          <w:b/>
        </w:rPr>
        <w:t xml:space="preserve">10 </w:t>
      </w:r>
      <w:r>
        <w:t xml:space="preserve">And you shall act according to the matter that they report to you from the place that the Lord your God chooses for his name to be called there, and you shall keep very carefully to do according to everything that may be legislated to you.</w:t>
      </w:r>
    </w:p>
    <w:p>
      <w:r>
        <w:rPr>
          <w:b/>
        </w:rPr>
        <w:t xml:space="preserve">11 </w:t>
      </w:r>
      <w:r>
        <w:t xml:space="preserve">According to</w:t>
      </w:r>
      <w:r>
        <w:rPr>
          <w:rStyle w:val="FootnoteReference"/>
        </w:rPr>
        <w:footnoteReference w:id="3569"/>
      </w:r>
      <w:r>
        <w:t xml:space="preserve"> the law and according to the judgment that they tell you, you shall do. You shall not turn aside from the word that they report to you, right or left.</w:t>
      </w:r>
    </w:p>
    <w:p>
      <w:r>
        <w:rPr>
          <w:b/>
        </w:rPr>
        <w:t xml:space="preserve">12 </w:t>
      </w:r>
      <w:r>
        <w:t xml:space="preserve">And the man who may act in pride by not listening to the priest</w:t>
      </w:r>
      <w:r>
        <w:rPr>
          <w:rStyle w:val="FootnoteReference"/>
        </w:rPr>
        <w:footnoteReference w:id="3570"/>
      </w:r>
      <w:r>
        <w:t xml:space="preserve"> who stands there ministering on the name of the Lord your God, or to the judge who may be in those days, that man shall die, and you shall destroy the evil one from Israel.</w:t>
      </w:r>
      <w:r>
        <w:rPr>
          <w:rStyle w:val="FootnoteReference"/>
        </w:rPr>
        <w:footnoteReference w:id="3571"/>
      </w:r>
    </w:p>
    <w:p>
      <w:r>
        <w:rPr>
          <w:b/>
        </w:rPr>
        <w:t xml:space="preserve">13 </w:t>
      </w:r>
      <w:r>
        <w:t xml:space="preserve">And all the people, hearing, shall fear and no longer act ungodly.</w:t>
      </w:r>
    </w:p>
    <w:p>
      <w:r>
        <w:rPr>
          <w:b/>
        </w:rPr>
        <w:t xml:space="preserve">14 </w:t>
      </w:r>
      <w:r>
        <w:t xml:space="preserve">And if you enter into the land that the Lord your God gives you as an inheritance and inherit it and dwell on it and say, I will set</w:t>
      </w:r>
      <w:r>
        <w:rPr>
          <w:rStyle w:val="FootnoteReference"/>
        </w:rPr>
        <w:footnoteReference w:id="3572"/>
      </w:r>
      <w:r>
        <w:t xml:space="preserve"> a ruler over myself, just as also the rest of the nations around me,</w:t>
      </w:r>
    </w:p>
    <w:p>
      <w:r>
        <w:rPr>
          <w:b/>
        </w:rPr>
        <w:t xml:space="preserve">15 </w:t>
      </w:r>
      <w:r>
        <w:t xml:space="preserve">appointing, you shall appoint over yourself a ruler whom the Lord your God chooses. From your brothers you shall appoint a ruler over yourself. You shall not be able to appoint over yourself a foreign man, because he is not your brother.</w:t>
      </w:r>
    </w:p>
    <w:p>
      <w:r>
        <w:rPr>
          <w:b/>
        </w:rPr>
        <w:t xml:space="preserve">16 </w:t>
      </w:r>
      <w:r>
        <w:t xml:space="preserve">Only he shall not multiply horses</w:t>
      </w:r>
      <w:r>
        <w:rPr>
          <w:rStyle w:val="FootnoteReference"/>
        </w:rPr>
        <w:footnoteReference w:id="3573"/>
      </w:r>
      <w:r>
        <w:t xml:space="preserve"> for himself, nor indeed turn the people back to Egypt so as to multiply horses for himself, because the Lord said, You shall not add to return by this road</w:t>
      </w:r>
      <w:r>
        <w:rPr>
          <w:rStyle w:val="FootnoteReference"/>
        </w:rPr>
        <w:footnoteReference w:id="3574"/>
      </w:r>
      <w:r>
        <w:t xml:space="preserve"> any longer.</w:t>
      </w:r>
    </w:p>
    <w:p>
      <w:r>
        <w:rPr>
          <w:b/>
        </w:rPr>
        <w:t xml:space="preserve">17 </w:t>
      </w:r>
      <w:r>
        <w:t xml:space="preserve">And he shall not multiply wives</w:t>
      </w:r>
      <w:r>
        <w:rPr>
          <w:rStyle w:val="FootnoteReference"/>
        </w:rPr>
        <w:footnoteReference w:id="3575"/>
      </w:r>
      <w:r>
        <w:t xml:space="preserve"> for himself, nor shall his heart turn away, and silver and gold he shall not multiply for himself greatly.</w:t>
      </w:r>
    </w:p>
    <w:p>
      <w:r>
        <w:rPr>
          <w:b/>
        </w:rPr>
        <w:t xml:space="preserve">18 </w:t>
      </w:r>
      <w:r>
        <w:t xml:space="preserve">And it shall be, when he sits on his rule, he shall write for himself this second law in a book from the priests, the Levites.</w:t>
      </w:r>
    </w:p>
    <w:p>
      <w:r>
        <w:rPr>
          <w:b/>
        </w:rPr>
        <w:t xml:space="preserve">19 </w:t>
      </w:r>
      <w:r>
        <w:t xml:space="preserve">And it shall be with him, and he shall read in it all the days of his life, so that he may learn to fear the Lord his God, keeping all these commands and these ordinances, to do them,</w:t>
      </w:r>
    </w:p>
    <w:p>
      <w:r>
        <w:rPr>
          <w:b/>
        </w:rPr>
        <w:t xml:space="preserve">20 </w:t>
      </w:r>
      <w:r>
        <w:t xml:space="preserve">so that his heart</w:t>
      </w:r>
      <w:r>
        <w:rPr>
          <w:rStyle w:val="FootnoteReference"/>
        </w:rPr>
        <w:footnoteReference w:id="3576"/>
      </w:r>
      <w:r>
        <w:t xml:space="preserve"> may not be lifted up above his brothers</w:t>
      </w:r>
      <w:r>
        <w:rPr>
          <w:rStyle w:val="FootnoteReference"/>
        </w:rPr>
        <w:footnoteReference w:id="3577"/>
      </w:r>
      <w:r>
        <w:t xml:space="preserve">, so that he may not transgress the commands right or left, so that he may be long-lived in his rule, he and his sons among the sons of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There shall not be for the priests, the Levites, the whole tribe of Levi, a portion or inheritance with Israel. They shall eat the Lord's offerings, which are their inheritance.</w:t>
      </w:r>
    </w:p>
    <w:p>
      <w:r>
        <w:rPr>
          <w:b/>
        </w:rPr>
        <w:t xml:space="preserve">2 </w:t>
      </w:r>
      <w:r>
        <w:t xml:space="preserve">And inheritance shall not be for them among their brothers. The Lord</w:t>
      </w:r>
      <w:r>
        <w:rPr>
          <w:rStyle w:val="FootnoteReference"/>
        </w:rPr>
        <w:footnoteReference w:id="3578"/>
      </w:r>
      <w:r>
        <w:t xml:space="preserve"> himself is his inheritance, just as he said to him.</w:t>
      </w:r>
    </w:p>
    <w:p>
      <w:r>
        <w:rPr>
          <w:b/>
        </w:rPr>
        <w:t xml:space="preserve">3 </w:t>
      </w:r>
      <w:r>
        <w:t xml:space="preserve">And this is the due of the priests</w:t>
      </w:r>
      <w:r>
        <w:rPr>
          <w:rStyle w:val="FootnoteReference"/>
        </w:rPr>
        <w:footnoteReference w:id="3579"/>
      </w:r>
      <w:r>
        <w:t xml:space="preserve"> from the people, from those sacrificing the sacrifices, whether calf or sheep: he shall give to the priest the arm and the jaws and the stomach.</w:t>
      </w:r>
    </w:p>
    <w:p>
      <w:r>
        <w:rPr>
          <w:b/>
        </w:rPr>
        <w:t xml:space="preserve">4 </w:t>
      </w:r>
      <w:r>
        <w:t xml:space="preserve">And the firstfruits of your grain and your wine and your oil, and the firstfruits of the shearings of your sheep</w:t>
      </w:r>
      <w:r>
        <w:rPr>
          <w:rStyle w:val="FootnoteReference"/>
        </w:rPr>
        <w:footnoteReference w:id="3580"/>
      </w:r>
      <w:r>
        <w:t xml:space="preserve">, you shall give to him,</w:t>
      </w:r>
    </w:p>
    <w:p>
      <w:r>
        <w:rPr>
          <w:b/>
        </w:rPr>
        <w:t xml:space="preserve">5 </w:t>
      </w:r>
      <w:r>
        <w:t xml:space="preserve">because the Lord your God chose him from all your tribes to stand before the Lord your God to minister and bless in his name, he and his sons among the sons of Israel.</w:t>
      </w:r>
    </w:p>
    <w:p>
      <w:r>
        <w:rPr>
          <w:b/>
        </w:rPr>
        <w:t xml:space="preserve">6 </w:t>
      </w:r>
      <w:r>
        <w:t xml:space="preserve">And if the Levite comes from one of your cities, from all the sons of Israel where he is residing as a stranger, because his soul desires the place that the Lord chooses,</w:t>
      </w:r>
    </w:p>
    <w:p>
      <w:r>
        <w:rPr>
          <w:b/>
        </w:rPr>
        <w:t xml:space="preserve">7 </w:t>
      </w:r>
      <w:r>
        <w:t xml:space="preserve">then he shall minister in the name of the Lord his God, just as all his brothers the Levites who stand there before the Lord.</w:t>
      </w:r>
    </w:p>
    <w:p>
      <w:r>
        <w:rPr>
          <w:b/>
        </w:rPr>
        <w:t xml:space="preserve">8 </w:t>
      </w:r>
      <w:r>
        <w:t xml:space="preserve">He shall eat an equal portion, besides the sale according to patrimony.</w:t>
      </w:r>
    </w:p>
    <w:p>
      <w:r>
        <w:rPr>
          <w:b/>
        </w:rPr>
        <w:t xml:space="preserve">9 </w:t>
      </w:r>
      <w:r>
        <w:t xml:space="preserve">And if you enter into the land that the Lord your God gives you, you shall not learn to do according to the abominations of those nations.</w:t>
      </w:r>
    </w:p>
    <w:p>
      <w:r>
        <w:rPr>
          <w:b/>
        </w:rPr>
        <w:t xml:space="preserve">10 </w:t>
      </w:r>
      <w:r>
        <w:t xml:space="preserve">There shall not be found among you one purifying his son or his daughter through fire, one divining divination, one practicing omens, one reading signs, a sorcerer,</w:t>
      </w:r>
    </w:p>
    <w:p>
      <w:r>
        <w:rPr>
          <w:b/>
        </w:rPr>
        <w:t xml:space="preserve">11 </w:t>
      </w:r>
      <w:r>
        <w:t xml:space="preserve">one chanting a chant, a ventriloquist, one observing signs, one consulting the dead,</w:t>
      </w:r>
      <w:r>
        <w:rPr>
          <w:rStyle w:val="FootnoteReference"/>
        </w:rPr>
        <w:footnoteReference w:id="3581"/>
      </w:r>
    </w:p>
    <w:p>
      <w:r>
        <w:rPr>
          <w:b/>
        </w:rPr>
        <w:t xml:space="preserve">12 </w:t>
      </w:r>
      <w:r>
        <w:t xml:space="preserve">because everyone doing these things is an abomination to the Lord your God, for because of these abominations the Lord will utterly destroy them from before your face.</w:t>
      </w:r>
    </w:p>
    <w:p>
      <w:r>
        <w:rPr>
          <w:b/>
        </w:rPr>
        <w:t xml:space="preserve">13 </w:t>
      </w:r>
      <w:r>
        <w:t xml:space="preserve">You shall be complete before the Lord your God.</w:t>
      </w:r>
    </w:p>
    <w:p>
      <w:r>
        <w:rPr>
          <w:b/>
        </w:rPr>
        <w:t xml:space="preserve">14 </w:t>
      </w:r>
      <w:r>
        <w:t xml:space="preserve">For these nations that you inherit, these will listen to omen-readers and diviners. But for you the Lord your God did not give thus.</w:t>
      </w:r>
    </w:p>
    <w:p>
      <w:r>
        <w:rPr>
          <w:b/>
        </w:rPr>
        <w:t xml:space="preserve">15 </w:t>
      </w:r>
      <w:r>
        <w:t xml:space="preserve">A prophet</w:t>
      </w:r>
      <w:r>
        <w:rPr>
          <w:rStyle w:val="FootnoteReference"/>
        </w:rPr>
        <w:footnoteReference w:id="3582"/>
      </w:r>
      <w:r>
        <w:t xml:space="preserve"> from your brothers like me the Lord your God will raise up for you. To him you shall listen,</w:t>
      </w:r>
    </w:p>
    <w:p>
      <w:r>
        <w:rPr>
          <w:b/>
        </w:rPr>
        <w:t xml:space="preserve">16 </w:t>
      </w:r>
      <w:r>
        <w:t xml:space="preserve">according to all that you asked from the Lord your God in Horeb</w:t>
      </w:r>
      <w:r>
        <w:rPr>
          <w:rStyle w:val="FootnoteReference"/>
        </w:rPr>
        <w:footnoteReference w:id="3583"/>
      </w:r>
      <w:r>
        <w:t xml:space="preserve"> on the day of the assembly, saying, We shall not add to hear the voice of the Lord our God, and we shall not see this great fire any more, nor indeed die.</w:t>
      </w:r>
    </w:p>
    <w:p>
      <w:r>
        <w:rPr>
          <w:b/>
        </w:rPr>
        <w:t xml:space="preserve">17 </w:t>
      </w:r>
      <w:r>
        <w:t xml:space="preserve">And the Lord said to me, They spoke rightly all that they spoke.</w:t>
      </w:r>
    </w:p>
    <w:p>
      <w:r>
        <w:rPr>
          <w:b/>
        </w:rPr>
        <w:t xml:space="preserve">18 </w:t>
      </w:r>
      <w:r>
        <w:t xml:space="preserve">I will raise up for them a prophet from their brothers like you, and I will put</w:t>
      </w:r>
      <w:r>
        <w:rPr>
          <w:rStyle w:val="FootnoteReference"/>
        </w:rPr>
        <w:footnoteReference w:id="3584"/>
      </w:r>
      <w:r>
        <w:t xml:space="preserve"> my word in his mouth, and he shall speak to them according to whatever I command him.</w:t>
      </w:r>
    </w:p>
    <w:p>
      <w:r>
        <w:rPr>
          <w:b/>
        </w:rPr>
        <w:t xml:space="preserve">19 </w:t>
      </w:r>
      <w:r>
        <w:t xml:space="preserve">And the man who does not hear whatever the prophet speaks in my name, I will exact it from him.</w:t>
      </w:r>
    </w:p>
    <w:p>
      <w:r>
        <w:rPr>
          <w:b/>
        </w:rPr>
        <w:t xml:space="preserve">20 </w:t>
      </w:r>
      <w:r>
        <w:t xml:space="preserve">But the prophet</w:t>
      </w:r>
      <w:r>
        <w:rPr>
          <w:rStyle w:val="FootnoteReference"/>
        </w:rPr>
        <w:footnoteReference w:id="3585"/>
      </w:r>
      <w:r>
        <w:t xml:space="preserve"> who may act ungodly by speaking in my name a word that I did not command him to speak, and who may speak in the name of other gods, that prophet shall die.</w:t>
      </w:r>
    </w:p>
    <w:p>
      <w:r>
        <w:rPr>
          <w:b/>
        </w:rPr>
        <w:t xml:space="preserve">21 </w:t>
      </w:r>
      <w:r>
        <w:t xml:space="preserve">And if you say in your heart</w:t>
      </w:r>
      <w:r>
        <w:rPr>
          <w:rStyle w:val="FootnoteReference"/>
        </w:rPr>
        <w:footnoteReference w:id="3586"/>
      </w:r>
      <w:r>
        <w:t xml:space="preserve">, How shall we know the word that the Lord did not speak?</w:t>
      </w:r>
    </w:p>
    <w:p>
      <w:r>
        <w:rPr>
          <w:b/>
        </w:rPr>
        <w:t xml:space="preserve">22 </w:t>
      </w:r>
      <w:r>
        <w:t xml:space="preserve">Whatever the prophet speaks in the name of the Lord and the matter does not happen and does not come to pass, this is the word that the Lord did not speak. In ungodliness that prophet spoke it. You shall not spare him.</w:t>
      </w:r>
      <w:r>
        <w:rPr>
          <w:rStyle w:val="FootnoteReference"/>
        </w:rPr>
        <w:footnoteReference w:id="3587"/>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if the Lord your God utterly destroys the nations whose land your God gives you, and you fully inherit them and dwell in their cities and in their houses,</w:t>
      </w:r>
    </w:p>
    <w:p>
      <w:r>
        <w:rPr>
          <w:b/>
        </w:rPr>
        <w:t xml:space="preserve">2 </w:t>
      </w:r>
      <w:r>
        <w:t xml:space="preserve">you shall set apart for yourself three cities in the midst of your land that the Lord your God gives you.</w:t>
      </w:r>
    </w:p>
    <w:p>
      <w:r>
        <w:rPr>
          <w:b/>
        </w:rPr>
        <w:t xml:space="preserve">3 </w:t>
      </w:r>
      <w:r>
        <w:t xml:space="preserve">Prepare the road for yourself, and divide the boundaries of your land into three parts, the land that the Lord your God distributes to you, and there shall be refuge there for every killer.</w:t>
      </w:r>
    </w:p>
    <w:p>
      <w:r>
        <w:rPr>
          <w:b/>
        </w:rPr>
        <w:t xml:space="preserve">4 </w:t>
      </w:r>
      <w:r>
        <w:t xml:space="preserve">And this shall be the ordinance of the killer who flees there and lives: whoever strikes his neighbor unintentionally, this one not hating him before yesterday or the third day,</w:t>
      </w:r>
    </w:p>
    <w:p>
      <w:r>
        <w:rPr>
          <w:b/>
        </w:rPr>
        <w:t xml:space="preserve">5 </w:t>
      </w:r>
      <w:r>
        <w:t xml:space="preserve">and whoever enters with his neighbor into the forest to gather wood, and his hand swings with the axe while cutting the wood, and the iron flies from the wood and meets his neighbor</w:t>
      </w:r>
      <w:r>
        <w:rPr>
          <w:rStyle w:val="FootnoteReference"/>
        </w:rPr>
        <w:footnoteReference w:id="3588"/>
      </w:r>
      <w:r>
        <w:t xml:space="preserve"> and he dies, this one shall flee to one of these cities and live,</w:t>
      </w:r>
    </w:p>
    <w:p>
      <w:r>
        <w:rPr>
          <w:b/>
        </w:rPr>
        <w:t xml:space="preserve">6 </w:t>
      </w:r>
      <w:r>
        <w:t xml:space="preserve">lest the avenger</w:t>
      </w:r>
      <w:r>
        <w:rPr>
          <w:rStyle w:val="FootnoteReference"/>
        </w:rPr>
        <w:footnoteReference w:id="3589"/>
      </w:r>
      <w:r>
        <w:t xml:space="preserve"> of blood, pursuing behind the one who killed, because his heart was heated</w:t>
      </w:r>
      <w:r>
        <w:rPr>
          <w:rStyle w:val="FootnoteReference"/>
        </w:rPr>
        <w:footnoteReference w:id="3590"/>
      </w:r>
      <w:r>
        <w:t xml:space="preserve">, overtake him if the road is longer, and strike his life and he die, though for this one there is no judgment of death, because he was not hating him before yesterday or the third day.</w:t>
      </w:r>
    </w:p>
    <w:p>
      <w:r>
        <w:rPr>
          <w:b/>
        </w:rPr>
        <w:t xml:space="preserve">7 </w:t>
      </w:r>
      <w:r>
        <w:t xml:space="preserve">Because of this I command you this word, saying, You shall set apart for yourself three cities.</w:t>
      </w:r>
    </w:p>
    <w:p>
      <w:r>
        <w:rPr>
          <w:b/>
        </w:rPr>
        <w:t xml:space="preserve">8 </w:t>
      </w:r>
      <w:r>
        <w:t xml:space="preserve">And if the Lord your God enlarges your boundaries in the way he swore to your fathers and the Lord gives you all the land that he said to give to your fathers,</w:t>
      </w:r>
    </w:p>
    <w:p>
      <w:r>
        <w:rPr>
          <w:b/>
        </w:rPr>
        <w:t xml:space="preserve">9 </w:t>
      </w:r>
      <w:r>
        <w:t xml:space="preserve">if you listen so as to do all these commands that I command you today, to love the Lord your God, to walk in all his ways all the days, then you shall add for yourself three more cities to these three,</w:t>
      </w:r>
    </w:p>
    <w:p>
      <w:r>
        <w:rPr>
          <w:b/>
        </w:rPr>
        <w:t xml:space="preserve">10 </w:t>
      </w:r>
      <w:r>
        <w:t xml:space="preserve">and innocent blood shall not be shed</w:t>
      </w:r>
      <w:r>
        <w:rPr>
          <w:rStyle w:val="FootnoteReference"/>
        </w:rPr>
        <w:footnoteReference w:id="3591"/>
      </w:r>
      <w:r>
        <w:t xml:space="preserve"> in your land that the Lord your God gives you as an inheritance, and bloodguilt shall not be in you.</w:t>
      </w:r>
    </w:p>
    <w:p>
      <w:r>
        <w:rPr>
          <w:b/>
        </w:rPr>
        <w:t xml:space="preserve">11 </w:t>
      </w:r>
      <w:r>
        <w:t xml:space="preserve">And if there is a man hating his neighbor, and he lies in wait for him and rises against him and strikes his life and he dies, and he flees to one of these cities,</w:t>
      </w:r>
    </w:p>
    <w:p>
      <w:r>
        <w:rPr>
          <w:b/>
        </w:rPr>
        <w:t xml:space="preserve">12 </w:t>
      </w:r>
      <w:r>
        <w:t xml:space="preserve">then the elders of his city shall send and take him from there and deliver him into the hands of the avenger of blood, and he shall die.</w:t>
      </w:r>
    </w:p>
    <w:p>
      <w:r>
        <w:rPr>
          <w:b/>
        </w:rPr>
        <w:t xml:space="preserve">13 </w:t>
      </w:r>
      <w:r>
        <w:t xml:space="preserve">Your eye shall not spare him, and you shall cleanse innocent blood from Israel, and it shall be well with you.</w:t>
      </w:r>
    </w:p>
    <w:p>
      <w:r>
        <w:rPr>
          <w:b/>
        </w:rPr>
        <w:t xml:space="preserve">14 </w:t>
      </w:r>
      <w:r>
        <w:t xml:space="preserve">You shall not move your neighbor's boundaries that your fathers set in your inheritance that you inherited in the land that the Lord your God gives you as an inheritance.</w:t>
      </w:r>
    </w:p>
    <w:p>
      <w:r>
        <w:rPr>
          <w:b/>
        </w:rPr>
        <w:t xml:space="preserve">15 </w:t>
      </w:r>
      <w:r>
        <w:t xml:space="preserve">A witness shall not remain to testify against a man for every injustice and for every sin and for every sin that he may sin. By the mouth of two witnesses and by the mouth of three witnesses every word shall stand.</w:t>
      </w:r>
    </w:p>
    <w:p>
      <w:r>
        <w:rPr>
          <w:b/>
        </w:rPr>
        <w:t xml:space="preserve">16 </w:t>
      </w:r>
      <w:r>
        <w:t xml:space="preserve">And if an unjust witness stands against a man, charging him with ungodliness,</w:t>
      </w:r>
    </w:p>
    <w:p>
      <w:r>
        <w:rPr>
          <w:b/>
        </w:rPr>
        <w:t xml:space="preserve">17 </w:t>
      </w:r>
      <w:r>
        <w:t xml:space="preserve">then the two men who have the dispute shall stand before the Lord and before the priests and before the judges who may be in those days.</w:t>
      </w:r>
    </w:p>
    <w:p>
      <w:r>
        <w:rPr>
          <w:b/>
        </w:rPr>
        <w:t xml:space="preserve">18 </w:t>
      </w:r>
      <w:r>
        <w:t xml:space="preserve">And the judges shall investigate exactly, and behold, if the witness is unjust and he has testified unjust things, standing against his brother,</w:t>
      </w:r>
    </w:p>
    <w:p>
      <w:r>
        <w:rPr>
          <w:b/>
        </w:rPr>
        <w:t xml:space="preserve">19 </w:t>
      </w:r>
      <w:r>
        <w:t xml:space="preserve">then you shall do to him in the way he wickedly intended to do against his brother, and you shall destroy the evil one from among you.</w:t>
      </w:r>
    </w:p>
    <w:p>
      <w:r>
        <w:rPr>
          <w:b/>
        </w:rPr>
        <w:t xml:space="preserve">20 </w:t>
      </w:r>
      <w:r>
        <w:t xml:space="preserve">And the rest, hearing, shall fear and no longer add to do according to this evil word among you.</w:t>
      </w:r>
    </w:p>
    <w:p>
      <w:r>
        <w:rPr>
          <w:b/>
        </w:rPr>
        <w:t xml:space="preserve">21 </w:t>
      </w:r>
      <w:r>
        <w:t xml:space="preserve">Your eye shall not spare him: life for life, eye for eye, tooth for tooth, hand for hand, foot for foot.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if you go out to war against your enemies and see horse and rider</w:t>
      </w:r>
      <w:r>
        <w:rPr>
          <w:rStyle w:val="FootnoteReference"/>
        </w:rPr>
        <w:footnoteReference w:id="3592"/>
      </w:r>
      <w:r>
        <w:t xml:space="preserve"> and a people more numerous than you, you shall not fear before them, because the Lord</w:t>
      </w:r>
      <w:r>
        <w:rPr>
          <w:rStyle w:val="FootnoteReference"/>
        </w:rPr>
        <w:footnoteReference w:id="3593"/>
      </w:r>
      <w:r>
        <w:t xml:space="preserve"> your God is with you, who brought you up from the land of Egypt.</w:t>
      </w:r>
    </w:p>
    <w:p>
      <w:r>
        <w:rPr>
          <w:b/>
        </w:rPr>
        <w:t xml:space="preserve">2 </w:t>
      </w:r>
      <w:r>
        <w:t xml:space="preserve">And it shall be, when you draw near to the war, then the priest, drawing near, shall speak to the people,</w:t>
      </w:r>
    </w:p>
    <w:p>
      <w:r>
        <w:rPr>
          <w:b/>
        </w:rPr>
        <w:t xml:space="preserve">3 </w:t>
      </w:r>
      <w:r>
        <w:t xml:space="preserve">and he shall say to them, Hear, Israel: you draw near today to war against your enemies. Do not let your heart grow weak</w:t>
      </w:r>
      <w:r>
        <w:rPr>
          <w:rStyle w:val="FootnoteReference"/>
        </w:rPr>
        <w:footnoteReference w:id="3594"/>
      </w:r>
      <w:r>
        <w:t xml:space="preserve">. Do not fear, nor be broken, nor turn aside from before their face,</w:t>
      </w:r>
    </w:p>
    <w:p>
      <w:r>
        <w:rPr>
          <w:b/>
        </w:rPr>
        <w:t xml:space="preserve">4 </w:t>
      </w:r>
      <w:r>
        <w:t xml:space="preserve">because the Lord your God, the one going before with you, will fight together with you against your enemies, to save you.</w:t>
      </w:r>
    </w:p>
    <w:p>
      <w:r>
        <w:rPr>
          <w:b/>
        </w:rPr>
        <w:t xml:space="preserve">5 </w:t>
      </w:r>
      <w:r>
        <w:t xml:space="preserve">And the scribes shall speak to the people, saying, Who is the man who built a new house and did not dedicate it</w:t>
      </w:r>
      <w:r>
        <w:rPr>
          <w:rStyle w:val="FootnoteReference"/>
        </w:rPr>
        <w:footnoteReference w:id="3595"/>
      </w:r>
      <w:r>
        <w:t xml:space="preserve">? Let him go and return to his house, lest he die in the war and another man dedicate it.</w:t>
      </w:r>
    </w:p>
    <w:p>
      <w:r>
        <w:rPr>
          <w:b/>
        </w:rPr>
        <w:t xml:space="preserve">6 </w:t>
      </w:r>
      <w:r>
        <w:t xml:space="preserve">And who is the man who planted a vineyard and did not rejoice from it? Let him go and return to his house, lest he die</w:t>
      </w:r>
      <w:r>
        <w:rPr>
          <w:rStyle w:val="FootnoteReference"/>
        </w:rPr>
        <w:footnoteReference w:id="3596"/>
      </w:r>
      <w:r>
        <w:t xml:space="preserve"> in the war and another man rejoice from it.</w:t>
      </w:r>
    </w:p>
    <w:p>
      <w:r>
        <w:rPr>
          <w:b/>
        </w:rPr>
        <w:t xml:space="preserve">7 </w:t>
      </w:r>
      <w:r>
        <w:t xml:space="preserve">And who is the man who is betrothed to a woman and did not take her? Let him go and return to his house, lest he die</w:t>
      </w:r>
      <w:r>
        <w:rPr>
          <w:rStyle w:val="FootnoteReference"/>
        </w:rPr>
        <w:footnoteReference w:id="3597"/>
      </w:r>
      <w:r>
        <w:t xml:space="preserve"> in the war and another man take her.</w:t>
      </w:r>
    </w:p>
    <w:p>
      <w:r>
        <w:rPr>
          <w:b/>
        </w:rPr>
        <w:t xml:space="preserve">8 </w:t>
      </w:r>
      <w:r>
        <w:t xml:space="preserve">And the scribes shall add to speak to the people and say, Who is the man who is fearful</w:t>
      </w:r>
      <w:r>
        <w:rPr>
          <w:rStyle w:val="FootnoteReference"/>
        </w:rPr>
        <w:footnoteReference w:id="3598"/>
      </w:r>
      <w:r>
        <w:t xml:space="preserve"> and cowardly in heart</w:t>
      </w:r>
      <w:r>
        <w:rPr>
          <w:rStyle w:val="FootnoteReference"/>
        </w:rPr>
        <w:footnoteReference w:id="3599"/>
      </w:r>
      <w:r>
        <w:t xml:space="preserve">? Let him go and return to his house, lest he make his brother's heart cowardly like his own.</w:t>
      </w:r>
    </w:p>
    <w:p>
      <w:r>
        <w:rPr>
          <w:b/>
        </w:rPr>
        <w:t xml:space="preserve">9 </w:t>
      </w:r>
      <w:r>
        <w:t xml:space="preserve">And it shall be, when the scribes finish speaking to the people, then they shall appoint leaders of the army to go before the people.</w:t>
      </w:r>
    </w:p>
    <w:p>
      <w:r>
        <w:rPr>
          <w:b/>
        </w:rPr>
        <w:t xml:space="preserve">10 </w:t>
      </w:r>
      <w:r>
        <w:t xml:space="preserve">And if you draw near to a city to fight against it, then you shall call them with peace.</w:t>
      </w:r>
    </w:p>
    <w:p>
      <w:r>
        <w:rPr>
          <w:b/>
        </w:rPr>
        <w:t xml:space="preserve">11 </w:t>
      </w:r>
      <w:r>
        <w:t xml:space="preserve">And if they answer you peaceably and open to you, then all the people found in it shall be tributary and subject to you.</w:t>
      </w:r>
    </w:p>
    <w:p>
      <w:r>
        <w:rPr>
          <w:b/>
        </w:rPr>
        <w:t xml:space="preserve">12 </w:t>
      </w:r>
      <w:r>
        <w:t xml:space="preserve">And if they do not obey you and make war against you</w:t>
      </w:r>
      <w:r>
        <w:rPr>
          <w:rStyle w:val="FootnoteReference"/>
        </w:rPr>
        <w:footnoteReference w:id="3600"/>
      </w:r>
      <w:r>
        <w:t xml:space="preserve">, then you shall besiege it.</w:t>
      </w:r>
    </w:p>
    <w:p>
      <w:r>
        <w:rPr>
          <w:b/>
        </w:rPr>
        <w:t xml:space="preserve">13 </w:t>
      </w:r>
      <w:r>
        <w:t xml:space="preserve">And the Lord your God will give it into your hands, and you shall strike every male in it with the slaughter of the sword.</w:t>
      </w:r>
    </w:p>
    <w:p>
      <w:r>
        <w:rPr>
          <w:b/>
        </w:rPr>
        <w:t xml:space="preserve">14 </w:t>
      </w:r>
      <w:r>
        <w:t xml:space="preserve">Except the women</w:t>
      </w:r>
      <w:r>
        <w:rPr>
          <w:rStyle w:val="FootnoteReference"/>
        </w:rPr>
        <w:footnoteReference w:id="3601"/>
      </w:r>
      <w:r>
        <w:t xml:space="preserve"> and the supplies and all the cattle and whatever is in the city and all its provisions, you shall plunder for yourself, and you shall eat all the spoil of your enemies that the Lord your God gives you.</w:t>
      </w:r>
      <w:r>
        <w:rPr>
          <w:rStyle w:val="FootnoteReference"/>
        </w:rPr>
        <w:footnoteReference w:id="3602"/>
      </w:r>
    </w:p>
    <w:p>
      <w:r>
        <w:rPr>
          <w:b/>
        </w:rPr>
        <w:t xml:space="preserve">15 </w:t>
      </w:r>
      <w:r>
        <w:t xml:space="preserve">Thus you shall do to all the cities that are very far from you</w:t>
      </w:r>
      <w:r>
        <w:rPr>
          <w:rStyle w:val="FootnoteReference"/>
        </w:rPr>
        <w:footnoteReference w:id="3603"/>
      </w:r>
      <w:r>
        <w:t xml:space="preserve">, which are not from the cities of these nations.</w:t>
      </w:r>
    </w:p>
    <w:p>
      <w:r>
        <w:rPr>
          <w:b/>
        </w:rPr>
        <w:t xml:space="preserve">16 </w:t>
      </w:r>
      <w:r>
        <w:t xml:space="preserve">But from the cities of these nations whose land the Lord your God gives you to inherit, you shall not keep alive from them anything breathing.</w:t>
      </w:r>
    </w:p>
    <w:p>
      <w:r>
        <w:rPr>
          <w:b/>
        </w:rPr>
        <w:t xml:space="preserve">17 </w:t>
      </w:r>
      <w:r>
        <w:t xml:space="preserve">But with a devoted thing you shall devote them, the Hittite and Amorite and Canaanite and Perizzite and Hivite and Jebusite and Gergesite, in the way the Lord your God commanded you,</w:t>
      </w:r>
    </w:p>
    <w:p>
      <w:r>
        <w:rPr>
          <w:b/>
        </w:rPr>
        <w:t xml:space="preserve">18 </w:t>
      </w:r>
      <w:r>
        <w:t xml:space="preserve">so that they may not teach you to do all their abominations that they did to their gods, and you would sin before the Lord your God.</w:t>
      </w:r>
    </w:p>
    <w:p>
      <w:r>
        <w:rPr>
          <w:b/>
        </w:rPr>
        <w:t xml:space="preserve">19 </w:t>
      </w:r>
      <w:r>
        <w:t xml:space="preserve">And if you besiege a city many days to fight against it for its capture, you shall not utterly destroy its trees by putting iron to them. Rather, you may eat from it, but you shall not cut it down, because the tree in the field is not a human</w:t>
      </w:r>
      <w:r>
        <w:rPr>
          <w:rStyle w:val="FootnoteReference"/>
        </w:rPr>
        <w:footnoteReference w:id="3604"/>
      </w:r>
      <w:r>
        <w:t xml:space="preserve"> to enter before your face into siegeworks.</w:t>
      </w:r>
    </w:p>
    <w:p>
      <w:r>
        <w:rPr>
          <w:b/>
        </w:rPr>
        <w:t xml:space="preserve">20 </w:t>
      </w:r>
      <w:r>
        <w:t xml:space="preserve">But a tree that you know is not for eating fruit, this you shall destroy and cut down, and you shall build siegeworks against the city that makes war against you until it is given up.</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if a wounded man is found in the land that the Lord your God gives you to inherit, fallen in the field, and they do not know the one who struck him,</w:t>
      </w:r>
    </w:p>
    <w:p>
      <w:r>
        <w:rPr>
          <w:b/>
        </w:rPr>
        <w:t xml:space="preserve">2 </w:t>
      </w:r>
      <w:r>
        <w:t xml:space="preserve">then your elders and your judges shall come out and measure to the cities around the wounded man.</w:t>
      </w:r>
    </w:p>
    <w:p>
      <w:r>
        <w:rPr>
          <w:b/>
        </w:rPr>
        <w:t xml:space="preserve">3 </w:t>
      </w:r>
      <w:r>
        <w:t xml:space="preserve">And it shall be, the city nearest to the wounded man, the elders of that city shall take a heifer from the herd that has not been worked and has not drawn a yoke,</w:t>
      </w:r>
    </w:p>
    <w:p>
      <w:r>
        <w:rPr>
          <w:b/>
        </w:rPr>
        <w:t xml:space="preserve">4 </w:t>
      </w:r>
      <w:r>
        <w:t xml:space="preserve">and the elders of that city shall bring down the heifer into a rough ravine that has not been worked nor sown, and they shall hamstring the heifer in the ravine.</w:t>
      </w:r>
    </w:p>
    <w:p>
      <w:r>
        <w:rPr>
          <w:b/>
        </w:rPr>
        <w:t xml:space="preserve">5 </w:t>
      </w:r>
      <w:r>
        <w:t xml:space="preserve">And the priests, the Levites, shall come near, because the Lord your God chose them to stand by him and bless in his name, and by their mouth shall be every dispute and every wound.</w:t>
      </w:r>
      <w:r>
        <w:rPr>
          <w:rStyle w:val="FootnoteReference"/>
        </w:rPr>
        <w:footnoteReference w:id="3605"/>
      </w:r>
    </w:p>
    <w:p>
      <w:r>
        <w:rPr>
          <w:b/>
        </w:rPr>
        <w:t xml:space="preserve">6 </w:t>
      </w:r>
      <w:r>
        <w:t xml:space="preserve">And all the elders of that city nearest to the wounded man shall wash their hands</w:t>
      </w:r>
      <w:r>
        <w:rPr>
          <w:rStyle w:val="FootnoteReference"/>
        </w:rPr>
        <w:footnoteReference w:id="3606"/>
      </w:r>
      <w:r>
        <w:t xml:space="preserve"> over the head of the heifer that was hamstrung in the ravine,</w:t>
      </w:r>
    </w:p>
    <w:p>
      <w:r>
        <w:rPr>
          <w:b/>
        </w:rPr>
        <w:t xml:space="preserve">7 </w:t>
      </w:r>
      <w:r>
        <w:t xml:space="preserve">and answering they shall say, Our hands did not pour out this blood, and our eyes did not see.</w:t>
      </w:r>
    </w:p>
    <w:p>
      <w:r>
        <w:rPr>
          <w:b/>
        </w:rPr>
        <w:t xml:space="preserve">8 </w:t>
      </w:r>
      <w:r>
        <w:t xml:space="preserve">Be merciful to your people Israel, whom you redeemed, O Lord, from the land of Egypt, so that innocent blood may not be among your people Israel, and the blood shall be atoned for them.</w:t>
      </w:r>
    </w:p>
    <w:p>
      <w:r>
        <w:rPr>
          <w:b/>
        </w:rPr>
        <w:t xml:space="preserve">9 </w:t>
      </w:r>
      <w:r>
        <w:t xml:space="preserve">And you shall remove innocent blood from among you if you do what is good and pleasing before the Lord your God.</w:t>
      </w:r>
    </w:p>
    <w:p>
      <w:r>
        <w:rPr>
          <w:b/>
        </w:rPr>
        <w:t xml:space="preserve">10 </w:t>
      </w:r>
      <w:r>
        <w:t xml:space="preserve">And if, going out to war against your enemies, the Lord your God gives them into your hands, and you plunder their spoil,</w:t>
      </w:r>
    </w:p>
    <w:p>
      <w:r>
        <w:rPr>
          <w:b/>
        </w:rPr>
        <w:t xml:space="preserve">11 </w:t>
      </w:r>
      <w:r>
        <w:t xml:space="preserve">and you see in the spoil a woman beautiful in appearance and desire</w:t>
      </w:r>
      <w:r>
        <w:rPr>
          <w:rStyle w:val="FootnoteReference"/>
        </w:rPr>
        <w:footnoteReference w:id="3607"/>
      </w:r>
      <w:r>
        <w:t xml:space="preserve"> her and take her for yourself as a wife,</w:t>
      </w:r>
    </w:p>
    <w:p>
      <w:r>
        <w:rPr>
          <w:b/>
        </w:rPr>
        <w:t xml:space="preserve">12 </w:t>
      </w:r>
      <w:r>
        <w:t xml:space="preserve">then you shall bring her inside your house, and she shall</w:t>
      </w:r>
      <w:r>
        <w:rPr>
          <w:rStyle w:val="FootnoteReference"/>
        </w:rPr>
        <w:footnoteReference w:id="3608"/>
      </w:r>
      <w:r>
        <w:t xml:space="preserve"> shave her head and pare her nails</w:t>
      </w:r>
      <w:r>
        <w:rPr>
          <w:rStyle w:val="FootnoteReference"/>
        </w:rPr>
        <w:footnoteReference w:id="3609"/>
      </w:r>
      <w:r>
        <w:t xml:space="preserve">,</w:t>
      </w:r>
    </w:p>
    <w:p>
      <w:r>
        <w:rPr>
          <w:b/>
        </w:rPr>
        <w:t xml:space="preserve">13 </w:t>
      </w:r>
      <w:r>
        <w:t xml:space="preserve">and she shall remove the garments of her captivity</w:t>
      </w:r>
      <w:r>
        <w:rPr>
          <w:rStyle w:val="FootnoteReference"/>
        </w:rPr>
        <w:footnoteReference w:id="3610"/>
      </w:r>
      <w:r>
        <w:t xml:space="preserve"> from herself and sit in your house and mourn her father and her mother a full month, and after these things you shall go in to her and live with her, and she shall be your wife.</w:t>
      </w:r>
    </w:p>
    <w:p>
      <w:r>
        <w:rPr>
          <w:b/>
        </w:rPr>
        <w:t xml:space="preserve">14 </w:t>
      </w:r>
      <w:r>
        <w:t xml:space="preserve">And it shall be, if you do not want her, you shall send her away free, and she shall certainly not be sold for silver. You shall not treat her as nothing, because you humbled her.</w:t>
      </w:r>
    </w:p>
    <w:p>
      <w:r>
        <w:rPr>
          <w:b/>
        </w:rPr>
        <w:t xml:space="preserve">15 </w:t>
      </w:r>
      <w:r>
        <w:t xml:space="preserve">And if a man has two wives</w:t>
      </w:r>
      <w:r>
        <w:rPr>
          <w:rStyle w:val="FootnoteReference"/>
        </w:rPr>
        <w:footnoteReference w:id="3611"/>
      </w:r>
      <w:r>
        <w:t xml:space="preserve">, one loved and one hated, and the loved and the hated bear children to him, and the firstborn son belongs to the hated one,</w:t>
      </w:r>
    </w:p>
    <w:p>
      <w:r>
        <w:rPr>
          <w:b/>
        </w:rPr>
        <w:t xml:space="preserve">16 </w:t>
      </w:r>
      <w:r>
        <w:t xml:space="preserve">then it shall be, on the day he distributes his possessions to his sons, he shall not be able to give firstborn rights to the son of the loved one, overlooking the son of the hated one, the firstborn.</w:t>
      </w:r>
    </w:p>
    <w:p>
      <w:r>
        <w:rPr>
          <w:b/>
        </w:rPr>
        <w:t xml:space="preserve">17 </w:t>
      </w:r>
      <w:r>
        <w:t xml:space="preserve">But he shall acknowledge the firstborn son of the hated one, to give him a double share from everything found with him, because this one is the beginning</w:t>
      </w:r>
      <w:r>
        <w:rPr>
          <w:rStyle w:val="FootnoteReference"/>
        </w:rPr>
        <w:footnoteReference w:id="3612"/>
      </w:r>
      <w:r>
        <w:t xml:space="preserve"> of his children, and to him belong the rights of the firstborn.</w:t>
      </w:r>
    </w:p>
    <w:p>
      <w:r>
        <w:rPr>
          <w:b/>
        </w:rPr>
        <w:t xml:space="preserve">18 </w:t>
      </w:r>
      <w:r>
        <w:t xml:space="preserve">And if a man has a disobedient and provoking son, not obeying the voice of his father and the voice of his mother, and they discipline him and he does not listen to them,</w:t>
      </w:r>
    </w:p>
    <w:p>
      <w:r>
        <w:rPr>
          <w:b/>
        </w:rPr>
        <w:t xml:space="preserve">19 </w:t>
      </w:r>
      <w:r>
        <w:t xml:space="preserve">then his father and his mother, seizing him, shall bring him out to the elders of his city and to the gate of his place,</w:t>
      </w:r>
    </w:p>
    <w:p>
      <w:r>
        <w:rPr>
          <w:b/>
        </w:rPr>
        <w:t xml:space="preserve">20 </w:t>
      </w:r>
      <w:r>
        <w:t xml:space="preserve">and they shall say to the men of their city, This son of ours disobeys and provokes, he does not listen to our voice, he is a glutton</w:t>
      </w:r>
      <w:r>
        <w:rPr>
          <w:rStyle w:val="FootnoteReference"/>
        </w:rPr>
        <w:footnoteReference w:id="3613"/>
      </w:r>
      <w:r>
        <w:t xml:space="preserve"> and a drunkard.</w:t>
      </w:r>
    </w:p>
    <w:p>
      <w:r>
        <w:rPr>
          <w:b/>
        </w:rPr>
        <w:t xml:space="preserve">21 </w:t>
      </w:r>
      <w:r>
        <w:t xml:space="preserve">And the men of his city shall stone him with stones, and he shall die, and you shall destroy the evil one from among you. And the rest, hearing, shall fear.</w:t>
      </w:r>
    </w:p>
    <w:p>
      <w:r>
        <w:rPr>
          <w:b/>
        </w:rPr>
        <w:t xml:space="preserve">22 </w:t>
      </w:r>
      <w:r>
        <w:t xml:space="preserve">And if in someone there is a sin, a judgment of death, and he dies, and you hang him on a tree,</w:t>
      </w:r>
    </w:p>
    <w:p>
      <w:r>
        <w:rPr>
          <w:b/>
        </w:rPr>
        <w:t xml:space="preserve">23 </w:t>
      </w:r>
      <w:r>
        <w:t xml:space="preserve">his body shall not remain overnight on the tree, but burying you shall bury him on that day, because everyone hanging on a tree is cursed by God, and you shall not defile the land that the Lord your God gives you as an inheritance.</w:t>
      </w:r>
      <w:r>
        <w:rPr>
          <w:rStyle w:val="FootnoteReference"/>
        </w:rPr>
        <w:footnoteReference w:id="361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Not seeing your brother's calf or his sheep wandering on the road shall you overlook them. Returning, you shall return them to your brother, and you shall give them back to him.</w:t>
      </w:r>
    </w:p>
    <w:p>
      <w:r>
        <w:rPr>
          <w:b/>
        </w:rPr>
        <w:t xml:space="preserve">2 </w:t>
      </w:r>
      <w:r>
        <w:t xml:space="preserve">And if your brother is not near you, nor do you know him, you shall gather them into your house, and they shall be with you until your brother seeks them</w:t>
      </w:r>
      <w:r>
        <w:rPr>
          <w:rStyle w:val="FootnoteReference"/>
        </w:rPr>
        <w:footnoteReference w:id="3615"/>
      </w:r>
      <w:r>
        <w:t xml:space="preserve">, and you shall give them back to him.</w:t>
      </w:r>
    </w:p>
    <w:p>
      <w:r>
        <w:rPr>
          <w:b/>
        </w:rPr>
        <w:t xml:space="preserve">3 </w:t>
      </w:r>
      <w:r>
        <w:t xml:space="preserve">Thus you shall do with his donkey, and thus you shall do with his garment, and thus you shall do with every loss of your brother, whatever may be lost from him and you find. You shall not be able to overlook it</w:t>
      </w:r>
      <w:r>
        <w:rPr>
          <w:rStyle w:val="FootnoteReference"/>
        </w:rPr>
        <w:footnoteReference w:id="3616"/>
      </w:r>
      <w:r>
        <w:t xml:space="preserve">.</w:t>
      </w:r>
    </w:p>
    <w:p>
      <w:r>
        <w:rPr>
          <w:b/>
        </w:rPr>
        <w:t xml:space="preserve">4 </w:t>
      </w:r>
      <w:r>
        <w:t xml:space="preserve">You shall not see your brother's donkey or his calf fallen on the road and overlook them. Raising, you shall raise them with him.</w:t>
      </w:r>
    </w:p>
    <w:p>
      <w:r>
        <w:rPr>
          <w:b/>
        </w:rPr>
        <w:t xml:space="preserve">5 </w:t>
      </w:r>
      <w:r>
        <w:t xml:space="preserve">There shall not be a man's gear on a woman, nor shall a man put on a woman's clothing, because everyone doing these things is an abomination</w:t>
      </w:r>
      <w:r>
        <w:rPr>
          <w:rStyle w:val="FootnoteReference"/>
        </w:rPr>
        <w:footnoteReference w:id="3617"/>
      </w:r>
      <w:r>
        <w:t xml:space="preserve"> to the Lord your God.</w:t>
      </w:r>
    </w:p>
    <w:p>
      <w:r>
        <w:rPr>
          <w:b/>
        </w:rPr>
        <w:t xml:space="preserve">6 </w:t>
      </w:r>
      <w:r>
        <w:t xml:space="preserve">And if a brood of birds</w:t>
      </w:r>
      <w:r>
        <w:rPr>
          <w:rStyle w:val="FootnoteReference"/>
        </w:rPr>
        <w:footnoteReference w:id="3618"/>
      </w:r>
      <w:r>
        <w:t xml:space="preserve"> meets you on the road, or on any tree or on the ground, with chicks or eggs and the mother warming over the chicks or over the eggs, you shall not take the mother with the children.</w:t>
      </w:r>
    </w:p>
    <w:p>
      <w:r>
        <w:rPr>
          <w:b/>
        </w:rPr>
        <w:t xml:space="preserve">7 </w:t>
      </w:r>
      <w:r>
        <w:t xml:space="preserve">Sending, you shall send away the mother, but the young you shall take for yourself, so that it may</w:t>
      </w:r>
      <w:r>
        <w:rPr>
          <w:rStyle w:val="FootnoteReference"/>
        </w:rPr>
        <w:footnoteReference w:id="3619"/>
      </w:r>
      <w:r>
        <w:t xml:space="preserve"> be well with you and you may be long-lived.</w:t>
      </w:r>
    </w:p>
    <w:p>
      <w:r>
        <w:rPr>
          <w:b/>
        </w:rPr>
        <w:t xml:space="preserve">8 </w:t>
      </w:r>
      <w:r>
        <w:t xml:space="preserve">And if you build a new house, you shall make a parapet for your roof, and you shall not make bloodguilt in your house if the one falling falls from it.</w:t>
      </w:r>
    </w:p>
    <w:p>
      <w:r>
        <w:rPr>
          <w:b/>
        </w:rPr>
        <w:t xml:space="preserve">9 </w:t>
      </w:r>
      <w:r>
        <w:t xml:space="preserve">You shall not sow your vineyard with diversity, lest the produce and the seed that you sow with the produce of your vineyard be made holy.</w:t>
      </w:r>
    </w:p>
    <w:p>
      <w:r>
        <w:rPr>
          <w:b/>
        </w:rPr>
        <w:t xml:space="preserve">10 </w:t>
      </w:r>
      <w:r>
        <w:t xml:space="preserve">You shall not plow with calf and donkey together.</w:t>
      </w:r>
    </w:p>
    <w:p>
      <w:r>
        <w:rPr>
          <w:b/>
        </w:rPr>
        <w:t xml:space="preserve">11 </w:t>
      </w:r>
      <w:r>
        <w:t xml:space="preserve">You shall not wear mixed fabric, wool and linen together.</w:t>
      </w:r>
    </w:p>
    <w:p>
      <w:r>
        <w:rPr>
          <w:b/>
        </w:rPr>
        <w:t xml:space="preserve">12 </w:t>
      </w:r>
      <w:r>
        <w:t xml:space="preserve">You shall make twisted threads for yourself on the four corners of your cloaks with which you clothe yourself.</w:t>
      </w:r>
    </w:p>
    <w:p>
      <w:r>
        <w:rPr>
          <w:b/>
        </w:rPr>
        <w:t xml:space="preserve">13 </w:t>
      </w:r>
      <w:r>
        <w:t xml:space="preserve">And if a man takes a wife and lives with her and then hates her,</w:t>
      </w:r>
    </w:p>
    <w:p>
      <w:r>
        <w:rPr>
          <w:b/>
        </w:rPr>
        <w:t xml:space="preserve">14 </w:t>
      </w:r>
      <w:r>
        <w:t xml:space="preserve">and places pretextual words against her and brings an evil name upon her and says, I took this woman, and after going in to her I did not find her virginity,</w:t>
      </w:r>
    </w:p>
    <w:p>
      <w:r>
        <w:rPr>
          <w:b/>
        </w:rPr>
        <w:t xml:space="preserve">15 </w:t>
      </w:r>
      <w:r>
        <w:t xml:space="preserve">then, taking the tokens of the girl's virginity, the father of the girl and the mother shall bring them out to the elders at the gate,</w:t>
      </w:r>
    </w:p>
    <w:p>
      <w:r>
        <w:rPr>
          <w:b/>
        </w:rPr>
        <w:t xml:space="preserve">16 </w:t>
      </w:r>
      <w:r>
        <w:t xml:space="preserve">and the father of the girl shall say to the elders, I gave this daughter of mine to this man as a wife, and, having hated her,</w:t>
      </w:r>
    </w:p>
    <w:p>
      <w:r>
        <w:rPr>
          <w:b/>
        </w:rPr>
        <w:t xml:space="preserve">17 </w:t>
      </w:r>
      <w:r>
        <w:t xml:space="preserve">he now places pretextual words</w:t>
      </w:r>
      <w:r>
        <w:rPr>
          <w:rStyle w:val="FootnoteReference"/>
        </w:rPr>
        <w:footnoteReference w:id="3620"/>
      </w:r>
      <w:r>
        <w:t xml:space="preserve"> against her, saying, I did not find virginity for your daughter. And these are the girl's virginity. And they shall spread out the garment before the elders of the city.</w:t>
      </w:r>
    </w:p>
    <w:p>
      <w:r>
        <w:rPr>
          <w:b/>
        </w:rPr>
        <w:t xml:space="preserve">18 </w:t>
      </w:r>
      <w:r>
        <w:t xml:space="preserve">And the elders of that city shall take that man and discipline him,</w:t>
      </w:r>
    </w:p>
    <w:p>
      <w:r>
        <w:rPr>
          <w:b/>
        </w:rPr>
        <w:t xml:space="preserve">19 </w:t>
      </w:r>
      <w:r>
        <w:t xml:space="preserve">and they shall fine him one hundred shekels and give them to the father of the young woman, because he brought an evil name upon a virgin of Israel, and she shall be his wife. He shall not be able to send her away all his time</w:t>
      </w:r>
      <w:r>
        <w:rPr>
          <w:rStyle w:val="FootnoteReference"/>
        </w:rPr>
        <w:footnoteReference w:id="3621"/>
      </w:r>
      <w:r>
        <w:t xml:space="preserve">.</w:t>
      </w:r>
      <w:r>
        <w:rPr>
          <w:rStyle w:val="FootnoteReference"/>
        </w:rPr>
        <w:footnoteReference w:id="3622"/>
      </w:r>
    </w:p>
    <w:p>
      <w:r>
        <w:rPr>
          <w:b/>
        </w:rPr>
        <w:t xml:space="preserve">20 </w:t>
      </w:r>
      <w:r>
        <w:t xml:space="preserve">But if this matter truly happened and virginity was not found for the young woman,</w:t>
      </w:r>
    </w:p>
    <w:p>
      <w:r>
        <w:rPr>
          <w:b/>
        </w:rPr>
        <w:t xml:space="preserve">21 </w:t>
      </w:r>
      <w:r>
        <w:t xml:space="preserve">then they shall bring the young woman out to the doors of her father's house, and the men of her city shall stone her</w:t>
      </w:r>
      <w:r>
        <w:rPr>
          <w:rStyle w:val="FootnoteReference"/>
        </w:rPr>
        <w:footnoteReference w:id="3623"/>
      </w:r>
      <w:r>
        <w:t xml:space="preserve"> with stones, and she shall die, because she did folly among the sons of Israel, prostituting herself in her father's house. And you shall destroy the evil one from among you.</w:t>
      </w:r>
      <w:r>
        <w:rPr>
          <w:rStyle w:val="FootnoteReference"/>
        </w:rPr>
        <w:footnoteReference w:id="3624"/>
      </w:r>
    </w:p>
    <w:p>
      <w:r>
        <w:rPr>
          <w:b/>
        </w:rPr>
        <w:t xml:space="preserve">22 </w:t>
      </w:r>
      <w:r>
        <w:t xml:space="preserve">And if a man is found lying with a woman living with a husband, you shall kill them both, the man lying with the woman and the woman, and you shall destroy the evil one from Israel.</w:t>
      </w:r>
    </w:p>
    <w:p>
      <w:r>
        <w:rPr>
          <w:b/>
        </w:rPr>
        <w:t xml:space="preserve">23 </w:t>
      </w:r>
      <w:r>
        <w:t xml:space="preserve">And if there is a virgin girl betrothed to a man, and a man finding her in the city lies with her,</w:t>
      </w:r>
    </w:p>
    <w:p>
      <w:r>
        <w:rPr>
          <w:b/>
        </w:rPr>
        <w:t xml:space="preserve">24 </w:t>
      </w:r>
      <w:r>
        <w:t xml:space="preserve">you shall bring them both out to the gate of their city, and they shall be stoned with stones and die, the young woman because she did not cry out in the city, and the man because he humbled his neighbor's wife</w:t>
      </w:r>
      <w:r>
        <w:rPr>
          <w:rStyle w:val="FootnoteReference"/>
        </w:rPr>
        <w:footnoteReference w:id="3625"/>
      </w:r>
      <w:r>
        <w:t xml:space="preserve">. And you shall destroy the evil one from among you.</w:t>
      </w:r>
    </w:p>
    <w:p>
      <w:r>
        <w:rPr>
          <w:b/>
        </w:rPr>
        <w:t xml:space="preserve">25 </w:t>
      </w:r>
      <w:r>
        <w:t xml:space="preserve">But if a man finds the betrothed girl in the field and, forcing her, lies with her, you shall kill only the man lying with her.</w:t>
      </w:r>
    </w:p>
    <w:p>
      <w:r>
        <w:rPr>
          <w:b/>
        </w:rPr>
        <w:t xml:space="preserve">26 </w:t>
      </w:r>
      <w:r>
        <w:t xml:space="preserve">And to the young woman you shall do nothing. The young woman has no sin worthy of death</w:t>
      </w:r>
      <w:r>
        <w:rPr>
          <w:rStyle w:val="FootnoteReference"/>
        </w:rPr>
        <w:footnoteReference w:id="3626"/>
      </w:r>
      <w:r>
        <w:t xml:space="preserve">, because as when a man rises against his neighbor and murders his life, so is this matter,</w:t>
      </w:r>
      <w:r>
        <w:rPr>
          <w:rStyle w:val="FootnoteReference"/>
        </w:rPr>
        <w:footnoteReference w:id="3627"/>
      </w:r>
    </w:p>
    <w:p>
      <w:r>
        <w:rPr>
          <w:b/>
        </w:rPr>
        <w:t xml:space="preserve">27 </w:t>
      </w:r>
      <w:r>
        <w:t xml:space="preserve">because he found her in the field. The betrothed young woman cried</w:t>
      </w:r>
      <w:r>
        <w:rPr>
          <w:rStyle w:val="FootnoteReference"/>
        </w:rPr>
        <w:footnoteReference w:id="3628"/>
      </w:r>
      <w:r>
        <w:t xml:space="preserve"> out, and there was no one to help her.</w:t>
      </w:r>
    </w:p>
    <w:p>
      <w:r>
        <w:rPr>
          <w:b/>
        </w:rPr>
        <w:t xml:space="preserve">28 </w:t>
      </w:r>
      <w:r>
        <w:t xml:space="preserve">And if a man finds the virgin girl who is not betrothed and, forcing her, lies with her and they are found,</w:t>
      </w:r>
    </w:p>
    <w:p>
      <w:r>
        <w:rPr>
          <w:b/>
        </w:rPr>
        <w:t xml:space="preserve">29 </w:t>
      </w:r>
      <w:r>
        <w:t xml:space="preserve">then the man lying with her shall give the father of the young woman fifty silver didrachmas, and she shall be his wife, because he humbled her. He shall not be able to send her away all his time.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 man shall not take his father's wife, and he shall not uncover his father's covering.</w:t>
      </w:r>
    </w:p>
    <w:p>
      <w:r>
        <w:rPr>
          <w:b/>
        </w:rPr>
        <w:t xml:space="preserve">2 </w:t>
      </w:r>
      <w:r>
        <w:t xml:space="preserve">One crushed in the testicles and one cut off shall not enter into the assembly of the Lord.</w:t>
      </w:r>
    </w:p>
    <w:p>
      <w:r>
        <w:rPr>
          <w:b/>
        </w:rPr>
        <w:t xml:space="preserve">3 </w:t>
      </w:r>
      <w:r>
        <w:t xml:space="preserve">One from a prostitute shall not enter into the assembly of the Lord.</w:t>
      </w:r>
    </w:p>
    <w:p>
      <w:r>
        <w:rPr>
          <w:b/>
        </w:rPr>
        <w:t xml:space="preserve">4 </w:t>
      </w:r>
      <w:r>
        <w:t xml:space="preserve">An Ammonite</w:t>
      </w:r>
      <w:r>
        <w:rPr>
          <w:rStyle w:val="FootnoteReference"/>
        </w:rPr>
        <w:footnoteReference w:id="3629"/>
      </w:r>
      <w:r>
        <w:t xml:space="preserve"> and a Moabite</w:t>
      </w:r>
      <w:r>
        <w:rPr>
          <w:rStyle w:val="FootnoteReference"/>
        </w:rPr>
        <w:footnoteReference w:id="3630"/>
      </w:r>
      <w:r>
        <w:t xml:space="preserve"> shall not enter into the assembly of the Lord</w:t>
      </w:r>
      <w:r>
        <w:rPr>
          <w:rStyle w:val="FootnoteReference"/>
        </w:rPr>
        <w:footnoteReference w:id="3631"/>
      </w:r>
      <w:r>
        <w:t xml:space="preserve">, and even to the tenth generation he shall not enter into the assembly of the Lord, even forever,</w:t>
      </w:r>
    </w:p>
    <w:p>
      <w:r>
        <w:rPr>
          <w:b/>
        </w:rPr>
        <w:t xml:space="preserve">5 </w:t>
      </w:r>
      <w:r>
        <w:t xml:space="preserve">because they did not meet you with bread and water on the road when you came out from Egypt, and because they hired against you Balaam son of Beor from Mesopotamia to curse you.</w:t>
      </w:r>
    </w:p>
    <w:p>
      <w:r>
        <w:rPr>
          <w:b/>
        </w:rPr>
        <w:t xml:space="preserve">6 </w:t>
      </w:r>
      <w:r>
        <w:t xml:space="preserve">And the Lord your God was not willing to listen to Balaam, and the Lord your God turned the curses into blessing, because the Lord your God loved you.</w:t>
      </w:r>
      <w:r>
        <w:rPr>
          <w:rStyle w:val="FootnoteReference"/>
        </w:rPr>
        <w:footnoteReference w:id="3632"/>
      </w:r>
    </w:p>
    <w:p>
      <w:r>
        <w:rPr>
          <w:b/>
        </w:rPr>
        <w:t xml:space="preserve">7 </w:t>
      </w:r>
      <w:r>
        <w:t xml:space="preserve">You shall not greet them with peace, nor seek what benefits them, all your days forever.</w:t>
      </w:r>
    </w:p>
    <w:p>
      <w:r>
        <w:rPr>
          <w:b/>
        </w:rPr>
        <w:t xml:space="preserve">8 </w:t>
      </w:r>
      <w:r>
        <w:t xml:space="preserve">You shall not abhor an Edomite</w:t>
      </w:r>
      <w:r>
        <w:rPr>
          <w:rStyle w:val="FootnoteReference"/>
        </w:rPr>
        <w:footnoteReference w:id="3633"/>
      </w:r>
      <w:r>
        <w:t xml:space="preserve">, because he is your brother. You shall not abhor an Egyptian, because you became a resident in his land.</w:t>
      </w:r>
      <w:r>
        <w:rPr>
          <w:rStyle w:val="FootnoteReference"/>
        </w:rPr>
        <w:footnoteReference w:id="3634"/>
      </w:r>
    </w:p>
    <w:p>
      <w:r>
        <w:rPr>
          <w:b/>
        </w:rPr>
        <w:t xml:space="preserve">9 </w:t>
      </w:r>
      <w:r>
        <w:t xml:space="preserve">If sons are born to them, the third generation shall enter into the assembly of the Lord.</w:t>
      </w:r>
    </w:p>
    <w:p>
      <w:r>
        <w:rPr>
          <w:b/>
        </w:rPr>
        <w:t xml:space="preserve">10 </w:t>
      </w:r>
      <w:r>
        <w:t xml:space="preserve">And if you go out to encamp against your enemies, you shall keep yourself from every evil word</w:t>
      </w:r>
      <w:r>
        <w:rPr>
          <w:rStyle w:val="FootnoteReference"/>
        </w:rPr>
        <w:footnoteReference w:id="3635"/>
      </w:r>
      <w:r>
        <w:t xml:space="preserve">.</w:t>
      </w:r>
    </w:p>
    <w:p>
      <w:r>
        <w:rPr>
          <w:b/>
        </w:rPr>
        <w:t xml:space="preserve">11 </w:t>
      </w:r>
      <w:r>
        <w:t xml:space="preserve">And if there is in you a man who is not clean from his night-flow, then he shall go outside the camp and shall not enter into the camp.</w:t>
      </w:r>
    </w:p>
    <w:p>
      <w:r>
        <w:rPr>
          <w:b/>
        </w:rPr>
        <w:t xml:space="preserve">12 </w:t>
      </w:r>
      <w:r>
        <w:t xml:space="preserve">And it shall be toward evening, he shall wash his body with water, and when the sun has set he shall enter into the camp.</w:t>
      </w:r>
    </w:p>
    <w:p>
      <w:r>
        <w:rPr>
          <w:b/>
        </w:rPr>
        <w:t xml:space="preserve">13 </w:t>
      </w:r>
      <w:r>
        <w:t xml:space="preserve">And a place shall be for you</w:t>
      </w:r>
      <w:r>
        <w:rPr>
          <w:rStyle w:val="FootnoteReference"/>
        </w:rPr>
        <w:footnoteReference w:id="3636"/>
      </w:r>
      <w:r>
        <w:t xml:space="preserve"> outside the camp, and you shall go out there,</w:t>
      </w:r>
    </w:p>
    <w:p>
      <w:r>
        <w:rPr>
          <w:b/>
        </w:rPr>
        <w:t xml:space="preserve">14 </w:t>
      </w:r>
      <w:r>
        <w:t xml:space="preserve">and a peg shall be for you on your belt</w:t>
      </w:r>
      <w:r>
        <w:rPr>
          <w:rStyle w:val="FootnoteReference"/>
        </w:rPr>
        <w:footnoteReference w:id="3637"/>
      </w:r>
      <w:r>
        <w:t xml:space="preserve">, and it shall be, when you sit outside, then you shall dig with it and, turning back, you shall cover your indecency with it.</w:t>
      </w:r>
    </w:p>
    <w:p>
      <w:r>
        <w:rPr>
          <w:b/>
        </w:rPr>
        <w:t xml:space="preserve">15 </w:t>
      </w:r>
      <w:r>
        <w:t xml:space="preserve">Because the Lord your God walks about in your camp</w:t>
      </w:r>
      <w:r>
        <w:rPr>
          <w:rStyle w:val="FootnoteReference"/>
        </w:rPr>
        <w:footnoteReference w:id="3638"/>
      </w:r>
      <w:r>
        <w:t xml:space="preserve"> to deliver you and hand over your enemy before your face, and your camp shall be holy, and indecency of a matter shall not be seen in you, and he shall turn away from you.</w:t>
      </w:r>
    </w:p>
    <w:p>
      <w:r>
        <w:rPr>
          <w:b/>
        </w:rPr>
        <w:t xml:space="preserve">16 </w:t>
      </w:r>
      <w:r>
        <w:t xml:space="preserve">You shall not hand over a servant to his master who has been added to you</w:t>
      </w:r>
      <w:r>
        <w:rPr>
          <w:rStyle w:val="FootnoteReference"/>
        </w:rPr>
        <w:footnoteReference w:id="3639"/>
      </w:r>
      <w:r>
        <w:t xml:space="preserve"> from his master.</w:t>
      </w:r>
    </w:p>
    <w:p>
      <w:r>
        <w:rPr>
          <w:b/>
        </w:rPr>
        <w:t xml:space="preserve">17 </w:t>
      </w:r>
      <w:r>
        <w:t xml:space="preserve">With you he shall dwell, among you he shall dwell, in every place that pleases him</w:t>
      </w:r>
      <w:r>
        <w:rPr>
          <w:rStyle w:val="FootnoteReference"/>
        </w:rPr>
        <w:footnoteReference w:id="3640"/>
      </w:r>
      <w:r>
        <w:t xml:space="preserve">. You shall not afflict him.</w:t>
      </w:r>
    </w:p>
    <w:p>
      <w:r>
        <w:rPr>
          <w:b/>
        </w:rPr>
        <w:t xml:space="preserve">18 </w:t>
      </w:r>
      <w:r>
        <w:t xml:space="preserve">There shall not be a prostitute from the daughters of Israel, and there shall not be one prostituting himself from the sons of Israel. There shall not be a consecrated woman from the daughters of Israel, and there shall not be a consecrated man from the sons of Israel.</w:t>
      </w:r>
    </w:p>
    <w:p>
      <w:r>
        <w:rPr>
          <w:b/>
        </w:rPr>
        <w:t xml:space="preserve">19 </w:t>
      </w:r>
      <w:r>
        <w:t xml:space="preserve">You shall not bring the wages of a prostitute nor the price of a dog into the house of the Lord your God for any vow, because both are an abomination to the Lord your God.</w:t>
      </w:r>
      <w:r>
        <w:rPr>
          <w:rStyle w:val="FootnoteReference"/>
        </w:rPr>
        <w:footnoteReference w:id="3641"/>
      </w:r>
    </w:p>
    <w:p>
      <w:r>
        <w:rPr>
          <w:b/>
        </w:rPr>
        <w:t xml:space="preserve">20 </w:t>
      </w:r>
      <w:r>
        <w:t xml:space="preserve">You shall not lend at interest to your brother, interest of silver and interest of food</w:t>
      </w:r>
      <w:r>
        <w:rPr>
          <w:rStyle w:val="FootnoteReference"/>
        </w:rPr>
        <w:footnoteReference w:id="3642"/>
      </w:r>
      <w:r>
        <w:t xml:space="preserve"> and interest of anything that you lend.</w:t>
      </w:r>
    </w:p>
    <w:p>
      <w:r>
        <w:rPr>
          <w:b/>
        </w:rPr>
        <w:t xml:space="preserve">21 </w:t>
      </w:r>
      <w:r>
        <w:t xml:space="preserve">To the foreigner you shall lend at interest, but to your brother you shall not lend at interest, so that the Lord your God may bless you in all your works on the land into which you are entering there to inherit it.</w:t>
      </w:r>
    </w:p>
    <w:p>
      <w:r>
        <w:rPr>
          <w:b/>
        </w:rPr>
        <w:t xml:space="preserve">22 </w:t>
      </w:r>
      <w:r>
        <w:t xml:space="preserve">And if you vow a vow to the Lord your God, you shall not delay paying it, because in requiring the Lord your God will require it from you, and there will be sin in you.</w:t>
      </w:r>
    </w:p>
    <w:p>
      <w:r>
        <w:rPr>
          <w:b/>
        </w:rPr>
        <w:t xml:space="preserve">23 </w:t>
      </w:r>
      <w:r>
        <w:t xml:space="preserve">And if you do not wish to vow, there is no sin in you</w:t>
      </w:r>
      <w:r>
        <w:rPr>
          <w:rStyle w:val="FootnoteReference"/>
        </w:rPr>
        <w:footnoteReference w:id="3643"/>
      </w:r>
      <w:r>
        <w:t xml:space="preserve">.</w:t>
      </w:r>
    </w:p>
    <w:p>
      <w:r>
        <w:rPr>
          <w:b/>
        </w:rPr>
        <w:t xml:space="preserve">24 </w:t>
      </w:r>
      <w:r>
        <w:t xml:space="preserve">What goes out through your lips you shall keep and do, in the way you vowed to the Lord your God, the gift that you spoke with your mouth.</w:t>
      </w:r>
      <w:r>
        <w:rPr>
          <w:rStyle w:val="FootnoteReference"/>
        </w:rPr>
        <w:footnoteReference w:id="3644"/>
      </w:r>
    </w:p>
    <w:p>
      <w:r>
        <w:rPr>
          <w:b/>
        </w:rPr>
        <w:t xml:space="preserve">25 </w:t>
      </w:r>
      <w:r>
        <w:t xml:space="preserve">And if you enter into your neighbor's standing grain, then you may gather ears with your hands, but you shall certainly not put a sickle to your neighbor's standing grain.</w:t>
      </w:r>
      <w:r>
        <w:rPr>
          <w:rStyle w:val="FootnoteReference"/>
        </w:rPr>
        <w:footnoteReference w:id="3645"/>
      </w:r>
    </w:p>
    <w:p>
      <w:r>
        <w:rPr>
          <w:b/>
        </w:rPr>
        <w:t xml:space="preserve">26 </w:t>
      </w:r>
      <w:r>
        <w:t xml:space="preserve">And if you enter into your neighbor's vineyard, you may eat grapes as much as your soul desires to be filled, but you shall not put any into a vessel.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if a man takes a wife and lives with her, and it happens that she does not find favor before him because he found in her a shameful matter, then he shall write for her a document of divorce</w:t>
      </w:r>
      <w:r>
        <w:rPr>
          <w:rStyle w:val="FootnoteReference"/>
        </w:rPr>
        <w:footnoteReference w:id="3646"/>
      </w:r>
      <w:r>
        <w:t xml:space="preserve"> and give it into her hands and send her</w:t>
      </w:r>
      <w:r>
        <w:rPr>
          <w:rStyle w:val="FootnoteReference"/>
        </w:rPr>
        <w:footnoteReference w:id="3647"/>
      </w:r>
      <w:r>
        <w:t xml:space="preserve"> out from his house.</w:t>
      </w:r>
    </w:p>
    <w:p>
      <w:r>
        <w:rPr>
          <w:b/>
        </w:rPr>
        <w:t xml:space="preserve">2 </w:t>
      </w:r>
      <w:r>
        <w:t xml:space="preserve">And after going out she becomes another man's wife,</w:t>
      </w:r>
    </w:p>
    <w:p>
      <w:r>
        <w:rPr>
          <w:b/>
        </w:rPr>
        <w:t xml:space="preserve">3 </w:t>
      </w:r>
      <w:r>
        <w:t xml:space="preserve">and the later man hates her and writes for her a document of divorce</w:t>
      </w:r>
      <w:r>
        <w:rPr>
          <w:rStyle w:val="FootnoteReference"/>
        </w:rPr>
        <w:footnoteReference w:id="3648"/>
      </w:r>
      <w:r>
        <w:t xml:space="preserve"> and gives it into her hands and sends her out from his house, or the later man dies who took her to himself as a wife,</w:t>
      </w:r>
    </w:p>
    <w:p>
      <w:r>
        <w:rPr>
          <w:b/>
        </w:rPr>
        <w:t xml:space="preserve">4 </w:t>
      </w:r>
      <w:r>
        <w:t xml:space="preserve">then the former man who sent her away shall not be able, after turning back</w:t>
      </w:r>
      <w:r>
        <w:rPr>
          <w:rStyle w:val="FootnoteReference"/>
        </w:rPr>
        <w:footnoteReference w:id="3649"/>
      </w:r>
      <w:r>
        <w:t xml:space="preserve">, to take her to himself as a wife after she has been defiled, because it is an abomination before the Lord your God, and you shall not defile the land that the Lord your God gives you as an inheritance.</w:t>
      </w:r>
    </w:p>
    <w:p>
      <w:r>
        <w:rPr>
          <w:b/>
        </w:rPr>
        <w:t xml:space="preserve">5 </w:t>
      </w:r>
      <w:r>
        <w:t xml:space="preserve">And if a man</w:t>
      </w:r>
      <w:r>
        <w:rPr>
          <w:rStyle w:val="FootnoteReference"/>
        </w:rPr>
        <w:footnoteReference w:id="3650"/>
      </w:r>
      <w:r>
        <w:t xml:space="preserve"> has recently taken a wife, he shall not go out to war, and no matter shall be laid upon him. He shall be innocent in his house one year, and he shall cheer his wife whom he took.</w:t>
      </w:r>
    </w:p>
    <w:p>
      <w:r>
        <w:rPr>
          <w:b/>
        </w:rPr>
        <w:t xml:space="preserve">6 </w:t>
      </w:r>
      <w:r>
        <w:t xml:space="preserve">You shall not take a mill or upper millstone as a pledge, because this one takes life</w:t>
      </w:r>
      <w:r>
        <w:rPr>
          <w:rStyle w:val="FootnoteReference"/>
        </w:rPr>
        <w:footnoteReference w:id="3651"/>
      </w:r>
      <w:r>
        <w:t xml:space="preserve"> as a pledge.</w:t>
      </w:r>
    </w:p>
    <w:p>
      <w:r>
        <w:rPr>
          <w:b/>
        </w:rPr>
        <w:t xml:space="preserve">7 </w:t>
      </w:r>
      <w:r>
        <w:t xml:space="preserve">And if a man is caught stealing a life from his brothers, from the sons of Israel, and after oppressing him he sells him, that thief shall die, and you shall destroy the evil one from among you.</w:t>
      </w:r>
    </w:p>
    <w:p>
      <w:r>
        <w:rPr>
          <w:b/>
        </w:rPr>
        <w:t xml:space="preserve">8 </w:t>
      </w:r>
      <w:r>
        <w:t xml:space="preserve">Watch yourself in the matter of leprosy, to keep very carefully to do according to all the law that the Levitical priests report to you. In the way I commanded you, keep to do.</w:t>
      </w:r>
    </w:p>
    <w:p>
      <w:r>
        <w:rPr>
          <w:b/>
        </w:rPr>
        <w:t xml:space="preserve">9 </w:t>
      </w:r>
      <w:r>
        <w:t xml:space="preserve">Remember</w:t>
      </w:r>
      <w:r>
        <w:rPr>
          <w:rStyle w:val="FootnoteReference"/>
        </w:rPr>
        <w:footnoteReference w:id="3652"/>
      </w:r>
      <w:r>
        <w:t xml:space="preserve"> what the Lord your God did to Miriam on the road when you came out from Egypt.</w:t>
      </w:r>
    </w:p>
    <w:p>
      <w:r>
        <w:rPr>
          <w:b/>
        </w:rPr>
        <w:t xml:space="preserve">10 </w:t>
      </w:r>
      <w:r>
        <w:t xml:space="preserve">And if some debt is in your neighbor, any debt whatever, you shall not enter into his house to take the pledge as a pledge.</w:t>
      </w:r>
    </w:p>
    <w:p>
      <w:r>
        <w:rPr>
          <w:b/>
        </w:rPr>
        <w:t xml:space="preserve">11 </w:t>
      </w:r>
      <w:r>
        <w:t xml:space="preserve">You shall stand outside, and the man in whom your loan is shall bring the pledge out to you.</w:t>
      </w:r>
    </w:p>
    <w:p>
      <w:r>
        <w:rPr>
          <w:b/>
        </w:rPr>
        <w:t xml:space="preserve">12 </w:t>
      </w:r>
      <w:r>
        <w:t xml:space="preserve">And if the man is poor, you shall not sleep in his pledge.</w:t>
      </w:r>
    </w:p>
    <w:p>
      <w:r>
        <w:rPr>
          <w:b/>
        </w:rPr>
        <w:t xml:space="preserve">13 </w:t>
      </w:r>
      <w:r>
        <w:t xml:space="preserve">Returning, you shall return his pledge around the setting of the sun</w:t>
      </w:r>
      <w:r>
        <w:rPr>
          <w:rStyle w:val="FootnoteReference"/>
        </w:rPr>
        <w:footnoteReference w:id="3653"/>
      </w:r>
      <w:r>
        <w:t xml:space="preserve">, and he shall sleep in his garment and bless you, and it shall be righteousness for you before the Lord your God.</w:t>
      </w:r>
    </w:p>
    <w:p>
      <w:r>
        <w:rPr>
          <w:b/>
        </w:rPr>
        <w:t xml:space="preserve">14 </w:t>
      </w:r>
      <w:r>
        <w:t xml:space="preserve">You shall not do injustice to the wages of the poor and needy, whether from your brothers or from the proselytes in your cities.</w:t>
      </w:r>
    </w:p>
    <w:p>
      <w:r>
        <w:rPr>
          <w:b/>
        </w:rPr>
        <w:t xml:space="preserve">15 </w:t>
      </w:r>
      <w:r>
        <w:t xml:space="preserve">On the same day you shall give his wages. The sun shall not set on it, because he is poor and has his hope in it, and he shall not cry out against you to the Lord, and it will be sin in you.</w:t>
      </w:r>
    </w:p>
    <w:p>
      <w:r>
        <w:rPr>
          <w:b/>
        </w:rPr>
        <w:t xml:space="preserve">16 </w:t>
      </w:r>
      <w:r>
        <w:t xml:space="preserve">Fathers shall not die for children, and sons shall not die for fathers. Each one shall die in his own sin.</w:t>
      </w:r>
    </w:p>
    <w:p>
      <w:r>
        <w:rPr>
          <w:b/>
        </w:rPr>
        <w:t xml:space="preserve">17 </w:t>
      </w:r>
      <w:r>
        <w:t xml:space="preserve">You shall not turn aside the judgment of a proselyte and orphan and widow, and you shall not take a widow's garment as a pledge.</w:t>
      </w:r>
    </w:p>
    <w:p>
      <w:r>
        <w:rPr>
          <w:b/>
        </w:rPr>
        <w:t xml:space="preserve">18 </w:t>
      </w:r>
      <w:r>
        <w:t xml:space="preserve">And you shall remember that you were a servant in the land of Egypt, and the Lord your God redeemed you from there. Because of this I command you to do this word.</w:t>
      </w:r>
    </w:p>
    <w:p>
      <w:r>
        <w:rPr>
          <w:b/>
        </w:rPr>
        <w:t xml:space="preserve">19 </w:t>
      </w:r>
      <w:r>
        <w:t xml:space="preserve">And if you reap a harvest in your field and forget a sheaf in the field, you shall not turn back to take it. It shall be</w:t>
      </w:r>
      <w:r>
        <w:rPr>
          <w:rStyle w:val="FootnoteReference"/>
        </w:rPr>
        <w:footnoteReference w:id="3654"/>
      </w:r>
      <w:r>
        <w:t xml:space="preserve"> for the poor and the proselyte and the orphan and the widow, so that the Lord your God may bless you in all the works of your hands.</w:t>
      </w:r>
      <w:r>
        <w:rPr>
          <w:rStyle w:val="FootnoteReference"/>
        </w:rPr>
        <w:footnoteReference w:id="3655"/>
      </w:r>
    </w:p>
    <w:p>
      <w:r>
        <w:rPr>
          <w:b/>
        </w:rPr>
        <w:t xml:space="preserve">20 </w:t>
      </w:r>
      <w:r>
        <w:t xml:space="preserve">And if you gather your olives, you shall not go back to gather what is behind you. It shall be for the proselyte and the orphan and the widow. And you shall remember that you were a servant in the land of Egypt. Because of this I command you to do this word.</w:t>
      </w:r>
    </w:p>
    <w:p>
      <w:r>
        <w:rPr>
          <w:b/>
        </w:rPr>
        <w:t xml:space="preserve">21 </w:t>
      </w:r>
      <w:r>
        <w:t xml:space="preserve">And if you harvest your vineyard, you shall not glean what is behind you. It shall be for the proselyte and the orphan and the widow.</w:t>
      </w:r>
    </w:p>
    <w:p>
      <w:r>
        <w:rPr>
          <w:b/>
        </w:rPr>
        <w:t xml:space="preserve">22 </w:t>
      </w:r>
      <w:r>
        <w:t xml:space="preserve">And you shall remember that you were a servant in the land of Egypt. Because of this I command you to do this word.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if there is a dispute between men and they come to judgment and they judge and justify the righteous and condemn the ungodly,</w:t>
      </w:r>
    </w:p>
    <w:p>
      <w:r>
        <w:rPr>
          <w:b/>
        </w:rPr>
        <w:t xml:space="preserve">2 </w:t>
      </w:r>
      <w:r>
        <w:t xml:space="preserve">then it shall be, if the ungodly one is worthy of blows, you shall make him sit before the judges, and they shall whip him before them according to his ungodliness, by number.</w:t>
      </w:r>
    </w:p>
    <w:p>
      <w:r>
        <w:rPr>
          <w:b/>
        </w:rPr>
        <w:t xml:space="preserve">3 </w:t>
      </w:r>
      <w:r>
        <w:t xml:space="preserve">Forty they shall whip him. They shall not add more. But if they add to whip him beyond these blows, more blows, then your brother will be disgraced before you.</w:t>
      </w:r>
    </w:p>
    <w:p>
      <w:r>
        <w:rPr>
          <w:b/>
        </w:rPr>
        <w:t xml:space="preserve">4 </w:t>
      </w:r>
      <w:r>
        <w:t xml:space="preserve">You shall not muzzle</w:t>
      </w:r>
      <w:r>
        <w:rPr>
          <w:rStyle w:val="FootnoteReference"/>
        </w:rPr>
        <w:footnoteReference w:id="3656"/>
      </w:r>
      <w:r>
        <w:t xml:space="preserve"> an ox threshing.</w:t>
      </w:r>
    </w:p>
    <w:p>
      <w:r>
        <w:rPr>
          <w:b/>
        </w:rPr>
        <w:t xml:space="preserve">5 </w:t>
      </w:r>
      <w:r>
        <w:t xml:space="preserve">And if brothers dwell together and one of them dies and has no seed, the wife of the dead one shall not be outside to a man not near</w:t>
      </w:r>
      <w:r>
        <w:rPr>
          <w:rStyle w:val="FootnoteReference"/>
        </w:rPr>
        <w:footnoteReference w:id="3657"/>
      </w:r>
      <w:r>
        <w:t xml:space="preserve">. The brother of her husband shall go in to her and take her to himself as a wife and dwell with her.</w:t>
      </w:r>
    </w:p>
    <w:p>
      <w:r>
        <w:rPr>
          <w:b/>
        </w:rPr>
        <w:t xml:space="preserve">6 </w:t>
      </w:r>
      <w:r>
        <w:t xml:space="preserve">And it shall be, the child whom she bears shall be established in the name of the one who died, and his name shall not be blotted out from Israel.</w:t>
      </w:r>
    </w:p>
    <w:p>
      <w:r>
        <w:rPr>
          <w:b/>
        </w:rPr>
        <w:t xml:space="preserve">7 </w:t>
      </w:r>
      <w:r>
        <w:t xml:space="preserve">And if the man does not wish to take his brother's wife, then the woman shall go up to the gate, to the elders, and say, My husband's brother does not wish to raise up his brother's name in Israel. My husband's brother did not want to take me</w:t>
      </w:r>
      <w:r>
        <w:rPr>
          <w:rStyle w:val="FootnoteReference"/>
        </w:rPr>
        <w:footnoteReference w:id="3658"/>
      </w:r>
      <w:r>
        <w:t xml:space="preserve">.</w:t>
      </w:r>
    </w:p>
    <w:p>
      <w:r>
        <w:rPr>
          <w:b/>
        </w:rPr>
        <w:t xml:space="preserve">8 </w:t>
      </w:r>
      <w:r>
        <w:t xml:space="preserve">And the elders of his city shall call him and speak to him, and if he stands and says, I do not wish to take her,</w:t>
      </w:r>
    </w:p>
    <w:p>
      <w:r>
        <w:rPr>
          <w:b/>
        </w:rPr>
        <w:t xml:space="preserve">9 </w:t>
      </w:r>
      <w:r>
        <w:t xml:space="preserve">then the wife of his brother, coming near before the elders, shall remove his sandal, the one on his foot, and spit</w:t>
      </w:r>
      <w:r>
        <w:rPr>
          <w:rStyle w:val="FootnoteReference"/>
        </w:rPr>
        <w:footnoteReference w:id="3659"/>
      </w:r>
      <w:r>
        <w:t xml:space="preserve"> into his face, and answering she shall say, Thus they shall do to the man who will not build up his brother's house.</w:t>
      </w:r>
      <w:r>
        <w:rPr>
          <w:rStyle w:val="FootnoteReference"/>
        </w:rPr>
        <w:footnoteReference w:id="3660"/>
      </w:r>
    </w:p>
    <w:p>
      <w:r>
        <w:rPr>
          <w:b/>
        </w:rPr>
        <w:t xml:space="preserve">10 </w:t>
      </w:r>
      <w:r>
        <w:t xml:space="preserve">And his name shall be called in Israel, House of the one whose sandal was removed.</w:t>
      </w:r>
    </w:p>
    <w:p>
      <w:r>
        <w:rPr>
          <w:b/>
        </w:rPr>
        <w:t xml:space="preserve">11 </w:t>
      </w:r>
      <w:r>
        <w:t xml:space="preserve">And if men fight together, a man with his brother, and the wife of one comes near to rescue her husband from the hand of the one striking him, and, stretching out her hand, seizes his testicles</w:t>
      </w:r>
      <w:r>
        <w:rPr>
          <w:rStyle w:val="FootnoteReference"/>
        </w:rPr>
        <w:footnoteReference w:id="3661"/>
      </w:r>
      <w:r>
        <w:t xml:space="preserve">,</w:t>
      </w:r>
    </w:p>
    <w:p>
      <w:r>
        <w:rPr>
          <w:b/>
        </w:rPr>
        <w:t xml:space="preserve">12 </w:t>
      </w:r>
      <w:r>
        <w:t xml:space="preserve">you shall cut off her hand. Your eye shall not spare her.</w:t>
      </w:r>
    </w:p>
    <w:p>
      <w:r>
        <w:rPr>
          <w:b/>
        </w:rPr>
        <w:t xml:space="preserve">13 </w:t>
      </w:r>
      <w:r>
        <w:t xml:space="preserve">There shall not be in your purse a weight and a weight, great or small.</w:t>
      </w:r>
    </w:p>
    <w:p>
      <w:r>
        <w:rPr>
          <w:b/>
        </w:rPr>
        <w:t xml:space="preserve">14 </w:t>
      </w:r>
      <w:r>
        <w:t xml:space="preserve">There shall not be in your house a measure and a measure, great or small.</w:t>
      </w:r>
    </w:p>
    <w:p>
      <w:r>
        <w:rPr>
          <w:b/>
        </w:rPr>
        <w:t xml:space="preserve">15 </w:t>
      </w:r>
      <w:r>
        <w:t xml:space="preserve">A true and righteous weight shall be for you, and a true and righteous measure shall be for you, so that you may be long-lived on the land that the Lord your God gives you as an inheritance.</w:t>
      </w:r>
    </w:p>
    <w:p>
      <w:r>
        <w:rPr>
          <w:b/>
        </w:rPr>
        <w:t xml:space="preserve">16 </w:t>
      </w:r>
      <w:r>
        <w:t xml:space="preserve">Because everyone doing these things, everyone doing injustice, is an abomination to the Lord your God.</w:t>
      </w:r>
    </w:p>
    <w:p>
      <w:r>
        <w:rPr>
          <w:b/>
        </w:rPr>
        <w:t xml:space="preserve">17 </w:t>
      </w:r>
      <w:r>
        <w:t xml:space="preserve">Remember what Amalek did to you</w:t>
      </w:r>
      <w:r>
        <w:rPr>
          <w:rStyle w:val="FootnoteReference"/>
        </w:rPr>
        <w:footnoteReference w:id="3662"/>
      </w:r>
      <w:r>
        <w:t xml:space="preserve"> on the road when you came out from Egypt,</w:t>
      </w:r>
    </w:p>
    <w:p>
      <w:r>
        <w:rPr>
          <w:b/>
        </w:rPr>
        <w:t xml:space="preserve">18 </w:t>
      </w:r>
      <w:r>
        <w:t xml:space="preserve">how he opposed you on the road and cut down your stragglers, those laboring behind you, while you were hungry and weary, and he did not fear God.</w:t>
      </w:r>
    </w:p>
    <w:p>
      <w:r>
        <w:rPr>
          <w:b/>
        </w:rPr>
        <w:t xml:space="preserve">19 </w:t>
      </w:r>
      <w:r>
        <w:t xml:space="preserve">And it shall be, when the</w:t>
      </w:r>
      <w:r>
        <w:rPr>
          <w:rStyle w:val="FootnoteReference"/>
        </w:rPr>
        <w:footnoteReference w:id="3663"/>
      </w:r>
      <w:r>
        <w:t xml:space="preserve"> Lord your God gives you rest from all your enemies around you in the land that the Lord your God gives you as an inheritance to inherit, you shall wipe out the name of Amalek from under heaven. You shall certainly not forget.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it shall be, if you enter into the land that the Lord your God gives you as an inheritance and inherit it and dwell on it</w:t>
      </w:r>
      <w:r>
        <w:rPr>
          <w:rStyle w:val="FootnoteReference"/>
        </w:rPr>
        <w:footnoteReference w:id="3664"/>
      </w:r>
      <w:r>
        <w:t xml:space="preserve">,</w:t>
      </w:r>
    </w:p>
    <w:p>
      <w:r>
        <w:rPr>
          <w:b/>
        </w:rPr>
        <w:t xml:space="preserve">2 </w:t>
      </w:r>
      <w:r>
        <w:t xml:space="preserve">then you shall take from the firstfruits of the fruits of your land that the Lord your God gives you and put them into a basket and go to the place that the Lord your God chooses for his name to be called there</w:t>
      </w:r>
      <w:r>
        <w:rPr>
          <w:rStyle w:val="FootnoteReference"/>
        </w:rPr>
        <w:footnoteReference w:id="3665"/>
      </w:r>
      <w:r>
        <w:t xml:space="preserve">.</w:t>
      </w:r>
    </w:p>
    <w:p>
      <w:r>
        <w:rPr>
          <w:b/>
        </w:rPr>
        <w:t xml:space="preserve">3 </w:t>
      </w:r>
      <w:r>
        <w:t xml:space="preserve">And you shall come to the priest</w:t>
      </w:r>
      <w:r>
        <w:rPr>
          <w:rStyle w:val="FootnoteReference"/>
        </w:rPr>
        <w:footnoteReference w:id="3666"/>
      </w:r>
      <w:r>
        <w:t xml:space="preserve"> who may be in those days and say to him, I declare today</w:t>
      </w:r>
      <w:r>
        <w:rPr>
          <w:rStyle w:val="FootnoteReference"/>
        </w:rPr>
        <w:footnoteReference w:id="3667"/>
      </w:r>
      <w:r>
        <w:t xml:space="preserve"> to the Lord my God that I have entered into the land that the Lord swore to our fathers to give us.</w:t>
      </w:r>
    </w:p>
    <w:p>
      <w:r>
        <w:rPr>
          <w:b/>
        </w:rPr>
        <w:t xml:space="preserve">4 </w:t>
      </w:r>
      <w:r>
        <w:t xml:space="preserve">And the priest shall take the basket from your hands and set it before the</w:t>
      </w:r>
      <w:r>
        <w:rPr>
          <w:rStyle w:val="FootnoteReference"/>
        </w:rPr>
        <w:footnoteReference w:id="3668"/>
      </w:r>
      <w:r>
        <w:t xml:space="preserve"> altar of the Lord your God.</w:t>
      </w:r>
    </w:p>
    <w:p>
      <w:r>
        <w:rPr>
          <w:b/>
        </w:rPr>
        <w:t xml:space="preserve">5 </w:t>
      </w:r>
      <w:r>
        <w:t xml:space="preserve">And answering you shall say before the Lord your God, My father abandoned Syria and went down into Egypt and lived there as a stranger, few in number, and there he became</w:t>
      </w:r>
      <w:r>
        <w:rPr>
          <w:rStyle w:val="FootnoteReference"/>
        </w:rPr>
        <w:footnoteReference w:id="3669"/>
      </w:r>
      <w:r>
        <w:t xml:space="preserve"> a nation great and many and large.</w:t>
      </w:r>
      <w:r>
        <w:rPr>
          <w:rStyle w:val="FootnoteReference"/>
        </w:rPr>
        <w:footnoteReference w:id="3670"/>
      </w:r>
    </w:p>
    <w:p>
      <w:r>
        <w:rPr>
          <w:b/>
        </w:rPr>
        <w:t xml:space="preserve">6 </w:t>
      </w:r>
      <w:r>
        <w:t xml:space="preserve">And the Egyptians afflicted us and humbled us and laid hard works on us.</w:t>
      </w:r>
    </w:p>
    <w:p>
      <w:r>
        <w:rPr>
          <w:b/>
        </w:rPr>
        <w:t xml:space="preserve">7 </w:t>
      </w:r>
      <w:r>
        <w:t xml:space="preserve">And we cried</w:t>
      </w:r>
      <w:r>
        <w:rPr>
          <w:rStyle w:val="FootnoteReference"/>
        </w:rPr>
        <w:footnoteReference w:id="3671"/>
      </w:r>
      <w:r>
        <w:t xml:space="preserve"> out to the Lord, the God of our fathers, and the Lord heard our voice and saw our humiliation and our labor and our affliction.</w:t>
      </w:r>
    </w:p>
    <w:p>
      <w:r>
        <w:rPr>
          <w:b/>
        </w:rPr>
        <w:t xml:space="preserve">8 </w:t>
      </w:r>
      <w:r>
        <w:t xml:space="preserve">And the Lord</w:t>
      </w:r>
      <w:r>
        <w:rPr>
          <w:rStyle w:val="FootnoteReference"/>
        </w:rPr>
        <w:footnoteReference w:id="3672"/>
      </w:r>
      <w:r>
        <w:t xml:space="preserve"> brought us out from Egypt, he himself, with great strength and with mighty hand and with his high arm and with great visions and with signs and wonders.</w:t>
      </w:r>
    </w:p>
    <w:p>
      <w:r>
        <w:rPr>
          <w:b/>
        </w:rPr>
        <w:t xml:space="preserve">9 </w:t>
      </w:r>
      <w:r>
        <w:t xml:space="preserve">And he brought us into this place and gave us this land, a land</w:t>
      </w:r>
      <w:r>
        <w:rPr>
          <w:rStyle w:val="FootnoteReference"/>
        </w:rPr>
        <w:footnoteReference w:id="3673"/>
      </w:r>
      <w:r>
        <w:t xml:space="preserve"> flowing with milk and honey.</w:t>
      </w:r>
    </w:p>
    <w:p>
      <w:r>
        <w:rPr>
          <w:b/>
        </w:rPr>
        <w:t xml:space="preserve">10 </w:t>
      </w:r>
      <w:r>
        <w:t xml:space="preserve">And now, behold, I have brought the firstfruits of the produce of the land</w:t>
      </w:r>
      <w:r>
        <w:rPr>
          <w:rStyle w:val="FootnoteReference"/>
        </w:rPr>
        <w:footnoteReference w:id="3674"/>
      </w:r>
      <w:r>
        <w:t xml:space="preserve"> that you gave me, Lord, a land flowing with milk and honey. And you shall leave them there before the Lord your God and worship</w:t>
      </w:r>
      <w:r>
        <w:rPr>
          <w:rStyle w:val="FootnoteReference"/>
        </w:rPr>
        <w:footnoteReference w:id="3675"/>
      </w:r>
      <w:r>
        <w:t xml:space="preserve"> there before the Lord your God.</w:t>
      </w:r>
    </w:p>
    <w:p>
      <w:r>
        <w:rPr>
          <w:b/>
        </w:rPr>
        <w:t xml:space="preserve">11 </w:t>
      </w:r>
      <w:r>
        <w:t xml:space="preserve">And you shall rejoice</w:t>
      </w:r>
      <w:r>
        <w:rPr>
          <w:rStyle w:val="FootnoteReference"/>
        </w:rPr>
        <w:footnoteReference w:id="3676"/>
      </w:r>
      <w:r>
        <w:t xml:space="preserve"> in all the good things that the Lord your God gave you and your house, you and the Levite and the proselyte in you.</w:t>
      </w:r>
    </w:p>
    <w:p>
      <w:r>
        <w:rPr>
          <w:b/>
        </w:rPr>
        <w:t xml:space="preserve">12 </w:t>
      </w:r>
      <w:r>
        <w:t xml:space="preserve">And if you finish tithing all the tithe of your produce in the third</w:t>
      </w:r>
      <w:r>
        <w:rPr>
          <w:rStyle w:val="FootnoteReference"/>
        </w:rPr>
        <w:footnoteReference w:id="3677"/>
      </w:r>
      <w:r>
        <w:t xml:space="preserve"> year, the second tithe</w:t>
      </w:r>
      <w:r>
        <w:rPr>
          <w:rStyle w:val="FootnoteReference"/>
        </w:rPr>
        <w:footnoteReference w:id="3678"/>
      </w:r>
      <w:r>
        <w:t xml:space="preserve">, you shall give it to the Levite and the proselyte and the orphan and the widow, and they shall eat in your cities and be filled.</w:t>
      </w:r>
    </w:p>
    <w:p>
      <w:r>
        <w:rPr>
          <w:b/>
        </w:rPr>
        <w:t xml:space="preserve">13 </w:t>
      </w:r>
      <w:r>
        <w:t xml:space="preserve">And you shall say before the Lord your God, I have cleansed the holy things out of my house, and I have given them to the Levite</w:t>
      </w:r>
      <w:r>
        <w:rPr>
          <w:rStyle w:val="FootnoteReference"/>
        </w:rPr>
        <w:footnoteReference w:id="3679"/>
      </w:r>
      <w:r>
        <w:t xml:space="preserve"> and the proselyte and the orphan and the widow, according to all the commands that you commanded me. I did not transgress your command and I did not forget.</w:t>
      </w:r>
      <w:r>
        <w:rPr>
          <w:rStyle w:val="FootnoteReference"/>
        </w:rPr>
        <w:footnoteReference w:id="3680"/>
      </w:r>
    </w:p>
    <w:p>
      <w:r>
        <w:rPr>
          <w:b/>
        </w:rPr>
        <w:t xml:space="preserve">14 </w:t>
      </w:r>
      <w:r>
        <w:t xml:space="preserve">And I did not eat from them in my grief</w:t>
      </w:r>
      <w:r>
        <w:rPr>
          <w:rStyle w:val="FootnoteReference"/>
        </w:rPr>
        <w:footnoteReference w:id="3681"/>
      </w:r>
      <w:r>
        <w:t xml:space="preserve">, nor did I take from them for uncleanness, nor did I give from them to the dead</w:t>
      </w:r>
      <w:r>
        <w:rPr>
          <w:rStyle w:val="FootnoteReference"/>
        </w:rPr>
        <w:footnoteReference w:id="3682"/>
      </w:r>
      <w:r>
        <w:t xml:space="preserve">. I obeyed the voice of the Lord my God. I did as you commanded me.</w:t>
      </w:r>
    </w:p>
    <w:p>
      <w:r>
        <w:rPr>
          <w:b/>
        </w:rPr>
        <w:t xml:space="preserve">15 </w:t>
      </w:r>
      <w:r>
        <w:t xml:space="preserve">Look down</w:t>
      </w:r>
      <w:r>
        <w:rPr>
          <w:rStyle w:val="FootnoteReference"/>
        </w:rPr>
        <w:footnoteReference w:id="3683"/>
      </w:r>
      <w:r>
        <w:t xml:space="preserve"> from your holy house, from heaven, and bless your people Israel and the land that you gave them, just as you swore to our fathers to give us, a land flowing with milk and honey.</w:t>
      </w:r>
    </w:p>
    <w:p>
      <w:r>
        <w:rPr>
          <w:b/>
        </w:rPr>
        <w:t xml:space="preserve">16 </w:t>
      </w:r>
      <w:r>
        <w:t xml:space="preserve">On this day</w:t>
      </w:r>
      <w:r>
        <w:rPr>
          <w:rStyle w:val="FootnoteReference"/>
        </w:rPr>
        <w:footnoteReference w:id="3684"/>
      </w:r>
      <w:r>
        <w:t xml:space="preserve"> the Lord your God commanded you to do all these ordinances and judgments, and you shall keep and do them from your whole heart and from your whole soul.</w:t>
      </w:r>
    </w:p>
    <w:p>
      <w:r>
        <w:rPr>
          <w:b/>
        </w:rPr>
        <w:t xml:space="preserve">17 </w:t>
      </w:r>
      <w:r>
        <w:t xml:space="preserve">You chose God today to be your God and to walk in his ways and keep his ordinances and his judgments and obey his voice,</w:t>
      </w:r>
    </w:p>
    <w:p>
      <w:r>
        <w:rPr>
          <w:b/>
        </w:rPr>
        <w:t xml:space="preserve">18 </w:t>
      </w:r>
      <w:r>
        <w:t xml:space="preserve">and the Lord chose you today to become for him a people of special possession, just as he said to you, to keep</w:t>
      </w:r>
      <w:r>
        <w:rPr>
          <w:rStyle w:val="FootnoteReference"/>
        </w:rPr>
        <w:footnoteReference w:id="3685"/>
      </w:r>
      <w:r>
        <w:t xml:space="preserve"> all his commands,</w:t>
      </w:r>
    </w:p>
    <w:p>
      <w:r>
        <w:rPr>
          <w:b/>
        </w:rPr>
        <w:t xml:space="preserve">19 </w:t>
      </w:r>
      <w:r>
        <w:t xml:space="preserve">and for you to be above all the nations, as he made you, named and boasting and glorious, for you to be a holy people to the Lord your God, just as he spoke.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Moses and the elders of Israel commanded, saying, Keep all</w:t>
      </w:r>
      <w:r>
        <w:rPr>
          <w:rStyle w:val="FootnoteReference"/>
        </w:rPr>
        <w:footnoteReference w:id="3686"/>
      </w:r>
      <w:r>
        <w:t xml:space="preserve"> these commands that I command you today.</w:t>
      </w:r>
    </w:p>
    <w:p>
      <w:r>
        <w:rPr>
          <w:b/>
        </w:rPr>
        <w:t xml:space="preserve">2 </w:t>
      </w:r>
      <w:r>
        <w:t xml:space="preserve">And it shall be, on the day</w:t>
      </w:r>
      <w:r>
        <w:rPr>
          <w:rStyle w:val="FootnoteReference"/>
        </w:rPr>
        <w:footnoteReference w:id="3687"/>
      </w:r>
      <w:r>
        <w:t xml:space="preserve"> you cross the Jordan into the land that the Lord your God gives you, you shall set up for yourself great stones and whitewash them with lime</w:t>
      </w:r>
      <w:r>
        <w:rPr>
          <w:rStyle w:val="FootnoteReference"/>
        </w:rPr>
        <w:footnoteReference w:id="3688"/>
      </w:r>
      <w:r>
        <w:t xml:space="preserve">,</w:t>
      </w:r>
    </w:p>
    <w:p>
      <w:r>
        <w:rPr>
          <w:b/>
        </w:rPr>
        <w:t xml:space="preserve">3 </w:t>
      </w:r>
      <w:r>
        <w:t xml:space="preserve">and write on the stones all the words of this law as you cross the Jordan, when you enter into the land that the Lord God of your fathers gives you, a land</w:t>
      </w:r>
      <w:r>
        <w:rPr>
          <w:rStyle w:val="FootnoteReference"/>
        </w:rPr>
        <w:footnoteReference w:id="3689"/>
      </w:r>
      <w:r>
        <w:t xml:space="preserve"> flowing with milk and honey, in the way the Lord God of your fathers spoke to you.</w:t>
      </w:r>
      <w:r>
        <w:rPr>
          <w:rStyle w:val="FootnoteReference"/>
        </w:rPr>
        <w:footnoteReference w:id="3690"/>
      </w:r>
    </w:p>
    <w:p>
      <w:r>
        <w:rPr>
          <w:b/>
        </w:rPr>
        <w:t xml:space="preserve">4 </w:t>
      </w:r>
      <w:r>
        <w:t xml:space="preserve">And it shall be, when you cross the Jordan, you shall set up these stones that I command you today on Mount Ebal, and you shall whitewash them with lime.</w:t>
      </w:r>
    </w:p>
    <w:p>
      <w:r>
        <w:rPr>
          <w:b/>
        </w:rPr>
        <w:t xml:space="preserve">5 </w:t>
      </w:r>
      <w:r>
        <w:t xml:space="preserve">And you shall build there an altar to the Lord your God, an altar of stones. You shall not put iron on them.</w:t>
      </w:r>
    </w:p>
    <w:p>
      <w:r>
        <w:rPr>
          <w:b/>
        </w:rPr>
        <w:t xml:space="preserve">6 </w:t>
      </w:r>
      <w:r>
        <w:t xml:space="preserve">With whole stones you shall build the altar to the Lord your God, and you shall offer whole burnt offerings</w:t>
      </w:r>
      <w:r>
        <w:rPr>
          <w:rStyle w:val="FootnoteReference"/>
        </w:rPr>
        <w:footnoteReference w:id="3691"/>
      </w:r>
      <w:r>
        <w:t xml:space="preserve"> on it to the Lord your God,</w:t>
      </w:r>
    </w:p>
    <w:p>
      <w:r>
        <w:rPr>
          <w:b/>
        </w:rPr>
        <w:t xml:space="preserve">7 </w:t>
      </w:r>
      <w:r>
        <w:t xml:space="preserve">and you shall sacrifice there a sacrifice of salvation to the Lord your God, and you shall eat and be filled and rejoice</w:t>
      </w:r>
      <w:r>
        <w:rPr>
          <w:rStyle w:val="FootnoteReference"/>
        </w:rPr>
        <w:footnoteReference w:id="3692"/>
      </w:r>
      <w:r>
        <w:t xml:space="preserve"> before the Lord your God.</w:t>
      </w:r>
    </w:p>
    <w:p>
      <w:r>
        <w:rPr>
          <w:b/>
        </w:rPr>
        <w:t xml:space="preserve">8 </w:t>
      </w:r>
      <w:r>
        <w:t xml:space="preserve">And you shall write on the stones all this law very clearly.</w:t>
      </w:r>
    </w:p>
    <w:p>
      <w:r>
        <w:rPr>
          <w:b/>
        </w:rPr>
        <w:t xml:space="preserve">9 </w:t>
      </w:r>
      <w:r>
        <w:t xml:space="preserve">And Moses and the priests, the Levites, spoke to all Israel, saying, Keep silence and hear, Israel. On this day</w:t>
      </w:r>
      <w:r>
        <w:rPr>
          <w:rStyle w:val="FootnoteReference"/>
        </w:rPr>
        <w:footnoteReference w:id="3693"/>
      </w:r>
      <w:r>
        <w:t xml:space="preserve"> you have become a people to the Lord your God.</w:t>
      </w:r>
    </w:p>
    <w:p>
      <w:r>
        <w:rPr>
          <w:b/>
        </w:rPr>
        <w:t xml:space="preserve">10 </w:t>
      </w:r>
      <w:r>
        <w:t xml:space="preserve">And you shall listen to the voice of the Lord your God and do all his commands and his ordinances that I command you today.</w:t>
      </w:r>
    </w:p>
    <w:p>
      <w:r>
        <w:rPr>
          <w:b/>
        </w:rPr>
        <w:t xml:space="preserve">11 </w:t>
      </w:r>
      <w:r>
        <w:t xml:space="preserve">And Moses commanded the people on that day, saying,</w:t>
      </w:r>
    </w:p>
    <w:p>
      <w:r>
        <w:rPr>
          <w:b/>
        </w:rPr>
        <w:t xml:space="preserve">12 </w:t>
      </w:r>
      <w:r>
        <w:t xml:space="preserve">These shall stand to bless the people on Mount Gerizim after you cross the Jordan: Simeon</w:t>
      </w:r>
      <w:r>
        <w:rPr>
          <w:rStyle w:val="FootnoteReference"/>
        </w:rPr>
        <w:footnoteReference w:id="3694"/>
      </w:r>
      <w:r>
        <w:t xml:space="preserve">, Levi, Judah, Issachar, Joseph, and Benjamin.</w:t>
      </w:r>
    </w:p>
    <w:p>
      <w:r>
        <w:rPr>
          <w:b/>
        </w:rPr>
        <w:t xml:space="preserve">13 </w:t>
      </w:r>
      <w:r>
        <w:t xml:space="preserve">And these shall stand for the curse on Mount Ebal</w:t>
      </w:r>
      <w:r>
        <w:rPr>
          <w:rStyle w:val="FootnoteReference"/>
        </w:rPr>
        <w:footnoteReference w:id="3695"/>
      </w:r>
      <w:r>
        <w:t xml:space="preserve">: Reuben, Gad, and Asher, Zebulun, Dan, and Naphtali.</w:t>
      </w:r>
    </w:p>
    <w:p>
      <w:r>
        <w:rPr>
          <w:b/>
        </w:rPr>
        <w:t xml:space="preserve">14 </w:t>
      </w:r>
      <w:r>
        <w:t xml:space="preserve">And answering, the Levites shall say to all Israel with a loud voice,</w:t>
      </w:r>
    </w:p>
    <w:p>
      <w:r>
        <w:rPr>
          <w:b/>
        </w:rPr>
        <w:t xml:space="preserve">15 </w:t>
      </w:r>
      <w:r>
        <w:t xml:space="preserve">Cursed is the man who makes a carved or molten image, an abomination</w:t>
      </w:r>
      <w:r>
        <w:rPr>
          <w:rStyle w:val="FootnoteReference"/>
        </w:rPr>
        <w:footnoteReference w:id="3696"/>
      </w:r>
      <w:r>
        <w:t xml:space="preserve"> to the Lord, work of a craftsman's hands, and places it in hiding. And all the people, answering, shall say, Let it be.</w:t>
      </w:r>
    </w:p>
    <w:p>
      <w:r>
        <w:rPr>
          <w:b/>
        </w:rPr>
        <w:t xml:space="preserve">16 </w:t>
      </w:r>
      <w:r>
        <w:t xml:space="preserve">Cursed is the one dishonoring his father or his mother. And all the people shall say, Let it be.</w:t>
      </w:r>
    </w:p>
    <w:p>
      <w:r>
        <w:rPr>
          <w:b/>
        </w:rPr>
        <w:t xml:space="preserve">17 </w:t>
      </w:r>
      <w:r>
        <w:t xml:space="preserve">Cursed is the one moving his neighbor's boundaries. And all the people shall say, Let it be.</w:t>
      </w:r>
    </w:p>
    <w:p>
      <w:r>
        <w:rPr>
          <w:b/>
        </w:rPr>
        <w:t xml:space="preserve">18 </w:t>
      </w:r>
      <w:r>
        <w:t xml:space="preserve">Cursed is the one leading the blind astray on the road. And all the people shall say, Let it be.</w:t>
      </w:r>
    </w:p>
    <w:p>
      <w:r>
        <w:rPr>
          <w:b/>
        </w:rPr>
        <w:t xml:space="preserve">19 </w:t>
      </w:r>
      <w:r>
        <w:t xml:space="preserve">Cursed is whoever turns aside the judgment of the proselyte and the orphan and the widow. And all the people shall say, Let it be.</w:t>
      </w:r>
    </w:p>
    <w:p>
      <w:r>
        <w:rPr>
          <w:b/>
        </w:rPr>
        <w:t xml:space="preserve">20 </w:t>
      </w:r>
      <w:r>
        <w:t xml:space="preserve">Cursed is the one lying with his father's wife, because he uncovered his father's covering. And all the people shall say, Let it be.</w:t>
      </w:r>
    </w:p>
    <w:p>
      <w:r>
        <w:rPr>
          <w:b/>
        </w:rPr>
        <w:t xml:space="preserve">21 </w:t>
      </w:r>
      <w:r>
        <w:t xml:space="preserve">Cursed is the one lying with any beast. And all the people shall say, Let it be.</w:t>
      </w:r>
    </w:p>
    <w:p>
      <w:r>
        <w:rPr>
          <w:b/>
        </w:rPr>
        <w:t xml:space="preserve">22 </w:t>
      </w:r>
      <w:r>
        <w:t xml:space="preserve">Cursed is the one lying with his sister from his father or from his mother. And all the people shall say, Let it be.</w:t>
      </w:r>
    </w:p>
    <w:p>
      <w:r>
        <w:rPr>
          <w:b/>
        </w:rPr>
        <w:t xml:space="preserve">23 </w:t>
      </w:r>
      <w:r>
        <w:t xml:space="preserve">Cursed is the one lying with his mother-in-law. And all the people shall say, Let it be. Cursed is the one lying with his wife's sister. And all the people shall say, Let it be.</w:t>
      </w:r>
    </w:p>
    <w:p>
      <w:r>
        <w:rPr>
          <w:b/>
        </w:rPr>
        <w:t xml:space="preserve">24 </w:t>
      </w:r>
      <w:r>
        <w:t xml:space="preserve">Cursed is the one striking his neighbor deceitfully. And all the people shall say, Let it be.</w:t>
      </w:r>
    </w:p>
    <w:p>
      <w:r>
        <w:rPr>
          <w:b/>
        </w:rPr>
        <w:t xml:space="preserve">25 </w:t>
      </w:r>
      <w:r>
        <w:t xml:space="preserve">Cursed is whoever takes gifts to strike the life of innocent blood. And all the people shall say, Let it be.</w:t>
      </w:r>
    </w:p>
    <w:p>
      <w:r>
        <w:rPr>
          <w:b/>
        </w:rPr>
        <w:t xml:space="preserve">26 </w:t>
      </w:r>
      <w:r>
        <w:t xml:space="preserve">Cursed</w:t>
      </w:r>
      <w:r>
        <w:rPr>
          <w:rStyle w:val="FootnoteReference"/>
        </w:rPr>
        <w:footnoteReference w:id="3697"/>
      </w:r>
      <w:r>
        <w:t xml:space="preserve"> is every man who does not remain in all the words of this law to do them. And all the people shall say, Let it be.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And it shall be, when you cross the Jordan into the land that the Lord your God gives you, if indeed you listen to the voice of the Lord your God, keeping and doing all his commands that I command you today, then the Lord your God will set</w:t>
      </w:r>
      <w:r>
        <w:rPr>
          <w:rStyle w:val="FootnoteReference"/>
        </w:rPr>
        <w:footnoteReference w:id="3698"/>
      </w:r>
      <w:r>
        <w:t xml:space="preserve"> you above all the nations of the earth.</w:t>
      </w:r>
      <w:r>
        <w:rPr>
          <w:rStyle w:val="FootnoteReference"/>
        </w:rPr>
        <w:footnoteReference w:id="3699"/>
      </w:r>
    </w:p>
    <w:p>
      <w:r>
        <w:rPr>
          <w:b/>
        </w:rPr>
        <w:t xml:space="preserve">2 </w:t>
      </w:r>
      <w:r>
        <w:t xml:space="preserve">And all these blessings shall come upon you and find you, if indeed you hear the voice of the Lord your God.</w:t>
      </w:r>
    </w:p>
    <w:p>
      <w:r>
        <w:rPr>
          <w:b/>
        </w:rPr>
        <w:t xml:space="preserve">3 </w:t>
      </w:r>
      <w:r>
        <w:t xml:space="preserve">Blessed are you in the city</w:t>
      </w:r>
      <w:r>
        <w:rPr>
          <w:rStyle w:val="FootnoteReference"/>
        </w:rPr>
        <w:footnoteReference w:id="3700"/>
      </w:r>
      <w:r>
        <w:t xml:space="preserve">, and blessed are you in the field.</w:t>
      </w:r>
    </w:p>
    <w:p>
      <w:r>
        <w:rPr>
          <w:b/>
        </w:rPr>
        <w:t xml:space="preserve">4 </w:t>
      </w:r>
      <w:r>
        <w:t xml:space="preserve">Blessed are the offspring of your womb and the produce of your land, the herds of your cattle and the flocks of your sheep.</w:t>
      </w:r>
    </w:p>
    <w:p>
      <w:r>
        <w:rPr>
          <w:b/>
        </w:rPr>
        <w:t xml:space="preserve">5 </w:t>
      </w:r>
      <w:r>
        <w:t xml:space="preserve">Blessed are your storehouses and your reserves.</w:t>
      </w:r>
    </w:p>
    <w:p>
      <w:r>
        <w:rPr>
          <w:b/>
        </w:rPr>
        <w:t xml:space="preserve">6 </w:t>
      </w:r>
      <w:r>
        <w:t xml:space="preserve">Blessed are you in your coming in, and blessed are you in your going out.</w:t>
      </w:r>
    </w:p>
    <w:p>
      <w:r>
        <w:rPr>
          <w:b/>
        </w:rPr>
        <w:t xml:space="preserve">7 </w:t>
      </w:r>
      <w:r>
        <w:t xml:space="preserve">The Lord your God will give your enemies who rise against you broken before your face. By one way they shall come out against you, and by seven ways they shall flee from before your face.</w:t>
      </w:r>
    </w:p>
    <w:p>
      <w:r>
        <w:rPr>
          <w:b/>
        </w:rPr>
        <w:t xml:space="preserve">8 </w:t>
      </w:r>
      <w:r>
        <w:t xml:space="preserve">May the Lord send upon you blessing in your storehouses</w:t>
      </w:r>
      <w:r>
        <w:rPr>
          <w:rStyle w:val="FootnoteReference"/>
        </w:rPr>
        <w:footnoteReference w:id="3701"/>
      </w:r>
      <w:r>
        <w:t xml:space="preserve"> and in everything to which you put your hand, on the land that the Lord your God gives you.</w:t>
      </w:r>
    </w:p>
    <w:p>
      <w:r>
        <w:rPr>
          <w:b/>
        </w:rPr>
        <w:t xml:space="preserve">9 </w:t>
      </w:r>
      <w:r>
        <w:t xml:space="preserve">May the Lord raise you up for himself as a holy people, in the way he swore to your fathers, if you listen to the voice of the Lord your God and walk in his ways.</w:t>
      </w:r>
    </w:p>
    <w:p>
      <w:r>
        <w:rPr>
          <w:b/>
        </w:rPr>
        <w:t xml:space="preserve">10 </w:t>
      </w:r>
      <w:r>
        <w:t xml:space="preserve">And all the nations of the earth shall see that the name of the Lord has been called</w:t>
      </w:r>
      <w:r>
        <w:rPr>
          <w:rStyle w:val="FootnoteReference"/>
        </w:rPr>
        <w:footnoteReference w:id="3702"/>
      </w:r>
      <w:r>
        <w:t xml:space="preserve"> upon you, and they shall fear you.</w:t>
      </w:r>
    </w:p>
    <w:p>
      <w:r>
        <w:rPr>
          <w:b/>
        </w:rPr>
        <w:t xml:space="preserve">11 </w:t>
      </w:r>
      <w:r>
        <w:t xml:space="preserve">And the Lord your God will multiply you for good, in the offspring of your womb and in the produce of your land and in the offspring of your cattle, on the land that the Lord swore to your fathers to give you.</w:t>
      </w:r>
    </w:p>
    <w:p>
      <w:r>
        <w:rPr>
          <w:b/>
        </w:rPr>
        <w:t xml:space="preserve">12 </w:t>
      </w:r>
      <w:r>
        <w:t xml:space="preserve">May the Lord open</w:t>
      </w:r>
      <w:r>
        <w:rPr>
          <w:rStyle w:val="FootnoteReference"/>
        </w:rPr>
        <w:footnoteReference w:id="3703"/>
      </w:r>
      <w:r>
        <w:t xml:space="preserve"> for you his good treasury, the heaven, to give rain to your land in its season and bless all the works of your hands. And you shall lend to many nations, but you shall not borrow, and you shall rule many nations, but they shall not rule you</w:t>
      </w:r>
      <w:r>
        <w:rPr>
          <w:rStyle w:val="FootnoteReference"/>
        </w:rPr>
        <w:footnoteReference w:id="3704"/>
      </w:r>
      <w:r>
        <w:t xml:space="preserve">.</w:t>
      </w:r>
    </w:p>
    <w:p>
      <w:r>
        <w:rPr>
          <w:b/>
        </w:rPr>
        <w:t xml:space="preserve">13 </w:t>
      </w:r>
      <w:r>
        <w:t xml:space="preserve">May the Lord your God set you as head and not as tail</w:t>
      </w:r>
      <w:r>
        <w:rPr>
          <w:rStyle w:val="FootnoteReference"/>
        </w:rPr>
        <w:footnoteReference w:id="3705"/>
      </w:r>
      <w:r>
        <w:t xml:space="preserve">, and you shall then be above and not below, if you hear the commands of the Lord your God that I command you today, to keep and do,</w:t>
      </w:r>
    </w:p>
    <w:p>
      <w:r>
        <w:rPr>
          <w:b/>
        </w:rPr>
        <w:t xml:space="preserve">14 </w:t>
      </w:r>
      <w:r>
        <w:t xml:space="preserve">and do not transgress any of the words that I command you today, right or left, going after other gods to serve them.</w:t>
      </w:r>
    </w:p>
    <w:p>
      <w:r>
        <w:rPr>
          <w:b/>
        </w:rPr>
        <w:t xml:space="preserve">15 </w:t>
      </w:r>
      <w:r>
        <w:t xml:space="preserve">And it shall be, if you do not listen to the voice of the Lord your God, keeping and doing all his commands that I command you today, then all these curses</w:t>
      </w:r>
      <w:r>
        <w:rPr>
          <w:rStyle w:val="FootnoteReference"/>
        </w:rPr>
        <w:footnoteReference w:id="3706"/>
      </w:r>
      <w:r>
        <w:t xml:space="preserve"> shall come upon you</w:t>
      </w:r>
      <w:r>
        <w:rPr>
          <w:rStyle w:val="FootnoteReference"/>
        </w:rPr>
        <w:footnoteReference w:id="3707"/>
      </w:r>
      <w:r>
        <w:t xml:space="preserve"> and overtake you.</w:t>
      </w:r>
    </w:p>
    <w:p>
      <w:r>
        <w:rPr>
          <w:b/>
        </w:rPr>
        <w:t xml:space="preserve">16 </w:t>
      </w:r>
      <w:r>
        <w:t xml:space="preserve">Cursed are you in the city</w:t>
      </w:r>
      <w:r>
        <w:rPr>
          <w:rStyle w:val="FootnoteReference"/>
        </w:rPr>
        <w:footnoteReference w:id="3708"/>
      </w:r>
      <w:r>
        <w:t xml:space="preserve">, and cursed are you in the field.</w:t>
      </w:r>
    </w:p>
    <w:p>
      <w:r>
        <w:rPr>
          <w:b/>
        </w:rPr>
        <w:t xml:space="preserve">17 </w:t>
      </w:r>
      <w:r>
        <w:t xml:space="preserve">Cursed are your storehouses and your reserves.</w:t>
      </w:r>
    </w:p>
    <w:p>
      <w:r>
        <w:rPr>
          <w:b/>
        </w:rPr>
        <w:t xml:space="preserve">18 </w:t>
      </w:r>
      <w:r>
        <w:t xml:space="preserve">Cursed are the offspring of your womb and the produce of your land, the herds of your cattle and the flocks of your sheep.</w:t>
      </w:r>
    </w:p>
    <w:p>
      <w:r>
        <w:rPr>
          <w:b/>
        </w:rPr>
        <w:t xml:space="preserve">19 </w:t>
      </w:r>
      <w:r>
        <w:t xml:space="preserve">Cursed are you in your going out, and cursed are you in your coming in.</w:t>
      </w:r>
    </w:p>
    <w:p>
      <w:r>
        <w:rPr>
          <w:b/>
        </w:rPr>
        <w:t xml:space="preserve">20 </w:t>
      </w:r>
      <w:r>
        <w:t xml:space="preserve">May the Lord send</w:t>
      </w:r>
      <w:r>
        <w:rPr>
          <w:rStyle w:val="FootnoteReference"/>
        </w:rPr>
        <w:footnoteReference w:id="3709"/>
      </w:r>
      <w:r>
        <w:t xml:space="preserve"> to you want and withering and consumption</w:t>
      </w:r>
      <w:r>
        <w:rPr>
          <w:rStyle w:val="FootnoteReference"/>
        </w:rPr>
        <w:footnoteReference w:id="3710"/>
      </w:r>
      <w:r>
        <w:t xml:space="preserve"> in everything to which you put your hand, whatever you may do, until he utterly destroys you and until he quickly perishes you, because of your evil practices, because you abandoned me.</w:t>
      </w:r>
    </w:p>
    <w:p>
      <w:r>
        <w:rPr>
          <w:b/>
        </w:rPr>
        <w:t xml:space="preserve">21 </w:t>
      </w:r>
      <w:r>
        <w:t xml:space="preserve">May the Lord make death cling to you until it consumes you from the land into which you are entering there to inherit it.</w:t>
      </w:r>
    </w:p>
    <w:p>
      <w:r>
        <w:rPr>
          <w:b/>
        </w:rPr>
        <w:t xml:space="preserve">22 </w:t>
      </w:r>
      <w:r>
        <w:t xml:space="preserve">May the Lord strike you with distress and fever and chill and irritation and killing and blight and mildew, and they shall pursue you until they destroy you.</w:t>
      </w:r>
    </w:p>
    <w:p>
      <w:r>
        <w:rPr>
          <w:b/>
        </w:rPr>
        <w:t xml:space="preserve">23 </w:t>
      </w:r>
      <w:r>
        <w:t xml:space="preserve">And the heaven over your head shall be bronze for you, and the earth under you iron.</w:t>
      </w:r>
    </w:p>
    <w:p>
      <w:r>
        <w:rPr>
          <w:b/>
        </w:rPr>
        <w:t xml:space="preserve">24 </w:t>
      </w:r>
      <w:r>
        <w:t xml:space="preserve">May the Lord give the rain to your land as dust and dirt. From heaven it shall come down upon you until it grinds you away and until it destroys you.</w:t>
      </w:r>
    </w:p>
    <w:p>
      <w:r>
        <w:rPr>
          <w:b/>
        </w:rPr>
        <w:t xml:space="preserve">25 </w:t>
      </w:r>
      <w:r>
        <w:t xml:space="preserve">May the Lord give you defeat before your enemies. By one way you shall go out against them, and by seven ways you shall flee from before them, and you shall be a dispersion in all the kingdoms of the earth.</w:t>
      </w:r>
    </w:p>
    <w:p>
      <w:r>
        <w:rPr>
          <w:b/>
        </w:rPr>
        <w:t xml:space="preserve">26 </w:t>
      </w:r>
      <w:r>
        <w:t xml:space="preserve">And your dead shall be food for the birds of heaven and for the beasts of the earth, and there shall be no one to frighten them away.</w:t>
      </w:r>
    </w:p>
    <w:p>
      <w:r>
        <w:rPr>
          <w:b/>
        </w:rPr>
        <w:t xml:space="preserve">27 </w:t>
      </w:r>
      <w:r>
        <w:t xml:space="preserve">May the Lord strike you with the Egyptian boil on the buttocks, and with wild itch and scab</w:t>
      </w:r>
      <w:r>
        <w:rPr>
          <w:rStyle w:val="FootnoteReference"/>
        </w:rPr>
        <w:footnoteReference w:id="3711"/>
      </w:r>
      <w:r>
        <w:t xml:space="preserve">, so that you cannot be healed.</w:t>
      </w:r>
    </w:p>
    <w:p>
      <w:r>
        <w:rPr>
          <w:b/>
        </w:rPr>
        <w:t xml:space="preserve">28 </w:t>
      </w:r>
      <w:r>
        <w:t xml:space="preserve">May the Lord strike you with madness and blindness and astonishment of mind,</w:t>
      </w:r>
    </w:p>
    <w:p>
      <w:r>
        <w:rPr>
          <w:b/>
        </w:rPr>
        <w:t xml:space="preserve">29 </w:t>
      </w:r>
      <w:r>
        <w:t xml:space="preserve">and you shall be groping at midday as the blind gropes in darkness, and your ways shall not prosper, and you shall then be wronged and plundered all the days, and there shall not be one helping you.</w:t>
      </w:r>
    </w:p>
    <w:p>
      <w:r>
        <w:rPr>
          <w:b/>
        </w:rPr>
        <w:t xml:space="preserve">30 </w:t>
      </w:r>
      <w:r>
        <w:t xml:space="preserve">You shall take a wife, and another man shall have her. You shall build</w:t>
      </w:r>
      <w:r>
        <w:rPr>
          <w:rStyle w:val="FootnoteReference"/>
        </w:rPr>
        <w:footnoteReference w:id="3712"/>
      </w:r>
      <w:r>
        <w:t xml:space="preserve"> a house, and you shall not dwell in it. You shall plant a vineyard, and you shall not harvest it.</w:t>
      </w:r>
    </w:p>
    <w:p>
      <w:r>
        <w:rPr>
          <w:b/>
        </w:rPr>
        <w:t xml:space="preserve">31 </w:t>
      </w:r>
      <w:r>
        <w:t xml:space="preserve">Your calf slaughtered before you, and you shall not eat from it; your donkey snatched from you, and it shall not be returned to you; your sheep given to your enemies, and there shall not be one helping you</w:t>
      </w:r>
      <w:r>
        <w:rPr>
          <w:rStyle w:val="FootnoteReference"/>
        </w:rPr>
        <w:footnoteReference w:id="3713"/>
      </w:r>
      <w:r>
        <w:t xml:space="preserve">.</w:t>
      </w:r>
    </w:p>
    <w:p>
      <w:r>
        <w:rPr>
          <w:b/>
        </w:rPr>
        <w:t xml:space="preserve">32 </w:t>
      </w:r>
      <w:r>
        <w:t xml:space="preserve">Your sons</w:t>
      </w:r>
      <w:r>
        <w:rPr>
          <w:rStyle w:val="FootnoteReference"/>
        </w:rPr>
        <w:footnoteReference w:id="3714"/>
      </w:r>
      <w:r>
        <w:t xml:space="preserve"> and your daughters given to another nation, and your eyes shall look, failing for them, and your hand shall have no strength.</w:t>
      </w:r>
    </w:p>
    <w:p>
      <w:r>
        <w:rPr>
          <w:b/>
        </w:rPr>
        <w:t xml:space="preserve">33 </w:t>
      </w:r>
      <w:r>
        <w:t xml:space="preserve">A nation that you do not know shall eat the produce of your land and all your labors, and you shall be wronged and broken all the days,</w:t>
      </w:r>
    </w:p>
    <w:p>
      <w:r>
        <w:rPr>
          <w:b/>
        </w:rPr>
        <w:t xml:space="preserve">34 </w:t>
      </w:r>
      <w:r>
        <w:t xml:space="preserve">and you shall be maddened by the sights of your eyes</w:t>
      </w:r>
      <w:r>
        <w:rPr>
          <w:rStyle w:val="FootnoteReference"/>
        </w:rPr>
        <w:footnoteReference w:id="3715"/>
      </w:r>
      <w:r>
        <w:t xml:space="preserve"> that you see.</w:t>
      </w:r>
    </w:p>
    <w:p>
      <w:r>
        <w:rPr>
          <w:b/>
        </w:rPr>
        <w:t xml:space="preserve">35 </w:t>
      </w:r>
      <w:r>
        <w:t xml:space="preserve">May the Lord strike you with an evil boil on the knees and on the shins, so that you cannot be healed from the sole of your foot to your crown.</w:t>
      </w:r>
    </w:p>
    <w:p>
      <w:r>
        <w:rPr>
          <w:b/>
        </w:rPr>
        <w:t xml:space="preserve">36 </w:t>
      </w:r>
      <w:r>
        <w:t xml:space="preserve">May the Lord lead you and your rulers whom you set over yourself away to a nation that you and your fathers do not know, and you shall serve there other gods, wood and stones.</w:t>
      </w:r>
    </w:p>
    <w:p>
      <w:r>
        <w:rPr>
          <w:b/>
        </w:rPr>
        <w:t xml:space="preserve">37 </w:t>
      </w:r>
      <w:r>
        <w:t xml:space="preserve">And you shall be there as a riddle and a parable and a tale among all the nations into which the Lord leads you there.</w:t>
      </w:r>
    </w:p>
    <w:p>
      <w:r>
        <w:rPr>
          <w:b/>
        </w:rPr>
        <w:t xml:space="preserve">38 </w:t>
      </w:r>
      <w:r>
        <w:t xml:space="preserve">You shall carry much seed out into the field and bring in little, because the locust shall eat it.</w:t>
      </w:r>
    </w:p>
    <w:p>
      <w:r>
        <w:rPr>
          <w:b/>
        </w:rPr>
        <w:t xml:space="preserve">39 </w:t>
      </w:r>
      <w:r>
        <w:t xml:space="preserve">You shall plant and work vineyards, but you shall not drink wine nor rejoice from it, because the worm shall consume them.</w:t>
      </w:r>
    </w:p>
    <w:p>
      <w:r>
        <w:rPr>
          <w:b/>
        </w:rPr>
        <w:t xml:space="preserve">40 </w:t>
      </w:r>
      <w:r>
        <w:t xml:space="preserve">You shall have olive trees in all your borders, but you shall not anoint with oil, because your olive tree shall drop its fruit.</w:t>
      </w:r>
    </w:p>
    <w:p>
      <w:r>
        <w:rPr>
          <w:b/>
        </w:rPr>
        <w:t xml:space="preserve">41 </w:t>
      </w:r>
      <w:r>
        <w:t xml:space="preserve">You shall beget sons and daughters, and they shall not be yours, because they shall go away into captivity.</w:t>
      </w:r>
    </w:p>
    <w:p>
      <w:r>
        <w:rPr>
          <w:b/>
        </w:rPr>
        <w:t xml:space="preserve">42 </w:t>
      </w:r>
      <w:r>
        <w:t xml:space="preserve">Blight shall consume all your trees and the produce of your land.</w:t>
      </w:r>
    </w:p>
    <w:p>
      <w:r>
        <w:rPr>
          <w:b/>
        </w:rPr>
        <w:t xml:space="preserve">43 </w:t>
      </w:r>
      <w:r>
        <w:t xml:space="preserve">The proselyte who is in you shall go up over you higher and higher, but you shall go down lower and lower.</w:t>
      </w:r>
    </w:p>
    <w:p>
      <w:r>
        <w:rPr>
          <w:b/>
        </w:rPr>
        <w:t xml:space="preserve">44 </w:t>
      </w:r>
      <w:r>
        <w:t xml:space="preserve">He shall lend to you, but you shall not lend to him. He shall be head, but you shall be tail.</w:t>
      </w:r>
    </w:p>
    <w:p>
      <w:r>
        <w:rPr>
          <w:b/>
        </w:rPr>
        <w:t xml:space="preserve">45 </w:t>
      </w:r>
      <w:r>
        <w:t xml:space="preserve">And all these curses shall come upon you and pursue you and overtake you until they utterly destroy you and until they perish you</w:t>
      </w:r>
      <w:r>
        <w:rPr>
          <w:rStyle w:val="FootnoteReference"/>
        </w:rPr>
        <w:footnoteReference w:id="3716"/>
      </w:r>
      <w:r>
        <w:t xml:space="preserve">, because you did not listen to the voice of the Lord your God, to keep his commands and his ordinances that he commanded you.</w:t>
      </w:r>
    </w:p>
    <w:p>
      <w:r>
        <w:rPr>
          <w:b/>
        </w:rPr>
        <w:t xml:space="preserve">46 </w:t>
      </w:r>
      <w:r>
        <w:t xml:space="preserve">And they shall be in you as signs and wonders</w:t>
      </w:r>
      <w:r>
        <w:rPr>
          <w:rStyle w:val="FootnoteReference"/>
        </w:rPr>
        <w:footnoteReference w:id="3717"/>
      </w:r>
      <w:r>
        <w:t xml:space="preserve"> and in your seed forever,</w:t>
      </w:r>
    </w:p>
    <w:p>
      <w:r>
        <w:rPr>
          <w:b/>
        </w:rPr>
        <w:t xml:space="preserve">47 </w:t>
      </w:r>
      <w:r>
        <w:t xml:space="preserve">because you did not serve the Lord your God with gladness and good heart, because of the abundance of everything.</w:t>
      </w:r>
    </w:p>
    <w:p>
      <w:r>
        <w:rPr>
          <w:b/>
        </w:rPr>
        <w:t xml:space="preserve">48 </w:t>
      </w:r>
      <w:r>
        <w:t xml:space="preserve">And you shall serve</w:t>
      </w:r>
      <w:r>
        <w:rPr>
          <w:rStyle w:val="FootnoteReference"/>
        </w:rPr>
        <w:footnoteReference w:id="3718"/>
      </w:r>
      <w:r>
        <w:t xml:space="preserve"> your enemies whom the Lord will send upon you, in hunger and in thirst and in nakedness and in lack of everything, and he shall put an iron collar</w:t>
      </w:r>
      <w:r>
        <w:rPr>
          <w:rStyle w:val="FootnoteReference"/>
        </w:rPr>
        <w:footnoteReference w:id="3719"/>
      </w:r>
      <w:r>
        <w:t xml:space="preserve"> on your neck until he utterly destroys you.</w:t>
      </w:r>
    </w:p>
    <w:p>
      <w:r>
        <w:rPr>
          <w:b/>
        </w:rPr>
        <w:t xml:space="preserve">49 </w:t>
      </w:r>
      <w:r>
        <w:t xml:space="preserve">The Lord will bring upon you a nation from far away, from the end of the earth, like the rush of an eagle, a nation whose</w:t>
      </w:r>
      <w:r>
        <w:rPr>
          <w:rStyle w:val="FootnoteReference"/>
        </w:rPr>
        <w:footnoteReference w:id="3720"/>
      </w:r>
      <w:r>
        <w:t xml:space="preserve"> voice you do not understand,</w:t>
      </w:r>
    </w:p>
    <w:p>
      <w:r>
        <w:rPr>
          <w:b/>
        </w:rPr>
        <w:t xml:space="preserve">50 </w:t>
      </w:r>
      <w:r>
        <w:t xml:space="preserve">a nation shameless in face, which shall not</w:t>
      </w:r>
      <w:r>
        <w:rPr>
          <w:rStyle w:val="FootnoteReference"/>
        </w:rPr>
        <w:footnoteReference w:id="3721"/>
      </w:r>
      <w:r>
        <w:t xml:space="preserve"> marvel at the face of an elder, and the young it shall not pity,</w:t>
      </w:r>
    </w:p>
    <w:p>
      <w:r>
        <w:rPr>
          <w:b/>
        </w:rPr>
        <w:t xml:space="preserve">51 </w:t>
      </w:r>
      <w:r>
        <w:t xml:space="preserve">and it shall eat the offspring of your cattle</w:t>
      </w:r>
      <w:r>
        <w:rPr>
          <w:rStyle w:val="FootnoteReference"/>
        </w:rPr>
        <w:footnoteReference w:id="3722"/>
      </w:r>
      <w:r>
        <w:t xml:space="preserve"> and the produce of your land, so as not to leave for you grain, wine, oil, the herds of your cattle and the flocks of your sheep, until it destroys you.</w:t>
      </w:r>
    </w:p>
    <w:p>
      <w:r>
        <w:rPr>
          <w:b/>
        </w:rPr>
        <w:t xml:space="preserve">52 </w:t>
      </w:r>
      <w:r>
        <w:t xml:space="preserve">And it shall grind you down</w:t>
      </w:r>
      <w:r>
        <w:rPr>
          <w:rStyle w:val="FootnoteReference"/>
        </w:rPr>
        <w:footnoteReference w:id="3723"/>
      </w:r>
      <w:r>
        <w:t xml:space="preserve"> in all your cities until your high and fortified walls are torn down, those in which you have trusted, in all your land, and it shall afflict you in all your cities that the Lord your God gave you.</w:t>
      </w:r>
    </w:p>
    <w:p>
      <w:r>
        <w:rPr>
          <w:b/>
        </w:rPr>
        <w:t xml:space="preserve">53 </w:t>
      </w:r>
      <w:r>
        <w:t xml:space="preserve">And you shall eat the offspring of your womb</w:t>
      </w:r>
      <w:r>
        <w:rPr>
          <w:rStyle w:val="FootnoteReference"/>
        </w:rPr>
        <w:footnoteReference w:id="3724"/>
      </w:r>
      <w:r>
        <w:t xml:space="preserve">, the flesh of your sons and your daughters that the Lord your God gave you, in your distress and in the affliction with which your enemy afflicts you.</w:t>
      </w:r>
    </w:p>
    <w:p>
      <w:r>
        <w:rPr>
          <w:b/>
        </w:rPr>
        <w:t xml:space="preserve">54 </w:t>
      </w:r>
      <w:r>
        <w:t xml:space="preserve">The delicate one in you and the very tender shall begrudge with his eye</w:t>
      </w:r>
      <w:r>
        <w:rPr>
          <w:rStyle w:val="FootnoteReference"/>
        </w:rPr>
        <w:footnoteReference w:id="3725"/>
      </w:r>
      <w:r>
        <w:t xml:space="preserve"> his brother and the wife in his bosom and the children left over whom he leaves,</w:t>
      </w:r>
    </w:p>
    <w:p>
      <w:r>
        <w:rPr>
          <w:b/>
        </w:rPr>
        <w:t xml:space="preserve">55 </w:t>
      </w:r>
      <w:r>
        <w:t xml:space="preserve">so as to give to one of them from the flesh of his children whom he ate, because nothing was left to him in your distress and in the affliction with which your enemies afflicted you in all your cities.</w:t>
      </w:r>
      <w:r>
        <w:rPr>
          <w:rStyle w:val="FootnoteReference"/>
        </w:rPr>
        <w:footnoteReference w:id="3726"/>
      </w:r>
    </w:p>
    <w:p>
      <w:r>
        <w:rPr>
          <w:b/>
        </w:rPr>
        <w:t xml:space="preserve">56 </w:t>
      </w:r>
      <w:r>
        <w:t xml:space="preserve">And the delicate woman among you and the very tender, whose foot never tried to step on the ground because of delicacy and tenderness, shall begrudge with her eye</w:t>
      </w:r>
      <w:r>
        <w:rPr>
          <w:rStyle w:val="FootnoteReference"/>
        </w:rPr>
        <w:footnoteReference w:id="3727"/>
      </w:r>
      <w:r>
        <w:t xml:space="preserve"> her husband in her bosom and her son and her daughter,</w:t>
      </w:r>
    </w:p>
    <w:p>
      <w:r>
        <w:rPr>
          <w:b/>
        </w:rPr>
        <w:t xml:space="preserve">57 </w:t>
      </w:r>
      <w:r>
        <w:t xml:space="preserve">and her afterbirth</w:t>
      </w:r>
      <w:r>
        <w:rPr>
          <w:rStyle w:val="FootnoteReference"/>
        </w:rPr>
        <w:footnoteReference w:id="3728"/>
      </w:r>
      <w:r>
        <w:t xml:space="preserve"> that came out through her thighs and the child that she bears, for she shall</w:t>
      </w:r>
      <w:r>
        <w:rPr>
          <w:rStyle w:val="FootnoteReference"/>
        </w:rPr>
        <w:footnoteReference w:id="3729"/>
      </w:r>
      <w:r>
        <w:t xml:space="preserve"> eat them because of the lack of everything, secretly, in your distress and in the affliction with which your enemy afflicts you in all your cities.</w:t>
      </w:r>
    </w:p>
    <w:p>
      <w:r>
        <w:rPr>
          <w:b/>
        </w:rPr>
        <w:t xml:space="preserve">58 </w:t>
      </w:r>
      <w:r>
        <w:t xml:space="preserve">If you do not listen so as to do all the words of this law written in this book, to fear this honored and wondrous name, the Lord your God,</w:t>
      </w:r>
    </w:p>
    <w:p>
      <w:r>
        <w:rPr>
          <w:b/>
        </w:rPr>
        <w:t xml:space="preserve">59 </w:t>
      </w:r>
      <w:r>
        <w:t xml:space="preserve">then the Lord will make your blows and the blows of your seed extraordinary, great and wondrous blows, and evil and lasting diseases.</w:t>
      </w:r>
    </w:p>
    <w:p>
      <w:r>
        <w:rPr>
          <w:b/>
        </w:rPr>
        <w:t xml:space="preserve">60 </w:t>
      </w:r>
      <w:r>
        <w:t xml:space="preserve">And he will turn back upon you every evil pain of Egypt that you feared before them, and they shall cling in you.</w:t>
      </w:r>
    </w:p>
    <w:p>
      <w:r>
        <w:rPr>
          <w:b/>
        </w:rPr>
        <w:t xml:space="preserve">61 </w:t>
      </w:r>
      <w:r>
        <w:t xml:space="preserve">And every sickness and every blow not written</w:t>
      </w:r>
      <w:r>
        <w:rPr>
          <w:rStyle w:val="FootnoteReference"/>
        </w:rPr>
        <w:footnoteReference w:id="3730"/>
      </w:r>
      <w:r>
        <w:t xml:space="preserve"> in the book of this law, the Lord will bring upon you until he utterly destroys you.</w:t>
      </w:r>
    </w:p>
    <w:p>
      <w:r>
        <w:rPr>
          <w:b/>
        </w:rPr>
        <w:t xml:space="preserve">62 </w:t>
      </w:r>
      <w:r>
        <w:t xml:space="preserve">And you shall be left few in number</w:t>
      </w:r>
      <w:r>
        <w:rPr>
          <w:rStyle w:val="FootnoteReference"/>
        </w:rPr>
        <w:footnoteReference w:id="3731"/>
      </w:r>
      <w:r>
        <w:t xml:space="preserve">, although you were like the stars of heaven in multitude, because you did not listen to the voice of the Lord your God.</w:t>
      </w:r>
    </w:p>
    <w:p>
      <w:r>
        <w:rPr>
          <w:b/>
        </w:rPr>
        <w:t xml:space="preserve">63 </w:t>
      </w:r>
      <w:r>
        <w:t xml:space="preserve">And it shall be, in the way the Lord rejoiced over</w:t>
      </w:r>
      <w:r>
        <w:rPr>
          <w:rStyle w:val="FootnoteReference"/>
        </w:rPr>
        <w:footnoteReference w:id="3732"/>
      </w:r>
      <w:r>
        <w:t xml:space="preserve"> you to do good to you and multiply you, so the Lord will rejoice over you to utterly destroy you</w:t>
      </w:r>
      <w:r>
        <w:rPr>
          <w:rStyle w:val="FootnoteReference"/>
        </w:rPr>
        <w:footnoteReference w:id="3733"/>
      </w:r>
      <w:r>
        <w:t xml:space="preserve">, and you shall be plucked from the land into which you are entering there to inherit it.</w:t>
      </w:r>
    </w:p>
    <w:p>
      <w:r>
        <w:rPr>
          <w:b/>
        </w:rPr>
        <w:t xml:space="preserve">64 </w:t>
      </w:r>
      <w:r>
        <w:t xml:space="preserve">And the Lord your God will scatter</w:t>
      </w:r>
      <w:r>
        <w:rPr>
          <w:rStyle w:val="FootnoteReference"/>
        </w:rPr>
        <w:footnoteReference w:id="3734"/>
      </w:r>
      <w:r>
        <w:t xml:space="preserve"> you among all the nations, from one end of the earth to the other end of the earth, and there you shall serve other gods, wood and stones, that neither you nor your fathers trusted</w:t>
      </w:r>
      <w:r>
        <w:rPr>
          <w:rStyle w:val="FootnoteReference"/>
        </w:rPr>
        <w:footnoteReference w:id="3735"/>
      </w:r>
      <w:r>
        <w:t xml:space="preserve">.</w:t>
      </w:r>
    </w:p>
    <w:p>
      <w:r>
        <w:rPr>
          <w:b/>
        </w:rPr>
        <w:t xml:space="preserve">65 </w:t>
      </w:r>
      <w:r>
        <w:t xml:space="preserve">But even among those nations he will not give you rest, nor shall there be standing for the sole of your foot, and the Lord</w:t>
      </w:r>
      <w:r>
        <w:rPr>
          <w:rStyle w:val="FootnoteReference"/>
        </w:rPr>
        <w:footnoteReference w:id="3736"/>
      </w:r>
      <w:r>
        <w:t xml:space="preserve"> will give you there a despairing heart and failing eyes and a melting soul.</w:t>
      </w:r>
    </w:p>
    <w:p>
      <w:r>
        <w:rPr>
          <w:b/>
        </w:rPr>
        <w:t xml:space="preserve">66 </w:t>
      </w:r>
      <w:r>
        <w:t xml:space="preserve">And your life shall be hanging before your eyes, and you shall fear by day and by night, and you shall not trust your life.</w:t>
      </w:r>
    </w:p>
    <w:p>
      <w:r>
        <w:rPr>
          <w:b/>
        </w:rPr>
        <w:t xml:space="preserve">67 </w:t>
      </w:r>
      <w:r>
        <w:t xml:space="preserve">In the morning you shall say, How might evening come?</w:t>
      </w:r>
      <w:r>
        <w:rPr>
          <w:rStyle w:val="FootnoteReference"/>
        </w:rPr>
        <w:footnoteReference w:id="3737"/>
      </w:r>
      <w:r>
        <w:t xml:space="preserve"> And in the evening you shall say, How might morning come? from the fear of your heart that you fear and from the sights of your eyes that you see.</w:t>
      </w:r>
    </w:p>
    <w:p>
      <w:r>
        <w:rPr>
          <w:b/>
        </w:rPr>
        <w:t xml:space="preserve">68 </w:t>
      </w:r>
      <w:r>
        <w:t xml:space="preserve">And the Lord will bring you back to Egypt in ships and on the road about which I said, You shall not add to see it again. And there you shall be sold to your enemies as male servants and female servants, and there shall not be one buying</w:t>
      </w:r>
      <w:r>
        <w:rPr>
          <w:rStyle w:val="FootnoteReference"/>
        </w:rPr>
        <w:footnoteReference w:id="3738"/>
      </w:r>
      <w:r>
        <w:t xml:space="preserve">.</w:t>
      </w:r>
    </w:p>
    <w:p>
      <w:r>
        <w:rPr>
          <w:b/>
        </w:rPr>
        <w:t xml:space="preserve">69 </w:t>
      </w:r>
      <w:r>
        <w:t xml:space="preserve">These are the words of the covenant that the Lord commanded Moses to establish with the sons of Israel in the land of Moab, besides the covenant that he covenanted with them in Horeb.</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And Moses called all the sons of Israel and said to them, You have seen all that the Lord did in the land of Egypt before you, to Pharaoh and to his servants and to all his land,</w:t>
      </w:r>
      <w:r>
        <w:rPr>
          <w:rStyle w:val="FootnoteReference"/>
        </w:rPr>
        <w:footnoteReference w:id="3739"/>
      </w:r>
    </w:p>
    <w:p>
      <w:r>
        <w:rPr>
          <w:b/>
        </w:rPr>
        <w:t xml:space="preserve">2 </w:t>
      </w:r>
      <w:r>
        <w:t xml:space="preserve">the great trials that your eyes saw, those signs and those great wonders.</w:t>
      </w:r>
    </w:p>
    <w:p>
      <w:r>
        <w:rPr>
          <w:b/>
        </w:rPr>
        <w:t xml:space="preserve">3 </w:t>
      </w:r>
      <w:r>
        <w:t xml:space="preserve">And the Lord your God did not give you a heart to know and eyes to see and ears to hear</w:t>
      </w:r>
      <w:r>
        <w:rPr>
          <w:rStyle w:val="FootnoteReference"/>
        </w:rPr>
        <w:footnoteReference w:id="3740"/>
      </w:r>
      <w:r>
        <w:t xml:space="preserve"> until this day.</w:t>
      </w:r>
    </w:p>
    <w:p>
      <w:r>
        <w:rPr>
          <w:b/>
        </w:rPr>
        <w:t xml:space="preserve">4 </w:t>
      </w:r>
      <w:r>
        <w:t xml:space="preserve">And he led you forty years in the wilderness. Your garments did not grow old, and your sandals did not wear out from your feet.</w:t>
      </w:r>
    </w:p>
    <w:p>
      <w:r>
        <w:rPr>
          <w:b/>
        </w:rPr>
        <w:t xml:space="preserve">5 </w:t>
      </w:r>
      <w:r>
        <w:t xml:space="preserve">Bread you did not eat, and wine and strong drink you did not drink, so that you might know that this one is the Lord your God.</w:t>
      </w:r>
      <w:r>
        <w:rPr>
          <w:rStyle w:val="FootnoteReference"/>
        </w:rPr>
        <w:footnoteReference w:id="3741"/>
      </w:r>
    </w:p>
    <w:p>
      <w:r>
        <w:rPr>
          <w:b/>
        </w:rPr>
        <w:t xml:space="preserve">6 </w:t>
      </w:r>
      <w:r>
        <w:t xml:space="preserve">And you came to this place, and Sihon king of Heshbon and Og king of Bashan came out to meet us in war</w:t>
      </w:r>
      <w:r>
        <w:rPr>
          <w:rStyle w:val="FootnoteReference"/>
        </w:rPr>
        <w:footnoteReference w:id="3742"/>
      </w:r>
      <w:r>
        <w:t xml:space="preserve">, and we struck them,</w:t>
      </w:r>
    </w:p>
    <w:p>
      <w:r>
        <w:rPr>
          <w:b/>
        </w:rPr>
        <w:t xml:space="preserve">7 </w:t>
      </w:r>
      <w:r>
        <w:t xml:space="preserve">and we took their land and gave it as an inheritance to Reuben and to Gad and to the half-tribe of Manasseh.</w:t>
      </w:r>
      <w:r>
        <w:rPr>
          <w:rStyle w:val="FootnoteReference"/>
        </w:rPr>
        <w:footnoteReference w:id="3743"/>
      </w:r>
    </w:p>
    <w:p>
      <w:r>
        <w:rPr>
          <w:b/>
        </w:rPr>
        <w:t xml:space="preserve">8 </w:t>
      </w:r>
      <w:r>
        <w:t xml:space="preserve">And keep to do all the words of this covenant, so that you may understand everything that you do.</w:t>
      </w:r>
      <w:r>
        <w:rPr>
          <w:rStyle w:val="FootnoteReference"/>
        </w:rPr>
        <w:footnoteReference w:id="3744"/>
      </w:r>
      <w:r>
        <w:t xml:space="preserve"/>
      </w:r>
    </w:p>
    <w:p>
      <w:r>
        <w:rPr>
          <w:b/>
        </w:rPr>
        <w:t xml:space="preserve">9 </w:t>
      </w:r>
      <w:r>
        <w:t xml:space="preserve">You all stand today before the Lord your God, your tribal leaders and your elders and your judges and your scribes, every man of Israel,</w:t>
      </w:r>
    </w:p>
    <w:p>
      <w:r>
        <w:rPr>
          <w:b/>
        </w:rPr>
        <w:t xml:space="preserve">10 </w:t>
      </w:r>
      <w:r>
        <w:t xml:space="preserve">your women and your children and the proselyte</w:t>
      </w:r>
      <w:r>
        <w:rPr>
          <w:rStyle w:val="FootnoteReference"/>
        </w:rPr>
        <w:footnoteReference w:id="3745"/>
      </w:r>
      <w:r>
        <w:t xml:space="preserve"> in the midst of your camp, from your woodcutter to your water carrier,</w:t>
      </w:r>
      <w:r>
        <w:rPr>
          <w:rStyle w:val="FootnoteReference"/>
        </w:rPr>
        <w:footnoteReference w:id="3746"/>
      </w:r>
    </w:p>
    <w:p>
      <w:r>
        <w:rPr>
          <w:b/>
        </w:rPr>
        <w:t xml:space="preserve">11 </w:t>
      </w:r>
      <w:r>
        <w:t xml:space="preserve">to pass into the covenant of the Lord your God and into his curses, whatever the Lord your God covenants with you today,</w:t>
      </w:r>
      <w:r>
        <w:rPr>
          <w:rStyle w:val="FootnoteReference"/>
        </w:rPr>
        <w:footnoteReference w:id="3747"/>
      </w:r>
      <w:r>
        <w:t xml:space="preserve"/>
      </w:r>
    </w:p>
    <w:p>
      <w:r>
        <w:rPr>
          <w:b/>
        </w:rPr>
        <w:t xml:space="preserve">12 </w:t>
      </w:r>
      <w:r>
        <w:t xml:space="preserve">so that he may establish you for himself as a people and he himself will be your God, in the way he said to you and in the way he swore to your fathers, Abraham and Isaac and Jacob.</w:t>
      </w:r>
    </w:p>
    <w:p>
      <w:r>
        <w:rPr>
          <w:b/>
        </w:rPr>
        <w:t xml:space="preserve">13 </w:t>
      </w:r>
      <w:r>
        <w:t xml:space="preserve">And not with you alone do I covenant this covenant and this curse,</w:t>
      </w:r>
      <w:r>
        <w:rPr>
          <w:rStyle w:val="FootnoteReference"/>
        </w:rPr>
        <w:footnoteReference w:id="3748"/>
      </w:r>
      <w:r>
        <w:t xml:space="preserve"/>
      </w:r>
    </w:p>
    <w:p>
      <w:r>
        <w:rPr>
          <w:b/>
        </w:rPr>
        <w:t xml:space="preserve">14 </w:t>
      </w:r>
      <w:r>
        <w:t xml:space="preserve">but also with those here with us today before the Lord your God and with those not here with us today,</w:t>
      </w:r>
    </w:p>
    <w:p>
      <w:r>
        <w:rPr>
          <w:b/>
        </w:rPr>
        <w:t xml:space="preserve">15 </w:t>
      </w:r>
      <w:r>
        <w:t xml:space="preserve">because you know how we dwelt in the land of Egypt and passed through the midst of the nations through which you passed,</w:t>
      </w:r>
      <w:r>
        <w:rPr>
          <w:rStyle w:val="FootnoteReference"/>
        </w:rPr>
        <w:footnoteReference w:id="3749"/>
      </w:r>
      <w:r>
        <w:t xml:space="preserve"/>
      </w:r>
    </w:p>
    <w:p>
      <w:r>
        <w:rPr>
          <w:b/>
        </w:rPr>
        <w:t xml:space="preserve">16 </w:t>
      </w:r>
      <w:r>
        <w:t xml:space="preserve">and you saw their abominations and their idols, wood and stone, silver and gold, that are among them.</w:t>
      </w:r>
      <w:r>
        <w:rPr>
          <w:rStyle w:val="FootnoteReference"/>
        </w:rPr>
        <w:footnoteReference w:id="3750"/>
      </w:r>
      <w:r>
        <w:t xml:space="preserve"/>
      </w:r>
    </w:p>
    <w:p>
      <w:r>
        <w:rPr>
          <w:b/>
        </w:rPr>
        <w:t xml:space="preserve">17 </w:t>
      </w:r>
      <w:r>
        <w:t xml:space="preserve">Lest there is among you a man or woman or clan or tribe whose mind has turned aside from the Lord your God to go serve the gods of those nations, lest there is among you a root springing up in gall and bitterness,</w:t>
      </w:r>
      <w:r>
        <w:rPr>
          <w:rStyle w:val="FootnoteReference"/>
        </w:rPr>
        <w:footnoteReference w:id="3751"/>
      </w:r>
    </w:p>
    <w:p>
      <w:r>
        <w:rPr>
          <w:b/>
        </w:rPr>
        <w:t xml:space="preserve">18 </w:t>
      </w:r>
      <w:r>
        <w:t xml:space="preserve">and it shall be, if he hears the words of this curse and congratulates himself in his heart, saying, Holy things shall be mine</w:t>
      </w:r>
      <w:r>
        <w:rPr>
          <w:rStyle w:val="FootnoteReference"/>
        </w:rPr>
        <w:footnoteReference w:id="3752"/>
      </w:r>
      <w:r>
        <w:t xml:space="preserve">, because in the wandering of my heart I will walk, so that the sinner may not destroy the sinless,</w:t>
      </w:r>
    </w:p>
    <w:p>
      <w:r>
        <w:rPr>
          <w:b/>
        </w:rPr>
        <w:t xml:space="preserve">19 </w:t>
      </w:r>
      <w:r>
        <w:t xml:space="preserve">God will certainly not be willing to be propitiated toward him</w:t>
      </w:r>
      <w:r>
        <w:rPr>
          <w:rStyle w:val="FootnoteReference"/>
        </w:rPr>
        <w:footnoteReference w:id="3753"/>
      </w:r>
      <w:r>
        <w:t xml:space="preserve">, but then the wrath of the Lord and his jealousy will burn in that man, and all the curses of this covenant written in the book of this law will cling to him, and the Lord will wipe out his name from under heaven.</w:t>
      </w:r>
    </w:p>
    <w:p>
      <w:r>
        <w:rPr>
          <w:b/>
        </w:rPr>
        <w:t xml:space="preserve">20 </w:t>
      </w:r>
      <w:r>
        <w:t xml:space="preserve">And the Lord will set him apart for evil</w:t>
      </w:r>
      <w:r>
        <w:rPr>
          <w:rStyle w:val="FootnoteReference"/>
        </w:rPr>
        <w:footnoteReference w:id="3754"/>
      </w:r>
      <w:r>
        <w:t xml:space="preserve"> from all the sons of Israel, according to all the curses</w:t>
      </w:r>
      <w:r>
        <w:rPr>
          <w:rStyle w:val="FootnoteReference"/>
        </w:rPr>
        <w:footnoteReference w:id="3755"/>
      </w:r>
      <w:r>
        <w:t xml:space="preserve"> of the covenant written in the book of this law.</w:t>
      </w:r>
    </w:p>
    <w:p>
      <w:r>
        <w:rPr>
          <w:b/>
        </w:rPr>
        <w:t xml:space="preserve">21 </w:t>
      </w:r>
      <w:r>
        <w:t xml:space="preserve">And another generation will say</w:t>
      </w:r>
      <w:r>
        <w:rPr>
          <w:rStyle w:val="FootnoteReference"/>
        </w:rPr>
        <w:footnoteReference w:id="3756"/>
      </w:r>
      <w:r>
        <w:t xml:space="preserve">, your sons who rise up after you, and the foreigner who may come from a far land, and they shall see the blows of that land and the diseases that the Lord sent on it,</w:t>
      </w:r>
    </w:p>
    <w:p>
      <w:r>
        <w:rPr>
          <w:b/>
        </w:rPr>
        <w:t xml:space="preserve">22 </w:t>
      </w:r>
      <w:r>
        <w:t xml:space="preserve">sulfur and salt</w:t>
      </w:r>
      <w:r>
        <w:rPr>
          <w:rStyle w:val="FootnoteReference"/>
        </w:rPr>
        <w:footnoteReference w:id="3757"/>
      </w:r>
      <w:r>
        <w:t xml:space="preserve">, burned up, all its land. It shall not be sown, nor spring up, nor shall any green thing come up on it, just as Sodom and Gomorrah and Admah and Zeboiim were overthrown, which the Lord overthrew in wrath and anger.</w:t>
      </w:r>
    </w:p>
    <w:p>
      <w:r>
        <w:rPr>
          <w:b/>
        </w:rPr>
        <w:t xml:space="preserve">23 </w:t>
      </w:r>
      <w:r>
        <w:t xml:space="preserve">And all the nations will say, Why did the Lord do thus to this land? What is this great wrath of anger</w:t>
      </w:r>
      <w:r>
        <w:rPr>
          <w:rStyle w:val="FootnoteReference"/>
        </w:rPr>
        <w:footnoteReference w:id="3758"/>
      </w:r>
      <w:r>
        <w:t xml:space="preserve">?</w:t>
      </w:r>
    </w:p>
    <w:p>
      <w:r>
        <w:rPr>
          <w:b/>
        </w:rPr>
        <w:t xml:space="preserve">24 </w:t>
      </w:r>
      <w:r>
        <w:t xml:space="preserve">And they will say, Because they abandoned the covenant of the Lord God of their fathers that he covenanted with their fathers when he brought them out from the land of Egypt,</w:t>
      </w:r>
      <w:r>
        <w:rPr>
          <w:rStyle w:val="FootnoteReference"/>
        </w:rPr>
        <w:footnoteReference w:id="3759"/>
      </w:r>
    </w:p>
    <w:p>
      <w:r>
        <w:rPr>
          <w:b/>
        </w:rPr>
        <w:t xml:space="preserve">25 </w:t>
      </w:r>
      <w:r>
        <w:t xml:space="preserve">and, going, they served other gods and bowed to them, whom they did not know, and he had not allotted them.</w:t>
      </w:r>
    </w:p>
    <w:p>
      <w:r>
        <w:rPr>
          <w:b/>
        </w:rPr>
        <w:t xml:space="preserve">26 </w:t>
      </w:r>
      <w:r>
        <w:t xml:space="preserve">And the Lord was angered in wrath against that land, to bring upon it all the curses written in the book of this law,</w:t>
      </w:r>
      <w:r>
        <w:rPr>
          <w:rStyle w:val="FootnoteReference"/>
        </w:rPr>
        <w:footnoteReference w:id="3760"/>
      </w:r>
      <w:r>
        <w:t xml:space="preserve"/>
      </w:r>
    </w:p>
    <w:p>
      <w:r>
        <w:rPr>
          <w:b/>
        </w:rPr>
        <w:t xml:space="preserve">27 </w:t>
      </w:r>
      <w:r>
        <w:t xml:space="preserve">and the Lord removed them from their land in wrath and anger and exceedingly great provocation and cast them into another land, as now.</w:t>
      </w:r>
    </w:p>
    <w:p>
      <w:r>
        <w:rPr>
          <w:b/>
        </w:rPr>
        <w:t xml:space="preserve">28 </w:t>
      </w:r>
      <w:r>
        <w:t xml:space="preserve">The hidden things belong to the Lord our God, but the revealed things belong to us and to our children forever, to do all the words of this law.</w:t>
      </w:r>
      <w:r>
        <w:rPr>
          <w:rStyle w:val="FootnoteReference"/>
        </w:rPr>
        <w:footnoteReference w:id="3761"/>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And it shall be, when all these words come upon you, the blessing</w:t>
      </w:r>
      <w:r>
        <w:rPr>
          <w:rStyle w:val="FootnoteReference"/>
        </w:rPr>
        <w:footnoteReference w:id="3762"/>
      </w:r>
      <w:r>
        <w:t xml:space="preserve"> and the curse that I set before your face, and you receive them into your heart</w:t>
      </w:r>
      <w:r>
        <w:rPr>
          <w:rStyle w:val="FootnoteReference"/>
        </w:rPr>
        <w:footnoteReference w:id="3763"/>
      </w:r>
      <w:r>
        <w:t xml:space="preserve"> among all the nations where the Lord scattered you there,</w:t>
      </w:r>
    </w:p>
    <w:p>
      <w:r>
        <w:rPr>
          <w:b/>
        </w:rPr>
        <w:t xml:space="preserve">2 </w:t>
      </w:r>
      <w:r>
        <w:t xml:space="preserve">and you turn back to the Lord your God and obey his voice according to everything that I command you today, from your whole heart and from your whole soul,</w:t>
      </w:r>
    </w:p>
    <w:p>
      <w:r>
        <w:rPr>
          <w:b/>
        </w:rPr>
        <w:t xml:space="preserve">3 </w:t>
      </w:r>
      <w:r>
        <w:t xml:space="preserve">then the</w:t>
      </w:r>
      <w:r>
        <w:rPr>
          <w:rStyle w:val="FootnoteReference"/>
        </w:rPr>
        <w:footnoteReference w:id="3764"/>
      </w:r>
      <w:r>
        <w:t xml:space="preserve"> Lord will heal your sins and have mercy on you, and again the Lord will gather you from all the nations into which the Lord scattered you there.</w:t>
      </w:r>
    </w:p>
    <w:p>
      <w:r>
        <w:rPr>
          <w:b/>
        </w:rPr>
        <w:t xml:space="preserve">4 </w:t>
      </w:r>
      <w:r>
        <w:t xml:space="preserve">If your dispersion is from one end of heaven to the other end of heaven, from there the Lord your God will gather you, and from there the Lord your God will take you.</w:t>
      </w:r>
    </w:p>
    <w:p>
      <w:r>
        <w:rPr>
          <w:b/>
        </w:rPr>
        <w:t xml:space="preserve">5 </w:t>
      </w:r>
      <w:r>
        <w:t xml:space="preserve">And the Lord your God will bring you into the land that your fathers inherited, and you shall inherit it, and he will do good for you and make you more numerous than your fathers.</w:t>
      </w:r>
    </w:p>
    <w:p>
      <w:r>
        <w:rPr>
          <w:b/>
        </w:rPr>
        <w:t xml:space="preserve">6 </w:t>
      </w:r>
      <w:r>
        <w:t xml:space="preserve">And the Lord will purify your heart and the heart of your seed, to love the Lord</w:t>
      </w:r>
      <w:r>
        <w:rPr>
          <w:rStyle w:val="FootnoteReference"/>
        </w:rPr>
        <w:footnoteReference w:id="3765"/>
      </w:r>
      <w:r>
        <w:t xml:space="preserve"> your God from your whole heart and from your whole soul, so that you may live.</w:t>
      </w:r>
    </w:p>
    <w:p>
      <w:r>
        <w:rPr>
          <w:b/>
        </w:rPr>
        <w:t xml:space="preserve">7 </w:t>
      </w:r>
      <w:r>
        <w:t xml:space="preserve">And the Lord your God will put these curses on your enemies</w:t>
      </w:r>
      <w:r>
        <w:rPr>
          <w:rStyle w:val="FootnoteReference"/>
        </w:rPr>
        <w:footnoteReference w:id="3766"/>
      </w:r>
      <w:r>
        <w:t xml:space="preserve"> and on those hating you who persecuted you.</w:t>
      </w:r>
    </w:p>
    <w:p>
      <w:r>
        <w:rPr>
          <w:b/>
        </w:rPr>
        <w:t xml:space="preserve">8 </w:t>
      </w:r>
      <w:r>
        <w:t xml:space="preserve">And you shall turn back and obey the voice</w:t>
      </w:r>
      <w:r>
        <w:rPr>
          <w:rStyle w:val="FootnoteReference"/>
        </w:rPr>
        <w:footnoteReference w:id="3767"/>
      </w:r>
      <w:r>
        <w:t xml:space="preserve"> of the Lord your God and do his commands that I command you today.</w:t>
      </w:r>
    </w:p>
    <w:p>
      <w:r>
        <w:rPr>
          <w:b/>
        </w:rPr>
        <w:t xml:space="preserve">9 </w:t>
      </w:r>
      <w:r>
        <w:t xml:space="preserve">And the Lord your God will make you abound</w:t>
      </w:r>
      <w:r>
        <w:rPr>
          <w:rStyle w:val="FootnoteReference"/>
        </w:rPr>
        <w:footnoteReference w:id="3768"/>
      </w:r>
      <w:r>
        <w:t xml:space="preserve"> in every work of your hands, in the offspring of your womb and in the produce of your land and in the offspring of your cattle, because the Lord your God will return to rejoice over you for good, in the way he rejoiced over your fathers,</w:t>
      </w:r>
    </w:p>
    <w:p>
      <w:r>
        <w:rPr>
          <w:b/>
        </w:rPr>
        <w:t xml:space="preserve">10 </w:t>
      </w:r>
      <w:r>
        <w:t xml:space="preserve">if you obey the voice of the Lord your God, to keep and do all his commands and his ordinances and his judgments written in the book of this law, if you turn back to the Lord your God from your whole heart and from your whole soul.</w:t>
      </w:r>
      <w:r>
        <w:rPr>
          <w:rStyle w:val="FootnoteReference"/>
        </w:rPr>
        <w:footnoteReference w:id="3769"/>
      </w:r>
    </w:p>
    <w:p>
      <w:r>
        <w:rPr>
          <w:b/>
        </w:rPr>
        <w:t xml:space="preserve">11 </w:t>
      </w:r>
      <w:r>
        <w:t xml:space="preserve">Because this command that I command you today is not excessively hard, nor is it far from you.</w:t>
      </w:r>
    </w:p>
    <w:p>
      <w:r>
        <w:rPr>
          <w:b/>
        </w:rPr>
        <w:t xml:space="preserve">12 </w:t>
      </w:r>
      <w:r>
        <w:t xml:space="preserve">It is not in heaven above, saying, Who will go up for us into heaven and take it for us, and after hearing it we will do it?</w:t>
      </w:r>
    </w:p>
    <w:p>
      <w:r>
        <w:rPr>
          <w:b/>
        </w:rPr>
        <w:t xml:space="preserve">13 </w:t>
      </w:r>
      <w:r>
        <w:t xml:space="preserve">Nor is it beyond the sea, saying, Who will cross over for us to the far side of the sea and take it for us and make it heard to us, and we will do it?</w:t>
      </w:r>
    </w:p>
    <w:p>
      <w:r>
        <w:rPr>
          <w:b/>
        </w:rPr>
        <w:t xml:space="preserve">14 </w:t>
      </w:r>
      <w:r>
        <w:t xml:space="preserve">The word is very</w:t>
      </w:r>
      <w:r>
        <w:rPr>
          <w:rStyle w:val="FootnoteReference"/>
        </w:rPr>
        <w:footnoteReference w:id="3770"/>
      </w:r>
      <w:r>
        <w:t xml:space="preserve"> near you, in your mouth and in your heart and in your hands to do it.</w:t>
      </w:r>
    </w:p>
    <w:p>
      <w:r>
        <w:rPr>
          <w:b/>
        </w:rPr>
        <w:t xml:space="preserve">15 </w:t>
      </w:r>
      <w:r>
        <w:t xml:space="preserve">Behold, I have set before your face today life and death, good and evil.</w:t>
      </w:r>
    </w:p>
    <w:p>
      <w:r>
        <w:rPr>
          <w:b/>
        </w:rPr>
        <w:t xml:space="preserve">16 </w:t>
      </w:r>
      <w:r>
        <w:t xml:space="preserve">If you obey the commands of the Lord your God that I command you today, to love</w:t>
      </w:r>
      <w:r>
        <w:rPr>
          <w:rStyle w:val="FootnoteReference"/>
        </w:rPr>
        <w:footnoteReference w:id="3771"/>
      </w:r>
      <w:r>
        <w:t xml:space="preserve"> the Lord your God, to walk in all his ways, to keep his ordinances and his judgments, then you shall live and be many</w:t>
      </w:r>
      <w:r>
        <w:rPr>
          <w:rStyle w:val="FootnoteReference"/>
        </w:rPr>
        <w:footnoteReference w:id="3772"/>
      </w:r>
      <w:r>
        <w:t xml:space="preserve">, and the Lord your God will bless you in all the land into which you are entering there to inherit it.</w:t>
      </w:r>
    </w:p>
    <w:p>
      <w:r>
        <w:rPr>
          <w:b/>
        </w:rPr>
        <w:t xml:space="preserve">17 </w:t>
      </w:r>
      <w:r>
        <w:t xml:space="preserve">And if your heart</w:t>
      </w:r>
      <w:r>
        <w:rPr>
          <w:rStyle w:val="FootnoteReference"/>
        </w:rPr>
        <w:footnoteReference w:id="3773"/>
      </w:r>
      <w:r>
        <w:t xml:space="preserve"> turns away and you do not listen, and being led astray you bow to other gods and serve them,</w:t>
      </w:r>
    </w:p>
    <w:p>
      <w:r>
        <w:rPr>
          <w:b/>
        </w:rPr>
        <w:t xml:space="preserve">18 </w:t>
      </w:r>
      <w:r>
        <w:t xml:space="preserve">I declare to you today that with destruction you shall perish, and you shall certainly not be long-lived on the land that the Lord your God gives you, into which you are crossing the Jordan there to inherit it.</w:t>
      </w:r>
    </w:p>
    <w:p>
      <w:r>
        <w:rPr>
          <w:b/>
        </w:rPr>
        <w:t xml:space="preserve">19 </w:t>
      </w:r>
      <w:r>
        <w:t xml:space="preserve">I call heaven</w:t>
      </w:r>
      <w:r>
        <w:rPr>
          <w:rStyle w:val="FootnoteReference"/>
        </w:rPr>
        <w:footnoteReference w:id="3774"/>
      </w:r>
      <w:r>
        <w:t xml:space="preserve"> and earth to witness to you today. I have set before your face life and death, blessing and curse. Choose life so that you and your seed may live,</w:t>
      </w:r>
    </w:p>
    <w:p>
      <w:r>
        <w:rPr>
          <w:b/>
        </w:rPr>
        <w:t xml:space="preserve">20 </w:t>
      </w:r>
      <w:r>
        <w:t xml:space="preserve">loving the Lord your God, obeying his voice, and holding fast to him, because this is your life</w:t>
      </w:r>
      <w:r>
        <w:rPr>
          <w:rStyle w:val="FootnoteReference"/>
        </w:rPr>
        <w:footnoteReference w:id="3775"/>
      </w:r>
      <w:r>
        <w:t xml:space="preserve"> and the length of your days, for you to dwell on the land that the Lord swore to your fathers, Abraham and Isaac and Jacob, to give to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And Moses finished speaking all these words to all the sons of Israel,</w:t>
      </w:r>
    </w:p>
    <w:p>
      <w:r>
        <w:rPr>
          <w:b/>
        </w:rPr>
        <w:t xml:space="preserve">2 </w:t>
      </w:r>
      <w:r>
        <w:t xml:space="preserve">and said to them, I am one hundred and twenty years old today. I will not be able any longer to go in and come out, and the Lord said to me, You shall not cross this Jordan.</w:t>
      </w:r>
    </w:p>
    <w:p>
      <w:r>
        <w:rPr>
          <w:b/>
        </w:rPr>
        <w:t xml:space="preserve">3 </w:t>
      </w:r>
      <w:r>
        <w:t xml:space="preserve">The Lord your God, the one going before your face, he will utterly destroy these nations from before your face, and you will inherit them, and Joshua</w:t>
      </w:r>
      <w:r>
        <w:rPr>
          <w:rStyle w:val="FootnoteReference"/>
        </w:rPr>
        <w:footnoteReference w:id="3776"/>
      </w:r>
      <w:r>
        <w:t xml:space="preserve">, the one going before your face, will do so, just as the Lord spoke.</w:t>
      </w:r>
    </w:p>
    <w:p>
      <w:r>
        <w:rPr>
          <w:b/>
        </w:rPr>
        <w:t xml:space="preserve">4 </w:t>
      </w:r>
      <w:r>
        <w:t xml:space="preserve">And the Lord will do to them just as he did to Sihon and Og, the two kings of the Amorites who were beyond the Jordan, and to their land, in the way he utterly destroyed them.</w:t>
      </w:r>
    </w:p>
    <w:p>
      <w:r>
        <w:rPr>
          <w:b/>
        </w:rPr>
        <w:t xml:space="preserve">5 </w:t>
      </w:r>
      <w:r>
        <w:t xml:space="preserve">And the Lord</w:t>
      </w:r>
      <w:r>
        <w:rPr>
          <w:rStyle w:val="FootnoteReference"/>
        </w:rPr>
        <w:footnoteReference w:id="3777"/>
      </w:r>
      <w:r>
        <w:t xml:space="preserve"> handed them over to you, and you shall do to them just as I commanded you.</w:t>
      </w:r>
    </w:p>
    <w:p>
      <w:r>
        <w:rPr>
          <w:b/>
        </w:rPr>
        <w:t xml:space="preserve">6 </w:t>
      </w:r>
      <w:r>
        <w:t xml:space="preserve">Be courageous and strong. Do not fear, nor be cowardly, nor terrified before their face, because the Lord your God, the one going before with you, will certainly not leave you nor forsake you.</w:t>
      </w:r>
    </w:p>
    <w:p>
      <w:r>
        <w:rPr>
          <w:b/>
        </w:rPr>
        <w:t xml:space="preserve">7 </w:t>
      </w:r>
      <w:r>
        <w:t xml:space="preserve">And Moses called Joshua and said to him before all Israel, Be courageous and strong, because you will enter before this people into the land that the Lord swore to our fathers to give to them, and you will distribute it to them as an inheritance.</w:t>
      </w:r>
    </w:p>
    <w:p>
      <w:r>
        <w:rPr>
          <w:b/>
        </w:rPr>
        <w:t xml:space="preserve">8 </w:t>
      </w:r>
      <w:r>
        <w:t xml:space="preserve">And the Lord, the one going together with you, will not leave you nor forsake you. Do not fear, nor be cowardly.</w:t>
      </w:r>
    </w:p>
    <w:p>
      <w:r>
        <w:rPr>
          <w:b/>
        </w:rPr>
        <w:t xml:space="preserve">9 </w:t>
      </w:r>
      <w:r>
        <w:t xml:space="preserve">And Moses</w:t>
      </w:r>
      <w:r>
        <w:rPr>
          <w:rStyle w:val="FootnoteReference"/>
        </w:rPr>
        <w:footnoteReference w:id="3778"/>
      </w:r>
      <w:r>
        <w:t xml:space="preserve"> wrote the words of this law in a book and gave it to the priests, the sons of Levi, those carrying the ark of the covenant of the Lord, and to the elders of the sons of Israel.</w:t>
      </w:r>
    </w:p>
    <w:p>
      <w:r>
        <w:rPr>
          <w:b/>
        </w:rPr>
        <w:t xml:space="preserve">10 </w:t>
      </w:r>
      <w:r>
        <w:t xml:space="preserve">And Moses commanded them on that day, saying, After seven years, at the time of the year of release, at the feast of tabernacle-making,</w:t>
      </w:r>
    </w:p>
    <w:p>
      <w:r>
        <w:rPr>
          <w:b/>
        </w:rPr>
        <w:t xml:space="preserve">11 </w:t>
      </w:r>
      <w:r>
        <w:t xml:space="preserve">when all Israel comes to appear</w:t>
      </w:r>
      <w:r>
        <w:rPr>
          <w:rStyle w:val="FootnoteReference"/>
        </w:rPr>
        <w:footnoteReference w:id="3779"/>
      </w:r>
      <w:r>
        <w:t xml:space="preserve"> before the Lord your God in the place that the Lord chooses, you shall read this law before all Israel in their ears.</w:t>
      </w:r>
    </w:p>
    <w:p>
      <w:r>
        <w:rPr>
          <w:b/>
        </w:rPr>
        <w:t xml:space="preserve">12 </w:t>
      </w:r>
      <w:r>
        <w:t xml:space="preserve">Assemble the people, the men and the women and the children and the proselyte in your cities</w:t>
      </w:r>
      <w:r>
        <w:rPr>
          <w:rStyle w:val="FootnoteReference"/>
        </w:rPr>
        <w:footnoteReference w:id="3780"/>
      </w:r>
      <w:r>
        <w:t xml:space="preserve">, so that they may</w:t>
      </w:r>
      <w:r>
        <w:rPr>
          <w:rStyle w:val="FootnoteReference"/>
        </w:rPr>
        <w:footnoteReference w:id="3781"/>
      </w:r>
      <w:r>
        <w:t xml:space="preserve"> hear and so that they may learn to fear the Lord your God, and they will listen so as to do all the words of this law.</w:t>
      </w:r>
    </w:p>
    <w:p>
      <w:r>
        <w:rPr>
          <w:b/>
        </w:rPr>
        <w:t xml:space="preserve">13 </w:t>
      </w:r>
      <w:r>
        <w:t xml:space="preserve">And their sons, who do not know, shall hear and learn to fear the Lord your God all the days that they live on the land into which you are crossing the Jordan there to inherit it.</w:t>
      </w:r>
    </w:p>
    <w:p>
      <w:r>
        <w:rPr>
          <w:b/>
        </w:rPr>
        <w:t xml:space="preserve">14 </w:t>
      </w:r>
      <w:r>
        <w:t xml:space="preserve">And the Lord said to Moses, Behold, the days of your death have drawn near. Call Joshua, and stand by the doors of the tent of testimony, and I will command him. And Moses and Joshua went into the tent of testimony and stood by the doors of the tent of testimony.</w:t>
      </w:r>
      <w:r>
        <w:rPr>
          <w:rStyle w:val="FootnoteReference"/>
        </w:rPr>
        <w:footnoteReference w:id="3782"/>
      </w:r>
    </w:p>
    <w:p>
      <w:r>
        <w:rPr>
          <w:b/>
        </w:rPr>
        <w:t xml:space="preserve">15 </w:t>
      </w:r>
      <w:r>
        <w:t xml:space="preserve">And the Lord came down in a cloud and stood by the doors of the tent of testimony, and the pillar of cloud stood by the doors of the tent.</w:t>
      </w:r>
    </w:p>
    <w:p>
      <w:r>
        <w:rPr>
          <w:b/>
        </w:rPr>
        <w:t xml:space="preserve">16 </w:t>
      </w:r>
      <w:r>
        <w:t xml:space="preserve">And the Lord said to Moses, Behold, you sleep</w:t>
      </w:r>
      <w:r>
        <w:rPr>
          <w:rStyle w:val="FootnoteReference"/>
        </w:rPr>
        <w:footnoteReference w:id="3783"/>
      </w:r>
      <w:r>
        <w:t xml:space="preserve"> with your fathers, and this people, rising up, will prostitute itself after the foreign gods of the land into which it enters there, and they will abandon me and scatter my covenant that I covenanted with them.</w:t>
      </w:r>
      <w:r>
        <w:rPr>
          <w:rStyle w:val="FootnoteReference"/>
        </w:rPr>
        <w:footnoteReference w:id="3784"/>
      </w:r>
    </w:p>
    <w:p>
      <w:r>
        <w:rPr>
          <w:b/>
        </w:rPr>
        <w:t xml:space="preserve">17 </w:t>
      </w:r>
      <w:r>
        <w:t xml:space="preserve">And I will be angered in wrath against them in that day and abandon them and turn my face away from them, and he shall be for eating</w:t>
      </w:r>
      <w:r>
        <w:rPr>
          <w:rStyle w:val="FootnoteReference"/>
        </w:rPr>
        <w:footnoteReference w:id="3785"/>
      </w:r>
      <w:r>
        <w:t xml:space="preserve">, and many evils and afflictions shall find him, and he shall say in that day, Because the Lord my God is not in me, these evils found me.</w:t>
      </w:r>
    </w:p>
    <w:p>
      <w:r>
        <w:rPr>
          <w:b/>
        </w:rPr>
        <w:t xml:space="preserve">18 </w:t>
      </w:r>
      <w:r>
        <w:t xml:space="preserve">And I, hiding, will hide my face from them in that day because of all the evils that they did, because they turned to foreign gods.</w:t>
      </w:r>
    </w:p>
    <w:p>
      <w:r>
        <w:rPr>
          <w:b/>
        </w:rPr>
        <w:t xml:space="preserve">19 </w:t>
      </w:r>
      <w:r>
        <w:t xml:space="preserve">And now write the words of this song</w:t>
      </w:r>
      <w:r>
        <w:rPr>
          <w:rStyle w:val="FootnoteReference"/>
        </w:rPr>
        <w:footnoteReference w:id="3786"/>
      </w:r>
      <w:r>
        <w:t xml:space="preserve">, and teach it to the sons of Israel and put it into their mouth, so that this song may become for me a witness among the sons of Israel.</w:t>
      </w:r>
    </w:p>
    <w:p>
      <w:r>
        <w:rPr>
          <w:b/>
        </w:rPr>
        <w:t xml:space="preserve">20 </w:t>
      </w:r>
      <w:r>
        <w:t xml:space="preserve">For I will bring them into the good land that I swore to their fathers to give to them, a land flowing with milk and honey, and they shall eat and be filled and be satisfied, and they shall turn to foreign gods and serve them and provoke me and scatter my covenant</w:t>
      </w:r>
      <w:r>
        <w:rPr>
          <w:rStyle w:val="FootnoteReference"/>
        </w:rPr>
        <w:footnoteReference w:id="3787"/>
      </w:r>
      <w:r>
        <w:t xml:space="preserve">.</w:t>
      </w:r>
    </w:p>
    <w:p>
      <w:r>
        <w:rPr>
          <w:b/>
        </w:rPr>
        <w:t xml:space="preserve">21 </w:t>
      </w:r>
      <w:r>
        <w:t xml:space="preserve">And this song</w:t>
      </w:r>
      <w:r>
        <w:rPr>
          <w:rStyle w:val="FootnoteReference"/>
        </w:rPr>
        <w:footnoteReference w:id="3788"/>
      </w:r>
      <w:r>
        <w:t xml:space="preserve"> shall stand against them as a witness</w:t>
      </w:r>
      <w:r>
        <w:rPr>
          <w:rStyle w:val="FootnoteReference"/>
        </w:rPr>
        <w:footnoteReference w:id="3789"/>
      </w:r>
      <w:r>
        <w:t xml:space="preserve">. It shall certainly not be forgotten from their mouth and from the mouth of their seed, because I know their wickedness, what they do here today before I bring them into the good land that I swore to their fathers.</w:t>
      </w:r>
    </w:p>
    <w:p>
      <w:r>
        <w:rPr>
          <w:b/>
        </w:rPr>
        <w:t xml:space="preserve">22 </w:t>
      </w:r>
      <w:r>
        <w:t xml:space="preserve">And Moses wrote this song on that day and taught it to the sons of Israel.</w:t>
      </w:r>
    </w:p>
    <w:p>
      <w:r>
        <w:rPr>
          <w:b/>
        </w:rPr>
        <w:t xml:space="preserve">23 </w:t>
      </w:r>
      <w:r>
        <w:t xml:space="preserve">And Moses commanded Joshua and said to him, Be courageous and strong, because you will bring the sons of Israel into the land that the Lord swore to them, and he himself will be with you.</w:t>
      </w:r>
    </w:p>
    <w:p>
      <w:r>
        <w:rPr>
          <w:b/>
        </w:rPr>
        <w:t xml:space="preserve">24 </w:t>
      </w:r>
      <w:r>
        <w:t xml:space="preserve">And when Moses finished writing all the words of this law into a book, until the end,</w:t>
      </w:r>
    </w:p>
    <w:p>
      <w:r>
        <w:rPr>
          <w:b/>
        </w:rPr>
        <w:t xml:space="preserve">25 </w:t>
      </w:r>
      <w:r>
        <w:t xml:space="preserve">then he commanded the Levites, those carrying the ark of the covenant of the Lord, saying,</w:t>
      </w:r>
    </w:p>
    <w:p>
      <w:r>
        <w:rPr>
          <w:b/>
        </w:rPr>
        <w:t xml:space="preserve">26 </w:t>
      </w:r>
      <w:r>
        <w:t xml:space="preserve">Take the book of this law and place it at the side of the ark of the covenant of the Lord your God, and it shall be there among you as a witness</w:t>
      </w:r>
      <w:r>
        <w:rPr>
          <w:rStyle w:val="FootnoteReference"/>
        </w:rPr>
        <w:footnoteReference w:id="3790"/>
      </w:r>
      <w:r>
        <w:t xml:space="preserve">.</w:t>
      </w:r>
    </w:p>
    <w:p>
      <w:r>
        <w:rPr>
          <w:b/>
        </w:rPr>
        <w:t xml:space="preserve">27 </w:t>
      </w:r>
      <w:r>
        <w:t xml:space="preserve">Because I know your provocation and your stiff neck</w:t>
      </w:r>
      <w:r>
        <w:rPr>
          <w:rStyle w:val="FootnoteReference"/>
        </w:rPr>
        <w:footnoteReference w:id="3791"/>
      </w:r>
      <w:r>
        <w:t xml:space="preserve">. For while I am still living with you today, you were embittering the things toward God. How much more after my death?</w:t>
      </w:r>
    </w:p>
    <w:p>
      <w:r>
        <w:rPr>
          <w:b/>
        </w:rPr>
        <w:t xml:space="preserve">28 </w:t>
      </w:r>
      <w:r>
        <w:t xml:space="preserve">Assemble to me your tribal leaders and your elders and your judges and your scribes, so that I may speak all these words in their ears and call heaven</w:t>
      </w:r>
      <w:r>
        <w:rPr>
          <w:rStyle w:val="FootnoteReference"/>
        </w:rPr>
        <w:footnoteReference w:id="3792"/>
      </w:r>
      <w:r>
        <w:t xml:space="preserve"> and earth to witness against them.</w:t>
      </w:r>
    </w:p>
    <w:p>
      <w:r>
        <w:rPr>
          <w:b/>
        </w:rPr>
        <w:t xml:space="preserve">29 </w:t>
      </w:r>
      <w:r>
        <w:t xml:space="preserve">For I know that after the end of my life you will break the law lawlessly and turn aside from the way that I commanded you, and evils will meet you at the end of the days, because you will do evil before the Lord, provoking him in the works of your hands.</w:t>
      </w:r>
      <w:r>
        <w:rPr>
          <w:rStyle w:val="FootnoteReference"/>
        </w:rPr>
        <w:footnoteReference w:id="3793"/>
      </w:r>
    </w:p>
    <w:p>
      <w:r>
        <w:rPr>
          <w:b/>
        </w:rPr>
        <w:t xml:space="preserve">30 </w:t>
      </w:r>
      <w:r>
        <w:t xml:space="preserve">And Moses spoke in the ears of the whole assembly of Israel</w:t>
      </w:r>
      <w:r>
        <w:rPr>
          <w:rStyle w:val="FootnoteReference"/>
        </w:rPr>
        <w:footnoteReference w:id="3794"/>
      </w:r>
      <w:r>
        <w:t xml:space="preserve"> the words of this song until the end.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t xml:space="preserve">Pay attention, O heaven, and I will speak, and let the earth hear words from my mouth.</w:t>
      </w:r>
    </w:p>
    <w:p>
      <w:r>
        <w:rPr>
          <w:b/>
        </w:rPr>
        <w:t xml:space="preserve">2 </w:t>
      </w:r>
      <w:r>
        <w:t xml:space="preserve">Let my utterance be awaited like rain, and let my words come down like dew, like a storm on fresh grass and like snowfall on grass.</w:t>
      </w:r>
    </w:p>
    <w:p>
      <w:r>
        <w:rPr>
          <w:b/>
        </w:rPr>
        <w:t xml:space="preserve">3 </w:t>
      </w:r>
      <w:r>
        <w:t xml:space="preserve">Because I called on the name of the Lord, give greatness to our God.</w:t>
      </w:r>
    </w:p>
    <w:p>
      <w:r>
        <w:rPr>
          <w:b/>
        </w:rPr>
        <w:t xml:space="preserve">4 </w:t>
      </w:r>
      <w:r>
        <w:t xml:space="preserve">God, his works are true, and all his</w:t>
      </w:r>
      <w:r>
        <w:rPr>
          <w:rStyle w:val="FootnoteReference"/>
        </w:rPr>
        <w:footnoteReference w:id="3795"/>
      </w:r>
      <w:r>
        <w:t xml:space="preserve"> ways are judgments, faithful God</w:t>
      </w:r>
      <w:r>
        <w:rPr>
          <w:rStyle w:val="FootnoteReference"/>
        </w:rPr>
        <w:footnoteReference w:id="3796"/>
      </w:r>
      <w:r>
        <w:t xml:space="preserve">, and there is no injustice, righteous and holy is the Lord.</w:t>
      </w:r>
      <w:r>
        <w:rPr>
          <w:rStyle w:val="FootnoteReference"/>
        </w:rPr>
        <w:footnoteReference w:id="3797"/>
      </w:r>
    </w:p>
    <w:p>
      <w:r>
        <w:rPr>
          <w:b/>
        </w:rPr>
        <w:t xml:space="preserve">5 </w:t>
      </w:r>
      <w:r>
        <w:t xml:space="preserve">They sinned, not to him; blameworthy children, a crooked and twisted generation.</w:t>
      </w:r>
    </w:p>
    <w:p>
      <w:r>
        <w:rPr>
          <w:b/>
        </w:rPr>
        <w:t xml:space="preserve">6 </w:t>
      </w:r>
      <w:r>
        <w:t xml:space="preserve">Do you repay the Lord like this, foolish people and not wise? Is not this one your father? He acquired you and made you and created you.</w:t>
      </w:r>
    </w:p>
    <w:p>
      <w:r>
        <w:rPr>
          <w:b/>
        </w:rPr>
        <w:t xml:space="preserve">7 </w:t>
      </w:r>
      <w:r>
        <w:t xml:space="preserve">Remember the days of old</w:t>
      </w:r>
      <w:r>
        <w:rPr>
          <w:rStyle w:val="FootnoteReference"/>
        </w:rPr>
        <w:footnoteReference w:id="3798"/>
      </w:r>
      <w:r>
        <w:t xml:space="preserve">; understand the years of generation after generation. Ask your father, and he will report to you, your elders, and they will tell you.</w:t>
      </w:r>
      <w:r>
        <w:rPr>
          <w:rStyle w:val="FootnoteReference"/>
        </w:rPr>
        <w:footnoteReference w:id="3799"/>
      </w:r>
    </w:p>
    <w:p>
      <w:r>
        <w:rPr>
          <w:b/>
        </w:rPr>
        <w:t xml:space="preserve">8 </w:t>
      </w:r>
      <w:r>
        <w:t xml:space="preserve">When the Most</w:t>
      </w:r>
      <w:r>
        <w:rPr>
          <w:rStyle w:val="FootnoteReference"/>
        </w:rPr>
        <w:footnoteReference w:id="3800"/>
      </w:r>
      <w:r>
        <w:t xml:space="preserve"> High divided nations, when he scattered sons of Adam, he set the boundaries of the nations according to the number of the angels of God.</w:t>
      </w:r>
    </w:p>
    <w:p>
      <w:r>
        <w:rPr>
          <w:b/>
        </w:rPr>
        <w:t xml:space="preserve">9 </w:t>
      </w:r>
      <w:r>
        <w:t xml:space="preserve">And the Lord's</w:t>
      </w:r>
      <w:r>
        <w:rPr>
          <w:rStyle w:val="FootnoteReference"/>
        </w:rPr>
        <w:footnoteReference w:id="3801"/>
      </w:r>
      <w:r>
        <w:t xml:space="preserve"> portion became his people, Jacob, the measuring line of his inheritance</w:t>
      </w:r>
      <w:r>
        <w:rPr>
          <w:rStyle w:val="FootnoteReference"/>
        </w:rPr>
        <w:footnoteReference w:id="3802"/>
      </w:r>
      <w:r>
        <w:t xml:space="preserve">, Israel.</w:t>
      </w:r>
    </w:p>
    <w:p>
      <w:r>
        <w:rPr>
          <w:b/>
        </w:rPr>
        <w:t xml:space="preserve">10 </w:t>
      </w:r>
      <w:r>
        <w:t xml:space="preserve">He provided for him in a wilderness land, in thirst of heat, in a waterless place. He encircled him and disciplined him and guarded him as the pupil of an eye.</w:t>
      </w:r>
    </w:p>
    <w:p>
      <w:r>
        <w:rPr>
          <w:b/>
        </w:rPr>
        <w:t xml:space="preserve">11 </w:t>
      </w:r>
      <w:r>
        <w:t xml:space="preserve">Like an eagle sheltering its nest and longing over its young, spreading its wings, it received them and took them up on its back.</w:t>
      </w:r>
    </w:p>
    <w:p>
      <w:r>
        <w:rPr>
          <w:b/>
        </w:rPr>
        <w:t xml:space="preserve">12 </w:t>
      </w:r>
      <w:r>
        <w:t xml:space="preserve">The Lord</w:t>
      </w:r>
      <w:r>
        <w:rPr>
          <w:rStyle w:val="FootnoteReference"/>
        </w:rPr>
        <w:footnoteReference w:id="3803"/>
      </w:r>
      <w:r>
        <w:t xml:space="preserve"> alone led them, and there was no foreign god with them.</w:t>
      </w:r>
    </w:p>
    <w:p>
      <w:r>
        <w:rPr>
          <w:b/>
        </w:rPr>
        <w:t xml:space="preserve">13 </w:t>
      </w:r>
      <w:r>
        <w:t xml:space="preserve">He brought them up on the strength of the land; he fed them with the produce of fields. They sucked honey</w:t>
      </w:r>
      <w:r>
        <w:rPr>
          <w:rStyle w:val="FootnoteReference"/>
        </w:rPr>
        <w:footnoteReference w:id="3804"/>
      </w:r>
      <w:r>
        <w:t xml:space="preserve"> out of a rock and oil out of solid rock,</w:t>
      </w:r>
    </w:p>
    <w:p>
      <w:r>
        <w:rPr>
          <w:b/>
        </w:rPr>
        <w:t xml:space="preserve">14 </w:t>
      </w:r>
      <w:r>
        <w:t xml:space="preserve">butter</w:t>
      </w:r>
      <w:r>
        <w:rPr>
          <w:rStyle w:val="FootnoteReference"/>
        </w:rPr>
        <w:footnoteReference w:id="3805"/>
      </w:r>
      <w:r>
        <w:t xml:space="preserve"> of cattle and milk of sheep, with the fat of lambs and rams, sons of bulls and goats, with the fat of kidneys of wheat, and they drank the blood of grapes, wine.</w:t>
      </w:r>
    </w:p>
    <w:p>
      <w:r>
        <w:rPr>
          <w:b/>
        </w:rPr>
        <w:t xml:space="preserve">15 </w:t>
      </w:r>
      <w:r>
        <w:t xml:space="preserve">And Jacob ate and was filled, and the beloved kicked</w:t>
      </w:r>
      <w:r>
        <w:rPr>
          <w:rStyle w:val="FootnoteReference"/>
        </w:rPr>
        <w:footnoteReference w:id="3806"/>
      </w:r>
      <w:r>
        <w:t xml:space="preserve">. He grew fat, he became thick, he broadened out, and he abandoned God</w:t>
      </w:r>
      <w:r>
        <w:rPr>
          <w:rStyle w:val="FootnoteReference"/>
        </w:rPr>
        <w:footnoteReference w:id="3807"/>
      </w:r>
      <w:r>
        <w:t xml:space="preserve"> who made him and withdrew from God his savior.</w:t>
      </w:r>
      <w:r>
        <w:rPr>
          <w:rStyle w:val="FootnoteReference"/>
        </w:rPr>
        <w:footnoteReference w:id="3808"/>
      </w:r>
    </w:p>
    <w:p>
      <w:r>
        <w:rPr>
          <w:b/>
        </w:rPr>
        <w:t xml:space="preserve">16 </w:t>
      </w:r>
      <w:r>
        <w:t xml:space="preserve">They provoked</w:t>
      </w:r>
      <w:r>
        <w:rPr>
          <w:rStyle w:val="FootnoteReference"/>
        </w:rPr>
        <w:footnoteReference w:id="3809"/>
      </w:r>
      <w:r>
        <w:t xml:space="preserve"> me with strange things; in their abominations they embittered me.</w:t>
      </w:r>
    </w:p>
    <w:p>
      <w:r>
        <w:rPr>
          <w:b/>
        </w:rPr>
        <w:t xml:space="preserve">17 </w:t>
      </w:r>
      <w:r>
        <w:t xml:space="preserve">They sacrificed</w:t>
      </w:r>
      <w:r>
        <w:rPr>
          <w:rStyle w:val="FootnoteReference"/>
        </w:rPr>
        <w:footnoteReference w:id="3810"/>
      </w:r>
      <w:r>
        <w:t xml:space="preserve"> to demons and not to God, to gods they did not know, new recent ones have come whom their fathers did not know.</w:t>
      </w:r>
    </w:p>
    <w:p>
      <w:r>
        <w:rPr>
          <w:b/>
        </w:rPr>
        <w:t xml:space="preserve">18 </w:t>
      </w:r>
      <w:r>
        <w:t xml:space="preserve">You abandoned God who begot you, and you forgot God who nourished you.</w:t>
      </w:r>
    </w:p>
    <w:p>
      <w:r>
        <w:rPr>
          <w:b/>
        </w:rPr>
        <w:t xml:space="preserve">19 </w:t>
      </w:r>
      <w:r>
        <w:t xml:space="preserve">And the Lord saw and was jealous and was provoked through the anger of his sons</w:t>
      </w:r>
      <w:r>
        <w:rPr>
          <w:rStyle w:val="FootnoteReference"/>
        </w:rPr>
        <w:footnoteReference w:id="3811"/>
      </w:r>
      <w:r>
        <w:t xml:space="preserve"> and daughters.</w:t>
      </w:r>
    </w:p>
    <w:p>
      <w:r>
        <w:rPr>
          <w:b/>
        </w:rPr>
        <w:t xml:space="preserve">20 </w:t>
      </w:r>
      <w:r>
        <w:t xml:space="preserve">And he said, I will turn my face away from them and show what will be for them at the end, because it is a generation turned aside, sons in whom there is no faithfulness.</w:t>
      </w:r>
    </w:p>
    <w:p>
      <w:r>
        <w:rPr>
          <w:b/>
        </w:rPr>
        <w:t xml:space="preserve">21 </w:t>
      </w:r>
      <w:r>
        <w:t xml:space="preserve">They made me jealous over what is not God; they provoked me in their idols. And I will make them jealous over what is not a nation; over a nation without understanding</w:t>
      </w:r>
      <w:r>
        <w:rPr>
          <w:rStyle w:val="FootnoteReference"/>
        </w:rPr>
        <w:footnoteReference w:id="3812"/>
      </w:r>
      <w:r>
        <w:t xml:space="preserve"> I will provoke them.</w:t>
      </w:r>
    </w:p>
    <w:p>
      <w:r>
        <w:rPr>
          <w:b/>
        </w:rPr>
        <w:t xml:space="preserve">22 </w:t>
      </w:r>
      <w:r>
        <w:t xml:space="preserve">Because a fire has been kindled from my wrath; it shall burn to Hades below, it shall consume</w:t>
      </w:r>
      <w:r>
        <w:rPr>
          <w:rStyle w:val="FootnoteReference"/>
        </w:rPr>
        <w:footnoteReference w:id="3813"/>
      </w:r>
      <w:r>
        <w:t xml:space="preserve"> the earth and its produce and set on fire the foundations of mountains.</w:t>
      </w:r>
    </w:p>
    <w:p>
      <w:r>
        <w:rPr>
          <w:b/>
        </w:rPr>
        <w:t xml:space="preserve">23 </w:t>
      </w:r>
      <w:r>
        <w:t xml:space="preserve">I will gather evils upon them</w:t>
      </w:r>
      <w:r>
        <w:rPr>
          <w:rStyle w:val="FootnoteReference"/>
        </w:rPr>
        <w:footnoteReference w:id="3814"/>
      </w:r>
      <w:r>
        <w:t xml:space="preserve">; I will spend</w:t>
      </w:r>
      <w:r>
        <w:rPr>
          <w:rStyle w:val="FootnoteReference"/>
        </w:rPr>
        <w:footnoteReference w:id="3815"/>
      </w:r>
      <w:r>
        <w:t xml:space="preserve"> my arrows on them.</w:t>
      </w:r>
    </w:p>
    <w:p>
      <w:r>
        <w:rPr>
          <w:b/>
        </w:rPr>
        <w:t xml:space="preserve">24 </w:t>
      </w:r>
      <w:r>
        <w:t xml:space="preserve">Melted with hunger and consumed by birds and incurable convulsion, I will send on them teeth of beasts with the wrath of those crawling on the ground.</w:t>
      </w:r>
    </w:p>
    <w:p>
      <w:r>
        <w:rPr>
          <w:b/>
        </w:rPr>
        <w:t xml:space="preserve">25 </w:t>
      </w:r>
      <w:r>
        <w:t xml:space="preserve">Outside the sword</w:t>
      </w:r>
      <w:r>
        <w:rPr>
          <w:rStyle w:val="FootnoteReference"/>
        </w:rPr>
        <w:footnoteReference w:id="3816"/>
      </w:r>
      <w:r>
        <w:t xml:space="preserve"> shall make them childless, and from the storerooms fear, young man with virgin, suckling with gray old man.</w:t>
      </w:r>
    </w:p>
    <w:p>
      <w:r>
        <w:rPr>
          <w:b/>
        </w:rPr>
        <w:t xml:space="preserve">26 </w:t>
      </w:r>
      <w:r>
        <w:t xml:space="preserve">I said, I will scatter them and stop their remembrance from among men,</w:t>
      </w:r>
    </w:p>
    <w:p>
      <w:r>
        <w:rPr>
          <w:b/>
        </w:rPr>
        <w:t xml:space="preserve">27 </w:t>
      </w:r>
      <w:r>
        <w:t xml:space="preserve">if not because of the wrath of enemies, lest they become long-lasting and lest the adversaries combine against them and say, Our high hand, and not the Lord, did all these things.</w:t>
      </w:r>
    </w:p>
    <w:p>
      <w:r>
        <w:rPr>
          <w:b/>
        </w:rPr>
        <w:t xml:space="preserve">28 </w:t>
      </w:r>
      <w:r>
        <w:t xml:space="preserve">Because they are a nation ruined of counsel</w:t>
      </w:r>
      <w:r>
        <w:rPr>
          <w:rStyle w:val="FootnoteReference"/>
        </w:rPr>
        <w:footnoteReference w:id="3817"/>
      </w:r>
      <w:r>
        <w:t xml:space="preserve">, and there is no understanding in them.</w:t>
      </w:r>
    </w:p>
    <w:p>
      <w:r>
        <w:rPr>
          <w:b/>
        </w:rPr>
        <w:t xml:space="preserve">29 </w:t>
      </w:r>
      <w:r>
        <w:t xml:space="preserve">They were not wise to understand these things; let them receive them for the coming time.</w:t>
      </w:r>
    </w:p>
    <w:p>
      <w:r>
        <w:rPr>
          <w:b/>
        </w:rPr>
        <w:t xml:space="preserve">30 </w:t>
      </w:r>
      <w:r>
        <w:t xml:space="preserve">How will one pursue a thousand, and two put ten thousands to flight, unless God sold them</w:t>
      </w:r>
      <w:r>
        <w:rPr>
          <w:rStyle w:val="FootnoteReference"/>
        </w:rPr>
        <w:footnoteReference w:id="3818"/>
      </w:r>
      <w:r>
        <w:t xml:space="preserve"> over and the Lord handed them over?</w:t>
      </w:r>
    </w:p>
    <w:p>
      <w:r>
        <w:rPr>
          <w:b/>
        </w:rPr>
        <w:t xml:space="preserve">31 </w:t>
      </w:r>
      <w:r>
        <w:t xml:space="preserve">Because their gods are not like our God, but our enemies are foolish.</w:t>
      </w:r>
    </w:p>
    <w:p>
      <w:r>
        <w:rPr>
          <w:b/>
        </w:rPr>
        <w:t xml:space="preserve">32 </w:t>
      </w:r>
      <w:r>
        <w:t xml:space="preserve">For their vine is from the vine of Sodom, and their branch from Gomorrah. Their grape is a grape of gall, a cluster of bitterness for them.</w:t>
      </w:r>
    </w:p>
    <w:p>
      <w:r>
        <w:rPr>
          <w:b/>
        </w:rPr>
        <w:t xml:space="preserve">33 </w:t>
      </w:r>
      <w:r>
        <w:t xml:space="preserve">The fury of dragons is their wine, and the incurable fury of asps.</w:t>
      </w:r>
    </w:p>
    <w:p>
      <w:r>
        <w:rPr>
          <w:b/>
        </w:rPr>
        <w:t xml:space="preserve">34 </w:t>
      </w:r>
      <w:r>
        <w:t xml:space="preserve">Are not these things gathered with me and sealed in my treasuries?</w:t>
      </w:r>
    </w:p>
    <w:p>
      <w:r>
        <w:rPr>
          <w:b/>
        </w:rPr>
        <w:t xml:space="preserve">35 </w:t>
      </w:r>
      <w:r>
        <w:t xml:space="preserve">In the day of vengeance I will repay, in the time when their foot</w:t>
      </w:r>
      <w:r>
        <w:rPr>
          <w:rStyle w:val="FootnoteReference"/>
        </w:rPr>
        <w:footnoteReference w:id="3819"/>
      </w:r>
      <w:r>
        <w:t xml:space="preserve"> slips, because the day of their destruction is near and the prepared things are at hand for you.</w:t>
      </w:r>
    </w:p>
    <w:p>
      <w:r>
        <w:rPr>
          <w:b/>
        </w:rPr>
        <w:t xml:space="preserve">36 </w:t>
      </w:r>
      <w:r>
        <w:t xml:space="preserve">Because the Lord will judge his people and be comforted over his servants, for he saw them weakened and worn out in confinement and abandoned.</w:t>
      </w:r>
    </w:p>
    <w:p>
      <w:r>
        <w:rPr>
          <w:b/>
        </w:rPr>
        <w:t xml:space="preserve">37 </w:t>
      </w:r>
      <w:r>
        <w:t xml:space="preserve">And the Lord said, Where are their gods on whom they trusted,</w:t>
      </w:r>
    </w:p>
    <w:p>
      <w:r>
        <w:rPr>
          <w:b/>
        </w:rPr>
        <w:t xml:space="preserve">38 </w:t>
      </w:r>
      <w:r>
        <w:t xml:space="preserve">whose sacrifice fat you were eating and drinking the wine of their libations? Let them</w:t>
      </w:r>
      <w:r>
        <w:rPr>
          <w:rStyle w:val="FootnoteReference"/>
        </w:rPr>
        <w:footnoteReference w:id="3820"/>
      </w:r>
      <w:r>
        <w:t xml:space="preserve"> rise and help you and become your shelters.</w:t>
      </w:r>
    </w:p>
    <w:p>
      <w:r>
        <w:rPr>
          <w:b/>
        </w:rPr>
        <w:t xml:space="preserve">39 </w:t>
      </w:r>
      <w:r>
        <w:t xml:space="preserve">See, see that I am, and there is no god</w:t>
      </w:r>
      <w:r>
        <w:rPr>
          <w:rStyle w:val="FootnoteReference"/>
        </w:rPr>
        <w:footnoteReference w:id="3821"/>
      </w:r>
      <w:r>
        <w:t xml:space="preserve"> besides me. I kill and make alive, I strike and I will heal, and there is none who delivers from my hands.</w:t>
      </w:r>
    </w:p>
    <w:p>
      <w:r>
        <w:rPr>
          <w:b/>
        </w:rPr>
        <w:t xml:space="preserve">40 </w:t>
      </w:r>
      <w:r>
        <w:t xml:space="preserve">Because I will lift my hand to heaven, and I swear by my right hand and say, I live forever.</w:t>
      </w:r>
    </w:p>
    <w:p>
      <w:r>
        <w:rPr>
          <w:b/>
        </w:rPr>
        <w:t xml:space="preserve">41 </w:t>
      </w:r>
      <w:r>
        <w:t xml:space="preserve">Because I sharpen my sword like lightning, and my hand will hold judgment, and I will repay justice to my enemies, and I will repay those hating me.</w:t>
      </w:r>
    </w:p>
    <w:p>
      <w:r>
        <w:rPr>
          <w:b/>
        </w:rPr>
        <w:t xml:space="preserve">42 </w:t>
      </w:r>
      <w:r>
        <w:t xml:space="preserve">I will make my arrows drunk from blood, and my sword shall consume flesh from the blood of the wounded and the captivity, from the head of the rulers of enemies.</w:t>
      </w:r>
    </w:p>
    <w:p>
      <w:r>
        <w:rPr>
          <w:b/>
        </w:rPr>
        <w:t xml:space="preserve">43 </w:t>
      </w:r>
      <w:r>
        <w:t xml:space="preserve">Rejoice</w:t>
      </w:r>
      <w:r>
        <w:rPr>
          <w:rStyle w:val="FootnoteReference"/>
        </w:rPr>
        <w:footnoteReference w:id="3822"/>
      </w:r>
      <w:r>
        <w:t xml:space="preserve">, O heavens, together with him, and let all sons of God worship him. Rejoice, O nations, with his people, and let all angels of God strengthen themselves in him, because he avenges the blood of his sons and will exact vengeance and repay justice to enemies, and to those hating him he will repay, and the Lord will cleanse the land of his people.</w:t>
      </w:r>
    </w:p>
    <w:p>
      <w:r>
        <w:rPr>
          <w:b/>
        </w:rPr>
        <w:t xml:space="preserve">44 </w:t>
      </w:r>
      <w:r>
        <w:t xml:space="preserve">And Moses wrote this song on that day and taught it to the sons of Israel, and Moses came in and spoke all the words of this law into the ears of the people, he and Joshua son of Nun.</w:t>
      </w:r>
    </w:p>
    <w:p>
      <w:r>
        <w:rPr>
          <w:b/>
        </w:rPr>
        <w:t xml:space="preserve">45 </w:t>
      </w:r>
      <w:r>
        <w:t xml:space="preserve">And Moses finished speaking to all Israel,</w:t>
      </w:r>
    </w:p>
    <w:p>
      <w:r>
        <w:rPr>
          <w:b/>
        </w:rPr>
        <w:t xml:space="preserve">46 </w:t>
      </w:r>
      <w:r>
        <w:t xml:space="preserve">and said to them, Pay attention with your heart to all these words that I call to witness among you today, which you shall command your sons to keep and do, all the words of this law.</w:t>
      </w:r>
    </w:p>
    <w:p>
      <w:r>
        <w:rPr>
          <w:b/>
        </w:rPr>
        <w:t xml:space="preserve">47 </w:t>
      </w:r>
      <w:r>
        <w:t xml:space="preserve">Because this is not an empty word for you, because this is your life, and because of this word you shall be long-lived on the land into which you are crossing the Jordan there to inherit it.</w:t>
      </w:r>
    </w:p>
    <w:p>
      <w:r>
        <w:rPr>
          <w:b/>
        </w:rPr>
        <w:t xml:space="preserve">48 </w:t>
      </w:r>
      <w:r>
        <w:t xml:space="preserve">And the Lord spoke to Moses on that day, saying,</w:t>
      </w:r>
    </w:p>
    <w:p>
      <w:r>
        <w:rPr>
          <w:b/>
        </w:rPr>
        <w:t xml:space="preserve">49 </w:t>
      </w:r>
      <w:r>
        <w:t xml:space="preserve">Go up onto this mountain</w:t>
      </w:r>
      <w:r>
        <w:rPr>
          <w:rStyle w:val="FootnoteReference"/>
        </w:rPr>
        <w:footnoteReference w:id="3823"/>
      </w:r>
      <w:r>
        <w:t xml:space="preserve"> of Abarim, Mount Nebo, which is in the land of Moab facing Jericho, and see the land of Canaan that I give to the sons of Israel as a possession.</w:t>
      </w:r>
    </w:p>
    <w:p>
      <w:r>
        <w:rPr>
          <w:b/>
        </w:rPr>
        <w:t xml:space="preserve">50 </w:t>
      </w:r>
      <w:r>
        <w:t xml:space="preserve">And die on the mountain to which you go up there, and be added to your people, in the way Aaron your brother died on Mount Or and was added to his people,</w:t>
      </w:r>
    </w:p>
    <w:p>
      <w:r>
        <w:rPr>
          <w:b/>
        </w:rPr>
        <w:t xml:space="preserve">51 </w:t>
      </w:r>
      <w:r>
        <w:t xml:space="preserve">because you disobeyed my word among the sons of Israel at the water of contradiction</w:t>
      </w:r>
      <w:r>
        <w:rPr>
          <w:rStyle w:val="FootnoteReference"/>
        </w:rPr>
        <w:footnoteReference w:id="3824"/>
      </w:r>
      <w:r>
        <w:t xml:space="preserve">, Kadesh, in the wilderness of Sin, because you did not sanctify me among the sons of Israel.</w:t>
      </w:r>
    </w:p>
    <w:p>
      <w:r>
        <w:rPr>
          <w:b/>
        </w:rPr>
        <w:t xml:space="preserve">52 </w:t>
      </w:r>
      <w:r>
        <w:t xml:space="preserve">Because you shall see the land before you, but you shall not enter there.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And this is the blessing</w:t>
      </w:r>
      <w:r>
        <w:rPr>
          <w:rStyle w:val="FootnoteReference"/>
        </w:rPr>
        <w:footnoteReference w:id="3825"/>
      </w:r>
      <w:r>
        <w:t xml:space="preserve"> with which Moses, the man of God, blessed the sons of Israel before his death.</w:t>
      </w:r>
    </w:p>
    <w:p>
      <w:r>
        <w:rPr>
          <w:b/>
        </w:rPr>
        <w:t xml:space="preserve">2 </w:t>
      </w:r>
      <w:r>
        <w:t xml:space="preserve">And he said, The Lord comes from Sinai and appeared from Seir to us and hurried from Mount Paran with the myriads of Kadesh; from his right hand angels were with him.</w:t>
      </w:r>
    </w:p>
    <w:p>
      <w:r>
        <w:rPr>
          <w:b/>
        </w:rPr>
        <w:t xml:space="preserve">3 </w:t>
      </w:r>
      <w:r>
        <w:t xml:space="preserve">And he spared his people, and all the sanctified ones are under your hands, and these are under you, and he received from his words.</w:t>
      </w:r>
    </w:p>
    <w:p>
      <w:r>
        <w:rPr>
          <w:b/>
        </w:rPr>
        <w:t xml:space="preserve">4 </w:t>
      </w:r>
      <w:r>
        <w:t xml:space="preserve">Moses</w:t>
      </w:r>
      <w:r>
        <w:rPr>
          <w:rStyle w:val="FootnoteReference"/>
        </w:rPr>
        <w:footnoteReference w:id="3826"/>
      </w:r>
      <w:r>
        <w:t xml:space="preserve"> commanded us a law, an inheritance to the assemblies of Jacob.</w:t>
      </w:r>
    </w:p>
    <w:p>
      <w:r>
        <w:rPr>
          <w:b/>
        </w:rPr>
        <w:t xml:space="preserve">5 </w:t>
      </w:r>
      <w:r>
        <w:t xml:space="preserve">And there shall be a ruler in the beloved, when leaders of peoples are gathered together with the tribes of Israel.</w:t>
      </w:r>
    </w:p>
    <w:p>
      <w:r>
        <w:rPr>
          <w:b/>
        </w:rPr>
        <w:t xml:space="preserve">6 </w:t>
      </w:r>
      <w:r>
        <w:t xml:space="preserve">Let Reuben live and not die, and let him be many in number.</w:t>
      </w:r>
    </w:p>
    <w:p>
      <w:r>
        <w:rPr>
          <w:b/>
        </w:rPr>
        <w:t xml:space="preserve">7 </w:t>
      </w:r>
      <w:r>
        <w:t xml:space="preserve">And this to Judah: Hear, Lord, the voice of Judah, and let him enter into his people. His hands shall judge for him, and you shall be a helper against his enemies.</w:t>
      </w:r>
    </w:p>
    <w:p>
      <w:r>
        <w:rPr>
          <w:b/>
        </w:rPr>
        <w:t xml:space="preserve">8 </w:t>
      </w:r>
      <w:r>
        <w:t xml:space="preserve">And to Levi he said, Give Levi his disclosures and his truth to the holy man whom they tested in testing, they reviled him at the water of contradiction,</w:t>
      </w:r>
    </w:p>
    <w:p>
      <w:r>
        <w:rPr>
          <w:b/>
        </w:rPr>
        <w:t xml:space="preserve">9 </w:t>
      </w:r>
      <w:r>
        <w:t xml:space="preserve">the one saying to father and mother, I have not</w:t>
      </w:r>
      <w:r>
        <w:rPr>
          <w:rStyle w:val="FootnoteReference"/>
        </w:rPr>
        <w:footnoteReference w:id="3827"/>
      </w:r>
      <w:r>
        <w:t xml:space="preserve"> seen you, and he did not acknowledge his brothers and disowned his sons. He kept your words and preserved your covenant.</w:t>
      </w:r>
    </w:p>
    <w:p>
      <w:r>
        <w:rPr>
          <w:b/>
        </w:rPr>
        <w:t xml:space="preserve">10 </w:t>
      </w:r>
      <w:r>
        <w:t xml:space="preserve">They shall declare your ordinances to Jacob and your law to Israel. They shall place incense in your anger, always upon your altar.</w:t>
      </w:r>
    </w:p>
    <w:p>
      <w:r>
        <w:rPr>
          <w:b/>
        </w:rPr>
        <w:t xml:space="preserve">11 </w:t>
      </w:r>
      <w:r>
        <w:t xml:space="preserve">Bless, Lord, his strength, and receive the works of his hands. Strike down the loins of the enemies who rise against him, and let those hating him not rise.</w:t>
      </w:r>
    </w:p>
    <w:p>
      <w:r>
        <w:rPr>
          <w:b/>
        </w:rPr>
        <w:t xml:space="preserve">12 </w:t>
      </w:r>
      <w:r>
        <w:t xml:space="preserve">And to Benjamin he said, Beloved by the Lord, he shall dwell trusting, and God overshadows him all the days, and he rested between his shoulders.</w:t>
      </w:r>
    </w:p>
    <w:p>
      <w:r>
        <w:rPr>
          <w:b/>
        </w:rPr>
        <w:t xml:space="preserve">13 </w:t>
      </w:r>
      <w:r>
        <w:t xml:space="preserve">And to Joseph</w:t>
      </w:r>
      <w:r>
        <w:rPr>
          <w:rStyle w:val="FootnoteReference"/>
        </w:rPr>
        <w:footnoteReference w:id="3828"/>
      </w:r>
      <w:r>
        <w:t xml:space="preserve"> he said, His land is from the blessings of the Lord, from seasons of heaven and dew and from the springs of depths below,</w:t>
      </w:r>
    </w:p>
    <w:p>
      <w:r>
        <w:rPr>
          <w:b/>
        </w:rPr>
        <w:t xml:space="preserve">14 </w:t>
      </w:r>
      <w:r>
        <w:t xml:space="preserve">and from the seasons of the produce of the sun's courses and from the meetings of the months,</w:t>
      </w:r>
    </w:p>
    <w:p>
      <w:r>
        <w:rPr>
          <w:b/>
        </w:rPr>
        <w:t xml:space="preserve">15 </w:t>
      </w:r>
      <w:r>
        <w:t xml:space="preserve">and from the peak of ancient mountains and from the peak of everlasting hills,</w:t>
      </w:r>
    </w:p>
    <w:p>
      <w:r>
        <w:rPr>
          <w:b/>
        </w:rPr>
        <w:t xml:space="preserve">16 </w:t>
      </w:r>
      <w:r>
        <w:t xml:space="preserve">and from the seasons of the earth</w:t>
      </w:r>
      <w:r>
        <w:rPr>
          <w:rStyle w:val="FootnoteReference"/>
        </w:rPr>
        <w:footnoteReference w:id="3829"/>
      </w:r>
      <w:r>
        <w:t xml:space="preserve">'s fullness and the acceptable things to the one who appeared in the bush</w:t>
      </w:r>
      <w:r>
        <w:rPr>
          <w:rStyle w:val="FootnoteReference"/>
        </w:rPr>
        <w:footnoteReference w:id="3830"/>
      </w:r>
      <w:r>
        <w:t xml:space="preserve">. Let them come on the head of Joseph and on the crown of the one glorified among brothers.</w:t>
      </w:r>
    </w:p>
    <w:p>
      <w:r>
        <w:rPr>
          <w:b/>
        </w:rPr>
        <w:t xml:space="preserve">17 </w:t>
      </w:r>
      <w:r>
        <w:t xml:space="preserve">The beauty of a firstborn bull is his. The horns of a unicorn are his horns</w:t>
      </w:r>
      <w:r>
        <w:rPr>
          <w:rStyle w:val="FootnoteReference"/>
        </w:rPr>
        <w:footnoteReference w:id="3831"/>
      </w:r>
      <w:r>
        <w:t xml:space="preserve">; with them he shall horn nations together to the end of the earth. These are the myriads of Ephraim, and these are the thousands of Manasseh.</w:t>
      </w:r>
      <w:r>
        <w:rPr>
          <w:rStyle w:val="FootnoteReference"/>
        </w:rPr>
        <w:footnoteReference w:id="3832"/>
      </w:r>
    </w:p>
    <w:p>
      <w:r>
        <w:rPr>
          <w:b/>
        </w:rPr>
        <w:t xml:space="preserve">18 </w:t>
      </w:r>
      <w:r>
        <w:t xml:space="preserve">And to Zebulun he said, Rejoice, Zebulun, in your departure, and Issachar in his tents.</w:t>
      </w:r>
    </w:p>
    <w:p>
      <w:r>
        <w:rPr>
          <w:b/>
        </w:rPr>
        <w:t xml:space="preserve">19 </w:t>
      </w:r>
      <w:r>
        <w:t xml:space="preserve">They shall utterly destroy nations, and there you shall call them, and they shall sacrifice a sacrifice of righteousness, because the wealth of the sea shall suckle you and the trade of those dwelling on the coast.</w:t>
      </w:r>
    </w:p>
    <w:p>
      <w:r>
        <w:rPr>
          <w:b/>
        </w:rPr>
        <w:t xml:space="preserve">20 </w:t>
      </w:r>
      <w:r>
        <w:t xml:space="preserve">And to Gad he said, Blessed</w:t>
      </w:r>
      <w:r>
        <w:rPr>
          <w:rStyle w:val="FootnoteReference"/>
        </w:rPr>
        <w:footnoteReference w:id="3833"/>
      </w:r>
      <w:r>
        <w:t xml:space="preserve"> is the one enlarging Gad. He rested like a lion, crushing arm and ruler.</w:t>
      </w:r>
    </w:p>
    <w:p>
      <w:r>
        <w:rPr>
          <w:b/>
        </w:rPr>
        <w:t xml:space="preserve">21 </w:t>
      </w:r>
      <w:r>
        <w:t xml:space="preserve">And he saw his first portion</w:t>
      </w:r>
      <w:r>
        <w:rPr>
          <w:rStyle w:val="FootnoteReference"/>
        </w:rPr>
        <w:footnoteReference w:id="3834"/>
      </w:r>
      <w:r>
        <w:t xml:space="preserve">, because there land of leaders was apportioned, gathered together with the leaders of peoples. The Lord did righteousness and his judgment with Israel.</w:t>
      </w:r>
    </w:p>
    <w:p>
      <w:r>
        <w:rPr>
          <w:b/>
        </w:rPr>
        <w:t xml:space="preserve">22 </w:t>
      </w:r>
      <w:r>
        <w:t xml:space="preserve">And to Dan he said, Dan is a lion's cub and shall leap out from Bashan.</w:t>
      </w:r>
    </w:p>
    <w:p>
      <w:r>
        <w:rPr>
          <w:b/>
        </w:rPr>
        <w:t xml:space="preserve">23 </w:t>
      </w:r>
      <w:r>
        <w:t xml:space="preserve">And to Naphtali he said, Naphtali, fullness of acceptable things, and let him be filled with blessing from the Lord. He shall inherit sea and south.</w:t>
      </w:r>
    </w:p>
    <w:p>
      <w:r>
        <w:rPr>
          <w:b/>
        </w:rPr>
        <w:t xml:space="preserve">24 </w:t>
      </w:r>
      <w:r>
        <w:t xml:space="preserve">And to Asher he said, Blessed from children is Asher, and he shall be acceptable to his brothers. He shall dip his foot in oil.</w:t>
      </w:r>
    </w:p>
    <w:p>
      <w:r>
        <w:rPr>
          <w:b/>
        </w:rPr>
        <w:t xml:space="preserve">25 </w:t>
      </w:r>
      <w:r>
        <w:t xml:space="preserve">His sandal shall be iron and bronze, and as your days, your strength.</w:t>
      </w:r>
    </w:p>
    <w:p>
      <w:r>
        <w:rPr>
          <w:b/>
        </w:rPr>
        <w:t xml:space="preserve">26 </w:t>
      </w:r>
      <w:r>
        <w:t xml:space="preserve">There is none</w:t>
      </w:r>
      <w:r>
        <w:rPr>
          <w:rStyle w:val="FootnoteReference"/>
        </w:rPr>
        <w:footnoteReference w:id="3835"/>
      </w:r>
      <w:r>
        <w:t xml:space="preserve"> like the God of the beloved, riding on heaven as your helper and the magnificent one of the firmament.</w:t>
      </w:r>
    </w:p>
    <w:p>
      <w:r>
        <w:rPr>
          <w:b/>
        </w:rPr>
        <w:t xml:space="preserve">27 </w:t>
      </w:r>
      <w:r>
        <w:t xml:space="preserve">The shelter of the God of old, and underneath</w:t>
      </w:r>
      <w:r>
        <w:rPr>
          <w:rStyle w:val="FootnoteReference"/>
        </w:rPr>
        <w:footnoteReference w:id="3836"/>
      </w:r>
      <w:r>
        <w:t xml:space="preserve"> the strength of everlasting arms, and he will cast out the enemy from before your face, saying, Perish.</w:t>
      </w:r>
    </w:p>
    <w:p>
      <w:r>
        <w:rPr>
          <w:b/>
        </w:rPr>
        <w:t xml:space="preserve">28 </w:t>
      </w:r>
      <w:r>
        <w:t xml:space="preserve">And Israel</w:t>
      </w:r>
      <w:r>
        <w:rPr>
          <w:rStyle w:val="FootnoteReference"/>
        </w:rPr>
        <w:footnoteReference w:id="3837"/>
      </w:r>
      <w:r>
        <w:t xml:space="preserve"> shall dwell trusting, alone upon the land of Jacob, on grain and wine, and his heaven cloudy with dew.</w:t>
      </w:r>
    </w:p>
    <w:p>
      <w:r>
        <w:rPr>
          <w:b/>
        </w:rPr>
        <w:t xml:space="preserve">29 </w:t>
      </w:r>
      <w:r>
        <w:t xml:space="preserve">Blessed are you, Israel. Who is like you, a people saved</w:t>
      </w:r>
      <w:r>
        <w:rPr>
          <w:rStyle w:val="FootnoteReference"/>
        </w:rPr>
        <w:footnoteReference w:id="3838"/>
      </w:r>
      <w:r>
        <w:t xml:space="preserve"> by the Lord? Your helper shields, and your sword boasts</w:t>
      </w:r>
      <w:r>
        <w:rPr>
          <w:rStyle w:val="FootnoteReference"/>
        </w:rPr>
        <w:footnoteReference w:id="3839"/>
      </w:r>
      <w:r>
        <w:t xml:space="preserve">, and your enemies shall lie to you, and you shall step on their neck.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t xml:space="preserve">And Moses went up from Araboth of Moab onto Mount Nebo, onto the top of Pisgah</w:t>
      </w:r>
      <w:r>
        <w:rPr>
          <w:rStyle w:val="FootnoteReference"/>
        </w:rPr>
        <w:footnoteReference w:id="3840"/>
      </w:r>
      <w:r>
        <w:t xml:space="preserve">, which is opposite Jericho, and the Lord showed him all the land of Gilead as far as Dan,</w:t>
      </w:r>
    </w:p>
    <w:p>
      <w:r>
        <w:rPr>
          <w:b/>
        </w:rPr>
        <w:t xml:space="preserve">2 </w:t>
      </w:r>
      <w:r>
        <w:t xml:space="preserve">and all the land of Naphtali and all the land of Ephraim and Manasseh and all the land of Judah as far as the western sea,</w:t>
      </w:r>
    </w:p>
    <w:p>
      <w:r>
        <w:rPr>
          <w:b/>
        </w:rPr>
        <w:t xml:space="preserve">3 </w:t>
      </w:r>
      <w:r>
        <w:t xml:space="preserve">and the wilderness and the regions of Jericho, the city of palms, as far as Zoar</w:t>
      </w:r>
      <w:r>
        <w:rPr>
          <w:rStyle w:val="FootnoteReference"/>
        </w:rPr>
        <w:footnoteReference w:id="3841"/>
      </w:r>
      <w:r>
        <w:t xml:space="preserve">.</w:t>
      </w:r>
    </w:p>
    <w:p>
      <w:r>
        <w:rPr>
          <w:b/>
        </w:rPr>
        <w:t xml:space="preserve">4 </w:t>
      </w:r>
      <w:r>
        <w:t xml:space="preserve">And the Lord said to Moses, This is the land</w:t>
      </w:r>
      <w:r>
        <w:rPr>
          <w:rStyle w:val="FootnoteReference"/>
        </w:rPr>
        <w:footnoteReference w:id="3842"/>
      </w:r>
      <w:r>
        <w:t xml:space="preserve"> that I swore to Abraham and Isaac and Jacob, saying, To your seed I will give it. I have shown it to your eyes, but you shall not enter there.</w:t>
      </w:r>
    </w:p>
    <w:p>
      <w:r>
        <w:rPr>
          <w:b/>
        </w:rPr>
        <w:t xml:space="preserve">5 </w:t>
      </w:r>
      <w:r>
        <w:t xml:space="preserve">And Moses, servant of the Lord, died in the land of Moab by the word of the Lord.</w:t>
      </w:r>
    </w:p>
    <w:p>
      <w:r>
        <w:rPr>
          <w:b/>
        </w:rPr>
        <w:t xml:space="preserve">6 </w:t>
      </w:r>
      <w:r>
        <w:t xml:space="preserve">And they buried him in Gai</w:t>
      </w:r>
      <w:r>
        <w:rPr>
          <w:rStyle w:val="FootnoteReference"/>
        </w:rPr>
        <w:footnoteReference w:id="3843"/>
      </w:r>
      <w:r>
        <w:t xml:space="preserve"> in the land of Moab, near the house of Peor, and no one knows his burial until this day.</w:t>
      </w:r>
    </w:p>
    <w:p>
      <w:r>
        <w:rPr>
          <w:b/>
        </w:rPr>
        <w:t xml:space="preserve">7 </w:t>
      </w:r>
      <w:r>
        <w:t xml:space="preserve">And Moses was one hundred and twenty years old when he died. His eyes were not dimmed, nor had his vigor failed.</w:t>
      </w:r>
    </w:p>
    <w:p>
      <w:r>
        <w:rPr>
          <w:b/>
        </w:rPr>
        <w:t xml:space="preserve">8 </w:t>
      </w:r>
      <w:r>
        <w:t xml:space="preserve">And the sons of Israel mourned Moses in Araboth of Moab on the Jordan opposite Jericho thirty days, and the days of mourning for the weeping of Moses were completed.</w:t>
      </w:r>
    </w:p>
    <w:p>
      <w:r>
        <w:rPr>
          <w:b/>
        </w:rPr>
        <w:t xml:space="preserve">9 </w:t>
      </w:r>
      <w:r>
        <w:t xml:space="preserve">And Joshua son of Nun was filled with the spirit of understanding, because Moses</w:t>
      </w:r>
      <w:r>
        <w:rPr>
          <w:rStyle w:val="FootnoteReference"/>
        </w:rPr>
        <w:footnoteReference w:id="3844"/>
      </w:r>
      <w:r>
        <w:t xml:space="preserve"> laid his hands on him, and the sons of Israel listened to him and did just as the Lord commanded Moses.</w:t>
      </w:r>
    </w:p>
    <w:p>
      <w:r>
        <w:rPr>
          <w:b/>
        </w:rPr>
        <w:t xml:space="preserve">10 </w:t>
      </w:r>
      <w:r>
        <w:t xml:space="preserve">And no prophet rose again in Israel like Moses, whom the Lord</w:t>
      </w:r>
      <w:r>
        <w:rPr>
          <w:rStyle w:val="FootnoteReference"/>
        </w:rPr>
        <w:footnoteReference w:id="3845"/>
      </w:r>
      <w:r>
        <w:t xml:space="preserve"> knew face to face,</w:t>
      </w:r>
    </w:p>
    <w:p>
      <w:r>
        <w:rPr>
          <w:b/>
        </w:rPr>
        <w:t xml:space="preserve">11 </w:t>
      </w:r>
      <w:r>
        <w:t xml:space="preserve">in all the signs</w:t>
      </w:r>
      <w:r>
        <w:rPr>
          <w:rStyle w:val="FootnoteReference"/>
        </w:rPr>
        <w:footnoteReference w:id="3846"/>
      </w:r>
      <w:r>
        <w:t xml:space="preserve"> and wonders for which the Lord sent him to do them in the land of Egypt, to Pharaoh and to his servants and to all his land,</w:t>
      </w:r>
    </w:p>
    <w:p>
      <w:r>
        <w:rPr>
          <w:b/>
        </w:rPr>
        <w:t xml:space="preserve">12 </w:t>
      </w:r>
      <w:r>
        <w:t xml:space="preserve">the great wonders and the mighty hand that Moses did before all Israel.</w:t>
      </w:r>
    </w:p>
    <w:p>
      <w:r>
        <w:br w:type="page"/>
      </w:r>
    </w:p>
    <w:p>
      <w:pPr>
        <w:pStyle w:val="Heading1"/>
      </w:pPr>
      <w:r>
        <w:t xml:space="preserve">Joshua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it happened after the death</w:t>
      </w:r>
      <w:r>
        <w:rPr>
          <w:rStyle w:val="FootnoteReference"/>
        </w:rPr>
        <w:footnoteReference w:id="3847"/>
      </w:r>
      <w:r>
        <w:t xml:space="preserve"> of Moses, the Lord said to Joshua son of Nun, minister of Moses, saying,</w:t>
      </w:r>
    </w:p>
    <w:p>
      <w:r>
        <w:rPr>
          <w:b/>
        </w:rPr>
        <w:t xml:space="preserve">2 </w:t>
      </w:r>
      <w:r>
        <w:t xml:space="preserve">Moses</w:t>
      </w:r>
      <w:r>
        <w:rPr>
          <w:rStyle w:val="FootnoteReference"/>
        </w:rPr>
        <w:footnoteReference w:id="3848"/>
      </w:r>
      <w:r>
        <w:t xml:space="preserve"> my servant has died. Now therefore, rising up, cross this Jordan, you and all this people, into the land that I give to them.</w:t>
      </w:r>
    </w:p>
    <w:p>
      <w:r>
        <w:rPr>
          <w:b/>
        </w:rPr>
        <w:t xml:space="preserve">3 </w:t>
      </w:r>
      <w:r>
        <w:t xml:space="preserve">Every place on which you step with the track of your feet, I will give it to you, in the way I told Moses.</w:t>
      </w:r>
    </w:p>
    <w:p>
      <w:r>
        <w:rPr>
          <w:b/>
        </w:rPr>
        <w:t xml:space="preserve">4 </w:t>
      </w:r>
      <w:r>
        <w:t xml:space="preserve">From the wilderness</w:t>
      </w:r>
      <w:r>
        <w:rPr>
          <w:rStyle w:val="FootnoteReference"/>
        </w:rPr>
        <w:footnoteReference w:id="3849"/>
      </w:r>
      <w:r>
        <w:t xml:space="preserve"> and Anti-Lebanon as far as the great river, the river Euphrates, and as far as the western sea from the setting of the sun, shall be your boundaries.</w:t>
      </w:r>
    </w:p>
    <w:p>
      <w:r>
        <w:rPr>
          <w:b/>
        </w:rPr>
        <w:t xml:space="preserve">5 </w:t>
      </w:r>
      <w:r>
        <w:t xml:space="preserve">No person shall stand before you all the days of your life, and as I was</w:t>
      </w:r>
      <w:r>
        <w:rPr>
          <w:rStyle w:val="FootnoteReference"/>
        </w:rPr>
        <w:footnoteReference w:id="3850"/>
      </w:r>
      <w:r>
        <w:t xml:space="preserve"> with Moses, so I will also be with you, and I will not forsake you nor overlook you.</w:t>
      </w:r>
    </w:p>
    <w:p>
      <w:r>
        <w:rPr>
          <w:b/>
        </w:rPr>
        <w:t xml:space="preserve">6 </w:t>
      </w:r>
      <w:r>
        <w:t xml:space="preserve">Be strong</w:t>
      </w:r>
      <w:r>
        <w:rPr>
          <w:rStyle w:val="FootnoteReference"/>
        </w:rPr>
        <w:footnoteReference w:id="3851"/>
      </w:r>
      <w:r>
        <w:t xml:space="preserve"> and act like a man, because you shall apportion to this people the land that I swore to your fathers to give to them.</w:t>
      </w:r>
    </w:p>
    <w:p>
      <w:r>
        <w:rPr>
          <w:b/>
        </w:rPr>
        <w:t xml:space="preserve">7 </w:t>
      </w:r>
      <w:r>
        <w:t xml:space="preserve">Be strong, therefore, and act like a man</w:t>
      </w:r>
      <w:r>
        <w:rPr>
          <w:rStyle w:val="FootnoteReference"/>
        </w:rPr>
        <w:footnoteReference w:id="3852"/>
      </w:r>
      <w:r>
        <w:t xml:space="preserve">, keeping and doing as Moses my servant commanded you. Do not turn away from them to the right or to the left, so that you may understand in everything you do.</w:t>
      </w:r>
    </w:p>
    <w:p>
      <w:r>
        <w:rPr>
          <w:b/>
        </w:rPr>
        <w:t xml:space="preserve">8 </w:t>
      </w:r>
      <w:r>
        <w:t xml:space="preserve">And the book</w:t>
      </w:r>
      <w:r>
        <w:rPr>
          <w:rStyle w:val="FootnoteReference"/>
        </w:rPr>
        <w:footnoteReference w:id="3853"/>
      </w:r>
      <w:r>
        <w:t xml:space="preserve"> of this law shall not depart from your mouth, and you shall meditate on it day and night, so that you may understand to do all the things written</w:t>
      </w:r>
      <w:r>
        <w:rPr>
          <w:rStyle w:val="FootnoteReference"/>
        </w:rPr>
        <w:footnoteReference w:id="3854"/>
      </w:r>
      <w:r>
        <w:t xml:space="preserve">. Then you shall prosper and prosper your ways, and then you shall understand.</w:t>
      </w:r>
    </w:p>
    <w:p>
      <w:r>
        <w:rPr>
          <w:b/>
        </w:rPr>
        <w:t xml:space="preserve">9 </w:t>
      </w:r>
      <w:r>
        <w:t xml:space="preserve">Behold, I have commanded you: be strong</w:t>
      </w:r>
      <w:r>
        <w:rPr>
          <w:rStyle w:val="FootnoteReference"/>
        </w:rPr>
        <w:footnoteReference w:id="3855"/>
      </w:r>
      <w:r>
        <w:t xml:space="preserve"> and act like a man. Do not be cowardly, nor fear, because the Lord your God is with you in everything you may do.</w:t>
      </w:r>
    </w:p>
    <w:p>
      <w:r>
        <w:rPr>
          <w:b/>
        </w:rPr>
        <w:t xml:space="preserve">10 </w:t>
      </w:r>
      <w:r>
        <w:t xml:space="preserve">And Joshua commanded the scribes of the people, saying,</w:t>
      </w:r>
    </w:p>
    <w:p>
      <w:r>
        <w:rPr>
          <w:b/>
        </w:rPr>
        <w:t xml:space="preserve">11 </w:t>
      </w:r>
      <w:r>
        <w:t xml:space="preserve">Go through the midst of the camp of the people and command the people, saying, Prepare provisions, because in yet three days</w:t>
      </w:r>
      <w:r>
        <w:rPr>
          <w:rStyle w:val="FootnoteReference"/>
        </w:rPr>
        <w:footnoteReference w:id="3856"/>
      </w:r>
      <w:r>
        <w:t xml:space="preserve"> you cross this Jordan, entering to possess</w:t>
      </w:r>
      <w:r>
        <w:rPr>
          <w:rStyle w:val="FootnoteReference"/>
        </w:rPr>
        <w:footnoteReference w:id="3857"/>
      </w:r>
      <w:r>
        <w:t xml:space="preserve"> the land that the Lord God of your fathers gives you.</w:t>
      </w:r>
    </w:p>
    <w:p>
      <w:r>
        <w:rPr>
          <w:b/>
        </w:rPr>
        <w:t xml:space="preserve">12 </w:t>
      </w:r>
      <w:r>
        <w:t xml:space="preserve">And to Reuben and to Gad and to the half-tribe of Manasseh Joshua said,</w:t>
      </w:r>
    </w:p>
    <w:p>
      <w:r>
        <w:rPr>
          <w:b/>
        </w:rPr>
        <w:t xml:space="preserve">13 </w:t>
      </w:r>
      <w:r>
        <w:t xml:space="preserve">Remember</w:t>
      </w:r>
      <w:r>
        <w:rPr>
          <w:rStyle w:val="FootnoteReference"/>
        </w:rPr>
        <w:footnoteReference w:id="3858"/>
      </w:r>
      <w:r>
        <w:t xml:space="preserve"> the word that Moses, servant of the Lord, commanded you, saying, The Lord your God has given you rest and given you this land.</w:t>
      </w:r>
    </w:p>
    <w:p>
      <w:r>
        <w:rPr>
          <w:b/>
        </w:rPr>
        <w:t xml:space="preserve">14 </w:t>
      </w:r>
      <w:r>
        <w:t xml:space="preserve">Let your wives and your children and your cattle dwell in the land that he gave you, but you shall cross over well-armed</w:t>
      </w:r>
      <w:r>
        <w:rPr>
          <w:rStyle w:val="FootnoteReference"/>
        </w:rPr>
        <w:footnoteReference w:id="3859"/>
      </w:r>
      <w:r>
        <w:t xml:space="preserve"> before your brothers, every strong one, and you shall fight alongside them,</w:t>
      </w:r>
      <w:r>
        <w:rPr>
          <w:rStyle w:val="FootnoteReference"/>
        </w:rPr>
        <w:footnoteReference w:id="3860"/>
      </w:r>
    </w:p>
    <w:p>
      <w:r>
        <w:rPr>
          <w:b/>
        </w:rPr>
        <w:t xml:space="preserve">15 </w:t>
      </w:r>
      <w:r>
        <w:t xml:space="preserve">until the Lord your God gives your brothers rest just as also to you, and they also inherit the land that the Lord our God gives them. And you shall go away</w:t>
      </w:r>
      <w:r>
        <w:rPr>
          <w:rStyle w:val="FootnoteReference"/>
        </w:rPr>
        <w:footnoteReference w:id="3861"/>
      </w:r>
      <w:r>
        <w:t xml:space="preserve">, each one to his inheritance that Moses gave you beyond the Jordan from the sunrise.</w:t>
      </w:r>
    </w:p>
    <w:p>
      <w:r>
        <w:rPr>
          <w:b/>
        </w:rPr>
        <w:t xml:space="preserve">16 </w:t>
      </w:r>
      <w:r>
        <w:t xml:space="preserve">And answering Joshua they said, Everything that you command us we will do</w:t>
      </w:r>
      <w:r>
        <w:rPr>
          <w:rStyle w:val="FootnoteReference"/>
        </w:rPr>
        <w:footnoteReference w:id="3862"/>
      </w:r>
      <w:r>
        <w:t xml:space="preserve">, and into every place where you send us we will go.</w:t>
      </w:r>
    </w:p>
    <w:p>
      <w:r>
        <w:rPr>
          <w:b/>
        </w:rPr>
        <w:t xml:space="preserve">17 </w:t>
      </w:r>
      <w:r>
        <w:t xml:space="preserve">According to everything that we listened to from Moses, we will listen to you. Only let the Lord our God be with you in the way he was with Moses.</w:t>
      </w:r>
    </w:p>
    <w:p>
      <w:r>
        <w:rPr>
          <w:b/>
        </w:rPr>
        <w:t xml:space="preserve">18 </w:t>
      </w:r>
      <w:r>
        <w:t xml:space="preserve">And the man whoever disobeys you and whoever does not listen to your words in whatever you command him, let him die. But be strong and act like a man.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Joshua son of Nun sent from Shittim</w:t>
      </w:r>
      <w:r>
        <w:rPr>
          <w:rStyle w:val="FootnoteReference"/>
        </w:rPr>
        <w:footnoteReference w:id="3863"/>
      </w:r>
      <w:r>
        <w:t xml:space="preserve"> two young men to spy, saying, Go up and see the land and Jericho. And going, the two young men entered into Jericho and entered into the house of a prostitute woman whose name was Rahab</w:t>
      </w:r>
      <w:r>
        <w:rPr>
          <w:rStyle w:val="FootnoteReference"/>
        </w:rPr>
        <w:footnoteReference w:id="3864"/>
      </w:r>
      <w:r>
        <w:t xml:space="preserve">, and they lodged there.</w:t>
      </w:r>
    </w:p>
    <w:p>
      <w:r>
        <w:rPr>
          <w:b/>
        </w:rPr>
        <w:t xml:space="preserve">2 </w:t>
      </w:r>
      <w:r>
        <w:t xml:space="preserve">And it was reported to the king of Jericho, saying, Men from the sons of Israel have entered here to spy out the land.</w:t>
      </w:r>
    </w:p>
    <w:p>
      <w:r>
        <w:rPr>
          <w:b/>
        </w:rPr>
        <w:t xml:space="preserve">3 </w:t>
      </w:r>
      <w:r>
        <w:t xml:space="preserve">And the king of Jericho sent and said to Rahab, Bring</w:t>
      </w:r>
      <w:r>
        <w:rPr>
          <w:rStyle w:val="FootnoteReference"/>
        </w:rPr>
        <w:footnoteReference w:id="3865"/>
      </w:r>
      <w:r>
        <w:t xml:space="preserve"> out the men who entered into your house in the night, because they have come to spy out the land.</w:t>
      </w:r>
    </w:p>
    <w:p>
      <w:r>
        <w:rPr>
          <w:b/>
        </w:rPr>
        <w:t xml:space="preserve">4 </w:t>
      </w:r>
      <w:r>
        <w:t xml:space="preserve">And the woman, taking the men, hid them and said, The men did come to me,</w:t>
      </w:r>
    </w:p>
    <w:p>
      <w:r>
        <w:rPr>
          <w:b/>
        </w:rPr>
        <w:t xml:space="preserve">5 </w:t>
      </w:r>
      <w:r>
        <w:t xml:space="preserve">but when the gate was being shut in the dark, the men went out</w:t>
      </w:r>
      <w:r>
        <w:rPr>
          <w:rStyle w:val="FootnoteReference"/>
        </w:rPr>
        <w:footnoteReference w:id="3866"/>
      </w:r>
      <w:r>
        <w:t xml:space="preserve">. I do not know where they have gone. Pursue after them, if you will overtake them.</w:t>
      </w:r>
    </w:p>
    <w:p>
      <w:r>
        <w:rPr>
          <w:b/>
        </w:rPr>
        <w:t xml:space="preserve">6 </w:t>
      </w:r>
      <w:r>
        <w:t xml:space="preserve">But she had brought them up to the roof</w:t>
      </w:r>
      <w:r>
        <w:rPr>
          <w:rStyle w:val="FootnoteReference"/>
        </w:rPr>
        <w:footnoteReference w:id="3867"/>
      </w:r>
      <w:r>
        <w:t xml:space="preserve"> and hid them in the flax stalks stacked for her on the roof.</w:t>
      </w:r>
    </w:p>
    <w:p>
      <w:r>
        <w:rPr>
          <w:b/>
        </w:rPr>
        <w:t xml:space="preserve">7 </w:t>
      </w:r>
      <w:r>
        <w:t xml:space="preserve">And the men pursued after them on the road by the Jordan to the crossings, and the gate was shut. And it happened, as those pursuing after them had gone out,</w:t>
      </w:r>
    </w:p>
    <w:p>
      <w:r>
        <w:rPr>
          <w:b/>
        </w:rPr>
        <w:t xml:space="preserve">8 </w:t>
      </w:r>
      <w:r>
        <w:t xml:space="preserve">that before the men lay down, she came up to the roof toward them</w:t>
      </w:r>
    </w:p>
    <w:p>
      <w:r>
        <w:rPr>
          <w:b/>
        </w:rPr>
        <w:t xml:space="preserve">9 </w:t>
      </w:r>
      <w:r>
        <w:t xml:space="preserve">and said to them, I know that the Lord</w:t>
      </w:r>
      <w:r>
        <w:rPr>
          <w:rStyle w:val="FootnoteReference"/>
        </w:rPr>
        <w:footnoteReference w:id="3868"/>
      </w:r>
      <w:r>
        <w:t xml:space="preserve"> has given you the land, for your fear has fallen on us,</w:t>
      </w:r>
    </w:p>
    <w:p>
      <w:r>
        <w:rPr>
          <w:b/>
        </w:rPr>
        <w:t xml:space="preserve">10 </w:t>
      </w:r>
      <w:r>
        <w:t xml:space="preserve">for we</w:t>
      </w:r>
      <w:r>
        <w:rPr>
          <w:rStyle w:val="FootnoteReference"/>
        </w:rPr>
        <w:footnoteReference w:id="3869"/>
      </w:r>
      <w:r>
        <w:t xml:space="preserve"> heard that the Lord God dried up the Red Sea</w:t>
      </w:r>
      <w:r>
        <w:rPr>
          <w:rStyle w:val="FootnoteReference"/>
        </w:rPr>
        <w:footnoteReference w:id="3870"/>
      </w:r>
      <w:r>
        <w:t xml:space="preserve"> from before your face when you came out from Egypt, and all that he did to the two kings of the Amorites who were beyond the Jordan, to Sihon and Og, whom you utterly destroyed.</w:t>
      </w:r>
    </w:p>
    <w:p>
      <w:r>
        <w:rPr>
          <w:b/>
        </w:rPr>
        <w:t xml:space="preserve">11 </w:t>
      </w:r>
      <w:r>
        <w:t xml:space="preserve">And hearing, our heart was astonished, and spirit no longer stood in any of us before your face, because the Lord your God is God in heaven above and on the earth below.</w:t>
      </w:r>
    </w:p>
    <w:p>
      <w:r>
        <w:rPr>
          <w:b/>
        </w:rPr>
        <w:t xml:space="preserve">12 </w:t>
      </w:r>
      <w:r>
        <w:t xml:space="preserve">And now swear</w:t>
      </w:r>
      <w:r>
        <w:rPr>
          <w:rStyle w:val="FootnoteReference"/>
        </w:rPr>
        <w:footnoteReference w:id="3871"/>
      </w:r>
      <w:r>
        <w:t xml:space="preserve"> to me by the Lord God that as I do mercy to you, so you also will do mercy with the house of my father,</w:t>
      </w:r>
    </w:p>
    <w:p>
      <w:r>
        <w:rPr>
          <w:b/>
        </w:rPr>
        <w:t xml:space="preserve">13 </w:t>
      </w:r>
      <w:r>
        <w:t xml:space="preserve">and you will keep alive the house of my father</w:t>
      </w:r>
      <w:r>
        <w:rPr>
          <w:rStyle w:val="FootnoteReference"/>
        </w:rPr>
        <w:footnoteReference w:id="3872"/>
      </w:r>
      <w:r>
        <w:t xml:space="preserve"> and my mother and my brothers and all my house and everything that belongs to them, and you will rescue my life from death.</w:t>
      </w:r>
    </w:p>
    <w:p>
      <w:r>
        <w:rPr>
          <w:b/>
        </w:rPr>
        <w:t xml:space="preserve">14 </w:t>
      </w:r>
      <w:r>
        <w:t xml:space="preserve">And the men said to her, Our life for yours</w:t>
      </w:r>
      <w:r>
        <w:rPr>
          <w:rStyle w:val="FootnoteReference"/>
        </w:rPr>
        <w:footnoteReference w:id="3873"/>
      </w:r>
      <w:r>
        <w:t xml:space="preserve"> unto death. And she said, Whenever the Lord delivers the city to you, you shall do mercy and truth with me.</w:t>
      </w:r>
    </w:p>
    <w:p>
      <w:r>
        <w:rPr>
          <w:b/>
        </w:rPr>
        <w:t xml:space="preserve">15 </w:t>
      </w:r>
      <w:r>
        <w:t xml:space="preserve">And she let them</w:t>
      </w:r>
      <w:r>
        <w:rPr>
          <w:rStyle w:val="FootnoteReference"/>
        </w:rPr>
        <w:footnoteReference w:id="3874"/>
      </w:r>
      <w:r>
        <w:t xml:space="preserve"> down through the window.</w:t>
      </w:r>
    </w:p>
    <w:p>
      <w:r>
        <w:rPr>
          <w:b/>
        </w:rPr>
        <w:t xml:space="preserve">16 </w:t>
      </w:r>
      <w:r>
        <w:t xml:space="preserve">And she said to them, Go away into the hill country, lest those pursuing meet you, and hide yourselves there three days until those pursuing turn back from behind you, and after these things go away on your road.</w:t>
      </w:r>
    </w:p>
    <w:p>
      <w:r>
        <w:rPr>
          <w:b/>
        </w:rPr>
        <w:t xml:space="preserve">17 </w:t>
      </w:r>
      <w:r>
        <w:t xml:space="preserve">And the men said to her, We are guiltless from this oath of yours.</w:t>
      </w:r>
    </w:p>
    <w:p>
      <w:r>
        <w:rPr>
          <w:b/>
        </w:rPr>
        <w:t xml:space="preserve">18 </w:t>
      </w:r>
      <w:r>
        <w:t xml:space="preserve">Behold, when we enter into the city, this scarlet cord sign you shall bind in the window through which you brought us down through it, and your father and your mother and your brothers and all your father's house you shall gather to yourself into your house.</w:t>
      </w:r>
    </w:p>
    <w:p>
      <w:r>
        <w:rPr>
          <w:b/>
        </w:rPr>
        <w:t xml:space="preserve">19 </w:t>
      </w:r>
      <w:r>
        <w:t xml:space="preserve">And it shall be, everyone who may go out the door of your house outside shall be liable to himself</w:t>
      </w:r>
      <w:r>
        <w:rPr>
          <w:rStyle w:val="FootnoteReference"/>
        </w:rPr>
        <w:footnoteReference w:id="3875"/>
      </w:r>
      <w:r>
        <w:t xml:space="preserve">, but we are guiltless of this oath of yours, and whoever may be with you in the house, we will be liable.</w:t>
      </w:r>
    </w:p>
    <w:p>
      <w:r>
        <w:rPr>
          <w:b/>
        </w:rPr>
        <w:t xml:space="preserve">20 </w:t>
      </w:r>
      <w:r>
        <w:t xml:space="preserve">And if anyone wrongs us or reveals these words of ours, we will be guiltless of this oath of yours.</w:t>
      </w:r>
    </w:p>
    <w:p>
      <w:r>
        <w:rPr>
          <w:b/>
        </w:rPr>
        <w:t xml:space="preserve">21 </w:t>
      </w:r>
      <w:r>
        <w:t xml:space="preserve">And she said to them, According to your word, so let it be. And she sent them away.</w:t>
      </w:r>
    </w:p>
    <w:p>
      <w:r>
        <w:rPr>
          <w:b/>
        </w:rPr>
        <w:t xml:space="preserve">22 </w:t>
      </w:r>
      <w:r>
        <w:t xml:space="preserve">And they went away and came to the hill country and remained there three days, and the pursuers searched all the roads and did not find them.</w:t>
      </w:r>
    </w:p>
    <w:p>
      <w:r>
        <w:rPr>
          <w:b/>
        </w:rPr>
        <w:t xml:space="preserve">23 </w:t>
      </w:r>
      <w:r>
        <w:t xml:space="preserve">And the two young men returned and came down from the mountain and crossed over to Joshua son of Nun and told him all the things that happened to them.</w:t>
      </w:r>
    </w:p>
    <w:p>
      <w:r>
        <w:rPr>
          <w:b/>
        </w:rPr>
        <w:t xml:space="preserve">24 </w:t>
      </w:r>
      <w:r>
        <w:t xml:space="preserve">And they said to Joshua, The Lord has delivered all the land into our hands, and every inhabitant of that land has cowered from before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Joshua rose early</w:t>
      </w:r>
      <w:r>
        <w:rPr>
          <w:rStyle w:val="FootnoteReference"/>
        </w:rPr>
        <w:footnoteReference w:id="3876"/>
      </w:r>
      <w:r>
        <w:t xml:space="preserve"> in the morning, and they set out from Shittim and came as far as the Jordan, and they lodged there before crossing.</w:t>
      </w:r>
    </w:p>
    <w:p>
      <w:r>
        <w:rPr>
          <w:b/>
        </w:rPr>
        <w:t xml:space="preserve">2 </w:t>
      </w:r>
      <w:r>
        <w:t xml:space="preserve">And it happened after three days</w:t>
      </w:r>
      <w:r>
        <w:rPr>
          <w:rStyle w:val="FootnoteReference"/>
        </w:rPr>
        <w:footnoteReference w:id="3877"/>
      </w:r>
      <w:r>
        <w:t xml:space="preserve"> that the scribes went through the camp,</w:t>
      </w:r>
    </w:p>
    <w:p>
      <w:r>
        <w:rPr>
          <w:b/>
        </w:rPr>
        <w:t xml:space="preserve">3 </w:t>
      </w:r>
      <w:r>
        <w:t xml:space="preserve">and they commanded the people, saying, Whenever you see the ark of the covenant of the Lord our God and our priests and the Levites carrying it, depart from your places</w:t>
      </w:r>
      <w:r>
        <w:rPr>
          <w:rStyle w:val="FootnoteReference"/>
        </w:rPr>
        <w:footnoteReference w:id="3878"/>
      </w:r>
      <w:r>
        <w:t xml:space="preserve"> and go behind it,</w:t>
      </w:r>
    </w:p>
    <w:p>
      <w:r>
        <w:rPr>
          <w:b/>
        </w:rPr>
        <w:t xml:space="preserve">4 </w:t>
      </w:r>
      <w:r>
        <w:t xml:space="preserve">but let there be distance between you and it, about two thousand cubits. You shall stand; do not come near it, so that you may understand the road on which you go, because you have not gone on this road before yesterday or the third day</w:t>
      </w:r>
      <w:r>
        <w:rPr>
          <w:rStyle w:val="FootnoteReference"/>
        </w:rPr>
        <w:footnoteReference w:id="3879"/>
      </w:r>
      <w:r>
        <w:t xml:space="preserve">.</w:t>
      </w:r>
    </w:p>
    <w:p>
      <w:r>
        <w:rPr>
          <w:b/>
        </w:rPr>
        <w:t xml:space="preserve">5 </w:t>
      </w:r>
      <w:r>
        <w:t xml:space="preserve">And Joshua said to the people, Purify yourselves for tomorrow, because tomorrow the Lord</w:t>
      </w:r>
      <w:r>
        <w:rPr>
          <w:rStyle w:val="FootnoteReference"/>
        </w:rPr>
        <w:footnoteReference w:id="3880"/>
      </w:r>
      <w:r>
        <w:t xml:space="preserve"> will do wonders among you.</w:t>
      </w:r>
    </w:p>
    <w:p>
      <w:r>
        <w:rPr>
          <w:b/>
        </w:rPr>
        <w:t xml:space="preserve">6 </w:t>
      </w:r>
      <w:r>
        <w:t xml:space="preserve">And Joshua said to the priests, Lift up the ark of the covenant of the Lord and go before the people. And the priests lifted up the ark of the covenant of the Lord and went before the people.</w:t>
      </w:r>
    </w:p>
    <w:p>
      <w:r>
        <w:rPr>
          <w:b/>
        </w:rPr>
        <w:t xml:space="preserve">7 </w:t>
      </w:r>
      <w:r>
        <w:t xml:space="preserve">And the Lord said to Joshua, On this day I begin to exalt you before all the sons of Israel, so that they may know that just as I was</w:t>
      </w:r>
      <w:r>
        <w:rPr>
          <w:rStyle w:val="FootnoteReference"/>
        </w:rPr>
        <w:footnoteReference w:id="3881"/>
      </w:r>
      <w:r>
        <w:t xml:space="preserve"> with Moses, so I will also be with you.</w:t>
      </w:r>
    </w:p>
    <w:p>
      <w:r>
        <w:rPr>
          <w:b/>
        </w:rPr>
        <w:t xml:space="preserve">8 </w:t>
      </w:r>
      <w:r>
        <w:t xml:space="preserve">And now command</w:t>
      </w:r>
      <w:r>
        <w:rPr>
          <w:rStyle w:val="FootnoteReference"/>
        </w:rPr>
        <w:footnoteReference w:id="3882"/>
      </w:r>
      <w:r>
        <w:t xml:space="preserve"> the priests carrying the ark of the covenant, saying, When you enter upon the edge of the water of the Jordan, stand in the Jordan.</w:t>
      </w:r>
    </w:p>
    <w:p>
      <w:r>
        <w:rPr>
          <w:b/>
        </w:rPr>
        <w:t xml:space="preserve">9 </w:t>
      </w:r>
      <w:r>
        <w:t xml:space="preserve">And Joshua said to the sons of Israel, Come near here and hear the word of the Lord our God.</w:t>
      </w:r>
    </w:p>
    <w:p>
      <w:r>
        <w:rPr>
          <w:b/>
        </w:rPr>
        <w:t xml:space="preserve">10 </w:t>
      </w:r>
      <w:r>
        <w:t xml:space="preserve">By this you shall know that the living</w:t>
      </w:r>
      <w:r>
        <w:rPr>
          <w:rStyle w:val="FootnoteReference"/>
        </w:rPr>
        <w:footnoteReference w:id="3883"/>
      </w:r>
      <w:r>
        <w:t xml:space="preserve"> God is among you, and destroying he will destroy from before our face the Canaanite and the Hittite and the Perizzite and the Hivite and the Amorite and the Gergesite and the Jebusite.</w:t>
      </w:r>
    </w:p>
    <w:p>
      <w:r>
        <w:rPr>
          <w:b/>
        </w:rPr>
        <w:t xml:space="preserve">11 </w:t>
      </w:r>
      <w:r>
        <w:t xml:space="preserve">Behold, the ark of the covenant of the Lord</w:t>
      </w:r>
      <w:r>
        <w:rPr>
          <w:rStyle w:val="FootnoteReference"/>
        </w:rPr>
        <w:footnoteReference w:id="3884"/>
      </w:r>
      <w:r>
        <w:t xml:space="preserve"> of all the earth crosses the Jordan.</w:t>
      </w:r>
    </w:p>
    <w:p>
      <w:r>
        <w:rPr>
          <w:b/>
        </w:rPr>
        <w:t xml:space="preserve">12 </w:t>
      </w:r>
      <w:r>
        <w:t xml:space="preserve">Choose for yourselves twelve men from the sons of Israel, one from each tribe.</w:t>
      </w:r>
    </w:p>
    <w:p>
      <w:r>
        <w:rPr>
          <w:b/>
        </w:rPr>
        <w:t xml:space="preserve">13 </w:t>
      </w:r>
      <w:r>
        <w:t xml:space="preserve">And it shall be, when the feet of the priests carrying the ark of the covenant of the Lord</w:t>
      </w:r>
      <w:r>
        <w:rPr>
          <w:rStyle w:val="FootnoteReference"/>
        </w:rPr>
        <w:footnoteReference w:id="3885"/>
      </w:r>
      <w:r>
        <w:t xml:space="preserve"> of all the earth come to rest in the water of the Jordan, the water of the Jordan will fail, and the water coming down will stand.</w:t>
      </w:r>
      <w:r>
        <w:rPr>
          <w:rStyle w:val="FootnoteReference"/>
        </w:rPr>
        <w:footnoteReference w:id="3886"/>
      </w:r>
    </w:p>
    <w:p>
      <w:r>
        <w:rPr>
          <w:b/>
        </w:rPr>
        <w:t xml:space="preserve">14 </w:t>
      </w:r>
      <w:r>
        <w:t xml:space="preserve">And the people set out from their tents to cross the Jordan, and the priests were carrying the ark of the covenant of the Lord before the people.</w:t>
      </w:r>
    </w:p>
    <w:p>
      <w:r>
        <w:rPr>
          <w:b/>
        </w:rPr>
        <w:t xml:space="preserve">15 </w:t>
      </w:r>
      <w:r>
        <w:t xml:space="preserve">And when the priests carrying the ark of the covenant went into the Jordan, and the feet</w:t>
      </w:r>
      <w:r>
        <w:rPr>
          <w:rStyle w:val="FootnoteReference"/>
        </w:rPr>
        <w:footnoteReference w:id="3887"/>
      </w:r>
      <w:r>
        <w:t xml:space="preserve"> of the priests carrying the ark of the covenant of the Lord were dipped on the edge of the water of the Jordan, now the Jordan was full along all its bank, like the days of wheat harvest,</w:t>
      </w:r>
    </w:p>
    <w:p>
      <w:r>
        <w:rPr>
          <w:b/>
        </w:rPr>
        <w:t xml:space="preserve">16 </w:t>
      </w:r>
      <w:r>
        <w:t xml:space="preserve">then the waters coming down from above stood, a mass standing exceedingly far away</w:t>
      </w:r>
      <w:r>
        <w:rPr>
          <w:rStyle w:val="FootnoteReference"/>
        </w:rPr>
        <w:footnoteReference w:id="3888"/>
      </w:r>
      <w:r>
        <w:t xml:space="preserve">, as far as the region of Kirjathjearim</w:t>
      </w:r>
      <w:r>
        <w:rPr>
          <w:rStyle w:val="FootnoteReference"/>
        </w:rPr>
        <w:footnoteReference w:id="3889"/>
      </w:r>
      <w:r>
        <w:t xml:space="preserve">, but the waters going down went down into the Arabah sea, the Salt Sea</w:t>
      </w:r>
      <w:r>
        <w:rPr>
          <w:rStyle w:val="FootnoteReference"/>
        </w:rPr>
        <w:footnoteReference w:id="3890"/>
      </w:r>
      <w:r>
        <w:t xml:space="preserve">, until the end they failed, and the people stood opposite Jericho.</w:t>
      </w:r>
    </w:p>
    <w:p>
      <w:r>
        <w:rPr>
          <w:b/>
        </w:rPr>
        <w:t xml:space="preserve">17 </w:t>
      </w:r>
      <w:r>
        <w:t xml:space="preserve">And the priests</w:t>
      </w:r>
      <w:r>
        <w:rPr>
          <w:rStyle w:val="FootnoteReference"/>
        </w:rPr>
        <w:footnoteReference w:id="3891"/>
      </w:r>
      <w:r>
        <w:t xml:space="preserve"> carrying the ark of the covenant of the Lord stood on dry ground</w:t>
      </w:r>
      <w:r>
        <w:rPr>
          <w:rStyle w:val="FootnoteReference"/>
        </w:rPr>
        <w:footnoteReference w:id="3892"/>
      </w:r>
      <w:r>
        <w:t xml:space="preserve"> in the midst of the Jordan, and all the sons of Israel were crossing on dry ground until all the people finished crossing the Jordan.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when all the people finished crossing the Jordan, the Lord said to Joshua, saying,</w:t>
      </w:r>
    </w:p>
    <w:p>
      <w:r>
        <w:rPr>
          <w:b/>
        </w:rPr>
        <w:t xml:space="preserve">2 </w:t>
      </w:r>
      <w:r>
        <w:t xml:space="preserve">Take men from the people, one from each tribe,</w:t>
      </w:r>
    </w:p>
    <w:p>
      <w:r>
        <w:rPr>
          <w:b/>
        </w:rPr>
        <w:t xml:space="preserve">3 </w:t>
      </w:r>
      <w:r>
        <w:t xml:space="preserve">and command them, saying, Take up from the midst of the Jordan twelve ready stones</w:t>
      </w:r>
      <w:r>
        <w:rPr>
          <w:rStyle w:val="FootnoteReference"/>
        </w:rPr>
        <w:footnoteReference w:id="3893"/>
      </w:r>
      <w:r>
        <w:t xml:space="preserve">, and, carrying them with you, place them in your camp, where you may camp there tonight.</w:t>
      </w:r>
    </w:p>
    <w:p>
      <w:r>
        <w:rPr>
          <w:b/>
        </w:rPr>
        <w:t xml:space="preserve">4 </w:t>
      </w:r>
      <w:r>
        <w:t xml:space="preserve">And Joshua called twelve honored men from the sons of Israel, one from each tribe,</w:t>
      </w:r>
    </w:p>
    <w:p>
      <w:r>
        <w:rPr>
          <w:b/>
        </w:rPr>
        <w:t xml:space="preserve">5 </w:t>
      </w:r>
      <w:r>
        <w:t xml:space="preserve">and said to them, Come before me before the Lord into the midst of the Jordan, and, taking from there, let each lift a stone on his shoulders according to the number of the twelve tribes of Israel,</w:t>
      </w:r>
    </w:p>
    <w:p>
      <w:r>
        <w:rPr>
          <w:b/>
        </w:rPr>
        <w:t xml:space="preserve">6 </w:t>
      </w:r>
      <w:r>
        <w:t xml:space="preserve">so that these may exist for you as a sign</w:t>
      </w:r>
      <w:r>
        <w:rPr>
          <w:rStyle w:val="FootnoteReference"/>
        </w:rPr>
        <w:footnoteReference w:id="3894"/>
      </w:r>
      <w:r>
        <w:t xml:space="preserve"> lying there forever, so that when your son asks you tomorrow, saying, What are these stones to you?</w:t>
      </w:r>
    </w:p>
    <w:p>
      <w:r>
        <w:rPr>
          <w:b/>
        </w:rPr>
        <w:t xml:space="preserve">7 </w:t>
      </w:r>
      <w:r>
        <w:t xml:space="preserve">then you shall explain to your son, saying that the river Jordan failed</w:t>
      </w:r>
      <w:r>
        <w:rPr>
          <w:rStyle w:val="FootnoteReference"/>
        </w:rPr>
        <w:footnoteReference w:id="3895"/>
      </w:r>
      <w:r>
        <w:t xml:space="preserve"> from before the ark of the covenant of the Lord of all the earth as it crossed it, and these stones shall be for you as a memorial</w:t>
      </w:r>
      <w:r>
        <w:rPr>
          <w:rStyle w:val="FootnoteReference"/>
        </w:rPr>
        <w:footnoteReference w:id="3896"/>
      </w:r>
      <w:r>
        <w:t xml:space="preserve"> to the sons of Israel forever.</w:t>
      </w:r>
    </w:p>
    <w:p>
      <w:r>
        <w:rPr>
          <w:b/>
        </w:rPr>
        <w:t xml:space="preserve">8 </w:t>
      </w:r>
      <w:r>
        <w:t xml:space="preserve">And the sons of Israel did thus just as the Lord commanded Joshua, and taking twelve stones from the midst of the Jordan, just as the Lord ordered Joshua at the completion of the crossing of the sons of Israel, they carried them with themselves into the camp and laid them there.</w:t>
      </w:r>
      <w:r>
        <w:rPr>
          <w:rStyle w:val="FootnoteReference"/>
        </w:rPr>
        <w:footnoteReference w:id="3897"/>
      </w:r>
    </w:p>
    <w:p>
      <w:r>
        <w:rPr>
          <w:b/>
        </w:rPr>
        <w:t xml:space="preserve">9 </w:t>
      </w:r>
      <w:r>
        <w:t xml:space="preserve">And Joshua set up another twelve stones in that Jordan itself, in the place that came to be under the feet of the priests carrying the ark of the covenant of the Lord, and they are there</w:t>
      </w:r>
      <w:r>
        <w:rPr>
          <w:rStyle w:val="FootnoteReference"/>
        </w:rPr>
        <w:footnoteReference w:id="3898"/>
      </w:r>
      <w:r>
        <w:t xml:space="preserve"> until this day.</w:t>
      </w:r>
    </w:p>
    <w:p>
      <w:r>
        <w:rPr>
          <w:b/>
        </w:rPr>
        <w:t xml:space="preserve">10 </w:t>
      </w:r>
      <w:r>
        <w:t xml:space="preserve">And the priests carrying the ark of the covenant had been standing in the Jordan until Joshua finished everything that the Lord commanded to report to the people</w:t>
      </w:r>
      <w:r>
        <w:rPr>
          <w:rStyle w:val="FootnoteReference"/>
        </w:rPr>
        <w:footnoteReference w:id="3899"/>
      </w:r>
      <w:r>
        <w:t xml:space="preserve">, and the people hurried and crossed.</w:t>
      </w:r>
    </w:p>
    <w:p>
      <w:r>
        <w:rPr>
          <w:b/>
        </w:rPr>
        <w:t xml:space="preserve">11 </w:t>
      </w:r>
      <w:r>
        <w:t xml:space="preserve">And it happened, when all the people finished crossing, the ark of the covenant of the Lord and the stones crossed before them.</w:t>
      </w:r>
    </w:p>
    <w:p>
      <w:r>
        <w:rPr>
          <w:b/>
        </w:rPr>
        <w:t xml:space="preserve">12 </w:t>
      </w:r>
      <w:r>
        <w:t xml:space="preserve">And the sons of Reuben and the sons of Gad and the half-tribe of Manasseh crossed over prepared before the sons of Israel, just as Moses commanded them.</w:t>
      </w:r>
    </w:p>
    <w:p>
      <w:r>
        <w:rPr>
          <w:b/>
        </w:rPr>
        <w:t xml:space="preserve">13 </w:t>
      </w:r>
      <w:r>
        <w:t xml:space="preserve">Forty thousand well-armed for battle crossed before the Lord for war, toward the city Jericho.</w:t>
      </w:r>
    </w:p>
    <w:p>
      <w:r>
        <w:rPr>
          <w:b/>
        </w:rPr>
        <w:t xml:space="preserve">14 </w:t>
      </w:r>
      <w:r>
        <w:t xml:space="preserve">On that day the Lord magnified</w:t>
      </w:r>
      <w:r>
        <w:rPr>
          <w:rStyle w:val="FootnoteReference"/>
        </w:rPr>
        <w:footnoteReference w:id="3900"/>
      </w:r>
      <w:r>
        <w:t xml:space="preserve"> Joshua before all the race of Israel, and they feared him as they feared Moses for as long as he lived.</w:t>
      </w:r>
    </w:p>
    <w:p>
      <w:r>
        <w:rPr>
          <w:b/>
        </w:rPr>
        <w:t xml:space="preserve">15 </w:t>
      </w:r>
      <w:r>
        <w:t xml:space="preserve">And the Lord said to Joshua, saying,</w:t>
      </w:r>
    </w:p>
    <w:p>
      <w:r>
        <w:rPr>
          <w:b/>
        </w:rPr>
        <w:t xml:space="preserve">16 </w:t>
      </w:r>
      <w:r>
        <w:t xml:space="preserve">Command the priests carrying the ark of the covenant of the testimony of the Lord to come up out of the Jordan.</w:t>
      </w:r>
    </w:p>
    <w:p>
      <w:r>
        <w:rPr>
          <w:b/>
        </w:rPr>
        <w:t xml:space="preserve">17 </w:t>
      </w:r>
      <w:r>
        <w:t xml:space="preserve">And Joshua commanded the priests, saying, Come up out of the Jordan.</w:t>
      </w:r>
    </w:p>
    <w:p>
      <w:r>
        <w:rPr>
          <w:b/>
        </w:rPr>
        <w:t xml:space="preserve">18 </w:t>
      </w:r>
      <w:r>
        <w:t xml:space="preserve">And it happened, when the priests carrying the ark of the covenant of the Lord came up out of the Jordan and set their feet on the land, the water of the Jordan rushed down to its place and went as yesterday and the third day</w:t>
      </w:r>
      <w:r>
        <w:rPr>
          <w:rStyle w:val="FootnoteReference"/>
        </w:rPr>
        <w:footnoteReference w:id="3901"/>
      </w:r>
      <w:r>
        <w:t xml:space="preserve"> along all the bank.</w:t>
      </w:r>
    </w:p>
    <w:p>
      <w:r>
        <w:rPr>
          <w:b/>
        </w:rPr>
        <w:t xml:space="preserve">19 </w:t>
      </w:r>
      <w:r>
        <w:t xml:space="preserve">And the people came up out of the Jordan on the tenth of the first month</w:t>
      </w:r>
      <w:r>
        <w:rPr>
          <w:rStyle w:val="FootnoteReference"/>
        </w:rPr>
        <w:footnoteReference w:id="3902"/>
      </w:r>
      <w:r>
        <w:t xml:space="preserve">, and the sons of Israel encamped in Gilgal</w:t>
      </w:r>
      <w:r>
        <w:rPr>
          <w:rStyle w:val="FootnoteReference"/>
        </w:rPr>
        <w:footnoteReference w:id="3903"/>
      </w:r>
      <w:r>
        <w:t xml:space="preserve"> at the part toward the sunrise from Jericho.</w:t>
      </w:r>
    </w:p>
    <w:p>
      <w:r>
        <w:rPr>
          <w:b/>
        </w:rPr>
        <w:t xml:space="preserve">20 </w:t>
      </w:r>
      <w:r>
        <w:t xml:space="preserve">And Joshua set up these twelve stones that he took from the Jordan in Gilgal,</w:t>
      </w:r>
    </w:p>
    <w:p>
      <w:r>
        <w:rPr>
          <w:b/>
        </w:rPr>
        <w:t xml:space="preserve">21 </w:t>
      </w:r>
      <w:r>
        <w:t xml:space="preserve">saying, Whenever your sons ask you, saying, What are these stones?</w:t>
      </w:r>
    </w:p>
    <w:p>
      <w:r>
        <w:rPr>
          <w:b/>
        </w:rPr>
        <w:t xml:space="preserve">22 </w:t>
      </w:r>
      <w:r>
        <w:t xml:space="preserve">you shall report to your sons that Israel crossed the Jordan on dry ground,</w:t>
      </w:r>
    </w:p>
    <w:p>
      <w:r>
        <w:rPr>
          <w:b/>
        </w:rPr>
        <w:t xml:space="preserve">23 </w:t>
      </w:r>
      <w:r>
        <w:t xml:space="preserve">when the Lord our God dried up the water of the Jordan</w:t>
      </w:r>
      <w:r>
        <w:rPr>
          <w:rStyle w:val="FootnoteReference"/>
        </w:rPr>
        <w:footnoteReference w:id="3904"/>
      </w:r>
      <w:r>
        <w:t xml:space="preserve"> from before them until they crossed, just as the Lord our God did to the Red Sea, which the Lord our God dried up before us until we passed over,</w:t>
      </w:r>
    </w:p>
    <w:p>
      <w:r>
        <w:rPr>
          <w:b/>
        </w:rPr>
        <w:t xml:space="preserve">24 </w:t>
      </w:r>
      <w:r>
        <w:t xml:space="preserve">so that all the nations of the earth may know that the power of the Lord is strong, and so that you may revere the Lord your God at all times.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it happened, when the kings of the Amorites who were beyond the Jordan and the kings of Phoenicia by the sea heard</w:t>
      </w:r>
      <w:r>
        <w:rPr>
          <w:rStyle w:val="FootnoteReference"/>
        </w:rPr>
        <w:footnoteReference w:id="3905"/>
      </w:r>
      <w:r>
        <w:t xml:space="preserve"> that the Lord God dried up the river Jordan from before the sons of Israel while they crossed it, then their minds melted and they were astonished, and there was no understanding in them at all from before the sons of Israel.</w:t>
      </w:r>
    </w:p>
    <w:p>
      <w:r>
        <w:rPr>
          <w:b/>
        </w:rPr>
        <w:t xml:space="preserve">2 </w:t>
      </w:r>
      <w:r>
        <w:t xml:space="preserve">And at that time the Lord said to Joshua, Make for yourself stone knives from sheer rock, and sit down and circumcise</w:t>
      </w:r>
      <w:r>
        <w:rPr>
          <w:rStyle w:val="FootnoteReference"/>
        </w:rPr>
        <w:footnoteReference w:id="3906"/>
      </w:r>
      <w:r>
        <w:t xml:space="preserve"> the sons of Israel.</w:t>
      </w:r>
    </w:p>
    <w:p>
      <w:r>
        <w:rPr>
          <w:b/>
        </w:rPr>
        <w:t xml:space="preserve">3 </w:t>
      </w:r>
      <w:r>
        <w:t xml:space="preserve">And Joshua</w:t>
      </w:r>
      <w:r>
        <w:rPr>
          <w:rStyle w:val="FootnoteReference"/>
        </w:rPr>
        <w:footnoteReference w:id="3907"/>
      </w:r>
      <w:r>
        <w:t xml:space="preserve"> made sharp stone knives and circumcised the sons of Israel at the place called Hill of Foreskins.</w:t>
      </w:r>
    </w:p>
    <w:p>
      <w:r>
        <w:rPr>
          <w:b/>
        </w:rPr>
        <w:t xml:space="preserve">4 </w:t>
      </w:r>
      <w:r>
        <w:t xml:space="preserve">And this is the way Joshua purified the sons of Israel, as many as had once come to be on the road, and as many as had once been uncircumcised among those who came out from Egypt.</w:t>
      </w:r>
    </w:p>
    <w:p>
      <w:r>
        <w:rPr>
          <w:b/>
        </w:rPr>
        <w:t xml:space="preserve">5 </w:t>
      </w:r>
      <w:r>
        <w:t xml:space="preserve">All these Joshua circumcised.</w:t>
      </w:r>
      <w:r>
        <w:rPr>
          <w:rStyle w:val="FootnoteReference"/>
        </w:rPr>
        <w:footnoteReference w:id="3908"/>
      </w:r>
    </w:p>
    <w:p>
      <w:r>
        <w:rPr>
          <w:b/>
        </w:rPr>
        <w:t xml:space="preserve">6 </w:t>
      </w:r>
      <w:r>
        <w:t xml:space="preserve">For forty-two years</w:t>
      </w:r>
      <w:r>
        <w:rPr>
          <w:rStyle w:val="FootnoteReference"/>
        </w:rPr>
        <w:footnoteReference w:id="3909"/>
      </w:r>
      <w:r>
        <w:t xml:space="preserve"> Israel had turned about in the wilderness of Madbaritis; therefore most of them were uncircumcised, the fighting men who had come out from the land of Egypt, who disobeyed the commands of God, to whom the Lord also determined that they should not see the land that he swore to their fathers to give us, a land</w:t>
      </w:r>
      <w:r>
        <w:rPr>
          <w:rStyle w:val="FootnoteReference"/>
        </w:rPr>
        <w:footnoteReference w:id="3910"/>
      </w:r>
      <w:r>
        <w:t xml:space="preserve"> flowing with milk and honey.</w:t>
      </w:r>
    </w:p>
    <w:p>
      <w:r>
        <w:rPr>
          <w:b/>
        </w:rPr>
        <w:t xml:space="preserve">7 </w:t>
      </w:r>
      <w:r>
        <w:t xml:space="preserve">And in place of these he set up their sons, whom Joshua circumcised because they had become uncircumcised on the road.</w:t>
      </w:r>
    </w:p>
    <w:p>
      <w:r>
        <w:rPr>
          <w:b/>
        </w:rPr>
        <w:t xml:space="preserve">8 </w:t>
      </w:r>
      <w:r>
        <w:t xml:space="preserve">And after they were circumcised, they had rest there, sitting in the camp until they were healed.</w:t>
      </w:r>
    </w:p>
    <w:p>
      <w:r>
        <w:rPr>
          <w:b/>
        </w:rPr>
        <w:t xml:space="preserve">9 </w:t>
      </w:r>
      <w:r>
        <w:t xml:space="preserve">And the Lord said to Joshua son of Nun, On this day I have removed the reproach of Egypt from you. And he called the name of that place Gilgal</w:t>
      </w:r>
      <w:r>
        <w:rPr>
          <w:rStyle w:val="FootnoteReference"/>
        </w:rPr>
        <w:footnoteReference w:id="3911"/>
      </w:r>
      <w:r>
        <w:t xml:space="preserve">.</w:t>
      </w:r>
    </w:p>
    <w:p>
      <w:r>
        <w:rPr>
          <w:b/>
        </w:rPr>
        <w:t xml:space="preserve">10 </w:t>
      </w:r>
      <w:r>
        <w:t xml:space="preserve">And the sons of Israel kept the Passover</w:t>
      </w:r>
      <w:r>
        <w:rPr>
          <w:rStyle w:val="FootnoteReference"/>
        </w:rPr>
        <w:footnoteReference w:id="3912"/>
      </w:r>
      <w:r>
        <w:t xml:space="preserve"> on the fourteenth day of the month, from evening, west of Jericho, beyond the Jordan, in the plain.</w:t>
      </w:r>
    </w:p>
    <w:p>
      <w:r>
        <w:rPr>
          <w:b/>
        </w:rPr>
        <w:t xml:space="preserve">11 </w:t>
      </w:r>
      <w:r>
        <w:t xml:space="preserve">And they ate from the grain of the land, unleavened bread and new grain, on this very day.</w:t>
      </w:r>
    </w:p>
    <w:p>
      <w:r>
        <w:rPr>
          <w:b/>
        </w:rPr>
        <w:t xml:space="preserve">12 </w:t>
      </w:r>
      <w:r>
        <w:t xml:space="preserve">The manna</w:t>
      </w:r>
      <w:r>
        <w:rPr>
          <w:rStyle w:val="FootnoteReference"/>
        </w:rPr>
        <w:footnoteReference w:id="3913"/>
      </w:r>
      <w:r>
        <w:t xml:space="preserve"> failed after they had eaten from the grain of the land, and there was no longer manna for the sons of Israel, but they harvested the land of the Phoenicians in that year.</w:t>
      </w:r>
    </w:p>
    <w:p>
      <w:r>
        <w:rPr>
          <w:b/>
        </w:rPr>
        <w:t xml:space="preserve">13 </w:t>
      </w:r>
      <w:r>
        <w:t xml:space="preserve">And it happened, as Joshua was in Jericho, that lifting his eyes he saw a man standing before him</w:t>
      </w:r>
      <w:r>
        <w:rPr>
          <w:rStyle w:val="FootnoteReference"/>
        </w:rPr>
        <w:footnoteReference w:id="3914"/>
      </w:r>
      <w:r>
        <w:t xml:space="preserve">, and his sword was drawn in his hand. And coming near, Joshua said to him, Are you one of ours or of our adversaries?</w:t>
      </w:r>
      <w:r>
        <w:rPr>
          <w:rStyle w:val="FootnoteReference"/>
        </w:rPr>
        <w:footnoteReference w:id="3915"/>
      </w:r>
    </w:p>
    <w:p>
      <w:r>
        <w:rPr>
          <w:b/>
        </w:rPr>
        <w:t xml:space="preserve">14 </w:t>
      </w:r>
      <w:r>
        <w:t xml:space="preserve">And he said to him, I am commander-in-chief of the Lord's force; now I have arrived. And Joshua fell on his</w:t>
      </w:r>
      <w:r>
        <w:rPr>
          <w:rStyle w:val="FootnoteReference"/>
        </w:rPr>
        <w:footnoteReference w:id="3916"/>
      </w:r>
      <w:r>
        <w:t xml:space="preserve"> face to the ground and said to him, Master, what do you command your servant?</w:t>
      </w:r>
    </w:p>
    <w:p>
      <w:r>
        <w:rPr>
          <w:b/>
        </w:rPr>
        <w:t xml:space="preserve">15 </w:t>
      </w:r>
      <w:r>
        <w:t xml:space="preserve">And the commander-in-chief of the Lord says to Joshua, Loose</w:t>
      </w:r>
      <w:r>
        <w:rPr>
          <w:rStyle w:val="FootnoteReference"/>
        </w:rPr>
        <w:footnoteReference w:id="3917"/>
      </w:r>
      <w:r>
        <w:t xml:space="preserve"> the sandal from your feet, because the place on which you stand is holy.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Jericho was shut up and fortified, and no one went out from it, nor entered into it.</w:t>
      </w:r>
    </w:p>
    <w:p>
      <w:r>
        <w:rPr>
          <w:b/>
        </w:rPr>
        <w:t xml:space="preserve">2 </w:t>
      </w:r>
      <w:r>
        <w:t xml:space="preserve">And the Lord</w:t>
      </w:r>
      <w:r>
        <w:rPr>
          <w:rStyle w:val="FootnoteReference"/>
        </w:rPr>
        <w:footnoteReference w:id="3918"/>
      </w:r>
      <w:r>
        <w:t xml:space="preserve"> said to Joshua, Behold, I give Jericho into your hand, and its king, and the mighty men being in strength within it.</w:t>
      </w:r>
    </w:p>
    <w:p>
      <w:r>
        <w:rPr>
          <w:b/>
        </w:rPr>
        <w:t xml:space="preserve">3 </w:t>
      </w:r>
      <w:r>
        <w:t xml:space="preserve">And you shall set the warriors around it in a circle.</w:t>
      </w:r>
    </w:p>
    <w:p>
      <w:r>
        <w:rPr>
          <w:b/>
        </w:rPr>
        <w:t xml:space="preserve">5 </w:t>
      </w:r>
      <w:r>
        <w:t xml:space="preserve">And it shall be, when you sound with the trumpet, let all the people cry out together, and when they cry out the walls of the city will fall of themselves</w:t>
      </w:r>
      <w:r>
        <w:rPr>
          <w:rStyle w:val="FootnoteReference"/>
        </w:rPr>
        <w:footnoteReference w:id="3919"/>
      </w:r>
      <w:r>
        <w:t xml:space="preserve">, and all the people shall enter, each one rushing straight ahead into the city.</w:t>
      </w:r>
    </w:p>
    <w:p>
      <w:r>
        <w:rPr>
          <w:b/>
        </w:rPr>
        <w:t xml:space="preserve">6 </w:t>
      </w:r>
      <w:r>
        <w:t xml:space="preserve">And Joshua son of Nun went in to the priests</w:t>
      </w:r>
      <w:r>
        <w:rPr>
          <w:rStyle w:val="FootnoteReference"/>
        </w:rPr>
        <w:footnoteReference w:id="3920"/>
      </w:r>
      <w:r>
        <w:t xml:space="preserve"/>
      </w:r>
    </w:p>
    <w:p>
      <w:r>
        <w:rPr>
          <w:b/>
        </w:rPr>
        <w:t xml:space="preserve">7 </w:t>
      </w:r>
      <w:r>
        <w:t xml:space="preserve">and said to them, saying, Command the people to go around and encircle the city, and let the warriors pass by armed before the Lord.</w:t>
      </w:r>
    </w:p>
    <w:p>
      <w:r>
        <w:rPr>
          <w:b/>
        </w:rPr>
        <w:t xml:space="preserve">8 </w:t>
      </w:r>
      <w:r>
        <w:t xml:space="preserve">And let seven priests holding the seven holy trumpets go past likewise before the Lord</w:t>
      </w:r>
      <w:r>
        <w:rPr>
          <w:rStyle w:val="FootnoteReference"/>
        </w:rPr>
        <w:footnoteReference w:id="3921"/>
      </w:r>
      <w:r>
        <w:t xml:space="preserve"> and sound loudly, and let the ark of the covenant of the Lord follow after.</w:t>
      </w:r>
    </w:p>
    <w:p>
      <w:r>
        <w:rPr>
          <w:b/>
        </w:rPr>
        <w:t xml:space="preserve">9 </w:t>
      </w:r>
      <w:r>
        <w:t xml:space="preserve">And let the warriors pass by in front, and the priests bringing up the rear behind the ark of the covenant of the Lord, going and sounding trumpets.</w:t>
      </w:r>
    </w:p>
    <w:p>
      <w:r>
        <w:rPr>
          <w:b/>
        </w:rPr>
        <w:t xml:space="preserve">10 </w:t>
      </w:r>
      <w:r>
        <w:t xml:space="preserve">And Joshua commanded the people, saying, Do not shout, and let none of you be heard by voice until the day</w:t>
      </w:r>
      <w:r>
        <w:rPr>
          <w:rStyle w:val="FootnoteReference"/>
        </w:rPr>
        <w:footnoteReference w:id="3922"/>
      </w:r>
      <w:r>
        <w:t xml:space="preserve"> when he himself reports to shout, and then you shall shout.</w:t>
      </w:r>
      <w:r>
        <w:rPr>
          <w:rStyle w:val="FootnoteReference"/>
        </w:rPr>
        <w:footnoteReference w:id="3923"/>
      </w:r>
      <w:r>
        <w:rPr>
          <w:rStyle w:val="FootnoteReference"/>
        </w:rPr>
        <w:footnoteReference w:id="3924"/>
      </w:r>
    </w:p>
    <w:p>
      <w:r>
        <w:rPr>
          <w:b/>
        </w:rPr>
        <w:t xml:space="preserve">11 </w:t>
      </w:r>
      <w:r>
        <w:t xml:space="preserve">And the ark of the covenant of God went around the city and straightway went away into the camp and slept there.</w:t>
      </w:r>
    </w:p>
    <w:p>
      <w:r>
        <w:rPr>
          <w:b/>
        </w:rPr>
        <w:t xml:space="preserve">12 </w:t>
      </w:r>
      <w:r>
        <w:t xml:space="preserve">And on the second day Joshua rose</w:t>
      </w:r>
      <w:r>
        <w:rPr>
          <w:rStyle w:val="FootnoteReference"/>
        </w:rPr>
        <w:footnoteReference w:id="3925"/>
      </w:r>
      <w:r>
        <w:t xml:space="preserve"> in the morning, and the priests lifted the ark of the covenant of the Lord.</w:t>
      </w:r>
    </w:p>
    <w:p>
      <w:r>
        <w:rPr>
          <w:b/>
        </w:rPr>
        <w:t xml:space="preserve">13 </w:t>
      </w:r>
      <w:r>
        <w:t xml:space="preserve">And the seven priests carrying the seven trumpets went before the Lord, and after these the warriors entered, and the rest of the crowd behind the ark of the covenant of the Lord, and the priests sounded with the trumpets, and all the rest of the crowd encircled the city nearby.</w:t>
      </w:r>
      <w:r>
        <w:rPr>
          <w:rStyle w:val="FootnoteReference"/>
        </w:rPr>
        <w:footnoteReference w:id="3926"/>
      </w:r>
    </w:p>
    <w:p>
      <w:r>
        <w:rPr>
          <w:b/>
        </w:rPr>
        <w:t xml:space="preserve">14 </w:t>
      </w:r>
      <w:r>
        <w:t xml:space="preserve">And he went away again into the camp. Thus he did for six days.</w:t>
      </w:r>
    </w:p>
    <w:p>
      <w:r>
        <w:rPr>
          <w:b/>
        </w:rPr>
        <w:t xml:space="preserve">15 </w:t>
      </w:r>
      <w:r>
        <w:t xml:space="preserve">And on the seventh day they rose at dawn and went around the city six times.</w:t>
      </w:r>
    </w:p>
    <w:p>
      <w:r>
        <w:rPr>
          <w:b/>
        </w:rPr>
        <w:t xml:space="preserve">16 </w:t>
      </w:r>
      <w:r>
        <w:t xml:space="preserve">And at the seventh circuit the priests sounded, and Joshua said to the sons of Israel, Shout</w:t>
      </w:r>
      <w:r>
        <w:rPr>
          <w:rStyle w:val="FootnoteReference"/>
        </w:rPr>
        <w:footnoteReference w:id="3927"/>
      </w:r>
      <w:r>
        <w:t xml:space="preserve">, because the Lord has delivered the city to you.</w:t>
      </w:r>
    </w:p>
    <w:p>
      <w:r>
        <w:rPr>
          <w:b/>
        </w:rPr>
        <w:t xml:space="preserve">17 </w:t>
      </w:r>
      <w:r>
        <w:t xml:space="preserve">And the city shall be a devoted thing, it and everything in it, to the Lord of hosts. Only Rahab</w:t>
      </w:r>
      <w:r>
        <w:rPr>
          <w:rStyle w:val="FootnoteReference"/>
        </w:rPr>
        <w:footnoteReference w:id="3928"/>
      </w:r>
      <w:r>
        <w:t xml:space="preserve"> the prostitute you shall preserve, her and whatever is in her house.</w:t>
      </w:r>
    </w:p>
    <w:p>
      <w:r>
        <w:rPr>
          <w:b/>
        </w:rPr>
        <w:t xml:space="preserve">18 </w:t>
      </w:r>
      <w:r>
        <w:t xml:space="preserve">But you, keep yourselves very carefully from the devoted thing, lest, desiring, you yourselves take</w:t>
      </w:r>
      <w:r>
        <w:rPr>
          <w:rStyle w:val="FootnoteReference"/>
        </w:rPr>
        <w:footnoteReference w:id="3929"/>
      </w:r>
      <w:r>
        <w:t xml:space="preserve"> from the devoted thing and make the camp</w:t>
      </w:r>
      <w:r>
        <w:rPr>
          <w:rStyle w:val="FootnoteReference"/>
        </w:rPr>
        <w:footnoteReference w:id="3930"/>
      </w:r>
      <w:r>
        <w:t xml:space="preserve"> of the sons of Israel a devoted thing and crush us.</w:t>
      </w:r>
    </w:p>
    <w:p>
      <w:r>
        <w:rPr>
          <w:b/>
        </w:rPr>
        <w:t xml:space="preserve">19 </w:t>
      </w:r>
      <w:r>
        <w:t xml:space="preserve">And all silver or gold or bronze or iron shall be holy to the Lord. It shall be brought into the treasury</w:t>
      </w:r>
      <w:r>
        <w:rPr>
          <w:rStyle w:val="FootnoteReference"/>
        </w:rPr>
        <w:footnoteReference w:id="3931"/>
      </w:r>
      <w:r>
        <w:t xml:space="preserve"> of the Lord.</w:t>
      </w:r>
    </w:p>
    <w:p>
      <w:r>
        <w:rPr>
          <w:b/>
        </w:rPr>
        <w:t xml:space="preserve">20 </w:t>
      </w:r>
      <w:r>
        <w:t xml:space="preserve">And the priests sounded with the trumpets, and when the people heard the voice of the trumpets, all the people shouted together with a great and strong shout</w:t>
      </w:r>
      <w:r>
        <w:rPr>
          <w:rStyle w:val="FootnoteReference"/>
        </w:rPr>
        <w:footnoteReference w:id="3932"/>
      </w:r>
      <w:r>
        <w:t xml:space="preserve">, and the whole wall fell around, and all the people went up into the city.</w:t>
      </w:r>
    </w:p>
    <w:p>
      <w:r>
        <w:rPr>
          <w:b/>
        </w:rPr>
        <w:t xml:space="preserve">21 </w:t>
      </w:r>
      <w:r>
        <w:t xml:space="preserve">And Joshua devoted it and everything that was in the city, from man to woman, from young man to old man, and from calf to beast of burden, by the mouth of the sword.</w:t>
      </w:r>
    </w:p>
    <w:p>
      <w:r>
        <w:rPr>
          <w:b/>
        </w:rPr>
        <w:t xml:space="preserve">22 </w:t>
      </w:r>
      <w:r>
        <w:t xml:space="preserve">And to the two young men who had spied he said, Enter into the house of the woman and bring her out from there and whatever belongs to her.</w:t>
      </w:r>
    </w:p>
    <w:p>
      <w:r>
        <w:rPr>
          <w:b/>
        </w:rPr>
        <w:t xml:space="preserve">23 </w:t>
      </w:r>
      <w:r>
        <w:t xml:space="preserve">And the two young men who had spied the city entered into the house of the woman and brought out Rahab</w:t>
      </w:r>
      <w:r>
        <w:rPr>
          <w:rStyle w:val="FootnoteReference"/>
        </w:rPr>
        <w:footnoteReference w:id="3933"/>
      </w:r>
      <w:r>
        <w:t xml:space="preserve"> the prostitute and her father and her mother and her brothers and everything that belonged to her and all her kindred, and they stationed her outside the camp</w:t>
      </w:r>
      <w:r>
        <w:rPr>
          <w:rStyle w:val="FootnoteReference"/>
        </w:rPr>
        <w:footnoteReference w:id="3934"/>
      </w:r>
      <w:r>
        <w:t xml:space="preserve"> of Israel.</w:t>
      </w:r>
    </w:p>
    <w:p>
      <w:r>
        <w:rPr>
          <w:b/>
        </w:rPr>
        <w:t xml:space="preserve">24 </w:t>
      </w:r>
      <w:r>
        <w:t xml:space="preserve">And the city was burned in burning with everything in it, except silver and gold and bronze and iron, which they gave to be brought into the treasury of the Lord.</w:t>
      </w:r>
    </w:p>
    <w:p>
      <w:r>
        <w:rPr>
          <w:b/>
        </w:rPr>
        <w:t xml:space="preserve">25 </w:t>
      </w:r>
      <w:r>
        <w:t xml:space="preserve">And Joshua kept alive Rahab</w:t>
      </w:r>
      <w:r>
        <w:rPr>
          <w:rStyle w:val="FootnoteReference"/>
        </w:rPr>
        <w:footnoteReference w:id="3935"/>
      </w:r>
      <w:r>
        <w:t xml:space="preserve"> the prostitute and all her father's house, and she dwelt among Israel until this day, because she hid the spies whom Joshua sent to spy out Jericho.</w:t>
      </w:r>
    </w:p>
    <w:p>
      <w:r>
        <w:rPr>
          <w:b/>
        </w:rPr>
        <w:t xml:space="preserve">26 </w:t>
      </w:r>
      <w:r>
        <w:t xml:space="preserve">And Joshua bound them by oath on that day before the Lord, saying, Cursed</w:t>
      </w:r>
      <w:r>
        <w:rPr>
          <w:rStyle w:val="FootnoteReference"/>
        </w:rPr>
        <w:footnoteReference w:id="3936"/>
      </w:r>
      <w:r>
        <w:t xml:space="preserve"> is the man who will rebuild that city. In his firstborn he shall found it, and in his least one</w:t>
      </w:r>
      <w:r>
        <w:rPr>
          <w:rStyle w:val="FootnoteReference"/>
        </w:rPr>
        <w:footnoteReference w:id="3937"/>
      </w:r>
      <w:r>
        <w:t xml:space="preserve"> he shall set up its gates. And thus Ozan from Bethel did: in Abiram his firstborn he founded it, and in his least surviving one he set up its gates.</w:t>
      </w:r>
    </w:p>
    <w:p>
      <w:r>
        <w:rPr>
          <w:b/>
        </w:rPr>
        <w:t xml:space="preserve">27 </w:t>
      </w:r>
      <w:r>
        <w:t xml:space="preserve">And the Lord</w:t>
      </w:r>
      <w:r>
        <w:rPr>
          <w:rStyle w:val="FootnoteReference"/>
        </w:rPr>
        <w:footnoteReference w:id="3938"/>
      </w:r>
      <w:r>
        <w:t xml:space="preserve"> was with Joshua, and his name was through all the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the sons of Israel committed</w:t>
      </w:r>
      <w:r>
        <w:rPr>
          <w:rStyle w:val="FootnoteReference"/>
        </w:rPr>
        <w:footnoteReference w:id="3939"/>
      </w:r>
      <w:r>
        <w:t xml:space="preserve"> a great trespass and stole from the devoted thing, and Achar</w:t>
      </w:r>
      <w:r>
        <w:rPr>
          <w:rStyle w:val="FootnoteReference"/>
        </w:rPr>
        <w:footnoteReference w:id="3940"/>
      </w:r>
      <w:r>
        <w:t xml:space="preserve"> son of Carmi son of Zimri son of Zerah from the tribe of Judah took from the devoted thing, and the wrath of the Lord was angered against the sons of Israel.</w:t>
      </w:r>
    </w:p>
    <w:p>
      <w:r>
        <w:rPr>
          <w:b/>
        </w:rPr>
        <w:t xml:space="preserve">2 </w:t>
      </w:r>
      <w:r>
        <w:t xml:space="preserve">And Joshua sent men to Ai</w:t>
      </w:r>
      <w:r>
        <w:rPr>
          <w:rStyle w:val="FootnoteReference"/>
        </w:rPr>
        <w:footnoteReference w:id="3941"/>
      </w:r>
      <w:r>
        <w:t xml:space="preserve">, which is near Bethel, saying, Look over Ai. And the men went up and looked over Ai.</w:t>
      </w:r>
    </w:p>
    <w:p>
      <w:r>
        <w:rPr>
          <w:b/>
        </w:rPr>
        <w:t xml:space="preserve">3 </w:t>
      </w:r>
      <w:r>
        <w:t xml:space="preserve">And they returned to Joshua and said to him, Let not all the people go up, but about two</w:t>
      </w:r>
      <w:r>
        <w:rPr>
          <w:rStyle w:val="FootnoteReference"/>
        </w:rPr>
        <w:footnoteReference w:id="3942"/>
      </w:r>
      <w:r>
        <w:t xml:space="preserve"> thousand or three thousand men should go up and besiege the city. Do not bring all the people there, because they are few.</w:t>
      </w:r>
    </w:p>
    <w:p>
      <w:r>
        <w:rPr>
          <w:b/>
        </w:rPr>
        <w:t xml:space="preserve">4 </w:t>
      </w:r>
      <w:r>
        <w:t xml:space="preserve">And about three thousand men went up, and they fled</w:t>
      </w:r>
      <w:r>
        <w:rPr>
          <w:rStyle w:val="FootnoteReference"/>
        </w:rPr>
        <w:footnoteReference w:id="3943"/>
      </w:r>
      <w:r>
        <w:t xml:space="preserve"> from before the men of Ai.</w:t>
      </w:r>
    </w:p>
    <w:p>
      <w:r>
        <w:rPr>
          <w:b/>
        </w:rPr>
        <w:t xml:space="preserve">5 </w:t>
      </w:r>
      <w:r>
        <w:t xml:space="preserve">And the men of Ai killed from them thirty-six men and pursued them from the gate and crushed them on the descent</w:t>
      </w:r>
      <w:r>
        <w:rPr>
          <w:rStyle w:val="FootnoteReference"/>
        </w:rPr>
        <w:footnoteReference w:id="3944"/>
      </w:r>
      <w:r>
        <w:t xml:space="preserve">, and the heart of the people was terrified and became like water.</w:t>
      </w:r>
    </w:p>
    <w:p>
      <w:r>
        <w:rPr>
          <w:b/>
        </w:rPr>
        <w:t xml:space="preserve">6 </w:t>
      </w:r>
      <w:r>
        <w:t xml:space="preserve">And Joshua tore his garments, and Joshua fell</w:t>
      </w:r>
      <w:r>
        <w:rPr>
          <w:rStyle w:val="FootnoteReference"/>
        </w:rPr>
        <w:footnoteReference w:id="3945"/>
      </w:r>
      <w:r>
        <w:t xml:space="preserve"> on the ground on his face before the Lord until evening, he and the elders of Israel, and they threw dust on their heads.</w:t>
      </w:r>
    </w:p>
    <w:p>
      <w:r>
        <w:rPr>
          <w:b/>
        </w:rPr>
        <w:t xml:space="preserve">7 </w:t>
      </w:r>
      <w:r>
        <w:t xml:space="preserve">And Joshua said, I pray, Lord, why did your servant bring this people across the Jordan</w:t>
      </w:r>
      <w:r>
        <w:rPr>
          <w:rStyle w:val="FootnoteReference"/>
        </w:rPr>
        <w:footnoteReference w:id="3946"/>
      </w:r>
      <w:r>
        <w:t xml:space="preserve">, to hand it over to the Amorite and destroy us? If only we had remained and dwelt</w:t>
      </w:r>
      <w:r>
        <w:rPr>
          <w:rStyle w:val="FootnoteReference"/>
        </w:rPr>
        <w:footnoteReference w:id="3947"/>
      </w:r>
      <w:r>
        <w:t xml:space="preserve"> beside the Jordan.</w:t>
      </w:r>
    </w:p>
    <w:p>
      <w:r>
        <w:rPr>
          <w:b/>
        </w:rPr>
        <w:t xml:space="preserve">8 </w:t>
      </w:r>
      <w:r>
        <w:t xml:space="preserve">And what shall</w:t>
      </w:r>
      <w:r>
        <w:rPr>
          <w:rStyle w:val="FootnoteReference"/>
        </w:rPr>
        <w:footnoteReference w:id="3948"/>
      </w:r>
      <w:r>
        <w:t xml:space="preserve"> I say, since Israel turned neck before its enemy?</w:t>
      </w:r>
    </w:p>
    <w:p>
      <w:r>
        <w:rPr>
          <w:b/>
        </w:rPr>
        <w:t xml:space="preserve">9 </w:t>
      </w:r>
      <w:r>
        <w:t xml:space="preserve">And hearing, the Canaanite and all those dwelling in the land will surround us and wipe us from the land. And what will you do for your great name?</w:t>
      </w:r>
    </w:p>
    <w:p>
      <w:r>
        <w:rPr>
          <w:b/>
        </w:rPr>
        <w:t xml:space="preserve">10 </w:t>
      </w:r>
      <w:r>
        <w:t xml:space="preserve">And the Lord said to Joshua, Rise. Why have you fallen like this on your face?</w:t>
      </w:r>
    </w:p>
    <w:p>
      <w:r>
        <w:rPr>
          <w:b/>
        </w:rPr>
        <w:t xml:space="preserve">11 </w:t>
      </w:r>
      <w:r>
        <w:t xml:space="preserve">The people have sinned and transgressed</w:t>
      </w:r>
      <w:r>
        <w:rPr>
          <w:rStyle w:val="FootnoteReference"/>
        </w:rPr>
        <w:footnoteReference w:id="3949"/>
      </w:r>
      <w:r>
        <w:t xml:space="preserve"> the covenant that I covenanted with them, and, stealing from the devoted thing, they put it into their vessels</w:t>
      </w:r>
      <w:r>
        <w:rPr>
          <w:rStyle w:val="FootnoteReference"/>
        </w:rPr>
        <w:footnoteReference w:id="3950"/>
      </w:r>
      <w:r>
        <w:t xml:space="preserve">.</w:t>
      </w:r>
    </w:p>
    <w:p>
      <w:r>
        <w:rPr>
          <w:b/>
        </w:rPr>
        <w:t xml:space="preserve">12 </w:t>
      </w:r>
      <w:r>
        <w:t xml:space="preserve">The sons of Israel will certainly not be able to stand against the face of their enemies. They will turn neck before their enemies</w:t>
      </w:r>
      <w:r>
        <w:rPr>
          <w:rStyle w:val="FootnoteReference"/>
        </w:rPr>
        <w:footnoteReference w:id="3951"/>
      </w:r>
      <w:r>
        <w:t xml:space="preserve">, because they have become a devoted thing. I will not add to be with you any longer unless you remove the devoted thing from among you.</w:t>
      </w:r>
    </w:p>
    <w:p>
      <w:r>
        <w:rPr>
          <w:b/>
        </w:rPr>
        <w:t xml:space="preserve">13 </w:t>
      </w:r>
      <w:r>
        <w:t xml:space="preserve">Rise, sanctify</w:t>
      </w:r>
      <w:r>
        <w:rPr>
          <w:rStyle w:val="FootnoteReference"/>
        </w:rPr>
        <w:footnoteReference w:id="3952"/>
      </w:r>
      <w:r>
        <w:t xml:space="preserve"> the people and tell them to sanctify themselves for tomorrow. These things says the Lord God of Israel: The devoted thing</w:t>
      </w:r>
      <w:r>
        <w:rPr>
          <w:rStyle w:val="FootnoteReference"/>
        </w:rPr>
        <w:footnoteReference w:id="3953"/>
      </w:r>
      <w:r>
        <w:t xml:space="preserve"> is among you. You will not be able to stand before your enemies until you remove the devoted thing from among you.</w:t>
      </w:r>
    </w:p>
    <w:p>
      <w:r>
        <w:rPr>
          <w:b/>
        </w:rPr>
        <w:t xml:space="preserve">14 </w:t>
      </w:r>
      <w:r>
        <w:t xml:space="preserve">And you shall be gathered in the morning by tribes, and it shall be, the tribe</w:t>
      </w:r>
      <w:r>
        <w:rPr>
          <w:rStyle w:val="FootnoteReference"/>
        </w:rPr>
        <w:footnoteReference w:id="3954"/>
      </w:r>
      <w:r>
        <w:t xml:space="preserve"> that the Lord points out</w:t>
      </w:r>
      <w:r>
        <w:rPr>
          <w:rStyle w:val="FootnoteReference"/>
        </w:rPr>
        <w:footnoteReference w:id="3955"/>
      </w:r>
      <w:r>
        <w:t xml:space="preserve">, you shall bring by clans, and the clan that the Lord points out, you shall bring by house, and the house that the Lord points out, you shall bring by man.</w:t>
      </w:r>
    </w:p>
    <w:p>
      <w:r>
        <w:rPr>
          <w:b/>
        </w:rPr>
        <w:t xml:space="preserve">15 </w:t>
      </w:r>
      <w:r>
        <w:t xml:space="preserve">And whoever is pointed out</w:t>
      </w:r>
      <w:r>
        <w:rPr>
          <w:rStyle w:val="FootnoteReference"/>
        </w:rPr>
        <w:footnoteReference w:id="3956"/>
      </w:r>
      <w:r>
        <w:t xml:space="preserve"> shall be burned with fire, he and everything that belongs to him, because he transgressed the covenant of the Lord and did lawless deed in Israel.</w:t>
      </w:r>
    </w:p>
    <w:p>
      <w:r>
        <w:rPr>
          <w:b/>
        </w:rPr>
        <w:t xml:space="preserve">16 </w:t>
      </w:r>
      <w:r>
        <w:t xml:space="preserve">And Joshua rose early and brought</w:t>
      </w:r>
      <w:r>
        <w:rPr>
          <w:rStyle w:val="FootnoteReference"/>
        </w:rPr>
        <w:footnoteReference w:id="3957"/>
      </w:r>
      <w:r>
        <w:t xml:space="preserve"> the people by tribes, and the tribe of Judah was pointed out.</w:t>
      </w:r>
    </w:p>
    <w:p>
      <w:r>
        <w:rPr>
          <w:b/>
        </w:rPr>
        <w:t xml:space="preserve">17 </w:t>
      </w:r>
      <w:r>
        <w:t xml:space="preserve">And it was brought by clans, and the clan of Zerah was pointed out and brought by man.</w:t>
      </w:r>
    </w:p>
    <w:p>
      <w:r>
        <w:rPr>
          <w:b/>
        </w:rPr>
        <w:t xml:space="preserve">18 </w:t>
      </w:r>
      <w:r>
        <w:t xml:space="preserve">And Achar son of Zimri son of Zerah was pointed out.</w:t>
      </w:r>
    </w:p>
    <w:p>
      <w:r>
        <w:rPr>
          <w:b/>
        </w:rPr>
        <w:t xml:space="preserve">19 </w:t>
      </w:r>
      <w:r>
        <w:t xml:space="preserve">And Joshua said to Achar, Give</w:t>
      </w:r>
      <w:r>
        <w:rPr>
          <w:rStyle w:val="FootnoteReference"/>
        </w:rPr>
        <w:footnoteReference w:id="3958"/>
      </w:r>
      <w:r>
        <w:t xml:space="preserve"> glory today to the Lord God of Israel and give confession, and report to me what you did, and do not hide it from me.</w:t>
      </w:r>
    </w:p>
    <w:p>
      <w:r>
        <w:rPr>
          <w:b/>
        </w:rPr>
        <w:t xml:space="preserve">20 </w:t>
      </w:r>
      <w:r>
        <w:t xml:space="preserve">And Achar answered Joshua and said, Truly I sinned before the Lord God of Israel. Thus and thus I did.</w:t>
      </w:r>
    </w:p>
    <w:p>
      <w:r>
        <w:rPr>
          <w:b/>
        </w:rPr>
        <w:t xml:space="preserve">21 </w:t>
      </w:r>
      <w:r>
        <w:t xml:space="preserve">I saw</w:t>
      </w:r>
      <w:r>
        <w:rPr>
          <w:rStyle w:val="FootnoteReference"/>
        </w:rPr>
        <w:footnoteReference w:id="3959"/>
      </w:r>
      <w:r>
        <w:t xml:space="preserve"> in the spoil a fine variegated cloak and two hundred silver didrachmas and one golden tongue</w:t>
      </w:r>
      <w:r>
        <w:rPr>
          <w:rStyle w:val="FootnoteReference"/>
        </w:rPr>
        <w:footnoteReference w:id="3960"/>
      </w:r>
      <w:r>
        <w:t xml:space="preserve"> of fifty didrachmas, and desiring them I took them. And behold, they are hidden in the ground in my tent, and the silver is hidden underneath them.</w:t>
      </w:r>
    </w:p>
    <w:p>
      <w:r>
        <w:rPr>
          <w:b/>
        </w:rPr>
        <w:t xml:space="preserve">22 </w:t>
      </w:r>
      <w:r>
        <w:t xml:space="preserve">And Joshua sent messengers, and they ran into the tent in the camp, and these things were hidden in the tent, and the silver underneath them.</w:t>
      </w:r>
    </w:p>
    <w:p>
      <w:r>
        <w:rPr>
          <w:b/>
        </w:rPr>
        <w:t xml:space="preserve">23 </w:t>
      </w:r>
      <w:r>
        <w:t xml:space="preserve">And they brought them out from the tent and carried them to Joshua and the elders of Israel and placed them before the Lord.</w:t>
      </w:r>
    </w:p>
    <w:p>
      <w:r>
        <w:rPr>
          <w:b/>
        </w:rPr>
        <w:t xml:space="preserve">24 </w:t>
      </w:r>
      <w:r>
        <w:t xml:space="preserve">And Joshua took Achar son of Zerah and brought him up to the Valley of Achor</w:t>
      </w:r>
      <w:r>
        <w:rPr>
          <w:rStyle w:val="FootnoteReference"/>
        </w:rPr>
        <w:footnoteReference w:id="3961"/>
      </w:r>
      <w:r>
        <w:t xml:space="preserve">, and his sons</w:t>
      </w:r>
      <w:r>
        <w:rPr>
          <w:rStyle w:val="FootnoteReference"/>
        </w:rPr>
        <w:footnoteReference w:id="3962"/>
      </w:r>
      <w:r>
        <w:t xml:space="preserve"> and his daughters and his calves and his beasts of burden and all his sheep and his tent and all his possessions, and all the people with him, and they brought them up to Achor.</w:t>
      </w:r>
      <w:r>
        <w:rPr>
          <w:rStyle w:val="FootnoteReference"/>
        </w:rPr>
        <w:footnoteReference w:id="3963"/>
      </w:r>
    </w:p>
    <w:p>
      <w:r>
        <w:rPr>
          <w:b/>
        </w:rPr>
        <w:t xml:space="preserve">25 </w:t>
      </w:r>
      <w:r>
        <w:t xml:space="preserve">And Joshua said to Achar, Why did you destroy us? May the Lord destroy you, just as also today. And all Israel</w:t>
      </w:r>
      <w:r>
        <w:rPr>
          <w:rStyle w:val="FootnoteReference"/>
        </w:rPr>
        <w:footnoteReference w:id="3964"/>
      </w:r>
      <w:r>
        <w:t xml:space="preserve"> stoned him with stones.</w:t>
      </w:r>
    </w:p>
    <w:p>
      <w:r>
        <w:rPr>
          <w:b/>
        </w:rPr>
        <w:t xml:space="preserve">26 </w:t>
      </w:r>
      <w:r>
        <w:t xml:space="preserve">And they raised</w:t>
      </w:r>
      <w:r>
        <w:rPr>
          <w:rStyle w:val="FootnoteReference"/>
        </w:rPr>
        <w:footnoteReference w:id="3965"/>
      </w:r>
      <w:r>
        <w:t xml:space="preserve"> over him a great heap of stones, and the Lord ceased from the wrath of anger. Because of this he named it Achor until this 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the Lord said to Joshua, Do not fear, nor be cowardly</w:t>
      </w:r>
      <w:r>
        <w:rPr>
          <w:rStyle w:val="FootnoteReference"/>
        </w:rPr>
        <w:footnoteReference w:id="3966"/>
      </w:r>
      <w:r>
        <w:t xml:space="preserve">. Take with you all the warriors, and rising, go up to Ai. Behold, I have given into your hands the king of Ai and his land.</w:t>
      </w:r>
    </w:p>
    <w:p>
      <w:r>
        <w:rPr>
          <w:b/>
        </w:rPr>
        <w:t xml:space="preserve">2 </w:t>
      </w:r>
      <w:r>
        <w:t xml:space="preserve">And you shall do to Ai</w:t>
      </w:r>
      <w:r>
        <w:rPr>
          <w:rStyle w:val="FootnoteReference"/>
        </w:rPr>
        <w:footnoteReference w:id="3967"/>
      </w:r>
      <w:r>
        <w:t xml:space="preserve"> in the way you did to Jericho and its king, except its spoil and cattle you shall plunder for yourself. But set for yourself an ambush behind the city.</w:t>
      </w:r>
    </w:p>
    <w:p>
      <w:r>
        <w:rPr>
          <w:b/>
        </w:rPr>
        <w:t xml:space="preserve">3 </w:t>
      </w:r>
      <w:r>
        <w:t xml:space="preserve">And Joshua and all the warrior people rose to go up to Ai, and Joshua chose thirty thousand men, mighty in strength, and sent them by night</w:t>
      </w:r>
      <w:r>
        <w:rPr>
          <w:rStyle w:val="FootnoteReference"/>
        </w:rPr>
        <w:footnoteReference w:id="3968"/>
      </w:r>
      <w:r>
        <w:t xml:space="preserve">.</w:t>
      </w:r>
    </w:p>
    <w:p>
      <w:r>
        <w:rPr>
          <w:b/>
        </w:rPr>
        <w:t xml:space="preserve">4 </w:t>
      </w:r>
      <w:r>
        <w:t xml:space="preserve">And he commanded them, saying, You lie in ambush behind the city. Do not be far from the city, and all of you be ready.</w:t>
      </w:r>
    </w:p>
    <w:p>
      <w:r>
        <w:rPr>
          <w:b/>
        </w:rPr>
        <w:t xml:space="preserve">5 </w:t>
      </w:r>
      <w:r>
        <w:t xml:space="preserve">And I and all those with me will come near the city, and it shall be, when those dwelling in Ai come out to meet us, just as also before, then we shall flee from before their face.</w:t>
      </w:r>
    </w:p>
    <w:p>
      <w:r>
        <w:rPr>
          <w:b/>
        </w:rPr>
        <w:t xml:space="preserve">6 </w:t>
      </w:r>
      <w:r>
        <w:t xml:space="preserve">And when they come out behind us, we will draw them away from the city, and they will say, These flee from before us, just as also before.</w:t>
      </w:r>
    </w:p>
    <w:p>
      <w:r>
        <w:rPr>
          <w:b/>
        </w:rPr>
        <w:t xml:space="preserve">7 </w:t>
      </w:r>
      <w:r>
        <w:t xml:space="preserve">But you shall rise from the ambush and go into the city.</w:t>
      </w:r>
    </w:p>
    <w:p>
      <w:r>
        <w:rPr>
          <w:b/>
        </w:rPr>
        <w:t xml:space="preserve">8 </w:t>
      </w:r>
      <w:r>
        <w:t xml:space="preserve">According to this word you shall do. Behold, I have commanded you.</w:t>
      </w:r>
    </w:p>
    <w:p>
      <w:r>
        <w:rPr>
          <w:b/>
        </w:rPr>
        <w:t xml:space="preserve">9 </w:t>
      </w:r>
      <w:r>
        <w:t xml:space="preserve">And Joshua sent them, and they went into the ambush and sat between</w:t>
      </w:r>
      <w:r>
        <w:rPr>
          <w:rStyle w:val="FootnoteReference"/>
        </w:rPr>
        <w:footnoteReference w:id="3969"/>
      </w:r>
      <w:r>
        <w:t xml:space="preserve"> Bethel and Ai, west of Ai.</w:t>
      </w:r>
    </w:p>
    <w:p>
      <w:r>
        <w:rPr>
          <w:b/>
        </w:rPr>
        <w:t xml:space="preserve">10 </w:t>
      </w:r>
      <w:r>
        <w:t xml:space="preserve">And Joshua rose early in the morning and inspected the people, and he and the elders went up before the face of the people toward Ai.</w:t>
      </w:r>
    </w:p>
    <w:p>
      <w:r>
        <w:rPr>
          <w:b/>
        </w:rPr>
        <w:t xml:space="preserve">11 </w:t>
      </w:r>
      <w:r>
        <w:t xml:space="preserve">And all the warrior people with him went up, and going they came opposite the city from the east.</w:t>
      </w:r>
    </w:p>
    <w:p>
      <w:r>
        <w:rPr>
          <w:b/>
        </w:rPr>
        <w:t xml:space="preserve">12 </w:t>
      </w:r>
      <w:r>
        <w:t xml:space="preserve">And the ambush of the city was from the west.</w:t>
      </w:r>
    </w:p>
    <w:p>
      <w:r>
        <w:rPr>
          <w:b/>
        </w:rPr>
        <w:t xml:space="preserve">14 </w:t>
      </w:r>
      <w:r>
        <w:t xml:space="preserve">And it happened, when the king of Ai saw, he hurried and went out to meet them straight for battle</w:t>
      </w:r>
      <w:r>
        <w:rPr>
          <w:rStyle w:val="FootnoteReference"/>
        </w:rPr>
        <w:footnoteReference w:id="3970"/>
      </w:r>
      <w:r>
        <w:t xml:space="preserve">, he and all the people with him, and he did not know that there was an ambush behind the city against him.</w:t>
      </w:r>
    </w:p>
    <w:p>
      <w:r>
        <w:rPr>
          <w:b/>
        </w:rPr>
        <w:t xml:space="preserve">15 </w:t>
      </w:r>
      <w:r>
        <w:t xml:space="preserve">And Joshua and Israel saw and withdrew from before their face.</w:t>
      </w:r>
    </w:p>
    <w:p>
      <w:r>
        <w:rPr>
          <w:b/>
        </w:rPr>
        <w:t xml:space="preserve">16 </w:t>
      </w:r>
      <w:r>
        <w:t xml:space="preserve">And they pursued behind the sons of Israel, and they were drawn away</w:t>
      </w:r>
      <w:r>
        <w:rPr>
          <w:rStyle w:val="FootnoteReference"/>
        </w:rPr>
        <w:footnoteReference w:id="3971"/>
      </w:r>
      <w:r>
        <w:t xml:space="preserve"> from the city.</w:t>
      </w:r>
    </w:p>
    <w:p>
      <w:r>
        <w:rPr>
          <w:b/>
        </w:rPr>
        <w:t xml:space="preserve">17 </w:t>
      </w:r>
      <w:r>
        <w:t xml:space="preserve">No one was left in Ai who did not pursue behind Israel, and they left the city open and pursued behind Israel.</w:t>
      </w:r>
    </w:p>
    <w:p>
      <w:r>
        <w:rPr>
          <w:b/>
        </w:rPr>
        <w:t xml:space="preserve">18 </w:t>
      </w:r>
      <w:r>
        <w:t xml:space="preserve">And the Lord said to Joshua, Stretch</w:t>
      </w:r>
      <w:r>
        <w:rPr>
          <w:rStyle w:val="FootnoteReference"/>
        </w:rPr>
        <w:footnoteReference w:id="3972"/>
      </w:r>
      <w:r>
        <w:t xml:space="preserve"> out your hand with the spear that is in your hand toward the city, because I have delivered it into your hands. And the ambush will rise up quickly from its place. And Joshua stretched out his hand, the spear, toward the city.</w:t>
      </w:r>
    </w:p>
    <w:p>
      <w:r>
        <w:rPr>
          <w:b/>
        </w:rPr>
        <w:t xml:space="preserve">19 </w:t>
      </w:r>
      <w:r>
        <w:t xml:space="preserve">And the ambush rose up quickly from its place and came out when he stretched out his hand, and they came against the city and seized it, and hurrying they burned the city with fire.</w:t>
      </w:r>
    </w:p>
    <w:p>
      <w:r>
        <w:rPr>
          <w:b/>
        </w:rPr>
        <w:t xml:space="preserve">20 </w:t>
      </w:r>
      <w:r>
        <w:t xml:space="preserve">And the inhabitants of Ai, looking around behind them, were seeing smoke going up from the city into heaven, and they no longer had where to flee here or there</w:t>
      </w:r>
      <w:r>
        <w:rPr>
          <w:rStyle w:val="FootnoteReference"/>
        </w:rPr>
        <w:footnoteReference w:id="3973"/>
      </w:r>
      <w:r>
        <w:t xml:space="preserve">.</w:t>
      </w:r>
    </w:p>
    <w:p>
      <w:r>
        <w:rPr>
          <w:b/>
        </w:rPr>
        <w:t xml:space="preserve">21 </w:t>
      </w:r>
      <w:r>
        <w:t xml:space="preserve">And Joshua and all Israel saw that the ambush had taken the city and that the smoke of the city had gone up into heaven, and turning around they struck the men of Ai.</w:t>
      </w:r>
    </w:p>
    <w:p>
      <w:r>
        <w:rPr>
          <w:b/>
        </w:rPr>
        <w:t xml:space="preserve">22 </w:t>
      </w:r>
      <w:r>
        <w:t xml:space="preserve">And these came out from the city to meet them, and they came to be in the midst of the camp, these from here and those from there, and they struck until none of them was left saved or escaped.</w:t>
      </w:r>
    </w:p>
    <w:p>
      <w:r>
        <w:rPr>
          <w:b/>
        </w:rPr>
        <w:t xml:space="preserve">23 </w:t>
      </w:r>
      <w:r>
        <w:t xml:space="preserve">And they seized the king of Ai alive and brought him to Joshua.</w:t>
      </w:r>
    </w:p>
    <w:p>
      <w:r>
        <w:rPr>
          <w:b/>
        </w:rPr>
        <w:t xml:space="preserve">24 </w:t>
      </w:r>
      <w:r>
        <w:t xml:space="preserve">And when the sons of Israel stopped killing all those in Ai, those in the plains and in the mountain on the descent, where they pursued them from it to the end, then Joshua returned to Ai and struck it by the mouth of the sword.</w:t>
      </w:r>
      <w:r>
        <w:rPr>
          <w:rStyle w:val="FootnoteReference"/>
        </w:rPr>
        <w:footnoteReference w:id="3974"/>
      </w:r>
    </w:p>
    <w:p>
      <w:r>
        <w:rPr>
          <w:b/>
        </w:rPr>
        <w:t xml:space="preserve">25 </w:t>
      </w:r>
      <w:r>
        <w:t xml:space="preserve">And those who fell on that day, from man to woman, were twelve thousand, all those dwelling in Ai.</w:t>
      </w:r>
    </w:p>
    <w:p>
      <w:r>
        <w:rPr>
          <w:b/>
        </w:rPr>
        <w:t xml:space="preserve">27 </w:t>
      </w:r>
      <w:r>
        <w:t xml:space="preserve">Except the cattle</w:t>
      </w:r>
      <w:r>
        <w:rPr>
          <w:rStyle w:val="FootnoteReference"/>
        </w:rPr>
        <w:footnoteReference w:id="3975"/>
      </w:r>
      <w:r>
        <w:t xml:space="preserve"> and the spoils in the city, everything that the sons of Israel plundered according to the command of the Lord, in the way the Lord ordered Joshua.</w:t>
      </w:r>
    </w:p>
    <w:p>
      <w:r>
        <w:rPr>
          <w:b/>
        </w:rPr>
        <w:t xml:space="preserve">28 </w:t>
      </w:r>
      <w:r>
        <w:t xml:space="preserve">And Joshua burned the city with fire and made it an uninhabited mound forever, until this day.</w:t>
      </w:r>
    </w:p>
    <w:p>
      <w:r>
        <w:rPr>
          <w:b/>
        </w:rPr>
        <w:t xml:space="preserve">29 </w:t>
      </w:r>
      <w:r>
        <w:t xml:space="preserve">And the king of Ai he hung on a forked tree, and he was on the tree until evening, and when the sun set Joshua ordered and they took his body down from the tree and threw it into the pit and raised over him a heap of stones until this day.</w:t>
      </w:r>
      <w:r>
        <w:rPr>
          <w:rStyle w:val="FootnoteReference"/>
        </w:rPr>
        <w:footnoteReference w:id="3976"/>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as the kings of the Amorites in the beyond of the Jordan heard, those in the hill country and those in the plain and those on all the coast of the great</w:t>
      </w:r>
      <w:r>
        <w:rPr>
          <w:rStyle w:val="FootnoteReference"/>
        </w:rPr>
        <w:footnoteReference w:id="3977"/>
      </w:r>
      <w:r>
        <w:t xml:space="preserve"> sea and those by Anti-Lebanon</w:t>
      </w:r>
      <w:r>
        <w:rPr>
          <w:rStyle w:val="FootnoteReference"/>
        </w:rPr>
        <w:footnoteReference w:id="3978"/>
      </w:r>
      <w:r>
        <w:t xml:space="preserve">, the Hittites and Canaanites and Perizzites and Hivites and Amorites and Girgashites and Jebusites,</w:t>
      </w:r>
    </w:p>
    <w:p>
      <w:r>
        <w:rPr>
          <w:b/>
        </w:rPr>
        <w:t xml:space="preserve">2 </w:t>
      </w:r>
      <w:r>
        <w:t xml:space="preserve">they came all together at the same time to make war against Joshua and Israel.</w:t>
      </w:r>
    </w:p>
    <w:p>
      <w:r>
        <w:rPr>
          <w:b/>
        </w:rPr>
        <w:t xml:space="preserve">3 </w:t>
      </w:r>
      <w:r>
        <w:t xml:space="preserve">And those dwelling in Gibeon</w:t>
      </w:r>
      <w:r>
        <w:rPr>
          <w:rStyle w:val="FootnoteReference"/>
        </w:rPr>
        <w:footnoteReference w:id="3979"/>
      </w:r>
      <w:r>
        <w:t xml:space="preserve"> heard everything that the Lord did to Jericho and Ai,</w:t>
      </w:r>
      <w:r>
        <w:rPr>
          <w:rStyle w:val="FootnoteReference"/>
        </w:rPr>
        <w:footnoteReference w:id="3980"/>
      </w:r>
    </w:p>
    <w:p>
      <w:r>
        <w:rPr>
          <w:b/>
        </w:rPr>
        <w:t xml:space="preserve">4 </w:t>
      </w:r>
      <w:r>
        <w:t xml:space="preserve">and they themselves also acted with cunning, and going they prepared provisions and made ready, and taking old sacks on their donkeys and old wine skins, torn and tied up,</w:t>
      </w:r>
    </w:p>
    <w:p>
      <w:r>
        <w:rPr>
          <w:b/>
        </w:rPr>
        <w:t xml:space="preserve">5 </w:t>
      </w:r>
      <w:r>
        <w:t xml:space="preserve">and their sandals were old and worn through in their feet, and their garments were worn out on them, and the bread of their provisions was dry and moldy and eaten.</w:t>
      </w:r>
    </w:p>
    <w:p>
      <w:r>
        <w:rPr>
          <w:b/>
        </w:rPr>
        <w:t xml:space="preserve">6 </w:t>
      </w:r>
      <w:r>
        <w:t xml:space="preserve">And they came to Joshua at the camp</w:t>
      </w:r>
      <w:r>
        <w:rPr>
          <w:rStyle w:val="FootnoteReference"/>
        </w:rPr>
        <w:footnoteReference w:id="3981"/>
      </w:r>
      <w:r>
        <w:t xml:space="preserve"> of Israel in Gilgal and said to Joshua and Israel, We have come from a land far away, and now make a covenant with us.</w:t>
      </w:r>
    </w:p>
    <w:p>
      <w:r>
        <w:rPr>
          <w:b/>
        </w:rPr>
        <w:t xml:space="preserve">7 </w:t>
      </w:r>
      <w:r>
        <w:t xml:space="preserve">And the sons of Israel said to the Horite, See, perhaps you dwell among me, and how shall</w:t>
      </w:r>
      <w:r>
        <w:rPr>
          <w:rStyle w:val="FootnoteReference"/>
        </w:rPr>
        <w:footnoteReference w:id="3982"/>
      </w:r>
      <w:r>
        <w:t xml:space="preserve"> I make a covenant with you?</w:t>
      </w:r>
    </w:p>
    <w:p>
      <w:r>
        <w:rPr>
          <w:b/>
        </w:rPr>
        <w:t xml:space="preserve">8 </w:t>
      </w:r>
      <w:r>
        <w:t xml:space="preserve">And they said to Joshua, We are your servants. And Joshua said to them, Who are you, and from where have you come?</w:t>
      </w:r>
    </w:p>
    <w:p>
      <w:r>
        <w:rPr>
          <w:b/>
        </w:rPr>
        <w:t xml:space="preserve">9 </w:t>
      </w:r>
      <w:r>
        <w:t xml:space="preserve">And they said, Your servants have come from a</w:t>
      </w:r>
      <w:r>
        <w:rPr>
          <w:rStyle w:val="FootnoteReference"/>
        </w:rPr>
        <w:footnoteReference w:id="3983"/>
      </w:r>
      <w:r>
        <w:t xml:space="preserve"> very distant land in the name of the Lord your God, for we heard his name and everything that he did in Egypt,</w:t>
      </w:r>
    </w:p>
    <w:p>
      <w:r>
        <w:rPr>
          <w:b/>
        </w:rPr>
        <w:t xml:space="preserve">10 </w:t>
      </w:r>
      <w:r>
        <w:t xml:space="preserve">and everything that he did to the kings of the Amorites who were beyond the Jordan, to Sihon king of Heshbon and to Og king of Bashan, who dwelt in Ashtaroth</w:t>
      </w:r>
      <w:r>
        <w:rPr>
          <w:rStyle w:val="FootnoteReference"/>
        </w:rPr>
        <w:footnoteReference w:id="3984"/>
      </w:r>
      <w:r>
        <w:t xml:space="preserve"> and in Edrei.</w:t>
      </w:r>
    </w:p>
    <w:p>
      <w:r>
        <w:rPr>
          <w:b/>
        </w:rPr>
        <w:t xml:space="preserve">11 </w:t>
      </w:r>
      <w:r>
        <w:t xml:space="preserve">And hearing, our elders</w:t>
      </w:r>
      <w:r>
        <w:rPr>
          <w:rStyle w:val="FootnoteReference"/>
        </w:rPr>
        <w:footnoteReference w:id="3985"/>
      </w:r>
      <w:r>
        <w:t xml:space="preserve"> and all those dwelling in our land said to us, saying, Take provisions for yourselves</w:t>
      </w:r>
      <w:r>
        <w:rPr>
          <w:rStyle w:val="FootnoteReference"/>
        </w:rPr>
        <w:footnoteReference w:id="3986"/>
      </w:r>
      <w:r>
        <w:t xml:space="preserve"> for the road and go to meet them and say to them, We are your servants, and now make a covenant with us.</w:t>
      </w:r>
    </w:p>
    <w:p>
      <w:r>
        <w:rPr>
          <w:b/>
        </w:rPr>
        <w:t xml:space="preserve">12 </w:t>
      </w:r>
      <w:r>
        <w:t xml:space="preserve">These breads, hot, we provisioned them on the day when we went out to come to you, but now they are dried out and have become eaten.</w:t>
      </w:r>
      <w:r>
        <w:rPr>
          <w:rStyle w:val="FootnoteReference"/>
        </w:rPr>
        <w:footnoteReference w:id="3987"/>
      </w:r>
    </w:p>
    <w:p>
      <w:r>
        <w:rPr>
          <w:b/>
        </w:rPr>
        <w:t xml:space="preserve">13 </w:t>
      </w:r>
      <w:r>
        <w:t xml:space="preserve">And these wine skins that we filled new, these have burst, and our garments and our sandals have worn out because of the very long road.</w:t>
      </w:r>
    </w:p>
    <w:p>
      <w:r>
        <w:rPr>
          <w:b/>
        </w:rPr>
        <w:t xml:space="preserve">14 </w:t>
      </w:r>
      <w:r>
        <w:t xml:space="preserve">And the leaders took from their provisions and did not ask the Lord.</w:t>
      </w:r>
    </w:p>
    <w:p>
      <w:r>
        <w:rPr>
          <w:b/>
        </w:rPr>
        <w:t xml:space="preserve">15 </w:t>
      </w:r>
      <w:r>
        <w:t xml:space="preserve">And Joshua made peace</w:t>
      </w:r>
      <w:r>
        <w:rPr>
          <w:rStyle w:val="FootnoteReference"/>
        </w:rPr>
        <w:footnoteReference w:id="3988"/>
      </w:r>
      <w:r>
        <w:t xml:space="preserve"> with them and covenanted with them to keep them alive, and the leaders of the assembly swore to them.</w:t>
      </w:r>
    </w:p>
    <w:p>
      <w:r>
        <w:rPr>
          <w:b/>
        </w:rPr>
        <w:t xml:space="preserve">16 </w:t>
      </w:r>
      <w:r>
        <w:t xml:space="preserve">And it happened after three days after making covenant with them that they heard</w:t>
      </w:r>
      <w:r>
        <w:rPr>
          <w:rStyle w:val="FootnoteReference"/>
        </w:rPr>
        <w:footnoteReference w:id="3989"/>
      </w:r>
      <w:r>
        <w:t xml:space="preserve"> that they are near them and dwell among them.</w:t>
      </w:r>
    </w:p>
    <w:p>
      <w:r>
        <w:rPr>
          <w:b/>
        </w:rPr>
        <w:t xml:space="preserve">17 </w:t>
      </w:r>
      <w:r>
        <w:t xml:space="preserve">And the sons of Israel set out and came to their cities, and their cities were Gibeon</w:t>
      </w:r>
      <w:r>
        <w:rPr>
          <w:rStyle w:val="FootnoteReference"/>
        </w:rPr>
        <w:footnoteReference w:id="3990"/>
      </w:r>
      <w:r>
        <w:t xml:space="preserve"> and Chephirah</w:t>
      </w:r>
      <w:r>
        <w:rPr>
          <w:rStyle w:val="FootnoteReference"/>
        </w:rPr>
        <w:footnoteReference w:id="3991"/>
      </w:r>
      <w:r>
        <w:t xml:space="preserve"> and Beeroth and Kirjathjearim.</w:t>
      </w:r>
    </w:p>
    <w:p>
      <w:r>
        <w:rPr>
          <w:b/>
        </w:rPr>
        <w:t xml:space="preserve">18 </w:t>
      </w:r>
      <w:r>
        <w:t xml:space="preserve">And the sons of Israel did not fight them, because all the leaders swore to them by the Lord God of Israel, and all the assembly grumbled against the leaders.</w:t>
      </w:r>
    </w:p>
    <w:p>
      <w:r>
        <w:rPr>
          <w:b/>
        </w:rPr>
        <w:t xml:space="preserve">19 </w:t>
      </w:r>
      <w:r>
        <w:t xml:space="preserve">And the leaders said to all the assembly, We swore to them by the Lord God of Israel, and now we cannot touch them.</w:t>
      </w:r>
    </w:p>
    <w:p>
      <w:r>
        <w:rPr>
          <w:b/>
        </w:rPr>
        <w:t xml:space="preserve">20 </w:t>
      </w:r>
      <w:r>
        <w:t xml:space="preserve">This we will do: keep them alive and preserve them, and wrath shall not be against us because of the oath that we swore to them.</w:t>
      </w:r>
    </w:p>
    <w:p>
      <w:r>
        <w:rPr>
          <w:b/>
        </w:rPr>
        <w:t xml:space="preserve">21 </w:t>
      </w:r>
      <w:r>
        <w:t xml:space="preserve">They shall live and shall be woodcutters and water carriers for all the assembly, just as the leaders said to them.</w:t>
      </w:r>
    </w:p>
    <w:p>
      <w:r>
        <w:rPr>
          <w:b/>
        </w:rPr>
        <w:t xml:space="preserve">22 </w:t>
      </w:r>
      <w:r>
        <w:t xml:space="preserve">And Joshua summoned them and said to them, Why did you deceive me, saying, We are</w:t>
      </w:r>
      <w:r>
        <w:rPr>
          <w:rStyle w:val="FootnoteReference"/>
        </w:rPr>
        <w:footnoteReference w:id="3992"/>
      </w:r>
      <w:r>
        <w:t xml:space="preserve"> very far from you, while you are locals from those dwelling among us?</w:t>
      </w:r>
    </w:p>
    <w:p>
      <w:r>
        <w:rPr>
          <w:b/>
        </w:rPr>
        <w:t xml:space="preserve">23 </w:t>
      </w:r>
      <w:r>
        <w:t xml:space="preserve">And now cursed are you. From you servant shall certainly not fail, nor woodcutter for me and for my God.</w:t>
      </w:r>
    </w:p>
    <w:p>
      <w:r>
        <w:rPr>
          <w:b/>
        </w:rPr>
        <w:t xml:space="preserve">24 </w:t>
      </w:r>
      <w:r>
        <w:t xml:space="preserve">And they answered Joshua, saying, It was reported to us what the Lord</w:t>
      </w:r>
      <w:r>
        <w:rPr>
          <w:rStyle w:val="FootnoteReference"/>
        </w:rPr>
        <w:footnoteReference w:id="3993"/>
      </w:r>
      <w:r>
        <w:t xml:space="preserve"> your God ordered Moses his servant, to give you this land and utterly destroy us</w:t>
      </w:r>
      <w:r>
        <w:rPr>
          <w:rStyle w:val="FootnoteReference"/>
        </w:rPr>
        <w:footnoteReference w:id="3994"/>
      </w:r>
      <w:r>
        <w:t xml:space="preserve"> and all those dwelling on it from before your face, and we feared greatly for our lives from before you and did this thing.</w:t>
      </w:r>
    </w:p>
    <w:p>
      <w:r>
        <w:rPr>
          <w:b/>
        </w:rPr>
        <w:t xml:space="preserve">25 </w:t>
      </w:r>
      <w:r>
        <w:t xml:space="preserve">And now, behold, we are</w:t>
      </w:r>
      <w:r>
        <w:rPr>
          <w:rStyle w:val="FootnoteReference"/>
        </w:rPr>
        <w:footnoteReference w:id="3995"/>
      </w:r>
      <w:r>
        <w:t xml:space="preserve"> under your hand. As it pleases you and as it seems good to you, do to us.</w:t>
      </w:r>
    </w:p>
    <w:p>
      <w:r>
        <w:rPr>
          <w:b/>
        </w:rPr>
        <w:t xml:space="preserve">26 </w:t>
      </w:r>
      <w:r>
        <w:t xml:space="preserve">And they did thus to them, and Joshua rescued them on that day from the hands of the sons of Israel, and they did not kill them.</w:t>
      </w:r>
    </w:p>
    <w:p>
      <w:r>
        <w:rPr>
          <w:b/>
        </w:rPr>
        <w:t xml:space="preserve">27 </w:t>
      </w:r>
      <w:r>
        <w:t xml:space="preserve">And Joshua made them</w:t>
      </w:r>
      <w:r>
        <w:rPr>
          <w:rStyle w:val="FootnoteReference"/>
        </w:rPr>
        <w:footnoteReference w:id="3996"/>
      </w:r>
      <w:r>
        <w:t xml:space="preserve"> on that day woodcutters and water carriers for all the assembly and for the altar of God. Because of this those dwelling in Gibeon became woodcutters and water carriers for the altar of God until this day and for the place that the Lord may choose.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when Adonibezek</w:t>
      </w:r>
      <w:r>
        <w:rPr>
          <w:rStyle w:val="FootnoteReference"/>
        </w:rPr>
        <w:footnoteReference w:id="3997"/>
      </w:r>
      <w:r>
        <w:t xml:space="preserve"> king of Jerusalem</w:t>
      </w:r>
      <w:r>
        <w:rPr>
          <w:rStyle w:val="FootnoteReference"/>
        </w:rPr>
        <w:footnoteReference w:id="3998"/>
      </w:r>
      <w:r>
        <w:t xml:space="preserve"> heard that Joshua took Ai and utterly destroyed it, in the way they did Jericho and its king, thus they did Ai and its king, and that those dwelling in Gibeon defected to Joshua</w:t>
      </w:r>
      <w:r>
        <w:rPr>
          <w:rStyle w:val="FootnoteReference"/>
        </w:rPr>
        <w:footnoteReference w:id="3999"/>
      </w:r>
      <w:r>
        <w:t xml:space="preserve"> and to Israel,</w:t>
      </w:r>
    </w:p>
    <w:p>
      <w:r>
        <w:rPr>
          <w:b/>
        </w:rPr>
        <w:t xml:space="preserve">2 </w:t>
      </w:r>
      <w:r>
        <w:t xml:space="preserve">then they feared</w:t>
      </w:r>
      <w:r>
        <w:rPr>
          <w:rStyle w:val="FootnoteReference"/>
        </w:rPr>
        <w:footnoteReference w:id="4000"/>
      </w:r>
      <w:r>
        <w:t xml:space="preserve"> greatly among them, for they knew that Gibeon is a great city, like one of the metropolises, and all its men are strong.</w:t>
      </w:r>
    </w:p>
    <w:p>
      <w:r>
        <w:rPr>
          <w:b/>
        </w:rPr>
        <w:t xml:space="preserve">3 </w:t>
      </w:r>
      <w:r>
        <w:t xml:space="preserve">And Adonibezek king of Jerusalem</w:t>
      </w:r>
      <w:r>
        <w:rPr>
          <w:rStyle w:val="FootnoteReference"/>
        </w:rPr>
        <w:footnoteReference w:id="4001"/>
      </w:r>
      <w:r>
        <w:t xml:space="preserve"> sent to Hoham</w:t>
      </w:r>
      <w:r>
        <w:rPr>
          <w:rStyle w:val="FootnoteReference"/>
        </w:rPr>
        <w:footnoteReference w:id="4002"/>
      </w:r>
      <w:r>
        <w:t xml:space="preserve"> king of Hebron and to Phidon king of Jerimoth</w:t>
      </w:r>
      <w:r>
        <w:rPr>
          <w:rStyle w:val="FootnoteReference"/>
        </w:rPr>
        <w:footnoteReference w:id="4003"/>
      </w:r>
      <w:r>
        <w:t xml:space="preserve"> and to Jeptha king of Lachish</w:t>
      </w:r>
      <w:r>
        <w:rPr>
          <w:rStyle w:val="FootnoteReference"/>
        </w:rPr>
        <w:footnoteReference w:id="4004"/>
      </w:r>
      <w:r>
        <w:t xml:space="preserve"> and to Debir</w:t>
      </w:r>
      <w:r>
        <w:rPr>
          <w:rStyle w:val="FootnoteReference"/>
        </w:rPr>
        <w:footnoteReference w:id="4005"/>
      </w:r>
      <w:r>
        <w:t xml:space="preserve"> king of Adullam</w:t>
      </w:r>
      <w:r>
        <w:rPr>
          <w:rStyle w:val="FootnoteReference"/>
        </w:rPr>
        <w:footnoteReference w:id="4006"/>
      </w:r>
      <w:r>
        <w:t xml:space="preserve">, saying,</w:t>
      </w:r>
    </w:p>
    <w:p>
      <w:r>
        <w:rPr>
          <w:b/>
        </w:rPr>
        <w:t xml:space="preserve">4 </w:t>
      </w:r>
      <w:r>
        <w:t xml:space="preserve">Come up to me and help</w:t>
      </w:r>
      <w:r>
        <w:rPr>
          <w:rStyle w:val="FootnoteReference"/>
        </w:rPr>
        <w:footnoteReference w:id="4007"/>
      </w:r>
      <w:r>
        <w:t xml:space="preserve"> me, and let us war against Gibeon, because they defected to Joshua and to the sons of Israel.</w:t>
      </w:r>
    </w:p>
    <w:p>
      <w:r>
        <w:rPr>
          <w:b/>
        </w:rPr>
        <w:t xml:space="preserve">5 </w:t>
      </w:r>
      <w:r>
        <w:t xml:space="preserve">And the five kings of the Jebusites went up, king of Jerusalem and the king of Hebron and the king of Jerimoth and the king of Lachish and the king of Adullam, they and all their people, and they besieged Gibeon and were besieging it</w:t>
      </w:r>
      <w:r>
        <w:rPr>
          <w:rStyle w:val="FootnoteReference"/>
        </w:rPr>
        <w:footnoteReference w:id="4008"/>
      </w:r>
      <w:r>
        <w:t xml:space="preserve">.</w:t>
      </w:r>
    </w:p>
    <w:p>
      <w:r>
        <w:rPr>
          <w:b/>
        </w:rPr>
        <w:t xml:space="preserve">6 </w:t>
      </w:r>
      <w:r>
        <w:t xml:space="preserve">And those dwelling in Gibeon sent to Joshua at the camp of Israel in Gilgal, saying, Do not let your hands grow weak</w:t>
      </w:r>
      <w:r>
        <w:rPr>
          <w:rStyle w:val="FootnoteReference"/>
        </w:rPr>
        <w:footnoteReference w:id="4009"/>
      </w:r>
      <w:r>
        <w:t xml:space="preserve"> from your servants. Come up to us quickly and rescue us and help us, because all the kings of the Amorites dwelling in the hill country are gathered against us.</w:t>
      </w:r>
    </w:p>
    <w:p>
      <w:r>
        <w:rPr>
          <w:b/>
        </w:rPr>
        <w:t xml:space="preserve">7 </w:t>
      </w:r>
      <w:r>
        <w:t xml:space="preserve">And Joshua went up from Gilgal, he and all the warrior people with him, every strong one in might.</w:t>
      </w:r>
    </w:p>
    <w:p>
      <w:r>
        <w:rPr>
          <w:b/>
        </w:rPr>
        <w:t xml:space="preserve">8 </w:t>
      </w:r>
      <w:r>
        <w:t xml:space="preserve">And the Lord said to Joshua, Do not fear them, because I have delivered them into your hands. None of them shall be left before you.</w:t>
      </w:r>
    </w:p>
    <w:p>
      <w:r>
        <w:rPr>
          <w:b/>
        </w:rPr>
        <w:t xml:space="preserve">9 </w:t>
      </w:r>
      <w:r>
        <w:t xml:space="preserve">And Joshua came upon them suddenly; all the night he marched in from Gilgal.</w:t>
      </w:r>
    </w:p>
    <w:p>
      <w:r>
        <w:rPr>
          <w:b/>
        </w:rPr>
        <w:t xml:space="preserve">10 </w:t>
      </w:r>
      <w:r>
        <w:t xml:space="preserve">And the Lord</w:t>
      </w:r>
      <w:r>
        <w:rPr>
          <w:rStyle w:val="FootnoteReference"/>
        </w:rPr>
        <w:footnoteReference w:id="4010"/>
      </w:r>
      <w:r>
        <w:t xml:space="preserve"> amazed them from before the sons of Israel and crushed them with a great crushing in Gibeon, and they pursued them on the road of the ascent of Beth-horon</w:t>
      </w:r>
      <w:r>
        <w:rPr>
          <w:rStyle w:val="FootnoteReference"/>
        </w:rPr>
        <w:footnoteReference w:id="4011"/>
      </w:r>
      <w:r>
        <w:t xml:space="preserve"> and were cutting them down as far as Azekah</w:t>
      </w:r>
      <w:r>
        <w:rPr>
          <w:rStyle w:val="FootnoteReference"/>
        </w:rPr>
        <w:footnoteReference w:id="4012"/>
      </w:r>
      <w:r>
        <w:t xml:space="preserve"> and as far as Makkedah</w:t>
      </w:r>
      <w:r>
        <w:rPr>
          <w:rStyle w:val="FootnoteReference"/>
        </w:rPr>
        <w:footnoteReference w:id="4013"/>
      </w:r>
      <w:r>
        <w:t xml:space="preserve">.</w:t>
      </w:r>
    </w:p>
    <w:p>
      <w:r>
        <w:rPr>
          <w:b/>
        </w:rPr>
        <w:t xml:space="preserve">11 </w:t>
      </w:r>
      <w:r>
        <w:t xml:space="preserve">And as they fled from before the sons of Israel on the descent of Beth-horon, the Lord</w:t>
      </w:r>
      <w:r>
        <w:rPr>
          <w:rStyle w:val="FootnoteReference"/>
        </w:rPr>
        <w:footnoteReference w:id="4014"/>
      </w:r>
      <w:r>
        <w:t xml:space="preserve"> threw on them hailstones from heaven as far as Azekah, and those who died through the hailstones became more than those whom the sons of Israel killed with the sword in the war.</w:t>
      </w:r>
      <w:r>
        <w:rPr>
          <w:rStyle w:val="FootnoteReference"/>
        </w:rPr>
        <w:footnoteReference w:id="4015"/>
      </w:r>
    </w:p>
    <w:p>
      <w:r>
        <w:rPr>
          <w:b/>
        </w:rPr>
        <w:t xml:space="preserve">12 </w:t>
      </w:r>
      <w:r>
        <w:t xml:space="preserve">Then Joshua spoke to the Lord on the day when God delivered the Amorite under the hands of Israel</w:t>
      </w:r>
      <w:r>
        <w:rPr>
          <w:rStyle w:val="FootnoteReference"/>
        </w:rPr>
        <w:footnoteReference w:id="4016"/>
      </w:r>
      <w:r>
        <w:t xml:space="preserve">, when he crushed them in Gibeon and they were crushed from before the sons of Israel, and Joshua said, Let the sun stand over Gibeon, and the moon over the valley of Elon.</w:t>
      </w:r>
    </w:p>
    <w:p>
      <w:r>
        <w:rPr>
          <w:b/>
        </w:rPr>
        <w:t xml:space="preserve">13 </w:t>
      </w:r>
      <w:r>
        <w:t xml:space="preserve">And the sun stood, and the moon stood in place, until God defended their enemies. And the sun stood in the midst of heaven; it did not go forward to the setting, to the end of one day.</w:t>
      </w:r>
      <w:r>
        <w:rPr>
          <w:rStyle w:val="FootnoteReference"/>
        </w:rPr>
        <w:footnoteReference w:id="4017"/>
      </w:r>
    </w:p>
    <w:p>
      <w:r>
        <w:rPr>
          <w:b/>
        </w:rPr>
        <w:t xml:space="preserve">14 </w:t>
      </w:r>
      <w:r>
        <w:t xml:space="preserve">And there was</w:t>
      </w:r>
      <w:r>
        <w:rPr>
          <w:rStyle w:val="FootnoteReference"/>
        </w:rPr>
        <w:footnoteReference w:id="4018"/>
      </w:r>
      <w:r>
        <w:t xml:space="preserve"> no day like this, neither before nor after, for God to hear a human, because the Lord fought together with Israel.</w:t>
      </w:r>
    </w:p>
    <w:p>
      <w:r>
        <w:rPr>
          <w:b/>
        </w:rPr>
        <w:t xml:space="preserve">16 </w:t>
      </w:r>
      <w:r>
        <w:t xml:space="preserve">And these five kings fled and hid</w:t>
      </w:r>
      <w:r>
        <w:rPr>
          <w:rStyle w:val="FootnoteReference"/>
        </w:rPr>
        <w:footnoteReference w:id="4019"/>
      </w:r>
      <w:r>
        <w:t xml:space="preserve"> in the cave in Makkedah.</w:t>
      </w:r>
    </w:p>
    <w:p>
      <w:r>
        <w:rPr>
          <w:b/>
        </w:rPr>
        <w:t xml:space="preserve">17 </w:t>
      </w:r>
      <w:r>
        <w:t xml:space="preserve">And it was reported to Joshua, saying, The five kings have been found hidden in the cave in Makkedah.</w:t>
      </w:r>
    </w:p>
    <w:p>
      <w:r>
        <w:rPr>
          <w:b/>
        </w:rPr>
        <w:t xml:space="preserve">18 </w:t>
      </w:r>
      <w:r>
        <w:t xml:space="preserve">And Joshua said, Roll stones onto the mouth of the cave and appoint men to guard over them.</w:t>
      </w:r>
    </w:p>
    <w:p>
      <w:r>
        <w:rPr>
          <w:b/>
        </w:rPr>
        <w:t xml:space="preserve">19 </w:t>
      </w:r>
      <w:r>
        <w:t xml:space="preserve">But you, do not stand still; pursue behind your enemies and seize their rear, and do not let them enter into their cities, because the Lord our God has delivered them into our hands.</w:t>
      </w:r>
    </w:p>
    <w:p>
      <w:r>
        <w:rPr>
          <w:b/>
        </w:rPr>
        <w:t xml:space="preserve">20 </w:t>
      </w:r>
      <w:r>
        <w:t xml:space="preserve">And it happened, when Joshua and every son of Israel stopped cutting them down with a very great slaughter to the end, and those being saved were saved into the fortified cities</w:t>
      </w:r>
      <w:r>
        <w:rPr>
          <w:rStyle w:val="FootnoteReference"/>
        </w:rPr>
        <w:footnoteReference w:id="4020"/>
      </w:r>
      <w:r>
        <w:t xml:space="preserve">,</w:t>
      </w:r>
    </w:p>
    <w:p>
      <w:r>
        <w:rPr>
          <w:b/>
        </w:rPr>
        <w:t xml:space="preserve">21 </w:t>
      </w:r>
      <w:r>
        <w:t xml:space="preserve">then all the people returned to Joshua at Makkedah unharmed, and none</w:t>
      </w:r>
      <w:r>
        <w:rPr>
          <w:rStyle w:val="FootnoteReference"/>
        </w:rPr>
        <w:footnoteReference w:id="4021"/>
      </w:r>
      <w:r>
        <w:t xml:space="preserve"> of the sons of Israel so much as growled with his tongue.</w:t>
      </w:r>
    </w:p>
    <w:p>
      <w:r>
        <w:rPr>
          <w:b/>
        </w:rPr>
        <w:t xml:space="preserve">22 </w:t>
      </w:r>
      <w:r>
        <w:t xml:space="preserve">And Joshua said, Open the cave and bring out these five kings to me from the cave.</w:t>
      </w:r>
    </w:p>
    <w:p>
      <w:r>
        <w:rPr>
          <w:b/>
        </w:rPr>
        <w:t xml:space="preserve">23 </w:t>
      </w:r>
      <w:r>
        <w:t xml:space="preserve">And they brought out the five kings from the cave, the king of Jerusalem and the king of Hebron and the king of Jerimoth and the king of Lachish and the king of Adullam.</w:t>
      </w:r>
    </w:p>
    <w:p>
      <w:r>
        <w:rPr>
          <w:b/>
        </w:rPr>
        <w:t xml:space="preserve">24 </w:t>
      </w:r>
      <w:r>
        <w:t xml:space="preserve">And when they brought them out to Joshua, Joshua called all Israel and the leaders of the war who went with him, saying to them, Come forward and put your feet on their necks</w:t>
      </w:r>
      <w:r>
        <w:rPr>
          <w:rStyle w:val="FootnoteReference"/>
        </w:rPr>
        <w:footnoteReference w:id="4022"/>
      </w:r>
      <w:r>
        <w:t xml:space="preserve">. And coming forward, they put their feet on their necks.</w:t>
      </w:r>
      <w:r>
        <w:rPr>
          <w:rStyle w:val="FootnoteReference"/>
        </w:rPr>
        <w:footnoteReference w:id="4023"/>
      </w:r>
    </w:p>
    <w:p>
      <w:r>
        <w:rPr>
          <w:b/>
        </w:rPr>
        <w:t xml:space="preserve">25 </w:t>
      </w:r>
      <w:r>
        <w:t xml:space="preserve">And Joshua said to them, Do not fear them, nor be cowardly. Act like men and be strong</w:t>
      </w:r>
      <w:r>
        <w:rPr>
          <w:rStyle w:val="FootnoteReference"/>
        </w:rPr>
        <w:footnoteReference w:id="4024"/>
      </w:r>
      <w:r>
        <w:t xml:space="preserve">, because thus the Lord will do to all your enemies against whom you make war.</w:t>
      </w:r>
    </w:p>
    <w:p>
      <w:r>
        <w:rPr>
          <w:b/>
        </w:rPr>
        <w:t xml:space="preserve">26 </w:t>
      </w:r>
      <w:r>
        <w:t xml:space="preserve">And Joshua</w:t>
      </w:r>
      <w:r>
        <w:rPr>
          <w:rStyle w:val="FootnoteReference"/>
        </w:rPr>
        <w:footnoteReference w:id="4025"/>
      </w:r>
      <w:r>
        <w:t xml:space="preserve"> killed them and hanged them on five trees, and they were hanging on the trees until evening.</w:t>
      </w:r>
    </w:p>
    <w:p>
      <w:r>
        <w:rPr>
          <w:b/>
        </w:rPr>
        <w:t xml:space="preserve">27 </w:t>
      </w:r>
      <w:r>
        <w:t xml:space="preserve">And it happened toward sunset that Joshua commanded, and they took</w:t>
      </w:r>
      <w:r>
        <w:rPr>
          <w:rStyle w:val="FootnoteReference"/>
        </w:rPr>
        <w:footnoteReference w:id="4026"/>
      </w:r>
      <w:r>
        <w:t xml:space="preserve"> them down from the trees and threw them into the cave into which they fled there, and rolled stones onto the cave until this day.</w:t>
      </w:r>
    </w:p>
    <w:p>
      <w:r>
        <w:rPr>
          <w:b/>
        </w:rPr>
        <w:t xml:space="preserve">28 </w:t>
      </w:r>
      <w:r>
        <w:t xml:space="preserve">And they took Makkedah</w:t>
      </w:r>
      <w:r>
        <w:rPr>
          <w:rStyle w:val="FootnoteReference"/>
        </w:rPr>
        <w:footnoteReference w:id="4027"/>
      </w:r>
      <w:r>
        <w:t xml:space="preserve"> on that day and killed it with the edge of the sword and utterly destroyed every breathing thing in it, and no one was left in it who was saved and escaped</w:t>
      </w:r>
      <w:r>
        <w:rPr>
          <w:rStyle w:val="FootnoteReference"/>
        </w:rPr>
        <w:footnoteReference w:id="4028"/>
      </w:r>
      <w:r>
        <w:t xml:space="preserve">, and they did to the king of Makkedah in the way they did to the king of Jericho.</w:t>
      </w:r>
    </w:p>
    <w:p>
      <w:r>
        <w:rPr>
          <w:b/>
        </w:rPr>
        <w:t xml:space="preserve">29 </w:t>
      </w:r>
      <w:r>
        <w:t xml:space="preserve">And Joshua and all Israel with him went from Makkedah to Libnah</w:t>
      </w:r>
      <w:r>
        <w:rPr>
          <w:rStyle w:val="FootnoteReference"/>
        </w:rPr>
        <w:footnoteReference w:id="4029"/>
      </w:r>
      <w:r>
        <w:t xml:space="preserve"> and besieged Libnah.</w:t>
      </w:r>
    </w:p>
    <w:p>
      <w:r>
        <w:rPr>
          <w:b/>
        </w:rPr>
        <w:t xml:space="preserve">30 </w:t>
      </w:r>
      <w:r>
        <w:t xml:space="preserve">And the Lord delivered it into the hand of Israel, and they took it and its king and killed it with the edge of the sword and every breathing thing in it, and no one was left in it, not one saved and escaped</w:t>
      </w:r>
      <w:r>
        <w:rPr>
          <w:rStyle w:val="FootnoteReference"/>
        </w:rPr>
        <w:footnoteReference w:id="4030"/>
      </w:r>
      <w:r>
        <w:t xml:space="preserve">, and they did to its king in the way they did to the king of Jericho.</w:t>
      </w:r>
    </w:p>
    <w:p>
      <w:r>
        <w:rPr>
          <w:b/>
        </w:rPr>
        <w:t xml:space="preserve">31 </w:t>
      </w:r>
      <w:r>
        <w:t xml:space="preserve">And Joshua and all Israel with him went from Libnah to Lachish</w:t>
      </w:r>
      <w:r>
        <w:rPr>
          <w:rStyle w:val="FootnoteReference"/>
        </w:rPr>
        <w:footnoteReference w:id="4031"/>
      </w:r>
      <w:r>
        <w:t xml:space="preserve"> and besieged it and were besieging it.</w:t>
      </w:r>
    </w:p>
    <w:p>
      <w:r>
        <w:rPr>
          <w:b/>
        </w:rPr>
        <w:t xml:space="preserve">32 </w:t>
      </w:r>
      <w:r>
        <w:t xml:space="preserve">And the Lord delivered Lachish into the hands of Israel, and he took it on the second day and killed it with the edge of the sword and utterly destroyed it in the way they did to Libnah</w:t>
      </w:r>
      <w:r>
        <w:rPr>
          <w:rStyle w:val="FootnoteReference"/>
        </w:rPr>
        <w:footnoteReference w:id="4032"/>
      </w:r>
      <w:r>
        <w:t xml:space="preserve">.</w:t>
      </w:r>
    </w:p>
    <w:p>
      <w:r>
        <w:rPr>
          <w:b/>
        </w:rPr>
        <w:t xml:space="preserve">33 </w:t>
      </w:r>
      <w:r>
        <w:t xml:space="preserve">Then Horam</w:t>
      </w:r>
      <w:r>
        <w:rPr>
          <w:rStyle w:val="FootnoteReference"/>
        </w:rPr>
        <w:footnoteReference w:id="4033"/>
      </w:r>
      <w:r>
        <w:t xml:space="preserve"> king of Gezer</w:t>
      </w:r>
      <w:r>
        <w:rPr>
          <w:rStyle w:val="FootnoteReference"/>
        </w:rPr>
        <w:footnoteReference w:id="4034"/>
      </w:r>
      <w:r>
        <w:t xml:space="preserve"> went up to help Lachish, and Joshua struck him with the edge of the sword, him and his people, until none of them were left saved and escaped.</w:t>
      </w:r>
      <w:r>
        <w:rPr>
          <w:rStyle w:val="FootnoteReference"/>
        </w:rPr>
        <w:footnoteReference w:id="4035"/>
      </w:r>
    </w:p>
    <w:p>
      <w:r>
        <w:rPr>
          <w:b/>
        </w:rPr>
        <w:t xml:space="preserve">34 </w:t>
      </w:r>
      <w:r>
        <w:t xml:space="preserve">And Joshua and all Israel with him went from Lachish to Adullam and besieged it and were besieging it.</w:t>
      </w:r>
    </w:p>
    <w:p>
      <w:r>
        <w:rPr>
          <w:b/>
        </w:rPr>
        <w:t xml:space="preserve">35 </w:t>
      </w:r>
      <w:r>
        <w:t xml:space="preserve">And the Lord delivered it into the hand of Israel, and he took it on that day</w:t>
      </w:r>
      <w:r>
        <w:rPr>
          <w:rStyle w:val="FootnoteReference"/>
        </w:rPr>
        <w:footnoteReference w:id="4036"/>
      </w:r>
      <w:r>
        <w:t xml:space="preserve"> and killed it with the edge of the sword, and every breathing thing in it they killed in the way they did to Lachish.</w:t>
      </w:r>
    </w:p>
    <w:p>
      <w:r>
        <w:rPr>
          <w:b/>
        </w:rPr>
        <w:t xml:space="preserve">36 </w:t>
      </w:r>
      <w:r>
        <w:t xml:space="preserve">And Joshua and all Israel with him went to Hebron</w:t>
      </w:r>
      <w:r>
        <w:rPr>
          <w:rStyle w:val="FootnoteReference"/>
        </w:rPr>
        <w:footnoteReference w:id="4037"/>
      </w:r>
      <w:r>
        <w:t xml:space="preserve"> and besieged it.</w:t>
      </w:r>
    </w:p>
    <w:p>
      <w:r>
        <w:rPr>
          <w:b/>
        </w:rPr>
        <w:t xml:space="preserve">37 </w:t>
      </w:r>
      <w:r>
        <w:t xml:space="preserve">And he struck it with the edge of the sword and every breathing thing</w:t>
      </w:r>
      <w:r>
        <w:rPr>
          <w:rStyle w:val="FootnoteReference"/>
        </w:rPr>
        <w:footnoteReference w:id="4038"/>
      </w:r>
      <w:r>
        <w:t xml:space="preserve"> that was in it; there was no one saved, in the way they did to Adullam. They utterly destroyed it and everything that was in it.</w:t>
      </w:r>
    </w:p>
    <w:p>
      <w:r>
        <w:rPr>
          <w:b/>
        </w:rPr>
        <w:t xml:space="preserve">38 </w:t>
      </w:r>
      <w:r>
        <w:t xml:space="preserve">And Joshua and all Israel turned back to Debir</w:t>
      </w:r>
      <w:r>
        <w:rPr>
          <w:rStyle w:val="FootnoteReference"/>
        </w:rPr>
        <w:footnoteReference w:id="4039"/>
      </w:r>
      <w:r>
        <w:t xml:space="preserve"> and besieged it,</w:t>
      </w:r>
    </w:p>
    <w:p>
      <w:r>
        <w:rPr>
          <w:b/>
        </w:rPr>
        <w:t xml:space="preserve">39 </w:t>
      </w:r>
      <w:r>
        <w:t xml:space="preserve">and they took it and its king and its villages and struck it with the edge of the sword and utterly destroyed it and every breathing thing in it, and they did not leave in it any saved one</w:t>
      </w:r>
      <w:r>
        <w:rPr>
          <w:rStyle w:val="FootnoteReference"/>
        </w:rPr>
        <w:footnoteReference w:id="4040"/>
      </w:r>
      <w:r>
        <w:t xml:space="preserve">, in the way they did to Hebron and its king, so they did to Debir and its king.</w:t>
      </w:r>
    </w:p>
    <w:p>
      <w:r>
        <w:rPr>
          <w:b/>
        </w:rPr>
        <w:t xml:space="preserve">40 </w:t>
      </w:r>
      <w:r>
        <w:t xml:space="preserve">And Joshua struck all the land, the hill country and the Negeb</w:t>
      </w:r>
      <w:r>
        <w:rPr>
          <w:rStyle w:val="FootnoteReference"/>
        </w:rPr>
        <w:footnoteReference w:id="4041"/>
      </w:r>
      <w:r>
        <w:t xml:space="preserve"> and the plain and the Ashdod and their kings. He left no saved one among them, and every breathing life he utterly</w:t>
      </w:r>
      <w:r>
        <w:rPr>
          <w:rStyle w:val="FootnoteReference"/>
        </w:rPr>
        <w:footnoteReference w:id="4042"/>
      </w:r>
      <w:r>
        <w:t xml:space="preserve"> destroyed, in the way the Lord God of Israel commanded.</w:t>
      </w:r>
      <w:r>
        <w:rPr>
          <w:rStyle w:val="FootnoteReference"/>
        </w:rPr>
        <w:footnoteReference w:id="4043"/>
      </w:r>
    </w:p>
    <w:p>
      <w:r>
        <w:rPr>
          <w:b/>
        </w:rPr>
        <w:t xml:space="preserve">41 </w:t>
      </w:r>
      <w:r>
        <w:t xml:space="preserve">From Kadesh-Barnea as far as Gaza</w:t>
      </w:r>
      <w:r>
        <w:rPr>
          <w:rStyle w:val="FootnoteReference"/>
        </w:rPr>
        <w:footnoteReference w:id="4044"/>
      </w:r>
      <w:r>
        <w:t xml:space="preserve">, all Goshen as far as Gibeon.</w:t>
      </w:r>
    </w:p>
    <w:p>
      <w:r>
        <w:rPr>
          <w:b/>
        </w:rPr>
        <w:t xml:space="preserve">42 </w:t>
      </w:r>
      <w:r>
        <w:t xml:space="preserve">And all their kings and their land Joshua struck at one time, because the Lord God of Israel fought together with Israel</w:t>
      </w:r>
      <w:r>
        <w:rPr>
          <w:rStyle w:val="FootnoteReference"/>
        </w:rPr>
        <w:footnoteReference w:id="4045"/>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when Jabin</w:t>
      </w:r>
      <w:r>
        <w:rPr>
          <w:rStyle w:val="FootnoteReference"/>
        </w:rPr>
        <w:footnoteReference w:id="4046"/>
      </w:r>
      <w:r>
        <w:t xml:space="preserve"> king of Hazor</w:t>
      </w:r>
      <w:r>
        <w:rPr>
          <w:rStyle w:val="FootnoteReference"/>
        </w:rPr>
        <w:footnoteReference w:id="4047"/>
      </w:r>
      <w:r>
        <w:t xml:space="preserve"> heard, he sent to Jobab king of Madon</w:t>
      </w:r>
      <w:r>
        <w:rPr>
          <w:rStyle w:val="FootnoteReference"/>
        </w:rPr>
        <w:footnoteReference w:id="4048"/>
      </w:r>
      <w:r>
        <w:t xml:space="preserve"> and to the king of Shimron and to the king of Achshaph</w:t>
      </w:r>
      <w:r>
        <w:rPr>
          <w:rStyle w:val="FootnoteReference"/>
        </w:rPr>
        <w:footnoteReference w:id="4049"/>
      </w:r>
      <w:r>
        <w:t xml:space="preserve">,</w:t>
      </w:r>
      <w:r>
        <w:rPr>
          <w:rStyle w:val="FootnoteReference"/>
        </w:rPr>
        <w:footnoteReference w:id="4050"/>
      </w:r>
    </w:p>
    <w:p>
      <w:r>
        <w:rPr>
          <w:b/>
        </w:rPr>
        <w:t xml:space="preserve">2 </w:t>
      </w:r>
      <w:r>
        <w:t xml:space="preserve">and to the kings near great Sidon in the hill country and in the Raba</w:t>
      </w:r>
      <w:r>
        <w:rPr>
          <w:rStyle w:val="FootnoteReference"/>
        </w:rPr>
        <w:footnoteReference w:id="4051"/>
      </w:r>
      <w:r>
        <w:t xml:space="preserve"> opposite Chinneroth</w:t>
      </w:r>
      <w:r>
        <w:rPr>
          <w:rStyle w:val="FootnoteReference"/>
        </w:rPr>
        <w:footnoteReference w:id="4052"/>
      </w:r>
      <w:r>
        <w:t xml:space="preserve"> and in the plain and in the coast of Dor</w:t>
      </w:r>
      <w:r>
        <w:rPr>
          <w:rStyle w:val="FootnoteReference"/>
        </w:rPr>
        <w:footnoteReference w:id="4053"/>
      </w:r>
      <w:r>
        <w:t xml:space="preserve">,</w:t>
      </w:r>
      <w:r>
        <w:rPr>
          <w:rStyle w:val="FootnoteReference"/>
        </w:rPr>
        <w:footnoteReference w:id="4054"/>
      </w:r>
    </w:p>
    <w:p>
      <w:r>
        <w:rPr>
          <w:b/>
        </w:rPr>
        <w:t xml:space="preserve">3 </w:t>
      </w:r>
      <w:r>
        <w:t xml:space="preserve">and to the coastal Canaanites from the east and to the coastal Amorites and Hivites and Jebusites and Perizzites in the mountain and the Hittites under Hermon</w:t>
      </w:r>
      <w:r>
        <w:rPr>
          <w:rStyle w:val="FootnoteReference"/>
        </w:rPr>
        <w:footnoteReference w:id="4055"/>
      </w:r>
      <w:r>
        <w:t xml:space="preserve"> in the land of Mizpeh</w:t>
      </w:r>
      <w:r>
        <w:rPr>
          <w:rStyle w:val="FootnoteReference"/>
        </w:rPr>
        <w:footnoteReference w:id="4056"/>
      </w:r>
      <w:r>
        <w:t xml:space="preserve">.</w:t>
      </w:r>
    </w:p>
    <w:p>
      <w:r>
        <w:rPr>
          <w:b/>
        </w:rPr>
        <w:t xml:space="preserve">4 </w:t>
      </w:r>
      <w:r>
        <w:t xml:space="preserve">And they went out, they and their kings with them, like the sand of the sea in multitude, and horses and very many chariots.</w:t>
      </w:r>
    </w:p>
    <w:p>
      <w:r>
        <w:rPr>
          <w:b/>
        </w:rPr>
        <w:t xml:space="preserve">5 </w:t>
      </w:r>
      <w:r>
        <w:t xml:space="preserve">And all these</w:t>
      </w:r>
      <w:r>
        <w:rPr>
          <w:rStyle w:val="FootnoteReference"/>
        </w:rPr>
        <w:footnoteReference w:id="4057"/>
      </w:r>
      <w:r>
        <w:t xml:space="preserve"> kings gathered and came together and camped by the water of Madon to make war against Israel.</w:t>
      </w:r>
    </w:p>
    <w:p>
      <w:r>
        <w:rPr>
          <w:b/>
        </w:rPr>
        <w:t xml:space="preserve">6 </w:t>
      </w:r>
      <w:r>
        <w:t xml:space="preserve">And the Lord said to Joshua, Do not fear from before them, because tomorrow at this hour I am delivering them routed before Israel. Their horses</w:t>
      </w:r>
      <w:r>
        <w:rPr>
          <w:rStyle w:val="FootnoteReference"/>
        </w:rPr>
        <w:footnoteReference w:id="4058"/>
      </w:r>
      <w:r>
        <w:t xml:space="preserve"> you shall hamstring, and their chariots you shall burn with fire.</w:t>
      </w:r>
    </w:p>
    <w:p>
      <w:r>
        <w:rPr>
          <w:b/>
        </w:rPr>
        <w:t xml:space="preserve">7 </w:t>
      </w:r>
      <w:r>
        <w:t xml:space="preserve">And Joshua and all the warrior people came upon them at the water of Madon suddenly</w:t>
      </w:r>
      <w:r>
        <w:rPr>
          <w:rStyle w:val="FootnoteReference"/>
        </w:rPr>
        <w:footnoteReference w:id="4059"/>
      </w:r>
      <w:r>
        <w:t xml:space="preserve"> and fell upon them in the hill country.</w:t>
      </w:r>
    </w:p>
    <w:p>
      <w:r>
        <w:rPr>
          <w:b/>
        </w:rPr>
        <w:t xml:space="preserve">8 </w:t>
      </w:r>
      <w:r>
        <w:t xml:space="preserve">And the Lord</w:t>
      </w:r>
      <w:r>
        <w:rPr>
          <w:rStyle w:val="FootnoteReference"/>
        </w:rPr>
        <w:footnoteReference w:id="4060"/>
      </w:r>
      <w:r>
        <w:t xml:space="preserve"> delivered them under the hands of Israel, and as they struck them they pursued them as far as great Sidon and as far as Maserom and as far as the plains of Massoch</w:t>
      </w:r>
      <w:r>
        <w:rPr>
          <w:rStyle w:val="FootnoteReference"/>
        </w:rPr>
        <w:footnoteReference w:id="4061"/>
      </w:r>
      <w:r>
        <w:t xml:space="preserve"> toward the east, and they cut them down until none of them was left saved.</w:t>
      </w:r>
      <w:r>
        <w:rPr>
          <w:rStyle w:val="FootnoteReference"/>
        </w:rPr>
        <w:footnoteReference w:id="4062"/>
      </w:r>
    </w:p>
    <w:p>
      <w:r>
        <w:rPr>
          <w:b/>
        </w:rPr>
        <w:t xml:space="preserve">9 </w:t>
      </w:r>
      <w:r>
        <w:t xml:space="preserve">And Joshua did to them in the way the Lord commanded him: their horses he hamstrung, and their chariots he burned with fire.</w:t>
      </w:r>
    </w:p>
    <w:p>
      <w:r>
        <w:rPr>
          <w:b/>
        </w:rPr>
        <w:t xml:space="preserve">10 </w:t>
      </w:r>
      <w:r>
        <w:t xml:space="preserve">And Joshua turned back at that time and took Hazor</w:t>
      </w:r>
      <w:r>
        <w:rPr>
          <w:rStyle w:val="FootnoteReference"/>
        </w:rPr>
        <w:footnoteReference w:id="4063"/>
      </w:r>
      <w:r>
        <w:t xml:space="preserve">, and its king, for Hazor was formerly ruling all these kingdoms.</w:t>
      </w:r>
    </w:p>
    <w:p>
      <w:r>
        <w:rPr>
          <w:b/>
        </w:rPr>
        <w:t xml:space="preserve">11 </w:t>
      </w:r>
      <w:r>
        <w:t xml:space="preserve">And they killed every breathing thing in it with the sword and utterly destroyed all, and no breathing thing was left in it, and they burned Hazor with fire.</w:t>
      </w:r>
    </w:p>
    <w:p>
      <w:r>
        <w:rPr>
          <w:b/>
        </w:rPr>
        <w:t xml:space="preserve">12 </w:t>
      </w:r>
      <w:r>
        <w:t xml:space="preserve">And Joshua took all the cities of the kings and their kings, and killed them with the edge of the sword and utterly destroyed them in the way Moses servant of the Lord commanded.</w:t>
      </w:r>
    </w:p>
    <w:p>
      <w:r>
        <w:rPr>
          <w:b/>
        </w:rPr>
        <w:t xml:space="preserve">13 </w:t>
      </w:r>
      <w:r>
        <w:t xml:space="preserve">But all the cities that had been mounded up Israel did not burn, except Hazor alone Joshua burned.</w:t>
      </w:r>
    </w:p>
    <w:p>
      <w:r>
        <w:rPr>
          <w:b/>
        </w:rPr>
        <w:t xml:space="preserve">14 </w:t>
      </w:r>
      <w:r>
        <w:t xml:space="preserve">And all their spoil the sons of Israel plundered for themselves</w:t>
      </w:r>
      <w:r>
        <w:rPr>
          <w:rStyle w:val="FootnoteReference"/>
        </w:rPr>
        <w:footnoteReference w:id="4064"/>
      </w:r>
      <w:r>
        <w:t xml:space="preserve">, but them all they utterly destroyed with the edge of the sword until he destroyed them; they left none of them, not one breathing thing.</w:t>
      </w:r>
    </w:p>
    <w:p>
      <w:r>
        <w:rPr>
          <w:b/>
        </w:rPr>
        <w:t xml:space="preserve">15 </w:t>
      </w:r>
      <w:r>
        <w:t xml:space="preserve">In the way the Lord</w:t>
      </w:r>
      <w:r>
        <w:rPr>
          <w:rStyle w:val="FootnoteReference"/>
        </w:rPr>
        <w:footnoteReference w:id="4065"/>
      </w:r>
      <w:r>
        <w:t xml:space="preserve"> ordered Moses his servant, and Moses likewise commanded Joshua, so Joshua did. He did not transgress anything from all that Moses ordered him.</w:t>
      </w:r>
    </w:p>
    <w:p>
      <w:r>
        <w:rPr>
          <w:b/>
        </w:rPr>
        <w:t xml:space="preserve">16 </w:t>
      </w:r>
      <w:r>
        <w:t xml:space="preserve">And Joshua took all the land, the hill country and all the Negeb and all the land of Goshen and the plain and the western region and the mountain</w:t>
      </w:r>
      <w:r>
        <w:rPr>
          <w:rStyle w:val="FootnoteReference"/>
        </w:rPr>
        <w:footnoteReference w:id="4066"/>
      </w:r>
      <w:r>
        <w:t xml:space="preserve"> of Israel and its lowlands,</w:t>
      </w:r>
    </w:p>
    <w:p>
      <w:r>
        <w:rPr>
          <w:b/>
        </w:rPr>
        <w:t xml:space="preserve">17 </w:t>
      </w:r>
      <w:r>
        <w:t xml:space="preserve">from near Mount Eshcol and what rises to Seir</w:t>
      </w:r>
      <w:r>
        <w:rPr>
          <w:rStyle w:val="FootnoteReference"/>
        </w:rPr>
        <w:footnoteReference w:id="4067"/>
      </w:r>
      <w:r>
        <w:t xml:space="preserve"> and as far as Baalgad</w:t>
      </w:r>
      <w:r>
        <w:rPr>
          <w:rStyle w:val="FootnoteReference"/>
        </w:rPr>
        <w:footnoteReference w:id="4068"/>
      </w:r>
      <w:r>
        <w:t xml:space="preserve"> and the plains of Lebanon under Mount Hermon, and he took all their kings and killed them.</w:t>
      </w:r>
    </w:p>
    <w:p>
      <w:r>
        <w:rPr>
          <w:b/>
        </w:rPr>
        <w:t xml:space="preserve">18 </w:t>
      </w:r>
      <w:r>
        <w:t xml:space="preserve">And Joshua made war with these kings many days.</w:t>
      </w:r>
    </w:p>
    <w:p>
      <w:r>
        <w:rPr>
          <w:b/>
        </w:rPr>
        <w:t xml:space="preserve">19 </w:t>
      </w:r>
      <w:r>
        <w:t xml:space="preserve">And there was no city that Israel did not take; they took all in war.</w:t>
      </w:r>
    </w:p>
    <w:p>
      <w:r>
        <w:rPr>
          <w:b/>
        </w:rPr>
        <w:t xml:space="preserve">20 </w:t>
      </w:r>
      <w:r>
        <w:t xml:space="preserve">Because from the Lord it came to strengthen their heart</w:t>
      </w:r>
      <w:r>
        <w:rPr>
          <w:rStyle w:val="FootnoteReference"/>
        </w:rPr>
        <w:footnoteReference w:id="4069"/>
      </w:r>
      <w:r>
        <w:t xml:space="preserve"> to meet in war against Israel, so that they might be utterly destroyed, so that no mercy might be given to them, but so that they might be utterly destroyed in the way the Lord said to Moses.</w:t>
      </w:r>
    </w:p>
    <w:p>
      <w:r>
        <w:rPr>
          <w:b/>
        </w:rPr>
        <w:t xml:space="preserve">21 </w:t>
      </w:r>
      <w:r>
        <w:t xml:space="preserve">And Joshua came at that time and utterly destroyed the Anakim from the hill country, from Hebron and from Debir and from Anab</w:t>
      </w:r>
      <w:r>
        <w:rPr>
          <w:rStyle w:val="FootnoteReference"/>
        </w:rPr>
        <w:footnoteReference w:id="4070"/>
      </w:r>
      <w:r>
        <w:t xml:space="preserve"> and from all the race of Israel</w:t>
      </w:r>
      <w:r>
        <w:rPr>
          <w:rStyle w:val="FootnoteReference"/>
        </w:rPr>
        <w:footnoteReference w:id="4071"/>
      </w:r>
      <w:r>
        <w:t xml:space="preserve"> and from all the mountain of Judah; Joshua utterly destroyed them together with their cities.</w:t>
      </w:r>
    </w:p>
    <w:p>
      <w:r>
        <w:rPr>
          <w:b/>
        </w:rPr>
        <w:t xml:space="preserve">22 </w:t>
      </w:r>
      <w:r>
        <w:t xml:space="preserve">None of the Anakim were left among the sons of Israel, except in Gaza and in Gath</w:t>
      </w:r>
      <w:r>
        <w:rPr>
          <w:rStyle w:val="FootnoteReference"/>
        </w:rPr>
        <w:footnoteReference w:id="4072"/>
      </w:r>
      <w:r>
        <w:t xml:space="preserve"> and in Ashdod</w:t>
      </w:r>
      <w:r>
        <w:rPr>
          <w:rStyle w:val="FootnoteReference"/>
        </w:rPr>
        <w:footnoteReference w:id="4073"/>
      </w:r>
      <w:r>
        <w:t xml:space="preserve"> they were left.</w:t>
      </w:r>
    </w:p>
    <w:p>
      <w:r>
        <w:rPr>
          <w:b/>
        </w:rPr>
        <w:t xml:space="preserve">23 </w:t>
      </w:r>
      <w:r>
        <w:t xml:space="preserve">And Joshua took all the land, just as the Lord commanded Moses, and Joshua gave it as an inheritance to Israel in division according to their</w:t>
      </w:r>
      <w:r>
        <w:rPr>
          <w:rStyle w:val="FootnoteReference"/>
        </w:rPr>
        <w:footnoteReference w:id="4074"/>
      </w:r>
      <w:r>
        <w:t xml:space="preserve"> tribes, and the land rested from war</w:t>
      </w:r>
      <w:r>
        <w:rPr>
          <w:rStyle w:val="FootnoteReference"/>
        </w:rPr>
        <w:footnoteReference w:id="4075"/>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these are the kings of the land whom the sons of Israel killed, and they inherited their land beyond the Jordan from the</w:t>
      </w:r>
      <w:r>
        <w:rPr>
          <w:rStyle w:val="FootnoteReference"/>
        </w:rPr>
        <w:footnoteReference w:id="4076"/>
      </w:r>
      <w:r>
        <w:t xml:space="preserve"> sunrise, from the ravine of Arnon as far as Mount Hermon, and all the Arabah from the east:</w:t>
      </w:r>
      <w:r>
        <w:rPr>
          <w:rStyle w:val="FootnoteReference"/>
        </w:rPr>
        <w:footnoteReference w:id="4077"/>
      </w:r>
    </w:p>
    <w:p>
      <w:r>
        <w:rPr>
          <w:b/>
        </w:rPr>
        <w:t xml:space="preserve">2 </w:t>
      </w:r>
      <w:r>
        <w:t xml:space="preserve">Sihon</w:t>
      </w:r>
      <w:r>
        <w:rPr>
          <w:rStyle w:val="FootnoteReference"/>
        </w:rPr>
        <w:footnoteReference w:id="4078"/>
      </w:r>
      <w:r>
        <w:t xml:space="preserve"> the king of the Amorites, who dwelt in Heshbon, ruling from Aroer which is in the ravine, from the middle part of the ravine, and half of Gilead as far as Jabbok, boundary of the sons of Ammon,</w:t>
      </w:r>
      <w:r>
        <w:rPr>
          <w:rStyle w:val="FootnoteReference"/>
        </w:rPr>
        <w:footnoteReference w:id="4079"/>
      </w:r>
    </w:p>
    <w:p>
      <w:r>
        <w:rPr>
          <w:b/>
        </w:rPr>
        <w:t xml:space="preserve">3 </w:t>
      </w:r>
      <w:r>
        <w:t xml:space="preserve">and Arabah as far as the sea of Chinneroth</w:t>
      </w:r>
      <w:r>
        <w:rPr>
          <w:rStyle w:val="FootnoteReference"/>
        </w:rPr>
        <w:footnoteReference w:id="4080"/>
      </w:r>
      <w:r>
        <w:t xml:space="preserve"> to the east and as far as the sea of Arabah, the Salt Sea, from the east, road by Asimoth, from the south under Ashdod Pisgah;</w:t>
      </w:r>
    </w:p>
    <w:p>
      <w:r>
        <w:rPr>
          <w:b/>
        </w:rPr>
        <w:t xml:space="preserve">4 </w:t>
      </w:r>
      <w:r>
        <w:t xml:space="preserve">and Og king of Bashan, left over from the giants, dwelling in Ashtaroth and in Edrei,</w:t>
      </w:r>
    </w:p>
    <w:p>
      <w:r>
        <w:rPr>
          <w:b/>
        </w:rPr>
        <w:t xml:space="preserve">5 </w:t>
      </w:r>
      <w:r>
        <w:t xml:space="preserve">ruling from Mount Hermon</w:t>
      </w:r>
      <w:r>
        <w:rPr>
          <w:rStyle w:val="FootnoteReference"/>
        </w:rPr>
        <w:footnoteReference w:id="4081"/>
      </w:r>
      <w:r>
        <w:t xml:space="preserve"> and from Salcah and all Bashan to the borders of Geshurites</w:t>
      </w:r>
      <w:r>
        <w:rPr>
          <w:rStyle w:val="FootnoteReference"/>
        </w:rPr>
        <w:footnoteReference w:id="4082"/>
      </w:r>
      <w:r>
        <w:t xml:space="preserve"> and Machaathi and half of Gilead, boundaries of Sihon king of Heshbon.</w:t>
      </w:r>
    </w:p>
    <w:p>
      <w:r>
        <w:rPr>
          <w:b/>
        </w:rPr>
        <w:t xml:space="preserve">6 </w:t>
      </w:r>
      <w:r>
        <w:t xml:space="preserve">Moses servant of the Lord and the sons of Israel struck them, and Moses gave it</w:t>
      </w:r>
      <w:r>
        <w:rPr>
          <w:rStyle w:val="FootnoteReference"/>
        </w:rPr>
        <w:footnoteReference w:id="4083"/>
      </w:r>
      <w:r>
        <w:t xml:space="preserve"> as an inheritance to Reuben and Gad and the half-tribe of Manasseh.</w:t>
      </w:r>
    </w:p>
    <w:p>
      <w:r>
        <w:rPr>
          <w:b/>
        </w:rPr>
        <w:t xml:space="preserve">7 </w:t>
      </w:r>
      <w:r>
        <w:t xml:space="preserve">And these are the kings of the Amorites whom Joshua and the sons of Israel killed in the beyond of the Jordan toward the sea, from Baalgad</w:t>
      </w:r>
      <w:r>
        <w:rPr>
          <w:rStyle w:val="FootnoteReference"/>
        </w:rPr>
        <w:footnoteReference w:id="4084"/>
      </w:r>
      <w:r>
        <w:t xml:space="preserve"> in the plain of Lebanon and as far as Mount Chelcha rising to Seir, and Joshua gave it to the tribes of Israel to inherit according to their lots,</w:t>
      </w:r>
      <w:r>
        <w:rPr>
          <w:rStyle w:val="FootnoteReference"/>
        </w:rPr>
        <w:footnoteReference w:id="4085"/>
      </w:r>
    </w:p>
    <w:p>
      <w:r>
        <w:rPr>
          <w:b/>
        </w:rPr>
        <w:t xml:space="preserve">8 </w:t>
      </w:r>
      <w:r>
        <w:t xml:space="preserve">in the mountain and in the plain and in Arabah and in Ashdod and in the wilderness and in Negeb, the Hittite and the Amorite and the Canaanite and the Perizzite and the Hivite and the Jebusite:</w:t>
      </w:r>
      <w:r>
        <w:rPr>
          <w:rStyle w:val="FootnoteReference"/>
        </w:rPr>
        <w:footnoteReference w:id="4086"/>
      </w:r>
    </w:p>
    <w:p>
      <w:r>
        <w:rPr>
          <w:b/>
        </w:rPr>
        <w:t xml:space="preserve">9 </w:t>
      </w:r>
      <w:r>
        <w:t xml:space="preserve">the king of Jericho</w:t>
      </w:r>
      <w:r>
        <w:rPr>
          <w:rStyle w:val="FootnoteReference"/>
        </w:rPr>
        <w:footnoteReference w:id="4087"/>
      </w:r>
      <w:r>
        <w:t xml:space="preserve">, and the king of Ai which is near Bethel,</w:t>
      </w:r>
    </w:p>
    <w:p>
      <w:r>
        <w:rPr>
          <w:b/>
        </w:rPr>
        <w:t xml:space="preserve">10 </w:t>
      </w:r>
      <w:r>
        <w:t xml:space="preserve">the king of Jerusalem</w:t>
      </w:r>
      <w:r>
        <w:rPr>
          <w:rStyle w:val="FootnoteReference"/>
        </w:rPr>
        <w:footnoteReference w:id="4088"/>
      </w:r>
      <w:r>
        <w:t xml:space="preserve">, the king of Hebron,</w:t>
      </w:r>
    </w:p>
    <w:p>
      <w:r>
        <w:rPr>
          <w:b/>
        </w:rPr>
        <w:t xml:space="preserve">11 </w:t>
      </w:r>
      <w:r>
        <w:t xml:space="preserve">the king of Jerimoth, the king of Lachish</w:t>
      </w:r>
      <w:r>
        <w:rPr>
          <w:rStyle w:val="FootnoteReference"/>
        </w:rPr>
        <w:footnoteReference w:id="4089"/>
      </w:r>
      <w:r>
        <w:t xml:space="preserve">,</w:t>
      </w:r>
    </w:p>
    <w:p>
      <w:r>
        <w:rPr>
          <w:b/>
        </w:rPr>
        <w:t xml:space="preserve">12 </w:t>
      </w:r>
      <w:r>
        <w:t xml:space="preserve">the king of Eglon</w:t>
      </w:r>
      <w:r>
        <w:rPr>
          <w:rStyle w:val="FootnoteReference"/>
        </w:rPr>
        <w:footnoteReference w:id="4090"/>
      </w:r>
      <w:r>
        <w:t xml:space="preserve">, the king of Gezer,</w:t>
      </w:r>
      <w:r>
        <w:rPr>
          <w:rStyle w:val="FootnoteReference"/>
        </w:rPr>
        <w:footnoteReference w:id="4091"/>
      </w:r>
    </w:p>
    <w:p>
      <w:r>
        <w:rPr>
          <w:b/>
        </w:rPr>
        <w:t xml:space="preserve">13 </w:t>
      </w:r>
      <w:r>
        <w:t xml:space="preserve">the king of Debir</w:t>
      </w:r>
      <w:r>
        <w:rPr>
          <w:rStyle w:val="FootnoteReference"/>
        </w:rPr>
        <w:footnoteReference w:id="4092"/>
      </w:r>
      <w:r>
        <w:t xml:space="preserve">, the king of Geder</w:t>
      </w:r>
      <w:r>
        <w:rPr>
          <w:rStyle w:val="FootnoteReference"/>
        </w:rPr>
        <w:footnoteReference w:id="4093"/>
      </w:r>
      <w:r>
        <w:t xml:space="preserve">,</w:t>
      </w:r>
    </w:p>
    <w:p>
      <w:r>
        <w:rPr>
          <w:b/>
        </w:rPr>
        <w:t xml:space="preserve">14 </w:t>
      </w:r>
      <w:r>
        <w:t xml:space="preserve">the king of Hormah</w:t>
      </w:r>
      <w:r>
        <w:rPr>
          <w:rStyle w:val="FootnoteReference"/>
        </w:rPr>
        <w:footnoteReference w:id="4094"/>
      </w:r>
      <w:r>
        <w:t xml:space="preserve">, the king of Arad,</w:t>
      </w:r>
    </w:p>
    <w:p>
      <w:r>
        <w:rPr>
          <w:b/>
        </w:rPr>
        <w:t xml:space="preserve">15 </w:t>
      </w:r>
      <w:r>
        <w:t xml:space="preserve">the king of Libnah</w:t>
      </w:r>
      <w:r>
        <w:rPr>
          <w:rStyle w:val="FootnoteReference"/>
        </w:rPr>
        <w:footnoteReference w:id="4095"/>
      </w:r>
      <w:r>
        <w:t xml:space="preserve">, the king of Adullam,</w:t>
      </w:r>
    </w:p>
    <w:p>
      <w:r>
        <w:rPr>
          <w:b/>
        </w:rPr>
        <w:t xml:space="preserve">16 </w:t>
      </w:r>
      <w:r>
        <w:t xml:space="preserve">the king of Makkedah</w:t>
      </w:r>
      <w:r>
        <w:rPr>
          <w:rStyle w:val="FootnoteReference"/>
        </w:rPr>
        <w:footnoteReference w:id="4096"/>
      </w:r>
      <w:r>
        <w:t xml:space="preserve">,</w:t>
      </w:r>
    </w:p>
    <w:p>
      <w:r>
        <w:rPr>
          <w:b/>
        </w:rPr>
        <w:t xml:space="preserve">17 </w:t>
      </w:r>
      <w:r>
        <w:t xml:space="preserve">the king of Tappuah</w:t>
      </w:r>
      <w:r>
        <w:rPr>
          <w:rStyle w:val="FootnoteReference"/>
        </w:rPr>
        <w:footnoteReference w:id="4097"/>
      </w:r>
      <w:r>
        <w:t xml:space="preserve">, the king of Hepher,</w:t>
      </w:r>
      <w:r>
        <w:rPr>
          <w:rStyle w:val="FootnoteReference"/>
        </w:rPr>
        <w:footnoteReference w:id="4098"/>
      </w:r>
    </w:p>
    <w:p>
      <w:r>
        <w:rPr>
          <w:b/>
        </w:rPr>
        <w:t xml:space="preserve">18 </w:t>
      </w:r>
      <w:r>
        <w:t xml:space="preserve">the king of Aphek</w:t>
      </w:r>
      <w:r>
        <w:rPr>
          <w:rStyle w:val="FootnoteReference"/>
        </w:rPr>
        <w:footnoteReference w:id="4099"/>
      </w:r>
      <w:r>
        <w:t xml:space="preserve"> of Sharon</w:t>
      </w:r>
      <w:r>
        <w:rPr>
          <w:rStyle w:val="FootnoteReference"/>
        </w:rPr>
        <w:footnoteReference w:id="4100"/>
      </w:r>
      <w:r>
        <w:t xml:space="preserve">,</w:t>
      </w:r>
      <w:r>
        <w:rPr>
          <w:rStyle w:val="FootnoteReference"/>
        </w:rPr>
        <w:footnoteReference w:id="4101"/>
      </w:r>
    </w:p>
    <w:p>
      <w:r>
        <w:rPr>
          <w:b/>
        </w:rPr>
        <w:t xml:space="preserve">19 </w:t>
      </w:r>
      <w:r>
        <w:t xml:space="preserve">the king of Hazor</w:t>
      </w:r>
      <w:r>
        <w:rPr>
          <w:rStyle w:val="FootnoteReference"/>
        </w:rPr>
        <w:footnoteReference w:id="4102"/>
      </w:r>
      <w:r>
        <w:t xml:space="preserve">,</w:t>
      </w:r>
    </w:p>
    <w:p>
      <w:r>
        <w:rPr>
          <w:b/>
        </w:rPr>
        <w:t xml:space="preserve">20 </w:t>
      </w:r>
      <w:r>
        <w:t xml:space="preserve">the king of Shimron, the king of Madon, the king of Achshaph</w:t>
      </w:r>
      <w:r>
        <w:rPr>
          <w:rStyle w:val="FootnoteReference"/>
        </w:rPr>
        <w:footnoteReference w:id="4103"/>
      </w:r>
      <w:r>
        <w:t xml:space="preserve">,</w:t>
      </w:r>
    </w:p>
    <w:p>
      <w:r>
        <w:rPr>
          <w:b/>
        </w:rPr>
        <w:t xml:space="preserve">21 </w:t>
      </w:r>
      <w:r>
        <w:t xml:space="preserve">the king of Kadesh, the king of Tanach,</w:t>
      </w:r>
    </w:p>
    <w:p>
      <w:r>
        <w:rPr>
          <w:b/>
        </w:rPr>
        <w:t xml:space="preserve">22 </w:t>
      </w:r>
      <w:r>
        <w:t xml:space="preserve">the king of Mageddon, the king of Jokneam</w:t>
      </w:r>
      <w:r>
        <w:rPr>
          <w:rStyle w:val="FootnoteReference"/>
        </w:rPr>
        <w:footnoteReference w:id="4104"/>
      </w:r>
      <w:r>
        <w:t xml:space="preserve"> of Carmel</w:t>
      </w:r>
      <w:r>
        <w:rPr>
          <w:rStyle w:val="FootnoteReference"/>
        </w:rPr>
        <w:footnoteReference w:id="4105"/>
      </w:r>
      <w:r>
        <w:t xml:space="preserve">,</w:t>
      </w:r>
      <w:r>
        <w:rPr>
          <w:rStyle w:val="FootnoteReference"/>
        </w:rPr>
        <w:footnoteReference w:id="4106"/>
      </w:r>
    </w:p>
    <w:p>
      <w:r>
        <w:rPr>
          <w:b/>
        </w:rPr>
        <w:t xml:space="preserve">23 </w:t>
      </w:r>
      <w:r>
        <w:t xml:space="preserve">the king of Dor of the coast of Dor, the king of Goiim</w:t>
      </w:r>
      <w:r>
        <w:rPr>
          <w:rStyle w:val="FootnoteReference"/>
        </w:rPr>
        <w:footnoteReference w:id="4107"/>
      </w:r>
      <w:r>
        <w:t xml:space="preserve"> of Galilee</w:t>
      </w:r>
      <w:r>
        <w:rPr>
          <w:rStyle w:val="FootnoteReference"/>
        </w:rPr>
        <w:footnoteReference w:id="4108"/>
      </w:r>
      <w:r>
        <w:t xml:space="preserve">,</w:t>
      </w:r>
    </w:p>
    <w:p>
      <w:r>
        <w:rPr>
          <w:b/>
        </w:rPr>
        <w:t xml:space="preserve">24 </w:t>
      </w:r>
      <w:r>
        <w:t xml:space="preserve">the king of Tharsa. All these kings, twenty-nine.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Joshua</w:t>
      </w:r>
      <w:r>
        <w:rPr>
          <w:rStyle w:val="FootnoteReference"/>
        </w:rPr>
        <w:footnoteReference w:id="4109"/>
      </w:r>
      <w:r>
        <w:t xml:space="preserve"> was old, advanced in days, and the Lord said to Joshua, You have advanced in days, and much land remains for inheritance.</w:t>
      </w:r>
    </w:p>
    <w:p>
      <w:r>
        <w:rPr>
          <w:b/>
        </w:rPr>
        <w:t xml:space="preserve">2 </w:t>
      </w:r>
      <w:r>
        <w:t xml:space="preserve">And this is the remaining land: the boundaries of the Philistines, the Geshurites, and the Canaanite,</w:t>
      </w:r>
    </w:p>
    <w:p>
      <w:r>
        <w:rPr>
          <w:b/>
        </w:rPr>
        <w:t xml:space="preserve">3 </w:t>
      </w:r>
      <w:r>
        <w:t xml:space="preserve">from the uninhabited region opposite Egypt</w:t>
      </w:r>
      <w:r>
        <w:rPr>
          <w:rStyle w:val="FootnoteReference"/>
        </w:rPr>
        <w:footnoteReference w:id="4110"/>
      </w:r>
      <w:r>
        <w:t xml:space="preserve"> as far as the boundaries of Ekron</w:t>
      </w:r>
      <w:r>
        <w:rPr>
          <w:rStyle w:val="FootnoteReference"/>
        </w:rPr>
        <w:footnoteReference w:id="4111"/>
      </w:r>
      <w:r>
        <w:t xml:space="preserve"> on the left of the Canaanites; it is reckoned to the five satrapies of the Philistines, to the Gazite and the Azotian and the Ascalonite and the Gittites</w:t>
      </w:r>
      <w:r>
        <w:rPr>
          <w:rStyle w:val="FootnoteReference"/>
        </w:rPr>
        <w:footnoteReference w:id="4112"/>
      </w:r>
      <w:r>
        <w:t xml:space="preserve"> and the Ekronites</w:t>
      </w:r>
      <w:r>
        <w:rPr>
          <w:rStyle w:val="FootnoteReference"/>
        </w:rPr>
        <w:footnoteReference w:id="4113"/>
      </w:r>
      <w:r>
        <w:t xml:space="preserve"> and the Hivite,</w:t>
      </w:r>
    </w:p>
    <w:p>
      <w:r>
        <w:rPr>
          <w:b/>
        </w:rPr>
        <w:t xml:space="preserve">4 </w:t>
      </w:r>
      <w:r>
        <w:t xml:space="preserve">from the south and all the land of</w:t>
      </w:r>
      <w:r>
        <w:rPr>
          <w:rStyle w:val="FootnoteReference"/>
        </w:rPr>
        <w:footnoteReference w:id="4114"/>
      </w:r>
      <w:r>
        <w:t xml:space="preserve"> Canaan opposite Gaza and the Sidonians</w:t>
      </w:r>
      <w:r>
        <w:rPr>
          <w:rStyle w:val="FootnoteReference"/>
        </w:rPr>
        <w:footnoteReference w:id="4115"/>
      </w:r>
      <w:r>
        <w:t xml:space="preserve"> as far as Aphek, as far as the boundaries of the Amorites,</w:t>
      </w:r>
    </w:p>
    <w:p>
      <w:r>
        <w:rPr>
          <w:b/>
        </w:rPr>
        <w:t xml:space="preserve">5 </w:t>
      </w:r>
      <w:r>
        <w:t xml:space="preserve">and all the land of Gabli of the Philistines and all Lebanon</w:t>
      </w:r>
      <w:r>
        <w:rPr>
          <w:rStyle w:val="FootnoteReference"/>
        </w:rPr>
        <w:footnoteReference w:id="4116"/>
      </w:r>
      <w:r>
        <w:t xml:space="preserve"> from the sunrise, from Gilgal under Mount Hermon as far as the entrance of Hamath,</w:t>
      </w:r>
    </w:p>
    <w:p>
      <w:r>
        <w:rPr>
          <w:b/>
        </w:rPr>
        <w:t xml:space="preserve">6 </w:t>
      </w:r>
      <w:r>
        <w:t xml:space="preserve">all those dwelling in the hill country from Lebanon as far as Misrephothmaim</w:t>
      </w:r>
      <w:r>
        <w:rPr>
          <w:rStyle w:val="FootnoteReference"/>
        </w:rPr>
        <w:footnoteReference w:id="4117"/>
      </w:r>
      <w:r>
        <w:t xml:space="preserve">, all the Sidonians. I will utterly destroy them from before Israel. But divide it as an inheritance</w:t>
      </w:r>
      <w:r>
        <w:rPr>
          <w:rStyle w:val="FootnoteReference"/>
        </w:rPr>
        <w:footnoteReference w:id="4118"/>
      </w:r>
      <w:r>
        <w:t xml:space="preserve"> to Israel in the way I commanded you.</w:t>
      </w:r>
      <w:r>
        <w:rPr>
          <w:rStyle w:val="FootnoteReference"/>
        </w:rPr>
        <w:footnoteReference w:id="4119"/>
      </w:r>
    </w:p>
    <w:p>
      <w:r>
        <w:rPr>
          <w:b/>
        </w:rPr>
        <w:t xml:space="preserve">7 </w:t>
      </w:r>
      <w:r>
        <w:t xml:space="preserve">And now divide this land as an inheritance to the nine tribes and to the half-tribe of Manasseh. From the Jordan as far as the great sea toward the setting of the sun you shall give it; the great sea shall define it.</w:t>
      </w:r>
    </w:p>
    <w:p>
      <w:r>
        <w:rPr>
          <w:b/>
        </w:rPr>
        <w:t xml:space="preserve">8 </w:t>
      </w:r>
      <w:r>
        <w:t xml:space="preserve">But to the two tribes and to the half-tribe of Manasseh, to Reuben and to Gad, Moses gave</w:t>
      </w:r>
      <w:r>
        <w:rPr>
          <w:rStyle w:val="FootnoteReference"/>
        </w:rPr>
        <w:footnoteReference w:id="4120"/>
      </w:r>
      <w:r>
        <w:t xml:space="preserve"> in the beyond of the Jordan toward the sunrise; Moses servant of the Lord gave it,</w:t>
      </w:r>
    </w:p>
    <w:p>
      <w:r>
        <w:rPr>
          <w:b/>
        </w:rPr>
        <w:t xml:space="preserve">9 </w:t>
      </w:r>
      <w:r>
        <w:t xml:space="preserve">from Aroer</w:t>
      </w:r>
      <w:r>
        <w:rPr>
          <w:rStyle w:val="FootnoteReference"/>
        </w:rPr>
        <w:footnoteReference w:id="4121"/>
      </w:r>
      <w:r>
        <w:t xml:space="preserve"> which is on the lip of the ravine of Arnon, and the city in the ravine of Arnon, and all Mishor from Medeba</w:t>
      </w:r>
      <w:r>
        <w:rPr>
          <w:rStyle w:val="FootnoteReference"/>
        </w:rPr>
        <w:footnoteReference w:id="4122"/>
      </w:r>
      <w:r>
        <w:t xml:space="preserve"> as far as Dibon,</w:t>
      </w:r>
    </w:p>
    <w:p>
      <w:r>
        <w:rPr>
          <w:b/>
        </w:rPr>
        <w:t xml:space="preserve">10 </w:t>
      </w:r>
      <w:r>
        <w:t xml:space="preserve">all the cities of Sihon king of the Amorites who reigned in Heshbon as far as the boundaries of the sons of Ammon,</w:t>
      </w:r>
    </w:p>
    <w:p>
      <w:r>
        <w:rPr>
          <w:b/>
        </w:rPr>
        <w:t xml:space="preserve">11 </w:t>
      </w:r>
      <w:r>
        <w:t xml:space="preserve">and Gilead and the boundaries of Geshurites and the Maachathites, all Mount Hermon and all Bashan as far as Salcah,</w:t>
      </w:r>
    </w:p>
    <w:p>
      <w:r>
        <w:rPr>
          <w:b/>
        </w:rPr>
        <w:t xml:space="preserve">12 </w:t>
      </w:r>
      <w:r>
        <w:t xml:space="preserve">all the kingdom of Og in Bashan, who reigned in Ashtaroth and in Edrei. This one was left from the giants, and Moses struck him and utterly destroyed him.</w:t>
      </w:r>
    </w:p>
    <w:p>
      <w:r>
        <w:rPr>
          <w:b/>
        </w:rPr>
        <w:t xml:space="preserve">13 </w:t>
      </w:r>
      <w:r>
        <w:t xml:space="preserve">And the sons of Israel did not utterly destroy the Geshurites and the Maachathites and the Canaanite, and the king of Geshurites and the Maachathites dwelt among the sons of Israel until this day.</w:t>
      </w:r>
    </w:p>
    <w:p>
      <w:r>
        <w:rPr>
          <w:b/>
        </w:rPr>
        <w:t xml:space="preserve">14 </w:t>
      </w:r>
      <w:r>
        <w:t xml:space="preserve">Except to the tribe of Levi no inheritance was given. The Lord God of Israel, this one is their inheritance, just as the Lord said to them. And this is the division that Moses divided to the sons of Israel in Araboth of Moab, beyond the Jordan opposite Jericho.</w:t>
      </w:r>
    </w:p>
    <w:p>
      <w:r>
        <w:rPr>
          <w:b/>
        </w:rPr>
        <w:t xml:space="preserve">15 </w:t>
      </w:r>
      <w:r>
        <w:t xml:space="preserve">And Moses gave to the tribe of Reuben according to their clans.</w:t>
      </w:r>
    </w:p>
    <w:p>
      <w:r>
        <w:rPr>
          <w:b/>
        </w:rPr>
        <w:t xml:space="preserve">16 </w:t>
      </w:r>
      <w:r>
        <w:t xml:space="preserve">And their boundaries came from Aroer, which is opposite the ravine of Arnon, and the city in the ravine of Arnon, and all Mishor,</w:t>
      </w:r>
    </w:p>
    <w:p>
      <w:r>
        <w:rPr>
          <w:b/>
        </w:rPr>
        <w:t xml:space="preserve">17 </w:t>
      </w:r>
      <w:r>
        <w:t xml:space="preserve">as far as Heshbon and all the cities in Mishor, and Dibon and Bamothbaal</w:t>
      </w:r>
      <w:r>
        <w:rPr>
          <w:rStyle w:val="FootnoteReference"/>
        </w:rPr>
        <w:footnoteReference w:id="4123"/>
      </w:r>
      <w:r>
        <w:t xml:space="preserve"> and House of Beelmon,</w:t>
      </w:r>
    </w:p>
    <w:p>
      <w:r>
        <w:rPr>
          <w:b/>
        </w:rPr>
        <w:t xml:space="preserve">18 </w:t>
      </w:r>
      <w:r>
        <w:t xml:space="preserve">and Jahaz and Kedemoth and Mephaath</w:t>
      </w:r>
      <w:r>
        <w:rPr>
          <w:rStyle w:val="FootnoteReference"/>
        </w:rPr>
        <w:footnoteReference w:id="4124"/>
      </w:r>
      <w:r>
        <w:t xml:space="preserve">,</w:t>
      </w:r>
      <w:r>
        <w:rPr>
          <w:rStyle w:val="FootnoteReference"/>
        </w:rPr>
        <w:footnoteReference w:id="4125"/>
      </w:r>
    </w:p>
    <w:p>
      <w:r>
        <w:rPr>
          <w:b/>
        </w:rPr>
        <w:t xml:space="preserve">19 </w:t>
      </w:r>
      <w:r>
        <w:t xml:space="preserve">and Kirjathaim</w:t>
      </w:r>
      <w:r>
        <w:rPr>
          <w:rStyle w:val="FootnoteReference"/>
        </w:rPr>
        <w:footnoteReference w:id="4126"/>
      </w:r>
      <w:r>
        <w:t xml:space="preserve"> and Shebam and Serada and Sior</w:t>
      </w:r>
      <w:r>
        <w:rPr>
          <w:rStyle w:val="FootnoteReference"/>
        </w:rPr>
        <w:footnoteReference w:id="4127"/>
      </w:r>
      <w:r>
        <w:t xml:space="preserve"> in Mount Emak,</w:t>
      </w:r>
    </w:p>
    <w:p>
      <w:r>
        <w:rPr>
          <w:b/>
        </w:rPr>
        <w:t xml:space="preserve">20 </w:t>
      </w:r>
      <w:r>
        <w:t xml:space="preserve">and Baithphogor and Ashdod Pisgah and Baithasimoth,</w:t>
      </w:r>
    </w:p>
    <w:p>
      <w:r>
        <w:rPr>
          <w:b/>
        </w:rPr>
        <w:t xml:space="preserve">21 </w:t>
      </w:r>
      <w:r>
        <w:t xml:space="preserve">and all the</w:t>
      </w:r>
      <w:r>
        <w:rPr>
          <w:rStyle w:val="FootnoteReference"/>
        </w:rPr>
        <w:footnoteReference w:id="4128"/>
      </w:r>
      <w:r>
        <w:t xml:space="preserve"> cities of Mishor and all the kingdom of Sihon king of the Amorites, whom Moses struck, also the leaders of Midian</w:t>
      </w:r>
      <w:r>
        <w:rPr>
          <w:rStyle w:val="FootnoteReference"/>
        </w:rPr>
        <w:footnoteReference w:id="4129"/>
      </w:r>
      <w:r>
        <w:t xml:space="preserve"> and Evi and Rekem and Zur and Hur and Reba, rulers beside Sihon and those dwelling in the land.</w:t>
      </w:r>
    </w:p>
    <w:p>
      <w:r>
        <w:rPr>
          <w:b/>
        </w:rPr>
        <w:t xml:space="preserve">22 </w:t>
      </w:r>
      <w:r>
        <w:t xml:space="preserve">And Balaam</w:t>
      </w:r>
      <w:r>
        <w:rPr>
          <w:rStyle w:val="FootnoteReference"/>
        </w:rPr>
        <w:footnoteReference w:id="4130"/>
      </w:r>
      <w:r>
        <w:t xml:space="preserve"> son of Beor, the diviner, they killed in the rush.</w:t>
      </w:r>
    </w:p>
    <w:p>
      <w:r>
        <w:rPr>
          <w:b/>
        </w:rPr>
        <w:t xml:space="preserve">23 </w:t>
      </w:r>
      <w:r>
        <w:t xml:space="preserve">And the Jordan became the boundary of Reuben, the boundary. This is the inheritance of the sons of Reuben according to their clans, their cities and their villages.</w:t>
      </w:r>
    </w:p>
    <w:p>
      <w:r>
        <w:rPr>
          <w:b/>
        </w:rPr>
        <w:t xml:space="preserve">24 </w:t>
      </w:r>
      <w:r>
        <w:t xml:space="preserve">And Moses gave to the sons of Gad according to their clans.</w:t>
      </w:r>
    </w:p>
    <w:p>
      <w:r>
        <w:rPr>
          <w:b/>
        </w:rPr>
        <w:t xml:space="preserve">25 </w:t>
      </w:r>
      <w:r>
        <w:t xml:space="preserve">And their boundaries came to be Jaazer, all the cities of Gilead, and half</w:t>
      </w:r>
      <w:r>
        <w:rPr>
          <w:rStyle w:val="FootnoteReference"/>
        </w:rPr>
        <w:footnoteReference w:id="4131"/>
      </w:r>
      <w:r>
        <w:t xml:space="preserve"> the land of the sons of Ammon as far as Aroer, opposite Rabbah</w:t>
      </w:r>
      <w:r>
        <w:rPr>
          <w:rStyle w:val="FootnoteReference"/>
        </w:rPr>
        <w:footnoteReference w:id="4132"/>
      </w:r>
      <w:r>
        <w:t xml:space="preserve">,</w:t>
      </w:r>
    </w:p>
    <w:p>
      <w:r>
        <w:rPr>
          <w:b/>
        </w:rPr>
        <w:t xml:space="preserve">26 </w:t>
      </w:r>
      <w:r>
        <w:t xml:space="preserve">and from Heshbon as far as Ramoth according to Mizpeh and Betonim</w:t>
      </w:r>
      <w:r>
        <w:rPr>
          <w:rStyle w:val="FootnoteReference"/>
        </w:rPr>
        <w:footnoteReference w:id="4133"/>
      </w:r>
      <w:r>
        <w:t xml:space="preserve"> and Mahanaim</w:t>
      </w:r>
      <w:r>
        <w:rPr>
          <w:rStyle w:val="FootnoteReference"/>
        </w:rPr>
        <w:footnoteReference w:id="4134"/>
      </w:r>
      <w:r>
        <w:t xml:space="preserve"> as far as the boundaries of Debir,</w:t>
      </w:r>
      <w:r>
        <w:rPr>
          <w:rStyle w:val="FootnoteReference"/>
        </w:rPr>
        <w:footnoteReference w:id="4135"/>
      </w:r>
    </w:p>
    <w:p>
      <w:r>
        <w:rPr>
          <w:b/>
        </w:rPr>
        <w:t xml:space="preserve">27 </w:t>
      </w:r>
      <w:r>
        <w:t xml:space="preserve">and in Emek, Betharam</w:t>
      </w:r>
      <w:r>
        <w:rPr>
          <w:rStyle w:val="FootnoteReference"/>
        </w:rPr>
        <w:footnoteReference w:id="4136"/>
      </w:r>
      <w:r>
        <w:t xml:space="preserve"> and Baithanabra and Succoth and Shaphan</w:t>
      </w:r>
      <w:r>
        <w:rPr>
          <w:rStyle w:val="FootnoteReference"/>
        </w:rPr>
        <w:footnoteReference w:id="4137"/>
      </w:r>
      <w:r>
        <w:t xml:space="preserve">, and the rest of the kingdom of Sihon king of Heshbon, and the Jordan marking the boundary as far as the part of the Sea of Chinnereth beyond the Jordan from the east.</w:t>
      </w:r>
      <w:r>
        <w:rPr>
          <w:rStyle w:val="FootnoteReference"/>
        </w:rPr>
        <w:footnoteReference w:id="4138"/>
      </w:r>
      <w:r>
        <w:rPr>
          <w:rStyle w:val="FootnoteReference"/>
        </w:rPr>
        <w:footnoteReference w:id="4139"/>
      </w:r>
    </w:p>
    <w:p>
      <w:r>
        <w:rPr>
          <w:b/>
        </w:rPr>
        <w:t xml:space="preserve">28 </w:t>
      </w:r>
      <w:r>
        <w:t xml:space="preserve">This is the inheritance of the sons of Gad according to their clans</w:t>
      </w:r>
      <w:r>
        <w:rPr>
          <w:rStyle w:val="FootnoteReference"/>
        </w:rPr>
        <w:footnoteReference w:id="4140"/>
      </w:r>
      <w:r>
        <w:t xml:space="preserve">, their cities and their villages.</w:t>
      </w:r>
    </w:p>
    <w:p>
      <w:r>
        <w:rPr>
          <w:b/>
        </w:rPr>
        <w:t xml:space="preserve">29 </w:t>
      </w:r>
      <w:r>
        <w:t xml:space="preserve">And Moses gave to the half-tribe of Manasseh according to their clans.</w:t>
      </w:r>
    </w:p>
    <w:p>
      <w:r>
        <w:rPr>
          <w:b/>
        </w:rPr>
        <w:t xml:space="preserve">30 </w:t>
      </w:r>
      <w:r>
        <w:t xml:space="preserve">And their boundaries came to be from Mahanaim and all the kingdom of Bashan and all the kingdom of Og king of Bashan and all the villages of Jair that are in Bashan, sixty cities,</w:t>
      </w:r>
    </w:p>
    <w:p>
      <w:r>
        <w:rPr>
          <w:b/>
        </w:rPr>
        <w:t xml:space="preserve">31 </w:t>
      </w:r>
      <w:r>
        <w:t xml:space="preserve">and half of Gilead, and in Ashtaroth</w:t>
      </w:r>
      <w:r>
        <w:rPr>
          <w:rStyle w:val="FootnoteReference"/>
        </w:rPr>
        <w:footnoteReference w:id="4141"/>
      </w:r>
      <w:r>
        <w:t xml:space="preserve"> and in Edrei, cities of the kingdom of Og in Bashan. These were given to the sons of Machir son of Manasseh, to the half of the sons of Machir son of Manasseh, according to their clans.</w:t>
      </w:r>
      <w:r>
        <w:rPr>
          <w:rStyle w:val="FootnoteReference"/>
        </w:rPr>
        <w:footnoteReference w:id="4142"/>
      </w:r>
    </w:p>
    <w:p>
      <w:r>
        <w:rPr>
          <w:b/>
        </w:rPr>
        <w:t xml:space="preserve">32 </w:t>
      </w:r>
      <w:r>
        <w:t xml:space="preserve">These are those whom Moses gave as inheritance beyond the Jordan in Araboth of Moab, beyond the Jordan opposite Jericho from the east.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these are those whom the sons of Israel inherited in the land of Canaan, whom Eleazar the priest and Joshua son of Nun and the leaders of the ancestral tribes of the sons of Israel allotted to them as inheritance,</w:t>
      </w:r>
      <w:r>
        <w:rPr>
          <w:rStyle w:val="FootnoteReference"/>
        </w:rPr>
        <w:footnoteReference w:id="4143"/>
      </w:r>
    </w:p>
    <w:p>
      <w:r>
        <w:rPr>
          <w:b/>
        </w:rPr>
        <w:t xml:space="preserve">2 </w:t>
      </w:r>
      <w:r>
        <w:t xml:space="preserve">by lots they inherited, in the way the Lord commanded by the hand of Joshua, to the nine tribes and the half-tribe,</w:t>
      </w:r>
    </w:p>
    <w:p>
      <w:r>
        <w:rPr>
          <w:b/>
        </w:rPr>
        <w:t xml:space="preserve">3 </w:t>
      </w:r>
      <w:r>
        <w:t xml:space="preserve">from the beyond of the Jordan; and to the Levites he gave no lot among them,</w:t>
      </w:r>
    </w:p>
    <w:p>
      <w:r>
        <w:rPr>
          <w:b/>
        </w:rPr>
        <w:t xml:space="preserve">4 </w:t>
      </w:r>
      <w:r>
        <w:t xml:space="preserve">because the sons of Joseph were two tribes, Manasseh and Ephraim, and no portion in the land was given to the Levites except cities to dwell in and their set-apart lands</w:t>
      </w:r>
      <w:r>
        <w:rPr>
          <w:rStyle w:val="FootnoteReference"/>
        </w:rPr>
        <w:footnoteReference w:id="4144"/>
      </w:r>
      <w:r>
        <w:t xml:space="preserve"> for their cattle and livestock.</w:t>
      </w:r>
    </w:p>
    <w:p>
      <w:r>
        <w:rPr>
          <w:b/>
        </w:rPr>
        <w:t xml:space="preserve">5 </w:t>
      </w:r>
      <w:r>
        <w:t xml:space="preserve">In the way the Lord commanded Moses, thus the sons of Israel did, and they divided the land.</w:t>
      </w:r>
    </w:p>
    <w:p>
      <w:r>
        <w:rPr>
          <w:b/>
        </w:rPr>
        <w:t xml:space="preserve">6 </w:t>
      </w:r>
      <w:r>
        <w:t xml:space="preserve">And the sons of Judah came near to Joshua in Gilgal</w:t>
      </w:r>
      <w:r>
        <w:rPr>
          <w:rStyle w:val="FootnoteReference"/>
        </w:rPr>
        <w:footnoteReference w:id="4145"/>
      </w:r>
      <w:r>
        <w:t xml:space="preserve">, and Caleb the son of Jephunneh the Kenezite said to him, You know the word that the Lord spoke to Moses, man of God, concerning me and you in Kadesh-Barnea.</w:t>
      </w:r>
    </w:p>
    <w:p>
      <w:r>
        <w:rPr>
          <w:b/>
        </w:rPr>
        <w:t xml:space="preserve">7 </w:t>
      </w:r>
      <w:r>
        <w:t xml:space="preserve">For I was forty years old when Moses servant of God sent me</w:t>
      </w:r>
      <w:r>
        <w:rPr>
          <w:rStyle w:val="FootnoteReference"/>
        </w:rPr>
        <w:footnoteReference w:id="4146"/>
      </w:r>
      <w:r>
        <w:t xml:space="preserve"> out from Kadesh-Barnea to spy out the land, and I answered him word according to his mind.</w:t>
      </w:r>
    </w:p>
    <w:p>
      <w:r>
        <w:rPr>
          <w:b/>
        </w:rPr>
        <w:t xml:space="preserve">8 </w:t>
      </w:r>
      <w:r>
        <w:t xml:space="preserve">But my brothers who went up with me turned aside the heart of the people; but I attached myself to follow after the Lord my God.</w:t>
      </w:r>
    </w:p>
    <w:p>
      <w:r>
        <w:rPr>
          <w:b/>
        </w:rPr>
        <w:t xml:space="preserve">9 </w:t>
      </w:r>
      <w:r>
        <w:t xml:space="preserve">And Moses swore on that day, saying, The land on which you stepped shall be for you as an inheritance and for your children forever, because you attached yourself to follow after the Lord our God.</w:t>
      </w:r>
    </w:p>
    <w:p>
      <w:r>
        <w:rPr>
          <w:b/>
        </w:rPr>
        <w:t xml:space="preserve">10 </w:t>
      </w:r>
      <w:r>
        <w:t xml:space="preserve">And now the Lord has nourished me</w:t>
      </w:r>
      <w:r>
        <w:rPr>
          <w:rStyle w:val="FootnoteReference"/>
        </w:rPr>
        <w:footnoteReference w:id="4147"/>
      </w:r>
      <w:r>
        <w:t xml:space="preserve"> in the way he said; this is the forty</w:t>
      </w:r>
      <w:r>
        <w:rPr>
          <w:rStyle w:val="FootnoteReference"/>
        </w:rPr>
        <w:footnoteReference w:id="4148"/>
      </w:r>
      <w:r>
        <w:t xml:space="preserve">-fifth year since the Lord spoke this word to Moses, while Israel traveled in the wilderness, and now behold I am today eighty-five years old.</w:t>
      </w:r>
    </w:p>
    <w:p>
      <w:r>
        <w:rPr>
          <w:b/>
        </w:rPr>
        <w:t xml:space="preserve">11 </w:t>
      </w:r>
      <w:r>
        <w:t xml:space="preserve">I am still today strong just as when Moses sent me out; just so I am strong now to go out and to go in for war.</w:t>
      </w:r>
    </w:p>
    <w:p>
      <w:r>
        <w:rPr>
          <w:b/>
        </w:rPr>
        <w:t xml:space="preserve">12 </w:t>
      </w:r>
      <w:r>
        <w:t xml:space="preserve">And now I ask you for this mountain, just as the Lord said on that day, because you heard this word on that day. And now the Anakim are there, fortified and great cities. If therefore the Lord is with me, then I will utterly destroy them</w:t>
      </w:r>
      <w:r>
        <w:rPr>
          <w:rStyle w:val="FootnoteReference"/>
        </w:rPr>
        <w:footnoteReference w:id="4149"/>
      </w:r>
      <w:r>
        <w:t xml:space="preserve"> in the way the Lord said to me.</w:t>
      </w:r>
    </w:p>
    <w:p>
      <w:r>
        <w:rPr>
          <w:b/>
        </w:rPr>
        <w:t xml:space="preserve">13 </w:t>
      </w:r>
      <w:r>
        <w:t xml:space="preserve">And Joshua blessed</w:t>
      </w:r>
      <w:r>
        <w:rPr>
          <w:rStyle w:val="FootnoteReference"/>
        </w:rPr>
        <w:footnoteReference w:id="4150"/>
      </w:r>
      <w:r>
        <w:t xml:space="preserve"> him and gave Hebron to Caleb son of Jephunneh son of Kenaz as an inheritance.</w:t>
      </w:r>
    </w:p>
    <w:p>
      <w:r>
        <w:rPr>
          <w:b/>
        </w:rPr>
        <w:t xml:space="preserve">14 </w:t>
      </w:r>
      <w:r>
        <w:t xml:space="preserve">Because of this Hebron became to Caleb son of Jephunneh the Kenezite as an inheritance until this day, because he followed the command of the Lord God of Israel.</w:t>
      </w:r>
    </w:p>
    <w:p>
      <w:r>
        <w:rPr>
          <w:b/>
        </w:rPr>
        <w:t xml:space="preserve">15 </w:t>
      </w:r>
      <w:r>
        <w:t xml:space="preserve">And the former name of Hebron was the City of Arba, metropolis of the Anakim. And the land</w:t>
      </w:r>
      <w:r>
        <w:rPr>
          <w:rStyle w:val="FootnoteReference"/>
        </w:rPr>
        <w:footnoteReference w:id="4151"/>
      </w:r>
      <w:r>
        <w:t xml:space="preserve"> ceased from war.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the boundaries of the tribe of Judah came to be according to their clans, from the boundaries of Edom, from the wilderness of Sin as far as Kadesh toward the south.</w:t>
      </w:r>
    </w:p>
    <w:p>
      <w:r>
        <w:rPr>
          <w:b/>
        </w:rPr>
        <w:t xml:space="preserve">2 </w:t>
      </w:r>
      <w:r>
        <w:t xml:space="preserve">And their boundaries came from the south as far as the part of the Salt Sea</w:t>
      </w:r>
      <w:r>
        <w:rPr>
          <w:rStyle w:val="FootnoteReference"/>
        </w:rPr>
        <w:footnoteReference w:id="4152"/>
      </w:r>
      <w:r>
        <w:t xml:space="preserve">, from the ridge bearing toward the south,</w:t>
      </w:r>
    </w:p>
    <w:p>
      <w:r>
        <w:rPr>
          <w:b/>
        </w:rPr>
        <w:t xml:space="preserve">3 </w:t>
      </w:r>
      <w:r>
        <w:t xml:space="preserve">and pass through opposite the ascent of Akrabbim and go around Zenan</w:t>
      </w:r>
      <w:r>
        <w:rPr>
          <w:rStyle w:val="FootnoteReference"/>
        </w:rPr>
        <w:footnoteReference w:id="4153"/>
      </w:r>
      <w:r>
        <w:t xml:space="preserve"> and ascend from the south onto Kadesh-Barnea and go out to Hezron and go up to Adar</w:t>
      </w:r>
      <w:r>
        <w:rPr>
          <w:rStyle w:val="FootnoteReference"/>
        </w:rPr>
        <w:footnoteReference w:id="4154"/>
      </w:r>
      <w:r>
        <w:t xml:space="preserve"> and circle westward Kadesh,</w:t>
      </w:r>
      <w:r>
        <w:rPr>
          <w:rStyle w:val="FootnoteReference"/>
        </w:rPr>
        <w:footnoteReference w:id="4155"/>
      </w:r>
    </w:p>
    <w:p>
      <w:r>
        <w:rPr>
          <w:b/>
        </w:rPr>
        <w:t xml:space="preserve">4 </w:t>
      </w:r>
      <w:r>
        <w:t xml:space="preserve">and go to Azmon</w:t>
      </w:r>
      <w:r>
        <w:rPr>
          <w:rStyle w:val="FootnoteReference"/>
        </w:rPr>
        <w:footnoteReference w:id="4156"/>
      </w:r>
      <w:r>
        <w:t xml:space="preserve"> and come out to the ravine of Egypt, and the boundary's outlet shall be to the sea. This is their southern boundary.</w:t>
      </w:r>
    </w:p>
    <w:p>
      <w:r>
        <w:rPr>
          <w:b/>
        </w:rPr>
        <w:t xml:space="preserve">5 </w:t>
      </w:r>
      <w:r>
        <w:t xml:space="preserve">And the boundary from the east is the whole Salt Sea up to the Jordan, and their boundaries from the north are from the ridge of the sea and from the part of the Jordan,</w:t>
      </w:r>
    </w:p>
    <w:p>
      <w:r>
        <w:rPr>
          <w:b/>
        </w:rPr>
        <w:t xml:space="preserve">6 </w:t>
      </w:r>
      <w:r>
        <w:t xml:space="preserve">the boundary goes up to Bethagla and passes by the north to Betharabah</w:t>
      </w:r>
      <w:r>
        <w:rPr>
          <w:rStyle w:val="FootnoteReference"/>
        </w:rPr>
        <w:footnoteReference w:id="4157"/>
      </w:r>
      <w:r>
        <w:t xml:space="preserve"> and goes up to the stone</w:t>
      </w:r>
      <w:r>
        <w:rPr>
          <w:rStyle w:val="FootnoteReference"/>
        </w:rPr>
        <w:footnoteReference w:id="4158"/>
      </w:r>
      <w:r>
        <w:t xml:space="preserve"> of Bohan</w:t>
      </w:r>
      <w:r>
        <w:rPr>
          <w:rStyle w:val="FootnoteReference"/>
        </w:rPr>
        <w:footnoteReference w:id="4159"/>
      </w:r>
      <w:r>
        <w:t xml:space="preserve"> son of Reuben,</w:t>
      </w:r>
    </w:p>
    <w:p>
      <w:r>
        <w:rPr>
          <w:b/>
        </w:rPr>
        <w:t xml:space="preserve">7 </w:t>
      </w:r>
      <w:r>
        <w:t xml:space="preserve">and the boundary goes up to the fourth part of the Valley</w:t>
      </w:r>
      <w:r>
        <w:rPr>
          <w:rStyle w:val="FootnoteReference"/>
        </w:rPr>
        <w:footnoteReference w:id="4160"/>
      </w:r>
      <w:r>
        <w:t xml:space="preserve"> of Achor and goes down to Gilgal, which is opposite the ascent of Adummim</w:t>
      </w:r>
      <w:r>
        <w:rPr>
          <w:rStyle w:val="FootnoteReference"/>
        </w:rPr>
        <w:footnoteReference w:id="4161"/>
      </w:r>
      <w:r>
        <w:t xml:space="preserve">, which is south by the valley, and comes out to the water of the spring of the sun, and its outlet shall be at the spring Enrogel</w:t>
      </w:r>
      <w:r>
        <w:rPr>
          <w:rStyle w:val="FootnoteReference"/>
        </w:rPr>
        <w:footnoteReference w:id="4162"/>
      </w:r>
      <w:r>
        <w:t xml:space="preserve">.</w:t>
      </w:r>
      <w:r>
        <w:rPr>
          <w:rStyle w:val="FootnoteReference"/>
        </w:rPr>
        <w:footnoteReference w:id="4163"/>
      </w:r>
    </w:p>
    <w:p>
      <w:r>
        <w:rPr>
          <w:b/>
        </w:rPr>
        <w:t xml:space="preserve">8 </w:t>
      </w:r>
      <w:r>
        <w:t xml:space="preserve">And the boundary goes up into the valley of Hinnom</w:t>
      </w:r>
      <w:r>
        <w:rPr>
          <w:rStyle w:val="FootnoteReference"/>
        </w:rPr>
        <w:footnoteReference w:id="4164"/>
      </w:r>
      <w:r>
        <w:t xml:space="preserve"> on the south shoulder of Jebus</w:t>
      </w:r>
      <w:r>
        <w:rPr>
          <w:rStyle w:val="FootnoteReference"/>
        </w:rPr>
        <w:footnoteReference w:id="4165"/>
      </w:r>
      <w:r>
        <w:t xml:space="preserve">; this is Jerusalem, and the boundary comes out to the top of the mountain that is opposite the valley of Hinnom toward the west, which is from the part of the land of Raphain toward the north.</w:t>
      </w:r>
      <w:r>
        <w:rPr>
          <w:rStyle w:val="FootnoteReference"/>
        </w:rPr>
        <w:footnoteReference w:id="4166"/>
      </w:r>
    </w:p>
    <w:p>
      <w:r>
        <w:rPr>
          <w:b/>
        </w:rPr>
        <w:t xml:space="preserve">9 </w:t>
      </w:r>
      <w:r>
        <w:t xml:space="preserve">And the boundary comes out from the top of the mountain to the spring of the water of Nephtoah</w:t>
      </w:r>
      <w:r>
        <w:rPr>
          <w:rStyle w:val="FootnoteReference"/>
        </w:rPr>
        <w:footnoteReference w:id="4167"/>
      </w:r>
      <w:r>
        <w:t xml:space="preserve"> and comes out to the mountain of Ephron and the boundary goes out to Baal; this is Kirjathjearim.</w:t>
      </w:r>
      <w:r>
        <w:rPr>
          <w:rStyle w:val="FootnoteReference"/>
        </w:rPr>
        <w:footnoteReference w:id="4168"/>
      </w:r>
    </w:p>
    <w:p>
      <w:r>
        <w:rPr>
          <w:b/>
        </w:rPr>
        <w:t xml:space="preserve">10 </w:t>
      </w:r>
      <w:r>
        <w:t xml:space="preserve">And the boundary will circle from Baal westward and pass to Mount Seir on the south of Kirjathjearim on the north; this is Chesalon, and it will go down to Bethshemesh</w:t>
      </w:r>
      <w:r>
        <w:rPr>
          <w:rStyle w:val="FootnoteReference"/>
        </w:rPr>
        <w:footnoteReference w:id="4169"/>
      </w:r>
      <w:r>
        <w:t xml:space="preserve"> and pass to the south.</w:t>
      </w:r>
      <w:r>
        <w:rPr>
          <w:rStyle w:val="FootnoteReference"/>
        </w:rPr>
        <w:footnoteReference w:id="4170"/>
      </w:r>
    </w:p>
    <w:p>
      <w:r>
        <w:rPr>
          <w:b/>
        </w:rPr>
        <w:t xml:space="preserve">11 </w:t>
      </w:r>
      <w:r>
        <w:t xml:space="preserve">And the boundary will come out</w:t>
      </w:r>
      <w:r>
        <w:rPr>
          <w:rStyle w:val="FootnoteReference"/>
        </w:rPr>
        <w:footnoteReference w:id="4171"/>
      </w:r>
      <w:r>
        <w:t xml:space="preserve"> down the shoulder of Ekron</w:t>
      </w:r>
      <w:r>
        <w:rPr>
          <w:rStyle w:val="FootnoteReference"/>
        </w:rPr>
        <w:footnoteReference w:id="4172"/>
      </w:r>
      <w:r>
        <w:t xml:space="preserve"> to the north and go out to Shicron</w:t>
      </w:r>
      <w:r>
        <w:rPr>
          <w:rStyle w:val="FootnoteReference"/>
        </w:rPr>
        <w:footnoteReference w:id="4173"/>
      </w:r>
      <w:r>
        <w:t xml:space="preserve"> and pass Mount Belah and come out to Jabneel</w:t>
      </w:r>
      <w:r>
        <w:rPr>
          <w:rStyle w:val="FootnoteReference"/>
        </w:rPr>
        <w:footnoteReference w:id="4174"/>
      </w:r>
      <w:r>
        <w:t xml:space="preserve">, and the boundary's outlet shall be to the sea.</w:t>
      </w:r>
    </w:p>
    <w:p>
      <w:r>
        <w:rPr>
          <w:b/>
        </w:rPr>
        <w:t xml:space="preserve">12 </w:t>
      </w:r>
      <w:r>
        <w:t xml:space="preserve">And their boundaries from the sea are marked by the great sea</w:t>
      </w:r>
      <w:r>
        <w:rPr>
          <w:rStyle w:val="FootnoteReference"/>
        </w:rPr>
        <w:footnoteReference w:id="4175"/>
      </w:r>
      <w:r>
        <w:t xml:space="preserve">. These are the boundaries of the sons of Judah all around according to their clans.</w:t>
      </w:r>
    </w:p>
    <w:p>
      <w:r>
        <w:rPr>
          <w:b/>
        </w:rPr>
        <w:t xml:space="preserve">13 </w:t>
      </w:r>
      <w:r>
        <w:t xml:space="preserve">And to Caleb</w:t>
      </w:r>
      <w:r>
        <w:rPr>
          <w:rStyle w:val="FootnoteReference"/>
        </w:rPr>
        <w:footnoteReference w:id="4176"/>
      </w:r>
      <w:r>
        <w:t xml:space="preserve"> son of Jephunneh he gave a portion in the midst of the sons of Judah by the command of God, and Joshua gave him the city of Arba, metropolis of Anak; this is Hebron.</w:t>
      </w:r>
    </w:p>
    <w:p>
      <w:r>
        <w:rPr>
          <w:b/>
        </w:rPr>
        <w:t xml:space="preserve">14 </w:t>
      </w:r>
      <w:r>
        <w:t xml:space="preserve">And Caleb son of Jephunneh utterly destroyed from there the three sons of Anak, Susi and Talmai and Ahiman.</w:t>
      </w:r>
    </w:p>
    <w:p>
      <w:r>
        <w:rPr>
          <w:b/>
        </w:rPr>
        <w:t xml:space="preserve">15 </w:t>
      </w:r>
      <w:r>
        <w:t xml:space="preserve">And Caleb went up from there against those dwelling in Debir; now the former name of Debir was the City of Letters.</w:t>
      </w:r>
    </w:p>
    <w:p>
      <w:r>
        <w:rPr>
          <w:b/>
        </w:rPr>
        <w:t xml:space="preserve">16 </w:t>
      </w:r>
      <w:r>
        <w:t xml:space="preserve">And Caleb said, Whoever takes and cuts down the City of Letters and rules it, I will give him Achsah</w:t>
      </w:r>
      <w:r>
        <w:rPr>
          <w:rStyle w:val="FootnoteReference"/>
        </w:rPr>
        <w:footnoteReference w:id="4177"/>
      </w:r>
      <w:r>
        <w:t xml:space="preserve"> my daughter as a wife.</w:t>
      </w:r>
    </w:p>
    <w:p>
      <w:r>
        <w:rPr>
          <w:b/>
        </w:rPr>
        <w:t xml:space="preserve">17 </w:t>
      </w:r>
      <w:r>
        <w:t xml:space="preserve">And Othniel</w:t>
      </w:r>
      <w:r>
        <w:rPr>
          <w:rStyle w:val="FootnoteReference"/>
        </w:rPr>
        <w:footnoteReference w:id="4178"/>
      </w:r>
      <w:r>
        <w:t xml:space="preserve"> son of Kenaz, younger brother of Caleb, took it, and he gave him Achsah his daughter to him as a wife.</w:t>
      </w:r>
      <w:r>
        <w:rPr>
          <w:rStyle w:val="FootnoteReference"/>
        </w:rPr>
        <w:footnoteReference w:id="4179"/>
      </w:r>
    </w:p>
    <w:p>
      <w:r>
        <w:rPr>
          <w:b/>
        </w:rPr>
        <w:t xml:space="preserve">18 </w:t>
      </w:r>
      <w:r>
        <w:t xml:space="preserve">And it happened, when she entered in, she advised him, saying, I will ask my father for a field. And she cried out from the donkey, and Caleb said to her, What is with you?</w:t>
      </w:r>
    </w:p>
    <w:p>
      <w:r>
        <w:rPr>
          <w:b/>
        </w:rPr>
        <w:t xml:space="preserve">19 </w:t>
      </w:r>
      <w:r>
        <w:t xml:space="preserve">And she said to him, Give me</w:t>
      </w:r>
      <w:r>
        <w:rPr>
          <w:rStyle w:val="FootnoteReference"/>
        </w:rPr>
        <w:footnoteReference w:id="4180"/>
      </w:r>
      <w:r>
        <w:t xml:space="preserve"> a blessing, because you have given me into the land of Negeb; give me the springs. And Caleb gave her the upper springs and the lower springs.</w:t>
      </w:r>
    </w:p>
    <w:p>
      <w:r>
        <w:rPr>
          <w:b/>
        </w:rPr>
        <w:t xml:space="preserve">20 </w:t>
      </w:r>
      <w:r>
        <w:t xml:space="preserve">This is the inheritance of the tribe of the sons of Judah.</w:t>
      </w:r>
    </w:p>
    <w:p>
      <w:r>
        <w:rPr>
          <w:b/>
        </w:rPr>
        <w:t xml:space="preserve">21 </w:t>
      </w:r>
      <w:r>
        <w:t xml:space="preserve">And the cities of the sons of Judah came to be: first city of the tribe of the sons of Judah on the boundaries of Edom by the wilderness, Kabzeel</w:t>
      </w:r>
      <w:r>
        <w:rPr>
          <w:rStyle w:val="FootnoteReference"/>
        </w:rPr>
        <w:footnoteReference w:id="4181"/>
      </w:r>
      <w:r>
        <w:t xml:space="preserve"> and Ara</w:t>
      </w:r>
      <w:r>
        <w:rPr>
          <w:rStyle w:val="FootnoteReference"/>
        </w:rPr>
        <w:footnoteReference w:id="4182"/>
      </w:r>
      <w:r>
        <w:t xml:space="preserve"> and Hazor,</w:t>
      </w:r>
      <w:r>
        <w:rPr>
          <w:rStyle w:val="FootnoteReference"/>
        </w:rPr>
        <w:footnoteReference w:id="4183"/>
      </w:r>
    </w:p>
    <w:p>
      <w:r>
        <w:rPr>
          <w:b/>
        </w:rPr>
        <w:t xml:space="preserve">22 </w:t>
      </w:r>
      <w:r>
        <w:t xml:space="preserve">and Ikam and Raamah and Arouel,</w:t>
      </w:r>
    </w:p>
    <w:p>
      <w:r>
        <w:rPr>
          <w:b/>
        </w:rPr>
        <w:t xml:space="preserve">23 </w:t>
      </w:r>
      <w:r>
        <w:t xml:space="preserve">and Kadesh and Asorionain,</w:t>
      </w:r>
    </w:p>
    <w:p>
      <w:r>
        <w:rPr>
          <w:b/>
        </w:rPr>
        <w:t xml:space="preserve">24 </w:t>
      </w:r>
      <w:r>
        <w:t xml:space="preserve">and Mainam and Balmainan and their villages,</w:t>
      </w:r>
    </w:p>
    <w:p>
      <w:r>
        <w:rPr>
          <w:b/>
        </w:rPr>
        <w:t xml:space="preserve">25 </w:t>
      </w:r>
      <w:r>
        <w:t xml:space="preserve">and the cities of Aseron; this is Hazor</w:t>
      </w:r>
      <w:r>
        <w:rPr>
          <w:rStyle w:val="FootnoteReference"/>
        </w:rPr>
        <w:footnoteReference w:id="4184"/>
      </w:r>
      <w:r>
        <w:t xml:space="preserve">,</w:t>
      </w:r>
    </w:p>
    <w:p>
      <w:r>
        <w:rPr>
          <w:b/>
        </w:rPr>
        <w:t xml:space="preserve">26 </w:t>
      </w:r>
      <w:r>
        <w:t xml:space="preserve">and Sen and Shema</w:t>
      </w:r>
      <w:r>
        <w:rPr>
          <w:rStyle w:val="FootnoteReference"/>
        </w:rPr>
        <w:footnoteReference w:id="4185"/>
      </w:r>
      <w:r>
        <w:t xml:space="preserve"> and Moladah</w:t>
      </w:r>
      <w:r>
        <w:rPr>
          <w:rStyle w:val="FootnoteReference"/>
        </w:rPr>
        <w:footnoteReference w:id="4186"/>
      </w:r>
      <w:r>
        <w:t xml:space="preserve">,</w:t>
      </w:r>
      <w:r>
        <w:rPr>
          <w:rStyle w:val="FootnoteReference"/>
        </w:rPr>
        <w:footnoteReference w:id="4187"/>
      </w:r>
    </w:p>
    <w:p>
      <w:r>
        <w:rPr>
          <w:b/>
        </w:rPr>
        <w:t xml:space="preserve">27 </w:t>
      </w:r>
      <w:r>
        <w:t xml:space="preserve">and Seri and Baiphalad,</w:t>
      </w:r>
    </w:p>
    <w:p>
      <w:r>
        <w:rPr>
          <w:b/>
        </w:rPr>
        <w:t xml:space="preserve">28 </w:t>
      </w:r>
      <w:r>
        <w:t xml:space="preserve">and Cholaseola and Bairsabee and their villages and their hamlets,</w:t>
      </w:r>
    </w:p>
    <w:p>
      <w:r>
        <w:rPr>
          <w:b/>
        </w:rPr>
        <w:t xml:space="preserve">29 </w:t>
      </w:r>
      <w:r>
        <w:t xml:space="preserve">Belah and Bakok and Azem</w:t>
      </w:r>
      <w:r>
        <w:rPr>
          <w:rStyle w:val="FootnoteReference"/>
        </w:rPr>
        <w:footnoteReference w:id="4188"/>
      </w:r>
      <w:r>
        <w:t xml:space="preserve">,</w:t>
      </w:r>
    </w:p>
    <w:p>
      <w:r>
        <w:rPr>
          <w:b/>
        </w:rPr>
        <w:t xml:space="preserve">30 </w:t>
      </w:r>
      <w:r>
        <w:t xml:space="preserve">and Eltolad</w:t>
      </w:r>
      <w:r>
        <w:rPr>
          <w:rStyle w:val="FootnoteReference"/>
        </w:rPr>
        <w:footnoteReference w:id="4189"/>
      </w:r>
      <w:r>
        <w:t xml:space="preserve"> and Baith-el and Hormah</w:t>
      </w:r>
      <w:r>
        <w:rPr>
          <w:rStyle w:val="FootnoteReference"/>
        </w:rPr>
        <w:footnoteReference w:id="4190"/>
      </w:r>
      <w:r>
        <w:t xml:space="preserve">,</w:t>
      </w:r>
    </w:p>
    <w:p>
      <w:r>
        <w:rPr>
          <w:b/>
        </w:rPr>
        <w:t xml:space="preserve">31 </w:t>
      </w:r>
      <w:r>
        <w:t xml:space="preserve">and Ziklag</w:t>
      </w:r>
      <w:r>
        <w:rPr>
          <w:rStyle w:val="FootnoteReference"/>
        </w:rPr>
        <w:footnoteReference w:id="4191"/>
      </w:r>
      <w:r>
        <w:t xml:space="preserve"> and Macharim and Sethennak,</w:t>
      </w:r>
      <w:r>
        <w:rPr>
          <w:rStyle w:val="FootnoteReference"/>
        </w:rPr>
        <w:footnoteReference w:id="4192"/>
      </w:r>
    </w:p>
    <w:p>
      <w:r>
        <w:rPr>
          <w:b/>
        </w:rPr>
        <w:t xml:space="preserve">32 </w:t>
      </w:r>
      <w:r>
        <w:t xml:space="preserve">and Labos and Sale and Eromoth, twenty-nine cities and their villages.</w:t>
      </w:r>
    </w:p>
    <w:p>
      <w:r>
        <w:rPr>
          <w:b/>
        </w:rPr>
        <w:t xml:space="preserve">33 </w:t>
      </w:r>
      <w:r>
        <w:t xml:space="preserve">In the plain, Eshtaol</w:t>
      </w:r>
      <w:r>
        <w:rPr>
          <w:rStyle w:val="FootnoteReference"/>
        </w:rPr>
        <w:footnoteReference w:id="4193"/>
      </w:r>
      <w:r>
        <w:t xml:space="preserve"> and Raa and Ashnah</w:t>
      </w:r>
      <w:r>
        <w:rPr>
          <w:rStyle w:val="FootnoteReference"/>
        </w:rPr>
        <w:footnoteReference w:id="4194"/>
      </w:r>
      <w:r>
        <w:t xml:space="preserve">,</w:t>
      </w:r>
      <w:r>
        <w:rPr>
          <w:rStyle w:val="FootnoteReference"/>
        </w:rPr>
        <w:footnoteReference w:id="4195"/>
      </w:r>
    </w:p>
    <w:p>
      <w:r>
        <w:rPr>
          <w:b/>
        </w:rPr>
        <w:t xml:space="preserve">34 </w:t>
      </w:r>
      <w:r>
        <w:t xml:space="preserve">and Ramen and Tano and Ilouthoth and Maiani,</w:t>
      </w:r>
    </w:p>
    <w:p>
      <w:r>
        <w:rPr>
          <w:b/>
        </w:rPr>
        <w:t xml:space="preserve">35 </w:t>
      </w:r>
      <w:r>
        <w:t xml:space="preserve">and Jarmuth</w:t>
      </w:r>
      <w:r>
        <w:rPr>
          <w:rStyle w:val="FootnoteReference"/>
        </w:rPr>
        <w:footnoteReference w:id="4196"/>
      </w:r>
      <w:r>
        <w:t xml:space="preserve"> and Adullam and Membra and Saocho and Azekah,</w:t>
      </w:r>
      <w:r>
        <w:rPr>
          <w:rStyle w:val="FootnoteReference"/>
        </w:rPr>
        <w:footnoteReference w:id="4197"/>
      </w:r>
    </w:p>
    <w:p>
      <w:r>
        <w:rPr>
          <w:b/>
        </w:rPr>
        <w:t xml:space="preserve">36 </w:t>
      </w:r>
      <w:r>
        <w:t xml:space="preserve">and Sakarim and Gadera and its hamlets, fourteen cities and their villages,</w:t>
      </w:r>
    </w:p>
    <w:p>
      <w:r>
        <w:rPr>
          <w:b/>
        </w:rPr>
        <w:t xml:space="preserve">37 </w:t>
      </w:r>
      <w:r>
        <w:t xml:space="preserve">Zenan and Hadashah</w:t>
      </w:r>
      <w:r>
        <w:rPr>
          <w:rStyle w:val="FootnoteReference"/>
        </w:rPr>
        <w:footnoteReference w:id="4198"/>
      </w:r>
      <w:r>
        <w:t xml:space="preserve"> and Migdalgad</w:t>
      </w:r>
      <w:r>
        <w:rPr>
          <w:rStyle w:val="FootnoteReference"/>
        </w:rPr>
        <w:footnoteReference w:id="4199"/>
      </w:r>
      <w:r>
        <w:t xml:space="preserve">,</w:t>
      </w:r>
    </w:p>
    <w:p>
      <w:r>
        <w:rPr>
          <w:b/>
        </w:rPr>
        <w:t xml:space="preserve">38 </w:t>
      </w:r>
      <w:r>
        <w:t xml:space="preserve">and Dalal and Mizpeh</w:t>
      </w:r>
      <w:r>
        <w:rPr>
          <w:rStyle w:val="FootnoteReference"/>
        </w:rPr>
        <w:footnoteReference w:id="4200"/>
      </w:r>
      <w:r>
        <w:t xml:space="preserve"> and Joktheel</w:t>
      </w:r>
      <w:r>
        <w:rPr>
          <w:rStyle w:val="FootnoteReference"/>
        </w:rPr>
        <w:footnoteReference w:id="4201"/>
      </w:r>
      <w:r>
        <w:t xml:space="preserve">,</w:t>
      </w:r>
    </w:p>
    <w:p>
      <w:r>
        <w:rPr>
          <w:b/>
        </w:rPr>
        <w:t xml:space="preserve">39 </w:t>
      </w:r>
      <w:r>
        <w:t xml:space="preserve">and Lachish</w:t>
      </w:r>
      <w:r>
        <w:rPr>
          <w:rStyle w:val="FootnoteReference"/>
        </w:rPr>
        <w:footnoteReference w:id="4202"/>
      </w:r>
      <w:r>
        <w:t xml:space="preserve"> and Basedoth and Ideadalea,</w:t>
      </w:r>
    </w:p>
    <w:p>
      <w:r>
        <w:rPr>
          <w:b/>
        </w:rPr>
        <w:t xml:space="preserve">40 </w:t>
      </w:r>
      <w:r>
        <w:t xml:space="preserve">and Chebra and Maches and Maachos,</w:t>
      </w:r>
    </w:p>
    <w:p>
      <w:r>
        <w:rPr>
          <w:b/>
        </w:rPr>
        <w:t xml:space="preserve">41 </w:t>
      </w:r>
      <w:r>
        <w:t xml:space="preserve">and Gederoth</w:t>
      </w:r>
      <w:r>
        <w:rPr>
          <w:rStyle w:val="FootnoteReference"/>
        </w:rPr>
        <w:footnoteReference w:id="4203"/>
      </w:r>
      <w:r>
        <w:t xml:space="preserve"> and Bagadiel and Naamah and Makkedah</w:t>
      </w:r>
      <w:r>
        <w:rPr>
          <w:rStyle w:val="FootnoteReference"/>
        </w:rPr>
        <w:footnoteReference w:id="4204"/>
      </w:r>
      <w:r>
        <w:t xml:space="preserve">, sixteen cities and their villages,</w:t>
      </w:r>
    </w:p>
    <w:p>
      <w:r>
        <w:rPr>
          <w:b/>
        </w:rPr>
        <w:t xml:space="preserve">42 </w:t>
      </w:r>
      <w:r>
        <w:t xml:space="preserve">Libnah</w:t>
      </w:r>
      <w:r>
        <w:rPr>
          <w:rStyle w:val="FootnoteReference"/>
        </w:rPr>
        <w:footnoteReference w:id="4205"/>
      </w:r>
      <w:r>
        <w:t xml:space="preserve"> and Ithak,</w:t>
      </w:r>
    </w:p>
    <w:p>
      <w:r>
        <w:rPr>
          <w:b/>
        </w:rPr>
        <w:t xml:space="preserve">43 </w:t>
      </w:r>
      <w:r>
        <w:t xml:space="preserve">and Anoch and Ashnah and Zuph</w:t>
      </w:r>
      <w:r>
        <w:rPr>
          <w:rStyle w:val="FootnoteReference"/>
        </w:rPr>
        <w:footnoteReference w:id="4206"/>
      </w:r>
      <w:r>
        <w:t xml:space="preserve">,</w:t>
      </w:r>
    </w:p>
    <w:p>
      <w:r>
        <w:rPr>
          <w:b/>
        </w:rPr>
        <w:t xml:space="preserve">44 </w:t>
      </w:r>
      <w:r>
        <w:t xml:space="preserve">and Keilah</w:t>
      </w:r>
      <w:r>
        <w:rPr>
          <w:rStyle w:val="FootnoteReference"/>
        </w:rPr>
        <w:footnoteReference w:id="4207"/>
      </w:r>
      <w:r>
        <w:t xml:space="preserve"> and Akiezi and Kezib and Bathesar and Elon, ten cities and their villages,</w:t>
      </w:r>
      <w:r>
        <w:rPr>
          <w:rStyle w:val="FootnoteReference"/>
        </w:rPr>
        <w:footnoteReference w:id="4208"/>
      </w:r>
    </w:p>
    <w:p>
      <w:r>
        <w:rPr>
          <w:b/>
        </w:rPr>
        <w:t xml:space="preserve">45 </w:t>
      </w:r>
      <w:r>
        <w:t xml:space="preserve">Ekron</w:t>
      </w:r>
      <w:r>
        <w:rPr>
          <w:rStyle w:val="FootnoteReference"/>
        </w:rPr>
        <w:footnoteReference w:id="4209"/>
      </w:r>
      <w:r>
        <w:t xml:space="preserve"> and its villages and their hamlets,</w:t>
      </w:r>
    </w:p>
    <w:p>
      <w:r>
        <w:rPr>
          <w:b/>
        </w:rPr>
        <w:t xml:space="preserve">46 </w:t>
      </w:r>
      <w:r>
        <w:t xml:space="preserve">from Ekron, Gemna and all that is near</w:t>
      </w:r>
      <w:r>
        <w:rPr>
          <w:rStyle w:val="FootnoteReference"/>
        </w:rPr>
        <w:footnoteReference w:id="4210"/>
      </w:r>
      <w:r>
        <w:t xml:space="preserve"> Ashdod and their villages,</w:t>
      </w:r>
    </w:p>
    <w:p>
      <w:r>
        <w:rPr>
          <w:b/>
        </w:rPr>
        <w:t xml:space="preserve">47 </w:t>
      </w:r>
      <w:r>
        <w:t xml:space="preserve">Ashdod and its villages and its hamlets, Gaza</w:t>
      </w:r>
      <w:r>
        <w:rPr>
          <w:rStyle w:val="FootnoteReference"/>
        </w:rPr>
        <w:footnoteReference w:id="4211"/>
      </w:r>
      <w:r>
        <w:t xml:space="preserve"> and its villages and its hamlets, as far as the ravine of Egypt, and the great sea marks the boundary.</w:t>
      </w:r>
    </w:p>
    <w:p>
      <w:r>
        <w:rPr>
          <w:b/>
        </w:rPr>
        <w:t xml:space="preserve">48 </w:t>
      </w:r>
      <w:r>
        <w:t xml:space="preserve">And in the hill country, Shamir</w:t>
      </w:r>
      <w:r>
        <w:rPr>
          <w:rStyle w:val="FootnoteReference"/>
        </w:rPr>
        <w:footnoteReference w:id="4212"/>
      </w:r>
      <w:r>
        <w:t xml:space="preserve"> and Jether and Socoh</w:t>
      </w:r>
      <w:r>
        <w:rPr>
          <w:rStyle w:val="FootnoteReference"/>
        </w:rPr>
        <w:footnoteReference w:id="4213"/>
      </w:r>
      <w:r>
        <w:t xml:space="preserve">,</w:t>
      </w:r>
    </w:p>
    <w:p>
      <w:r>
        <w:rPr>
          <w:b/>
        </w:rPr>
        <w:t xml:space="preserve">49 </w:t>
      </w:r>
      <w:r>
        <w:t xml:space="preserve">and Dannah and the City of Letters, this is Debir,</w:t>
      </w:r>
      <w:r>
        <w:rPr>
          <w:rStyle w:val="FootnoteReference"/>
        </w:rPr>
        <w:footnoteReference w:id="4214"/>
      </w:r>
      <w:r>
        <w:t xml:space="preserve"/>
      </w:r>
      <w:r>
        <w:rPr>
          <w:rStyle w:val="FootnoteReference"/>
        </w:rPr>
        <w:footnoteReference w:id="4215"/>
      </w:r>
    </w:p>
    <w:p>
      <w:r>
        <w:rPr>
          <w:b/>
        </w:rPr>
        <w:t xml:space="preserve">50 </w:t>
      </w:r>
      <w:r>
        <w:t xml:space="preserve">and Anab and Eskaiman and Anim</w:t>
      </w:r>
      <w:r>
        <w:rPr>
          <w:rStyle w:val="FootnoteReference"/>
        </w:rPr>
        <w:footnoteReference w:id="4216"/>
      </w:r>
      <w:r>
        <w:t xml:space="preserve">,</w:t>
      </w:r>
    </w:p>
    <w:p>
      <w:r>
        <w:rPr>
          <w:b/>
        </w:rPr>
        <w:t xml:space="preserve">51 </w:t>
      </w:r>
      <w:r>
        <w:t xml:space="preserve">and Goshen</w:t>
      </w:r>
      <w:r>
        <w:rPr>
          <w:rStyle w:val="FootnoteReference"/>
        </w:rPr>
        <w:footnoteReference w:id="4217"/>
      </w:r>
      <w:r>
        <w:t xml:space="preserve"> and Holon</w:t>
      </w:r>
      <w:r>
        <w:rPr>
          <w:rStyle w:val="FootnoteReference"/>
        </w:rPr>
        <w:footnoteReference w:id="4218"/>
      </w:r>
      <w:r>
        <w:t xml:space="preserve"> and Channa, eleven cities and their villages,</w:t>
      </w:r>
    </w:p>
    <w:p>
      <w:r>
        <w:rPr>
          <w:b/>
        </w:rPr>
        <w:t xml:space="preserve">52 </w:t>
      </w:r>
      <w:r>
        <w:t xml:space="preserve">Airem and Remna and Soma,</w:t>
      </w:r>
    </w:p>
    <w:p>
      <w:r>
        <w:rPr>
          <w:b/>
        </w:rPr>
        <w:t xml:space="preserve">53 </w:t>
      </w:r>
      <w:r>
        <w:t xml:space="preserve">and Jemain and Baithachou and Phakoua,</w:t>
      </w:r>
    </w:p>
    <w:p>
      <w:r>
        <w:rPr>
          <w:b/>
        </w:rPr>
        <w:t xml:space="preserve">54 </w:t>
      </w:r>
      <w:r>
        <w:t xml:space="preserve">and Euma and the City of Arba, this is Hebron, and Sorth, nine cities and their hamlets,</w:t>
      </w:r>
    </w:p>
    <w:p>
      <w:r>
        <w:rPr>
          <w:b/>
        </w:rPr>
        <w:t xml:space="preserve">55 </w:t>
      </w:r>
      <w:r>
        <w:t xml:space="preserve">Maon</w:t>
      </w:r>
      <w:r>
        <w:rPr>
          <w:rStyle w:val="FootnoteReference"/>
        </w:rPr>
        <w:footnoteReference w:id="4219"/>
      </w:r>
      <w:r>
        <w:t xml:space="preserve"> and Carmel and Ziph</w:t>
      </w:r>
      <w:r>
        <w:rPr>
          <w:rStyle w:val="FootnoteReference"/>
        </w:rPr>
        <w:footnoteReference w:id="4220"/>
      </w:r>
      <w:r>
        <w:t xml:space="preserve"> and Itan,</w:t>
      </w:r>
      <w:r>
        <w:rPr>
          <w:rStyle w:val="FootnoteReference"/>
        </w:rPr>
        <w:footnoteReference w:id="4221"/>
      </w:r>
    </w:p>
    <w:p>
      <w:r>
        <w:rPr>
          <w:b/>
        </w:rPr>
        <w:t xml:space="preserve">56 </w:t>
      </w:r>
      <w:r>
        <w:t xml:space="preserve">and Jezreel</w:t>
      </w:r>
      <w:r>
        <w:rPr>
          <w:rStyle w:val="FootnoteReference"/>
        </w:rPr>
        <w:footnoteReference w:id="4222"/>
      </w:r>
      <w:r>
        <w:t xml:space="preserve"> and Jokdeam</w:t>
      </w:r>
      <w:r>
        <w:rPr>
          <w:rStyle w:val="FootnoteReference"/>
        </w:rPr>
        <w:footnoteReference w:id="4223"/>
      </w:r>
      <w:r>
        <w:t xml:space="preserve"> and Zakanaim,</w:t>
      </w:r>
    </w:p>
    <w:p>
      <w:r>
        <w:rPr>
          <w:b/>
        </w:rPr>
        <w:t xml:space="preserve">57 </w:t>
      </w:r>
      <w:r>
        <w:t xml:space="preserve">and Gibeah</w:t>
      </w:r>
      <w:r>
        <w:rPr>
          <w:rStyle w:val="FootnoteReference"/>
        </w:rPr>
        <w:footnoteReference w:id="4224"/>
      </w:r>
      <w:r>
        <w:t xml:space="preserve"> and Thimnathah</w:t>
      </w:r>
      <w:r>
        <w:rPr>
          <w:rStyle w:val="FootnoteReference"/>
        </w:rPr>
        <w:footnoteReference w:id="4225"/>
      </w:r>
      <w:r>
        <w:t xml:space="preserve">, nine cities and their villages,</w:t>
      </w:r>
    </w:p>
    <w:p>
      <w:r>
        <w:rPr>
          <w:b/>
        </w:rPr>
        <w:t xml:space="preserve">58 </w:t>
      </w:r>
      <w:r>
        <w:t xml:space="preserve">Halhul</w:t>
      </w:r>
      <w:r>
        <w:rPr>
          <w:rStyle w:val="FootnoteReference"/>
        </w:rPr>
        <w:footnoteReference w:id="4226"/>
      </w:r>
      <w:r>
        <w:t xml:space="preserve"> and Bethzur</w:t>
      </w:r>
      <w:r>
        <w:rPr>
          <w:rStyle w:val="FootnoteReference"/>
        </w:rPr>
        <w:footnoteReference w:id="4227"/>
      </w:r>
      <w:r>
        <w:t xml:space="preserve"> and Gedor</w:t>
      </w:r>
      <w:r>
        <w:rPr>
          <w:rStyle w:val="FootnoteReference"/>
        </w:rPr>
        <w:footnoteReference w:id="4228"/>
      </w:r>
      <w:r>
        <w:t xml:space="preserve">,</w:t>
      </w:r>
      <w:r>
        <w:rPr>
          <w:rStyle w:val="FootnoteReference"/>
        </w:rPr>
        <w:footnoteReference w:id="4229"/>
      </w:r>
    </w:p>
    <w:p>
      <w:r>
        <w:rPr>
          <w:b/>
        </w:rPr>
        <w:t xml:space="preserve">59 </w:t>
      </w:r>
      <w:r>
        <w:t xml:space="preserve">and Maarath</w:t>
      </w:r>
      <w:r>
        <w:rPr>
          <w:rStyle w:val="FootnoteReference"/>
        </w:rPr>
        <w:footnoteReference w:id="4230"/>
      </w:r>
      <w:r>
        <w:t xml:space="preserve"> and Baithanam and Thekoum, six cities and their villages. Thekoa and Ephrathah, this is Bethlehem, and Phagor and Aitan and Koulon and Tatam and Eobes and Karem and Galem and Thether and Manocho, eleven cities and their villages.</w:t>
      </w:r>
      <w:r>
        <w:rPr>
          <w:rStyle w:val="FootnoteReference"/>
        </w:rPr>
        <w:footnoteReference w:id="4231"/>
      </w:r>
    </w:p>
    <w:p>
      <w:r>
        <w:rPr>
          <w:b/>
        </w:rPr>
        <w:t xml:space="preserve">60 </w:t>
      </w:r>
      <w:r>
        <w:t xml:space="preserve">Kirjathbaal</w:t>
      </w:r>
      <w:r>
        <w:rPr>
          <w:rStyle w:val="FootnoteReference"/>
        </w:rPr>
        <w:footnoteReference w:id="4232"/>
      </w:r>
      <w:r>
        <w:t xml:space="preserve">, this is Kirjathjearim, and Rabbah, two cities and their hamlets.</w:t>
      </w:r>
      <w:r>
        <w:rPr>
          <w:rStyle w:val="FootnoteReference"/>
        </w:rPr>
        <w:footnoteReference w:id="4233"/>
      </w:r>
    </w:p>
    <w:p>
      <w:r>
        <w:rPr>
          <w:b/>
        </w:rPr>
        <w:t xml:space="preserve">61 </w:t>
      </w:r>
      <w:r>
        <w:t xml:space="preserve">And Baddargis and Tharabaam and Ainon and Aichioza,</w:t>
      </w:r>
    </w:p>
    <w:p>
      <w:r>
        <w:rPr>
          <w:b/>
        </w:rPr>
        <w:t xml:space="preserve">62 </w:t>
      </w:r>
      <w:r>
        <w:t xml:space="preserve">and Naphlazon and the cities of Sodom and Ankades, seven cities and their villages.</w:t>
      </w:r>
    </w:p>
    <w:p>
      <w:r>
        <w:rPr>
          <w:b/>
        </w:rPr>
        <w:t xml:space="preserve">63 </w:t>
      </w:r>
      <w:r>
        <w:t xml:space="preserve">And the Jebusite dwelt in Jerusalem, and the sons of Judah were not able to destroy them, and the Jebusites dwelt in Jerusalem until that 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the boundaries of the sons of Joseph came to be from the Jordan by Jericho from the east, and it will go up from Jericho into the hill-country wilderness to Bethel Luz,</w:t>
      </w:r>
    </w:p>
    <w:p>
      <w:r>
        <w:rPr>
          <w:b/>
        </w:rPr>
        <w:t xml:space="preserve">2 </w:t>
      </w:r>
      <w:r>
        <w:t xml:space="preserve">and it will go out to Bethel</w:t>
      </w:r>
      <w:r>
        <w:rPr>
          <w:rStyle w:val="FootnoteReference"/>
        </w:rPr>
        <w:footnoteReference w:id="4234"/>
      </w:r>
      <w:r>
        <w:t xml:space="preserve"> and pass to the boundaries of Ataroth,</w:t>
      </w:r>
    </w:p>
    <w:p>
      <w:r>
        <w:rPr>
          <w:b/>
        </w:rPr>
        <w:t xml:space="preserve">3 </w:t>
      </w:r>
      <w:r>
        <w:t xml:space="preserve">and pass through westward to the boundaries of Japhletites</w:t>
      </w:r>
      <w:r>
        <w:rPr>
          <w:rStyle w:val="FootnoteReference"/>
        </w:rPr>
        <w:footnoteReference w:id="4235"/>
      </w:r>
      <w:r>
        <w:t xml:space="preserve"> as far as the boundaries of Bethhoron</w:t>
      </w:r>
      <w:r>
        <w:rPr>
          <w:rStyle w:val="FootnoteReference"/>
        </w:rPr>
        <w:footnoteReference w:id="4236"/>
      </w:r>
      <w:r>
        <w:t xml:space="preserve"> the lower and Gezer, and their outlet shall be to the sea.</w:t>
      </w:r>
      <w:r>
        <w:rPr>
          <w:rStyle w:val="FootnoteReference"/>
        </w:rPr>
        <w:footnoteReference w:id="4237"/>
      </w:r>
    </w:p>
    <w:p>
      <w:r>
        <w:rPr>
          <w:b/>
        </w:rPr>
        <w:t xml:space="preserve">4 </w:t>
      </w:r>
      <w:r>
        <w:t xml:space="preserve">And the sons of Joseph inherited, Ephraim and Manasseh.</w:t>
      </w:r>
    </w:p>
    <w:p>
      <w:r>
        <w:rPr>
          <w:b/>
        </w:rPr>
        <w:t xml:space="preserve">5 </w:t>
      </w:r>
      <w:r>
        <w:t xml:space="preserve">And the boundaries of the sons of Ephraim came to be according to their clans, and the boundaries of their inheritance came to be from the east, Ataroth and Erok as far as Bethhoron the upper and Gezer.</w:t>
      </w:r>
    </w:p>
    <w:p>
      <w:r>
        <w:rPr>
          <w:b/>
        </w:rPr>
        <w:t xml:space="preserve">6 </w:t>
      </w:r>
      <w:r>
        <w:t xml:space="preserve">And the boundaries will pass to the sea into Ikasmona from the north; it will circle eastward to Thenasa and Sellesa and pass from the east to Janoka,</w:t>
      </w:r>
    </w:p>
    <w:p>
      <w:r>
        <w:rPr>
          <w:b/>
        </w:rPr>
        <w:t xml:space="preserve">7 </w:t>
      </w:r>
      <w:r>
        <w:t xml:space="preserve">and to Janoah</w:t>
      </w:r>
      <w:r>
        <w:rPr>
          <w:rStyle w:val="FootnoteReference"/>
        </w:rPr>
        <w:footnoteReference w:id="4238"/>
      </w:r>
      <w:r>
        <w:t xml:space="preserve"> and Ataroth</w:t>
      </w:r>
      <w:r>
        <w:rPr>
          <w:rStyle w:val="FootnoteReference"/>
        </w:rPr>
        <w:footnoteReference w:id="4239"/>
      </w:r>
      <w:r>
        <w:t xml:space="preserve"> and their villages, and it will come to Jericho and come out to the Jordan.</w:t>
      </w:r>
    </w:p>
    <w:p>
      <w:r>
        <w:rPr>
          <w:b/>
        </w:rPr>
        <w:t xml:space="preserve">8 </w:t>
      </w:r>
      <w:r>
        <w:t xml:space="preserve">And from Tappuah</w:t>
      </w:r>
      <w:r>
        <w:rPr>
          <w:rStyle w:val="FootnoteReference"/>
        </w:rPr>
        <w:footnoteReference w:id="4240"/>
      </w:r>
      <w:r>
        <w:t xml:space="preserve"> the boundary will go to the sea at Kanah</w:t>
      </w:r>
      <w:r>
        <w:rPr>
          <w:rStyle w:val="FootnoteReference"/>
        </w:rPr>
        <w:footnoteReference w:id="4241"/>
      </w:r>
      <w:r>
        <w:t xml:space="preserve">, and its outlet shall be to the sea. This is the inheritance of the tribe of Ephraim according to their clans.</w:t>
      </w:r>
    </w:p>
    <w:p>
      <w:r>
        <w:rPr>
          <w:b/>
        </w:rPr>
        <w:t xml:space="preserve">9 </w:t>
      </w:r>
      <w:r>
        <w:t xml:space="preserve">And the cities set apart to the sons of Ephraim among the inheritance of the sons of Manasseh, all the cities and their villages.</w:t>
      </w:r>
    </w:p>
    <w:p>
      <w:r>
        <w:rPr>
          <w:b/>
        </w:rPr>
        <w:t xml:space="preserve">10 </w:t>
      </w:r>
      <w:r>
        <w:t xml:space="preserve">And Ephraim did not destroy the Canaanite dwelling in Gezer, and the Canaanite dwelt in Ephraim until this day, until Pharaoh king of Egypt went up and took it and burned it with fire, and he pierced through the Canaanites and the Perizzites and those dwelling in Gezer, and Pharaoh gave it as a gift to his daughter.</w:t>
      </w:r>
      <w:r>
        <w:rPr>
          <w:rStyle w:val="FootnoteReference"/>
        </w:rPr>
        <w:footnoteReference w:id="4242"/>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the boundaries of the tribe of the sons of Manasseh came to be, because he was firstborn to Joseph, to Machir the firstborn</w:t>
      </w:r>
      <w:r>
        <w:rPr>
          <w:rStyle w:val="FootnoteReference"/>
        </w:rPr>
        <w:footnoteReference w:id="4243"/>
      </w:r>
      <w:r>
        <w:t xml:space="preserve"> of Manasseh, father of Gilead, for he was a warrior in Gilead and in Bashan.</w:t>
      </w:r>
      <w:r>
        <w:rPr>
          <w:rStyle w:val="FootnoteReference"/>
        </w:rPr>
        <w:footnoteReference w:id="4244"/>
      </w:r>
    </w:p>
    <w:p>
      <w:r>
        <w:rPr>
          <w:b/>
        </w:rPr>
        <w:t xml:space="preserve">2 </w:t>
      </w:r>
      <w:r>
        <w:t xml:space="preserve">And it came to be for the remaining sons of Manasseh according to their clans, for the sons of Jezer and the sons of Chelez and the sons of Jeziel</w:t>
      </w:r>
      <w:r>
        <w:rPr>
          <w:rStyle w:val="FootnoteReference"/>
        </w:rPr>
        <w:footnoteReference w:id="4245"/>
      </w:r>
      <w:r>
        <w:t xml:space="preserve"> and the sons of Shechem and the sons of Symarim and the sons of Hepher. These are the males according to their clans.</w:t>
      </w:r>
      <w:r>
        <w:rPr>
          <w:rStyle w:val="FootnoteReference"/>
        </w:rPr>
        <w:footnoteReference w:id="4246"/>
      </w:r>
    </w:p>
    <w:p>
      <w:r>
        <w:rPr>
          <w:b/>
        </w:rPr>
        <w:t xml:space="preserve">3 </w:t>
      </w:r>
      <w:r>
        <w:t xml:space="preserve">And to Zelophehad son of Hepher there were no sons but daughters, and these are the names of the daughters of Zelophehad: Mahlah and Noah and Hoglah and Milcah and Tirzah.</w:t>
      </w:r>
    </w:p>
    <w:p>
      <w:r>
        <w:rPr>
          <w:b/>
        </w:rPr>
        <w:t xml:space="preserve">4 </w:t>
      </w:r>
      <w:r>
        <w:t xml:space="preserve">And they stood before Eleazar</w:t>
      </w:r>
      <w:r>
        <w:rPr>
          <w:rStyle w:val="FootnoteReference"/>
        </w:rPr>
        <w:footnoteReference w:id="4247"/>
      </w:r>
      <w:r>
        <w:t xml:space="preserve"> the priest and before Joshua and before the leaders, saying, God commanded by the hand of Moses to give us an inheritance in the midst of our brothers. And by the command of the Lord an inheritance was given to them among the brothers of their father.</w:t>
      </w:r>
    </w:p>
    <w:p>
      <w:r>
        <w:rPr>
          <w:b/>
        </w:rPr>
        <w:t xml:space="preserve">5 </w:t>
      </w:r>
      <w:r>
        <w:t xml:space="preserve">And their line fell from Manasseh and the plain of Labek from Gilead, which is beyond the Jordan,</w:t>
      </w:r>
    </w:p>
    <w:p>
      <w:r>
        <w:rPr>
          <w:b/>
        </w:rPr>
        <w:t xml:space="preserve">6 </w:t>
      </w:r>
      <w:r>
        <w:t xml:space="preserve">because daughters of the sons of Manasseh inherited a lot in the midst of their brothers, and the land of Gilead came to be for the sons of Manasseh who were left over.</w:t>
      </w:r>
    </w:p>
    <w:p>
      <w:r>
        <w:rPr>
          <w:b/>
        </w:rPr>
        <w:t xml:space="preserve">7 </w:t>
      </w:r>
      <w:r>
        <w:t xml:space="preserve">And the boundary of the sons of Manasseh came to be Delanath, which is opposite the sons of Anath</w:t>
      </w:r>
      <w:r>
        <w:rPr>
          <w:rStyle w:val="FootnoteReference"/>
        </w:rPr>
        <w:footnoteReference w:id="4248"/>
      </w:r>
      <w:r>
        <w:t xml:space="preserve">, and the boundary goes to Jamin and Jassib to the spring of Thaphthoth.</w:t>
      </w:r>
    </w:p>
    <w:p>
      <w:r>
        <w:rPr>
          <w:b/>
        </w:rPr>
        <w:t xml:space="preserve">8 </w:t>
      </w:r>
      <w:r>
        <w:t xml:space="preserve">Tappuah shall belong to Manasseh; on the boundaries of Manasseh, to the sons of Ephraim.</w:t>
      </w:r>
    </w:p>
    <w:p>
      <w:r>
        <w:rPr>
          <w:b/>
        </w:rPr>
        <w:t xml:space="preserve">9 </w:t>
      </w:r>
      <w:r>
        <w:t xml:space="preserve">And the boundaries will go down to the ravine of Karana to the south by the ravine of Jariel, terebinth</w:t>
      </w:r>
      <w:r>
        <w:rPr>
          <w:rStyle w:val="FootnoteReference"/>
        </w:rPr>
        <w:footnoteReference w:id="4249"/>
      </w:r>
      <w:r>
        <w:t xml:space="preserve">, to Ephraim in the midst of the city of Manasseh, and the boundary of Manasseh is to the north by the torrent, and its outlet shall be the sea.</w:t>
      </w:r>
    </w:p>
    <w:p>
      <w:r>
        <w:rPr>
          <w:b/>
        </w:rPr>
        <w:t xml:space="preserve">10 </w:t>
      </w:r>
      <w:r>
        <w:t xml:space="preserve">From the south to Ephraim and to the north Manasseh, and the sea shall be their boundary, and by Asher they shall join on the north and by Issachar on the east.</w:t>
      </w:r>
    </w:p>
    <w:p>
      <w:r>
        <w:rPr>
          <w:b/>
        </w:rPr>
        <w:t xml:space="preserve">11 </w:t>
      </w:r>
      <w:r>
        <w:t xml:space="preserve">And Manasseh</w:t>
      </w:r>
      <w:r>
        <w:rPr>
          <w:rStyle w:val="FootnoteReference"/>
        </w:rPr>
        <w:footnoteReference w:id="4250"/>
      </w:r>
      <w:r>
        <w:t xml:space="preserve"> shall have in Issachar and in Asher Bethshean</w:t>
      </w:r>
      <w:r>
        <w:rPr>
          <w:rStyle w:val="FootnoteReference"/>
        </w:rPr>
        <w:footnoteReference w:id="4251"/>
      </w:r>
      <w:r>
        <w:t xml:space="preserve"> and its villages and those dwelling in Dor and its villages and those dwelling in Megiddo</w:t>
      </w:r>
      <w:r>
        <w:rPr>
          <w:rStyle w:val="FootnoteReference"/>
        </w:rPr>
        <w:footnoteReference w:id="4252"/>
      </w:r>
      <w:r>
        <w:t xml:space="preserve"> and its villages and the third of Napheta</w:t>
      </w:r>
      <w:r>
        <w:rPr>
          <w:rStyle w:val="FootnoteReference"/>
        </w:rPr>
        <w:footnoteReference w:id="4253"/>
      </w:r>
      <w:r>
        <w:t xml:space="preserve"> and its villages.</w:t>
      </w:r>
      <w:r>
        <w:rPr>
          <w:rStyle w:val="FootnoteReference"/>
        </w:rPr>
        <w:footnoteReference w:id="4254"/>
      </w:r>
      <w:r>
        <w:rPr>
          <w:rStyle w:val="FootnoteReference"/>
        </w:rPr>
        <w:footnoteReference w:id="4255"/>
      </w:r>
      <w:r>
        <w:rPr>
          <w:rStyle w:val="FootnoteReference"/>
        </w:rPr>
        <w:footnoteReference w:id="4256"/>
      </w:r>
    </w:p>
    <w:p>
      <w:r>
        <w:rPr>
          <w:b/>
        </w:rPr>
        <w:t xml:space="preserve">12 </w:t>
      </w:r>
      <w:r>
        <w:t xml:space="preserve">And the sons of Manasseh were not able to destroy these cities, and the Canaanite began to dwell in that land.</w:t>
      </w:r>
    </w:p>
    <w:p>
      <w:r>
        <w:rPr>
          <w:b/>
        </w:rPr>
        <w:t xml:space="preserve">13 </w:t>
      </w:r>
      <w:r>
        <w:t xml:space="preserve">And it happened when the sons of Israel grew strong, they made the Canaanites subject, but did not utterly destroy them.</w:t>
      </w:r>
    </w:p>
    <w:p>
      <w:r>
        <w:rPr>
          <w:b/>
        </w:rPr>
        <w:t xml:space="preserve">14 </w:t>
      </w:r>
      <w:r>
        <w:t xml:space="preserve">And the sons of Joseph spoke back to Joshua, saying, Why did you give us one lot</w:t>
      </w:r>
      <w:r>
        <w:rPr>
          <w:rStyle w:val="FootnoteReference"/>
        </w:rPr>
        <w:footnoteReference w:id="4257"/>
      </w:r>
      <w:r>
        <w:t xml:space="preserve"> and one measuring line as an inheritance, while I am a numerous people and God blessed me?</w:t>
      </w:r>
    </w:p>
    <w:p>
      <w:r>
        <w:rPr>
          <w:b/>
        </w:rPr>
        <w:t xml:space="preserve">15 </w:t>
      </w:r>
      <w:r>
        <w:t xml:space="preserve">And Joshua said to them, If you are a numerous people, go up into the forest and clear a place for yourself, if the hill-country of Ephraim is too narrow for you.</w:t>
      </w:r>
      <w:r>
        <w:rPr>
          <w:rStyle w:val="FootnoteReference"/>
        </w:rPr>
        <w:footnoteReference w:id="4258"/>
      </w:r>
    </w:p>
    <w:p>
      <w:r>
        <w:rPr>
          <w:b/>
        </w:rPr>
        <w:t xml:space="preserve">16 </w:t>
      </w:r>
      <w:r>
        <w:t xml:space="preserve">And they said, The hill-country of Ephraim will not suffice for us, and the Canaanite dwelling in it has chosen iron horse and chariot</w:t>
      </w:r>
      <w:r>
        <w:rPr>
          <w:rStyle w:val="FootnoteReference"/>
        </w:rPr>
        <w:footnoteReference w:id="4259"/>
      </w:r>
      <w:r>
        <w:t xml:space="preserve">, in Bethshean</w:t>
      </w:r>
      <w:r>
        <w:rPr>
          <w:rStyle w:val="FootnoteReference"/>
        </w:rPr>
        <w:footnoteReference w:id="4260"/>
      </w:r>
      <w:r>
        <w:t xml:space="preserve"> and in its villages, in the valley of Jezreel.</w:t>
      </w:r>
    </w:p>
    <w:p>
      <w:r>
        <w:rPr>
          <w:b/>
        </w:rPr>
        <w:t xml:space="preserve">17 </w:t>
      </w:r>
      <w:r>
        <w:t xml:space="preserve">And Joshua said to the sons of Joseph, If you are a numerous people and have great strength, there shall not be for you one lot,</w:t>
      </w:r>
    </w:p>
    <w:p>
      <w:r>
        <w:rPr>
          <w:b/>
        </w:rPr>
        <w:t xml:space="preserve">18 </w:t>
      </w:r>
      <w:r>
        <w:t xml:space="preserve">because the forest shall be yours</w:t>
      </w:r>
      <w:r>
        <w:rPr>
          <w:rStyle w:val="FootnoteReference"/>
        </w:rPr>
        <w:footnoteReference w:id="4261"/>
      </w:r>
      <w:r>
        <w:t xml:space="preserve">, for it is forest, and you shall clear it, and it shall be yours, and when you destroy the Canaanite, because he has chosen iron horse and chariot, for you prevail over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all the congregation of the sons of Israel assembled at Shiloh</w:t>
      </w:r>
      <w:r>
        <w:rPr>
          <w:rStyle w:val="FootnoteReference"/>
        </w:rPr>
        <w:footnoteReference w:id="4262"/>
      </w:r>
      <w:r>
        <w:t xml:space="preserve">, and they pitched there the tent of testimony, and the land was subdued by them.</w:t>
      </w:r>
      <w:r>
        <w:rPr>
          <w:rStyle w:val="FootnoteReference"/>
        </w:rPr>
        <w:footnoteReference w:id="4263"/>
      </w:r>
    </w:p>
    <w:p>
      <w:r>
        <w:rPr>
          <w:b/>
        </w:rPr>
        <w:t xml:space="preserve">2 </w:t>
      </w:r>
      <w:r>
        <w:t xml:space="preserve">And there were left among the sons of Israel seven tribes that had not inherited.</w:t>
      </w:r>
    </w:p>
    <w:p>
      <w:r>
        <w:rPr>
          <w:b/>
        </w:rPr>
        <w:t xml:space="preserve">3 </w:t>
      </w:r>
      <w:r>
        <w:t xml:space="preserve">And Joshua said to the sons of Israel, How long will you grow slack to inherit the land that the Lord our God gave?</w:t>
      </w:r>
    </w:p>
    <w:p>
      <w:r>
        <w:rPr>
          <w:b/>
        </w:rPr>
        <w:t xml:space="preserve">4 </w:t>
      </w:r>
      <w:r>
        <w:t xml:space="preserve">Give from among you three</w:t>
      </w:r>
      <w:r>
        <w:rPr>
          <w:rStyle w:val="FootnoteReference"/>
        </w:rPr>
        <w:footnoteReference w:id="4264"/>
      </w:r>
      <w:r>
        <w:t xml:space="preserve"> men from each tribe, and let them arise and pass through the land and map it out before me according to how it should be divided, and let them come to me.</w:t>
      </w:r>
    </w:p>
    <w:p>
      <w:r>
        <w:rPr>
          <w:b/>
        </w:rPr>
        <w:t xml:space="preserve">5 </w:t>
      </w:r>
      <w:r>
        <w:t xml:space="preserve">And he divided it for them into seven portions: Judah shall</w:t>
      </w:r>
      <w:r>
        <w:rPr>
          <w:rStyle w:val="FootnoteReference"/>
        </w:rPr>
        <w:footnoteReference w:id="4265"/>
      </w:r>
      <w:r>
        <w:t xml:space="preserve"> stand for them on the boundary from the south, and the sons of Joseph shall stand for them from the north.</w:t>
      </w:r>
    </w:p>
    <w:p>
      <w:r>
        <w:rPr>
          <w:b/>
        </w:rPr>
        <w:t xml:space="preserve">6 </w:t>
      </w:r>
      <w:r>
        <w:t xml:space="preserve">And you shall divide the land into seven portions and bring it to me here, and I will cast for you a lot before the Lord our God.</w:t>
      </w:r>
    </w:p>
    <w:p>
      <w:r>
        <w:rPr>
          <w:b/>
        </w:rPr>
        <w:t xml:space="preserve">7 </w:t>
      </w:r>
      <w:r>
        <w:t xml:space="preserve">For there is no portion for the sons of Levi among you, for the priesthood of the Lord is his portion. And Gad</w:t>
      </w:r>
      <w:r>
        <w:rPr>
          <w:rStyle w:val="FootnoteReference"/>
        </w:rPr>
        <w:footnoteReference w:id="4266"/>
      </w:r>
      <w:r>
        <w:t xml:space="preserve"> and Reuben and the half tribe of Manasseh took their inheritance beyond the Jordan toward the east, which Moses the servant of the Lord gave them.</w:t>
      </w:r>
    </w:p>
    <w:p>
      <w:r>
        <w:rPr>
          <w:b/>
        </w:rPr>
        <w:t xml:space="preserve">8 </w:t>
      </w:r>
      <w:r>
        <w:t xml:space="preserve">And the men arose and went, and Joshua commanded the men going to survey the land, saying, Go and survey the land and come back to me, and here I will cast for you a lot before the Lord in Shiloh.</w:t>
      </w:r>
      <w:r>
        <w:rPr>
          <w:rStyle w:val="FootnoteReference"/>
        </w:rPr>
        <w:footnoteReference w:id="4267"/>
      </w:r>
    </w:p>
    <w:p>
      <w:r>
        <w:rPr>
          <w:b/>
        </w:rPr>
        <w:t xml:space="preserve">9 </w:t>
      </w:r>
      <w:r>
        <w:t xml:space="preserve">And the men went and surveyed the land, and they viewed it and wrote it down by its cities in seven portions in a book, and they brought it to Joshua.</w:t>
      </w:r>
    </w:p>
    <w:p>
      <w:r>
        <w:rPr>
          <w:b/>
        </w:rPr>
        <w:t xml:space="preserve">10 </w:t>
      </w:r>
      <w:r>
        <w:t xml:space="preserve">And Joshua cast for them a lot in Shiloh before the Lord</w:t>
      </w:r>
      <w:r>
        <w:rPr>
          <w:rStyle w:val="FootnoteReference"/>
        </w:rPr>
        <w:footnoteReference w:id="4268"/>
      </w:r>
      <w:r>
        <w:t xml:space="preserve">.</w:t>
      </w:r>
    </w:p>
    <w:p>
      <w:r>
        <w:rPr>
          <w:b/>
        </w:rPr>
        <w:t xml:space="preserve">11 </w:t>
      </w:r>
      <w:r>
        <w:t xml:space="preserve">And the lot of the tribe of Benjamin came out first according to their clans, and the boundaries of their lot came out between Judah and between the sons of Joseph.</w:t>
      </w:r>
    </w:p>
    <w:p>
      <w:r>
        <w:rPr>
          <w:b/>
        </w:rPr>
        <w:t xml:space="preserve">12 </w:t>
      </w:r>
      <w:r>
        <w:t xml:space="preserve">And their boundaries came to be from the north from the Jordan, and the boundary shall go up along the shoulder of Jericho</w:t>
      </w:r>
      <w:r>
        <w:rPr>
          <w:rStyle w:val="FootnoteReference"/>
        </w:rPr>
        <w:footnoteReference w:id="4269"/>
      </w:r>
      <w:r>
        <w:t xml:space="preserve"> on the north and shall go up to the mountain westward, and its outlet shall be the wilderness of Bethaven</w:t>
      </w:r>
      <w:r>
        <w:rPr>
          <w:rStyle w:val="FootnoteReference"/>
        </w:rPr>
        <w:footnoteReference w:id="4270"/>
      </w:r>
      <w:r>
        <w:t xml:space="preserve">.</w:t>
      </w:r>
      <w:r>
        <w:rPr>
          <w:rStyle w:val="FootnoteReference"/>
        </w:rPr>
        <w:footnoteReference w:id="4271"/>
      </w:r>
    </w:p>
    <w:p>
      <w:r>
        <w:rPr>
          <w:b/>
        </w:rPr>
        <w:t xml:space="preserve">13 </w:t>
      </w:r>
      <w:r>
        <w:t xml:space="preserve">And the boundary shall pass from there to Luz, on the south of Luz, from the south, this is Bethel, and the boundary shall go down to Ataroth-addar</w:t>
      </w:r>
      <w:r>
        <w:rPr>
          <w:rStyle w:val="FootnoteReference"/>
        </w:rPr>
        <w:footnoteReference w:id="4272"/>
      </w:r>
      <w:r>
        <w:t xml:space="preserve">, to the hill-country that is south of lower Bethhoron</w:t>
      </w:r>
      <w:r>
        <w:rPr>
          <w:rStyle w:val="FootnoteReference"/>
        </w:rPr>
        <w:footnoteReference w:id="4273"/>
      </w:r>
      <w:r>
        <w:t xml:space="preserve">.</w:t>
      </w:r>
    </w:p>
    <w:p>
      <w:r>
        <w:rPr>
          <w:b/>
        </w:rPr>
        <w:t xml:space="preserve">14 </w:t>
      </w:r>
      <w:r>
        <w:t xml:space="preserve">And the boundary shall pass through and go around on the side facing the sea</w:t>
      </w:r>
      <w:r>
        <w:rPr>
          <w:rStyle w:val="FootnoteReference"/>
        </w:rPr>
        <w:footnoteReference w:id="4274"/>
      </w:r>
      <w:r>
        <w:t xml:space="preserve"> from the south, from the mountain opposite Bethhoron to the south, and its outlet shall be at Kirjathbaal</w:t>
      </w:r>
      <w:r>
        <w:rPr>
          <w:rStyle w:val="FootnoteReference"/>
        </w:rPr>
        <w:footnoteReference w:id="4275"/>
      </w:r>
      <w:r>
        <w:t xml:space="preserve">, this is Kirjathjearim, a city of the sons of Judah. This is the side toward the sea.</w:t>
      </w:r>
    </w:p>
    <w:p>
      <w:r>
        <w:rPr>
          <w:b/>
        </w:rPr>
        <w:t xml:space="preserve">15 </w:t>
      </w:r>
      <w:r>
        <w:t xml:space="preserve">And the side toward the south is from the side of Kirjathbaal, and the boundary shall pass westward to the spring of the water of Nephtoah</w:t>
      </w:r>
      <w:r>
        <w:rPr>
          <w:rStyle w:val="FootnoteReference"/>
        </w:rPr>
        <w:footnoteReference w:id="4276"/>
      </w:r>
      <w:r>
        <w:t xml:space="preserve">.</w:t>
      </w:r>
    </w:p>
    <w:p>
      <w:r>
        <w:rPr>
          <w:b/>
        </w:rPr>
        <w:t xml:space="preserve">16 </w:t>
      </w:r>
      <w:r>
        <w:t xml:space="preserve">And the boundary shall go down to the side of the mountain that is opposite the valley of Onnam, which is on the side of Emekraphain</w:t>
      </w:r>
      <w:r>
        <w:rPr>
          <w:rStyle w:val="FootnoteReference"/>
        </w:rPr>
        <w:footnoteReference w:id="4277"/>
      </w:r>
      <w:r>
        <w:t xml:space="preserve"> to the north, and it shall go down to Gaienna</w:t>
      </w:r>
      <w:r>
        <w:rPr>
          <w:rStyle w:val="FootnoteReference"/>
        </w:rPr>
        <w:footnoteReference w:id="4278"/>
      </w:r>
      <w:r>
        <w:t xml:space="preserve"> on the south of Jebusi</w:t>
      </w:r>
      <w:r>
        <w:rPr>
          <w:rStyle w:val="FootnoteReference"/>
        </w:rPr>
        <w:footnoteReference w:id="4279"/>
      </w:r>
      <w:r>
        <w:t xml:space="preserve"> from the south, and it shall go down to the spring of Enrogel.</w:t>
      </w:r>
      <w:r>
        <w:rPr>
          <w:rStyle w:val="FootnoteReference"/>
        </w:rPr>
        <w:footnoteReference w:id="4280"/>
      </w:r>
      <w:r>
        <w:rPr>
          <w:rStyle w:val="FootnoteReference"/>
        </w:rPr>
        <w:footnoteReference w:id="4281"/>
      </w:r>
      <w:r>
        <w:rPr>
          <w:rStyle w:val="FootnoteReference"/>
        </w:rPr>
        <w:footnoteReference w:id="4282"/>
      </w:r>
      <w:r>
        <w:rPr>
          <w:rStyle w:val="FootnoteReference"/>
        </w:rPr>
        <w:footnoteReference w:id="4283"/>
      </w:r>
    </w:p>
    <w:p>
      <w:r>
        <w:rPr>
          <w:b/>
        </w:rPr>
        <w:t xml:space="preserve">17 </w:t>
      </w:r>
      <w:r>
        <w:t xml:space="preserve">And it shall pass to the spring of Beth-shemesh</w:t>
      </w:r>
      <w:r>
        <w:rPr>
          <w:rStyle w:val="FootnoteReference"/>
        </w:rPr>
        <w:footnoteReference w:id="4284"/>
      </w:r>
      <w:r>
        <w:t xml:space="preserve"> and pass to Geliloth</w:t>
      </w:r>
      <w:r>
        <w:rPr>
          <w:rStyle w:val="FootnoteReference"/>
        </w:rPr>
        <w:footnoteReference w:id="4285"/>
      </w:r>
      <w:r>
        <w:t xml:space="preserve">, which is opposite the ascent of Adummim, and shall go down to the stone</w:t>
      </w:r>
      <w:r>
        <w:rPr>
          <w:rStyle w:val="FootnoteReference"/>
        </w:rPr>
        <w:footnoteReference w:id="4286"/>
      </w:r>
      <w:r>
        <w:t xml:space="preserve"> of Bohan of the sons of Reuben.</w:t>
      </w:r>
    </w:p>
    <w:p>
      <w:r>
        <w:rPr>
          <w:b/>
        </w:rPr>
        <w:t xml:space="preserve">18 </w:t>
      </w:r>
      <w:r>
        <w:t xml:space="preserve">And it shall pass along the shoulder of Betharabah on the north and shall go down.</w:t>
      </w:r>
    </w:p>
    <w:p>
      <w:r>
        <w:rPr>
          <w:b/>
        </w:rPr>
        <w:t xml:space="preserve">19 </w:t>
      </w:r>
      <w:r>
        <w:t xml:space="preserve">to the boundary on the south of Baithagla on the north, and the outlet of the boundary shall be at the ridge of the Salt</w:t>
      </w:r>
      <w:r>
        <w:rPr>
          <w:rStyle w:val="FootnoteReference"/>
        </w:rPr>
        <w:footnoteReference w:id="4287"/>
      </w:r>
      <w:r>
        <w:t xml:space="preserve"> Sea on the north, by the part of the Jordan on the south. These are the boundaries from the south.</w:t>
      </w:r>
    </w:p>
    <w:p>
      <w:r>
        <w:rPr>
          <w:b/>
        </w:rPr>
        <w:t xml:space="preserve">20 </w:t>
      </w:r>
      <w:r>
        <w:t xml:space="preserve">And the Jordan shall bound it on the eastern side. This is the inheritance of the sons of Benjamin, its boundaries all around according to their clans.</w:t>
      </w:r>
    </w:p>
    <w:p>
      <w:r>
        <w:rPr>
          <w:b/>
        </w:rPr>
        <w:t xml:space="preserve">21 </w:t>
      </w:r>
      <w:r>
        <w:t xml:space="preserve">And the cities of the sons of Benjamin according to their clans came to be Jericho</w:t>
      </w:r>
      <w:r>
        <w:rPr>
          <w:rStyle w:val="FootnoteReference"/>
        </w:rPr>
        <w:footnoteReference w:id="4288"/>
      </w:r>
      <w:r>
        <w:t xml:space="preserve"> and Baitheglio and Amekasis,</w:t>
      </w:r>
    </w:p>
    <w:p>
      <w:r>
        <w:rPr>
          <w:b/>
        </w:rPr>
        <w:t xml:space="preserve">22 </w:t>
      </w:r>
      <w:r>
        <w:t xml:space="preserve">and Baithabara and Sara and Besana,</w:t>
      </w:r>
    </w:p>
    <w:p>
      <w:r>
        <w:rPr>
          <w:b/>
        </w:rPr>
        <w:t xml:space="preserve">23 </w:t>
      </w:r>
      <w:r>
        <w:t xml:space="preserve">and Avim</w:t>
      </w:r>
      <w:r>
        <w:rPr>
          <w:rStyle w:val="FootnoteReference"/>
        </w:rPr>
        <w:footnoteReference w:id="4289"/>
      </w:r>
      <w:r>
        <w:t xml:space="preserve"> and Parah</w:t>
      </w:r>
      <w:r>
        <w:rPr>
          <w:rStyle w:val="FootnoteReference"/>
        </w:rPr>
        <w:footnoteReference w:id="4290"/>
      </w:r>
      <w:r>
        <w:t xml:space="preserve"> and Ephrathah,</w:t>
      </w:r>
    </w:p>
    <w:p>
      <w:r>
        <w:rPr>
          <w:b/>
        </w:rPr>
        <w:t xml:space="preserve">24 </w:t>
      </w:r>
      <w:r>
        <w:t xml:space="preserve">and Karapha and Chephirah and Moni and Gibeah, twelve cities and their villages.</w:t>
      </w:r>
    </w:p>
    <w:p>
      <w:r>
        <w:rPr>
          <w:b/>
        </w:rPr>
        <w:t xml:space="preserve">25 </w:t>
      </w:r>
      <w:r>
        <w:t xml:space="preserve">Gibeon</w:t>
      </w:r>
      <w:r>
        <w:rPr>
          <w:rStyle w:val="FootnoteReference"/>
        </w:rPr>
        <w:footnoteReference w:id="4291"/>
      </w:r>
      <w:r>
        <w:t xml:space="preserve"> and Ramah</w:t>
      </w:r>
      <w:r>
        <w:rPr>
          <w:rStyle w:val="FootnoteReference"/>
        </w:rPr>
        <w:footnoteReference w:id="4292"/>
      </w:r>
      <w:r>
        <w:t xml:space="preserve"> and Beeroth,</w:t>
      </w:r>
    </w:p>
    <w:p>
      <w:r>
        <w:rPr>
          <w:b/>
        </w:rPr>
        <w:t xml:space="preserve">26 </w:t>
      </w:r>
      <w:r>
        <w:t xml:space="preserve">and Massema and Miron and Amoke,</w:t>
      </w:r>
    </w:p>
    <w:p>
      <w:r>
        <w:rPr>
          <w:b/>
        </w:rPr>
        <w:t xml:space="preserve">27 </w:t>
      </w:r>
      <w:r>
        <w:t xml:space="preserve">and Phira and Kaphan and Nakan and Selakan and Thareela,</w:t>
      </w:r>
    </w:p>
    <w:p>
      <w:r>
        <w:rPr>
          <w:b/>
        </w:rPr>
        <w:t xml:space="preserve">28 </w:t>
      </w:r>
      <w:r>
        <w:t xml:space="preserve">and Jebus, this is Jerusalem, and Gabbaothiariim, thirteen cities and their villages. This is the inheritance of the sons of Benjamin according to their clans.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the second lot</w:t>
      </w:r>
      <w:r>
        <w:rPr>
          <w:rStyle w:val="FootnoteReference"/>
        </w:rPr>
        <w:footnoteReference w:id="4293"/>
      </w:r>
      <w:r>
        <w:t xml:space="preserve"> came out for the sons of Simeon, and their inheritance came to be in the midst of the allotments of the sons of Judah.</w:t>
      </w:r>
    </w:p>
    <w:p>
      <w:r>
        <w:rPr>
          <w:b/>
        </w:rPr>
        <w:t xml:space="preserve">2 </w:t>
      </w:r>
      <w:r>
        <w:t xml:space="preserve">And their lot came to be Beersheba</w:t>
      </w:r>
      <w:r>
        <w:rPr>
          <w:rStyle w:val="FootnoteReference"/>
        </w:rPr>
        <w:footnoteReference w:id="4294"/>
      </w:r>
      <w:r>
        <w:t xml:space="preserve"> and Sheba and Moladah</w:t>
      </w:r>
      <w:r>
        <w:rPr>
          <w:rStyle w:val="FootnoteReference"/>
        </w:rPr>
        <w:footnoteReference w:id="4295"/>
      </w:r>
      <w:r>
        <w:t xml:space="preserve">,</w:t>
      </w:r>
    </w:p>
    <w:p>
      <w:r>
        <w:rPr>
          <w:b/>
        </w:rPr>
        <w:t xml:space="preserve">3 </w:t>
      </w:r>
      <w:r>
        <w:t xml:space="preserve">and Hazarshual</w:t>
      </w:r>
      <w:r>
        <w:rPr>
          <w:rStyle w:val="FootnoteReference"/>
        </w:rPr>
        <w:footnoteReference w:id="4296"/>
      </w:r>
      <w:r>
        <w:t xml:space="preserve"> and Bola and Azem,</w:t>
      </w:r>
      <w:r>
        <w:rPr>
          <w:rStyle w:val="FootnoteReference"/>
        </w:rPr>
        <w:footnoteReference w:id="4297"/>
      </w:r>
    </w:p>
    <w:p>
      <w:r>
        <w:rPr>
          <w:b/>
        </w:rPr>
        <w:t xml:space="preserve">4 </w:t>
      </w:r>
      <w:r>
        <w:t xml:space="preserve">and Eltolad</w:t>
      </w:r>
      <w:r>
        <w:rPr>
          <w:rStyle w:val="FootnoteReference"/>
        </w:rPr>
        <w:footnoteReference w:id="4298"/>
      </w:r>
      <w:r>
        <w:t xml:space="preserve"> and Boula and Hormah,</w:t>
      </w:r>
    </w:p>
    <w:p>
      <w:r>
        <w:rPr>
          <w:b/>
        </w:rPr>
        <w:t xml:space="preserve">5 </w:t>
      </w:r>
      <w:r>
        <w:t xml:space="preserve">and Ziklag</w:t>
      </w:r>
      <w:r>
        <w:rPr>
          <w:rStyle w:val="FootnoteReference"/>
        </w:rPr>
        <w:footnoteReference w:id="4299"/>
      </w:r>
      <w:r>
        <w:t xml:space="preserve"> and Bethmarcaboth</w:t>
      </w:r>
      <w:r>
        <w:rPr>
          <w:rStyle w:val="FootnoteReference"/>
        </w:rPr>
        <w:footnoteReference w:id="4300"/>
      </w:r>
      <w:r>
        <w:t xml:space="preserve"> and Hazarsusah</w:t>
      </w:r>
      <w:r>
        <w:rPr>
          <w:rStyle w:val="FootnoteReference"/>
        </w:rPr>
        <w:footnoteReference w:id="4301"/>
      </w:r>
      <w:r>
        <w:t xml:space="preserve">,</w:t>
      </w:r>
    </w:p>
    <w:p>
      <w:r>
        <w:rPr>
          <w:b/>
        </w:rPr>
        <w:t xml:space="preserve">6 </w:t>
      </w:r>
      <w:r>
        <w:t xml:space="preserve">and Batharoth and their fields, thirteen cities and their villages.</w:t>
      </w:r>
    </w:p>
    <w:p>
      <w:r>
        <w:rPr>
          <w:b/>
        </w:rPr>
        <w:t xml:space="preserve">7 </w:t>
      </w:r>
      <w:r>
        <w:t xml:space="preserve">Rimmon</w:t>
      </w:r>
      <w:r>
        <w:rPr>
          <w:rStyle w:val="FootnoteReference"/>
        </w:rPr>
        <w:footnoteReference w:id="4302"/>
      </w:r>
      <w:r>
        <w:t xml:space="preserve"> and Thalcha and Ether</w:t>
      </w:r>
      <w:r>
        <w:rPr>
          <w:rStyle w:val="FootnoteReference"/>
        </w:rPr>
        <w:footnoteReference w:id="4303"/>
      </w:r>
      <w:r>
        <w:t xml:space="preserve"> and Ashan</w:t>
      </w:r>
      <w:r>
        <w:rPr>
          <w:rStyle w:val="FootnoteReference"/>
        </w:rPr>
        <w:footnoteReference w:id="4304"/>
      </w:r>
      <w:r>
        <w:t xml:space="preserve">, four cities and their villages.</w:t>
      </w:r>
      <w:r>
        <w:rPr>
          <w:rStyle w:val="FootnoteReference"/>
        </w:rPr>
        <w:footnoteReference w:id="4305"/>
      </w:r>
    </w:p>
    <w:p>
      <w:r>
        <w:rPr>
          <w:b/>
        </w:rPr>
        <w:t xml:space="preserve">8 </w:t>
      </w:r>
      <w:r>
        <w:t xml:space="preserve">all around their cities as far as Baalath-beer</w:t>
      </w:r>
      <w:r>
        <w:rPr>
          <w:rStyle w:val="FootnoteReference"/>
        </w:rPr>
        <w:footnoteReference w:id="4306"/>
      </w:r>
      <w:r>
        <w:t xml:space="preserve">, going toward Ramath</w:t>
      </w:r>
      <w:r>
        <w:rPr>
          <w:rStyle w:val="FootnoteReference"/>
        </w:rPr>
        <w:footnoteReference w:id="4307"/>
      </w:r>
      <w:r>
        <w:t xml:space="preserve"> to the south. This is the inheritance of the tribe of the sons of Simeon according to their clans.</w:t>
      </w:r>
      <w:r>
        <w:rPr>
          <w:rStyle w:val="FootnoteReference"/>
        </w:rPr>
        <w:footnoteReference w:id="4308"/>
      </w:r>
    </w:p>
    <w:p>
      <w:r>
        <w:rPr>
          <w:b/>
        </w:rPr>
        <w:t xml:space="preserve">9 </w:t>
      </w:r>
      <w:r>
        <w:t xml:space="preserve">From the allotment of Judah came the inheritance of the tribe of the sons of Simeon, because the share of the sons of Judah became greater than theirs</w:t>
      </w:r>
      <w:r>
        <w:rPr>
          <w:rStyle w:val="FootnoteReference"/>
        </w:rPr>
        <w:footnoteReference w:id="4309"/>
      </w:r>
      <w:r>
        <w:t xml:space="preserve">, and the sons of Simeon inherited in the midst of their allotment.</w:t>
      </w:r>
    </w:p>
    <w:p>
      <w:r>
        <w:rPr>
          <w:b/>
        </w:rPr>
        <w:t xml:space="preserve">10 </w:t>
      </w:r>
      <w:r>
        <w:t xml:space="preserve">And the third</w:t>
      </w:r>
      <w:r>
        <w:rPr>
          <w:rStyle w:val="FootnoteReference"/>
        </w:rPr>
        <w:footnoteReference w:id="4310"/>
      </w:r>
      <w:r>
        <w:t xml:space="preserve"> lot came out for Zebulun according to their clans. The boundaries of their inheritance shall be Sarid</w:t>
      </w:r>
      <w:r>
        <w:rPr>
          <w:rStyle w:val="FootnoteReference"/>
        </w:rPr>
        <w:footnoteReference w:id="4311"/>
      </w:r>
      <w:r>
        <w:t xml:space="preserve">.</w:t>
      </w:r>
    </w:p>
    <w:p>
      <w:r>
        <w:rPr>
          <w:b/>
        </w:rPr>
        <w:t xml:space="preserve">11 </w:t>
      </w:r>
      <w:r>
        <w:t xml:space="preserve">Alvah, their boundary, the sea and Maralah</w:t>
      </w:r>
      <w:r>
        <w:rPr>
          <w:rStyle w:val="FootnoteReference"/>
        </w:rPr>
        <w:footnoteReference w:id="4312"/>
      </w:r>
      <w:r>
        <w:t xml:space="preserve">, and it shall join to Betharabah at the ravine that is opposite Jekman.</w:t>
      </w:r>
    </w:p>
    <w:p>
      <w:r>
        <w:rPr>
          <w:b/>
        </w:rPr>
        <w:t xml:space="preserve">12 </w:t>
      </w:r>
      <w:r>
        <w:t xml:space="preserve">And it turned back from Sarid opposite the east to Beth-shemesh, to the boundaries of Chaselothaith, and it shall pass to Dabiroth and go up to Phaggai.</w:t>
      </w:r>
    </w:p>
    <w:p>
      <w:r>
        <w:rPr>
          <w:b/>
        </w:rPr>
        <w:t xml:space="preserve">13 </w:t>
      </w:r>
      <w:r>
        <w:t xml:space="preserve">And from there it shall go around opposite eastward to Gebere, to the city Eth-kazin</w:t>
      </w:r>
      <w:r>
        <w:rPr>
          <w:rStyle w:val="FootnoteReference"/>
        </w:rPr>
        <w:footnoteReference w:id="4313"/>
      </w:r>
      <w:r>
        <w:t xml:space="preserve">, and shall pass to Remmona Amathar Aouza.</w:t>
      </w:r>
    </w:p>
    <w:p>
      <w:r>
        <w:rPr>
          <w:b/>
        </w:rPr>
        <w:t xml:space="preserve">14 </w:t>
      </w:r>
      <w:r>
        <w:t xml:space="preserve">And the boundary shall go around to the north at Hannathon</w:t>
      </w:r>
      <w:r>
        <w:rPr>
          <w:rStyle w:val="FootnoteReference"/>
        </w:rPr>
        <w:footnoteReference w:id="4314"/>
      </w:r>
      <w:r>
        <w:t xml:space="preserve">, and its outlet shall be at Gaiphael,</w:t>
      </w:r>
    </w:p>
    <w:p>
      <w:r>
        <w:rPr>
          <w:b/>
        </w:rPr>
        <w:t xml:space="preserve">15 </w:t>
      </w:r>
      <w:r>
        <w:t xml:space="preserve">and Katanath and Nahallal</w:t>
      </w:r>
      <w:r>
        <w:rPr>
          <w:rStyle w:val="FootnoteReference"/>
        </w:rPr>
        <w:footnoteReference w:id="4315"/>
      </w:r>
      <w:r>
        <w:t xml:space="preserve"> and Shimron</w:t>
      </w:r>
      <w:r>
        <w:rPr>
          <w:rStyle w:val="FootnoteReference"/>
        </w:rPr>
        <w:footnoteReference w:id="4316"/>
      </w:r>
      <w:r>
        <w:t xml:space="preserve"> and Jericho and Baithman.</w:t>
      </w:r>
    </w:p>
    <w:p>
      <w:r>
        <w:rPr>
          <w:b/>
        </w:rPr>
        <w:t xml:space="preserve">16 </w:t>
      </w:r>
      <w:r>
        <w:t xml:space="preserve">This is the inheritance of the tribe of the sons of Zebulun according to their clans, the cities and their villages.</w:t>
      </w:r>
    </w:p>
    <w:p>
      <w:r>
        <w:rPr>
          <w:b/>
        </w:rPr>
        <w:t xml:space="preserve">17 </w:t>
      </w:r>
      <w:r>
        <w:t xml:space="preserve">And for Issachar the fourth lot came out.</w:t>
      </w:r>
    </w:p>
    <w:p>
      <w:r>
        <w:rPr>
          <w:b/>
        </w:rPr>
        <w:t xml:space="preserve">18 </w:t>
      </w:r>
      <w:r>
        <w:t xml:space="preserve">And their boundaries came to be Jezreel</w:t>
      </w:r>
      <w:r>
        <w:rPr>
          <w:rStyle w:val="FootnoteReference"/>
        </w:rPr>
        <w:footnoteReference w:id="4317"/>
      </w:r>
      <w:r>
        <w:t xml:space="preserve"> and Chesulloth</w:t>
      </w:r>
      <w:r>
        <w:rPr>
          <w:rStyle w:val="FootnoteReference"/>
        </w:rPr>
        <w:footnoteReference w:id="4318"/>
      </w:r>
      <w:r>
        <w:t xml:space="preserve"> and Shunem</w:t>
      </w:r>
      <w:r>
        <w:rPr>
          <w:rStyle w:val="FootnoteReference"/>
        </w:rPr>
        <w:footnoteReference w:id="4319"/>
      </w:r>
      <w:r>
        <w:t xml:space="preserve">,</w:t>
      </w:r>
    </w:p>
    <w:p>
      <w:r>
        <w:rPr>
          <w:b/>
        </w:rPr>
        <w:t xml:space="preserve">19 </w:t>
      </w:r>
      <w:r>
        <w:t xml:space="preserve">and Agin and Siona and Reeiroth and Anachereth,</w:t>
      </w:r>
    </w:p>
    <w:p>
      <w:r>
        <w:rPr>
          <w:b/>
        </w:rPr>
        <w:t xml:space="preserve">20 </w:t>
      </w:r>
      <w:r>
        <w:t xml:space="preserve">and Dabiron and Kishion</w:t>
      </w:r>
      <w:r>
        <w:rPr>
          <w:rStyle w:val="FootnoteReference"/>
        </w:rPr>
        <w:footnoteReference w:id="4320"/>
      </w:r>
      <w:r>
        <w:t xml:space="preserve"> and Rebes,</w:t>
      </w:r>
    </w:p>
    <w:p>
      <w:r>
        <w:rPr>
          <w:b/>
        </w:rPr>
        <w:t xml:space="preserve">21 </w:t>
      </w:r>
      <w:r>
        <w:t xml:space="preserve">and Remmas and Jeon and Tomman and Aimarek and Bersaphes,</w:t>
      </w:r>
    </w:p>
    <w:p>
      <w:r>
        <w:rPr>
          <w:b/>
        </w:rPr>
        <w:t xml:space="preserve">22 </w:t>
      </w:r>
      <w:r>
        <w:t xml:space="preserve">and the boundary shall join to Tabor</w:t>
      </w:r>
      <w:r>
        <w:rPr>
          <w:rStyle w:val="FootnoteReference"/>
        </w:rPr>
        <w:footnoteReference w:id="4321"/>
      </w:r>
      <w:r>
        <w:t xml:space="preserve"> and to Shahazimah by the sea and Beth-shemesh, and the outlet of its boundaries shall be the Jordan.</w:t>
      </w:r>
      <w:r>
        <w:rPr>
          <w:rStyle w:val="FootnoteReference"/>
        </w:rPr>
        <w:footnoteReference w:id="4322"/>
      </w:r>
    </w:p>
    <w:p>
      <w:r>
        <w:rPr>
          <w:b/>
        </w:rPr>
        <w:t xml:space="preserve">23 </w:t>
      </w:r>
      <w:r>
        <w:t xml:space="preserve">This is the inheritance of the tribe of the sons of Issachar according to their clans, the cities and their villages.</w:t>
      </w:r>
    </w:p>
    <w:p>
      <w:r>
        <w:rPr>
          <w:b/>
        </w:rPr>
        <w:t xml:space="preserve">24 </w:t>
      </w:r>
      <w:r>
        <w:t xml:space="preserve">And the fifth lot came out for Asher.</w:t>
      </w:r>
    </w:p>
    <w:p>
      <w:r>
        <w:rPr>
          <w:b/>
        </w:rPr>
        <w:t xml:space="preserve">25 </w:t>
      </w:r>
      <w:r>
        <w:t xml:space="preserve">And their boundaries came to be Helkath</w:t>
      </w:r>
      <w:r>
        <w:rPr>
          <w:rStyle w:val="FootnoteReference"/>
        </w:rPr>
        <w:footnoteReference w:id="4323"/>
      </w:r>
      <w:r>
        <w:t xml:space="preserve"> and Hali</w:t>
      </w:r>
      <w:r>
        <w:rPr>
          <w:rStyle w:val="FootnoteReference"/>
        </w:rPr>
        <w:footnoteReference w:id="4324"/>
      </w:r>
      <w:r>
        <w:t xml:space="preserve"> and Beten</w:t>
      </w:r>
      <w:r>
        <w:rPr>
          <w:rStyle w:val="FootnoteReference"/>
        </w:rPr>
        <w:footnoteReference w:id="4325"/>
      </w:r>
      <w:r>
        <w:t xml:space="preserve"> and Achshaph,</w:t>
      </w:r>
      <w:r>
        <w:rPr>
          <w:rStyle w:val="FootnoteReference"/>
        </w:rPr>
        <w:footnoteReference w:id="4326"/>
      </w:r>
    </w:p>
    <w:p>
      <w:r>
        <w:rPr>
          <w:b/>
        </w:rPr>
        <w:t xml:space="preserve">26 </w:t>
      </w:r>
      <w:r>
        <w:t xml:space="preserve">and Alammelech</w:t>
      </w:r>
      <w:r>
        <w:rPr>
          <w:rStyle w:val="FootnoteReference"/>
        </w:rPr>
        <w:footnoteReference w:id="4327"/>
      </w:r>
      <w:r>
        <w:t xml:space="preserve"> and Amiiel and Maasa, and it shall join to Carmel</w:t>
      </w:r>
      <w:r>
        <w:rPr>
          <w:rStyle w:val="FootnoteReference"/>
        </w:rPr>
        <w:footnoteReference w:id="4328"/>
      </w:r>
      <w:r>
        <w:t xml:space="preserve"> by the sea and to Zion and Labanath.</w:t>
      </w:r>
    </w:p>
    <w:p>
      <w:r>
        <w:rPr>
          <w:b/>
        </w:rPr>
        <w:t xml:space="preserve">27 </w:t>
      </w:r>
      <w:r>
        <w:t xml:space="preserve">And it shall turn back from the rising of the sun to Baithegenech and join to Zebulun, and from Gai to Phthaiel northward, and the boundary shall enter Saphtbaithme and Inael and pass to Hobah Masomel,</w:t>
      </w:r>
    </w:p>
    <w:p>
      <w:r>
        <w:rPr>
          <w:b/>
        </w:rPr>
        <w:t xml:space="preserve">28 </w:t>
      </w:r>
      <w:r>
        <w:t xml:space="preserve">and Hebron and Rehob</w:t>
      </w:r>
      <w:r>
        <w:rPr>
          <w:rStyle w:val="FootnoteReference"/>
        </w:rPr>
        <w:footnoteReference w:id="4329"/>
      </w:r>
      <w:r>
        <w:t xml:space="preserve"> and Hammon</w:t>
      </w:r>
      <w:r>
        <w:rPr>
          <w:rStyle w:val="FootnoteReference"/>
        </w:rPr>
        <w:footnoteReference w:id="4330"/>
      </w:r>
      <w:r>
        <w:t xml:space="preserve"> and Kanah, as far as great Sidon.</w:t>
      </w:r>
      <w:r>
        <w:rPr>
          <w:rStyle w:val="FootnoteReference"/>
        </w:rPr>
        <w:footnoteReference w:id="4331"/>
      </w:r>
    </w:p>
    <w:p>
      <w:r>
        <w:rPr>
          <w:b/>
        </w:rPr>
        <w:t xml:space="preserve">29 </w:t>
      </w:r>
      <w:r>
        <w:t xml:space="preserve">And the boundary shall turn to Ramah and as far as the spring of Masphassat and the Tyrians</w:t>
      </w:r>
      <w:r>
        <w:rPr>
          <w:rStyle w:val="FootnoteReference"/>
        </w:rPr>
        <w:footnoteReference w:id="4332"/>
      </w:r>
      <w:r>
        <w:t xml:space="preserve">, and the boundary shall turn to Iasiph, and its outlet shall be the sea, and from Leb and Echozob,</w:t>
      </w:r>
    </w:p>
    <w:p>
      <w:r>
        <w:rPr>
          <w:b/>
        </w:rPr>
        <w:t xml:space="preserve">30 </w:t>
      </w:r>
      <w:r>
        <w:t xml:space="preserve">and Archob and Aphek</w:t>
      </w:r>
      <w:r>
        <w:rPr>
          <w:rStyle w:val="FootnoteReference"/>
        </w:rPr>
        <w:footnoteReference w:id="4333"/>
      </w:r>
      <w:r>
        <w:t xml:space="preserve"> and Raau,</w:t>
      </w:r>
    </w:p>
    <w:p>
      <w:r>
        <w:rPr>
          <w:b/>
        </w:rPr>
        <w:t xml:space="preserve">31 </w:t>
      </w:r>
      <w:r>
        <w:t xml:space="preserve">This is the inheritance of the tribe of the sons of Asher according to their clans, the cities and their villages.</w:t>
      </w:r>
    </w:p>
    <w:p>
      <w:r>
        <w:rPr>
          <w:b/>
        </w:rPr>
        <w:t xml:space="preserve">32 </w:t>
      </w:r>
      <w:r>
        <w:t xml:space="preserve">And for Naphtali the sixth lot came out</w:t>
      </w:r>
      <w:r>
        <w:rPr>
          <w:rStyle w:val="FootnoteReference"/>
        </w:rPr>
        <w:footnoteReference w:id="4334"/>
      </w:r>
      <w:r>
        <w:t xml:space="preserve">.</w:t>
      </w:r>
    </w:p>
    <w:p>
      <w:r>
        <w:rPr>
          <w:b/>
        </w:rPr>
        <w:t xml:space="preserve">33 </w:t>
      </w:r>
      <w:r>
        <w:t xml:space="preserve">And their boundaries came to be Moolam</w:t>
      </w:r>
      <w:r>
        <w:rPr>
          <w:rStyle w:val="FootnoteReference"/>
        </w:rPr>
        <w:footnoteReference w:id="4335"/>
      </w:r>
      <w:r>
        <w:t xml:space="preserve"> and Mola and Besemiin and Arme</w:t>
      </w:r>
      <w:r>
        <w:rPr>
          <w:rStyle w:val="FootnoteReference"/>
        </w:rPr>
        <w:footnoteReference w:id="4336"/>
      </w:r>
      <w:r>
        <w:t xml:space="preserve"> and Nabok</w:t>
      </w:r>
      <w:r>
        <w:rPr>
          <w:rStyle w:val="FootnoteReference"/>
        </w:rPr>
        <w:footnoteReference w:id="4337"/>
      </w:r>
      <w:r>
        <w:t xml:space="preserve"> and Jephthamai, as far as Dodam</w:t>
      </w:r>
      <w:r>
        <w:rPr>
          <w:rStyle w:val="FootnoteReference"/>
        </w:rPr>
        <w:footnoteReference w:id="4338"/>
      </w:r>
      <w:r>
        <w:t xml:space="preserve">, and its outlets came to be the Jordan.</w:t>
      </w:r>
    </w:p>
    <w:p>
      <w:r>
        <w:rPr>
          <w:b/>
        </w:rPr>
        <w:t xml:space="preserve">34 </w:t>
      </w:r>
      <w:r>
        <w:t xml:space="preserve">And the boundary shall turn to the sea at Enath-thabor and pass from there to Jakana, and it shall join to Zebulun from the south and Asher shall join by the sea, and the Jordan from the rising of the sun.</w:t>
      </w:r>
      <w:r>
        <w:rPr>
          <w:rStyle w:val="FootnoteReference"/>
        </w:rPr>
        <w:footnoteReference w:id="4339"/>
      </w:r>
    </w:p>
    <w:p>
      <w:r>
        <w:rPr>
          <w:b/>
        </w:rPr>
        <w:t xml:space="preserve">35 </w:t>
      </w:r>
      <w:r>
        <w:t xml:space="preserve">And the fortified cities of the Tyrians were Tyre</w:t>
      </w:r>
      <w:r>
        <w:rPr>
          <w:rStyle w:val="FootnoteReference"/>
        </w:rPr>
        <w:footnoteReference w:id="4340"/>
      </w:r>
      <w:r>
        <w:t xml:space="preserve"> and Omatha, Rakkath</w:t>
      </w:r>
      <w:r>
        <w:rPr>
          <w:rStyle w:val="FootnoteReference"/>
        </w:rPr>
        <w:footnoteReference w:id="4341"/>
      </w:r>
      <w:r>
        <w:t xml:space="preserve"> and Kenereth</w:t>
      </w:r>
      <w:r>
        <w:rPr>
          <w:rStyle w:val="FootnoteReference"/>
        </w:rPr>
        <w:footnoteReference w:id="4342"/>
      </w:r>
      <w:r>
        <w:t xml:space="preserve">,</w:t>
      </w:r>
    </w:p>
    <w:p>
      <w:r>
        <w:rPr>
          <w:b/>
        </w:rPr>
        <w:t xml:space="preserve">36 </w:t>
      </w:r>
      <w:r>
        <w:t xml:space="preserve">and Adamah</w:t>
      </w:r>
      <w:r>
        <w:rPr>
          <w:rStyle w:val="FootnoteReference"/>
        </w:rPr>
        <w:footnoteReference w:id="4343"/>
      </w:r>
      <w:r>
        <w:t xml:space="preserve"> and Arael and Hazor</w:t>
      </w:r>
      <w:r>
        <w:rPr>
          <w:rStyle w:val="FootnoteReference"/>
        </w:rPr>
        <w:footnoteReference w:id="4344"/>
      </w:r>
      <w:r>
        <w:t xml:space="preserve">,</w:t>
      </w:r>
    </w:p>
    <w:p>
      <w:r>
        <w:rPr>
          <w:b/>
        </w:rPr>
        <w:t xml:space="preserve">37 </w:t>
      </w:r>
      <w:r>
        <w:t xml:space="preserve">and Kedesh</w:t>
      </w:r>
      <w:r>
        <w:rPr>
          <w:rStyle w:val="FootnoteReference"/>
        </w:rPr>
        <w:footnoteReference w:id="4345"/>
      </w:r>
      <w:r>
        <w:t xml:space="preserve"> and Assari and the spring of Hazor,</w:t>
      </w:r>
      <w:r>
        <w:rPr>
          <w:rStyle w:val="FootnoteReference"/>
        </w:rPr>
        <w:footnoteReference w:id="4346"/>
      </w:r>
    </w:p>
    <w:p>
      <w:r>
        <w:rPr>
          <w:b/>
        </w:rPr>
        <w:t xml:space="preserve">38 </w:t>
      </w:r>
      <w:r>
        <w:t xml:space="preserve">and Iron</w:t>
      </w:r>
      <w:r>
        <w:rPr>
          <w:rStyle w:val="FootnoteReference"/>
        </w:rPr>
        <w:footnoteReference w:id="4347"/>
      </w:r>
      <w:r>
        <w:t xml:space="preserve"> and Migdalel</w:t>
      </w:r>
      <w:r>
        <w:rPr>
          <w:rStyle w:val="FootnoteReference"/>
        </w:rPr>
        <w:footnoteReference w:id="4348"/>
      </w:r>
      <w:r>
        <w:t xml:space="preserve">, Horem</w:t>
      </w:r>
      <w:r>
        <w:rPr>
          <w:rStyle w:val="FootnoteReference"/>
        </w:rPr>
        <w:footnoteReference w:id="4349"/>
      </w:r>
      <w:r>
        <w:t xml:space="preserve"> and Baiththame and Thessamys.</w:t>
      </w:r>
    </w:p>
    <w:p>
      <w:r>
        <w:rPr>
          <w:b/>
        </w:rPr>
        <w:t xml:space="preserve">39 </w:t>
      </w:r>
      <w:r>
        <w:t xml:space="preserve">This is the inheritance of the tribe of the sons of Naphtali.</w:t>
      </w:r>
    </w:p>
    <w:p>
      <w:r>
        <w:rPr>
          <w:b/>
        </w:rPr>
        <w:t xml:space="preserve">40 </w:t>
      </w:r>
      <w:r>
        <w:t xml:space="preserve">And for Dan the seventh lot came out.</w:t>
      </w:r>
    </w:p>
    <w:p>
      <w:r>
        <w:rPr>
          <w:b/>
        </w:rPr>
        <w:t xml:space="preserve">41 </w:t>
      </w:r>
      <w:r>
        <w:t xml:space="preserve">And their boundaries came to be Zorah</w:t>
      </w:r>
      <w:r>
        <w:rPr>
          <w:rStyle w:val="FootnoteReference"/>
        </w:rPr>
        <w:footnoteReference w:id="4350"/>
      </w:r>
      <w:r>
        <w:t xml:space="preserve"> and Asa, cities of Sammans,</w:t>
      </w:r>
      <w:r>
        <w:rPr>
          <w:rStyle w:val="FootnoteReference"/>
        </w:rPr>
        <w:footnoteReference w:id="4351"/>
      </w:r>
    </w:p>
    <w:p>
      <w:r>
        <w:rPr>
          <w:b/>
        </w:rPr>
        <w:t xml:space="preserve">42 </w:t>
      </w:r>
      <w:r>
        <w:t xml:space="preserve">and Salabin and Ammon and Silatha,</w:t>
      </w:r>
    </w:p>
    <w:p>
      <w:r>
        <w:rPr>
          <w:b/>
        </w:rPr>
        <w:t xml:space="preserve">43 </w:t>
      </w:r>
      <w:r>
        <w:t xml:space="preserve">and Elon and Thimnathah</w:t>
      </w:r>
      <w:r>
        <w:rPr>
          <w:rStyle w:val="FootnoteReference"/>
        </w:rPr>
        <w:footnoteReference w:id="4352"/>
      </w:r>
      <w:r>
        <w:t xml:space="preserve"> and Ekron,</w:t>
      </w:r>
    </w:p>
    <w:p>
      <w:r>
        <w:rPr>
          <w:b/>
        </w:rPr>
        <w:t xml:space="preserve">44 </w:t>
      </w:r>
      <w:r>
        <w:t xml:space="preserve">and Alkatha and Bege thon and Gebeelan,</w:t>
      </w:r>
    </w:p>
    <w:p>
      <w:r>
        <w:rPr>
          <w:b/>
        </w:rPr>
        <w:t xml:space="preserve">45 </w:t>
      </w:r>
      <w:r>
        <w:t xml:space="preserve">and Azor</w:t>
      </w:r>
      <w:r>
        <w:rPr>
          <w:rStyle w:val="FootnoteReference"/>
        </w:rPr>
        <w:footnoteReference w:id="4353"/>
      </w:r>
      <w:r>
        <w:t xml:space="preserve"> and Beneberak</w:t>
      </w:r>
      <w:r>
        <w:rPr>
          <w:rStyle w:val="FootnoteReference"/>
        </w:rPr>
        <w:footnoteReference w:id="4354"/>
      </w:r>
      <w:r>
        <w:t xml:space="preserve"> and Gathrimmon</w:t>
      </w:r>
      <w:r>
        <w:rPr>
          <w:rStyle w:val="FootnoteReference"/>
        </w:rPr>
        <w:footnoteReference w:id="4355"/>
      </w:r>
      <w:r>
        <w:t xml:space="preserve">,</w:t>
      </w:r>
      <w:r>
        <w:rPr>
          <w:rStyle w:val="FootnoteReference"/>
        </w:rPr>
        <w:footnoteReference w:id="4356"/>
      </w:r>
    </w:p>
    <w:p>
      <w:r>
        <w:rPr>
          <w:b/>
        </w:rPr>
        <w:t xml:space="preserve">46 </w:t>
      </w:r>
      <w:r>
        <w:t xml:space="preserve">and from the sea Hierakon, the boundary near Joppa</w:t>
      </w:r>
      <w:r>
        <w:rPr>
          <w:rStyle w:val="FootnoteReference"/>
        </w:rPr>
        <w:footnoteReference w:id="4357"/>
      </w:r>
      <w:r>
        <w:t xml:space="preserve">.</w:t>
      </w:r>
    </w:p>
    <w:p>
      <w:r>
        <w:rPr>
          <w:b/>
        </w:rPr>
        <w:t xml:space="preserve">47 </w:t>
      </w:r>
      <w:r>
        <w:t xml:space="preserve">This is the inheritance of the tribe of the sons of Dan according to their clans, their cities and their villages. And the sons of Dan did not drive out the Amorite who hemmed them in on the mountain, and the Amorites did not allow them to go down into the valley, and they pressed the boundary of their portion away from them.</w:t>
      </w:r>
      <w:r>
        <w:rPr>
          <w:rStyle w:val="FootnoteReference"/>
        </w:rPr>
        <w:footnoteReference w:id="4358"/>
      </w:r>
    </w:p>
    <w:p>
      <w:r>
        <w:rPr>
          <w:b/>
        </w:rPr>
        <w:t xml:space="preserve">48 </w:t>
      </w:r>
      <w:r>
        <w:t xml:space="preserve">And the sons of Judah went and fought Lachish and captured it and struck it with the edge of the sword and settled in it and called its name Lasendak</w:t>
      </w:r>
      <w:r>
        <w:rPr>
          <w:rStyle w:val="FootnoteReference"/>
        </w:rPr>
        <w:footnoteReference w:id="4359"/>
      </w:r>
      <w:r>
        <w:t xml:space="preserve">. And the Amorite remained dwelling in Elom and in Salamin, and the hand of Ephraim weighed heavily on them, and they became tributary to them.</w:t>
      </w:r>
    </w:p>
    <w:p>
      <w:r>
        <w:rPr>
          <w:b/>
        </w:rPr>
        <w:t xml:space="preserve">49 </w:t>
      </w:r>
      <w:r>
        <w:t xml:space="preserve">And they went to take possession of the land according to their boundary, and the sons of Israel gave</w:t>
      </w:r>
      <w:r>
        <w:rPr>
          <w:rStyle w:val="FootnoteReference"/>
        </w:rPr>
        <w:footnoteReference w:id="4360"/>
      </w:r>
      <w:r>
        <w:t xml:space="preserve"> Joshua son of Nun an inheritance among them.</w:t>
      </w:r>
    </w:p>
    <w:p>
      <w:r>
        <w:rPr>
          <w:b/>
        </w:rPr>
        <w:t xml:space="preserve">50 </w:t>
      </w:r>
      <w:r>
        <w:t xml:space="preserve">By the command of God they gave him the city he asked, Thamnasarach</w:t>
      </w:r>
      <w:r>
        <w:rPr>
          <w:rStyle w:val="FootnoteReference"/>
        </w:rPr>
        <w:footnoteReference w:id="4361"/>
      </w:r>
      <w:r>
        <w:t xml:space="preserve">, which is in the hill-country of Ephraim, and he built the city and lived in it.</w:t>
      </w:r>
    </w:p>
    <w:p>
      <w:r>
        <w:rPr>
          <w:b/>
        </w:rPr>
        <w:t xml:space="preserve">51 </w:t>
      </w:r>
      <w:r>
        <w:t xml:space="preserve">These are</w:t>
      </w:r>
      <w:r>
        <w:rPr>
          <w:rStyle w:val="FootnoteReference"/>
        </w:rPr>
        <w:footnoteReference w:id="4362"/>
      </w:r>
      <w:r>
        <w:t xml:space="preserve"> the divisions</w:t>
      </w:r>
      <w:r>
        <w:rPr>
          <w:rStyle w:val="FootnoteReference"/>
        </w:rPr>
        <w:footnoteReference w:id="4363"/>
      </w:r>
      <w:r>
        <w:t xml:space="preserve"> that Eleazar the priest and Joshua son of Nun and the heads of the fathers among the tribes of Israel apportioned by lots in Shiloh before the Lord at the doors of the tent of testimony, and they went to take possession of the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the Lord spoke to Joshua, saying,</w:t>
      </w:r>
    </w:p>
    <w:p>
      <w:r>
        <w:rPr>
          <w:b/>
        </w:rPr>
        <w:t xml:space="preserve">2 </w:t>
      </w:r>
      <w:r>
        <w:t xml:space="preserve">Speak to the sons of Israel, saying, Appoint</w:t>
      </w:r>
      <w:r>
        <w:rPr>
          <w:rStyle w:val="FootnoteReference"/>
        </w:rPr>
        <w:footnoteReference w:id="4364"/>
      </w:r>
      <w:r>
        <w:t xml:space="preserve"> the cities of refuge of which I spoke to you through Moses,</w:t>
      </w:r>
    </w:p>
    <w:p>
      <w:r>
        <w:rPr>
          <w:b/>
        </w:rPr>
        <w:t xml:space="preserve">3 </w:t>
      </w:r>
      <w:r>
        <w:t xml:space="preserve">a refuge for the killer who struck down a life unintentionally, and the cities shall be for you as a refuge, and the killer shall not die by the hand of the avenger of blood until he stands before the congregation for judgment.</w:t>
      </w:r>
    </w:p>
    <w:p>
      <w:r>
        <w:rPr>
          <w:b/>
        </w:rPr>
        <w:t xml:space="preserve">7 </w:t>
      </w:r>
      <w:r>
        <w:t xml:space="preserve">And they set apart Kedesh</w:t>
      </w:r>
      <w:r>
        <w:rPr>
          <w:rStyle w:val="FootnoteReference"/>
        </w:rPr>
        <w:footnoteReference w:id="4365"/>
      </w:r>
      <w:r>
        <w:t xml:space="preserve"> in Galilee in the mountain of Naphtali, and Shechem in the mountain of Ephraim, and the city Arba, this is Hebron, in the mountain of Judah.</w:t>
      </w:r>
    </w:p>
    <w:p>
      <w:r>
        <w:rPr>
          <w:b/>
        </w:rPr>
        <w:t xml:space="preserve">8 </w:t>
      </w:r>
      <w:r>
        <w:t xml:space="preserve">And beyond the Jordan they gave Besor in the wilderness in the plain from the tribe of Reuben, and Ramoth</w:t>
      </w:r>
      <w:r>
        <w:rPr>
          <w:rStyle w:val="FootnoteReference"/>
        </w:rPr>
        <w:footnoteReference w:id="4366"/>
      </w:r>
      <w:r>
        <w:t xml:space="preserve"> in Gilead from the tribe of Gad, and Golan in Bashan from the tribe of Manasseh.</w:t>
      </w:r>
      <w:r>
        <w:rPr>
          <w:rStyle w:val="FootnoteReference"/>
        </w:rPr>
        <w:footnoteReference w:id="4367"/>
      </w:r>
    </w:p>
    <w:p>
      <w:r>
        <w:rPr>
          <w:b/>
        </w:rPr>
        <w:t xml:space="preserve">9 </w:t>
      </w:r>
      <w:r>
        <w:t xml:space="preserve">These are the appointed cities for the sons of Israel and for the resident foreigner staying among them, that everyone striking a life unintentionally might flee there, so that he may not die by the hand of the avenger of blood until he stands before the congregation for judgment.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the heads</w:t>
      </w:r>
      <w:r>
        <w:rPr>
          <w:rStyle w:val="FootnoteReference"/>
        </w:rPr>
        <w:footnoteReference w:id="4368"/>
      </w:r>
      <w:r>
        <w:t xml:space="preserve"> of the fathers' houses of the sons of Levi approached Eleazar the priest and Joshua son of Nun and the heads of the fathers' houses from the tribes of Israel.</w:t>
      </w:r>
    </w:p>
    <w:p>
      <w:r>
        <w:rPr>
          <w:b/>
        </w:rPr>
        <w:t xml:space="preserve">2 </w:t>
      </w:r>
      <w:r>
        <w:t xml:space="preserve">And they said to them in Shiloh</w:t>
      </w:r>
      <w:r>
        <w:rPr>
          <w:rStyle w:val="FootnoteReference"/>
        </w:rPr>
        <w:footnoteReference w:id="4369"/>
      </w:r>
      <w:r>
        <w:t xml:space="preserve"> in the land of Canaan, saying, The Lord commanded by the hand of Moses to give us cities to dwell in and pasturelands for our cattle.</w:t>
      </w:r>
    </w:p>
    <w:p>
      <w:r>
        <w:rPr>
          <w:b/>
        </w:rPr>
        <w:t xml:space="preserve">3 </w:t>
      </w:r>
      <w:r>
        <w:t xml:space="preserve">And the sons of Israel gave to the Levites, in their inheriting, by the command of the Lord, the cities and their pasturelands.</w:t>
      </w:r>
    </w:p>
    <w:p>
      <w:r>
        <w:rPr>
          <w:b/>
        </w:rPr>
        <w:t xml:space="preserve">4 </w:t>
      </w:r>
      <w:r>
        <w:t xml:space="preserve">And the lot came out for the clan of Kohath, and for the sons of Aaron the priests, the Levites, from the tribe</w:t>
      </w:r>
      <w:r>
        <w:rPr>
          <w:rStyle w:val="FootnoteReference"/>
        </w:rPr>
        <w:footnoteReference w:id="4370"/>
      </w:r>
      <w:r>
        <w:t xml:space="preserve"> of Judah and from the tribe of Simeon and from the tribe of Benjamin, thirteen cities by lot.</w:t>
      </w:r>
    </w:p>
    <w:p>
      <w:r>
        <w:rPr>
          <w:b/>
        </w:rPr>
        <w:t xml:space="preserve">5 </w:t>
      </w:r>
      <w:r>
        <w:t xml:space="preserve">And for the sons of Kohath who were left, from the tribe of Ephraim and from the tribe of Dan and from the half tribe of Manasseh, ten cities by lot.</w:t>
      </w:r>
    </w:p>
    <w:p>
      <w:r>
        <w:rPr>
          <w:b/>
        </w:rPr>
        <w:t xml:space="preserve">6 </w:t>
      </w:r>
      <w:r>
        <w:t xml:space="preserve">And for the sons of Gershon, from the tribe of Issachar and from the tribe of Asher and from the tribe of Naphtali and from the half tribe of Manasseh in Bashan, thirteen cities.</w:t>
      </w:r>
    </w:p>
    <w:p>
      <w:r>
        <w:rPr>
          <w:b/>
        </w:rPr>
        <w:t xml:space="preserve">7 </w:t>
      </w:r>
      <w:r>
        <w:t xml:space="preserve">And for the sons of Merari according to their clans, from the tribe of Reuben and from the tribe of Gad and from the tribe of Zebulun, twelve cities by lot.</w:t>
      </w:r>
    </w:p>
    <w:p>
      <w:r>
        <w:rPr>
          <w:b/>
        </w:rPr>
        <w:t xml:space="preserve">8 </w:t>
      </w:r>
      <w:r>
        <w:t xml:space="preserve">And the sons of Israel gave to the Levites the cities and their pasturelands, just as the Lord commanded Moses, by lot</w:t>
      </w:r>
      <w:r>
        <w:rPr>
          <w:rStyle w:val="FootnoteReference"/>
        </w:rPr>
        <w:footnoteReference w:id="4371"/>
      </w:r>
      <w:r>
        <w:t xml:space="preserve">.</w:t>
      </w:r>
    </w:p>
    <w:p>
      <w:r>
        <w:rPr>
          <w:b/>
        </w:rPr>
        <w:t xml:space="preserve">9 </w:t>
      </w:r>
      <w:r>
        <w:t xml:space="preserve">And the tribe of the sons of Judah and the tribe of the sons of Simeon and from the tribe of the sons of Benjamin gave the cities that were called out</w:t>
      </w:r>
    </w:p>
    <w:p>
      <w:r>
        <w:rPr>
          <w:b/>
        </w:rPr>
        <w:t xml:space="preserve">10 </w:t>
      </w:r>
      <w:r>
        <w:t xml:space="preserve">for the sons of Aaron from the clan of Kohath of the sons of Levi, because for these the lot came to be.</w:t>
      </w:r>
    </w:p>
    <w:p>
      <w:r>
        <w:rPr>
          <w:b/>
        </w:rPr>
        <w:t xml:space="preserve">11 </w:t>
      </w:r>
      <w:r>
        <w:t xml:space="preserve">And they gave them the city of Arba</w:t>
      </w:r>
      <w:r>
        <w:rPr>
          <w:rStyle w:val="FootnoteReference"/>
        </w:rPr>
        <w:footnoteReference w:id="4372"/>
      </w:r>
      <w:r>
        <w:t xml:space="preserve">, metropolis of the Anakim, this is Hebron, in the hill-country of Judah, and its pasturelands around it.</w:t>
      </w:r>
    </w:p>
    <w:p>
      <w:r>
        <w:rPr>
          <w:b/>
        </w:rPr>
        <w:t xml:space="preserve">12 </w:t>
      </w:r>
      <w:r>
        <w:t xml:space="preserve">And Joshua gave the fields of the city and its villages to the sons of Caleb son of Jephunneh in possession.</w:t>
      </w:r>
    </w:p>
    <w:p>
      <w:r>
        <w:rPr>
          <w:b/>
        </w:rPr>
        <w:t xml:space="preserve">13 </w:t>
      </w:r>
      <w:r>
        <w:t xml:space="preserve">And to the sons of Aaron they gave</w:t>
      </w:r>
      <w:r>
        <w:rPr>
          <w:rStyle w:val="FootnoteReference"/>
        </w:rPr>
        <w:footnoteReference w:id="4373"/>
      </w:r>
      <w:r>
        <w:t xml:space="preserve"> Hebron, city of refuge for the manslayer, and its set-apart lands with it, and Libnah and its set-apart lands toward it,</w:t>
      </w:r>
    </w:p>
    <w:p>
      <w:r>
        <w:rPr>
          <w:b/>
        </w:rPr>
        <w:t xml:space="preserve">14 </w:t>
      </w:r>
      <w:r>
        <w:t xml:space="preserve">and Ailom</w:t>
      </w:r>
      <w:r>
        <w:rPr>
          <w:rStyle w:val="FootnoteReference"/>
        </w:rPr>
        <w:footnoteReference w:id="4374"/>
      </w:r>
      <w:r>
        <w:t xml:space="preserve"> and its set-apart lands, and Eshtemoa</w:t>
      </w:r>
      <w:r>
        <w:rPr>
          <w:rStyle w:val="FootnoteReference"/>
        </w:rPr>
        <w:footnoteReference w:id="4375"/>
      </w:r>
      <w:r>
        <w:t xml:space="preserve"> and its set-apart lands,</w:t>
      </w:r>
      <w:r>
        <w:rPr>
          <w:rStyle w:val="FootnoteReference"/>
        </w:rPr>
        <w:footnoteReference w:id="4376"/>
      </w:r>
    </w:p>
    <w:p>
      <w:r>
        <w:rPr>
          <w:b/>
        </w:rPr>
        <w:t xml:space="preserve">15 </w:t>
      </w:r>
      <w:r>
        <w:t xml:space="preserve">and Gella and its set-apart lands, and Debir</w:t>
      </w:r>
      <w:r>
        <w:rPr>
          <w:rStyle w:val="FootnoteReference"/>
        </w:rPr>
        <w:footnoteReference w:id="4377"/>
      </w:r>
      <w:r>
        <w:t xml:space="preserve"> and its set-apart lands,</w:t>
      </w:r>
    </w:p>
    <w:p>
      <w:r>
        <w:rPr>
          <w:b/>
        </w:rPr>
        <w:t xml:space="preserve">16 </w:t>
      </w:r>
      <w:r>
        <w:t xml:space="preserve">and Asa and its set-apart lands, and Tany and its set-apart lands, and Beth-shemesh and its set-apart lands, nine cities from these two tribes.</w:t>
      </w:r>
    </w:p>
    <w:p>
      <w:r>
        <w:rPr>
          <w:b/>
        </w:rPr>
        <w:t xml:space="preserve">17 </w:t>
      </w:r>
      <w:r>
        <w:t xml:space="preserve">And from the tribe of Benjamin, Gibeon</w:t>
      </w:r>
      <w:r>
        <w:rPr>
          <w:rStyle w:val="FootnoteReference"/>
        </w:rPr>
        <w:footnoteReference w:id="4378"/>
      </w:r>
      <w:r>
        <w:t xml:space="preserve"> and its set-apart lands, and Gatheth and its set-apart lands,</w:t>
      </w:r>
    </w:p>
    <w:p>
      <w:r>
        <w:rPr>
          <w:b/>
        </w:rPr>
        <w:t xml:space="preserve">18 </w:t>
      </w:r>
      <w:r>
        <w:t xml:space="preserve">and Anathoth</w:t>
      </w:r>
      <w:r>
        <w:rPr>
          <w:rStyle w:val="FootnoteReference"/>
        </w:rPr>
        <w:footnoteReference w:id="4379"/>
      </w:r>
      <w:r>
        <w:t xml:space="preserve"> and its set-apart lands, and Gamala and its set-apart lands, four cities.</w:t>
      </w:r>
      <w:r>
        <w:rPr>
          <w:rStyle w:val="FootnoteReference"/>
        </w:rPr>
        <w:footnoteReference w:id="4380"/>
      </w:r>
    </w:p>
    <w:p>
      <w:r>
        <w:rPr>
          <w:b/>
        </w:rPr>
        <w:t xml:space="preserve">19 </w:t>
      </w:r>
      <w:r>
        <w:t xml:space="preserve">All the cities of the sons of Aaron the priests were thirteen.</w:t>
      </w:r>
    </w:p>
    <w:p>
      <w:r>
        <w:rPr>
          <w:b/>
        </w:rPr>
        <w:t xml:space="preserve">20 </w:t>
      </w:r>
      <w:r>
        <w:t xml:space="preserve">And for the clans of the sons of Kohath, the Levites, who were left from the sons of Kohath, the cities of their boundaries came from the tribe of Ephraim.</w:t>
      </w:r>
    </w:p>
    <w:p>
      <w:r>
        <w:rPr>
          <w:b/>
        </w:rPr>
        <w:t xml:space="preserve">21 </w:t>
      </w:r>
      <w:r>
        <w:t xml:space="preserve">And they gave them the city of refuge for the manslayer, Shechem</w:t>
      </w:r>
      <w:r>
        <w:rPr>
          <w:rStyle w:val="FootnoteReference"/>
        </w:rPr>
        <w:footnoteReference w:id="4381"/>
      </w:r>
      <w:r>
        <w:t xml:space="preserve">, and its set-apart lands, and Gezer and the lands toward it and its set-apart lands,</w:t>
      </w:r>
    </w:p>
    <w:p>
      <w:r>
        <w:rPr>
          <w:b/>
        </w:rPr>
        <w:t xml:space="preserve">22 </w:t>
      </w:r>
      <w:r>
        <w:t xml:space="preserve">and Kibzaim</w:t>
      </w:r>
      <w:r>
        <w:rPr>
          <w:rStyle w:val="FootnoteReference"/>
        </w:rPr>
        <w:footnoteReference w:id="4382"/>
      </w:r>
      <w:r>
        <w:t xml:space="preserve"> and the set-apart lands toward it, and upper Bethhoron</w:t>
      </w:r>
      <w:r>
        <w:rPr>
          <w:rStyle w:val="FootnoteReference"/>
        </w:rPr>
        <w:footnoteReference w:id="4383"/>
      </w:r>
      <w:r>
        <w:t xml:space="preserve"> and its set-apart lands, four cities.</w:t>
      </w:r>
    </w:p>
    <w:p>
      <w:r>
        <w:rPr>
          <w:b/>
        </w:rPr>
        <w:t xml:space="preserve">23 </w:t>
      </w:r>
      <w:r>
        <w:t xml:space="preserve">And from the tribe of Dan, Eltekeh</w:t>
      </w:r>
      <w:r>
        <w:rPr>
          <w:rStyle w:val="FootnoteReference"/>
        </w:rPr>
        <w:footnoteReference w:id="4384"/>
      </w:r>
      <w:r>
        <w:t xml:space="preserve"> and its set-apart lands, and Gibbethon</w:t>
      </w:r>
      <w:r>
        <w:rPr>
          <w:rStyle w:val="FootnoteReference"/>
        </w:rPr>
        <w:footnoteReference w:id="4385"/>
      </w:r>
      <w:r>
        <w:t xml:space="preserve"> and its set-apart lands,</w:t>
      </w:r>
      <w:r>
        <w:rPr>
          <w:rStyle w:val="FootnoteReference"/>
        </w:rPr>
        <w:footnoteReference w:id="4386"/>
      </w:r>
    </w:p>
    <w:p>
      <w:r>
        <w:rPr>
          <w:b/>
        </w:rPr>
        <w:t xml:space="preserve">24 </w:t>
      </w:r>
      <w:r>
        <w:t xml:space="preserve">and Elon and its set-apart lands, and Gathrimmon and its set-apart lands, four cities.</w:t>
      </w:r>
    </w:p>
    <w:p>
      <w:r>
        <w:rPr>
          <w:b/>
        </w:rPr>
        <w:t xml:space="preserve">25 </w:t>
      </w:r>
      <w:r>
        <w:t xml:space="preserve">And from the half tribe of Manasseh, Tanach</w:t>
      </w:r>
      <w:r>
        <w:rPr>
          <w:rStyle w:val="FootnoteReference"/>
        </w:rPr>
        <w:footnoteReference w:id="4387"/>
      </w:r>
      <w:r>
        <w:t xml:space="preserve"> and its set-apart lands, and Iebatha and its set-apart lands, two cities.</w:t>
      </w:r>
    </w:p>
    <w:p>
      <w:r>
        <w:rPr>
          <w:b/>
        </w:rPr>
        <w:t xml:space="preserve">26 </w:t>
      </w:r>
      <w:r>
        <w:t xml:space="preserve">All the cities were ten, and the set-apart lands toward them, for the clans of the sons of Kohath who were left over.</w:t>
      </w:r>
    </w:p>
    <w:p>
      <w:r>
        <w:rPr>
          <w:b/>
        </w:rPr>
        <w:t xml:space="preserve">27 </w:t>
      </w:r>
      <w:r>
        <w:t xml:space="preserve">And to the sons of Gershon, the Levites, from the half tribe of Manasseh, the cities set apart for the manslayers: Golan</w:t>
      </w:r>
      <w:r>
        <w:rPr>
          <w:rStyle w:val="FootnoteReference"/>
        </w:rPr>
        <w:footnoteReference w:id="4388"/>
      </w:r>
      <w:r>
        <w:t xml:space="preserve"> in Bashan and its set-apart lands</w:t>
      </w:r>
      <w:r>
        <w:rPr>
          <w:rStyle w:val="FootnoteReference"/>
        </w:rPr>
        <w:footnoteReference w:id="4389"/>
      </w:r>
      <w:r>
        <w:t xml:space="preserve">, and Bosora and its set-apart lands, two cities.</w:t>
      </w:r>
    </w:p>
    <w:p>
      <w:r>
        <w:rPr>
          <w:b/>
        </w:rPr>
        <w:t xml:space="preserve">28 </w:t>
      </w:r>
      <w:r>
        <w:t xml:space="preserve">And from the tribe of Issachar, Kishion and its set-apart lands, and Dabareh</w:t>
      </w:r>
      <w:r>
        <w:rPr>
          <w:rStyle w:val="FootnoteReference"/>
        </w:rPr>
        <w:footnoteReference w:id="4390"/>
      </w:r>
      <w:r>
        <w:t xml:space="preserve"> and its set-apart lands,</w:t>
      </w:r>
      <w:r>
        <w:rPr>
          <w:rStyle w:val="FootnoteReference"/>
        </w:rPr>
        <w:footnoteReference w:id="4391"/>
      </w:r>
    </w:p>
    <w:p>
      <w:r>
        <w:rPr>
          <w:b/>
        </w:rPr>
        <w:t xml:space="preserve">29 </w:t>
      </w:r>
      <w:r>
        <w:t xml:space="preserve">and Ramoth and its set-apart lands, and the spring of letters and its set-apart lands, four cities.</w:t>
      </w:r>
    </w:p>
    <w:p>
      <w:r>
        <w:rPr>
          <w:b/>
        </w:rPr>
        <w:t xml:space="preserve">30 </w:t>
      </w:r>
      <w:r>
        <w:t xml:space="preserve">And from the tribe of Asher, Basellan and its set-apart lands, and Abdon</w:t>
      </w:r>
      <w:r>
        <w:rPr>
          <w:rStyle w:val="FootnoteReference"/>
        </w:rPr>
        <w:footnoteReference w:id="4392"/>
      </w:r>
      <w:r>
        <w:t xml:space="preserve"> and its set-apart lands,</w:t>
      </w:r>
    </w:p>
    <w:p>
      <w:r>
        <w:rPr>
          <w:b/>
        </w:rPr>
        <w:t xml:space="preserve">31 </w:t>
      </w:r>
      <w:r>
        <w:t xml:space="preserve">and Chelkath</w:t>
      </w:r>
      <w:r>
        <w:rPr>
          <w:rStyle w:val="FootnoteReference"/>
        </w:rPr>
        <w:footnoteReference w:id="4393"/>
      </w:r>
      <w:r>
        <w:t xml:space="preserve"> and its set-apart lands, and Rehob</w:t>
      </w:r>
      <w:r>
        <w:rPr>
          <w:rStyle w:val="FootnoteReference"/>
        </w:rPr>
        <w:footnoteReference w:id="4394"/>
      </w:r>
      <w:r>
        <w:t xml:space="preserve"> and its set-apart lands, four cities.</w:t>
      </w:r>
      <w:r>
        <w:rPr>
          <w:rStyle w:val="FootnoteReference"/>
        </w:rPr>
        <w:footnoteReference w:id="4395"/>
      </w:r>
    </w:p>
    <w:p>
      <w:r>
        <w:rPr>
          <w:b/>
        </w:rPr>
        <w:t xml:space="preserve">32 </w:t>
      </w:r>
      <w:r>
        <w:t xml:space="preserve">And from the tribe of Naphtali, the city set apart for the manslayer, Kedesh</w:t>
      </w:r>
      <w:r>
        <w:rPr>
          <w:rStyle w:val="FootnoteReference"/>
        </w:rPr>
        <w:footnoteReference w:id="4396"/>
      </w:r>
      <w:r>
        <w:t xml:space="preserve"> in Galilee, and its set-apart lands, and Emmath and its set-apart lands, and Kartan</w:t>
      </w:r>
      <w:r>
        <w:rPr>
          <w:rStyle w:val="FootnoteReference"/>
        </w:rPr>
        <w:footnoteReference w:id="4397"/>
      </w:r>
      <w:r>
        <w:t xml:space="preserve"> and its set-apart lands, three cities.</w:t>
      </w:r>
    </w:p>
    <w:p>
      <w:r>
        <w:rPr>
          <w:b/>
        </w:rPr>
        <w:t xml:space="preserve">33 </w:t>
      </w:r>
      <w:r>
        <w:t xml:space="preserve">All the cities of Gershon according to their clans were thirteen cities.</w:t>
      </w:r>
    </w:p>
    <w:p>
      <w:r>
        <w:rPr>
          <w:b/>
        </w:rPr>
        <w:t xml:space="preserve">34 </w:t>
      </w:r>
      <w:r>
        <w:t xml:space="preserve">And to the clan of the sons of Merari, the Levites, the rest, from the tribe of the sons of Zebulun, Maon and its pasturelands, and Kedesh and its pasturelands,</w:t>
      </w:r>
    </w:p>
    <w:p>
      <w:r>
        <w:rPr>
          <w:b/>
        </w:rPr>
        <w:t xml:space="preserve">35 </w:t>
      </w:r>
      <w:r>
        <w:t xml:space="preserve">and Demna and its pasturelands, and Zillah and its pasturelands, four cities.</w:t>
      </w:r>
    </w:p>
    <w:p>
      <w:r>
        <w:rPr>
          <w:b/>
        </w:rPr>
        <w:t xml:space="preserve">36 </w:t>
      </w:r>
      <w:r>
        <w:t xml:space="preserve">And beyond the Jordan by Jericho, from the tribe of Reuben, the city of refuge for the manslayer, Besor in the wilderness in Mishor, and its pasturelands, and Jaazer and its pasturelands,</w:t>
      </w:r>
    </w:p>
    <w:p>
      <w:r>
        <w:rPr>
          <w:b/>
        </w:rPr>
        <w:t xml:space="preserve">37 </w:t>
      </w:r>
      <w:r>
        <w:t xml:space="preserve">and Kedemoth and its pasturelands, and Mephaath and its pasturelands, four cities.</w:t>
      </w:r>
    </w:p>
    <w:p>
      <w:r>
        <w:rPr>
          <w:b/>
        </w:rPr>
        <w:t xml:space="preserve">38 </w:t>
      </w:r>
      <w:r>
        <w:t xml:space="preserve">And from the tribe of Gad, the city of refuge for the manslayer, Ramoth</w:t>
      </w:r>
      <w:r>
        <w:rPr>
          <w:rStyle w:val="FootnoteReference"/>
        </w:rPr>
        <w:footnoteReference w:id="4398"/>
      </w:r>
      <w:r>
        <w:t xml:space="preserve"> in Gilead and its pasturelands, and Kamin and its pasturelands,</w:t>
      </w:r>
    </w:p>
    <w:p>
      <w:r>
        <w:rPr>
          <w:b/>
        </w:rPr>
        <w:t xml:space="preserve">39 </w:t>
      </w:r>
      <w:r>
        <w:t xml:space="preserve">and Heshbon</w:t>
      </w:r>
      <w:r>
        <w:rPr>
          <w:rStyle w:val="FootnoteReference"/>
        </w:rPr>
        <w:footnoteReference w:id="4399"/>
      </w:r>
      <w:r>
        <w:t xml:space="preserve"> and its pasturelands, and Jaazer and its pasturelands, all four cities.</w:t>
      </w:r>
    </w:p>
    <w:p>
      <w:r>
        <w:rPr>
          <w:b/>
        </w:rPr>
        <w:t xml:space="preserve">40 </w:t>
      </w:r>
      <w:r>
        <w:t xml:space="preserve">All the cities for the sons of Merari according to their clans, the ones left over from the tribe of Levi, and their boundaries came to be twelve cities.</w:t>
      </w:r>
    </w:p>
    <w:p>
      <w:r>
        <w:rPr>
          <w:b/>
        </w:rPr>
        <w:t xml:space="preserve">41 </w:t>
      </w:r>
      <w:r>
        <w:t xml:space="preserve">All the cities of the Levites in the midst of the possession of the sons of Israel were forty</w:t>
      </w:r>
      <w:r>
        <w:rPr>
          <w:rStyle w:val="FootnoteReference"/>
        </w:rPr>
        <w:footnoteReference w:id="4400"/>
      </w:r>
      <w:r>
        <w:t xml:space="preserve">-eight cities and their pasturelands.</w:t>
      </w:r>
    </w:p>
    <w:p>
      <w:r>
        <w:rPr>
          <w:b/>
        </w:rPr>
        <w:t xml:space="preserve">42 </w:t>
      </w:r>
      <w:r>
        <w:t xml:space="preserve">Around these cities each city had its pasturelands around the city, all these cities. And Joshua finished dividing the land within their boundaries. And the sons of Israel gave Joshua a share by the command of the Lord; they gave him the city he asked, Thamnasarach, they gave it to him in the hill-country of Ephraim. And Joshua built the city and lived in it. And Joshua took the stone knives with which he circumcised the sons of Israel who were born on the way in the wilderness and placed them in Thamnasarach.</w:t>
      </w:r>
      <w:r>
        <w:rPr>
          <w:rStyle w:val="FootnoteReference"/>
        </w:rPr>
        <w:footnoteReference w:id="4401"/>
      </w:r>
    </w:p>
    <w:p>
      <w:r>
        <w:rPr>
          <w:b/>
        </w:rPr>
        <w:t xml:space="preserve">43 </w:t>
      </w:r>
      <w:r>
        <w:t xml:space="preserve">And the Lord gave to Israel all the land that he swore to give to their fathers, and they inherited it and dwelt in it.</w:t>
      </w:r>
    </w:p>
    <w:p>
      <w:r>
        <w:rPr>
          <w:b/>
        </w:rPr>
        <w:t xml:space="preserve">44 </w:t>
      </w:r>
      <w:r>
        <w:t xml:space="preserve">And the Lord gave them rest all around, just as he swore to their fathers. No one stood against them from all their enemies; the Lord gave all their enemies into their hands.</w:t>
      </w:r>
    </w:p>
    <w:p>
      <w:r>
        <w:rPr>
          <w:b/>
        </w:rPr>
        <w:t xml:space="preserve">45 </w:t>
      </w:r>
      <w:r>
        <w:t xml:space="preserve">Not one word fell from all the good words that the Lord spoke to the sons of Israel; all came to pass.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Then Joshua</w:t>
      </w:r>
      <w:r>
        <w:rPr>
          <w:rStyle w:val="FootnoteReference"/>
        </w:rPr>
        <w:footnoteReference w:id="4402"/>
      </w:r>
      <w:r>
        <w:t xml:space="preserve"> called together the sons of Reuben and the sons of Gad and the half tribe of Manasseh,</w:t>
      </w:r>
    </w:p>
    <w:p>
      <w:r>
        <w:rPr>
          <w:b/>
        </w:rPr>
        <w:t xml:space="preserve">2 </w:t>
      </w:r>
      <w:r>
        <w:t xml:space="preserve">and said to them, You have heard all that Moses the servant of the Lord commanded you, and you obeyed</w:t>
      </w:r>
      <w:r>
        <w:rPr>
          <w:rStyle w:val="FootnoteReference"/>
        </w:rPr>
        <w:footnoteReference w:id="4403"/>
      </w:r>
      <w:r>
        <w:t xml:space="preserve"> my voice according to all that I commanded you.</w:t>
      </w:r>
    </w:p>
    <w:p>
      <w:r>
        <w:rPr>
          <w:b/>
        </w:rPr>
        <w:t xml:space="preserve">3 </w:t>
      </w:r>
      <w:r>
        <w:t xml:space="preserve">You have not forsaken your brothers these many days until this day, and you have kept the commandment of the Lord your God.</w:t>
      </w:r>
    </w:p>
    <w:p>
      <w:r>
        <w:rPr>
          <w:b/>
        </w:rPr>
        <w:t xml:space="preserve">4 </w:t>
      </w:r>
      <w:r>
        <w:t xml:space="preserve">And now the Lord our God has given our brothers rest, as he told them. Now then, turn back and go to your houses and to the land of your possession</w:t>
      </w:r>
      <w:r>
        <w:rPr>
          <w:rStyle w:val="FootnoteReference"/>
        </w:rPr>
        <w:footnoteReference w:id="4404"/>
      </w:r>
      <w:r>
        <w:t xml:space="preserve"> that Moses gave you beyond the Jordan.</w:t>
      </w:r>
    </w:p>
    <w:p>
      <w:r>
        <w:rPr>
          <w:b/>
        </w:rPr>
        <w:t xml:space="preserve">5 </w:t>
      </w:r>
      <w:r>
        <w:t xml:space="preserve">Only take</w:t>
      </w:r>
      <w:r>
        <w:rPr>
          <w:rStyle w:val="FootnoteReference"/>
        </w:rPr>
        <w:footnoteReference w:id="4405"/>
      </w:r>
      <w:r>
        <w:t xml:space="preserve"> great care to do the commandments and the law that Moses the servant of the Lord commanded us to do: to love the Lord your God, to walk in all his ways, to keep his commandments, and to cling to him</w:t>
      </w:r>
      <w:r>
        <w:rPr>
          <w:rStyle w:val="FootnoteReference"/>
        </w:rPr>
        <w:footnoteReference w:id="4406"/>
      </w:r>
      <w:r>
        <w:t xml:space="preserve"> and serve him with all your mind and with all your soul.</w:t>
      </w:r>
      <w:r>
        <w:rPr>
          <w:rStyle w:val="FootnoteReference"/>
        </w:rPr>
        <w:footnoteReference w:id="4407"/>
      </w:r>
    </w:p>
    <w:p>
      <w:r>
        <w:rPr>
          <w:b/>
        </w:rPr>
        <w:t xml:space="preserve">6 </w:t>
      </w:r>
      <w:r>
        <w:t xml:space="preserve">And Joshua blessed them and sent them away, and they went to their houses.</w:t>
      </w:r>
    </w:p>
    <w:p>
      <w:r>
        <w:rPr>
          <w:b/>
        </w:rPr>
        <w:t xml:space="preserve">7 </w:t>
      </w:r>
      <w:r>
        <w:t xml:space="preserve">And to the half tribe of Manasseh Moses gave a share in Bashan, and to the other half Joshua gave a share with their brothers beyond the Jordan by the sea</w:t>
      </w:r>
      <w:r>
        <w:rPr>
          <w:rStyle w:val="FootnoteReference"/>
        </w:rPr>
        <w:footnoteReference w:id="4408"/>
      </w:r>
      <w:r>
        <w:t xml:space="preserve">. And when Joshua sent them away to their houses, he blessed them,</w:t>
      </w:r>
    </w:p>
    <w:p>
      <w:r>
        <w:rPr>
          <w:b/>
        </w:rPr>
        <w:t xml:space="preserve">8 </w:t>
      </w:r>
      <w:r>
        <w:t xml:space="preserve">and they went away to their houses with much wealth and very much livestock and silver and gold and iron and much clothing, and they divided the plunder</w:t>
      </w:r>
      <w:r>
        <w:rPr>
          <w:rStyle w:val="FootnoteReference"/>
        </w:rPr>
        <w:footnoteReference w:id="4409"/>
      </w:r>
      <w:r>
        <w:t xml:space="preserve"> of their enemies with their brothers.</w:t>
      </w:r>
    </w:p>
    <w:p>
      <w:r>
        <w:rPr>
          <w:b/>
        </w:rPr>
        <w:t xml:space="preserve">9 </w:t>
      </w:r>
      <w:r>
        <w:t xml:space="preserve">And the sons of Reuben and the sons of Gad and the half tribe of the sons of Manasseh went from the sons of Israel from Shiloh in the land of Canaan to go to the land of Gilead, to the land of their possession which they inherited by the command of the Lord by the hand of Moses.</w:t>
      </w:r>
    </w:p>
    <w:p>
      <w:r>
        <w:rPr>
          <w:b/>
        </w:rPr>
        <w:t xml:space="preserve">10 </w:t>
      </w:r>
      <w:r>
        <w:t xml:space="preserve">And they came to Gilgal of the Jordan, which is in the land of Canaan, and the sons of Gad and the sons of Reuben and the half tribe of Manasseh built</w:t>
      </w:r>
      <w:r>
        <w:rPr>
          <w:rStyle w:val="FootnoteReference"/>
        </w:rPr>
        <w:footnoteReference w:id="4410"/>
      </w:r>
      <w:r>
        <w:t xml:space="preserve"> there an altar by the Jordan, a great altar to behold</w:t>
      </w:r>
      <w:r>
        <w:rPr>
          <w:rStyle w:val="FootnoteReference"/>
        </w:rPr>
        <w:footnoteReference w:id="4411"/>
      </w:r>
      <w:r>
        <w:t xml:space="preserve">.</w:t>
      </w:r>
    </w:p>
    <w:p>
      <w:r>
        <w:rPr>
          <w:b/>
        </w:rPr>
        <w:t xml:space="preserve">11 </w:t>
      </w:r>
      <w:r>
        <w:t xml:space="preserve">And the sons of Israel heard</w:t>
      </w:r>
      <w:r>
        <w:rPr>
          <w:rStyle w:val="FootnoteReference"/>
        </w:rPr>
        <w:footnoteReference w:id="4412"/>
      </w:r>
      <w:r>
        <w:t xml:space="preserve"> people saying, Behold, the sons of Gad and the sons of Reuben and the half tribe of Manasseh built an altar on the borders of the land of Canaan</w:t>
      </w:r>
      <w:r>
        <w:rPr>
          <w:rStyle w:val="FootnoteReference"/>
        </w:rPr>
        <w:footnoteReference w:id="4413"/>
      </w:r>
      <w:r>
        <w:t xml:space="preserve">, at Gilead of the Jordan, on the far side of the sons of Israel.</w:t>
      </w:r>
    </w:p>
    <w:p>
      <w:r>
        <w:rPr>
          <w:b/>
        </w:rPr>
        <w:t xml:space="preserve">12 </w:t>
      </w:r>
      <w:r>
        <w:t xml:space="preserve">And all the sons of Israel gathered in Shiloh so as to go up to make war against them.</w:t>
      </w:r>
    </w:p>
    <w:p>
      <w:r>
        <w:rPr>
          <w:b/>
        </w:rPr>
        <w:t xml:space="preserve">13 </w:t>
      </w:r>
      <w:r>
        <w:t xml:space="preserve">And the sons of Israel sent to the sons of Reuben and to the sons of Gad and to the half tribe of Manasseh in the land of Gilead Phinehas</w:t>
      </w:r>
      <w:r>
        <w:rPr>
          <w:rStyle w:val="FootnoteReference"/>
        </w:rPr>
        <w:footnoteReference w:id="4414"/>
      </w:r>
      <w:r>
        <w:t xml:space="preserve"> son of Eleazar son of Aaron the high priest,</w:t>
      </w:r>
      <w:r>
        <w:rPr>
          <w:rStyle w:val="FootnoteReference"/>
        </w:rPr>
        <w:footnoteReference w:id="4415"/>
      </w:r>
    </w:p>
    <w:p>
      <w:r>
        <w:rPr>
          <w:b/>
        </w:rPr>
        <w:t xml:space="preserve">14 </w:t>
      </w:r>
      <w:r>
        <w:t xml:space="preserve">and ten leaders with him, one leader from each fathers' house from all the tribes of Israel; these were heads of fathers' houses, commanders of thousands in Israel.</w:t>
      </w:r>
    </w:p>
    <w:p>
      <w:r>
        <w:rPr>
          <w:b/>
        </w:rPr>
        <w:t xml:space="preserve">15 </w:t>
      </w:r>
      <w:r>
        <w:t xml:space="preserve">And they came to the sons of Gad and to the sons of Reuben and to the half tribe of Manasseh in the land of Gilead and spoke to them, saying,</w:t>
      </w:r>
    </w:p>
    <w:p>
      <w:r>
        <w:rPr>
          <w:b/>
        </w:rPr>
        <w:t xml:space="preserve">16 </w:t>
      </w:r>
      <w:r>
        <w:t xml:space="preserve">Thus says the whole congregation of the Lord, What is this trespass by which you have trespassed before the God of Israel, turning away today from the Lord by building for yourselves an altar, so that you become rebels</w:t>
      </w:r>
      <w:r>
        <w:rPr>
          <w:rStyle w:val="FootnoteReference"/>
        </w:rPr>
        <w:footnoteReference w:id="4416"/>
      </w:r>
      <w:r>
        <w:t xml:space="preserve"> against the Lord?</w:t>
      </w:r>
    </w:p>
    <w:p>
      <w:r>
        <w:rPr>
          <w:b/>
        </w:rPr>
        <w:t xml:space="preserve">17 </w:t>
      </w:r>
      <w:r>
        <w:t xml:space="preserve">Is the sin of Peor too little for us, from which</w:t>
      </w:r>
      <w:r>
        <w:rPr>
          <w:rStyle w:val="FootnoteReference"/>
        </w:rPr>
        <w:footnoteReference w:id="4417"/>
      </w:r>
      <w:r>
        <w:t xml:space="preserve"> we have not been cleansed until this day, and a plague came to be in the congregation of the Lord?</w:t>
      </w:r>
    </w:p>
    <w:p>
      <w:r>
        <w:rPr>
          <w:b/>
        </w:rPr>
        <w:t xml:space="preserve">18 </w:t>
      </w:r>
      <w:r>
        <w:t xml:space="preserve">And will you turn away today from the Lord? And it shall be, if you revolt today from the Lord, then tomorrow wrath will be on all Israel.</w:t>
      </w:r>
    </w:p>
    <w:p>
      <w:r>
        <w:rPr>
          <w:b/>
        </w:rPr>
        <w:t xml:space="preserve">19 </w:t>
      </w:r>
      <w:r>
        <w:t xml:space="preserve">And now, if the land of your possession is too little for you, cross over into the land of the possession of the Lord, where the tent of the Lord camps, and inherit among us. But do not become rebels against God</w:t>
      </w:r>
      <w:r>
        <w:rPr>
          <w:rStyle w:val="FootnoteReference"/>
        </w:rPr>
        <w:footnoteReference w:id="4418"/>
      </w:r>
      <w:r>
        <w:t xml:space="preserve">, and do not turn away from the Lord by your building for yourselves an altar apart from the altar of the Lord our God.</w:t>
      </w:r>
    </w:p>
    <w:p>
      <w:r>
        <w:rPr>
          <w:b/>
        </w:rPr>
        <w:t xml:space="preserve">20 </w:t>
      </w:r>
      <w:r>
        <w:t xml:space="preserve">Did not Achar son of Zerah commit a trespass from the accursed thing, and wrath came upon all the congregation of Israel? Yet that one man did not die alone in his own sin.</w:t>
      </w:r>
    </w:p>
    <w:p>
      <w:r>
        <w:rPr>
          <w:b/>
        </w:rPr>
        <w:t xml:space="preserve">21 </w:t>
      </w:r>
      <w:r>
        <w:t xml:space="preserve">And the sons of Reuben and the sons of Gad and the half tribe of Manasseh answered</w:t>
      </w:r>
      <w:r>
        <w:rPr>
          <w:rStyle w:val="FootnoteReference"/>
        </w:rPr>
        <w:footnoteReference w:id="4419"/>
      </w:r>
      <w:r>
        <w:t xml:space="preserve"> and spoke to the commanders of thousands of Israel, saying,</w:t>
      </w:r>
    </w:p>
    <w:p>
      <w:r>
        <w:rPr>
          <w:b/>
        </w:rPr>
        <w:t xml:space="preserve">22 </w:t>
      </w:r>
      <w:r>
        <w:t xml:space="preserve">God is God, the Lord, and God is God, the Lord. He himself knows, and Israel</w:t>
      </w:r>
      <w:r>
        <w:rPr>
          <w:rStyle w:val="FootnoteReference"/>
        </w:rPr>
        <w:footnoteReference w:id="4420"/>
      </w:r>
      <w:r>
        <w:t xml:space="preserve"> itself shall know. If in revolt we have trespassed before the Lord, may he not rescue us in this.</w:t>
      </w:r>
    </w:p>
    <w:p>
      <w:r>
        <w:rPr>
          <w:b/>
        </w:rPr>
        <w:t xml:space="preserve">23 </w:t>
      </w:r>
      <w:r>
        <w:t xml:space="preserve">And if we built for ourselves an altar so as to turn away from the Lord our God, so as to offer on it sacrifices of whole burnt offerings or so as to make on it a sacrifice of salvation</w:t>
      </w:r>
      <w:r>
        <w:rPr>
          <w:rStyle w:val="FootnoteReference"/>
        </w:rPr>
        <w:footnoteReference w:id="4421"/>
      </w:r>
      <w:r>
        <w:t xml:space="preserve">, the Lord himself shall require it.</w:t>
      </w:r>
    </w:p>
    <w:p>
      <w:r>
        <w:rPr>
          <w:b/>
        </w:rPr>
        <w:t xml:space="preserve">24 </w:t>
      </w:r>
      <w:r>
        <w:t xml:space="preserve">But because of caution over this matter we did this, saying, So that tomorrow your children may not say to our children, What have you to do with the Lord God of Israel?</w:t>
      </w:r>
    </w:p>
    <w:p>
      <w:r>
        <w:rPr>
          <w:b/>
        </w:rPr>
        <w:t xml:space="preserve">25 </w:t>
      </w:r>
      <w:r>
        <w:t xml:space="preserve">For the Lord set the Jordan as a boundary between us and you, and you have no share of the Lord. And your children will estrange our children, so that they no longer worship the Lord.</w:t>
      </w:r>
      <w:r>
        <w:rPr>
          <w:rStyle w:val="FootnoteReference"/>
        </w:rPr>
        <w:footnoteReference w:id="4422"/>
      </w:r>
    </w:p>
    <w:p>
      <w:r>
        <w:rPr>
          <w:b/>
        </w:rPr>
        <w:t xml:space="preserve">26 </w:t>
      </w:r>
      <w:r>
        <w:t xml:space="preserve">And we said to do this, to build this altar, not for offerings nor for sacrifices,</w:t>
      </w:r>
    </w:p>
    <w:p>
      <w:r>
        <w:rPr>
          <w:b/>
        </w:rPr>
        <w:t xml:space="preserve">27 </w:t>
      </w:r>
      <w:r>
        <w:t xml:space="preserve">but so that this may be a witness</w:t>
      </w:r>
      <w:r>
        <w:rPr>
          <w:rStyle w:val="FootnoteReference"/>
        </w:rPr>
        <w:footnoteReference w:id="4423"/>
      </w:r>
      <w:r>
        <w:t xml:space="preserve"> between us and you and between our generations after us, to render service to the Lord before him in our offerings and in our sacrifices and in our sacrifices of salvation</w:t>
      </w:r>
      <w:r>
        <w:rPr>
          <w:rStyle w:val="FootnoteReference"/>
        </w:rPr>
        <w:footnoteReference w:id="4424"/>
      </w:r>
      <w:r>
        <w:t xml:space="preserve">, and your children will not say to our children tomorrow, You have no share in the Lord.</w:t>
      </w:r>
    </w:p>
    <w:p>
      <w:r>
        <w:rPr>
          <w:b/>
        </w:rPr>
        <w:t xml:space="preserve">28 </w:t>
      </w:r>
      <w:r>
        <w:t xml:space="preserve">And we said, if ever it happens and they speak to us and to our generations tomorrow, then we shall say, See the likeness of the altar</w:t>
      </w:r>
      <w:r>
        <w:rPr>
          <w:rStyle w:val="FootnoteReference"/>
        </w:rPr>
        <w:footnoteReference w:id="4425"/>
      </w:r>
      <w:r>
        <w:t xml:space="preserve"> of the Lord, which our fathers made, not for offerings nor for sacrifices, but it is a witness between you and us and between our sons.</w:t>
      </w:r>
    </w:p>
    <w:p>
      <w:r>
        <w:rPr>
          <w:b/>
        </w:rPr>
        <w:t xml:space="preserve">29 </w:t>
      </w:r>
      <w:r>
        <w:t xml:space="preserve">May it never be for us to turn away from the Lord in these days, to revolt from the Lord, so as to build</w:t>
      </w:r>
      <w:r>
        <w:rPr>
          <w:rStyle w:val="FootnoteReference"/>
        </w:rPr>
        <w:footnoteReference w:id="4426"/>
      </w:r>
      <w:r>
        <w:t xml:space="preserve"> for ourselves an altar for offerings and sacrifices of salvation and the sacrifice of salvation</w:t>
      </w:r>
      <w:r>
        <w:rPr>
          <w:rStyle w:val="FootnoteReference"/>
        </w:rPr>
        <w:footnoteReference w:id="4427"/>
      </w:r>
      <w:r>
        <w:t xml:space="preserve"> besides the altar of the Lord that is before his tent.</w:t>
      </w:r>
    </w:p>
    <w:p>
      <w:r>
        <w:rPr>
          <w:b/>
        </w:rPr>
        <w:t xml:space="preserve">30 </w:t>
      </w:r>
      <w:r>
        <w:t xml:space="preserve">And when Phinehas the priest and all the leaders of the congregation of Israel who were with him heard the words that the sons of Reuben and the sons of Gad and the half tribe of Manasseh spoke, it pleased them</w:t>
      </w:r>
      <w:r>
        <w:rPr>
          <w:rStyle w:val="FootnoteReference"/>
        </w:rPr>
        <w:footnoteReference w:id="4428"/>
      </w:r>
      <w:r>
        <w:t xml:space="preserve">.</w:t>
      </w:r>
    </w:p>
    <w:p>
      <w:r>
        <w:rPr>
          <w:b/>
        </w:rPr>
        <w:t xml:space="preserve">31 </w:t>
      </w:r>
      <w:r>
        <w:t xml:space="preserve">And Phinehas the priest said to the sons of Reuben and to the sons of Gad and to the half tribe of Manasseh, Today we know that the Lord is</w:t>
      </w:r>
      <w:r>
        <w:rPr>
          <w:rStyle w:val="FootnoteReference"/>
        </w:rPr>
        <w:footnoteReference w:id="4429"/>
      </w:r>
      <w:r>
        <w:t xml:space="preserve"> with us, because you did not trespass against the Lord in a trespass, and because you rescued</w:t>
      </w:r>
      <w:r>
        <w:rPr>
          <w:rStyle w:val="FootnoteReference"/>
        </w:rPr>
        <w:footnoteReference w:id="4430"/>
      </w:r>
      <w:r>
        <w:t xml:space="preserve"> the sons of Israel from the hand of the Lord.</w:t>
      </w:r>
    </w:p>
    <w:p>
      <w:r>
        <w:rPr>
          <w:b/>
        </w:rPr>
        <w:t xml:space="preserve">32 </w:t>
      </w:r>
      <w:r>
        <w:t xml:space="preserve">And Phinehas the priest and the leaders returned from the sons of Reuben and from the sons of Gad and from the half tribe of Manasseh, from the land of Gilead to the land of Canaan to the sons of Israel, and they answered them with the words.</w:t>
      </w:r>
    </w:p>
    <w:p>
      <w:r>
        <w:rPr>
          <w:b/>
        </w:rPr>
        <w:t xml:space="preserve">33 </w:t>
      </w:r>
      <w:r>
        <w:t xml:space="preserve">And it pleased the sons of Israel, and they spoke to the sons of Israel and blessed</w:t>
      </w:r>
      <w:r>
        <w:rPr>
          <w:rStyle w:val="FootnoteReference"/>
        </w:rPr>
        <w:footnoteReference w:id="4431"/>
      </w:r>
      <w:r>
        <w:t xml:space="preserve"> the God of the sons of Israel, and said that they would no longer go up against them in war to destroy the land of the sons of Reuben and the sons of Gad and the half tribe of Manasseh, and they dwelt upon it.</w:t>
      </w:r>
    </w:p>
    <w:p>
      <w:r>
        <w:rPr>
          <w:b/>
        </w:rPr>
        <w:t xml:space="preserve">34 </w:t>
      </w:r>
      <w:r>
        <w:t xml:space="preserve">And Joshua named the altar of the Reubenites</w:t>
      </w:r>
      <w:r>
        <w:rPr>
          <w:rStyle w:val="FootnoteReference"/>
        </w:rPr>
        <w:footnoteReference w:id="4432"/>
      </w:r>
      <w:r>
        <w:t xml:space="preserve"> and the Gadites</w:t>
      </w:r>
      <w:r>
        <w:rPr>
          <w:rStyle w:val="FootnoteReference"/>
        </w:rPr>
        <w:footnoteReference w:id="4433"/>
      </w:r>
      <w:r>
        <w:t xml:space="preserve"> and the half tribe of Manasseh, and said, It is a witness between them</w:t>
      </w:r>
      <w:r>
        <w:rPr>
          <w:rStyle w:val="FootnoteReference"/>
        </w:rPr>
        <w:footnoteReference w:id="4434"/>
      </w:r>
      <w:r>
        <w:t xml:space="preserve"> that the Lord is their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it came to be after many days, after the Lord</w:t>
      </w:r>
      <w:r>
        <w:rPr>
          <w:rStyle w:val="FootnoteReference"/>
        </w:rPr>
        <w:footnoteReference w:id="4435"/>
      </w:r>
      <w:r>
        <w:t xml:space="preserve"> gave Israel rest from all their enemies all around, and Joshua was old, advanced in days,</w:t>
      </w:r>
    </w:p>
    <w:p>
      <w:r>
        <w:rPr>
          <w:b/>
        </w:rPr>
        <w:t xml:space="preserve">2 </w:t>
      </w:r>
      <w:r>
        <w:t xml:space="preserve">that Joshua called all the sons of Israel and their council and their leaders and their scribes and their judges, and said to them, I have grown old, I am advanced in days.</w:t>
      </w:r>
    </w:p>
    <w:p>
      <w:r>
        <w:rPr>
          <w:b/>
        </w:rPr>
        <w:t xml:space="preserve">3 </w:t>
      </w:r>
      <w:r>
        <w:t xml:space="preserve">And you have seen all that the Lord your God did to all these nations from before you, because the Lord your God is the one who fought for you.</w:t>
      </w:r>
    </w:p>
    <w:p>
      <w:r>
        <w:rPr>
          <w:b/>
        </w:rPr>
        <w:t xml:space="preserve">4 </w:t>
      </w:r>
      <w:r>
        <w:t xml:space="preserve">See, I have allotted to you these nations left over to you by lots for your tribes, from the Jordan and all the nations that I destroyed, and from the great sea it shall bound westward.</w:t>
      </w:r>
    </w:p>
    <w:p>
      <w:r>
        <w:rPr>
          <w:b/>
        </w:rPr>
        <w:t xml:space="preserve">5 </w:t>
      </w:r>
      <w:r>
        <w:t xml:space="preserve">And the Lord your God himself will destroy them from before you until they perish, and he will send to them the wild beasts until he destroys them and their kings from before you, and you shall inherit their land just as the Lord</w:t>
      </w:r>
      <w:r>
        <w:rPr>
          <w:rStyle w:val="FootnoteReference"/>
        </w:rPr>
        <w:footnoteReference w:id="4436"/>
      </w:r>
      <w:r>
        <w:t xml:space="preserve"> your God spoke to you.</w:t>
      </w:r>
    </w:p>
    <w:p>
      <w:r>
        <w:rPr>
          <w:b/>
        </w:rPr>
        <w:t xml:space="preserve">6 </w:t>
      </w:r>
      <w:r>
        <w:t xml:space="preserve">Therefore be very</w:t>
      </w:r>
      <w:r>
        <w:rPr>
          <w:rStyle w:val="FootnoteReference"/>
        </w:rPr>
        <w:footnoteReference w:id="4437"/>
      </w:r>
      <w:r>
        <w:t xml:space="preserve"> strong to keep and to do all that is written in the book of the law of Moses, so that you do not turn aside to the right or to the left,</w:t>
      </w:r>
    </w:p>
    <w:p>
      <w:r>
        <w:rPr>
          <w:b/>
        </w:rPr>
        <w:t xml:space="preserve">7 </w:t>
      </w:r>
      <w:r>
        <w:t xml:space="preserve">so that you do not enter among these nations that are left over, and the names of their gods shall not be named among you, and you shall certainly not bow down to them nor serve them.</w:t>
      </w:r>
    </w:p>
    <w:p>
      <w:r>
        <w:rPr>
          <w:b/>
        </w:rPr>
        <w:t xml:space="preserve">8 </w:t>
      </w:r>
      <w:r>
        <w:t xml:space="preserve">But to the Lord your God you shall cling, just as you have done until this day.</w:t>
      </w:r>
    </w:p>
    <w:p>
      <w:r>
        <w:rPr>
          <w:b/>
        </w:rPr>
        <w:t xml:space="preserve">9 </w:t>
      </w:r>
      <w:r>
        <w:t xml:space="preserve">And the Lord destroyed from before you great and strong nations, and no one stood against you until this day.</w:t>
      </w:r>
    </w:p>
    <w:p>
      <w:r>
        <w:rPr>
          <w:b/>
        </w:rPr>
        <w:t xml:space="preserve">10 </w:t>
      </w:r>
      <w:r>
        <w:t xml:space="preserve">One of you chased a thousand, because the Lord</w:t>
      </w:r>
      <w:r>
        <w:rPr>
          <w:rStyle w:val="FootnoteReference"/>
        </w:rPr>
        <w:footnoteReference w:id="4438"/>
      </w:r>
      <w:r>
        <w:t xml:space="preserve"> your God was fighting for you, just as he said to you.</w:t>
      </w:r>
    </w:p>
    <w:p>
      <w:r>
        <w:rPr>
          <w:b/>
        </w:rPr>
        <w:t xml:space="preserve">11 </w:t>
      </w:r>
      <w:r>
        <w:t xml:space="preserve">And take great care to love</w:t>
      </w:r>
      <w:r>
        <w:rPr>
          <w:rStyle w:val="FootnoteReference"/>
        </w:rPr>
        <w:footnoteReference w:id="4439"/>
      </w:r>
      <w:r>
        <w:t xml:space="preserve"> the Lord your God.</w:t>
      </w:r>
    </w:p>
    <w:p>
      <w:r>
        <w:rPr>
          <w:b/>
        </w:rPr>
        <w:t xml:space="preserve">12 </w:t>
      </w:r>
      <w:r>
        <w:t xml:space="preserve">For if you turn back and attach yourselves to these nations left over with you and make marriages with them and mingle with them and they with you,</w:t>
      </w:r>
    </w:p>
    <w:p>
      <w:r>
        <w:rPr>
          <w:b/>
        </w:rPr>
        <w:t xml:space="preserve">13 </w:t>
      </w:r>
      <w:r>
        <w:t xml:space="preserve">know that the Lord will certainly not continue to destroy these nations from before you, and they shall become snares</w:t>
      </w:r>
      <w:r>
        <w:rPr>
          <w:rStyle w:val="FootnoteReference"/>
        </w:rPr>
        <w:footnoteReference w:id="4440"/>
      </w:r>
      <w:r>
        <w:t xml:space="preserve"> for you and scandals and nails in your heels and darts in your eyes</w:t>
      </w:r>
      <w:r>
        <w:rPr>
          <w:rStyle w:val="FootnoteReference"/>
        </w:rPr>
        <w:footnoteReference w:id="4441"/>
      </w:r>
      <w:r>
        <w:t xml:space="preserve"> until you perish from this good land that the Lord your God gave you.</w:t>
      </w:r>
    </w:p>
    <w:p>
      <w:r>
        <w:rPr>
          <w:b/>
        </w:rPr>
        <w:t xml:space="preserve">14 </w:t>
      </w:r>
      <w:r>
        <w:t xml:space="preserve">And behold, I am departing on the way, just as all on the earth, and you shall know in your heart and in your soul that not one word has failed</w:t>
      </w:r>
      <w:r>
        <w:rPr>
          <w:rStyle w:val="FootnoteReference"/>
        </w:rPr>
        <w:footnoteReference w:id="4442"/>
      </w:r>
      <w:r>
        <w:t xml:space="preserve"> from all the words that the Lord your God spoke concerning all that belongs to you; none of them has fallen away.</w:t>
      </w:r>
    </w:p>
    <w:p>
      <w:r>
        <w:rPr>
          <w:b/>
        </w:rPr>
        <w:t xml:space="preserve">15 </w:t>
      </w:r>
      <w:r>
        <w:t xml:space="preserve">And it shall be, just as all the good words that the Lord spoke to you have come upon you, so the Lord your God will bring upon you all the evil words until he destroys you from this good land that the Lord gave you.</w:t>
      </w:r>
      <w:r>
        <w:rPr>
          <w:rStyle w:val="FootnoteReference"/>
        </w:rPr>
        <w:footnoteReference w:id="4443"/>
      </w:r>
    </w:p>
    <w:p>
      <w:r>
        <w:rPr>
          <w:b/>
        </w:rPr>
        <w:t xml:space="preserve">16 </w:t>
      </w:r>
      <w:r>
        <w:t xml:space="preserve">when you transgress the covenant of the Lord your God that he commanded you, and go and serve other gods and bow down to them.</w:t>
      </w:r>
      <w:r>
        <w:rPr>
          <w:rStyle w:val="FootnoteReference"/>
        </w:rPr>
        <w:footnoteReference w:id="444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Joshua gathered all the tribes of Israel to Shiloh and called</w:t>
      </w:r>
      <w:r>
        <w:rPr>
          <w:rStyle w:val="FootnoteReference"/>
        </w:rPr>
        <w:footnoteReference w:id="4445"/>
      </w:r>
      <w:r>
        <w:t xml:space="preserve"> together their elders and their scribes and their judges, and he set them before God.</w:t>
      </w:r>
    </w:p>
    <w:p>
      <w:r>
        <w:rPr>
          <w:b/>
        </w:rPr>
        <w:t xml:space="preserve">2 </w:t>
      </w:r>
      <w:r>
        <w:t xml:space="preserve">And Joshua said to all the people, Thus says the Lord God of Israel: From the beginning your fathers</w:t>
      </w:r>
      <w:r>
        <w:rPr>
          <w:rStyle w:val="FootnoteReference"/>
        </w:rPr>
        <w:footnoteReference w:id="4446"/>
      </w:r>
      <w:r>
        <w:t xml:space="preserve"> lived beyond the river, Terah the father of Abraham and the father of Nahor, and they served other gods.</w:t>
      </w:r>
    </w:p>
    <w:p>
      <w:r>
        <w:rPr>
          <w:b/>
        </w:rPr>
        <w:t xml:space="preserve">3 </w:t>
      </w:r>
      <w:r>
        <w:t xml:space="preserve">And I took</w:t>
      </w:r>
      <w:r>
        <w:rPr>
          <w:rStyle w:val="FootnoteReference"/>
        </w:rPr>
        <w:footnoteReference w:id="4447"/>
      </w:r>
      <w:r>
        <w:t xml:space="preserve"> your father Abraham from beyond the river and led him through all the land, and I multiplied his seed and gave him Isaac.</w:t>
      </w:r>
    </w:p>
    <w:p>
      <w:r>
        <w:rPr>
          <w:b/>
        </w:rPr>
        <w:t xml:space="preserve">4 </w:t>
      </w:r>
      <w:r>
        <w:t xml:space="preserve">And to Isaac I gave Jacob</w:t>
      </w:r>
      <w:r>
        <w:rPr>
          <w:rStyle w:val="FootnoteReference"/>
        </w:rPr>
        <w:footnoteReference w:id="4448"/>
      </w:r>
      <w:r>
        <w:t xml:space="preserve"> and Esau, and to Esau I gave Mount Seir for his inheritance, and Jacob and his sons went down into Egypt and became there a great and numerous and strong nation.</w:t>
      </w:r>
    </w:p>
    <w:p>
      <w:r>
        <w:rPr>
          <w:b/>
        </w:rPr>
        <w:t xml:space="preserve">5 </w:t>
      </w:r>
      <w:r>
        <w:t xml:space="preserve">And the Egyptians afflicted them, and the Lord struck Egypt with the things he did among them, and after these things he brought you out.</w:t>
      </w:r>
    </w:p>
    <w:p>
      <w:r>
        <w:rPr>
          <w:b/>
        </w:rPr>
        <w:t xml:space="preserve">6 </w:t>
      </w:r>
      <w:r>
        <w:t xml:space="preserve">Out of Egypt you came, and you entered the Red Sea, and the Egyptians</w:t>
      </w:r>
      <w:r>
        <w:rPr>
          <w:rStyle w:val="FootnoteReference"/>
        </w:rPr>
        <w:footnoteReference w:id="4449"/>
      </w:r>
      <w:r>
        <w:t xml:space="preserve"> pursued your fathers with chariots and horses to the Red Sea.</w:t>
      </w:r>
    </w:p>
    <w:p>
      <w:r>
        <w:rPr>
          <w:b/>
        </w:rPr>
        <w:t xml:space="preserve">7 </w:t>
      </w:r>
      <w:r>
        <w:t xml:space="preserve">And we cried out to the Lord, and he put</w:t>
      </w:r>
      <w:r>
        <w:rPr>
          <w:rStyle w:val="FootnoteReference"/>
        </w:rPr>
        <w:footnoteReference w:id="4450"/>
      </w:r>
      <w:r>
        <w:t xml:space="preserve"> cloud and gloom</w:t>
      </w:r>
      <w:r>
        <w:rPr>
          <w:rStyle w:val="FootnoteReference"/>
        </w:rPr>
        <w:footnoteReference w:id="4451"/>
      </w:r>
      <w:r>
        <w:t xml:space="preserve"> between us and between the Egyptians, and he brought the sea upon them and covered them, and your eyes saw what the Lord did in the land of Egypt, and you were in the wilderness many days.</w:t>
      </w:r>
    </w:p>
    <w:p>
      <w:r>
        <w:rPr>
          <w:b/>
        </w:rPr>
        <w:t xml:space="preserve">8 </w:t>
      </w:r>
      <w:r>
        <w:t xml:space="preserve">And he brought you into the land of the Amorites who dwell beyond the Jordan, and they arrayed themselves against you</w:t>
      </w:r>
      <w:r>
        <w:rPr>
          <w:rStyle w:val="FootnoteReference"/>
        </w:rPr>
        <w:footnoteReference w:id="4452"/>
      </w:r>
      <w:r>
        <w:t xml:space="preserve">, and the Lord gave them into your hands, and you inherited their land and destroyed them from before you.</w:t>
      </w:r>
    </w:p>
    <w:p>
      <w:r>
        <w:rPr>
          <w:b/>
        </w:rPr>
        <w:t xml:space="preserve">9 </w:t>
      </w:r>
      <w:r>
        <w:t xml:space="preserve">And Balak son of Zippor, king of Moab, rose up and made war against Israel, and he sent and called Balaam to curse you.</w:t>
      </w:r>
    </w:p>
    <w:p>
      <w:r>
        <w:rPr>
          <w:b/>
        </w:rPr>
        <w:t xml:space="preserve">10 </w:t>
      </w:r>
      <w:r>
        <w:t xml:space="preserve">And the Lord your God was not willing to destroy you, and with blessing he blessed you and delivered you from their hands and gave them over.</w:t>
      </w:r>
    </w:p>
    <w:p>
      <w:r>
        <w:rPr>
          <w:b/>
        </w:rPr>
        <w:t xml:space="preserve">11 </w:t>
      </w:r>
      <w:r>
        <w:t xml:space="preserve">And you crossed the Jordan and came to Jericho, and those dwelling in Jericho fought against you: the Amorite and the Canaanite and the Perizzite and the Hivite and the Jebusite and the Hittite and the Girgashite, and the Lord gave them into your hands.</w:t>
      </w:r>
    </w:p>
    <w:p>
      <w:r>
        <w:rPr>
          <w:b/>
        </w:rPr>
        <w:t xml:space="preserve">12 </w:t>
      </w:r>
      <w:r>
        <w:t xml:space="preserve">And he sent ahead of you the hornet, and it drove them out from before you, twelve kings of the Amorites, not by your sword nor by your bow.</w:t>
      </w:r>
    </w:p>
    <w:p>
      <w:r>
        <w:rPr>
          <w:b/>
        </w:rPr>
        <w:t xml:space="preserve">13 </w:t>
      </w:r>
      <w:r>
        <w:t xml:space="preserve">And he gave you a land on which you did not labor, and cities</w:t>
      </w:r>
      <w:r>
        <w:rPr>
          <w:rStyle w:val="FootnoteReference"/>
        </w:rPr>
        <w:footnoteReference w:id="4453"/>
      </w:r>
      <w:r>
        <w:t xml:space="preserve"> that you did not build, and you settled in them, and you eat vineyards and olive groves</w:t>
      </w:r>
      <w:r>
        <w:rPr>
          <w:rStyle w:val="FootnoteReference"/>
        </w:rPr>
        <w:footnoteReference w:id="4454"/>
      </w:r>
      <w:r>
        <w:t xml:space="preserve"> that you did not plant.</w:t>
      </w:r>
    </w:p>
    <w:p>
      <w:r>
        <w:rPr>
          <w:b/>
        </w:rPr>
        <w:t xml:space="preserve">14 </w:t>
      </w:r>
      <w:r>
        <w:t xml:space="preserve">And now fear</w:t>
      </w:r>
      <w:r>
        <w:rPr>
          <w:rStyle w:val="FootnoteReference"/>
        </w:rPr>
        <w:footnoteReference w:id="4455"/>
      </w:r>
      <w:r>
        <w:t xml:space="preserve"> the Lord and serve him in uprightness and in righteousness, and remove the foreign gods that your fathers served beyond the river and in Egypt, and serve the Lord.</w:t>
      </w:r>
    </w:p>
    <w:p>
      <w:r>
        <w:rPr>
          <w:b/>
        </w:rPr>
        <w:t xml:space="preserve">15 </w:t>
      </w:r>
      <w:r>
        <w:t xml:space="preserve">But if it does not please you to serve the Lord, choose</w:t>
      </w:r>
      <w:r>
        <w:rPr>
          <w:rStyle w:val="FootnoteReference"/>
        </w:rPr>
        <w:footnoteReference w:id="4456"/>
      </w:r>
      <w:r>
        <w:t xml:space="preserve"> for yourselves today whom you will serve, whether the gods of your fathers beyond the river or the gods of the Amorites among whom you dwell on their land. But I and my house will serve the Lord, because he is holy</w:t>
      </w:r>
      <w:r>
        <w:rPr>
          <w:rStyle w:val="FootnoteReference"/>
        </w:rPr>
        <w:footnoteReference w:id="4457"/>
      </w:r>
      <w:r>
        <w:t xml:space="preserve">.</w:t>
      </w:r>
    </w:p>
    <w:p>
      <w:r>
        <w:rPr>
          <w:b/>
        </w:rPr>
        <w:t xml:space="preserve">16 </w:t>
      </w:r>
      <w:r>
        <w:t xml:space="preserve">And the people answered and said, May it never be for us to forsake the Lord so as to serve other gods.</w:t>
      </w:r>
    </w:p>
    <w:p>
      <w:r>
        <w:rPr>
          <w:b/>
        </w:rPr>
        <w:t xml:space="preserve">17 </w:t>
      </w:r>
      <w:r>
        <w:t xml:space="preserve">The Lord our God, he is God; he brought up us and our fathers out of Egypt and preserved us in all the way in which we went and among all the nations through whom we passed.</w:t>
      </w:r>
    </w:p>
    <w:p>
      <w:r>
        <w:rPr>
          <w:b/>
        </w:rPr>
        <w:t xml:space="preserve">18 </w:t>
      </w:r>
      <w:r>
        <w:t xml:space="preserve">And the Lord drove out the Amorite and all the nations dwelling in the land from before us. Therefore we also will serve the Lord, for he is our God.</w:t>
      </w:r>
    </w:p>
    <w:p>
      <w:r>
        <w:rPr>
          <w:b/>
        </w:rPr>
        <w:t xml:space="preserve">19 </w:t>
      </w:r>
      <w:r>
        <w:t xml:space="preserve">And Joshua said to the people, You will not be able to serve the Lord, because he is a holy</w:t>
      </w:r>
      <w:r>
        <w:rPr>
          <w:rStyle w:val="FootnoteReference"/>
        </w:rPr>
        <w:footnoteReference w:id="4458"/>
      </w:r>
      <w:r>
        <w:t xml:space="preserve"> and jealous God; he will not forgive your sins and your lawless deeds.</w:t>
      </w:r>
      <w:r>
        <w:rPr>
          <w:rStyle w:val="FootnoteReference"/>
        </w:rPr>
        <w:footnoteReference w:id="4459"/>
      </w:r>
    </w:p>
    <w:p>
      <w:r>
        <w:rPr>
          <w:b/>
        </w:rPr>
        <w:t xml:space="preserve">20 </w:t>
      </w:r>
      <w:r>
        <w:t xml:space="preserve">Whenever you forsake the Lord and serve other gods, then coming upon you he will mistreat you and consume you in return for the good things he did for you.</w:t>
      </w:r>
    </w:p>
    <w:p>
      <w:r>
        <w:rPr>
          <w:b/>
        </w:rPr>
        <w:t xml:space="preserve">21 </w:t>
      </w:r>
      <w:r>
        <w:t xml:space="preserve">And the people said to Joshua, No, but we will serve the Lord.</w:t>
      </w:r>
    </w:p>
    <w:p>
      <w:r>
        <w:rPr>
          <w:b/>
        </w:rPr>
        <w:t xml:space="preserve">22 </w:t>
      </w:r>
      <w:r>
        <w:t xml:space="preserve">And Joshua said to the people, You are witnesses against yourselves that you chose the Lord, to serve him.</w:t>
      </w:r>
    </w:p>
    <w:p>
      <w:r>
        <w:rPr>
          <w:b/>
        </w:rPr>
        <w:t xml:space="preserve">23 </w:t>
      </w:r>
      <w:r>
        <w:t xml:space="preserve">And now remove the foreign gods among you and direct your heart toward the Lord God of Israel.</w:t>
      </w:r>
    </w:p>
    <w:p>
      <w:r>
        <w:rPr>
          <w:b/>
        </w:rPr>
        <w:t xml:space="preserve">24 </w:t>
      </w:r>
      <w:r>
        <w:t xml:space="preserve">And the people said to Joshua, We will serve the Lord and we will listen to his voice.</w:t>
      </w:r>
    </w:p>
    <w:p>
      <w:r>
        <w:rPr>
          <w:b/>
        </w:rPr>
        <w:t xml:space="preserve">25 </w:t>
      </w:r>
      <w:r>
        <w:t xml:space="preserve">And Joshua made</w:t>
      </w:r>
      <w:r>
        <w:rPr>
          <w:rStyle w:val="FootnoteReference"/>
        </w:rPr>
        <w:footnoteReference w:id="4460"/>
      </w:r>
      <w:r>
        <w:t xml:space="preserve"> a covenant with the people on that day and gave them law and judgment in Shiloh before the tent of the God of Israel.</w:t>
      </w:r>
    </w:p>
    <w:p>
      <w:r>
        <w:rPr>
          <w:b/>
        </w:rPr>
        <w:t xml:space="preserve">26 </w:t>
      </w:r>
      <w:r>
        <w:t xml:space="preserve">And Joshua</w:t>
      </w:r>
      <w:r>
        <w:rPr>
          <w:rStyle w:val="FootnoteReference"/>
        </w:rPr>
        <w:footnoteReference w:id="4461"/>
      </w:r>
      <w:r>
        <w:t xml:space="preserve"> wrote these words in the book of the law of God, and Joshua took a great stone and set it up under the terebinth before the Lord.</w:t>
      </w:r>
    </w:p>
    <w:p>
      <w:r>
        <w:rPr>
          <w:b/>
        </w:rPr>
        <w:t xml:space="preserve">27 </w:t>
      </w:r>
      <w:r>
        <w:t xml:space="preserve">And Joshua said to the people, Behold, this stone shall be among you as a witness, because it has heard</w:t>
      </w:r>
      <w:r>
        <w:rPr>
          <w:rStyle w:val="FootnoteReference"/>
        </w:rPr>
        <w:footnoteReference w:id="4462"/>
      </w:r>
      <w:r>
        <w:t xml:space="preserve"> all that was spoken to it by the Lord, whatever he spoke to us today, and it shall be among you as a witness at the last days, whenever you lie against the Lord my God.</w:t>
      </w:r>
    </w:p>
    <w:p>
      <w:r>
        <w:rPr>
          <w:b/>
        </w:rPr>
        <w:t xml:space="preserve">28 </w:t>
      </w:r>
      <w:r>
        <w:t xml:space="preserve">And Joshua sent the people away, and each went to his own place.</w:t>
      </w:r>
    </w:p>
    <w:p>
      <w:r>
        <w:rPr>
          <w:b/>
        </w:rPr>
        <w:t xml:space="preserve">29 </w:t>
      </w:r>
      <w:r>
        <w:t xml:space="preserve">And Israel served the Lord all the days of Joshua and all the days of the elders who lengthened time after Joshua and who saw all the works of the Lord that he did for Israel.</w:t>
      </w:r>
    </w:p>
    <w:p>
      <w:r>
        <w:rPr>
          <w:b/>
        </w:rPr>
        <w:t xml:space="preserve">30 </w:t>
      </w:r>
      <w:r>
        <w:t xml:space="preserve">And it came to be after these things that Joshua son of Nun, servant of the Lord, died at one hundred ten years.</w:t>
      </w:r>
    </w:p>
    <w:p>
      <w:r>
        <w:rPr>
          <w:b/>
        </w:rPr>
        <w:t xml:space="preserve">31 </w:t>
      </w:r>
      <w:r>
        <w:t xml:space="preserve">And they buried him at the borders of his inheritance in Thamnathasachara in the hill-country of Ephraim, north of Mount Gaash</w:t>
      </w:r>
      <w:r>
        <w:rPr>
          <w:rStyle w:val="FootnoteReference"/>
        </w:rPr>
        <w:footnoteReference w:id="4463"/>
      </w:r>
      <w:r>
        <w:t xml:space="preserve">. There they put with him into the tomb in which they buried him the stone knives</w:t>
      </w:r>
      <w:r>
        <w:rPr>
          <w:rStyle w:val="FootnoteReference"/>
        </w:rPr>
        <w:footnoteReference w:id="4464"/>
      </w:r>
      <w:r>
        <w:t xml:space="preserve"> with which he circumcised the sons of Israel in Gilgal when he brought them out of Egypt, just as the Lord commanded them, and there they are until this day.</w:t>
      </w:r>
    </w:p>
    <w:p>
      <w:r>
        <w:rPr>
          <w:b/>
        </w:rPr>
        <w:t xml:space="preserve">32 </w:t>
      </w:r>
      <w:r>
        <w:t xml:space="preserve">And the sons of Israel brought up the bones</w:t>
      </w:r>
      <w:r>
        <w:rPr>
          <w:rStyle w:val="FootnoteReference"/>
        </w:rPr>
        <w:footnoteReference w:id="4465"/>
      </w:r>
      <w:r>
        <w:t xml:space="preserve"> of Joseph out of Egypt, and they buried them in Shechem, in the portion of the field that Jacob acquired from the Amorites dwelling in Shechem for a hundred lambs</w:t>
      </w:r>
      <w:r>
        <w:rPr>
          <w:rStyle w:val="FootnoteReference"/>
        </w:rPr>
        <w:footnoteReference w:id="4466"/>
      </w:r>
      <w:r>
        <w:t xml:space="preserve">, and he gave it to Joseph as a portion.</w:t>
      </w:r>
    </w:p>
    <w:p>
      <w:r>
        <w:rPr>
          <w:b/>
        </w:rPr>
        <w:t xml:space="preserve">33 </w:t>
      </w:r>
      <w:r>
        <w:t xml:space="preserve">And after these things Eleazar</w:t>
      </w:r>
      <w:r>
        <w:rPr>
          <w:rStyle w:val="FootnoteReference"/>
        </w:rPr>
        <w:footnoteReference w:id="4467"/>
      </w:r>
      <w:r>
        <w:t xml:space="preserve"> son of Aaron the high priest died, and they buried him in Gabaath of Phinehas his son, which he gave him in the hill-country of Ephraim. [33a: On that day the sons of Israel took the ark of God and carried it among themselves, and Phinehas served as priest in place of Eleazar his father until he died, and he was buried in his own Gabaath. 33b: And the sons of Israel went away each to his own place and to his own city, and the sons of Israel worshiped Astarte and Astaroth</w:t>
      </w:r>
      <w:r>
        <w:rPr>
          <w:rStyle w:val="FootnoteReference"/>
        </w:rPr>
        <w:footnoteReference w:id="4468"/>
      </w:r>
      <w:r>
        <w:t xml:space="preserve"> and the gods of the nations around them, and the Lord gave them into the hands of Eglom king of Moab, and he ruled over them eighteen years.]</w:t>
      </w:r>
      <w:r>
        <w:rPr>
          <w:rStyle w:val="FootnoteReference"/>
        </w:rPr>
        <w:footnoteReference w:id="4469"/>
      </w:r>
    </w:p>
    <w:p>
      <w:r>
        <w:br w:type="page"/>
      </w:r>
    </w:p>
    <w:p>
      <w:pPr>
        <w:pStyle w:val="Heading1"/>
      </w:pPr>
      <w:r>
        <w:t xml:space="preserve">Judges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it came to be after the death of Joshua that the sons of Israel inquired of the Lord, saying, Who shall go up for us against the Canaanite, leading to fight against him?</w:t>
      </w:r>
    </w:p>
    <w:p>
      <w:r>
        <w:rPr>
          <w:b/>
        </w:rPr>
        <w:t xml:space="preserve">2 </w:t>
      </w:r>
      <w:r>
        <w:t xml:space="preserve">And the Lord said, Judah shall go up. See, I have given the land into his hand.</w:t>
      </w:r>
    </w:p>
    <w:p>
      <w:r>
        <w:rPr>
          <w:b/>
        </w:rPr>
        <w:t xml:space="preserve">3 </w:t>
      </w:r>
      <w:r>
        <w:t xml:space="preserve">And Judah said to Simeon</w:t>
      </w:r>
      <w:r>
        <w:rPr>
          <w:rStyle w:val="FootnoteReference"/>
        </w:rPr>
        <w:footnoteReference w:id="4470"/>
      </w:r>
      <w:r>
        <w:t xml:space="preserve"> his brother, Come up with me in my lot and let us fight against the Canaanite, and I also will go with you in your lot. And Simeon went with him.</w:t>
      </w:r>
    </w:p>
    <w:p>
      <w:r>
        <w:rPr>
          <w:b/>
        </w:rPr>
        <w:t xml:space="preserve">4 </w:t>
      </w:r>
      <w:r>
        <w:t xml:space="preserve">And Judah went up, and the Lord gave the Canaanite and the Perizzite into his hand</w:t>
      </w:r>
      <w:r>
        <w:rPr>
          <w:rStyle w:val="FootnoteReference"/>
        </w:rPr>
        <w:footnoteReference w:id="4471"/>
      </w:r>
      <w:r>
        <w:t xml:space="preserve">, and he struck them at Bezek</w:t>
      </w:r>
      <w:r>
        <w:rPr>
          <w:rStyle w:val="FootnoteReference"/>
        </w:rPr>
        <w:footnoteReference w:id="4472"/>
      </w:r>
      <w:r>
        <w:t xml:space="preserve">, ten thousand men.</w:t>
      </w:r>
      <w:r>
        <w:rPr>
          <w:rStyle w:val="FootnoteReference"/>
        </w:rPr>
        <w:footnoteReference w:id="4473"/>
      </w:r>
    </w:p>
    <w:p>
      <w:r>
        <w:rPr>
          <w:b/>
        </w:rPr>
        <w:t xml:space="preserve">5 </w:t>
      </w:r>
      <w:r>
        <w:t xml:space="preserve">And they found Adonibezek at Bezek and fought against him, and they struck the Canaanite and the Perizzite.</w:t>
      </w:r>
    </w:p>
    <w:p>
      <w:r>
        <w:rPr>
          <w:b/>
        </w:rPr>
        <w:t xml:space="preserve">6 </w:t>
      </w:r>
      <w:r>
        <w:t xml:space="preserve">And Adonibezek fled, and they pursued after him and took him and cut off the tips of his hands and his feet.</w:t>
      </w:r>
    </w:p>
    <w:p>
      <w:r>
        <w:rPr>
          <w:b/>
        </w:rPr>
        <w:t xml:space="preserve">7 </w:t>
      </w:r>
      <w:r>
        <w:t xml:space="preserve">And Adonibezek said, Seventy kings with the tips of their hands and feet cut off used to gather what was under my table. As I did, so God repaid me. And they brought him to Jerusalem, and he died there.</w:t>
      </w:r>
    </w:p>
    <w:p>
      <w:r>
        <w:rPr>
          <w:b/>
        </w:rPr>
        <w:t xml:space="preserve">8 </w:t>
      </w:r>
      <w:r>
        <w:t xml:space="preserve">And the sons of Judah fought against Jerusalem and took it, and they struck it with the edge of the sword and burned the city with fire.</w:t>
      </w:r>
    </w:p>
    <w:p>
      <w:r>
        <w:rPr>
          <w:b/>
        </w:rPr>
        <w:t xml:space="preserve">9 </w:t>
      </w:r>
      <w:r>
        <w:t xml:space="preserve">And after this the sons of Judah went down to fight against the Canaanite dwelling in the hill-country and the south and the plain.</w:t>
      </w:r>
    </w:p>
    <w:p>
      <w:r>
        <w:rPr>
          <w:b/>
        </w:rPr>
        <w:t xml:space="preserve">10 </w:t>
      </w:r>
      <w:r>
        <w:t xml:space="preserve">And Judah went against the Canaanite dwelling in Hebron, and Hebron came out opposite them; the name of Hebron before was Kirjatharba</w:t>
      </w:r>
      <w:r>
        <w:rPr>
          <w:rStyle w:val="FootnoteReference"/>
        </w:rPr>
        <w:footnoteReference w:id="4474"/>
      </w:r>
      <w:r>
        <w:t xml:space="preserve">. And he struck Sheshai and Ahiman and Talmai, offspring of Anak.</w:t>
      </w:r>
      <w:r>
        <w:rPr>
          <w:rStyle w:val="FootnoteReference"/>
        </w:rPr>
        <w:footnoteReference w:id="4475"/>
      </w:r>
    </w:p>
    <w:p>
      <w:r>
        <w:rPr>
          <w:b/>
        </w:rPr>
        <w:t xml:space="preserve">11 </w:t>
      </w:r>
      <w:r>
        <w:t xml:space="preserve">And from there they went against those dwelling in Debir</w:t>
      </w:r>
      <w:r>
        <w:rPr>
          <w:rStyle w:val="FootnoteReference"/>
        </w:rPr>
        <w:footnoteReference w:id="4476"/>
      </w:r>
      <w:r>
        <w:t xml:space="preserve">, and the name of Debir before was the City of Letters.</w:t>
      </w:r>
    </w:p>
    <w:p>
      <w:r>
        <w:rPr>
          <w:b/>
        </w:rPr>
        <w:t xml:space="preserve">12 </w:t>
      </w:r>
      <w:r>
        <w:t xml:space="preserve">And Caleb</w:t>
      </w:r>
      <w:r>
        <w:rPr>
          <w:rStyle w:val="FootnoteReference"/>
        </w:rPr>
        <w:footnoteReference w:id="4477"/>
      </w:r>
      <w:r>
        <w:t xml:space="preserve"> said, Whoever strikes the City of Letters and takes it first, I will give him my daughter Achsah as wife.</w:t>
      </w:r>
    </w:p>
    <w:p>
      <w:r>
        <w:rPr>
          <w:b/>
        </w:rPr>
        <w:t xml:space="preserve">13 </w:t>
      </w:r>
      <w:r>
        <w:t xml:space="preserve">And Othniel son of Kenaz, younger brother of Caleb, took it first, and he gave him his daughter Achsah as wife.</w:t>
      </w:r>
    </w:p>
    <w:p>
      <w:r>
        <w:rPr>
          <w:b/>
        </w:rPr>
        <w:t xml:space="preserve">14 </w:t>
      </w:r>
      <w:r>
        <w:t xml:space="preserve">And it came</w:t>
      </w:r>
      <w:r>
        <w:rPr>
          <w:rStyle w:val="FootnoteReference"/>
        </w:rPr>
        <w:footnoteReference w:id="4478"/>
      </w:r>
      <w:r>
        <w:t xml:space="preserve"> to be when she went in, she urged him to ask from her father for the field, and she groaned upon the pack animal and cried out from the pack animal, You gave me into a south land. And Caleb said to her, What is wrong with you?</w:t>
      </w:r>
    </w:p>
    <w:p>
      <w:r>
        <w:rPr>
          <w:b/>
        </w:rPr>
        <w:t xml:space="preserve">15 </w:t>
      </w:r>
      <w:r>
        <w:t xml:space="preserve">And Achsah said to him, Give me a blessing</w:t>
      </w:r>
      <w:r>
        <w:rPr>
          <w:rStyle w:val="FootnoteReference"/>
        </w:rPr>
        <w:footnoteReference w:id="4479"/>
      </w:r>
      <w:r>
        <w:t xml:space="preserve">, because you gave me into a south land, and you shall give me a redemption of water. And Caleb gave her according to her heart, the redemption of the heights and the redemption of the low places.</w:t>
      </w:r>
    </w:p>
    <w:p>
      <w:r>
        <w:rPr>
          <w:b/>
        </w:rPr>
        <w:t xml:space="preserve">16 </w:t>
      </w:r>
      <w:r>
        <w:t xml:space="preserve">And the sons of Hobab the Kenite</w:t>
      </w:r>
      <w:r>
        <w:rPr>
          <w:rStyle w:val="FootnoteReference"/>
        </w:rPr>
        <w:footnoteReference w:id="4480"/>
      </w:r>
      <w:r>
        <w:t xml:space="preserve">, father-in-law of Moses, went up from the City of Palms</w:t>
      </w:r>
      <w:r>
        <w:rPr>
          <w:rStyle w:val="FootnoteReference"/>
        </w:rPr>
        <w:footnoteReference w:id="4481"/>
      </w:r>
      <w:r>
        <w:t xml:space="preserve"> with the sons of Judah into the wilderness that is in the south at the descent of Arad, and he went and dwelt with the people.</w:t>
      </w:r>
    </w:p>
    <w:p>
      <w:r>
        <w:rPr>
          <w:b/>
        </w:rPr>
        <w:t xml:space="preserve">17 </w:t>
      </w:r>
      <w:r>
        <w:t xml:space="preserve">And Judah</w:t>
      </w:r>
      <w:r>
        <w:rPr>
          <w:rStyle w:val="FootnoteReference"/>
        </w:rPr>
        <w:footnoteReference w:id="4482"/>
      </w:r>
      <w:r>
        <w:t xml:space="preserve"> went with Simeon his brother, and they struck the Canaanite dwelling at Zephath</w:t>
      </w:r>
      <w:r>
        <w:rPr>
          <w:rStyle w:val="FootnoteReference"/>
        </w:rPr>
        <w:footnoteReference w:id="4483"/>
      </w:r>
      <w:r>
        <w:t xml:space="preserve"> and devoted it to destruction and utterly destroyed it, and they called the name of the city Extermination.</w:t>
      </w:r>
    </w:p>
    <w:p>
      <w:r>
        <w:rPr>
          <w:b/>
        </w:rPr>
        <w:t xml:space="preserve">18 </w:t>
      </w:r>
      <w:r>
        <w:t xml:space="preserve">And Judah did not inherit Gaza</w:t>
      </w:r>
      <w:r>
        <w:rPr>
          <w:rStyle w:val="FootnoteReference"/>
        </w:rPr>
        <w:footnoteReference w:id="4484"/>
      </w:r>
      <w:r>
        <w:t xml:space="preserve"> and its boundary, and Ashkelon</w:t>
      </w:r>
      <w:r>
        <w:rPr>
          <w:rStyle w:val="FootnoteReference"/>
        </w:rPr>
        <w:footnoteReference w:id="4485"/>
      </w:r>
      <w:r>
        <w:t xml:space="preserve"> and its boundary, and Ekron and its boundary, and Ashdod and its pasturelands.</w:t>
      </w:r>
    </w:p>
    <w:p>
      <w:r>
        <w:rPr>
          <w:b/>
        </w:rPr>
        <w:t xml:space="preserve">19 </w:t>
      </w:r>
      <w:r>
        <w:t xml:space="preserve">And the Lord</w:t>
      </w:r>
      <w:r>
        <w:rPr>
          <w:rStyle w:val="FootnoteReference"/>
        </w:rPr>
        <w:footnoteReference w:id="4486"/>
      </w:r>
      <w:r>
        <w:t xml:space="preserve"> was with Judah, and he inherited the hill-country, because he was not able to inherit those dwelling in the valley, because Rechab</w:t>
      </w:r>
      <w:r>
        <w:rPr>
          <w:rStyle w:val="FootnoteReference"/>
        </w:rPr>
        <w:footnoteReference w:id="4487"/>
      </w:r>
      <w:r>
        <w:t xml:space="preserve"> had deployed it.</w:t>
      </w:r>
    </w:p>
    <w:p>
      <w:r>
        <w:rPr>
          <w:b/>
        </w:rPr>
        <w:t xml:space="preserve">20 </w:t>
      </w:r>
      <w:r>
        <w:t xml:space="preserve">And they gave</w:t>
      </w:r>
      <w:r>
        <w:rPr>
          <w:rStyle w:val="FootnoteReference"/>
        </w:rPr>
        <w:footnoteReference w:id="4488"/>
      </w:r>
      <w:r>
        <w:t xml:space="preserve"> Hebron to Caleb, just as Moses spoke, and he inherited from there the three cities and removed from there the three sons of Anak.</w:t>
      </w:r>
    </w:p>
    <w:p>
      <w:r>
        <w:rPr>
          <w:b/>
        </w:rPr>
        <w:t xml:space="preserve">21 </w:t>
      </w:r>
      <w:r>
        <w:t xml:space="preserve">And the sons of Benjamin did not remove the Jebusite dwelling in Jerusalem, and the Jebusite dwelt with the sons of Benjamin until this day.</w:t>
      </w:r>
    </w:p>
    <w:p>
      <w:r>
        <w:rPr>
          <w:b/>
        </w:rPr>
        <w:t xml:space="preserve">22 </w:t>
      </w:r>
      <w:r>
        <w:t xml:space="preserve">And the sons of Joseph also went up to Bethel, and Judah was with them.</w:t>
      </w:r>
    </w:p>
    <w:p>
      <w:r>
        <w:rPr>
          <w:b/>
        </w:rPr>
        <w:t xml:space="preserve">23 </w:t>
      </w:r>
      <w:r>
        <w:t xml:space="preserve">And the house of Israel encamped against Bethel; the name of the city before was Luz.</w:t>
      </w:r>
    </w:p>
    <w:p>
      <w:r>
        <w:rPr>
          <w:b/>
        </w:rPr>
        <w:t xml:space="preserve">24 </w:t>
      </w:r>
      <w:r>
        <w:t xml:space="preserve">And the watchers saw a man coming out of the city and took him and said to him, Show us the entrance of the city, and we will</w:t>
      </w:r>
      <w:r>
        <w:rPr>
          <w:rStyle w:val="FootnoteReference"/>
        </w:rPr>
        <w:footnoteReference w:id="4489"/>
      </w:r>
      <w:r>
        <w:t xml:space="preserve"> deal mercifully with you.</w:t>
      </w:r>
    </w:p>
    <w:p>
      <w:r>
        <w:rPr>
          <w:b/>
        </w:rPr>
        <w:t xml:space="preserve">25 </w:t>
      </w:r>
      <w:r>
        <w:t xml:space="preserve">And he showed them the entrance of the city, and they struck the city with the edge of the sword, but the man and all his kin they sent away.</w:t>
      </w:r>
    </w:p>
    <w:p>
      <w:r>
        <w:rPr>
          <w:b/>
        </w:rPr>
        <w:t xml:space="preserve">26 </w:t>
      </w:r>
      <w:r>
        <w:t xml:space="preserve">And the man went into the land of the Hittites and built there a city and called its name Luz. This is its name until this day.</w:t>
      </w:r>
    </w:p>
    <w:p>
      <w:r>
        <w:rPr>
          <w:b/>
        </w:rPr>
        <w:t xml:space="preserve">27 </w:t>
      </w:r>
      <w:r>
        <w:t xml:space="preserve">And Manasseh</w:t>
      </w:r>
      <w:r>
        <w:rPr>
          <w:rStyle w:val="FootnoteReference"/>
        </w:rPr>
        <w:footnoteReference w:id="4490"/>
      </w:r>
      <w:r>
        <w:t xml:space="preserve"> did not inherit Bethshan</w:t>
      </w:r>
      <w:r>
        <w:rPr>
          <w:rStyle w:val="FootnoteReference"/>
        </w:rPr>
        <w:footnoteReference w:id="4491"/>
      </w:r>
      <w:r>
        <w:t xml:space="preserve">, which is a city of Scythians</w:t>
      </w:r>
      <w:r>
        <w:rPr>
          <w:rStyle w:val="FootnoteReference"/>
        </w:rPr>
        <w:footnoteReference w:id="4492"/>
      </w:r>
      <w:r>
        <w:t xml:space="preserve">, nor its daughters, nor its pasturelands, nor Ekthanaad and its daughters, nor those dwelling in Dor and its daughters, and those dwelling in Balaam and its daughters, and those dwelling in Megiddo and its daughters, nor those dwelling in Jeblaam nor its daughters. And the Canaanite began to dwell in this land.</w:t>
      </w:r>
      <w:r>
        <w:rPr>
          <w:rStyle w:val="FootnoteReference"/>
        </w:rPr>
        <w:footnoteReference w:id="4493"/>
      </w:r>
    </w:p>
    <w:p>
      <w:r>
        <w:rPr>
          <w:b/>
        </w:rPr>
        <w:t xml:space="preserve">28 </w:t>
      </w:r>
      <w:r>
        <w:t xml:space="preserve">And it came to be when Israel grew strong, it made the Canaanite subject to tribute, but in removing, it did not remove him.</w:t>
      </w:r>
    </w:p>
    <w:p>
      <w:r>
        <w:rPr>
          <w:b/>
        </w:rPr>
        <w:t xml:space="preserve">29 </w:t>
      </w:r>
      <w:r>
        <w:t xml:space="preserve">And Ephraim did not remove the Canaanite dwelling in Gezer, and the Canaanite dwelt in its midst in Gezer and became subject to tribute.</w:t>
      </w:r>
    </w:p>
    <w:p>
      <w:r>
        <w:rPr>
          <w:b/>
        </w:rPr>
        <w:t xml:space="preserve">30 </w:t>
      </w:r>
      <w:r>
        <w:t xml:space="preserve">And Zebulun did not remove those dwelling in Kidron</w:t>
      </w:r>
      <w:r>
        <w:rPr>
          <w:rStyle w:val="FootnoteReference"/>
        </w:rPr>
        <w:footnoteReference w:id="4494"/>
      </w:r>
      <w:r>
        <w:t xml:space="preserve"> and those dwelling in Enaala, and the Canaanite dwelt in its midst and became subject to tribute.</w:t>
      </w:r>
    </w:p>
    <w:p>
      <w:r>
        <w:rPr>
          <w:b/>
        </w:rPr>
        <w:t xml:space="preserve">31 </w:t>
      </w:r>
      <w:r>
        <w:t xml:space="preserve">And Asher</w:t>
      </w:r>
      <w:r>
        <w:rPr>
          <w:rStyle w:val="FootnoteReference"/>
        </w:rPr>
        <w:footnoteReference w:id="4495"/>
      </w:r>
      <w:r>
        <w:t xml:space="preserve"> did not remove those dwelling in Acco</w:t>
      </w:r>
      <w:r>
        <w:rPr>
          <w:rStyle w:val="FootnoteReference"/>
        </w:rPr>
        <w:footnoteReference w:id="4496"/>
      </w:r>
      <w:r>
        <w:t xml:space="preserve">, and they became tributary to him, and those dwelling in Dor and those dwelling in Sidon and those dwelling in Ahlab</w:t>
      </w:r>
      <w:r>
        <w:rPr>
          <w:rStyle w:val="FootnoteReference"/>
        </w:rPr>
        <w:footnoteReference w:id="4497"/>
      </w:r>
      <w:r>
        <w:t xml:space="preserve"> and Achzib</w:t>
      </w:r>
      <w:r>
        <w:rPr>
          <w:rStyle w:val="FootnoteReference"/>
        </w:rPr>
        <w:footnoteReference w:id="4498"/>
      </w:r>
      <w:r>
        <w:t xml:space="preserve"> and Helbah</w:t>
      </w:r>
      <w:r>
        <w:rPr>
          <w:rStyle w:val="FootnoteReference"/>
        </w:rPr>
        <w:footnoteReference w:id="4499"/>
      </w:r>
      <w:r>
        <w:t xml:space="preserve"> and Aphek and Rehob.</w:t>
      </w:r>
    </w:p>
    <w:p>
      <w:r>
        <w:rPr>
          <w:b/>
        </w:rPr>
        <w:t xml:space="preserve">32 </w:t>
      </w:r>
      <w:r>
        <w:t xml:space="preserve">And Asher dwelt in the midst of the Canaanite dwelling in the land, because he was not able to remove him.</w:t>
      </w:r>
    </w:p>
    <w:p>
      <w:r>
        <w:rPr>
          <w:b/>
        </w:rPr>
        <w:t xml:space="preserve">33 </w:t>
      </w:r>
      <w:r>
        <w:t xml:space="preserve">And Naphtali</w:t>
      </w:r>
      <w:r>
        <w:rPr>
          <w:rStyle w:val="FootnoteReference"/>
        </w:rPr>
        <w:footnoteReference w:id="4500"/>
      </w:r>
      <w:r>
        <w:t xml:space="preserve"> did not remove those dwelling in Beth-shemesh nor those dwelling in Bethanath</w:t>
      </w:r>
      <w:r>
        <w:rPr>
          <w:rStyle w:val="FootnoteReference"/>
        </w:rPr>
        <w:footnoteReference w:id="4501"/>
      </w:r>
      <w:r>
        <w:t xml:space="preserve">, and Israel dwelt in the midst of the Canaanite dwelling in the land, but those dwelling in Beth-shemesh and Bethanath became subject to tribute for them.</w:t>
      </w:r>
      <w:r>
        <w:rPr>
          <w:rStyle w:val="FootnoteReference"/>
        </w:rPr>
        <w:footnoteReference w:id="4502"/>
      </w:r>
    </w:p>
    <w:p>
      <w:r>
        <w:rPr>
          <w:b/>
        </w:rPr>
        <w:t xml:space="preserve">34 </w:t>
      </w:r>
      <w:r>
        <w:t xml:space="preserve">And the Amorite pressed the sons of Dan into the mountain, because he did not allow him to go down into the valley.</w:t>
      </w:r>
    </w:p>
    <w:p>
      <w:r>
        <w:rPr>
          <w:b/>
        </w:rPr>
        <w:t xml:space="preserve">35 </w:t>
      </w:r>
      <w:r>
        <w:t xml:space="preserve">And the Amorite began to dwell in the mountain of Myrsinon, where the bears and the foxes are, and the hand of the house of Joseph weighed heavily on the Amorite, and he became subject to tribute.</w:t>
      </w:r>
    </w:p>
    <w:p>
      <w:r>
        <w:rPr>
          <w:b/>
        </w:rPr>
        <w:t xml:space="preserve">36 </w:t>
      </w:r>
      <w:r>
        <w:t xml:space="preserve">And the boundary of the Amorite, the Edomite, was above Akrabbim, from the rock and upward.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an angel</w:t>
      </w:r>
      <w:r>
        <w:rPr>
          <w:rStyle w:val="FootnoteReference"/>
        </w:rPr>
        <w:footnoteReference w:id="4503"/>
      </w:r>
      <w:r>
        <w:t xml:space="preserve"> of the Lord went up from Gilgal to the place of Weeping and to Bethel and to the house of Israel and said to them, The Lord brought you up out of Egypt and brought you into the land that he swore to your fathers to give you, and he said to you, I will never scatter my covenant</w:t>
      </w:r>
      <w:r>
        <w:rPr>
          <w:rStyle w:val="FootnoteReference"/>
        </w:rPr>
        <w:footnoteReference w:id="4504"/>
      </w:r>
      <w:r>
        <w:t xml:space="preserve"> with you forever.</w:t>
      </w:r>
    </w:p>
    <w:p>
      <w:r>
        <w:rPr>
          <w:b/>
        </w:rPr>
        <w:t xml:space="preserve">2 </w:t>
      </w:r>
      <w:r>
        <w:t xml:space="preserve">And you shall not make a covenant with those dwelling in this land, and you shall certainly not bow down to their gods, but you shall shatter their carved images and dig down their altars. And you did not listen to my voice when you did these things.</w:t>
      </w:r>
    </w:p>
    <w:p>
      <w:r>
        <w:rPr>
          <w:b/>
        </w:rPr>
        <w:t xml:space="preserve">3 </w:t>
      </w:r>
      <w:r>
        <w:t xml:space="preserve">And I said, I will not continue to move away the people</w:t>
      </w:r>
      <w:r>
        <w:rPr>
          <w:rStyle w:val="FootnoteReference"/>
        </w:rPr>
        <w:footnoteReference w:id="4505"/>
      </w:r>
      <w:r>
        <w:t xml:space="preserve"> that I said I would destroy from before you, and they shall be for you in constriction, and their gods</w:t>
      </w:r>
      <w:r>
        <w:rPr>
          <w:rStyle w:val="FootnoteReference"/>
        </w:rPr>
        <w:footnoteReference w:id="4506"/>
      </w:r>
      <w:r>
        <w:t xml:space="preserve"> shall be for you as a snare.</w:t>
      </w:r>
    </w:p>
    <w:p>
      <w:r>
        <w:rPr>
          <w:b/>
        </w:rPr>
        <w:t xml:space="preserve">4 </w:t>
      </w:r>
      <w:r>
        <w:t xml:space="preserve">And it came to be, as the angel of the Lord spoke these words to all Israel, the people raised their voice and wept.</w:t>
      </w:r>
    </w:p>
    <w:p>
      <w:r>
        <w:rPr>
          <w:b/>
        </w:rPr>
        <w:t xml:space="preserve">5 </w:t>
      </w:r>
      <w:r>
        <w:t xml:space="preserve">Because of this the name of that place was called Weeping, and there they sacrificed</w:t>
      </w:r>
      <w:r>
        <w:rPr>
          <w:rStyle w:val="FootnoteReference"/>
        </w:rPr>
        <w:footnoteReference w:id="4507"/>
      </w:r>
      <w:r>
        <w:t xml:space="preserve"> to the Lord.</w:t>
      </w:r>
    </w:p>
    <w:p>
      <w:r>
        <w:rPr>
          <w:b/>
        </w:rPr>
        <w:t xml:space="preserve">6 </w:t>
      </w:r>
      <w:r>
        <w:t xml:space="preserve">And Joshua</w:t>
      </w:r>
      <w:r>
        <w:rPr>
          <w:rStyle w:val="FootnoteReference"/>
        </w:rPr>
        <w:footnoteReference w:id="4508"/>
      </w:r>
      <w:r>
        <w:t xml:space="preserve"> sent the people away, and the sons of Israel went, each to his house and to his inheritance, to inherit the land.</w:t>
      </w:r>
    </w:p>
    <w:p>
      <w:r>
        <w:rPr>
          <w:b/>
        </w:rPr>
        <w:t xml:space="preserve">7 </w:t>
      </w:r>
      <w:r>
        <w:t xml:space="preserve">And the people served the Lord all the days of Joshua and all the days of the elders who lived long after Joshua</w:t>
      </w:r>
      <w:r>
        <w:rPr>
          <w:rStyle w:val="FootnoteReference"/>
        </w:rPr>
        <w:footnoteReference w:id="4509"/>
      </w:r>
      <w:r>
        <w:t xml:space="preserve">, who knew all the great work of the Lord that he did for Israel.</w:t>
      </w:r>
    </w:p>
    <w:p>
      <w:r>
        <w:rPr>
          <w:b/>
        </w:rPr>
        <w:t xml:space="preserve">8 </w:t>
      </w:r>
      <w:r>
        <w:t xml:space="preserve">And Joshua</w:t>
      </w:r>
      <w:r>
        <w:rPr>
          <w:rStyle w:val="FootnoteReference"/>
        </w:rPr>
        <w:footnoteReference w:id="4510"/>
      </w:r>
      <w:r>
        <w:t xml:space="preserve"> son of Nun, servant of the Lord, died, being one hundred ten years old.</w:t>
      </w:r>
    </w:p>
    <w:p>
      <w:r>
        <w:rPr>
          <w:b/>
        </w:rPr>
        <w:t xml:space="preserve">9 </w:t>
      </w:r>
      <w:r>
        <w:t xml:space="preserve">And they buried him in the boundary of his inheritance in Timnathheres</w:t>
      </w:r>
      <w:r>
        <w:rPr>
          <w:rStyle w:val="FootnoteReference"/>
        </w:rPr>
        <w:footnoteReference w:id="4511"/>
      </w:r>
      <w:r>
        <w:t xml:space="preserve"> in the hill-country of Ephraim, north of Mount Gaash.</w:t>
      </w:r>
      <w:r>
        <w:rPr>
          <w:rStyle w:val="FootnoteReference"/>
        </w:rPr>
        <w:footnoteReference w:id="4512"/>
      </w:r>
    </w:p>
    <w:p>
      <w:r>
        <w:rPr>
          <w:b/>
        </w:rPr>
        <w:t xml:space="preserve">10 </w:t>
      </w:r>
      <w:r>
        <w:t xml:space="preserve">And that whole generation was added to their fathers, and another generation arose after them, those who did not know the Lord and the work that he did for Israel.</w:t>
      </w:r>
    </w:p>
    <w:p>
      <w:r>
        <w:rPr>
          <w:b/>
        </w:rPr>
        <w:t xml:space="preserve">11 </w:t>
      </w:r>
      <w:r>
        <w:t xml:space="preserve">And the sons of Israel did evil</w:t>
      </w:r>
      <w:r>
        <w:rPr>
          <w:rStyle w:val="FootnoteReference"/>
        </w:rPr>
        <w:footnoteReference w:id="4513"/>
      </w:r>
      <w:r>
        <w:t xml:space="preserve"> before the Lord and served the Baals</w:t>
      </w:r>
      <w:r>
        <w:rPr>
          <w:rStyle w:val="FootnoteReference"/>
        </w:rPr>
        <w:footnoteReference w:id="4514"/>
      </w:r>
      <w:r>
        <w:t xml:space="preserve">.</w:t>
      </w:r>
    </w:p>
    <w:p>
      <w:r>
        <w:rPr>
          <w:b/>
        </w:rPr>
        <w:t xml:space="preserve">12 </w:t>
      </w:r>
      <w:r>
        <w:t xml:space="preserve">And they forsook</w:t>
      </w:r>
      <w:r>
        <w:rPr>
          <w:rStyle w:val="FootnoteReference"/>
        </w:rPr>
        <w:footnoteReference w:id="4515"/>
      </w:r>
      <w:r>
        <w:t xml:space="preserve"> the Lord God of their fathers who brought them out of the land of Egypt, and they went after other gods from the gods of the peoples around them and bowed down to them, and they provoked the Lord.</w:t>
      </w:r>
    </w:p>
    <w:p>
      <w:r>
        <w:rPr>
          <w:b/>
        </w:rPr>
        <w:t xml:space="preserve">13 </w:t>
      </w:r>
      <w:r>
        <w:t xml:space="preserve">And they forsook the Lord and served</w:t>
      </w:r>
      <w:r>
        <w:rPr>
          <w:rStyle w:val="FootnoteReference"/>
        </w:rPr>
        <w:footnoteReference w:id="4516"/>
      </w:r>
      <w:r>
        <w:t xml:space="preserve"> Baal and the Ashtaroth.</w:t>
      </w:r>
      <w:r>
        <w:rPr>
          <w:rStyle w:val="FootnoteReference"/>
        </w:rPr>
        <w:footnoteReference w:id="4517"/>
      </w:r>
    </w:p>
    <w:p>
      <w:r>
        <w:rPr>
          <w:b/>
        </w:rPr>
        <w:t xml:space="preserve">14 </w:t>
      </w:r>
      <w:r>
        <w:t xml:space="preserve">And the Lord burned with anger against Israel and gave them into the hand of plunderers</w:t>
      </w:r>
      <w:r>
        <w:rPr>
          <w:rStyle w:val="FootnoteReference"/>
        </w:rPr>
        <w:footnoteReference w:id="4518"/>
      </w:r>
      <w:r>
        <w:t xml:space="preserve">, and they plundered them, and he sold them</w:t>
      </w:r>
      <w:r>
        <w:rPr>
          <w:rStyle w:val="FootnoteReference"/>
        </w:rPr>
        <w:footnoteReference w:id="4519"/>
      </w:r>
      <w:r>
        <w:t xml:space="preserve"> into the hand of their enemies all around, and they were not able to stand before their enemies.</w:t>
      </w:r>
      <w:r>
        <w:rPr>
          <w:rStyle w:val="FootnoteReference"/>
        </w:rPr>
        <w:footnoteReference w:id="4520"/>
      </w:r>
      <w:r>
        <w:rPr>
          <w:rStyle w:val="FootnoteReference"/>
        </w:rPr>
        <w:footnoteReference w:id="4521"/>
      </w:r>
      <w:r>
        <w:rPr>
          <w:rStyle w:val="FootnoteReference"/>
        </w:rPr>
        <w:footnoteReference w:id="4522"/>
      </w:r>
    </w:p>
    <w:p>
      <w:r>
        <w:rPr>
          <w:b/>
        </w:rPr>
        <w:t xml:space="preserve">15 </w:t>
      </w:r>
      <w:r>
        <w:t xml:space="preserve">In all the ways in which they prostituted themselves, the hand of the Lord was against</w:t>
      </w:r>
      <w:r>
        <w:rPr>
          <w:rStyle w:val="FootnoteReference"/>
        </w:rPr>
        <w:footnoteReference w:id="4523"/>
      </w:r>
      <w:r>
        <w:t xml:space="preserve"> them for harm, just as the Lord spoke and just as the Lord swore, and he pressed them very hard.</w:t>
      </w:r>
    </w:p>
    <w:p>
      <w:r>
        <w:rPr>
          <w:b/>
        </w:rPr>
        <w:t xml:space="preserve">16 </w:t>
      </w:r>
      <w:r>
        <w:t xml:space="preserve">And the Lord</w:t>
      </w:r>
      <w:r>
        <w:rPr>
          <w:rStyle w:val="FootnoteReference"/>
        </w:rPr>
        <w:footnoteReference w:id="4524"/>
      </w:r>
      <w:r>
        <w:t xml:space="preserve"> raised up judges for them, and they saved them from the hand of those plundering them.</w:t>
      </w:r>
    </w:p>
    <w:p>
      <w:r>
        <w:rPr>
          <w:b/>
        </w:rPr>
        <w:t xml:space="preserve">17 </w:t>
      </w:r>
      <w:r>
        <w:t xml:space="preserve">Yet even to their judges they did not listen, because they prostituted themselves after other gods and bowed down to them and provoked the Lord, and they quickly</w:t>
      </w:r>
      <w:r>
        <w:rPr>
          <w:rStyle w:val="FootnoteReference"/>
        </w:rPr>
        <w:footnoteReference w:id="4525"/>
      </w:r>
      <w:r>
        <w:t xml:space="preserve"> turned aside from the way in which their fathers walked, to listen to the commandments of the Lord. They did not do so.</w:t>
      </w:r>
      <w:r>
        <w:rPr>
          <w:rStyle w:val="FootnoteReference"/>
        </w:rPr>
        <w:footnoteReference w:id="4526"/>
      </w:r>
    </w:p>
    <w:p>
      <w:r>
        <w:rPr>
          <w:b/>
        </w:rPr>
        <w:t xml:space="preserve">18 </w:t>
      </w:r>
      <w:r>
        <w:t xml:space="preserve">And when the Lord raised up judges for them, the Lord was with the judge and saved them from the hand of their enemies all the days of the judge, because the Lord was moved by their groaning from before those besieging them and mistreating them.</w:t>
      </w:r>
    </w:p>
    <w:p>
      <w:r>
        <w:rPr>
          <w:b/>
        </w:rPr>
        <w:t xml:space="preserve">19 </w:t>
      </w:r>
      <w:r>
        <w:t xml:space="preserve">And it came to be when the</w:t>
      </w:r>
      <w:r>
        <w:rPr>
          <w:rStyle w:val="FootnoteReference"/>
        </w:rPr>
        <w:footnoteReference w:id="4527"/>
      </w:r>
      <w:r>
        <w:t xml:space="preserve"> judge died, they turned back and again corrupted themselves beyond their fathers, going after other gods to serve them and to bow down to them. They did not cast off their practices</w:t>
      </w:r>
      <w:r>
        <w:rPr>
          <w:rStyle w:val="FootnoteReference"/>
        </w:rPr>
        <w:footnoteReference w:id="4528"/>
      </w:r>
      <w:r>
        <w:t xml:space="preserve">, and they did not depart from their hard way.</w:t>
      </w:r>
    </w:p>
    <w:p>
      <w:r>
        <w:rPr>
          <w:b/>
        </w:rPr>
        <w:t xml:space="preserve">20 </w:t>
      </w:r>
      <w:r>
        <w:t xml:space="preserve">And the Lord burned with anger against Israel and said, Because this nation forsook my covenant that I commanded their fathers and did not listen to my voice,</w:t>
      </w:r>
    </w:p>
    <w:p>
      <w:r>
        <w:rPr>
          <w:b/>
        </w:rPr>
        <w:t xml:space="preserve">21 </w:t>
      </w:r>
      <w:r>
        <w:t xml:space="preserve">I also will not continue to remove a man from before them from the nations that Joshua left and allowed to remain,</w:t>
      </w:r>
    </w:p>
    <w:p>
      <w:r>
        <w:rPr>
          <w:b/>
        </w:rPr>
        <w:t xml:space="preserve">22 </w:t>
      </w:r>
      <w:r>
        <w:t xml:space="preserve">in order to test Israel by them</w:t>
      </w:r>
      <w:r>
        <w:rPr>
          <w:rStyle w:val="FootnoteReference"/>
        </w:rPr>
        <w:footnoteReference w:id="4529"/>
      </w:r>
      <w:r>
        <w:t xml:space="preserve">, whether they will keep the way of the Lord to walk in it, just as their fathers kept it, or not.</w:t>
      </w:r>
    </w:p>
    <w:p>
      <w:r>
        <w:rPr>
          <w:b/>
        </w:rPr>
        <w:t xml:space="preserve">23 </w:t>
      </w:r>
      <w:r>
        <w:t xml:space="preserve">And the Lord left</w:t>
      </w:r>
      <w:r>
        <w:rPr>
          <w:rStyle w:val="FootnoteReference"/>
        </w:rPr>
        <w:footnoteReference w:id="4530"/>
      </w:r>
      <w:r>
        <w:t xml:space="preserve"> these nations so as not to remove them quickly, and he did not give them into the hand of Joshua.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these are the nations</w:t>
      </w:r>
      <w:r>
        <w:rPr>
          <w:rStyle w:val="FootnoteReference"/>
        </w:rPr>
        <w:footnoteReference w:id="4531"/>
      </w:r>
      <w:r>
        <w:t xml:space="preserve"> Joshua left to test Israel by them, all who had not known all the wars of Canaan,</w:t>
      </w:r>
    </w:p>
    <w:p>
      <w:r>
        <w:rPr>
          <w:b/>
        </w:rPr>
        <w:t xml:space="preserve">2 </w:t>
      </w:r>
      <w:r>
        <w:t xml:space="preserve">only for the generations of the sons of Israel, to teach them war, only those before them had not known them:</w:t>
      </w:r>
    </w:p>
    <w:p>
      <w:r>
        <w:rPr>
          <w:b/>
        </w:rPr>
        <w:t xml:space="preserve">3 </w:t>
      </w:r>
      <w:r>
        <w:t xml:space="preserve">the five satrapies of the foreigners and all the Canaanite and the Sidonian</w:t>
      </w:r>
      <w:r>
        <w:rPr>
          <w:rStyle w:val="FootnoteReference"/>
        </w:rPr>
        <w:footnoteReference w:id="4532"/>
      </w:r>
      <w:r>
        <w:t xml:space="preserve"> and the Hivite dwelling on Lebanon from Mount Baalhermon</w:t>
      </w:r>
      <w:r>
        <w:rPr>
          <w:rStyle w:val="FootnoteReference"/>
        </w:rPr>
        <w:footnoteReference w:id="4533"/>
      </w:r>
      <w:r>
        <w:t xml:space="preserve"> to Zobah</w:t>
      </w:r>
      <w:r>
        <w:rPr>
          <w:rStyle w:val="FootnoteReference"/>
        </w:rPr>
        <w:footnoteReference w:id="4534"/>
      </w:r>
      <w:r>
        <w:t xml:space="preserve">.</w:t>
      </w:r>
    </w:p>
    <w:p>
      <w:r>
        <w:rPr>
          <w:b/>
        </w:rPr>
        <w:t xml:space="preserve">4 </w:t>
      </w:r>
      <w:r>
        <w:t xml:space="preserve">And it came to be in order to test Israel by them, to know whether they would listen to the commandments of the Lord that he commanded their fathers by the hand of Moses.</w:t>
      </w:r>
    </w:p>
    <w:p>
      <w:r>
        <w:rPr>
          <w:b/>
        </w:rPr>
        <w:t xml:space="preserve">5 </w:t>
      </w:r>
      <w:r>
        <w:t xml:space="preserve">And the sons of Israel dwelt</w:t>
      </w:r>
      <w:r>
        <w:rPr>
          <w:rStyle w:val="FootnoteReference"/>
        </w:rPr>
        <w:footnoteReference w:id="4535"/>
      </w:r>
      <w:r>
        <w:t xml:space="preserve"> in the midst of the Canaanite and the Hittite and the Amorite and the Perizzite and the Hivite and the Jebusite,</w:t>
      </w:r>
    </w:p>
    <w:p>
      <w:r>
        <w:rPr>
          <w:b/>
        </w:rPr>
        <w:t xml:space="preserve">6 </w:t>
      </w:r>
      <w:r>
        <w:t xml:space="preserve">and they took their daughters for themselves as wives and gave their daughters to their sons and served their gods.</w:t>
      </w:r>
    </w:p>
    <w:p>
      <w:r>
        <w:rPr>
          <w:b/>
        </w:rPr>
        <w:t xml:space="preserve">7 </w:t>
      </w:r>
      <w:r>
        <w:t xml:space="preserve">And the sons of Israel did evil</w:t>
      </w:r>
      <w:r>
        <w:rPr>
          <w:rStyle w:val="FootnoteReference"/>
        </w:rPr>
        <w:footnoteReference w:id="4536"/>
      </w:r>
      <w:r>
        <w:t xml:space="preserve"> before the Lord and forgot the Lord their God and served the Baals and the groves.</w:t>
      </w:r>
    </w:p>
    <w:p>
      <w:r>
        <w:rPr>
          <w:b/>
        </w:rPr>
        <w:t xml:space="preserve">8 </w:t>
      </w:r>
      <w:r>
        <w:t xml:space="preserve">And the Lord burned with anger against Israel and sold them into the hands of Chushan-rishathaim</w:t>
      </w:r>
      <w:r>
        <w:rPr>
          <w:rStyle w:val="FootnoteReference"/>
        </w:rPr>
        <w:footnoteReference w:id="4537"/>
      </w:r>
      <w:r>
        <w:t xml:space="preserve"> king of Syrian Mesopotamia, and they served him eight years.</w:t>
      </w:r>
    </w:p>
    <w:p>
      <w:r>
        <w:rPr>
          <w:b/>
        </w:rPr>
        <w:t xml:space="preserve">9 </w:t>
      </w:r>
      <w:r>
        <w:t xml:space="preserve">And the sons of Israel cried</w:t>
      </w:r>
      <w:r>
        <w:rPr>
          <w:rStyle w:val="FootnoteReference"/>
        </w:rPr>
        <w:footnoteReference w:id="4538"/>
      </w:r>
      <w:r>
        <w:t xml:space="preserve"> out to the Lord, and the Lord raised up a savior for Israel and saved them, Othniel son of Kenaz, younger brother of Caleb, and he listened to him.</w:t>
      </w:r>
    </w:p>
    <w:p>
      <w:r>
        <w:rPr>
          <w:b/>
        </w:rPr>
        <w:t xml:space="preserve">10 </w:t>
      </w:r>
      <w:r>
        <w:t xml:space="preserve">And the Spirit</w:t>
      </w:r>
      <w:r>
        <w:rPr>
          <w:rStyle w:val="FootnoteReference"/>
        </w:rPr>
        <w:footnoteReference w:id="4539"/>
      </w:r>
      <w:r>
        <w:t xml:space="preserve"> of the Lord came upon him, and he judged Israel and went out to war, and the Lord gave Chushan-rishathaim king of Syria into his hand, and his hand grew strong over Chushan-rishathaim.</w:t>
      </w:r>
    </w:p>
    <w:p>
      <w:r>
        <w:rPr>
          <w:b/>
        </w:rPr>
        <w:t xml:space="preserve">11 </w:t>
      </w:r>
      <w:r>
        <w:t xml:space="preserve">And the land was at rest fifty years, and Othniel</w:t>
      </w:r>
      <w:r>
        <w:rPr>
          <w:rStyle w:val="FootnoteReference"/>
        </w:rPr>
        <w:footnoteReference w:id="4540"/>
      </w:r>
      <w:r>
        <w:t xml:space="preserve"> son of Kenaz died.</w:t>
      </w:r>
    </w:p>
    <w:p>
      <w:r>
        <w:rPr>
          <w:b/>
        </w:rPr>
        <w:t xml:space="preserve">12 </w:t>
      </w:r>
      <w:r>
        <w:t xml:space="preserve">And the sons of Israel again added to do evil before the Lord, and the Lord</w:t>
      </w:r>
      <w:r>
        <w:rPr>
          <w:rStyle w:val="FootnoteReference"/>
        </w:rPr>
        <w:footnoteReference w:id="4541"/>
      </w:r>
      <w:r>
        <w:t xml:space="preserve"> strengthened Eglon king of Moab against Israel because they had done evil before the Lord.</w:t>
      </w:r>
    </w:p>
    <w:p>
      <w:r>
        <w:rPr>
          <w:b/>
        </w:rPr>
        <w:t xml:space="preserve">13 </w:t>
      </w:r>
      <w:r>
        <w:t xml:space="preserve">And he brought to himself all the sons of Ammon</w:t>
      </w:r>
      <w:r>
        <w:rPr>
          <w:rStyle w:val="FootnoteReference"/>
        </w:rPr>
        <w:footnoteReference w:id="4542"/>
      </w:r>
      <w:r>
        <w:t xml:space="preserve"> and Amalek, and he went and struck Israel and inherited the City of Palms.</w:t>
      </w:r>
    </w:p>
    <w:p>
      <w:r>
        <w:rPr>
          <w:b/>
        </w:rPr>
        <w:t xml:space="preserve">14 </w:t>
      </w:r>
      <w:r>
        <w:t xml:space="preserve">And the sons of Israel served</w:t>
      </w:r>
      <w:r>
        <w:rPr>
          <w:rStyle w:val="FootnoteReference"/>
        </w:rPr>
        <w:footnoteReference w:id="4543"/>
      </w:r>
      <w:r>
        <w:t xml:space="preserve"> Eglon king of Moab eighteen years.</w:t>
      </w:r>
    </w:p>
    <w:p>
      <w:r>
        <w:rPr>
          <w:b/>
        </w:rPr>
        <w:t xml:space="preserve">15 </w:t>
      </w:r>
      <w:r>
        <w:t xml:space="preserve">And the sons of Israel cried out to the Lord, and the Lord raised up for them a savior, Ehud</w:t>
      </w:r>
      <w:r>
        <w:rPr>
          <w:rStyle w:val="FootnoteReference"/>
        </w:rPr>
        <w:footnoteReference w:id="4544"/>
      </w:r>
      <w:r>
        <w:t xml:space="preserve"> son of Gera, a Benjamite, an ambidextrous man</w:t>
      </w:r>
      <w:r>
        <w:rPr>
          <w:rStyle w:val="FootnoteReference"/>
        </w:rPr>
        <w:footnoteReference w:id="4545"/>
      </w:r>
      <w:r>
        <w:t xml:space="preserve">. And the sons of Israel sent gifts by his hand to Eglon king of Moab.</w:t>
      </w:r>
    </w:p>
    <w:p>
      <w:r>
        <w:rPr>
          <w:b/>
        </w:rPr>
        <w:t xml:space="preserve">16 </w:t>
      </w:r>
      <w:r>
        <w:t xml:space="preserve">And Ehud made for himself a double-edged sword a span in length and girded it under his cloak on his right thigh.</w:t>
      </w:r>
    </w:p>
    <w:p>
      <w:r>
        <w:rPr>
          <w:b/>
        </w:rPr>
        <w:t xml:space="preserve">17 </w:t>
      </w:r>
      <w:r>
        <w:t xml:space="preserve">And he brought the gifts to Eglon king of Moab, and Eglon was a very imposing man.</w:t>
      </w:r>
    </w:p>
    <w:p>
      <w:r>
        <w:rPr>
          <w:b/>
        </w:rPr>
        <w:t xml:space="preserve">18 </w:t>
      </w:r>
      <w:r>
        <w:t xml:space="preserve">And it came to be, when Ehud finished presenting the gifts, he sent away those carrying the gifts.</w:t>
      </w:r>
    </w:p>
    <w:p>
      <w:r>
        <w:rPr>
          <w:b/>
        </w:rPr>
        <w:t xml:space="preserve">19 </w:t>
      </w:r>
      <w:r>
        <w:t xml:space="preserve">And Eglon turned back from the carved images near Gilgal, and Ehud said, I have a secret</w:t>
      </w:r>
      <w:r>
        <w:rPr>
          <w:rStyle w:val="FootnoteReference"/>
        </w:rPr>
        <w:footnoteReference w:id="4546"/>
      </w:r>
      <w:r>
        <w:t xml:space="preserve"> word for you, O king. And Eglon said, Silence, everyone out from my presence. And all those standing by him went out from him.</w:t>
      </w:r>
    </w:p>
    <w:p>
      <w:r>
        <w:rPr>
          <w:b/>
        </w:rPr>
        <w:t xml:space="preserve">20 </w:t>
      </w:r>
      <w:r>
        <w:t xml:space="preserve">And Ehud went in to him, and he was sitting alone in his summer upper room. And Ehud said, I have a word of God for you, O king. And Eglon rose from the throne near him.</w:t>
      </w:r>
    </w:p>
    <w:p>
      <w:r>
        <w:rPr>
          <w:b/>
        </w:rPr>
        <w:t xml:space="preserve">21 </w:t>
      </w:r>
      <w:r>
        <w:t xml:space="preserve">And it came to be, as he rose up, Ehud stretched out his left hand and took the sword from his right thigh and drove it into the belly of Eglon.</w:t>
      </w:r>
    </w:p>
    <w:p>
      <w:r>
        <w:rPr>
          <w:b/>
        </w:rPr>
        <w:t xml:space="preserve">22 </w:t>
      </w:r>
      <w:r>
        <w:t xml:space="preserve">And indeed he drove in the hilt behind the blade, and the fat closed over the blade, because he did not pull the sword out of his belly.</w:t>
      </w:r>
    </w:p>
    <w:p>
      <w:r>
        <w:rPr>
          <w:b/>
        </w:rPr>
        <w:t xml:space="preserve">23 </w:t>
      </w:r>
      <w:r>
        <w:t xml:space="preserve">And Ehud went out into the vestibule and shut the doors of the upper room upon him and locked them.</w:t>
      </w:r>
    </w:p>
    <w:p>
      <w:r>
        <w:rPr>
          <w:b/>
        </w:rPr>
        <w:t xml:space="preserve">24 </w:t>
      </w:r>
      <w:r>
        <w:t xml:space="preserve">And he went out, and his servants came in and saw, and behold, the doors of the upper room were shut. And they said, Perhaps he is relieving himself in the private room of the bedchamber.</w:t>
      </w:r>
    </w:p>
    <w:p>
      <w:r>
        <w:rPr>
          <w:b/>
        </w:rPr>
        <w:t xml:space="preserve">25 </w:t>
      </w:r>
      <w:r>
        <w:t xml:space="preserve">And they waited until they were ashamed, and behold, there was no one opening the doors of the upper room. And they took the key and opened them, and behold, their lord had fallen dead upon the ground</w:t>
      </w:r>
      <w:r>
        <w:rPr>
          <w:rStyle w:val="FootnoteReference"/>
        </w:rPr>
        <w:footnoteReference w:id="4547"/>
      </w:r>
      <w:r>
        <w:t xml:space="preserve">.</w:t>
      </w:r>
    </w:p>
    <w:p>
      <w:r>
        <w:rPr>
          <w:b/>
        </w:rPr>
        <w:t xml:space="preserve">26 </w:t>
      </w:r>
      <w:r>
        <w:t xml:space="preserve">And Ehud escaped while they were in confusion, and there was no one paying him heed, and he himself passed by the carved images and escaped to Seirath</w:t>
      </w:r>
      <w:r>
        <w:rPr>
          <w:rStyle w:val="FootnoteReference"/>
        </w:rPr>
        <w:footnoteReference w:id="4548"/>
      </w:r>
      <w:r>
        <w:t xml:space="preserve">.</w:t>
      </w:r>
    </w:p>
    <w:p>
      <w:r>
        <w:rPr>
          <w:b/>
        </w:rPr>
        <w:t xml:space="preserve">27 </w:t>
      </w:r>
      <w:r>
        <w:t xml:space="preserve">And it came to be when he arrived, he sounded a horn in the hill-country of Ephraim, and the sons of Israel went down with him, and he was before them.</w:t>
      </w:r>
    </w:p>
    <w:p>
      <w:r>
        <w:rPr>
          <w:b/>
        </w:rPr>
        <w:t xml:space="preserve">28 </w:t>
      </w:r>
      <w:r>
        <w:t xml:space="preserve">And he said to them, Come down after me, because the Lord</w:t>
      </w:r>
      <w:r>
        <w:rPr>
          <w:rStyle w:val="FootnoteReference"/>
        </w:rPr>
        <w:footnoteReference w:id="4549"/>
      </w:r>
      <w:r>
        <w:t xml:space="preserve"> God has given your enemies, Moab, into your hands. And they came down after him and seized the crossings</w:t>
      </w:r>
      <w:r>
        <w:rPr>
          <w:rStyle w:val="FootnoteReference"/>
        </w:rPr>
        <w:footnoteReference w:id="4550"/>
      </w:r>
      <w:r>
        <w:t xml:space="preserve"> of the Jordan of Moab and did not allow a man to cross over.</w:t>
      </w:r>
    </w:p>
    <w:p>
      <w:r>
        <w:rPr>
          <w:b/>
        </w:rPr>
        <w:t xml:space="preserve">29 </w:t>
      </w:r>
      <w:r>
        <w:t xml:space="preserve">And they struck Moab at that time, about ten thousand men, every fighting man among them and every man of strength, and not a man escaped.</w:t>
      </w:r>
    </w:p>
    <w:p>
      <w:r>
        <w:rPr>
          <w:b/>
        </w:rPr>
        <w:t xml:space="preserve">30 </w:t>
      </w:r>
      <w:r>
        <w:t xml:space="preserve">And Moab was put to shame on that day under the hand of Israel, and the land</w:t>
      </w:r>
      <w:r>
        <w:rPr>
          <w:rStyle w:val="FootnoteReference"/>
        </w:rPr>
        <w:footnoteReference w:id="4551"/>
      </w:r>
      <w:r>
        <w:t xml:space="preserve"> was at rest eighty years. And Ehud judged them until he died.</w:t>
      </w:r>
    </w:p>
    <w:p>
      <w:r>
        <w:rPr>
          <w:b/>
        </w:rPr>
        <w:t xml:space="preserve">31 </w:t>
      </w:r>
      <w:r>
        <w:t xml:space="preserve">And after him arose Shamgar</w:t>
      </w:r>
      <w:r>
        <w:rPr>
          <w:rStyle w:val="FootnoteReference"/>
        </w:rPr>
        <w:footnoteReference w:id="4552"/>
      </w:r>
      <w:r>
        <w:t xml:space="preserve"> son of Anath, and he struck the foreigners, six hundred men, apart from the calves of the cattle, and he too saved Israel.</w:t>
      </w:r>
      <w:r>
        <w:rPr>
          <w:rStyle w:val="FootnoteReference"/>
        </w:rPr>
        <w:footnoteReference w:id="4553"/>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the sons of Israel again added to do evil before the Lord.</w:t>
      </w:r>
    </w:p>
    <w:p>
      <w:r>
        <w:rPr>
          <w:b/>
        </w:rPr>
        <w:t xml:space="preserve">2 </w:t>
      </w:r>
      <w:r>
        <w:t xml:space="preserve">And the Lord sold</w:t>
      </w:r>
      <w:r>
        <w:rPr>
          <w:rStyle w:val="FootnoteReference"/>
        </w:rPr>
        <w:footnoteReference w:id="4554"/>
      </w:r>
      <w:r>
        <w:t xml:space="preserve"> them into the hand of Jabin king of Canaan, who reigned in Hazor, and the commander of his force was Sisera</w:t>
      </w:r>
      <w:r>
        <w:rPr>
          <w:rStyle w:val="FootnoteReference"/>
        </w:rPr>
        <w:footnoteReference w:id="4555"/>
      </w:r>
      <w:r>
        <w:t xml:space="preserve">, and he dwelt in Harosheth</w:t>
      </w:r>
      <w:r>
        <w:rPr>
          <w:rStyle w:val="FootnoteReference"/>
        </w:rPr>
        <w:footnoteReference w:id="4556"/>
      </w:r>
      <w:r>
        <w:t xml:space="preserve"> of the nations.</w:t>
      </w:r>
    </w:p>
    <w:p>
      <w:r>
        <w:rPr>
          <w:b/>
        </w:rPr>
        <w:t xml:space="preserve">3 </w:t>
      </w:r>
      <w:r>
        <w:t xml:space="preserve">And the sons of Israel cried</w:t>
      </w:r>
      <w:r>
        <w:rPr>
          <w:rStyle w:val="FootnoteReference"/>
        </w:rPr>
        <w:footnoteReference w:id="4557"/>
      </w:r>
      <w:r>
        <w:t xml:space="preserve"> out to the Lord, because he had nine hundred iron chariots, and he oppressed Israel with force for twenty years.</w:t>
      </w:r>
    </w:p>
    <w:p>
      <w:r>
        <w:rPr>
          <w:b/>
        </w:rPr>
        <w:t xml:space="preserve">4 </w:t>
      </w:r>
      <w:r>
        <w:t xml:space="preserve">And Deborah, a woman prophet, wife of Lapidoth</w:t>
      </w:r>
      <w:r>
        <w:rPr>
          <w:rStyle w:val="FootnoteReference"/>
        </w:rPr>
        <w:footnoteReference w:id="4558"/>
      </w:r>
      <w:r>
        <w:t xml:space="preserve">, she was judging Israel at that time.</w:t>
      </w:r>
    </w:p>
    <w:p>
      <w:r>
        <w:rPr>
          <w:b/>
        </w:rPr>
        <w:t xml:space="preserve">5 </w:t>
      </w:r>
      <w:r>
        <w:t xml:space="preserve">And she sat under the palm</w:t>
      </w:r>
      <w:r>
        <w:rPr>
          <w:rStyle w:val="FootnoteReference"/>
        </w:rPr>
        <w:footnoteReference w:id="4559"/>
      </w:r>
      <w:r>
        <w:t xml:space="preserve"> of Deborah between Ramah and between Bethel in the hill-country of Ephraim, and the sons of Israel went up to her there for judgment.</w:t>
      </w:r>
    </w:p>
    <w:p>
      <w:r>
        <w:rPr>
          <w:b/>
        </w:rPr>
        <w:t xml:space="preserve">6 </w:t>
      </w:r>
      <w:r>
        <w:t xml:space="preserve">And Deborah sent and called Barak</w:t>
      </w:r>
      <w:r>
        <w:rPr>
          <w:rStyle w:val="FootnoteReference"/>
        </w:rPr>
        <w:footnoteReference w:id="4560"/>
      </w:r>
      <w:r>
        <w:t xml:space="preserve"> son of Abinoam</w:t>
      </w:r>
      <w:r>
        <w:rPr>
          <w:rStyle w:val="FootnoteReference"/>
        </w:rPr>
        <w:footnoteReference w:id="4561"/>
      </w:r>
      <w:r>
        <w:t xml:space="preserve"> from Kedesh of Naphtali and said to him, Has not the Lord God of Israel commanded you? And you shall depart to Mount Tabor and take with yourself ten thousand men from the sons of Naphtali and from the sons of Zebulun.</w:t>
      </w:r>
      <w:r>
        <w:rPr>
          <w:rStyle w:val="FootnoteReference"/>
        </w:rPr>
        <w:footnoteReference w:id="4562"/>
      </w:r>
    </w:p>
    <w:p>
      <w:r>
        <w:rPr>
          <w:b/>
        </w:rPr>
        <w:t xml:space="preserve">7 </w:t>
      </w:r>
      <w:r>
        <w:t xml:space="preserve">And I will draw to you, to the torrent Kishon</w:t>
      </w:r>
      <w:r>
        <w:rPr>
          <w:rStyle w:val="FootnoteReference"/>
        </w:rPr>
        <w:footnoteReference w:id="4563"/>
      </w:r>
      <w:r>
        <w:t xml:space="preserve">, Sisera the commander of Jabin's force and his chariots and his multitude, and I will give him into your hand.</w:t>
      </w:r>
      <w:r>
        <w:rPr>
          <w:rStyle w:val="FootnoteReference"/>
        </w:rPr>
        <w:footnoteReference w:id="4564"/>
      </w:r>
    </w:p>
    <w:p>
      <w:r>
        <w:rPr>
          <w:b/>
        </w:rPr>
        <w:t xml:space="preserve">8 </w:t>
      </w:r>
      <w:r>
        <w:t xml:space="preserve">And Barak said to her, If you go with me, I will go, and if you do not go with me, I will not go, because I do not know the day in which the Lord prospers the angel with me.</w:t>
      </w:r>
    </w:p>
    <w:p>
      <w:r>
        <w:rPr>
          <w:b/>
        </w:rPr>
        <w:t xml:space="preserve">9 </w:t>
      </w:r>
      <w:r>
        <w:t xml:space="preserve">And Deborah said to him, Going, I will go with you. Only know that the advantage shall not be yours</w:t>
      </w:r>
      <w:r>
        <w:rPr>
          <w:rStyle w:val="FootnoteReference"/>
        </w:rPr>
        <w:footnoteReference w:id="4565"/>
      </w:r>
      <w:r>
        <w:t xml:space="preserve"> on the way by which you are going, because into a woman's hand the Lord will give Sisera. And Deborah rose and went with Barak to Kedesh.</w:t>
      </w:r>
    </w:p>
    <w:p>
      <w:r>
        <w:rPr>
          <w:b/>
        </w:rPr>
        <w:t xml:space="preserve">10 </w:t>
      </w:r>
      <w:r>
        <w:t xml:space="preserve">And Barak summoned Zebulun</w:t>
      </w:r>
      <w:r>
        <w:rPr>
          <w:rStyle w:val="FootnoteReference"/>
        </w:rPr>
        <w:footnoteReference w:id="4566"/>
      </w:r>
      <w:r>
        <w:t xml:space="preserve"> and Naphtali to Kedesh, and ten thousand men went up at his feet, and Deborah went up with him.</w:t>
      </w:r>
    </w:p>
    <w:p>
      <w:r>
        <w:rPr>
          <w:b/>
        </w:rPr>
        <w:t xml:space="preserve">11 </w:t>
      </w:r>
      <w:r>
        <w:t xml:space="preserve">And those near the Kenite had separated from the sons of Hobab</w:t>
      </w:r>
      <w:r>
        <w:rPr>
          <w:rStyle w:val="FootnoteReference"/>
        </w:rPr>
        <w:footnoteReference w:id="4567"/>
      </w:r>
      <w:r>
        <w:t xml:space="preserve">, son-in-law of Moses, and he pitched his tent by the oak of those resting, which is near Kedesh.</w:t>
      </w:r>
    </w:p>
    <w:p>
      <w:r>
        <w:rPr>
          <w:b/>
        </w:rPr>
        <w:t xml:space="preserve">12 </w:t>
      </w:r>
      <w:r>
        <w:t xml:space="preserve">And they reported to Sisera that Barak son of Abinoam had gone up to Mount Tabor</w:t>
      </w:r>
      <w:r>
        <w:rPr>
          <w:rStyle w:val="FootnoteReference"/>
        </w:rPr>
        <w:footnoteReference w:id="4568"/>
      </w:r>
      <w:r>
        <w:t xml:space="preserve">.</w:t>
      </w:r>
    </w:p>
    <w:p>
      <w:r>
        <w:rPr>
          <w:b/>
        </w:rPr>
        <w:t xml:space="preserve">13 </w:t>
      </w:r>
      <w:r>
        <w:t xml:space="preserve">And Sisera called together all his chariots, because he had nine</w:t>
      </w:r>
      <w:r>
        <w:rPr>
          <w:rStyle w:val="FootnoteReference"/>
        </w:rPr>
        <w:footnoteReference w:id="4569"/>
      </w:r>
      <w:r>
        <w:t xml:space="preserve"> hundred iron chariots, and all the people with him, from Harosheth of the nations to the torrent Kishon.</w:t>
      </w:r>
    </w:p>
    <w:p>
      <w:r>
        <w:rPr>
          <w:b/>
        </w:rPr>
        <w:t xml:space="preserve">14 </w:t>
      </w:r>
      <w:r>
        <w:t xml:space="preserve">And Deborah said to Barak, Rise up, because this is the day in which the Lord has given Sisera into your hand. Look, the Lord will go out before you</w:t>
      </w:r>
      <w:r>
        <w:rPr>
          <w:rStyle w:val="FootnoteReference"/>
        </w:rPr>
        <w:footnoteReference w:id="4570"/>
      </w:r>
      <w:r>
        <w:t xml:space="preserve">. And Barak went down from Mount Tabor, and ten thousand men after him.</w:t>
      </w:r>
    </w:p>
    <w:p>
      <w:r>
        <w:rPr>
          <w:b/>
        </w:rPr>
        <w:t xml:space="preserve">15 </w:t>
      </w:r>
      <w:r>
        <w:t xml:space="preserve">And the Lord threw Sisera and all his chariots and all his camp into confusion by the edge of the sword before Barak, and Sisera came down from his chariot and fled on his feet.</w:t>
      </w:r>
    </w:p>
    <w:p>
      <w:r>
        <w:rPr>
          <w:b/>
        </w:rPr>
        <w:t xml:space="preserve">16 </w:t>
      </w:r>
      <w:r>
        <w:t xml:space="preserve">And Barak pursued</w:t>
      </w:r>
      <w:r>
        <w:rPr>
          <w:rStyle w:val="FootnoteReference"/>
        </w:rPr>
        <w:footnoteReference w:id="4571"/>
      </w:r>
      <w:r>
        <w:t xml:space="preserve"> after the chariots and after the camp as far as the oak grove of the nations, and all the camp of Sisera fell by the edge of the sword; not even one was left.</w:t>
      </w:r>
    </w:p>
    <w:p>
      <w:r>
        <w:rPr>
          <w:b/>
        </w:rPr>
        <w:t xml:space="preserve">17 </w:t>
      </w:r>
      <w:r>
        <w:t xml:space="preserve">And Sisera withdrew on his feet to the tent of Jael</w:t>
      </w:r>
      <w:r>
        <w:rPr>
          <w:rStyle w:val="FootnoteReference"/>
        </w:rPr>
        <w:footnoteReference w:id="4572"/>
      </w:r>
      <w:r>
        <w:t xml:space="preserve">, wife of Heber the Kenite, because there was peace between Jabin king of Hazor and the house of Heber the Kenite.</w:t>
      </w:r>
      <w:r>
        <w:rPr>
          <w:rStyle w:val="FootnoteReference"/>
        </w:rPr>
        <w:footnoteReference w:id="4573"/>
      </w:r>
    </w:p>
    <w:p>
      <w:r>
        <w:rPr>
          <w:b/>
        </w:rPr>
        <w:t xml:space="preserve">18 </w:t>
      </w:r>
      <w:r>
        <w:t xml:space="preserve">And Jael</w:t>
      </w:r>
      <w:r>
        <w:rPr>
          <w:rStyle w:val="FootnoteReference"/>
        </w:rPr>
        <w:footnoteReference w:id="4574"/>
      </w:r>
      <w:r>
        <w:t xml:space="preserve"> went out to meet Sisera and said to him, Turn aside, my lord, turn aside to me, do not fear. And he turned aside to her into the tent, and she covered him with her cloak.</w:t>
      </w:r>
    </w:p>
    <w:p>
      <w:r>
        <w:rPr>
          <w:b/>
        </w:rPr>
        <w:t xml:space="preserve">19 </w:t>
      </w:r>
      <w:r>
        <w:t xml:space="preserve">And Sisera said to her, Give me</w:t>
      </w:r>
      <w:r>
        <w:rPr>
          <w:rStyle w:val="FootnoteReference"/>
        </w:rPr>
        <w:footnoteReference w:id="4575"/>
      </w:r>
      <w:r>
        <w:t xml:space="preserve"> to drink a little water, because I thirsted. And she opened the skin of milk and gave him drink and covered his face.</w:t>
      </w:r>
    </w:p>
    <w:p>
      <w:r>
        <w:rPr>
          <w:b/>
        </w:rPr>
        <w:t xml:space="preserve">20 </w:t>
      </w:r>
      <w:r>
        <w:t xml:space="preserve">And he said to her, Stand at the door of the tent, and it shall be, if someone comes to you and asks you and says to you, Is there</w:t>
      </w:r>
      <w:r>
        <w:rPr>
          <w:rStyle w:val="FootnoteReference"/>
        </w:rPr>
        <w:footnoteReference w:id="4576"/>
      </w:r>
      <w:r>
        <w:t xml:space="preserve"> a man here? you shall say, There is not. And she covered him with her cloak.</w:t>
      </w:r>
    </w:p>
    <w:p>
      <w:r>
        <w:rPr>
          <w:b/>
        </w:rPr>
        <w:t xml:space="preserve">21 </w:t>
      </w:r>
      <w:r>
        <w:t xml:space="preserve">And Jael wife of Heber took</w:t>
      </w:r>
      <w:r>
        <w:rPr>
          <w:rStyle w:val="FootnoteReference"/>
        </w:rPr>
        <w:footnoteReference w:id="4577"/>
      </w:r>
      <w:r>
        <w:t xml:space="preserve"> the tent peg and put the hammer in her hand and came in to him quietly and drove the peg into his jaw</w:t>
      </w:r>
      <w:r>
        <w:rPr>
          <w:rStyle w:val="FootnoteReference"/>
        </w:rPr>
        <w:footnoteReference w:id="4578"/>
      </w:r>
      <w:r>
        <w:t xml:space="preserve"> and it went through into the ground. And he writhed between her knees and breathed out and died.</w:t>
      </w:r>
    </w:p>
    <w:p>
      <w:r>
        <w:rPr>
          <w:b/>
        </w:rPr>
        <w:t xml:space="preserve">22 </w:t>
      </w:r>
      <w:r>
        <w:t xml:space="preserve">And behold, Barak was pursuing Sisera, and Jael went out to meet him and said to him, Come, and I will</w:t>
      </w:r>
      <w:r>
        <w:rPr>
          <w:rStyle w:val="FootnoteReference"/>
        </w:rPr>
        <w:footnoteReference w:id="4579"/>
      </w:r>
      <w:r>
        <w:t xml:space="preserve"> show you the man whom you seek. And he went in to her, and behold, Sisera had fallen dead, and the peg was in his jaw.</w:t>
      </w:r>
    </w:p>
    <w:p>
      <w:r>
        <w:rPr>
          <w:b/>
        </w:rPr>
        <w:t xml:space="preserve">23 </w:t>
      </w:r>
      <w:r>
        <w:t xml:space="preserve">And God humbled Jabin king of Canaan on that day before the sons of Israel.</w:t>
      </w:r>
    </w:p>
    <w:p>
      <w:r>
        <w:rPr>
          <w:b/>
        </w:rPr>
        <w:t xml:space="preserve">24 </w:t>
      </w:r>
      <w:r>
        <w:t xml:space="preserve">And the hand of the sons of Israel went on, going and hardening against Jabin king of Canaan, until they destroyed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Deborah sang, and Barak son of Abinoam, on that day, and said,</w:t>
      </w:r>
    </w:p>
    <w:p>
      <w:r>
        <w:rPr>
          <w:b/>
        </w:rPr>
        <w:t xml:space="preserve">2 </w:t>
      </w:r>
      <w:r>
        <w:t xml:space="preserve">When leaders began in Israel, in the willing offering of the people, bless the Lord.</w:t>
      </w:r>
    </w:p>
    <w:p>
      <w:r>
        <w:rPr>
          <w:b/>
        </w:rPr>
        <w:t xml:space="preserve">3 </w:t>
      </w:r>
      <w:r>
        <w:t xml:space="preserve">Hear, kings; give ear, satraps. I will sing to the Lord; I will make melody to the God of Israel.</w:t>
      </w:r>
    </w:p>
    <w:p>
      <w:r>
        <w:rPr>
          <w:b/>
        </w:rPr>
        <w:t xml:space="preserve">4 </w:t>
      </w:r>
      <w:r>
        <w:t xml:space="preserve">Lord, in your going out from Seir, in your marching from the field of Edom, the earth</w:t>
      </w:r>
      <w:r>
        <w:rPr>
          <w:rStyle w:val="FootnoteReference"/>
        </w:rPr>
        <w:footnoteReference w:id="4580"/>
      </w:r>
      <w:r>
        <w:t xml:space="preserve"> shook, and heaven was shaken, and the clouds dripped water.</w:t>
      </w:r>
    </w:p>
    <w:p>
      <w:r>
        <w:rPr>
          <w:b/>
        </w:rPr>
        <w:t xml:space="preserve">5 </w:t>
      </w:r>
      <w:r>
        <w:t xml:space="preserve">Mountains were shaken from before the Lord, this Sinai,</w:t>
      </w:r>
      <w:r>
        <w:rPr>
          <w:rStyle w:val="FootnoteReference"/>
        </w:rPr>
        <w:footnoteReference w:id="4581"/>
      </w:r>
      <w:r>
        <w:t xml:space="preserve"> from before the Lord God of Israel.</w:t>
      </w:r>
      <w:r>
        <w:rPr>
          <w:rStyle w:val="FootnoteReference"/>
        </w:rPr>
        <w:footnoteReference w:id="4582"/>
      </w:r>
    </w:p>
    <w:p>
      <w:r>
        <w:rPr>
          <w:b/>
        </w:rPr>
        <w:t xml:space="preserve">6 </w:t>
      </w:r>
      <w:r>
        <w:t xml:space="preserve">In the days of Shamgar</w:t>
      </w:r>
      <w:r>
        <w:rPr>
          <w:rStyle w:val="FootnoteReference"/>
        </w:rPr>
        <w:footnoteReference w:id="4583"/>
      </w:r>
      <w:r>
        <w:t xml:space="preserve"> son of Anath, in the days of Jael, kings ceased, and ways went on twisted roads.</w:t>
      </w:r>
    </w:p>
    <w:p>
      <w:r>
        <w:rPr>
          <w:b/>
        </w:rPr>
        <w:t xml:space="preserve">7 </w:t>
      </w:r>
      <w:r>
        <w:t xml:space="preserve">Rule ceased in Israel, it ceased until Deborah arose, because a mother</w:t>
      </w:r>
      <w:r>
        <w:rPr>
          <w:rStyle w:val="FootnoteReference"/>
        </w:rPr>
        <w:footnoteReference w:id="4584"/>
      </w:r>
      <w:r>
        <w:t xml:space="preserve"> arose in Israel.</w:t>
      </w:r>
    </w:p>
    <w:p>
      <w:r>
        <w:rPr>
          <w:b/>
        </w:rPr>
        <w:t xml:space="preserve">8 </w:t>
      </w:r>
      <w:r>
        <w:t xml:space="preserve">They chose new gods</w:t>
      </w:r>
      <w:r>
        <w:rPr>
          <w:rStyle w:val="FootnoteReference"/>
        </w:rPr>
        <w:footnoteReference w:id="4585"/>
      </w:r>
      <w:r>
        <w:t xml:space="preserve">, like barley bread. A shield, if I should see, or spear among forty thousand?</w:t>
      </w:r>
    </w:p>
    <w:p>
      <w:r>
        <w:rPr>
          <w:b/>
        </w:rPr>
        <w:t xml:space="preserve">9 </w:t>
      </w:r>
      <w:r>
        <w:t xml:space="preserve">My heart is toward the appointed ones of Israel, the mighty ones of the people. Bless the Lord.</w:t>
      </w:r>
    </w:p>
    <w:p>
      <w:r>
        <w:rPr>
          <w:b/>
        </w:rPr>
        <w:t xml:space="preserve">10 </w:t>
      </w:r>
      <w:r>
        <w:t xml:space="preserve">You who ride</w:t>
      </w:r>
      <w:r>
        <w:rPr>
          <w:rStyle w:val="FootnoteReference"/>
        </w:rPr>
        <w:footnoteReference w:id="4586"/>
      </w:r>
      <w:r>
        <w:t xml:space="preserve"> on the beasts of burden, you who sit on carpets,</w:t>
      </w:r>
    </w:p>
    <w:p>
      <w:r>
        <w:rPr>
          <w:b/>
        </w:rPr>
        <w:t xml:space="preserve">11 </w:t>
      </w:r>
      <w:r>
        <w:t xml:space="preserve">sound forth the voice of those striking up among rejoicing ones</w:t>
      </w:r>
      <w:r>
        <w:rPr>
          <w:rStyle w:val="FootnoteReference"/>
        </w:rPr>
        <w:footnoteReference w:id="4587"/>
      </w:r>
      <w:r>
        <w:t xml:space="preserve">. There they will give righteousness to the Lord; the righteous ones were strengthened in Israel. Then the people of the Lord went down to his cities.</w:t>
      </w:r>
    </w:p>
    <w:p>
      <w:r>
        <w:rPr>
          <w:b/>
        </w:rPr>
        <w:t xml:space="preserve">12 </w:t>
      </w:r>
      <w:r>
        <w:t xml:space="preserve">Awake, awake, Deborah</w:t>
      </w:r>
      <w:r>
        <w:rPr>
          <w:rStyle w:val="FootnoteReference"/>
        </w:rPr>
        <w:footnoteReference w:id="4588"/>
      </w:r>
      <w:r>
        <w:t xml:space="preserve">. Awaken myriads with the people. Awake, awake, speak with song. Strengthening one, rise up, Barak, and strengthen, Deborah, Barak. Take captive your captivity, son of Abinoam.</w:t>
      </w:r>
    </w:p>
    <w:p>
      <w:r>
        <w:rPr>
          <w:b/>
        </w:rPr>
        <w:t xml:space="preserve">13 </w:t>
      </w:r>
      <w:r>
        <w:t xml:space="preserve">Then his strength was magnified. Lord, humble for me my stronger ones.</w:t>
      </w:r>
    </w:p>
    <w:p>
      <w:r>
        <w:rPr>
          <w:b/>
        </w:rPr>
        <w:t xml:space="preserve">14 </w:t>
      </w:r>
      <w:r>
        <w:t xml:space="preserve">The people of Ephraim</w:t>
      </w:r>
      <w:r>
        <w:rPr>
          <w:rStyle w:val="FootnoteReference"/>
        </w:rPr>
        <w:footnoteReference w:id="4589"/>
      </w:r>
      <w:r>
        <w:t xml:space="preserve"> punished them in the valley. Benjamin, your brother, among your peoples. From me, Machir came down, searching out, and from Zebulun the Lord fought for me among mighty ones, from there with the scepter of strengthening leadership.</w:t>
      </w:r>
    </w:p>
    <w:p>
      <w:r>
        <w:rPr>
          <w:b/>
        </w:rPr>
        <w:t xml:space="preserve">15 </w:t>
      </w:r>
      <w:r>
        <w:t xml:space="preserve">In Issachar with Deborah he sent his footmen into the valley. Why do you dwell between the lips? He stretched out at his feet. In the divisions of Reuben were great searchings of heart.</w:t>
      </w:r>
    </w:p>
    <w:p>
      <w:r>
        <w:rPr>
          <w:b/>
        </w:rPr>
        <w:t xml:space="preserve">16 </w:t>
      </w:r>
      <w:r>
        <w:t xml:space="preserve">Why do you sit among the sheepfolds</w:t>
      </w:r>
      <w:r>
        <w:rPr>
          <w:rStyle w:val="FootnoteReference"/>
        </w:rPr>
        <w:footnoteReference w:id="4590"/>
      </w:r>
      <w:r>
        <w:t xml:space="preserve">, to hear the whistlings of those stirring up to pass through? In the matters of Reuben were great searchings of heart.</w:t>
      </w:r>
    </w:p>
    <w:p>
      <w:r>
        <w:rPr>
          <w:b/>
        </w:rPr>
        <w:t xml:space="preserve">17 </w:t>
      </w:r>
      <w:r>
        <w:t xml:space="preserve">Gilead</w:t>
      </w:r>
      <w:r>
        <w:rPr>
          <w:rStyle w:val="FootnoteReference"/>
        </w:rPr>
        <w:footnoteReference w:id="4591"/>
      </w:r>
      <w:r>
        <w:t xml:space="preserve"> camped beyond the Jordan, and Dan, why does he dwell among ships? Asher settled by the seashore and camped by his inlets.</w:t>
      </w:r>
    </w:p>
    <w:p>
      <w:r>
        <w:rPr>
          <w:b/>
        </w:rPr>
        <w:t xml:space="preserve">18 </w:t>
      </w:r>
      <w:r>
        <w:t xml:space="preserve">Zebulun</w:t>
      </w:r>
      <w:r>
        <w:rPr>
          <w:rStyle w:val="FootnoteReference"/>
        </w:rPr>
        <w:footnoteReference w:id="4592"/>
      </w:r>
      <w:r>
        <w:t xml:space="preserve">, a people that reproached its soul to death, and Naphtali on the heights of the field.</w:t>
      </w:r>
    </w:p>
    <w:p>
      <w:r>
        <w:rPr>
          <w:b/>
        </w:rPr>
        <w:t xml:space="preserve">19 </w:t>
      </w:r>
      <w:r>
        <w:t xml:space="preserve">Kings</w:t>
      </w:r>
      <w:r>
        <w:rPr>
          <w:rStyle w:val="FootnoteReference"/>
        </w:rPr>
        <w:footnoteReference w:id="4593"/>
      </w:r>
      <w:r>
        <w:t xml:space="preserve"> came and arrayed themselves, then the kings of Canaan fought at Thennach by the water of Megiddo. They took no gain of silver.</w:t>
      </w:r>
    </w:p>
    <w:p>
      <w:r>
        <w:rPr>
          <w:b/>
        </w:rPr>
        <w:t xml:space="preserve">20 </w:t>
      </w:r>
      <w:r>
        <w:t xml:space="preserve">From heaven stars fought</w:t>
      </w:r>
      <w:r>
        <w:rPr>
          <w:rStyle w:val="FootnoteReference"/>
        </w:rPr>
        <w:footnoteReference w:id="4594"/>
      </w:r>
      <w:r>
        <w:t xml:space="preserve">; from their order they fought with Sisera.</w:t>
      </w:r>
    </w:p>
    <w:p>
      <w:r>
        <w:rPr>
          <w:b/>
        </w:rPr>
        <w:t xml:space="preserve">21 </w:t>
      </w:r>
      <w:r>
        <w:t xml:space="preserve">The torrent Kishon</w:t>
      </w:r>
      <w:r>
        <w:rPr>
          <w:rStyle w:val="FootnoteReference"/>
        </w:rPr>
        <w:footnoteReference w:id="4595"/>
      </w:r>
      <w:r>
        <w:t xml:space="preserve"> swept them away, torrent of former days, torrent Kishon. My soul, you shall trample the mighty.</w:t>
      </w:r>
    </w:p>
    <w:p>
      <w:r>
        <w:rPr>
          <w:b/>
        </w:rPr>
        <w:t xml:space="preserve">22 </w:t>
      </w:r>
      <w:r>
        <w:t xml:space="preserve">Then the heels of the horse were cut off by the prancings of his mighty ones.</w:t>
      </w:r>
    </w:p>
    <w:p>
      <w:r>
        <w:rPr>
          <w:b/>
        </w:rPr>
        <w:t xml:space="preserve">23 </w:t>
      </w:r>
      <w:r>
        <w:t xml:space="preserve">Curse Meroz</w:t>
      </w:r>
      <w:r>
        <w:rPr>
          <w:rStyle w:val="FootnoteReference"/>
        </w:rPr>
        <w:footnoteReference w:id="4596"/>
      </w:r>
      <w:r>
        <w:t xml:space="preserve">, said the angel</w:t>
      </w:r>
      <w:r>
        <w:rPr>
          <w:rStyle w:val="FootnoteReference"/>
        </w:rPr>
        <w:footnoteReference w:id="4597"/>
      </w:r>
      <w:r>
        <w:t xml:space="preserve"> of the Lord; curse its inhabitants with a curse, because they did not come to the help of the Lord. The Lord is our helper, mighty in warriors.</w:t>
      </w:r>
    </w:p>
    <w:p>
      <w:r>
        <w:rPr>
          <w:b/>
        </w:rPr>
        <w:t xml:space="preserve">24 </w:t>
      </w:r>
      <w:r>
        <w:t xml:space="preserve">Blessed among women be Jael, wife of Heber the Kenite; among women in the tent let her be blessed.</w:t>
      </w:r>
    </w:p>
    <w:p>
      <w:r>
        <w:rPr>
          <w:b/>
        </w:rPr>
        <w:t xml:space="preserve">25 </w:t>
      </w:r>
      <w:r>
        <w:t xml:space="preserve">He asked</w:t>
      </w:r>
      <w:r>
        <w:rPr>
          <w:rStyle w:val="FootnoteReference"/>
        </w:rPr>
        <w:footnoteReference w:id="4598"/>
      </w:r>
      <w:r>
        <w:t xml:space="preserve"> water of her, and she gave him milk. In a bowl of the mighty she brought him butter.</w:t>
      </w:r>
    </w:p>
    <w:p>
      <w:r>
        <w:rPr>
          <w:b/>
        </w:rPr>
        <w:t xml:space="preserve">26 </w:t>
      </w:r>
      <w:r>
        <w:t xml:space="preserve">Her left hand she stretched to the peg, and her right hand to the work of laborers, and she struck Sisera, she shattered his head and crushed and pierced through his jaw.</w:t>
      </w:r>
    </w:p>
    <w:p>
      <w:r>
        <w:rPr>
          <w:b/>
        </w:rPr>
        <w:t xml:space="preserve">27 </w:t>
      </w:r>
      <w:r>
        <w:t xml:space="preserve">Between her feet, bending down, he fell; he slept between her feet. Where he bent down, there he fell, exhausted.</w:t>
      </w:r>
    </w:p>
    <w:p>
      <w:r>
        <w:rPr>
          <w:b/>
        </w:rPr>
        <w:t xml:space="preserve">28 </w:t>
      </w:r>
      <w:r>
        <w:t xml:space="preserve">Through the window the mother of Sisera leaned out, looking through the lattice at those returning with Sisera. Why has his chariot delayed to come? Why have the tracks of his chariots tarried?</w:t>
      </w:r>
    </w:p>
    <w:p>
      <w:r>
        <w:rPr>
          <w:b/>
        </w:rPr>
        <w:t xml:space="preserve">29 </w:t>
      </w:r>
      <w:r>
        <w:t xml:space="preserve">The wise women of her princesses answered her, and she answered in her own words,</w:t>
      </w:r>
    </w:p>
    <w:p>
      <w:r>
        <w:rPr>
          <w:b/>
        </w:rPr>
        <w:t xml:space="preserve">30 </w:t>
      </w:r>
      <w:r>
        <w:t xml:space="preserve">Will they not find him dividing spoil, making friends for friends</w:t>
      </w:r>
      <w:r>
        <w:rPr>
          <w:rStyle w:val="FootnoteReference"/>
        </w:rPr>
        <w:footnoteReference w:id="4599"/>
      </w:r>
      <w:r>
        <w:t xml:space="preserve">? A spoil of dyed cloths for the head of a mighty man, spoil of dyed cloths of variegated embroidery, dyed embroidered things around his neck, spoil.</w:t>
      </w:r>
    </w:p>
    <w:p>
      <w:r>
        <w:rPr>
          <w:b/>
        </w:rPr>
        <w:t xml:space="preserve">31 </w:t>
      </w:r>
      <w:r>
        <w:t xml:space="preserve">So let</w:t>
      </w:r>
      <w:r>
        <w:rPr>
          <w:rStyle w:val="FootnoteReference"/>
        </w:rPr>
        <w:footnoteReference w:id="4600"/>
      </w:r>
      <w:r>
        <w:t xml:space="preserve"> all your enemies perish, O Lord, but those loving him are as the rising of the sun</w:t>
      </w:r>
      <w:r>
        <w:rPr>
          <w:rStyle w:val="FootnoteReference"/>
        </w:rPr>
        <w:footnoteReference w:id="4601"/>
      </w:r>
      <w:r>
        <w:t xml:space="preserve"> in his might. And the land was at rest forty years.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the sons of Israel did evil</w:t>
      </w:r>
      <w:r>
        <w:rPr>
          <w:rStyle w:val="FootnoteReference"/>
        </w:rPr>
        <w:footnoteReference w:id="4602"/>
      </w:r>
      <w:r>
        <w:t xml:space="preserve"> before the Lord, and the Lord gave them into the hand of Midian seven years.</w:t>
      </w:r>
    </w:p>
    <w:p>
      <w:r>
        <w:rPr>
          <w:b/>
        </w:rPr>
        <w:t xml:space="preserve">2 </w:t>
      </w:r>
      <w:r>
        <w:t xml:space="preserve">And the hand</w:t>
      </w:r>
      <w:r>
        <w:rPr>
          <w:rStyle w:val="FootnoteReference"/>
        </w:rPr>
        <w:footnoteReference w:id="4603"/>
      </w:r>
      <w:r>
        <w:t xml:space="preserve"> of Midian prevailed against Israel, and the sons of Israel made for themselves, because of Midian, hideouts in the mountains and caves and strongholds.</w:t>
      </w:r>
    </w:p>
    <w:p>
      <w:r>
        <w:rPr>
          <w:b/>
        </w:rPr>
        <w:t xml:space="preserve">3 </w:t>
      </w:r>
      <w:r>
        <w:t xml:space="preserve">And it happened when a man of Israel sowed, Midian and Amalek and the sons of the east would come up against him.</w:t>
      </w:r>
    </w:p>
    <w:p>
      <w:r>
        <w:rPr>
          <w:b/>
        </w:rPr>
        <w:t xml:space="preserve">4 </w:t>
      </w:r>
      <w:r>
        <w:t xml:space="preserve">And they would encamp against them and destroy the produce of the land as far as Gaza, and they would leave no sustenance of life in Israel, and no sheep and no calf and no donkey.</w:t>
      </w:r>
    </w:p>
    <w:p>
      <w:r>
        <w:rPr>
          <w:b/>
        </w:rPr>
        <w:t xml:space="preserve">5 </w:t>
      </w:r>
      <w:r>
        <w:t xml:space="preserve">For they and their cattle came up, and they carried their tents</w:t>
      </w:r>
      <w:r>
        <w:rPr>
          <w:rStyle w:val="FootnoteReference"/>
        </w:rPr>
        <w:footnoteReference w:id="4604"/>
      </w:r>
      <w:r>
        <w:t xml:space="preserve"> and came like locusts for multitude, and there was no number for them or for their camels, and they came into the land of Israel to ruin it.</w:t>
      </w:r>
    </w:p>
    <w:p>
      <w:r>
        <w:rPr>
          <w:b/>
        </w:rPr>
        <w:t xml:space="preserve">6 </w:t>
      </w:r>
      <w:r>
        <w:t xml:space="preserve">And Israel became very poor before Midian, and the sons of Israel cried</w:t>
      </w:r>
      <w:r>
        <w:rPr>
          <w:rStyle w:val="FootnoteReference"/>
        </w:rPr>
        <w:footnoteReference w:id="4605"/>
      </w:r>
      <w:r>
        <w:t xml:space="preserve"> out to the Lord.</w:t>
      </w:r>
    </w:p>
    <w:p>
      <w:r>
        <w:rPr>
          <w:b/>
        </w:rPr>
        <w:t xml:space="preserve">7 </w:t>
      </w:r>
      <w:r>
        <w:t xml:space="preserve">And it came to be, when the sons of Israel cried out to the Lord because of Midian,</w:t>
      </w:r>
    </w:p>
    <w:p>
      <w:r>
        <w:rPr>
          <w:b/>
        </w:rPr>
        <w:t xml:space="preserve">8 </w:t>
      </w:r>
      <w:r>
        <w:t xml:space="preserve">that the Lord sent a man, a prophet</w:t>
      </w:r>
      <w:r>
        <w:rPr>
          <w:rStyle w:val="FootnoteReference"/>
        </w:rPr>
        <w:footnoteReference w:id="4606"/>
      </w:r>
      <w:r>
        <w:t xml:space="preserve">, to the sons of Israel and said to them, Thus says the Lord God of Israel: I am the one who brought you up out of Egypt and brought you out of the house of slavery.</w:t>
      </w:r>
      <w:r>
        <w:rPr>
          <w:rStyle w:val="FootnoteReference"/>
        </w:rPr>
        <w:footnoteReference w:id="4607"/>
      </w:r>
    </w:p>
    <w:p>
      <w:r>
        <w:rPr>
          <w:b/>
        </w:rPr>
        <w:t xml:space="preserve">9 </w:t>
      </w:r>
      <w:r>
        <w:t xml:space="preserve">And I delivered you from the hand of Egypt and from the hand of all oppressing you, and I drove them out from before you and gave you their land.</w:t>
      </w:r>
    </w:p>
    <w:p>
      <w:r>
        <w:rPr>
          <w:b/>
        </w:rPr>
        <w:t xml:space="preserve">10 </w:t>
      </w:r>
      <w:r>
        <w:t xml:space="preserve">And I said to you, I am the</w:t>
      </w:r>
      <w:r>
        <w:rPr>
          <w:rStyle w:val="FootnoteReference"/>
        </w:rPr>
        <w:footnoteReference w:id="4608"/>
      </w:r>
      <w:r>
        <w:t xml:space="preserve"> Lord your God. You shall not fear the gods of the Amorite among whom you dwell in their land, and you did not listen to my voice.</w:t>
      </w:r>
    </w:p>
    <w:p>
      <w:r>
        <w:rPr>
          <w:b/>
        </w:rPr>
        <w:t xml:space="preserve">11 </w:t>
      </w:r>
      <w:r>
        <w:t xml:space="preserve">And an angel</w:t>
      </w:r>
      <w:r>
        <w:rPr>
          <w:rStyle w:val="FootnoteReference"/>
        </w:rPr>
        <w:footnoteReference w:id="4609"/>
      </w:r>
      <w:r>
        <w:t xml:space="preserve"> of the Lord came and sat under the oak that was in Ephrathah, that belonged to Joash</w:t>
      </w:r>
      <w:r>
        <w:rPr>
          <w:rStyle w:val="FootnoteReference"/>
        </w:rPr>
        <w:footnoteReference w:id="4610"/>
      </w:r>
      <w:r>
        <w:t xml:space="preserve"> the Abiezrite</w:t>
      </w:r>
      <w:r>
        <w:rPr>
          <w:rStyle w:val="FootnoteReference"/>
        </w:rPr>
        <w:footnoteReference w:id="4611"/>
      </w:r>
      <w:r>
        <w:t xml:space="preserve">, and Gideon</w:t>
      </w:r>
      <w:r>
        <w:rPr>
          <w:rStyle w:val="FootnoteReference"/>
        </w:rPr>
        <w:footnoteReference w:id="4612"/>
      </w:r>
      <w:r>
        <w:t xml:space="preserve"> his son was beating out wheat in a winepress to escape from before Midian.</w:t>
      </w:r>
    </w:p>
    <w:p>
      <w:r>
        <w:rPr>
          <w:b/>
        </w:rPr>
        <w:t xml:space="preserve">12 </w:t>
      </w:r>
      <w:r>
        <w:t xml:space="preserve">And an angel of the Lord</w:t>
      </w:r>
      <w:r>
        <w:rPr>
          <w:rStyle w:val="FootnoteReference"/>
        </w:rPr>
        <w:footnoteReference w:id="4613"/>
      </w:r>
      <w:r>
        <w:t xml:space="preserve"> appeared to him and said to him, The Lord is with you, mighty in strength.</w:t>
      </w:r>
    </w:p>
    <w:p>
      <w:r>
        <w:rPr>
          <w:b/>
        </w:rPr>
        <w:t xml:space="preserve">13 </w:t>
      </w:r>
      <w:r>
        <w:t xml:space="preserve">And Gideon said to him, In me, my lord? And if the Lord</w:t>
      </w:r>
      <w:r>
        <w:rPr>
          <w:rStyle w:val="FootnoteReference"/>
        </w:rPr>
        <w:footnoteReference w:id="4614"/>
      </w:r>
      <w:r>
        <w:t xml:space="preserve"> is with us, why have all these evils found us</w:t>
      </w:r>
      <w:r>
        <w:rPr>
          <w:rStyle w:val="FootnoteReference"/>
        </w:rPr>
        <w:footnoteReference w:id="4615"/>
      </w:r>
      <w:r>
        <w:t xml:space="preserve">, and where are all his wonders that our fathers recounted to us, saying, Did not the Lord bring us up out of Egypt? But now he has cast us off and given us into the hand of Midian.</w:t>
      </w:r>
    </w:p>
    <w:p>
      <w:r>
        <w:rPr>
          <w:b/>
        </w:rPr>
        <w:t xml:space="preserve">14 </w:t>
      </w:r>
      <w:r>
        <w:t xml:space="preserve">And the angel of the Lord</w:t>
      </w:r>
      <w:r>
        <w:rPr>
          <w:rStyle w:val="FootnoteReference"/>
        </w:rPr>
        <w:footnoteReference w:id="4616"/>
      </w:r>
      <w:r>
        <w:t xml:space="preserve"> looked upon him and said to him, Go in your strength, and you shall save Israel. See, I have sent you.</w:t>
      </w:r>
    </w:p>
    <w:p>
      <w:r>
        <w:rPr>
          <w:b/>
        </w:rPr>
        <w:t xml:space="preserve">15 </w:t>
      </w:r>
      <w:r>
        <w:t xml:space="preserve">And Gideon said to him, In me, my lord? By what shall I save Israel? Behold, my thousand is the humblest in Manasseh, and I am small in my father's house.</w:t>
      </w:r>
    </w:p>
    <w:p>
      <w:r>
        <w:rPr>
          <w:b/>
        </w:rPr>
        <w:t xml:space="preserve">16 </w:t>
      </w:r>
      <w:r>
        <w:t xml:space="preserve">And the angel of the Lord said to him, The Lord will be with you, and you will strike Midian as one man.</w:t>
      </w:r>
    </w:p>
    <w:p>
      <w:r>
        <w:rPr>
          <w:b/>
        </w:rPr>
        <w:t xml:space="preserve">17 </w:t>
      </w:r>
      <w:r>
        <w:t xml:space="preserve">And Gideon said to him, If I found favor in your eyes, then do for me a sign that you are the one speaking with me.</w:t>
      </w:r>
    </w:p>
    <w:p>
      <w:r>
        <w:rPr>
          <w:b/>
        </w:rPr>
        <w:t xml:space="preserve">18 </w:t>
      </w:r>
      <w:r>
        <w:t xml:space="preserve">Do not move from here until I come to you and bring</w:t>
      </w:r>
      <w:r>
        <w:rPr>
          <w:rStyle w:val="FootnoteReference"/>
        </w:rPr>
        <w:footnoteReference w:id="4617"/>
      </w:r>
      <w:r>
        <w:t xml:space="preserve"> out my sacrifice and set it before you. And he said, I am; I will stay until you return.</w:t>
      </w:r>
    </w:p>
    <w:p>
      <w:r>
        <w:rPr>
          <w:b/>
        </w:rPr>
        <w:t xml:space="preserve">19 </w:t>
      </w:r>
      <w:r>
        <w:t xml:space="preserve">And Gideon went in and made</w:t>
      </w:r>
      <w:r>
        <w:rPr>
          <w:rStyle w:val="FootnoteReference"/>
        </w:rPr>
        <w:footnoteReference w:id="4618"/>
      </w:r>
      <w:r>
        <w:t xml:space="preserve"> a kid of the goats and unleavened loaves from an ephah of flour, and he put the meat in the basket and poured the broth into the pot, and he brought them out to him under the oak and bowed down.</w:t>
      </w:r>
    </w:p>
    <w:p>
      <w:r>
        <w:rPr>
          <w:b/>
        </w:rPr>
        <w:t xml:space="preserve">20 </w:t>
      </w:r>
      <w:r>
        <w:t xml:space="preserve">And the angel of the Lord said to him, Take the meat and the unleavened loaves and lay them</w:t>
      </w:r>
      <w:r>
        <w:rPr>
          <w:rStyle w:val="FootnoteReference"/>
        </w:rPr>
        <w:footnoteReference w:id="4619"/>
      </w:r>
      <w:r>
        <w:t xml:space="preserve"> on that rock, and pour out the broth. And he did so.</w:t>
      </w:r>
    </w:p>
    <w:p>
      <w:r>
        <w:rPr>
          <w:b/>
        </w:rPr>
        <w:t xml:space="preserve">21 </w:t>
      </w:r>
      <w:r>
        <w:t xml:space="preserve">And the angel of the Lord</w:t>
      </w:r>
      <w:r>
        <w:rPr>
          <w:rStyle w:val="FootnoteReference"/>
        </w:rPr>
        <w:footnoteReference w:id="4620"/>
      </w:r>
      <w:r>
        <w:t xml:space="preserve"> stretched out the tip of the staff in his hand and touched the meat and the unleavened loaves, and fire sprang up from the rock and consumed the meat and the unleavened loaves, and the angel of the Lord departed from his sight.</w:t>
      </w:r>
    </w:p>
    <w:p>
      <w:r>
        <w:rPr>
          <w:b/>
        </w:rPr>
        <w:t xml:space="preserve">22 </w:t>
      </w:r>
      <w:r>
        <w:t xml:space="preserve">And Gideon saw that he was an angel of the Lord and said, Ah, Lord, Lord, because I saw the angel of the Lord face to face.</w:t>
      </w:r>
    </w:p>
    <w:p>
      <w:r>
        <w:rPr>
          <w:b/>
        </w:rPr>
        <w:t xml:space="preserve">23 </w:t>
      </w:r>
      <w:r>
        <w:t xml:space="preserve">And the Lord said to him, Peace to you. Do not fear; you shall not die.</w:t>
      </w:r>
    </w:p>
    <w:p>
      <w:r>
        <w:rPr>
          <w:b/>
        </w:rPr>
        <w:t xml:space="preserve">24 </w:t>
      </w:r>
      <w:r>
        <w:t xml:space="preserve">And Gideon built</w:t>
      </w:r>
      <w:r>
        <w:rPr>
          <w:rStyle w:val="FootnoteReference"/>
        </w:rPr>
        <w:footnoteReference w:id="4621"/>
      </w:r>
      <w:r>
        <w:t xml:space="preserve"> there an altar to the Lord and called it Peace of the Lord</w:t>
      </w:r>
      <w:r>
        <w:rPr>
          <w:rStyle w:val="FootnoteReference"/>
        </w:rPr>
        <w:footnoteReference w:id="4622"/>
      </w:r>
      <w:r>
        <w:t xml:space="preserve">. Until this day it still stands in Ephrathah of the father of Ezri</w:t>
      </w:r>
      <w:r>
        <w:rPr>
          <w:rStyle w:val="FootnoteReference"/>
        </w:rPr>
        <w:footnoteReference w:id="4623"/>
      </w:r>
      <w:r>
        <w:t xml:space="preserve">.</w:t>
      </w:r>
      <w:r>
        <w:rPr>
          <w:rStyle w:val="FootnoteReference"/>
        </w:rPr>
        <w:footnoteReference w:id="4624"/>
      </w:r>
    </w:p>
    <w:p>
      <w:r>
        <w:rPr>
          <w:b/>
        </w:rPr>
        <w:t xml:space="preserve">25 </w:t>
      </w:r>
      <w:r>
        <w:t xml:space="preserve">And it came to be that night that the Lord said to him, Take your father's fatted calf, the seven-year-old bull, and pull down the altar of Baal that belongs to your father, and cut down</w:t>
      </w:r>
      <w:r>
        <w:rPr>
          <w:rStyle w:val="FootnoteReference"/>
        </w:rPr>
        <w:footnoteReference w:id="4625"/>
      </w:r>
      <w:r>
        <w:t xml:space="preserve"> the grove upon it.</w:t>
      </w:r>
    </w:p>
    <w:p>
      <w:r>
        <w:rPr>
          <w:b/>
        </w:rPr>
        <w:t xml:space="preserve">26 </w:t>
      </w:r>
      <w:r>
        <w:t xml:space="preserve">And you shall build</w:t>
      </w:r>
      <w:r>
        <w:rPr>
          <w:rStyle w:val="FootnoteReference"/>
        </w:rPr>
        <w:footnoteReference w:id="4626"/>
      </w:r>
      <w:r>
        <w:t xml:space="preserve"> an altar to the Lord your God, who appeared to you, on the top of this stronghold mountain in the arrangement, and you shall take the bull and offer a whole burnt offering with the wood of the grove that you cut down.</w:t>
      </w:r>
    </w:p>
    <w:p>
      <w:r>
        <w:rPr>
          <w:b/>
        </w:rPr>
        <w:t xml:space="preserve">27 </w:t>
      </w:r>
      <w:r>
        <w:t xml:space="preserve">And Gideon took ten and three men</w:t>
      </w:r>
      <w:r>
        <w:rPr>
          <w:rStyle w:val="FootnoteReference"/>
        </w:rPr>
        <w:footnoteReference w:id="4627"/>
      </w:r>
      <w:r>
        <w:t xml:space="preserve"> from among his servants and did</w:t>
      </w:r>
      <w:r>
        <w:rPr>
          <w:rStyle w:val="FootnoteReference"/>
        </w:rPr>
        <w:footnoteReference w:id="4628"/>
      </w:r>
      <w:r>
        <w:t xml:space="preserve"> as the Lord spoke to him. And it came to be, because he feared his father's house and the men of the city, not to do it by day, he did it by night.</w:t>
      </w:r>
    </w:p>
    <w:p>
      <w:r>
        <w:rPr>
          <w:b/>
        </w:rPr>
        <w:t xml:space="preserve">28 </w:t>
      </w:r>
      <w:r>
        <w:t xml:space="preserve">And the men of the city rose early in the morning, and behold, the altar of Baal had been dug down and the grove upon it had been cut down, and the fatted bull</w:t>
      </w:r>
      <w:r>
        <w:rPr>
          <w:rStyle w:val="FootnoteReference"/>
        </w:rPr>
        <w:footnoteReference w:id="4629"/>
      </w:r>
      <w:r>
        <w:t xml:space="preserve"> had been offered as a whole burnt offering on the altar that had been built.</w:t>
      </w:r>
    </w:p>
    <w:p>
      <w:r>
        <w:rPr>
          <w:b/>
        </w:rPr>
        <w:t xml:space="preserve">29 </w:t>
      </w:r>
      <w:r>
        <w:t xml:space="preserve">And each man said to his neighbor, Who did this thing? And they searched and inquired and said, Gideon son of Joash did this thing.</w:t>
      </w:r>
    </w:p>
    <w:p>
      <w:r>
        <w:rPr>
          <w:b/>
        </w:rPr>
        <w:t xml:space="preserve">30 </w:t>
      </w:r>
      <w:r>
        <w:t xml:space="preserve">And the men of the city said to Joash, Bring</w:t>
      </w:r>
      <w:r>
        <w:rPr>
          <w:rStyle w:val="FootnoteReference"/>
        </w:rPr>
        <w:footnoteReference w:id="4630"/>
      </w:r>
      <w:r>
        <w:t xml:space="preserve"> out your son and let him die, because he dug down the altar of Baal and because he cut down the grove upon it.</w:t>
      </w:r>
    </w:p>
    <w:p>
      <w:r>
        <w:rPr>
          <w:b/>
        </w:rPr>
        <w:t xml:space="preserve">31 </w:t>
      </w:r>
      <w:r>
        <w:t xml:space="preserve">And Joash said to the men standing against him, Will you now judge on behalf of Baal</w:t>
      </w:r>
      <w:r>
        <w:rPr>
          <w:rStyle w:val="FootnoteReference"/>
        </w:rPr>
        <w:footnoteReference w:id="4631"/>
      </w:r>
      <w:r>
        <w:t xml:space="preserve">, or will you save him? Whoever pleads his case shall die by morning. If he is a god, let him avenge himself, because his altar was dug down.</w:t>
      </w:r>
    </w:p>
    <w:p>
      <w:r>
        <w:rPr>
          <w:b/>
        </w:rPr>
        <w:t xml:space="preserve">32 </w:t>
      </w:r>
      <w:r>
        <w:t xml:space="preserve">And on that day he called him Tribunal of Baal, because he dug down his altar.</w:t>
      </w:r>
    </w:p>
    <w:p>
      <w:r>
        <w:rPr>
          <w:b/>
        </w:rPr>
        <w:t xml:space="preserve">33 </w:t>
      </w:r>
      <w:r>
        <w:t xml:space="preserve">And all Midian and Amalek and the sons of the east gathered together, and they crossed over and encamped in the valley</w:t>
      </w:r>
      <w:r>
        <w:rPr>
          <w:rStyle w:val="FootnoteReference"/>
        </w:rPr>
        <w:footnoteReference w:id="4632"/>
      </w:r>
      <w:r>
        <w:t xml:space="preserve"> of Jezreel.</w:t>
      </w:r>
    </w:p>
    <w:p>
      <w:r>
        <w:rPr>
          <w:b/>
        </w:rPr>
        <w:t xml:space="preserve">34 </w:t>
      </w:r>
      <w:r>
        <w:t xml:space="preserve">And the Spirit of God clothed Gideon</w:t>
      </w:r>
      <w:r>
        <w:rPr>
          <w:rStyle w:val="FootnoteReference"/>
        </w:rPr>
        <w:footnoteReference w:id="4633"/>
      </w:r>
      <w:r>
        <w:t xml:space="preserve">, and he sounded the horn, and Abiezer</w:t>
      </w:r>
      <w:r>
        <w:rPr>
          <w:rStyle w:val="FootnoteReference"/>
        </w:rPr>
        <w:footnoteReference w:id="4634"/>
      </w:r>
      <w:r>
        <w:t xml:space="preserve"> cried out after him.</w:t>
      </w:r>
      <w:r>
        <w:rPr>
          <w:rStyle w:val="FootnoteReference"/>
        </w:rPr>
        <w:footnoteReference w:id="4635"/>
      </w:r>
    </w:p>
    <w:p>
      <w:r>
        <w:rPr>
          <w:b/>
        </w:rPr>
        <w:t xml:space="preserve">35 </w:t>
      </w:r>
      <w:r>
        <w:t xml:space="preserve">And he sent messengers</w:t>
      </w:r>
      <w:r>
        <w:rPr>
          <w:rStyle w:val="FootnoteReference"/>
        </w:rPr>
        <w:footnoteReference w:id="4636"/>
      </w:r>
      <w:r>
        <w:t xml:space="preserve"> through all Manasseh, and it also cried out after him</w:t>
      </w:r>
      <w:r>
        <w:rPr>
          <w:rStyle w:val="FootnoteReference"/>
        </w:rPr>
        <w:footnoteReference w:id="4637"/>
      </w:r>
      <w:r>
        <w:t xml:space="preserve">, and he sent messengers in Asher and in Zebulun and in Naphtali, and they went up to meet him.</w:t>
      </w:r>
    </w:p>
    <w:p>
      <w:r>
        <w:rPr>
          <w:b/>
        </w:rPr>
        <w:t xml:space="preserve">36 </w:t>
      </w:r>
      <w:r>
        <w:t xml:space="preserve">And Gideon said to God, If you are saving Israel by my hand, just as you said,</w:t>
      </w:r>
    </w:p>
    <w:p>
      <w:r>
        <w:rPr>
          <w:b/>
        </w:rPr>
        <w:t xml:space="preserve">37 </w:t>
      </w:r>
      <w:r>
        <w:t xml:space="preserve">behold</w:t>
      </w:r>
      <w:r>
        <w:rPr>
          <w:rStyle w:val="FootnoteReference"/>
        </w:rPr>
        <w:footnoteReference w:id="4638"/>
      </w:r>
      <w:r>
        <w:t xml:space="preserve">, I lay the fleece of wool on the threshing floor, and if dew comes upon the fleece alone and drought upon all the land, then I will know that you are saving Israel by my hand, just as you said.</w:t>
      </w:r>
    </w:p>
    <w:p>
      <w:r>
        <w:rPr>
          <w:b/>
        </w:rPr>
        <w:t xml:space="preserve">38 </w:t>
      </w:r>
      <w:r>
        <w:t xml:space="preserve">And it happened so, and Gideon rose early the next day and squeezed the fleece, and the dew ran out of the fleece, a bowl</w:t>
      </w:r>
      <w:r>
        <w:rPr>
          <w:rStyle w:val="FootnoteReference"/>
        </w:rPr>
        <w:footnoteReference w:id="4639"/>
      </w:r>
      <w:r>
        <w:t xml:space="preserve"> full of water.</w:t>
      </w:r>
    </w:p>
    <w:p>
      <w:r>
        <w:rPr>
          <w:b/>
        </w:rPr>
        <w:t xml:space="preserve">39 </w:t>
      </w:r>
      <w:r>
        <w:t xml:space="preserve">And Gideon said to God, Let not your anger burn in me, and let me speak once more. Let me test once more with the fleece. Let there be drought upon the fleece alone, but upon all the land let there be dew.</w:t>
      </w:r>
    </w:p>
    <w:p>
      <w:r>
        <w:rPr>
          <w:b/>
        </w:rPr>
        <w:t xml:space="preserve">40 </w:t>
      </w:r>
      <w:r>
        <w:t xml:space="preserve">And God did so in that night, and there was drought upon the fleece alone, but upon all the land there was dew.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Jerubbaal</w:t>
      </w:r>
      <w:r>
        <w:rPr>
          <w:rStyle w:val="FootnoteReference"/>
        </w:rPr>
        <w:footnoteReference w:id="4640"/>
      </w:r>
      <w:r>
        <w:t xml:space="preserve">, that is Gideon, rose early, and all the people with him, and encamped upon the land of Harod</w:t>
      </w:r>
      <w:r>
        <w:rPr>
          <w:rStyle w:val="FootnoteReference"/>
        </w:rPr>
        <w:footnoteReference w:id="4641"/>
      </w:r>
      <w:r>
        <w:t xml:space="preserve">, and the camp of Midian and Amalek was to his north, from the hill of Habor</w:t>
      </w:r>
      <w:r>
        <w:rPr>
          <w:rStyle w:val="FootnoteReference"/>
        </w:rPr>
        <w:footnoteReference w:id="4642"/>
      </w:r>
      <w:r>
        <w:t xml:space="preserve"> in the valley.</w:t>
      </w:r>
      <w:r>
        <w:rPr>
          <w:rStyle w:val="FootnoteReference"/>
        </w:rPr>
        <w:footnoteReference w:id="4643"/>
      </w:r>
      <w:r>
        <w:rPr>
          <w:rStyle w:val="FootnoteReference"/>
        </w:rPr>
        <w:footnoteReference w:id="4644"/>
      </w:r>
    </w:p>
    <w:p>
      <w:r>
        <w:rPr>
          <w:b/>
        </w:rPr>
        <w:t xml:space="preserve">2 </w:t>
      </w:r>
      <w:r>
        <w:t xml:space="preserve">And the Lord said to Gideon, The people with you are too many</w:t>
      </w:r>
      <w:r>
        <w:rPr>
          <w:rStyle w:val="FootnoteReference"/>
        </w:rPr>
        <w:footnoteReference w:id="4645"/>
      </w:r>
      <w:r>
        <w:t xml:space="preserve"> for me to give Midian into their hand, lest Israel boast against me, saying, My hand saved me.</w:t>
      </w:r>
    </w:p>
    <w:p>
      <w:r>
        <w:rPr>
          <w:b/>
        </w:rPr>
        <w:t xml:space="preserve">3 </w:t>
      </w:r>
      <w:r>
        <w:t xml:space="preserve">And the Lord said to him, Speak now in the ears of the people, saying, Whoever is fearful and afraid, let him turn back. And twenty</w:t>
      </w:r>
      <w:r>
        <w:rPr>
          <w:rStyle w:val="FootnoteReference"/>
        </w:rPr>
        <w:footnoteReference w:id="4646"/>
      </w:r>
      <w:r>
        <w:t xml:space="preserve">-two thousand turned back from the people, and ten thousand were left.</w:t>
      </w:r>
    </w:p>
    <w:p>
      <w:r>
        <w:rPr>
          <w:b/>
        </w:rPr>
        <w:t xml:space="preserve">4 </w:t>
      </w:r>
      <w:r>
        <w:t xml:space="preserve">And the Lord said to Gideon, The people are still many. Bring them down to the water, and there I will test them for you, and it shall be that whoever I say to you, This one shall go with you, he shall go with you, and whoever I say to you, This one shall not go with you, he shall not go with you.</w:t>
      </w:r>
    </w:p>
    <w:p>
      <w:r>
        <w:rPr>
          <w:b/>
        </w:rPr>
        <w:t xml:space="preserve">5 </w:t>
      </w:r>
      <w:r>
        <w:t xml:space="preserve">And he brought the people down to the water. And the Lord said to Gideon, Everyone who laps with his tongue from the water, as a dog laps, you shall set him apart by himself</w:t>
      </w:r>
      <w:r>
        <w:rPr>
          <w:rStyle w:val="FootnoteReference"/>
        </w:rPr>
        <w:footnoteReference w:id="4647"/>
      </w:r>
      <w:r>
        <w:t xml:space="preserve">; and everyone who bends on his knees to drink, you shall place by himself.</w:t>
      </w:r>
    </w:p>
    <w:p>
      <w:r>
        <w:rPr>
          <w:b/>
        </w:rPr>
        <w:t xml:space="preserve">6 </w:t>
      </w:r>
      <w:r>
        <w:t xml:space="preserve">And the number of those lapping with their tongues came to three hundred men, and all the rest of the people bent on their knees to drink water.</w:t>
      </w:r>
    </w:p>
    <w:p>
      <w:r>
        <w:rPr>
          <w:b/>
        </w:rPr>
        <w:t xml:space="preserve">7 </w:t>
      </w:r>
      <w:r>
        <w:t xml:space="preserve">And the Lord said to Gideon, By the three hundred men who lapped</w:t>
      </w:r>
      <w:r>
        <w:rPr>
          <w:rStyle w:val="FootnoteReference"/>
        </w:rPr>
        <w:footnoteReference w:id="4648"/>
      </w:r>
      <w:r>
        <w:t xml:space="preserve"> I will save you and deliver Midian into your hand, and let all the people turn back, each man to his place.</w:t>
      </w:r>
    </w:p>
    <w:p>
      <w:r>
        <w:rPr>
          <w:b/>
        </w:rPr>
        <w:t xml:space="preserve">8 </w:t>
      </w:r>
      <w:r>
        <w:t xml:space="preserve">And they took the food of the people in their hands</w:t>
      </w:r>
      <w:r>
        <w:rPr>
          <w:rStyle w:val="FootnoteReference"/>
        </w:rPr>
        <w:footnoteReference w:id="4649"/>
      </w:r>
      <w:r>
        <w:t xml:space="preserve"> and their horns, and he sent every man of Israel away, each to his tent, but the three hundred men he kept. And the camp of Midian was beneath him in the valley</w:t>
      </w:r>
      <w:r>
        <w:rPr>
          <w:rStyle w:val="FootnoteReference"/>
        </w:rPr>
        <w:footnoteReference w:id="4650"/>
      </w:r>
      <w:r>
        <w:t xml:space="preserve">.</w:t>
      </w:r>
    </w:p>
    <w:p>
      <w:r>
        <w:rPr>
          <w:b/>
        </w:rPr>
        <w:t xml:space="preserve">9 </w:t>
      </w:r>
      <w:r>
        <w:t xml:space="preserve">And it came to be in that night that the Lord said to him, Rise, go down from here into the camp, because I have given it into your hand.</w:t>
      </w:r>
    </w:p>
    <w:p>
      <w:r>
        <w:rPr>
          <w:b/>
        </w:rPr>
        <w:t xml:space="preserve">10 </w:t>
      </w:r>
      <w:r>
        <w:t xml:space="preserve">But if you fear to go down, go down, you and Purah</w:t>
      </w:r>
      <w:r>
        <w:rPr>
          <w:rStyle w:val="FootnoteReference"/>
        </w:rPr>
        <w:footnoteReference w:id="4651"/>
      </w:r>
      <w:r>
        <w:t xml:space="preserve"> your servant, into the camp,</w:t>
      </w:r>
    </w:p>
    <w:p>
      <w:r>
        <w:rPr>
          <w:b/>
        </w:rPr>
        <w:t xml:space="preserve">11 </w:t>
      </w:r>
      <w:r>
        <w:t xml:space="preserve">and you will hear what they are saying, and after these things your hands will be strengthened</w:t>
      </w:r>
      <w:r>
        <w:rPr>
          <w:rStyle w:val="FootnoteReference"/>
        </w:rPr>
        <w:footnoteReference w:id="4652"/>
      </w:r>
      <w:r>
        <w:t xml:space="preserve">, and you will go down into the camp. And he went down, he and Purah his servant, to the edge of the fifty in the camp.</w:t>
      </w:r>
    </w:p>
    <w:p>
      <w:r>
        <w:rPr>
          <w:b/>
        </w:rPr>
        <w:t xml:space="preserve">12 </w:t>
      </w:r>
      <w:r>
        <w:t xml:space="preserve">And Midian and Amalek and all the sons of the east were camped in the valley like locusts in multitude</w:t>
      </w:r>
      <w:r>
        <w:rPr>
          <w:rStyle w:val="FootnoteReference"/>
        </w:rPr>
        <w:footnoteReference w:id="4653"/>
      </w:r>
      <w:r>
        <w:t xml:space="preserve">, and their camels had no number, but were like the sand on the lip of the sea in multitude.</w:t>
      </w:r>
    </w:p>
    <w:p>
      <w:r>
        <w:rPr>
          <w:b/>
        </w:rPr>
        <w:t xml:space="preserve">13 </w:t>
      </w:r>
      <w:r>
        <w:t xml:space="preserve">And Gideon came, and behold, a man was recounting a dream to his neighbor and said, Behold, the dream that I dreamed: behold, a cake of barley bread rolling</w:t>
      </w:r>
      <w:r>
        <w:rPr>
          <w:rStyle w:val="FootnoteReference"/>
        </w:rPr>
        <w:footnoteReference w:id="4654"/>
      </w:r>
      <w:r>
        <w:t xml:space="preserve"> into the camp of Midian, and it came as far as the tent of Midian and struck it and overturned it, and the tent fell.</w:t>
      </w:r>
      <w:r>
        <w:rPr>
          <w:rStyle w:val="FootnoteReference"/>
        </w:rPr>
        <w:footnoteReference w:id="4655"/>
      </w:r>
    </w:p>
    <w:p>
      <w:r>
        <w:rPr>
          <w:b/>
        </w:rPr>
        <w:t xml:space="preserve">14 </w:t>
      </w:r>
      <w:r>
        <w:t xml:space="preserve">And his neighbor answered and said, This is nothing else than the sword of Gideon son of Joash, a man of Israel. The Lord has given Midian and all the camp into his hand</w:t>
      </w:r>
      <w:r>
        <w:rPr>
          <w:rStyle w:val="FootnoteReference"/>
        </w:rPr>
        <w:footnoteReference w:id="4656"/>
      </w:r>
      <w:r>
        <w:t xml:space="preserve">.</w:t>
      </w:r>
    </w:p>
    <w:p>
      <w:r>
        <w:rPr>
          <w:b/>
        </w:rPr>
        <w:t xml:space="preserve">15 </w:t>
      </w:r>
      <w:r>
        <w:t xml:space="preserve">And it came to be, when Gideon heard the recounting of the dream and its interpretation</w:t>
      </w:r>
      <w:r>
        <w:rPr>
          <w:rStyle w:val="FootnoteReference"/>
        </w:rPr>
        <w:footnoteReference w:id="4657"/>
      </w:r>
      <w:r>
        <w:t xml:space="preserve">, he bowed down to the Lord and returned to the camp of Israel and said, Rise up, because the Lord has given the camp of Midian into your hands.</w:t>
      </w:r>
    </w:p>
    <w:p>
      <w:r>
        <w:rPr>
          <w:b/>
        </w:rPr>
        <w:t xml:space="preserve">16 </w:t>
      </w:r>
      <w:r>
        <w:t xml:space="preserve">And he divided the three hundred men into three companies and gave horns into the hands of all of them and empty</w:t>
      </w:r>
      <w:r>
        <w:rPr>
          <w:rStyle w:val="FootnoteReference"/>
        </w:rPr>
        <w:footnoteReference w:id="4658"/>
      </w:r>
      <w:r>
        <w:t xml:space="preserve"> jars and torches in the midst of the jars.</w:t>
      </w:r>
    </w:p>
    <w:p>
      <w:r>
        <w:rPr>
          <w:b/>
        </w:rPr>
        <w:t xml:space="preserve">17 </w:t>
      </w:r>
      <w:r>
        <w:t xml:space="preserve">And he said to them, You shall watch from me, and thus you shall do. Behold, I am entering into the midst of the camp, and it shall be, as I do, so you shall do.</w:t>
      </w:r>
    </w:p>
    <w:p>
      <w:r>
        <w:rPr>
          <w:b/>
        </w:rPr>
        <w:t xml:space="preserve">18 </w:t>
      </w:r>
      <w:r>
        <w:t xml:space="preserve">And I will sound the horn, I and all those with me, and you also shall sound the horns all around the camp and say, For the Lord and for Gideon.</w:t>
      </w:r>
    </w:p>
    <w:p>
      <w:r>
        <w:rPr>
          <w:b/>
        </w:rPr>
        <w:t xml:space="preserve">19 </w:t>
      </w:r>
      <w:r>
        <w:t xml:space="preserve">And Gideon went in, and the hundred men with him, into the edge of the camp at the beginning of the middle watch, just as they had roused the watchmen, and they sounded the horns and smashed the jars in their hands.</w:t>
      </w:r>
      <w:r>
        <w:rPr>
          <w:rStyle w:val="FootnoteReference"/>
        </w:rPr>
        <w:footnoteReference w:id="4659"/>
      </w:r>
    </w:p>
    <w:p>
      <w:r>
        <w:rPr>
          <w:b/>
        </w:rPr>
        <w:t xml:space="preserve">20 </w:t>
      </w:r>
      <w:r>
        <w:t xml:space="preserve">And the three companies sounded with the horns and shattered the jars</w:t>
      </w:r>
      <w:r>
        <w:rPr>
          <w:rStyle w:val="FootnoteReference"/>
        </w:rPr>
        <w:footnoteReference w:id="4660"/>
      </w:r>
      <w:r>
        <w:t xml:space="preserve">, and they held in their left hand the torches and in their right hand the horns for sounding, and they cried, Sword for the Lord and for Gideon.</w:t>
      </w:r>
    </w:p>
    <w:p>
      <w:r>
        <w:rPr>
          <w:b/>
        </w:rPr>
        <w:t xml:space="preserve">21 </w:t>
      </w:r>
      <w:r>
        <w:t xml:space="preserve">And each stood</w:t>
      </w:r>
      <w:r>
        <w:rPr>
          <w:rStyle w:val="FootnoteReference"/>
        </w:rPr>
        <w:footnoteReference w:id="4661"/>
      </w:r>
      <w:r>
        <w:t xml:space="preserve"> in his place all around the camp, and all the camp ran and gave a signal and fled.</w:t>
      </w:r>
    </w:p>
    <w:p>
      <w:r>
        <w:rPr>
          <w:b/>
        </w:rPr>
        <w:t xml:space="preserve">22 </w:t>
      </w:r>
      <w:r>
        <w:t xml:space="preserve">And the three hundred horns sounded, and the Lord</w:t>
      </w:r>
      <w:r>
        <w:rPr>
          <w:rStyle w:val="FootnoteReference"/>
        </w:rPr>
        <w:footnoteReference w:id="4662"/>
      </w:r>
      <w:r>
        <w:t xml:space="preserve"> set each man's sword against his neighbor and throughout all the camp</w:t>
      </w:r>
      <w:r>
        <w:rPr>
          <w:rStyle w:val="FootnoteReference"/>
        </w:rPr>
        <w:footnoteReference w:id="4663"/>
      </w:r>
      <w:r>
        <w:t xml:space="preserve">, and the camp fled as far as Bethaseitta, gathered as far as the border of Abelmeholah</w:t>
      </w:r>
      <w:r>
        <w:rPr>
          <w:rStyle w:val="FootnoteReference"/>
        </w:rPr>
        <w:footnoteReference w:id="4664"/>
      </w:r>
      <w:r>
        <w:t xml:space="preserve"> and toward Tabbath</w:t>
      </w:r>
      <w:r>
        <w:rPr>
          <w:rStyle w:val="FootnoteReference"/>
        </w:rPr>
        <w:footnoteReference w:id="4665"/>
      </w:r>
      <w:r>
        <w:t xml:space="preserve">.</w:t>
      </w:r>
    </w:p>
    <w:p>
      <w:r>
        <w:rPr>
          <w:b/>
        </w:rPr>
        <w:t xml:space="preserve">23 </w:t>
      </w:r>
      <w:r>
        <w:t xml:space="preserve">And a man of Israel from Naphtali and from Asher and from all Manasseh cried out, and they pursued after Midian.</w:t>
      </w:r>
    </w:p>
    <w:p>
      <w:r>
        <w:rPr>
          <w:b/>
        </w:rPr>
        <w:t xml:space="preserve">24 </w:t>
      </w:r>
      <w:r>
        <w:t xml:space="preserve">And Gideon sent</w:t>
      </w:r>
      <w:r>
        <w:rPr>
          <w:rStyle w:val="FootnoteReference"/>
        </w:rPr>
        <w:footnoteReference w:id="4666"/>
      </w:r>
      <w:r>
        <w:t xml:space="preserve"> messengers through all the hill-country of Ephraim, saying, Come down to meet Midian, and seize the waters for yourselves as far as Bethbarah</w:t>
      </w:r>
      <w:r>
        <w:rPr>
          <w:rStyle w:val="FootnoteReference"/>
        </w:rPr>
        <w:footnoteReference w:id="4667"/>
      </w:r>
      <w:r>
        <w:t xml:space="preserve"> and the Jordan. And every man of Ephraim cried out and seized the waters as far as Bethbarah and the Jordan.</w:t>
      </w:r>
      <w:r>
        <w:rPr>
          <w:rStyle w:val="FootnoteReference"/>
        </w:rPr>
        <w:footnoteReference w:id="4668"/>
      </w:r>
    </w:p>
    <w:p>
      <w:r>
        <w:rPr>
          <w:b/>
        </w:rPr>
        <w:t xml:space="preserve">25 </w:t>
      </w:r>
      <w:r>
        <w:t xml:space="preserve">And they captured the two leaders of Midian, Oreb</w:t>
      </w:r>
      <w:r>
        <w:rPr>
          <w:rStyle w:val="FootnoteReference"/>
        </w:rPr>
        <w:footnoteReference w:id="4669"/>
      </w:r>
      <w:r>
        <w:t xml:space="preserve"> and Zeeb</w:t>
      </w:r>
      <w:r>
        <w:rPr>
          <w:rStyle w:val="FootnoteReference"/>
        </w:rPr>
        <w:footnoteReference w:id="4670"/>
      </w:r>
      <w:r>
        <w:t xml:space="preserve">, and they killed Oreb at the rock</w:t>
      </w:r>
      <w:r>
        <w:rPr>
          <w:rStyle w:val="FootnoteReference"/>
        </w:rPr>
        <w:footnoteReference w:id="4671"/>
      </w:r>
      <w:r>
        <w:t xml:space="preserve"> of Oreb, and they killed Zeeb at the winepress of Zeeb, and they pursued Midian, and the head of Oreb and Zeeb they brought to Gideon from beyond the Jordan.</w:t>
      </w:r>
      <w:r>
        <w:rPr>
          <w:rStyle w:val="FootnoteReference"/>
        </w:rPr>
        <w:footnoteReference w:id="4672"/>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a man of Ephraim said to him, What is this thing you did to us, not calling us when you went out to fight against Midian? And they contended with him strongly.</w:t>
      </w:r>
    </w:p>
    <w:p>
      <w:r>
        <w:rPr>
          <w:b/>
        </w:rPr>
        <w:t xml:space="preserve">2 </w:t>
      </w:r>
      <w:r>
        <w:t xml:space="preserve">And he said to them, What have I done now like you? Is not the gleaning of Ephraim better than the vintage of Abiezer</w:t>
      </w:r>
      <w:r>
        <w:rPr>
          <w:rStyle w:val="FootnoteReference"/>
        </w:rPr>
        <w:footnoteReference w:id="4673"/>
      </w:r>
      <w:r>
        <w:t xml:space="preserve">?</w:t>
      </w:r>
    </w:p>
    <w:p>
      <w:r>
        <w:rPr>
          <w:b/>
        </w:rPr>
        <w:t xml:space="preserve">3 </w:t>
      </w:r>
      <w:r>
        <w:t xml:space="preserve">Into your hand the Lord gave the leaders of Midian, Oreb and Zeeb. And what was I able to do like you? Then their spirit toward him relaxed when he spoke this word.</w:t>
      </w:r>
    </w:p>
    <w:p>
      <w:r>
        <w:rPr>
          <w:b/>
        </w:rPr>
        <w:t xml:space="preserve">4 </w:t>
      </w:r>
      <w:r>
        <w:t xml:space="preserve">And Gideon came to the Jordan and crossed over, he and the three hundred men with him, faint</w:t>
      </w:r>
      <w:r>
        <w:rPr>
          <w:rStyle w:val="FootnoteReference"/>
        </w:rPr>
        <w:footnoteReference w:id="4674"/>
      </w:r>
      <w:r>
        <w:t xml:space="preserve"> in soul and hungry.</w:t>
      </w:r>
    </w:p>
    <w:p>
      <w:r>
        <w:rPr>
          <w:b/>
        </w:rPr>
        <w:t xml:space="preserve">5 </w:t>
      </w:r>
      <w:r>
        <w:t xml:space="preserve">And he said to the men of Succoth</w:t>
      </w:r>
      <w:r>
        <w:rPr>
          <w:rStyle w:val="FootnoteReference"/>
        </w:rPr>
        <w:footnoteReference w:id="4675"/>
      </w:r>
      <w:r>
        <w:t xml:space="preserve">, Give now loaves to the people with me, because they are hungry, and I am pursuing after Zebah</w:t>
      </w:r>
      <w:r>
        <w:rPr>
          <w:rStyle w:val="FootnoteReference"/>
        </w:rPr>
        <w:footnoteReference w:id="4676"/>
      </w:r>
      <w:r>
        <w:t xml:space="preserve"> and Zalmunna</w:t>
      </w:r>
      <w:r>
        <w:rPr>
          <w:rStyle w:val="FootnoteReference"/>
        </w:rPr>
        <w:footnoteReference w:id="4677"/>
      </w:r>
      <w:r>
        <w:t xml:space="preserve">, kings of Midian.</w:t>
      </w:r>
    </w:p>
    <w:p>
      <w:r>
        <w:rPr>
          <w:b/>
        </w:rPr>
        <w:t xml:space="preserve">6 </w:t>
      </w:r>
      <w:r>
        <w:t xml:space="preserve">And the leaders of Succoth said, Is the hand of Zebah and Zalmunna now in your hand, that we should give bread to your army?</w:t>
      </w:r>
    </w:p>
    <w:p>
      <w:r>
        <w:rPr>
          <w:b/>
        </w:rPr>
        <w:t xml:space="preserve">7 </w:t>
      </w:r>
      <w:r>
        <w:t xml:space="preserve">And Gideon said, Not so. When the Lord gives Zebah and Zalmunna into my hand, I will thresh your flesh with the thorns of the wilderness and with the barkonnim.</w:t>
      </w:r>
    </w:p>
    <w:p>
      <w:r>
        <w:rPr>
          <w:b/>
        </w:rPr>
        <w:t xml:space="preserve">8 </w:t>
      </w:r>
      <w:r>
        <w:t xml:space="preserve">And he went up from there to Penuel</w:t>
      </w:r>
      <w:r>
        <w:rPr>
          <w:rStyle w:val="FootnoteReference"/>
        </w:rPr>
        <w:footnoteReference w:id="4678"/>
      </w:r>
      <w:r>
        <w:t xml:space="preserve"> and spoke to them in the same way, and the men of Penuel answered him just as the men of Succoth answered him.</w:t>
      </w:r>
    </w:p>
    <w:p>
      <w:r>
        <w:rPr>
          <w:b/>
        </w:rPr>
        <w:t xml:space="preserve">9 </w:t>
      </w:r>
      <w:r>
        <w:t xml:space="preserve">And he said to the men of Penuel, saying, When I return in peace, I will dig down this tower.</w:t>
      </w:r>
    </w:p>
    <w:p>
      <w:r>
        <w:rPr>
          <w:b/>
        </w:rPr>
        <w:t xml:space="preserve">10 </w:t>
      </w:r>
      <w:r>
        <w:t xml:space="preserve">And Zebah and Zalmunna were in Karkor</w:t>
      </w:r>
      <w:r>
        <w:rPr>
          <w:rStyle w:val="FootnoteReference"/>
        </w:rPr>
        <w:footnoteReference w:id="4679"/>
      </w:r>
      <w:r>
        <w:t xml:space="preserve">, and their camp with them was about fifteen thousand, those left</w:t>
      </w:r>
      <w:r>
        <w:rPr>
          <w:rStyle w:val="FootnoteReference"/>
        </w:rPr>
        <w:footnoteReference w:id="4680"/>
      </w:r>
      <w:r>
        <w:t xml:space="preserve"> in all the camp of the sons of the east, and those fallen were one hundred twenty thousand men drawing sword.</w:t>
      </w:r>
      <w:r>
        <w:rPr>
          <w:rStyle w:val="FootnoteReference"/>
        </w:rPr>
        <w:footnoteReference w:id="4681"/>
      </w:r>
    </w:p>
    <w:p>
      <w:r>
        <w:rPr>
          <w:b/>
        </w:rPr>
        <w:t xml:space="preserve">11 </w:t>
      </w:r>
      <w:r>
        <w:t xml:space="preserve">And Gideon went up by the way of those dwelling in tents east of Nobah</w:t>
      </w:r>
      <w:r>
        <w:rPr>
          <w:rStyle w:val="FootnoteReference"/>
        </w:rPr>
        <w:footnoteReference w:id="4682"/>
      </w:r>
      <w:r>
        <w:t xml:space="preserve">, opposite Zebah, and struck the camp, and the camp was confident.</w:t>
      </w:r>
      <w:r>
        <w:rPr>
          <w:rStyle w:val="FootnoteReference"/>
        </w:rPr>
        <w:footnoteReference w:id="4683"/>
      </w:r>
    </w:p>
    <w:p>
      <w:r>
        <w:rPr>
          <w:b/>
        </w:rPr>
        <w:t xml:space="preserve">12 </w:t>
      </w:r>
      <w:r>
        <w:t xml:space="preserve">And Zebah and Zalmunna fled, and he pursued after them and seized the two kings of Midian, Zebah and Zalmunna, and crushed all their camp.</w:t>
      </w:r>
    </w:p>
    <w:p>
      <w:r>
        <w:rPr>
          <w:b/>
        </w:rPr>
        <w:t xml:space="preserve">13 </w:t>
      </w:r>
      <w:r>
        <w:t xml:space="preserve">And Gideon son of Joash returned from the war by the ascent of Ares.</w:t>
      </w:r>
    </w:p>
    <w:p>
      <w:r>
        <w:rPr>
          <w:b/>
        </w:rPr>
        <w:t xml:space="preserve">14 </w:t>
      </w:r>
      <w:r>
        <w:t xml:space="preserve">And he captured a young servant from the men of Succoth and questioned him, and he wrote down for him the leaders of Succoth and its elders, seventy-seven men.</w:t>
      </w:r>
    </w:p>
    <w:p>
      <w:r>
        <w:rPr>
          <w:b/>
        </w:rPr>
        <w:t xml:space="preserve">15 </w:t>
      </w:r>
      <w:r>
        <w:t xml:space="preserve">And Gideon came to the leaders of Succoth and said to them, Behold, Zebah and Zalmunna, about whom you reproached me, saying, Is the hand of Zebah and Zalmunna now in your hand, that we should give loaves to your exhausted men</w:t>
      </w:r>
      <w:r>
        <w:rPr>
          <w:rStyle w:val="FootnoteReference"/>
        </w:rPr>
        <w:footnoteReference w:id="4684"/>
      </w:r>
      <w:r>
        <w:t xml:space="preserve">?</w:t>
      </w:r>
    </w:p>
    <w:p>
      <w:r>
        <w:rPr>
          <w:b/>
        </w:rPr>
        <w:t xml:space="preserve">16 </w:t>
      </w:r>
      <w:r>
        <w:t xml:space="preserve">And he took the leaders and the elders</w:t>
      </w:r>
      <w:r>
        <w:rPr>
          <w:rStyle w:val="FootnoteReference"/>
        </w:rPr>
        <w:footnoteReference w:id="4685"/>
      </w:r>
      <w:r>
        <w:t xml:space="preserve"> of the city and threshed them with the thorns of the wilderness and the bramble bushes, and with them he threshed the men of Succoth.</w:t>
      </w:r>
    </w:p>
    <w:p>
      <w:r>
        <w:rPr>
          <w:b/>
        </w:rPr>
        <w:t xml:space="preserve">17 </w:t>
      </w:r>
      <w:r>
        <w:t xml:space="preserve">And he dug down the tower of Penuel and killed the men of the city.</w:t>
      </w:r>
    </w:p>
    <w:p>
      <w:r>
        <w:rPr>
          <w:b/>
        </w:rPr>
        <w:t xml:space="preserve">18 </w:t>
      </w:r>
      <w:r>
        <w:t xml:space="preserve">And he said to Zebah and Zalmunna, Where are the men whom you killed at Tabor</w:t>
      </w:r>
      <w:r>
        <w:rPr>
          <w:rStyle w:val="FootnoteReference"/>
        </w:rPr>
        <w:footnoteReference w:id="4686"/>
      </w:r>
      <w:r>
        <w:t xml:space="preserve">? And they said, As you are, so were they, like the appearance, the form, of sons of kings.</w:t>
      </w:r>
    </w:p>
    <w:p>
      <w:r>
        <w:rPr>
          <w:b/>
        </w:rPr>
        <w:t xml:space="preserve">19 </w:t>
      </w:r>
      <w:r>
        <w:t xml:space="preserve">And Gideon said, They are my brothers and sons of my mother. As the Lord lives, if you had kept them alive, I would not kill you.</w:t>
      </w:r>
    </w:p>
    <w:p>
      <w:r>
        <w:rPr>
          <w:b/>
        </w:rPr>
        <w:t xml:space="preserve">20 </w:t>
      </w:r>
      <w:r>
        <w:t xml:space="preserve">And he said to Jether his firstborn, Rise, kill them. But the young man did not draw his sword, because he was afraid, because he was younger.</w:t>
      </w:r>
    </w:p>
    <w:p>
      <w:r>
        <w:rPr>
          <w:b/>
        </w:rPr>
        <w:t xml:space="preserve">21 </w:t>
      </w:r>
      <w:r>
        <w:t xml:space="preserve">And Zebah and Zalmunna said, Rise yourself and fall upon us, because as the man is, so is his strength</w:t>
      </w:r>
      <w:r>
        <w:rPr>
          <w:rStyle w:val="FootnoteReference"/>
        </w:rPr>
        <w:footnoteReference w:id="4687"/>
      </w:r>
      <w:r>
        <w:t xml:space="preserve">. And Gideon rose and killed Zebah and Zalmunna and took the crescents that were on the necks of their camels.</w:t>
      </w:r>
    </w:p>
    <w:p>
      <w:r>
        <w:rPr>
          <w:b/>
        </w:rPr>
        <w:t xml:space="preserve">22 </w:t>
      </w:r>
      <w:r>
        <w:t xml:space="preserve">And a man of Israel said to Gideon, Rule over us, you and your sons, because you saved us from the hand of Midian.</w:t>
      </w:r>
    </w:p>
    <w:p>
      <w:r>
        <w:rPr>
          <w:b/>
        </w:rPr>
        <w:t xml:space="preserve">23 </w:t>
      </w:r>
      <w:r>
        <w:t xml:space="preserve">And Gideon said to them, I will not rule over you, and my son will not rule over you; the Lord</w:t>
      </w:r>
      <w:r>
        <w:rPr>
          <w:rStyle w:val="FootnoteReference"/>
        </w:rPr>
        <w:footnoteReference w:id="4688"/>
      </w:r>
      <w:r>
        <w:t xml:space="preserve"> will rule over you.</w:t>
      </w:r>
    </w:p>
    <w:p>
      <w:r>
        <w:rPr>
          <w:b/>
        </w:rPr>
        <w:t xml:space="preserve">24 </w:t>
      </w:r>
      <w:r>
        <w:t xml:space="preserve">And Gideon said to them, I will ask from you a request, and give me</w:t>
      </w:r>
      <w:r>
        <w:rPr>
          <w:rStyle w:val="FootnoteReference"/>
        </w:rPr>
        <w:footnoteReference w:id="4689"/>
      </w:r>
      <w:r>
        <w:t xml:space="preserve">, each man, an earring from his spoil, because they had many gold earrings, for they were Ishmaelites.</w:t>
      </w:r>
    </w:p>
    <w:p>
      <w:r>
        <w:rPr>
          <w:b/>
        </w:rPr>
        <w:t xml:space="preserve">25 </w:t>
      </w:r>
      <w:r>
        <w:t xml:space="preserve">And they said, Giving, we will give. And he spread out his garment, and there each man threw a gold earring from his spoil.</w:t>
      </w:r>
    </w:p>
    <w:p>
      <w:r>
        <w:rPr>
          <w:b/>
        </w:rPr>
        <w:t xml:space="preserve">26 </w:t>
      </w:r>
      <w:r>
        <w:t xml:space="preserve">And the weight of the gold earrings that he requested came to one thousand seven hundred shekels of gold, apart from the little moons and the necklaces and the purple</w:t>
      </w:r>
      <w:r>
        <w:rPr>
          <w:rStyle w:val="FootnoteReference"/>
        </w:rPr>
        <w:footnoteReference w:id="4690"/>
      </w:r>
      <w:r>
        <w:t xml:space="preserve"> garments that were upon the kings of Midian, and apart from the gold collars that were on the necks of their camels.</w:t>
      </w:r>
    </w:p>
    <w:p>
      <w:r>
        <w:rPr>
          <w:b/>
        </w:rPr>
        <w:t xml:space="preserve">27 </w:t>
      </w:r>
      <w:r>
        <w:t xml:space="preserve">And Gideon made it into an ephod</w:t>
      </w:r>
      <w:r>
        <w:rPr>
          <w:rStyle w:val="FootnoteReference"/>
        </w:rPr>
        <w:footnoteReference w:id="4691"/>
      </w:r>
      <w:r>
        <w:t xml:space="preserve"> and set it in his city in Ephrathah, and all Israel prostituted themselves after it there, and it became for Gideon and for his house as a snare.</w:t>
      </w:r>
    </w:p>
    <w:p>
      <w:r>
        <w:rPr>
          <w:b/>
        </w:rPr>
        <w:t xml:space="preserve">28 </w:t>
      </w:r>
      <w:r>
        <w:t xml:space="preserve">And Midian was put to shame before the sons of Israel, and they no longer lifted up their head, and the land was at rest forty years</w:t>
      </w:r>
      <w:r>
        <w:rPr>
          <w:rStyle w:val="FootnoteReference"/>
        </w:rPr>
        <w:footnoteReference w:id="4692"/>
      </w:r>
      <w:r>
        <w:t xml:space="preserve"> in the days of Gideon.</w:t>
      </w:r>
    </w:p>
    <w:p>
      <w:r>
        <w:rPr>
          <w:b/>
        </w:rPr>
        <w:t xml:space="preserve">29 </w:t>
      </w:r>
      <w:r>
        <w:t xml:space="preserve">And Jerubbaal</w:t>
      </w:r>
      <w:r>
        <w:rPr>
          <w:rStyle w:val="FootnoteReference"/>
        </w:rPr>
        <w:footnoteReference w:id="4693"/>
      </w:r>
      <w:r>
        <w:t xml:space="preserve"> son of Joash went and dwelt in his house.</w:t>
      </w:r>
    </w:p>
    <w:p>
      <w:r>
        <w:rPr>
          <w:b/>
        </w:rPr>
        <w:t xml:space="preserve">30 </w:t>
      </w:r>
      <w:r>
        <w:t xml:space="preserve">And Gideon had seventy sons coming out from his loins, because he had many wives</w:t>
      </w:r>
      <w:r>
        <w:rPr>
          <w:rStyle w:val="FootnoteReference"/>
        </w:rPr>
        <w:footnoteReference w:id="4694"/>
      </w:r>
      <w:r>
        <w:t xml:space="preserve">.</w:t>
      </w:r>
    </w:p>
    <w:p>
      <w:r>
        <w:rPr>
          <w:b/>
        </w:rPr>
        <w:t xml:space="preserve">31 </w:t>
      </w:r>
      <w:r>
        <w:t xml:space="preserve">And his concubine</w:t>
      </w:r>
      <w:r>
        <w:rPr>
          <w:rStyle w:val="FootnoteReference"/>
        </w:rPr>
        <w:footnoteReference w:id="4695"/>
      </w:r>
      <w:r>
        <w:t xml:space="preserve"> who was in Shechem also bore him a son, and he set his name Abimelech.</w:t>
      </w:r>
    </w:p>
    <w:p>
      <w:r>
        <w:rPr>
          <w:b/>
        </w:rPr>
        <w:t xml:space="preserve">32 </w:t>
      </w:r>
      <w:r>
        <w:t xml:space="preserve">And Gideon son of Joash died in a good old age</w:t>
      </w:r>
      <w:r>
        <w:rPr>
          <w:rStyle w:val="FootnoteReference"/>
        </w:rPr>
        <w:footnoteReference w:id="4696"/>
      </w:r>
      <w:r>
        <w:t xml:space="preserve"> and was buried in the tomb of Joash his father in Ephrathah of the Abiezrites</w:t>
      </w:r>
      <w:r>
        <w:rPr>
          <w:rStyle w:val="FootnoteReference"/>
        </w:rPr>
        <w:footnoteReference w:id="4697"/>
      </w:r>
      <w:r>
        <w:t xml:space="preserve">.</w:t>
      </w:r>
      <w:r>
        <w:rPr>
          <w:rStyle w:val="FootnoteReference"/>
        </w:rPr>
        <w:footnoteReference w:id="4698"/>
      </w:r>
    </w:p>
    <w:p>
      <w:r>
        <w:rPr>
          <w:b/>
        </w:rPr>
        <w:t xml:space="preserve">33 </w:t>
      </w:r>
      <w:r>
        <w:t xml:space="preserve">And it came to be, when Gideon died, the sons of Israel turned back and prostituted themselves after the Baals and made Baalberith</w:t>
      </w:r>
      <w:r>
        <w:rPr>
          <w:rStyle w:val="FootnoteReference"/>
        </w:rPr>
        <w:footnoteReference w:id="4699"/>
      </w:r>
      <w:r>
        <w:t xml:space="preserve"> their covenant, for him to be a god to them.</w:t>
      </w:r>
      <w:r>
        <w:rPr>
          <w:rStyle w:val="FootnoteReference"/>
        </w:rPr>
        <w:footnoteReference w:id="4700"/>
      </w:r>
    </w:p>
    <w:p>
      <w:r>
        <w:rPr>
          <w:b/>
        </w:rPr>
        <w:t xml:space="preserve">34 </w:t>
      </w:r>
      <w:r>
        <w:t xml:space="preserve">And the sons of Israel did not remember the Lord their God, the one who delivered them from the hand of all their enemies all around.</w:t>
      </w:r>
    </w:p>
    <w:p>
      <w:r>
        <w:rPr>
          <w:b/>
        </w:rPr>
        <w:t xml:space="preserve">35 </w:t>
      </w:r>
      <w:r>
        <w:t xml:space="preserve">And they did not show mercy with the house of Jerubbaal Gideon according to all the goodness that he did with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Abimelech</w:t>
      </w:r>
      <w:r>
        <w:rPr>
          <w:rStyle w:val="FootnoteReference"/>
        </w:rPr>
        <w:footnoteReference w:id="4701"/>
      </w:r>
      <w:r>
        <w:t xml:space="preserve"> son of Jerubbaal went to Shechem to the brothers of his mother and spoke to them and to all the kin of his mother's house, saying,</w:t>
      </w:r>
    </w:p>
    <w:p>
      <w:r>
        <w:rPr>
          <w:b/>
        </w:rPr>
        <w:t xml:space="preserve">2 </w:t>
      </w:r>
      <w:r>
        <w:t xml:space="preserve">Speak now in the ears of the men of Shechem, Which is better, that seventy men, all the sons of Jerubbaal, rule over you, or that one man rule over you? And remember that I am your flesh and your bone</w:t>
      </w:r>
      <w:r>
        <w:rPr>
          <w:rStyle w:val="FootnoteReference"/>
        </w:rPr>
        <w:footnoteReference w:id="4702"/>
      </w:r>
      <w:r>
        <w:t xml:space="preserve">.</w:t>
      </w:r>
      <w:r>
        <w:rPr>
          <w:rStyle w:val="FootnoteReference"/>
        </w:rPr>
        <w:footnoteReference w:id="4703"/>
      </w:r>
    </w:p>
    <w:p>
      <w:r>
        <w:rPr>
          <w:b/>
        </w:rPr>
        <w:t xml:space="preserve">3 </w:t>
      </w:r>
      <w:r>
        <w:t xml:space="preserve">And his mother's brothers spoke concerning him in the ears of all the men of Shechem all these words, and their heart inclined after Abimelech, because they said, He is our brother</w:t>
      </w:r>
      <w:r>
        <w:rPr>
          <w:rStyle w:val="FootnoteReference"/>
        </w:rPr>
        <w:footnoteReference w:id="4704"/>
      </w:r>
      <w:r>
        <w:t xml:space="preserve">.</w:t>
      </w:r>
    </w:p>
    <w:p>
      <w:r>
        <w:rPr>
          <w:b/>
        </w:rPr>
        <w:t xml:space="preserve">4 </w:t>
      </w:r>
      <w:r>
        <w:t xml:space="preserve">And they gave him seventy silver pieces from the house</w:t>
      </w:r>
      <w:r>
        <w:rPr>
          <w:rStyle w:val="FootnoteReference"/>
        </w:rPr>
        <w:footnoteReference w:id="4705"/>
      </w:r>
      <w:r>
        <w:t xml:space="preserve"> of Baalberith, and with them Abimelech hired empty and stunned men, and they went after him.</w:t>
      </w:r>
    </w:p>
    <w:p>
      <w:r>
        <w:rPr>
          <w:b/>
        </w:rPr>
        <w:t xml:space="preserve">5 </w:t>
      </w:r>
      <w:r>
        <w:t xml:space="preserve">And he entered into his father's house at Ephrathah and killed his brothers, the sons of Jerubbaal, seventy men, on one stone. And Jotham</w:t>
      </w:r>
      <w:r>
        <w:rPr>
          <w:rStyle w:val="FootnoteReference"/>
        </w:rPr>
        <w:footnoteReference w:id="4706"/>
      </w:r>
      <w:r>
        <w:t xml:space="preserve">, the youngest son of Jerubbaal, was left, because he hid himself.</w:t>
      </w:r>
      <w:r>
        <w:rPr>
          <w:rStyle w:val="FootnoteReference"/>
        </w:rPr>
        <w:footnoteReference w:id="4707"/>
      </w:r>
    </w:p>
    <w:p>
      <w:r>
        <w:rPr>
          <w:b/>
        </w:rPr>
        <w:t xml:space="preserve">6 </w:t>
      </w:r>
      <w:r>
        <w:t xml:space="preserve">And all the men of Shechem and all the house</w:t>
      </w:r>
      <w:r>
        <w:rPr>
          <w:rStyle w:val="FootnoteReference"/>
        </w:rPr>
        <w:footnoteReference w:id="4708"/>
      </w:r>
      <w:r>
        <w:t xml:space="preserve"> of Millo</w:t>
      </w:r>
      <w:r>
        <w:rPr>
          <w:rStyle w:val="FootnoteReference"/>
        </w:rPr>
        <w:footnoteReference w:id="4709"/>
      </w:r>
      <w:r>
        <w:t xml:space="preserve"> were gathered together, and they went and made Abimelech king by the oak of the standing place in Shechem.</w:t>
      </w:r>
    </w:p>
    <w:p>
      <w:r>
        <w:rPr>
          <w:b/>
        </w:rPr>
        <w:t xml:space="preserve">7 </w:t>
      </w:r>
      <w:r>
        <w:t xml:space="preserve">And they reported it to Jotham, and he went and stood on the top of Mount Gerizim</w:t>
      </w:r>
      <w:r>
        <w:rPr>
          <w:rStyle w:val="FootnoteReference"/>
        </w:rPr>
        <w:footnoteReference w:id="4710"/>
      </w:r>
      <w:r>
        <w:t xml:space="preserve"> and lifted up his voice and cried out and said to them, Hear me, men of Shechem, and may God hear you</w:t>
      </w:r>
      <w:r>
        <w:rPr>
          <w:rStyle w:val="FootnoteReference"/>
        </w:rPr>
        <w:footnoteReference w:id="4711"/>
      </w:r>
      <w:r>
        <w:t xml:space="preserve">.</w:t>
      </w:r>
    </w:p>
    <w:p>
      <w:r>
        <w:rPr>
          <w:b/>
        </w:rPr>
        <w:t xml:space="preserve">8 </w:t>
      </w:r>
      <w:r>
        <w:t xml:space="preserve">Going, the trees</w:t>
      </w:r>
      <w:r>
        <w:rPr>
          <w:rStyle w:val="FootnoteReference"/>
        </w:rPr>
        <w:footnoteReference w:id="4712"/>
      </w:r>
      <w:r>
        <w:t xml:space="preserve"> went to anoint for themselves a king, and they said to the olive tree, Reign over us.</w:t>
      </w:r>
    </w:p>
    <w:p>
      <w:r>
        <w:rPr>
          <w:b/>
        </w:rPr>
        <w:t xml:space="preserve">9 </w:t>
      </w:r>
      <w:r>
        <w:t xml:space="preserve">And the olive tree said to them, Shall I leave my fatness, by which God and men are glorified in me, and go to rule the trees?</w:t>
      </w:r>
    </w:p>
    <w:p>
      <w:r>
        <w:rPr>
          <w:b/>
        </w:rPr>
        <w:t xml:space="preserve">10 </w:t>
      </w:r>
      <w:r>
        <w:t xml:space="preserve">And the trees said to the fig tree, Come, reign over us.</w:t>
      </w:r>
    </w:p>
    <w:p>
      <w:r>
        <w:rPr>
          <w:b/>
        </w:rPr>
        <w:t xml:space="preserve">11 </w:t>
      </w:r>
      <w:r>
        <w:t xml:space="preserve">And the fig tree said to them, Shall I leave my sweetness and my good produce and go to rule over trees?</w:t>
      </w:r>
    </w:p>
    <w:p>
      <w:r>
        <w:rPr>
          <w:b/>
        </w:rPr>
        <w:t xml:space="preserve">12 </w:t>
      </w:r>
      <w:r>
        <w:t xml:space="preserve">And the trees said to the vine, Come, reign over us.</w:t>
      </w:r>
    </w:p>
    <w:p>
      <w:r>
        <w:rPr>
          <w:b/>
        </w:rPr>
        <w:t xml:space="preserve">13 </w:t>
      </w:r>
      <w:r>
        <w:t xml:space="preserve">And the vine said to them, Shall I leave my wine, the gladness from God of men, and go to rule trees?</w:t>
      </w:r>
    </w:p>
    <w:p>
      <w:r>
        <w:rPr>
          <w:b/>
        </w:rPr>
        <w:t xml:space="preserve">14 </w:t>
      </w:r>
      <w:r>
        <w:t xml:space="preserve">And the trees said to the thorn bush, Come, you reign over us.</w:t>
      </w:r>
    </w:p>
    <w:p>
      <w:r>
        <w:rPr>
          <w:b/>
        </w:rPr>
        <w:t xml:space="preserve">15 </w:t>
      </w:r>
      <w:r>
        <w:t xml:space="preserve">And the thorn bush said to the trees, If in truth you anoint me as king over you, come and trust in my shade, but if not, let fire</w:t>
      </w:r>
      <w:r>
        <w:rPr>
          <w:rStyle w:val="FootnoteReference"/>
        </w:rPr>
        <w:footnoteReference w:id="4713"/>
      </w:r>
      <w:r>
        <w:t xml:space="preserve"> come out from the thorn bush and consume the cedars of Lebanon.</w:t>
      </w:r>
      <w:r>
        <w:rPr>
          <w:rStyle w:val="FootnoteReference"/>
        </w:rPr>
        <w:footnoteReference w:id="4714"/>
      </w:r>
    </w:p>
    <w:p>
      <w:r>
        <w:rPr>
          <w:b/>
        </w:rPr>
        <w:t xml:space="preserve">16 </w:t>
      </w:r>
      <w:r>
        <w:t xml:space="preserve">And now, if in truth and in perfection you acted and made Abimelech king, and if you acted well with Jerubbaal and with his house, and if you acted toward him according to the repayment of his hand,</w:t>
      </w:r>
    </w:p>
    <w:p>
      <w:r>
        <w:rPr>
          <w:b/>
        </w:rPr>
        <w:t xml:space="preserve">17 </w:t>
      </w:r>
      <w:r>
        <w:t xml:space="preserve">as my father fought</w:t>
      </w:r>
      <w:r>
        <w:rPr>
          <w:rStyle w:val="FootnoteReference"/>
        </w:rPr>
        <w:footnoteReference w:id="4715"/>
      </w:r>
      <w:r>
        <w:t xml:space="preserve"> for you and cast his life in front and delivered you from the hand of Midian,</w:t>
      </w:r>
    </w:p>
    <w:p>
      <w:r>
        <w:rPr>
          <w:b/>
        </w:rPr>
        <w:t xml:space="preserve">18 </w:t>
      </w:r>
      <w:r>
        <w:t xml:space="preserve">but you rose up against my father's house today and killed his sons, seventy men, on one stone, and made Abimelech</w:t>
      </w:r>
      <w:r>
        <w:rPr>
          <w:rStyle w:val="FootnoteReference"/>
        </w:rPr>
        <w:footnoteReference w:id="4716"/>
      </w:r>
      <w:r>
        <w:t xml:space="preserve">, son of his maidservant</w:t>
      </w:r>
      <w:r>
        <w:rPr>
          <w:rStyle w:val="FootnoteReference"/>
        </w:rPr>
        <w:footnoteReference w:id="4717"/>
      </w:r>
      <w:r>
        <w:t xml:space="preserve">, king over the men of Shechem because he is your brother,</w:t>
      </w:r>
    </w:p>
    <w:p>
      <w:r>
        <w:rPr>
          <w:b/>
        </w:rPr>
        <w:t xml:space="preserve">19 </w:t>
      </w:r>
      <w:r>
        <w:t xml:space="preserve">then if in truth and perfection you acted with Jerubbaal and with his house on this day, may you be blessed, and rejoice</w:t>
      </w:r>
      <w:r>
        <w:rPr>
          <w:rStyle w:val="FootnoteReference"/>
        </w:rPr>
        <w:footnoteReference w:id="4718"/>
      </w:r>
      <w:r>
        <w:t xml:space="preserve"> in Abimelech, and may he also rejoice in you.</w:t>
      </w:r>
    </w:p>
    <w:p>
      <w:r>
        <w:rPr>
          <w:b/>
        </w:rPr>
        <w:t xml:space="preserve">20 </w:t>
      </w:r>
      <w:r>
        <w:t xml:space="preserve">But if not, let fire come out</w:t>
      </w:r>
      <w:r>
        <w:rPr>
          <w:rStyle w:val="FootnoteReference"/>
        </w:rPr>
        <w:footnoteReference w:id="4719"/>
      </w:r>
      <w:r>
        <w:t xml:space="preserve"> from Abimelech and consume the men of Shechem and the house of Millo, and if not, let fire come out from the men of Shechem and from the house of Millo and consume Abimelech.</w:t>
      </w:r>
    </w:p>
    <w:p>
      <w:r>
        <w:rPr>
          <w:b/>
        </w:rPr>
        <w:t xml:space="preserve">21 </w:t>
      </w:r>
      <w:r>
        <w:t xml:space="preserve">And Jotham ran away and went on the road and fled to Rara and dwelt there away from the face of Abimelech his brother.</w:t>
      </w:r>
    </w:p>
    <w:p>
      <w:r>
        <w:rPr>
          <w:b/>
        </w:rPr>
        <w:t xml:space="preserve">22 </w:t>
      </w:r>
      <w:r>
        <w:t xml:space="preserve">And Abimelech ruled over Israel three years.</w:t>
      </w:r>
    </w:p>
    <w:p>
      <w:r>
        <w:rPr>
          <w:b/>
        </w:rPr>
        <w:t xml:space="preserve">23 </w:t>
      </w:r>
      <w:r>
        <w:t xml:space="preserve">And God sent an evil spirit between Abimelech and between the men of Shechem, and the men of Shechem acted treacherously in the house of Abimelech,</w:t>
      </w:r>
    </w:p>
    <w:p>
      <w:r>
        <w:rPr>
          <w:b/>
        </w:rPr>
        <w:t xml:space="preserve">24 </w:t>
      </w:r>
      <w:r>
        <w:t xml:space="preserve">to bring the injustice of the seventy sons of Jerubbaal and to lay their blood upon</w:t>
      </w:r>
      <w:r>
        <w:rPr>
          <w:rStyle w:val="FootnoteReference"/>
        </w:rPr>
        <w:footnoteReference w:id="4720"/>
      </w:r>
      <w:r>
        <w:t xml:space="preserve"> Abimelech their brother who killed them, and upon the men of Shechem who strengthened his hands so as to kill his brothers.</w:t>
      </w:r>
    </w:p>
    <w:p>
      <w:r>
        <w:rPr>
          <w:b/>
        </w:rPr>
        <w:t xml:space="preserve">25 </w:t>
      </w:r>
      <w:r>
        <w:t xml:space="preserve">And the men of Shechem set an ambush for him on the tops of the mountains, and they robbed all who passed by them on the road, and it was reported to Abimelech.</w:t>
      </w:r>
    </w:p>
    <w:p>
      <w:r>
        <w:rPr>
          <w:b/>
        </w:rPr>
        <w:t xml:space="preserve">26 </w:t>
      </w:r>
      <w:r>
        <w:t xml:space="preserve">And Gaal</w:t>
      </w:r>
      <w:r>
        <w:rPr>
          <w:rStyle w:val="FootnoteReference"/>
        </w:rPr>
        <w:footnoteReference w:id="4721"/>
      </w:r>
      <w:r>
        <w:t xml:space="preserve"> son of Ebed</w:t>
      </w:r>
      <w:r>
        <w:rPr>
          <w:rStyle w:val="FootnoteReference"/>
        </w:rPr>
        <w:footnoteReference w:id="4722"/>
      </w:r>
      <w:r>
        <w:t xml:space="preserve"> came, and his brothers, into Shechem, and the men of Shechem trusted in him.</w:t>
      </w:r>
    </w:p>
    <w:p>
      <w:r>
        <w:rPr>
          <w:b/>
        </w:rPr>
        <w:t xml:space="preserve">27 </w:t>
      </w:r>
      <w:r>
        <w:t xml:space="preserve">And they went out into the field and gathered the grapes of their vineyards and trod them and made dances and entered the house</w:t>
      </w:r>
      <w:r>
        <w:rPr>
          <w:rStyle w:val="FootnoteReference"/>
        </w:rPr>
        <w:footnoteReference w:id="4723"/>
      </w:r>
      <w:r>
        <w:t xml:space="preserve"> of their god and ate and drank and cursed Abimelech.</w:t>
      </w:r>
    </w:p>
    <w:p>
      <w:r>
        <w:rPr>
          <w:b/>
        </w:rPr>
        <w:t xml:space="preserve">28 </w:t>
      </w:r>
      <w:r>
        <w:t xml:space="preserve">And Gaal son of Ebed said, What is Abimelech, and who is the son of Shechem, that we should serve him? Is he not the son of Jerubbaal, and Zebul</w:t>
      </w:r>
      <w:r>
        <w:rPr>
          <w:rStyle w:val="FootnoteReference"/>
        </w:rPr>
        <w:footnoteReference w:id="4724"/>
      </w:r>
      <w:r>
        <w:t xml:space="preserve"> his overseer, his servant with the men of Hamor</w:t>
      </w:r>
      <w:r>
        <w:rPr>
          <w:rStyle w:val="FootnoteReference"/>
        </w:rPr>
        <w:footnoteReference w:id="4725"/>
      </w:r>
      <w:r>
        <w:t xml:space="preserve"> father of Shechem? And why should we serve him?</w:t>
      </w:r>
      <w:r>
        <w:rPr>
          <w:rStyle w:val="FootnoteReference"/>
        </w:rPr>
        <w:footnoteReference w:id="4726"/>
      </w:r>
    </w:p>
    <w:p>
      <w:r>
        <w:rPr>
          <w:b/>
        </w:rPr>
        <w:t xml:space="preserve">29 </w:t>
      </w:r>
      <w:r>
        <w:t xml:space="preserve">And if someone would give this people into my hand, then I would remove Abimelech, and I would say to Abimelech, Increase your force and come out.</w:t>
      </w:r>
    </w:p>
    <w:p>
      <w:r>
        <w:rPr>
          <w:b/>
        </w:rPr>
        <w:t xml:space="preserve">30 </w:t>
      </w:r>
      <w:r>
        <w:t xml:space="preserve">And Zebul the ruler of the city heard the words of Gaal son of Ebed and his anger burned.</w:t>
      </w:r>
    </w:p>
    <w:p>
      <w:r>
        <w:rPr>
          <w:b/>
        </w:rPr>
        <w:t xml:space="preserve">31 </w:t>
      </w:r>
      <w:r>
        <w:t xml:space="preserve">And he sent messengers to Abimelech with gifts, saying, Behold, Gaal son of Ebed and his brothers have arrived in Shechem, and behold, they are besieging the city against you.</w:t>
      </w:r>
    </w:p>
    <w:p>
      <w:r>
        <w:rPr>
          <w:b/>
        </w:rPr>
        <w:t xml:space="preserve">32 </w:t>
      </w:r>
      <w:r>
        <w:t xml:space="preserve">And now rise by night</w:t>
      </w:r>
      <w:r>
        <w:rPr>
          <w:rStyle w:val="FootnoteReference"/>
        </w:rPr>
        <w:footnoteReference w:id="4727"/>
      </w:r>
      <w:r>
        <w:t xml:space="preserve">, you and the people with you, and lie in ambush in the field.</w:t>
      </w:r>
    </w:p>
    <w:p>
      <w:r>
        <w:rPr>
          <w:b/>
        </w:rPr>
        <w:t xml:space="preserve">33 </w:t>
      </w:r>
      <w:r>
        <w:t xml:space="preserve">And it shall be in the morning, with the sun rising, you shall rise early and spread out against the city</w:t>
      </w:r>
      <w:r>
        <w:rPr>
          <w:rStyle w:val="FootnoteReference"/>
        </w:rPr>
        <w:footnoteReference w:id="4728"/>
      </w:r>
      <w:r>
        <w:t xml:space="preserve">, and behold, he and the people with him are coming out to you, and you shall do to him just as your hand finds.</w:t>
      </w:r>
    </w:p>
    <w:p>
      <w:r>
        <w:rPr>
          <w:b/>
        </w:rPr>
        <w:t xml:space="preserve">34 </w:t>
      </w:r>
      <w:r>
        <w:t xml:space="preserve">And Abimelech rose, and all the people with him, by night, and they lay in ambush against Shechem in four companies.</w:t>
      </w:r>
    </w:p>
    <w:p>
      <w:r>
        <w:rPr>
          <w:b/>
        </w:rPr>
        <w:t xml:space="preserve">35 </w:t>
      </w:r>
      <w:r>
        <w:t xml:space="preserve">And it came to be in the morning, Gaal son of Ebed went out and stood at the doorway of the city gate, and Abimelech rose, and the people with him, out of the ambushes.</w:t>
      </w:r>
    </w:p>
    <w:p>
      <w:r>
        <w:rPr>
          <w:b/>
        </w:rPr>
        <w:t xml:space="preserve">36 </w:t>
      </w:r>
      <w:r>
        <w:t xml:space="preserve">And Gaal son of Ebed saw the people and said to Zebul, Behold, people are coming down from the tops of the mountains. And Zebul said to him, You are seeing the shadow of the mountains as men.</w:t>
      </w:r>
    </w:p>
    <w:p>
      <w:r>
        <w:rPr>
          <w:b/>
        </w:rPr>
        <w:t xml:space="preserve">37 </w:t>
      </w:r>
      <w:r>
        <w:t xml:space="preserve">And Gaal continued yet to speak and said, Behold, people are coming down by the sea from near the navel of the land, and one company is coming by way of the oak of the lookouts.</w:t>
      </w:r>
    </w:p>
    <w:p>
      <w:r>
        <w:rPr>
          <w:b/>
        </w:rPr>
        <w:t xml:space="preserve">38 </w:t>
      </w:r>
      <w:r>
        <w:t xml:space="preserve">And Zebul said to him, Where is your mouth now, the one saying, Who is Abimelech that we should serve him? Behold, this is the people whom you despised. Go out now and fight against him.</w:t>
      </w:r>
    </w:p>
    <w:p>
      <w:r>
        <w:rPr>
          <w:b/>
        </w:rPr>
        <w:t xml:space="preserve">39 </w:t>
      </w:r>
      <w:r>
        <w:t xml:space="preserve">And Gaal went out before the men of Shechem and fought against Abimelech.</w:t>
      </w:r>
      <w:r>
        <w:rPr>
          <w:rStyle w:val="FootnoteReference"/>
        </w:rPr>
        <w:footnoteReference w:id="4729"/>
      </w:r>
    </w:p>
    <w:p>
      <w:r>
        <w:rPr>
          <w:b/>
        </w:rPr>
        <w:t xml:space="preserve">40 </w:t>
      </w:r>
      <w:r>
        <w:t xml:space="preserve">And Abimelech pursued him, and he fled from before him, and many wounded fell as far as the doors of the city.</w:t>
      </w:r>
    </w:p>
    <w:p>
      <w:r>
        <w:rPr>
          <w:b/>
        </w:rPr>
        <w:t xml:space="preserve">41 </w:t>
      </w:r>
      <w:r>
        <w:t xml:space="preserve">And Abimelech sat in Arumah</w:t>
      </w:r>
      <w:r>
        <w:rPr>
          <w:rStyle w:val="FootnoteReference"/>
        </w:rPr>
        <w:footnoteReference w:id="4730"/>
      </w:r>
      <w:r>
        <w:t xml:space="preserve">, and Zebul</w:t>
      </w:r>
      <w:r>
        <w:rPr>
          <w:rStyle w:val="FootnoteReference"/>
        </w:rPr>
        <w:footnoteReference w:id="4731"/>
      </w:r>
      <w:r>
        <w:t xml:space="preserve"> drove out Gaal and his brothers from dwelling in Shechem.</w:t>
      </w:r>
    </w:p>
    <w:p>
      <w:r>
        <w:rPr>
          <w:b/>
        </w:rPr>
        <w:t xml:space="preserve">42 </w:t>
      </w:r>
      <w:r>
        <w:t xml:space="preserve">And it came to be the next day, the people went out into the plain, and it was reported to Abimelech.</w:t>
      </w:r>
    </w:p>
    <w:p>
      <w:r>
        <w:rPr>
          <w:b/>
        </w:rPr>
        <w:t xml:space="preserve">43 </w:t>
      </w:r>
      <w:r>
        <w:t xml:space="preserve">And he took the people and divided it into three companies</w:t>
      </w:r>
      <w:r>
        <w:rPr>
          <w:rStyle w:val="FootnoteReference"/>
        </w:rPr>
        <w:footnoteReference w:id="4732"/>
      </w:r>
      <w:r>
        <w:t xml:space="preserve"> and lay in ambush in it, and he saw, and behold, the people were coming out of the city, and he rose up against them and struck them.</w:t>
      </w:r>
    </w:p>
    <w:p>
      <w:r>
        <w:rPr>
          <w:b/>
        </w:rPr>
        <w:t xml:space="preserve">44 </w:t>
      </w:r>
      <w:r>
        <w:t xml:space="preserve">And Abimelech and the companies with him spread out and stood by the gate</w:t>
      </w:r>
      <w:r>
        <w:rPr>
          <w:rStyle w:val="FootnoteReference"/>
        </w:rPr>
        <w:footnoteReference w:id="4733"/>
      </w:r>
      <w:r>
        <w:t xml:space="preserve"> of the city, and the two companies rushed upon all who were in the field and struck them.</w:t>
      </w:r>
    </w:p>
    <w:p>
      <w:r>
        <w:rPr>
          <w:b/>
        </w:rPr>
        <w:t xml:space="preserve">45 </w:t>
      </w:r>
      <w:r>
        <w:t xml:space="preserve">And Abimelech fought against the city all that day and took the city, and he killed the people in it and tore down the city and sowed it with salt.</w:t>
      </w:r>
    </w:p>
    <w:p>
      <w:r>
        <w:rPr>
          <w:b/>
        </w:rPr>
        <w:t xml:space="preserve">46 </w:t>
      </w:r>
      <w:r>
        <w:t xml:space="preserve">And all the men of the tower of Shechem heard, and they entered into the stronghold of the house of Baal-covenant.</w:t>
      </w:r>
    </w:p>
    <w:p>
      <w:r>
        <w:rPr>
          <w:b/>
        </w:rPr>
        <w:t xml:space="preserve">47 </w:t>
      </w:r>
      <w:r>
        <w:t xml:space="preserve">And it was reported to Abimelech that all the men of the tower of Shechem had gathered together.</w:t>
      </w:r>
    </w:p>
    <w:p>
      <w:r>
        <w:rPr>
          <w:b/>
        </w:rPr>
        <w:t xml:space="preserve">48 </w:t>
      </w:r>
      <w:r>
        <w:t xml:space="preserve">And Abimelech went up to Mount Zalmon</w:t>
      </w:r>
      <w:r>
        <w:rPr>
          <w:rStyle w:val="FootnoteReference"/>
        </w:rPr>
        <w:footnoteReference w:id="4734"/>
      </w:r>
      <w:r>
        <w:t xml:space="preserve">, he and all the people with him, and Abimelech took an axe in his hand and cut a load of wood and took it and put it on his shoulders and said to the people with him, What you saw me doing, quickly do as I also did.</w:t>
      </w:r>
      <w:r>
        <w:rPr>
          <w:rStyle w:val="FootnoteReference"/>
        </w:rPr>
        <w:footnoteReference w:id="4735"/>
      </w:r>
    </w:p>
    <w:p>
      <w:r>
        <w:rPr>
          <w:b/>
        </w:rPr>
        <w:t xml:space="preserve">49 </w:t>
      </w:r>
      <w:r>
        <w:t xml:space="preserve">And they also each cut a load</w:t>
      </w:r>
      <w:r>
        <w:rPr>
          <w:rStyle w:val="FootnoteReference"/>
        </w:rPr>
        <w:footnoteReference w:id="4736"/>
      </w:r>
      <w:r>
        <w:t xml:space="preserve"> and took it and went after Abimelech and put it against the stronghold and burned the stronghold upon them with fire, and all the men of the tower of Shechem died, about a thousand men and women.</w:t>
      </w:r>
    </w:p>
    <w:p>
      <w:r>
        <w:rPr>
          <w:b/>
        </w:rPr>
        <w:t xml:space="preserve">50 </w:t>
      </w:r>
      <w:r>
        <w:t xml:space="preserve">And Abimelech went to Thebez</w:t>
      </w:r>
      <w:r>
        <w:rPr>
          <w:rStyle w:val="FootnoteReference"/>
        </w:rPr>
        <w:footnoteReference w:id="4737"/>
      </w:r>
      <w:r>
        <w:t xml:space="preserve"> and encamped against it and seized it first.</w:t>
      </w:r>
      <w:r>
        <w:rPr>
          <w:rStyle w:val="FootnoteReference"/>
        </w:rPr>
        <w:footnoteReference w:id="4738"/>
      </w:r>
    </w:p>
    <w:p>
      <w:r>
        <w:rPr>
          <w:b/>
        </w:rPr>
        <w:t xml:space="preserve">51 </w:t>
      </w:r>
      <w:r>
        <w:t xml:space="preserve">And there was a strong tower in the midst of the city, and all the men and women and all the leaders of the city fled there and shut themselves in and went up to the roof of the tower.</w:t>
      </w:r>
    </w:p>
    <w:p>
      <w:r>
        <w:rPr>
          <w:b/>
        </w:rPr>
        <w:t xml:space="preserve">52 </w:t>
      </w:r>
      <w:r>
        <w:t xml:space="preserve">And Abimelech came as far as the tower and made war against it, and Abimelech came near the door of the tower to burn it with fire.</w:t>
      </w:r>
    </w:p>
    <w:p>
      <w:r>
        <w:rPr>
          <w:b/>
        </w:rPr>
        <w:t xml:space="preserve">53 </w:t>
      </w:r>
      <w:r>
        <w:t xml:space="preserve">And one woman</w:t>
      </w:r>
      <w:r>
        <w:rPr>
          <w:rStyle w:val="FootnoteReference"/>
        </w:rPr>
        <w:footnoteReference w:id="4739"/>
      </w:r>
      <w:r>
        <w:t xml:space="preserve"> threw a fragment of millstone upon the head of Abimelech and shattered his skull.</w:t>
      </w:r>
    </w:p>
    <w:p>
      <w:r>
        <w:rPr>
          <w:b/>
        </w:rPr>
        <w:t xml:space="preserve">54 </w:t>
      </w:r>
      <w:r>
        <w:t xml:space="preserve">And he quickly called to the young man carrying his armor and said to him, Draw your sword and kill me, lest they say, A woman killed him. And his young man pierced him through, and Abimelech died.</w:t>
      </w:r>
    </w:p>
    <w:p>
      <w:r>
        <w:rPr>
          <w:b/>
        </w:rPr>
        <w:t xml:space="preserve">55 </w:t>
      </w:r>
      <w:r>
        <w:t xml:space="preserve">And the men of Israel saw that Abimelech had died, and each man went to his place.</w:t>
      </w:r>
    </w:p>
    <w:p>
      <w:r>
        <w:rPr>
          <w:b/>
        </w:rPr>
        <w:t xml:space="preserve">56 </w:t>
      </w:r>
      <w:r>
        <w:t xml:space="preserve">And God returned the evil of Abimelech that he did to his father in killing his seventy brothers.</w:t>
      </w:r>
    </w:p>
    <w:p>
      <w:r>
        <w:rPr>
          <w:b/>
        </w:rPr>
        <w:t xml:space="preserve">57 </w:t>
      </w:r>
      <w:r>
        <w:t xml:space="preserve">And all the evil of the men of Shechem God returned upon their head, and the curse of Jotham son of Jerubbaal came upon them</w:t>
      </w:r>
      <w:r>
        <w:rPr>
          <w:rStyle w:val="FootnoteReference"/>
        </w:rPr>
        <w:footnoteReference w:id="4740"/>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after Abimelech there arose</w:t>
      </w:r>
      <w:r>
        <w:rPr>
          <w:rStyle w:val="FootnoteReference"/>
        </w:rPr>
        <w:footnoteReference w:id="4741"/>
      </w:r>
      <w:r>
        <w:t xml:space="preserve"> to save Israel Tola son of Puah, son of his father's brother, a man of Issachar, and he dwelt in Samaria</w:t>
      </w:r>
      <w:r>
        <w:rPr>
          <w:rStyle w:val="FootnoteReference"/>
        </w:rPr>
        <w:footnoteReference w:id="4742"/>
      </w:r>
      <w:r>
        <w:t xml:space="preserve"> in the hill-country of Ephraim.</w:t>
      </w:r>
    </w:p>
    <w:p>
      <w:r>
        <w:rPr>
          <w:b/>
        </w:rPr>
        <w:t xml:space="preserve">2 </w:t>
      </w:r>
      <w:r>
        <w:t xml:space="preserve">And he judged Israel twenty-three years, and he died and was buried in Samaria.</w:t>
      </w:r>
    </w:p>
    <w:p>
      <w:r>
        <w:rPr>
          <w:b/>
        </w:rPr>
        <w:t xml:space="preserve">3 </w:t>
      </w:r>
      <w:r>
        <w:t xml:space="preserve">And after him arose Jair the Gileadite, and he judged Israel twenty-two years.</w:t>
      </w:r>
    </w:p>
    <w:p>
      <w:r>
        <w:rPr>
          <w:b/>
        </w:rPr>
        <w:t xml:space="preserve">4 </w:t>
      </w:r>
      <w:r>
        <w:t xml:space="preserve">And he had thirty-two sons riding on thirty-two foals, and they had thirty-two cities, and he called</w:t>
      </w:r>
      <w:r>
        <w:rPr>
          <w:rStyle w:val="FootnoteReference"/>
        </w:rPr>
        <w:footnoteReference w:id="4743"/>
      </w:r>
      <w:r>
        <w:t xml:space="preserve"> them Villages of Jair until this day; they are in the land of Gilead.</w:t>
      </w:r>
    </w:p>
    <w:p>
      <w:r>
        <w:rPr>
          <w:b/>
        </w:rPr>
        <w:t xml:space="preserve">5 </w:t>
      </w:r>
      <w:r>
        <w:t xml:space="preserve">And Jair died and was buried in Camon</w:t>
      </w:r>
      <w:r>
        <w:rPr>
          <w:rStyle w:val="FootnoteReference"/>
        </w:rPr>
        <w:footnoteReference w:id="4744"/>
      </w:r>
      <w:r>
        <w:t xml:space="preserve">.</w:t>
      </w:r>
    </w:p>
    <w:p>
      <w:r>
        <w:rPr>
          <w:b/>
        </w:rPr>
        <w:t xml:space="preserve">6 </w:t>
      </w:r>
      <w:r>
        <w:t xml:space="preserve">And the sons of Israel again added to do evil before the Lord, and they served the Baals and the Ashtaroth and the gods of Sidon and the gods of Moab and the gods of the sons of Ammon and the gods of the foreigners, and they forsook the Lord and did not serve him.</w:t>
      </w:r>
      <w:r>
        <w:rPr>
          <w:rStyle w:val="FootnoteReference"/>
        </w:rPr>
        <w:footnoteReference w:id="4745"/>
      </w:r>
    </w:p>
    <w:p>
      <w:r>
        <w:rPr>
          <w:b/>
        </w:rPr>
        <w:t xml:space="preserve">7 </w:t>
      </w:r>
      <w:r>
        <w:t xml:space="preserve">And the anger of the Lord burned against Israel, and he sold</w:t>
      </w:r>
      <w:r>
        <w:rPr>
          <w:rStyle w:val="FootnoteReference"/>
        </w:rPr>
        <w:footnoteReference w:id="4746"/>
      </w:r>
      <w:r>
        <w:t xml:space="preserve"> them into the hand of foreigners and into the hand of the sons of Ammon.</w:t>
      </w:r>
    </w:p>
    <w:p>
      <w:r>
        <w:rPr>
          <w:b/>
        </w:rPr>
        <w:t xml:space="preserve">8 </w:t>
      </w:r>
      <w:r>
        <w:t xml:space="preserve">And they crushed and oppressed the sons of Israel in that year</w:t>
      </w:r>
      <w:r>
        <w:rPr>
          <w:rStyle w:val="FootnoteReference"/>
        </w:rPr>
        <w:footnoteReference w:id="4747"/>
      </w:r>
      <w:r>
        <w:t xml:space="preserve">, eighteen years, all the sons of Israel beyond the Jordan in the land of the Amorite in Gilead.</w:t>
      </w:r>
    </w:p>
    <w:p>
      <w:r>
        <w:rPr>
          <w:b/>
        </w:rPr>
        <w:t xml:space="preserve">9 </w:t>
      </w:r>
      <w:r>
        <w:t xml:space="preserve">And the sons of Ammon crossed the Jordan to make war also in Judah and Benjamin and in the house of Ephraim, and the sons of Israel were greatly oppressed.</w:t>
      </w:r>
    </w:p>
    <w:p>
      <w:r>
        <w:rPr>
          <w:b/>
        </w:rPr>
        <w:t xml:space="preserve">10 </w:t>
      </w:r>
      <w:r>
        <w:t xml:space="preserve">And the sons of Israel cried</w:t>
      </w:r>
      <w:r>
        <w:rPr>
          <w:rStyle w:val="FootnoteReference"/>
        </w:rPr>
        <w:footnoteReference w:id="4748"/>
      </w:r>
      <w:r>
        <w:t xml:space="preserve"> out to the Lord, saying, We sinned against you because we forsook our God and served the Baals.</w:t>
      </w:r>
    </w:p>
    <w:p>
      <w:r>
        <w:rPr>
          <w:b/>
        </w:rPr>
        <w:t xml:space="preserve">11 </w:t>
      </w:r>
      <w:r>
        <w:t xml:space="preserve">And the Lord said to the sons of Israel, Was it not the Egyptians</w:t>
      </w:r>
      <w:r>
        <w:rPr>
          <w:rStyle w:val="FootnoteReference"/>
        </w:rPr>
        <w:footnoteReference w:id="4749"/>
      </w:r>
      <w:r>
        <w:t xml:space="preserve"> and the Amorites and the sons of Ammon and Moab and the foreigners</w:t>
      </w:r>
    </w:p>
    <w:p>
      <w:r>
        <w:rPr>
          <w:b/>
        </w:rPr>
        <w:t xml:space="preserve">12 </w:t>
      </w:r>
      <w:r>
        <w:t xml:space="preserve">and Sidonians and Midian and Amalek who oppressed you? And you cried out to me, and I saved you from their hand.</w:t>
      </w:r>
    </w:p>
    <w:p>
      <w:r>
        <w:rPr>
          <w:b/>
        </w:rPr>
        <w:t xml:space="preserve">13 </w:t>
      </w:r>
      <w:r>
        <w:t xml:space="preserve">Yet you forsook me and served other gods; therefore I will not continue to save you.</w:t>
      </w:r>
    </w:p>
    <w:p>
      <w:r>
        <w:rPr>
          <w:b/>
        </w:rPr>
        <w:t xml:space="preserve">14 </w:t>
      </w:r>
      <w:r>
        <w:t xml:space="preserve">Go and cry out to the gods you chose for yourselves, and let them save you in the time of your distress.</w:t>
      </w:r>
    </w:p>
    <w:p>
      <w:r>
        <w:rPr>
          <w:b/>
        </w:rPr>
        <w:t xml:space="preserve">15 </w:t>
      </w:r>
      <w:r>
        <w:t xml:space="preserve">And the sons of Israel said to the Lord, We sinned. Do to us according to all that is pleasing before you; only, Lord, deliver</w:t>
      </w:r>
      <w:r>
        <w:rPr>
          <w:rStyle w:val="FootnoteReference"/>
        </w:rPr>
        <w:footnoteReference w:id="4750"/>
      </w:r>
      <w:r>
        <w:t xml:space="preserve"> us in this day.</w:t>
      </w:r>
    </w:p>
    <w:p>
      <w:r>
        <w:rPr>
          <w:b/>
        </w:rPr>
        <w:t xml:space="preserve">16 </w:t>
      </w:r>
      <w:r>
        <w:t xml:space="preserve">And they removed the foreign gods from their midst and served the Lord. And it was not pleasing in the people, and he grew short of soul in the toil of Israel.</w:t>
      </w:r>
    </w:p>
    <w:p>
      <w:r>
        <w:rPr>
          <w:b/>
        </w:rPr>
        <w:t xml:space="preserve">17 </w:t>
      </w:r>
      <w:r>
        <w:t xml:space="preserve">And the sons of Ammon went up and encamped in Gilead, and the sons of Israel went out and encamped in Mizpah</w:t>
      </w:r>
      <w:r>
        <w:rPr>
          <w:rStyle w:val="FootnoteReference"/>
        </w:rPr>
        <w:footnoteReference w:id="4751"/>
      </w:r>
      <w:r>
        <w:t xml:space="preserve">.</w:t>
      </w:r>
    </w:p>
    <w:p>
      <w:r>
        <w:rPr>
          <w:b/>
        </w:rPr>
        <w:t xml:space="preserve">18 </w:t>
      </w:r>
      <w:r>
        <w:t xml:space="preserve">And the leaders of the people of Gilead said, each man to his neighbor, Who is the man that will begin to fight against the sons of Ammon? He shall be</w:t>
      </w:r>
      <w:r>
        <w:rPr>
          <w:rStyle w:val="FootnoteReference"/>
        </w:rPr>
        <w:footnoteReference w:id="4752"/>
      </w:r>
      <w:r>
        <w:t xml:space="preserve"> head over all dwelling in Gilead.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Jephthah</w:t>
      </w:r>
      <w:r>
        <w:rPr>
          <w:rStyle w:val="FootnoteReference"/>
        </w:rPr>
        <w:footnoteReference w:id="4753"/>
      </w:r>
      <w:r>
        <w:t xml:space="preserve"> the Gileadite was mighty in strength, and he was the son of a prostitute woman, and Gilead fathered Jephthah.</w:t>
      </w:r>
      <w:r>
        <w:rPr>
          <w:rStyle w:val="FootnoteReference"/>
        </w:rPr>
        <w:footnoteReference w:id="4754"/>
      </w:r>
      <w:r>
        <w:rPr>
          <w:rStyle w:val="FootnoteReference"/>
        </w:rPr>
        <w:footnoteReference w:id="4755"/>
      </w:r>
    </w:p>
    <w:p>
      <w:r>
        <w:rPr>
          <w:b/>
        </w:rPr>
        <w:t xml:space="preserve">2 </w:t>
      </w:r>
      <w:r>
        <w:t xml:space="preserve">And the wife of Gilead bore sons to him, and the sons of the wife grew up and cast out Jephthah and said to him, You shall not inherit in the house of our father, because you are the son of another woman.</w:t>
      </w:r>
    </w:p>
    <w:p>
      <w:r>
        <w:rPr>
          <w:b/>
        </w:rPr>
        <w:t xml:space="preserve">3 </w:t>
      </w:r>
      <w:r>
        <w:t xml:space="preserve">And Jephthah fled from before his brothers and dwelt in the land of Tob</w:t>
      </w:r>
      <w:r>
        <w:rPr>
          <w:rStyle w:val="FootnoteReference"/>
        </w:rPr>
        <w:footnoteReference w:id="4756"/>
      </w:r>
      <w:r>
        <w:t xml:space="preserve">, and idle men gathered to Jephthah and went out with him.</w:t>
      </w:r>
    </w:p>
    <w:p>
      <w:r>
        <w:rPr>
          <w:b/>
        </w:rPr>
        <w:t xml:space="preserve">4 </w:t>
      </w:r>
      <w:r>
        <w:t xml:space="preserve">And it came to be after days that the sons of Ammon made war with Israel.</w:t>
      </w:r>
    </w:p>
    <w:p>
      <w:r>
        <w:rPr>
          <w:b/>
        </w:rPr>
        <w:t xml:space="preserve">5 </w:t>
      </w:r>
      <w:r>
        <w:t xml:space="preserve">And it came to be when the sons of Ammon were making war with Israel, the elders of Gilead went to take Jephthah from the land of Tob.</w:t>
      </w:r>
      <w:r>
        <w:rPr>
          <w:rStyle w:val="FootnoteReference"/>
        </w:rPr>
        <w:footnoteReference w:id="4757"/>
      </w:r>
    </w:p>
    <w:p>
      <w:r>
        <w:rPr>
          <w:b/>
        </w:rPr>
        <w:t xml:space="preserve">6 </w:t>
      </w:r>
      <w:r>
        <w:t xml:space="preserve">And they said to Jephthah, Come and be for us as a leader, and let us fight against the sons of Ammon.</w:t>
      </w:r>
    </w:p>
    <w:p>
      <w:r>
        <w:rPr>
          <w:b/>
        </w:rPr>
        <w:t xml:space="preserve">7 </w:t>
      </w:r>
      <w:r>
        <w:t xml:space="preserve">And Jephthah said to the elders of Gilead, Was it not you who hated me and cast me out from my father's house and sent me away from you? And why have you now come to me when you are in distress?</w:t>
      </w:r>
    </w:p>
    <w:p>
      <w:r>
        <w:rPr>
          <w:b/>
        </w:rPr>
        <w:t xml:space="preserve">8 </w:t>
      </w:r>
      <w:r>
        <w:t xml:space="preserve">And the elders</w:t>
      </w:r>
      <w:r>
        <w:rPr>
          <w:rStyle w:val="FootnoteReference"/>
        </w:rPr>
        <w:footnoteReference w:id="4758"/>
      </w:r>
      <w:r>
        <w:t xml:space="preserve"> of Gilead said to Jephthah, Not so now; we have come to you, and you shall go with us, and we shall fight against the sons of Ammon, and you shall be for us as head over all dwelling in Gilead.</w:t>
      </w:r>
    </w:p>
    <w:p>
      <w:r>
        <w:rPr>
          <w:b/>
        </w:rPr>
        <w:t xml:space="preserve">9 </w:t>
      </w:r>
      <w:r>
        <w:t xml:space="preserve">And Jephthah said to the elders of Gilead, If you turn me back to fight against the sons of Ammon, and the Lord delivers them before me, I will be head for you.</w:t>
      </w:r>
    </w:p>
    <w:p>
      <w:r>
        <w:rPr>
          <w:b/>
        </w:rPr>
        <w:t xml:space="preserve">10 </w:t>
      </w:r>
      <w:r>
        <w:t xml:space="preserve">And the elders of Gilead said to Jephthah, The Lord</w:t>
      </w:r>
      <w:r>
        <w:rPr>
          <w:rStyle w:val="FootnoteReference"/>
        </w:rPr>
        <w:footnoteReference w:id="4759"/>
      </w:r>
      <w:r>
        <w:t xml:space="preserve"> shall be the one hearing between us if we do not do according to your word.</w:t>
      </w:r>
    </w:p>
    <w:p>
      <w:r>
        <w:rPr>
          <w:b/>
        </w:rPr>
        <w:t xml:space="preserve">11 </w:t>
      </w:r>
      <w:r>
        <w:t xml:space="preserve">And Jephthah went with the elders of Gilead, and they placed him over them as head</w:t>
      </w:r>
      <w:r>
        <w:rPr>
          <w:rStyle w:val="FootnoteReference"/>
        </w:rPr>
        <w:footnoteReference w:id="4760"/>
      </w:r>
      <w:r>
        <w:t xml:space="preserve">, as a leader, and Jephthah spoke all his words before the Lord in Mizpah.</w:t>
      </w:r>
    </w:p>
    <w:p>
      <w:r>
        <w:rPr>
          <w:b/>
        </w:rPr>
        <w:t xml:space="preserve">12 </w:t>
      </w:r>
      <w:r>
        <w:t xml:space="preserve">And Jephthah sent messengers</w:t>
      </w:r>
      <w:r>
        <w:rPr>
          <w:rStyle w:val="FootnoteReference"/>
        </w:rPr>
        <w:footnoteReference w:id="4761"/>
      </w:r>
      <w:r>
        <w:t xml:space="preserve"> to the king of the sons of Ammon, saying, What is to me and to you, that you came against me to fight me in my land?</w:t>
      </w:r>
    </w:p>
    <w:p>
      <w:r>
        <w:rPr>
          <w:b/>
        </w:rPr>
        <w:t xml:space="preserve">13 </w:t>
      </w:r>
      <w:r>
        <w:t xml:space="preserve">And the king of the sons of Ammon said to the messengers of Jephthah, Because Israel</w:t>
      </w:r>
      <w:r>
        <w:rPr>
          <w:rStyle w:val="FootnoteReference"/>
        </w:rPr>
        <w:footnoteReference w:id="4762"/>
      </w:r>
      <w:r>
        <w:t xml:space="preserve"> took my land in its going up out of Egypt, from Arnon to Jabbok and to the Jordan, and now return them in peace.</w:t>
      </w:r>
    </w:p>
    <w:p>
      <w:r>
        <w:rPr>
          <w:b/>
        </w:rPr>
        <w:t xml:space="preserve">14 </w:t>
      </w:r>
      <w:r>
        <w:t xml:space="preserve">And the messengers turned back to Jephthah, and Jephthah again sent messengers to the king of the sons of Ammon,</w:t>
      </w:r>
    </w:p>
    <w:p>
      <w:r>
        <w:rPr>
          <w:b/>
        </w:rPr>
        <w:t xml:space="preserve">15 </w:t>
      </w:r>
      <w:r>
        <w:t xml:space="preserve">saying, Thus says Jephthah: Israel did not take the land of Moab and the land of the sons of Ammon.</w:t>
      </w:r>
    </w:p>
    <w:p>
      <w:r>
        <w:rPr>
          <w:b/>
        </w:rPr>
        <w:t xml:space="preserve">16 </w:t>
      </w:r>
      <w:r>
        <w:t xml:space="preserve">For in their going up from Egypt, Israel went in the wilderness as far as the Red Sea and came as far as Kadesh.</w:t>
      </w:r>
    </w:p>
    <w:p>
      <w:r>
        <w:rPr>
          <w:b/>
        </w:rPr>
        <w:t xml:space="preserve">17 </w:t>
      </w:r>
      <w:r>
        <w:t xml:space="preserve">And Israel sent messengers</w:t>
      </w:r>
      <w:r>
        <w:rPr>
          <w:rStyle w:val="FootnoteReference"/>
        </w:rPr>
        <w:footnoteReference w:id="4763"/>
      </w:r>
      <w:r>
        <w:t xml:space="preserve"> to the king of Edom, saying, I will pass through your land, and the king of Edom did not listen. And indeed he sent also to the king of Moab, and he was not willing, and Israel stayed at Kadesh.</w:t>
      </w:r>
      <w:r>
        <w:rPr>
          <w:rStyle w:val="FootnoteReference"/>
        </w:rPr>
        <w:footnoteReference w:id="4764"/>
      </w:r>
    </w:p>
    <w:p>
      <w:r>
        <w:rPr>
          <w:b/>
        </w:rPr>
        <w:t xml:space="preserve">18 </w:t>
      </w:r>
      <w:r>
        <w:t xml:space="preserve">And it passed through in the wilderness and went around the land</w:t>
      </w:r>
      <w:r>
        <w:rPr>
          <w:rStyle w:val="FootnoteReference"/>
        </w:rPr>
        <w:footnoteReference w:id="4765"/>
      </w:r>
      <w:r>
        <w:t xml:space="preserve"> of Edom and the land of Moab and came on the east side of the land of Moab, and they encamped beyond the Arnon, and they did not enter the border of Moab, because Arnon was the border of Moab.</w:t>
      </w:r>
      <w:r>
        <w:rPr>
          <w:rStyle w:val="FootnoteReference"/>
        </w:rPr>
        <w:footnoteReference w:id="4766"/>
      </w:r>
    </w:p>
    <w:p>
      <w:r>
        <w:rPr>
          <w:b/>
        </w:rPr>
        <w:t xml:space="preserve">19 </w:t>
      </w:r>
      <w:r>
        <w:t xml:space="preserve">And Israel sent messengers to Sihon king of Heshbon the Amorite and said to him, Israel will pass through your land to my place.</w:t>
      </w:r>
    </w:p>
    <w:p>
      <w:r>
        <w:rPr>
          <w:b/>
        </w:rPr>
        <w:t xml:space="preserve">20 </w:t>
      </w:r>
      <w:r>
        <w:t xml:space="preserve">And Sihon was not willing for Israel to pass through his borders, and Sihon gathered all his people and encamped at Jahaz and made war with Israel.</w:t>
      </w:r>
    </w:p>
    <w:p>
      <w:r>
        <w:rPr>
          <w:b/>
        </w:rPr>
        <w:t xml:space="preserve">21 </w:t>
      </w:r>
      <w:r>
        <w:t xml:space="preserve">And the Lord God of Israel gave Sihon and all his people into the hand of Israel, and he struck them. And Israel inherited all the land of the Amorite dwelling in the land.</w:t>
      </w:r>
    </w:p>
    <w:p>
      <w:r>
        <w:rPr>
          <w:b/>
        </w:rPr>
        <w:t xml:space="preserve">22 </w:t>
      </w:r>
      <w:r>
        <w:t xml:space="preserve">And it inherited all the border of the Amorite</w:t>
      </w:r>
      <w:r>
        <w:rPr>
          <w:rStyle w:val="FootnoteReference"/>
        </w:rPr>
        <w:footnoteReference w:id="4767"/>
      </w:r>
      <w:r>
        <w:t xml:space="preserve"> from Arnon to Jabbok and from the wilderness to the Jordan.</w:t>
      </w:r>
    </w:p>
    <w:p>
      <w:r>
        <w:rPr>
          <w:b/>
        </w:rPr>
        <w:t xml:space="preserve">23 </w:t>
      </w:r>
      <w:r>
        <w:t xml:space="preserve">And now the Lord God of Israel removed the Amorite from before his people Israel, and will you inherit it against him?</w:t>
      </w:r>
    </w:p>
    <w:p>
      <w:r>
        <w:rPr>
          <w:b/>
        </w:rPr>
        <w:t xml:space="preserve">24 </w:t>
      </w:r>
      <w:r>
        <w:t xml:space="preserve">Will you not inherit whatever Chemosh</w:t>
      </w:r>
      <w:r>
        <w:rPr>
          <w:rStyle w:val="FootnoteReference"/>
        </w:rPr>
        <w:footnoteReference w:id="4768"/>
      </w:r>
      <w:r>
        <w:t xml:space="preserve"> your god caused you to inherit? And all that the Lord our God inherited from before us, these things we will inherit.</w:t>
      </w:r>
    </w:p>
    <w:p>
      <w:r>
        <w:rPr>
          <w:b/>
        </w:rPr>
        <w:t xml:space="preserve">25 </w:t>
      </w:r>
      <w:r>
        <w:t xml:space="preserve">And now are you at all better than Balak</w:t>
      </w:r>
      <w:r>
        <w:rPr>
          <w:rStyle w:val="FootnoteReference"/>
        </w:rPr>
        <w:footnoteReference w:id="4769"/>
      </w:r>
      <w:r>
        <w:t xml:space="preserve"> son of Zippor, king of Moab? Did he by fighting fight with Israel, or by warring war against them?</w:t>
      </w:r>
    </w:p>
    <w:p>
      <w:r>
        <w:rPr>
          <w:b/>
        </w:rPr>
        <w:t xml:space="preserve">26 </w:t>
      </w:r>
      <w:r>
        <w:t xml:space="preserve">While Israel dwelt in Heshbon</w:t>
      </w:r>
      <w:r>
        <w:rPr>
          <w:rStyle w:val="FootnoteReference"/>
        </w:rPr>
        <w:footnoteReference w:id="4770"/>
      </w:r>
      <w:r>
        <w:t xml:space="preserve"> and in its daughters and in Aroer and in its daughters and in all the cities beside the Jordan three hundred years, why did they not rescue them</w:t>
      </w:r>
      <w:r>
        <w:rPr>
          <w:rStyle w:val="FootnoteReference"/>
        </w:rPr>
        <w:footnoteReference w:id="4771"/>
      </w:r>
      <w:r>
        <w:t xml:space="preserve"> at that time?</w:t>
      </w:r>
    </w:p>
    <w:p>
      <w:r>
        <w:rPr>
          <w:b/>
        </w:rPr>
        <w:t xml:space="preserve">27 </w:t>
      </w:r>
      <w:r>
        <w:t xml:space="preserve">And I have not sinned against you, but you are doing evil with me by fighting against me. Let the Lord, the judge</w:t>
      </w:r>
      <w:r>
        <w:rPr>
          <w:rStyle w:val="FootnoteReference"/>
        </w:rPr>
        <w:footnoteReference w:id="4772"/>
      </w:r>
      <w:r>
        <w:t xml:space="preserve">, judge today between the sons of Israel and between the sons of Ammon.</w:t>
      </w:r>
    </w:p>
    <w:p>
      <w:r>
        <w:rPr>
          <w:b/>
        </w:rPr>
        <w:t xml:space="preserve">28 </w:t>
      </w:r>
      <w:r>
        <w:t xml:space="preserve">And the king of the sons of Ammon did not listen to the words of Jephthah that he sent to him.</w:t>
      </w:r>
    </w:p>
    <w:p>
      <w:r>
        <w:rPr>
          <w:b/>
        </w:rPr>
        <w:t xml:space="preserve">29 </w:t>
      </w:r>
      <w:r>
        <w:t xml:space="preserve">And the Spirit</w:t>
      </w:r>
      <w:r>
        <w:rPr>
          <w:rStyle w:val="FootnoteReference"/>
        </w:rPr>
        <w:footnoteReference w:id="4773"/>
      </w:r>
      <w:r>
        <w:t xml:space="preserve"> of the Lord came upon Jephthah, and he passed through the land of Gilead and Manasseh and passed through the watchtower of Gilead, and from the watchtower of Gilead to the far side of the sons of Ammon.</w:t>
      </w:r>
    </w:p>
    <w:p>
      <w:r>
        <w:rPr>
          <w:b/>
        </w:rPr>
        <w:t xml:space="preserve">30 </w:t>
      </w:r>
      <w:r>
        <w:t xml:space="preserve">And Jephthah vowed a vow to the Lord and said, If indeed you deliver the sons of Ammon into my hand,</w:t>
      </w:r>
    </w:p>
    <w:p>
      <w:r>
        <w:rPr>
          <w:b/>
        </w:rPr>
        <w:t xml:space="preserve">31 </w:t>
      </w:r>
      <w:r>
        <w:t xml:space="preserve">then it shall be that whoever comes out from the doors of my house to meet me when I return in peace from the sons of Ammon, that one shall be the Lord's, and I will</w:t>
      </w:r>
      <w:r>
        <w:rPr>
          <w:rStyle w:val="FootnoteReference"/>
        </w:rPr>
        <w:footnoteReference w:id="4774"/>
      </w:r>
      <w:r>
        <w:t xml:space="preserve"> offer him up as a whole burnt offering.</w:t>
      </w:r>
      <w:r>
        <w:rPr>
          <w:rStyle w:val="FootnoteReference"/>
        </w:rPr>
        <w:footnoteReference w:id="4775"/>
      </w:r>
    </w:p>
    <w:p>
      <w:r>
        <w:rPr>
          <w:b/>
        </w:rPr>
        <w:t xml:space="preserve">32 </w:t>
      </w:r>
      <w:r>
        <w:t xml:space="preserve">And Jephthah crossed over to the sons of Ammon to fight against them, and the Lord</w:t>
      </w:r>
      <w:r>
        <w:rPr>
          <w:rStyle w:val="FootnoteReference"/>
        </w:rPr>
        <w:footnoteReference w:id="4776"/>
      </w:r>
      <w:r>
        <w:t xml:space="preserve"> gave them into his hand.</w:t>
      </w:r>
    </w:p>
    <w:p>
      <w:r>
        <w:rPr>
          <w:b/>
        </w:rPr>
        <w:t xml:space="preserve">33 </w:t>
      </w:r>
      <w:r>
        <w:t xml:space="preserve">And he struck them from Aroer</w:t>
      </w:r>
      <w:r>
        <w:rPr>
          <w:rStyle w:val="FootnoteReference"/>
        </w:rPr>
        <w:footnoteReference w:id="4777"/>
      </w:r>
      <w:r>
        <w:t xml:space="preserve"> and until one comes to Minnith</w:t>
      </w:r>
      <w:r>
        <w:rPr>
          <w:rStyle w:val="FootnoteReference"/>
        </w:rPr>
        <w:footnoteReference w:id="4778"/>
      </w:r>
      <w:r>
        <w:t xml:space="preserve">, twenty cities, and as far as Abel of vineyards</w:t>
      </w:r>
      <w:r>
        <w:rPr>
          <w:rStyle w:val="FootnoteReference"/>
        </w:rPr>
        <w:footnoteReference w:id="4779"/>
      </w:r>
      <w:r>
        <w:t xml:space="preserve">, a very great blow, and the sons of Ammon were put to shame from before the sons of Israel.</w:t>
      </w:r>
    </w:p>
    <w:p>
      <w:r>
        <w:rPr>
          <w:b/>
        </w:rPr>
        <w:t xml:space="preserve">34 </w:t>
      </w:r>
      <w:r>
        <w:t xml:space="preserve">And Jephthah came to Mizpah, to his house, and behold, his daughter</w:t>
      </w:r>
      <w:r>
        <w:rPr>
          <w:rStyle w:val="FootnoteReference"/>
        </w:rPr>
        <w:footnoteReference w:id="4780"/>
      </w:r>
      <w:r>
        <w:t xml:space="preserve"> was coming out to meet him with tambourines and dances, and she was his only child, beloved, and besides her he had neither son nor daughter.</w:t>
      </w:r>
    </w:p>
    <w:p>
      <w:r>
        <w:rPr>
          <w:b/>
        </w:rPr>
        <w:t xml:space="preserve">35 </w:t>
      </w:r>
      <w:r>
        <w:t xml:space="preserve">And it came to be when he saw her, he tore his garments and said, Alas, my daughter, by stumbling you have made me stumble</w:t>
      </w:r>
      <w:r>
        <w:rPr>
          <w:rStyle w:val="FootnoteReference"/>
        </w:rPr>
        <w:footnoteReference w:id="4781"/>
      </w:r>
      <w:r>
        <w:t xml:space="preserve">; you have become as a pain in my eyes. And I opened my mouth concerning you to the Lord, and I cannot</w:t>
      </w:r>
      <w:r>
        <w:rPr>
          <w:rStyle w:val="FootnoteReference"/>
        </w:rPr>
        <w:footnoteReference w:id="4782"/>
      </w:r>
      <w:r>
        <w:t xml:space="preserve"> turn back.</w:t>
      </w:r>
    </w:p>
    <w:p>
      <w:r>
        <w:rPr>
          <w:b/>
        </w:rPr>
        <w:t xml:space="preserve">36 </w:t>
      </w:r>
      <w:r>
        <w:t xml:space="preserve">And she said to him, Father, if in me you opened your mouth to the Lord, do to me according to what went out from your mouth, because the Lord made for you acts of vengeance from your enemies, from the sons of Ammon.</w:t>
      </w:r>
    </w:p>
    <w:p>
      <w:r>
        <w:rPr>
          <w:b/>
        </w:rPr>
        <w:t xml:space="preserve">37 </w:t>
      </w:r>
      <w:r>
        <w:t xml:space="preserve">And she said to her father, Do this word for me: let me alone two months, and I will go and go down upon the mountains and weep for my virginity, I and my companions.</w:t>
      </w:r>
    </w:p>
    <w:p>
      <w:r>
        <w:rPr>
          <w:b/>
        </w:rPr>
        <w:t xml:space="preserve">38 </w:t>
      </w:r>
      <w:r>
        <w:t xml:space="preserve">And he said, Go, and he sent her away two months. And she went, she and her companions, and she wept for her virginity upon the mountains.</w:t>
      </w:r>
    </w:p>
    <w:p>
      <w:r>
        <w:rPr>
          <w:b/>
        </w:rPr>
        <w:t xml:space="preserve">39 </w:t>
      </w:r>
      <w:r>
        <w:t xml:space="preserve">And it came to be at the end of two months that she returned to her father, and Jephthah fulfilled his vow that he had vowed, and she had not known a man. And it became an ordinance in Israel.</w:t>
      </w:r>
    </w:p>
    <w:p>
      <w:r>
        <w:rPr>
          <w:b/>
        </w:rPr>
        <w:t xml:space="preserve">40 </w:t>
      </w:r>
      <w:r>
        <w:t xml:space="preserve">From days to days</w:t>
      </w:r>
      <w:r>
        <w:rPr>
          <w:rStyle w:val="FootnoteReference"/>
        </w:rPr>
        <w:footnoteReference w:id="4783"/>
      </w:r>
      <w:r>
        <w:t xml:space="preserve"> the daughters of Israel went to lament</w:t>
      </w:r>
      <w:r>
        <w:rPr>
          <w:rStyle w:val="FootnoteReference"/>
        </w:rPr>
        <w:footnoteReference w:id="4784"/>
      </w:r>
      <w:r>
        <w:t xml:space="preserve"> the daughter of Jephthah the Gileadite, four days in the year.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 sons of Ephraim were gathered, and they came to Sephina</w:t>
      </w:r>
      <w:r>
        <w:rPr>
          <w:rStyle w:val="FootnoteReference"/>
        </w:rPr>
        <w:footnoteReference w:id="4785"/>
      </w:r>
      <w:r>
        <w:t xml:space="preserve"> and said to Jephthah, Why did you go to fight against the sons of Ammon and not call us to go with you? We will burn</w:t>
      </w:r>
      <w:r>
        <w:rPr>
          <w:rStyle w:val="FootnoteReference"/>
        </w:rPr>
        <w:footnoteReference w:id="4786"/>
      </w:r>
      <w:r>
        <w:t xml:space="preserve"> your house upon you with fire.</w:t>
      </w:r>
      <w:r>
        <w:rPr>
          <w:rStyle w:val="FootnoteReference"/>
        </w:rPr>
        <w:footnoteReference w:id="4787"/>
      </w:r>
    </w:p>
    <w:p>
      <w:r>
        <w:rPr>
          <w:b/>
        </w:rPr>
        <w:t xml:space="preserve">2 </w:t>
      </w:r>
      <w:r>
        <w:t xml:space="preserve">And Jephthah said to them, I and my</w:t>
      </w:r>
      <w:r>
        <w:rPr>
          <w:rStyle w:val="FootnoteReference"/>
        </w:rPr>
        <w:footnoteReference w:id="4788"/>
      </w:r>
      <w:r>
        <w:t xml:space="preserve"> people were men of contention, and the sons of Ammon were humbling me greatly, and I cried out to you, and you did not save me from their hand.</w:t>
      </w:r>
    </w:p>
    <w:p>
      <w:r>
        <w:rPr>
          <w:b/>
        </w:rPr>
        <w:t xml:space="preserve">3 </w:t>
      </w:r>
      <w:r>
        <w:t xml:space="preserve">And I saw that there was no savior, and I put my life in my own hand</w:t>
      </w:r>
      <w:r>
        <w:rPr>
          <w:rStyle w:val="FootnoteReference"/>
        </w:rPr>
        <w:footnoteReference w:id="4789"/>
      </w:r>
      <w:r>
        <w:t xml:space="preserve"> and crossed over to the sons of Ammon, and the Lord gave them into my hand. And why did you come up to me this day to fight against me?</w:t>
      </w:r>
    </w:p>
    <w:p>
      <w:r>
        <w:rPr>
          <w:b/>
        </w:rPr>
        <w:t xml:space="preserve">4 </w:t>
      </w:r>
      <w:r>
        <w:t xml:space="preserve">And Jephthah gathered all the men of Gilead and fought Ephraim, and the men</w:t>
      </w:r>
      <w:r>
        <w:rPr>
          <w:rStyle w:val="FootnoteReference"/>
        </w:rPr>
        <w:footnoteReference w:id="4790"/>
      </w:r>
      <w:r>
        <w:t xml:space="preserve"> of Gilead struck Ephraim, because they said, You, Gilead, are fugitives of Ephraim in the midst of Ephraim and in the midst of Manasseh.</w:t>
      </w:r>
      <w:r>
        <w:rPr>
          <w:rStyle w:val="FootnoteReference"/>
        </w:rPr>
        <w:footnoteReference w:id="4791"/>
      </w:r>
    </w:p>
    <w:p>
      <w:r>
        <w:rPr>
          <w:b/>
        </w:rPr>
        <w:t xml:space="preserve">5 </w:t>
      </w:r>
      <w:r>
        <w:t xml:space="preserve">And the men of Gilead seized the crossings of the Jordan of Ephraim, and it happened that the fugitives of Ephraim</w:t>
      </w:r>
      <w:r>
        <w:rPr>
          <w:rStyle w:val="FootnoteReference"/>
        </w:rPr>
        <w:footnoteReference w:id="4792"/>
      </w:r>
      <w:r>
        <w:t xml:space="preserve"> said, Let us cross over, and the men of Gilead said to them, Are you from Ephraim? And they said, We are not.</w:t>
      </w:r>
    </w:p>
    <w:p>
      <w:r>
        <w:rPr>
          <w:b/>
        </w:rPr>
        <w:t xml:space="preserve">6 </w:t>
      </w:r>
      <w:r>
        <w:t xml:space="preserve">And they said to them, Speak now a watchword</w:t>
      </w:r>
      <w:r>
        <w:rPr>
          <w:rStyle w:val="FootnoteReference"/>
        </w:rPr>
        <w:footnoteReference w:id="4793"/>
      </w:r>
      <w:r>
        <w:t xml:space="preserve">. And they did not direct themselves to speak thus, and they seized them and slaughtered them at the crossings of the Jordan. And there fell</w:t>
      </w:r>
      <w:r>
        <w:rPr>
          <w:rStyle w:val="FootnoteReference"/>
        </w:rPr>
        <w:footnoteReference w:id="4794"/>
      </w:r>
      <w:r>
        <w:t xml:space="preserve"> from Ephraim at that time forty-two thousand.</w:t>
      </w:r>
    </w:p>
    <w:p>
      <w:r>
        <w:rPr>
          <w:b/>
        </w:rPr>
        <w:t xml:space="preserve">7 </w:t>
      </w:r>
      <w:r>
        <w:t xml:space="preserve">And Jephthah judged Israel six years, and Jephthah the Gileadite died and was buried in his city, Gilead.</w:t>
      </w:r>
    </w:p>
    <w:p>
      <w:r>
        <w:rPr>
          <w:b/>
        </w:rPr>
        <w:t xml:space="preserve">8 </w:t>
      </w:r>
      <w:r>
        <w:t xml:space="preserve">And after him Heshbon from Bethlehem</w:t>
      </w:r>
      <w:r>
        <w:rPr>
          <w:rStyle w:val="FootnoteReference"/>
        </w:rPr>
        <w:footnoteReference w:id="4795"/>
      </w:r>
      <w:r>
        <w:t xml:space="preserve"> judged Israel.</w:t>
      </w:r>
    </w:p>
    <w:p>
      <w:r>
        <w:rPr>
          <w:b/>
        </w:rPr>
        <w:t xml:space="preserve">9 </w:t>
      </w:r>
      <w:r>
        <w:t xml:space="preserve">And he had thirty sons and thirty daughters whom he sent outside, and he brought in thirty wives from outside for his sons, and he judged Israel seven years.</w:t>
      </w:r>
    </w:p>
    <w:p>
      <w:r>
        <w:rPr>
          <w:b/>
        </w:rPr>
        <w:t xml:space="preserve">10 </w:t>
      </w:r>
      <w:r>
        <w:t xml:space="preserve">And Heshbon died and was buried in Bethlehem.</w:t>
      </w:r>
    </w:p>
    <w:p>
      <w:r>
        <w:rPr>
          <w:b/>
        </w:rPr>
        <w:t xml:space="preserve">11 </w:t>
      </w:r>
      <w:r>
        <w:t xml:space="preserve">And after him Elon the Zebulunite</w:t>
      </w:r>
      <w:r>
        <w:rPr>
          <w:rStyle w:val="FootnoteReference"/>
        </w:rPr>
        <w:footnoteReference w:id="4796"/>
      </w:r>
      <w:r>
        <w:t xml:space="preserve"> judged Israel, and he judged Israel ten years.</w:t>
      </w:r>
      <w:r>
        <w:rPr>
          <w:rStyle w:val="FootnoteReference"/>
        </w:rPr>
        <w:footnoteReference w:id="4797"/>
      </w:r>
    </w:p>
    <w:p>
      <w:r>
        <w:rPr>
          <w:b/>
        </w:rPr>
        <w:t xml:space="preserve">12 </w:t>
      </w:r>
      <w:r>
        <w:t xml:space="preserve">And Elon the Zebulunite died in Elim, and they buried him in the land of Zebulun.</w:t>
      </w:r>
    </w:p>
    <w:p>
      <w:r>
        <w:rPr>
          <w:b/>
        </w:rPr>
        <w:t xml:space="preserve">13 </w:t>
      </w:r>
      <w:r>
        <w:t xml:space="preserve">And after him Abdon son of Hillel</w:t>
      </w:r>
      <w:r>
        <w:rPr>
          <w:rStyle w:val="FootnoteReference"/>
        </w:rPr>
        <w:footnoteReference w:id="4798"/>
      </w:r>
      <w:r>
        <w:t xml:space="preserve"> the Pirathonite</w:t>
      </w:r>
      <w:r>
        <w:rPr>
          <w:rStyle w:val="FootnoteReference"/>
        </w:rPr>
        <w:footnoteReference w:id="4799"/>
      </w:r>
      <w:r>
        <w:t xml:space="preserve"> judged Israel.</w:t>
      </w:r>
    </w:p>
    <w:p>
      <w:r>
        <w:rPr>
          <w:b/>
        </w:rPr>
        <w:t xml:space="preserve">14 </w:t>
      </w:r>
      <w:r>
        <w:t xml:space="preserve">And he had forty sons and thirty sons of his sons, riding on seventy foals, and he judged Israel eight years.</w:t>
      </w:r>
    </w:p>
    <w:p>
      <w:r>
        <w:rPr>
          <w:b/>
        </w:rPr>
        <w:t xml:space="preserve">15 </w:t>
      </w:r>
      <w:r>
        <w:t xml:space="preserve">And Abdon son of Hillel the Pirathonite</w:t>
      </w:r>
      <w:r>
        <w:rPr>
          <w:rStyle w:val="FootnoteReference"/>
        </w:rPr>
        <w:footnoteReference w:id="4800"/>
      </w:r>
      <w:r>
        <w:t xml:space="preserve"> died and was buried in Pirathon</w:t>
      </w:r>
      <w:r>
        <w:rPr>
          <w:rStyle w:val="FootnoteReference"/>
        </w:rPr>
        <w:footnoteReference w:id="4801"/>
      </w:r>
      <w:r>
        <w:t xml:space="preserve"> in the land of Ephraim, in the mountain of Lanak.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the sons of Israel again added to do evil before the Lord, and the Lord gave them into the</w:t>
      </w:r>
      <w:r>
        <w:rPr>
          <w:rStyle w:val="FootnoteReference"/>
        </w:rPr>
        <w:footnoteReference w:id="4802"/>
      </w:r>
      <w:r>
        <w:t xml:space="preserve"> hand of the foreigners forty years.</w:t>
      </w:r>
    </w:p>
    <w:p>
      <w:r>
        <w:rPr>
          <w:b/>
        </w:rPr>
        <w:t xml:space="preserve">2 </w:t>
      </w:r>
      <w:r>
        <w:t xml:space="preserve">And there was a man from Zorah</w:t>
      </w:r>
      <w:r>
        <w:rPr>
          <w:rStyle w:val="FootnoteReference"/>
        </w:rPr>
        <w:footnoteReference w:id="4803"/>
      </w:r>
      <w:r>
        <w:t xml:space="preserve">, from the tribe of Dan, and his name was Manoah</w:t>
      </w:r>
      <w:r>
        <w:rPr>
          <w:rStyle w:val="FootnoteReference"/>
        </w:rPr>
        <w:footnoteReference w:id="4804"/>
      </w:r>
      <w:r>
        <w:t xml:space="preserve">, and his wife was barren and did not bear.</w:t>
      </w:r>
    </w:p>
    <w:p>
      <w:r>
        <w:rPr>
          <w:b/>
        </w:rPr>
        <w:t xml:space="preserve">3 </w:t>
      </w:r>
      <w:r>
        <w:t xml:space="preserve">And an angel of the Lord appeared to the woman and said to her, Behold now, you are barren and have not borne, yet you shall conceive and bear a son.</w:t>
      </w:r>
    </w:p>
    <w:p>
      <w:r>
        <w:rPr>
          <w:b/>
        </w:rPr>
        <w:t xml:space="preserve">4 </w:t>
      </w:r>
      <w:r>
        <w:t xml:space="preserve">And now take care and do not drink wine and strong drink and do not eat any unclean thing.</w:t>
      </w:r>
    </w:p>
    <w:p>
      <w:r>
        <w:rPr>
          <w:b/>
        </w:rPr>
        <w:t xml:space="preserve">5 </w:t>
      </w:r>
      <w:r>
        <w:t xml:space="preserve">For behold, you shall conceive and bear a son, and iron</w:t>
      </w:r>
      <w:r>
        <w:rPr>
          <w:rStyle w:val="FootnoteReference"/>
        </w:rPr>
        <w:footnoteReference w:id="4805"/>
      </w:r>
      <w:r>
        <w:t xml:space="preserve"> shall not come upon his head, because the child shall be a consecrated Nazirite</w:t>
      </w:r>
      <w:r>
        <w:rPr>
          <w:rStyle w:val="FootnoteReference"/>
        </w:rPr>
        <w:footnoteReference w:id="4806"/>
      </w:r>
      <w:r>
        <w:t xml:space="preserve"> to God from the womb, and he will begin</w:t>
      </w:r>
      <w:r>
        <w:rPr>
          <w:rStyle w:val="FootnoteReference"/>
        </w:rPr>
        <w:footnoteReference w:id="4807"/>
      </w:r>
      <w:r>
        <w:t xml:space="preserve"> to save Israel from the hand of the foreigners.</w:t>
      </w:r>
    </w:p>
    <w:p>
      <w:r>
        <w:rPr>
          <w:b/>
        </w:rPr>
        <w:t xml:space="preserve">6 </w:t>
      </w:r>
      <w:r>
        <w:t xml:space="preserve">And the woman came and said to her husband, saying, A man</w:t>
      </w:r>
      <w:r>
        <w:rPr>
          <w:rStyle w:val="FootnoteReference"/>
        </w:rPr>
        <w:footnoteReference w:id="4808"/>
      </w:r>
      <w:r>
        <w:t xml:space="preserve"> of God came to me, and his appearance was like the appearance of an angel of God</w:t>
      </w:r>
      <w:r>
        <w:rPr>
          <w:rStyle w:val="FootnoteReference"/>
        </w:rPr>
        <w:footnoteReference w:id="4809"/>
      </w:r>
      <w:r>
        <w:t xml:space="preserve">, very awe-inspiring, and I asked where he was from, and he did not tell me his name.</w:t>
      </w:r>
    </w:p>
    <w:p>
      <w:r>
        <w:rPr>
          <w:b/>
        </w:rPr>
        <w:t xml:space="preserve">7 </w:t>
      </w:r>
      <w:r>
        <w:t xml:space="preserve">And he said to me, Behold, you shall conceive and bear a son, and now do not drink wine and strong drink and do not eat any uncleanness, because the child shall be a Nazirite of God from the womb until the day of his death.</w:t>
      </w:r>
    </w:p>
    <w:p>
      <w:r>
        <w:rPr>
          <w:b/>
        </w:rPr>
        <w:t xml:space="preserve">8 </w:t>
      </w:r>
      <w:r>
        <w:t xml:space="preserve">And Manoah prayed to the Lord and said, I beg, Lord, may the man of God whom you sent</w:t>
      </w:r>
      <w:r>
        <w:rPr>
          <w:rStyle w:val="FootnoteReference"/>
        </w:rPr>
        <w:footnoteReference w:id="4810"/>
      </w:r>
      <w:r>
        <w:t xml:space="preserve"> to us please come to us again and instruct us what we should do for the child being born.</w:t>
      </w:r>
    </w:p>
    <w:p>
      <w:r>
        <w:rPr>
          <w:b/>
        </w:rPr>
        <w:t xml:space="preserve">9 </w:t>
      </w:r>
      <w:r>
        <w:t xml:space="preserve">And God listened to the voice of Manoah, and the angel of God came again</w:t>
      </w:r>
      <w:r>
        <w:rPr>
          <w:rStyle w:val="FootnoteReference"/>
        </w:rPr>
        <w:footnoteReference w:id="4811"/>
      </w:r>
      <w:r>
        <w:t xml:space="preserve"> to the woman while she was sitting in the field, and Manoah her husband was not with her.</w:t>
      </w:r>
    </w:p>
    <w:p>
      <w:r>
        <w:rPr>
          <w:b/>
        </w:rPr>
        <w:t xml:space="preserve">10 </w:t>
      </w:r>
      <w:r>
        <w:t xml:space="preserve">And the woman hurried and ran and reported to her husband and said to him, Behold</w:t>
      </w:r>
      <w:r>
        <w:rPr>
          <w:rStyle w:val="FootnoteReference"/>
        </w:rPr>
        <w:footnoteReference w:id="4812"/>
      </w:r>
      <w:r>
        <w:t xml:space="preserve">, the man who came to me on that day has appeared to me.</w:t>
      </w:r>
    </w:p>
    <w:p>
      <w:r>
        <w:rPr>
          <w:b/>
        </w:rPr>
        <w:t xml:space="preserve">11 </w:t>
      </w:r>
      <w:r>
        <w:t xml:space="preserve">And Manoah rose and went after his wife to the man and said to him, Are you the man who spoke to the woman? And the angel said, I am.</w:t>
      </w:r>
    </w:p>
    <w:p>
      <w:r>
        <w:rPr>
          <w:b/>
        </w:rPr>
        <w:t xml:space="preserve">12 </w:t>
      </w:r>
      <w:r>
        <w:t xml:space="preserve">And Manoah said, Now then, when your word comes, what shall be the ordinance for the child and his deeds?</w:t>
      </w:r>
    </w:p>
    <w:p>
      <w:r>
        <w:rPr>
          <w:b/>
        </w:rPr>
        <w:t xml:space="preserve">13 </w:t>
      </w:r>
      <w:r>
        <w:t xml:space="preserve">And the angel of the Lord said to Manoah, From all that I said to the woman, let her keep herself</w:t>
      </w:r>
      <w:r>
        <w:rPr>
          <w:rStyle w:val="FootnoteReference"/>
        </w:rPr>
        <w:footnoteReference w:id="4813"/>
      </w:r>
      <w:r>
        <w:t xml:space="preserve">.</w:t>
      </w:r>
    </w:p>
    <w:p>
      <w:r>
        <w:rPr>
          <w:b/>
        </w:rPr>
        <w:t xml:space="preserve">14 </w:t>
      </w:r>
      <w:r>
        <w:t xml:space="preserve">From everything that comes out of the vine she shall not eat, and wine and strong drink she shall not drink, and every unclean thing she shall not eat. Everything that I commanded her let her keep.</w:t>
      </w:r>
    </w:p>
    <w:p>
      <w:r>
        <w:rPr>
          <w:b/>
        </w:rPr>
        <w:t xml:space="preserve">15 </w:t>
      </w:r>
      <w:r>
        <w:t xml:space="preserve">And Manoah said to the angel of the Lord, Let us</w:t>
      </w:r>
      <w:r>
        <w:rPr>
          <w:rStyle w:val="FootnoteReference"/>
        </w:rPr>
        <w:footnoteReference w:id="4814"/>
      </w:r>
      <w:r>
        <w:t xml:space="preserve"> constrain you now, and we will prepare before you a kid of the goats.</w:t>
      </w:r>
    </w:p>
    <w:p>
      <w:r>
        <w:rPr>
          <w:b/>
        </w:rPr>
        <w:t xml:space="preserve">16 </w:t>
      </w:r>
      <w:r>
        <w:t xml:space="preserve">And the angel of the Lord said to Manoah, If you constrain me</w:t>
      </w:r>
      <w:r>
        <w:rPr>
          <w:rStyle w:val="FootnoteReference"/>
        </w:rPr>
        <w:footnoteReference w:id="4815"/>
      </w:r>
      <w:r>
        <w:t xml:space="preserve">, I will not eat your bread, but if you make a whole burnt offering, you shall offer it to the Lord. For Manoah did not know that he was an angel of the Lord.</w:t>
      </w:r>
    </w:p>
    <w:p>
      <w:r>
        <w:rPr>
          <w:b/>
        </w:rPr>
        <w:t xml:space="preserve">17 </w:t>
      </w:r>
      <w:r>
        <w:t xml:space="preserve">And Manoah said to the angel of the Lord, What is your name, so that when your word comes we may glorify you?</w:t>
      </w:r>
    </w:p>
    <w:p>
      <w:r>
        <w:rPr>
          <w:b/>
        </w:rPr>
        <w:t xml:space="preserve">18 </w:t>
      </w:r>
      <w:r>
        <w:t xml:space="preserve">And the angel of the Lord said to him, Why is this that you ask my name? It is wonderful.</w:t>
      </w:r>
    </w:p>
    <w:p>
      <w:r>
        <w:rPr>
          <w:b/>
        </w:rPr>
        <w:t xml:space="preserve">19 </w:t>
      </w:r>
      <w:r>
        <w:t xml:space="preserve">And Manoah took</w:t>
      </w:r>
      <w:r>
        <w:rPr>
          <w:rStyle w:val="FootnoteReference"/>
        </w:rPr>
        <w:footnoteReference w:id="4816"/>
      </w:r>
      <w:r>
        <w:t xml:space="preserve"> the kid of the goats and the sacrifice and offered it on the rock to the Lord, to the Lord who does wonders, while Manoah and his wife were watching.</w:t>
      </w:r>
    </w:p>
    <w:p>
      <w:r>
        <w:rPr>
          <w:b/>
        </w:rPr>
        <w:t xml:space="preserve">20 </w:t>
      </w:r>
      <w:r>
        <w:t xml:space="preserve">And it came to be when the flame</w:t>
      </w:r>
      <w:r>
        <w:rPr>
          <w:rStyle w:val="FootnoteReference"/>
        </w:rPr>
        <w:footnoteReference w:id="4817"/>
      </w:r>
      <w:r>
        <w:t xml:space="preserve"> went up from the altar to heaven, the angel of the Lord went up in the flame</w:t>
      </w:r>
      <w:r>
        <w:rPr>
          <w:rStyle w:val="FootnoteReference"/>
        </w:rPr>
        <w:footnoteReference w:id="4818"/>
      </w:r>
      <w:r>
        <w:t xml:space="preserve">, and Manoah and his wife were watching, and they fell on their faces to the ground.</w:t>
      </w:r>
    </w:p>
    <w:p>
      <w:r>
        <w:rPr>
          <w:b/>
        </w:rPr>
        <w:t xml:space="preserve">21 </w:t>
      </w:r>
      <w:r>
        <w:t xml:space="preserve">And the angel of the Lord did not continue any longer to appear</w:t>
      </w:r>
      <w:r>
        <w:rPr>
          <w:rStyle w:val="FootnoteReference"/>
        </w:rPr>
        <w:footnoteReference w:id="4819"/>
      </w:r>
      <w:r>
        <w:t xml:space="preserve"> to Manoah and to his wife; then Manoah knew</w:t>
      </w:r>
      <w:r>
        <w:rPr>
          <w:rStyle w:val="FootnoteReference"/>
        </w:rPr>
        <w:footnoteReference w:id="4820"/>
      </w:r>
      <w:r>
        <w:t xml:space="preserve"> that he was an angel of the Lord.</w:t>
      </w:r>
    </w:p>
    <w:p>
      <w:r>
        <w:rPr>
          <w:b/>
        </w:rPr>
        <w:t xml:space="preserve">22 </w:t>
      </w:r>
      <w:r>
        <w:t xml:space="preserve">And Manoah said to his wife, We shall</w:t>
      </w:r>
      <w:r>
        <w:rPr>
          <w:rStyle w:val="FootnoteReference"/>
        </w:rPr>
        <w:footnoteReference w:id="4821"/>
      </w:r>
      <w:r>
        <w:t xml:space="preserve"> surely die, because we have seen God.</w:t>
      </w:r>
    </w:p>
    <w:p>
      <w:r>
        <w:rPr>
          <w:b/>
        </w:rPr>
        <w:t xml:space="preserve">23 </w:t>
      </w:r>
      <w:r>
        <w:t xml:space="preserve">And his wife</w:t>
      </w:r>
      <w:r>
        <w:rPr>
          <w:rStyle w:val="FootnoteReference"/>
        </w:rPr>
        <w:footnoteReference w:id="4822"/>
      </w:r>
      <w:r>
        <w:t xml:space="preserve"> said to him, If the Lord desired to kill us, he would not have received from our hands a whole burnt offering and sacrifice, and he would not have enlightened us</w:t>
      </w:r>
      <w:r>
        <w:rPr>
          <w:rStyle w:val="FootnoteReference"/>
        </w:rPr>
        <w:footnoteReference w:id="4823"/>
      </w:r>
      <w:r>
        <w:t xml:space="preserve"> with all these things and would not have made such things heard to us.</w:t>
      </w:r>
    </w:p>
    <w:p>
      <w:r>
        <w:rPr>
          <w:b/>
        </w:rPr>
        <w:t xml:space="preserve">24 </w:t>
      </w:r>
      <w:r>
        <w:t xml:space="preserve">And the woman bore a son and called his name Samson</w:t>
      </w:r>
      <w:r>
        <w:rPr>
          <w:rStyle w:val="FootnoteReference"/>
        </w:rPr>
        <w:footnoteReference w:id="4824"/>
      </w:r>
      <w:r>
        <w:t xml:space="preserve">, and the Lord blessed him, and the child grew.</w:t>
      </w:r>
      <w:r>
        <w:rPr>
          <w:rStyle w:val="FootnoteReference"/>
        </w:rPr>
        <w:footnoteReference w:id="4825"/>
      </w:r>
    </w:p>
    <w:p>
      <w:r>
        <w:rPr>
          <w:b/>
        </w:rPr>
        <w:t xml:space="preserve">25 </w:t>
      </w:r>
      <w:r>
        <w:t xml:space="preserve">And the Spirit</w:t>
      </w:r>
      <w:r>
        <w:rPr>
          <w:rStyle w:val="FootnoteReference"/>
        </w:rPr>
        <w:footnoteReference w:id="4826"/>
      </w:r>
      <w:r>
        <w:t xml:space="preserve"> of the Lord began to go with him in the camp of Dan, between Zorah and between Eshtaol.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Samson went down to Thimnathah and saw a woman in Thimnathah from the daughters of the foreigners, and she was pleasing before him.</w:t>
      </w:r>
    </w:p>
    <w:p>
      <w:r>
        <w:rPr>
          <w:b/>
        </w:rPr>
        <w:t xml:space="preserve">2 </w:t>
      </w:r>
      <w:r>
        <w:t xml:space="preserve">And he went up and reported to his father and to his mother and said, I saw a woman in Thimnathah from the daughters of the foreigners, and now take her for me as wife.</w:t>
      </w:r>
    </w:p>
    <w:p>
      <w:r>
        <w:rPr>
          <w:b/>
        </w:rPr>
        <w:t xml:space="preserve">3 </w:t>
      </w:r>
      <w:r>
        <w:t xml:space="preserve">And his father and his mother said to him, Is there no woman from the daughters of your brothers and among all my people, that you are going to take a wife from the uncircumcised</w:t>
      </w:r>
      <w:r>
        <w:rPr>
          <w:rStyle w:val="FootnoteReference"/>
        </w:rPr>
        <w:footnoteReference w:id="4827"/>
      </w:r>
      <w:r>
        <w:t xml:space="preserve"> foreigners? And Samson said to his father, Take this one for me, because she is pleasing in my eyes.</w:t>
      </w:r>
    </w:p>
    <w:p>
      <w:r>
        <w:rPr>
          <w:b/>
        </w:rPr>
        <w:t xml:space="preserve">4 </w:t>
      </w:r>
      <w:r>
        <w:t xml:space="preserve">And his father and his mother did not know that it was from the Lord, because he was seeking repayment from the foreigners, and at that time the foreigners ruled over the sons of Israel.</w:t>
      </w:r>
    </w:p>
    <w:p>
      <w:r>
        <w:rPr>
          <w:b/>
        </w:rPr>
        <w:t xml:space="preserve">5 </w:t>
      </w:r>
      <w:r>
        <w:t xml:space="preserve">And Samson and his father and his mother went down to Thimnathah and turned aside into the vineyard of Thimnathah, and behold, a lion cub roaring to meet him.</w:t>
      </w:r>
    </w:p>
    <w:p>
      <w:r>
        <w:rPr>
          <w:b/>
        </w:rPr>
        <w:t xml:space="preserve">6 </w:t>
      </w:r>
      <w:r>
        <w:t xml:space="preserve">And the Spirit of the Lord rushed upon him</w:t>
      </w:r>
      <w:r>
        <w:rPr>
          <w:rStyle w:val="FootnoteReference"/>
        </w:rPr>
        <w:footnoteReference w:id="4828"/>
      </w:r>
      <w:r>
        <w:t xml:space="preserve">, and he tore it apart as one tears apart a kid of the goats, and there was nothing in his hand. And he did not report to his father or his mother what he had done.</w:t>
      </w:r>
      <w:r>
        <w:rPr>
          <w:rStyle w:val="FootnoteReference"/>
        </w:rPr>
        <w:footnoteReference w:id="4829"/>
      </w:r>
    </w:p>
    <w:p>
      <w:r>
        <w:rPr>
          <w:b/>
        </w:rPr>
        <w:t xml:space="preserve">7 </w:t>
      </w:r>
      <w:r>
        <w:t xml:space="preserve">And they went down and spoke to the woman, and she was pleasing before Samson.</w:t>
      </w:r>
    </w:p>
    <w:p>
      <w:r>
        <w:rPr>
          <w:b/>
        </w:rPr>
        <w:t xml:space="preserve">8 </w:t>
      </w:r>
      <w:r>
        <w:t xml:space="preserve">And he returned after days to take her</w:t>
      </w:r>
      <w:r>
        <w:rPr>
          <w:rStyle w:val="FootnoteReference"/>
        </w:rPr>
        <w:footnoteReference w:id="4830"/>
      </w:r>
      <w:r>
        <w:t xml:space="preserve">, and he turned aside to see the carcass of the lion, and behold, a swarm of bees was in the mouth of the lion, and there was honey.</w:t>
      </w:r>
    </w:p>
    <w:p>
      <w:r>
        <w:rPr>
          <w:b/>
        </w:rPr>
        <w:t xml:space="preserve">9 </w:t>
      </w:r>
      <w:r>
        <w:t xml:space="preserve">And he took it out into his mouth, and he went on walking and eating, and he went to his father and to his mother and gave to them, and they ate. And he did not report to them that he took the honey from the carcass of the lion.</w:t>
      </w:r>
    </w:p>
    <w:p>
      <w:r>
        <w:rPr>
          <w:b/>
        </w:rPr>
        <w:t xml:space="preserve">10 </w:t>
      </w:r>
      <w:r>
        <w:t xml:space="preserve">And his father went down to the woman, and Samson made there</w:t>
      </w:r>
      <w:r>
        <w:rPr>
          <w:rStyle w:val="FootnoteReference"/>
        </w:rPr>
        <w:footnoteReference w:id="4831"/>
      </w:r>
      <w:r>
        <w:t xml:space="preserve"> a drinking feast seven days, because so the young men used to do.</w:t>
      </w:r>
    </w:p>
    <w:p>
      <w:r>
        <w:rPr>
          <w:b/>
        </w:rPr>
        <w:t xml:space="preserve">11 </w:t>
      </w:r>
      <w:r>
        <w:t xml:space="preserve">And it came to be, in their fearing him, they appointed thirty</w:t>
      </w:r>
      <w:r>
        <w:rPr>
          <w:rStyle w:val="FootnoteReference"/>
        </w:rPr>
        <w:footnoteReference w:id="4832"/>
      </w:r>
      <w:r>
        <w:t xml:space="preserve"> companions for him, and they were with him.</w:t>
      </w:r>
    </w:p>
    <w:p>
      <w:r>
        <w:rPr>
          <w:b/>
        </w:rPr>
        <w:t xml:space="preserve">12 </w:t>
      </w:r>
      <w:r>
        <w:t xml:space="preserve">And Samson said to them, I will now put forth a riddle</w:t>
      </w:r>
      <w:r>
        <w:rPr>
          <w:rStyle w:val="FootnoteReference"/>
        </w:rPr>
        <w:footnoteReference w:id="4833"/>
      </w:r>
      <w:r>
        <w:t xml:space="preserve"> to you, and if you tell me the riddle within the seven days of the feast, I will give you thirty linen cloths and thirty changes of garments.</w:t>
      </w:r>
    </w:p>
    <w:p>
      <w:r>
        <w:rPr>
          <w:b/>
        </w:rPr>
        <w:t xml:space="preserve">13 </w:t>
      </w:r>
      <w:r>
        <w:t xml:space="preserve">But if you are not able to tell me, then you shall give me thirty linen cloths and thirty changes of clothing. And they said to him, Put forth your riddle, and we will hear it.</w:t>
      </w:r>
    </w:p>
    <w:p>
      <w:r>
        <w:rPr>
          <w:b/>
        </w:rPr>
        <w:t xml:space="preserve">14 </w:t>
      </w:r>
      <w:r>
        <w:t xml:space="preserve">And he said to them, Out of the eater</w:t>
      </w:r>
      <w:r>
        <w:rPr>
          <w:rStyle w:val="FootnoteReference"/>
        </w:rPr>
        <w:footnoteReference w:id="4834"/>
      </w:r>
      <w:r>
        <w:t xml:space="preserve"> came food, and out of the strong came sweetness. And they were not able to tell the riddle for three days.</w:t>
      </w:r>
    </w:p>
    <w:p>
      <w:r>
        <w:rPr>
          <w:b/>
        </w:rPr>
        <w:t xml:space="preserve">15 </w:t>
      </w:r>
      <w:r>
        <w:t xml:space="preserve">And it came to be on the fourth day they said to Samson's wife, Deceive your husband, and let him tell you the riddle, lest we burn</w:t>
      </w:r>
      <w:r>
        <w:rPr>
          <w:rStyle w:val="FootnoteReference"/>
        </w:rPr>
        <w:footnoteReference w:id="4835"/>
      </w:r>
      <w:r>
        <w:t xml:space="preserve"> you and your father's house with fire. Did you call us to impoverish us?</w:t>
      </w:r>
      <w:r>
        <w:rPr>
          <w:rStyle w:val="FootnoteReference"/>
        </w:rPr>
        <w:footnoteReference w:id="4836"/>
      </w:r>
    </w:p>
    <w:p>
      <w:r>
        <w:rPr>
          <w:b/>
        </w:rPr>
        <w:t xml:space="preserve">16 </w:t>
      </w:r>
      <w:r>
        <w:t xml:space="preserve">And Samson's wife wept over him and said to him, You hate me and do not love me</w:t>
      </w:r>
      <w:r>
        <w:rPr>
          <w:rStyle w:val="FootnoteReference"/>
        </w:rPr>
        <w:footnoteReference w:id="4837"/>
      </w:r>
      <w:r>
        <w:t xml:space="preserve">, because the riddle that you set forth to the sons of my people you have not told to me. And Samson said to her, Behold, to my father and to my mother I have not</w:t>
      </w:r>
      <w:r>
        <w:rPr>
          <w:rStyle w:val="FootnoteReference"/>
        </w:rPr>
        <w:footnoteReference w:id="4838"/>
      </w:r>
      <w:r>
        <w:t xml:space="preserve"> told it, and shall I tell you?</w:t>
      </w:r>
    </w:p>
    <w:p>
      <w:r>
        <w:rPr>
          <w:b/>
        </w:rPr>
        <w:t xml:space="preserve">17 </w:t>
      </w:r>
      <w:r>
        <w:t xml:space="preserve">And she wept over him during the seven days in which the feast was with them, and it came to be on the seventh day he told her, because she pressed him hard</w:t>
      </w:r>
      <w:r>
        <w:rPr>
          <w:rStyle w:val="FootnoteReference"/>
        </w:rPr>
        <w:footnoteReference w:id="4839"/>
      </w:r>
      <w:r>
        <w:t xml:space="preserve">, and she told</w:t>
      </w:r>
      <w:r>
        <w:rPr>
          <w:rStyle w:val="FootnoteReference"/>
        </w:rPr>
        <w:footnoteReference w:id="4840"/>
      </w:r>
      <w:r>
        <w:t xml:space="preserve"> the sons of her people.</w:t>
      </w:r>
    </w:p>
    <w:p>
      <w:r>
        <w:rPr>
          <w:b/>
        </w:rPr>
        <w:t xml:space="preserve">18 </w:t>
      </w:r>
      <w:r>
        <w:t xml:space="preserve">And the men of the city said to him on the seventh day before the sun went down, What is sweeter than honey, and what is stronger than a lion? And Samson said to them, If you had not plowed with my heifer, you would not have found my riddle.</w:t>
      </w:r>
    </w:p>
    <w:p>
      <w:r>
        <w:rPr>
          <w:b/>
        </w:rPr>
        <w:t xml:space="preserve">19 </w:t>
      </w:r>
      <w:r>
        <w:t xml:space="preserve">And the Spirit</w:t>
      </w:r>
      <w:r>
        <w:rPr>
          <w:rStyle w:val="FootnoteReference"/>
        </w:rPr>
        <w:footnoteReference w:id="4841"/>
      </w:r>
      <w:r>
        <w:t xml:space="preserve"> of the Lord rushed upon him</w:t>
      </w:r>
      <w:r>
        <w:rPr>
          <w:rStyle w:val="FootnoteReference"/>
        </w:rPr>
        <w:footnoteReference w:id="4842"/>
      </w:r>
      <w:r>
        <w:t xml:space="preserve">, and he went down to Ashkelon and struck from there thirty men and took their garments and gave them to those telling the riddle. And the anger of Samson burned, and he went up to his father's house.</w:t>
      </w:r>
    </w:p>
    <w:p>
      <w:r>
        <w:rPr>
          <w:b/>
        </w:rPr>
        <w:t xml:space="preserve">20 </w:t>
      </w:r>
      <w:r>
        <w:t xml:space="preserve">And Samson's wife lived with his bridal companion, who had been his associate.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it came to be after days, in the days of wheat harvest, Samson visited his wife, bringing a kid</w:t>
      </w:r>
      <w:r>
        <w:rPr>
          <w:rStyle w:val="FootnoteReference"/>
        </w:rPr>
        <w:footnoteReference w:id="4843"/>
      </w:r>
      <w:r>
        <w:t xml:space="preserve"> of the goats, and said, I will go in to my wife in the bedroom</w:t>
      </w:r>
      <w:r>
        <w:rPr>
          <w:rStyle w:val="FootnoteReference"/>
        </w:rPr>
        <w:footnoteReference w:id="4844"/>
      </w:r>
      <w:r>
        <w:t xml:space="preserve">. And her father did not allow him to go in to her.</w:t>
      </w:r>
    </w:p>
    <w:p>
      <w:r>
        <w:rPr>
          <w:b/>
        </w:rPr>
        <w:t xml:space="preserve">2 </w:t>
      </w:r>
      <w:r>
        <w:t xml:space="preserve">And her father said, Saying, I said that in hating you hated her, and I gave</w:t>
      </w:r>
      <w:r>
        <w:rPr>
          <w:rStyle w:val="FootnoteReference"/>
        </w:rPr>
        <w:footnoteReference w:id="4845"/>
      </w:r>
      <w:r>
        <w:t xml:space="preserve"> her to your companion. Is not her younger sister better than she? Let her be yours instead of her.</w:t>
      </w:r>
    </w:p>
    <w:p>
      <w:r>
        <w:rPr>
          <w:b/>
        </w:rPr>
        <w:t xml:space="preserve">3 </w:t>
      </w:r>
      <w:r>
        <w:t xml:space="preserve">And Samson said to him, This once I am innocent from the foreigners, because I am doing evil things with you.</w:t>
      </w:r>
    </w:p>
    <w:p>
      <w:r>
        <w:rPr>
          <w:b/>
        </w:rPr>
        <w:t xml:space="preserve">4 </w:t>
      </w:r>
      <w:r>
        <w:t xml:space="preserve">And Samson went and caught three hundred foxes and took torches and tied tail to tail and put one torch between two tails in the middle.</w:t>
      </w:r>
    </w:p>
    <w:p>
      <w:r>
        <w:rPr>
          <w:b/>
        </w:rPr>
        <w:t xml:space="preserve">5 </w:t>
      </w:r>
      <w:r>
        <w:t xml:space="preserve">And he set fire in the torches and let them loose into the sheaves of the foreigners and burned up the ears of grain and the pre-harvested grain from the stack and to what was standing and to vineyard and olive tree.</w:t>
      </w:r>
    </w:p>
    <w:p>
      <w:r>
        <w:rPr>
          <w:b/>
        </w:rPr>
        <w:t xml:space="preserve">6 </w:t>
      </w:r>
      <w:r>
        <w:t xml:space="preserve">And the foreigners said, Who did this? And they said, Samson, son-in-law</w:t>
      </w:r>
      <w:r>
        <w:rPr>
          <w:rStyle w:val="FootnoteReference"/>
        </w:rPr>
        <w:footnoteReference w:id="4846"/>
      </w:r>
      <w:r>
        <w:t xml:space="preserve"> of the Thamnathite, because he took his wife and gave her to his companion</w:t>
      </w:r>
      <w:r>
        <w:rPr>
          <w:rStyle w:val="FootnoteReference"/>
        </w:rPr>
        <w:footnoteReference w:id="4847"/>
      </w:r>
      <w:r>
        <w:t xml:space="preserve">. And the foreigners went up and burned the house of her father and her and her father with fire.</w:t>
      </w:r>
      <w:r>
        <w:rPr>
          <w:rStyle w:val="FootnoteReference"/>
        </w:rPr>
        <w:footnoteReference w:id="4848"/>
      </w:r>
      <w:r>
        <w:rPr>
          <w:rStyle w:val="FootnoteReference"/>
        </w:rPr>
        <w:footnoteReference w:id="4849"/>
      </w:r>
    </w:p>
    <w:p>
      <w:r>
        <w:rPr>
          <w:b/>
        </w:rPr>
        <w:t xml:space="preserve">7 </w:t>
      </w:r>
      <w:r>
        <w:t xml:space="preserve">And Samson said to them, If you do this, I will not be pleased until I make my vengeance on each one of you.</w:t>
      </w:r>
    </w:p>
    <w:p>
      <w:r>
        <w:rPr>
          <w:b/>
        </w:rPr>
        <w:t xml:space="preserve">8 </w:t>
      </w:r>
      <w:r>
        <w:t xml:space="preserve">And he struck them hip upon thigh, a great blow, and he went down and dwelt by the torrent in the cave of Etam</w:t>
      </w:r>
      <w:r>
        <w:rPr>
          <w:rStyle w:val="FootnoteReference"/>
        </w:rPr>
        <w:footnoteReference w:id="4850"/>
      </w:r>
      <w:r>
        <w:t xml:space="preserve">.</w:t>
      </w:r>
    </w:p>
    <w:p>
      <w:r>
        <w:rPr>
          <w:b/>
        </w:rPr>
        <w:t xml:space="preserve">9 </w:t>
      </w:r>
      <w:r>
        <w:t xml:space="preserve">And the foreigners went up and encamped against Judah and were spread out in Lehi</w:t>
      </w:r>
      <w:r>
        <w:rPr>
          <w:rStyle w:val="FootnoteReference"/>
        </w:rPr>
        <w:footnoteReference w:id="4851"/>
      </w:r>
      <w:r>
        <w:t xml:space="preserve">.</w:t>
      </w:r>
      <w:r>
        <w:rPr>
          <w:rStyle w:val="FootnoteReference"/>
        </w:rPr>
        <w:footnoteReference w:id="4852"/>
      </w:r>
    </w:p>
    <w:p>
      <w:r>
        <w:rPr>
          <w:b/>
        </w:rPr>
        <w:t xml:space="preserve">10 </w:t>
      </w:r>
      <w:r>
        <w:t xml:space="preserve">And every man of Judah said to them, Why did you come up against us? And the foreigners said, We came up to bind Samson and do to him as he did to us.</w:t>
      </w:r>
    </w:p>
    <w:p>
      <w:r>
        <w:rPr>
          <w:b/>
        </w:rPr>
        <w:t xml:space="preserve">11 </w:t>
      </w:r>
      <w:r>
        <w:t xml:space="preserve">And three thousand men from Judah went down to the cleft of the rock Etam</w:t>
      </w:r>
      <w:r>
        <w:rPr>
          <w:rStyle w:val="FootnoteReference"/>
        </w:rPr>
        <w:footnoteReference w:id="4853"/>
      </w:r>
      <w:r>
        <w:t xml:space="preserve"> and said to Samson, Do you not know that the foreigners</w:t>
      </w:r>
      <w:r>
        <w:rPr>
          <w:rStyle w:val="FootnoteReference"/>
        </w:rPr>
        <w:footnoteReference w:id="4854"/>
      </w:r>
      <w:r>
        <w:t xml:space="preserve"> rule over us? And why did you do these things to us? And Samson said to them, Just as they did to me, so I did to them.</w:t>
      </w:r>
    </w:p>
    <w:p>
      <w:r>
        <w:rPr>
          <w:b/>
        </w:rPr>
        <w:t xml:space="preserve">12 </w:t>
      </w:r>
      <w:r>
        <w:t xml:space="preserve">And they said to him, We came down to bind you and hand you over into the hands of the foreigners. And Samson said to them, Swear to me that you yourselves will not kill me and hand me over to them, lest you yourselves fall</w:t>
      </w:r>
      <w:r>
        <w:rPr>
          <w:rStyle w:val="FootnoteReference"/>
        </w:rPr>
        <w:footnoteReference w:id="4855"/>
      </w:r>
      <w:r>
        <w:t xml:space="preserve"> upon me.</w:t>
      </w:r>
    </w:p>
    <w:p>
      <w:r>
        <w:rPr>
          <w:b/>
        </w:rPr>
        <w:t xml:space="preserve">13 </w:t>
      </w:r>
      <w:r>
        <w:t xml:space="preserve">And they swore to him, saying, No, but we will surely bind you and hand you over</w:t>
      </w:r>
      <w:r>
        <w:rPr>
          <w:rStyle w:val="FootnoteReference"/>
        </w:rPr>
        <w:footnoteReference w:id="4856"/>
      </w:r>
      <w:r>
        <w:t xml:space="preserve"> into their hands, but with death we will not kill you. And they bound him with two new cords and brought him up from the rock.</w:t>
      </w:r>
    </w:p>
    <w:p>
      <w:r>
        <w:rPr>
          <w:b/>
        </w:rPr>
        <w:t xml:space="preserve">14 </w:t>
      </w:r>
      <w:r>
        <w:t xml:space="preserve">And he came as far as the jawbone, and the foreigners shouted to meet him and ran to meet him. And the Spirit</w:t>
      </w:r>
      <w:r>
        <w:rPr>
          <w:rStyle w:val="FootnoteReference"/>
        </w:rPr>
        <w:footnoteReference w:id="4857"/>
      </w:r>
      <w:r>
        <w:t xml:space="preserve"> of the Lord rushed upon him, and the cords on his arms became like tow when it smells fire</w:t>
      </w:r>
      <w:r>
        <w:rPr>
          <w:rStyle w:val="FootnoteReference"/>
        </w:rPr>
        <w:footnoteReference w:id="4858"/>
      </w:r>
      <w:r>
        <w:t xml:space="preserve">, and his bonds were dissolved from his arms.</w:t>
      </w:r>
    </w:p>
    <w:p>
      <w:r>
        <w:rPr>
          <w:b/>
        </w:rPr>
        <w:t xml:space="preserve">15 </w:t>
      </w:r>
      <w:r>
        <w:t xml:space="preserve">And he found a jawbone of a donkey thrown on the road and stretched out his hand and took it and struck with it a thousand men.</w:t>
      </w:r>
    </w:p>
    <w:p>
      <w:r>
        <w:rPr>
          <w:b/>
        </w:rPr>
        <w:t xml:space="preserve">16 </w:t>
      </w:r>
      <w:r>
        <w:t xml:space="preserve">And Samson said, With the jawbone of a donkey, wiping out, I wiped them out, because with the jawbone of a donkey I struck a thousand men.</w:t>
      </w:r>
    </w:p>
    <w:p>
      <w:r>
        <w:rPr>
          <w:b/>
        </w:rPr>
        <w:t xml:space="preserve">17 </w:t>
      </w:r>
      <w:r>
        <w:t xml:space="preserve">And it came to be when he finished speaking, he threw the jawbone from his hand and called that place Slaughter of Jawbone.</w:t>
      </w:r>
    </w:p>
    <w:p>
      <w:r>
        <w:rPr>
          <w:b/>
        </w:rPr>
        <w:t xml:space="preserve">18 </w:t>
      </w:r>
      <w:r>
        <w:t xml:space="preserve">And he thirsted greatly and cried out to the Lord and said, You gave by the hand of your servant this great salvation</w:t>
      </w:r>
      <w:r>
        <w:rPr>
          <w:rStyle w:val="FootnoteReference"/>
        </w:rPr>
        <w:footnoteReference w:id="4859"/>
      </w:r>
      <w:r>
        <w:t xml:space="preserve">, and now shall I die of thirst and fall</w:t>
      </w:r>
      <w:r>
        <w:rPr>
          <w:rStyle w:val="FootnoteReference"/>
        </w:rPr>
        <w:footnoteReference w:id="4860"/>
      </w:r>
      <w:r>
        <w:t xml:space="preserve"> into the hand of the uncircumcised?</w:t>
      </w:r>
    </w:p>
    <w:p>
      <w:r>
        <w:rPr>
          <w:b/>
        </w:rPr>
        <w:t xml:space="preserve">19 </w:t>
      </w:r>
      <w:r>
        <w:t xml:space="preserve">And God opened the wound of the jawbone, and waters came out of it, and he drank, and his spirit</w:t>
      </w:r>
      <w:r>
        <w:rPr>
          <w:rStyle w:val="FootnoteReference"/>
        </w:rPr>
        <w:footnoteReference w:id="4861"/>
      </w:r>
      <w:r>
        <w:t xml:space="preserve"> returned in him and he revived. Therefore the name of it was called Spring, called of Jawbone, until this day.</w:t>
      </w:r>
      <w:r>
        <w:rPr>
          <w:rStyle w:val="FootnoteReference"/>
        </w:rPr>
        <w:footnoteReference w:id="4862"/>
      </w:r>
    </w:p>
    <w:p>
      <w:r>
        <w:rPr>
          <w:b/>
        </w:rPr>
        <w:t xml:space="preserve">20 </w:t>
      </w:r>
      <w:r>
        <w:t xml:space="preserve">And he judged Israel in the days of the foreigners twenty years.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Samson went from there to Gaza</w:t>
      </w:r>
      <w:r>
        <w:rPr>
          <w:rStyle w:val="FootnoteReference"/>
        </w:rPr>
        <w:footnoteReference w:id="4863"/>
      </w:r>
      <w:r>
        <w:t xml:space="preserve"> and saw there a prostitute woman and went in to her.</w:t>
      </w:r>
    </w:p>
    <w:p>
      <w:r>
        <w:rPr>
          <w:b/>
        </w:rPr>
        <w:t xml:space="preserve">2 </w:t>
      </w:r>
      <w:r>
        <w:t xml:space="preserve">And it was reported to the Gazites</w:t>
      </w:r>
      <w:r>
        <w:rPr>
          <w:rStyle w:val="FootnoteReference"/>
        </w:rPr>
        <w:footnoteReference w:id="4864"/>
      </w:r>
      <w:r>
        <w:t xml:space="preserve">, saying, Samson came here. And they surrounded and lay in ambush</w:t>
      </w:r>
      <w:r>
        <w:rPr>
          <w:rStyle w:val="FootnoteReference"/>
        </w:rPr>
        <w:footnoteReference w:id="4865"/>
      </w:r>
      <w:r>
        <w:t xml:space="preserve"> for him all night at the gate of the city and kept quiet all night, saying, Let us wait until morning light and kill him</w:t>
      </w:r>
      <w:r>
        <w:rPr>
          <w:rStyle w:val="FootnoteReference"/>
        </w:rPr>
        <w:footnoteReference w:id="4866"/>
      </w:r>
      <w:r>
        <w:t xml:space="preserve">.</w:t>
      </w:r>
    </w:p>
    <w:p>
      <w:r>
        <w:rPr>
          <w:b/>
        </w:rPr>
        <w:t xml:space="preserve">3 </w:t>
      </w:r>
      <w:r>
        <w:t xml:space="preserve">And Samson slept until midnight and rose about midnight and took</w:t>
      </w:r>
      <w:r>
        <w:rPr>
          <w:rStyle w:val="FootnoteReference"/>
        </w:rPr>
        <w:footnoteReference w:id="4867"/>
      </w:r>
      <w:r>
        <w:t xml:space="preserve"> hold of the doors of the gate of the city and the two posts and lifted them up with the bar and put them on his shoulders</w:t>
      </w:r>
      <w:r>
        <w:rPr>
          <w:rStyle w:val="FootnoteReference"/>
        </w:rPr>
        <w:footnoteReference w:id="4868"/>
      </w:r>
      <w:r>
        <w:t xml:space="preserve"> and carried them up to the top of the mountain that is opposite Hebron and put them there.</w:t>
      </w:r>
    </w:p>
    <w:p>
      <w:r>
        <w:rPr>
          <w:b/>
        </w:rPr>
        <w:t xml:space="preserve">4 </w:t>
      </w:r>
      <w:r>
        <w:t xml:space="preserve">And it came to be after these things that he loved</w:t>
      </w:r>
      <w:r>
        <w:rPr>
          <w:rStyle w:val="FootnoteReference"/>
        </w:rPr>
        <w:footnoteReference w:id="4869"/>
      </w:r>
      <w:r>
        <w:t xml:space="preserve"> a woman by the torrent Sorek</w:t>
      </w:r>
      <w:r>
        <w:rPr>
          <w:rStyle w:val="FootnoteReference"/>
        </w:rPr>
        <w:footnoteReference w:id="4870"/>
      </w:r>
      <w:r>
        <w:t xml:space="preserve">, and her name was Delilah</w:t>
      </w:r>
      <w:r>
        <w:rPr>
          <w:rStyle w:val="FootnoteReference"/>
        </w:rPr>
        <w:footnoteReference w:id="4871"/>
      </w:r>
      <w:r>
        <w:t xml:space="preserve">.</w:t>
      </w:r>
    </w:p>
    <w:p>
      <w:r>
        <w:rPr>
          <w:b/>
        </w:rPr>
        <w:t xml:space="preserve">5 </w:t>
      </w:r>
      <w:r>
        <w:t xml:space="preserve">And the satraps of the foreigners</w:t>
      </w:r>
      <w:r>
        <w:rPr>
          <w:rStyle w:val="FootnoteReference"/>
        </w:rPr>
        <w:footnoteReference w:id="4872"/>
      </w:r>
      <w:r>
        <w:t xml:space="preserve"> went up to her and said to her, Deceive him and see wherein his great strength lies and in what way we may prevail against him and bind him so as to humble him, and we will</w:t>
      </w:r>
      <w:r>
        <w:rPr>
          <w:rStyle w:val="FootnoteReference"/>
        </w:rPr>
        <w:footnoteReference w:id="4873"/>
      </w:r>
      <w:r>
        <w:t xml:space="preserve"> give you, each man, one thousand one hundred silver pieces.</w:t>
      </w:r>
    </w:p>
    <w:p>
      <w:r>
        <w:rPr>
          <w:b/>
        </w:rPr>
        <w:t xml:space="preserve">6 </w:t>
      </w:r>
      <w:r>
        <w:t xml:space="preserve">And Delilah said to Samson, Tell me wherein your great strength lies and in what way you may be bound for your humbling.</w:t>
      </w:r>
    </w:p>
    <w:p>
      <w:r>
        <w:rPr>
          <w:b/>
        </w:rPr>
        <w:t xml:space="preserve">7 </w:t>
      </w:r>
      <w:r>
        <w:t xml:space="preserve">And Samson said to her, If they bind</w:t>
      </w:r>
      <w:r>
        <w:rPr>
          <w:rStyle w:val="FootnoteReference"/>
        </w:rPr>
        <w:footnoteReference w:id="4874"/>
      </w:r>
      <w:r>
        <w:t xml:space="preserve"> me with seven fresh sinews not dried out, I will grow weak and become like one of the men.</w:t>
      </w:r>
    </w:p>
    <w:p>
      <w:r>
        <w:rPr>
          <w:b/>
        </w:rPr>
        <w:t xml:space="preserve">8 </w:t>
      </w:r>
      <w:r>
        <w:t xml:space="preserve">And the satraps of the foreigners brought up to her seven fresh sinews not dried out, and she bound him</w:t>
      </w:r>
      <w:r>
        <w:rPr>
          <w:rStyle w:val="FootnoteReference"/>
        </w:rPr>
        <w:footnoteReference w:id="4875"/>
      </w:r>
      <w:r>
        <w:t xml:space="preserve"> with them.</w:t>
      </w:r>
    </w:p>
    <w:p>
      <w:r>
        <w:rPr>
          <w:b/>
        </w:rPr>
        <w:t xml:space="preserve">9 </w:t>
      </w:r>
      <w:r>
        <w:t xml:space="preserve">And the ambush was sitting in the inner room, and she said to him, Foreigners are upon you, Samson. And he tore the sinews</w:t>
      </w:r>
      <w:r>
        <w:rPr>
          <w:rStyle w:val="FootnoteReference"/>
        </w:rPr>
        <w:footnoteReference w:id="4876"/>
      </w:r>
      <w:r>
        <w:t xml:space="preserve"> just as a strand of tow is torn when it smells fire, and his strength was not known.</w:t>
      </w:r>
    </w:p>
    <w:p>
      <w:r>
        <w:rPr>
          <w:b/>
        </w:rPr>
        <w:t xml:space="preserve">10 </w:t>
      </w:r>
      <w:r>
        <w:t xml:space="preserve">And Delilah said to Samson, Behold, you mocked me and spoke lies to me. Now then tell me in what you may be bound.</w:t>
      </w:r>
    </w:p>
    <w:p>
      <w:r>
        <w:rPr>
          <w:b/>
        </w:rPr>
        <w:t xml:space="preserve">11 </w:t>
      </w:r>
      <w:r>
        <w:t xml:space="preserve">And he said to her, If they bind me</w:t>
      </w:r>
      <w:r>
        <w:rPr>
          <w:rStyle w:val="FootnoteReference"/>
        </w:rPr>
        <w:footnoteReference w:id="4877"/>
      </w:r>
      <w:r>
        <w:t xml:space="preserve"> with seven new cords in which no work has been done, I will grow weak and become like one of the men.</w:t>
      </w:r>
    </w:p>
    <w:p>
      <w:r>
        <w:rPr>
          <w:b/>
        </w:rPr>
        <w:t xml:space="preserve">12 </w:t>
      </w:r>
      <w:r>
        <w:t xml:space="preserve">And Delilah took new cords for him and bound him with them and said to him, The foreigners are upon you, Samson. And the ambush was sitting in the inner room</w:t>
      </w:r>
      <w:r>
        <w:rPr>
          <w:rStyle w:val="FootnoteReference"/>
        </w:rPr>
        <w:footnoteReference w:id="4878"/>
      </w:r>
      <w:r>
        <w:t xml:space="preserve">. And he tore them from his arms like thread.</w:t>
      </w:r>
    </w:p>
    <w:p>
      <w:r>
        <w:rPr>
          <w:b/>
        </w:rPr>
        <w:t xml:space="preserve">13 </w:t>
      </w:r>
      <w:r>
        <w:t xml:space="preserve">And Delilah said to Samson, Until now you have mocked me and spoken lies to me. Tell me in what you may be bound. And he said to her, If you weave the seven locks of my head with the web and fasten it with the peg into the wall, I will become weak like one of the men.</w:t>
      </w:r>
    </w:p>
    <w:p>
      <w:r>
        <w:rPr>
          <w:b/>
        </w:rPr>
        <w:t xml:space="preserve">14 </w:t>
      </w:r>
      <w:r>
        <w:t xml:space="preserve">And Delilah put him to sleep and wove the seven curls of his head with the web and fastened them with the pegs into the wall and said to him, The foreigners are upon you, Samson. And he woke from his sleep and pulled out the pegs together with the woven cloth from the wall and the web, and his strength was not known.</w:t>
      </w:r>
    </w:p>
    <w:p>
      <w:r>
        <w:rPr>
          <w:b/>
        </w:rPr>
        <w:t xml:space="preserve">15 </w:t>
      </w:r>
      <w:r>
        <w:t xml:space="preserve">And Delilah said to him, How can you say, I loved you, and your heart is not with me? This third time you mocked me and did not tell me wherein your great strength lies.</w:t>
      </w:r>
    </w:p>
    <w:p>
      <w:r>
        <w:rPr>
          <w:b/>
        </w:rPr>
        <w:t xml:space="preserve">16 </w:t>
      </w:r>
      <w:r>
        <w:t xml:space="preserve">And it came to be when she wore him down with her words all night and troubled him, he grew short of soul unto death.</w:t>
      </w:r>
    </w:p>
    <w:p>
      <w:r>
        <w:rPr>
          <w:b/>
        </w:rPr>
        <w:t xml:space="preserve">17 </w:t>
      </w:r>
      <w:r>
        <w:t xml:space="preserve">And he told her everything from his heart and said to her, A razor has not come upon my head, because I am a Nazirite of God</w:t>
      </w:r>
      <w:r>
        <w:rPr>
          <w:rStyle w:val="FootnoteReference"/>
        </w:rPr>
        <w:footnoteReference w:id="4879"/>
      </w:r>
      <w:r>
        <w:t xml:space="preserve"> from my mother's womb, and if I am shaved, my strength will depart from me, and I will grow weak and become like all men.</w:t>
      </w:r>
    </w:p>
    <w:p>
      <w:r>
        <w:rPr>
          <w:b/>
        </w:rPr>
        <w:t xml:space="preserve">18 </w:t>
      </w:r>
      <w:r>
        <w:t xml:space="preserve">And Delilah saw that he had told her everything from his heart, and she sent and called all the satraps of the foreigners, saying, Come up</w:t>
      </w:r>
      <w:r>
        <w:rPr>
          <w:rStyle w:val="FootnoteReference"/>
        </w:rPr>
        <w:footnoteReference w:id="4880"/>
      </w:r>
      <w:r>
        <w:t xml:space="preserve"> this once, because he told me all his heart</w:t>
      </w:r>
      <w:r>
        <w:rPr>
          <w:rStyle w:val="FootnoteReference"/>
        </w:rPr>
        <w:footnoteReference w:id="4881"/>
      </w:r>
      <w:r>
        <w:t xml:space="preserve">. And all the satraps of the foreigners came up to her and brought the silver in their hands.</w:t>
      </w:r>
    </w:p>
    <w:p>
      <w:r>
        <w:rPr>
          <w:b/>
        </w:rPr>
        <w:t xml:space="preserve">19 </w:t>
      </w:r>
      <w:r>
        <w:t xml:space="preserve">And she put him to sleep between her knees and called the barber and shaved the seven curls of his head, and he began to be humbled, and his strength departed from him.</w:t>
      </w:r>
    </w:p>
    <w:p>
      <w:r>
        <w:rPr>
          <w:b/>
        </w:rPr>
        <w:t xml:space="preserve">20 </w:t>
      </w:r>
      <w:r>
        <w:t xml:space="preserve">And Delilah said to him, The foreigners are upon you, Samson. And he woke from his sleep and said, I will go</w:t>
      </w:r>
      <w:r>
        <w:rPr>
          <w:rStyle w:val="FootnoteReference"/>
        </w:rPr>
        <w:footnoteReference w:id="4882"/>
      </w:r>
      <w:r>
        <w:t xml:space="preserve"> out and do as always and shake myself free. And he did not know that the Lord had departed from him.</w:t>
      </w:r>
    </w:p>
    <w:p>
      <w:r>
        <w:rPr>
          <w:b/>
        </w:rPr>
        <w:t xml:space="preserve">21 </w:t>
      </w:r>
      <w:r>
        <w:t xml:space="preserve">And the foreigners seized him and gouged out his eyes and brought him down to Gaza and bound him</w:t>
      </w:r>
      <w:r>
        <w:rPr>
          <w:rStyle w:val="FootnoteReference"/>
        </w:rPr>
        <w:footnoteReference w:id="4883"/>
      </w:r>
      <w:r>
        <w:t xml:space="preserve"> with bronze fetters, and he was grinding in the prison house.</w:t>
      </w:r>
    </w:p>
    <w:p>
      <w:r>
        <w:rPr>
          <w:b/>
        </w:rPr>
        <w:t xml:space="preserve">22 </w:t>
      </w:r>
      <w:r>
        <w:t xml:space="preserve">And the hair</w:t>
      </w:r>
      <w:r>
        <w:rPr>
          <w:rStyle w:val="FootnoteReference"/>
        </w:rPr>
        <w:footnoteReference w:id="4884"/>
      </w:r>
      <w:r>
        <w:t xml:space="preserve"> of his head began to grow back when he was shaved.</w:t>
      </w:r>
    </w:p>
    <w:p>
      <w:r>
        <w:rPr>
          <w:b/>
        </w:rPr>
        <w:t xml:space="preserve">23 </w:t>
      </w:r>
      <w:r>
        <w:t xml:space="preserve">And the satraps of the foreigners gathered</w:t>
      </w:r>
      <w:r>
        <w:rPr>
          <w:rStyle w:val="FootnoteReference"/>
        </w:rPr>
        <w:footnoteReference w:id="4885"/>
      </w:r>
      <w:r>
        <w:t xml:space="preserve"> to sacrifice a great sacrifice to Dagon</w:t>
      </w:r>
      <w:r>
        <w:rPr>
          <w:rStyle w:val="FootnoteReference"/>
        </w:rPr>
        <w:footnoteReference w:id="4886"/>
      </w:r>
      <w:r>
        <w:t xml:space="preserve"> their god and to rejoice, and they said, Our god gave Samson our enemy into our hand.</w:t>
      </w:r>
      <w:r>
        <w:rPr>
          <w:rStyle w:val="FootnoteReference"/>
        </w:rPr>
        <w:footnoteReference w:id="4887"/>
      </w:r>
    </w:p>
    <w:p>
      <w:r>
        <w:rPr>
          <w:b/>
        </w:rPr>
        <w:t xml:space="preserve">24 </w:t>
      </w:r>
      <w:r>
        <w:t xml:space="preserve">And the people saw him and praised</w:t>
      </w:r>
      <w:r>
        <w:rPr>
          <w:rStyle w:val="FootnoteReference"/>
        </w:rPr>
        <w:footnoteReference w:id="4888"/>
      </w:r>
      <w:r>
        <w:t xml:space="preserve"> their gods and said, Our god gave our enemy into our hand, the one ravaging our land</w:t>
      </w:r>
      <w:r>
        <w:rPr>
          <w:rStyle w:val="FootnoteReference"/>
        </w:rPr>
        <w:footnoteReference w:id="4889"/>
      </w:r>
      <w:r>
        <w:t xml:space="preserve">, who multiplied our wounded.</w:t>
      </w:r>
    </w:p>
    <w:p>
      <w:r>
        <w:rPr>
          <w:b/>
        </w:rPr>
        <w:t xml:space="preserve">25 </w:t>
      </w:r>
      <w:r>
        <w:t xml:space="preserve">And it came to be when their heart grew good</w:t>
      </w:r>
      <w:r>
        <w:rPr>
          <w:rStyle w:val="FootnoteReference"/>
        </w:rPr>
        <w:footnoteReference w:id="4890"/>
      </w:r>
      <w:r>
        <w:t xml:space="preserve">, they said, Call Samson out of the prison house and let him play before us. And they called Samson out of the prison house, and they mocked him, and they set him between the two pillars.</w:t>
      </w:r>
    </w:p>
    <w:p>
      <w:r>
        <w:rPr>
          <w:b/>
        </w:rPr>
        <w:t xml:space="preserve">26 </w:t>
      </w:r>
      <w:r>
        <w:t xml:space="preserve">And Samson said to the young servant guiding his hand, Let me rest now and let me feel the pillars upon which the house has been supported, and I will lean upon them. And the boy did so.</w:t>
      </w:r>
    </w:p>
    <w:p>
      <w:r>
        <w:rPr>
          <w:b/>
        </w:rPr>
        <w:t xml:space="preserve">27 </w:t>
      </w:r>
      <w:r>
        <w:t xml:space="preserve">And the house was full of men and women, and all the satraps of the foreigners were there, and on the roof</w:t>
      </w:r>
      <w:r>
        <w:rPr>
          <w:rStyle w:val="FootnoteReference"/>
        </w:rPr>
        <w:footnoteReference w:id="4891"/>
      </w:r>
      <w:r>
        <w:t xml:space="preserve"> were about three thousand men and women looking on as Samson was mocked.</w:t>
      </w:r>
    </w:p>
    <w:p>
      <w:r>
        <w:rPr>
          <w:b/>
        </w:rPr>
        <w:t xml:space="preserve">28 </w:t>
      </w:r>
      <w:r>
        <w:t xml:space="preserve">And Samson cried out to the Lord and said, Lord, Lord, remember me</w:t>
      </w:r>
      <w:r>
        <w:rPr>
          <w:rStyle w:val="FootnoteReference"/>
        </w:rPr>
        <w:footnoteReference w:id="4892"/>
      </w:r>
      <w:r>
        <w:t xml:space="preserve"> and strengthen me now, only this once, and I will exact one vengeance for my two eyes from the foreigners.</w:t>
      </w:r>
    </w:p>
    <w:p>
      <w:r>
        <w:rPr>
          <w:b/>
        </w:rPr>
        <w:t xml:space="preserve">29 </w:t>
      </w:r>
      <w:r>
        <w:t xml:space="preserve">And Samson took hold of the two middle pillars upon which the house had been supported and leaned upon them, one with his right hand and one with his left.</w:t>
      </w:r>
    </w:p>
    <w:p>
      <w:r>
        <w:rPr>
          <w:b/>
        </w:rPr>
        <w:t xml:space="preserve">30 </w:t>
      </w:r>
      <w:r>
        <w:t xml:space="preserve">And Samson said, Let my soul die</w:t>
      </w:r>
      <w:r>
        <w:rPr>
          <w:rStyle w:val="FootnoteReference"/>
        </w:rPr>
        <w:footnoteReference w:id="4893"/>
      </w:r>
      <w:r>
        <w:t xml:space="preserve"> with the foreigners. And he bent in strength, and the house</w:t>
      </w:r>
      <w:r>
        <w:rPr>
          <w:rStyle w:val="FootnoteReference"/>
        </w:rPr>
        <w:footnoteReference w:id="4894"/>
      </w:r>
      <w:r>
        <w:t xml:space="preserve"> fell upon the satraps and upon all the people in it, and the dead whom Samson killed in his death were more than those whom he killed in his life.</w:t>
      </w:r>
    </w:p>
    <w:p>
      <w:r>
        <w:rPr>
          <w:b/>
        </w:rPr>
        <w:t xml:space="preserve">31 </w:t>
      </w:r>
      <w:r>
        <w:t xml:space="preserve">And his brothers and all the house of his father</w:t>
      </w:r>
      <w:r>
        <w:rPr>
          <w:rStyle w:val="FootnoteReference"/>
        </w:rPr>
        <w:footnoteReference w:id="4895"/>
      </w:r>
      <w:r>
        <w:t xml:space="preserve"> went down and took him and went up and buried him between Zorah</w:t>
      </w:r>
      <w:r>
        <w:rPr>
          <w:rStyle w:val="FootnoteReference"/>
        </w:rPr>
        <w:footnoteReference w:id="4896"/>
      </w:r>
      <w:r>
        <w:t xml:space="preserve"> and between Eshtaol in the tomb of Manoah his father. And he judged Israel twenty years.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there was</w:t>
      </w:r>
      <w:r>
        <w:rPr>
          <w:rStyle w:val="FootnoteReference"/>
        </w:rPr>
        <w:footnoteReference w:id="4897"/>
      </w:r>
      <w:r>
        <w:t xml:space="preserve"> a man from the hill-country of Ephraim, and his name was Micah.</w:t>
      </w:r>
    </w:p>
    <w:p>
      <w:r>
        <w:rPr>
          <w:b/>
        </w:rPr>
        <w:t xml:space="preserve">2 </w:t>
      </w:r>
      <w:r>
        <w:t xml:space="preserve">And he said to his mother, The eleven hundred silver pieces taken from you, about which you pronounced an oath</w:t>
      </w:r>
      <w:r>
        <w:rPr>
          <w:rStyle w:val="FootnoteReference"/>
        </w:rPr>
        <w:footnoteReference w:id="4898"/>
      </w:r>
      <w:r>
        <w:t xml:space="preserve"> and spoke in my ears, behold, the silver is with me; I took it</w:t>
      </w:r>
      <w:r>
        <w:rPr>
          <w:rStyle w:val="FootnoteReference"/>
        </w:rPr>
        <w:footnoteReference w:id="4899"/>
      </w:r>
      <w:r>
        <w:t xml:space="preserve">. And his mother said, Blessed be my son to the Lord.</w:t>
      </w:r>
    </w:p>
    <w:p>
      <w:r>
        <w:rPr>
          <w:b/>
        </w:rPr>
        <w:t xml:space="preserve">3 </w:t>
      </w:r>
      <w:r>
        <w:t xml:space="preserve">And he returned the eleven hundred silver pieces to his mother, and his mother said, With consecration I consecrated</w:t>
      </w:r>
      <w:r>
        <w:rPr>
          <w:rStyle w:val="FootnoteReference"/>
        </w:rPr>
        <w:footnoteReference w:id="4900"/>
      </w:r>
      <w:r>
        <w:t xml:space="preserve"> the silver to the Lord from my hand alone, to make a carved image and a molten image, and now I will return them to you and give it back to you.</w:t>
      </w:r>
    </w:p>
    <w:p>
      <w:r>
        <w:rPr>
          <w:b/>
        </w:rPr>
        <w:t xml:space="preserve">4 </w:t>
      </w:r>
      <w:r>
        <w:t xml:space="preserve">And he returned the silver to his mother, and his mother took two hundred</w:t>
      </w:r>
      <w:r>
        <w:rPr>
          <w:rStyle w:val="FootnoteReference"/>
        </w:rPr>
        <w:footnoteReference w:id="4901"/>
      </w:r>
      <w:r>
        <w:t xml:space="preserve"> silver pieces and gave it to the metalworker, and he made it into a carved image and a molten image</w:t>
      </w:r>
      <w:r>
        <w:rPr>
          <w:rStyle w:val="FootnoteReference"/>
        </w:rPr>
        <w:footnoteReference w:id="4902"/>
      </w:r>
      <w:r>
        <w:t xml:space="preserve">, and it came to be in the house of Micah.</w:t>
      </w:r>
    </w:p>
    <w:p>
      <w:r>
        <w:rPr>
          <w:b/>
        </w:rPr>
        <w:t xml:space="preserve">5 </w:t>
      </w:r>
      <w:r>
        <w:t xml:space="preserve">And the man Micah had a house of God, and he made an ephod</w:t>
      </w:r>
      <w:r>
        <w:rPr>
          <w:rStyle w:val="FootnoteReference"/>
        </w:rPr>
        <w:footnoteReference w:id="4903"/>
      </w:r>
      <w:r>
        <w:t xml:space="preserve"> and teraphim and filled the hand of one of his sons, and he became priest for him.</w:t>
      </w:r>
    </w:p>
    <w:p>
      <w:r>
        <w:rPr>
          <w:b/>
        </w:rPr>
        <w:t xml:space="preserve">6 </w:t>
      </w:r>
      <w:r>
        <w:t xml:space="preserve">In those days there was no king</w:t>
      </w:r>
      <w:r>
        <w:rPr>
          <w:rStyle w:val="FootnoteReference"/>
        </w:rPr>
        <w:footnoteReference w:id="4904"/>
      </w:r>
      <w:r>
        <w:t xml:space="preserve"> in Israel; each man did what was good in his own eyes.</w:t>
      </w:r>
    </w:p>
    <w:p>
      <w:r>
        <w:rPr>
          <w:b/>
        </w:rPr>
        <w:t xml:space="preserve">7 </w:t>
      </w:r>
      <w:r>
        <w:t xml:space="preserve">And there was a young man from Bethlehem, clan of Judah, from the family of Judah, and he was a Levite, and he was staying there as a resident.</w:t>
      </w:r>
    </w:p>
    <w:p>
      <w:r>
        <w:rPr>
          <w:b/>
        </w:rPr>
        <w:t xml:space="preserve">8 </w:t>
      </w:r>
      <w:r>
        <w:t xml:space="preserve">And the man went from the city of Judah, from Bethlehem, to reside wherever he might find, and he came to the hill-country of Ephraim, as far as the house of Micah, to make his way.</w:t>
      </w:r>
    </w:p>
    <w:p>
      <w:r>
        <w:rPr>
          <w:b/>
        </w:rPr>
        <w:t xml:space="preserve">9 </w:t>
      </w:r>
      <w:r>
        <w:t xml:space="preserve">And Micah said to him, From where do you come? And he said to him, I am a Levite from Bethlehem of Judah, and I am going to reside wherever I may find.</w:t>
      </w:r>
    </w:p>
    <w:p>
      <w:r>
        <w:rPr>
          <w:b/>
        </w:rPr>
        <w:t xml:space="preserve">10 </w:t>
      </w:r>
      <w:r>
        <w:t xml:space="preserve">And Micah said to him, Stay with me and become to me as father and as priest, and I will give</w:t>
      </w:r>
      <w:r>
        <w:rPr>
          <w:rStyle w:val="FootnoteReference"/>
        </w:rPr>
        <w:footnoteReference w:id="4905"/>
      </w:r>
      <w:r>
        <w:t xml:space="preserve"> you ten silver pieces for days, and a pair of garments, and your living. And the Levite went.</w:t>
      </w:r>
    </w:p>
    <w:p>
      <w:r>
        <w:rPr>
          <w:b/>
        </w:rPr>
        <w:t xml:space="preserve">11 </w:t>
      </w:r>
      <w:r>
        <w:t xml:space="preserve">And he began to reside with the man, and the young man became to him like one of his sons.</w:t>
      </w:r>
    </w:p>
    <w:p>
      <w:r>
        <w:rPr>
          <w:b/>
        </w:rPr>
        <w:t xml:space="preserve">12 </w:t>
      </w:r>
      <w:r>
        <w:t xml:space="preserve">And Micah filled the hand of the Levite</w:t>
      </w:r>
      <w:r>
        <w:rPr>
          <w:rStyle w:val="FootnoteReference"/>
        </w:rPr>
        <w:footnoteReference w:id="4906"/>
      </w:r>
      <w:r>
        <w:t xml:space="preserve">, and the young man became his priest</w:t>
      </w:r>
      <w:r>
        <w:rPr>
          <w:rStyle w:val="FootnoteReference"/>
        </w:rPr>
        <w:footnoteReference w:id="4907"/>
      </w:r>
      <w:r>
        <w:t xml:space="preserve"> and was in the house of Micah.</w:t>
      </w:r>
    </w:p>
    <w:p>
      <w:r>
        <w:rPr>
          <w:b/>
        </w:rPr>
        <w:t xml:space="preserve">13 </w:t>
      </w:r>
      <w:r>
        <w:t xml:space="preserve">And Micah said, Now I know that the Lord has done me good, because the Levite has become my priest.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In those days there was no king</w:t>
      </w:r>
      <w:r>
        <w:rPr>
          <w:rStyle w:val="FootnoteReference"/>
        </w:rPr>
        <w:footnoteReference w:id="4908"/>
      </w:r>
      <w:r>
        <w:t xml:space="preserve"> in Israel, and in those days the tribe of Dan was seeking for itself an inheritance to dwell in, because until those days no inheritance had fallen to it in the midst of the tribes of Israel.</w:t>
      </w:r>
    </w:p>
    <w:p>
      <w:r>
        <w:rPr>
          <w:b/>
        </w:rPr>
        <w:t xml:space="preserve">2 </w:t>
      </w:r>
      <w:r>
        <w:t xml:space="preserve">And the sons of Dan sent from their families five men from among them, sons of strength</w:t>
      </w:r>
      <w:r>
        <w:rPr>
          <w:rStyle w:val="FootnoteReference"/>
        </w:rPr>
        <w:footnoteReference w:id="4909"/>
      </w:r>
      <w:r>
        <w:t xml:space="preserve">, from Zorah</w:t>
      </w:r>
      <w:r>
        <w:rPr>
          <w:rStyle w:val="FootnoteReference"/>
        </w:rPr>
        <w:footnoteReference w:id="4910"/>
      </w:r>
      <w:r>
        <w:t xml:space="preserve"> and Eshtaol, to inspect the land and to search it out, and they said to them, Go and search out the land. And they came to the hill-country of Ephraim as far as the house of Micah and rested there.</w:t>
      </w:r>
    </w:p>
    <w:p>
      <w:r>
        <w:rPr>
          <w:b/>
        </w:rPr>
        <w:t xml:space="preserve">3 </w:t>
      </w:r>
      <w:r>
        <w:t xml:space="preserve">While they were by the house of Micah, they recognized the voice of the young Levite</w:t>
      </w:r>
      <w:r>
        <w:rPr>
          <w:rStyle w:val="FootnoteReference"/>
        </w:rPr>
        <w:footnoteReference w:id="4911"/>
      </w:r>
      <w:r>
        <w:t xml:space="preserve">, and they turned aside there and said to him, Who brought you here, and what are you doing in this place, and what do you have here?</w:t>
      </w:r>
    </w:p>
    <w:p>
      <w:r>
        <w:rPr>
          <w:b/>
        </w:rPr>
        <w:t xml:space="preserve">4 </w:t>
      </w:r>
      <w:r>
        <w:t xml:space="preserve">And he said to them, Thus and thus Micah did for me, and he hired me</w:t>
      </w:r>
      <w:r>
        <w:rPr>
          <w:rStyle w:val="FootnoteReference"/>
        </w:rPr>
        <w:footnoteReference w:id="4912"/>
      </w:r>
      <w:r>
        <w:t xml:space="preserve">, and I became his priest.</w:t>
      </w:r>
    </w:p>
    <w:p>
      <w:r>
        <w:rPr>
          <w:b/>
        </w:rPr>
        <w:t xml:space="preserve">5 </w:t>
      </w:r>
      <w:r>
        <w:t xml:space="preserve">And they said to him, Inquire now of God</w:t>
      </w:r>
      <w:r>
        <w:rPr>
          <w:rStyle w:val="FootnoteReference"/>
        </w:rPr>
        <w:footnoteReference w:id="4913"/>
      </w:r>
      <w:r>
        <w:t xml:space="preserve">, and we will know whether our way on which we are going will prosper.</w:t>
      </w:r>
    </w:p>
    <w:p>
      <w:r>
        <w:rPr>
          <w:b/>
        </w:rPr>
        <w:t xml:space="preserve">6 </w:t>
      </w:r>
      <w:r>
        <w:t xml:space="preserve">And the priest said to them, Go in peace</w:t>
      </w:r>
      <w:r>
        <w:rPr>
          <w:rStyle w:val="FootnoteReference"/>
        </w:rPr>
        <w:footnoteReference w:id="4914"/>
      </w:r>
      <w:r>
        <w:t xml:space="preserve">. Before the Lord is your way in which you are going.</w:t>
      </w:r>
      <w:r>
        <w:rPr>
          <w:rStyle w:val="FootnoteReference"/>
        </w:rPr>
        <w:footnoteReference w:id="4915"/>
      </w:r>
    </w:p>
    <w:p>
      <w:r>
        <w:rPr>
          <w:b/>
        </w:rPr>
        <w:t xml:space="preserve">7 </w:t>
      </w:r>
      <w:r>
        <w:t xml:space="preserve">And the five men went and came to Laish</w:t>
      </w:r>
      <w:r>
        <w:rPr>
          <w:rStyle w:val="FootnoteReference"/>
        </w:rPr>
        <w:footnoteReference w:id="4916"/>
      </w:r>
      <w:r>
        <w:t xml:space="preserve"> and saw the people dwelling in it, sitting in confidence</w:t>
      </w:r>
      <w:r>
        <w:rPr>
          <w:rStyle w:val="FootnoteReference"/>
        </w:rPr>
        <w:footnoteReference w:id="4917"/>
      </w:r>
      <w:r>
        <w:t xml:space="preserve"> according to the judgment of the Sidonians, being quiet in confidence and unable to speak a word, because they are far from Sidon and have no dealings with Syria.</w:t>
      </w:r>
      <w:r>
        <w:rPr>
          <w:rStyle w:val="FootnoteReference"/>
        </w:rPr>
        <w:footnoteReference w:id="4918"/>
      </w:r>
    </w:p>
    <w:p>
      <w:r>
        <w:rPr>
          <w:b/>
        </w:rPr>
        <w:t xml:space="preserve">8 </w:t>
      </w:r>
      <w:r>
        <w:t xml:space="preserve">And the five men came to their brothers at Zorah and Eshtaol</w:t>
      </w:r>
      <w:r>
        <w:rPr>
          <w:rStyle w:val="FootnoteReference"/>
        </w:rPr>
        <w:footnoteReference w:id="4919"/>
      </w:r>
      <w:r>
        <w:t xml:space="preserve">, and their brothers said to them, Why are you sitting here?</w:t>
      </w:r>
    </w:p>
    <w:p>
      <w:r>
        <w:rPr>
          <w:b/>
        </w:rPr>
        <w:t xml:space="preserve">9 </w:t>
      </w:r>
      <w:r>
        <w:t xml:space="preserve">And they said, Rise and let us go up against them, because we entered and walked through the land as far as Laish and saw the people dwelling in it in confidence according to the custom of the Sidonians, and they are far from Sidon and have no dealings with Syria. But rise and let us go up against them, because we found the land, and behold, it is very good, and you keep silent. Do not hesitate to go, to enter and inherit the land.</w:t>
      </w:r>
    </w:p>
    <w:p>
      <w:r>
        <w:rPr>
          <w:b/>
        </w:rPr>
        <w:t xml:space="preserve">10 </w:t>
      </w:r>
      <w:r>
        <w:t xml:space="preserve">When you enter, you will come to a trusting people, and the land is broad, because God has given it into your hand, a place where there</w:t>
      </w:r>
      <w:r>
        <w:rPr>
          <w:rStyle w:val="FootnoteReference"/>
        </w:rPr>
        <w:footnoteReference w:id="4920"/>
      </w:r>
      <w:r>
        <w:t xml:space="preserve"> is no lack of anything that is in the land.</w:t>
      </w:r>
    </w:p>
    <w:p>
      <w:r>
        <w:rPr>
          <w:b/>
        </w:rPr>
        <w:t xml:space="preserve">11 </w:t>
      </w:r>
      <w:r>
        <w:t xml:space="preserve">And from the family of Dan, from Zorah and Eshtaol, six hundred men girded with the weapons of war set out.</w:t>
      </w:r>
    </w:p>
    <w:p>
      <w:r>
        <w:rPr>
          <w:b/>
        </w:rPr>
        <w:t xml:space="preserve">12 </w:t>
      </w:r>
      <w:r>
        <w:t xml:space="preserve">And they went up and encamped in Kirjathjearim</w:t>
      </w:r>
      <w:r>
        <w:rPr>
          <w:rStyle w:val="FootnoteReference"/>
        </w:rPr>
        <w:footnoteReference w:id="4921"/>
      </w:r>
      <w:r>
        <w:t xml:space="preserve"> in Judah. Therefore that place was called Camp of Dan until this day; behold, it is behind Kirjathjearim.</w:t>
      </w:r>
    </w:p>
    <w:p>
      <w:r>
        <w:rPr>
          <w:b/>
        </w:rPr>
        <w:t xml:space="preserve">13 </w:t>
      </w:r>
      <w:r>
        <w:t xml:space="preserve">They passed on from there and came to the hill-country of Ephraim and came to the house of Micah.</w:t>
      </w:r>
    </w:p>
    <w:p>
      <w:r>
        <w:rPr>
          <w:b/>
        </w:rPr>
        <w:t xml:space="preserve">14 </w:t>
      </w:r>
      <w:r>
        <w:t xml:space="preserve">And the five men going to inspect the land answered and said to their brothers, Do you know that in these houses</w:t>
      </w:r>
      <w:r>
        <w:rPr>
          <w:rStyle w:val="FootnoteReference"/>
        </w:rPr>
        <w:footnoteReference w:id="4922"/>
      </w:r>
      <w:r>
        <w:t xml:space="preserve"> there are an ephod and teraphim and a carved image and a molten image? And now know what you will do.</w:t>
      </w:r>
      <w:r>
        <w:rPr>
          <w:rStyle w:val="FootnoteReference"/>
        </w:rPr>
        <w:footnoteReference w:id="4923"/>
      </w:r>
    </w:p>
    <w:p>
      <w:r>
        <w:rPr>
          <w:b/>
        </w:rPr>
        <w:t xml:space="preserve">15 </w:t>
      </w:r>
      <w:r>
        <w:t xml:space="preserve">And they turned aside there and entered into the house of the young Levite, into the house of Micah, and greeted him.</w:t>
      </w:r>
    </w:p>
    <w:p>
      <w:r>
        <w:rPr>
          <w:b/>
        </w:rPr>
        <w:t xml:space="preserve">16 </w:t>
      </w:r>
      <w:r>
        <w:t xml:space="preserve">And the six hundred men girded with the weapons of war</w:t>
      </w:r>
      <w:r>
        <w:rPr>
          <w:rStyle w:val="FootnoteReference"/>
        </w:rPr>
        <w:footnoteReference w:id="4924"/>
      </w:r>
      <w:r>
        <w:t xml:space="preserve">, from the sons of Dan, stood by the doorway of the gate.</w:t>
      </w:r>
      <w:r>
        <w:rPr>
          <w:rStyle w:val="FootnoteReference"/>
        </w:rPr>
        <w:footnoteReference w:id="4925"/>
      </w:r>
    </w:p>
    <w:p>
      <w:r>
        <w:rPr>
          <w:b/>
        </w:rPr>
        <w:t xml:space="preserve">17 </w:t>
      </w:r>
      <w:r>
        <w:t xml:space="preserve">And the five men</w:t>
      </w:r>
      <w:r>
        <w:rPr>
          <w:rStyle w:val="FootnoteReference"/>
        </w:rPr>
        <w:footnoteReference w:id="4926"/>
      </w:r>
      <w:r>
        <w:t xml:space="preserve"> going to inspect the land went up there and took the carved image and the ephod and the teraphim and the molten image, while the priest stood by the doorway of the gate and the six hundred men girded with the weapons of war.</w:t>
      </w:r>
      <w:r>
        <w:rPr>
          <w:rStyle w:val="FootnoteReference"/>
        </w:rPr>
        <w:footnoteReference w:id="4927"/>
      </w:r>
    </w:p>
    <w:p>
      <w:r>
        <w:rPr>
          <w:b/>
        </w:rPr>
        <w:t xml:space="preserve">18 </w:t>
      </w:r>
      <w:r>
        <w:t xml:space="preserve">And these entered into the house of Micah and took the carved image and the ephod and the teraphim and the molten image. And the priest said to them, What are you doing?</w:t>
      </w:r>
    </w:p>
    <w:p>
      <w:r>
        <w:rPr>
          <w:b/>
        </w:rPr>
        <w:t xml:space="preserve">19 </w:t>
      </w:r>
      <w:r>
        <w:t xml:space="preserve">And they said to him, Be silent; put your hand upon your mouth</w:t>
      </w:r>
      <w:r>
        <w:rPr>
          <w:rStyle w:val="FootnoteReference"/>
        </w:rPr>
        <w:footnoteReference w:id="4928"/>
      </w:r>
      <w:r>
        <w:t xml:space="preserve"> and come with us, and you shall be to us as father and as priest. Is it not better for you to be priest to the house of one man than for you to become priest to a tribe and a family in Israel?</w:t>
      </w:r>
    </w:p>
    <w:p>
      <w:r>
        <w:rPr>
          <w:b/>
        </w:rPr>
        <w:t xml:space="preserve">20 </w:t>
      </w:r>
      <w:r>
        <w:t xml:space="preserve">And the heart</w:t>
      </w:r>
      <w:r>
        <w:rPr>
          <w:rStyle w:val="FootnoteReference"/>
        </w:rPr>
        <w:footnoteReference w:id="4929"/>
      </w:r>
      <w:r>
        <w:t xml:space="preserve"> of the priest was gladdened, and he took the ephod and the teraphim and the carved image and the molten image and entered into the midst of the people.</w:t>
      </w:r>
    </w:p>
    <w:p>
      <w:r>
        <w:rPr>
          <w:b/>
        </w:rPr>
        <w:t xml:space="preserve">21 </w:t>
      </w:r>
      <w:r>
        <w:t xml:space="preserve">And they turned and went away, and they placed the household and the possessions and his glorious things before them.</w:t>
      </w:r>
    </w:p>
    <w:p>
      <w:r>
        <w:rPr>
          <w:b/>
        </w:rPr>
        <w:t xml:space="preserve">22 </w:t>
      </w:r>
      <w:r>
        <w:t xml:space="preserve">And when they had gone a good distance from the house of Micah, behold, Micah and the men with the house with Micah cried out after the sons of Dan.</w:t>
      </w:r>
    </w:p>
    <w:p>
      <w:r>
        <w:rPr>
          <w:b/>
        </w:rPr>
        <w:t xml:space="preserve">23 </w:t>
      </w:r>
      <w:r>
        <w:t xml:space="preserve">And the sons of Dan turned their faces and said to Micah, What is wrong with you, that you cried out?</w:t>
      </w:r>
    </w:p>
    <w:p>
      <w:r>
        <w:rPr>
          <w:b/>
        </w:rPr>
        <w:t xml:space="preserve">24 </w:t>
      </w:r>
      <w:r>
        <w:t xml:space="preserve">And Micah said, My carved image that I made for myself you took, and the priest, and you went away. And what remains to me now? And why do you say to me, Why do you cry out?</w:t>
      </w:r>
    </w:p>
    <w:p>
      <w:r>
        <w:rPr>
          <w:b/>
        </w:rPr>
        <w:t xml:space="preserve">25 </w:t>
      </w:r>
      <w:r>
        <w:t xml:space="preserve">And the sons of Dan said to him, Let your voice not be heard with us, lest bitter-souled men fall upon you and you lose your life and the life of your household.</w:t>
      </w:r>
    </w:p>
    <w:p>
      <w:r>
        <w:rPr>
          <w:b/>
        </w:rPr>
        <w:t xml:space="preserve">26 </w:t>
      </w:r>
      <w:r>
        <w:t xml:space="preserve">And the sons of Dan went on their way, and Micah saw that they were stronger than he, and he turned aside and returned to his house.</w:t>
      </w:r>
    </w:p>
    <w:p>
      <w:r>
        <w:rPr>
          <w:b/>
        </w:rPr>
        <w:t xml:space="preserve">27 </w:t>
      </w:r>
      <w:r>
        <w:t xml:space="preserve">And they took what Micah had made and the priest who was his, and they came to Laish</w:t>
      </w:r>
      <w:r>
        <w:rPr>
          <w:rStyle w:val="FootnoteReference"/>
        </w:rPr>
        <w:footnoteReference w:id="4930"/>
      </w:r>
      <w:r>
        <w:t xml:space="preserve">, to a people quiet and confident, and struck them with the edge of the sword and burned the city with fire.</w:t>
      </w:r>
      <w:r>
        <w:rPr>
          <w:rStyle w:val="FootnoteReference"/>
        </w:rPr>
        <w:footnoteReference w:id="4931"/>
      </w:r>
    </w:p>
    <w:p>
      <w:r>
        <w:rPr>
          <w:b/>
        </w:rPr>
        <w:t xml:space="preserve">28 </w:t>
      </w:r>
      <w:r>
        <w:t xml:space="preserve">And there</w:t>
      </w:r>
      <w:r>
        <w:rPr>
          <w:rStyle w:val="FootnoteReference"/>
        </w:rPr>
        <w:footnoteReference w:id="4932"/>
      </w:r>
      <w:r>
        <w:t xml:space="preserve"> was no deliverer, because it is far from the Sidonians, and they have no dealings with men, and it is in the valley that belongs to the house of Rehob. And they built the city and dwelt in it.</w:t>
      </w:r>
    </w:p>
    <w:p>
      <w:r>
        <w:rPr>
          <w:b/>
        </w:rPr>
        <w:t xml:space="preserve">29 </w:t>
      </w:r>
      <w:r>
        <w:t xml:space="preserve">And they called the name of the city Dan, after the name of their father who was</w:t>
      </w:r>
      <w:r>
        <w:rPr>
          <w:rStyle w:val="FootnoteReference"/>
        </w:rPr>
        <w:footnoteReference w:id="4933"/>
      </w:r>
      <w:r>
        <w:t xml:space="preserve"> born to Israel, though the name of the city formerly was Laish.</w:t>
      </w:r>
    </w:p>
    <w:p>
      <w:r>
        <w:rPr>
          <w:b/>
        </w:rPr>
        <w:t xml:space="preserve">30 </w:t>
      </w:r>
      <w:r>
        <w:t xml:space="preserve">And the sons of Dan set up</w:t>
      </w:r>
      <w:r>
        <w:rPr>
          <w:rStyle w:val="FootnoteReference"/>
        </w:rPr>
        <w:footnoteReference w:id="4934"/>
      </w:r>
      <w:r>
        <w:t xml:space="preserve"> for themselves the carved image of Micah, and Jonathan son of Gershom, son of Moses, he and his sons were priests to the tribe of Dan until the day of the captivity of the land.</w:t>
      </w:r>
      <w:r>
        <w:rPr>
          <w:rStyle w:val="FootnoteReference"/>
        </w:rPr>
        <w:footnoteReference w:id="4935"/>
      </w:r>
    </w:p>
    <w:p>
      <w:r>
        <w:rPr>
          <w:b/>
        </w:rPr>
        <w:t xml:space="preserve">31 </w:t>
      </w:r>
      <w:r>
        <w:t xml:space="preserve">And they set up for themselves the carved image of Micah that he made all the days that the house of God was in Shiloh.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it came to be in those days, and there was no king in Israel, and there was a Levite man residing in the flanks of the hill-country of Ephraim, and the man took for himself a concubine</w:t>
      </w:r>
      <w:r>
        <w:rPr>
          <w:rStyle w:val="FootnoteReference"/>
        </w:rPr>
        <w:footnoteReference w:id="4936"/>
      </w:r>
      <w:r>
        <w:t xml:space="preserve"> wife from Bethlehem of Judah.</w:t>
      </w:r>
    </w:p>
    <w:p>
      <w:r>
        <w:rPr>
          <w:b/>
        </w:rPr>
        <w:t xml:space="preserve">2 </w:t>
      </w:r>
      <w:r>
        <w:t xml:space="preserve">And his concubine became angry with him and went away from him to the house of her father in Bethlehem of Judah and was there four months.</w:t>
      </w:r>
    </w:p>
    <w:p>
      <w:r>
        <w:rPr>
          <w:b/>
        </w:rPr>
        <w:t xml:space="preserve">3 </w:t>
      </w:r>
      <w:r>
        <w:t xml:space="preserve">And her husband rose and went</w:t>
      </w:r>
      <w:r>
        <w:rPr>
          <w:rStyle w:val="FootnoteReference"/>
        </w:rPr>
        <w:footnoteReference w:id="4937"/>
      </w:r>
      <w:r>
        <w:t xml:space="preserve"> after her to speak to her heart</w:t>
      </w:r>
      <w:r>
        <w:rPr>
          <w:rStyle w:val="FootnoteReference"/>
        </w:rPr>
        <w:footnoteReference w:id="4938"/>
      </w:r>
      <w:r>
        <w:t xml:space="preserve">, to reconcile her to himself and bring her back again to him, with his servant with him and a pair of pack animals. And he went to the house of her father, and the father of the young woman saw him and came joyfully to meet him.</w:t>
      </w:r>
    </w:p>
    <w:p>
      <w:r>
        <w:rPr>
          <w:b/>
        </w:rPr>
        <w:t xml:space="preserve">4 </w:t>
      </w:r>
      <w:r>
        <w:t xml:space="preserve">And his father-in-law, the father of the young woman, brought him in and he stayed with him three days, and they ate and drank and slept there.</w:t>
      </w:r>
    </w:p>
    <w:p>
      <w:r>
        <w:rPr>
          <w:b/>
        </w:rPr>
        <w:t xml:space="preserve">5 </w:t>
      </w:r>
      <w:r>
        <w:t xml:space="preserve">And it came to be on the fourth day, they rose early in the morning, and he arose to depart, and the father of the young woman said to his son-in-law, Strengthen your heart</w:t>
      </w:r>
      <w:r>
        <w:rPr>
          <w:rStyle w:val="FootnoteReference"/>
        </w:rPr>
        <w:footnoteReference w:id="4939"/>
      </w:r>
      <w:r>
        <w:t xml:space="preserve"> with a morsel</w:t>
      </w:r>
      <w:r>
        <w:rPr>
          <w:rStyle w:val="FootnoteReference"/>
        </w:rPr>
        <w:footnoteReference w:id="4940"/>
      </w:r>
      <w:r>
        <w:t xml:space="preserve"> of bread, and after this you may go.</w:t>
      </w:r>
    </w:p>
    <w:p>
      <w:r>
        <w:rPr>
          <w:b/>
        </w:rPr>
        <w:t xml:space="preserve">6 </w:t>
      </w:r>
      <w:r>
        <w:t xml:space="preserve">And they sat and both of them ate together and drank, and the father of the young woman said to the man, Begin now, lodge overnight, and let your heart be glad.</w:t>
      </w:r>
    </w:p>
    <w:p>
      <w:r>
        <w:rPr>
          <w:b/>
        </w:rPr>
        <w:t xml:space="preserve">7 </w:t>
      </w:r>
      <w:r>
        <w:t xml:space="preserve">And the man rose to depart, and his father-in-law constrained him, and again he lodged there.</w:t>
      </w:r>
    </w:p>
    <w:p>
      <w:r>
        <w:rPr>
          <w:b/>
        </w:rPr>
        <w:t xml:space="preserve">8 </w:t>
      </w:r>
      <w:r>
        <w:t xml:space="preserve">And he rose early in the morning on the fifth day to depart, and the father of the young woman said, Strengthen your heart with bread and make camp until the day declines. And both of them ate and drank.</w:t>
      </w:r>
    </w:p>
    <w:p>
      <w:r>
        <w:rPr>
          <w:b/>
        </w:rPr>
        <w:t xml:space="preserve">9 </w:t>
      </w:r>
      <w:r>
        <w:t xml:space="preserve">And the man rose to depart, he and his concubine and his servant, and his father-in-law, the father of the young woman, said to him, Behold now, toward evening the day has declined; lodge here still today, and let your heart be glad, and rise early tomorrow for your journey, and you will go to your tent.</w:t>
      </w:r>
    </w:p>
    <w:p>
      <w:r>
        <w:rPr>
          <w:b/>
        </w:rPr>
        <w:t xml:space="preserve">10 </w:t>
      </w:r>
      <w:r>
        <w:t xml:space="preserve">But the man was not willing to lodge, and he rose and went away and came opposite Jebus</w:t>
      </w:r>
      <w:r>
        <w:rPr>
          <w:rStyle w:val="FootnoteReference"/>
        </w:rPr>
        <w:footnoteReference w:id="4941"/>
      </w:r>
      <w:r>
        <w:t xml:space="preserve">, this is Jerusalem, and with him was a pair of saddled pack animals, and his concubine was with him.</w:t>
      </w:r>
    </w:p>
    <w:p>
      <w:r>
        <w:rPr>
          <w:b/>
        </w:rPr>
        <w:t xml:space="preserve">11 </w:t>
      </w:r>
      <w:r>
        <w:t xml:space="preserve">While they were still near Jebus and the day had declined greatly, the servant said to his master, Come now and let us turn aside into this city of the Jebusite and lodge in it.</w:t>
      </w:r>
    </w:p>
    <w:p>
      <w:r>
        <w:rPr>
          <w:b/>
        </w:rPr>
        <w:t xml:space="preserve">12 </w:t>
      </w:r>
      <w:r>
        <w:t xml:space="preserve">And his master said to him, I will certainly not turn aside into a city of foreigners who are not of the sons of Israel, but we will pass on as far as Gibeah</w:t>
      </w:r>
      <w:r>
        <w:rPr>
          <w:rStyle w:val="FootnoteReference"/>
        </w:rPr>
        <w:footnoteReference w:id="4942"/>
      </w:r>
      <w:r>
        <w:t xml:space="preserve">.</w:t>
      </w:r>
    </w:p>
    <w:p>
      <w:r>
        <w:rPr>
          <w:b/>
        </w:rPr>
        <w:t xml:space="preserve">13 </w:t>
      </w:r>
      <w:r>
        <w:t xml:space="preserve">And he said to his servant, Come and let us enter one of the places and lodge in Gibeah</w:t>
      </w:r>
      <w:r>
        <w:rPr>
          <w:rStyle w:val="FootnoteReference"/>
        </w:rPr>
        <w:footnoteReference w:id="4943"/>
      </w:r>
      <w:r>
        <w:t xml:space="preserve"> or in Ramah.</w:t>
      </w:r>
    </w:p>
    <w:p>
      <w:r>
        <w:rPr>
          <w:b/>
        </w:rPr>
        <w:t xml:space="preserve">14 </w:t>
      </w:r>
      <w:r>
        <w:t xml:space="preserve">And they passed by and went on, for the sun set near Gibeah, which belongs to Benjamin.</w:t>
      </w:r>
    </w:p>
    <w:p>
      <w:r>
        <w:rPr>
          <w:b/>
        </w:rPr>
        <w:t xml:space="preserve">15 </w:t>
      </w:r>
      <w:r>
        <w:t xml:space="preserve">And they turned aside there to enter to lodge in Gibeah, and they entered and sat in the square of the city, and there was no man</w:t>
      </w:r>
      <w:r>
        <w:rPr>
          <w:rStyle w:val="FootnoteReference"/>
        </w:rPr>
        <w:footnoteReference w:id="4944"/>
      </w:r>
      <w:r>
        <w:t xml:space="preserve"> bringing them into the house to lodge.</w:t>
      </w:r>
    </w:p>
    <w:p>
      <w:r>
        <w:rPr>
          <w:b/>
        </w:rPr>
        <w:t xml:space="preserve">16 </w:t>
      </w:r>
      <w:r>
        <w:t xml:space="preserve">And behold, an old man came in from his work</w:t>
      </w:r>
      <w:r>
        <w:rPr>
          <w:rStyle w:val="FootnoteReference"/>
        </w:rPr>
        <w:footnoteReference w:id="4945"/>
      </w:r>
      <w:r>
        <w:t xml:space="preserve"> out of the field at evening, and the man was from the hill-country of Ephraim and he resided in Gibeah, but the men of the place were sons of Benjamin.</w:t>
      </w:r>
    </w:p>
    <w:p>
      <w:r>
        <w:rPr>
          <w:b/>
        </w:rPr>
        <w:t xml:space="preserve">17 </w:t>
      </w:r>
      <w:r>
        <w:t xml:space="preserve">And lifting up his eyes, he saw the traveling man in the square of the city, and the old man said, Where are you going and from where do you come?</w:t>
      </w:r>
    </w:p>
    <w:p>
      <w:r>
        <w:rPr>
          <w:b/>
        </w:rPr>
        <w:t xml:space="preserve">18 </w:t>
      </w:r>
      <w:r>
        <w:t xml:space="preserve">And he said to him, We are passing through from Bethlehem of Judah to the flanks of the hill-country of Ephraim; I am from there, and I went to Bethlehem of Judah, and I am turning back to my house, and there is no man bringing me into the house</w:t>
      </w:r>
      <w:r>
        <w:rPr>
          <w:rStyle w:val="FootnoteReference"/>
        </w:rPr>
        <w:footnoteReference w:id="4946"/>
      </w:r>
      <w:r>
        <w:t xml:space="preserve">.</w:t>
      </w:r>
      <w:r>
        <w:rPr>
          <w:rStyle w:val="FootnoteReference"/>
        </w:rPr>
        <w:footnoteReference w:id="4947"/>
      </w:r>
    </w:p>
    <w:p>
      <w:r>
        <w:rPr>
          <w:b/>
        </w:rPr>
        <w:t xml:space="preserve">19 </w:t>
      </w:r>
      <w:r>
        <w:t xml:space="preserve">And indeed there is straw and fodder for our donkeys, and there is bread and wine for me and for your maidservant and for the servant with your servants; there is no lack of anything</w:t>
      </w:r>
      <w:r>
        <w:rPr>
          <w:rStyle w:val="FootnoteReference"/>
        </w:rPr>
        <w:footnoteReference w:id="4948"/>
      </w:r>
      <w:r>
        <w:t xml:space="preserve">.</w:t>
      </w:r>
    </w:p>
    <w:p>
      <w:r>
        <w:rPr>
          <w:b/>
        </w:rPr>
        <w:t xml:space="preserve">20 </w:t>
      </w:r>
      <w:r>
        <w:t xml:space="preserve">And the old man said, Peace to you. Only let all your lack be upon me; only do not lodge in the square.</w:t>
      </w:r>
    </w:p>
    <w:p>
      <w:r>
        <w:rPr>
          <w:b/>
        </w:rPr>
        <w:t xml:space="preserve">21 </w:t>
      </w:r>
      <w:r>
        <w:t xml:space="preserve">And he brought him into his house and fed his pack animals, and they washed</w:t>
      </w:r>
      <w:r>
        <w:rPr>
          <w:rStyle w:val="FootnoteReference"/>
        </w:rPr>
        <w:footnoteReference w:id="4949"/>
      </w:r>
      <w:r>
        <w:t xml:space="preserve"> their feet and ate and drank.</w:t>
      </w:r>
    </w:p>
    <w:p>
      <w:r>
        <w:rPr>
          <w:b/>
        </w:rPr>
        <w:t xml:space="preserve">22 </w:t>
      </w:r>
      <w:r>
        <w:t xml:space="preserve">And while their hearts were gladdened, behold, the men</w:t>
      </w:r>
      <w:r>
        <w:rPr>
          <w:rStyle w:val="FootnoteReference"/>
        </w:rPr>
        <w:footnoteReference w:id="4950"/>
      </w:r>
      <w:r>
        <w:t xml:space="preserve"> of the city, sons of lawlessness, surrounded the house and beat on the door and said to the man, the master of the house, the old man, saying, Bring out the man who entered your house, so that we may know him.</w:t>
      </w:r>
    </w:p>
    <w:p>
      <w:r>
        <w:rPr>
          <w:b/>
        </w:rPr>
        <w:t xml:space="preserve">23 </w:t>
      </w:r>
      <w:r>
        <w:t xml:space="preserve">And the man</w:t>
      </w:r>
      <w:r>
        <w:rPr>
          <w:rStyle w:val="FootnoteReference"/>
        </w:rPr>
        <w:footnoteReference w:id="4951"/>
      </w:r>
      <w:r>
        <w:t xml:space="preserve">, the master of the house, went out to them and said to them, No, brothers, do not do evil, after this man has entered my house do not do this folly.</w:t>
      </w:r>
    </w:p>
    <w:p>
      <w:r>
        <w:rPr>
          <w:b/>
        </w:rPr>
        <w:t xml:space="preserve">24 </w:t>
      </w:r>
      <w:r>
        <w:t xml:space="preserve">Behold, my virgin daughter and his concubine, I will bring them</w:t>
      </w:r>
      <w:r>
        <w:rPr>
          <w:rStyle w:val="FootnoteReference"/>
        </w:rPr>
        <w:footnoteReference w:id="4952"/>
      </w:r>
      <w:r>
        <w:t xml:space="preserve"> out now, and humble them and do to them what is good in your eyes, but to this man do not do this word of folly.</w:t>
      </w:r>
    </w:p>
    <w:p>
      <w:r>
        <w:rPr>
          <w:b/>
        </w:rPr>
        <w:t xml:space="preserve">25 </w:t>
      </w:r>
      <w:r>
        <w:t xml:space="preserve">And the men were not willing to listen to him, and the man took hold of his concubine and brought her out to them outside, and they knew her</w:t>
      </w:r>
      <w:r>
        <w:rPr>
          <w:rStyle w:val="FootnoteReference"/>
        </w:rPr>
        <w:footnoteReference w:id="4953"/>
      </w:r>
      <w:r>
        <w:t xml:space="preserve"> and abused her all night</w:t>
      </w:r>
      <w:r>
        <w:rPr>
          <w:rStyle w:val="FootnoteReference"/>
        </w:rPr>
        <w:footnoteReference w:id="4954"/>
      </w:r>
      <w:r>
        <w:t xml:space="preserve"> until morning and sent her away when dawn was rising.</w:t>
      </w:r>
    </w:p>
    <w:p>
      <w:r>
        <w:rPr>
          <w:b/>
        </w:rPr>
        <w:t xml:space="preserve">26 </w:t>
      </w:r>
      <w:r>
        <w:t xml:space="preserve">And the woman came toward morning and fell by the door of the gate of the man's house where her master was, until it became light.</w:t>
      </w:r>
    </w:p>
    <w:p>
      <w:r>
        <w:rPr>
          <w:b/>
        </w:rPr>
        <w:t xml:space="preserve">27 </w:t>
      </w:r>
      <w:r>
        <w:t xml:space="preserve">And her master rose in the morning and opened the doors of the house and went out to go on his way, and behold, his concubine wife had fallen by the door, and her hands were on the threshold</w:t>
      </w:r>
      <w:r>
        <w:rPr>
          <w:rStyle w:val="FootnoteReference"/>
        </w:rPr>
        <w:footnoteReference w:id="4955"/>
      </w:r>
      <w:r>
        <w:t xml:space="preserve">.</w:t>
      </w:r>
    </w:p>
    <w:p>
      <w:r>
        <w:rPr>
          <w:b/>
        </w:rPr>
        <w:t xml:space="preserve">28 </w:t>
      </w:r>
      <w:r>
        <w:t xml:space="preserve">And he said to her, Rise and let us go. And she did not answer him, but had died. And he lifted her onto the pack animal, and the man rose and went to his place.</w:t>
      </w:r>
    </w:p>
    <w:p>
      <w:r>
        <w:rPr>
          <w:b/>
        </w:rPr>
        <w:t xml:space="preserve">29 </w:t>
      </w:r>
      <w:r>
        <w:t xml:space="preserve">And he entered into his house and took the sword and took hold of his concubine and cut her up according to her bones into twelve parts and sent them into all the tribes of Israel.</w:t>
      </w:r>
    </w:p>
    <w:p>
      <w:r>
        <w:rPr>
          <w:b/>
        </w:rPr>
        <w:t xml:space="preserve">30 </w:t>
      </w:r>
      <w:r>
        <w:t xml:space="preserve">And it came to be, everyone seeing said, Such a thing neither happened nor was seen from the day the sons of Israel came up from Egypt until this day. And he commanded the men to whom he sent them, saying, Thus you shall say to every man of Israel: Has this matter happened from the day the sons of Israel came up from Egypt until this day? Set counsel for yourselves</w:t>
      </w:r>
      <w:r>
        <w:rPr>
          <w:rStyle w:val="FootnoteReference"/>
        </w:rPr>
        <w:footnoteReference w:id="4956"/>
      </w:r>
      <w:r>
        <w:t xml:space="preserve"> about her and speak.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all the sons of Israel went out, and all the congregation was assembled as one man</w:t>
      </w:r>
      <w:r>
        <w:rPr>
          <w:rStyle w:val="FootnoteReference"/>
        </w:rPr>
        <w:footnoteReference w:id="4957"/>
      </w:r>
      <w:r>
        <w:t xml:space="preserve"> from Dan and as far as Beersheba and the land of Gilead, to the Lord at Mizpah.</w:t>
      </w:r>
    </w:p>
    <w:p>
      <w:r>
        <w:rPr>
          <w:b/>
        </w:rPr>
        <w:t xml:space="preserve">2 </w:t>
      </w:r>
      <w:r>
        <w:t xml:space="preserve">And the whole assembly of the people, all the tribes of Israel, stood in the gathering of the people of God, four hundred thousand foot men drawing sword.</w:t>
      </w:r>
    </w:p>
    <w:p>
      <w:r>
        <w:rPr>
          <w:b/>
        </w:rPr>
        <w:t xml:space="preserve">3 </w:t>
      </w:r>
      <w:r>
        <w:t xml:space="preserve">And the sons of Benjamin heard that the sons of Israel had gone up to the Lord at Mizpah. And the sons of Israel said, Speak, where did this evil happen?</w:t>
      </w:r>
    </w:p>
    <w:p>
      <w:r>
        <w:rPr>
          <w:b/>
        </w:rPr>
        <w:t xml:space="preserve">4 </w:t>
      </w:r>
      <w:r>
        <w:t xml:space="preserve">And the Levite man, husband of the murdered woman, answered and said, I came</w:t>
      </w:r>
      <w:r>
        <w:rPr>
          <w:rStyle w:val="FootnoteReference"/>
        </w:rPr>
        <w:footnoteReference w:id="4958"/>
      </w:r>
      <w:r>
        <w:t xml:space="preserve"> to Gibeah of Benjamin, I and my concubine, to lodge.</w:t>
      </w:r>
    </w:p>
    <w:p>
      <w:r>
        <w:rPr>
          <w:b/>
        </w:rPr>
        <w:t xml:space="preserve">5 </w:t>
      </w:r>
      <w:r>
        <w:t xml:space="preserve">And the men</w:t>
      </w:r>
      <w:r>
        <w:rPr>
          <w:rStyle w:val="FootnoteReference"/>
        </w:rPr>
        <w:footnoteReference w:id="4959"/>
      </w:r>
      <w:r>
        <w:t xml:space="preserve"> from Gibeah rose against me and surrounded the house against me by night, and they wanted to kill me, and they humbled my concubine and abused her, and she died.</w:t>
      </w:r>
    </w:p>
    <w:p>
      <w:r>
        <w:rPr>
          <w:b/>
        </w:rPr>
        <w:t xml:space="preserve">6 </w:t>
      </w:r>
      <w:r>
        <w:t xml:space="preserve">And I took hold of my concubine and cut her up and sent her</w:t>
      </w:r>
      <w:r>
        <w:rPr>
          <w:rStyle w:val="FootnoteReference"/>
        </w:rPr>
        <w:footnoteReference w:id="4960"/>
      </w:r>
      <w:r>
        <w:t xml:space="preserve"> through every border of the inheritance of Israel, because they committed folly in Israel.</w:t>
      </w:r>
      <w:r>
        <w:rPr>
          <w:rStyle w:val="FootnoteReference"/>
        </w:rPr>
        <w:footnoteReference w:id="4961"/>
      </w:r>
    </w:p>
    <w:p>
      <w:r>
        <w:rPr>
          <w:b/>
        </w:rPr>
        <w:t xml:space="preserve">7 </w:t>
      </w:r>
      <w:r>
        <w:t xml:space="preserve">Behold, all of you are sons of Israel; give to yourselves word and counsel</w:t>
      </w:r>
      <w:r>
        <w:rPr>
          <w:rStyle w:val="FootnoteReference"/>
        </w:rPr>
        <w:footnoteReference w:id="4962"/>
      </w:r>
      <w:r>
        <w:t xml:space="preserve">.</w:t>
      </w:r>
    </w:p>
    <w:p>
      <w:r>
        <w:rPr>
          <w:b/>
        </w:rPr>
        <w:t xml:space="preserve">8 </w:t>
      </w:r>
      <w:r>
        <w:t xml:space="preserve">And all the people rose as one man</w:t>
      </w:r>
      <w:r>
        <w:rPr>
          <w:rStyle w:val="FootnoteReference"/>
        </w:rPr>
        <w:footnoteReference w:id="4963"/>
      </w:r>
      <w:r>
        <w:t xml:space="preserve">, saying, We will not go, man into his tent, and we will not turn aside, man to his house.</w:t>
      </w:r>
    </w:p>
    <w:p>
      <w:r>
        <w:rPr>
          <w:b/>
        </w:rPr>
        <w:t xml:space="preserve">9 </w:t>
      </w:r>
      <w:r>
        <w:t xml:space="preserve">And now this is the word that we will do to Gibeah: we will go up against it by lot.</w:t>
      </w:r>
    </w:p>
    <w:p>
      <w:r>
        <w:rPr>
          <w:b/>
        </w:rPr>
        <w:t xml:space="preserve">10 </w:t>
      </w:r>
      <w:r>
        <w:t xml:space="preserve">And we will take ten men by the hundred and a hundred by the thousand and a thousand by the ten thousand</w:t>
      </w:r>
      <w:r>
        <w:rPr>
          <w:rStyle w:val="FootnoteReference"/>
        </w:rPr>
        <w:footnoteReference w:id="4964"/>
      </w:r>
      <w:r>
        <w:t xml:space="preserve">, to take provisions</w:t>
      </w:r>
      <w:r>
        <w:rPr>
          <w:rStyle w:val="FootnoteReference"/>
        </w:rPr>
        <w:footnoteReference w:id="4965"/>
      </w:r>
      <w:r>
        <w:t xml:space="preserve"> for the people, for those entering to execute against Gibeah of Benjamin according to all the folly that they did in Israel.</w:t>
      </w:r>
    </w:p>
    <w:p>
      <w:r>
        <w:rPr>
          <w:b/>
        </w:rPr>
        <w:t xml:space="preserve">11 </w:t>
      </w:r>
      <w:r>
        <w:t xml:space="preserve">And all Israel, man from the cities, was gathered as one man, coming together.</w:t>
      </w:r>
    </w:p>
    <w:p>
      <w:r>
        <w:rPr>
          <w:b/>
        </w:rPr>
        <w:t xml:space="preserve">12 </w:t>
      </w:r>
      <w:r>
        <w:t xml:space="preserve">And the tribes of Israel sent men</w:t>
      </w:r>
      <w:r>
        <w:rPr>
          <w:rStyle w:val="FootnoteReference"/>
        </w:rPr>
        <w:footnoteReference w:id="4966"/>
      </w:r>
      <w:r>
        <w:t xml:space="preserve"> in every tribe of Benjamin, saying, What is this evil that happened among you?</w:t>
      </w:r>
    </w:p>
    <w:p>
      <w:r>
        <w:rPr>
          <w:b/>
        </w:rPr>
        <w:t xml:space="preserve">13 </w:t>
      </w:r>
      <w:r>
        <w:t xml:space="preserve">And now give the men, the ungodly ones in Gibeah, the sons of Belial</w:t>
      </w:r>
      <w:r>
        <w:rPr>
          <w:rStyle w:val="FootnoteReference"/>
        </w:rPr>
        <w:footnoteReference w:id="4967"/>
      </w:r>
      <w:r>
        <w:t xml:space="preserve">, and we will put them to death and remove evil from Israel. But the sons of Benjamin were not willing to listen to the voice of their brothers, the sons of Israel.</w:t>
      </w:r>
      <w:r>
        <w:rPr>
          <w:rStyle w:val="FootnoteReference"/>
        </w:rPr>
        <w:footnoteReference w:id="4968"/>
      </w:r>
    </w:p>
    <w:p>
      <w:r>
        <w:rPr>
          <w:b/>
        </w:rPr>
        <w:t xml:space="preserve">14 </w:t>
      </w:r>
      <w:r>
        <w:t xml:space="preserve">And the sons of Benjamin were gathered from their cities to Gibeah to go out to fight with the sons of Israel.</w:t>
      </w:r>
    </w:p>
    <w:p>
      <w:r>
        <w:rPr>
          <w:b/>
        </w:rPr>
        <w:t xml:space="preserve">15 </w:t>
      </w:r>
      <w:r>
        <w:t xml:space="preserve">And the sons of Benjamin were counted on that day from the cities, twenty</w:t>
      </w:r>
      <w:r>
        <w:rPr>
          <w:rStyle w:val="FootnoteReference"/>
        </w:rPr>
        <w:footnoteReference w:id="4969"/>
      </w:r>
      <w:r>
        <w:t xml:space="preserve">-five thousand men drawing sword, besides the inhabitants of Gibeah; these were counted, seven hundred chosen young men.</w:t>
      </w:r>
      <w:r>
        <w:rPr>
          <w:rStyle w:val="FootnoteReference"/>
        </w:rPr>
        <w:footnoteReference w:id="4970"/>
      </w:r>
    </w:p>
    <w:p>
      <w:r>
        <w:rPr>
          <w:b/>
        </w:rPr>
        <w:t xml:space="preserve">16 </w:t>
      </w:r>
      <w:r>
        <w:t xml:space="preserve">All these were ambidextrous slingers, throwing stones at a hair and not missing.</w:t>
      </w:r>
    </w:p>
    <w:p>
      <w:r>
        <w:rPr>
          <w:b/>
        </w:rPr>
        <w:t xml:space="preserve">17 </w:t>
      </w:r>
      <w:r>
        <w:t xml:space="preserve">And every man of Israel was counted apart from the sons of Benjamin, four hundred</w:t>
      </w:r>
      <w:r>
        <w:rPr>
          <w:rStyle w:val="FootnoteReference"/>
        </w:rPr>
        <w:footnoteReference w:id="4971"/>
      </w:r>
      <w:r>
        <w:t xml:space="preserve"> thousand men drawing sword; all these were men of war.</w:t>
      </w:r>
    </w:p>
    <w:p>
      <w:r>
        <w:rPr>
          <w:b/>
        </w:rPr>
        <w:t xml:space="preserve">18 </w:t>
      </w:r>
      <w:r>
        <w:t xml:space="preserve">And they arose and went up to Bethel and inquired of God, and the sons of Israel said, Who will go up for us, leading to fight</w:t>
      </w:r>
      <w:r>
        <w:rPr>
          <w:rStyle w:val="FootnoteReference"/>
        </w:rPr>
        <w:footnoteReference w:id="4972"/>
      </w:r>
      <w:r>
        <w:t xml:space="preserve"> with Benjamin? And the Lord said, Judah</w:t>
      </w:r>
      <w:r>
        <w:rPr>
          <w:rStyle w:val="FootnoteReference"/>
        </w:rPr>
        <w:footnoteReference w:id="4973"/>
      </w:r>
      <w:r>
        <w:t xml:space="preserve"> shall go up, leading.</w:t>
      </w:r>
    </w:p>
    <w:p>
      <w:r>
        <w:rPr>
          <w:b/>
        </w:rPr>
        <w:t xml:space="preserve">19 </w:t>
      </w:r>
      <w:r>
        <w:t xml:space="preserve">And the sons of Israel rose and encamped against Gibeah.</w:t>
      </w:r>
    </w:p>
    <w:p>
      <w:r>
        <w:rPr>
          <w:b/>
        </w:rPr>
        <w:t xml:space="preserve">20 </w:t>
      </w:r>
      <w:r>
        <w:t xml:space="preserve">And every man of Israel went out to war with Benjamin, and the men of Israel lined up with them for battle against Gibeah.</w:t>
      </w:r>
    </w:p>
    <w:p>
      <w:r>
        <w:rPr>
          <w:b/>
        </w:rPr>
        <w:t xml:space="preserve">21 </w:t>
      </w:r>
      <w:r>
        <w:t xml:space="preserve">And the sons of Benjamin went out from the city and destroyed</w:t>
      </w:r>
      <w:r>
        <w:rPr>
          <w:rStyle w:val="FootnoteReference"/>
        </w:rPr>
        <w:footnoteReference w:id="4974"/>
      </w:r>
      <w:r>
        <w:t xml:space="preserve"> from Israel on that day twenty-two thousand men to the ground.</w:t>
      </w:r>
    </w:p>
    <w:p>
      <w:r>
        <w:rPr>
          <w:b/>
        </w:rPr>
        <w:t xml:space="preserve">22 </w:t>
      </w:r>
      <w:r>
        <w:t xml:space="preserve">And the men of Israel strengthened themselves and again lined up for battle in the place where they lined up on the first day.</w:t>
      </w:r>
    </w:p>
    <w:p>
      <w:r>
        <w:rPr>
          <w:b/>
        </w:rPr>
        <w:t xml:space="preserve">23 </w:t>
      </w:r>
      <w:r>
        <w:t xml:space="preserve">And the sons of Israel went up and wept</w:t>
      </w:r>
      <w:r>
        <w:rPr>
          <w:rStyle w:val="FootnoteReference"/>
        </w:rPr>
        <w:footnoteReference w:id="4975"/>
      </w:r>
      <w:r>
        <w:t xml:space="preserve"> before the Lord until evening and inquired of the Lord, saying, Shall I again draw near to battle with Benjamin my brother? And the Lord said, Go up against him.</w:t>
      </w:r>
    </w:p>
    <w:p>
      <w:r>
        <w:rPr>
          <w:b/>
        </w:rPr>
        <w:t xml:space="preserve">24 </w:t>
      </w:r>
      <w:r>
        <w:t xml:space="preserve">And the sons of Israel approached Benjamin on the second day.</w:t>
      </w:r>
    </w:p>
    <w:p>
      <w:r>
        <w:rPr>
          <w:b/>
        </w:rPr>
        <w:t xml:space="preserve">25 </w:t>
      </w:r>
      <w:r>
        <w:t xml:space="preserve">And Benjamin went out from Gibeah to meet them on the second day and destroyed</w:t>
      </w:r>
      <w:r>
        <w:rPr>
          <w:rStyle w:val="FootnoteReference"/>
        </w:rPr>
        <w:footnoteReference w:id="4976"/>
      </w:r>
      <w:r>
        <w:t xml:space="preserve"> from the people eighteen thousand men to the ground, all these drawing sword.</w:t>
      </w:r>
    </w:p>
    <w:p>
      <w:r>
        <w:rPr>
          <w:b/>
        </w:rPr>
        <w:t xml:space="preserve">26 </w:t>
      </w:r>
      <w:r>
        <w:t xml:space="preserve">And all the sons of Israel and all the people went up and came to Bethel and wept</w:t>
      </w:r>
      <w:r>
        <w:rPr>
          <w:rStyle w:val="FootnoteReference"/>
        </w:rPr>
        <w:footnoteReference w:id="4977"/>
      </w:r>
      <w:r>
        <w:t xml:space="preserve"> before the Lord and fasted on that day and offered whole burnt offerings of salvation</w:t>
      </w:r>
      <w:r>
        <w:rPr>
          <w:rStyle w:val="FootnoteReference"/>
        </w:rPr>
        <w:footnoteReference w:id="4978"/>
      </w:r>
      <w:r>
        <w:t xml:space="preserve"> before the Lord.</w:t>
      </w:r>
    </w:p>
    <w:p>
      <w:r>
        <w:rPr>
          <w:b/>
        </w:rPr>
        <w:t xml:space="preserve">27 </w:t>
      </w:r>
      <w:r>
        <w:t xml:space="preserve">And the sons of Israel inquired of the Lord</w:t>
      </w:r>
      <w:r>
        <w:rPr>
          <w:rStyle w:val="FootnoteReference"/>
        </w:rPr>
        <w:footnoteReference w:id="4979"/>
      </w:r>
      <w:r>
        <w:t xml:space="preserve">, and there the ark of the covenant of the Lord was in those days,</w:t>
      </w:r>
      <w:r>
        <w:rPr>
          <w:rStyle w:val="FootnoteReference"/>
        </w:rPr>
        <w:footnoteReference w:id="4980"/>
      </w:r>
    </w:p>
    <w:p>
      <w:r>
        <w:rPr>
          <w:b/>
        </w:rPr>
        <w:t xml:space="preserve">28 </w:t>
      </w:r>
      <w:r>
        <w:t xml:space="preserve">and Phinehas</w:t>
      </w:r>
      <w:r>
        <w:rPr>
          <w:rStyle w:val="FootnoteReference"/>
        </w:rPr>
        <w:footnoteReference w:id="4981"/>
      </w:r>
      <w:r>
        <w:t xml:space="preserve"> son of Eleazar son of Aaron stood before it in those days, saying, Shall I again go out to war with the sons of Benjamin my brother, or shall I cease? And the Lord said, Go up, because tomorrow I will give him into your hand.</w:t>
      </w:r>
    </w:p>
    <w:p>
      <w:r>
        <w:rPr>
          <w:b/>
        </w:rPr>
        <w:t xml:space="preserve">29 </w:t>
      </w:r>
      <w:r>
        <w:t xml:space="preserve">And the sons of Israel set an ambush around Gibeah.</w:t>
      </w:r>
    </w:p>
    <w:p>
      <w:r>
        <w:rPr>
          <w:b/>
        </w:rPr>
        <w:t xml:space="preserve">30 </w:t>
      </w:r>
      <w:r>
        <w:t xml:space="preserve">And Israel lined up against Benjamin on the third day and arrayed themselves against Gibeah as once and again.</w:t>
      </w:r>
    </w:p>
    <w:p>
      <w:r>
        <w:rPr>
          <w:b/>
        </w:rPr>
        <w:t xml:space="preserve">31 </w:t>
      </w:r>
      <w:r>
        <w:t xml:space="preserve">And the sons of Benjamin went out to meet the people and were drawn</w:t>
      </w:r>
      <w:r>
        <w:rPr>
          <w:rStyle w:val="FootnoteReference"/>
        </w:rPr>
        <w:footnoteReference w:id="4982"/>
      </w:r>
      <w:r>
        <w:t xml:space="preserve"> away from the city and began to strike from the people as once and again on the roads, one going up to Bethel and one going up to Gibeah in the field, about thirty men in Israel.</w:t>
      </w:r>
    </w:p>
    <w:p>
      <w:r>
        <w:rPr>
          <w:b/>
        </w:rPr>
        <w:t xml:space="preserve">32 </w:t>
      </w:r>
      <w:r>
        <w:t xml:space="preserve">And the sons of Benjamin said, They are stumbling before us as at first. But the sons of Israel said, Let us flee</w:t>
      </w:r>
      <w:r>
        <w:rPr>
          <w:rStyle w:val="FootnoteReference"/>
        </w:rPr>
        <w:footnoteReference w:id="4983"/>
      </w:r>
      <w:r>
        <w:t xml:space="preserve"> and draw them out from the city to the roads.</w:t>
      </w:r>
    </w:p>
    <w:p>
      <w:r>
        <w:rPr>
          <w:b/>
        </w:rPr>
        <w:t xml:space="preserve">33 </w:t>
      </w:r>
      <w:r>
        <w:t xml:space="preserve">And every man of Israel rose from his place and arrayed themselves at Baaltamar</w:t>
      </w:r>
      <w:r>
        <w:rPr>
          <w:rStyle w:val="FootnoteReference"/>
        </w:rPr>
        <w:footnoteReference w:id="4984"/>
      </w:r>
      <w:r>
        <w:t xml:space="preserve">, and the ambush of Israel came out from its place</w:t>
      </w:r>
      <w:r>
        <w:rPr>
          <w:rStyle w:val="FootnoteReference"/>
        </w:rPr>
        <w:footnoteReference w:id="4985"/>
      </w:r>
      <w:r>
        <w:t xml:space="preserve"> from the west of Gibeah.</w:t>
      </w:r>
    </w:p>
    <w:p>
      <w:r>
        <w:rPr>
          <w:b/>
        </w:rPr>
        <w:t xml:space="preserve">34 </w:t>
      </w:r>
      <w:r>
        <w:t xml:space="preserve">And opposite Gibeah came ten thousand</w:t>
      </w:r>
      <w:r>
        <w:rPr>
          <w:rStyle w:val="FootnoteReference"/>
        </w:rPr>
        <w:footnoteReference w:id="4986"/>
      </w:r>
      <w:r>
        <w:t xml:space="preserve"> chosen men from all Israel, and the battle became heavy, and they did not know that evil was touching them.</w:t>
      </w:r>
    </w:p>
    <w:p>
      <w:r>
        <w:rPr>
          <w:b/>
        </w:rPr>
        <w:t xml:space="preserve">35 </w:t>
      </w:r>
      <w:r>
        <w:t xml:space="preserve">And the Lord routed Benjamin before Israel, and the sons of Israel destroyed in Benjamin on that day twenty</w:t>
      </w:r>
      <w:r>
        <w:rPr>
          <w:rStyle w:val="FootnoteReference"/>
        </w:rPr>
        <w:footnoteReference w:id="4987"/>
      </w:r>
      <w:r>
        <w:t xml:space="preserve">-five thousand one hundred men, all these drawing sword.</w:t>
      </w:r>
    </w:p>
    <w:p>
      <w:r>
        <w:rPr>
          <w:b/>
        </w:rPr>
        <w:t xml:space="preserve">36 </w:t>
      </w:r>
      <w:r>
        <w:t xml:space="preserve">And Benjamin saw that it had been routed. And the men of Israel gave place to Benjamin because they relied on the ambush that they had set against Gibeah.</w:t>
      </w:r>
    </w:p>
    <w:p>
      <w:r>
        <w:rPr>
          <w:b/>
        </w:rPr>
        <w:t xml:space="preserve">37 </w:t>
      </w:r>
      <w:r>
        <w:t xml:space="preserve">And the ambush rushed and spread out toward Gibeah, and the ambush went and struck the whole city with the edge of the sword.</w:t>
      </w:r>
    </w:p>
    <w:p>
      <w:r>
        <w:rPr>
          <w:b/>
        </w:rPr>
        <w:t xml:space="preserve">38 </w:t>
      </w:r>
      <w:r>
        <w:t xml:space="preserve">And the signal between the men of Israel and the ambush was for them to bring up from the city a torch of smoke.</w:t>
      </w:r>
    </w:p>
    <w:p>
      <w:r>
        <w:rPr>
          <w:b/>
        </w:rPr>
        <w:t xml:space="preserve">39 </w:t>
      </w:r>
      <w:r>
        <w:t xml:space="preserve">And the men of Israel turned in the battle, and Benjamin had begun striking down wounded men in Israel, about thirty men, because they said, Surely by defeat they are defeated</w:t>
      </w:r>
      <w:r>
        <w:rPr>
          <w:rStyle w:val="FootnoteReference"/>
        </w:rPr>
        <w:footnoteReference w:id="4988"/>
      </w:r>
      <w:r>
        <w:t xml:space="preserve"> before us as in the former battle.</w:t>
      </w:r>
    </w:p>
    <w:p>
      <w:r>
        <w:rPr>
          <w:b/>
        </w:rPr>
        <w:t xml:space="preserve">40 </w:t>
      </w:r>
      <w:r>
        <w:t xml:space="preserve">And the torch began to go up from the city, a pillar</w:t>
      </w:r>
      <w:r>
        <w:rPr>
          <w:rStyle w:val="FootnoteReference"/>
        </w:rPr>
        <w:footnoteReference w:id="4989"/>
      </w:r>
      <w:r>
        <w:t xml:space="preserve"> of smoke, and Benjamin looked behind him, and behold, the whole destruction of the city went up to heaven.</w:t>
      </w:r>
    </w:p>
    <w:p>
      <w:r>
        <w:rPr>
          <w:b/>
        </w:rPr>
        <w:t xml:space="preserve">41 </w:t>
      </w:r>
      <w:r>
        <w:t xml:space="preserve">And the men of Israel turned back, and the man of Benjamin was terrified, and he saw that evil had touched him.</w:t>
      </w:r>
    </w:p>
    <w:p>
      <w:r>
        <w:rPr>
          <w:b/>
        </w:rPr>
        <w:t xml:space="preserve">42 </w:t>
      </w:r>
      <w:r>
        <w:t xml:space="preserve">And they turned before the men of Israel to the way of the wilderness, and the battle</w:t>
      </w:r>
      <w:r>
        <w:rPr>
          <w:rStyle w:val="FootnoteReference"/>
        </w:rPr>
        <w:footnoteReference w:id="4990"/>
      </w:r>
      <w:r>
        <w:t xml:space="preserve"> overtook him, and those from the cities destroyed him in their midst.</w:t>
      </w:r>
    </w:p>
    <w:p>
      <w:r>
        <w:rPr>
          <w:b/>
        </w:rPr>
        <w:t xml:space="preserve">43 </w:t>
      </w:r>
      <w:r>
        <w:t xml:space="preserve">And they cut down Benjamin, giving him no rest, and trampled him down as far as opposite Gibeah from the east of the sun.</w:t>
      </w:r>
    </w:p>
    <w:p>
      <w:r>
        <w:rPr>
          <w:b/>
        </w:rPr>
        <w:t xml:space="preserve">44 </w:t>
      </w:r>
      <w:r>
        <w:t xml:space="preserve">And there fell from Benjamin eighteen thousand men; with all these were mighty men.</w:t>
      </w:r>
    </w:p>
    <w:p>
      <w:r>
        <w:rPr>
          <w:b/>
        </w:rPr>
        <w:t xml:space="preserve">45 </w:t>
      </w:r>
      <w:r>
        <w:t xml:space="preserve">And they turned aside and fled into the wilderness to the rock Rimmon</w:t>
      </w:r>
      <w:r>
        <w:rPr>
          <w:rStyle w:val="FootnoteReference"/>
        </w:rPr>
        <w:footnoteReference w:id="4991"/>
      </w:r>
      <w:r>
        <w:t xml:space="preserve">, and they gleaned five thousand men on the roads and clung after him as far as Gadaam and struck from them two thousand men.</w:t>
      </w:r>
    </w:p>
    <w:p>
      <w:r>
        <w:rPr>
          <w:b/>
        </w:rPr>
        <w:t xml:space="preserve">46 </w:t>
      </w:r>
      <w:r>
        <w:t xml:space="preserve">And all those falling in Benjamin were twenty</w:t>
      </w:r>
      <w:r>
        <w:rPr>
          <w:rStyle w:val="FootnoteReference"/>
        </w:rPr>
        <w:footnoteReference w:id="4992"/>
      </w:r>
      <w:r>
        <w:t xml:space="preserve">-five thousand men drawing sword on that day, with all these mighty men.</w:t>
      </w:r>
    </w:p>
    <w:p>
      <w:r>
        <w:rPr>
          <w:b/>
        </w:rPr>
        <w:t xml:space="preserve">47 </w:t>
      </w:r>
      <w:r>
        <w:t xml:space="preserve">And six hundred</w:t>
      </w:r>
      <w:r>
        <w:rPr>
          <w:rStyle w:val="FootnoteReference"/>
        </w:rPr>
        <w:footnoteReference w:id="4993"/>
      </w:r>
      <w:r>
        <w:t xml:space="preserve"> men turned aside and fled into the wilderness to the rock Rimmon and sat at the rock Rimmon four months.</w:t>
      </w:r>
      <w:r>
        <w:rPr>
          <w:rStyle w:val="FootnoteReference"/>
        </w:rPr>
        <w:footnoteReference w:id="4994"/>
      </w:r>
    </w:p>
    <w:p>
      <w:r>
        <w:rPr>
          <w:b/>
        </w:rPr>
        <w:t xml:space="preserve">48 </w:t>
      </w:r>
      <w:r>
        <w:t xml:space="preserve">And the men of Israel shut in the sons of Benjamin and struck them with the edge of the sword from the city onward to beast and to everything found; all the cities they found they sent out in fire.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a man of Israel swore at Mizpah, saying, No man from us will give his daughter</w:t>
      </w:r>
      <w:r>
        <w:rPr>
          <w:rStyle w:val="FootnoteReference"/>
        </w:rPr>
        <w:footnoteReference w:id="4995"/>
      </w:r>
      <w:r>
        <w:t xml:space="preserve"> to Benjamin as wife.</w:t>
      </w:r>
    </w:p>
    <w:p>
      <w:r>
        <w:rPr>
          <w:b/>
        </w:rPr>
        <w:t xml:space="preserve">2 </w:t>
      </w:r>
      <w:r>
        <w:t xml:space="preserve">And all the people came to Mizpah and Bethel and sat there until evening before God and lifted</w:t>
      </w:r>
      <w:r>
        <w:rPr>
          <w:rStyle w:val="FootnoteReference"/>
        </w:rPr>
        <w:footnoteReference w:id="4996"/>
      </w:r>
      <w:r>
        <w:t xml:space="preserve"> up their voice and wept with great weeping.</w:t>
      </w:r>
    </w:p>
    <w:p>
      <w:r>
        <w:rPr>
          <w:b/>
        </w:rPr>
        <w:t xml:space="preserve">3 </w:t>
      </w:r>
      <w:r>
        <w:t xml:space="preserve">And they said, Why, Lord God of Israel, has this happened in Israel, that one tribe should be missing in Israel today?</w:t>
      </w:r>
    </w:p>
    <w:p>
      <w:r>
        <w:rPr>
          <w:b/>
        </w:rPr>
        <w:t xml:space="preserve">4 </w:t>
      </w:r>
      <w:r>
        <w:t xml:space="preserve">And it came to be on the next day, the people rose early</w:t>
      </w:r>
      <w:r>
        <w:rPr>
          <w:rStyle w:val="FootnoteReference"/>
        </w:rPr>
        <w:footnoteReference w:id="4997"/>
      </w:r>
      <w:r>
        <w:t xml:space="preserve"> and built there an altar and offered whole burnt offerings of salvation</w:t>
      </w:r>
      <w:r>
        <w:rPr>
          <w:rStyle w:val="FootnoteReference"/>
        </w:rPr>
        <w:footnoteReference w:id="4998"/>
      </w:r>
      <w:r>
        <w:t xml:space="preserve">.</w:t>
      </w:r>
    </w:p>
    <w:p>
      <w:r>
        <w:rPr>
          <w:b/>
        </w:rPr>
        <w:t xml:space="preserve">5 </w:t>
      </w:r>
      <w:r>
        <w:t xml:space="preserve">And the sons of Israel said, Who is there that did not go up in the assembly</w:t>
      </w:r>
      <w:r>
        <w:rPr>
          <w:rStyle w:val="FootnoteReference"/>
        </w:rPr>
        <w:footnoteReference w:id="4999"/>
      </w:r>
      <w:r>
        <w:t xml:space="preserve"> from all the tribes of Israel to the Lord? For a great oath</w:t>
      </w:r>
      <w:r>
        <w:rPr>
          <w:rStyle w:val="FootnoteReference"/>
        </w:rPr>
        <w:footnoteReference w:id="5000"/>
      </w:r>
      <w:r>
        <w:t xml:space="preserve"> had been made against whoever did not go up to the Lord at Mizpah, saying, He shall surely die.</w:t>
      </w:r>
    </w:p>
    <w:p>
      <w:r>
        <w:rPr>
          <w:b/>
        </w:rPr>
        <w:t xml:space="preserve">6 </w:t>
      </w:r>
      <w:r>
        <w:t xml:space="preserve">And the sons of Israel were moved concerning Benjamin their brother and said, One tribe has been taken away from Israel today.</w:t>
      </w:r>
    </w:p>
    <w:p>
      <w:r>
        <w:rPr>
          <w:b/>
        </w:rPr>
        <w:t xml:space="preserve">7 </w:t>
      </w:r>
      <w:r>
        <w:t xml:space="preserve">What shall we do for those left for wives, since we swore by the Lord not to give them from our daughters as wives?</w:t>
      </w:r>
    </w:p>
    <w:p>
      <w:r>
        <w:rPr>
          <w:b/>
        </w:rPr>
        <w:t xml:space="preserve">8 </w:t>
      </w:r>
      <w:r>
        <w:t xml:space="preserve">And they said, Which one from the tribes of Israel is it that did not go up to the Lord at Mizpah? And behold, no man had come from Jabesh</w:t>
      </w:r>
      <w:r>
        <w:rPr>
          <w:rStyle w:val="FootnoteReference"/>
        </w:rPr>
        <w:footnoteReference w:id="5001"/>
      </w:r>
      <w:r>
        <w:t xml:space="preserve"> Gilead to the camp to the assembly.</w:t>
      </w:r>
    </w:p>
    <w:p>
      <w:r>
        <w:rPr>
          <w:b/>
        </w:rPr>
        <w:t xml:space="preserve">9 </w:t>
      </w:r>
      <w:r>
        <w:t xml:space="preserve">And the people were counted, and behold, there was no man there from the inhabitants of Jabesh Gilead.</w:t>
      </w:r>
    </w:p>
    <w:p>
      <w:r>
        <w:rPr>
          <w:b/>
        </w:rPr>
        <w:t xml:space="preserve">10 </w:t>
      </w:r>
      <w:r>
        <w:t xml:space="preserve">And the congregation sent there twelve thousand men from the sons of might and commanded them, saying, Go and strike all dwelling in Jabesh Gilead with the edge of the sword, and the women and the people.</w:t>
      </w:r>
    </w:p>
    <w:p>
      <w:r>
        <w:rPr>
          <w:b/>
        </w:rPr>
        <w:t xml:space="preserve">11 </w:t>
      </w:r>
      <w:r>
        <w:t xml:space="preserve">And this is the word that you shall do: every male</w:t>
      </w:r>
      <w:r>
        <w:rPr>
          <w:rStyle w:val="FootnoteReference"/>
        </w:rPr>
        <w:footnoteReference w:id="5002"/>
      </w:r>
      <w:r>
        <w:t xml:space="preserve"> and every woman knowing the bed of a male you shall devote to destruction.</w:t>
      </w:r>
    </w:p>
    <w:p>
      <w:r>
        <w:rPr>
          <w:b/>
        </w:rPr>
        <w:t xml:space="preserve">12 </w:t>
      </w:r>
      <w:r>
        <w:t xml:space="preserve">And they found from the inhabitants of Jabesh Gilead four hundred young women, virgins</w:t>
      </w:r>
      <w:r>
        <w:rPr>
          <w:rStyle w:val="FootnoteReference"/>
        </w:rPr>
        <w:footnoteReference w:id="5003"/>
      </w:r>
      <w:r>
        <w:t xml:space="preserve"> who had not known man by the bed of a male, and they brought them to the camp at Shiloh, which is in the land of Canaan.</w:t>
      </w:r>
      <w:r>
        <w:rPr>
          <w:rStyle w:val="FootnoteReference"/>
        </w:rPr>
        <w:footnoteReference w:id="5004"/>
      </w:r>
    </w:p>
    <w:p>
      <w:r>
        <w:rPr>
          <w:b/>
        </w:rPr>
        <w:t xml:space="preserve">13 </w:t>
      </w:r>
      <w:r>
        <w:t xml:space="preserve">And all the congregation sent and spoke to Benjamin at the rock Rimmon</w:t>
      </w:r>
      <w:r>
        <w:rPr>
          <w:rStyle w:val="FootnoteReference"/>
        </w:rPr>
        <w:footnoteReference w:id="5005"/>
      </w:r>
      <w:r>
        <w:t xml:space="preserve"> and called them to peace.</w:t>
      </w:r>
    </w:p>
    <w:p>
      <w:r>
        <w:rPr>
          <w:b/>
        </w:rPr>
        <w:t xml:space="preserve">14 </w:t>
      </w:r>
      <w:r>
        <w:t xml:space="preserve">And Benjamin returned to the sons of Israel at that time, and they gave them the women who had been from the women of Jabesh Gilead, and it pleased them thus.</w:t>
      </w:r>
    </w:p>
    <w:p>
      <w:r>
        <w:rPr>
          <w:b/>
        </w:rPr>
        <w:t xml:space="preserve">15 </w:t>
      </w:r>
      <w:r>
        <w:t xml:space="preserve">And the people were moved for Benjamin because the Lord made a break in the tribes of Israel.</w:t>
      </w:r>
    </w:p>
    <w:p>
      <w:r>
        <w:rPr>
          <w:b/>
        </w:rPr>
        <w:t xml:space="preserve">16 </w:t>
      </w:r>
      <w:r>
        <w:t xml:space="preserve">And the elders of the congregation said, What shall we do for the rest for wives, because woman has been wiped out from Benjamin?</w:t>
      </w:r>
    </w:p>
    <w:p>
      <w:r>
        <w:rPr>
          <w:b/>
        </w:rPr>
        <w:t xml:space="preserve">17 </w:t>
      </w:r>
      <w:r>
        <w:t xml:space="preserve">And they said, A preserved inheritance belongs to Benjamin, and a tribe shall certainly not be blotted out from Israel.</w:t>
      </w:r>
    </w:p>
    <w:p>
      <w:r>
        <w:rPr>
          <w:b/>
        </w:rPr>
        <w:t xml:space="preserve">18 </w:t>
      </w:r>
      <w:r>
        <w:t xml:space="preserve">And we are not able to give them wives from our daughters, because the sons of Israel swore, saying, Cursed is the one giving a wife to Benjamin.</w:t>
      </w:r>
    </w:p>
    <w:p>
      <w:r>
        <w:rPr>
          <w:b/>
        </w:rPr>
        <w:t xml:space="preserve">19 </w:t>
      </w:r>
      <w:r>
        <w:t xml:space="preserve">And they said, Behold, a feast</w:t>
      </w:r>
      <w:r>
        <w:rPr>
          <w:rStyle w:val="FootnoteReference"/>
        </w:rPr>
        <w:footnoteReference w:id="5006"/>
      </w:r>
      <w:r>
        <w:t xml:space="preserve"> to the Lord at Shiloh from days to days, which is north of Bethel toward the rising of the sun, on the road going up from Bethel to Shechem, and south of Lebonah</w:t>
      </w:r>
      <w:r>
        <w:rPr>
          <w:rStyle w:val="FootnoteReference"/>
        </w:rPr>
        <w:footnoteReference w:id="5007"/>
      </w:r>
      <w:r>
        <w:t xml:space="preserve">.</w:t>
      </w:r>
      <w:r>
        <w:rPr>
          <w:rStyle w:val="FootnoteReference"/>
        </w:rPr>
        <w:footnoteReference w:id="5008"/>
      </w:r>
    </w:p>
    <w:p>
      <w:r>
        <w:rPr>
          <w:b/>
        </w:rPr>
        <w:t xml:space="preserve">20 </w:t>
      </w:r>
      <w:r>
        <w:t xml:space="preserve">And they commanded the sons of Benjamin, saying, Go and lie in ambush in the vineyards.</w:t>
      </w:r>
    </w:p>
    <w:p>
      <w:r>
        <w:rPr>
          <w:b/>
        </w:rPr>
        <w:t xml:space="preserve">21 </w:t>
      </w:r>
      <w:r>
        <w:t xml:space="preserve">And you shall watch, and behold, when the daughters of those dwelling in Shiloh come out in Shiloh to dance in dances</w:t>
      </w:r>
      <w:r>
        <w:rPr>
          <w:rStyle w:val="FootnoteReference"/>
        </w:rPr>
        <w:footnoteReference w:id="5009"/>
      </w:r>
      <w:r>
        <w:t xml:space="preserve">, then you shall come out from the vineyards and each man seize for himself a wife from the daughters of Shiloh and go away to the land of Benjamin.</w:t>
      </w:r>
      <w:r>
        <w:rPr>
          <w:rStyle w:val="FootnoteReference"/>
        </w:rPr>
        <w:footnoteReference w:id="5010"/>
      </w:r>
    </w:p>
    <w:p>
      <w:r>
        <w:rPr>
          <w:b/>
        </w:rPr>
        <w:t xml:space="preserve">22 </w:t>
      </w:r>
      <w:r>
        <w:t xml:space="preserve">And it shall be when their fathers or their brothers come to contend with us, we will say to them, Show mercy to them</w:t>
      </w:r>
      <w:r>
        <w:rPr>
          <w:rStyle w:val="FootnoteReference"/>
        </w:rPr>
        <w:footnoteReference w:id="5011"/>
      </w:r>
      <w:r>
        <w:t xml:space="preserve">, because not each man</w:t>
      </w:r>
      <w:r>
        <w:rPr>
          <w:rStyle w:val="FootnoteReference"/>
        </w:rPr>
        <w:footnoteReference w:id="5012"/>
      </w:r>
      <w:r>
        <w:t xml:space="preserve"> took his wife in the war. For you did not give to them at the proper time; otherwise you would have trespassed.</w:t>
      </w:r>
    </w:p>
    <w:p>
      <w:r>
        <w:rPr>
          <w:b/>
        </w:rPr>
        <w:t xml:space="preserve">23 </w:t>
      </w:r>
      <w:r>
        <w:t xml:space="preserve">And the sons of Benjamin did so and took wives according to their number from the dancers whom they carried off</w:t>
      </w:r>
      <w:r>
        <w:rPr>
          <w:rStyle w:val="FootnoteReference"/>
        </w:rPr>
        <w:footnoteReference w:id="5013"/>
      </w:r>
      <w:r>
        <w:t xml:space="preserve">, and they went away and returned to their inheritance and built for themselves cities and dwelt in them.</w:t>
      </w:r>
    </w:p>
    <w:p>
      <w:r>
        <w:rPr>
          <w:b/>
        </w:rPr>
        <w:t xml:space="preserve">24 </w:t>
      </w:r>
      <w:r>
        <w:t xml:space="preserve">And the sons of Israel walked from there at that time, each man to his tribe and to his family, and each man went away from there to his inheritance.</w:t>
      </w:r>
    </w:p>
    <w:p>
      <w:r>
        <w:rPr>
          <w:b/>
        </w:rPr>
        <w:t xml:space="preserve">25 </w:t>
      </w:r>
      <w:r>
        <w:t xml:space="preserve">In those days there was no king in Israel; each man did what was right</w:t>
      </w:r>
      <w:r>
        <w:rPr>
          <w:rStyle w:val="FootnoteReference"/>
        </w:rPr>
        <w:footnoteReference w:id="5014"/>
      </w:r>
      <w:r>
        <w:t xml:space="preserve"> in his own eyes.</w:t>
      </w:r>
    </w:p>
    <w:p>
      <w:r>
        <w:br w:type="page"/>
      </w:r>
    </w:p>
    <w:p>
      <w:pPr>
        <w:pStyle w:val="Heading1"/>
      </w:pPr>
      <w:r>
        <w:t xml:space="preserve">Ruth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it came to be in the judging of the judges</w:t>
      </w:r>
      <w:r>
        <w:rPr>
          <w:rStyle w:val="FootnoteReference"/>
        </w:rPr>
        <w:footnoteReference w:id="5015"/>
      </w:r>
      <w:r>
        <w:t xml:space="preserve">, and there was famine in the land, and a man from Bethlehem of Judah went to reside in the field of Moab, he and his wife and his sons.</w:t>
      </w:r>
    </w:p>
    <w:p>
      <w:r>
        <w:rPr>
          <w:b/>
        </w:rPr>
        <w:t xml:space="preserve">2 </w:t>
      </w:r>
      <w:r>
        <w:t xml:space="preserve">And the name of the man was Elimelech</w:t>
      </w:r>
      <w:r>
        <w:rPr>
          <w:rStyle w:val="FootnoteReference"/>
        </w:rPr>
        <w:footnoteReference w:id="5016"/>
      </w:r>
      <w:r>
        <w:t xml:space="preserve">, and the name of his wife Naomi</w:t>
      </w:r>
      <w:r>
        <w:rPr>
          <w:rStyle w:val="FootnoteReference"/>
        </w:rPr>
        <w:footnoteReference w:id="5017"/>
      </w:r>
      <w:r>
        <w:t xml:space="preserve">, and the names of his two sons Mahlon</w:t>
      </w:r>
      <w:r>
        <w:rPr>
          <w:rStyle w:val="FootnoteReference"/>
        </w:rPr>
        <w:footnoteReference w:id="5018"/>
      </w:r>
      <w:r>
        <w:t xml:space="preserve"> and Chilion</w:t>
      </w:r>
      <w:r>
        <w:rPr>
          <w:rStyle w:val="FootnoteReference"/>
        </w:rPr>
        <w:footnoteReference w:id="5019"/>
      </w:r>
      <w:r>
        <w:t xml:space="preserve">, Ephrathites</w:t>
      </w:r>
      <w:r>
        <w:rPr>
          <w:rStyle w:val="FootnoteReference"/>
        </w:rPr>
        <w:footnoteReference w:id="5020"/>
      </w:r>
      <w:r>
        <w:t xml:space="preserve"> from Bethlehem of Judah, and they came into the field of Moab and were there.</w:t>
      </w:r>
      <w:r>
        <w:rPr>
          <w:rStyle w:val="FootnoteReference"/>
        </w:rPr>
        <w:footnoteReference w:id="5021"/>
      </w:r>
      <w:r>
        <w:rPr>
          <w:rStyle w:val="FootnoteReference"/>
        </w:rPr>
        <w:footnoteReference w:id="5022"/>
      </w:r>
    </w:p>
    <w:p>
      <w:r>
        <w:rPr>
          <w:b/>
        </w:rPr>
        <w:t xml:space="preserve">3 </w:t>
      </w:r>
      <w:r>
        <w:t xml:space="preserve">And Elimelech, husband of Naomi, died, and she was</w:t>
      </w:r>
      <w:r>
        <w:rPr>
          <w:rStyle w:val="FootnoteReference"/>
        </w:rPr>
        <w:footnoteReference w:id="5023"/>
      </w:r>
      <w:r>
        <w:t xml:space="preserve"> left, she and her two sons.</w:t>
      </w:r>
    </w:p>
    <w:p>
      <w:r>
        <w:rPr>
          <w:b/>
        </w:rPr>
        <w:t xml:space="preserve">4 </w:t>
      </w:r>
      <w:r>
        <w:t xml:space="preserve">And they took for themselves Moabite women; the name of the one was Orpah</w:t>
      </w:r>
      <w:r>
        <w:rPr>
          <w:rStyle w:val="FootnoteReference"/>
        </w:rPr>
        <w:footnoteReference w:id="5024"/>
      </w:r>
      <w:r>
        <w:t xml:space="preserve"> and the name of the second Ruth</w:t>
      </w:r>
      <w:r>
        <w:rPr>
          <w:rStyle w:val="FootnoteReference"/>
        </w:rPr>
        <w:footnoteReference w:id="5025"/>
      </w:r>
      <w:r>
        <w:t xml:space="preserve">, and they dwelt there about ten years.</w:t>
      </w:r>
      <w:r>
        <w:rPr>
          <w:rStyle w:val="FootnoteReference"/>
        </w:rPr>
        <w:footnoteReference w:id="5026"/>
      </w:r>
      <w:r>
        <w:rPr>
          <w:rStyle w:val="FootnoteReference"/>
        </w:rPr>
        <w:footnoteReference w:id="5027"/>
      </w:r>
    </w:p>
    <w:p>
      <w:r>
        <w:rPr>
          <w:b/>
        </w:rPr>
        <w:t xml:space="preserve">5 </w:t>
      </w:r>
      <w:r>
        <w:t xml:space="preserve">And both Mahlon</w:t>
      </w:r>
      <w:r>
        <w:rPr>
          <w:rStyle w:val="FootnoteReference"/>
        </w:rPr>
        <w:footnoteReference w:id="5028"/>
      </w:r>
      <w:r>
        <w:t xml:space="preserve"> and Chilion also died, and the woman was left without her husband and without her two sons.</w:t>
      </w:r>
    </w:p>
    <w:p>
      <w:r>
        <w:rPr>
          <w:b/>
        </w:rPr>
        <w:t xml:space="preserve">6 </w:t>
      </w:r>
      <w:r>
        <w:t xml:space="preserve">And she rose, she and her two daughters-in-law, and they returned from the field of Moab, because she heard in the field of Moab that the Lord had visited</w:t>
      </w:r>
      <w:r>
        <w:rPr>
          <w:rStyle w:val="FootnoteReference"/>
        </w:rPr>
        <w:footnoteReference w:id="5029"/>
      </w:r>
      <w:r>
        <w:t xml:space="preserve"> his people to give them bread.</w:t>
      </w:r>
    </w:p>
    <w:p>
      <w:r>
        <w:rPr>
          <w:b/>
        </w:rPr>
        <w:t xml:space="preserve">7 </w:t>
      </w:r>
      <w:r>
        <w:t xml:space="preserve">And she went</w:t>
      </w:r>
      <w:r>
        <w:rPr>
          <w:rStyle w:val="FootnoteReference"/>
        </w:rPr>
        <w:footnoteReference w:id="5030"/>
      </w:r>
      <w:r>
        <w:t xml:space="preserve"> out from the place where she had been there, and her two daughters-in-law with her, and they were going on the road to return to the land of Judah.</w:t>
      </w:r>
    </w:p>
    <w:p>
      <w:r>
        <w:rPr>
          <w:b/>
        </w:rPr>
        <w:t xml:space="preserve">8 </w:t>
      </w:r>
      <w:r>
        <w:t xml:space="preserve">And Naomi said to her daughters-in-law, Go now, return each to her mother's house. May the Lord</w:t>
      </w:r>
      <w:r>
        <w:rPr>
          <w:rStyle w:val="FootnoteReference"/>
        </w:rPr>
        <w:footnoteReference w:id="5031"/>
      </w:r>
      <w:r>
        <w:t xml:space="preserve"> deal with you in mercy</w:t>
      </w:r>
      <w:r>
        <w:rPr>
          <w:rStyle w:val="FootnoteReference"/>
        </w:rPr>
        <w:footnoteReference w:id="5032"/>
      </w:r>
      <w:r>
        <w:t xml:space="preserve">, as you dealt with the dead and with me.</w:t>
      </w:r>
    </w:p>
    <w:p>
      <w:r>
        <w:rPr>
          <w:b/>
        </w:rPr>
        <w:t xml:space="preserve">9 </w:t>
      </w:r>
      <w:r>
        <w:t xml:space="preserve">May the Lord give to you, and may each of you find rest</w:t>
      </w:r>
      <w:r>
        <w:rPr>
          <w:rStyle w:val="FootnoteReference"/>
        </w:rPr>
        <w:footnoteReference w:id="5033"/>
      </w:r>
      <w:r>
        <w:t xml:space="preserve"> in the house of her husband. And she kissed them, and they lifted up their voice and wept.</w:t>
      </w:r>
    </w:p>
    <w:p>
      <w:r>
        <w:rPr>
          <w:b/>
        </w:rPr>
        <w:t xml:space="preserve">10 </w:t>
      </w:r>
      <w:r>
        <w:t xml:space="preserve">And they said to her, With you we will return to your people.</w:t>
      </w:r>
    </w:p>
    <w:p>
      <w:r>
        <w:rPr>
          <w:b/>
        </w:rPr>
        <w:t xml:space="preserve">11 </w:t>
      </w:r>
      <w:r>
        <w:t xml:space="preserve">And Naomi said, Return now, my daughters. Why are you going with me? Are there yet sons in my womb, and will they be husbands for you?</w:t>
      </w:r>
    </w:p>
    <w:p>
      <w:r>
        <w:rPr>
          <w:b/>
        </w:rPr>
        <w:t xml:space="preserve">12 </w:t>
      </w:r>
      <w:r>
        <w:t xml:space="preserve">Return now, my daughters, because I have grown old, not to belong to a husband. For if I said, There is hope for me to belong to a husband and bear sons,</w:t>
      </w:r>
    </w:p>
    <w:p>
      <w:r>
        <w:rPr>
          <w:b/>
        </w:rPr>
        <w:t xml:space="preserve">13 </w:t>
      </w:r>
      <w:r>
        <w:t xml:space="preserve">would you wait for them until they grow up? Or would you be restrained on account of them from belonging to a husband? No, my daughters, because it has become very bitter for me concerning you, because the hand of the Lord has gone out</w:t>
      </w:r>
      <w:r>
        <w:rPr>
          <w:rStyle w:val="FootnoteReference"/>
        </w:rPr>
        <w:footnoteReference w:id="5034"/>
      </w:r>
      <w:r>
        <w:t xml:space="preserve"> against me.</w:t>
      </w:r>
      <w:r>
        <w:rPr>
          <w:rStyle w:val="FootnoteReference"/>
        </w:rPr>
        <w:footnoteReference w:id="5035"/>
      </w:r>
    </w:p>
    <w:p>
      <w:r>
        <w:rPr>
          <w:b/>
        </w:rPr>
        <w:t xml:space="preserve">14 </w:t>
      </w:r>
      <w:r>
        <w:t xml:space="preserve">And they lifted up their voice and wept again, and Orpah</w:t>
      </w:r>
      <w:r>
        <w:rPr>
          <w:rStyle w:val="FootnoteReference"/>
        </w:rPr>
        <w:footnoteReference w:id="5036"/>
      </w:r>
      <w:r>
        <w:t xml:space="preserve"> kissed her mother-in-law and returned to her people, but Ruth followed her.</w:t>
      </w:r>
    </w:p>
    <w:p>
      <w:r>
        <w:rPr>
          <w:b/>
        </w:rPr>
        <w:t xml:space="preserve">15 </w:t>
      </w:r>
      <w:r>
        <w:t xml:space="preserve">And Naomi said to Ruth, Behold, your fellow daughter-in-law turned back to her people and to her gods</w:t>
      </w:r>
      <w:r>
        <w:rPr>
          <w:rStyle w:val="FootnoteReference"/>
        </w:rPr>
        <w:footnoteReference w:id="5037"/>
      </w:r>
      <w:r>
        <w:t xml:space="preserve">. Turn back now, you also, after your fellow daughter-in-law.</w:t>
      </w:r>
    </w:p>
    <w:p>
      <w:r>
        <w:rPr>
          <w:b/>
        </w:rPr>
        <w:t xml:space="preserve">16 </w:t>
      </w:r>
      <w:r>
        <w:t xml:space="preserve">And Ruth said, Do not press me to leave</w:t>
      </w:r>
      <w:r>
        <w:rPr>
          <w:rStyle w:val="FootnoteReference"/>
        </w:rPr>
        <w:footnoteReference w:id="5038"/>
      </w:r>
      <w:r>
        <w:t xml:space="preserve"> you or to turn back from behind you, because wherever you go, I will go, and wherever you lodge, I will lodge. Your people shall be my people, and your God my God.</w:t>
      </w:r>
      <w:r>
        <w:rPr>
          <w:rStyle w:val="FootnoteReference"/>
        </w:rPr>
        <w:footnoteReference w:id="5039"/>
      </w:r>
    </w:p>
    <w:p>
      <w:r>
        <w:rPr>
          <w:b/>
        </w:rPr>
        <w:t xml:space="preserve">17 </w:t>
      </w:r>
      <w:r>
        <w:t xml:space="preserve">And wherever you die, I will die, and there I will be buried. Thus may the Lord</w:t>
      </w:r>
      <w:r>
        <w:rPr>
          <w:rStyle w:val="FootnoteReference"/>
        </w:rPr>
        <w:footnoteReference w:id="5040"/>
      </w:r>
      <w:r>
        <w:t xml:space="preserve"> do to me, and thus may he add, because only death will divide between me and you.</w:t>
      </w:r>
    </w:p>
    <w:p>
      <w:r>
        <w:rPr>
          <w:b/>
        </w:rPr>
        <w:t xml:space="preserve">18 </w:t>
      </w:r>
      <w:r>
        <w:t xml:space="preserve">And Naomi saw that she was strong in going with her, and she ceased speaking to her any more.</w:t>
      </w:r>
    </w:p>
    <w:p>
      <w:r>
        <w:rPr>
          <w:b/>
        </w:rPr>
        <w:t xml:space="preserve">19 </w:t>
      </w:r>
      <w:r>
        <w:t xml:space="preserve">And both of them went until they came to Bethlehem, and all the city</w:t>
      </w:r>
      <w:r>
        <w:rPr>
          <w:rStyle w:val="FootnoteReference"/>
        </w:rPr>
        <w:footnoteReference w:id="5041"/>
      </w:r>
      <w:r>
        <w:t xml:space="preserve"> sounded over them, and they said, Is this Naomi?</w:t>
      </w:r>
    </w:p>
    <w:p>
      <w:r>
        <w:rPr>
          <w:b/>
        </w:rPr>
        <w:t xml:space="preserve">20 </w:t>
      </w:r>
      <w:r>
        <w:t xml:space="preserve">And she said to them, Do not call me Naomi; call me Bitter, because the Mighty One has made things very bitter in me.</w:t>
      </w:r>
    </w:p>
    <w:p>
      <w:r>
        <w:rPr>
          <w:b/>
        </w:rPr>
        <w:t xml:space="preserve">21 </w:t>
      </w:r>
      <w:r>
        <w:t xml:space="preserve">I went away full, and the Lord</w:t>
      </w:r>
      <w:r>
        <w:rPr>
          <w:rStyle w:val="FootnoteReference"/>
        </w:rPr>
        <w:footnoteReference w:id="5042"/>
      </w:r>
      <w:r>
        <w:t xml:space="preserve"> brought me back empty. And why do you call me Naomi, when the Lord humbled me and the Mighty One afflicted me?</w:t>
      </w:r>
    </w:p>
    <w:p>
      <w:r>
        <w:rPr>
          <w:b/>
        </w:rPr>
        <w:t xml:space="preserve">22 </w:t>
      </w:r>
      <w:r>
        <w:t xml:space="preserve">And Naomi returned, and Ruth the Moabitess her daughter-in-law with her, returning from the field of Moab. And they came to Bethlehem at the beginning of barley harvest.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for Naomi there was a known man to her husband, and the man was mighty in strength from the kindred of Elimelech, and his name was Boaz</w:t>
      </w:r>
      <w:r>
        <w:rPr>
          <w:rStyle w:val="FootnoteReference"/>
        </w:rPr>
        <w:footnoteReference w:id="5043"/>
      </w:r>
      <w:r>
        <w:t xml:space="preserve">.</w:t>
      </w:r>
      <w:r>
        <w:rPr>
          <w:rStyle w:val="FootnoteReference"/>
        </w:rPr>
        <w:footnoteReference w:id="5044"/>
      </w:r>
      <w:r>
        <w:rPr>
          <w:rStyle w:val="FootnoteReference"/>
        </w:rPr>
        <w:footnoteReference w:id="5045"/>
      </w:r>
    </w:p>
    <w:p>
      <w:r>
        <w:rPr>
          <w:b/>
        </w:rPr>
        <w:t xml:space="preserve">2 </w:t>
      </w:r>
      <w:r>
        <w:t xml:space="preserve">And Ruth the Moabitess said to Naomi, Let me now go to the field and glean among the ears behind whoever I find favor in his eyes. And she said to her, Go, daughter.</w:t>
      </w:r>
    </w:p>
    <w:p>
      <w:r>
        <w:rPr>
          <w:b/>
        </w:rPr>
        <w:t xml:space="preserve">3 </w:t>
      </w:r>
      <w:r>
        <w:t xml:space="preserve">And she went and gleaned</w:t>
      </w:r>
      <w:r>
        <w:rPr>
          <w:rStyle w:val="FootnoteReference"/>
        </w:rPr>
        <w:footnoteReference w:id="5046"/>
      </w:r>
      <w:r>
        <w:t xml:space="preserve"> in the field behind the reapers, and it happened by chance upon the portion of the field of Boaz, who was from the kindred of Elimelech.</w:t>
      </w:r>
    </w:p>
    <w:p>
      <w:r>
        <w:rPr>
          <w:b/>
        </w:rPr>
        <w:t xml:space="preserve">4 </w:t>
      </w:r>
      <w:r>
        <w:t xml:space="preserve">And behold, Boaz came from Bethlehem and said to the reapers, The Lord</w:t>
      </w:r>
      <w:r>
        <w:rPr>
          <w:rStyle w:val="FootnoteReference"/>
        </w:rPr>
        <w:footnoteReference w:id="5047"/>
      </w:r>
      <w:r>
        <w:t xml:space="preserve"> be with you. And they said to him, May the Lord bless you.</w:t>
      </w:r>
    </w:p>
    <w:p>
      <w:r>
        <w:rPr>
          <w:b/>
        </w:rPr>
        <w:t xml:space="preserve">5 </w:t>
      </w:r>
      <w:r>
        <w:t xml:space="preserve">And Boaz said to his young servant set over the reapers, Whose young woman is this?</w:t>
      </w:r>
    </w:p>
    <w:p>
      <w:r>
        <w:rPr>
          <w:b/>
        </w:rPr>
        <w:t xml:space="preserve">6 </w:t>
      </w:r>
      <w:r>
        <w:t xml:space="preserve">And the young servant set over the reapers answered and said, She is the Moabite girl who returned with Naomi from the field of Moab.</w:t>
      </w:r>
    </w:p>
    <w:p>
      <w:r>
        <w:rPr>
          <w:b/>
        </w:rPr>
        <w:t xml:space="preserve">7 </w:t>
      </w:r>
      <w:r>
        <w:t xml:space="preserve">And she said, Let me now glean and gather among the sheaves behind the reapers. And she came and has stood from early morning until evening; she did not rest in the field except a little.</w:t>
      </w:r>
    </w:p>
    <w:p>
      <w:r>
        <w:rPr>
          <w:b/>
        </w:rPr>
        <w:t xml:space="preserve">8 </w:t>
      </w:r>
      <w:r>
        <w:t xml:space="preserve">And Boaz said to Ruth, Have you not heard, daughter? Do not go to another field to glean, and do not go from here. Here stay close with my girls.</w:t>
      </w:r>
    </w:p>
    <w:p>
      <w:r>
        <w:rPr>
          <w:b/>
        </w:rPr>
        <w:t xml:space="preserve">9 </w:t>
      </w:r>
      <w:r>
        <w:t xml:space="preserve">Let your eyes be on the field where they reap, and go behind them</w:t>
      </w:r>
      <w:r>
        <w:rPr>
          <w:rStyle w:val="FootnoteReference"/>
        </w:rPr>
        <w:footnoteReference w:id="5048"/>
      </w:r>
      <w:r>
        <w:t xml:space="preserve">. Behold, I commanded the young men not to touch you, and whenever you thirst, go to the vessels and drink from where the young men draw water.</w:t>
      </w:r>
    </w:p>
    <w:p>
      <w:r>
        <w:rPr>
          <w:b/>
        </w:rPr>
        <w:t xml:space="preserve">10 </w:t>
      </w:r>
      <w:r>
        <w:t xml:space="preserve">And she fell</w:t>
      </w:r>
      <w:r>
        <w:rPr>
          <w:rStyle w:val="FootnoteReference"/>
        </w:rPr>
        <w:footnoteReference w:id="5049"/>
      </w:r>
      <w:r>
        <w:t xml:space="preserve"> on her face and bowed to the ground and said to him, Why did I find favor in your eyes, that you should notice me, when I am a foreign woman?</w:t>
      </w:r>
    </w:p>
    <w:p>
      <w:r>
        <w:rPr>
          <w:b/>
        </w:rPr>
        <w:t xml:space="preserve">11 </w:t>
      </w:r>
      <w:r>
        <w:t xml:space="preserve">And Boaz answered and said to her, It was fully reported to me all that you have done with your mother-in-law after the death of your husband, and how</w:t>
      </w:r>
      <w:r>
        <w:rPr>
          <w:rStyle w:val="FootnoteReference"/>
        </w:rPr>
        <w:footnoteReference w:id="5050"/>
      </w:r>
      <w:r>
        <w:t xml:space="preserve"> you left your father and your mother and the land of your birth and went to a people you did not know yesterday or the day before.</w:t>
      </w:r>
      <w:r>
        <w:rPr>
          <w:rStyle w:val="FootnoteReference"/>
        </w:rPr>
        <w:footnoteReference w:id="5051"/>
      </w:r>
    </w:p>
    <w:p>
      <w:r>
        <w:rPr>
          <w:b/>
        </w:rPr>
        <w:t xml:space="preserve">12 </w:t>
      </w:r>
      <w:r>
        <w:t xml:space="preserve">May the Lord repay your work, and may your wage be full from the Lord God of Israel, under whose wings you came to trust</w:t>
      </w:r>
      <w:r>
        <w:rPr>
          <w:rStyle w:val="FootnoteReference"/>
        </w:rPr>
        <w:footnoteReference w:id="5052"/>
      </w:r>
      <w:r>
        <w:t xml:space="preserve">.</w:t>
      </w:r>
      <w:r>
        <w:rPr>
          <w:rStyle w:val="FootnoteReference"/>
        </w:rPr>
        <w:footnoteReference w:id="5053"/>
      </w:r>
    </w:p>
    <w:p>
      <w:r>
        <w:rPr>
          <w:b/>
        </w:rPr>
        <w:t xml:space="preserve">13 </w:t>
      </w:r>
      <w:r>
        <w:t xml:space="preserve">And she said, May I find favor in your eyes, lord, because you comforted me and because you spoke to the heart</w:t>
      </w:r>
      <w:r>
        <w:rPr>
          <w:rStyle w:val="FootnoteReference"/>
        </w:rPr>
        <w:footnoteReference w:id="5054"/>
      </w:r>
      <w:r>
        <w:t xml:space="preserve"> of your servant, and behold, I shall be as one of your maidservants.</w:t>
      </w:r>
    </w:p>
    <w:p>
      <w:r>
        <w:rPr>
          <w:b/>
        </w:rPr>
        <w:t xml:space="preserve">14 </w:t>
      </w:r>
      <w:r>
        <w:t xml:space="preserve">And Boaz said to her, Already it is time to eat; come here and eat of the bread and dip your morsel in the vinegar. And Ruth sat beside the reapers, and Boaz heaped parched</w:t>
      </w:r>
      <w:r>
        <w:rPr>
          <w:rStyle w:val="FootnoteReference"/>
        </w:rPr>
        <w:footnoteReference w:id="5055"/>
      </w:r>
      <w:r>
        <w:t xml:space="preserve"> grain for her, and she ate and was filled and left some.</w:t>
      </w:r>
    </w:p>
    <w:p>
      <w:r>
        <w:rPr>
          <w:b/>
        </w:rPr>
        <w:t xml:space="preserve">15 </w:t>
      </w:r>
      <w:r>
        <w:t xml:space="preserve">And she rose to glean, and Boaz commanded his young men, saying, Indeed let her glean even among the sheaves, and do not shame her.</w:t>
      </w:r>
    </w:p>
    <w:p>
      <w:r>
        <w:rPr>
          <w:b/>
        </w:rPr>
        <w:t xml:space="preserve">16 </w:t>
      </w:r>
      <w:r>
        <w:t xml:space="preserve">And in carrying, carry for her; indeed in dropping, drop for her from the armfuls and leave them, and she will glean, and you shall not rebuke her.</w:t>
      </w:r>
    </w:p>
    <w:p>
      <w:r>
        <w:rPr>
          <w:b/>
        </w:rPr>
        <w:t xml:space="preserve">17 </w:t>
      </w:r>
      <w:r>
        <w:t xml:space="preserve">And she gleaned</w:t>
      </w:r>
      <w:r>
        <w:rPr>
          <w:rStyle w:val="FootnoteReference"/>
        </w:rPr>
        <w:footnoteReference w:id="5056"/>
      </w:r>
      <w:r>
        <w:t xml:space="preserve"> in the field until evening and beat out what she had gleaned, and it came to be about an ephah of barley.</w:t>
      </w:r>
    </w:p>
    <w:p>
      <w:r>
        <w:rPr>
          <w:b/>
        </w:rPr>
        <w:t xml:space="preserve">18 </w:t>
      </w:r>
      <w:r>
        <w:t xml:space="preserve">And she took it and went into the city, and her mother-in-law saw what she had gleaned. And Ruth brought out and gave to her what she had left from what satisfied her.</w:t>
      </w:r>
    </w:p>
    <w:p>
      <w:r>
        <w:rPr>
          <w:b/>
        </w:rPr>
        <w:t xml:space="preserve">19 </w:t>
      </w:r>
      <w:r>
        <w:t xml:space="preserve">And her mother-in-law said to her, Where did you glean today, and where did you work? Blessed</w:t>
      </w:r>
      <w:r>
        <w:rPr>
          <w:rStyle w:val="FootnoteReference"/>
        </w:rPr>
        <w:footnoteReference w:id="5057"/>
      </w:r>
      <w:r>
        <w:t xml:space="preserve"> be the one noticing you</w:t>
      </w:r>
      <w:r>
        <w:rPr>
          <w:rStyle w:val="FootnoteReference"/>
        </w:rPr>
        <w:footnoteReference w:id="5058"/>
      </w:r>
      <w:r>
        <w:t xml:space="preserve">. And Ruth reported to her mother-in-law where she worked and said, The name of the man with whom I worked today is Boaz.</w:t>
      </w:r>
    </w:p>
    <w:p>
      <w:r>
        <w:rPr>
          <w:b/>
        </w:rPr>
        <w:t xml:space="preserve">20 </w:t>
      </w:r>
      <w:r>
        <w:t xml:space="preserve">And Naomi said to her daughter-in-law, Blessed</w:t>
      </w:r>
      <w:r>
        <w:rPr>
          <w:rStyle w:val="FootnoteReference"/>
        </w:rPr>
        <w:footnoteReference w:id="5059"/>
      </w:r>
      <w:r>
        <w:t xml:space="preserve"> is he by the Lord, because he did not forsake his mercy</w:t>
      </w:r>
      <w:r>
        <w:rPr>
          <w:rStyle w:val="FootnoteReference"/>
        </w:rPr>
        <w:footnoteReference w:id="5060"/>
      </w:r>
      <w:r>
        <w:t xml:space="preserve"> with the living and with the dead. And Naomi said to her, The man is near to us; he is from those redeeming us.</w:t>
      </w:r>
    </w:p>
    <w:p>
      <w:r>
        <w:rPr>
          <w:b/>
        </w:rPr>
        <w:t xml:space="preserve">21 </w:t>
      </w:r>
      <w:r>
        <w:t xml:space="preserve">And Ruth said to her mother-in-law, Indeed he also said to me, Stay close with my young men</w:t>
      </w:r>
      <w:r>
        <w:rPr>
          <w:rStyle w:val="FootnoteReference"/>
        </w:rPr>
        <w:footnoteReference w:id="5061"/>
      </w:r>
      <w:r>
        <w:t xml:space="preserve"> until they finish all the harvest that belongs to me.</w:t>
      </w:r>
    </w:p>
    <w:p>
      <w:r>
        <w:rPr>
          <w:b/>
        </w:rPr>
        <w:t xml:space="preserve">22 </w:t>
      </w:r>
      <w:r>
        <w:t xml:space="preserve">And Naomi said to Ruth her daughter-in-law, It is good</w:t>
      </w:r>
      <w:r>
        <w:rPr>
          <w:rStyle w:val="FootnoteReference"/>
        </w:rPr>
        <w:footnoteReference w:id="5062"/>
      </w:r>
      <w:r>
        <w:t xml:space="preserve">, daughter, that you went with his girls, and they will not meet you in another field.</w:t>
      </w:r>
    </w:p>
    <w:p>
      <w:r>
        <w:rPr>
          <w:b/>
        </w:rPr>
        <w:t xml:space="preserve">23 </w:t>
      </w:r>
      <w:r>
        <w:t xml:space="preserve">And Ruth stayed close to the girls of Boaz, gleaning until the barley harvest and the wheat harvest were finished, and she lived with her mother-in-law.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Naomi her mother-in-law said to her, Daughter, shall I not</w:t>
      </w:r>
      <w:r>
        <w:rPr>
          <w:rStyle w:val="FootnoteReference"/>
        </w:rPr>
        <w:footnoteReference w:id="5063"/>
      </w:r>
      <w:r>
        <w:t xml:space="preserve"> seek rest for you, so that it may be well with you?</w:t>
      </w:r>
      <w:r>
        <w:rPr>
          <w:rStyle w:val="FootnoteReference"/>
        </w:rPr>
        <w:footnoteReference w:id="5064"/>
      </w:r>
    </w:p>
    <w:p>
      <w:r>
        <w:rPr>
          <w:b/>
        </w:rPr>
        <w:t xml:space="preserve">2 </w:t>
      </w:r>
      <w:r>
        <w:t xml:space="preserve">And now, is not Boaz</w:t>
      </w:r>
      <w:r>
        <w:rPr>
          <w:rStyle w:val="FootnoteReference"/>
        </w:rPr>
        <w:footnoteReference w:id="5065"/>
      </w:r>
      <w:r>
        <w:t xml:space="preserve"> our kinsman, with whose girls you were? Behold, he winnows the threshing floor of barley tonight.</w:t>
      </w:r>
    </w:p>
    <w:p>
      <w:r>
        <w:rPr>
          <w:b/>
        </w:rPr>
        <w:t xml:space="preserve">3 </w:t>
      </w:r>
      <w:r>
        <w:t xml:space="preserve">And you shall wash and anoint yourself and put your garment upon yourself and go up to the threshing floor. Do not make yourself known to the man until he finishes eating and drinking.</w:t>
      </w:r>
    </w:p>
    <w:p>
      <w:r>
        <w:rPr>
          <w:b/>
        </w:rPr>
        <w:t xml:space="preserve">4 </w:t>
      </w:r>
      <w:r>
        <w:t xml:space="preserve">And it shall be when he lies down, you will know the place where he lies there, and you will come and uncover the things at his feet and lie down, and he will tell you what you shall do.</w:t>
      </w:r>
      <w:r>
        <w:rPr>
          <w:rStyle w:val="FootnoteReference"/>
        </w:rPr>
        <w:footnoteReference w:id="5066"/>
      </w:r>
    </w:p>
    <w:p>
      <w:r>
        <w:rPr>
          <w:b/>
        </w:rPr>
        <w:t xml:space="preserve">5 </w:t>
      </w:r>
      <w:r>
        <w:t xml:space="preserve">And Ruth said to her, Everything that you say I will do.</w:t>
      </w:r>
    </w:p>
    <w:p>
      <w:r>
        <w:rPr>
          <w:b/>
        </w:rPr>
        <w:t xml:space="preserve">6 </w:t>
      </w:r>
      <w:r>
        <w:t xml:space="preserve">And she went down to the threshing floor and did</w:t>
      </w:r>
      <w:r>
        <w:rPr>
          <w:rStyle w:val="FootnoteReference"/>
        </w:rPr>
        <w:footnoteReference w:id="5067"/>
      </w:r>
      <w:r>
        <w:t xml:space="preserve"> according to all that her mother-in-law commanded her.</w:t>
      </w:r>
    </w:p>
    <w:p>
      <w:r>
        <w:rPr>
          <w:b/>
        </w:rPr>
        <w:t xml:space="preserve">7 </w:t>
      </w:r>
      <w:r>
        <w:t xml:space="preserve">And Boaz ate and his heart</w:t>
      </w:r>
      <w:r>
        <w:rPr>
          <w:rStyle w:val="FootnoteReference"/>
        </w:rPr>
        <w:footnoteReference w:id="5068"/>
      </w:r>
      <w:r>
        <w:t xml:space="preserve"> was made glad, and he came to lie down at the edge of the heap, and she came secretly and uncovered the things at his feet.</w:t>
      </w:r>
    </w:p>
    <w:p>
      <w:r>
        <w:rPr>
          <w:b/>
        </w:rPr>
        <w:t xml:space="preserve">8 </w:t>
      </w:r>
      <w:r>
        <w:t xml:space="preserve">And it happened at midnight, and the man was startled and disturbed, and behold, a woman lay at his feet.</w:t>
      </w:r>
    </w:p>
    <w:p>
      <w:r>
        <w:rPr>
          <w:b/>
        </w:rPr>
        <w:t xml:space="preserve">9 </w:t>
      </w:r>
      <w:r>
        <w:t xml:space="preserve">And he said, Who are you? And she said, I am Ruth</w:t>
      </w:r>
      <w:r>
        <w:rPr>
          <w:rStyle w:val="FootnoteReference"/>
        </w:rPr>
        <w:footnoteReference w:id="5069"/>
      </w:r>
      <w:r>
        <w:t xml:space="preserve"> your servant, and you shall spread your wing over your servant, because you are a redeemer.</w:t>
      </w:r>
    </w:p>
    <w:p>
      <w:r>
        <w:rPr>
          <w:b/>
        </w:rPr>
        <w:t xml:space="preserve">10 </w:t>
      </w:r>
      <w:r>
        <w:t xml:space="preserve">And he said, Blessed</w:t>
      </w:r>
      <w:r>
        <w:rPr>
          <w:rStyle w:val="FootnoteReference"/>
        </w:rPr>
        <w:footnoteReference w:id="5070"/>
      </w:r>
      <w:r>
        <w:t xml:space="preserve"> are you by the Lord God, daughter, because you made your latter mercy better than the first</w:t>
      </w:r>
      <w:r>
        <w:rPr>
          <w:rStyle w:val="FootnoteReference"/>
        </w:rPr>
        <w:footnoteReference w:id="5071"/>
      </w:r>
      <w:r>
        <w:t xml:space="preserve">, by not going after young men, whether poor or rich.</w:t>
      </w:r>
    </w:p>
    <w:p>
      <w:r>
        <w:rPr>
          <w:b/>
        </w:rPr>
        <w:t xml:space="preserve">11 </w:t>
      </w:r>
      <w:r>
        <w:t xml:space="preserve">And now, daughter, do not fear. Everything that you say I will do for you, for every tribe of my people knows that you are a woman of strength.</w:t>
      </w:r>
    </w:p>
    <w:p>
      <w:r>
        <w:rPr>
          <w:b/>
        </w:rPr>
        <w:t xml:space="preserve">12 </w:t>
      </w:r>
      <w:r>
        <w:t xml:space="preserve">And now, truly I am a redeemer, and yet there is</w:t>
      </w:r>
      <w:r>
        <w:rPr>
          <w:rStyle w:val="FootnoteReference"/>
        </w:rPr>
        <w:footnoteReference w:id="5072"/>
      </w:r>
      <w:r>
        <w:t xml:space="preserve"> a redeemer nearer than I.</w:t>
      </w:r>
    </w:p>
    <w:p>
      <w:r>
        <w:rPr>
          <w:b/>
        </w:rPr>
        <w:t xml:space="preserve">13 </w:t>
      </w:r>
      <w:r>
        <w:t xml:space="preserve">Lodge here tonight, and it shall be in the morning, if he redeems you</w:t>
      </w:r>
      <w:r>
        <w:rPr>
          <w:rStyle w:val="FootnoteReference"/>
        </w:rPr>
        <w:footnoteReference w:id="5073"/>
      </w:r>
      <w:r>
        <w:t xml:space="preserve">, good, let him redeem; but if he does not want to redeem you, I will redeem you, as the Lord lives. Sleep until morning.</w:t>
      </w:r>
    </w:p>
    <w:p>
      <w:r>
        <w:rPr>
          <w:b/>
        </w:rPr>
        <w:t xml:space="preserve">14 </w:t>
      </w:r>
      <w:r>
        <w:t xml:space="preserve">And she slept at his feet until morning, and she rose before one man could recognize his neighbor. And Boaz said, Let it not</w:t>
      </w:r>
      <w:r>
        <w:rPr>
          <w:rStyle w:val="FootnoteReference"/>
        </w:rPr>
        <w:footnoteReference w:id="5074"/>
      </w:r>
      <w:r>
        <w:t xml:space="preserve"> be known that a woman came to the threshing floor.</w:t>
      </w:r>
    </w:p>
    <w:p>
      <w:r>
        <w:rPr>
          <w:b/>
        </w:rPr>
        <w:t xml:space="preserve">15 </w:t>
      </w:r>
      <w:r>
        <w:t xml:space="preserve">And he said to her, Bring the mantle that is upon you. And she held it, and he measured</w:t>
      </w:r>
      <w:r>
        <w:rPr>
          <w:rStyle w:val="FootnoteReference"/>
        </w:rPr>
        <w:footnoteReference w:id="5075"/>
      </w:r>
      <w:r>
        <w:t xml:space="preserve"> six of barley and put it on her, and she went into the city.</w:t>
      </w:r>
    </w:p>
    <w:p>
      <w:r>
        <w:rPr>
          <w:b/>
        </w:rPr>
        <w:t xml:space="preserve">16 </w:t>
      </w:r>
      <w:r>
        <w:t xml:space="preserve">And Ruth entered to her mother-in-law, and she said, Who are you, daughter? And she told her everything that the man did for her.</w:t>
      </w:r>
    </w:p>
    <w:p>
      <w:r>
        <w:rPr>
          <w:b/>
        </w:rPr>
        <w:t xml:space="preserve">17 </w:t>
      </w:r>
      <w:r>
        <w:t xml:space="preserve">And she said to her, He gave me these six of barley, because he said to me, Do not enter empty to your mother-in-law.</w:t>
      </w:r>
    </w:p>
    <w:p>
      <w:r>
        <w:rPr>
          <w:b/>
        </w:rPr>
        <w:t xml:space="preserve">18 </w:t>
      </w:r>
      <w:r>
        <w:t xml:space="preserve">And she said, Sit, daughter, until you know how the matter will fall, for the man will certainly not rest until he completes the matter today.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Boaz went up to the gate</w:t>
      </w:r>
      <w:r>
        <w:rPr>
          <w:rStyle w:val="FootnoteReference"/>
        </w:rPr>
        <w:footnoteReference w:id="5076"/>
      </w:r>
      <w:r>
        <w:t xml:space="preserve"> and sat there, and behold, the redeemer was passing by whom Boaz had spoken of, and Boaz said to him, Turn aside, sit here, hidden one. And he turned aside and sat.</w:t>
      </w:r>
    </w:p>
    <w:p>
      <w:r>
        <w:rPr>
          <w:b/>
        </w:rPr>
        <w:t xml:space="preserve">2 </w:t>
      </w:r>
      <w:r>
        <w:t xml:space="preserve">And Boaz took ten men from the elders</w:t>
      </w:r>
      <w:r>
        <w:rPr>
          <w:rStyle w:val="FootnoteReference"/>
        </w:rPr>
        <w:footnoteReference w:id="5077"/>
      </w:r>
      <w:r>
        <w:t xml:space="preserve"> of the city and said, Sit here. And they sat.</w:t>
      </w:r>
    </w:p>
    <w:p>
      <w:r>
        <w:rPr>
          <w:b/>
        </w:rPr>
        <w:t xml:space="preserve">3 </w:t>
      </w:r>
      <w:r>
        <w:t xml:space="preserve">And Boaz said to the redeemer, The portion of the field that belongs to our brother Elimelech is being given to Naomi who returned from the field of Moab.</w:t>
      </w:r>
    </w:p>
    <w:p>
      <w:r>
        <w:rPr>
          <w:b/>
        </w:rPr>
        <w:t xml:space="preserve">4 </w:t>
      </w:r>
      <w:r>
        <w:t xml:space="preserve">And I said, I will uncover your ear</w:t>
      </w:r>
      <w:r>
        <w:rPr>
          <w:rStyle w:val="FootnoteReference"/>
        </w:rPr>
        <w:footnoteReference w:id="5078"/>
      </w:r>
      <w:r>
        <w:t xml:space="preserve">, saying, Buy it</w:t>
      </w:r>
      <w:r>
        <w:rPr>
          <w:rStyle w:val="FootnoteReference"/>
        </w:rPr>
        <w:footnoteReference w:id="5079"/>
      </w:r>
      <w:r>
        <w:t xml:space="preserve"> before those sitting here and before the elders of my people. If you redeem, redeem; but if you do not redeem, tell me, and I will know, because there is none besides you to redeem, and I am after you. And he said, I am; I will redeem.</w:t>
      </w:r>
    </w:p>
    <w:p>
      <w:r>
        <w:rPr>
          <w:b/>
        </w:rPr>
        <w:t xml:space="preserve">5 </w:t>
      </w:r>
      <w:r>
        <w:t xml:space="preserve">And Boaz said, On the day of your acquiring the field from the hand of Naomi, and from Ruth the Moabitess, wife of the dead man, it is necessary for you also to acquire her for yourself, so as to raise up</w:t>
      </w:r>
      <w:r>
        <w:rPr>
          <w:rStyle w:val="FootnoteReference"/>
        </w:rPr>
        <w:footnoteReference w:id="5080"/>
      </w:r>
      <w:r>
        <w:t xml:space="preserve"> the name of the dead over his inheritance.</w:t>
      </w:r>
    </w:p>
    <w:p>
      <w:r>
        <w:rPr>
          <w:b/>
        </w:rPr>
        <w:t xml:space="preserve">6 </w:t>
      </w:r>
      <w:r>
        <w:t xml:space="preserve">And the redeemer said, I will not be able to redeem for myself, lest I ruin my own inheritance. Redeem my redemption-right for yourself, because I will not be able to redeem.</w:t>
      </w:r>
    </w:p>
    <w:p>
      <w:r>
        <w:rPr>
          <w:b/>
        </w:rPr>
        <w:t xml:space="preserve">7 </w:t>
      </w:r>
      <w:r>
        <w:t xml:space="preserve">And this was the custom formerly in Israel concerning redemption and concerning exchange</w:t>
      </w:r>
      <w:r>
        <w:rPr>
          <w:rStyle w:val="FootnoteReference"/>
        </w:rPr>
        <w:footnoteReference w:id="5081"/>
      </w:r>
      <w:r>
        <w:t xml:space="preserve">, to establish every word: a man would loosen his sandal and give it to his neighbor redeeming his right, and this was a witness in Israel.</w:t>
      </w:r>
    </w:p>
    <w:p>
      <w:r>
        <w:rPr>
          <w:b/>
        </w:rPr>
        <w:t xml:space="preserve">8 </w:t>
      </w:r>
      <w:r>
        <w:t xml:space="preserve">And the redeemer said to Boaz, Acquire my redemption-right for yourself, and he loosened his sandal and gave it to him.</w:t>
      </w:r>
    </w:p>
    <w:p>
      <w:r>
        <w:rPr>
          <w:b/>
        </w:rPr>
        <w:t xml:space="preserve">9 </w:t>
      </w:r>
      <w:r>
        <w:t xml:space="preserve">And Boaz said to the elders and to all the people, You are witnesses today that I acquired everything of Elimelech and everything belonging to Chilion and to Mahlon from the hand of Naomi.</w:t>
      </w:r>
    </w:p>
    <w:p>
      <w:r>
        <w:rPr>
          <w:b/>
        </w:rPr>
        <w:t xml:space="preserve">10 </w:t>
      </w:r>
      <w:r>
        <w:t xml:space="preserve">And indeed Ruth the Moabitess, wife of Mahlon, I acquired for myself as wife, to raise up the name</w:t>
      </w:r>
      <w:r>
        <w:rPr>
          <w:rStyle w:val="FootnoteReference"/>
        </w:rPr>
        <w:footnoteReference w:id="5082"/>
      </w:r>
      <w:r>
        <w:t xml:space="preserve"> of the dead upon his inheritance, and the name of the dead shall not be blotted out from among his brothers and from the tribe of his people. You are witnesses today.</w:t>
      </w:r>
    </w:p>
    <w:p>
      <w:r>
        <w:rPr>
          <w:b/>
        </w:rPr>
        <w:t xml:space="preserve">11 </w:t>
      </w:r>
      <w:r>
        <w:t xml:space="preserve">And all the people at the gate said, Witnesses. And the elders said, May the Lord</w:t>
      </w:r>
      <w:r>
        <w:rPr>
          <w:rStyle w:val="FootnoteReference"/>
        </w:rPr>
        <w:footnoteReference w:id="5083"/>
      </w:r>
      <w:r>
        <w:t xml:space="preserve"> make your wife entering into your house like Rachel and like Leia, who both built the house of Israel, and may they make strength in Ephrathah, and may your name be in Bethlehem.</w:t>
      </w:r>
      <w:r>
        <w:rPr>
          <w:rStyle w:val="FootnoteReference"/>
        </w:rPr>
        <w:footnoteReference w:id="5084"/>
      </w:r>
    </w:p>
    <w:p>
      <w:r>
        <w:rPr>
          <w:b/>
        </w:rPr>
        <w:t xml:space="preserve">12 </w:t>
      </w:r>
      <w:r>
        <w:t xml:space="preserve">And may your house become like the house</w:t>
      </w:r>
      <w:r>
        <w:rPr>
          <w:rStyle w:val="FootnoteReference"/>
        </w:rPr>
        <w:footnoteReference w:id="5085"/>
      </w:r>
      <w:r>
        <w:t xml:space="preserve"> of Perez, whom Tamar bore to Judah, from the seed that the Lord will give you</w:t>
      </w:r>
      <w:r>
        <w:rPr>
          <w:rStyle w:val="FootnoteReference"/>
        </w:rPr>
        <w:footnoteReference w:id="5086"/>
      </w:r>
      <w:r>
        <w:t xml:space="preserve"> from this servant girl.</w:t>
      </w:r>
    </w:p>
    <w:p>
      <w:r>
        <w:rPr>
          <w:b/>
        </w:rPr>
        <w:t xml:space="preserve">13 </w:t>
      </w:r>
      <w:r>
        <w:t xml:space="preserve">And Boaz</w:t>
      </w:r>
      <w:r>
        <w:rPr>
          <w:rStyle w:val="FootnoteReference"/>
        </w:rPr>
        <w:footnoteReference w:id="5087"/>
      </w:r>
      <w:r>
        <w:t xml:space="preserve"> took Ruth, and she became his wife, and he went in to her, and the Lord gave her conception, and she bore a son.</w:t>
      </w:r>
    </w:p>
    <w:p>
      <w:r>
        <w:rPr>
          <w:b/>
        </w:rPr>
        <w:t xml:space="preserve">14 </w:t>
      </w:r>
      <w:r>
        <w:t xml:space="preserve">And the women</w:t>
      </w:r>
      <w:r>
        <w:rPr>
          <w:rStyle w:val="FootnoteReference"/>
        </w:rPr>
        <w:footnoteReference w:id="5088"/>
      </w:r>
      <w:r>
        <w:t xml:space="preserve"> said to Naomi, Blessed be the Lord, who did not leave you without a redeemer today, and may your name be called in Israel.</w:t>
      </w:r>
    </w:p>
    <w:p>
      <w:r>
        <w:rPr>
          <w:b/>
        </w:rPr>
        <w:t xml:space="preserve">15 </w:t>
      </w:r>
      <w:r>
        <w:t xml:space="preserve">And he shall be for you a restoring of soul and to nourish your old age, because your daughter-in-law who loved you bore him, she who is good to you beyond seven sons.</w:t>
      </w:r>
    </w:p>
    <w:p>
      <w:r>
        <w:rPr>
          <w:b/>
        </w:rPr>
        <w:t xml:space="preserve">16 </w:t>
      </w:r>
      <w:r>
        <w:t xml:space="preserve">And Naomi took the child and placed him in her bosom, and she became nurse to him.</w:t>
      </w:r>
    </w:p>
    <w:p>
      <w:r>
        <w:rPr>
          <w:b/>
        </w:rPr>
        <w:t xml:space="preserve">17 </w:t>
      </w:r>
      <w:r>
        <w:t xml:space="preserve">And the neighboring women called his name, saying, A son has been born to Naomi, and they called his name Obed</w:t>
      </w:r>
      <w:r>
        <w:rPr>
          <w:rStyle w:val="FootnoteReference"/>
        </w:rPr>
        <w:footnoteReference w:id="5089"/>
      </w:r>
      <w:r>
        <w:t xml:space="preserve">; he is the father of Jesse</w:t>
      </w:r>
      <w:r>
        <w:rPr>
          <w:rStyle w:val="FootnoteReference"/>
        </w:rPr>
        <w:footnoteReference w:id="5090"/>
      </w:r>
      <w:r>
        <w:t xml:space="preserve">, the father of David.</w:t>
      </w:r>
      <w:r>
        <w:rPr>
          <w:rStyle w:val="FootnoteReference"/>
        </w:rPr>
        <w:footnoteReference w:id="5091"/>
      </w:r>
    </w:p>
    <w:p>
      <w:r>
        <w:rPr>
          <w:b/>
        </w:rPr>
        <w:t xml:space="preserve">18 </w:t>
      </w:r>
      <w:r>
        <w:t xml:space="preserve">And these are the generations of Perez: Perez fathered Hezron,</w:t>
      </w:r>
    </w:p>
    <w:p>
      <w:r>
        <w:rPr>
          <w:b/>
        </w:rPr>
        <w:t xml:space="preserve">19 </w:t>
      </w:r>
      <w:r>
        <w:t xml:space="preserve">and Hezron fathered Haran, and Haran fathered Amminadab,</w:t>
      </w:r>
    </w:p>
    <w:p>
      <w:r>
        <w:rPr>
          <w:b/>
        </w:rPr>
        <w:t xml:space="preserve">20 </w:t>
      </w:r>
      <w:r>
        <w:t xml:space="preserve">and Amminadab fathered Nahshon</w:t>
      </w:r>
      <w:r>
        <w:rPr>
          <w:rStyle w:val="FootnoteReference"/>
        </w:rPr>
        <w:footnoteReference w:id="5092"/>
      </w:r>
      <w:r>
        <w:t xml:space="preserve">, and Nahshon fathered Salmon</w:t>
      </w:r>
      <w:r>
        <w:rPr>
          <w:rStyle w:val="FootnoteReference"/>
        </w:rPr>
        <w:footnoteReference w:id="5093"/>
      </w:r>
      <w:r>
        <w:t xml:space="preserve">,</w:t>
      </w:r>
    </w:p>
    <w:p>
      <w:r>
        <w:rPr>
          <w:b/>
        </w:rPr>
        <w:t xml:space="preserve">21 </w:t>
      </w:r>
      <w:r>
        <w:t xml:space="preserve">and Salmon</w:t>
      </w:r>
      <w:r>
        <w:rPr>
          <w:rStyle w:val="FootnoteReference"/>
        </w:rPr>
        <w:footnoteReference w:id="5094"/>
      </w:r>
      <w:r>
        <w:t xml:space="preserve"> fathered Boaz, and Boaz fathered Obed,</w:t>
      </w:r>
    </w:p>
    <w:p>
      <w:r>
        <w:rPr>
          <w:b/>
        </w:rPr>
        <w:t xml:space="preserve">22 </w:t>
      </w:r>
      <w:r>
        <w:t xml:space="preserve">and Obed fathered Jesse</w:t>
      </w:r>
      <w:r>
        <w:rPr>
          <w:rStyle w:val="FootnoteReference"/>
        </w:rPr>
        <w:footnoteReference w:id="5095"/>
      </w:r>
      <w:r>
        <w:t xml:space="preserve">, and Jesse fathered David.</w:t>
      </w:r>
    </w:p>
    <w:p>
      <w:r>
        <w:br w:type="page"/>
      </w:r>
    </w:p>
    <w:p>
      <w:pPr>
        <w:pStyle w:val="Heading1"/>
      </w:pPr>
      <w:r>
        <w:t xml:space="preserve">1 Samuel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There was a man from Ramathaim-Zophim</w:t>
      </w:r>
      <w:r>
        <w:rPr>
          <w:rStyle w:val="FootnoteReference"/>
        </w:rPr>
        <w:footnoteReference w:id="5096"/>
      </w:r>
      <w:r>
        <w:t xml:space="preserve">, from the hill-country of Ephraim, and his name was Elkanah, son of Jeroham</w:t>
      </w:r>
      <w:r>
        <w:rPr>
          <w:rStyle w:val="FootnoteReference"/>
        </w:rPr>
        <w:footnoteReference w:id="5097"/>
      </w:r>
      <w:r>
        <w:t xml:space="preserve">, son of Elihu</w:t>
      </w:r>
      <w:r>
        <w:rPr>
          <w:rStyle w:val="FootnoteReference"/>
        </w:rPr>
        <w:footnoteReference w:id="5098"/>
      </w:r>
      <w:r>
        <w:t xml:space="preserve">, son of Tohu</w:t>
      </w:r>
      <w:r>
        <w:rPr>
          <w:rStyle w:val="FootnoteReference"/>
        </w:rPr>
        <w:footnoteReference w:id="5099"/>
      </w:r>
      <w:r>
        <w:t xml:space="preserve">, in Zuph Ephraim.</w:t>
      </w:r>
      <w:r>
        <w:rPr>
          <w:rStyle w:val="FootnoteReference"/>
        </w:rPr>
        <w:footnoteReference w:id="5100"/>
      </w:r>
      <w:r>
        <w:rPr>
          <w:rStyle w:val="FootnoteReference"/>
        </w:rPr>
        <w:footnoteReference w:id="5101"/>
      </w:r>
    </w:p>
    <w:p>
      <w:r>
        <w:rPr>
          <w:b/>
        </w:rPr>
        <w:t xml:space="preserve">2 </w:t>
      </w:r>
      <w:r>
        <w:t xml:space="preserve">And to him were two wives; the name of the one was Hannah</w:t>
      </w:r>
      <w:r>
        <w:rPr>
          <w:rStyle w:val="FootnoteReference"/>
        </w:rPr>
        <w:footnoteReference w:id="5102"/>
      </w:r>
      <w:r>
        <w:t xml:space="preserve"> and the name of the second Peninnah</w:t>
      </w:r>
      <w:r>
        <w:rPr>
          <w:rStyle w:val="FootnoteReference"/>
        </w:rPr>
        <w:footnoteReference w:id="5103"/>
      </w:r>
      <w:r>
        <w:t xml:space="preserve">, and Peninnah had children, but Hannah had no child.</w:t>
      </w:r>
    </w:p>
    <w:p>
      <w:r>
        <w:rPr>
          <w:b/>
        </w:rPr>
        <w:t xml:space="preserve">3 </w:t>
      </w:r>
      <w:r>
        <w:t xml:space="preserve">And the man went up from days to days from his city, from Ramathaim-Zophim, to bow down and sacrifice to the Lord God of hosts</w:t>
      </w:r>
      <w:r>
        <w:rPr>
          <w:rStyle w:val="FootnoteReference"/>
        </w:rPr>
        <w:footnoteReference w:id="5104"/>
      </w:r>
      <w:r>
        <w:t xml:space="preserve"> at Shiloh</w:t>
      </w:r>
      <w:r>
        <w:rPr>
          <w:rStyle w:val="FootnoteReference"/>
        </w:rPr>
        <w:footnoteReference w:id="5105"/>
      </w:r>
      <w:r>
        <w:t xml:space="preserve">, and there were Eli</w:t>
      </w:r>
      <w:r>
        <w:rPr>
          <w:rStyle w:val="FootnoteReference"/>
        </w:rPr>
        <w:footnoteReference w:id="5106"/>
      </w:r>
      <w:r>
        <w:t xml:space="preserve"> and his two sons, Hophni</w:t>
      </w:r>
      <w:r>
        <w:rPr>
          <w:rStyle w:val="FootnoteReference"/>
        </w:rPr>
        <w:footnoteReference w:id="5107"/>
      </w:r>
      <w:r>
        <w:t xml:space="preserve"> and Phinehas, priests of the Lord.</w:t>
      </w:r>
      <w:r>
        <w:rPr>
          <w:rStyle w:val="FootnoteReference"/>
        </w:rPr>
        <w:footnoteReference w:id="5108"/>
      </w:r>
      <w:r>
        <w:rPr>
          <w:rStyle w:val="FootnoteReference"/>
        </w:rPr>
        <w:footnoteReference w:id="5109"/>
      </w:r>
    </w:p>
    <w:p>
      <w:r>
        <w:rPr>
          <w:b/>
        </w:rPr>
        <w:t xml:space="preserve">4 </w:t>
      </w:r>
      <w:r>
        <w:t xml:space="preserve">And it came to be on the day Elkanah sacrificed, that he gave to Peninnah his wife and to her sons and her daughters portions</w:t>
      </w:r>
      <w:r>
        <w:rPr>
          <w:rStyle w:val="FootnoteReference"/>
        </w:rPr>
        <w:footnoteReference w:id="5110"/>
      </w:r>
      <w:r>
        <w:t xml:space="preserve">,</w:t>
      </w:r>
    </w:p>
    <w:p>
      <w:r>
        <w:rPr>
          <w:b/>
        </w:rPr>
        <w:t xml:space="preserve">5 </w:t>
      </w:r>
      <w:r>
        <w:t xml:space="preserve">but to Hannah he gave one portion, because she had no child; yet Elkanah loved Hannah beyond this one, and the Lord had closed the things of her womb.</w:t>
      </w:r>
    </w:p>
    <w:p>
      <w:r>
        <w:rPr>
          <w:b/>
        </w:rPr>
        <w:t xml:space="preserve">6 </w:t>
      </w:r>
      <w:r>
        <w:t xml:space="preserve">Because the Lord had not given her a child, according to her affliction and according to the discouragement of her affliction, and because of this she was disheartened, because the Lord had shut the things of her womb from giving her a child.</w:t>
      </w:r>
    </w:p>
    <w:p>
      <w:r>
        <w:rPr>
          <w:b/>
        </w:rPr>
        <w:t xml:space="preserve">7 </w:t>
      </w:r>
      <w:r>
        <w:t xml:space="preserve">Thus he did year</w:t>
      </w:r>
      <w:r>
        <w:rPr>
          <w:rStyle w:val="FootnoteReference"/>
        </w:rPr>
        <w:footnoteReference w:id="5111"/>
      </w:r>
      <w:r>
        <w:t xml:space="preserve"> by year, when she went up to the house of the Lord, and she was disheartened and wept and did not eat.</w:t>
      </w:r>
    </w:p>
    <w:p>
      <w:r>
        <w:rPr>
          <w:b/>
        </w:rPr>
        <w:t xml:space="preserve">8 </w:t>
      </w:r>
      <w:r>
        <w:t xml:space="preserve">And Elkanah her husband said to her, Hannah. And she said to him, Behold, here I am, lord. And he said to her, What is wrong with you, that you weep, and why do you not eat, and why does your heart strike you? Am I not good to you beyond ten children?</w:t>
      </w:r>
    </w:p>
    <w:p>
      <w:r>
        <w:rPr>
          <w:b/>
        </w:rPr>
        <w:t xml:space="preserve">9 </w:t>
      </w:r>
      <w:r>
        <w:t xml:space="preserve">And Hannah rose after they ate in Shiloh and stood before the Lord, and Eli the priest was sitting upon the seat by the posts of the temple of the Lord.</w:t>
      </w:r>
    </w:p>
    <w:p>
      <w:r>
        <w:rPr>
          <w:b/>
        </w:rPr>
        <w:t xml:space="preserve">10 </w:t>
      </w:r>
      <w:r>
        <w:t xml:space="preserve">And she was bitter in soul and prayed</w:t>
      </w:r>
      <w:r>
        <w:rPr>
          <w:rStyle w:val="FootnoteReference"/>
        </w:rPr>
        <w:footnoteReference w:id="5112"/>
      </w:r>
      <w:r>
        <w:t xml:space="preserve"> to the Lord, and weeping she wept</w:t>
      </w:r>
      <w:r>
        <w:rPr>
          <w:rStyle w:val="FootnoteReference"/>
        </w:rPr>
        <w:footnoteReference w:id="5113"/>
      </w:r>
      <w:r>
        <w:t xml:space="preserve">.</w:t>
      </w:r>
    </w:p>
    <w:p>
      <w:r>
        <w:rPr>
          <w:b/>
        </w:rPr>
        <w:t xml:space="preserve">11 </w:t>
      </w:r>
      <w:r>
        <w:t xml:space="preserve">And she vowed</w:t>
      </w:r>
      <w:r>
        <w:rPr>
          <w:rStyle w:val="FootnoteReference"/>
        </w:rPr>
        <w:footnoteReference w:id="5114"/>
      </w:r>
      <w:r>
        <w:t xml:space="preserve"> a vow to the Lord, saying, Lord, Lord my God of hosts, if you will indeed look</w:t>
      </w:r>
      <w:r>
        <w:rPr>
          <w:rStyle w:val="FootnoteReference"/>
        </w:rPr>
        <w:footnoteReference w:id="5115"/>
      </w:r>
      <w:r>
        <w:t xml:space="preserve"> upon the humiliation of your servant and remember me and give to your servant seed of men, then I will give him before you as a given thing until the day of his death, and wine and intoxicating drink he shall not drink, and iron shall not come upon his head.</w:t>
      </w:r>
    </w:p>
    <w:p>
      <w:r>
        <w:rPr>
          <w:b/>
        </w:rPr>
        <w:t xml:space="preserve">12 </w:t>
      </w:r>
      <w:r>
        <w:t xml:space="preserve">And it came to be, while she multiplied in praying before the Lord, Eli the priest watched her mouth.</w:t>
      </w:r>
    </w:p>
    <w:p>
      <w:r>
        <w:rPr>
          <w:b/>
        </w:rPr>
        <w:t xml:space="preserve">13 </w:t>
      </w:r>
      <w:r>
        <w:t xml:space="preserve">And she was speaking in her heart, and her lips were moving, but her voice was not heard, and Eli counted her as a drunken woman.</w:t>
      </w:r>
      <w:r>
        <w:rPr>
          <w:rStyle w:val="FootnoteReference"/>
        </w:rPr>
        <w:footnoteReference w:id="5116"/>
      </w:r>
    </w:p>
    <w:p>
      <w:r>
        <w:rPr>
          <w:b/>
        </w:rPr>
        <w:t xml:space="preserve">14 </w:t>
      </w:r>
      <w:r>
        <w:t xml:space="preserve">And the servant Eli said to her, How long</w:t>
      </w:r>
      <w:r>
        <w:rPr>
          <w:rStyle w:val="FootnoteReference"/>
        </w:rPr>
        <w:footnoteReference w:id="5117"/>
      </w:r>
      <w:r>
        <w:t xml:space="preserve"> will you be drunk? Put away your wine and go from the presence of the Lord.</w:t>
      </w:r>
    </w:p>
    <w:p>
      <w:r>
        <w:rPr>
          <w:b/>
        </w:rPr>
        <w:t xml:space="preserve">15 </w:t>
      </w:r>
      <w:r>
        <w:t xml:space="preserve">And Hannah answered and said, No, lord. I am a woman of hard day, and I have not drunk wine or intoxicating drink, but I pour out my soul before the Lord.</w:t>
      </w:r>
    </w:p>
    <w:p>
      <w:r>
        <w:rPr>
          <w:b/>
        </w:rPr>
        <w:t xml:space="preserve">16 </w:t>
      </w:r>
      <w:r>
        <w:t xml:space="preserve">Do not give your servant as a daughter</w:t>
      </w:r>
      <w:r>
        <w:rPr>
          <w:rStyle w:val="FootnoteReference"/>
        </w:rPr>
        <w:footnoteReference w:id="5118"/>
      </w:r>
      <w:r>
        <w:t xml:space="preserve"> of pestilence, because out of the abundance of my musing I have stretched on until now.</w:t>
      </w:r>
    </w:p>
    <w:p>
      <w:r>
        <w:rPr>
          <w:b/>
        </w:rPr>
        <w:t xml:space="preserve">17 </w:t>
      </w:r>
      <w:r>
        <w:t xml:space="preserve">And Eli answered and said to her, Go in peace. The God</w:t>
      </w:r>
      <w:r>
        <w:rPr>
          <w:rStyle w:val="FootnoteReference"/>
        </w:rPr>
        <w:footnoteReference w:id="5119"/>
      </w:r>
      <w:r>
        <w:t xml:space="preserve"> of Israel give you every request of yours that you asked from him.</w:t>
      </w:r>
    </w:p>
    <w:p>
      <w:r>
        <w:rPr>
          <w:b/>
        </w:rPr>
        <w:t xml:space="preserve">18 </w:t>
      </w:r>
      <w:r>
        <w:t xml:space="preserve">And she said, Your servant found favor in your eyes. And the woman went on her way and entered into her lodging and ate with her husband and drank, and her face did not fall any more.</w:t>
      </w:r>
    </w:p>
    <w:p>
      <w:r>
        <w:rPr>
          <w:b/>
        </w:rPr>
        <w:t xml:space="preserve">19 </w:t>
      </w:r>
      <w:r>
        <w:t xml:space="preserve">And they rose</w:t>
      </w:r>
      <w:r>
        <w:rPr>
          <w:rStyle w:val="FootnoteReference"/>
        </w:rPr>
        <w:footnoteReference w:id="5120"/>
      </w:r>
      <w:r>
        <w:t xml:space="preserve"> early in the morning and bowed down to the Lord and went on their way, and Elkanah entered into his house at Ramathaim-Zophim and knew Hannah his wife, and the Lord remembered her.</w:t>
      </w:r>
    </w:p>
    <w:p>
      <w:r>
        <w:rPr>
          <w:b/>
        </w:rPr>
        <w:t xml:space="preserve">20 </w:t>
      </w:r>
      <w:r>
        <w:t xml:space="preserve">And she conceived, and it came to be at the turn of the days, that she bore a son and called his name Samuel</w:t>
      </w:r>
      <w:r>
        <w:rPr>
          <w:rStyle w:val="FootnoteReference"/>
        </w:rPr>
        <w:footnoteReference w:id="5121"/>
      </w:r>
      <w:r>
        <w:t xml:space="preserve">, and said, Because from the Lord God of hosts I asked him.</w:t>
      </w:r>
    </w:p>
    <w:p>
      <w:r>
        <w:rPr>
          <w:b/>
        </w:rPr>
        <w:t xml:space="preserve">21 </w:t>
      </w:r>
      <w:r>
        <w:t xml:space="preserve">And the man Elkanah went up, and all his house, to sacrifice in Shiloh the sacrifice of the days and his vows and all the tithes of his land.</w:t>
      </w:r>
    </w:p>
    <w:p>
      <w:r>
        <w:rPr>
          <w:b/>
        </w:rPr>
        <w:t xml:space="preserve">22 </w:t>
      </w:r>
      <w:r>
        <w:t xml:space="preserve">But Hannah did not go up with him, because she said to her husband, Until the child goes up, when I wean him, then he will be seen before the face of the Lord and sit there forever.</w:t>
      </w:r>
    </w:p>
    <w:p>
      <w:r>
        <w:rPr>
          <w:b/>
        </w:rPr>
        <w:t xml:space="preserve">23 </w:t>
      </w:r>
      <w:r>
        <w:t xml:space="preserve">And Elkanah her husband said to her, Do what</w:t>
      </w:r>
      <w:r>
        <w:rPr>
          <w:rStyle w:val="FootnoteReference"/>
        </w:rPr>
        <w:footnoteReference w:id="5122"/>
      </w:r>
      <w:r>
        <w:t xml:space="preserve"> is good in your eyes; sit until you wean him. Only may the Lord establish what went out from your mouth</w:t>
      </w:r>
      <w:r>
        <w:rPr>
          <w:rStyle w:val="FootnoteReference"/>
        </w:rPr>
        <w:footnoteReference w:id="5123"/>
      </w:r>
      <w:r>
        <w:t xml:space="preserve">. And the woman sat and nursed her son until she weaned him.</w:t>
      </w:r>
    </w:p>
    <w:p>
      <w:r>
        <w:rPr>
          <w:b/>
        </w:rPr>
        <w:t xml:space="preserve">24 </w:t>
      </w:r>
      <w:r>
        <w:t xml:space="preserve">And she went up with him to Shiloh with a three-year-old calf and breads and an ephah of fine flour and a skin of wine, and she entered into the house</w:t>
      </w:r>
      <w:r>
        <w:rPr>
          <w:rStyle w:val="FootnoteReference"/>
        </w:rPr>
        <w:footnoteReference w:id="5124"/>
      </w:r>
      <w:r>
        <w:t xml:space="preserve"> of the Lord in Shiloh, and the child was with them.</w:t>
      </w:r>
    </w:p>
    <w:p>
      <w:r>
        <w:rPr>
          <w:b/>
        </w:rPr>
        <w:t xml:space="preserve">25 </w:t>
      </w:r>
      <w:r>
        <w:t xml:space="preserve">And they brought</w:t>
      </w:r>
      <w:r>
        <w:rPr>
          <w:rStyle w:val="FootnoteReference"/>
        </w:rPr>
        <w:footnoteReference w:id="5125"/>
      </w:r>
      <w:r>
        <w:t xml:space="preserve"> him before the Lord, and his father slaughtered the sacrifice that he made from days to days to the Lord, and he brought the child and slaughtered the calf, and Hannah, the mother of the child, brought him to Eli.</w:t>
      </w:r>
      <w:r>
        <w:rPr>
          <w:rStyle w:val="FootnoteReference"/>
        </w:rPr>
        <w:footnoteReference w:id="5126"/>
      </w:r>
    </w:p>
    <w:p>
      <w:r>
        <w:rPr>
          <w:b/>
        </w:rPr>
        <w:t xml:space="preserve">26 </w:t>
      </w:r>
      <w:r>
        <w:t xml:space="preserve">And she said, Please, lord, as your soul lives</w:t>
      </w:r>
      <w:r>
        <w:rPr>
          <w:rStyle w:val="FootnoteReference"/>
        </w:rPr>
        <w:footnoteReference w:id="5127"/>
      </w:r>
      <w:r>
        <w:t xml:space="preserve">: I am the woman who stood before you in praying to the Lord.</w:t>
      </w:r>
    </w:p>
    <w:p>
      <w:r>
        <w:rPr>
          <w:b/>
        </w:rPr>
        <w:t xml:space="preserve">27 </w:t>
      </w:r>
      <w:r>
        <w:t xml:space="preserve">For this</w:t>
      </w:r>
      <w:r>
        <w:rPr>
          <w:rStyle w:val="FootnoteReference"/>
        </w:rPr>
        <w:footnoteReference w:id="5128"/>
      </w:r>
      <w:r>
        <w:t xml:space="preserve"> child I prayed, and the Lord gave me my request that I asked from him.</w:t>
      </w:r>
    </w:p>
    <w:p>
      <w:r>
        <w:rPr>
          <w:b/>
        </w:rPr>
        <w:t xml:space="preserve">28 </w:t>
      </w:r>
      <w:r>
        <w:t xml:space="preserve">And I lend him to the Lord</w:t>
      </w:r>
      <w:r>
        <w:rPr>
          <w:rStyle w:val="FootnoteReference"/>
        </w:rPr>
        <w:footnoteReference w:id="5129"/>
      </w:r>
      <w:r>
        <w:t xml:space="preserve"> all the days that he lives, a use to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she said, My heart</w:t>
      </w:r>
      <w:r>
        <w:rPr>
          <w:rStyle w:val="FootnoteReference"/>
        </w:rPr>
        <w:footnoteReference w:id="5130"/>
      </w:r>
      <w:r>
        <w:t xml:space="preserve"> was strengthened in the Lord, my horn was lifted up in my God, my mouth was widened against enemies, I rejoiced in your salvation.</w:t>
      </w:r>
    </w:p>
    <w:p>
      <w:r>
        <w:rPr>
          <w:b/>
        </w:rPr>
        <w:t xml:space="preserve">2 </w:t>
      </w:r>
      <w:r>
        <w:t xml:space="preserve">Because there is no holy one like the Lord, and there is none righteous like our God; there is no holy one besides you.</w:t>
      </w:r>
    </w:p>
    <w:p>
      <w:r>
        <w:rPr>
          <w:b/>
        </w:rPr>
        <w:t xml:space="preserve">3 </w:t>
      </w:r>
      <w:r>
        <w:t xml:space="preserve">Do not boast and do not speak lofty things; let no high-sounding speech go out from your mouth, because the Lord is a God</w:t>
      </w:r>
      <w:r>
        <w:rPr>
          <w:rStyle w:val="FootnoteReference"/>
        </w:rPr>
        <w:footnoteReference w:id="5131"/>
      </w:r>
      <w:r>
        <w:t xml:space="preserve"> of knowledge and a God preparing his purposes.</w:t>
      </w:r>
    </w:p>
    <w:p>
      <w:r>
        <w:rPr>
          <w:b/>
        </w:rPr>
        <w:t xml:space="preserve">4 </w:t>
      </w:r>
      <w:r>
        <w:t xml:space="preserve">The bow of the mighty weakened, and the weak girded themselves with strength.</w:t>
      </w:r>
    </w:p>
    <w:p>
      <w:r>
        <w:rPr>
          <w:b/>
        </w:rPr>
        <w:t xml:space="preserve">5 </w:t>
      </w:r>
      <w:r>
        <w:t xml:space="preserve">Those full</w:t>
      </w:r>
      <w:r>
        <w:rPr>
          <w:rStyle w:val="FootnoteReference"/>
        </w:rPr>
        <w:footnoteReference w:id="5132"/>
      </w:r>
      <w:r>
        <w:t xml:space="preserve"> of bread were brought low, and the hungry left the land, because the barren one bore seven, and the one with many children became weak.</w:t>
      </w:r>
    </w:p>
    <w:p>
      <w:r>
        <w:rPr>
          <w:b/>
        </w:rPr>
        <w:t xml:space="preserve">6 </w:t>
      </w:r>
      <w:r>
        <w:t xml:space="preserve">The Lord kills and makes alive; he brings down to Hades and brings up.</w:t>
      </w:r>
    </w:p>
    <w:p>
      <w:r>
        <w:rPr>
          <w:b/>
        </w:rPr>
        <w:t xml:space="preserve">7 </w:t>
      </w:r>
      <w:r>
        <w:t xml:space="preserve">The Lord makes poor and makes rich, humbles and lifts up.</w:t>
      </w:r>
    </w:p>
    <w:p>
      <w:r>
        <w:rPr>
          <w:b/>
        </w:rPr>
        <w:t xml:space="preserve">8 </w:t>
      </w:r>
      <w:r>
        <w:t xml:space="preserve">He raises the poor</w:t>
      </w:r>
      <w:r>
        <w:rPr>
          <w:rStyle w:val="FootnoteReference"/>
        </w:rPr>
        <w:footnoteReference w:id="5133"/>
      </w:r>
      <w:r>
        <w:t xml:space="preserve"> from the earth and lifts the needy from the dung heap, to seat him with the rulers of peoples and to allot to them a throne</w:t>
      </w:r>
      <w:r>
        <w:rPr>
          <w:rStyle w:val="FootnoteReference"/>
        </w:rPr>
        <w:footnoteReference w:id="5134"/>
      </w:r>
      <w:r>
        <w:t xml:space="preserve"> of glory.</w:t>
      </w:r>
    </w:p>
    <w:p>
      <w:r>
        <w:rPr>
          <w:b/>
        </w:rPr>
        <w:t xml:space="preserve">9 </w:t>
      </w:r>
      <w:r>
        <w:t xml:space="preserve">Giving prayer to the one praying, and he blessed the years of the righteous, because not by strength</w:t>
      </w:r>
      <w:r>
        <w:rPr>
          <w:rStyle w:val="FootnoteReference"/>
        </w:rPr>
        <w:footnoteReference w:id="5135"/>
      </w:r>
      <w:r>
        <w:t xml:space="preserve"> is a man mighty.</w:t>
      </w:r>
    </w:p>
    <w:p>
      <w:r>
        <w:rPr>
          <w:b/>
        </w:rPr>
        <w:t xml:space="preserve">10 </w:t>
      </w:r>
      <w:r>
        <w:t xml:space="preserve">The Lord will make his adversary weak; the Lord is holy. Let not the wise boast in his wisdom, and let not the strong boast in his strength, and let not the rich boast in his wealth, but in this let the boasting one boast: to understand and know the Lord and to do judgment and righteousness in the midst of the earth. The Lord went up into the heavens and thundered; he will judge</w:t>
      </w:r>
      <w:r>
        <w:rPr>
          <w:rStyle w:val="FootnoteReference"/>
        </w:rPr>
        <w:footnoteReference w:id="5136"/>
      </w:r>
      <w:r>
        <w:t xml:space="preserve"> the ends of the earth and gives strength to our kings and will lift up the horn of his anointed</w:t>
      </w:r>
      <w:r>
        <w:rPr>
          <w:rStyle w:val="FootnoteReference"/>
        </w:rPr>
        <w:footnoteReference w:id="5137"/>
      </w:r>
      <w:r>
        <w:t xml:space="preserve">.</w:t>
      </w:r>
    </w:p>
    <w:p>
      <w:r>
        <w:rPr>
          <w:b/>
        </w:rPr>
        <w:t xml:space="preserve">11 </w:t>
      </w:r>
      <w:r>
        <w:t xml:space="preserve">And they left him there before the Lord and went away to Ramathaim-Zophim, and the child was ministering before the face of the Lord before Eli the priest.</w:t>
      </w:r>
    </w:p>
    <w:p>
      <w:r>
        <w:rPr>
          <w:b/>
        </w:rPr>
        <w:t xml:space="preserve">12 </w:t>
      </w:r>
      <w:r>
        <w:t xml:space="preserve">And the sons</w:t>
      </w:r>
      <w:r>
        <w:rPr>
          <w:rStyle w:val="FootnoteReference"/>
        </w:rPr>
        <w:footnoteReference w:id="5138"/>
      </w:r>
      <w:r>
        <w:t xml:space="preserve"> of Eli the priest were sons of pestilence, not knowing the Lord.</w:t>
      </w:r>
    </w:p>
    <w:p>
      <w:r>
        <w:rPr>
          <w:b/>
        </w:rPr>
        <w:t xml:space="preserve">13 </w:t>
      </w:r>
      <w:r>
        <w:t xml:space="preserve">And the ordinance of the priest from the people, everyone sacrificing, was this: the servant of the priest came while the meat was boiling, and a three-pronged flesh-hook was in his hand,</w:t>
      </w:r>
    </w:p>
    <w:p>
      <w:r>
        <w:rPr>
          <w:b/>
        </w:rPr>
        <w:t xml:space="preserve">14 </w:t>
      </w:r>
      <w:r>
        <w:t xml:space="preserve">and he struck it into the great cauldron or into the bronze pot or into the cooking pot. Everything that came up with the flesh-hook the priest took for himself. According to these things they were doing to all Israel who came to sacrifice to the Lord in Shiloh.</w:t>
      </w:r>
    </w:p>
    <w:p>
      <w:r>
        <w:rPr>
          <w:b/>
        </w:rPr>
        <w:t xml:space="preserve">15 </w:t>
      </w:r>
      <w:r>
        <w:t xml:space="preserve">And before the fat was burned, the servant of the priest came and said to the man sacrificing, Give meat for roasting to the priest, and I will certainly not take boiled meat from you out of the cauldron.</w:t>
      </w:r>
    </w:p>
    <w:p>
      <w:r>
        <w:rPr>
          <w:b/>
        </w:rPr>
        <w:t xml:space="preserve">16 </w:t>
      </w:r>
      <w:r>
        <w:t xml:space="preserve">And the sacrificing man said, Let the fat first be burned as is proper</w:t>
      </w:r>
      <w:r>
        <w:rPr>
          <w:rStyle w:val="FootnoteReference"/>
        </w:rPr>
        <w:footnoteReference w:id="5139"/>
      </w:r>
      <w:r>
        <w:t xml:space="preserve">, and take for yourself from everything your soul desires. And he said, No, because you shall give now, and if not, I will take</w:t>
      </w:r>
      <w:r>
        <w:rPr>
          <w:rStyle w:val="FootnoteReference"/>
        </w:rPr>
        <w:footnoteReference w:id="5140"/>
      </w:r>
      <w:r>
        <w:t xml:space="preserve"> by force.</w:t>
      </w:r>
    </w:p>
    <w:p>
      <w:r>
        <w:rPr>
          <w:b/>
        </w:rPr>
        <w:t xml:space="preserve">17 </w:t>
      </w:r>
      <w:r>
        <w:t xml:space="preserve">And the sin of the young servants before the Lord was very great, because they were despising the sacrifice of the Lord.</w:t>
      </w:r>
    </w:p>
    <w:p>
      <w:r>
        <w:rPr>
          <w:b/>
        </w:rPr>
        <w:t xml:space="preserve">18 </w:t>
      </w:r>
      <w:r>
        <w:t xml:space="preserve">And Samuel was ministering before the Lord, a child girded with a linen ephod</w:t>
      </w:r>
      <w:r>
        <w:rPr>
          <w:rStyle w:val="FootnoteReference"/>
        </w:rPr>
        <w:footnoteReference w:id="5141"/>
      </w:r>
      <w:r>
        <w:t xml:space="preserve">.</w:t>
      </w:r>
    </w:p>
    <w:p>
      <w:r>
        <w:rPr>
          <w:b/>
        </w:rPr>
        <w:t xml:space="preserve">19 </w:t>
      </w:r>
      <w:r>
        <w:t xml:space="preserve">And his mother made for him a small doublet and brought it up to him from days to days when she went up with her husband to sacrifice the sacrifice of the days.</w:t>
      </w:r>
    </w:p>
    <w:p>
      <w:r>
        <w:rPr>
          <w:b/>
        </w:rPr>
        <w:t xml:space="preserve">20 </w:t>
      </w:r>
      <w:r>
        <w:t xml:space="preserve">And Eli blessed</w:t>
      </w:r>
      <w:r>
        <w:rPr>
          <w:rStyle w:val="FootnoteReference"/>
        </w:rPr>
        <w:footnoteReference w:id="5142"/>
      </w:r>
      <w:r>
        <w:t xml:space="preserve"> Elkanah and his wife, saying, May the Lord repay you seed from this woman in place of the loan that you loaned to the Lord. And the man went to his place.</w:t>
      </w:r>
    </w:p>
    <w:p>
      <w:r>
        <w:rPr>
          <w:b/>
        </w:rPr>
        <w:t xml:space="preserve">21 </w:t>
      </w:r>
      <w:r>
        <w:t xml:space="preserve">And the Lord visited</w:t>
      </w:r>
      <w:r>
        <w:rPr>
          <w:rStyle w:val="FootnoteReference"/>
        </w:rPr>
        <w:footnoteReference w:id="5143"/>
      </w:r>
      <w:r>
        <w:t xml:space="preserve"> Hannah, and she bore yet three sons and two daughters, and the child Samuel was magnified before the Lord.</w:t>
      </w:r>
    </w:p>
    <w:p>
      <w:r>
        <w:rPr>
          <w:b/>
        </w:rPr>
        <w:t xml:space="preserve">22 </w:t>
      </w:r>
      <w:r>
        <w:t xml:space="preserve">And Eli was very old and heard what his sons were doing to the sons of Israel.</w:t>
      </w:r>
    </w:p>
    <w:p>
      <w:r>
        <w:rPr>
          <w:b/>
        </w:rPr>
        <w:t xml:space="preserve">23 </w:t>
      </w:r>
      <w:r>
        <w:t xml:space="preserve">And he said to them, Why are you doing according to this word that I hear from the mouth of all the people of the Lord?</w:t>
      </w:r>
    </w:p>
    <w:p>
      <w:r>
        <w:rPr>
          <w:b/>
        </w:rPr>
        <w:t xml:space="preserve">24 </w:t>
      </w:r>
      <w:r>
        <w:t xml:space="preserve">No, children, because the report that I hear is not good. Do not do so, because the reports that I hear are not good, of the people not serving God.</w:t>
      </w:r>
    </w:p>
    <w:p>
      <w:r>
        <w:rPr>
          <w:b/>
        </w:rPr>
        <w:t xml:space="preserve">25 </w:t>
      </w:r>
      <w:r>
        <w:t xml:space="preserve">If a man</w:t>
      </w:r>
      <w:r>
        <w:rPr>
          <w:rStyle w:val="FootnoteReference"/>
        </w:rPr>
        <w:footnoteReference w:id="5144"/>
      </w:r>
      <w:r>
        <w:t xml:space="preserve"> sins by sinning against a man, then they will pray concerning him</w:t>
      </w:r>
      <w:r>
        <w:rPr>
          <w:rStyle w:val="FootnoteReference"/>
        </w:rPr>
        <w:footnoteReference w:id="5145"/>
      </w:r>
      <w:r>
        <w:t xml:space="preserve"> to the Lord, but if someone sins against the Lord, who will pray concerning him? And they were not listening to the voice of their father, because the Lord deliberately desired to destroy them.</w:t>
      </w:r>
    </w:p>
    <w:p>
      <w:r>
        <w:rPr>
          <w:b/>
        </w:rPr>
        <w:t xml:space="preserve">26 </w:t>
      </w:r>
      <w:r>
        <w:t xml:space="preserve">And the child Samuel was going on and growing and good both with the Lord and with men.</w:t>
      </w:r>
      <w:r>
        <w:rPr>
          <w:rStyle w:val="FootnoteReference"/>
        </w:rPr>
        <w:footnoteReference w:id="5146"/>
      </w:r>
    </w:p>
    <w:p>
      <w:r>
        <w:rPr>
          <w:b/>
        </w:rPr>
        <w:t xml:space="preserve">27 </w:t>
      </w:r>
      <w:r>
        <w:t xml:space="preserve">And a man</w:t>
      </w:r>
      <w:r>
        <w:rPr>
          <w:rStyle w:val="FootnoteReference"/>
        </w:rPr>
        <w:footnoteReference w:id="5147"/>
      </w:r>
      <w:r>
        <w:t xml:space="preserve"> of God came to Eli and said, Thus says the Lord: In revealing did I reveal myself to the house of your father while they were in the land of Egypt, servants to the house of Pharaoh?</w:t>
      </w:r>
    </w:p>
    <w:p>
      <w:r>
        <w:rPr>
          <w:b/>
        </w:rPr>
        <w:t xml:space="preserve">28 </w:t>
      </w:r>
      <w:r>
        <w:t xml:space="preserve">And I chose the house of your father from all the scepters of Israel</w:t>
      </w:r>
      <w:r>
        <w:rPr>
          <w:rStyle w:val="FootnoteReference"/>
        </w:rPr>
        <w:footnoteReference w:id="5148"/>
      </w:r>
      <w:r>
        <w:t xml:space="preserve"> for myself, to serve as priest and to go up upon my altar and to burn incense and to lift the ephod, and I gave to the house of your father all the fire-offerings of the sons of Israel for food.</w:t>
      </w:r>
    </w:p>
    <w:p>
      <w:r>
        <w:rPr>
          <w:b/>
        </w:rPr>
        <w:t xml:space="preserve">29 </w:t>
      </w:r>
      <w:r>
        <w:t xml:space="preserve">And why did you look upon my incense and upon my sacrifice with shameless eye</w:t>
      </w:r>
      <w:r>
        <w:rPr>
          <w:rStyle w:val="FootnoteReference"/>
        </w:rPr>
        <w:footnoteReference w:id="5149"/>
      </w:r>
      <w:r>
        <w:t xml:space="preserve">, and glorify your sons beyond me, to bless yourselves from the firstfruits of every sacrifice of Israel before me?</w:t>
      </w:r>
    </w:p>
    <w:p>
      <w:r>
        <w:rPr>
          <w:b/>
        </w:rPr>
        <w:t xml:space="preserve">30 </w:t>
      </w:r>
      <w:r>
        <w:t xml:space="preserve">Because of this thus said the Lord God of Israel: I said</w:t>
      </w:r>
      <w:r>
        <w:rPr>
          <w:rStyle w:val="FootnoteReference"/>
        </w:rPr>
        <w:footnoteReference w:id="5150"/>
      </w:r>
      <w:r>
        <w:t xml:space="preserve">, Your house and the house of your father will pass before me forever. And now, says the Lord, let it not be to me; rather those glorifying me I will glorify</w:t>
      </w:r>
      <w:r>
        <w:rPr>
          <w:rStyle w:val="FootnoteReference"/>
        </w:rPr>
        <w:footnoteReference w:id="5151"/>
      </w:r>
      <w:r>
        <w:t xml:space="preserve">, and the one despising me will be dishonored.</w:t>
      </w:r>
    </w:p>
    <w:p>
      <w:r>
        <w:rPr>
          <w:b/>
        </w:rPr>
        <w:t xml:space="preserve">31 </w:t>
      </w:r>
      <w:r>
        <w:t xml:space="preserve">Behold, days are coming, and I will destroy your seed and the seed of your father's house.</w:t>
      </w:r>
    </w:p>
    <w:p>
      <w:r>
        <w:rPr>
          <w:b/>
        </w:rPr>
        <w:t xml:space="preserve">32 </w:t>
      </w:r>
      <w:r>
        <w:t xml:space="preserve">And there shall not be an old man</w:t>
      </w:r>
      <w:r>
        <w:rPr>
          <w:rStyle w:val="FootnoteReference"/>
        </w:rPr>
        <w:footnoteReference w:id="5152"/>
      </w:r>
      <w:r>
        <w:t xml:space="preserve"> of yours in my house all the days.</w:t>
      </w:r>
    </w:p>
    <w:p>
      <w:r>
        <w:rPr>
          <w:b/>
        </w:rPr>
        <w:t xml:space="preserve">33 </w:t>
      </w:r>
      <w:r>
        <w:t xml:space="preserve">And a man I will not destroy for you from my altar, to fail his eyes and make his soul melt away, and everyone remaining of your house shall fall by the sword of men.</w:t>
      </w:r>
    </w:p>
    <w:p>
      <w:r>
        <w:rPr>
          <w:b/>
        </w:rPr>
        <w:t xml:space="preserve">34 </w:t>
      </w:r>
      <w:r>
        <w:t xml:space="preserve">And this will be the sign to you that will come upon these your two sons, Hophni and Phinehas: in one day both will die</w:t>
      </w:r>
      <w:r>
        <w:rPr>
          <w:rStyle w:val="FootnoteReference"/>
        </w:rPr>
        <w:footnoteReference w:id="5153"/>
      </w:r>
      <w:r>
        <w:t xml:space="preserve">.</w:t>
      </w:r>
      <w:r>
        <w:rPr>
          <w:rStyle w:val="FootnoteReference"/>
        </w:rPr>
        <w:footnoteReference w:id="5154"/>
      </w:r>
    </w:p>
    <w:p>
      <w:r>
        <w:rPr>
          <w:b/>
        </w:rPr>
        <w:t xml:space="preserve">35 </w:t>
      </w:r>
      <w:r>
        <w:t xml:space="preserve">And I will raise</w:t>
      </w:r>
      <w:r>
        <w:rPr>
          <w:rStyle w:val="FootnoteReference"/>
        </w:rPr>
        <w:footnoteReference w:id="5155"/>
      </w:r>
      <w:r>
        <w:t xml:space="preserve"> up for myself a faithful priest, who will do all the things in my heart and the things in my soul, and I will build for him a faithful house, and he will pass before my anointed all the days.</w:t>
      </w:r>
    </w:p>
    <w:p>
      <w:r>
        <w:rPr>
          <w:b/>
        </w:rPr>
        <w:t xml:space="preserve">36 </w:t>
      </w:r>
      <w:r>
        <w:t xml:space="preserve">And it shall be that the one left over in your house will come to bow down to him for an obol of silver, saying, Cast me beside</w:t>
      </w:r>
      <w:r>
        <w:rPr>
          <w:rStyle w:val="FootnoteReference"/>
        </w:rPr>
        <w:footnoteReference w:id="5156"/>
      </w:r>
      <w:r>
        <w:t xml:space="preserve"> one of your priesthoods that I may eat bread.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the child</w:t>
      </w:r>
      <w:r>
        <w:rPr>
          <w:rStyle w:val="FootnoteReference"/>
        </w:rPr>
        <w:footnoteReference w:id="5157"/>
      </w:r>
      <w:r>
        <w:t xml:space="preserve"> Samuel was ministering to the Lord before Eli the priest, and the word of the Lord was precious in those days; there was no vision making distinction.</w:t>
      </w:r>
    </w:p>
    <w:p>
      <w:r>
        <w:rPr>
          <w:b/>
        </w:rPr>
        <w:t xml:space="preserve">2 </w:t>
      </w:r>
      <w:r>
        <w:t xml:space="preserve">And it came to be on that day, and Eli was sleeping in his place, and his eyes</w:t>
      </w:r>
      <w:r>
        <w:rPr>
          <w:rStyle w:val="FootnoteReference"/>
        </w:rPr>
        <w:footnoteReference w:id="5158"/>
      </w:r>
      <w:r>
        <w:t xml:space="preserve"> began to grow heavy and he was not able to see.</w:t>
      </w:r>
    </w:p>
    <w:p>
      <w:r>
        <w:rPr>
          <w:b/>
        </w:rPr>
        <w:t xml:space="preserve">3 </w:t>
      </w:r>
      <w:r>
        <w:t xml:space="preserve">And the lamp</w:t>
      </w:r>
      <w:r>
        <w:rPr>
          <w:rStyle w:val="FootnoteReference"/>
        </w:rPr>
        <w:footnoteReference w:id="5159"/>
      </w:r>
      <w:r>
        <w:t xml:space="preserve"> of God was before being set in order</w:t>
      </w:r>
      <w:r>
        <w:rPr>
          <w:rStyle w:val="FootnoteReference"/>
        </w:rPr>
        <w:footnoteReference w:id="5160"/>
      </w:r>
      <w:r>
        <w:t xml:space="preserve">, and Samuel was sleeping in the temple where the ark of God was.</w:t>
      </w:r>
    </w:p>
    <w:p>
      <w:r>
        <w:rPr>
          <w:b/>
        </w:rPr>
        <w:t xml:space="preserve">4 </w:t>
      </w:r>
      <w:r>
        <w:t xml:space="preserve">And the Lord called, Samuel, Samuel. And he said, Behold, here I am.</w:t>
      </w:r>
    </w:p>
    <w:p>
      <w:r>
        <w:rPr>
          <w:b/>
        </w:rPr>
        <w:t xml:space="preserve">5 </w:t>
      </w:r>
      <w:r>
        <w:t xml:space="preserve">And he ran to Eli and said, Behold, here I am, because you called me. And he said, I did not call you; go back, sleep. And he went back and slept.</w:t>
      </w:r>
    </w:p>
    <w:p>
      <w:r>
        <w:rPr>
          <w:b/>
        </w:rPr>
        <w:t xml:space="preserve">6 </w:t>
      </w:r>
      <w:r>
        <w:t xml:space="preserve">And the Lord added and called, Samuel, Samuel. And he went to Eli a second time and said, Behold, here I am, because you called me. And he said, I did not call you; go back, sleep.</w:t>
      </w:r>
    </w:p>
    <w:p>
      <w:r>
        <w:rPr>
          <w:b/>
        </w:rPr>
        <w:t xml:space="preserve">7 </w:t>
      </w:r>
      <w:r>
        <w:t xml:space="preserve">And Samuel was before knowing God and before the word of the Lord was revealed to him.</w:t>
      </w:r>
    </w:p>
    <w:p>
      <w:r>
        <w:rPr>
          <w:b/>
        </w:rPr>
        <w:t xml:space="preserve">8 </w:t>
      </w:r>
      <w:r>
        <w:t xml:space="preserve">And the Lord added to call Samuel a third time, and he rose and went to Eli and said, Behold, here I am, because you called me. And Eli understood that the Lord had called the child.</w:t>
      </w:r>
    </w:p>
    <w:p>
      <w:r>
        <w:rPr>
          <w:b/>
        </w:rPr>
        <w:t xml:space="preserve">9 </w:t>
      </w:r>
      <w:r>
        <w:t xml:space="preserve">And he said, Go back, sleep, child, and it shall be if he calls you, then you shall say, Speak</w:t>
      </w:r>
      <w:r>
        <w:rPr>
          <w:rStyle w:val="FootnoteReference"/>
        </w:rPr>
        <w:footnoteReference w:id="5161"/>
      </w:r>
      <w:r>
        <w:t xml:space="preserve">, Lord, because your servant hears. And Samuel went and lay down in his place.</w:t>
      </w:r>
    </w:p>
    <w:p>
      <w:r>
        <w:rPr>
          <w:b/>
        </w:rPr>
        <w:t xml:space="preserve">10 </w:t>
      </w:r>
      <w:r>
        <w:t xml:space="preserve">And the Lord came and stood and called him as once and again, and Samuel said, Speak, because your servant hears.</w:t>
      </w:r>
    </w:p>
    <w:p>
      <w:r>
        <w:rPr>
          <w:b/>
        </w:rPr>
        <w:t xml:space="preserve">11 </w:t>
      </w:r>
      <w:r>
        <w:t xml:space="preserve">And the Lord said to Samuel, Behold, I am doing my words in Israel, so that whoever hears them, both his ears will ring.</w:t>
      </w:r>
    </w:p>
    <w:p>
      <w:r>
        <w:rPr>
          <w:b/>
        </w:rPr>
        <w:t xml:space="preserve">12 </w:t>
      </w:r>
      <w:r>
        <w:t xml:space="preserve">In that day I will raise upon Eli all that I spoke against his house; I will begin and I will complete.</w:t>
      </w:r>
    </w:p>
    <w:p>
      <w:r>
        <w:rPr>
          <w:b/>
        </w:rPr>
        <w:t xml:space="preserve">13 </w:t>
      </w:r>
      <w:r>
        <w:t xml:space="preserve">And I have announced to him that I am avenging his house forever for the injustices of his sons</w:t>
      </w:r>
      <w:r>
        <w:rPr>
          <w:rStyle w:val="FootnoteReference"/>
        </w:rPr>
        <w:footnoteReference w:id="5162"/>
      </w:r>
      <w:r>
        <w:t xml:space="preserve">, because his sons were blaspheming God and he was not warning them, not even so.</w:t>
      </w:r>
    </w:p>
    <w:p>
      <w:r>
        <w:rPr>
          <w:b/>
        </w:rPr>
        <w:t xml:space="preserve">14 </w:t>
      </w:r>
      <w:r>
        <w:t xml:space="preserve">I swore to the house of Eli whether the injustice of the house of Eli will be propitiated by incense and by sacrifices forever.</w:t>
      </w:r>
    </w:p>
    <w:p>
      <w:r>
        <w:rPr>
          <w:b/>
        </w:rPr>
        <w:t xml:space="preserve">15 </w:t>
      </w:r>
      <w:r>
        <w:t xml:space="preserve">And Samuel slept until morning and rose early in the morning and opened</w:t>
      </w:r>
      <w:r>
        <w:rPr>
          <w:rStyle w:val="FootnoteReference"/>
        </w:rPr>
        <w:footnoteReference w:id="5163"/>
      </w:r>
      <w:r>
        <w:t xml:space="preserve"> the doors of the house of the Lord, and Samuel feared to report the vision to Eli.</w:t>
      </w:r>
    </w:p>
    <w:p>
      <w:r>
        <w:rPr>
          <w:b/>
        </w:rPr>
        <w:t xml:space="preserve">16 </w:t>
      </w:r>
      <w:r>
        <w:t xml:space="preserve">And Eli said to Samuel, Samuel, child. And he said, Behold, here I am.</w:t>
      </w:r>
    </w:p>
    <w:p>
      <w:r>
        <w:rPr>
          <w:b/>
        </w:rPr>
        <w:t xml:space="preserve">17 </w:t>
      </w:r>
      <w:r>
        <w:t xml:space="preserve">And he said, What is the word spoken to you? Do not hide it from me. Thus may God do to you and thus may he add, if you hide from me a word of all the words spoken to you in your ears.</w:t>
      </w:r>
    </w:p>
    <w:p>
      <w:r>
        <w:rPr>
          <w:b/>
        </w:rPr>
        <w:t xml:space="preserve">18 </w:t>
      </w:r>
      <w:r>
        <w:t xml:space="preserve">And Samuel reported all the words and did not hide from him, and Eli said, He is the Lord; what is good before him he will do.</w:t>
      </w:r>
    </w:p>
    <w:p>
      <w:r>
        <w:rPr>
          <w:b/>
        </w:rPr>
        <w:t xml:space="preserve">19 </w:t>
      </w:r>
      <w:r>
        <w:t xml:space="preserve">And Samuel grew</w:t>
      </w:r>
      <w:r>
        <w:rPr>
          <w:rStyle w:val="FootnoteReference"/>
        </w:rPr>
        <w:footnoteReference w:id="5164"/>
      </w:r>
      <w:r>
        <w:t xml:space="preserve"> great, and the Lord was with him, and not one of all his words fell to the ground.</w:t>
      </w:r>
    </w:p>
    <w:p>
      <w:r>
        <w:rPr>
          <w:b/>
        </w:rPr>
        <w:t xml:space="preserve">20 </w:t>
      </w:r>
      <w:r>
        <w:t xml:space="preserve">And all Israel knew, from Dan and as far as Beersheba, that Samuel was faithful as a prophet to the Lord.</w:t>
      </w:r>
    </w:p>
    <w:p>
      <w:r>
        <w:rPr>
          <w:b/>
        </w:rPr>
        <w:t xml:space="preserve">21 </w:t>
      </w:r>
      <w:r>
        <w:t xml:space="preserve">And the Lord again made himself known in Shiloh, because the Lord was revealed to Samuel, and Samuel was entrusted to become prophet to the Lord for all Israel from the end of the land to end. And Eli was very old, and his sons were going on and their way was evil before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it came to be in those days, and foreigners were gathered for war against Israel, and Israel went out to meet them for war, and they camped by Ebenezer</w:t>
      </w:r>
      <w:r>
        <w:rPr>
          <w:rStyle w:val="FootnoteReference"/>
        </w:rPr>
        <w:footnoteReference w:id="5165"/>
      </w:r>
      <w:r>
        <w:t xml:space="preserve">, and the foreigners camped in Aphek.</w:t>
      </w:r>
      <w:r>
        <w:rPr>
          <w:rStyle w:val="FootnoteReference"/>
        </w:rPr>
        <w:footnoteReference w:id="5166"/>
      </w:r>
    </w:p>
    <w:p>
      <w:r>
        <w:rPr>
          <w:b/>
        </w:rPr>
        <w:t xml:space="preserve">2 </w:t>
      </w:r>
      <w:r>
        <w:t xml:space="preserve">And the foreigners lined up for battle against Israel</w:t>
      </w:r>
      <w:r>
        <w:rPr>
          <w:rStyle w:val="FootnoteReference"/>
        </w:rPr>
        <w:footnoteReference w:id="5167"/>
      </w:r>
      <w:r>
        <w:t xml:space="preserve">, and the battle turned, and a man of Israel stumbled before the foreigners, and four thousand men were struck down in battle in the field.</w:t>
      </w:r>
    </w:p>
    <w:p>
      <w:r>
        <w:rPr>
          <w:b/>
        </w:rPr>
        <w:t xml:space="preserve">3 </w:t>
      </w:r>
      <w:r>
        <w:t xml:space="preserve">And the people came into the camp, and the elders of Israel said, Why did the Lord make us stumble</w:t>
      </w:r>
      <w:r>
        <w:rPr>
          <w:rStyle w:val="FootnoteReference"/>
        </w:rPr>
        <w:footnoteReference w:id="5168"/>
      </w:r>
      <w:r>
        <w:t xml:space="preserve"> today before the foreigners? Let us</w:t>
      </w:r>
      <w:r>
        <w:rPr>
          <w:rStyle w:val="FootnoteReference"/>
        </w:rPr>
        <w:footnoteReference w:id="5169"/>
      </w:r>
      <w:r>
        <w:t xml:space="preserve"> take the ark of our God from Shiloh, and let it come out in our midst and save us</w:t>
      </w:r>
      <w:r>
        <w:rPr>
          <w:rStyle w:val="FootnoteReference"/>
        </w:rPr>
        <w:footnoteReference w:id="5170"/>
      </w:r>
      <w:r>
        <w:t xml:space="preserve"> from the hand of our enemies.</w:t>
      </w:r>
      <w:r>
        <w:rPr>
          <w:rStyle w:val="FootnoteReference"/>
        </w:rPr>
        <w:footnoteReference w:id="5171"/>
      </w:r>
      <w:r>
        <w:rPr>
          <w:rStyle w:val="FootnoteReference"/>
        </w:rPr>
        <w:footnoteReference w:id="5172"/>
      </w:r>
    </w:p>
    <w:p>
      <w:r>
        <w:rPr>
          <w:b/>
        </w:rPr>
        <w:t xml:space="preserve">4 </w:t>
      </w:r>
      <w:r>
        <w:t xml:space="preserve">And the people sent to Shiloh, and they took from there the ark of the Lord seated on cherubim</w:t>
      </w:r>
      <w:r>
        <w:rPr>
          <w:rStyle w:val="FootnoteReference"/>
        </w:rPr>
        <w:footnoteReference w:id="5173"/>
      </w:r>
      <w:r>
        <w:t xml:space="preserve">, and both sons of Eli were with the ark, Hophni</w:t>
      </w:r>
      <w:r>
        <w:rPr>
          <w:rStyle w:val="FootnoteReference"/>
        </w:rPr>
        <w:footnoteReference w:id="5174"/>
      </w:r>
      <w:r>
        <w:t xml:space="preserve"> and Phinehas.</w:t>
      </w:r>
    </w:p>
    <w:p>
      <w:r>
        <w:rPr>
          <w:b/>
        </w:rPr>
        <w:t xml:space="preserve">5 </w:t>
      </w:r>
      <w:r>
        <w:t xml:space="preserve">And it came to be, when the ark of the Lord came into the camp, all Israel</w:t>
      </w:r>
      <w:r>
        <w:rPr>
          <w:rStyle w:val="FootnoteReference"/>
        </w:rPr>
        <w:footnoteReference w:id="5175"/>
      </w:r>
      <w:r>
        <w:t xml:space="preserve"> cried out with a great voice, and the earth resounded.</w:t>
      </w:r>
    </w:p>
    <w:p>
      <w:r>
        <w:rPr>
          <w:b/>
        </w:rPr>
        <w:t xml:space="preserve">6 </w:t>
      </w:r>
      <w:r>
        <w:t xml:space="preserve">And the foreigners heard the sound of the cry and said, What is this great cry in the camp of the Hebrews? And they knew that the ark of the Lord had come into the camp.</w:t>
      </w:r>
    </w:p>
    <w:p>
      <w:r>
        <w:rPr>
          <w:b/>
        </w:rPr>
        <w:t xml:space="preserve">7 </w:t>
      </w:r>
      <w:r>
        <w:t xml:space="preserve">And the foreigners were afraid</w:t>
      </w:r>
      <w:r>
        <w:rPr>
          <w:rStyle w:val="FootnoteReference"/>
        </w:rPr>
        <w:footnoteReference w:id="5176"/>
      </w:r>
      <w:r>
        <w:t xml:space="preserve"> and said, These gods have come to them into the camp. Woe to us, Lord, rescue us today, because such a thing has not happened yesterday or the day before.</w:t>
      </w:r>
    </w:p>
    <w:p>
      <w:r>
        <w:rPr>
          <w:b/>
        </w:rPr>
        <w:t xml:space="preserve">8 </w:t>
      </w:r>
      <w:r>
        <w:t xml:space="preserve">Woe to us. Who will rescue us from the hand of these strong gods</w:t>
      </w:r>
      <w:r>
        <w:rPr>
          <w:rStyle w:val="FootnoteReference"/>
        </w:rPr>
        <w:footnoteReference w:id="5177"/>
      </w:r>
      <w:r>
        <w:t xml:space="preserve">? These are the gods who struck Egypt with every plague and in the wilderness.</w:t>
      </w:r>
    </w:p>
    <w:p>
      <w:r>
        <w:rPr>
          <w:b/>
        </w:rPr>
        <w:t xml:space="preserve">9 </w:t>
      </w:r>
      <w:r>
        <w:t xml:space="preserve">Be strong</w:t>
      </w:r>
      <w:r>
        <w:rPr>
          <w:rStyle w:val="FootnoteReference"/>
        </w:rPr>
        <w:footnoteReference w:id="5178"/>
      </w:r>
      <w:r>
        <w:t xml:space="preserve"> and become men, foreigners, lest you serve the Hebrews as they served us. And become men and fight them.</w:t>
      </w:r>
    </w:p>
    <w:p>
      <w:r>
        <w:rPr>
          <w:b/>
        </w:rPr>
        <w:t xml:space="preserve">10 </w:t>
      </w:r>
      <w:r>
        <w:t xml:space="preserve">And they fought them, and a man of Israel</w:t>
      </w:r>
      <w:r>
        <w:rPr>
          <w:rStyle w:val="FootnoteReference"/>
        </w:rPr>
        <w:footnoteReference w:id="5179"/>
      </w:r>
      <w:r>
        <w:t xml:space="preserve"> stumbled, and each fled to his tent, and there was a very great blow, and thirty thousand ranks fell from Israel.</w:t>
      </w:r>
    </w:p>
    <w:p>
      <w:r>
        <w:rPr>
          <w:b/>
        </w:rPr>
        <w:t xml:space="preserve">11 </w:t>
      </w:r>
      <w:r>
        <w:t xml:space="preserve">And the ark</w:t>
      </w:r>
      <w:r>
        <w:rPr>
          <w:rStyle w:val="FootnoteReference"/>
        </w:rPr>
        <w:footnoteReference w:id="5180"/>
      </w:r>
      <w:r>
        <w:t xml:space="preserve"> of God was taken, and both sons of Eli died, Hophni and Phinehas.</w:t>
      </w:r>
    </w:p>
    <w:p>
      <w:r>
        <w:rPr>
          <w:b/>
        </w:rPr>
        <w:t xml:space="preserve">12 </w:t>
      </w:r>
      <w:r>
        <w:t xml:space="preserve">And a Benjamite man ran from the battle line and came to Shiloh on that day, and his garments were torn and earth was on his head.</w:t>
      </w:r>
    </w:p>
    <w:p>
      <w:r>
        <w:rPr>
          <w:b/>
        </w:rPr>
        <w:t xml:space="preserve">13 </w:t>
      </w:r>
      <w:r>
        <w:t xml:space="preserve">And he came, and behold, Eli was sitting on the seat by the gate, watching the road, because his heart</w:t>
      </w:r>
      <w:r>
        <w:rPr>
          <w:rStyle w:val="FootnoteReference"/>
        </w:rPr>
        <w:footnoteReference w:id="5181"/>
      </w:r>
      <w:r>
        <w:t xml:space="preserve"> was beside itself concerning the ark of God. And the man entered into the city to report, and the city cried out.</w:t>
      </w:r>
    </w:p>
    <w:p>
      <w:r>
        <w:rPr>
          <w:b/>
        </w:rPr>
        <w:t xml:space="preserve">14 </w:t>
      </w:r>
      <w:r>
        <w:t xml:space="preserve">And Eli heard the sound of the outcry and said, What is this cry of this sound? And the man hurried and entered and reported to Eli.</w:t>
      </w:r>
    </w:p>
    <w:p>
      <w:r>
        <w:rPr>
          <w:b/>
        </w:rPr>
        <w:t xml:space="preserve">15 </w:t>
      </w:r>
      <w:r>
        <w:t xml:space="preserve">And Eli was ninety</w:t>
      </w:r>
      <w:r>
        <w:rPr>
          <w:rStyle w:val="FootnoteReference"/>
        </w:rPr>
        <w:footnoteReference w:id="5182"/>
      </w:r>
      <w:r>
        <w:t xml:space="preserve"> years old, and his eyes had become fixed, and he did not see, and Eli said to the men standing around him, What is the voice of this sound?</w:t>
      </w:r>
      <w:r>
        <w:rPr>
          <w:rStyle w:val="FootnoteReference"/>
        </w:rPr>
        <w:footnoteReference w:id="5183"/>
      </w:r>
    </w:p>
    <w:p>
      <w:r>
        <w:rPr>
          <w:b/>
        </w:rPr>
        <w:t xml:space="preserve">16 </w:t>
      </w:r>
      <w:r>
        <w:t xml:space="preserve">And the man hurried and came near to Eli and said to him, I am the one coming from the camp, and I fled from the battle line today. And he said, What is the matter, child?</w:t>
      </w:r>
    </w:p>
    <w:p>
      <w:r>
        <w:rPr>
          <w:b/>
        </w:rPr>
        <w:t xml:space="preserve">17 </w:t>
      </w:r>
      <w:r>
        <w:t xml:space="preserve">And the young servant answered and said, A man of Israel</w:t>
      </w:r>
      <w:r>
        <w:rPr>
          <w:rStyle w:val="FootnoteReference"/>
        </w:rPr>
        <w:footnoteReference w:id="5184"/>
      </w:r>
      <w:r>
        <w:t xml:space="preserve"> fled from before the foreigners, and there was a great blow among the people, and both your sons have died, and the ark of God has been taken</w:t>
      </w:r>
      <w:r>
        <w:rPr>
          <w:rStyle w:val="FootnoteReference"/>
        </w:rPr>
        <w:footnoteReference w:id="5185"/>
      </w:r>
      <w:r>
        <w:t xml:space="preserve">.</w:t>
      </w:r>
    </w:p>
    <w:p>
      <w:r>
        <w:rPr>
          <w:b/>
        </w:rPr>
        <w:t xml:space="preserve">18 </w:t>
      </w:r>
      <w:r>
        <w:t xml:space="preserve">And it came to be, when he mentioned the ark of God, he fell from the seat backward near the gate, and his back was broken</w:t>
      </w:r>
      <w:r>
        <w:rPr>
          <w:rStyle w:val="FootnoteReference"/>
        </w:rPr>
        <w:footnoteReference w:id="5186"/>
      </w:r>
      <w:r>
        <w:t xml:space="preserve"> and he died, because the man was old and heavy, and he judged Israel twenty years.</w:t>
      </w:r>
    </w:p>
    <w:p>
      <w:r>
        <w:rPr>
          <w:b/>
        </w:rPr>
        <w:t xml:space="preserve">19 </w:t>
      </w:r>
      <w:r>
        <w:t xml:space="preserve">And his daughter-in-law, wife of Phinehas, had conceived to give birth, and she heard the news that the ark of God had been taken and that her father-in-law and her husband had died, and she crouched down and gave birth, because her labor pains turned upon her</w:t>
      </w:r>
      <w:r>
        <w:rPr>
          <w:rStyle w:val="FootnoteReference"/>
        </w:rPr>
        <w:footnoteReference w:id="5187"/>
      </w:r>
      <w:r>
        <w:t xml:space="preserve">.</w:t>
      </w:r>
    </w:p>
    <w:p>
      <w:r>
        <w:rPr>
          <w:b/>
        </w:rPr>
        <w:t xml:space="preserve">20 </w:t>
      </w:r>
      <w:r>
        <w:t xml:space="preserve">And at the time of her dying the women standing by her said to her, Do not fear, because you have borne a son. But she did not answer, and her heart did not understand.</w:t>
      </w:r>
    </w:p>
    <w:p>
      <w:r>
        <w:rPr>
          <w:b/>
        </w:rPr>
        <w:t xml:space="preserve">21 </w:t>
      </w:r>
      <w:r>
        <w:t xml:space="preserve">And she called the child Ichabod</w:t>
      </w:r>
      <w:r>
        <w:rPr>
          <w:rStyle w:val="FootnoteReference"/>
        </w:rPr>
        <w:footnoteReference w:id="5188"/>
      </w:r>
      <w:r>
        <w:t xml:space="preserve"> because of the ark of God and because of her father-in-law and because of her husband.</w:t>
      </w:r>
    </w:p>
    <w:p>
      <w:r>
        <w:rPr>
          <w:b/>
        </w:rPr>
        <w:t xml:space="preserve">22 </w:t>
      </w:r>
      <w:r>
        <w:t xml:space="preserve">And they said, Glory has departed from Israel in the taking of the ark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the foreigners took</w:t>
      </w:r>
      <w:r>
        <w:rPr>
          <w:rStyle w:val="FootnoteReference"/>
        </w:rPr>
        <w:footnoteReference w:id="5189"/>
      </w:r>
      <w:r>
        <w:t xml:space="preserve"> the ark of God and brought it in from Ebenezer to Ashdod.</w:t>
      </w:r>
    </w:p>
    <w:p>
      <w:r>
        <w:rPr>
          <w:b/>
        </w:rPr>
        <w:t xml:space="preserve">2 </w:t>
      </w:r>
      <w:r>
        <w:t xml:space="preserve">And the foreigners took the ark of the Lord and brought it into the house of Dagon</w:t>
      </w:r>
      <w:r>
        <w:rPr>
          <w:rStyle w:val="FootnoteReference"/>
        </w:rPr>
        <w:footnoteReference w:id="5190"/>
      </w:r>
      <w:r>
        <w:t xml:space="preserve"> and set it beside Dagon.</w:t>
      </w:r>
    </w:p>
    <w:p>
      <w:r>
        <w:rPr>
          <w:b/>
        </w:rPr>
        <w:t xml:space="preserve">3 </w:t>
      </w:r>
      <w:r>
        <w:t xml:space="preserve">And the people of Ashdod rose early and entered into the house of Dagon, and behold, Dagon had fallen on his face before the ark of God. And they raised up Dagon and set him</w:t>
      </w:r>
      <w:r>
        <w:rPr>
          <w:rStyle w:val="FootnoteReference"/>
        </w:rPr>
        <w:footnoteReference w:id="5191"/>
      </w:r>
      <w:r>
        <w:t xml:space="preserve"> in his place, and the hand of the Lord grew heavy upon the people of Ashdod, and he tormented them and struck them in their seats, Ashdod and its borders.</w:t>
      </w:r>
    </w:p>
    <w:p>
      <w:r>
        <w:rPr>
          <w:b/>
        </w:rPr>
        <w:t xml:space="preserve">4 </w:t>
      </w:r>
      <w:r>
        <w:t xml:space="preserve">And it came to be when they rose early in the morning, behold, Dagon had fallen on his face before the ark of the covenant of the Lord, and the head</w:t>
      </w:r>
      <w:r>
        <w:rPr>
          <w:rStyle w:val="FootnoteReference"/>
        </w:rPr>
        <w:footnoteReference w:id="5192"/>
      </w:r>
      <w:r>
        <w:t xml:space="preserve"> of Dagon and both the prints of his hands</w:t>
      </w:r>
      <w:r>
        <w:rPr>
          <w:rStyle w:val="FootnoteReference"/>
        </w:rPr>
        <w:footnoteReference w:id="5193"/>
      </w:r>
      <w:r>
        <w:t xml:space="preserve"> were removed upon the front threshold, each one, and both palms of his hands had fallen on the threshold; only the back of Dagon was left.</w:t>
      </w:r>
    </w:p>
    <w:p>
      <w:r>
        <w:rPr>
          <w:b/>
        </w:rPr>
        <w:t xml:space="preserve">5 </w:t>
      </w:r>
      <w:r>
        <w:t xml:space="preserve">Because of this the priests of Dagon and everyone entering the house of Dagon do not step upon the step of the house of Dagon in Ashdod until this day, because in passing over they pass over it.</w:t>
      </w:r>
    </w:p>
    <w:p>
      <w:r>
        <w:rPr>
          <w:b/>
        </w:rPr>
        <w:t xml:space="preserve">6 </w:t>
      </w:r>
      <w:r>
        <w:t xml:space="preserve">And the hand</w:t>
      </w:r>
      <w:r>
        <w:rPr>
          <w:rStyle w:val="FootnoteReference"/>
        </w:rPr>
        <w:footnoteReference w:id="5194"/>
      </w:r>
      <w:r>
        <w:t xml:space="preserve"> of the Lord grew heavy upon Ashdod and brought upon them and boiled out for them in their ships, and in the midst of its region mice sprang up, and there was a great confusion of death in the city.</w:t>
      </w:r>
    </w:p>
    <w:p>
      <w:r>
        <w:rPr>
          <w:b/>
        </w:rPr>
        <w:t xml:space="preserve">7 </w:t>
      </w:r>
      <w:r>
        <w:t xml:space="preserve">And the men of Ashdod saw that it was so and said, The ark</w:t>
      </w:r>
      <w:r>
        <w:rPr>
          <w:rStyle w:val="FootnoteReference"/>
        </w:rPr>
        <w:footnoteReference w:id="5195"/>
      </w:r>
      <w:r>
        <w:t xml:space="preserve"> of the God of Israel will not remain with us, because his hand is hard upon us and upon Dagon our god.</w:t>
      </w:r>
    </w:p>
    <w:p>
      <w:r>
        <w:rPr>
          <w:b/>
        </w:rPr>
        <w:t xml:space="preserve">8 </w:t>
      </w:r>
      <w:r>
        <w:t xml:space="preserve">And they sent and gathered the satraps of the foreigners to them and said, What shall</w:t>
      </w:r>
      <w:r>
        <w:rPr>
          <w:rStyle w:val="FootnoteReference"/>
        </w:rPr>
        <w:footnoteReference w:id="5196"/>
      </w:r>
      <w:r>
        <w:t xml:space="preserve"> we do with the ark of the God of Israel? And the Gittites said, Let the ark of God come over to us. And the ark of God came over to Gath.</w:t>
      </w:r>
    </w:p>
    <w:p>
      <w:r>
        <w:rPr>
          <w:b/>
        </w:rPr>
        <w:t xml:space="preserve">9 </w:t>
      </w:r>
      <w:r>
        <w:t xml:space="preserve">And it came to be after it came over, the hand</w:t>
      </w:r>
      <w:r>
        <w:rPr>
          <w:rStyle w:val="FootnoteReference"/>
        </w:rPr>
        <w:footnoteReference w:id="5197"/>
      </w:r>
      <w:r>
        <w:t xml:space="preserve"> of the Lord was in the city, a very great disturbance, and he struck the men of the city from small to great and struck them in their seats</w:t>
      </w:r>
      <w:r>
        <w:rPr>
          <w:rStyle w:val="FootnoteReference"/>
        </w:rPr>
        <w:footnoteReference w:id="5198"/>
      </w:r>
      <w:r>
        <w:t xml:space="preserve">, and the Gittites made seats for themselves.</w:t>
      </w:r>
    </w:p>
    <w:p>
      <w:r>
        <w:rPr>
          <w:b/>
        </w:rPr>
        <w:t xml:space="preserve">10 </w:t>
      </w:r>
      <w:r>
        <w:t xml:space="preserve">And they sent away the ark of God to Ashkelon, and it came to be when the ark of God entered into Ashkelon, the Ashkelonites</w:t>
      </w:r>
      <w:r>
        <w:rPr>
          <w:rStyle w:val="FootnoteReference"/>
        </w:rPr>
        <w:footnoteReference w:id="5199"/>
      </w:r>
      <w:r>
        <w:t xml:space="preserve"> cried out, saying, Why did you return to us the ark of the God of Israel, to kill us and our people?</w:t>
      </w:r>
      <w:r>
        <w:rPr>
          <w:rStyle w:val="FootnoteReference"/>
        </w:rPr>
        <w:footnoteReference w:id="5200"/>
      </w:r>
    </w:p>
    <w:p>
      <w:r>
        <w:rPr>
          <w:b/>
        </w:rPr>
        <w:t xml:space="preserve">11 </w:t>
      </w:r>
      <w:r>
        <w:t xml:space="preserve">And they sent and gathered the satraps of the foreigners and said, Send away the ark of the God of Israel, and let it sit in its place</w:t>
      </w:r>
      <w:r>
        <w:rPr>
          <w:rStyle w:val="FootnoteReference"/>
        </w:rPr>
        <w:footnoteReference w:id="5201"/>
      </w:r>
      <w:r>
        <w:t xml:space="preserve">, and it shall certainly not kill us and our people, because there was confusion of death in the whole city, very heavy, as the ark of the God of Israel entered there.</w:t>
      </w:r>
    </w:p>
    <w:p>
      <w:r>
        <w:rPr>
          <w:b/>
        </w:rPr>
        <w:t xml:space="preserve">12 </w:t>
      </w:r>
      <w:r>
        <w:t xml:space="preserve">And the living who did not die were struck in their seats</w:t>
      </w:r>
      <w:r>
        <w:rPr>
          <w:rStyle w:val="FootnoteReference"/>
        </w:rPr>
        <w:footnoteReference w:id="5202"/>
      </w:r>
      <w:r>
        <w:t xml:space="preserve">, and the cry</w:t>
      </w:r>
      <w:r>
        <w:rPr>
          <w:rStyle w:val="FootnoteReference"/>
        </w:rPr>
        <w:footnoteReference w:id="5203"/>
      </w:r>
      <w:r>
        <w:t xml:space="preserve"> of the city went up to heaven.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the ark</w:t>
      </w:r>
      <w:r>
        <w:rPr>
          <w:rStyle w:val="FootnoteReference"/>
        </w:rPr>
        <w:footnoteReference w:id="5204"/>
      </w:r>
      <w:r>
        <w:t xml:space="preserve"> was in the field of the foreigners seven months, and their land boiled out mice.</w:t>
      </w:r>
    </w:p>
    <w:p>
      <w:r>
        <w:rPr>
          <w:b/>
        </w:rPr>
        <w:t xml:space="preserve">2 </w:t>
      </w:r>
      <w:r>
        <w:t xml:space="preserve">And the foreigners call the priests and their diviners and enchanters, saying, What shall we do with the ark of the Lord? Make known to us in what way we shall send it to its place.</w:t>
      </w:r>
    </w:p>
    <w:p>
      <w:r>
        <w:rPr>
          <w:b/>
        </w:rPr>
        <w:t xml:space="preserve">3 </w:t>
      </w:r>
      <w:r>
        <w:t xml:space="preserve">And they said, If you send away the ark of the covenant of the Lord God of Israel, by no means send it away empty</w:t>
      </w:r>
      <w:r>
        <w:rPr>
          <w:rStyle w:val="FootnoteReference"/>
        </w:rPr>
        <w:footnoteReference w:id="5205"/>
      </w:r>
      <w:r>
        <w:t xml:space="preserve">, but in repaying repay</w:t>
      </w:r>
      <w:r>
        <w:rPr>
          <w:rStyle w:val="FootnoteReference"/>
        </w:rPr>
        <w:footnoteReference w:id="5206"/>
      </w:r>
      <w:r>
        <w:t xml:space="preserve"> it for the torment, and then you will be healed and it will be propitiated for you. Will not his hand depart from you?</w:t>
      </w:r>
    </w:p>
    <w:p>
      <w:r>
        <w:rPr>
          <w:b/>
        </w:rPr>
        <w:t xml:space="preserve">4 </w:t>
      </w:r>
      <w:r>
        <w:t xml:space="preserve">And they say, What is the thing of torment that we shall repay to it? And they said, According to the number of the satraps of the foreigners, five golden</w:t>
      </w:r>
      <w:r>
        <w:rPr>
          <w:rStyle w:val="FootnoteReference"/>
        </w:rPr>
        <w:footnoteReference w:id="5207"/>
      </w:r>
      <w:r>
        <w:t xml:space="preserve"> seats, because the same fall is on you and on your rulers and on the people.</w:t>
      </w:r>
      <w:r>
        <w:rPr>
          <w:rStyle w:val="FootnoteReference"/>
        </w:rPr>
        <w:footnoteReference w:id="5208"/>
      </w:r>
    </w:p>
    <w:p>
      <w:r>
        <w:rPr>
          <w:b/>
        </w:rPr>
        <w:t xml:space="preserve">5 </w:t>
      </w:r>
      <w:r>
        <w:t xml:space="preserve">And golden mice</w:t>
      </w:r>
      <w:r>
        <w:rPr>
          <w:rStyle w:val="FootnoteReference"/>
        </w:rPr>
        <w:footnoteReference w:id="5209"/>
      </w:r>
      <w:r>
        <w:t xml:space="preserve">, likeness of your mice destroying the land, and you shall give glory to the Lord, so that he may lighten his hand</w:t>
      </w:r>
      <w:r>
        <w:rPr>
          <w:rStyle w:val="FootnoteReference"/>
        </w:rPr>
        <w:footnoteReference w:id="5210"/>
      </w:r>
      <w:r>
        <w:t xml:space="preserve"> from you and from your gods and from your land.</w:t>
      </w:r>
    </w:p>
    <w:p>
      <w:r>
        <w:rPr>
          <w:b/>
        </w:rPr>
        <w:t xml:space="preserve">6 </w:t>
      </w:r>
      <w:r>
        <w:t xml:space="preserve">And why do you harden</w:t>
      </w:r>
      <w:r>
        <w:rPr>
          <w:rStyle w:val="FootnoteReference"/>
        </w:rPr>
        <w:footnoteReference w:id="5211"/>
      </w:r>
      <w:r>
        <w:t xml:space="preserve"> your hearts as Egypt and Pharaoh hardened their hearts? Was it not when he mocked them that they sent them away and they went?</w:t>
      </w:r>
    </w:p>
    <w:p>
      <w:r>
        <w:rPr>
          <w:b/>
        </w:rPr>
        <w:t xml:space="preserve">7 </w:t>
      </w:r>
      <w:r>
        <w:t xml:space="preserve">And now take and make a new wagon and two first-calving cows apart from their calves, and yoke the cows to the wagon and lead away the calves from behind them into the house.</w:t>
      </w:r>
    </w:p>
    <w:p>
      <w:r>
        <w:rPr>
          <w:b/>
        </w:rPr>
        <w:t xml:space="preserve">8 </w:t>
      </w:r>
      <w:r>
        <w:t xml:space="preserve">And you will take the ark and put it on the wagon, and the gold objects that you repay to it for the torment you shall place in a chest beside it, and you shall send it away and drive it out, and it will go.</w:t>
      </w:r>
    </w:p>
    <w:p>
      <w:r>
        <w:rPr>
          <w:b/>
        </w:rPr>
        <w:t xml:space="preserve">9 </w:t>
      </w:r>
      <w:r>
        <w:t xml:space="preserve">And you will see whether it goes on the road of its borders toward Beth-shemesh; he did to us this great evil. But if not, then we shall</w:t>
      </w:r>
      <w:r>
        <w:rPr>
          <w:rStyle w:val="FootnoteReference"/>
        </w:rPr>
        <w:footnoteReference w:id="5212"/>
      </w:r>
      <w:r>
        <w:t xml:space="preserve"> know that it was not his hand that touched us, but this happened to us by chance</w:t>
      </w:r>
      <w:r>
        <w:rPr>
          <w:rStyle w:val="FootnoteReference"/>
        </w:rPr>
        <w:footnoteReference w:id="5213"/>
      </w:r>
      <w:r>
        <w:t xml:space="preserve">.</w:t>
      </w:r>
    </w:p>
    <w:p>
      <w:r>
        <w:rPr>
          <w:b/>
        </w:rPr>
        <w:t xml:space="preserve">10 </w:t>
      </w:r>
      <w:r>
        <w:t xml:space="preserve">And the foreigners did so, and they took two first-calving cows and yoked them to the wagon, and they shut up their calves in the house.</w:t>
      </w:r>
    </w:p>
    <w:p>
      <w:r>
        <w:rPr>
          <w:b/>
        </w:rPr>
        <w:t xml:space="preserve">11 </w:t>
      </w:r>
      <w:r>
        <w:t xml:space="preserve">And they set the ark upon the wagon and the chest and the gold mice.</w:t>
      </w:r>
    </w:p>
    <w:p>
      <w:r>
        <w:rPr>
          <w:b/>
        </w:rPr>
        <w:t xml:space="preserve">12 </w:t>
      </w:r>
      <w:r>
        <w:t xml:space="preserve">And the cows went straight on the road, on the road to Beth-shemesh, in one path they went, and they toiled and did not turn aside right or left, and the satraps of the foreigners went after it until the borders of Beth-shemesh.</w:t>
      </w:r>
      <w:r>
        <w:rPr>
          <w:rStyle w:val="FootnoteReference"/>
        </w:rPr>
        <w:footnoteReference w:id="5214"/>
      </w:r>
    </w:p>
    <w:p>
      <w:r>
        <w:rPr>
          <w:b/>
        </w:rPr>
        <w:t xml:space="preserve">13 </w:t>
      </w:r>
      <w:r>
        <w:t xml:space="preserve">And those in Beth-shemesh were reaping wheat harvest in the valley, and they lifted up their eyes and saw the ark of the Lord and rejoiced to meet it.</w:t>
      </w:r>
    </w:p>
    <w:p>
      <w:r>
        <w:rPr>
          <w:b/>
        </w:rPr>
        <w:t xml:space="preserve">14 </w:t>
      </w:r>
      <w:r>
        <w:t xml:space="preserve">And the wagon came into the field of Hoshea in Beth-shemesh, and they stood there by a great stone, and they split the wood of the wagon and offered the cows as a whole burnt offering</w:t>
      </w:r>
      <w:r>
        <w:rPr>
          <w:rStyle w:val="FootnoteReference"/>
        </w:rPr>
        <w:footnoteReference w:id="5215"/>
      </w:r>
      <w:r>
        <w:t xml:space="preserve"> to the Lord.</w:t>
      </w:r>
      <w:r>
        <w:rPr>
          <w:rStyle w:val="FootnoteReference"/>
        </w:rPr>
        <w:footnoteReference w:id="5216"/>
      </w:r>
    </w:p>
    <w:p>
      <w:r>
        <w:rPr>
          <w:b/>
        </w:rPr>
        <w:t xml:space="preserve">15 </w:t>
      </w:r>
      <w:r>
        <w:t xml:space="preserve">And the Levites brought up the ark of the Lord and the chest</w:t>
      </w:r>
      <w:r>
        <w:rPr>
          <w:rStyle w:val="FootnoteReference"/>
        </w:rPr>
        <w:footnoteReference w:id="5217"/>
      </w:r>
      <w:r>
        <w:t xml:space="preserve"> with it and the gold items upon it and placed them on the great stone, and the men of Beth-shemesh offered whole burnt offerings and sacrifices on that day to the Lord.</w:t>
      </w:r>
    </w:p>
    <w:p>
      <w:r>
        <w:rPr>
          <w:b/>
        </w:rPr>
        <w:t xml:space="preserve">16 </w:t>
      </w:r>
      <w:r>
        <w:t xml:space="preserve">And the five</w:t>
      </w:r>
      <w:r>
        <w:rPr>
          <w:rStyle w:val="FootnoteReference"/>
        </w:rPr>
        <w:footnoteReference w:id="5218"/>
      </w:r>
      <w:r>
        <w:t xml:space="preserve"> satraps of the foreigners saw and returned to Ashkelon on that day.</w:t>
      </w:r>
    </w:p>
    <w:p>
      <w:r>
        <w:rPr>
          <w:b/>
        </w:rPr>
        <w:t xml:space="preserve">17 </w:t>
      </w:r>
      <w:r>
        <w:t xml:space="preserve">And these are the golden seats that the foreigners repaid to the Lord for the torment: one for Ashdod</w:t>
      </w:r>
      <w:r>
        <w:rPr>
          <w:rStyle w:val="FootnoteReference"/>
        </w:rPr>
        <w:footnoteReference w:id="5219"/>
      </w:r>
      <w:r>
        <w:t xml:space="preserve">, one for Gaza, one for Ashkelon, one for Gath, one for Ekron,</w:t>
      </w:r>
    </w:p>
    <w:p>
      <w:r>
        <w:rPr>
          <w:b/>
        </w:rPr>
        <w:t xml:space="preserve">18 </w:t>
      </w:r>
      <w:r>
        <w:t xml:space="preserve">and the golden mice according to the number of all the cities of the foreigners of the five satraps, from fortified city and to village of the Perizzite</w:t>
      </w:r>
      <w:r>
        <w:rPr>
          <w:rStyle w:val="FootnoteReference"/>
        </w:rPr>
        <w:footnoteReference w:id="5220"/>
      </w:r>
      <w:r>
        <w:t xml:space="preserve">, and to the great stone on which they placed the ark of the covenant of the Lord, the one in the field of Hoshea the Baithsamyisite.</w:t>
      </w:r>
    </w:p>
    <w:p>
      <w:r>
        <w:rPr>
          <w:b/>
        </w:rPr>
        <w:t xml:space="preserve">19 </w:t>
      </w:r>
      <w:r>
        <w:t xml:space="preserve">And the sons of Iechoniou were not pleased among the men of Beth-shemesh because they saw the ark of the Lord, and he struck among them seventy men and fifty thousand men, and the people mourned because the Lord struck the people with a very great blow.</w:t>
      </w:r>
      <w:r>
        <w:rPr>
          <w:rStyle w:val="FootnoteReference"/>
        </w:rPr>
        <w:footnoteReference w:id="5221"/>
      </w:r>
    </w:p>
    <w:p>
      <w:r>
        <w:rPr>
          <w:b/>
        </w:rPr>
        <w:t xml:space="preserve">20 </w:t>
      </w:r>
      <w:r>
        <w:t xml:space="preserve">And the men from Beth-shemesh said, Who will be able to go through before this holy Lord, and to whom will the ark of the Lord go up from us?</w:t>
      </w:r>
    </w:p>
    <w:p>
      <w:r>
        <w:rPr>
          <w:b/>
        </w:rPr>
        <w:t xml:space="preserve">21 </w:t>
      </w:r>
      <w:r>
        <w:t xml:space="preserve">And they send messengers to those dwelling in Kirjathjearim</w:t>
      </w:r>
      <w:r>
        <w:rPr>
          <w:rStyle w:val="FootnoteReference"/>
        </w:rPr>
        <w:footnoteReference w:id="5222"/>
      </w:r>
      <w:r>
        <w:t xml:space="preserve">, saying, The foreigners have returned the ark of the Lord. Come down and bring it up to yourselves.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the men of Kirjathjearim</w:t>
      </w:r>
      <w:r>
        <w:rPr>
          <w:rStyle w:val="FootnoteReference"/>
        </w:rPr>
        <w:footnoteReference w:id="5223"/>
      </w:r>
      <w:r>
        <w:t xml:space="preserve"> come and bring up the ark of the covenant of the Lord and bring it into the house of Amminadab on the hill, and they consecrated Eleazar his son to guard the ark of the covenant of the Lord.</w:t>
      </w:r>
    </w:p>
    <w:p>
      <w:r>
        <w:rPr>
          <w:b/>
        </w:rPr>
        <w:t xml:space="preserve">2 </w:t>
      </w:r>
      <w:r>
        <w:t xml:space="preserve">And it came to be from the day the ark was in Kirjathjearim, the days multiplied and became twenty years, and all the house of Israel looked after the Lord.</w:t>
      </w:r>
    </w:p>
    <w:p>
      <w:r>
        <w:rPr>
          <w:b/>
        </w:rPr>
        <w:t xml:space="preserve">3 </w:t>
      </w:r>
      <w:r>
        <w:t xml:space="preserve">And Samuel said to all the house of Israel, saying, If with your whole heart you are turning to the Lord, remove the foreign gods from your midst and the groves, and prepare</w:t>
      </w:r>
      <w:r>
        <w:rPr>
          <w:rStyle w:val="FootnoteReference"/>
        </w:rPr>
        <w:footnoteReference w:id="5224"/>
      </w:r>
      <w:r>
        <w:t xml:space="preserve"> your hearts toward the Lord and serve him alone, and he will deliver you from the hand of the foreigners.</w:t>
      </w:r>
      <w:r>
        <w:rPr>
          <w:rStyle w:val="FootnoteReference"/>
        </w:rPr>
        <w:footnoteReference w:id="5225"/>
      </w:r>
    </w:p>
    <w:p>
      <w:r>
        <w:rPr>
          <w:b/>
        </w:rPr>
        <w:t xml:space="preserve">4 </w:t>
      </w:r>
      <w:r>
        <w:t xml:space="preserve">And the sons of Israel removed the Baals and the groves of Ashtaroth and served the Lord alone.</w:t>
      </w:r>
    </w:p>
    <w:p>
      <w:r>
        <w:rPr>
          <w:b/>
        </w:rPr>
        <w:t xml:space="preserve">5 </w:t>
      </w:r>
      <w:r>
        <w:t xml:space="preserve">And Samuel said, Gather</w:t>
      </w:r>
      <w:r>
        <w:rPr>
          <w:rStyle w:val="FootnoteReference"/>
        </w:rPr>
        <w:footnoteReference w:id="5226"/>
      </w:r>
      <w:r>
        <w:t xml:space="preserve"> all Israel to Mizpah, and I will pray concerning you to the Lord.</w:t>
      </w:r>
    </w:p>
    <w:p>
      <w:r>
        <w:rPr>
          <w:b/>
        </w:rPr>
        <w:t xml:space="preserve">6 </w:t>
      </w:r>
      <w:r>
        <w:t xml:space="preserve">And they gathered to Mizpah and drew water</w:t>
      </w:r>
      <w:r>
        <w:rPr>
          <w:rStyle w:val="FootnoteReference"/>
        </w:rPr>
        <w:footnoteReference w:id="5227"/>
      </w:r>
      <w:r>
        <w:t xml:space="preserve"> and poured it out before the Lord upon the ground and fasted on that day and said, We sinned before the Lord. And Samuel was judging the sons of Israel in Mizpah.</w:t>
      </w:r>
    </w:p>
    <w:p>
      <w:r>
        <w:rPr>
          <w:b/>
        </w:rPr>
        <w:t xml:space="preserve">7 </w:t>
      </w:r>
      <w:r>
        <w:t xml:space="preserve">And the foreigners heard that all the sons of Israel had gathered to Mizpah, and the satraps of the foreigners</w:t>
      </w:r>
      <w:r>
        <w:rPr>
          <w:rStyle w:val="FootnoteReference"/>
        </w:rPr>
        <w:footnoteReference w:id="5228"/>
      </w:r>
      <w:r>
        <w:t xml:space="preserve"> went up against Israel. And the sons of Israel heard and feared from before the foreigners.</w:t>
      </w:r>
    </w:p>
    <w:p>
      <w:r>
        <w:rPr>
          <w:b/>
        </w:rPr>
        <w:t xml:space="preserve">8 </w:t>
      </w:r>
      <w:r>
        <w:t xml:space="preserve">And the sons of Israel said to Samuel, Do not be silent away from us from crying to the Lord your God, and he will save us from the hand of the foreigners.</w:t>
      </w:r>
    </w:p>
    <w:p>
      <w:r>
        <w:rPr>
          <w:b/>
        </w:rPr>
        <w:t xml:space="preserve">9 </w:t>
      </w:r>
      <w:r>
        <w:t xml:space="preserve">And Samuel took one suckling lamb and offered it up whole with all the people to the Lord, and Samuel cried out to the Lord concerning Israel, and the Lord listened to him.</w:t>
      </w:r>
    </w:p>
    <w:p>
      <w:r>
        <w:rPr>
          <w:b/>
        </w:rPr>
        <w:t xml:space="preserve">10 </w:t>
      </w:r>
      <w:r>
        <w:t xml:space="preserve">And Samuel was offering up the whole burnt offering, and the foreigners drew near for battle against Israel, and the Lord thundered</w:t>
      </w:r>
      <w:r>
        <w:rPr>
          <w:rStyle w:val="FootnoteReference"/>
        </w:rPr>
        <w:footnoteReference w:id="5229"/>
      </w:r>
      <w:r>
        <w:t xml:space="preserve"> with a great voice on that day against the foreigners and confused them</w:t>
      </w:r>
      <w:r>
        <w:rPr>
          <w:rStyle w:val="FootnoteReference"/>
        </w:rPr>
        <w:footnoteReference w:id="5230"/>
      </w:r>
      <w:r>
        <w:t xml:space="preserve">, and they stumbled before Israel.</w:t>
      </w:r>
    </w:p>
    <w:p>
      <w:r>
        <w:rPr>
          <w:b/>
        </w:rPr>
        <w:t xml:space="preserve">11 </w:t>
      </w:r>
      <w:r>
        <w:t xml:space="preserve">And the men of Israel went out from Mizpah and pursued the foreigners and struck them as far as below Baithchor.</w:t>
      </w:r>
    </w:p>
    <w:p>
      <w:r>
        <w:rPr>
          <w:b/>
        </w:rPr>
        <w:t xml:space="preserve">12 </w:t>
      </w:r>
      <w:r>
        <w:t xml:space="preserve">And Samuel took one stone and set it between Mizpah and between the old place and called its name Ebenezer</w:t>
      </w:r>
      <w:r>
        <w:rPr>
          <w:rStyle w:val="FootnoteReference"/>
        </w:rPr>
        <w:footnoteReference w:id="5231"/>
      </w:r>
      <w:r>
        <w:t xml:space="preserve">, Stone of the Helper, and said, Until here the Lord has helped us.</w:t>
      </w:r>
    </w:p>
    <w:p>
      <w:r>
        <w:rPr>
          <w:b/>
        </w:rPr>
        <w:t xml:space="preserve">13 </w:t>
      </w:r>
      <w:r>
        <w:t xml:space="preserve">And the Lord humbled the foreigners, and they no longer continued to come into the border of Israel, and the hand of the Lord was upon the foreigners all the days of Samuel.</w:t>
      </w:r>
    </w:p>
    <w:p>
      <w:r>
        <w:rPr>
          <w:b/>
        </w:rPr>
        <w:t xml:space="preserve">14 </w:t>
      </w:r>
      <w:r>
        <w:t xml:space="preserve">And the cities that the foreigners took from the sons of Israel were given back, and they restored them to Israel from Ashkelon to Azob, and the border of Israel they removed from the hand of the foreigners. And there was peace</w:t>
      </w:r>
      <w:r>
        <w:rPr>
          <w:rStyle w:val="FootnoteReference"/>
        </w:rPr>
        <w:footnoteReference w:id="5232"/>
      </w:r>
      <w:r>
        <w:t xml:space="preserve"> between Israel and between the Amorite.</w:t>
      </w:r>
      <w:r>
        <w:rPr>
          <w:rStyle w:val="FootnoteReference"/>
        </w:rPr>
        <w:footnoteReference w:id="5233"/>
      </w:r>
    </w:p>
    <w:p>
      <w:r>
        <w:rPr>
          <w:b/>
        </w:rPr>
        <w:t xml:space="preserve">15 </w:t>
      </w:r>
      <w:r>
        <w:t xml:space="preserve">And Samuel judged</w:t>
      </w:r>
      <w:r>
        <w:rPr>
          <w:rStyle w:val="FootnoteReference"/>
        </w:rPr>
        <w:footnoteReference w:id="5234"/>
      </w:r>
      <w:r>
        <w:t xml:space="preserve"> Israel all the days of his life.</w:t>
      </w:r>
    </w:p>
    <w:p>
      <w:r>
        <w:rPr>
          <w:b/>
        </w:rPr>
        <w:t xml:space="preserve">16 </w:t>
      </w:r>
      <w:r>
        <w:t xml:space="preserve">And he went year by year and made circuit of Bethel and Gilgal and Mizpah and judged Israel in all these consecrated places.</w:t>
      </w:r>
    </w:p>
    <w:p>
      <w:r>
        <w:rPr>
          <w:b/>
        </w:rPr>
        <w:t xml:space="preserve">17 </w:t>
      </w:r>
      <w:r>
        <w:t xml:space="preserve">And his return</w:t>
      </w:r>
      <w:r>
        <w:rPr>
          <w:rStyle w:val="FootnoteReference"/>
        </w:rPr>
        <w:footnoteReference w:id="5235"/>
      </w:r>
      <w:r>
        <w:t xml:space="preserve"> was to Ramathaim-Zophim, because there was his house, and there he judged Israel, and he built there an altar to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it came to be when Samuel grew old that he appointed his sons as judges for Israel.</w:t>
      </w:r>
    </w:p>
    <w:p>
      <w:r>
        <w:rPr>
          <w:b/>
        </w:rPr>
        <w:t xml:space="preserve">2 </w:t>
      </w:r>
      <w:r>
        <w:t xml:space="preserve">And these are the names of his sons: firstborn Joel</w:t>
      </w:r>
      <w:r>
        <w:rPr>
          <w:rStyle w:val="FootnoteReference"/>
        </w:rPr>
        <w:footnoteReference w:id="5236"/>
      </w:r>
      <w:r>
        <w:t xml:space="preserve">, and the name of the second Abijah</w:t>
      </w:r>
      <w:r>
        <w:rPr>
          <w:rStyle w:val="FootnoteReference"/>
        </w:rPr>
        <w:footnoteReference w:id="5237"/>
      </w:r>
      <w:r>
        <w:t xml:space="preserve">, judges in Beersheba.</w:t>
      </w:r>
      <w:r>
        <w:rPr>
          <w:rStyle w:val="FootnoteReference"/>
        </w:rPr>
        <w:footnoteReference w:id="5238"/>
      </w:r>
    </w:p>
    <w:p>
      <w:r>
        <w:rPr>
          <w:b/>
        </w:rPr>
        <w:t xml:space="preserve">3 </w:t>
      </w:r>
      <w:r>
        <w:t xml:space="preserve">And his sons</w:t>
      </w:r>
      <w:r>
        <w:rPr>
          <w:rStyle w:val="FootnoteReference"/>
        </w:rPr>
        <w:footnoteReference w:id="5239"/>
      </w:r>
      <w:r>
        <w:t xml:space="preserve"> did not walk in his way, and they turned aside after gain and were taking gifts and turning aside judgments.</w:t>
      </w:r>
    </w:p>
    <w:p>
      <w:r>
        <w:rPr>
          <w:b/>
        </w:rPr>
        <w:t xml:space="preserve">4 </w:t>
      </w:r>
      <w:r>
        <w:t xml:space="preserve">And the men of Israel gathered together and came to Ramathaim-Zophim to Samuel.</w:t>
      </w:r>
    </w:p>
    <w:p>
      <w:r>
        <w:rPr>
          <w:b/>
        </w:rPr>
        <w:t xml:space="preserve">5 </w:t>
      </w:r>
      <w:r>
        <w:t xml:space="preserve">And they said to him, Behold, you have grown old, and your sons do not walk in your way, and now appoint over us a king to judge us, as also the rest of the nations have.</w:t>
      </w:r>
    </w:p>
    <w:p>
      <w:r>
        <w:rPr>
          <w:b/>
        </w:rPr>
        <w:t xml:space="preserve">6 </w:t>
      </w:r>
      <w:r>
        <w:t xml:space="preserve">And the word was evil in the eyes of Samuel as they said, Give us a king to judge us, and Samuel prayed</w:t>
      </w:r>
      <w:r>
        <w:rPr>
          <w:rStyle w:val="FootnoteReference"/>
        </w:rPr>
        <w:footnoteReference w:id="5240"/>
      </w:r>
      <w:r>
        <w:t xml:space="preserve"> to the Lord.</w:t>
      </w:r>
    </w:p>
    <w:p>
      <w:r>
        <w:rPr>
          <w:b/>
        </w:rPr>
        <w:t xml:space="preserve">7 </w:t>
      </w:r>
      <w:r>
        <w:t xml:space="preserve">And the Lord said to Samuel, Hear the voice of the people according to whatever they say to you, because they have not</w:t>
      </w:r>
      <w:r>
        <w:rPr>
          <w:rStyle w:val="FootnoteReference"/>
        </w:rPr>
        <w:footnoteReference w:id="5241"/>
      </w:r>
      <w:r>
        <w:t xml:space="preserve"> despised you, but me they have despised, from reigning over them.</w:t>
      </w:r>
    </w:p>
    <w:p>
      <w:r>
        <w:rPr>
          <w:b/>
        </w:rPr>
        <w:t xml:space="preserve">8 </w:t>
      </w:r>
      <w:r>
        <w:t xml:space="preserve">According to all the deeds that they did to me from the day I brought them up out of Egypt until this day, and they forsook me and served other gods, so they also are doing to you.</w:t>
      </w:r>
    </w:p>
    <w:p>
      <w:r>
        <w:rPr>
          <w:b/>
        </w:rPr>
        <w:t xml:space="preserve">9 </w:t>
      </w:r>
      <w:r>
        <w:t xml:space="preserve">And now hear their voice; only in protesting protest to them and declare to them the right of the king who will reign over them.</w:t>
      </w:r>
    </w:p>
    <w:p>
      <w:r>
        <w:rPr>
          <w:b/>
        </w:rPr>
        <w:t xml:space="preserve">10 </w:t>
      </w:r>
      <w:r>
        <w:t xml:space="preserve">And Samuel spoke every word of the Lord to the people asking from him a king.</w:t>
      </w:r>
    </w:p>
    <w:p>
      <w:r>
        <w:rPr>
          <w:b/>
        </w:rPr>
        <w:t xml:space="preserve">11 </w:t>
      </w:r>
      <w:r>
        <w:t xml:space="preserve">And he said, This will</w:t>
      </w:r>
      <w:r>
        <w:rPr>
          <w:rStyle w:val="FootnoteReference"/>
        </w:rPr>
        <w:footnoteReference w:id="5242"/>
      </w:r>
      <w:r>
        <w:t xml:space="preserve"> be the right of the king</w:t>
      </w:r>
      <w:r>
        <w:rPr>
          <w:rStyle w:val="FootnoteReference"/>
        </w:rPr>
        <w:footnoteReference w:id="5243"/>
      </w:r>
      <w:r>
        <w:t xml:space="preserve"> who will reign over you: he will take your sons and place them in his chariots and among his horsemen and as runners before his chariots,</w:t>
      </w:r>
    </w:p>
    <w:p>
      <w:r>
        <w:rPr>
          <w:b/>
        </w:rPr>
        <w:t xml:space="preserve">12 </w:t>
      </w:r>
      <w:r>
        <w:t xml:space="preserve">and to appoint</w:t>
      </w:r>
      <w:r>
        <w:rPr>
          <w:rStyle w:val="FootnoteReference"/>
        </w:rPr>
        <w:footnoteReference w:id="5244"/>
      </w:r>
      <w:r>
        <w:t xml:space="preserve"> them for himself commanders of thousands and commanders of hundreds and to reap his harvest and gather his vintage and make his implements of war and the implements of his chariots.</w:t>
      </w:r>
    </w:p>
    <w:p>
      <w:r>
        <w:rPr>
          <w:b/>
        </w:rPr>
        <w:t xml:space="preserve">13 </w:t>
      </w:r>
      <w:r>
        <w:t xml:space="preserve">And your daughters he will take as perfumers and cooks and bakers.</w:t>
      </w:r>
    </w:p>
    <w:p>
      <w:r>
        <w:rPr>
          <w:b/>
        </w:rPr>
        <w:t xml:space="preserve">14 </w:t>
      </w:r>
      <w:r>
        <w:t xml:space="preserve">And your fields and your vineyards and your good olive groves he will take and give to his servants.</w:t>
      </w:r>
    </w:p>
    <w:p>
      <w:r>
        <w:rPr>
          <w:b/>
        </w:rPr>
        <w:t xml:space="preserve">15 </w:t>
      </w:r>
      <w:r>
        <w:t xml:space="preserve">And your seeds and your vineyards he will tithe and give to his eunuchs and to his servants.</w:t>
      </w:r>
    </w:p>
    <w:p>
      <w:r>
        <w:rPr>
          <w:b/>
        </w:rPr>
        <w:t xml:space="preserve">16 </w:t>
      </w:r>
      <w:r>
        <w:t xml:space="preserve">And your male servants and your female servants and your good cattle and your donkeys he will take and tithe for his works.</w:t>
      </w:r>
    </w:p>
    <w:p>
      <w:r>
        <w:rPr>
          <w:b/>
        </w:rPr>
        <w:t xml:space="preserve">17 </w:t>
      </w:r>
      <w:r>
        <w:t xml:space="preserve">And your flocks he will tithe, and you will be his servants.</w:t>
      </w:r>
    </w:p>
    <w:p>
      <w:r>
        <w:rPr>
          <w:b/>
        </w:rPr>
        <w:t xml:space="preserve">18 </w:t>
      </w:r>
      <w:r>
        <w:t xml:space="preserve">And you will cry out in that day because of your king whom you chose for yourselves</w:t>
      </w:r>
      <w:r>
        <w:rPr>
          <w:rStyle w:val="FootnoteReference"/>
        </w:rPr>
        <w:footnoteReference w:id="5245"/>
      </w:r>
      <w:r>
        <w:t xml:space="preserve">, and the Lord will not listen to you in those days, because you chose a king for yourselves.</w:t>
      </w:r>
      <w:r>
        <w:rPr>
          <w:rStyle w:val="FootnoteReference"/>
        </w:rPr>
        <w:footnoteReference w:id="5246"/>
      </w:r>
    </w:p>
    <w:p>
      <w:r>
        <w:rPr>
          <w:b/>
        </w:rPr>
        <w:t xml:space="preserve">19 </w:t>
      </w:r>
      <w:r>
        <w:t xml:space="preserve">And the people was not willing to hear Samuel, and they said to him, No, but a king shall be over us.</w:t>
      </w:r>
    </w:p>
    <w:p>
      <w:r>
        <w:rPr>
          <w:b/>
        </w:rPr>
        <w:t xml:space="preserve">20 </w:t>
      </w:r>
      <w:r>
        <w:t xml:space="preserve">And we also will be like all the nations, and our king will judge us and go out before us and fight our war.</w:t>
      </w:r>
    </w:p>
    <w:p>
      <w:r>
        <w:rPr>
          <w:b/>
        </w:rPr>
        <w:t xml:space="preserve">21 </w:t>
      </w:r>
      <w:r>
        <w:t xml:space="preserve">And Samuel heard all the words of the people and spoke them into the ears of the Lord.</w:t>
      </w:r>
    </w:p>
    <w:p>
      <w:r>
        <w:rPr>
          <w:b/>
        </w:rPr>
        <w:t xml:space="preserve">22 </w:t>
      </w:r>
      <w:r>
        <w:t xml:space="preserve">And the Lord said to Samuel, Hear their voice and make a king reign over them. And Samuel said to the men of Israel, Let each man run back to his city.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there was a man from the sons of Benjamin, and his name was Kish</w:t>
      </w:r>
      <w:r>
        <w:rPr>
          <w:rStyle w:val="FootnoteReference"/>
        </w:rPr>
        <w:footnoteReference w:id="5247"/>
      </w:r>
      <w:r>
        <w:t xml:space="preserve">, son of Abiel</w:t>
      </w:r>
      <w:r>
        <w:rPr>
          <w:rStyle w:val="FootnoteReference"/>
        </w:rPr>
        <w:footnoteReference w:id="5248"/>
      </w:r>
      <w:r>
        <w:t xml:space="preserve">, son of Zeror</w:t>
      </w:r>
      <w:r>
        <w:rPr>
          <w:rStyle w:val="FootnoteReference"/>
        </w:rPr>
        <w:footnoteReference w:id="5249"/>
      </w:r>
      <w:r>
        <w:t xml:space="preserve">, son of Bechorath</w:t>
      </w:r>
      <w:r>
        <w:rPr>
          <w:rStyle w:val="FootnoteReference"/>
        </w:rPr>
        <w:footnoteReference w:id="5250"/>
      </w:r>
      <w:r>
        <w:t xml:space="preserve">, son of Aphek, son of a Benjamite man, a mighty man.</w:t>
      </w:r>
      <w:r>
        <w:rPr>
          <w:rStyle w:val="FootnoteReference"/>
        </w:rPr>
        <w:footnoteReference w:id="5251"/>
      </w:r>
    </w:p>
    <w:p>
      <w:r>
        <w:rPr>
          <w:b/>
        </w:rPr>
        <w:t xml:space="preserve">2 </w:t>
      </w:r>
      <w:r>
        <w:t xml:space="preserve">And he had a son, and his name was Saul</w:t>
      </w:r>
      <w:r>
        <w:rPr>
          <w:rStyle w:val="FootnoteReference"/>
        </w:rPr>
        <w:footnoteReference w:id="5252"/>
      </w:r>
      <w:r>
        <w:t xml:space="preserve">, a well-grown good man, and there was not among the sons of Israel a better man than he; from his shoulders</w:t>
      </w:r>
      <w:r>
        <w:rPr>
          <w:rStyle w:val="FootnoteReference"/>
        </w:rPr>
        <w:footnoteReference w:id="5253"/>
      </w:r>
      <w:r>
        <w:t xml:space="preserve"> and above he was taller than all the people.</w:t>
      </w:r>
    </w:p>
    <w:p>
      <w:r>
        <w:rPr>
          <w:b/>
        </w:rPr>
        <w:t xml:space="preserve">3 </w:t>
      </w:r>
      <w:r>
        <w:t xml:space="preserve">And the donkeys of Kish, father of Saul, were lost, and Kish said to Saul his son, Take with yourself one of the young men, rise, and go seek the donkeys.</w:t>
      </w:r>
    </w:p>
    <w:p>
      <w:r>
        <w:rPr>
          <w:b/>
        </w:rPr>
        <w:t xml:space="preserve">4 </w:t>
      </w:r>
      <w:r>
        <w:t xml:space="preserve">And they passed through the hill-country of Ephraim, and they passed through the land of Salcah and did not find them, and they passed through the land of Shaalim</w:t>
      </w:r>
      <w:r>
        <w:rPr>
          <w:rStyle w:val="FootnoteReference"/>
        </w:rPr>
        <w:footnoteReference w:id="5254"/>
      </w:r>
      <w:r>
        <w:t xml:space="preserve"> and it was not there, and they passed through the land of Jakim</w:t>
      </w:r>
      <w:r>
        <w:rPr>
          <w:rStyle w:val="FootnoteReference"/>
        </w:rPr>
        <w:footnoteReference w:id="5255"/>
      </w:r>
      <w:r>
        <w:t xml:space="preserve"> and did not find them.</w:t>
      </w:r>
      <w:r>
        <w:rPr>
          <w:rStyle w:val="FootnoteReference"/>
        </w:rPr>
        <w:footnoteReference w:id="5256"/>
      </w:r>
    </w:p>
    <w:p>
      <w:r>
        <w:rPr>
          <w:b/>
        </w:rPr>
        <w:t xml:space="preserve">5 </w:t>
      </w:r>
      <w:r>
        <w:t xml:space="preserve">When they came into Zuph</w:t>
      </w:r>
      <w:r>
        <w:rPr>
          <w:rStyle w:val="FootnoteReference"/>
        </w:rPr>
        <w:footnoteReference w:id="5257"/>
      </w:r>
      <w:r>
        <w:t xml:space="preserve">, Saul said to his young man who was with him, Come, let us turn back, lest my father leave off about the donkeys and be anxious about us.</w:t>
      </w:r>
    </w:p>
    <w:p>
      <w:r>
        <w:rPr>
          <w:b/>
        </w:rPr>
        <w:t xml:space="preserve">6 </w:t>
      </w:r>
      <w:r>
        <w:t xml:space="preserve">And the young man said to him, Behold now, there is a man of God in this city</w:t>
      </w:r>
      <w:r>
        <w:rPr>
          <w:rStyle w:val="FootnoteReference"/>
        </w:rPr>
        <w:footnoteReference w:id="5258"/>
      </w:r>
      <w:r>
        <w:t xml:space="preserve">, and the man is honored; everything whatever he may speak, when it comes, it will stand</w:t>
      </w:r>
      <w:r>
        <w:rPr>
          <w:rStyle w:val="FootnoteReference"/>
        </w:rPr>
        <w:footnoteReference w:id="5259"/>
      </w:r>
      <w:r>
        <w:t xml:space="preserve">. And now let us go there, so he may report to us the road on which we have gone.</w:t>
      </w:r>
    </w:p>
    <w:p>
      <w:r>
        <w:rPr>
          <w:b/>
        </w:rPr>
        <w:t xml:space="preserve">7 </w:t>
      </w:r>
      <w:r>
        <w:t xml:space="preserve">And Saul said to his young man who was with him, And behold, we will go, but what shall</w:t>
      </w:r>
      <w:r>
        <w:rPr>
          <w:rStyle w:val="FootnoteReference"/>
        </w:rPr>
        <w:footnoteReference w:id="5260"/>
      </w:r>
      <w:r>
        <w:t xml:space="preserve"> we bring to the man of God? Because the breads have failed from our vessels, and there is no more with us to carry in to the man of God. What have we with us?</w:t>
      </w:r>
    </w:p>
    <w:p>
      <w:r>
        <w:rPr>
          <w:b/>
        </w:rPr>
        <w:t xml:space="preserve">8 </w:t>
      </w:r>
      <w:r>
        <w:t xml:space="preserve">And the young man answered Saul again and said, Behold, a quarter-shekel of silver has been found in my hand, and I will give it to the man of God, and he will tell us our road.</w:t>
      </w:r>
    </w:p>
    <w:p>
      <w:r>
        <w:rPr>
          <w:b/>
        </w:rPr>
        <w:t xml:space="preserve">9 </w:t>
      </w:r>
      <w:r>
        <w:t xml:space="preserve">Formerly in Israel each one used to say these things when going to inquire</w:t>
      </w:r>
      <w:r>
        <w:rPr>
          <w:rStyle w:val="FootnoteReference"/>
        </w:rPr>
        <w:footnoteReference w:id="5261"/>
      </w:r>
      <w:r>
        <w:t xml:space="preserve"> of God: Come, let us go to the seer, because the people formerly called the prophet the seer.</w:t>
      </w:r>
    </w:p>
    <w:p>
      <w:r>
        <w:rPr>
          <w:b/>
        </w:rPr>
        <w:t xml:space="preserve">10 </w:t>
      </w:r>
      <w:r>
        <w:t xml:space="preserve">And Saul said to his young man, Good word. Come, let us go. And they went into the city where the man of God was there.</w:t>
      </w:r>
    </w:p>
    <w:p>
      <w:r>
        <w:rPr>
          <w:b/>
        </w:rPr>
        <w:t xml:space="preserve">11 </w:t>
      </w:r>
      <w:r>
        <w:t xml:space="preserve">As they were going up the ascent of the city, they found young girls who had come out to draw water, and they say to them, Is the seer here?</w:t>
      </w:r>
    </w:p>
    <w:p>
      <w:r>
        <w:rPr>
          <w:b/>
        </w:rPr>
        <w:t xml:space="preserve">12 </w:t>
      </w:r>
      <w:r>
        <w:t xml:space="preserve">And the girls answered them and say to them, He is; behold, before your face now. For today he has come into the city, because there is a sacrifice</w:t>
      </w:r>
      <w:r>
        <w:rPr>
          <w:rStyle w:val="FootnoteReference"/>
        </w:rPr>
        <w:footnoteReference w:id="5262"/>
      </w:r>
      <w:r>
        <w:t xml:space="preserve"> today for the people at the high place.</w:t>
      </w:r>
    </w:p>
    <w:p>
      <w:r>
        <w:rPr>
          <w:b/>
        </w:rPr>
        <w:t xml:space="preserve">13 </w:t>
      </w:r>
      <w:r>
        <w:t xml:space="preserve">As soon as you enter the city, so you will find him in the city before he goes up to the high place to eat. Because the people certainly will not eat until he enters, because he blesses the sacrifice, and after these things the guests eat. And now go up, because today you will find him.</w:t>
      </w:r>
      <w:r>
        <w:rPr>
          <w:rStyle w:val="FootnoteReference"/>
        </w:rPr>
        <w:footnoteReference w:id="5263"/>
      </w:r>
    </w:p>
    <w:p>
      <w:r>
        <w:rPr>
          <w:b/>
        </w:rPr>
        <w:t xml:space="preserve">14 </w:t>
      </w:r>
      <w:r>
        <w:t xml:space="preserve">And they go up to the city. As they were entering into the middle of the city, behold, Samuel came out to meet them, to go up to the high place.</w:t>
      </w:r>
    </w:p>
    <w:p>
      <w:r>
        <w:rPr>
          <w:b/>
        </w:rPr>
        <w:t xml:space="preserve">15 </w:t>
      </w:r>
      <w:r>
        <w:t xml:space="preserve">And the Lord</w:t>
      </w:r>
      <w:r>
        <w:rPr>
          <w:rStyle w:val="FootnoteReference"/>
        </w:rPr>
        <w:footnoteReference w:id="5264"/>
      </w:r>
      <w:r>
        <w:t xml:space="preserve"> had uncovered the ear of Samuel one day before Saul came to him, saying,</w:t>
      </w:r>
    </w:p>
    <w:p>
      <w:r>
        <w:rPr>
          <w:b/>
        </w:rPr>
        <w:t xml:space="preserve">16 </w:t>
      </w:r>
      <w:r>
        <w:t xml:space="preserve">About this time tomorrow I will send to you a man from the land of Benjamin, and you will anoint him as a ruler over my people Israel, and he will save my people from the hand of foreigners, because I have looked upon</w:t>
      </w:r>
      <w:r>
        <w:rPr>
          <w:rStyle w:val="FootnoteReference"/>
        </w:rPr>
        <w:footnoteReference w:id="5265"/>
      </w:r>
      <w:r>
        <w:t xml:space="preserve"> the humiliation of my people, because their cry has come to me.</w:t>
      </w:r>
    </w:p>
    <w:p>
      <w:r>
        <w:rPr>
          <w:b/>
        </w:rPr>
        <w:t xml:space="preserve">17 </w:t>
      </w:r>
      <w:r>
        <w:t xml:space="preserve">And Samuel saw Saul, and the Lord answered him, Behold</w:t>
      </w:r>
      <w:r>
        <w:rPr>
          <w:rStyle w:val="FootnoteReference"/>
        </w:rPr>
        <w:footnoteReference w:id="5266"/>
      </w:r>
      <w:r>
        <w:t xml:space="preserve">, the man of whom I spoke to you; this one will rule among my people.</w:t>
      </w:r>
    </w:p>
    <w:p>
      <w:r>
        <w:rPr>
          <w:b/>
        </w:rPr>
        <w:t xml:space="preserve">18 </w:t>
      </w:r>
      <w:r>
        <w:t xml:space="preserve">And Saul came near to Samuel in the middle of the city and said, Tell me now, where is the house of the seer?</w:t>
      </w:r>
    </w:p>
    <w:p>
      <w:r>
        <w:rPr>
          <w:b/>
        </w:rPr>
        <w:t xml:space="preserve">19 </w:t>
      </w:r>
      <w:r>
        <w:t xml:space="preserve">And Samuel answered Saul and said, I am he. Go up before me to the high place and eat with me today, and I will send you away in the morning, and all the things in your heart I will report to you.</w:t>
      </w:r>
    </w:p>
    <w:p>
      <w:r>
        <w:rPr>
          <w:b/>
        </w:rPr>
        <w:t xml:space="preserve">20 </w:t>
      </w:r>
      <w:r>
        <w:t xml:space="preserve">And concerning your donkeys that were lost three days ago</w:t>
      </w:r>
      <w:r>
        <w:rPr>
          <w:rStyle w:val="FootnoteReference"/>
        </w:rPr>
        <w:footnoteReference w:id="5267"/>
      </w:r>
      <w:r>
        <w:t xml:space="preserve"> today, do not set your heart on them, because they have been found. And for whom are the beautiful things of Israel? Are they not for you and for your father’s house?</w:t>
      </w:r>
    </w:p>
    <w:p>
      <w:r>
        <w:rPr>
          <w:b/>
        </w:rPr>
        <w:t xml:space="preserve">21 </w:t>
      </w:r>
      <w:r>
        <w:t xml:space="preserve">And Saul answered and said, Am I not son of a Benjamite</w:t>
      </w:r>
      <w:r>
        <w:rPr>
          <w:rStyle w:val="FootnoteReference"/>
        </w:rPr>
        <w:footnoteReference w:id="5268"/>
      </w:r>
      <w:r>
        <w:t xml:space="preserve"> man, from the least scepter of a tribe of Israel, and my tribe the least from the whole scepter of Benjamin? And why have you spoken to me according to this word?</w:t>
      </w:r>
    </w:p>
    <w:p>
      <w:r>
        <w:rPr>
          <w:b/>
        </w:rPr>
        <w:t xml:space="preserve">22 </w:t>
      </w:r>
      <w:r>
        <w:t xml:space="preserve">And Samuel took Saul and his young man and brought them into the guest room and set for them a place among the first of those who had been called, about seventy men.</w:t>
      </w:r>
    </w:p>
    <w:p>
      <w:r>
        <w:rPr>
          <w:b/>
        </w:rPr>
        <w:t xml:space="preserve">23 </w:t>
      </w:r>
      <w:r>
        <w:t xml:space="preserve">And Samuel said to the cook, Give me the portion that I gave to you, which I said to you to set beside you.</w:t>
      </w:r>
    </w:p>
    <w:p>
      <w:r>
        <w:rPr>
          <w:b/>
        </w:rPr>
        <w:t xml:space="preserve">24 </w:t>
      </w:r>
      <w:r>
        <w:t xml:space="preserve">And the cook lifted up the haunch and set it before Saul, and Samuel said to Saul, Behold, what has been left over; set it before you and eat, because it has been kept for you for this appointed witness</w:t>
      </w:r>
      <w:r>
        <w:rPr>
          <w:rStyle w:val="FootnoteReference"/>
        </w:rPr>
        <w:footnoteReference w:id="5269"/>
      </w:r>
      <w:r>
        <w:t xml:space="preserve"> beside the others. And Saul ate with Samuel on that day.</w:t>
      </w:r>
    </w:p>
    <w:p>
      <w:r>
        <w:rPr>
          <w:b/>
        </w:rPr>
        <w:t xml:space="preserve">25 </w:t>
      </w:r>
      <w:r>
        <w:t xml:space="preserve">And he came down from the high place into the city, and they spread a bed for Saul on the roof.</w:t>
      </w:r>
    </w:p>
    <w:p>
      <w:r>
        <w:rPr>
          <w:b/>
        </w:rPr>
        <w:t xml:space="preserve">26 </w:t>
      </w:r>
      <w:r>
        <w:t xml:space="preserve">And he slept. And it came to be, as dawn was rising</w:t>
      </w:r>
      <w:r>
        <w:rPr>
          <w:rStyle w:val="FootnoteReference"/>
        </w:rPr>
        <w:footnoteReference w:id="5270"/>
      </w:r>
      <w:r>
        <w:t xml:space="preserve">, Samuel called Saul on the roof, saying, Rise, and I will send you away. And Saul rose, and both he and Samuel went out.</w:t>
      </w:r>
    </w:p>
    <w:p>
      <w:r>
        <w:rPr>
          <w:b/>
        </w:rPr>
        <w:t xml:space="preserve">27 </w:t>
      </w:r>
      <w:r>
        <w:t xml:space="preserve">As they were going down to the outskirts of the city, Samuel said to Saul, Tell the young man, and let him pass on before us. But you stand like today, and hear the word of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Samuel took the flask of oil and poured it on his head and kissed him</w:t>
      </w:r>
      <w:r>
        <w:rPr>
          <w:rStyle w:val="FootnoteReference"/>
        </w:rPr>
        <w:footnoteReference w:id="5271"/>
      </w:r>
      <w:r>
        <w:t xml:space="preserve"> and said to him, Has not the Lord anointed you as a ruler over his people, over Israel? And you will rule among the people of the Lord, and you will save him from the hand of his enemies round about. And this is the sign to you that the Lord has anointed you over his inheritance as a ruler.</w:t>
      </w:r>
    </w:p>
    <w:p>
      <w:r>
        <w:rPr>
          <w:b/>
        </w:rPr>
        <w:t xml:space="preserve">2 </w:t>
      </w:r>
      <w:r>
        <w:t xml:space="preserve">When you depart from me today, you will find two men by the tombs of Rachel in the border of Benjamin, speaking great things</w:t>
      </w:r>
      <w:r>
        <w:rPr>
          <w:rStyle w:val="FootnoteReference"/>
        </w:rPr>
        <w:footnoteReference w:id="5272"/>
      </w:r>
      <w:r>
        <w:t xml:space="preserve">, and they will say to you, The donkeys that you went to seek have been found, and behold, your father has shaken off the matter of the donkeys and is anxious about you, saying, What shall I do concerning my son?</w:t>
      </w:r>
    </w:p>
    <w:p>
      <w:r>
        <w:rPr>
          <w:b/>
        </w:rPr>
        <w:t xml:space="preserve">3 </w:t>
      </w:r>
      <w:r>
        <w:t xml:space="preserve">And you will pass on from there and beyond, and you will come as far as the oak of Tabor</w:t>
      </w:r>
      <w:r>
        <w:rPr>
          <w:rStyle w:val="FootnoteReference"/>
        </w:rPr>
        <w:footnoteReference w:id="5273"/>
      </w:r>
      <w:r>
        <w:t xml:space="preserve">, and you will find there three men going up to God at Bethel, one carrying three kids, one carrying three vessels of breads</w:t>
      </w:r>
      <w:r>
        <w:rPr>
          <w:rStyle w:val="FootnoteReference"/>
        </w:rPr>
        <w:footnoteReference w:id="5274"/>
      </w:r>
      <w:r>
        <w:t xml:space="preserve">, and one carrying a skin of wine.</w:t>
      </w:r>
    </w:p>
    <w:p>
      <w:r>
        <w:rPr>
          <w:b/>
        </w:rPr>
        <w:t xml:space="preserve">4 </w:t>
      </w:r>
      <w:r>
        <w:t xml:space="preserve">And they will ask you the things of peace, and they will give you two firstfruits of breads, and you will take them from their hand.</w:t>
      </w:r>
    </w:p>
    <w:p>
      <w:r>
        <w:rPr>
          <w:b/>
        </w:rPr>
        <w:t xml:space="preserve">5 </w:t>
      </w:r>
      <w:r>
        <w:t xml:space="preserve">And after these things you will enter the hill of God</w:t>
      </w:r>
      <w:r>
        <w:rPr>
          <w:rStyle w:val="FootnoteReference"/>
        </w:rPr>
        <w:footnoteReference w:id="5275"/>
      </w:r>
      <w:r>
        <w:t xml:space="preserve">, where the station of the foreigners is, there at Zuph the foreigner. And it will be when you enter there into the city, you will meet a chorus of prophets</w:t>
      </w:r>
      <w:r>
        <w:rPr>
          <w:rStyle w:val="FootnoteReference"/>
        </w:rPr>
        <w:footnoteReference w:id="5276"/>
      </w:r>
      <w:r>
        <w:t xml:space="preserve"> coming down from the high place, and before them harp and tambourine and flute and lyre, and they prophesying.</w:t>
      </w:r>
    </w:p>
    <w:p>
      <w:r>
        <w:rPr>
          <w:b/>
        </w:rPr>
        <w:t xml:space="preserve">6 </w:t>
      </w:r>
      <w:r>
        <w:t xml:space="preserve">And the Spirit</w:t>
      </w:r>
      <w:r>
        <w:rPr>
          <w:rStyle w:val="FootnoteReference"/>
        </w:rPr>
        <w:footnoteReference w:id="5277"/>
      </w:r>
      <w:r>
        <w:t xml:space="preserve"> of the Lord will rush upon you, and you will prophesy with them, and you will be turned into another man.</w:t>
      </w:r>
    </w:p>
    <w:p>
      <w:r>
        <w:rPr>
          <w:b/>
        </w:rPr>
        <w:t xml:space="preserve">7 </w:t>
      </w:r>
      <w:r>
        <w:t xml:space="preserve">And it will be when these signs</w:t>
      </w:r>
      <w:r>
        <w:rPr>
          <w:rStyle w:val="FootnoteReference"/>
        </w:rPr>
        <w:footnoteReference w:id="5278"/>
      </w:r>
      <w:r>
        <w:t xml:space="preserve"> come upon you, do everything whatever your hand finds, because God is with you.</w:t>
      </w:r>
    </w:p>
    <w:p>
      <w:r>
        <w:rPr>
          <w:b/>
        </w:rPr>
        <w:t xml:space="preserve">8 </w:t>
      </w:r>
      <w:r>
        <w:t xml:space="preserve">And you will go down before me to Gilgal</w:t>
      </w:r>
      <w:r>
        <w:rPr>
          <w:rStyle w:val="FootnoteReference"/>
        </w:rPr>
        <w:footnoteReference w:id="5279"/>
      </w:r>
      <w:r>
        <w:t xml:space="preserve">, and behold, I am coming down to you to offer up whole burnt offerings and sacrifices of peace. Seven days you will wait</w:t>
      </w:r>
      <w:r>
        <w:rPr>
          <w:rStyle w:val="FootnoteReference"/>
        </w:rPr>
        <w:footnoteReference w:id="5280"/>
      </w:r>
      <w:r>
        <w:t xml:space="preserve"> until my coming to you, and I will make known to you what you shall do.</w:t>
      </w:r>
    </w:p>
    <w:p>
      <w:r>
        <w:rPr>
          <w:b/>
        </w:rPr>
        <w:t xml:space="preserve">9 </w:t>
      </w:r>
      <w:r>
        <w:t xml:space="preserve">And it came to be when he turned his shoulder to depart from Samuel, God turned for him another heart</w:t>
      </w:r>
      <w:r>
        <w:rPr>
          <w:rStyle w:val="FootnoteReference"/>
        </w:rPr>
        <w:footnoteReference w:id="5281"/>
      </w:r>
      <w:r>
        <w:t xml:space="preserve">, and all these signs came on that day.</w:t>
      </w:r>
    </w:p>
    <w:p>
      <w:r>
        <w:rPr>
          <w:b/>
        </w:rPr>
        <w:t xml:space="preserve">10 </w:t>
      </w:r>
      <w:r>
        <w:t xml:space="preserve">And he comes from there to the hill, and behold, a chorus of prophets came opposite him, and the Spirit of God leapt upon him, and he prophesied in their midst.</w:t>
      </w:r>
    </w:p>
    <w:p>
      <w:r>
        <w:rPr>
          <w:b/>
        </w:rPr>
        <w:t xml:space="preserve">11 </w:t>
      </w:r>
      <w:r>
        <w:t xml:space="preserve">And it came to be, all who knew him yesterday and the third day</w:t>
      </w:r>
      <w:r>
        <w:rPr>
          <w:rStyle w:val="FootnoteReference"/>
        </w:rPr>
        <w:footnoteReference w:id="5282"/>
      </w:r>
      <w:r>
        <w:t xml:space="preserve"> saw, and behold, he was in the midst of the prophets, and each person said to his neighbor, What is this</w:t>
      </w:r>
      <w:r>
        <w:rPr>
          <w:rStyle w:val="FootnoteReference"/>
        </w:rPr>
        <w:footnoteReference w:id="5283"/>
      </w:r>
      <w:r>
        <w:t xml:space="preserve"> that has happened to the son of Kish? Is Saul also among prophets?</w:t>
      </w:r>
    </w:p>
    <w:p>
      <w:r>
        <w:rPr>
          <w:b/>
        </w:rPr>
        <w:t xml:space="preserve">12 </w:t>
      </w:r>
      <w:r>
        <w:t xml:space="preserve">And one of them answered and said, And who is his father? Because of this it became a proverb, Is Saul also among prophets?</w:t>
      </w:r>
    </w:p>
    <w:p>
      <w:r>
        <w:rPr>
          <w:b/>
        </w:rPr>
        <w:t xml:space="preserve">13 </w:t>
      </w:r>
      <w:r>
        <w:t xml:space="preserve">And he finished prophesying and comes to the hill.</w:t>
      </w:r>
    </w:p>
    <w:p>
      <w:r>
        <w:rPr>
          <w:b/>
        </w:rPr>
        <w:t xml:space="preserve">14 </w:t>
      </w:r>
      <w:r>
        <w:t xml:space="preserve">And his kinsman said to him and to his young man, Where did you go? And they said, To seek the donkeys, and we saw that they are not there, and we entered to Samuel.</w:t>
      </w:r>
    </w:p>
    <w:p>
      <w:r>
        <w:rPr>
          <w:b/>
        </w:rPr>
        <w:t xml:space="preserve">15 </w:t>
      </w:r>
      <w:r>
        <w:t xml:space="preserve">And the kinsman said to Saul, Tell me now, what did Samuel say to you?</w:t>
      </w:r>
    </w:p>
    <w:p>
      <w:r>
        <w:rPr>
          <w:b/>
        </w:rPr>
        <w:t xml:space="preserve">16 </w:t>
      </w:r>
      <w:r>
        <w:t xml:space="preserve">And Saul said to his kinsman, He plainly told me that the donkeys have been found. But the word of the kingship he did not tell him.</w:t>
      </w:r>
    </w:p>
    <w:p>
      <w:r>
        <w:rPr>
          <w:b/>
        </w:rPr>
        <w:t xml:space="preserve">17 </w:t>
      </w:r>
      <w:r>
        <w:t xml:space="preserve">And Samuel summoned all the people to the Lord at Mizpah,</w:t>
      </w:r>
    </w:p>
    <w:p>
      <w:r>
        <w:rPr>
          <w:b/>
        </w:rPr>
        <w:t xml:space="preserve">18 </w:t>
      </w:r>
      <w:r>
        <w:t xml:space="preserve">and he said to the sons of Israel</w:t>
      </w:r>
      <w:r>
        <w:rPr>
          <w:rStyle w:val="FootnoteReference"/>
        </w:rPr>
        <w:footnoteReference w:id="5284"/>
      </w:r>
      <w:r>
        <w:t xml:space="preserve">, Thus says the Lord God of Israel, saying, I brought up the sons of Israel from Egypt, and I delivered you from the hand of Pharaoh king of Egypt and from all the kingdoms afflicting you.</w:t>
      </w:r>
    </w:p>
    <w:p>
      <w:r>
        <w:rPr>
          <w:b/>
        </w:rPr>
        <w:t xml:space="preserve">19 </w:t>
      </w:r>
      <w:r>
        <w:t xml:space="preserve">And you today have counted as nothing your God, who himself is your savior from all your evils and afflictions, and you said, No, but you will appoint a king over us. And now stand before the Lord by your scepters</w:t>
      </w:r>
      <w:r>
        <w:rPr>
          <w:rStyle w:val="FootnoteReference"/>
        </w:rPr>
        <w:footnoteReference w:id="5285"/>
      </w:r>
      <w:r>
        <w:t xml:space="preserve"> and by your tribes</w:t>
      </w:r>
      <w:r>
        <w:rPr>
          <w:rStyle w:val="FootnoteReference"/>
        </w:rPr>
        <w:footnoteReference w:id="5286"/>
      </w:r>
      <w:r>
        <w:t xml:space="preserve">.</w:t>
      </w:r>
    </w:p>
    <w:p>
      <w:r>
        <w:rPr>
          <w:b/>
        </w:rPr>
        <w:t xml:space="preserve">20 </w:t>
      </w:r>
      <w:r>
        <w:t xml:space="preserve">And Samuel brought near all the scepters of Israel, and the scepter of Benjamin was taken by lot.</w:t>
      </w:r>
    </w:p>
    <w:p>
      <w:r>
        <w:rPr>
          <w:b/>
        </w:rPr>
        <w:t xml:space="preserve">21 </w:t>
      </w:r>
      <w:r>
        <w:t xml:space="preserve">And he brings near the scepter of Benjamin by tribes, and the tribe of Matrites</w:t>
      </w:r>
      <w:r>
        <w:rPr>
          <w:rStyle w:val="FootnoteReference"/>
        </w:rPr>
        <w:footnoteReference w:id="5287"/>
      </w:r>
      <w:r>
        <w:t xml:space="preserve"> is taken by lot. And they bring near the tribe of Matrites by men, and Saul son of Kish was taken by lot. And they sought him, and he was not found.</w:t>
      </w:r>
    </w:p>
    <w:p>
      <w:r>
        <w:rPr>
          <w:b/>
        </w:rPr>
        <w:t xml:space="preserve">22 </w:t>
      </w:r>
      <w:r>
        <w:t xml:space="preserve">And Samuel inquired</w:t>
      </w:r>
      <w:r>
        <w:rPr>
          <w:rStyle w:val="FootnoteReference"/>
        </w:rPr>
        <w:footnoteReference w:id="5288"/>
      </w:r>
      <w:r>
        <w:t xml:space="preserve"> yet again of the Lord whether the man comes here. And the Lord said, Behold, he is hidden among the baggage.</w:t>
      </w:r>
    </w:p>
    <w:p>
      <w:r>
        <w:rPr>
          <w:b/>
        </w:rPr>
        <w:t xml:space="preserve">23 </w:t>
      </w:r>
      <w:r>
        <w:t xml:space="preserve">And they ran and take him from there, and he stood in the midst of the people, and he was taller than all the people from the shoulder and upward.</w:t>
      </w:r>
    </w:p>
    <w:p>
      <w:r>
        <w:rPr>
          <w:b/>
        </w:rPr>
        <w:t xml:space="preserve">24 </w:t>
      </w:r>
      <w:r>
        <w:t xml:space="preserve">And Samuel said to all the people, Have you seen whom the Lord has chosen for himself, that there is none like him among all of you? And all the people knew and said, Long live the king.</w:t>
      </w:r>
    </w:p>
    <w:p>
      <w:r>
        <w:rPr>
          <w:b/>
        </w:rPr>
        <w:t xml:space="preserve">25 </w:t>
      </w:r>
      <w:r>
        <w:t xml:space="preserve">And Samuel told the people the righteous judgment of the king, and he wrote it in a scroll and set it before the Lord. And Samuel sent away all the people, and each went to his place.</w:t>
      </w:r>
    </w:p>
    <w:p>
      <w:r>
        <w:rPr>
          <w:b/>
        </w:rPr>
        <w:t xml:space="preserve">26 </w:t>
      </w:r>
      <w:r>
        <w:t xml:space="preserve">And Saul went to his house at Gibeah</w:t>
      </w:r>
      <w:r>
        <w:rPr>
          <w:rStyle w:val="FootnoteReference"/>
        </w:rPr>
        <w:footnoteReference w:id="5289"/>
      </w:r>
      <w:r>
        <w:t xml:space="preserve">, and sons of powers whose hearts God had touched went with Saul.</w:t>
      </w:r>
    </w:p>
    <w:p>
      <w:r>
        <w:rPr>
          <w:b/>
        </w:rPr>
        <w:t xml:space="preserve">27 </w:t>
      </w:r>
      <w:r>
        <w:t xml:space="preserve">And pestilent sons said, How will this one save us? And they dishonored him and did not bring him gifts.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it came to be as after a month, Nahash</w:t>
      </w:r>
      <w:r>
        <w:rPr>
          <w:rStyle w:val="FootnoteReference"/>
        </w:rPr>
        <w:footnoteReference w:id="5290"/>
      </w:r>
      <w:r>
        <w:t xml:space="preserve"> the Ammonite went up and camped against Jabesh Gilead, and all the men of Jabesh said to Nahash the Ammonite, Make a covenant with us, and we will serve you.</w:t>
      </w:r>
      <w:r>
        <w:rPr>
          <w:rStyle w:val="FootnoteReference"/>
        </w:rPr>
        <w:footnoteReference w:id="5291"/>
      </w:r>
    </w:p>
    <w:p>
      <w:r>
        <w:rPr>
          <w:b/>
        </w:rPr>
        <w:t xml:space="preserve">2 </w:t>
      </w:r>
      <w:r>
        <w:t xml:space="preserve">And Nahash the Ammonite said to them, On this</w:t>
      </w:r>
      <w:r>
        <w:rPr>
          <w:rStyle w:val="FootnoteReference"/>
        </w:rPr>
        <w:footnoteReference w:id="5292"/>
      </w:r>
      <w:r>
        <w:t xml:space="preserve"> condition I will make a covenant with you: that I gouge out every right eye of yours, and I will set reproach on Israel.</w:t>
      </w:r>
    </w:p>
    <w:p>
      <w:r>
        <w:rPr>
          <w:b/>
        </w:rPr>
        <w:t xml:space="preserve">3 </w:t>
      </w:r>
      <w:r>
        <w:t xml:space="preserve">And the men of Jabesh say to him, Leave us for seven days, and we will send messengers into every border of Israel. And if there is no one saving us, we will come out to you.</w:t>
      </w:r>
    </w:p>
    <w:p>
      <w:r>
        <w:rPr>
          <w:b/>
        </w:rPr>
        <w:t xml:space="preserve">4 </w:t>
      </w:r>
      <w:r>
        <w:t xml:space="preserve">And the messengers come to Gibeah</w:t>
      </w:r>
      <w:r>
        <w:rPr>
          <w:rStyle w:val="FootnoteReference"/>
        </w:rPr>
        <w:footnoteReference w:id="5293"/>
      </w:r>
      <w:r>
        <w:t xml:space="preserve"> to Saul and speak the words into the ears of the people, and all the people lifted up their voice and wept.</w:t>
      </w:r>
    </w:p>
    <w:p>
      <w:r>
        <w:rPr>
          <w:b/>
        </w:rPr>
        <w:t xml:space="preserve">5 </w:t>
      </w:r>
      <w:r>
        <w:t xml:space="preserve">And behold, Saul came after the morning from the field, and Saul said, Why is the people weeping? And they recount to him the words of the sons of Jabesh.</w:t>
      </w:r>
    </w:p>
    <w:p>
      <w:r>
        <w:rPr>
          <w:b/>
        </w:rPr>
        <w:t xml:space="preserve">6 </w:t>
      </w:r>
      <w:r>
        <w:t xml:space="preserve">And the Spirit of the Lord leapt upon Saul as he heard these words, and his anger</w:t>
      </w:r>
      <w:r>
        <w:rPr>
          <w:rStyle w:val="FootnoteReference"/>
        </w:rPr>
        <w:footnoteReference w:id="5294"/>
      </w:r>
      <w:r>
        <w:t xml:space="preserve"> was greatly kindled against them.</w:t>
      </w:r>
    </w:p>
    <w:p>
      <w:r>
        <w:rPr>
          <w:b/>
        </w:rPr>
        <w:t xml:space="preserve">7 </w:t>
      </w:r>
      <w:r>
        <w:t xml:space="preserve">And he took</w:t>
      </w:r>
      <w:r>
        <w:rPr>
          <w:rStyle w:val="FootnoteReference"/>
        </w:rPr>
        <w:footnoteReference w:id="5295"/>
      </w:r>
      <w:r>
        <w:t xml:space="preserve"> two oxen and cut them in pieces and sent them through every border of Israel by the hand of messengers, saying, Whoever is not coming out after Saul and after Samuel, thus they will do to his oxen. And the astonishment of the Lord came upon the people of Israel, and they cried out like one man.</w:t>
      </w:r>
    </w:p>
    <w:p>
      <w:r>
        <w:rPr>
          <w:b/>
        </w:rPr>
        <w:t xml:space="preserve">8 </w:t>
      </w:r>
      <w:r>
        <w:t xml:space="preserve">And he musters them at Bezek</w:t>
      </w:r>
      <w:r>
        <w:rPr>
          <w:rStyle w:val="FootnoteReference"/>
        </w:rPr>
        <w:footnoteReference w:id="5296"/>
      </w:r>
      <w:r>
        <w:t xml:space="preserve"> on the high place, every man of Israel six hundred thousand, and men of Judah seventy thousand.</w:t>
      </w:r>
    </w:p>
    <w:p>
      <w:r>
        <w:rPr>
          <w:b/>
        </w:rPr>
        <w:t xml:space="preserve">9 </w:t>
      </w:r>
      <w:r>
        <w:t xml:space="preserve">And he said to the messengers who came, Thus you will say to the men of Jabesh, Tomorrow salvation is for you</w:t>
      </w:r>
      <w:r>
        <w:rPr>
          <w:rStyle w:val="FootnoteReference"/>
        </w:rPr>
        <w:footnoteReference w:id="5297"/>
      </w:r>
      <w:r>
        <w:t xml:space="preserve">, when the sun grows warm. And the messengers came into the city and report to the men of Jabesh, and they rejoiced.</w:t>
      </w:r>
    </w:p>
    <w:p>
      <w:r>
        <w:rPr>
          <w:b/>
        </w:rPr>
        <w:t xml:space="preserve">10 </w:t>
      </w:r>
      <w:r>
        <w:t xml:space="preserve">And the men of Jabesh said to Nahash the Ammonite, Tomorrow we will come out to you, and you may do to us what is good in your sight.</w:t>
      </w:r>
    </w:p>
    <w:p>
      <w:r>
        <w:rPr>
          <w:b/>
        </w:rPr>
        <w:t xml:space="preserve">11 </w:t>
      </w:r>
      <w:r>
        <w:t xml:space="preserve">And it came to be on the next day that Saul set the people in three heads</w:t>
      </w:r>
      <w:r>
        <w:rPr>
          <w:rStyle w:val="FootnoteReference"/>
        </w:rPr>
        <w:footnoteReference w:id="5298"/>
      </w:r>
      <w:r>
        <w:t xml:space="preserve">, and they entered the middle of the camp in the morning watch and were striking the sons of Ammon until the day grew warm. And the ones left were scattered, and not two among them were left together.</w:t>
      </w:r>
      <w:r>
        <w:rPr>
          <w:rStyle w:val="FootnoteReference"/>
        </w:rPr>
        <w:footnoteReference w:id="5299"/>
      </w:r>
    </w:p>
    <w:p>
      <w:r>
        <w:rPr>
          <w:b/>
        </w:rPr>
        <w:t xml:space="preserve">12 </w:t>
      </w:r>
      <w:r>
        <w:t xml:space="preserve">And the people said to Samuel, Who is the one who said, Shall Saul not reign over us? Hand over the men, and we will put them to death.</w:t>
      </w:r>
    </w:p>
    <w:p>
      <w:r>
        <w:rPr>
          <w:b/>
        </w:rPr>
        <w:t xml:space="preserve">13 </w:t>
      </w:r>
      <w:r>
        <w:t xml:space="preserve">And Saul said, No one will be put to death on this day, because today the Lord has worked salvation in Israel</w:t>
      </w:r>
      <w:r>
        <w:rPr>
          <w:rStyle w:val="FootnoteReference"/>
        </w:rPr>
        <w:footnoteReference w:id="5300"/>
      </w:r>
      <w:r>
        <w:t xml:space="preserve">.</w:t>
      </w:r>
      <w:r>
        <w:rPr>
          <w:rStyle w:val="FootnoteReference"/>
        </w:rPr>
        <w:footnoteReference w:id="5301"/>
      </w:r>
    </w:p>
    <w:p>
      <w:r>
        <w:rPr>
          <w:b/>
        </w:rPr>
        <w:t xml:space="preserve">14 </w:t>
      </w:r>
      <w:r>
        <w:t xml:space="preserve">And Samuel said to the people, saying, Let us go</w:t>
      </w:r>
      <w:r>
        <w:rPr>
          <w:rStyle w:val="FootnoteReference"/>
        </w:rPr>
        <w:footnoteReference w:id="5302"/>
      </w:r>
      <w:r>
        <w:t xml:space="preserve"> to Gilgal, and let us renew the kingship there.</w:t>
      </w:r>
    </w:p>
    <w:p>
      <w:r>
        <w:rPr>
          <w:b/>
        </w:rPr>
        <w:t xml:space="preserve">15 </w:t>
      </w:r>
      <w:r>
        <w:t xml:space="preserve">And all the people went to Gilgal, and Samuel anointed Saul there as king before the Lord</w:t>
      </w:r>
      <w:r>
        <w:rPr>
          <w:rStyle w:val="FootnoteReference"/>
        </w:rPr>
        <w:footnoteReference w:id="5303"/>
      </w:r>
      <w:r>
        <w:t xml:space="preserve"> in Gilgal, and he sacrificed there sacrifices, even peaceful ones</w:t>
      </w:r>
      <w:r>
        <w:rPr>
          <w:rStyle w:val="FootnoteReference"/>
        </w:rPr>
        <w:footnoteReference w:id="5304"/>
      </w:r>
      <w:r>
        <w:t xml:space="preserve">, before the Lord. And Samuel and all Israel rejoiced there very greatly.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Samuel said to every man of Israel, Behold</w:t>
      </w:r>
      <w:r>
        <w:rPr>
          <w:rStyle w:val="FootnoteReference"/>
        </w:rPr>
        <w:footnoteReference w:id="5305"/>
      </w:r>
      <w:r>
        <w:t xml:space="preserve">, I have listened to your voice in everything whatever you said to me, and I made a king reign over you.</w:t>
      </w:r>
    </w:p>
    <w:p>
      <w:r>
        <w:rPr>
          <w:b/>
        </w:rPr>
        <w:t xml:space="preserve">2 </w:t>
      </w:r>
      <w:r>
        <w:t xml:space="preserve">And now behold, the king goes before you, and I have grown old and will sit, and behold, my sons</w:t>
      </w:r>
      <w:r>
        <w:rPr>
          <w:rStyle w:val="FootnoteReference"/>
        </w:rPr>
        <w:footnoteReference w:id="5306"/>
      </w:r>
      <w:r>
        <w:t xml:space="preserve"> are among you, and behold, I have gone before you from my youth until this day.</w:t>
      </w:r>
    </w:p>
    <w:p>
      <w:r>
        <w:rPr>
          <w:b/>
        </w:rPr>
        <w:t xml:space="preserve">3 </w:t>
      </w:r>
      <w:r>
        <w:t xml:space="preserve">Behold me. Answer against me before the Lord and before his anointed</w:t>
      </w:r>
      <w:r>
        <w:rPr>
          <w:rStyle w:val="FootnoteReference"/>
        </w:rPr>
        <w:footnoteReference w:id="5307"/>
      </w:r>
      <w:r>
        <w:t xml:space="preserve">. Whose calf have I taken, or whose donkey have I taken, or whom of you have I oppressed, or whom have I crushed, or from whose hand have I taken a propitiation, even sandals? Answer against me, and I will restore it to you.</w:t>
      </w:r>
    </w:p>
    <w:p>
      <w:r>
        <w:rPr>
          <w:b/>
        </w:rPr>
        <w:t xml:space="preserve">4 </w:t>
      </w:r>
      <w:r>
        <w:t xml:space="preserve">And they said to Samuel, You have not wronged us, and you have not oppressed us, and you have not crushed us, and you have not taken anything from the hand of anyone.</w:t>
      </w:r>
    </w:p>
    <w:p>
      <w:r>
        <w:rPr>
          <w:b/>
        </w:rPr>
        <w:t xml:space="preserve">5 </w:t>
      </w:r>
      <w:r>
        <w:t xml:space="preserve">And Samuel said to the people, The Lord</w:t>
      </w:r>
      <w:r>
        <w:rPr>
          <w:rStyle w:val="FootnoteReference"/>
        </w:rPr>
        <w:footnoteReference w:id="5308"/>
      </w:r>
      <w:r>
        <w:t xml:space="preserve"> is witness among you, and his anointed is witness today in this day, that you have not found anything in my hand. And they said, Witness.</w:t>
      </w:r>
    </w:p>
    <w:p>
      <w:r>
        <w:rPr>
          <w:b/>
        </w:rPr>
        <w:t xml:space="preserve">6 </w:t>
      </w:r>
      <w:r>
        <w:t xml:space="preserve">And Samuel said to the people, saying, The Lord is witness, the one who made Moses and Aaron, the one who brought our fathers up from Egypt.</w:t>
      </w:r>
    </w:p>
    <w:p>
      <w:r>
        <w:rPr>
          <w:b/>
        </w:rPr>
        <w:t xml:space="preserve">7 </w:t>
      </w:r>
      <w:r>
        <w:t xml:space="preserve">And now stand, and I will judge you before the Lord, and I will recount to you all the righteousness of the Lord, what things he did among you and among your fathers.</w:t>
      </w:r>
    </w:p>
    <w:p>
      <w:r>
        <w:rPr>
          <w:b/>
        </w:rPr>
        <w:t xml:space="preserve">8 </w:t>
      </w:r>
      <w:r>
        <w:t xml:space="preserve">When Jacob</w:t>
      </w:r>
      <w:r>
        <w:rPr>
          <w:rStyle w:val="FootnoteReference"/>
        </w:rPr>
        <w:footnoteReference w:id="5309"/>
      </w:r>
      <w:r>
        <w:t xml:space="preserve"> and his sons entered into Egypt, and Egypt humbled them, our fathers cried out to the Lord</w:t>
      </w:r>
      <w:r>
        <w:rPr>
          <w:rStyle w:val="FootnoteReference"/>
        </w:rPr>
        <w:footnoteReference w:id="5310"/>
      </w:r>
      <w:r>
        <w:t xml:space="preserve">, and the Lord sent Moses and Aaron and brought our fathers out of Egypt and settled them in this place.</w:t>
      </w:r>
    </w:p>
    <w:p>
      <w:r>
        <w:rPr>
          <w:b/>
        </w:rPr>
        <w:t xml:space="preserve">9 </w:t>
      </w:r>
      <w:r>
        <w:t xml:space="preserve">And they forgot the Lord their God, and he sold</w:t>
      </w:r>
      <w:r>
        <w:rPr>
          <w:rStyle w:val="FootnoteReference"/>
        </w:rPr>
        <w:footnoteReference w:id="5311"/>
      </w:r>
      <w:r>
        <w:t xml:space="preserve"> them into the hands of Sisera, commander of the army of Iabin king of Hazor, and into the hands of foreigners, and into the hands of the king of Moab, and they fought against them.</w:t>
      </w:r>
      <w:r>
        <w:rPr>
          <w:rStyle w:val="FootnoteReference"/>
        </w:rPr>
        <w:footnoteReference w:id="5312"/>
      </w:r>
    </w:p>
    <w:p>
      <w:r>
        <w:rPr>
          <w:b/>
        </w:rPr>
        <w:t xml:space="preserve">10 </w:t>
      </w:r>
      <w:r>
        <w:t xml:space="preserve">And they cried out to the Lord and said, We have sinned, because we abandoned the Lord and served the Baals and the groves, and now deliver</w:t>
      </w:r>
      <w:r>
        <w:rPr>
          <w:rStyle w:val="FootnoteReference"/>
        </w:rPr>
        <w:footnoteReference w:id="5313"/>
      </w:r>
      <w:r>
        <w:t xml:space="preserve"> us from the hand of our enemies, and we will serve you.</w:t>
      </w:r>
    </w:p>
    <w:p>
      <w:r>
        <w:rPr>
          <w:b/>
        </w:rPr>
        <w:t xml:space="preserve">11 </w:t>
      </w:r>
      <w:r>
        <w:t xml:space="preserve">And the Lord sent Jerubbaal</w:t>
      </w:r>
      <w:r>
        <w:rPr>
          <w:rStyle w:val="FootnoteReference"/>
        </w:rPr>
        <w:footnoteReference w:id="5314"/>
      </w:r>
      <w:r>
        <w:t xml:space="preserve"> and Barak and Jephthah and Samuel, and he delivered you from the hand of your enemies round about, and you lived trusting.</w:t>
      </w:r>
    </w:p>
    <w:p>
      <w:r>
        <w:rPr>
          <w:b/>
        </w:rPr>
        <w:t xml:space="preserve">12 </w:t>
      </w:r>
      <w:r>
        <w:t xml:space="preserve">And you saw that Nahash</w:t>
      </w:r>
      <w:r>
        <w:rPr>
          <w:rStyle w:val="FootnoteReference"/>
        </w:rPr>
        <w:footnoteReference w:id="5315"/>
      </w:r>
      <w:r>
        <w:t xml:space="preserve"> king of the sons of Ammon came against you, and you said, No, but a king will reign over us, though the Lord your God is your king.</w:t>
      </w:r>
    </w:p>
    <w:p>
      <w:r>
        <w:rPr>
          <w:b/>
        </w:rPr>
        <w:t xml:space="preserve">13 </w:t>
      </w:r>
      <w:r>
        <w:t xml:space="preserve">And now behold</w:t>
      </w:r>
      <w:r>
        <w:rPr>
          <w:rStyle w:val="FootnoteReference"/>
        </w:rPr>
        <w:footnoteReference w:id="5316"/>
      </w:r>
      <w:r>
        <w:t xml:space="preserve"> the king whom you chose, and behold, the Lord has given a king over you.</w:t>
      </w:r>
    </w:p>
    <w:p>
      <w:r>
        <w:rPr>
          <w:b/>
        </w:rPr>
        <w:t xml:space="preserve">14 </w:t>
      </w:r>
      <w:r>
        <w:t xml:space="preserve">If you fear the Lord and serve him and hear his voice and do not rebel against the mouth of the Lord, then both you and the king who reigns over you will be going after the Lord.</w:t>
      </w:r>
    </w:p>
    <w:p>
      <w:r>
        <w:rPr>
          <w:b/>
        </w:rPr>
        <w:t xml:space="preserve">15 </w:t>
      </w:r>
      <w:r>
        <w:t xml:space="preserve">But if you do not hear the voice of the Lord and you rebel against</w:t>
      </w:r>
      <w:r>
        <w:rPr>
          <w:rStyle w:val="FootnoteReference"/>
        </w:rPr>
        <w:footnoteReference w:id="5317"/>
      </w:r>
      <w:r>
        <w:t xml:space="preserve"> the mouth of the Lord, then the hand of the Lord will be upon you and upon your king.</w:t>
      </w:r>
    </w:p>
    <w:p>
      <w:r>
        <w:rPr>
          <w:b/>
        </w:rPr>
        <w:t xml:space="preserve">16 </w:t>
      </w:r>
      <w:r>
        <w:t xml:space="preserve">And now stand</w:t>
      </w:r>
      <w:r>
        <w:rPr>
          <w:rStyle w:val="FootnoteReference"/>
        </w:rPr>
        <w:footnoteReference w:id="5318"/>
      </w:r>
      <w:r>
        <w:t xml:space="preserve"> and see this great thing, which the Lord will do before your eyes.</w:t>
      </w:r>
    </w:p>
    <w:p>
      <w:r>
        <w:rPr>
          <w:b/>
        </w:rPr>
        <w:t xml:space="preserve">17 </w:t>
      </w:r>
      <w:r>
        <w:t xml:space="preserve">Is it</w:t>
      </w:r>
      <w:r>
        <w:rPr>
          <w:rStyle w:val="FootnoteReference"/>
        </w:rPr>
        <w:footnoteReference w:id="5319"/>
      </w:r>
      <w:r>
        <w:t xml:space="preserve"> not wheat harvest today? I will call upon the Lord, and he will give voices and rain</w:t>
      </w:r>
      <w:r>
        <w:rPr>
          <w:rStyle w:val="FootnoteReference"/>
        </w:rPr>
        <w:footnoteReference w:id="5320"/>
      </w:r>
      <w:r>
        <w:t xml:space="preserve">, and know and see that your evil is great, which you did before the Lord, asking a king for yourselves.</w:t>
      </w:r>
    </w:p>
    <w:p>
      <w:r>
        <w:rPr>
          <w:b/>
        </w:rPr>
        <w:t xml:space="preserve">18 </w:t>
      </w:r>
      <w:r>
        <w:t xml:space="preserve">And Samuel called upon the Lord, and the Lord gave voices and rain on that day, and all the people greatly feared</w:t>
      </w:r>
      <w:r>
        <w:rPr>
          <w:rStyle w:val="FootnoteReference"/>
        </w:rPr>
        <w:footnoteReference w:id="5321"/>
      </w:r>
      <w:r>
        <w:t xml:space="preserve"> the Lord and Samuel.</w:t>
      </w:r>
    </w:p>
    <w:p>
      <w:r>
        <w:rPr>
          <w:b/>
        </w:rPr>
        <w:t xml:space="preserve">19 </w:t>
      </w:r>
      <w:r>
        <w:t xml:space="preserve">And all the people said to Samuel, Pray concerning your servants to the Lord your God, and let us not die, because we have added to all our sins this evil, asking a king for ourselves.</w:t>
      </w:r>
    </w:p>
    <w:p>
      <w:r>
        <w:rPr>
          <w:b/>
        </w:rPr>
        <w:t xml:space="preserve">20 </w:t>
      </w:r>
      <w:r>
        <w:t xml:space="preserve">And Samuel said to the people, Do not fear. You have done all this evil; only do not turn aside from behind the Lord, and serve the Lord with your whole heart.</w:t>
      </w:r>
    </w:p>
    <w:p>
      <w:r>
        <w:rPr>
          <w:b/>
        </w:rPr>
        <w:t xml:space="preserve">21 </w:t>
      </w:r>
      <w:r>
        <w:t xml:space="preserve">And do not turn aside after the things that are not, which will accomplish nothing and will not deliver, because they are nothing.</w:t>
      </w:r>
    </w:p>
    <w:p>
      <w:r>
        <w:rPr>
          <w:b/>
        </w:rPr>
        <w:t xml:space="preserve">22 </w:t>
      </w:r>
      <w:r>
        <w:t xml:space="preserve">Because the Lord</w:t>
      </w:r>
      <w:r>
        <w:rPr>
          <w:rStyle w:val="FootnoteReference"/>
        </w:rPr>
        <w:footnoteReference w:id="5322"/>
      </w:r>
      <w:r>
        <w:t xml:space="preserve"> will not thrust away his people, on account of his great name, because the Lord was pleased to take you to himself for a people.</w:t>
      </w:r>
    </w:p>
    <w:p>
      <w:r>
        <w:rPr>
          <w:b/>
        </w:rPr>
        <w:t xml:space="preserve">23 </w:t>
      </w:r>
      <w:r>
        <w:t xml:space="preserve">And as for me, far be it from me to sin against the Lord by ceasing to pray concerning you, and I will serve the Lord and show you the good</w:t>
      </w:r>
      <w:r>
        <w:rPr>
          <w:rStyle w:val="FootnoteReference"/>
        </w:rPr>
        <w:footnoteReference w:id="5323"/>
      </w:r>
      <w:r>
        <w:t xml:space="preserve"> and straight way.</w:t>
      </w:r>
    </w:p>
    <w:p>
      <w:r>
        <w:rPr>
          <w:b/>
        </w:rPr>
        <w:t xml:space="preserve">24 </w:t>
      </w:r>
      <w:r>
        <w:t xml:space="preserve">Only fear the Lord</w:t>
      </w:r>
      <w:r>
        <w:rPr>
          <w:rStyle w:val="FootnoteReference"/>
        </w:rPr>
        <w:footnoteReference w:id="5324"/>
      </w:r>
      <w:r>
        <w:t xml:space="preserve"> and serve him in truth and with your whole heart, because you have seen what things he magnified with you.</w:t>
      </w:r>
    </w:p>
    <w:p>
      <w:r>
        <w:rPr>
          <w:b/>
        </w:rPr>
        <w:t xml:space="preserve">25 </w:t>
      </w:r>
      <w:r>
        <w:t xml:space="preserve">But if</w:t>
      </w:r>
      <w:r>
        <w:rPr>
          <w:rStyle w:val="FootnoteReference"/>
        </w:rPr>
        <w:footnoteReference w:id="5325"/>
      </w:r>
      <w:r>
        <w:t xml:space="preserve"> you do evil in doing evil, both you and your king will be swept away.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2 </w:t>
      </w:r>
      <w:r>
        <w:t xml:space="preserve">And Saul chose</w:t>
      </w:r>
      <w:r>
        <w:rPr>
          <w:rStyle w:val="FootnoteReference"/>
        </w:rPr>
        <w:footnoteReference w:id="5326"/>
      </w:r>
      <w:r>
        <w:t xml:space="preserve"> for himself three thousand men from the men of Israel, and two thousand were with Saul in Michmash</w:t>
      </w:r>
      <w:r>
        <w:rPr>
          <w:rStyle w:val="FootnoteReference"/>
        </w:rPr>
        <w:footnoteReference w:id="5327"/>
      </w:r>
      <w:r>
        <w:t xml:space="preserve"> and on the hill of Bethel, and one thousand were with Jonathan</w:t>
      </w:r>
      <w:r>
        <w:rPr>
          <w:rStyle w:val="FootnoteReference"/>
        </w:rPr>
        <w:footnoteReference w:id="5328"/>
      </w:r>
      <w:r>
        <w:t xml:space="preserve"> in Gibeah of Benjamin, and the rest of the people he sent away, each to his tent.</w:t>
      </w:r>
    </w:p>
    <w:p>
      <w:r>
        <w:rPr>
          <w:b/>
        </w:rPr>
        <w:t xml:space="preserve">3 </w:t>
      </w:r>
      <w:r>
        <w:t xml:space="preserve">And Jonathan struck the foreign garrison on the hill, and the foreigners heard, and Saul blew</w:t>
      </w:r>
      <w:r>
        <w:rPr>
          <w:rStyle w:val="FootnoteReference"/>
        </w:rPr>
        <w:footnoteReference w:id="5329"/>
      </w:r>
      <w:r>
        <w:t xml:space="preserve"> the trumpet through all the land, saying, The slaves have revolted.</w:t>
      </w:r>
    </w:p>
    <w:p>
      <w:r>
        <w:rPr>
          <w:b/>
        </w:rPr>
        <w:t xml:space="preserve">4 </w:t>
      </w:r>
      <w:r>
        <w:t xml:space="preserve">And all Israel heard those saying, Saul has struck the foreign garrison, and Israel has become odious among the foreigners. And the people cried out after Saul in Gilgal.</w:t>
      </w:r>
    </w:p>
    <w:p>
      <w:r>
        <w:rPr>
          <w:b/>
        </w:rPr>
        <w:t xml:space="preserve">5 </w:t>
      </w:r>
      <w:r>
        <w:t xml:space="preserve">And the foreigners gather for war against Israel, and they come up against Israel with thirty thousand chariots and six thousand horsemen and people like the sand beside the sea in multitude. And they come up and camp in Michmash, opposite Bethhoron toward the south.</w:t>
      </w:r>
      <w:r>
        <w:rPr>
          <w:rStyle w:val="FootnoteReference"/>
        </w:rPr>
        <w:footnoteReference w:id="5330"/>
      </w:r>
    </w:p>
    <w:p>
      <w:r>
        <w:rPr>
          <w:b/>
        </w:rPr>
        <w:t xml:space="preserve">6 </w:t>
      </w:r>
      <w:r>
        <w:t xml:space="preserve">And each man of Israel saw that he was in a narrow place, that no one could come near him, and the people hid in the caves and in the folds and in the rocks and in the pits and in the cisterns.</w:t>
      </w:r>
    </w:p>
    <w:p>
      <w:r>
        <w:rPr>
          <w:b/>
        </w:rPr>
        <w:t xml:space="preserve">7 </w:t>
      </w:r>
      <w:r>
        <w:t xml:space="preserve">And the ones crossing over crossed the Jordan into the land of Gad and Gilead. And Saul was still in Gilgal, and all the people stood outside themselves after him.</w:t>
      </w:r>
    </w:p>
    <w:p>
      <w:r>
        <w:rPr>
          <w:b/>
        </w:rPr>
        <w:t xml:space="preserve">8 </w:t>
      </w:r>
      <w:r>
        <w:t xml:space="preserve">And he waited seven days for the testimony, as Samuel said, and Samuel did not arrive in Gilgal, and his people were scattered from him.</w:t>
      </w:r>
    </w:p>
    <w:p>
      <w:r>
        <w:rPr>
          <w:b/>
        </w:rPr>
        <w:t xml:space="preserve">9 </w:t>
      </w:r>
      <w:r>
        <w:t xml:space="preserve">And Saul said, Bring near, so I may offer whole burnt offerings and peace offerings. And he offered</w:t>
      </w:r>
      <w:r>
        <w:rPr>
          <w:rStyle w:val="FootnoteReference"/>
        </w:rPr>
        <w:footnoteReference w:id="5331"/>
      </w:r>
      <w:r>
        <w:t xml:space="preserve"> the whole burnt offering.</w:t>
      </w:r>
    </w:p>
    <w:p>
      <w:r>
        <w:rPr>
          <w:b/>
        </w:rPr>
        <w:t xml:space="preserve">10 </w:t>
      </w:r>
      <w:r>
        <w:t xml:space="preserve">And it came to be, as he finished offering the whole burnt offering, Samuel arrives, and Saul</w:t>
      </w:r>
      <w:r>
        <w:rPr>
          <w:rStyle w:val="FootnoteReference"/>
        </w:rPr>
        <w:footnoteReference w:id="5332"/>
      </w:r>
      <w:r>
        <w:t xml:space="preserve"> went out to meet him, to bless him.</w:t>
      </w:r>
    </w:p>
    <w:p>
      <w:r>
        <w:rPr>
          <w:b/>
        </w:rPr>
        <w:t xml:space="preserve">11 </w:t>
      </w:r>
      <w:r>
        <w:t xml:space="preserve">And Samuel said, What have you done? And Saul said, Because I saw that the people were scattered from me, and you did not come as you ordered in the testimony of the days, and the foreigners were gathered in Michmash</w:t>
      </w:r>
      <w:r>
        <w:rPr>
          <w:rStyle w:val="FootnoteReference"/>
        </w:rPr>
        <w:footnoteReference w:id="5333"/>
      </w:r>
      <w:r>
        <w:t xml:space="preserve">,</w:t>
      </w:r>
    </w:p>
    <w:p>
      <w:r>
        <w:rPr>
          <w:b/>
        </w:rPr>
        <w:t xml:space="preserve">12 </w:t>
      </w:r>
      <w:r>
        <w:t xml:space="preserve">I said, Now the foreigners will come down against me to Gilgal, and I have not entreated the face of the Lord. And I forced</w:t>
      </w:r>
      <w:r>
        <w:rPr>
          <w:rStyle w:val="FootnoteReference"/>
        </w:rPr>
        <w:footnoteReference w:id="5334"/>
      </w:r>
      <w:r>
        <w:t xml:space="preserve"> myself and offered the whole burnt offering.</w:t>
      </w:r>
    </w:p>
    <w:p>
      <w:r>
        <w:rPr>
          <w:b/>
        </w:rPr>
        <w:t xml:space="preserve">13 </w:t>
      </w:r>
      <w:r>
        <w:t xml:space="preserve">And Samuel said to Saul, It has been made foolish for you, because you did not keep the commandment that the Lord commanded you. For now the Lord would have prepared your kingdom over Israel forever.</w:t>
      </w:r>
    </w:p>
    <w:p>
      <w:r>
        <w:rPr>
          <w:b/>
        </w:rPr>
        <w:t xml:space="preserve">14 </w:t>
      </w:r>
      <w:r>
        <w:t xml:space="preserve">And now your kingdom will not stand, and the Lord</w:t>
      </w:r>
      <w:r>
        <w:rPr>
          <w:rStyle w:val="FootnoteReference"/>
        </w:rPr>
        <w:footnoteReference w:id="5335"/>
      </w:r>
      <w:r>
        <w:t xml:space="preserve"> will seek for himself</w:t>
      </w:r>
      <w:r>
        <w:rPr>
          <w:rStyle w:val="FootnoteReference"/>
        </w:rPr>
        <w:footnoteReference w:id="5336"/>
      </w:r>
      <w:r>
        <w:t xml:space="preserve"> a man according to his heart, and the Lord will appoint him as a ruler over his people, because you did not keep what the Lord commanded you.</w:t>
      </w:r>
    </w:p>
    <w:p>
      <w:r>
        <w:rPr>
          <w:b/>
        </w:rPr>
        <w:t xml:space="preserve">15 </w:t>
      </w:r>
      <w:r>
        <w:t xml:space="preserve">And Samuel rose and went away from Gilgal on his road, and the remnant of the people went up after Saul to meet their fighting people, from Gilgal to Gibeah of Benjamin. And Saul mustered the people found with him, about six</w:t>
      </w:r>
      <w:r>
        <w:rPr>
          <w:rStyle w:val="FootnoteReference"/>
        </w:rPr>
        <w:footnoteReference w:id="5337"/>
      </w:r>
      <w:r>
        <w:t xml:space="preserve"> hundred men.</w:t>
      </w:r>
    </w:p>
    <w:p>
      <w:r>
        <w:rPr>
          <w:b/>
        </w:rPr>
        <w:t xml:space="preserve">16 </w:t>
      </w:r>
      <w:r>
        <w:t xml:space="preserve">And Saul and Jonathan his son and the people found with them were staying in Gibeah</w:t>
      </w:r>
      <w:r>
        <w:rPr>
          <w:rStyle w:val="FootnoteReference"/>
        </w:rPr>
        <w:footnoteReference w:id="5338"/>
      </w:r>
      <w:r>
        <w:t xml:space="preserve"> of Benjamin and were weeping, and the foreigners had camped in Michmash.</w:t>
      </w:r>
    </w:p>
    <w:p>
      <w:r>
        <w:rPr>
          <w:b/>
        </w:rPr>
        <w:t xml:space="preserve">17 </w:t>
      </w:r>
      <w:r>
        <w:t xml:space="preserve">And the destroyer came out from the camp of the foreigners in three companies</w:t>
      </w:r>
      <w:r>
        <w:rPr>
          <w:rStyle w:val="FootnoteReference"/>
        </w:rPr>
        <w:footnoteReference w:id="5339"/>
      </w:r>
      <w:r>
        <w:t xml:space="preserve">. The one company looked toward the road of Ophrah</w:t>
      </w:r>
      <w:r>
        <w:rPr>
          <w:rStyle w:val="FootnoteReference"/>
        </w:rPr>
        <w:footnoteReference w:id="5340"/>
      </w:r>
      <w:r>
        <w:t xml:space="preserve">, toward the land of Shual</w:t>
      </w:r>
      <w:r>
        <w:rPr>
          <w:rStyle w:val="FootnoteReference"/>
        </w:rPr>
        <w:footnoteReference w:id="5341"/>
      </w:r>
      <w:r>
        <w:t xml:space="preserve">.</w:t>
      </w:r>
    </w:p>
    <w:p>
      <w:r>
        <w:rPr>
          <w:b/>
        </w:rPr>
        <w:t xml:space="preserve">18 </w:t>
      </w:r>
      <w:r>
        <w:t xml:space="preserve">And one company looked toward the road of Bethhoron</w:t>
      </w:r>
      <w:r>
        <w:rPr>
          <w:rStyle w:val="FootnoteReference"/>
        </w:rPr>
        <w:footnoteReference w:id="5342"/>
      </w:r>
      <w:r>
        <w:t xml:space="preserve">, and one company looked toward the road of Gibeah that bends down toward the land of Sabin.</w:t>
      </w:r>
      <w:r>
        <w:rPr>
          <w:rStyle w:val="FootnoteReference"/>
        </w:rPr>
        <w:footnoteReference w:id="5343"/>
      </w:r>
    </w:p>
    <w:p>
      <w:r>
        <w:rPr>
          <w:b/>
        </w:rPr>
        <w:t xml:space="preserve">19 </w:t>
      </w:r>
      <w:r>
        <w:t xml:space="preserve">And a smith of iron was not found in all the land of Israel, because the foreigners said, Lest the Hebrews make sword or spear.</w:t>
      </w:r>
    </w:p>
    <w:p>
      <w:r>
        <w:rPr>
          <w:b/>
        </w:rPr>
        <w:t xml:space="preserve">20 </w:t>
      </w:r>
      <w:r>
        <w:t xml:space="preserve">And all Israel used to go down into the land of the foreigners for each one to forge his reaping tool and his implement and each one his axe and his sickle.</w:t>
      </w:r>
    </w:p>
    <w:p>
      <w:r>
        <w:rPr>
          <w:b/>
        </w:rPr>
        <w:t xml:space="preserve">21 </w:t>
      </w:r>
      <w:r>
        <w:t xml:space="preserve">And the harvest was ready for reaping, and the implements were at three shekels for the tooth, and for the axe and for the sickle the charge was the same.</w:t>
      </w:r>
    </w:p>
    <w:p>
      <w:r>
        <w:rPr>
          <w:b/>
        </w:rPr>
        <w:t xml:space="preserve">22 </w:t>
      </w:r>
      <w:r>
        <w:t xml:space="preserve">And it came to be in the days of the war at Michmash, sword and spear were not found in the hand of any of the people with Saul and with Jonathan, but they were found for Saul and for Jonathan his son.</w:t>
      </w:r>
      <w:r>
        <w:rPr>
          <w:rStyle w:val="FootnoteReference"/>
        </w:rPr>
        <w:footnoteReference w:id="5344"/>
      </w:r>
    </w:p>
    <w:p>
      <w:r>
        <w:rPr>
          <w:b/>
        </w:rPr>
        <w:t xml:space="preserve">23 </w:t>
      </w:r>
      <w:r>
        <w:t xml:space="preserve">And the station of the foreigners came out to the region beyond Michmash.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it came to be on a day, Jonathan</w:t>
      </w:r>
      <w:r>
        <w:rPr>
          <w:rStyle w:val="FootnoteReference"/>
        </w:rPr>
        <w:footnoteReference w:id="5345"/>
      </w:r>
      <w:r>
        <w:t xml:space="preserve"> son of Saul said to the young man carrying his equipment, Come, and let us cross over to the station of the foreigners</w:t>
      </w:r>
      <w:r>
        <w:rPr>
          <w:rStyle w:val="FootnoteReference"/>
        </w:rPr>
        <w:footnoteReference w:id="5346"/>
      </w:r>
      <w:r>
        <w:t xml:space="preserve"> that is over there beyond. But to his father he did not report it.</w:t>
      </w:r>
    </w:p>
    <w:p>
      <w:r>
        <w:rPr>
          <w:b/>
        </w:rPr>
        <w:t xml:space="preserve">2 </w:t>
      </w:r>
      <w:r>
        <w:t xml:space="preserve">And Saul was sitting on the edge of the hill under the pomegranate tree in Migron</w:t>
      </w:r>
      <w:r>
        <w:rPr>
          <w:rStyle w:val="FootnoteReference"/>
        </w:rPr>
        <w:footnoteReference w:id="5347"/>
      </w:r>
      <w:r>
        <w:t xml:space="preserve">, and about six hundred men were with him.</w:t>
      </w:r>
    </w:p>
    <w:p>
      <w:r>
        <w:rPr>
          <w:b/>
        </w:rPr>
        <w:t xml:space="preserve">3 </w:t>
      </w:r>
      <w:r>
        <w:t xml:space="preserve">And Ahijah</w:t>
      </w:r>
      <w:r>
        <w:rPr>
          <w:rStyle w:val="FootnoteReference"/>
        </w:rPr>
        <w:footnoteReference w:id="5348"/>
      </w:r>
      <w:r>
        <w:t xml:space="preserve"> son of Ahitub</w:t>
      </w:r>
      <w:r>
        <w:rPr>
          <w:rStyle w:val="FootnoteReference"/>
        </w:rPr>
        <w:footnoteReference w:id="5349"/>
      </w:r>
      <w:r>
        <w:t xml:space="preserve">, brother of Ichabod, son of Phinehas, son of Eli, priest of God in Shiloh, was carrying an ephod. And the people did not know that Jonathan had gone.</w:t>
      </w:r>
    </w:p>
    <w:p>
      <w:r>
        <w:rPr>
          <w:b/>
        </w:rPr>
        <w:t xml:space="preserve">4 </w:t>
      </w:r>
      <w:r>
        <w:t xml:space="preserve">And between the passage where Jonathan was seeking to cross over to the station of the foreigners, there was a rocky spur on this side and a rocky spur on that side. The name of the one was Bozez</w:t>
      </w:r>
      <w:r>
        <w:rPr>
          <w:rStyle w:val="FootnoteReference"/>
        </w:rPr>
        <w:footnoteReference w:id="5350"/>
      </w:r>
      <w:r>
        <w:t xml:space="preserve">, and the name of the other Zenan.</w:t>
      </w:r>
    </w:p>
    <w:p>
      <w:r>
        <w:rPr>
          <w:b/>
        </w:rPr>
        <w:t xml:space="preserve">5 </w:t>
      </w:r>
      <w:r>
        <w:t xml:space="preserve">The one road was northward, toward Michmash, and the other southward, toward Gibeah.</w:t>
      </w:r>
    </w:p>
    <w:p>
      <w:r>
        <w:rPr>
          <w:b/>
        </w:rPr>
        <w:t xml:space="preserve">6 </w:t>
      </w:r>
      <w:r>
        <w:t xml:space="preserve">And Jonathan said to the young man carrying his equipment, Come, let us cross over to the station of these uncircumcised</w:t>
      </w:r>
      <w:r>
        <w:rPr>
          <w:rStyle w:val="FootnoteReference"/>
        </w:rPr>
        <w:footnoteReference w:id="5351"/>
      </w:r>
      <w:r>
        <w:t xml:space="preserve"> ones; perhaps the Lord may act for us, because for the Lord there is no restraint to save by many or by few.</w:t>
      </w:r>
    </w:p>
    <w:p>
      <w:r>
        <w:rPr>
          <w:b/>
        </w:rPr>
        <w:t xml:space="preserve">7 </w:t>
      </w:r>
      <w:r>
        <w:t xml:space="preserve">And the one carrying his equipment said to him, Do everything whatever your heart inclines. Behold, I am with you; as your heart, my heart.</w:t>
      </w:r>
    </w:p>
    <w:p>
      <w:r>
        <w:rPr>
          <w:b/>
        </w:rPr>
        <w:t xml:space="preserve">8 </w:t>
      </w:r>
      <w:r>
        <w:t xml:space="preserve">And Jonathan said, Behold, we are crossing over to the men, and we will roll ourselves down to them.</w:t>
      </w:r>
    </w:p>
    <w:p>
      <w:r>
        <w:rPr>
          <w:b/>
        </w:rPr>
        <w:t xml:space="preserve">9 </w:t>
      </w:r>
      <w:r>
        <w:t xml:space="preserve">If they say these things to us, Stand there until we report to you, then we will stand in our place and certainly will not go up against them.</w:t>
      </w:r>
    </w:p>
    <w:p>
      <w:r>
        <w:rPr>
          <w:b/>
        </w:rPr>
        <w:t xml:space="preserve">10 </w:t>
      </w:r>
      <w:r>
        <w:t xml:space="preserve">But if they say these things to us, Come up to us, then we will go up, because the Lord has delivered them into our hands. This will be the sign for us.</w:t>
      </w:r>
    </w:p>
    <w:p>
      <w:r>
        <w:rPr>
          <w:b/>
        </w:rPr>
        <w:t xml:space="preserve">11 </w:t>
      </w:r>
      <w:r>
        <w:t xml:space="preserve">And both entered into the station of the foreigners, and the foreigners say, Behold, the Hebrews are coming out from their holes where they had hidden there.</w:t>
      </w:r>
    </w:p>
    <w:p>
      <w:r>
        <w:rPr>
          <w:b/>
        </w:rPr>
        <w:t xml:space="preserve">12 </w:t>
      </w:r>
      <w:r>
        <w:t xml:space="preserve">And the men of the station</w:t>
      </w:r>
      <w:r>
        <w:rPr>
          <w:rStyle w:val="FootnoteReference"/>
        </w:rPr>
        <w:footnoteReference w:id="5352"/>
      </w:r>
      <w:r>
        <w:t xml:space="preserve"> answered Jonathan and the one carrying his equipment and say, Come up to us</w:t>
      </w:r>
      <w:r>
        <w:rPr>
          <w:rStyle w:val="FootnoteReference"/>
        </w:rPr>
        <w:footnoteReference w:id="5353"/>
      </w:r>
      <w:r>
        <w:t xml:space="preserve">, and we will make a word known to you. And Jonathan said to the one carrying his equipment, Come up after me, because the Lord has delivered them into the hands of Israel.</w:t>
      </w:r>
    </w:p>
    <w:p>
      <w:r>
        <w:rPr>
          <w:b/>
        </w:rPr>
        <w:t xml:space="preserve">13 </w:t>
      </w:r>
      <w:r>
        <w:t xml:space="preserve">And Jonathan went up on his hands and on his feet, and the one carrying his equipment after him. And they looked into the face of Jonathan, and he struck them down, and the one carrying his equipment kept finishing them off behind him.</w:t>
      </w:r>
    </w:p>
    <w:p>
      <w:r>
        <w:rPr>
          <w:b/>
        </w:rPr>
        <w:t xml:space="preserve">14 </w:t>
      </w:r>
      <w:r>
        <w:t xml:space="preserve">And the first blow that Jonathan and the one carrying his equipment struck was about twenty men, with darts and sling-stones and field-pebbles.</w:t>
      </w:r>
    </w:p>
    <w:p>
      <w:r>
        <w:rPr>
          <w:b/>
        </w:rPr>
        <w:t xml:space="preserve">15 </w:t>
      </w:r>
      <w:r>
        <w:t xml:space="preserve">And there was astonishment in the camp and in the field, and all the people in the station and the destroyers stood outside themselves, and they themselves were not willing to act, and the earth was amazed, and there was astonishment from the Lord.</w:t>
      </w:r>
    </w:p>
    <w:p>
      <w:r>
        <w:rPr>
          <w:b/>
        </w:rPr>
        <w:t xml:space="preserve">16 </w:t>
      </w:r>
      <w:r>
        <w:t xml:space="preserve">And the watchmen of Saul in Gibeah of Benjamin saw, and behold, the camp was troubled here and there.</w:t>
      </w:r>
    </w:p>
    <w:p>
      <w:r>
        <w:rPr>
          <w:b/>
        </w:rPr>
        <w:t xml:space="preserve">17 </w:t>
      </w:r>
      <w:r>
        <w:t xml:space="preserve">And Saul said to the people with him, Muster now and see who has gone out from you. And they mustered, and behold, Jonathan and the one carrying his equipment were not found.</w:t>
      </w:r>
    </w:p>
    <w:p>
      <w:r>
        <w:rPr>
          <w:b/>
        </w:rPr>
        <w:t xml:space="preserve">18 </w:t>
      </w:r>
      <w:r>
        <w:t xml:space="preserve">And Saul said to Ahijah, Bring the ephod near, because he was carrying the ephod on that day before Israel.</w:t>
      </w:r>
    </w:p>
    <w:p>
      <w:r>
        <w:rPr>
          <w:b/>
        </w:rPr>
        <w:t xml:space="preserve">19 </w:t>
      </w:r>
      <w:r>
        <w:t xml:space="preserve">And it came to be, as Saul was speaking to the priest, the sound in the camp of the foreigners kept going and increasing. And Saul said to the priest, Gather in your hands.</w:t>
      </w:r>
    </w:p>
    <w:p>
      <w:r>
        <w:rPr>
          <w:b/>
        </w:rPr>
        <w:t xml:space="preserve">20 </w:t>
      </w:r>
      <w:r>
        <w:t xml:space="preserve">And Saul cried out, and all the people with him, and they came as far as the battle, and behold, the sword of each man came against his neighbor, a very great confusion.</w:t>
      </w:r>
    </w:p>
    <w:p>
      <w:r>
        <w:rPr>
          <w:b/>
        </w:rPr>
        <w:t xml:space="preserve">21 </w:t>
      </w:r>
      <w:r>
        <w:t xml:space="preserve">And the slaves who were with the foreigners yesterday and the third day</w:t>
      </w:r>
      <w:r>
        <w:rPr>
          <w:rStyle w:val="FootnoteReference"/>
        </w:rPr>
        <w:footnoteReference w:id="5354"/>
      </w:r>
      <w:r>
        <w:t xml:space="preserve">, who had gone up into the camp, they also turned to be with Israel, those with Saul and Jonathan.</w:t>
      </w:r>
    </w:p>
    <w:p>
      <w:r>
        <w:rPr>
          <w:b/>
        </w:rPr>
        <w:t xml:space="preserve">22 </w:t>
      </w:r>
      <w:r>
        <w:t xml:space="preserve">And all Israel, the ones hiding in the hill-country of Ephraim, heard that the foreigners had fled, and they also joined after them in the battle.</w:t>
      </w:r>
    </w:p>
    <w:p>
      <w:r>
        <w:rPr>
          <w:b/>
        </w:rPr>
        <w:t xml:space="preserve">23 </w:t>
      </w:r>
      <w:r>
        <w:t xml:space="preserve">And the Lord</w:t>
      </w:r>
      <w:r>
        <w:rPr>
          <w:rStyle w:val="FootnoteReference"/>
        </w:rPr>
        <w:footnoteReference w:id="5355"/>
      </w:r>
      <w:r>
        <w:t xml:space="preserve"> saved Israel on that day, and the battle passed through Bethhoron, and all the people with Saul were about ten thousand men, and the battle was scattered through the whole city in the hill-country of Ephraim.</w:t>
      </w:r>
    </w:p>
    <w:p>
      <w:r>
        <w:rPr>
          <w:b/>
        </w:rPr>
        <w:t xml:space="preserve">24 </w:t>
      </w:r>
      <w:r>
        <w:t xml:space="preserve">And Saul committed a great ignorance on that day, and he bound the people under oath, saying, Cursed</w:t>
      </w:r>
      <w:r>
        <w:rPr>
          <w:rStyle w:val="FootnoteReference"/>
        </w:rPr>
        <w:footnoteReference w:id="5356"/>
      </w:r>
      <w:r>
        <w:t xml:space="preserve"> is the man who eats bread until evening, until I take vengeance on my enemy. And none of the people tasted bread.</w:t>
      </w:r>
      <w:r>
        <w:rPr>
          <w:rStyle w:val="FootnoteReference"/>
        </w:rPr>
        <w:footnoteReference w:id="5357"/>
      </w:r>
    </w:p>
    <w:p>
      <w:r>
        <w:rPr>
          <w:b/>
        </w:rPr>
        <w:t xml:space="preserve">25 </w:t>
      </w:r>
      <w:r>
        <w:t xml:space="preserve">And all the land came into a wooded forest, and there was a honeycomb on the face of the field.</w:t>
      </w:r>
    </w:p>
    <w:p>
      <w:r>
        <w:rPr>
          <w:b/>
        </w:rPr>
        <w:t xml:space="preserve">26 </w:t>
      </w:r>
      <w:r>
        <w:t xml:space="preserve">And the people entered into the honey-place, and behold, honey was going along, and there was no one turning his hand to his mouth, because the people feared the oath of the Lord.</w:t>
      </w:r>
    </w:p>
    <w:p>
      <w:r>
        <w:rPr>
          <w:b/>
        </w:rPr>
        <w:t xml:space="preserve">27 </w:t>
      </w:r>
      <w:r>
        <w:t xml:space="preserve">And Jonathan had not heard when his father put the people under oath, and he stretched out the tip of his staff that was in his hand and dipped it into the comb of the honey and turned his hand to his mouth, and his eyes</w:t>
      </w:r>
      <w:r>
        <w:rPr>
          <w:rStyle w:val="FootnoteReference"/>
        </w:rPr>
        <w:footnoteReference w:id="5358"/>
      </w:r>
      <w:r>
        <w:t xml:space="preserve"> looked up.</w:t>
      </w:r>
      <w:r>
        <w:rPr>
          <w:rStyle w:val="FootnoteReference"/>
        </w:rPr>
        <w:footnoteReference w:id="5359"/>
      </w:r>
    </w:p>
    <w:p>
      <w:r>
        <w:rPr>
          <w:b/>
        </w:rPr>
        <w:t xml:space="preserve">28 </w:t>
      </w:r>
      <w:r>
        <w:t xml:space="preserve">And one from the people answered and said, Your father bound the people with an oath, saying, Cursed</w:t>
      </w:r>
      <w:r>
        <w:rPr>
          <w:rStyle w:val="FootnoteReference"/>
        </w:rPr>
        <w:footnoteReference w:id="5360"/>
      </w:r>
      <w:r>
        <w:t xml:space="preserve"> is the man who eats bread today, and the people grew faint.</w:t>
      </w:r>
    </w:p>
    <w:p>
      <w:r>
        <w:rPr>
          <w:b/>
        </w:rPr>
        <w:t xml:space="preserve">29 </w:t>
      </w:r>
      <w:r>
        <w:t xml:space="preserve">And Jonathan understood and said, My father</w:t>
      </w:r>
      <w:r>
        <w:rPr>
          <w:rStyle w:val="FootnoteReference"/>
        </w:rPr>
        <w:footnoteReference w:id="5361"/>
      </w:r>
      <w:r>
        <w:t xml:space="preserve"> has troubled the land. See now that my eyes have brightened because I tasted a little of this honey.</w:t>
      </w:r>
    </w:p>
    <w:p>
      <w:r>
        <w:rPr>
          <w:b/>
        </w:rPr>
        <w:t xml:space="preserve">30 </w:t>
      </w:r>
      <w:r>
        <w:t xml:space="preserve">How much more, if the people today had eaten from the spoil of their enemies that they found. For now the blow among the foreigners would have been greater.</w:t>
      </w:r>
    </w:p>
    <w:p>
      <w:r>
        <w:rPr>
          <w:b/>
        </w:rPr>
        <w:t xml:space="preserve">31 </w:t>
      </w:r>
      <w:r>
        <w:t xml:space="preserve">And on that day he struck down the foreigners from Michmash, and the people grew very weary.</w:t>
      </w:r>
    </w:p>
    <w:p>
      <w:r>
        <w:rPr>
          <w:b/>
        </w:rPr>
        <w:t xml:space="preserve">32 </w:t>
      </w:r>
      <w:r>
        <w:t xml:space="preserve">And the people turned aside to the spoil, and the people took flocks and cattle and calves of oxen and slaughtered them on the ground, and the people were eating with the blood.</w:t>
      </w:r>
    </w:p>
    <w:p>
      <w:r>
        <w:rPr>
          <w:b/>
        </w:rPr>
        <w:t xml:space="preserve">33 </w:t>
      </w:r>
      <w:r>
        <w:t xml:space="preserve">And it was reported to Saul, saying, The people have sinned against the Lord by eating with the blood. And he said, In Getthaim, roll to me a great stone here.</w:t>
      </w:r>
    </w:p>
    <w:p>
      <w:r>
        <w:rPr>
          <w:b/>
        </w:rPr>
        <w:t xml:space="preserve">34 </w:t>
      </w:r>
      <w:r>
        <w:t xml:space="preserve">And Saul said, Scatter among the people and tell them to bring here, each his calf and each his sheep, and let him slaughter on this and not sin against the Lord by eating with the blood</w:t>
      </w:r>
      <w:r>
        <w:rPr>
          <w:rStyle w:val="FootnoteReference"/>
        </w:rPr>
        <w:footnoteReference w:id="5362"/>
      </w:r>
      <w:r>
        <w:t xml:space="preserve">. And all the people brought near, each the thing in his hand, and they slaughtered there.</w:t>
      </w:r>
    </w:p>
    <w:p>
      <w:r>
        <w:rPr>
          <w:b/>
        </w:rPr>
        <w:t xml:space="preserve">35 </w:t>
      </w:r>
      <w:r>
        <w:t xml:space="preserve">And Saul built</w:t>
      </w:r>
      <w:r>
        <w:rPr>
          <w:rStyle w:val="FootnoteReference"/>
        </w:rPr>
        <w:footnoteReference w:id="5363"/>
      </w:r>
      <w:r>
        <w:t xml:space="preserve"> there an altar to the Lord. This was what Saul began to build as an altar to the Lord.</w:t>
      </w:r>
    </w:p>
    <w:p>
      <w:r>
        <w:rPr>
          <w:b/>
        </w:rPr>
        <w:t xml:space="preserve">36 </w:t>
      </w:r>
      <w:r>
        <w:t xml:space="preserve">And Saul said, Let us go</w:t>
      </w:r>
      <w:r>
        <w:rPr>
          <w:rStyle w:val="FootnoteReference"/>
        </w:rPr>
        <w:footnoteReference w:id="5364"/>
      </w:r>
      <w:r>
        <w:t xml:space="preserve"> down after the foreigners by night and plunder among them until the day gives light, and let us not leave a man among them. And they said, Do everything good in your sight. And the priest said, Let us come near to God here</w:t>
      </w:r>
      <w:r>
        <w:rPr>
          <w:rStyle w:val="FootnoteReference"/>
        </w:rPr>
        <w:footnoteReference w:id="5365"/>
      </w:r>
      <w:r>
        <w:t xml:space="preserve">.</w:t>
      </w:r>
    </w:p>
    <w:p>
      <w:r>
        <w:rPr>
          <w:b/>
        </w:rPr>
        <w:t xml:space="preserve">37 </w:t>
      </w:r>
      <w:r>
        <w:t xml:space="preserve">And Saul inquired of God, Shall I go</w:t>
      </w:r>
      <w:r>
        <w:rPr>
          <w:rStyle w:val="FootnoteReference"/>
        </w:rPr>
        <w:footnoteReference w:id="5366"/>
      </w:r>
      <w:r>
        <w:t xml:space="preserve"> down after the foreigners? Will you deliver them into the hands of Israel? And he did not answer him on that day.</w:t>
      </w:r>
    </w:p>
    <w:p>
      <w:r>
        <w:rPr>
          <w:b/>
        </w:rPr>
        <w:t xml:space="preserve">38 </w:t>
      </w:r>
      <w:r>
        <w:t xml:space="preserve">And Saul said, Bring near here all the corners of Israel, and know and see in what this sin has happened today.</w:t>
      </w:r>
    </w:p>
    <w:p>
      <w:r>
        <w:rPr>
          <w:b/>
        </w:rPr>
        <w:t xml:space="preserve">39 </w:t>
      </w:r>
      <w:r>
        <w:t xml:space="preserve">Because the Lord lives, who saved Israel, that if it is found in Jonathan my son, he will surely die. And there was not one answering from all the people.</w:t>
      </w:r>
    </w:p>
    <w:p>
      <w:r>
        <w:rPr>
          <w:b/>
        </w:rPr>
        <w:t xml:space="preserve">40 </w:t>
      </w:r>
      <w:r>
        <w:t xml:space="preserve">And he said to all Israel, You will be for one side, and I and Jonathan my son will be for one side. And the people said to Saul, Do what is good in your sight.</w:t>
      </w:r>
    </w:p>
    <w:p>
      <w:r>
        <w:rPr>
          <w:b/>
        </w:rPr>
        <w:t xml:space="preserve">41 </w:t>
      </w:r>
      <w:r>
        <w:t xml:space="preserve">And Saul</w:t>
      </w:r>
      <w:r>
        <w:rPr>
          <w:rStyle w:val="FootnoteReference"/>
        </w:rPr>
        <w:footnoteReference w:id="5367"/>
      </w:r>
      <w:r>
        <w:t xml:space="preserve"> said, Lord God of Israel, why have you not answered your servant today? If the wrong is in me or in Jonathan my son, Lord God of Israel, give clear signs; and if thus you say, In your people Israel, give holiness. And Jonathan and Saul were taken by lot, and the people went out.</w:t>
      </w:r>
    </w:p>
    <w:p>
      <w:r>
        <w:rPr>
          <w:b/>
        </w:rPr>
        <w:t xml:space="preserve">42 </w:t>
      </w:r>
      <w:r>
        <w:t xml:space="preserve">And Saul said, Cast lot between me and between Jonathan my son; whomever the Lord may take by lot, let him die. And the people said to Saul, This word is not right. But Saul prevailed over the people, and they cast lot between him and between Jonathan his son, and Jonathan was taken by lot.</w:t>
      </w:r>
    </w:p>
    <w:p>
      <w:r>
        <w:rPr>
          <w:b/>
        </w:rPr>
        <w:t xml:space="preserve">43 </w:t>
      </w:r>
      <w:r>
        <w:t xml:space="preserve">And Saul said to Jonathan, Tell me</w:t>
      </w:r>
      <w:r>
        <w:rPr>
          <w:rStyle w:val="FootnoteReference"/>
        </w:rPr>
        <w:footnoteReference w:id="5368"/>
      </w:r>
      <w:r>
        <w:t xml:space="preserve"> what you have done. And Jonathan told him and said, Tasting, I tasted a little honey on the tip of the staff that was in my hand. Behold, I am dying.</w:t>
      </w:r>
    </w:p>
    <w:p>
      <w:r>
        <w:rPr>
          <w:b/>
        </w:rPr>
        <w:t xml:space="preserve">44 </w:t>
      </w:r>
      <w:r>
        <w:t xml:space="preserve">And Saul said to him, Thus may God do to me and thus may he add, because you will surely die today.</w:t>
      </w:r>
    </w:p>
    <w:p>
      <w:r>
        <w:rPr>
          <w:b/>
        </w:rPr>
        <w:t xml:space="preserve">45 </w:t>
      </w:r>
      <w:r>
        <w:t xml:space="preserve">And the people said to Saul, Will the one who worked this great salvation</w:t>
      </w:r>
      <w:r>
        <w:rPr>
          <w:rStyle w:val="FootnoteReference"/>
        </w:rPr>
        <w:footnoteReference w:id="5369"/>
      </w:r>
      <w:r>
        <w:t xml:space="preserve"> in Israel be put to death today? The Lord lives, if a hair of his head will fall to the ground, because he worked with the people of God on this day. And the people prayed for Jonathan on that day, and he did not die.</w:t>
      </w:r>
    </w:p>
    <w:p>
      <w:r>
        <w:rPr>
          <w:b/>
        </w:rPr>
        <w:t xml:space="preserve">46 </w:t>
      </w:r>
      <w:r>
        <w:t xml:space="preserve">And Saul went up from after the foreigners, and the foreigners went away to their place.</w:t>
      </w:r>
    </w:p>
    <w:p>
      <w:r>
        <w:rPr>
          <w:b/>
        </w:rPr>
        <w:t xml:space="preserve">47 </w:t>
      </w:r>
      <w:r>
        <w:t xml:space="preserve">And Saul</w:t>
      </w:r>
      <w:r>
        <w:rPr>
          <w:rStyle w:val="FootnoteReference"/>
        </w:rPr>
        <w:footnoteReference w:id="5370"/>
      </w:r>
      <w:r>
        <w:t xml:space="preserve"> took up rule over Israel</w:t>
      </w:r>
      <w:r>
        <w:rPr>
          <w:rStyle w:val="FootnoteReference"/>
        </w:rPr>
        <w:footnoteReference w:id="5371"/>
      </w:r>
      <w:r>
        <w:t xml:space="preserve"> and fought all his enemies round about, against Moab and against the sons of Ammon and against the sons of Edom and against the kings of Zobah and against the foreigners. Wherever he turned, he was being saved.</w:t>
      </w:r>
    </w:p>
    <w:p>
      <w:r>
        <w:rPr>
          <w:b/>
        </w:rPr>
        <w:t xml:space="preserve">48 </w:t>
      </w:r>
      <w:r>
        <w:t xml:space="preserve">And he worked might and struck Amalek and delivered Israel from the hand of those trampling him.</w:t>
      </w:r>
    </w:p>
    <w:p>
      <w:r>
        <w:rPr>
          <w:b/>
        </w:rPr>
        <w:t xml:space="preserve">49 </w:t>
      </w:r>
      <w:r>
        <w:t xml:space="preserve">And the sons of Saul were Jonathan</w:t>
      </w:r>
      <w:r>
        <w:rPr>
          <w:rStyle w:val="FootnoteReference"/>
        </w:rPr>
        <w:footnoteReference w:id="5372"/>
      </w:r>
      <w:r>
        <w:t xml:space="preserve"> and Ishui and Melchishua</w:t>
      </w:r>
      <w:r>
        <w:rPr>
          <w:rStyle w:val="FootnoteReference"/>
        </w:rPr>
        <w:footnoteReference w:id="5373"/>
      </w:r>
      <w:r>
        <w:t xml:space="preserve">, and the names of his two daughters: the name of the firstborn Merab</w:t>
      </w:r>
      <w:r>
        <w:rPr>
          <w:rStyle w:val="FootnoteReference"/>
        </w:rPr>
        <w:footnoteReference w:id="5374"/>
      </w:r>
      <w:r>
        <w:t xml:space="preserve">, and the name of the second Michal</w:t>
      </w:r>
      <w:r>
        <w:rPr>
          <w:rStyle w:val="FootnoteReference"/>
        </w:rPr>
        <w:footnoteReference w:id="5375"/>
      </w:r>
      <w:r>
        <w:t xml:space="preserve">.</w:t>
      </w:r>
    </w:p>
    <w:p>
      <w:r>
        <w:rPr>
          <w:b/>
        </w:rPr>
        <w:t xml:space="preserve">50 </w:t>
      </w:r>
      <w:r>
        <w:t xml:space="preserve">And the name of his wife was Ahinoam</w:t>
      </w:r>
      <w:r>
        <w:rPr>
          <w:rStyle w:val="FootnoteReference"/>
        </w:rPr>
        <w:footnoteReference w:id="5376"/>
      </w:r>
      <w:r>
        <w:t xml:space="preserve">, daughter of Ahimaaz</w:t>
      </w:r>
      <w:r>
        <w:rPr>
          <w:rStyle w:val="FootnoteReference"/>
        </w:rPr>
        <w:footnoteReference w:id="5377"/>
      </w:r>
      <w:r>
        <w:t xml:space="preserve">, and the name of the commander of his army was Abner</w:t>
      </w:r>
      <w:r>
        <w:rPr>
          <w:rStyle w:val="FootnoteReference"/>
        </w:rPr>
        <w:footnoteReference w:id="5378"/>
      </w:r>
      <w:r>
        <w:t xml:space="preserve">, son of Ner</w:t>
      </w:r>
      <w:r>
        <w:rPr>
          <w:rStyle w:val="FootnoteReference"/>
        </w:rPr>
        <w:footnoteReference w:id="5379"/>
      </w:r>
      <w:r>
        <w:t xml:space="preserve">, son of a kinsman of Saul.</w:t>
      </w:r>
    </w:p>
    <w:p>
      <w:r>
        <w:rPr>
          <w:b/>
        </w:rPr>
        <w:t xml:space="preserve">51 </w:t>
      </w:r>
      <w:r>
        <w:t xml:space="preserve">And Kish</w:t>
      </w:r>
      <w:r>
        <w:rPr>
          <w:rStyle w:val="FootnoteReference"/>
        </w:rPr>
        <w:footnoteReference w:id="5380"/>
      </w:r>
      <w:r>
        <w:t xml:space="preserve">, father of Saul, and Ner, father of Abner, were sons of Jamin, son of Abiel.</w:t>
      </w:r>
    </w:p>
    <w:p>
      <w:r>
        <w:rPr>
          <w:b/>
        </w:rPr>
        <w:t xml:space="preserve">52 </w:t>
      </w:r>
      <w:r>
        <w:t xml:space="preserve">And the war against the foreigners was fierce all the days of Saul, and when Saul</w:t>
      </w:r>
      <w:r>
        <w:rPr>
          <w:rStyle w:val="FootnoteReference"/>
        </w:rPr>
        <w:footnoteReference w:id="5381"/>
      </w:r>
      <w:r>
        <w:t xml:space="preserve"> saw every mighty man and every man a son of strength, he gathered them to himself.</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Samuel said to Saul, The Lord</w:t>
      </w:r>
      <w:r>
        <w:rPr>
          <w:rStyle w:val="FootnoteReference"/>
        </w:rPr>
        <w:footnoteReference w:id="5382"/>
      </w:r>
      <w:r>
        <w:t xml:space="preserve"> sent me to anoint you as king over Israel, and now hear the voice of the Lord.</w:t>
      </w:r>
    </w:p>
    <w:p>
      <w:r>
        <w:rPr>
          <w:b/>
        </w:rPr>
        <w:t xml:space="preserve">2 </w:t>
      </w:r>
      <w:r>
        <w:t xml:space="preserve">Thus says the Lord of hosts</w:t>
      </w:r>
      <w:r>
        <w:rPr>
          <w:rStyle w:val="FootnoteReference"/>
        </w:rPr>
        <w:footnoteReference w:id="5383"/>
      </w:r>
      <w:r>
        <w:t xml:space="preserve">, Now I will avenge what Amalek</w:t>
      </w:r>
      <w:r>
        <w:rPr>
          <w:rStyle w:val="FootnoteReference"/>
        </w:rPr>
        <w:footnoteReference w:id="5384"/>
      </w:r>
      <w:r>
        <w:t xml:space="preserve"> did to Israel, how he met him on the road when he was coming up out of Egypt.</w:t>
      </w:r>
    </w:p>
    <w:p>
      <w:r>
        <w:rPr>
          <w:b/>
        </w:rPr>
        <w:t xml:space="preserve">3 </w:t>
      </w:r>
      <w:r>
        <w:t xml:space="preserve">And now go, and you will strike Amalek and devote all that is his, and you will not preserve anything from him, and you will utterly destroy</w:t>
      </w:r>
      <w:r>
        <w:rPr>
          <w:rStyle w:val="FootnoteReference"/>
        </w:rPr>
        <w:footnoteReference w:id="5385"/>
      </w:r>
      <w:r>
        <w:t xml:space="preserve"> him and devote him and all his things, and you will not spare from him, and you will kill from man to woman and from infant to one nursing and from calf to sheep and from camel to donkey.</w:t>
      </w:r>
    </w:p>
    <w:p>
      <w:r>
        <w:rPr>
          <w:b/>
        </w:rPr>
        <w:t xml:space="preserve">4 </w:t>
      </w:r>
      <w:r>
        <w:t xml:space="preserve">And Saul gave orders to the people and musters them in Gilgal, four hundred thousand companies, and Judah thirty thousand companies.</w:t>
      </w:r>
    </w:p>
    <w:p>
      <w:r>
        <w:rPr>
          <w:b/>
        </w:rPr>
        <w:t xml:space="preserve">5 </w:t>
      </w:r>
      <w:r>
        <w:t xml:space="preserve">And Saul came as far as the cities of Amalek and lay in ambush in the wadi.</w:t>
      </w:r>
    </w:p>
    <w:p>
      <w:r>
        <w:rPr>
          <w:b/>
        </w:rPr>
        <w:t xml:space="preserve">6 </w:t>
      </w:r>
      <w:r>
        <w:t xml:space="preserve">And Saul said to the Kenites</w:t>
      </w:r>
      <w:r>
        <w:rPr>
          <w:rStyle w:val="FootnoteReference"/>
        </w:rPr>
        <w:footnoteReference w:id="5386"/>
      </w:r>
      <w:r>
        <w:t xml:space="preserve">, Go away and turn aside from the midst of Amalek, lest I add you with him</w:t>
      </w:r>
      <w:r>
        <w:rPr>
          <w:rStyle w:val="FootnoteReference"/>
        </w:rPr>
        <w:footnoteReference w:id="5387"/>
      </w:r>
      <w:r>
        <w:t xml:space="preserve">, because you worked mercy with the sons of Israel when they were coming up out of Egypt. And the Kenites turned aside from the midst of Amalek.</w:t>
      </w:r>
    </w:p>
    <w:p>
      <w:r>
        <w:rPr>
          <w:b/>
        </w:rPr>
        <w:t xml:space="preserve">7 </w:t>
      </w:r>
      <w:r>
        <w:t xml:space="preserve">And Saul struck Amalek from Havilah</w:t>
      </w:r>
      <w:r>
        <w:rPr>
          <w:rStyle w:val="FootnoteReference"/>
        </w:rPr>
        <w:footnoteReference w:id="5388"/>
      </w:r>
      <w:r>
        <w:t xml:space="preserve"> as far as Shur, in front of Egypt.</w:t>
      </w:r>
    </w:p>
    <w:p>
      <w:r>
        <w:rPr>
          <w:b/>
        </w:rPr>
        <w:t xml:space="preserve">8 </w:t>
      </w:r>
      <w:r>
        <w:t xml:space="preserve">And he captured Agag</w:t>
      </w:r>
      <w:r>
        <w:rPr>
          <w:rStyle w:val="FootnoteReference"/>
        </w:rPr>
        <w:footnoteReference w:id="5389"/>
      </w:r>
      <w:r>
        <w:t xml:space="preserve"> king of Amalek alive, and all the people he killed by the mouth of the sword.</w:t>
      </w:r>
      <w:r>
        <w:rPr>
          <w:rStyle w:val="FootnoteReference"/>
        </w:rPr>
        <w:footnoteReference w:id="5390"/>
      </w:r>
    </w:p>
    <w:p>
      <w:r>
        <w:rPr>
          <w:b/>
        </w:rPr>
        <w:t xml:space="preserve">9 </w:t>
      </w:r>
      <w:r>
        <w:t xml:space="preserve">And Saul and all the people preserved Agag alive and the good things of the flocks and the herds and the foods and the vineyards and all the good things, and they were not willing to destroy them. But every dishonored and worthless thing they destroyed.</w:t>
      </w:r>
      <w:r>
        <w:rPr>
          <w:rStyle w:val="FootnoteReference"/>
        </w:rPr>
        <w:footnoteReference w:id="5391"/>
      </w:r>
    </w:p>
    <w:p>
      <w:r>
        <w:rPr>
          <w:b/>
        </w:rPr>
        <w:t xml:space="preserve">10 </w:t>
      </w:r>
      <w:r>
        <w:t xml:space="preserve">And the word of the Lord came to Samuel, saying,</w:t>
      </w:r>
    </w:p>
    <w:p>
      <w:r>
        <w:rPr>
          <w:b/>
        </w:rPr>
        <w:t xml:space="preserve">11 </w:t>
      </w:r>
      <w:r>
        <w:t xml:space="preserve">I have been comforted that I made Saul king, because he turned</w:t>
      </w:r>
      <w:r>
        <w:rPr>
          <w:rStyle w:val="FootnoteReference"/>
        </w:rPr>
        <w:footnoteReference w:id="5392"/>
      </w:r>
      <w:r>
        <w:t xml:space="preserve"> from behind me and did not keep my words. And Samuel was troubled, and he cried out to the Lord all the night.</w:t>
      </w:r>
    </w:p>
    <w:p>
      <w:r>
        <w:rPr>
          <w:b/>
        </w:rPr>
        <w:t xml:space="preserve">12 </w:t>
      </w:r>
      <w:r>
        <w:t xml:space="preserve">And Samuel rose early and went to meet Israel in the morning, and it was reported to Samuel, saying, Saul has come to Carmel</w:t>
      </w:r>
      <w:r>
        <w:rPr>
          <w:rStyle w:val="FootnoteReference"/>
        </w:rPr>
        <w:footnoteReference w:id="5393"/>
      </w:r>
      <w:r>
        <w:t xml:space="preserve"> and has raised a hand for himself</w:t>
      </w:r>
      <w:r>
        <w:rPr>
          <w:rStyle w:val="FootnoteReference"/>
        </w:rPr>
        <w:footnoteReference w:id="5394"/>
      </w:r>
      <w:r>
        <w:t xml:space="preserve"> and turned the chariot and gone down to Gilgal toward Saul. And behold, he had offered whole burnt offerings to the Lord, the first of the spoil that he brought from Amalek.</w:t>
      </w:r>
    </w:p>
    <w:p>
      <w:r>
        <w:rPr>
          <w:b/>
        </w:rPr>
        <w:t xml:space="preserve">13 </w:t>
      </w:r>
      <w:r>
        <w:t xml:space="preserve">And Samuel came to Saul, and he said to him, Blessed</w:t>
      </w:r>
      <w:r>
        <w:rPr>
          <w:rStyle w:val="FootnoteReference"/>
        </w:rPr>
        <w:footnoteReference w:id="5395"/>
      </w:r>
      <w:r>
        <w:t xml:space="preserve"> are you to the Lord. I have established everything whatever the Lord spoke.</w:t>
      </w:r>
    </w:p>
    <w:p>
      <w:r>
        <w:rPr>
          <w:b/>
        </w:rPr>
        <w:t xml:space="preserve">14 </w:t>
      </w:r>
      <w:r>
        <w:t xml:space="preserve">And Samuel said, And what is this voice of the flock in my ears, and the voice of cattle that I hear?</w:t>
      </w:r>
      <w:r>
        <w:rPr>
          <w:rStyle w:val="FootnoteReference"/>
        </w:rPr>
        <w:footnoteReference w:id="5396"/>
      </w:r>
    </w:p>
    <w:p>
      <w:r>
        <w:rPr>
          <w:b/>
        </w:rPr>
        <w:t xml:space="preserve">15 </w:t>
      </w:r>
      <w:r>
        <w:t xml:space="preserve">And Saul said, I brought them from Amalek, the things that the people preserved, the strongest of the flock and of the herds, so that they may be sacrificed to the Lord your God, and the rest I destroyed.</w:t>
      </w:r>
    </w:p>
    <w:p>
      <w:r>
        <w:rPr>
          <w:b/>
        </w:rPr>
        <w:t xml:space="preserve">16 </w:t>
      </w:r>
      <w:r>
        <w:t xml:space="preserve">And Samuel said to Saul, Let it be, and I will report to you what the Lord spoke to me in the night. And he said to him, Speak.</w:t>
      </w:r>
    </w:p>
    <w:p>
      <w:r>
        <w:rPr>
          <w:b/>
        </w:rPr>
        <w:t xml:space="preserve">17 </w:t>
      </w:r>
      <w:r>
        <w:t xml:space="preserve">And Samuel said to Saul, Were you not small before him, leader of the scepter of a tribe of Israel? And the Lord</w:t>
      </w:r>
      <w:r>
        <w:rPr>
          <w:rStyle w:val="FootnoteReference"/>
        </w:rPr>
        <w:footnoteReference w:id="5397"/>
      </w:r>
      <w:r>
        <w:t xml:space="preserve"> anointed you as king over Israel.</w:t>
      </w:r>
    </w:p>
    <w:p>
      <w:r>
        <w:rPr>
          <w:b/>
        </w:rPr>
        <w:t xml:space="preserve">18 </w:t>
      </w:r>
      <w:r>
        <w:t xml:space="preserve">And the Lord sent you on a road and said to you, Go, and utterly destroy Amalek, the ones sinning against me, and you will fight them until you finish them.</w:t>
      </w:r>
    </w:p>
    <w:p>
      <w:r>
        <w:rPr>
          <w:b/>
        </w:rPr>
        <w:t xml:space="preserve">19 </w:t>
      </w:r>
      <w:r>
        <w:t xml:space="preserve">And why did you not hear the voice of the Lord, but rushed to set yourself on the spoil and did the evil before the Lord?</w:t>
      </w:r>
    </w:p>
    <w:p>
      <w:r>
        <w:rPr>
          <w:b/>
        </w:rPr>
        <w:t xml:space="preserve">20 </w:t>
      </w:r>
      <w:r>
        <w:t xml:space="preserve">And Saul said to Samuel, Because I heard the voice of the people, I went on the road on which the Lord sent me, and I brought Agag king of Amalek, and Amalek I destroyed utterly.</w:t>
      </w:r>
    </w:p>
    <w:p>
      <w:r>
        <w:rPr>
          <w:b/>
        </w:rPr>
        <w:t xml:space="preserve">21 </w:t>
      </w:r>
      <w:r>
        <w:t xml:space="preserve">And the people took from the spoil flocks and herds, the first of the devoted destruction, to sacrifice before the Lord our God in Gilgal.</w:t>
      </w:r>
    </w:p>
    <w:p>
      <w:r>
        <w:rPr>
          <w:b/>
        </w:rPr>
        <w:t xml:space="preserve">22 </w:t>
      </w:r>
      <w:r>
        <w:t xml:space="preserve">And Samuel said, Is it acceptable to the Lord, whole burnt offerings and sacrifices, as hearing the voice of the Lord? Behold, hearing is better than sacrifice</w:t>
      </w:r>
      <w:r>
        <w:rPr>
          <w:rStyle w:val="FootnoteReference"/>
        </w:rPr>
        <w:footnoteReference w:id="5398"/>
      </w:r>
      <w:r>
        <w:t xml:space="preserve">, and listening than the fat of rams.</w:t>
      </w:r>
    </w:p>
    <w:p>
      <w:r>
        <w:rPr>
          <w:b/>
        </w:rPr>
        <w:t xml:space="preserve">23 </w:t>
      </w:r>
      <w:r>
        <w:t xml:space="preserve">Because sin is divination, and pain and grief bring on teraphim, because you counted the word of the Lord as nothing, and the Lord will count you as nothing from being king over Israel.</w:t>
      </w:r>
    </w:p>
    <w:p>
      <w:r>
        <w:rPr>
          <w:b/>
        </w:rPr>
        <w:t xml:space="preserve">24 </w:t>
      </w:r>
      <w:r>
        <w:t xml:space="preserve">And Saul said to Samuel, I have sinned</w:t>
      </w:r>
      <w:r>
        <w:rPr>
          <w:rStyle w:val="FootnoteReference"/>
        </w:rPr>
        <w:footnoteReference w:id="5399"/>
      </w:r>
      <w:r>
        <w:t xml:space="preserve">, because I transgressed the word of the Lord and your saying, because I feared the people and heard their voice.</w:t>
      </w:r>
    </w:p>
    <w:p>
      <w:r>
        <w:rPr>
          <w:b/>
        </w:rPr>
        <w:t xml:space="preserve">25 </w:t>
      </w:r>
      <w:r>
        <w:t xml:space="preserve">And now take away my sin, and turn back with me, and I will bow down to the Lord your God.</w:t>
      </w:r>
    </w:p>
    <w:p>
      <w:r>
        <w:rPr>
          <w:b/>
        </w:rPr>
        <w:t xml:space="preserve">26 </w:t>
      </w:r>
      <w:r>
        <w:t xml:space="preserve">And Samuel said to Saul, I will not</w:t>
      </w:r>
      <w:r>
        <w:rPr>
          <w:rStyle w:val="FootnoteReference"/>
        </w:rPr>
        <w:footnoteReference w:id="5400"/>
      </w:r>
      <w:r>
        <w:t xml:space="preserve"> turn back with you, because you counted the word of the Lord as nothing, and the Lord will count you as nothing from being king over Israel.</w:t>
      </w:r>
    </w:p>
    <w:p>
      <w:r>
        <w:rPr>
          <w:b/>
        </w:rPr>
        <w:t xml:space="preserve">27 </w:t>
      </w:r>
      <w:r>
        <w:t xml:space="preserve">And Samuel turned his face to go away, and Saul seized the wing of his double cloak and tore it.</w:t>
      </w:r>
    </w:p>
    <w:p>
      <w:r>
        <w:rPr>
          <w:b/>
        </w:rPr>
        <w:t xml:space="preserve">28 </w:t>
      </w:r>
      <w:r>
        <w:t xml:space="preserve">And Samuel said to him, The Lord</w:t>
      </w:r>
      <w:r>
        <w:rPr>
          <w:rStyle w:val="FootnoteReference"/>
        </w:rPr>
        <w:footnoteReference w:id="5401"/>
      </w:r>
      <w:r>
        <w:t xml:space="preserve"> has torn the kingdom of Israel from your hand today and will give it to your neighbor, the good one beyond you.</w:t>
      </w:r>
    </w:p>
    <w:p>
      <w:r>
        <w:rPr>
          <w:b/>
        </w:rPr>
        <w:t xml:space="preserve">29 </w:t>
      </w:r>
      <w:r>
        <w:t xml:space="preserve">And Israel will be divided into two, and he will not turn back, nor will he repent, because he is not like a human, for him to repent.</w:t>
      </w:r>
    </w:p>
    <w:p>
      <w:r>
        <w:rPr>
          <w:b/>
        </w:rPr>
        <w:t xml:space="preserve">30 </w:t>
      </w:r>
      <w:r>
        <w:t xml:space="preserve">And Saul said, I have sinned, but glorify me now before the elders of Israel and before my people, and turn back with me, and I will bow down to the Lord your God.</w:t>
      </w:r>
    </w:p>
    <w:p>
      <w:r>
        <w:rPr>
          <w:b/>
        </w:rPr>
        <w:t xml:space="preserve">31 </w:t>
      </w:r>
      <w:r>
        <w:t xml:space="preserve">And Samuel turned back after Saul, and he bowed down to the Lord.</w:t>
      </w:r>
    </w:p>
    <w:p>
      <w:r>
        <w:rPr>
          <w:b/>
        </w:rPr>
        <w:t xml:space="preserve">32 </w:t>
      </w:r>
      <w:r>
        <w:t xml:space="preserve">And Samuel said, Bring near to me Agag king of Amalek. And Agag came to him trembling, and Agag said</w:t>
      </w:r>
      <w:r>
        <w:rPr>
          <w:rStyle w:val="FootnoteReference"/>
        </w:rPr>
        <w:footnoteReference w:id="5402"/>
      </w:r>
      <w:r>
        <w:t xml:space="preserve">, Is death thus bitter?</w:t>
      </w:r>
    </w:p>
    <w:p>
      <w:r>
        <w:rPr>
          <w:b/>
        </w:rPr>
        <w:t xml:space="preserve">33 </w:t>
      </w:r>
      <w:r>
        <w:t xml:space="preserve">And Samuel said to Agag, As your sword made women childless, so your mother will be made childless among women. And Samuel slaughtered Agag before the Lord in Gilgal.</w:t>
      </w:r>
    </w:p>
    <w:p>
      <w:r>
        <w:rPr>
          <w:b/>
        </w:rPr>
        <w:t xml:space="preserve">34 </w:t>
      </w:r>
      <w:r>
        <w:t xml:space="preserve">And Samuel went away to Ramathaim-Zophim, and Saul went up to his house at Gibeah</w:t>
      </w:r>
      <w:r>
        <w:rPr>
          <w:rStyle w:val="FootnoteReference"/>
        </w:rPr>
        <w:footnoteReference w:id="5403"/>
      </w:r>
      <w:r>
        <w:t xml:space="preserve">.</w:t>
      </w:r>
    </w:p>
    <w:p>
      <w:r>
        <w:rPr>
          <w:b/>
        </w:rPr>
        <w:t xml:space="preserve">35 </w:t>
      </w:r>
      <w:r>
        <w:t xml:space="preserve">And Samuel</w:t>
      </w:r>
      <w:r>
        <w:rPr>
          <w:rStyle w:val="FootnoteReference"/>
        </w:rPr>
        <w:footnoteReference w:id="5404"/>
      </w:r>
      <w:r>
        <w:t xml:space="preserve"> did not add again to see Saul until the day of his death, because Samuel was mourning for Saul, and the Lord repented that he had made Saul king over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the Lord said to Samuel, How long</w:t>
      </w:r>
      <w:r>
        <w:rPr>
          <w:rStyle w:val="FootnoteReference"/>
        </w:rPr>
        <w:footnoteReference w:id="5405"/>
      </w:r>
      <w:r>
        <w:t xml:space="preserve"> do you mourn over Saul, while I have counted him as nothing from reigning over Israel? Fill your horn with oil and come, I will send you to Jesse in Bethlehem, because I have seen among his sons one for me to reign.</w:t>
      </w:r>
    </w:p>
    <w:p>
      <w:r>
        <w:rPr>
          <w:b/>
        </w:rPr>
        <w:t xml:space="preserve">2 </w:t>
      </w:r>
      <w:r>
        <w:t xml:space="preserve">And Samuel said, How shall I go? Saul will hear and kill me. And the Lord said, Take a heifer of the cattle</w:t>
      </w:r>
      <w:r>
        <w:rPr>
          <w:rStyle w:val="FootnoteReference"/>
        </w:rPr>
        <w:footnoteReference w:id="5406"/>
      </w:r>
      <w:r>
        <w:t xml:space="preserve"> in your hand, and you will say, I have come to sacrifice to the Lord.</w:t>
      </w:r>
    </w:p>
    <w:p>
      <w:r>
        <w:rPr>
          <w:b/>
        </w:rPr>
        <w:t xml:space="preserve">3 </w:t>
      </w:r>
      <w:r>
        <w:t xml:space="preserve">And you will call Jesse</w:t>
      </w:r>
      <w:r>
        <w:rPr>
          <w:rStyle w:val="FootnoteReference"/>
        </w:rPr>
        <w:footnoteReference w:id="5407"/>
      </w:r>
      <w:r>
        <w:t xml:space="preserve"> to the sacrifice, and I will make known to you what you shall do, and you will anoint whomever I tell you.</w:t>
      </w:r>
    </w:p>
    <w:p>
      <w:r>
        <w:rPr>
          <w:b/>
        </w:rPr>
        <w:t xml:space="preserve">4 </w:t>
      </w:r>
      <w:r>
        <w:t xml:space="preserve">And Samuel did everything whatever the Lord spoke to him, and he came to Bethlehem, and the elders of the city stood outside themselves to meet him and said, Seer, is your coming peace?</w:t>
      </w:r>
    </w:p>
    <w:p>
      <w:r>
        <w:rPr>
          <w:b/>
        </w:rPr>
        <w:t xml:space="preserve">5 </w:t>
      </w:r>
      <w:r>
        <w:t xml:space="preserve">And he said, Peace. I have come to sacrifice to the Lord. Consecrate yourselves and be glad with me today. And he consecrated Jesse and his sons and called them to the sacrifice.</w:t>
      </w:r>
    </w:p>
    <w:p>
      <w:r>
        <w:rPr>
          <w:b/>
        </w:rPr>
        <w:t xml:space="preserve">6 </w:t>
      </w:r>
      <w:r>
        <w:t xml:space="preserve">And it came to be as they were entering, he saw Eliab</w:t>
      </w:r>
      <w:r>
        <w:rPr>
          <w:rStyle w:val="FootnoteReference"/>
        </w:rPr>
        <w:footnoteReference w:id="5408"/>
      </w:r>
      <w:r>
        <w:t xml:space="preserve"> and said, Then indeed his anointed is before the Lord.</w:t>
      </w:r>
    </w:p>
    <w:p>
      <w:r>
        <w:rPr>
          <w:b/>
        </w:rPr>
        <w:t xml:space="preserve">7 </w:t>
      </w:r>
      <w:r>
        <w:t xml:space="preserve">And the Lord said to Samuel, Do not look on his appearance, nor on the condition of his stature, because I have counted him as nothing. For God will not see as a human sees, because a human sees into the face, but God sees into the heart</w:t>
      </w:r>
      <w:r>
        <w:rPr>
          <w:rStyle w:val="FootnoteReference"/>
        </w:rPr>
        <w:footnoteReference w:id="5409"/>
      </w:r>
      <w:r>
        <w:t xml:space="preserve">.</w:t>
      </w:r>
    </w:p>
    <w:p>
      <w:r>
        <w:rPr>
          <w:b/>
        </w:rPr>
        <w:t xml:space="preserve">8 </w:t>
      </w:r>
      <w:r>
        <w:t xml:space="preserve">And Jesse called Amminadab and brought him before Samuel, and he said, Neither has the Lord chosen this one.</w:t>
      </w:r>
    </w:p>
    <w:p>
      <w:r>
        <w:rPr>
          <w:b/>
        </w:rPr>
        <w:t xml:space="preserve">9 </w:t>
      </w:r>
      <w:r>
        <w:t xml:space="preserve">And Jesse brought Shammah</w:t>
      </w:r>
      <w:r>
        <w:rPr>
          <w:rStyle w:val="FootnoteReference"/>
        </w:rPr>
        <w:footnoteReference w:id="5410"/>
      </w:r>
      <w:r>
        <w:t xml:space="preserve">, and he said, Neither in this one has the Lord chosen.</w:t>
      </w:r>
      <w:r>
        <w:rPr>
          <w:rStyle w:val="FootnoteReference"/>
        </w:rPr>
        <w:footnoteReference w:id="5411"/>
      </w:r>
    </w:p>
    <w:p>
      <w:r>
        <w:rPr>
          <w:b/>
        </w:rPr>
        <w:t xml:space="preserve">10 </w:t>
      </w:r>
      <w:r>
        <w:t xml:space="preserve">And Jesse brought his seven</w:t>
      </w:r>
      <w:r>
        <w:rPr>
          <w:rStyle w:val="FootnoteReference"/>
        </w:rPr>
        <w:footnoteReference w:id="5412"/>
      </w:r>
      <w:r>
        <w:t xml:space="preserve"> sons before Samuel, and Samuel said, The Lord has not chosen among these.</w:t>
      </w:r>
    </w:p>
    <w:p>
      <w:r>
        <w:rPr>
          <w:b/>
        </w:rPr>
        <w:t xml:space="preserve">11 </w:t>
      </w:r>
      <w:r>
        <w:t xml:space="preserve">And Samuel said to Jesse, Have the young men failed</w:t>
      </w:r>
      <w:r>
        <w:rPr>
          <w:rStyle w:val="FootnoteReference"/>
        </w:rPr>
        <w:footnoteReference w:id="5413"/>
      </w:r>
      <w:r>
        <w:t xml:space="preserve">? And he said, There is still the small one; behold, he is shepherding among the flock. And Samuel said to Jesse, Send and take him, because we certainly will not recline until he comes here.</w:t>
      </w:r>
    </w:p>
    <w:p>
      <w:r>
        <w:rPr>
          <w:b/>
        </w:rPr>
        <w:t xml:space="preserve">12 </w:t>
      </w:r>
      <w:r>
        <w:t xml:space="preserve">And he sent and brought him in. And he was ruddy</w:t>
      </w:r>
      <w:r>
        <w:rPr>
          <w:rStyle w:val="FootnoteReference"/>
        </w:rPr>
        <w:footnoteReference w:id="5414"/>
      </w:r>
      <w:r>
        <w:t xml:space="preserve">, with the beauty of eyes, and good in appearance to the Lord. And the Lord said to Samuel, Rise and anoint David, because this one is good.</w:t>
      </w:r>
    </w:p>
    <w:p>
      <w:r>
        <w:rPr>
          <w:b/>
        </w:rPr>
        <w:t xml:space="preserve">13 </w:t>
      </w:r>
      <w:r>
        <w:t xml:space="preserve">And Samuel took the horn of oil and anointed</w:t>
      </w:r>
      <w:r>
        <w:rPr>
          <w:rStyle w:val="FootnoteReference"/>
        </w:rPr>
        <w:footnoteReference w:id="5415"/>
      </w:r>
      <w:r>
        <w:t xml:space="preserve"> him in the midst of his brothers, and the Spirit of the Lord leapt upon David</w:t>
      </w:r>
      <w:r>
        <w:rPr>
          <w:rStyle w:val="FootnoteReference"/>
        </w:rPr>
        <w:footnoteReference w:id="5416"/>
      </w:r>
      <w:r>
        <w:t xml:space="preserve"> from that day and beyond. And Samuel rose and went away to Ramathaim-Zophim.</w:t>
      </w:r>
    </w:p>
    <w:p>
      <w:r>
        <w:rPr>
          <w:b/>
        </w:rPr>
        <w:t xml:space="preserve">14 </w:t>
      </w:r>
      <w:r>
        <w:t xml:space="preserve">And the Spirit</w:t>
      </w:r>
      <w:r>
        <w:rPr>
          <w:rStyle w:val="FootnoteReference"/>
        </w:rPr>
        <w:footnoteReference w:id="5417"/>
      </w:r>
      <w:r>
        <w:t xml:space="preserve"> of the Lord departed from Saul, and an evil spirit from the Lord was choking him.</w:t>
      </w:r>
    </w:p>
    <w:p>
      <w:r>
        <w:rPr>
          <w:b/>
        </w:rPr>
        <w:t xml:space="preserve">15 </w:t>
      </w:r>
      <w:r>
        <w:t xml:space="preserve">And the servants of Saul said to him, Behold now, an evil spirit from the Lord is choking you.</w:t>
      </w:r>
    </w:p>
    <w:p>
      <w:r>
        <w:rPr>
          <w:b/>
        </w:rPr>
        <w:t xml:space="preserve">16 </w:t>
      </w:r>
      <w:r>
        <w:t xml:space="preserve">Let your servants before you speak now, and let them seek for our lord a man knowing how to play</w:t>
      </w:r>
      <w:r>
        <w:rPr>
          <w:rStyle w:val="FootnoteReference"/>
        </w:rPr>
        <w:footnoteReference w:id="5418"/>
      </w:r>
      <w:r>
        <w:t xml:space="preserve"> on a lyre, and it will be when an evil spirit is upon you, he will play with his lyre, and it will be good for you and will give you rest</w:t>
      </w:r>
      <w:r>
        <w:rPr>
          <w:rStyle w:val="FootnoteReference"/>
        </w:rPr>
        <w:footnoteReference w:id="5419"/>
      </w:r>
      <w:r>
        <w:t xml:space="preserve">.</w:t>
      </w:r>
    </w:p>
    <w:p>
      <w:r>
        <w:rPr>
          <w:b/>
        </w:rPr>
        <w:t xml:space="preserve">17 </w:t>
      </w:r>
      <w:r>
        <w:t xml:space="preserve">And Saul said to his servants, Find for me now a man playing rightly, and bring him to me.</w:t>
      </w:r>
    </w:p>
    <w:p>
      <w:r>
        <w:rPr>
          <w:b/>
        </w:rPr>
        <w:t xml:space="preserve">18 </w:t>
      </w:r>
      <w:r>
        <w:t xml:space="preserve">And one of his young men answered and said, Behold, I have seen a son belonging to Jesse the Bethlehemite</w:t>
      </w:r>
      <w:r>
        <w:rPr>
          <w:rStyle w:val="FootnoteReference"/>
        </w:rPr>
        <w:footnoteReference w:id="5420"/>
      </w:r>
      <w:r>
        <w:t xml:space="preserve">, and he knows song</w:t>
      </w:r>
      <w:r>
        <w:rPr>
          <w:rStyle w:val="FootnoteReference"/>
        </w:rPr>
        <w:footnoteReference w:id="5421"/>
      </w:r>
      <w:r>
        <w:t xml:space="preserve">, and the man is prudent and a warrior and wise in word and good in appearance, and the Lord</w:t>
      </w:r>
      <w:r>
        <w:rPr>
          <w:rStyle w:val="FootnoteReference"/>
        </w:rPr>
        <w:footnoteReference w:id="5422"/>
      </w:r>
      <w:r>
        <w:t xml:space="preserve"> is with him.</w:t>
      </w:r>
    </w:p>
    <w:p>
      <w:r>
        <w:rPr>
          <w:b/>
        </w:rPr>
        <w:t xml:space="preserve">19 </w:t>
      </w:r>
      <w:r>
        <w:t xml:space="preserve">And Saul sent messengers to Jesse, saying, Send to me your son David, the one with your flock.</w:t>
      </w:r>
    </w:p>
    <w:p>
      <w:r>
        <w:rPr>
          <w:b/>
        </w:rPr>
        <w:t xml:space="preserve">20 </w:t>
      </w:r>
      <w:r>
        <w:t xml:space="preserve">And Jesse took a gomor of breads and a skin of wine and one kid of the goats and sent them by the hand of David his son to Saul.</w:t>
      </w:r>
    </w:p>
    <w:p>
      <w:r>
        <w:rPr>
          <w:b/>
        </w:rPr>
        <w:t xml:space="preserve">21 </w:t>
      </w:r>
      <w:r>
        <w:t xml:space="preserve">And David entered to Saul and stood before him</w:t>
      </w:r>
      <w:r>
        <w:rPr>
          <w:rStyle w:val="FootnoteReference"/>
        </w:rPr>
        <w:footnoteReference w:id="5423"/>
      </w:r>
      <w:r>
        <w:t xml:space="preserve">, and he loved him greatly, and he became for him the one carrying his equipment.</w:t>
      </w:r>
    </w:p>
    <w:p>
      <w:r>
        <w:rPr>
          <w:b/>
        </w:rPr>
        <w:t xml:space="preserve">22 </w:t>
      </w:r>
      <w:r>
        <w:t xml:space="preserve">And Saul sent to Jesse, saying, Let David now stand before me, because he has found favor in my eyes.</w:t>
      </w:r>
    </w:p>
    <w:p>
      <w:r>
        <w:rPr>
          <w:b/>
        </w:rPr>
        <w:t xml:space="preserve">23 </w:t>
      </w:r>
      <w:r>
        <w:t xml:space="preserve">And it came to be, when the evil spirit</w:t>
      </w:r>
      <w:r>
        <w:rPr>
          <w:rStyle w:val="FootnoteReference"/>
        </w:rPr>
        <w:footnoteReference w:id="5424"/>
      </w:r>
      <w:r>
        <w:t xml:space="preserve"> was upon Saul, David would take the lyre and play with his hand, and Saul would breathe freely, and it became good for him, and the evil spirit departed from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the foreigners gather their camps for war, and they are gathered</w:t>
      </w:r>
      <w:r>
        <w:rPr>
          <w:rStyle w:val="FootnoteReference"/>
        </w:rPr>
        <w:footnoteReference w:id="5425"/>
      </w:r>
      <w:r>
        <w:t xml:space="preserve"> at Socoh of Judah, and they camp between Socoh and between Azekah in Epheremem.</w:t>
      </w:r>
    </w:p>
    <w:p>
      <w:r>
        <w:rPr>
          <w:b/>
        </w:rPr>
        <w:t xml:space="preserve">2 </w:t>
      </w:r>
      <w:r>
        <w:t xml:space="preserve">And Saul and the men of Israel gather and camp in the valley</w:t>
      </w:r>
      <w:r>
        <w:rPr>
          <w:rStyle w:val="FootnoteReference"/>
        </w:rPr>
        <w:footnoteReference w:id="5426"/>
      </w:r>
      <w:r>
        <w:t xml:space="preserve">, and they arrange themselves for war opposite the foreigners.</w:t>
      </w:r>
    </w:p>
    <w:p>
      <w:r>
        <w:rPr>
          <w:b/>
        </w:rPr>
        <w:t xml:space="preserve">3 </w:t>
      </w:r>
      <w:r>
        <w:t xml:space="preserve">And the foreigners stood on the mountain here, and Israel stood on the mountain there, and the valley was between them.</w:t>
      </w:r>
    </w:p>
    <w:p>
      <w:r>
        <w:rPr>
          <w:b/>
        </w:rPr>
        <w:t xml:space="preserve">4 </w:t>
      </w:r>
      <w:r>
        <w:t xml:space="preserve">And a mighty man came out from the battle-line of the foreigners, Goliath</w:t>
      </w:r>
      <w:r>
        <w:rPr>
          <w:rStyle w:val="FootnoteReference"/>
        </w:rPr>
        <w:footnoteReference w:id="5427"/>
      </w:r>
      <w:r>
        <w:t xml:space="preserve"> was his name, from Gath; his height was four cubits and a span.</w:t>
      </w:r>
      <w:r>
        <w:rPr>
          <w:rStyle w:val="FootnoteReference"/>
        </w:rPr>
        <w:footnoteReference w:id="5428"/>
      </w:r>
    </w:p>
    <w:p>
      <w:r>
        <w:rPr>
          <w:b/>
        </w:rPr>
        <w:t xml:space="preserve">5 </w:t>
      </w:r>
      <w:r>
        <w:t xml:space="preserve">And a helmet was on his head, and he was clothed in a chain breastplate, and the weight of his breastplate was five thousand shekels of bronze and iron.</w:t>
      </w:r>
    </w:p>
    <w:p>
      <w:r>
        <w:rPr>
          <w:b/>
        </w:rPr>
        <w:t xml:space="preserve">6 </w:t>
      </w:r>
      <w:r>
        <w:t xml:space="preserve">And bronze greaves were over his legs, and a bronze shield was between his shoulders.</w:t>
      </w:r>
    </w:p>
    <w:p>
      <w:r>
        <w:rPr>
          <w:b/>
        </w:rPr>
        <w:t xml:space="preserve">7 </w:t>
      </w:r>
      <w:r>
        <w:t xml:space="preserve">And the shaft of his spear was like the beam of weavers, and his spearhead was six hundred shekels of iron, and the one carrying his weapons went before him.</w:t>
      </w:r>
    </w:p>
    <w:p>
      <w:r>
        <w:rPr>
          <w:b/>
        </w:rPr>
        <w:t xml:space="preserve">8 </w:t>
      </w:r>
      <w:r>
        <w:t xml:space="preserve">And he stood and cried out to the battle-line of Israel and said to them, Why do you come out to array yourselves for battle against us? Am I not a foreigner, and you Hebrews of Saul? Choose for yourselves a man, and let him come down to me.</w:t>
      </w:r>
      <w:r>
        <w:rPr>
          <w:rStyle w:val="FootnoteReference"/>
        </w:rPr>
        <w:footnoteReference w:id="5429"/>
      </w:r>
    </w:p>
    <w:p>
      <w:r>
        <w:rPr>
          <w:b/>
        </w:rPr>
        <w:t xml:space="preserve">9 </w:t>
      </w:r>
      <w:r>
        <w:t xml:space="preserve">And if he is able to fight with me and if he strikes me, we will be your slaves. But if I prevail and strike him, you will be our slaves and serve us</w:t>
      </w:r>
      <w:r>
        <w:rPr>
          <w:rStyle w:val="FootnoteReference"/>
        </w:rPr>
        <w:footnoteReference w:id="5430"/>
      </w:r>
      <w:r>
        <w:t xml:space="preserve">.</w:t>
      </w:r>
    </w:p>
    <w:p>
      <w:r>
        <w:rPr>
          <w:b/>
        </w:rPr>
        <w:t xml:space="preserve">10 </w:t>
      </w:r>
      <w:r>
        <w:t xml:space="preserve">And the foreigner said, Behold, I have reproached the battle-line of Israel today in this day. Give me</w:t>
      </w:r>
      <w:r>
        <w:rPr>
          <w:rStyle w:val="FootnoteReference"/>
        </w:rPr>
        <w:footnoteReference w:id="5431"/>
      </w:r>
      <w:r>
        <w:t xml:space="preserve"> a man, and let the two of us fight alone.</w:t>
      </w:r>
    </w:p>
    <w:p>
      <w:r>
        <w:rPr>
          <w:b/>
        </w:rPr>
        <w:t xml:space="preserve">11 </w:t>
      </w:r>
      <w:r>
        <w:t xml:space="preserve">And Saul and all Israel heard these words of the foreigner, and they stood outside themselves and feared greatly.</w:t>
      </w:r>
    </w:p>
    <w:p>
      <w:r>
        <w:rPr>
          <w:b/>
        </w:rPr>
        <w:t xml:space="preserve">32 </w:t>
      </w:r>
      <w:r>
        <w:t xml:space="preserve">And David said to Saul, Let not the heart of my lord fall upon him. Your servant will go and fight with this foreigner.</w:t>
      </w:r>
      <w:r>
        <w:rPr>
          <w:rStyle w:val="FootnoteReference"/>
        </w:rPr>
        <w:footnoteReference w:id="5432"/>
      </w:r>
    </w:p>
    <w:p>
      <w:r>
        <w:rPr>
          <w:b/>
        </w:rPr>
        <w:t xml:space="preserve">33 </w:t>
      </w:r>
      <w:r>
        <w:t xml:space="preserve">And Saul said to David, You certainly will not be able to go to the foreigner to fight with him, because you are a young boy, and he is a warrior from his youth.</w:t>
      </w:r>
    </w:p>
    <w:p>
      <w:r>
        <w:rPr>
          <w:b/>
        </w:rPr>
        <w:t xml:space="preserve">34 </w:t>
      </w:r>
      <w:r>
        <w:t xml:space="preserve">And David said to Saul, Your servant was shepherding for his father among the flock, and whenever the lion or the bear came and took a sheep from the herd,</w:t>
      </w:r>
    </w:p>
    <w:p>
      <w:r>
        <w:rPr>
          <w:b/>
        </w:rPr>
        <w:t xml:space="preserve">35 </w:t>
      </w:r>
      <w:r>
        <w:t xml:space="preserve">I would go out after it and strike it and snatch it from its mouth. And if it rose up against me, I seized its throat and struck and killed it.</w:t>
      </w:r>
    </w:p>
    <w:p>
      <w:r>
        <w:rPr>
          <w:b/>
        </w:rPr>
        <w:t xml:space="preserve">36 </w:t>
      </w:r>
      <w:r>
        <w:t xml:space="preserve">And your servant used to strike both the bear and the lion, and this uncircumcised foreigner will be like one of them. Will I not go and strike him and remove today reproach from Israel? Because who is this uncircumcised one, who has reproached the battle-line of the living God?</w:t>
      </w:r>
    </w:p>
    <w:p>
      <w:r>
        <w:rPr>
          <w:b/>
        </w:rPr>
        <w:t xml:space="preserve">37 </w:t>
      </w:r>
      <w:r>
        <w:t xml:space="preserve">The Lord</w:t>
      </w:r>
      <w:r>
        <w:rPr>
          <w:rStyle w:val="FootnoteReference"/>
        </w:rPr>
        <w:footnoteReference w:id="5433"/>
      </w:r>
      <w:r>
        <w:t xml:space="preserve"> who delivered me from the hand of the lion and from the hand of the bear, he will deliver me from the hand of this uncircumcised foreigner</w:t>
      </w:r>
      <w:r>
        <w:rPr>
          <w:rStyle w:val="FootnoteReference"/>
        </w:rPr>
        <w:footnoteReference w:id="5434"/>
      </w:r>
      <w:r>
        <w:t xml:space="preserve">. And Saul said to David, Go, and the Lord will be with you.</w:t>
      </w:r>
    </w:p>
    <w:p>
      <w:r>
        <w:rPr>
          <w:b/>
        </w:rPr>
        <w:t xml:space="preserve">38 </w:t>
      </w:r>
      <w:r>
        <w:t xml:space="preserve">And Saul clothed David with a cloak and put a bronze helmet around his head.</w:t>
      </w:r>
    </w:p>
    <w:p>
      <w:r>
        <w:rPr>
          <w:b/>
        </w:rPr>
        <w:t xml:space="preserve">39 </w:t>
      </w:r>
      <w:r>
        <w:t xml:space="preserve">And David girded on his sword over his cloak and labored to walk once and twice, and David said to Saul, I certainly will not be able to go in these things, because I have not tried them. And they take them off from him.</w:t>
      </w:r>
    </w:p>
    <w:p>
      <w:r>
        <w:rPr>
          <w:b/>
        </w:rPr>
        <w:t xml:space="preserve">40 </w:t>
      </w:r>
      <w:r>
        <w:t xml:space="preserve">And he took his staff</w:t>
      </w:r>
      <w:r>
        <w:rPr>
          <w:rStyle w:val="FootnoteReference"/>
        </w:rPr>
        <w:footnoteReference w:id="5435"/>
      </w:r>
      <w:r>
        <w:t xml:space="preserve"> in his hand and chose for himself five smooth stones from the wadi and put them in the shepherd’s pouch that belonged to him for gathering, and his sling was in his hand, and he came near to the foreign man.</w:t>
      </w:r>
    </w:p>
    <w:p>
      <w:r>
        <w:rPr>
          <w:b/>
        </w:rPr>
        <w:t xml:space="preserve">42 </w:t>
      </w:r>
      <w:r>
        <w:t xml:space="preserve">And Goliad saw David and dishonored him, because he was a youth</w:t>
      </w:r>
      <w:r>
        <w:rPr>
          <w:rStyle w:val="FootnoteReference"/>
        </w:rPr>
        <w:footnoteReference w:id="5436"/>
      </w:r>
      <w:r>
        <w:t xml:space="preserve">, and he was ruddy, with the beauty of eyes.</w:t>
      </w:r>
      <w:r>
        <w:rPr>
          <w:rStyle w:val="FootnoteReference"/>
        </w:rPr>
        <w:footnoteReference w:id="5437"/>
      </w:r>
    </w:p>
    <w:p>
      <w:r>
        <w:rPr>
          <w:b/>
        </w:rPr>
        <w:t xml:space="preserve">43 </w:t>
      </w:r>
      <w:r>
        <w:t xml:space="preserve">And the foreigner said to David, Am I like a dog, that you come against me with staff and stones? And David said, No, but worse than a dog’s hand. And the foreigner cursed</w:t>
      </w:r>
      <w:r>
        <w:rPr>
          <w:rStyle w:val="FootnoteReference"/>
        </w:rPr>
        <w:footnoteReference w:id="5438"/>
      </w:r>
      <w:r>
        <w:t xml:space="preserve"> David by his gods.</w:t>
      </w:r>
    </w:p>
    <w:p>
      <w:r>
        <w:rPr>
          <w:b/>
        </w:rPr>
        <w:t xml:space="preserve">44 </w:t>
      </w:r>
      <w:r>
        <w:t xml:space="preserve">And the foreigner said to David, Come to me</w:t>
      </w:r>
      <w:r>
        <w:rPr>
          <w:rStyle w:val="FootnoteReference"/>
        </w:rPr>
        <w:footnoteReference w:id="5439"/>
      </w:r>
      <w:r>
        <w:t xml:space="preserve">, and I will give your flesh to the birds of the sky and to the beasts of the earth.</w:t>
      </w:r>
    </w:p>
    <w:p>
      <w:r>
        <w:rPr>
          <w:b/>
        </w:rPr>
        <w:t xml:space="preserve">45 </w:t>
      </w:r>
      <w:r>
        <w:t xml:space="preserve">And David said to the foreigner, You come to me with sword and spear and shield, but I go to you in the name</w:t>
      </w:r>
      <w:r>
        <w:rPr>
          <w:rStyle w:val="FootnoteReference"/>
        </w:rPr>
        <w:footnoteReference w:id="5440"/>
      </w:r>
      <w:r>
        <w:t xml:space="preserve"> of the Lord of hosts</w:t>
      </w:r>
      <w:r>
        <w:rPr>
          <w:rStyle w:val="FootnoteReference"/>
        </w:rPr>
        <w:footnoteReference w:id="5441"/>
      </w:r>
      <w:r>
        <w:t xml:space="preserve">, God of the battle-line of Israel, whom you have reproached today.</w:t>
      </w:r>
    </w:p>
    <w:p>
      <w:r>
        <w:rPr>
          <w:b/>
        </w:rPr>
        <w:t xml:space="preserve">46 </w:t>
      </w:r>
      <w:r>
        <w:t xml:space="preserve">And the Lord will shut you up into my hand today, and I will kill you and remove your head from you, and I will give your limbs and the limbs of the camp of the foreigners in this day to the birds of the sky and to the beasts of the earth, and all the earth</w:t>
      </w:r>
      <w:r>
        <w:rPr>
          <w:rStyle w:val="FootnoteReference"/>
        </w:rPr>
        <w:footnoteReference w:id="5442"/>
      </w:r>
      <w:r>
        <w:t xml:space="preserve"> will know that there is a God in Israel.</w:t>
      </w:r>
      <w:r>
        <w:rPr>
          <w:rStyle w:val="FootnoteReference"/>
        </w:rPr>
        <w:footnoteReference w:id="5443"/>
      </w:r>
    </w:p>
    <w:p>
      <w:r>
        <w:rPr>
          <w:b/>
        </w:rPr>
        <w:t xml:space="preserve">47 </w:t>
      </w:r>
      <w:r>
        <w:t xml:space="preserve">And all this assembly will know that the Lord does not save with sword and spear, because the battle</w:t>
      </w:r>
      <w:r>
        <w:rPr>
          <w:rStyle w:val="FootnoteReference"/>
        </w:rPr>
        <w:footnoteReference w:id="5444"/>
      </w:r>
      <w:r>
        <w:t xml:space="preserve"> is the Lord’s, and the Lord will deliver you into our hands.</w:t>
      </w:r>
    </w:p>
    <w:p>
      <w:r>
        <w:rPr>
          <w:b/>
        </w:rPr>
        <w:t xml:space="preserve">48 </w:t>
      </w:r>
      <w:r>
        <w:t xml:space="preserve">And the foreigner rose and went to meet David.</w:t>
      </w:r>
    </w:p>
    <w:p>
      <w:r>
        <w:rPr>
          <w:b/>
        </w:rPr>
        <w:t xml:space="preserve">49 </w:t>
      </w:r>
      <w:r>
        <w:t xml:space="preserve">And David stretched out his hand into the pouch and took from there one stone and slung it and struck the foreigner on his forehead, and the stone went through the helmet into his forehead</w:t>
      </w:r>
      <w:r>
        <w:rPr>
          <w:rStyle w:val="FootnoteReference"/>
        </w:rPr>
        <w:footnoteReference w:id="5445"/>
      </w:r>
      <w:r>
        <w:t xml:space="preserve">, and he fell on his face to the ground.</w:t>
      </w:r>
    </w:p>
    <w:p>
      <w:r>
        <w:rPr>
          <w:b/>
        </w:rPr>
        <w:t xml:space="preserve">51 </w:t>
      </w:r>
      <w:r>
        <w:t xml:space="preserve">And David ran and stood over him</w:t>
      </w:r>
      <w:r>
        <w:rPr>
          <w:rStyle w:val="FootnoteReference"/>
        </w:rPr>
        <w:footnoteReference w:id="5446"/>
      </w:r>
      <w:r>
        <w:t xml:space="preserve"> and took his sword</w:t>
      </w:r>
      <w:r>
        <w:rPr>
          <w:rStyle w:val="FootnoteReference"/>
        </w:rPr>
        <w:footnoteReference w:id="5447"/>
      </w:r>
      <w:r>
        <w:t xml:space="preserve"> and killed him and removed his head. And the foreigners saw that their mighty one had died, and they fled.</w:t>
      </w:r>
      <w:r>
        <w:rPr>
          <w:rStyle w:val="FootnoteReference"/>
        </w:rPr>
        <w:footnoteReference w:id="5448"/>
      </w:r>
    </w:p>
    <w:p>
      <w:r>
        <w:rPr>
          <w:b/>
        </w:rPr>
        <w:t xml:space="preserve">52 </w:t>
      </w:r>
      <w:r>
        <w:t xml:space="preserve">And the men of Israel</w:t>
      </w:r>
      <w:r>
        <w:rPr>
          <w:rStyle w:val="FootnoteReference"/>
        </w:rPr>
        <w:footnoteReference w:id="5449"/>
      </w:r>
      <w:r>
        <w:t xml:space="preserve"> and Judah rose and shouted</w:t>
      </w:r>
      <w:r>
        <w:rPr>
          <w:rStyle w:val="FootnoteReference"/>
        </w:rPr>
        <w:footnoteReference w:id="5450"/>
      </w:r>
      <w:r>
        <w:t xml:space="preserve"> and chased after them as far as the entrance of Gath and as far as the gate of Ashkelon, and wounded men of the foreigners fell on the road of the gates and as far as Gath and as far as Ekron.</w:t>
      </w:r>
    </w:p>
    <w:p>
      <w:r>
        <w:rPr>
          <w:b/>
        </w:rPr>
        <w:t xml:space="preserve">53 </w:t>
      </w:r>
      <w:r>
        <w:t xml:space="preserve">And the men of Israel returned, turning aside from after the foreigners, and they trampled their camps.</w:t>
      </w:r>
    </w:p>
    <w:p>
      <w:r>
        <w:rPr>
          <w:b/>
        </w:rPr>
        <w:t xml:space="preserve">54 </w:t>
      </w:r>
      <w:r>
        <w:t xml:space="preserve">And David took the head</w:t>
      </w:r>
      <w:r>
        <w:rPr>
          <w:rStyle w:val="FootnoteReference"/>
        </w:rPr>
        <w:footnoteReference w:id="5451"/>
      </w:r>
      <w:r>
        <w:t xml:space="preserve"> of the foreigner and brought it into Jerusalem, and his equipment he placed in his tent.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6 </w:t>
      </w:r>
      <w:r>
        <w:t xml:space="preserve">And the dancing women</w:t>
      </w:r>
      <w:r>
        <w:rPr>
          <w:rStyle w:val="FootnoteReference"/>
        </w:rPr>
        <w:footnoteReference w:id="5452"/>
      </w:r>
      <w:r>
        <w:t xml:space="preserve"> came out to meet David from all the cities of Israel with tambourines and with rejoicing and with cymbals.</w:t>
      </w:r>
    </w:p>
    <w:p>
      <w:r>
        <w:rPr>
          <w:b/>
        </w:rPr>
        <w:t xml:space="preserve">7 </w:t>
      </w:r>
      <w:r>
        <w:t xml:space="preserve">And the women went out and were saying, Saul</w:t>
      </w:r>
      <w:r>
        <w:rPr>
          <w:rStyle w:val="FootnoteReference"/>
        </w:rPr>
        <w:footnoteReference w:id="5453"/>
      </w:r>
      <w:r>
        <w:t xml:space="preserve"> struck in his thousands, and David in his tens of thousands.</w:t>
      </w:r>
    </w:p>
    <w:p>
      <w:r>
        <w:rPr>
          <w:b/>
        </w:rPr>
        <w:t xml:space="preserve">8 </w:t>
      </w:r>
      <w:r>
        <w:t xml:space="preserve">And the saying</w:t>
      </w:r>
      <w:r>
        <w:rPr>
          <w:rStyle w:val="FootnoteReference"/>
        </w:rPr>
        <w:footnoteReference w:id="5454"/>
      </w:r>
      <w:r>
        <w:t xml:space="preserve"> appeared evil in the eyes of Saul because of this word, and he said, To David they gave the tens of thousands, and to me they gave the thousands.</w:t>
      </w:r>
    </w:p>
    <w:p>
      <w:r>
        <w:rPr>
          <w:b/>
        </w:rPr>
        <w:t xml:space="preserve">9 </w:t>
      </w:r>
      <w:r>
        <w:t xml:space="preserve">And Saul was looking askance at David from that day and beyond.</w:t>
      </w:r>
    </w:p>
    <w:p>
      <w:r>
        <w:rPr>
          <w:b/>
        </w:rPr>
        <w:t xml:space="preserve">12 </w:t>
      </w:r>
      <w:r>
        <w:t xml:space="preserve">And Saul feared from before David.</w:t>
      </w:r>
      <w:r>
        <w:rPr>
          <w:rStyle w:val="FootnoteReference"/>
        </w:rPr>
        <w:footnoteReference w:id="5455"/>
      </w:r>
    </w:p>
    <w:p>
      <w:r>
        <w:rPr>
          <w:b/>
        </w:rPr>
        <w:t xml:space="preserve">13 </w:t>
      </w:r>
      <w:r>
        <w:t xml:space="preserve">And he removed</w:t>
      </w:r>
      <w:r>
        <w:rPr>
          <w:rStyle w:val="FootnoteReference"/>
        </w:rPr>
        <w:footnoteReference w:id="5456"/>
      </w:r>
      <w:r>
        <w:t xml:space="preserve"> him from himself and appointed him for himself commander of a thousand, and he went out and came in before the people.</w:t>
      </w:r>
    </w:p>
    <w:p>
      <w:r>
        <w:rPr>
          <w:b/>
        </w:rPr>
        <w:t xml:space="preserve">14 </w:t>
      </w:r>
      <w:r>
        <w:t xml:space="preserve">And David was understanding in all his ways, and the Lord</w:t>
      </w:r>
      <w:r>
        <w:rPr>
          <w:rStyle w:val="FootnoteReference"/>
        </w:rPr>
        <w:footnoteReference w:id="5457"/>
      </w:r>
      <w:r>
        <w:t xml:space="preserve"> was with him.</w:t>
      </w:r>
    </w:p>
    <w:p>
      <w:r>
        <w:rPr>
          <w:b/>
        </w:rPr>
        <w:t xml:space="preserve">15 </w:t>
      </w:r>
      <w:r>
        <w:t xml:space="preserve">And Saul saw that he was understanding exceedingly, and he stood in awe from before him.</w:t>
      </w:r>
    </w:p>
    <w:p>
      <w:r>
        <w:rPr>
          <w:b/>
        </w:rPr>
        <w:t xml:space="preserve">16 </w:t>
      </w:r>
      <w:r>
        <w:t xml:space="preserve">And all Israel</w:t>
      </w:r>
      <w:r>
        <w:rPr>
          <w:rStyle w:val="FootnoteReference"/>
        </w:rPr>
        <w:footnoteReference w:id="5458"/>
      </w:r>
      <w:r>
        <w:t xml:space="preserve"> and Judah loved David, because he was going out and coming in before the people.</w:t>
      </w:r>
    </w:p>
    <w:p>
      <w:r>
        <w:rPr>
          <w:b/>
        </w:rPr>
        <w:t xml:space="preserve">20 </w:t>
      </w:r>
      <w:r>
        <w:t xml:space="preserve">And Michal daughter of Saul loved David</w:t>
      </w:r>
      <w:r>
        <w:rPr>
          <w:rStyle w:val="FootnoteReference"/>
        </w:rPr>
        <w:footnoteReference w:id="5459"/>
      </w:r>
      <w:r>
        <w:t xml:space="preserve">, and it was reported to Saul, and it was made straight in his eyes.</w:t>
      </w:r>
    </w:p>
    <w:p>
      <w:r>
        <w:rPr>
          <w:b/>
        </w:rPr>
        <w:t xml:space="preserve">21 </w:t>
      </w:r>
      <w:r>
        <w:t xml:space="preserve">And Saul said, I will give her to him, and she will be to him for a stumbling, and the hand</w:t>
      </w:r>
      <w:r>
        <w:rPr>
          <w:rStyle w:val="FootnoteReference"/>
        </w:rPr>
        <w:footnoteReference w:id="5460"/>
      </w:r>
      <w:r>
        <w:t xml:space="preserve"> of the foreigners will be against Saul.</w:t>
      </w:r>
    </w:p>
    <w:p>
      <w:r>
        <w:rPr>
          <w:b/>
        </w:rPr>
        <w:t xml:space="preserve">22 </w:t>
      </w:r>
      <w:r>
        <w:t xml:space="preserve">And Saul commanded</w:t>
      </w:r>
      <w:r>
        <w:rPr>
          <w:rStyle w:val="FootnoteReference"/>
        </w:rPr>
        <w:footnoteReference w:id="5461"/>
      </w:r>
      <w:r>
        <w:t xml:space="preserve"> his servants, saying, Speak secretly to David, saying, Behold, the king delights in you, and all his servants love you, and you become son-in-law to the king.</w:t>
      </w:r>
    </w:p>
    <w:p>
      <w:r>
        <w:rPr>
          <w:b/>
        </w:rPr>
        <w:t xml:space="preserve">23 </w:t>
      </w:r>
      <w:r>
        <w:t xml:space="preserve">And the servants of Saul spoke these words into the ears of David, and David said, Is it a light</w:t>
      </w:r>
      <w:r>
        <w:rPr>
          <w:rStyle w:val="FootnoteReference"/>
        </w:rPr>
        <w:footnoteReference w:id="5462"/>
      </w:r>
      <w:r>
        <w:t xml:space="preserve"> thing in your eyes to become son-in-law to a king? And I am a humble man and not honored.</w:t>
      </w:r>
    </w:p>
    <w:p>
      <w:r>
        <w:rPr>
          <w:b/>
        </w:rPr>
        <w:t xml:space="preserve">24 </w:t>
      </w:r>
      <w:r>
        <w:t xml:space="preserve">And the servants of Saul reported to him according to these words that David spoke.</w:t>
      </w:r>
    </w:p>
    <w:p>
      <w:r>
        <w:rPr>
          <w:b/>
        </w:rPr>
        <w:t xml:space="preserve">25 </w:t>
      </w:r>
      <w:r>
        <w:t xml:space="preserve">And Saul said, Thus you will say to David: The king does not desire in a marriage gift, except one hundred foreskins of foreigners</w:t>
      </w:r>
      <w:r>
        <w:rPr>
          <w:rStyle w:val="FootnoteReference"/>
        </w:rPr>
        <w:footnoteReference w:id="5463"/>
      </w:r>
      <w:r>
        <w:t xml:space="preserve">, to avenge on the enemies of the king. And Saul thought to cast him into the hands of the foreigners.</w:t>
      </w:r>
      <w:r>
        <w:rPr>
          <w:rStyle w:val="FootnoteReference"/>
        </w:rPr>
        <w:footnoteReference w:id="5464"/>
      </w:r>
    </w:p>
    <w:p>
      <w:r>
        <w:rPr>
          <w:b/>
        </w:rPr>
        <w:t xml:space="preserve">26 </w:t>
      </w:r>
      <w:r>
        <w:t xml:space="preserve">And the servants of Saul report these words to David, and the word was made straight in the eyes of David, to become son-in-law to the king.</w:t>
      </w:r>
    </w:p>
    <w:p>
      <w:r>
        <w:rPr>
          <w:b/>
        </w:rPr>
        <w:t xml:space="preserve">27 </w:t>
      </w:r>
      <w:r>
        <w:t xml:space="preserve">And David rose and went, he and his men</w:t>
      </w:r>
      <w:r>
        <w:rPr>
          <w:rStyle w:val="FootnoteReference"/>
        </w:rPr>
        <w:footnoteReference w:id="5465"/>
      </w:r>
      <w:r>
        <w:t xml:space="preserve">, and struck among the foreigners one hundred men</w:t>
      </w:r>
      <w:r>
        <w:rPr>
          <w:rStyle w:val="FootnoteReference"/>
        </w:rPr>
        <w:footnoteReference w:id="5466"/>
      </w:r>
      <w:r>
        <w:t xml:space="preserve">, and he brought their foreskins to the king, and he became son-in-law to the king, and he gives to him Michal his daughter to be his wife.</w:t>
      </w:r>
    </w:p>
    <w:p>
      <w:r>
        <w:rPr>
          <w:b/>
        </w:rPr>
        <w:t xml:space="preserve">28 </w:t>
      </w:r>
      <w:r>
        <w:t xml:space="preserve">And Saul saw that the Lord was with David, and all Israel loved him.</w:t>
      </w:r>
    </w:p>
    <w:p>
      <w:r>
        <w:rPr>
          <w:b/>
        </w:rPr>
        <w:t xml:space="preserve">29 </w:t>
      </w:r>
      <w:r>
        <w:t xml:space="preserve">And Saul added still more to stand in awe from before David.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Saul</w:t>
      </w:r>
      <w:r>
        <w:rPr>
          <w:rStyle w:val="FootnoteReference"/>
        </w:rPr>
        <w:footnoteReference w:id="5467"/>
      </w:r>
      <w:r>
        <w:t xml:space="preserve"> spoke to Jonathan his son and to all his servants to put David to death, but Jonathan son of Saul preferred David greatly.</w:t>
      </w:r>
    </w:p>
    <w:p>
      <w:r>
        <w:rPr>
          <w:b/>
        </w:rPr>
        <w:t xml:space="preserve">2 </w:t>
      </w:r>
      <w:r>
        <w:t xml:space="preserve">And Jonathan</w:t>
      </w:r>
      <w:r>
        <w:rPr>
          <w:rStyle w:val="FootnoteReference"/>
        </w:rPr>
        <w:footnoteReference w:id="5468"/>
      </w:r>
      <w:r>
        <w:t xml:space="preserve"> reported to David, saying, Saul seeks to put you to death. Therefore guard yourself tomorrow morning and hide and sit concealed</w:t>
      </w:r>
      <w:r>
        <w:rPr>
          <w:rStyle w:val="FootnoteReference"/>
        </w:rPr>
        <w:footnoteReference w:id="5469"/>
      </w:r>
      <w:r>
        <w:t xml:space="preserve">.</w:t>
      </w:r>
    </w:p>
    <w:p>
      <w:r>
        <w:rPr>
          <w:b/>
        </w:rPr>
        <w:t xml:space="preserve">3 </w:t>
      </w:r>
      <w:r>
        <w:t xml:space="preserve">And I will go out and stand beside my father in the field where you are there, and I will speak concerning you to my father, and I will see what there may be, and I will report to you.</w:t>
      </w:r>
    </w:p>
    <w:p>
      <w:r>
        <w:rPr>
          <w:b/>
        </w:rPr>
        <w:t xml:space="preserve">4 </w:t>
      </w:r>
      <w:r>
        <w:t xml:space="preserve">And Jonathan spoke good things concerning David</w:t>
      </w:r>
      <w:r>
        <w:rPr>
          <w:rStyle w:val="FootnoteReference"/>
        </w:rPr>
        <w:footnoteReference w:id="5470"/>
      </w:r>
      <w:r>
        <w:t xml:space="preserve"> to Saul his father and said to him, Let not the king sin against</w:t>
      </w:r>
      <w:r>
        <w:rPr>
          <w:rStyle w:val="FootnoteReference"/>
        </w:rPr>
        <w:footnoteReference w:id="5471"/>
      </w:r>
      <w:r>
        <w:t xml:space="preserve"> your servant David, because he has not sinned against you, and his deeds are very good.</w:t>
      </w:r>
    </w:p>
    <w:p>
      <w:r>
        <w:rPr>
          <w:b/>
        </w:rPr>
        <w:t xml:space="preserve">5 </w:t>
      </w:r>
      <w:r>
        <w:t xml:space="preserve">And he put his life in his hand</w:t>
      </w:r>
      <w:r>
        <w:rPr>
          <w:rStyle w:val="FootnoteReference"/>
        </w:rPr>
        <w:footnoteReference w:id="5472"/>
      </w:r>
      <w:r>
        <w:t xml:space="preserve"> and struck the foreigner, and the Lord worked a great salvation, and all Israel saw and rejoiced. And why do you sin against innocent blood, to put David to death for nothing?</w:t>
      </w:r>
      <w:r>
        <w:rPr>
          <w:rStyle w:val="FootnoteReference"/>
        </w:rPr>
        <w:footnoteReference w:id="5473"/>
      </w:r>
    </w:p>
    <w:p>
      <w:r>
        <w:rPr>
          <w:b/>
        </w:rPr>
        <w:t xml:space="preserve">6 </w:t>
      </w:r>
      <w:r>
        <w:t xml:space="preserve">And Saul listened to the voice of Jonathan, and Saul swore, saying, As the Lord lives, he will not die.</w:t>
      </w:r>
    </w:p>
    <w:p>
      <w:r>
        <w:rPr>
          <w:b/>
        </w:rPr>
        <w:t xml:space="preserve">7 </w:t>
      </w:r>
      <w:r>
        <w:t xml:space="preserve">And Jonathan called David and reported to him all these words, and Jonathan brought David in to Saul, and he was before him as yesterday and the third day.</w:t>
      </w:r>
    </w:p>
    <w:p>
      <w:r>
        <w:rPr>
          <w:b/>
        </w:rPr>
        <w:t xml:space="preserve">8 </w:t>
      </w:r>
      <w:r>
        <w:t xml:space="preserve">And the war was added to be against Saul, and David</w:t>
      </w:r>
      <w:r>
        <w:rPr>
          <w:rStyle w:val="FootnoteReference"/>
        </w:rPr>
        <w:footnoteReference w:id="5474"/>
      </w:r>
      <w:r>
        <w:t xml:space="preserve"> prevailed and fought the foreigners and struck among them a very great blow, and they fled from before him.</w:t>
      </w:r>
    </w:p>
    <w:p>
      <w:r>
        <w:rPr>
          <w:b/>
        </w:rPr>
        <w:t xml:space="preserve">9 </w:t>
      </w:r>
      <w:r>
        <w:t xml:space="preserve">And it came to be, an evil spirit of God was on Saul, and he was in the house sitting, and a spear was in his hand, and David was playing with his hands.</w:t>
      </w:r>
    </w:p>
    <w:p>
      <w:r>
        <w:rPr>
          <w:b/>
        </w:rPr>
        <w:t xml:space="preserve">10 </w:t>
      </w:r>
      <w:r>
        <w:t xml:space="preserve">And Saul sought</w:t>
      </w:r>
      <w:r>
        <w:rPr>
          <w:rStyle w:val="FootnoteReference"/>
        </w:rPr>
        <w:footnoteReference w:id="5475"/>
      </w:r>
      <w:r>
        <w:t xml:space="preserve"> to strike the spear into David, but David withdrew from before Saul, and he struck the spear into the wall, and David departed and escaped.</w:t>
      </w:r>
    </w:p>
    <w:p>
      <w:r>
        <w:rPr>
          <w:b/>
        </w:rPr>
        <w:t xml:space="preserve">11 </w:t>
      </w:r>
      <w:r>
        <w:t xml:space="preserve">And it came to be on that night, Saul sent messengers</w:t>
      </w:r>
      <w:r>
        <w:rPr>
          <w:rStyle w:val="FootnoteReference"/>
        </w:rPr>
        <w:footnoteReference w:id="5476"/>
      </w:r>
      <w:r>
        <w:t xml:space="preserve"> to the house of David to guard him so as to kill him in the morning. And Michal his wife reported to David, saying, If you do not save your life this night, tomorrow you will be put to death.</w:t>
      </w:r>
    </w:p>
    <w:p>
      <w:r>
        <w:rPr>
          <w:b/>
        </w:rPr>
        <w:t xml:space="preserve">12 </w:t>
      </w:r>
      <w:r>
        <w:t xml:space="preserve">And Michal</w:t>
      </w:r>
      <w:r>
        <w:rPr>
          <w:rStyle w:val="FootnoteReference"/>
        </w:rPr>
        <w:footnoteReference w:id="5477"/>
      </w:r>
      <w:r>
        <w:t xml:space="preserve"> let David down through the window, and he went away and fled and was saved.</w:t>
      </w:r>
    </w:p>
    <w:p>
      <w:r>
        <w:rPr>
          <w:b/>
        </w:rPr>
        <w:t xml:space="preserve">13 </w:t>
      </w:r>
      <w:r>
        <w:t xml:space="preserve">And Michal took the tomb-images and placed them on the bed, and she put a goat’s liver at his head and covered them with a garment.</w:t>
      </w:r>
    </w:p>
    <w:p>
      <w:r>
        <w:rPr>
          <w:b/>
        </w:rPr>
        <w:t xml:space="preserve">14 </w:t>
      </w:r>
      <w:r>
        <w:t xml:space="preserve">And Saul sent messengers to take David, and they say that he is sick.</w:t>
      </w:r>
    </w:p>
    <w:p>
      <w:r>
        <w:rPr>
          <w:b/>
        </w:rPr>
        <w:t xml:space="preserve">15 </w:t>
      </w:r>
      <w:r>
        <w:t xml:space="preserve">And Saul sent for David, saying, Bring him</w:t>
      </w:r>
      <w:r>
        <w:rPr>
          <w:rStyle w:val="FootnoteReference"/>
        </w:rPr>
        <w:footnoteReference w:id="5478"/>
      </w:r>
      <w:r>
        <w:t xml:space="preserve"> to me on the bed, so as to put him to death.</w:t>
      </w:r>
    </w:p>
    <w:p>
      <w:r>
        <w:rPr>
          <w:b/>
        </w:rPr>
        <w:t xml:space="preserve">16 </w:t>
      </w:r>
      <w:r>
        <w:t xml:space="preserve">And the messengers come, and behold, the tomb-images were on the bed and a goat’s liver at his head.</w:t>
      </w:r>
    </w:p>
    <w:p>
      <w:r>
        <w:rPr>
          <w:b/>
        </w:rPr>
        <w:t xml:space="preserve">17 </w:t>
      </w:r>
      <w:r>
        <w:t xml:space="preserve">And Saul said to Michal, Why did you thus deceive me and send away my enemy, and he escaped? And Michal</w:t>
      </w:r>
      <w:r>
        <w:rPr>
          <w:rStyle w:val="FootnoteReference"/>
        </w:rPr>
        <w:footnoteReference w:id="5479"/>
      </w:r>
      <w:r>
        <w:t xml:space="preserve"> said to Saul, He said, Send me away, or else I will kill you.</w:t>
      </w:r>
    </w:p>
    <w:p>
      <w:r>
        <w:rPr>
          <w:b/>
        </w:rPr>
        <w:t xml:space="preserve">18 </w:t>
      </w:r>
      <w:r>
        <w:t xml:space="preserve">And David fled and was saved and comes to Samuel</w:t>
      </w:r>
      <w:r>
        <w:rPr>
          <w:rStyle w:val="FootnoteReference"/>
        </w:rPr>
        <w:footnoteReference w:id="5480"/>
      </w:r>
      <w:r>
        <w:t xml:space="preserve"> at Ramathaim-Zophim and reports to him all that Saul did to him. And David and Samuel went and sat in Naioth</w:t>
      </w:r>
      <w:r>
        <w:rPr>
          <w:rStyle w:val="FootnoteReference"/>
        </w:rPr>
        <w:footnoteReference w:id="5481"/>
      </w:r>
      <w:r>
        <w:t xml:space="preserve"> at Ramah.</w:t>
      </w:r>
    </w:p>
    <w:p>
      <w:r>
        <w:rPr>
          <w:b/>
        </w:rPr>
        <w:t xml:space="preserve">19 </w:t>
      </w:r>
      <w:r>
        <w:t xml:space="preserve">And it was reported to Saul, saying, Behold, David is in Naioth at Ramah.</w:t>
      </w:r>
    </w:p>
    <w:p>
      <w:r>
        <w:rPr>
          <w:b/>
        </w:rPr>
        <w:t xml:space="preserve">20 </w:t>
      </w:r>
      <w:r>
        <w:t xml:space="preserve">And Saul sent messengers</w:t>
      </w:r>
      <w:r>
        <w:rPr>
          <w:rStyle w:val="FootnoteReference"/>
        </w:rPr>
        <w:footnoteReference w:id="5482"/>
      </w:r>
      <w:r>
        <w:t xml:space="preserve"> to take David, and they saw the assembly of the prophets, and Samuel stood appointed over them. And the Spirit of God came upon the messengers of Saul, and they prophesy.</w:t>
      </w:r>
    </w:p>
    <w:p>
      <w:r>
        <w:rPr>
          <w:b/>
        </w:rPr>
        <w:t xml:space="preserve">21 </w:t>
      </w:r>
      <w:r>
        <w:t xml:space="preserve">And it was reported to Saul, and he sent other messengers, and they also prophesied. And Saul added to send third messengers, and they also prophesied.</w:t>
      </w:r>
    </w:p>
    <w:p>
      <w:r>
        <w:rPr>
          <w:b/>
        </w:rPr>
        <w:t xml:space="preserve">22 </w:t>
      </w:r>
      <w:r>
        <w:t xml:space="preserve">And the anger of Saul burned, and he also went to Ramathaim-Zophim, and he comes as far as the well of the threshing floor in Sechu</w:t>
      </w:r>
      <w:r>
        <w:rPr>
          <w:rStyle w:val="FootnoteReference"/>
        </w:rPr>
        <w:footnoteReference w:id="5483"/>
      </w:r>
      <w:r>
        <w:t xml:space="preserve"> and asked and said, Where are Samuel and David? And they said, Behold, in Naioth at Ramah.</w:t>
      </w:r>
    </w:p>
    <w:p>
      <w:r>
        <w:rPr>
          <w:b/>
        </w:rPr>
        <w:t xml:space="preserve">23 </w:t>
      </w:r>
      <w:r>
        <w:t xml:space="preserve">And he went from there to Naioth at Ramah, and the Spirit</w:t>
      </w:r>
      <w:r>
        <w:rPr>
          <w:rStyle w:val="FootnoteReference"/>
        </w:rPr>
        <w:footnoteReference w:id="5484"/>
      </w:r>
      <w:r>
        <w:t xml:space="preserve"> of God also came upon him, and he went on prophesying until he came into Naioth at Ramah.</w:t>
      </w:r>
    </w:p>
    <w:p>
      <w:r>
        <w:rPr>
          <w:b/>
        </w:rPr>
        <w:t xml:space="preserve">24 </w:t>
      </w:r>
      <w:r>
        <w:t xml:space="preserve">And he stripped</w:t>
      </w:r>
      <w:r>
        <w:rPr>
          <w:rStyle w:val="FootnoteReference"/>
        </w:rPr>
        <w:footnoteReference w:id="5485"/>
      </w:r>
      <w:r>
        <w:t xml:space="preserve"> off his garments and prophesied before them and fell naked all that day and all that night. Because of this they said, Is Saul also among prophets?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David fled</w:t>
      </w:r>
      <w:r>
        <w:rPr>
          <w:rStyle w:val="FootnoteReference"/>
        </w:rPr>
        <w:footnoteReference w:id="5486"/>
      </w:r>
      <w:r>
        <w:t xml:space="preserve"> from Naioth at Ramah and comes before Jonathan and said, What have I done, and what is my wrongdoing, and in what have I sinned before your father, that he seeks my life?</w:t>
      </w:r>
    </w:p>
    <w:p>
      <w:r>
        <w:rPr>
          <w:b/>
        </w:rPr>
        <w:t xml:space="preserve">2 </w:t>
      </w:r>
      <w:r>
        <w:t xml:space="preserve">And Jonathan said to him, Far from you. You certainly will not die. Behold, my father will not do a great word or a small one without uncovering my ear, and why should my father hide this word from me? It is not so.</w:t>
      </w:r>
    </w:p>
    <w:p>
      <w:r>
        <w:rPr>
          <w:b/>
        </w:rPr>
        <w:t xml:space="preserve">3 </w:t>
      </w:r>
      <w:r>
        <w:t xml:space="preserve">And David answered Jonathan and said, Knowing, your father knows that I have found favor in your eyes, and he said, Let not Jonathan know this, lest he not be willing. But as the Lord lives and as your life lives, as I said, there is only the fullness between me and death</w:t>
      </w:r>
      <w:r>
        <w:rPr>
          <w:rStyle w:val="FootnoteReference"/>
        </w:rPr>
        <w:footnoteReference w:id="5487"/>
      </w:r>
      <w:r>
        <w:t xml:space="preserve">.</w:t>
      </w:r>
    </w:p>
    <w:p>
      <w:r>
        <w:rPr>
          <w:b/>
        </w:rPr>
        <w:t xml:space="preserve">4 </w:t>
      </w:r>
      <w:r>
        <w:t xml:space="preserve">And Jonathan said to David, Whatever your soul desires, I will do for you.</w:t>
      </w:r>
    </w:p>
    <w:p>
      <w:r>
        <w:rPr>
          <w:b/>
        </w:rPr>
        <w:t xml:space="preserve">5 </w:t>
      </w:r>
      <w:r>
        <w:t xml:space="preserve">And David said to Jonathan, Behold now, new moon is tomorrow, and sitting I will not sit with the king to eat, and you will send me away, and I will hide in the field until evening.</w:t>
      </w:r>
    </w:p>
    <w:p>
      <w:r>
        <w:rPr>
          <w:b/>
        </w:rPr>
        <w:t xml:space="preserve">6 </w:t>
      </w:r>
      <w:r>
        <w:t xml:space="preserve">If your father inspecting should inspect for me, then you will say, David earnestly asked leave from me to run to Bethlehem</w:t>
      </w:r>
      <w:r>
        <w:rPr>
          <w:rStyle w:val="FootnoteReference"/>
        </w:rPr>
        <w:footnoteReference w:id="5488"/>
      </w:r>
      <w:r>
        <w:t xml:space="preserve"> his city, because there is there a sacrifice of days for all the tribe.</w:t>
      </w:r>
    </w:p>
    <w:p>
      <w:r>
        <w:rPr>
          <w:b/>
        </w:rPr>
        <w:t xml:space="preserve">7 </w:t>
      </w:r>
      <w:r>
        <w:t xml:space="preserve">If he says thus, Good, there is peace for your servant. But if he answers harshly, know that evil</w:t>
      </w:r>
      <w:r>
        <w:rPr>
          <w:rStyle w:val="FootnoteReference"/>
        </w:rPr>
        <w:footnoteReference w:id="5489"/>
      </w:r>
      <w:r>
        <w:t xml:space="preserve"> is completed by him.</w:t>
      </w:r>
    </w:p>
    <w:p>
      <w:r>
        <w:rPr>
          <w:b/>
        </w:rPr>
        <w:t xml:space="preserve">8 </w:t>
      </w:r>
      <w:r>
        <w:t xml:space="preserve">And you will do mercy with your servant, because you brought your servant into a covenant of the Lord with yourself</w:t>
      </w:r>
      <w:r>
        <w:rPr>
          <w:rStyle w:val="FootnoteReference"/>
        </w:rPr>
        <w:footnoteReference w:id="5490"/>
      </w:r>
      <w:r>
        <w:t xml:space="preserve">. And if there is wrongdoing in your servant, you put me to death, and why do you thus bring me to your father?</w:t>
      </w:r>
    </w:p>
    <w:p>
      <w:r>
        <w:rPr>
          <w:b/>
        </w:rPr>
        <w:t xml:space="preserve">9 </w:t>
      </w:r>
      <w:r>
        <w:t xml:space="preserve">And Jonathan said, Far from you. For if in knowing I know that evil has been completed by my father to come upon you, will I not report it to you even into your cities?</w:t>
      </w:r>
    </w:p>
    <w:p>
      <w:r>
        <w:rPr>
          <w:b/>
        </w:rPr>
        <w:t xml:space="preserve">10 </w:t>
      </w:r>
      <w:r>
        <w:t xml:space="preserve">And David said to Jonathan, Who will report to me if your father answers you harshly?</w:t>
      </w:r>
    </w:p>
    <w:p>
      <w:r>
        <w:rPr>
          <w:b/>
        </w:rPr>
        <w:t xml:space="preserve">11 </w:t>
      </w:r>
      <w:r>
        <w:t xml:space="preserve">And Jonathan said to David, Go and remain in the field. And both went out into the field.</w:t>
      </w:r>
    </w:p>
    <w:p>
      <w:r>
        <w:rPr>
          <w:b/>
        </w:rPr>
        <w:t xml:space="preserve">12 </w:t>
      </w:r>
      <w:r>
        <w:t xml:space="preserve">And Jonathan said to David, The Lord God of Israel knows that I will search out my father about this time tomorrow and the third day, and behold, if there is good concerning David and I do not send to you into the field,</w:t>
      </w:r>
      <w:r>
        <w:rPr>
          <w:rStyle w:val="FootnoteReference"/>
        </w:rPr>
        <w:footnoteReference w:id="5491"/>
      </w:r>
    </w:p>
    <w:p>
      <w:r>
        <w:rPr>
          <w:b/>
        </w:rPr>
        <w:t xml:space="preserve">13 </w:t>
      </w:r>
      <w:r>
        <w:t xml:space="preserve">thus may God do to Jonathan and thus may he add, if I bring the evils upon you and do not uncover your ear</w:t>
      </w:r>
      <w:r>
        <w:rPr>
          <w:rStyle w:val="FootnoteReference"/>
        </w:rPr>
        <w:footnoteReference w:id="5492"/>
      </w:r>
      <w:r>
        <w:t xml:space="preserve"> and send you away, and you go in peace. And the Lord will be with you as he was with my father.</w:t>
      </w:r>
    </w:p>
    <w:p>
      <w:r>
        <w:rPr>
          <w:b/>
        </w:rPr>
        <w:t xml:space="preserve">14 </w:t>
      </w:r>
      <w:r>
        <w:t xml:space="preserve">And if I am still living, you will indeed do mercy with me, and if I surely die,</w:t>
      </w:r>
    </w:p>
    <w:p>
      <w:r>
        <w:rPr>
          <w:b/>
        </w:rPr>
        <w:t xml:space="preserve">15 </w:t>
      </w:r>
      <w:r>
        <w:t xml:space="preserve">you will not remove your mercy from my house forever, and not even when the Lord removes the enemies of David, each one from the face of the earth.</w:t>
      </w:r>
    </w:p>
    <w:p>
      <w:r>
        <w:rPr>
          <w:b/>
        </w:rPr>
        <w:t xml:space="preserve">16 </w:t>
      </w:r>
      <w:r>
        <w:t xml:space="preserve">May the name of Jonathan be removed from the house of David, and may the Lord seek out the enemies of David.</w:t>
      </w:r>
      <w:r>
        <w:rPr>
          <w:rStyle w:val="FootnoteReference"/>
        </w:rPr>
        <w:footnoteReference w:id="5493"/>
      </w:r>
    </w:p>
    <w:p>
      <w:r>
        <w:rPr>
          <w:b/>
        </w:rPr>
        <w:t xml:space="preserve">17 </w:t>
      </w:r>
      <w:r>
        <w:t xml:space="preserve">And Jonathan added still to swear to David, because he loved the soul of the one loving him.</w:t>
      </w:r>
    </w:p>
    <w:p>
      <w:r>
        <w:rPr>
          <w:b/>
        </w:rPr>
        <w:t xml:space="preserve">18 </w:t>
      </w:r>
      <w:r>
        <w:t xml:space="preserve">And Jonathan said, Tomorrow is new moon</w:t>
      </w:r>
      <w:r>
        <w:rPr>
          <w:rStyle w:val="FootnoteReference"/>
        </w:rPr>
        <w:footnoteReference w:id="5494"/>
      </w:r>
      <w:r>
        <w:t xml:space="preserve">, and you will be missed, because your seat will be inspected.</w:t>
      </w:r>
    </w:p>
    <w:p>
      <w:r>
        <w:rPr>
          <w:b/>
        </w:rPr>
        <w:t xml:space="preserve">19 </w:t>
      </w:r>
      <w:r>
        <w:t xml:space="preserve">And you will do it a third time and inspect, and you will come to your place where you hid on the working day, and you will sit beside the stone Ezel</w:t>
      </w:r>
      <w:r>
        <w:rPr>
          <w:rStyle w:val="FootnoteReference"/>
        </w:rPr>
        <w:footnoteReference w:id="5495"/>
      </w:r>
      <w:r>
        <w:t xml:space="preserve">.</w:t>
      </w:r>
    </w:p>
    <w:p>
      <w:r>
        <w:rPr>
          <w:b/>
        </w:rPr>
        <w:t xml:space="preserve">20 </w:t>
      </w:r>
      <w:r>
        <w:t xml:space="preserve">And I will make the third shot with arrows, sending toward Amattari.</w:t>
      </w:r>
    </w:p>
    <w:p>
      <w:r>
        <w:rPr>
          <w:b/>
        </w:rPr>
        <w:t xml:space="preserve">21 </w:t>
      </w:r>
      <w:r>
        <w:t xml:space="preserve">And behold, I will send the young man, saying, Come, find the arrow for me. If in saying I say to the young man, Here is the arrow from you and on this side</w:t>
      </w:r>
      <w:r>
        <w:rPr>
          <w:rStyle w:val="FootnoteReference"/>
        </w:rPr>
        <w:footnoteReference w:id="5496"/>
      </w:r>
      <w:r>
        <w:t xml:space="preserve">, take it, come, because there is peace for you and there is no word, as the</w:t>
      </w:r>
      <w:r>
        <w:rPr>
          <w:rStyle w:val="FootnoteReference"/>
        </w:rPr>
        <w:footnoteReference w:id="5497"/>
      </w:r>
      <w:r>
        <w:t xml:space="preserve"> Lord lives.</w:t>
      </w:r>
    </w:p>
    <w:p>
      <w:r>
        <w:rPr>
          <w:b/>
        </w:rPr>
        <w:t xml:space="preserve">22 </w:t>
      </w:r>
      <w:r>
        <w:t xml:space="preserve">But if I say thus to the young man, Here is the arrow from you and beyond</w:t>
      </w:r>
      <w:r>
        <w:rPr>
          <w:rStyle w:val="FootnoteReference"/>
        </w:rPr>
        <w:footnoteReference w:id="5498"/>
      </w:r>
      <w:r>
        <w:t xml:space="preserve">, go, because the Lord has sent you away.</w:t>
      </w:r>
    </w:p>
    <w:p>
      <w:r>
        <w:rPr>
          <w:b/>
        </w:rPr>
        <w:t xml:space="preserve">23 </w:t>
      </w:r>
      <w:r>
        <w:t xml:space="preserve">And the word that we spoke, I and you, behold, the Lord</w:t>
      </w:r>
      <w:r>
        <w:rPr>
          <w:rStyle w:val="FootnoteReference"/>
        </w:rPr>
        <w:footnoteReference w:id="5499"/>
      </w:r>
      <w:r>
        <w:t xml:space="preserve"> is witness between me and you forever.</w:t>
      </w:r>
    </w:p>
    <w:p>
      <w:r>
        <w:rPr>
          <w:b/>
        </w:rPr>
        <w:t xml:space="preserve">24 </w:t>
      </w:r>
      <w:r>
        <w:t xml:space="preserve">And David hid in the field, and the month arrives, and the king comes to the table to eat.</w:t>
      </w:r>
    </w:p>
    <w:p>
      <w:r>
        <w:rPr>
          <w:b/>
        </w:rPr>
        <w:t xml:space="preserve">25 </w:t>
      </w:r>
      <w:r>
        <w:t xml:space="preserve">And the king sat on his seat, as once and once, on the seat by the wall, and he came before Jonathan, and Abner sat by the side of Saul, and David’s place was inspected.</w:t>
      </w:r>
    </w:p>
    <w:p>
      <w:r>
        <w:rPr>
          <w:b/>
        </w:rPr>
        <w:t xml:space="preserve">26 </w:t>
      </w:r>
      <w:r>
        <w:t xml:space="preserve">And Saul did not speak anything on that day, because he said, An incident appears, he is not clean</w:t>
      </w:r>
      <w:r>
        <w:rPr>
          <w:rStyle w:val="FootnoteReference"/>
        </w:rPr>
        <w:footnoteReference w:id="5500"/>
      </w:r>
      <w:r>
        <w:t xml:space="preserve">, because he has not been purified.</w:t>
      </w:r>
    </w:p>
    <w:p>
      <w:r>
        <w:rPr>
          <w:b/>
        </w:rPr>
        <w:t xml:space="preserve">27 </w:t>
      </w:r>
      <w:r>
        <w:t xml:space="preserve">And it came to be on the next day of the month, the second day, David’s place was inspected</w:t>
      </w:r>
      <w:r>
        <w:rPr>
          <w:rStyle w:val="FootnoteReference"/>
        </w:rPr>
        <w:footnoteReference w:id="5501"/>
      </w:r>
      <w:r>
        <w:t xml:space="preserve">, and Saul said to Jonathan his son, Why is the son</w:t>
      </w:r>
      <w:r>
        <w:rPr>
          <w:rStyle w:val="FootnoteReference"/>
        </w:rPr>
        <w:footnoteReference w:id="5502"/>
      </w:r>
      <w:r>
        <w:t xml:space="preserve"> of Jesse not present, both yesterday and today, at the table?</w:t>
      </w:r>
    </w:p>
    <w:p>
      <w:r>
        <w:rPr>
          <w:b/>
        </w:rPr>
        <w:t xml:space="preserve">28 </w:t>
      </w:r>
      <w:r>
        <w:t xml:space="preserve">And Jonathan answered Saul and said to him, David has earnestly requested from me to go to Bethlehem his city,</w:t>
      </w:r>
    </w:p>
    <w:p>
      <w:r>
        <w:rPr>
          <w:b/>
        </w:rPr>
        <w:t xml:space="preserve">29 </w:t>
      </w:r>
      <w:r>
        <w:t xml:space="preserve">and he said, Send me away now, because we have a tribal sacrifice in the city, and my brothers have given charge to me, and now if I have found favor in your eyes, I will indeed escape and see my brothers</w:t>
      </w:r>
      <w:r>
        <w:rPr>
          <w:rStyle w:val="FootnoteReference"/>
        </w:rPr>
        <w:footnoteReference w:id="5503"/>
      </w:r>
      <w:r>
        <w:t xml:space="preserve">. Because of this he has not come to the king’s table.</w:t>
      </w:r>
    </w:p>
    <w:p>
      <w:r>
        <w:rPr>
          <w:b/>
        </w:rPr>
        <w:t xml:space="preserve">30 </w:t>
      </w:r>
      <w:r>
        <w:t xml:space="preserve">And the anger of Saul burned very greatly against Jonathan, and he said to him, Son of fleeing girls</w:t>
      </w:r>
      <w:r>
        <w:rPr>
          <w:rStyle w:val="FootnoteReference"/>
        </w:rPr>
        <w:footnoteReference w:id="5504"/>
      </w:r>
      <w:r>
        <w:t xml:space="preserve">, for I know that you share with the son of Jesse to your shame and to the shame of your mother’s nakedness.</w:t>
      </w:r>
    </w:p>
    <w:p>
      <w:r>
        <w:rPr>
          <w:b/>
        </w:rPr>
        <w:t xml:space="preserve">31 </w:t>
      </w:r>
      <w:r>
        <w:t xml:space="preserve">Because all the days that the son of Jesse lives upon the earth, your kingdom will not be established. Now therefore, send</w:t>
      </w:r>
      <w:r>
        <w:rPr>
          <w:rStyle w:val="FootnoteReference"/>
        </w:rPr>
        <w:footnoteReference w:id="5505"/>
      </w:r>
      <w:r>
        <w:t xml:space="preserve"> and take the young man, because he is a son of death.</w:t>
      </w:r>
    </w:p>
    <w:p>
      <w:r>
        <w:rPr>
          <w:b/>
        </w:rPr>
        <w:t xml:space="preserve">32 </w:t>
      </w:r>
      <w:r>
        <w:t xml:space="preserve">And Jonathan answered Saul, Why should he die? What has he done?</w:t>
      </w:r>
    </w:p>
    <w:p>
      <w:r>
        <w:rPr>
          <w:b/>
        </w:rPr>
        <w:t xml:space="preserve">33 </w:t>
      </w:r>
      <w:r>
        <w:t xml:space="preserve">And Saul lifted the spear against Jonathan to put him to death, and Jonathan knew that this evil from his father had been completed, to put David to death.</w:t>
      </w:r>
    </w:p>
    <w:p>
      <w:r>
        <w:rPr>
          <w:b/>
        </w:rPr>
        <w:t xml:space="preserve">34 </w:t>
      </w:r>
      <w:r>
        <w:t xml:space="preserve">And Jonathan sprang up from the table in the anger of wrath and did not eat bread on the second of the month, because he was shattered over David, because his father had brought it to completion against him.</w:t>
      </w:r>
    </w:p>
    <w:p>
      <w:r>
        <w:rPr>
          <w:b/>
        </w:rPr>
        <w:t xml:space="preserve">35 </w:t>
      </w:r>
      <w:r>
        <w:t xml:space="preserve">And it came to be in the morning, Jonathan went out into the field, as he had appointed, for the testimony with David, and a little young man was with him.</w:t>
      </w:r>
    </w:p>
    <w:p>
      <w:r>
        <w:rPr>
          <w:b/>
        </w:rPr>
        <w:t xml:space="preserve">36 </w:t>
      </w:r>
      <w:r>
        <w:t xml:space="preserve">And he said to the young man, Run, find for me the arrows in which I am shooting. And the young man ran, and he shot the arrow and brought it past him.</w:t>
      </w:r>
    </w:p>
    <w:p>
      <w:r>
        <w:rPr>
          <w:b/>
        </w:rPr>
        <w:t xml:space="preserve">37 </w:t>
      </w:r>
      <w:r>
        <w:t xml:space="preserve">And the young man came as far as the place of the arrow that Jonathan shot, and Jonathan cried out behind the young boy and said, Is not the arrow from you and beyond?</w:t>
      </w:r>
    </w:p>
    <w:p>
      <w:r>
        <w:rPr>
          <w:b/>
        </w:rPr>
        <w:t xml:space="preserve">38 </w:t>
      </w:r>
      <w:r>
        <w:t xml:space="preserve">And Jonathan cried out behind his young man, saying, Hurry, make haste, do not stand. And the young man of Jonathan gathered the arrows to his lord.</w:t>
      </w:r>
    </w:p>
    <w:p>
      <w:r>
        <w:rPr>
          <w:b/>
        </w:rPr>
        <w:t xml:space="preserve">39 </w:t>
      </w:r>
      <w:r>
        <w:t xml:space="preserve">And the young man knew nothing, except that Jonathan and David knew the word.</w:t>
      </w:r>
    </w:p>
    <w:p>
      <w:r>
        <w:rPr>
          <w:b/>
        </w:rPr>
        <w:t xml:space="preserve">40 </w:t>
      </w:r>
      <w:r>
        <w:t xml:space="preserve">And Jonathan gave his equipment to his young man and said to his young man, Go, enter into the city.</w:t>
      </w:r>
    </w:p>
    <w:p>
      <w:r>
        <w:rPr>
          <w:b/>
        </w:rPr>
        <w:t xml:space="preserve">41 </w:t>
      </w:r>
      <w:r>
        <w:t xml:space="preserve">And as the young man entered, David arose from the stone Ezel and fell</w:t>
      </w:r>
      <w:r>
        <w:rPr>
          <w:rStyle w:val="FootnoteReference"/>
        </w:rPr>
        <w:footnoteReference w:id="5506"/>
      </w:r>
      <w:r>
        <w:t xml:space="preserve"> on his face and bowed down to him three times, and each kissed his neighbor, and each wept to his neighbor until great completion</w:t>
      </w:r>
      <w:r>
        <w:rPr>
          <w:rStyle w:val="FootnoteReference"/>
        </w:rPr>
        <w:footnoteReference w:id="5507"/>
      </w:r>
      <w:r>
        <w:t xml:space="preserve">.</w:t>
      </w:r>
    </w:p>
    <w:p>
      <w:r>
        <w:rPr>
          <w:b/>
        </w:rPr>
        <w:t xml:space="preserve">42 </w:t>
      </w:r>
      <w:r>
        <w:t xml:space="preserve">And Jonathan said, Go in peace</w:t>
      </w:r>
      <w:r>
        <w:rPr>
          <w:rStyle w:val="FootnoteReference"/>
        </w:rPr>
        <w:footnoteReference w:id="5508"/>
      </w:r>
      <w:r>
        <w:t xml:space="preserve">, and as we two swore in the name of the Lord, saying, The Lord will be witness between me and you</w:t>
      </w:r>
      <w:r>
        <w:rPr>
          <w:rStyle w:val="FootnoteReference"/>
        </w:rPr>
        <w:footnoteReference w:id="5509"/>
      </w:r>
      <w:r>
        <w:t xml:space="preserve"> and between my seed and between your seed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David rose and went away, and Jonathan entered into the city.</w:t>
      </w:r>
      <w:r>
        <w:rPr>
          <w:rStyle w:val="FootnoteReference"/>
        </w:rPr>
        <w:footnoteReference w:id="5510"/>
      </w:r>
      <w:r>
        <w:t xml:space="preserve"/>
      </w:r>
    </w:p>
    <w:p>
      <w:r>
        <w:rPr>
          <w:b/>
        </w:rPr>
        <w:t xml:space="preserve">2 </w:t>
      </w:r>
      <w:r>
        <w:t xml:space="preserve">And David comes to Nob</w:t>
      </w:r>
      <w:r>
        <w:rPr>
          <w:rStyle w:val="FootnoteReference"/>
        </w:rPr>
        <w:footnoteReference w:id="5511"/>
      </w:r>
      <w:r>
        <w:t xml:space="preserve"> to Abimelech the priest, and Abimelech stood outside himself to meet him</w:t>
      </w:r>
      <w:r>
        <w:rPr>
          <w:rStyle w:val="FootnoteReference"/>
        </w:rPr>
        <w:footnoteReference w:id="5512"/>
      </w:r>
      <w:r>
        <w:t xml:space="preserve"> and said to him, Why are you alone, and no one with you?</w:t>
      </w:r>
    </w:p>
    <w:p>
      <w:r>
        <w:rPr>
          <w:b/>
        </w:rPr>
        <w:t xml:space="preserve">3 </w:t>
      </w:r>
      <w:r>
        <w:t xml:space="preserve">And David said to the priest, The king has charged me with a word today and said to me, Let no one know the word concerning which I am sending you and concerning which I have charged you. And I have directed the young men to the place called God’s faith, Phellani, Alemoni.</w:t>
      </w:r>
      <w:r>
        <w:rPr>
          <w:rStyle w:val="FootnoteReference"/>
        </w:rPr>
        <w:footnoteReference w:id="5513"/>
      </w:r>
    </w:p>
    <w:p>
      <w:r>
        <w:rPr>
          <w:b/>
        </w:rPr>
        <w:t xml:space="preserve">4 </w:t>
      </w:r>
      <w:r>
        <w:t xml:space="preserve">And now, if there are five loaves under your hand, give into my hand what is found</w:t>
      </w:r>
      <w:r>
        <w:rPr>
          <w:rStyle w:val="FootnoteReference"/>
        </w:rPr>
        <w:footnoteReference w:id="5514"/>
      </w:r>
      <w:r>
        <w:t xml:space="preserve">.</w:t>
      </w:r>
    </w:p>
    <w:p>
      <w:r>
        <w:rPr>
          <w:b/>
        </w:rPr>
        <w:t xml:space="preserve">5 </w:t>
      </w:r>
      <w:r>
        <w:t xml:space="preserve">And the priest answered David and said, There are no common breads under my hand, but only holy breads are here, if the young men have kept themselves from woman</w:t>
      </w:r>
      <w:r>
        <w:rPr>
          <w:rStyle w:val="FootnoteReference"/>
        </w:rPr>
        <w:footnoteReference w:id="5515"/>
      </w:r>
      <w:r>
        <w:t xml:space="preserve">, and he will eat.</w:t>
      </w:r>
    </w:p>
    <w:p>
      <w:r>
        <w:rPr>
          <w:b/>
        </w:rPr>
        <w:t xml:space="preserve">6 </w:t>
      </w:r>
      <w:r>
        <w:t xml:space="preserve">And David answered the priest and said to him, On the contrary, we have been kept from woman</w:t>
      </w:r>
      <w:r>
        <w:rPr>
          <w:rStyle w:val="FootnoteReference"/>
        </w:rPr>
        <w:footnoteReference w:id="5516"/>
      </w:r>
      <w:r>
        <w:t xml:space="preserve"> yesterday and the third day since my going out on the road. All the young men have become purified, and this road is common, because today it will be sanctified by my equipment.</w:t>
      </w:r>
    </w:p>
    <w:p>
      <w:r>
        <w:rPr>
          <w:b/>
        </w:rPr>
        <w:t xml:space="preserve">7 </w:t>
      </w:r>
      <w:r>
        <w:t xml:space="preserve">And Abimelech the priest gave him the loaves of presentation, because there was no bread there except the breads of the presence, the ones removed from the face of the Lord, to set warm bread on the day he took them.</w:t>
      </w:r>
      <w:r>
        <w:rPr>
          <w:rStyle w:val="FootnoteReference"/>
        </w:rPr>
        <w:footnoteReference w:id="5517"/>
      </w:r>
    </w:p>
    <w:p>
      <w:r>
        <w:rPr>
          <w:b/>
        </w:rPr>
        <w:t xml:space="preserve">8 </w:t>
      </w:r>
      <w:r>
        <w:t xml:space="preserve">And there was there one of the servants of Saul on that day, held in before the Lord, and his name was Doeg</w:t>
      </w:r>
      <w:r>
        <w:rPr>
          <w:rStyle w:val="FootnoteReference"/>
        </w:rPr>
        <w:footnoteReference w:id="5518"/>
      </w:r>
      <w:r>
        <w:t xml:space="preserve"> the Syrian, pasturing the mules of Saul.</w:t>
      </w:r>
      <w:r>
        <w:rPr>
          <w:rStyle w:val="FootnoteReference"/>
        </w:rPr>
        <w:footnoteReference w:id="5519"/>
      </w:r>
    </w:p>
    <w:p>
      <w:r>
        <w:rPr>
          <w:b/>
        </w:rPr>
        <w:t xml:space="preserve">9 </w:t>
      </w:r>
      <w:r>
        <w:t xml:space="preserve">And David said to Abimelech, Look, is there here under your hand spear or sword</w:t>
      </w:r>
      <w:r>
        <w:rPr>
          <w:rStyle w:val="FootnoteReference"/>
        </w:rPr>
        <w:footnoteReference w:id="5520"/>
      </w:r>
      <w:r>
        <w:t xml:space="preserve">? Because I did not take my sword and my equipment in my hand, because the king’s word was in haste.</w:t>
      </w:r>
    </w:p>
    <w:p>
      <w:r>
        <w:rPr>
          <w:b/>
        </w:rPr>
        <w:t xml:space="preserve">10 </w:t>
      </w:r>
      <w:r>
        <w:t xml:space="preserve">And the priest said, Behold, the sword of Goliath the foreigner, whom you struck in the valley of Ela</w:t>
      </w:r>
      <w:r>
        <w:rPr>
          <w:rStyle w:val="FootnoteReference"/>
        </w:rPr>
        <w:footnoteReference w:id="5521"/>
      </w:r>
      <w:r>
        <w:t xml:space="preserve">, and it is wrapped in a garment. If you will take it for yourself, take it</w:t>
      </w:r>
      <w:r>
        <w:rPr>
          <w:rStyle w:val="FootnoteReference"/>
        </w:rPr>
        <w:footnoteReference w:id="5522"/>
      </w:r>
      <w:r>
        <w:t xml:space="preserve">, because there is no other besides this here. And David said, Behold, there is none like it. Give it to me.</w:t>
      </w:r>
    </w:p>
    <w:p>
      <w:r>
        <w:rPr>
          <w:b/>
        </w:rPr>
        <w:t xml:space="preserve">11 </w:t>
      </w:r>
      <w:r>
        <w:t xml:space="preserve">And he gave it to him. And David rose and fled on that day from before Saul, and David came to Achish king of Gath.</w:t>
      </w:r>
      <w:r>
        <w:rPr>
          <w:rStyle w:val="FootnoteReference"/>
        </w:rPr>
        <w:footnoteReference w:id="5523"/>
      </w:r>
      <w:r>
        <w:t xml:space="preserve"/>
      </w:r>
      <w:r>
        <w:rPr>
          <w:rStyle w:val="FootnoteReference"/>
        </w:rPr>
        <w:footnoteReference w:id="5524"/>
      </w:r>
    </w:p>
    <w:p>
      <w:r>
        <w:rPr>
          <w:b/>
        </w:rPr>
        <w:t xml:space="preserve">12 </w:t>
      </w:r>
      <w:r>
        <w:t xml:space="preserve">And the servants of Achish said to him, Is not this David, king of the land? Is it not to this one that the dancers came out, saying, Saul struck in his thousands, and David in his tens of thousands?</w:t>
      </w:r>
      <w:r>
        <w:rPr>
          <w:rStyle w:val="FootnoteReference"/>
        </w:rPr>
        <w:footnoteReference w:id="5525"/>
      </w:r>
    </w:p>
    <w:p>
      <w:r>
        <w:rPr>
          <w:b/>
        </w:rPr>
        <w:t xml:space="preserve">13 </w:t>
      </w:r>
      <w:r>
        <w:t xml:space="preserve">And David put the words in his heart and feared greatly from before Achish king of Gath.</w:t>
      </w:r>
      <w:r>
        <w:rPr>
          <w:rStyle w:val="FootnoteReference"/>
        </w:rPr>
        <w:footnoteReference w:id="5526"/>
      </w:r>
      <w:r>
        <w:t xml:space="preserve"/>
      </w:r>
    </w:p>
    <w:p>
      <w:r>
        <w:rPr>
          <w:b/>
        </w:rPr>
        <w:t xml:space="preserve">14 </w:t>
      </w:r>
      <w:r>
        <w:t xml:space="preserve">And he altered his face before him and pretended on that day, and was drumming on the doors of the city, and was carried along in his hands, and was falling on the doors of the gate, and his saliva was running down on his beard.</w:t>
      </w:r>
      <w:r>
        <w:rPr>
          <w:rStyle w:val="FootnoteReference"/>
        </w:rPr>
        <w:footnoteReference w:id="5527"/>
      </w:r>
    </w:p>
    <w:p>
      <w:r>
        <w:rPr>
          <w:b/>
        </w:rPr>
        <w:t xml:space="preserve">15 </w:t>
      </w:r>
      <w:r>
        <w:t xml:space="preserve">And Achish said to his servants, Behold, you see a possessed man. Why did you bring him to me?</w:t>
      </w:r>
    </w:p>
    <w:p>
      <w:r>
        <w:rPr>
          <w:b/>
        </w:rPr>
        <w:t xml:space="preserve">16 </w:t>
      </w:r>
      <w:r>
        <w:t xml:space="preserve">Do I lack possessed men, that you have brought him for acting possessed toward me? This one will not enter into the house.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David</w:t>
      </w:r>
      <w:r>
        <w:rPr>
          <w:rStyle w:val="FootnoteReference"/>
        </w:rPr>
        <w:footnoteReference w:id="5528"/>
      </w:r>
      <w:r>
        <w:t xml:space="preserve"> went away from there and was saved and comes into the cave of Adullam, and his brothers and all his father’s house heard and came down there to him.</w:t>
      </w:r>
    </w:p>
    <w:p>
      <w:r>
        <w:rPr>
          <w:b/>
        </w:rPr>
        <w:t xml:space="preserve">2 </w:t>
      </w:r>
      <w:r>
        <w:t xml:space="preserve">And everyone in distress</w:t>
      </w:r>
      <w:r>
        <w:rPr>
          <w:rStyle w:val="FootnoteReference"/>
        </w:rPr>
        <w:footnoteReference w:id="5529"/>
      </w:r>
      <w:r>
        <w:t xml:space="preserve"> and everyone in debt and everyone bitter in soul gathered to him, and he was leader over them, and there were with him about four hundred men.</w:t>
      </w:r>
    </w:p>
    <w:p>
      <w:r>
        <w:rPr>
          <w:b/>
        </w:rPr>
        <w:t xml:space="preserve">3 </w:t>
      </w:r>
      <w:r>
        <w:t xml:space="preserve">And David went from there to Mizpah of Moab and said to the king of Moab, Let now my father and my mother be with you until I know what God will do to me.</w:t>
      </w:r>
    </w:p>
    <w:p>
      <w:r>
        <w:rPr>
          <w:b/>
        </w:rPr>
        <w:t xml:space="preserve">4 </w:t>
      </w:r>
      <w:r>
        <w:t xml:space="preserve">And he entreated the face of the king of Moab, and they stayed with him all the days David was in the stronghold.</w:t>
      </w:r>
    </w:p>
    <w:p>
      <w:r>
        <w:rPr>
          <w:b/>
        </w:rPr>
        <w:t xml:space="preserve">5 </w:t>
      </w:r>
      <w:r>
        <w:t xml:space="preserve">And Gad the prophet said to David, Do not sit in the stronghold. Go, and you will come into the land of Judah. And David went and came and sat in the city of Sarich.</w:t>
      </w:r>
    </w:p>
    <w:p>
      <w:r>
        <w:rPr>
          <w:b/>
        </w:rPr>
        <w:t xml:space="preserve">6 </w:t>
      </w:r>
      <w:r>
        <w:t xml:space="preserve">And Saul heard that David and the men with him had become known. And Saul was sitting on the hill under the tamarisk tree in Ramah, and the spear</w:t>
      </w:r>
      <w:r>
        <w:rPr>
          <w:rStyle w:val="FootnoteReference"/>
        </w:rPr>
        <w:footnoteReference w:id="5530"/>
      </w:r>
      <w:r>
        <w:t xml:space="preserve"> was in his hand, and all his servants stood by him.</w:t>
      </w:r>
    </w:p>
    <w:p>
      <w:r>
        <w:rPr>
          <w:b/>
        </w:rPr>
        <w:t xml:space="preserve">7 </w:t>
      </w:r>
      <w:r>
        <w:t xml:space="preserve">And Saul said to his servants standing by him, Hear now, sons of Benjamin. Will the son of Jesse</w:t>
      </w:r>
      <w:r>
        <w:rPr>
          <w:rStyle w:val="FootnoteReference"/>
        </w:rPr>
        <w:footnoteReference w:id="5531"/>
      </w:r>
      <w:r>
        <w:t xml:space="preserve"> truly give to all of you fields and vineyards and appoint all of you centurions and commanders of thousands</w:t>
      </w:r>
      <w:r>
        <w:rPr>
          <w:rStyle w:val="FootnoteReference"/>
        </w:rPr>
        <w:footnoteReference w:id="5532"/>
      </w:r>
      <w:r>
        <w:t xml:space="preserve">,</w:t>
      </w:r>
    </w:p>
    <w:p>
      <w:r>
        <w:rPr>
          <w:b/>
        </w:rPr>
        <w:t xml:space="preserve">8 </w:t>
      </w:r>
      <w:r>
        <w:t xml:space="preserve">that all of you conspire against me, and there is no one uncovering my ear</w:t>
      </w:r>
      <w:r>
        <w:rPr>
          <w:rStyle w:val="FootnoteReference"/>
        </w:rPr>
        <w:footnoteReference w:id="5533"/>
      </w:r>
      <w:r>
        <w:t xml:space="preserve"> when my son makes a covenant with the son of Jesse, and there is no one among you grieved concerning me and uncovering my ear that my son</w:t>
      </w:r>
      <w:r>
        <w:rPr>
          <w:rStyle w:val="FootnoteReference"/>
        </w:rPr>
        <w:footnoteReference w:id="5534"/>
      </w:r>
      <w:r>
        <w:t xml:space="preserve"> has stirred up my servant against me as an enemy, as this day?</w:t>
      </w:r>
    </w:p>
    <w:p>
      <w:r>
        <w:rPr>
          <w:b/>
        </w:rPr>
        <w:t xml:space="preserve">9 </w:t>
      </w:r>
      <w:r>
        <w:t xml:space="preserve">And Doeg</w:t>
      </w:r>
      <w:r>
        <w:rPr>
          <w:rStyle w:val="FootnoteReference"/>
        </w:rPr>
        <w:footnoteReference w:id="5535"/>
      </w:r>
      <w:r>
        <w:t xml:space="preserve"> the Syrian answered, the one set over the mules of Saul, and said, I saw the son of Jesse coming to Nob to Abimelech son of Ahitub the priest.</w:t>
      </w:r>
    </w:p>
    <w:p>
      <w:r>
        <w:rPr>
          <w:b/>
        </w:rPr>
        <w:t xml:space="preserve">10 </w:t>
      </w:r>
      <w:r>
        <w:t xml:space="preserve">And he inquired</w:t>
      </w:r>
      <w:r>
        <w:rPr>
          <w:rStyle w:val="FootnoteReference"/>
        </w:rPr>
        <w:footnoteReference w:id="5536"/>
      </w:r>
      <w:r>
        <w:t xml:space="preserve"> for him through God and gave him provisions and gave him the sword of Goliath the foreigner.</w:t>
      </w:r>
    </w:p>
    <w:p>
      <w:r>
        <w:rPr>
          <w:b/>
        </w:rPr>
        <w:t xml:space="preserve">11 </w:t>
      </w:r>
      <w:r>
        <w:t xml:space="preserve">And the king sent to call</w:t>
      </w:r>
      <w:r>
        <w:rPr>
          <w:rStyle w:val="FootnoteReference"/>
        </w:rPr>
        <w:footnoteReference w:id="5537"/>
      </w:r>
      <w:r>
        <w:t xml:space="preserve"> Abimelech son of Ahitub and all the sons of his father, the priests in Nob, and all came to the king.</w:t>
      </w:r>
    </w:p>
    <w:p>
      <w:r>
        <w:rPr>
          <w:b/>
        </w:rPr>
        <w:t xml:space="preserve">12 </w:t>
      </w:r>
      <w:r>
        <w:t xml:space="preserve">And Saul said, Hear now, son of Ahitub. And he said, Behold, I am here, speak, lord.</w:t>
      </w:r>
    </w:p>
    <w:p>
      <w:r>
        <w:rPr>
          <w:b/>
        </w:rPr>
        <w:t xml:space="preserve">13 </w:t>
      </w:r>
      <w:r>
        <w:t xml:space="preserve">And Saul said to him, Why did you conspire</w:t>
      </w:r>
      <w:r>
        <w:rPr>
          <w:rStyle w:val="FootnoteReference"/>
        </w:rPr>
        <w:footnoteReference w:id="5538"/>
      </w:r>
      <w:r>
        <w:t xml:space="preserve"> against me, you and the son of Jesse, by giving him bread and sword and by inquiring for him through God, to set him against me as an enemy, as this day?</w:t>
      </w:r>
    </w:p>
    <w:p>
      <w:r>
        <w:rPr>
          <w:b/>
        </w:rPr>
        <w:t xml:space="preserve">14 </w:t>
      </w:r>
      <w:r>
        <w:t xml:space="preserve">And he answered the king and said, And who</w:t>
      </w:r>
      <w:r>
        <w:rPr>
          <w:rStyle w:val="FootnoteReference"/>
        </w:rPr>
        <w:footnoteReference w:id="5539"/>
      </w:r>
      <w:r>
        <w:t xml:space="preserve"> among all your servants is like David, faithful and son-in-law of the king and ruler of all your commands and honored in your house?</w:t>
      </w:r>
    </w:p>
    <w:p>
      <w:r>
        <w:rPr>
          <w:b/>
        </w:rPr>
        <w:t xml:space="preserve">15 </w:t>
      </w:r>
      <w:r>
        <w:t xml:space="preserve">Have I begun today to inquire for him through God? Far be it. Let not the king put a word against</w:t>
      </w:r>
      <w:r>
        <w:rPr>
          <w:rStyle w:val="FootnoteReference"/>
        </w:rPr>
        <w:footnoteReference w:id="5540"/>
      </w:r>
      <w:r>
        <w:t xml:space="preserve"> his servant and against all the house of my father, because your servant knew nothing in all these things, small or great.</w:t>
      </w:r>
    </w:p>
    <w:p>
      <w:r>
        <w:rPr>
          <w:b/>
        </w:rPr>
        <w:t xml:space="preserve">16 </w:t>
      </w:r>
      <w:r>
        <w:t xml:space="preserve">And King Saul said, Dying you will die, Abimelech, you and all your father’s house.</w:t>
      </w:r>
    </w:p>
    <w:p>
      <w:r>
        <w:rPr>
          <w:b/>
        </w:rPr>
        <w:t xml:space="preserve">17 </w:t>
      </w:r>
      <w:r>
        <w:t xml:space="preserve">And the king said to the runners standing over him, Bring forward and kill the priests of the Lord, because their hand is with David, and because they knew that he was fleeing and did not uncover my ear</w:t>
      </w:r>
      <w:r>
        <w:rPr>
          <w:rStyle w:val="FootnoteReference"/>
        </w:rPr>
        <w:footnoteReference w:id="5541"/>
      </w:r>
      <w:r>
        <w:t xml:space="preserve">. And the servants of the king were not willing to bring their hands upon the priests of the Lord.</w:t>
      </w:r>
    </w:p>
    <w:p>
      <w:r>
        <w:rPr>
          <w:b/>
        </w:rPr>
        <w:t xml:space="preserve">18 </w:t>
      </w:r>
      <w:r>
        <w:t xml:space="preserve">And the king said to Doeg</w:t>
      </w:r>
      <w:r>
        <w:rPr>
          <w:rStyle w:val="FootnoteReference"/>
        </w:rPr>
        <w:footnoteReference w:id="5542"/>
      </w:r>
      <w:r>
        <w:t xml:space="preserve">, Turn yourself and attack the priests. And Doeg the Syrian turned and killed the priests of the Lord on that day, three hundred and five men, all carrying ephod.</w:t>
      </w:r>
    </w:p>
    <w:p>
      <w:r>
        <w:rPr>
          <w:b/>
        </w:rPr>
        <w:t xml:space="preserve">19 </w:t>
      </w:r>
      <w:r>
        <w:t xml:space="preserve">And he struck Nob, the city of the priests, by the mouth of the sword, from man to woman, from infant to nursing child, and ox and donkey and sheep.</w:t>
      </w:r>
    </w:p>
    <w:p>
      <w:r>
        <w:rPr>
          <w:b/>
        </w:rPr>
        <w:t xml:space="preserve">20 </w:t>
      </w:r>
      <w:r>
        <w:t xml:space="preserve">And one son of Abimelech son of Ahitub escaped</w:t>
      </w:r>
      <w:r>
        <w:rPr>
          <w:rStyle w:val="FootnoteReference"/>
        </w:rPr>
        <w:footnoteReference w:id="5543"/>
      </w:r>
      <w:r>
        <w:t xml:space="preserve">, and his name was Abiathar</w:t>
      </w:r>
      <w:r>
        <w:rPr>
          <w:rStyle w:val="FootnoteReference"/>
        </w:rPr>
        <w:footnoteReference w:id="5544"/>
      </w:r>
      <w:r>
        <w:t xml:space="preserve">, and he fled after David.</w:t>
      </w:r>
    </w:p>
    <w:p>
      <w:r>
        <w:rPr>
          <w:b/>
        </w:rPr>
        <w:t xml:space="preserve">21 </w:t>
      </w:r>
      <w:r>
        <w:t xml:space="preserve">And Abiathar reported to David that Saul had killed all the priests of the Lord.</w:t>
      </w:r>
    </w:p>
    <w:p>
      <w:r>
        <w:rPr>
          <w:b/>
        </w:rPr>
        <w:t xml:space="preserve">22 </w:t>
      </w:r>
      <w:r>
        <w:t xml:space="preserve">And David said to Abiathar, I knew on that day that Doeg the Syrian would surely report to Saul. I am guilty for the lives of your father’s house.</w:t>
      </w:r>
    </w:p>
    <w:p>
      <w:r>
        <w:rPr>
          <w:b/>
        </w:rPr>
        <w:t xml:space="preserve">23 </w:t>
      </w:r>
      <w:r>
        <w:t xml:space="preserve">Stay with me. Do not fear, because where I seek my life, I will seek a place for your life, because you are guarded with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it was reported to David, saying, Behold, the foreigners are making war at Keilah</w:t>
      </w:r>
      <w:r>
        <w:rPr>
          <w:rStyle w:val="FootnoteReference"/>
        </w:rPr>
        <w:footnoteReference w:id="5545"/>
      </w:r>
      <w:r>
        <w:t xml:space="preserve">, and they are plundering and trampling the threshing floors.</w:t>
      </w:r>
    </w:p>
    <w:p>
      <w:r>
        <w:rPr>
          <w:b/>
        </w:rPr>
        <w:t xml:space="preserve">2 </w:t>
      </w:r>
      <w:r>
        <w:t xml:space="preserve">And David inquired</w:t>
      </w:r>
      <w:r>
        <w:rPr>
          <w:rStyle w:val="FootnoteReference"/>
        </w:rPr>
        <w:footnoteReference w:id="5546"/>
      </w:r>
      <w:r>
        <w:t xml:space="preserve"> through the Lord, saying, Shall I go and strike these foreigners? And the Lord said, Go, and you will strike these foreigners and save Keilah.</w:t>
      </w:r>
    </w:p>
    <w:p>
      <w:r>
        <w:rPr>
          <w:b/>
        </w:rPr>
        <w:t xml:space="preserve">3 </w:t>
      </w:r>
      <w:r>
        <w:t xml:space="preserve">And the men of David said to him, Behold</w:t>
      </w:r>
      <w:r>
        <w:rPr>
          <w:rStyle w:val="FootnoteReference"/>
        </w:rPr>
        <w:footnoteReference w:id="5547"/>
      </w:r>
      <w:r>
        <w:t xml:space="preserve">, we here in Judah are afraid, and how will it be if we go to Keilah? We will enter into the spoils of the foreigners.</w:t>
      </w:r>
    </w:p>
    <w:p>
      <w:r>
        <w:rPr>
          <w:b/>
        </w:rPr>
        <w:t xml:space="preserve">4 </w:t>
      </w:r>
      <w:r>
        <w:t xml:space="preserve">And David added still to inquire through the Lord, and the Lord answered him and said to him, Rise and go down to Keilah, because I am delivering the foreigners into your hands.</w:t>
      </w:r>
    </w:p>
    <w:p>
      <w:r>
        <w:rPr>
          <w:b/>
        </w:rPr>
        <w:t xml:space="preserve">5 </w:t>
      </w:r>
      <w:r>
        <w:t xml:space="preserve">And David and the men with him went to Keilah and fought among the foreigners, and they fled from before him, and he brought away their cattle and struck among them a great blow, and David saved the inhabitants of Keilah.</w:t>
      </w:r>
    </w:p>
    <w:p>
      <w:r>
        <w:rPr>
          <w:b/>
        </w:rPr>
        <w:t xml:space="preserve">6 </w:t>
      </w:r>
      <w:r>
        <w:t xml:space="preserve">And it came to be when Abiathar</w:t>
      </w:r>
      <w:r>
        <w:rPr>
          <w:rStyle w:val="FootnoteReference"/>
        </w:rPr>
        <w:footnoteReference w:id="5548"/>
      </w:r>
      <w:r>
        <w:t xml:space="preserve"> son of Abimelech fled to David, he himself went down with David into Keilah, having ephod in his hand.</w:t>
      </w:r>
    </w:p>
    <w:p>
      <w:r>
        <w:rPr>
          <w:b/>
        </w:rPr>
        <w:t xml:space="preserve">7 </w:t>
      </w:r>
      <w:r>
        <w:t xml:space="preserve">And it was reported to Saul that David had come to Keilah, and Saul said, God has sold him into my hands, because he has shut himself in by entering a city of doors and bars.</w:t>
      </w:r>
    </w:p>
    <w:p>
      <w:r>
        <w:rPr>
          <w:b/>
        </w:rPr>
        <w:t xml:space="preserve">8 </w:t>
      </w:r>
      <w:r>
        <w:t xml:space="preserve">And Saul ordered all the people for war, to go down to Keilah, to hem in David and his men.</w:t>
      </w:r>
    </w:p>
    <w:p>
      <w:r>
        <w:rPr>
          <w:b/>
        </w:rPr>
        <w:t xml:space="preserve">9 </w:t>
      </w:r>
      <w:r>
        <w:t xml:space="preserve">And David</w:t>
      </w:r>
      <w:r>
        <w:rPr>
          <w:rStyle w:val="FootnoteReference"/>
        </w:rPr>
        <w:footnoteReference w:id="5549"/>
      </w:r>
      <w:r>
        <w:t xml:space="preserve"> knew that Saul was not silent about evil against him, and David said to Abiathar the priest, Bring near the ephod of the Lord.</w:t>
      </w:r>
    </w:p>
    <w:p>
      <w:r>
        <w:rPr>
          <w:b/>
        </w:rPr>
        <w:t xml:space="preserve">10 </w:t>
      </w:r>
      <w:r>
        <w:t xml:space="preserve">And David said, Lord God of Israel, your servant has surely heard that Saul seeks to come against Keilah to destroy the city</w:t>
      </w:r>
      <w:r>
        <w:rPr>
          <w:rStyle w:val="FootnoteReference"/>
        </w:rPr>
        <w:footnoteReference w:id="5550"/>
      </w:r>
      <w:r>
        <w:t xml:space="preserve"> because of me.</w:t>
      </w:r>
    </w:p>
    <w:p>
      <w:r>
        <w:rPr>
          <w:b/>
        </w:rPr>
        <w:t xml:space="preserve">11 </w:t>
      </w:r>
      <w:r>
        <w:t xml:space="preserve">Will it be shut up? And now will Saul come down, as your servant has heard? Lord God of Israel, report to your servant. And the Lord</w:t>
      </w:r>
      <w:r>
        <w:rPr>
          <w:rStyle w:val="FootnoteReference"/>
        </w:rPr>
        <w:footnoteReference w:id="5551"/>
      </w:r>
      <w:r>
        <w:t xml:space="preserve"> said, It will be shut up.</w:t>
      </w:r>
    </w:p>
    <w:p>
      <w:r>
        <w:rPr>
          <w:b/>
        </w:rPr>
        <w:t xml:space="preserve">13 </w:t>
      </w:r>
      <w:r>
        <w:t xml:space="preserve">And David rose, and the men with him, about four hundred, and they went out from Keilah and were going wherever they went. And it was reported to Saul that David had escaped from Keilah, and he let go of going out.</w:t>
      </w:r>
    </w:p>
    <w:p>
      <w:r>
        <w:rPr>
          <w:b/>
        </w:rPr>
        <w:t xml:space="preserve">14 </w:t>
      </w:r>
      <w:r>
        <w:t xml:space="preserve">And David sat in the wilderness</w:t>
      </w:r>
      <w:r>
        <w:rPr>
          <w:rStyle w:val="FootnoteReference"/>
        </w:rPr>
        <w:footnoteReference w:id="5552"/>
      </w:r>
      <w:r>
        <w:t xml:space="preserve"> in Maserem in the narrow places, and he sat in the wilderness on the mountain of Ziph in the dry land, and Saul sought him all the days, but the Lord did not deliver him into his hands.</w:t>
      </w:r>
    </w:p>
    <w:p>
      <w:r>
        <w:rPr>
          <w:b/>
        </w:rPr>
        <w:t xml:space="preserve">15 </w:t>
      </w:r>
      <w:r>
        <w:t xml:space="preserve">And David saw that Saul was going out to seek David, and David was on the dry mountain in the New Place of Ziph.</w:t>
      </w:r>
    </w:p>
    <w:p>
      <w:r>
        <w:rPr>
          <w:b/>
        </w:rPr>
        <w:t xml:space="preserve">16 </w:t>
      </w:r>
      <w:r>
        <w:t xml:space="preserve">And Jonathan son of Saul rose and went to David into the New Place and strengthened his hands in the Lord</w:t>
      </w:r>
      <w:r>
        <w:rPr>
          <w:rStyle w:val="FootnoteReference"/>
        </w:rPr>
        <w:footnoteReference w:id="5553"/>
      </w:r>
      <w:r>
        <w:t xml:space="preserve">.</w:t>
      </w:r>
      <w:r>
        <w:rPr>
          <w:rStyle w:val="FootnoteReference"/>
        </w:rPr>
        <w:footnoteReference w:id="5554"/>
      </w:r>
    </w:p>
    <w:p>
      <w:r>
        <w:rPr>
          <w:b/>
        </w:rPr>
        <w:t xml:space="preserve">17 </w:t>
      </w:r>
      <w:r>
        <w:t xml:space="preserve">And he said to him, Do not fear, because the hand of Saul my father certainly will not find you, and you will reign over Israel, and I will be second to you, and Saul my father also knows thus.</w:t>
      </w:r>
    </w:p>
    <w:p>
      <w:r>
        <w:rPr>
          <w:b/>
        </w:rPr>
        <w:t xml:space="preserve">18 </w:t>
      </w:r>
      <w:r>
        <w:t xml:space="preserve">And both made a covenant before the Lord, and David sat in the New Place, and Jonathan went away to his house.</w:t>
      </w:r>
    </w:p>
    <w:p>
      <w:r>
        <w:rPr>
          <w:b/>
        </w:rPr>
        <w:t xml:space="preserve">19 </w:t>
      </w:r>
      <w:r>
        <w:t xml:space="preserve">And the Ziphites</w:t>
      </w:r>
      <w:r>
        <w:rPr>
          <w:rStyle w:val="FootnoteReference"/>
        </w:rPr>
        <w:footnoteReference w:id="5555"/>
      </w:r>
      <w:r>
        <w:t xml:space="preserve"> went up from the dry land to Saul on the hill, saying, Is not David hidden with us in the strongholds in the narrow places, in the New Place on the mountain of Hachilah</w:t>
      </w:r>
      <w:r>
        <w:rPr>
          <w:rStyle w:val="FootnoteReference"/>
        </w:rPr>
        <w:footnoteReference w:id="5556"/>
      </w:r>
      <w:r>
        <w:t xml:space="preserve">, which is on the right of Jeshimon</w:t>
      </w:r>
      <w:r>
        <w:rPr>
          <w:rStyle w:val="FootnoteReference"/>
        </w:rPr>
        <w:footnoteReference w:id="5557"/>
      </w:r>
      <w:r>
        <w:t xml:space="preserve">?</w:t>
      </w:r>
      <w:r>
        <w:rPr>
          <w:rStyle w:val="FootnoteReference"/>
        </w:rPr>
        <w:footnoteReference w:id="5558"/>
      </w:r>
    </w:p>
    <w:p>
      <w:r>
        <w:rPr>
          <w:b/>
        </w:rPr>
        <w:t xml:space="preserve">20 </w:t>
      </w:r>
      <w:r>
        <w:t xml:space="preserve">And now let the king come down with all the desire</w:t>
      </w:r>
      <w:r>
        <w:rPr>
          <w:rStyle w:val="FootnoteReference"/>
        </w:rPr>
        <w:footnoteReference w:id="5559"/>
      </w:r>
      <w:r>
        <w:t xml:space="preserve"> of his soul for going down. They have shut him into the hands of the king.</w:t>
      </w:r>
    </w:p>
    <w:p>
      <w:r>
        <w:rPr>
          <w:b/>
        </w:rPr>
        <w:t xml:space="preserve">21 </w:t>
      </w:r>
      <w:r>
        <w:t xml:space="preserve">And Saul said to them, Blessed are you to the Lord, because you grieved for me.</w:t>
      </w:r>
    </w:p>
    <w:p>
      <w:r>
        <w:rPr>
          <w:b/>
        </w:rPr>
        <w:t xml:space="preserve">22 </w:t>
      </w:r>
      <w:r>
        <w:t xml:space="preserve">Go now and prepare still more, and know his place, where his foot will be in haste there, where you said, Lest perhaps he act craftily.</w:t>
      </w:r>
    </w:p>
    <w:p>
      <w:r>
        <w:rPr>
          <w:b/>
        </w:rPr>
        <w:t xml:space="preserve">23 </w:t>
      </w:r>
      <w:r>
        <w:t xml:space="preserve">And see and know, and we will go with you, and if he is on the land, I will search</w:t>
      </w:r>
      <w:r>
        <w:rPr>
          <w:rStyle w:val="FootnoteReference"/>
        </w:rPr>
        <w:footnoteReference w:id="5560"/>
      </w:r>
      <w:r>
        <w:t xml:space="preserve"> him out in all the thousands of Judah.</w:t>
      </w:r>
      <w:r>
        <w:rPr>
          <w:rStyle w:val="FootnoteReference"/>
        </w:rPr>
        <w:footnoteReference w:id="5561"/>
      </w:r>
    </w:p>
    <w:p>
      <w:r>
        <w:rPr>
          <w:b/>
        </w:rPr>
        <w:t xml:space="preserve">24 </w:t>
      </w:r>
      <w:r>
        <w:t xml:space="preserve">And the Ziphites rose and went before Saul, and David and his men were in the wilderness</w:t>
      </w:r>
      <w:r>
        <w:rPr>
          <w:rStyle w:val="FootnoteReference"/>
        </w:rPr>
        <w:footnoteReference w:id="5562"/>
      </w:r>
      <w:r>
        <w:t xml:space="preserve"> of Maon, toward evening, on the right of Jeshimon.</w:t>
      </w:r>
    </w:p>
    <w:p>
      <w:r>
        <w:rPr>
          <w:b/>
        </w:rPr>
        <w:t xml:space="preserve">25 </w:t>
      </w:r>
      <w:r>
        <w:t xml:space="preserve">And Saul and his men went to seek him, and they reported to David, and he went down to the rock in the wilderness of Maon. And Saul heard and pursued after David into the wilderness of Maon.</w:t>
      </w:r>
    </w:p>
    <w:p>
      <w:r>
        <w:rPr>
          <w:b/>
        </w:rPr>
        <w:t xml:space="preserve">26 </w:t>
      </w:r>
      <w:r>
        <w:t xml:space="preserve">And Saul and his men were going from one side of this mountain, and David and his men from the side of that mountain, and David was hiding himself to go from before Saul, and Saul and his men had camped against David</w:t>
      </w:r>
      <w:r>
        <w:rPr>
          <w:rStyle w:val="FootnoteReference"/>
        </w:rPr>
        <w:footnoteReference w:id="5563"/>
      </w:r>
      <w:r>
        <w:t xml:space="preserve"> and his men to seize them.</w:t>
      </w:r>
    </w:p>
    <w:p>
      <w:r>
        <w:rPr>
          <w:b/>
        </w:rPr>
        <w:t xml:space="preserve">27 </w:t>
      </w:r>
      <w:r>
        <w:t xml:space="preserve">And a messenger came to Saul, saying, Hasten and come, because the foreigners have attacked the land.</w:t>
      </w:r>
    </w:p>
    <w:p>
      <w:r>
        <w:rPr>
          <w:b/>
        </w:rPr>
        <w:t xml:space="preserve">28 </w:t>
      </w:r>
      <w:r>
        <w:t xml:space="preserve">And Saul turned back from pursuing after David and went to meet the foreigners. Because of this that place was called Divided Rock.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David went up from there and sat in the narrow places of Engedi.</w:t>
      </w:r>
      <w:r>
        <w:rPr>
          <w:rStyle w:val="FootnoteReference"/>
        </w:rPr>
        <w:footnoteReference w:id="5564"/>
      </w:r>
      <w:r>
        <w:t xml:space="preserve"/>
      </w:r>
      <w:r>
        <w:rPr>
          <w:rStyle w:val="FootnoteReference"/>
        </w:rPr>
        <w:footnoteReference w:id="5565"/>
      </w:r>
    </w:p>
    <w:p>
      <w:r>
        <w:rPr>
          <w:b/>
        </w:rPr>
        <w:t xml:space="preserve">2 </w:t>
      </w:r>
      <w:r>
        <w:t xml:space="preserve">And it came to be as Saul turned back from after the foreigners</w:t>
      </w:r>
      <w:r>
        <w:rPr>
          <w:rStyle w:val="FootnoteReference"/>
        </w:rPr>
        <w:footnoteReference w:id="5566"/>
      </w:r>
      <w:r>
        <w:t xml:space="preserve">, that it was reported to him saying that David was in the wilderness of Engedi.</w:t>
      </w:r>
      <w:r>
        <w:rPr>
          <w:rStyle w:val="FootnoteReference"/>
        </w:rPr>
        <w:footnoteReference w:id="5567"/>
      </w:r>
    </w:p>
    <w:p>
      <w:r>
        <w:rPr>
          <w:b/>
        </w:rPr>
        <w:t xml:space="preserve">3 </w:t>
      </w:r>
      <w:r>
        <w:t xml:space="preserve">And he took with himself three thousand chosen men from all Israel and went to seek David</w:t>
      </w:r>
      <w:r>
        <w:rPr>
          <w:rStyle w:val="FootnoteReference"/>
        </w:rPr>
        <w:footnoteReference w:id="5568"/>
      </w:r>
      <w:r>
        <w:t xml:space="preserve"> and his men upon the face of Saddaeim.</w:t>
      </w:r>
    </w:p>
    <w:p>
      <w:r>
        <w:rPr>
          <w:b/>
        </w:rPr>
        <w:t xml:space="preserve">4 </w:t>
      </w:r>
      <w:r>
        <w:t xml:space="preserve">And he came to the sheepfolds by the road, and there was a cave there, and Saul entered to prepare himself</w:t>
      </w:r>
      <w:r>
        <w:rPr>
          <w:rStyle w:val="FootnoteReference"/>
        </w:rPr>
        <w:footnoteReference w:id="5569"/>
      </w:r>
      <w:r>
        <w:t xml:space="preserve">, and David and his men were sitting in the innermost part of the cave.</w:t>
      </w:r>
    </w:p>
    <w:p>
      <w:r>
        <w:rPr>
          <w:b/>
        </w:rPr>
        <w:t xml:space="preserve">5 </w:t>
      </w:r>
      <w:r>
        <w:t xml:space="preserve">And the men of David said to him, Behold, this day of which the Lord spoke to you, to deliver your enemy into your hands, and you will do to him as good in your eyes. And David rose and removed the wing of Saul’s double cloak secretly.</w:t>
      </w:r>
      <w:r>
        <w:rPr>
          <w:rStyle w:val="FootnoteReference"/>
        </w:rPr>
        <w:footnoteReference w:id="5570"/>
      </w:r>
    </w:p>
    <w:p>
      <w:r>
        <w:rPr>
          <w:b/>
        </w:rPr>
        <w:t xml:space="preserve">6 </w:t>
      </w:r>
      <w:r>
        <w:t xml:space="preserve">And it came to be after these things that David’s heart struck him because he had removed the wing of his double cloak.</w:t>
      </w:r>
    </w:p>
    <w:p>
      <w:r>
        <w:rPr>
          <w:b/>
        </w:rPr>
        <w:t xml:space="preserve">7 </w:t>
      </w:r>
      <w:r>
        <w:t xml:space="preserve">And David said to his men, Far be it from me before the Lord if I do this thing to my lord, the anointed of the Lord, to bring my hand upon him, because this one is anointed of the Lord.</w:t>
      </w:r>
    </w:p>
    <w:p>
      <w:r>
        <w:rPr>
          <w:b/>
        </w:rPr>
        <w:t xml:space="preserve">8 </w:t>
      </w:r>
      <w:r>
        <w:t xml:space="preserve">And David persuaded his men with words and did not let them rise to put Saul to death, and Saul rose and went down on the road.</w:t>
      </w:r>
      <w:r>
        <w:rPr>
          <w:rStyle w:val="FootnoteReference"/>
        </w:rPr>
        <w:footnoteReference w:id="5571"/>
      </w:r>
    </w:p>
    <w:p>
      <w:r>
        <w:rPr>
          <w:b/>
        </w:rPr>
        <w:t xml:space="preserve">9 </w:t>
      </w:r>
      <w:r>
        <w:t xml:space="preserve">And David rose after him from the cave and cried out behind Saul, saying, Lord king. And Saul looked behind him, and David bent his face to the ground and bowed down to him.</w:t>
      </w:r>
    </w:p>
    <w:p>
      <w:r>
        <w:rPr>
          <w:b/>
        </w:rPr>
        <w:t xml:space="preserve">10 </w:t>
      </w:r>
      <w:r>
        <w:t xml:space="preserve">And David said to Saul, Why do you listen to the words of the people saying, Behold, David seeks your life?</w:t>
      </w:r>
      <w:r>
        <w:rPr>
          <w:rStyle w:val="FootnoteReference"/>
        </w:rPr>
        <w:footnoteReference w:id="5572"/>
      </w:r>
      <w:r>
        <w:t xml:space="preserve"/>
      </w:r>
    </w:p>
    <w:p>
      <w:r>
        <w:rPr>
          <w:b/>
        </w:rPr>
        <w:t xml:space="preserve">11 </w:t>
      </w:r>
      <w:r>
        <w:t xml:space="preserve">Behold, on this day your eyes have seen that the Lord delivered you today into my hand in the cave, and I was not willing to kill you, and I spared you and said, I will not put my hand upon my lord, because he is anointed of the Lord.</w:t>
      </w:r>
      <w:r>
        <w:rPr>
          <w:rStyle w:val="FootnoteReference"/>
        </w:rPr>
        <w:footnoteReference w:id="5573"/>
      </w:r>
    </w:p>
    <w:p>
      <w:r>
        <w:rPr>
          <w:b/>
        </w:rPr>
        <w:t xml:space="preserve">12 </w:t>
      </w:r>
      <w:r>
        <w:t xml:space="preserve">And behold, the wing of your double cloak</w:t>
      </w:r>
      <w:r>
        <w:rPr>
          <w:rStyle w:val="FootnoteReference"/>
        </w:rPr>
        <w:footnoteReference w:id="5574"/>
      </w:r>
      <w:r>
        <w:t xml:space="preserve"> is in my hand. I removed the wing and did not kill you. Know and see today that there is no evil in my hand, nor impiety and revolt, and I have not sinned against you, but you bind my life to take it.</w:t>
      </w:r>
    </w:p>
    <w:p>
      <w:r>
        <w:rPr>
          <w:b/>
        </w:rPr>
        <w:t xml:space="preserve">13 </w:t>
      </w:r>
      <w:r>
        <w:t xml:space="preserve">May the Lord judge between me and you, and may the Lord avenge me from you, but my hand will not be upon you.</w:t>
      </w:r>
    </w:p>
    <w:p>
      <w:r>
        <w:rPr>
          <w:b/>
        </w:rPr>
        <w:t xml:space="preserve">14 </w:t>
      </w:r>
      <w:r>
        <w:t xml:space="preserve">As the ancient proverb says, From lawless ones wrongdoing will go out, but my hand will not be upon you.</w:t>
      </w:r>
    </w:p>
    <w:p>
      <w:r>
        <w:rPr>
          <w:b/>
        </w:rPr>
        <w:t xml:space="preserve">15 </w:t>
      </w:r>
      <w:r>
        <w:t xml:space="preserve">And now, after whom do you come out, king of Israel? After whom do you pursue? After a dead dog and after one flea.</w:t>
      </w:r>
      <w:r>
        <w:rPr>
          <w:rStyle w:val="FootnoteReference"/>
        </w:rPr>
        <w:footnoteReference w:id="5575"/>
      </w:r>
      <w:r>
        <w:t xml:space="preserve"/>
      </w:r>
    </w:p>
    <w:p>
      <w:r>
        <w:rPr>
          <w:b/>
        </w:rPr>
        <w:t xml:space="preserve">16 </w:t>
      </w:r>
      <w:r>
        <w:t xml:space="preserve">May the Lord become judge and justice between me and you</w:t>
      </w:r>
      <w:r>
        <w:rPr>
          <w:rStyle w:val="FootnoteReference"/>
        </w:rPr>
        <w:footnoteReference w:id="5576"/>
      </w:r>
      <w:r>
        <w:t xml:space="preserve">. May the Lord see and judge my judgment and give me justice from your hand.</w:t>
      </w:r>
    </w:p>
    <w:p>
      <w:r>
        <w:rPr>
          <w:b/>
        </w:rPr>
        <w:t xml:space="preserve">17 </w:t>
      </w:r>
      <w:r>
        <w:t xml:space="preserve">And it came to be, when David finished speaking these words to Saul, Saul said, Is this your voice, child David? And Saul lifted up his voice and wept.</w:t>
      </w:r>
    </w:p>
    <w:p>
      <w:r>
        <w:rPr>
          <w:b/>
        </w:rPr>
        <w:t xml:space="preserve">18 </w:t>
      </w:r>
      <w:r>
        <w:t xml:space="preserve">And Saul said to David, You are more righteous than I, because you repaid me good things, but I repaid you evil things.</w:t>
      </w:r>
    </w:p>
    <w:p>
      <w:r>
        <w:rPr>
          <w:b/>
        </w:rPr>
        <w:t xml:space="preserve">19 </w:t>
      </w:r>
      <w:r>
        <w:t xml:space="preserve">And you reported to me today what good things you did to me, how the Lord</w:t>
      </w:r>
      <w:r>
        <w:rPr>
          <w:rStyle w:val="FootnoteReference"/>
        </w:rPr>
        <w:footnoteReference w:id="5577"/>
      </w:r>
      <w:r>
        <w:t xml:space="preserve"> shut me up today into your hands and you did not kill me.</w:t>
      </w:r>
    </w:p>
    <w:p>
      <w:r>
        <w:rPr>
          <w:b/>
        </w:rPr>
        <w:t xml:space="preserve">20 </w:t>
      </w:r>
      <w:r>
        <w:t xml:space="preserve">And because if anyone should find his enemy in affliction and send him away on a good road, then the Lord will repay him good things, as you have done today.</w:t>
      </w:r>
    </w:p>
    <w:p>
      <w:r>
        <w:rPr>
          <w:b/>
        </w:rPr>
        <w:t xml:space="preserve">21 </w:t>
      </w:r>
      <w:r>
        <w:t xml:space="preserve">And now, behold, I know that in reigning you will reign, and the kingdom of Israel will stand in your hands.</w:t>
      </w:r>
    </w:p>
    <w:p>
      <w:r>
        <w:rPr>
          <w:b/>
        </w:rPr>
        <w:t xml:space="preserve">22 </w:t>
      </w:r>
      <w:r>
        <w:t xml:space="preserve">And now swear to me by the Lord that you will not destroy my seed after me and will not wipe out my name from the house of my father.</w:t>
      </w:r>
      <w:r>
        <w:rPr>
          <w:rStyle w:val="FootnoteReference"/>
        </w:rPr>
        <w:footnoteReference w:id="5578"/>
      </w:r>
    </w:p>
    <w:p>
      <w:r>
        <w:rPr>
          <w:b/>
        </w:rPr>
        <w:t xml:space="preserve">23 </w:t>
      </w:r>
      <w:r>
        <w:t xml:space="preserve">And David swore to Saul, and Saul went away to his place, and David and his men went up to the narrow stronghold.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Samuel</w:t>
      </w:r>
      <w:r>
        <w:rPr>
          <w:rStyle w:val="FootnoteReference"/>
        </w:rPr>
        <w:footnoteReference w:id="5579"/>
      </w:r>
      <w:r>
        <w:t xml:space="preserve"> died, and all Israel gathered and mourned for him and buried him in his house at Ramathaim-Zophim. And David rose and went down into the wilderness of Maon.</w:t>
      </w:r>
    </w:p>
    <w:p>
      <w:r>
        <w:rPr>
          <w:b/>
        </w:rPr>
        <w:t xml:space="preserve">2 </w:t>
      </w:r>
      <w:r>
        <w:t xml:space="preserve">And there was a man in Maon</w:t>
      </w:r>
      <w:r>
        <w:rPr>
          <w:rStyle w:val="FootnoteReference"/>
        </w:rPr>
        <w:footnoteReference w:id="5580"/>
      </w:r>
      <w:r>
        <w:t xml:space="preserve">, and his flocks were in Carmel, and the man was very great, and he had three thousand sheep and one thousand goats. And it came to be when he was shearing his flock in Carmel,</w:t>
      </w:r>
    </w:p>
    <w:p>
      <w:r>
        <w:rPr>
          <w:b/>
        </w:rPr>
        <w:t xml:space="preserve">3 </w:t>
      </w:r>
      <w:r>
        <w:t xml:space="preserve">the name of the man was Nabal</w:t>
      </w:r>
      <w:r>
        <w:rPr>
          <w:rStyle w:val="FootnoteReference"/>
        </w:rPr>
        <w:footnoteReference w:id="5581"/>
      </w:r>
      <w:r>
        <w:t xml:space="preserve">, and the name of his wife was Abigail</w:t>
      </w:r>
      <w:r>
        <w:rPr>
          <w:rStyle w:val="FootnoteReference"/>
        </w:rPr>
        <w:footnoteReference w:id="5582"/>
      </w:r>
      <w:r>
        <w:t xml:space="preserve">, and his wife was good</w:t>
      </w:r>
      <w:r>
        <w:rPr>
          <w:rStyle w:val="FootnoteReference"/>
        </w:rPr>
        <w:footnoteReference w:id="5583"/>
      </w:r>
      <w:r>
        <w:t xml:space="preserve"> in understanding and very beautiful in appearance, but the man was harsh and evil in practices, and the man was doglike</w:t>
      </w:r>
      <w:r>
        <w:rPr>
          <w:rStyle w:val="FootnoteReference"/>
        </w:rPr>
        <w:footnoteReference w:id="5584"/>
      </w:r>
      <w:r>
        <w:t xml:space="preserve">.</w:t>
      </w:r>
    </w:p>
    <w:p>
      <w:r>
        <w:rPr>
          <w:b/>
        </w:rPr>
        <w:t xml:space="preserve">4 </w:t>
      </w:r>
      <w:r>
        <w:t xml:space="preserve">And David heard in the wilderness that Nabal the Carmelite</w:t>
      </w:r>
      <w:r>
        <w:rPr>
          <w:rStyle w:val="FootnoteReference"/>
        </w:rPr>
        <w:footnoteReference w:id="5585"/>
      </w:r>
      <w:r>
        <w:t xml:space="preserve"> was shearing his flock.</w:t>
      </w:r>
    </w:p>
    <w:p>
      <w:r>
        <w:rPr>
          <w:b/>
        </w:rPr>
        <w:t xml:space="preserve">5 </w:t>
      </w:r>
      <w:r>
        <w:t xml:space="preserve">And David sent ten young men and said to the young men, Go up to Carmel and go to Nabal and ask him in my name about peace.</w:t>
      </w:r>
    </w:p>
    <w:p>
      <w:r>
        <w:rPr>
          <w:b/>
        </w:rPr>
        <w:t xml:space="preserve">6 </w:t>
      </w:r>
      <w:r>
        <w:t xml:space="preserve">And you will say these things at the season: And you are in health, and your house, and all your things in health.</w:t>
      </w:r>
    </w:p>
    <w:p>
      <w:r>
        <w:rPr>
          <w:b/>
        </w:rPr>
        <w:t xml:space="preserve">7 </w:t>
      </w:r>
      <w:r>
        <w:t xml:space="preserve">And now behold, I have heard that they are shearing for you. Now your shepherds who were with us in the wilderness, we did not hinder them, and we did not command anything from them all the days they were in Carmel.</w:t>
      </w:r>
    </w:p>
    <w:p>
      <w:r>
        <w:rPr>
          <w:b/>
        </w:rPr>
        <w:t xml:space="preserve">8 </w:t>
      </w:r>
      <w:r>
        <w:t xml:space="preserve">Ask your young men, and they will report to you. And let the young men find favor in your eyes, because we have come on a good day</w:t>
      </w:r>
      <w:r>
        <w:rPr>
          <w:rStyle w:val="FootnoteReference"/>
        </w:rPr>
        <w:footnoteReference w:id="5586"/>
      </w:r>
      <w:r>
        <w:t xml:space="preserve">. Give now whatever your hand may find to your son David.</w:t>
      </w:r>
      <w:r>
        <w:rPr>
          <w:rStyle w:val="FootnoteReference"/>
        </w:rPr>
        <w:footnoteReference w:id="5587"/>
      </w:r>
    </w:p>
    <w:p>
      <w:r>
        <w:rPr>
          <w:b/>
        </w:rPr>
        <w:t xml:space="preserve">9 </w:t>
      </w:r>
      <w:r>
        <w:t xml:space="preserve">And the young men come and speak these words to Nabal according to all these words in the name of David, and he sprang away.</w:t>
      </w:r>
    </w:p>
    <w:p>
      <w:r>
        <w:rPr>
          <w:b/>
        </w:rPr>
        <w:t xml:space="preserve">10 </w:t>
      </w:r>
      <w:r>
        <w:t xml:space="preserve">And Nabal answered the servants of David and said, Who is David</w:t>
      </w:r>
      <w:r>
        <w:rPr>
          <w:rStyle w:val="FootnoteReference"/>
        </w:rPr>
        <w:footnoteReference w:id="5588"/>
      </w:r>
      <w:r>
        <w:t xml:space="preserve">, and who is the son of Jesse? Today servants who withdraw each one from before his lord have multiplied.</w:t>
      </w:r>
    </w:p>
    <w:p>
      <w:r>
        <w:rPr>
          <w:b/>
        </w:rPr>
        <w:t xml:space="preserve">11 </w:t>
      </w:r>
      <w:r>
        <w:t xml:space="preserve">And shall I take my breads and my wine and my victims that I have slaughtered for those shearing my sheep and give them to men whose origin I do not know?</w:t>
      </w:r>
    </w:p>
    <w:p>
      <w:r>
        <w:rPr>
          <w:b/>
        </w:rPr>
        <w:t xml:space="preserve">12 </w:t>
      </w:r>
      <w:r>
        <w:t xml:space="preserve">And David’s young men turned on their way and returned and came and reported to David according to these words.</w:t>
      </w:r>
    </w:p>
    <w:p>
      <w:r>
        <w:rPr>
          <w:b/>
        </w:rPr>
        <w:t xml:space="preserve">13 </w:t>
      </w:r>
      <w:r>
        <w:t xml:space="preserve">And David said to his men, Gird on each his sword. And about four hundred men went up after David, and two hundred</w:t>
      </w:r>
      <w:r>
        <w:rPr>
          <w:rStyle w:val="FootnoteReference"/>
        </w:rPr>
        <w:footnoteReference w:id="5589"/>
      </w:r>
      <w:r>
        <w:t xml:space="preserve"> sat with the baggage.</w:t>
      </w:r>
      <w:r>
        <w:rPr>
          <w:rStyle w:val="FootnoteReference"/>
        </w:rPr>
        <w:footnoteReference w:id="5590"/>
      </w:r>
    </w:p>
    <w:p>
      <w:r>
        <w:rPr>
          <w:b/>
        </w:rPr>
        <w:t xml:space="preserve">14 </w:t>
      </w:r>
      <w:r>
        <w:t xml:space="preserve">And one of the young men reported to Abigail wife of Nabal, saying, Behold, David sent messengers from the wilderness to bless our lord, and he turned away from them.</w:t>
      </w:r>
    </w:p>
    <w:p>
      <w:r>
        <w:rPr>
          <w:b/>
        </w:rPr>
        <w:t xml:space="preserve">15 </w:t>
      </w:r>
      <w:r>
        <w:t xml:space="preserve">And the men were very good</w:t>
      </w:r>
      <w:r>
        <w:rPr>
          <w:rStyle w:val="FootnoteReference"/>
        </w:rPr>
        <w:footnoteReference w:id="5591"/>
      </w:r>
      <w:r>
        <w:t xml:space="preserve"> to us. They did not hinder us, nor did they command anything to us all the days we were with them and while we were in the field.</w:t>
      </w:r>
    </w:p>
    <w:p>
      <w:r>
        <w:rPr>
          <w:b/>
        </w:rPr>
        <w:t xml:space="preserve">16 </w:t>
      </w:r>
      <w:r>
        <w:t xml:space="preserve">They were like a wall</w:t>
      </w:r>
      <w:r>
        <w:rPr>
          <w:rStyle w:val="FootnoteReference"/>
        </w:rPr>
        <w:footnoteReference w:id="5592"/>
      </w:r>
      <w:r>
        <w:t xml:space="preserve"> around us, both night and day, all the days we were with them shepherding the flock.</w:t>
      </w:r>
    </w:p>
    <w:p>
      <w:r>
        <w:rPr>
          <w:b/>
        </w:rPr>
        <w:t xml:space="preserve">17 </w:t>
      </w:r>
      <w:r>
        <w:t xml:space="preserve">And now know and see what you will do, because evil</w:t>
      </w:r>
      <w:r>
        <w:rPr>
          <w:rStyle w:val="FootnoteReference"/>
        </w:rPr>
        <w:footnoteReference w:id="5593"/>
      </w:r>
      <w:r>
        <w:t xml:space="preserve"> has been completed against our lord and against his house, and he is a pestilent son, and no one can speak to him.</w:t>
      </w:r>
    </w:p>
    <w:p>
      <w:r>
        <w:rPr>
          <w:b/>
        </w:rPr>
        <w:t xml:space="preserve">18 </w:t>
      </w:r>
      <w:r>
        <w:t xml:space="preserve">And Abigail hurried and took two</w:t>
      </w:r>
      <w:r>
        <w:rPr>
          <w:rStyle w:val="FootnoteReference"/>
        </w:rPr>
        <w:footnoteReference w:id="5594"/>
      </w:r>
      <w:r>
        <w:t xml:space="preserve"> hundred loaves and two vessels of wine and five prepared sheep and five ophi of fine flour and one gomor of raisins and two hundred cakes and put them on the donkeys.</w:t>
      </w:r>
      <w:r>
        <w:rPr>
          <w:rStyle w:val="FootnoteReference"/>
        </w:rPr>
        <w:footnoteReference w:id="5595"/>
      </w:r>
    </w:p>
    <w:p>
      <w:r>
        <w:rPr>
          <w:b/>
        </w:rPr>
        <w:t xml:space="preserve">19 </w:t>
      </w:r>
      <w:r>
        <w:t xml:space="preserve">And she said to her young men, Go on before me, and behold, I am coming behind you. But to her husband she did not report it.</w:t>
      </w:r>
    </w:p>
    <w:p>
      <w:r>
        <w:rPr>
          <w:b/>
        </w:rPr>
        <w:t xml:space="preserve">20 </w:t>
      </w:r>
      <w:r>
        <w:t xml:space="preserve">And it came to be, as she was mounted on the donkey and going down under the shelter of the mountain, behold, David and his men were coming down to meet her, and she met them.</w:t>
      </w:r>
    </w:p>
    <w:p>
      <w:r>
        <w:rPr>
          <w:b/>
        </w:rPr>
        <w:t xml:space="preserve">21 </w:t>
      </w:r>
      <w:r>
        <w:t xml:space="preserve">And David said, Perhaps in vain I have guarded all his things in the wilderness, and we did not command taking anything from all his things, and he repaid me evil instead of good.</w:t>
      </w:r>
    </w:p>
    <w:p>
      <w:r>
        <w:rPr>
          <w:b/>
        </w:rPr>
        <w:t xml:space="preserve">22 </w:t>
      </w:r>
      <w:r>
        <w:t xml:space="preserve">Thus may God do to David and thus may he add, if I leave</w:t>
      </w:r>
      <w:r>
        <w:rPr>
          <w:rStyle w:val="FootnoteReference"/>
        </w:rPr>
        <w:footnoteReference w:id="5596"/>
      </w:r>
      <w:r>
        <w:t xml:space="preserve"> from all the things of Nabal until morning one who urinates against a wall.</w:t>
      </w:r>
    </w:p>
    <w:p>
      <w:r>
        <w:rPr>
          <w:b/>
        </w:rPr>
        <w:t xml:space="preserve">23 </w:t>
      </w:r>
      <w:r>
        <w:t xml:space="preserve">And Abigail saw David and hurried and sprang down from the donkey and fell</w:t>
      </w:r>
      <w:r>
        <w:rPr>
          <w:rStyle w:val="FootnoteReference"/>
        </w:rPr>
        <w:footnoteReference w:id="5597"/>
      </w:r>
      <w:r>
        <w:t xml:space="preserve"> before David on her face and bowed down to him on the ground.</w:t>
      </w:r>
    </w:p>
    <w:p>
      <w:r>
        <w:rPr>
          <w:b/>
        </w:rPr>
        <w:t xml:space="preserve">24 </w:t>
      </w:r>
      <w:r>
        <w:t xml:space="preserve">At his feet she said, In me, my lord, is the wrongdoing. Let your servant speak into your ears now, and hear the word of your servant.</w:t>
      </w:r>
    </w:p>
    <w:p>
      <w:r>
        <w:rPr>
          <w:b/>
        </w:rPr>
        <w:t xml:space="preserve">25 </w:t>
      </w:r>
      <w:r>
        <w:t xml:space="preserve">Let not my lord set his heart on this pestilent man, because as his name, so he is: Nabal is his name, and folly is with him. But I, your servant, did not see your young men whom you sent.</w:t>
      </w:r>
    </w:p>
    <w:p>
      <w:r>
        <w:rPr>
          <w:b/>
        </w:rPr>
        <w:t xml:space="preserve">26 </w:t>
      </w:r>
      <w:r>
        <w:t xml:space="preserve">And now, my lord, as the Lord lives and as your life lives, just as the Lord kept you back from coming into innocent blood</w:t>
      </w:r>
      <w:r>
        <w:rPr>
          <w:rStyle w:val="FootnoteReference"/>
        </w:rPr>
        <w:footnoteReference w:id="5598"/>
      </w:r>
      <w:r>
        <w:t xml:space="preserve"> and from saving your hand for yourself, now let</w:t>
      </w:r>
      <w:r>
        <w:rPr>
          <w:rStyle w:val="FootnoteReference"/>
        </w:rPr>
        <w:footnoteReference w:id="5599"/>
      </w:r>
      <w:r>
        <w:t xml:space="preserve"> your enemies and the ones seeking evil for my lord become like Nabal.</w:t>
      </w:r>
    </w:p>
    <w:p>
      <w:r>
        <w:rPr>
          <w:b/>
        </w:rPr>
        <w:t xml:space="preserve">27 </w:t>
      </w:r>
      <w:r>
        <w:t xml:space="preserve">And now take this blessing</w:t>
      </w:r>
      <w:r>
        <w:rPr>
          <w:rStyle w:val="FootnoteReference"/>
        </w:rPr>
        <w:footnoteReference w:id="5600"/>
      </w:r>
      <w:r>
        <w:t xml:space="preserve"> that your servant has brought to my lord, and you will give it to the young men standing by my lord.</w:t>
      </w:r>
    </w:p>
    <w:p>
      <w:r>
        <w:rPr>
          <w:b/>
        </w:rPr>
        <w:t xml:space="preserve">28 </w:t>
      </w:r>
      <w:r>
        <w:t xml:space="preserve">Take away the lawless deed of your servant, because in doing the Lord</w:t>
      </w:r>
      <w:r>
        <w:rPr>
          <w:rStyle w:val="FootnoteReference"/>
        </w:rPr>
        <w:footnoteReference w:id="5601"/>
      </w:r>
      <w:r>
        <w:t xml:space="preserve"> will make for my lord a faithful house, because my lord fights the battles of the Lord, and evil will not be found in you ever.</w:t>
      </w:r>
    </w:p>
    <w:p>
      <w:r>
        <w:rPr>
          <w:b/>
        </w:rPr>
        <w:t xml:space="preserve">29 </w:t>
      </w:r>
      <w:r>
        <w:t xml:space="preserve">And a man will rise up pursuing you and seeking your life, and the life of my lord will be bound</w:t>
      </w:r>
      <w:r>
        <w:rPr>
          <w:rStyle w:val="FootnoteReference"/>
        </w:rPr>
        <w:footnoteReference w:id="5602"/>
      </w:r>
      <w:r>
        <w:t xml:space="preserve"> in the bundle of life</w:t>
      </w:r>
      <w:r>
        <w:rPr>
          <w:rStyle w:val="FootnoteReference"/>
        </w:rPr>
        <w:footnoteReference w:id="5603"/>
      </w:r>
      <w:r>
        <w:t xml:space="preserve"> with the Lord your God, and the life of your enemies you will sling out in the middle of the sling.</w:t>
      </w:r>
    </w:p>
    <w:p>
      <w:r>
        <w:rPr>
          <w:b/>
        </w:rPr>
        <w:t xml:space="preserve">30 </w:t>
      </w:r>
      <w:r>
        <w:t xml:space="preserve">And it will be that the Lord will do for my lord all the good things he spoke concerning you, and the Lord will appoint you as a leader over Israel.</w:t>
      </w:r>
    </w:p>
    <w:p>
      <w:r>
        <w:rPr>
          <w:b/>
        </w:rPr>
        <w:t xml:space="preserve">31 </w:t>
      </w:r>
      <w:r>
        <w:t xml:space="preserve">And this will not be to you an abomination and a stumbling</w:t>
      </w:r>
      <w:r>
        <w:rPr>
          <w:rStyle w:val="FootnoteReference"/>
        </w:rPr>
        <w:footnoteReference w:id="5604"/>
      </w:r>
      <w:r>
        <w:t xml:space="preserve"> for my lord, to pour out innocent blood for nothing and for the hand of my lord to save for himself. And the Lord will do good to my lord, and you will remember</w:t>
      </w:r>
      <w:r>
        <w:rPr>
          <w:rStyle w:val="FootnoteReference"/>
        </w:rPr>
        <w:footnoteReference w:id="5605"/>
      </w:r>
      <w:r>
        <w:t xml:space="preserve"> your servant to do good to her.</w:t>
      </w:r>
    </w:p>
    <w:p>
      <w:r>
        <w:rPr>
          <w:b/>
        </w:rPr>
        <w:t xml:space="preserve">32 </w:t>
      </w:r>
      <w:r>
        <w:t xml:space="preserve">And David said to Abigail, Blessed be the Lord God of Israel, who sent you today on this day to meet me.</w:t>
      </w:r>
    </w:p>
    <w:p>
      <w:r>
        <w:rPr>
          <w:b/>
        </w:rPr>
        <w:t xml:space="preserve">33 </w:t>
      </w:r>
      <w:r>
        <w:t xml:space="preserve">And blessed</w:t>
      </w:r>
      <w:r>
        <w:rPr>
          <w:rStyle w:val="FootnoteReference"/>
        </w:rPr>
        <w:footnoteReference w:id="5606"/>
      </w:r>
      <w:r>
        <w:t xml:space="preserve"> be your discernment, and blessed are you, who kept me back today on this day from coming into bloods and from saving my hand for myself.</w:t>
      </w:r>
    </w:p>
    <w:p>
      <w:r>
        <w:rPr>
          <w:b/>
        </w:rPr>
        <w:t xml:space="preserve">34 </w:t>
      </w:r>
      <w:r>
        <w:t xml:space="preserve">Except that the Lord God of Israel lives, who kept me back</w:t>
      </w:r>
      <w:r>
        <w:rPr>
          <w:rStyle w:val="FootnoteReference"/>
        </w:rPr>
        <w:footnoteReference w:id="5607"/>
      </w:r>
      <w:r>
        <w:t xml:space="preserve"> today from doing evil to you, because if you had not hurried and come to meet me, then I said, Surely there would have been left to Nabal until morning one urinating against a wall</w:t>
      </w:r>
      <w:r>
        <w:rPr>
          <w:rStyle w:val="FootnoteReference"/>
        </w:rPr>
        <w:footnoteReference w:id="5608"/>
      </w:r>
      <w:r>
        <w:t xml:space="preserve">.</w:t>
      </w:r>
    </w:p>
    <w:p>
      <w:r>
        <w:rPr>
          <w:b/>
        </w:rPr>
        <w:t xml:space="preserve">35 </w:t>
      </w:r>
      <w:r>
        <w:t xml:space="preserve">And David took from her hand all that she brought to him and said to her, Go up</w:t>
      </w:r>
      <w:r>
        <w:rPr>
          <w:rStyle w:val="FootnoteReference"/>
        </w:rPr>
        <w:footnoteReference w:id="5609"/>
      </w:r>
      <w:r>
        <w:t xml:space="preserve"> in peace to your house. See, I have heard your voice and honored your face.</w:t>
      </w:r>
    </w:p>
    <w:p>
      <w:r>
        <w:rPr>
          <w:b/>
        </w:rPr>
        <w:t xml:space="preserve">36 </w:t>
      </w:r>
      <w:r>
        <w:t xml:space="preserve">And Abigail came to Nabal, and behold, a feast</w:t>
      </w:r>
      <w:r>
        <w:rPr>
          <w:rStyle w:val="FootnoteReference"/>
        </w:rPr>
        <w:footnoteReference w:id="5610"/>
      </w:r>
      <w:r>
        <w:t xml:space="preserve"> was for him in his house like a king’s feast, and the heart of Nabal was good upon him</w:t>
      </w:r>
      <w:r>
        <w:rPr>
          <w:rStyle w:val="FootnoteReference"/>
        </w:rPr>
        <w:footnoteReference w:id="5611"/>
      </w:r>
      <w:r>
        <w:t xml:space="preserve">, and he was very drunk, and she did not report to him a thing, small or great, until morning light.</w:t>
      </w:r>
    </w:p>
    <w:p>
      <w:r>
        <w:rPr>
          <w:b/>
        </w:rPr>
        <w:t xml:space="preserve">37 </w:t>
      </w:r>
      <w:r>
        <w:t xml:space="preserve">And it came to be in the morning, as Nabal sobered from the wine, his wife reported these words to him, and his heart</w:t>
      </w:r>
      <w:r>
        <w:rPr>
          <w:rStyle w:val="FootnoteReference"/>
        </w:rPr>
        <w:footnoteReference w:id="5612"/>
      </w:r>
      <w:r>
        <w:t xml:space="preserve"> died within him, and he became like a stone.</w:t>
      </w:r>
    </w:p>
    <w:p>
      <w:r>
        <w:rPr>
          <w:b/>
        </w:rPr>
        <w:t xml:space="preserve">38 </w:t>
      </w:r>
      <w:r>
        <w:t xml:space="preserve">And it came to be after about ten days, the Lord</w:t>
      </w:r>
      <w:r>
        <w:rPr>
          <w:rStyle w:val="FootnoteReference"/>
        </w:rPr>
        <w:footnoteReference w:id="5613"/>
      </w:r>
      <w:r>
        <w:t xml:space="preserve"> struck Nabal, and he died.</w:t>
      </w:r>
    </w:p>
    <w:p>
      <w:r>
        <w:rPr>
          <w:b/>
        </w:rPr>
        <w:t xml:space="preserve">39 </w:t>
      </w:r>
      <w:r>
        <w:t xml:space="preserve">And David heard and said, Blessed</w:t>
      </w:r>
      <w:r>
        <w:rPr>
          <w:rStyle w:val="FootnoteReference"/>
        </w:rPr>
        <w:footnoteReference w:id="5614"/>
      </w:r>
      <w:r>
        <w:t xml:space="preserve"> be the Lord, who judged the judgment of my reproach from the hand of Nabal and preserved his servant from the hand of evils</w:t>
      </w:r>
      <w:r>
        <w:rPr>
          <w:rStyle w:val="FootnoteReference"/>
        </w:rPr>
        <w:footnoteReference w:id="5615"/>
      </w:r>
      <w:r>
        <w:t xml:space="preserve">, and the Lord turned back the evil of Nabal on his own head. And David sent and spoke concerning Abigail, to take her for himself as wife.</w:t>
      </w:r>
    </w:p>
    <w:p>
      <w:r>
        <w:rPr>
          <w:b/>
        </w:rPr>
        <w:t xml:space="preserve">40 </w:t>
      </w:r>
      <w:r>
        <w:t xml:space="preserve">And the servants of David came to Abigail at Carmel and spoke to her, saying, David has sent us to you, to take you for himself as wife.</w:t>
      </w:r>
    </w:p>
    <w:p>
      <w:r>
        <w:rPr>
          <w:b/>
        </w:rPr>
        <w:t xml:space="preserve">41 </w:t>
      </w:r>
      <w:r>
        <w:t xml:space="preserve">And she rose and bowed down to the ground on her face and said, Behold, your servant is for a slave-girl to wash</w:t>
      </w:r>
      <w:r>
        <w:rPr>
          <w:rStyle w:val="FootnoteReference"/>
        </w:rPr>
        <w:footnoteReference w:id="5616"/>
      </w:r>
      <w:r>
        <w:t xml:space="preserve"> the feet of your servants.</w:t>
      </w:r>
    </w:p>
    <w:p>
      <w:r>
        <w:rPr>
          <w:b/>
        </w:rPr>
        <w:t xml:space="preserve">42 </w:t>
      </w:r>
      <w:r>
        <w:t xml:space="preserve">And Abigail</w:t>
      </w:r>
      <w:r>
        <w:rPr>
          <w:rStyle w:val="FootnoteReference"/>
        </w:rPr>
        <w:footnoteReference w:id="5617"/>
      </w:r>
      <w:r>
        <w:t xml:space="preserve"> rose and mounted the donkey, and five girls were following her, and she went behind the servants of David and became his wife.</w:t>
      </w:r>
    </w:p>
    <w:p>
      <w:r>
        <w:rPr>
          <w:b/>
        </w:rPr>
        <w:t xml:space="preserve">43 </w:t>
      </w:r>
      <w:r>
        <w:t xml:space="preserve">And David took Ahinoam from Jezreel</w:t>
      </w:r>
      <w:r>
        <w:rPr>
          <w:rStyle w:val="FootnoteReference"/>
        </w:rPr>
        <w:footnoteReference w:id="5618"/>
      </w:r>
      <w:r>
        <w:t xml:space="preserve">, and both became his wives.</w:t>
      </w:r>
    </w:p>
    <w:p>
      <w:r>
        <w:rPr>
          <w:b/>
        </w:rPr>
        <w:t xml:space="preserve">44 </w:t>
      </w:r>
      <w:r>
        <w:t xml:space="preserve">And Saul gave Michal</w:t>
      </w:r>
      <w:r>
        <w:rPr>
          <w:rStyle w:val="FootnoteReference"/>
        </w:rPr>
        <w:footnoteReference w:id="5619"/>
      </w:r>
      <w:r>
        <w:t xml:space="preserve"> his daughter, the wife of David, to Palti son of Laish from Romma.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the Ziphites</w:t>
      </w:r>
      <w:r>
        <w:rPr>
          <w:rStyle w:val="FootnoteReference"/>
        </w:rPr>
        <w:footnoteReference w:id="5620"/>
      </w:r>
      <w:r>
        <w:t xml:space="preserve"> come from the dry land to Saul on the hill, saying, Behold, David is hiding with us on the mountain of Hachilah, opposite Jeshimon.</w:t>
      </w:r>
    </w:p>
    <w:p>
      <w:r>
        <w:rPr>
          <w:b/>
        </w:rPr>
        <w:t xml:space="preserve">2 </w:t>
      </w:r>
      <w:r>
        <w:t xml:space="preserve">And Saul rose and went down into the wilderness of Ziph, and with him were three thousand</w:t>
      </w:r>
      <w:r>
        <w:rPr>
          <w:rStyle w:val="FootnoteReference"/>
        </w:rPr>
        <w:footnoteReference w:id="5621"/>
      </w:r>
      <w:r>
        <w:t xml:space="preserve"> chosen men from Israel, to seek David in the wilderness of Ziph.</w:t>
      </w:r>
    </w:p>
    <w:p>
      <w:r>
        <w:rPr>
          <w:b/>
        </w:rPr>
        <w:t xml:space="preserve">3 </w:t>
      </w:r>
      <w:r>
        <w:t xml:space="preserve">And Saul camped on the mountain of Hachilah</w:t>
      </w:r>
      <w:r>
        <w:rPr>
          <w:rStyle w:val="FootnoteReference"/>
        </w:rPr>
        <w:footnoteReference w:id="5622"/>
      </w:r>
      <w:r>
        <w:t xml:space="preserve"> opposite Jeshimon by the road, and David sat in the wilderness, and David saw that Saul came after him into the wilderness.</w:t>
      </w:r>
    </w:p>
    <w:p>
      <w:r>
        <w:rPr>
          <w:b/>
        </w:rPr>
        <w:t xml:space="preserve">4 </w:t>
      </w:r>
      <w:r>
        <w:t xml:space="preserve">And David sent spies and knew that Saul came prepared from Keilah.</w:t>
      </w:r>
    </w:p>
    <w:p>
      <w:r>
        <w:rPr>
          <w:b/>
        </w:rPr>
        <w:t xml:space="preserve">5 </w:t>
      </w:r>
      <w:r>
        <w:t xml:space="preserve">And David rose secretly and enters into the place where Saul was sleeping there, and there was Abner</w:t>
      </w:r>
      <w:r>
        <w:rPr>
          <w:rStyle w:val="FootnoteReference"/>
        </w:rPr>
        <w:footnoteReference w:id="5623"/>
      </w:r>
      <w:r>
        <w:t xml:space="preserve"> son of Ner, his commander, and Saul was sleeping in the wagon circle</w:t>
      </w:r>
      <w:r>
        <w:rPr>
          <w:rStyle w:val="FootnoteReference"/>
        </w:rPr>
        <w:footnoteReference w:id="5624"/>
      </w:r>
      <w:r>
        <w:t xml:space="preserve">, and the people had camped around him.</w:t>
      </w:r>
    </w:p>
    <w:p>
      <w:r>
        <w:rPr>
          <w:b/>
        </w:rPr>
        <w:t xml:space="preserve">6 </w:t>
      </w:r>
      <w:r>
        <w:t xml:space="preserve">And David answered and said to Ahimelech</w:t>
      </w:r>
      <w:r>
        <w:rPr>
          <w:rStyle w:val="FootnoteReference"/>
        </w:rPr>
        <w:footnoteReference w:id="5625"/>
      </w:r>
      <w:r>
        <w:t xml:space="preserve"> the Hittite</w:t>
      </w:r>
      <w:r>
        <w:rPr>
          <w:rStyle w:val="FootnoteReference"/>
        </w:rPr>
        <w:footnoteReference w:id="5626"/>
      </w:r>
      <w:r>
        <w:t xml:space="preserve"> and to Abishai</w:t>
      </w:r>
      <w:r>
        <w:rPr>
          <w:rStyle w:val="FootnoteReference"/>
        </w:rPr>
        <w:footnoteReference w:id="5627"/>
      </w:r>
      <w:r>
        <w:t xml:space="preserve"> son of Zeruiah</w:t>
      </w:r>
      <w:r>
        <w:rPr>
          <w:rStyle w:val="FootnoteReference"/>
        </w:rPr>
        <w:footnoteReference w:id="5628"/>
      </w:r>
      <w:r>
        <w:t xml:space="preserve">, brother of Joab, saying, Who will go in with me to Saul into the camp? And Abishai said, I will go in with you.</w:t>
      </w:r>
    </w:p>
    <w:p>
      <w:r>
        <w:rPr>
          <w:b/>
        </w:rPr>
        <w:t xml:space="preserve">7 </w:t>
      </w:r>
      <w:r>
        <w:t xml:space="preserve">And David and Abishai enter into the people by night, and behold, Saul was sleeping</w:t>
      </w:r>
      <w:r>
        <w:rPr>
          <w:rStyle w:val="FootnoteReference"/>
        </w:rPr>
        <w:footnoteReference w:id="5629"/>
      </w:r>
      <w:r>
        <w:t xml:space="preserve"> in slumber in the wagon circle, and the spear was fixed in the ground at his head, and Abner and his people were sleeping around him.</w:t>
      </w:r>
    </w:p>
    <w:p>
      <w:r>
        <w:rPr>
          <w:b/>
        </w:rPr>
        <w:t xml:space="preserve">8 </w:t>
      </w:r>
      <w:r>
        <w:t xml:space="preserve">And Abishai said to David, Today the Lord has shut your enemy into your hands, and now I will strike him with the spear into the ground, once, and I will not need a second time</w:t>
      </w:r>
      <w:r>
        <w:rPr>
          <w:rStyle w:val="FootnoteReference"/>
        </w:rPr>
        <w:footnoteReference w:id="5630"/>
      </w:r>
      <w:r>
        <w:t xml:space="preserve"> for him.</w:t>
      </w:r>
    </w:p>
    <w:p>
      <w:r>
        <w:rPr>
          <w:b/>
        </w:rPr>
        <w:t xml:space="preserve">9 </w:t>
      </w:r>
      <w:r>
        <w:t xml:space="preserve">And David said to Abishai, Do not humble him, because who will bring his hand upon the anointed of the Lord and be held innocent?</w:t>
      </w:r>
    </w:p>
    <w:p>
      <w:r>
        <w:rPr>
          <w:b/>
        </w:rPr>
        <w:t xml:space="preserve">10 </w:t>
      </w:r>
      <w:r>
        <w:t xml:space="preserve">And David said, As the Lord lives, unless the Lord strikes him, or his day</w:t>
      </w:r>
      <w:r>
        <w:rPr>
          <w:rStyle w:val="FootnoteReference"/>
        </w:rPr>
        <w:footnoteReference w:id="5631"/>
      </w:r>
      <w:r>
        <w:t xml:space="preserve"> comes and he dies, or he goes down into battle and is swept away,</w:t>
      </w:r>
    </w:p>
    <w:p>
      <w:r>
        <w:rPr>
          <w:b/>
        </w:rPr>
        <w:t xml:space="preserve">11 </w:t>
      </w:r>
      <w:r>
        <w:t xml:space="preserve">far be it from me before the Lord to bring my hand upon the anointed of the Lord. And now take the spear from his head and the flask of water, and let us go for ourselves.</w:t>
      </w:r>
    </w:p>
    <w:p>
      <w:r>
        <w:rPr>
          <w:b/>
        </w:rPr>
        <w:t xml:space="preserve">12 </w:t>
      </w:r>
      <w:r>
        <w:t xml:space="preserve">And David took the spear and the flask of water</w:t>
      </w:r>
      <w:r>
        <w:rPr>
          <w:rStyle w:val="FootnoteReference"/>
        </w:rPr>
        <w:footnoteReference w:id="5632"/>
      </w:r>
      <w:r>
        <w:t xml:space="preserve"> from his head, and they went away by themselves, and there was none seeing and none knowing and none waking; all were sleeping, because astonishment from the Lord had fallen upon them.</w:t>
      </w:r>
    </w:p>
    <w:p>
      <w:r>
        <w:rPr>
          <w:b/>
        </w:rPr>
        <w:t xml:space="preserve">13 </w:t>
      </w:r>
      <w:r>
        <w:t xml:space="preserve">And David crossed over to the other side and stood on the top</w:t>
      </w:r>
      <w:r>
        <w:rPr>
          <w:rStyle w:val="FootnoteReference"/>
        </w:rPr>
        <w:footnoteReference w:id="5633"/>
      </w:r>
      <w:r>
        <w:t xml:space="preserve"> of the mountain far off, and the road between them was great.</w:t>
      </w:r>
    </w:p>
    <w:p>
      <w:r>
        <w:rPr>
          <w:b/>
        </w:rPr>
        <w:t xml:space="preserve">14 </w:t>
      </w:r>
      <w:r>
        <w:t xml:space="preserve">And David called to the people and spoke to Abner, saying, Will you not answer, Abner? And Abner answered and said, Who are you, the one calling me?</w:t>
      </w:r>
    </w:p>
    <w:p>
      <w:r>
        <w:rPr>
          <w:b/>
        </w:rPr>
        <w:t xml:space="preserve">15 </w:t>
      </w:r>
      <w:r>
        <w:t xml:space="preserve">And David said to Abner, Are you not a man, and who is like you in Israel? And why do you not guard your lord the king? Because one from the people entered to destroy your lord the king.</w:t>
      </w:r>
      <w:r>
        <w:rPr>
          <w:rStyle w:val="FootnoteReference"/>
        </w:rPr>
        <w:footnoteReference w:id="5634"/>
      </w:r>
    </w:p>
    <w:p>
      <w:r>
        <w:rPr>
          <w:b/>
        </w:rPr>
        <w:t xml:space="preserve">16 </w:t>
      </w:r>
      <w:r>
        <w:t xml:space="preserve">And this word that you have done is not good. As the Lord lives, you are sons of death</w:t>
      </w:r>
      <w:r>
        <w:rPr>
          <w:rStyle w:val="FootnoteReference"/>
        </w:rPr>
        <w:footnoteReference w:id="5635"/>
      </w:r>
      <w:r>
        <w:t xml:space="preserve">, the ones guarding your lord the king, the anointed of the Lord. And now see the king’s spear and the flask of water where they are by his head.</w:t>
      </w:r>
    </w:p>
    <w:p>
      <w:r>
        <w:rPr>
          <w:b/>
        </w:rPr>
        <w:t xml:space="preserve">17 </w:t>
      </w:r>
      <w:r>
        <w:t xml:space="preserve">And Saul recognized the voice of David and said, Is this your voice, child David? And David said, Your servant, lord king.</w:t>
      </w:r>
    </w:p>
    <w:p>
      <w:r>
        <w:rPr>
          <w:b/>
        </w:rPr>
        <w:t xml:space="preserve">18 </w:t>
      </w:r>
      <w:r>
        <w:t xml:space="preserve">And he said, Why is my lord pursuing after his servant? Because in what have I</w:t>
      </w:r>
      <w:r>
        <w:rPr>
          <w:rStyle w:val="FootnoteReference"/>
        </w:rPr>
        <w:footnoteReference w:id="5636"/>
      </w:r>
      <w:r>
        <w:t xml:space="preserve"> sinned, and what wrongdoing has been found in me?</w:t>
      </w:r>
    </w:p>
    <w:p>
      <w:r>
        <w:rPr>
          <w:b/>
        </w:rPr>
        <w:t xml:space="preserve">19 </w:t>
      </w:r>
      <w:r>
        <w:t xml:space="preserve">And now let my lord</w:t>
      </w:r>
      <w:r>
        <w:rPr>
          <w:rStyle w:val="FootnoteReference"/>
        </w:rPr>
        <w:footnoteReference w:id="5637"/>
      </w:r>
      <w:r>
        <w:t xml:space="preserve"> the king hear the word of his servant. If God stirs you up against me, may he smell your sacrifices</w:t>
      </w:r>
      <w:r>
        <w:rPr>
          <w:rStyle w:val="FootnoteReference"/>
        </w:rPr>
        <w:footnoteReference w:id="5638"/>
      </w:r>
      <w:r>
        <w:t xml:space="preserve">. But if sons of men, cursed are these before the Lord, because they cast me out today from being established in the inheritance of the Lord, saying, Go, serve other gods.</w:t>
      </w:r>
    </w:p>
    <w:p>
      <w:r>
        <w:rPr>
          <w:b/>
        </w:rPr>
        <w:t xml:space="preserve">20 </w:t>
      </w:r>
      <w:r>
        <w:t xml:space="preserve">And now let not my</w:t>
      </w:r>
      <w:r>
        <w:rPr>
          <w:rStyle w:val="FootnoteReference"/>
        </w:rPr>
        <w:footnoteReference w:id="5639"/>
      </w:r>
      <w:r>
        <w:t xml:space="preserve"> blood fall to the ground opposite the face of the Lord, because the king of Israel has come out seeking my life, as the night-raven pursues in the mountains.</w:t>
      </w:r>
    </w:p>
    <w:p>
      <w:r>
        <w:rPr>
          <w:b/>
        </w:rPr>
        <w:t xml:space="preserve">21 </w:t>
      </w:r>
      <w:r>
        <w:t xml:space="preserve">And Saul said, I have sinned</w:t>
      </w:r>
      <w:r>
        <w:rPr>
          <w:rStyle w:val="FootnoteReference"/>
        </w:rPr>
        <w:footnoteReference w:id="5640"/>
      </w:r>
      <w:r>
        <w:t xml:space="preserve">. Return, child David, because I will not do evil to you, because my life was precious in your eyes on this day. I have been made foolish and have been very greatly ignorant.</w:t>
      </w:r>
    </w:p>
    <w:p>
      <w:r>
        <w:rPr>
          <w:b/>
        </w:rPr>
        <w:t xml:space="preserve">22 </w:t>
      </w:r>
      <w:r>
        <w:t xml:space="preserve">And David answered and said, Behold, the spear of the king. Let one of the young men cross over and take it.</w:t>
      </w:r>
    </w:p>
    <w:p>
      <w:r>
        <w:rPr>
          <w:b/>
        </w:rPr>
        <w:t xml:space="preserve">23 </w:t>
      </w:r>
      <w:r>
        <w:t xml:space="preserve">And the Lord will return to each his righteousness and his faithfulness, just as the Lord delivered you today into my hands, and I was not willing to bring my hand upon the anointed of the Lord.</w:t>
      </w:r>
    </w:p>
    <w:p>
      <w:r>
        <w:rPr>
          <w:b/>
        </w:rPr>
        <w:t xml:space="preserve">24 </w:t>
      </w:r>
      <w:r>
        <w:t xml:space="preserve">And behold, just as your life was magnified today on this day in my eyes, so may my life be magnified before the Lord, and may he shelter me and deliver me from all affliction.</w:t>
      </w:r>
    </w:p>
    <w:p>
      <w:r>
        <w:rPr>
          <w:b/>
        </w:rPr>
        <w:t xml:space="preserve">25 </w:t>
      </w:r>
      <w:r>
        <w:t xml:space="preserve">And Saul said to David, Blessed</w:t>
      </w:r>
      <w:r>
        <w:rPr>
          <w:rStyle w:val="FootnoteReference"/>
        </w:rPr>
        <w:footnoteReference w:id="5641"/>
      </w:r>
      <w:r>
        <w:t xml:space="preserve"> are you, child; doing you will do, and prevailing you will prevail. And David went on his way, and Saul returned to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David</w:t>
      </w:r>
      <w:r>
        <w:rPr>
          <w:rStyle w:val="FootnoteReference"/>
        </w:rPr>
        <w:footnoteReference w:id="5642"/>
      </w:r>
      <w:r>
        <w:t xml:space="preserve"> said in his heart, saying, Now one day I will be swept away into the hands of Saul, and there is nothing good for me unless I am saved</w:t>
      </w:r>
      <w:r>
        <w:rPr>
          <w:rStyle w:val="FootnoteReference"/>
        </w:rPr>
        <w:footnoteReference w:id="5643"/>
      </w:r>
      <w:r>
        <w:t xml:space="preserve"> into the land of the foreigners. And Saul will let go of seeking me in every border of Israel, and I will be saved from his hand.</w:t>
      </w:r>
    </w:p>
    <w:p>
      <w:r>
        <w:rPr>
          <w:b/>
        </w:rPr>
        <w:t xml:space="preserve">2 </w:t>
      </w:r>
      <w:r>
        <w:t xml:space="preserve">And David rose, and the four hundred men with him, and went to Achish</w:t>
      </w:r>
      <w:r>
        <w:rPr>
          <w:rStyle w:val="FootnoteReference"/>
        </w:rPr>
        <w:footnoteReference w:id="5644"/>
      </w:r>
      <w:r>
        <w:t xml:space="preserve"> son of Maoch</w:t>
      </w:r>
      <w:r>
        <w:rPr>
          <w:rStyle w:val="FootnoteReference"/>
        </w:rPr>
        <w:footnoteReference w:id="5645"/>
      </w:r>
      <w:r>
        <w:t xml:space="preserve">, king of Gath.</w:t>
      </w:r>
    </w:p>
    <w:p>
      <w:r>
        <w:rPr>
          <w:b/>
        </w:rPr>
        <w:t xml:space="preserve">3 </w:t>
      </w:r>
      <w:r>
        <w:t xml:space="preserve">And David sat with Achish in Gath, he and his men, each and his household, and David and both his wives, Ahinoam the Jezreelite</w:t>
      </w:r>
      <w:r>
        <w:rPr>
          <w:rStyle w:val="FootnoteReference"/>
        </w:rPr>
        <w:footnoteReference w:id="5646"/>
      </w:r>
      <w:r>
        <w:t xml:space="preserve"> and Abigail the wife of Nabal the Carmelite.</w:t>
      </w:r>
    </w:p>
    <w:p>
      <w:r>
        <w:rPr>
          <w:b/>
        </w:rPr>
        <w:t xml:space="preserve">4 </w:t>
      </w:r>
      <w:r>
        <w:t xml:space="preserve">And it was reported to Saul that David had fled to Gath, and he no longer added to seek him.</w:t>
      </w:r>
    </w:p>
    <w:p>
      <w:r>
        <w:rPr>
          <w:b/>
        </w:rPr>
        <w:t xml:space="preserve">5 </w:t>
      </w:r>
      <w:r>
        <w:t xml:space="preserve">And David said to Achish, If your servant has found favor in your eyes, let them give me a place in one of the country towns, and I will sit there. And why should your servant sit in a royal city with you?</w:t>
      </w:r>
      <w:r>
        <w:rPr>
          <w:rStyle w:val="FootnoteReference"/>
        </w:rPr>
        <w:footnoteReference w:id="5647"/>
      </w:r>
    </w:p>
    <w:p>
      <w:r>
        <w:rPr>
          <w:b/>
        </w:rPr>
        <w:t xml:space="preserve">6 </w:t>
      </w:r>
      <w:r>
        <w:t xml:space="preserve">And he gave him on that day Ziklag</w:t>
      </w:r>
      <w:r>
        <w:rPr>
          <w:rStyle w:val="FootnoteReference"/>
        </w:rPr>
        <w:footnoteReference w:id="5648"/>
      </w:r>
      <w:r>
        <w:t xml:space="preserve">. Therefore Ziklag became to the king of Judah until this day.</w:t>
      </w:r>
    </w:p>
    <w:p>
      <w:r>
        <w:rPr>
          <w:b/>
        </w:rPr>
        <w:t xml:space="preserve">7 </w:t>
      </w:r>
      <w:r>
        <w:t xml:space="preserve">And it came to be, the number of the days David sat in the countryside of the foreigners was four months.</w:t>
      </w:r>
    </w:p>
    <w:p>
      <w:r>
        <w:rPr>
          <w:b/>
        </w:rPr>
        <w:t xml:space="preserve">8 </w:t>
      </w:r>
      <w:r>
        <w:t xml:space="preserve">And David and his men were going up and attacking all the Geshurites</w:t>
      </w:r>
      <w:r>
        <w:rPr>
          <w:rStyle w:val="FootnoteReference"/>
        </w:rPr>
        <w:footnoteReference w:id="5649"/>
      </w:r>
      <w:r>
        <w:t xml:space="preserve"> and the Amalekite</w:t>
      </w:r>
      <w:r>
        <w:rPr>
          <w:rStyle w:val="FootnoteReference"/>
        </w:rPr>
        <w:footnoteReference w:id="5650"/>
      </w:r>
      <w:r>
        <w:t xml:space="preserve">, and behold, the land had been inhabited from those belonging to Gelampsour, fortified, and as far as the land of Egypt.</w:t>
      </w:r>
    </w:p>
    <w:p>
      <w:r>
        <w:rPr>
          <w:b/>
        </w:rPr>
        <w:t xml:space="preserve">9 </w:t>
      </w:r>
      <w:r>
        <w:t xml:space="preserve">And he would strike the land and would not keep alive man and woman, and he took flocks and herds and donkeys and camels and clothing, and they returned and came to Achish.</w:t>
      </w:r>
    </w:p>
    <w:p>
      <w:r>
        <w:rPr>
          <w:b/>
        </w:rPr>
        <w:t xml:space="preserve">10 </w:t>
      </w:r>
      <w:r>
        <w:t xml:space="preserve">And Achish said to David, Against whom did you attack today? And David</w:t>
      </w:r>
      <w:r>
        <w:rPr>
          <w:rStyle w:val="FootnoteReference"/>
        </w:rPr>
        <w:footnoteReference w:id="5651"/>
      </w:r>
      <w:r>
        <w:t xml:space="preserve"> said to Achish, Against the south of Judah and against the south of Jerahmeelites</w:t>
      </w:r>
      <w:r>
        <w:rPr>
          <w:rStyle w:val="FootnoteReference"/>
        </w:rPr>
        <w:footnoteReference w:id="5652"/>
      </w:r>
      <w:r>
        <w:t xml:space="preserve"> and against the south of the Kenezite.</w:t>
      </w:r>
    </w:p>
    <w:p>
      <w:r>
        <w:rPr>
          <w:b/>
        </w:rPr>
        <w:t xml:space="preserve">11 </w:t>
      </w:r>
      <w:r>
        <w:t xml:space="preserve">And he did not keep alive man and woman to bring into Gath, saying, Lest they report in Gath against us, saying, Thus David does. And this was his rule</w:t>
      </w:r>
      <w:r>
        <w:rPr>
          <w:rStyle w:val="FootnoteReference"/>
        </w:rPr>
        <w:footnoteReference w:id="5653"/>
      </w:r>
      <w:r>
        <w:t xml:space="preserve"> all the days David sat in the countryside of the foreigners.</w:t>
      </w:r>
    </w:p>
    <w:p>
      <w:r>
        <w:rPr>
          <w:b/>
        </w:rPr>
        <w:t xml:space="preserve">12 </w:t>
      </w:r>
      <w:r>
        <w:t xml:space="preserve">And David was deeply trusted by Achish, saying, In shaming he has been shamed among his people in Israel, and he will be my servant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And it came to be in those days, the foreigners gathered in their camps to go out to fight against Israel. And Achish said to David, In knowing you will know</w:t>
      </w:r>
      <w:r>
        <w:rPr>
          <w:rStyle w:val="FootnoteReference"/>
        </w:rPr>
        <w:footnoteReference w:id="5654"/>
      </w:r>
      <w:r>
        <w:t xml:space="preserve"> that you and your men will go out with me into battle.</w:t>
      </w:r>
    </w:p>
    <w:p>
      <w:r>
        <w:rPr>
          <w:b/>
        </w:rPr>
        <w:t xml:space="preserve">2 </w:t>
      </w:r>
      <w:r>
        <w:t xml:space="preserve">And David said to Achish, Thus now you will know what your servant will do. And Achish said to David, Thus I will appoint you chief bodyguard all the days.</w:t>
      </w:r>
    </w:p>
    <w:p>
      <w:r>
        <w:rPr>
          <w:b/>
        </w:rPr>
        <w:t xml:space="preserve">3 </w:t>
      </w:r>
      <w:r>
        <w:t xml:space="preserve">And Samuel</w:t>
      </w:r>
      <w:r>
        <w:rPr>
          <w:rStyle w:val="FootnoteReference"/>
        </w:rPr>
        <w:footnoteReference w:id="5655"/>
      </w:r>
      <w:r>
        <w:t xml:space="preserve"> died, and all Israel mourned for him and buried him in Ramathaim-Zophim, in his city. And Saul removed the ventriloquists and the knowers from the land.</w:t>
      </w:r>
    </w:p>
    <w:p>
      <w:r>
        <w:rPr>
          <w:b/>
        </w:rPr>
        <w:t xml:space="preserve">4 </w:t>
      </w:r>
      <w:r>
        <w:t xml:space="preserve">And the foreigners gather and come and camp in Shunem</w:t>
      </w:r>
      <w:r>
        <w:rPr>
          <w:rStyle w:val="FootnoteReference"/>
        </w:rPr>
        <w:footnoteReference w:id="5656"/>
      </w:r>
      <w:r>
        <w:t xml:space="preserve">, and Saul gathers every man of Israel and they camp in Gilboa</w:t>
      </w:r>
      <w:r>
        <w:rPr>
          <w:rStyle w:val="FootnoteReference"/>
        </w:rPr>
        <w:footnoteReference w:id="5657"/>
      </w:r>
      <w:r>
        <w:t xml:space="preserve">.</w:t>
      </w:r>
    </w:p>
    <w:p>
      <w:r>
        <w:rPr>
          <w:b/>
        </w:rPr>
        <w:t xml:space="preserve">5 </w:t>
      </w:r>
      <w:r>
        <w:t xml:space="preserve">And Saul saw the camp of the foreigners and feared, and his heart stood outside itself greatly.</w:t>
      </w:r>
    </w:p>
    <w:p>
      <w:r>
        <w:rPr>
          <w:b/>
        </w:rPr>
        <w:t xml:space="preserve">6 </w:t>
      </w:r>
      <w:r>
        <w:t xml:space="preserve">And Saul inquired</w:t>
      </w:r>
      <w:r>
        <w:rPr>
          <w:rStyle w:val="FootnoteReference"/>
        </w:rPr>
        <w:footnoteReference w:id="5658"/>
      </w:r>
      <w:r>
        <w:t xml:space="preserve"> through the Lord, and the Lord did not answer him in dreams and in manifestations and in prophets.</w:t>
      </w:r>
    </w:p>
    <w:p>
      <w:r>
        <w:rPr>
          <w:b/>
        </w:rPr>
        <w:t xml:space="preserve">7 </w:t>
      </w:r>
      <w:r>
        <w:t xml:space="preserve">And Saul said to his servants, Seek for me a ventriloquist woman</w:t>
      </w:r>
      <w:r>
        <w:rPr>
          <w:rStyle w:val="FootnoteReference"/>
        </w:rPr>
        <w:footnoteReference w:id="5659"/>
      </w:r>
      <w:r>
        <w:t xml:space="preserve">, and I will go to her and inquire by her. And his servants said to him, Behold, there is a ventriloquist woman in Endor</w:t>
      </w:r>
      <w:r>
        <w:rPr>
          <w:rStyle w:val="FootnoteReference"/>
        </w:rPr>
        <w:footnoteReference w:id="5660"/>
      </w:r>
      <w:r>
        <w:t xml:space="preserve">.</w:t>
      </w:r>
      <w:r>
        <w:rPr>
          <w:rStyle w:val="FootnoteReference"/>
        </w:rPr>
        <w:footnoteReference w:id="5661"/>
      </w:r>
    </w:p>
    <w:p>
      <w:r>
        <w:rPr>
          <w:b/>
        </w:rPr>
        <w:t xml:space="preserve">8 </w:t>
      </w:r>
      <w:r>
        <w:t xml:space="preserve">And Saul disguised</w:t>
      </w:r>
      <w:r>
        <w:rPr>
          <w:rStyle w:val="FootnoteReference"/>
        </w:rPr>
        <w:footnoteReference w:id="5662"/>
      </w:r>
      <w:r>
        <w:t xml:space="preserve"> himself and clothed himself with other garments, and he goes, he and two men with him, and they come to the woman by night, and he said to her, Divine for me now by the ventriloquist</w:t>
      </w:r>
      <w:r>
        <w:rPr>
          <w:rStyle w:val="FootnoteReference"/>
        </w:rPr>
        <w:footnoteReference w:id="5663"/>
      </w:r>
      <w:r>
        <w:t xml:space="preserve">, and bring up for me whomever I tell you.</w:t>
      </w:r>
    </w:p>
    <w:p>
      <w:r>
        <w:rPr>
          <w:b/>
        </w:rPr>
        <w:t xml:space="preserve">9 </w:t>
      </w:r>
      <w:r>
        <w:t xml:space="preserve">And the woman said to him, Behold now, you know what Saul did, how he destroyed the ventriloquists</w:t>
      </w:r>
      <w:r>
        <w:rPr>
          <w:rStyle w:val="FootnoteReference"/>
        </w:rPr>
        <w:footnoteReference w:id="5664"/>
      </w:r>
      <w:r>
        <w:t xml:space="preserve"> and the knowers from the land. And why are you trapping my life to put it to death?</w:t>
      </w:r>
      <w:r>
        <w:rPr>
          <w:rStyle w:val="FootnoteReference"/>
        </w:rPr>
        <w:footnoteReference w:id="5665"/>
      </w:r>
    </w:p>
    <w:p>
      <w:r>
        <w:rPr>
          <w:b/>
        </w:rPr>
        <w:t xml:space="preserve">10 </w:t>
      </w:r>
      <w:r>
        <w:t xml:space="preserve">And Saul swore to her, saying, As the Lord lives, wrongdoing will not meet you in this matter.</w:t>
      </w:r>
    </w:p>
    <w:p>
      <w:r>
        <w:rPr>
          <w:b/>
        </w:rPr>
        <w:t xml:space="preserve">11 </w:t>
      </w:r>
      <w:r>
        <w:t xml:space="preserve">And the woman said, Whom shall I bring up for you? And he said, Bring up Samuel for me.</w:t>
      </w:r>
    </w:p>
    <w:p>
      <w:r>
        <w:rPr>
          <w:b/>
        </w:rPr>
        <w:t xml:space="preserve">12 </w:t>
      </w:r>
      <w:r>
        <w:t xml:space="preserve">And the woman saw Samuel and cried out with a great voice, and the woman said to Saul, Why did you deceive me</w:t>
      </w:r>
      <w:r>
        <w:rPr>
          <w:rStyle w:val="FootnoteReference"/>
        </w:rPr>
        <w:footnoteReference w:id="5666"/>
      </w:r>
      <w:r>
        <w:t xml:space="preserve">? And you are Saul.</w:t>
      </w:r>
    </w:p>
    <w:p>
      <w:r>
        <w:rPr>
          <w:b/>
        </w:rPr>
        <w:t xml:space="preserve">13 </w:t>
      </w:r>
      <w:r>
        <w:t xml:space="preserve">And the king said to her, Do not fear. Tell me, what have you seen? And she said to him, I have seen gods coming up from the earth.</w:t>
      </w:r>
    </w:p>
    <w:p>
      <w:r>
        <w:rPr>
          <w:b/>
        </w:rPr>
        <w:t xml:space="preserve">14 </w:t>
      </w:r>
      <w:r>
        <w:t xml:space="preserve">And he said to her, What did you recognize? And she said to him, An upright man coming up from the earth</w:t>
      </w:r>
      <w:r>
        <w:rPr>
          <w:rStyle w:val="FootnoteReference"/>
        </w:rPr>
        <w:footnoteReference w:id="5667"/>
      </w:r>
      <w:r>
        <w:t xml:space="preserve">, and he had a double cloak wrapped around him. And Saul knew that this was Samuel, and he bent on his face to the ground and bowed down to him.</w:t>
      </w:r>
    </w:p>
    <w:p>
      <w:r>
        <w:rPr>
          <w:b/>
        </w:rPr>
        <w:t xml:space="preserve">15 </w:t>
      </w:r>
      <w:r>
        <w:t xml:space="preserve">And Samuel said, Why have you disturbed me</w:t>
      </w:r>
      <w:r>
        <w:rPr>
          <w:rStyle w:val="FootnoteReference"/>
        </w:rPr>
        <w:footnoteReference w:id="5668"/>
      </w:r>
      <w:r>
        <w:t xml:space="preserve">, to bring me up? And Saul said, I am in great distress, and the foreigners are fighting against me, and God has departed from me and no longer listened to me, both by the hand of prophets and in dreams. And now I have called you to make known to me what I shall do.</w:t>
      </w:r>
    </w:p>
    <w:p>
      <w:r>
        <w:rPr>
          <w:b/>
        </w:rPr>
        <w:t xml:space="preserve">16 </w:t>
      </w:r>
      <w:r>
        <w:t xml:space="preserve">And Samuel said, Why do you ask me, since the Lord has departed from you and has come to be with your neighbor?</w:t>
      </w:r>
    </w:p>
    <w:p>
      <w:r>
        <w:rPr>
          <w:b/>
        </w:rPr>
        <w:t xml:space="preserve">17 </w:t>
      </w:r>
      <w:r>
        <w:t xml:space="preserve">And the Lord has done for you just as he spoke by my hand, and the Lord will tear your kingdom from your hand and give it to your neighbor, to David.</w:t>
      </w:r>
    </w:p>
    <w:p>
      <w:r>
        <w:rPr>
          <w:b/>
        </w:rPr>
        <w:t xml:space="preserve">18 </w:t>
      </w:r>
      <w:r>
        <w:t xml:space="preserve">Because you did not hear the voice of the Lord and did not carry out the anger of his wrath in Amalek, because of this thing the Lord has done this to you on this day.</w:t>
      </w:r>
    </w:p>
    <w:p>
      <w:r>
        <w:rPr>
          <w:b/>
        </w:rPr>
        <w:t xml:space="preserve">19 </w:t>
      </w:r>
      <w:r>
        <w:t xml:space="preserve">And the Lord</w:t>
      </w:r>
      <w:r>
        <w:rPr>
          <w:rStyle w:val="FootnoteReference"/>
        </w:rPr>
        <w:footnoteReference w:id="5669"/>
      </w:r>
      <w:r>
        <w:t xml:space="preserve"> will deliver Israel with you into the hands of the foreigners, and tomorrow you and your sons with you will fall, and the camp of Israel</w:t>
      </w:r>
      <w:r>
        <w:rPr>
          <w:rStyle w:val="FootnoteReference"/>
        </w:rPr>
        <w:footnoteReference w:id="5670"/>
      </w:r>
      <w:r>
        <w:t xml:space="preserve"> the Lord will give into the hands of the foreigners.</w:t>
      </w:r>
    </w:p>
    <w:p>
      <w:r>
        <w:rPr>
          <w:b/>
        </w:rPr>
        <w:t xml:space="preserve">20 </w:t>
      </w:r>
      <w:r>
        <w:t xml:space="preserve">And Saul hurried and fell standing to the ground, and he feared greatly from the words of Samuel, and there was no strength in him still, because he had not eaten bread all that day and all that night.</w:t>
      </w:r>
    </w:p>
    <w:p>
      <w:r>
        <w:rPr>
          <w:b/>
        </w:rPr>
        <w:t xml:space="preserve">21 </w:t>
      </w:r>
      <w:r>
        <w:t xml:space="preserve">And the woman came in to Saul and saw that he had been greatly shaken, and she said to him, Behold now, your servant listened to your voice and set my life in my hand</w:t>
      </w:r>
      <w:r>
        <w:rPr>
          <w:rStyle w:val="FootnoteReference"/>
        </w:rPr>
        <w:footnoteReference w:id="5671"/>
      </w:r>
      <w:r>
        <w:t xml:space="preserve">, and I listened to the words you spoke to me.</w:t>
      </w:r>
    </w:p>
    <w:p>
      <w:r>
        <w:rPr>
          <w:b/>
        </w:rPr>
        <w:t xml:space="preserve">22 </w:t>
      </w:r>
      <w:r>
        <w:t xml:space="preserve">And now listen now to the voice of your servant, and I will set before you a morsel of bread, and eat, and there will be strength in you because you will go on the road.</w:t>
      </w:r>
    </w:p>
    <w:p>
      <w:r>
        <w:rPr>
          <w:b/>
        </w:rPr>
        <w:t xml:space="preserve">23 </w:t>
      </w:r>
      <w:r>
        <w:t xml:space="preserve">And he was not willing to eat, and his servants and the woman pressed him, and he listened to their voice and rose from the ground and sat on the couch.</w:t>
      </w:r>
    </w:p>
    <w:p>
      <w:r>
        <w:rPr>
          <w:b/>
        </w:rPr>
        <w:t xml:space="preserve">24 </w:t>
      </w:r>
      <w:r>
        <w:t xml:space="preserve">And the woman had a grazing heifer in the house, and she hurried and slaughtered it and took flour and kneaded it and baked unleavened bread.</w:t>
      </w:r>
    </w:p>
    <w:p>
      <w:r>
        <w:rPr>
          <w:b/>
        </w:rPr>
        <w:t xml:space="preserve">25 </w:t>
      </w:r>
      <w:r>
        <w:t xml:space="preserve">And she brought it before Saul and before his servants, and they ate and rose and went away that night.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And the foreigners gather all their camps in Aphek</w:t>
      </w:r>
      <w:r>
        <w:rPr>
          <w:rStyle w:val="FootnoteReference"/>
        </w:rPr>
        <w:footnoteReference w:id="5672"/>
      </w:r>
      <w:r>
        <w:t xml:space="preserve">, and Israel camped in Endor in Jezreel.</w:t>
      </w:r>
    </w:p>
    <w:p>
      <w:r>
        <w:rPr>
          <w:b/>
        </w:rPr>
        <w:t xml:space="preserve">2 </w:t>
      </w:r>
      <w:r>
        <w:t xml:space="preserve">And the satraps of the foreigners were passing by in hundreds and thousands, and David and his men were passing by at the rear with Achish.</w:t>
      </w:r>
    </w:p>
    <w:p>
      <w:r>
        <w:rPr>
          <w:b/>
        </w:rPr>
        <w:t xml:space="preserve">3 </w:t>
      </w:r>
      <w:r>
        <w:t xml:space="preserve">And the satraps of the foreigners said, Who are these passing over? And Achish said to the generals of the foreigners, Is not this David, servant of Saul king of Israel, who has been with us these days</w:t>
      </w:r>
      <w:r>
        <w:rPr>
          <w:rStyle w:val="FootnoteReference"/>
        </w:rPr>
        <w:footnoteReference w:id="5673"/>
      </w:r>
      <w:r>
        <w:t xml:space="preserve">, this second year, and I have found nothing in him from the day he fell in with me until this day?</w:t>
      </w:r>
      <w:r>
        <w:rPr>
          <w:rStyle w:val="FootnoteReference"/>
        </w:rPr>
        <w:footnoteReference w:id="5674"/>
      </w:r>
    </w:p>
    <w:p>
      <w:r>
        <w:rPr>
          <w:b/>
        </w:rPr>
        <w:t xml:space="preserve">4 </w:t>
      </w:r>
      <w:r>
        <w:t xml:space="preserve">And the generals of the foreigners were grieved over him and say to him, Turn the man back to his place where you stationed him, and let him not come with us into battle, and let him not become a plotter in the camp. And by what will this man be reconciled to his lord? Is it not by the heads of those men?</w:t>
      </w:r>
      <w:r>
        <w:rPr>
          <w:rStyle w:val="FootnoteReference"/>
        </w:rPr>
        <w:footnoteReference w:id="5675"/>
      </w:r>
    </w:p>
    <w:p>
      <w:r>
        <w:rPr>
          <w:b/>
        </w:rPr>
        <w:t xml:space="preserve">5 </w:t>
      </w:r>
      <w:r>
        <w:t xml:space="preserve">Is not this David, to whom they came out in dances, saying, Saul struck in his thousands, and David in his tens of thousands?</w:t>
      </w:r>
    </w:p>
    <w:p>
      <w:r>
        <w:rPr>
          <w:b/>
        </w:rPr>
        <w:t xml:space="preserve">6 </w:t>
      </w:r>
      <w:r>
        <w:t xml:space="preserve">And Achish called David and said to him, As the Lord</w:t>
      </w:r>
      <w:r>
        <w:rPr>
          <w:rStyle w:val="FootnoteReference"/>
        </w:rPr>
        <w:footnoteReference w:id="5676"/>
      </w:r>
      <w:r>
        <w:t xml:space="preserve"> lives, you are upright</w:t>
      </w:r>
      <w:r>
        <w:rPr>
          <w:rStyle w:val="FootnoteReference"/>
        </w:rPr>
        <w:footnoteReference w:id="5677"/>
      </w:r>
      <w:r>
        <w:t xml:space="preserve">, and good in my eyes is your going out and your coming in with me in the camp, and I have found no evil against you from the day you came to me until this day, but in the eyes of the satraps you are not good.</w:t>
      </w:r>
    </w:p>
    <w:p>
      <w:r>
        <w:rPr>
          <w:b/>
        </w:rPr>
        <w:t xml:space="preserve">7 </w:t>
      </w:r>
      <w:r>
        <w:t xml:space="preserve">And now turn back and go in peace, and you certainly will not do evil in the eyes of the satraps of the foreigners.</w:t>
      </w:r>
    </w:p>
    <w:p>
      <w:r>
        <w:rPr>
          <w:b/>
        </w:rPr>
        <w:t xml:space="preserve">8 </w:t>
      </w:r>
      <w:r>
        <w:t xml:space="preserve">And David said to Achish, What have I done to you, and what have you found in your servant from the day I was before you until this day, that I should not come to fight the enemies of my lord the king?</w:t>
      </w:r>
      <w:r>
        <w:rPr>
          <w:rStyle w:val="FootnoteReference"/>
        </w:rPr>
        <w:footnoteReference w:id="5678"/>
      </w:r>
      <w:r>
        <w:t xml:space="preserve"/>
      </w:r>
    </w:p>
    <w:p>
      <w:r>
        <w:rPr>
          <w:b/>
        </w:rPr>
        <w:t xml:space="preserve">9 </w:t>
      </w:r>
      <w:r>
        <w:t xml:space="preserve">And Achish answered David, I know that you are good in my eyes, but the satraps of the foreigners say, He will not come with us into battle.</w:t>
      </w:r>
    </w:p>
    <w:p>
      <w:r>
        <w:rPr>
          <w:b/>
        </w:rPr>
        <w:t xml:space="preserve">10 </w:t>
      </w:r>
      <w:r>
        <w:t xml:space="preserve">And now rise early in the morning, you and the servants of your lord who came with you, and go to the place where I stationed you there, and do not set a pestilent word in your heart, because you are good before me. And rise early on the road, and let it grow light for you, and go.</w:t>
      </w:r>
    </w:p>
    <w:p>
      <w:r>
        <w:rPr>
          <w:b/>
        </w:rPr>
        <w:t xml:space="preserve">11 </w:t>
      </w:r>
      <w:r>
        <w:t xml:space="preserve">And David rose early, he and his men, to depart and keep the land of the foreigners, and the foreigners went up to fight against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And it came to be when David and his men entered into Ziklag on the third day, Amalek attacked the south and Ziklag and struck Ziklag and burned it with fire.</w:t>
      </w:r>
    </w:p>
    <w:p>
      <w:r>
        <w:rPr>
          <w:b/>
        </w:rPr>
        <w:t xml:space="preserve">2 </w:t>
      </w:r>
      <w:r>
        <w:t xml:space="preserve">And they did not kill man or woman among the women and all in it from small to great, but they took them captive and went on their way.</w:t>
      </w:r>
    </w:p>
    <w:p>
      <w:r>
        <w:rPr>
          <w:b/>
        </w:rPr>
        <w:t xml:space="preserve">3 </w:t>
      </w:r>
      <w:r>
        <w:t xml:space="preserve">And David and his men came to the city, and behold, it had been burned</w:t>
      </w:r>
      <w:r>
        <w:rPr>
          <w:rStyle w:val="FootnoteReference"/>
        </w:rPr>
        <w:footnoteReference w:id="5679"/>
      </w:r>
      <w:r>
        <w:t xml:space="preserve"> with fire, and their wives and their sons and their daughters had been taken captive.</w:t>
      </w:r>
    </w:p>
    <w:p>
      <w:r>
        <w:rPr>
          <w:b/>
        </w:rPr>
        <w:t xml:space="preserve">4 </w:t>
      </w:r>
      <w:r>
        <w:t xml:space="preserve">And David and his men lifted up</w:t>
      </w:r>
      <w:r>
        <w:rPr>
          <w:rStyle w:val="FootnoteReference"/>
        </w:rPr>
        <w:footnoteReference w:id="5680"/>
      </w:r>
      <w:r>
        <w:t xml:space="preserve"> their voice and wept until there was no longer strength in them to weep.</w:t>
      </w:r>
    </w:p>
    <w:p>
      <w:r>
        <w:rPr>
          <w:b/>
        </w:rPr>
        <w:t xml:space="preserve">5 </w:t>
      </w:r>
      <w:r>
        <w:t xml:space="preserve">And both David’s wives had been taken captive, Ahinoam the Jezreelite and Abigail the wife of Nabal the Carmelite.</w:t>
      </w:r>
    </w:p>
    <w:p>
      <w:r>
        <w:rPr>
          <w:b/>
        </w:rPr>
        <w:t xml:space="preserve">6 </w:t>
      </w:r>
      <w:r>
        <w:t xml:space="preserve">And David was greatly</w:t>
      </w:r>
      <w:r>
        <w:rPr>
          <w:rStyle w:val="FootnoteReference"/>
        </w:rPr>
        <w:footnoteReference w:id="5681"/>
      </w:r>
      <w:r>
        <w:t xml:space="preserve"> distressed, because the people spoke of stoning him, because the soul of all the people was bitter, each for his sons and for his daughters. And David strengthened himself in the Lord his God</w:t>
      </w:r>
      <w:r>
        <w:rPr>
          <w:rStyle w:val="FootnoteReference"/>
        </w:rPr>
        <w:footnoteReference w:id="5682"/>
      </w:r>
      <w:r>
        <w:t xml:space="preserve">.</w:t>
      </w:r>
    </w:p>
    <w:p>
      <w:r>
        <w:rPr>
          <w:b/>
        </w:rPr>
        <w:t xml:space="preserve">7 </w:t>
      </w:r>
      <w:r>
        <w:t xml:space="preserve">And David said to Abiathar</w:t>
      </w:r>
      <w:r>
        <w:rPr>
          <w:rStyle w:val="FootnoteReference"/>
        </w:rPr>
        <w:footnoteReference w:id="5683"/>
      </w:r>
      <w:r>
        <w:t xml:space="preserve"> the priest son of Ahimelech, Bring near the ephod.</w:t>
      </w:r>
    </w:p>
    <w:p>
      <w:r>
        <w:rPr>
          <w:b/>
        </w:rPr>
        <w:t xml:space="preserve">8 </w:t>
      </w:r>
      <w:r>
        <w:t xml:space="preserve">And David inquired</w:t>
      </w:r>
      <w:r>
        <w:rPr>
          <w:rStyle w:val="FootnoteReference"/>
        </w:rPr>
        <w:footnoteReference w:id="5684"/>
      </w:r>
      <w:r>
        <w:t xml:space="preserve"> through the Lord, saying, Shall I pursue after this raiding band? Shall I overtake them? And he said to him, Pursue, because overtaking you will overtake, and rescuing you will rescue.</w:t>
      </w:r>
    </w:p>
    <w:p>
      <w:r>
        <w:rPr>
          <w:b/>
        </w:rPr>
        <w:t xml:space="preserve">9 </w:t>
      </w:r>
      <w:r>
        <w:t xml:space="preserve">And David went, he and the six hundred men with him, and they come as far as the wadi Besor, and the excess stood there.</w:t>
      </w:r>
    </w:p>
    <w:p>
      <w:r>
        <w:rPr>
          <w:b/>
        </w:rPr>
        <w:t xml:space="preserve">10 </w:t>
      </w:r>
      <w:r>
        <w:t xml:space="preserve">And David pursued with four hundred men, but two hundred men lagged behind, who sat beyond the wadi Besor.</w:t>
      </w:r>
    </w:p>
    <w:p>
      <w:r>
        <w:rPr>
          <w:b/>
        </w:rPr>
        <w:t xml:space="preserve">11 </w:t>
      </w:r>
      <w:r>
        <w:t xml:space="preserve">And they find an Egyptian man in the field and take him and lead him to David in the field, and they give him bread, and he ate, and they gave him</w:t>
      </w:r>
      <w:r>
        <w:rPr>
          <w:rStyle w:val="FootnoteReference"/>
        </w:rPr>
        <w:footnoteReference w:id="5685"/>
      </w:r>
      <w:r>
        <w:t xml:space="preserve"> water to drink.</w:t>
      </w:r>
    </w:p>
    <w:p>
      <w:r>
        <w:rPr>
          <w:b/>
        </w:rPr>
        <w:t xml:space="preserve">12 </w:t>
      </w:r>
      <w:r>
        <w:t xml:space="preserve">And they gave him a piece of a cake, and he ate, and his spirit</w:t>
      </w:r>
      <w:r>
        <w:rPr>
          <w:rStyle w:val="FootnoteReference"/>
        </w:rPr>
        <w:footnoteReference w:id="5686"/>
      </w:r>
      <w:r>
        <w:t xml:space="preserve"> was restored within him, because he had not eaten bread and had not drunk water three days and three nights.</w:t>
      </w:r>
    </w:p>
    <w:p>
      <w:r>
        <w:rPr>
          <w:b/>
        </w:rPr>
        <w:t xml:space="preserve">13 </w:t>
      </w:r>
      <w:r>
        <w:t xml:space="preserve">And David said to him, Whose are you, and from where are you? And the Egyptian young man said, I am slave of an Amalekite man, and my lord left me because I became sick, today the third day.</w:t>
      </w:r>
    </w:p>
    <w:p>
      <w:r>
        <w:rPr>
          <w:b/>
        </w:rPr>
        <w:t xml:space="preserve">14 </w:t>
      </w:r>
      <w:r>
        <w:t xml:space="preserve">And we attacked the south of Cherethites</w:t>
      </w:r>
      <w:r>
        <w:rPr>
          <w:rStyle w:val="FootnoteReference"/>
        </w:rPr>
        <w:footnoteReference w:id="5687"/>
      </w:r>
      <w:r>
        <w:t xml:space="preserve"> and the parts of Judah and the south of Caleb</w:t>
      </w:r>
      <w:r>
        <w:rPr>
          <w:rStyle w:val="FootnoteReference"/>
        </w:rPr>
        <w:footnoteReference w:id="5688"/>
      </w:r>
      <w:r>
        <w:t xml:space="preserve">, and we burned Ziklag with fire.</w:t>
      </w:r>
    </w:p>
    <w:p>
      <w:r>
        <w:rPr>
          <w:b/>
        </w:rPr>
        <w:t xml:space="preserve">15 </w:t>
      </w:r>
      <w:r>
        <w:t xml:space="preserve">And David said to him, Will you lead me down against this raiding band? And he said, Swear</w:t>
      </w:r>
      <w:r>
        <w:rPr>
          <w:rStyle w:val="FootnoteReference"/>
        </w:rPr>
        <w:footnoteReference w:id="5689"/>
      </w:r>
      <w:r>
        <w:t xml:space="preserve"> to me by God not to put me to death and not to hand me into the hands of my lord</w:t>
      </w:r>
      <w:r>
        <w:rPr>
          <w:rStyle w:val="FootnoteReference"/>
        </w:rPr>
        <w:footnoteReference w:id="5690"/>
      </w:r>
      <w:r>
        <w:t xml:space="preserve">, and I will lead you down against this raiding band.</w:t>
      </w:r>
    </w:p>
    <w:p>
      <w:r>
        <w:rPr>
          <w:b/>
        </w:rPr>
        <w:t xml:space="preserve">16 </w:t>
      </w:r>
      <w:r>
        <w:t xml:space="preserve">And he led him down there, and behold, they were spread out over the face of all the land</w:t>
      </w:r>
      <w:r>
        <w:rPr>
          <w:rStyle w:val="FootnoteReference"/>
        </w:rPr>
        <w:footnoteReference w:id="5691"/>
      </w:r>
      <w:r>
        <w:t xml:space="preserve">, eating</w:t>
      </w:r>
      <w:r>
        <w:rPr>
          <w:rStyle w:val="FootnoteReference"/>
        </w:rPr>
        <w:footnoteReference w:id="5692"/>
      </w:r>
      <w:r>
        <w:t xml:space="preserve"> and drinking and feasting over all the great spoil they had taken from the land of the foreigners and from the land of Judah.</w:t>
      </w:r>
    </w:p>
    <w:p>
      <w:r>
        <w:rPr>
          <w:b/>
        </w:rPr>
        <w:t xml:space="preserve">17 </w:t>
      </w:r>
      <w:r>
        <w:t xml:space="preserve">And David came upon them and struck them from dawn until evening and on the next day, and there</w:t>
      </w:r>
      <w:r>
        <w:rPr>
          <w:rStyle w:val="FootnoteReference"/>
        </w:rPr>
        <w:footnoteReference w:id="5693"/>
      </w:r>
      <w:r>
        <w:t xml:space="preserve"> was not saved from them a man, except four hundred young men who had mounted on the camels and fled.</w:t>
      </w:r>
    </w:p>
    <w:p>
      <w:r>
        <w:rPr>
          <w:b/>
        </w:rPr>
        <w:t xml:space="preserve">18 </w:t>
      </w:r>
      <w:r>
        <w:t xml:space="preserve">And David took away all that the Amalekites</w:t>
      </w:r>
      <w:r>
        <w:rPr>
          <w:rStyle w:val="FootnoteReference"/>
        </w:rPr>
        <w:footnoteReference w:id="5694"/>
      </w:r>
      <w:r>
        <w:t xml:space="preserve"> had taken, and he rescued both his wives.</w:t>
      </w:r>
    </w:p>
    <w:p>
      <w:r>
        <w:rPr>
          <w:b/>
        </w:rPr>
        <w:t xml:space="preserve">19 </w:t>
      </w:r>
      <w:r>
        <w:t xml:space="preserve">And nothing was missing to them from small to great and from the spoil and to sons and daughters and to all that they had taken from them; David returned everything.</w:t>
      </w:r>
    </w:p>
    <w:p>
      <w:r>
        <w:rPr>
          <w:b/>
        </w:rPr>
        <w:t xml:space="preserve">20 </w:t>
      </w:r>
      <w:r>
        <w:t xml:space="preserve">And David took all the flocks and the herds and drove them before the spoils, and to those spoils it was said, These are David’s spoils.</w:t>
      </w:r>
    </w:p>
    <w:p>
      <w:r>
        <w:rPr>
          <w:b/>
        </w:rPr>
        <w:t xml:space="preserve">21 </w:t>
      </w:r>
      <w:r>
        <w:t xml:space="preserve">And David comes to the two hundred men</w:t>
      </w:r>
      <w:r>
        <w:rPr>
          <w:rStyle w:val="FootnoteReference"/>
        </w:rPr>
        <w:footnoteReference w:id="5695"/>
      </w:r>
      <w:r>
        <w:t xml:space="preserve"> who had become too faint to go after David, and he seated them at the wadi Besor. And they went out to meet David and to meet the people with him, and David came near to the people, and they asked him the things of peace</w:t>
      </w:r>
      <w:r>
        <w:rPr>
          <w:rStyle w:val="FootnoteReference"/>
        </w:rPr>
        <w:footnoteReference w:id="5696"/>
      </w:r>
      <w:r>
        <w:t xml:space="preserve">.</w:t>
      </w:r>
    </w:p>
    <w:p>
      <w:r>
        <w:rPr>
          <w:b/>
        </w:rPr>
        <w:t xml:space="preserve">22 </w:t>
      </w:r>
      <w:r>
        <w:t xml:space="preserve">And every pestilent and evil man</w:t>
      </w:r>
      <w:r>
        <w:rPr>
          <w:rStyle w:val="FootnoteReference"/>
        </w:rPr>
        <w:footnoteReference w:id="5697"/>
      </w:r>
      <w:r>
        <w:t xml:space="preserve"> of the fighting men who had gone with David answered and said, Because they did not pursue with us, we will not give them from the spoil that we rescued, except each his wife and his children; let them take them and go away.</w:t>
      </w:r>
    </w:p>
    <w:p>
      <w:r>
        <w:rPr>
          <w:b/>
        </w:rPr>
        <w:t xml:space="preserve">23 </w:t>
      </w:r>
      <w:r>
        <w:t xml:space="preserve">And David said, You will not do thus, after the Lord gave to us and guarded us and delivered the raiding band coming against us into our hands.</w:t>
      </w:r>
    </w:p>
    <w:p>
      <w:r>
        <w:rPr>
          <w:b/>
        </w:rPr>
        <w:t xml:space="preserve">24 </w:t>
      </w:r>
      <w:r>
        <w:t xml:space="preserve">And who will listen to you in these words? Because their portion is no less, for according to the portion of the one going down into battle, so will be the portion of the one sitting over the baggage; they will divide alike.</w:t>
      </w:r>
    </w:p>
    <w:p>
      <w:r>
        <w:rPr>
          <w:b/>
        </w:rPr>
        <w:t xml:space="preserve">25 </w:t>
      </w:r>
      <w:r>
        <w:t xml:space="preserve">And it came to be from that day and above, and it became an ordinance and a judgment for Israel until today.</w:t>
      </w:r>
    </w:p>
    <w:p>
      <w:r>
        <w:rPr>
          <w:b/>
        </w:rPr>
        <w:t xml:space="preserve">26 </w:t>
      </w:r>
      <w:r>
        <w:t xml:space="preserve">And David came to Ziklag and sent from the spoils to the elders of Judah and to his neighbors, saying, Behold, from the spoils of the enemies of the Lord,</w:t>
      </w:r>
    </w:p>
    <w:p>
      <w:r>
        <w:rPr>
          <w:b/>
        </w:rPr>
        <w:t xml:space="preserve">27 </w:t>
      </w:r>
      <w:r>
        <w:t xml:space="preserve">to those in Bethzur and to those in Ramah of the south and to those in Ietthor,</w:t>
      </w:r>
    </w:p>
    <w:p>
      <w:r>
        <w:rPr>
          <w:b/>
        </w:rPr>
        <w:t xml:space="preserve">28 </w:t>
      </w:r>
      <w:r>
        <w:t xml:space="preserve">and to those in Aroer</w:t>
      </w:r>
      <w:r>
        <w:rPr>
          <w:rStyle w:val="FootnoteReference"/>
        </w:rPr>
        <w:footnoteReference w:id="5698"/>
      </w:r>
      <w:r>
        <w:t xml:space="preserve"> and to those in Ammadi and to those in Siphmoth</w:t>
      </w:r>
      <w:r>
        <w:rPr>
          <w:rStyle w:val="FootnoteReference"/>
        </w:rPr>
        <w:footnoteReference w:id="5699"/>
      </w:r>
      <w:r>
        <w:t xml:space="preserve"> and to those in Esthie, and to those in Gath and to those in Kinan and to those in Saphek and to those in Thimath,</w:t>
      </w:r>
    </w:p>
    <w:p>
      <w:r>
        <w:rPr>
          <w:b/>
        </w:rPr>
        <w:t xml:space="preserve">29 </w:t>
      </w:r>
      <w:r>
        <w:t xml:space="preserve">and to those in Carmel and to those in the cities of Jerahmeelites</w:t>
      </w:r>
      <w:r>
        <w:rPr>
          <w:rStyle w:val="FootnoteReference"/>
        </w:rPr>
        <w:footnoteReference w:id="5700"/>
      </w:r>
      <w:r>
        <w:t xml:space="preserve"> and to those in the cities of the Kenezite,</w:t>
      </w:r>
    </w:p>
    <w:p>
      <w:r>
        <w:rPr>
          <w:b/>
        </w:rPr>
        <w:t xml:space="preserve">30 </w:t>
      </w:r>
      <w:r>
        <w:t xml:space="preserve">and to those in Jerimoth and to those in Beersheba and to those in Noo,</w:t>
      </w:r>
    </w:p>
    <w:p>
      <w:r>
        <w:rPr>
          <w:b/>
        </w:rPr>
        <w:t xml:space="preserve">31 </w:t>
      </w:r>
      <w:r>
        <w:t xml:space="preserve">and to those in Hebron</w:t>
      </w:r>
      <w:r>
        <w:rPr>
          <w:rStyle w:val="FootnoteReference"/>
        </w:rPr>
        <w:footnoteReference w:id="5701"/>
      </w:r>
      <w:r>
        <w:t xml:space="preserve"> and to all the places through which David passed, he and his 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And the foreigners were fighting against Israel, and the men of Israel fled from before the foreigners and fell wounded on Mount Gilboa</w:t>
      </w:r>
      <w:r>
        <w:rPr>
          <w:rStyle w:val="FootnoteReference"/>
        </w:rPr>
        <w:footnoteReference w:id="5702"/>
      </w:r>
      <w:r>
        <w:t xml:space="preserve">.</w:t>
      </w:r>
    </w:p>
    <w:p>
      <w:r>
        <w:rPr>
          <w:b/>
        </w:rPr>
        <w:t xml:space="preserve">2 </w:t>
      </w:r>
      <w:r>
        <w:t xml:space="preserve">And the foreigners closed with Saul and his sons, and the foreigners struck Jonathan</w:t>
      </w:r>
      <w:r>
        <w:rPr>
          <w:rStyle w:val="FootnoteReference"/>
        </w:rPr>
        <w:footnoteReference w:id="5703"/>
      </w:r>
      <w:r>
        <w:t xml:space="preserve"> and Amminadab and Melchishua, sons of Saul.</w:t>
      </w:r>
    </w:p>
    <w:p>
      <w:r>
        <w:rPr>
          <w:b/>
        </w:rPr>
        <w:t xml:space="preserve">3 </w:t>
      </w:r>
      <w:r>
        <w:t xml:space="preserve">And the battle grew heavy against Saul, and the men, the archers, found him, and he was wounded in the flanks.</w:t>
      </w:r>
    </w:p>
    <w:p>
      <w:r>
        <w:rPr>
          <w:b/>
        </w:rPr>
        <w:t xml:space="preserve">4 </w:t>
      </w:r>
      <w:r>
        <w:t xml:space="preserve">And Saul said to the one carrying his equipment, Draw</w:t>
      </w:r>
      <w:r>
        <w:rPr>
          <w:rStyle w:val="FootnoteReference"/>
        </w:rPr>
        <w:footnoteReference w:id="5704"/>
      </w:r>
      <w:r>
        <w:t xml:space="preserve"> your sword and pierce me with it</w:t>
      </w:r>
      <w:r>
        <w:rPr>
          <w:rStyle w:val="FootnoteReference"/>
        </w:rPr>
        <w:footnoteReference w:id="5705"/>
      </w:r>
      <w:r>
        <w:t xml:space="preserve">, lest these uncircumcised ones come and pierce me and mock me. But the one carrying his equipment was not willing, because he feared greatly. And Saul took the sword and fell upon it.</w:t>
      </w:r>
    </w:p>
    <w:p>
      <w:r>
        <w:rPr>
          <w:b/>
        </w:rPr>
        <w:t xml:space="preserve">5 </w:t>
      </w:r>
      <w:r>
        <w:t xml:space="preserve">And the one carrying his equipment saw that Saul had died, and he too fell upon his own sword and died with him.</w:t>
      </w:r>
    </w:p>
    <w:p>
      <w:r>
        <w:rPr>
          <w:b/>
        </w:rPr>
        <w:t xml:space="preserve">6 </w:t>
      </w:r>
      <w:r>
        <w:t xml:space="preserve">And Saul died, and his three sons, and the one carrying his equipment, on that day together.</w:t>
      </w:r>
    </w:p>
    <w:p>
      <w:r>
        <w:rPr>
          <w:b/>
        </w:rPr>
        <w:t xml:space="preserve">7 </w:t>
      </w:r>
      <w:r>
        <w:t xml:space="preserve">And the men of Israel who were beyond the valley and those beyond the Jordan saw that the men of Israel had fled and that Saul and his sons had died, and they abandoned their cities and fled, and the foreigners come and live in them</w:t>
      </w:r>
      <w:r>
        <w:rPr>
          <w:rStyle w:val="FootnoteReference"/>
        </w:rPr>
        <w:footnoteReference w:id="5706"/>
      </w:r>
      <w:r>
        <w:t xml:space="preserve">.</w:t>
      </w:r>
    </w:p>
    <w:p>
      <w:r>
        <w:rPr>
          <w:b/>
        </w:rPr>
        <w:t xml:space="preserve">8 </w:t>
      </w:r>
      <w:r>
        <w:t xml:space="preserve">And it came to be on the next day, the foreigners came to strip</w:t>
      </w:r>
      <w:r>
        <w:rPr>
          <w:rStyle w:val="FootnoteReference"/>
        </w:rPr>
        <w:footnoteReference w:id="5707"/>
      </w:r>
      <w:r>
        <w:t xml:space="preserve"> the dead, and they find Saul and his three sons fallen on Mount Gilboa.</w:t>
      </w:r>
    </w:p>
    <w:p>
      <w:r>
        <w:rPr>
          <w:b/>
        </w:rPr>
        <w:t xml:space="preserve">9 </w:t>
      </w:r>
      <w:r>
        <w:t xml:space="preserve">And they turned him and stripped off his equipment and send them throughout the land of the foreigners round about, proclaiming good news to their idols and to their people.</w:t>
      </w:r>
    </w:p>
    <w:p>
      <w:r>
        <w:rPr>
          <w:b/>
        </w:rPr>
        <w:t xml:space="preserve">10 </w:t>
      </w:r>
      <w:r>
        <w:t xml:space="preserve">And they placed his equipment in the temple of Ashtaroth</w:t>
      </w:r>
      <w:r>
        <w:rPr>
          <w:rStyle w:val="FootnoteReference"/>
        </w:rPr>
        <w:footnoteReference w:id="5708"/>
      </w:r>
      <w:r>
        <w:t xml:space="preserve">, and his body they fixed in the wall of Bethshan.</w:t>
      </w:r>
    </w:p>
    <w:p>
      <w:r>
        <w:rPr>
          <w:b/>
        </w:rPr>
        <w:t xml:space="preserve">11 </w:t>
      </w:r>
      <w:r>
        <w:t xml:space="preserve">And the inhabitants of Jabesh of Gileadites</w:t>
      </w:r>
      <w:r>
        <w:rPr>
          <w:rStyle w:val="FootnoteReference"/>
        </w:rPr>
        <w:footnoteReference w:id="5709"/>
      </w:r>
      <w:r>
        <w:t xml:space="preserve"> heard what the foreigners had done to Saul.</w:t>
      </w:r>
    </w:p>
    <w:p>
      <w:r>
        <w:rPr>
          <w:b/>
        </w:rPr>
        <w:t xml:space="preserve">12 </w:t>
      </w:r>
      <w:r>
        <w:t xml:space="preserve">And every mighty man rose and went all the night and took the body of Saul and the body of Jonathan his son from the wall of Bethshan and bring them into Jabesh and burn them there.</w:t>
      </w:r>
    </w:p>
    <w:p>
      <w:r>
        <w:rPr>
          <w:b/>
        </w:rPr>
        <w:t xml:space="preserve">13 </w:t>
      </w:r>
      <w:r>
        <w:t xml:space="preserve">And they took their bones</w:t>
      </w:r>
      <w:r>
        <w:rPr>
          <w:rStyle w:val="FootnoteReference"/>
        </w:rPr>
        <w:footnoteReference w:id="5710"/>
      </w:r>
      <w:r>
        <w:t xml:space="preserve"> and buried them under the tamarisk tree at Jabesh and fasted seven days.</w:t>
      </w:r>
      <w:r>
        <w:rPr>
          <w:rStyle w:val="FootnoteReference"/>
        </w:rPr>
        <w:footnoteReference w:id="5711"/>
      </w:r>
    </w:p>
    <w:p>
      <w:r>
        <w:br w:type="page"/>
      </w:r>
    </w:p>
    <w:p>
      <w:pPr>
        <w:pStyle w:val="Heading1"/>
      </w:pPr>
      <w:r>
        <w:t xml:space="preserve">2 Samuel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it came to be after the death of Saul, David returned from striking Amalek, and David sat in Ziklag</w:t>
      </w:r>
      <w:r>
        <w:rPr>
          <w:rStyle w:val="FootnoteReference"/>
        </w:rPr>
        <w:footnoteReference w:id="5712"/>
      </w:r>
      <w:r>
        <w:t xml:space="preserve"> two days.</w:t>
      </w:r>
    </w:p>
    <w:p>
      <w:r>
        <w:rPr>
          <w:b/>
        </w:rPr>
        <w:t xml:space="preserve">2 </w:t>
      </w:r>
      <w:r>
        <w:t xml:space="preserve">And it came to be on the third</w:t>
      </w:r>
      <w:r>
        <w:rPr>
          <w:rStyle w:val="FootnoteReference"/>
        </w:rPr>
        <w:footnoteReference w:id="5713"/>
      </w:r>
      <w:r>
        <w:t xml:space="preserve"> day, behold, a man came from the camp from the people of Saul, and his garments were torn and earth was on his head. And it came to be when he entered to David, he fell to the ground and bowed down to him.</w:t>
      </w:r>
      <w:r>
        <w:rPr>
          <w:rStyle w:val="FootnoteReference"/>
        </w:rPr>
        <w:footnoteReference w:id="5714"/>
      </w:r>
    </w:p>
    <w:p>
      <w:r>
        <w:rPr>
          <w:b/>
        </w:rPr>
        <w:t xml:space="preserve">3 </w:t>
      </w:r>
      <w:r>
        <w:t xml:space="preserve">And David said to him, From where do you come? And he said to him, I have escaped from the camp of Israel.</w:t>
      </w:r>
    </w:p>
    <w:p>
      <w:r>
        <w:rPr>
          <w:b/>
        </w:rPr>
        <w:t xml:space="preserve">4 </w:t>
      </w:r>
      <w:r>
        <w:t xml:space="preserve">And David said to him, What is this word? Report to me. And he said, The people fled from the battle, and many of the people have fallen and died, and both Saul and Jonathan his son have died.</w:t>
      </w:r>
    </w:p>
    <w:p>
      <w:r>
        <w:rPr>
          <w:b/>
        </w:rPr>
        <w:t xml:space="preserve">5 </w:t>
      </w:r>
      <w:r>
        <w:t xml:space="preserve">And David said to the young man reporting to him, How do you know that Saul and Jonathan his son have died?</w:t>
      </w:r>
    </w:p>
    <w:p>
      <w:r>
        <w:rPr>
          <w:b/>
        </w:rPr>
        <w:t xml:space="preserve">6 </w:t>
      </w:r>
      <w:r>
        <w:t xml:space="preserve">And the young man reporting to him said, By chance I happened on Mount</w:t>
      </w:r>
      <w:r>
        <w:rPr>
          <w:rStyle w:val="FootnoteReference"/>
        </w:rPr>
        <w:footnoteReference w:id="5715"/>
      </w:r>
      <w:r>
        <w:t xml:space="preserve"> Gilboa, and behold, Saul had leaned upon his spear, and behold, the chariots and the horse-commanders had joined close to him.</w:t>
      </w:r>
    </w:p>
    <w:p>
      <w:r>
        <w:rPr>
          <w:b/>
        </w:rPr>
        <w:t xml:space="preserve">7 </w:t>
      </w:r>
      <w:r>
        <w:t xml:space="preserve">And he looked behind him and saw me and called me, and I said, Behold, here I am.</w:t>
      </w:r>
    </w:p>
    <w:p>
      <w:r>
        <w:rPr>
          <w:b/>
        </w:rPr>
        <w:t xml:space="preserve">8 </w:t>
      </w:r>
      <w:r>
        <w:t xml:space="preserve">And he said to me, Who are you? And I said, I am an Amalekite</w:t>
      </w:r>
      <w:r>
        <w:rPr>
          <w:rStyle w:val="FootnoteReference"/>
        </w:rPr>
        <w:footnoteReference w:id="5716"/>
      </w:r>
      <w:r>
        <w:t xml:space="preserve">.</w:t>
      </w:r>
    </w:p>
    <w:p>
      <w:r>
        <w:rPr>
          <w:b/>
        </w:rPr>
        <w:t xml:space="preserve">9 </w:t>
      </w:r>
      <w:r>
        <w:t xml:space="preserve">And he said to me, Stand now over me and put me to death, because terrible darkness seized me</w:t>
      </w:r>
      <w:r>
        <w:rPr>
          <w:rStyle w:val="FootnoteReference"/>
        </w:rPr>
        <w:footnoteReference w:id="5717"/>
      </w:r>
      <w:r>
        <w:t xml:space="preserve">, because all my life is still in me.</w:t>
      </w:r>
    </w:p>
    <w:p>
      <w:r>
        <w:rPr>
          <w:b/>
        </w:rPr>
        <w:t xml:space="preserve">10 </w:t>
      </w:r>
      <w:r>
        <w:t xml:space="preserve">And I stood over him and put him to death, because I knew that he would not live after his fall. And I took the kingship-band</w:t>
      </w:r>
      <w:r>
        <w:rPr>
          <w:rStyle w:val="FootnoteReference"/>
        </w:rPr>
        <w:footnoteReference w:id="5718"/>
      </w:r>
      <w:r>
        <w:t xml:space="preserve"> that was on his head and the bracelet that was on his arm and have brought them here to my lord.</w:t>
      </w:r>
    </w:p>
    <w:p>
      <w:r>
        <w:rPr>
          <w:b/>
        </w:rPr>
        <w:t xml:space="preserve">11 </w:t>
      </w:r>
      <w:r>
        <w:t xml:space="preserve">And David seized his garments and tore them, and all the men with him tore their garments.</w:t>
      </w:r>
    </w:p>
    <w:p>
      <w:r>
        <w:rPr>
          <w:b/>
        </w:rPr>
        <w:t xml:space="preserve">12 </w:t>
      </w:r>
      <w:r>
        <w:t xml:space="preserve">And they mourned and wept and fasted until evening over Saul and over Jonathan his son and over the people of Judah and over the house of Israel, because they were struck by the sword.</w:t>
      </w:r>
    </w:p>
    <w:p>
      <w:r>
        <w:rPr>
          <w:b/>
        </w:rPr>
        <w:t xml:space="preserve">13 </w:t>
      </w:r>
      <w:r>
        <w:t xml:space="preserve">And David said to the young man reporting to him, From where are you? And he said, I am son of a sojourning Amalekite man.</w:t>
      </w:r>
    </w:p>
    <w:p>
      <w:r>
        <w:rPr>
          <w:b/>
        </w:rPr>
        <w:t xml:space="preserve">14 </w:t>
      </w:r>
      <w:r>
        <w:t xml:space="preserve">And David said to him, How were you not afraid to bring your hand to destroy the anointed of the Lord?</w:t>
      </w:r>
    </w:p>
    <w:p>
      <w:r>
        <w:rPr>
          <w:b/>
        </w:rPr>
        <w:t xml:space="preserve">15 </w:t>
      </w:r>
      <w:r>
        <w:t xml:space="preserve">And David called one of his young men and said, Come near, strike him. And he struck him, and he died.</w:t>
      </w:r>
    </w:p>
    <w:p>
      <w:r>
        <w:rPr>
          <w:b/>
        </w:rPr>
        <w:t xml:space="preserve">16 </w:t>
      </w:r>
      <w:r>
        <w:t xml:space="preserve">And David said to him, Your blood is on your head, because your mouth</w:t>
      </w:r>
      <w:r>
        <w:rPr>
          <w:rStyle w:val="FootnoteReference"/>
        </w:rPr>
        <w:footnoteReference w:id="5719"/>
      </w:r>
      <w:r>
        <w:t xml:space="preserve"> answered against you, saying, I myself killed the anointed of the Lord.</w:t>
      </w:r>
    </w:p>
    <w:p>
      <w:r>
        <w:rPr>
          <w:b/>
        </w:rPr>
        <w:t xml:space="preserve">17 </w:t>
      </w:r>
      <w:r>
        <w:t xml:space="preserve">And David lamented</w:t>
      </w:r>
      <w:r>
        <w:rPr>
          <w:rStyle w:val="FootnoteReference"/>
        </w:rPr>
        <w:footnoteReference w:id="5720"/>
      </w:r>
      <w:r>
        <w:t xml:space="preserve"> this lament over Saul and over Jonathan his son.</w:t>
      </w:r>
    </w:p>
    <w:p>
      <w:r>
        <w:rPr>
          <w:b/>
        </w:rPr>
        <w:t xml:space="preserve">18 </w:t>
      </w:r>
      <w:r>
        <w:t xml:space="preserve">And he said to teach</w:t>
      </w:r>
      <w:r>
        <w:rPr>
          <w:rStyle w:val="FootnoteReference"/>
        </w:rPr>
        <w:footnoteReference w:id="5721"/>
      </w:r>
      <w:r>
        <w:t xml:space="preserve"> the sons of Judah; behold, it is written in the Book of the Upright.</w:t>
      </w:r>
    </w:p>
    <w:p>
      <w:r>
        <w:rPr>
          <w:b/>
        </w:rPr>
        <w:t xml:space="preserve">19 </w:t>
      </w:r>
      <w:r>
        <w:t xml:space="preserve">Set up, O Israel, over your dead, upon your high places the wounded. How the mighty have fallen.</w:t>
      </w:r>
    </w:p>
    <w:p>
      <w:r>
        <w:rPr>
          <w:b/>
        </w:rPr>
        <w:t xml:space="preserve">20 </w:t>
      </w:r>
      <w:r>
        <w:t xml:space="preserve">Do not report it in Gath, and do not proclaim good news in the streets of Ashkelon, lest the daughters of the foreigners rejoice, lest the daughters of the uncircumcised</w:t>
      </w:r>
      <w:r>
        <w:rPr>
          <w:rStyle w:val="FootnoteReference"/>
        </w:rPr>
        <w:footnoteReference w:id="5722"/>
      </w:r>
      <w:r>
        <w:t xml:space="preserve"> exult.</w:t>
      </w:r>
    </w:p>
    <w:p>
      <w:r>
        <w:rPr>
          <w:b/>
        </w:rPr>
        <w:t xml:space="preserve">21 </w:t>
      </w:r>
      <w:r>
        <w:t xml:space="preserve">Mountains</w:t>
      </w:r>
      <w:r>
        <w:rPr>
          <w:rStyle w:val="FootnoteReference"/>
        </w:rPr>
        <w:footnoteReference w:id="5723"/>
      </w:r>
      <w:r>
        <w:t xml:space="preserve"> of Gilboa, let no dew come down on you and no rain on you, nor fields of firstfruits</w:t>
      </w:r>
      <w:r>
        <w:rPr>
          <w:rStyle w:val="FootnoteReference"/>
        </w:rPr>
        <w:footnoteReference w:id="5724"/>
      </w:r>
      <w:r>
        <w:t xml:space="preserve">, because there the shield of the mighty was defiled, the shield of Saul not anointed with oil.</w:t>
      </w:r>
    </w:p>
    <w:p>
      <w:r>
        <w:rPr>
          <w:b/>
        </w:rPr>
        <w:t xml:space="preserve">22 </w:t>
      </w:r>
      <w:r>
        <w:t xml:space="preserve">From the blood of the wounded, from the fat of the mighty, the bow</w:t>
      </w:r>
      <w:r>
        <w:rPr>
          <w:rStyle w:val="FootnoteReference"/>
        </w:rPr>
        <w:footnoteReference w:id="5725"/>
      </w:r>
      <w:r>
        <w:t xml:space="preserve"> of Jonathan did not turn back empty, and the sword of Saul did not return empty.</w:t>
      </w:r>
    </w:p>
    <w:p>
      <w:r>
        <w:rPr>
          <w:b/>
        </w:rPr>
        <w:t xml:space="preserve">23 </w:t>
      </w:r>
      <w:r>
        <w:t xml:space="preserve">Saul and Jonathan, the beloved and beautiful, not separated, lovely in their life and in their death they were</w:t>
      </w:r>
      <w:r>
        <w:rPr>
          <w:rStyle w:val="FootnoteReference"/>
        </w:rPr>
        <w:footnoteReference w:id="5726"/>
      </w:r>
      <w:r>
        <w:t xml:space="preserve"> not divided; swifter than eagles, they were made stronger than lions.</w:t>
      </w:r>
    </w:p>
    <w:p>
      <w:r>
        <w:rPr>
          <w:b/>
        </w:rPr>
        <w:t xml:space="preserve">24 </w:t>
      </w:r>
      <w:r>
        <w:t xml:space="preserve">Daughters of Israel, weep over Saul, the one clothing you in scarlet with your ornament, the one bringing golden ornament upon your garments.</w:t>
      </w:r>
    </w:p>
    <w:p>
      <w:r>
        <w:rPr>
          <w:b/>
        </w:rPr>
        <w:t xml:space="preserve">25 </w:t>
      </w:r>
      <w:r>
        <w:t xml:space="preserve">How the mighty have fallen in the midst of battle. Jonathan, wounded on your high places.</w:t>
      </w:r>
    </w:p>
    <w:p>
      <w:r>
        <w:rPr>
          <w:b/>
        </w:rPr>
        <w:t xml:space="preserve">26 </w:t>
      </w:r>
      <w:r>
        <w:t xml:space="preserve">I am in pain for you, my brother Jonathan. You were made very beautiful to me; your love to me was made wonderful beyond the love of women.</w:t>
      </w:r>
    </w:p>
    <w:p>
      <w:r>
        <w:rPr>
          <w:b/>
        </w:rPr>
        <w:t xml:space="preserve">27 </w:t>
      </w:r>
      <w:r>
        <w:t xml:space="preserve">How the mighty have fallen, and the weapons</w:t>
      </w:r>
      <w:r>
        <w:rPr>
          <w:rStyle w:val="FootnoteReference"/>
        </w:rPr>
        <w:footnoteReference w:id="5727"/>
      </w:r>
      <w:r>
        <w:t xml:space="preserve"> of war have perished.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it came to be after these things, David inquired</w:t>
      </w:r>
      <w:r>
        <w:rPr>
          <w:rStyle w:val="FootnoteReference"/>
        </w:rPr>
        <w:footnoteReference w:id="5728"/>
      </w:r>
      <w:r>
        <w:t xml:space="preserve"> of the Lord, saying, Shall I go up into one of the cities of Judah? And the Lord said to him, Go up. And David said, Where shall I go up? And he said, To Hebron.</w:t>
      </w:r>
      <w:r>
        <w:rPr>
          <w:rStyle w:val="FootnoteReference"/>
        </w:rPr>
        <w:footnoteReference w:id="5729"/>
      </w:r>
    </w:p>
    <w:p>
      <w:r>
        <w:rPr>
          <w:b/>
        </w:rPr>
        <w:t xml:space="preserve">2 </w:t>
      </w:r>
      <w:r>
        <w:t xml:space="preserve">And David went up there to Hebron, and both his wives, Ahinoam the Jezreelite and Abigail the wife of Nabal the Carmelite.</w:t>
      </w:r>
    </w:p>
    <w:p>
      <w:r>
        <w:rPr>
          <w:b/>
        </w:rPr>
        <w:t xml:space="preserve">3 </w:t>
      </w:r>
      <w:r>
        <w:t xml:space="preserve">And the men with him, each and his household, and they lived in the cities</w:t>
      </w:r>
      <w:r>
        <w:rPr>
          <w:rStyle w:val="FootnoteReference"/>
        </w:rPr>
        <w:footnoteReference w:id="5730"/>
      </w:r>
      <w:r>
        <w:t xml:space="preserve"> of Hebron.</w:t>
      </w:r>
    </w:p>
    <w:p>
      <w:r>
        <w:rPr>
          <w:b/>
        </w:rPr>
        <w:t xml:space="preserve">4 </w:t>
      </w:r>
      <w:r>
        <w:t xml:space="preserve">And the men of Judah</w:t>
      </w:r>
      <w:r>
        <w:rPr>
          <w:rStyle w:val="FootnoteReference"/>
        </w:rPr>
        <w:footnoteReference w:id="5731"/>
      </w:r>
      <w:r>
        <w:t xml:space="preserve"> come and anoint David there to reign over the house of Judah. And they reported to David, saying that the men of Jabesh of Gileadites buried Saul.</w:t>
      </w:r>
    </w:p>
    <w:p>
      <w:r>
        <w:rPr>
          <w:b/>
        </w:rPr>
        <w:t xml:space="preserve">5 </w:t>
      </w:r>
      <w:r>
        <w:t xml:space="preserve">And David sent messengers to the leaders of Jabesh of Gileadites and said to them, Blessed</w:t>
      </w:r>
      <w:r>
        <w:rPr>
          <w:rStyle w:val="FootnoteReference"/>
        </w:rPr>
        <w:footnoteReference w:id="5732"/>
      </w:r>
      <w:r>
        <w:t xml:space="preserve"> are you to the Lord, because you did this mercy for your lord, for Saul the anointed of the Lord, and buried him and Jonathan his son.</w:t>
      </w:r>
    </w:p>
    <w:p>
      <w:r>
        <w:rPr>
          <w:b/>
        </w:rPr>
        <w:t xml:space="preserve">6 </w:t>
      </w:r>
      <w:r>
        <w:t xml:space="preserve">And now may the Lord</w:t>
      </w:r>
      <w:r>
        <w:rPr>
          <w:rStyle w:val="FootnoteReference"/>
        </w:rPr>
        <w:footnoteReference w:id="5733"/>
      </w:r>
      <w:r>
        <w:t xml:space="preserve"> do mercy and truth with you, and indeed I will do these good things with you, because you did this word.</w:t>
      </w:r>
    </w:p>
    <w:p>
      <w:r>
        <w:rPr>
          <w:b/>
        </w:rPr>
        <w:t xml:space="preserve">7 </w:t>
      </w:r>
      <w:r>
        <w:t xml:space="preserve">And now let your</w:t>
      </w:r>
      <w:r>
        <w:rPr>
          <w:rStyle w:val="FootnoteReference"/>
        </w:rPr>
        <w:footnoteReference w:id="5734"/>
      </w:r>
      <w:r>
        <w:t xml:space="preserve"> hands be strengthened, and become sons of strength, because your lord Saul has died, and indeed the house of Judah has anointed me over themselves as king.</w:t>
      </w:r>
    </w:p>
    <w:p>
      <w:r>
        <w:rPr>
          <w:b/>
        </w:rPr>
        <w:t xml:space="preserve">8 </w:t>
      </w:r>
      <w:r>
        <w:t xml:space="preserve">And Abner</w:t>
      </w:r>
      <w:r>
        <w:rPr>
          <w:rStyle w:val="FootnoteReference"/>
        </w:rPr>
        <w:footnoteReference w:id="5735"/>
      </w:r>
      <w:r>
        <w:t xml:space="preserve"> son of Ner, commander of Saul, took Ishbosheth</w:t>
      </w:r>
      <w:r>
        <w:rPr>
          <w:rStyle w:val="FootnoteReference"/>
        </w:rPr>
        <w:footnoteReference w:id="5736"/>
      </w:r>
      <w:r>
        <w:t xml:space="preserve"> son of Saul and brought him up from the camp into Mahanaim.</w:t>
      </w:r>
    </w:p>
    <w:p>
      <w:r>
        <w:rPr>
          <w:b/>
        </w:rPr>
        <w:t xml:space="preserve">9 </w:t>
      </w:r>
      <w:r>
        <w:t xml:space="preserve">And he made him king over Gileadites and over Ashurites</w:t>
      </w:r>
      <w:r>
        <w:rPr>
          <w:rStyle w:val="FootnoteReference"/>
        </w:rPr>
        <w:footnoteReference w:id="5737"/>
      </w:r>
      <w:r>
        <w:t xml:space="preserve"> and over Jezreel and over Ephraim and over Benjamin and over all Israel.</w:t>
      </w:r>
      <w:r>
        <w:rPr>
          <w:rStyle w:val="FootnoteReference"/>
        </w:rPr>
        <w:footnoteReference w:id="5738"/>
      </w:r>
    </w:p>
    <w:p>
      <w:r>
        <w:rPr>
          <w:b/>
        </w:rPr>
        <w:t xml:space="preserve">10 </w:t>
      </w:r>
      <w:r>
        <w:t xml:space="preserve">Forty years old was Ishbosheth son of Saul when he reigned over Israel, and he reigned two years</w:t>
      </w:r>
      <w:r>
        <w:rPr>
          <w:rStyle w:val="FootnoteReference"/>
        </w:rPr>
        <w:footnoteReference w:id="5739"/>
      </w:r>
      <w:r>
        <w:t xml:space="preserve">, except that the house of Judah was following David.</w:t>
      </w:r>
    </w:p>
    <w:p>
      <w:r>
        <w:rPr>
          <w:b/>
        </w:rPr>
        <w:t xml:space="preserve">11 </w:t>
      </w:r>
      <w:r>
        <w:t xml:space="preserve">And the days that David reigned in Hebron over the house of Judah were seven years and six months.</w:t>
      </w:r>
    </w:p>
    <w:p>
      <w:r>
        <w:rPr>
          <w:b/>
        </w:rPr>
        <w:t xml:space="preserve">12 </w:t>
      </w:r>
      <w:r>
        <w:t xml:space="preserve">And Abner son of Ner and the servants of Ishbosheth son of Saul went out from Mahanaim</w:t>
      </w:r>
      <w:r>
        <w:rPr>
          <w:rStyle w:val="FootnoteReference"/>
        </w:rPr>
        <w:footnoteReference w:id="5740"/>
      </w:r>
      <w:r>
        <w:t xml:space="preserve"> to Gibeon.</w:t>
      </w:r>
    </w:p>
    <w:p>
      <w:r>
        <w:rPr>
          <w:b/>
        </w:rPr>
        <w:t xml:space="preserve">13 </w:t>
      </w:r>
      <w:r>
        <w:t xml:space="preserve">And Joab</w:t>
      </w:r>
      <w:r>
        <w:rPr>
          <w:rStyle w:val="FootnoteReference"/>
        </w:rPr>
        <w:footnoteReference w:id="5741"/>
      </w:r>
      <w:r>
        <w:t xml:space="preserve"> son of Zeruiah and the servants of David went out from Hebron and met them by the pool of Gibeon together. And these sat by the pool of Gibeon on this side, and those by the pool on that side.</w:t>
      </w:r>
      <w:r>
        <w:rPr>
          <w:rStyle w:val="FootnoteReference"/>
        </w:rPr>
        <w:footnoteReference w:id="5742"/>
      </w:r>
    </w:p>
    <w:p>
      <w:r>
        <w:rPr>
          <w:b/>
        </w:rPr>
        <w:t xml:space="preserve">14 </w:t>
      </w:r>
      <w:r>
        <w:t xml:space="preserve">And Abner said to Joab, Let the young men rise now and play before</w:t>
      </w:r>
      <w:r>
        <w:rPr>
          <w:rStyle w:val="FootnoteReference"/>
        </w:rPr>
        <w:footnoteReference w:id="5743"/>
      </w:r>
      <w:r>
        <w:t xml:space="preserve"> us. And Joab said, Let them rise.</w:t>
      </w:r>
    </w:p>
    <w:p>
      <w:r>
        <w:rPr>
          <w:b/>
        </w:rPr>
        <w:t xml:space="preserve">15 </w:t>
      </w:r>
      <w:r>
        <w:t xml:space="preserve">And they rose and passed over by number, twelve of the sons of Benjamin belonging to Ishbosheth son of Saul, and twelve of the servants of David.</w:t>
      </w:r>
    </w:p>
    <w:p>
      <w:r>
        <w:rPr>
          <w:b/>
        </w:rPr>
        <w:t xml:space="preserve">16 </w:t>
      </w:r>
      <w:r>
        <w:t xml:space="preserve">And each seized the head of his neighbor by the hand, and his knife into the side of his neighbor, and they fall together. And the name of that place was called Portion of the Plotters, which is in Gibeon.</w:t>
      </w:r>
    </w:p>
    <w:p>
      <w:r>
        <w:rPr>
          <w:b/>
        </w:rPr>
        <w:t xml:space="preserve">17 </w:t>
      </w:r>
      <w:r>
        <w:t xml:space="preserve">And the battle became very hard on that day, and Abner</w:t>
      </w:r>
      <w:r>
        <w:rPr>
          <w:rStyle w:val="FootnoteReference"/>
        </w:rPr>
        <w:footnoteReference w:id="5744"/>
      </w:r>
      <w:r>
        <w:t xml:space="preserve"> and the men of Israel stumbled before the servants of David.</w:t>
      </w:r>
    </w:p>
    <w:p>
      <w:r>
        <w:rPr>
          <w:b/>
        </w:rPr>
        <w:t xml:space="preserve">18 </w:t>
      </w:r>
      <w:r>
        <w:t xml:space="preserve">And there were there three</w:t>
      </w:r>
      <w:r>
        <w:rPr>
          <w:rStyle w:val="FootnoteReference"/>
        </w:rPr>
        <w:footnoteReference w:id="5745"/>
      </w:r>
      <w:r>
        <w:t xml:space="preserve"> sons of Zeruiah: Joab and Abishai and Asahel</w:t>
      </w:r>
      <w:r>
        <w:rPr>
          <w:rStyle w:val="FootnoteReference"/>
        </w:rPr>
        <w:footnoteReference w:id="5746"/>
      </w:r>
      <w:r>
        <w:t xml:space="preserve">, and Asahel was swift in his feet like one gazelle in the field.</w:t>
      </w:r>
    </w:p>
    <w:p>
      <w:r>
        <w:rPr>
          <w:b/>
        </w:rPr>
        <w:t xml:space="preserve">19 </w:t>
      </w:r>
      <w:r>
        <w:t xml:space="preserve">And Asahel pursued behind Abner, and he did not turn aside in going to the right or to the left from behind Abner.</w:t>
      </w:r>
    </w:p>
    <w:p>
      <w:r>
        <w:rPr>
          <w:b/>
        </w:rPr>
        <w:t xml:space="preserve">20 </w:t>
      </w:r>
      <w:r>
        <w:t xml:space="preserve">And Abner looked behind him and said, Are you this Asahel? And he said, I am.</w:t>
      </w:r>
    </w:p>
    <w:p>
      <w:r>
        <w:rPr>
          <w:b/>
        </w:rPr>
        <w:t xml:space="preserve">21 </w:t>
      </w:r>
      <w:r>
        <w:t xml:space="preserve">And Abner said to him, Turn aside to the right or to the left and seize for yourself one of the young men and take for yourself his armor. But Asahel did not want to turn aside from behind him.</w:t>
      </w:r>
    </w:p>
    <w:p>
      <w:r>
        <w:rPr>
          <w:b/>
        </w:rPr>
        <w:t xml:space="preserve">22 </w:t>
      </w:r>
      <w:r>
        <w:t xml:space="preserve">And Abner added still, saying to Asahel, Stand away from me, lest I strike you to the ground. And how shall I lift my face to Joab your brother? And where are these things? Turn toward Joab your brother.</w:t>
      </w:r>
    </w:p>
    <w:p>
      <w:r>
        <w:rPr>
          <w:b/>
        </w:rPr>
        <w:t xml:space="preserve">23 </w:t>
      </w:r>
      <w:r>
        <w:t xml:space="preserve">And he was not willing to stand away, and Abner struck him with the back of the spear in the belly</w:t>
      </w:r>
      <w:r>
        <w:rPr>
          <w:rStyle w:val="FootnoteReference"/>
        </w:rPr>
        <w:footnoteReference w:id="5747"/>
      </w:r>
      <w:r>
        <w:t xml:space="preserve">, and the spear came out from behind him, and he fell there and died under him. And it came to be, everyone coming to the place where Asahel fell there and died, would stand still.</w:t>
      </w:r>
    </w:p>
    <w:p>
      <w:r>
        <w:rPr>
          <w:b/>
        </w:rPr>
        <w:t xml:space="preserve">24 </w:t>
      </w:r>
      <w:r>
        <w:t xml:space="preserve">And Joab and Abishai pursued behind Abner, and the sun went down, and they came as far as the hill of Ammah</w:t>
      </w:r>
      <w:r>
        <w:rPr>
          <w:rStyle w:val="FootnoteReference"/>
        </w:rPr>
        <w:footnoteReference w:id="5748"/>
      </w:r>
      <w:r>
        <w:t xml:space="preserve">, which is opposite Giah</w:t>
      </w:r>
      <w:r>
        <w:rPr>
          <w:rStyle w:val="FootnoteReference"/>
        </w:rPr>
        <w:footnoteReference w:id="5749"/>
      </w:r>
      <w:r>
        <w:t xml:space="preserve"> on the road to the wilderness of Gibeon.</w:t>
      </w:r>
    </w:p>
    <w:p>
      <w:r>
        <w:rPr>
          <w:b/>
        </w:rPr>
        <w:t xml:space="preserve">25 </w:t>
      </w:r>
      <w:r>
        <w:t xml:space="preserve">And the sons of Benjamin gathered behind Abner and became one meeting group, and they stood on the head of one hill.</w:t>
      </w:r>
    </w:p>
    <w:p>
      <w:r>
        <w:rPr>
          <w:b/>
        </w:rPr>
        <w:t xml:space="preserve">26 </w:t>
      </w:r>
      <w:r>
        <w:t xml:space="preserve">And Abner called to Joab and said, Will the sword</w:t>
      </w:r>
      <w:r>
        <w:rPr>
          <w:rStyle w:val="FootnoteReference"/>
        </w:rPr>
        <w:footnoteReference w:id="5750"/>
      </w:r>
      <w:r>
        <w:t xml:space="preserve"> devour into victory? Do you not know that it will be bitter at the end? And until when will you not tell the people to turn back from after our brothers?</w:t>
      </w:r>
      <w:r>
        <w:rPr>
          <w:rStyle w:val="FootnoteReference"/>
        </w:rPr>
        <w:footnoteReference w:id="5751"/>
      </w:r>
    </w:p>
    <w:p>
      <w:r>
        <w:rPr>
          <w:b/>
        </w:rPr>
        <w:t xml:space="preserve">27 </w:t>
      </w:r>
      <w:r>
        <w:t xml:space="preserve">And Joab said, As the Lord lives, if you had not spoken, then from morning the people would have gone up, each from after his brother.</w:t>
      </w:r>
    </w:p>
    <w:p>
      <w:r>
        <w:rPr>
          <w:b/>
        </w:rPr>
        <w:t xml:space="preserve">28 </w:t>
      </w:r>
      <w:r>
        <w:t xml:space="preserve">And Joab sounded with the trumpet, and all the people stood back and did not pursue after Israel, and they no longer added to fight.</w:t>
      </w:r>
    </w:p>
    <w:p>
      <w:r>
        <w:rPr>
          <w:b/>
        </w:rPr>
        <w:t xml:space="preserve">29 </w:t>
      </w:r>
      <w:r>
        <w:t xml:space="preserve">And Abner and his men went away westward all that night and crossed the Jordan and went the whole extended route and come to the camp.</w:t>
      </w:r>
    </w:p>
    <w:p>
      <w:r>
        <w:rPr>
          <w:b/>
        </w:rPr>
        <w:t xml:space="preserve">30 </w:t>
      </w:r>
      <w:r>
        <w:t xml:space="preserve">And Joab turned back from after Abner and gathered all the people, and they were missing from the servants of David nineteen men and Asahel.</w:t>
      </w:r>
    </w:p>
    <w:p>
      <w:r>
        <w:rPr>
          <w:b/>
        </w:rPr>
        <w:t xml:space="preserve">31 </w:t>
      </w:r>
      <w:r>
        <w:t xml:space="preserve">And the servants of David struck from the sons of Benjamin, from the men of Abner, three hundred</w:t>
      </w:r>
      <w:r>
        <w:rPr>
          <w:rStyle w:val="FootnoteReference"/>
        </w:rPr>
        <w:footnoteReference w:id="5752"/>
      </w:r>
      <w:r>
        <w:t xml:space="preserve"> and sixty men beside him.</w:t>
      </w:r>
    </w:p>
    <w:p>
      <w:r>
        <w:rPr>
          <w:b/>
        </w:rPr>
        <w:t xml:space="preserve">32 </w:t>
      </w:r>
      <w:r>
        <w:t xml:space="preserve">And they take Asahel and bury him in the tomb of his father in Bethlehem, and Joab and the men with him went</w:t>
      </w:r>
      <w:r>
        <w:rPr>
          <w:rStyle w:val="FootnoteReference"/>
        </w:rPr>
        <w:footnoteReference w:id="5753"/>
      </w:r>
      <w:r>
        <w:t xml:space="preserve"> all night, and it grew light for them in Hebron.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the war became long between</w:t>
      </w:r>
      <w:r>
        <w:rPr>
          <w:rStyle w:val="FootnoteReference"/>
        </w:rPr>
        <w:footnoteReference w:id="5754"/>
      </w:r>
      <w:r>
        <w:t xml:space="preserve"> the house of Saul and between the house of David, and the house of David was going and growing strong, and the house of Saul was going and growing weak.</w:t>
      </w:r>
    </w:p>
    <w:p>
      <w:r>
        <w:rPr>
          <w:b/>
        </w:rPr>
        <w:t xml:space="preserve">2 </w:t>
      </w:r>
      <w:r>
        <w:t xml:space="preserve">And sons were born to David in Hebron, and his firstborn was Amnon</w:t>
      </w:r>
      <w:r>
        <w:rPr>
          <w:rStyle w:val="FootnoteReference"/>
        </w:rPr>
        <w:footnoteReference w:id="5755"/>
      </w:r>
      <w:r>
        <w:t xml:space="preserve"> by Ahinoam the Jezreelite,</w:t>
      </w:r>
      <w:r>
        <w:rPr>
          <w:rStyle w:val="FootnoteReference"/>
        </w:rPr>
        <w:footnoteReference w:id="5756"/>
      </w:r>
    </w:p>
    <w:p>
      <w:r>
        <w:rPr>
          <w:b/>
        </w:rPr>
        <w:t xml:space="preserve">3 </w:t>
      </w:r>
      <w:r>
        <w:t xml:space="preserve">and his second Dalouia by Abigail</w:t>
      </w:r>
      <w:r>
        <w:rPr>
          <w:rStyle w:val="FootnoteReference"/>
        </w:rPr>
        <w:footnoteReference w:id="5757"/>
      </w:r>
      <w:r>
        <w:t xml:space="preserve"> the Carmelite, and the third Absalom</w:t>
      </w:r>
      <w:r>
        <w:rPr>
          <w:rStyle w:val="FootnoteReference"/>
        </w:rPr>
        <w:footnoteReference w:id="5758"/>
      </w:r>
      <w:r>
        <w:t xml:space="preserve"> son of Maachah daughter of Talmai king of Gesir,</w:t>
      </w:r>
    </w:p>
    <w:p>
      <w:r>
        <w:rPr>
          <w:b/>
        </w:rPr>
        <w:t xml:space="preserve">4 </w:t>
      </w:r>
      <w:r>
        <w:t xml:space="preserve">and the fourth Adonijah</w:t>
      </w:r>
      <w:r>
        <w:rPr>
          <w:rStyle w:val="FootnoteReference"/>
        </w:rPr>
        <w:footnoteReference w:id="5759"/>
      </w:r>
      <w:r>
        <w:t xml:space="preserve"> son of Haggith</w:t>
      </w:r>
      <w:r>
        <w:rPr>
          <w:rStyle w:val="FootnoteReference"/>
        </w:rPr>
        <w:footnoteReference w:id="5760"/>
      </w:r>
      <w:r>
        <w:t xml:space="preserve">, and the fifth Shephatiah</w:t>
      </w:r>
      <w:r>
        <w:rPr>
          <w:rStyle w:val="FootnoteReference"/>
        </w:rPr>
        <w:footnoteReference w:id="5761"/>
      </w:r>
      <w:r>
        <w:t xml:space="preserve"> by Abital</w:t>
      </w:r>
      <w:r>
        <w:rPr>
          <w:rStyle w:val="FootnoteReference"/>
        </w:rPr>
        <w:footnoteReference w:id="5762"/>
      </w:r>
      <w:r>
        <w:t xml:space="preserve">,</w:t>
      </w:r>
      <w:r>
        <w:rPr>
          <w:rStyle w:val="FootnoteReference"/>
        </w:rPr>
        <w:footnoteReference w:id="5763"/>
      </w:r>
    </w:p>
    <w:p>
      <w:r>
        <w:rPr>
          <w:b/>
        </w:rPr>
        <w:t xml:space="preserve">5 </w:t>
      </w:r>
      <w:r>
        <w:t xml:space="preserve">and the sixth Ietheraam by Aigla wife of David. These were born to David in Hebron.</w:t>
      </w:r>
    </w:p>
    <w:p>
      <w:r>
        <w:rPr>
          <w:b/>
        </w:rPr>
        <w:t xml:space="preserve">6 </w:t>
      </w:r>
      <w:r>
        <w:t xml:space="preserve">And it came to be while the war was between the house of Saul and between the house of David, Abner</w:t>
      </w:r>
      <w:r>
        <w:rPr>
          <w:rStyle w:val="FootnoteReference"/>
        </w:rPr>
        <w:footnoteReference w:id="5764"/>
      </w:r>
      <w:r>
        <w:t xml:space="preserve"> was holding strong the house of Saul.</w:t>
      </w:r>
    </w:p>
    <w:p>
      <w:r>
        <w:rPr>
          <w:b/>
        </w:rPr>
        <w:t xml:space="preserve">7 </w:t>
      </w:r>
      <w:r>
        <w:t xml:space="preserve">And Saul had a concubine, Rizpah</w:t>
      </w:r>
      <w:r>
        <w:rPr>
          <w:rStyle w:val="FootnoteReference"/>
        </w:rPr>
        <w:footnoteReference w:id="5765"/>
      </w:r>
      <w:r>
        <w:t xml:space="preserve"> daughter of Aiah</w:t>
      </w:r>
      <w:r>
        <w:rPr>
          <w:rStyle w:val="FootnoteReference"/>
        </w:rPr>
        <w:footnoteReference w:id="5766"/>
      </w:r>
      <w:r>
        <w:t xml:space="preserve">, and Ishbosheth</w:t>
      </w:r>
      <w:r>
        <w:rPr>
          <w:rStyle w:val="FootnoteReference"/>
        </w:rPr>
        <w:footnoteReference w:id="5767"/>
      </w:r>
      <w:r>
        <w:t xml:space="preserve"> son of Saul said to Abner, Why did you go in to my father’s concubine?</w:t>
      </w:r>
      <w:r>
        <w:rPr>
          <w:rStyle w:val="FootnoteReference"/>
        </w:rPr>
        <w:footnoteReference w:id="5768"/>
      </w:r>
    </w:p>
    <w:p>
      <w:r>
        <w:rPr>
          <w:b/>
        </w:rPr>
        <w:t xml:space="preserve">8 </w:t>
      </w:r>
      <w:r>
        <w:t xml:space="preserve">And Abner</w:t>
      </w:r>
      <w:r>
        <w:rPr>
          <w:rStyle w:val="FootnoteReference"/>
        </w:rPr>
        <w:footnoteReference w:id="5769"/>
      </w:r>
      <w:r>
        <w:t xml:space="preserve"> became very angry over the word of Ishbosheth and said to him, Am I a dog’s head? Today I did mercy with the house of Saul your father and with brothers and acquaintances, and I did not defect to the house of David, and yet you seek against me over the wrongdoing of a woman today.</w:t>
      </w:r>
      <w:r>
        <w:rPr>
          <w:rStyle w:val="FootnoteReference"/>
        </w:rPr>
        <w:footnoteReference w:id="5770"/>
      </w:r>
    </w:p>
    <w:p>
      <w:r>
        <w:rPr>
          <w:b/>
        </w:rPr>
        <w:t xml:space="preserve">9 </w:t>
      </w:r>
      <w:r>
        <w:t xml:space="preserve">Thus may God do to Abner and thus may he add to him, because as the Lord</w:t>
      </w:r>
      <w:r>
        <w:rPr>
          <w:rStyle w:val="FootnoteReference"/>
        </w:rPr>
        <w:footnoteReference w:id="5771"/>
      </w:r>
      <w:r>
        <w:t xml:space="preserve"> swore to David, thus I will do for him on this day,</w:t>
      </w:r>
    </w:p>
    <w:p>
      <w:r>
        <w:rPr>
          <w:b/>
        </w:rPr>
        <w:t xml:space="preserve">10 </w:t>
      </w:r>
      <w:r>
        <w:t xml:space="preserve">to take away the kingdom from the house of Saul and to raise up the throne of David over Israel and over Judah from Dan</w:t>
      </w:r>
      <w:r>
        <w:rPr>
          <w:rStyle w:val="FootnoteReference"/>
        </w:rPr>
        <w:footnoteReference w:id="5772"/>
      </w:r>
      <w:r>
        <w:t xml:space="preserve"> to Beersheba.</w:t>
      </w:r>
    </w:p>
    <w:p>
      <w:r>
        <w:rPr>
          <w:b/>
        </w:rPr>
        <w:t xml:space="preserve">11 </w:t>
      </w:r>
      <w:r>
        <w:t xml:space="preserve">And Ishbosheth was no longer able to answer Abner a word, because he feared him.</w:t>
      </w:r>
    </w:p>
    <w:p>
      <w:r>
        <w:rPr>
          <w:b/>
        </w:rPr>
        <w:t xml:space="preserve">12 </w:t>
      </w:r>
      <w:r>
        <w:t xml:space="preserve">And Abner sent messengers to David in Thailaim, where he was at once, saying, Make</w:t>
      </w:r>
      <w:r>
        <w:rPr>
          <w:rStyle w:val="FootnoteReference"/>
        </w:rPr>
        <w:footnoteReference w:id="5773"/>
      </w:r>
      <w:r>
        <w:t xml:space="preserve"> your covenant with me, and behold, my hand is with you, to turn all the house of Israel to you.</w:t>
      </w:r>
    </w:p>
    <w:p>
      <w:r>
        <w:rPr>
          <w:b/>
        </w:rPr>
        <w:t xml:space="preserve">13 </w:t>
      </w:r>
      <w:r>
        <w:t xml:space="preserve">And David said, I will well make a covenant with you; only one word I ask from you, saying, You will not see my face unless you bring Michal</w:t>
      </w:r>
      <w:r>
        <w:rPr>
          <w:rStyle w:val="FootnoteReference"/>
        </w:rPr>
        <w:footnoteReference w:id="5774"/>
      </w:r>
      <w:r>
        <w:t xml:space="preserve"> daughter of Saul when you come to see my face.</w:t>
      </w:r>
    </w:p>
    <w:p>
      <w:r>
        <w:rPr>
          <w:b/>
        </w:rPr>
        <w:t xml:space="preserve">14 </w:t>
      </w:r>
      <w:r>
        <w:t xml:space="preserve">And David sent messengers to Ishbosheth</w:t>
      </w:r>
      <w:r>
        <w:rPr>
          <w:rStyle w:val="FootnoteReference"/>
        </w:rPr>
        <w:footnoteReference w:id="5775"/>
      </w:r>
      <w:r>
        <w:t xml:space="preserve"> son of Saul, saying, Give back to me my wife Michal, whom I took for one hundred foreskins of foreigners.</w:t>
      </w:r>
    </w:p>
    <w:p>
      <w:r>
        <w:rPr>
          <w:b/>
        </w:rPr>
        <w:t xml:space="preserve">15 </w:t>
      </w:r>
      <w:r>
        <w:t xml:space="preserve">And Ishbosheth sent and took her from her husband, from Paltiel son of Laish.</w:t>
      </w:r>
    </w:p>
    <w:p>
      <w:r>
        <w:rPr>
          <w:b/>
        </w:rPr>
        <w:t xml:space="preserve">16 </w:t>
      </w:r>
      <w:r>
        <w:t xml:space="preserve">And her husband went with her, weeping behind her until Bahurim</w:t>
      </w:r>
      <w:r>
        <w:rPr>
          <w:rStyle w:val="FootnoteReference"/>
        </w:rPr>
        <w:footnoteReference w:id="5776"/>
      </w:r>
      <w:r>
        <w:t xml:space="preserve">, and Abner said to him, Go, return. And he returned.</w:t>
      </w:r>
      <w:r>
        <w:rPr>
          <w:rStyle w:val="FootnoteReference"/>
        </w:rPr>
        <w:footnoteReference w:id="5777"/>
      </w:r>
    </w:p>
    <w:p>
      <w:r>
        <w:rPr>
          <w:b/>
        </w:rPr>
        <w:t xml:space="preserve">17 </w:t>
      </w:r>
      <w:r>
        <w:t xml:space="preserve">And Abner spoke to the elders of Israel, saying, Yesterday and the third day you were seeking David to reign over you.</w:t>
      </w:r>
    </w:p>
    <w:p>
      <w:r>
        <w:rPr>
          <w:b/>
        </w:rPr>
        <w:t xml:space="preserve">18 </w:t>
      </w:r>
      <w:r>
        <w:t xml:space="preserve">And now do it, because the Lord spoke concerning David, saying, By the hand</w:t>
      </w:r>
      <w:r>
        <w:rPr>
          <w:rStyle w:val="FootnoteReference"/>
        </w:rPr>
        <w:footnoteReference w:id="5778"/>
      </w:r>
      <w:r>
        <w:t xml:space="preserve"> of my servant David I will save Israel from the hand of the foreigners and from the hand of all their enemies.</w:t>
      </w:r>
    </w:p>
    <w:p>
      <w:r>
        <w:rPr>
          <w:b/>
        </w:rPr>
        <w:t xml:space="preserve">19 </w:t>
      </w:r>
      <w:r>
        <w:t xml:space="preserve">And Abner spoke in the ears of Benjamin</w:t>
      </w:r>
      <w:r>
        <w:rPr>
          <w:rStyle w:val="FootnoteReference"/>
        </w:rPr>
        <w:footnoteReference w:id="5779"/>
      </w:r>
      <w:r>
        <w:t xml:space="preserve">, and Abner went to speak in the ears of David in Hebron all that pleased in the eyes of Israel and in the eyes of all the house of Benjamin.</w:t>
      </w:r>
    </w:p>
    <w:p>
      <w:r>
        <w:rPr>
          <w:b/>
        </w:rPr>
        <w:t xml:space="preserve">20 </w:t>
      </w:r>
      <w:r>
        <w:t xml:space="preserve">And Abner came to David</w:t>
      </w:r>
      <w:r>
        <w:rPr>
          <w:rStyle w:val="FootnoteReference"/>
        </w:rPr>
        <w:footnoteReference w:id="5780"/>
      </w:r>
      <w:r>
        <w:t xml:space="preserve"> in Hebron, and with him were twenty men, and David made a feast for Abner and for the men with him.</w:t>
      </w:r>
    </w:p>
    <w:p>
      <w:r>
        <w:rPr>
          <w:b/>
        </w:rPr>
        <w:t xml:space="preserve">21 </w:t>
      </w:r>
      <w:r>
        <w:t xml:space="preserve">And Abner said to David, I will rise now and go and gather to my lord the king</w:t>
      </w:r>
      <w:r>
        <w:rPr>
          <w:rStyle w:val="FootnoteReference"/>
        </w:rPr>
        <w:footnoteReference w:id="5781"/>
      </w:r>
      <w:r>
        <w:t xml:space="preserve"> all Israel, and I will make a covenant with you, and you will reign over</w:t>
      </w:r>
      <w:r>
        <w:rPr>
          <w:rStyle w:val="FootnoteReference"/>
        </w:rPr>
        <w:footnoteReference w:id="5782"/>
      </w:r>
      <w:r>
        <w:t xml:space="preserve"> all that your soul desires. And David sent Abner away, and he went in peace.</w:t>
      </w:r>
    </w:p>
    <w:p>
      <w:r>
        <w:rPr>
          <w:b/>
        </w:rPr>
        <w:t xml:space="preserve">22 </w:t>
      </w:r>
      <w:r>
        <w:t xml:space="preserve">And behold, the servants of David and Joab were coming from the raid and bringing much spoil with them</w:t>
      </w:r>
      <w:r>
        <w:rPr>
          <w:rStyle w:val="FootnoteReference"/>
        </w:rPr>
        <w:footnoteReference w:id="5783"/>
      </w:r>
      <w:r>
        <w:t xml:space="preserve">, and Abner was not with David in Hebron, because he had sent him away and he had gone in peace.</w:t>
      </w:r>
    </w:p>
    <w:p>
      <w:r>
        <w:rPr>
          <w:b/>
        </w:rPr>
        <w:t xml:space="preserve">23 </w:t>
      </w:r>
      <w:r>
        <w:t xml:space="preserve">And Joab and all his army were brought in, and it was reported to Joab, saying, Abner son of Ner came to David, and he sent him away, and he went in peace.</w:t>
      </w:r>
    </w:p>
    <w:p>
      <w:r>
        <w:rPr>
          <w:b/>
        </w:rPr>
        <w:t xml:space="preserve">24 </w:t>
      </w:r>
      <w:r>
        <w:t xml:space="preserve">And Joab came in to the king and said, What is this you have done? Behold, Abner came to you, and why did you send him away and he has gone in peace?</w:t>
      </w:r>
    </w:p>
    <w:p>
      <w:r>
        <w:rPr>
          <w:b/>
        </w:rPr>
        <w:t xml:space="preserve">25 </w:t>
      </w:r>
      <w:r>
        <w:t xml:space="preserve">Do you not know the evil of Abner son of Ner, that he came</w:t>
      </w:r>
      <w:r>
        <w:rPr>
          <w:rStyle w:val="FootnoteReference"/>
        </w:rPr>
        <w:footnoteReference w:id="5784"/>
      </w:r>
      <w:r>
        <w:t xml:space="preserve"> to deceive you and to know your going out and your coming in and to know all that you do?</w:t>
      </w:r>
    </w:p>
    <w:p>
      <w:r>
        <w:rPr>
          <w:b/>
        </w:rPr>
        <w:t xml:space="preserve">26 </w:t>
      </w:r>
      <w:r>
        <w:t xml:space="preserve">And Joab turned back from David and sent messengers after Abner, and they brought him back from the well of Seiram, and David did not know.</w:t>
      </w:r>
    </w:p>
    <w:p>
      <w:r>
        <w:rPr>
          <w:b/>
        </w:rPr>
        <w:t xml:space="preserve">27 </w:t>
      </w:r>
      <w:r>
        <w:t xml:space="preserve">And Abner returned to Hebron, and Joab turned him aside by the side of the gate to speak with him in ambush, and struck him there in the belly, and he died for the blood</w:t>
      </w:r>
      <w:r>
        <w:rPr>
          <w:rStyle w:val="FootnoteReference"/>
        </w:rPr>
        <w:footnoteReference w:id="5785"/>
      </w:r>
      <w:r>
        <w:t xml:space="preserve"> of Asahel brother of Joab.</w:t>
      </w:r>
    </w:p>
    <w:p>
      <w:r>
        <w:rPr>
          <w:b/>
        </w:rPr>
        <w:t xml:space="preserve">28 </w:t>
      </w:r>
      <w:r>
        <w:t xml:space="preserve">And David heard after this and said, Innocent am I and my kingdom from the Lord forever from the bloods of Abner son of Ner.</w:t>
      </w:r>
    </w:p>
    <w:p>
      <w:r>
        <w:rPr>
          <w:b/>
        </w:rPr>
        <w:t xml:space="preserve">29 </w:t>
      </w:r>
      <w:r>
        <w:t xml:space="preserve">Let them come down on the head of Joab and on all the house of his father, and let there</w:t>
      </w:r>
      <w:r>
        <w:rPr>
          <w:rStyle w:val="FootnoteReference"/>
        </w:rPr>
        <w:footnoteReference w:id="5786"/>
      </w:r>
      <w:r>
        <w:t xml:space="preserve"> not fail from the house of Joab one with discharge and leper and one holding a staff and one falling by the sword and one lacking breads</w:t>
      </w:r>
      <w:r>
        <w:rPr>
          <w:rStyle w:val="FootnoteReference"/>
        </w:rPr>
        <w:footnoteReference w:id="5787"/>
      </w:r>
      <w:r>
        <w:t xml:space="preserve">.</w:t>
      </w:r>
    </w:p>
    <w:p>
      <w:r>
        <w:rPr>
          <w:b/>
        </w:rPr>
        <w:t xml:space="preserve">30 </w:t>
      </w:r>
      <w:r>
        <w:t xml:space="preserve">And Joab and Abishai his brother were lying in wait for Abner, because he killed Asahel their brother in Gibeon in the battle.</w:t>
      </w:r>
    </w:p>
    <w:p>
      <w:r>
        <w:rPr>
          <w:b/>
        </w:rPr>
        <w:t xml:space="preserve">31 </w:t>
      </w:r>
      <w:r>
        <w:t xml:space="preserve">And David said to Joab and to all the people with him, Tear your garments and gird on sackcloth and mourn before Abner. And King David was going behind the bier</w:t>
      </w:r>
      <w:r>
        <w:rPr>
          <w:rStyle w:val="FootnoteReference"/>
        </w:rPr>
        <w:footnoteReference w:id="5788"/>
      </w:r>
      <w:r>
        <w:t xml:space="preserve">.</w:t>
      </w:r>
    </w:p>
    <w:p>
      <w:r>
        <w:rPr>
          <w:b/>
        </w:rPr>
        <w:t xml:space="preserve">32 </w:t>
      </w:r>
      <w:r>
        <w:t xml:space="preserve">And they bury Abner in Hebron, and the king lifted</w:t>
      </w:r>
      <w:r>
        <w:rPr>
          <w:rStyle w:val="FootnoteReference"/>
        </w:rPr>
        <w:footnoteReference w:id="5789"/>
      </w:r>
      <w:r>
        <w:t xml:space="preserve"> up his voice and wept over his tomb, and all the people wept over Abner.</w:t>
      </w:r>
    </w:p>
    <w:p>
      <w:r>
        <w:rPr>
          <w:b/>
        </w:rPr>
        <w:t xml:space="preserve">33 </w:t>
      </w:r>
      <w:r>
        <w:t xml:space="preserve">And the king lamented over Abner and said, Should Abner die according to the death of Nabal?</w:t>
      </w:r>
    </w:p>
    <w:p>
      <w:r>
        <w:rPr>
          <w:b/>
        </w:rPr>
        <w:t xml:space="preserve">34 </w:t>
      </w:r>
      <w:r>
        <w:t xml:space="preserve">Your hands</w:t>
      </w:r>
      <w:r>
        <w:rPr>
          <w:rStyle w:val="FootnoteReference"/>
        </w:rPr>
        <w:footnoteReference w:id="5790"/>
      </w:r>
      <w:r>
        <w:t xml:space="preserve"> were not bound, your feet were not in fetters; you fell as Nabal falls before the sons of wrongdoing. And all the people gathered to weep for him.</w:t>
      </w:r>
    </w:p>
    <w:p>
      <w:r>
        <w:rPr>
          <w:b/>
        </w:rPr>
        <w:t xml:space="preserve">35 </w:t>
      </w:r>
      <w:r>
        <w:t xml:space="preserve">And all the people came to make David dine with breads while it was still day, and David swore, saying, Thus may God do to me and thus may he add, if before the sun goes down I taste bread or anything whatever.</w:t>
      </w:r>
    </w:p>
    <w:p>
      <w:r>
        <w:rPr>
          <w:b/>
        </w:rPr>
        <w:t xml:space="preserve">36 </w:t>
      </w:r>
      <w:r>
        <w:t xml:space="preserve">And all the people knew, and it was pleasing before them, all that the king did before the people.</w:t>
      </w:r>
    </w:p>
    <w:p>
      <w:r>
        <w:rPr>
          <w:b/>
        </w:rPr>
        <w:t xml:space="preserve">37 </w:t>
      </w:r>
      <w:r>
        <w:t xml:space="preserve">And all the people and all Israel knew on that day that it did not come from the king to put Abner son of Ner to death.</w:t>
      </w:r>
    </w:p>
    <w:p>
      <w:r>
        <w:rPr>
          <w:b/>
        </w:rPr>
        <w:t xml:space="preserve">38 </w:t>
      </w:r>
      <w:r>
        <w:t xml:space="preserve">And the king said to his servants, Do you not know that a great leader has fallen on this day in Israel?</w:t>
      </w:r>
    </w:p>
    <w:p>
      <w:r>
        <w:rPr>
          <w:b/>
        </w:rPr>
        <w:t xml:space="preserve">39 </w:t>
      </w:r>
      <w:r>
        <w:t xml:space="preserve">And I am today a relative and appointed by a king, but these men, sons of Zeruiah, are harsher than I. The Lord</w:t>
      </w:r>
      <w:r>
        <w:rPr>
          <w:rStyle w:val="FootnoteReference"/>
        </w:rPr>
        <w:footnoteReference w:id="5791"/>
      </w:r>
      <w:r>
        <w:t xml:space="preserve"> will repay the one doing evil according to his evil.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Ishbosheth son of Saul heard that Abner had died in Hebron, and his hands</w:t>
      </w:r>
      <w:r>
        <w:rPr>
          <w:rStyle w:val="FootnoteReference"/>
        </w:rPr>
        <w:footnoteReference w:id="5792"/>
      </w:r>
      <w:r>
        <w:t xml:space="preserve"> were loosed, and all the men of Israel were let down.</w:t>
      </w:r>
    </w:p>
    <w:p>
      <w:r>
        <w:rPr>
          <w:b/>
        </w:rPr>
        <w:t xml:space="preserve">2 </w:t>
      </w:r>
      <w:r>
        <w:t xml:space="preserve">And there were two men, leaders of bands</w:t>
      </w:r>
      <w:r>
        <w:rPr>
          <w:rStyle w:val="FootnoteReference"/>
        </w:rPr>
        <w:footnoteReference w:id="5793"/>
      </w:r>
      <w:r>
        <w:t xml:space="preserve">, belonging to Ishbosheth son of Saul; the name of the one was Baana</w:t>
      </w:r>
      <w:r>
        <w:rPr>
          <w:rStyle w:val="FootnoteReference"/>
        </w:rPr>
        <w:footnoteReference w:id="5794"/>
      </w:r>
      <w:r>
        <w:t xml:space="preserve"> and the name of the second Rechab, sons of Rimmon the Beerothite</w:t>
      </w:r>
      <w:r>
        <w:rPr>
          <w:rStyle w:val="FootnoteReference"/>
        </w:rPr>
        <w:footnoteReference w:id="5795"/>
      </w:r>
      <w:r>
        <w:t xml:space="preserve">, from the sons of Benjamin, because Beeroth</w:t>
      </w:r>
      <w:r>
        <w:rPr>
          <w:rStyle w:val="FootnoteReference"/>
        </w:rPr>
        <w:footnoteReference w:id="5796"/>
      </w:r>
      <w:r>
        <w:t xml:space="preserve"> was reckoned to the sons of Benjamin.</w:t>
      </w:r>
    </w:p>
    <w:p>
      <w:r>
        <w:rPr>
          <w:b/>
        </w:rPr>
        <w:t xml:space="preserve">3 </w:t>
      </w:r>
      <w:r>
        <w:t xml:space="preserve">And the Beerothites</w:t>
      </w:r>
      <w:r>
        <w:rPr>
          <w:rStyle w:val="FootnoteReference"/>
        </w:rPr>
        <w:footnoteReference w:id="5797"/>
      </w:r>
      <w:r>
        <w:t xml:space="preserve"> fled into Gittaim and were sojourning there until this day.</w:t>
      </w:r>
    </w:p>
    <w:p>
      <w:r>
        <w:rPr>
          <w:b/>
        </w:rPr>
        <w:t xml:space="preserve">4 </w:t>
      </w:r>
      <w:r>
        <w:t xml:space="preserve">And to Jonathan</w:t>
      </w:r>
      <w:r>
        <w:rPr>
          <w:rStyle w:val="FootnoteReference"/>
        </w:rPr>
        <w:footnoteReference w:id="5798"/>
      </w:r>
      <w:r>
        <w:t xml:space="preserve"> son of Saul there was a son, stricken in the feet, five years old. He was this age when the news came of Saul and Jonathan his son from Jezreel, and his nurse took him up and fled. And it came to be as she hurried and withdrew, he fell and became lame, and his name was Mephibosheth</w:t>
      </w:r>
      <w:r>
        <w:rPr>
          <w:rStyle w:val="FootnoteReference"/>
        </w:rPr>
        <w:footnoteReference w:id="5799"/>
      </w:r>
      <w:r>
        <w:t xml:space="preserve">.</w:t>
      </w:r>
      <w:r>
        <w:rPr>
          <w:rStyle w:val="FootnoteReference"/>
        </w:rPr>
        <w:footnoteReference w:id="5800"/>
      </w:r>
      <w:r>
        <w:rPr>
          <w:rStyle w:val="FootnoteReference"/>
        </w:rPr>
        <w:footnoteReference w:id="5801"/>
      </w:r>
    </w:p>
    <w:p>
      <w:r>
        <w:rPr>
          <w:b/>
        </w:rPr>
        <w:t xml:space="preserve">5 </w:t>
      </w:r>
      <w:r>
        <w:t xml:space="preserve">And sons of Rimmon the Beerothite, Rechab and Baana, went</w:t>
      </w:r>
      <w:r>
        <w:rPr>
          <w:rStyle w:val="FootnoteReference"/>
        </w:rPr>
        <w:footnoteReference w:id="5802"/>
      </w:r>
      <w:r>
        <w:t xml:space="preserve"> and entered in the heat of the day into the house of Ishbosheth, and he was sleeping on the bed at noon.</w:t>
      </w:r>
    </w:p>
    <w:p>
      <w:r>
        <w:rPr>
          <w:b/>
        </w:rPr>
        <w:t xml:space="preserve">6 </w:t>
      </w:r>
      <w:r>
        <w:t xml:space="preserve">And behold, the doorkeeper of the house was cleaning wheat and became drowsy and slept, and Rechab and Baana the brothers escaped notice.</w:t>
      </w:r>
      <w:r>
        <w:rPr>
          <w:rStyle w:val="FootnoteReference"/>
        </w:rPr>
        <w:footnoteReference w:id="5803"/>
      </w:r>
    </w:p>
    <w:p>
      <w:r>
        <w:rPr>
          <w:b/>
        </w:rPr>
        <w:t xml:space="preserve">7 </w:t>
      </w:r>
      <w:r>
        <w:t xml:space="preserve">And they entered into the house, and Ishbosheth was sleeping on his bed in his bedroom, and they strike him and kill him and remove his head, and they took his head</w:t>
      </w:r>
      <w:r>
        <w:rPr>
          <w:rStyle w:val="FootnoteReference"/>
        </w:rPr>
        <w:footnoteReference w:id="5804"/>
      </w:r>
      <w:r>
        <w:t xml:space="preserve"> and went the road westward all night.</w:t>
      </w:r>
    </w:p>
    <w:p>
      <w:r>
        <w:rPr>
          <w:b/>
        </w:rPr>
        <w:t xml:space="preserve">8 </w:t>
      </w:r>
      <w:r>
        <w:t xml:space="preserve">And they brought the head of Ishbosheth to David in Hebron and said to the king, Behold, the head of Ishbosheth son of Saul your enemy who sought</w:t>
      </w:r>
      <w:r>
        <w:rPr>
          <w:rStyle w:val="FootnoteReference"/>
        </w:rPr>
        <w:footnoteReference w:id="5805"/>
      </w:r>
      <w:r>
        <w:t xml:space="preserve"> your life, and the Lord has given to my lord the king vengeance from your enemies as this day, from Saul your enemy and from his seed.</w:t>
      </w:r>
      <w:r>
        <w:rPr>
          <w:rStyle w:val="FootnoteReference"/>
        </w:rPr>
        <w:footnoteReference w:id="5806"/>
      </w:r>
    </w:p>
    <w:p>
      <w:r>
        <w:rPr>
          <w:b/>
        </w:rPr>
        <w:t xml:space="preserve">9 </w:t>
      </w:r>
      <w:r>
        <w:t xml:space="preserve">And David answered Rechab and Baana his brother, sons of Rimmon the Beerothite, and said to them, As the Lord lives, who redeemed my life from every affliction,</w:t>
      </w:r>
    </w:p>
    <w:p>
      <w:r>
        <w:rPr>
          <w:b/>
        </w:rPr>
        <w:t xml:space="preserve">10 </w:t>
      </w:r>
      <w:r>
        <w:t xml:space="preserve">when the one reporting to me that Saul had died, and he was as one bringing good news before me, I seized him and killed him in Ziklag, to whom I should have given good-news payment.</w:t>
      </w:r>
    </w:p>
    <w:p>
      <w:r>
        <w:rPr>
          <w:b/>
        </w:rPr>
        <w:t xml:space="preserve">11 </w:t>
      </w:r>
      <w:r>
        <w:t xml:space="preserve">And now evil men have killed a righteous man in his house on his bed, and now I will seek out his blood from your hand and wipe you out from the earth.</w:t>
      </w:r>
    </w:p>
    <w:p>
      <w:r>
        <w:rPr>
          <w:b/>
        </w:rPr>
        <w:t xml:space="preserve">12 </w:t>
      </w:r>
      <w:r>
        <w:t xml:space="preserve">And David commanded his young men, and they kill them and cut off their hands and their feet and hanged</w:t>
      </w:r>
      <w:r>
        <w:rPr>
          <w:rStyle w:val="FootnoteReference"/>
        </w:rPr>
        <w:footnoteReference w:id="5807"/>
      </w:r>
      <w:r>
        <w:t xml:space="preserve"> them by the pool in Hebron. And they buried the head of Ishbosheth in the tomb of Abner son of Ner.</w:t>
      </w:r>
      <w:r>
        <w:rPr>
          <w:rStyle w:val="FootnoteReference"/>
        </w:rPr>
        <w:footnoteReference w:id="5808"/>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all the tribes of Israel come to David in Hebron and said to him, Behold, we are your bones and your flesh.</w:t>
      </w:r>
    </w:p>
    <w:p>
      <w:r>
        <w:rPr>
          <w:b/>
        </w:rPr>
        <w:t xml:space="preserve">2 </w:t>
      </w:r>
      <w:r>
        <w:t xml:space="preserve">And yesterday and the third day, while Saul was king over us, you were the one bringing out and bringing in Israel, and the Lord said to you, You will shepherd my people Israel</w:t>
      </w:r>
      <w:r>
        <w:rPr>
          <w:rStyle w:val="FootnoteReference"/>
        </w:rPr>
        <w:footnoteReference w:id="5809"/>
      </w:r>
      <w:r>
        <w:t xml:space="preserve">, and you will be leader over Israel.</w:t>
      </w:r>
    </w:p>
    <w:p>
      <w:r>
        <w:rPr>
          <w:b/>
        </w:rPr>
        <w:t xml:space="preserve">3 </w:t>
      </w:r>
      <w:r>
        <w:t xml:space="preserve">And all the elders of Israel come to the king in Hebron, and King David made</w:t>
      </w:r>
      <w:r>
        <w:rPr>
          <w:rStyle w:val="FootnoteReference"/>
        </w:rPr>
        <w:footnoteReference w:id="5810"/>
      </w:r>
      <w:r>
        <w:t xml:space="preserve"> a covenant with them in Hebron before the Lord, and they anointed David as king over all Israel.</w:t>
      </w:r>
    </w:p>
    <w:p>
      <w:r>
        <w:rPr>
          <w:b/>
        </w:rPr>
        <w:t xml:space="preserve">4 </w:t>
      </w:r>
      <w:r>
        <w:t xml:space="preserve">David was thirty</w:t>
      </w:r>
      <w:r>
        <w:rPr>
          <w:rStyle w:val="FootnoteReference"/>
        </w:rPr>
        <w:footnoteReference w:id="5811"/>
      </w:r>
      <w:r>
        <w:t xml:space="preserve"> years old when he began to reign, and he reigned forty years.</w:t>
      </w:r>
    </w:p>
    <w:p>
      <w:r>
        <w:rPr>
          <w:b/>
        </w:rPr>
        <w:t xml:space="preserve">5 </w:t>
      </w:r>
      <w:r>
        <w:t xml:space="preserve">In Hebron he reigned over Judah seven years</w:t>
      </w:r>
      <w:r>
        <w:rPr>
          <w:rStyle w:val="FootnoteReference"/>
        </w:rPr>
        <w:footnoteReference w:id="5812"/>
      </w:r>
      <w:r>
        <w:t xml:space="preserve"> and six months, and in Jerusalem he reigned thirty-three years over all Israel and Judah.</w:t>
      </w:r>
      <w:r>
        <w:rPr>
          <w:rStyle w:val="FootnoteReference"/>
        </w:rPr>
        <w:footnoteReference w:id="5813"/>
      </w:r>
    </w:p>
    <w:p>
      <w:r>
        <w:rPr>
          <w:b/>
        </w:rPr>
        <w:t xml:space="preserve">6 </w:t>
      </w:r>
      <w:r>
        <w:t xml:space="preserve">And David and his men went to Jerusalem</w:t>
      </w:r>
      <w:r>
        <w:rPr>
          <w:rStyle w:val="FootnoteReference"/>
        </w:rPr>
        <w:footnoteReference w:id="5814"/>
      </w:r>
      <w:r>
        <w:t xml:space="preserve">, to the Jebusite inhabiting the land, and it was said to David, You will not enter here, because the blind and the lame withstood him, saying, David will not enter here.</w:t>
      </w:r>
      <w:r>
        <w:rPr>
          <w:rStyle w:val="FootnoteReference"/>
        </w:rPr>
        <w:footnoteReference w:id="5815"/>
      </w:r>
    </w:p>
    <w:p>
      <w:r>
        <w:rPr>
          <w:b/>
        </w:rPr>
        <w:t xml:space="preserve">7 </w:t>
      </w:r>
      <w:r>
        <w:t xml:space="preserve">And David captured the stronghold of Zion</w:t>
      </w:r>
      <w:r>
        <w:rPr>
          <w:rStyle w:val="FootnoteReference"/>
        </w:rPr>
        <w:footnoteReference w:id="5816"/>
      </w:r>
      <w:r>
        <w:t xml:space="preserve">; this is the City of David.</w:t>
      </w:r>
    </w:p>
    <w:p>
      <w:r>
        <w:rPr>
          <w:b/>
        </w:rPr>
        <w:t xml:space="preserve">8 </w:t>
      </w:r>
      <w:r>
        <w:t xml:space="preserve">And David said on that day, Everyone striking a Jebusite, let him touch with the dagger both the lame and the blind and the ones hating the soul of David. Because of this they will say, Blind and lame will not enter into the house of the Lord.</w:t>
      </w:r>
      <w:r>
        <w:rPr>
          <w:rStyle w:val="FootnoteReference"/>
        </w:rPr>
        <w:footnoteReference w:id="5817"/>
      </w:r>
    </w:p>
    <w:p>
      <w:r>
        <w:rPr>
          <w:b/>
        </w:rPr>
        <w:t xml:space="preserve">9 </w:t>
      </w:r>
      <w:r>
        <w:t xml:space="preserve">And David settled in the stronghold, and it was called the City</w:t>
      </w:r>
      <w:r>
        <w:rPr>
          <w:rStyle w:val="FootnoteReference"/>
        </w:rPr>
        <w:footnoteReference w:id="5818"/>
      </w:r>
      <w:r>
        <w:t xml:space="preserve"> of David, and he built the city round about from the citadel and his own house.</w:t>
      </w:r>
    </w:p>
    <w:p>
      <w:r>
        <w:rPr>
          <w:b/>
        </w:rPr>
        <w:t xml:space="preserve">10 </w:t>
      </w:r>
      <w:r>
        <w:t xml:space="preserve">And David kept going, going on and growing great, and the Lord Almighty</w:t>
      </w:r>
      <w:r>
        <w:rPr>
          <w:rStyle w:val="FootnoteReference"/>
        </w:rPr>
        <w:footnoteReference w:id="5819"/>
      </w:r>
      <w:r>
        <w:t xml:space="preserve"> was with him.</w:t>
      </w:r>
      <w:r>
        <w:rPr>
          <w:rStyle w:val="FootnoteReference"/>
        </w:rPr>
        <w:footnoteReference w:id="5820"/>
      </w:r>
    </w:p>
    <w:p>
      <w:r>
        <w:rPr>
          <w:b/>
        </w:rPr>
        <w:t xml:space="preserve">11 </w:t>
      </w:r>
      <w:r>
        <w:t xml:space="preserve">And Hiram</w:t>
      </w:r>
      <w:r>
        <w:rPr>
          <w:rStyle w:val="FootnoteReference"/>
        </w:rPr>
        <w:footnoteReference w:id="5821"/>
      </w:r>
      <w:r>
        <w:t xml:space="preserve"> king of Tyre sent messengers to David and cedar woods and carpenters of woods and carpenters of stones, and they built a house for David.</w:t>
      </w:r>
      <w:r>
        <w:rPr>
          <w:rStyle w:val="FootnoteReference"/>
        </w:rPr>
        <w:footnoteReference w:id="5822"/>
      </w:r>
    </w:p>
    <w:p>
      <w:r>
        <w:rPr>
          <w:b/>
        </w:rPr>
        <w:t xml:space="preserve">12 </w:t>
      </w:r>
      <w:r>
        <w:t xml:space="preserve">And David</w:t>
      </w:r>
      <w:r>
        <w:rPr>
          <w:rStyle w:val="FootnoteReference"/>
        </w:rPr>
        <w:footnoteReference w:id="5823"/>
      </w:r>
      <w:r>
        <w:t xml:space="preserve"> knew that the Lord had prepared him as king over Israel and that his kingdom was lifted up for his people Israel.</w:t>
      </w:r>
    </w:p>
    <w:p>
      <w:r>
        <w:rPr>
          <w:b/>
        </w:rPr>
        <w:t xml:space="preserve">13 </w:t>
      </w:r>
      <w:r>
        <w:t xml:space="preserve">And David took still more wives and concubines from Jerusalem after he came from Hebron, and there came to be still more sons and daughters to David.</w:t>
      </w:r>
    </w:p>
    <w:p>
      <w:r>
        <w:rPr>
          <w:b/>
        </w:rPr>
        <w:t xml:space="preserve">14 </w:t>
      </w:r>
      <w:r>
        <w:t xml:space="preserve">And these are the names</w:t>
      </w:r>
      <w:r>
        <w:rPr>
          <w:rStyle w:val="FootnoteReference"/>
        </w:rPr>
        <w:footnoteReference w:id="5824"/>
      </w:r>
      <w:r>
        <w:t xml:space="preserve"> of the ones born to him in Jerusalem: Shammuah</w:t>
      </w:r>
      <w:r>
        <w:rPr>
          <w:rStyle w:val="FootnoteReference"/>
        </w:rPr>
        <w:footnoteReference w:id="5825"/>
      </w:r>
      <w:r>
        <w:t xml:space="preserve"> and Shobab</w:t>
      </w:r>
      <w:r>
        <w:rPr>
          <w:rStyle w:val="FootnoteReference"/>
        </w:rPr>
        <w:footnoteReference w:id="5826"/>
      </w:r>
      <w:r>
        <w:t xml:space="preserve"> and Nathan</w:t>
      </w:r>
      <w:r>
        <w:rPr>
          <w:rStyle w:val="FootnoteReference"/>
        </w:rPr>
        <w:footnoteReference w:id="5827"/>
      </w:r>
      <w:r>
        <w:t xml:space="preserve"> and Solomon,</w:t>
      </w:r>
    </w:p>
    <w:p>
      <w:r>
        <w:rPr>
          <w:b/>
        </w:rPr>
        <w:t xml:space="preserve">15 </w:t>
      </w:r>
      <w:r>
        <w:t xml:space="preserve">and Ibhar</w:t>
      </w:r>
      <w:r>
        <w:rPr>
          <w:rStyle w:val="FootnoteReference"/>
        </w:rPr>
        <w:footnoteReference w:id="5828"/>
      </w:r>
      <w:r>
        <w:t xml:space="preserve"> and Elishua</w:t>
      </w:r>
      <w:r>
        <w:rPr>
          <w:rStyle w:val="FootnoteReference"/>
        </w:rPr>
        <w:footnoteReference w:id="5829"/>
      </w:r>
      <w:r>
        <w:t xml:space="preserve"> and Nepheg and Iephies,</w:t>
      </w:r>
      <w:r>
        <w:rPr>
          <w:rStyle w:val="FootnoteReference"/>
        </w:rPr>
        <w:footnoteReference w:id="5830"/>
      </w:r>
    </w:p>
    <w:p>
      <w:r>
        <w:rPr>
          <w:b/>
        </w:rPr>
        <w:t xml:space="preserve">16 </w:t>
      </w:r>
      <w:r>
        <w:t xml:space="preserve">and Elishama and Eliada</w:t>
      </w:r>
      <w:r>
        <w:rPr>
          <w:rStyle w:val="FootnoteReference"/>
        </w:rPr>
        <w:footnoteReference w:id="5831"/>
      </w:r>
      <w:r>
        <w:t xml:space="preserve"> and Elpalet</w:t>
      </w:r>
      <w:r>
        <w:rPr>
          <w:rStyle w:val="FootnoteReference"/>
        </w:rPr>
        <w:footnoteReference w:id="5832"/>
      </w:r>
      <w:r>
        <w:t xml:space="preserve">, Samae, Iessibath, Nathan, Galamaan, Iebaar, Elishua, Eliphalet</w:t>
      </w:r>
      <w:r>
        <w:rPr>
          <w:rStyle w:val="FootnoteReference"/>
        </w:rPr>
        <w:footnoteReference w:id="5833"/>
      </w:r>
      <w:r>
        <w:t xml:space="preserve">, Nogahd, Nepheg, Ianatha, Leasamys, Baalimath, Elpalet.</w:t>
      </w:r>
      <w:r>
        <w:rPr>
          <w:rStyle w:val="FootnoteReference"/>
        </w:rPr>
        <w:footnoteReference w:id="5834"/>
      </w:r>
    </w:p>
    <w:p>
      <w:r>
        <w:rPr>
          <w:b/>
        </w:rPr>
        <w:t xml:space="preserve">17 </w:t>
      </w:r>
      <w:r>
        <w:t xml:space="preserve">And the foreigners heard that David had been anointed king over Israel, and all the foreigners went up to seek David, and David heard and went down into the stronghold.</w:t>
      </w:r>
    </w:p>
    <w:p>
      <w:r>
        <w:rPr>
          <w:b/>
        </w:rPr>
        <w:t xml:space="preserve">18 </w:t>
      </w:r>
      <w:r>
        <w:t xml:space="preserve">And the foreigners come and fell in the Valley</w:t>
      </w:r>
      <w:r>
        <w:rPr>
          <w:rStyle w:val="FootnoteReference"/>
        </w:rPr>
        <w:footnoteReference w:id="5835"/>
      </w:r>
      <w:r>
        <w:t xml:space="preserve"> of the Titans</w:t>
      </w:r>
      <w:r>
        <w:rPr>
          <w:rStyle w:val="FootnoteReference"/>
        </w:rPr>
        <w:footnoteReference w:id="5836"/>
      </w:r>
      <w:r>
        <w:t xml:space="preserve">.</w:t>
      </w:r>
    </w:p>
    <w:p>
      <w:r>
        <w:rPr>
          <w:b/>
        </w:rPr>
        <w:t xml:space="preserve">19 </w:t>
      </w:r>
      <w:r>
        <w:t xml:space="preserve">And David inquired</w:t>
      </w:r>
      <w:r>
        <w:rPr>
          <w:rStyle w:val="FootnoteReference"/>
        </w:rPr>
        <w:footnoteReference w:id="5837"/>
      </w:r>
      <w:r>
        <w:t xml:space="preserve"> through the Lord, saying, Shall I go up against the foreigners, and will you deliver them into my hands? And the Lord said to David, Go up, because in delivering I will deliver</w:t>
      </w:r>
      <w:r>
        <w:rPr>
          <w:rStyle w:val="FootnoteReference"/>
        </w:rPr>
        <w:footnoteReference w:id="5838"/>
      </w:r>
      <w:r>
        <w:t xml:space="preserve"> the foreigners into your hands.</w:t>
      </w:r>
    </w:p>
    <w:p>
      <w:r>
        <w:rPr>
          <w:b/>
        </w:rPr>
        <w:t xml:space="preserve">20 </w:t>
      </w:r>
      <w:r>
        <w:t xml:space="preserve">And David came from the upper breaches and struck the foreigners there, and David said, The Lord has broken through my enemies, the foreigners, before me, as waters break through. Because of this the name of that place was called Upper Breaches.</w:t>
      </w:r>
    </w:p>
    <w:p>
      <w:r>
        <w:rPr>
          <w:b/>
        </w:rPr>
        <w:t xml:space="preserve">21 </w:t>
      </w:r>
      <w:r>
        <w:t xml:space="preserve">And they leave their gods there, and David</w:t>
      </w:r>
      <w:r>
        <w:rPr>
          <w:rStyle w:val="FootnoteReference"/>
        </w:rPr>
        <w:footnoteReference w:id="5839"/>
      </w:r>
      <w:r>
        <w:t xml:space="preserve"> and the men with him took them.</w:t>
      </w:r>
    </w:p>
    <w:p>
      <w:r>
        <w:rPr>
          <w:b/>
        </w:rPr>
        <w:t xml:space="preserve">22 </w:t>
      </w:r>
      <w:r>
        <w:t xml:space="preserve">And the foreigners again added to go up and fell in the Valley of the Titans.</w:t>
      </w:r>
    </w:p>
    <w:p>
      <w:r>
        <w:rPr>
          <w:b/>
        </w:rPr>
        <w:t xml:space="preserve">23 </w:t>
      </w:r>
      <w:r>
        <w:t xml:space="preserve">And David inquired</w:t>
      </w:r>
      <w:r>
        <w:rPr>
          <w:rStyle w:val="FootnoteReference"/>
        </w:rPr>
        <w:footnoteReference w:id="5840"/>
      </w:r>
      <w:r>
        <w:t xml:space="preserve"> through the Lord, and the Lord said, You will not go up to meet them; turn away from them and come upon them near the grove of weeping.</w:t>
      </w:r>
    </w:p>
    <w:p>
      <w:r>
        <w:rPr>
          <w:b/>
        </w:rPr>
        <w:t xml:space="preserve">24 </w:t>
      </w:r>
      <w:r>
        <w:t xml:space="preserve">And it will be, when you hear the voice of the closing together of the grove of weeping, then you will go down to them, because then the Lord will go out before you to strike in the battle of the foreigners.</w:t>
      </w:r>
    </w:p>
    <w:p>
      <w:r>
        <w:rPr>
          <w:b/>
        </w:rPr>
        <w:t xml:space="preserve">25 </w:t>
      </w:r>
      <w:r>
        <w:t xml:space="preserve">And David did just as the Lord commanded him and struck the foreigners from Gibeon to the land of Gezer.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David gathered again every young man from Israel, about seventy thousand.</w:t>
      </w:r>
    </w:p>
    <w:p>
      <w:r>
        <w:rPr>
          <w:b/>
        </w:rPr>
        <w:t xml:space="preserve">2 </w:t>
      </w:r>
      <w:r>
        <w:t xml:space="preserve">And David rose and all the people with him from the leaders of Judah, in the ascent to bring up from there the ark of God, on which the name of the Lord of hosts seated upon the cherubim over it had been called.</w:t>
      </w:r>
    </w:p>
    <w:p>
      <w:r>
        <w:rPr>
          <w:b/>
        </w:rPr>
        <w:t xml:space="preserve">3 </w:t>
      </w:r>
      <w:r>
        <w:t xml:space="preserve">And they set the ark of the Lord on a new wagon and took it up from the house of Amminadab on the hill, and Uzzah</w:t>
      </w:r>
      <w:r>
        <w:rPr>
          <w:rStyle w:val="FootnoteReference"/>
        </w:rPr>
        <w:footnoteReference w:id="5841"/>
      </w:r>
      <w:r>
        <w:t xml:space="preserve"> and his brothers, sons of Amminadab, were leading the wagon.</w:t>
      </w:r>
    </w:p>
    <w:p>
      <w:r>
        <w:rPr>
          <w:b/>
        </w:rPr>
        <w:t xml:space="preserve">4 </w:t>
      </w:r>
      <w:r>
        <w:t xml:space="preserve">With the ark, and his brothers were going before the ark.</w:t>
      </w:r>
    </w:p>
    <w:p>
      <w:r>
        <w:rPr>
          <w:b/>
        </w:rPr>
        <w:t xml:space="preserve">5 </w:t>
      </w:r>
      <w:r>
        <w:t xml:space="preserve">And David</w:t>
      </w:r>
      <w:r>
        <w:rPr>
          <w:rStyle w:val="FootnoteReference"/>
        </w:rPr>
        <w:footnoteReference w:id="5842"/>
      </w:r>
      <w:r>
        <w:t xml:space="preserve"> and the sons of Israel were playing before the Lord with fitted instruments in strength and with songs and with lyres and with harps and with tambourines and with cymbals and with pipes.</w:t>
      </w:r>
    </w:p>
    <w:p>
      <w:r>
        <w:rPr>
          <w:b/>
        </w:rPr>
        <w:t xml:space="preserve">6 </w:t>
      </w:r>
      <w:r>
        <w:t xml:space="preserve">And they come as far as the threshing floor of Nachon</w:t>
      </w:r>
      <w:r>
        <w:rPr>
          <w:rStyle w:val="FootnoteReference"/>
        </w:rPr>
        <w:footnoteReference w:id="5843"/>
      </w:r>
      <w:r>
        <w:t xml:space="preserve">, and Uzzah stretched out his hand upon the ark of God to hold it and seized it, because the calf pulled it aside while holding it.</w:t>
      </w:r>
    </w:p>
    <w:p>
      <w:r>
        <w:rPr>
          <w:b/>
        </w:rPr>
        <w:t xml:space="preserve">7 </w:t>
      </w:r>
      <w:r>
        <w:t xml:space="preserve">And the Lord became angry at Uzzah, and God struck him there, and he died there beside the ark of the Lord before God.</w:t>
      </w:r>
      <w:r>
        <w:rPr>
          <w:rStyle w:val="FootnoteReference"/>
        </w:rPr>
        <w:footnoteReference w:id="5844"/>
      </w:r>
    </w:p>
    <w:p>
      <w:r>
        <w:rPr>
          <w:b/>
        </w:rPr>
        <w:t xml:space="preserve">8 </w:t>
      </w:r>
      <w:r>
        <w:t xml:space="preserve">And David was troubled because the Lord had made a breach with Uzzah, and that place was called Breach of Uzzah until this day.</w:t>
      </w:r>
    </w:p>
    <w:p>
      <w:r>
        <w:rPr>
          <w:b/>
        </w:rPr>
        <w:t xml:space="preserve">9 </w:t>
      </w:r>
      <w:r>
        <w:t xml:space="preserve">And David feared the Lord on that day, saying, How will the ark of the Lord enter to me?</w:t>
      </w:r>
    </w:p>
    <w:p>
      <w:r>
        <w:rPr>
          <w:b/>
        </w:rPr>
        <w:t xml:space="preserve">10 </w:t>
      </w:r>
      <w:r>
        <w:t xml:space="preserve">And David was not willing to turn aside the ark of the covenant of the Lord to himself into the City of David, and David turned it aside into the house of Obededom</w:t>
      </w:r>
      <w:r>
        <w:rPr>
          <w:rStyle w:val="FootnoteReference"/>
        </w:rPr>
        <w:footnoteReference w:id="5845"/>
      </w:r>
      <w:r>
        <w:t xml:space="preserve"> the Gittite</w:t>
      </w:r>
      <w:r>
        <w:rPr>
          <w:rStyle w:val="FootnoteReference"/>
        </w:rPr>
        <w:footnoteReference w:id="5846"/>
      </w:r>
      <w:r>
        <w:t xml:space="preserve">.</w:t>
      </w:r>
      <w:r>
        <w:rPr>
          <w:rStyle w:val="FootnoteReference"/>
        </w:rPr>
        <w:footnoteReference w:id="5847"/>
      </w:r>
    </w:p>
    <w:p>
      <w:r>
        <w:rPr>
          <w:b/>
        </w:rPr>
        <w:t xml:space="preserve">11 </w:t>
      </w:r>
      <w:r>
        <w:t xml:space="preserve">And the ark of the Lord sat in the house of Obededom the Gittite three months, and the Lord blessed</w:t>
      </w:r>
      <w:r>
        <w:rPr>
          <w:rStyle w:val="FootnoteReference"/>
        </w:rPr>
        <w:footnoteReference w:id="5848"/>
      </w:r>
      <w:r>
        <w:t xml:space="preserve"> the whole house of Obededom and all his things.</w:t>
      </w:r>
    </w:p>
    <w:p>
      <w:r>
        <w:rPr>
          <w:b/>
        </w:rPr>
        <w:t xml:space="preserve">12 </w:t>
      </w:r>
      <w:r>
        <w:t xml:space="preserve">And it was reported to King David, saying, The Lord has blessed the house of Obededom and all his things for the sake of the ark of God. And David went and brought up the ark of the Lord</w:t>
      </w:r>
      <w:r>
        <w:rPr>
          <w:rStyle w:val="FootnoteReference"/>
        </w:rPr>
        <w:footnoteReference w:id="5849"/>
      </w:r>
      <w:r>
        <w:t xml:space="preserve"> from the house of Obededom into the City of David with gladness.</w:t>
      </w:r>
    </w:p>
    <w:p>
      <w:r>
        <w:rPr>
          <w:b/>
        </w:rPr>
        <w:t xml:space="preserve">13 </w:t>
      </w:r>
      <w:r>
        <w:t xml:space="preserve">And with them were seven circles carrying the ark, and sacrifice: a calf and a lamb.</w:t>
      </w:r>
    </w:p>
    <w:p>
      <w:r>
        <w:rPr>
          <w:b/>
        </w:rPr>
        <w:t xml:space="preserve">14 </w:t>
      </w:r>
      <w:r>
        <w:t xml:space="preserve">And David was beating time with fitted instruments before the Lord, and David was clothed in an exquisite robe.</w:t>
      </w:r>
    </w:p>
    <w:p>
      <w:r>
        <w:rPr>
          <w:b/>
        </w:rPr>
        <w:t xml:space="preserve">15 </w:t>
      </w:r>
      <w:r>
        <w:t xml:space="preserve">And David</w:t>
      </w:r>
      <w:r>
        <w:rPr>
          <w:rStyle w:val="FootnoteReference"/>
        </w:rPr>
        <w:footnoteReference w:id="5850"/>
      </w:r>
      <w:r>
        <w:t xml:space="preserve"> and all the house of Israel brought up the ark of the Lord with shouting and with the voice of a trumpet.</w:t>
      </w:r>
    </w:p>
    <w:p>
      <w:r>
        <w:rPr>
          <w:b/>
        </w:rPr>
        <w:t xml:space="preserve">16 </w:t>
      </w:r>
      <w:r>
        <w:t xml:space="preserve">And it came to be, as the ark was coming as far as the City of David, Michal</w:t>
      </w:r>
      <w:r>
        <w:rPr>
          <w:rStyle w:val="FootnoteReference"/>
        </w:rPr>
        <w:footnoteReference w:id="5851"/>
      </w:r>
      <w:r>
        <w:t xml:space="preserve"> daughter of Saul was looking through the window, and she saw King David dancing and beating time before the Lord, and she counted him as nothing in her heart.</w:t>
      </w:r>
    </w:p>
    <w:p>
      <w:r>
        <w:rPr>
          <w:b/>
        </w:rPr>
        <w:t xml:space="preserve">17 </w:t>
      </w:r>
      <w:r>
        <w:t xml:space="preserve">And they bring the ark of the Lord and set it in its place in the midst of the tent that David pitched for it, and David offered</w:t>
      </w:r>
      <w:r>
        <w:rPr>
          <w:rStyle w:val="FootnoteReference"/>
        </w:rPr>
        <w:footnoteReference w:id="5852"/>
      </w:r>
      <w:r>
        <w:t xml:space="preserve"> whole burnt offerings before the Lord and peace offerings.</w:t>
      </w:r>
    </w:p>
    <w:p>
      <w:r>
        <w:rPr>
          <w:b/>
        </w:rPr>
        <w:t xml:space="preserve">18 </w:t>
      </w:r>
      <w:r>
        <w:t xml:space="preserve">And David finished offering the whole burnt offerings and the peace offerings and blessed the people in the name of the Lord of hosts.</w:t>
      </w:r>
    </w:p>
    <w:p>
      <w:r>
        <w:rPr>
          <w:b/>
        </w:rPr>
        <w:t xml:space="preserve">19 </w:t>
      </w:r>
      <w:r>
        <w:t xml:space="preserve">And he distributed to all the people, to all the host of Israel, from Dan to Beersheba, from man to woman, to each a cake of bread and a roasted cake and a pan-cake</w:t>
      </w:r>
      <w:r>
        <w:rPr>
          <w:rStyle w:val="FootnoteReference"/>
        </w:rPr>
        <w:footnoteReference w:id="5853"/>
      </w:r>
      <w:r>
        <w:t xml:space="preserve">, and all the people went away, each to his house.</w:t>
      </w:r>
    </w:p>
    <w:p>
      <w:r>
        <w:rPr>
          <w:b/>
        </w:rPr>
        <w:t xml:space="preserve">20 </w:t>
      </w:r>
      <w:r>
        <w:t xml:space="preserve">And David returned to bless</w:t>
      </w:r>
      <w:r>
        <w:rPr>
          <w:rStyle w:val="FootnoteReference"/>
        </w:rPr>
        <w:footnoteReference w:id="5854"/>
      </w:r>
      <w:r>
        <w:t xml:space="preserve"> his house, and Michal daughter of Saul came out to meet David and blessed him and said, How glorious today was the king of Israel, who was uncovered today in the eyes of the servant-girls of his servants, just as one of the dancers uncovers himself in being uncovered.</w:t>
      </w:r>
    </w:p>
    <w:p>
      <w:r>
        <w:rPr>
          <w:b/>
        </w:rPr>
        <w:t xml:space="preserve">21 </w:t>
      </w:r>
      <w:r>
        <w:t xml:space="preserve">And David said to Michal, I will dance before the Lord. Blessed be the Lord, who chose</w:t>
      </w:r>
      <w:r>
        <w:rPr>
          <w:rStyle w:val="FootnoteReference"/>
        </w:rPr>
        <w:footnoteReference w:id="5855"/>
      </w:r>
      <w:r>
        <w:t xml:space="preserve"> me over your father and over all his house, to appoint me as a leader over his people, over Israel, and I will play and dance</w:t>
      </w:r>
      <w:r>
        <w:rPr>
          <w:rStyle w:val="FootnoteReference"/>
        </w:rPr>
        <w:footnoteReference w:id="5856"/>
      </w:r>
      <w:r>
        <w:t xml:space="preserve"> before the Lord.</w:t>
      </w:r>
    </w:p>
    <w:p>
      <w:r>
        <w:rPr>
          <w:b/>
        </w:rPr>
        <w:t xml:space="preserve">22 </w:t>
      </w:r>
      <w:r>
        <w:t xml:space="preserve">And I will uncover myself still more thus, and I will be worthless in your eyes, but with the servant-girls of whom you spoke, with them I will be glorified.</w:t>
      </w:r>
    </w:p>
    <w:p>
      <w:r>
        <w:rPr>
          <w:b/>
        </w:rPr>
        <w:t xml:space="preserve">23 </w:t>
      </w:r>
      <w:r>
        <w:t xml:space="preserve">And to Michal</w:t>
      </w:r>
      <w:r>
        <w:rPr>
          <w:rStyle w:val="FootnoteReference"/>
        </w:rPr>
        <w:footnoteReference w:id="5857"/>
      </w:r>
      <w:r>
        <w:t xml:space="preserve"> daughter of Saul there came to be no child until the day of her death.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it came to be when the king sat in his house, and the Lord</w:t>
      </w:r>
      <w:r>
        <w:rPr>
          <w:rStyle w:val="FootnoteReference"/>
        </w:rPr>
        <w:footnoteReference w:id="5858"/>
      </w:r>
      <w:r>
        <w:t xml:space="preserve"> gave him inheritance-rest all around from all his enemies around him,</w:t>
      </w:r>
    </w:p>
    <w:p>
      <w:r>
        <w:rPr>
          <w:b/>
        </w:rPr>
        <w:t xml:space="preserve">2 </w:t>
      </w:r>
      <w:r>
        <w:t xml:space="preserve">that the king said to Nathan</w:t>
      </w:r>
      <w:r>
        <w:rPr>
          <w:rStyle w:val="FootnoteReference"/>
        </w:rPr>
        <w:footnoteReference w:id="5859"/>
      </w:r>
      <w:r>
        <w:t xml:space="preserve"> the prophet, Behold now, I dwell in a cedar house, and the ark of God sits in the midst of the tent.</w:t>
      </w:r>
    </w:p>
    <w:p>
      <w:r>
        <w:rPr>
          <w:b/>
        </w:rPr>
        <w:t xml:space="preserve">3 </w:t>
      </w:r>
      <w:r>
        <w:t xml:space="preserve">And Nathan said to the king, All things whatever are in your heart</w:t>
      </w:r>
      <w:r>
        <w:rPr>
          <w:rStyle w:val="FootnoteReference"/>
        </w:rPr>
        <w:footnoteReference w:id="5860"/>
      </w:r>
      <w:r>
        <w:t xml:space="preserve">, go and do, because the Lord is with you.</w:t>
      </w:r>
    </w:p>
    <w:p>
      <w:r>
        <w:rPr>
          <w:b/>
        </w:rPr>
        <w:t xml:space="preserve">4 </w:t>
      </w:r>
      <w:r>
        <w:t xml:space="preserve">And it came to be on that night</w:t>
      </w:r>
      <w:r>
        <w:rPr>
          <w:rStyle w:val="FootnoteReference"/>
        </w:rPr>
        <w:footnoteReference w:id="5861"/>
      </w:r>
      <w:r>
        <w:t xml:space="preserve">, the word of the Lord came to Nathan, saying,</w:t>
      </w:r>
    </w:p>
    <w:p>
      <w:r>
        <w:rPr>
          <w:b/>
        </w:rPr>
        <w:t xml:space="preserve">5 </w:t>
      </w:r>
      <w:r>
        <w:t xml:space="preserve">Go and say to my servant David, Thus says the Lord: You will not build me a house for my dwelling in it.</w:t>
      </w:r>
    </w:p>
    <w:p>
      <w:r>
        <w:rPr>
          <w:b/>
        </w:rPr>
        <w:t xml:space="preserve">6 </w:t>
      </w:r>
      <w:r>
        <w:t xml:space="preserve">Because I have not</w:t>
      </w:r>
      <w:r>
        <w:rPr>
          <w:rStyle w:val="FootnoteReference"/>
        </w:rPr>
        <w:footnoteReference w:id="5862"/>
      </w:r>
      <w:r>
        <w:t xml:space="preserve"> dwelt in a house from the day I brought up the sons of Israel from Egypt until this day, but I was walking about in lodging and in tent.</w:t>
      </w:r>
    </w:p>
    <w:p>
      <w:r>
        <w:rPr>
          <w:b/>
        </w:rPr>
        <w:t xml:space="preserve">7 </w:t>
      </w:r>
      <w:r>
        <w:t xml:space="preserve">In all the things through which I passed in all Israel, did I ever speak a word to one tribe of Israel</w:t>
      </w:r>
      <w:r>
        <w:rPr>
          <w:rStyle w:val="FootnoteReference"/>
        </w:rPr>
        <w:footnoteReference w:id="5863"/>
      </w:r>
      <w:r>
        <w:t xml:space="preserve"> whom I commanded to shepherd my people Israel, saying, Why have you not built me a cedar house?</w:t>
      </w:r>
    </w:p>
    <w:p>
      <w:r>
        <w:rPr>
          <w:b/>
        </w:rPr>
        <w:t xml:space="preserve">8 </w:t>
      </w:r>
      <w:r>
        <w:t xml:space="preserve">And now thus you will say to my servant David: Thus says the Lord Almighty, I took you from the fold of the sheep, for you to be leader over my people, over Israel.</w:t>
      </w:r>
    </w:p>
    <w:p>
      <w:r>
        <w:rPr>
          <w:b/>
        </w:rPr>
        <w:t xml:space="preserve">9 </w:t>
      </w:r>
      <w:r>
        <w:t xml:space="preserve">And I was</w:t>
      </w:r>
      <w:r>
        <w:rPr>
          <w:rStyle w:val="FootnoteReference"/>
        </w:rPr>
        <w:footnoteReference w:id="5864"/>
      </w:r>
      <w:r>
        <w:t xml:space="preserve"> with you in all things wherever you went, and I destroyed all your enemies from before you and made you a name like the name of the great ones upon the earth.</w:t>
      </w:r>
    </w:p>
    <w:p>
      <w:r>
        <w:rPr>
          <w:b/>
        </w:rPr>
        <w:t xml:space="preserve">10 </w:t>
      </w:r>
      <w:r>
        <w:t xml:space="preserve">And I will appoint a place for my people Israel, and I will plant him, and he will tabernacle by himself</w:t>
      </w:r>
      <w:r>
        <w:rPr>
          <w:rStyle w:val="FootnoteReference"/>
        </w:rPr>
        <w:footnoteReference w:id="5865"/>
      </w:r>
      <w:r>
        <w:t xml:space="preserve"> and will no longer be anxious, and a son of wrongdoing will no longer add to humble him as from the beginning,</w:t>
      </w:r>
    </w:p>
    <w:p>
      <w:r>
        <w:rPr>
          <w:b/>
        </w:rPr>
        <w:t xml:space="preserve">11 </w:t>
      </w:r>
      <w:r>
        <w:t xml:space="preserve">from the days when I appointed judges over my people Israel. And I will give you rest from all your enemies, and the Lord reports to you that you will build a house for him.</w:t>
      </w:r>
    </w:p>
    <w:p>
      <w:r>
        <w:rPr>
          <w:b/>
        </w:rPr>
        <w:t xml:space="preserve">12 </w:t>
      </w:r>
      <w:r>
        <w:t xml:space="preserve">And it will be, if your days are fulfilled and you sleep</w:t>
      </w:r>
      <w:r>
        <w:rPr>
          <w:rStyle w:val="FootnoteReference"/>
        </w:rPr>
        <w:footnoteReference w:id="5866"/>
      </w:r>
      <w:r>
        <w:t xml:space="preserve"> with your fathers, I will raise up your seed after you, who will be from your belly</w:t>
      </w:r>
      <w:r>
        <w:rPr>
          <w:rStyle w:val="FootnoteReference"/>
        </w:rPr>
        <w:footnoteReference w:id="5867"/>
      </w:r>
      <w:r>
        <w:t xml:space="preserve">, and I will make his kingdom ready.</w:t>
      </w:r>
    </w:p>
    <w:p>
      <w:r>
        <w:rPr>
          <w:b/>
        </w:rPr>
        <w:t xml:space="preserve">13 </w:t>
      </w:r>
      <w:r>
        <w:t xml:space="preserve">He will build a house for my name, and I will set upright his throne forever.</w:t>
      </w:r>
    </w:p>
    <w:p>
      <w:r>
        <w:rPr>
          <w:b/>
        </w:rPr>
        <w:t xml:space="preserve">14 </w:t>
      </w:r>
      <w:r>
        <w:t xml:space="preserve">I will be</w:t>
      </w:r>
      <w:r>
        <w:rPr>
          <w:rStyle w:val="FootnoteReference"/>
        </w:rPr>
        <w:footnoteReference w:id="5868"/>
      </w:r>
      <w:r>
        <w:t xml:space="preserve"> to him for a father, and he will be to me for a son, and if his wrongdoing comes, I will reprove him with the rod of men and with touches of the sons of men.</w:t>
      </w:r>
    </w:p>
    <w:p>
      <w:r>
        <w:rPr>
          <w:b/>
        </w:rPr>
        <w:t xml:space="preserve">15 </w:t>
      </w:r>
      <w:r>
        <w:t xml:space="preserve">But my</w:t>
      </w:r>
      <w:r>
        <w:rPr>
          <w:rStyle w:val="FootnoteReference"/>
        </w:rPr>
        <w:footnoteReference w:id="5869"/>
      </w:r>
      <w:r>
        <w:t xml:space="preserve"> mercy I will not remove from him, just as I removed it from those whom I removed from before my face.</w:t>
      </w:r>
    </w:p>
    <w:p>
      <w:r>
        <w:rPr>
          <w:b/>
        </w:rPr>
        <w:t xml:space="preserve">16 </w:t>
      </w:r>
      <w:r>
        <w:t xml:space="preserve">And his house and his kingdom will be made faithful forever before me, and his throne will be set upright forever.</w:t>
      </w:r>
    </w:p>
    <w:p>
      <w:r>
        <w:rPr>
          <w:b/>
        </w:rPr>
        <w:t xml:space="preserve">17 </w:t>
      </w:r>
      <w:r>
        <w:t xml:space="preserve">According to all these words and according to all this vision, thus Nathan spoke to David.</w:t>
      </w:r>
    </w:p>
    <w:p>
      <w:r>
        <w:rPr>
          <w:b/>
        </w:rPr>
        <w:t xml:space="preserve">18 </w:t>
      </w:r>
      <w:r>
        <w:t xml:space="preserve">And King David entered and sat before the Lord and said, Who am I</w:t>
      </w:r>
      <w:r>
        <w:rPr>
          <w:rStyle w:val="FootnoteReference"/>
        </w:rPr>
        <w:footnoteReference w:id="5870"/>
      </w:r>
      <w:r>
        <w:t xml:space="preserve">, my Lord, O Lord, and what is my house, that you have loved me up to these things?</w:t>
      </w:r>
    </w:p>
    <w:p>
      <w:r>
        <w:rPr>
          <w:b/>
        </w:rPr>
        <w:t xml:space="preserve">19 </w:t>
      </w:r>
      <w:r>
        <w:t xml:space="preserve">And this</w:t>
      </w:r>
      <w:r>
        <w:rPr>
          <w:rStyle w:val="FootnoteReference"/>
        </w:rPr>
        <w:footnoteReference w:id="5871"/>
      </w:r>
      <w:r>
        <w:t xml:space="preserve"> was made a very small thing before you, my Lord, O Lord, and you spoke concerning the house of your servant for a long time to come. And this is the law of the human</w:t>
      </w:r>
      <w:r>
        <w:rPr>
          <w:rStyle w:val="FootnoteReference"/>
        </w:rPr>
        <w:footnoteReference w:id="5872"/>
      </w:r>
      <w:r>
        <w:t xml:space="preserve">, my Lord, O Lord.</w:t>
      </w:r>
    </w:p>
    <w:p>
      <w:r>
        <w:rPr>
          <w:b/>
        </w:rPr>
        <w:t xml:space="preserve">20 </w:t>
      </w:r>
      <w:r>
        <w:t xml:space="preserve">And what will David add still to speak to you? And now you know your servant, my Lord, O Lord.</w:t>
      </w:r>
    </w:p>
    <w:p>
      <w:r>
        <w:rPr>
          <w:b/>
        </w:rPr>
        <w:t xml:space="preserve">21 </w:t>
      </w:r>
      <w:r>
        <w:t xml:space="preserve">For the sake of your word you have done and according to your heart you have done all this greatness to make it known to your servant.</w:t>
      </w:r>
    </w:p>
    <w:p>
      <w:r>
        <w:rPr>
          <w:b/>
        </w:rPr>
        <w:t xml:space="preserve">22 </w:t>
      </w:r>
      <w:r>
        <w:t xml:space="preserve">Because of making you great, my Lord, O Lord, because there is none</w:t>
      </w:r>
      <w:r>
        <w:rPr>
          <w:rStyle w:val="FootnoteReference"/>
        </w:rPr>
        <w:footnoteReference w:id="5873"/>
      </w:r>
      <w:r>
        <w:t xml:space="preserve"> like you, and there is no God besides you, in all things that we heard in our ears.</w:t>
      </w:r>
    </w:p>
    <w:p>
      <w:r>
        <w:rPr>
          <w:b/>
        </w:rPr>
        <w:t xml:space="preserve">23 </w:t>
      </w:r>
      <w:r>
        <w:t xml:space="preserve">And who is like your people Israel, another nation on the earth, as God led him to redeem for himself a people</w:t>
      </w:r>
      <w:r>
        <w:rPr>
          <w:rStyle w:val="FootnoteReference"/>
        </w:rPr>
        <w:footnoteReference w:id="5874"/>
      </w:r>
      <w:r>
        <w:t xml:space="preserve">, to set for yourself a name, to do greatness and splendor by driving out before your people whom you redeemed for yourself from Egypt nations and tents?</w:t>
      </w:r>
    </w:p>
    <w:p>
      <w:r>
        <w:rPr>
          <w:b/>
        </w:rPr>
        <w:t xml:space="preserve">24 </w:t>
      </w:r>
      <w:r>
        <w:t xml:space="preserve">And you prepared for yourself your people Israel as a people forever, and you, Lord, became for them as God.</w:t>
      </w:r>
    </w:p>
    <w:p>
      <w:r>
        <w:rPr>
          <w:b/>
        </w:rPr>
        <w:t xml:space="preserve">25 </w:t>
      </w:r>
      <w:r>
        <w:t xml:space="preserve">And now, my Lord, O Lord, the word that you spoke concerning your servant and his house, establish forever, O Lord Almighty, God of Israel, and now just as you spoke.</w:t>
      </w:r>
    </w:p>
    <w:p>
      <w:r>
        <w:rPr>
          <w:b/>
        </w:rPr>
        <w:t xml:space="preserve">26 </w:t>
      </w:r>
      <w:r>
        <w:t xml:space="preserve">May your name be magnified forever.</w:t>
      </w:r>
    </w:p>
    <w:p>
      <w:r>
        <w:rPr>
          <w:b/>
        </w:rPr>
        <w:t xml:space="preserve">27 </w:t>
      </w:r>
      <w:r>
        <w:t xml:space="preserve">Lord Almighty, God of Israel, you uncovered the ear of your servant, saying, I will build you a house. Because of this your servant found</w:t>
      </w:r>
      <w:r>
        <w:rPr>
          <w:rStyle w:val="FootnoteReference"/>
        </w:rPr>
        <w:footnoteReference w:id="5875"/>
      </w:r>
      <w:r>
        <w:t xml:space="preserve"> his heart to pray to you this prayer.</w:t>
      </w:r>
    </w:p>
    <w:p>
      <w:r>
        <w:rPr>
          <w:b/>
        </w:rPr>
        <w:t xml:space="preserve">28 </w:t>
      </w:r>
      <w:r>
        <w:t xml:space="preserve">And now, my Lord, O Lord, you are God, and your words will be true, and you spoke these good things concerning your servant.</w:t>
      </w:r>
    </w:p>
    <w:p>
      <w:r>
        <w:rPr>
          <w:b/>
        </w:rPr>
        <w:t xml:space="preserve">29 </w:t>
      </w:r>
      <w:r>
        <w:t xml:space="preserve">And now begin and bless</w:t>
      </w:r>
      <w:r>
        <w:rPr>
          <w:rStyle w:val="FootnoteReference"/>
        </w:rPr>
        <w:footnoteReference w:id="5876"/>
      </w:r>
      <w:r>
        <w:t xml:space="preserve"> the house of your servant, for it to be forever before you, because you, my Lord, O Lord, have spoken, and from your blessing the house of your servant will be blessed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it came to be after these things, David struck the foreigners and routed them, and David took the separated thing from the hand of the foreigners.</w:t>
      </w:r>
    </w:p>
    <w:p>
      <w:r>
        <w:rPr>
          <w:b/>
        </w:rPr>
        <w:t xml:space="preserve">2 </w:t>
      </w:r>
      <w:r>
        <w:t xml:space="preserve">And David struck Moab and measured</w:t>
      </w:r>
      <w:r>
        <w:rPr>
          <w:rStyle w:val="FootnoteReference"/>
        </w:rPr>
        <w:footnoteReference w:id="5877"/>
      </w:r>
      <w:r>
        <w:t xml:space="preserve"> them with lines, laying them on the ground, and there came to be the two line-measures for putting to death</w:t>
      </w:r>
      <w:r>
        <w:rPr>
          <w:rStyle w:val="FootnoteReference"/>
        </w:rPr>
        <w:footnoteReference w:id="5878"/>
      </w:r>
      <w:r>
        <w:t xml:space="preserve">, and the two line-measures he kept alive, and Moab became for David as servants bringing gifts.</w:t>
      </w:r>
    </w:p>
    <w:p>
      <w:r>
        <w:rPr>
          <w:b/>
        </w:rPr>
        <w:t xml:space="preserve">3 </w:t>
      </w:r>
      <w:r>
        <w:t xml:space="preserve">And David struck Hadadezer</w:t>
      </w:r>
      <w:r>
        <w:rPr>
          <w:rStyle w:val="FootnoteReference"/>
        </w:rPr>
        <w:footnoteReference w:id="5879"/>
      </w:r>
      <w:r>
        <w:t xml:space="preserve"> son of Rehob</w:t>
      </w:r>
      <w:r>
        <w:rPr>
          <w:rStyle w:val="FootnoteReference"/>
        </w:rPr>
        <w:footnoteReference w:id="5880"/>
      </w:r>
      <w:r>
        <w:t xml:space="preserve"> king of Zobah</w:t>
      </w:r>
      <w:r>
        <w:rPr>
          <w:rStyle w:val="FootnoteReference"/>
        </w:rPr>
        <w:footnoteReference w:id="5881"/>
      </w:r>
      <w:r>
        <w:t xml:space="preserve">, as he was going to set up his hand on the river Euphrates.</w:t>
      </w:r>
      <w:r>
        <w:rPr>
          <w:rStyle w:val="FootnoteReference"/>
        </w:rPr>
        <w:footnoteReference w:id="5882"/>
      </w:r>
    </w:p>
    <w:p>
      <w:r>
        <w:rPr>
          <w:b/>
        </w:rPr>
        <w:t xml:space="preserve">4 </w:t>
      </w:r>
      <w:r>
        <w:t xml:space="preserve">And David pre-took from his men one thousand chariots</w:t>
      </w:r>
      <w:r>
        <w:rPr>
          <w:rStyle w:val="FootnoteReference"/>
        </w:rPr>
        <w:footnoteReference w:id="5883"/>
      </w:r>
      <w:r>
        <w:t xml:space="preserve"> and seven thousand horsemen and twenty thousand footmen, and David lamed all the chariots, and from them one hundred chariots were left.</w:t>
      </w:r>
    </w:p>
    <w:p>
      <w:r>
        <w:rPr>
          <w:b/>
        </w:rPr>
        <w:t xml:space="preserve">5 </w:t>
      </w:r>
      <w:r>
        <w:t xml:space="preserve">And Syria of Damascus comes to help Hadadezer king of Zobah</w:t>
      </w:r>
      <w:r>
        <w:rPr>
          <w:rStyle w:val="FootnoteReference"/>
        </w:rPr>
        <w:footnoteReference w:id="5884"/>
      </w:r>
      <w:r>
        <w:t xml:space="preserve">, and David struck among the Syrians twenty-two thousand men.</w:t>
      </w:r>
    </w:p>
    <w:p>
      <w:r>
        <w:rPr>
          <w:b/>
        </w:rPr>
        <w:t xml:space="preserve">6 </w:t>
      </w:r>
      <w:r>
        <w:t xml:space="preserve">And David placed a garrison in Syria by Damascus, and Syria became</w:t>
      </w:r>
      <w:r>
        <w:rPr>
          <w:rStyle w:val="FootnoteReference"/>
        </w:rPr>
        <w:footnoteReference w:id="5885"/>
      </w:r>
      <w:r>
        <w:t xml:space="preserve"> to David as servants bringing gifts, and the Lord saved David in all things wherever he went.</w:t>
      </w:r>
    </w:p>
    <w:p>
      <w:r>
        <w:rPr>
          <w:b/>
        </w:rPr>
        <w:t xml:space="preserve">7 </w:t>
      </w:r>
      <w:r>
        <w:t xml:space="preserve">And David took the golden bracelets that were upon the servants of Hadadezer king of Zobah and brought them to Jerusalem. And Shishak</w:t>
      </w:r>
      <w:r>
        <w:rPr>
          <w:rStyle w:val="FootnoteReference"/>
        </w:rPr>
        <w:footnoteReference w:id="5886"/>
      </w:r>
      <w:r>
        <w:t xml:space="preserve"> king of Egypt took them when he came up to Jerusalem in the days of Rehoboam son of Solomon.</w:t>
      </w:r>
    </w:p>
    <w:p>
      <w:r>
        <w:rPr>
          <w:b/>
        </w:rPr>
        <w:t xml:space="preserve">8 </w:t>
      </w:r>
      <w:r>
        <w:t xml:space="preserve">And from Masbak, from the chosen cities of Hadadezer, King David took very much bronze. In it Solomon made the bronze sea and the pillars and the basins and all the vessels.</w:t>
      </w:r>
    </w:p>
    <w:p>
      <w:r>
        <w:rPr>
          <w:b/>
        </w:rPr>
        <w:t xml:space="preserve">9 </w:t>
      </w:r>
      <w:r>
        <w:t xml:space="preserve">And Toi</w:t>
      </w:r>
      <w:r>
        <w:rPr>
          <w:rStyle w:val="FootnoteReference"/>
        </w:rPr>
        <w:footnoteReference w:id="5887"/>
      </w:r>
      <w:r>
        <w:t xml:space="preserve"> king of Hamath</w:t>
      </w:r>
      <w:r>
        <w:rPr>
          <w:rStyle w:val="FootnoteReference"/>
        </w:rPr>
        <w:footnoteReference w:id="5888"/>
      </w:r>
      <w:r>
        <w:t xml:space="preserve"> heard that David struck all the force of Hadadezer,</w:t>
      </w:r>
    </w:p>
    <w:p>
      <w:r>
        <w:rPr>
          <w:b/>
        </w:rPr>
        <w:t xml:space="preserve">10 </w:t>
      </w:r>
      <w:r>
        <w:t xml:space="preserve">and Toi sent Joram</w:t>
      </w:r>
      <w:r>
        <w:rPr>
          <w:rStyle w:val="FootnoteReference"/>
        </w:rPr>
        <w:footnoteReference w:id="5889"/>
      </w:r>
      <w:r>
        <w:t xml:space="preserve"> his son to King David to ask him the things of peace</w:t>
      </w:r>
      <w:r>
        <w:rPr>
          <w:rStyle w:val="FootnoteReference"/>
        </w:rPr>
        <w:footnoteReference w:id="5890"/>
      </w:r>
      <w:r>
        <w:t xml:space="preserve"> and to bless him, because he had fought Hadadezer and struck him, because he was opposing Hadadezer. And in his hands were silver vessels and gold vessels and bronze vessels.</w:t>
      </w:r>
      <w:r>
        <w:rPr>
          <w:rStyle w:val="FootnoteReference"/>
        </w:rPr>
        <w:footnoteReference w:id="5891"/>
      </w:r>
    </w:p>
    <w:p>
      <w:r>
        <w:rPr>
          <w:b/>
        </w:rPr>
        <w:t xml:space="preserve">11 </w:t>
      </w:r>
      <w:r>
        <w:t xml:space="preserve">And King David consecrated these things to the Lord, along with the silver and along with the gold that he consecrated from all the cities that he subdued,</w:t>
      </w:r>
    </w:p>
    <w:p>
      <w:r>
        <w:rPr>
          <w:b/>
        </w:rPr>
        <w:t xml:space="preserve">12 </w:t>
      </w:r>
      <w:r>
        <w:t xml:space="preserve">from Edom and from the land of Moab and from the sons of Ammon and from the foreigners and from Amalek and from the spoils of Hadadezer son of Rehob king of Zobah.</w:t>
      </w:r>
    </w:p>
    <w:p>
      <w:r>
        <w:rPr>
          <w:b/>
        </w:rPr>
        <w:t xml:space="preserve">13 </w:t>
      </w:r>
      <w:r>
        <w:t xml:space="preserve">And David made a name, and on his return he struck Edom in Gaimel, eighteen thousand.</w:t>
      </w:r>
    </w:p>
    <w:p>
      <w:r>
        <w:rPr>
          <w:b/>
        </w:rPr>
        <w:t xml:space="preserve">14 </w:t>
      </w:r>
      <w:r>
        <w:t xml:space="preserve">And he placed a garrison in Edom; in all Edom he placed a garrison, and all the Edomites</w:t>
      </w:r>
      <w:r>
        <w:rPr>
          <w:rStyle w:val="FootnoteReference"/>
        </w:rPr>
        <w:footnoteReference w:id="5892"/>
      </w:r>
      <w:r>
        <w:t xml:space="preserve"> became servants to the king, and the Lord</w:t>
      </w:r>
      <w:r>
        <w:rPr>
          <w:rStyle w:val="FootnoteReference"/>
        </w:rPr>
        <w:footnoteReference w:id="5893"/>
      </w:r>
      <w:r>
        <w:t xml:space="preserve"> saved David in all things wherever he went.</w:t>
      </w:r>
    </w:p>
    <w:p>
      <w:r>
        <w:rPr>
          <w:b/>
        </w:rPr>
        <w:t xml:space="preserve">15 </w:t>
      </w:r>
      <w:r>
        <w:t xml:space="preserve">And David reigned over Israel, and David was doing judgment and righteousness over all his people.</w:t>
      </w:r>
    </w:p>
    <w:p>
      <w:r>
        <w:rPr>
          <w:b/>
        </w:rPr>
        <w:t xml:space="preserve">16 </w:t>
      </w:r>
      <w:r>
        <w:t xml:space="preserve">And Joab</w:t>
      </w:r>
      <w:r>
        <w:rPr>
          <w:rStyle w:val="FootnoteReference"/>
        </w:rPr>
        <w:footnoteReference w:id="5894"/>
      </w:r>
      <w:r>
        <w:t xml:space="preserve"> son of Zeruiah was over the army, and Jehoshaphat</w:t>
      </w:r>
      <w:r>
        <w:rPr>
          <w:rStyle w:val="FootnoteReference"/>
        </w:rPr>
        <w:footnoteReference w:id="5895"/>
      </w:r>
      <w:r>
        <w:t xml:space="preserve"> son of Ahijah was over the records,</w:t>
      </w:r>
    </w:p>
    <w:p>
      <w:r>
        <w:rPr>
          <w:b/>
        </w:rPr>
        <w:t xml:space="preserve">17 </w:t>
      </w:r>
      <w:r>
        <w:t xml:space="preserve">and Zadok</w:t>
      </w:r>
      <w:r>
        <w:rPr>
          <w:rStyle w:val="FootnoteReference"/>
        </w:rPr>
        <w:footnoteReference w:id="5896"/>
      </w:r>
      <w:r>
        <w:t xml:space="preserve"> son of Ahitub and Ahimelech son of Abiathar were priests, and Asa the scribe,</w:t>
      </w:r>
      <w:r>
        <w:rPr>
          <w:rStyle w:val="FootnoteReference"/>
        </w:rPr>
        <w:footnoteReference w:id="5897"/>
      </w:r>
    </w:p>
    <w:p>
      <w:r>
        <w:rPr>
          <w:b/>
        </w:rPr>
        <w:t xml:space="preserve">18 </w:t>
      </w:r>
      <w:r>
        <w:t xml:space="preserve">and Benaiah</w:t>
      </w:r>
      <w:r>
        <w:rPr>
          <w:rStyle w:val="FootnoteReference"/>
        </w:rPr>
        <w:footnoteReference w:id="5898"/>
      </w:r>
      <w:r>
        <w:t xml:space="preserve"> son of Jehoiada</w:t>
      </w:r>
      <w:r>
        <w:rPr>
          <w:rStyle w:val="FootnoteReference"/>
        </w:rPr>
        <w:footnoteReference w:id="5899"/>
      </w:r>
      <w:r>
        <w:t xml:space="preserve"> was counselor, and the Cherethites and the Pelethites</w:t>
      </w:r>
      <w:r>
        <w:rPr>
          <w:rStyle w:val="FootnoteReference"/>
        </w:rPr>
        <w:footnoteReference w:id="5900"/>
      </w:r>
      <w:r>
        <w:t xml:space="preserve">, and sons of David were chiefs of the court.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David said, Is there still one left of the house of Saul, that I may do mercy with him for the sake of Jonathan?</w:t>
      </w:r>
    </w:p>
    <w:p>
      <w:r>
        <w:rPr>
          <w:b/>
        </w:rPr>
        <w:t xml:space="preserve">2 </w:t>
      </w:r>
      <w:r>
        <w:t xml:space="preserve">And from the house of Saul there was a servant</w:t>
      </w:r>
      <w:r>
        <w:rPr>
          <w:rStyle w:val="FootnoteReference"/>
        </w:rPr>
        <w:footnoteReference w:id="5901"/>
      </w:r>
      <w:r>
        <w:t xml:space="preserve">, and his name was Ziba</w:t>
      </w:r>
      <w:r>
        <w:rPr>
          <w:rStyle w:val="FootnoteReference"/>
        </w:rPr>
        <w:footnoteReference w:id="5902"/>
      </w:r>
      <w:r>
        <w:t xml:space="preserve">, and they call him to David, and the king said to him, Are you Ziba? And he said, I am your servant.</w:t>
      </w:r>
    </w:p>
    <w:p>
      <w:r>
        <w:rPr>
          <w:b/>
        </w:rPr>
        <w:t xml:space="preserve">3 </w:t>
      </w:r>
      <w:r>
        <w:t xml:space="preserve">And the king said, Is there still a man left from the house of Saul, that I may do mercy of God with him? And Ziba said to the king, There is still a son for Jonathan, stricken in the feet.</w:t>
      </w:r>
    </w:p>
    <w:p>
      <w:r>
        <w:rPr>
          <w:b/>
        </w:rPr>
        <w:t xml:space="preserve">4 </w:t>
      </w:r>
      <w:r>
        <w:t xml:space="preserve">And the king said, Where is he? And Ziba said to the king, Behold, in the house of Machir</w:t>
      </w:r>
      <w:r>
        <w:rPr>
          <w:rStyle w:val="FootnoteReference"/>
        </w:rPr>
        <w:footnoteReference w:id="5903"/>
      </w:r>
      <w:r>
        <w:t xml:space="preserve"> son of Ammiel, from Lodebar</w:t>
      </w:r>
      <w:r>
        <w:rPr>
          <w:rStyle w:val="FootnoteReference"/>
        </w:rPr>
        <w:footnoteReference w:id="5904"/>
      </w:r>
      <w:r>
        <w:t xml:space="preserve">.</w:t>
      </w:r>
    </w:p>
    <w:p>
      <w:r>
        <w:rPr>
          <w:b/>
        </w:rPr>
        <w:t xml:space="preserve">5 </w:t>
      </w:r>
      <w:r>
        <w:t xml:space="preserve">And King David sent and took him from the house of Machir son of Ammiel, from Lodebar.</w:t>
      </w:r>
    </w:p>
    <w:p>
      <w:r>
        <w:rPr>
          <w:b/>
        </w:rPr>
        <w:t xml:space="preserve">6 </w:t>
      </w:r>
      <w:r>
        <w:t xml:space="preserve">And Mephibosheth</w:t>
      </w:r>
      <w:r>
        <w:rPr>
          <w:rStyle w:val="FootnoteReference"/>
        </w:rPr>
        <w:footnoteReference w:id="5905"/>
      </w:r>
      <w:r>
        <w:t xml:space="preserve"> son of Jonathan son of Saul comes to King David and fell on his face and bowed down to him, and David said to him, Mephibosheth. And he said, Behold, your servant.</w:t>
      </w:r>
    </w:p>
    <w:p>
      <w:r>
        <w:rPr>
          <w:b/>
        </w:rPr>
        <w:t xml:space="preserve">7 </w:t>
      </w:r>
      <w:r>
        <w:t xml:space="preserve">And David said to him, Do not fear, because in doing I will do mercy</w:t>
      </w:r>
      <w:r>
        <w:rPr>
          <w:rStyle w:val="FootnoteReference"/>
        </w:rPr>
        <w:footnoteReference w:id="5906"/>
      </w:r>
      <w:r>
        <w:t xml:space="preserve"> with you for the sake of Jonathan your father, and I will restore to you all the field of Saul father of your father, and you will eat bread</w:t>
      </w:r>
      <w:r>
        <w:rPr>
          <w:rStyle w:val="FootnoteReference"/>
        </w:rPr>
        <w:footnoteReference w:id="5907"/>
      </w:r>
      <w:r>
        <w:t xml:space="preserve"> at my table continually.</w:t>
      </w:r>
    </w:p>
    <w:p>
      <w:r>
        <w:rPr>
          <w:b/>
        </w:rPr>
        <w:t xml:space="preserve">8 </w:t>
      </w:r>
      <w:r>
        <w:t xml:space="preserve">And Mephibosheth bowed down and said, What am I, your servant, that you looked upon the dead dog, one like me?</w:t>
      </w:r>
    </w:p>
    <w:p>
      <w:r>
        <w:rPr>
          <w:b/>
        </w:rPr>
        <w:t xml:space="preserve">9 </w:t>
      </w:r>
      <w:r>
        <w:t xml:space="preserve">And the king called Ziba, the young servant of Saul, and said to him, All things whatever belong to Saul and to all his house I have given</w:t>
      </w:r>
      <w:r>
        <w:rPr>
          <w:rStyle w:val="FootnoteReference"/>
        </w:rPr>
        <w:footnoteReference w:id="5908"/>
      </w:r>
      <w:r>
        <w:t xml:space="preserve"> to the son of your lord.</w:t>
      </w:r>
    </w:p>
    <w:p>
      <w:r>
        <w:rPr>
          <w:b/>
        </w:rPr>
        <w:t xml:space="preserve">10 </w:t>
      </w:r>
      <w:r>
        <w:t xml:space="preserve">And work the land for him, you and your sons and your servants, and you will bring breads</w:t>
      </w:r>
      <w:r>
        <w:rPr>
          <w:rStyle w:val="FootnoteReference"/>
        </w:rPr>
        <w:footnoteReference w:id="5909"/>
      </w:r>
      <w:r>
        <w:t xml:space="preserve"> to the son of your lord, and he will eat them. And Mephibosheth son of your lord will continually eat bread at my table. And Ziba had fifteen sons and twenty servants.</w:t>
      </w:r>
    </w:p>
    <w:p>
      <w:r>
        <w:rPr>
          <w:b/>
        </w:rPr>
        <w:t xml:space="preserve">11 </w:t>
      </w:r>
      <w:r>
        <w:t xml:space="preserve">And Ziba</w:t>
      </w:r>
      <w:r>
        <w:rPr>
          <w:rStyle w:val="FootnoteReference"/>
        </w:rPr>
        <w:footnoteReference w:id="5910"/>
      </w:r>
      <w:r>
        <w:t xml:space="preserve"> said to the king, According to all things whatever my lord the king has commanded his servant, thus your servant will do. And Mephibosheth was eating at David’s table as one of the sons of the king.</w:t>
      </w:r>
    </w:p>
    <w:p>
      <w:r>
        <w:rPr>
          <w:b/>
        </w:rPr>
        <w:t xml:space="preserve">12 </w:t>
      </w:r>
      <w:r>
        <w:t xml:space="preserve">And to Mephibosheth there was a little son, and his name was Micha</w:t>
      </w:r>
      <w:r>
        <w:rPr>
          <w:rStyle w:val="FootnoteReference"/>
        </w:rPr>
        <w:footnoteReference w:id="5911"/>
      </w:r>
      <w:r>
        <w:t xml:space="preserve">, and all the dwelling of the house of Ziba were servants</w:t>
      </w:r>
      <w:r>
        <w:rPr>
          <w:rStyle w:val="FootnoteReference"/>
        </w:rPr>
        <w:footnoteReference w:id="5912"/>
      </w:r>
      <w:r>
        <w:t xml:space="preserve"> of Mephibosheth.</w:t>
      </w:r>
    </w:p>
    <w:p>
      <w:r>
        <w:rPr>
          <w:b/>
        </w:rPr>
        <w:t xml:space="preserve">13 </w:t>
      </w:r>
      <w:r>
        <w:t xml:space="preserve">And Mephibosheth lived in Jerusalem, because he continually was eating at the table of the king, and he was lame</w:t>
      </w:r>
      <w:r>
        <w:rPr>
          <w:rStyle w:val="FootnoteReference"/>
        </w:rPr>
        <w:footnoteReference w:id="5913"/>
      </w:r>
      <w:r>
        <w:t xml:space="preserve"> in both his feet.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it came to be after these things, the king of the sons of Ammon died, and Hanun</w:t>
      </w:r>
      <w:r>
        <w:rPr>
          <w:rStyle w:val="FootnoteReference"/>
        </w:rPr>
        <w:footnoteReference w:id="5914"/>
      </w:r>
      <w:r>
        <w:t xml:space="preserve"> his son reigned instead of him.</w:t>
      </w:r>
    </w:p>
    <w:p>
      <w:r>
        <w:rPr>
          <w:b/>
        </w:rPr>
        <w:t xml:space="preserve">2 </w:t>
      </w:r>
      <w:r>
        <w:t xml:space="preserve">And David said, I will do mercy with Hanun son of Nahash</w:t>
      </w:r>
      <w:r>
        <w:rPr>
          <w:rStyle w:val="FootnoteReference"/>
        </w:rPr>
        <w:footnoteReference w:id="5915"/>
      </w:r>
      <w:r>
        <w:t xml:space="preserve">, in the way his father did mercy with me. And David sent to comfort him by the hand of his servants concerning his father, and the servants of David came into the land of the sons of Ammon.</w:t>
      </w:r>
      <w:r>
        <w:rPr>
          <w:rStyle w:val="FootnoteReference"/>
        </w:rPr>
        <w:footnoteReference w:id="5916"/>
      </w:r>
    </w:p>
    <w:p>
      <w:r>
        <w:rPr>
          <w:b/>
        </w:rPr>
        <w:t xml:space="preserve">3 </w:t>
      </w:r>
      <w:r>
        <w:t xml:space="preserve">And the rulers of the sons of Ammon said to Hanun their lord, Is it to glorify your father before you that David sent comforters to you? Is it not to search the city and spy it out and inspect it</w:t>
      </w:r>
      <w:r>
        <w:rPr>
          <w:rStyle w:val="FootnoteReference"/>
        </w:rPr>
        <w:footnoteReference w:id="5917"/>
      </w:r>
      <w:r>
        <w:t xml:space="preserve"> that David sent his servants to you?</w:t>
      </w:r>
    </w:p>
    <w:p>
      <w:r>
        <w:rPr>
          <w:b/>
        </w:rPr>
        <w:t xml:space="preserve">4 </w:t>
      </w:r>
      <w:r>
        <w:t xml:space="preserve">And Hanun took the servants of David and shaved</w:t>
      </w:r>
      <w:r>
        <w:rPr>
          <w:rStyle w:val="FootnoteReference"/>
        </w:rPr>
        <w:footnoteReference w:id="5918"/>
      </w:r>
      <w:r>
        <w:t xml:space="preserve"> their beards and cut their cloaks in the middle up to their buttocks and sent them away.</w:t>
      </w:r>
    </w:p>
    <w:p>
      <w:r>
        <w:rPr>
          <w:b/>
        </w:rPr>
        <w:t xml:space="preserve">5 </w:t>
      </w:r>
      <w:r>
        <w:t xml:space="preserve">And they reported to David concerning the men, and he sent to meet them, because the men were very greatly dishonored. And the king said, Sit in Jericho</w:t>
      </w:r>
      <w:r>
        <w:rPr>
          <w:rStyle w:val="FootnoteReference"/>
        </w:rPr>
        <w:footnoteReference w:id="5919"/>
      </w:r>
      <w:r>
        <w:t xml:space="preserve"> until your beards grow, and then you will return.</w:t>
      </w:r>
    </w:p>
    <w:p>
      <w:r>
        <w:rPr>
          <w:b/>
        </w:rPr>
        <w:t xml:space="preserve">6 </w:t>
      </w:r>
      <w:r>
        <w:t xml:space="preserve">And the sons of Ammon saw that the people of David had been put to shame</w:t>
      </w:r>
      <w:r>
        <w:rPr>
          <w:rStyle w:val="FootnoteReference"/>
        </w:rPr>
        <w:footnoteReference w:id="5920"/>
      </w:r>
      <w:r>
        <w:t xml:space="preserve">, and the sons of Ammon sent and hired Syria of Bethrehob</w:t>
      </w:r>
      <w:r>
        <w:rPr>
          <w:rStyle w:val="FootnoteReference"/>
        </w:rPr>
        <w:footnoteReference w:id="5921"/>
      </w:r>
      <w:r>
        <w:t xml:space="preserve">, twenty thousand footmen, and the king of Maachah, one thousand men, and Ishtob</w:t>
      </w:r>
      <w:r>
        <w:rPr>
          <w:rStyle w:val="FootnoteReference"/>
        </w:rPr>
        <w:footnoteReference w:id="5922"/>
      </w:r>
      <w:r>
        <w:t xml:space="preserve">, twelve thousand men.</w:t>
      </w:r>
      <w:r>
        <w:rPr>
          <w:rStyle w:val="FootnoteReference"/>
        </w:rPr>
        <w:footnoteReference w:id="5923"/>
      </w:r>
    </w:p>
    <w:p>
      <w:r>
        <w:rPr>
          <w:b/>
        </w:rPr>
        <w:t xml:space="preserve">7 </w:t>
      </w:r>
      <w:r>
        <w:t xml:space="preserve">And David heard and sent Joab and all the force, the mighty men.</w:t>
      </w:r>
    </w:p>
    <w:p>
      <w:r>
        <w:rPr>
          <w:b/>
        </w:rPr>
        <w:t xml:space="preserve">8 </w:t>
      </w:r>
      <w:r>
        <w:t xml:space="preserve">And the sons of Ammon went out and arrayed for war by the entrance of the gate, and Syria of Zobah</w:t>
      </w:r>
      <w:r>
        <w:rPr>
          <w:rStyle w:val="FootnoteReference"/>
        </w:rPr>
        <w:footnoteReference w:id="5924"/>
      </w:r>
      <w:r>
        <w:t xml:space="preserve"> and Rehob</w:t>
      </w:r>
      <w:r>
        <w:rPr>
          <w:rStyle w:val="FootnoteReference"/>
        </w:rPr>
        <w:footnoteReference w:id="5925"/>
      </w:r>
      <w:r>
        <w:t xml:space="preserve"> and Ishtob and Maachah were alone in the field.</w:t>
      </w:r>
    </w:p>
    <w:p>
      <w:r>
        <w:rPr>
          <w:b/>
        </w:rPr>
        <w:t xml:space="preserve">9 </w:t>
      </w:r>
      <w:r>
        <w:t xml:space="preserve">And Joab saw that the front of the battle had come to be against him from the front opposite and from the rear, and he chose from all the young men of Israel and arrayed them opposite Syria.</w:t>
      </w:r>
    </w:p>
    <w:p>
      <w:r>
        <w:rPr>
          <w:b/>
        </w:rPr>
        <w:t xml:space="preserve">10 </w:t>
      </w:r>
      <w:r>
        <w:t xml:space="preserve">And the rest of the people he gave into the hand of Abishai his brother, and they arrayed opposite the sons of Ammon.</w:t>
      </w:r>
    </w:p>
    <w:p>
      <w:r>
        <w:rPr>
          <w:b/>
        </w:rPr>
        <w:t xml:space="preserve">11 </w:t>
      </w:r>
      <w:r>
        <w:t xml:space="preserve">And he said, If Syria grows strong beyond me, you will be for salvation to me, and if the sons of Ammon grow strong beyond you, we will be to save you.</w:t>
      </w:r>
    </w:p>
    <w:p>
      <w:r>
        <w:rPr>
          <w:b/>
        </w:rPr>
        <w:t xml:space="preserve">12 </w:t>
      </w:r>
      <w:r>
        <w:t xml:space="preserve">Be manly, and let us be strengthened for our people and for the cities of our God, and the Lord</w:t>
      </w:r>
      <w:r>
        <w:rPr>
          <w:rStyle w:val="FootnoteReference"/>
        </w:rPr>
        <w:footnoteReference w:id="5926"/>
      </w:r>
      <w:r>
        <w:t xml:space="preserve"> will do the good in his eyes.</w:t>
      </w:r>
    </w:p>
    <w:p>
      <w:r>
        <w:rPr>
          <w:b/>
        </w:rPr>
        <w:t xml:space="preserve">13 </w:t>
      </w:r>
      <w:r>
        <w:t xml:space="preserve">And Joab and the people with him came near to war against Syria, and they fled</w:t>
      </w:r>
      <w:r>
        <w:rPr>
          <w:rStyle w:val="FootnoteReference"/>
        </w:rPr>
        <w:footnoteReference w:id="5927"/>
      </w:r>
      <w:r>
        <w:t xml:space="preserve"> from before him.</w:t>
      </w:r>
    </w:p>
    <w:p>
      <w:r>
        <w:rPr>
          <w:b/>
        </w:rPr>
        <w:t xml:space="preserve">14 </w:t>
      </w:r>
      <w:r>
        <w:t xml:space="preserve">And the sons of Ammon saw that Syria fled, and they fled from before Abishai and entered into the city, and Joab returned from the sons of Ammon and came into Jerusalem.</w:t>
      </w:r>
    </w:p>
    <w:p>
      <w:r>
        <w:rPr>
          <w:b/>
        </w:rPr>
        <w:t xml:space="preserve">15 </w:t>
      </w:r>
      <w:r>
        <w:t xml:space="preserve">And Syria saw that it had stumbled before Israel, and they were gathered</w:t>
      </w:r>
      <w:r>
        <w:rPr>
          <w:rStyle w:val="FootnoteReference"/>
        </w:rPr>
        <w:footnoteReference w:id="5928"/>
      </w:r>
      <w:r>
        <w:t xml:space="preserve"> together.</w:t>
      </w:r>
    </w:p>
    <w:p>
      <w:r>
        <w:rPr>
          <w:b/>
        </w:rPr>
        <w:t xml:space="preserve">16 </w:t>
      </w:r>
      <w:r>
        <w:t xml:space="preserve">And Hadarezer</w:t>
      </w:r>
      <w:r>
        <w:rPr>
          <w:rStyle w:val="FootnoteReference"/>
        </w:rPr>
        <w:footnoteReference w:id="5929"/>
      </w:r>
      <w:r>
        <w:t xml:space="preserve"> sent and gathered Syria from beyond the river Helam</w:t>
      </w:r>
      <w:r>
        <w:rPr>
          <w:rStyle w:val="FootnoteReference"/>
        </w:rPr>
        <w:footnoteReference w:id="5930"/>
      </w:r>
      <w:r>
        <w:t xml:space="preserve">, and they came to Helam, and Shobach</w:t>
      </w:r>
      <w:r>
        <w:rPr>
          <w:rStyle w:val="FootnoteReference"/>
        </w:rPr>
        <w:footnoteReference w:id="5931"/>
      </w:r>
      <w:r>
        <w:t xml:space="preserve">, chief of the force of Hadarezer, was before them.</w:t>
      </w:r>
      <w:r>
        <w:rPr>
          <w:rStyle w:val="FootnoteReference"/>
        </w:rPr>
        <w:footnoteReference w:id="5932"/>
      </w:r>
    </w:p>
    <w:p>
      <w:r>
        <w:rPr>
          <w:b/>
        </w:rPr>
        <w:t xml:space="preserve">17 </w:t>
      </w:r>
      <w:r>
        <w:t xml:space="preserve">And it was reported to David, and he gathered</w:t>
      </w:r>
      <w:r>
        <w:rPr>
          <w:rStyle w:val="FootnoteReference"/>
        </w:rPr>
        <w:footnoteReference w:id="5933"/>
      </w:r>
      <w:r>
        <w:t xml:space="preserve"> all Israel and crossed the Jordan and came to Helam, and Syria arrayed opposite David and fought with him.</w:t>
      </w:r>
    </w:p>
    <w:p>
      <w:r>
        <w:rPr>
          <w:b/>
        </w:rPr>
        <w:t xml:space="preserve">18 </w:t>
      </w:r>
      <w:r>
        <w:t xml:space="preserve">And Syria fled</w:t>
      </w:r>
      <w:r>
        <w:rPr>
          <w:rStyle w:val="FootnoteReference"/>
        </w:rPr>
        <w:footnoteReference w:id="5934"/>
      </w:r>
      <w:r>
        <w:t xml:space="preserve"> from before Israel, and David killed from Syria seven hundred chariots and forty thousand horsemen, and Shobach the chief of his force he struck, and he died there.</w:t>
      </w:r>
    </w:p>
    <w:p>
      <w:r>
        <w:rPr>
          <w:b/>
        </w:rPr>
        <w:t xml:space="preserve">19 </w:t>
      </w:r>
      <w:r>
        <w:t xml:space="preserve">And all the kings, servants</w:t>
      </w:r>
      <w:r>
        <w:rPr>
          <w:rStyle w:val="FootnoteReference"/>
        </w:rPr>
        <w:footnoteReference w:id="5935"/>
      </w:r>
      <w:r>
        <w:t xml:space="preserve"> of Hadarezer, saw that they had stumbled before Israel, and they defected with Israel and served them</w:t>
      </w:r>
      <w:r>
        <w:rPr>
          <w:rStyle w:val="FootnoteReference"/>
        </w:rPr>
        <w:footnoteReference w:id="5936"/>
      </w:r>
      <w:r>
        <w:t xml:space="preserve">, and Syria feared to save the sons of Ammon still more.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it came to be at the turning of the year, at the season of the campaigns of kings, David sent</w:t>
      </w:r>
      <w:r>
        <w:rPr>
          <w:rStyle w:val="FootnoteReference"/>
        </w:rPr>
        <w:footnoteReference w:id="5937"/>
      </w:r>
      <w:r>
        <w:t xml:space="preserve"> Joab and his servants with him and all Israel, and they ravaged the sons of Ammon and sat down against Rabbah, but David sat in Jerusalem.</w:t>
      </w:r>
      <w:r>
        <w:rPr>
          <w:rStyle w:val="FootnoteReference"/>
        </w:rPr>
        <w:footnoteReference w:id="5938"/>
      </w:r>
    </w:p>
    <w:p>
      <w:r>
        <w:rPr>
          <w:b/>
        </w:rPr>
        <w:t xml:space="preserve">2 </w:t>
      </w:r>
      <w:r>
        <w:t xml:space="preserve">And it came to be toward evening, David rose from his bed and was walking on the roof of</w:t>
      </w:r>
      <w:r>
        <w:rPr>
          <w:rStyle w:val="FootnoteReference"/>
        </w:rPr>
        <w:footnoteReference w:id="5939"/>
      </w:r>
      <w:r>
        <w:t xml:space="preserve"> the king’s house, and from the roof he saw a woman bathing, and the woman was very beautiful in appearance</w:t>
      </w:r>
      <w:r>
        <w:rPr>
          <w:rStyle w:val="FootnoteReference"/>
        </w:rPr>
        <w:footnoteReference w:id="5940"/>
      </w:r>
      <w:r>
        <w:t xml:space="preserve">.</w:t>
      </w:r>
    </w:p>
    <w:p>
      <w:r>
        <w:rPr>
          <w:b/>
        </w:rPr>
        <w:t xml:space="preserve">3 </w:t>
      </w:r>
      <w:r>
        <w:t xml:space="preserve">And David sent</w:t>
      </w:r>
      <w:r>
        <w:rPr>
          <w:rStyle w:val="FootnoteReference"/>
        </w:rPr>
        <w:footnoteReference w:id="5941"/>
      </w:r>
      <w:r>
        <w:t xml:space="preserve"> and asked about the woman, and someone said, Is not this Bathsheba</w:t>
      </w:r>
      <w:r>
        <w:rPr>
          <w:rStyle w:val="FootnoteReference"/>
        </w:rPr>
        <w:footnoteReference w:id="5942"/>
      </w:r>
      <w:r>
        <w:t xml:space="preserve"> daughter of Eliab, wife of Uriah</w:t>
      </w:r>
      <w:r>
        <w:rPr>
          <w:rStyle w:val="FootnoteReference"/>
        </w:rPr>
        <w:footnoteReference w:id="5943"/>
      </w:r>
      <w:r>
        <w:t xml:space="preserve"> the Hittite?</w:t>
      </w:r>
      <w:r>
        <w:rPr>
          <w:rStyle w:val="FootnoteReference"/>
        </w:rPr>
        <w:footnoteReference w:id="5944"/>
      </w:r>
    </w:p>
    <w:p>
      <w:r>
        <w:rPr>
          <w:b/>
        </w:rPr>
        <w:t xml:space="preserve">4 </w:t>
      </w:r>
      <w:r>
        <w:t xml:space="preserve">And David sent messengers</w:t>
      </w:r>
      <w:r>
        <w:rPr>
          <w:rStyle w:val="FootnoteReference"/>
        </w:rPr>
        <w:footnoteReference w:id="5945"/>
      </w:r>
      <w:r>
        <w:t xml:space="preserve"> and took her, and he went in to her and lay with her, and she was sanctifying herself from her uncleanness, and she returned to her house.</w:t>
      </w:r>
    </w:p>
    <w:p>
      <w:r>
        <w:rPr>
          <w:b/>
        </w:rPr>
        <w:t xml:space="preserve">5 </w:t>
      </w:r>
      <w:r>
        <w:t xml:space="preserve">And the woman conceived, and having sent, she reported to David and said, I am with child</w:t>
      </w:r>
      <w:r>
        <w:rPr>
          <w:rStyle w:val="FootnoteReference"/>
        </w:rPr>
        <w:footnoteReference w:id="5946"/>
      </w:r>
      <w:r>
        <w:t xml:space="preserve">.</w:t>
      </w:r>
    </w:p>
    <w:p>
      <w:r>
        <w:rPr>
          <w:b/>
        </w:rPr>
        <w:t xml:space="preserve">6 </w:t>
      </w:r>
      <w:r>
        <w:t xml:space="preserve">And David sent to Joab, saying, Send to me Uriah the Hittite, and Joab sent Uriah to David.</w:t>
      </w:r>
    </w:p>
    <w:p>
      <w:r>
        <w:rPr>
          <w:b/>
        </w:rPr>
        <w:t xml:space="preserve">7 </w:t>
      </w:r>
      <w:r>
        <w:t xml:space="preserve">And Uriah comes and entered to him, and David asked concerning the peace of Joab and concerning the peace of the people and concerning the peace of the war.</w:t>
      </w:r>
    </w:p>
    <w:p>
      <w:r>
        <w:rPr>
          <w:b/>
        </w:rPr>
        <w:t xml:space="preserve">8 </w:t>
      </w:r>
      <w:r>
        <w:t xml:space="preserve">And David said to Uriah, Go down</w:t>
      </w:r>
      <w:r>
        <w:rPr>
          <w:rStyle w:val="FootnoteReference"/>
        </w:rPr>
        <w:footnoteReference w:id="5947"/>
      </w:r>
      <w:r>
        <w:t xml:space="preserve"> to your house and wash your feet. And Uriah went out from the king’s house, and the king’s carrying gift went out after him.</w:t>
      </w:r>
    </w:p>
    <w:p>
      <w:r>
        <w:rPr>
          <w:b/>
        </w:rPr>
        <w:t xml:space="preserve">9 </w:t>
      </w:r>
      <w:r>
        <w:t xml:space="preserve">And Uriah slept by the door of the king’s house with the servants of his lord, and he did not go down to his house.</w:t>
      </w:r>
    </w:p>
    <w:p>
      <w:r>
        <w:rPr>
          <w:b/>
        </w:rPr>
        <w:t xml:space="preserve">10 </w:t>
      </w:r>
      <w:r>
        <w:t xml:space="preserve">And they reported to David, saying that Uriah did not go down to his house, and David said to Uriah, Do you not come from a road? Why is it that you did not go down to your house?</w:t>
      </w:r>
    </w:p>
    <w:p>
      <w:r>
        <w:rPr>
          <w:b/>
        </w:rPr>
        <w:t xml:space="preserve">11 </w:t>
      </w:r>
      <w:r>
        <w:t xml:space="preserve">And Uriah said to David, The ark</w:t>
      </w:r>
      <w:r>
        <w:rPr>
          <w:rStyle w:val="FootnoteReference"/>
        </w:rPr>
        <w:footnoteReference w:id="5948"/>
      </w:r>
      <w:r>
        <w:t xml:space="preserve"> and Israel and Judah dwell in tents, and my lord Joab and the servants of my lord camp on the face of the field</w:t>
      </w:r>
      <w:r>
        <w:rPr>
          <w:rStyle w:val="FootnoteReference"/>
        </w:rPr>
        <w:footnoteReference w:id="5949"/>
      </w:r>
      <w:r>
        <w:t xml:space="preserve">, and shall I enter into my house to eat and drink and to lie with my wife? As your life lives, if I do this thing.</w:t>
      </w:r>
    </w:p>
    <w:p>
      <w:r>
        <w:rPr>
          <w:b/>
        </w:rPr>
        <w:t xml:space="preserve">12 </w:t>
      </w:r>
      <w:r>
        <w:t xml:space="preserve">And David said to Uriah, Sit here today also, and tomorrow I will send you away. And Uriah sat in Jerusalem on that day and the next day.</w:t>
      </w:r>
    </w:p>
    <w:p>
      <w:r>
        <w:rPr>
          <w:b/>
        </w:rPr>
        <w:t xml:space="preserve">13 </w:t>
      </w:r>
      <w:r>
        <w:t xml:space="preserve">And David called him, and he ate before him and drank, and he made him</w:t>
      </w:r>
      <w:r>
        <w:rPr>
          <w:rStyle w:val="FootnoteReference"/>
        </w:rPr>
        <w:footnoteReference w:id="5950"/>
      </w:r>
      <w:r>
        <w:t xml:space="preserve"> drunk, and he went out in the evening to lie on his bed with the servants of his lord, but to his own house he did not go down.</w:t>
      </w:r>
    </w:p>
    <w:p>
      <w:r>
        <w:rPr>
          <w:b/>
        </w:rPr>
        <w:t xml:space="preserve">14 </w:t>
      </w:r>
      <w:r>
        <w:t xml:space="preserve">And it came to be in the morning, David wrote a letter</w:t>
      </w:r>
      <w:r>
        <w:rPr>
          <w:rStyle w:val="FootnoteReference"/>
        </w:rPr>
        <w:footnoteReference w:id="5951"/>
      </w:r>
      <w:r>
        <w:t xml:space="preserve"> to Joab and sent it by the hand of Uriah.</w:t>
      </w:r>
    </w:p>
    <w:p>
      <w:r>
        <w:rPr>
          <w:b/>
        </w:rPr>
        <w:t xml:space="preserve">15 </w:t>
      </w:r>
      <w:r>
        <w:t xml:space="preserve">And he wrote in the letter, saying, Bring Uriah into the front of the hard battle and turn back from behind him, and he will be struck and die</w:t>
      </w:r>
      <w:r>
        <w:rPr>
          <w:rStyle w:val="FootnoteReference"/>
        </w:rPr>
        <w:footnoteReference w:id="5952"/>
      </w:r>
      <w:r>
        <w:t xml:space="preserve">.</w:t>
      </w:r>
    </w:p>
    <w:p>
      <w:r>
        <w:rPr>
          <w:b/>
        </w:rPr>
        <w:t xml:space="preserve">16 </w:t>
      </w:r>
      <w:r>
        <w:t xml:space="preserve">And it came to be while Joab was guarding the city, he put Uriah in the place where he knew men of strength were there.</w:t>
      </w:r>
    </w:p>
    <w:p>
      <w:r>
        <w:rPr>
          <w:b/>
        </w:rPr>
        <w:t xml:space="preserve">17 </w:t>
      </w:r>
      <w:r>
        <w:t xml:space="preserve">And the men of the city came out and were fighting with Joab, and some of the people from the servants of David fell, and also Uriah the Hittite died.</w:t>
      </w:r>
    </w:p>
    <w:p>
      <w:r>
        <w:rPr>
          <w:b/>
        </w:rPr>
        <w:t xml:space="preserve">18 </w:t>
      </w:r>
      <w:r>
        <w:t xml:space="preserve">And Joab sent and reported to the king all the words of the war,</w:t>
      </w:r>
    </w:p>
    <w:p>
      <w:r>
        <w:rPr>
          <w:b/>
        </w:rPr>
        <w:t xml:space="preserve">19 </w:t>
      </w:r>
      <w:r>
        <w:t xml:space="preserve">and he commanded the messenger, saying, When you finish speaking all the words of the war to the king,</w:t>
      </w:r>
    </w:p>
    <w:p>
      <w:r>
        <w:rPr>
          <w:b/>
        </w:rPr>
        <w:t xml:space="preserve">20 </w:t>
      </w:r>
      <w:r>
        <w:t xml:space="preserve">it will be if the anger of the king rises and he says to you, Why did you go near the city to fight? Did you not know that they would shoot from above the wall?</w:t>
      </w:r>
    </w:p>
    <w:p>
      <w:r>
        <w:rPr>
          <w:b/>
        </w:rPr>
        <w:t xml:space="preserve">21 </w:t>
      </w:r>
      <w:r>
        <w:t xml:space="preserve">Who struck Abimelech</w:t>
      </w:r>
      <w:r>
        <w:rPr>
          <w:rStyle w:val="FootnoteReference"/>
        </w:rPr>
        <w:footnoteReference w:id="5953"/>
      </w:r>
      <w:r>
        <w:t xml:space="preserve"> son of Jerubbaal? Did not a woman throw a piece of millstone</w:t>
      </w:r>
      <w:r>
        <w:rPr>
          <w:rStyle w:val="FootnoteReference"/>
        </w:rPr>
        <w:footnoteReference w:id="5954"/>
      </w:r>
      <w:r>
        <w:t xml:space="preserve"> upon him from above the wall, and he died at Thebez? Why did you go near the wall? Then you will say, And also your servant Uriah the Hittite died.</w:t>
      </w:r>
    </w:p>
    <w:p>
      <w:r>
        <w:rPr>
          <w:b/>
        </w:rPr>
        <w:t xml:space="preserve">22 </w:t>
      </w:r>
      <w:r>
        <w:t xml:space="preserve">And the messenger of Joab went to the king in Jerusalem and came and reported to David all that Joab reported to him, all the words of the war</w:t>
      </w:r>
      <w:r>
        <w:rPr>
          <w:rStyle w:val="FootnoteReference"/>
        </w:rPr>
        <w:footnoteReference w:id="5955"/>
      </w:r>
      <w:r>
        <w:t xml:space="preserve">. And David became angry at Joab and said to the messenger, Why did you go near the city to fight? Did you not know that you would be struck from the wall? Who struck Abimelech son of Jerubbaal? Did not a woman throw a piece of millstone on him from the wall, and he died in Thebez? Why did you go near the wall?</w:t>
      </w:r>
    </w:p>
    <w:p>
      <w:r>
        <w:rPr>
          <w:b/>
        </w:rPr>
        <w:t xml:space="preserve">23 </w:t>
      </w:r>
      <w:r>
        <w:t xml:space="preserve">And the messenger said to David, Because the men grew strong against us and came out against us into the field, and we came against them as far as the door of the gate,</w:t>
      </w:r>
    </w:p>
    <w:p>
      <w:r>
        <w:rPr>
          <w:b/>
        </w:rPr>
        <w:t xml:space="preserve">24 </w:t>
      </w:r>
      <w:r>
        <w:t xml:space="preserve">and the archers shot at your servants from above the wall, and some of the servants of the king died, and also your servant Uriah the Hittite died.</w:t>
      </w:r>
    </w:p>
    <w:p>
      <w:r>
        <w:rPr>
          <w:b/>
        </w:rPr>
        <w:t xml:space="preserve">25 </w:t>
      </w:r>
      <w:r>
        <w:t xml:space="preserve">And David said to the messenger, Thus you will say to Joab: Let not this word be evil in your eyes, because once thus and once thus</w:t>
      </w:r>
      <w:r>
        <w:rPr>
          <w:rStyle w:val="FootnoteReference"/>
        </w:rPr>
        <w:footnoteReference w:id="5956"/>
      </w:r>
      <w:r>
        <w:t xml:space="preserve"> the sword will eat. Strengthen your battle against the city and tear it down, and strengthen him.</w:t>
      </w:r>
    </w:p>
    <w:p>
      <w:r>
        <w:rPr>
          <w:b/>
        </w:rPr>
        <w:t xml:space="preserve">26 </w:t>
      </w:r>
      <w:r>
        <w:t xml:space="preserve">And the wife of Uriah heard that Uriah her husband had died, and she mourned</w:t>
      </w:r>
      <w:r>
        <w:rPr>
          <w:rStyle w:val="FootnoteReference"/>
        </w:rPr>
        <w:footnoteReference w:id="5957"/>
      </w:r>
      <w:r>
        <w:t xml:space="preserve"> for her husband.</w:t>
      </w:r>
    </w:p>
    <w:p>
      <w:r>
        <w:rPr>
          <w:b/>
        </w:rPr>
        <w:t xml:space="preserve">27 </w:t>
      </w:r>
      <w:r>
        <w:t xml:space="preserve">And the mourning passed, and David sent and gathered her into his house, and she became his wife and bore him a son. But the word that David had done appeared evil in the eyes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 Lord</w:t>
      </w:r>
      <w:r>
        <w:rPr>
          <w:rStyle w:val="FootnoteReference"/>
        </w:rPr>
        <w:footnoteReference w:id="5958"/>
      </w:r>
      <w:r>
        <w:t xml:space="preserve"> sent Nathan the prophet to David, and he entered to him and said to him, There were two men in one city, one rich and one poor.</w:t>
      </w:r>
    </w:p>
    <w:p>
      <w:r>
        <w:rPr>
          <w:b/>
        </w:rPr>
        <w:t xml:space="preserve">2 </w:t>
      </w:r>
      <w:r>
        <w:t xml:space="preserve">And the rich man had very many flocks and herds.</w:t>
      </w:r>
    </w:p>
    <w:p>
      <w:r>
        <w:rPr>
          <w:b/>
        </w:rPr>
        <w:t xml:space="preserve">3 </w:t>
      </w:r>
      <w:r>
        <w:t xml:space="preserve">And to the poor man there was nothing except one little</w:t>
      </w:r>
      <w:r>
        <w:rPr>
          <w:rStyle w:val="FootnoteReference"/>
        </w:rPr>
        <w:footnoteReference w:id="5959"/>
      </w:r>
      <w:r>
        <w:t xml:space="preserve"> ewe lamb, which he acquired and kept alive and nourished</w:t>
      </w:r>
      <w:r>
        <w:rPr>
          <w:rStyle w:val="FootnoteReference"/>
        </w:rPr>
        <w:footnoteReference w:id="5960"/>
      </w:r>
      <w:r>
        <w:t xml:space="preserve">, and it grew up with him and with his sons together. From his bread it would eat and from his cup it would drink and in his bosom it would sleep, and it was to him as a daughter.</w:t>
      </w:r>
    </w:p>
    <w:p>
      <w:r>
        <w:rPr>
          <w:b/>
        </w:rPr>
        <w:t xml:space="preserve">4 </w:t>
      </w:r>
      <w:r>
        <w:t xml:space="preserve">And a traveler came to the rich man, and he spared to take from his flocks and from his herds to prepare for the stranger traveler</w:t>
      </w:r>
      <w:r>
        <w:rPr>
          <w:rStyle w:val="FootnoteReference"/>
        </w:rPr>
        <w:footnoteReference w:id="5961"/>
      </w:r>
      <w:r>
        <w:t xml:space="preserve"> who came to him, and he took the</w:t>
      </w:r>
      <w:r>
        <w:rPr>
          <w:rStyle w:val="FootnoteReference"/>
        </w:rPr>
        <w:footnoteReference w:id="5962"/>
      </w:r>
      <w:r>
        <w:t xml:space="preserve"> ewe lamb of the poor man and prepared it for the man who came to him.</w:t>
      </w:r>
    </w:p>
    <w:p>
      <w:r>
        <w:rPr>
          <w:b/>
        </w:rPr>
        <w:t xml:space="preserve">5 </w:t>
      </w:r>
      <w:r>
        <w:t xml:space="preserve">And the anger of David burned greatly against the man, and David said to Nathan, As the Lord</w:t>
      </w:r>
      <w:r>
        <w:rPr>
          <w:rStyle w:val="FootnoteReference"/>
        </w:rPr>
        <w:footnoteReference w:id="5963"/>
      </w:r>
      <w:r>
        <w:t xml:space="preserve"> lives, the man who did this is a son of death.</w:t>
      </w:r>
    </w:p>
    <w:p>
      <w:r>
        <w:rPr>
          <w:b/>
        </w:rPr>
        <w:t xml:space="preserve">6 </w:t>
      </w:r>
      <w:r>
        <w:t xml:space="preserve">And he will repay the ewe lamb sevenfold</w:t>
      </w:r>
      <w:r>
        <w:rPr>
          <w:rStyle w:val="FootnoteReference"/>
        </w:rPr>
        <w:footnoteReference w:id="5964"/>
      </w:r>
      <w:r>
        <w:t xml:space="preserve">, because he did this thing and because he did not spare.</w:t>
      </w:r>
    </w:p>
    <w:p>
      <w:r>
        <w:rPr>
          <w:b/>
        </w:rPr>
        <w:t xml:space="preserve">7 </w:t>
      </w:r>
      <w:r>
        <w:t xml:space="preserve">And Nathan said to David, You are the man who did this. Thus says the Lord God of Israel: I am the one who anointed you as king over Israel, and I am the one who delivered you from the hand of Saul,</w:t>
      </w:r>
    </w:p>
    <w:p>
      <w:r>
        <w:rPr>
          <w:b/>
        </w:rPr>
        <w:t xml:space="preserve">8 </w:t>
      </w:r>
      <w:r>
        <w:t xml:space="preserve">and I gave you the house of your lord and the wives of your lord into your bosom</w:t>
      </w:r>
      <w:r>
        <w:rPr>
          <w:rStyle w:val="FootnoteReference"/>
        </w:rPr>
        <w:footnoteReference w:id="5965"/>
      </w:r>
      <w:r>
        <w:t xml:space="preserve">, and I gave you the house of Israel and Judah, and if this is little, I will add to you according to these things.</w:t>
      </w:r>
    </w:p>
    <w:p>
      <w:r>
        <w:rPr>
          <w:b/>
        </w:rPr>
        <w:t xml:space="preserve">9 </w:t>
      </w:r>
      <w:r>
        <w:t xml:space="preserve">Why did you count the word of the Lord as little</w:t>
      </w:r>
      <w:r>
        <w:rPr>
          <w:rStyle w:val="FootnoteReference"/>
        </w:rPr>
        <w:footnoteReference w:id="5966"/>
      </w:r>
      <w:r>
        <w:t xml:space="preserve">, to do the evil in his eyes? Uriah the Hittite you struck with the sword, and his wife you took for yourself as wife, and him you killed with the sword of the sons of Ammon.</w:t>
      </w:r>
    </w:p>
    <w:p>
      <w:r>
        <w:rPr>
          <w:b/>
        </w:rPr>
        <w:t xml:space="preserve">10 </w:t>
      </w:r>
      <w:r>
        <w:t xml:space="preserve">And now the sword</w:t>
      </w:r>
      <w:r>
        <w:rPr>
          <w:rStyle w:val="FootnoteReference"/>
        </w:rPr>
        <w:footnoteReference w:id="5967"/>
      </w:r>
      <w:r>
        <w:t xml:space="preserve"> will not depart from your house forever, because you counted me as nothing and took the wife of Uriah the Hittite to be your wife.</w:t>
      </w:r>
    </w:p>
    <w:p>
      <w:r>
        <w:rPr>
          <w:b/>
        </w:rPr>
        <w:t xml:space="preserve">11 </w:t>
      </w:r>
      <w:r>
        <w:t xml:space="preserve">Thus says the Lord: Behold, I am raising evils against you</w:t>
      </w:r>
      <w:r>
        <w:rPr>
          <w:rStyle w:val="FootnoteReference"/>
        </w:rPr>
        <w:footnoteReference w:id="5968"/>
      </w:r>
      <w:r>
        <w:t xml:space="preserve"> out of your own house, and I will take</w:t>
      </w:r>
      <w:r>
        <w:rPr>
          <w:rStyle w:val="FootnoteReference"/>
        </w:rPr>
        <w:footnoteReference w:id="5969"/>
      </w:r>
      <w:r>
        <w:t xml:space="preserve"> your wives before your eyes and give them to your neighbor, and he will lie with your wives before this sun.</w:t>
      </w:r>
    </w:p>
    <w:p>
      <w:r>
        <w:rPr>
          <w:b/>
        </w:rPr>
        <w:t xml:space="preserve">12 </w:t>
      </w:r>
      <w:r>
        <w:t xml:space="preserve">Because you did it in secret, but I will do this word in front of all Israel and before this sun.</w:t>
      </w:r>
    </w:p>
    <w:p>
      <w:r>
        <w:rPr>
          <w:b/>
        </w:rPr>
        <w:t xml:space="preserve">13 </w:t>
      </w:r>
      <w:r>
        <w:t xml:space="preserve">And David</w:t>
      </w:r>
      <w:r>
        <w:rPr>
          <w:rStyle w:val="FootnoteReference"/>
        </w:rPr>
        <w:footnoteReference w:id="5970"/>
      </w:r>
      <w:r>
        <w:t xml:space="preserve"> said to Nathan, I have sinned against the Lord. And Nathan said to David, And the Lord has caused your sin to pass over</w:t>
      </w:r>
      <w:r>
        <w:rPr>
          <w:rStyle w:val="FootnoteReference"/>
        </w:rPr>
        <w:footnoteReference w:id="5971"/>
      </w:r>
      <w:r>
        <w:t xml:space="preserve">; you certainly will not die.</w:t>
      </w:r>
    </w:p>
    <w:p>
      <w:r>
        <w:rPr>
          <w:b/>
        </w:rPr>
        <w:t xml:space="preserve">14 </w:t>
      </w:r>
      <w:r>
        <w:t xml:space="preserve">Only because in provoking you provoked the enemies of the Lord by this word, indeed the son born to you will surely die.</w:t>
      </w:r>
    </w:p>
    <w:p>
      <w:r>
        <w:rPr>
          <w:b/>
        </w:rPr>
        <w:t xml:space="preserve">15 </w:t>
      </w:r>
      <w:r>
        <w:t xml:space="preserve">And Nathan went to his house, and the Lord struck the child</w:t>
      </w:r>
      <w:r>
        <w:rPr>
          <w:rStyle w:val="FootnoteReference"/>
        </w:rPr>
        <w:footnoteReference w:id="5972"/>
      </w:r>
      <w:r>
        <w:t xml:space="preserve"> whom the wife of Uriah bore to David, and he became sick.</w:t>
      </w:r>
    </w:p>
    <w:p>
      <w:r>
        <w:rPr>
          <w:b/>
        </w:rPr>
        <w:t xml:space="preserve">16 </w:t>
      </w:r>
      <w:r>
        <w:t xml:space="preserve">And David sought God concerning the little boy, and David fasted</w:t>
      </w:r>
      <w:r>
        <w:rPr>
          <w:rStyle w:val="FootnoteReference"/>
        </w:rPr>
        <w:footnoteReference w:id="5973"/>
      </w:r>
      <w:r>
        <w:t xml:space="preserve"> a fast and entered and lodged in sackcloth on the ground.</w:t>
      </w:r>
    </w:p>
    <w:p>
      <w:r>
        <w:rPr>
          <w:b/>
        </w:rPr>
        <w:t xml:space="preserve">17 </w:t>
      </w:r>
      <w:r>
        <w:t xml:space="preserve">And the elders</w:t>
      </w:r>
      <w:r>
        <w:rPr>
          <w:rStyle w:val="FootnoteReference"/>
        </w:rPr>
        <w:footnoteReference w:id="5974"/>
      </w:r>
      <w:r>
        <w:t xml:space="preserve"> of his house stood over him to raise him up from the ground, and he was not willing, and he did not eat bread with them.</w:t>
      </w:r>
    </w:p>
    <w:p>
      <w:r>
        <w:rPr>
          <w:b/>
        </w:rPr>
        <w:t xml:space="preserve">18 </w:t>
      </w:r>
      <w:r>
        <w:t xml:space="preserve">And it came to be on the seventh day</w:t>
      </w:r>
      <w:r>
        <w:rPr>
          <w:rStyle w:val="FootnoteReference"/>
        </w:rPr>
        <w:footnoteReference w:id="5975"/>
      </w:r>
      <w:r>
        <w:t xml:space="preserve">, the little boy died, and the servants of David feared to report to him that the little boy had died, because they said, Behold, while the little boy was still living we spoke to him, and he did not listen to our voice, and how shall we say to him that the little boy has died? He will do evil</w:t>
      </w:r>
      <w:r>
        <w:rPr>
          <w:rStyle w:val="FootnoteReference"/>
        </w:rPr>
        <w:footnoteReference w:id="5976"/>
      </w:r>
      <w:r>
        <w:t xml:space="preserve">.</w:t>
      </w:r>
    </w:p>
    <w:p>
      <w:r>
        <w:rPr>
          <w:b/>
        </w:rPr>
        <w:t xml:space="preserve">19 </w:t>
      </w:r>
      <w:r>
        <w:t xml:space="preserve">And David understood that his servants were whispering, and David discerned that the little boy had died, and David said to his servants, Has the little boy died? And they said, He has died.</w:t>
      </w:r>
    </w:p>
    <w:p>
      <w:r>
        <w:rPr>
          <w:b/>
        </w:rPr>
        <w:t xml:space="preserve">20 </w:t>
      </w:r>
      <w:r>
        <w:t xml:space="preserve">And David rose from the ground and washed and anointed</w:t>
      </w:r>
      <w:r>
        <w:rPr>
          <w:rStyle w:val="FootnoteReference"/>
        </w:rPr>
        <w:footnoteReference w:id="5977"/>
      </w:r>
      <w:r>
        <w:t xml:space="preserve"> himself and changed his garments and entered into the house of God</w:t>
      </w:r>
      <w:r>
        <w:rPr>
          <w:rStyle w:val="FootnoteReference"/>
        </w:rPr>
        <w:footnoteReference w:id="5978"/>
      </w:r>
      <w:r>
        <w:t xml:space="preserve"> and bowed down to him. And he entered into his house and asked for bread to eat, and they set bread before him, and he ate.</w:t>
      </w:r>
    </w:p>
    <w:p>
      <w:r>
        <w:rPr>
          <w:b/>
        </w:rPr>
        <w:t xml:space="preserve">21 </w:t>
      </w:r>
      <w:r>
        <w:t xml:space="preserve">And his servants said to him, What is this word that you have done? For the little boy, while he was still alive, you were fasting and weeping and keeping watch, and when the little boy died, you rose and ate bread and have drunk.</w:t>
      </w:r>
    </w:p>
    <w:p>
      <w:r>
        <w:rPr>
          <w:b/>
        </w:rPr>
        <w:t xml:space="preserve">22 </w:t>
      </w:r>
      <w:r>
        <w:t xml:space="preserve">And David said, While the little boy was still living, I fasted</w:t>
      </w:r>
      <w:r>
        <w:rPr>
          <w:rStyle w:val="FootnoteReference"/>
        </w:rPr>
        <w:footnoteReference w:id="5979"/>
      </w:r>
      <w:r>
        <w:t xml:space="preserve"> and wept, because I said, Who knows whether the Lord will have mercy on me and the little boy will live?</w:t>
      </w:r>
    </w:p>
    <w:p>
      <w:r>
        <w:rPr>
          <w:b/>
        </w:rPr>
        <w:t xml:space="preserve">23 </w:t>
      </w:r>
      <w:r>
        <w:t xml:space="preserve">And now he has died. Why now am I fasting? Shall I be able to bring him back still more? I will go to him, but he will not return to me.</w:t>
      </w:r>
    </w:p>
    <w:p>
      <w:r>
        <w:rPr>
          <w:b/>
        </w:rPr>
        <w:t xml:space="preserve">24 </w:t>
      </w:r>
      <w:r>
        <w:t xml:space="preserve">And David comforted Bathsheba his wife and entered to her and lay with her, and she conceived and bore a son, and he called his name Solomon</w:t>
      </w:r>
      <w:r>
        <w:rPr>
          <w:rStyle w:val="FootnoteReference"/>
        </w:rPr>
        <w:footnoteReference w:id="5980"/>
      </w:r>
      <w:r>
        <w:t xml:space="preserve">, and the Lord loved him.</w:t>
      </w:r>
    </w:p>
    <w:p>
      <w:r>
        <w:rPr>
          <w:b/>
        </w:rPr>
        <w:t xml:space="preserve">25 </w:t>
      </w:r>
      <w:r>
        <w:t xml:space="preserve">And he sent by the hand of Nathan</w:t>
      </w:r>
      <w:r>
        <w:rPr>
          <w:rStyle w:val="FootnoteReference"/>
        </w:rPr>
        <w:footnoteReference w:id="5981"/>
      </w:r>
      <w:r>
        <w:t xml:space="preserve"> the prophet, and he called his name Idedi because of the Lord.</w:t>
      </w:r>
    </w:p>
    <w:p>
      <w:r>
        <w:rPr>
          <w:b/>
        </w:rPr>
        <w:t xml:space="preserve">26 </w:t>
      </w:r>
      <w:r>
        <w:t xml:space="preserve">And Joab</w:t>
      </w:r>
      <w:r>
        <w:rPr>
          <w:rStyle w:val="FootnoteReference"/>
        </w:rPr>
        <w:footnoteReference w:id="5982"/>
      </w:r>
      <w:r>
        <w:t xml:space="preserve"> fought at Rabbah of the sons of Ammon and captured the city of the kingdom.</w:t>
      </w:r>
    </w:p>
    <w:p>
      <w:r>
        <w:rPr>
          <w:b/>
        </w:rPr>
        <w:t xml:space="preserve">27 </w:t>
      </w:r>
      <w:r>
        <w:t xml:space="preserve">And Joab sent messengers to David and said, I fought at Rabbah</w:t>
      </w:r>
      <w:r>
        <w:rPr>
          <w:rStyle w:val="FootnoteReference"/>
        </w:rPr>
        <w:footnoteReference w:id="5983"/>
      </w:r>
      <w:r>
        <w:t xml:space="preserve"> and captured the city of waters.</w:t>
      </w:r>
    </w:p>
    <w:p>
      <w:r>
        <w:rPr>
          <w:b/>
        </w:rPr>
        <w:t xml:space="preserve">28 </w:t>
      </w:r>
      <w:r>
        <w:t xml:space="preserve">And now gather the rest of the people and camp against the city and capture it beforehand, lest I capture the city and my name be called upon it.</w:t>
      </w:r>
    </w:p>
    <w:p>
      <w:r>
        <w:rPr>
          <w:b/>
        </w:rPr>
        <w:t xml:space="preserve">29 </w:t>
      </w:r>
      <w:r>
        <w:t xml:space="preserve">And David gathered all the people and went to Rabbah and fought in it and captured it.</w:t>
      </w:r>
    </w:p>
    <w:p>
      <w:r>
        <w:rPr>
          <w:b/>
        </w:rPr>
        <w:t xml:space="preserve">30 </w:t>
      </w:r>
      <w:r>
        <w:t xml:space="preserve">And he took</w:t>
      </w:r>
      <w:r>
        <w:rPr>
          <w:rStyle w:val="FootnoteReference"/>
        </w:rPr>
        <w:footnoteReference w:id="5984"/>
      </w:r>
      <w:r>
        <w:t xml:space="preserve"> the crown of their king from his head, and its weight was a talent of gold and precious stone, and it was on David’s head, and he brought out the spoils of the city very greatly.</w:t>
      </w:r>
      <w:r>
        <w:rPr>
          <w:rStyle w:val="FootnoteReference"/>
        </w:rPr>
        <w:footnoteReference w:id="5985"/>
      </w:r>
    </w:p>
    <w:p>
      <w:r>
        <w:rPr>
          <w:b/>
        </w:rPr>
        <w:t xml:space="preserve">31 </w:t>
      </w:r>
      <w:r>
        <w:t xml:space="preserve">And the people in it he brought out and set with the saw and with the iron threshing sledges and made them pass through the brickworks. And thus he did to all the cities of the sons of Ammon. And David and all the people returned to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it came to be after these things, to Absalom</w:t>
      </w:r>
      <w:r>
        <w:rPr>
          <w:rStyle w:val="FootnoteReference"/>
        </w:rPr>
        <w:footnoteReference w:id="5986"/>
      </w:r>
      <w:r>
        <w:t xml:space="preserve"> son of David there was a sister very beautiful in appearance, and her name was Tamar, and Amnon son of David loved her.</w:t>
      </w:r>
    </w:p>
    <w:p>
      <w:r>
        <w:rPr>
          <w:b/>
        </w:rPr>
        <w:t xml:space="preserve">2 </w:t>
      </w:r>
      <w:r>
        <w:t xml:space="preserve">And Amnon was distressed so as to become sick because of Tamar his sister, because she was a virgin, and it was over-large in the eyes of Amnon to do anything to her.</w:t>
      </w:r>
    </w:p>
    <w:p>
      <w:r>
        <w:rPr>
          <w:b/>
        </w:rPr>
        <w:t xml:space="preserve">3 </w:t>
      </w:r>
      <w:r>
        <w:t xml:space="preserve">And to Amnon there was a companion, and his name was Jonadab</w:t>
      </w:r>
      <w:r>
        <w:rPr>
          <w:rStyle w:val="FootnoteReference"/>
        </w:rPr>
        <w:footnoteReference w:id="5987"/>
      </w:r>
      <w:r>
        <w:t xml:space="preserve"> son of Shimeah</w:t>
      </w:r>
      <w:r>
        <w:rPr>
          <w:rStyle w:val="FootnoteReference"/>
        </w:rPr>
        <w:footnoteReference w:id="5988"/>
      </w:r>
      <w:r>
        <w:t xml:space="preserve">, brother of David, and Jonadab was a very wise man.</w:t>
      </w:r>
      <w:r>
        <w:rPr>
          <w:rStyle w:val="FootnoteReference"/>
        </w:rPr>
        <w:footnoteReference w:id="5989"/>
      </w:r>
    </w:p>
    <w:p>
      <w:r>
        <w:rPr>
          <w:b/>
        </w:rPr>
        <w:t xml:space="preserve">4 </w:t>
      </w:r>
      <w:r>
        <w:t xml:space="preserve">And he said to him, Why are you thus weak, son of the king, morning by morning? Will you not report to me? And Amnon said to him, I love Tamar, sister of Absalom my brother</w:t>
      </w:r>
      <w:r>
        <w:rPr>
          <w:rStyle w:val="FootnoteReference"/>
        </w:rPr>
        <w:footnoteReference w:id="5990"/>
      </w:r>
      <w:r>
        <w:t xml:space="preserve">.</w:t>
      </w:r>
    </w:p>
    <w:p>
      <w:r>
        <w:rPr>
          <w:b/>
        </w:rPr>
        <w:t xml:space="preserve">5 </w:t>
      </w:r>
      <w:r>
        <w:t xml:space="preserve">And Jonadab said to him, Lie on your bed and make yourself weak, and your father will enter to see you, and you will say to him, Let Tamar my sister now come to me and feed me morsels</w:t>
      </w:r>
      <w:r>
        <w:rPr>
          <w:rStyle w:val="FootnoteReference"/>
        </w:rPr>
        <w:footnoteReference w:id="5991"/>
      </w:r>
      <w:r>
        <w:t xml:space="preserve"> and prepare food before my eyes, so that I may see and eat from her hands.</w:t>
      </w:r>
    </w:p>
    <w:p>
      <w:r>
        <w:rPr>
          <w:b/>
        </w:rPr>
        <w:t xml:space="preserve">6 </w:t>
      </w:r>
      <w:r>
        <w:t xml:space="preserve">And Amnon lay down and became sick, and the king entered to see him, and Amnon said to the king, Let Tamar my sister now come to me and make before my eyes</w:t>
      </w:r>
      <w:r>
        <w:rPr>
          <w:rStyle w:val="FootnoteReference"/>
        </w:rPr>
        <w:footnoteReference w:id="5992"/>
      </w:r>
      <w:r>
        <w:t xml:space="preserve"> two cakes, and I will eat from her hand.</w:t>
      </w:r>
    </w:p>
    <w:p>
      <w:r>
        <w:rPr>
          <w:b/>
        </w:rPr>
        <w:t xml:space="preserve">7 </w:t>
      </w:r>
      <w:r>
        <w:t xml:space="preserve">And David sent to Tamar to the house, saying, Go now to the house of Amnon your brother and make food for him.</w:t>
      </w:r>
    </w:p>
    <w:p>
      <w:r>
        <w:rPr>
          <w:b/>
        </w:rPr>
        <w:t xml:space="preserve">8 </w:t>
      </w:r>
      <w:r>
        <w:t xml:space="preserve">And Tamar went to the house of Amnon her brother, and he was lying down, and she took dough and kneaded it and made cakes</w:t>
      </w:r>
      <w:r>
        <w:rPr>
          <w:rStyle w:val="FootnoteReference"/>
        </w:rPr>
        <w:footnoteReference w:id="5993"/>
      </w:r>
      <w:r>
        <w:t xml:space="preserve"> before his eyes and baked the cakes.</w:t>
      </w:r>
    </w:p>
    <w:p>
      <w:r>
        <w:rPr>
          <w:b/>
        </w:rPr>
        <w:t xml:space="preserve">9 </w:t>
      </w:r>
      <w:r>
        <w:t xml:space="preserve">And she took the pan and emptied it out before him, and he was not willing to eat. And Amnon</w:t>
      </w:r>
      <w:r>
        <w:rPr>
          <w:rStyle w:val="FootnoteReference"/>
        </w:rPr>
        <w:footnoteReference w:id="5994"/>
      </w:r>
      <w:r>
        <w:t xml:space="preserve"> said, Put out every man from me, and they put out every man from him.</w:t>
      </w:r>
    </w:p>
    <w:p>
      <w:r>
        <w:rPr>
          <w:b/>
        </w:rPr>
        <w:t xml:space="preserve">10 </w:t>
      </w:r>
      <w:r>
        <w:t xml:space="preserve">And Amnon said to Tamar, Bring the food into the inner room, and I will eat from your hand. And Tamar took the cakes that she had made and brought them in to Amnon her brother into the bedroom.</w:t>
      </w:r>
    </w:p>
    <w:p>
      <w:r>
        <w:rPr>
          <w:b/>
        </w:rPr>
        <w:t xml:space="preserve">11 </w:t>
      </w:r>
      <w:r>
        <w:t xml:space="preserve">And she brought them near to him to eat, and he seized her and said to her, Come, lie with me, my sister.</w:t>
      </w:r>
    </w:p>
    <w:p>
      <w:r>
        <w:rPr>
          <w:b/>
        </w:rPr>
        <w:t xml:space="preserve">12 </w:t>
      </w:r>
      <w:r>
        <w:t xml:space="preserve">And she said to him, No, my brother, do not humble me, because thus it will not be done in Israel. Do not do this folly</w:t>
      </w:r>
      <w:r>
        <w:rPr>
          <w:rStyle w:val="FootnoteReference"/>
        </w:rPr>
        <w:footnoteReference w:id="5995"/>
      </w:r>
      <w:r>
        <w:t xml:space="preserve">.</w:t>
      </w:r>
    </w:p>
    <w:p>
      <w:r>
        <w:rPr>
          <w:b/>
        </w:rPr>
        <w:t xml:space="preserve">13 </w:t>
      </w:r>
      <w:r>
        <w:t xml:space="preserve">And I, where will I carry away my reproach? And you, you will be as one of the fools in Israel. And now speak now to the king, because he certainly will not withhold me from you.</w:t>
      </w:r>
    </w:p>
    <w:p>
      <w:r>
        <w:rPr>
          <w:b/>
        </w:rPr>
        <w:t xml:space="preserve">14 </w:t>
      </w:r>
      <w:r>
        <w:t xml:space="preserve">And Amnon was not willing to hear her voice, and he grew strong beyond her and humbled her and lay with her.</w:t>
      </w:r>
    </w:p>
    <w:p>
      <w:r>
        <w:rPr>
          <w:b/>
        </w:rPr>
        <w:t xml:space="preserve">15 </w:t>
      </w:r>
      <w:r>
        <w:t xml:space="preserve">And Amnon hated her</w:t>
      </w:r>
      <w:r>
        <w:rPr>
          <w:rStyle w:val="FootnoteReference"/>
        </w:rPr>
        <w:footnoteReference w:id="5996"/>
      </w:r>
      <w:r>
        <w:t xml:space="preserve"> with a very great hatred, because the hatred with which he hated her was greater than the love</w:t>
      </w:r>
      <w:r>
        <w:rPr>
          <w:rStyle w:val="FootnoteReference"/>
        </w:rPr>
        <w:footnoteReference w:id="5997"/>
      </w:r>
      <w:r>
        <w:t xml:space="preserve"> with which he loved her. And Amnon said to her, Rise and go.</w:t>
      </w:r>
    </w:p>
    <w:p>
      <w:r>
        <w:rPr>
          <w:b/>
        </w:rPr>
        <w:t xml:space="preserve">16 </w:t>
      </w:r>
      <w:r>
        <w:t xml:space="preserve">And Tamar said to him, No, my brother, because this last evil is greater than the first, which you did with me, by sending me away. And Amnon was not willing to hear her voice.</w:t>
      </w:r>
    </w:p>
    <w:p>
      <w:r>
        <w:rPr>
          <w:b/>
        </w:rPr>
        <w:t xml:space="preserve">17 </w:t>
      </w:r>
      <w:r>
        <w:t xml:space="preserve">And he called his young servant, the one standing over his house, and said to him, Send this one away from me outside, and bar the door behind her.</w:t>
      </w:r>
    </w:p>
    <w:p>
      <w:r>
        <w:rPr>
          <w:b/>
        </w:rPr>
        <w:t xml:space="preserve">18 </w:t>
      </w:r>
      <w:r>
        <w:t xml:space="preserve">And upon her was a full-length tunic, because thus the king’s virgin daughters were clothed with their robes. And his attendant brought her out and barred the door behind her.</w:t>
      </w:r>
    </w:p>
    <w:p>
      <w:r>
        <w:rPr>
          <w:b/>
        </w:rPr>
        <w:t xml:space="preserve">19 </w:t>
      </w:r>
      <w:r>
        <w:t xml:space="preserve">And Tamar took ashes and put them upon her head, and the full-length tunic that was upon her she tore, and she put her hands on her head and went on, going and crying out.</w:t>
      </w:r>
    </w:p>
    <w:p>
      <w:r>
        <w:rPr>
          <w:b/>
        </w:rPr>
        <w:t xml:space="preserve">20 </w:t>
      </w:r>
      <w:r>
        <w:t xml:space="preserve">And Absalom her brother said to her, Has Amnon your brother been with you? And now, my sister, be deaf</w:t>
      </w:r>
      <w:r>
        <w:rPr>
          <w:rStyle w:val="FootnoteReference"/>
        </w:rPr>
        <w:footnoteReference w:id="5998"/>
      </w:r>
      <w:r>
        <w:t xml:space="preserve">, because he is your brother; do not set your heart to speak concerning this word. And Tamar sat desolate</w:t>
      </w:r>
      <w:r>
        <w:rPr>
          <w:rStyle w:val="FootnoteReference"/>
        </w:rPr>
        <w:footnoteReference w:id="5999"/>
      </w:r>
      <w:r>
        <w:t xml:space="preserve"> in the house of Absalom her brother.</w:t>
      </w:r>
    </w:p>
    <w:p>
      <w:r>
        <w:rPr>
          <w:b/>
        </w:rPr>
        <w:t xml:space="preserve">21 </w:t>
      </w:r>
      <w:r>
        <w:t xml:space="preserve">And King David heard all these words and was greatly angered, and he did not grieve the spirit of Amnon his son, because he loved him, because he was his firstborn.</w:t>
      </w:r>
    </w:p>
    <w:p>
      <w:r>
        <w:rPr>
          <w:b/>
        </w:rPr>
        <w:t xml:space="preserve">22 </w:t>
      </w:r>
      <w:r>
        <w:t xml:space="preserve">And Absalom did not speak with Amnon from evil to good, because Absalom hated</w:t>
      </w:r>
      <w:r>
        <w:rPr>
          <w:rStyle w:val="FootnoteReference"/>
        </w:rPr>
        <w:footnoteReference w:id="6000"/>
      </w:r>
      <w:r>
        <w:t xml:space="preserve"> Amnon over the matter in which he humbled Tamar his sister.</w:t>
      </w:r>
    </w:p>
    <w:p>
      <w:r>
        <w:rPr>
          <w:b/>
        </w:rPr>
        <w:t xml:space="preserve">23 </w:t>
      </w:r>
      <w:r>
        <w:t xml:space="preserve">And it came to be at a two-year cycle of days, they were shearing for Absalom at Baal-hazor</w:t>
      </w:r>
      <w:r>
        <w:rPr>
          <w:rStyle w:val="FootnoteReference"/>
        </w:rPr>
        <w:footnoteReference w:id="6001"/>
      </w:r>
      <w:r>
        <w:t xml:space="preserve"> by Ephraim, and Absalom called all the sons of the king.</w:t>
      </w:r>
    </w:p>
    <w:p>
      <w:r>
        <w:rPr>
          <w:b/>
        </w:rPr>
        <w:t xml:space="preserve">24 </w:t>
      </w:r>
      <w:r>
        <w:t xml:space="preserve">And Absalom came to the king and said, Behold now, they are shearing for your servant. Let the king</w:t>
      </w:r>
      <w:r>
        <w:rPr>
          <w:rStyle w:val="FootnoteReference"/>
        </w:rPr>
        <w:footnoteReference w:id="6002"/>
      </w:r>
      <w:r>
        <w:t xml:space="preserve"> and his servants now go with your servant.</w:t>
      </w:r>
    </w:p>
    <w:p>
      <w:r>
        <w:rPr>
          <w:b/>
        </w:rPr>
        <w:t xml:space="preserve">25 </w:t>
      </w:r>
      <w:r>
        <w:t xml:space="preserve">And the king said to Absalom, No, my son, let us not all go, and we certainly will not weigh heavily upon you. And he pressed</w:t>
      </w:r>
      <w:r>
        <w:rPr>
          <w:rStyle w:val="FootnoteReference"/>
        </w:rPr>
        <w:footnoteReference w:id="6003"/>
      </w:r>
      <w:r>
        <w:t xml:space="preserve"> him, and he was not willing to go, and he blessed him.</w:t>
      </w:r>
    </w:p>
    <w:p>
      <w:r>
        <w:rPr>
          <w:b/>
        </w:rPr>
        <w:t xml:space="preserve">26 </w:t>
      </w:r>
      <w:r>
        <w:t xml:space="preserve">And Absalom said, And if not, let Amnon my brother now go with us. And the king said to him, Why should he go with you?</w:t>
      </w:r>
    </w:p>
    <w:p>
      <w:r>
        <w:rPr>
          <w:b/>
        </w:rPr>
        <w:t xml:space="preserve">27 </w:t>
      </w:r>
      <w:r>
        <w:t xml:space="preserve">And Absalom</w:t>
      </w:r>
      <w:r>
        <w:rPr>
          <w:rStyle w:val="FootnoteReference"/>
        </w:rPr>
        <w:footnoteReference w:id="6004"/>
      </w:r>
      <w:r>
        <w:t xml:space="preserve"> pressed him, and he sent with him Amnon and all the sons of the king, and Absalom made a feast like the feast of the king.</w:t>
      </w:r>
    </w:p>
    <w:p>
      <w:r>
        <w:rPr>
          <w:b/>
        </w:rPr>
        <w:t xml:space="preserve">28 </w:t>
      </w:r>
      <w:r>
        <w:t xml:space="preserve">And Absalom commanded</w:t>
      </w:r>
      <w:r>
        <w:rPr>
          <w:rStyle w:val="FootnoteReference"/>
        </w:rPr>
        <w:footnoteReference w:id="6005"/>
      </w:r>
      <w:r>
        <w:t xml:space="preserve"> his young men, saying, See when the heart of Amnon is made good with wine, and I say to you, Strike Amnon and kill him. Do not fear, because am not I the one commanding you? Be manly and become sons of strength</w:t>
      </w:r>
      <w:r>
        <w:rPr>
          <w:rStyle w:val="FootnoteReference"/>
        </w:rPr>
        <w:footnoteReference w:id="6006"/>
      </w:r>
      <w:r>
        <w:t xml:space="preserve">.</w:t>
      </w:r>
    </w:p>
    <w:p>
      <w:r>
        <w:rPr>
          <w:b/>
        </w:rPr>
        <w:t xml:space="preserve">29 </w:t>
      </w:r>
      <w:r>
        <w:t xml:space="preserve">And the young men of Absalom did to Amnon just as Absalom commanded them, and all the sons of the king rose and mounted, each on his mule</w:t>
      </w:r>
      <w:r>
        <w:rPr>
          <w:rStyle w:val="FootnoteReference"/>
        </w:rPr>
        <w:footnoteReference w:id="6007"/>
      </w:r>
      <w:r>
        <w:t xml:space="preserve">, and fled.</w:t>
      </w:r>
    </w:p>
    <w:p>
      <w:r>
        <w:rPr>
          <w:b/>
        </w:rPr>
        <w:t xml:space="preserve">30 </w:t>
      </w:r>
      <w:r>
        <w:t xml:space="preserve">And it came to be while they were on the road, the report came to David, saying, Absalom struck all the sons of the king, and not one was left from them.</w:t>
      </w:r>
    </w:p>
    <w:p>
      <w:r>
        <w:rPr>
          <w:b/>
        </w:rPr>
        <w:t xml:space="preserve">31 </w:t>
      </w:r>
      <w:r>
        <w:t xml:space="preserve">And the king rose and tore his garments and lay on the ground, and all his servants</w:t>
      </w:r>
      <w:r>
        <w:rPr>
          <w:rStyle w:val="FootnoteReference"/>
        </w:rPr>
        <w:footnoteReference w:id="6008"/>
      </w:r>
      <w:r>
        <w:t xml:space="preserve"> standing around him tore their garments.</w:t>
      </w:r>
    </w:p>
    <w:p>
      <w:r>
        <w:rPr>
          <w:b/>
        </w:rPr>
        <w:t xml:space="preserve">32 </w:t>
      </w:r>
      <w:r>
        <w:t xml:space="preserve">And Jonadab</w:t>
      </w:r>
      <w:r>
        <w:rPr>
          <w:rStyle w:val="FootnoteReference"/>
        </w:rPr>
        <w:footnoteReference w:id="6009"/>
      </w:r>
      <w:r>
        <w:t xml:space="preserve"> son of Shimeah brother of David answered and said, Let not my lord the king say that he killed all the young men, the sons of the king, because only Amnon has died, because by the mouth of Absalom it was laid from the day when he humbled Tamar his sister.</w:t>
      </w:r>
      <w:r>
        <w:rPr>
          <w:rStyle w:val="FootnoteReference"/>
        </w:rPr>
        <w:footnoteReference w:id="6010"/>
      </w:r>
    </w:p>
    <w:p>
      <w:r>
        <w:rPr>
          <w:b/>
        </w:rPr>
        <w:t xml:space="preserve">33 </w:t>
      </w:r>
      <w:r>
        <w:t xml:space="preserve">And now let not my lord</w:t>
      </w:r>
      <w:r>
        <w:rPr>
          <w:rStyle w:val="FootnoteReference"/>
        </w:rPr>
        <w:footnoteReference w:id="6011"/>
      </w:r>
      <w:r>
        <w:t xml:space="preserve"> the king set on his heart a word, saying, All the sons of the king have died, because only Amnon has died.</w:t>
      </w:r>
    </w:p>
    <w:p>
      <w:r>
        <w:rPr>
          <w:b/>
        </w:rPr>
        <w:t xml:space="preserve">34 </w:t>
      </w:r>
      <w:r>
        <w:t xml:space="preserve">And Absalom fled</w:t>
      </w:r>
      <w:r>
        <w:rPr>
          <w:rStyle w:val="FootnoteReference"/>
        </w:rPr>
        <w:footnoteReference w:id="6012"/>
      </w:r>
      <w:r>
        <w:t xml:space="preserve">. And the young man, the watchman, lifted up his eyes and saw, and behold, many people were coming on the road behind him from the side of the mountain on the descent, and the watchman came and reported to the king and said, I have seen men from the road of Oronen from the side of the mountain.</w:t>
      </w:r>
    </w:p>
    <w:p>
      <w:r>
        <w:rPr>
          <w:b/>
        </w:rPr>
        <w:t xml:space="preserve">35 </w:t>
      </w:r>
      <w:r>
        <w:t xml:space="preserve">And Jonadab said to the king, Behold, the sons of the king are coming. According to the word of your servant, thus it came to be.</w:t>
      </w:r>
    </w:p>
    <w:p>
      <w:r>
        <w:rPr>
          <w:b/>
        </w:rPr>
        <w:t xml:space="preserve">36 </w:t>
      </w:r>
      <w:r>
        <w:t xml:space="preserve">And it came to be when he finished speaking, behold, the sons of the king came and lifted up their voice and wept, and also the king and all his servants wept with a very great weeping.</w:t>
      </w:r>
    </w:p>
    <w:p>
      <w:r>
        <w:rPr>
          <w:b/>
        </w:rPr>
        <w:t xml:space="preserve">37 </w:t>
      </w:r>
      <w:r>
        <w:t xml:space="preserve">And Absalom fled and went to Talmai</w:t>
      </w:r>
      <w:r>
        <w:rPr>
          <w:rStyle w:val="FootnoteReference"/>
        </w:rPr>
        <w:footnoteReference w:id="6013"/>
      </w:r>
      <w:r>
        <w:t xml:space="preserve"> son of Ammihud, king of Geshur</w:t>
      </w:r>
      <w:r>
        <w:rPr>
          <w:rStyle w:val="FootnoteReference"/>
        </w:rPr>
        <w:footnoteReference w:id="6014"/>
      </w:r>
      <w:r>
        <w:t xml:space="preserve">, to the land of Machad, and King David mourned for his son all the days.</w:t>
      </w:r>
    </w:p>
    <w:p>
      <w:r>
        <w:rPr>
          <w:b/>
        </w:rPr>
        <w:t xml:space="preserve">38 </w:t>
      </w:r>
      <w:r>
        <w:t xml:space="preserve">And Absalom fled and went to Geshur and was there three years.</w:t>
      </w:r>
    </w:p>
    <w:p>
      <w:r>
        <w:rPr>
          <w:b/>
        </w:rPr>
        <w:t xml:space="preserve">39 </w:t>
      </w:r>
      <w:r>
        <w:t xml:space="preserve">And the spirit of the king ceased from going out after Absalom, because he was comforted</w:t>
      </w:r>
      <w:r>
        <w:rPr>
          <w:rStyle w:val="FootnoteReference"/>
        </w:rPr>
        <w:footnoteReference w:id="6015"/>
      </w:r>
      <w:r>
        <w:t xml:space="preserve"> over Amnon, because he died.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Joab</w:t>
      </w:r>
      <w:r>
        <w:rPr>
          <w:rStyle w:val="FootnoteReference"/>
        </w:rPr>
        <w:footnoteReference w:id="6016"/>
      </w:r>
      <w:r>
        <w:t xml:space="preserve"> son of Zeruiah knew that the heart of the king was upon Absalom.</w:t>
      </w:r>
    </w:p>
    <w:p>
      <w:r>
        <w:rPr>
          <w:b/>
        </w:rPr>
        <w:t xml:space="preserve">2 </w:t>
      </w:r>
      <w:r>
        <w:t xml:space="preserve">And Joab sent to Tekoa</w:t>
      </w:r>
      <w:r>
        <w:rPr>
          <w:rStyle w:val="FootnoteReference"/>
        </w:rPr>
        <w:footnoteReference w:id="6017"/>
      </w:r>
      <w:r>
        <w:t xml:space="preserve"> and took from there a wise woman</w:t>
      </w:r>
      <w:r>
        <w:rPr>
          <w:rStyle w:val="FootnoteReference"/>
        </w:rPr>
        <w:footnoteReference w:id="6018"/>
      </w:r>
      <w:r>
        <w:t xml:space="preserve"> and said to her, Mourn now and put on mourning</w:t>
      </w:r>
      <w:r>
        <w:rPr>
          <w:rStyle w:val="FootnoteReference"/>
        </w:rPr>
        <w:footnoteReference w:id="6019"/>
      </w:r>
      <w:r>
        <w:t xml:space="preserve"> garments and do not anoint with oil, and you will be as a woman mourning over one dead for many days.</w:t>
      </w:r>
    </w:p>
    <w:p>
      <w:r>
        <w:rPr>
          <w:b/>
        </w:rPr>
        <w:t xml:space="preserve">3 </w:t>
      </w:r>
      <w:r>
        <w:t xml:space="preserve">And you will come to the king and speak to him according to this word. And Joab put the words</w:t>
      </w:r>
      <w:r>
        <w:rPr>
          <w:rStyle w:val="FootnoteReference"/>
        </w:rPr>
        <w:footnoteReference w:id="6020"/>
      </w:r>
      <w:r>
        <w:t xml:space="preserve"> in her mouth.</w:t>
      </w:r>
    </w:p>
    <w:p>
      <w:r>
        <w:rPr>
          <w:b/>
        </w:rPr>
        <w:t xml:space="preserve">4 </w:t>
      </w:r>
      <w:r>
        <w:t xml:space="preserve">And the Tekoah</w:t>
      </w:r>
      <w:r>
        <w:rPr>
          <w:rStyle w:val="FootnoteReference"/>
        </w:rPr>
        <w:footnoteReference w:id="6021"/>
      </w:r>
      <w:r>
        <w:t xml:space="preserve"> woman entered to the king and fell on her</w:t>
      </w:r>
      <w:r>
        <w:rPr>
          <w:rStyle w:val="FootnoteReference"/>
        </w:rPr>
        <w:footnoteReference w:id="6022"/>
      </w:r>
      <w:r>
        <w:t xml:space="preserve"> face to the ground and bowed down to him and said, Save, king, save.</w:t>
      </w:r>
    </w:p>
    <w:p>
      <w:r>
        <w:rPr>
          <w:b/>
        </w:rPr>
        <w:t xml:space="preserve">5 </w:t>
      </w:r>
      <w:r>
        <w:t xml:space="preserve">And the king said to her, What is with you? And she said, Truly I am a widow woman</w:t>
      </w:r>
      <w:r>
        <w:rPr>
          <w:rStyle w:val="FootnoteReference"/>
        </w:rPr>
        <w:footnoteReference w:id="6023"/>
      </w:r>
      <w:r>
        <w:t xml:space="preserve">, and my husband died.</w:t>
      </w:r>
    </w:p>
    <w:p>
      <w:r>
        <w:rPr>
          <w:b/>
        </w:rPr>
        <w:t xml:space="preserve">6 </w:t>
      </w:r>
      <w:r>
        <w:t xml:space="preserve">And indeed your servant had two sons, and both fought in the field, and there was no one separating between them, and the one struck his brother and killed him.</w:t>
      </w:r>
    </w:p>
    <w:p>
      <w:r>
        <w:rPr>
          <w:b/>
        </w:rPr>
        <w:t xml:space="preserve">7 </w:t>
      </w:r>
      <w:r>
        <w:t xml:space="preserve">And behold, the whole</w:t>
      </w:r>
      <w:r>
        <w:rPr>
          <w:rStyle w:val="FootnoteReference"/>
        </w:rPr>
        <w:footnoteReference w:id="6024"/>
      </w:r>
      <w:r>
        <w:t xml:space="preserve"> clan rose against your servant and said, Give the one striking his brother, and we will put him to death for the life of his brother whom he killed, and we will remove also your heir. And they will quench my coal left behind, so as not to set for my husband remnant and name on the face of the earth.</w:t>
      </w:r>
    </w:p>
    <w:p>
      <w:r>
        <w:rPr>
          <w:b/>
        </w:rPr>
        <w:t xml:space="preserve">8 </w:t>
      </w:r>
      <w:r>
        <w:t xml:space="preserve">And the king said, Go to your house in health, and I myself will command concerning you.</w:t>
      </w:r>
    </w:p>
    <w:p>
      <w:r>
        <w:rPr>
          <w:b/>
        </w:rPr>
        <w:t xml:space="preserve">9 </w:t>
      </w:r>
      <w:r>
        <w:t xml:space="preserve">And the Tekoah woman said to the king, Upon me, my lord king, be the lawlessness, and upon my father’s house, and the king</w:t>
      </w:r>
      <w:r>
        <w:rPr>
          <w:rStyle w:val="FootnoteReference"/>
        </w:rPr>
        <w:footnoteReference w:id="6025"/>
      </w:r>
      <w:r>
        <w:t xml:space="preserve"> and his throne are innocent.</w:t>
      </w:r>
    </w:p>
    <w:p>
      <w:r>
        <w:rPr>
          <w:b/>
        </w:rPr>
        <w:t xml:space="preserve">10 </w:t>
      </w:r>
      <w:r>
        <w:t xml:space="preserve">And the king said, Who is speaking to you? And you will bring him to me, and he will not add still to touch him.</w:t>
      </w:r>
    </w:p>
    <w:p>
      <w:r>
        <w:rPr>
          <w:b/>
        </w:rPr>
        <w:t xml:space="preserve">11 </w:t>
      </w:r>
      <w:r>
        <w:t xml:space="preserve">And she said, Let the king</w:t>
      </w:r>
      <w:r>
        <w:rPr>
          <w:rStyle w:val="FootnoteReference"/>
        </w:rPr>
        <w:footnoteReference w:id="6026"/>
      </w:r>
      <w:r>
        <w:t xml:space="preserve"> now remember the Lord his God, that the avenger of blood not multiply</w:t>
      </w:r>
      <w:r>
        <w:rPr>
          <w:rStyle w:val="FootnoteReference"/>
        </w:rPr>
        <w:footnoteReference w:id="6027"/>
      </w:r>
      <w:r>
        <w:t xml:space="preserve"> to destroy, and they certainly will not remove my son. And he said, As the Lord lives, if a hair of your son falls to the ground.</w:t>
      </w:r>
    </w:p>
    <w:p>
      <w:r>
        <w:rPr>
          <w:b/>
        </w:rPr>
        <w:t xml:space="preserve">12 </w:t>
      </w:r>
      <w:r>
        <w:t xml:space="preserve">And the woman said, Let your servant now speak a word to my lord the king. And he said, Speak.</w:t>
      </w:r>
    </w:p>
    <w:p>
      <w:r>
        <w:rPr>
          <w:b/>
        </w:rPr>
        <w:t xml:space="preserve">13 </w:t>
      </w:r>
      <w:r>
        <w:t xml:space="preserve">And the woman said, Why have you reckoned such a thing against the people</w:t>
      </w:r>
      <w:r>
        <w:rPr>
          <w:rStyle w:val="FootnoteReference"/>
        </w:rPr>
        <w:footnoteReference w:id="6028"/>
      </w:r>
      <w:r>
        <w:t xml:space="preserve"> of God? Even from the mouth of the king this word is like an offense, in that the king does not bring back his banished one.</w:t>
      </w:r>
    </w:p>
    <w:p>
      <w:r>
        <w:rPr>
          <w:b/>
        </w:rPr>
        <w:t xml:space="preserve">14 </w:t>
      </w:r>
      <w:r>
        <w:t xml:space="preserve">Because in death we will die</w:t>
      </w:r>
      <w:r>
        <w:rPr>
          <w:rStyle w:val="FootnoteReference"/>
        </w:rPr>
        <w:footnoteReference w:id="6029"/>
      </w:r>
      <w:r>
        <w:t xml:space="preserve">, and like the water poured down upon the ground, which will not be gathered, and God will take a life, yet he devises ways for the banished one not to remain banished from him.</w:t>
      </w:r>
    </w:p>
    <w:p>
      <w:r>
        <w:rPr>
          <w:b/>
        </w:rPr>
        <w:t xml:space="preserve">15 </w:t>
      </w:r>
      <w:r>
        <w:t xml:space="preserve">And now that I came to speak this word to my lord the king is because the people will see me, and your servant will say, Let me now speak to the king, if perhaps the king will do the word of his servant.</w:t>
      </w:r>
      <w:r>
        <w:rPr>
          <w:rStyle w:val="FootnoteReference"/>
        </w:rPr>
        <w:footnoteReference w:id="6030"/>
      </w:r>
    </w:p>
    <w:p>
      <w:r>
        <w:rPr>
          <w:b/>
        </w:rPr>
        <w:t xml:space="preserve">16 </w:t>
      </w:r>
      <w:r>
        <w:t xml:space="preserve">Because the king will listen to rescue his servant from the hand of the man seeking to remove me and my son from the inheritance of God.</w:t>
      </w:r>
    </w:p>
    <w:p>
      <w:r>
        <w:rPr>
          <w:b/>
        </w:rPr>
        <w:t xml:space="preserve">17 </w:t>
      </w:r>
      <w:r>
        <w:t xml:space="preserve">And the woman said, Let the word of my lord the king now be as an offering</w:t>
      </w:r>
      <w:r>
        <w:rPr>
          <w:rStyle w:val="FootnoteReference"/>
        </w:rPr>
        <w:footnoteReference w:id="6031"/>
      </w:r>
      <w:r>
        <w:t xml:space="preserve">, because as an angel</w:t>
      </w:r>
      <w:r>
        <w:rPr>
          <w:rStyle w:val="FootnoteReference"/>
        </w:rPr>
        <w:footnoteReference w:id="6032"/>
      </w:r>
      <w:r>
        <w:t xml:space="preserve"> of God so is my lord the king, to hear the good and the evil, and the Lord your God will be with you.</w:t>
      </w:r>
    </w:p>
    <w:p>
      <w:r>
        <w:rPr>
          <w:b/>
        </w:rPr>
        <w:t xml:space="preserve">18 </w:t>
      </w:r>
      <w:r>
        <w:t xml:space="preserve">And the king answered and said to the woman, Do not hide from me now a word which I ask you. And the woman said, Let my lord the king speak.</w:t>
      </w:r>
    </w:p>
    <w:p>
      <w:r>
        <w:rPr>
          <w:b/>
        </w:rPr>
        <w:t xml:space="preserve">19 </w:t>
      </w:r>
      <w:r>
        <w:t xml:space="preserve">And the king said, Is the hand of Joab</w:t>
      </w:r>
      <w:r>
        <w:rPr>
          <w:rStyle w:val="FootnoteReference"/>
        </w:rPr>
        <w:footnoteReference w:id="6033"/>
      </w:r>
      <w:r>
        <w:t xml:space="preserve"> with you in all this? And the woman said to the king, As your life lives, my lord king, there is not to the right or to the left from all that my lord the king spoke, because your servant Joab, he himself commanded me, and he himself put in the mouth of your servant</w:t>
      </w:r>
      <w:r>
        <w:rPr>
          <w:rStyle w:val="FootnoteReference"/>
        </w:rPr>
        <w:footnoteReference w:id="6034"/>
      </w:r>
      <w:r>
        <w:t xml:space="preserve"> all these words.</w:t>
      </w:r>
    </w:p>
    <w:p>
      <w:r>
        <w:rPr>
          <w:b/>
        </w:rPr>
        <w:t xml:space="preserve">20 </w:t>
      </w:r>
      <w:r>
        <w:t xml:space="preserve">For the sake of turning the face of this matter, your servant Joab did this thing, and my lord is wise like the wisdom of an angel of God, to know</w:t>
      </w:r>
      <w:r>
        <w:rPr>
          <w:rStyle w:val="FootnoteReference"/>
        </w:rPr>
        <w:footnoteReference w:id="6035"/>
      </w:r>
      <w:r>
        <w:t xml:space="preserve"> all the things on the earth.</w:t>
      </w:r>
    </w:p>
    <w:p>
      <w:r>
        <w:rPr>
          <w:b/>
        </w:rPr>
        <w:t xml:space="preserve">21 </w:t>
      </w:r>
      <w:r>
        <w:t xml:space="preserve">And the king said to Joab, Behold now, I have done</w:t>
      </w:r>
      <w:r>
        <w:rPr>
          <w:rStyle w:val="FootnoteReference"/>
        </w:rPr>
        <w:footnoteReference w:id="6036"/>
      </w:r>
      <w:r>
        <w:t xml:space="preserve"> for you according to this word of yours. Go, bring back the young man Absalom.</w:t>
      </w:r>
    </w:p>
    <w:p>
      <w:r>
        <w:rPr>
          <w:b/>
        </w:rPr>
        <w:t xml:space="preserve">22 </w:t>
      </w:r>
      <w:r>
        <w:t xml:space="preserve">And Joab fell on his face to the ground and bowed down and blessed the king, and Joab said, Today your servant knows that I have found</w:t>
      </w:r>
      <w:r>
        <w:rPr>
          <w:rStyle w:val="FootnoteReference"/>
        </w:rPr>
        <w:footnoteReference w:id="6037"/>
      </w:r>
      <w:r>
        <w:t xml:space="preserve"> favor in your eyes, my lord king, because my lord the king has done the word of his servant.</w:t>
      </w:r>
      <w:r>
        <w:rPr>
          <w:rStyle w:val="FootnoteReference"/>
        </w:rPr>
        <w:footnoteReference w:id="6038"/>
      </w:r>
    </w:p>
    <w:p>
      <w:r>
        <w:rPr>
          <w:b/>
        </w:rPr>
        <w:t xml:space="preserve">23 </w:t>
      </w:r>
      <w:r>
        <w:t xml:space="preserve">And Joab rose and went to Geshur</w:t>
      </w:r>
      <w:r>
        <w:rPr>
          <w:rStyle w:val="FootnoteReference"/>
        </w:rPr>
        <w:footnoteReference w:id="6039"/>
      </w:r>
      <w:r>
        <w:t xml:space="preserve"> and brought Absalom into Jerusalem.</w:t>
      </w:r>
    </w:p>
    <w:p>
      <w:r>
        <w:rPr>
          <w:b/>
        </w:rPr>
        <w:t xml:space="preserve">24 </w:t>
      </w:r>
      <w:r>
        <w:t xml:space="preserve">And the king said, Let him turn to his own house, and let him not</w:t>
      </w:r>
      <w:r>
        <w:rPr>
          <w:rStyle w:val="FootnoteReference"/>
        </w:rPr>
        <w:footnoteReference w:id="6040"/>
      </w:r>
      <w:r>
        <w:t xml:space="preserve"> see my face. And Absalom turned to his house, and he did not see the face of the king.</w:t>
      </w:r>
    </w:p>
    <w:p>
      <w:r>
        <w:rPr>
          <w:b/>
        </w:rPr>
        <w:t xml:space="preserve">25 </w:t>
      </w:r>
      <w:r>
        <w:t xml:space="preserve">And as for Absalom, there was no man in all Israel praised so greatly. From the sole</w:t>
      </w:r>
      <w:r>
        <w:rPr>
          <w:rStyle w:val="FootnoteReference"/>
        </w:rPr>
        <w:footnoteReference w:id="6041"/>
      </w:r>
      <w:r>
        <w:t xml:space="preserve"> of his foot to his crown there was no blemish in him.</w:t>
      </w:r>
    </w:p>
    <w:p>
      <w:r>
        <w:rPr>
          <w:b/>
        </w:rPr>
        <w:t xml:space="preserve">26 </w:t>
      </w:r>
      <w:r>
        <w:t xml:space="preserve">And when he cut his head, and it came to be from the beginning of days to days</w:t>
      </w:r>
      <w:r>
        <w:rPr>
          <w:rStyle w:val="FootnoteReference"/>
        </w:rPr>
        <w:footnoteReference w:id="6042"/>
      </w:r>
      <w:r>
        <w:t xml:space="preserve"> as he would cut it because it weighed heavily upon him, cutting it he weighed the hair of his head at two hundred shekels</w:t>
      </w:r>
      <w:r>
        <w:rPr>
          <w:rStyle w:val="FootnoteReference"/>
        </w:rPr>
        <w:footnoteReference w:id="6043"/>
      </w:r>
      <w:r>
        <w:t xml:space="preserve"> by the royal shekel.</w:t>
      </w:r>
    </w:p>
    <w:p>
      <w:r>
        <w:rPr>
          <w:b/>
        </w:rPr>
        <w:t xml:space="preserve">27 </w:t>
      </w:r>
      <w:r>
        <w:t xml:space="preserve">And there were born</w:t>
      </w:r>
      <w:r>
        <w:rPr>
          <w:rStyle w:val="FootnoteReference"/>
        </w:rPr>
        <w:footnoteReference w:id="6044"/>
      </w:r>
      <w:r>
        <w:t xml:space="preserve"> to Absalom three sons and one daughter, and her name was Tamar. She was a very beautiful woman and became wife to Rehoboam son of Solomon and bore to him Abijah.</w:t>
      </w:r>
    </w:p>
    <w:p>
      <w:r>
        <w:rPr>
          <w:b/>
        </w:rPr>
        <w:t xml:space="preserve">28 </w:t>
      </w:r>
      <w:r>
        <w:t xml:space="preserve">And Absalom sat in Jerusalem two years of days, and he did not see the face of the king.</w:t>
      </w:r>
    </w:p>
    <w:p>
      <w:r>
        <w:rPr>
          <w:b/>
        </w:rPr>
        <w:t xml:space="preserve">29 </w:t>
      </w:r>
      <w:r>
        <w:t xml:space="preserve">And Absalom sent to Joab to send him to the king, and he was not willing to come to him, and he sent a second time to him, and he was not willing to come.</w:t>
      </w:r>
    </w:p>
    <w:p>
      <w:r>
        <w:rPr>
          <w:b/>
        </w:rPr>
        <w:t xml:space="preserve">30 </w:t>
      </w:r>
      <w:r>
        <w:t xml:space="preserve">And Absalom said to his servants, See, the portion in the field of Joab lies next to mine, and barley is there. Go and burn it with fire. And the servants of Absalom burned them, and the servants of Joab came to him with garments torn and said, The servants of Absalom burned the portion with fire.</w:t>
      </w:r>
    </w:p>
    <w:p>
      <w:r>
        <w:rPr>
          <w:b/>
        </w:rPr>
        <w:t xml:space="preserve">31 </w:t>
      </w:r>
      <w:r>
        <w:t xml:space="preserve">And Joab rose and came to Absalom at the house and said to him, Why did your servants burn my portion with fire?</w:t>
      </w:r>
    </w:p>
    <w:p>
      <w:r>
        <w:rPr>
          <w:b/>
        </w:rPr>
        <w:t xml:space="preserve">32 </w:t>
      </w:r>
      <w:r>
        <w:t xml:space="preserve">And Absalom said to Joab, Behold, I sent to you, saying, Come here and I will send you to the king, saying, Why did I come from Geshur? It was good for me still to be there. And now behold, I have not seen the face of the king</w:t>
      </w:r>
      <w:r>
        <w:rPr>
          <w:rStyle w:val="FootnoteReference"/>
        </w:rPr>
        <w:footnoteReference w:id="6045"/>
      </w:r>
      <w:r>
        <w:t xml:space="preserve">, and if there</w:t>
      </w:r>
      <w:r>
        <w:rPr>
          <w:rStyle w:val="FootnoteReference"/>
        </w:rPr>
        <w:footnoteReference w:id="6046"/>
      </w:r>
      <w:r>
        <w:t xml:space="preserve"> is wrongdoing in me, then put me to death.</w:t>
      </w:r>
    </w:p>
    <w:p>
      <w:r>
        <w:rPr>
          <w:b/>
        </w:rPr>
        <w:t xml:space="preserve">33 </w:t>
      </w:r>
      <w:r>
        <w:t xml:space="preserve">And Joab entered to the king and reported to him, and he called Absalom, and he entered to the king and bowed down to him and fell on his face to the ground before the king, and the king kissed Absalom</w:t>
      </w:r>
      <w:r>
        <w:rPr>
          <w:rStyle w:val="FootnoteReference"/>
        </w:rPr>
        <w:footnoteReference w:id="6047"/>
      </w:r>
      <w:r>
        <w:t xml:space="preserve">.</w:t>
      </w:r>
      <w:r>
        <w:rPr>
          <w:rStyle w:val="FootnoteReference"/>
        </w:rPr>
        <w:footnoteReference w:id="6048"/>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it came to be after these things, Absalom</w:t>
      </w:r>
      <w:r>
        <w:rPr>
          <w:rStyle w:val="FootnoteReference"/>
        </w:rPr>
        <w:footnoteReference w:id="6049"/>
      </w:r>
      <w:r>
        <w:t xml:space="preserve"> made for himself chariots and horses and fifty men to run before him.</w:t>
      </w:r>
    </w:p>
    <w:p>
      <w:r>
        <w:rPr>
          <w:b/>
        </w:rPr>
        <w:t xml:space="preserve">2 </w:t>
      </w:r>
      <w:r>
        <w:t xml:space="preserve">And Absalom rose early and stood by the side of the road of the gate, and it came to be every man who had a judgment came to the king for judgment, and Absalom would cry out to him and say to him, From what city are you? And the man would say, Your servant is from one of the tribes of Israel.</w:t>
      </w:r>
      <w:r>
        <w:rPr>
          <w:rStyle w:val="FootnoteReference"/>
        </w:rPr>
        <w:footnoteReference w:id="6050"/>
      </w:r>
    </w:p>
    <w:p>
      <w:r>
        <w:rPr>
          <w:b/>
        </w:rPr>
        <w:t xml:space="preserve">3 </w:t>
      </w:r>
      <w:r>
        <w:t xml:space="preserve">And Absalom said to him, Behold, your words are good and easy, but there is</w:t>
      </w:r>
      <w:r>
        <w:rPr>
          <w:rStyle w:val="FootnoteReference"/>
        </w:rPr>
        <w:footnoteReference w:id="6051"/>
      </w:r>
      <w:r>
        <w:t xml:space="preserve"> no one hearing you from the king.</w:t>
      </w:r>
    </w:p>
    <w:p>
      <w:r>
        <w:rPr>
          <w:b/>
        </w:rPr>
        <w:t xml:space="preserve">4 </w:t>
      </w:r>
      <w:r>
        <w:t xml:space="preserve">And Absalom said, Who will appoint me judge in the land? And to me every man with dispute and judgment will come, and I will justify him.</w:t>
      </w:r>
    </w:p>
    <w:p>
      <w:r>
        <w:rPr>
          <w:b/>
        </w:rPr>
        <w:t xml:space="preserve">5 </w:t>
      </w:r>
      <w:r>
        <w:t xml:space="preserve">And it came to be, when a man came near to bow down to him, he stretched out his hand and took hold of him and kissed</w:t>
      </w:r>
      <w:r>
        <w:rPr>
          <w:rStyle w:val="FootnoteReference"/>
        </w:rPr>
        <w:footnoteReference w:id="6052"/>
      </w:r>
      <w:r>
        <w:t xml:space="preserve"> him.</w:t>
      </w:r>
    </w:p>
    <w:p>
      <w:r>
        <w:rPr>
          <w:b/>
        </w:rPr>
        <w:t xml:space="preserve">6 </w:t>
      </w:r>
      <w:r>
        <w:t xml:space="preserve">And Absalom did according to this word to all Israel who were coming for judgment to the king, and Absalom was stealing the heart of the men of Israel</w:t>
      </w:r>
      <w:r>
        <w:rPr>
          <w:rStyle w:val="FootnoteReference"/>
        </w:rPr>
        <w:footnoteReference w:id="6053"/>
      </w:r>
      <w:r>
        <w:t xml:space="preserve">.</w:t>
      </w:r>
    </w:p>
    <w:p>
      <w:r>
        <w:rPr>
          <w:b/>
        </w:rPr>
        <w:t xml:space="preserve">7 </w:t>
      </w:r>
      <w:r>
        <w:t xml:space="preserve">And it came to be at the end of forty years</w:t>
      </w:r>
      <w:r>
        <w:rPr>
          <w:rStyle w:val="FootnoteReference"/>
        </w:rPr>
        <w:footnoteReference w:id="6054"/>
      </w:r>
      <w:r>
        <w:t xml:space="preserve">, Absalom said to his father, I will now go and pay my vows that I vowed to the Lord in Hebron.</w:t>
      </w:r>
    </w:p>
    <w:p>
      <w:r>
        <w:rPr>
          <w:b/>
        </w:rPr>
        <w:t xml:space="preserve">8 </w:t>
      </w:r>
      <w:r>
        <w:t xml:space="preserve">Because your servant vowed a vow while I was dwelling in Geshur</w:t>
      </w:r>
      <w:r>
        <w:rPr>
          <w:rStyle w:val="FootnoteReference"/>
        </w:rPr>
        <w:footnoteReference w:id="6055"/>
      </w:r>
      <w:r>
        <w:t xml:space="preserve"> in Syria, saying, If in returning the Lord returns me to Jerusalem, I will serve the Lord.</w:t>
      </w:r>
    </w:p>
    <w:p>
      <w:r>
        <w:rPr>
          <w:b/>
        </w:rPr>
        <w:t xml:space="preserve">9 </w:t>
      </w:r>
      <w:r>
        <w:t xml:space="preserve">And the king said to him, Go in peace. And rising, he went to Hebron.</w:t>
      </w:r>
    </w:p>
    <w:p>
      <w:r>
        <w:rPr>
          <w:b/>
        </w:rPr>
        <w:t xml:space="preserve">10 </w:t>
      </w:r>
      <w:r>
        <w:t xml:space="preserve">And Absalom sent spies</w:t>
      </w:r>
      <w:r>
        <w:rPr>
          <w:rStyle w:val="FootnoteReference"/>
        </w:rPr>
        <w:footnoteReference w:id="6056"/>
      </w:r>
      <w:r>
        <w:t xml:space="preserve"> into all the tribes of Israel, saying, When you hear the sound of the horn, then you will say, King Absalom has become king in Hebron.</w:t>
      </w:r>
    </w:p>
    <w:p>
      <w:r>
        <w:rPr>
          <w:b/>
        </w:rPr>
        <w:t xml:space="preserve">11 </w:t>
      </w:r>
      <w:r>
        <w:t xml:space="preserve">And with Absalom went two hundred men from Jerusalem, invited and going in their simplicity</w:t>
      </w:r>
      <w:r>
        <w:rPr>
          <w:rStyle w:val="FootnoteReference"/>
        </w:rPr>
        <w:footnoteReference w:id="6057"/>
      </w:r>
      <w:r>
        <w:t xml:space="preserve">, and they knew no word.</w:t>
      </w:r>
    </w:p>
    <w:p>
      <w:r>
        <w:rPr>
          <w:b/>
        </w:rPr>
        <w:t xml:space="preserve">12 </w:t>
      </w:r>
      <w:r>
        <w:t xml:space="preserve">And Absalom sent and called Ahithophel</w:t>
      </w:r>
      <w:r>
        <w:rPr>
          <w:rStyle w:val="FootnoteReference"/>
        </w:rPr>
        <w:footnoteReference w:id="6058"/>
      </w:r>
      <w:r>
        <w:t xml:space="preserve"> the Gilonite</w:t>
      </w:r>
      <w:r>
        <w:rPr>
          <w:rStyle w:val="FootnoteReference"/>
        </w:rPr>
        <w:footnoteReference w:id="6059"/>
      </w:r>
      <w:r>
        <w:t xml:space="preserve">, counselor of David, from his city, from Giloh</w:t>
      </w:r>
      <w:r>
        <w:rPr>
          <w:rStyle w:val="FootnoteReference"/>
        </w:rPr>
        <w:footnoteReference w:id="6060"/>
      </w:r>
      <w:r>
        <w:t xml:space="preserve">, while he was sacrificing, and the conspiracy became strong, and the people going with Absalom were many.</w:t>
      </w:r>
      <w:r>
        <w:rPr>
          <w:rStyle w:val="FootnoteReference"/>
        </w:rPr>
        <w:footnoteReference w:id="6061"/>
      </w:r>
      <w:r>
        <w:rPr>
          <w:rStyle w:val="FootnoteReference"/>
        </w:rPr>
        <w:footnoteReference w:id="6062"/>
      </w:r>
    </w:p>
    <w:p>
      <w:r>
        <w:rPr>
          <w:b/>
        </w:rPr>
        <w:t xml:space="preserve">13 </w:t>
      </w:r>
      <w:r>
        <w:t xml:space="preserve">And the one reporting came to David, saying, The heart of the men of Israel has come to be behind Absalom.</w:t>
      </w:r>
    </w:p>
    <w:p>
      <w:r>
        <w:rPr>
          <w:b/>
        </w:rPr>
        <w:t xml:space="preserve">14 </w:t>
      </w:r>
      <w:r>
        <w:t xml:space="preserve">And David said to all his servants with him in Jerusalem, Rise, and let us flee, because there is no salvation for us</w:t>
      </w:r>
      <w:r>
        <w:rPr>
          <w:rStyle w:val="FootnoteReference"/>
        </w:rPr>
        <w:footnoteReference w:id="6063"/>
      </w:r>
      <w:r>
        <w:t xml:space="preserve"> from before Absalom. Hurry to go, lest he hurry and overtake us and drive evil upon us and strike the city with the mouth of the sword.</w:t>
      </w:r>
    </w:p>
    <w:p>
      <w:r>
        <w:rPr>
          <w:b/>
        </w:rPr>
        <w:t xml:space="preserve">15 </w:t>
      </w:r>
      <w:r>
        <w:t xml:space="preserve">And the servants of the king said to the king, According to all things whatever my lord the king chooses, behold</w:t>
      </w:r>
      <w:r>
        <w:rPr>
          <w:rStyle w:val="FootnoteReference"/>
        </w:rPr>
        <w:footnoteReference w:id="6064"/>
      </w:r>
      <w:r>
        <w:t xml:space="preserve">, your servants.</w:t>
      </w:r>
    </w:p>
    <w:p>
      <w:r>
        <w:rPr>
          <w:b/>
        </w:rPr>
        <w:t xml:space="preserve">16 </w:t>
      </w:r>
      <w:r>
        <w:t xml:space="preserve">And the king went out and all his house on their feet, and the king left ten women</w:t>
      </w:r>
      <w:r>
        <w:rPr>
          <w:rStyle w:val="FootnoteReference"/>
        </w:rPr>
        <w:footnoteReference w:id="6065"/>
      </w:r>
      <w:r>
        <w:t xml:space="preserve">, his concubines, to guard the house.</w:t>
      </w:r>
    </w:p>
    <w:p>
      <w:r>
        <w:rPr>
          <w:b/>
        </w:rPr>
        <w:t xml:space="preserve">17 </w:t>
      </w:r>
      <w:r>
        <w:t xml:space="preserve">And the king went out and all his servants on foot, and they stood at the far house.</w:t>
      </w:r>
    </w:p>
    <w:p>
      <w:r>
        <w:rPr>
          <w:b/>
        </w:rPr>
        <w:t xml:space="preserve">18 </w:t>
      </w:r>
      <w:r>
        <w:t xml:space="preserve">And all his servants were passing by his side, and all the Cherethites</w:t>
      </w:r>
      <w:r>
        <w:rPr>
          <w:rStyle w:val="FootnoteReference"/>
        </w:rPr>
        <w:footnoteReference w:id="6066"/>
      </w:r>
      <w:r>
        <w:t xml:space="preserve"> and all the Pelethites stood by the olive tree in the wilderness, and all the people were passing on near him, and all those around him and all the stout men and all the fighters, six hundred men, and all the Cherethites and all the Pelethites and all the Gittites, six hundred men who had come on their feet from Gath, were going before the king.</w:t>
      </w:r>
      <w:r>
        <w:rPr>
          <w:rStyle w:val="FootnoteReference"/>
        </w:rPr>
        <w:footnoteReference w:id="6067"/>
      </w:r>
    </w:p>
    <w:p>
      <w:r>
        <w:rPr>
          <w:b/>
        </w:rPr>
        <w:t xml:space="preserve">19 </w:t>
      </w:r>
      <w:r>
        <w:t xml:space="preserve">And the king said to Ittai</w:t>
      </w:r>
      <w:r>
        <w:rPr>
          <w:rStyle w:val="FootnoteReference"/>
        </w:rPr>
        <w:footnoteReference w:id="6068"/>
      </w:r>
      <w:r>
        <w:t xml:space="preserve"> the Gittite, Why are you also going with us? Return and dwell with the king, because you are a foreigner and because you have migrated from your place.</w:t>
      </w:r>
      <w:r>
        <w:rPr>
          <w:rStyle w:val="FootnoteReference"/>
        </w:rPr>
        <w:footnoteReference w:id="6069"/>
      </w:r>
    </w:p>
    <w:p>
      <w:r>
        <w:rPr>
          <w:b/>
        </w:rPr>
        <w:t xml:space="preserve">20 </w:t>
      </w:r>
      <w:r>
        <w:t xml:space="preserve">Yesterday you came, and today shall I move you with us? And indeed you will migrate your place? Yesterday your coming, and today shall I move you with us to go? And I will go wherever I go. Return and return your brothers with you, and the Lord will do mercy</w:t>
      </w:r>
      <w:r>
        <w:rPr>
          <w:rStyle w:val="FootnoteReference"/>
        </w:rPr>
        <w:footnoteReference w:id="6070"/>
      </w:r>
      <w:r>
        <w:t xml:space="preserve"> and truth with you.</w:t>
      </w:r>
    </w:p>
    <w:p>
      <w:r>
        <w:rPr>
          <w:b/>
        </w:rPr>
        <w:t xml:space="preserve">21 </w:t>
      </w:r>
      <w:r>
        <w:t xml:space="preserve">And Ittai answered the king and said, As the Lord</w:t>
      </w:r>
      <w:r>
        <w:rPr>
          <w:rStyle w:val="FootnoteReference"/>
        </w:rPr>
        <w:footnoteReference w:id="6071"/>
      </w:r>
      <w:r>
        <w:t xml:space="preserve"> lives and as my lord the king lives, in the place where my lord is, whether for death or for life, there your servant will be.</w:t>
      </w:r>
    </w:p>
    <w:p>
      <w:r>
        <w:rPr>
          <w:b/>
        </w:rPr>
        <w:t xml:space="preserve">22 </w:t>
      </w:r>
      <w:r>
        <w:t xml:space="preserve">And the king said to Ittai, Come and pass over with me. And Ittai the Gittite passed over, and all his servants and all the crowd with him.</w:t>
      </w:r>
    </w:p>
    <w:p>
      <w:r>
        <w:rPr>
          <w:b/>
        </w:rPr>
        <w:t xml:space="preserve">23 </w:t>
      </w:r>
      <w:r>
        <w:t xml:space="preserve">And all the land was weeping with a great voice, and all the people were passing in the wadi Kidron</w:t>
      </w:r>
      <w:r>
        <w:rPr>
          <w:rStyle w:val="FootnoteReference"/>
        </w:rPr>
        <w:footnoteReference w:id="6072"/>
      </w:r>
      <w:r>
        <w:t xml:space="preserve">, and the king crossed the wadi Kidron, and all the people and the king were passing on toward the road of the wilderness.</w:t>
      </w:r>
    </w:p>
    <w:p>
      <w:r>
        <w:rPr>
          <w:b/>
        </w:rPr>
        <w:t xml:space="preserve">24 </w:t>
      </w:r>
      <w:r>
        <w:t xml:space="preserve">And behold, also Zadok</w:t>
      </w:r>
      <w:r>
        <w:rPr>
          <w:rStyle w:val="FootnoteReference"/>
        </w:rPr>
        <w:footnoteReference w:id="6073"/>
      </w:r>
      <w:r>
        <w:t xml:space="preserve"> and all the Levites with him carrying the ark of the covenant of the Lord</w:t>
      </w:r>
      <w:r>
        <w:rPr>
          <w:rStyle w:val="FootnoteReference"/>
        </w:rPr>
        <w:footnoteReference w:id="6074"/>
      </w:r>
      <w:r>
        <w:t xml:space="preserve"> from Abiathar, and they set the ark of God down, and Abiathar went up until all the people ceased passing out of the city.</w:t>
      </w:r>
    </w:p>
    <w:p>
      <w:r>
        <w:rPr>
          <w:b/>
        </w:rPr>
        <w:t xml:space="preserve">25 </w:t>
      </w:r>
      <w:r>
        <w:t xml:space="preserve">And the king said to Zadok, Turn back the ark of God into the city. If I find favor in the eyes of the Lord, he will return me and show me it and its beauty.</w:t>
      </w:r>
    </w:p>
    <w:p>
      <w:r>
        <w:rPr>
          <w:b/>
        </w:rPr>
        <w:t xml:space="preserve">26 </w:t>
      </w:r>
      <w:r>
        <w:t xml:space="preserve">And if he says thus, I have not delighted in you, behold, here I am; let him do to me according to the good in his eyes.</w:t>
      </w:r>
    </w:p>
    <w:p>
      <w:r>
        <w:rPr>
          <w:b/>
        </w:rPr>
        <w:t xml:space="preserve">27 </w:t>
      </w:r>
      <w:r>
        <w:t xml:space="preserve">And the king said to Zadok the priest, See, you are returning into the city in peace, and Ahimaaz your son and Jonathan son of Abiathar, your two sons with you.</w:t>
      </w:r>
    </w:p>
    <w:p>
      <w:r>
        <w:rPr>
          <w:b/>
        </w:rPr>
        <w:t xml:space="preserve">28 </w:t>
      </w:r>
      <w:r>
        <w:t xml:space="preserve">See, I am encamping in the plains of the wilderness until a word comes from you to report to me.</w:t>
      </w:r>
    </w:p>
    <w:p>
      <w:r>
        <w:rPr>
          <w:b/>
        </w:rPr>
        <w:t xml:space="preserve">29 </w:t>
      </w:r>
      <w:r>
        <w:t xml:space="preserve">And Zadok and Abiathar turned the ark into Jerusalem and sat there.</w:t>
      </w:r>
    </w:p>
    <w:p>
      <w:r>
        <w:rPr>
          <w:b/>
        </w:rPr>
        <w:t xml:space="preserve">30 </w:t>
      </w:r>
      <w:r>
        <w:t xml:space="preserve">And David was going up in the ascent</w:t>
      </w:r>
      <w:r>
        <w:rPr>
          <w:rStyle w:val="FootnoteReference"/>
        </w:rPr>
        <w:footnoteReference w:id="6075"/>
      </w:r>
      <w:r>
        <w:t xml:space="preserve"> of the olives, going up and weeping</w:t>
      </w:r>
      <w:r>
        <w:rPr>
          <w:rStyle w:val="FootnoteReference"/>
        </w:rPr>
        <w:footnoteReference w:id="6076"/>
      </w:r>
      <w:r>
        <w:t xml:space="preserve">, and his head covered, and he was going barefoot, and all the people with him covered each man his head, and they were going up, going up and weeping.</w:t>
      </w:r>
    </w:p>
    <w:p>
      <w:r>
        <w:rPr>
          <w:b/>
        </w:rPr>
        <w:t xml:space="preserve">31 </w:t>
      </w:r>
      <w:r>
        <w:t xml:space="preserve">And it was reported to David, saying, And Ahithophel</w:t>
      </w:r>
      <w:r>
        <w:rPr>
          <w:rStyle w:val="FootnoteReference"/>
        </w:rPr>
        <w:footnoteReference w:id="6077"/>
      </w:r>
      <w:r>
        <w:t xml:space="preserve"> is among the conspirators with Absalom. And David said, Scatter now the counsel of Ahithophel, Lord my God.</w:t>
      </w:r>
    </w:p>
    <w:p>
      <w:r>
        <w:rPr>
          <w:b/>
        </w:rPr>
        <w:t xml:space="preserve">32 </w:t>
      </w:r>
      <w:r>
        <w:t xml:space="preserve">And David was coming as far as the summit where he bowed there to God, and behold, to meet him was Cushi</w:t>
      </w:r>
      <w:r>
        <w:rPr>
          <w:rStyle w:val="FootnoteReference"/>
        </w:rPr>
        <w:footnoteReference w:id="6078"/>
      </w:r>
      <w:r>
        <w:t xml:space="preserve">, chief companion of David, with his tunic torn and earth on his head.</w:t>
      </w:r>
    </w:p>
    <w:p>
      <w:r>
        <w:rPr>
          <w:b/>
        </w:rPr>
        <w:t xml:space="preserve">33 </w:t>
      </w:r>
      <w:r>
        <w:t xml:space="preserve">And David said to him, If you cross over with me, you will be a burden upon me.</w:t>
      </w:r>
    </w:p>
    <w:p>
      <w:r>
        <w:rPr>
          <w:b/>
        </w:rPr>
        <w:t xml:space="preserve">34 </w:t>
      </w:r>
      <w:r>
        <w:t xml:space="preserve">But if you return</w:t>
      </w:r>
      <w:r>
        <w:rPr>
          <w:rStyle w:val="FootnoteReference"/>
        </w:rPr>
        <w:footnoteReference w:id="6079"/>
      </w:r>
      <w:r>
        <w:t xml:space="preserve"> to the city and say to Absalom, Your brothers have passed through, and the king behind me, your father, has passed through, and now I am your servant, king; then I was your father's servant, and now again I am your servant, and you will scatter for me the counsel</w:t>
      </w:r>
      <w:r>
        <w:rPr>
          <w:rStyle w:val="FootnoteReference"/>
        </w:rPr>
        <w:footnoteReference w:id="6080"/>
      </w:r>
      <w:r>
        <w:t xml:space="preserve"> of Ahithophel.</w:t>
      </w:r>
    </w:p>
    <w:p>
      <w:r>
        <w:rPr>
          <w:b/>
        </w:rPr>
        <w:t xml:space="preserve">35 </w:t>
      </w:r>
      <w:r>
        <w:t xml:space="preserve">And behold, with you there are Zadok and Abiathar the priests, and every word whatever you hear from the house of the king, you will report to Zadok and Abiathar the priests.</w:t>
      </w:r>
    </w:p>
    <w:p>
      <w:r>
        <w:rPr>
          <w:b/>
        </w:rPr>
        <w:t xml:space="preserve">36 </w:t>
      </w:r>
      <w:r>
        <w:t xml:space="preserve">Behold, there with them are their two sons</w:t>
      </w:r>
      <w:r>
        <w:rPr>
          <w:rStyle w:val="FootnoteReference"/>
        </w:rPr>
        <w:footnoteReference w:id="6081"/>
      </w:r>
      <w:r>
        <w:t xml:space="preserve">, Ahimaaz to Zadok and Jonathan to Abiathar, and you will send by their hand to me every word whatever you hear.</w:t>
      </w:r>
    </w:p>
    <w:p>
      <w:r>
        <w:rPr>
          <w:b/>
        </w:rPr>
        <w:t xml:space="preserve">37 </w:t>
      </w:r>
      <w:r>
        <w:t xml:space="preserve">And Cushi, companion of David, entered into the city, and Absalom</w:t>
      </w:r>
      <w:r>
        <w:rPr>
          <w:rStyle w:val="FootnoteReference"/>
        </w:rPr>
        <w:footnoteReference w:id="6082"/>
      </w:r>
      <w:r>
        <w:t xml:space="preserve"> was entering into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David passed a little from the summit, and behold, Ziba</w:t>
      </w:r>
      <w:r>
        <w:rPr>
          <w:rStyle w:val="FootnoteReference"/>
        </w:rPr>
        <w:footnoteReference w:id="6083"/>
      </w:r>
      <w:r>
        <w:t xml:space="preserve"> the servant of Mephibosheth came to meet him, and a pair of saddled donkeys, and on them two hundred loaves and one hundred raisins and one hundred dates and a skin of wine.</w:t>
      </w:r>
      <w:r>
        <w:rPr>
          <w:rStyle w:val="FootnoteReference"/>
        </w:rPr>
        <w:footnoteReference w:id="6084"/>
      </w:r>
    </w:p>
    <w:p>
      <w:r>
        <w:rPr>
          <w:b/>
        </w:rPr>
        <w:t xml:space="preserve">2 </w:t>
      </w:r>
      <w:r>
        <w:t xml:space="preserve">And the king said to Ziba, What are these to you? And Ziba said, The pack animals are for the house of the king to sit on</w:t>
      </w:r>
      <w:r>
        <w:rPr>
          <w:rStyle w:val="FootnoteReference"/>
        </w:rPr>
        <w:footnoteReference w:id="6085"/>
      </w:r>
      <w:r>
        <w:t xml:space="preserve">, and the loaves and the dates for food to the young men, and the wine for the ones faint in the wilderness to drink.</w:t>
      </w:r>
    </w:p>
    <w:p>
      <w:r>
        <w:rPr>
          <w:b/>
        </w:rPr>
        <w:t xml:space="preserve">3 </w:t>
      </w:r>
      <w:r>
        <w:t xml:space="preserve">And the king said, And where is</w:t>
      </w:r>
      <w:r>
        <w:rPr>
          <w:rStyle w:val="FootnoteReference"/>
        </w:rPr>
        <w:footnoteReference w:id="6086"/>
      </w:r>
      <w:r>
        <w:t xml:space="preserve"> the son of your lord? And Ziba said to the king, Behold, he sits in Jerusalem, because he said, Today the house of Israel will return to me the kingdom of my father.</w:t>
      </w:r>
    </w:p>
    <w:p>
      <w:r>
        <w:rPr>
          <w:b/>
        </w:rPr>
        <w:t xml:space="preserve">4 </w:t>
      </w:r>
      <w:r>
        <w:t xml:space="preserve">And the king said to Ziba, Behold</w:t>
      </w:r>
      <w:r>
        <w:rPr>
          <w:rStyle w:val="FootnoteReference"/>
        </w:rPr>
        <w:footnoteReference w:id="6087"/>
      </w:r>
      <w:r>
        <w:t xml:space="preserve">, yours are all the things that belong to Mephibosheth. And Ziba said, Bowing down, May I find favor in your eyes, my lord king.</w:t>
      </w:r>
    </w:p>
    <w:p>
      <w:r>
        <w:rPr>
          <w:b/>
        </w:rPr>
        <w:t xml:space="preserve">5 </w:t>
      </w:r>
      <w:r>
        <w:t xml:space="preserve">And King David came as far as Bahurim</w:t>
      </w:r>
      <w:r>
        <w:rPr>
          <w:rStyle w:val="FootnoteReference"/>
        </w:rPr>
        <w:footnoteReference w:id="6088"/>
      </w:r>
      <w:r>
        <w:t xml:space="preserve">, and behold, from there a man was coming out from the kin of the house of Saul, and his name was Shimei son of Gera. He came out going and cursing,</w:t>
      </w:r>
    </w:p>
    <w:p>
      <w:r>
        <w:rPr>
          <w:b/>
        </w:rPr>
        <w:t xml:space="preserve">6 </w:t>
      </w:r>
      <w:r>
        <w:t xml:space="preserve">and throwing stones at David and all the servants of King David, and all the people were there and all the mighty ones at the right and at the left of the king.</w:t>
      </w:r>
    </w:p>
    <w:p>
      <w:r>
        <w:rPr>
          <w:b/>
        </w:rPr>
        <w:t xml:space="preserve">7 </w:t>
      </w:r>
      <w:r>
        <w:t xml:space="preserve">And thus Shimei was saying while cursing him: Go out, go out, man of bloods and lawless man.</w:t>
      </w:r>
    </w:p>
    <w:p>
      <w:r>
        <w:rPr>
          <w:b/>
        </w:rPr>
        <w:t xml:space="preserve">8 </w:t>
      </w:r>
      <w:r>
        <w:t xml:space="preserve">The Lord has returned</w:t>
      </w:r>
      <w:r>
        <w:rPr>
          <w:rStyle w:val="FootnoteReference"/>
        </w:rPr>
        <w:footnoteReference w:id="6089"/>
      </w:r>
      <w:r>
        <w:t xml:space="preserve"> upon you all the bloods</w:t>
      </w:r>
      <w:r>
        <w:rPr>
          <w:rStyle w:val="FootnoteReference"/>
        </w:rPr>
        <w:footnoteReference w:id="6090"/>
      </w:r>
      <w:r>
        <w:t xml:space="preserve"> of the house of Saul, because you reigned instead of him, and the Lord has given the kingdom into the hand of Absalom your son, and behold, you are in your evil, because you are a man of bloods.</w:t>
      </w:r>
    </w:p>
    <w:p>
      <w:r>
        <w:rPr>
          <w:b/>
        </w:rPr>
        <w:t xml:space="preserve">9 </w:t>
      </w:r>
      <w:r>
        <w:t xml:space="preserve">And Abishai</w:t>
      </w:r>
      <w:r>
        <w:rPr>
          <w:rStyle w:val="FootnoteReference"/>
        </w:rPr>
        <w:footnoteReference w:id="6091"/>
      </w:r>
      <w:r>
        <w:t xml:space="preserve"> son of Zeruiah said to the king, Why is this dead dog cursing my lord the king? I will pass over now and remove his head.</w:t>
      </w:r>
    </w:p>
    <w:p>
      <w:r>
        <w:rPr>
          <w:b/>
        </w:rPr>
        <w:t xml:space="preserve">10 </w:t>
      </w:r>
      <w:r>
        <w:t xml:space="preserve">And the king said, What is to me and to you, sons of Zeruiah? Leave him and thus let him curse, because the Lord told him to curse David, and who will say, Why did you do thus?</w:t>
      </w:r>
    </w:p>
    <w:p>
      <w:r>
        <w:rPr>
          <w:b/>
        </w:rPr>
        <w:t xml:space="preserve">11 </w:t>
      </w:r>
      <w:r>
        <w:t xml:space="preserve">And David said to Abishai and to all his servants, Behold</w:t>
      </w:r>
      <w:r>
        <w:rPr>
          <w:rStyle w:val="FootnoteReference"/>
        </w:rPr>
        <w:footnoteReference w:id="6092"/>
      </w:r>
      <w:r>
        <w:t xml:space="preserve">, my son who came out of my belly</w:t>
      </w:r>
      <w:r>
        <w:rPr>
          <w:rStyle w:val="FootnoteReference"/>
        </w:rPr>
        <w:footnoteReference w:id="6093"/>
      </w:r>
      <w:r>
        <w:t xml:space="preserve"> seeks my life, and how much more now this Benjamite. Leave him to curse, because the Lord told him.</w:t>
      </w:r>
    </w:p>
    <w:p>
      <w:r>
        <w:rPr>
          <w:b/>
        </w:rPr>
        <w:t xml:space="preserve">12 </w:t>
      </w:r>
      <w:r>
        <w:t xml:space="preserve">If perhaps the Lord</w:t>
      </w:r>
      <w:r>
        <w:rPr>
          <w:rStyle w:val="FootnoteReference"/>
        </w:rPr>
        <w:footnoteReference w:id="6094"/>
      </w:r>
      <w:r>
        <w:t xml:space="preserve"> will look upon my humiliation and return to me good instead of his curse on this day.</w:t>
      </w:r>
    </w:p>
    <w:p>
      <w:r>
        <w:rPr>
          <w:b/>
        </w:rPr>
        <w:t xml:space="preserve">13 </w:t>
      </w:r>
      <w:r>
        <w:t xml:space="preserve">And David and his men were going on the road, and Shimei was going on the side of the mountain next to him, going and cursing and throwing stones from his side and casting dust.</w:t>
      </w:r>
    </w:p>
    <w:p>
      <w:r>
        <w:rPr>
          <w:b/>
        </w:rPr>
        <w:t xml:space="preserve">14 </w:t>
      </w:r>
      <w:r>
        <w:t xml:space="preserve">And the king came and all his people faint, and they refreshed themselves there.</w:t>
      </w:r>
    </w:p>
    <w:p>
      <w:r>
        <w:rPr>
          <w:b/>
        </w:rPr>
        <w:t xml:space="preserve">15 </w:t>
      </w:r>
      <w:r>
        <w:t xml:space="preserve">And Absalom</w:t>
      </w:r>
      <w:r>
        <w:rPr>
          <w:rStyle w:val="FootnoteReference"/>
        </w:rPr>
        <w:footnoteReference w:id="6095"/>
      </w:r>
      <w:r>
        <w:t xml:space="preserve"> and every man of Israel entered into Jerusalem, and Ahithophel with him.</w:t>
      </w:r>
    </w:p>
    <w:p>
      <w:r>
        <w:rPr>
          <w:b/>
        </w:rPr>
        <w:t xml:space="preserve">16 </w:t>
      </w:r>
      <w:r>
        <w:t xml:space="preserve">And it came to be, when Cushi, chief companion of David, came to Absalom, Cushi said to Absalom, Long live the king.</w:t>
      </w:r>
    </w:p>
    <w:p>
      <w:r>
        <w:rPr>
          <w:b/>
        </w:rPr>
        <w:t xml:space="preserve">17 </w:t>
      </w:r>
      <w:r>
        <w:t xml:space="preserve">And Absalom said to Cushi, Is this your mercy with your companion? Why did you not go with your companion?</w:t>
      </w:r>
    </w:p>
    <w:p>
      <w:r>
        <w:rPr>
          <w:b/>
        </w:rPr>
        <w:t xml:space="preserve">18 </w:t>
      </w:r>
      <w:r>
        <w:t xml:space="preserve">And Cushi said to Absalom, No, but behind whom the Lord chose and this people and every man of Israel, to him I will belong and with him I will sit.</w:t>
      </w:r>
    </w:p>
    <w:p>
      <w:r>
        <w:rPr>
          <w:b/>
        </w:rPr>
        <w:t xml:space="preserve">19 </w:t>
      </w:r>
      <w:r>
        <w:t xml:space="preserve">And the second thing: whom shall I serve? Shall it not be before his son? As I served before your father, so I will be before you.</w:t>
      </w:r>
    </w:p>
    <w:p>
      <w:r>
        <w:rPr>
          <w:b/>
        </w:rPr>
        <w:t xml:space="preserve">20 </w:t>
      </w:r>
      <w:r>
        <w:t xml:space="preserve">And Absalom said to Ahithophel, Bring counsel for yourselves. What shall we do?</w:t>
      </w:r>
    </w:p>
    <w:p>
      <w:r>
        <w:rPr>
          <w:b/>
        </w:rPr>
        <w:t xml:space="preserve">21 </w:t>
      </w:r>
      <w:r>
        <w:t xml:space="preserve">And Ahithophel said to Absalom, Go in</w:t>
      </w:r>
      <w:r>
        <w:rPr>
          <w:rStyle w:val="FootnoteReference"/>
        </w:rPr>
        <w:footnoteReference w:id="6096"/>
      </w:r>
      <w:r>
        <w:t xml:space="preserve"> to the concubines of your father whom he left to guard his house, and all Israel will hear that you have put your father to shame</w:t>
      </w:r>
      <w:r>
        <w:rPr>
          <w:rStyle w:val="FootnoteReference"/>
        </w:rPr>
        <w:footnoteReference w:id="6097"/>
      </w:r>
      <w:r>
        <w:t xml:space="preserve">, and the hands of all those with you will be strengthened.</w:t>
      </w:r>
    </w:p>
    <w:p>
      <w:r>
        <w:rPr>
          <w:b/>
        </w:rPr>
        <w:t xml:space="preserve">22 </w:t>
      </w:r>
      <w:r>
        <w:t xml:space="preserve">And they pitched the tent for Absalom on the roof, and Absalom went in</w:t>
      </w:r>
      <w:r>
        <w:rPr>
          <w:rStyle w:val="FootnoteReference"/>
        </w:rPr>
        <w:footnoteReference w:id="6098"/>
      </w:r>
      <w:r>
        <w:t xml:space="preserve"> to the concubines of his father before the eyes of all Israel.</w:t>
      </w:r>
    </w:p>
    <w:p>
      <w:r>
        <w:rPr>
          <w:b/>
        </w:rPr>
        <w:t xml:space="preserve">23 </w:t>
      </w:r>
      <w:r>
        <w:t xml:space="preserve">And the counsel of Ahithophel that he counseled in the former days was as if</w:t>
      </w:r>
      <w:r>
        <w:rPr>
          <w:rStyle w:val="FootnoteReference"/>
        </w:rPr>
        <w:footnoteReference w:id="6099"/>
      </w:r>
      <w:r>
        <w:t xml:space="preserve"> one inquired in the word of God. Thus was all the counsel of Ahithophel, both to David and to Absalom.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Ahithophel said to Absalom, Let me choose for myself twelve thousand men, and I will rise and pursue David by night.</w:t>
      </w:r>
    </w:p>
    <w:p>
      <w:r>
        <w:rPr>
          <w:b/>
        </w:rPr>
        <w:t xml:space="preserve">2 </w:t>
      </w:r>
      <w:r>
        <w:t xml:space="preserve">And I will come upon him while he is weary</w:t>
      </w:r>
      <w:r>
        <w:rPr>
          <w:rStyle w:val="FootnoteReference"/>
        </w:rPr>
        <w:footnoteReference w:id="6100"/>
      </w:r>
      <w:r>
        <w:t xml:space="preserve"> and slack of hands, and I will throw him into panic, and all the people with him will flee, and I will strike the king alone.</w:t>
      </w:r>
    </w:p>
    <w:p>
      <w:r>
        <w:rPr>
          <w:b/>
        </w:rPr>
        <w:t xml:space="preserve">3 </w:t>
      </w:r>
      <w:r>
        <w:t xml:space="preserve">And I will return all the people to you, just as a bride returns to her husband. It is only the life of one man you seek, and all the people will be at peace.</w:t>
      </w:r>
      <w:r>
        <w:rPr>
          <w:rStyle w:val="FootnoteReference"/>
        </w:rPr>
        <w:footnoteReference w:id="6101"/>
      </w:r>
    </w:p>
    <w:p>
      <w:r>
        <w:rPr>
          <w:b/>
        </w:rPr>
        <w:t xml:space="preserve">4 </w:t>
      </w:r>
      <w:r>
        <w:t xml:space="preserve">And the word was right in the eyes of Absalom and in the eyes of all the elders of Israel.</w:t>
      </w:r>
    </w:p>
    <w:p>
      <w:r>
        <w:rPr>
          <w:b/>
        </w:rPr>
        <w:t xml:space="preserve">5 </w:t>
      </w:r>
      <w:r>
        <w:t xml:space="preserve">And Absalom said, Call now also Cushi the Arachite, and let us hear what too is in his mouth.</w:t>
      </w:r>
    </w:p>
    <w:p>
      <w:r>
        <w:rPr>
          <w:b/>
        </w:rPr>
        <w:t xml:space="preserve">6 </w:t>
      </w:r>
      <w:r>
        <w:t xml:space="preserve">And Cushi came to Absalom, and Absalom said to him, saying</w:t>
      </w:r>
      <w:r>
        <w:rPr>
          <w:rStyle w:val="FootnoteReference"/>
        </w:rPr>
        <w:footnoteReference w:id="6102"/>
      </w:r>
      <w:r>
        <w:t xml:space="preserve">, Ahithophel has spoken according to this word. Shall we do according to his word? But if not, you speak.</w:t>
      </w:r>
    </w:p>
    <w:p>
      <w:r>
        <w:rPr>
          <w:b/>
        </w:rPr>
        <w:t xml:space="preserve">7 </w:t>
      </w:r>
      <w:r>
        <w:t xml:space="preserve">And Cushi said to Absalom, This time the counsel that Ahithophel has counseled is not good</w:t>
      </w:r>
      <w:r>
        <w:rPr>
          <w:rStyle w:val="FootnoteReference"/>
        </w:rPr>
        <w:footnoteReference w:id="6103"/>
      </w:r>
      <w:r>
        <w:t xml:space="preserve">.</w:t>
      </w:r>
    </w:p>
    <w:p>
      <w:r>
        <w:rPr>
          <w:b/>
        </w:rPr>
        <w:t xml:space="preserve">8 </w:t>
      </w:r>
      <w:r>
        <w:t xml:space="preserve">And Cushi said, You know your father and his men, that they are very mighty and bitter in soul, like a bear robbed of cubs in the field, and like a wild boar</w:t>
      </w:r>
      <w:r>
        <w:rPr>
          <w:rStyle w:val="FootnoteReference"/>
        </w:rPr>
        <w:footnoteReference w:id="6104"/>
      </w:r>
      <w:r>
        <w:t xml:space="preserve"> in the open country. And your father is a man of war and will not lodge with the people.</w:t>
      </w:r>
    </w:p>
    <w:p>
      <w:r>
        <w:rPr>
          <w:b/>
        </w:rPr>
        <w:t xml:space="preserve">9 </w:t>
      </w:r>
      <w:r>
        <w:t xml:space="preserve">For behold, even now he is hidden in one of the hills or in one of the places</w:t>
      </w:r>
      <w:r>
        <w:rPr>
          <w:rStyle w:val="FootnoteReference"/>
        </w:rPr>
        <w:footnoteReference w:id="6105"/>
      </w:r>
      <w:r>
        <w:t xml:space="preserve">, and it will happen, when some fall among them at the first attack, that whoever hears will say, A slaughter has happened among the people following Absalom.</w:t>
      </w:r>
    </w:p>
    <w:p>
      <w:r>
        <w:rPr>
          <w:b/>
        </w:rPr>
        <w:t xml:space="preserve">10 </w:t>
      </w:r>
      <w:r>
        <w:t xml:space="preserve">Then even a son of strength, whose heart</w:t>
      </w:r>
      <w:r>
        <w:rPr>
          <w:rStyle w:val="FootnoteReference"/>
        </w:rPr>
        <w:footnoteReference w:id="6106"/>
      </w:r>
      <w:r>
        <w:t xml:space="preserve"> is like the heart of a lion, will utterly melt, because all Israel knows that your father is mighty and the men with him are sons of strength.</w:t>
      </w:r>
    </w:p>
    <w:p>
      <w:r>
        <w:rPr>
          <w:b/>
        </w:rPr>
        <w:t xml:space="preserve">11 </w:t>
      </w:r>
      <w:r>
        <w:t xml:space="preserve">But this is the counsel I have counseled: let all Israel</w:t>
      </w:r>
      <w:r>
        <w:rPr>
          <w:rStyle w:val="FootnoteReference"/>
        </w:rPr>
        <w:footnoteReference w:id="6107"/>
      </w:r>
      <w:r>
        <w:t xml:space="preserve"> from Dan to Beersheba be gathered to you, like the sand by the sea in multitude, and let your own face go in their midst.</w:t>
      </w:r>
    </w:p>
    <w:p>
      <w:r>
        <w:rPr>
          <w:b/>
        </w:rPr>
        <w:t xml:space="preserve">12 </w:t>
      </w:r>
      <w:r>
        <w:t xml:space="preserve">And we will come upon him in one of the places where we find him there, and we will camp against him as the dew falls on the ground, and we will not leave among him and the men with him even one.</w:t>
      </w:r>
      <w:r>
        <w:rPr>
          <w:rStyle w:val="FootnoteReference"/>
        </w:rPr>
        <w:footnoteReference w:id="6108"/>
      </w:r>
    </w:p>
    <w:p>
      <w:r>
        <w:rPr>
          <w:b/>
        </w:rPr>
        <w:t xml:space="preserve">13 </w:t>
      </w:r>
      <w:r>
        <w:t xml:space="preserve">And if he withdraws into a city, all Israel will take ropes to that city, and we will drag it down into the torrent-bed until not even a stone is left there.</w:t>
      </w:r>
    </w:p>
    <w:p>
      <w:r>
        <w:rPr>
          <w:b/>
        </w:rPr>
        <w:t xml:space="preserve">14 </w:t>
      </w:r>
      <w:r>
        <w:t xml:space="preserve">And Absalom and every man of Israel said, The counsel of Cushi the Arachite is better than the counsel of Ahithophel. For the Lord</w:t>
      </w:r>
      <w:r>
        <w:rPr>
          <w:rStyle w:val="FootnoteReference"/>
        </w:rPr>
        <w:footnoteReference w:id="6109"/>
      </w:r>
      <w:r>
        <w:t xml:space="preserve"> commanded the good counsel of Ahithophel to be scattered, so that the Lord might bring all these evils upon Absalom.</w:t>
      </w:r>
      <w:r>
        <w:rPr>
          <w:rStyle w:val="FootnoteReference"/>
        </w:rPr>
        <w:footnoteReference w:id="6110"/>
      </w:r>
    </w:p>
    <w:p>
      <w:r>
        <w:rPr>
          <w:b/>
        </w:rPr>
        <w:t xml:space="preserve">15 </w:t>
      </w:r>
      <w:r>
        <w:t xml:space="preserve">And Cushi the Arachite said to Zadok</w:t>
      </w:r>
      <w:r>
        <w:rPr>
          <w:rStyle w:val="FootnoteReference"/>
        </w:rPr>
        <w:footnoteReference w:id="6111"/>
      </w:r>
      <w:r>
        <w:t xml:space="preserve"> and Abiathar the priests, Thus and thus Ahithophel counseled Absalom and the elders of Israel, and thus and thus I counseled.</w:t>
      </w:r>
      <w:r>
        <w:rPr>
          <w:rStyle w:val="FootnoteReference"/>
        </w:rPr>
        <w:footnoteReference w:id="6112"/>
      </w:r>
    </w:p>
    <w:p>
      <w:r>
        <w:rPr>
          <w:b/>
        </w:rPr>
        <w:t xml:space="preserve">16 </w:t>
      </w:r>
      <w:r>
        <w:t xml:space="preserve">And now send quickly and report to David, saying, Do not lodge</w:t>
      </w:r>
      <w:r>
        <w:rPr>
          <w:rStyle w:val="FootnoteReference"/>
        </w:rPr>
        <w:footnoteReference w:id="6113"/>
      </w:r>
      <w:r>
        <w:t xml:space="preserve"> tonight at the crossings of the wilderness, but hurry and cross over, lest the king and all the people with him be swallowed up.</w:t>
      </w:r>
    </w:p>
    <w:p>
      <w:r>
        <w:rPr>
          <w:b/>
        </w:rPr>
        <w:t xml:space="preserve">17 </w:t>
      </w:r>
      <w:r>
        <w:t xml:space="preserve">And Jonathan</w:t>
      </w:r>
      <w:r>
        <w:rPr>
          <w:rStyle w:val="FootnoteReference"/>
        </w:rPr>
        <w:footnoteReference w:id="6114"/>
      </w:r>
      <w:r>
        <w:t xml:space="preserve"> and Ahimaaz had been standing at the spring Enrogel, and the maidservant went and reported to them, and they were going to report to King David, because they could not be seen entering the city.</w:t>
      </w:r>
    </w:p>
    <w:p>
      <w:r>
        <w:rPr>
          <w:b/>
        </w:rPr>
        <w:t xml:space="preserve">18 </w:t>
      </w:r>
      <w:r>
        <w:t xml:space="preserve">But a young man saw them and reported it to Absalom, and the two went quickly and entered the house of a man in Bahurim</w:t>
      </w:r>
      <w:r>
        <w:rPr>
          <w:rStyle w:val="FootnoteReference"/>
        </w:rPr>
        <w:footnoteReference w:id="6115"/>
      </w:r>
      <w:r>
        <w:t xml:space="preserve">, and he had a well in his court, and they went down there.</w:t>
      </w:r>
    </w:p>
    <w:p>
      <w:r>
        <w:rPr>
          <w:b/>
        </w:rPr>
        <w:t xml:space="preserve">19 </w:t>
      </w:r>
      <w:r>
        <w:t xml:space="preserve">And the woman took the covering and spread it over the face of the well, and she scattered crushed grain over it, and no matter was known.</w:t>
      </w:r>
    </w:p>
    <w:p>
      <w:r>
        <w:rPr>
          <w:b/>
        </w:rPr>
        <w:t xml:space="preserve">20 </w:t>
      </w:r>
      <w:r>
        <w:t xml:space="preserve">And the servants of Absalom came to the woman at the house and said, Where are Ahimaaz and Jonathan? And the woman said to them, They passed a little beyond the water</w:t>
      </w:r>
      <w:r>
        <w:rPr>
          <w:rStyle w:val="FootnoteReference"/>
        </w:rPr>
        <w:footnoteReference w:id="6116"/>
      </w:r>
      <w:r>
        <w:t xml:space="preserve">. And they searched and did not find them and returned to Jerusalem.</w:t>
      </w:r>
    </w:p>
    <w:p>
      <w:r>
        <w:rPr>
          <w:b/>
        </w:rPr>
        <w:t xml:space="preserve">21 </w:t>
      </w:r>
      <w:r>
        <w:t xml:space="preserve">And it came to be after they left, that they came up out of the well and went and reported to King David, and they said to David, Rise and cross the water quickly, because thus Ahithophel has counseled against you.</w:t>
      </w:r>
      <w:r>
        <w:rPr>
          <w:rStyle w:val="FootnoteReference"/>
        </w:rPr>
        <w:footnoteReference w:id="6117"/>
      </w:r>
    </w:p>
    <w:p>
      <w:r>
        <w:rPr>
          <w:b/>
        </w:rPr>
        <w:t xml:space="preserve">22 </w:t>
      </w:r>
      <w:r>
        <w:t xml:space="preserve">And David rose, and all the people with him, and they crossed the Jordan until the morning light. Not one was missing who had not crossed the Jordan.</w:t>
      </w:r>
    </w:p>
    <w:p>
      <w:r>
        <w:rPr>
          <w:b/>
        </w:rPr>
        <w:t xml:space="preserve">23 </w:t>
      </w:r>
      <w:r>
        <w:t xml:space="preserve">And Ahithophel saw that his counsel had not been done</w:t>
      </w:r>
      <w:r>
        <w:rPr>
          <w:rStyle w:val="FootnoteReference"/>
        </w:rPr>
        <w:footnoteReference w:id="6118"/>
      </w:r>
      <w:r>
        <w:t xml:space="preserve">, and he saddled his donkey and rose and went to his home, to his own city, and he gave orders to his house and hanged</w:t>
      </w:r>
      <w:r>
        <w:rPr>
          <w:rStyle w:val="FootnoteReference"/>
        </w:rPr>
        <w:footnoteReference w:id="6119"/>
      </w:r>
      <w:r>
        <w:t xml:space="preserve"> himself, and he died and was buried in the tomb of his father.</w:t>
      </w:r>
    </w:p>
    <w:p>
      <w:r>
        <w:rPr>
          <w:b/>
        </w:rPr>
        <w:t xml:space="preserve">24 </w:t>
      </w:r>
      <w:r>
        <w:t xml:space="preserve">And David crossed over to Mahanaim</w:t>
      </w:r>
      <w:r>
        <w:rPr>
          <w:rStyle w:val="FootnoteReference"/>
        </w:rPr>
        <w:footnoteReference w:id="6120"/>
      </w:r>
      <w:r>
        <w:t xml:space="preserve">, and Absalom crossed the Jordan, he and every man of Israel with him.</w:t>
      </w:r>
    </w:p>
    <w:p>
      <w:r>
        <w:rPr>
          <w:b/>
        </w:rPr>
        <w:t xml:space="preserve">25 </w:t>
      </w:r>
      <w:r>
        <w:t xml:space="preserve">And Absalom appointed Amasa</w:t>
      </w:r>
      <w:r>
        <w:rPr>
          <w:rStyle w:val="FootnoteReference"/>
        </w:rPr>
        <w:footnoteReference w:id="6121"/>
      </w:r>
      <w:r>
        <w:t xml:space="preserve"> in place of Joab over the army. And Amasa was the son of a man whose name was Ithra</w:t>
      </w:r>
      <w:r>
        <w:rPr>
          <w:rStyle w:val="FootnoteReference"/>
        </w:rPr>
        <w:footnoteReference w:id="6122"/>
      </w:r>
      <w:r>
        <w:t xml:space="preserve"> the Israelite, who went in to Abigail daughter of Nahash, sister of Zeruiah the mother of Joab.</w:t>
      </w:r>
      <w:r>
        <w:rPr>
          <w:rStyle w:val="FootnoteReference"/>
        </w:rPr>
        <w:footnoteReference w:id="6123"/>
      </w:r>
    </w:p>
    <w:p>
      <w:r>
        <w:rPr>
          <w:b/>
        </w:rPr>
        <w:t xml:space="preserve">26 </w:t>
      </w:r>
      <w:r>
        <w:t xml:space="preserve">And Israel and Absalom camped in the land of Gilead.</w:t>
      </w:r>
    </w:p>
    <w:p>
      <w:r>
        <w:rPr>
          <w:b/>
        </w:rPr>
        <w:t xml:space="preserve">27 </w:t>
      </w:r>
      <w:r>
        <w:t xml:space="preserve">And it came to be when David came to Mahanaim, Ouesbi son of Nahash from Rabbah of the sons of Ammon, and Machir</w:t>
      </w:r>
      <w:r>
        <w:rPr>
          <w:rStyle w:val="FootnoteReference"/>
        </w:rPr>
        <w:footnoteReference w:id="6124"/>
      </w:r>
      <w:r>
        <w:t xml:space="preserve"> son of Ammiel from Lodebar, and Barzillai</w:t>
      </w:r>
      <w:r>
        <w:rPr>
          <w:rStyle w:val="FootnoteReference"/>
        </w:rPr>
        <w:footnoteReference w:id="6125"/>
      </w:r>
      <w:r>
        <w:t xml:space="preserve"> the Gileadite from Rogelim</w:t>
      </w:r>
      <w:r>
        <w:rPr>
          <w:rStyle w:val="FootnoteReference"/>
        </w:rPr>
        <w:footnoteReference w:id="6126"/>
      </w:r>
      <w:r>
        <w:t xml:space="preserve">,</w:t>
      </w:r>
    </w:p>
    <w:p>
      <w:r>
        <w:rPr>
          <w:b/>
        </w:rPr>
        <w:t xml:space="preserve">28 </w:t>
      </w:r>
      <w:r>
        <w:t xml:space="preserve">brought ten beds</w:t>
      </w:r>
      <w:r>
        <w:rPr>
          <w:rStyle w:val="FootnoteReference"/>
        </w:rPr>
        <w:footnoteReference w:id="6127"/>
      </w:r>
      <w:r>
        <w:t xml:space="preserve"> and coverings and ten cauldrons and earthenware vessels and wheat and barley and flour and parched grain and beans and lentils,</w:t>
      </w:r>
    </w:p>
    <w:p>
      <w:r>
        <w:rPr>
          <w:b/>
        </w:rPr>
        <w:t xml:space="preserve">29 </w:t>
      </w:r>
      <w:r>
        <w:t xml:space="preserve">and honey and butter and sheep and curds from cattle. And they brought them to David and to the people with him to eat</w:t>
      </w:r>
      <w:r>
        <w:rPr>
          <w:rStyle w:val="FootnoteReference"/>
        </w:rPr>
        <w:footnoteReference w:id="6128"/>
      </w:r>
      <w:r>
        <w:t xml:space="preserve">, because they said, The people are hungry and faint and thirsty in the wilderness.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David mustered the people with him and appointed over them commanders of thousands and commanders of hundreds.</w:t>
      </w:r>
    </w:p>
    <w:p>
      <w:r>
        <w:rPr>
          <w:b/>
        </w:rPr>
        <w:t xml:space="preserve">2 </w:t>
      </w:r>
      <w:r>
        <w:t xml:space="preserve">And David sent out the people, one third by the hand of Joab</w:t>
      </w:r>
      <w:r>
        <w:rPr>
          <w:rStyle w:val="FootnoteReference"/>
        </w:rPr>
        <w:footnoteReference w:id="6129"/>
      </w:r>
      <w:r>
        <w:t xml:space="preserve">, one third by the hand of Abishai son of Zeruiah, brother of Joab, and one third by the hand of Ittai the Gittite. And David said to the people, I myself will surely go out</w:t>
      </w:r>
      <w:r>
        <w:rPr>
          <w:rStyle w:val="FootnoteReference"/>
        </w:rPr>
        <w:footnoteReference w:id="6130"/>
      </w:r>
      <w:r>
        <w:t xml:space="preserve"> with you.</w:t>
      </w:r>
    </w:p>
    <w:p>
      <w:r>
        <w:rPr>
          <w:b/>
        </w:rPr>
        <w:t xml:space="preserve">3 </w:t>
      </w:r>
      <w:r>
        <w:t xml:space="preserve">But they said, You must not go out, because if we flee</w:t>
      </w:r>
      <w:r>
        <w:rPr>
          <w:rStyle w:val="FootnoteReference"/>
        </w:rPr>
        <w:footnoteReference w:id="6131"/>
      </w:r>
      <w:r>
        <w:t xml:space="preserve"> they will not set their heart on us</w:t>
      </w:r>
      <w:r>
        <w:rPr>
          <w:rStyle w:val="FootnoteReference"/>
        </w:rPr>
        <w:footnoteReference w:id="6132"/>
      </w:r>
      <w:r>
        <w:t xml:space="preserve">, and if half of us die they will not set their heart on us, because you are like ten thousand of us. And now it is better that you be for us help from the city by helping.</w:t>
      </w:r>
    </w:p>
    <w:p>
      <w:r>
        <w:rPr>
          <w:b/>
        </w:rPr>
        <w:t xml:space="preserve">4 </w:t>
      </w:r>
      <w:r>
        <w:t xml:space="preserve">And the king said to them, Whatever is good in your eyes I will do. And the king stood by the side of the gate, and all the people went out by hundreds</w:t>
      </w:r>
      <w:r>
        <w:rPr>
          <w:rStyle w:val="FootnoteReference"/>
        </w:rPr>
        <w:footnoteReference w:id="6133"/>
      </w:r>
      <w:r>
        <w:t xml:space="preserve"> and by thousands.</w:t>
      </w:r>
    </w:p>
    <w:p>
      <w:r>
        <w:rPr>
          <w:b/>
        </w:rPr>
        <w:t xml:space="preserve">5 </w:t>
      </w:r>
      <w:r>
        <w:t xml:space="preserve">And the king commanded Joab and Abishai and Ittai, saying, Spare for my sake</w:t>
      </w:r>
      <w:r>
        <w:rPr>
          <w:rStyle w:val="FootnoteReference"/>
        </w:rPr>
        <w:footnoteReference w:id="6134"/>
      </w:r>
      <w:r>
        <w:t xml:space="preserve"> the young man Absalom. And all the people</w:t>
      </w:r>
      <w:r>
        <w:rPr>
          <w:rStyle w:val="FootnoteReference"/>
        </w:rPr>
        <w:footnoteReference w:id="6135"/>
      </w:r>
      <w:r>
        <w:t xml:space="preserve"> heard when the king gave orders to all the commanders concerning Absalom.</w:t>
      </w:r>
    </w:p>
    <w:p>
      <w:r>
        <w:rPr>
          <w:b/>
        </w:rPr>
        <w:t xml:space="preserve">6 </w:t>
      </w:r>
      <w:r>
        <w:t xml:space="preserve">And all the people went out into the forest opposite Israel, and the battle came to be in the forest of Ephraim.</w:t>
      </w:r>
    </w:p>
    <w:p>
      <w:r>
        <w:rPr>
          <w:b/>
        </w:rPr>
        <w:t xml:space="preserve">7 </w:t>
      </w:r>
      <w:r>
        <w:t xml:space="preserve">And the people of Israel stumbled there before the servants of David, and the great slaughter there on that day was twenty thousand men</w:t>
      </w:r>
      <w:r>
        <w:rPr>
          <w:rStyle w:val="FootnoteReference"/>
        </w:rPr>
        <w:footnoteReference w:id="6136"/>
      </w:r>
      <w:r>
        <w:t xml:space="preserve">.</w:t>
      </w:r>
    </w:p>
    <w:p>
      <w:r>
        <w:rPr>
          <w:b/>
        </w:rPr>
        <w:t xml:space="preserve">8 </w:t>
      </w:r>
      <w:r>
        <w:t xml:space="preserve">And the battle there was spread over the face of all the land, and the forest multiplied to devour more of the people than the sword devoured of the people on that day.</w:t>
      </w:r>
    </w:p>
    <w:p>
      <w:r>
        <w:rPr>
          <w:b/>
        </w:rPr>
        <w:t xml:space="preserve">9 </w:t>
      </w:r>
      <w:r>
        <w:t xml:space="preserve">And Absalom met the servants of David. And Absalom was mounted on his mule, and the mule went under the thick branches of the great oak, and his head</w:t>
      </w:r>
      <w:r>
        <w:rPr>
          <w:rStyle w:val="FootnoteReference"/>
        </w:rPr>
        <w:footnoteReference w:id="6137"/>
      </w:r>
      <w:r>
        <w:t xml:space="preserve"> was caught in the oak, and he was suspended between heaven and earth, and the mule under him passed on.</w:t>
      </w:r>
    </w:p>
    <w:p>
      <w:r>
        <w:rPr>
          <w:b/>
        </w:rPr>
        <w:t xml:space="preserve">10 </w:t>
      </w:r>
      <w:r>
        <w:t xml:space="preserve">And one man saw and reported to Joab and said, Behold, I saw Absalom hanging in the oak.</w:t>
      </w:r>
    </w:p>
    <w:p>
      <w:r>
        <w:rPr>
          <w:b/>
        </w:rPr>
        <w:t xml:space="preserve">11 </w:t>
      </w:r>
      <w:r>
        <w:t xml:space="preserve">And Joab said to the man reporting to him, And behold, you saw him. Why then did you not strike him there to the ground? Then I would have given you ten silver pieces and one belt.</w:t>
      </w:r>
    </w:p>
    <w:p>
      <w:r>
        <w:rPr>
          <w:b/>
        </w:rPr>
        <w:t xml:space="preserve">12 </w:t>
      </w:r>
      <w:r>
        <w:t xml:space="preserve">But the man said to Joab, Even if a thousand silver shekels</w:t>
      </w:r>
      <w:r>
        <w:rPr>
          <w:rStyle w:val="FootnoteReference"/>
        </w:rPr>
        <w:footnoteReference w:id="6138"/>
      </w:r>
      <w:r>
        <w:t xml:space="preserve"> were weighed into my hands, I would never put my hand against the king's son. For in our hearing</w:t>
      </w:r>
      <w:r>
        <w:rPr>
          <w:rStyle w:val="FootnoteReference"/>
        </w:rPr>
        <w:footnoteReference w:id="6139"/>
      </w:r>
      <w:r>
        <w:t xml:space="preserve"> the king charged you and Abishai and Ittai, saying, Guard for my sake the young man Absalom.</w:t>
      </w:r>
    </w:p>
    <w:p>
      <w:r>
        <w:rPr>
          <w:b/>
        </w:rPr>
        <w:t xml:space="preserve">13 </w:t>
      </w:r>
      <w:r>
        <w:t xml:space="preserve">Otherwise, if I had done lawlessness against his life, no word would be hidden from the king, and you yourself would have stood opposite.</w:t>
      </w:r>
    </w:p>
    <w:p>
      <w:r>
        <w:rPr>
          <w:b/>
        </w:rPr>
        <w:t xml:space="preserve">14 </w:t>
      </w:r>
      <w:r>
        <w:t xml:space="preserve">And Joab said, I will not linger thus before you. And Joab took three darts in his hand and drove them into the heart of Absalom while he was still alive in the heart of the oak.</w:t>
      </w:r>
    </w:p>
    <w:p>
      <w:r>
        <w:rPr>
          <w:b/>
        </w:rPr>
        <w:t xml:space="preserve">15 </w:t>
      </w:r>
      <w:r>
        <w:t xml:space="preserve">And ten young men carrying the armor of Joab surrounded Absalom and struck him and put him to death.</w:t>
      </w:r>
    </w:p>
    <w:p>
      <w:r>
        <w:rPr>
          <w:b/>
        </w:rPr>
        <w:t xml:space="preserve">16 </w:t>
      </w:r>
      <w:r>
        <w:t xml:space="preserve">And Joab sounded with the trumpet, and the people turned back from pursuing after Israel, because Joab spared the people.</w:t>
      </w:r>
    </w:p>
    <w:p>
      <w:r>
        <w:rPr>
          <w:b/>
        </w:rPr>
        <w:t xml:space="preserve">17 </w:t>
      </w:r>
      <w:r>
        <w:t xml:space="preserve">And they took Absalom and cast him into a great pit in the forest and raised over him a very large heap of stones, and all Israel fled, a man to his tent.</w:t>
      </w:r>
    </w:p>
    <w:p>
      <w:r>
        <w:rPr>
          <w:b/>
        </w:rPr>
        <w:t xml:space="preserve">18 </w:t>
      </w:r>
      <w:r>
        <w:t xml:space="preserve">And Absalom had taken and set up for himself in his lifetime the pillar in the King's</w:t>
      </w:r>
      <w:r>
        <w:rPr>
          <w:rStyle w:val="FootnoteReference"/>
        </w:rPr>
        <w:footnoteReference w:id="6140"/>
      </w:r>
      <w:r>
        <w:t xml:space="preserve"> Valley, because he said, I have no son to keep my name in remembrance. And he called the pillar by his own name, and it is called Hand of Absalom to this day.</w:t>
      </w:r>
    </w:p>
    <w:p>
      <w:r>
        <w:rPr>
          <w:b/>
        </w:rPr>
        <w:t xml:space="preserve">19 </w:t>
      </w:r>
      <w:r>
        <w:t xml:space="preserve">And Ahimaaz</w:t>
      </w:r>
      <w:r>
        <w:rPr>
          <w:rStyle w:val="FootnoteReference"/>
        </w:rPr>
        <w:footnoteReference w:id="6141"/>
      </w:r>
      <w:r>
        <w:t xml:space="preserve"> son of Zadok said, Let me run now and bring good news to the king, because the Lord has judged for him against the hand of his enemies.</w:t>
      </w:r>
    </w:p>
    <w:p>
      <w:r>
        <w:rPr>
          <w:b/>
        </w:rPr>
        <w:t xml:space="preserve">20 </w:t>
      </w:r>
      <w:r>
        <w:t xml:space="preserve">And Joab said to him, You are not a bearer of good news on this day</w:t>
      </w:r>
      <w:r>
        <w:rPr>
          <w:rStyle w:val="FootnoteReference"/>
        </w:rPr>
        <w:footnoteReference w:id="6142"/>
      </w:r>
      <w:r>
        <w:t xml:space="preserve">, but you may bring good news on another day. On this day you shall not bring good news, because the king's son is dead.</w:t>
      </w:r>
    </w:p>
    <w:p>
      <w:r>
        <w:rPr>
          <w:b/>
        </w:rPr>
        <w:t xml:space="preserve">21 </w:t>
      </w:r>
      <w:r>
        <w:t xml:space="preserve">And Joab said to Cushi, Go, report to the king what you have seen. And Cushi bowed to Joab and ran.</w:t>
      </w:r>
    </w:p>
    <w:p>
      <w:r>
        <w:rPr>
          <w:b/>
        </w:rPr>
        <w:t xml:space="preserve">22 </w:t>
      </w:r>
      <w:r>
        <w:t xml:space="preserve">And Ahimaaz son of Zadok again added and said to Joab, Whatever may happen, let me run too after Cushi. And Joab said, Why would you run, my son, since no payment of good news is for you?</w:t>
      </w:r>
    </w:p>
    <w:p>
      <w:r>
        <w:rPr>
          <w:b/>
        </w:rPr>
        <w:t xml:space="preserve">23 </w:t>
      </w:r>
      <w:r>
        <w:t xml:space="preserve">And he said, Whatever may happen, I will run. And he said to him, Run. And Ahimaaz ran by the way of the plain and passed Cushi.</w:t>
      </w:r>
    </w:p>
    <w:p>
      <w:r>
        <w:rPr>
          <w:b/>
        </w:rPr>
        <w:t xml:space="preserve">24 </w:t>
      </w:r>
      <w:r>
        <w:t xml:space="preserve">And David was sitting between</w:t>
      </w:r>
      <w:r>
        <w:rPr>
          <w:rStyle w:val="FootnoteReference"/>
        </w:rPr>
        <w:footnoteReference w:id="6143"/>
      </w:r>
      <w:r>
        <w:t xml:space="preserve"> the two gates. And the watchman went up to the roof of the gate by the wall and lifted his eyes and saw, and behold, one man was running alone.</w:t>
      </w:r>
    </w:p>
    <w:p>
      <w:r>
        <w:rPr>
          <w:b/>
        </w:rPr>
        <w:t xml:space="preserve">25 </w:t>
      </w:r>
      <w:r>
        <w:t xml:space="preserve">And the watchman called out and reported to the king. And the king said, If he is alone, good news is in his mouth. And he came, going and coming near.</w:t>
      </w:r>
    </w:p>
    <w:p>
      <w:r>
        <w:rPr>
          <w:b/>
        </w:rPr>
        <w:t xml:space="preserve">26 </w:t>
      </w:r>
      <w:r>
        <w:t xml:space="preserve">And the watchman saw another man running, and the watchman called out to the gatekeeper and said, Behold, another man runs alone. And the king said, This one too is bringing good news.</w:t>
      </w:r>
    </w:p>
    <w:p>
      <w:r>
        <w:rPr>
          <w:b/>
        </w:rPr>
        <w:t xml:space="preserve">27 </w:t>
      </w:r>
      <w:r>
        <w:t xml:space="preserve">And the watchman said, I see the running of the first like the running of Ahimaaz son of Zadok. And the king said, He is a good</w:t>
      </w:r>
      <w:r>
        <w:rPr>
          <w:rStyle w:val="FootnoteReference"/>
        </w:rPr>
        <w:footnoteReference w:id="6144"/>
      </w:r>
      <w:r>
        <w:t xml:space="preserve"> man and comes in good news.</w:t>
      </w:r>
    </w:p>
    <w:p>
      <w:r>
        <w:rPr>
          <w:b/>
        </w:rPr>
        <w:t xml:space="preserve">28 </w:t>
      </w:r>
      <w:r>
        <w:t xml:space="preserve">And Ahimaaz called out and said to the king, Peace. And he bowed before the king with his face to the ground and said, Blessed</w:t>
      </w:r>
      <w:r>
        <w:rPr>
          <w:rStyle w:val="FootnoteReference"/>
        </w:rPr>
        <w:footnoteReference w:id="6145"/>
      </w:r>
      <w:r>
        <w:t xml:space="preserve"> be the Lord your God, who shut up the men</w:t>
      </w:r>
      <w:r>
        <w:rPr>
          <w:rStyle w:val="FootnoteReference"/>
        </w:rPr>
        <w:footnoteReference w:id="6146"/>
      </w:r>
      <w:r>
        <w:t xml:space="preserve"> who lifted their hand against my lord the king.</w:t>
      </w:r>
    </w:p>
    <w:p>
      <w:r>
        <w:rPr>
          <w:b/>
        </w:rPr>
        <w:t xml:space="preserve">29 </w:t>
      </w:r>
      <w:r>
        <w:t xml:space="preserve">And the king said, Is it well with the young man Absalom? And Ahimaaz said, I saw the great crowd when Joab sent the servant of the king and your servant, and I did not know what was there.</w:t>
      </w:r>
    </w:p>
    <w:p>
      <w:r>
        <w:rPr>
          <w:b/>
        </w:rPr>
        <w:t xml:space="preserve">30 </w:t>
      </w:r>
      <w:r>
        <w:t xml:space="preserve">And the king said, Turn aside, stand here. And he turned aside and stood.</w:t>
      </w:r>
    </w:p>
    <w:p>
      <w:r>
        <w:rPr>
          <w:b/>
        </w:rPr>
        <w:t xml:space="preserve">31 </w:t>
      </w:r>
      <w:r>
        <w:t xml:space="preserve">And behold, Cushi arrived and said to the king, Let my lord the king receive good news, because the Lord</w:t>
      </w:r>
      <w:r>
        <w:rPr>
          <w:rStyle w:val="FootnoteReference"/>
        </w:rPr>
        <w:footnoteReference w:id="6147"/>
      </w:r>
      <w:r>
        <w:t xml:space="preserve"> has judged for you today against the hand of all those rising against you.</w:t>
      </w:r>
    </w:p>
    <w:p>
      <w:r>
        <w:rPr>
          <w:b/>
        </w:rPr>
        <w:t xml:space="preserve">32 </w:t>
      </w:r>
      <w:r>
        <w:t xml:space="preserve">And the king said to Cushi, Is it well with the young man Absalom? And Cushi said, May the enemies</w:t>
      </w:r>
      <w:r>
        <w:rPr>
          <w:rStyle w:val="FootnoteReference"/>
        </w:rPr>
        <w:footnoteReference w:id="6148"/>
      </w:r>
      <w:r>
        <w:t xml:space="preserve"> of my lord the king and all who have risen up against him for evil become like that young man.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the king was troubled</w:t>
      </w:r>
      <w:r>
        <w:rPr>
          <w:rStyle w:val="FootnoteReference"/>
        </w:rPr>
        <w:footnoteReference w:id="6149"/>
      </w:r>
      <w:r>
        <w:t xml:space="preserve"> and went up to the upper room of the gate and wept, and thus he said as he went, My son Absalom, my son, my son Absalom. Who will give my death instead of you? I, instead of you, Absalom, my son, my son.</w:t>
      </w:r>
    </w:p>
    <w:p>
      <w:r>
        <w:rPr>
          <w:b/>
        </w:rPr>
        <w:t xml:space="preserve">2 </w:t>
      </w:r>
      <w:r>
        <w:t xml:space="preserve">And it was reported to Joab, saying, Behold, the king is weeping and mourning over Absalom.</w:t>
      </w:r>
    </w:p>
    <w:p>
      <w:r>
        <w:rPr>
          <w:b/>
        </w:rPr>
        <w:t xml:space="preserve">3 </w:t>
      </w:r>
      <w:r>
        <w:t xml:space="preserve">And the victory on that day became mourning for all the people, because the people heard on that day, saying, The king grieves over his son.</w:t>
      </w:r>
    </w:p>
    <w:p>
      <w:r>
        <w:rPr>
          <w:b/>
        </w:rPr>
        <w:t xml:space="preserve">4 </w:t>
      </w:r>
      <w:r>
        <w:t xml:space="preserve">And the people were slipping into the city</w:t>
      </w:r>
      <w:r>
        <w:rPr>
          <w:rStyle w:val="FootnoteReference"/>
        </w:rPr>
        <w:footnoteReference w:id="6150"/>
      </w:r>
      <w:r>
        <w:t xml:space="preserve"> on that day, as the people slip in ashamed when they flee in battle.</w:t>
      </w:r>
    </w:p>
    <w:p>
      <w:r>
        <w:rPr>
          <w:b/>
        </w:rPr>
        <w:t xml:space="preserve">5 </w:t>
      </w:r>
      <w:r>
        <w:t xml:space="preserve">And the king hid his face</w:t>
      </w:r>
      <w:r>
        <w:rPr>
          <w:rStyle w:val="FootnoteReference"/>
        </w:rPr>
        <w:footnoteReference w:id="6151"/>
      </w:r>
      <w:r>
        <w:t xml:space="preserve">, and the king cried out with a loud voice, saying, My son Absalom, Absalom, my son, my son.</w:t>
      </w:r>
    </w:p>
    <w:p>
      <w:r>
        <w:rPr>
          <w:b/>
        </w:rPr>
        <w:t xml:space="preserve">6 </w:t>
      </w:r>
      <w:r>
        <w:t xml:space="preserve">And Joab came to the king in the house and said, Today you have put to shame the face of all your servants, those who are rescuing you today and the lives of your sons and your daughters and the lives of your wives and your concubines,</w:t>
      </w:r>
      <w:r>
        <w:rPr>
          <w:rStyle w:val="FootnoteReference"/>
        </w:rPr>
        <w:footnoteReference w:id="6152"/>
      </w:r>
    </w:p>
    <w:p>
      <w:r>
        <w:rPr>
          <w:b/>
        </w:rPr>
        <w:t xml:space="preserve">7 </w:t>
      </w:r>
      <w:r>
        <w:t xml:space="preserve">by loving those who hate you and hating those who love you. For you declared today that your commanders and servants are nothing, because I know today that if Absalom were alive and all of us today dead, then it would have been right in your eyes.</w:t>
      </w:r>
      <w:r>
        <w:rPr>
          <w:rStyle w:val="FootnoteReference"/>
        </w:rPr>
        <w:footnoteReference w:id="6153"/>
      </w:r>
    </w:p>
    <w:p>
      <w:r>
        <w:rPr>
          <w:b/>
        </w:rPr>
        <w:t xml:space="preserve">8 </w:t>
      </w:r>
      <w:r>
        <w:t xml:space="preserve">And now rise, go out, and speak to the heart of your servants, because by the Lord I have sworn that if you do not go out, not a man will lodge with you tonight</w:t>
      </w:r>
      <w:r>
        <w:rPr>
          <w:rStyle w:val="FootnoteReference"/>
        </w:rPr>
        <w:footnoteReference w:id="6154"/>
      </w:r>
      <w:r>
        <w:t xml:space="preserve">, and know for yourself that this will be worse for you than all the evil that has come upon you from your youth until now.</w:t>
      </w:r>
    </w:p>
    <w:p>
      <w:r>
        <w:rPr>
          <w:b/>
        </w:rPr>
        <w:t xml:space="preserve">9 </w:t>
      </w:r>
      <w:r>
        <w:t xml:space="preserve">And the king rose and sat in the gate, and all the people reported, saying, Behold, the king sits in the gate. And all the people came before the king. And Israel fled, a man to his tents.</w:t>
      </w:r>
      <w:r>
        <w:rPr>
          <w:rStyle w:val="FootnoteReference"/>
        </w:rPr>
        <w:footnoteReference w:id="6155"/>
      </w:r>
    </w:p>
    <w:p>
      <w:r>
        <w:rPr>
          <w:b/>
        </w:rPr>
        <w:t xml:space="preserve">10 </w:t>
      </w:r>
      <w:r>
        <w:t xml:space="preserve">And all the people were disputing in all the tribes of Israel, saying, King David rescued us from all our enemies and himself delivered us from the hand of the foreigners, and now he has fled from the land and from his kingdom because of Absalom.</w:t>
      </w:r>
      <w:r>
        <w:rPr>
          <w:rStyle w:val="FootnoteReference"/>
        </w:rPr>
        <w:footnoteReference w:id="6156"/>
      </w:r>
    </w:p>
    <w:p>
      <w:r>
        <w:rPr>
          <w:b/>
        </w:rPr>
        <w:t xml:space="preserve">11 </w:t>
      </w:r>
      <w:r>
        <w:t xml:space="preserve">And Absalom, whom we anointed over us, has died in battle. So now why are</w:t>
      </w:r>
      <w:r>
        <w:rPr>
          <w:rStyle w:val="FootnoteReference"/>
        </w:rPr>
        <w:footnoteReference w:id="6157"/>
      </w:r>
      <w:r>
        <w:t xml:space="preserve"> you silent about bringing back the king? And the word of all Israel came to the king.</w:t>
      </w:r>
      <w:r>
        <w:rPr>
          <w:rStyle w:val="FootnoteReference"/>
        </w:rPr>
        <w:footnoteReference w:id="6158"/>
      </w:r>
    </w:p>
    <w:p>
      <w:r>
        <w:rPr>
          <w:b/>
        </w:rPr>
        <w:t xml:space="preserve">12 </w:t>
      </w:r>
      <w:r>
        <w:t xml:space="preserve">And King David sent to Zadok and to Abiathar the priests, saying, Speak to the elders of Judah, saying, Why do you become the last to bring back the king to his house, since the word of all Israel has come to the king?</w:t>
      </w:r>
    </w:p>
    <w:p>
      <w:r>
        <w:rPr>
          <w:b/>
        </w:rPr>
        <w:t xml:space="preserve">13 </w:t>
      </w:r>
      <w:r>
        <w:t xml:space="preserve">You are my brothers; you are my bones and my flesh. Why then do you become the last to bring back the king to his house?</w:t>
      </w:r>
    </w:p>
    <w:p>
      <w:r>
        <w:rPr>
          <w:b/>
        </w:rPr>
        <w:t xml:space="preserve">14 </w:t>
      </w:r>
      <w:r>
        <w:t xml:space="preserve">And you shall say to Amasa, Are you not my bone and my flesh? Thus may God do to me, and thus may he add</w:t>
      </w:r>
      <w:r>
        <w:rPr>
          <w:rStyle w:val="FootnoteReference"/>
        </w:rPr>
        <w:footnoteReference w:id="6159"/>
      </w:r>
      <w:r>
        <w:t xml:space="preserve">, if you shall not be commander of the army before me all the days in place of Joab.</w:t>
      </w:r>
    </w:p>
    <w:p>
      <w:r>
        <w:rPr>
          <w:b/>
        </w:rPr>
        <w:t xml:space="preserve">15 </w:t>
      </w:r>
      <w:r>
        <w:t xml:space="preserve">And he inclined the heart of every man of Judah as one man, and they sent to the king, saying, Return, you and all your servants.</w:t>
      </w:r>
      <w:r>
        <w:rPr>
          <w:rStyle w:val="FootnoteReference"/>
        </w:rPr>
        <w:footnoteReference w:id="6160"/>
      </w:r>
    </w:p>
    <w:p>
      <w:r>
        <w:rPr>
          <w:b/>
        </w:rPr>
        <w:t xml:space="preserve">16 </w:t>
      </w:r>
      <w:r>
        <w:t xml:space="preserve">And the king returned and came as far as the Jordan, and the men of Judah came to Gilgal to go and meet the king, to bring the king across the Jordan.</w:t>
      </w:r>
    </w:p>
    <w:p>
      <w:r>
        <w:rPr>
          <w:b/>
        </w:rPr>
        <w:t xml:space="preserve">17 </w:t>
      </w:r>
      <w:r>
        <w:t xml:space="preserve">And Shimei son of Gera a Benjamite from Bahurim hurried and came down with the men of Judah to meet King David.</w:t>
      </w:r>
    </w:p>
    <w:p>
      <w:r>
        <w:rPr>
          <w:b/>
        </w:rPr>
        <w:t xml:space="preserve">18 </w:t>
      </w:r>
      <w:r>
        <w:t xml:space="preserve">And with him were one thousand men from Benjamin and Ziba the servant of the house of Saul, and his fifteen sons with him and his twenty servants with him, and they made straight for the Jordan before the king.</w:t>
      </w:r>
      <w:r>
        <w:rPr>
          <w:rStyle w:val="FootnoteReference"/>
        </w:rPr>
        <w:footnoteReference w:id="6161"/>
      </w:r>
    </w:p>
    <w:p>
      <w:r>
        <w:rPr>
          <w:b/>
        </w:rPr>
        <w:t xml:space="preserve">19 </w:t>
      </w:r>
      <w:r>
        <w:t xml:space="preserve">And they performed the service of bringing the king across, and the crossing went over to carry the house of the king across and to do what was right in his eyes. And Shimei son of Gera fell on his face before the king as he was crossing the Jordan.</w:t>
      </w:r>
      <w:r>
        <w:rPr>
          <w:rStyle w:val="FootnoteReference"/>
        </w:rPr>
        <w:footnoteReference w:id="6162"/>
      </w:r>
    </w:p>
    <w:p>
      <w:r>
        <w:rPr>
          <w:b/>
        </w:rPr>
        <w:t xml:space="preserve">20 </w:t>
      </w:r>
      <w:r>
        <w:t xml:space="preserve">And he said to the king, Let not my lord reckon lawlessness against me, and do not remember how your servant did wrong on the day when my lord the king went out from Jerusalem, so that the king should put it to heart.</w:t>
      </w:r>
      <w:r>
        <w:rPr>
          <w:rStyle w:val="FootnoteReference"/>
        </w:rPr>
        <w:footnoteReference w:id="6163"/>
      </w:r>
    </w:p>
    <w:p>
      <w:r>
        <w:rPr>
          <w:b/>
        </w:rPr>
        <w:t xml:space="preserve">21 </w:t>
      </w:r>
      <w:r>
        <w:t xml:space="preserve">For your servant knows that I have sinned. And behold, I came today first of all the house of Joseph to come down and meet my lord the king.</w:t>
      </w:r>
    </w:p>
    <w:p>
      <w:r>
        <w:rPr>
          <w:b/>
        </w:rPr>
        <w:t xml:space="preserve">22 </w:t>
      </w:r>
      <w:r>
        <w:t xml:space="preserve">And Abishai son of Zeruiah answered and said, Shall not Shimei be put to death for this, because he cursed the anointed of the Lord?</w:t>
      </w:r>
      <w:r>
        <w:rPr>
          <w:rStyle w:val="FootnoteReference"/>
        </w:rPr>
        <w:footnoteReference w:id="6164"/>
      </w:r>
    </w:p>
    <w:p>
      <w:r>
        <w:rPr>
          <w:b/>
        </w:rPr>
        <w:t xml:space="preserve">23 </w:t>
      </w:r>
      <w:r>
        <w:t xml:space="preserve">And David said, What is it to me and to you, sons of Zeruiah, that today you become an enemy to me? Today shall any man in Israel be put to death? For do I not know that today I reign over Israel?</w:t>
      </w:r>
      <w:r>
        <w:rPr>
          <w:rStyle w:val="FootnoteReference"/>
        </w:rPr>
        <w:footnoteReference w:id="6165"/>
      </w:r>
    </w:p>
    <w:p>
      <w:r>
        <w:rPr>
          <w:b/>
        </w:rPr>
        <w:t xml:space="preserve">24 </w:t>
      </w:r>
      <w:r>
        <w:t xml:space="preserve">And the king said to Shimei, You shall not die. And the king swore to him.</w:t>
      </w:r>
      <w:r>
        <w:rPr>
          <w:rStyle w:val="FootnoteReference"/>
        </w:rPr>
        <w:footnoteReference w:id="6166"/>
      </w:r>
    </w:p>
    <w:p>
      <w:r>
        <w:rPr>
          <w:b/>
        </w:rPr>
        <w:t xml:space="preserve">25 </w:t>
      </w:r>
      <w:r>
        <w:t xml:space="preserve">And Mephibosheth son of Jonathan son of Saul came down to meet the king, and he had not cared for his feet, nor trimmed his nails, nor tended his mustache, nor washed his garments from the day the king left until the day he came in peace.</w:t>
      </w:r>
    </w:p>
    <w:p>
      <w:r>
        <w:rPr>
          <w:b/>
        </w:rPr>
        <w:t xml:space="preserve">26 </w:t>
      </w:r>
      <w:r>
        <w:t xml:space="preserve">And it came to be when he entered Jerusalem to meet the king, that the king said to him, Why did you not go with me, Mephibosheth?</w:t>
      </w:r>
    </w:p>
    <w:p>
      <w:r>
        <w:rPr>
          <w:b/>
        </w:rPr>
        <w:t xml:space="preserve">27 </w:t>
      </w:r>
      <w:r>
        <w:t xml:space="preserve">And Mephibosheth said to him, My lord king, my servant deceived me. For your servant said to him, Saddle the donkey for me, and I will mount it and go with the king, because your servant is lame.</w:t>
      </w:r>
    </w:p>
    <w:p>
      <w:r>
        <w:rPr>
          <w:b/>
        </w:rPr>
        <w:t xml:space="preserve">28 </w:t>
      </w:r>
      <w:r>
        <w:t xml:space="preserve">And he schemed against your servant to my lord the king. But my lord the king is like an angel of God</w:t>
      </w:r>
      <w:r>
        <w:rPr>
          <w:rStyle w:val="FootnoteReference"/>
        </w:rPr>
        <w:footnoteReference w:id="6167"/>
      </w:r>
      <w:r>
        <w:t xml:space="preserve">. So do what is good in your eyes.</w:t>
      </w:r>
    </w:p>
    <w:p>
      <w:r>
        <w:rPr>
          <w:b/>
        </w:rPr>
        <w:t xml:space="preserve">29 </w:t>
      </w:r>
      <w:r>
        <w:t xml:space="preserve">For all the house of my father were nothing but men of death to my lord the king, yet you set your servant among those eating at your table. And what right have I still, even to cry out further to the king?</w:t>
      </w:r>
    </w:p>
    <w:p>
      <w:r>
        <w:rPr>
          <w:b/>
        </w:rPr>
        <w:t xml:space="preserve">30 </w:t>
      </w:r>
      <w:r>
        <w:t xml:space="preserve">And the king said to him, Why do you still speak your words? I have said, You and Ziba shall divide the field</w:t>
      </w:r>
      <w:r>
        <w:rPr>
          <w:rStyle w:val="FootnoteReference"/>
        </w:rPr>
        <w:footnoteReference w:id="6168"/>
      </w:r>
      <w:r>
        <w:t xml:space="preserve">.</w:t>
      </w:r>
    </w:p>
    <w:p>
      <w:r>
        <w:rPr>
          <w:b/>
        </w:rPr>
        <w:t xml:space="preserve">31 </w:t>
      </w:r>
      <w:r>
        <w:t xml:space="preserve">And Mephibosheth said to the king, Indeed, let him take all, after my lord the king has come in peace to his house.</w:t>
      </w:r>
    </w:p>
    <w:p>
      <w:r>
        <w:rPr>
          <w:b/>
        </w:rPr>
        <w:t xml:space="preserve">32 </w:t>
      </w:r>
      <w:r>
        <w:t xml:space="preserve">And Barzillai the Gileadite came down from Rogelim and crossed with the king over the Jordan to escort him over the Jordan.</w:t>
      </w:r>
      <w:r>
        <w:rPr>
          <w:rStyle w:val="FootnoteReference"/>
        </w:rPr>
        <w:footnoteReference w:id="6169"/>
      </w:r>
    </w:p>
    <w:p>
      <w:r>
        <w:rPr>
          <w:b/>
        </w:rPr>
        <w:t xml:space="preserve">33 </w:t>
      </w:r>
      <w:r>
        <w:t xml:space="preserve">And Barzillai was a very old man, a son of eighty years</w:t>
      </w:r>
      <w:r>
        <w:rPr>
          <w:rStyle w:val="FootnoteReference"/>
        </w:rPr>
        <w:footnoteReference w:id="6170"/>
      </w:r>
      <w:r>
        <w:t xml:space="preserve">, and he had sustained the king while he stayed in Mahanaim, because he was a very great man.</w:t>
      </w:r>
    </w:p>
    <w:p>
      <w:r>
        <w:rPr>
          <w:b/>
        </w:rPr>
        <w:t xml:space="preserve">34 </w:t>
      </w:r>
      <w:r>
        <w:t xml:space="preserve">And the king said to Barzillai, You shall cross over with me, and I will sustain your old age with me in Jerusalem.</w:t>
      </w:r>
    </w:p>
    <w:p>
      <w:r>
        <w:rPr>
          <w:b/>
        </w:rPr>
        <w:t xml:space="preserve">35 </w:t>
      </w:r>
      <w:r>
        <w:t xml:space="preserve">And Barzillai said to the king, How many are the days of the years of my life, that I should go up with the king to Jerusalem?</w:t>
      </w:r>
      <w:r>
        <w:rPr>
          <w:rStyle w:val="FootnoteReference"/>
        </w:rPr>
        <w:footnoteReference w:id="6171"/>
      </w:r>
    </w:p>
    <w:p>
      <w:r>
        <w:rPr>
          <w:b/>
        </w:rPr>
        <w:t xml:space="preserve">36 </w:t>
      </w:r>
      <w:r>
        <w:t xml:space="preserve">I am eighty years old today. Will I still know between good and evil? Will your servant still taste what I eat or what I drink? Will I still hear the voice of singers and singing women? Why then should your servant still be a burden to my lord the king?</w:t>
      </w:r>
      <w:r>
        <w:rPr>
          <w:rStyle w:val="FootnoteReference"/>
        </w:rPr>
        <w:footnoteReference w:id="6172"/>
      </w:r>
    </w:p>
    <w:p>
      <w:r>
        <w:rPr>
          <w:b/>
        </w:rPr>
        <w:t xml:space="preserve">37 </w:t>
      </w:r>
      <w:r>
        <w:t xml:space="preserve">Your servant will just cross the Jordan a little way</w:t>
      </w:r>
      <w:r>
        <w:rPr>
          <w:rStyle w:val="FootnoteReference"/>
        </w:rPr>
        <w:footnoteReference w:id="6173"/>
      </w:r>
      <w:r>
        <w:t xml:space="preserve"> with the king. Why should the king repay me with this repayment?</w:t>
      </w:r>
    </w:p>
    <w:p>
      <w:r>
        <w:rPr>
          <w:b/>
        </w:rPr>
        <w:t xml:space="preserve">38 </w:t>
      </w:r>
      <w:r>
        <w:t xml:space="preserve">Let your servant sit now, and I will die in my city, beside the tomb of my father and my mother. And behold, your servant Chimham</w:t>
      </w:r>
      <w:r>
        <w:rPr>
          <w:rStyle w:val="FootnoteReference"/>
        </w:rPr>
        <w:footnoteReference w:id="6174"/>
      </w:r>
      <w:r>
        <w:t xml:space="preserve"> will cross over with my lord the king, and do for him what is good in your eyes.</w:t>
      </w:r>
      <w:r>
        <w:rPr>
          <w:rStyle w:val="FootnoteReference"/>
        </w:rPr>
        <w:footnoteReference w:id="6175"/>
      </w:r>
    </w:p>
    <w:p>
      <w:r>
        <w:rPr>
          <w:b/>
        </w:rPr>
        <w:t xml:space="preserve">39 </w:t>
      </w:r>
      <w:r>
        <w:t xml:space="preserve">And the king said, Chimham shall cross with me, and I will do for him what is good in your eyes, and whatever you choose from me, I will do for you.</w:t>
      </w:r>
      <w:r>
        <w:rPr>
          <w:rStyle w:val="FootnoteReference"/>
        </w:rPr>
        <w:footnoteReference w:id="6176"/>
      </w:r>
    </w:p>
    <w:p>
      <w:r>
        <w:rPr>
          <w:b/>
        </w:rPr>
        <w:t xml:space="preserve">40 </w:t>
      </w:r>
      <w:r>
        <w:t xml:space="preserve">And all the people</w:t>
      </w:r>
      <w:r>
        <w:rPr>
          <w:rStyle w:val="FootnoteReference"/>
        </w:rPr>
        <w:footnoteReference w:id="6177"/>
      </w:r>
      <w:r>
        <w:t xml:space="preserve"> crossed the Jordan, and the king crossed. And the king kissed Barzillai and blessed him, and he returned to his place.</w:t>
      </w:r>
    </w:p>
    <w:p>
      <w:r>
        <w:rPr>
          <w:b/>
        </w:rPr>
        <w:t xml:space="preserve">41 </w:t>
      </w:r>
      <w:r>
        <w:t xml:space="preserve">And the king crossed into Gilgal, and Chimham crossed with him, and all the people of Judah crossing with the king, and also half the people of Israel.</w:t>
      </w:r>
      <w:r>
        <w:rPr>
          <w:rStyle w:val="FootnoteReference"/>
        </w:rPr>
        <w:footnoteReference w:id="6178"/>
      </w:r>
    </w:p>
    <w:p>
      <w:r>
        <w:rPr>
          <w:b/>
        </w:rPr>
        <w:t xml:space="preserve">42 </w:t>
      </w:r>
      <w:r>
        <w:t xml:space="preserve">And behold, every man of Israel came to the king and said to the king, Why did our brothers, the men of Judah, steal you away</w:t>
      </w:r>
      <w:r>
        <w:rPr>
          <w:rStyle w:val="FootnoteReference"/>
        </w:rPr>
        <w:footnoteReference w:id="6179"/>
      </w:r>
      <w:r>
        <w:t xml:space="preserve"> and bring the king and his house across the Jordan, and all David's men with him?</w:t>
      </w:r>
    </w:p>
    <w:p>
      <w:r>
        <w:rPr>
          <w:b/>
        </w:rPr>
        <w:t xml:space="preserve">43 </w:t>
      </w:r>
      <w:r>
        <w:t xml:space="preserve">And every man of Judah answered the man of Israel, and they said, Because the king is near to me. And why have you been angered about this matter? Did we eat by eating</w:t>
      </w:r>
      <w:r>
        <w:rPr>
          <w:rStyle w:val="FootnoteReference"/>
        </w:rPr>
        <w:footnoteReference w:id="6180"/>
      </w:r>
      <w:r>
        <w:t xml:space="preserve"> from the king, or did he give us a gift, or did he lift something for us?</w:t>
      </w:r>
    </w:p>
    <w:p>
      <w:r>
        <w:rPr>
          <w:b/>
        </w:rPr>
        <w:t xml:space="preserve">44 </w:t>
      </w:r>
      <w:r>
        <w:t xml:space="preserve">And the man of Israel answered the man of Judah and said, I have ten hands in the kingdom, and I am firstborn more than you, and indeed I have more claim in David than you. So why did you treat me lightly? And was not my word first for bringing back my king? But the word of the men of Judah was harsher than the word of the men of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there</w:t>
      </w:r>
      <w:r>
        <w:rPr>
          <w:rStyle w:val="FootnoteReference"/>
        </w:rPr>
        <w:footnoteReference w:id="6181"/>
      </w:r>
      <w:r>
        <w:t xml:space="preserve"> happened to be there a lawless man</w:t>
      </w:r>
      <w:r>
        <w:rPr>
          <w:rStyle w:val="FootnoteReference"/>
        </w:rPr>
        <w:footnoteReference w:id="6182"/>
      </w:r>
      <w:r>
        <w:t xml:space="preserve">, and his name was Sheba son of Bichri</w:t>
      </w:r>
      <w:r>
        <w:rPr>
          <w:rStyle w:val="FootnoteReference"/>
        </w:rPr>
        <w:footnoteReference w:id="6183"/>
      </w:r>
      <w:r>
        <w:t xml:space="preserve">, a Benjamite man. And he sounded the horn and said, We have no share in David, nor inheritance for us in the son of Jesse. Each man to your tents, O Israel.</w:t>
      </w:r>
    </w:p>
    <w:p>
      <w:r>
        <w:rPr>
          <w:b/>
        </w:rPr>
        <w:t xml:space="preserve">2 </w:t>
      </w:r>
      <w:r>
        <w:t xml:space="preserve">And every man</w:t>
      </w:r>
      <w:r>
        <w:rPr>
          <w:rStyle w:val="FootnoteReference"/>
        </w:rPr>
        <w:footnoteReference w:id="6184"/>
      </w:r>
      <w:r>
        <w:t xml:space="preserve"> of Israel went up from following David after Sheba son of Bichri, but the men of Judah clung to their king, from the Jordan even to Jerusalem.</w:t>
      </w:r>
    </w:p>
    <w:p>
      <w:r>
        <w:rPr>
          <w:b/>
        </w:rPr>
        <w:t xml:space="preserve">3 </w:t>
      </w:r>
      <w:r>
        <w:t xml:space="preserve">And David entered his house at Jerusalem, and the king took the ten women</w:t>
      </w:r>
      <w:r>
        <w:rPr>
          <w:rStyle w:val="FootnoteReference"/>
        </w:rPr>
        <w:footnoteReference w:id="6185"/>
      </w:r>
      <w:r>
        <w:t xml:space="preserve">, his concubines, whom he had left to guard the house, and gave them into a house of custody and sustained them, but he did not go in to them. And they were shut away until the day of their death, living as widows.</w:t>
      </w:r>
      <w:r>
        <w:rPr>
          <w:rStyle w:val="FootnoteReference"/>
        </w:rPr>
        <w:footnoteReference w:id="6186"/>
      </w:r>
    </w:p>
    <w:p>
      <w:r>
        <w:rPr>
          <w:b/>
        </w:rPr>
        <w:t xml:space="preserve">4 </w:t>
      </w:r>
      <w:r>
        <w:t xml:space="preserve">And the king said to Amasa</w:t>
      </w:r>
      <w:r>
        <w:rPr>
          <w:rStyle w:val="FootnoteReference"/>
        </w:rPr>
        <w:footnoteReference w:id="6187"/>
      </w:r>
      <w:r>
        <w:t xml:space="preserve">, Summon for me the men of Judah within three days, and you yourself stand here.</w:t>
      </w:r>
    </w:p>
    <w:p>
      <w:r>
        <w:rPr>
          <w:b/>
        </w:rPr>
        <w:t xml:space="preserve">5 </w:t>
      </w:r>
      <w:r>
        <w:t xml:space="preserve">And Amasa went to summon Judah, but he delayed beyond the set time that David had appointed for him.</w:t>
      </w:r>
    </w:p>
    <w:p>
      <w:r>
        <w:rPr>
          <w:b/>
        </w:rPr>
        <w:t xml:space="preserve">6 </w:t>
      </w:r>
      <w:r>
        <w:t xml:space="preserve">And David said to Abishai</w:t>
      </w:r>
      <w:r>
        <w:rPr>
          <w:rStyle w:val="FootnoteReference"/>
        </w:rPr>
        <w:footnoteReference w:id="6188"/>
      </w:r>
      <w:r>
        <w:t xml:space="preserve">, Now Sheba son of Bichri will do us more harm than Absalom. So now take with you the servants of your lord and pursue after him, lest he find fortified cities for himself and hide from our eyes</w:t>
      </w:r>
      <w:r>
        <w:rPr>
          <w:rStyle w:val="FootnoteReference"/>
        </w:rPr>
        <w:footnoteReference w:id="6189"/>
      </w:r>
      <w:r>
        <w:t xml:space="preserve">.</w:t>
      </w:r>
    </w:p>
    <w:p>
      <w:r>
        <w:rPr>
          <w:b/>
        </w:rPr>
        <w:t xml:space="preserve">7 </w:t>
      </w:r>
      <w:r>
        <w:t xml:space="preserve">And after him went out the men of Joab and the Cherethite</w:t>
      </w:r>
      <w:r>
        <w:rPr>
          <w:rStyle w:val="FootnoteReference"/>
        </w:rPr>
        <w:footnoteReference w:id="6190"/>
      </w:r>
      <w:r>
        <w:t xml:space="preserve"> and the Pelethites and all the mighty men, and they went out from Jerusalem to pursue after Sheba son of Bichri.</w:t>
      </w:r>
    </w:p>
    <w:p>
      <w:r>
        <w:rPr>
          <w:b/>
        </w:rPr>
        <w:t xml:space="preserve">8 </w:t>
      </w:r>
      <w:r>
        <w:t xml:space="preserve">And they were by the great stone that is in Gibeon</w:t>
      </w:r>
      <w:r>
        <w:rPr>
          <w:rStyle w:val="FootnoteReference"/>
        </w:rPr>
        <w:footnoteReference w:id="6191"/>
      </w:r>
      <w:r>
        <w:t xml:space="preserve">, and Amasa came before them. And Joab was girded with his cloak, his garment, and over it he was girded with a sword fastened at his waist in its sheath, and the sword came out and fell</w:t>
      </w:r>
      <w:r>
        <w:rPr>
          <w:rStyle w:val="FootnoteReference"/>
        </w:rPr>
        <w:footnoteReference w:id="6192"/>
      </w:r>
      <w:r>
        <w:t xml:space="preserve">.</w:t>
      </w:r>
    </w:p>
    <w:p>
      <w:r>
        <w:rPr>
          <w:b/>
        </w:rPr>
        <w:t xml:space="preserve">9 </w:t>
      </w:r>
      <w:r>
        <w:t xml:space="preserve">And Joab said to Amasa, Are you well, my brother? And the right hand of Joab took hold of the beard of Amasa to kiss him</w:t>
      </w:r>
      <w:r>
        <w:rPr>
          <w:rStyle w:val="FootnoteReference"/>
        </w:rPr>
        <w:footnoteReference w:id="6193"/>
      </w:r>
      <w:r>
        <w:t xml:space="preserve">.</w:t>
      </w:r>
    </w:p>
    <w:p>
      <w:r>
        <w:rPr>
          <w:b/>
        </w:rPr>
        <w:t xml:space="preserve">10 </w:t>
      </w:r>
      <w:r>
        <w:t xml:space="preserve">And Amasa did not guard against the sword in the hand of Joab, and Joab struck him with it in the belly</w:t>
      </w:r>
      <w:r>
        <w:rPr>
          <w:rStyle w:val="FootnoteReference"/>
        </w:rPr>
        <w:footnoteReference w:id="6194"/>
      </w:r>
      <w:r>
        <w:t xml:space="preserve">, and his entrails poured out on the ground, and he did not strike him a second time, and he died. And Joab and Abishai his brother pursued after Sheba son of Bichri.</w:t>
      </w:r>
    </w:p>
    <w:p>
      <w:r>
        <w:rPr>
          <w:b/>
        </w:rPr>
        <w:t xml:space="preserve">11 </w:t>
      </w:r>
      <w:r>
        <w:t xml:space="preserve">And a man from the young men of Joab stood over him and said, Whoever delights in Joab and whoever belongs to David, after Joab.</w:t>
      </w:r>
    </w:p>
    <w:p>
      <w:r>
        <w:rPr>
          <w:b/>
        </w:rPr>
        <w:t xml:space="preserve">12 </w:t>
      </w:r>
      <w:r>
        <w:t xml:space="preserve">And Amasa lay wallowing in blood in the middle of the road, and the man saw that all the people stood still. And he turned Amasa out of the road into a field and threw a garment over him, because he saw that everyone coming upon him had stopped.</w:t>
      </w:r>
      <w:r>
        <w:rPr>
          <w:rStyle w:val="FootnoteReference"/>
        </w:rPr>
        <w:footnoteReference w:id="6195"/>
      </w:r>
    </w:p>
    <w:p>
      <w:r>
        <w:rPr>
          <w:b/>
        </w:rPr>
        <w:t xml:space="preserve">13 </w:t>
      </w:r>
      <w:r>
        <w:t xml:space="preserve">And when he was removed from the road, every man of Israel passed on after Joab, to pursue after Sheba son of Bichri.</w:t>
      </w:r>
    </w:p>
    <w:p>
      <w:r>
        <w:rPr>
          <w:b/>
        </w:rPr>
        <w:t xml:space="preserve">14 </w:t>
      </w:r>
      <w:r>
        <w:t xml:space="preserve">And he passed through all the tribes of Israel into Abel</w:t>
      </w:r>
      <w:r>
        <w:rPr>
          <w:rStyle w:val="FootnoteReference"/>
        </w:rPr>
        <w:footnoteReference w:id="6196"/>
      </w:r>
      <w:r>
        <w:t xml:space="preserve"> and into Bethmaachah, and all the men in Charri gathered and came after him.</w:t>
      </w:r>
    </w:p>
    <w:p>
      <w:r>
        <w:rPr>
          <w:b/>
        </w:rPr>
        <w:t xml:space="preserve">15 </w:t>
      </w:r>
      <w:r>
        <w:t xml:space="preserve">And they came and besieged him at Abel and Bethmaachah, and they poured out a siege mound against the city, and it stood at the outer wall, and all the people with Joab were intending to throw down the wall.</w:t>
      </w:r>
    </w:p>
    <w:p>
      <w:r>
        <w:rPr>
          <w:b/>
        </w:rPr>
        <w:t xml:space="preserve">16 </w:t>
      </w:r>
      <w:r>
        <w:t xml:space="preserve">And a wise woman cried out from the wall and said, Hear, hear. Tell Joab now, Come near here, and I will speak to him.</w:t>
      </w:r>
    </w:p>
    <w:p>
      <w:r>
        <w:rPr>
          <w:b/>
        </w:rPr>
        <w:t xml:space="preserve">17 </w:t>
      </w:r>
      <w:r>
        <w:t xml:space="preserve">And he came near to her, and the woman said, Are you Joab? And he said, I am. And she said to him, Hear the words</w:t>
      </w:r>
      <w:r>
        <w:rPr>
          <w:rStyle w:val="FootnoteReference"/>
        </w:rPr>
        <w:footnoteReference w:id="6197"/>
      </w:r>
      <w:r>
        <w:t xml:space="preserve"> of your servant. And Joab said, I am listening.</w:t>
      </w:r>
    </w:p>
    <w:p>
      <w:r>
        <w:rPr>
          <w:b/>
        </w:rPr>
        <w:t xml:space="preserve">18 </w:t>
      </w:r>
      <w:r>
        <w:t xml:space="preserve">And she said, saying, In earlier times they spoke a word, saying, They surely asked in Abel and in Dan whether what the faithful of Israel established had failed, and thus they ended matters.</w:t>
      </w:r>
    </w:p>
    <w:p>
      <w:r>
        <w:rPr>
          <w:b/>
        </w:rPr>
        <w:t xml:space="preserve">19 </w:t>
      </w:r>
      <w:r>
        <w:t xml:space="preserve">I am one of the peaceful, of the strongholds of Israel, but you seek to put to death a city and a mother</w:t>
      </w:r>
      <w:r>
        <w:rPr>
          <w:rStyle w:val="FootnoteReference"/>
        </w:rPr>
        <w:footnoteReference w:id="6198"/>
      </w:r>
      <w:r>
        <w:t xml:space="preserve">-city in Israel. Why are you drowning the inheritance of the Lord?</w:t>
      </w:r>
    </w:p>
    <w:p>
      <w:r>
        <w:rPr>
          <w:b/>
        </w:rPr>
        <w:t xml:space="preserve">20 </w:t>
      </w:r>
      <w:r>
        <w:t xml:space="preserve">And Joab answered and said, Far be it</w:t>
      </w:r>
      <w:r>
        <w:rPr>
          <w:rStyle w:val="FootnoteReference"/>
        </w:rPr>
        <w:footnoteReference w:id="6199"/>
      </w:r>
      <w:r>
        <w:t xml:space="preserve"> from me, far be it from me, if I should drown or if I should destroy.</w:t>
      </w:r>
    </w:p>
    <w:p>
      <w:r>
        <w:rPr>
          <w:b/>
        </w:rPr>
        <w:t xml:space="preserve">21 </w:t>
      </w:r>
      <w:r>
        <w:t xml:space="preserve">This is not the matter</w:t>
      </w:r>
      <w:r>
        <w:rPr>
          <w:rStyle w:val="FootnoteReference"/>
        </w:rPr>
        <w:footnoteReference w:id="6200"/>
      </w:r>
      <w:r>
        <w:t xml:space="preserve">, but a man</w:t>
      </w:r>
      <w:r>
        <w:rPr>
          <w:rStyle w:val="FootnoteReference"/>
        </w:rPr>
        <w:footnoteReference w:id="6201"/>
      </w:r>
      <w:r>
        <w:t xml:space="preserve"> from the hill country of Ephraim, Sheba son of Bichri is his name, and he lifted his hand against King David. Give him to me alone, and I will depart from the city. And the woman said to Joab, Behold, his head will be thrown to you through the wall.</w:t>
      </w:r>
    </w:p>
    <w:p>
      <w:r>
        <w:rPr>
          <w:b/>
        </w:rPr>
        <w:t xml:space="preserve">22 </w:t>
      </w:r>
      <w:r>
        <w:t xml:space="preserve">And the woman went to all the people and spoke to all the city in her wisdom</w:t>
      </w:r>
      <w:r>
        <w:rPr>
          <w:rStyle w:val="FootnoteReference"/>
        </w:rPr>
        <w:footnoteReference w:id="6202"/>
      </w:r>
      <w:r>
        <w:t xml:space="preserve">, and they removed the head of Sheba son of Bichri and threw it to Joab. And he sounded the horn, and they were scattered from the city, each man to his tents. And Joab returned to Jerusalem to the king.</w:t>
      </w:r>
      <w:r>
        <w:rPr>
          <w:rStyle w:val="FootnoteReference"/>
        </w:rPr>
        <w:footnoteReference w:id="6203"/>
      </w:r>
    </w:p>
    <w:p>
      <w:r>
        <w:rPr>
          <w:b/>
        </w:rPr>
        <w:t xml:space="preserve">23 </w:t>
      </w:r>
      <w:r>
        <w:t xml:space="preserve">And Joab was over all the army of Israel, and Benaiah</w:t>
      </w:r>
      <w:r>
        <w:rPr>
          <w:rStyle w:val="FootnoteReference"/>
        </w:rPr>
        <w:footnoteReference w:id="6204"/>
      </w:r>
      <w:r>
        <w:t xml:space="preserve"> son of Jehoiada was over the Cherethite and over the Pelethites.</w:t>
      </w:r>
    </w:p>
    <w:p>
      <w:r>
        <w:rPr>
          <w:b/>
        </w:rPr>
        <w:t xml:space="preserve">24 </w:t>
      </w:r>
      <w:r>
        <w:t xml:space="preserve">And Adoniram</w:t>
      </w:r>
      <w:r>
        <w:rPr>
          <w:rStyle w:val="FootnoteReference"/>
        </w:rPr>
        <w:footnoteReference w:id="6205"/>
      </w:r>
      <w:r>
        <w:t xml:space="preserve"> was over the tribute, and Jehoshaphat son of Ahilud</w:t>
      </w:r>
      <w:r>
        <w:rPr>
          <w:rStyle w:val="FootnoteReference"/>
        </w:rPr>
        <w:footnoteReference w:id="6206"/>
      </w:r>
      <w:r>
        <w:t xml:space="preserve"> was recorder</w:t>
      </w:r>
      <w:r>
        <w:rPr>
          <w:rStyle w:val="FootnoteReference"/>
        </w:rPr>
        <w:footnoteReference w:id="6207"/>
      </w:r>
      <w:r>
        <w:t xml:space="preserve">.</w:t>
      </w:r>
    </w:p>
    <w:p>
      <w:r>
        <w:rPr>
          <w:b/>
        </w:rPr>
        <w:t xml:space="preserve">25 </w:t>
      </w:r>
      <w:r>
        <w:t xml:space="preserve">And Sheva</w:t>
      </w:r>
      <w:r>
        <w:rPr>
          <w:rStyle w:val="FootnoteReference"/>
        </w:rPr>
        <w:footnoteReference w:id="6208"/>
      </w:r>
      <w:r>
        <w:t xml:space="preserve"> was secretary, and Zadok and Abiathar were priests.</w:t>
      </w:r>
      <w:r>
        <w:rPr>
          <w:rStyle w:val="FootnoteReference"/>
        </w:rPr>
        <w:footnoteReference w:id="6209"/>
      </w:r>
    </w:p>
    <w:p>
      <w:r>
        <w:rPr>
          <w:b/>
        </w:rPr>
        <w:t xml:space="preserve">26 </w:t>
      </w:r>
      <w:r>
        <w:t xml:space="preserve">And Ira</w:t>
      </w:r>
      <w:r>
        <w:rPr>
          <w:rStyle w:val="FootnoteReference"/>
        </w:rPr>
        <w:footnoteReference w:id="6210"/>
      </w:r>
      <w:r>
        <w:t xml:space="preserve"> the Jairite</w:t>
      </w:r>
      <w:r>
        <w:rPr>
          <w:rStyle w:val="FootnoteReference"/>
        </w:rPr>
        <w:footnoteReference w:id="6211"/>
      </w:r>
      <w:r>
        <w:t xml:space="preserve"> too was priest to David.</w:t>
      </w:r>
      <w:r>
        <w:rPr>
          <w:rStyle w:val="FootnoteReference"/>
        </w:rPr>
        <w:footnoteReference w:id="6212"/>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there was famine in the days of David three years, year following year. And David sought the face of the Lord</w:t>
      </w:r>
      <w:r>
        <w:rPr>
          <w:rStyle w:val="FootnoteReference"/>
        </w:rPr>
        <w:footnoteReference w:id="6213"/>
      </w:r>
      <w:r>
        <w:t xml:space="preserve">, and the Lord said, There is guilt on Saul and on his house for blood, because he put the Gibeonites</w:t>
      </w:r>
      <w:r>
        <w:rPr>
          <w:rStyle w:val="FootnoteReference"/>
        </w:rPr>
        <w:footnoteReference w:id="6214"/>
      </w:r>
      <w:r>
        <w:t xml:space="preserve"> to death.</w:t>
      </w:r>
      <w:r>
        <w:rPr>
          <w:rStyle w:val="FootnoteReference"/>
        </w:rPr>
        <w:footnoteReference w:id="6215"/>
      </w:r>
    </w:p>
    <w:p>
      <w:r>
        <w:rPr>
          <w:b/>
        </w:rPr>
        <w:t xml:space="preserve">2 </w:t>
      </w:r>
      <w:r>
        <w:t xml:space="preserve">And King David called the Gibeonites and said to them. Now the</w:t>
      </w:r>
      <w:r>
        <w:rPr>
          <w:rStyle w:val="FootnoteReference"/>
        </w:rPr>
        <w:footnoteReference w:id="6216"/>
      </w:r>
      <w:r>
        <w:t xml:space="preserve"> Gibeonites are not from the sons of Israel, but from the remnant of the Amorite, and the sons of Israel had sworn to them, yet Saul sought to strike them in his zeal for the sons of Israel and Judah.</w:t>
      </w:r>
      <w:r>
        <w:rPr>
          <w:rStyle w:val="FootnoteReference"/>
        </w:rPr>
        <w:footnoteReference w:id="6217"/>
      </w:r>
    </w:p>
    <w:p>
      <w:r>
        <w:rPr>
          <w:b/>
        </w:rPr>
        <w:t xml:space="preserve">3 </w:t>
      </w:r>
      <w:r>
        <w:t xml:space="preserve">And David said to the Gibeonites, What shall I do for you, and by what shall I make atonement, so that you may bless</w:t>
      </w:r>
      <w:r>
        <w:rPr>
          <w:rStyle w:val="FootnoteReference"/>
        </w:rPr>
        <w:footnoteReference w:id="6218"/>
      </w:r>
      <w:r>
        <w:t xml:space="preserve"> the inheritance of the Lord?</w:t>
      </w:r>
    </w:p>
    <w:p>
      <w:r>
        <w:rPr>
          <w:b/>
        </w:rPr>
        <w:t xml:space="preserve">4 </w:t>
      </w:r>
      <w:r>
        <w:t xml:space="preserve">And the Gibeonites said to him, There is no silver or gold for us with Saul and with his house, and it is not for us to put a man to death in Israel. And he said, What you say, I will do for you.</w:t>
      </w:r>
    </w:p>
    <w:p>
      <w:r>
        <w:rPr>
          <w:b/>
        </w:rPr>
        <w:t xml:space="preserve">5 </w:t>
      </w:r>
      <w:r>
        <w:t xml:space="preserve">And they said to the king, The man</w:t>
      </w:r>
      <w:r>
        <w:rPr>
          <w:rStyle w:val="FootnoteReference"/>
        </w:rPr>
        <w:footnoteReference w:id="6219"/>
      </w:r>
      <w:r>
        <w:t xml:space="preserve"> brought us to an end and pursued us, he who schemed to wipe us out. Let us destroy him from having any standing in all the border of Israel.</w:t>
      </w:r>
    </w:p>
    <w:p>
      <w:r>
        <w:rPr>
          <w:b/>
        </w:rPr>
        <w:t xml:space="preserve">6 </w:t>
      </w:r>
      <w:r>
        <w:t xml:space="preserve">Let seven men be given to us from his sons, and we will expose them to the sun before the Lord in Gibeon of Saul, chosen of the Lord. And the king said, I will give them.</w:t>
      </w:r>
    </w:p>
    <w:p>
      <w:r>
        <w:rPr>
          <w:b/>
        </w:rPr>
        <w:t xml:space="preserve">7 </w:t>
      </w:r>
      <w:r>
        <w:t xml:space="preserve">But the king spared Mephibosheth</w:t>
      </w:r>
      <w:r>
        <w:rPr>
          <w:rStyle w:val="FootnoteReference"/>
        </w:rPr>
        <w:footnoteReference w:id="6220"/>
      </w:r>
      <w:r>
        <w:t xml:space="preserve"> son of Jonathan son of Saul, because of the oath of the Lord that was between them, between David and between Jonathan son of Saul.</w:t>
      </w:r>
    </w:p>
    <w:p>
      <w:r>
        <w:rPr>
          <w:b/>
        </w:rPr>
        <w:t xml:space="preserve">8 </w:t>
      </w:r>
      <w:r>
        <w:t xml:space="preserve">And the king took the two sons of Rizpah</w:t>
      </w:r>
      <w:r>
        <w:rPr>
          <w:rStyle w:val="FootnoteReference"/>
        </w:rPr>
        <w:footnoteReference w:id="6221"/>
      </w:r>
      <w:r>
        <w:t xml:space="preserve"> daughter of Aiah, whom she bore to Saul, Hermoni and Mephibosheth, and the five sons of Michal daughter of Saul, whom she bore to Adriel</w:t>
      </w:r>
      <w:r>
        <w:rPr>
          <w:rStyle w:val="FootnoteReference"/>
        </w:rPr>
        <w:footnoteReference w:id="6222"/>
      </w:r>
      <w:r>
        <w:t xml:space="preserve"> son of Barzillai the Moulathite.</w:t>
      </w:r>
    </w:p>
    <w:p>
      <w:r>
        <w:rPr>
          <w:b/>
        </w:rPr>
        <w:t xml:space="preserve">9 </w:t>
      </w:r>
      <w:r>
        <w:t xml:space="preserve">And he gave them into the hand of the Gibeonites, and they exposed them to the sun</w:t>
      </w:r>
      <w:r>
        <w:rPr>
          <w:rStyle w:val="FootnoteReference"/>
        </w:rPr>
        <w:footnoteReference w:id="6223"/>
      </w:r>
      <w:r>
        <w:t xml:space="preserve"> on the mountain before the Lord</w:t>
      </w:r>
      <w:r>
        <w:rPr>
          <w:rStyle w:val="FootnoteReference"/>
        </w:rPr>
        <w:footnoteReference w:id="6224"/>
      </w:r>
      <w:r>
        <w:t xml:space="preserve">. And the seven fell together, and they were put to death in the days of harvest, in the first days, at the beginning of barley harvest.</w:t>
      </w:r>
    </w:p>
    <w:p>
      <w:r>
        <w:rPr>
          <w:b/>
        </w:rPr>
        <w:t xml:space="preserve">10 </w:t>
      </w:r>
      <w:r>
        <w:t xml:space="preserve">And Rizpah</w:t>
      </w:r>
      <w:r>
        <w:rPr>
          <w:rStyle w:val="FootnoteReference"/>
        </w:rPr>
        <w:footnoteReference w:id="6225"/>
      </w:r>
      <w:r>
        <w:t xml:space="preserve"> daughter of Aiah took sackcloth and spread it for herself on the rock from the beginning of barley harvest until water dripped on them from heaven, and she did not allow the birds of heaven to rest on them by day nor the beasts of the field by night.</w:t>
      </w:r>
    </w:p>
    <w:p>
      <w:r>
        <w:rPr>
          <w:b/>
        </w:rPr>
        <w:t xml:space="preserve">11 </w:t>
      </w:r>
      <w:r>
        <w:t xml:space="preserve">And it was reported to David what Rizpah daughter of Aiah, concubine of Saul, had done, and they were released, and Dan son of Ioa from the offspring of the giants took hold of them.</w:t>
      </w:r>
    </w:p>
    <w:p>
      <w:r>
        <w:rPr>
          <w:b/>
        </w:rPr>
        <w:t xml:space="preserve">12 </w:t>
      </w:r>
      <w:r>
        <w:t xml:space="preserve">And David went and took the bones of Saul</w:t>
      </w:r>
      <w:r>
        <w:rPr>
          <w:rStyle w:val="FootnoteReference"/>
        </w:rPr>
        <w:footnoteReference w:id="6226"/>
      </w:r>
      <w:r>
        <w:t xml:space="preserve"> and the bones of Jonathan his son from the men, sons of Jabesh Gilead, who stole them</w:t>
      </w:r>
      <w:r>
        <w:rPr>
          <w:rStyle w:val="FootnoteReference"/>
        </w:rPr>
        <w:footnoteReference w:id="6227"/>
      </w:r>
      <w:r>
        <w:t xml:space="preserve"> from the square of Bethshan, because the foreigners had set them there on the day the foreigners struck Saul on Gilboa.</w:t>
      </w:r>
    </w:p>
    <w:p>
      <w:r>
        <w:rPr>
          <w:b/>
        </w:rPr>
        <w:t xml:space="preserve">13 </w:t>
      </w:r>
      <w:r>
        <w:t xml:space="preserve">And he brought up from there the bones of Saul and the bones of Jonathan his son, and they gathered the bones of the ones exposed to the sun</w:t>
      </w:r>
      <w:r>
        <w:rPr>
          <w:rStyle w:val="FootnoteReference"/>
        </w:rPr>
        <w:footnoteReference w:id="6228"/>
      </w:r>
      <w:r>
        <w:t xml:space="preserve">.</w:t>
      </w:r>
    </w:p>
    <w:p>
      <w:r>
        <w:rPr>
          <w:b/>
        </w:rPr>
        <w:t xml:space="preserve">14 </w:t>
      </w:r>
      <w:r>
        <w:t xml:space="preserve">And they buried</w:t>
      </w:r>
      <w:r>
        <w:rPr>
          <w:rStyle w:val="FootnoteReference"/>
        </w:rPr>
        <w:footnoteReference w:id="6229"/>
      </w:r>
      <w:r>
        <w:t xml:space="preserve"> the bones of Saul and the bones of Jonathan his son and of the ones exposed to the sun</w:t>
      </w:r>
      <w:r>
        <w:rPr>
          <w:rStyle w:val="FootnoteReference"/>
        </w:rPr>
        <w:footnoteReference w:id="6230"/>
      </w:r>
      <w:r>
        <w:t xml:space="preserve"> in the land of Benjamin at the side, in the tomb of Kish his father, and they did all that the king commanded, and afterward God listened to the land.</w:t>
      </w:r>
    </w:p>
    <w:p>
      <w:r>
        <w:rPr>
          <w:b/>
        </w:rPr>
        <w:t xml:space="preserve">15 </w:t>
      </w:r>
      <w:r>
        <w:t xml:space="preserve">And again there was war for the foreigners with Israel, and David went down, and his servants with him, and they fought with the foreigners, and David grew faint.</w:t>
      </w:r>
    </w:p>
    <w:p>
      <w:r>
        <w:rPr>
          <w:b/>
        </w:rPr>
        <w:t xml:space="preserve">16 </w:t>
      </w:r>
      <w:r>
        <w:t xml:space="preserve">And Iesbi, who was among the offspring of Rapha</w:t>
      </w:r>
      <w:r>
        <w:rPr>
          <w:rStyle w:val="FootnoteReference"/>
        </w:rPr>
        <w:footnoteReference w:id="6231"/>
      </w:r>
      <w:r>
        <w:t xml:space="preserve">, and the weight of whose spear was three hundred shekels of bronze, and he was girded with a club, intended to strike David.</w:t>
      </w:r>
    </w:p>
    <w:p>
      <w:r>
        <w:rPr>
          <w:b/>
        </w:rPr>
        <w:t xml:space="preserve">17 </w:t>
      </w:r>
      <w:r>
        <w:t xml:space="preserve">And Abishai</w:t>
      </w:r>
      <w:r>
        <w:rPr>
          <w:rStyle w:val="FootnoteReference"/>
        </w:rPr>
        <w:footnoteReference w:id="6232"/>
      </w:r>
      <w:r>
        <w:t xml:space="preserve"> son of Zeruiah helped him, and he struck the foreigner and put him to death. Then the men of David swore, saying, You shall no longer go out with us to battle, and you shall not extinguish the lamp of Israel</w:t>
      </w:r>
      <w:r>
        <w:rPr>
          <w:rStyle w:val="FootnoteReference"/>
        </w:rPr>
        <w:footnoteReference w:id="6233"/>
      </w:r>
      <w:r>
        <w:t xml:space="preserve">.</w:t>
      </w:r>
    </w:p>
    <w:p>
      <w:r>
        <w:rPr>
          <w:b/>
        </w:rPr>
        <w:t xml:space="preserve">18 </w:t>
      </w:r>
      <w:r>
        <w:t xml:space="preserve">And after these things there was again war at Gath with the foreigners. Then Sebocha the Astathothite struck Sepph, one of the offspring of Rapha.</w:t>
      </w:r>
    </w:p>
    <w:p>
      <w:r>
        <w:rPr>
          <w:b/>
        </w:rPr>
        <w:t xml:space="preserve">19 </w:t>
      </w:r>
      <w:r>
        <w:t xml:space="preserve">And there was war at Gob</w:t>
      </w:r>
      <w:r>
        <w:rPr>
          <w:rStyle w:val="FootnoteReference"/>
        </w:rPr>
        <w:footnoteReference w:id="6234"/>
      </w:r>
      <w:r>
        <w:t xml:space="preserve"> with the foreigners, and Elhanan</w:t>
      </w:r>
      <w:r>
        <w:rPr>
          <w:rStyle w:val="FootnoteReference"/>
        </w:rPr>
        <w:footnoteReference w:id="6235"/>
      </w:r>
      <w:r>
        <w:t xml:space="preserve"> son of Ariorgim the Bethlehemite struck Goliath the Gittite, and the shaft of his spear was like a weavers' beam.</w:t>
      </w:r>
      <w:r>
        <w:rPr>
          <w:rStyle w:val="FootnoteReference"/>
        </w:rPr>
        <w:footnoteReference w:id="6236"/>
      </w:r>
    </w:p>
    <w:p>
      <w:r>
        <w:rPr>
          <w:b/>
        </w:rPr>
        <w:t xml:space="preserve">20 </w:t>
      </w:r>
      <w:r>
        <w:t xml:space="preserve">And again there was war at Gath, and there was a man of measure, and the fingers of his hands and the fingers of his feet were six and six, twenty-four in number, and he too was born to Rapha.</w:t>
      </w:r>
    </w:p>
    <w:p>
      <w:r>
        <w:rPr>
          <w:b/>
        </w:rPr>
        <w:t xml:space="preserve">21 </w:t>
      </w:r>
      <w:r>
        <w:t xml:space="preserve">And he reproached Israel, and Jonathan</w:t>
      </w:r>
      <w:r>
        <w:rPr>
          <w:rStyle w:val="FootnoteReference"/>
        </w:rPr>
        <w:footnoteReference w:id="6237"/>
      </w:r>
      <w:r>
        <w:t xml:space="preserve"> son of Shimeah brother of David struck him.</w:t>
      </w:r>
    </w:p>
    <w:p>
      <w:r>
        <w:rPr>
          <w:b/>
        </w:rPr>
        <w:t xml:space="preserve">22 </w:t>
      </w:r>
      <w:r>
        <w:t xml:space="preserve">These four</w:t>
      </w:r>
      <w:r>
        <w:rPr>
          <w:rStyle w:val="FootnoteReference"/>
        </w:rPr>
        <w:footnoteReference w:id="6238"/>
      </w:r>
      <w:r>
        <w:t xml:space="preserve"> were born as offspring of the giants in Gath, in the house of Rapha, and they fell by the hand of David and by the hand of his servants.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David</w:t>
      </w:r>
      <w:r>
        <w:rPr>
          <w:rStyle w:val="FootnoteReference"/>
        </w:rPr>
        <w:footnoteReference w:id="6239"/>
      </w:r>
      <w:r>
        <w:t xml:space="preserve"> spoke to the Lord the words of this song in the day when the Lord delivered him from the hand of all his enemies and from the hand of Saul.</w:t>
      </w:r>
    </w:p>
    <w:p>
      <w:r>
        <w:rPr>
          <w:b/>
        </w:rPr>
        <w:t xml:space="preserve">2 </w:t>
      </w:r>
      <w:r>
        <w:t xml:space="preserve">And he said, O Lord, my rock and my fortress and my rescuer for me</w:t>
      </w:r>
      <w:r>
        <w:rPr>
          <w:rStyle w:val="FootnoteReference"/>
        </w:rPr>
        <w:footnoteReference w:id="6240"/>
      </w:r>
      <w:r>
        <w:t xml:space="preserve">,</w:t>
      </w:r>
    </w:p>
    <w:p>
      <w:r>
        <w:rPr>
          <w:b/>
        </w:rPr>
        <w:t xml:space="preserve">3 </w:t>
      </w:r>
      <w:r>
        <w:t xml:space="preserve">my God will be my guard; I will trust in him</w:t>
      </w:r>
      <w:r>
        <w:rPr>
          <w:rStyle w:val="FootnoteReference"/>
        </w:rPr>
        <w:footnoteReference w:id="6241"/>
      </w:r>
      <w:r>
        <w:t xml:space="preserve">, my shield and horn of my salvation, my supporter and my refuge of salvation; from injustice you will save me.</w:t>
      </w:r>
    </w:p>
    <w:p>
      <w:r>
        <w:rPr>
          <w:b/>
        </w:rPr>
        <w:t xml:space="preserve">4 </w:t>
      </w:r>
      <w:r>
        <w:t xml:space="preserve">I will call upon the Lord, worthy</w:t>
      </w:r>
      <w:r>
        <w:rPr>
          <w:rStyle w:val="FootnoteReference"/>
        </w:rPr>
        <w:footnoteReference w:id="6242"/>
      </w:r>
      <w:r>
        <w:t xml:space="preserve"> of praise, and I will be saved from my enemies.</w:t>
      </w:r>
    </w:p>
    <w:p>
      <w:r>
        <w:rPr>
          <w:b/>
        </w:rPr>
        <w:t xml:space="preserve">5 </w:t>
      </w:r>
      <w:r>
        <w:t xml:space="preserve">For breakers of death surrounded me; torrents of lawlessness terrified me.</w:t>
      </w:r>
    </w:p>
    <w:p>
      <w:r>
        <w:rPr>
          <w:b/>
        </w:rPr>
        <w:t xml:space="preserve">6 </w:t>
      </w:r>
      <w:r>
        <w:t xml:space="preserve">The birth-pangs of death encircled me; hardnesses of death came before me.</w:t>
      </w:r>
    </w:p>
    <w:p>
      <w:r>
        <w:rPr>
          <w:b/>
        </w:rPr>
        <w:t xml:space="preserve">7 </w:t>
      </w:r>
      <w:r>
        <w:t xml:space="preserve">When I was afflicted, I will call on the Lord, and I will cry out to my God, and he will hear my voice from his temple, and my cry</w:t>
      </w:r>
      <w:r>
        <w:rPr>
          <w:rStyle w:val="FootnoteReference"/>
        </w:rPr>
        <w:footnoteReference w:id="6243"/>
      </w:r>
      <w:r>
        <w:t xml:space="preserve"> will be in his ears.</w:t>
      </w:r>
    </w:p>
    <w:p>
      <w:r>
        <w:rPr>
          <w:b/>
        </w:rPr>
        <w:t xml:space="preserve">8 </w:t>
      </w:r>
      <w:r>
        <w:t xml:space="preserve">And the earth</w:t>
      </w:r>
      <w:r>
        <w:rPr>
          <w:rStyle w:val="FootnoteReference"/>
        </w:rPr>
        <w:footnoteReference w:id="6244"/>
      </w:r>
      <w:r>
        <w:t xml:space="preserve"> was shaken and quaked, and the foundations of heaven were troubled and convulsed, because the Lord was angry with them.</w:t>
      </w:r>
    </w:p>
    <w:p>
      <w:r>
        <w:rPr>
          <w:b/>
        </w:rPr>
        <w:t xml:space="preserve">9 </w:t>
      </w:r>
      <w:r>
        <w:t xml:space="preserve">Smoke went</w:t>
      </w:r>
      <w:r>
        <w:rPr>
          <w:rStyle w:val="FootnoteReference"/>
        </w:rPr>
        <w:footnoteReference w:id="6245"/>
      </w:r>
      <w:r>
        <w:t xml:space="preserve"> up in his anger, and fire from his mouth devours; coals were kindled from it.</w:t>
      </w:r>
    </w:p>
    <w:p>
      <w:r>
        <w:rPr>
          <w:b/>
        </w:rPr>
        <w:t xml:space="preserve">10 </w:t>
      </w:r>
      <w:r>
        <w:t xml:space="preserve">And he bent the heavens and came down, and gloom was under his feet.</w:t>
      </w:r>
    </w:p>
    <w:p>
      <w:r>
        <w:rPr>
          <w:b/>
        </w:rPr>
        <w:t xml:space="preserve">11 </w:t>
      </w:r>
      <w:r>
        <w:t xml:space="preserve">And he rode on cheroubin and flew, and he was seen on the wings of wind.</w:t>
      </w:r>
    </w:p>
    <w:p>
      <w:r>
        <w:rPr>
          <w:b/>
        </w:rPr>
        <w:t xml:space="preserve">12 </w:t>
      </w:r>
      <w:r>
        <w:t xml:space="preserve">And he made</w:t>
      </w:r>
      <w:r>
        <w:rPr>
          <w:rStyle w:val="FootnoteReference"/>
        </w:rPr>
        <w:footnoteReference w:id="6246"/>
      </w:r>
      <w:r>
        <w:t xml:space="preserve"> darkness his hiding place around him, his tent, dark water thickened in the clouds of air.</w:t>
      </w:r>
    </w:p>
    <w:p>
      <w:r>
        <w:rPr>
          <w:b/>
        </w:rPr>
        <w:t xml:space="preserve">13 </w:t>
      </w:r>
      <w:r>
        <w:t xml:space="preserve">From the brightness before him coals of fire</w:t>
      </w:r>
      <w:r>
        <w:rPr>
          <w:rStyle w:val="FootnoteReference"/>
        </w:rPr>
        <w:footnoteReference w:id="6247"/>
      </w:r>
      <w:r>
        <w:t xml:space="preserve"> were kindled.</w:t>
      </w:r>
    </w:p>
    <w:p>
      <w:r>
        <w:rPr>
          <w:b/>
        </w:rPr>
        <w:t xml:space="preserve">14 </w:t>
      </w:r>
      <w:r>
        <w:t xml:space="preserve">The Lord thundered</w:t>
      </w:r>
      <w:r>
        <w:rPr>
          <w:rStyle w:val="FootnoteReference"/>
        </w:rPr>
        <w:footnoteReference w:id="6248"/>
      </w:r>
      <w:r>
        <w:t xml:space="preserve"> from heaven, and the Most High gave his voice.</w:t>
      </w:r>
    </w:p>
    <w:p>
      <w:r>
        <w:rPr>
          <w:b/>
        </w:rPr>
        <w:t xml:space="preserve">15 </w:t>
      </w:r>
      <w:r>
        <w:t xml:space="preserve">And he sent arrows</w:t>
      </w:r>
      <w:r>
        <w:rPr>
          <w:rStyle w:val="FootnoteReference"/>
        </w:rPr>
        <w:footnoteReference w:id="6249"/>
      </w:r>
      <w:r>
        <w:t xml:space="preserve"> and scattered them, lightning and threw them into panic.</w:t>
      </w:r>
    </w:p>
    <w:p>
      <w:r>
        <w:rPr>
          <w:b/>
        </w:rPr>
        <w:t xml:space="preserve">16 </w:t>
      </w:r>
      <w:r>
        <w:t xml:space="preserve">And the channels</w:t>
      </w:r>
      <w:r>
        <w:rPr>
          <w:rStyle w:val="FootnoteReference"/>
        </w:rPr>
        <w:footnoteReference w:id="6250"/>
      </w:r>
      <w:r>
        <w:t xml:space="preserve"> of the sea were seen, and the foundations of the world were uncovered at the rebuke of the Lord, from the breath of the spirit of his wrath.</w:t>
      </w:r>
    </w:p>
    <w:p>
      <w:r>
        <w:rPr>
          <w:b/>
        </w:rPr>
        <w:t xml:space="preserve">17 </w:t>
      </w:r>
      <w:r>
        <w:t xml:space="preserve">He sent</w:t>
      </w:r>
      <w:r>
        <w:rPr>
          <w:rStyle w:val="FootnoteReference"/>
        </w:rPr>
        <w:footnoteReference w:id="6251"/>
      </w:r>
      <w:r>
        <w:t xml:space="preserve"> from on high and took me; he drew me out of many waters.</w:t>
      </w:r>
    </w:p>
    <w:p>
      <w:r>
        <w:rPr>
          <w:b/>
        </w:rPr>
        <w:t xml:space="preserve">18 </w:t>
      </w:r>
      <w:r>
        <w:t xml:space="preserve">He rescued me from my strong enemies, from those hating me, because they were stronger than I.</w:t>
      </w:r>
    </w:p>
    <w:p>
      <w:r>
        <w:rPr>
          <w:b/>
        </w:rPr>
        <w:t xml:space="preserve">19 </w:t>
      </w:r>
      <w:r>
        <w:t xml:space="preserve">They came before me in the day of my affliction, and the Lord</w:t>
      </w:r>
      <w:r>
        <w:rPr>
          <w:rStyle w:val="FootnoteReference"/>
        </w:rPr>
        <w:footnoteReference w:id="6252"/>
      </w:r>
      <w:r>
        <w:t xml:space="preserve"> became my support.</w:t>
      </w:r>
    </w:p>
    <w:p>
      <w:r>
        <w:rPr>
          <w:b/>
        </w:rPr>
        <w:t xml:space="preserve">20 </w:t>
      </w:r>
      <w:r>
        <w:t xml:space="preserve">And he brought</w:t>
      </w:r>
      <w:r>
        <w:rPr>
          <w:rStyle w:val="FootnoteReference"/>
        </w:rPr>
        <w:footnoteReference w:id="6253"/>
      </w:r>
      <w:r>
        <w:t xml:space="preserve"> me out into breadth and delivered me, because he delighted in me.</w:t>
      </w:r>
    </w:p>
    <w:p>
      <w:r>
        <w:rPr>
          <w:b/>
        </w:rPr>
        <w:t xml:space="preserve">21 </w:t>
      </w:r>
      <w:r>
        <w:t xml:space="preserve">And the Lord repaid me according to my righteousness; according to the cleanness</w:t>
      </w:r>
      <w:r>
        <w:rPr>
          <w:rStyle w:val="FootnoteReference"/>
        </w:rPr>
        <w:footnoteReference w:id="6254"/>
      </w:r>
      <w:r>
        <w:t xml:space="preserve"> of my hands he repaid me.</w:t>
      </w:r>
    </w:p>
    <w:p>
      <w:r>
        <w:rPr>
          <w:b/>
        </w:rPr>
        <w:t xml:space="preserve">22 </w:t>
      </w:r>
      <w:r>
        <w:t xml:space="preserve">Because I kept the ways</w:t>
      </w:r>
      <w:r>
        <w:rPr>
          <w:rStyle w:val="FootnoteReference"/>
        </w:rPr>
        <w:footnoteReference w:id="6255"/>
      </w:r>
      <w:r>
        <w:t xml:space="preserve"> of the Lord and did not act impiously away from my God.</w:t>
      </w:r>
    </w:p>
    <w:p>
      <w:r>
        <w:rPr>
          <w:b/>
        </w:rPr>
        <w:t xml:space="preserve">23 </w:t>
      </w:r>
      <w:r>
        <w:t xml:space="preserve">Because all his judgments</w:t>
      </w:r>
      <w:r>
        <w:rPr>
          <w:rStyle w:val="FootnoteReference"/>
        </w:rPr>
        <w:footnoteReference w:id="6256"/>
      </w:r>
      <w:r>
        <w:t xml:space="preserve"> were before me, and his ordinances I did not turn away from.</w:t>
      </w:r>
    </w:p>
    <w:p>
      <w:r>
        <w:rPr>
          <w:b/>
        </w:rPr>
        <w:t xml:space="preserve">24 </w:t>
      </w:r>
      <w:r>
        <w:t xml:space="preserve">And I will be blameless with him, and I will keep myself from my lawlessness.</w:t>
      </w:r>
    </w:p>
    <w:p>
      <w:r>
        <w:rPr>
          <w:b/>
        </w:rPr>
        <w:t xml:space="preserve">25 </w:t>
      </w:r>
      <w:r>
        <w:t xml:space="preserve">And the Lord will repay me according to my righteousness and according to the cleanness of my hands before his eyes.</w:t>
      </w:r>
    </w:p>
    <w:p>
      <w:r>
        <w:rPr>
          <w:b/>
        </w:rPr>
        <w:t xml:space="preserve">26 </w:t>
      </w:r>
      <w:r>
        <w:t xml:space="preserve">With the holy one you will be holy, and with the perfect man you will be perfect.</w:t>
      </w:r>
    </w:p>
    <w:p>
      <w:r>
        <w:rPr>
          <w:b/>
        </w:rPr>
        <w:t xml:space="preserve">27 </w:t>
      </w:r>
      <w:r>
        <w:t xml:space="preserve">And with the chosen one you will be chosen, and with the crooked you will be twisted.</w:t>
      </w:r>
    </w:p>
    <w:p>
      <w:r>
        <w:rPr>
          <w:b/>
        </w:rPr>
        <w:t xml:space="preserve">28 </w:t>
      </w:r>
      <w:r>
        <w:t xml:space="preserve">And you will save the poor people, and the eyes of the proud you will humble.</w:t>
      </w:r>
    </w:p>
    <w:p>
      <w:r>
        <w:rPr>
          <w:b/>
        </w:rPr>
        <w:t xml:space="preserve">29 </w:t>
      </w:r>
      <w:r>
        <w:t xml:space="preserve">Because you are my lamp</w:t>
      </w:r>
      <w:r>
        <w:rPr>
          <w:rStyle w:val="FootnoteReference"/>
        </w:rPr>
        <w:footnoteReference w:id="6257"/>
      </w:r>
      <w:r>
        <w:t xml:space="preserve">, O Lord, and the Lord will light up my darkness.</w:t>
      </w:r>
      <w:r>
        <w:rPr>
          <w:rStyle w:val="FootnoteReference"/>
        </w:rPr>
        <w:footnoteReference w:id="6258"/>
      </w:r>
    </w:p>
    <w:p>
      <w:r>
        <w:rPr>
          <w:b/>
        </w:rPr>
        <w:t xml:space="preserve">30 </w:t>
      </w:r>
      <w:r>
        <w:t xml:space="preserve">Because in you I will run as a raider, and in my God I will leap over a wall.</w:t>
      </w:r>
    </w:p>
    <w:p>
      <w:r>
        <w:rPr>
          <w:b/>
        </w:rPr>
        <w:t xml:space="preserve">31 </w:t>
      </w:r>
      <w:r>
        <w:t xml:space="preserve">The Mighty One, blameless is his way</w:t>
      </w:r>
      <w:r>
        <w:rPr>
          <w:rStyle w:val="FootnoteReference"/>
        </w:rPr>
        <w:footnoteReference w:id="6259"/>
      </w:r>
      <w:r>
        <w:t xml:space="preserve">; the word of the Lord is strongly refined by fire; he is a shield for all who trust in him.</w:t>
      </w:r>
    </w:p>
    <w:p>
      <w:r>
        <w:rPr>
          <w:b/>
        </w:rPr>
        <w:t xml:space="preserve">32 </w:t>
      </w:r>
      <w:r>
        <w:t xml:space="preserve">For who</w:t>
      </w:r>
      <w:r>
        <w:rPr>
          <w:rStyle w:val="FootnoteReference"/>
        </w:rPr>
        <w:footnoteReference w:id="6260"/>
      </w:r>
      <w:r>
        <w:t xml:space="preserve"> is mighty besides the Lord, and who will be a creator besides our God?</w:t>
      </w:r>
    </w:p>
    <w:p>
      <w:r>
        <w:rPr>
          <w:b/>
        </w:rPr>
        <w:t xml:space="preserve">33 </w:t>
      </w:r>
      <w:r>
        <w:t xml:space="preserve">The Mighty One who strengthens me with power and made my way</w:t>
      </w:r>
      <w:r>
        <w:rPr>
          <w:rStyle w:val="FootnoteReference"/>
        </w:rPr>
        <w:footnoteReference w:id="6261"/>
      </w:r>
      <w:r>
        <w:t xml:space="preserve"> blameless,</w:t>
      </w:r>
    </w:p>
    <w:p>
      <w:r>
        <w:rPr>
          <w:b/>
        </w:rPr>
        <w:t xml:space="preserve">34 </w:t>
      </w:r>
      <w:r>
        <w:t xml:space="preserve">making my feet like deer's feet and setting me upon the heights,</w:t>
      </w:r>
    </w:p>
    <w:p>
      <w:r>
        <w:rPr>
          <w:b/>
        </w:rPr>
        <w:t xml:space="preserve">35 </w:t>
      </w:r>
      <w:r>
        <w:t xml:space="preserve">teaching my hands for war and bending a bronze bow with my arms.</w:t>
      </w:r>
    </w:p>
    <w:p>
      <w:r>
        <w:rPr>
          <w:b/>
        </w:rPr>
        <w:t xml:space="preserve">36 </w:t>
      </w:r>
      <w:r>
        <w:t xml:space="preserve">And you gave me the shield</w:t>
      </w:r>
      <w:r>
        <w:rPr>
          <w:rStyle w:val="FootnoteReference"/>
        </w:rPr>
        <w:footnoteReference w:id="6262"/>
      </w:r>
      <w:r>
        <w:t xml:space="preserve"> of my salvation, and your attentive hearing multiplied me.</w:t>
      </w:r>
    </w:p>
    <w:p>
      <w:r>
        <w:rPr>
          <w:b/>
        </w:rPr>
        <w:t xml:space="preserve">37 </w:t>
      </w:r>
      <w:r>
        <w:t xml:space="preserve">You widened my steps under me, and my ankles did not give way.</w:t>
      </w:r>
    </w:p>
    <w:p>
      <w:r>
        <w:rPr>
          <w:b/>
        </w:rPr>
        <w:t xml:space="preserve">38 </w:t>
      </w:r>
      <w:r>
        <w:t xml:space="preserve">I will pursue my enemies and destroy them, and I will not turn back</w:t>
      </w:r>
      <w:r>
        <w:rPr>
          <w:rStyle w:val="FootnoteReference"/>
        </w:rPr>
        <w:footnoteReference w:id="6263"/>
      </w:r>
      <w:r>
        <w:t xml:space="preserve"> until I finish them.</w:t>
      </w:r>
    </w:p>
    <w:p>
      <w:r>
        <w:rPr>
          <w:b/>
        </w:rPr>
        <w:t xml:space="preserve">39 </w:t>
      </w:r>
      <w:r>
        <w:t xml:space="preserve">And I will crush them, and they will not rise; they will fall under my feet.</w:t>
      </w:r>
    </w:p>
    <w:p>
      <w:r>
        <w:rPr>
          <w:b/>
        </w:rPr>
        <w:t xml:space="preserve">40 </w:t>
      </w:r>
      <w:r>
        <w:t xml:space="preserve">And you will strengthen me with power for battle; you will bend under me those rising against me.</w:t>
      </w:r>
    </w:p>
    <w:p>
      <w:r>
        <w:rPr>
          <w:b/>
        </w:rPr>
        <w:t xml:space="preserve">41 </w:t>
      </w:r>
      <w:r>
        <w:t xml:space="preserve">And you gave me the back of my enemies, those hating me, and I destroyed them.</w:t>
      </w:r>
    </w:p>
    <w:p>
      <w:r>
        <w:rPr>
          <w:b/>
        </w:rPr>
        <w:t xml:space="preserve">42 </w:t>
      </w:r>
      <w:r>
        <w:t xml:space="preserve">They will cry out, and there is no helper, to the Lord, and he did not answer them.</w:t>
      </w:r>
    </w:p>
    <w:p>
      <w:r>
        <w:rPr>
          <w:b/>
        </w:rPr>
        <w:t xml:space="preserve">43 </w:t>
      </w:r>
      <w:r>
        <w:t xml:space="preserve">And I beat them small as dust of the earth; like the mud of exits I crushed them thin.</w:t>
      </w:r>
    </w:p>
    <w:p>
      <w:r>
        <w:rPr>
          <w:b/>
        </w:rPr>
        <w:t xml:space="preserve">44 </w:t>
      </w:r>
      <w:r>
        <w:t xml:space="preserve">And you will rescue me from the strivings of peoples; you will keep me as head</w:t>
      </w:r>
      <w:r>
        <w:rPr>
          <w:rStyle w:val="FootnoteReference"/>
        </w:rPr>
        <w:footnoteReference w:id="6264"/>
      </w:r>
      <w:r>
        <w:t xml:space="preserve"> of nations. A people I had not known served me.</w:t>
      </w:r>
    </w:p>
    <w:p>
      <w:r>
        <w:rPr>
          <w:b/>
        </w:rPr>
        <w:t xml:space="preserve">45 </w:t>
      </w:r>
      <w:r>
        <w:t xml:space="preserve">Sons of foreigners lied to me; at the hearing of the ear they listened to me.</w:t>
      </w:r>
    </w:p>
    <w:p>
      <w:r>
        <w:rPr>
          <w:b/>
        </w:rPr>
        <w:t xml:space="preserve">46 </w:t>
      </w:r>
      <w:r>
        <w:t xml:space="preserve">Sons of foreigners will fall away and stagger out of their enclosures.</w:t>
      </w:r>
    </w:p>
    <w:p>
      <w:r>
        <w:rPr>
          <w:b/>
        </w:rPr>
        <w:t xml:space="preserve">47 </w:t>
      </w:r>
      <w:r>
        <w:t xml:space="preserve">The Lord lives, and blessed is my guard, and the God, the guard of my salvation, will be exalted,</w:t>
      </w:r>
    </w:p>
    <w:p>
      <w:r>
        <w:rPr>
          <w:b/>
        </w:rPr>
        <w:t xml:space="preserve">48 </w:t>
      </w:r>
      <w:r>
        <w:t xml:space="preserve">the mighty Lord who gives avenges to me, disciplining peoples under me,</w:t>
      </w:r>
    </w:p>
    <w:p>
      <w:r>
        <w:rPr>
          <w:b/>
        </w:rPr>
        <w:t xml:space="preserve">49 </w:t>
      </w:r>
      <w:r>
        <w:t xml:space="preserve">and bringing me out from my enemies. And you will lift me high above those rising against me; from a man of injustices you will rescue me.</w:t>
      </w:r>
    </w:p>
    <w:p>
      <w:r>
        <w:rPr>
          <w:b/>
        </w:rPr>
        <w:t xml:space="preserve">50 </w:t>
      </w:r>
      <w:r>
        <w:t xml:space="preserve">Because of this I will confess you, Lord, among</w:t>
      </w:r>
      <w:r>
        <w:rPr>
          <w:rStyle w:val="FootnoteReference"/>
        </w:rPr>
        <w:footnoteReference w:id="6265"/>
      </w:r>
      <w:r>
        <w:t xml:space="preserve"> the nations, and to your name I will sing psalms,</w:t>
      </w:r>
    </w:p>
    <w:p>
      <w:r>
        <w:rPr>
          <w:b/>
        </w:rPr>
        <w:t xml:space="preserve">51 </w:t>
      </w:r>
      <w:r>
        <w:t xml:space="preserve">magnifying the salvations of his king and doing mercy for his anointed</w:t>
      </w:r>
      <w:r>
        <w:rPr>
          <w:rStyle w:val="FootnoteReference"/>
        </w:rPr>
        <w:footnoteReference w:id="6266"/>
      </w:r>
      <w:r>
        <w:t xml:space="preserve">, for David and for his seed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these are the last</w:t>
      </w:r>
      <w:r>
        <w:rPr>
          <w:rStyle w:val="FootnoteReference"/>
        </w:rPr>
        <w:footnoteReference w:id="6267"/>
      </w:r>
      <w:r>
        <w:t xml:space="preserve"> words of David: Faithful is David son of Jesse, and faithful the man whom the Lord raised up to be the anointed of the God of Jacob, and beautiful are the psalms of Israel.</w:t>
      </w:r>
      <w:r>
        <w:rPr>
          <w:rStyle w:val="FootnoteReference"/>
        </w:rPr>
        <w:footnoteReference w:id="6268"/>
      </w:r>
    </w:p>
    <w:p>
      <w:r>
        <w:rPr>
          <w:b/>
        </w:rPr>
        <w:t xml:space="preserve">2 </w:t>
      </w:r>
      <w:r>
        <w:t xml:space="preserve">The Spirit of the Lord spoke in me, and his word was on my tongue.</w:t>
      </w:r>
    </w:p>
    <w:p>
      <w:r>
        <w:rPr>
          <w:b/>
        </w:rPr>
        <w:t xml:space="preserve">3 </w:t>
      </w:r>
      <w:r>
        <w:t xml:space="preserve">The God of Israel says; the guard of Israel spoke to me: I will speak a parable. In humanity, how will you make strong the fear of God?</w:t>
      </w:r>
    </w:p>
    <w:p>
      <w:r>
        <w:rPr>
          <w:b/>
        </w:rPr>
        <w:t xml:space="preserve">4 </w:t>
      </w:r>
      <w:r>
        <w:t xml:space="preserve">And in God: morning</w:t>
      </w:r>
      <w:r>
        <w:rPr>
          <w:rStyle w:val="FootnoteReference"/>
        </w:rPr>
        <w:footnoteReference w:id="6269"/>
      </w:r>
      <w:r>
        <w:t xml:space="preserve"> light, when the sun rises at morning, a morning not passed over from brightness, and as grass from the earth after rain.</w:t>
      </w:r>
    </w:p>
    <w:p>
      <w:r>
        <w:rPr>
          <w:b/>
        </w:rPr>
        <w:t xml:space="preserve">5 </w:t>
      </w:r>
      <w:r>
        <w:t xml:space="preserve">For not so is my house with the Mighty One? For he set for me an everlasting covenant, ready in every time, guarded, because all my salvation</w:t>
      </w:r>
      <w:r>
        <w:rPr>
          <w:rStyle w:val="FootnoteReference"/>
        </w:rPr>
        <w:footnoteReference w:id="6270"/>
      </w:r>
      <w:r>
        <w:t xml:space="preserve"> and every desire, shall not the lawless one sprout?</w:t>
      </w:r>
    </w:p>
    <w:p>
      <w:r>
        <w:rPr>
          <w:b/>
        </w:rPr>
        <w:t xml:space="preserve">6 </w:t>
      </w:r>
      <w:r>
        <w:t xml:space="preserve">But all the lawless are like a thorn thrown out, because they are not taken by hand.</w:t>
      </w:r>
    </w:p>
    <w:p>
      <w:r>
        <w:rPr>
          <w:b/>
        </w:rPr>
        <w:t xml:space="preserve">7 </w:t>
      </w:r>
      <w:r>
        <w:t xml:space="preserve">And the man who touches them will arm himself with full iron and the shaft of a spear, and they shall</w:t>
      </w:r>
      <w:r>
        <w:rPr>
          <w:rStyle w:val="FootnoteReference"/>
        </w:rPr>
        <w:footnoteReference w:id="6271"/>
      </w:r>
      <w:r>
        <w:t xml:space="preserve"> be utterly burned with fire in their shame</w:t>
      </w:r>
      <w:r>
        <w:rPr>
          <w:rStyle w:val="FootnoteReference"/>
        </w:rPr>
        <w:footnoteReference w:id="6272"/>
      </w:r>
      <w:r>
        <w:t xml:space="preserve">.</w:t>
      </w:r>
    </w:p>
    <w:p>
      <w:r>
        <w:rPr>
          <w:b/>
        </w:rPr>
        <w:t xml:space="preserve">8 </w:t>
      </w:r>
      <w:r>
        <w:t xml:space="preserve">These are the names of the mighty men of David: Ishbosheth the Canaanite, chief of the third. This is Adinon the Asonaean. He drew his sword over eight hundred wounded</w:t>
      </w:r>
      <w:r>
        <w:rPr>
          <w:rStyle w:val="FootnoteReference"/>
        </w:rPr>
        <w:footnoteReference w:id="6273"/>
      </w:r>
      <w:r>
        <w:t xml:space="preserve"> at one time.</w:t>
      </w:r>
    </w:p>
    <w:p>
      <w:r>
        <w:rPr>
          <w:b/>
        </w:rPr>
        <w:t xml:space="preserve">9 </w:t>
      </w:r>
      <w:r>
        <w:t xml:space="preserve">And after him Eleazar</w:t>
      </w:r>
      <w:r>
        <w:rPr>
          <w:rStyle w:val="FootnoteReference"/>
        </w:rPr>
        <w:footnoteReference w:id="6274"/>
      </w:r>
      <w:r>
        <w:t xml:space="preserve"> son of his father's brother</w:t>
      </w:r>
      <w:r>
        <w:rPr>
          <w:rStyle w:val="FootnoteReference"/>
        </w:rPr>
        <w:footnoteReference w:id="6275"/>
      </w:r>
      <w:r>
        <w:t xml:space="preserve">, son of a Sousite, among the three mighty men. He was with David at Serran, and when he reproached him among the foreigners, they were gathered there for battle, and the men of Israel went up.</w:t>
      </w:r>
    </w:p>
    <w:p>
      <w:r>
        <w:rPr>
          <w:b/>
        </w:rPr>
        <w:t xml:space="preserve">10 </w:t>
      </w:r>
      <w:r>
        <w:t xml:space="preserve">He rose and struck among the foreigners until his hand grew weary and his hand clung to the sword. And the Lord</w:t>
      </w:r>
      <w:r>
        <w:rPr>
          <w:rStyle w:val="FootnoteReference"/>
        </w:rPr>
        <w:footnoteReference w:id="6276"/>
      </w:r>
      <w:r>
        <w:t xml:space="preserve"> worked a great deliverance on that day, and the people returned after him only to strip the slain.</w:t>
      </w:r>
    </w:p>
    <w:p>
      <w:r>
        <w:rPr>
          <w:b/>
        </w:rPr>
        <w:t xml:space="preserve">11 </w:t>
      </w:r>
      <w:r>
        <w:t xml:space="preserve">And after him Sammaia son of Asa the Aruchite. And the foreigners gathered into a troop, and there was a plot of the field full of lentils, and the people fled from before the foreigners.</w:t>
      </w:r>
    </w:p>
    <w:p>
      <w:r>
        <w:rPr>
          <w:b/>
        </w:rPr>
        <w:t xml:space="preserve">12 </w:t>
      </w:r>
      <w:r>
        <w:t xml:space="preserve">And he stood firm in the middle of the plot and rescued it and struck the foreigners, and the Lord</w:t>
      </w:r>
      <w:r>
        <w:rPr>
          <w:rStyle w:val="FootnoteReference"/>
        </w:rPr>
        <w:footnoteReference w:id="6277"/>
      </w:r>
      <w:r>
        <w:t xml:space="preserve"> worked a great deliverance.</w:t>
      </w:r>
    </w:p>
    <w:p>
      <w:r>
        <w:rPr>
          <w:b/>
        </w:rPr>
        <w:t xml:space="preserve">13 </w:t>
      </w:r>
      <w:r>
        <w:t xml:space="preserve">And three</w:t>
      </w:r>
      <w:r>
        <w:rPr>
          <w:rStyle w:val="FootnoteReference"/>
        </w:rPr>
        <w:footnoteReference w:id="6278"/>
      </w:r>
      <w:r>
        <w:t xml:space="preserve"> from the thirty went down and came at harvest to David at the cave of Adullam, and a troop of foreigners had camped in the valley of Rephaim.</w:t>
      </w:r>
    </w:p>
    <w:p>
      <w:r>
        <w:rPr>
          <w:b/>
        </w:rPr>
        <w:t xml:space="preserve">14 </w:t>
      </w:r>
      <w:r>
        <w:t xml:space="preserve">And David was then in the stronghold, and the garrison</w:t>
      </w:r>
      <w:r>
        <w:rPr>
          <w:rStyle w:val="FootnoteReference"/>
        </w:rPr>
        <w:footnoteReference w:id="6279"/>
      </w:r>
      <w:r>
        <w:t xml:space="preserve"> of the foreigners was then in Bethlehem.</w:t>
      </w:r>
    </w:p>
    <w:p>
      <w:r>
        <w:rPr>
          <w:b/>
        </w:rPr>
        <w:t xml:space="preserve">15 </w:t>
      </w:r>
      <w:r>
        <w:t xml:space="preserve">And David desired and said, Who will give me water to drink from the well at Bethlehem</w:t>
      </w:r>
      <w:r>
        <w:rPr>
          <w:rStyle w:val="FootnoteReference"/>
        </w:rPr>
        <w:footnoteReference w:id="6280"/>
      </w:r>
      <w:r>
        <w:t xml:space="preserve"> that is by the gate? And the station of the foreigners was then in Bethlehem.</w:t>
      </w:r>
    </w:p>
    <w:p>
      <w:r>
        <w:rPr>
          <w:b/>
        </w:rPr>
        <w:t xml:space="preserve">16 </w:t>
      </w:r>
      <w:r>
        <w:t xml:space="preserve">And the three</w:t>
      </w:r>
      <w:r>
        <w:rPr>
          <w:rStyle w:val="FootnoteReference"/>
        </w:rPr>
        <w:footnoteReference w:id="6281"/>
      </w:r>
      <w:r>
        <w:t xml:space="preserve"> mighty men broke through the camp of the foreigners and drew water from the well at Bethlehem that is by the gate and took it and came to David, but he would not drink it, and poured it out to the Lord.</w:t>
      </w:r>
      <w:r>
        <w:rPr>
          <w:rStyle w:val="FootnoteReference"/>
        </w:rPr>
        <w:footnoteReference w:id="6282"/>
      </w:r>
    </w:p>
    <w:p>
      <w:r>
        <w:rPr>
          <w:b/>
        </w:rPr>
        <w:t xml:space="preserve">17 </w:t>
      </w:r>
      <w:r>
        <w:t xml:space="preserve">And he said, Be it far</w:t>
      </w:r>
      <w:r>
        <w:rPr>
          <w:rStyle w:val="FootnoteReference"/>
        </w:rPr>
        <w:footnoteReference w:id="6283"/>
      </w:r>
      <w:r>
        <w:t xml:space="preserve"> from me, Lord, to do this. Shall I drink the blood of the men who went in their lives? And he would not drink it. These things the three mighty men did.</w:t>
      </w:r>
    </w:p>
    <w:p>
      <w:r>
        <w:rPr>
          <w:b/>
        </w:rPr>
        <w:t xml:space="preserve">18 </w:t>
      </w:r>
      <w:r>
        <w:t xml:space="preserve">And Abishai</w:t>
      </w:r>
      <w:r>
        <w:rPr>
          <w:rStyle w:val="FootnoteReference"/>
        </w:rPr>
        <w:footnoteReference w:id="6284"/>
      </w:r>
      <w:r>
        <w:t xml:space="preserve"> brother of Joab son of Zeruiah, he was chief among the three, and he lifted his spear against three hundred wounded, and he had a name among the three.</w:t>
      </w:r>
    </w:p>
    <w:p>
      <w:r>
        <w:rPr>
          <w:b/>
        </w:rPr>
        <w:t xml:space="preserve">19 </w:t>
      </w:r>
      <w:r>
        <w:t xml:space="preserve">From those three he was honored and became their commander, yet he did not come up to the three.</w:t>
      </w:r>
    </w:p>
    <w:p>
      <w:r>
        <w:rPr>
          <w:b/>
        </w:rPr>
        <w:t xml:space="preserve">20 </w:t>
      </w:r>
      <w:r>
        <w:t xml:space="preserve">And Benaiah</w:t>
      </w:r>
      <w:r>
        <w:rPr>
          <w:rStyle w:val="FootnoteReference"/>
        </w:rPr>
        <w:footnoteReference w:id="6285"/>
      </w:r>
      <w:r>
        <w:t xml:space="preserve"> son of Jehoiada, he was a man abundant in deeds, from Kabzeel. He struck the two sons of Ariel of Moab, and he himself went down and struck the lion in the midst of the pit on the day of snow.</w:t>
      </w:r>
    </w:p>
    <w:p>
      <w:r>
        <w:rPr>
          <w:b/>
        </w:rPr>
        <w:t xml:space="preserve">21 </w:t>
      </w:r>
      <w:r>
        <w:t xml:space="preserve">He struck the Egyptian man, a man worth seeing, and in the hand of the Egyptian was a spear like a weavers' beam. And he went down to him with a staff and snatched the spear from the hand of the Egyptian and killed him with his own spear.</w:t>
      </w:r>
    </w:p>
    <w:p>
      <w:r>
        <w:rPr>
          <w:b/>
        </w:rPr>
        <w:t xml:space="preserve">22 </w:t>
      </w:r>
      <w:r>
        <w:t xml:space="preserve">These things Benaiah son of Jehoiada did, and he had a name among the three mighty men.</w:t>
      </w:r>
    </w:p>
    <w:p>
      <w:r>
        <w:rPr>
          <w:b/>
        </w:rPr>
        <w:t xml:space="preserve">23 </w:t>
      </w:r>
      <w:r>
        <w:t xml:space="preserve">He was honored among the three, but to the three he did not come, and David set him over his audience.</w:t>
      </w:r>
    </w:p>
    <w:p>
      <w:r>
        <w:rPr>
          <w:b/>
        </w:rPr>
        <w:t xml:space="preserve">24 </w:t>
      </w:r>
      <w:r>
        <w:t xml:space="preserve">And these are the names of the mighty men of David the king: Asahel</w:t>
      </w:r>
      <w:r>
        <w:rPr>
          <w:rStyle w:val="FootnoteReference"/>
        </w:rPr>
        <w:footnoteReference w:id="6286"/>
      </w:r>
      <w:r>
        <w:t xml:space="preserve"> brother of Joab was among the thirty, Elhanan son of Doudi his father's brother in Bethlehem,</w:t>
      </w:r>
    </w:p>
    <w:p>
      <w:r>
        <w:rPr>
          <w:b/>
        </w:rPr>
        <w:t xml:space="preserve">25 </w:t>
      </w:r>
      <w:r>
        <w:t xml:space="preserve">Shammah</w:t>
      </w:r>
      <w:r>
        <w:rPr>
          <w:rStyle w:val="FootnoteReference"/>
        </w:rPr>
        <w:footnoteReference w:id="6287"/>
      </w:r>
      <w:r>
        <w:t xml:space="preserve"> the Harodite</w:t>
      </w:r>
      <w:r>
        <w:rPr>
          <w:rStyle w:val="FootnoteReference"/>
        </w:rPr>
        <w:footnoteReference w:id="6288"/>
      </w:r>
      <w:r>
        <w:t xml:space="preserve">, Elika</w:t>
      </w:r>
      <w:r>
        <w:rPr>
          <w:rStyle w:val="FootnoteReference"/>
        </w:rPr>
        <w:footnoteReference w:id="6289"/>
      </w:r>
      <w:r>
        <w:t xml:space="preserve"> the Harodite,</w:t>
      </w:r>
      <w:r>
        <w:rPr>
          <w:rStyle w:val="FootnoteReference"/>
        </w:rPr>
        <w:footnoteReference w:id="6290"/>
      </w:r>
    </w:p>
    <w:p>
      <w:r>
        <w:rPr>
          <w:b/>
        </w:rPr>
        <w:t xml:space="preserve">26 </w:t>
      </w:r>
      <w:r>
        <w:t xml:space="preserve">Helez</w:t>
      </w:r>
      <w:r>
        <w:rPr>
          <w:rStyle w:val="FootnoteReference"/>
        </w:rPr>
        <w:footnoteReference w:id="6291"/>
      </w:r>
      <w:r>
        <w:t xml:space="preserve"> the Phelothite, Ira son of Ikkesh</w:t>
      </w:r>
      <w:r>
        <w:rPr>
          <w:rStyle w:val="FootnoteReference"/>
        </w:rPr>
        <w:footnoteReference w:id="6292"/>
      </w:r>
      <w:r>
        <w:t xml:space="preserve"> the Thekoite,</w:t>
      </w:r>
    </w:p>
    <w:p>
      <w:r>
        <w:rPr>
          <w:b/>
        </w:rPr>
        <w:t xml:space="preserve">27 </w:t>
      </w:r>
      <w:r>
        <w:t xml:space="preserve">Abiezer</w:t>
      </w:r>
      <w:r>
        <w:rPr>
          <w:rStyle w:val="FootnoteReference"/>
        </w:rPr>
        <w:footnoteReference w:id="6293"/>
      </w:r>
      <w:r>
        <w:t xml:space="preserve"> the Anathothite</w:t>
      </w:r>
      <w:r>
        <w:rPr>
          <w:rStyle w:val="FootnoteReference"/>
        </w:rPr>
        <w:footnoteReference w:id="6294"/>
      </w:r>
      <w:r>
        <w:t xml:space="preserve">, from the sons of the Hushathite</w:t>
      </w:r>
      <w:r>
        <w:rPr>
          <w:rStyle w:val="FootnoteReference"/>
        </w:rPr>
        <w:footnoteReference w:id="6295"/>
      </w:r>
      <w:r>
        <w:t xml:space="preserve">,</w:t>
      </w:r>
    </w:p>
    <w:p>
      <w:r>
        <w:rPr>
          <w:b/>
        </w:rPr>
        <w:t xml:space="preserve">28 </w:t>
      </w:r>
      <w:r>
        <w:t xml:space="preserve">Zalmon the Aonite, Moore the Netophathite</w:t>
      </w:r>
      <w:r>
        <w:rPr>
          <w:rStyle w:val="FootnoteReference"/>
        </w:rPr>
        <w:footnoteReference w:id="6296"/>
      </w:r>
      <w:r>
        <w:t xml:space="preserve">,</w:t>
      </w:r>
    </w:p>
    <w:p>
      <w:r>
        <w:rPr>
          <w:b/>
        </w:rPr>
        <w:t xml:space="preserve">29 </w:t>
      </w:r>
      <w:r>
        <w:t xml:space="preserve">Ela son of Baana the Netophathite, Ittai</w:t>
      </w:r>
      <w:r>
        <w:rPr>
          <w:rStyle w:val="FootnoteReference"/>
        </w:rPr>
        <w:footnoteReference w:id="6297"/>
      </w:r>
      <w:r>
        <w:t xml:space="preserve"> son of Ribai</w:t>
      </w:r>
      <w:r>
        <w:rPr>
          <w:rStyle w:val="FootnoteReference"/>
        </w:rPr>
        <w:footnoteReference w:id="6298"/>
      </w:r>
      <w:r>
        <w:t xml:space="preserve"> from Gabaeth of Benjamin,</w:t>
      </w:r>
    </w:p>
    <w:p>
      <w:r>
        <w:rPr>
          <w:b/>
        </w:rPr>
        <w:t xml:space="preserve">30 </w:t>
      </w:r>
      <w:r>
        <w:t xml:space="preserve">Benaiah</w:t>
      </w:r>
      <w:r>
        <w:rPr>
          <w:rStyle w:val="FootnoteReference"/>
        </w:rPr>
        <w:footnoteReference w:id="6299"/>
      </w:r>
      <w:r>
        <w:t xml:space="preserve"> the Pirathonite, Huri</w:t>
      </w:r>
      <w:r>
        <w:rPr>
          <w:rStyle w:val="FootnoteReference"/>
        </w:rPr>
        <w:footnoteReference w:id="6300"/>
      </w:r>
      <w:r>
        <w:t xml:space="preserve"> from Nachaligaias,</w:t>
      </w:r>
    </w:p>
    <w:p>
      <w:r>
        <w:rPr>
          <w:b/>
        </w:rPr>
        <w:t xml:space="preserve">31 </w:t>
      </w:r>
      <w:r>
        <w:t xml:space="preserve">Abiel son of the Arabothite, Azmaveth</w:t>
      </w:r>
      <w:r>
        <w:rPr>
          <w:rStyle w:val="FootnoteReference"/>
        </w:rPr>
        <w:footnoteReference w:id="6301"/>
      </w:r>
      <w:r>
        <w:t xml:space="preserve"> the Barsamite,</w:t>
      </w:r>
    </w:p>
    <w:p>
      <w:r>
        <w:rPr>
          <w:b/>
        </w:rPr>
        <w:t xml:space="preserve">32 </w:t>
      </w:r>
      <w:r>
        <w:t xml:space="preserve">Eliahba</w:t>
      </w:r>
      <w:r>
        <w:rPr>
          <w:rStyle w:val="FootnoteReference"/>
        </w:rPr>
        <w:footnoteReference w:id="6302"/>
      </w:r>
      <w:r>
        <w:t xml:space="preserve"> the Shaalbonite</w:t>
      </w:r>
      <w:r>
        <w:rPr>
          <w:rStyle w:val="FootnoteReference"/>
        </w:rPr>
        <w:footnoteReference w:id="6303"/>
      </w:r>
      <w:r>
        <w:t xml:space="preserve">, sons of Jashen</w:t>
      </w:r>
      <w:r>
        <w:rPr>
          <w:rStyle w:val="FootnoteReference"/>
        </w:rPr>
        <w:footnoteReference w:id="6304"/>
      </w:r>
      <w:r>
        <w:t xml:space="preserve">, Jonathan,</w:t>
      </w:r>
      <w:r>
        <w:rPr>
          <w:rStyle w:val="FootnoteReference"/>
        </w:rPr>
        <w:footnoteReference w:id="6305"/>
      </w:r>
    </w:p>
    <w:p>
      <w:r>
        <w:rPr>
          <w:b/>
        </w:rPr>
        <w:t xml:space="preserve">33 </w:t>
      </w:r>
      <w:r>
        <w:t xml:space="preserve">Shammah</w:t>
      </w:r>
      <w:r>
        <w:rPr>
          <w:rStyle w:val="FootnoteReference"/>
        </w:rPr>
        <w:footnoteReference w:id="6306"/>
      </w:r>
      <w:r>
        <w:t xml:space="preserve"> the Arodite, Achian son of Sarad the Hararite</w:t>
      </w:r>
      <w:r>
        <w:rPr>
          <w:rStyle w:val="FootnoteReference"/>
        </w:rPr>
        <w:footnoteReference w:id="6307"/>
      </w:r>
      <w:r>
        <w:t xml:space="preserve">,</w:t>
      </w:r>
    </w:p>
    <w:p>
      <w:r>
        <w:rPr>
          <w:b/>
        </w:rPr>
        <w:t xml:space="preserve">34 </w:t>
      </w:r>
      <w:r>
        <w:t xml:space="preserve">Eliphaleth</w:t>
      </w:r>
      <w:r>
        <w:rPr>
          <w:rStyle w:val="FootnoteReference"/>
        </w:rPr>
        <w:footnoteReference w:id="6308"/>
      </w:r>
      <w:r>
        <w:t xml:space="preserve"> son of the Ahasbai</w:t>
      </w:r>
      <w:r>
        <w:rPr>
          <w:rStyle w:val="FootnoteReference"/>
        </w:rPr>
        <w:footnoteReference w:id="6309"/>
      </w:r>
      <w:r>
        <w:t xml:space="preserve">, son of the Maachathite</w:t>
      </w:r>
      <w:r>
        <w:rPr>
          <w:rStyle w:val="FootnoteReference"/>
        </w:rPr>
        <w:footnoteReference w:id="6310"/>
      </w:r>
      <w:r>
        <w:t xml:space="preserve">, Eliab son of Ahithophel the Gilonite,</w:t>
      </w:r>
    </w:p>
    <w:p>
      <w:r>
        <w:rPr>
          <w:b/>
        </w:rPr>
        <w:t xml:space="preserve">35 </w:t>
      </w:r>
      <w:r>
        <w:t xml:space="preserve">Hezrai</w:t>
      </w:r>
      <w:r>
        <w:rPr>
          <w:rStyle w:val="FootnoteReference"/>
        </w:rPr>
        <w:footnoteReference w:id="6311"/>
      </w:r>
      <w:r>
        <w:t xml:space="preserve"> the Carmelite, Paarai</w:t>
      </w:r>
      <w:r>
        <w:rPr>
          <w:rStyle w:val="FootnoteReference"/>
        </w:rPr>
        <w:footnoteReference w:id="6312"/>
      </w:r>
      <w:r>
        <w:t xml:space="preserve"> the Erchi,</w:t>
      </w:r>
      <w:r>
        <w:rPr>
          <w:rStyle w:val="FootnoteReference"/>
        </w:rPr>
        <w:footnoteReference w:id="6313"/>
      </w:r>
    </w:p>
    <w:p>
      <w:r>
        <w:rPr>
          <w:b/>
        </w:rPr>
        <w:t xml:space="preserve">36 </w:t>
      </w:r>
      <w:r>
        <w:t xml:space="preserve">Igal</w:t>
      </w:r>
      <w:r>
        <w:rPr>
          <w:rStyle w:val="FootnoteReference"/>
        </w:rPr>
        <w:footnoteReference w:id="6314"/>
      </w:r>
      <w:r>
        <w:t xml:space="preserve"> son of Nathan from Dynaimea, son of Gaddi,</w:t>
      </w:r>
    </w:p>
    <w:p>
      <w:r>
        <w:rPr>
          <w:b/>
        </w:rPr>
        <w:t xml:space="preserve">37 </w:t>
      </w:r>
      <w:r>
        <w:t xml:space="preserve">Zelek</w:t>
      </w:r>
      <w:r>
        <w:rPr>
          <w:rStyle w:val="FootnoteReference"/>
        </w:rPr>
        <w:footnoteReference w:id="6315"/>
      </w:r>
      <w:r>
        <w:t xml:space="preserve"> the Ammonite, Gelorai the Beerothite, carrying the arms of Joab son of Zeruiah,</w:t>
      </w:r>
      <w:r>
        <w:rPr>
          <w:rStyle w:val="FootnoteReference"/>
        </w:rPr>
        <w:footnoteReference w:id="6316"/>
      </w:r>
    </w:p>
    <w:p>
      <w:r>
        <w:rPr>
          <w:b/>
        </w:rPr>
        <w:t xml:space="preserve">38 </w:t>
      </w:r>
      <w:r>
        <w:t xml:space="preserve">Ira the Ithrite</w:t>
      </w:r>
      <w:r>
        <w:rPr>
          <w:rStyle w:val="FootnoteReference"/>
        </w:rPr>
        <w:footnoteReference w:id="6317"/>
      </w:r>
      <w:r>
        <w:t xml:space="preserve">, Gareb</w:t>
      </w:r>
      <w:r>
        <w:rPr>
          <w:rStyle w:val="FootnoteReference"/>
        </w:rPr>
        <w:footnoteReference w:id="6318"/>
      </w:r>
      <w:r>
        <w:t xml:space="preserve"> the Ithrite,</w:t>
      </w:r>
    </w:p>
    <w:p>
      <w:r>
        <w:rPr>
          <w:b/>
        </w:rPr>
        <w:t xml:space="preserve">39 </w:t>
      </w:r>
      <w:r>
        <w:t xml:space="preserve">Uriah</w:t>
      </w:r>
      <w:r>
        <w:rPr>
          <w:rStyle w:val="FootnoteReference"/>
        </w:rPr>
        <w:footnoteReference w:id="6319"/>
      </w:r>
      <w:r>
        <w:t xml:space="preserve"> the Hittite, altogether thirty-seven.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again the anger of the Lord burned in Israel</w:t>
      </w:r>
      <w:r>
        <w:rPr>
          <w:rStyle w:val="FootnoteReference"/>
        </w:rPr>
        <w:footnoteReference w:id="6320"/>
      </w:r>
      <w:r>
        <w:t xml:space="preserve">, and he shook David among them, saying, Go, number Israel and Judah.</w:t>
      </w:r>
      <w:r>
        <w:rPr>
          <w:rStyle w:val="FootnoteReference"/>
        </w:rPr>
        <w:footnoteReference w:id="6321"/>
      </w:r>
    </w:p>
    <w:p>
      <w:r>
        <w:rPr>
          <w:b/>
        </w:rPr>
        <w:t xml:space="preserve">2 </w:t>
      </w:r>
      <w:r>
        <w:t xml:space="preserve">And the king said to Joab</w:t>
      </w:r>
      <w:r>
        <w:rPr>
          <w:rStyle w:val="FootnoteReference"/>
        </w:rPr>
        <w:footnoteReference w:id="6322"/>
      </w:r>
      <w:r>
        <w:t xml:space="preserve">, commander of the strength with him</w:t>
      </w:r>
      <w:r>
        <w:rPr>
          <w:rStyle w:val="FootnoteReference"/>
        </w:rPr>
        <w:footnoteReference w:id="6323"/>
      </w:r>
      <w:r>
        <w:t xml:space="preserve">, Go now through all the tribes of Israel from Dan to Beersheba and count the people, and I will know the number of the people.</w:t>
      </w:r>
    </w:p>
    <w:p>
      <w:r>
        <w:rPr>
          <w:b/>
        </w:rPr>
        <w:t xml:space="preserve">3 </w:t>
      </w:r>
      <w:r>
        <w:t xml:space="preserve">And Joab said to the king, May the Lord your God add to the people as they are and a hundredfold more, with the eyes of my lord the king seeing. But why does my lord the king delight in this thing?</w:t>
      </w:r>
    </w:p>
    <w:p>
      <w:r>
        <w:rPr>
          <w:b/>
        </w:rPr>
        <w:t xml:space="preserve">4 </w:t>
      </w:r>
      <w:r>
        <w:t xml:space="preserve">But the word of the king prevailed against Joab and against the commanders of the force, and Joab and the commanders of the force went out</w:t>
      </w:r>
      <w:r>
        <w:rPr>
          <w:rStyle w:val="FootnoteReference"/>
        </w:rPr>
        <w:footnoteReference w:id="6324"/>
      </w:r>
      <w:r>
        <w:t xml:space="preserve"> from before the king to count the people of Israel.</w:t>
      </w:r>
      <w:r>
        <w:rPr>
          <w:rStyle w:val="FootnoteReference"/>
        </w:rPr>
        <w:footnoteReference w:id="6325"/>
      </w:r>
    </w:p>
    <w:p>
      <w:r>
        <w:rPr>
          <w:b/>
        </w:rPr>
        <w:t xml:space="preserve">5 </w:t>
      </w:r>
      <w:r>
        <w:t xml:space="preserve">And they crossed the Jordan and camped at Aroer</w:t>
      </w:r>
      <w:r>
        <w:rPr>
          <w:rStyle w:val="FootnoteReference"/>
        </w:rPr>
        <w:footnoteReference w:id="6326"/>
      </w:r>
      <w:r>
        <w:t xml:space="preserve">, to the right of the city in the middle of the ravine, Gad and Eliezer.</w:t>
      </w:r>
    </w:p>
    <w:p>
      <w:r>
        <w:rPr>
          <w:b/>
        </w:rPr>
        <w:t xml:space="preserve">6 </w:t>
      </w:r>
      <w:r>
        <w:t xml:space="preserve">And they came to Gilead</w:t>
      </w:r>
      <w:r>
        <w:rPr>
          <w:rStyle w:val="FootnoteReference"/>
        </w:rPr>
        <w:footnoteReference w:id="6327"/>
      </w:r>
      <w:r>
        <w:t xml:space="preserve"> and to the land of Tahtim-hodshi</w:t>
      </w:r>
      <w:r>
        <w:rPr>
          <w:rStyle w:val="FootnoteReference"/>
        </w:rPr>
        <w:footnoteReference w:id="6328"/>
      </w:r>
      <w:r>
        <w:t xml:space="preserve">, which is Adasai, and they came to Danidan and Udan and went around to Sidon.</w:t>
      </w:r>
    </w:p>
    <w:p>
      <w:r>
        <w:rPr>
          <w:b/>
        </w:rPr>
        <w:t xml:space="preserve">7 </w:t>
      </w:r>
      <w:r>
        <w:t xml:space="preserve">And they came to Mapsar of Tyre</w:t>
      </w:r>
      <w:r>
        <w:rPr>
          <w:rStyle w:val="FootnoteReference"/>
        </w:rPr>
        <w:footnoteReference w:id="6329"/>
      </w:r>
      <w:r>
        <w:t xml:space="preserve"> and all the cities of the Hivite and the Canaanite, and they came south of Judah to Beersheba.</w:t>
      </w:r>
    </w:p>
    <w:p>
      <w:r>
        <w:rPr>
          <w:b/>
        </w:rPr>
        <w:t xml:space="preserve">8 </w:t>
      </w:r>
      <w:r>
        <w:t xml:space="preserve">And they went around in all the land and came at the end of nine months and twenty days to Jerusalem.</w:t>
      </w:r>
    </w:p>
    <w:p>
      <w:r>
        <w:rPr>
          <w:b/>
        </w:rPr>
        <w:t xml:space="preserve">9 </w:t>
      </w:r>
      <w:r>
        <w:t xml:space="preserve">And Joab gave the number of the counting of the people to the king, and Israel became eight hundred thousand</w:t>
      </w:r>
      <w:r>
        <w:rPr>
          <w:rStyle w:val="FootnoteReference"/>
        </w:rPr>
        <w:footnoteReference w:id="6330"/>
      </w:r>
      <w:r>
        <w:t xml:space="preserve"> men of strength drawing sword, and the men of Judah five hundred thousand fighting men.</w:t>
      </w:r>
    </w:p>
    <w:p>
      <w:r>
        <w:rPr>
          <w:b/>
        </w:rPr>
        <w:t xml:space="preserve">10 </w:t>
      </w:r>
      <w:r>
        <w:t xml:space="preserve">And David's heart</w:t>
      </w:r>
      <w:r>
        <w:rPr>
          <w:rStyle w:val="FootnoteReference"/>
        </w:rPr>
        <w:footnoteReference w:id="6331"/>
      </w:r>
      <w:r>
        <w:t xml:space="preserve"> struck him after he had counted the people. And David said to the Lord, I have sinned greatly in what I have done. And now, Lord, please cause the lawlessness of your servant to pass over, because I have acted very foolishly.</w:t>
      </w:r>
    </w:p>
    <w:p>
      <w:r>
        <w:rPr>
          <w:b/>
        </w:rPr>
        <w:t xml:space="preserve">11 </w:t>
      </w:r>
      <w:r>
        <w:t xml:space="preserve">And David rose in the morning, and the word of the Lord came to Gad the prophet, the seer</w:t>
      </w:r>
      <w:r>
        <w:rPr>
          <w:rStyle w:val="FootnoteReference"/>
        </w:rPr>
        <w:footnoteReference w:id="6332"/>
      </w:r>
      <w:r>
        <w:t xml:space="preserve"> of David, saying,</w:t>
      </w:r>
    </w:p>
    <w:p>
      <w:r>
        <w:rPr>
          <w:b/>
        </w:rPr>
        <w:t xml:space="preserve">12 </w:t>
      </w:r>
      <w:r>
        <w:t xml:space="preserve">Go and speak to David, saying, Thus says the Lord: Three things I am lifting upon you, and choose for yourself one of them, and I will do it to you.</w:t>
      </w:r>
    </w:p>
    <w:p>
      <w:r>
        <w:rPr>
          <w:b/>
        </w:rPr>
        <w:t xml:space="preserve">13 </w:t>
      </w:r>
      <w:r>
        <w:t xml:space="preserve">And Gad came to David and reported to him and said to him, Choose for yourself whether three years of famine shall come to you in your land, or three months of your fleeing before your enemies while they pursue you, or three days of death</w:t>
      </w:r>
      <w:r>
        <w:rPr>
          <w:rStyle w:val="FootnoteReference"/>
        </w:rPr>
        <w:footnoteReference w:id="6333"/>
      </w:r>
      <w:r>
        <w:t xml:space="preserve"> to be in your land. Now then know and see what word I should answer the one who sent me.</w:t>
      </w:r>
    </w:p>
    <w:p>
      <w:r>
        <w:rPr>
          <w:b/>
        </w:rPr>
        <w:t xml:space="preserve">14 </w:t>
      </w:r>
      <w:r>
        <w:t xml:space="preserve">And David said to Gad, Distress presses me greatly from every side. Let me now fall into the hand of the Lord, because his mercies are very many. But into the hands of man I will not fall. And David chose death for himself.</w:t>
      </w:r>
    </w:p>
    <w:p>
      <w:r>
        <w:rPr>
          <w:b/>
        </w:rPr>
        <w:t xml:space="preserve">15 </w:t>
      </w:r>
      <w:r>
        <w:t xml:space="preserve">And it was the days of wheat harvest, and the Lord</w:t>
      </w:r>
      <w:r>
        <w:rPr>
          <w:rStyle w:val="FootnoteReference"/>
        </w:rPr>
        <w:footnoteReference w:id="6334"/>
      </w:r>
      <w:r>
        <w:t xml:space="preserve"> gave death in Israel from morning until the dinner hour, and the break in the people began, and from the people, from Dan to Beersheba, seventy thousand men died.</w:t>
      </w:r>
    </w:p>
    <w:p>
      <w:r>
        <w:rPr>
          <w:b/>
        </w:rPr>
        <w:t xml:space="preserve">16 </w:t>
      </w:r>
      <w:r>
        <w:t xml:space="preserve">And the angel of God</w:t>
      </w:r>
      <w:r>
        <w:rPr>
          <w:rStyle w:val="FootnoteReference"/>
        </w:rPr>
        <w:footnoteReference w:id="6335"/>
      </w:r>
      <w:r>
        <w:t xml:space="preserve"> stretched out his hand toward Jerusalem to destroy it, and the Lord relented concerning the evil and said to the angel destroying among the people, Enough now, let your hand go. And the angel of the Lord was by the threshing floor of Araunah</w:t>
      </w:r>
      <w:r>
        <w:rPr>
          <w:rStyle w:val="FootnoteReference"/>
        </w:rPr>
        <w:footnoteReference w:id="6336"/>
      </w:r>
      <w:r>
        <w:t xml:space="preserve"> the Jebusite.</w:t>
      </w:r>
      <w:r>
        <w:rPr>
          <w:rStyle w:val="FootnoteReference"/>
        </w:rPr>
        <w:footnoteReference w:id="6337"/>
      </w:r>
    </w:p>
    <w:p>
      <w:r>
        <w:rPr>
          <w:b/>
        </w:rPr>
        <w:t xml:space="preserve">17 </w:t>
      </w:r>
      <w:r>
        <w:t xml:space="preserve">And David said to the Lord when he saw the angel striking among the people, and he said, Behold, I am the one who did wrong, and I am the shepherd</w:t>
      </w:r>
      <w:r>
        <w:rPr>
          <w:rStyle w:val="FootnoteReference"/>
        </w:rPr>
        <w:footnoteReference w:id="6338"/>
      </w:r>
      <w:r>
        <w:t xml:space="preserve"> who did evil. But these sheep</w:t>
      </w:r>
      <w:r>
        <w:rPr>
          <w:rStyle w:val="FootnoteReference"/>
        </w:rPr>
        <w:footnoteReference w:id="6339"/>
      </w:r>
      <w:r>
        <w:t xml:space="preserve">, what have they done? Let your hand now be against me and against my father's house.</w:t>
      </w:r>
    </w:p>
    <w:p>
      <w:r>
        <w:rPr>
          <w:b/>
        </w:rPr>
        <w:t xml:space="preserve">18 </w:t>
      </w:r>
      <w:r>
        <w:t xml:space="preserve">And Gad came to David on that day and said to him, Go up and set up an altar to the Lord on the threshing floor of Araunah</w:t>
      </w:r>
      <w:r>
        <w:rPr>
          <w:rStyle w:val="FootnoteReference"/>
        </w:rPr>
        <w:footnoteReference w:id="6340"/>
      </w:r>
      <w:r>
        <w:t xml:space="preserve"> the Jebusite.</w:t>
      </w:r>
    </w:p>
    <w:p>
      <w:r>
        <w:rPr>
          <w:b/>
        </w:rPr>
        <w:t xml:space="preserve">19 </w:t>
      </w:r>
      <w:r>
        <w:t xml:space="preserve">And David went up according to the word of Gad, just as the Lord</w:t>
      </w:r>
      <w:r>
        <w:rPr>
          <w:rStyle w:val="FootnoteReference"/>
        </w:rPr>
        <w:footnoteReference w:id="6341"/>
      </w:r>
      <w:r>
        <w:t xml:space="preserve"> commanded him.</w:t>
      </w:r>
    </w:p>
    <w:p>
      <w:r>
        <w:rPr>
          <w:b/>
        </w:rPr>
        <w:t xml:space="preserve">20 </w:t>
      </w:r>
      <w:r>
        <w:t xml:space="preserve">And Araunah looked down and saw the king and his servants passing along above him, and Araunah went out and bowed</w:t>
      </w:r>
      <w:r>
        <w:rPr>
          <w:rStyle w:val="FootnoteReference"/>
        </w:rPr>
        <w:footnoteReference w:id="6342"/>
      </w:r>
      <w:r>
        <w:t xml:space="preserve"> to the king with his face to the ground.</w:t>
      </w:r>
    </w:p>
    <w:p>
      <w:r>
        <w:rPr>
          <w:b/>
        </w:rPr>
        <w:t xml:space="preserve">21 </w:t>
      </w:r>
      <w:r>
        <w:t xml:space="preserve">And Araunah said, Why has my lord the king come to his servant? And David said, To buy</w:t>
      </w:r>
      <w:r>
        <w:rPr>
          <w:rStyle w:val="FootnoteReference"/>
        </w:rPr>
        <w:footnoteReference w:id="6343"/>
      </w:r>
      <w:r>
        <w:t xml:space="preserve"> the threshing floor from you, to build an altar to the Lord, and the plague will be restrained from upon the people.</w:t>
      </w:r>
    </w:p>
    <w:p>
      <w:r>
        <w:rPr>
          <w:b/>
        </w:rPr>
        <w:t xml:space="preserve">22 </w:t>
      </w:r>
      <w:r>
        <w:t xml:space="preserve">And Araunah said to David, Let my lord</w:t>
      </w:r>
      <w:r>
        <w:rPr>
          <w:rStyle w:val="FootnoteReference"/>
        </w:rPr>
        <w:footnoteReference w:id="6344"/>
      </w:r>
      <w:r>
        <w:t xml:space="preserve"> the king take and offer to the Lord what is good in his eyes. Behold, the oxen are for whole burnt offerings, and the wheels</w:t>
      </w:r>
      <w:r>
        <w:rPr>
          <w:rStyle w:val="FootnoteReference"/>
        </w:rPr>
        <w:footnoteReference w:id="6345"/>
      </w:r>
      <w:r>
        <w:t xml:space="preserve"> and the implements of the oxen are for wood.</w:t>
      </w:r>
    </w:p>
    <w:p>
      <w:r>
        <w:rPr>
          <w:b/>
        </w:rPr>
        <w:t xml:space="preserve">23 </w:t>
      </w:r>
      <w:r>
        <w:t xml:space="preserve">Araunah gave all these things to the king. And Araunah said to the king, May the Lord</w:t>
      </w:r>
      <w:r>
        <w:rPr>
          <w:rStyle w:val="FootnoteReference"/>
        </w:rPr>
        <w:footnoteReference w:id="6346"/>
      </w:r>
      <w:r>
        <w:t xml:space="preserve"> your God bless you.</w:t>
      </w:r>
    </w:p>
    <w:p>
      <w:r>
        <w:rPr>
          <w:b/>
        </w:rPr>
        <w:t xml:space="preserve">24 </w:t>
      </w:r>
      <w:r>
        <w:t xml:space="preserve">And the king said to Araunah, No, because in buying I will buy from you for a price, and I will not offer to the Lord my God a whole burnt offering for nothing. And David bought the threshing floor and the oxen for fifty shekels of silver.</w:t>
      </w:r>
    </w:p>
    <w:p>
      <w:r>
        <w:rPr>
          <w:b/>
        </w:rPr>
        <w:t xml:space="preserve">25 </w:t>
      </w:r>
      <w:r>
        <w:t xml:space="preserve">And David built there</w:t>
      </w:r>
      <w:r>
        <w:rPr>
          <w:rStyle w:val="FootnoteReference"/>
        </w:rPr>
        <w:footnoteReference w:id="6347"/>
      </w:r>
      <w:r>
        <w:t xml:space="preserve"> an altar to the Lord and offered whole burnt offerings and peace offerings, and afterward Solomon added to the altar, because it had been small at first. And the Lord listened to the land, and the plague was restrained from over Israel.</w:t>
      </w:r>
      <w:r>
        <w:rPr>
          <w:rStyle w:val="FootnoteReference"/>
        </w:rPr>
        <w:footnoteReference w:id="6348"/>
      </w:r>
    </w:p>
    <w:p>
      <w:r>
        <w:br w:type="page"/>
      </w:r>
    </w:p>
    <w:p>
      <w:pPr>
        <w:pStyle w:val="Heading1"/>
      </w:pPr>
      <w:r>
        <w:t xml:space="preserve">1 Kings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King David was old, advanced in days, and they covered him with garments, but he did not get warm.</w:t>
      </w:r>
    </w:p>
    <w:p>
      <w:r>
        <w:rPr>
          <w:b/>
        </w:rPr>
        <w:t xml:space="preserve">2 </w:t>
      </w:r>
      <w:r>
        <w:t xml:space="preserve">And his servants said, Let them seek for my lord the king a virgin young woman, and she will stand before the king and be warming him</w:t>
      </w:r>
      <w:r>
        <w:rPr>
          <w:rStyle w:val="FootnoteReference"/>
        </w:rPr>
        <w:footnoteReference w:id="6349"/>
      </w:r>
      <w:r>
        <w:t xml:space="preserve"> and will lie with him, and my lord the king will get warm.</w:t>
      </w:r>
    </w:p>
    <w:p>
      <w:r>
        <w:rPr>
          <w:b/>
        </w:rPr>
        <w:t xml:space="preserve">3 </w:t>
      </w:r>
      <w:r>
        <w:t xml:space="preserve">And they sought a beautiful young woman from all the border of Israel, and they found Abishag</w:t>
      </w:r>
      <w:r>
        <w:rPr>
          <w:rStyle w:val="FootnoteReference"/>
        </w:rPr>
        <w:footnoteReference w:id="6350"/>
      </w:r>
      <w:r>
        <w:t xml:space="preserve"> the Shunammite</w:t>
      </w:r>
      <w:r>
        <w:rPr>
          <w:rStyle w:val="FootnoteReference"/>
        </w:rPr>
        <w:footnoteReference w:id="6351"/>
      </w:r>
      <w:r>
        <w:t xml:space="preserve"> and brought her to the king.</w:t>
      </w:r>
      <w:r>
        <w:rPr>
          <w:rStyle w:val="FootnoteReference"/>
        </w:rPr>
        <w:footnoteReference w:id="6352"/>
      </w:r>
    </w:p>
    <w:p>
      <w:r>
        <w:rPr>
          <w:b/>
        </w:rPr>
        <w:t xml:space="preserve">4 </w:t>
      </w:r>
      <w:r>
        <w:t xml:space="preserve">And the young woman was very beautiful, and she was warming the king and ministering to him, but the king did not know her.</w:t>
      </w:r>
    </w:p>
    <w:p>
      <w:r>
        <w:rPr>
          <w:b/>
        </w:rPr>
        <w:t xml:space="preserve">5 </w:t>
      </w:r>
      <w:r>
        <w:t xml:space="preserve">And Adonijah</w:t>
      </w:r>
      <w:r>
        <w:rPr>
          <w:rStyle w:val="FootnoteReference"/>
        </w:rPr>
        <w:footnoteReference w:id="6353"/>
      </w:r>
      <w:r>
        <w:t xml:space="preserve"> son of Haggith exalted himself, saying, I will reign. And he made for himself chariots and horsemen and fifty men to run before him.</w:t>
      </w:r>
    </w:p>
    <w:p>
      <w:r>
        <w:rPr>
          <w:b/>
        </w:rPr>
        <w:t xml:space="preserve">6 </w:t>
      </w:r>
      <w:r>
        <w:t xml:space="preserve">And his father had never restrained him, saying, Why have you done thus? And he too was very</w:t>
      </w:r>
      <w:r>
        <w:rPr>
          <w:rStyle w:val="FootnoteReference"/>
        </w:rPr>
        <w:footnoteReference w:id="6354"/>
      </w:r>
      <w:r>
        <w:t xml:space="preserve"> handsome in appearance, and she had borne him after Absalom.</w:t>
      </w:r>
    </w:p>
    <w:p>
      <w:r>
        <w:rPr>
          <w:b/>
        </w:rPr>
        <w:t xml:space="preserve">7 </w:t>
      </w:r>
      <w:r>
        <w:t xml:space="preserve">And his words were with Joab</w:t>
      </w:r>
      <w:r>
        <w:rPr>
          <w:rStyle w:val="FootnoteReference"/>
        </w:rPr>
        <w:footnoteReference w:id="6355"/>
      </w:r>
      <w:r>
        <w:t xml:space="preserve"> son of Zeruiah and with Abiathar the priest, and they were helping after Adonijah.</w:t>
      </w:r>
    </w:p>
    <w:p>
      <w:r>
        <w:rPr>
          <w:b/>
        </w:rPr>
        <w:t xml:space="preserve">8 </w:t>
      </w:r>
      <w:r>
        <w:t xml:space="preserve">But Zadok</w:t>
      </w:r>
      <w:r>
        <w:rPr>
          <w:rStyle w:val="FootnoteReference"/>
        </w:rPr>
        <w:footnoteReference w:id="6356"/>
      </w:r>
      <w:r>
        <w:t xml:space="preserve"> the priest and Benaiah son of Jehoiada and Nathan the prophet and Shimei and Rei</w:t>
      </w:r>
      <w:r>
        <w:rPr>
          <w:rStyle w:val="FootnoteReference"/>
        </w:rPr>
        <w:footnoteReference w:id="6357"/>
      </w:r>
      <w:r>
        <w:t xml:space="preserve"> and the mighty men of David were not after Adonijah.</w:t>
      </w:r>
    </w:p>
    <w:p>
      <w:r>
        <w:rPr>
          <w:b/>
        </w:rPr>
        <w:t xml:space="preserve">9 </w:t>
      </w:r>
      <w:r>
        <w:t xml:space="preserve">And Adonijah sacrificed sheep and calves and lambs beside the stone of Zoheleth</w:t>
      </w:r>
      <w:r>
        <w:rPr>
          <w:rStyle w:val="FootnoteReference"/>
        </w:rPr>
        <w:footnoteReference w:id="6358"/>
      </w:r>
      <w:r>
        <w:t xml:space="preserve">, which was near the spring Enrogel</w:t>
      </w:r>
      <w:r>
        <w:rPr>
          <w:rStyle w:val="FootnoteReference"/>
        </w:rPr>
        <w:footnoteReference w:id="6359"/>
      </w:r>
      <w:r>
        <w:t xml:space="preserve">, and he called all his brothers and all the nobles of Judah, the servants of the king.</w:t>
      </w:r>
    </w:p>
    <w:p>
      <w:r>
        <w:rPr>
          <w:b/>
        </w:rPr>
        <w:t xml:space="preserve">10 </w:t>
      </w:r>
      <w:r>
        <w:t xml:space="preserve">But Nathan the prophet and Benaiah and the mighty men and Solomon his brother he did not call.</w:t>
      </w:r>
    </w:p>
    <w:p>
      <w:r>
        <w:rPr>
          <w:b/>
        </w:rPr>
        <w:t xml:space="preserve">11 </w:t>
      </w:r>
      <w:r>
        <w:t xml:space="preserve">And Nathan</w:t>
      </w:r>
      <w:r>
        <w:rPr>
          <w:rStyle w:val="FootnoteReference"/>
        </w:rPr>
        <w:footnoteReference w:id="6360"/>
      </w:r>
      <w:r>
        <w:t xml:space="preserve"> said to Beersheba mother of Solomon, saying, Have you not heard that Adonijah son of Haggith has become king, and our lord David did not know?</w:t>
      </w:r>
    </w:p>
    <w:p>
      <w:r>
        <w:rPr>
          <w:b/>
        </w:rPr>
        <w:t xml:space="preserve">12 </w:t>
      </w:r>
      <w:r>
        <w:t xml:space="preserve">And now come, let me</w:t>
      </w:r>
      <w:r>
        <w:rPr>
          <w:rStyle w:val="FootnoteReference"/>
        </w:rPr>
        <w:footnoteReference w:id="6361"/>
      </w:r>
      <w:r>
        <w:t xml:space="preserve"> counsel you with counsel, and rescue your life and the life of your son Solomon.</w:t>
      </w:r>
    </w:p>
    <w:p>
      <w:r>
        <w:rPr>
          <w:b/>
        </w:rPr>
        <w:t xml:space="preserve">13 </w:t>
      </w:r>
      <w:r>
        <w:t xml:space="preserve">Come, go in to King David and say to him, Did you not, my lord king, swear to your servant, saying, Solomon your son will reign after me, and he will sit on my throne? Then why has Adonijah become king?</w:t>
      </w:r>
      <w:r>
        <w:rPr>
          <w:rStyle w:val="FootnoteReference"/>
        </w:rPr>
        <w:footnoteReference w:id="6362"/>
      </w:r>
    </w:p>
    <w:p>
      <w:r>
        <w:rPr>
          <w:b/>
        </w:rPr>
        <w:t xml:space="preserve">14 </w:t>
      </w:r>
      <w:r>
        <w:t xml:space="preserve">And behold, while you are still speaking there with the king, I will come in after you and fill out your words.</w:t>
      </w:r>
    </w:p>
    <w:p>
      <w:r>
        <w:rPr>
          <w:b/>
        </w:rPr>
        <w:t xml:space="preserve">15 </w:t>
      </w:r>
      <w:r>
        <w:t xml:space="preserve">And Beersheba entered to the king in the chamber. And the king was very old</w:t>
      </w:r>
      <w:r>
        <w:rPr>
          <w:rStyle w:val="FootnoteReference"/>
        </w:rPr>
        <w:footnoteReference w:id="6363"/>
      </w:r>
      <w:r>
        <w:t xml:space="preserve">, and Abishag the Shunammite was ministering to the king.</w:t>
      </w:r>
    </w:p>
    <w:p>
      <w:r>
        <w:rPr>
          <w:b/>
        </w:rPr>
        <w:t xml:space="preserve">16 </w:t>
      </w:r>
      <w:r>
        <w:t xml:space="preserve">And Beersheba bowed</w:t>
      </w:r>
      <w:r>
        <w:rPr>
          <w:rStyle w:val="FootnoteReference"/>
        </w:rPr>
        <w:footnoteReference w:id="6364"/>
      </w:r>
      <w:r>
        <w:t xml:space="preserve"> and did obeisance to the king, and the king said, What is with you?</w:t>
      </w:r>
    </w:p>
    <w:p>
      <w:r>
        <w:rPr>
          <w:b/>
        </w:rPr>
        <w:t xml:space="preserve">17 </w:t>
      </w:r>
      <w:r>
        <w:t xml:space="preserve">And she said, My lord</w:t>
      </w:r>
      <w:r>
        <w:rPr>
          <w:rStyle w:val="FootnoteReference"/>
        </w:rPr>
        <w:footnoteReference w:id="6365"/>
      </w:r>
      <w:r>
        <w:t xml:space="preserve"> king, you swore by the Lord your God to your servant, saying, Solomon your son will reign after me, and he will sit on my throne.</w:t>
      </w:r>
    </w:p>
    <w:p>
      <w:r>
        <w:rPr>
          <w:b/>
        </w:rPr>
        <w:t xml:space="preserve">18 </w:t>
      </w:r>
      <w:r>
        <w:t xml:space="preserve">And now behold, Adonijah</w:t>
      </w:r>
      <w:r>
        <w:rPr>
          <w:rStyle w:val="FootnoteReference"/>
        </w:rPr>
        <w:footnoteReference w:id="6366"/>
      </w:r>
      <w:r>
        <w:t xml:space="preserve"> has become king, and you, my lord king, did not know.</w:t>
      </w:r>
    </w:p>
    <w:p>
      <w:r>
        <w:rPr>
          <w:b/>
        </w:rPr>
        <w:t xml:space="preserve">19 </w:t>
      </w:r>
      <w:r>
        <w:t xml:space="preserve">And he sacrificed calves and lambs and sheep in abundance and called all the sons of the king and Abiathar the priest and Joab commander of the force, but Solomon your servant he did not call.</w:t>
      </w:r>
      <w:r>
        <w:rPr>
          <w:rStyle w:val="FootnoteReference"/>
        </w:rPr>
        <w:footnoteReference w:id="6367"/>
      </w:r>
      <w:r>
        <w:t xml:space="preserve"/>
      </w:r>
    </w:p>
    <w:p>
      <w:r>
        <w:rPr>
          <w:b/>
        </w:rPr>
        <w:t xml:space="preserve">20 </w:t>
      </w:r>
      <w:r>
        <w:t xml:space="preserve">And you, my lord king, the eyes</w:t>
      </w:r>
      <w:r>
        <w:rPr>
          <w:rStyle w:val="FootnoteReference"/>
        </w:rPr>
        <w:footnoteReference w:id="6368"/>
      </w:r>
      <w:r>
        <w:t xml:space="preserve"> of all Israel are on you, for you to report to them who will sit on the throne of my lord the king after him.</w:t>
      </w:r>
    </w:p>
    <w:p>
      <w:r>
        <w:rPr>
          <w:b/>
        </w:rPr>
        <w:t xml:space="preserve">21 </w:t>
      </w:r>
      <w:r>
        <w:t xml:space="preserve">And it will be, when my lord the king sleeps with his fathers, that I and my son Solomon will be sinners.</w:t>
      </w:r>
    </w:p>
    <w:p>
      <w:r>
        <w:rPr>
          <w:b/>
        </w:rPr>
        <w:t xml:space="preserve">22 </w:t>
      </w:r>
      <w:r>
        <w:t xml:space="preserve">And behold, while she was still speaking with the king, Nathan the prophet came.</w:t>
      </w:r>
    </w:p>
    <w:p>
      <w:r>
        <w:rPr>
          <w:b/>
        </w:rPr>
        <w:t xml:space="preserve">23 </w:t>
      </w:r>
      <w:r>
        <w:t xml:space="preserve">And it was reported to the king, Behold, Nathan the prophet. And he entered before the king and bowed to the king with his face to the ground.</w:t>
      </w:r>
    </w:p>
    <w:p>
      <w:r>
        <w:rPr>
          <w:b/>
        </w:rPr>
        <w:t xml:space="preserve">24 </w:t>
      </w:r>
      <w:r>
        <w:t xml:space="preserve">And Nathan said, My lord king, did you say, Adonijah will reign</w:t>
      </w:r>
      <w:r>
        <w:rPr>
          <w:rStyle w:val="FootnoteReference"/>
        </w:rPr>
        <w:footnoteReference w:id="6369"/>
      </w:r>
      <w:r>
        <w:t xml:space="preserve"> after me, and he will sit on my throne?</w:t>
      </w:r>
    </w:p>
    <w:p>
      <w:r>
        <w:rPr>
          <w:b/>
        </w:rPr>
        <w:t xml:space="preserve">25 </w:t>
      </w:r>
      <w:r>
        <w:t xml:space="preserve">For he went down today and sacrificed calves and lambs and sheep in abundance and called all the sons of the king and the commanders of the force and Abiathar the priest. And behold, they are eating and drinking before him, and they said, Long live King Adonijah.</w:t>
      </w:r>
      <w:r>
        <w:rPr>
          <w:rStyle w:val="FootnoteReference"/>
        </w:rPr>
        <w:footnoteReference w:id="6370"/>
      </w:r>
    </w:p>
    <w:p>
      <w:r>
        <w:rPr>
          <w:b/>
        </w:rPr>
        <w:t xml:space="preserve">26 </w:t>
      </w:r>
      <w:r>
        <w:t xml:space="preserve">But me, your servant, and Zadok the priest and Benaiah son of Jehoiada and Solomon your servant he did not call.</w:t>
      </w:r>
    </w:p>
    <w:p>
      <w:r>
        <w:rPr>
          <w:b/>
        </w:rPr>
        <w:t xml:space="preserve">27 </w:t>
      </w:r>
      <w:r>
        <w:t xml:space="preserve">Has this thing happened by my lord the king, and have you not made known to your servant who will sit on the throne of my lord the king after him?</w:t>
      </w:r>
    </w:p>
    <w:p>
      <w:r>
        <w:rPr>
          <w:b/>
        </w:rPr>
        <w:t xml:space="preserve">28 </w:t>
      </w:r>
      <w:r>
        <w:t xml:space="preserve">And David answered and said, Call Beersheba to me. And she entered before the king and stood before him.</w:t>
      </w:r>
    </w:p>
    <w:p>
      <w:r>
        <w:rPr>
          <w:b/>
        </w:rPr>
        <w:t xml:space="preserve">29 </w:t>
      </w:r>
      <w:r>
        <w:t xml:space="preserve">And the king swore and said, As the</w:t>
      </w:r>
      <w:r>
        <w:rPr>
          <w:rStyle w:val="FootnoteReference"/>
        </w:rPr>
        <w:footnoteReference w:id="6371"/>
      </w:r>
      <w:r>
        <w:t xml:space="preserve"> Lord lives, who redeemed my life from every affliction,</w:t>
      </w:r>
    </w:p>
    <w:p>
      <w:r>
        <w:rPr>
          <w:b/>
        </w:rPr>
        <w:t xml:space="preserve">30 </w:t>
      </w:r>
      <w:r>
        <w:t xml:space="preserve">that as I swore to you by the Lord God of Israel, saying, Solomon your son will reign after me, and he will sit on my throne instead of me, so I will do on this day.</w:t>
      </w:r>
    </w:p>
    <w:p>
      <w:r>
        <w:rPr>
          <w:b/>
        </w:rPr>
        <w:t xml:space="preserve">31 </w:t>
      </w:r>
      <w:r>
        <w:t xml:space="preserve">And Beersheba bowed with her face to the ground and did obeisance to the king and said, May my lord King David live forever.</w:t>
      </w:r>
    </w:p>
    <w:p>
      <w:r>
        <w:rPr>
          <w:b/>
        </w:rPr>
        <w:t xml:space="preserve">32 </w:t>
      </w:r>
      <w:r>
        <w:t xml:space="preserve">And King David said, Call Zadok</w:t>
      </w:r>
      <w:r>
        <w:rPr>
          <w:rStyle w:val="FootnoteReference"/>
        </w:rPr>
        <w:footnoteReference w:id="6372"/>
      </w:r>
      <w:r>
        <w:t xml:space="preserve"> the priest and Nathan the prophet and Benaiah son of Jehoiada to me. And they entered before the king.</w:t>
      </w:r>
    </w:p>
    <w:p>
      <w:r>
        <w:rPr>
          <w:b/>
        </w:rPr>
        <w:t xml:space="preserve">33 </w:t>
      </w:r>
      <w:r>
        <w:t xml:space="preserve">And the king said to them, Take</w:t>
      </w:r>
      <w:r>
        <w:rPr>
          <w:rStyle w:val="FootnoteReference"/>
        </w:rPr>
        <w:footnoteReference w:id="6373"/>
      </w:r>
      <w:r>
        <w:t xml:space="preserve"> the servants of your lord with you and mount my son Solomon on my mule and lead him down to Gihon.</w:t>
      </w:r>
    </w:p>
    <w:p>
      <w:r>
        <w:rPr>
          <w:b/>
        </w:rPr>
        <w:t xml:space="preserve">34 </w:t>
      </w:r>
      <w:r>
        <w:t xml:space="preserve">And let Zadok</w:t>
      </w:r>
      <w:r>
        <w:rPr>
          <w:rStyle w:val="FootnoteReference"/>
        </w:rPr>
        <w:footnoteReference w:id="6374"/>
      </w:r>
      <w:r>
        <w:t xml:space="preserve"> the priest and Nathan the prophet anoint him there as king over Israel, and sound the horn and say, Long live King Solomon.</w:t>
      </w:r>
    </w:p>
    <w:p>
      <w:r>
        <w:rPr>
          <w:b/>
        </w:rPr>
        <w:t xml:space="preserve">35 </w:t>
      </w:r>
      <w:r>
        <w:t xml:space="preserve">And he will sit on my throne, and he will reign instead of me, and I have commanded him to be ruler over Israel and Judah.</w:t>
      </w:r>
    </w:p>
    <w:p>
      <w:r>
        <w:rPr>
          <w:b/>
        </w:rPr>
        <w:t xml:space="preserve">36 </w:t>
      </w:r>
      <w:r>
        <w:t xml:space="preserve">And Benaiah son of Jehoiada answered the king and said, May it be so. May the Lord</w:t>
      </w:r>
      <w:r>
        <w:rPr>
          <w:rStyle w:val="FootnoteReference"/>
        </w:rPr>
        <w:footnoteReference w:id="6375"/>
      </w:r>
      <w:r>
        <w:t xml:space="preserve"> God of my lord the king confirm it.</w:t>
      </w:r>
    </w:p>
    <w:p>
      <w:r>
        <w:rPr>
          <w:b/>
        </w:rPr>
        <w:t xml:space="preserve">37 </w:t>
      </w:r>
      <w:r>
        <w:t xml:space="preserve">Just as the</w:t>
      </w:r>
      <w:r>
        <w:rPr>
          <w:rStyle w:val="FootnoteReference"/>
        </w:rPr>
        <w:footnoteReference w:id="6376"/>
      </w:r>
      <w:r>
        <w:t xml:space="preserve"> Lord was with my lord the king, so may he be with Solomon, and may he enlarge his throne beyond the throne of my lord King David.</w:t>
      </w:r>
    </w:p>
    <w:p>
      <w:r>
        <w:rPr>
          <w:b/>
        </w:rPr>
        <w:t xml:space="preserve">38 </w:t>
      </w:r>
      <w:r>
        <w:t xml:space="preserve">And Zadok</w:t>
      </w:r>
      <w:r>
        <w:rPr>
          <w:rStyle w:val="FootnoteReference"/>
        </w:rPr>
        <w:footnoteReference w:id="6377"/>
      </w:r>
      <w:r>
        <w:t xml:space="preserve"> the priest and Nathan the prophet and Benaiah son of Jehoiada and the Cherethite and the Pelethites went down and set Solomon upon the mule of King David and led him to Gihon.</w:t>
      </w:r>
    </w:p>
    <w:p>
      <w:r>
        <w:rPr>
          <w:b/>
        </w:rPr>
        <w:t xml:space="preserve">39 </w:t>
      </w:r>
      <w:r>
        <w:t xml:space="preserve">And Zadok the priest took the horn of oil from the tent and anointed</w:t>
      </w:r>
      <w:r>
        <w:rPr>
          <w:rStyle w:val="FootnoteReference"/>
        </w:rPr>
        <w:footnoteReference w:id="6378"/>
      </w:r>
      <w:r>
        <w:t xml:space="preserve"> Solomon, and they sounded the horn, and all the people said, Long live King Solomon.</w:t>
      </w:r>
    </w:p>
    <w:p>
      <w:r>
        <w:rPr>
          <w:b/>
        </w:rPr>
        <w:t xml:space="preserve">40 </w:t>
      </w:r>
      <w:r>
        <w:t xml:space="preserve">And all the people went up after him, and they were dancing in dances and rejoicing with great joy, and the earth split at their sound.</w:t>
      </w:r>
    </w:p>
    <w:p>
      <w:r>
        <w:rPr>
          <w:b/>
        </w:rPr>
        <w:t xml:space="preserve">41 </w:t>
      </w:r>
      <w:r>
        <w:t xml:space="preserve">And Adonijah heard, and all his invited guests with him, and they themselves finished eating. And Joab heard the sound of the horn and said, What is the sound of the city in uproar?</w:t>
      </w:r>
    </w:p>
    <w:p>
      <w:r>
        <w:rPr>
          <w:b/>
        </w:rPr>
        <w:t xml:space="preserve">42 </w:t>
      </w:r>
      <w:r>
        <w:t xml:space="preserve">While he was still speaking, behold, Jonathan</w:t>
      </w:r>
      <w:r>
        <w:rPr>
          <w:rStyle w:val="FootnoteReference"/>
        </w:rPr>
        <w:footnoteReference w:id="6379"/>
      </w:r>
      <w:r>
        <w:t xml:space="preserve"> son of Abiathar the priest came, and Adonijah said, Come in, for you are a man of strength and bring good news.</w:t>
      </w:r>
    </w:p>
    <w:p>
      <w:r>
        <w:rPr>
          <w:b/>
        </w:rPr>
        <w:t xml:space="preserve">43 </w:t>
      </w:r>
      <w:r>
        <w:t xml:space="preserve">And Jonathan answered and said, And truly, our lord King David has made Solomon king.</w:t>
      </w:r>
    </w:p>
    <w:p>
      <w:r>
        <w:rPr>
          <w:b/>
        </w:rPr>
        <w:t xml:space="preserve">44 </w:t>
      </w:r>
      <w:r>
        <w:t xml:space="preserve">And the king sent with him Zadok the priest and Nathan the prophet and Benaiah son of Jehoiada and the Cherethite and the Pelethites, and they set him upon the mule of the king.</w:t>
      </w:r>
    </w:p>
    <w:p>
      <w:r>
        <w:rPr>
          <w:b/>
        </w:rPr>
        <w:t xml:space="preserve">45 </w:t>
      </w:r>
      <w:r>
        <w:t xml:space="preserve">And Zadok the priest and Nathan the prophet anointed him as king at Gihon</w:t>
      </w:r>
      <w:r>
        <w:rPr>
          <w:rStyle w:val="FootnoteReference"/>
        </w:rPr>
        <w:footnoteReference w:id="6380"/>
      </w:r>
      <w:r>
        <w:t xml:space="preserve">, and they came up from there rejoicing, and the city rang. This is the sound that you heard.</w:t>
      </w:r>
    </w:p>
    <w:p>
      <w:r>
        <w:rPr>
          <w:b/>
        </w:rPr>
        <w:t xml:space="preserve">46 </w:t>
      </w:r>
      <w:r>
        <w:t xml:space="preserve">And Solomon has sat upon the throne of the kingdom.</w:t>
      </w:r>
    </w:p>
    <w:p>
      <w:r>
        <w:rPr>
          <w:b/>
        </w:rPr>
        <w:t xml:space="preserve">47 </w:t>
      </w:r>
      <w:r>
        <w:t xml:space="preserve">And the servants of the king entered to bless</w:t>
      </w:r>
      <w:r>
        <w:rPr>
          <w:rStyle w:val="FootnoteReference"/>
        </w:rPr>
        <w:footnoteReference w:id="6381"/>
      </w:r>
      <w:r>
        <w:t xml:space="preserve"> our lord King David, saying, May God make the name of Solomon your son better than your name</w:t>
      </w:r>
      <w:r>
        <w:rPr>
          <w:rStyle w:val="FootnoteReference"/>
        </w:rPr>
        <w:footnoteReference w:id="6382"/>
      </w:r>
      <w:r>
        <w:t xml:space="preserve">, and may he enlarge his throne beyond your throne. And the king bowed on his bed.</w:t>
      </w:r>
    </w:p>
    <w:p>
      <w:r>
        <w:rPr>
          <w:b/>
        </w:rPr>
        <w:t xml:space="preserve">48 </w:t>
      </w:r>
      <w:r>
        <w:t xml:space="preserve">And thus too the king said, Blessed</w:t>
      </w:r>
      <w:r>
        <w:rPr>
          <w:rStyle w:val="FootnoteReference"/>
        </w:rPr>
        <w:footnoteReference w:id="6383"/>
      </w:r>
      <w:r>
        <w:t xml:space="preserve"> is the Lord God of Israel, who gave today one from my seed sitting on my throne, and my eyes are seeing it.</w:t>
      </w:r>
    </w:p>
    <w:p>
      <w:r>
        <w:rPr>
          <w:b/>
        </w:rPr>
        <w:t xml:space="preserve">49 </w:t>
      </w:r>
      <w:r>
        <w:t xml:space="preserve">And all the invited guests of Adonijah were terrified and rose up, and each man went on his way.</w:t>
      </w:r>
    </w:p>
    <w:p>
      <w:r>
        <w:rPr>
          <w:b/>
        </w:rPr>
        <w:t xml:space="preserve">50 </w:t>
      </w:r>
      <w:r>
        <w:t xml:space="preserve">And Adonijah feared before Solomon, and he rose and went away and took hold of the horns of the altar.</w:t>
      </w:r>
    </w:p>
    <w:p>
      <w:r>
        <w:rPr>
          <w:b/>
        </w:rPr>
        <w:t xml:space="preserve">51 </w:t>
      </w:r>
      <w:r>
        <w:t xml:space="preserve">And it was reported to Solomon, saying, Behold, Adonijah feared King Solomon and has taken hold of the horns of the altar, saying, Let King Solomon swear to me today that he will not put his servant to death by the sword.</w:t>
      </w:r>
    </w:p>
    <w:p>
      <w:r>
        <w:rPr>
          <w:b/>
        </w:rPr>
        <w:t xml:space="preserve">52 </w:t>
      </w:r>
      <w:r>
        <w:t xml:space="preserve">And Solomon said, If he becomes a son of strength, not one hair of his will fall to the ground, but if evil is found in him, he will die.</w:t>
      </w:r>
    </w:p>
    <w:p>
      <w:r>
        <w:rPr>
          <w:b/>
        </w:rPr>
        <w:t xml:space="preserve">53 </w:t>
      </w:r>
      <w:r>
        <w:t xml:space="preserve">And King Solomon sent and brought him down from the altar, and he entered and bowed to King Solomon, and Solomon said to him, Go to</w:t>
      </w:r>
      <w:r>
        <w:rPr>
          <w:rStyle w:val="FootnoteReference"/>
        </w:rPr>
        <w:footnoteReference w:id="6384"/>
      </w:r>
      <w:r>
        <w:t xml:space="preserve"> your house.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the days</w:t>
      </w:r>
      <w:r>
        <w:rPr>
          <w:rStyle w:val="FootnoteReference"/>
        </w:rPr>
        <w:footnoteReference w:id="6385"/>
      </w:r>
      <w:r>
        <w:t xml:space="preserve"> drew near for David to die, and he commanded Solomon his son, saying,</w:t>
      </w:r>
    </w:p>
    <w:p>
      <w:r>
        <w:rPr>
          <w:b/>
        </w:rPr>
        <w:t xml:space="preserve">2 </w:t>
      </w:r>
      <w:r>
        <w:t xml:space="preserve">I am going on the way of all the earth, and you must be strong and become a man.</w:t>
      </w:r>
    </w:p>
    <w:p>
      <w:r>
        <w:rPr>
          <w:b/>
        </w:rPr>
        <w:t xml:space="preserve">3 </w:t>
      </w:r>
      <w:r>
        <w:t xml:space="preserve">And you must keep the charge of the Lord your God, to walk in his ways, to keep his commandments and his ordinances and his judgments, the things written</w:t>
      </w:r>
      <w:r>
        <w:rPr>
          <w:rStyle w:val="FootnoteReference"/>
        </w:rPr>
        <w:footnoteReference w:id="6386"/>
      </w:r>
      <w:r>
        <w:t xml:space="preserve"> in the law of Moses, so that you may understand what you will do according to all that I command you.</w:t>
      </w:r>
    </w:p>
    <w:p>
      <w:r>
        <w:rPr>
          <w:b/>
        </w:rPr>
        <w:t xml:space="preserve">4 </w:t>
      </w:r>
      <w:r>
        <w:t xml:space="preserve">So that the Lord</w:t>
      </w:r>
      <w:r>
        <w:rPr>
          <w:rStyle w:val="FootnoteReference"/>
        </w:rPr>
        <w:footnoteReference w:id="6387"/>
      </w:r>
      <w:r>
        <w:t xml:space="preserve"> may establish his word that he spoke, saying, If your sons guard their way to walk before me in truth, with all their heart and with all their soul, there will not be destroyed for you a man</w:t>
      </w:r>
      <w:r>
        <w:rPr>
          <w:rStyle w:val="FootnoteReference"/>
        </w:rPr>
        <w:footnoteReference w:id="6388"/>
      </w:r>
      <w:r>
        <w:t xml:space="preserve"> from upon the throne of Israel.</w:t>
      </w:r>
    </w:p>
    <w:p>
      <w:r>
        <w:rPr>
          <w:b/>
        </w:rPr>
        <w:t xml:space="preserve">5 </w:t>
      </w:r>
      <w:r>
        <w:t xml:space="preserve">And indeed, you know what Joab</w:t>
      </w:r>
      <w:r>
        <w:rPr>
          <w:rStyle w:val="FootnoteReference"/>
        </w:rPr>
        <w:footnoteReference w:id="6389"/>
      </w:r>
      <w:r>
        <w:t xml:space="preserve"> son of Zeruiah did to me, what he did to the two commanders of the forces of Israel, to Abner son of Ner and to Amasa son of Jether, and he killed them and assigned blood of war in peace</w:t>
      </w:r>
      <w:r>
        <w:rPr>
          <w:rStyle w:val="FootnoteReference"/>
        </w:rPr>
        <w:footnoteReference w:id="6390"/>
      </w:r>
      <w:r>
        <w:t xml:space="preserve"> and put innocent blood on the belt on his waist and on the sandal on his foot.</w:t>
      </w:r>
    </w:p>
    <w:p>
      <w:r>
        <w:rPr>
          <w:b/>
        </w:rPr>
        <w:t xml:space="preserve">6 </w:t>
      </w:r>
      <w:r>
        <w:t xml:space="preserve">And you will do according to your wisdom, and you will not bring his gray hair down in peace to Hades.</w:t>
      </w:r>
    </w:p>
    <w:p>
      <w:r>
        <w:rPr>
          <w:b/>
        </w:rPr>
        <w:t xml:space="preserve">7 </w:t>
      </w:r>
      <w:r>
        <w:t xml:space="preserve">And to the sons of Barzillai</w:t>
      </w:r>
      <w:r>
        <w:rPr>
          <w:rStyle w:val="FootnoteReference"/>
        </w:rPr>
        <w:footnoteReference w:id="6391"/>
      </w:r>
      <w:r>
        <w:t xml:space="preserve"> the Gileadite you will do mercy, and they will be among those eating at your table, because thus they came near to me when I was fleeing from before Absalom your brother.</w:t>
      </w:r>
    </w:p>
    <w:p>
      <w:r>
        <w:rPr>
          <w:b/>
        </w:rPr>
        <w:t xml:space="preserve">8 </w:t>
      </w:r>
      <w:r>
        <w:t xml:space="preserve">And behold, with you is Shimei</w:t>
      </w:r>
      <w:r>
        <w:rPr>
          <w:rStyle w:val="FootnoteReference"/>
        </w:rPr>
        <w:footnoteReference w:id="6392"/>
      </w:r>
      <w:r>
        <w:t xml:space="preserve"> son of Gera a Benjamite from Bahurim, and he cursed me with a grievous curse on the day when I was going to the Camps</w:t>
      </w:r>
      <w:r>
        <w:rPr>
          <w:rStyle w:val="FootnoteReference"/>
        </w:rPr>
        <w:footnoteReference w:id="6393"/>
      </w:r>
      <w:r>
        <w:t xml:space="preserve">. And he came down to meet me at the Jordan, and I swore to him by the Lord, saying, I will not put you to death by the sword.</w:t>
      </w:r>
    </w:p>
    <w:p>
      <w:r>
        <w:rPr>
          <w:b/>
        </w:rPr>
        <w:t xml:space="preserve">9 </w:t>
      </w:r>
      <w:r>
        <w:t xml:space="preserve">And now do not hold him</w:t>
      </w:r>
      <w:r>
        <w:rPr>
          <w:rStyle w:val="FootnoteReference"/>
        </w:rPr>
        <w:footnoteReference w:id="6394"/>
      </w:r>
      <w:r>
        <w:t xml:space="preserve"> guiltless, because you are a wise man and will know what you will do to him, and you will bring his gray hair down in blood to Hades.</w:t>
      </w:r>
    </w:p>
    <w:p>
      <w:r>
        <w:rPr>
          <w:b/>
        </w:rPr>
        <w:t xml:space="preserve">10 </w:t>
      </w:r>
      <w:r>
        <w:t xml:space="preserve">And David slept with his fathers and was buried in the City of David.</w:t>
      </w:r>
    </w:p>
    <w:p>
      <w:r>
        <w:rPr>
          <w:b/>
        </w:rPr>
        <w:t xml:space="preserve">11 </w:t>
      </w:r>
      <w:r>
        <w:t xml:space="preserve">And the days that David reigned over</w:t>
      </w:r>
      <w:r>
        <w:rPr>
          <w:rStyle w:val="FootnoteReference"/>
        </w:rPr>
        <w:footnoteReference w:id="6395"/>
      </w:r>
      <w:r>
        <w:t xml:space="preserve"> Israel were forty years. In Hebron he reigned seven years, and in Jerusalem thirty-three years.</w:t>
      </w:r>
    </w:p>
    <w:p>
      <w:r>
        <w:rPr>
          <w:b/>
        </w:rPr>
        <w:t xml:space="preserve">12 </w:t>
      </w:r>
      <w:r>
        <w:t xml:space="preserve">And Solomon sat on the throne of David his father, a son of twelve years, and his kingdom</w:t>
      </w:r>
      <w:r>
        <w:rPr>
          <w:rStyle w:val="FootnoteReference"/>
        </w:rPr>
        <w:footnoteReference w:id="6396"/>
      </w:r>
      <w:r>
        <w:t xml:space="preserve"> was greatly prepared.</w:t>
      </w:r>
    </w:p>
    <w:p>
      <w:r>
        <w:rPr>
          <w:b/>
        </w:rPr>
        <w:t xml:space="preserve">13 </w:t>
      </w:r>
      <w:r>
        <w:t xml:space="preserve">And Adonijah</w:t>
      </w:r>
      <w:r>
        <w:rPr>
          <w:rStyle w:val="FootnoteReference"/>
        </w:rPr>
        <w:footnoteReference w:id="6397"/>
      </w:r>
      <w:r>
        <w:t xml:space="preserve"> son of Haggith entered to Beersheba mother of Solomon and bowed to her. And she said, Is your coming peace? And he said, Peace.</w:t>
      </w:r>
    </w:p>
    <w:p>
      <w:r>
        <w:rPr>
          <w:b/>
        </w:rPr>
        <w:t xml:space="preserve">14 </w:t>
      </w:r>
      <w:r>
        <w:t xml:space="preserve">And he said, A word is mine to you. And she said to him, Speak.</w:t>
      </w:r>
    </w:p>
    <w:p>
      <w:r>
        <w:rPr>
          <w:b/>
        </w:rPr>
        <w:t xml:space="preserve">15 </w:t>
      </w:r>
      <w:r>
        <w:t xml:space="preserve">And he said to her, You know that the kingdom was mine, and all Israel set its face on me for the king, but the kingdom turned and became my brother's, because it came to him from the Lord.</w:t>
      </w:r>
    </w:p>
    <w:p>
      <w:r>
        <w:rPr>
          <w:b/>
        </w:rPr>
        <w:t xml:space="preserve">16 </w:t>
      </w:r>
      <w:r>
        <w:t xml:space="preserve">And now I ask one request from you. Do not turn away your face. And Beersheba said to him, Speak.</w:t>
      </w:r>
    </w:p>
    <w:p>
      <w:r>
        <w:rPr>
          <w:b/>
        </w:rPr>
        <w:t xml:space="preserve">17 </w:t>
      </w:r>
      <w:r>
        <w:t xml:space="preserve">And he said to her, Speak now to King Solomon, for he will not turn his face from you, and let him give me Abishag</w:t>
      </w:r>
      <w:r>
        <w:rPr>
          <w:rStyle w:val="FootnoteReference"/>
        </w:rPr>
        <w:footnoteReference w:id="6398"/>
      </w:r>
      <w:r>
        <w:t xml:space="preserve"> the Shunammite as wife.</w:t>
      </w:r>
    </w:p>
    <w:p>
      <w:r>
        <w:rPr>
          <w:b/>
        </w:rPr>
        <w:t xml:space="preserve">18 </w:t>
      </w:r>
      <w:r>
        <w:t xml:space="preserve">And Beersheba said, Good. I will speak to the king concerning you.</w:t>
      </w:r>
    </w:p>
    <w:p>
      <w:r>
        <w:rPr>
          <w:b/>
        </w:rPr>
        <w:t xml:space="preserve">19 </w:t>
      </w:r>
      <w:r>
        <w:t xml:space="preserve">And Beersheba entered to King Solomon to speak to him concerning Adonijah. And the king rose to meet her and kissed her</w:t>
      </w:r>
      <w:r>
        <w:rPr>
          <w:rStyle w:val="FootnoteReference"/>
        </w:rPr>
        <w:footnoteReference w:id="6399"/>
      </w:r>
      <w:r>
        <w:t xml:space="preserve"> and sat on his throne, and a throne was set for the mother of the king, and she sat</w:t>
      </w:r>
      <w:r>
        <w:rPr>
          <w:rStyle w:val="FootnoteReference"/>
        </w:rPr>
        <w:footnoteReference w:id="6400"/>
      </w:r>
      <w:r>
        <w:t xml:space="preserve"> at his right hand.</w:t>
      </w:r>
    </w:p>
    <w:p>
      <w:r>
        <w:rPr>
          <w:b/>
        </w:rPr>
        <w:t xml:space="preserve">20 </w:t>
      </w:r>
      <w:r>
        <w:t xml:space="preserve">And she said to him, I ask one small request from you. Do not turn away your face. And the king said to her, Ask, my mother, for I will not turn you away.</w:t>
      </w:r>
    </w:p>
    <w:p>
      <w:r>
        <w:rPr>
          <w:b/>
        </w:rPr>
        <w:t xml:space="preserve">21 </w:t>
      </w:r>
      <w:r>
        <w:t xml:space="preserve">And she said, Let Abishag</w:t>
      </w:r>
      <w:r>
        <w:rPr>
          <w:rStyle w:val="FootnoteReference"/>
        </w:rPr>
        <w:footnoteReference w:id="6401"/>
      </w:r>
      <w:r>
        <w:t xml:space="preserve"> the Shunammite be given to Adonijah your brother as wife.</w:t>
      </w:r>
    </w:p>
    <w:p>
      <w:r>
        <w:rPr>
          <w:b/>
        </w:rPr>
        <w:t xml:space="preserve">22 </w:t>
      </w:r>
      <w:r>
        <w:t xml:space="preserve">And King Solomon answered and said to his mother, And why did you ask Abishag for Adonijah? Ask the kingdom</w:t>
      </w:r>
      <w:r>
        <w:rPr>
          <w:rStyle w:val="FootnoteReference"/>
        </w:rPr>
        <w:footnoteReference w:id="6402"/>
      </w:r>
      <w:r>
        <w:t xml:space="preserve"> for him too, because he is my elder brother greater than I, and he has Abiathar the priest and Joab son of Zeruiah the commander as companion.</w:t>
      </w:r>
    </w:p>
    <w:p>
      <w:r>
        <w:rPr>
          <w:b/>
        </w:rPr>
        <w:t xml:space="preserve">23 </w:t>
      </w:r>
      <w:r>
        <w:t xml:space="preserve">And King Solomon swore by the Lord, saying, Thus may God do to me, and thus may he add, because Adonijah spoke this word against his own life.</w:t>
      </w:r>
    </w:p>
    <w:p>
      <w:r>
        <w:rPr>
          <w:b/>
        </w:rPr>
        <w:t xml:space="preserve">24 </w:t>
      </w:r>
      <w:r>
        <w:t xml:space="preserve">And now, as the Lord</w:t>
      </w:r>
      <w:r>
        <w:rPr>
          <w:rStyle w:val="FootnoteReference"/>
        </w:rPr>
        <w:footnoteReference w:id="6403"/>
      </w:r>
      <w:r>
        <w:t xml:space="preserve"> lives, who prepared me and set me on the throne of David my father and made me a house as the Lord spoke, today Adonijah will be put to death.</w:t>
      </w:r>
    </w:p>
    <w:p>
      <w:r>
        <w:rPr>
          <w:b/>
        </w:rPr>
        <w:t xml:space="preserve">25 </w:t>
      </w:r>
      <w:r>
        <w:t xml:space="preserve">And King Solomon sent by the hand of Benaiah son of Jehoiada, and he struck him and Adonijah died on that day.</w:t>
      </w:r>
    </w:p>
    <w:p>
      <w:r>
        <w:rPr>
          <w:b/>
        </w:rPr>
        <w:t xml:space="preserve">26 </w:t>
      </w:r>
      <w:r>
        <w:t xml:space="preserve">And to Abiathar</w:t>
      </w:r>
      <w:r>
        <w:rPr>
          <w:rStyle w:val="FootnoteReference"/>
        </w:rPr>
        <w:footnoteReference w:id="6404"/>
      </w:r>
      <w:r>
        <w:t xml:space="preserve"> the priest the king said, Run away to Anathoth, to your field, because you are a man of death on this day. But I will not put you to death, because you carried the ark of the covenant of the Lord before my father and because you were afflicted in all the things in which my father was afflicted.</w:t>
      </w:r>
    </w:p>
    <w:p>
      <w:r>
        <w:rPr>
          <w:b/>
        </w:rPr>
        <w:t xml:space="preserve">27 </w:t>
      </w:r>
      <w:r>
        <w:t xml:space="preserve">And Solomon cast out Abiathar from being priest of the Lord, for the word of the Lord to be fulfilled, which he spoke against the house of Eli at Shallum.</w:t>
      </w:r>
    </w:p>
    <w:p>
      <w:r>
        <w:rPr>
          <w:b/>
        </w:rPr>
        <w:t xml:space="preserve">28 </w:t>
      </w:r>
      <w:r>
        <w:t xml:space="preserve">And the report came to Joab son of Zeruiah, because Joab had</w:t>
      </w:r>
      <w:r>
        <w:rPr>
          <w:rStyle w:val="FootnoteReference"/>
        </w:rPr>
        <w:footnoteReference w:id="6405"/>
      </w:r>
      <w:r>
        <w:t xml:space="preserve"> inclined after Adonijah, but after Solomon he did not incline. And Joab fled to the tent of the Lord and took hold of the horns of the altar.</w:t>
      </w:r>
    </w:p>
    <w:p>
      <w:r>
        <w:rPr>
          <w:b/>
        </w:rPr>
        <w:t xml:space="preserve">29 </w:t>
      </w:r>
      <w:r>
        <w:t xml:space="preserve">And it was reported to Solomon, saying that Joab fled to the tent of the Lord, and behold, he holds the horns of the altar. And Solomon sent to Joab, saying, What has happened to you that you fled to the altar? And Joab said, Because I feared from before you, and I fled to the Lord. And King Solomon sent Benaiah son of Jehoiada, saying, Go and kill him and bury him.</w:t>
      </w:r>
    </w:p>
    <w:p>
      <w:r>
        <w:rPr>
          <w:b/>
        </w:rPr>
        <w:t xml:space="preserve">30 </w:t>
      </w:r>
      <w:r>
        <w:t xml:space="preserve">And Benaiah son of Jehoiada came to Joab at the tent of the Lord and said to him, Thus says the king: Come out. And Joab said, I will not come out, because I will die here</w:t>
      </w:r>
      <w:r>
        <w:rPr>
          <w:rStyle w:val="FootnoteReference"/>
        </w:rPr>
        <w:footnoteReference w:id="6406"/>
      </w:r>
      <w:r>
        <w:t xml:space="preserve">. And Benaiah son of Jehoiada turned back and said to the king, Thus Joab has spoken, and thus he answered me.</w:t>
      </w:r>
    </w:p>
    <w:p>
      <w:r>
        <w:rPr>
          <w:b/>
        </w:rPr>
        <w:t xml:space="preserve">31 </w:t>
      </w:r>
      <w:r>
        <w:t xml:space="preserve">And the king said to him, Go and do to him just as he said, and kill him and bury him, and you will remove today the blood that Joab poured out for nothing from me and from</w:t>
      </w:r>
      <w:r>
        <w:rPr>
          <w:rStyle w:val="FootnoteReference"/>
        </w:rPr>
        <w:footnoteReference w:id="6407"/>
      </w:r>
      <w:r>
        <w:t xml:space="preserve"> the house of my father.</w:t>
      </w:r>
    </w:p>
    <w:p>
      <w:r>
        <w:rPr>
          <w:b/>
        </w:rPr>
        <w:t xml:space="preserve">32 </w:t>
      </w:r>
      <w:r>
        <w:t xml:space="preserve">And the Lord turned the blood of his injustice onto his head, because he met two men more righteous</w:t>
      </w:r>
      <w:r>
        <w:rPr>
          <w:rStyle w:val="FootnoteReference"/>
        </w:rPr>
        <w:footnoteReference w:id="6408"/>
      </w:r>
      <w:r>
        <w:t xml:space="preserve"> and better than he and killed them by the sword, and my father David did not know their blood: Abner son of Ner, commander of Israel, and Amasa son of Jether, commander of Judah.</w:t>
      </w:r>
      <w:r>
        <w:rPr>
          <w:rStyle w:val="FootnoteReference"/>
        </w:rPr>
        <w:footnoteReference w:id="6409"/>
      </w:r>
    </w:p>
    <w:p>
      <w:r>
        <w:rPr>
          <w:b/>
        </w:rPr>
        <w:t xml:space="preserve">33 </w:t>
      </w:r>
      <w:r>
        <w:t xml:space="preserve">And their blood returned</w:t>
      </w:r>
      <w:r>
        <w:rPr>
          <w:rStyle w:val="FootnoteReference"/>
        </w:rPr>
        <w:footnoteReference w:id="6410"/>
      </w:r>
      <w:r>
        <w:t xml:space="preserve"> upon his head and upon the head of his seed forever, but for David and for his seed and for his house</w:t>
      </w:r>
      <w:r>
        <w:rPr>
          <w:rStyle w:val="FootnoteReference"/>
        </w:rPr>
        <w:footnoteReference w:id="6411"/>
      </w:r>
      <w:r>
        <w:t xml:space="preserve"> and for his throne, may there be peace forever from the Lord.</w:t>
      </w:r>
    </w:p>
    <w:p>
      <w:r>
        <w:rPr>
          <w:b/>
        </w:rPr>
        <w:t xml:space="preserve">34 </w:t>
      </w:r>
      <w:r>
        <w:t xml:space="preserve">And Benaiah</w:t>
      </w:r>
      <w:r>
        <w:rPr>
          <w:rStyle w:val="FootnoteReference"/>
        </w:rPr>
        <w:footnoteReference w:id="6412"/>
      </w:r>
      <w:r>
        <w:t xml:space="preserve"> son of Jehoiada met Joab and killed him and buried him at his house in the wilderness.</w:t>
      </w:r>
    </w:p>
    <w:p>
      <w:r>
        <w:rPr>
          <w:b/>
        </w:rPr>
        <w:t xml:space="preserve">35 </w:t>
      </w:r>
      <w:r>
        <w:t xml:space="preserve">And the king gave Benaiah son of Jehoiada in his place over the generalship, and the kingdom was being set right in Jerusalem, and the king gave Zadok</w:t>
      </w:r>
      <w:r>
        <w:rPr>
          <w:rStyle w:val="FootnoteReference"/>
        </w:rPr>
        <w:footnoteReference w:id="6413"/>
      </w:r>
      <w:r>
        <w:t xml:space="preserve"> the priest as first priest instead of Abiathar. And the Lord gave understanding to Solomon and very much wisdom and breadth of heart like the sand that is beside the sea. And the understanding of Solomon was multiplied greatly beyond the understanding of all the ancients and beyond all the wise of Egypt. And he took the daughter of Pharaoh and brought her into the City of David until he finished his own house and the house of the Lord first and the wall of Jerusalem all around. In seven years he made it and finished it. And Solomon had seventy thousand carrying burdens and eighty thousand stonecutters in the mountain. And Solomon made the Sea and the bases and the great basins and the pillars and the fountain of the court and the bronze sea. And he built the citadel and its battlements and cut through the City of David. Thus the daughter of Pharaoh was going up from the City of David into her house that he built for her. Then he built the citadel. And Solomon offered up three times in the year whole burnt offerings and peace offerings on the altar that he built to the Lord and was burning incense before the Lord and finished the house. And these were the rulers set over the works of Solomon, three thousand six hundred overseers of the people doing the works. And he built Asshur and Magdo and Gezer and upper Bethhoron and Baalath</w:t>
      </w:r>
      <w:r>
        <w:rPr>
          <w:rStyle w:val="FootnoteReference"/>
        </w:rPr>
        <w:footnoteReference w:id="6414"/>
      </w:r>
      <w:r>
        <w:t xml:space="preserve">. But after he built the house of the Lord and the wall of Jerusalem all around, after these things he built these cities. And while David was still living he commanded Solomon, saying, Behold, with you is Shimei son of Gera, of Benjamite seed from Hebron. He cursed me with a grievous curse on the day when I was going to the Camps, and he came down to meet me at the Jordan, and I swore to him by the Lord, saying, He shall not be put to death by the sword. And now do not hold him guiltless, because you are a prudent man and you will know what you will do to him, and you will bring his gray hair down in blood to Hades.</w:t>
      </w:r>
      <w:r>
        <w:rPr>
          <w:rStyle w:val="FootnoteReference"/>
        </w:rPr>
        <w:footnoteReference w:id="6415"/>
      </w:r>
      <w:r>
        <w:rPr>
          <w:rStyle w:val="FootnoteReference"/>
        </w:rPr>
        <w:footnoteReference w:id="6416"/>
      </w:r>
    </w:p>
    <w:p>
      <w:r>
        <w:rPr>
          <w:b/>
        </w:rPr>
        <w:t xml:space="preserve">36 </w:t>
      </w:r>
      <w:r>
        <w:t xml:space="preserve">And the king called Shimei</w:t>
      </w:r>
      <w:r>
        <w:rPr>
          <w:rStyle w:val="FootnoteReference"/>
        </w:rPr>
        <w:footnoteReference w:id="6417"/>
      </w:r>
      <w:r>
        <w:t xml:space="preserve"> and said to him, Build yourself a house in Jerusalem and dwell there, and do not go out from there anywhere.</w:t>
      </w:r>
    </w:p>
    <w:p>
      <w:r>
        <w:rPr>
          <w:b/>
        </w:rPr>
        <w:t xml:space="preserve">37 </w:t>
      </w:r>
      <w:r>
        <w:t xml:space="preserve">And it will be on the day of your going out and crossing the torrent Kidron, knowing you will know that you will die by death. Your blood will be on your head. And the king made him swear on that day.</w:t>
      </w:r>
    </w:p>
    <w:p>
      <w:r>
        <w:rPr>
          <w:b/>
        </w:rPr>
        <w:t xml:space="preserve">38 </w:t>
      </w:r>
      <w:r>
        <w:t xml:space="preserve">And Shimei said to the king, Good is the word that you spoke, my lord king. Thus your servant will do. And Shimei sat in Jerusalem three years.</w:t>
      </w:r>
    </w:p>
    <w:p>
      <w:r>
        <w:rPr>
          <w:b/>
        </w:rPr>
        <w:t xml:space="preserve">39 </w:t>
      </w:r>
      <w:r>
        <w:t xml:space="preserve">And it came to be after three years that two slaves of Shimei ran away to Achish</w:t>
      </w:r>
      <w:r>
        <w:rPr>
          <w:rStyle w:val="FootnoteReference"/>
        </w:rPr>
        <w:footnoteReference w:id="6418"/>
      </w:r>
      <w:r>
        <w:t xml:space="preserve"> son of Maachah king of Gath, and it was reported to Shimei, saying, Behold, your slaves are in Gath.</w:t>
      </w:r>
    </w:p>
    <w:p>
      <w:r>
        <w:rPr>
          <w:b/>
        </w:rPr>
        <w:t xml:space="preserve">40 </w:t>
      </w:r>
      <w:r>
        <w:t xml:space="preserve">And Shimei rose and saddled his donkey and went to Gath to Achish to seek his slaves, and Shimei went and brought his slaves from Gath.</w:t>
      </w:r>
    </w:p>
    <w:p>
      <w:r>
        <w:rPr>
          <w:b/>
        </w:rPr>
        <w:t xml:space="preserve">41 </w:t>
      </w:r>
      <w:r>
        <w:t xml:space="preserve">And it was reported to Solomon, saying that Shimei went from Jerusalem to Gath and brought back his slaves.</w:t>
      </w:r>
    </w:p>
    <w:p>
      <w:r>
        <w:rPr>
          <w:b/>
        </w:rPr>
        <w:t xml:space="preserve">42 </w:t>
      </w:r>
      <w:r>
        <w:t xml:space="preserve">And the king sent and called Shimei and said to him, Did I not</w:t>
      </w:r>
      <w:r>
        <w:rPr>
          <w:rStyle w:val="FootnoteReference"/>
        </w:rPr>
        <w:footnoteReference w:id="6419"/>
      </w:r>
      <w:r>
        <w:t xml:space="preserve"> make you swear by the Lord and testify against you</w:t>
      </w:r>
      <w:r>
        <w:rPr>
          <w:rStyle w:val="FootnoteReference"/>
        </w:rPr>
        <w:footnoteReference w:id="6420"/>
      </w:r>
      <w:r>
        <w:t xml:space="preserve">, saying, On whatever day you go out from Jerusalem and go to the right or to the left, knowing you will know that you will die by death?</w:t>
      </w:r>
    </w:p>
    <w:p>
      <w:r>
        <w:rPr>
          <w:b/>
        </w:rPr>
        <w:t xml:space="preserve">43 </w:t>
      </w:r>
      <w:r>
        <w:t xml:space="preserve">And why did you not keep the oath of the Lord and the commandment</w:t>
      </w:r>
      <w:r>
        <w:rPr>
          <w:rStyle w:val="FootnoteReference"/>
        </w:rPr>
        <w:footnoteReference w:id="6421"/>
      </w:r>
      <w:r>
        <w:t xml:space="preserve"> that I commanded against you?</w:t>
      </w:r>
    </w:p>
    <w:p>
      <w:r>
        <w:rPr>
          <w:b/>
        </w:rPr>
        <w:t xml:space="preserve">44 </w:t>
      </w:r>
      <w:r>
        <w:t xml:space="preserve">And the king said to Shimei, You know all your evil, which your heart knew, what you did to David my father, and the Lord has returned your evil upon your head.</w:t>
      </w:r>
    </w:p>
    <w:p>
      <w:r>
        <w:rPr>
          <w:b/>
        </w:rPr>
        <w:t xml:space="preserve">45 </w:t>
      </w:r>
      <w:r>
        <w:t xml:space="preserve">And King Solomon is blessed</w:t>
      </w:r>
      <w:r>
        <w:rPr>
          <w:rStyle w:val="FootnoteReference"/>
        </w:rPr>
        <w:footnoteReference w:id="6422"/>
      </w:r>
      <w:r>
        <w:t xml:space="preserve">, and the throne of David will be prepared before the Lord forever.</w:t>
      </w:r>
    </w:p>
    <w:p>
      <w:r>
        <w:rPr>
          <w:b/>
        </w:rPr>
        <w:t xml:space="preserve">46 </w:t>
      </w:r>
      <w:r>
        <w:t xml:space="preserve">And King Solomon commanded Benaiah son of Jehoiada, and he went out and struck him and he died. And King Solomon was very understanding and wise, and Judah and Israel were exceedingly many, like the sand on the sea in multitude, eating and drinking and rejoicing. And Solomon was ruler over all the kingdoms, and they were bringing gifts and serving Solomon all the days of his life. And Solomon began opening the domains of Lebanon. And he built Thermai in the wilderness. And this was Solomon's provision: thirty cors of fine flour and sixty cors of beaten flour, ten choice calves and twenty pasture-fed cattle and one hundred sheep, besides deer and gazelles and choice fatted birds. For he was ruler over everything beyond the river, from Raphi to Gaza, over all the kings beyond the river. And he had peace from all his sides all around, and Judah and Israel lived trusting, each under his vine and under his fig tree, eating and drinking, from Dan to Beersheba, all the days of Solomon. And these were the chiefs of Solomon: Azariah</w:t>
      </w:r>
      <w:r>
        <w:rPr>
          <w:rStyle w:val="FootnoteReference"/>
        </w:rPr>
        <w:footnoteReference w:id="6423"/>
      </w:r>
      <w:r>
        <w:t xml:space="preserve"> son of Zadok the priest, and Orniou son of Nathan, chief of the overseers, and Edram over his house, and Shisha</w:t>
      </w:r>
      <w:r>
        <w:rPr>
          <w:rStyle w:val="FootnoteReference"/>
        </w:rPr>
        <w:footnoteReference w:id="6424"/>
      </w:r>
      <w:r>
        <w:t xml:space="preserve"> secretary, and Basa son of Achithalam recorder, and Abi</w:t>
      </w:r>
      <w:r>
        <w:rPr>
          <w:rStyle w:val="FootnoteReference"/>
        </w:rPr>
        <w:footnoteReference w:id="6425"/>
      </w:r>
      <w:r>
        <w:t xml:space="preserve"> son of Joab commander in chief, and Achire son of Edrai over the levies, and Benaiah son of Jehoiada over the court guard and over the brickwork, and Zachour son of Nathan the counselor. And Solomon had forty thousand brood mares for chariots and twelve thousand horsemen. And he was ruler in all the kingdoms from the river to the land of the foreigners and to the borders of Egypt. Solomon son of David reigned over Israel and Judah in Jerusalem.</w:t>
      </w:r>
      <w:r>
        <w:rPr>
          <w:rStyle w:val="FootnoteReference"/>
        </w:rPr>
        <w:footnoteReference w:id="6426"/>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2 </w:t>
      </w:r>
      <w:r>
        <w:t xml:space="preserve">Yet the people were burning incense on the high places, because a house was not yet built for the name of the Lord until now.</w:t>
      </w:r>
    </w:p>
    <w:p>
      <w:r>
        <w:rPr>
          <w:b/>
        </w:rPr>
        <w:t xml:space="preserve">3 </w:t>
      </w:r>
      <w:r>
        <w:t xml:space="preserve">And Solomon loved</w:t>
      </w:r>
      <w:r>
        <w:rPr>
          <w:rStyle w:val="FootnoteReference"/>
        </w:rPr>
        <w:footnoteReference w:id="6427"/>
      </w:r>
      <w:r>
        <w:t xml:space="preserve"> the Lord, walking in the ordinances of David his father, except that on the high places he was sacrificing and burning incense.</w:t>
      </w:r>
    </w:p>
    <w:p>
      <w:r>
        <w:rPr>
          <w:b/>
        </w:rPr>
        <w:t xml:space="preserve">4 </w:t>
      </w:r>
      <w:r>
        <w:t xml:space="preserve">And he rose and went to Gibeon</w:t>
      </w:r>
      <w:r>
        <w:rPr>
          <w:rStyle w:val="FootnoteReference"/>
        </w:rPr>
        <w:footnoteReference w:id="6428"/>
      </w:r>
      <w:r>
        <w:t xml:space="preserve"> to sacrifice there, because that was the highest and greatest high place. Solomon offered one thousand whole burnt offerings on the altar in Gibeon.</w:t>
      </w:r>
    </w:p>
    <w:p>
      <w:r>
        <w:rPr>
          <w:b/>
        </w:rPr>
        <w:t xml:space="preserve">5 </w:t>
      </w:r>
      <w:r>
        <w:t xml:space="preserve">And the Lord</w:t>
      </w:r>
      <w:r>
        <w:rPr>
          <w:rStyle w:val="FootnoteReference"/>
        </w:rPr>
        <w:footnoteReference w:id="6429"/>
      </w:r>
      <w:r>
        <w:t xml:space="preserve"> appeared to Solomon in sleep by night, and the Lord said to Solomon, Ask what request for yourself.</w:t>
      </w:r>
    </w:p>
    <w:p>
      <w:r>
        <w:rPr>
          <w:b/>
        </w:rPr>
        <w:t xml:space="preserve">6 </w:t>
      </w:r>
      <w:r>
        <w:t xml:space="preserve">And Solomon said, You did great mercy</w:t>
      </w:r>
      <w:r>
        <w:rPr>
          <w:rStyle w:val="FootnoteReference"/>
        </w:rPr>
        <w:footnoteReference w:id="6430"/>
      </w:r>
      <w:r>
        <w:t xml:space="preserve"> with your servant David my father, just as he walked before you in truth and in righteousness and in the uprightness of heart with you, and you kept for him this great mercy, to give his son upon his throne, as on this day.</w:t>
      </w:r>
    </w:p>
    <w:p>
      <w:r>
        <w:rPr>
          <w:b/>
        </w:rPr>
        <w:t xml:space="preserve">7 </w:t>
      </w:r>
      <w:r>
        <w:t xml:space="preserve">And now, Lord my God, you gave your servant instead of David my father, and I am a small child and do not know my going out and my coming in.</w:t>
      </w:r>
    </w:p>
    <w:p>
      <w:r>
        <w:rPr>
          <w:b/>
        </w:rPr>
        <w:t xml:space="preserve">8 </w:t>
      </w:r>
      <w:r>
        <w:t xml:space="preserve">And your servant is in the midst of your people whom you chose, a numerous people who will not be numbered.</w:t>
      </w:r>
    </w:p>
    <w:p>
      <w:r>
        <w:rPr>
          <w:b/>
        </w:rPr>
        <w:t xml:space="preserve">9 </w:t>
      </w:r>
      <w:r>
        <w:t xml:space="preserve">And you will give your servant a heart that hears</w:t>
      </w:r>
      <w:r>
        <w:rPr>
          <w:rStyle w:val="FootnoteReference"/>
        </w:rPr>
        <w:footnoteReference w:id="6431"/>
      </w:r>
      <w:r>
        <w:t xml:space="preserve"> and discerns your people in righteousness, to understand between good and evil. For who will be able to judge</w:t>
      </w:r>
      <w:r>
        <w:rPr>
          <w:rStyle w:val="FootnoteReference"/>
        </w:rPr>
        <w:footnoteReference w:id="6432"/>
      </w:r>
      <w:r>
        <w:t xml:space="preserve"> this heavy people of yours?</w:t>
      </w:r>
    </w:p>
    <w:p>
      <w:r>
        <w:rPr>
          <w:b/>
        </w:rPr>
        <w:t xml:space="preserve">10 </w:t>
      </w:r>
      <w:r>
        <w:t xml:space="preserve">And it was pleasing before the Lord that Solomon asked this word.</w:t>
      </w:r>
    </w:p>
    <w:p>
      <w:r>
        <w:rPr>
          <w:b/>
        </w:rPr>
        <w:t xml:space="preserve">11 </w:t>
      </w:r>
      <w:r>
        <w:t xml:space="preserve">And the Lord said to him, Because you asked from me this word and did not ask for yourself many days</w:t>
      </w:r>
      <w:r>
        <w:rPr>
          <w:rStyle w:val="FootnoteReference"/>
        </w:rPr>
        <w:footnoteReference w:id="6433"/>
      </w:r>
      <w:r>
        <w:t xml:space="preserve"> and did not ask riches and did not ask the lives of your enemies, but asked for yourself understanding to hear judgment,</w:t>
      </w:r>
    </w:p>
    <w:p>
      <w:r>
        <w:rPr>
          <w:b/>
        </w:rPr>
        <w:t xml:space="preserve">12 </w:t>
      </w:r>
      <w:r>
        <w:t xml:space="preserve">behold, I have done</w:t>
      </w:r>
      <w:r>
        <w:rPr>
          <w:rStyle w:val="FootnoteReference"/>
        </w:rPr>
        <w:footnoteReference w:id="6434"/>
      </w:r>
      <w:r>
        <w:t xml:space="preserve"> according to your word. Behold, I have given you a wise and understanding heart. One like you did not come to be before you, and after you none like you will arise.</w:t>
      </w:r>
    </w:p>
    <w:p>
      <w:r>
        <w:rPr>
          <w:b/>
        </w:rPr>
        <w:t xml:space="preserve">13 </w:t>
      </w:r>
      <w:r>
        <w:t xml:space="preserve">And what you did not ask I have given you too, both riches</w:t>
      </w:r>
      <w:r>
        <w:rPr>
          <w:rStyle w:val="FootnoteReference"/>
        </w:rPr>
        <w:footnoteReference w:id="6435"/>
      </w:r>
      <w:r>
        <w:t xml:space="preserve"> and glory, so that no man like you has come to be among kings.</w:t>
      </w:r>
    </w:p>
    <w:p>
      <w:r>
        <w:rPr>
          <w:b/>
        </w:rPr>
        <w:t xml:space="preserve">14 </w:t>
      </w:r>
      <w:r>
        <w:t xml:space="preserve">And if you walk in my way, keeping my commandments and my ordinances as David your father walked, I will multiply your days.</w:t>
      </w:r>
    </w:p>
    <w:p>
      <w:r>
        <w:rPr>
          <w:b/>
        </w:rPr>
        <w:t xml:space="preserve">15 </w:t>
      </w:r>
      <w:r>
        <w:t xml:space="preserve">And Solomon awoke</w:t>
      </w:r>
      <w:r>
        <w:rPr>
          <w:rStyle w:val="FootnoteReference"/>
        </w:rPr>
        <w:footnoteReference w:id="6436"/>
      </w:r>
      <w:r>
        <w:t xml:space="preserve">, and behold, it was a dream. And he rose and comes to Jerusalem and stood before the altar that was before the ark of the covenant of the Lord in Zion and offered whole burnt offerings and made peace offerings and made a great drinking-feast for himself and for all his servants.</w:t>
      </w:r>
    </w:p>
    <w:p>
      <w:r>
        <w:rPr>
          <w:b/>
        </w:rPr>
        <w:t xml:space="preserve">16 </w:t>
      </w:r>
      <w:r>
        <w:t xml:space="preserve">Then two prostitute women appeared to the king and stood</w:t>
      </w:r>
      <w:r>
        <w:rPr>
          <w:rStyle w:val="FootnoteReference"/>
        </w:rPr>
        <w:footnoteReference w:id="6437"/>
      </w:r>
      <w:r>
        <w:t xml:space="preserve"> before him.</w:t>
      </w:r>
    </w:p>
    <w:p>
      <w:r>
        <w:rPr>
          <w:b/>
        </w:rPr>
        <w:t xml:space="preserve">17 </w:t>
      </w:r>
      <w:r>
        <w:t xml:space="preserve">And the one woman said, In me, my lord, I and this woman live in one house, and we gave birth in the house.</w:t>
      </w:r>
    </w:p>
    <w:p>
      <w:r>
        <w:rPr>
          <w:b/>
        </w:rPr>
        <w:t xml:space="preserve">18 </w:t>
      </w:r>
      <w:r>
        <w:t xml:space="preserve">And it came to be on the third day after I gave birth, that this woman also gave birth, and we were together, and there was no one with us except the two of us in the house.</w:t>
      </w:r>
    </w:p>
    <w:p>
      <w:r>
        <w:rPr>
          <w:b/>
        </w:rPr>
        <w:t xml:space="preserve">19 </w:t>
      </w:r>
      <w:r>
        <w:t xml:space="preserve">And the son of this woman died in the night, because she lay on him.</w:t>
      </w:r>
    </w:p>
    <w:p>
      <w:r>
        <w:rPr>
          <w:b/>
        </w:rPr>
        <w:t xml:space="preserve">20 </w:t>
      </w:r>
      <w:r>
        <w:t xml:space="preserve">And she rose in the middle of the night and took</w:t>
      </w:r>
      <w:r>
        <w:rPr>
          <w:rStyle w:val="FootnoteReference"/>
        </w:rPr>
        <w:footnoteReference w:id="6438"/>
      </w:r>
      <w:r>
        <w:t xml:space="preserve"> my son from my embrace while your servant was sleeping and laid him in her bosom, and her dead son she laid in my bosom.</w:t>
      </w:r>
    </w:p>
    <w:p>
      <w:r>
        <w:rPr>
          <w:b/>
        </w:rPr>
        <w:t xml:space="preserve">21 </w:t>
      </w:r>
      <w:r>
        <w:t xml:space="preserve">And I rose in the morning to nurse my son, and he was dead. And behold, I considered him in the morning, and behold, he was not my son whom I bore.</w:t>
      </w:r>
    </w:p>
    <w:p>
      <w:r>
        <w:rPr>
          <w:b/>
        </w:rPr>
        <w:t xml:space="preserve">22 </w:t>
      </w:r>
      <w:r>
        <w:t xml:space="preserve">And the other woman said, No, but my son is the living one, and your son is the dead one. And they were speaking before the king.</w:t>
      </w:r>
    </w:p>
    <w:p>
      <w:r>
        <w:rPr>
          <w:b/>
        </w:rPr>
        <w:t xml:space="preserve">23 </w:t>
      </w:r>
      <w:r>
        <w:t xml:space="preserve">And the king said to them, You say, This is my living son, and this one's son is the dead one. And you say, No, but my son is the living one, and your son is the dead one.</w:t>
      </w:r>
    </w:p>
    <w:p>
      <w:r>
        <w:rPr>
          <w:b/>
        </w:rPr>
        <w:t xml:space="preserve">24 </w:t>
      </w:r>
      <w:r>
        <w:t xml:space="preserve">And the king said, Bring me a sword. And they brought the sword before the king.</w:t>
      </w:r>
    </w:p>
    <w:p>
      <w:r>
        <w:rPr>
          <w:b/>
        </w:rPr>
        <w:t xml:space="preserve">25 </w:t>
      </w:r>
      <w:r>
        <w:t xml:space="preserve">And the king said, Divide</w:t>
      </w:r>
      <w:r>
        <w:rPr>
          <w:rStyle w:val="FootnoteReference"/>
        </w:rPr>
        <w:footnoteReference w:id="6439"/>
      </w:r>
      <w:r>
        <w:t xml:space="preserve"> the living nursing child into two, and give half of him to this one and half of him to this one.</w:t>
      </w:r>
    </w:p>
    <w:p>
      <w:r>
        <w:rPr>
          <w:b/>
        </w:rPr>
        <w:t xml:space="preserve">26 </w:t>
      </w:r>
      <w:r>
        <w:t xml:space="preserve">And the woman whose son was the living one answered and said to the king, because her womb was troubled</w:t>
      </w:r>
      <w:r>
        <w:rPr>
          <w:rStyle w:val="FootnoteReference"/>
        </w:rPr>
        <w:footnoteReference w:id="6440"/>
      </w:r>
      <w:r>
        <w:t xml:space="preserve"> over her son, In me, my lord, give her</w:t>
      </w:r>
      <w:r>
        <w:rPr>
          <w:rStyle w:val="FootnoteReference"/>
        </w:rPr>
        <w:footnoteReference w:id="6441"/>
      </w:r>
      <w:r>
        <w:t xml:space="preserve"> the child, and by death do not put him to death. But the other said, Let him be neither mine nor hers. Divide him.</w:t>
      </w:r>
    </w:p>
    <w:p>
      <w:r>
        <w:rPr>
          <w:b/>
        </w:rPr>
        <w:t xml:space="preserve">27 </w:t>
      </w:r>
      <w:r>
        <w:t xml:space="preserve">And the king answered and said, Give the child to the one who said, Give him to her, and by death do not put him to death. She is his mother.</w:t>
      </w:r>
    </w:p>
    <w:p>
      <w:r>
        <w:rPr>
          <w:b/>
        </w:rPr>
        <w:t xml:space="preserve">28 </w:t>
      </w:r>
      <w:r>
        <w:t xml:space="preserve">And all Israel heard this judgment that the king judged, and they feared</w:t>
      </w:r>
      <w:r>
        <w:rPr>
          <w:rStyle w:val="FootnoteReference"/>
        </w:rPr>
        <w:footnoteReference w:id="6442"/>
      </w:r>
      <w:r>
        <w:t xml:space="preserve"> before the king, because they saw that understanding of God was in him for doing justice.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King Solomon was reigning over Israel.</w:t>
      </w:r>
    </w:p>
    <w:p>
      <w:r>
        <w:rPr>
          <w:b/>
        </w:rPr>
        <w:t xml:space="preserve">2 </w:t>
      </w:r>
      <w:r>
        <w:t xml:space="preserve">And these were his rulers: Azariah</w:t>
      </w:r>
      <w:r>
        <w:rPr>
          <w:rStyle w:val="FootnoteReference"/>
        </w:rPr>
        <w:footnoteReference w:id="6443"/>
      </w:r>
      <w:r>
        <w:t xml:space="preserve"> son of Zadok,</w:t>
      </w:r>
    </w:p>
    <w:p>
      <w:r>
        <w:rPr>
          <w:b/>
        </w:rPr>
        <w:t xml:space="preserve">3 </w:t>
      </w:r>
      <w:r>
        <w:t xml:space="preserve">and Elihoreph</w:t>
      </w:r>
      <w:r>
        <w:rPr>
          <w:rStyle w:val="FootnoteReference"/>
        </w:rPr>
        <w:footnoteReference w:id="6444"/>
      </w:r>
      <w:r>
        <w:t xml:space="preserve"> and Ahijah sons of Shisha</w:t>
      </w:r>
      <w:r>
        <w:rPr>
          <w:rStyle w:val="FootnoteReference"/>
        </w:rPr>
        <w:footnoteReference w:id="6445"/>
      </w:r>
      <w:r>
        <w:t xml:space="preserve">, secretaries, and Jehoshaphat son of Ahilud, recorder,</w:t>
      </w:r>
      <w:r>
        <w:rPr>
          <w:rStyle w:val="FootnoteReference"/>
        </w:rPr>
        <w:footnoteReference w:id="6446"/>
      </w:r>
    </w:p>
    <w:p>
      <w:r>
        <w:rPr>
          <w:b/>
        </w:rPr>
        <w:t xml:space="preserve">4 </w:t>
      </w:r>
      <w:r>
        <w:t xml:space="preserve">and Sadouch and Abiathar, priests,</w:t>
      </w:r>
    </w:p>
    <w:p>
      <w:r>
        <w:rPr>
          <w:b/>
        </w:rPr>
        <w:t xml:space="preserve">5 </w:t>
      </w:r>
      <w:r>
        <w:t xml:space="preserve">and Azariah</w:t>
      </w:r>
      <w:r>
        <w:rPr>
          <w:rStyle w:val="FootnoteReference"/>
        </w:rPr>
        <w:footnoteReference w:id="6447"/>
      </w:r>
      <w:r>
        <w:t xml:space="preserve"> son of Nathan</w:t>
      </w:r>
      <w:r>
        <w:rPr>
          <w:rStyle w:val="FootnoteReference"/>
        </w:rPr>
        <w:footnoteReference w:id="6448"/>
      </w:r>
      <w:r>
        <w:t xml:space="preserve"> over those appointed, and Zabud</w:t>
      </w:r>
      <w:r>
        <w:rPr>
          <w:rStyle w:val="FootnoteReference"/>
        </w:rPr>
        <w:footnoteReference w:id="6449"/>
      </w:r>
      <w:r>
        <w:t xml:space="preserve"> son of Nathan, companion of the king,</w:t>
      </w:r>
    </w:p>
    <w:p>
      <w:r>
        <w:rPr>
          <w:b/>
        </w:rPr>
        <w:t xml:space="preserve">6 </w:t>
      </w:r>
      <w:r>
        <w:t xml:space="preserve">and Achiel household steward, and Eliab son of Saph</w:t>
      </w:r>
      <w:r>
        <w:rPr>
          <w:rStyle w:val="FootnoteReference"/>
        </w:rPr>
        <w:footnoteReference w:id="6450"/>
      </w:r>
      <w:r>
        <w:t xml:space="preserve"> over the family line, and Adoniram</w:t>
      </w:r>
      <w:r>
        <w:rPr>
          <w:rStyle w:val="FootnoteReference"/>
        </w:rPr>
        <w:footnoteReference w:id="6451"/>
      </w:r>
      <w:r>
        <w:t xml:space="preserve"> son of Abda</w:t>
      </w:r>
      <w:r>
        <w:rPr>
          <w:rStyle w:val="FootnoteReference"/>
        </w:rPr>
        <w:footnoteReference w:id="6452"/>
      </w:r>
      <w:r>
        <w:t xml:space="preserve"> over the levies,</w:t>
      </w:r>
    </w:p>
    <w:p>
      <w:r>
        <w:rPr>
          <w:b/>
        </w:rPr>
        <w:t xml:space="preserve">7 </w:t>
      </w:r>
      <w:r>
        <w:t xml:space="preserve">and Solomon had twelve appointed officers over all Israel to provide for the king and his house. One month in the year it fell on each to provide.</w:t>
      </w:r>
    </w:p>
    <w:p>
      <w:r>
        <w:rPr>
          <w:b/>
        </w:rPr>
        <w:t xml:space="preserve">8 </w:t>
      </w:r>
      <w:r>
        <w:t xml:space="preserve">And these were their names: Ben-Hur</w:t>
      </w:r>
      <w:r>
        <w:rPr>
          <w:rStyle w:val="FootnoteReference"/>
        </w:rPr>
        <w:footnoteReference w:id="6453"/>
      </w:r>
      <w:r>
        <w:t xml:space="preserve"> in the hill country of Ephraim, one.</w:t>
      </w:r>
    </w:p>
    <w:p>
      <w:r>
        <w:rPr>
          <w:b/>
        </w:rPr>
        <w:t xml:space="preserve">9 </w:t>
      </w:r>
      <w:r>
        <w:t xml:space="preserve">Son of Rechab in Makaz</w:t>
      </w:r>
      <w:r>
        <w:rPr>
          <w:rStyle w:val="FootnoteReference"/>
        </w:rPr>
        <w:footnoteReference w:id="6454"/>
      </w:r>
      <w:r>
        <w:t xml:space="preserve"> and Shaalbim</w:t>
      </w:r>
      <w:r>
        <w:rPr>
          <w:rStyle w:val="FootnoteReference"/>
        </w:rPr>
        <w:footnoteReference w:id="6455"/>
      </w:r>
      <w:r>
        <w:t xml:space="preserve"> and Beth-shemesh and Elon as far as Elon-beth-hanan</w:t>
      </w:r>
      <w:r>
        <w:rPr>
          <w:rStyle w:val="FootnoteReference"/>
        </w:rPr>
        <w:footnoteReference w:id="6456"/>
      </w:r>
      <w:r>
        <w:t xml:space="preserve">, one.</w:t>
      </w:r>
      <w:r>
        <w:rPr>
          <w:rStyle w:val="FootnoteReference"/>
        </w:rPr>
        <w:footnoteReference w:id="6457"/>
      </w:r>
    </w:p>
    <w:p>
      <w:r>
        <w:rPr>
          <w:b/>
        </w:rPr>
        <w:t xml:space="preserve">10 </w:t>
      </w:r>
      <w:r>
        <w:t xml:space="preserve">Son of Esoth: Berbethnema, Lousamencha, and Hepher</w:t>
      </w:r>
      <w:r>
        <w:rPr>
          <w:rStyle w:val="FootnoteReference"/>
        </w:rPr>
        <w:footnoteReference w:id="6458"/>
      </w:r>
      <w:r>
        <w:t xml:space="preserve">.</w:t>
      </w:r>
    </w:p>
    <w:p>
      <w:r>
        <w:rPr>
          <w:b/>
        </w:rPr>
        <w:t xml:space="preserve">11 </w:t>
      </w:r>
      <w:r>
        <w:t xml:space="preserve">Abinadab</w:t>
      </w:r>
      <w:r>
        <w:rPr>
          <w:rStyle w:val="FootnoteReference"/>
        </w:rPr>
        <w:footnoteReference w:id="6459"/>
      </w:r>
      <w:r>
        <w:t xml:space="preserve"> and Anaphathi. The man of Taphath</w:t>
      </w:r>
      <w:r>
        <w:rPr>
          <w:rStyle w:val="FootnoteReference"/>
        </w:rPr>
        <w:footnoteReference w:id="6460"/>
      </w:r>
      <w:r>
        <w:t xml:space="preserve">, daughter of Solomon, was his wife, one.</w:t>
      </w:r>
    </w:p>
    <w:p>
      <w:r>
        <w:rPr>
          <w:b/>
        </w:rPr>
        <w:t xml:space="preserve">12 </w:t>
      </w:r>
      <w:r>
        <w:t xml:space="preserve">Baana</w:t>
      </w:r>
      <w:r>
        <w:rPr>
          <w:rStyle w:val="FootnoteReference"/>
        </w:rPr>
        <w:footnoteReference w:id="6461"/>
      </w:r>
      <w:r>
        <w:t xml:space="preserve"> son of Ahilud: Taanach</w:t>
      </w:r>
      <w:r>
        <w:rPr>
          <w:rStyle w:val="FootnoteReference"/>
        </w:rPr>
        <w:footnoteReference w:id="6462"/>
      </w:r>
      <w:r>
        <w:t xml:space="preserve"> and Megiddo</w:t>
      </w:r>
      <w:r>
        <w:rPr>
          <w:rStyle w:val="FootnoteReference"/>
        </w:rPr>
        <w:footnoteReference w:id="6463"/>
      </w:r>
      <w:r>
        <w:t xml:space="preserve"> and all the house of San that was beside Beth-shean</w:t>
      </w:r>
      <w:r>
        <w:rPr>
          <w:rStyle w:val="FootnoteReference"/>
        </w:rPr>
        <w:footnoteReference w:id="6464"/>
      </w:r>
      <w:r>
        <w:t xml:space="preserve"> below Esrae, from Baisaphoud to Abelmeholah</w:t>
      </w:r>
      <w:r>
        <w:rPr>
          <w:rStyle w:val="FootnoteReference"/>
        </w:rPr>
        <w:footnoteReference w:id="6465"/>
      </w:r>
      <w:r>
        <w:t xml:space="preserve"> to Maeber Loukam, one.</w:t>
      </w:r>
      <w:r>
        <w:rPr>
          <w:rStyle w:val="FootnoteReference"/>
        </w:rPr>
        <w:footnoteReference w:id="6466"/>
      </w:r>
    </w:p>
    <w:p>
      <w:r>
        <w:rPr>
          <w:b/>
        </w:rPr>
        <w:t xml:space="preserve">13 </w:t>
      </w:r>
      <w:r>
        <w:t xml:space="preserve">Son of Gibbar</w:t>
      </w:r>
      <w:r>
        <w:rPr>
          <w:rStyle w:val="FootnoteReference"/>
        </w:rPr>
        <w:footnoteReference w:id="6467"/>
      </w:r>
      <w:r>
        <w:t xml:space="preserve"> in Ramath Gilead. To this one belonged the line-measure of Eregaba</w:t>
      </w:r>
      <w:r>
        <w:rPr>
          <w:rStyle w:val="FootnoteReference"/>
        </w:rPr>
        <w:footnoteReference w:id="6468"/>
      </w:r>
      <w:r>
        <w:t xml:space="preserve"> that is in Bashan, sixty great walled cities and bronze bars.</w:t>
      </w:r>
    </w:p>
    <w:p>
      <w:r>
        <w:rPr>
          <w:b/>
        </w:rPr>
        <w:t xml:space="preserve">14 </w:t>
      </w:r>
      <w:r>
        <w:t xml:space="preserve">Ahinadab</w:t>
      </w:r>
      <w:r>
        <w:rPr>
          <w:rStyle w:val="FootnoteReference"/>
        </w:rPr>
        <w:footnoteReference w:id="6469"/>
      </w:r>
      <w:r>
        <w:t xml:space="preserve"> son of Eshcol in Mahanaim</w:t>
      </w:r>
      <w:r>
        <w:rPr>
          <w:rStyle w:val="FootnoteReference"/>
        </w:rPr>
        <w:footnoteReference w:id="6470"/>
      </w:r>
      <w:r>
        <w:t xml:space="preserve">, one.</w:t>
      </w:r>
    </w:p>
    <w:p>
      <w:r>
        <w:rPr>
          <w:b/>
        </w:rPr>
        <w:t xml:space="preserve">15 </w:t>
      </w:r>
      <w:r>
        <w:t xml:space="preserve">Ahimaaz in Naphtali</w:t>
      </w:r>
      <w:r>
        <w:rPr>
          <w:rStyle w:val="FootnoteReference"/>
        </w:rPr>
        <w:footnoteReference w:id="6471"/>
      </w:r>
      <w:r>
        <w:t xml:space="preserve">, and he took Basemmath daughter of Solomon as wife, one.</w:t>
      </w:r>
    </w:p>
    <w:p>
      <w:r>
        <w:rPr>
          <w:b/>
        </w:rPr>
        <w:t xml:space="preserve">16 </w:t>
      </w:r>
      <w:r>
        <w:t xml:space="preserve">Baana son of Cushi in Mahlahth, one.</w:t>
      </w:r>
    </w:p>
    <w:p>
      <w:r>
        <w:rPr>
          <w:b/>
        </w:rPr>
        <w:t xml:space="preserve">17 </w:t>
      </w:r>
      <w:r>
        <w:t xml:space="preserve">Shimei son of Elah in Benjamin.</w:t>
      </w:r>
    </w:p>
    <w:p>
      <w:r>
        <w:rPr>
          <w:b/>
        </w:rPr>
        <w:t xml:space="preserve">18 </w:t>
      </w:r>
      <w:r>
        <w:t xml:space="preserve">Gibbar son of Adai</w:t>
      </w:r>
      <w:r>
        <w:rPr>
          <w:rStyle w:val="FootnoteReference"/>
        </w:rPr>
        <w:footnoteReference w:id="6472"/>
      </w:r>
      <w:r>
        <w:t xml:space="preserve"> in the land of Gad, land of Seon king of Heshbon and Og king of Bashan, and Nasiph one</w:t>
      </w:r>
      <w:r>
        <w:rPr>
          <w:rStyle w:val="FootnoteReference"/>
        </w:rPr>
        <w:footnoteReference w:id="6473"/>
      </w:r>
      <w:r>
        <w:t xml:space="preserve"> in the land of Judah.</w:t>
      </w:r>
    </w:p>
    <w:p>
      <w:r>
        <w:rPr>
          <w:b/>
        </w:rPr>
        <w:t xml:space="preserve">19 </w:t>
      </w:r>
      <w:r>
        <w:t xml:space="preserve">Jehoshaphat son of Phouasoud in Issachar.</w:t>
      </w:r>
      <w:r>
        <w:rPr>
          <w:rStyle w:val="FootnoteReference"/>
        </w:rPr>
        <w:footnoteReference w:id="6474"/>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the appointed officers were thus providing for King Solomon and all the charges upon the table of the king, each in his month. They did not alter a word. And they were bringing the barley and the straw for the horses and the chariots to the place where the king might be, each according to his arrangement.</w:t>
      </w:r>
      <w:r>
        <w:rPr>
          <w:rStyle w:val="FootnoteReference"/>
        </w:rPr>
        <w:footnoteReference w:id="6475"/>
      </w:r>
    </w:p>
    <w:p>
      <w:r>
        <w:rPr>
          <w:b/>
        </w:rPr>
        <w:t xml:space="preserve">2 </w:t>
      </w:r>
      <w:r>
        <w:t xml:space="preserve">And these were the needs for Solomon in one day: thirty cors of fine flour and sixty cors of beaten flour,</w:t>
      </w:r>
      <w:r>
        <w:rPr>
          <w:rStyle w:val="FootnoteReference"/>
        </w:rPr>
        <w:footnoteReference w:id="6476"/>
      </w:r>
      <w:r>
        <w:t xml:space="preserve"/>
      </w:r>
    </w:p>
    <w:p>
      <w:r>
        <w:rPr>
          <w:b/>
        </w:rPr>
        <w:t xml:space="preserve">3 </w:t>
      </w:r>
      <w:r>
        <w:t xml:space="preserve">and ten choice calves and twenty pasture-fed cattle and one hundred sheep, besides deer and gazelles and choice fatted birds.</w:t>
      </w:r>
      <w:r>
        <w:rPr>
          <w:rStyle w:val="FootnoteReference"/>
        </w:rPr>
        <w:footnoteReference w:id="6477"/>
      </w:r>
    </w:p>
    <w:p>
      <w:r>
        <w:rPr>
          <w:b/>
        </w:rPr>
        <w:t xml:space="preserve">4 </w:t>
      </w:r>
      <w:r>
        <w:t xml:space="preserve">For he was ruler beyond the river, and he had peace from all sides all around.</w:t>
      </w:r>
    </w:p>
    <w:p>
      <w:r>
        <w:rPr>
          <w:b/>
        </w:rPr>
        <w:t xml:space="preserve">9 </w:t>
      </w:r>
      <w:r>
        <w:t xml:space="preserve">And the Lord gave understanding to Solomon</w:t>
      </w:r>
      <w:r>
        <w:rPr>
          <w:rStyle w:val="FootnoteReference"/>
        </w:rPr>
        <w:footnoteReference w:id="6478"/>
      </w:r>
      <w:r>
        <w:t xml:space="preserve"> and very great wisdom and breadth of heart like the sand that is beside the sea.</w:t>
      </w:r>
    </w:p>
    <w:p>
      <w:r>
        <w:rPr>
          <w:b/>
        </w:rPr>
        <w:t xml:space="preserve">10 </w:t>
      </w:r>
      <w:r>
        <w:t xml:space="preserve">And Solomon was greatly multiplied in understanding beyond the understanding of all the ancient men and beyond all the wise of Egypt.</w:t>
      </w:r>
      <w:r>
        <w:rPr>
          <w:rStyle w:val="FootnoteReference"/>
        </w:rPr>
        <w:footnoteReference w:id="6479"/>
      </w:r>
    </w:p>
    <w:p>
      <w:r>
        <w:rPr>
          <w:b/>
        </w:rPr>
        <w:t xml:space="preserve">11 </w:t>
      </w:r>
      <w:r>
        <w:t xml:space="preserve">And he became wiser than all the men, wiser than Ethan the Ezrite and Heman and Chalcala and Darda, sons of Mal.</w:t>
      </w:r>
      <w:r>
        <w:rPr>
          <w:rStyle w:val="FootnoteReference"/>
        </w:rPr>
        <w:footnoteReference w:id="6480"/>
      </w:r>
      <w:r>
        <w:t xml:space="preserve"/>
      </w:r>
      <w:r>
        <w:rPr>
          <w:rStyle w:val="FootnoteReference"/>
        </w:rPr>
        <w:footnoteReference w:id="6481"/>
      </w:r>
      <w:r>
        <w:rPr>
          <w:rStyle w:val="FootnoteReference"/>
        </w:rPr>
        <w:footnoteReference w:id="6482"/>
      </w:r>
      <w:r>
        <w:rPr>
          <w:rStyle w:val="FootnoteReference"/>
        </w:rPr>
        <w:footnoteReference w:id="6483"/>
      </w:r>
    </w:p>
    <w:p>
      <w:r>
        <w:rPr>
          <w:b/>
        </w:rPr>
        <w:t xml:space="preserve">12 </w:t>
      </w:r>
      <w:r>
        <w:t xml:space="preserve">And Solomon spoke three thousand parables, and his songs were five thousand.</w:t>
      </w:r>
      <w:r>
        <w:rPr>
          <w:rStyle w:val="FootnoteReference"/>
        </w:rPr>
        <w:footnoteReference w:id="6484"/>
      </w:r>
      <w:r>
        <w:t xml:space="preserve"/>
      </w:r>
    </w:p>
    <w:p>
      <w:r>
        <w:rPr>
          <w:b/>
        </w:rPr>
        <w:t xml:space="preserve">13 </w:t>
      </w:r>
      <w:r>
        <w:t xml:space="preserve">And he spoke concerning trees, from the cedar in Lebanon even to the hyssop that comes out through the wall, and he spoke concerning cattle and concerning birds and concerning creeping things and concerning fish.</w:t>
      </w:r>
    </w:p>
    <w:p>
      <w:r>
        <w:rPr>
          <w:b/>
        </w:rPr>
        <w:t xml:space="preserve">14 </w:t>
      </w:r>
      <w:r>
        <w:t xml:space="preserve">And all the peoples were coming to hear the wisdom of Solomon, and he was receiving gifts from all the kings of the earth, all who were hearing his wisdom. And Solomon took the daughter of Pharaoh for himself as wife and brought her into the City of David until he finished the house of the Lord and his own house and the wall of Jerusalem. Then Pharaoh king of Egypt went up and took Gezer beforehand and burned it, and the Canaanite who lived in Mergab, and Pharaoh gave them as gifts to his daughter, wife of Solomon, and Solomon built Gezer.</w:t>
      </w:r>
      <w:r>
        <w:rPr>
          <w:rStyle w:val="FootnoteReference"/>
        </w:rPr>
        <w:footnoteReference w:id="6485"/>
      </w:r>
    </w:p>
    <w:p>
      <w:r>
        <w:rPr>
          <w:b/>
        </w:rPr>
        <w:t xml:space="preserve">15 </w:t>
      </w:r>
      <w:r>
        <w:t xml:space="preserve">And Hiram king of Tyre sent his servants to anoint Solomon in place of David</w:t>
      </w:r>
      <w:r>
        <w:rPr>
          <w:rStyle w:val="FootnoteReference"/>
        </w:rPr>
        <w:footnoteReference w:id="6486"/>
      </w:r>
      <w:r>
        <w:t xml:space="preserve"> his father, because Hiram loved David all his days.</w:t>
      </w:r>
    </w:p>
    <w:p>
      <w:r>
        <w:rPr>
          <w:b/>
        </w:rPr>
        <w:t xml:space="preserve">16 </w:t>
      </w:r>
      <w:r>
        <w:t xml:space="preserve">And Solomon sent to Hiram, saying,</w:t>
      </w:r>
    </w:p>
    <w:p>
      <w:r>
        <w:rPr>
          <w:b/>
        </w:rPr>
        <w:t xml:space="preserve">17 </w:t>
      </w:r>
      <w:r>
        <w:t xml:space="preserve">You know David my father, that he was not able to build a house for the name of the Lord my God because of the wars that encircled him, until the Lord gave them under the soles of his feet.</w:t>
      </w:r>
      <w:r>
        <w:rPr>
          <w:rStyle w:val="FootnoteReference"/>
        </w:rPr>
        <w:footnoteReference w:id="6487"/>
      </w:r>
    </w:p>
    <w:p>
      <w:r>
        <w:rPr>
          <w:b/>
        </w:rPr>
        <w:t xml:space="preserve">18 </w:t>
      </w:r>
      <w:r>
        <w:t xml:space="preserve">And now the Lord my God has given me rest all around. There is no adversary, and there is no evil encounter.</w:t>
      </w:r>
      <w:r>
        <w:rPr>
          <w:rStyle w:val="FootnoteReference"/>
        </w:rPr>
        <w:footnoteReference w:id="6488"/>
      </w:r>
      <w:r>
        <w:t xml:space="preserve"/>
      </w:r>
    </w:p>
    <w:p>
      <w:r>
        <w:rPr>
          <w:b/>
        </w:rPr>
        <w:t xml:space="preserve">19 </w:t>
      </w:r>
      <w:r>
        <w:t xml:space="preserve">And behold, I say that I will build a house for the name of the Lord my God, just as the Lord God spoke to David my father, saying, Your son, whom I will give instead of you upon your throne, he will build the house for my name.</w:t>
      </w:r>
    </w:p>
    <w:p>
      <w:r>
        <w:rPr>
          <w:b/>
        </w:rPr>
        <w:t xml:space="preserve">20 </w:t>
      </w:r>
      <w:r>
        <w:t xml:space="preserve">And now command, and let them cut wood for me from Lebanon. And behold, my servants are with your servants, and I will give you the wage of your service according to all that you say, because you know that there is no one among us knowing how to cut wood like the Sidonians.</w:t>
      </w:r>
    </w:p>
    <w:p>
      <w:r>
        <w:rPr>
          <w:b/>
        </w:rPr>
        <w:t xml:space="preserve">21 </w:t>
      </w:r>
      <w:r>
        <w:t xml:space="preserve">And it came to be when Hiram heard the words of Solomon, he rejoiced greatly and said, Blessed is God today, who gave to David a wise son over this many people.</w:t>
      </w:r>
    </w:p>
    <w:p>
      <w:r>
        <w:rPr>
          <w:b/>
        </w:rPr>
        <w:t xml:space="preserve">22 </w:t>
      </w:r>
      <w:r>
        <w:t xml:space="preserve">And Hiram sent to Solomon, saying, I have heard concerning all that you sent to me. I will do all your desire concerning cedar wood and fir wood.</w:t>
      </w:r>
    </w:p>
    <w:p>
      <w:r>
        <w:rPr>
          <w:b/>
        </w:rPr>
        <w:t xml:space="preserve">23 </w:t>
      </w:r>
      <w:r>
        <w:t xml:space="preserve">My servants will bring them down from Lebanon to the sea. I will place them in rafts to the place that you send to me, and I will shake them out there, and you will take them. And you will do my will by giving bread to my house.</w:t>
      </w:r>
    </w:p>
    <w:p>
      <w:r>
        <w:rPr>
          <w:b/>
        </w:rPr>
        <w:t xml:space="preserve">24 </w:t>
      </w:r>
      <w:r>
        <w:t xml:space="preserve">And Hiram was giving cedars to Solomon and all his desire.</w:t>
      </w:r>
    </w:p>
    <w:p>
      <w:r>
        <w:rPr>
          <w:b/>
        </w:rPr>
        <w:t xml:space="preserve">25 </w:t>
      </w:r>
      <w:r>
        <w:t xml:space="preserve">And Solomon gave to Hiram twenty thousand cors of wheat and provision for his house and twenty thousand baths of beaten oil. According to this Solomon was giving to Hiram year by year.</w:t>
      </w:r>
    </w:p>
    <w:p>
      <w:r>
        <w:rPr>
          <w:b/>
        </w:rPr>
        <w:t xml:space="preserve">26 </w:t>
      </w:r>
      <w:r>
        <w:t xml:space="preserve">And the Lord gave wisdom to Solomon just as he spoke to him, and there was peace between Hiram and between Solomon, and they cut a covenant between themselves.</w:t>
      </w:r>
    </w:p>
    <w:p>
      <w:r>
        <w:rPr>
          <w:b/>
        </w:rPr>
        <w:t xml:space="preserve">27 </w:t>
      </w:r>
      <w:r>
        <w:t xml:space="preserve">And King Solomon raised a levy from all Israel, and the levy was thirty thousand men.</w:t>
      </w:r>
    </w:p>
    <w:p>
      <w:r>
        <w:rPr>
          <w:b/>
        </w:rPr>
        <w:t xml:space="preserve">28 </w:t>
      </w:r>
      <w:r>
        <w:t xml:space="preserve">And he sent them to Lebanon, ten thousand in the month by turns. One month they were in Lebanon and two months in their houses, and Adoniram was over the levy.</w:t>
      </w:r>
    </w:p>
    <w:p>
      <w:r>
        <w:rPr>
          <w:b/>
        </w:rPr>
        <w:t xml:space="preserve">29 </w:t>
      </w:r>
      <w:r>
        <w:t xml:space="preserve">And Solomon had seventy thousand carrying burdens and eighty thousand stonecutters in the mountain,</w:t>
      </w:r>
    </w:p>
    <w:p>
      <w:r>
        <w:rPr>
          <w:b/>
        </w:rPr>
        <w:t xml:space="preserve">30 </w:t>
      </w:r>
      <w:r>
        <w:t xml:space="preserve">except for the chiefs appointed over the works of Solomon, three thousand six hundred overseers doing the works.</w:t>
      </w:r>
    </w:p>
    <w:p>
      <w:r>
        <w:rPr>
          <w:b/>
        </w:rPr>
        <w:t xml:space="preserve">32 </w:t>
      </w:r>
      <w:r>
        <w:t xml:space="preserve">And they prepared the stones and the timbers for three years.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it came</w:t>
      </w:r>
      <w:r>
        <w:rPr>
          <w:rStyle w:val="FootnoteReference"/>
        </w:rPr>
        <w:footnoteReference w:id="6489"/>
      </w:r>
      <w:r>
        <w:t xml:space="preserve"> to be in the four hundred and fortieth year of the coming out of the sons of Israel from Egypt, in the fourth year, in the second month, of King Solomon reigning over Israel. And the king commanded, and they took great costly stones for the foundation of the house, and unhewn stones. And the sons of Solomon and the sons of Hiram dressed them and laid them. In the fourth year he founded the house of the Lord in the month Niso, the second month. In the eleventh year, in the month Baal, this is the eighth month, the house was completed in every word of it and in every arrangement of it.</w:t>
      </w:r>
      <w:r>
        <w:rPr>
          <w:rStyle w:val="FootnoteReference"/>
        </w:rPr>
        <w:footnoteReference w:id="6490"/>
      </w:r>
    </w:p>
    <w:p>
      <w:r>
        <w:rPr>
          <w:b/>
        </w:rPr>
        <w:t xml:space="preserve">2 </w:t>
      </w:r>
      <w:r>
        <w:t xml:space="preserve">And the house that King Solomon built to the Lord: forty cubits was its length and twenty cubits in breadth and twenty-five cubits in height.</w:t>
      </w:r>
    </w:p>
    <w:p>
      <w:r>
        <w:rPr>
          <w:b/>
        </w:rPr>
        <w:t xml:space="preserve">3 </w:t>
      </w:r>
      <w:r>
        <w:t xml:space="preserve">And the porch before the nave was twenty cubits in length, according to the breadth of the house, and its breadth before the house was ten cubits. And he built the house and finished it.</w:t>
      </w:r>
    </w:p>
    <w:p>
      <w:r>
        <w:rPr>
          <w:b/>
        </w:rPr>
        <w:t xml:space="preserve">4 </w:t>
      </w:r>
      <w:r>
        <w:t xml:space="preserve">And he made to the house windows looking out, concealed.</w:t>
      </w:r>
    </w:p>
    <w:p>
      <w:r>
        <w:rPr>
          <w:b/>
        </w:rPr>
        <w:t xml:space="preserve">5 </w:t>
      </w:r>
      <w:r>
        <w:t xml:space="preserve">And he set beam-structures upon the wall of the house all around, for the nave and for the debir, and he made side chambers all around.</w:t>
      </w:r>
    </w:p>
    <w:p>
      <w:r>
        <w:rPr>
          <w:b/>
        </w:rPr>
        <w:t xml:space="preserve">6 </w:t>
      </w:r>
      <w:r>
        <w:t xml:space="preserve">The lower side chamber had a width of five cubits, and the middle six, and the third seven cubits in width, because he gave offsets to the house all around outside the house, so that they would not seize the walls of the house.</w:t>
      </w:r>
      <w:r>
        <w:rPr>
          <w:rStyle w:val="FootnoteReference"/>
        </w:rPr>
        <w:footnoteReference w:id="6491"/>
      </w:r>
    </w:p>
    <w:p>
      <w:r>
        <w:rPr>
          <w:b/>
        </w:rPr>
        <w:t xml:space="preserve">7 </w:t>
      </w:r>
      <w:r>
        <w:t xml:space="preserve">And the house, while it was being built, was built with quarry-cut prepared stones, and hammer and axe and every iron tool was not heard</w:t>
      </w:r>
      <w:r>
        <w:rPr>
          <w:rStyle w:val="FootnoteReference"/>
        </w:rPr>
        <w:footnoteReference w:id="6492"/>
      </w:r>
      <w:r>
        <w:t xml:space="preserve"> in the house while it was being built.</w:t>
      </w:r>
    </w:p>
    <w:p>
      <w:r>
        <w:rPr>
          <w:b/>
        </w:rPr>
        <w:t xml:space="preserve">8 </w:t>
      </w:r>
      <w:r>
        <w:t xml:space="preserve">And the doorway of the lower side chamber was under the shoulder of the house on the right side, and a winding ascent led to the middle and from the middle to the third stories.</w:t>
      </w:r>
    </w:p>
    <w:p>
      <w:r>
        <w:rPr>
          <w:b/>
        </w:rPr>
        <w:t xml:space="preserve">9 </w:t>
      </w:r>
      <w:r>
        <w:t xml:space="preserve">And he built</w:t>
      </w:r>
      <w:r>
        <w:rPr>
          <w:rStyle w:val="FootnoteReference"/>
        </w:rPr>
        <w:footnoteReference w:id="6493"/>
      </w:r>
      <w:r>
        <w:t xml:space="preserve"> the house and finished it and paneled the house with cedars.</w:t>
      </w:r>
    </w:p>
    <w:p>
      <w:r>
        <w:rPr>
          <w:b/>
        </w:rPr>
        <w:t xml:space="preserve">10 </w:t>
      </w:r>
      <w:r>
        <w:t xml:space="preserve">And he built the bonds across the whole house, five cubits its height, and he fastened the bond with cedar woods.</w:t>
      </w:r>
    </w:p>
    <w:p>
      <w:r>
        <w:rPr>
          <w:b/>
        </w:rPr>
        <w:t xml:space="preserve">15 </w:t>
      </w:r>
      <w:r>
        <w:t xml:space="preserve">And he built the walls of the house with cedar woods, from the floor of the house to the rafters and to the walls, and he paneled them continuously with woods</w:t>
      </w:r>
      <w:r>
        <w:rPr>
          <w:rStyle w:val="FootnoteReference"/>
        </w:rPr>
        <w:footnoteReference w:id="6494"/>
      </w:r>
      <w:r>
        <w:t xml:space="preserve"> inside, and he encircled the inside of the house with pine boards.</w:t>
      </w:r>
    </w:p>
    <w:p>
      <w:r>
        <w:rPr>
          <w:b/>
        </w:rPr>
        <w:t xml:space="preserve">16 </w:t>
      </w:r>
      <w:r>
        <w:t xml:space="preserve">And he built the twenty cubits from the end of the house, the one side from the floor to the rafters, and he made the debir from it as the holy of holies.</w:t>
      </w:r>
    </w:p>
    <w:p>
      <w:r>
        <w:rPr>
          <w:b/>
        </w:rPr>
        <w:t xml:space="preserve">17 </w:t>
      </w:r>
      <w:r>
        <w:t xml:space="preserve">And the nave in front was forty cubits.</w:t>
      </w:r>
    </w:p>
    <w:p>
      <w:r>
        <w:rPr>
          <w:b/>
        </w:rPr>
        <w:t xml:space="preserve">19 </w:t>
      </w:r>
      <w:r>
        <w:t xml:space="preserve">The debir was in the middle of the house within, to place there the ark of the covenant of the Lord.</w:t>
      </w:r>
    </w:p>
    <w:p>
      <w:r>
        <w:rPr>
          <w:b/>
        </w:rPr>
        <w:t xml:space="preserve">20 </w:t>
      </w:r>
      <w:r>
        <w:t xml:space="preserve">Twenty cubits</w:t>
      </w:r>
      <w:r>
        <w:rPr>
          <w:rStyle w:val="FootnoteReference"/>
        </w:rPr>
        <w:footnoteReference w:id="6495"/>
      </w:r>
      <w:r>
        <w:t xml:space="preserve"> was its length and twenty cubits its breadth and twenty cubits its height, and he encircled it with shut-up gold and made an altar.</w:t>
      </w:r>
    </w:p>
    <w:p>
      <w:r>
        <w:rPr>
          <w:b/>
        </w:rPr>
        <w:t xml:space="preserve">21 </w:t>
      </w:r>
      <w:r>
        <w:t xml:space="preserve">It was before the face of the debir, and he encircled it with gold.</w:t>
      </w:r>
    </w:p>
    <w:p>
      <w:r>
        <w:rPr>
          <w:b/>
        </w:rPr>
        <w:t xml:space="preserve">22 </w:t>
      </w:r>
      <w:r>
        <w:t xml:space="preserve">And the whole house he encircled with gold until the completion of the whole house.</w:t>
      </w:r>
    </w:p>
    <w:p>
      <w:r>
        <w:rPr>
          <w:b/>
        </w:rPr>
        <w:t xml:space="preserve">23 </w:t>
      </w:r>
      <w:r>
        <w:t xml:space="preserve">And he made in the debir two cheroubin, ten cubits in size, proportioned.</w:t>
      </w:r>
    </w:p>
    <w:p>
      <w:r>
        <w:rPr>
          <w:b/>
        </w:rPr>
        <w:t xml:space="preserve">24 </w:t>
      </w:r>
      <w:r>
        <w:t xml:space="preserve">And five cubits was one wing of the one cheroub and five cubits its second wing, ten cubits from part of its wing to part of its wing.</w:t>
      </w:r>
    </w:p>
    <w:p>
      <w:r>
        <w:rPr>
          <w:b/>
        </w:rPr>
        <w:t xml:space="preserve">25 </w:t>
      </w:r>
      <w:r>
        <w:t xml:space="preserve">So too for the second cheroub, one measure, one completion for both.</w:t>
      </w:r>
    </w:p>
    <w:p>
      <w:r>
        <w:rPr>
          <w:b/>
        </w:rPr>
        <w:t xml:space="preserve">26 </w:t>
      </w:r>
      <w:r>
        <w:t xml:space="preserve">And the height of the one cheroub was ten cubits, and so the second cheroub.</w:t>
      </w:r>
    </w:p>
    <w:p>
      <w:r>
        <w:rPr>
          <w:b/>
        </w:rPr>
        <w:t xml:space="preserve">27 </w:t>
      </w:r>
      <w:r>
        <w:t xml:space="preserve">And he put both the cheroubin in the middle of the innermost house, and they spread out their wings, and one wing touched the wall and one wing touched the second wall, and their wings in the middle of the house touched wing to wing</w:t>
      </w:r>
      <w:r>
        <w:rPr>
          <w:rStyle w:val="FootnoteReference"/>
        </w:rPr>
        <w:footnoteReference w:id="6496"/>
      </w:r>
      <w:r>
        <w:t xml:space="preserve">.</w:t>
      </w:r>
    </w:p>
    <w:p>
      <w:r>
        <w:rPr>
          <w:b/>
        </w:rPr>
        <w:t xml:space="preserve">28 </w:t>
      </w:r>
      <w:r>
        <w:t xml:space="preserve">And he encircled the cheroubin with gold.</w:t>
      </w:r>
    </w:p>
    <w:p>
      <w:r>
        <w:rPr>
          <w:b/>
        </w:rPr>
        <w:t xml:space="preserve">29 </w:t>
      </w:r>
      <w:r>
        <w:t xml:space="preserve">And all the walls of the house all around he engraved with a stylus, cheroubin and palms, the inner and the outer.</w:t>
      </w:r>
    </w:p>
    <w:p>
      <w:r>
        <w:rPr>
          <w:b/>
        </w:rPr>
        <w:t xml:space="preserve">30 </w:t>
      </w:r>
      <w:r>
        <w:t xml:space="preserve">And the floor of the house he encircled with gold, of the innermost and of the outermost.</w:t>
      </w:r>
    </w:p>
    <w:p>
      <w:r>
        <w:rPr>
          <w:b/>
        </w:rPr>
        <w:t xml:space="preserve">31 </w:t>
      </w:r>
      <w:r>
        <w:t xml:space="preserve">And for the doorway of the debir he made doors</w:t>
      </w:r>
      <w:r>
        <w:rPr>
          <w:rStyle w:val="FootnoteReference"/>
        </w:rPr>
        <w:footnoteReference w:id="6497"/>
      </w:r>
      <w:r>
        <w:t xml:space="preserve"> of juniper wood, and the doorposts were fivefold.</w:t>
      </w:r>
    </w:p>
    <w:p>
      <w:r>
        <w:rPr>
          <w:b/>
        </w:rPr>
        <w:t xml:space="preserve">32 </w:t>
      </w:r>
      <w:r>
        <w:t xml:space="preserve">And two doors of pine wood, and carved upon them were engraved cheroubin and palms and spread petals, and he encircled them with gold, and the gold came down upon the cheroubin and upon the palms.</w:t>
      </w:r>
    </w:p>
    <w:p>
      <w:r>
        <w:rPr>
          <w:b/>
        </w:rPr>
        <w:t xml:space="preserve">33 </w:t>
      </w:r>
      <w:r>
        <w:t xml:space="preserve">And thus he made for the gateway of the nave doorposts of juniper wood, four-sided porches.</w:t>
      </w:r>
    </w:p>
    <w:p>
      <w:r>
        <w:rPr>
          <w:b/>
        </w:rPr>
        <w:t xml:space="preserve">34 </w:t>
      </w:r>
      <w:r>
        <w:t xml:space="preserve">And on both doors were pine woods, two folds on the one door and their turnings, and two folds on the second door turning.</w:t>
      </w:r>
    </w:p>
    <w:p>
      <w:r>
        <w:rPr>
          <w:b/>
        </w:rPr>
        <w:t xml:space="preserve">35 </w:t>
      </w:r>
      <w:r>
        <w:t xml:space="preserve">Carved cheroubin and palms and spread petals, and covered with gold being brought down upon the impression.</w:t>
      </w:r>
    </w:p>
    <w:p>
      <w:r>
        <w:rPr>
          <w:b/>
        </w:rPr>
        <w:t xml:space="preserve">36 </w:t>
      </w:r>
      <w:r>
        <w:t xml:space="preserve">And he built the innermost court, three rows of hewn stone and a row of worked cedar all around. And he built a curtain for the court of the porch of the house that was before the nave.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King Solomon sent and took Hiram from Tyre,</w:t>
      </w:r>
    </w:p>
    <w:p>
      <w:r>
        <w:rPr>
          <w:b/>
        </w:rPr>
        <w:t xml:space="preserve">2 </w:t>
      </w:r>
      <w:r>
        <w:t xml:space="preserve">son of a widow woman, and he was from the tribe of Naphtali, and his father was a Tyrian</w:t>
      </w:r>
      <w:r>
        <w:rPr>
          <w:rStyle w:val="FootnoteReference"/>
        </w:rPr>
        <w:footnoteReference w:id="6498"/>
      </w:r>
      <w:r>
        <w:t xml:space="preserve"> man, a craftsman in bronze, and he was filled with skill and understanding and knowledge to do every work in bronze. And he was brought to King Solomon and did all the works.</w:t>
      </w:r>
      <w:r>
        <w:rPr>
          <w:rStyle w:val="FootnoteReference"/>
        </w:rPr>
        <w:footnoteReference w:id="6499"/>
      </w:r>
    </w:p>
    <w:p>
      <w:r>
        <w:rPr>
          <w:b/>
        </w:rPr>
        <w:t xml:space="preserve">3 </w:t>
      </w:r>
      <w:r>
        <w:t xml:space="preserve">And he cast the two pillars for the porch of the house. Eighteen cubits was the height of the pillar, and a circumference</w:t>
      </w:r>
      <w:r>
        <w:rPr>
          <w:rStyle w:val="FootnoteReference"/>
        </w:rPr>
        <w:footnoteReference w:id="6500"/>
      </w:r>
      <w:r>
        <w:t xml:space="preserve"> of fourteen cubits encircled it, and the thickness of the pillar was four fingers, hollow. And so was the second pillar.</w:t>
      </w:r>
    </w:p>
    <w:p>
      <w:r>
        <w:rPr>
          <w:b/>
        </w:rPr>
        <w:t xml:space="preserve">4 </w:t>
      </w:r>
      <w:r>
        <w:t xml:space="preserve">And he made two capitals</w:t>
      </w:r>
      <w:r>
        <w:rPr>
          <w:rStyle w:val="FootnoteReference"/>
        </w:rPr>
        <w:footnoteReference w:id="6501"/>
      </w:r>
      <w:r>
        <w:t xml:space="preserve">, cast in bronze, to put upon the heads of the pillars. Five cubits was the height of the one capital and five cubits the height of the second.</w:t>
      </w:r>
    </w:p>
    <w:p>
      <w:r>
        <w:rPr>
          <w:b/>
        </w:rPr>
        <w:t xml:space="preserve">5 </w:t>
      </w:r>
      <w:r>
        <w:t xml:space="preserve">And he made two networks to cover the capitals of the pillars, a network for the one capital and a network for the second capital.</w:t>
      </w:r>
    </w:p>
    <w:p>
      <w:r>
        <w:rPr>
          <w:b/>
        </w:rPr>
        <w:t xml:space="preserve">6 </w:t>
      </w:r>
      <w:r>
        <w:t xml:space="preserve">And hanging work, two rows of bronze pomegranates, netted hanging work, row upon row. And thus he made for the second capital.</w:t>
      </w:r>
      <w:r>
        <w:rPr>
          <w:rStyle w:val="FootnoteReference"/>
        </w:rPr>
        <w:footnoteReference w:id="6502"/>
      </w:r>
    </w:p>
    <w:p>
      <w:r>
        <w:rPr>
          <w:b/>
        </w:rPr>
        <w:t xml:space="preserve">7 </w:t>
      </w:r>
      <w:r>
        <w:t xml:space="preserve">And he set up the pillars of the porch of the temple, and he set up the one pillar and called its name Iachoum, and he set up the second pillar and called its name Baaz.</w:t>
      </w:r>
      <w:r>
        <w:rPr>
          <w:rStyle w:val="FootnoteReference"/>
        </w:rPr>
        <w:footnoteReference w:id="6503"/>
      </w:r>
    </w:p>
    <w:p>
      <w:r>
        <w:rPr>
          <w:b/>
        </w:rPr>
        <w:t xml:space="preserve">8 </w:t>
      </w:r>
      <w:r>
        <w:t xml:space="preserve">And on the heads of the pillars was lily-work by the porch, four cubits.</w:t>
      </w:r>
      <w:r>
        <w:rPr>
          <w:rStyle w:val="FootnoteReference"/>
        </w:rPr>
        <w:footnoteReference w:id="6504"/>
      </w:r>
      <w:r>
        <w:t xml:space="preserve"/>
      </w:r>
    </w:p>
    <w:p>
      <w:r>
        <w:rPr>
          <w:b/>
        </w:rPr>
        <w:t xml:space="preserve">9 </w:t>
      </w:r>
      <w:r>
        <w:t xml:space="preserve">And a beam-structure was on both pillars, and above the sides the capital, the beam-structure according to the thickness.</w:t>
      </w:r>
      <w:r>
        <w:rPr>
          <w:rStyle w:val="FootnoteReference"/>
        </w:rPr>
        <w:footnoteReference w:id="6505"/>
      </w:r>
    </w:p>
    <w:p>
      <w:r>
        <w:rPr>
          <w:b/>
        </w:rPr>
        <w:t xml:space="preserve">10 </w:t>
      </w:r>
      <w:r>
        <w:t xml:space="preserve">And he made the Sea, ten cubits from its rim to its rim, round all around, the same, and its height was five cubits, and thirty-three cubits in a gathering encircled it.</w:t>
      </w:r>
      <w:r>
        <w:rPr>
          <w:rStyle w:val="FootnoteReference"/>
        </w:rPr>
        <w:footnoteReference w:id="6506"/>
      </w:r>
    </w:p>
    <w:p>
      <w:r>
        <w:rPr>
          <w:b/>
        </w:rPr>
        <w:t xml:space="preserve">11 </w:t>
      </w:r>
      <w:r>
        <w:t xml:space="preserve">And supports beneath its rim all around were encircling it, ten cubits all around, raising the Sea.</w:t>
      </w:r>
      <w:r>
        <w:rPr>
          <w:rStyle w:val="FootnoteReference"/>
        </w:rPr>
        <w:footnoteReference w:id="6507"/>
      </w:r>
      <w:r>
        <w:t xml:space="preserve"/>
      </w:r>
    </w:p>
    <w:p>
      <w:r>
        <w:rPr>
          <w:b/>
        </w:rPr>
        <w:t xml:space="preserve">12 </w:t>
      </w:r>
      <w:r>
        <w:t xml:space="preserve">And its rim was like the work of a cup-rim, a lily-bud, and its thickness was a handbreadth.</w:t>
      </w:r>
    </w:p>
    <w:p>
      <w:r>
        <w:rPr>
          <w:b/>
        </w:rPr>
        <w:t xml:space="preserve">13 </w:t>
      </w:r>
      <w:r>
        <w:t xml:space="preserve">And twelve oxen were under the Sea, three looking north and three looking sea-ward and three looking south and three looking east, and all their hind parts were toward the house, and the Sea was above them.</w:t>
      </w:r>
      <w:r>
        <w:rPr>
          <w:rStyle w:val="FootnoteReference"/>
        </w:rPr>
        <w:footnoteReference w:id="6508"/>
      </w:r>
      <w:r>
        <w:rPr>
          <w:rStyle w:val="FootnoteReference"/>
        </w:rPr>
        <w:footnoteReference w:id="6509"/>
      </w:r>
    </w:p>
    <w:p>
      <w:r>
        <w:rPr>
          <w:b/>
        </w:rPr>
        <w:t xml:space="preserve">14 </w:t>
      </w:r>
      <w:r>
        <w:t xml:space="preserve">And he made ten bronze stands</w:t>
      </w:r>
      <w:r>
        <w:rPr>
          <w:rStyle w:val="FootnoteReference"/>
        </w:rPr>
        <w:footnoteReference w:id="6510"/>
      </w:r>
      <w:r>
        <w:t xml:space="preserve">. Five cubits was the length of one stand and four cubits its breadth and six cubits its height.</w:t>
      </w:r>
    </w:p>
    <w:p>
      <w:r>
        <w:rPr>
          <w:b/>
        </w:rPr>
        <w:t xml:space="preserve">15 </w:t>
      </w:r>
      <w:r>
        <w:t xml:space="preserve">And this was the work of the stands: enclosed panels for them, and enclosure between the projections.</w:t>
      </w:r>
      <w:r>
        <w:rPr>
          <w:rStyle w:val="FootnoteReference"/>
        </w:rPr>
        <w:footnoteReference w:id="6511"/>
      </w:r>
      <w:r>
        <w:t xml:space="preserve"/>
      </w:r>
    </w:p>
    <w:p>
      <w:r>
        <w:rPr>
          <w:b/>
        </w:rPr>
        <w:t xml:space="preserve">16 </w:t>
      </w:r>
      <w:r>
        <w:t xml:space="preserve">And on their enclosures between the projections were lions and oxen and cheroubin, and so too upon the projections, and above and below the lions and the oxen spaces with descending work.</w:t>
      </w:r>
    </w:p>
    <w:p>
      <w:r>
        <w:rPr>
          <w:b/>
        </w:rPr>
        <w:t xml:space="preserve">17 </w:t>
      </w:r>
      <w:r>
        <w:t xml:space="preserve">And four bronze wheels belonged to each stand, and their axle-pieces were bronze, and their four parts had shoulders under the basins.</w:t>
      </w:r>
      <w:r>
        <w:rPr>
          <w:rStyle w:val="FootnoteReference"/>
        </w:rPr>
        <w:footnoteReference w:id="6512"/>
      </w:r>
    </w:p>
    <w:p>
      <w:r>
        <w:rPr>
          <w:b/>
        </w:rPr>
        <w:t xml:space="preserve">18 </w:t>
      </w:r>
      <w:r>
        <w:t xml:space="preserve">And handles were in the wheels in the stand, and the height of one wheel was a cubit and a half.</w:t>
      </w:r>
      <w:r>
        <w:rPr>
          <w:rStyle w:val="FootnoteReference"/>
        </w:rPr>
        <w:footnoteReference w:id="6513"/>
      </w:r>
      <w:r>
        <w:t xml:space="preserve"/>
      </w:r>
    </w:p>
    <w:p>
      <w:r>
        <w:rPr>
          <w:b/>
        </w:rPr>
        <w:t xml:space="preserve">19 </w:t>
      </w:r>
      <w:r>
        <w:t xml:space="preserve">And the work of the wheels was wheel-work of a chariot. Their handles and their backs and their workmanship, all were cast.</w:t>
      </w:r>
    </w:p>
    <w:p>
      <w:r>
        <w:rPr>
          <w:b/>
        </w:rPr>
        <w:t xml:space="preserve">20 </w:t>
      </w:r>
      <w:r>
        <w:t xml:space="preserve">The four shoulders</w:t>
      </w:r>
      <w:r>
        <w:rPr>
          <w:rStyle w:val="FootnoteReference"/>
        </w:rPr>
        <w:footnoteReference w:id="6514"/>
      </w:r>
      <w:r>
        <w:t xml:space="preserve"> were at the four corners of each stand, from the stand were its shoulders.</w:t>
      </w:r>
    </w:p>
    <w:p>
      <w:r>
        <w:rPr>
          <w:b/>
        </w:rPr>
        <w:t xml:space="preserve">21 </w:t>
      </w:r>
      <w:r>
        <w:t xml:space="preserve">And upon the top of the stand was half a cubit in size, round all around, upon the top of the stand, and the beginning of its handles and its enclosures, and it opened out toward the beginnings of its handles.</w:t>
      </w:r>
    </w:p>
    <w:p>
      <w:r>
        <w:rPr>
          <w:b/>
        </w:rPr>
        <w:t xml:space="preserve">22 </w:t>
      </w:r>
      <w:r>
        <w:t xml:space="preserve">And on its enclosures</w:t>
      </w:r>
      <w:r>
        <w:rPr>
          <w:rStyle w:val="FootnoteReference"/>
        </w:rPr>
        <w:footnoteReference w:id="6515"/>
      </w:r>
      <w:r>
        <w:t xml:space="preserve"> were cheroubin and lions and palms standing, each next to its facing one within, and the things all around.</w:t>
      </w:r>
    </w:p>
    <w:p>
      <w:r>
        <w:rPr>
          <w:b/>
        </w:rPr>
        <w:t xml:space="preserve">23 </w:t>
      </w:r>
      <w:r>
        <w:t xml:space="preserve">Accordingly he made</w:t>
      </w:r>
      <w:r>
        <w:rPr>
          <w:rStyle w:val="FootnoteReference"/>
        </w:rPr>
        <w:footnoteReference w:id="6516"/>
      </w:r>
      <w:r>
        <w:t xml:space="preserve"> all ten stands, one arrangement and one measure for all.</w:t>
      </w:r>
    </w:p>
    <w:p>
      <w:r>
        <w:rPr>
          <w:b/>
        </w:rPr>
        <w:t xml:space="preserve">24 </w:t>
      </w:r>
      <w:r>
        <w:t xml:space="preserve">And he made ten bronze wash-basins, each wash-basin holding forty baths by measure, one wash-basin upon each of the ten stands.</w:t>
      </w:r>
      <w:r>
        <w:rPr>
          <w:rStyle w:val="FootnoteReference"/>
        </w:rPr>
        <w:footnoteReference w:id="6517"/>
      </w:r>
    </w:p>
    <w:p>
      <w:r>
        <w:rPr>
          <w:b/>
        </w:rPr>
        <w:t xml:space="preserve">25 </w:t>
      </w:r>
      <w:r>
        <w:t xml:space="preserve">And he placed the ten stands</w:t>
      </w:r>
      <w:r>
        <w:rPr>
          <w:rStyle w:val="FootnoteReference"/>
        </w:rPr>
        <w:footnoteReference w:id="6518"/>
      </w:r>
      <w:r>
        <w:t xml:space="preserve">, five from the shoulder of the house on the right and five from the shoulder of the house on the left, and the Sea from the shoulder of the house on the right, eastward, toward the south side.</w:t>
      </w:r>
    </w:p>
    <w:p>
      <w:r>
        <w:rPr>
          <w:b/>
        </w:rPr>
        <w:t xml:space="preserve">26 </w:t>
      </w:r>
      <w:r>
        <w:t xml:space="preserve">And Hiram made the pots and the shovels and the bowls, and Hiram completed doing all the works that he did for King Solomon in the house of the Lord:</w:t>
      </w:r>
    </w:p>
    <w:p>
      <w:r>
        <w:rPr>
          <w:b/>
        </w:rPr>
        <w:t xml:space="preserve">27 </w:t>
      </w:r>
      <w:r>
        <w:t xml:space="preserve">the two pillars and the twisted works</w:t>
      </w:r>
      <w:r>
        <w:rPr>
          <w:rStyle w:val="FootnoteReference"/>
        </w:rPr>
        <w:footnoteReference w:id="6519"/>
      </w:r>
      <w:r>
        <w:t xml:space="preserve"> upon the heads of the pillars, two, and the two networks for covering both twisted works of the carvings that were upon the pillars,</w:t>
      </w:r>
    </w:p>
    <w:p>
      <w:r>
        <w:rPr>
          <w:b/>
        </w:rPr>
        <w:t xml:space="preserve">28 </w:t>
      </w:r>
      <w:r>
        <w:t xml:space="preserve">the four hundred pomegranates for both networks, two rows of pomegranates for the one network, to cover both twisted works upon both pillars,</w:t>
      </w:r>
      <w:r>
        <w:rPr>
          <w:rStyle w:val="FootnoteReference"/>
        </w:rPr>
        <w:footnoteReference w:id="6520"/>
      </w:r>
    </w:p>
    <w:p>
      <w:r>
        <w:rPr>
          <w:b/>
        </w:rPr>
        <w:t xml:space="preserve">29 </w:t>
      </w:r>
      <w:r>
        <w:t xml:space="preserve">and the ten stands and the ten wash-basins upon the stands,</w:t>
      </w:r>
      <w:r>
        <w:rPr>
          <w:rStyle w:val="FootnoteReference"/>
        </w:rPr>
        <w:footnoteReference w:id="6521"/>
      </w:r>
      <w:r>
        <w:t xml:space="preserve"/>
      </w:r>
    </w:p>
    <w:p>
      <w:r>
        <w:rPr>
          <w:b/>
        </w:rPr>
        <w:t xml:space="preserve">30 </w:t>
      </w:r>
      <w:r>
        <w:t xml:space="preserve">and the one Sea and the twelve oxen under the Sea,</w:t>
      </w:r>
    </w:p>
    <w:p>
      <w:r>
        <w:rPr>
          <w:b/>
        </w:rPr>
        <w:t xml:space="preserve">31 </w:t>
      </w:r>
      <w:r>
        <w:t xml:space="preserve">and the pots and the shovels and the bowls and all the vessels that Hiram made for King Solomon for the house of the Lord, and the forty-eight pillars</w:t>
      </w:r>
      <w:r>
        <w:rPr>
          <w:rStyle w:val="FootnoteReference"/>
        </w:rPr>
        <w:footnoteReference w:id="6522"/>
      </w:r>
      <w:r>
        <w:t xml:space="preserve"> of the house of the king and of the house of the Lord, all the works of the king that Hiram made, all entirely of bronze.</w:t>
      </w:r>
    </w:p>
    <w:p>
      <w:r>
        <w:rPr>
          <w:b/>
        </w:rPr>
        <w:t xml:space="preserve">32 </w:t>
      </w:r>
      <w:r>
        <w:t xml:space="preserve">There was no weight for the bronze from which he made all these works because of the very great abundance. There was no end to the weighing of the bronze.</w:t>
      </w:r>
    </w:p>
    <w:p>
      <w:r>
        <w:rPr>
          <w:b/>
        </w:rPr>
        <w:t xml:space="preserve">33 </w:t>
      </w:r>
      <w:r>
        <w:t xml:space="preserve">In the plain of the Jordan the king cast them, in the thickness of the earth, between Succoth and between Zarethan</w:t>
      </w:r>
      <w:r>
        <w:rPr>
          <w:rStyle w:val="FootnoteReference"/>
        </w:rPr>
        <w:footnoteReference w:id="6523"/>
      </w:r>
      <w:r>
        <w:t xml:space="preserve">.</w:t>
      </w:r>
    </w:p>
    <w:p>
      <w:r>
        <w:rPr>
          <w:b/>
        </w:rPr>
        <w:t xml:space="preserve">34 </w:t>
      </w:r>
      <w:r>
        <w:t xml:space="preserve">And King Solomon gave the vessels that he made in the house of the Lord: the golden altar, and the golden table on which were the loaves of offering,</w:t>
      </w:r>
    </w:p>
    <w:p>
      <w:r>
        <w:rPr>
          <w:b/>
        </w:rPr>
        <w:t xml:space="preserve">35 </w:t>
      </w:r>
      <w:r>
        <w:t xml:space="preserve">and the lampstands, five at the right and five at the left before the debir, of closed gold, and the lamps and the wicks and the libation-bowls of gold,</w:t>
      </w:r>
    </w:p>
    <w:p>
      <w:r>
        <w:rPr>
          <w:b/>
        </w:rPr>
        <w:t xml:space="preserve">36 </w:t>
      </w:r>
      <w:r>
        <w:t xml:space="preserve">and the doorposts and the nails and the bowls and the pans and the censers of closed gold, and the hinges of the doors of the innermost house, holy of holies, and the doors of the house of the nave, of gold.</w:t>
      </w:r>
    </w:p>
    <w:p>
      <w:r>
        <w:rPr>
          <w:b/>
        </w:rPr>
        <w:t xml:space="preserve">37 </w:t>
      </w:r>
      <w:r>
        <w:t xml:space="preserve">And all the work that Solomon made for the house of the Lord was completed, and Solomon brought in the holy things of David his father and all the holy things of Solomon, the silver and the gold and the vessels, and he put them into the treasuries of the house of the Lord.</w:t>
      </w:r>
      <w:r>
        <w:rPr>
          <w:rStyle w:val="FootnoteReference"/>
        </w:rPr>
        <w:footnoteReference w:id="6524"/>
      </w:r>
    </w:p>
    <w:p>
      <w:r>
        <w:rPr>
          <w:b/>
        </w:rPr>
        <w:t xml:space="preserve">38 </w:t>
      </w:r>
      <w:r>
        <w:t xml:space="preserve">And Solomon built his own house in thirteen years</w:t>
      </w:r>
      <w:r>
        <w:rPr>
          <w:rStyle w:val="FootnoteReference"/>
        </w:rPr>
        <w:footnoteReference w:id="6525"/>
      </w:r>
      <w:r>
        <w:t xml:space="preserve">.</w:t>
      </w:r>
    </w:p>
    <w:p>
      <w:r>
        <w:rPr>
          <w:b/>
        </w:rPr>
        <w:t xml:space="preserve">39 </w:t>
      </w:r>
      <w:r>
        <w:t xml:space="preserve">And he built the House of the Forest of Lebanon, one hundred cubits its length and fifty cubits its breadth and thirty cubits its height, with three rows of cedar pillars and cedar shoulders upon the pillars.</w:t>
      </w:r>
      <w:r>
        <w:rPr>
          <w:rStyle w:val="FootnoteReference"/>
        </w:rPr>
        <w:footnoteReference w:id="6526"/>
      </w:r>
    </w:p>
    <w:p>
      <w:r>
        <w:rPr>
          <w:b/>
        </w:rPr>
        <w:t xml:space="preserve">40 </w:t>
      </w:r>
      <w:r>
        <w:t xml:space="preserve">And he roofed the house above upon the sides of the pillars, and the number of the pillars was forty-five, fifteen in a row.</w:t>
      </w:r>
      <w:r>
        <w:rPr>
          <w:rStyle w:val="FootnoteReference"/>
        </w:rPr>
        <w:footnoteReference w:id="6527"/>
      </w:r>
    </w:p>
    <w:p>
      <w:r>
        <w:rPr>
          <w:b/>
        </w:rPr>
        <w:t xml:space="preserve">41 </w:t>
      </w:r>
      <w:r>
        <w:t xml:space="preserve">And three beam-frames</w:t>
      </w:r>
      <w:r>
        <w:rPr>
          <w:rStyle w:val="FootnoteReference"/>
        </w:rPr>
        <w:footnoteReference w:id="6528"/>
      </w:r>
      <w:r>
        <w:t xml:space="preserve">, and opening facing opening, threefold.</w:t>
      </w:r>
      <w:r>
        <w:rPr>
          <w:rStyle w:val="FootnoteReference"/>
        </w:rPr>
        <w:footnoteReference w:id="6529"/>
      </w:r>
    </w:p>
    <w:p>
      <w:r>
        <w:rPr>
          <w:b/>
        </w:rPr>
        <w:t xml:space="preserve">42 </w:t>
      </w:r>
      <w:r>
        <w:t xml:space="preserve">And all the doors and the openings were squared with beam-work, and from door to door, threefold.</w:t>
      </w:r>
      <w:r>
        <w:rPr>
          <w:rStyle w:val="FootnoteReference"/>
        </w:rPr>
        <w:footnoteReference w:id="6530"/>
      </w:r>
      <w:r>
        <w:t xml:space="preserve"/>
      </w:r>
    </w:p>
    <w:p>
      <w:r>
        <w:rPr>
          <w:b/>
        </w:rPr>
        <w:t xml:space="preserve">43 </w:t>
      </w:r>
      <w:r>
        <w:t xml:space="preserve">And the Porch of the Pillars was fifty cubits in length and thirty in breadth, fitted in balance, a porch before them, and pillars and a thickness before it for the porches.</w:t>
      </w:r>
      <w:r>
        <w:rPr>
          <w:rStyle w:val="FootnoteReference"/>
        </w:rPr>
        <w:footnoteReference w:id="6531"/>
      </w:r>
    </w:p>
    <w:p>
      <w:r>
        <w:rPr>
          <w:b/>
        </w:rPr>
        <w:t xml:space="preserve">44 </w:t>
      </w:r>
      <w:r>
        <w:t xml:space="preserve">And the Porch of the Throne, where he would judge there, the Porch of Judgment.</w:t>
      </w:r>
      <w:r>
        <w:rPr>
          <w:rStyle w:val="FootnoteReference"/>
        </w:rPr>
        <w:footnoteReference w:id="6532"/>
      </w:r>
      <w:r>
        <w:t xml:space="preserve"/>
      </w:r>
    </w:p>
    <w:p>
      <w:r>
        <w:rPr>
          <w:b/>
        </w:rPr>
        <w:t xml:space="preserve">45 </w:t>
      </w:r>
      <w:r>
        <w:t xml:space="preserve">And his house where he would sit there, one court winding around these, according to this work, and a house for the daughter of Pharaoh whom Solomon took, according to this porch.</w:t>
      </w:r>
    </w:p>
    <w:p>
      <w:r>
        <w:rPr>
          <w:b/>
        </w:rPr>
        <w:t xml:space="preserve">46 </w:t>
      </w:r>
      <w:r>
        <w:t xml:space="preserve">All these were of costly stones, dressed according to interval, inside and from the foundation to the coping and outside to the great court,</w:t>
      </w:r>
      <w:r>
        <w:rPr>
          <w:rStyle w:val="FootnoteReference"/>
        </w:rPr>
        <w:footnoteReference w:id="6533"/>
      </w:r>
    </w:p>
    <w:p>
      <w:r>
        <w:rPr>
          <w:b/>
        </w:rPr>
        <w:t xml:space="preserve">47 </w:t>
      </w:r>
      <w:r>
        <w:t xml:space="preserve">founded with costly stones, great stones, ten-cubit stones and eight-cubit stones,</w:t>
      </w:r>
      <w:r>
        <w:rPr>
          <w:rStyle w:val="FootnoteReference"/>
        </w:rPr>
        <w:footnoteReference w:id="6534"/>
      </w:r>
    </w:p>
    <w:p>
      <w:r>
        <w:rPr>
          <w:b/>
        </w:rPr>
        <w:t xml:space="preserve">48 </w:t>
      </w:r>
      <w:r>
        <w:t xml:space="preserve">and above with costly stones according to the measure of hewn stones and cedars,</w:t>
      </w:r>
    </w:p>
    <w:p>
      <w:r>
        <w:rPr>
          <w:b/>
        </w:rPr>
        <w:t xml:space="preserve">49 </w:t>
      </w:r>
      <w:r>
        <w:t xml:space="preserve">the great court all around, three rows of hewn stones and a row of dressed cedar,</w:t>
      </w:r>
      <w:r>
        <w:rPr>
          <w:rStyle w:val="FootnoteReference"/>
        </w:rPr>
        <w:footnoteReference w:id="6535"/>
      </w:r>
      <w:r>
        <w:t xml:space="preserve"/>
      </w:r>
    </w:p>
    <w:p>
      <w:r>
        <w:rPr>
          <w:b/>
        </w:rPr>
        <w:t xml:space="preserve">50 </w:t>
      </w:r>
      <w:r>
        <w:t xml:space="preserve">and Solomon completed his whole house</w:t>
      </w:r>
      <w:r>
        <w:rPr>
          <w:rStyle w:val="FootnoteReference"/>
        </w:rPr>
        <w:footnoteReference w:id="6536"/>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it came to be when Solomon</w:t>
      </w:r>
      <w:r>
        <w:rPr>
          <w:rStyle w:val="FootnoteReference"/>
        </w:rPr>
        <w:footnoteReference w:id="6537"/>
      </w:r>
      <w:r>
        <w:t xml:space="preserve"> finished building the house of the Lord and his own house, after twenty years</w:t>
      </w:r>
      <w:r>
        <w:rPr>
          <w:rStyle w:val="FootnoteReference"/>
        </w:rPr>
        <w:footnoteReference w:id="6538"/>
      </w:r>
      <w:r>
        <w:t xml:space="preserve">, then King Solomon assembled all the elders of Israel in Zion, to bring up the ark of the covenant of the Lord from the City of David, this is Zion.</w:t>
      </w:r>
    </w:p>
    <w:p>
      <w:r>
        <w:rPr>
          <w:b/>
        </w:rPr>
        <w:t xml:space="preserve">2 </w:t>
      </w:r>
      <w:r>
        <w:t xml:space="preserve">In the month Athanin.</w:t>
      </w:r>
      <w:r>
        <w:rPr>
          <w:rStyle w:val="FootnoteReference"/>
        </w:rPr>
        <w:footnoteReference w:id="6539"/>
      </w:r>
      <w:r>
        <w:t xml:space="preserve"/>
      </w:r>
    </w:p>
    <w:p>
      <w:r>
        <w:rPr>
          <w:b/>
        </w:rPr>
        <w:t xml:space="preserve">3 </w:t>
      </w:r>
      <w:r>
        <w:t xml:space="preserve">And the priests lifted the ark,</w:t>
      </w:r>
    </w:p>
    <w:p>
      <w:r>
        <w:rPr>
          <w:b/>
        </w:rPr>
        <w:t xml:space="preserve">4 </w:t>
      </w:r>
      <w:r>
        <w:t xml:space="preserve">and the tent of witness and all the holy vessels that were in the tent of witness,</w:t>
      </w:r>
    </w:p>
    <w:p>
      <w:r>
        <w:rPr>
          <w:b/>
        </w:rPr>
        <w:t xml:space="preserve">5 </w:t>
      </w:r>
      <w:r>
        <w:t xml:space="preserve">and the king and all Israel before the ark, sacrificing sheep</w:t>
      </w:r>
      <w:r>
        <w:rPr>
          <w:rStyle w:val="FootnoteReference"/>
        </w:rPr>
        <w:footnoteReference w:id="6540"/>
      </w:r>
      <w:r>
        <w:t xml:space="preserve"> and cattle beyond number.</w:t>
      </w:r>
    </w:p>
    <w:p>
      <w:r>
        <w:rPr>
          <w:b/>
        </w:rPr>
        <w:t xml:space="preserve">6 </w:t>
      </w:r>
      <w:r>
        <w:t xml:space="preserve">And the priests</w:t>
      </w:r>
      <w:r>
        <w:rPr>
          <w:rStyle w:val="FootnoteReference"/>
        </w:rPr>
        <w:footnoteReference w:id="6541"/>
      </w:r>
      <w:r>
        <w:t xml:space="preserve"> bring the ark to its place, into the debir of the house, into the holy of holies, under the wings of the cheroubin,</w:t>
      </w:r>
    </w:p>
    <w:p>
      <w:r>
        <w:rPr>
          <w:b/>
        </w:rPr>
        <w:t xml:space="preserve">7 </w:t>
      </w:r>
      <w:r>
        <w:t xml:space="preserve">because the cheroubin had their wings spread over the place of the ark, and the cheroubin were covering the ark and its holy things from above.</w:t>
      </w:r>
    </w:p>
    <w:p>
      <w:r>
        <w:rPr>
          <w:b/>
        </w:rPr>
        <w:t xml:space="preserve">8 </w:t>
      </w:r>
      <w:r>
        <w:t xml:space="preserve">And the holy poles projected, and the heads of the holy poles were seen from the holy place</w:t>
      </w:r>
      <w:r>
        <w:rPr>
          <w:rStyle w:val="FootnoteReference"/>
        </w:rPr>
        <w:footnoteReference w:id="6542"/>
      </w:r>
      <w:r>
        <w:t xml:space="preserve"> before the debir, but they were not visible outside.</w:t>
      </w:r>
    </w:p>
    <w:p>
      <w:r>
        <w:rPr>
          <w:b/>
        </w:rPr>
        <w:t xml:space="preserve">9 </w:t>
      </w:r>
      <w:r>
        <w:t xml:space="preserve">There was nothing in the ark except two stone tablets</w:t>
      </w:r>
      <w:r>
        <w:rPr>
          <w:rStyle w:val="FootnoteReference"/>
        </w:rPr>
        <w:footnoteReference w:id="6543"/>
      </w:r>
      <w:r>
        <w:t xml:space="preserve">, tablets of the covenant, which Moses put there in Horeb, which the Lord covenanted with the sons of Israel when they came out from the land of Egypt.</w:t>
      </w:r>
      <w:r>
        <w:rPr>
          <w:rStyle w:val="FootnoteReference"/>
        </w:rPr>
        <w:footnoteReference w:id="6544"/>
      </w:r>
    </w:p>
    <w:p>
      <w:r>
        <w:rPr>
          <w:b/>
        </w:rPr>
        <w:t xml:space="preserve">10 </w:t>
      </w:r>
      <w:r>
        <w:t xml:space="preserve">And it came to be, as the priests came out from the holy place, that the cloud filled the house,</w:t>
      </w:r>
    </w:p>
    <w:p>
      <w:r>
        <w:rPr>
          <w:b/>
        </w:rPr>
        <w:t xml:space="preserve">11 </w:t>
      </w:r>
      <w:r>
        <w:t xml:space="preserve">and the priests were not able to stand to minister because of the cloud, because the glory of the Lord filled the house.</w:t>
      </w:r>
    </w:p>
    <w:p>
      <w:r>
        <w:rPr>
          <w:b/>
        </w:rPr>
        <w:t xml:space="preserve">14 </w:t>
      </w:r>
      <w:r>
        <w:t xml:space="preserve">And the king turned his face and the king blessed all</w:t>
      </w:r>
      <w:r>
        <w:rPr>
          <w:rStyle w:val="FootnoteReference"/>
        </w:rPr>
        <w:footnoteReference w:id="6545"/>
      </w:r>
      <w:r>
        <w:t xml:space="preserve"> Israel, and all the assembly of Israel was standing.</w:t>
      </w:r>
    </w:p>
    <w:p>
      <w:r>
        <w:rPr>
          <w:b/>
        </w:rPr>
        <w:t xml:space="preserve">15 </w:t>
      </w:r>
      <w:r>
        <w:t xml:space="preserve">And he said, Blessed</w:t>
      </w:r>
      <w:r>
        <w:rPr>
          <w:rStyle w:val="FootnoteReference"/>
        </w:rPr>
        <w:footnoteReference w:id="6546"/>
      </w:r>
      <w:r>
        <w:t xml:space="preserve"> is the Lord God of Israel today, who spoke with his mouth concerning David my father and with his hands fulfilled it, saying,</w:t>
      </w:r>
    </w:p>
    <w:p>
      <w:r>
        <w:rPr>
          <w:b/>
        </w:rPr>
        <w:t xml:space="preserve">16 </w:t>
      </w:r>
      <w:r>
        <w:t xml:space="preserve">From the day I brought out my people Israel from Egypt, I did not choose a city in one scepter of Israel to build a house for my name to be there, but I chose</w:t>
      </w:r>
      <w:r>
        <w:rPr>
          <w:rStyle w:val="FootnoteReference"/>
        </w:rPr>
        <w:footnoteReference w:id="6547"/>
      </w:r>
      <w:r>
        <w:t xml:space="preserve"> Jerusalem for my name to be there, and I chose David to be over my people Israel.</w:t>
      </w:r>
      <w:r>
        <w:rPr>
          <w:rStyle w:val="FootnoteReference"/>
        </w:rPr>
        <w:footnoteReference w:id="6548"/>
      </w:r>
    </w:p>
    <w:p>
      <w:r>
        <w:rPr>
          <w:b/>
        </w:rPr>
        <w:t xml:space="preserve">17 </w:t>
      </w:r>
      <w:r>
        <w:t xml:space="preserve">And it came to be upon the heart of David my father to build a house for the name of the Lord God of Israel.</w:t>
      </w:r>
    </w:p>
    <w:p>
      <w:r>
        <w:rPr>
          <w:b/>
        </w:rPr>
        <w:t xml:space="preserve">18 </w:t>
      </w:r>
      <w:r>
        <w:t xml:space="preserve">And the Lord said to David my father, Because it came upon your heart to build a house for my name, you did well, because it came upon your heart.</w:t>
      </w:r>
    </w:p>
    <w:p>
      <w:r>
        <w:rPr>
          <w:b/>
        </w:rPr>
        <w:t xml:space="preserve">19 </w:t>
      </w:r>
      <w:r>
        <w:t xml:space="preserve">Yet you shall not build the house, but only your son, the one coming out from your sides, he will build the house for my name.</w:t>
      </w:r>
    </w:p>
    <w:p>
      <w:r>
        <w:rPr>
          <w:b/>
        </w:rPr>
        <w:t xml:space="preserve">20 </w:t>
      </w:r>
      <w:r>
        <w:t xml:space="preserve">And the Lord raised up his word that he spoke, and I rose in place of David my father and sat upon the throne of Israel just as the Lord</w:t>
      </w:r>
      <w:r>
        <w:rPr>
          <w:rStyle w:val="FootnoteReference"/>
        </w:rPr>
        <w:footnoteReference w:id="6549"/>
      </w:r>
      <w:r>
        <w:t xml:space="preserve"> spoke, and I built the house for the name of the Lord God of Israel.</w:t>
      </w:r>
    </w:p>
    <w:p>
      <w:r>
        <w:rPr>
          <w:b/>
        </w:rPr>
        <w:t xml:space="preserve">21 </w:t>
      </w:r>
      <w:r>
        <w:t xml:space="preserve">And I placed there a place for the ark, in which is there the covenant</w:t>
      </w:r>
      <w:r>
        <w:rPr>
          <w:rStyle w:val="FootnoteReference"/>
        </w:rPr>
        <w:footnoteReference w:id="6550"/>
      </w:r>
      <w:r>
        <w:t xml:space="preserve"> of the Lord, which the Lord covenanted with our fathers when he brought them out from the land of Egypt.</w:t>
      </w:r>
    </w:p>
    <w:p>
      <w:r>
        <w:rPr>
          <w:b/>
        </w:rPr>
        <w:t xml:space="preserve">22 </w:t>
      </w:r>
      <w:r>
        <w:t xml:space="preserve">And Solomon stood before the altar</w:t>
      </w:r>
      <w:r>
        <w:rPr>
          <w:rStyle w:val="FootnoteReference"/>
        </w:rPr>
        <w:footnoteReference w:id="6551"/>
      </w:r>
      <w:r>
        <w:t xml:space="preserve"> of the Lord in the sight of all the assembly of Israel and spread out his hands toward heaven</w:t>
      </w:r>
      <w:r>
        <w:rPr>
          <w:rStyle w:val="FootnoteReference"/>
        </w:rPr>
        <w:footnoteReference w:id="6552"/>
      </w:r>
      <w:r>
        <w:t xml:space="preserve">,</w:t>
      </w:r>
    </w:p>
    <w:p>
      <w:r>
        <w:rPr>
          <w:b/>
        </w:rPr>
        <w:t xml:space="preserve">23 </w:t>
      </w:r>
      <w:r>
        <w:t xml:space="preserve">and said, O Lord God</w:t>
      </w:r>
      <w:r>
        <w:rPr>
          <w:rStyle w:val="FootnoteReference"/>
        </w:rPr>
        <w:footnoteReference w:id="6553"/>
      </w:r>
      <w:r>
        <w:t xml:space="preserve"> of Israel, there is no God like you in heaven above and upon the earth below, keeping covenant and mercy for your servant who walks before you with all his heart,</w:t>
      </w:r>
    </w:p>
    <w:p>
      <w:r>
        <w:rPr>
          <w:b/>
        </w:rPr>
        <w:t xml:space="preserve">24 </w:t>
      </w:r>
      <w:r>
        <w:t xml:space="preserve">the things which you kept for your servant David my father, and you spoke with your mouth and fulfilled with your hands, as on this day.</w:t>
      </w:r>
    </w:p>
    <w:p>
      <w:r>
        <w:rPr>
          <w:b/>
        </w:rPr>
        <w:t xml:space="preserve">25 </w:t>
      </w:r>
      <w:r>
        <w:t xml:space="preserve">And now, Lord God of Israel, keep for your servant David my father the things you spoke to him, saying, A man for you will not be lifted away from before me</w:t>
      </w:r>
      <w:r>
        <w:rPr>
          <w:rStyle w:val="FootnoteReference"/>
        </w:rPr>
        <w:footnoteReference w:id="6554"/>
      </w:r>
      <w:r>
        <w:t xml:space="preserve">, sitting upon the throne of Israel, if only your children keep their ways to walk before me as you walked before me.</w:t>
      </w:r>
    </w:p>
    <w:p>
      <w:r>
        <w:rPr>
          <w:b/>
        </w:rPr>
        <w:t xml:space="preserve">26 </w:t>
      </w:r>
      <w:r>
        <w:t xml:space="preserve">And now</w:t>
      </w:r>
      <w:r>
        <w:rPr>
          <w:rStyle w:val="FootnoteReference"/>
        </w:rPr>
        <w:footnoteReference w:id="6555"/>
      </w:r>
      <w:r>
        <w:t xml:space="preserve">, Lord God of Israel, let your word be made firm for David my father.</w:t>
      </w:r>
    </w:p>
    <w:p>
      <w:r>
        <w:rPr>
          <w:b/>
        </w:rPr>
        <w:t xml:space="preserve">27 </w:t>
      </w:r>
      <w:r>
        <w:t xml:space="preserve">For will God truly dwell with humans upon the earth? If heaven and heaven of heaven will not suffice for you, much less this house that I built for your name.</w:t>
      </w:r>
    </w:p>
    <w:p>
      <w:r>
        <w:rPr>
          <w:b/>
        </w:rPr>
        <w:t xml:space="preserve">28 </w:t>
      </w:r>
      <w:r>
        <w:t xml:space="preserve">And yet look upon my petition, Lord God of Israel, to hear the delight with which your servant prays before you today,</w:t>
      </w:r>
    </w:p>
    <w:p>
      <w:r>
        <w:rPr>
          <w:b/>
        </w:rPr>
        <w:t xml:space="preserve">29 </w:t>
      </w:r>
      <w:r>
        <w:t xml:space="preserve">for your eyes to be opened toward this house day and night, toward the place of which you said, My name will be there</w:t>
      </w:r>
      <w:r>
        <w:rPr>
          <w:rStyle w:val="FootnoteReference"/>
        </w:rPr>
        <w:footnoteReference w:id="6556"/>
      </w:r>
      <w:r>
        <w:t xml:space="preserve">, to hear the prayer that your servant prays toward this place day and night,</w:t>
      </w:r>
      <w:r>
        <w:rPr>
          <w:rStyle w:val="FootnoteReference"/>
        </w:rPr>
        <w:footnoteReference w:id="6557"/>
      </w:r>
    </w:p>
    <w:p>
      <w:r>
        <w:rPr>
          <w:b/>
        </w:rPr>
        <w:t xml:space="preserve">30 </w:t>
      </w:r>
      <w:r>
        <w:t xml:space="preserve">and you will hear the petition of your servant and of your people Israel, whatever they pray toward this place. And you will hear in the place of your dwelling in heaven, and you will act and be gracious.</w:t>
      </w:r>
    </w:p>
    <w:p>
      <w:r>
        <w:rPr>
          <w:b/>
        </w:rPr>
        <w:t xml:space="preserve">31 </w:t>
      </w:r>
      <w:r>
        <w:t xml:space="preserve">Whatever each person sins against his neighbor, and if he takes upon himself a curse to curse him, and comes and declares openly before your altar in this house,</w:t>
      </w:r>
    </w:p>
    <w:p>
      <w:r>
        <w:rPr>
          <w:b/>
        </w:rPr>
        <w:t xml:space="preserve">32 </w:t>
      </w:r>
      <w:r>
        <w:t xml:space="preserve">then you will hear from heaven and act and judge your people Israel, to condemn the lawless by giving his way upon his own head</w:t>
      </w:r>
      <w:r>
        <w:rPr>
          <w:rStyle w:val="FootnoteReference"/>
        </w:rPr>
        <w:footnoteReference w:id="6558"/>
      </w:r>
      <w:r>
        <w:t xml:space="preserve">, and to justify the righteous by giving to him according to his righteousness.</w:t>
      </w:r>
    </w:p>
    <w:p>
      <w:r>
        <w:rPr>
          <w:b/>
        </w:rPr>
        <w:t xml:space="preserve">33 </w:t>
      </w:r>
      <w:r>
        <w:t xml:space="preserve">When your people Israel stumble before enemies because they sinned against you, and they turn back and confess to your name and pray</w:t>
      </w:r>
      <w:r>
        <w:rPr>
          <w:rStyle w:val="FootnoteReference"/>
        </w:rPr>
        <w:footnoteReference w:id="6559"/>
      </w:r>
      <w:r>
        <w:t xml:space="preserve"> and entreat in this house,</w:t>
      </w:r>
    </w:p>
    <w:p>
      <w:r>
        <w:rPr>
          <w:b/>
        </w:rPr>
        <w:t xml:space="preserve">34 </w:t>
      </w:r>
      <w:r>
        <w:t xml:space="preserve">then you will hear from heaven and be gracious to the sins of your people Israel and return them to the land that you gave to their fathers.</w:t>
      </w:r>
    </w:p>
    <w:p>
      <w:r>
        <w:rPr>
          <w:b/>
        </w:rPr>
        <w:t xml:space="preserve">35 </w:t>
      </w:r>
      <w:r>
        <w:t xml:space="preserve">When heaven</w:t>
      </w:r>
      <w:r>
        <w:rPr>
          <w:rStyle w:val="FootnoteReference"/>
        </w:rPr>
        <w:footnoteReference w:id="6560"/>
      </w:r>
      <w:r>
        <w:t xml:space="preserve"> is shut and rain does not come because they sinned against you, and they pray toward this place and confess to your name</w:t>
      </w:r>
      <w:r>
        <w:rPr>
          <w:rStyle w:val="FootnoteReference"/>
        </w:rPr>
        <w:footnoteReference w:id="6561"/>
      </w:r>
      <w:r>
        <w:t xml:space="preserve"> and turn back from their sins when you humble them,</w:t>
      </w:r>
    </w:p>
    <w:p>
      <w:r>
        <w:rPr>
          <w:b/>
        </w:rPr>
        <w:t xml:space="preserve">36 </w:t>
      </w:r>
      <w:r>
        <w:t xml:space="preserve">then you will hear from heaven and be gracious to the sins</w:t>
      </w:r>
      <w:r>
        <w:rPr>
          <w:rStyle w:val="FootnoteReference"/>
        </w:rPr>
        <w:footnoteReference w:id="6562"/>
      </w:r>
      <w:r>
        <w:t xml:space="preserve"> of your servant and of your people Israel, because you will show them the good way</w:t>
      </w:r>
      <w:r>
        <w:rPr>
          <w:rStyle w:val="FootnoteReference"/>
        </w:rPr>
        <w:footnoteReference w:id="6563"/>
      </w:r>
      <w:r>
        <w:t xml:space="preserve"> to walk in it, and you will give rain upon the land that you gave to your people for an inheritance.</w:t>
      </w:r>
    </w:p>
    <w:p>
      <w:r>
        <w:rPr>
          <w:b/>
        </w:rPr>
        <w:t xml:space="preserve">37 </w:t>
      </w:r>
      <w:r>
        <w:t xml:space="preserve">If famine happens, if death happens, if blight happens, mildew, locust, rust, if his enemy afflicts him in one of his cities, every encounter, every pain,</w:t>
      </w:r>
      <w:r>
        <w:rPr>
          <w:rStyle w:val="FootnoteReference"/>
        </w:rPr>
        <w:footnoteReference w:id="6564"/>
      </w:r>
    </w:p>
    <w:p>
      <w:r>
        <w:rPr>
          <w:b/>
        </w:rPr>
        <w:t xml:space="preserve">38 </w:t>
      </w:r>
      <w:r>
        <w:t xml:space="preserve">every prayer</w:t>
      </w:r>
      <w:r>
        <w:rPr>
          <w:rStyle w:val="FootnoteReference"/>
        </w:rPr>
        <w:footnoteReference w:id="6565"/>
      </w:r>
      <w:r>
        <w:t xml:space="preserve">, every petition, whatever happens to any person, as each knows the touch of his own heart</w:t>
      </w:r>
      <w:r>
        <w:rPr>
          <w:rStyle w:val="FootnoteReference"/>
        </w:rPr>
        <w:footnoteReference w:id="6566"/>
      </w:r>
      <w:r>
        <w:t xml:space="preserve"> and spreads out his hands toward this house,</w:t>
      </w:r>
    </w:p>
    <w:p>
      <w:r>
        <w:rPr>
          <w:b/>
        </w:rPr>
        <w:t xml:space="preserve">39 </w:t>
      </w:r>
      <w:r>
        <w:t xml:space="preserve">then you will hear from heaven from your ready dwelling place and be gracious and act and give to each man according to his ways, as you know his heart, because you alone know the heart of all the sons of humans,</w:t>
      </w:r>
    </w:p>
    <w:p>
      <w:r>
        <w:rPr>
          <w:b/>
        </w:rPr>
        <w:t xml:space="preserve">40 </w:t>
      </w:r>
      <w:r>
        <w:t xml:space="preserve">so that they may fear you all the days they live upon the land that you gave to our fathers.</w:t>
      </w:r>
    </w:p>
    <w:p>
      <w:r>
        <w:rPr>
          <w:b/>
        </w:rPr>
        <w:t xml:space="preserve">41 </w:t>
      </w:r>
      <w:r>
        <w:t xml:space="preserve">And also for the foreigner who is not from this people of yours,</w:t>
      </w:r>
    </w:p>
    <w:p>
      <w:r>
        <w:rPr>
          <w:b/>
        </w:rPr>
        <w:t xml:space="preserve">42 </w:t>
      </w:r>
      <w:r>
        <w:t xml:space="preserve">and they will come and pray toward this place,</w:t>
      </w:r>
    </w:p>
    <w:p>
      <w:r>
        <w:rPr>
          <w:b/>
        </w:rPr>
        <w:t xml:space="preserve">43 </w:t>
      </w:r>
      <w:r>
        <w:t xml:space="preserve">then you will hear from heaven from your ready dwelling place and do according to all that the foreigner calls on you for, so that all the peoples of the earth may know your name and fear you as your people Israel do, and may know that your name is called upon this house</w:t>
      </w:r>
      <w:r>
        <w:rPr>
          <w:rStyle w:val="FootnoteReference"/>
        </w:rPr>
        <w:footnoteReference w:id="6567"/>
      </w:r>
      <w:r>
        <w:t xml:space="preserve"> that I built.</w:t>
      </w:r>
      <w:r>
        <w:rPr>
          <w:rStyle w:val="FootnoteReference"/>
        </w:rPr>
        <w:footnoteReference w:id="6568"/>
      </w:r>
    </w:p>
    <w:p>
      <w:r>
        <w:rPr>
          <w:b/>
        </w:rPr>
        <w:t xml:space="preserve">44 </w:t>
      </w:r>
      <w:r>
        <w:t xml:space="preserve">When your people go out to war against their enemies by the way that you send them, and they pray in the name of the Lord</w:t>
      </w:r>
      <w:r>
        <w:rPr>
          <w:rStyle w:val="FootnoteReference"/>
        </w:rPr>
        <w:footnoteReference w:id="6569"/>
      </w:r>
      <w:r>
        <w:t xml:space="preserve"> in the direction of the city that I chose in it and of the house that I built for your name,</w:t>
      </w:r>
    </w:p>
    <w:p>
      <w:r>
        <w:rPr>
          <w:b/>
        </w:rPr>
        <w:t xml:space="preserve">45 </w:t>
      </w:r>
      <w:r>
        <w:t xml:space="preserve">then you will hear from heaven their petition and their prayer and do justice for them.</w:t>
      </w:r>
    </w:p>
    <w:p>
      <w:r>
        <w:rPr>
          <w:b/>
        </w:rPr>
        <w:t xml:space="preserve">46 </w:t>
      </w:r>
      <w:r>
        <w:t xml:space="preserve">Because they will sin against you, for there is no human who will not sin, and you will bring against them and deliver them before enemies, and those who capture them will carry them captive to a far land or near,</w:t>
      </w:r>
    </w:p>
    <w:p>
      <w:r>
        <w:rPr>
          <w:b/>
        </w:rPr>
        <w:t xml:space="preserve">47 </w:t>
      </w:r>
      <w:r>
        <w:t xml:space="preserve">and they will turn their hearts back</w:t>
      </w:r>
      <w:r>
        <w:rPr>
          <w:rStyle w:val="FootnoteReference"/>
        </w:rPr>
        <w:footnoteReference w:id="6570"/>
      </w:r>
      <w:r>
        <w:t xml:space="preserve"> in the land where they were carried there and turn and entreat you in the land of their migration, saying</w:t>
      </w:r>
      <w:r>
        <w:rPr>
          <w:rStyle w:val="FootnoteReference"/>
        </w:rPr>
        <w:footnoteReference w:id="6571"/>
      </w:r>
      <w:r>
        <w:t xml:space="preserve">, We sinned, we acted lawlessly, we did wrong,</w:t>
      </w:r>
    </w:p>
    <w:p>
      <w:r>
        <w:rPr>
          <w:b/>
        </w:rPr>
        <w:t xml:space="preserve">48 </w:t>
      </w:r>
      <w:r>
        <w:t xml:space="preserve">and turn to you with all their heart and with all their soul in the land of their enemies where you carried them away, and they pray toward you in the direction of their land that you gave to their fathers, the city that I chose and the house that I built for your name,</w:t>
      </w:r>
    </w:p>
    <w:p>
      <w:r>
        <w:rPr>
          <w:b/>
        </w:rPr>
        <w:t xml:space="preserve">49 </w:t>
      </w:r>
      <w:r>
        <w:t xml:space="preserve">then you will hear from heaven from your ready dwelling place</w:t>
      </w:r>
    </w:p>
    <w:p>
      <w:r>
        <w:rPr>
          <w:b/>
        </w:rPr>
        <w:t xml:space="preserve">50 </w:t>
      </w:r>
      <w:r>
        <w:t xml:space="preserve">and be gracious to their wrongs by which they sinned against you and to all their rebellions with which they rebelled against you, and you will give them into compassions</w:t>
      </w:r>
      <w:r>
        <w:rPr>
          <w:rStyle w:val="FootnoteReference"/>
        </w:rPr>
        <w:footnoteReference w:id="6572"/>
      </w:r>
      <w:r>
        <w:t xml:space="preserve"> before those taking them captive, and they will pity them,</w:t>
      </w:r>
    </w:p>
    <w:p>
      <w:r>
        <w:rPr>
          <w:b/>
        </w:rPr>
        <w:t xml:space="preserve">51 </w:t>
      </w:r>
      <w:r>
        <w:t xml:space="preserve">because they are your people and your inheritance, whom you brought out from the land of Egypt, from the midst of the iron furnace.</w:t>
      </w:r>
    </w:p>
    <w:p>
      <w:r>
        <w:rPr>
          <w:b/>
        </w:rPr>
        <w:t xml:space="preserve">52 </w:t>
      </w:r>
      <w:r>
        <w:t xml:space="preserve">And let your eyes and your ears be opened toward the petition of your servant and toward the petition of your people Israel, to hear them in all things whatsoever they call on you for,</w:t>
      </w:r>
    </w:p>
    <w:p>
      <w:r>
        <w:rPr>
          <w:b/>
        </w:rPr>
        <w:t xml:space="preserve">53 </w:t>
      </w:r>
      <w:r>
        <w:t xml:space="preserve">because you set them apart to yourself for an inheritance from all the peoples of the earth, just as you spoke by the hand of your servant Moses, when you brought out our fathers from the land of Egypt, O Lord, Lord. Then Solomon spoke concerning the house, as he finished building it: The sun the Lord made known in heaven. He said he would dwell in gloom. Build my house, a splendid house for yourself, for dwelling in newness. Behold, is not this written in the Book of the Song?</w:t>
      </w:r>
      <w:r>
        <w:rPr>
          <w:rStyle w:val="FootnoteReference"/>
        </w:rPr>
        <w:footnoteReference w:id="6573"/>
      </w:r>
    </w:p>
    <w:p>
      <w:r>
        <w:rPr>
          <w:b/>
        </w:rPr>
        <w:t xml:space="preserve">54 </w:t>
      </w:r>
      <w:r>
        <w:t xml:space="preserve">And it came to be when Solomon</w:t>
      </w:r>
      <w:r>
        <w:rPr>
          <w:rStyle w:val="FootnoteReference"/>
        </w:rPr>
        <w:footnoteReference w:id="6574"/>
      </w:r>
      <w:r>
        <w:t xml:space="preserve"> finished praying to the Lord all this prayer and petition, he rose from before the altar of the Lord, kneeling upon his knees</w:t>
      </w:r>
      <w:r>
        <w:rPr>
          <w:rStyle w:val="FootnoteReference"/>
        </w:rPr>
        <w:footnoteReference w:id="6575"/>
      </w:r>
      <w:r>
        <w:t xml:space="preserve"> and his hands spread out toward heaven,</w:t>
      </w:r>
    </w:p>
    <w:p>
      <w:r>
        <w:rPr>
          <w:b/>
        </w:rPr>
        <w:t xml:space="preserve">55 </w:t>
      </w:r>
      <w:r>
        <w:t xml:space="preserve">and stood and blessed</w:t>
      </w:r>
      <w:r>
        <w:rPr>
          <w:rStyle w:val="FootnoteReference"/>
        </w:rPr>
        <w:footnoteReference w:id="6576"/>
      </w:r>
      <w:r>
        <w:t xml:space="preserve"> all the assembly of Israel with a loud voice, saying,</w:t>
      </w:r>
    </w:p>
    <w:p>
      <w:r>
        <w:rPr>
          <w:b/>
        </w:rPr>
        <w:t xml:space="preserve">56 </w:t>
      </w:r>
      <w:r>
        <w:t xml:space="preserve">Blessed is the Lord today, who gave rest to his people Israel according to all that he spoke. Not one word failed</w:t>
      </w:r>
      <w:r>
        <w:rPr>
          <w:rStyle w:val="FootnoteReference"/>
        </w:rPr>
        <w:footnoteReference w:id="6577"/>
      </w:r>
      <w:r>
        <w:t xml:space="preserve"> from all his good words that he spoke by the hand of Moses his servant.</w:t>
      </w:r>
    </w:p>
    <w:p>
      <w:r>
        <w:rPr>
          <w:b/>
        </w:rPr>
        <w:t xml:space="preserve">57 </w:t>
      </w:r>
      <w:r>
        <w:t xml:space="preserve">May the Lord our God be with us just as he was with our fathers. May he not leave us nor turn away from us,</w:t>
      </w:r>
    </w:p>
    <w:p>
      <w:r>
        <w:rPr>
          <w:b/>
        </w:rPr>
        <w:t xml:space="preserve">58 </w:t>
      </w:r>
      <w:r>
        <w:t xml:space="preserve">to incline</w:t>
      </w:r>
      <w:r>
        <w:rPr>
          <w:rStyle w:val="FootnoteReference"/>
        </w:rPr>
        <w:footnoteReference w:id="6578"/>
      </w:r>
      <w:r>
        <w:t xml:space="preserve"> our hearts toward him, to walk in all his ways and keep all his commandments and his ordinances, which he commanded our fathers.</w:t>
      </w:r>
    </w:p>
    <w:p>
      <w:r>
        <w:rPr>
          <w:b/>
        </w:rPr>
        <w:t xml:space="preserve">59 </w:t>
      </w:r>
      <w:r>
        <w:t xml:space="preserve">And let these words, which I have entreated before the Lord our God, be near to the Lord our God day and night, to do the justice of your servant and the justice of his people Israel, each day's matter on its day</w:t>
      </w:r>
      <w:r>
        <w:rPr>
          <w:rStyle w:val="FootnoteReference"/>
        </w:rPr>
        <w:footnoteReference w:id="6579"/>
      </w:r>
      <w:r>
        <w:t xml:space="preserve">,</w:t>
      </w:r>
    </w:p>
    <w:p>
      <w:r>
        <w:rPr>
          <w:b/>
        </w:rPr>
        <w:t xml:space="preserve">60 </w:t>
      </w:r>
      <w:r>
        <w:t xml:space="preserve">so that all</w:t>
      </w:r>
      <w:r>
        <w:rPr>
          <w:rStyle w:val="FootnoteReference"/>
        </w:rPr>
        <w:footnoteReference w:id="6580"/>
      </w:r>
      <w:r>
        <w:t xml:space="preserve"> the peoples of the earth may know that the Lord, he is God, and there is no other.</w:t>
      </w:r>
    </w:p>
    <w:p>
      <w:r>
        <w:rPr>
          <w:b/>
        </w:rPr>
        <w:t xml:space="preserve">61 </w:t>
      </w:r>
      <w:r>
        <w:t xml:space="preserve">And let our hearts be perfect</w:t>
      </w:r>
      <w:r>
        <w:rPr>
          <w:rStyle w:val="FootnoteReference"/>
        </w:rPr>
        <w:footnoteReference w:id="6581"/>
      </w:r>
      <w:r>
        <w:t xml:space="preserve"> toward the Lord our God and holy in walking in his ordinances and keeping his commandments, as on this day.</w:t>
      </w:r>
    </w:p>
    <w:p>
      <w:r>
        <w:rPr>
          <w:b/>
        </w:rPr>
        <w:t xml:space="preserve">62 </w:t>
      </w:r>
      <w:r>
        <w:t xml:space="preserve">And the king and all the sons of Israel sacrificed a sacrifice before the Lord.</w:t>
      </w:r>
    </w:p>
    <w:p>
      <w:r>
        <w:rPr>
          <w:b/>
        </w:rPr>
        <w:t xml:space="preserve">63 </w:t>
      </w:r>
      <w:r>
        <w:t xml:space="preserve">And King Solomon sacrificed the sacrifices of peace offerings</w:t>
      </w:r>
      <w:r>
        <w:rPr>
          <w:rStyle w:val="FootnoteReference"/>
        </w:rPr>
        <w:footnoteReference w:id="6582"/>
      </w:r>
      <w:r>
        <w:t xml:space="preserve"> that he sacrificed to the Lord, twenty-two thousand cattle and one hundred twenty thousand sheep. And the king and all the sons of Israel dedicated</w:t>
      </w:r>
      <w:r>
        <w:rPr>
          <w:rStyle w:val="FootnoteReference"/>
        </w:rPr>
        <w:footnoteReference w:id="6583"/>
      </w:r>
      <w:r>
        <w:t xml:space="preserve"> the house of the Lord.</w:t>
      </w:r>
    </w:p>
    <w:p>
      <w:r>
        <w:rPr>
          <w:b/>
        </w:rPr>
        <w:t xml:space="preserve">64 </w:t>
      </w:r>
      <w:r>
        <w:t xml:space="preserve">On that day the king consecrated the middle of the court that was before the house of the Lord, because there he made the whole burnt offering and the sacrifices and the fats of the peace offerings, because the bronze altar that was before the Lord was too small to carry the whole burnt offering and the sacrifices of the peace offerings.</w:t>
      </w:r>
      <w:r>
        <w:rPr>
          <w:rStyle w:val="FootnoteReference"/>
        </w:rPr>
        <w:footnoteReference w:id="6584"/>
      </w:r>
    </w:p>
    <w:p>
      <w:r>
        <w:rPr>
          <w:b/>
        </w:rPr>
        <w:t xml:space="preserve">65 </w:t>
      </w:r>
      <w:r>
        <w:t xml:space="preserve">And Solomon kept the feast on that day, and all Israel with him, a great</w:t>
      </w:r>
      <w:r>
        <w:rPr>
          <w:rStyle w:val="FootnoteReference"/>
        </w:rPr>
        <w:footnoteReference w:id="6585"/>
      </w:r>
      <w:r>
        <w:t xml:space="preserve"> assembly, from the entrance of Hamath to the river of Egypt, before the Lord our God, in the house that he built, eating and drinking and rejoicing before the Lord our God for seven days.</w:t>
      </w:r>
      <w:r>
        <w:rPr>
          <w:rStyle w:val="FootnoteReference"/>
        </w:rPr>
        <w:footnoteReference w:id="6586"/>
      </w:r>
    </w:p>
    <w:p>
      <w:r>
        <w:rPr>
          <w:b/>
        </w:rPr>
        <w:t xml:space="preserve">66 </w:t>
      </w:r>
      <w:r>
        <w:t xml:space="preserve">And on the eighth day</w:t>
      </w:r>
      <w:r>
        <w:rPr>
          <w:rStyle w:val="FootnoteReference"/>
        </w:rPr>
        <w:footnoteReference w:id="6587"/>
      </w:r>
      <w:r>
        <w:t xml:space="preserve"> he sent away the people and blessed them, and they went each to his tents, rejoicing and good of heart</w:t>
      </w:r>
      <w:r>
        <w:rPr>
          <w:rStyle w:val="FootnoteReference"/>
        </w:rPr>
        <w:footnoteReference w:id="6588"/>
      </w:r>
      <w:r>
        <w:t xml:space="preserve"> over the good things that the Lord did for David his servant and for Israel his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it came</w:t>
      </w:r>
      <w:r>
        <w:rPr>
          <w:rStyle w:val="FootnoteReference"/>
        </w:rPr>
        <w:footnoteReference w:id="6589"/>
      </w:r>
      <w:r>
        <w:t xml:space="preserve"> to be, when Solomon finished building the house of the Lord and the house of the king and all the workmanship of Solomon, whatever he desired to do,</w:t>
      </w:r>
    </w:p>
    <w:p>
      <w:r>
        <w:rPr>
          <w:b/>
        </w:rPr>
        <w:t xml:space="preserve">2 </w:t>
      </w:r>
      <w:r>
        <w:t xml:space="preserve">that the Lord appeared to Solomon a second time, just as he</w:t>
      </w:r>
      <w:r>
        <w:rPr>
          <w:rStyle w:val="FootnoteReference"/>
        </w:rPr>
        <w:footnoteReference w:id="6590"/>
      </w:r>
      <w:r>
        <w:t xml:space="preserve"> appeared at Gibeon.</w:t>
      </w:r>
    </w:p>
    <w:p>
      <w:r>
        <w:rPr>
          <w:b/>
        </w:rPr>
        <w:t xml:space="preserve">3 </w:t>
      </w:r>
      <w:r>
        <w:t xml:space="preserve">And the Lord said to him, I have heard</w:t>
      </w:r>
      <w:r>
        <w:rPr>
          <w:rStyle w:val="FootnoteReference"/>
        </w:rPr>
        <w:footnoteReference w:id="6591"/>
      </w:r>
      <w:r>
        <w:t xml:space="preserve"> the voice of your prayer and your petition with which you petitioned before me. I have done for you according to all your prayer. I have made this house holy that you built, to put my name there forever, and my eyes and my heart will be there all the days</w:t>
      </w:r>
      <w:r>
        <w:rPr>
          <w:rStyle w:val="FootnoteReference"/>
        </w:rPr>
        <w:footnoteReference w:id="6592"/>
      </w:r>
      <w:r>
        <w:t xml:space="preserve">.</w:t>
      </w:r>
    </w:p>
    <w:p>
      <w:r>
        <w:rPr>
          <w:b/>
        </w:rPr>
        <w:t xml:space="preserve">4 </w:t>
      </w:r>
      <w:r>
        <w:t xml:space="preserve">And you, if you walk before me just as David your father walked, in holiness of heart and in uprightness, doing according to all that I commanded him, and if you keep my ordinances and my commandments,</w:t>
      </w:r>
    </w:p>
    <w:p>
      <w:r>
        <w:rPr>
          <w:b/>
        </w:rPr>
        <w:t xml:space="preserve">5 </w:t>
      </w:r>
      <w:r>
        <w:t xml:space="preserve">then I will raise up the throne of your kingdom over Israel forever, just as I spoke to David your father, saying, A man leading in Israel will not be lifted away from you.</w:t>
      </w:r>
    </w:p>
    <w:p>
      <w:r>
        <w:rPr>
          <w:b/>
        </w:rPr>
        <w:t xml:space="preserve">6 </w:t>
      </w:r>
      <w:r>
        <w:t xml:space="preserve">But if by turning away you turn away</w:t>
      </w:r>
      <w:r>
        <w:rPr>
          <w:rStyle w:val="FootnoteReference"/>
        </w:rPr>
        <w:footnoteReference w:id="6593"/>
      </w:r>
      <w:r>
        <w:t xml:space="preserve">, you and your children, from me and do not keep my commandments and my ordinances that Moses gave before you, and you go and serve other gods and bow to them,</w:t>
      </w:r>
    </w:p>
    <w:p>
      <w:r>
        <w:rPr>
          <w:b/>
        </w:rPr>
        <w:t xml:space="preserve">7 </w:t>
      </w:r>
      <w:r>
        <w:t xml:space="preserve">then I will remove Israel from the land that I gave them, and this house</w:t>
      </w:r>
      <w:r>
        <w:rPr>
          <w:rStyle w:val="FootnoteReference"/>
        </w:rPr>
        <w:footnoteReference w:id="6594"/>
      </w:r>
      <w:r>
        <w:t xml:space="preserve"> that I made holy for my name I will cast away from before me, and Israel will become for ruin and for a proverb among all the peoples.</w:t>
      </w:r>
      <w:r>
        <w:rPr>
          <w:rStyle w:val="FootnoteReference"/>
        </w:rPr>
        <w:footnoteReference w:id="6595"/>
      </w:r>
    </w:p>
    <w:p>
      <w:r>
        <w:rPr>
          <w:b/>
        </w:rPr>
        <w:t xml:space="preserve">8 </w:t>
      </w:r>
      <w:r>
        <w:t xml:space="preserve">And this house, exalted as it is, everyone passing through it will be astonished and will hiss, and they will say, For what cause did the Lord do thus to this land and to this house?</w:t>
      </w:r>
    </w:p>
    <w:p>
      <w:r>
        <w:rPr>
          <w:b/>
        </w:rPr>
        <w:t xml:space="preserve">9 </w:t>
      </w:r>
      <w:r>
        <w:t xml:space="preserve">And they will say, Because they forsook the Lord their God who brought their fathers out of Egypt, from the house of slavery</w:t>
      </w:r>
      <w:r>
        <w:rPr>
          <w:rStyle w:val="FootnoteReference"/>
        </w:rPr>
        <w:footnoteReference w:id="6596"/>
      </w:r>
      <w:r>
        <w:t xml:space="preserve">, and they held fast to foreign gods and bowed to them and served them. Therefore</w:t>
      </w:r>
      <w:r>
        <w:rPr>
          <w:rStyle w:val="FootnoteReference"/>
        </w:rPr>
        <w:footnoteReference w:id="6597"/>
      </w:r>
      <w:r>
        <w:t xml:space="preserve"> the Lord brought upon them this evil. Then Solomon brought up the daughter of Pharaoh from the City of David to his house that he built for himself in those days.</w:t>
      </w:r>
    </w:p>
    <w:p>
      <w:r>
        <w:rPr>
          <w:b/>
        </w:rPr>
        <w:t xml:space="preserve">10 </w:t>
      </w:r>
      <w:r>
        <w:t xml:space="preserve">Twenty years in which Solomon built the two houses, the house of the Lord and the house of the king,</w:t>
      </w:r>
    </w:p>
    <w:p>
      <w:r>
        <w:rPr>
          <w:b/>
        </w:rPr>
        <w:t xml:space="preserve">11 </w:t>
      </w:r>
      <w:r>
        <w:t xml:space="preserve">Hiram king of Tyre had supported Solomon with cedar woods and pine woods and with gold and with all his desire. Then the king gave to Hiram twenty cities in the land of Galilee</w:t>
      </w:r>
      <w:r>
        <w:rPr>
          <w:rStyle w:val="FootnoteReference"/>
        </w:rPr>
        <w:footnoteReference w:id="6598"/>
      </w:r>
      <w:r>
        <w:t xml:space="preserve">.</w:t>
      </w:r>
    </w:p>
    <w:p>
      <w:r>
        <w:rPr>
          <w:b/>
        </w:rPr>
        <w:t xml:space="preserve">12 </w:t>
      </w:r>
      <w:r>
        <w:t xml:space="preserve">And Hiram went out from Tyre and went to Galilee to see the cities that Solomon gave him, and they were not pleasing to him.</w:t>
      </w:r>
    </w:p>
    <w:p>
      <w:r>
        <w:rPr>
          <w:b/>
        </w:rPr>
        <w:t xml:space="preserve">13 </w:t>
      </w:r>
      <w:r>
        <w:t xml:space="preserve">And he said, What are these cities that you gave me, brother? And he called them Border until this day.</w:t>
      </w:r>
    </w:p>
    <w:p>
      <w:r>
        <w:rPr>
          <w:b/>
        </w:rPr>
        <w:t xml:space="preserve">14 </w:t>
      </w:r>
      <w:r>
        <w:t xml:space="preserve">And Hiram brought to Solomon one hundred and twenty talents of gold.</w:t>
      </w:r>
    </w:p>
    <w:p>
      <w:r>
        <w:rPr>
          <w:b/>
        </w:rPr>
        <w:t xml:space="preserve">26 </w:t>
      </w:r>
      <w:r>
        <w:t xml:space="preserve">And King Solomon made a ship at Eziongeber</w:t>
      </w:r>
      <w:r>
        <w:rPr>
          <w:rStyle w:val="FootnoteReference"/>
        </w:rPr>
        <w:footnoteReference w:id="6599"/>
      </w:r>
      <w:r>
        <w:t xml:space="preserve">, which is near Elath</w:t>
      </w:r>
      <w:r>
        <w:rPr>
          <w:rStyle w:val="FootnoteReference"/>
        </w:rPr>
        <w:footnoteReference w:id="6600"/>
      </w:r>
      <w:r>
        <w:t xml:space="preserve"> on the shore of the last sea, in the land of Edom.</w:t>
      </w:r>
      <w:r>
        <w:rPr>
          <w:rStyle w:val="FootnoteReference"/>
        </w:rPr>
        <w:footnoteReference w:id="6601"/>
      </w:r>
    </w:p>
    <w:p>
      <w:r>
        <w:rPr>
          <w:b/>
        </w:rPr>
        <w:t xml:space="preserve">27 </w:t>
      </w:r>
      <w:r>
        <w:t xml:space="preserve">And Hiram sent in the ship his servants</w:t>
      </w:r>
      <w:r>
        <w:rPr>
          <w:rStyle w:val="FootnoteReference"/>
        </w:rPr>
        <w:footnoteReference w:id="6602"/>
      </w:r>
      <w:r>
        <w:t xml:space="preserve">, seafaring men skilled to drive the sea</w:t>
      </w:r>
      <w:r>
        <w:rPr>
          <w:rStyle w:val="FootnoteReference"/>
        </w:rPr>
        <w:footnoteReference w:id="6603"/>
      </w:r>
      <w:r>
        <w:t xml:space="preserve">, with the servants of Solomon.</w:t>
      </w:r>
    </w:p>
    <w:p>
      <w:r>
        <w:rPr>
          <w:b/>
        </w:rPr>
        <w:t xml:space="preserve">28 </w:t>
      </w:r>
      <w:r>
        <w:t xml:space="preserve">And they came to Ophir</w:t>
      </w:r>
      <w:r>
        <w:rPr>
          <w:rStyle w:val="FootnoteReference"/>
        </w:rPr>
        <w:footnoteReference w:id="6604"/>
      </w:r>
      <w:r>
        <w:t xml:space="preserve"> and took from there one hundred and twenty talents of gold and brought them to King Solomon.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the queen of Sheba</w:t>
      </w:r>
      <w:r>
        <w:rPr>
          <w:rStyle w:val="FootnoteReference"/>
        </w:rPr>
        <w:footnoteReference w:id="6605"/>
      </w:r>
      <w:r>
        <w:t xml:space="preserve"> heard Solomon's name and the name of the Lord and came to test him with riddles.</w:t>
      </w:r>
    </w:p>
    <w:p>
      <w:r>
        <w:rPr>
          <w:b/>
        </w:rPr>
        <w:t xml:space="preserve">2 </w:t>
      </w:r>
      <w:r>
        <w:t xml:space="preserve">And she came to Jerusalem with a very heavy force</w:t>
      </w:r>
      <w:r>
        <w:rPr>
          <w:rStyle w:val="FootnoteReference"/>
        </w:rPr>
        <w:footnoteReference w:id="6606"/>
      </w:r>
      <w:r>
        <w:t xml:space="preserve"> and camels carrying spices</w:t>
      </w:r>
      <w:r>
        <w:rPr>
          <w:rStyle w:val="FootnoteReference"/>
        </w:rPr>
        <w:footnoteReference w:id="6607"/>
      </w:r>
      <w:r>
        <w:t xml:space="preserve"> and very much gold and costly stone, and she entered to Solomon and spoke to him all that was in her heart.</w:t>
      </w:r>
    </w:p>
    <w:p>
      <w:r>
        <w:rPr>
          <w:b/>
        </w:rPr>
        <w:t xml:space="preserve">3 </w:t>
      </w:r>
      <w:r>
        <w:t xml:space="preserve">And Solomon reported to her all her words. There was not a word hidden from the king that he did not report to her.</w:t>
      </w:r>
    </w:p>
    <w:p>
      <w:r>
        <w:rPr>
          <w:b/>
        </w:rPr>
        <w:t xml:space="preserve">4 </w:t>
      </w:r>
      <w:r>
        <w:t xml:space="preserve">And the queen of Sheba saw all the understanding of Solomon and the house that he built,</w:t>
      </w:r>
    </w:p>
    <w:p>
      <w:r>
        <w:rPr>
          <w:b/>
        </w:rPr>
        <w:t xml:space="preserve">5 </w:t>
      </w:r>
      <w:r>
        <w:t xml:space="preserve">and the foods of Solomon and the seating of his servants and the standing of his ministers and his clothing and his cupbearers</w:t>
      </w:r>
      <w:r>
        <w:rPr>
          <w:rStyle w:val="FootnoteReference"/>
        </w:rPr>
        <w:footnoteReference w:id="6608"/>
      </w:r>
      <w:r>
        <w:t xml:space="preserve"> and his whole burnt offering that he offered up in the house of the Lord, and she was beside herself</w:t>
      </w:r>
      <w:r>
        <w:rPr>
          <w:rStyle w:val="FootnoteReference"/>
        </w:rPr>
        <w:footnoteReference w:id="6609"/>
      </w:r>
      <w:r>
        <w:t xml:space="preserve">.</w:t>
      </w:r>
    </w:p>
    <w:p>
      <w:r>
        <w:rPr>
          <w:b/>
        </w:rPr>
        <w:t xml:space="preserve">6 </w:t>
      </w:r>
      <w:r>
        <w:t xml:space="preserve">And she said to King Solomon, True is the word that I heard in my land concerning your words and concerning your understanding.</w:t>
      </w:r>
    </w:p>
    <w:p>
      <w:r>
        <w:rPr>
          <w:b/>
        </w:rPr>
        <w:t xml:space="preserve">7 </w:t>
      </w:r>
      <w:r>
        <w:t xml:space="preserve">And I did not believe those speaking to me until I came and my eyes saw. And behold, it is not even half according to what they reported to me. You have added goodness to all the report that I heard in my land.</w:t>
      </w:r>
    </w:p>
    <w:p>
      <w:r>
        <w:rPr>
          <w:b/>
        </w:rPr>
        <w:t xml:space="preserve">8 </w:t>
      </w:r>
      <w:r>
        <w:t xml:space="preserve">Blessed are your women. Blessed are these servants of yours who stand before you continually, hearing all your understanding.</w:t>
      </w:r>
    </w:p>
    <w:p>
      <w:r>
        <w:rPr>
          <w:b/>
        </w:rPr>
        <w:t xml:space="preserve">9 </w:t>
      </w:r>
      <w:r>
        <w:t xml:space="preserve">May the Lord your God be blessed</w:t>
      </w:r>
      <w:r>
        <w:rPr>
          <w:rStyle w:val="FootnoteReference"/>
        </w:rPr>
        <w:footnoteReference w:id="6610"/>
      </w:r>
      <w:r>
        <w:t xml:space="preserve">, who delighted in you to give you upon the throne of Israel, because the Lord loved Israel to establish it forever, and he set you as king over them to do judgment in righteousness and in their judgments.</w:t>
      </w:r>
    </w:p>
    <w:p>
      <w:r>
        <w:rPr>
          <w:b/>
        </w:rPr>
        <w:t xml:space="preserve">10 </w:t>
      </w:r>
      <w:r>
        <w:t xml:space="preserve">And she gave</w:t>
      </w:r>
      <w:r>
        <w:rPr>
          <w:rStyle w:val="FootnoteReference"/>
        </w:rPr>
        <w:footnoteReference w:id="6611"/>
      </w:r>
      <w:r>
        <w:t xml:space="preserve"> to Solomon one hundred and twenty talents of gold and very many spices and costly stone. Such a multitude of spices as those that the queen of Sheba gave to King Solomon had not come again.</w:t>
      </w:r>
      <w:r>
        <w:rPr>
          <w:rStyle w:val="FootnoteReference"/>
        </w:rPr>
        <w:footnoteReference w:id="6612"/>
      </w:r>
    </w:p>
    <w:p>
      <w:r>
        <w:rPr>
          <w:b/>
        </w:rPr>
        <w:t xml:space="preserve">11 </w:t>
      </w:r>
      <w:r>
        <w:t xml:space="preserve">And the ship of Hiram, carrying the gold from Ophir</w:t>
      </w:r>
      <w:r>
        <w:rPr>
          <w:rStyle w:val="FootnoteReference"/>
        </w:rPr>
        <w:footnoteReference w:id="6613"/>
      </w:r>
      <w:r>
        <w:t xml:space="preserve">, brought very many worked timbers and costly stone.</w:t>
      </w:r>
    </w:p>
    <w:p>
      <w:r>
        <w:rPr>
          <w:b/>
        </w:rPr>
        <w:t xml:space="preserve">12 </w:t>
      </w:r>
      <w:r>
        <w:t xml:space="preserve">And the king made the worked timbers into supports for the house of the Lord and for the house of the king and lyres and harps</w:t>
      </w:r>
      <w:r>
        <w:rPr>
          <w:rStyle w:val="FootnoteReference"/>
        </w:rPr>
        <w:footnoteReference w:id="6614"/>
      </w:r>
      <w:r>
        <w:t xml:space="preserve"> for the singers. Such worked timbers had not come upon the earth nor been seen anywhere until this day.</w:t>
      </w:r>
    </w:p>
    <w:p>
      <w:r>
        <w:rPr>
          <w:b/>
        </w:rPr>
        <w:t xml:space="preserve">13 </w:t>
      </w:r>
      <w:r>
        <w:t xml:space="preserve">And King Solomon gave to the queen of Sheba all that she desired, whatever she asked, besides all that he had given her by the hand of King Solomon. And she turned and went to her land, she and all her servants.</w:t>
      </w:r>
    </w:p>
    <w:p>
      <w:r>
        <w:rPr>
          <w:b/>
        </w:rPr>
        <w:t xml:space="preserve">14 </w:t>
      </w:r>
      <w:r>
        <w:t xml:space="preserve">And the weight of the gold coming to Solomon in one year was six hundred</w:t>
      </w:r>
      <w:r>
        <w:rPr>
          <w:rStyle w:val="FootnoteReference"/>
        </w:rPr>
        <w:footnoteReference w:id="6615"/>
      </w:r>
      <w:r>
        <w:t xml:space="preserve"> sixty-six talents of gold,</w:t>
      </w:r>
    </w:p>
    <w:p>
      <w:r>
        <w:rPr>
          <w:b/>
        </w:rPr>
        <w:t xml:space="preserve">15 </w:t>
      </w:r>
      <w:r>
        <w:t xml:space="preserve">besides the levies of the subjects and the merchants and all the kings</w:t>
      </w:r>
      <w:r>
        <w:rPr>
          <w:rStyle w:val="FootnoteReference"/>
        </w:rPr>
        <w:footnoteReference w:id="6616"/>
      </w:r>
      <w:r>
        <w:t xml:space="preserve"> from beyond and the satraps of the land.</w:t>
      </w:r>
    </w:p>
    <w:p>
      <w:r>
        <w:rPr>
          <w:b/>
        </w:rPr>
        <w:t xml:space="preserve">16 </w:t>
      </w:r>
      <w:r>
        <w:t xml:space="preserve">And Solomon made three hundred beaten-gold spears. Three hundred gold pieces were upon each spear.</w:t>
      </w:r>
    </w:p>
    <w:p>
      <w:r>
        <w:rPr>
          <w:b/>
        </w:rPr>
        <w:t xml:space="preserve">17 </w:t>
      </w:r>
      <w:r>
        <w:t xml:space="preserve">And three hundred beaten-gold shields, three minas of gold were in each shield, and he put them in the House</w:t>
      </w:r>
      <w:r>
        <w:rPr>
          <w:rStyle w:val="FootnoteReference"/>
        </w:rPr>
        <w:footnoteReference w:id="6617"/>
      </w:r>
      <w:r>
        <w:t xml:space="preserve"> of the Forest of Lebanon.</w:t>
      </w:r>
    </w:p>
    <w:p>
      <w:r>
        <w:rPr>
          <w:b/>
        </w:rPr>
        <w:t xml:space="preserve">18 </w:t>
      </w:r>
      <w:r>
        <w:t xml:space="preserve">And the king made a great ivory</w:t>
      </w:r>
      <w:r>
        <w:rPr>
          <w:rStyle w:val="FootnoteReference"/>
        </w:rPr>
        <w:footnoteReference w:id="6618"/>
      </w:r>
      <w:r>
        <w:t xml:space="preserve"> throne and covered it around with refined gold.</w:t>
      </w:r>
    </w:p>
    <w:p>
      <w:r>
        <w:rPr>
          <w:b/>
        </w:rPr>
        <w:t xml:space="preserve">19 </w:t>
      </w:r>
      <w:r>
        <w:t xml:space="preserve">Six steps belonged to the throne, and backs of calves belonged to the throne behind it, and hands on this side and on that side of the seat, and two lions standing beside the hands.</w:t>
      </w:r>
    </w:p>
    <w:p>
      <w:r>
        <w:rPr>
          <w:b/>
        </w:rPr>
        <w:t xml:space="preserve">20 </w:t>
      </w:r>
      <w:r>
        <w:t xml:space="preserve">And twelve lions</w:t>
      </w:r>
      <w:r>
        <w:rPr>
          <w:rStyle w:val="FootnoteReference"/>
        </w:rPr>
        <w:footnoteReference w:id="6619"/>
      </w:r>
      <w:r>
        <w:t xml:space="preserve"> standing upon the six steps on this side and on that. Thus it was not made for any kingdom.</w:t>
      </w:r>
    </w:p>
    <w:p>
      <w:r>
        <w:rPr>
          <w:b/>
        </w:rPr>
        <w:t xml:space="preserve">21 </w:t>
      </w:r>
      <w:r>
        <w:t xml:space="preserve">And all the drinking</w:t>
      </w:r>
      <w:r>
        <w:rPr>
          <w:rStyle w:val="FootnoteReference"/>
        </w:rPr>
        <w:footnoteReference w:id="6620"/>
      </w:r>
      <w:r>
        <w:t xml:space="preserve"> vessels of Solomon were golden, and the wash-basins were golden, all the vessels of the House of the Forest of Lebanon, of closed gold. There was no silver, because it was not reckoned in the days of Solomon.</w:t>
      </w:r>
    </w:p>
    <w:p>
      <w:r>
        <w:rPr>
          <w:b/>
        </w:rPr>
        <w:t xml:space="preserve">22 </w:t>
      </w:r>
      <w:r>
        <w:t xml:space="preserve">For the king had a ship of Tarshish in the sea with the ships of Hiram. Once every three years a ship from Tarshish would come to the king, bringing gold and silver and carved and hewn stones. This was the undertaking of the spoil that King Solomon brought up, to build the house of the Lord and the house of the king and the wall of Jerusalem and the citadel, to fence the enclosure of the City of David, and Asshur and Magdan and Gezer and upper Bethhoron and Iethermath and all the chariot-cities and all the horse-cities and the enterprise of Solomon that he undertook to build in Jerusalem and in all the land from the beginning of his rule. All the people remaining from the Hittite and the Amorite and the Perizzite and the Canaanite and the Hivite and the Jebusite and the Girgashite, who were not from the sons of Israel, whose children remained after them in the land, whom the sons of Israel were not able to destroy utterly, Solomon brought them up into levy until this day. But from the sons of Israel Solomon did not assign any to forced work, because they were the warrior men and his servants and his rulers of his chariots and his horsemen.</w:t>
      </w:r>
    </w:p>
    <w:p>
      <w:r>
        <w:rPr>
          <w:b/>
        </w:rPr>
        <w:t xml:space="preserve">23 </w:t>
      </w:r>
      <w:r>
        <w:t xml:space="preserve">And Solomon was made greater than all the kings of the earth in wealth and understanding.</w:t>
      </w:r>
    </w:p>
    <w:p>
      <w:r>
        <w:rPr>
          <w:b/>
        </w:rPr>
        <w:t xml:space="preserve">24 </w:t>
      </w:r>
      <w:r>
        <w:t xml:space="preserve">And all the kings of the earth were seeking the face of Solomon to hear his understanding that the Lord put in his heart.</w:t>
      </w:r>
    </w:p>
    <w:p>
      <w:r>
        <w:rPr>
          <w:b/>
        </w:rPr>
        <w:t xml:space="preserve">25 </w:t>
      </w:r>
      <w:r>
        <w:t xml:space="preserve">And they were bringing each his gifts: golden vessels and clothing and myrrh and spices and horses and mules</w:t>
      </w:r>
      <w:r>
        <w:rPr>
          <w:rStyle w:val="FootnoteReference"/>
        </w:rPr>
        <w:footnoteReference w:id="6621"/>
      </w:r>
      <w:r>
        <w:t xml:space="preserve">, according to year by year.</w:t>
      </w:r>
    </w:p>
    <w:p>
      <w:r>
        <w:rPr>
          <w:b/>
        </w:rPr>
        <w:t xml:space="preserve">26 </w:t>
      </w:r>
      <w:r>
        <w:t xml:space="preserve">And Solomon</w:t>
      </w:r>
      <w:r>
        <w:rPr>
          <w:rStyle w:val="FootnoteReference"/>
        </w:rPr>
        <w:footnoteReference w:id="6622"/>
      </w:r>
      <w:r>
        <w:t xml:space="preserve"> had four thousand brood mares for chariots</w:t>
      </w:r>
      <w:r>
        <w:rPr>
          <w:rStyle w:val="FootnoteReference"/>
        </w:rPr>
        <w:footnoteReference w:id="6623"/>
      </w:r>
      <w:r>
        <w:t xml:space="preserve"> and twelve thousand horsemen, and he placed them in the cities of the chariots and with the king in Jerusalem. And he was ruling all the kings from the river even to the land of the foreigners and to the borders of Egypt.</w:t>
      </w:r>
    </w:p>
    <w:p>
      <w:r>
        <w:rPr>
          <w:b/>
        </w:rPr>
        <w:t xml:space="preserve">27 </w:t>
      </w:r>
      <w:r>
        <w:t xml:space="preserve">And the king made the gold and the silver in Jerusalem like stones, and the cedars he made like the sycamores in the plain in multitude.</w:t>
      </w:r>
    </w:p>
    <w:p>
      <w:r>
        <w:rPr>
          <w:b/>
        </w:rPr>
        <w:t xml:space="preserve">28 </w:t>
      </w:r>
      <w:r>
        <w:t xml:space="preserve">And the export of the horses of Solomon was from Egypt and from Kue</w:t>
      </w:r>
      <w:r>
        <w:rPr>
          <w:rStyle w:val="FootnoteReference"/>
        </w:rPr>
        <w:footnoteReference w:id="6624"/>
      </w:r>
      <w:r>
        <w:t xml:space="preserve">. The merchants of the king were receiving them from Kue by exchange.</w:t>
      </w:r>
    </w:p>
    <w:p>
      <w:r>
        <w:rPr>
          <w:b/>
        </w:rPr>
        <w:t xml:space="preserve">29 </w:t>
      </w:r>
      <w:r>
        <w:t xml:space="preserve">And an export chariot would come up from Egypt for one hundred silver pieces</w:t>
      </w:r>
      <w:r>
        <w:rPr>
          <w:rStyle w:val="FootnoteReference"/>
        </w:rPr>
        <w:footnoteReference w:id="6625"/>
      </w:r>
      <w:r>
        <w:t xml:space="preserve"> and a horse for fifty silver pieces, and so they would go out by sea for all the kings</w:t>
      </w:r>
      <w:r>
        <w:rPr>
          <w:rStyle w:val="FootnoteReference"/>
        </w:rPr>
        <w:footnoteReference w:id="6626"/>
      </w:r>
      <w:r>
        <w:t xml:space="preserve"> of the Hittites and the kings of Syria.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King Solomon was a lover of women, and he had seven hundred wives who were rulers and three hundred concubines, and he took foreign wives, and the daughter of Pharaoh, Moabites, Ammonites, Syrians, Edomites, Hittites, and Amorites,</w:t>
      </w:r>
    </w:p>
    <w:p>
      <w:r>
        <w:rPr>
          <w:b/>
        </w:rPr>
        <w:t xml:space="preserve">2 </w:t>
      </w:r>
      <w:r>
        <w:t xml:space="preserve">from the nations of which the Lord said to the sons of Israel, You shall not go in to them, and they shall not go in to you, lest they turn your hearts aside after their idols</w:t>
      </w:r>
      <w:r>
        <w:rPr>
          <w:rStyle w:val="FootnoteReference"/>
        </w:rPr>
        <w:footnoteReference w:id="6627"/>
      </w:r>
      <w:r>
        <w:t xml:space="preserve">. To these Solomon</w:t>
      </w:r>
      <w:r>
        <w:rPr>
          <w:rStyle w:val="FootnoteReference"/>
        </w:rPr>
        <w:footnoteReference w:id="6628"/>
      </w:r>
      <w:r>
        <w:t xml:space="preserve"> clung, to love.</w:t>
      </w:r>
    </w:p>
    <w:p>
      <w:r>
        <w:rPr>
          <w:b/>
        </w:rPr>
        <w:t xml:space="preserve">4 </w:t>
      </w:r>
      <w:r>
        <w:t xml:space="preserve">And it came to be in the time of Solomon's old age, and his heart</w:t>
      </w:r>
      <w:r>
        <w:rPr>
          <w:rStyle w:val="FootnoteReference"/>
        </w:rPr>
        <w:footnoteReference w:id="6629"/>
      </w:r>
      <w:r>
        <w:t xml:space="preserve"> was not perfect with the Lord his God like the heart of David his father, and the foreign women turned aside his heart after their gods.</w:t>
      </w:r>
    </w:p>
    <w:p>
      <w:r>
        <w:rPr>
          <w:b/>
        </w:rPr>
        <w:t xml:space="preserve">5 </w:t>
      </w:r>
      <w:r>
        <w:t xml:space="preserve">Then Solomon built a high place for Chemosh, idol of Moab, and for their king, idol of the sons of Ammon,</w:t>
      </w:r>
    </w:p>
    <w:p>
      <w:r>
        <w:rPr>
          <w:b/>
        </w:rPr>
        <w:t xml:space="preserve">6 </w:t>
      </w:r>
      <w:r>
        <w:t xml:space="preserve">and for Ashtaroth, abomination of the Sidonians.</w:t>
      </w:r>
    </w:p>
    <w:p>
      <w:r>
        <w:rPr>
          <w:b/>
        </w:rPr>
        <w:t xml:space="preserve">7 </w:t>
      </w:r>
      <w:r>
        <w:t xml:space="preserve">And thus he did for all his foreign wives, burning incense and sacrificing</w:t>
      </w:r>
      <w:r>
        <w:rPr>
          <w:rStyle w:val="FootnoteReference"/>
        </w:rPr>
        <w:footnoteReference w:id="6630"/>
      </w:r>
      <w:r>
        <w:t xml:space="preserve"> to their idols.</w:t>
      </w:r>
    </w:p>
    <w:p>
      <w:r>
        <w:rPr>
          <w:b/>
        </w:rPr>
        <w:t xml:space="preserve">8 </w:t>
      </w:r>
      <w:r>
        <w:t xml:space="preserve">And Solomon did evil before the Lord. He did not walk after the Lord as David his father did.</w:t>
      </w:r>
    </w:p>
    <w:p>
      <w:r>
        <w:rPr>
          <w:b/>
        </w:rPr>
        <w:t xml:space="preserve">9 </w:t>
      </w:r>
      <w:r>
        <w:t xml:space="preserve">And the Lord was angered against Solomon because he turned his heart</w:t>
      </w:r>
      <w:r>
        <w:rPr>
          <w:rStyle w:val="FootnoteReference"/>
        </w:rPr>
        <w:footnoteReference w:id="6631"/>
      </w:r>
      <w:r>
        <w:t xml:space="preserve"> away from the Lord God of Israel, who appeared to him twice,</w:t>
      </w:r>
    </w:p>
    <w:p>
      <w:r>
        <w:rPr>
          <w:b/>
        </w:rPr>
        <w:t xml:space="preserve">10 </w:t>
      </w:r>
      <w:r>
        <w:t xml:space="preserve">and who had commanded</w:t>
      </w:r>
      <w:r>
        <w:rPr>
          <w:rStyle w:val="FootnoteReference"/>
        </w:rPr>
        <w:footnoteReference w:id="6632"/>
      </w:r>
      <w:r>
        <w:t xml:space="preserve"> him concerning this matter, not at all to go after other gods, and to keep and do what the Lord God commanded him.</w:t>
      </w:r>
    </w:p>
    <w:p>
      <w:r>
        <w:rPr>
          <w:b/>
        </w:rPr>
        <w:t xml:space="preserve">11 </w:t>
      </w:r>
      <w:r>
        <w:t xml:space="preserve">And the Lord said to Solomon, Because these things came to be with you and you did not keep my commandments and my ordinances that I commanded you, in tearing I will tear</w:t>
      </w:r>
      <w:r>
        <w:rPr>
          <w:rStyle w:val="FootnoteReference"/>
        </w:rPr>
        <w:footnoteReference w:id="6633"/>
      </w:r>
      <w:r>
        <w:t xml:space="preserve"> your kingdom out of your hand and give it to your servant.</w:t>
      </w:r>
    </w:p>
    <w:p>
      <w:r>
        <w:rPr>
          <w:b/>
        </w:rPr>
        <w:t xml:space="preserve">12 </w:t>
      </w:r>
      <w:r>
        <w:t xml:space="preserve">Yet in your days I will not do it, for the sake of David your father. From the hand of your son I will take it.</w:t>
      </w:r>
    </w:p>
    <w:p>
      <w:r>
        <w:rPr>
          <w:b/>
        </w:rPr>
        <w:t xml:space="preserve">13 </w:t>
      </w:r>
      <w:r>
        <w:t xml:space="preserve">Yet I will not take the whole kingdom. I will give one scepter to your son for the sake of David my servant and for the sake of Jerusalem, the city that I chose.</w:t>
      </w:r>
    </w:p>
    <w:p>
      <w:r>
        <w:rPr>
          <w:b/>
        </w:rPr>
        <w:t xml:space="preserve">14 </w:t>
      </w:r>
      <w:r>
        <w:t xml:space="preserve">And the Lord</w:t>
      </w:r>
      <w:r>
        <w:rPr>
          <w:rStyle w:val="FootnoteReference"/>
        </w:rPr>
        <w:footnoteReference w:id="6634"/>
      </w:r>
      <w:r>
        <w:t xml:space="preserve"> raised up an adversary against Solomon, Hadad the Edomite, and Hezron son of Eliada</w:t>
      </w:r>
      <w:r>
        <w:rPr>
          <w:rStyle w:val="FootnoteReference"/>
        </w:rPr>
        <w:footnoteReference w:id="6635"/>
      </w:r>
      <w:r>
        <w:t xml:space="preserve">, who was in Ramah</w:t>
      </w:r>
      <w:r>
        <w:rPr>
          <w:rStyle w:val="FootnoteReference"/>
        </w:rPr>
        <w:footnoteReference w:id="6636"/>
      </w:r>
      <w:r>
        <w:t xml:space="preserve">, of Hadadezer</w:t>
      </w:r>
      <w:r>
        <w:rPr>
          <w:rStyle w:val="FootnoteReference"/>
        </w:rPr>
        <w:footnoteReference w:id="6637"/>
      </w:r>
      <w:r>
        <w:t xml:space="preserve"> king of Zobah</w:t>
      </w:r>
      <w:r>
        <w:rPr>
          <w:rStyle w:val="FootnoteReference"/>
        </w:rPr>
        <w:footnoteReference w:id="6638"/>
      </w:r>
      <w:r>
        <w:t xml:space="preserve"> his lord. And men were gathered to him, and he was the chief of a band, and he took Damascus beforehand, and they were an adversary to Israel all the days of Solomon. And Hadad the Edomite was from the seed of the kingdom in Edom.</w:t>
      </w:r>
    </w:p>
    <w:p>
      <w:r>
        <w:rPr>
          <w:b/>
        </w:rPr>
        <w:t xml:space="preserve">15 </w:t>
      </w:r>
      <w:r>
        <w:t xml:space="preserve">And it happened when David</w:t>
      </w:r>
      <w:r>
        <w:rPr>
          <w:rStyle w:val="FootnoteReference"/>
        </w:rPr>
        <w:footnoteReference w:id="6639"/>
      </w:r>
      <w:r>
        <w:t xml:space="preserve"> was destroying Edom, when Joab commander of the army went to bury the wounded, they cut down every male in Edom.</w:t>
      </w:r>
    </w:p>
    <w:p>
      <w:r>
        <w:rPr>
          <w:b/>
        </w:rPr>
        <w:t xml:space="preserve">16 </w:t>
      </w:r>
      <w:r>
        <w:t xml:space="preserve">For six months Joab and all Israel sat there in Edom until he destroyed every male from Edom.</w:t>
      </w:r>
    </w:p>
    <w:p>
      <w:r>
        <w:rPr>
          <w:b/>
        </w:rPr>
        <w:t xml:space="preserve">17 </w:t>
      </w:r>
      <w:r>
        <w:t xml:space="preserve">And Hadad</w:t>
      </w:r>
      <w:r>
        <w:rPr>
          <w:rStyle w:val="FootnoteReference"/>
        </w:rPr>
        <w:footnoteReference w:id="6640"/>
      </w:r>
      <w:r>
        <w:t xml:space="preserve"> fled, he and all the Edomite men from the servants of his father with him, and they entered into Egypt, and Hadad was a small boy.</w:t>
      </w:r>
    </w:p>
    <w:p>
      <w:r>
        <w:rPr>
          <w:b/>
        </w:rPr>
        <w:t xml:space="preserve">18 </w:t>
      </w:r>
      <w:r>
        <w:t xml:space="preserve">And men rose from the city of Midian</w:t>
      </w:r>
      <w:r>
        <w:rPr>
          <w:rStyle w:val="FootnoteReference"/>
        </w:rPr>
        <w:footnoteReference w:id="6641"/>
      </w:r>
      <w:r>
        <w:t xml:space="preserve"> and came to Paran and took men with them and came to Pharaoh king of Egypt. And Hadad entered to Pharaoh, and he gave him a house and appointed bread for him</w:t>
      </w:r>
      <w:r>
        <w:rPr>
          <w:rStyle w:val="FootnoteReference"/>
        </w:rPr>
        <w:footnoteReference w:id="6642"/>
      </w:r>
      <w:r>
        <w:t xml:space="preserve">.</w:t>
      </w:r>
    </w:p>
    <w:p>
      <w:r>
        <w:rPr>
          <w:b/>
        </w:rPr>
        <w:t xml:space="preserve">19 </w:t>
      </w:r>
      <w:r>
        <w:t xml:space="preserve">And Hadad found</w:t>
      </w:r>
      <w:r>
        <w:rPr>
          <w:rStyle w:val="FootnoteReference"/>
        </w:rPr>
        <w:footnoteReference w:id="6643"/>
      </w:r>
      <w:r>
        <w:t xml:space="preserve"> favor before Pharaoh greatly, and he gave him as wife the sister of his own wife, sister of Tahpenes</w:t>
      </w:r>
      <w:r>
        <w:rPr>
          <w:rStyle w:val="FootnoteReference"/>
        </w:rPr>
        <w:footnoteReference w:id="6644"/>
      </w:r>
      <w:r>
        <w:t xml:space="preserve"> the elder.</w:t>
      </w:r>
    </w:p>
    <w:p>
      <w:r>
        <w:rPr>
          <w:b/>
        </w:rPr>
        <w:t xml:space="preserve">20 </w:t>
      </w:r>
      <w:r>
        <w:t xml:space="preserve">And the sister of Tahpenes bore to Hadad Genubath</w:t>
      </w:r>
      <w:r>
        <w:rPr>
          <w:rStyle w:val="FootnoteReference"/>
        </w:rPr>
        <w:footnoteReference w:id="6645"/>
      </w:r>
      <w:r>
        <w:t xml:space="preserve"> her son, and Tahpenes weaned</w:t>
      </w:r>
      <w:r>
        <w:rPr>
          <w:rStyle w:val="FootnoteReference"/>
        </w:rPr>
        <w:footnoteReference w:id="6646"/>
      </w:r>
      <w:r>
        <w:t xml:space="preserve"> him in the midst of the sons of Pharaoh, and Genubath was in the midst of the sons of Pharaoh.</w:t>
      </w:r>
    </w:p>
    <w:p>
      <w:r>
        <w:rPr>
          <w:b/>
        </w:rPr>
        <w:t xml:space="preserve">21 </w:t>
      </w:r>
      <w:r>
        <w:t xml:space="preserve">And Hadad</w:t>
      </w:r>
      <w:r>
        <w:rPr>
          <w:rStyle w:val="FootnoteReference"/>
        </w:rPr>
        <w:footnoteReference w:id="6647"/>
      </w:r>
      <w:r>
        <w:t xml:space="preserve"> heard in Egypt that David had slept with his fathers and that Joab the commander of the army had died, and Hadad said to Pharaoh, Send me away, and I will return to my land.</w:t>
      </w:r>
    </w:p>
    <w:p>
      <w:r>
        <w:rPr>
          <w:b/>
        </w:rPr>
        <w:t xml:space="preserve">22 </w:t>
      </w:r>
      <w:r>
        <w:t xml:space="preserve">And Pharaoh said to Hadad, In what are you lacking with me? And behold, you seek to go away to your land. And Hadad said to him, In sending away, send me away. And Hadad returned to his land.</w:t>
      </w:r>
    </w:p>
    <w:p>
      <w:r>
        <w:rPr>
          <w:b/>
        </w:rPr>
        <w:t xml:space="preserve">25 </w:t>
      </w:r>
      <w:r>
        <w:t xml:space="preserve">This was the evil that Hadad did, and he was disgusted with Israel, and he reigned in the land of Edom.</w:t>
      </w:r>
    </w:p>
    <w:p>
      <w:r>
        <w:rPr>
          <w:b/>
        </w:rPr>
        <w:t xml:space="preserve">26 </w:t>
      </w:r>
      <w:r>
        <w:t xml:space="preserve">And Jeroboam</w:t>
      </w:r>
      <w:r>
        <w:rPr>
          <w:rStyle w:val="FootnoteReference"/>
        </w:rPr>
        <w:footnoteReference w:id="6648"/>
      </w:r>
      <w:r>
        <w:t xml:space="preserve"> son of Nebat</w:t>
      </w:r>
      <w:r>
        <w:rPr>
          <w:rStyle w:val="FootnoteReference"/>
        </w:rPr>
        <w:footnoteReference w:id="6649"/>
      </w:r>
      <w:r>
        <w:t xml:space="preserve">, the Ephrathite</w:t>
      </w:r>
      <w:r>
        <w:rPr>
          <w:rStyle w:val="FootnoteReference"/>
        </w:rPr>
        <w:footnoteReference w:id="6650"/>
      </w:r>
      <w:r>
        <w:t xml:space="preserve"> from Zereda</w:t>
      </w:r>
      <w:r>
        <w:rPr>
          <w:rStyle w:val="FootnoteReference"/>
        </w:rPr>
        <w:footnoteReference w:id="6651"/>
      </w:r>
      <w:r>
        <w:t xml:space="preserve">, son of a widow woman, a servant of Solomon,</w:t>
      </w:r>
      <w:r>
        <w:rPr>
          <w:rStyle w:val="FootnoteReference"/>
        </w:rPr>
        <w:footnoteReference w:id="6652"/>
      </w:r>
    </w:p>
    <w:p>
      <w:r>
        <w:rPr>
          <w:b/>
        </w:rPr>
        <w:t xml:space="preserve">27 </w:t>
      </w:r>
      <w:r>
        <w:t xml:space="preserve">and this was the matter in which he lifted his hands against King Solomon</w:t>
      </w:r>
      <w:r>
        <w:rPr>
          <w:rStyle w:val="FootnoteReference"/>
        </w:rPr>
        <w:footnoteReference w:id="6653"/>
      </w:r>
      <w:r>
        <w:t xml:space="preserve">: he built the citadel; he closed up the breach of the City of David his father.</w:t>
      </w:r>
    </w:p>
    <w:p>
      <w:r>
        <w:rPr>
          <w:b/>
        </w:rPr>
        <w:t xml:space="preserve">28 </w:t>
      </w:r>
      <w:r>
        <w:t xml:space="preserve">And the man Jeroboam was strong in power, and Solomon saw the young man that he was a man of works, and he appointed him over the burdens of the house</w:t>
      </w:r>
      <w:r>
        <w:rPr>
          <w:rStyle w:val="FootnoteReference"/>
        </w:rPr>
        <w:footnoteReference w:id="6654"/>
      </w:r>
      <w:r>
        <w:t xml:space="preserve"> of Joseph.</w:t>
      </w:r>
    </w:p>
    <w:p>
      <w:r>
        <w:rPr>
          <w:b/>
        </w:rPr>
        <w:t xml:space="preserve">29 </w:t>
      </w:r>
      <w:r>
        <w:t xml:space="preserve">And it came to be at that time that Jeroboam went out from Jerusalem, and Ahijah</w:t>
      </w:r>
      <w:r>
        <w:rPr>
          <w:rStyle w:val="FootnoteReference"/>
        </w:rPr>
        <w:footnoteReference w:id="6655"/>
      </w:r>
      <w:r>
        <w:t xml:space="preserve"> the Shilonite</w:t>
      </w:r>
      <w:r>
        <w:rPr>
          <w:rStyle w:val="FootnoteReference"/>
        </w:rPr>
        <w:footnoteReference w:id="6656"/>
      </w:r>
      <w:r>
        <w:t xml:space="preserve"> the prophet found him on the road, and he pulled him off the road. And Ahijah was clothed with a new garment, and both were in the open country.</w:t>
      </w:r>
      <w:r>
        <w:rPr>
          <w:rStyle w:val="FootnoteReference"/>
        </w:rPr>
        <w:footnoteReference w:id="6657"/>
      </w:r>
    </w:p>
    <w:p>
      <w:r>
        <w:rPr>
          <w:b/>
        </w:rPr>
        <w:t xml:space="preserve">30 </w:t>
      </w:r>
      <w:r>
        <w:t xml:space="preserve">And Ahijah took hold of his new garment that was upon him and tore it into twelve pieces.</w:t>
      </w:r>
    </w:p>
    <w:p>
      <w:r>
        <w:rPr>
          <w:b/>
        </w:rPr>
        <w:t xml:space="preserve">31 </w:t>
      </w:r>
      <w:r>
        <w:t xml:space="preserve">And he said to Jeroboam, Take for yourself ten pieces, because thus says the Lord God of Israel: Behold, I am tearing the kingdom from the hand of Solomon, and I will give you ten scepters.</w:t>
      </w:r>
    </w:p>
    <w:p>
      <w:r>
        <w:rPr>
          <w:b/>
        </w:rPr>
        <w:t xml:space="preserve">32 </w:t>
      </w:r>
      <w:r>
        <w:t xml:space="preserve">And two scepters will belong to him for the sake of my servant David and for the sake of Jerusalem, the city that I chose in it from all the tribes of Israel,</w:t>
      </w:r>
    </w:p>
    <w:p>
      <w:r>
        <w:rPr>
          <w:b/>
        </w:rPr>
        <w:t xml:space="preserve">33 </w:t>
      </w:r>
      <w:r>
        <w:t xml:space="preserve">because he forsook me and did to Ashtaroth, abomination of the Sidonians, and to Chemosh and to the idols of Moab and to their king, provocation</w:t>
      </w:r>
      <w:r>
        <w:rPr>
          <w:rStyle w:val="FootnoteReference"/>
        </w:rPr>
        <w:footnoteReference w:id="6658"/>
      </w:r>
      <w:r>
        <w:t xml:space="preserve"> of the sons of Ammon, and he did not walk in my ways to do what is right before me, as David his father did.</w:t>
      </w:r>
    </w:p>
    <w:p>
      <w:r>
        <w:rPr>
          <w:b/>
        </w:rPr>
        <w:t xml:space="preserve">34 </w:t>
      </w:r>
      <w:r>
        <w:t xml:space="preserve">And I will not take the whole kingdom from his hand, because in resisting I will resist him all the days of his life for the sake of David my servant, whom I chose.</w:t>
      </w:r>
    </w:p>
    <w:p>
      <w:r>
        <w:rPr>
          <w:b/>
        </w:rPr>
        <w:t xml:space="preserve">35 </w:t>
      </w:r>
      <w:r>
        <w:t xml:space="preserve">And I will take</w:t>
      </w:r>
      <w:r>
        <w:rPr>
          <w:rStyle w:val="FootnoteReference"/>
        </w:rPr>
        <w:footnoteReference w:id="6659"/>
      </w:r>
      <w:r>
        <w:t xml:space="preserve"> the kingdom from the hand of his son and give you the ten scepters.</w:t>
      </w:r>
    </w:p>
    <w:p>
      <w:r>
        <w:rPr>
          <w:b/>
        </w:rPr>
        <w:t xml:space="preserve">36 </w:t>
      </w:r>
      <w:r>
        <w:t xml:space="preserve">And to his son I will give the two scepters, so that there may be a setting for my servant David</w:t>
      </w:r>
      <w:r>
        <w:rPr>
          <w:rStyle w:val="FootnoteReference"/>
        </w:rPr>
        <w:footnoteReference w:id="6660"/>
      </w:r>
      <w:r>
        <w:t xml:space="preserve"> all the days before me in Jerusalem, the city that I chose for myself to put my name there.</w:t>
      </w:r>
    </w:p>
    <w:p>
      <w:r>
        <w:rPr>
          <w:b/>
        </w:rPr>
        <w:t xml:space="preserve">37 </w:t>
      </w:r>
      <w:r>
        <w:t xml:space="preserve">And I will take you, and you will reign over whatever your soul desires, and you will be king over Israel.</w:t>
      </w:r>
    </w:p>
    <w:p>
      <w:r>
        <w:rPr>
          <w:b/>
        </w:rPr>
        <w:t xml:space="preserve">38 </w:t>
      </w:r>
      <w:r>
        <w:t xml:space="preserve">And it will be, if you keep all that I command you and walk in my ways and do what is right before me, to keep my commandments and my ordinances just as David my servant did, then I will be with you and build for you a faithful house</w:t>
      </w:r>
      <w:r>
        <w:rPr>
          <w:rStyle w:val="FootnoteReference"/>
        </w:rPr>
        <w:footnoteReference w:id="6661"/>
      </w:r>
      <w:r>
        <w:t xml:space="preserve"> just as I built for David.</w:t>
      </w:r>
    </w:p>
    <w:p>
      <w:r>
        <w:rPr>
          <w:b/>
        </w:rPr>
        <w:t xml:space="preserve">40 </w:t>
      </w:r>
      <w:r>
        <w:t xml:space="preserve">And Solomon sought</w:t>
      </w:r>
      <w:r>
        <w:rPr>
          <w:rStyle w:val="FootnoteReference"/>
        </w:rPr>
        <w:footnoteReference w:id="6662"/>
      </w:r>
      <w:r>
        <w:t xml:space="preserve"> to put Jeroboam to death, and he rose and fled into Egypt to Shishak king of Egypt and was in Egypt until Solomon died.</w:t>
      </w:r>
    </w:p>
    <w:p>
      <w:r>
        <w:rPr>
          <w:b/>
        </w:rPr>
        <w:t xml:space="preserve">41 </w:t>
      </w:r>
      <w:r>
        <w:t xml:space="preserve">And the rest</w:t>
      </w:r>
      <w:r>
        <w:rPr>
          <w:rStyle w:val="FootnoteReference"/>
        </w:rPr>
        <w:footnoteReference w:id="6663"/>
      </w:r>
      <w:r>
        <w:t xml:space="preserve"> of the matters of Solomon and all that he did and all his understanding, behold, are these not written in the Book of the Matters of Solomon?</w:t>
      </w:r>
    </w:p>
    <w:p>
      <w:r>
        <w:rPr>
          <w:b/>
        </w:rPr>
        <w:t xml:space="preserve">42 </w:t>
      </w:r>
      <w:r>
        <w:t xml:space="preserve">And the days that Solomon reigned in Jerusalem were forty years</w:t>
      </w:r>
      <w:r>
        <w:rPr>
          <w:rStyle w:val="FootnoteReference"/>
        </w:rPr>
        <w:footnoteReference w:id="6664"/>
      </w:r>
      <w:r>
        <w:t xml:space="preserve">.</w:t>
      </w:r>
    </w:p>
    <w:p>
      <w:r>
        <w:rPr>
          <w:b/>
        </w:rPr>
        <w:t xml:space="preserve">43 </w:t>
      </w:r>
      <w:r>
        <w:t xml:space="preserve">And Solomon slept</w:t>
      </w:r>
      <w:r>
        <w:rPr>
          <w:rStyle w:val="FootnoteReference"/>
        </w:rPr>
        <w:footnoteReference w:id="6665"/>
      </w:r>
      <w:r>
        <w:t xml:space="preserve"> with his fathers, and they buried him in the City of David his father. And it happened when Jeroboam son of Nebat heard, while he was still in Egypt, as he fled from before Solomon and sat in Egypt, that he set straight and comes to his city, to the land of Zereda in the hill country of Ephraim. And King Solomon slept with his fathers, and Rehoboam</w:t>
      </w:r>
      <w:r>
        <w:rPr>
          <w:rStyle w:val="FootnoteReference"/>
        </w:rPr>
        <w:footnoteReference w:id="6666"/>
      </w:r>
      <w:r>
        <w:t xml:space="preserve">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King Rehoboam</w:t>
      </w:r>
      <w:r>
        <w:rPr>
          <w:rStyle w:val="FootnoteReference"/>
        </w:rPr>
        <w:footnoteReference w:id="6667"/>
      </w:r>
      <w:r>
        <w:t xml:space="preserve"> went to Shechem, because all Israel was coming to Shechem to make him king.</w:t>
      </w:r>
    </w:p>
    <w:p>
      <w:r>
        <w:rPr>
          <w:b/>
        </w:rPr>
        <w:t xml:space="preserve">3 </w:t>
      </w:r>
      <w:r>
        <w:t xml:space="preserve">And the people spoke to King Rehoboam, saying,</w:t>
      </w:r>
    </w:p>
    <w:p>
      <w:r>
        <w:rPr>
          <w:b/>
        </w:rPr>
        <w:t xml:space="preserve">4 </w:t>
      </w:r>
      <w:r>
        <w:t xml:space="preserve">Your father made our yoke</w:t>
      </w:r>
      <w:r>
        <w:rPr>
          <w:rStyle w:val="FootnoteReference"/>
        </w:rPr>
        <w:footnoteReference w:id="6668"/>
      </w:r>
      <w:r>
        <w:t xml:space="preserve"> heavy, and you now lighten from the hard service of your father and from his heavy yoke that he put upon us, and we will serve you.</w:t>
      </w:r>
    </w:p>
    <w:p>
      <w:r>
        <w:rPr>
          <w:b/>
        </w:rPr>
        <w:t xml:space="preserve">5 </w:t>
      </w:r>
      <w:r>
        <w:t xml:space="preserve">And he said to them, Go away until three days and return to me. And they went away.</w:t>
      </w:r>
    </w:p>
    <w:p>
      <w:r>
        <w:rPr>
          <w:b/>
        </w:rPr>
        <w:t xml:space="preserve">6 </w:t>
      </w:r>
      <w:r>
        <w:t xml:space="preserve">And the king gave charge to the elders who had stood before Solomon his father while he still lived, saying, How do you counsel, and shall I answer this people a word?</w:t>
      </w:r>
    </w:p>
    <w:p>
      <w:r>
        <w:rPr>
          <w:b/>
        </w:rPr>
        <w:t xml:space="preserve">7 </w:t>
      </w:r>
      <w:r>
        <w:t xml:space="preserve">And they spoke to him, saying, If on this day you will be servant to this people and serve them and speak good</w:t>
      </w:r>
      <w:r>
        <w:rPr>
          <w:rStyle w:val="FootnoteReference"/>
        </w:rPr>
        <w:footnoteReference w:id="6669"/>
      </w:r>
      <w:r>
        <w:t xml:space="preserve"> words to them, they will be your servants all the days.</w:t>
      </w:r>
    </w:p>
    <w:p>
      <w:r>
        <w:rPr>
          <w:b/>
        </w:rPr>
        <w:t xml:space="preserve">8 </w:t>
      </w:r>
      <w:r>
        <w:t xml:space="preserve">But he forsook the counsel of the elders, what they had counseled him, and took counsel with the young men reared with him who stood before his face.</w:t>
      </w:r>
    </w:p>
    <w:p>
      <w:r>
        <w:rPr>
          <w:b/>
        </w:rPr>
        <w:t xml:space="preserve">9 </w:t>
      </w:r>
      <w:r>
        <w:t xml:space="preserve">And he said to them, What do you counsel, and what shall I answer this people, who spoke to me, saying, Lighten from the yoke that your father put upon us?</w:t>
      </w:r>
    </w:p>
    <w:p>
      <w:r>
        <w:rPr>
          <w:b/>
        </w:rPr>
        <w:t xml:space="preserve">10 </w:t>
      </w:r>
      <w:r>
        <w:t xml:space="preserve">And the young men reared with him, those standing before his face</w:t>
      </w:r>
      <w:r>
        <w:rPr>
          <w:rStyle w:val="FootnoteReference"/>
        </w:rPr>
        <w:footnoteReference w:id="6670"/>
      </w:r>
      <w:r>
        <w:t xml:space="preserve">, spoke to him, saying, Thus you will speak to this people who said to you, Your father made our yoke heavy, and you now lighten from us. Thus you will speak to them: My littleness is thicker than my father's loins.</w:t>
      </w:r>
    </w:p>
    <w:p>
      <w:r>
        <w:rPr>
          <w:b/>
        </w:rPr>
        <w:t xml:space="preserve">11 </w:t>
      </w:r>
      <w:r>
        <w:t xml:space="preserve">And now my father laid a heavy yoke upon you, and I will add</w:t>
      </w:r>
      <w:r>
        <w:rPr>
          <w:rStyle w:val="FootnoteReference"/>
        </w:rPr>
        <w:footnoteReference w:id="6671"/>
      </w:r>
      <w:r>
        <w:t xml:space="preserve"> upon your yoke. My father disciplined you with whips, but I will discipline you with scorpions.</w:t>
      </w:r>
    </w:p>
    <w:p>
      <w:r>
        <w:rPr>
          <w:b/>
        </w:rPr>
        <w:t xml:space="preserve">12 </w:t>
      </w:r>
      <w:r>
        <w:t xml:space="preserve">And all Israel came to King Rehoboam on the third day, just as the king spoke to them, saying, Return to me on the third day.</w:t>
      </w:r>
    </w:p>
    <w:p>
      <w:r>
        <w:rPr>
          <w:b/>
        </w:rPr>
        <w:t xml:space="preserve">13 </w:t>
      </w:r>
      <w:r>
        <w:t xml:space="preserve">And the king answered</w:t>
      </w:r>
      <w:r>
        <w:rPr>
          <w:rStyle w:val="FootnoteReference"/>
        </w:rPr>
        <w:footnoteReference w:id="6672"/>
      </w:r>
      <w:r>
        <w:t xml:space="preserve"> the people harshly, and Rehoboam forsook the counsel of the elders that they counseled him,</w:t>
      </w:r>
    </w:p>
    <w:p>
      <w:r>
        <w:rPr>
          <w:b/>
        </w:rPr>
        <w:t xml:space="preserve">14 </w:t>
      </w:r>
      <w:r>
        <w:t xml:space="preserve">and he spoke to them according to the counsel</w:t>
      </w:r>
      <w:r>
        <w:rPr>
          <w:rStyle w:val="FootnoteReference"/>
        </w:rPr>
        <w:footnoteReference w:id="6673"/>
      </w:r>
      <w:r>
        <w:t xml:space="preserve"> of the young men, saying, My father made your yoke heavy, and I will add upon your yoke. My father disciplined you with whips, but I will discipline you with scorpions.</w:t>
      </w:r>
      <w:r>
        <w:rPr>
          <w:rStyle w:val="FootnoteReference"/>
        </w:rPr>
        <w:footnoteReference w:id="6674"/>
      </w:r>
    </w:p>
    <w:p>
      <w:r>
        <w:rPr>
          <w:b/>
        </w:rPr>
        <w:t xml:space="preserve">15 </w:t>
      </w:r>
      <w:r>
        <w:t xml:space="preserve">And the king did not hear the people, because the turnabout was from the Lord, so that he might</w:t>
      </w:r>
      <w:r>
        <w:rPr>
          <w:rStyle w:val="FootnoteReference"/>
        </w:rPr>
        <w:footnoteReference w:id="6675"/>
      </w:r>
      <w:r>
        <w:t xml:space="preserve"> establish his word that he spoke by the hand of Ahijah the Shilonite concerning Jeroboam son of Nebat.</w:t>
      </w:r>
    </w:p>
    <w:p>
      <w:r>
        <w:rPr>
          <w:b/>
        </w:rPr>
        <w:t xml:space="preserve">16 </w:t>
      </w:r>
      <w:r>
        <w:t xml:space="preserve">And all Israel saw that their king did not hear them, and the people answered the king, saying, What share is ours in David, and there is no inheritance for us in the son of Jesse. Turn away, Israel, to your tents</w:t>
      </w:r>
      <w:r>
        <w:rPr>
          <w:rStyle w:val="FootnoteReference"/>
        </w:rPr>
        <w:footnoteReference w:id="6676"/>
      </w:r>
      <w:r>
        <w:t xml:space="preserve">. Now shepherd your own house, David. And Israel went away to their tents.</w:t>
      </w:r>
      <w:r>
        <w:rPr>
          <w:rStyle w:val="FootnoteReference"/>
        </w:rPr>
        <w:footnoteReference w:id="6677"/>
      </w:r>
    </w:p>
    <w:p>
      <w:r>
        <w:rPr>
          <w:b/>
        </w:rPr>
        <w:t xml:space="preserve">18 </w:t>
      </w:r>
      <w:r>
        <w:t xml:space="preserve">And the king sent Adoniram, the one over the levy, and all Israel</w:t>
      </w:r>
      <w:r>
        <w:rPr>
          <w:rStyle w:val="FootnoteReference"/>
        </w:rPr>
        <w:footnoteReference w:id="6678"/>
      </w:r>
      <w:r>
        <w:t xml:space="preserve"> stoned him with stones and he died. And King Rehoboam hurried to go up to flee to Jerusalem.</w:t>
      </w:r>
    </w:p>
    <w:p>
      <w:r>
        <w:rPr>
          <w:b/>
        </w:rPr>
        <w:t xml:space="preserve">19 </w:t>
      </w:r>
      <w:r>
        <w:t xml:space="preserve">And Israel</w:t>
      </w:r>
      <w:r>
        <w:rPr>
          <w:rStyle w:val="FootnoteReference"/>
        </w:rPr>
        <w:footnoteReference w:id="6679"/>
      </w:r>
      <w:r>
        <w:t xml:space="preserve"> rebelled against the house of David until this day.</w:t>
      </w:r>
    </w:p>
    <w:p>
      <w:r>
        <w:rPr>
          <w:b/>
        </w:rPr>
        <w:t xml:space="preserve">20 </w:t>
      </w:r>
      <w:r>
        <w:t xml:space="preserve">And it came to be when all Israel heard that Jeroboam came back from Egypt, they sent and called him to the assembly and made him</w:t>
      </w:r>
      <w:r>
        <w:rPr>
          <w:rStyle w:val="FootnoteReference"/>
        </w:rPr>
        <w:footnoteReference w:id="6680"/>
      </w:r>
      <w:r>
        <w:t xml:space="preserve"> king over Israel, and there was none after the house of David except the scepter of Judah and Benjamin alone.</w:t>
      </w:r>
      <w:r>
        <w:rPr>
          <w:rStyle w:val="FootnoteReference"/>
        </w:rPr>
        <w:footnoteReference w:id="6681"/>
      </w:r>
    </w:p>
    <w:p>
      <w:r>
        <w:rPr>
          <w:b/>
        </w:rPr>
        <w:t xml:space="preserve">21 </w:t>
      </w:r>
      <w:r>
        <w:t xml:space="preserve">And Rehoboam entered Jerusalem and assembled the congregation of Judah and the scepter of Benjamin</w:t>
      </w:r>
      <w:r>
        <w:rPr>
          <w:rStyle w:val="FootnoteReference"/>
        </w:rPr>
        <w:footnoteReference w:id="6682"/>
      </w:r>
      <w:r>
        <w:t xml:space="preserve">, one hundred twenty thousand young men who make war, to fight against the house of Israel, to return the kingdom to Rehoboam son of Solomon.</w:t>
      </w:r>
    </w:p>
    <w:p>
      <w:r>
        <w:rPr>
          <w:b/>
        </w:rPr>
        <w:t xml:space="preserve">22 </w:t>
      </w:r>
      <w:r>
        <w:t xml:space="preserve">And the word of the Lord came to Shemaiah</w:t>
      </w:r>
      <w:r>
        <w:rPr>
          <w:rStyle w:val="FootnoteReference"/>
        </w:rPr>
        <w:footnoteReference w:id="6683"/>
      </w:r>
      <w:r>
        <w:t xml:space="preserve"> the man of God, saying,</w:t>
      </w:r>
      <w:r>
        <w:rPr>
          <w:rStyle w:val="FootnoteReference"/>
        </w:rPr>
        <w:footnoteReference w:id="6684"/>
      </w:r>
    </w:p>
    <w:p>
      <w:r>
        <w:rPr>
          <w:b/>
        </w:rPr>
        <w:t xml:space="preserve">23 </w:t>
      </w:r>
      <w:r>
        <w:t xml:space="preserve">Speak to Rehoboam son of Solomon, king of Judah, and to all the house of Judah and Benjamin and to the remnant of the people, saying,</w:t>
      </w:r>
    </w:p>
    <w:p>
      <w:r>
        <w:rPr>
          <w:b/>
        </w:rPr>
        <w:t xml:space="preserve">24 </w:t>
      </w:r>
      <w:r>
        <w:t xml:space="preserve">Thus says the Lord: You shall not go up nor fight with your brothers, sons of Israel. Let each return to his own house, because this word has happened from me. And they heard the word of the Lord and stopped from going according to the word of the Lord. And King Solomon sleeps with his fathers and is buried with his fathers in the City of David, and Rehoboam his son reigned in his place in Jerusalem, being sixteen years old when he began to reign, and he reigned twelve years in Jerusalem, and the name of his mother was Naanan daughter of Anan</w:t>
      </w:r>
      <w:r>
        <w:rPr>
          <w:rStyle w:val="FootnoteReference"/>
        </w:rPr>
        <w:footnoteReference w:id="6685"/>
      </w:r>
      <w:r>
        <w:t xml:space="preserve"> son of Nahash king of the sons of Ammon, and he did evil before the Lord and did not walk in the way of David his father. And there was a man from the hill country of Ephraim, servant to Solomon, and his name was Jeroboam, and his mother's name was Zereda, a prostitute woman, and Solomon gave him as chief officer of the staff over the burdens of the house of Joseph, and he built for Solomon Zereda in the hill country of Ephraim, and he had three hundred chariots of horses. This one built the citadel among the burdens of the house of Ephraim. This one closed up the City of David and was being lifted up against the kingdom. And Solomon sought to put him to death, and he feared and fled to Shishak king of Egypt and was with him until Solomon died. And Jeroboam heard in Egypt that Solomon died, and he spoke into the ears of Shishak king of Egypt, saying, Send me away, and I will depart to my land. And Shishak said to him, Ask what request and I will give it to you. And Shishak gave to Jeroboam the elder sister of Tahpenes, his own wife, for a wife. She was great among the daughters of the king and bore to Jeroboam Abijah his son. And Jeroboam said to Shishak, Truly send me away, and I will depart. And Jeroboam went out from Egypt and came to the land of Zereda in the hill country of Ephraim and gathered there all the scepter of Ephraim and built a fort there. And his young child became very sick with a very severe sickness, and Jeroboam went to inquire concerning the child, and he said to Ano his wife, Rise and go inquire of God concerning the child, whether he will live from his sickness. And there was a man in Shallum, and his name was Ahijah, and he was sixty years old, and the word of the Lord was with him. And Jeroboam said to his wife, Rise and take in your hand to the man of God loaves and cakes for his children and grapes and a jar of honey. And the woman rose and took in her hand loaves and two cakes and grapes and a jar of honey for Ahijah, and the man was old and his eyes were dim from seeing. And she rose from Zereda and went. And it came to be when she entered the city to Ahijah the Shilonite, Ahijah said to his young servant, Go out now to meet Ano wife of Jeroboam and say to her, Come in and do not stand still, because thus says the Lord: Hard things I am sending upon you. And Ano entered to the man of God, and Ahijah said to her, Why have you brought me loaves and grapes and cakes and a jar of honey? Thus says the Lord: Behold, you will depart from me, and it will be when you enter the gate into Zereda and your maidens come out to meet you and say to you, The child has died, because thus says the Lord: Behold, I will destroy from Jeroboam one urinating against a wall, and those dying of Jeroboam in the city dogs will devour, and the one dying in the field the birds of heaven will devour, and for the child they will mourn. Alas, Lord, because a good word concerning the Lord was found in him. And the woman departed when she heard, and it came to be when she entered into Zereda, the child died and the cry went out to meet her. And Jeroboam went to Shechem in the hill country of Ephraim and gathered there the tribes of Israel, and Rehoboam son of Solomon went up there. And the word of the Lord came to Shemaiah the Elamite</w:t>
      </w:r>
      <w:r>
        <w:rPr>
          <w:rStyle w:val="FootnoteReference"/>
        </w:rPr>
        <w:footnoteReference w:id="6686"/>
      </w:r>
      <w:r>
        <w:t xml:space="preserve">, saying, Take for yourself a new garment not yet entered into water and tear it into twelve pieces, and give them to Jeroboam and say to him, Thus says the Lord: Take for yourself ten pieces to put on, and Jeroboam took them, and Shemaiah said, Thus says the Lord concerning the ten tribes of Israel. And the people said to Rehoboam son of Solomon, Your father made his yoke heavy upon us and made the foods of his table heavy. And now, if you lighten things upon us, we will serve you. And Rehoboam said to the people, In three days I will answer you a word. And he said, Bring in to me the elders and I will take counsel with them what word I should answer the people on the third day. And Rehoboam spoke into their ears, just as the people sent to him, and the elders said, Thus the people spoke to you. And Rehoboam scattered their counsel, and it was not pleasing before him, and he sent and brought in his companions and spoke these same things to them: Thus the people sent to me. And his companions said, Thus you will speak to the people, saying, My littleness is thicker than my father's loin. My father whipped you with whips, but I will rule you with scorpions. And the word was pleasing before Rehoboam, and he answered the people just as his companions, the young men, counseled him. And all the people cried out as one man, each to his neighbor, and they all cried aloud, saying, There is no share for us in David and no inheritance in the son of Jesse. To your tents, Israel, because this man is not for ruler nor for leader. And all the people were scattered from Sikim and each went to his tent, and Rehoboam prevailed and went and mounted his chariot and entered into Jerusalem, and all the scepter of Judah and all the scepter of Benjamin went after him. And it came to be at the turn of the year, and Rehoboam gathered all the men of Judah and Benjamin and went up to war against Jeroboam at Shechem. And the word of the Lord came to Shemaiah the man of God, saying, Speak to Rehoboam king of Judah and to all the house of Judah and Benjamin and to the remnant of the people, saying, Thus says the Lord: You shall not go up nor fight against your brothers the sons of Israel. Return each to his house, because this word has happened from me. And they heard the word of the Lord and held back from going according to the word of the Lord.</w:t>
      </w:r>
      <w:r>
        <w:rPr>
          <w:rStyle w:val="FootnoteReference"/>
        </w:rPr>
        <w:footnoteReference w:id="6687"/>
      </w:r>
    </w:p>
    <w:p>
      <w:r>
        <w:rPr>
          <w:b/>
        </w:rPr>
        <w:t xml:space="preserve">25 </w:t>
      </w:r>
      <w:r>
        <w:t xml:space="preserve">And Jeroboam built</w:t>
      </w:r>
      <w:r>
        <w:rPr>
          <w:rStyle w:val="FootnoteReference"/>
        </w:rPr>
        <w:footnoteReference w:id="6688"/>
      </w:r>
      <w:r>
        <w:t xml:space="preserve"> Shechem in the hill country of Ephraim and lived in it, and he went out from there and built Penuel.</w:t>
      </w:r>
    </w:p>
    <w:p>
      <w:r>
        <w:rPr>
          <w:b/>
        </w:rPr>
        <w:t xml:space="preserve">26 </w:t>
      </w:r>
      <w:r>
        <w:t xml:space="preserve">And Jeroboam said in his heart</w:t>
      </w:r>
      <w:r>
        <w:rPr>
          <w:rStyle w:val="FootnoteReference"/>
        </w:rPr>
        <w:footnoteReference w:id="6689"/>
      </w:r>
      <w:r>
        <w:t xml:space="preserve">, Behold, now the kingdom will turn back to the house of David.</w:t>
      </w:r>
    </w:p>
    <w:p>
      <w:r>
        <w:rPr>
          <w:b/>
        </w:rPr>
        <w:t xml:space="preserve">27 </w:t>
      </w:r>
      <w:r>
        <w:t xml:space="preserve">If this people goes up to offer sacrifices in the house of the Lord in Jerusalem, then the heart of the people will turn back to their lord, to Rehoboam king of Judah, and they will kill me.</w:t>
      </w:r>
      <w:r>
        <w:rPr>
          <w:rStyle w:val="FootnoteReference"/>
        </w:rPr>
        <w:footnoteReference w:id="6690"/>
      </w:r>
    </w:p>
    <w:p>
      <w:r>
        <w:rPr>
          <w:b/>
        </w:rPr>
        <w:t xml:space="preserve">28 </w:t>
      </w:r>
      <w:r>
        <w:t xml:space="preserve">And the king took counsel</w:t>
      </w:r>
      <w:r>
        <w:rPr>
          <w:rStyle w:val="FootnoteReference"/>
        </w:rPr>
        <w:footnoteReference w:id="6691"/>
      </w:r>
      <w:r>
        <w:t xml:space="preserve"> and went and made two golden heifers and said to the people, Let it be enough for you to go up to Jerusalem. Behold your gods, Israel, that brought you up out of the land of Egypt.</w:t>
      </w:r>
      <w:r>
        <w:rPr>
          <w:rStyle w:val="FootnoteReference"/>
        </w:rPr>
        <w:footnoteReference w:id="6692"/>
      </w:r>
    </w:p>
    <w:p>
      <w:r>
        <w:rPr>
          <w:b/>
        </w:rPr>
        <w:t xml:space="preserve">29 </w:t>
      </w:r>
      <w:r>
        <w:t xml:space="preserve">And he placed one in Bethel</w:t>
      </w:r>
      <w:r>
        <w:rPr>
          <w:rStyle w:val="FootnoteReference"/>
        </w:rPr>
        <w:footnoteReference w:id="6693"/>
      </w:r>
      <w:r>
        <w:t xml:space="preserve"> and one he gave in Dan.</w:t>
      </w:r>
    </w:p>
    <w:p>
      <w:r>
        <w:rPr>
          <w:b/>
        </w:rPr>
        <w:t xml:space="preserve">30 </w:t>
      </w:r>
      <w:r>
        <w:t xml:space="preserve">And this word became sin, and the people went before the one as far as Dan.</w:t>
      </w:r>
    </w:p>
    <w:p>
      <w:r>
        <w:rPr>
          <w:b/>
        </w:rPr>
        <w:t xml:space="preserve">31 </w:t>
      </w:r>
      <w:r>
        <w:t xml:space="preserve">And he made houses upon high places and made priests</w:t>
      </w:r>
      <w:r>
        <w:rPr>
          <w:rStyle w:val="FootnoteReference"/>
        </w:rPr>
        <w:footnoteReference w:id="6694"/>
      </w:r>
      <w:r>
        <w:t xml:space="preserve"> from a part of the people, who were not from the sons of Levi.</w:t>
      </w:r>
    </w:p>
    <w:p>
      <w:r>
        <w:rPr>
          <w:b/>
        </w:rPr>
        <w:t xml:space="preserve">32 </w:t>
      </w:r>
      <w:r>
        <w:t xml:space="preserve">And Jeroboam made a feast in the eighth month, on the fifteenth day of the month, according to the feast in the land of Judah, and he went up upon the altar that he made in Bethel to sacrifice to the heifers that he made, and he stationed in Bethel the priests of the high places that he made.</w:t>
      </w:r>
      <w:r>
        <w:rPr>
          <w:rStyle w:val="FootnoteReference"/>
        </w:rPr>
        <w:footnoteReference w:id="6695"/>
      </w:r>
    </w:p>
    <w:p>
      <w:r>
        <w:rPr>
          <w:b/>
        </w:rPr>
        <w:t xml:space="preserve">33 </w:t>
      </w:r>
      <w:r>
        <w:t xml:space="preserve">And he went up upon the altar that he made on the fifteenth day in the eighth month, in the feast that he devised from his own heart</w:t>
      </w:r>
      <w:r>
        <w:rPr>
          <w:rStyle w:val="FootnoteReference"/>
        </w:rPr>
        <w:footnoteReference w:id="6696"/>
      </w:r>
      <w:r>
        <w:t xml:space="preserve">, and he made a feast for the sons of Israel and went up upon the altar to offer incense.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behold, a man of God came from Judah to Bethel by the word</w:t>
      </w:r>
      <w:r>
        <w:rPr>
          <w:rStyle w:val="FootnoteReference"/>
        </w:rPr>
        <w:footnoteReference w:id="6697"/>
      </w:r>
      <w:r>
        <w:t xml:space="preserve"> of the Lord, and Jeroboam had stood by the altar to sacrifice.</w:t>
      </w:r>
    </w:p>
    <w:p>
      <w:r>
        <w:rPr>
          <w:b/>
        </w:rPr>
        <w:t xml:space="preserve">2 </w:t>
      </w:r>
      <w:r>
        <w:t xml:space="preserve">And he cried against the altar by the word of the Lord and said, Altar, altar, thus says the Lord: Behold, a son is being born to the house of David, Josiah his name, and he will sacrifice upon you the priests of the high places who sacrifice upon you, and he will burn human bones upon you.</w:t>
      </w:r>
      <w:r>
        <w:rPr>
          <w:rStyle w:val="FootnoteReference"/>
        </w:rPr>
        <w:footnoteReference w:id="6698"/>
      </w:r>
    </w:p>
    <w:p>
      <w:r>
        <w:rPr>
          <w:b/>
        </w:rPr>
        <w:t xml:space="preserve">3 </w:t>
      </w:r>
      <w:r>
        <w:t xml:space="preserve">And on that day he gave a sign, saying, This is the word that the Lord spoke, saying, Behold, the altar is splitting apart, and the fat upon it will be poured out.</w:t>
      </w:r>
    </w:p>
    <w:p>
      <w:r>
        <w:rPr>
          <w:b/>
        </w:rPr>
        <w:t xml:space="preserve">4 </w:t>
      </w:r>
      <w:r>
        <w:t xml:space="preserve">And it came to be when King Jeroboam heard the words of the man of God, the one who cried against the altar in Bethel, the king stretched out his hand</w:t>
      </w:r>
      <w:r>
        <w:rPr>
          <w:rStyle w:val="FootnoteReference"/>
        </w:rPr>
        <w:footnoteReference w:id="6699"/>
      </w:r>
      <w:r>
        <w:t xml:space="preserve"> from the altar, saying, Seize him. And behold, his hand that he stretched out against him dried up, and he could not turn it back to himself</w:t>
      </w:r>
      <w:r>
        <w:rPr>
          <w:rStyle w:val="FootnoteReference"/>
        </w:rPr>
        <w:footnoteReference w:id="6700"/>
      </w:r>
      <w:r>
        <w:t xml:space="preserve">.</w:t>
      </w:r>
    </w:p>
    <w:p>
      <w:r>
        <w:rPr>
          <w:b/>
        </w:rPr>
        <w:t xml:space="preserve">5 </w:t>
      </w:r>
      <w:r>
        <w:t xml:space="preserve">And the altar split apart, and the fat was poured out from the altar according to the sign that the man of God gave by the word of the Lord.</w:t>
      </w:r>
    </w:p>
    <w:p>
      <w:r>
        <w:rPr>
          <w:b/>
        </w:rPr>
        <w:t xml:space="preserve">6 </w:t>
      </w:r>
      <w:r>
        <w:t xml:space="preserve">And King Jeroboam said to the man of God, Entreat the face of the Lord</w:t>
      </w:r>
      <w:r>
        <w:rPr>
          <w:rStyle w:val="FootnoteReference"/>
        </w:rPr>
        <w:footnoteReference w:id="6701"/>
      </w:r>
      <w:r>
        <w:t xml:space="preserve"> your God, and let my hand return to me. And the man of God entreated the face of the Lord, and the king's hand returned to him and became as before.</w:t>
      </w:r>
    </w:p>
    <w:p>
      <w:r>
        <w:rPr>
          <w:b/>
        </w:rPr>
        <w:t xml:space="preserve">7 </w:t>
      </w:r>
      <w:r>
        <w:t xml:space="preserve">And the king spoke to the man of God, Come in with me into the house and breakfast, and I will give</w:t>
      </w:r>
      <w:r>
        <w:rPr>
          <w:rStyle w:val="FootnoteReference"/>
        </w:rPr>
        <w:footnoteReference w:id="6702"/>
      </w:r>
      <w:r>
        <w:t xml:space="preserve"> you a gift.</w:t>
      </w:r>
    </w:p>
    <w:p>
      <w:r>
        <w:rPr>
          <w:b/>
        </w:rPr>
        <w:t xml:space="preserve">8 </w:t>
      </w:r>
      <w:r>
        <w:t xml:space="preserve">And the man of God said to the king, If you give me half your house, I will not go in with you, and I will certainly not eat bread nor certainly drink water in this place</w:t>
      </w:r>
      <w:r>
        <w:rPr>
          <w:rStyle w:val="FootnoteReference"/>
        </w:rPr>
        <w:footnoteReference w:id="6703"/>
      </w:r>
      <w:r>
        <w:t xml:space="preserve">.</w:t>
      </w:r>
    </w:p>
    <w:p>
      <w:r>
        <w:rPr>
          <w:b/>
        </w:rPr>
        <w:t xml:space="preserve">9 </w:t>
      </w:r>
      <w:r>
        <w:t xml:space="preserve">For thus the Lord commanded me by word, saying, Eat no bread</w:t>
      </w:r>
      <w:r>
        <w:rPr>
          <w:rStyle w:val="FootnoteReference"/>
        </w:rPr>
        <w:footnoteReference w:id="6704"/>
      </w:r>
      <w:r>
        <w:t xml:space="preserve"> and drink no water and do not return by the way in which you went.</w:t>
      </w:r>
    </w:p>
    <w:p>
      <w:r>
        <w:rPr>
          <w:b/>
        </w:rPr>
        <w:t xml:space="preserve">10 </w:t>
      </w:r>
      <w:r>
        <w:t xml:space="preserve">And he went away by another road and did not return by the road on which he came into Bethel.</w:t>
      </w:r>
    </w:p>
    <w:p>
      <w:r>
        <w:rPr>
          <w:b/>
        </w:rPr>
        <w:t xml:space="preserve">11 </w:t>
      </w:r>
      <w:r>
        <w:t xml:space="preserve">And one old prophet lived in Bethel, and his sons came and recounted</w:t>
      </w:r>
      <w:r>
        <w:rPr>
          <w:rStyle w:val="FootnoteReference"/>
        </w:rPr>
        <w:footnoteReference w:id="6705"/>
      </w:r>
      <w:r>
        <w:t xml:space="preserve"> to him all the deeds that the man of God did on that day in Bethel and the words that he spoke to the king, and they told them before their father.</w:t>
      </w:r>
    </w:p>
    <w:p>
      <w:r>
        <w:rPr>
          <w:b/>
        </w:rPr>
        <w:t xml:space="preserve">12 </w:t>
      </w:r>
      <w:r>
        <w:t xml:space="preserve">And their father spoke to them, saying, Which road did he go? And his sons showed him the road by which the man of God who came from Judah went up.</w:t>
      </w:r>
    </w:p>
    <w:p>
      <w:r>
        <w:rPr>
          <w:b/>
        </w:rPr>
        <w:t xml:space="preserve">13 </w:t>
      </w:r>
      <w:r>
        <w:t xml:space="preserve">And he said to his sons, Saddle the donkey for me. And they saddled the donkey for him, and he mounted it.</w:t>
      </w:r>
    </w:p>
    <w:p>
      <w:r>
        <w:rPr>
          <w:b/>
        </w:rPr>
        <w:t xml:space="preserve">14 </w:t>
      </w:r>
      <w:r>
        <w:t xml:space="preserve">And he went after the man of God and found him sitting</w:t>
      </w:r>
      <w:r>
        <w:rPr>
          <w:rStyle w:val="FootnoteReference"/>
        </w:rPr>
        <w:footnoteReference w:id="6706"/>
      </w:r>
      <w:r>
        <w:t xml:space="preserve"> under an oak, and said to him, Are you the man of God who came from Judah? And he said to him, I am.</w:t>
      </w:r>
    </w:p>
    <w:p>
      <w:r>
        <w:rPr>
          <w:b/>
        </w:rPr>
        <w:t xml:space="preserve">15 </w:t>
      </w:r>
      <w:r>
        <w:t xml:space="preserve">And he said to him, Come with me and eat bread.</w:t>
      </w:r>
    </w:p>
    <w:p>
      <w:r>
        <w:rPr>
          <w:b/>
        </w:rPr>
        <w:t xml:space="preserve">16 </w:t>
      </w:r>
      <w:r>
        <w:t xml:space="preserve">And he said, I am certainly not able to return with you, and I will certainly not eat bread nor drink water in this place.</w:t>
      </w:r>
    </w:p>
    <w:p>
      <w:r>
        <w:rPr>
          <w:b/>
        </w:rPr>
        <w:t xml:space="preserve">17 </w:t>
      </w:r>
      <w:r>
        <w:t xml:space="preserve">For thus it has been commanded me by the word</w:t>
      </w:r>
      <w:r>
        <w:rPr>
          <w:rStyle w:val="FootnoteReference"/>
        </w:rPr>
        <w:footnoteReference w:id="6707"/>
      </w:r>
      <w:r>
        <w:t xml:space="preserve"> of the Lord, saying, Eat no bread there and drink no water there and do not return by the road in which you went.</w:t>
      </w:r>
    </w:p>
    <w:p>
      <w:r>
        <w:rPr>
          <w:b/>
        </w:rPr>
        <w:t xml:space="preserve">18 </w:t>
      </w:r>
      <w:r>
        <w:t xml:space="preserve">And he said to him, I also am a prophet as you are, and an angel</w:t>
      </w:r>
      <w:r>
        <w:rPr>
          <w:rStyle w:val="FootnoteReference"/>
        </w:rPr>
        <w:footnoteReference w:id="6708"/>
      </w:r>
      <w:r>
        <w:t xml:space="preserve"> spoke to me by a word of the Lord, saying, Bring him back with yourself into your house, and let him eat bread and drink water. But he lied to him.</w:t>
      </w:r>
    </w:p>
    <w:p>
      <w:r>
        <w:rPr>
          <w:b/>
        </w:rPr>
        <w:t xml:space="preserve">19 </w:t>
      </w:r>
      <w:r>
        <w:t xml:space="preserve">And he brought him back, and he ate bread and drank water in his house.</w:t>
      </w:r>
    </w:p>
    <w:p>
      <w:r>
        <w:rPr>
          <w:b/>
        </w:rPr>
        <w:t xml:space="preserve">20 </w:t>
      </w:r>
      <w:r>
        <w:t xml:space="preserve">And it came to be while they were sitting at the table, the word of the Lord</w:t>
      </w:r>
      <w:r>
        <w:rPr>
          <w:rStyle w:val="FootnoteReference"/>
        </w:rPr>
        <w:footnoteReference w:id="6709"/>
      </w:r>
      <w:r>
        <w:t xml:space="preserve"> came to the prophet who had brought him back.</w:t>
      </w:r>
    </w:p>
    <w:p>
      <w:r>
        <w:rPr>
          <w:b/>
        </w:rPr>
        <w:t xml:space="preserve">21 </w:t>
      </w:r>
      <w:r>
        <w:t xml:space="preserve">And he said to the man of God who came from Judah, saying, Thus says the Lord: Because you defied the word of the Lord</w:t>
      </w:r>
      <w:r>
        <w:rPr>
          <w:rStyle w:val="FootnoteReference"/>
        </w:rPr>
        <w:footnoteReference w:id="6710"/>
      </w:r>
      <w:r>
        <w:t xml:space="preserve"> and did not keep the commandment that the Lord your God commanded you,</w:t>
      </w:r>
    </w:p>
    <w:p>
      <w:r>
        <w:rPr>
          <w:b/>
        </w:rPr>
        <w:t xml:space="preserve">22 </w:t>
      </w:r>
      <w:r>
        <w:t xml:space="preserve">and you turned back and ate bread and drank water in the place of which he spoke to you, saying, Eat no bread and drink no water, your body shall certainly not enter into the tomb of your fathers</w:t>
      </w:r>
      <w:r>
        <w:rPr>
          <w:rStyle w:val="FootnoteReference"/>
        </w:rPr>
        <w:footnoteReference w:id="6711"/>
      </w:r>
      <w:r>
        <w:t xml:space="preserve">.</w:t>
      </w:r>
    </w:p>
    <w:p>
      <w:r>
        <w:rPr>
          <w:b/>
        </w:rPr>
        <w:t xml:space="preserve">23 </w:t>
      </w:r>
      <w:r>
        <w:t xml:space="preserve">And it came to be after he ate bread and drank water, the donkey was saddled for him, and he went back.</w:t>
      </w:r>
    </w:p>
    <w:p>
      <w:r>
        <w:rPr>
          <w:b/>
        </w:rPr>
        <w:t xml:space="preserve">24 </w:t>
      </w:r>
      <w:r>
        <w:t xml:space="preserve">And he went away, and a lion</w:t>
      </w:r>
      <w:r>
        <w:rPr>
          <w:rStyle w:val="FootnoteReference"/>
        </w:rPr>
        <w:footnoteReference w:id="6712"/>
      </w:r>
      <w:r>
        <w:t xml:space="preserve"> found him on the road and killed him, and his body was thrown on the road, and the donkey stood beside it, and the lion stood beside the body.</w:t>
      </w:r>
    </w:p>
    <w:p>
      <w:r>
        <w:rPr>
          <w:b/>
        </w:rPr>
        <w:t xml:space="preserve">25 </w:t>
      </w:r>
      <w:r>
        <w:t xml:space="preserve">And behold, men passing by saw the corpse thrown on the road and the lion standing next to the corpse, and they came in and spoke in the city where the old prophet lived.</w:t>
      </w:r>
    </w:p>
    <w:p>
      <w:r>
        <w:rPr>
          <w:b/>
        </w:rPr>
        <w:t xml:space="preserve">26 </w:t>
      </w:r>
      <w:r>
        <w:t xml:space="preserve">And the one who brought him back from the road heard and said, This is the man</w:t>
      </w:r>
      <w:r>
        <w:rPr>
          <w:rStyle w:val="FootnoteReference"/>
        </w:rPr>
        <w:footnoteReference w:id="6713"/>
      </w:r>
      <w:r>
        <w:t xml:space="preserve"> of God who defied</w:t>
      </w:r>
      <w:r>
        <w:rPr>
          <w:rStyle w:val="FootnoteReference"/>
        </w:rPr>
        <w:footnoteReference w:id="6714"/>
      </w:r>
      <w:r>
        <w:t xml:space="preserve"> the word of the Lord.</w:t>
      </w:r>
    </w:p>
    <w:p>
      <w:r>
        <w:rPr>
          <w:b/>
        </w:rPr>
        <w:t xml:space="preserve">28 </w:t>
      </w:r>
      <w:r>
        <w:t xml:space="preserve">And he went and found his body thrown on the road, and the donkey and the lion had</w:t>
      </w:r>
      <w:r>
        <w:rPr>
          <w:rStyle w:val="FootnoteReference"/>
        </w:rPr>
        <w:footnoteReference w:id="6715"/>
      </w:r>
      <w:r>
        <w:t xml:space="preserve"> stood beside the body. The lion had not eaten the body of the man of God and had not crushed the donkey.</w:t>
      </w:r>
    </w:p>
    <w:p>
      <w:r>
        <w:rPr>
          <w:b/>
        </w:rPr>
        <w:t xml:space="preserve">29 </w:t>
      </w:r>
      <w:r>
        <w:t xml:space="preserve">And the prophet lifted the body of the man of God and put it upon the donkey and brought him back into the city, the prophet to bury him.</w:t>
      </w:r>
    </w:p>
    <w:p>
      <w:r>
        <w:rPr>
          <w:b/>
        </w:rPr>
        <w:t xml:space="preserve">30 </w:t>
      </w:r>
      <w:r>
        <w:t xml:space="preserve">And they laid him in his own tomb, and they mourned for him, Alas, brother.</w:t>
      </w:r>
      <w:r>
        <w:rPr>
          <w:rStyle w:val="FootnoteReference"/>
        </w:rPr>
        <w:footnoteReference w:id="6716"/>
      </w:r>
      <w:r>
        <w:t xml:space="preserve"/>
      </w:r>
    </w:p>
    <w:p>
      <w:r>
        <w:rPr>
          <w:b/>
        </w:rPr>
        <w:t xml:space="preserve">31 </w:t>
      </w:r>
      <w:r>
        <w:t xml:space="preserve">And it came to be after mourning for him, he said to his sons, saying, If I die, bury me in this tomb where the man of God has been buried. Put me beside his bones, so that my bones may be preserved with his bones.</w:t>
      </w:r>
    </w:p>
    <w:p>
      <w:r>
        <w:rPr>
          <w:b/>
        </w:rPr>
        <w:t xml:space="preserve">32 </w:t>
      </w:r>
      <w:r>
        <w:t xml:space="preserve">For the word that he spoke by the word of the Lord against the altar in Bethel and against the houses</w:t>
      </w:r>
      <w:r>
        <w:rPr>
          <w:rStyle w:val="FootnoteReference"/>
        </w:rPr>
        <w:footnoteReference w:id="6717"/>
      </w:r>
      <w:r>
        <w:t xml:space="preserve"> of the high places in Samaria will surely happen.</w:t>
      </w:r>
    </w:p>
    <w:p>
      <w:r>
        <w:rPr>
          <w:b/>
        </w:rPr>
        <w:t xml:space="preserve">33 </w:t>
      </w:r>
      <w:r>
        <w:t xml:space="preserve">And after this word Jeroboam</w:t>
      </w:r>
      <w:r>
        <w:rPr>
          <w:rStyle w:val="FootnoteReference"/>
        </w:rPr>
        <w:footnoteReference w:id="6718"/>
      </w:r>
      <w:r>
        <w:t xml:space="preserve"> did not turn back from his evil, and he turned again and made priests of high places from every part of the people. Whoever wished, he filled his hand</w:t>
      </w:r>
      <w:r>
        <w:rPr>
          <w:rStyle w:val="FootnoteReference"/>
        </w:rPr>
        <w:footnoteReference w:id="6719"/>
      </w:r>
      <w:r>
        <w:t xml:space="preserve">, and he became priest for the high places.</w:t>
      </w:r>
    </w:p>
    <w:p>
      <w:r>
        <w:rPr>
          <w:b/>
        </w:rPr>
        <w:t xml:space="preserve">34 </w:t>
      </w:r>
      <w:r>
        <w:t xml:space="preserve">And this word became sin</w:t>
      </w:r>
      <w:r>
        <w:rPr>
          <w:rStyle w:val="FootnoteReference"/>
        </w:rPr>
        <w:footnoteReference w:id="6720"/>
      </w:r>
      <w:r>
        <w:t xml:space="preserve"> to the house of Jeroboam, and for ruin and for destruction from the face of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21 </w:t>
      </w:r>
      <w:r>
        <w:t xml:space="preserve">And Rehoboam</w:t>
      </w:r>
      <w:r>
        <w:rPr>
          <w:rStyle w:val="FootnoteReference"/>
        </w:rPr>
        <w:footnoteReference w:id="6721"/>
      </w:r>
      <w:r>
        <w:t xml:space="preserve"> son of Solomon reigned over Judah. Rehoboam was forty-one years old when he began to reign, and he reigned seventeen years in Jerusalem, the city that the Lord chose to put his name there</w:t>
      </w:r>
      <w:r>
        <w:rPr>
          <w:rStyle w:val="FootnoteReference"/>
        </w:rPr>
        <w:footnoteReference w:id="6722"/>
      </w:r>
      <w:r>
        <w:t xml:space="preserve"> from all the tribes of Israel, and his mother's name was Naamah the Ammonite.</w:t>
      </w:r>
      <w:r>
        <w:rPr>
          <w:rStyle w:val="FootnoteReference"/>
        </w:rPr>
        <w:footnoteReference w:id="6723"/>
      </w:r>
    </w:p>
    <w:p>
      <w:r>
        <w:rPr>
          <w:b/>
        </w:rPr>
        <w:t xml:space="preserve">22 </w:t>
      </w:r>
      <w:r>
        <w:t xml:space="preserve">And Rehoboam did evil before the Lord and provoked him to jealousy by all that his fathers did and by their sins that they sinned.</w:t>
      </w:r>
    </w:p>
    <w:p>
      <w:r>
        <w:rPr>
          <w:b/>
        </w:rPr>
        <w:t xml:space="preserve">23 </w:t>
      </w:r>
      <w:r>
        <w:t xml:space="preserve">And they built</w:t>
      </w:r>
      <w:r>
        <w:rPr>
          <w:rStyle w:val="FootnoteReference"/>
        </w:rPr>
        <w:footnoteReference w:id="6724"/>
      </w:r>
      <w:r>
        <w:t xml:space="preserve"> for themselves high places and pillars and groves upon every high hill and under every shady tree.</w:t>
      </w:r>
    </w:p>
    <w:p>
      <w:r>
        <w:rPr>
          <w:b/>
        </w:rPr>
        <w:t xml:space="preserve">24 </w:t>
      </w:r>
      <w:r>
        <w:t xml:space="preserve">And a conspiracy came to be in the land, and they acted according to all the abominations of the nations that the Lord drove out from before the sons of Israel.</w:t>
      </w:r>
    </w:p>
    <w:p>
      <w:r>
        <w:rPr>
          <w:b/>
        </w:rPr>
        <w:t xml:space="preserve">25 </w:t>
      </w:r>
      <w:r>
        <w:t xml:space="preserve">And it came to be in the fifth year of King Rehoboam, Shishak</w:t>
      </w:r>
      <w:r>
        <w:rPr>
          <w:rStyle w:val="FootnoteReference"/>
        </w:rPr>
        <w:footnoteReference w:id="6725"/>
      </w:r>
      <w:r>
        <w:t xml:space="preserve"> king of Egypt came up against Jerusalem.</w:t>
      </w:r>
    </w:p>
    <w:p>
      <w:r>
        <w:rPr>
          <w:b/>
        </w:rPr>
        <w:t xml:space="preserve">26 </w:t>
      </w:r>
      <w:r>
        <w:t xml:space="preserve">And he took all the treasures of the house of the Lord and the treasures of the king's house, and the golden spears that David took from the hand of the sons of Hadadezer king of Zobah</w:t>
      </w:r>
      <w:r>
        <w:rPr>
          <w:rStyle w:val="FootnoteReference"/>
        </w:rPr>
        <w:footnoteReference w:id="6726"/>
      </w:r>
      <w:r>
        <w:t xml:space="preserve"> and brought them into Jerusalem. He took everything, the golden arms.</w:t>
      </w:r>
    </w:p>
    <w:p>
      <w:r>
        <w:rPr>
          <w:b/>
        </w:rPr>
        <w:t xml:space="preserve">27 </w:t>
      </w:r>
      <w:r>
        <w:t xml:space="preserve">And King Rehoboam made</w:t>
      </w:r>
      <w:r>
        <w:rPr>
          <w:rStyle w:val="FootnoteReference"/>
        </w:rPr>
        <w:footnoteReference w:id="6727"/>
      </w:r>
      <w:r>
        <w:t xml:space="preserve"> bronze arms in their place, and the chiefs of the runners, those guarding the gate of the king's house, were set over them.</w:t>
      </w:r>
    </w:p>
    <w:p>
      <w:r>
        <w:rPr>
          <w:b/>
        </w:rPr>
        <w:t xml:space="preserve">28 </w:t>
      </w:r>
      <w:r>
        <w:t xml:space="preserve">And it came to be whenever the king entered into the house of the Lord, the runners carried them and returned them to the chamber of the runners.</w:t>
      </w:r>
    </w:p>
    <w:p>
      <w:r>
        <w:rPr>
          <w:b/>
        </w:rPr>
        <w:t xml:space="preserve">29 </w:t>
      </w:r>
      <w:r>
        <w:t xml:space="preserve">And the rest of the matters of Rehoboam and all that he did, behold, are these not written in the Book of the Matters of the Days of the kings of Judah?</w:t>
      </w:r>
    </w:p>
    <w:p>
      <w:r>
        <w:rPr>
          <w:b/>
        </w:rPr>
        <w:t xml:space="preserve">30 </w:t>
      </w:r>
      <w:r>
        <w:t xml:space="preserve">And there was war between Rehoboam and Jeroboam all the days.</w:t>
      </w:r>
    </w:p>
    <w:p>
      <w:r>
        <w:rPr>
          <w:b/>
        </w:rPr>
        <w:t xml:space="preserve">31 </w:t>
      </w:r>
      <w:r>
        <w:t xml:space="preserve">And Rehoboam</w:t>
      </w:r>
      <w:r>
        <w:rPr>
          <w:rStyle w:val="FootnoteReference"/>
        </w:rPr>
        <w:footnoteReference w:id="6728"/>
      </w:r>
      <w:r>
        <w:t xml:space="preserve"> slept with his fathers and was buried with his fathers in the City of David, and Abijam</w:t>
      </w:r>
      <w:r>
        <w:rPr>
          <w:rStyle w:val="FootnoteReference"/>
        </w:rPr>
        <w:footnoteReference w:id="6729"/>
      </w:r>
      <w:r>
        <w:t xml:space="preserve">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in the eighteenth year of King Jeroboam son of Nebat, Abijam son of Rehoboam reigned over Judah.</w:t>
      </w:r>
    </w:p>
    <w:p>
      <w:r>
        <w:rPr>
          <w:b/>
        </w:rPr>
        <w:t xml:space="preserve">2 </w:t>
      </w:r>
      <w:r>
        <w:t xml:space="preserve">And he reigned six years, and his mother's</w:t>
      </w:r>
      <w:r>
        <w:rPr>
          <w:rStyle w:val="FootnoteReference"/>
        </w:rPr>
        <w:footnoteReference w:id="6730"/>
      </w:r>
      <w:r>
        <w:t xml:space="preserve"> name was Maachah daughter of Absalom.</w:t>
      </w:r>
    </w:p>
    <w:p>
      <w:r>
        <w:rPr>
          <w:b/>
        </w:rPr>
        <w:t xml:space="preserve">3 </w:t>
      </w:r>
      <w:r>
        <w:t xml:space="preserve">And he walked in the sins of his father that he did before him, and his heart was not perfect with the Lord his God</w:t>
      </w:r>
      <w:r>
        <w:rPr>
          <w:rStyle w:val="FootnoteReference"/>
        </w:rPr>
        <w:footnoteReference w:id="6731"/>
      </w:r>
      <w:r>
        <w:t xml:space="preserve"> like the heart of David his father.</w:t>
      </w:r>
      <w:r>
        <w:rPr>
          <w:rStyle w:val="FootnoteReference"/>
        </w:rPr>
        <w:footnoteReference w:id="6732"/>
      </w:r>
    </w:p>
    <w:p>
      <w:r>
        <w:rPr>
          <w:b/>
        </w:rPr>
        <w:t xml:space="preserve">4 </w:t>
      </w:r>
      <w:r>
        <w:t xml:space="preserve">For on account of David the Lord gave him a remnant, to set up his children after him and to establish</w:t>
      </w:r>
      <w:r>
        <w:rPr>
          <w:rStyle w:val="FootnoteReference"/>
        </w:rPr>
        <w:footnoteReference w:id="6733"/>
      </w:r>
      <w:r>
        <w:t xml:space="preserve"> Jerusalem.</w:t>
      </w:r>
    </w:p>
    <w:p>
      <w:r>
        <w:rPr>
          <w:b/>
        </w:rPr>
        <w:t xml:space="preserve">5 </w:t>
      </w:r>
      <w:r>
        <w:t xml:space="preserve">Because David</w:t>
      </w:r>
      <w:r>
        <w:rPr>
          <w:rStyle w:val="FootnoteReference"/>
        </w:rPr>
        <w:footnoteReference w:id="6734"/>
      </w:r>
      <w:r>
        <w:t xml:space="preserve"> did what was right before the Lord and did not turn aside from all that he commanded him all the days of his life.</w:t>
      </w:r>
    </w:p>
    <w:p>
      <w:r>
        <w:rPr>
          <w:b/>
        </w:rPr>
        <w:t xml:space="preserve">7 </w:t>
      </w:r>
      <w:r>
        <w:t xml:space="preserve">And the rest</w:t>
      </w:r>
      <w:r>
        <w:rPr>
          <w:rStyle w:val="FootnoteReference"/>
        </w:rPr>
        <w:footnoteReference w:id="6735"/>
      </w:r>
      <w:r>
        <w:t xml:space="preserve"> of the matters of Abijam and all that he did, behold, are these not written in the Book of the Matters of the Days of the kings of Judah? And there was war between Abijam and Jeroboam.</w:t>
      </w:r>
    </w:p>
    <w:p>
      <w:r>
        <w:rPr>
          <w:b/>
        </w:rPr>
        <w:t xml:space="preserve">8 </w:t>
      </w:r>
      <w:r>
        <w:t xml:space="preserve">And Abijam</w:t>
      </w:r>
      <w:r>
        <w:rPr>
          <w:rStyle w:val="FootnoteReference"/>
        </w:rPr>
        <w:footnoteReference w:id="6736"/>
      </w:r>
      <w:r>
        <w:t xml:space="preserve"> slept with his fathers in the twenty-fourth year of Jeroboam and was buried with his fathers in the City of David, and Asa</w:t>
      </w:r>
      <w:r>
        <w:rPr>
          <w:rStyle w:val="FootnoteReference"/>
        </w:rPr>
        <w:footnoteReference w:id="6737"/>
      </w:r>
      <w:r>
        <w:t xml:space="preserve"> his son reigned in his place.</w:t>
      </w:r>
    </w:p>
    <w:p>
      <w:r>
        <w:rPr>
          <w:b/>
        </w:rPr>
        <w:t xml:space="preserve">9 </w:t>
      </w:r>
      <w:r>
        <w:t xml:space="preserve">In the twenty-fourth year of Jeroboam king of Israel, Asa reigned over Judah.</w:t>
      </w:r>
    </w:p>
    <w:p>
      <w:r>
        <w:rPr>
          <w:b/>
        </w:rPr>
        <w:t xml:space="preserve">10 </w:t>
      </w:r>
      <w:r>
        <w:t xml:space="preserve">And he reigned forty-one years in Jerusalem, and his mother's</w:t>
      </w:r>
      <w:r>
        <w:rPr>
          <w:rStyle w:val="FootnoteReference"/>
        </w:rPr>
        <w:footnoteReference w:id="6738"/>
      </w:r>
      <w:r>
        <w:t xml:space="preserve"> name was Anah daughter of Absalom.</w:t>
      </w:r>
    </w:p>
    <w:p>
      <w:r>
        <w:rPr>
          <w:b/>
        </w:rPr>
        <w:t xml:space="preserve">11 </w:t>
      </w:r>
      <w:r>
        <w:t xml:space="preserve">And Asa did what was right before the Lord, as David his father did.</w:t>
      </w:r>
    </w:p>
    <w:p>
      <w:r>
        <w:rPr>
          <w:b/>
        </w:rPr>
        <w:t xml:space="preserve">12 </w:t>
      </w:r>
      <w:r>
        <w:t xml:space="preserve">And he removed the rites from the land and sent away all the practices that his fathers made.</w:t>
      </w:r>
    </w:p>
    <w:p>
      <w:r>
        <w:rPr>
          <w:b/>
        </w:rPr>
        <w:t xml:space="preserve">13 </w:t>
      </w:r>
      <w:r>
        <w:t xml:space="preserve">And he removed Anah his mother</w:t>
      </w:r>
      <w:r>
        <w:rPr>
          <w:rStyle w:val="FootnoteReference"/>
        </w:rPr>
        <w:footnoteReference w:id="6739"/>
      </w:r>
      <w:r>
        <w:t xml:space="preserve"> from being leader, because she made an assembly in her grove, and Asa cut down her recesses and burned them with fire in the Kidron wadi.</w:t>
      </w:r>
    </w:p>
    <w:p>
      <w:r>
        <w:rPr>
          <w:b/>
        </w:rPr>
        <w:t xml:space="preserve">14 </w:t>
      </w:r>
      <w:r>
        <w:t xml:space="preserve">But the high places</w:t>
      </w:r>
      <w:r>
        <w:rPr>
          <w:rStyle w:val="FootnoteReference"/>
        </w:rPr>
        <w:footnoteReference w:id="6740"/>
      </w:r>
      <w:r>
        <w:t xml:space="preserve"> he did not remove. Yet the heart of Asa was perfect with the Lord all his days.</w:t>
      </w:r>
    </w:p>
    <w:p>
      <w:r>
        <w:rPr>
          <w:b/>
        </w:rPr>
        <w:t xml:space="preserve">15 </w:t>
      </w:r>
      <w:r>
        <w:t xml:space="preserve">And he brought</w:t>
      </w:r>
      <w:r>
        <w:rPr>
          <w:rStyle w:val="FootnoteReference"/>
        </w:rPr>
        <w:footnoteReference w:id="6741"/>
      </w:r>
      <w:r>
        <w:t xml:space="preserve"> the pillars of his father, and his own pillars he brought into the house of the Lord, silver and gold and vessels.</w:t>
      </w:r>
    </w:p>
    <w:p>
      <w:r>
        <w:rPr>
          <w:b/>
        </w:rPr>
        <w:t xml:space="preserve">16 </w:t>
      </w:r>
      <w:r>
        <w:t xml:space="preserve">And there was war between Asa and Baasha</w:t>
      </w:r>
      <w:r>
        <w:rPr>
          <w:rStyle w:val="FootnoteReference"/>
        </w:rPr>
        <w:footnoteReference w:id="6742"/>
      </w:r>
      <w:r>
        <w:t xml:space="preserve"> king of Israel all the days.</w:t>
      </w:r>
    </w:p>
    <w:p>
      <w:r>
        <w:rPr>
          <w:b/>
        </w:rPr>
        <w:t xml:space="preserve">17 </w:t>
      </w:r>
      <w:r>
        <w:t xml:space="preserve">And Baasha</w:t>
      </w:r>
      <w:r>
        <w:rPr>
          <w:rStyle w:val="FootnoteReference"/>
        </w:rPr>
        <w:footnoteReference w:id="6743"/>
      </w:r>
      <w:r>
        <w:t xml:space="preserve"> king of Israel came up against Judah and built Ramah so that there might not be one going out or one coming in to Asa king of Judah.</w:t>
      </w:r>
    </w:p>
    <w:p>
      <w:r>
        <w:rPr>
          <w:b/>
        </w:rPr>
        <w:t xml:space="preserve">18 </w:t>
      </w:r>
      <w:r>
        <w:t xml:space="preserve">And Asa took the silver and the gold found in the treasures of the king's house and gave them into the hands of his servants, and King Asa sent them to Ben-hadad</w:t>
      </w:r>
      <w:r>
        <w:rPr>
          <w:rStyle w:val="FootnoteReference"/>
        </w:rPr>
        <w:footnoteReference w:id="6744"/>
      </w:r>
      <w:r>
        <w:t xml:space="preserve"> son of Tabrimon</w:t>
      </w:r>
      <w:r>
        <w:rPr>
          <w:rStyle w:val="FootnoteReference"/>
        </w:rPr>
        <w:footnoteReference w:id="6745"/>
      </w:r>
      <w:r>
        <w:t xml:space="preserve"> son of Hezion</w:t>
      </w:r>
      <w:r>
        <w:rPr>
          <w:rStyle w:val="FootnoteReference"/>
        </w:rPr>
        <w:footnoteReference w:id="6746"/>
      </w:r>
      <w:r>
        <w:t xml:space="preserve">, king of Syria, the one dwelling in Damascus</w:t>
      </w:r>
      <w:r>
        <w:rPr>
          <w:rStyle w:val="FootnoteReference"/>
        </w:rPr>
        <w:footnoteReference w:id="6747"/>
      </w:r>
      <w:r>
        <w:t xml:space="preserve">, saying,</w:t>
      </w:r>
    </w:p>
    <w:p>
      <w:r>
        <w:rPr>
          <w:b/>
        </w:rPr>
        <w:t xml:space="preserve">19 </w:t>
      </w:r>
      <w:r>
        <w:t xml:space="preserve">Make a covenant between me and you and between my father and your father. Behold, I have sent you gifts, silver and gold. Come, scatter your covenant</w:t>
      </w:r>
      <w:r>
        <w:rPr>
          <w:rStyle w:val="FootnoteReference"/>
        </w:rPr>
        <w:footnoteReference w:id="6748"/>
      </w:r>
      <w:r>
        <w:t xml:space="preserve"> with Baasha king of Israel, and he will go up from me.</w:t>
      </w:r>
    </w:p>
    <w:p>
      <w:r>
        <w:rPr>
          <w:b/>
        </w:rPr>
        <w:t xml:space="preserve">20 </w:t>
      </w:r>
      <w:r>
        <w:t xml:space="preserve">And Ben-hadad</w:t>
      </w:r>
      <w:r>
        <w:rPr>
          <w:rStyle w:val="FootnoteReference"/>
        </w:rPr>
        <w:footnoteReference w:id="6749"/>
      </w:r>
      <w:r>
        <w:t xml:space="preserve"> listened to King Asa and sent the commanders of his forces against the cities of Israel and struck Ijon</w:t>
      </w:r>
      <w:r>
        <w:rPr>
          <w:rStyle w:val="FootnoteReference"/>
        </w:rPr>
        <w:footnoteReference w:id="6750"/>
      </w:r>
      <w:r>
        <w:t xml:space="preserve"> and Dan and Abel-beth-maachah</w:t>
      </w:r>
      <w:r>
        <w:rPr>
          <w:rStyle w:val="FootnoteReference"/>
        </w:rPr>
        <w:footnoteReference w:id="6751"/>
      </w:r>
      <w:r>
        <w:t xml:space="preserve"> and all Cinneroth</w:t>
      </w:r>
      <w:r>
        <w:rPr>
          <w:rStyle w:val="FootnoteReference"/>
        </w:rPr>
        <w:footnoteReference w:id="6752"/>
      </w:r>
      <w:r>
        <w:t xml:space="preserve"> as far as all the land of Naphtali.</w:t>
      </w:r>
      <w:r>
        <w:rPr>
          <w:rStyle w:val="FootnoteReference"/>
        </w:rPr>
        <w:footnoteReference w:id="6753"/>
      </w:r>
    </w:p>
    <w:p>
      <w:r>
        <w:rPr>
          <w:b/>
        </w:rPr>
        <w:t xml:space="preserve">21 </w:t>
      </w:r>
      <w:r>
        <w:t xml:space="preserve">And it came to be when Baasha</w:t>
      </w:r>
      <w:r>
        <w:rPr>
          <w:rStyle w:val="FootnoteReference"/>
        </w:rPr>
        <w:footnoteReference w:id="6754"/>
      </w:r>
      <w:r>
        <w:t xml:space="preserve"> heard, he stopped building Ramah and returned to Tirzah.</w:t>
      </w:r>
    </w:p>
    <w:p>
      <w:r>
        <w:rPr>
          <w:b/>
        </w:rPr>
        <w:t xml:space="preserve">22 </w:t>
      </w:r>
      <w:r>
        <w:t xml:space="preserve">And King Asa gave charge to all Judah without exception</w:t>
      </w:r>
      <w:r>
        <w:rPr>
          <w:rStyle w:val="FootnoteReference"/>
        </w:rPr>
        <w:footnoteReference w:id="6755"/>
      </w:r>
      <w:r>
        <w:t xml:space="preserve">, and they carried off the stones of Ramah and its timbers that Baasha built, and King Asa built with them all the hill of Benjamin and the watchtower.</w:t>
      </w:r>
    </w:p>
    <w:p>
      <w:r>
        <w:rPr>
          <w:b/>
        </w:rPr>
        <w:t xml:space="preserve">23 </w:t>
      </w:r>
      <w:r>
        <w:t xml:space="preserve">And the rest of the matters of Asa and all his dominion that he exercised, behold, are these not written in the Book of the Matters of the Days of the kings of Judah? Yet in the time</w:t>
      </w:r>
      <w:r>
        <w:rPr>
          <w:rStyle w:val="FootnoteReference"/>
        </w:rPr>
        <w:footnoteReference w:id="6756"/>
      </w:r>
      <w:r>
        <w:t xml:space="preserve"> of his old age his feet were in pain</w:t>
      </w:r>
      <w:r>
        <w:rPr>
          <w:rStyle w:val="FootnoteReference"/>
        </w:rPr>
        <w:footnoteReference w:id="6757"/>
      </w:r>
      <w:r>
        <w:t xml:space="preserve">.</w:t>
      </w:r>
    </w:p>
    <w:p>
      <w:r>
        <w:rPr>
          <w:b/>
        </w:rPr>
        <w:t xml:space="preserve">24 </w:t>
      </w:r>
      <w:r>
        <w:t xml:space="preserve">And Asa slept and was buried</w:t>
      </w:r>
      <w:r>
        <w:rPr>
          <w:rStyle w:val="FootnoteReference"/>
        </w:rPr>
        <w:footnoteReference w:id="6758"/>
      </w:r>
      <w:r>
        <w:t xml:space="preserve"> with his fathers in the City of David, and Jehoshaphat his son reigned in his place.</w:t>
      </w:r>
    </w:p>
    <w:p>
      <w:r>
        <w:rPr>
          <w:b/>
        </w:rPr>
        <w:t xml:space="preserve">25 </w:t>
      </w:r>
      <w:r>
        <w:t xml:space="preserve">And Nadab</w:t>
      </w:r>
      <w:r>
        <w:rPr>
          <w:rStyle w:val="FootnoteReference"/>
        </w:rPr>
        <w:footnoteReference w:id="6759"/>
      </w:r>
      <w:r>
        <w:t xml:space="preserve"> son of Jeroboam reigned over Israel in the second year of Asa king of Judah, and he reigned over Israel two years.</w:t>
      </w:r>
    </w:p>
    <w:p>
      <w:r>
        <w:rPr>
          <w:b/>
        </w:rPr>
        <w:t xml:space="preserve">26 </w:t>
      </w:r>
      <w:r>
        <w:t xml:space="preserve">And he did evil</w:t>
      </w:r>
      <w:r>
        <w:rPr>
          <w:rStyle w:val="FootnoteReference"/>
        </w:rPr>
        <w:footnoteReference w:id="6760"/>
      </w:r>
      <w:r>
        <w:t xml:space="preserve"> before the Lord and walked in the way of his father and in his sins by which he made Israel sin.</w:t>
      </w:r>
    </w:p>
    <w:p>
      <w:r>
        <w:rPr>
          <w:b/>
        </w:rPr>
        <w:t xml:space="preserve">27 </w:t>
      </w:r>
      <w:r>
        <w:t xml:space="preserve">And Baasha son of Ahijah of the house of Belaan conspired</w:t>
      </w:r>
      <w:r>
        <w:rPr>
          <w:rStyle w:val="FootnoteReference"/>
        </w:rPr>
        <w:footnoteReference w:id="6761"/>
      </w:r>
      <w:r>
        <w:t xml:space="preserve"> against him and struck him at Gibbethon of the Philistines, while Nadab and all Israel were besieging Gibbethon.</w:t>
      </w:r>
    </w:p>
    <w:p>
      <w:r>
        <w:rPr>
          <w:b/>
        </w:rPr>
        <w:t xml:space="preserve">28 </w:t>
      </w:r>
      <w:r>
        <w:t xml:space="preserve">And Baasha killed him in the third year of Asa son of Abijam king of Judah and reigned in his place.</w:t>
      </w:r>
    </w:p>
    <w:p>
      <w:r>
        <w:rPr>
          <w:b/>
        </w:rPr>
        <w:t xml:space="preserve">29 </w:t>
      </w:r>
      <w:r>
        <w:t xml:space="preserve">And it came to be when he reigned, he struck the house of Jeroboam and left no breathing thing</w:t>
      </w:r>
      <w:r>
        <w:rPr>
          <w:rStyle w:val="FootnoteReference"/>
        </w:rPr>
        <w:footnoteReference w:id="6762"/>
      </w:r>
      <w:r>
        <w:t xml:space="preserve"> of Jeroboam until he destroyed him, according to the word of the Lord that he spoke by the hand of his servant Ahijah the Shilonite,</w:t>
      </w:r>
    </w:p>
    <w:p>
      <w:r>
        <w:rPr>
          <w:b/>
        </w:rPr>
        <w:t xml:space="preserve">30 </w:t>
      </w:r>
      <w:r>
        <w:t xml:space="preserve">because of the sins</w:t>
      </w:r>
      <w:r>
        <w:rPr>
          <w:rStyle w:val="FootnoteReference"/>
        </w:rPr>
        <w:footnoteReference w:id="6763"/>
      </w:r>
      <w:r>
        <w:t xml:space="preserve"> of Jeroboam, as he made Israel sin, and by his provocation with which he provoked the Lord God of Israel.</w:t>
      </w:r>
    </w:p>
    <w:p>
      <w:r>
        <w:rPr>
          <w:b/>
        </w:rPr>
        <w:t xml:space="preserve">31 </w:t>
      </w:r>
      <w:r>
        <w:t xml:space="preserve">And the rest of the matters of Nadab and all that he did, behold, are these not written in the Book of the Matters of the Days of the kings of Israel?</w:t>
      </w:r>
    </w:p>
    <w:p>
      <w:r>
        <w:rPr>
          <w:b/>
        </w:rPr>
        <w:t xml:space="preserve">33 </w:t>
      </w:r>
      <w:r>
        <w:t xml:space="preserve">And in the third year of Asa king of Judah, Baasha son of Ahijah reigned over Israel in Tirzah twenty-four years.</w:t>
      </w:r>
    </w:p>
    <w:p>
      <w:r>
        <w:rPr>
          <w:b/>
        </w:rPr>
        <w:t xml:space="preserve">34 </w:t>
      </w:r>
      <w:r>
        <w:t xml:space="preserve">And he did evil</w:t>
      </w:r>
      <w:r>
        <w:rPr>
          <w:rStyle w:val="FootnoteReference"/>
        </w:rPr>
        <w:footnoteReference w:id="6764"/>
      </w:r>
      <w:r>
        <w:t xml:space="preserve"> before the Lord and walked in the way of Jeroboam son of Nebat and in his sins by which he made Israel sin.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the word of the Lord came by the hand of Jehu</w:t>
      </w:r>
      <w:r>
        <w:rPr>
          <w:rStyle w:val="FootnoteReference"/>
        </w:rPr>
        <w:footnoteReference w:id="6765"/>
      </w:r>
      <w:r>
        <w:t xml:space="preserve"> son of Anani</w:t>
      </w:r>
      <w:r>
        <w:rPr>
          <w:rStyle w:val="FootnoteReference"/>
        </w:rPr>
        <w:footnoteReference w:id="6766"/>
      </w:r>
      <w:r>
        <w:t xml:space="preserve"> against Baasha,</w:t>
      </w:r>
      <w:r>
        <w:rPr>
          <w:rStyle w:val="FootnoteReference"/>
        </w:rPr>
        <w:footnoteReference w:id="6767"/>
      </w:r>
    </w:p>
    <w:p>
      <w:r>
        <w:rPr>
          <w:b/>
        </w:rPr>
        <w:t xml:space="preserve">2 </w:t>
      </w:r>
      <w:r>
        <w:t xml:space="preserve">Because I lifted you up from the earth</w:t>
      </w:r>
      <w:r>
        <w:rPr>
          <w:rStyle w:val="FootnoteReference"/>
        </w:rPr>
        <w:footnoteReference w:id="6768"/>
      </w:r>
      <w:r>
        <w:t xml:space="preserve"> and gave you as a leader over my people Israel, and you walked in the way of Jeroboam and made my people Israel sin, to provoke me by their vanities,</w:t>
      </w:r>
    </w:p>
    <w:p>
      <w:r>
        <w:rPr>
          <w:b/>
        </w:rPr>
        <w:t xml:space="preserve">3 </w:t>
      </w:r>
      <w:r>
        <w:t xml:space="preserve">behold, I am raising up after Baasha and after his house, and I will make your house like the house of Jeroboam son of Nebat.</w:t>
      </w:r>
    </w:p>
    <w:p>
      <w:r>
        <w:rPr>
          <w:b/>
        </w:rPr>
        <w:t xml:space="preserve">4 </w:t>
      </w:r>
      <w:r>
        <w:t xml:space="preserve">The dead one of Baasha in the city, dogs will eat him, and the dead one of his in the field, birds of the sky will eat him.</w:t>
      </w:r>
    </w:p>
    <w:p>
      <w:r>
        <w:rPr>
          <w:b/>
        </w:rPr>
        <w:t xml:space="preserve">5 </w:t>
      </w:r>
      <w:r>
        <w:t xml:space="preserve">And the rest</w:t>
      </w:r>
      <w:r>
        <w:rPr>
          <w:rStyle w:val="FootnoteReference"/>
        </w:rPr>
        <w:footnoteReference w:id="6769"/>
      </w:r>
      <w:r>
        <w:t xml:space="preserve"> of the matters of Baasha and all that he did and his acts of power, behold, are these not written in the Book of the Matters of the Days of the kings of Israel?</w:t>
      </w:r>
    </w:p>
    <w:p>
      <w:r>
        <w:rPr>
          <w:b/>
        </w:rPr>
        <w:t xml:space="preserve">6 </w:t>
      </w:r>
      <w:r>
        <w:t xml:space="preserve">And Baasha</w:t>
      </w:r>
      <w:r>
        <w:rPr>
          <w:rStyle w:val="FootnoteReference"/>
        </w:rPr>
        <w:footnoteReference w:id="6770"/>
      </w:r>
      <w:r>
        <w:t xml:space="preserve"> slept with his fathers and was buried in Tirzah, and Ela his son reigned in his place in the twentieth year of King Asa.</w:t>
      </w:r>
    </w:p>
    <w:p>
      <w:r>
        <w:rPr>
          <w:b/>
        </w:rPr>
        <w:t xml:space="preserve">7 </w:t>
      </w:r>
      <w:r>
        <w:t xml:space="preserve">And by the hand</w:t>
      </w:r>
      <w:r>
        <w:rPr>
          <w:rStyle w:val="FootnoteReference"/>
        </w:rPr>
        <w:footnoteReference w:id="6771"/>
      </w:r>
      <w:r>
        <w:t xml:space="preserve"> of Jehu son of Anani the Lord spoke against Baasha and against his house, all the evil that he did before the Lord, provoking him by the works of his hands, by becoming like the house of Jeroboam and because he struck him</w:t>
      </w:r>
      <w:r>
        <w:rPr>
          <w:rStyle w:val="FootnoteReference"/>
        </w:rPr>
        <w:footnoteReference w:id="6772"/>
      </w:r>
      <w:r>
        <w:t xml:space="preserve">.</w:t>
      </w:r>
    </w:p>
    <w:p>
      <w:r>
        <w:rPr>
          <w:b/>
        </w:rPr>
        <w:t xml:space="preserve">8 </w:t>
      </w:r>
      <w:r>
        <w:t xml:space="preserve">And Ela son of Baasha reigned over Israel two years in Tirzah.</w:t>
      </w:r>
    </w:p>
    <w:p>
      <w:r>
        <w:rPr>
          <w:b/>
        </w:rPr>
        <w:t xml:space="preserve">9 </w:t>
      </w:r>
      <w:r>
        <w:t xml:space="preserve">And Zimri, commander of half the cavalry, conspired</w:t>
      </w:r>
      <w:r>
        <w:rPr>
          <w:rStyle w:val="FootnoteReference"/>
        </w:rPr>
        <w:footnoteReference w:id="6773"/>
      </w:r>
      <w:r>
        <w:t xml:space="preserve"> against him, while he was in Tirzah drinking himself drunk in the house of Osa</w:t>
      </w:r>
      <w:r>
        <w:rPr>
          <w:rStyle w:val="FootnoteReference"/>
        </w:rPr>
        <w:footnoteReference w:id="6774"/>
      </w:r>
      <w:r>
        <w:t xml:space="preserve"> the steward in Tirzah.</w:t>
      </w:r>
    </w:p>
    <w:p>
      <w:r>
        <w:rPr>
          <w:b/>
        </w:rPr>
        <w:t xml:space="preserve">10 </w:t>
      </w:r>
      <w:r>
        <w:t xml:space="preserve">And Zimri</w:t>
      </w:r>
      <w:r>
        <w:rPr>
          <w:rStyle w:val="FootnoteReference"/>
        </w:rPr>
        <w:footnoteReference w:id="6775"/>
      </w:r>
      <w:r>
        <w:t xml:space="preserve"> went in and struck him and killed him and reigned in his place.</w:t>
      </w:r>
    </w:p>
    <w:p>
      <w:r>
        <w:rPr>
          <w:b/>
        </w:rPr>
        <w:t xml:space="preserve">11 </w:t>
      </w:r>
      <w:r>
        <w:t xml:space="preserve">And it came to be when he reigned, when he sat</w:t>
      </w:r>
      <w:r>
        <w:rPr>
          <w:rStyle w:val="FootnoteReference"/>
        </w:rPr>
        <w:footnoteReference w:id="6776"/>
      </w:r>
      <w:r>
        <w:t xml:space="preserve"> upon his throne, he struck the whole house of Baasha.</w:t>
      </w:r>
    </w:p>
    <w:p>
      <w:r>
        <w:rPr>
          <w:b/>
        </w:rPr>
        <w:t xml:space="preserve">12 </w:t>
      </w:r>
      <w:r>
        <w:t xml:space="preserve">This happened according to the word that the Lord spoke against the house of Baasha through Jehu the prophet,</w:t>
      </w:r>
    </w:p>
    <w:p>
      <w:r>
        <w:rPr>
          <w:b/>
        </w:rPr>
        <w:t xml:space="preserve">13 </w:t>
      </w:r>
      <w:r>
        <w:t xml:space="preserve">because of all the sins of Baasha and Ela his son, by which they made Israel sin, to provoke the Lord God of Israel by their vanities</w:t>
      </w:r>
      <w:r>
        <w:rPr>
          <w:rStyle w:val="FootnoteReference"/>
        </w:rPr>
        <w:footnoteReference w:id="6777"/>
      </w:r>
      <w:r>
        <w:t xml:space="preserve">.</w:t>
      </w:r>
    </w:p>
    <w:p>
      <w:r>
        <w:rPr>
          <w:b/>
        </w:rPr>
        <w:t xml:space="preserve">14 </w:t>
      </w:r>
      <w:r>
        <w:t xml:space="preserve">And the rest of the matters of Ela and all that he did, behold, are these not written in the Book of the Matters of the Days of the kings of Israel?</w:t>
      </w:r>
    </w:p>
    <w:p>
      <w:r>
        <w:rPr>
          <w:b/>
        </w:rPr>
        <w:t xml:space="preserve">15 </w:t>
      </w:r>
      <w:r>
        <w:t xml:space="preserve">And Zimri reigned seven</w:t>
      </w:r>
      <w:r>
        <w:rPr>
          <w:rStyle w:val="FootnoteReference"/>
        </w:rPr>
        <w:footnoteReference w:id="6778"/>
      </w:r>
      <w:r>
        <w:t xml:space="preserve"> days in Tirzah, and the camp of Israel was at Gibbethon of the Philistines.</w:t>
      </w:r>
    </w:p>
    <w:p>
      <w:r>
        <w:rPr>
          <w:b/>
        </w:rPr>
        <w:t xml:space="preserve">16 </w:t>
      </w:r>
      <w:r>
        <w:t xml:space="preserve">And the people in the camp heard them saying, Zimri has conspired and has struck the king, and on that day in the camp they made Omri</w:t>
      </w:r>
      <w:r>
        <w:rPr>
          <w:rStyle w:val="FootnoteReference"/>
        </w:rPr>
        <w:footnoteReference w:id="6779"/>
      </w:r>
      <w:r>
        <w:t xml:space="preserve">, commander of the army, king over Israel.</w:t>
      </w:r>
      <w:r>
        <w:rPr>
          <w:rStyle w:val="FootnoteReference"/>
        </w:rPr>
        <w:footnoteReference w:id="6780"/>
      </w:r>
    </w:p>
    <w:p>
      <w:r>
        <w:rPr>
          <w:b/>
        </w:rPr>
        <w:t xml:space="preserve">17 </w:t>
      </w:r>
      <w:r>
        <w:t xml:space="preserve">And Omri went up, and all Israel with him, from Gibbethon and they besieged Tirzah</w:t>
      </w:r>
      <w:r>
        <w:rPr>
          <w:rStyle w:val="FootnoteReference"/>
        </w:rPr>
        <w:footnoteReference w:id="6781"/>
      </w:r>
      <w:r>
        <w:t xml:space="preserve">.</w:t>
      </w:r>
    </w:p>
    <w:p>
      <w:r>
        <w:rPr>
          <w:b/>
        </w:rPr>
        <w:t xml:space="preserve">18 </w:t>
      </w:r>
      <w:r>
        <w:t xml:space="preserve">And it came to be when Zimri saw that his city had been seized, he entered into the citadel of the king's house and burned the king's house over himself with fire and died,</w:t>
      </w:r>
    </w:p>
    <w:p>
      <w:r>
        <w:rPr>
          <w:b/>
        </w:rPr>
        <w:t xml:space="preserve">19 </w:t>
      </w:r>
      <w:r>
        <w:t xml:space="preserve">because of his sins that he did, by doing evil before the Lord, by walking in the way of Jeroboam son of Nebat and in his</w:t>
      </w:r>
      <w:r>
        <w:rPr>
          <w:rStyle w:val="FootnoteReference"/>
        </w:rPr>
        <w:footnoteReference w:id="6782"/>
      </w:r>
      <w:r>
        <w:t xml:space="preserve"> sins by which he made Israel sin.</w:t>
      </w:r>
    </w:p>
    <w:p>
      <w:r>
        <w:rPr>
          <w:b/>
        </w:rPr>
        <w:t xml:space="preserve">20 </w:t>
      </w:r>
      <w:r>
        <w:t xml:space="preserve">And the rest</w:t>
      </w:r>
      <w:r>
        <w:rPr>
          <w:rStyle w:val="FootnoteReference"/>
        </w:rPr>
        <w:footnoteReference w:id="6783"/>
      </w:r>
      <w:r>
        <w:t xml:space="preserve"> of the matters of Zimri and his conspiracies that he conspired, behold, are these not written in the Book of the Matters of the Days of the kings of Israel?</w:t>
      </w:r>
    </w:p>
    <w:p>
      <w:r>
        <w:rPr>
          <w:b/>
        </w:rPr>
        <w:t xml:space="preserve">21 </w:t>
      </w:r>
      <w:r>
        <w:t xml:space="preserve">Then the people of Israel were divided</w:t>
      </w:r>
      <w:r>
        <w:rPr>
          <w:rStyle w:val="FootnoteReference"/>
        </w:rPr>
        <w:footnoteReference w:id="6784"/>
      </w:r>
      <w:r>
        <w:t xml:space="preserve">: half the people were behind Tibni</w:t>
      </w:r>
      <w:r>
        <w:rPr>
          <w:rStyle w:val="FootnoteReference"/>
        </w:rPr>
        <w:footnoteReference w:id="6785"/>
      </w:r>
      <w:r>
        <w:t xml:space="preserve"> son of Ginath</w:t>
      </w:r>
      <w:r>
        <w:rPr>
          <w:rStyle w:val="FootnoteReference"/>
        </w:rPr>
        <w:footnoteReference w:id="6786"/>
      </w:r>
      <w:r>
        <w:t xml:space="preserve"> to make him king, and half the people were behind Omri.</w:t>
      </w:r>
    </w:p>
    <w:p>
      <w:r>
        <w:rPr>
          <w:b/>
        </w:rPr>
        <w:t xml:space="preserve">22 </w:t>
      </w:r>
      <w:r>
        <w:t xml:space="preserve">The people who were behind Omri prevailed over the people who were behind Tibni son of Ginath, and Tibni died, and Joram his brother at that time, and Omri reigned after Tibni.</w:t>
      </w:r>
    </w:p>
    <w:p>
      <w:r>
        <w:rPr>
          <w:b/>
        </w:rPr>
        <w:t xml:space="preserve">23 </w:t>
      </w:r>
      <w:r>
        <w:t xml:space="preserve">In the thirty</w:t>
      </w:r>
      <w:r>
        <w:rPr>
          <w:rStyle w:val="FootnoteReference"/>
        </w:rPr>
        <w:footnoteReference w:id="6787"/>
      </w:r>
      <w:r>
        <w:t xml:space="preserve">-first year of King Asa, Omri reigned over Israel twelve years; in Tirzah he reigned six years.</w:t>
      </w:r>
    </w:p>
    <w:p>
      <w:r>
        <w:rPr>
          <w:b/>
        </w:rPr>
        <w:t xml:space="preserve">24 </w:t>
      </w:r>
      <w:r>
        <w:t xml:space="preserve">And Omri bought the mountain of Shemer</w:t>
      </w:r>
      <w:r>
        <w:rPr>
          <w:rStyle w:val="FootnoteReference"/>
        </w:rPr>
        <w:footnoteReference w:id="6788"/>
      </w:r>
      <w:r>
        <w:t xml:space="preserve"> from Shemer, lord of the mountain, for two talents of silver, and built the mountain and called the name of the mountain that he built by the name of Shemer, lord of the mountain, Shemer.</w:t>
      </w:r>
    </w:p>
    <w:p>
      <w:r>
        <w:rPr>
          <w:b/>
        </w:rPr>
        <w:t xml:space="preserve">25 </w:t>
      </w:r>
      <w:r>
        <w:t xml:space="preserve">And Omri did evil before the Lord and did worse</w:t>
      </w:r>
      <w:r>
        <w:rPr>
          <w:rStyle w:val="FootnoteReference"/>
        </w:rPr>
        <w:footnoteReference w:id="6789"/>
      </w:r>
      <w:r>
        <w:t xml:space="preserve"> than all those who came before him.</w:t>
      </w:r>
    </w:p>
    <w:p>
      <w:r>
        <w:rPr>
          <w:b/>
        </w:rPr>
        <w:t xml:space="preserve">26 </w:t>
      </w:r>
      <w:r>
        <w:t xml:space="preserve">And he walked</w:t>
      </w:r>
      <w:r>
        <w:rPr>
          <w:rStyle w:val="FootnoteReference"/>
        </w:rPr>
        <w:footnoteReference w:id="6790"/>
      </w:r>
      <w:r>
        <w:t xml:space="preserve"> in every way of Jeroboam son of Nebat and in his sins by which he made Israel sin, to provoke the Lord God of Israel by their vanities.</w:t>
      </w:r>
    </w:p>
    <w:p>
      <w:r>
        <w:rPr>
          <w:b/>
        </w:rPr>
        <w:t xml:space="preserve">27 </w:t>
      </w:r>
      <w:r>
        <w:t xml:space="preserve">And the rest</w:t>
      </w:r>
      <w:r>
        <w:rPr>
          <w:rStyle w:val="FootnoteReference"/>
        </w:rPr>
        <w:footnoteReference w:id="6791"/>
      </w:r>
      <w:r>
        <w:t xml:space="preserve"> of the matters of Omri and all that he did and his dominion, behold, are these not written in the Book of the Matters of the Days of the kings of Israel?</w:t>
      </w:r>
    </w:p>
    <w:p>
      <w:r>
        <w:rPr>
          <w:b/>
        </w:rPr>
        <w:t xml:space="preserve">28 </w:t>
      </w:r>
      <w:r>
        <w:t xml:space="preserve">And Omri slept with his fathers and was buried in Samaria, and Ahab</w:t>
      </w:r>
      <w:r>
        <w:rPr>
          <w:rStyle w:val="FootnoteReference"/>
        </w:rPr>
        <w:footnoteReference w:id="6792"/>
      </w:r>
      <w:r>
        <w:t xml:space="preserve"> his son reigned in his place. And in the eleventh year of Omri, Jehoshaphat son of Asa reigned, thirty-five years old in his reign, and he reigned twenty-five years in Jerusalem, and his mother's name was Azubah</w:t>
      </w:r>
      <w:r>
        <w:rPr>
          <w:rStyle w:val="FootnoteReference"/>
        </w:rPr>
        <w:footnoteReference w:id="6793"/>
      </w:r>
      <w:r>
        <w:t xml:space="preserve"> daughter of Shilhi</w:t>
      </w:r>
      <w:r>
        <w:rPr>
          <w:rStyle w:val="FootnoteReference"/>
        </w:rPr>
        <w:footnoteReference w:id="6794"/>
      </w:r>
      <w:r>
        <w:t xml:space="preserve">. And he walked in the way of Asa his father and did not turn aside from it, doing what was right before the Lord, except the high places they did not remove; they sacrificed on the high places and burned incense. And the rest of the alliances that Jehoshaphat made and all the dominion that he exercised and those against whom he fought, behold, are these not written in the Book of the Matters of the Days of the kings of Judah? And the rest of the entanglements that were imposed in the days of Asa his father he removed from the land. And there was no king in Syria, only a deputy. And King Jehoshaphat made a ship for Tarshish to go to Sophir for gold, and it did not go because the ship was broken at Eziongeber. Then the king of Israel said to Jehoshaphat, I will send your servants and my servants in the ship, and Jehoshaphat was not willing. And Jehoshaphat slept with his fathers and was buried with his fathers in the City of David, and Joram his son reigned in his place.</w:t>
      </w:r>
      <w:r>
        <w:rPr>
          <w:rStyle w:val="FootnoteReference"/>
        </w:rPr>
        <w:footnoteReference w:id="6795"/>
      </w:r>
    </w:p>
    <w:p>
      <w:r>
        <w:rPr>
          <w:b/>
        </w:rPr>
        <w:t xml:space="preserve">29 </w:t>
      </w:r>
      <w:r>
        <w:t xml:space="preserve">In the second year of Jehoshaphat, Ahab son of Omri reigned over Israel in Samaria</w:t>
      </w:r>
      <w:r>
        <w:rPr>
          <w:rStyle w:val="FootnoteReference"/>
        </w:rPr>
        <w:footnoteReference w:id="6796"/>
      </w:r>
      <w:r>
        <w:t xml:space="preserve"> twenty-two years.</w:t>
      </w:r>
    </w:p>
    <w:p>
      <w:r>
        <w:rPr>
          <w:b/>
        </w:rPr>
        <w:t xml:space="preserve">30 </w:t>
      </w:r>
      <w:r>
        <w:t xml:space="preserve">And Ahab did evil before the Lord. He did worse than all those before him.</w:t>
      </w:r>
    </w:p>
    <w:p>
      <w:r>
        <w:rPr>
          <w:b/>
        </w:rPr>
        <w:t xml:space="preserve">31 </w:t>
      </w:r>
      <w:r>
        <w:t xml:space="preserve">And it was not enough for him</w:t>
      </w:r>
      <w:r>
        <w:rPr>
          <w:rStyle w:val="FootnoteReference"/>
        </w:rPr>
        <w:footnoteReference w:id="6797"/>
      </w:r>
      <w:r>
        <w:t xml:space="preserve"> to walk in the sins of Jeroboam son of Nebat, and he took Jezebel</w:t>
      </w:r>
      <w:r>
        <w:rPr>
          <w:rStyle w:val="FootnoteReference"/>
        </w:rPr>
        <w:footnoteReference w:id="6798"/>
      </w:r>
      <w:r>
        <w:t xml:space="preserve"> daughter of Ethbaal</w:t>
      </w:r>
      <w:r>
        <w:rPr>
          <w:rStyle w:val="FootnoteReference"/>
        </w:rPr>
        <w:footnoteReference w:id="6799"/>
      </w:r>
      <w:r>
        <w:t xml:space="preserve"> king of the Sidonians for a wife and went and served Baal and bowed down to him.</w:t>
      </w:r>
      <w:r>
        <w:rPr>
          <w:rStyle w:val="FootnoteReference"/>
        </w:rPr>
        <w:footnoteReference w:id="6800"/>
      </w:r>
    </w:p>
    <w:p>
      <w:r>
        <w:rPr>
          <w:b/>
        </w:rPr>
        <w:t xml:space="preserve">32 </w:t>
      </w:r>
      <w:r>
        <w:t xml:space="preserve">And he set up an altar to Baal in the house of his abominations, which he built in Samaria.</w:t>
      </w:r>
    </w:p>
    <w:p>
      <w:r>
        <w:rPr>
          <w:b/>
        </w:rPr>
        <w:t xml:space="preserve">33 </w:t>
      </w:r>
      <w:r>
        <w:t xml:space="preserve">And Ahab made a grove</w:t>
      </w:r>
      <w:r>
        <w:rPr>
          <w:rStyle w:val="FootnoteReference"/>
        </w:rPr>
        <w:footnoteReference w:id="6801"/>
      </w:r>
      <w:r>
        <w:t xml:space="preserve">, and Ahab added by making provocations, provoking his own soul toward destruction. He did evil beyond all the kings of Israel who came before him.</w:t>
      </w:r>
    </w:p>
    <w:p>
      <w:r>
        <w:rPr>
          <w:b/>
        </w:rPr>
        <w:t xml:space="preserve">34 </w:t>
      </w:r>
      <w:r>
        <w:t xml:space="preserve">In his days Hiel</w:t>
      </w:r>
      <w:r>
        <w:rPr>
          <w:rStyle w:val="FootnoteReference"/>
        </w:rPr>
        <w:footnoteReference w:id="6802"/>
      </w:r>
      <w:r>
        <w:t xml:space="preserve"> the Bethelite</w:t>
      </w:r>
      <w:r>
        <w:rPr>
          <w:rStyle w:val="FootnoteReference"/>
        </w:rPr>
        <w:footnoteReference w:id="6803"/>
      </w:r>
      <w:r>
        <w:t xml:space="preserve"> built Jericho. In Abiram his firstborn he founded it, and in Segub</w:t>
      </w:r>
      <w:r>
        <w:rPr>
          <w:rStyle w:val="FootnoteReference"/>
        </w:rPr>
        <w:footnoteReference w:id="6804"/>
      </w:r>
      <w:r>
        <w:t xml:space="preserve"> his youngest he set up its gates, according to the word of the Lord that he spoke by the hand of Joshua son of Nun.</w:t>
      </w:r>
      <w:r>
        <w:rPr>
          <w:rStyle w:val="FootnoteReference"/>
        </w:rPr>
        <w:footnoteReference w:id="6805"/>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Elijah</w:t>
      </w:r>
      <w:r>
        <w:rPr>
          <w:rStyle w:val="FootnoteReference"/>
        </w:rPr>
        <w:footnoteReference w:id="6806"/>
      </w:r>
      <w:r>
        <w:t xml:space="preserve"> the prophet, the Tishbite</w:t>
      </w:r>
      <w:r>
        <w:rPr>
          <w:rStyle w:val="FootnoteReference"/>
        </w:rPr>
        <w:footnoteReference w:id="6807"/>
      </w:r>
      <w:r>
        <w:t xml:space="preserve"> from Thesbon of Gilead, said to Ahab, As the Lord God of hosts, God of Israel, lives, before whom I stand, these years there shall be no dew and rain except by the word of my mouth.</w:t>
      </w:r>
      <w:r>
        <w:rPr>
          <w:rStyle w:val="FootnoteReference"/>
        </w:rPr>
        <w:footnoteReference w:id="6808"/>
      </w:r>
    </w:p>
    <w:p>
      <w:r>
        <w:rPr>
          <w:b/>
        </w:rPr>
        <w:t xml:space="preserve">2 </w:t>
      </w:r>
      <w:r>
        <w:t xml:space="preserve">And the word of the Lord came to Elijah,</w:t>
      </w:r>
    </w:p>
    <w:p>
      <w:r>
        <w:rPr>
          <w:b/>
        </w:rPr>
        <w:t xml:space="preserve">3 </w:t>
      </w:r>
      <w:r>
        <w:t xml:space="preserve">Go from here eastward and hide yourself by the wadi Cherith</w:t>
      </w:r>
      <w:r>
        <w:rPr>
          <w:rStyle w:val="FootnoteReference"/>
        </w:rPr>
        <w:footnoteReference w:id="6809"/>
      </w:r>
      <w:r>
        <w:t xml:space="preserve">, the one before the Jordan.</w:t>
      </w:r>
    </w:p>
    <w:p>
      <w:r>
        <w:rPr>
          <w:b/>
        </w:rPr>
        <w:t xml:space="preserve">4 </w:t>
      </w:r>
      <w:r>
        <w:t xml:space="preserve">And it shall be, you will drink water from the wadi, and I have commanded</w:t>
      </w:r>
      <w:r>
        <w:rPr>
          <w:rStyle w:val="FootnoteReference"/>
        </w:rPr>
        <w:footnoteReference w:id="6810"/>
      </w:r>
      <w:r>
        <w:t xml:space="preserve"> the ravens to feed you there</w:t>
      </w:r>
      <w:r>
        <w:rPr>
          <w:rStyle w:val="FootnoteReference"/>
        </w:rPr>
        <w:footnoteReference w:id="6811"/>
      </w:r>
      <w:r>
        <w:t xml:space="preserve">.</w:t>
      </w:r>
    </w:p>
    <w:p>
      <w:r>
        <w:rPr>
          <w:b/>
        </w:rPr>
        <w:t xml:space="preserve">5 </w:t>
      </w:r>
      <w:r>
        <w:t xml:space="preserve">And Elijah did according</w:t>
      </w:r>
      <w:r>
        <w:rPr>
          <w:rStyle w:val="FootnoteReference"/>
        </w:rPr>
        <w:footnoteReference w:id="6812"/>
      </w:r>
      <w:r>
        <w:t xml:space="preserve"> to the word of the Lord and sat by the wadi Cherith before the Jordan.</w:t>
      </w:r>
    </w:p>
    <w:p>
      <w:r>
        <w:rPr>
          <w:b/>
        </w:rPr>
        <w:t xml:space="preserve">6 </w:t>
      </w:r>
      <w:r>
        <w:t xml:space="preserve">And the ravens</w:t>
      </w:r>
      <w:r>
        <w:rPr>
          <w:rStyle w:val="FootnoteReference"/>
        </w:rPr>
        <w:footnoteReference w:id="6813"/>
      </w:r>
      <w:r>
        <w:t xml:space="preserve"> brought him breads in the morning and meat in the evening, and he drank water from the wadi.</w:t>
      </w:r>
    </w:p>
    <w:p>
      <w:r>
        <w:rPr>
          <w:b/>
        </w:rPr>
        <w:t xml:space="preserve">7 </w:t>
      </w:r>
      <w:r>
        <w:t xml:space="preserve">And it came to be after days, the wadi dried up because no rain came upon the land.</w:t>
      </w:r>
    </w:p>
    <w:p>
      <w:r>
        <w:rPr>
          <w:b/>
        </w:rPr>
        <w:t xml:space="preserve">8 </w:t>
      </w:r>
      <w:r>
        <w:t xml:space="preserve">And the word</w:t>
      </w:r>
      <w:r>
        <w:rPr>
          <w:rStyle w:val="FootnoteReference"/>
        </w:rPr>
        <w:footnoteReference w:id="6814"/>
      </w:r>
      <w:r>
        <w:t xml:space="preserve"> of the Lord came to Elijah,</w:t>
      </w:r>
    </w:p>
    <w:p>
      <w:r>
        <w:rPr>
          <w:b/>
        </w:rPr>
        <w:t xml:space="preserve">9 </w:t>
      </w:r>
      <w:r>
        <w:t xml:space="preserve">Rise and go to Sarepta of Sidonia. Behold, I have commanded a widow woman</w:t>
      </w:r>
      <w:r>
        <w:rPr>
          <w:rStyle w:val="FootnoteReference"/>
        </w:rPr>
        <w:footnoteReference w:id="6815"/>
      </w:r>
      <w:r>
        <w:t xml:space="preserve"> there to feed you.</w:t>
      </w:r>
    </w:p>
    <w:p>
      <w:r>
        <w:rPr>
          <w:b/>
        </w:rPr>
        <w:t xml:space="preserve">10 </w:t>
      </w:r>
      <w:r>
        <w:t xml:space="preserve">And he rose and went to Sarepta, to the gate of the city, and behold, there a widow woman was gathering sticks. And Elijah cried after her and said to her, Please fetch me</w:t>
      </w:r>
      <w:r>
        <w:rPr>
          <w:rStyle w:val="FootnoteReference"/>
        </w:rPr>
        <w:footnoteReference w:id="6816"/>
      </w:r>
      <w:r>
        <w:t xml:space="preserve"> a little water in a vessel and I will drink.</w:t>
      </w:r>
    </w:p>
    <w:p>
      <w:r>
        <w:rPr>
          <w:b/>
        </w:rPr>
        <w:t xml:space="preserve">11 </w:t>
      </w:r>
      <w:r>
        <w:t xml:space="preserve">And as she went to fetch it, Elijah cried after her and said, Please take for me a morsel</w:t>
      </w:r>
      <w:r>
        <w:rPr>
          <w:rStyle w:val="FootnoteReference"/>
        </w:rPr>
        <w:footnoteReference w:id="6817"/>
      </w:r>
      <w:r>
        <w:t xml:space="preserve"> of bread in your hand.</w:t>
      </w:r>
    </w:p>
    <w:p>
      <w:r>
        <w:rPr>
          <w:b/>
        </w:rPr>
        <w:t xml:space="preserve">12 </w:t>
      </w:r>
      <w:r>
        <w:t xml:space="preserve">And the woman said, As the Lord</w:t>
      </w:r>
      <w:r>
        <w:rPr>
          <w:rStyle w:val="FootnoteReference"/>
        </w:rPr>
        <w:footnoteReference w:id="6818"/>
      </w:r>
      <w:r>
        <w:t xml:space="preserve"> your God lives, I have no cake except as much as a handful of flour</w:t>
      </w:r>
      <w:r>
        <w:rPr>
          <w:rStyle w:val="FootnoteReference"/>
        </w:rPr>
        <w:footnoteReference w:id="6819"/>
      </w:r>
      <w:r>
        <w:t xml:space="preserve"> in the jar and a little oil in the jug, and behold, I am gathering two little sticks and will go in and make it for myself and my children, and we will eat and die.</w:t>
      </w:r>
    </w:p>
    <w:p>
      <w:r>
        <w:rPr>
          <w:b/>
        </w:rPr>
        <w:t xml:space="preserve">13 </w:t>
      </w:r>
      <w:r>
        <w:t xml:space="preserve">And Elijah said to her, Take courage. Go in and do according to your word, but first</w:t>
      </w:r>
      <w:r>
        <w:rPr>
          <w:rStyle w:val="FootnoteReference"/>
        </w:rPr>
        <w:footnoteReference w:id="6820"/>
      </w:r>
      <w:r>
        <w:t xml:space="preserve"> make for me from there a little cake and bring it out to me, and for yourself and your children you will make it afterward.</w:t>
      </w:r>
    </w:p>
    <w:p>
      <w:r>
        <w:rPr>
          <w:b/>
        </w:rPr>
        <w:t xml:space="preserve">14 </w:t>
      </w:r>
      <w:r>
        <w:t xml:space="preserve">For thus says the Lord: the jar of flour will not fail and the jug of oil will not lessen until the day the Lord gives rain upon the land.</w:t>
      </w:r>
    </w:p>
    <w:p>
      <w:r>
        <w:rPr>
          <w:b/>
        </w:rPr>
        <w:t xml:space="preserve">15 </w:t>
      </w:r>
      <w:r>
        <w:t xml:space="preserve">And the woman went and did, and she and he and her children were eating.</w:t>
      </w:r>
    </w:p>
    <w:p>
      <w:r>
        <w:rPr>
          <w:b/>
        </w:rPr>
        <w:t xml:space="preserve">16 </w:t>
      </w:r>
      <w:r>
        <w:t xml:space="preserve">And the jar of flour did not fail, and the jug of oil did not lessen, according to the word of the Lord that he spoke by the hand of Elijah.</w:t>
      </w:r>
    </w:p>
    <w:p>
      <w:r>
        <w:rPr>
          <w:b/>
        </w:rPr>
        <w:t xml:space="preserve">17 </w:t>
      </w:r>
      <w:r>
        <w:t xml:space="preserve">And it came to be after these things, the son of the woman</w:t>
      </w:r>
      <w:r>
        <w:rPr>
          <w:rStyle w:val="FootnoteReference"/>
        </w:rPr>
        <w:footnoteReference w:id="6821"/>
      </w:r>
      <w:r>
        <w:t xml:space="preserve">, mistress of the house, became sick, and his sickness was very severe until no breath was left in him.</w:t>
      </w:r>
    </w:p>
    <w:p>
      <w:r>
        <w:rPr>
          <w:b/>
        </w:rPr>
        <w:t xml:space="preserve">18 </w:t>
      </w:r>
      <w:r>
        <w:t xml:space="preserve">And she said to Elijah, What is to me and to you, man of God? You entered to me to bring my injustices to remembrance and to put my son to death.</w:t>
      </w:r>
    </w:p>
    <w:p>
      <w:r>
        <w:rPr>
          <w:b/>
        </w:rPr>
        <w:t xml:space="preserve">19 </w:t>
      </w:r>
      <w:r>
        <w:t xml:space="preserve">And Elijah said to the woman, Give me your son. And he took him from her bosom and brought him up into the upper room where he himself sat there and laid him upon his bed.</w:t>
      </w:r>
    </w:p>
    <w:p>
      <w:r>
        <w:rPr>
          <w:b/>
        </w:rPr>
        <w:t xml:space="preserve">20 </w:t>
      </w:r>
      <w:r>
        <w:t xml:space="preserve">And Elijah cried out and said, Alas, Lord, witness of the widow with whom I dwell, with her you have done evil, by putting her son to death?</w:t>
      </w:r>
    </w:p>
    <w:p>
      <w:r>
        <w:rPr>
          <w:b/>
        </w:rPr>
        <w:t xml:space="preserve">21 </w:t>
      </w:r>
      <w:r>
        <w:t xml:space="preserve">And he breathed on the child three times and called upon the Lord and said, Lord my God, let the soul of this child now return into him.</w:t>
      </w:r>
    </w:p>
    <w:p>
      <w:r>
        <w:rPr>
          <w:b/>
        </w:rPr>
        <w:t xml:space="preserve">22 </w:t>
      </w:r>
      <w:r>
        <w:t xml:space="preserve">And it came to be so, and the child cried out.</w:t>
      </w:r>
    </w:p>
    <w:p>
      <w:r>
        <w:rPr>
          <w:b/>
        </w:rPr>
        <w:t xml:space="preserve">23 </w:t>
      </w:r>
      <w:r>
        <w:t xml:space="preserve">And he brought him down from the upper room into the house and gave him to his mother, and Elijah said, Look, your son lives.</w:t>
      </w:r>
    </w:p>
    <w:p>
      <w:r>
        <w:rPr>
          <w:b/>
        </w:rPr>
        <w:t xml:space="preserve">24 </w:t>
      </w:r>
      <w:r>
        <w:t xml:space="preserve">And the woman said to Elijah, Behold, I now know that you are a man of God and the word</w:t>
      </w:r>
      <w:r>
        <w:rPr>
          <w:rStyle w:val="FootnoteReference"/>
        </w:rPr>
        <w:footnoteReference w:id="6822"/>
      </w:r>
      <w:r>
        <w:t xml:space="preserve"> of the Lord in your mouth is true.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it came to be after many days</w:t>
      </w:r>
      <w:r>
        <w:rPr>
          <w:rStyle w:val="FootnoteReference"/>
        </w:rPr>
        <w:footnoteReference w:id="6823"/>
      </w:r>
      <w:r>
        <w:t xml:space="preserve">, the word of the Lord came to Elijah in the third year, saying, Go and appear to Ahab, and I will give rain upon the face of the earth.</w:t>
      </w:r>
    </w:p>
    <w:p>
      <w:r>
        <w:rPr>
          <w:b/>
        </w:rPr>
        <w:t xml:space="preserve">2 </w:t>
      </w:r>
      <w:r>
        <w:t xml:space="preserve">And Elijah went to appear to Ahab, and the famine was severe in Samaria.</w:t>
      </w:r>
    </w:p>
    <w:p>
      <w:r>
        <w:rPr>
          <w:b/>
        </w:rPr>
        <w:t xml:space="preserve">3 </w:t>
      </w:r>
      <w:r>
        <w:t xml:space="preserve">And Ahab called Obadiah</w:t>
      </w:r>
      <w:r>
        <w:rPr>
          <w:rStyle w:val="FootnoteReference"/>
        </w:rPr>
        <w:footnoteReference w:id="6824"/>
      </w:r>
      <w:r>
        <w:t xml:space="preserve"> the steward, and Obadiah was fearing the Lord greatly.</w:t>
      </w:r>
    </w:p>
    <w:p>
      <w:r>
        <w:rPr>
          <w:b/>
        </w:rPr>
        <w:t xml:space="preserve">4 </w:t>
      </w:r>
      <w:r>
        <w:t xml:space="preserve">And it came to be when Jezebel was striking the prophets of the Lord, Obadiah took one hundred prophet-men and hid them by fifty in a cave</w:t>
      </w:r>
      <w:r>
        <w:rPr>
          <w:rStyle w:val="FootnoteReference"/>
        </w:rPr>
        <w:footnoteReference w:id="6825"/>
      </w:r>
      <w:r>
        <w:t xml:space="preserve"> and fed them with bread and water.</w:t>
      </w:r>
    </w:p>
    <w:p>
      <w:r>
        <w:rPr>
          <w:b/>
        </w:rPr>
        <w:t xml:space="preserve">5 </w:t>
      </w:r>
      <w:r>
        <w:t xml:space="preserve">And Ahab said to Obadiah, Come, let us pass through the land, to the springs of the waters and to the wadis, if somehow we may find grass</w:t>
      </w:r>
      <w:r>
        <w:rPr>
          <w:rStyle w:val="FootnoteReference"/>
        </w:rPr>
        <w:footnoteReference w:id="6826"/>
      </w:r>
      <w:r>
        <w:t xml:space="preserve"> and preserve horses and mules, and they will not be destroyed from among the livestock.</w:t>
      </w:r>
    </w:p>
    <w:p>
      <w:r>
        <w:rPr>
          <w:b/>
        </w:rPr>
        <w:t xml:space="preserve">6 </w:t>
      </w:r>
      <w:r>
        <w:t xml:space="preserve">And they divided for themselves the road to pass through it. Ahab went</w:t>
      </w:r>
      <w:r>
        <w:rPr>
          <w:rStyle w:val="FootnoteReference"/>
        </w:rPr>
        <w:footnoteReference w:id="6827"/>
      </w:r>
      <w:r>
        <w:t xml:space="preserve"> one road alone, and Obadiah went another road alone.</w:t>
      </w:r>
    </w:p>
    <w:p>
      <w:r>
        <w:rPr>
          <w:b/>
        </w:rPr>
        <w:t xml:space="preserve">7 </w:t>
      </w:r>
      <w:r>
        <w:t xml:space="preserve">And Obadiah was on the road alone, and Elijah came to meet him alone, and Obadiah hurried and fell upon his face and said, Are you really my lord Elijah</w:t>
      </w:r>
      <w:r>
        <w:rPr>
          <w:rStyle w:val="FootnoteReference"/>
        </w:rPr>
        <w:footnoteReference w:id="6828"/>
      </w:r>
      <w:r>
        <w:t xml:space="preserve">?</w:t>
      </w:r>
    </w:p>
    <w:p>
      <w:r>
        <w:rPr>
          <w:b/>
        </w:rPr>
        <w:t xml:space="preserve">8 </w:t>
      </w:r>
      <w:r>
        <w:t xml:space="preserve">And Elijah said to him, I am</w:t>
      </w:r>
      <w:r>
        <w:rPr>
          <w:rStyle w:val="FootnoteReference"/>
        </w:rPr>
        <w:footnoteReference w:id="6829"/>
      </w:r>
      <w:r>
        <w:t xml:space="preserve">. Go, tell your lord, Behold, Elijah.</w:t>
      </w:r>
    </w:p>
    <w:p>
      <w:r>
        <w:rPr>
          <w:b/>
        </w:rPr>
        <w:t xml:space="preserve">9 </w:t>
      </w:r>
      <w:r>
        <w:t xml:space="preserve">And Obadiah said, What have I sinned</w:t>
      </w:r>
      <w:r>
        <w:rPr>
          <w:rStyle w:val="FootnoteReference"/>
        </w:rPr>
        <w:footnoteReference w:id="6830"/>
      </w:r>
      <w:r>
        <w:t xml:space="preserve">, that you are giving your servant into the hand of Ahab to kill me?</w:t>
      </w:r>
    </w:p>
    <w:p>
      <w:r>
        <w:rPr>
          <w:b/>
        </w:rPr>
        <w:t xml:space="preserve">10 </w:t>
      </w:r>
      <w:r>
        <w:t xml:space="preserve">As the Lord</w:t>
      </w:r>
      <w:r>
        <w:rPr>
          <w:rStyle w:val="FootnoteReference"/>
        </w:rPr>
        <w:footnoteReference w:id="6831"/>
      </w:r>
      <w:r>
        <w:t xml:space="preserve"> your God lives, there is no nation or kingdom where my lord has not sent to seek you, and they said, He is not here, and he bound the kingdom and its regions by oath</w:t>
      </w:r>
      <w:r>
        <w:rPr>
          <w:rStyle w:val="FootnoteReference"/>
        </w:rPr>
        <w:footnoteReference w:id="6832"/>
      </w:r>
      <w:r>
        <w:t xml:space="preserve"> that it had not found you.</w:t>
      </w:r>
    </w:p>
    <w:p>
      <w:r>
        <w:rPr>
          <w:b/>
        </w:rPr>
        <w:t xml:space="preserve">11 </w:t>
      </w:r>
      <w:r>
        <w:t xml:space="preserve">And now you say, Go, announce to your lord, Behold, Elijah.</w:t>
      </w:r>
    </w:p>
    <w:p>
      <w:r>
        <w:rPr>
          <w:b/>
        </w:rPr>
        <w:t xml:space="preserve">12 </w:t>
      </w:r>
      <w:r>
        <w:t xml:space="preserve">And it will be, if I go away from you, the Spirit of the Lord</w:t>
      </w:r>
      <w:r>
        <w:rPr>
          <w:rStyle w:val="FootnoteReference"/>
        </w:rPr>
        <w:footnoteReference w:id="6833"/>
      </w:r>
      <w:r>
        <w:t xml:space="preserve"> will carry you to a land that I do not know, and I will go in to report to Ahab, and he will kill me. Yet your servant has been fearing the Lord from his youth.</w:t>
      </w:r>
      <w:r>
        <w:rPr>
          <w:rStyle w:val="FootnoteReference"/>
        </w:rPr>
        <w:footnoteReference w:id="6834"/>
      </w:r>
    </w:p>
    <w:p>
      <w:r>
        <w:rPr>
          <w:b/>
        </w:rPr>
        <w:t xml:space="preserve">13 </w:t>
      </w:r>
      <w:r>
        <w:t xml:space="preserve">Was it not reported to you, my lord, what I did</w:t>
      </w:r>
      <w:r>
        <w:rPr>
          <w:rStyle w:val="FootnoteReference"/>
        </w:rPr>
        <w:footnoteReference w:id="6835"/>
      </w:r>
      <w:r>
        <w:t xml:space="preserve"> when Jezebel was killing the prophets of the Lord, that I hid one hundred men of the prophets of the Lord, fifty by fifty in a cave, and fed them with breads and water?</w:t>
      </w:r>
    </w:p>
    <w:p>
      <w:r>
        <w:rPr>
          <w:b/>
        </w:rPr>
        <w:t xml:space="preserve">14 </w:t>
      </w:r>
      <w:r>
        <w:t xml:space="preserve">And now you say to me, Go, tell your lord, Behold, Elijah, and he will kill me</w:t>
      </w:r>
      <w:r>
        <w:rPr>
          <w:rStyle w:val="FootnoteReference"/>
        </w:rPr>
        <w:footnoteReference w:id="6836"/>
      </w:r>
      <w:r>
        <w:t xml:space="preserve">.</w:t>
      </w:r>
    </w:p>
    <w:p>
      <w:r>
        <w:rPr>
          <w:b/>
        </w:rPr>
        <w:t xml:space="preserve">15 </w:t>
      </w:r>
      <w:r>
        <w:t xml:space="preserve">And Elijah said, As the Lord</w:t>
      </w:r>
      <w:r>
        <w:rPr>
          <w:rStyle w:val="FootnoteReference"/>
        </w:rPr>
        <w:footnoteReference w:id="6837"/>
      </w:r>
      <w:r>
        <w:t xml:space="preserve"> of hosts lives, before whom I stand, today I will appear to him.</w:t>
      </w:r>
    </w:p>
    <w:p>
      <w:r>
        <w:rPr>
          <w:b/>
        </w:rPr>
        <w:t xml:space="preserve">16 </w:t>
      </w:r>
      <w:r>
        <w:t xml:space="preserve">And Obadiah went to meet Ahab and reported to him, and Ahab ran out and went to meet Elijah.</w:t>
      </w:r>
    </w:p>
    <w:p>
      <w:r>
        <w:rPr>
          <w:b/>
        </w:rPr>
        <w:t xml:space="preserve">17 </w:t>
      </w:r>
      <w:r>
        <w:t xml:space="preserve">And it came to be when Ahab saw Elijah, Ahab said to Elijah, Are you really the one disturbing Israel?</w:t>
      </w:r>
    </w:p>
    <w:p>
      <w:r>
        <w:rPr>
          <w:b/>
        </w:rPr>
        <w:t xml:space="preserve">18 </w:t>
      </w:r>
      <w:r>
        <w:t xml:space="preserve">And Elijah said, I am not disturbing Israel, but you and your father's house, in that you forsook the Lord your God and went after the Baalim</w:t>
      </w:r>
      <w:r>
        <w:rPr>
          <w:rStyle w:val="FootnoteReference"/>
        </w:rPr>
        <w:footnoteReference w:id="6838"/>
      </w:r>
      <w:r>
        <w:t xml:space="preserve">.</w:t>
      </w:r>
    </w:p>
    <w:p>
      <w:r>
        <w:rPr>
          <w:b/>
        </w:rPr>
        <w:t xml:space="preserve">19 </w:t>
      </w:r>
      <w:r>
        <w:t xml:space="preserve">And now send, gather to me all Israel at Mount Carmel</w:t>
      </w:r>
      <w:r>
        <w:rPr>
          <w:rStyle w:val="FootnoteReference"/>
        </w:rPr>
        <w:footnoteReference w:id="6839"/>
      </w:r>
      <w:r>
        <w:t xml:space="preserve"> and the prophets of the Shame, four hundred fifty, and the prophets of the groves, four hundred, eating Jezebel's table.</w:t>
      </w:r>
    </w:p>
    <w:p>
      <w:r>
        <w:rPr>
          <w:b/>
        </w:rPr>
        <w:t xml:space="preserve">20 </w:t>
      </w:r>
      <w:r>
        <w:t xml:space="preserve">And Ahab sent to all Israel and gathered</w:t>
      </w:r>
      <w:r>
        <w:rPr>
          <w:rStyle w:val="FootnoteReference"/>
        </w:rPr>
        <w:footnoteReference w:id="6840"/>
      </w:r>
      <w:r>
        <w:t xml:space="preserve"> all the prophets at Mount Carmel.</w:t>
      </w:r>
    </w:p>
    <w:p>
      <w:r>
        <w:rPr>
          <w:b/>
        </w:rPr>
        <w:t xml:space="preserve">21 </w:t>
      </w:r>
      <w:r>
        <w:t xml:space="preserve">And Elijah came near to all and said to them, How long</w:t>
      </w:r>
      <w:r>
        <w:rPr>
          <w:rStyle w:val="FootnoteReference"/>
        </w:rPr>
        <w:footnoteReference w:id="6841"/>
      </w:r>
      <w:r>
        <w:t xml:space="preserve"> will you limp on both knees? If the Lord is God, go after him; but if Baal is, go after him. And the people did not answer a word.</w:t>
      </w:r>
    </w:p>
    <w:p>
      <w:r>
        <w:rPr>
          <w:b/>
        </w:rPr>
        <w:t xml:space="preserve">22 </w:t>
      </w:r>
      <w:r>
        <w:t xml:space="preserve">And Elijah said to the people, I alone am left as a prophet of the Lord, utterly alone, and the prophets of Baal are four hundred fifty men and the prophets of the grove four hundred.</w:t>
      </w:r>
    </w:p>
    <w:p>
      <w:r>
        <w:rPr>
          <w:b/>
        </w:rPr>
        <w:t xml:space="preserve">23 </w:t>
      </w:r>
      <w:r>
        <w:t xml:space="preserve">Let them give us two calves, and let them choose one for themselves and butcher it</w:t>
      </w:r>
      <w:r>
        <w:rPr>
          <w:rStyle w:val="FootnoteReference"/>
        </w:rPr>
        <w:footnoteReference w:id="6842"/>
      </w:r>
      <w:r>
        <w:t xml:space="preserve"> and place it upon the woods, and put no fire. And I will prepare the other bull, and I will certainly place no fire.</w:t>
      </w:r>
    </w:p>
    <w:p>
      <w:r>
        <w:rPr>
          <w:b/>
        </w:rPr>
        <w:t xml:space="preserve">24 </w:t>
      </w:r>
      <w:r>
        <w:t xml:space="preserve">And call aloud on the name of your gods</w:t>
      </w:r>
      <w:r>
        <w:rPr>
          <w:rStyle w:val="FootnoteReference"/>
        </w:rPr>
        <w:footnoteReference w:id="6843"/>
      </w:r>
      <w:r>
        <w:t xml:space="preserve">, and I will call on the name of the Lord my God, and the god who answers by fire, he is God. And all the people answered and said</w:t>
      </w:r>
      <w:r>
        <w:rPr>
          <w:rStyle w:val="FootnoteReference"/>
        </w:rPr>
        <w:footnoteReference w:id="6844"/>
      </w:r>
      <w:r>
        <w:t xml:space="preserve">, Good is the word that you spoke.</w:t>
      </w:r>
    </w:p>
    <w:p>
      <w:r>
        <w:rPr>
          <w:b/>
        </w:rPr>
        <w:t xml:space="preserve">25 </w:t>
      </w:r>
      <w:r>
        <w:t xml:space="preserve">And Elijah said to the prophets of the Shame, Choose for yourselves the one calf and prepare it first, because you are many, and call on the name of your god, but put no fire.</w:t>
      </w:r>
    </w:p>
    <w:p>
      <w:r>
        <w:rPr>
          <w:b/>
        </w:rPr>
        <w:t xml:space="preserve">26 </w:t>
      </w:r>
      <w:r>
        <w:t xml:space="preserve">And they took the calf and prepared it, and they kept calling in the name of Baal from morning</w:t>
      </w:r>
      <w:r>
        <w:rPr>
          <w:rStyle w:val="FootnoteReference"/>
        </w:rPr>
        <w:footnoteReference w:id="6845"/>
      </w:r>
      <w:r>
        <w:t xml:space="preserve"> until midday and said, Answer us, O Baal, answer us. And there was no voice, and there was no hearing</w:t>
      </w:r>
      <w:r>
        <w:rPr>
          <w:rStyle w:val="FootnoteReference"/>
        </w:rPr>
        <w:footnoteReference w:id="6846"/>
      </w:r>
      <w:r>
        <w:t xml:space="preserve">, and they ran about on the altar that they made.</w:t>
      </w:r>
    </w:p>
    <w:p>
      <w:r>
        <w:rPr>
          <w:b/>
        </w:rPr>
        <w:t xml:space="preserve">27 </w:t>
      </w:r>
      <w:r>
        <w:t xml:space="preserve">And it came to be at midday, Elijah</w:t>
      </w:r>
      <w:r>
        <w:rPr>
          <w:rStyle w:val="FootnoteReference"/>
        </w:rPr>
        <w:footnoteReference w:id="6847"/>
      </w:r>
      <w:r>
        <w:t xml:space="preserve"> the Tishbite mocked them and said, Call with a loud voice, because he is god. Surely he has talk on his mind, or perhaps he is occupied, or perhaps he sleeps and will awaken.</w:t>
      </w:r>
    </w:p>
    <w:p>
      <w:r>
        <w:rPr>
          <w:b/>
        </w:rPr>
        <w:t xml:space="preserve">28 </w:t>
      </w:r>
      <w:r>
        <w:t xml:space="preserve">And they called with a loud voice and cut themselves</w:t>
      </w:r>
      <w:r>
        <w:rPr>
          <w:rStyle w:val="FootnoteReference"/>
        </w:rPr>
        <w:footnoteReference w:id="6848"/>
      </w:r>
      <w:r>
        <w:t xml:space="preserve"> according to their custom with swords and lances until blood poured out upon them.</w:t>
      </w:r>
    </w:p>
    <w:p>
      <w:r>
        <w:rPr>
          <w:b/>
        </w:rPr>
        <w:t xml:space="preserve">29 </w:t>
      </w:r>
      <w:r>
        <w:t xml:space="preserve">And they prophesied</w:t>
      </w:r>
      <w:r>
        <w:rPr>
          <w:rStyle w:val="FootnoteReference"/>
        </w:rPr>
        <w:footnoteReference w:id="6849"/>
      </w:r>
      <w:r>
        <w:t xml:space="preserve"> until the evening passed, and it came to be at the time for the sacrifice to go up, and there was no voice. And Elijah the Tishbite spoke to the prophets of the abominations, saying, Stand aside now, and I will make my whole burnt offering. And they stood aside and went away.</w:t>
      </w:r>
    </w:p>
    <w:p>
      <w:r>
        <w:rPr>
          <w:b/>
        </w:rPr>
        <w:t xml:space="preserve">30 </w:t>
      </w:r>
      <w:r>
        <w:t xml:space="preserve">And Elijah said to the people, Come near to me. And all the people came near to him.</w:t>
      </w:r>
    </w:p>
    <w:p>
      <w:r>
        <w:rPr>
          <w:b/>
        </w:rPr>
        <w:t xml:space="preserve">31 </w:t>
      </w:r>
      <w:r>
        <w:t xml:space="preserve">And Elijah took twelve stones</w:t>
      </w:r>
      <w:r>
        <w:rPr>
          <w:rStyle w:val="FootnoteReference"/>
        </w:rPr>
        <w:footnoteReference w:id="6850"/>
      </w:r>
      <w:r>
        <w:t xml:space="preserve"> according to the number of the tribes of Israel, as the Lord spoke to him, saying, Israel shall be your name.</w:t>
      </w:r>
    </w:p>
    <w:p>
      <w:r>
        <w:rPr>
          <w:b/>
        </w:rPr>
        <w:t xml:space="preserve">32 </w:t>
      </w:r>
      <w:r>
        <w:t xml:space="preserve">And he built the stones in the name</w:t>
      </w:r>
      <w:r>
        <w:rPr>
          <w:rStyle w:val="FootnoteReference"/>
        </w:rPr>
        <w:footnoteReference w:id="6851"/>
      </w:r>
      <w:r>
        <w:t xml:space="preserve"> of the Lord and healed the torn-down altar and made a trench around the altar, able to hold two measures of seed.</w:t>
      </w:r>
    </w:p>
    <w:p>
      <w:r>
        <w:rPr>
          <w:b/>
        </w:rPr>
        <w:t xml:space="preserve">33 </w:t>
      </w:r>
      <w:r>
        <w:t xml:space="preserve">And he stacked the split wood upon the altar that he made and cut up the whole burnt offering and placed it upon the wood and stacked it upon the altar.</w:t>
      </w:r>
    </w:p>
    <w:p>
      <w:r>
        <w:rPr>
          <w:b/>
        </w:rPr>
        <w:t xml:space="preserve">34 </w:t>
      </w:r>
      <w:r>
        <w:t xml:space="preserve">And he said, Take for me four jars of water and pour it upon the whole burnt offering and upon the wood. And they did so. And he said, Do it a second time, and they did it a second time. And he said, Do it a third time, and they did it a third time.</w:t>
      </w:r>
    </w:p>
    <w:p>
      <w:r>
        <w:rPr>
          <w:b/>
        </w:rPr>
        <w:t xml:space="preserve">35 </w:t>
      </w:r>
      <w:r>
        <w:t xml:space="preserve">And the water kept going around the altar, and they filled the trench</w:t>
      </w:r>
      <w:r>
        <w:rPr>
          <w:rStyle w:val="FootnoteReference"/>
        </w:rPr>
        <w:footnoteReference w:id="6852"/>
      </w:r>
      <w:r>
        <w:t xml:space="preserve"> with water.</w:t>
      </w:r>
    </w:p>
    <w:p>
      <w:r>
        <w:rPr>
          <w:b/>
        </w:rPr>
        <w:t xml:space="preserve">36 </w:t>
      </w:r>
      <w:r>
        <w:t xml:space="preserve">And Elijah cried out to heaven and said, Lord God</w:t>
      </w:r>
      <w:r>
        <w:rPr>
          <w:rStyle w:val="FootnoteReference"/>
        </w:rPr>
        <w:footnoteReference w:id="6853"/>
      </w:r>
      <w:r>
        <w:t xml:space="preserve"> of Abraham and Isaac and Israel, answer me, Lord, answer me today by fire</w:t>
      </w:r>
      <w:r>
        <w:rPr>
          <w:rStyle w:val="FootnoteReference"/>
        </w:rPr>
        <w:footnoteReference w:id="6854"/>
      </w:r>
      <w:r>
        <w:t xml:space="preserve">, and let all this people know that you are Lord, God of Israel, and I am your servant, and because of you I have done these works.</w:t>
      </w:r>
    </w:p>
    <w:p>
      <w:r>
        <w:rPr>
          <w:b/>
        </w:rPr>
        <w:t xml:space="preserve">37 </w:t>
      </w:r>
      <w:r>
        <w:t xml:space="preserve">Answer me, Lord, answer me by fire, and let this people know that you are the Lord, God, and you have turned back the heart of this people.</w:t>
      </w:r>
    </w:p>
    <w:p>
      <w:r>
        <w:rPr>
          <w:b/>
        </w:rPr>
        <w:t xml:space="preserve">38 </w:t>
      </w:r>
      <w:r>
        <w:t xml:space="preserve">And fire</w:t>
      </w:r>
      <w:r>
        <w:rPr>
          <w:rStyle w:val="FootnoteReference"/>
        </w:rPr>
        <w:footnoteReference w:id="6855"/>
      </w:r>
      <w:r>
        <w:t xml:space="preserve"> from the Lord fell from heaven and devoured the whole burnt offering and the split wood and the water in the trench, and the fire licked up the stones and the dust.</w:t>
      </w:r>
    </w:p>
    <w:p>
      <w:r>
        <w:rPr>
          <w:b/>
        </w:rPr>
        <w:t xml:space="preserve">39 </w:t>
      </w:r>
      <w:r>
        <w:t xml:space="preserve">And all the people fell on their faces and said, Truly the Lord</w:t>
      </w:r>
      <w:r>
        <w:rPr>
          <w:rStyle w:val="FootnoteReference"/>
        </w:rPr>
        <w:footnoteReference w:id="6856"/>
      </w:r>
      <w:r>
        <w:t xml:space="preserve">, he is God, he is God.</w:t>
      </w:r>
    </w:p>
    <w:p>
      <w:r>
        <w:rPr>
          <w:b/>
        </w:rPr>
        <w:t xml:space="preserve">40 </w:t>
      </w:r>
      <w:r>
        <w:t xml:space="preserve">And Elijah said to the people, Seize the prophets of Baal. Let not one of them be saved. And they seized them, and Elijah brought them down to the wadi Kishon</w:t>
      </w:r>
      <w:r>
        <w:rPr>
          <w:rStyle w:val="FootnoteReference"/>
        </w:rPr>
        <w:footnoteReference w:id="6857"/>
      </w:r>
      <w:r>
        <w:t xml:space="preserve"> and slaughtered them there.</w:t>
      </w:r>
    </w:p>
    <w:p>
      <w:r>
        <w:rPr>
          <w:b/>
        </w:rPr>
        <w:t xml:space="preserve">41 </w:t>
      </w:r>
      <w:r>
        <w:t xml:space="preserve">And Elijah said to Ahab, Go up, eat and drink, because there is a sound</w:t>
      </w:r>
      <w:r>
        <w:rPr>
          <w:rStyle w:val="FootnoteReference"/>
        </w:rPr>
        <w:footnoteReference w:id="6858"/>
      </w:r>
      <w:r>
        <w:t xml:space="preserve"> of the feet of rain.</w:t>
      </w:r>
    </w:p>
    <w:p>
      <w:r>
        <w:rPr>
          <w:b/>
        </w:rPr>
        <w:t xml:space="preserve">42 </w:t>
      </w:r>
      <w:r>
        <w:t xml:space="preserve">And Ahab went up to eat and drink, and Elijah</w:t>
      </w:r>
      <w:r>
        <w:rPr>
          <w:rStyle w:val="FootnoteReference"/>
        </w:rPr>
        <w:footnoteReference w:id="6859"/>
      </w:r>
      <w:r>
        <w:t xml:space="preserve"> went up upon Carmel and bent to the ground and put his face between his knees.</w:t>
      </w:r>
    </w:p>
    <w:p>
      <w:r>
        <w:rPr>
          <w:b/>
        </w:rPr>
        <w:t xml:space="preserve">43 </w:t>
      </w:r>
      <w:r>
        <w:t xml:space="preserve">And he said to his servant-boy, Go up</w:t>
      </w:r>
      <w:r>
        <w:rPr>
          <w:rStyle w:val="FootnoteReference"/>
        </w:rPr>
        <w:footnoteReference w:id="6860"/>
      </w:r>
      <w:r>
        <w:t xml:space="preserve"> and look in the direction of the sea. And the servant-boy looked and said, There is nothing. And Elijah said, Then return seven times, and the servant-boy returned seven times.</w:t>
      </w:r>
    </w:p>
    <w:p>
      <w:r>
        <w:rPr>
          <w:b/>
        </w:rPr>
        <w:t xml:space="preserve">44 </w:t>
      </w:r>
      <w:r>
        <w:t xml:space="preserve">And it came to be at the seventh time, behold, a little cloud</w:t>
      </w:r>
      <w:r>
        <w:rPr>
          <w:rStyle w:val="FootnoteReference"/>
        </w:rPr>
        <w:footnoteReference w:id="6861"/>
      </w:r>
      <w:r>
        <w:t xml:space="preserve"> like a man's footprint</w:t>
      </w:r>
      <w:r>
        <w:rPr>
          <w:rStyle w:val="FootnoteReference"/>
        </w:rPr>
        <w:footnoteReference w:id="6862"/>
      </w:r>
      <w:r>
        <w:t xml:space="preserve"> bringing up water, and he said, Go up and tell Ahab, Harness your chariot and go down, lest the rain overtake you.</w:t>
      </w:r>
    </w:p>
    <w:p>
      <w:r>
        <w:rPr>
          <w:b/>
        </w:rPr>
        <w:t xml:space="preserve">45 </w:t>
      </w:r>
      <w:r>
        <w:t xml:space="preserve">And it came to be here and there, and the sky grew dark with clouds and wind, and a great rain came, and Ahab</w:t>
      </w:r>
      <w:r>
        <w:rPr>
          <w:rStyle w:val="FootnoteReference"/>
        </w:rPr>
        <w:footnoteReference w:id="6863"/>
      </w:r>
      <w:r>
        <w:t xml:space="preserve"> wept and went to Jezreel.</w:t>
      </w:r>
    </w:p>
    <w:p>
      <w:r>
        <w:rPr>
          <w:b/>
        </w:rPr>
        <w:t xml:space="preserve">46 </w:t>
      </w:r>
      <w:r>
        <w:t xml:space="preserve">And the hand</w:t>
      </w:r>
      <w:r>
        <w:rPr>
          <w:rStyle w:val="FootnoteReference"/>
        </w:rPr>
        <w:footnoteReference w:id="6864"/>
      </w:r>
      <w:r>
        <w:t xml:space="preserve"> of the Lord was upon Elijah, and he girded up his waist and ran before Ahab as far as Jezreel.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Ahab</w:t>
      </w:r>
      <w:r>
        <w:rPr>
          <w:rStyle w:val="FootnoteReference"/>
        </w:rPr>
        <w:footnoteReference w:id="6865"/>
      </w:r>
      <w:r>
        <w:t xml:space="preserve"> reported to Jezebel his wife all that Elijah did and how he killed the prophets with the sword.</w:t>
      </w:r>
    </w:p>
    <w:p>
      <w:r>
        <w:rPr>
          <w:b/>
        </w:rPr>
        <w:t xml:space="preserve">2 </w:t>
      </w:r>
      <w:r>
        <w:t xml:space="preserve">And Jezebel sent to Elijah and said, If you are Elijah and I am Jezebel, may God do thus to me and add thus, because by this time tomorrow I will make your life like the life of one of them.</w:t>
      </w:r>
    </w:p>
    <w:p>
      <w:r>
        <w:rPr>
          <w:b/>
        </w:rPr>
        <w:t xml:space="preserve">3 </w:t>
      </w:r>
      <w:r>
        <w:t xml:space="preserve">And Elijah feared and rose and went for his own life, and he came to Beersheba</w:t>
      </w:r>
      <w:r>
        <w:rPr>
          <w:rStyle w:val="FootnoteReference"/>
        </w:rPr>
        <w:footnoteReference w:id="6866"/>
      </w:r>
      <w:r>
        <w:t xml:space="preserve"> of Judah and left his servant-boy there.</w:t>
      </w:r>
    </w:p>
    <w:p>
      <w:r>
        <w:rPr>
          <w:b/>
        </w:rPr>
        <w:t xml:space="preserve">4 </w:t>
      </w:r>
      <w:r>
        <w:t xml:space="preserve">And he himself went in the wilderness a day's road and came and sat under one broom plant, and he asked for his life to die</w:t>
      </w:r>
      <w:r>
        <w:rPr>
          <w:rStyle w:val="FootnoteReference"/>
        </w:rPr>
        <w:footnoteReference w:id="6867"/>
      </w:r>
      <w:r>
        <w:t xml:space="preserve"> and said, Let it be enough now. Take away my life from me, Lord, because I am no better</w:t>
      </w:r>
      <w:r>
        <w:rPr>
          <w:rStyle w:val="FootnoteReference"/>
        </w:rPr>
        <w:footnoteReference w:id="6868"/>
      </w:r>
      <w:r>
        <w:t xml:space="preserve"> than my fathers.</w:t>
      </w:r>
    </w:p>
    <w:p>
      <w:r>
        <w:rPr>
          <w:b/>
        </w:rPr>
        <w:t xml:space="preserve">5 </w:t>
      </w:r>
      <w:r>
        <w:t xml:space="preserve">And he lay down and slept there under a plant, and behold, someone touched him and said to him, Rise and eat.</w:t>
      </w:r>
    </w:p>
    <w:p>
      <w:r>
        <w:rPr>
          <w:b/>
        </w:rPr>
        <w:t xml:space="preserve">6 </w:t>
      </w:r>
      <w:r>
        <w:t xml:space="preserve">And Elijah looked, and behold, at his head was a barley cake</w:t>
      </w:r>
      <w:r>
        <w:rPr>
          <w:rStyle w:val="FootnoteReference"/>
        </w:rPr>
        <w:footnoteReference w:id="6869"/>
      </w:r>
      <w:r>
        <w:t xml:space="preserve"> and a jug of water. And he rose and ate and drank and turned back and slept.</w:t>
      </w:r>
    </w:p>
    <w:p>
      <w:r>
        <w:rPr>
          <w:b/>
        </w:rPr>
        <w:t xml:space="preserve">7 </w:t>
      </w:r>
      <w:r>
        <w:t xml:space="preserve">And the angel</w:t>
      </w:r>
      <w:r>
        <w:rPr>
          <w:rStyle w:val="FootnoteReference"/>
        </w:rPr>
        <w:footnoteReference w:id="6870"/>
      </w:r>
      <w:r>
        <w:t xml:space="preserve"> of the Lord returned a second time and touched him and said to him, Rise, eat, because the road is too much for you.</w:t>
      </w:r>
    </w:p>
    <w:p>
      <w:r>
        <w:rPr>
          <w:b/>
        </w:rPr>
        <w:t xml:space="preserve">8 </w:t>
      </w:r>
      <w:r>
        <w:t xml:space="preserve">And he rose and ate and drank and went in the strength</w:t>
      </w:r>
      <w:r>
        <w:rPr>
          <w:rStyle w:val="FootnoteReference"/>
        </w:rPr>
        <w:footnoteReference w:id="6871"/>
      </w:r>
      <w:r>
        <w:t xml:space="preserve"> of that food forty days and forty nights as far as Mount Horeb.</w:t>
      </w:r>
    </w:p>
    <w:p>
      <w:r>
        <w:rPr>
          <w:b/>
        </w:rPr>
        <w:t xml:space="preserve">9 </w:t>
      </w:r>
      <w:r>
        <w:t xml:space="preserve">And he entered there into the cave and lodged there. And behold, the word of the Lord came to him and said, What are you doing here, Elijah?</w:t>
      </w:r>
    </w:p>
    <w:p>
      <w:r>
        <w:rPr>
          <w:b/>
        </w:rPr>
        <w:t xml:space="preserve">10 </w:t>
      </w:r>
      <w:r>
        <w:t xml:space="preserve">And Elijah said, In zeal I have been very zealous for the Lord Almighty, because the sons of Israel forsook you, they tore down your altars, and they killed your prophets with the sword, and I alone am left, utterly alone</w:t>
      </w:r>
      <w:r>
        <w:rPr>
          <w:rStyle w:val="FootnoteReference"/>
        </w:rPr>
        <w:footnoteReference w:id="6872"/>
      </w:r>
      <w:r>
        <w:t xml:space="preserve">, and they seek my life</w:t>
      </w:r>
      <w:r>
        <w:rPr>
          <w:rStyle w:val="FootnoteReference"/>
        </w:rPr>
        <w:footnoteReference w:id="6873"/>
      </w:r>
      <w:r>
        <w:t xml:space="preserve"> to take it.</w:t>
      </w:r>
    </w:p>
    <w:p>
      <w:r>
        <w:rPr>
          <w:b/>
        </w:rPr>
        <w:t xml:space="preserve">11 </w:t>
      </w:r>
      <w:r>
        <w:t xml:space="preserve">And he said, You will go out tomorrow and stand before the Lord on the mountain. Behold, the Lord will pass by, and a great</w:t>
      </w:r>
      <w:r>
        <w:rPr>
          <w:rStyle w:val="FootnoteReference"/>
        </w:rPr>
        <w:footnoteReference w:id="6874"/>
      </w:r>
      <w:r>
        <w:t xml:space="preserve"> strong wind, dissolving mountains and crushing rocks before the Lord. The Lord was not in the wind. And after the wind, an earthquake. The Lord was not in the earthquake.</w:t>
      </w:r>
    </w:p>
    <w:p>
      <w:r>
        <w:rPr>
          <w:b/>
        </w:rPr>
        <w:t xml:space="preserve">12 </w:t>
      </w:r>
      <w:r>
        <w:t xml:space="preserve">And after the earthquake, fire. The Lord was not in the fire. And after the fire, a voice of a thin breeze, and there the Lord.</w:t>
      </w:r>
    </w:p>
    <w:p>
      <w:r>
        <w:rPr>
          <w:b/>
        </w:rPr>
        <w:t xml:space="preserve">13 </w:t>
      </w:r>
      <w:r>
        <w:t xml:space="preserve">And it came to be as Elijah heard, he covered his face with his sheepskin cloak and went out and stood under the cave. And behold, a voice came to him and said, What are you doing here, Elijah?</w:t>
      </w:r>
    </w:p>
    <w:p>
      <w:r>
        <w:rPr>
          <w:b/>
        </w:rPr>
        <w:t xml:space="preserve">14 </w:t>
      </w:r>
      <w:r>
        <w:t xml:space="preserve">And Elijah said, In zeal I have been</w:t>
      </w:r>
      <w:r>
        <w:rPr>
          <w:rStyle w:val="FootnoteReference"/>
        </w:rPr>
        <w:footnoteReference w:id="6875"/>
      </w:r>
      <w:r>
        <w:t xml:space="preserve"> very zealous for the Lord Almighty, because the sons of Israel forsook your covenant, they pulled down your altars, and they killed your prophets with the sword, and I alone am left, utterly alone</w:t>
      </w:r>
      <w:r>
        <w:rPr>
          <w:rStyle w:val="FootnoteReference"/>
        </w:rPr>
        <w:footnoteReference w:id="6876"/>
      </w:r>
      <w:r>
        <w:t xml:space="preserve">, and they seek my life to take it.</w:t>
      </w:r>
    </w:p>
    <w:p>
      <w:r>
        <w:rPr>
          <w:b/>
        </w:rPr>
        <w:t xml:space="preserve">15 </w:t>
      </w:r>
      <w:r>
        <w:t xml:space="preserve">And the Lord said to him, Go, return on your way, and you will come to the wilderness road of Damascus, and you will anoint</w:t>
      </w:r>
      <w:r>
        <w:rPr>
          <w:rStyle w:val="FootnoteReference"/>
        </w:rPr>
        <w:footnoteReference w:id="6877"/>
      </w:r>
      <w:r>
        <w:t xml:space="preserve"> Hazael</w:t>
      </w:r>
      <w:r>
        <w:rPr>
          <w:rStyle w:val="FootnoteReference"/>
        </w:rPr>
        <w:footnoteReference w:id="6878"/>
      </w:r>
      <w:r>
        <w:t xml:space="preserve"> king of Syria.</w:t>
      </w:r>
    </w:p>
    <w:p>
      <w:r>
        <w:rPr>
          <w:b/>
        </w:rPr>
        <w:t xml:space="preserve">16 </w:t>
      </w:r>
      <w:r>
        <w:t xml:space="preserve">And Jehu</w:t>
      </w:r>
      <w:r>
        <w:rPr>
          <w:rStyle w:val="FootnoteReference"/>
        </w:rPr>
        <w:footnoteReference w:id="6879"/>
      </w:r>
      <w:r>
        <w:t xml:space="preserve"> son of Nimshi</w:t>
      </w:r>
      <w:r>
        <w:rPr>
          <w:rStyle w:val="FootnoteReference"/>
        </w:rPr>
        <w:footnoteReference w:id="6880"/>
      </w:r>
      <w:r>
        <w:t xml:space="preserve"> you will anoint king over Israel, and Elisha</w:t>
      </w:r>
      <w:r>
        <w:rPr>
          <w:rStyle w:val="FootnoteReference"/>
        </w:rPr>
        <w:footnoteReference w:id="6881"/>
      </w:r>
      <w:r>
        <w:t xml:space="preserve"> son of Shaphat from Abelmeholah you will anoint prophet in your place.</w:t>
      </w:r>
    </w:p>
    <w:p>
      <w:r>
        <w:rPr>
          <w:b/>
        </w:rPr>
        <w:t xml:space="preserve">17 </w:t>
      </w:r>
      <w:r>
        <w:t xml:space="preserve">And it shall be, the one escaping from the sword of Hazael</w:t>
      </w:r>
      <w:r>
        <w:rPr>
          <w:rStyle w:val="FootnoteReference"/>
        </w:rPr>
        <w:footnoteReference w:id="6882"/>
      </w:r>
      <w:r>
        <w:t xml:space="preserve">, Jehu will put to death, and the one escaping from the sword of Jehu, Elisha will put to death.</w:t>
      </w:r>
    </w:p>
    <w:p>
      <w:r>
        <w:rPr>
          <w:b/>
        </w:rPr>
        <w:t xml:space="preserve">18 </w:t>
      </w:r>
      <w:r>
        <w:t xml:space="preserve">And you will leave in Israel seven thousand men, every knee that did not bend knee to Baal and every mouth</w:t>
      </w:r>
      <w:r>
        <w:rPr>
          <w:rStyle w:val="FootnoteReference"/>
        </w:rPr>
        <w:footnoteReference w:id="6883"/>
      </w:r>
      <w:r>
        <w:t xml:space="preserve"> that did not bow to him.</w:t>
      </w:r>
    </w:p>
    <w:p>
      <w:r>
        <w:rPr>
          <w:b/>
        </w:rPr>
        <w:t xml:space="preserve">19 </w:t>
      </w:r>
      <w:r>
        <w:t xml:space="preserve">And he went away from there and found Elisha</w:t>
      </w:r>
      <w:r>
        <w:rPr>
          <w:rStyle w:val="FootnoteReference"/>
        </w:rPr>
        <w:footnoteReference w:id="6884"/>
      </w:r>
      <w:r>
        <w:t xml:space="preserve"> son of Shaphat, and he was plowing with twelve pairs of oxen before him, and he himself was with the twelve, and Elijah came upon him and threw his sheepskin cloak upon him.</w:t>
      </w:r>
    </w:p>
    <w:p>
      <w:r>
        <w:rPr>
          <w:b/>
        </w:rPr>
        <w:t xml:space="preserve">20 </w:t>
      </w:r>
      <w:r>
        <w:t xml:space="preserve">And Elisha left the oxen and ran after Elijah and said, Let me kiss my father, and I will follow after you. And Elijah said, Return, because what have I done to you?</w:t>
      </w:r>
    </w:p>
    <w:p>
      <w:r>
        <w:rPr>
          <w:b/>
        </w:rPr>
        <w:t xml:space="preserve">21 </w:t>
      </w:r>
      <w:r>
        <w:t xml:space="preserve">And he turned back from after him and took the pairs of oxen and sacrificed and boiled them with the gear of the oxen and gave them to the people, and they ate. And he rose and went after Elijah and ministered</w:t>
      </w:r>
      <w:r>
        <w:rPr>
          <w:rStyle w:val="FootnoteReference"/>
        </w:rPr>
        <w:footnoteReference w:id="6885"/>
      </w:r>
      <w:r>
        <w:t xml:space="preserve"> to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one vineyard belonged to Naboth the Jezreelite beside the threshing floor of Ahab king of Samaria.</w:t>
      </w:r>
      <w:r>
        <w:rPr>
          <w:rStyle w:val="FootnoteReference"/>
        </w:rPr>
        <w:footnoteReference w:id="6886"/>
      </w:r>
    </w:p>
    <w:p>
      <w:r>
        <w:rPr>
          <w:b/>
        </w:rPr>
        <w:t xml:space="preserve">2 </w:t>
      </w:r>
      <w:r>
        <w:t xml:space="preserve">And Ahab spoke to Naboth, saying, Give me your vineyard, and it shall be for me as a garden of vegetables</w:t>
      </w:r>
      <w:r>
        <w:rPr>
          <w:rStyle w:val="FootnoteReference"/>
        </w:rPr>
        <w:footnoteReference w:id="6887"/>
      </w:r>
      <w:r>
        <w:t xml:space="preserve"> because it is near to my house, and I will give you another vineyard, better than it. But if it pleases before you, I will give you silver, the exchange-price of this vineyard, and it shall be for me as a garden of vegetables.</w:t>
      </w:r>
    </w:p>
    <w:p>
      <w:r>
        <w:rPr>
          <w:b/>
        </w:rPr>
        <w:t xml:space="preserve">3 </w:t>
      </w:r>
      <w:r>
        <w:t xml:space="preserve">And Naboth said to Ahab, May it not be for me from my God to give the inheritance of my fathers to you.</w:t>
      </w:r>
      <w:r>
        <w:rPr>
          <w:rStyle w:val="FootnoteReference"/>
        </w:rPr>
        <w:footnoteReference w:id="6888"/>
      </w:r>
      <w:r>
        <w:t xml:space="preserve"/>
      </w:r>
    </w:p>
    <w:p>
      <w:r>
        <w:rPr>
          <w:b/>
        </w:rPr>
        <w:t xml:space="preserve">4 </w:t>
      </w:r>
      <w:r>
        <w:t xml:space="preserve">And Ahab's spirit became troubled, and he lay upon his bed and covered his face and did not eat bread.</w:t>
      </w:r>
    </w:p>
    <w:p>
      <w:r>
        <w:rPr>
          <w:b/>
        </w:rPr>
        <w:t xml:space="preserve">5 </w:t>
      </w:r>
      <w:r>
        <w:t xml:space="preserve">And Jezebel his wife came in to him and spoke to him, Why is your spirit troubled and you are not eating bread?</w:t>
      </w:r>
    </w:p>
    <w:p>
      <w:r>
        <w:rPr>
          <w:b/>
        </w:rPr>
        <w:t xml:space="preserve">6 </w:t>
      </w:r>
      <w:r>
        <w:t xml:space="preserve">And he said to her, Because I spoke to Naboth the Jezreelite, saying, Give me your vineyard for silver, and if you wish, I will give you another vineyard in place of it, and he said, I will not give you the inheritance of my fathers.</w:t>
      </w:r>
      <w:r>
        <w:rPr>
          <w:rStyle w:val="FootnoteReference"/>
        </w:rPr>
        <w:footnoteReference w:id="6889"/>
      </w:r>
    </w:p>
    <w:p>
      <w:r>
        <w:rPr>
          <w:b/>
        </w:rPr>
        <w:t xml:space="preserve">7 </w:t>
      </w:r>
      <w:r>
        <w:t xml:space="preserve">And Jezebel his wife said to him, Do you now act as king over Israel? Rise, eat bread, and become your own man</w:t>
      </w:r>
      <w:r>
        <w:rPr>
          <w:rStyle w:val="FootnoteReference"/>
        </w:rPr>
        <w:footnoteReference w:id="6890"/>
      </w:r>
      <w:r>
        <w:t xml:space="preserve">. I will give you the vineyard of Naboth the Jezreelite.</w:t>
      </w:r>
    </w:p>
    <w:p>
      <w:r>
        <w:rPr>
          <w:b/>
        </w:rPr>
        <w:t xml:space="preserve">8 </w:t>
      </w:r>
      <w:r>
        <w:t xml:space="preserve">And she wrote a letter in the name of Ahab and sealed it with his seal and sent the letter to the elders and the free men living with Naboth.</w:t>
      </w:r>
    </w:p>
    <w:p>
      <w:r>
        <w:rPr>
          <w:b/>
        </w:rPr>
        <w:t xml:space="preserve">9 </w:t>
      </w:r>
      <w:r>
        <w:t xml:space="preserve">And it was written in the letters, saying, Proclaim a fast</w:t>
      </w:r>
      <w:r>
        <w:rPr>
          <w:rStyle w:val="FootnoteReference"/>
        </w:rPr>
        <w:footnoteReference w:id="6891"/>
      </w:r>
      <w:r>
        <w:t xml:space="preserve"> and seat Naboth at the head of the people.</w:t>
      </w:r>
    </w:p>
    <w:p>
      <w:r>
        <w:rPr>
          <w:b/>
        </w:rPr>
        <w:t xml:space="preserve">10 </w:t>
      </w:r>
      <w:r>
        <w:t xml:space="preserve">And seat two men, sons of lawlessness</w:t>
      </w:r>
      <w:r>
        <w:rPr>
          <w:rStyle w:val="FootnoteReference"/>
        </w:rPr>
        <w:footnoteReference w:id="6892"/>
      </w:r>
      <w:r>
        <w:t xml:space="preserve">, opposite him, and let them testify against him, saying, He blessed God and the king. And let them bring him out and stone him, and let him die.</w:t>
      </w:r>
    </w:p>
    <w:p>
      <w:r>
        <w:rPr>
          <w:b/>
        </w:rPr>
        <w:t xml:space="preserve">11 </w:t>
      </w:r>
      <w:r>
        <w:t xml:space="preserve">And the men of his city, the elders and the free men dwelling in his city, did just as Jezebel sent to them, just as it was written in the letters that she sent to them.</w:t>
      </w:r>
    </w:p>
    <w:p>
      <w:r>
        <w:rPr>
          <w:b/>
        </w:rPr>
        <w:t xml:space="preserve">12 </w:t>
      </w:r>
      <w:r>
        <w:t xml:space="preserve">They proclaimed a fast and seated Naboth at the head of the people</w:t>
      </w:r>
      <w:r>
        <w:rPr>
          <w:rStyle w:val="FootnoteReference"/>
        </w:rPr>
        <w:footnoteReference w:id="6893"/>
      </w:r>
      <w:r>
        <w:t xml:space="preserve">.</w:t>
      </w:r>
    </w:p>
    <w:p>
      <w:r>
        <w:rPr>
          <w:b/>
        </w:rPr>
        <w:t xml:space="preserve">13 </w:t>
      </w:r>
      <w:r>
        <w:t xml:space="preserve">And two men, sons of lawlessness</w:t>
      </w:r>
      <w:r>
        <w:rPr>
          <w:rStyle w:val="FootnoteReference"/>
        </w:rPr>
        <w:footnoteReference w:id="6894"/>
      </w:r>
      <w:r>
        <w:t xml:space="preserve">, came and sat opposite him and testified against him, saying, You blessed God and the king. And they brought him out outside the city and stoned him with stones, and he died.</w:t>
      </w:r>
    </w:p>
    <w:p>
      <w:r>
        <w:rPr>
          <w:b/>
        </w:rPr>
        <w:t xml:space="preserve">14 </w:t>
      </w:r>
      <w:r>
        <w:t xml:space="preserve">And they sent to Jezebel, saying, Naboth has been stoned and is dead</w:t>
      </w:r>
      <w:r>
        <w:rPr>
          <w:rStyle w:val="FootnoteReference"/>
        </w:rPr>
        <w:footnoteReference w:id="6895"/>
      </w:r>
      <w:r>
        <w:t xml:space="preserve">.</w:t>
      </w:r>
    </w:p>
    <w:p>
      <w:r>
        <w:rPr>
          <w:b/>
        </w:rPr>
        <w:t xml:space="preserve">15 </w:t>
      </w:r>
      <w:r>
        <w:t xml:space="preserve">And it came to be when Jezebel heard, she said to Ahab, Rise, inherit the vineyard of Naboth the Jezreelite, who did not give it to you for silver, because Naboth is not alive; he is dead.</w:t>
      </w:r>
      <w:r>
        <w:rPr>
          <w:rStyle w:val="FootnoteReference"/>
        </w:rPr>
        <w:footnoteReference w:id="6896"/>
      </w:r>
    </w:p>
    <w:p>
      <w:r>
        <w:rPr>
          <w:b/>
        </w:rPr>
        <w:t xml:space="preserve">16 </w:t>
      </w:r>
      <w:r>
        <w:t xml:space="preserve">And it came to be when Ahab heard that Naboth the Jezreelite was dead, he tore his garments and put on sackcloth, and after these things Ahab rose and went down into the vineyard of Naboth the Jezreelite to inherit it.</w:t>
      </w:r>
    </w:p>
    <w:p>
      <w:r>
        <w:rPr>
          <w:b/>
        </w:rPr>
        <w:t xml:space="preserve">17 </w:t>
      </w:r>
      <w:r>
        <w:t xml:space="preserve">And the Lord said to Elijah the Tishbite, saying,</w:t>
      </w:r>
      <w:r>
        <w:rPr>
          <w:rStyle w:val="FootnoteReference"/>
        </w:rPr>
        <w:footnoteReference w:id="6897"/>
      </w:r>
      <w:r>
        <w:t xml:space="preserve"/>
      </w:r>
    </w:p>
    <w:p>
      <w:r>
        <w:rPr>
          <w:b/>
        </w:rPr>
        <w:t xml:space="preserve">18 </w:t>
      </w:r>
      <w:r>
        <w:t xml:space="preserve">Rise and go down to meet Ahab king of Israel, the one in Samaria. Behold, he is in the vineyard of Naboth because he has gone down there to inherit it.</w:t>
      </w:r>
      <w:r>
        <w:rPr>
          <w:rStyle w:val="FootnoteReference"/>
        </w:rPr>
        <w:footnoteReference w:id="6898"/>
      </w:r>
    </w:p>
    <w:p>
      <w:r>
        <w:rPr>
          <w:b/>
        </w:rPr>
        <w:t xml:space="preserve">19 </w:t>
      </w:r>
      <w:r>
        <w:t xml:space="preserve">And you will speak to him, saying, Thus says the Lord: As you murdered and inherited, because of this thus says the Lord: In every place where the sows and the dogs licked the blood of Naboth, there the dogs will lick your blood, and the prostitutes will wash in your blood.</w:t>
      </w:r>
      <w:r>
        <w:rPr>
          <w:rStyle w:val="FootnoteReference"/>
        </w:rPr>
        <w:footnoteReference w:id="6899"/>
      </w:r>
    </w:p>
    <w:p>
      <w:r>
        <w:rPr>
          <w:b/>
        </w:rPr>
        <w:t xml:space="preserve">20 </w:t>
      </w:r>
      <w:r>
        <w:t xml:space="preserve">And Ahab said to Elijah, Have you found me, my enemy? And he said, I have found you, because you have vainly sold yourself to do evil before the Lord, provoking him.</w:t>
      </w:r>
    </w:p>
    <w:p>
      <w:r>
        <w:rPr>
          <w:b/>
        </w:rPr>
        <w:t xml:space="preserve">21 </w:t>
      </w:r>
      <w:r>
        <w:t xml:space="preserve">Thus says the Lord: Behold, I am bringing evils upon you</w:t>
      </w:r>
      <w:r>
        <w:rPr>
          <w:rStyle w:val="FootnoteReference"/>
        </w:rPr>
        <w:footnoteReference w:id="6900"/>
      </w:r>
      <w:r>
        <w:t xml:space="preserve"> and will burn after you and destroy from Ahab one pissing against a wall, hemmed in and forsaken in Israel.</w:t>
      </w:r>
    </w:p>
    <w:p>
      <w:r>
        <w:rPr>
          <w:b/>
        </w:rPr>
        <w:t xml:space="preserve">22 </w:t>
      </w:r>
      <w:r>
        <w:t xml:space="preserve">And I will make your house like the house of Jeroboam son of Nebat and like the house of Baasha son of Ahijah, because of the provocations by which you provoked and made Israel sin.</w:t>
      </w:r>
      <w:r>
        <w:rPr>
          <w:rStyle w:val="FootnoteReference"/>
        </w:rPr>
        <w:footnoteReference w:id="6901"/>
      </w:r>
    </w:p>
    <w:p>
      <w:r>
        <w:rPr>
          <w:b/>
        </w:rPr>
        <w:t xml:space="preserve">23 </w:t>
      </w:r>
      <w:r>
        <w:t xml:space="preserve">And concerning Jezebel the Lord spoke, saying, Dogs will eat her in the forewall of Jezreel.</w:t>
      </w:r>
      <w:r>
        <w:rPr>
          <w:rStyle w:val="FootnoteReference"/>
        </w:rPr>
        <w:footnoteReference w:id="6902"/>
      </w:r>
      <w:r>
        <w:t xml:space="preserve"/>
      </w:r>
    </w:p>
    <w:p>
      <w:r>
        <w:rPr>
          <w:b/>
        </w:rPr>
        <w:t xml:space="preserve">24 </w:t>
      </w:r>
      <w:r>
        <w:t xml:space="preserve">The dead one of Ahab in the city, dogs will eat, and the dead one of his in the field, the birds of the sky will eat.</w:t>
      </w:r>
    </w:p>
    <w:p>
      <w:r>
        <w:rPr>
          <w:b/>
        </w:rPr>
        <w:t xml:space="preserve">25 </w:t>
      </w:r>
      <w:r>
        <w:t xml:space="preserve">Yet vainly Ahab sold himself to do evil before the Lord, because Jezebel his wife turned him aside.</w:t>
      </w:r>
      <w:r>
        <w:rPr>
          <w:rStyle w:val="FootnoteReference"/>
        </w:rPr>
        <w:footnoteReference w:id="6903"/>
      </w:r>
      <w:r>
        <w:t xml:space="preserve"/>
      </w:r>
    </w:p>
    <w:p>
      <w:r>
        <w:rPr>
          <w:b/>
        </w:rPr>
        <w:t xml:space="preserve">26 </w:t>
      </w:r>
      <w:r>
        <w:t xml:space="preserve">And he was greatly abominated by going after abominations, according to all that the Amorite did, whom the Lord destroyed from before the sons of Israel.</w:t>
      </w:r>
    </w:p>
    <w:p>
      <w:r>
        <w:rPr>
          <w:b/>
        </w:rPr>
        <w:t xml:space="preserve">27 </w:t>
      </w:r>
      <w:r>
        <w:t xml:space="preserve">And because of the word, as Ahab was cut to the heart before the Lord and went weeping, he tore his tunic and girded sackcloth upon his body and fasted and put on sackcloth on the day when he struck Naboth the Jezreelite.</w:t>
      </w:r>
    </w:p>
    <w:p>
      <w:r>
        <w:rPr>
          <w:b/>
        </w:rPr>
        <w:t xml:space="preserve">28 </w:t>
      </w:r>
      <w:r>
        <w:t xml:space="preserve">And the word of the Lord came by the hand of his servant Elijah</w:t>
      </w:r>
      <w:r>
        <w:rPr>
          <w:rStyle w:val="FootnoteReference"/>
        </w:rPr>
        <w:footnoteReference w:id="6904"/>
      </w:r>
      <w:r>
        <w:t xml:space="preserve"> concerning Ahab, and the Lord said,</w:t>
      </w:r>
    </w:p>
    <w:p>
      <w:r>
        <w:rPr>
          <w:b/>
        </w:rPr>
        <w:t xml:space="preserve">29 </w:t>
      </w:r>
      <w:r>
        <w:t xml:space="preserve">Have you seen how Ahab was cut to the heart before me? I will not bring the evil in his days, but in the days of his son I will bring the evil.</w:t>
      </w:r>
      <w:r>
        <w:rPr>
          <w:rStyle w:val="FootnoteReference"/>
        </w:rPr>
        <w:footnoteReference w:id="6905"/>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Ben-hadad</w:t>
      </w:r>
      <w:r>
        <w:rPr>
          <w:rStyle w:val="FootnoteReference"/>
        </w:rPr>
        <w:footnoteReference w:id="6906"/>
      </w:r>
      <w:r>
        <w:t xml:space="preserve"> gathered all his force and went up and besieged Samaria, and thirty-two kings with him and all horse and chariot, and they went up and besieged Samaria and fought against it.</w:t>
      </w:r>
    </w:p>
    <w:p>
      <w:r>
        <w:rPr>
          <w:b/>
        </w:rPr>
        <w:t xml:space="preserve">2 </w:t>
      </w:r>
      <w:r>
        <w:t xml:space="preserve">And he sent to Ahab</w:t>
      </w:r>
      <w:r>
        <w:rPr>
          <w:rStyle w:val="FootnoteReference"/>
        </w:rPr>
        <w:footnoteReference w:id="6907"/>
      </w:r>
      <w:r>
        <w:t xml:space="preserve"> king of Israel into the city.</w:t>
      </w:r>
    </w:p>
    <w:p>
      <w:r>
        <w:rPr>
          <w:b/>
        </w:rPr>
        <w:t xml:space="preserve">3 </w:t>
      </w:r>
      <w:r>
        <w:t xml:space="preserve">And he said to him, Thus says Ben-hadad: Your silver and your gold are mine, and your wives and your children are mine.</w:t>
      </w:r>
      <w:r>
        <w:rPr>
          <w:rStyle w:val="FootnoteReference"/>
        </w:rPr>
        <w:footnoteReference w:id="6908"/>
      </w:r>
      <w:r>
        <w:t xml:space="preserve"/>
      </w:r>
    </w:p>
    <w:p>
      <w:r>
        <w:rPr>
          <w:b/>
        </w:rPr>
        <w:t xml:space="preserve">4 </w:t>
      </w:r>
      <w:r>
        <w:t xml:space="preserve">And the king of Israel answered and said, According as you spoke, my lord king, I am yours and all that is mine.</w:t>
      </w:r>
      <w:r>
        <w:rPr>
          <w:rStyle w:val="FootnoteReference"/>
        </w:rPr>
        <w:footnoteReference w:id="6909"/>
      </w:r>
      <w:r>
        <w:t xml:space="preserve"/>
      </w:r>
    </w:p>
    <w:p>
      <w:r>
        <w:rPr>
          <w:b/>
        </w:rPr>
        <w:t xml:space="preserve">5 </w:t>
      </w:r>
      <w:r>
        <w:t xml:space="preserve">And the messengers returned and said, Thus says Ben-hadad: I sent to you, saying, Your silver and your gold and your wives and your children you will give to me.</w:t>
      </w:r>
    </w:p>
    <w:p>
      <w:r>
        <w:rPr>
          <w:b/>
        </w:rPr>
        <w:t xml:space="preserve">6 </w:t>
      </w:r>
      <w:r>
        <w:t xml:space="preserve">For by this time tomorrow I will send my servants to you, and they will search your house and the houses of your servants, and whatever is the desire of their eyes</w:t>
      </w:r>
      <w:r>
        <w:rPr>
          <w:rStyle w:val="FootnoteReference"/>
        </w:rPr>
        <w:footnoteReference w:id="6910"/>
      </w:r>
      <w:r>
        <w:t xml:space="preserve">, upon it they will lay their hands and take it.</w:t>
      </w:r>
    </w:p>
    <w:p>
      <w:r>
        <w:rPr>
          <w:b/>
        </w:rPr>
        <w:t xml:space="preserve">7 </w:t>
      </w:r>
      <w:r>
        <w:t xml:space="preserve">And the king of Israel called all the elders and said, Know now and see that this one is seeking evil</w:t>
      </w:r>
      <w:r>
        <w:rPr>
          <w:rStyle w:val="FootnoteReference"/>
        </w:rPr>
        <w:footnoteReference w:id="6911"/>
      </w:r>
      <w:r>
        <w:t xml:space="preserve">, because he sent to me concerning my wives and my sons and my daughters. My silver and my gold I did not withhold from him.</w:t>
      </w:r>
    </w:p>
    <w:p>
      <w:r>
        <w:rPr>
          <w:b/>
        </w:rPr>
        <w:t xml:space="preserve">8 </w:t>
      </w:r>
      <w:r>
        <w:t xml:space="preserve">And the elders</w:t>
      </w:r>
      <w:r>
        <w:rPr>
          <w:rStyle w:val="FootnoteReference"/>
        </w:rPr>
        <w:footnoteReference w:id="6912"/>
      </w:r>
      <w:r>
        <w:t xml:space="preserve"> and all the people said to him, Do not listen and do not be willing.</w:t>
      </w:r>
    </w:p>
    <w:p>
      <w:r>
        <w:rPr>
          <w:b/>
        </w:rPr>
        <w:t xml:space="preserve">9 </w:t>
      </w:r>
      <w:r>
        <w:t xml:space="preserve">And he said to the messengers of Ben-hadad, Tell your lord, All that you sent to your servant at first I will do, but this thing I cannot do. And the men departed and returned a word to him.</w:t>
      </w:r>
      <w:r>
        <w:rPr>
          <w:rStyle w:val="FootnoteReference"/>
        </w:rPr>
        <w:footnoteReference w:id="6913"/>
      </w:r>
    </w:p>
    <w:p>
      <w:r>
        <w:rPr>
          <w:b/>
        </w:rPr>
        <w:t xml:space="preserve">10 </w:t>
      </w:r>
      <w:r>
        <w:t xml:space="preserve">And Ben-hadad sent back to him, saying, Thus may God do to me and thus add, if the dust of Samaria will be enough for foxes, for all my footmen.</w:t>
      </w:r>
    </w:p>
    <w:p>
      <w:r>
        <w:rPr>
          <w:b/>
        </w:rPr>
        <w:t xml:space="preserve">11 </w:t>
      </w:r>
      <w:r>
        <w:t xml:space="preserve">And the king of Israel answered and said, Let it be enough. Let not the bent one boast like the upright one.</w:t>
      </w:r>
      <w:r>
        <w:rPr>
          <w:rStyle w:val="FootnoteReference"/>
        </w:rPr>
        <w:footnoteReference w:id="6914"/>
      </w:r>
      <w:r>
        <w:t xml:space="preserve"/>
      </w:r>
    </w:p>
    <w:p>
      <w:r>
        <w:rPr>
          <w:b/>
        </w:rPr>
        <w:t xml:space="preserve">12 </w:t>
      </w:r>
      <w:r>
        <w:t xml:space="preserve">And it came to be when he answered him this word, he himself was drinking, and all the kings with him, in tents, and he said to his servants, Build a palisade, and they set a palisade against the city.</w:t>
      </w:r>
      <w:r>
        <w:rPr>
          <w:rStyle w:val="FootnoteReference"/>
        </w:rPr>
        <w:footnoteReference w:id="6915"/>
      </w:r>
    </w:p>
    <w:p>
      <w:r>
        <w:rPr>
          <w:b/>
        </w:rPr>
        <w:t xml:space="preserve">13 </w:t>
      </w:r>
      <w:r>
        <w:t xml:space="preserve">And behold, one prophet came near to the king of Israel and said, Thus says the Lord: Have you seen all this great crowd</w:t>
      </w:r>
      <w:r>
        <w:rPr>
          <w:rStyle w:val="FootnoteReference"/>
        </w:rPr>
        <w:footnoteReference w:id="6916"/>
      </w:r>
      <w:r>
        <w:t xml:space="preserve">? Behold, I am giving it today into your hands, and you will know that I am the Lord.</w:t>
      </w:r>
    </w:p>
    <w:p>
      <w:r>
        <w:rPr>
          <w:b/>
        </w:rPr>
        <w:t xml:space="preserve">14 </w:t>
      </w:r>
      <w:r>
        <w:t xml:space="preserve">And Ahab said, By whom? And he said, Thus says the Lord: By the servant-boys of the rulers of the regions. And Ahab said, Who will join the battle? And he said, You.</w:t>
      </w:r>
      <w:r>
        <w:rPr>
          <w:rStyle w:val="FootnoteReference"/>
        </w:rPr>
        <w:footnoteReference w:id="6917"/>
      </w:r>
    </w:p>
    <w:p>
      <w:r>
        <w:rPr>
          <w:b/>
        </w:rPr>
        <w:t xml:space="preserve">15 </w:t>
      </w:r>
      <w:r>
        <w:t xml:space="preserve">And Ahab reviewed the servant-boys of the rulers of the regions, and they were two hundred thirty, and after these he reviewed the people, every son of strength</w:t>
      </w:r>
      <w:r>
        <w:rPr>
          <w:rStyle w:val="FootnoteReference"/>
        </w:rPr>
        <w:footnoteReference w:id="6918"/>
      </w:r>
      <w:r>
        <w:t xml:space="preserve">, sixty thousand.</w:t>
      </w:r>
    </w:p>
    <w:p>
      <w:r>
        <w:rPr>
          <w:b/>
        </w:rPr>
        <w:t xml:space="preserve">16 </w:t>
      </w:r>
      <w:r>
        <w:t xml:space="preserve">And they went out at midday, and Ben-hadad was drinking himself drunk in Socchoth, he and the thirty-two kings, helpers with him.</w:t>
      </w:r>
      <w:r>
        <w:rPr>
          <w:rStyle w:val="FootnoteReference"/>
        </w:rPr>
        <w:footnoteReference w:id="6919"/>
      </w:r>
    </w:p>
    <w:p>
      <w:r>
        <w:rPr>
          <w:b/>
        </w:rPr>
        <w:t xml:space="preserve">17 </w:t>
      </w:r>
      <w:r>
        <w:t xml:space="preserve">And the servant-boys of the rulers of the regions went out first, and they sent and reported to the king of Syria, saying, Men have come out from Samaria.</w:t>
      </w:r>
    </w:p>
    <w:p>
      <w:r>
        <w:rPr>
          <w:b/>
        </w:rPr>
        <w:t xml:space="preserve">18 </w:t>
      </w:r>
      <w:r>
        <w:t xml:space="preserve">And he said to them, If these come out for peace, seize them alive, and if they come out for war, seize them alive.</w:t>
      </w:r>
    </w:p>
    <w:p>
      <w:r>
        <w:rPr>
          <w:b/>
        </w:rPr>
        <w:t xml:space="preserve">19 </w:t>
      </w:r>
      <w:r>
        <w:t xml:space="preserve">And these came out from the city, the servant-boys of the rulers of the regions, and the force behind them.</w:t>
      </w:r>
      <w:r>
        <w:rPr>
          <w:rStyle w:val="FootnoteReference"/>
        </w:rPr>
        <w:footnoteReference w:id="6920"/>
      </w:r>
      <w:r>
        <w:t xml:space="preserve"/>
      </w:r>
    </w:p>
    <w:p>
      <w:r>
        <w:rPr>
          <w:b/>
        </w:rPr>
        <w:t xml:space="preserve">20 </w:t>
      </w:r>
      <w:r>
        <w:t xml:space="preserve">Each struck the one by him, and each struck again the one by him, and Syria fled, and Israel pursued them, and Ben-hadad king of Syria escaped on horse with horseman.</w:t>
      </w:r>
      <w:r>
        <w:rPr>
          <w:rStyle w:val="FootnoteReference"/>
        </w:rPr>
        <w:footnoteReference w:id="6921"/>
      </w:r>
    </w:p>
    <w:p>
      <w:r>
        <w:rPr>
          <w:b/>
        </w:rPr>
        <w:t xml:space="preserve">21 </w:t>
      </w:r>
      <w:r>
        <w:t xml:space="preserve">And the king of Israel went out and took all the horses and the chariots and struck a great blow in Syria.</w:t>
      </w:r>
      <w:r>
        <w:rPr>
          <w:rStyle w:val="FootnoteReference"/>
        </w:rPr>
        <w:footnoteReference w:id="6922"/>
      </w:r>
    </w:p>
    <w:p>
      <w:r>
        <w:rPr>
          <w:b/>
        </w:rPr>
        <w:t xml:space="preserve">22 </w:t>
      </w:r>
      <w:r>
        <w:t xml:space="preserve">And the prophet came near to the king of Israel and said, Be strong, and know and see what you will do, because at the turn of the year Ben-hadad king of Syria comes up against you.</w:t>
      </w:r>
      <w:r>
        <w:rPr>
          <w:rStyle w:val="FootnoteReference"/>
        </w:rPr>
        <w:footnoteReference w:id="6923"/>
      </w:r>
    </w:p>
    <w:p>
      <w:r>
        <w:rPr>
          <w:b/>
        </w:rPr>
        <w:t xml:space="preserve">23 </w:t>
      </w:r>
      <w:r>
        <w:t xml:space="preserve">And the servants of the king of Syria said, The God of Israel is a god of mountains and not a god of valleys</w:t>
      </w:r>
      <w:r>
        <w:rPr>
          <w:rStyle w:val="FootnoteReference"/>
        </w:rPr>
        <w:footnoteReference w:id="6924"/>
      </w:r>
      <w:r>
        <w:t xml:space="preserve">, because of this he prevailed over us. But if we fight them on the plain, will we not prevail over them?</w:t>
      </w:r>
    </w:p>
    <w:p>
      <w:r>
        <w:rPr>
          <w:b/>
        </w:rPr>
        <w:t xml:space="preserve">24 </w:t>
      </w:r>
      <w:r>
        <w:t xml:space="preserve">And do this thing: remove the kings, each from his place, and put satraps in their place.</w:t>
      </w:r>
    </w:p>
    <w:p>
      <w:r>
        <w:rPr>
          <w:b/>
        </w:rPr>
        <w:t xml:space="preserve">25 </w:t>
      </w:r>
      <w:r>
        <w:t xml:space="preserve">And we will replace for you a force according to the force that fell from you, and horse for horse and chariots for chariots, and we will fight them on the plain and prevail over them. And he listened to their voice and did so.</w:t>
      </w:r>
      <w:r>
        <w:rPr>
          <w:rStyle w:val="FootnoteReference"/>
        </w:rPr>
        <w:footnoteReference w:id="6925"/>
      </w:r>
    </w:p>
    <w:p>
      <w:r>
        <w:rPr>
          <w:b/>
        </w:rPr>
        <w:t xml:space="preserve">26 </w:t>
      </w:r>
      <w:r>
        <w:t xml:space="preserve">And it came to be at the turn of the year, Ben-hadad reviewed Syria and went up to Aphek to war against Israel.</w:t>
      </w:r>
      <w:r>
        <w:rPr>
          <w:rStyle w:val="FootnoteReference"/>
        </w:rPr>
        <w:footnoteReference w:id="6926"/>
      </w:r>
      <w:r>
        <w:t xml:space="preserve"/>
      </w:r>
    </w:p>
    <w:p>
      <w:r>
        <w:rPr>
          <w:b/>
        </w:rPr>
        <w:t xml:space="preserve">27 </w:t>
      </w:r>
      <w:r>
        <w:t xml:space="preserve">And the sons of Israel were reviewed and came to meet them, and Israel camped opposite them like two flocks of goats, and Syria filled the land.</w:t>
      </w:r>
    </w:p>
    <w:p>
      <w:r>
        <w:rPr>
          <w:b/>
        </w:rPr>
        <w:t xml:space="preserve">28 </w:t>
      </w:r>
      <w:r>
        <w:t xml:space="preserve">And the man of God came near and said to the king of Israel, Thus says the Lord: Because Syria said, The Lord God of Israel is a god of mountains and not a god of valleys, I will give all this great force into your hand, and you will know that I am the Lord.</w:t>
      </w:r>
      <w:r>
        <w:rPr>
          <w:rStyle w:val="FootnoteReference"/>
        </w:rPr>
        <w:footnoteReference w:id="6927"/>
      </w:r>
    </w:p>
    <w:p>
      <w:r>
        <w:rPr>
          <w:b/>
        </w:rPr>
        <w:t xml:space="preserve">29 </w:t>
      </w:r>
      <w:r>
        <w:t xml:space="preserve">And they encamped opposite these seven days, and it came to be on the seventh day the battle drew near, and Israel struck Syria, one hundred thousand footmen in one day.</w:t>
      </w:r>
      <w:r>
        <w:rPr>
          <w:rStyle w:val="FootnoteReference"/>
        </w:rPr>
        <w:footnoteReference w:id="6928"/>
      </w:r>
    </w:p>
    <w:p>
      <w:r>
        <w:rPr>
          <w:b/>
        </w:rPr>
        <w:t xml:space="preserve">30 </w:t>
      </w:r>
      <w:r>
        <w:t xml:space="preserve">And the rest fled to Aphek into the city, and the wall fell upon twenty-seven thousand men of the rest. And Ben-hadad fled and entered into the bedchamber, into the inner room.</w:t>
      </w:r>
    </w:p>
    <w:p>
      <w:r>
        <w:rPr>
          <w:b/>
        </w:rPr>
        <w:t xml:space="preserve">31 </w:t>
      </w:r>
      <w:r>
        <w:t xml:space="preserve">And he said to his servants, I know that the kings of Israel are kings of mercy. Let us put sackcloth on our loins and ropes on our heads and go out to the king of Israel, if perhaps he will keep our lives alive.</w:t>
      </w:r>
    </w:p>
    <w:p>
      <w:r>
        <w:rPr>
          <w:b/>
        </w:rPr>
        <w:t xml:space="preserve">32 </w:t>
      </w:r>
      <w:r>
        <w:t xml:space="preserve">And they tied sackcloth on their loins and set ropes on their heads and said to the king of Israel, Your servant Ben-hadad says, Let my life now live. And he said, If he still lives, he is my brother.</w:t>
      </w:r>
    </w:p>
    <w:p>
      <w:r>
        <w:rPr>
          <w:b/>
        </w:rPr>
        <w:t xml:space="preserve">33 </w:t>
      </w:r>
      <w:r>
        <w:t xml:space="preserve">And the men took it as an omen and hurried and caught the word from his mouth and said, Your brother, Ben-hadad. And he said, Go in and fetch him. And Ben-hadad came out to him, and they brought him up to him on the chariot.</w:t>
      </w:r>
    </w:p>
    <w:p>
      <w:r>
        <w:rPr>
          <w:b/>
        </w:rPr>
        <w:t xml:space="preserve">34 </w:t>
      </w:r>
      <w:r>
        <w:t xml:space="preserve">And he said to him, The cities that my father took from your father I will give back to you, and you will set streets for yourself in Damascus, just as my father set them in Samaria. And I, in covenant, will send you away. And he made a covenant with him and sent him away.</w:t>
      </w:r>
    </w:p>
    <w:p>
      <w:r>
        <w:rPr>
          <w:b/>
        </w:rPr>
        <w:t xml:space="preserve">35 </w:t>
      </w:r>
      <w:r>
        <w:t xml:space="preserve">And one man from the sons of the prophets said to his neighbor by the word of the Lord, Strike me now. And the man was not willing to strike him.</w:t>
      </w:r>
    </w:p>
    <w:p>
      <w:r>
        <w:rPr>
          <w:b/>
        </w:rPr>
        <w:t xml:space="preserve">36 </w:t>
      </w:r>
      <w:r>
        <w:t xml:space="preserve">And he said to him, Because you did not hear the voice of the Lord, behold, you are running away from me, and a lion will strike you. And he went away from him, and a lion found him and struck him.</w:t>
      </w:r>
    </w:p>
    <w:p>
      <w:r>
        <w:rPr>
          <w:b/>
        </w:rPr>
        <w:t xml:space="preserve">37 </w:t>
      </w:r>
      <w:r>
        <w:t xml:space="preserve">And he found another man and said, Strike me now. And the man struck him, striking and shattering him.</w:t>
      </w:r>
    </w:p>
    <w:p>
      <w:r>
        <w:rPr>
          <w:b/>
        </w:rPr>
        <w:t xml:space="preserve">38 </w:t>
      </w:r>
      <w:r>
        <w:t xml:space="preserve">And the prophet went and stood for the king of Israel by the road and bound his eyes with a band.</w:t>
      </w:r>
    </w:p>
    <w:p>
      <w:r>
        <w:rPr>
          <w:b/>
        </w:rPr>
        <w:t xml:space="preserve">39 </w:t>
      </w:r>
      <w:r>
        <w:t xml:space="preserve">And it came to be as the king passed by, this one cried to the king and said, Your servant went out into the army of battle, and behold, a man brought to me a man and said to me, Guard this man. If by escaping he escapes, your life will be for his life, or you will weigh out a talent of silver.</w:t>
      </w:r>
    </w:p>
    <w:p>
      <w:r>
        <w:rPr>
          <w:b/>
        </w:rPr>
        <w:t xml:space="preserve">40 </w:t>
      </w:r>
      <w:r>
        <w:t xml:space="preserve">And it came to be, your servant looked here and there, and he was not there. And the king of Israel said to him, Behold, you have also destroyed the snares set for me.</w:t>
      </w:r>
    </w:p>
    <w:p>
      <w:r>
        <w:rPr>
          <w:b/>
        </w:rPr>
        <w:t xml:space="preserve">41 </w:t>
      </w:r>
      <w:r>
        <w:t xml:space="preserve">And he hurried and removed the band from his eyes, and the king of Israel recognized him, that he was one of the prophets.</w:t>
      </w:r>
    </w:p>
    <w:p>
      <w:r>
        <w:rPr>
          <w:b/>
        </w:rPr>
        <w:t xml:space="preserve">42 </w:t>
      </w:r>
      <w:r>
        <w:t xml:space="preserve">And he said to him, Thus says the Lord: Because you brought out from your hand a man appointed to destruction, your life shall be for his life and your people for his people.</w:t>
      </w:r>
    </w:p>
    <w:p>
      <w:r>
        <w:rPr>
          <w:b/>
        </w:rPr>
        <w:t xml:space="preserve">43 </w:t>
      </w:r>
      <w:r>
        <w:t xml:space="preserve">And the king of Israel went away confounded and discouraged and came into Samaria.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they sat three years, and there was no war between Syria and Israel.</w:t>
      </w:r>
    </w:p>
    <w:p>
      <w:r>
        <w:rPr>
          <w:b/>
        </w:rPr>
        <w:t xml:space="preserve">2 </w:t>
      </w:r>
      <w:r>
        <w:t xml:space="preserve">And it came to be in the third</w:t>
      </w:r>
      <w:r>
        <w:rPr>
          <w:rStyle w:val="FootnoteReference"/>
        </w:rPr>
        <w:footnoteReference w:id="6929"/>
      </w:r>
      <w:r>
        <w:t xml:space="preserve"> year, Jehoshaphat king of Judah went down to the king of Israel.</w:t>
      </w:r>
    </w:p>
    <w:p>
      <w:r>
        <w:rPr>
          <w:b/>
        </w:rPr>
        <w:t xml:space="preserve">3 </w:t>
      </w:r>
      <w:r>
        <w:t xml:space="preserve">And the king of Israel said to his servants, Do you know that Ramoth</w:t>
      </w:r>
      <w:r>
        <w:rPr>
          <w:rStyle w:val="FootnoteReference"/>
        </w:rPr>
        <w:footnoteReference w:id="6930"/>
      </w:r>
      <w:r>
        <w:t xml:space="preserve"> Gilead belongs to us, and we are silent to take it from the hand of the king of Syria?</w:t>
      </w:r>
    </w:p>
    <w:p>
      <w:r>
        <w:rPr>
          <w:b/>
        </w:rPr>
        <w:t xml:space="preserve">4 </w:t>
      </w:r>
      <w:r>
        <w:t xml:space="preserve">And the king of Israel said to Jehoshaphat, Will you come up with us to Ramoth Gilead for war? And Jehoshaphat said, As I am, so are you; as my people, so your people; as my horses, so your horses.</w:t>
      </w:r>
    </w:p>
    <w:p>
      <w:r>
        <w:rPr>
          <w:b/>
        </w:rPr>
        <w:t xml:space="preserve">5 </w:t>
      </w:r>
      <w:r>
        <w:t xml:space="preserve">And Jehoshaphat king of Judah said to the king of Israel, Ask the Lord today.</w:t>
      </w:r>
    </w:p>
    <w:p>
      <w:r>
        <w:rPr>
          <w:b/>
        </w:rPr>
        <w:t xml:space="preserve">6 </w:t>
      </w:r>
      <w:r>
        <w:t xml:space="preserve">And the king of Israel gathered all the prophets, about four hundred men, and the king said to them, Shall I go to Ramoth Gilead for war, or shall I hold back? And they said, Go up</w:t>
      </w:r>
      <w:r>
        <w:rPr>
          <w:rStyle w:val="FootnoteReference"/>
        </w:rPr>
        <w:footnoteReference w:id="6931"/>
      </w:r>
      <w:r>
        <w:t xml:space="preserve">, and in giving, the Lord will give into the hands of the king.</w:t>
      </w:r>
    </w:p>
    <w:p>
      <w:r>
        <w:rPr>
          <w:b/>
        </w:rPr>
        <w:t xml:space="preserve">7 </w:t>
      </w:r>
      <w:r>
        <w:t xml:space="preserve">And Jehoshaphat said to the king of Israel, Is there not</w:t>
      </w:r>
      <w:r>
        <w:rPr>
          <w:rStyle w:val="FootnoteReference"/>
        </w:rPr>
        <w:footnoteReference w:id="6932"/>
      </w:r>
      <w:r>
        <w:t xml:space="preserve"> here a prophet of the Lord, and shall we ask the Lord through him?</w:t>
      </w:r>
    </w:p>
    <w:p>
      <w:r>
        <w:rPr>
          <w:b/>
        </w:rPr>
        <w:t xml:space="preserve">8 </w:t>
      </w:r>
      <w:r>
        <w:t xml:space="preserve">And the king of Israel said to Jehoshaphat, There is still one man by whom we may ask the Lord, and I hate him because he does not speak good</w:t>
      </w:r>
      <w:r>
        <w:rPr>
          <w:rStyle w:val="FootnoteReference"/>
        </w:rPr>
        <w:footnoteReference w:id="6933"/>
      </w:r>
      <w:r>
        <w:t xml:space="preserve"> concerning me, only evil: Micaiah</w:t>
      </w:r>
      <w:r>
        <w:rPr>
          <w:rStyle w:val="FootnoteReference"/>
        </w:rPr>
        <w:footnoteReference w:id="6934"/>
      </w:r>
      <w:r>
        <w:t xml:space="preserve"> son of Imlah</w:t>
      </w:r>
      <w:r>
        <w:rPr>
          <w:rStyle w:val="FootnoteReference"/>
        </w:rPr>
        <w:footnoteReference w:id="6935"/>
      </w:r>
      <w:r>
        <w:t xml:space="preserve">. And Jehoshaphat king of Judah said, Let not the king speak so.</w:t>
      </w:r>
      <w:r>
        <w:rPr>
          <w:rStyle w:val="FootnoteReference"/>
        </w:rPr>
        <w:footnoteReference w:id="6936"/>
      </w:r>
    </w:p>
    <w:p>
      <w:r>
        <w:rPr>
          <w:b/>
        </w:rPr>
        <w:t xml:space="preserve">9 </w:t>
      </w:r>
      <w:r>
        <w:t xml:space="preserve">And the king of Israel called one eunuch and said, Quickly, Micaiah son of Imlah.</w:t>
      </w:r>
    </w:p>
    <w:p>
      <w:r>
        <w:rPr>
          <w:b/>
        </w:rPr>
        <w:t xml:space="preserve">10 </w:t>
      </w:r>
      <w:r>
        <w:t xml:space="preserve">And the king of Israel and Jehoshaphat king of Judah were sitting, each upon his throne, armed</w:t>
      </w:r>
      <w:r>
        <w:rPr>
          <w:rStyle w:val="FootnoteReference"/>
        </w:rPr>
        <w:footnoteReference w:id="6937"/>
      </w:r>
      <w:r>
        <w:t xml:space="preserve">, in the gates of Samaria, and all the prophets</w:t>
      </w:r>
      <w:r>
        <w:rPr>
          <w:rStyle w:val="FootnoteReference"/>
        </w:rPr>
        <w:footnoteReference w:id="6938"/>
      </w:r>
      <w:r>
        <w:t xml:space="preserve"> were prophesying before them.</w:t>
      </w:r>
    </w:p>
    <w:p>
      <w:r>
        <w:rPr>
          <w:b/>
        </w:rPr>
        <w:t xml:space="preserve">11 </w:t>
      </w:r>
      <w:r>
        <w:t xml:space="preserve">And Zedekiah son of Chenaanah</w:t>
      </w:r>
      <w:r>
        <w:rPr>
          <w:rStyle w:val="FootnoteReference"/>
        </w:rPr>
        <w:footnoteReference w:id="6939"/>
      </w:r>
      <w:r>
        <w:t xml:space="preserve"> made iron horns for himself and said, Thus says the Lord: With these you will gore Syria until it is finished.</w:t>
      </w:r>
    </w:p>
    <w:p>
      <w:r>
        <w:rPr>
          <w:b/>
        </w:rPr>
        <w:t xml:space="preserve">12 </w:t>
      </w:r>
      <w:r>
        <w:t xml:space="preserve">And all the prophets prophesied thus, saying, Go up</w:t>
      </w:r>
      <w:r>
        <w:rPr>
          <w:rStyle w:val="FootnoteReference"/>
        </w:rPr>
        <w:footnoteReference w:id="6940"/>
      </w:r>
      <w:r>
        <w:t xml:space="preserve"> to Ramoth Gilead and prosper, and the Lord will give into your hands, and the king of Syria.</w:t>
      </w:r>
    </w:p>
    <w:p>
      <w:r>
        <w:rPr>
          <w:b/>
        </w:rPr>
        <w:t xml:space="preserve">13 </w:t>
      </w:r>
      <w:r>
        <w:t xml:space="preserve">And the messenger who went to call Micaiah spoke to him, saying, Behold now</w:t>
      </w:r>
      <w:r>
        <w:rPr>
          <w:rStyle w:val="FootnoteReference"/>
        </w:rPr>
        <w:footnoteReference w:id="6941"/>
      </w:r>
      <w:r>
        <w:t xml:space="preserve">, all the prophets speak with one mouth</w:t>
      </w:r>
      <w:r>
        <w:rPr>
          <w:rStyle w:val="FootnoteReference"/>
        </w:rPr>
        <w:footnoteReference w:id="6942"/>
      </w:r>
      <w:r>
        <w:t xml:space="preserve"> good things concerning the king. Be now also in your words like the words of one of these and speak good things.</w:t>
      </w:r>
    </w:p>
    <w:p>
      <w:r>
        <w:rPr>
          <w:b/>
        </w:rPr>
        <w:t xml:space="preserve">14 </w:t>
      </w:r>
      <w:r>
        <w:t xml:space="preserve">And Micaiah said, As the Lord lives, whatever the Lord says to me, these things I will speak.</w:t>
      </w:r>
    </w:p>
    <w:p>
      <w:r>
        <w:rPr>
          <w:b/>
        </w:rPr>
        <w:t xml:space="preserve">15 </w:t>
      </w:r>
      <w:r>
        <w:t xml:space="preserve">And he came to the king, and the king said to him, Micaiah, shall I go up to Ramoth Gilead for war, or shall I hold back? And he said, Go up and prosper, and the Lord will give into the hand of the king</w:t>
      </w:r>
      <w:r>
        <w:rPr>
          <w:rStyle w:val="FootnoteReference"/>
        </w:rPr>
        <w:footnoteReference w:id="6943"/>
      </w:r>
      <w:r>
        <w:t xml:space="preserve">.</w:t>
      </w:r>
    </w:p>
    <w:p>
      <w:r>
        <w:rPr>
          <w:b/>
        </w:rPr>
        <w:t xml:space="preserve">16 </w:t>
      </w:r>
      <w:r>
        <w:t xml:space="preserve">And the king said to him, How many times do I put you under oath, that you speak truth to me in the name of the Lord?</w:t>
      </w:r>
    </w:p>
    <w:p>
      <w:r>
        <w:rPr>
          <w:b/>
        </w:rPr>
        <w:t xml:space="preserve">17 </w:t>
      </w:r>
      <w:r>
        <w:t xml:space="preserve">And Micaiah said, Not so. I saw</w:t>
      </w:r>
      <w:r>
        <w:rPr>
          <w:rStyle w:val="FootnoteReference"/>
        </w:rPr>
        <w:footnoteReference w:id="6944"/>
      </w:r>
      <w:r>
        <w:t xml:space="preserve"> all Israel scattered on the mountains like a flock that has no shepherd, and the Lord said, There is no lord for these. Let each return to his own house in peace.</w:t>
      </w:r>
    </w:p>
    <w:p>
      <w:r>
        <w:rPr>
          <w:b/>
        </w:rPr>
        <w:t xml:space="preserve">18 </w:t>
      </w:r>
      <w:r>
        <w:t xml:space="preserve">And the king of Israel said to Jehoshaphat king of Judah, Did I not tell</w:t>
      </w:r>
      <w:r>
        <w:rPr>
          <w:rStyle w:val="FootnoteReference"/>
        </w:rPr>
        <w:footnoteReference w:id="6945"/>
      </w:r>
      <w:r>
        <w:t xml:space="preserve"> you that this one does not prophesy good things to me, only evils?</w:t>
      </w:r>
    </w:p>
    <w:p>
      <w:r>
        <w:rPr>
          <w:b/>
        </w:rPr>
        <w:t xml:space="preserve">19 </w:t>
      </w:r>
      <w:r>
        <w:t xml:space="preserve">And Micaiah said, Not so. Hear the word of the Lord. I saw the Lord</w:t>
      </w:r>
      <w:r>
        <w:rPr>
          <w:rStyle w:val="FootnoteReference"/>
        </w:rPr>
        <w:footnoteReference w:id="6946"/>
      </w:r>
      <w:r>
        <w:t xml:space="preserve"> God of Israel sitting upon his throne, and all the army of heaven stood around him, at his right hand and at his left.</w:t>
      </w:r>
    </w:p>
    <w:p>
      <w:r>
        <w:rPr>
          <w:b/>
        </w:rPr>
        <w:t xml:space="preserve">20 </w:t>
      </w:r>
      <w:r>
        <w:t xml:space="preserve">And the Lord said, Who will deceive Ahab king of Israel, and he will go up and fall in Ramoth Gilead? And one said this and another said this.</w:t>
      </w:r>
    </w:p>
    <w:p>
      <w:r>
        <w:rPr>
          <w:b/>
        </w:rPr>
        <w:t xml:space="preserve">21 </w:t>
      </w:r>
      <w:r>
        <w:t xml:space="preserve">And a spirit went out and stood before the Lord and said, I will deceive him. And the Lord said to him, By what?</w:t>
      </w:r>
    </w:p>
    <w:p>
      <w:r>
        <w:rPr>
          <w:b/>
        </w:rPr>
        <w:t xml:space="preserve">22 </w:t>
      </w:r>
      <w:r>
        <w:t xml:space="preserve">And he said, I will go out and be a lying spirit</w:t>
      </w:r>
      <w:r>
        <w:rPr>
          <w:rStyle w:val="FootnoteReference"/>
        </w:rPr>
        <w:footnoteReference w:id="6947"/>
      </w:r>
      <w:r>
        <w:t xml:space="preserve"> in the mouth of all his prophets. And he said, You will deceive and indeed you will prevail. Go out and do so.</w:t>
      </w:r>
    </w:p>
    <w:p>
      <w:r>
        <w:rPr>
          <w:b/>
        </w:rPr>
        <w:t xml:space="preserve">23 </w:t>
      </w:r>
      <w:r>
        <w:t xml:space="preserve">And now, behold, the Lord</w:t>
      </w:r>
      <w:r>
        <w:rPr>
          <w:rStyle w:val="FootnoteReference"/>
        </w:rPr>
        <w:footnoteReference w:id="6948"/>
      </w:r>
      <w:r>
        <w:t xml:space="preserve"> has given a lying spirit in the mouth of all these prophets of yours, and the Lord has spoken evils against you.</w:t>
      </w:r>
    </w:p>
    <w:p>
      <w:r>
        <w:rPr>
          <w:b/>
        </w:rPr>
        <w:t xml:space="preserve">24 </w:t>
      </w:r>
      <w:r>
        <w:t xml:space="preserve">And Zedekiah</w:t>
      </w:r>
      <w:r>
        <w:rPr>
          <w:rStyle w:val="FootnoteReference"/>
        </w:rPr>
        <w:footnoteReference w:id="6949"/>
      </w:r>
      <w:r>
        <w:t xml:space="preserve"> son of Chenaanah came near and struck Micaiah on the jaw and said, What spirit of the Lord was this that spoke in you?</w:t>
      </w:r>
    </w:p>
    <w:p>
      <w:r>
        <w:rPr>
          <w:b/>
        </w:rPr>
        <w:t xml:space="preserve">25 </w:t>
      </w:r>
      <w:r>
        <w:t xml:space="preserve">And Micaiah said, Behold</w:t>
      </w:r>
      <w:r>
        <w:rPr>
          <w:rStyle w:val="FootnoteReference"/>
        </w:rPr>
        <w:footnoteReference w:id="6950"/>
      </w:r>
      <w:r>
        <w:t xml:space="preserve">, you will see on that day when you enter chamber within chamber to hide yourself.</w:t>
      </w:r>
    </w:p>
    <w:p>
      <w:r>
        <w:rPr>
          <w:b/>
        </w:rPr>
        <w:t xml:space="preserve">26 </w:t>
      </w:r>
      <w:r>
        <w:t xml:space="preserve">And the king of Israel said, Take Micaiah and return him to Amon</w:t>
      </w:r>
      <w:r>
        <w:rPr>
          <w:rStyle w:val="FootnoteReference"/>
        </w:rPr>
        <w:footnoteReference w:id="6951"/>
      </w:r>
      <w:r>
        <w:t xml:space="preserve"> the ruler of the city and to Joash son of the king.</w:t>
      </w:r>
    </w:p>
    <w:p>
      <w:r>
        <w:rPr>
          <w:b/>
        </w:rPr>
        <w:t xml:space="preserve">27 </w:t>
      </w:r>
      <w:r>
        <w:t xml:space="preserve">Say to put this one in prison and to feed him bread of affliction</w:t>
      </w:r>
      <w:r>
        <w:rPr>
          <w:rStyle w:val="FootnoteReference"/>
        </w:rPr>
        <w:footnoteReference w:id="6952"/>
      </w:r>
      <w:r>
        <w:t xml:space="preserve"> and water of affliction until I return in peace.</w:t>
      </w:r>
    </w:p>
    <w:p>
      <w:r>
        <w:rPr>
          <w:b/>
        </w:rPr>
        <w:t xml:space="preserve">28 </w:t>
      </w:r>
      <w:r>
        <w:t xml:space="preserve">And Micaiah said, If returning you return in peace, the Lord has not spoken in me.</w:t>
      </w:r>
    </w:p>
    <w:p>
      <w:r>
        <w:rPr>
          <w:b/>
        </w:rPr>
        <w:t xml:space="preserve">29 </w:t>
      </w:r>
      <w:r>
        <w:t xml:space="preserve">And the king of Israel and Jehoshaphat king of Judah went up with him to Ramoth Gilead.</w:t>
      </w:r>
    </w:p>
    <w:p>
      <w:r>
        <w:rPr>
          <w:b/>
        </w:rPr>
        <w:t xml:space="preserve">30 </w:t>
      </w:r>
      <w:r>
        <w:t xml:space="preserve">And the king of Israel said to Jehoshaphat king of Judah, I will disguise myself and enter into the battle</w:t>
      </w:r>
      <w:r>
        <w:rPr>
          <w:rStyle w:val="FootnoteReference"/>
        </w:rPr>
        <w:footnoteReference w:id="6953"/>
      </w:r>
      <w:r>
        <w:t xml:space="preserve">, and you put on my clothing. And the king of Israel disguised himself and entered into the battle.</w:t>
      </w:r>
    </w:p>
    <w:p>
      <w:r>
        <w:rPr>
          <w:b/>
        </w:rPr>
        <w:t xml:space="preserve">31 </w:t>
      </w:r>
      <w:r>
        <w:t xml:space="preserve">And the king of Syria commanded the rulers of his chariots, thirty-two, saying, Fight</w:t>
      </w:r>
      <w:r>
        <w:rPr>
          <w:rStyle w:val="FootnoteReference"/>
        </w:rPr>
        <w:footnoteReference w:id="6954"/>
      </w:r>
      <w:r>
        <w:t xml:space="preserve"> neither small nor great, only the king of Israel, utterly alone.</w:t>
      </w:r>
    </w:p>
    <w:p>
      <w:r>
        <w:rPr>
          <w:b/>
        </w:rPr>
        <w:t xml:space="preserve">32 </w:t>
      </w:r>
      <w:r>
        <w:t xml:space="preserve">And it came to be when the rulers of the chariots saw Jehoshaphat</w:t>
      </w:r>
      <w:r>
        <w:rPr>
          <w:rStyle w:val="FootnoteReference"/>
        </w:rPr>
        <w:footnoteReference w:id="6955"/>
      </w:r>
      <w:r>
        <w:t xml:space="preserve"> king of Judah, they said, This one appears to be the king of Israel, and they surrounded him to fight, and Jehoshaphat cried out.</w:t>
      </w:r>
    </w:p>
    <w:p>
      <w:r>
        <w:rPr>
          <w:b/>
        </w:rPr>
        <w:t xml:space="preserve">33 </w:t>
      </w:r>
      <w:r>
        <w:t xml:space="preserve">And it came to be when the rulers of the chariots saw that this one was not the king of Israel, they turned away from him.</w:t>
      </w:r>
    </w:p>
    <w:p>
      <w:r>
        <w:rPr>
          <w:b/>
        </w:rPr>
        <w:t xml:space="preserve">34 </w:t>
      </w:r>
      <w:r>
        <w:t xml:space="preserve">And one stretched the bow accurately and struck the king of Israel between the lung and between the breastplate, and he said to his charioteer, Turn your hands and bring me out from the battle, because I am wounded</w:t>
      </w:r>
      <w:r>
        <w:rPr>
          <w:rStyle w:val="FootnoteReference"/>
        </w:rPr>
        <w:footnoteReference w:id="6956"/>
      </w:r>
      <w:r>
        <w:t xml:space="preserve">.</w:t>
      </w:r>
      <w:r>
        <w:rPr>
          <w:rStyle w:val="FootnoteReference"/>
        </w:rPr>
        <w:footnoteReference w:id="6957"/>
      </w:r>
    </w:p>
    <w:p>
      <w:r>
        <w:rPr>
          <w:b/>
        </w:rPr>
        <w:t xml:space="preserve">35 </w:t>
      </w:r>
      <w:r>
        <w:t xml:space="preserve">And the battle turned in that day, and the king was standing on the chariot opposite Syria from morning until evening, and the blood from the wound kept pouring into the bosom of the chariot, and he died at evening, and the blood of the stroke kept going out as far as the bosom of the chariot.</w:t>
      </w:r>
    </w:p>
    <w:p>
      <w:r>
        <w:rPr>
          <w:b/>
        </w:rPr>
        <w:t xml:space="preserve">36 </w:t>
      </w:r>
      <w:r>
        <w:t xml:space="preserve">And the herald stood at sunset, saying, Each to his own city and to his own land.</w:t>
      </w:r>
    </w:p>
    <w:p>
      <w:r>
        <w:rPr>
          <w:b/>
        </w:rPr>
        <w:t xml:space="preserve">37 </w:t>
      </w:r>
      <w:r>
        <w:t xml:space="preserve">Because the king is dead. And they came to Samaria and buried the king in Samaria.</w:t>
      </w:r>
    </w:p>
    <w:p>
      <w:r>
        <w:rPr>
          <w:b/>
        </w:rPr>
        <w:t xml:space="preserve">38 </w:t>
      </w:r>
      <w:r>
        <w:t xml:space="preserve">And they washed the chariot at the spring of Samaria, and the sows and the dogs</w:t>
      </w:r>
      <w:r>
        <w:rPr>
          <w:rStyle w:val="FootnoteReference"/>
        </w:rPr>
        <w:footnoteReference w:id="6958"/>
      </w:r>
      <w:r>
        <w:t xml:space="preserve"> licked the blood, and the prostitutes bathed in the blood, according to the word of the Lord that he spoke.</w:t>
      </w:r>
    </w:p>
    <w:p>
      <w:r>
        <w:rPr>
          <w:b/>
        </w:rPr>
        <w:t xml:space="preserve">39 </w:t>
      </w:r>
      <w:r>
        <w:t xml:space="preserve">And the rest</w:t>
      </w:r>
      <w:r>
        <w:rPr>
          <w:rStyle w:val="FootnoteReference"/>
        </w:rPr>
        <w:footnoteReference w:id="6959"/>
      </w:r>
      <w:r>
        <w:t xml:space="preserve"> of the matters of Ahab and all that he did and the ivory house that he built</w:t>
      </w:r>
      <w:r>
        <w:rPr>
          <w:rStyle w:val="FootnoteReference"/>
        </w:rPr>
        <w:footnoteReference w:id="6960"/>
      </w:r>
      <w:r>
        <w:t xml:space="preserve"> and all the cities that he made, behold, are these not written in the Book of the Matters of the Days of the kings of Israel?</w:t>
      </w:r>
    </w:p>
    <w:p>
      <w:r>
        <w:rPr>
          <w:b/>
        </w:rPr>
        <w:t xml:space="preserve">40 </w:t>
      </w:r>
      <w:r>
        <w:t xml:space="preserve">And Ahab slept</w:t>
      </w:r>
      <w:r>
        <w:rPr>
          <w:rStyle w:val="FootnoteReference"/>
        </w:rPr>
        <w:footnoteReference w:id="6961"/>
      </w:r>
      <w:r>
        <w:t xml:space="preserve"> with his fathers, and Ahaziah</w:t>
      </w:r>
      <w:r>
        <w:rPr>
          <w:rStyle w:val="FootnoteReference"/>
        </w:rPr>
        <w:footnoteReference w:id="6962"/>
      </w:r>
      <w:r>
        <w:t xml:space="preserve"> his son reigned in his place.</w:t>
      </w:r>
    </w:p>
    <w:p>
      <w:r>
        <w:rPr>
          <w:b/>
        </w:rPr>
        <w:t xml:space="preserve">41 </w:t>
      </w:r>
      <w:r>
        <w:t xml:space="preserve">And Jehoshaphat</w:t>
      </w:r>
      <w:r>
        <w:rPr>
          <w:rStyle w:val="FootnoteReference"/>
        </w:rPr>
        <w:footnoteReference w:id="6963"/>
      </w:r>
      <w:r>
        <w:t xml:space="preserve"> son of Asa reigned over Judah. In the fourth year of Ahab king of Israel he reigned.</w:t>
      </w:r>
    </w:p>
    <w:p>
      <w:r>
        <w:rPr>
          <w:b/>
        </w:rPr>
        <w:t xml:space="preserve">42 </w:t>
      </w:r>
      <w:r>
        <w:t xml:space="preserve">Jehoshaphat was a son of thirty-five years when he began to reign, and he reigned twenty-five years in Jerusalem, and his mother's</w:t>
      </w:r>
      <w:r>
        <w:rPr>
          <w:rStyle w:val="FootnoteReference"/>
        </w:rPr>
        <w:footnoteReference w:id="6964"/>
      </w:r>
      <w:r>
        <w:t xml:space="preserve"> name was Azubah daughter of Shilhi.</w:t>
      </w:r>
    </w:p>
    <w:p>
      <w:r>
        <w:rPr>
          <w:b/>
        </w:rPr>
        <w:t xml:space="preserve">43 </w:t>
      </w:r>
      <w:r>
        <w:t xml:space="preserve">And he walked</w:t>
      </w:r>
      <w:r>
        <w:rPr>
          <w:rStyle w:val="FootnoteReference"/>
        </w:rPr>
        <w:footnoteReference w:id="6965"/>
      </w:r>
      <w:r>
        <w:t xml:space="preserve"> in every way of Asa his father, and he did not turn aside from it</w:t>
      </w:r>
      <w:r>
        <w:rPr>
          <w:rStyle w:val="FootnoteReference"/>
        </w:rPr>
        <w:footnoteReference w:id="6966"/>
      </w:r>
      <w:r>
        <w:t xml:space="preserve">, doing what was right in the eyes of the Lord.</w:t>
      </w:r>
    </w:p>
    <w:p>
      <w:r>
        <w:rPr>
          <w:b/>
        </w:rPr>
        <w:t xml:space="preserve">44 </w:t>
      </w:r>
      <w:r>
        <w:t xml:space="preserve">Yet he did not remove the high places. The people were still sacrificing and burning incense on the high places.</w:t>
      </w:r>
      <w:r>
        <w:rPr>
          <w:rStyle w:val="FootnoteReference"/>
        </w:rPr>
        <w:footnoteReference w:id="6967"/>
      </w:r>
      <w:r>
        <w:t xml:space="preserve"/>
      </w:r>
    </w:p>
    <w:p>
      <w:r>
        <w:rPr>
          <w:b/>
        </w:rPr>
        <w:t xml:space="preserve">45 </w:t>
      </w:r>
      <w:r>
        <w:t xml:space="preserve">And Jehoshaphat made peace with the king of Israel.</w:t>
      </w:r>
    </w:p>
    <w:p>
      <w:r>
        <w:rPr>
          <w:b/>
        </w:rPr>
        <w:t xml:space="preserve">46 </w:t>
      </w:r>
      <w:r>
        <w:t xml:space="preserve">And the rest of the matters of Jehoshaphat and his acts of power, what he did, behold, are these not written in the Book of the Matters of the Days of the kings of Judah?</w:t>
      </w:r>
    </w:p>
    <w:p>
      <w:r>
        <w:rPr>
          <w:b/>
        </w:rPr>
        <w:t xml:space="preserve">51 </w:t>
      </w:r>
      <w:r>
        <w:t xml:space="preserve">And Jehoshaphat slept with his fathers and was buried with his fathers in the City of David his father, and Jehoram</w:t>
      </w:r>
      <w:r>
        <w:rPr>
          <w:rStyle w:val="FootnoteReference"/>
        </w:rPr>
        <w:footnoteReference w:id="6968"/>
      </w:r>
      <w:r>
        <w:t xml:space="preserve"> his son reigned in his place.</w:t>
      </w:r>
      <w:r>
        <w:rPr>
          <w:rStyle w:val="FootnoteReference"/>
        </w:rPr>
        <w:footnoteReference w:id="6969"/>
      </w:r>
    </w:p>
    <w:p>
      <w:r>
        <w:rPr>
          <w:b/>
        </w:rPr>
        <w:t xml:space="preserve">52 </w:t>
      </w:r>
      <w:r>
        <w:t xml:space="preserve">And Ahaziah son of Ahab reigned over Israel in Samaria in the seventeenth year of Jehoshaphat king of Judah, and he reigned over Israel two years.</w:t>
      </w:r>
    </w:p>
    <w:p>
      <w:r>
        <w:rPr>
          <w:b/>
        </w:rPr>
        <w:t xml:space="preserve">53 </w:t>
      </w:r>
      <w:r>
        <w:t xml:space="preserve">And he did evil before the Lord and walked in the way of Ahab his father and in the way of Jezebel his mother and in the sins of the house of Jeroboam son of Nebat, who made Israel sin.</w:t>
      </w:r>
    </w:p>
    <w:p>
      <w:r>
        <w:rPr>
          <w:b/>
        </w:rPr>
        <w:t xml:space="preserve">54 </w:t>
      </w:r>
      <w:r>
        <w:t xml:space="preserve">And he served the Baals and bowed down to them and provoked the Lord God of Israel according to all the things that came before him.</w:t>
      </w:r>
    </w:p>
    <w:p>
      <w:r>
        <w:br w:type="page"/>
      </w:r>
    </w:p>
    <w:p>
      <w:pPr>
        <w:pStyle w:val="Heading1"/>
      </w:pPr>
      <w:r>
        <w:t xml:space="preserve">2 Kings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Moab</w:t>
      </w:r>
      <w:r>
        <w:rPr>
          <w:rStyle w:val="FootnoteReference"/>
        </w:rPr>
        <w:footnoteReference w:id="6970"/>
      </w:r>
      <w:r>
        <w:t xml:space="preserve"> rebelled against Israel after the death of Ahab.</w:t>
      </w:r>
    </w:p>
    <w:p>
      <w:r>
        <w:rPr>
          <w:b/>
        </w:rPr>
        <w:t xml:space="preserve">2 </w:t>
      </w:r>
      <w:r>
        <w:t xml:space="preserve">And Ahaziah fell through the lattice in his upper room in Samaria and became sick, and he sent messengers and said to them, Come and seek in Baal of flies, god of Ekron, whether I will live from this sickness</w:t>
      </w:r>
      <w:r>
        <w:rPr>
          <w:rStyle w:val="FootnoteReference"/>
        </w:rPr>
        <w:footnoteReference w:id="6971"/>
      </w:r>
      <w:r>
        <w:t xml:space="preserve">. And they went to inquire through him.</w:t>
      </w:r>
      <w:r>
        <w:rPr>
          <w:rStyle w:val="FootnoteReference"/>
        </w:rPr>
        <w:footnoteReference w:id="6972"/>
      </w:r>
    </w:p>
    <w:p>
      <w:r>
        <w:rPr>
          <w:b/>
        </w:rPr>
        <w:t xml:space="preserve">3 </w:t>
      </w:r>
      <w:r>
        <w:t xml:space="preserve">And the angel of the Lord</w:t>
      </w:r>
      <w:r>
        <w:rPr>
          <w:rStyle w:val="FootnoteReference"/>
        </w:rPr>
        <w:footnoteReference w:id="6973"/>
      </w:r>
      <w:r>
        <w:t xml:space="preserve"> spoke to Elijah the Tishbite, saying, Rise, come to meet the messengers of Ahaziah king of Samaria, and you will speak to them, Is it because there is no God in Israel that you are going to seek in Baal of flies, god of Ekron?</w:t>
      </w:r>
      <w:r>
        <w:rPr>
          <w:rStyle w:val="FootnoteReference"/>
        </w:rPr>
        <w:footnoteReference w:id="6974"/>
      </w:r>
    </w:p>
    <w:p>
      <w:r>
        <w:rPr>
          <w:b/>
        </w:rPr>
        <w:t xml:space="preserve">4 </w:t>
      </w:r>
      <w:r>
        <w:t xml:space="preserve">And not so, because thus says the Lord: The bed on which you went up there, you shall not come down from it, because by death you will die. And Elijah went and spoke to them.</w:t>
      </w:r>
    </w:p>
    <w:p>
      <w:r>
        <w:rPr>
          <w:b/>
        </w:rPr>
        <w:t xml:space="preserve">5 </w:t>
      </w:r>
      <w:r>
        <w:t xml:space="preserve">And the messengers returned to him, and he said to them, Why is it that you returned?</w:t>
      </w:r>
    </w:p>
    <w:p>
      <w:r>
        <w:rPr>
          <w:b/>
        </w:rPr>
        <w:t xml:space="preserve">6 </w:t>
      </w:r>
      <w:r>
        <w:t xml:space="preserve">And they said to him, A man came up to meet us and said to us, Come, return to the king who sent you, and speak to him, Thus says the Lord: Is it because there is no God in Israel that you are going to seek in Baal of flies</w:t>
      </w:r>
      <w:r>
        <w:rPr>
          <w:rStyle w:val="FootnoteReference"/>
        </w:rPr>
        <w:footnoteReference w:id="6975"/>
      </w:r>
      <w:r>
        <w:t xml:space="preserve">, god of Ekron? And not so, the bed on which you went up there, you shall not come down from it, because by death you will die.</w:t>
      </w:r>
    </w:p>
    <w:p>
      <w:r>
        <w:rPr>
          <w:b/>
        </w:rPr>
        <w:t xml:space="preserve">7 </w:t>
      </w:r>
      <w:r>
        <w:t xml:space="preserve">And he spoke to them, saying, What was the appearance of the man who came up to meet you and spoke to you these words?</w:t>
      </w:r>
    </w:p>
    <w:p>
      <w:r>
        <w:rPr>
          <w:b/>
        </w:rPr>
        <w:t xml:space="preserve">8 </w:t>
      </w:r>
      <w:r>
        <w:t xml:space="preserve">And they said to him, A hairy man, with a leather belt girded around his waist.</w:t>
      </w:r>
      <w:r>
        <w:rPr>
          <w:rStyle w:val="FootnoteReference"/>
        </w:rPr>
        <w:footnoteReference w:id="6976"/>
      </w:r>
      <w:r>
        <w:t xml:space="preserve"> And he said, This is Elijah the Tishbite.</w:t>
      </w:r>
    </w:p>
    <w:p>
      <w:r>
        <w:rPr>
          <w:b/>
        </w:rPr>
        <w:t xml:space="preserve">9 </w:t>
      </w:r>
      <w:r>
        <w:t xml:space="preserve">And he sent to him a captain of fifty and his fifty, and he went up and came to him. And behold, Elijah was sitting on the top of the mountain, and the captain of fifty spoke to him and said, Man of God, the king has called you. Come down.</w:t>
      </w:r>
    </w:p>
    <w:p>
      <w:r>
        <w:rPr>
          <w:b/>
        </w:rPr>
        <w:t xml:space="preserve">10 </w:t>
      </w:r>
      <w:r>
        <w:t xml:space="preserve">And Elijah answered and said to the captain of fifty, If I am a man of God, fire will come down from heaven and eat you and your fifty. And fire came down from heaven and ate him and his fifty.</w:t>
      </w:r>
    </w:p>
    <w:p>
      <w:r>
        <w:rPr>
          <w:b/>
        </w:rPr>
        <w:t xml:space="preserve">11 </w:t>
      </w:r>
      <w:r>
        <w:t xml:space="preserve">And the king added and sent to him another captain of fifty and his fifty, and he went up and the captain of fifty spoke to him and said, Man of God, thus says the king: Quickly, come down.</w:t>
      </w:r>
    </w:p>
    <w:p>
      <w:r>
        <w:rPr>
          <w:b/>
        </w:rPr>
        <w:t xml:space="preserve">12 </w:t>
      </w:r>
      <w:r>
        <w:t xml:space="preserve">And Elijah answered and spoke to him and said, If I am a man of God, fire will come down from heaven and eat you and your fifty. And fire came down from heaven and ate him and his fifty.</w:t>
      </w:r>
    </w:p>
    <w:p>
      <w:r>
        <w:rPr>
          <w:b/>
        </w:rPr>
        <w:t xml:space="preserve">13 </w:t>
      </w:r>
      <w:r>
        <w:t xml:space="preserve">And the king added yet to send a third captain of fifty and his fifty, and the third captain of fifty came to him and bent upon his knees before Elijah and begged him and spoke to him and said, Man of God, let my life now be precious</w:t>
      </w:r>
      <w:r>
        <w:rPr>
          <w:rStyle w:val="FootnoteReference"/>
        </w:rPr>
        <w:footnoteReference w:id="6977"/>
      </w:r>
      <w:r>
        <w:t xml:space="preserve">, and the life of these fifty servants of yours, in your eyes.</w:t>
      </w:r>
    </w:p>
    <w:p>
      <w:r>
        <w:rPr>
          <w:b/>
        </w:rPr>
        <w:t xml:space="preserve">14 </w:t>
      </w:r>
      <w:r>
        <w:t xml:space="preserve">Behold</w:t>
      </w:r>
      <w:r>
        <w:rPr>
          <w:rStyle w:val="FootnoteReference"/>
        </w:rPr>
        <w:footnoteReference w:id="6978"/>
      </w:r>
      <w:r>
        <w:t xml:space="preserve">, fire came down from heaven and ate the first two captains of fifty and their fifties. And now let the life of your servants be precious in your eyes.</w:t>
      </w:r>
    </w:p>
    <w:p>
      <w:r>
        <w:rPr>
          <w:b/>
        </w:rPr>
        <w:t xml:space="preserve">15 </w:t>
      </w:r>
      <w:r>
        <w:t xml:space="preserve">And the angel of the Lord spoke to Elijah and said, Go down with him. Do not fear from before them. And Elijah rose and went down with him to the king.</w:t>
      </w:r>
    </w:p>
    <w:p>
      <w:r>
        <w:rPr>
          <w:b/>
        </w:rPr>
        <w:t xml:space="preserve">16 </w:t>
      </w:r>
      <w:r>
        <w:t xml:space="preserve">And Elijah spoke to him and said, Thus says the Lord: Why is it that you sent messengers to seek in Baal of flies, god of Ekron? And not so</w:t>
      </w:r>
      <w:r>
        <w:rPr>
          <w:rStyle w:val="FootnoteReference"/>
        </w:rPr>
        <w:footnoteReference w:id="6979"/>
      </w:r>
      <w:r>
        <w:t xml:space="preserve">, the bed on which you went up there, you shall not come down from it, because by death you will die.</w:t>
      </w:r>
    </w:p>
    <w:p>
      <w:r>
        <w:rPr>
          <w:b/>
        </w:rPr>
        <w:t xml:space="preserve">17 </w:t>
      </w:r>
      <w:r>
        <w:t xml:space="preserve">And he died according to the word of the Lord that Elijah spoke.</w:t>
      </w:r>
    </w:p>
    <w:p>
      <w:r>
        <w:rPr>
          <w:b/>
        </w:rPr>
        <w:t xml:space="preserve">18 </w:t>
      </w:r>
      <w:r>
        <w:t xml:space="preserve">And the rest of the matters of Ahaziah, what he did, behold, are these not written in the Book</w:t>
      </w:r>
      <w:r>
        <w:rPr>
          <w:rStyle w:val="FootnoteReference"/>
        </w:rPr>
        <w:footnoteReference w:id="6980"/>
      </w:r>
      <w:r>
        <w:t xml:space="preserve"> of the Matters of the Days of the kings of Israel? And Joram son of Ahab reigned over Israel in Samaria twelve years, in the eighteenth year of Jehoshaphat king of Judah. And he did evil before the Lord, yet not like his brothers nor like his mother. And he removed the pillars of Baal that his father made and shattered them. Yet in the sins of the house of Jeroboam, who made Israel sin, he clung and did not depart from them. And the anger of the Lord was enraged against the house of Ahab.</w:t>
      </w:r>
      <w:r>
        <w:rPr>
          <w:rStyle w:val="FootnoteReference"/>
        </w:rPr>
        <w:footnoteReference w:id="6981"/>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it came to be when the Lord was taking Elijah up in a storm as into heaven, Elijah and Elisha</w:t>
      </w:r>
      <w:r>
        <w:rPr>
          <w:rStyle w:val="FootnoteReference"/>
        </w:rPr>
        <w:footnoteReference w:id="6982"/>
      </w:r>
      <w:r>
        <w:t xml:space="preserve"> went from Gilgal.</w:t>
      </w:r>
    </w:p>
    <w:p>
      <w:r>
        <w:rPr>
          <w:b/>
        </w:rPr>
        <w:t xml:space="preserve">2 </w:t>
      </w:r>
      <w:r>
        <w:t xml:space="preserve">And Elijah said to Elisha, Stay here now, because the Lord has sent me as far as Bethel. And Elisha said, As the Lord</w:t>
      </w:r>
      <w:r>
        <w:rPr>
          <w:rStyle w:val="FootnoteReference"/>
        </w:rPr>
        <w:footnoteReference w:id="6983"/>
      </w:r>
      <w:r>
        <w:t xml:space="preserve"> lives and as your soul lives, I will not leave you. And they went to Bethel.</w:t>
      </w:r>
    </w:p>
    <w:p>
      <w:r>
        <w:rPr>
          <w:b/>
        </w:rPr>
        <w:t xml:space="preserve">3 </w:t>
      </w:r>
      <w:r>
        <w:t xml:space="preserve">And the sons</w:t>
      </w:r>
      <w:r>
        <w:rPr>
          <w:rStyle w:val="FootnoteReference"/>
        </w:rPr>
        <w:footnoteReference w:id="6984"/>
      </w:r>
      <w:r>
        <w:t xml:space="preserve"> of the prophets in Bethel came to Elisha and said to him, Do you know that today the Lord is taking your lord away from over your head</w:t>
      </w:r>
      <w:r>
        <w:rPr>
          <w:rStyle w:val="FootnoteReference"/>
        </w:rPr>
        <w:footnoteReference w:id="6985"/>
      </w:r>
      <w:r>
        <w:t xml:space="preserve">? And he said, I also know. Be silent.</w:t>
      </w:r>
    </w:p>
    <w:p>
      <w:r>
        <w:rPr>
          <w:b/>
        </w:rPr>
        <w:t xml:space="preserve">4 </w:t>
      </w:r>
      <w:r>
        <w:t xml:space="preserve">And Elijah said to Elisha, Stay here now, because the Lord has sent me to Jericho</w:t>
      </w:r>
      <w:r>
        <w:rPr>
          <w:rStyle w:val="FootnoteReference"/>
        </w:rPr>
        <w:footnoteReference w:id="6986"/>
      </w:r>
      <w:r>
        <w:t xml:space="preserve">. And Elisha said, As the Lord lives and as your soul lives, I will not leave you. And they came to Jericho.</w:t>
      </w:r>
    </w:p>
    <w:p>
      <w:r>
        <w:rPr>
          <w:b/>
        </w:rPr>
        <w:t xml:space="preserve">5 </w:t>
      </w:r>
      <w:r>
        <w:t xml:space="preserve">And the sons of the prophets in Jericho came near to Elisha and said to him, Do you know that today the Lord is taking your lord away from over your head? And he said, I too know. Be silent.</w:t>
      </w:r>
      <w:r>
        <w:rPr>
          <w:rStyle w:val="FootnoteReference"/>
        </w:rPr>
        <w:footnoteReference w:id="6987"/>
      </w:r>
    </w:p>
    <w:p>
      <w:r>
        <w:rPr>
          <w:b/>
        </w:rPr>
        <w:t xml:space="preserve">6 </w:t>
      </w:r>
      <w:r>
        <w:t xml:space="preserve">And Elijah said to him, Stay here now, because the Lord has sent me as far as the Jordan. And Elisha said, As the Lord lives and as your soul lives, I will not leave you. And both went on.</w:t>
      </w:r>
    </w:p>
    <w:p>
      <w:r>
        <w:rPr>
          <w:b/>
        </w:rPr>
        <w:t xml:space="preserve">7 </w:t>
      </w:r>
      <w:r>
        <w:t xml:space="preserve">And fifty men</w:t>
      </w:r>
      <w:r>
        <w:rPr>
          <w:rStyle w:val="FootnoteReference"/>
        </w:rPr>
        <w:footnoteReference w:id="6988"/>
      </w:r>
      <w:r>
        <w:t xml:space="preserve"> from the sons of the prophets stood opposite at a distance, and both stood by the Jordan.</w:t>
      </w:r>
    </w:p>
    <w:p>
      <w:r>
        <w:rPr>
          <w:b/>
        </w:rPr>
        <w:t xml:space="preserve">8 </w:t>
      </w:r>
      <w:r>
        <w:t xml:space="preserve">And Elijah took his sheepskin cloak and rolled it up and struck the water, and the water divided here and there, and both crossed in dry land.</w:t>
      </w:r>
    </w:p>
    <w:p>
      <w:r>
        <w:rPr>
          <w:b/>
        </w:rPr>
        <w:t xml:space="preserve">9 </w:t>
      </w:r>
      <w:r>
        <w:t xml:space="preserve">And it came to be when they crossed over, Elijah said to Elisha, Ask what</w:t>
      </w:r>
      <w:r>
        <w:rPr>
          <w:rStyle w:val="FootnoteReference"/>
        </w:rPr>
        <w:footnoteReference w:id="6989"/>
      </w:r>
      <w:r>
        <w:t xml:space="preserve"> I should do for you before I am taken up from you. And Elisha said, Let a double share of your spirit now be upon me.</w:t>
      </w:r>
      <w:r>
        <w:rPr>
          <w:rStyle w:val="FootnoteReference"/>
        </w:rPr>
        <w:footnoteReference w:id="6990"/>
      </w:r>
    </w:p>
    <w:p>
      <w:r>
        <w:rPr>
          <w:b/>
        </w:rPr>
        <w:t xml:space="preserve">10 </w:t>
      </w:r>
      <w:r>
        <w:t xml:space="preserve">And Elijah said, You made the asking hard</w:t>
      </w:r>
      <w:r>
        <w:rPr>
          <w:rStyle w:val="FootnoteReference"/>
        </w:rPr>
        <w:footnoteReference w:id="6991"/>
      </w:r>
      <w:r>
        <w:t xml:space="preserve">. If you see me being taken up from you, it shall be so for you; but if not, it shall certainly not happen.</w:t>
      </w:r>
    </w:p>
    <w:p>
      <w:r>
        <w:rPr>
          <w:b/>
        </w:rPr>
        <w:t xml:space="preserve">11 </w:t>
      </w:r>
      <w:r>
        <w:t xml:space="preserve">And it came to be as they were going on and talking, behold, a chariot of fire and horses of fire, and they separated between the two of them, and Elijah was taken up in a storm as into heaven</w:t>
      </w:r>
      <w:r>
        <w:rPr>
          <w:rStyle w:val="FootnoteReference"/>
        </w:rPr>
        <w:footnoteReference w:id="6992"/>
      </w:r>
      <w:r>
        <w:t xml:space="preserve">.</w:t>
      </w:r>
    </w:p>
    <w:p>
      <w:r>
        <w:rPr>
          <w:b/>
        </w:rPr>
        <w:t xml:space="preserve">12 </w:t>
      </w:r>
      <w:r>
        <w:t xml:space="preserve">And Elisha was watching and crying out, Father, father, chariot of Israel and its horseman. And he did not see him anymore, and he seized his garments and tore them into two tearings.</w:t>
      </w:r>
    </w:p>
    <w:p>
      <w:r>
        <w:rPr>
          <w:b/>
        </w:rPr>
        <w:t xml:space="preserve">13 </w:t>
      </w:r>
      <w:r>
        <w:t xml:space="preserve">And he lifted up Elijah's sheepskin cloak that fell from above upon Elisha, and Elisha returned and stood on the lip of the Jordan.</w:t>
      </w:r>
    </w:p>
    <w:p>
      <w:r>
        <w:rPr>
          <w:b/>
        </w:rPr>
        <w:t xml:space="preserve">14 </w:t>
      </w:r>
      <w:r>
        <w:t xml:space="preserve">And he took Elijah's sheepskin cloak that fell from above him and struck the water, and it did not divide</w:t>
      </w:r>
      <w:r>
        <w:rPr>
          <w:rStyle w:val="FootnoteReference"/>
        </w:rPr>
        <w:footnoteReference w:id="6993"/>
      </w:r>
      <w:r>
        <w:t xml:space="preserve">, and he said, Where is</w:t>
      </w:r>
      <w:r>
        <w:rPr>
          <w:rStyle w:val="FootnoteReference"/>
        </w:rPr>
        <w:footnoteReference w:id="6994"/>
      </w:r>
      <w:r>
        <w:t xml:space="preserve"> the God of Elijah, indeed? And he struck the waters, and they split here and there, and Elisha crossed over.</w:t>
      </w:r>
    </w:p>
    <w:p>
      <w:r>
        <w:rPr>
          <w:b/>
        </w:rPr>
        <w:t xml:space="preserve">15 </w:t>
      </w:r>
      <w:r>
        <w:t xml:space="preserve">And the sons of the prophets in Jericho saw him from opposite them and said, The spirit</w:t>
      </w:r>
      <w:r>
        <w:rPr>
          <w:rStyle w:val="FootnoteReference"/>
        </w:rPr>
        <w:footnoteReference w:id="6995"/>
      </w:r>
      <w:r>
        <w:t xml:space="preserve"> of Elijah has come to rest upon Elisha. And they came to meet him and bowed to him to the ground.</w:t>
      </w:r>
    </w:p>
    <w:p>
      <w:r>
        <w:rPr>
          <w:b/>
        </w:rPr>
        <w:t xml:space="preserve">16 </w:t>
      </w:r>
      <w:r>
        <w:t xml:space="preserve">And they said to him, Behold now, with your servants are fifty men, sons of strength. Let them go now and seek your lord, lest the Spirit</w:t>
      </w:r>
      <w:r>
        <w:rPr>
          <w:rStyle w:val="FootnoteReference"/>
        </w:rPr>
        <w:footnoteReference w:id="6996"/>
      </w:r>
      <w:r>
        <w:t xml:space="preserve"> of the Lord lifted him and cast him into the Jordan or onto one of the mountains or onto one of the hills. And Elisha said, You shall not send.</w:t>
      </w:r>
    </w:p>
    <w:p>
      <w:r>
        <w:rPr>
          <w:b/>
        </w:rPr>
        <w:t xml:space="preserve">17 </w:t>
      </w:r>
      <w:r>
        <w:t xml:space="preserve">And they pressed him until he was ashamed, and he said, Send them. And they sent fifty men, and they sought three days and did not find him.</w:t>
      </w:r>
    </w:p>
    <w:p>
      <w:r>
        <w:rPr>
          <w:b/>
        </w:rPr>
        <w:t xml:space="preserve">18 </w:t>
      </w:r>
      <w:r>
        <w:t xml:space="preserve">And they returned to him, and he was sitting in Jericho, and Elisha said, Did I not tell you, Do not go?</w:t>
      </w:r>
    </w:p>
    <w:p>
      <w:r>
        <w:rPr>
          <w:b/>
        </w:rPr>
        <w:t xml:space="preserve">19 </w:t>
      </w:r>
      <w:r>
        <w:t xml:space="preserve">And the men of the city said to Elisha, Behold, the dwelling of the city is good, as my lord sees, but the waters are bad and the land barren</w:t>
      </w:r>
      <w:r>
        <w:rPr>
          <w:rStyle w:val="FootnoteReference"/>
        </w:rPr>
        <w:footnoteReference w:id="6997"/>
      </w:r>
      <w:r>
        <w:t xml:space="preserve">.</w:t>
      </w:r>
    </w:p>
    <w:p>
      <w:r>
        <w:rPr>
          <w:b/>
        </w:rPr>
        <w:t xml:space="preserve">20 </w:t>
      </w:r>
      <w:r>
        <w:t xml:space="preserve">And Elisha said, Take for me a new little jar and put salt there. And they brought it to him.</w:t>
      </w:r>
    </w:p>
    <w:p>
      <w:r>
        <w:rPr>
          <w:b/>
        </w:rPr>
        <w:t xml:space="preserve">21 </w:t>
      </w:r>
      <w:r>
        <w:t xml:space="preserve">And Elisha went out to the outflow of the waters and threw salt there and said, Thus says the Lord: I have healed</w:t>
      </w:r>
      <w:r>
        <w:rPr>
          <w:rStyle w:val="FootnoteReference"/>
        </w:rPr>
        <w:footnoteReference w:id="6998"/>
      </w:r>
      <w:r>
        <w:t xml:space="preserve"> these waters. There shall no longer be from there death and barrenness.</w:t>
      </w:r>
    </w:p>
    <w:p>
      <w:r>
        <w:rPr>
          <w:b/>
        </w:rPr>
        <w:t xml:space="preserve">22 </w:t>
      </w:r>
      <w:r>
        <w:t xml:space="preserve">And the waters were healed until this day, according to the word Elisha spoke.</w:t>
      </w:r>
    </w:p>
    <w:p>
      <w:r>
        <w:rPr>
          <w:b/>
        </w:rPr>
        <w:t xml:space="preserve">23 </w:t>
      </w:r>
      <w:r>
        <w:t xml:space="preserve">And he went up from there to Bethel</w:t>
      </w:r>
      <w:r>
        <w:rPr>
          <w:rStyle w:val="FootnoteReference"/>
        </w:rPr>
        <w:footnoteReference w:id="6999"/>
      </w:r>
      <w:r>
        <w:t xml:space="preserve">, and as he was going up on the road, little boys came out from the city and mocked him and said to him, Go up, baldhead, go up.</w:t>
      </w:r>
    </w:p>
    <w:p>
      <w:r>
        <w:rPr>
          <w:b/>
        </w:rPr>
        <w:t xml:space="preserve">24 </w:t>
      </w:r>
      <w:r>
        <w:t xml:space="preserve">And he turned after them and saw them and cursed them</w:t>
      </w:r>
      <w:r>
        <w:rPr>
          <w:rStyle w:val="FootnoteReference"/>
        </w:rPr>
        <w:footnoteReference w:id="7000"/>
      </w:r>
      <w:r>
        <w:t xml:space="preserve"> in the name of the Lord, and behold, two bears came out of the woodland and tore apart forty-two boys from among them.</w:t>
      </w:r>
    </w:p>
    <w:p>
      <w:r>
        <w:rPr>
          <w:b/>
        </w:rPr>
        <w:t xml:space="preserve">25 </w:t>
      </w:r>
      <w:r>
        <w:t xml:space="preserve">And he went from there to Mount Carmel</w:t>
      </w:r>
      <w:r>
        <w:rPr>
          <w:rStyle w:val="FootnoteReference"/>
        </w:rPr>
        <w:footnoteReference w:id="7001"/>
      </w:r>
      <w:r>
        <w:t xml:space="preserve">, and from there he returned to Samaria</w:t>
      </w:r>
      <w:r>
        <w:rPr>
          <w:rStyle w:val="FootnoteReference"/>
        </w:rPr>
        <w:footnoteReference w:id="7002"/>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Joram son of Ahab reigned in Israel in the eighteenth year of Jehoshaphat king of Judah, and he reigned twelve years.</w:t>
      </w:r>
    </w:p>
    <w:p>
      <w:r>
        <w:rPr>
          <w:b/>
        </w:rPr>
        <w:t xml:space="preserve">2 </w:t>
      </w:r>
      <w:r>
        <w:t xml:space="preserve">And he did evil in the eyes of the Lord, yet not like his father and not like his mother, and he removed the pillars of Baal</w:t>
      </w:r>
      <w:r>
        <w:rPr>
          <w:rStyle w:val="FootnoteReference"/>
        </w:rPr>
        <w:footnoteReference w:id="7003"/>
      </w:r>
      <w:r>
        <w:t xml:space="preserve"> that his father made.</w:t>
      </w:r>
    </w:p>
    <w:p>
      <w:r>
        <w:rPr>
          <w:b/>
        </w:rPr>
        <w:t xml:space="preserve">3 </w:t>
      </w:r>
      <w:r>
        <w:t xml:space="preserve">Yet he clung to the sin of Jeroboam son of Nebat, who made Israel sin. He did not depart from it.</w:t>
      </w:r>
    </w:p>
    <w:p>
      <w:r>
        <w:rPr>
          <w:b/>
        </w:rPr>
        <w:t xml:space="preserve">4 </w:t>
      </w:r>
      <w:r>
        <w:t xml:space="preserve">And Mesha</w:t>
      </w:r>
      <w:r>
        <w:rPr>
          <w:rStyle w:val="FootnoteReference"/>
        </w:rPr>
        <w:footnoteReference w:id="7004"/>
      </w:r>
      <w:r>
        <w:t xml:space="preserve"> king of Moab was a sheep-breeder, and in the revolt he paid back to the king of Israel one hundred thousand lambs</w:t>
      </w:r>
      <w:r>
        <w:rPr>
          <w:rStyle w:val="FootnoteReference"/>
        </w:rPr>
        <w:footnoteReference w:id="7005"/>
      </w:r>
      <w:r>
        <w:t xml:space="preserve"> and one hundred thousand rams in wool.</w:t>
      </w:r>
    </w:p>
    <w:p>
      <w:r>
        <w:rPr>
          <w:b/>
        </w:rPr>
        <w:t xml:space="preserve">5 </w:t>
      </w:r>
      <w:r>
        <w:t xml:space="preserve">And it came to be after Ahab died, the king of Moab rebelled against the kingdom of Israel.</w:t>
      </w:r>
    </w:p>
    <w:p>
      <w:r>
        <w:rPr>
          <w:b/>
        </w:rPr>
        <w:t xml:space="preserve">6 </w:t>
      </w:r>
      <w:r>
        <w:t xml:space="preserve">And King Joram went out on that day from Samaria and reviewed Israel.</w:t>
      </w:r>
    </w:p>
    <w:p>
      <w:r>
        <w:rPr>
          <w:b/>
        </w:rPr>
        <w:t xml:space="preserve">7 </w:t>
      </w:r>
      <w:r>
        <w:t xml:space="preserve">And he went and sent to Jehoshaphat king of Judah, saying, The king of Moab has rebelled against me. Will you go with me to Moab for war? And he said, I will go up. As I am, so you; as my people, so your people; as my horses, so your horses.</w:t>
      </w:r>
    </w:p>
    <w:p>
      <w:r>
        <w:rPr>
          <w:b/>
        </w:rPr>
        <w:t xml:space="preserve">8 </w:t>
      </w:r>
      <w:r>
        <w:t xml:space="preserve">And he said, By what road shall I go up? And he said, By the wilderness road of Edom.</w:t>
      </w:r>
    </w:p>
    <w:p>
      <w:r>
        <w:rPr>
          <w:b/>
        </w:rPr>
        <w:t xml:space="preserve">9 </w:t>
      </w:r>
      <w:r>
        <w:t xml:space="preserve">And the king of Israel and the king of Judah and the king of Edom</w:t>
      </w:r>
      <w:r>
        <w:rPr>
          <w:rStyle w:val="FootnoteReference"/>
        </w:rPr>
        <w:footnoteReference w:id="7006"/>
      </w:r>
      <w:r>
        <w:t xml:space="preserve"> went, and they went around by a seven-days road, and there was no water for the camp and for the cattle at their feet.</w:t>
      </w:r>
    </w:p>
    <w:p>
      <w:r>
        <w:rPr>
          <w:b/>
        </w:rPr>
        <w:t xml:space="preserve">10 </w:t>
      </w:r>
      <w:r>
        <w:t xml:space="preserve">And the king of Israel said, Alas, because the Lord</w:t>
      </w:r>
      <w:r>
        <w:rPr>
          <w:rStyle w:val="FootnoteReference"/>
        </w:rPr>
        <w:footnoteReference w:id="7007"/>
      </w:r>
      <w:r>
        <w:t xml:space="preserve"> has called these three passing kings to give them into the hand of Moab.</w:t>
      </w:r>
    </w:p>
    <w:p>
      <w:r>
        <w:rPr>
          <w:b/>
        </w:rPr>
        <w:t xml:space="preserve">11 </w:t>
      </w:r>
      <w:r>
        <w:t xml:space="preserve">And Jehoshaphat said, Is there not here</w:t>
      </w:r>
      <w:r>
        <w:rPr>
          <w:rStyle w:val="FootnoteReference"/>
        </w:rPr>
        <w:footnoteReference w:id="7008"/>
      </w:r>
      <w:r>
        <w:t xml:space="preserve"> a prophet of the Lord, and shall we seek the Lord from him? And one of the servants of the king of Israel answered and said, Elisha son of Shaphat is here, who poured water on the hands of Elijah.</w:t>
      </w:r>
      <w:r>
        <w:rPr>
          <w:rStyle w:val="FootnoteReference"/>
        </w:rPr>
        <w:footnoteReference w:id="7009"/>
      </w:r>
    </w:p>
    <w:p>
      <w:r>
        <w:rPr>
          <w:b/>
        </w:rPr>
        <w:t xml:space="preserve">12 </w:t>
      </w:r>
      <w:r>
        <w:t xml:space="preserve">And Jehoshaphat said, The word</w:t>
      </w:r>
      <w:r>
        <w:rPr>
          <w:rStyle w:val="FootnoteReference"/>
        </w:rPr>
        <w:footnoteReference w:id="7010"/>
      </w:r>
      <w:r>
        <w:t xml:space="preserve"> of the Lord is with him. And the king of Israel and Jehoshaphat king of Judah and the king of Edom went down to him.</w:t>
      </w:r>
    </w:p>
    <w:p>
      <w:r>
        <w:rPr>
          <w:b/>
        </w:rPr>
        <w:t xml:space="preserve">13 </w:t>
      </w:r>
      <w:r>
        <w:t xml:space="preserve">And Elisha said to the king of Israel, What is to me and to you</w:t>
      </w:r>
      <w:r>
        <w:rPr>
          <w:rStyle w:val="FootnoteReference"/>
        </w:rPr>
        <w:footnoteReference w:id="7011"/>
      </w:r>
      <w:r>
        <w:t xml:space="preserve">? Go to the prophets</w:t>
      </w:r>
      <w:r>
        <w:rPr>
          <w:rStyle w:val="FootnoteReference"/>
        </w:rPr>
        <w:footnoteReference w:id="7012"/>
      </w:r>
      <w:r>
        <w:t xml:space="preserve"> of your father. And the king of Israel said to him, No, because the Lord has called these three kings to hand them over into the hands of Moab.</w:t>
      </w:r>
    </w:p>
    <w:p>
      <w:r>
        <w:rPr>
          <w:b/>
        </w:rPr>
        <w:t xml:space="preserve">14 </w:t>
      </w:r>
      <w:r>
        <w:t xml:space="preserve">And Elisha said, As the Lord</w:t>
      </w:r>
      <w:r>
        <w:rPr>
          <w:rStyle w:val="FootnoteReference"/>
        </w:rPr>
        <w:footnoteReference w:id="7013"/>
      </w:r>
      <w:r>
        <w:t xml:space="preserve"> of hosts lives, before whom I stand, unless I regarded the face of Jehoshaphat king of Judah, I would not look toward you or see you.</w:t>
      </w:r>
    </w:p>
    <w:p>
      <w:r>
        <w:rPr>
          <w:b/>
        </w:rPr>
        <w:t xml:space="preserve">15 </w:t>
      </w:r>
      <w:r>
        <w:t xml:space="preserve">And now bring me</w:t>
      </w:r>
      <w:r>
        <w:rPr>
          <w:rStyle w:val="FootnoteReference"/>
        </w:rPr>
        <w:footnoteReference w:id="7014"/>
      </w:r>
      <w:r>
        <w:t xml:space="preserve"> a musician. And it came to be, as the musician played, the hand of the Lord came upon him.</w:t>
      </w:r>
    </w:p>
    <w:p>
      <w:r>
        <w:rPr>
          <w:b/>
        </w:rPr>
        <w:t xml:space="preserve">16 </w:t>
      </w:r>
      <w:r>
        <w:t xml:space="preserve">And he said, Thus says the Lord: Make this wadi pits, pits.</w:t>
      </w:r>
    </w:p>
    <w:p>
      <w:r>
        <w:rPr>
          <w:b/>
        </w:rPr>
        <w:t xml:space="preserve">17 </w:t>
      </w:r>
      <w:r>
        <w:t xml:space="preserve">For thus says the Lord: You will not see wind and you will not see rain, and this wadi will be filled with water, and you will drink, you and your possessions and your cattle</w:t>
      </w:r>
      <w:r>
        <w:rPr>
          <w:rStyle w:val="FootnoteReference"/>
        </w:rPr>
        <w:footnoteReference w:id="7015"/>
      </w:r>
      <w:r>
        <w:t xml:space="preserve">.</w:t>
      </w:r>
    </w:p>
    <w:p>
      <w:r>
        <w:rPr>
          <w:b/>
        </w:rPr>
        <w:t xml:space="preserve">18 </w:t>
      </w:r>
      <w:r>
        <w:t xml:space="preserve">And this</w:t>
      </w:r>
      <w:r>
        <w:rPr>
          <w:rStyle w:val="FootnoteReference"/>
        </w:rPr>
        <w:footnoteReference w:id="7016"/>
      </w:r>
      <w:r>
        <w:t xml:space="preserve"> is light in the eyes of the Lord, and I will hand Moab over into your hand.</w:t>
      </w:r>
    </w:p>
    <w:p>
      <w:r>
        <w:rPr>
          <w:b/>
        </w:rPr>
        <w:t xml:space="preserve">19 </w:t>
      </w:r>
      <w:r>
        <w:t xml:space="preserve">And you will strike every fortified city, and you will bring down every good tree, and you will stop up all springs of water, and every good tract you will spoil with stones.</w:t>
      </w:r>
    </w:p>
    <w:p>
      <w:r>
        <w:rPr>
          <w:b/>
        </w:rPr>
        <w:t xml:space="preserve">20 </w:t>
      </w:r>
      <w:r>
        <w:t xml:space="preserve">And it came to be in the morning, as the sacrifice was going up, behold, waters were coming by the road of Edom, and the land was filled</w:t>
      </w:r>
      <w:r>
        <w:rPr>
          <w:rStyle w:val="FootnoteReference"/>
        </w:rPr>
        <w:footnoteReference w:id="7017"/>
      </w:r>
      <w:r>
        <w:t xml:space="preserve"> with water.</w:t>
      </w:r>
    </w:p>
    <w:p>
      <w:r>
        <w:rPr>
          <w:b/>
        </w:rPr>
        <w:t xml:space="preserve">21 </w:t>
      </w:r>
      <w:r>
        <w:t xml:space="preserve">And all Moab heard that the kings had gone up to fight them, and they cried out from everyone girding on a belt and upward, and they stood at the border.</w:t>
      </w:r>
    </w:p>
    <w:p>
      <w:r>
        <w:rPr>
          <w:b/>
        </w:rPr>
        <w:t xml:space="preserve">22 </w:t>
      </w:r>
      <w:r>
        <w:t xml:space="preserve">And they rose early in the morning, and the sun rose upon the waters, and Moab saw opposite them the waters red like blood.</w:t>
      </w:r>
    </w:p>
    <w:p>
      <w:r>
        <w:rPr>
          <w:b/>
        </w:rPr>
        <w:t xml:space="preserve">23 </w:t>
      </w:r>
      <w:r>
        <w:t xml:space="preserve">And they said, This is blood</w:t>
      </w:r>
      <w:r>
        <w:rPr>
          <w:rStyle w:val="FootnoteReference"/>
        </w:rPr>
        <w:footnoteReference w:id="7018"/>
      </w:r>
      <w:r>
        <w:t xml:space="preserve"> of the sword. The kings fought and struck each man his neighbor. And now, Moab, to the spoils!</w:t>
      </w:r>
    </w:p>
    <w:p>
      <w:r>
        <w:rPr>
          <w:b/>
        </w:rPr>
        <w:t xml:space="preserve">24 </w:t>
      </w:r>
      <w:r>
        <w:t xml:space="preserve">And they entered into the camp of Israel, and Israel rose and struck Moab, and they fled from before them, and they entered, going in and striking Moab.</w:t>
      </w:r>
    </w:p>
    <w:p>
      <w:r>
        <w:rPr>
          <w:b/>
        </w:rPr>
        <w:t xml:space="preserve">25 </w:t>
      </w:r>
      <w:r>
        <w:t xml:space="preserve">And they tore down the cities, and on every good tract each man threw his stone and filled it, and they stopped</w:t>
      </w:r>
      <w:r>
        <w:rPr>
          <w:rStyle w:val="FootnoteReference"/>
        </w:rPr>
        <w:footnoteReference w:id="7019"/>
      </w:r>
      <w:r>
        <w:t xml:space="preserve"> up every spring of water and brought down every good tree until they left only the wall-stones of Kirharaseth</w:t>
      </w:r>
      <w:r>
        <w:rPr>
          <w:rStyle w:val="FootnoteReference"/>
        </w:rPr>
        <w:footnoteReference w:id="7020"/>
      </w:r>
      <w:r>
        <w:t xml:space="preserve"> torn down. And the slingers encircled it and struck it.</w:t>
      </w:r>
    </w:p>
    <w:p>
      <w:r>
        <w:rPr>
          <w:b/>
        </w:rPr>
        <w:t xml:space="preserve">26 </w:t>
      </w:r>
      <w:r>
        <w:t xml:space="preserve">And the king of Moab saw that the battle had grown too strong against him, and he took with himself seven hundred men drawing sword to break through to the king of Edom, and they were not able.</w:t>
      </w:r>
    </w:p>
    <w:p>
      <w:r>
        <w:rPr>
          <w:b/>
        </w:rPr>
        <w:t xml:space="preserve">27 </w:t>
      </w:r>
      <w:r>
        <w:t xml:space="preserve">And he took his firstborn son, who would reign in his place, and offered him</w:t>
      </w:r>
      <w:r>
        <w:rPr>
          <w:rStyle w:val="FootnoteReference"/>
        </w:rPr>
        <w:footnoteReference w:id="7021"/>
      </w:r>
      <w:r>
        <w:t xml:space="preserve"> as a whole burnt offering upon the wall, and great regret</w:t>
      </w:r>
      <w:r>
        <w:rPr>
          <w:rStyle w:val="FootnoteReference"/>
        </w:rPr>
        <w:footnoteReference w:id="7022"/>
      </w:r>
      <w:r>
        <w:t xml:space="preserve"> came upon Israel, and they withdrew from him and returned to the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one woman from the sons</w:t>
      </w:r>
      <w:r>
        <w:rPr>
          <w:rStyle w:val="FootnoteReference"/>
        </w:rPr>
        <w:footnoteReference w:id="7023"/>
      </w:r>
      <w:r>
        <w:t xml:space="preserve"> of the prophets cried to Elisha, saying, Your servant, my husband, has died, and you knew that your servant was fearing the Lord, and the creditor has come to take my two sons for himself as slaves.</w:t>
      </w:r>
    </w:p>
    <w:p>
      <w:r>
        <w:rPr>
          <w:b/>
        </w:rPr>
        <w:t xml:space="preserve">2 </w:t>
      </w:r>
      <w:r>
        <w:t xml:space="preserve">And Elisha said, What shall I</w:t>
      </w:r>
      <w:r>
        <w:rPr>
          <w:rStyle w:val="FootnoteReference"/>
        </w:rPr>
        <w:footnoteReference w:id="7024"/>
      </w:r>
      <w:r>
        <w:t xml:space="preserve"> do for you? Tell me what you have in the house. And she said, There is nothing for your servant in the house except oil for anointing.</w:t>
      </w:r>
    </w:p>
    <w:p>
      <w:r>
        <w:rPr>
          <w:b/>
        </w:rPr>
        <w:t xml:space="preserve">3 </w:t>
      </w:r>
      <w:r>
        <w:t xml:space="preserve">And he said to her, Go, ask for yourself vessels from outside, from all your neighbors, empty vessels</w:t>
      </w:r>
      <w:r>
        <w:rPr>
          <w:rStyle w:val="FootnoteReference"/>
        </w:rPr>
        <w:footnoteReference w:id="7025"/>
      </w:r>
      <w:r>
        <w:t xml:space="preserve">. Do not make them few.</w:t>
      </w:r>
    </w:p>
    <w:p>
      <w:r>
        <w:rPr>
          <w:b/>
        </w:rPr>
        <w:t xml:space="preserve">4 </w:t>
      </w:r>
      <w:r>
        <w:t xml:space="preserve">And you will go in and shut the door on yourself and on your sons, and you will pour into these vessels, and the filled one you will lift away.</w:t>
      </w:r>
    </w:p>
    <w:p>
      <w:r>
        <w:rPr>
          <w:b/>
        </w:rPr>
        <w:t xml:space="preserve">5 </w:t>
      </w:r>
      <w:r>
        <w:t xml:space="preserve">And she went</w:t>
      </w:r>
      <w:r>
        <w:rPr>
          <w:rStyle w:val="FootnoteReference"/>
        </w:rPr>
        <w:footnoteReference w:id="7026"/>
      </w:r>
      <w:r>
        <w:t xml:space="preserve"> from him and did so, and she shut the door on herself and on her sons. They kept bringing the vessels near to her, and she kept pouring.</w:t>
      </w:r>
    </w:p>
    <w:p>
      <w:r>
        <w:rPr>
          <w:b/>
        </w:rPr>
        <w:t xml:space="preserve">6 </w:t>
      </w:r>
      <w:r>
        <w:t xml:space="preserve">Until the vessels were filled, and she said to her sons, Bring another vessel near to me. And they said to her, There is no more vessel. And the oil</w:t>
      </w:r>
      <w:r>
        <w:rPr>
          <w:rStyle w:val="FootnoteReference"/>
        </w:rPr>
        <w:footnoteReference w:id="7027"/>
      </w:r>
      <w:r>
        <w:t xml:space="preserve"> stood still.</w:t>
      </w:r>
    </w:p>
    <w:p>
      <w:r>
        <w:rPr>
          <w:b/>
        </w:rPr>
        <w:t xml:space="preserve">7 </w:t>
      </w:r>
      <w:r>
        <w:t xml:space="preserve">And she came and reported to the man of God, and Elisha said, Go and sell the oil and pay your interest, and you and your sons will live on the remaining oil.</w:t>
      </w:r>
    </w:p>
    <w:p>
      <w:r>
        <w:rPr>
          <w:b/>
        </w:rPr>
        <w:t xml:space="preserve">8 </w:t>
      </w:r>
      <w:r>
        <w:t xml:space="preserve">And it came to be one day Elisha passed through to Shunem</w:t>
      </w:r>
      <w:r>
        <w:rPr>
          <w:rStyle w:val="FootnoteReference"/>
        </w:rPr>
        <w:footnoteReference w:id="7028"/>
      </w:r>
      <w:r>
        <w:t xml:space="preserve">, and there was a great woman there, and she constrained him to eat bread. And it came to be, as often as he went in, he turned aside there to eat.</w:t>
      </w:r>
    </w:p>
    <w:p>
      <w:r>
        <w:rPr>
          <w:b/>
        </w:rPr>
        <w:t xml:space="preserve">9 </w:t>
      </w:r>
      <w:r>
        <w:t xml:space="preserve">And the woman said to her husband, Behold now, I know that this one who continually passes over us is a holy man of God</w:t>
      </w:r>
      <w:r>
        <w:rPr>
          <w:rStyle w:val="FootnoteReference"/>
        </w:rPr>
        <w:footnoteReference w:id="7029"/>
      </w:r>
      <w:r>
        <w:t xml:space="preserve">.</w:t>
      </w:r>
    </w:p>
    <w:p>
      <w:r>
        <w:rPr>
          <w:b/>
        </w:rPr>
        <w:t xml:space="preserve">10 </w:t>
      </w:r>
      <w:r>
        <w:t xml:space="preserve">Let us</w:t>
      </w:r>
      <w:r>
        <w:rPr>
          <w:rStyle w:val="FootnoteReference"/>
        </w:rPr>
        <w:footnoteReference w:id="7030"/>
      </w:r>
      <w:r>
        <w:t xml:space="preserve"> make for him a little upper-room place, and let us put there for him a bed and a table and a chair and a lampstand, and it shall be, when he comes in to us, he will turn in there.</w:t>
      </w:r>
    </w:p>
    <w:p>
      <w:r>
        <w:rPr>
          <w:b/>
        </w:rPr>
        <w:t xml:space="preserve">11 </w:t>
      </w:r>
      <w:r>
        <w:t xml:space="preserve">And it came to be one day, he went in there and turned in to the upper room and slept there.</w:t>
      </w:r>
    </w:p>
    <w:p>
      <w:r>
        <w:rPr>
          <w:b/>
        </w:rPr>
        <w:t xml:space="preserve">12 </w:t>
      </w:r>
      <w:r>
        <w:t xml:space="preserve">And he said to Gehazi</w:t>
      </w:r>
      <w:r>
        <w:rPr>
          <w:rStyle w:val="FootnoteReference"/>
        </w:rPr>
        <w:footnoteReference w:id="7031"/>
      </w:r>
      <w:r>
        <w:t xml:space="preserve"> his servant-boy, Call this Shunammite for me. And he called her, and she stood before him.</w:t>
      </w:r>
      <w:r>
        <w:rPr>
          <w:rStyle w:val="FootnoteReference"/>
        </w:rPr>
        <w:footnoteReference w:id="7032"/>
      </w:r>
    </w:p>
    <w:p>
      <w:r>
        <w:rPr>
          <w:b/>
        </w:rPr>
        <w:t xml:space="preserve">13 </w:t>
      </w:r>
      <w:r>
        <w:t xml:space="preserve">And he said to him, Say now to her, Behold, you have stirred up for us all this concern. What needs to be done for you? Is there a word for you to the king</w:t>
      </w:r>
      <w:r>
        <w:rPr>
          <w:rStyle w:val="FootnoteReference"/>
        </w:rPr>
        <w:footnoteReference w:id="7033"/>
      </w:r>
      <w:r>
        <w:t xml:space="preserve"> or to the commander of the force? And she said, I dwell in the midst of my people.</w:t>
      </w:r>
      <w:r>
        <w:rPr>
          <w:rStyle w:val="FootnoteReference"/>
        </w:rPr>
        <w:footnoteReference w:id="7034"/>
      </w:r>
    </w:p>
    <w:p>
      <w:r>
        <w:rPr>
          <w:b/>
        </w:rPr>
        <w:t xml:space="preserve">14 </w:t>
      </w:r>
      <w:r>
        <w:t xml:space="preserve">And he said, What needs to be done for her? And Gehazi his servant-boy said, Truly she has no son, and her husband is old.</w:t>
      </w:r>
    </w:p>
    <w:p>
      <w:r>
        <w:rPr>
          <w:b/>
        </w:rPr>
        <w:t xml:space="preserve">15 </w:t>
      </w:r>
      <w:r>
        <w:t xml:space="preserve">And he called her, and she stood by the door.</w:t>
      </w:r>
    </w:p>
    <w:p>
      <w:r>
        <w:rPr>
          <w:b/>
        </w:rPr>
        <w:t xml:space="preserve">16 </w:t>
      </w:r>
      <w:r>
        <w:t xml:space="preserve">And Elisha said to her, At this time, as the living season returns, you will be embracing a son. And she said, No, my lord</w:t>
      </w:r>
      <w:r>
        <w:rPr>
          <w:rStyle w:val="FootnoteReference"/>
        </w:rPr>
        <w:footnoteReference w:id="7035"/>
      </w:r>
      <w:r>
        <w:t xml:space="preserve">, do not lie to your servant.</w:t>
      </w:r>
    </w:p>
    <w:p>
      <w:r>
        <w:rPr>
          <w:b/>
        </w:rPr>
        <w:t xml:space="preserve">17 </w:t>
      </w:r>
      <w:r>
        <w:t xml:space="preserve">And the woman conceived and bore a son at this time, as the living season returned, just as Elisha spoke to her.</w:t>
      </w:r>
    </w:p>
    <w:p>
      <w:r>
        <w:rPr>
          <w:b/>
        </w:rPr>
        <w:t xml:space="preserve">18 </w:t>
      </w:r>
      <w:r>
        <w:t xml:space="preserve">And the boy grew strong, and it came to be when the boy went out to his father, to the reapers</w:t>
      </w:r>
      <w:r>
        <w:rPr>
          <w:rStyle w:val="FootnoteReference"/>
        </w:rPr>
        <w:footnoteReference w:id="7036"/>
      </w:r>
      <w:r>
        <w:t xml:space="preserve">.</w:t>
      </w:r>
    </w:p>
    <w:p>
      <w:r>
        <w:rPr>
          <w:b/>
        </w:rPr>
        <w:t xml:space="preserve">19 </w:t>
      </w:r>
      <w:r>
        <w:t xml:space="preserve">And he said to his father, My head</w:t>
      </w:r>
      <w:r>
        <w:rPr>
          <w:rStyle w:val="FootnoteReference"/>
        </w:rPr>
        <w:footnoteReference w:id="7037"/>
      </w:r>
      <w:r>
        <w:t xml:space="preserve">, my head. And he said to the servant-boy, Carry him to his mother.</w:t>
      </w:r>
    </w:p>
    <w:p>
      <w:r>
        <w:rPr>
          <w:b/>
        </w:rPr>
        <w:t xml:space="preserve">20 </w:t>
      </w:r>
      <w:r>
        <w:t xml:space="preserve">And he carried him to his mother</w:t>
      </w:r>
      <w:r>
        <w:rPr>
          <w:rStyle w:val="FootnoteReference"/>
        </w:rPr>
        <w:footnoteReference w:id="7038"/>
      </w:r>
      <w:r>
        <w:t xml:space="preserve">, and he lay on her knees until midday and died.</w:t>
      </w:r>
    </w:p>
    <w:p>
      <w:r>
        <w:rPr>
          <w:b/>
        </w:rPr>
        <w:t xml:space="preserve">21 </w:t>
      </w:r>
      <w:r>
        <w:t xml:space="preserve">And she brought him up and laid him on the bed</w:t>
      </w:r>
      <w:r>
        <w:rPr>
          <w:rStyle w:val="FootnoteReference"/>
        </w:rPr>
        <w:footnoteReference w:id="7039"/>
      </w:r>
      <w:r>
        <w:t xml:space="preserve"> of the man of God and shut the door upon him and went out.</w:t>
      </w:r>
    </w:p>
    <w:p>
      <w:r>
        <w:rPr>
          <w:b/>
        </w:rPr>
        <w:t xml:space="preserve">22 </w:t>
      </w:r>
      <w:r>
        <w:t xml:space="preserve">And she called her husband and said, Send me now one of the servant-boys and one of the donkeys, and I will run as far as the man of God and return.</w:t>
      </w:r>
    </w:p>
    <w:p>
      <w:r>
        <w:rPr>
          <w:b/>
        </w:rPr>
        <w:t xml:space="preserve">23 </w:t>
      </w:r>
      <w:r>
        <w:t xml:space="preserve">And he said, Why are you going to him today? It is neither new moon</w:t>
      </w:r>
      <w:r>
        <w:rPr>
          <w:rStyle w:val="FootnoteReference"/>
        </w:rPr>
        <w:footnoteReference w:id="7040"/>
      </w:r>
      <w:r>
        <w:t xml:space="preserve"> nor Sabbath. And she said, Peace.</w:t>
      </w:r>
    </w:p>
    <w:p>
      <w:r>
        <w:rPr>
          <w:b/>
        </w:rPr>
        <w:t xml:space="preserve">24 </w:t>
      </w:r>
      <w:r>
        <w:t xml:space="preserve">And she saddled the donkey and said to her servant-boy, Lead on. Do not slow my riding unless I tell you.</w:t>
      </w:r>
    </w:p>
    <w:p>
      <w:r>
        <w:rPr>
          <w:b/>
        </w:rPr>
        <w:t xml:space="preserve">25 </w:t>
      </w:r>
      <w:r>
        <w:t xml:space="preserve">So she went and came to the man of God at Mount Carmel. And it came to be when Elisha saw her coming, he said to Gehazi his servant-boy, Behold now, that Shunammite.</w:t>
      </w:r>
    </w:p>
    <w:p>
      <w:r>
        <w:rPr>
          <w:b/>
        </w:rPr>
        <w:t xml:space="preserve">26 </w:t>
      </w:r>
      <w:r>
        <w:t xml:space="preserve">Now run to meet her and say, Is there peace for you? Is there peace for your husband? Is there peace for the boy? And she said, Peace.</w:t>
      </w:r>
    </w:p>
    <w:p>
      <w:r>
        <w:rPr>
          <w:b/>
        </w:rPr>
        <w:t xml:space="preserve">27 </w:t>
      </w:r>
      <w:r>
        <w:t xml:space="preserve">And she came to Elisha at the mountain and seized his feet, and Gehazi came near to push her away, and Elisha said, Leave her, because her soul is bitter within her, and the Lord hid it from me</w:t>
      </w:r>
      <w:r>
        <w:rPr>
          <w:rStyle w:val="FootnoteReference"/>
        </w:rPr>
        <w:footnoteReference w:id="7041"/>
      </w:r>
      <w:r>
        <w:t xml:space="preserve"> and did not tell me.</w:t>
      </w:r>
    </w:p>
    <w:p>
      <w:r>
        <w:rPr>
          <w:b/>
        </w:rPr>
        <w:t xml:space="preserve">28 </w:t>
      </w:r>
      <w:r>
        <w:t xml:space="preserve">And she said, Did I ask for a son from my lord? Did I not say, Do not</w:t>
      </w:r>
      <w:r>
        <w:rPr>
          <w:rStyle w:val="FootnoteReference"/>
        </w:rPr>
        <w:footnoteReference w:id="7042"/>
      </w:r>
      <w:r>
        <w:t xml:space="preserve"> mislead me?</w:t>
      </w:r>
    </w:p>
    <w:p>
      <w:r>
        <w:rPr>
          <w:b/>
        </w:rPr>
        <w:t xml:space="preserve">29 </w:t>
      </w:r>
      <w:r>
        <w:t xml:space="preserve">And Elisha said to Gehazi, Gird your waist and take my</w:t>
      </w:r>
      <w:r>
        <w:rPr>
          <w:rStyle w:val="FootnoteReference"/>
        </w:rPr>
        <w:footnoteReference w:id="7043"/>
      </w:r>
      <w:r>
        <w:t xml:space="preserve"> staff in your hand and go, because if you meet a man you shall not bless him</w:t>
      </w:r>
      <w:r>
        <w:rPr>
          <w:rStyle w:val="FootnoteReference"/>
        </w:rPr>
        <w:footnoteReference w:id="7044"/>
      </w:r>
      <w:r>
        <w:t xml:space="preserve">, and if a man blesses you, you shall not answer him, and you shall put my staff on the face of the boy.</w:t>
      </w:r>
    </w:p>
    <w:p>
      <w:r>
        <w:rPr>
          <w:b/>
        </w:rPr>
        <w:t xml:space="preserve">30 </w:t>
      </w:r>
      <w:r>
        <w:t xml:space="preserve">And the mother of the boy said, As the Lord</w:t>
      </w:r>
      <w:r>
        <w:rPr>
          <w:rStyle w:val="FootnoteReference"/>
        </w:rPr>
        <w:footnoteReference w:id="7045"/>
      </w:r>
      <w:r>
        <w:t xml:space="preserve"> lives and as your soul lives, I will not leave you. And Elisha rose and went after her.</w:t>
      </w:r>
    </w:p>
    <w:p>
      <w:r>
        <w:rPr>
          <w:b/>
        </w:rPr>
        <w:t xml:space="preserve">31 </w:t>
      </w:r>
      <w:r>
        <w:t xml:space="preserve">And Gehazi passed before her and placed the staff on the face of the boy, but there was no voice and there was no hearing</w:t>
      </w:r>
      <w:r>
        <w:rPr>
          <w:rStyle w:val="FootnoteReference"/>
        </w:rPr>
        <w:footnoteReference w:id="7046"/>
      </w:r>
      <w:r>
        <w:t xml:space="preserve">, and he returned to meet him and reported to him, saying, The boy did not wake up.</w:t>
      </w:r>
    </w:p>
    <w:p>
      <w:r>
        <w:rPr>
          <w:b/>
        </w:rPr>
        <w:t xml:space="preserve">32 </w:t>
      </w:r>
      <w:r>
        <w:t xml:space="preserve">And Elisha entered into the house, and behold, the boy was dead, laid on his bed.</w:t>
      </w:r>
    </w:p>
    <w:p>
      <w:r>
        <w:rPr>
          <w:b/>
        </w:rPr>
        <w:t xml:space="preserve">33 </w:t>
      </w:r>
      <w:r>
        <w:t xml:space="preserve">And Elisha went into the house and shut the door</w:t>
      </w:r>
      <w:r>
        <w:rPr>
          <w:rStyle w:val="FootnoteReference"/>
        </w:rPr>
        <w:footnoteReference w:id="7047"/>
      </w:r>
      <w:r>
        <w:t xml:space="preserve"> upon the two of them and prayed to the Lord.</w:t>
      </w:r>
    </w:p>
    <w:p>
      <w:r>
        <w:rPr>
          <w:b/>
        </w:rPr>
        <w:t xml:space="preserve">34 </w:t>
      </w:r>
      <w:r>
        <w:t xml:space="preserve">And he went up and lay upon the boy and put his mouth on his mouth and his eyes on his eyes and his hands on his hands and bent himself over him</w:t>
      </w:r>
      <w:r>
        <w:rPr>
          <w:rStyle w:val="FootnoteReference"/>
        </w:rPr>
        <w:footnoteReference w:id="7048"/>
      </w:r>
      <w:r>
        <w:t xml:space="preserve">, and the flesh of the boy grew warm.</w:t>
      </w:r>
    </w:p>
    <w:p>
      <w:r>
        <w:rPr>
          <w:b/>
        </w:rPr>
        <w:t xml:space="preserve">35 </w:t>
      </w:r>
      <w:r>
        <w:t xml:space="preserve">And he turned and walked in the house here and there and went up and bent himself over the boy until seven times, and the boy opened his eyes.</w:t>
      </w:r>
    </w:p>
    <w:p>
      <w:r>
        <w:rPr>
          <w:b/>
        </w:rPr>
        <w:t xml:space="preserve">36 </w:t>
      </w:r>
      <w:r>
        <w:t xml:space="preserve">And Elisha cried out to Gehazi and said, Call this Shunammite</w:t>
      </w:r>
      <w:r>
        <w:rPr>
          <w:rStyle w:val="FootnoteReference"/>
        </w:rPr>
        <w:footnoteReference w:id="7049"/>
      </w:r>
      <w:r>
        <w:t xml:space="preserve">. And he called her, and she came in to him, and Elisha said, Take your son.</w:t>
      </w:r>
    </w:p>
    <w:p>
      <w:r>
        <w:rPr>
          <w:b/>
        </w:rPr>
        <w:t xml:space="preserve">37 </w:t>
      </w:r>
      <w:r>
        <w:t xml:space="preserve">And the woman came in and fell at his feet</w:t>
      </w:r>
      <w:r>
        <w:rPr>
          <w:rStyle w:val="FootnoteReference"/>
        </w:rPr>
        <w:footnoteReference w:id="7050"/>
      </w:r>
      <w:r>
        <w:t xml:space="preserve"> and bowed to the ground, and she took her son and went out.</w:t>
      </w:r>
    </w:p>
    <w:p>
      <w:r>
        <w:rPr>
          <w:b/>
        </w:rPr>
        <w:t xml:space="preserve">38 </w:t>
      </w:r>
      <w:r>
        <w:t xml:space="preserve">And Elisha</w:t>
      </w:r>
      <w:r>
        <w:rPr>
          <w:rStyle w:val="FootnoteReference"/>
        </w:rPr>
        <w:footnoteReference w:id="7051"/>
      </w:r>
      <w:r>
        <w:t xml:space="preserve"> returned to Gilgal, and famine was in the land, and the sons of the prophets sat before him, and Elisha said to his servant-boy, Set on the great pot and boil stew</w:t>
      </w:r>
      <w:r>
        <w:rPr>
          <w:rStyle w:val="FootnoteReference"/>
        </w:rPr>
        <w:footnoteReference w:id="7052"/>
      </w:r>
      <w:r>
        <w:t xml:space="preserve"> for the sons of the prophets.</w:t>
      </w:r>
    </w:p>
    <w:p>
      <w:r>
        <w:rPr>
          <w:b/>
        </w:rPr>
        <w:t xml:space="preserve">39 </w:t>
      </w:r>
      <w:r>
        <w:t xml:space="preserve">And one went out into the field to gather herbs and found a vine in the field and gathered from it wild gourds, his garment full, and put them into the pot of stew, because they did not know them.</w:t>
      </w:r>
    </w:p>
    <w:p>
      <w:r>
        <w:rPr>
          <w:b/>
        </w:rPr>
        <w:t xml:space="preserve">40 </w:t>
      </w:r>
      <w:r>
        <w:t xml:space="preserve">And they poured it out for the men to eat, and it came to be while they were eating from the stew, behold, they cried out and said, Death</w:t>
      </w:r>
      <w:r>
        <w:rPr>
          <w:rStyle w:val="FootnoteReference"/>
        </w:rPr>
        <w:footnoteReference w:id="7053"/>
      </w:r>
      <w:r>
        <w:t xml:space="preserve"> in the pot, man of God, and they were not able to eat.</w:t>
      </w:r>
    </w:p>
    <w:p>
      <w:r>
        <w:rPr>
          <w:b/>
        </w:rPr>
        <w:t xml:space="preserve">41 </w:t>
      </w:r>
      <w:r>
        <w:t xml:space="preserve">And he said, Take flour and throw it into the pot. And Elisha said to Gehazi the servant-boy, Pour out to the people and let them eat. And there was no longer any evil thing in the pot.</w:t>
      </w:r>
    </w:p>
    <w:p>
      <w:r>
        <w:rPr>
          <w:b/>
        </w:rPr>
        <w:t xml:space="preserve">42 </w:t>
      </w:r>
      <w:r>
        <w:t xml:space="preserve">And a man came from Baalshalisha</w:t>
      </w:r>
      <w:r>
        <w:rPr>
          <w:rStyle w:val="FootnoteReference"/>
        </w:rPr>
        <w:footnoteReference w:id="7054"/>
      </w:r>
      <w:r>
        <w:t xml:space="preserve"> and brought to the man of God firstfruits, twenty barley loaves and fresh ears in a sack, and he said, Give to the people and let them eat.</w:t>
      </w:r>
      <w:r>
        <w:rPr>
          <w:rStyle w:val="FootnoteReference"/>
        </w:rPr>
        <w:footnoteReference w:id="7055"/>
      </w:r>
    </w:p>
    <w:p>
      <w:r>
        <w:rPr>
          <w:b/>
        </w:rPr>
        <w:t xml:space="preserve">43 </w:t>
      </w:r>
      <w:r>
        <w:t xml:space="preserve">And his attendant said, What shall I give this before one hundred men? And he said, Give to the people and let them eat, because thus says the Lord: They will eat and leave some.</w:t>
      </w:r>
    </w:p>
    <w:p>
      <w:r>
        <w:rPr>
          <w:b/>
        </w:rPr>
        <w:t xml:space="preserve">44 </w:t>
      </w:r>
      <w:r>
        <w:t xml:space="preserve">And they ate and left some, according to the word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Naaman</w:t>
      </w:r>
      <w:r>
        <w:rPr>
          <w:rStyle w:val="FootnoteReference"/>
        </w:rPr>
        <w:footnoteReference w:id="7056"/>
      </w:r>
      <w:r>
        <w:t xml:space="preserve">, commander of the force of Syria, was a great man before his lord and honored in face, because through him the Lord gave salvation to Syria</w:t>
      </w:r>
      <w:r>
        <w:rPr>
          <w:rStyle w:val="FootnoteReference"/>
        </w:rPr>
        <w:footnoteReference w:id="7057"/>
      </w:r>
      <w:r>
        <w:t xml:space="preserve">; and the man was mighty in strength, afflicted with skin-disease.</w:t>
      </w:r>
    </w:p>
    <w:p>
      <w:r>
        <w:rPr>
          <w:b/>
        </w:rPr>
        <w:t xml:space="preserve">2 </w:t>
      </w:r>
      <w:r>
        <w:t xml:space="preserve">And Syria had gone out in raiding bands and taken captive from the land of Israel a small young girl, and she was before the wife of Naaman.</w:t>
      </w:r>
    </w:p>
    <w:p>
      <w:r>
        <w:rPr>
          <w:b/>
        </w:rPr>
        <w:t xml:space="preserve">3 </w:t>
      </w:r>
      <w:r>
        <w:t xml:space="preserve">And she said to her mistress, If only my lord were before the prophet of God in Samaria. Then he would</w:t>
      </w:r>
      <w:r>
        <w:rPr>
          <w:rStyle w:val="FootnoteReference"/>
        </w:rPr>
        <w:footnoteReference w:id="7058"/>
      </w:r>
      <w:r>
        <w:t xml:space="preserve"> remove him from his skin-disease.</w:t>
      </w:r>
    </w:p>
    <w:p>
      <w:r>
        <w:rPr>
          <w:b/>
        </w:rPr>
        <w:t xml:space="preserve">4 </w:t>
      </w:r>
      <w:r>
        <w:t xml:space="preserve">And he went in and reported to his lord, saying, Thus and thus spoke the young girl from the land of Israel.</w:t>
      </w:r>
    </w:p>
    <w:p>
      <w:r>
        <w:rPr>
          <w:b/>
        </w:rPr>
        <w:t xml:space="preserve">5 </w:t>
      </w:r>
      <w:r>
        <w:t xml:space="preserve">And the king of Syria said to Naaman, Come, go in, and I will send a letter to the king of Israel. And he went and took</w:t>
      </w:r>
      <w:r>
        <w:rPr>
          <w:rStyle w:val="FootnoteReference"/>
        </w:rPr>
        <w:footnoteReference w:id="7059"/>
      </w:r>
      <w:r>
        <w:t xml:space="preserve"> in his hand ten talents of silver and six thousand pieces of gold and ten changes of garments.</w:t>
      </w:r>
      <w:r>
        <w:rPr>
          <w:rStyle w:val="FootnoteReference"/>
        </w:rPr>
        <w:footnoteReference w:id="7060"/>
      </w:r>
    </w:p>
    <w:p>
      <w:r>
        <w:rPr>
          <w:b/>
        </w:rPr>
        <w:t xml:space="preserve">6 </w:t>
      </w:r>
      <w:r>
        <w:t xml:space="preserve">And he brought the letter to the king of Israel, saying, And now, when this letter comes to you, behold, I have sent to you Naaman my servant, and you shall remove him from his skin-disease.</w:t>
      </w:r>
    </w:p>
    <w:p>
      <w:r>
        <w:rPr>
          <w:b/>
        </w:rPr>
        <w:t xml:space="preserve">7 </w:t>
      </w:r>
      <w:r>
        <w:t xml:space="preserve">And it came to be, when the king of Israel read the letter, he tore his garments and said, Am I God, to kill and make alive, that this man sends to me to remove a man from his skin-disease</w:t>
      </w:r>
      <w:r>
        <w:rPr>
          <w:rStyle w:val="FootnoteReference"/>
        </w:rPr>
        <w:footnoteReference w:id="7061"/>
      </w:r>
      <w:r>
        <w:t xml:space="preserve">? Only recognize now and see that he is seeking a pretext against me.</w:t>
      </w:r>
    </w:p>
    <w:p>
      <w:r>
        <w:rPr>
          <w:b/>
        </w:rPr>
        <w:t xml:space="preserve">8 </w:t>
      </w:r>
      <w:r>
        <w:t xml:space="preserve">And it came to be, when Elisha heard that the king of Israel tore his garments, he sent to the king of Israel, saying, Why have you torn your garments? Let Naaman now come to me, and let him know</w:t>
      </w:r>
      <w:r>
        <w:rPr>
          <w:rStyle w:val="FootnoteReference"/>
        </w:rPr>
        <w:footnoteReference w:id="7062"/>
      </w:r>
      <w:r>
        <w:t xml:space="preserve"> that there is a prophet in Israel.</w:t>
      </w:r>
    </w:p>
    <w:p>
      <w:r>
        <w:rPr>
          <w:b/>
        </w:rPr>
        <w:t xml:space="preserve">9 </w:t>
      </w:r>
      <w:r>
        <w:t xml:space="preserve">And Naaman came with horse and chariot and stood at the door of the house of Elisha.</w:t>
      </w:r>
    </w:p>
    <w:p>
      <w:r>
        <w:rPr>
          <w:b/>
        </w:rPr>
        <w:t xml:space="preserve">10 </w:t>
      </w:r>
      <w:r>
        <w:t xml:space="preserve">And Elisha sent a messenger</w:t>
      </w:r>
      <w:r>
        <w:rPr>
          <w:rStyle w:val="FootnoteReference"/>
        </w:rPr>
        <w:footnoteReference w:id="7063"/>
      </w:r>
      <w:r>
        <w:t xml:space="preserve"> to him, saying, Go, wash seven times in the Jordan, and your flesh will return to you, and you will be cleansed.</w:t>
      </w:r>
    </w:p>
    <w:p>
      <w:r>
        <w:rPr>
          <w:b/>
        </w:rPr>
        <w:t xml:space="preserve">11 </w:t>
      </w:r>
      <w:r>
        <w:t xml:space="preserve">And Naaman</w:t>
      </w:r>
      <w:r>
        <w:rPr>
          <w:rStyle w:val="FootnoteReference"/>
        </w:rPr>
        <w:footnoteReference w:id="7064"/>
      </w:r>
      <w:r>
        <w:t xml:space="preserve"> grew angry and went away and said, Behold, I said to myself that he would surely come out to me and stand and call on the name of his God and put his hand on the place and remove the skin-diseased part.</w:t>
      </w:r>
    </w:p>
    <w:p>
      <w:r>
        <w:rPr>
          <w:b/>
        </w:rPr>
        <w:t xml:space="preserve">12 </w:t>
      </w:r>
      <w:r>
        <w:t xml:space="preserve">Are not Abana</w:t>
      </w:r>
      <w:r>
        <w:rPr>
          <w:rStyle w:val="FootnoteReference"/>
        </w:rPr>
        <w:footnoteReference w:id="7065"/>
      </w:r>
      <w:r>
        <w:t xml:space="preserve"> and Pharpar</w:t>
      </w:r>
      <w:r>
        <w:rPr>
          <w:rStyle w:val="FootnoteReference"/>
        </w:rPr>
        <w:footnoteReference w:id="7066"/>
      </w:r>
      <w:r>
        <w:t xml:space="preserve">, rivers of Damascus, better</w:t>
      </w:r>
      <w:r>
        <w:rPr>
          <w:rStyle w:val="FootnoteReference"/>
        </w:rPr>
        <w:footnoteReference w:id="7067"/>
      </w:r>
      <w:r>
        <w:t xml:space="preserve"> than the Jordan and all the waters of Israel? If I go and wash in them, will I not be cleansed? And he turned aside and went away in anger.</w:t>
      </w:r>
    </w:p>
    <w:p>
      <w:r>
        <w:rPr>
          <w:b/>
        </w:rPr>
        <w:t xml:space="preserve">13 </w:t>
      </w:r>
      <w:r>
        <w:t xml:space="preserve">And his servants</w:t>
      </w:r>
      <w:r>
        <w:rPr>
          <w:rStyle w:val="FootnoteReference"/>
        </w:rPr>
        <w:footnoteReference w:id="7068"/>
      </w:r>
      <w:r>
        <w:t xml:space="preserve"> came near and spoke to him, saying, Father, if the prophet had spoken a great word to you, would you not do it? How much more when he said to you, Wash and be cleansed.</w:t>
      </w:r>
    </w:p>
    <w:p>
      <w:r>
        <w:rPr>
          <w:b/>
        </w:rPr>
        <w:t xml:space="preserve">14 </w:t>
      </w:r>
      <w:r>
        <w:t xml:space="preserve">And Naaman went down and immersed himself in the Jordan seven times according to</w:t>
      </w:r>
      <w:r>
        <w:rPr>
          <w:rStyle w:val="FootnoteReference"/>
        </w:rPr>
        <w:footnoteReference w:id="7069"/>
      </w:r>
      <w:r>
        <w:t xml:space="preserve"> the word of Elisha, and his flesh returned like the flesh of a small boy, and he was cleansed.</w:t>
      </w:r>
    </w:p>
    <w:p>
      <w:r>
        <w:rPr>
          <w:b/>
        </w:rPr>
        <w:t xml:space="preserve">15 </w:t>
      </w:r>
      <w:r>
        <w:t xml:space="preserve">And he returned</w:t>
      </w:r>
      <w:r>
        <w:rPr>
          <w:rStyle w:val="FootnoteReference"/>
        </w:rPr>
        <w:footnoteReference w:id="7070"/>
      </w:r>
      <w:r>
        <w:t xml:space="preserve"> to Elisha, he and all his camp, and came and stood and said, Behold now, I know that there is no God in all the earth except in Israel. And now take a blessing from your servant.</w:t>
      </w:r>
    </w:p>
    <w:p>
      <w:r>
        <w:rPr>
          <w:b/>
        </w:rPr>
        <w:t xml:space="preserve">16 </w:t>
      </w:r>
      <w:r>
        <w:t xml:space="preserve">And Elisha said, As the Lord</w:t>
      </w:r>
      <w:r>
        <w:rPr>
          <w:rStyle w:val="FootnoteReference"/>
        </w:rPr>
        <w:footnoteReference w:id="7071"/>
      </w:r>
      <w:r>
        <w:t xml:space="preserve"> lives, before whom I stand, I will not take it. And he pressed him to take it, but he refused.</w:t>
      </w:r>
    </w:p>
    <w:p>
      <w:r>
        <w:rPr>
          <w:b/>
        </w:rPr>
        <w:t xml:space="preserve">17 </w:t>
      </w:r>
      <w:r>
        <w:t xml:space="preserve">And Naaman said, If not, then let there be given to your servant a load of red earth</w:t>
      </w:r>
      <w:r>
        <w:rPr>
          <w:rStyle w:val="FootnoteReference"/>
        </w:rPr>
        <w:footnoteReference w:id="7072"/>
      </w:r>
      <w:r>
        <w:t xml:space="preserve">, as much as a pair of mules can carry, for your servant will no longer make whole-burnt-offering or sacrifice to other gods, but only to the Lord.</w:t>
      </w:r>
    </w:p>
    <w:p>
      <w:r>
        <w:rPr>
          <w:b/>
        </w:rPr>
        <w:t xml:space="preserve">18 </w:t>
      </w:r>
      <w:r>
        <w:t xml:space="preserve">In this matter may the Lord be merciful to your servant: when my lord enters the house of Rimmon to bow there, and he leans on my hand, and I bow</w:t>
      </w:r>
      <w:r>
        <w:rPr>
          <w:rStyle w:val="FootnoteReference"/>
        </w:rPr>
        <w:footnoteReference w:id="7073"/>
      </w:r>
      <w:r>
        <w:t xml:space="preserve"> in the house of Rimmon, when I bow in the house of Rimmon, may the Lord be merciful to your servant in this matter.</w:t>
      </w:r>
      <w:r>
        <w:rPr>
          <w:rStyle w:val="FootnoteReference"/>
        </w:rPr>
        <w:footnoteReference w:id="7074"/>
      </w:r>
    </w:p>
    <w:p>
      <w:r>
        <w:rPr>
          <w:b/>
        </w:rPr>
        <w:t xml:space="preserve">19 </w:t>
      </w:r>
      <w:r>
        <w:t xml:space="preserve">And Elisha said to Naaman, Go in peace</w:t>
      </w:r>
      <w:r>
        <w:rPr>
          <w:rStyle w:val="FootnoteReference"/>
        </w:rPr>
        <w:footnoteReference w:id="7075"/>
      </w:r>
      <w:r>
        <w:t xml:space="preserve">. And he went away from him a short stretch of land.</w:t>
      </w:r>
    </w:p>
    <w:p>
      <w:r>
        <w:rPr>
          <w:b/>
        </w:rPr>
        <w:t xml:space="preserve">20 </w:t>
      </w:r>
      <w:r>
        <w:t xml:space="preserve">And Gehazi</w:t>
      </w:r>
      <w:r>
        <w:rPr>
          <w:rStyle w:val="FootnoteReference"/>
        </w:rPr>
        <w:footnoteReference w:id="7076"/>
      </w:r>
      <w:r>
        <w:t xml:space="preserve">, the servant-boy of Elisha, said, Behold, my lord spared this Naaman the Syrian by not taking from his hand what he brought. As the Lord lives, unless I run after him</w:t>
      </w:r>
      <w:r>
        <w:rPr>
          <w:rStyle w:val="FootnoteReference"/>
        </w:rPr>
        <w:footnoteReference w:id="7077"/>
      </w:r>
      <w:r>
        <w:t xml:space="preserve"> and take something from him.</w:t>
      </w:r>
    </w:p>
    <w:p>
      <w:r>
        <w:rPr>
          <w:b/>
        </w:rPr>
        <w:t xml:space="preserve">21 </w:t>
      </w:r>
      <w:r>
        <w:t xml:space="preserve">And Gehazi pursued after Naaman, and Naaman saw him running after him and turned back from the chariot to meet him.</w:t>
      </w:r>
    </w:p>
    <w:p>
      <w:r>
        <w:rPr>
          <w:b/>
        </w:rPr>
        <w:t xml:space="preserve">22 </w:t>
      </w:r>
      <w:r>
        <w:t xml:space="preserve">And he said, Peace. My lord has sent me, saying, Behold, now two servant-boys have come to me from the hill-country of Ephraim, from the sons</w:t>
      </w:r>
      <w:r>
        <w:rPr>
          <w:rStyle w:val="FootnoteReference"/>
        </w:rPr>
        <w:footnoteReference w:id="7078"/>
      </w:r>
      <w:r>
        <w:t xml:space="preserve"> of the prophets. Please give them a talent of silver and two changes of garments</w:t>
      </w:r>
      <w:r>
        <w:rPr>
          <w:rStyle w:val="FootnoteReference"/>
        </w:rPr>
        <w:footnoteReference w:id="7079"/>
      </w:r>
      <w:r>
        <w:t xml:space="preserve">.</w:t>
      </w:r>
    </w:p>
    <w:p>
      <w:r>
        <w:rPr>
          <w:b/>
        </w:rPr>
        <w:t xml:space="preserve">23 </w:t>
      </w:r>
      <w:r>
        <w:t xml:space="preserve">And Naaman said, Take two talents of silver. And he bound</w:t>
      </w:r>
      <w:r>
        <w:rPr>
          <w:rStyle w:val="FootnoteReference"/>
        </w:rPr>
        <w:footnoteReference w:id="7080"/>
      </w:r>
      <w:r>
        <w:t xml:space="preserve"> them in two bags</w:t>
      </w:r>
      <w:r>
        <w:rPr>
          <w:rStyle w:val="FootnoteReference"/>
        </w:rPr>
        <w:footnoteReference w:id="7081"/>
      </w:r>
      <w:r>
        <w:t xml:space="preserve">, with two changes of garments, and gave them to two of his servant-boys, and they carried them before him.</w:t>
      </w:r>
    </w:p>
    <w:p>
      <w:r>
        <w:rPr>
          <w:b/>
        </w:rPr>
        <w:t xml:space="preserve">24 </w:t>
      </w:r>
      <w:r>
        <w:t xml:space="preserve">And they came to the hidden place, and he took them from their hands and stored them in the house and sent the men away.</w:t>
      </w:r>
    </w:p>
    <w:p>
      <w:r>
        <w:rPr>
          <w:b/>
        </w:rPr>
        <w:t xml:space="preserve">25 </w:t>
      </w:r>
      <w:r>
        <w:t xml:space="preserve">And he himself went in and stood by his lord. And Elisha said to him, Where have you come from, Gehazi? And Gehazi said, Your servant did not go here or there.</w:t>
      </w:r>
    </w:p>
    <w:p>
      <w:r>
        <w:rPr>
          <w:b/>
        </w:rPr>
        <w:t xml:space="preserve">26 </w:t>
      </w:r>
      <w:r>
        <w:t xml:space="preserve">And Elisha said to him, Did not my heart go with you</w:t>
      </w:r>
      <w:r>
        <w:rPr>
          <w:rStyle w:val="FootnoteReference"/>
        </w:rPr>
        <w:footnoteReference w:id="7082"/>
      </w:r>
      <w:r>
        <w:t xml:space="preserve"> when the man turned back from his chariot to meet you? Is now the time to take silver and to take garments and olive-groves and vineyards and sheep and cattle and male servants and female servants?</w:t>
      </w:r>
    </w:p>
    <w:p>
      <w:r>
        <w:rPr>
          <w:b/>
        </w:rPr>
        <w:t xml:space="preserve">27 </w:t>
      </w:r>
      <w:r>
        <w:t xml:space="preserve">And the skin-disease of Naaman will cling to you and to your seed forever. And he went out from before him afflicted with skin-disease like snow.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the sons</w:t>
      </w:r>
      <w:r>
        <w:rPr>
          <w:rStyle w:val="FootnoteReference"/>
        </w:rPr>
        <w:footnoteReference w:id="7083"/>
      </w:r>
      <w:r>
        <w:t xml:space="preserve"> of the prophets said to Elisha, Behold now, the place where we dwell before you is too narrow for us.</w:t>
      </w:r>
    </w:p>
    <w:p>
      <w:r>
        <w:rPr>
          <w:b/>
        </w:rPr>
        <w:t xml:space="preserve">2 </w:t>
      </w:r>
      <w:r>
        <w:t xml:space="preserve">Let us go now as far as the Jordan, and let each man take from there one beam, and let us make for ourselves there a place to dwell there. And he said, Go.</w:t>
      </w:r>
    </w:p>
    <w:p>
      <w:r>
        <w:rPr>
          <w:b/>
        </w:rPr>
        <w:t xml:space="preserve">3 </w:t>
      </w:r>
      <w:r>
        <w:t xml:space="preserve">And one said, Please come with your servants. And he said, I will go.</w:t>
      </w:r>
    </w:p>
    <w:p>
      <w:r>
        <w:rPr>
          <w:b/>
        </w:rPr>
        <w:t xml:space="preserve">4 </w:t>
      </w:r>
      <w:r>
        <w:t xml:space="preserve">And he went with them. And they came to the Jordan and were cutting the wood.</w:t>
      </w:r>
    </w:p>
    <w:p>
      <w:r>
        <w:rPr>
          <w:b/>
        </w:rPr>
        <w:t xml:space="preserve">5 </w:t>
      </w:r>
      <w:r>
        <w:t xml:space="preserve">And behold, one was felling the beam, and the iron fell into the water, and he cried out, Alas, master</w:t>
      </w:r>
      <w:r>
        <w:rPr>
          <w:rStyle w:val="FootnoteReference"/>
        </w:rPr>
        <w:footnoteReference w:id="7084"/>
      </w:r>
      <w:r>
        <w:t xml:space="preserve">, and it was borrowed.</w:t>
      </w:r>
    </w:p>
    <w:p>
      <w:r>
        <w:rPr>
          <w:b/>
        </w:rPr>
        <w:t xml:space="preserve">6 </w:t>
      </w:r>
      <w:r>
        <w:t xml:space="preserve">And the man of God said, Where did it fall? And he showed him the place, and he cut off a stick and threw it there, and the iron floated.</w:t>
      </w:r>
    </w:p>
    <w:p>
      <w:r>
        <w:rPr>
          <w:b/>
        </w:rPr>
        <w:t xml:space="preserve">7 </w:t>
      </w:r>
      <w:r>
        <w:t xml:space="preserve">And he said, Lift it up for yourself. And he stretched out his hand and took it.</w:t>
      </w:r>
    </w:p>
    <w:p>
      <w:r>
        <w:rPr>
          <w:b/>
        </w:rPr>
        <w:t xml:space="preserve">8 </w:t>
      </w:r>
      <w:r>
        <w:t xml:space="preserve">And the king of Syria was warring against Israel and consulted with his servants, saying, At such and such a place I will encamp.</w:t>
      </w:r>
    </w:p>
    <w:p>
      <w:r>
        <w:rPr>
          <w:b/>
        </w:rPr>
        <w:t xml:space="preserve">9 </w:t>
      </w:r>
      <w:r>
        <w:t xml:space="preserve">And Elisha sent to the king of Israel, saying, Beware</w:t>
      </w:r>
      <w:r>
        <w:rPr>
          <w:rStyle w:val="FootnoteReference"/>
        </w:rPr>
        <w:footnoteReference w:id="7085"/>
      </w:r>
      <w:r>
        <w:t xml:space="preserve"> of passing by this place, because Syria is hidden there.</w:t>
      </w:r>
    </w:p>
    <w:p>
      <w:r>
        <w:rPr>
          <w:b/>
        </w:rPr>
        <w:t xml:space="preserve">10 </w:t>
      </w:r>
      <w:r>
        <w:t xml:space="preserve">And the king of Israel sent to the place</w:t>
      </w:r>
      <w:r>
        <w:rPr>
          <w:rStyle w:val="FootnoteReference"/>
        </w:rPr>
        <w:footnoteReference w:id="7086"/>
      </w:r>
      <w:r>
        <w:t xml:space="preserve"> of which Elisha spoke to him and was on guard there, not once nor twice.</w:t>
      </w:r>
    </w:p>
    <w:p>
      <w:r>
        <w:rPr>
          <w:b/>
        </w:rPr>
        <w:t xml:space="preserve">11 </w:t>
      </w:r>
      <w:r>
        <w:t xml:space="preserve">And the soul of the king of Syria was thrown into confusion over this matter, and he called his servants and said to them, Will you not tell me who is betraying me to the king of Israel?</w:t>
      </w:r>
    </w:p>
    <w:p>
      <w:r>
        <w:rPr>
          <w:b/>
        </w:rPr>
        <w:t xml:space="preserve">12 </w:t>
      </w:r>
      <w:r>
        <w:t xml:space="preserve">And one of his servants said, No, my lord king. Rather Elisha</w:t>
      </w:r>
      <w:r>
        <w:rPr>
          <w:rStyle w:val="FootnoteReference"/>
        </w:rPr>
        <w:footnoteReference w:id="7087"/>
      </w:r>
      <w:r>
        <w:t xml:space="preserve"> the prophet in Israel tells the king of Israel all the words that you speak in the chamber of your bed.</w:t>
      </w:r>
    </w:p>
    <w:p>
      <w:r>
        <w:rPr>
          <w:b/>
        </w:rPr>
        <w:t xml:space="preserve">13 </w:t>
      </w:r>
      <w:r>
        <w:t xml:space="preserve">And he said, Come, see where this man is, and I will send and take him. And they reported to him, saying, Behold, he is in Dothan</w:t>
      </w:r>
      <w:r>
        <w:rPr>
          <w:rStyle w:val="FootnoteReference"/>
        </w:rPr>
        <w:footnoteReference w:id="7088"/>
      </w:r>
      <w:r>
        <w:t xml:space="preserve">.</w:t>
      </w:r>
    </w:p>
    <w:p>
      <w:r>
        <w:rPr>
          <w:b/>
        </w:rPr>
        <w:t xml:space="preserve">14 </w:t>
      </w:r>
      <w:r>
        <w:t xml:space="preserve">And he sent there horse and chariot and a heavy force, and they came by night and surrounded the city.</w:t>
      </w:r>
    </w:p>
    <w:p>
      <w:r>
        <w:rPr>
          <w:b/>
        </w:rPr>
        <w:t xml:space="preserve">15 </w:t>
      </w:r>
      <w:r>
        <w:t xml:space="preserve">And the servant</w:t>
      </w:r>
      <w:r>
        <w:rPr>
          <w:rStyle w:val="FootnoteReference"/>
        </w:rPr>
        <w:footnoteReference w:id="7089"/>
      </w:r>
      <w:r>
        <w:t xml:space="preserve"> of Elisha rose early and went out, and behold, a force was surrounding the city, with horse and chariot. And the servant-boy said to him, Alas, master, what shall we do?</w:t>
      </w:r>
    </w:p>
    <w:p>
      <w:r>
        <w:rPr>
          <w:b/>
        </w:rPr>
        <w:t xml:space="preserve">16 </w:t>
      </w:r>
      <w:r>
        <w:t xml:space="preserve">And Elisha said, Do not fear, because those with us are more than those with them.</w:t>
      </w:r>
    </w:p>
    <w:p>
      <w:r>
        <w:rPr>
          <w:b/>
        </w:rPr>
        <w:t xml:space="preserve">17 </w:t>
      </w:r>
      <w:r>
        <w:t xml:space="preserve">And Elisha prayed</w:t>
      </w:r>
      <w:r>
        <w:rPr>
          <w:rStyle w:val="FootnoteReference"/>
        </w:rPr>
        <w:footnoteReference w:id="7090"/>
      </w:r>
      <w:r>
        <w:t xml:space="preserve"> and said, Lord, open the eyes of the servant-boy and let him see. And the Lord opened his eyes, and he saw, and behold, the mountain was full of horses and chariots of fire around Elisha.</w:t>
      </w:r>
      <w:r>
        <w:rPr>
          <w:rStyle w:val="FootnoteReference"/>
        </w:rPr>
        <w:footnoteReference w:id="7091"/>
      </w:r>
    </w:p>
    <w:p>
      <w:r>
        <w:rPr>
          <w:b/>
        </w:rPr>
        <w:t xml:space="preserve">18 </w:t>
      </w:r>
      <w:r>
        <w:t xml:space="preserve">And they came down toward him, and Elisha prayed to the Lord and said, Strike this nation with blindness now. And he struck them with blindness according to the word of Elisha.</w:t>
      </w:r>
    </w:p>
    <w:p>
      <w:r>
        <w:rPr>
          <w:b/>
        </w:rPr>
        <w:t xml:space="preserve">19 </w:t>
      </w:r>
      <w:r>
        <w:t xml:space="preserve">And Elisha said to them, This is not the city, and this is not the way. Come after me, and I will lead you to the man whom you seek. And he led them into Samaria.</w:t>
      </w:r>
    </w:p>
    <w:p>
      <w:r>
        <w:rPr>
          <w:b/>
        </w:rPr>
        <w:t xml:space="preserve">20 </w:t>
      </w:r>
      <w:r>
        <w:t xml:space="preserve">And it came to be, when they entered Samaria, Elisha said, Lord, open now their eyes and let them see</w:t>
      </w:r>
      <w:r>
        <w:rPr>
          <w:rStyle w:val="FootnoteReference"/>
        </w:rPr>
        <w:footnoteReference w:id="7092"/>
      </w:r>
      <w:r>
        <w:t xml:space="preserve">. And the Lord opened</w:t>
      </w:r>
      <w:r>
        <w:rPr>
          <w:rStyle w:val="FootnoteReference"/>
        </w:rPr>
        <w:footnoteReference w:id="7093"/>
      </w:r>
      <w:r>
        <w:t xml:space="preserve"> their eyes and they saw, and behold, they were in the midst of Samaria.</w:t>
      </w:r>
    </w:p>
    <w:p>
      <w:r>
        <w:rPr>
          <w:b/>
        </w:rPr>
        <w:t xml:space="preserve">21 </w:t>
      </w:r>
      <w:r>
        <w:t xml:space="preserve">And the king of Israel said, when he saw them, Shall I strike them down, father? Shall I strike them down?</w:t>
      </w:r>
    </w:p>
    <w:p>
      <w:r>
        <w:rPr>
          <w:b/>
        </w:rPr>
        <w:t xml:space="preserve">22 </w:t>
      </w:r>
      <w:r>
        <w:t xml:space="preserve">And he said, You shall not strike them down. Would you strike down those whom you have taken captive with your sword and with your bow? Set bread and water before them</w:t>
      </w:r>
      <w:r>
        <w:rPr>
          <w:rStyle w:val="FootnoteReference"/>
        </w:rPr>
        <w:footnoteReference w:id="7094"/>
      </w:r>
      <w:r>
        <w:t xml:space="preserve">, and let them eat and drink and go to their lord.</w:t>
      </w:r>
      <w:r>
        <w:rPr>
          <w:rStyle w:val="FootnoteReference"/>
        </w:rPr>
        <w:footnoteReference w:id="7095"/>
      </w:r>
    </w:p>
    <w:p>
      <w:r>
        <w:rPr>
          <w:b/>
        </w:rPr>
        <w:t xml:space="preserve">23 </w:t>
      </w:r>
      <w:r>
        <w:t xml:space="preserve">And he set before them a great feast, and they ate and drank, and he sent them away, and they went to their lord. And raiding bands of Syria did not continue to come into the land of Israel.</w:t>
      </w:r>
    </w:p>
    <w:p>
      <w:r>
        <w:rPr>
          <w:b/>
        </w:rPr>
        <w:t xml:space="preserve">24 </w:t>
      </w:r>
      <w:r>
        <w:t xml:space="preserve">And it came to be after this that Ben-hadad king of Syria gathered</w:t>
      </w:r>
      <w:r>
        <w:rPr>
          <w:rStyle w:val="FootnoteReference"/>
        </w:rPr>
        <w:footnoteReference w:id="7096"/>
      </w:r>
      <w:r>
        <w:t xml:space="preserve"> all his camp and went up and besieged Samaria.</w:t>
      </w:r>
    </w:p>
    <w:p>
      <w:r>
        <w:rPr>
          <w:b/>
        </w:rPr>
        <w:t xml:space="preserve">25 </w:t>
      </w:r>
      <w:r>
        <w:t xml:space="preserve">And there was a great famine</w:t>
      </w:r>
      <w:r>
        <w:rPr>
          <w:rStyle w:val="FootnoteReference"/>
        </w:rPr>
        <w:footnoteReference w:id="7097"/>
      </w:r>
      <w:r>
        <w:t xml:space="preserve"> in Samaria, and behold, they besieged it until a donkey's head was fifty shekels</w:t>
      </w:r>
      <w:r>
        <w:rPr>
          <w:rStyle w:val="FootnoteReference"/>
        </w:rPr>
        <w:footnoteReference w:id="7098"/>
      </w:r>
      <w:r>
        <w:t xml:space="preserve"> of silver and a quarter of a kab of dove's dung was five shekels of silver.</w:t>
      </w:r>
    </w:p>
    <w:p>
      <w:r>
        <w:rPr>
          <w:b/>
        </w:rPr>
        <w:t xml:space="preserve">26 </w:t>
      </w:r>
      <w:r>
        <w:t xml:space="preserve">And the king of Israel was passing over the wall, and a woman cried to him, saying, Save, my lord</w:t>
      </w:r>
      <w:r>
        <w:rPr>
          <w:rStyle w:val="FootnoteReference"/>
        </w:rPr>
        <w:footnoteReference w:id="7099"/>
      </w:r>
      <w:r>
        <w:t xml:space="preserve"> king.</w:t>
      </w:r>
    </w:p>
    <w:p>
      <w:r>
        <w:rPr>
          <w:b/>
        </w:rPr>
        <w:t xml:space="preserve">27 </w:t>
      </w:r>
      <w:r>
        <w:t xml:space="preserve">And he said to her, If the Lord does not save you, from where shall I save you? From the threshing floor or from the winepress?</w:t>
      </w:r>
    </w:p>
    <w:p>
      <w:r>
        <w:rPr>
          <w:b/>
        </w:rPr>
        <w:t xml:space="preserve">28 </w:t>
      </w:r>
      <w:r>
        <w:t xml:space="preserve">And the king said to her, What troubles you? And the woman said, This woman said to me, Give your son, and let us eat him today, and my son we will eat tomorrow.</w:t>
      </w:r>
      <w:r>
        <w:rPr>
          <w:rStyle w:val="FootnoteReference"/>
        </w:rPr>
        <w:footnoteReference w:id="7100"/>
      </w:r>
    </w:p>
    <w:p>
      <w:r>
        <w:rPr>
          <w:b/>
        </w:rPr>
        <w:t xml:space="preserve">29 </w:t>
      </w:r>
      <w:r>
        <w:t xml:space="preserve">And we boiled my son and ate him, and I said to her on the second day, Give your son and let us eat him, and she hid her son.</w:t>
      </w:r>
    </w:p>
    <w:p>
      <w:r>
        <w:rPr>
          <w:b/>
        </w:rPr>
        <w:t xml:space="preserve">30 </w:t>
      </w:r>
      <w:r>
        <w:t xml:space="preserve">And it came to be, when the king heard the words of the woman, he tore his garments. And he was passing over the wall, and the people saw the sackcloth on his flesh within.</w:t>
      </w:r>
    </w:p>
    <w:p>
      <w:r>
        <w:rPr>
          <w:b/>
        </w:rPr>
        <w:t xml:space="preserve">31 </w:t>
      </w:r>
      <w:r>
        <w:t xml:space="preserve">And he said, Thus may God do to me and thus may he add, if the head</w:t>
      </w:r>
      <w:r>
        <w:rPr>
          <w:rStyle w:val="FootnoteReference"/>
        </w:rPr>
        <w:footnoteReference w:id="7101"/>
      </w:r>
      <w:r>
        <w:t xml:space="preserve"> of Elisha son of Shaphat remains on him today.</w:t>
      </w:r>
    </w:p>
    <w:p>
      <w:r>
        <w:rPr>
          <w:b/>
        </w:rPr>
        <w:t xml:space="preserve">32 </w:t>
      </w:r>
      <w:r>
        <w:t xml:space="preserve">And Elisha was sitting in his house, and the elders</w:t>
      </w:r>
      <w:r>
        <w:rPr>
          <w:rStyle w:val="FootnoteReference"/>
        </w:rPr>
        <w:footnoteReference w:id="7102"/>
      </w:r>
      <w:r>
        <w:t xml:space="preserve"> were sitting with him, and the king sent a man from before him. Before the messenger came to him, Elisha said to the elders, Do you see that this son of a murderer has sent to take away my head? See, when the messenger comes, shut the door and press him at the door. Is not the sound of the feet of his lord behind him?</w:t>
      </w:r>
      <w:r>
        <w:rPr>
          <w:rStyle w:val="FootnoteReference"/>
        </w:rPr>
        <w:footnoteReference w:id="7103"/>
      </w:r>
    </w:p>
    <w:p>
      <w:r>
        <w:rPr>
          <w:b/>
        </w:rPr>
        <w:t xml:space="preserve">33 </w:t>
      </w:r>
      <w:r>
        <w:t xml:space="preserve">While he was still speaking with them, behold, the messenger came down to him and said, Behold, this evil is from the Lord. Why should I wait for the</w:t>
      </w:r>
      <w:r>
        <w:rPr>
          <w:rStyle w:val="FootnoteReference"/>
        </w:rPr>
        <w:footnoteReference w:id="7104"/>
      </w:r>
      <w:r>
        <w:t xml:space="preserve"> Lord any longer?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Elisha said</w:t>
      </w:r>
      <w:r>
        <w:rPr>
          <w:rStyle w:val="FootnoteReference"/>
        </w:rPr>
        <w:footnoteReference w:id="7105"/>
      </w:r>
      <w:r>
        <w:t xml:space="preserve">, Hear the word of the Lord. Thus says the Lord: At this time tomorrow a measure of fine flour will be a shekel, and two measures of barley a shekel, at the gates of Samaria.</w:t>
      </w:r>
    </w:p>
    <w:p>
      <w:r>
        <w:rPr>
          <w:b/>
        </w:rPr>
        <w:t xml:space="preserve">2 </w:t>
      </w:r>
      <w:r>
        <w:t xml:space="preserve">And the officer on whose hand the king leaned answered Elisha and said, Behold, if the Lord</w:t>
      </w:r>
      <w:r>
        <w:rPr>
          <w:rStyle w:val="FootnoteReference"/>
        </w:rPr>
        <w:footnoteReference w:id="7106"/>
      </w:r>
      <w:r>
        <w:t xml:space="preserve"> makes floodgates in heaven</w:t>
      </w:r>
      <w:r>
        <w:rPr>
          <w:rStyle w:val="FootnoteReference"/>
        </w:rPr>
        <w:footnoteReference w:id="7107"/>
      </w:r>
      <w:r>
        <w:t xml:space="preserve">, can this thing be? And Elisha said, Behold, you will see with your eyes, but from there you will not eat.</w:t>
      </w:r>
    </w:p>
    <w:p>
      <w:r>
        <w:rPr>
          <w:b/>
        </w:rPr>
        <w:t xml:space="preserve">3 </w:t>
      </w:r>
      <w:r>
        <w:t xml:space="preserve">And four men afflicted with skin-disease were beside the gate of the city. And one man said to his neighbor, Why do we sit here until we die?</w:t>
      </w:r>
    </w:p>
    <w:p>
      <w:r>
        <w:rPr>
          <w:b/>
        </w:rPr>
        <w:t xml:space="preserve">4 </w:t>
      </w:r>
      <w:r>
        <w:t xml:space="preserve">If we say, Let us enter the city, the famine is in the city, and we will die there. And if we sit here, we will die. And now come, let us fall</w:t>
      </w:r>
      <w:r>
        <w:rPr>
          <w:rStyle w:val="FootnoteReference"/>
        </w:rPr>
        <w:footnoteReference w:id="7108"/>
      </w:r>
      <w:r>
        <w:t xml:space="preserve"> into the camp of Syria. If they keep us alive</w:t>
      </w:r>
      <w:r>
        <w:rPr>
          <w:rStyle w:val="FootnoteReference"/>
        </w:rPr>
        <w:footnoteReference w:id="7109"/>
      </w:r>
      <w:r>
        <w:t xml:space="preserve">, we will live; and if they put us to death, we will die.</w:t>
      </w:r>
    </w:p>
    <w:p>
      <w:r>
        <w:rPr>
          <w:b/>
        </w:rPr>
        <w:t xml:space="preserve">5 </w:t>
      </w:r>
      <w:r>
        <w:t xml:space="preserve">And they rose in the dark to enter the camp of Syria and came to the edge of the camp of Syria, and behold</w:t>
      </w:r>
      <w:r>
        <w:rPr>
          <w:rStyle w:val="FootnoteReference"/>
        </w:rPr>
        <w:footnoteReference w:id="7110"/>
      </w:r>
      <w:r>
        <w:t xml:space="preserve">, no man was there.</w:t>
      </w:r>
    </w:p>
    <w:p>
      <w:r>
        <w:rPr>
          <w:b/>
        </w:rPr>
        <w:t xml:space="preserve">6 </w:t>
      </w:r>
      <w:r>
        <w:t xml:space="preserve">For the Lord</w:t>
      </w:r>
      <w:r>
        <w:rPr>
          <w:rStyle w:val="FootnoteReference"/>
        </w:rPr>
        <w:footnoteReference w:id="7111"/>
      </w:r>
      <w:r>
        <w:t xml:space="preserve"> had made the camp of Syria hear a sound of chariot</w:t>
      </w:r>
      <w:r>
        <w:rPr>
          <w:rStyle w:val="FootnoteReference"/>
        </w:rPr>
        <w:footnoteReference w:id="7112"/>
      </w:r>
      <w:r>
        <w:t xml:space="preserve"> and a sound of horse and a sound of great force, and one man said to his brother, Behold now, the king of Israel has hired against us the kings of the Hittites and the kings of Egypt to come against us.</w:t>
      </w:r>
    </w:p>
    <w:p>
      <w:r>
        <w:rPr>
          <w:b/>
        </w:rPr>
        <w:t xml:space="preserve">7 </w:t>
      </w:r>
      <w:r>
        <w:t xml:space="preserve">And they rose and fled in the dark and abandoned their tents and their horses</w:t>
      </w:r>
      <w:r>
        <w:rPr>
          <w:rStyle w:val="FootnoteReference"/>
        </w:rPr>
        <w:footnoteReference w:id="7113"/>
      </w:r>
      <w:r>
        <w:t xml:space="preserve"> and their donkeys, the camp just as it was, and fled for their own life.</w:t>
      </w:r>
    </w:p>
    <w:p>
      <w:r>
        <w:rPr>
          <w:b/>
        </w:rPr>
        <w:t xml:space="preserve">8 </w:t>
      </w:r>
      <w:r>
        <w:t xml:space="preserve">And these men afflicted with skin-disease</w:t>
      </w:r>
      <w:r>
        <w:rPr>
          <w:rStyle w:val="FootnoteReference"/>
        </w:rPr>
        <w:footnoteReference w:id="7114"/>
      </w:r>
      <w:r>
        <w:t xml:space="preserve"> came to the edge of the camp and entered one tent and ate and drank and took from there silver and gold and clothing and went and hid them. And they returned and entered another tent and took from there and went and hid them.</w:t>
      </w:r>
    </w:p>
    <w:p>
      <w:r>
        <w:rPr>
          <w:b/>
        </w:rPr>
        <w:t xml:space="preserve">9 </w:t>
      </w:r>
      <w:r>
        <w:t xml:space="preserve">And one man said to his neighbor, We are not doing right. This day</w:t>
      </w:r>
      <w:r>
        <w:rPr>
          <w:rStyle w:val="FootnoteReference"/>
        </w:rPr>
        <w:footnoteReference w:id="7115"/>
      </w:r>
      <w:r>
        <w:t xml:space="preserve"> is a day of good news</w:t>
      </w:r>
      <w:r>
        <w:rPr>
          <w:rStyle w:val="FootnoteReference"/>
        </w:rPr>
        <w:footnoteReference w:id="7116"/>
      </w:r>
      <w:r>
        <w:t xml:space="preserve">, and we are keeping silent. If we wait until the morning light, lawlessness will find us. And now come, let us go in and report to the house of the king.</w:t>
      </w:r>
    </w:p>
    <w:p>
      <w:r>
        <w:rPr>
          <w:b/>
        </w:rPr>
        <w:t xml:space="preserve">10 </w:t>
      </w:r>
      <w:r>
        <w:t xml:space="preserve">And they went in and cried out to the gate of the city and reported to them, saying, We entered the camp of Syria, and behold, no man was there and no human voice</w:t>
      </w:r>
      <w:r>
        <w:rPr>
          <w:rStyle w:val="FootnoteReference"/>
        </w:rPr>
        <w:footnoteReference w:id="7117"/>
      </w:r>
      <w:r>
        <w:t xml:space="preserve">, only horses tied and donkeys and the tents just as they were.</w:t>
      </w:r>
    </w:p>
    <w:p>
      <w:r>
        <w:rPr>
          <w:b/>
        </w:rPr>
        <w:t xml:space="preserve">11 </w:t>
      </w:r>
      <w:r>
        <w:t xml:space="preserve">And the gatekeepers cried out and reported it inside the house of the king.</w:t>
      </w:r>
    </w:p>
    <w:p>
      <w:r>
        <w:rPr>
          <w:b/>
        </w:rPr>
        <w:t xml:space="preserve">12 </w:t>
      </w:r>
      <w:r>
        <w:t xml:space="preserve">And the king rose by night and said to his servants, Let me now tell you what Syria has done to us. They know that we are hungry, and they went out from the camp and hid themselves in the field, saying, When they come out from the city</w:t>
      </w:r>
      <w:r>
        <w:rPr>
          <w:rStyle w:val="FootnoteReference"/>
        </w:rPr>
        <w:footnoteReference w:id="7118"/>
      </w:r>
      <w:r>
        <w:t xml:space="preserve">, we will seize them alive and enter the city.</w:t>
      </w:r>
    </w:p>
    <w:p>
      <w:r>
        <w:rPr>
          <w:b/>
        </w:rPr>
        <w:t xml:space="preserve">13 </w:t>
      </w:r>
      <w:r>
        <w:t xml:space="preserve">And one of his servants answered and said, Let them take now five of the horses left, which were left here. Behold, they are like all the multitude of Israel that has come to an end. Let us send and see.</w:t>
      </w:r>
      <w:r>
        <w:rPr>
          <w:rStyle w:val="FootnoteReference"/>
        </w:rPr>
        <w:footnoteReference w:id="7119"/>
      </w:r>
    </w:p>
    <w:p>
      <w:r>
        <w:rPr>
          <w:b/>
        </w:rPr>
        <w:t xml:space="preserve">14 </w:t>
      </w:r>
      <w:r>
        <w:t xml:space="preserve">And they took two mounted horsemen, and the king of Israel sent them after the king of Syria, saying, Go and see.</w:t>
      </w:r>
    </w:p>
    <w:p>
      <w:r>
        <w:rPr>
          <w:b/>
        </w:rPr>
        <w:t xml:space="preserve">15 </w:t>
      </w:r>
      <w:r>
        <w:t xml:space="preserve">And they went after them as far as the Jordan, and behold, all the road was full of garments and vessels</w:t>
      </w:r>
      <w:r>
        <w:rPr>
          <w:rStyle w:val="FootnoteReference"/>
        </w:rPr>
        <w:footnoteReference w:id="7120"/>
      </w:r>
      <w:r>
        <w:t xml:space="preserve"> which Syria threw away in their panic. And the messengers returned and reported to the king.</w:t>
      </w:r>
    </w:p>
    <w:p>
      <w:r>
        <w:rPr>
          <w:b/>
        </w:rPr>
        <w:t xml:space="preserve">16 </w:t>
      </w:r>
      <w:r>
        <w:t xml:space="preserve">And the people went out and plundered the camp of Syria. And a measure of fine flour became a shekel, and two measures of barley a shekel, according to</w:t>
      </w:r>
      <w:r>
        <w:rPr>
          <w:rStyle w:val="FootnoteReference"/>
        </w:rPr>
        <w:footnoteReference w:id="7121"/>
      </w:r>
      <w:r>
        <w:t xml:space="preserve"> the word of the Lord.</w:t>
      </w:r>
    </w:p>
    <w:p>
      <w:r>
        <w:rPr>
          <w:b/>
        </w:rPr>
        <w:t xml:space="preserve">17 </w:t>
      </w:r>
      <w:r>
        <w:t xml:space="preserve">And the king had appointed the officer on whose hand he leaned</w:t>
      </w:r>
      <w:r>
        <w:rPr>
          <w:rStyle w:val="FootnoteReference"/>
        </w:rPr>
        <w:footnoteReference w:id="7122"/>
      </w:r>
      <w:r>
        <w:t xml:space="preserve"> over the gate, and the people trampled him in the gate, and he died, just as the man of God spoke when the king came down to him.</w:t>
      </w:r>
    </w:p>
    <w:p>
      <w:r>
        <w:rPr>
          <w:b/>
        </w:rPr>
        <w:t xml:space="preserve">18 </w:t>
      </w:r>
      <w:r>
        <w:t xml:space="preserve">And it came to be just as Elisha had spoken to the king, saying, Two measures of barley a shekel</w:t>
      </w:r>
      <w:r>
        <w:rPr>
          <w:rStyle w:val="FootnoteReference"/>
        </w:rPr>
        <w:footnoteReference w:id="7123"/>
      </w:r>
      <w:r>
        <w:t xml:space="preserve"> and a measure of fine flour a shekel will be at this time tomorrow in the gate of Samaria.</w:t>
      </w:r>
    </w:p>
    <w:p>
      <w:r>
        <w:rPr>
          <w:b/>
        </w:rPr>
        <w:t xml:space="preserve">19 </w:t>
      </w:r>
      <w:r>
        <w:t xml:space="preserve">And the officer answered Elisha and said, Behold, if the Lord makes floodgates in heaven, can this thing be? And Elisha said, Behold, you will see with your eyes, but from there you will not eat.</w:t>
      </w:r>
    </w:p>
    <w:p>
      <w:r>
        <w:rPr>
          <w:b/>
        </w:rPr>
        <w:t xml:space="preserve">20 </w:t>
      </w:r>
      <w:r>
        <w:t xml:space="preserve">And so it happened to him, and the people trampled him in the gate, and he died.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Elisha spoke to the woman whose son</w:t>
      </w:r>
      <w:r>
        <w:rPr>
          <w:rStyle w:val="FootnoteReference"/>
        </w:rPr>
        <w:footnoteReference w:id="7124"/>
      </w:r>
      <w:r>
        <w:t xml:space="preserve"> he restored to life, saying, Rise and go, you and your house, and sojourn where you may sojourn, because the Lord has called for famine upon the land, and it has come upon the land seven years.</w:t>
      </w:r>
    </w:p>
    <w:p>
      <w:r>
        <w:rPr>
          <w:b/>
        </w:rPr>
        <w:t xml:space="preserve">2 </w:t>
      </w:r>
      <w:r>
        <w:t xml:space="preserve">And the woman rose and did according to the word of Elisha, and she and her house went and sojourned in the land of the Philistines seven years.</w:t>
      </w:r>
    </w:p>
    <w:p>
      <w:r>
        <w:rPr>
          <w:b/>
        </w:rPr>
        <w:t xml:space="preserve">3 </w:t>
      </w:r>
      <w:r>
        <w:t xml:space="preserve">And it came to be at the end of seven years that the woman returned from the land of the Philistines to the city, and she came to cry to the king concerning her house and concerning her fields.</w:t>
      </w:r>
    </w:p>
    <w:p>
      <w:r>
        <w:rPr>
          <w:b/>
        </w:rPr>
        <w:t xml:space="preserve">4 </w:t>
      </w:r>
      <w:r>
        <w:t xml:space="preserve">And the king was speaking to Gehazi</w:t>
      </w:r>
      <w:r>
        <w:rPr>
          <w:rStyle w:val="FootnoteReference"/>
        </w:rPr>
        <w:footnoteReference w:id="7125"/>
      </w:r>
      <w:r>
        <w:t xml:space="preserve"> the servant-boy of Elisha, the man of God, saying, Tell me now all the great things Elisha did.</w:t>
      </w:r>
    </w:p>
    <w:p>
      <w:r>
        <w:rPr>
          <w:b/>
        </w:rPr>
        <w:t xml:space="preserve">5 </w:t>
      </w:r>
      <w:r>
        <w:t xml:space="preserve">And it came to be, while he was recounting to the king how Elisha restored a dead son to life, behold, the woman</w:t>
      </w:r>
      <w:r>
        <w:rPr>
          <w:rStyle w:val="FootnoteReference"/>
        </w:rPr>
        <w:footnoteReference w:id="7126"/>
      </w:r>
      <w:r>
        <w:t xml:space="preserve"> whose son Elisha restored to life cried to the king concerning her house and her fields. And Gehazi said, My lord king, this is the woman, and this is her son, whom Elisha restored to life.</w:t>
      </w:r>
      <w:r>
        <w:rPr>
          <w:rStyle w:val="FootnoteReference"/>
        </w:rPr>
        <w:footnoteReference w:id="7127"/>
      </w:r>
    </w:p>
    <w:p>
      <w:r>
        <w:rPr>
          <w:b/>
        </w:rPr>
        <w:t xml:space="preserve">6 </w:t>
      </w:r>
      <w:r>
        <w:t xml:space="preserve">And the king asked the woman, and she recounted it to him</w:t>
      </w:r>
      <w:r>
        <w:rPr>
          <w:rStyle w:val="FootnoteReference"/>
        </w:rPr>
        <w:footnoteReference w:id="7128"/>
      </w:r>
      <w:r>
        <w:t xml:space="preserve">. And the king gave her one eunuch, saying, Restore all</w:t>
      </w:r>
      <w:r>
        <w:rPr>
          <w:rStyle w:val="FootnoteReference"/>
        </w:rPr>
        <w:footnoteReference w:id="7129"/>
      </w:r>
      <w:r>
        <w:t xml:space="preserve"> that was hers and all the produce of her field from the day she left the land until now.</w:t>
      </w:r>
    </w:p>
    <w:p>
      <w:r>
        <w:rPr>
          <w:b/>
        </w:rPr>
        <w:t xml:space="preserve">7 </w:t>
      </w:r>
      <w:r>
        <w:t xml:space="preserve">And Elisha came to Damascus</w:t>
      </w:r>
      <w:r>
        <w:rPr>
          <w:rStyle w:val="FootnoteReference"/>
        </w:rPr>
        <w:footnoteReference w:id="7130"/>
      </w:r>
      <w:r>
        <w:t xml:space="preserve">, and Ben-hadad king of Syria was sick. And they reported to him, saying, The man of God has come here</w:t>
      </w:r>
      <w:r>
        <w:rPr>
          <w:rStyle w:val="FootnoteReference"/>
        </w:rPr>
        <w:footnoteReference w:id="7131"/>
      </w:r>
      <w:r>
        <w:t xml:space="preserve">.</w:t>
      </w:r>
    </w:p>
    <w:p>
      <w:r>
        <w:rPr>
          <w:b/>
        </w:rPr>
        <w:t xml:space="preserve">8 </w:t>
      </w:r>
      <w:r>
        <w:t xml:space="preserve">And the king said to Hazael</w:t>
      </w:r>
      <w:r>
        <w:rPr>
          <w:rStyle w:val="FootnoteReference"/>
        </w:rPr>
        <w:footnoteReference w:id="7132"/>
      </w:r>
      <w:r>
        <w:t xml:space="preserve">, Take in your hand a gift, and go to meet the man of God, and inquire of the Lord through him, saying, Shall I live from this sickness of mine?</w:t>
      </w:r>
    </w:p>
    <w:p>
      <w:r>
        <w:rPr>
          <w:b/>
        </w:rPr>
        <w:t xml:space="preserve">9 </w:t>
      </w:r>
      <w:r>
        <w:t xml:space="preserve">And Hazael</w:t>
      </w:r>
      <w:r>
        <w:rPr>
          <w:rStyle w:val="FootnoteReference"/>
        </w:rPr>
        <w:footnoteReference w:id="7133"/>
      </w:r>
      <w:r>
        <w:t xml:space="preserve"> went to meet him and took in his hand a gift, even every good thing of Damascus, a load of forty camels, and came and stood before him and said to Elisha, Your son Ben-hadad king of Syria has sent me to you, saying, Shall I live from this sickness?</w:t>
      </w:r>
    </w:p>
    <w:p>
      <w:r>
        <w:rPr>
          <w:b/>
        </w:rPr>
        <w:t xml:space="preserve">10 </w:t>
      </w:r>
      <w:r>
        <w:t xml:space="preserve">And Elisha said, Go, say to him, You will surely live, yet the Lord</w:t>
      </w:r>
      <w:r>
        <w:rPr>
          <w:rStyle w:val="FootnoteReference"/>
        </w:rPr>
        <w:footnoteReference w:id="7134"/>
      </w:r>
      <w:r>
        <w:t xml:space="preserve"> has shown me that he will surely die.</w:t>
      </w:r>
    </w:p>
    <w:p>
      <w:r>
        <w:rPr>
          <w:b/>
        </w:rPr>
        <w:t xml:space="preserve">11 </w:t>
      </w:r>
      <w:r>
        <w:t xml:space="preserve">And he fixed his face and held it until shame, and the man of God wept</w:t>
      </w:r>
      <w:r>
        <w:rPr>
          <w:rStyle w:val="FootnoteReference"/>
        </w:rPr>
        <w:footnoteReference w:id="7135"/>
      </w:r>
      <w:r>
        <w:t xml:space="preserve">.</w:t>
      </w:r>
    </w:p>
    <w:p>
      <w:r>
        <w:rPr>
          <w:b/>
        </w:rPr>
        <w:t xml:space="preserve">12 </w:t>
      </w:r>
      <w:r>
        <w:t xml:space="preserve">And Hazael said, Why does my lord</w:t>
      </w:r>
      <w:r>
        <w:rPr>
          <w:rStyle w:val="FootnoteReference"/>
        </w:rPr>
        <w:footnoteReference w:id="7136"/>
      </w:r>
      <w:r>
        <w:t xml:space="preserve"> weep? And he said, Because I know what evils you will do to the sons of Israel. You will send their strongholds into fire, and their chosen men you will kill with the sword, and their infants you will dash, and their pregnant women you will rip open</w:t>
      </w:r>
      <w:r>
        <w:rPr>
          <w:rStyle w:val="FootnoteReference"/>
        </w:rPr>
        <w:footnoteReference w:id="7137"/>
      </w:r>
      <w:r>
        <w:t xml:space="preserve">.</w:t>
      </w:r>
    </w:p>
    <w:p>
      <w:r>
        <w:rPr>
          <w:b/>
        </w:rPr>
        <w:t xml:space="preserve">13 </w:t>
      </w:r>
      <w:r>
        <w:t xml:space="preserve">And Hazael said, What is your servant, this dead dog, that he should do</w:t>
      </w:r>
      <w:r>
        <w:rPr>
          <w:rStyle w:val="FootnoteReference"/>
        </w:rPr>
        <w:footnoteReference w:id="7138"/>
      </w:r>
      <w:r>
        <w:t xml:space="preserve"> this great thing? And Elisha said, The Lord has shown me you as king over Syria.</w:t>
      </w:r>
    </w:p>
    <w:p>
      <w:r>
        <w:rPr>
          <w:b/>
        </w:rPr>
        <w:t xml:space="preserve">14 </w:t>
      </w:r>
      <w:r>
        <w:t xml:space="preserve">And he went from Elisha and entered to his lord, and he said to him, What did Elisha say to you? And he said, He said to me, You will surely live.</w:t>
      </w:r>
    </w:p>
    <w:p>
      <w:r>
        <w:rPr>
          <w:b/>
        </w:rPr>
        <w:t xml:space="preserve">15 </w:t>
      </w:r>
      <w:r>
        <w:t xml:space="preserve">And it came</w:t>
      </w:r>
      <w:r>
        <w:rPr>
          <w:rStyle w:val="FootnoteReference"/>
        </w:rPr>
        <w:footnoteReference w:id="7139"/>
      </w:r>
      <w:r>
        <w:t xml:space="preserve"> to be on the next day that he took a coverlet and dipped it in water and spread it over his face, and he died. And Hazael reigned in his place.</w:t>
      </w:r>
    </w:p>
    <w:p>
      <w:r>
        <w:rPr>
          <w:b/>
        </w:rPr>
        <w:t xml:space="preserve">16 </w:t>
      </w:r>
      <w:r>
        <w:t xml:space="preserve">In the fifth year of Joram son of Ahab, king of Israel, Jehoram</w:t>
      </w:r>
      <w:r>
        <w:rPr>
          <w:rStyle w:val="FootnoteReference"/>
        </w:rPr>
        <w:footnoteReference w:id="7140"/>
      </w:r>
      <w:r>
        <w:t xml:space="preserve"> son of Jehoshaphat became king, king of Judah.</w:t>
      </w:r>
    </w:p>
    <w:p>
      <w:r>
        <w:rPr>
          <w:b/>
        </w:rPr>
        <w:t xml:space="preserve">17 </w:t>
      </w:r>
      <w:r>
        <w:t xml:space="preserve">He was thirty-two years old when he became king, and he reigned eight years in Jerusalem.</w:t>
      </w:r>
    </w:p>
    <w:p>
      <w:r>
        <w:rPr>
          <w:b/>
        </w:rPr>
        <w:t xml:space="preserve">18 </w:t>
      </w:r>
      <w:r>
        <w:t xml:space="preserve">And he walked in the way</w:t>
      </w:r>
      <w:r>
        <w:rPr>
          <w:rStyle w:val="FootnoteReference"/>
        </w:rPr>
        <w:footnoteReference w:id="7141"/>
      </w:r>
      <w:r>
        <w:t xml:space="preserve"> of the kings of Israel, as the house of Ahab had done, because the daughter of Ahab was his wife, and he did evil before the Lord.</w:t>
      </w:r>
    </w:p>
    <w:p>
      <w:r>
        <w:rPr>
          <w:b/>
        </w:rPr>
        <w:t xml:space="preserve">19 </w:t>
      </w:r>
      <w:r>
        <w:t xml:space="preserve">Yet the Lord did not wish to destroy Judah because of David his servant, as he said to give him a lamp and to his sons all the days.</w:t>
      </w:r>
    </w:p>
    <w:p>
      <w:r>
        <w:rPr>
          <w:b/>
        </w:rPr>
        <w:t xml:space="preserve">20 </w:t>
      </w:r>
      <w:r>
        <w:t xml:space="preserve">In his days Edom</w:t>
      </w:r>
      <w:r>
        <w:rPr>
          <w:rStyle w:val="FootnoteReference"/>
        </w:rPr>
        <w:footnoteReference w:id="7142"/>
      </w:r>
      <w:r>
        <w:t xml:space="preserve"> rebelled from under the hand of Judah and made a king reign over themselves.</w:t>
      </w:r>
    </w:p>
    <w:p>
      <w:r>
        <w:rPr>
          <w:b/>
        </w:rPr>
        <w:t xml:space="preserve">21 </w:t>
      </w:r>
      <w:r>
        <w:t xml:space="preserve">And Joram went over to Zair</w:t>
      </w:r>
      <w:r>
        <w:rPr>
          <w:rStyle w:val="FootnoteReference"/>
        </w:rPr>
        <w:footnoteReference w:id="7143"/>
      </w:r>
      <w:r>
        <w:t xml:space="preserve">, and all the chariots with him. And it came to be, when he rose by night, he struck Edom that had encircled him</w:t>
      </w:r>
      <w:r>
        <w:rPr>
          <w:rStyle w:val="FootnoteReference"/>
        </w:rPr>
        <w:footnoteReference w:id="7144"/>
      </w:r>
      <w:r>
        <w:t xml:space="preserve"> and the commanders of the chariots, and the people fled to their tents.</w:t>
      </w:r>
      <w:r>
        <w:rPr>
          <w:rStyle w:val="FootnoteReference"/>
        </w:rPr>
        <w:footnoteReference w:id="7145"/>
      </w:r>
    </w:p>
    <w:p>
      <w:r>
        <w:rPr>
          <w:b/>
        </w:rPr>
        <w:t xml:space="preserve">22 </w:t>
      </w:r>
      <w:r>
        <w:t xml:space="preserve">And Edom rebelled from under the hand of Judah until this day. Then Libnah</w:t>
      </w:r>
      <w:r>
        <w:rPr>
          <w:rStyle w:val="FootnoteReference"/>
        </w:rPr>
        <w:footnoteReference w:id="7146"/>
      </w:r>
      <w:r>
        <w:t xml:space="preserve"> rebelled at that time.</w:t>
      </w:r>
    </w:p>
    <w:p>
      <w:r>
        <w:rPr>
          <w:b/>
        </w:rPr>
        <w:t xml:space="preserve">23 </w:t>
      </w:r>
      <w:r>
        <w:t xml:space="preserve">And the rest of the words of Joram and all that he did, are they not written in the book of the words of the days for the kings of Judah?</w:t>
      </w:r>
    </w:p>
    <w:p>
      <w:r>
        <w:rPr>
          <w:b/>
        </w:rPr>
        <w:t xml:space="preserve">24 </w:t>
      </w:r>
      <w:r>
        <w:t xml:space="preserve">And Joram slept</w:t>
      </w:r>
      <w:r>
        <w:rPr>
          <w:rStyle w:val="FootnoteReference"/>
        </w:rPr>
        <w:footnoteReference w:id="7147"/>
      </w:r>
      <w:r>
        <w:t xml:space="preserve"> with his fathers and was buried with his fathers in the city of David his father, and Ahaziah his son reigned in his place.</w:t>
      </w:r>
    </w:p>
    <w:p>
      <w:r>
        <w:rPr>
          <w:b/>
        </w:rPr>
        <w:t xml:space="preserve">25 </w:t>
      </w:r>
      <w:r>
        <w:t xml:space="preserve">In the twelfth year of Joram son of Ahab king of Israel, Ahaziah son of Joram became king.</w:t>
      </w:r>
    </w:p>
    <w:p>
      <w:r>
        <w:rPr>
          <w:b/>
        </w:rPr>
        <w:t xml:space="preserve">26 </w:t>
      </w:r>
      <w:r>
        <w:t xml:space="preserve">Ahaziah was twenty-two years old when he became king, and he reigned one year</w:t>
      </w:r>
      <w:r>
        <w:rPr>
          <w:rStyle w:val="FootnoteReference"/>
        </w:rPr>
        <w:footnoteReference w:id="7148"/>
      </w:r>
      <w:r>
        <w:t xml:space="preserve"> in Jerusalem. And the name of his mother was Athaliah</w:t>
      </w:r>
      <w:r>
        <w:rPr>
          <w:rStyle w:val="FootnoteReference"/>
        </w:rPr>
        <w:footnoteReference w:id="7149"/>
      </w:r>
      <w:r>
        <w:t xml:space="preserve">, daughter of Omri king of Israel.</w:t>
      </w:r>
    </w:p>
    <w:p>
      <w:r>
        <w:rPr>
          <w:b/>
        </w:rPr>
        <w:t xml:space="preserve">27 </w:t>
      </w:r>
      <w:r>
        <w:t xml:space="preserve">And he walked</w:t>
      </w:r>
      <w:r>
        <w:rPr>
          <w:rStyle w:val="FootnoteReference"/>
        </w:rPr>
        <w:footnoteReference w:id="7150"/>
      </w:r>
      <w:r>
        <w:t xml:space="preserve"> in the way of the house of Ahab and did evil before the Lord, like the house of Ahab.</w:t>
      </w:r>
    </w:p>
    <w:p>
      <w:r>
        <w:rPr>
          <w:b/>
        </w:rPr>
        <w:t xml:space="preserve">28 </w:t>
      </w:r>
      <w:r>
        <w:t xml:space="preserve">And he went with Joram son of Ahab to war against Hazael</w:t>
      </w:r>
      <w:r>
        <w:rPr>
          <w:rStyle w:val="FootnoteReference"/>
        </w:rPr>
        <w:footnoteReference w:id="7151"/>
      </w:r>
      <w:r>
        <w:t xml:space="preserve"> king of Syria at Ramoth Gilead, and the Syrians struck Joram.</w:t>
      </w:r>
    </w:p>
    <w:p>
      <w:r>
        <w:rPr>
          <w:b/>
        </w:rPr>
        <w:t xml:space="preserve">29 </w:t>
      </w:r>
      <w:r>
        <w:t xml:space="preserve">And King Joram</w:t>
      </w:r>
      <w:r>
        <w:rPr>
          <w:rStyle w:val="FootnoteReference"/>
        </w:rPr>
        <w:footnoteReference w:id="7152"/>
      </w:r>
      <w:r>
        <w:t xml:space="preserve"> returned to be healed in Jezreel from the wounds which they struck him at Ramoth when he fought against Hazael king of Syria. And Ahaziah son of Joram went down to see Joram son of Ahab in Jezreel, because he was ill.</w:t>
      </w:r>
      <w:r>
        <w:rPr>
          <w:rStyle w:val="FootnoteReference"/>
        </w:rPr>
        <w:footnoteReference w:id="7153"/>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Elisha the prophet called one of the sons of the prophets and said to him, Gird your loins and take this flask of oil in your hand and go to Ramoth Gilead.</w:t>
      </w:r>
    </w:p>
    <w:p>
      <w:r>
        <w:rPr>
          <w:b/>
        </w:rPr>
        <w:t xml:space="preserve">2 </w:t>
      </w:r>
      <w:r>
        <w:t xml:space="preserve">And you will enter there and see there Jehu</w:t>
      </w:r>
      <w:r>
        <w:rPr>
          <w:rStyle w:val="FootnoteReference"/>
        </w:rPr>
        <w:footnoteReference w:id="7154"/>
      </w:r>
      <w:r>
        <w:t xml:space="preserve"> son of Jehoshaphat son of Nimshi, and you will go in and raise him up from the midst of his brothers and bring him into an inner room within a room.</w:t>
      </w:r>
    </w:p>
    <w:p>
      <w:r>
        <w:rPr>
          <w:b/>
        </w:rPr>
        <w:t xml:space="preserve">3 </w:t>
      </w:r>
      <w:r>
        <w:t xml:space="preserve">Then take the flask of oil and pour it</w:t>
      </w:r>
      <w:r>
        <w:rPr>
          <w:rStyle w:val="FootnoteReference"/>
        </w:rPr>
        <w:footnoteReference w:id="7155"/>
      </w:r>
      <w:r>
        <w:t xml:space="preserve"> on his head and say, Thus says the Lord, I have anointed you as king over Israel. And you will open the door and flee and not stay.</w:t>
      </w:r>
    </w:p>
    <w:p>
      <w:r>
        <w:rPr>
          <w:b/>
        </w:rPr>
        <w:t xml:space="preserve">4 </w:t>
      </w:r>
      <w:r>
        <w:t xml:space="preserve">And the servant-boy, the prophet, went to Ramoth Gilead.</w:t>
      </w:r>
    </w:p>
    <w:p>
      <w:r>
        <w:rPr>
          <w:b/>
        </w:rPr>
        <w:t xml:space="preserve">5 </w:t>
      </w:r>
      <w:r>
        <w:t xml:space="preserve">And he entered, and behold, the commanders of the force were sitting, and he said, I have a word for you, commander. And Jehu said, For which one among all of us? And he said, For you, commander.</w:t>
      </w:r>
    </w:p>
    <w:p>
      <w:r>
        <w:rPr>
          <w:b/>
        </w:rPr>
        <w:t xml:space="preserve">6 </w:t>
      </w:r>
      <w:r>
        <w:t xml:space="preserve">And he rose and entered the house, and he poured the oil on his head and said to him, Thus says the Lord God of Israel, I have anointed</w:t>
      </w:r>
      <w:r>
        <w:rPr>
          <w:rStyle w:val="FootnoteReference"/>
        </w:rPr>
        <w:footnoteReference w:id="7156"/>
      </w:r>
      <w:r>
        <w:t xml:space="preserve"> you as king over the people of the Lord, over Israel.</w:t>
      </w:r>
    </w:p>
    <w:p>
      <w:r>
        <w:rPr>
          <w:b/>
        </w:rPr>
        <w:t xml:space="preserve">7 </w:t>
      </w:r>
      <w:r>
        <w:t xml:space="preserve">And you shall destroy the house of Ahab your lord</w:t>
      </w:r>
      <w:r>
        <w:rPr>
          <w:rStyle w:val="FootnoteReference"/>
        </w:rPr>
        <w:footnoteReference w:id="7157"/>
      </w:r>
      <w:r>
        <w:t xml:space="preserve">, and I will avenge the blood of my servants the prophets and the blood of all the servants of the Lord from the hand of Jezebel.</w:t>
      </w:r>
    </w:p>
    <w:p>
      <w:r>
        <w:rPr>
          <w:b/>
        </w:rPr>
        <w:t xml:space="preserve">8 </w:t>
      </w:r>
      <w:r>
        <w:t xml:space="preserve">And I will cut off</w:t>
      </w:r>
      <w:r>
        <w:rPr>
          <w:rStyle w:val="FootnoteReference"/>
        </w:rPr>
        <w:footnoteReference w:id="7158"/>
      </w:r>
      <w:r>
        <w:t xml:space="preserve"> from the house of Ahab everyone who urinates against a wall, and one held fast and left behind in Israel.</w:t>
      </w:r>
    </w:p>
    <w:p>
      <w:r>
        <w:rPr>
          <w:b/>
        </w:rPr>
        <w:t xml:space="preserve">9 </w:t>
      </w:r>
      <w:r>
        <w:t xml:space="preserve">And I will make the house of Ahab like the house</w:t>
      </w:r>
      <w:r>
        <w:rPr>
          <w:rStyle w:val="FootnoteReference"/>
        </w:rPr>
        <w:footnoteReference w:id="7159"/>
      </w:r>
      <w:r>
        <w:t xml:space="preserve"> of Jeroboam son of Nebat and like the house of Baasha son of Ahijah.</w:t>
      </w:r>
    </w:p>
    <w:p>
      <w:r>
        <w:rPr>
          <w:b/>
        </w:rPr>
        <w:t xml:space="preserve">10 </w:t>
      </w:r>
      <w:r>
        <w:t xml:space="preserve">And the dogs</w:t>
      </w:r>
      <w:r>
        <w:rPr>
          <w:rStyle w:val="FootnoteReference"/>
        </w:rPr>
        <w:footnoteReference w:id="7160"/>
      </w:r>
      <w:r>
        <w:t xml:space="preserve"> shall eat Jezebel in the portion of Jezreel, and there is none who buries. And he opened the door and fled.</w:t>
      </w:r>
    </w:p>
    <w:p>
      <w:r>
        <w:rPr>
          <w:b/>
        </w:rPr>
        <w:t xml:space="preserve">11 </w:t>
      </w:r>
      <w:r>
        <w:t xml:space="preserve">And Jehu went out to the servants of his lord, and they said to him, Is all well</w:t>
      </w:r>
      <w:r>
        <w:rPr>
          <w:rStyle w:val="FootnoteReference"/>
        </w:rPr>
        <w:footnoteReference w:id="7161"/>
      </w:r>
      <w:r>
        <w:t xml:space="preserve">? Why did this madman come to you? And he said to them, You know the man and his rambling.</w:t>
      </w:r>
    </w:p>
    <w:p>
      <w:r>
        <w:rPr>
          <w:b/>
        </w:rPr>
        <w:t xml:space="preserve">12 </w:t>
      </w:r>
      <w:r>
        <w:t xml:space="preserve">And they said, It is false. Tell us now. And he said to them, Thus and thus</w:t>
      </w:r>
      <w:r>
        <w:rPr>
          <w:rStyle w:val="FootnoteReference"/>
        </w:rPr>
        <w:footnoteReference w:id="7162"/>
      </w:r>
      <w:r>
        <w:t xml:space="preserve"> he spoke to me, saying, Thus says the Lord, I have anointed you as king over Israel.</w:t>
      </w:r>
    </w:p>
    <w:p>
      <w:r>
        <w:rPr>
          <w:b/>
        </w:rPr>
        <w:t xml:space="preserve">13 </w:t>
      </w:r>
      <w:r>
        <w:t xml:space="preserve">And hearing, they hurried, and each took his garment and put it under him on the bare steps, and they blew on a horn and said, Jehu reigns.</w:t>
      </w:r>
    </w:p>
    <w:p>
      <w:r>
        <w:rPr>
          <w:b/>
        </w:rPr>
        <w:t xml:space="preserve">14 </w:t>
      </w:r>
      <w:r>
        <w:t xml:space="preserve">And Jehu son of Jehoshaphat son of Nimshi conspired</w:t>
      </w:r>
      <w:r>
        <w:rPr>
          <w:rStyle w:val="FootnoteReference"/>
        </w:rPr>
        <w:footnoteReference w:id="7163"/>
      </w:r>
      <w:r>
        <w:t xml:space="preserve"> against Joram. And Joram himself had been guarding Ramoth Gilead, he and all Israel, because of Hazael king of Syria.</w:t>
      </w:r>
    </w:p>
    <w:p>
      <w:r>
        <w:rPr>
          <w:b/>
        </w:rPr>
        <w:t xml:space="preserve">15 </w:t>
      </w:r>
      <w:r>
        <w:t xml:space="preserve">And Joram the king returned</w:t>
      </w:r>
      <w:r>
        <w:rPr>
          <w:rStyle w:val="FootnoteReference"/>
        </w:rPr>
        <w:footnoteReference w:id="7164"/>
      </w:r>
      <w:r>
        <w:t xml:space="preserve"> to be healed in Jezreel from the wounds with which the Syrians struck him when he fought with Hazael king of Syria. And Jehu said, If your soul is with me</w:t>
      </w:r>
      <w:r>
        <w:rPr>
          <w:rStyle w:val="FootnoteReference"/>
        </w:rPr>
        <w:footnoteReference w:id="7165"/>
      </w:r>
      <w:r>
        <w:t xml:space="preserve">, let none escape from the city to go and report in Jezreel.</w:t>
      </w:r>
    </w:p>
    <w:p>
      <w:r>
        <w:rPr>
          <w:b/>
        </w:rPr>
        <w:t xml:space="preserve">16 </w:t>
      </w:r>
      <w:r>
        <w:t xml:space="preserve">And Jehu mounted and went to Jezreel, because Joram was being healed there, and Ahaziah</w:t>
      </w:r>
      <w:r>
        <w:rPr>
          <w:rStyle w:val="FootnoteReference"/>
        </w:rPr>
        <w:footnoteReference w:id="7166"/>
      </w:r>
      <w:r>
        <w:t xml:space="preserve"> king of Judah had gone down to see Joram.</w:t>
      </w:r>
    </w:p>
    <w:p>
      <w:r>
        <w:rPr>
          <w:b/>
        </w:rPr>
        <w:t xml:space="preserve">17 </w:t>
      </w:r>
      <w:r>
        <w:t xml:space="preserve">And the watchman stood on the tower in Jezreel and saw the dust of Jehu as he came and said, I see dust. And Joram said, Take a rider and send him before them, and let him say, Is it peace</w:t>
      </w:r>
      <w:r>
        <w:rPr>
          <w:rStyle w:val="FootnoteReference"/>
        </w:rPr>
        <w:footnoteReference w:id="7167"/>
      </w:r>
      <w:r>
        <w:t xml:space="preserve">?</w:t>
      </w:r>
    </w:p>
    <w:p>
      <w:r>
        <w:rPr>
          <w:b/>
        </w:rPr>
        <w:t xml:space="preserve">18 </w:t>
      </w:r>
      <w:r>
        <w:t xml:space="preserve">And a horseman went to meet them and said, Thus says the king, Is it peace? And Jehu said, What is peace to you</w:t>
      </w:r>
      <w:r>
        <w:rPr>
          <w:rStyle w:val="FootnoteReference"/>
        </w:rPr>
        <w:footnoteReference w:id="7168"/>
      </w:r>
      <w:r>
        <w:t xml:space="preserve">? Turn behind me. And the watchman reported, saying, The messenger came to them and did not return.</w:t>
      </w:r>
      <w:r>
        <w:rPr>
          <w:rStyle w:val="FootnoteReference"/>
        </w:rPr>
        <w:footnoteReference w:id="7169"/>
      </w:r>
    </w:p>
    <w:p>
      <w:r>
        <w:rPr>
          <w:b/>
        </w:rPr>
        <w:t xml:space="preserve">19 </w:t>
      </w:r>
      <w:r>
        <w:t xml:space="preserve">And he sent a second horseman, and he came to him and said, Thus says the king, Is it peace? And Jehu said, What is peace to you? Turn behind me.</w:t>
      </w:r>
    </w:p>
    <w:p>
      <w:r>
        <w:rPr>
          <w:b/>
        </w:rPr>
        <w:t xml:space="preserve">20 </w:t>
      </w:r>
      <w:r>
        <w:t xml:space="preserve">And the watchman reported, saying, He came to them and did not return, and the driving</w:t>
      </w:r>
      <w:r>
        <w:rPr>
          <w:rStyle w:val="FootnoteReference"/>
        </w:rPr>
        <w:footnoteReference w:id="7170"/>
      </w:r>
      <w:r>
        <w:t xml:space="preserve"> is like the driving of Jehu son of Nimshi, because he drives furiously.</w:t>
      </w:r>
    </w:p>
    <w:p>
      <w:r>
        <w:rPr>
          <w:b/>
        </w:rPr>
        <w:t xml:space="preserve">21 </w:t>
      </w:r>
      <w:r>
        <w:t xml:space="preserve">And Joram</w:t>
      </w:r>
      <w:r>
        <w:rPr>
          <w:rStyle w:val="FootnoteReference"/>
        </w:rPr>
        <w:footnoteReference w:id="7171"/>
      </w:r>
      <w:r>
        <w:t xml:space="preserve"> said, Harness</w:t>
      </w:r>
      <w:r>
        <w:rPr>
          <w:rStyle w:val="FootnoteReference"/>
        </w:rPr>
        <w:footnoteReference w:id="7172"/>
      </w:r>
      <w:r>
        <w:t xml:space="preserve">. And they harnessed his chariot, and Joram king of Israel and Ahaziah king of Judah went out, each in his chariot, to meet Jehu, and they found him in the portion of Naboth the Jezreelite.</w:t>
      </w:r>
    </w:p>
    <w:p>
      <w:r>
        <w:rPr>
          <w:b/>
        </w:rPr>
        <w:t xml:space="preserve">22 </w:t>
      </w:r>
      <w:r>
        <w:t xml:space="preserve">And it came to be, when Joram saw Jehu, he said, Is it peace</w:t>
      </w:r>
      <w:r>
        <w:rPr>
          <w:rStyle w:val="FootnoteReference"/>
        </w:rPr>
        <w:footnoteReference w:id="7173"/>
      </w:r>
      <w:r>
        <w:t xml:space="preserve">, Jehu? And Jehu said, What peace, while the whoredoms of Jezebel your mother and her many sorceries remain?</w:t>
      </w:r>
    </w:p>
    <w:p>
      <w:r>
        <w:rPr>
          <w:b/>
        </w:rPr>
        <w:t xml:space="preserve">23 </w:t>
      </w:r>
      <w:r>
        <w:t xml:space="preserve">And Joram turned his hands to flee and said to Ahaziah, Treachery, Ahaziah!</w:t>
      </w:r>
    </w:p>
    <w:p>
      <w:r>
        <w:rPr>
          <w:b/>
        </w:rPr>
        <w:t xml:space="preserve">24 </w:t>
      </w:r>
      <w:r>
        <w:t xml:space="preserve">And Jehu filled his hand with the bow and struck Joram between his arms, and the arrow went out through his heart, and he bent upon his knees.</w:t>
      </w:r>
    </w:p>
    <w:p>
      <w:r>
        <w:rPr>
          <w:b/>
        </w:rPr>
        <w:t xml:space="preserve">25 </w:t>
      </w:r>
      <w:r>
        <w:t xml:space="preserve">And Jehu said to Bidkar</w:t>
      </w:r>
      <w:r>
        <w:rPr>
          <w:rStyle w:val="FootnoteReference"/>
        </w:rPr>
        <w:footnoteReference w:id="7174"/>
      </w:r>
      <w:r>
        <w:t xml:space="preserve"> his officer, Lift him and throw him into the portion of the field of Naboth the Jezreelite, because I remember, I and you riding on pairs behind Ahab his father, and the Lord</w:t>
      </w:r>
      <w:r>
        <w:rPr>
          <w:rStyle w:val="FootnoteReference"/>
        </w:rPr>
        <w:footnoteReference w:id="7175"/>
      </w:r>
      <w:r>
        <w:t xml:space="preserve"> took up this burden</w:t>
      </w:r>
      <w:r>
        <w:rPr>
          <w:rStyle w:val="FootnoteReference"/>
        </w:rPr>
        <w:footnoteReference w:id="7176"/>
      </w:r>
      <w:r>
        <w:t xml:space="preserve"> against him, saying,</w:t>
      </w:r>
    </w:p>
    <w:p>
      <w:r>
        <w:rPr>
          <w:b/>
        </w:rPr>
        <w:t xml:space="preserve">26 </w:t>
      </w:r>
      <w:r>
        <w:t xml:space="preserve">Surely the blood of Naboth and the blood of his sons</w:t>
      </w:r>
      <w:r>
        <w:rPr>
          <w:rStyle w:val="FootnoteReference"/>
        </w:rPr>
        <w:footnoteReference w:id="7177"/>
      </w:r>
      <w:r>
        <w:t xml:space="preserve"> I saw yesterday, says the Lord, and I will repay him in this portion, says the Lord. And now lift him and throw him into the portion according to the word of the Lord.</w:t>
      </w:r>
    </w:p>
    <w:p>
      <w:r>
        <w:rPr>
          <w:b/>
        </w:rPr>
        <w:t xml:space="preserve">27 </w:t>
      </w:r>
      <w:r>
        <w:t xml:space="preserve">And Ahaziah</w:t>
      </w:r>
      <w:r>
        <w:rPr>
          <w:rStyle w:val="FootnoteReference"/>
        </w:rPr>
        <w:footnoteReference w:id="7178"/>
      </w:r>
      <w:r>
        <w:t xml:space="preserve"> king of Judah saw and fled by way of Baithaggan, and Jehu pursued after him and said, Strike him too. And they struck him in the chariot at the ascent of Gur</w:t>
      </w:r>
      <w:r>
        <w:rPr>
          <w:rStyle w:val="FootnoteReference"/>
        </w:rPr>
        <w:footnoteReference w:id="7179"/>
      </w:r>
      <w:r>
        <w:t xml:space="preserve">, which is Ibleam</w:t>
      </w:r>
      <w:r>
        <w:rPr>
          <w:rStyle w:val="FootnoteReference"/>
        </w:rPr>
        <w:footnoteReference w:id="7180"/>
      </w:r>
      <w:r>
        <w:t xml:space="preserve">, and he fled to Megiddo and died there.</w:t>
      </w:r>
      <w:r>
        <w:rPr>
          <w:rStyle w:val="FootnoteReference"/>
        </w:rPr>
        <w:footnoteReference w:id="7181"/>
      </w:r>
    </w:p>
    <w:p>
      <w:r>
        <w:rPr>
          <w:b/>
        </w:rPr>
        <w:t xml:space="preserve">28 </w:t>
      </w:r>
      <w:r>
        <w:t xml:space="preserve">And his servants set him on the chariot and brought him to Jerusalem and buried him in his tomb in the city of David.</w:t>
      </w:r>
    </w:p>
    <w:p>
      <w:r>
        <w:rPr>
          <w:b/>
        </w:rPr>
        <w:t xml:space="preserve">29 </w:t>
      </w:r>
      <w:r>
        <w:t xml:space="preserve">And in the eleventh</w:t>
      </w:r>
      <w:r>
        <w:rPr>
          <w:rStyle w:val="FootnoteReference"/>
        </w:rPr>
        <w:footnoteReference w:id="7182"/>
      </w:r>
      <w:r>
        <w:t xml:space="preserve"> year of Joram king of Israel, Ahaziah reigned over Judah.</w:t>
      </w:r>
    </w:p>
    <w:p>
      <w:r>
        <w:rPr>
          <w:b/>
        </w:rPr>
        <w:t xml:space="preserve">30 </w:t>
      </w:r>
      <w:r>
        <w:t xml:space="preserve">And Jehu came to Jezreel, and Jezebel</w:t>
      </w:r>
      <w:r>
        <w:rPr>
          <w:rStyle w:val="FootnoteReference"/>
        </w:rPr>
        <w:footnoteReference w:id="7183"/>
      </w:r>
      <w:r>
        <w:t xml:space="preserve"> heard and painted her eyes and adorned her head and looked out through the window.</w:t>
      </w:r>
    </w:p>
    <w:p>
      <w:r>
        <w:rPr>
          <w:b/>
        </w:rPr>
        <w:t xml:space="preserve">31 </w:t>
      </w:r>
      <w:r>
        <w:t xml:space="preserve">And as Jehu was entering the city, she said, Is it peace, Zimri</w:t>
      </w:r>
      <w:r>
        <w:rPr>
          <w:rStyle w:val="FootnoteReference"/>
        </w:rPr>
        <w:footnoteReference w:id="7184"/>
      </w:r>
      <w:r>
        <w:t xml:space="preserve">, murderer of his lord?</w:t>
      </w:r>
    </w:p>
    <w:p>
      <w:r>
        <w:rPr>
          <w:b/>
        </w:rPr>
        <w:t xml:space="preserve">32 </w:t>
      </w:r>
      <w:r>
        <w:t xml:space="preserve">And he lifted his face to the window and saw her and said, Who are you? Come down with me. And two eunuchs</w:t>
      </w:r>
      <w:r>
        <w:rPr>
          <w:rStyle w:val="FootnoteReference"/>
        </w:rPr>
        <w:footnoteReference w:id="7185"/>
      </w:r>
      <w:r>
        <w:t xml:space="preserve"> looked down toward him.</w:t>
      </w:r>
    </w:p>
    <w:p>
      <w:r>
        <w:rPr>
          <w:b/>
        </w:rPr>
        <w:t xml:space="preserve">33 </w:t>
      </w:r>
      <w:r>
        <w:t xml:space="preserve">And he said, Roll her down. And they rolled her down, and some of her blood was spattered on the wall and on the horses, and they trampled her.</w:t>
      </w:r>
    </w:p>
    <w:p>
      <w:r>
        <w:rPr>
          <w:b/>
        </w:rPr>
        <w:t xml:space="preserve">34 </w:t>
      </w:r>
      <w:r>
        <w:t xml:space="preserve">And he entered and ate and drank and said, See now to this cursed woman</w:t>
      </w:r>
      <w:r>
        <w:rPr>
          <w:rStyle w:val="FootnoteReference"/>
        </w:rPr>
        <w:footnoteReference w:id="7186"/>
      </w:r>
      <w:r>
        <w:t xml:space="preserve"> and bury her, because she is a king's daughter.</w:t>
      </w:r>
      <w:r>
        <w:rPr>
          <w:rStyle w:val="FootnoteReference"/>
        </w:rPr>
        <w:footnoteReference w:id="7187"/>
      </w:r>
    </w:p>
    <w:p>
      <w:r>
        <w:rPr>
          <w:b/>
        </w:rPr>
        <w:t xml:space="preserve">35 </w:t>
      </w:r>
      <w:r>
        <w:t xml:space="preserve">And they went to bury her and found nothing of her except the skull and the feet and the palms of the hands.</w:t>
      </w:r>
    </w:p>
    <w:p>
      <w:r>
        <w:rPr>
          <w:b/>
        </w:rPr>
        <w:t xml:space="preserve">36 </w:t>
      </w:r>
      <w:r>
        <w:t xml:space="preserve">And they returned and reported to him, and he said, This is</w:t>
      </w:r>
      <w:r>
        <w:rPr>
          <w:rStyle w:val="FootnoteReference"/>
        </w:rPr>
        <w:footnoteReference w:id="7188"/>
      </w:r>
      <w:r>
        <w:t xml:space="preserve"> the word of the Lord which he spoke by the hand of his servant Elijah the Tishbite, saying, In the portion of Jezreel the dogs will eat the flesh of Jezebel.</w:t>
      </w:r>
    </w:p>
    <w:p>
      <w:r>
        <w:rPr>
          <w:b/>
        </w:rPr>
        <w:t xml:space="preserve">37 </w:t>
      </w:r>
      <w:r>
        <w:t xml:space="preserve">And corpse of Jezebel will be like dung on the face of the field in the portion of Jezreel, so that they cannot say, This is Jezebel.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Ahab had seventy sons</w:t>
      </w:r>
      <w:r>
        <w:rPr>
          <w:rStyle w:val="FootnoteReference"/>
        </w:rPr>
        <w:footnoteReference w:id="7189"/>
      </w:r>
      <w:r>
        <w:t xml:space="preserve"> in Samaria. And Jehu wrote a letter and sent it into Samaria to the rulers of Samaria and to the elders and to the guardians of the sons of Ahab, saying,</w:t>
      </w:r>
    </w:p>
    <w:p>
      <w:r>
        <w:rPr>
          <w:b/>
        </w:rPr>
        <w:t xml:space="preserve">2 </w:t>
      </w:r>
      <w:r>
        <w:t xml:space="preserve">And now when this letter comes to you, with you are the sons of your lord, and with you are the chariot and horses and fortified cities and weapons.</w:t>
      </w:r>
    </w:p>
    <w:p>
      <w:r>
        <w:rPr>
          <w:b/>
        </w:rPr>
        <w:t xml:space="preserve">3 </w:t>
      </w:r>
      <w:r>
        <w:t xml:space="preserve">And you will look for the good and upright among the sons of your lord and set him on the throne of his father, and fight for</w:t>
      </w:r>
      <w:r>
        <w:rPr>
          <w:rStyle w:val="FootnoteReference"/>
        </w:rPr>
        <w:footnoteReference w:id="7190"/>
      </w:r>
      <w:r>
        <w:t xml:space="preserve"> the house of your lord.</w:t>
      </w:r>
    </w:p>
    <w:p>
      <w:r>
        <w:rPr>
          <w:b/>
        </w:rPr>
        <w:t xml:space="preserve">4 </w:t>
      </w:r>
      <w:r>
        <w:t xml:space="preserve">And they feared greatly and said, Behold</w:t>
      </w:r>
      <w:r>
        <w:rPr>
          <w:rStyle w:val="FootnoteReference"/>
        </w:rPr>
        <w:footnoteReference w:id="7191"/>
      </w:r>
      <w:r>
        <w:t xml:space="preserve">, the two kings did not stand before him, and how shall we stand?</w:t>
      </w:r>
    </w:p>
    <w:p>
      <w:r>
        <w:rPr>
          <w:b/>
        </w:rPr>
        <w:t xml:space="preserve">5 </w:t>
      </w:r>
      <w:r>
        <w:t xml:space="preserve">And those over the house and those over the city and the elders and the guardians sent to Jehu, saying, We are your servants, and whatever you say to us we will do. We will not make any man king. Do what is good in your eyes.</w:t>
      </w:r>
    </w:p>
    <w:p>
      <w:r>
        <w:rPr>
          <w:b/>
        </w:rPr>
        <w:t xml:space="preserve">6 </w:t>
      </w:r>
      <w:r>
        <w:t xml:space="preserve">And he wrote to them a second letter</w:t>
      </w:r>
      <w:r>
        <w:rPr>
          <w:rStyle w:val="FootnoteReference"/>
        </w:rPr>
        <w:footnoteReference w:id="7192"/>
      </w:r>
      <w:r>
        <w:t xml:space="preserve">, saying, If you are for me and obey my voice, take the heads of the men, the sons of your lord, and bring them to me at this time tomorrow in Jezreel. And the sons of the king, seventy men, were with the great men of the city, those rearing them.</w:t>
      </w:r>
    </w:p>
    <w:p>
      <w:r>
        <w:rPr>
          <w:b/>
        </w:rPr>
        <w:t xml:space="preserve">7 </w:t>
      </w:r>
      <w:r>
        <w:t xml:space="preserve">And it came to be, when the letter came to them, they took the sons of the king and slaughtered them, seventy men, and put their heads in baskets and sent them to him in Jezreel.</w:t>
      </w:r>
    </w:p>
    <w:p>
      <w:r>
        <w:rPr>
          <w:b/>
        </w:rPr>
        <w:t xml:space="preserve">8 </w:t>
      </w:r>
      <w:r>
        <w:t xml:space="preserve">And the messenger came and reported, saying, They brought the heads of the sons of the king. And he said, Put them in two heaps by the doorway of the gate until morning.</w:t>
      </w:r>
    </w:p>
    <w:p>
      <w:r>
        <w:rPr>
          <w:b/>
        </w:rPr>
        <w:t xml:space="preserve">9 </w:t>
      </w:r>
      <w:r>
        <w:t xml:space="preserve">And it came to be in the morning, he went out and stood in the gate of the city and said to all the people, You are righteous. Behold, I conspired</w:t>
      </w:r>
      <w:r>
        <w:rPr>
          <w:rStyle w:val="FootnoteReference"/>
        </w:rPr>
        <w:footnoteReference w:id="7193"/>
      </w:r>
      <w:r>
        <w:t xml:space="preserve"> against my lord and killed him, but who struck all these?</w:t>
      </w:r>
    </w:p>
    <w:p>
      <w:r>
        <w:rPr>
          <w:b/>
        </w:rPr>
        <w:t xml:space="preserve">10 </w:t>
      </w:r>
      <w:r>
        <w:t xml:space="preserve">Know now that not one thing from the word of the Lord will fall to the ground, which the Lord spoke against the house of Ahab. And the Lord has done what he spoke by the hand of his servant Elijah.</w:t>
      </w:r>
    </w:p>
    <w:p>
      <w:r>
        <w:rPr>
          <w:b/>
        </w:rPr>
        <w:t xml:space="preserve">11 </w:t>
      </w:r>
      <w:r>
        <w:t xml:space="preserve">And Jehu struck all those left of the house of Ahab in Jezreel and all his great men and his acquaintances and his priests</w:t>
      </w:r>
      <w:r>
        <w:rPr>
          <w:rStyle w:val="FootnoteReference"/>
        </w:rPr>
        <w:footnoteReference w:id="7194"/>
      </w:r>
      <w:r>
        <w:t xml:space="preserve"> until he left him no remnant.</w:t>
      </w:r>
    </w:p>
    <w:p>
      <w:r>
        <w:rPr>
          <w:b/>
        </w:rPr>
        <w:t xml:space="preserve">12 </w:t>
      </w:r>
      <w:r>
        <w:t xml:space="preserve">And he rose and went to Samaria, he at Beth-eked</w:t>
      </w:r>
      <w:r>
        <w:rPr>
          <w:rStyle w:val="FootnoteReference"/>
        </w:rPr>
        <w:footnoteReference w:id="7195"/>
      </w:r>
      <w:r>
        <w:t xml:space="preserve"> of the shepherds on the way.</w:t>
      </w:r>
    </w:p>
    <w:p>
      <w:r>
        <w:rPr>
          <w:b/>
        </w:rPr>
        <w:t xml:space="preserve">13 </w:t>
      </w:r>
      <w:r>
        <w:t xml:space="preserve">And Jehu found the brothers of Ahaziah king of Judah and said, Who are you? And they said, We are brothers of Ahaziah, and we came down to greet the sons of the king and the sons of the ruling lady</w:t>
      </w:r>
      <w:r>
        <w:rPr>
          <w:rStyle w:val="FootnoteReference"/>
        </w:rPr>
        <w:footnoteReference w:id="7196"/>
      </w:r>
      <w:r>
        <w:t xml:space="preserve">.</w:t>
      </w:r>
    </w:p>
    <w:p>
      <w:r>
        <w:rPr>
          <w:b/>
        </w:rPr>
        <w:t xml:space="preserve">14 </w:t>
      </w:r>
      <w:r>
        <w:t xml:space="preserve">And he said, Seize them alive. And they seized them alive and slaughtered them at Beth-eked, forty-two men. He left not a man from among them.</w:t>
      </w:r>
    </w:p>
    <w:p>
      <w:r>
        <w:rPr>
          <w:b/>
        </w:rPr>
        <w:t xml:space="preserve">15 </w:t>
      </w:r>
      <w:r>
        <w:t xml:space="preserve">And he went from there and found Jehonadab</w:t>
      </w:r>
      <w:r>
        <w:rPr>
          <w:rStyle w:val="FootnoteReference"/>
        </w:rPr>
        <w:footnoteReference w:id="7197"/>
      </w:r>
      <w:r>
        <w:t xml:space="preserve"> son of Rechab on the way to meet him and blessed him and said to him, Is your heart straight with my heart</w:t>
      </w:r>
      <w:r>
        <w:rPr>
          <w:rStyle w:val="FootnoteReference"/>
        </w:rPr>
        <w:footnoteReference w:id="7198"/>
      </w:r>
      <w:r>
        <w:t xml:space="preserve">, as my heart is with your heart? And Jehonadab said, It is. And Jehu said, If it is, give your hand. And he gave his hand, and he took him up to himself into the chariot.</w:t>
      </w:r>
      <w:r>
        <w:rPr>
          <w:rStyle w:val="FootnoteReference"/>
        </w:rPr>
        <w:footnoteReference w:id="7199"/>
      </w:r>
    </w:p>
    <w:p>
      <w:r>
        <w:rPr>
          <w:b/>
        </w:rPr>
        <w:t xml:space="preserve">16 </w:t>
      </w:r>
      <w:r>
        <w:t xml:space="preserve">And he said to him, Come with me</w:t>
      </w:r>
      <w:r>
        <w:rPr>
          <w:rStyle w:val="FootnoteReference"/>
        </w:rPr>
        <w:footnoteReference w:id="7200"/>
      </w:r>
      <w:r>
        <w:t xml:space="preserve"> and see in my zeal for the Lord of hosts. And he seated him in his chariot.</w:t>
      </w:r>
    </w:p>
    <w:p>
      <w:r>
        <w:rPr>
          <w:b/>
        </w:rPr>
        <w:t xml:space="preserve">17 </w:t>
      </w:r>
      <w:r>
        <w:t xml:space="preserve">And he entered Samaria and struck all those left to Ahab in Samaria until destroying him, according to the word of the Lord which he spoke to Elijah.</w:t>
      </w:r>
    </w:p>
    <w:p>
      <w:r>
        <w:rPr>
          <w:b/>
        </w:rPr>
        <w:t xml:space="preserve">18 </w:t>
      </w:r>
      <w:r>
        <w:t xml:space="preserve">And Jehu gathered all the people and said to them, Ahab served Baal</w:t>
      </w:r>
      <w:r>
        <w:rPr>
          <w:rStyle w:val="FootnoteReference"/>
        </w:rPr>
        <w:footnoteReference w:id="7201"/>
      </w:r>
      <w:r>
        <w:t xml:space="preserve"> a little; Jehu will serve him much.</w:t>
      </w:r>
    </w:p>
    <w:p>
      <w:r>
        <w:rPr>
          <w:b/>
        </w:rPr>
        <w:t xml:space="preserve">19 </w:t>
      </w:r>
      <w:r>
        <w:t xml:space="preserve">And now call to me all the prophets</w:t>
      </w:r>
      <w:r>
        <w:rPr>
          <w:rStyle w:val="FootnoteReference"/>
        </w:rPr>
        <w:footnoteReference w:id="7202"/>
      </w:r>
      <w:r>
        <w:t xml:space="preserve"> of Baal, all his servants, and all his priests. Let not a man be overlooked, because I have a great sacrifice for Baal. Everyone who is overlooked will not live. And Jehu did it in deception, in order to destroy the servants of Baal.</w:t>
      </w:r>
      <w:r>
        <w:rPr>
          <w:rStyle w:val="FootnoteReference"/>
        </w:rPr>
        <w:footnoteReference w:id="7203"/>
      </w:r>
    </w:p>
    <w:p>
      <w:r>
        <w:rPr>
          <w:b/>
        </w:rPr>
        <w:t xml:space="preserve">20 </w:t>
      </w:r>
      <w:r>
        <w:t xml:space="preserve">And Jehu said, Sanctify a festival for Baal. And they proclaimed it.</w:t>
      </w:r>
    </w:p>
    <w:p>
      <w:r>
        <w:rPr>
          <w:b/>
        </w:rPr>
        <w:t xml:space="preserve">21 </w:t>
      </w:r>
      <w:r>
        <w:t xml:space="preserve">And Jehu sent through all Israel, and all the servants of Baal and all his priests and all his prophets came. No one was left out who did not come. And they entered the house of Baal</w:t>
      </w:r>
      <w:r>
        <w:rPr>
          <w:rStyle w:val="FootnoteReference"/>
        </w:rPr>
        <w:footnoteReference w:id="7204"/>
      </w:r>
      <w:r>
        <w:t xml:space="preserve">, and the house of Baal was filled from mouth to mouth</w:t>
      </w:r>
      <w:r>
        <w:rPr>
          <w:rStyle w:val="FootnoteReference"/>
        </w:rPr>
        <w:footnoteReference w:id="7205"/>
      </w:r>
      <w:r>
        <w:t xml:space="preserve">.</w:t>
      </w:r>
    </w:p>
    <w:p>
      <w:r>
        <w:rPr>
          <w:b/>
        </w:rPr>
        <w:t xml:space="preserve">22 </w:t>
      </w:r>
      <w:r>
        <w:t xml:space="preserve">And Jehu said to the one over the wardrobe, Bring out garments for all the servants of Baal. And the dresser brought out garments for them.</w:t>
      </w:r>
    </w:p>
    <w:p>
      <w:r>
        <w:rPr>
          <w:b/>
        </w:rPr>
        <w:t xml:space="preserve">23 </w:t>
      </w:r>
      <w:r>
        <w:t xml:space="preserve">And Jehu and Jehonadab</w:t>
      </w:r>
      <w:r>
        <w:rPr>
          <w:rStyle w:val="FootnoteReference"/>
        </w:rPr>
        <w:footnoteReference w:id="7206"/>
      </w:r>
      <w:r>
        <w:t xml:space="preserve"> son of Rechab entered the house of Baal and said to the servants of Baal, Search and see whether there is with you any of the servants of the Lord, because only the servants of Baal are here</w:t>
      </w:r>
      <w:r>
        <w:rPr>
          <w:rStyle w:val="FootnoteReference"/>
        </w:rPr>
        <w:footnoteReference w:id="7207"/>
      </w:r>
      <w:r>
        <w:t xml:space="preserve">.</w:t>
      </w:r>
    </w:p>
    <w:p>
      <w:r>
        <w:rPr>
          <w:b/>
        </w:rPr>
        <w:t xml:space="preserve">24 </w:t>
      </w:r>
      <w:r>
        <w:t xml:space="preserve">And they went in to offer the sacrifices and whole-burnt-offerings. And Jehu stationed for himself outside eighty men and said, The man who lets escape any from the men whom I bring into your hands, his life will be for that man's life.</w:t>
      </w:r>
      <w:r>
        <w:rPr>
          <w:rStyle w:val="FootnoteReference"/>
        </w:rPr>
        <w:footnoteReference w:id="7208"/>
      </w:r>
    </w:p>
    <w:p>
      <w:r>
        <w:rPr>
          <w:b/>
        </w:rPr>
        <w:t xml:space="preserve">25 </w:t>
      </w:r>
      <w:r>
        <w:t xml:space="preserve">And it came to be, when he finished offering the whole-burnt-offering, Jehu said to the runners and to the officers, Go in</w:t>
      </w:r>
      <w:r>
        <w:rPr>
          <w:rStyle w:val="FootnoteReference"/>
        </w:rPr>
        <w:footnoteReference w:id="7209"/>
      </w:r>
      <w:r>
        <w:t xml:space="preserve"> and strike them down. Let not a man come out. And they struck them with the edge of the sword, and the runners and the officers cast them out and went into the inner city of the house of Baal.</w:t>
      </w:r>
      <w:r>
        <w:rPr>
          <w:rStyle w:val="FootnoteReference"/>
        </w:rPr>
        <w:footnoteReference w:id="7210"/>
      </w:r>
    </w:p>
    <w:p>
      <w:r>
        <w:rPr>
          <w:b/>
        </w:rPr>
        <w:t xml:space="preserve">26 </w:t>
      </w:r>
      <w:r>
        <w:t xml:space="preserve">And they brought out the pillar of Baal and burned it.</w:t>
      </w:r>
    </w:p>
    <w:p>
      <w:r>
        <w:rPr>
          <w:b/>
        </w:rPr>
        <w:t xml:space="preserve">27 </w:t>
      </w:r>
      <w:r>
        <w:t xml:space="preserve">And they tore down the pillars of Baal and demolished the house of Baal and made it latrines to this day.</w:t>
      </w:r>
    </w:p>
    <w:p>
      <w:r>
        <w:rPr>
          <w:b/>
        </w:rPr>
        <w:t xml:space="preserve">28 </w:t>
      </w:r>
      <w:r>
        <w:t xml:space="preserve">And Jehu destroyed Baal from Israel.</w:t>
      </w:r>
    </w:p>
    <w:p>
      <w:r>
        <w:rPr>
          <w:b/>
        </w:rPr>
        <w:t xml:space="preserve">29 </w:t>
      </w:r>
      <w:r>
        <w:t xml:space="preserve">Only, from the sins</w:t>
      </w:r>
      <w:r>
        <w:rPr>
          <w:rStyle w:val="FootnoteReference"/>
        </w:rPr>
        <w:footnoteReference w:id="7211"/>
      </w:r>
      <w:r>
        <w:t xml:space="preserve"> of Jeroboam son of Nebat, who made Israel sin, Jehu did not turn away from after them</w:t>
      </w:r>
      <w:r>
        <w:rPr>
          <w:rStyle w:val="FootnoteReference"/>
        </w:rPr>
        <w:footnoteReference w:id="7212"/>
      </w:r>
      <w:r>
        <w:t xml:space="preserve">, the golden calves in Bethel and in Dan.</w:t>
      </w:r>
    </w:p>
    <w:p>
      <w:r>
        <w:rPr>
          <w:b/>
        </w:rPr>
        <w:t xml:space="preserve">30 </w:t>
      </w:r>
      <w:r>
        <w:t xml:space="preserve">And the Lord said to Jehu, Because you did well in doing what was right in my eyes and did to the house of Ahab all that was in my heart, fourth sons will sit for you</w:t>
      </w:r>
      <w:r>
        <w:rPr>
          <w:rStyle w:val="FootnoteReference"/>
        </w:rPr>
        <w:footnoteReference w:id="7213"/>
      </w:r>
      <w:r>
        <w:t xml:space="preserve"> on the throne of Israel.</w:t>
      </w:r>
    </w:p>
    <w:p>
      <w:r>
        <w:rPr>
          <w:b/>
        </w:rPr>
        <w:t xml:space="preserve">31 </w:t>
      </w:r>
      <w:r>
        <w:t xml:space="preserve">And Jehu was not careful to walk</w:t>
      </w:r>
      <w:r>
        <w:rPr>
          <w:rStyle w:val="FootnoteReference"/>
        </w:rPr>
        <w:footnoteReference w:id="7214"/>
      </w:r>
      <w:r>
        <w:t xml:space="preserve"> in the law of the Lord God of Israel with all his heart. He did not turn from the sins of Jeroboam son of Nebat, who made Israel sin.</w:t>
      </w:r>
    </w:p>
    <w:p>
      <w:r>
        <w:rPr>
          <w:b/>
        </w:rPr>
        <w:t xml:space="preserve">32 </w:t>
      </w:r>
      <w:r>
        <w:t xml:space="preserve">In those days the Lord began to cut away in Israel, and Hazael</w:t>
      </w:r>
      <w:r>
        <w:rPr>
          <w:rStyle w:val="FootnoteReference"/>
        </w:rPr>
        <w:footnoteReference w:id="7215"/>
      </w:r>
      <w:r>
        <w:t xml:space="preserve"> struck them in every border of Israel,</w:t>
      </w:r>
    </w:p>
    <w:p>
      <w:r>
        <w:rPr>
          <w:b/>
        </w:rPr>
        <w:t xml:space="preserve">33 </w:t>
      </w:r>
      <w:r>
        <w:t xml:space="preserve">from the Jordan toward sunrise, all the land of Gilead</w:t>
      </w:r>
      <w:r>
        <w:rPr>
          <w:rStyle w:val="FootnoteReference"/>
        </w:rPr>
        <w:footnoteReference w:id="7216"/>
      </w:r>
      <w:r>
        <w:t xml:space="preserve">, of Gad and of Reuben and of Manasseh, from Aroer, which is on the lip of the wadi Arnon, even Gilead and Bashan.</w:t>
      </w:r>
    </w:p>
    <w:p>
      <w:r>
        <w:rPr>
          <w:b/>
        </w:rPr>
        <w:t xml:space="preserve">34 </w:t>
      </w:r>
      <w:r>
        <w:t xml:space="preserve">And the rest of the words of Jehu and all that he did and all his might, are these not written in the book of the words of the days for the kings of Israel?</w:t>
      </w:r>
    </w:p>
    <w:p>
      <w:r>
        <w:rPr>
          <w:b/>
        </w:rPr>
        <w:t xml:space="preserve">35 </w:t>
      </w:r>
      <w:r>
        <w:t xml:space="preserve">And Jehu slept</w:t>
      </w:r>
      <w:r>
        <w:rPr>
          <w:rStyle w:val="FootnoteReference"/>
        </w:rPr>
        <w:footnoteReference w:id="7217"/>
      </w:r>
      <w:r>
        <w:t xml:space="preserve"> with his fathers, and they buried him in Samaria, and Jehoahaz</w:t>
      </w:r>
      <w:r>
        <w:rPr>
          <w:rStyle w:val="FootnoteReference"/>
        </w:rPr>
        <w:footnoteReference w:id="7218"/>
      </w:r>
      <w:r>
        <w:t xml:space="preserve"> his son reigned in his place.</w:t>
      </w:r>
    </w:p>
    <w:p>
      <w:r>
        <w:rPr>
          <w:b/>
        </w:rPr>
        <w:t xml:space="preserve">36 </w:t>
      </w:r>
      <w:r>
        <w:t xml:space="preserve">And the days which Jehu reigned over Israel were twenty-eight years in Samaria.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Athaliah</w:t>
      </w:r>
      <w:r>
        <w:rPr>
          <w:rStyle w:val="FootnoteReference"/>
        </w:rPr>
        <w:footnoteReference w:id="7219"/>
      </w:r>
      <w:r>
        <w:t xml:space="preserve">, the mother of Ahaziah, saw that her sons were dead, and she destroyed all the royal seed.</w:t>
      </w:r>
    </w:p>
    <w:p>
      <w:r>
        <w:rPr>
          <w:b/>
        </w:rPr>
        <w:t xml:space="preserve">2 </w:t>
      </w:r>
      <w:r>
        <w:t xml:space="preserve">And Iosabee daughter of King Joram</w:t>
      </w:r>
      <w:r>
        <w:rPr>
          <w:rStyle w:val="FootnoteReference"/>
        </w:rPr>
        <w:footnoteReference w:id="7220"/>
      </w:r>
      <w:r>
        <w:t xml:space="preserve">, sister of Ahaziah, took Joash son of her brother and stole him from the midst of the sons of the king being put to death, him and his nurse, into the bedchamber, and hid him from Athaliah, and he was not put to death.</w:t>
      </w:r>
      <w:r>
        <w:rPr>
          <w:rStyle w:val="FootnoteReference"/>
        </w:rPr>
        <w:footnoteReference w:id="7221"/>
      </w:r>
    </w:p>
    <w:p>
      <w:r>
        <w:rPr>
          <w:b/>
        </w:rPr>
        <w:t xml:space="preserve">3 </w:t>
      </w:r>
      <w:r>
        <w:t xml:space="preserve">And he was with her hidden in the house of the Lord six years, while Athaliah was reigning over the land.</w:t>
      </w:r>
    </w:p>
    <w:p>
      <w:r>
        <w:rPr>
          <w:b/>
        </w:rPr>
        <w:t xml:space="preserve">4 </w:t>
      </w:r>
      <w:r>
        <w:t xml:space="preserve">And in the seventh</w:t>
      </w:r>
      <w:r>
        <w:rPr>
          <w:rStyle w:val="FootnoteReference"/>
        </w:rPr>
        <w:footnoteReference w:id="7222"/>
      </w:r>
      <w:r>
        <w:t xml:space="preserve"> year Jehoiada the priest sent and took the centurions over the captains and the guard</w:t>
      </w:r>
      <w:r>
        <w:rPr>
          <w:rStyle w:val="FootnoteReference"/>
        </w:rPr>
        <w:footnoteReference w:id="7223"/>
      </w:r>
      <w:r>
        <w:t xml:space="preserve">, and brought them to himself into the house of the Lord and made a covenant with them before the Lord and made them swear and showed them the king's son.</w:t>
      </w:r>
    </w:p>
    <w:p>
      <w:r>
        <w:rPr>
          <w:b/>
        </w:rPr>
        <w:t xml:space="preserve">5 </w:t>
      </w:r>
      <w:r>
        <w:t xml:space="preserve">And he commanded them, saying, This is the word that you shall do</w:t>
      </w:r>
      <w:r>
        <w:rPr>
          <w:rStyle w:val="FootnoteReference"/>
        </w:rPr>
        <w:footnoteReference w:id="7224"/>
      </w:r>
      <w:r>
        <w:t xml:space="preserve">: a third of you, those entering on the Sabbath, shall keep watch of the king's house at the gate.</w:t>
      </w:r>
    </w:p>
    <w:p>
      <w:r>
        <w:rPr>
          <w:b/>
        </w:rPr>
        <w:t xml:space="preserve">6 </w:t>
      </w:r>
      <w:r>
        <w:t xml:space="preserve">And a third at the gate of the roads and a third at the gate behind the runners, and you shall keep the watch of the house.</w:t>
      </w:r>
    </w:p>
    <w:p>
      <w:r>
        <w:rPr>
          <w:b/>
        </w:rPr>
        <w:t xml:space="preserve">7 </w:t>
      </w:r>
      <w:r>
        <w:t xml:space="preserve">And two divisions among you</w:t>
      </w:r>
      <w:r>
        <w:rPr>
          <w:rStyle w:val="FootnoteReference"/>
        </w:rPr>
        <w:footnoteReference w:id="7225"/>
      </w:r>
      <w:r>
        <w:t xml:space="preserve">, all going out on the Sabbath, shall keep the watch of the house of the Lord for the king.</w:t>
      </w:r>
    </w:p>
    <w:p>
      <w:r>
        <w:rPr>
          <w:b/>
        </w:rPr>
        <w:t xml:space="preserve">8 </w:t>
      </w:r>
      <w:r>
        <w:t xml:space="preserve">And surround the king all around, each man with his weapon in his hand, and the one entering within the ranks shall die. And be with the king in his going out and in his coming in.</w:t>
      </w:r>
      <w:r>
        <w:rPr>
          <w:rStyle w:val="FootnoteReference"/>
        </w:rPr>
        <w:footnoteReference w:id="7226"/>
      </w:r>
    </w:p>
    <w:p>
      <w:r>
        <w:rPr>
          <w:b/>
        </w:rPr>
        <w:t xml:space="preserve">9 </w:t>
      </w:r>
      <w:r>
        <w:t xml:space="preserve">And the centurions did all that Jehoiada the priest commanded, and each man took his men, those entering on the Sabbath along with those going out on the Sabbath, and came to Jehoiada the priest.</w:t>
      </w:r>
    </w:p>
    <w:p>
      <w:r>
        <w:rPr>
          <w:b/>
        </w:rPr>
        <w:t xml:space="preserve">10 </w:t>
      </w:r>
      <w:r>
        <w:t xml:space="preserve">And the priest gave to the centurions King David's spears</w:t>
      </w:r>
      <w:r>
        <w:rPr>
          <w:rStyle w:val="FootnoteReference"/>
        </w:rPr>
        <w:footnoteReference w:id="7227"/>
      </w:r>
      <w:r>
        <w:t xml:space="preserve"> and shields, those in the house of the Lord.</w:t>
      </w:r>
    </w:p>
    <w:p>
      <w:r>
        <w:rPr>
          <w:b/>
        </w:rPr>
        <w:t xml:space="preserve">11 </w:t>
      </w:r>
      <w:r>
        <w:t xml:space="preserve">And the runners stood, each man with his weapon in his hand, from the right side of the house to the left side of the house, by the altar</w:t>
      </w:r>
      <w:r>
        <w:rPr>
          <w:rStyle w:val="FootnoteReference"/>
        </w:rPr>
        <w:footnoteReference w:id="7228"/>
      </w:r>
      <w:r>
        <w:t xml:space="preserve"> and the house, around the king.</w:t>
      </w:r>
    </w:p>
    <w:p>
      <w:r>
        <w:rPr>
          <w:b/>
        </w:rPr>
        <w:t xml:space="preserve">12 </w:t>
      </w:r>
      <w:r>
        <w:t xml:space="preserve">And he brought</w:t>
      </w:r>
      <w:r>
        <w:rPr>
          <w:rStyle w:val="FootnoteReference"/>
        </w:rPr>
        <w:footnoteReference w:id="7229"/>
      </w:r>
      <w:r>
        <w:t xml:space="preserve"> out the king's son and put on him the crown and the testimony and made him king and anointed him, and they clapped with the hand and said, Let the king live.</w:t>
      </w:r>
    </w:p>
    <w:p>
      <w:r>
        <w:rPr>
          <w:b/>
        </w:rPr>
        <w:t xml:space="preserve">13 </w:t>
      </w:r>
      <w:r>
        <w:t xml:space="preserve">And Athaliah heard the sound of the runners of the people and entered to the people in the house of the Lord.</w:t>
      </w:r>
    </w:p>
    <w:p>
      <w:r>
        <w:rPr>
          <w:b/>
        </w:rPr>
        <w:t xml:space="preserve">14 </w:t>
      </w:r>
      <w:r>
        <w:t xml:space="preserve">And she saw, and behold, the king was standing by the pillar according to the custom, and the singers and the trumpets were by the king, and all the people</w:t>
      </w:r>
      <w:r>
        <w:rPr>
          <w:rStyle w:val="FootnoteReference"/>
        </w:rPr>
        <w:footnoteReference w:id="7230"/>
      </w:r>
      <w:r>
        <w:t xml:space="preserve"> of the land were rejoicing and blowing with trumpets. And Athaliah tore her garments and cried, Conspiracy, conspiracy!</w:t>
      </w:r>
    </w:p>
    <w:p>
      <w:r>
        <w:rPr>
          <w:b/>
        </w:rPr>
        <w:t xml:space="preserve">15 </w:t>
      </w:r>
      <w:r>
        <w:t xml:space="preserve">And Jehoiada the priest commanded the centurions, the officers of the force, and said to them, Bring her out from within the ranks, and whoever enters after her shall certainly be put to death by the sword, because the priest said, Let her not die in the house of the Lord.</w:t>
      </w:r>
      <w:r>
        <w:rPr>
          <w:rStyle w:val="FootnoteReference"/>
        </w:rPr>
        <w:footnoteReference w:id="7231"/>
      </w:r>
    </w:p>
    <w:p>
      <w:r>
        <w:rPr>
          <w:b/>
        </w:rPr>
        <w:t xml:space="preserve">16 </w:t>
      </w:r>
      <w:r>
        <w:t xml:space="preserve">And they laid hands on her, and she went by way of the horse entrance of the king's house, and she died there.</w:t>
      </w:r>
    </w:p>
    <w:p>
      <w:r>
        <w:rPr>
          <w:b/>
        </w:rPr>
        <w:t xml:space="preserve">17 </w:t>
      </w:r>
      <w:r>
        <w:t xml:space="preserve">And Jehoiada made a covenant</w:t>
      </w:r>
      <w:r>
        <w:rPr>
          <w:rStyle w:val="FootnoteReference"/>
        </w:rPr>
        <w:footnoteReference w:id="7232"/>
      </w:r>
      <w:r>
        <w:t xml:space="preserve"> between the Lord and the king and the people, that they should be a people to the Lord, and between the king and the people.</w:t>
      </w:r>
    </w:p>
    <w:p>
      <w:r>
        <w:rPr>
          <w:b/>
        </w:rPr>
        <w:t xml:space="preserve">18 </w:t>
      </w:r>
      <w:r>
        <w:t xml:space="preserve">And all the people of the land entered the house of Baal and tore it down, and his altars and his images they broke well, and Matthan</w:t>
      </w:r>
      <w:r>
        <w:rPr>
          <w:rStyle w:val="FootnoteReference"/>
        </w:rPr>
        <w:footnoteReference w:id="7233"/>
      </w:r>
      <w:r>
        <w:t xml:space="preserve"> priest of Baal they killed before the altars. And the priest set overseers over the house of the Lord.</w:t>
      </w:r>
    </w:p>
    <w:p>
      <w:r>
        <w:rPr>
          <w:b/>
        </w:rPr>
        <w:t xml:space="preserve">19 </w:t>
      </w:r>
      <w:r>
        <w:t xml:space="preserve">And he took</w:t>
      </w:r>
      <w:r>
        <w:rPr>
          <w:rStyle w:val="FootnoteReference"/>
        </w:rPr>
        <w:footnoteReference w:id="7234"/>
      </w:r>
      <w:r>
        <w:t xml:space="preserve"> the centurions and the captains and the guard</w:t>
      </w:r>
      <w:r>
        <w:rPr>
          <w:rStyle w:val="FootnoteReference"/>
        </w:rPr>
        <w:footnoteReference w:id="7235"/>
      </w:r>
      <w:r>
        <w:t xml:space="preserve"> and all the people of the land and brought the king down from the house of the Lord and entered by way of the gate of the runners to the king's house, and they seated him on the throne of the kings.</w:t>
      </w:r>
    </w:p>
    <w:p>
      <w:r>
        <w:rPr>
          <w:b/>
        </w:rPr>
        <w:t xml:space="preserve">20 </w:t>
      </w:r>
      <w:r>
        <w:t xml:space="preserve">And all the people of the land rejoiced</w:t>
      </w:r>
      <w:r>
        <w:rPr>
          <w:rStyle w:val="FootnoteReference"/>
        </w:rPr>
        <w:footnoteReference w:id="7236"/>
      </w:r>
      <w:r>
        <w:t xml:space="preserve">, and the city was quiet, and they put Athaliah to death by the sword in the king's house.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Joash was seven years old when he became king.</w:t>
      </w:r>
      <w:r>
        <w:rPr>
          <w:rStyle w:val="FootnoteReference"/>
        </w:rPr>
        <w:footnoteReference w:id="7237"/>
      </w:r>
      <w:r>
        <w:t xml:space="preserve"/>
      </w:r>
    </w:p>
    <w:p>
      <w:r>
        <w:rPr>
          <w:b/>
        </w:rPr>
        <w:t xml:space="preserve">2 </w:t>
      </w:r>
      <w:r>
        <w:t xml:space="preserve">In the seventh year of Jehu, Joash became king, and he reigned forty years in Jerusalem, and the name of his mother was Abijah from Beersheba.</w:t>
      </w:r>
      <w:r>
        <w:rPr>
          <w:rStyle w:val="FootnoteReference"/>
        </w:rPr>
        <w:footnoteReference w:id="7238"/>
      </w:r>
    </w:p>
    <w:p>
      <w:r>
        <w:rPr>
          <w:b/>
        </w:rPr>
        <w:t xml:space="preserve">3 </w:t>
      </w:r>
      <w:r>
        <w:t xml:space="preserve">And Joash did what was right before the Lord all the days in which Jehoiada the priest instructed him.</w:t>
      </w:r>
      <w:r>
        <w:rPr>
          <w:rStyle w:val="FootnoteReference"/>
        </w:rPr>
        <w:footnoteReference w:id="7239"/>
      </w:r>
      <w:r>
        <w:t xml:space="preserve"/>
      </w:r>
    </w:p>
    <w:p>
      <w:r>
        <w:rPr>
          <w:b/>
        </w:rPr>
        <w:t xml:space="preserve">4 </w:t>
      </w:r>
      <w:r>
        <w:t xml:space="preserve">Only, the high places were not removed, and there the people still sacrificed and burned incense at the high places.</w:t>
      </w:r>
      <w:r>
        <w:rPr>
          <w:rStyle w:val="FootnoteReference"/>
        </w:rPr>
        <w:footnoteReference w:id="7240"/>
      </w:r>
      <w:r>
        <w:t xml:space="preserve"/>
      </w:r>
    </w:p>
    <w:p>
      <w:r>
        <w:rPr>
          <w:b/>
        </w:rPr>
        <w:t xml:space="preserve">5 </w:t>
      </w:r>
      <w:r>
        <w:t xml:space="preserve">And Joash said to the priests, All the silver of the holy things brought into the house of the Lord, silver of assessment, a man's silver from assessed value, every silver that comes up upon a man's heart to bring into the house of the Lord,</w:t>
      </w:r>
      <w:r>
        <w:rPr>
          <w:rStyle w:val="FootnoteReference"/>
        </w:rPr>
        <w:footnoteReference w:id="7241"/>
      </w:r>
    </w:p>
    <w:p>
      <w:r>
        <w:rPr>
          <w:b/>
        </w:rPr>
        <w:t xml:space="preserve">6 </w:t>
      </w:r>
      <w:r>
        <w:t xml:space="preserve">let the priests</w:t>
      </w:r>
      <w:r>
        <w:rPr>
          <w:rStyle w:val="FootnoteReference"/>
        </w:rPr>
        <w:footnoteReference w:id="7242"/>
      </w:r>
      <w:r>
        <w:t xml:space="preserve"> take it for themselves, each from his collection, and they themselves shall repair the breach of the house wherever any breach is found there.</w:t>
      </w:r>
    </w:p>
    <w:p>
      <w:r>
        <w:rPr>
          <w:b/>
        </w:rPr>
        <w:t xml:space="preserve">7 </w:t>
      </w:r>
      <w:r>
        <w:t xml:space="preserve">And it came to be in the twenty-third year of King Joash, the priests had not repaired the breach</w:t>
      </w:r>
      <w:r>
        <w:rPr>
          <w:rStyle w:val="FootnoteReference"/>
        </w:rPr>
        <w:footnoteReference w:id="7243"/>
      </w:r>
      <w:r>
        <w:t xml:space="preserve"> of the house.</w:t>
      </w:r>
    </w:p>
    <w:p>
      <w:r>
        <w:rPr>
          <w:b/>
        </w:rPr>
        <w:t xml:space="preserve">8 </w:t>
      </w:r>
      <w:r>
        <w:t xml:space="preserve">And King Joash called Jehoiada the priest and the priests and said to them, Why is it that you do not repair the breach of the house? And now do not take silver from your collections, because you will give it for the breach of the house.</w:t>
      </w:r>
    </w:p>
    <w:p>
      <w:r>
        <w:rPr>
          <w:b/>
        </w:rPr>
        <w:t xml:space="preserve">9 </w:t>
      </w:r>
      <w:r>
        <w:t xml:space="preserve">And the priests</w:t>
      </w:r>
      <w:r>
        <w:rPr>
          <w:rStyle w:val="FootnoteReference"/>
        </w:rPr>
        <w:footnoteReference w:id="7244"/>
      </w:r>
      <w:r>
        <w:t xml:space="preserve"> agreed not to take silver from the people</w:t>
      </w:r>
      <w:r>
        <w:rPr>
          <w:rStyle w:val="FootnoteReference"/>
        </w:rPr>
        <w:footnoteReference w:id="7245"/>
      </w:r>
      <w:r>
        <w:t xml:space="preserve"> and not to repair the breach of the house.</w:t>
      </w:r>
    </w:p>
    <w:p>
      <w:r>
        <w:rPr>
          <w:b/>
        </w:rPr>
        <w:t xml:space="preserve">10 </w:t>
      </w:r>
      <w:r>
        <w:t xml:space="preserve">And Jehoiada the priest took one chest and bored a hole in its lid and set it beside the altar, at the right side as a man enters the house of the Lord. And the priests keeping the threshold put there all the silver found in the house of the Lord.</w:t>
      </w:r>
    </w:p>
    <w:p>
      <w:r>
        <w:rPr>
          <w:b/>
        </w:rPr>
        <w:t xml:space="preserve">11 </w:t>
      </w:r>
      <w:r>
        <w:t xml:space="preserve">And it came to be, when they saw that there was much silver in the chest, the king's scribe and the high priest went up and tied and counted the silver</w:t>
      </w:r>
      <w:r>
        <w:rPr>
          <w:rStyle w:val="FootnoteReference"/>
        </w:rPr>
        <w:footnoteReference w:id="7246"/>
      </w:r>
      <w:r>
        <w:t xml:space="preserve"> found in the house of the Lord.</w:t>
      </w:r>
    </w:p>
    <w:p>
      <w:r>
        <w:rPr>
          <w:b/>
        </w:rPr>
        <w:t xml:space="preserve">12 </w:t>
      </w:r>
      <w:r>
        <w:t xml:space="preserve">And they gave the silver, weighed out, into the hands of those doing the works, the overseers of the house of the Lord, and they spent it on the carpenters of wood and on the builders doing work in the house of the Lord,</w:t>
      </w:r>
    </w:p>
    <w:p>
      <w:r>
        <w:rPr>
          <w:b/>
        </w:rPr>
        <w:t xml:space="preserve">13 </w:t>
      </w:r>
      <w:r>
        <w:t xml:space="preserve">and on the masons and on the stonecutters to buy timber and quarried stones to hold together the breach of the house of the Lord, for everything laid out on the house to strengthen it.</w:t>
      </w:r>
    </w:p>
    <w:p>
      <w:r>
        <w:rPr>
          <w:b/>
        </w:rPr>
        <w:t xml:space="preserve">14 </w:t>
      </w:r>
      <w:r>
        <w:t xml:space="preserve">Only, there were not made for the house of the Lord silver bowls, snuffers, basins, trumpets, any vessel of gold or vessel of silver, from the silver brought into the house of the Lord,</w:t>
      </w:r>
      <w:r>
        <w:rPr>
          <w:rStyle w:val="FootnoteReference"/>
        </w:rPr>
        <w:footnoteReference w:id="7247"/>
      </w:r>
    </w:p>
    <w:p>
      <w:r>
        <w:rPr>
          <w:b/>
        </w:rPr>
        <w:t xml:space="preserve">15 </w:t>
      </w:r>
      <w:r>
        <w:t xml:space="preserve">because they would give it to those doing the works, and they strengthened with it the house of the Lord.</w:t>
      </w:r>
    </w:p>
    <w:p>
      <w:r>
        <w:rPr>
          <w:b/>
        </w:rPr>
        <w:t xml:space="preserve">16 </w:t>
      </w:r>
      <w:r>
        <w:t xml:space="preserve">And they did not reckon with the men into whose hands they gave the silver to give to those doing the works, because they acted in faithfulness.</w:t>
      </w:r>
    </w:p>
    <w:p>
      <w:r>
        <w:rPr>
          <w:b/>
        </w:rPr>
        <w:t xml:space="preserve">17 </w:t>
      </w:r>
      <w:r>
        <w:t xml:space="preserve">Silver for sin and silver for trespass, whatever was brought into the house of the Lord, became the priests'.</w:t>
      </w:r>
      <w:r>
        <w:rPr>
          <w:rStyle w:val="FootnoteReference"/>
        </w:rPr>
        <w:footnoteReference w:id="7248"/>
      </w:r>
      <w:r>
        <w:t xml:space="preserve"/>
      </w:r>
    </w:p>
    <w:p>
      <w:r>
        <w:rPr>
          <w:b/>
        </w:rPr>
        <w:t xml:space="preserve">18 </w:t>
      </w:r>
      <w:r>
        <w:t xml:space="preserve">Then Hazael king of Syria went up and fought against Gath and took it, and Hazael set his face to go up</w:t>
      </w:r>
      <w:r>
        <w:rPr>
          <w:rStyle w:val="FootnoteReference"/>
        </w:rPr>
        <w:footnoteReference w:id="7249"/>
      </w:r>
      <w:r>
        <w:t xml:space="preserve"> against Jerusalem.</w:t>
      </w:r>
    </w:p>
    <w:p>
      <w:r>
        <w:rPr>
          <w:b/>
        </w:rPr>
        <w:t xml:space="preserve">19 </w:t>
      </w:r>
      <w:r>
        <w:t xml:space="preserve">And Joash king of Judah took all the holy things that Jehoshaphat and Joram and Ahaziah his fathers, kings of Judah, had dedicated, and his own holy things and all the gold found in the treasuries of the house of the Lord and of the king's house, and sent them to Hazael king of Syria, and he went up away from Jerusalem.</w:t>
      </w:r>
      <w:r>
        <w:rPr>
          <w:rStyle w:val="FootnoteReference"/>
        </w:rPr>
        <w:footnoteReference w:id="7250"/>
      </w:r>
    </w:p>
    <w:p>
      <w:r>
        <w:rPr>
          <w:b/>
        </w:rPr>
        <w:t xml:space="preserve">20 </w:t>
      </w:r>
      <w:r>
        <w:t xml:space="preserve">And the rest of the words of Joash and all that he did, are these not written in the book of the words of the days for the kings of Judah?</w:t>
      </w:r>
    </w:p>
    <w:p>
      <w:r>
        <w:rPr>
          <w:b/>
        </w:rPr>
        <w:t xml:space="preserve">21 </w:t>
      </w:r>
      <w:r>
        <w:t xml:space="preserve">And his servants rose and bound a conspiracy and struck Joash at the house Mallo in Gaalla.</w:t>
      </w:r>
      <w:r>
        <w:rPr>
          <w:rStyle w:val="FootnoteReference"/>
        </w:rPr>
        <w:footnoteReference w:id="7251"/>
      </w:r>
    </w:p>
    <w:p>
      <w:r>
        <w:rPr>
          <w:b/>
        </w:rPr>
        <w:t xml:space="preserve">22 </w:t>
      </w:r>
      <w:r>
        <w:t xml:space="preserve">And Iezichar son of Iemouath and Iezebouth his servant, son of Shomer</w:t>
      </w:r>
      <w:r>
        <w:rPr>
          <w:rStyle w:val="FootnoteReference"/>
        </w:rPr>
        <w:footnoteReference w:id="7252"/>
      </w:r>
      <w:r>
        <w:t xml:space="preserve">, struck him, and he died. And they buried him with his fathers in the city of David, and Amaziah</w:t>
      </w:r>
      <w:r>
        <w:rPr>
          <w:rStyle w:val="FootnoteReference"/>
        </w:rPr>
        <w:footnoteReference w:id="7253"/>
      </w:r>
      <w:r>
        <w:t xml:space="preserve">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In the twenty-third year of Joash son of Ahaziah, king of Judah, Jehoahaz</w:t>
      </w:r>
      <w:r>
        <w:rPr>
          <w:rStyle w:val="FootnoteReference"/>
        </w:rPr>
        <w:footnoteReference w:id="7254"/>
      </w:r>
      <w:r>
        <w:t xml:space="preserve"> son of Jehu reigned in Samaria seventeen years.</w:t>
      </w:r>
    </w:p>
    <w:p>
      <w:r>
        <w:rPr>
          <w:b/>
        </w:rPr>
        <w:t xml:space="preserve">2 </w:t>
      </w:r>
      <w:r>
        <w:t xml:space="preserve">And he did evil in the eyes of the Lord and went after the sins of Jeroboam son of Nebat, who made Israel sin. He did not depart from them.</w:t>
      </w:r>
    </w:p>
    <w:p>
      <w:r>
        <w:rPr>
          <w:b/>
        </w:rPr>
        <w:t xml:space="preserve">3 </w:t>
      </w:r>
      <w:r>
        <w:t xml:space="preserve">And the Lord grew angry in wrath against Israel and gave them into the hand of Hazael</w:t>
      </w:r>
      <w:r>
        <w:rPr>
          <w:rStyle w:val="FootnoteReference"/>
        </w:rPr>
        <w:footnoteReference w:id="7255"/>
      </w:r>
      <w:r>
        <w:t xml:space="preserve"> king of Syria and into the hand of Ben-hadad son of Hazael all the days.</w:t>
      </w:r>
    </w:p>
    <w:p>
      <w:r>
        <w:rPr>
          <w:b/>
        </w:rPr>
        <w:t xml:space="preserve">4 </w:t>
      </w:r>
      <w:r>
        <w:t xml:space="preserve">And Jehoahaz</w:t>
      </w:r>
      <w:r>
        <w:rPr>
          <w:rStyle w:val="FootnoteReference"/>
        </w:rPr>
        <w:footnoteReference w:id="7256"/>
      </w:r>
      <w:r>
        <w:t xml:space="preserve"> entreated the face of the Lord, and the Lord listened to him, because he saw the oppression of Israel, that the king of Syria oppressed them.</w:t>
      </w:r>
    </w:p>
    <w:p>
      <w:r>
        <w:rPr>
          <w:b/>
        </w:rPr>
        <w:t xml:space="preserve">5 </w:t>
      </w:r>
      <w:r>
        <w:t xml:space="preserve">And the Lord gave salvation to Israel, and he went out from under the hand of Syria, and the sons of Israel sat in their tents as formerly.</w:t>
      </w:r>
    </w:p>
    <w:p>
      <w:r>
        <w:rPr>
          <w:b/>
        </w:rPr>
        <w:t xml:space="preserve">6 </w:t>
      </w:r>
      <w:r>
        <w:t xml:space="preserve">Only, they did not depart from the sins of the house of Jeroboam, who made Israel sin. In them they walked</w:t>
      </w:r>
      <w:r>
        <w:rPr>
          <w:rStyle w:val="FootnoteReference"/>
        </w:rPr>
        <w:footnoteReference w:id="7257"/>
      </w:r>
      <w:r>
        <w:t xml:space="preserve">, and even the grove stood in Samaria.</w:t>
      </w:r>
    </w:p>
    <w:p>
      <w:r>
        <w:rPr>
          <w:b/>
        </w:rPr>
        <w:t xml:space="preserve">7 </w:t>
      </w:r>
      <w:r>
        <w:t xml:space="preserve">Because there was not left to Jehoahaz a people except fifty horsemen</w:t>
      </w:r>
      <w:r>
        <w:rPr>
          <w:rStyle w:val="FootnoteReference"/>
        </w:rPr>
        <w:footnoteReference w:id="7258"/>
      </w:r>
      <w:r>
        <w:t xml:space="preserve"> and ten chariots and ten thousand footmen, because the king of Syria destroyed them and set them like dust for trampling.</w:t>
      </w:r>
    </w:p>
    <w:p>
      <w:r>
        <w:rPr>
          <w:b/>
        </w:rPr>
        <w:t xml:space="preserve">8 </w:t>
      </w:r>
      <w:r>
        <w:t xml:space="preserve">And the rest</w:t>
      </w:r>
      <w:r>
        <w:rPr>
          <w:rStyle w:val="FootnoteReference"/>
        </w:rPr>
        <w:footnoteReference w:id="7259"/>
      </w:r>
      <w:r>
        <w:t xml:space="preserve"> of the words of Jehoahaz and all that he did and his acts of power, are these not written in the book of the words of the days for the kings of Israel?</w:t>
      </w:r>
    </w:p>
    <w:p>
      <w:r>
        <w:rPr>
          <w:b/>
        </w:rPr>
        <w:t xml:space="preserve">9 </w:t>
      </w:r>
      <w:r>
        <w:t xml:space="preserve">And Jehoahaz slept with his fathers, and they buried him</w:t>
      </w:r>
      <w:r>
        <w:rPr>
          <w:rStyle w:val="FootnoteReference"/>
        </w:rPr>
        <w:footnoteReference w:id="7260"/>
      </w:r>
      <w:r>
        <w:t xml:space="preserve"> with his fathers in Samaria, and Joash his son reigned in his place.</w:t>
      </w:r>
    </w:p>
    <w:p>
      <w:r>
        <w:rPr>
          <w:b/>
        </w:rPr>
        <w:t xml:space="preserve">10 </w:t>
      </w:r>
      <w:r>
        <w:t xml:space="preserve">In the thirty-seventh year of Joash king of Judah, Joash son of Jehoahaz reigned over Israel in Samaria sixteen years.</w:t>
      </w:r>
    </w:p>
    <w:p>
      <w:r>
        <w:rPr>
          <w:b/>
        </w:rPr>
        <w:t xml:space="preserve">11 </w:t>
      </w:r>
      <w:r>
        <w:t xml:space="preserve">And he did evil in the eyes of the Lord. He did not depart from all the sins of Jeroboam son of Nebat, who made Israel sin. In them he walked.</w:t>
      </w:r>
    </w:p>
    <w:p>
      <w:r>
        <w:rPr>
          <w:b/>
        </w:rPr>
        <w:t xml:space="preserve">12 </w:t>
      </w:r>
      <w:r>
        <w:t xml:space="preserve">And the rest</w:t>
      </w:r>
      <w:r>
        <w:rPr>
          <w:rStyle w:val="FootnoteReference"/>
        </w:rPr>
        <w:footnoteReference w:id="7261"/>
      </w:r>
      <w:r>
        <w:t xml:space="preserve"> of the words of Joash and all that he did and his acts of power</w:t>
      </w:r>
      <w:r>
        <w:rPr>
          <w:rStyle w:val="FootnoteReference"/>
        </w:rPr>
        <w:footnoteReference w:id="7262"/>
      </w:r>
      <w:r>
        <w:t xml:space="preserve"> with which he fought with Amaziah king of Judah, are these not written in the book of the words of the days for the kings of Israel?</w:t>
      </w:r>
    </w:p>
    <w:p>
      <w:r>
        <w:rPr>
          <w:b/>
        </w:rPr>
        <w:t xml:space="preserve">13 </w:t>
      </w:r>
      <w:r>
        <w:t xml:space="preserve">And Joash slept</w:t>
      </w:r>
      <w:r>
        <w:rPr>
          <w:rStyle w:val="FootnoteReference"/>
        </w:rPr>
        <w:footnoteReference w:id="7263"/>
      </w:r>
      <w:r>
        <w:t xml:space="preserve"> with his fathers, and Jeroboam sat upon his throne in Samaria among the sons of Israel.</w:t>
      </w:r>
    </w:p>
    <w:p>
      <w:r>
        <w:rPr>
          <w:b/>
        </w:rPr>
        <w:t xml:space="preserve">14 </w:t>
      </w:r>
      <w:r>
        <w:t xml:space="preserve">And Elisha became sick with the sickness by which he died</w:t>
      </w:r>
      <w:r>
        <w:rPr>
          <w:rStyle w:val="FootnoteReference"/>
        </w:rPr>
        <w:footnoteReference w:id="7264"/>
      </w:r>
      <w:r>
        <w:t xml:space="preserve">, and Joash king of Israel came down to him and wept over his face and said, My father, my father, chariot of Israel and its horseman.</w:t>
      </w:r>
      <w:r>
        <w:rPr>
          <w:rStyle w:val="FootnoteReference"/>
        </w:rPr>
        <w:footnoteReference w:id="7265"/>
      </w:r>
    </w:p>
    <w:p>
      <w:r>
        <w:rPr>
          <w:b/>
        </w:rPr>
        <w:t xml:space="preserve">15 </w:t>
      </w:r>
      <w:r>
        <w:t xml:space="preserve">And Elisha said to him, Take a bow and arrows. And he took for himself a bow and arrows.</w:t>
      </w:r>
    </w:p>
    <w:p>
      <w:r>
        <w:rPr>
          <w:b/>
        </w:rPr>
        <w:t xml:space="preserve">16 </w:t>
      </w:r>
      <w:r>
        <w:t xml:space="preserve">And he said to the king, Lay your hand upon the bow. And Joash laid his hand upon the bow, and Elisha</w:t>
      </w:r>
      <w:r>
        <w:rPr>
          <w:rStyle w:val="FootnoteReference"/>
        </w:rPr>
        <w:footnoteReference w:id="7266"/>
      </w:r>
      <w:r>
        <w:t xml:space="preserve"> placed his hands upon the hands of the king.</w:t>
      </w:r>
    </w:p>
    <w:p>
      <w:r>
        <w:rPr>
          <w:b/>
        </w:rPr>
        <w:t xml:space="preserve">17 </w:t>
      </w:r>
      <w:r>
        <w:t xml:space="preserve">And he said, Open</w:t>
      </w:r>
      <w:r>
        <w:rPr>
          <w:rStyle w:val="FootnoteReference"/>
        </w:rPr>
        <w:footnoteReference w:id="7267"/>
      </w:r>
      <w:r>
        <w:t xml:space="preserve"> the window toward the east. And he opened it. And Elisha said, Shoot. And he shot. And he said, An arrow of salvation for the Lord and an arrow of salvation against Syria</w:t>
      </w:r>
      <w:r>
        <w:rPr>
          <w:rStyle w:val="FootnoteReference"/>
        </w:rPr>
        <w:footnoteReference w:id="7268"/>
      </w:r>
      <w:r>
        <w:t xml:space="preserve">, and you will strike Syria at Aphek until completion.</w:t>
      </w:r>
    </w:p>
    <w:p>
      <w:r>
        <w:rPr>
          <w:b/>
        </w:rPr>
        <w:t xml:space="preserve">18 </w:t>
      </w:r>
      <w:r>
        <w:t xml:space="preserve">And Elisha said to him, Take the arrows. And he took them. And he said to the king of Israel, Strike into the ground. And the king struck three times and stopped.</w:t>
      </w:r>
    </w:p>
    <w:p>
      <w:r>
        <w:rPr>
          <w:b/>
        </w:rPr>
        <w:t xml:space="preserve">19 </w:t>
      </w:r>
      <w:r>
        <w:t xml:space="preserve">And the man of God</w:t>
      </w:r>
      <w:r>
        <w:rPr>
          <w:rStyle w:val="FootnoteReference"/>
        </w:rPr>
        <w:footnoteReference w:id="7269"/>
      </w:r>
      <w:r>
        <w:t xml:space="preserve"> was grieved over him and said, If you had struck five or six times, then you would have struck Syria until completion. But now three times you will strike Syria.</w:t>
      </w:r>
    </w:p>
    <w:p>
      <w:r>
        <w:rPr>
          <w:b/>
        </w:rPr>
        <w:t xml:space="preserve">20 </w:t>
      </w:r>
      <w:r>
        <w:t xml:space="preserve">And Elisha died, and they buried him</w:t>
      </w:r>
      <w:r>
        <w:rPr>
          <w:rStyle w:val="FootnoteReference"/>
        </w:rPr>
        <w:footnoteReference w:id="7270"/>
      </w:r>
      <w:r>
        <w:t xml:space="preserve">. And raiding bands of Moab came into the land at the coming of the year.</w:t>
      </w:r>
    </w:p>
    <w:p>
      <w:r>
        <w:rPr>
          <w:b/>
        </w:rPr>
        <w:t xml:space="preserve">21 </w:t>
      </w:r>
      <w:r>
        <w:t xml:space="preserve">And it came to be, while they were burying a man, behold, they saw the raiding band, and they threw the man into the tomb of Elisha. And he went and touched</w:t>
      </w:r>
      <w:r>
        <w:rPr>
          <w:rStyle w:val="FootnoteReference"/>
        </w:rPr>
        <w:footnoteReference w:id="7271"/>
      </w:r>
      <w:r>
        <w:t xml:space="preserve"> the bones of Elisha and lived and stood on his feet.</w:t>
      </w:r>
    </w:p>
    <w:p>
      <w:r>
        <w:rPr>
          <w:b/>
        </w:rPr>
        <w:t xml:space="preserve">22 </w:t>
      </w:r>
      <w:r>
        <w:t xml:space="preserve">And Hazael</w:t>
      </w:r>
      <w:r>
        <w:rPr>
          <w:rStyle w:val="FootnoteReference"/>
        </w:rPr>
        <w:footnoteReference w:id="7272"/>
      </w:r>
      <w:r>
        <w:t xml:space="preserve"> oppressed Israel all the days of Jehoahaz.</w:t>
      </w:r>
    </w:p>
    <w:p>
      <w:r>
        <w:rPr>
          <w:b/>
        </w:rPr>
        <w:t xml:space="preserve">23 </w:t>
      </w:r>
      <w:r>
        <w:t xml:space="preserve">And the Lord</w:t>
      </w:r>
      <w:r>
        <w:rPr>
          <w:rStyle w:val="FootnoteReference"/>
        </w:rPr>
        <w:footnoteReference w:id="7273"/>
      </w:r>
      <w:r>
        <w:t xml:space="preserve"> had mercy on them and pitied them and looked toward them because of his covenant with Abraham and Isaac and Jacob, and the Lord did not wish to destroy them and did not cast them from before his face</w:t>
      </w:r>
      <w:r>
        <w:rPr>
          <w:rStyle w:val="FootnoteReference"/>
        </w:rPr>
        <w:footnoteReference w:id="7274"/>
      </w:r>
      <w:r>
        <w:t xml:space="preserve"> until now.</w:t>
      </w:r>
    </w:p>
    <w:p>
      <w:r>
        <w:rPr>
          <w:b/>
        </w:rPr>
        <w:t xml:space="preserve">24 </w:t>
      </w:r>
      <w:r>
        <w:t xml:space="preserve">And Hazael</w:t>
      </w:r>
      <w:r>
        <w:rPr>
          <w:rStyle w:val="FootnoteReference"/>
        </w:rPr>
        <w:footnoteReference w:id="7275"/>
      </w:r>
      <w:r>
        <w:t xml:space="preserve"> king of Syria died, and Ben-hadad his son reigned in his place.</w:t>
      </w:r>
    </w:p>
    <w:p>
      <w:r>
        <w:rPr>
          <w:b/>
        </w:rPr>
        <w:t xml:space="preserve">25 </w:t>
      </w:r>
      <w:r>
        <w:t xml:space="preserve">And Joash son of Jehoahaz returned and took the cities from the hand of Ben-hadad</w:t>
      </w:r>
      <w:r>
        <w:rPr>
          <w:rStyle w:val="FootnoteReference"/>
        </w:rPr>
        <w:footnoteReference w:id="7276"/>
      </w:r>
      <w:r>
        <w:t xml:space="preserve"> son of Hazael, which he took from the hand of Jehoahaz his father in war. Three times Joash struck him and recovered the cities of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In the second year of Joash</w:t>
      </w:r>
      <w:r>
        <w:rPr>
          <w:rStyle w:val="FootnoteReference"/>
        </w:rPr>
        <w:footnoteReference w:id="7277"/>
      </w:r>
      <w:r>
        <w:t xml:space="preserve"> son of Jehoahaz, king of Israel, Amaziah son of Joash king of Judah reigned.</w:t>
      </w:r>
      <w:r>
        <w:rPr>
          <w:rStyle w:val="FootnoteReference"/>
        </w:rPr>
        <w:footnoteReference w:id="7278"/>
      </w:r>
    </w:p>
    <w:p>
      <w:r>
        <w:rPr>
          <w:b/>
        </w:rPr>
        <w:t xml:space="preserve">2 </w:t>
      </w:r>
      <w:r>
        <w:t xml:space="preserve">He was twenty-five years old when he became king, and he reigned twenty-nine years in Jerusalem, and the name of his mother was Jehoaddan</w:t>
      </w:r>
      <w:r>
        <w:rPr>
          <w:rStyle w:val="FootnoteReference"/>
        </w:rPr>
        <w:footnoteReference w:id="7279"/>
      </w:r>
      <w:r>
        <w:t xml:space="preserve"> from Jerusalem.</w:t>
      </w:r>
    </w:p>
    <w:p>
      <w:r>
        <w:rPr>
          <w:b/>
        </w:rPr>
        <w:t xml:space="preserve">3 </w:t>
      </w:r>
      <w:r>
        <w:t xml:space="preserve">And he did</w:t>
      </w:r>
      <w:r>
        <w:rPr>
          <w:rStyle w:val="FootnoteReference"/>
        </w:rPr>
        <w:footnoteReference w:id="7280"/>
      </w:r>
      <w:r>
        <w:t xml:space="preserve"> what was right in the eyes of the Lord, but not like David his father. According to all that Joash his father did, he did.</w:t>
      </w:r>
    </w:p>
    <w:p>
      <w:r>
        <w:rPr>
          <w:b/>
        </w:rPr>
        <w:t xml:space="preserve">4 </w:t>
      </w:r>
      <w:r>
        <w:t xml:space="preserve">Only, the high places</w:t>
      </w:r>
      <w:r>
        <w:rPr>
          <w:rStyle w:val="FootnoteReference"/>
        </w:rPr>
        <w:footnoteReference w:id="7281"/>
      </w:r>
      <w:r>
        <w:t xml:space="preserve"> he did not remove. The people still sacrificed and burned incense at the high places.</w:t>
      </w:r>
    </w:p>
    <w:p>
      <w:r>
        <w:rPr>
          <w:b/>
        </w:rPr>
        <w:t xml:space="preserve">5 </w:t>
      </w:r>
      <w:r>
        <w:t xml:space="preserve">And it came to be, when the kingdom grew strong in his hand, he struck his servants</w:t>
      </w:r>
      <w:r>
        <w:rPr>
          <w:rStyle w:val="FootnoteReference"/>
        </w:rPr>
        <w:footnoteReference w:id="7282"/>
      </w:r>
      <w:r>
        <w:t xml:space="preserve"> who struck his father.</w:t>
      </w:r>
    </w:p>
    <w:p>
      <w:r>
        <w:rPr>
          <w:b/>
        </w:rPr>
        <w:t xml:space="preserve">6 </w:t>
      </w:r>
      <w:r>
        <w:t xml:space="preserve">But the sons of those who struck him he did not put to death, just as it is written in the book of the laws of Moses, as the Lord commanded, saying, Fathers shall not die for sons, and sons shall not die for fathers, because each will die in his own sins.</w:t>
      </w:r>
      <w:r>
        <w:rPr>
          <w:rStyle w:val="FootnoteReference"/>
        </w:rPr>
        <w:footnoteReference w:id="7283"/>
      </w:r>
    </w:p>
    <w:p>
      <w:r>
        <w:rPr>
          <w:b/>
        </w:rPr>
        <w:t xml:space="preserve">7 </w:t>
      </w:r>
      <w:r>
        <w:t xml:space="preserve">He struck Edom in the Valley of Salt</w:t>
      </w:r>
      <w:r>
        <w:rPr>
          <w:rStyle w:val="FootnoteReference"/>
        </w:rPr>
        <w:footnoteReference w:id="7284"/>
      </w:r>
      <w:r>
        <w:t xml:space="preserve">, ten thousand, and captured Petra</w:t>
      </w:r>
      <w:r>
        <w:rPr>
          <w:rStyle w:val="FootnoteReference"/>
        </w:rPr>
        <w:footnoteReference w:id="7285"/>
      </w:r>
      <w:r>
        <w:t xml:space="preserve"> in war and called its name Joktheel to this day.</w:t>
      </w:r>
    </w:p>
    <w:p>
      <w:r>
        <w:rPr>
          <w:b/>
        </w:rPr>
        <w:t xml:space="preserve">8 </w:t>
      </w:r>
      <w:r>
        <w:t xml:space="preserve">Then Amaziah</w:t>
      </w:r>
      <w:r>
        <w:rPr>
          <w:rStyle w:val="FootnoteReference"/>
        </w:rPr>
        <w:footnoteReference w:id="7286"/>
      </w:r>
      <w:r>
        <w:t xml:space="preserve"> sent messengers to Joash son of Jehoahaz son of Jehu, king of Israel, saying, Come, let us look one another in the face.</w:t>
      </w:r>
    </w:p>
    <w:p>
      <w:r>
        <w:rPr>
          <w:b/>
        </w:rPr>
        <w:t xml:space="preserve">9 </w:t>
      </w:r>
      <w:r>
        <w:t xml:space="preserve">And Joash king of Israel sent to Amaziah king of Judah, saying, The thornbush in Lebanon sent to the cedar in Lebanon, saying, Give your daughter to my son for a wife. And the beasts of the field passed by, those in Lebanon, and trampled the thornbush.</w:t>
      </w:r>
    </w:p>
    <w:p>
      <w:r>
        <w:rPr>
          <w:b/>
        </w:rPr>
        <w:t xml:space="preserve">10 </w:t>
      </w:r>
      <w:r>
        <w:t xml:space="preserve">Striking, you struck Edom, and your heart lifted you up. Be glorified by sitting in your house. Why do you provoke evil against yourself, so that you fall, you and Judah with you?</w:t>
      </w:r>
    </w:p>
    <w:p>
      <w:r>
        <w:rPr>
          <w:b/>
        </w:rPr>
        <w:t xml:space="preserve">11 </w:t>
      </w:r>
      <w:r>
        <w:t xml:space="preserve">And Amaziah</w:t>
      </w:r>
      <w:r>
        <w:rPr>
          <w:rStyle w:val="FootnoteReference"/>
        </w:rPr>
        <w:footnoteReference w:id="7287"/>
      </w:r>
      <w:r>
        <w:t xml:space="preserve"> did not listen, and the king of Israel went up, and he and Amaziah king of Judah looked one another in the face at Beth-shemesh of Judah.</w:t>
      </w:r>
    </w:p>
    <w:p>
      <w:r>
        <w:rPr>
          <w:b/>
        </w:rPr>
        <w:t xml:space="preserve">12 </w:t>
      </w:r>
      <w:r>
        <w:t xml:space="preserve">And Judah stumbled before Israel, and each man fled to his tent.</w:t>
      </w:r>
    </w:p>
    <w:p>
      <w:r>
        <w:rPr>
          <w:b/>
        </w:rPr>
        <w:t xml:space="preserve">13 </w:t>
      </w:r>
      <w:r>
        <w:t xml:space="preserve">And Joash son of Jehoahaz king of Israel captured Amaziah son of Joash son of Ahaziah, king of Judah, at Beth-shemesh, and he came to Jerusalem and tore down the wall of Jerusalem from the gate of Ephraim</w:t>
      </w:r>
      <w:r>
        <w:rPr>
          <w:rStyle w:val="FootnoteReference"/>
        </w:rPr>
        <w:footnoteReference w:id="7288"/>
      </w:r>
      <w:r>
        <w:t xml:space="preserve"> to the Corner Gate, four hundred cubits.</w:t>
      </w:r>
      <w:r>
        <w:rPr>
          <w:rStyle w:val="FootnoteReference"/>
        </w:rPr>
        <w:footnoteReference w:id="7289"/>
      </w:r>
    </w:p>
    <w:p>
      <w:r>
        <w:rPr>
          <w:b/>
        </w:rPr>
        <w:t xml:space="preserve">14 </w:t>
      </w:r>
      <w:r>
        <w:t xml:space="preserve">And he took the gold and the silver and all the vessels found in the house of the Lord and in the treasuries of the king's house and the hostages, and he returned to Samaria.</w:t>
      </w:r>
    </w:p>
    <w:p>
      <w:r>
        <w:rPr>
          <w:b/>
        </w:rPr>
        <w:t xml:space="preserve">15 </w:t>
      </w:r>
      <w:r>
        <w:t xml:space="preserve">And the rest</w:t>
      </w:r>
      <w:r>
        <w:rPr>
          <w:rStyle w:val="FootnoteReference"/>
        </w:rPr>
        <w:footnoteReference w:id="7290"/>
      </w:r>
      <w:r>
        <w:t xml:space="preserve"> of the words of Joash, what he did in his might, how he fought with Amaziah king of Judah, are these not written in the book of the words of the days for the kings of Israel?</w:t>
      </w:r>
    </w:p>
    <w:p>
      <w:r>
        <w:rPr>
          <w:b/>
        </w:rPr>
        <w:t xml:space="preserve">16 </w:t>
      </w:r>
      <w:r>
        <w:t xml:space="preserve">And Joash slept with his fathers and was buried</w:t>
      </w:r>
      <w:r>
        <w:rPr>
          <w:rStyle w:val="FootnoteReference"/>
        </w:rPr>
        <w:footnoteReference w:id="7291"/>
      </w:r>
      <w:r>
        <w:t xml:space="preserve"> in Samaria with the kings of Israel, and Jeroboam his son reigned in his place.</w:t>
      </w:r>
    </w:p>
    <w:p>
      <w:r>
        <w:rPr>
          <w:b/>
        </w:rPr>
        <w:t xml:space="preserve">17 </w:t>
      </w:r>
      <w:r>
        <w:t xml:space="preserve">And Amaziah</w:t>
      </w:r>
      <w:r>
        <w:rPr>
          <w:rStyle w:val="FootnoteReference"/>
        </w:rPr>
        <w:footnoteReference w:id="7292"/>
      </w:r>
      <w:r>
        <w:t xml:space="preserve"> son of Joash king of Judah lived fifteen years after the death of Joash son of Jehoahaz king of Israel.</w:t>
      </w:r>
    </w:p>
    <w:p>
      <w:r>
        <w:rPr>
          <w:b/>
        </w:rPr>
        <w:t xml:space="preserve">18 </w:t>
      </w:r>
      <w:r>
        <w:t xml:space="preserve">And the rest of the words of Amaziah and all that he did, are these not written in the book of the words of the days for the kings of Judah?</w:t>
      </w:r>
    </w:p>
    <w:p>
      <w:r>
        <w:rPr>
          <w:b/>
        </w:rPr>
        <w:t xml:space="preserve">19 </w:t>
      </w:r>
      <w:r>
        <w:t xml:space="preserve">And they conspired a conspiracy against him in Jerusalem, and he fled to Lachish</w:t>
      </w:r>
      <w:r>
        <w:rPr>
          <w:rStyle w:val="FootnoteReference"/>
        </w:rPr>
        <w:footnoteReference w:id="7293"/>
      </w:r>
      <w:r>
        <w:t xml:space="preserve">. And they sent after him to Lachish and killed him there.</w:t>
      </w:r>
    </w:p>
    <w:p>
      <w:r>
        <w:rPr>
          <w:b/>
        </w:rPr>
        <w:t xml:space="preserve">20 </w:t>
      </w:r>
      <w:r>
        <w:t xml:space="preserve">And they carried him on horses, and he was buried</w:t>
      </w:r>
      <w:r>
        <w:rPr>
          <w:rStyle w:val="FootnoteReference"/>
        </w:rPr>
        <w:footnoteReference w:id="7294"/>
      </w:r>
      <w:r>
        <w:t xml:space="preserve"> in Jerusalem with his fathers in the city of David.</w:t>
      </w:r>
    </w:p>
    <w:p>
      <w:r>
        <w:rPr>
          <w:b/>
        </w:rPr>
        <w:t xml:space="preserve">21 </w:t>
      </w:r>
      <w:r>
        <w:t xml:space="preserve">And all the people of Judah took Azariah</w:t>
      </w:r>
      <w:r>
        <w:rPr>
          <w:rStyle w:val="FootnoteReference"/>
        </w:rPr>
        <w:footnoteReference w:id="7295"/>
      </w:r>
      <w:r>
        <w:t xml:space="preserve">, and he was sixteen years old, and they made him king instead of his father Amaziah.</w:t>
      </w:r>
    </w:p>
    <w:p>
      <w:r>
        <w:rPr>
          <w:b/>
        </w:rPr>
        <w:t xml:space="preserve">22 </w:t>
      </w:r>
      <w:r>
        <w:t xml:space="preserve">He built Elath</w:t>
      </w:r>
      <w:r>
        <w:rPr>
          <w:rStyle w:val="FootnoteReference"/>
        </w:rPr>
        <w:footnoteReference w:id="7296"/>
      </w:r>
      <w:r>
        <w:t xml:space="preserve"> and restored it to Judah after the king slept with his fathers.</w:t>
      </w:r>
    </w:p>
    <w:p>
      <w:r>
        <w:rPr>
          <w:b/>
        </w:rPr>
        <w:t xml:space="preserve">23 </w:t>
      </w:r>
      <w:r>
        <w:t xml:space="preserve">In the fifteenth</w:t>
      </w:r>
      <w:r>
        <w:rPr>
          <w:rStyle w:val="FootnoteReference"/>
        </w:rPr>
        <w:footnoteReference w:id="7297"/>
      </w:r>
      <w:r>
        <w:t xml:space="preserve"> year of Amaziah son of Joash king of Judah, Jeroboam son of Joash reigned over Israel in Samaria forty-one years.</w:t>
      </w:r>
    </w:p>
    <w:p>
      <w:r>
        <w:rPr>
          <w:b/>
        </w:rPr>
        <w:t xml:space="preserve">24 </w:t>
      </w:r>
      <w:r>
        <w:t xml:space="preserve">And he did evil before the Lord. He did not depart from all the sins of Jeroboam son of Nebat, who made Israel sin.</w:t>
      </w:r>
    </w:p>
    <w:p>
      <w:r>
        <w:rPr>
          <w:b/>
        </w:rPr>
        <w:t xml:space="preserve">25 </w:t>
      </w:r>
      <w:r>
        <w:t xml:space="preserve">He restored the border of Israel from the entrance of Hamath to the sea of the Arabah, according to the word of the Lord God of Israel, which he spoke by the hand of his servant Jonah</w:t>
      </w:r>
      <w:r>
        <w:rPr>
          <w:rStyle w:val="FootnoteReference"/>
        </w:rPr>
        <w:footnoteReference w:id="7298"/>
      </w:r>
      <w:r>
        <w:t xml:space="preserve"> son of Amittai, the prophet from Gethchober.</w:t>
      </w:r>
      <w:r>
        <w:rPr>
          <w:rStyle w:val="FootnoteReference"/>
        </w:rPr>
        <w:footnoteReference w:id="7299"/>
      </w:r>
    </w:p>
    <w:p>
      <w:r>
        <w:rPr>
          <w:b/>
        </w:rPr>
        <w:t xml:space="preserve">26 </w:t>
      </w:r>
      <w:r>
        <w:t xml:space="preserve">Because the Lord saw the affliction</w:t>
      </w:r>
      <w:r>
        <w:rPr>
          <w:rStyle w:val="FootnoteReference"/>
        </w:rPr>
        <w:footnoteReference w:id="7300"/>
      </w:r>
      <w:r>
        <w:t xml:space="preserve"> of Israel, that it was very bitter, and those held in and those diminished and those abandoned were few, and there was none helping Israel.</w:t>
      </w:r>
    </w:p>
    <w:p>
      <w:r>
        <w:rPr>
          <w:b/>
        </w:rPr>
        <w:t xml:space="preserve">27 </w:t>
      </w:r>
      <w:r>
        <w:t xml:space="preserve">And the Lord did not speak to blot out</w:t>
      </w:r>
      <w:r>
        <w:rPr>
          <w:rStyle w:val="FootnoteReference"/>
        </w:rPr>
        <w:footnoteReference w:id="7301"/>
      </w:r>
      <w:r>
        <w:t xml:space="preserve"> the seed of Israel from under heaven, and he saved them by the hand of Jeroboam son of Joash.</w:t>
      </w:r>
    </w:p>
    <w:p>
      <w:r>
        <w:rPr>
          <w:b/>
        </w:rPr>
        <w:t xml:space="preserve">28 </w:t>
      </w:r>
      <w:r>
        <w:t xml:space="preserve">And the rest</w:t>
      </w:r>
      <w:r>
        <w:rPr>
          <w:rStyle w:val="FootnoteReference"/>
        </w:rPr>
        <w:footnoteReference w:id="7302"/>
      </w:r>
      <w:r>
        <w:t xml:space="preserve"> of the words of Jeroboam and all that he did and his acts of power, how he fought and how he restored Damascus and Hamath to Judah in Israel, are these not written in the book of the words of the days for the kings of Israel?</w:t>
      </w:r>
    </w:p>
    <w:p>
      <w:r>
        <w:rPr>
          <w:b/>
        </w:rPr>
        <w:t xml:space="preserve">29 </w:t>
      </w:r>
      <w:r>
        <w:t xml:space="preserve">And Jeroboam slept with his fathers, with the kings of Israel, and Azariah son of Amaziah reigned in place of his father.</w:t>
      </w:r>
      <w:r>
        <w:rPr>
          <w:rStyle w:val="FootnoteReference"/>
        </w:rPr>
        <w:footnoteReference w:id="7303"/>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In the twenty-seventh year of Jeroboam king of Israel, Azariah</w:t>
      </w:r>
      <w:r>
        <w:rPr>
          <w:rStyle w:val="FootnoteReference"/>
        </w:rPr>
        <w:footnoteReference w:id="7304"/>
      </w:r>
      <w:r>
        <w:t xml:space="preserve"> son of Amaziah king of Judah reigned.</w:t>
      </w:r>
    </w:p>
    <w:p>
      <w:r>
        <w:rPr>
          <w:b/>
        </w:rPr>
        <w:t xml:space="preserve">2 </w:t>
      </w:r>
      <w:r>
        <w:t xml:space="preserve">He was sixteen years old when he became king, and he reigned fifty-two years in Jerusalem, and the name of his mother was Jecoliah</w:t>
      </w:r>
      <w:r>
        <w:rPr>
          <w:rStyle w:val="FootnoteReference"/>
        </w:rPr>
        <w:footnoteReference w:id="7305"/>
      </w:r>
      <w:r>
        <w:t xml:space="preserve"> from Jerusalem.</w:t>
      </w:r>
    </w:p>
    <w:p>
      <w:r>
        <w:rPr>
          <w:b/>
        </w:rPr>
        <w:t xml:space="preserve">3 </w:t>
      </w:r>
      <w:r>
        <w:t xml:space="preserve">And he did what was right in the eyes of the Lord, according to all that Amaziah his father did.</w:t>
      </w:r>
    </w:p>
    <w:p>
      <w:r>
        <w:rPr>
          <w:b/>
        </w:rPr>
        <w:t xml:space="preserve">4 </w:t>
      </w:r>
      <w:r>
        <w:t xml:space="preserve">Only, the high places</w:t>
      </w:r>
      <w:r>
        <w:rPr>
          <w:rStyle w:val="FootnoteReference"/>
        </w:rPr>
        <w:footnoteReference w:id="7306"/>
      </w:r>
      <w:r>
        <w:t xml:space="preserve"> he did not remove. The people still sacrificed and burned incense at the high places.</w:t>
      </w:r>
    </w:p>
    <w:p>
      <w:r>
        <w:rPr>
          <w:b/>
        </w:rPr>
        <w:t xml:space="preserve">5 </w:t>
      </w:r>
      <w:r>
        <w:t xml:space="preserve">And the Lord</w:t>
      </w:r>
      <w:r>
        <w:rPr>
          <w:rStyle w:val="FootnoteReference"/>
        </w:rPr>
        <w:footnoteReference w:id="7307"/>
      </w:r>
      <w:r>
        <w:t xml:space="preserve"> touched the king, and he was afflicted with skin-disease until the day of his death, and he reigned in a separate house, and Jotham son of the king was over the house, judging the people of the land.</w:t>
      </w:r>
    </w:p>
    <w:p>
      <w:r>
        <w:rPr>
          <w:b/>
        </w:rPr>
        <w:t xml:space="preserve">6 </w:t>
      </w:r>
      <w:r>
        <w:t xml:space="preserve">And the rest of the words of Azariah</w:t>
      </w:r>
      <w:r>
        <w:rPr>
          <w:rStyle w:val="FootnoteReference"/>
        </w:rPr>
        <w:footnoteReference w:id="7308"/>
      </w:r>
      <w:r>
        <w:t xml:space="preserve"> and all that he did, are these not written in the book of the words of the days for the kings of Judah?</w:t>
      </w:r>
    </w:p>
    <w:p>
      <w:r>
        <w:rPr>
          <w:b/>
        </w:rPr>
        <w:t xml:space="preserve">7 </w:t>
      </w:r>
      <w:r>
        <w:t xml:space="preserve">And Azariah slept with his fathers, and they buried him with his fathers in the city of David, and Jotham his son reigned in his place.</w:t>
      </w:r>
    </w:p>
    <w:p>
      <w:r>
        <w:rPr>
          <w:b/>
        </w:rPr>
        <w:t xml:space="preserve">8 </w:t>
      </w:r>
      <w:r>
        <w:t xml:space="preserve">In the thirty</w:t>
      </w:r>
      <w:r>
        <w:rPr>
          <w:rStyle w:val="FootnoteReference"/>
        </w:rPr>
        <w:footnoteReference w:id="7309"/>
      </w:r>
      <w:r>
        <w:t xml:space="preserve">-eighth year of Azariah king of Judah, Zechariah son of Jeroboam reigned over Israel in Samaria six months.</w:t>
      </w:r>
    </w:p>
    <w:p>
      <w:r>
        <w:rPr>
          <w:b/>
        </w:rPr>
        <w:t xml:space="preserve">9 </w:t>
      </w:r>
      <w:r>
        <w:t xml:space="preserve">And he did evil in the eyes of the Lord, as his</w:t>
      </w:r>
      <w:r>
        <w:rPr>
          <w:rStyle w:val="FootnoteReference"/>
        </w:rPr>
        <w:footnoteReference w:id="7310"/>
      </w:r>
      <w:r>
        <w:t xml:space="preserve"> fathers did. He did not depart from the sins of Jeroboam son of Nebat, who made Israel sin.</w:t>
      </w:r>
    </w:p>
    <w:p>
      <w:r>
        <w:rPr>
          <w:b/>
        </w:rPr>
        <w:t xml:space="preserve">10 </w:t>
      </w:r>
      <w:r>
        <w:t xml:space="preserve">And Shallum son of Jabesh conspired against him and struck him at Keblaam and killed him, and Shallum reigned in his place.</w:t>
      </w:r>
    </w:p>
    <w:p>
      <w:r>
        <w:rPr>
          <w:b/>
        </w:rPr>
        <w:t xml:space="preserve">11 </w:t>
      </w:r>
      <w:r>
        <w:t xml:space="preserve">And the rest of the words of Zechariah, behold, they are written in the book of the words of the days for the kings of Israel.</w:t>
      </w:r>
    </w:p>
    <w:p>
      <w:r>
        <w:rPr>
          <w:b/>
        </w:rPr>
        <w:t xml:space="preserve">12 </w:t>
      </w:r>
      <w:r>
        <w:t xml:space="preserve">This was the word</w:t>
      </w:r>
      <w:r>
        <w:rPr>
          <w:rStyle w:val="FootnoteReference"/>
        </w:rPr>
        <w:footnoteReference w:id="7311"/>
      </w:r>
      <w:r>
        <w:t xml:space="preserve"> of the Lord which he spoke to Jehu, saying, Fourth sons will sit for you on the throne of Israel. And it came to be so.</w:t>
      </w:r>
    </w:p>
    <w:p>
      <w:r>
        <w:rPr>
          <w:b/>
        </w:rPr>
        <w:t xml:space="preserve">13 </w:t>
      </w:r>
      <w:r>
        <w:t xml:space="preserve">And Shallum son of Jabesh reigned, and in the thirty-ninth year of Azariah king of Judah, Shallum reigned in Samaria a month of days.</w:t>
      </w:r>
    </w:p>
    <w:p>
      <w:r>
        <w:rPr>
          <w:b/>
        </w:rPr>
        <w:t xml:space="preserve">14 </w:t>
      </w:r>
      <w:r>
        <w:t xml:space="preserve">And Menahem</w:t>
      </w:r>
      <w:r>
        <w:rPr>
          <w:rStyle w:val="FootnoteReference"/>
        </w:rPr>
        <w:footnoteReference w:id="7312"/>
      </w:r>
      <w:r>
        <w:t xml:space="preserve"> son of Gaddi went up from Tharsila and came to Samaria and struck Shallum son of Jabesh in Samaria and killed him.</w:t>
      </w:r>
    </w:p>
    <w:p>
      <w:r>
        <w:rPr>
          <w:b/>
        </w:rPr>
        <w:t xml:space="preserve">15 </w:t>
      </w:r>
      <w:r>
        <w:t xml:space="preserve">And the rest of the words of Shallum and his conspiracy which he conspired, behold, they are written in the book of the words of the days for the kings of Israel.</w:t>
      </w:r>
    </w:p>
    <w:p>
      <w:r>
        <w:rPr>
          <w:b/>
        </w:rPr>
        <w:t xml:space="preserve">16 </w:t>
      </w:r>
      <w:r>
        <w:t xml:space="preserve">Then Menahem struck Tirzah and all that was in it and its borders from Tirzah, because they did not open to him, and he struck it, and the pregnant women he ripped open</w:t>
      </w:r>
      <w:r>
        <w:rPr>
          <w:rStyle w:val="FootnoteReference"/>
        </w:rPr>
        <w:footnoteReference w:id="7313"/>
      </w:r>
      <w:r>
        <w:t xml:space="preserve">.</w:t>
      </w:r>
    </w:p>
    <w:p>
      <w:r>
        <w:rPr>
          <w:b/>
        </w:rPr>
        <w:t xml:space="preserve">17 </w:t>
      </w:r>
      <w:r>
        <w:t xml:space="preserve">In the thirty-ninth year of Azariah king of Judah, Menahem son of Gaddi reigned over Israel ten years in Samaria.</w:t>
      </w:r>
    </w:p>
    <w:p>
      <w:r>
        <w:rPr>
          <w:b/>
        </w:rPr>
        <w:t xml:space="preserve">18 </w:t>
      </w:r>
      <w:r>
        <w:t xml:space="preserve">And he did evil in the eyes of the Lord. He did not depart from all the sins of Jeroboam son of Nebat, who made Israel sin.</w:t>
      </w:r>
    </w:p>
    <w:p>
      <w:r>
        <w:rPr>
          <w:b/>
        </w:rPr>
        <w:t xml:space="preserve">19 </w:t>
      </w:r>
      <w:r>
        <w:t xml:space="preserve">In his days Pul</w:t>
      </w:r>
      <w:r>
        <w:rPr>
          <w:rStyle w:val="FootnoteReference"/>
        </w:rPr>
        <w:footnoteReference w:id="7314"/>
      </w:r>
      <w:r>
        <w:t xml:space="preserve"> king of the Assyrians came up against the land, and Menahem</w:t>
      </w:r>
      <w:r>
        <w:rPr>
          <w:rStyle w:val="FootnoteReference"/>
        </w:rPr>
        <w:footnoteReference w:id="7315"/>
      </w:r>
      <w:r>
        <w:t xml:space="preserve"> gave to Pul a thousand talents of silver, that his hand might be with him.</w:t>
      </w:r>
    </w:p>
    <w:p>
      <w:r>
        <w:rPr>
          <w:b/>
        </w:rPr>
        <w:t xml:space="preserve">20 </w:t>
      </w:r>
      <w:r>
        <w:t xml:space="preserve">And Menahem</w:t>
      </w:r>
      <w:r>
        <w:rPr>
          <w:rStyle w:val="FootnoteReference"/>
        </w:rPr>
        <w:footnoteReference w:id="7316"/>
      </w:r>
      <w:r>
        <w:t xml:space="preserve"> brought out the silver upon Israel, upon every mighty man of strength</w:t>
      </w:r>
      <w:r>
        <w:rPr>
          <w:rStyle w:val="FootnoteReference"/>
        </w:rPr>
        <w:footnoteReference w:id="7317"/>
      </w:r>
      <w:r>
        <w:t xml:space="preserve">, to give to the king of the Assyrians fifty shekels to one man. And the king of the Assyrians turned back and did not remain there in the land.</w:t>
      </w:r>
    </w:p>
    <w:p>
      <w:r>
        <w:rPr>
          <w:b/>
        </w:rPr>
        <w:t xml:space="preserve">21 </w:t>
      </w:r>
      <w:r>
        <w:t xml:space="preserve">And the rest of the words of Menahem and all that he did, are these not written in the book of the words of the days for the kings of Israel?</w:t>
      </w:r>
    </w:p>
    <w:p>
      <w:r>
        <w:rPr>
          <w:b/>
        </w:rPr>
        <w:t xml:space="preserve">22 </w:t>
      </w:r>
      <w:r>
        <w:t xml:space="preserve">And Menahem slept with his fathers, and Pekahiah</w:t>
      </w:r>
      <w:r>
        <w:rPr>
          <w:rStyle w:val="FootnoteReference"/>
        </w:rPr>
        <w:footnoteReference w:id="7318"/>
      </w:r>
      <w:r>
        <w:t xml:space="preserve"> his son reigned in his place.</w:t>
      </w:r>
    </w:p>
    <w:p>
      <w:r>
        <w:rPr>
          <w:b/>
        </w:rPr>
        <w:t xml:space="preserve">23 </w:t>
      </w:r>
      <w:r>
        <w:t xml:space="preserve">In the fiftieth year of Azariah king of Judah, Pekahiah son of Menahem reigned over Israel in Samaria two years.</w:t>
      </w:r>
    </w:p>
    <w:p>
      <w:r>
        <w:rPr>
          <w:b/>
        </w:rPr>
        <w:t xml:space="preserve">24 </w:t>
      </w:r>
      <w:r>
        <w:t xml:space="preserve">And he did evil in the eyes of the Lord. He did not depart from the sins of Jeroboam son of Nebat, who made Israel sin.</w:t>
      </w:r>
    </w:p>
    <w:p>
      <w:r>
        <w:rPr>
          <w:b/>
        </w:rPr>
        <w:t xml:space="preserve">25 </w:t>
      </w:r>
      <w:r>
        <w:t xml:space="preserve">And Pekah</w:t>
      </w:r>
      <w:r>
        <w:rPr>
          <w:rStyle w:val="FootnoteReference"/>
        </w:rPr>
        <w:footnoteReference w:id="7319"/>
      </w:r>
      <w:r>
        <w:t xml:space="preserve"> son of Remaliah</w:t>
      </w:r>
      <w:r>
        <w:rPr>
          <w:rStyle w:val="FootnoteReference"/>
        </w:rPr>
        <w:footnoteReference w:id="7320"/>
      </w:r>
      <w:r>
        <w:t xml:space="preserve">, his officer, conspired against him and struck him in Samaria opposite the king's house with Argob and with Aria, and with him were fifty men from the four hundred, and he killed him and reigned in his place.</w:t>
      </w:r>
      <w:r>
        <w:rPr>
          <w:rStyle w:val="FootnoteReference"/>
        </w:rPr>
        <w:footnoteReference w:id="7321"/>
      </w:r>
      <w:r>
        <w:rPr>
          <w:rStyle w:val="FootnoteReference"/>
        </w:rPr>
        <w:footnoteReference w:id="7322"/>
      </w:r>
    </w:p>
    <w:p>
      <w:r>
        <w:rPr>
          <w:b/>
        </w:rPr>
        <w:t xml:space="preserve">26 </w:t>
      </w:r>
      <w:r>
        <w:t xml:space="preserve">And the rest of the words of Pekahiah and all that he did, behold, they are written in the book of the words of the days for the kings of Israel.</w:t>
      </w:r>
    </w:p>
    <w:p>
      <w:r>
        <w:rPr>
          <w:b/>
        </w:rPr>
        <w:t xml:space="preserve">27 </w:t>
      </w:r>
      <w:r>
        <w:t xml:space="preserve">In the fifty-second year of Azariah king of Judah, Pekah</w:t>
      </w:r>
      <w:r>
        <w:rPr>
          <w:rStyle w:val="FootnoteReference"/>
        </w:rPr>
        <w:footnoteReference w:id="7323"/>
      </w:r>
      <w:r>
        <w:t xml:space="preserve"> son of Remaliah reigned over Israel in Samaria twenty years.</w:t>
      </w:r>
    </w:p>
    <w:p>
      <w:r>
        <w:rPr>
          <w:b/>
        </w:rPr>
        <w:t xml:space="preserve">28 </w:t>
      </w:r>
      <w:r>
        <w:t xml:space="preserve">And he did evil</w:t>
      </w:r>
      <w:r>
        <w:rPr>
          <w:rStyle w:val="FootnoteReference"/>
        </w:rPr>
        <w:footnoteReference w:id="7324"/>
      </w:r>
      <w:r>
        <w:t xml:space="preserve"> in the eyes of the Lord. He did not depart from all the sins of Jeroboam son of Nebat, who made Israel sin.</w:t>
      </w:r>
    </w:p>
    <w:p>
      <w:r>
        <w:rPr>
          <w:b/>
        </w:rPr>
        <w:t xml:space="preserve">29 </w:t>
      </w:r>
      <w:r>
        <w:t xml:space="preserve">In the days of Pekah king of Israel, Tiglathpileser</w:t>
      </w:r>
      <w:r>
        <w:rPr>
          <w:rStyle w:val="FootnoteReference"/>
        </w:rPr>
        <w:footnoteReference w:id="7325"/>
      </w:r>
      <w:r>
        <w:t xml:space="preserve"> king of the Assyrians came and took Ijon and Abel-beth-maachah and Janoah and Kedesh and Hazor and Gilead and Galilee, all the land of Naphtali, and deported them to the Assyrians.</w:t>
      </w:r>
      <w:r>
        <w:rPr>
          <w:rStyle w:val="FootnoteReference"/>
        </w:rPr>
        <w:footnoteReference w:id="7326"/>
      </w:r>
      <w:r>
        <w:rPr>
          <w:rStyle w:val="FootnoteReference"/>
        </w:rPr>
        <w:footnoteReference w:id="7327"/>
      </w:r>
    </w:p>
    <w:p>
      <w:r>
        <w:rPr>
          <w:b/>
        </w:rPr>
        <w:t xml:space="preserve">30 </w:t>
      </w:r>
      <w:r>
        <w:t xml:space="preserve">And Hoshea son of Ela made</w:t>
      </w:r>
      <w:r>
        <w:rPr>
          <w:rStyle w:val="FootnoteReference"/>
        </w:rPr>
        <w:footnoteReference w:id="7328"/>
      </w:r>
      <w:r>
        <w:t xml:space="preserve"> a conspiracy against Pekah son of Remaliah and struck him and killed him and reigned in his place, in the twentieth year of Jotham son of Azariah.</w:t>
      </w:r>
    </w:p>
    <w:p>
      <w:r>
        <w:rPr>
          <w:b/>
        </w:rPr>
        <w:t xml:space="preserve">31 </w:t>
      </w:r>
      <w:r>
        <w:t xml:space="preserve">And the rest of the words of Pekah and all that he did, behold, they are written in the book of the words of the days for the kings of Israel.</w:t>
      </w:r>
    </w:p>
    <w:p>
      <w:r>
        <w:rPr>
          <w:b/>
        </w:rPr>
        <w:t xml:space="preserve">32 </w:t>
      </w:r>
      <w:r>
        <w:t xml:space="preserve">In the second year of Pekah son of Remaliah king of Israel, Jotham</w:t>
      </w:r>
      <w:r>
        <w:rPr>
          <w:rStyle w:val="FootnoteReference"/>
        </w:rPr>
        <w:footnoteReference w:id="7329"/>
      </w:r>
      <w:r>
        <w:t xml:space="preserve"> son of Azariah king of Judah reigned.</w:t>
      </w:r>
    </w:p>
    <w:p>
      <w:r>
        <w:rPr>
          <w:b/>
        </w:rPr>
        <w:t xml:space="preserve">33 </w:t>
      </w:r>
      <w:r>
        <w:t xml:space="preserve">He was twenty-five years old when he became king, and he reigned sixteen years in Jerusalem, and the name of his mother was Jerusha</w:t>
      </w:r>
      <w:r>
        <w:rPr>
          <w:rStyle w:val="FootnoteReference"/>
        </w:rPr>
        <w:footnoteReference w:id="7330"/>
      </w:r>
      <w:r>
        <w:t xml:space="preserve"> daughter of Zadok.</w:t>
      </w:r>
      <w:r>
        <w:rPr>
          <w:rStyle w:val="FootnoteReference"/>
        </w:rPr>
        <w:footnoteReference w:id="7331"/>
      </w:r>
    </w:p>
    <w:p>
      <w:r>
        <w:rPr>
          <w:b/>
        </w:rPr>
        <w:t xml:space="preserve">34 </w:t>
      </w:r>
      <w:r>
        <w:t xml:space="preserve">And he did what was right in the eyes of the Lord. According to all that Uzziah</w:t>
      </w:r>
      <w:r>
        <w:rPr>
          <w:rStyle w:val="FootnoteReference"/>
        </w:rPr>
        <w:footnoteReference w:id="7332"/>
      </w:r>
      <w:r>
        <w:t xml:space="preserve"> his father did, he did.</w:t>
      </w:r>
    </w:p>
    <w:p>
      <w:r>
        <w:rPr>
          <w:b/>
        </w:rPr>
        <w:t xml:space="preserve">35 </w:t>
      </w:r>
      <w:r>
        <w:t xml:space="preserve">Only, the high places he did not remove. The people still sacrificed and burned incense at the high places. He built the upper gate of the house of the Lord</w:t>
      </w:r>
      <w:r>
        <w:rPr>
          <w:rStyle w:val="FootnoteReference"/>
        </w:rPr>
        <w:footnoteReference w:id="7333"/>
      </w:r>
      <w:r>
        <w:t xml:space="preserve">.</w:t>
      </w:r>
    </w:p>
    <w:p>
      <w:r>
        <w:rPr>
          <w:b/>
        </w:rPr>
        <w:t xml:space="preserve">36 </w:t>
      </w:r>
      <w:r>
        <w:t xml:space="preserve">And the rest</w:t>
      </w:r>
      <w:r>
        <w:rPr>
          <w:rStyle w:val="FootnoteReference"/>
        </w:rPr>
        <w:footnoteReference w:id="7334"/>
      </w:r>
      <w:r>
        <w:t xml:space="preserve"> of the words of Jotham and all that he did, are these not written in the book of the words of the days for the kings of Judah?</w:t>
      </w:r>
    </w:p>
    <w:p>
      <w:r>
        <w:rPr>
          <w:b/>
        </w:rPr>
        <w:t xml:space="preserve">37 </w:t>
      </w:r>
      <w:r>
        <w:t xml:space="preserve">In those days</w:t>
      </w:r>
      <w:r>
        <w:rPr>
          <w:rStyle w:val="FootnoteReference"/>
        </w:rPr>
        <w:footnoteReference w:id="7335"/>
      </w:r>
      <w:r>
        <w:t xml:space="preserve"> the Lord began to send into Judah Rezin</w:t>
      </w:r>
      <w:r>
        <w:rPr>
          <w:rStyle w:val="FootnoteReference"/>
        </w:rPr>
        <w:footnoteReference w:id="7336"/>
      </w:r>
      <w:r>
        <w:t xml:space="preserve"> king of Syria and Pekah son of Remaliah.</w:t>
      </w:r>
    </w:p>
    <w:p>
      <w:r>
        <w:rPr>
          <w:b/>
        </w:rPr>
        <w:t xml:space="preserve">38 </w:t>
      </w:r>
      <w:r>
        <w:t xml:space="preserve">And Jotham</w:t>
      </w:r>
      <w:r>
        <w:rPr>
          <w:rStyle w:val="FootnoteReference"/>
        </w:rPr>
        <w:footnoteReference w:id="7337"/>
      </w:r>
      <w:r>
        <w:t xml:space="preserve"> slept with his fathers and was buried with his fathers in the city of David his father, and Ahaz</w:t>
      </w:r>
      <w:r>
        <w:rPr>
          <w:rStyle w:val="FootnoteReference"/>
        </w:rPr>
        <w:footnoteReference w:id="7338"/>
      </w:r>
      <w:r>
        <w:t xml:space="preserve">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In the seventeenth</w:t>
      </w:r>
      <w:r>
        <w:rPr>
          <w:rStyle w:val="FootnoteReference"/>
        </w:rPr>
        <w:footnoteReference w:id="7339"/>
      </w:r>
      <w:r>
        <w:t xml:space="preserve"> year of Pekah son of Remaliah, Ahaz son of Jotham king of Judah reigned.</w:t>
      </w:r>
    </w:p>
    <w:p>
      <w:r>
        <w:rPr>
          <w:b/>
        </w:rPr>
        <w:t xml:space="preserve">2 </w:t>
      </w:r>
      <w:r>
        <w:t xml:space="preserve">Ahaz was twenty years old when he became king, and he reigned sixteen years in Jerusalem, and he did not</w:t>
      </w:r>
      <w:r>
        <w:rPr>
          <w:rStyle w:val="FootnoteReference"/>
        </w:rPr>
        <w:footnoteReference w:id="7340"/>
      </w:r>
      <w:r>
        <w:t xml:space="preserve"> do what was right in the eyes of the Lord his God faithfully, as David his father.</w:t>
      </w:r>
    </w:p>
    <w:p>
      <w:r>
        <w:rPr>
          <w:b/>
        </w:rPr>
        <w:t xml:space="preserve">3 </w:t>
      </w:r>
      <w:r>
        <w:t xml:space="preserve">And he walked</w:t>
      </w:r>
      <w:r>
        <w:rPr>
          <w:rStyle w:val="FootnoteReference"/>
        </w:rPr>
        <w:footnoteReference w:id="7341"/>
      </w:r>
      <w:r>
        <w:t xml:space="preserve"> in the way of Jeroboam son of Nebat king of Israel, and even his son he caused to pass through fire, according to the abominations of the nations whom the Lord drove out from before the sons of Israel.</w:t>
      </w:r>
    </w:p>
    <w:p>
      <w:r>
        <w:rPr>
          <w:b/>
        </w:rPr>
        <w:t xml:space="preserve">4 </w:t>
      </w:r>
      <w:r>
        <w:t xml:space="preserve">And he sacrificed and burned incense at the high places and on the hills</w:t>
      </w:r>
      <w:r>
        <w:rPr>
          <w:rStyle w:val="FootnoteReference"/>
        </w:rPr>
        <w:footnoteReference w:id="7342"/>
      </w:r>
      <w:r>
        <w:t xml:space="preserve"> and under every leafy tree.</w:t>
      </w:r>
    </w:p>
    <w:p>
      <w:r>
        <w:rPr>
          <w:b/>
        </w:rPr>
        <w:t xml:space="preserve">5 </w:t>
      </w:r>
      <w:r>
        <w:t xml:space="preserve">Then Rezin</w:t>
      </w:r>
      <w:r>
        <w:rPr>
          <w:rStyle w:val="FootnoteReference"/>
        </w:rPr>
        <w:footnoteReference w:id="7343"/>
      </w:r>
      <w:r>
        <w:t xml:space="preserve"> king of Syria and Pekah son of Remaliah king of Israel went up against Jerusalem for war and besieged Ahaz, and they could not fight against him.</w:t>
      </w:r>
    </w:p>
    <w:p>
      <w:r>
        <w:rPr>
          <w:b/>
        </w:rPr>
        <w:t xml:space="preserve">6 </w:t>
      </w:r>
      <w:r>
        <w:t xml:space="preserve">At that time Rezin king of Syria restored Elath</w:t>
      </w:r>
      <w:r>
        <w:rPr>
          <w:rStyle w:val="FootnoteReference"/>
        </w:rPr>
        <w:footnoteReference w:id="7344"/>
      </w:r>
      <w:r>
        <w:t xml:space="preserve"> to Syria and drove the Judeans</w:t>
      </w:r>
      <w:r>
        <w:rPr>
          <w:rStyle w:val="FootnoteReference"/>
        </w:rPr>
        <w:footnoteReference w:id="7345"/>
      </w:r>
      <w:r>
        <w:t xml:space="preserve"> from Elath, and Edomites came to Elath and dwelt there until this day.</w:t>
      </w:r>
    </w:p>
    <w:p>
      <w:r>
        <w:rPr>
          <w:b/>
        </w:rPr>
        <w:t xml:space="preserve">7 </w:t>
      </w:r>
      <w:r>
        <w:t xml:space="preserve">And Ahaz sent messengers to Tiglathpileser</w:t>
      </w:r>
      <w:r>
        <w:rPr>
          <w:rStyle w:val="FootnoteReference"/>
        </w:rPr>
        <w:footnoteReference w:id="7346"/>
      </w:r>
      <w:r>
        <w:t xml:space="preserve"> king of the Assyrians, saying, I am your servant and your son. Come up and save me from the hand of the king of Syria and from the hand of the king of Israel, those rising against me</w:t>
      </w:r>
      <w:r>
        <w:rPr>
          <w:rStyle w:val="FootnoteReference"/>
        </w:rPr>
        <w:footnoteReference w:id="7347"/>
      </w:r>
      <w:r>
        <w:t xml:space="preserve">.</w:t>
      </w:r>
    </w:p>
    <w:p>
      <w:r>
        <w:rPr>
          <w:b/>
        </w:rPr>
        <w:t xml:space="preserve">8 </w:t>
      </w:r>
      <w:r>
        <w:t xml:space="preserve">And Ahaz took the silver</w:t>
      </w:r>
      <w:r>
        <w:rPr>
          <w:rStyle w:val="FootnoteReference"/>
        </w:rPr>
        <w:footnoteReference w:id="7348"/>
      </w:r>
      <w:r>
        <w:t xml:space="preserve"> and the gold found in the treasuries of the house of the Lord and of the king's house and sent gifts to the king.</w:t>
      </w:r>
    </w:p>
    <w:p>
      <w:r>
        <w:rPr>
          <w:b/>
        </w:rPr>
        <w:t xml:space="preserve">9 </w:t>
      </w:r>
      <w:r>
        <w:t xml:space="preserve">And the king of the Assyrians listened to him, and the king of the Assyrians went up</w:t>
      </w:r>
      <w:r>
        <w:rPr>
          <w:rStyle w:val="FootnoteReference"/>
        </w:rPr>
        <w:footnoteReference w:id="7349"/>
      </w:r>
      <w:r>
        <w:t xml:space="preserve"> to Damascus and captured it and deported it, and Rezin he killed.</w:t>
      </w:r>
    </w:p>
    <w:p>
      <w:r>
        <w:rPr>
          <w:b/>
        </w:rPr>
        <w:t xml:space="preserve">10 </w:t>
      </w:r>
      <w:r>
        <w:t xml:space="preserve">And King Ahaz went to meet Tiglathpileser king of the Assyrians in Damascus and saw the altar in Damascus, and King Ahaz sent to Urijah</w:t>
      </w:r>
      <w:r>
        <w:rPr>
          <w:rStyle w:val="FootnoteReference"/>
        </w:rPr>
        <w:footnoteReference w:id="7350"/>
      </w:r>
      <w:r>
        <w:t xml:space="preserve"> the priest the likeness of the altar and its pattern according to all its workmanship.</w:t>
      </w:r>
      <w:r>
        <w:rPr>
          <w:rStyle w:val="FootnoteReference"/>
        </w:rPr>
        <w:footnoteReference w:id="7351"/>
      </w:r>
    </w:p>
    <w:p>
      <w:r>
        <w:rPr>
          <w:b/>
        </w:rPr>
        <w:t xml:space="preserve">11 </w:t>
      </w:r>
      <w:r>
        <w:t xml:space="preserve">And Urijah</w:t>
      </w:r>
      <w:r>
        <w:rPr>
          <w:rStyle w:val="FootnoteReference"/>
        </w:rPr>
        <w:footnoteReference w:id="7352"/>
      </w:r>
      <w:r>
        <w:t xml:space="preserve"> the priest built the altar according to all that King Ahaz sent from Damascus.</w:t>
      </w:r>
    </w:p>
    <w:p>
      <w:r>
        <w:rPr>
          <w:b/>
        </w:rPr>
        <w:t xml:space="preserve">12 </w:t>
      </w:r>
      <w:r>
        <w:t xml:space="preserve">And the king saw the altar and went up upon it.</w:t>
      </w:r>
    </w:p>
    <w:p>
      <w:r>
        <w:rPr>
          <w:b/>
        </w:rPr>
        <w:t xml:space="preserve">13 </w:t>
      </w:r>
      <w:r>
        <w:t xml:space="preserve">And he burned his whole-burnt-offering and his sacrifice and his drink-offering and poured out the blood of his peace-offerings upon the altar.</w:t>
      </w:r>
    </w:p>
    <w:p>
      <w:r>
        <w:rPr>
          <w:b/>
        </w:rPr>
        <w:t xml:space="preserve">14 </w:t>
      </w:r>
      <w:r>
        <w:t xml:space="preserve">And the bronze altar, the one before the Lord, he brought near from before the house of the Lord, from between the altar</w:t>
      </w:r>
      <w:r>
        <w:rPr>
          <w:rStyle w:val="FootnoteReference"/>
        </w:rPr>
        <w:footnoteReference w:id="7353"/>
      </w:r>
      <w:r>
        <w:t xml:space="preserve"> and from between the house of the Lord, and set it on the side of the altar toward the north.</w:t>
      </w:r>
    </w:p>
    <w:p>
      <w:r>
        <w:rPr>
          <w:b/>
        </w:rPr>
        <w:t xml:space="preserve">15 </w:t>
      </w:r>
      <w:r>
        <w:t xml:space="preserve">And King Ahaz commanded Urijah the priest, saying, Upon the great altar offer the morning</w:t>
      </w:r>
      <w:r>
        <w:rPr>
          <w:rStyle w:val="FootnoteReference"/>
        </w:rPr>
        <w:footnoteReference w:id="7354"/>
      </w:r>
      <w:r>
        <w:t xml:space="preserve"> whole-burnt-offering and the evening sacrifice and the whole-burnt-offering of the king and his sacrifice and the whole-burnt-offerings of all the people of the land and their sacrifices and their drink-offerings, and pour on it all the blood of the whole-burnt-offering and all the blood of the sacrifice, but the bronze altar will be for me to inquire by</w:t>
      </w:r>
      <w:r>
        <w:rPr>
          <w:rStyle w:val="FootnoteReference"/>
        </w:rPr>
        <w:footnoteReference w:id="7355"/>
      </w:r>
      <w:r>
        <w:t xml:space="preserve">.</w:t>
      </w:r>
    </w:p>
    <w:p>
      <w:r>
        <w:rPr>
          <w:b/>
        </w:rPr>
        <w:t xml:space="preserve">16 </w:t>
      </w:r>
      <w:r>
        <w:t xml:space="preserve">And Urijah the priest did according to all that King Ahaz commanded him.</w:t>
      </w:r>
    </w:p>
    <w:p>
      <w:r>
        <w:rPr>
          <w:b/>
        </w:rPr>
        <w:t xml:space="preserve">17 </w:t>
      </w:r>
      <w:r>
        <w:t xml:space="preserve">And King Ahaz cut down the frames of the bases and removed the laver from them, and he brought down the sea from the bronze oxen under it and set it on a stone base.</w:t>
      </w:r>
      <w:r>
        <w:rPr>
          <w:rStyle w:val="FootnoteReference"/>
        </w:rPr>
        <w:footnoteReference w:id="7356"/>
      </w:r>
    </w:p>
    <w:p>
      <w:r>
        <w:rPr>
          <w:b/>
        </w:rPr>
        <w:t xml:space="preserve">18 </w:t>
      </w:r>
      <w:r>
        <w:t xml:space="preserve">And the foundation of the seat he built in the house of the Lord, and the outer entrance of the king he turned within the house of the Lord because of the king of the Assyrians.</w:t>
      </w:r>
    </w:p>
    <w:p>
      <w:r>
        <w:rPr>
          <w:b/>
        </w:rPr>
        <w:t xml:space="preserve">19 </w:t>
      </w:r>
      <w:r>
        <w:t xml:space="preserve">And the rest of the words of Ahaz, what he did, are these not written in the book of the words of the days for the kings of Judah?</w:t>
      </w:r>
    </w:p>
    <w:p>
      <w:r>
        <w:rPr>
          <w:b/>
        </w:rPr>
        <w:t xml:space="preserve">20 </w:t>
      </w:r>
      <w:r>
        <w:t xml:space="preserve">And Ahaz slept with his fathers and was buried</w:t>
      </w:r>
      <w:r>
        <w:rPr>
          <w:rStyle w:val="FootnoteReference"/>
        </w:rPr>
        <w:footnoteReference w:id="7357"/>
      </w:r>
      <w:r>
        <w:t xml:space="preserve"> in the city of David, and Hezekiah</w:t>
      </w:r>
      <w:r>
        <w:rPr>
          <w:rStyle w:val="FootnoteReference"/>
        </w:rPr>
        <w:footnoteReference w:id="7358"/>
      </w:r>
      <w:r>
        <w:t xml:space="preserve">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In the twelfth</w:t>
      </w:r>
      <w:r>
        <w:rPr>
          <w:rStyle w:val="FootnoteReference"/>
        </w:rPr>
        <w:footnoteReference w:id="7359"/>
      </w:r>
      <w:r>
        <w:t xml:space="preserve"> year of Ahaz king of Judah, Hoshea son of Ela reigned in Samaria over Israel nine years.</w:t>
      </w:r>
    </w:p>
    <w:p>
      <w:r>
        <w:rPr>
          <w:b/>
        </w:rPr>
        <w:t xml:space="preserve">2 </w:t>
      </w:r>
      <w:r>
        <w:t xml:space="preserve">And he did evil in the eyes of the Lord, yet not like the kings of Israel who were before him.</w:t>
      </w:r>
    </w:p>
    <w:p>
      <w:r>
        <w:rPr>
          <w:b/>
        </w:rPr>
        <w:t xml:space="preserve">3 </w:t>
      </w:r>
      <w:r>
        <w:t xml:space="preserve">Against him came up Shalmaneser</w:t>
      </w:r>
      <w:r>
        <w:rPr>
          <w:rStyle w:val="FootnoteReference"/>
        </w:rPr>
        <w:footnoteReference w:id="7360"/>
      </w:r>
      <w:r>
        <w:t xml:space="preserve"> king of the Assyrians, and Hoshea became his servant and brought tribute back to him.</w:t>
      </w:r>
      <w:r>
        <w:rPr>
          <w:rStyle w:val="FootnoteReference"/>
        </w:rPr>
        <w:footnoteReference w:id="7361"/>
      </w:r>
    </w:p>
    <w:p>
      <w:r>
        <w:rPr>
          <w:b/>
        </w:rPr>
        <w:t xml:space="preserve">4 </w:t>
      </w:r>
      <w:r>
        <w:t xml:space="preserve">And the king of the Assyrians found wrongdoing</w:t>
      </w:r>
      <w:r>
        <w:rPr>
          <w:rStyle w:val="FootnoteReference"/>
        </w:rPr>
        <w:footnoteReference w:id="7362"/>
      </w:r>
      <w:r>
        <w:t xml:space="preserve"> in Hoshea, because he sent messengers to So king of Egypt</w:t>
      </w:r>
      <w:r>
        <w:rPr>
          <w:rStyle w:val="FootnoteReference"/>
        </w:rPr>
        <w:footnoteReference w:id="7363"/>
      </w:r>
      <w:r>
        <w:t xml:space="preserve"> and did not bring tribute to the king of the Assyrians in that year. And the king of the Assyrians besieged him and bound him in prison.</w:t>
      </w:r>
    </w:p>
    <w:p>
      <w:r>
        <w:rPr>
          <w:b/>
        </w:rPr>
        <w:t xml:space="preserve">5 </w:t>
      </w:r>
      <w:r>
        <w:t xml:space="preserve">And the king of the Assyrians came up in all the land and came up to Samaria and besieged it three years</w:t>
      </w:r>
      <w:r>
        <w:rPr>
          <w:rStyle w:val="FootnoteReference"/>
        </w:rPr>
        <w:footnoteReference w:id="7364"/>
      </w:r>
      <w:r>
        <w:t xml:space="preserve">.</w:t>
      </w:r>
    </w:p>
    <w:p>
      <w:r>
        <w:rPr>
          <w:b/>
        </w:rPr>
        <w:t xml:space="preserve">6 </w:t>
      </w:r>
      <w:r>
        <w:t xml:space="preserve">In the ninth year of Hoshea, the king of the Assyrians captured Samaria and deported Israel to the Assyrians and settled them in Halah</w:t>
      </w:r>
      <w:r>
        <w:rPr>
          <w:rStyle w:val="FootnoteReference"/>
        </w:rPr>
        <w:footnoteReference w:id="7365"/>
      </w:r>
      <w:r>
        <w:t xml:space="preserve"> and in Habor, rivers of Gozan</w:t>
      </w:r>
      <w:r>
        <w:rPr>
          <w:rStyle w:val="FootnoteReference"/>
        </w:rPr>
        <w:footnoteReference w:id="7366"/>
      </w:r>
      <w:r>
        <w:t xml:space="preserve">, and mountains of the Medes</w:t>
      </w:r>
      <w:r>
        <w:rPr>
          <w:rStyle w:val="FootnoteReference"/>
        </w:rPr>
        <w:footnoteReference w:id="7367"/>
      </w:r>
      <w:r>
        <w:t xml:space="preserve">.</w:t>
      </w:r>
      <w:r>
        <w:rPr>
          <w:rStyle w:val="FootnoteReference"/>
        </w:rPr>
        <w:footnoteReference w:id="7368"/>
      </w:r>
      <w:r>
        <w:rPr>
          <w:rStyle w:val="FootnoteReference"/>
        </w:rPr>
        <w:footnoteReference w:id="7369"/>
      </w:r>
    </w:p>
    <w:p>
      <w:r>
        <w:rPr>
          <w:b/>
        </w:rPr>
        <w:t xml:space="preserve">7 </w:t>
      </w:r>
      <w:r>
        <w:t xml:space="preserve">And it came to be because the sons of Israel sinned</w:t>
      </w:r>
      <w:r>
        <w:rPr>
          <w:rStyle w:val="FootnoteReference"/>
        </w:rPr>
        <w:footnoteReference w:id="7370"/>
      </w:r>
      <w:r>
        <w:t xml:space="preserve"> against the Lord their God who brought them up from the land of Egypt from under the hand</w:t>
      </w:r>
      <w:r>
        <w:rPr>
          <w:rStyle w:val="FootnoteReference"/>
        </w:rPr>
        <w:footnoteReference w:id="7371"/>
      </w:r>
      <w:r>
        <w:t xml:space="preserve"> of Pharaoh king of Egypt, and they feared other gods.</w:t>
      </w:r>
    </w:p>
    <w:p>
      <w:r>
        <w:rPr>
          <w:b/>
        </w:rPr>
        <w:t xml:space="preserve">8 </w:t>
      </w:r>
      <w:r>
        <w:t xml:space="preserve">And they walked</w:t>
      </w:r>
      <w:r>
        <w:rPr>
          <w:rStyle w:val="FootnoteReference"/>
        </w:rPr>
        <w:footnoteReference w:id="7372"/>
      </w:r>
      <w:r>
        <w:t xml:space="preserve"> in the statutes of the nations whom the Lord drove out from before the sons of Israel, and in those of the kings of Israel, as many as they made.</w:t>
      </w:r>
    </w:p>
    <w:p>
      <w:r>
        <w:rPr>
          <w:b/>
        </w:rPr>
        <w:t xml:space="preserve">9 </w:t>
      </w:r>
      <w:r>
        <w:t xml:space="preserve">And the sons of Israel secretly</w:t>
      </w:r>
      <w:r>
        <w:rPr>
          <w:rStyle w:val="FootnoteReference"/>
        </w:rPr>
        <w:footnoteReference w:id="7373"/>
      </w:r>
      <w:r>
        <w:t xml:space="preserve"> did matters not so against the Lord their God, and they built for themselves high places in all their cities, from the tower of watchmen to fortified city.</w:t>
      </w:r>
    </w:p>
    <w:p>
      <w:r>
        <w:rPr>
          <w:b/>
        </w:rPr>
        <w:t xml:space="preserve">10 </w:t>
      </w:r>
      <w:r>
        <w:t xml:space="preserve">And they set</w:t>
      </w:r>
      <w:r>
        <w:rPr>
          <w:rStyle w:val="FootnoteReference"/>
        </w:rPr>
        <w:footnoteReference w:id="7374"/>
      </w:r>
      <w:r>
        <w:t xml:space="preserve"> up for themselves pillars and groves</w:t>
      </w:r>
      <w:r>
        <w:rPr>
          <w:rStyle w:val="FootnoteReference"/>
        </w:rPr>
        <w:footnoteReference w:id="7375"/>
      </w:r>
      <w:r>
        <w:t xml:space="preserve"> on every high hill and under every leafy tree.</w:t>
      </w:r>
    </w:p>
    <w:p>
      <w:r>
        <w:rPr>
          <w:b/>
        </w:rPr>
        <w:t xml:space="preserve">11 </w:t>
      </w:r>
      <w:r>
        <w:t xml:space="preserve">And there they burned incense on all the high places, as the nations whom the Lord deported from before them, and they made companions and engraved things to provoke</w:t>
      </w:r>
      <w:r>
        <w:rPr>
          <w:rStyle w:val="FootnoteReference"/>
        </w:rPr>
        <w:footnoteReference w:id="7376"/>
      </w:r>
      <w:r>
        <w:t xml:space="preserve"> the Lord.</w:t>
      </w:r>
    </w:p>
    <w:p>
      <w:r>
        <w:rPr>
          <w:b/>
        </w:rPr>
        <w:t xml:space="preserve">12 </w:t>
      </w:r>
      <w:r>
        <w:t xml:space="preserve">And they served idols, of which the Lord said to them, You shall not do this thing to the Lord.</w:t>
      </w:r>
    </w:p>
    <w:p>
      <w:r>
        <w:rPr>
          <w:b/>
        </w:rPr>
        <w:t xml:space="preserve">13 </w:t>
      </w:r>
      <w:r>
        <w:t xml:space="preserve">And the Lord testified</w:t>
      </w:r>
      <w:r>
        <w:rPr>
          <w:rStyle w:val="FootnoteReference"/>
        </w:rPr>
        <w:footnoteReference w:id="7377"/>
      </w:r>
      <w:r>
        <w:t xml:space="preserve"> in Israel and in Judah by the hand of all his prophets, every seer</w:t>
      </w:r>
      <w:r>
        <w:rPr>
          <w:rStyle w:val="FootnoteReference"/>
        </w:rPr>
        <w:footnoteReference w:id="7378"/>
      </w:r>
      <w:r>
        <w:t xml:space="preserve">, saying, Turn from your evil ways and keep my commandments and my ordinances and all the law.</w:t>
      </w:r>
    </w:p>
    <w:p>
      <w:r>
        <w:rPr>
          <w:b/>
        </w:rPr>
        <w:t xml:space="preserve">14 </w:t>
      </w:r>
      <w:r>
        <w:t xml:space="preserve">And they did not listen and hardened their neck beyond the neck of their fathers.</w:t>
      </w:r>
    </w:p>
    <w:p>
      <w:r>
        <w:rPr>
          <w:b/>
        </w:rPr>
        <w:t xml:space="preserve">15 </w:t>
      </w:r>
      <w:r>
        <w:t xml:space="preserve">And his testimonies</w:t>
      </w:r>
      <w:r>
        <w:rPr>
          <w:rStyle w:val="FootnoteReference"/>
        </w:rPr>
        <w:footnoteReference w:id="7379"/>
      </w:r>
      <w:r>
        <w:t xml:space="preserve">, which he testified to them, they did not keep, and they went after vanities and became vain, and after the nations around them, concerning whom he commanded them not to do according to these.</w:t>
      </w:r>
      <w:r>
        <w:rPr>
          <w:rStyle w:val="FootnoteReference"/>
        </w:rPr>
        <w:footnoteReference w:id="7380"/>
      </w:r>
    </w:p>
    <w:p>
      <w:r>
        <w:rPr>
          <w:b/>
        </w:rPr>
        <w:t xml:space="preserve">16 </w:t>
      </w:r>
      <w:r>
        <w:t xml:space="preserve">They abandoned the commandments of the Lord their God and made for themselves cast images, two calves, and made groves and bowed down to all the force of heaven and served Baal</w:t>
      </w:r>
      <w:r>
        <w:rPr>
          <w:rStyle w:val="FootnoteReference"/>
        </w:rPr>
        <w:footnoteReference w:id="7381"/>
      </w:r>
      <w:r>
        <w:t xml:space="preserve">.</w:t>
      </w:r>
    </w:p>
    <w:p>
      <w:r>
        <w:rPr>
          <w:b/>
        </w:rPr>
        <w:t xml:space="preserve">17 </w:t>
      </w:r>
      <w:r>
        <w:t xml:space="preserve">And they made their sons and their daughters pass through fire and practiced divinations and omens and sold</w:t>
      </w:r>
      <w:r>
        <w:rPr>
          <w:rStyle w:val="FootnoteReference"/>
        </w:rPr>
        <w:footnoteReference w:id="7382"/>
      </w:r>
      <w:r>
        <w:t xml:space="preserve"> themselves to do evil in the eyes of the Lord, to provoke him.</w:t>
      </w:r>
    </w:p>
    <w:p>
      <w:r>
        <w:rPr>
          <w:b/>
        </w:rPr>
        <w:t xml:space="preserve">18 </w:t>
      </w:r>
      <w:r>
        <w:t xml:space="preserve">And the Lord was very angry with Israel and removed</w:t>
      </w:r>
      <w:r>
        <w:rPr>
          <w:rStyle w:val="FootnoteReference"/>
        </w:rPr>
        <w:footnoteReference w:id="7383"/>
      </w:r>
      <w:r>
        <w:t xml:space="preserve"> them from before his face, and none was left except the tribe of Judah alone.</w:t>
      </w:r>
    </w:p>
    <w:p>
      <w:r>
        <w:rPr>
          <w:b/>
        </w:rPr>
        <w:t xml:space="preserve">19 </w:t>
      </w:r>
      <w:r>
        <w:t xml:space="preserve">Yet Judah also did not keep the commandments</w:t>
      </w:r>
      <w:r>
        <w:rPr>
          <w:rStyle w:val="FootnoteReference"/>
        </w:rPr>
        <w:footnoteReference w:id="7384"/>
      </w:r>
      <w:r>
        <w:t xml:space="preserve"> of the Lord their God, and they walked</w:t>
      </w:r>
      <w:r>
        <w:rPr>
          <w:rStyle w:val="FootnoteReference"/>
        </w:rPr>
        <w:footnoteReference w:id="7385"/>
      </w:r>
      <w:r>
        <w:t xml:space="preserve"> in the statutes of Israel which they made.</w:t>
      </w:r>
    </w:p>
    <w:p>
      <w:r>
        <w:rPr>
          <w:b/>
        </w:rPr>
        <w:t xml:space="preserve">20 </w:t>
      </w:r>
      <w:r>
        <w:t xml:space="preserve">And the Lord rejected</w:t>
      </w:r>
      <w:r>
        <w:rPr>
          <w:rStyle w:val="FootnoteReference"/>
        </w:rPr>
        <w:footnoteReference w:id="7386"/>
      </w:r>
      <w:r>
        <w:t xml:space="preserve"> all the seed of Israel and shook them and gave them into the hand of those plundering them until he cast them from before his face.</w:t>
      </w:r>
    </w:p>
    <w:p>
      <w:r>
        <w:rPr>
          <w:b/>
        </w:rPr>
        <w:t xml:space="preserve">21 </w:t>
      </w:r>
      <w:r>
        <w:t xml:space="preserve">Because he tore Israel away from the house of David, and they made</w:t>
      </w:r>
      <w:r>
        <w:rPr>
          <w:rStyle w:val="FootnoteReference"/>
        </w:rPr>
        <w:footnoteReference w:id="7387"/>
      </w:r>
      <w:r>
        <w:t xml:space="preserve"> Jeroboam son of Nebat king, and Jeroboam thrust Israel away from following the Lord and made them sin a great sin.</w:t>
      </w:r>
    </w:p>
    <w:p>
      <w:r>
        <w:rPr>
          <w:b/>
        </w:rPr>
        <w:t xml:space="preserve">22 </w:t>
      </w:r>
      <w:r>
        <w:t xml:space="preserve">And the sons of Israel walked in every sin of Jeroboam which he did. They did not depart from it,</w:t>
      </w:r>
    </w:p>
    <w:p>
      <w:r>
        <w:rPr>
          <w:b/>
        </w:rPr>
        <w:t xml:space="preserve">23 </w:t>
      </w:r>
      <w:r>
        <w:t xml:space="preserve">until the Lord</w:t>
      </w:r>
      <w:r>
        <w:rPr>
          <w:rStyle w:val="FootnoteReference"/>
        </w:rPr>
        <w:footnoteReference w:id="7388"/>
      </w:r>
      <w:r>
        <w:t xml:space="preserve"> removed Israel from before his face, as the Lord spoke by the hand of all his servants the prophets, and Israel was deported from its land to the Assyrians until this day.</w:t>
      </w:r>
    </w:p>
    <w:p>
      <w:r>
        <w:rPr>
          <w:b/>
        </w:rPr>
        <w:t xml:space="preserve">24 </w:t>
      </w:r>
      <w:r>
        <w:t xml:space="preserve">And the king of the Assyrians brought from Babylon</w:t>
      </w:r>
      <w:r>
        <w:rPr>
          <w:rStyle w:val="FootnoteReference"/>
        </w:rPr>
        <w:footnoteReference w:id="7389"/>
      </w:r>
      <w:r>
        <w:t xml:space="preserve"> and from Cuthah</w:t>
      </w:r>
      <w:r>
        <w:rPr>
          <w:rStyle w:val="FootnoteReference"/>
        </w:rPr>
        <w:footnoteReference w:id="7390"/>
      </w:r>
      <w:r>
        <w:t xml:space="preserve"> and from Ava</w:t>
      </w:r>
      <w:r>
        <w:rPr>
          <w:rStyle w:val="FootnoteReference"/>
        </w:rPr>
        <w:footnoteReference w:id="7391"/>
      </w:r>
      <w:r>
        <w:t xml:space="preserve"> and from Hamath and Sepharvaim</w:t>
      </w:r>
      <w:r>
        <w:rPr>
          <w:rStyle w:val="FootnoteReference"/>
        </w:rPr>
        <w:footnoteReference w:id="7392"/>
      </w:r>
      <w:r>
        <w:t xml:space="preserve"> and settled them in the cities of Samaria instead of the sons of Israel. And they inherited Samaria and dwelt in its cities.</w:t>
      </w:r>
    </w:p>
    <w:p>
      <w:r>
        <w:rPr>
          <w:b/>
        </w:rPr>
        <w:t xml:space="preserve">25 </w:t>
      </w:r>
      <w:r>
        <w:t xml:space="preserve">And it came to be at the beginning of their dwelling there, they did not fear the Lord, and the Lord sent</w:t>
      </w:r>
      <w:r>
        <w:rPr>
          <w:rStyle w:val="FootnoteReference"/>
        </w:rPr>
        <w:footnoteReference w:id="7393"/>
      </w:r>
      <w:r>
        <w:t xml:space="preserve"> lions among them, and they were killing among them.</w:t>
      </w:r>
    </w:p>
    <w:p>
      <w:r>
        <w:rPr>
          <w:b/>
        </w:rPr>
        <w:t xml:space="preserve">26 </w:t>
      </w:r>
      <w:r>
        <w:t xml:space="preserve">And they said to the king of the Assyrians, The nations whom you deported and settled in the cities of Samaria did not know the judgment of the god of the land, and he sent the lions among them, and behold, they are putting them to death because they do not know the judgment of the god of the land.</w:t>
      </w:r>
      <w:r>
        <w:rPr>
          <w:rStyle w:val="FootnoteReference"/>
        </w:rPr>
        <w:footnoteReference w:id="7394"/>
      </w:r>
    </w:p>
    <w:p>
      <w:r>
        <w:rPr>
          <w:b/>
        </w:rPr>
        <w:t xml:space="preserve">27 </w:t>
      </w:r>
      <w:r>
        <w:t xml:space="preserve">And the king of the Assyrians commanded, saying, Take there one of the priests</w:t>
      </w:r>
      <w:r>
        <w:rPr>
          <w:rStyle w:val="FootnoteReference"/>
        </w:rPr>
        <w:footnoteReference w:id="7395"/>
      </w:r>
      <w:r>
        <w:t xml:space="preserve"> whom you deported from there, and let him go and dwell there and enlighten them about the judgment of the god of the land.</w:t>
      </w:r>
    </w:p>
    <w:p>
      <w:r>
        <w:rPr>
          <w:b/>
        </w:rPr>
        <w:t xml:space="preserve">28 </w:t>
      </w:r>
      <w:r>
        <w:t xml:space="preserve">And they brought one of the priests whom they deported from Samaria, and he dwelt in Bethel</w:t>
      </w:r>
      <w:r>
        <w:rPr>
          <w:rStyle w:val="FootnoteReference"/>
        </w:rPr>
        <w:footnoteReference w:id="7396"/>
      </w:r>
      <w:r>
        <w:t xml:space="preserve"> and was enlightening them how they should fear the Lord.</w:t>
      </w:r>
    </w:p>
    <w:p>
      <w:r>
        <w:rPr>
          <w:b/>
        </w:rPr>
        <w:t xml:space="preserve">29 </w:t>
      </w:r>
      <w:r>
        <w:t xml:space="preserve">And nation by nation was making its own gods and putting them in the houses of the high places which the Samaritans</w:t>
      </w:r>
      <w:r>
        <w:rPr>
          <w:rStyle w:val="FootnoteReference"/>
        </w:rPr>
        <w:footnoteReference w:id="7397"/>
      </w:r>
      <w:r>
        <w:t xml:space="preserve"> made, nation in the cities in which they were dwelling.</w:t>
      </w:r>
    </w:p>
    <w:p>
      <w:r>
        <w:rPr>
          <w:b/>
        </w:rPr>
        <w:t xml:space="preserve">30 </w:t>
      </w:r>
      <w:r>
        <w:t xml:space="preserve">And the men of Babylon</w:t>
      </w:r>
      <w:r>
        <w:rPr>
          <w:rStyle w:val="FootnoteReference"/>
        </w:rPr>
        <w:footnoteReference w:id="7398"/>
      </w:r>
      <w:r>
        <w:t xml:space="preserve"> made Succothbenoth</w:t>
      </w:r>
      <w:r>
        <w:rPr>
          <w:rStyle w:val="FootnoteReference"/>
        </w:rPr>
        <w:footnoteReference w:id="7399"/>
      </w:r>
      <w:r>
        <w:t xml:space="preserve">, and the men of Cuth</w:t>
      </w:r>
      <w:r>
        <w:rPr>
          <w:rStyle w:val="FootnoteReference"/>
        </w:rPr>
        <w:footnoteReference w:id="7400"/>
      </w:r>
      <w:r>
        <w:t xml:space="preserve"> made Nergal</w:t>
      </w:r>
      <w:r>
        <w:rPr>
          <w:rStyle w:val="FootnoteReference"/>
        </w:rPr>
        <w:footnoteReference w:id="7401"/>
      </w:r>
      <w:r>
        <w:t xml:space="preserve">, and the men of Hamath made Ashima</w:t>
      </w:r>
      <w:r>
        <w:rPr>
          <w:rStyle w:val="FootnoteReference"/>
        </w:rPr>
        <w:footnoteReference w:id="7402"/>
      </w:r>
      <w:r>
        <w:t xml:space="preserve">,</w:t>
      </w:r>
    </w:p>
    <w:p>
      <w:r>
        <w:rPr>
          <w:b/>
        </w:rPr>
        <w:t xml:space="preserve">31 </w:t>
      </w:r>
      <w:r>
        <w:t xml:space="preserve">and the Evaites made Eblazer and Tartak</w:t>
      </w:r>
      <w:r>
        <w:rPr>
          <w:rStyle w:val="FootnoteReference"/>
        </w:rPr>
        <w:footnoteReference w:id="7403"/>
      </w:r>
      <w:r>
        <w:t xml:space="preserve">, and the Seppharouaites were burning their sons in fire to Adrammelech</w:t>
      </w:r>
      <w:r>
        <w:rPr>
          <w:rStyle w:val="FootnoteReference"/>
        </w:rPr>
        <w:footnoteReference w:id="7404"/>
      </w:r>
      <w:r>
        <w:t xml:space="preserve"> and Anammelech</w:t>
      </w:r>
      <w:r>
        <w:rPr>
          <w:rStyle w:val="FootnoteReference"/>
        </w:rPr>
        <w:footnoteReference w:id="7405"/>
      </w:r>
      <w:r>
        <w:t xml:space="preserve">, gods of Sepharvaim.</w:t>
      </w:r>
      <w:r>
        <w:rPr>
          <w:rStyle w:val="FootnoteReference"/>
        </w:rPr>
        <w:footnoteReference w:id="7406"/>
      </w:r>
    </w:p>
    <w:p>
      <w:r>
        <w:rPr>
          <w:b/>
        </w:rPr>
        <w:t xml:space="preserve">32 </w:t>
      </w:r>
      <w:r>
        <w:t xml:space="preserve">And they were fearing the Lord and appointing for themselves priests of the high places from among themselves, and they were making for them in the houses</w:t>
      </w:r>
      <w:r>
        <w:rPr>
          <w:rStyle w:val="FootnoteReference"/>
        </w:rPr>
        <w:footnoteReference w:id="7407"/>
      </w:r>
      <w:r>
        <w:t xml:space="preserve"> of the high places.</w:t>
      </w:r>
    </w:p>
    <w:p>
      <w:r>
        <w:rPr>
          <w:b/>
        </w:rPr>
        <w:t xml:space="preserve">33 </w:t>
      </w:r>
      <w:r>
        <w:t xml:space="preserve">They feared</w:t>
      </w:r>
      <w:r>
        <w:rPr>
          <w:rStyle w:val="FootnoteReference"/>
        </w:rPr>
        <w:footnoteReference w:id="7408"/>
      </w:r>
      <w:r>
        <w:t xml:space="preserve"> the Lord and served their gods according to the custom of the nations from which he deported them there.</w:t>
      </w:r>
    </w:p>
    <w:p>
      <w:r>
        <w:rPr>
          <w:b/>
        </w:rPr>
        <w:t xml:space="preserve">34 </w:t>
      </w:r>
      <w:r>
        <w:t xml:space="preserve">To this day they act according to their judgment. They fear, and they act</w:t>
      </w:r>
      <w:r>
        <w:rPr>
          <w:rStyle w:val="FootnoteReference"/>
        </w:rPr>
        <w:footnoteReference w:id="7409"/>
      </w:r>
      <w:r>
        <w:t xml:space="preserve"> according to their statutes and according to their judgment and according to the law and according to the commandment that the Lord commanded the sons of Jacob, whom he named Israel</w:t>
      </w:r>
      <w:r>
        <w:rPr>
          <w:rStyle w:val="FootnoteReference"/>
        </w:rPr>
        <w:footnoteReference w:id="7410"/>
      </w:r>
      <w:r>
        <w:t xml:space="preserve">.</w:t>
      </w:r>
      <w:r>
        <w:rPr>
          <w:rStyle w:val="FootnoteReference"/>
        </w:rPr>
        <w:footnoteReference w:id="7411"/>
      </w:r>
    </w:p>
    <w:p>
      <w:r>
        <w:rPr>
          <w:b/>
        </w:rPr>
        <w:t xml:space="preserve">35 </w:t>
      </w:r>
      <w:r>
        <w:t xml:space="preserve">And the Lord made a covenant with them and commanded them, saying, You shall not fear other gods</w:t>
      </w:r>
      <w:r>
        <w:rPr>
          <w:rStyle w:val="FootnoteReference"/>
        </w:rPr>
        <w:footnoteReference w:id="7412"/>
      </w:r>
      <w:r>
        <w:t xml:space="preserve">, and you shall not bow down to them, and you shall not serve them, and you shall not sacrifice to them,</w:t>
      </w:r>
    </w:p>
    <w:p>
      <w:r>
        <w:rPr>
          <w:b/>
        </w:rPr>
        <w:t xml:space="preserve">36 </w:t>
      </w:r>
      <w:r>
        <w:t xml:space="preserve">but only the Lord who brought you up from the land of Egypt with great strength and with uplifted arm, him you shall fear and to him you shall bow and to him you shall sacrifice.</w:t>
      </w:r>
    </w:p>
    <w:p>
      <w:r>
        <w:rPr>
          <w:b/>
        </w:rPr>
        <w:t xml:space="preserve">37 </w:t>
      </w:r>
      <w:r>
        <w:t xml:space="preserve">And the ordinances and the judgments and the law and the commandments which he wrote for you</w:t>
      </w:r>
      <w:r>
        <w:rPr>
          <w:rStyle w:val="FootnoteReference"/>
        </w:rPr>
        <w:footnoteReference w:id="7413"/>
      </w:r>
      <w:r>
        <w:t xml:space="preserve">, you shall keep to do all the days, and you shall not fear other gods.</w:t>
      </w:r>
    </w:p>
    <w:p>
      <w:r>
        <w:rPr>
          <w:b/>
        </w:rPr>
        <w:t xml:space="preserve">38 </w:t>
      </w:r>
      <w:r>
        <w:t xml:space="preserve">And the covenant which he made with you, you shall not forget, and you shall not fear other gods,</w:t>
      </w:r>
    </w:p>
    <w:p>
      <w:r>
        <w:rPr>
          <w:b/>
        </w:rPr>
        <w:t xml:space="preserve">39 </w:t>
      </w:r>
      <w:r>
        <w:t xml:space="preserve">but the Lord</w:t>
      </w:r>
      <w:r>
        <w:rPr>
          <w:rStyle w:val="FootnoteReference"/>
        </w:rPr>
        <w:footnoteReference w:id="7414"/>
      </w:r>
      <w:r>
        <w:t xml:space="preserve"> your God you shall fear, and he will deliver you from all your enemies.</w:t>
      </w:r>
    </w:p>
    <w:p>
      <w:r>
        <w:rPr>
          <w:b/>
        </w:rPr>
        <w:t xml:space="preserve">40 </w:t>
      </w:r>
      <w:r>
        <w:t xml:space="preserve">And you will not listen according to their judgment, which they do.</w:t>
      </w:r>
    </w:p>
    <w:p>
      <w:r>
        <w:rPr>
          <w:b/>
        </w:rPr>
        <w:t xml:space="preserve">41 </w:t>
      </w:r>
      <w:r>
        <w:t xml:space="preserve">And these nations</w:t>
      </w:r>
      <w:r>
        <w:rPr>
          <w:rStyle w:val="FootnoteReference"/>
        </w:rPr>
        <w:footnoteReference w:id="7415"/>
      </w:r>
      <w:r>
        <w:t xml:space="preserve"> were fearing the Lord and were serving their carved images, and indeed their sons and the sons of their sons, just as their fathers did, they do until this 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it came to be in the third</w:t>
      </w:r>
      <w:r>
        <w:rPr>
          <w:rStyle w:val="FootnoteReference"/>
        </w:rPr>
        <w:footnoteReference w:id="7416"/>
      </w:r>
      <w:r>
        <w:t xml:space="preserve"> year of Hoshea son of Ela, king of Israel, Hezekiah son of Ahaz king of Judah reigned.</w:t>
      </w:r>
    </w:p>
    <w:p>
      <w:r>
        <w:rPr>
          <w:b/>
        </w:rPr>
        <w:t xml:space="preserve">2 </w:t>
      </w:r>
      <w:r>
        <w:t xml:space="preserve">He was twenty-five years old when he became king, and he reigned twenty-nine years in Jerusalem, and the name of his mother was Abou daughter of Zechariah.</w:t>
      </w:r>
    </w:p>
    <w:p>
      <w:r>
        <w:rPr>
          <w:b/>
        </w:rPr>
        <w:t xml:space="preserve">3 </w:t>
      </w:r>
      <w:r>
        <w:t xml:space="preserve">And he did what was right in the eyes of the Lord, according to all that David his father did.</w:t>
      </w:r>
    </w:p>
    <w:p>
      <w:r>
        <w:rPr>
          <w:b/>
        </w:rPr>
        <w:t xml:space="preserve">4 </w:t>
      </w:r>
      <w:r>
        <w:t xml:space="preserve">He removed</w:t>
      </w:r>
      <w:r>
        <w:rPr>
          <w:rStyle w:val="FootnoteReference"/>
        </w:rPr>
        <w:footnoteReference w:id="7417"/>
      </w:r>
      <w:r>
        <w:t xml:space="preserve"> the high places and crushed all the pillars and destroyed the groves and the bronze serpent which Moses made, because until those days the sons of Israel were burning incense to it, and he called it Nehushtan</w:t>
      </w:r>
      <w:r>
        <w:rPr>
          <w:rStyle w:val="FootnoteReference"/>
        </w:rPr>
        <w:footnoteReference w:id="7418"/>
      </w:r>
      <w:r>
        <w:t xml:space="preserve">.</w:t>
      </w:r>
      <w:r>
        <w:rPr>
          <w:rStyle w:val="FootnoteReference"/>
        </w:rPr>
        <w:footnoteReference w:id="7419"/>
      </w:r>
    </w:p>
    <w:p>
      <w:r>
        <w:rPr>
          <w:b/>
        </w:rPr>
        <w:t xml:space="preserve">5 </w:t>
      </w:r>
      <w:r>
        <w:t xml:space="preserve">He hoped in the Lord God of Israel, and after him</w:t>
      </w:r>
      <w:r>
        <w:rPr>
          <w:rStyle w:val="FootnoteReference"/>
        </w:rPr>
        <w:footnoteReference w:id="7420"/>
      </w:r>
      <w:r>
        <w:t xml:space="preserve"> there was none like him among the kings of Judah and among those before him.</w:t>
      </w:r>
    </w:p>
    <w:p>
      <w:r>
        <w:rPr>
          <w:b/>
        </w:rPr>
        <w:t xml:space="preserve">6 </w:t>
      </w:r>
      <w:r>
        <w:t xml:space="preserve">And he clung to the Lord and did not depart from behind him and kept</w:t>
      </w:r>
      <w:r>
        <w:rPr>
          <w:rStyle w:val="FootnoteReference"/>
        </w:rPr>
        <w:footnoteReference w:id="7421"/>
      </w:r>
      <w:r>
        <w:t xml:space="preserve"> his commandments which he commanded Moses.</w:t>
      </w:r>
    </w:p>
    <w:p>
      <w:r>
        <w:rPr>
          <w:b/>
        </w:rPr>
        <w:t xml:space="preserve">7 </w:t>
      </w:r>
      <w:r>
        <w:t xml:space="preserve">And the Lord</w:t>
      </w:r>
      <w:r>
        <w:rPr>
          <w:rStyle w:val="FootnoteReference"/>
        </w:rPr>
        <w:footnoteReference w:id="7422"/>
      </w:r>
      <w:r>
        <w:t xml:space="preserve"> was with him. In all that he did, he prospered. And he rebelled against the king of the Assyrians and did not serve him.</w:t>
      </w:r>
    </w:p>
    <w:p>
      <w:r>
        <w:rPr>
          <w:b/>
        </w:rPr>
        <w:t xml:space="preserve">8 </w:t>
      </w:r>
      <w:r>
        <w:t xml:space="preserve">He struck the Philistines</w:t>
      </w:r>
      <w:r>
        <w:rPr>
          <w:rStyle w:val="FootnoteReference"/>
        </w:rPr>
        <w:footnoteReference w:id="7423"/>
      </w:r>
      <w:r>
        <w:t xml:space="preserve"> as far as Gaza and as far as its border, from the tower of watchmen to fortified city.</w:t>
      </w:r>
    </w:p>
    <w:p>
      <w:r>
        <w:rPr>
          <w:b/>
        </w:rPr>
        <w:t xml:space="preserve">9 </w:t>
      </w:r>
      <w:r>
        <w:t xml:space="preserve">And it came to be in the fourth year</w:t>
      </w:r>
      <w:r>
        <w:rPr>
          <w:rStyle w:val="FootnoteReference"/>
        </w:rPr>
        <w:footnoteReference w:id="7424"/>
      </w:r>
      <w:r>
        <w:t xml:space="preserve"> of King Hezekiah, which was the seventh year of Hoshea son of Ela king of Israel, Shalmaneser king of the Assyrians came up against Samaria and was besieging it.</w:t>
      </w:r>
    </w:p>
    <w:p>
      <w:r>
        <w:rPr>
          <w:b/>
        </w:rPr>
        <w:t xml:space="preserve">10 </w:t>
      </w:r>
      <w:r>
        <w:t xml:space="preserve">And he captured it at the end of three years, in the sixth year of Hezekiah, which was the ninth year of Hoshea king of Israel, and Samaria was captured.</w:t>
      </w:r>
    </w:p>
    <w:p>
      <w:r>
        <w:rPr>
          <w:b/>
        </w:rPr>
        <w:t xml:space="preserve">11 </w:t>
      </w:r>
      <w:r>
        <w:t xml:space="preserve">And the king of the Assyrians deported Samaria to the Assyrians and set them in Halah and in Habor, river of Gozan, and mountains of the Medes,</w:t>
      </w:r>
    </w:p>
    <w:p>
      <w:r>
        <w:rPr>
          <w:b/>
        </w:rPr>
        <w:t xml:space="preserve">12 </w:t>
      </w:r>
      <w:r>
        <w:t xml:space="preserve">because they did not listen to the voice of the Lord their God and transgressed his covenant, all that Moses</w:t>
      </w:r>
      <w:r>
        <w:rPr>
          <w:rStyle w:val="FootnoteReference"/>
        </w:rPr>
        <w:footnoteReference w:id="7425"/>
      </w:r>
      <w:r>
        <w:t xml:space="preserve"> the servant of the Lord commanded, and they did not listen and did not do</w:t>
      </w:r>
      <w:r>
        <w:rPr>
          <w:rStyle w:val="FootnoteReference"/>
        </w:rPr>
        <w:footnoteReference w:id="7426"/>
      </w:r>
      <w:r>
        <w:t xml:space="preserve"> it.</w:t>
      </w:r>
    </w:p>
    <w:p>
      <w:r>
        <w:rPr>
          <w:b/>
        </w:rPr>
        <w:t xml:space="preserve">13 </w:t>
      </w:r>
      <w:r>
        <w:t xml:space="preserve">And in the fourteenth</w:t>
      </w:r>
      <w:r>
        <w:rPr>
          <w:rStyle w:val="FootnoteReference"/>
        </w:rPr>
        <w:footnoteReference w:id="7427"/>
      </w:r>
      <w:r>
        <w:t xml:space="preserve"> year of King Hezekiah, Sennacherib</w:t>
      </w:r>
      <w:r>
        <w:rPr>
          <w:rStyle w:val="FootnoteReference"/>
        </w:rPr>
        <w:footnoteReference w:id="7428"/>
      </w:r>
      <w:r>
        <w:t xml:space="preserve"> king of the Assyrians came up against the fortified cities of Judah and captured them.</w:t>
      </w:r>
    </w:p>
    <w:p>
      <w:r>
        <w:rPr>
          <w:b/>
        </w:rPr>
        <w:t xml:space="preserve">14 </w:t>
      </w:r>
      <w:r>
        <w:t xml:space="preserve">And Hezekiah king of Judah sent messengers to the king of the Assyrians to Lachish, saying, I have sinned. Turn away from me. Whatever you impose on me I will bear</w:t>
      </w:r>
      <w:r>
        <w:rPr>
          <w:rStyle w:val="FootnoteReference"/>
        </w:rPr>
        <w:footnoteReference w:id="7429"/>
      </w:r>
      <w:r>
        <w:t xml:space="preserve">. And the king of the Assyrians imposed on Hezekiah king of Judah three hundred talents of silver and thirty talents of gold.</w:t>
      </w:r>
    </w:p>
    <w:p>
      <w:r>
        <w:rPr>
          <w:b/>
        </w:rPr>
        <w:t xml:space="preserve">15 </w:t>
      </w:r>
      <w:r>
        <w:t xml:space="preserve">And Hezekiah gave all the silver found in the house of the Lord and in the treasuries of the king's house.</w:t>
      </w:r>
    </w:p>
    <w:p>
      <w:r>
        <w:rPr>
          <w:b/>
        </w:rPr>
        <w:t xml:space="preserve">16 </w:t>
      </w:r>
      <w:r>
        <w:t xml:space="preserve">At that time Hezekiah cut off the doors of the temple of the Lord and the supports which Hezekiah king of Judah overlaid, and he gave them to the king of the Assyrians.</w:t>
      </w:r>
    </w:p>
    <w:p>
      <w:r>
        <w:rPr>
          <w:b/>
        </w:rPr>
        <w:t xml:space="preserve">17 </w:t>
      </w:r>
      <w:r>
        <w:t xml:space="preserve">And the king of the Assyrians sent Tartan</w:t>
      </w:r>
      <w:r>
        <w:rPr>
          <w:rStyle w:val="FootnoteReference"/>
        </w:rPr>
        <w:footnoteReference w:id="7430"/>
      </w:r>
      <w:r>
        <w:t xml:space="preserve"> and Rabsaris</w:t>
      </w:r>
      <w:r>
        <w:rPr>
          <w:rStyle w:val="FootnoteReference"/>
        </w:rPr>
        <w:footnoteReference w:id="7431"/>
      </w:r>
      <w:r>
        <w:t xml:space="preserve"> and Rabshakeh</w:t>
      </w:r>
      <w:r>
        <w:rPr>
          <w:rStyle w:val="FootnoteReference"/>
        </w:rPr>
        <w:footnoteReference w:id="7432"/>
      </w:r>
      <w:r>
        <w:t xml:space="preserve"> from Lachish to King Hezekiah with a heavy force against Jerusalem, and they came up and came to Jerusalem and stood by the conduit of the upper pool</w:t>
      </w:r>
      <w:r>
        <w:rPr>
          <w:rStyle w:val="FootnoteReference"/>
        </w:rPr>
        <w:footnoteReference w:id="7433"/>
      </w:r>
      <w:r>
        <w:t xml:space="preserve"> on the way of the fuller's field.</w:t>
      </w:r>
    </w:p>
    <w:p>
      <w:r>
        <w:rPr>
          <w:b/>
        </w:rPr>
        <w:t xml:space="preserve">18 </w:t>
      </w:r>
      <w:r>
        <w:t xml:space="preserve">And they called to Hezekiah, and Eliakim</w:t>
      </w:r>
      <w:r>
        <w:rPr>
          <w:rStyle w:val="FootnoteReference"/>
        </w:rPr>
        <w:footnoteReference w:id="7434"/>
      </w:r>
      <w:r>
        <w:t xml:space="preserve"> son of Hilkiah</w:t>
      </w:r>
      <w:r>
        <w:rPr>
          <w:rStyle w:val="FootnoteReference"/>
        </w:rPr>
        <w:footnoteReference w:id="7435"/>
      </w:r>
      <w:r>
        <w:t xml:space="preserve"> the steward and Shebna</w:t>
      </w:r>
      <w:r>
        <w:rPr>
          <w:rStyle w:val="FootnoteReference"/>
        </w:rPr>
        <w:footnoteReference w:id="7436"/>
      </w:r>
      <w:r>
        <w:t xml:space="preserve"> the scribe and Joah</w:t>
      </w:r>
      <w:r>
        <w:rPr>
          <w:rStyle w:val="FootnoteReference"/>
        </w:rPr>
        <w:footnoteReference w:id="7437"/>
      </w:r>
      <w:r>
        <w:t xml:space="preserve"> son of Asaph</w:t>
      </w:r>
      <w:r>
        <w:rPr>
          <w:rStyle w:val="FootnoteReference"/>
        </w:rPr>
        <w:footnoteReference w:id="7438"/>
      </w:r>
      <w:r>
        <w:t xml:space="preserve"> the recorder came out to them.</w:t>
      </w:r>
      <w:r>
        <w:rPr>
          <w:rStyle w:val="FootnoteReference"/>
        </w:rPr>
        <w:footnoteReference w:id="7439"/>
      </w:r>
    </w:p>
    <w:p>
      <w:r>
        <w:rPr>
          <w:b/>
        </w:rPr>
        <w:t xml:space="preserve">19 </w:t>
      </w:r>
      <w:r>
        <w:t xml:space="preserve">And Rabshakeh said to them, Say now to Hezekiah, Thus says the great king, king of the Assyrians: What is this confidence in which you have trusted?</w:t>
      </w:r>
    </w:p>
    <w:p>
      <w:r>
        <w:rPr>
          <w:b/>
        </w:rPr>
        <w:t xml:space="preserve">20 </w:t>
      </w:r>
      <w:r>
        <w:t xml:space="preserve">You said, Only words of lips are counsel and strength for war. Now then, in whom have you trusted that you rebelled against me?</w:t>
      </w:r>
    </w:p>
    <w:p>
      <w:r>
        <w:rPr>
          <w:b/>
        </w:rPr>
        <w:t xml:space="preserve">21 </w:t>
      </w:r>
      <w:r>
        <w:t xml:space="preserve">Now behold, you have trusted for yourself on this broken reed staff</w:t>
      </w:r>
      <w:r>
        <w:rPr>
          <w:rStyle w:val="FootnoteReference"/>
        </w:rPr>
        <w:footnoteReference w:id="7440"/>
      </w:r>
      <w:r>
        <w:t xml:space="preserve">, on Egypt, on which if a man leans it will go into his hand and pierce it. So is Pharaoh</w:t>
      </w:r>
      <w:r>
        <w:rPr>
          <w:rStyle w:val="FootnoteReference"/>
        </w:rPr>
        <w:footnoteReference w:id="7441"/>
      </w:r>
      <w:r>
        <w:t xml:space="preserve"> king of Egypt to all who trust in him.</w:t>
      </w:r>
    </w:p>
    <w:p>
      <w:r>
        <w:rPr>
          <w:b/>
        </w:rPr>
        <w:t xml:space="preserve">22 </w:t>
      </w:r>
      <w:r>
        <w:t xml:space="preserve">And if you say to me, We have trusted in the Lord our God, is not this the one whose high places</w:t>
      </w:r>
      <w:r>
        <w:rPr>
          <w:rStyle w:val="FootnoteReference"/>
        </w:rPr>
        <w:footnoteReference w:id="7442"/>
      </w:r>
      <w:r>
        <w:t xml:space="preserve"> and altars Hezekiah removed and said to Judah and to Jerusalem, Before this altar in Jerusalem you shall bow?</w:t>
      </w:r>
    </w:p>
    <w:p>
      <w:r>
        <w:rPr>
          <w:b/>
        </w:rPr>
        <w:t xml:space="preserve">23 </w:t>
      </w:r>
      <w:r>
        <w:t xml:space="preserve">And now make a bargain now with my lord king of the Assyrians, and I will give you two thousand horses if you are able to give riders for them.</w:t>
      </w:r>
    </w:p>
    <w:p>
      <w:r>
        <w:rPr>
          <w:b/>
        </w:rPr>
        <w:t xml:space="preserve">24 </w:t>
      </w:r>
      <w:r>
        <w:t xml:space="preserve">And how will you turn away the face of one governor from the least of the servants of my lord? And you trusted for yourself in Egypt for chariots</w:t>
      </w:r>
      <w:r>
        <w:rPr>
          <w:rStyle w:val="FootnoteReference"/>
        </w:rPr>
        <w:footnoteReference w:id="7443"/>
      </w:r>
      <w:r>
        <w:t xml:space="preserve"> and horsemen.</w:t>
      </w:r>
    </w:p>
    <w:p>
      <w:r>
        <w:rPr>
          <w:b/>
        </w:rPr>
        <w:t xml:space="preserve">25 </w:t>
      </w:r>
      <w:r>
        <w:t xml:space="preserve">And now, was it without the Lord that we came up against this place to destroy it? The Lord said to me, Go up against this land and destroy it.</w:t>
      </w:r>
    </w:p>
    <w:p>
      <w:r>
        <w:rPr>
          <w:b/>
        </w:rPr>
        <w:t xml:space="preserve">26 </w:t>
      </w:r>
      <w:r>
        <w:t xml:space="preserve">And Eliakim son of Hilkiah and Shebna and Joah said to Rabshakeh, Speak now to your servants in Syrian, because we understand, and do not speak with us in Judean</w:t>
      </w:r>
      <w:r>
        <w:rPr>
          <w:rStyle w:val="FootnoteReference"/>
        </w:rPr>
        <w:footnoteReference w:id="7444"/>
      </w:r>
      <w:r>
        <w:t xml:space="preserve">. Why do you speak in the ears of the people upon the wall?</w:t>
      </w:r>
      <w:r>
        <w:rPr>
          <w:rStyle w:val="FootnoteReference"/>
        </w:rPr>
        <w:footnoteReference w:id="7445"/>
      </w:r>
    </w:p>
    <w:p>
      <w:r>
        <w:rPr>
          <w:b/>
        </w:rPr>
        <w:t xml:space="preserve">27 </w:t>
      </w:r>
      <w:r>
        <w:t xml:space="preserve">And Rabshakeh said to them, Was it to your lord and to you that my lord sent me to speak these words? Was it not to the men sitting on the wall, to eat their dung and drink their urine with you?</w:t>
      </w:r>
      <w:r>
        <w:rPr>
          <w:rStyle w:val="FootnoteReference"/>
        </w:rPr>
        <w:footnoteReference w:id="7446"/>
      </w:r>
    </w:p>
    <w:p>
      <w:r>
        <w:rPr>
          <w:b/>
        </w:rPr>
        <w:t xml:space="preserve">28 </w:t>
      </w:r>
      <w:r>
        <w:t xml:space="preserve">And Rabshakeh</w:t>
      </w:r>
      <w:r>
        <w:rPr>
          <w:rStyle w:val="FootnoteReference"/>
        </w:rPr>
        <w:footnoteReference w:id="7447"/>
      </w:r>
      <w:r>
        <w:t xml:space="preserve"> stood and cried with a great voice in Judean and spoke and said, Hear the words of the great king, king of the Assyrians.</w:t>
      </w:r>
    </w:p>
    <w:p>
      <w:r>
        <w:rPr>
          <w:b/>
        </w:rPr>
        <w:t xml:space="preserve">29 </w:t>
      </w:r>
      <w:r>
        <w:t xml:space="preserve">Thus says the king: Let not</w:t>
      </w:r>
      <w:r>
        <w:rPr>
          <w:rStyle w:val="FootnoteReference"/>
        </w:rPr>
        <w:footnoteReference w:id="7448"/>
      </w:r>
      <w:r>
        <w:t xml:space="preserve"> Hezekiah lift you up with words, because he will not be able to deliver you from my hand.</w:t>
      </w:r>
    </w:p>
    <w:p>
      <w:r>
        <w:rPr>
          <w:b/>
        </w:rPr>
        <w:t xml:space="preserve">30 </w:t>
      </w:r>
      <w:r>
        <w:t xml:space="preserve">And let not Hezekiah make you</w:t>
      </w:r>
      <w:r>
        <w:rPr>
          <w:rStyle w:val="FootnoteReference"/>
        </w:rPr>
        <w:footnoteReference w:id="7449"/>
      </w:r>
      <w:r>
        <w:t xml:space="preserve"> hope in the Lord, saying, In delivering the Lord will deliver us. This city will not be given into the hand of the king of the Assyrians.</w:t>
      </w:r>
    </w:p>
    <w:p>
      <w:r>
        <w:rPr>
          <w:b/>
        </w:rPr>
        <w:t xml:space="preserve">31 </w:t>
      </w:r>
      <w:r>
        <w:t xml:space="preserve">Do not listen to Hezekiah, because thus says the king of the Assyrians: Make a blessing with me</w:t>
      </w:r>
      <w:r>
        <w:rPr>
          <w:rStyle w:val="FootnoteReference"/>
        </w:rPr>
        <w:footnoteReference w:id="7450"/>
      </w:r>
      <w:r>
        <w:t xml:space="preserve"> and come out to me, and each man will eat of his vine and each man will eat of his fig tree and each man will drink water from his cistern,</w:t>
      </w:r>
    </w:p>
    <w:p>
      <w:r>
        <w:rPr>
          <w:b/>
        </w:rPr>
        <w:t xml:space="preserve">32 </w:t>
      </w:r>
      <w:r>
        <w:t xml:space="preserve">until I come</w:t>
      </w:r>
      <w:r>
        <w:rPr>
          <w:rStyle w:val="FootnoteReference"/>
        </w:rPr>
        <w:footnoteReference w:id="7451"/>
      </w:r>
      <w:r>
        <w:t xml:space="preserve"> and take you to a land like your land, a land of grain and wine and bread</w:t>
      </w:r>
      <w:r>
        <w:rPr>
          <w:rStyle w:val="FootnoteReference"/>
        </w:rPr>
        <w:footnoteReference w:id="7452"/>
      </w:r>
      <w:r>
        <w:t xml:space="preserve"> and vineyards, a land of olive oil and honey, and you will live and not die. And do not listen to Hezekiah, because he deceives you, saying, The Lord will rescue us.</w:t>
      </w:r>
    </w:p>
    <w:p>
      <w:r>
        <w:rPr>
          <w:b/>
        </w:rPr>
        <w:t xml:space="preserve">33 </w:t>
      </w:r>
      <w:r>
        <w:t xml:space="preserve">Have the gods of the nations, in delivering, delivered each his own land from the hand of the king of the Assyrians?</w:t>
      </w:r>
    </w:p>
    <w:p>
      <w:r>
        <w:rPr>
          <w:b/>
        </w:rPr>
        <w:t xml:space="preserve">34 </w:t>
      </w:r>
      <w:r>
        <w:t xml:space="preserve">Where is the god of Hamath and Arpad</w:t>
      </w:r>
      <w:r>
        <w:rPr>
          <w:rStyle w:val="FootnoteReference"/>
        </w:rPr>
        <w:footnoteReference w:id="7453"/>
      </w:r>
      <w:r>
        <w:t xml:space="preserve">? Where is the god of Sepharvaim? And have they delivered</w:t>
      </w:r>
      <w:r>
        <w:rPr>
          <w:rStyle w:val="FootnoteReference"/>
        </w:rPr>
        <w:footnoteReference w:id="7454"/>
      </w:r>
      <w:r>
        <w:t xml:space="preserve"> Samaria from my hand?</w:t>
      </w:r>
    </w:p>
    <w:p>
      <w:r>
        <w:rPr>
          <w:b/>
        </w:rPr>
        <w:t xml:space="preserve">35 </w:t>
      </w:r>
      <w:r>
        <w:t xml:space="preserve">Who among all the gods of the lands delivered their lands from my hand, that the Lord</w:t>
      </w:r>
      <w:r>
        <w:rPr>
          <w:rStyle w:val="FootnoteReference"/>
        </w:rPr>
        <w:footnoteReference w:id="7455"/>
      </w:r>
      <w:r>
        <w:t xml:space="preserve"> should deliver Jerusalem from my hand?</w:t>
      </w:r>
    </w:p>
    <w:p>
      <w:r>
        <w:rPr>
          <w:b/>
        </w:rPr>
        <w:t xml:space="preserve">36 </w:t>
      </w:r>
      <w:r>
        <w:t xml:space="preserve">And they kept silent and did not answer him a word, because it was the king's command, saying, You shall not answer him.</w:t>
      </w:r>
    </w:p>
    <w:p>
      <w:r>
        <w:rPr>
          <w:b/>
        </w:rPr>
        <w:t xml:space="preserve">37 </w:t>
      </w:r>
      <w:r>
        <w:t xml:space="preserve">And Eliakim son of Hilkiah the steward and Shebna the scribe and Joah son of Asaph the recorder came to Hezekiah with torn garments and reported to him the words of Rabshakeh.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it came to be, when King</w:t>
      </w:r>
      <w:r>
        <w:rPr>
          <w:rStyle w:val="FootnoteReference"/>
        </w:rPr>
        <w:footnoteReference w:id="7456"/>
      </w:r>
      <w:r>
        <w:t xml:space="preserve"> Hezekiah heard, he tore his garments and wrapped himself in sackcloth and entered into the house of the Lord.</w:t>
      </w:r>
    </w:p>
    <w:p>
      <w:r>
        <w:rPr>
          <w:b/>
        </w:rPr>
        <w:t xml:space="preserve">2 </w:t>
      </w:r>
      <w:r>
        <w:t xml:space="preserve">And he sent Eliakim</w:t>
      </w:r>
      <w:r>
        <w:rPr>
          <w:rStyle w:val="FootnoteReference"/>
        </w:rPr>
        <w:footnoteReference w:id="7457"/>
      </w:r>
      <w:r>
        <w:t xml:space="preserve"> the steward and Shebna the scribe and the elders of the priests clothed in sackcloth to Isaiah</w:t>
      </w:r>
      <w:r>
        <w:rPr>
          <w:rStyle w:val="FootnoteReference"/>
        </w:rPr>
        <w:footnoteReference w:id="7458"/>
      </w:r>
      <w:r>
        <w:t xml:space="preserve"> the prophet son of Amoz</w:t>
      </w:r>
      <w:r>
        <w:rPr>
          <w:rStyle w:val="FootnoteReference"/>
        </w:rPr>
        <w:footnoteReference w:id="7459"/>
      </w:r>
      <w:r>
        <w:t xml:space="preserve">.</w:t>
      </w:r>
    </w:p>
    <w:p>
      <w:r>
        <w:rPr>
          <w:b/>
        </w:rPr>
        <w:t xml:space="preserve">3 </w:t>
      </w:r>
      <w:r>
        <w:t xml:space="preserve">And they said to him, Thus says Hezekiah: This day</w:t>
      </w:r>
      <w:r>
        <w:rPr>
          <w:rStyle w:val="FootnoteReference"/>
        </w:rPr>
        <w:footnoteReference w:id="7460"/>
      </w:r>
      <w:r>
        <w:t xml:space="preserve"> is a day of affliction and rebuke and provocation, because sons came as far as birth pains and there is no strength for the woman giving birth.</w:t>
      </w:r>
    </w:p>
    <w:p>
      <w:r>
        <w:rPr>
          <w:b/>
        </w:rPr>
        <w:t xml:space="preserve">4 </w:t>
      </w:r>
      <w:r>
        <w:t xml:space="preserve">If perhaps the Lord</w:t>
      </w:r>
      <w:r>
        <w:rPr>
          <w:rStyle w:val="FootnoteReference"/>
        </w:rPr>
        <w:footnoteReference w:id="7461"/>
      </w:r>
      <w:r>
        <w:t xml:space="preserve"> your God will hear all the words of Rabshakeh, whom the king of the Assyrians his lord sent to reproach the living God and to blaspheme in words which the Lord your God heard, then you shall take up prayer for the remnant that is found.</w:t>
      </w:r>
    </w:p>
    <w:p>
      <w:r>
        <w:rPr>
          <w:b/>
        </w:rPr>
        <w:t xml:space="preserve">5 </w:t>
      </w:r>
      <w:r>
        <w:t xml:space="preserve">And the servants of King Hezekiah came to Isaiah.</w:t>
      </w:r>
    </w:p>
    <w:p>
      <w:r>
        <w:rPr>
          <w:b/>
        </w:rPr>
        <w:t xml:space="preserve">6 </w:t>
      </w:r>
      <w:r>
        <w:t xml:space="preserve">And Isaiah</w:t>
      </w:r>
      <w:r>
        <w:rPr>
          <w:rStyle w:val="FootnoteReference"/>
        </w:rPr>
        <w:footnoteReference w:id="7462"/>
      </w:r>
      <w:r>
        <w:t xml:space="preserve"> said to them, Thus you shall say to your lord: Thus says the Lord, Do not fear from the words which you heard, with which the servant-boys of the king of the Assyrians blasphemed.</w:t>
      </w:r>
    </w:p>
    <w:p>
      <w:r>
        <w:rPr>
          <w:b/>
        </w:rPr>
        <w:t xml:space="preserve">7 </w:t>
      </w:r>
      <w:r>
        <w:t xml:space="preserve">Behold, I am putting a spirit in him, and he will hear a report and return to his land, and I will bring him down by the sword in his land.</w:t>
      </w:r>
    </w:p>
    <w:p>
      <w:r>
        <w:rPr>
          <w:b/>
        </w:rPr>
        <w:t xml:space="preserve">8 </w:t>
      </w:r>
      <w:r>
        <w:t xml:space="preserve">And Rabshakeh returned and found the king of the Assyrians warring against Libnah</w:t>
      </w:r>
      <w:r>
        <w:rPr>
          <w:rStyle w:val="FootnoteReference"/>
        </w:rPr>
        <w:footnoteReference w:id="7463"/>
      </w:r>
      <w:r>
        <w:t xml:space="preserve">, because he heard that he departed from Lachish.</w:t>
      </w:r>
    </w:p>
    <w:p>
      <w:r>
        <w:rPr>
          <w:b/>
        </w:rPr>
        <w:t xml:space="preserve">9 </w:t>
      </w:r>
      <w:r>
        <w:t xml:space="preserve">And he heard concerning Tirhakah</w:t>
      </w:r>
      <w:r>
        <w:rPr>
          <w:rStyle w:val="FootnoteReference"/>
        </w:rPr>
        <w:footnoteReference w:id="7464"/>
      </w:r>
      <w:r>
        <w:t xml:space="preserve"> king of the Ethiopians</w:t>
      </w:r>
      <w:r>
        <w:rPr>
          <w:rStyle w:val="FootnoteReference"/>
        </w:rPr>
        <w:footnoteReference w:id="7465"/>
      </w:r>
      <w:r>
        <w:t xml:space="preserve">, saying, Behold, he came out to war with you. And he turned and sent</w:t>
      </w:r>
      <w:r>
        <w:rPr>
          <w:rStyle w:val="FootnoteReference"/>
        </w:rPr>
        <w:footnoteReference w:id="7466"/>
      </w:r>
      <w:r>
        <w:t xml:space="preserve"> messengers to Hezekiah, saying,</w:t>
      </w:r>
    </w:p>
    <w:p>
      <w:r>
        <w:rPr>
          <w:b/>
        </w:rPr>
        <w:t xml:space="preserve">10 </w:t>
      </w:r>
      <w:r>
        <w:t xml:space="preserve">Let not your God on whom you trust lift you up, saying, Jerusalem will not be given into the hands of the king of the Assyrians.</w:t>
      </w:r>
    </w:p>
    <w:p>
      <w:r>
        <w:rPr>
          <w:b/>
        </w:rPr>
        <w:t xml:space="preserve">11 </w:t>
      </w:r>
      <w:r>
        <w:t xml:space="preserve">Behold, you heard all that the kings of the Assyrians did to all lands, to devote them. And will you be rescued?</w:t>
      </w:r>
    </w:p>
    <w:p>
      <w:r>
        <w:rPr>
          <w:b/>
        </w:rPr>
        <w:t xml:space="preserve">12 </w:t>
      </w:r>
      <w:r>
        <w:t xml:space="preserve">Did the gods of the nations rescue them, those whom my fathers destroyed, both Gozan</w:t>
      </w:r>
      <w:r>
        <w:rPr>
          <w:rStyle w:val="FootnoteReference"/>
        </w:rPr>
        <w:footnoteReference w:id="7467"/>
      </w:r>
      <w:r>
        <w:t xml:space="preserve"> and Haran and Rezeph</w:t>
      </w:r>
      <w:r>
        <w:rPr>
          <w:rStyle w:val="FootnoteReference"/>
        </w:rPr>
        <w:footnoteReference w:id="7468"/>
      </w:r>
      <w:r>
        <w:t xml:space="preserve"> and sons of Eden in Thaesthen?</w:t>
      </w:r>
    </w:p>
    <w:p>
      <w:r>
        <w:rPr>
          <w:b/>
        </w:rPr>
        <w:t xml:space="preserve">13 </w:t>
      </w:r>
      <w:r>
        <w:t xml:space="preserve">Where is the king of Hamath and the king of Arpad</w:t>
      </w:r>
      <w:r>
        <w:rPr>
          <w:rStyle w:val="FootnoteReference"/>
        </w:rPr>
        <w:footnoteReference w:id="7469"/>
      </w:r>
      <w:r>
        <w:t xml:space="preserve">, and where is Sepharvaim, Anah, and Aua?</w:t>
      </w:r>
    </w:p>
    <w:p>
      <w:r>
        <w:rPr>
          <w:b/>
        </w:rPr>
        <w:t xml:space="preserve">14 </w:t>
      </w:r>
      <w:r>
        <w:t xml:space="preserve">And Hezekiah</w:t>
      </w:r>
      <w:r>
        <w:rPr>
          <w:rStyle w:val="FootnoteReference"/>
        </w:rPr>
        <w:footnoteReference w:id="7470"/>
      </w:r>
      <w:r>
        <w:t xml:space="preserve"> took the letters from the hand of the messengers and read them, and he went up to the house of the Lord, and Hezekiah spread them out before the Lord.</w:t>
      </w:r>
    </w:p>
    <w:p>
      <w:r>
        <w:rPr>
          <w:b/>
        </w:rPr>
        <w:t xml:space="preserve">15 </w:t>
      </w:r>
      <w:r>
        <w:t xml:space="preserve">And he said, Lord God of Israel, the one sitting upon the cherubim, you are God alone in all the kingdoms of the earth. You made heaven and earth.</w:t>
      </w:r>
    </w:p>
    <w:p>
      <w:r>
        <w:rPr>
          <w:b/>
        </w:rPr>
        <w:t xml:space="preserve">16 </w:t>
      </w:r>
      <w:r>
        <w:t xml:space="preserve">Incline, Lord, your ear and hear. Open</w:t>
      </w:r>
      <w:r>
        <w:rPr>
          <w:rStyle w:val="FootnoteReference"/>
        </w:rPr>
        <w:footnoteReference w:id="7471"/>
      </w:r>
      <w:r>
        <w:t xml:space="preserve">, Lord, your eyes and see. And hear the words of Sennacherib which he sent to reproach the living God.</w:t>
      </w:r>
    </w:p>
    <w:p>
      <w:r>
        <w:rPr>
          <w:b/>
        </w:rPr>
        <w:t xml:space="preserve">17 </w:t>
      </w:r>
      <w:r>
        <w:t xml:space="preserve">Because truly, Lord, the kings</w:t>
      </w:r>
      <w:r>
        <w:rPr>
          <w:rStyle w:val="FootnoteReference"/>
        </w:rPr>
        <w:footnoteReference w:id="7472"/>
      </w:r>
      <w:r>
        <w:t xml:space="preserve"> of the Assyrians laid waste the nations</w:t>
      </w:r>
    </w:p>
    <w:p>
      <w:r>
        <w:rPr>
          <w:b/>
        </w:rPr>
        <w:t xml:space="preserve">18 </w:t>
      </w:r>
      <w:r>
        <w:t xml:space="preserve">and gave their gods into the fire, because they are not gods but works of human hands, wood and stone, and they destroyed them.</w:t>
      </w:r>
    </w:p>
    <w:p>
      <w:r>
        <w:rPr>
          <w:b/>
        </w:rPr>
        <w:t xml:space="preserve">19 </w:t>
      </w:r>
      <w:r>
        <w:t xml:space="preserve">And now, Lord our God, save us from his hand, and all the kingdoms of the earth will know that you alone, Lord, are God.</w:t>
      </w:r>
    </w:p>
    <w:p>
      <w:r>
        <w:rPr>
          <w:b/>
        </w:rPr>
        <w:t xml:space="preserve">20 </w:t>
      </w:r>
      <w:r>
        <w:t xml:space="preserve">And Isaiah son of Amoz sent to Hezekiah, saying, Thus says the Lord God of the forces, the God of Israel: I heard what you prayed to me concerning Sennacherib king of the Assyrians.</w:t>
      </w:r>
    </w:p>
    <w:p>
      <w:r>
        <w:rPr>
          <w:b/>
        </w:rPr>
        <w:t xml:space="preserve">21 </w:t>
      </w:r>
      <w:r>
        <w:t xml:space="preserve">This is the word which the Lord spoke against him: Virgin daughter of Zion despised you and mocked you. Daughter Jerusalem shook her head over you.</w:t>
      </w:r>
    </w:p>
    <w:p>
      <w:r>
        <w:rPr>
          <w:b/>
        </w:rPr>
        <w:t xml:space="preserve">22 </w:t>
      </w:r>
      <w:r>
        <w:t xml:space="preserve">Whom did you reproach and blaspheme? Against whom did you raise your voice and lift your eyes on high? Against the Holy One of Israel</w:t>
      </w:r>
      <w:r>
        <w:rPr>
          <w:rStyle w:val="FootnoteReference"/>
        </w:rPr>
        <w:footnoteReference w:id="7473"/>
      </w:r>
      <w:r>
        <w:t xml:space="preserve">.</w:t>
      </w:r>
      <w:r>
        <w:rPr>
          <w:rStyle w:val="FootnoteReference"/>
        </w:rPr>
        <w:footnoteReference w:id="7474"/>
      </w:r>
      <w:r>
        <w:rPr>
          <w:rStyle w:val="FootnoteReference"/>
        </w:rPr>
        <w:footnoteReference w:id="7475"/>
      </w:r>
      <w:r>
        <w:rPr>
          <w:rStyle w:val="FootnoteReference"/>
        </w:rPr>
        <w:footnoteReference w:id="7476"/>
      </w:r>
    </w:p>
    <w:p>
      <w:r>
        <w:rPr>
          <w:b/>
        </w:rPr>
        <w:t xml:space="preserve">23 </w:t>
      </w:r>
      <w:r>
        <w:t xml:space="preserve">By the hand of your messengers</w:t>
      </w:r>
      <w:r>
        <w:rPr>
          <w:rStyle w:val="FootnoteReference"/>
        </w:rPr>
        <w:footnoteReference w:id="7477"/>
      </w:r>
      <w:r>
        <w:t xml:space="preserve"> you reproached the Lord and said, By the multitude of my chariots I will go up to the heights of mountains, the sides of Lebanon, and I cut down the greatness of its cedar, its choice cypresses, and I came to the farthest part of its border, the forest of its Carmel.</w:t>
      </w:r>
      <w:r>
        <w:rPr>
          <w:rStyle w:val="FootnoteReference"/>
        </w:rPr>
        <w:footnoteReference w:id="7478"/>
      </w:r>
    </w:p>
    <w:p>
      <w:r>
        <w:rPr>
          <w:b/>
        </w:rPr>
        <w:t xml:space="preserve">24 </w:t>
      </w:r>
      <w:r>
        <w:t xml:space="preserve">I cooled and drank foreign waters, and with the sole</w:t>
      </w:r>
      <w:r>
        <w:rPr>
          <w:rStyle w:val="FootnoteReference"/>
        </w:rPr>
        <w:footnoteReference w:id="7479"/>
      </w:r>
      <w:r>
        <w:t xml:space="preserve"> of my foot I laid waste all rivers of a besieged land.</w:t>
      </w:r>
    </w:p>
    <w:p>
      <w:r>
        <w:rPr>
          <w:b/>
        </w:rPr>
        <w:t xml:space="preserve">25 </w:t>
      </w:r>
      <w:r>
        <w:t xml:space="preserve">I formed it. Now I brought it, and it came to be for elevations of desolated settlements, fortified cities.</w:t>
      </w:r>
    </w:p>
    <w:p>
      <w:r>
        <w:rPr>
          <w:b/>
        </w:rPr>
        <w:t xml:space="preserve">26 </w:t>
      </w:r>
      <w:r>
        <w:t xml:space="preserve">And those dwelling in them were weak of hand. They were</w:t>
      </w:r>
      <w:r>
        <w:rPr>
          <w:rStyle w:val="FootnoteReference"/>
        </w:rPr>
        <w:footnoteReference w:id="7480"/>
      </w:r>
      <w:r>
        <w:t xml:space="preserve"> dismayed and put to shame. They became like grass of the field and green herb, like grass of the rooftops and trampling before standing grain.</w:t>
      </w:r>
      <w:r>
        <w:rPr>
          <w:rStyle w:val="FootnoteReference"/>
        </w:rPr>
        <w:footnoteReference w:id="7481"/>
      </w:r>
    </w:p>
    <w:p>
      <w:r>
        <w:rPr>
          <w:b/>
        </w:rPr>
        <w:t xml:space="preserve">27 </w:t>
      </w:r>
      <w:r>
        <w:t xml:space="preserve">And your sitting and your going out and your going in</w:t>
      </w:r>
      <w:r>
        <w:rPr>
          <w:rStyle w:val="FootnoteReference"/>
        </w:rPr>
        <w:footnoteReference w:id="7482"/>
      </w:r>
      <w:r>
        <w:t xml:space="preserve"> I knew, and your rage against me.</w:t>
      </w:r>
    </w:p>
    <w:p>
      <w:r>
        <w:rPr>
          <w:b/>
        </w:rPr>
        <w:t xml:space="preserve">28 </w:t>
      </w:r>
      <w:r>
        <w:t xml:space="preserve">Because you raged against me and your insolence went up in my ears, I will put my hooks in your nostrils and my bridle in your lips</w:t>
      </w:r>
      <w:r>
        <w:rPr>
          <w:rStyle w:val="FootnoteReference"/>
        </w:rPr>
        <w:footnoteReference w:id="7483"/>
      </w:r>
      <w:r>
        <w:t xml:space="preserve">, and I will turn you back on the way by which you came.</w:t>
      </w:r>
      <w:r>
        <w:rPr>
          <w:rStyle w:val="FootnoteReference"/>
        </w:rPr>
        <w:footnoteReference w:id="7484"/>
      </w:r>
    </w:p>
    <w:p>
      <w:r>
        <w:rPr>
          <w:b/>
        </w:rPr>
        <w:t xml:space="preserve">29 </w:t>
      </w:r>
      <w:r>
        <w:t xml:space="preserve">And this to you is the sign: Eat this year what grows of itself, and in the second year the springing growth, and in the third sow and reap and plant vineyards and eat their fruit.</w:t>
      </w:r>
      <w:r>
        <w:rPr>
          <w:rStyle w:val="FootnoteReference"/>
        </w:rPr>
        <w:footnoteReference w:id="7485"/>
      </w:r>
    </w:p>
    <w:p>
      <w:r>
        <w:rPr>
          <w:b/>
        </w:rPr>
        <w:t xml:space="preserve">30 </w:t>
      </w:r>
      <w:r>
        <w:t xml:space="preserve">And the remnant of the house of Judah that escaped and was left will again take root downward and make fruit upward</w:t>
      </w:r>
      <w:r>
        <w:rPr>
          <w:rStyle w:val="FootnoteReference"/>
        </w:rPr>
        <w:footnoteReference w:id="7486"/>
      </w:r>
      <w:r>
        <w:t xml:space="preserve">.</w:t>
      </w:r>
    </w:p>
    <w:p>
      <w:r>
        <w:rPr>
          <w:b/>
        </w:rPr>
        <w:t xml:space="preserve">31 </w:t>
      </w:r>
      <w:r>
        <w:t xml:space="preserve">Because from Jerusalem a remnant will go out, and one preserved from Mount Zion. The zeal</w:t>
      </w:r>
      <w:r>
        <w:rPr>
          <w:rStyle w:val="FootnoteReference"/>
        </w:rPr>
        <w:footnoteReference w:id="7487"/>
      </w:r>
      <w:r>
        <w:t xml:space="preserve"> of the Lord of forces will do this.</w:t>
      </w:r>
    </w:p>
    <w:p>
      <w:r>
        <w:rPr>
          <w:b/>
        </w:rPr>
        <w:t xml:space="preserve">32 </w:t>
      </w:r>
      <w:r>
        <w:t xml:space="preserve">Not so. Thus says the Lord to the king of the Assyrians: He will not enter into this city and will not shoot there an arrow and will not come before it with shield and will certainly not cast up against it a mound.</w:t>
      </w:r>
    </w:p>
    <w:p>
      <w:r>
        <w:rPr>
          <w:b/>
        </w:rPr>
        <w:t xml:space="preserve">33 </w:t>
      </w:r>
      <w:r>
        <w:t xml:space="preserve">By the way</w:t>
      </w:r>
      <w:r>
        <w:rPr>
          <w:rStyle w:val="FootnoteReference"/>
        </w:rPr>
        <w:footnoteReference w:id="7488"/>
      </w:r>
      <w:r>
        <w:t xml:space="preserve"> that he came, by it he will return, and into this city he will not enter, says the Lord.</w:t>
      </w:r>
    </w:p>
    <w:p>
      <w:r>
        <w:rPr>
          <w:b/>
        </w:rPr>
        <w:t xml:space="preserve">34 </w:t>
      </w:r>
      <w:r>
        <w:t xml:space="preserve">And I will shield this city for my own sake and for David my servant</w:t>
      </w:r>
      <w:r>
        <w:rPr>
          <w:rStyle w:val="FootnoteReference"/>
        </w:rPr>
        <w:footnoteReference w:id="7489"/>
      </w:r>
      <w:r>
        <w:t xml:space="preserve">.</w:t>
      </w:r>
    </w:p>
    <w:p>
      <w:r>
        <w:rPr>
          <w:b/>
        </w:rPr>
        <w:t xml:space="preserve">35 </w:t>
      </w:r>
      <w:r>
        <w:t xml:space="preserve">And it came to be by night, and an angel of the Lord went out and struck in the camp of the Assyrians one hundred eighty-five thousand. And they rose early in the morning, and behold, all were dead bodies.</w:t>
      </w:r>
    </w:p>
    <w:p>
      <w:r>
        <w:rPr>
          <w:b/>
        </w:rPr>
        <w:t xml:space="preserve">36 </w:t>
      </w:r>
      <w:r>
        <w:t xml:space="preserve">And Sennacherib</w:t>
      </w:r>
      <w:r>
        <w:rPr>
          <w:rStyle w:val="FootnoteReference"/>
        </w:rPr>
        <w:footnoteReference w:id="7490"/>
      </w:r>
      <w:r>
        <w:t xml:space="preserve"> king of the Assyrians departed and went and returned and dwelt in Nineveh.</w:t>
      </w:r>
    </w:p>
    <w:p>
      <w:r>
        <w:rPr>
          <w:b/>
        </w:rPr>
        <w:t xml:space="preserve">37 </w:t>
      </w:r>
      <w:r>
        <w:t xml:space="preserve">And it came to be, while he was bowing in the house</w:t>
      </w:r>
      <w:r>
        <w:rPr>
          <w:rStyle w:val="FootnoteReference"/>
        </w:rPr>
        <w:footnoteReference w:id="7491"/>
      </w:r>
      <w:r>
        <w:t xml:space="preserve"> of Nisroch</w:t>
      </w:r>
      <w:r>
        <w:rPr>
          <w:rStyle w:val="FootnoteReference"/>
        </w:rPr>
        <w:footnoteReference w:id="7492"/>
      </w:r>
      <w:r>
        <w:t xml:space="preserve"> his god, Adrammelech and Sharezer</w:t>
      </w:r>
      <w:r>
        <w:rPr>
          <w:rStyle w:val="FootnoteReference"/>
        </w:rPr>
        <w:footnoteReference w:id="7493"/>
      </w:r>
      <w:r>
        <w:t xml:space="preserve"> his sons struck him with the sword, and they escaped into the land of Ararat, and Esarhaddon</w:t>
      </w:r>
      <w:r>
        <w:rPr>
          <w:rStyle w:val="FootnoteReference"/>
        </w:rPr>
        <w:footnoteReference w:id="7494"/>
      </w:r>
      <w:r>
        <w:t xml:space="preserve"> his son reigned in his place.</w:t>
      </w:r>
      <w:r>
        <w:rPr>
          <w:rStyle w:val="FootnoteReference"/>
        </w:rPr>
        <w:footnoteReference w:id="7495"/>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In those days Hezekiah became sick unto death, and Isaiah son of Amoz the prophet</w:t>
      </w:r>
      <w:r>
        <w:rPr>
          <w:rStyle w:val="FootnoteReference"/>
        </w:rPr>
        <w:footnoteReference w:id="7496"/>
      </w:r>
      <w:r>
        <w:t xml:space="preserve"> entered to him and said to him, Thus says the Lord: Give command to your house, because you are dying and will not live.</w:t>
      </w:r>
    </w:p>
    <w:p>
      <w:r>
        <w:rPr>
          <w:b/>
        </w:rPr>
        <w:t xml:space="preserve">2 </w:t>
      </w:r>
      <w:r>
        <w:t xml:space="preserve">And Hezekiah turned his face to the wall and prayed to the Lord, saying,</w:t>
      </w:r>
    </w:p>
    <w:p>
      <w:r>
        <w:rPr>
          <w:b/>
        </w:rPr>
        <w:t xml:space="preserve">3 </w:t>
      </w:r>
      <w:r>
        <w:t xml:space="preserve">O Lord, remember</w:t>
      </w:r>
      <w:r>
        <w:rPr>
          <w:rStyle w:val="FootnoteReference"/>
        </w:rPr>
        <w:footnoteReference w:id="7497"/>
      </w:r>
      <w:r>
        <w:t xml:space="preserve"> now how I walked before you in truth and with a full heart and did what was good in your eyes. And Hezekiah wept with great weeping.</w:t>
      </w:r>
    </w:p>
    <w:p>
      <w:r>
        <w:rPr>
          <w:b/>
        </w:rPr>
        <w:t xml:space="preserve">4 </w:t>
      </w:r>
      <w:r>
        <w:t xml:space="preserve">And Isaiah was in the middle court</w:t>
      </w:r>
      <w:r>
        <w:rPr>
          <w:rStyle w:val="FootnoteReference"/>
        </w:rPr>
        <w:footnoteReference w:id="7498"/>
      </w:r>
      <w:r>
        <w:t xml:space="preserve">, and the word of the Lord came to him, saying,</w:t>
      </w:r>
    </w:p>
    <w:p>
      <w:r>
        <w:rPr>
          <w:b/>
        </w:rPr>
        <w:t xml:space="preserve">5 </w:t>
      </w:r>
      <w:r>
        <w:t xml:space="preserve">Turn back and say to Hezekiah the leader of my people</w:t>
      </w:r>
      <w:r>
        <w:rPr>
          <w:rStyle w:val="FootnoteReference"/>
        </w:rPr>
        <w:footnoteReference w:id="7499"/>
      </w:r>
      <w:r>
        <w:t xml:space="preserve">, Thus says the Lord God of David your father: I heard your prayer, I saw your tears. Behold, I will heal</w:t>
      </w:r>
      <w:r>
        <w:rPr>
          <w:rStyle w:val="FootnoteReference"/>
        </w:rPr>
        <w:footnoteReference w:id="7500"/>
      </w:r>
      <w:r>
        <w:t xml:space="preserve"> you. On the third day you will go up into the house of the Lord.</w:t>
      </w:r>
    </w:p>
    <w:p>
      <w:r>
        <w:rPr>
          <w:b/>
        </w:rPr>
        <w:t xml:space="preserve">6 </w:t>
      </w:r>
      <w:r>
        <w:t xml:space="preserve">And I will add</w:t>
      </w:r>
      <w:r>
        <w:rPr>
          <w:rStyle w:val="FootnoteReference"/>
        </w:rPr>
        <w:footnoteReference w:id="7501"/>
      </w:r>
      <w:r>
        <w:t xml:space="preserve"> fifteen years to your days, and from the hand of the king of the Assyrians I will save you and this city, and I will shield this city for my own sake and for David my servant.</w:t>
      </w:r>
    </w:p>
    <w:p>
      <w:r>
        <w:rPr>
          <w:b/>
        </w:rPr>
        <w:t xml:space="preserve">7 </w:t>
      </w:r>
      <w:r>
        <w:t xml:space="preserve">And he said, Let them take a cake of figs and let them put it upon the sore, and he will recover.</w:t>
      </w:r>
    </w:p>
    <w:p>
      <w:r>
        <w:rPr>
          <w:b/>
        </w:rPr>
        <w:t xml:space="preserve">8 </w:t>
      </w:r>
      <w:r>
        <w:t xml:space="preserve">And Hezekiah said to Isaiah, What is the sign that the Lord will heal me and I will go up into the house of the Lord on the third day?</w:t>
      </w:r>
    </w:p>
    <w:p>
      <w:r>
        <w:rPr>
          <w:b/>
        </w:rPr>
        <w:t xml:space="preserve">9 </w:t>
      </w:r>
      <w:r>
        <w:t xml:space="preserve">And Isaiah said, This is the sign from the Lord that the Lord will do the word which he spoke. Shall the shadow go forward ten steps</w:t>
      </w:r>
      <w:r>
        <w:rPr>
          <w:rStyle w:val="FootnoteReference"/>
        </w:rPr>
        <w:footnoteReference w:id="7502"/>
      </w:r>
      <w:r>
        <w:t xml:space="preserve">, or shall it turn back ten steps?</w:t>
      </w:r>
    </w:p>
    <w:p>
      <w:r>
        <w:rPr>
          <w:b/>
        </w:rPr>
        <w:t xml:space="preserve">10 </w:t>
      </w:r>
      <w:r>
        <w:t xml:space="preserve">And Hezekiah said, It is a light thing for the shadow to slope ten steps. No, but let the shadow turn back ten steps.</w:t>
      </w:r>
    </w:p>
    <w:p>
      <w:r>
        <w:rPr>
          <w:b/>
        </w:rPr>
        <w:t xml:space="preserve">11 </w:t>
      </w:r>
      <w:r>
        <w:t xml:space="preserve">And Isaiah the prophet cried to the Lord, and the shadow turned back on the steps ten steps backward.</w:t>
      </w:r>
    </w:p>
    <w:p>
      <w:r>
        <w:rPr>
          <w:b/>
        </w:rPr>
        <w:t xml:space="preserve">12 </w:t>
      </w:r>
      <w:r>
        <w:t xml:space="preserve">At that time Berodachbaladan</w:t>
      </w:r>
      <w:r>
        <w:rPr>
          <w:rStyle w:val="FootnoteReference"/>
        </w:rPr>
        <w:footnoteReference w:id="7503"/>
      </w:r>
      <w:r>
        <w:t xml:space="preserve"> son of Baladan</w:t>
      </w:r>
      <w:r>
        <w:rPr>
          <w:rStyle w:val="FootnoteReference"/>
        </w:rPr>
        <w:footnoteReference w:id="7504"/>
      </w:r>
      <w:r>
        <w:t xml:space="preserve"> king of Babylon sent letters and a gift to Hezekiah, because he heard that Hezekiah was sick.</w:t>
      </w:r>
      <w:r>
        <w:rPr>
          <w:rStyle w:val="FootnoteReference"/>
        </w:rPr>
        <w:footnoteReference w:id="7505"/>
      </w:r>
    </w:p>
    <w:p>
      <w:r>
        <w:rPr>
          <w:b/>
        </w:rPr>
        <w:t xml:space="preserve">13 </w:t>
      </w:r>
      <w:r>
        <w:t xml:space="preserve">And Hezekiah rejoiced over them and showed</w:t>
      </w:r>
      <w:r>
        <w:rPr>
          <w:rStyle w:val="FootnoteReference"/>
        </w:rPr>
        <w:footnoteReference w:id="7506"/>
      </w:r>
      <w:r>
        <w:t xml:space="preserve"> them his whole treasure-house</w:t>
      </w:r>
      <w:r>
        <w:rPr>
          <w:rStyle w:val="FootnoteReference"/>
        </w:rPr>
        <w:footnoteReference w:id="7507"/>
      </w:r>
      <w:r>
        <w:t xml:space="preserve">, the silver and the gold, the spices and the good oil and the house of the vessels and all that was found in his treasuries. There was not a thing which Hezekiah did not show them in his house and in all his dominion.</w:t>
      </w:r>
    </w:p>
    <w:p>
      <w:r>
        <w:rPr>
          <w:b/>
        </w:rPr>
        <w:t xml:space="preserve">14 </w:t>
      </w:r>
      <w:r>
        <w:t xml:space="preserve">And Isaiah the prophet entered to King Hezekiah and said to him, What did these men say, and from where did they come to you? And Hezekiah said, They came to me from a far land, from Babylon.</w:t>
      </w:r>
    </w:p>
    <w:p>
      <w:r>
        <w:rPr>
          <w:b/>
        </w:rPr>
        <w:t xml:space="preserve">15 </w:t>
      </w:r>
      <w:r>
        <w:t xml:space="preserve">And he said, What did they see in your house? And he said, They saw all that is in my house. There was not a thing in my house or in my treasuries that I did not show them.</w:t>
      </w:r>
    </w:p>
    <w:p>
      <w:r>
        <w:rPr>
          <w:b/>
        </w:rPr>
        <w:t xml:space="preserve">16 </w:t>
      </w:r>
      <w:r>
        <w:t xml:space="preserve">And Isaiah said to Hezekiah, Hear</w:t>
      </w:r>
      <w:r>
        <w:rPr>
          <w:rStyle w:val="FootnoteReference"/>
        </w:rPr>
        <w:footnoteReference w:id="7508"/>
      </w:r>
      <w:r>
        <w:t xml:space="preserve"> the word of the Lord.</w:t>
      </w:r>
    </w:p>
    <w:p>
      <w:r>
        <w:rPr>
          <w:b/>
        </w:rPr>
        <w:t xml:space="preserve">17 </w:t>
      </w:r>
      <w:r>
        <w:t xml:space="preserve">Behold, days are coming, and everything in your house and whatever your fathers stored up to this day will be taken to Babylon, and not a thing will be left, which the Lord said.</w:t>
      </w:r>
    </w:p>
    <w:p>
      <w:r>
        <w:rPr>
          <w:b/>
        </w:rPr>
        <w:t xml:space="preserve">18 </w:t>
      </w:r>
      <w:r>
        <w:t xml:space="preserve">And from your sons who will come out from you, whom you will beget, they will take, and they will be eunuchs in the house of the king of Babylon.</w:t>
      </w:r>
    </w:p>
    <w:p>
      <w:r>
        <w:rPr>
          <w:b/>
        </w:rPr>
        <w:t xml:space="preserve">19 </w:t>
      </w:r>
      <w:r>
        <w:t xml:space="preserve">And Hezekiah said to Isaiah, Good</w:t>
      </w:r>
      <w:r>
        <w:rPr>
          <w:rStyle w:val="FootnoteReference"/>
        </w:rPr>
        <w:footnoteReference w:id="7509"/>
      </w:r>
      <w:r>
        <w:t xml:space="preserve"> is the word of the Lord which you spoke. Let there be peace in my days.</w:t>
      </w:r>
    </w:p>
    <w:p>
      <w:r>
        <w:rPr>
          <w:b/>
        </w:rPr>
        <w:t xml:space="preserve">20 </w:t>
      </w:r>
      <w:r>
        <w:t xml:space="preserve">And the rest of the words of Hezekiah and all his might and what he did, the spring and the conduit</w:t>
      </w:r>
      <w:r>
        <w:rPr>
          <w:rStyle w:val="FootnoteReference"/>
        </w:rPr>
        <w:footnoteReference w:id="7510"/>
      </w:r>
      <w:r>
        <w:t xml:space="preserve">, and how he brought the water into the city, are these not written in the book</w:t>
      </w:r>
      <w:r>
        <w:rPr>
          <w:rStyle w:val="FootnoteReference"/>
        </w:rPr>
        <w:footnoteReference w:id="7511"/>
      </w:r>
      <w:r>
        <w:t xml:space="preserve"> of the words of the days for the kings of Judah?</w:t>
      </w:r>
    </w:p>
    <w:p>
      <w:r>
        <w:rPr>
          <w:b/>
        </w:rPr>
        <w:t xml:space="preserve">21 </w:t>
      </w:r>
      <w:r>
        <w:t xml:space="preserve">And Hezekiah slept</w:t>
      </w:r>
      <w:r>
        <w:rPr>
          <w:rStyle w:val="FootnoteReference"/>
        </w:rPr>
        <w:footnoteReference w:id="7512"/>
      </w:r>
      <w:r>
        <w:t xml:space="preserve"> with his fathers and was buried in the city of David, and Manasseh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Manasseh was twelve</w:t>
      </w:r>
      <w:r>
        <w:rPr>
          <w:rStyle w:val="FootnoteReference"/>
        </w:rPr>
        <w:footnoteReference w:id="7513"/>
      </w:r>
      <w:r>
        <w:t xml:space="preserve"> years old when he became king, and he reigned fifty-five years in Jerusalem, and the name of his mother was Hephzibah</w:t>
      </w:r>
      <w:r>
        <w:rPr>
          <w:rStyle w:val="FootnoteReference"/>
        </w:rPr>
        <w:footnoteReference w:id="7514"/>
      </w:r>
      <w:r>
        <w:t xml:space="preserve">.</w:t>
      </w:r>
    </w:p>
    <w:p>
      <w:r>
        <w:rPr>
          <w:b/>
        </w:rPr>
        <w:t xml:space="preserve">2 </w:t>
      </w:r>
      <w:r>
        <w:t xml:space="preserve">And he did</w:t>
      </w:r>
      <w:r>
        <w:rPr>
          <w:rStyle w:val="FootnoteReference"/>
        </w:rPr>
        <w:footnoteReference w:id="7515"/>
      </w:r>
      <w:r>
        <w:t xml:space="preserve"> evil in the eyes of the Lord according to the abominations of the nations whom the Lord drove out from before the sons of Israel.</w:t>
      </w:r>
    </w:p>
    <w:p>
      <w:r>
        <w:rPr>
          <w:b/>
        </w:rPr>
        <w:t xml:space="preserve">3 </w:t>
      </w:r>
      <w:r>
        <w:t xml:space="preserve">And he turned back and rebuilt</w:t>
      </w:r>
      <w:r>
        <w:rPr>
          <w:rStyle w:val="FootnoteReference"/>
        </w:rPr>
        <w:footnoteReference w:id="7516"/>
      </w:r>
      <w:r>
        <w:t xml:space="preserve"> the high places</w:t>
      </w:r>
      <w:r>
        <w:rPr>
          <w:rStyle w:val="FootnoteReference"/>
        </w:rPr>
        <w:footnoteReference w:id="7517"/>
      </w:r>
      <w:r>
        <w:t xml:space="preserve"> which Hezekiah his father tore down and raised up an altar to Baal and made groves, as Ahab king of Israel did, and bowed down to all the host of heaven and served them.</w:t>
      </w:r>
    </w:p>
    <w:p>
      <w:r>
        <w:rPr>
          <w:b/>
        </w:rPr>
        <w:t xml:space="preserve">4 </w:t>
      </w:r>
      <w:r>
        <w:t xml:space="preserve">And he built</w:t>
      </w:r>
      <w:r>
        <w:rPr>
          <w:rStyle w:val="FootnoteReference"/>
        </w:rPr>
        <w:footnoteReference w:id="7518"/>
      </w:r>
      <w:r>
        <w:t xml:space="preserve"> altars in the house of the Lord, of which he said, In Jerusalem I will put my name.</w:t>
      </w:r>
    </w:p>
    <w:p>
      <w:r>
        <w:rPr>
          <w:b/>
        </w:rPr>
        <w:t xml:space="preserve">5 </w:t>
      </w:r>
      <w:r>
        <w:t xml:space="preserve">And he built altars to all the host of heaven in the two courts</w:t>
      </w:r>
      <w:r>
        <w:rPr>
          <w:rStyle w:val="FootnoteReference"/>
        </w:rPr>
        <w:footnoteReference w:id="7519"/>
      </w:r>
      <w:r>
        <w:t xml:space="preserve"> of the house of the Lord.</w:t>
      </w:r>
    </w:p>
    <w:p>
      <w:r>
        <w:rPr>
          <w:b/>
        </w:rPr>
        <w:t xml:space="preserve">6 </w:t>
      </w:r>
      <w:r>
        <w:t xml:space="preserve">And he made</w:t>
      </w:r>
      <w:r>
        <w:rPr>
          <w:rStyle w:val="FootnoteReference"/>
        </w:rPr>
        <w:footnoteReference w:id="7520"/>
      </w:r>
      <w:r>
        <w:t xml:space="preserve"> his sons pass through fire and practiced divination and omens and made spirit-mediums and knowers</w:t>
      </w:r>
      <w:r>
        <w:rPr>
          <w:rStyle w:val="FootnoteReference"/>
        </w:rPr>
        <w:footnoteReference w:id="7521"/>
      </w:r>
      <w:r>
        <w:t xml:space="preserve">. He multiplied to do evil in the eyes of the Lord, to provoke him.</w:t>
      </w:r>
    </w:p>
    <w:p>
      <w:r>
        <w:rPr>
          <w:b/>
        </w:rPr>
        <w:t xml:space="preserve">7 </w:t>
      </w:r>
      <w:r>
        <w:t xml:space="preserve">And he set</w:t>
      </w:r>
      <w:r>
        <w:rPr>
          <w:rStyle w:val="FootnoteReference"/>
        </w:rPr>
        <w:footnoteReference w:id="7522"/>
      </w:r>
      <w:r>
        <w:t xml:space="preserve"> the carved image of the grove</w:t>
      </w:r>
      <w:r>
        <w:rPr>
          <w:rStyle w:val="FootnoteReference"/>
        </w:rPr>
        <w:footnoteReference w:id="7523"/>
      </w:r>
      <w:r>
        <w:t xml:space="preserve"> in the house, of which the Lord said to David and to Solomon his son, In this house and in Jerusalem, which I chose from all the tribes of Israel, I will put my name there forever.</w:t>
      </w:r>
    </w:p>
    <w:p>
      <w:r>
        <w:rPr>
          <w:b/>
        </w:rPr>
        <w:t xml:space="preserve">8 </w:t>
      </w:r>
      <w:r>
        <w:t xml:space="preserve">And I will not again add to shake the foot of Israel from the land which I gave to their fathers, if only they keep all that I commanded, according to all the commandment which my servant Moses commanded them.</w:t>
      </w:r>
      <w:r>
        <w:rPr>
          <w:rStyle w:val="FootnoteReference"/>
        </w:rPr>
        <w:footnoteReference w:id="7524"/>
      </w:r>
    </w:p>
    <w:p>
      <w:r>
        <w:rPr>
          <w:b/>
        </w:rPr>
        <w:t xml:space="preserve">9 </w:t>
      </w:r>
      <w:r>
        <w:t xml:space="preserve">And they did not listen, and Manasseh led them astray to do evil in the eyes of the Lord beyond the nations which the Lord destroyed from before the sons of Israel.</w:t>
      </w:r>
    </w:p>
    <w:p>
      <w:r>
        <w:rPr>
          <w:b/>
        </w:rPr>
        <w:t xml:space="preserve">10 </w:t>
      </w:r>
      <w:r>
        <w:t xml:space="preserve">And the Lord spoke by the hand of his servants the prophets, saying,</w:t>
      </w:r>
    </w:p>
    <w:p>
      <w:r>
        <w:rPr>
          <w:b/>
        </w:rPr>
        <w:t xml:space="preserve">11 </w:t>
      </w:r>
      <w:r>
        <w:t xml:space="preserve">Because Manasseh king of Judah did these evil abominations, beyond all that the Amorite who was before him did, and even caused Judah to sin with their idols,</w:t>
      </w:r>
    </w:p>
    <w:p>
      <w:r>
        <w:rPr>
          <w:b/>
        </w:rPr>
        <w:t xml:space="preserve">12 </w:t>
      </w:r>
      <w:r>
        <w:t xml:space="preserve">not so. Thus says the Lord God of Israel: Behold, I am bringing</w:t>
      </w:r>
      <w:r>
        <w:rPr>
          <w:rStyle w:val="FootnoteReference"/>
        </w:rPr>
        <w:footnoteReference w:id="7525"/>
      </w:r>
      <w:r>
        <w:t xml:space="preserve"> evils on Jerusalem and on Judah, so that whoever hears, both his ears will ring</w:t>
      </w:r>
      <w:r>
        <w:rPr>
          <w:rStyle w:val="FootnoteReference"/>
        </w:rPr>
        <w:footnoteReference w:id="7526"/>
      </w:r>
      <w:r>
        <w:t xml:space="preserve">.</w:t>
      </w:r>
    </w:p>
    <w:p>
      <w:r>
        <w:rPr>
          <w:b/>
        </w:rPr>
        <w:t xml:space="preserve">13 </w:t>
      </w:r>
      <w:r>
        <w:t xml:space="preserve">And I will stretch</w:t>
      </w:r>
      <w:r>
        <w:rPr>
          <w:rStyle w:val="FootnoteReference"/>
        </w:rPr>
        <w:footnoteReference w:id="7527"/>
      </w:r>
      <w:r>
        <w:t xml:space="preserve"> over Jerusalem the measure of Samaria and the plummet of the house of Ahab</w:t>
      </w:r>
      <w:r>
        <w:rPr>
          <w:rStyle w:val="FootnoteReference"/>
        </w:rPr>
        <w:footnoteReference w:id="7528"/>
      </w:r>
      <w:r>
        <w:t xml:space="preserve">, and I will wipe Jerusalem as an alabaster vessel is wiped, being wiped and turned on its face.</w:t>
      </w:r>
    </w:p>
    <w:p>
      <w:r>
        <w:rPr>
          <w:b/>
        </w:rPr>
        <w:t xml:space="preserve">14 </w:t>
      </w:r>
      <w:r>
        <w:t xml:space="preserve">And I will</w:t>
      </w:r>
      <w:r>
        <w:rPr>
          <w:rStyle w:val="FootnoteReference"/>
        </w:rPr>
        <w:footnoteReference w:id="7529"/>
      </w:r>
      <w:r>
        <w:t xml:space="preserve"> push away the remnant of my inheritance and give them into the hands of their enemies, and they will become plunder and spoil to all their enemies,</w:t>
      </w:r>
    </w:p>
    <w:p>
      <w:r>
        <w:rPr>
          <w:b/>
        </w:rPr>
        <w:t xml:space="preserve">15 </w:t>
      </w:r>
      <w:r>
        <w:t xml:space="preserve">because they did evil in my eyes and were provoking me from the day I brought out their fathers from Egypt until this day.</w:t>
      </w:r>
    </w:p>
    <w:p>
      <w:r>
        <w:rPr>
          <w:b/>
        </w:rPr>
        <w:t xml:space="preserve">16 </w:t>
      </w:r>
      <w:r>
        <w:t xml:space="preserve">And Manasseh</w:t>
      </w:r>
      <w:r>
        <w:rPr>
          <w:rStyle w:val="FootnoteReference"/>
        </w:rPr>
        <w:footnoteReference w:id="7530"/>
      </w:r>
      <w:r>
        <w:t xml:space="preserve"> also poured out very much innocent blood until he filled Jerusalem from mouth to mouth, besides his sins with which he made Judah sin by doing evil in the eyes of the Lord.</w:t>
      </w:r>
      <w:r>
        <w:rPr>
          <w:rStyle w:val="FootnoteReference"/>
        </w:rPr>
        <w:footnoteReference w:id="7531"/>
      </w:r>
    </w:p>
    <w:p>
      <w:r>
        <w:rPr>
          <w:b/>
        </w:rPr>
        <w:t xml:space="preserve">17 </w:t>
      </w:r>
      <w:r>
        <w:t xml:space="preserve">And the rest</w:t>
      </w:r>
      <w:r>
        <w:rPr>
          <w:rStyle w:val="FootnoteReference"/>
        </w:rPr>
        <w:footnoteReference w:id="7532"/>
      </w:r>
      <w:r>
        <w:t xml:space="preserve"> of the words of Manasseh and all that he did and the sin which he sinned, are these not written in the book of the words of the days for the kings of Judah?</w:t>
      </w:r>
    </w:p>
    <w:p>
      <w:r>
        <w:rPr>
          <w:b/>
        </w:rPr>
        <w:t xml:space="preserve">18 </w:t>
      </w:r>
      <w:r>
        <w:t xml:space="preserve">And Manasseh slept with his fathers and was buried</w:t>
      </w:r>
      <w:r>
        <w:rPr>
          <w:rStyle w:val="FootnoteReference"/>
        </w:rPr>
        <w:footnoteReference w:id="7533"/>
      </w:r>
      <w:r>
        <w:t xml:space="preserve"> in the garden of his house, in the garden of Uzza, and Amon his son reigned in his place.</w:t>
      </w:r>
    </w:p>
    <w:p>
      <w:r>
        <w:rPr>
          <w:b/>
        </w:rPr>
        <w:t xml:space="preserve">19 </w:t>
      </w:r>
      <w:r>
        <w:t xml:space="preserve">Amon</w:t>
      </w:r>
      <w:r>
        <w:rPr>
          <w:rStyle w:val="FootnoteReference"/>
        </w:rPr>
        <w:footnoteReference w:id="7534"/>
      </w:r>
      <w:r>
        <w:t xml:space="preserve"> was twenty-two years old when he became king, and he reigned two years in Jerusalem, and the name of his mother was Meshullemeth</w:t>
      </w:r>
      <w:r>
        <w:rPr>
          <w:rStyle w:val="FootnoteReference"/>
        </w:rPr>
        <w:footnoteReference w:id="7535"/>
      </w:r>
      <w:r>
        <w:t xml:space="preserve"> daughter of Haruz</w:t>
      </w:r>
      <w:r>
        <w:rPr>
          <w:rStyle w:val="FootnoteReference"/>
        </w:rPr>
        <w:footnoteReference w:id="7536"/>
      </w:r>
      <w:r>
        <w:t xml:space="preserve"> from Jotbah</w:t>
      </w:r>
      <w:r>
        <w:rPr>
          <w:rStyle w:val="FootnoteReference"/>
        </w:rPr>
        <w:footnoteReference w:id="7537"/>
      </w:r>
      <w:r>
        <w:t xml:space="preserve">.</w:t>
      </w:r>
    </w:p>
    <w:p>
      <w:r>
        <w:rPr>
          <w:b/>
        </w:rPr>
        <w:t xml:space="preserve">20 </w:t>
      </w:r>
      <w:r>
        <w:t xml:space="preserve">And he did evil in the eyes of the Lord, as Manasseh his father did.</w:t>
      </w:r>
    </w:p>
    <w:p>
      <w:r>
        <w:rPr>
          <w:b/>
        </w:rPr>
        <w:t xml:space="preserve">21 </w:t>
      </w:r>
      <w:r>
        <w:t xml:space="preserve">And he walked in every way in which his father walked and served the idols which his father served and bowed down to them.</w:t>
      </w:r>
    </w:p>
    <w:p>
      <w:r>
        <w:rPr>
          <w:b/>
        </w:rPr>
        <w:t xml:space="preserve">22 </w:t>
      </w:r>
      <w:r>
        <w:t xml:space="preserve">And he abandoned the Lord God of his fathers and did not walk in the way of the Lord.</w:t>
      </w:r>
    </w:p>
    <w:p>
      <w:r>
        <w:rPr>
          <w:b/>
        </w:rPr>
        <w:t xml:space="preserve">23 </w:t>
      </w:r>
      <w:r>
        <w:t xml:space="preserve">And the servants of Amon conspired against him and put the king to death in his house.</w:t>
      </w:r>
    </w:p>
    <w:p>
      <w:r>
        <w:rPr>
          <w:b/>
        </w:rPr>
        <w:t xml:space="preserve">24 </w:t>
      </w:r>
      <w:r>
        <w:t xml:space="preserve">And all the people of the land struck down all those conspiring against King Amon, and the people of the land made Josiah</w:t>
      </w:r>
      <w:r>
        <w:rPr>
          <w:rStyle w:val="FootnoteReference"/>
        </w:rPr>
        <w:footnoteReference w:id="7538"/>
      </w:r>
      <w:r>
        <w:t xml:space="preserve"> his son king in his place.</w:t>
      </w:r>
      <w:r>
        <w:rPr>
          <w:rStyle w:val="FootnoteReference"/>
        </w:rPr>
        <w:footnoteReference w:id="7539"/>
      </w:r>
    </w:p>
    <w:p>
      <w:r>
        <w:rPr>
          <w:b/>
        </w:rPr>
        <w:t xml:space="preserve">25 </w:t>
      </w:r>
      <w:r>
        <w:t xml:space="preserve">And the rest of the words of Amon, what he did, are these not written in the book of the words of the days for the kings of Judah?</w:t>
      </w:r>
    </w:p>
    <w:p>
      <w:r>
        <w:rPr>
          <w:b/>
        </w:rPr>
        <w:t xml:space="preserve">26 </w:t>
      </w:r>
      <w:r>
        <w:t xml:space="preserve">And they buried him in his tomb in the garden</w:t>
      </w:r>
      <w:r>
        <w:rPr>
          <w:rStyle w:val="FootnoteReference"/>
        </w:rPr>
        <w:footnoteReference w:id="7540"/>
      </w:r>
      <w:r>
        <w:t xml:space="preserve"> of Uzza, and Josiah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Josiah</w:t>
      </w:r>
      <w:r>
        <w:rPr>
          <w:rStyle w:val="FootnoteReference"/>
        </w:rPr>
        <w:footnoteReference w:id="7541"/>
      </w:r>
      <w:r>
        <w:t xml:space="preserve"> was eight years old when he became king, and he reigned thirty-one years in Jerusalem, and the name of his mother was Jedidah</w:t>
      </w:r>
      <w:r>
        <w:rPr>
          <w:rStyle w:val="FootnoteReference"/>
        </w:rPr>
        <w:footnoteReference w:id="7542"/>
      </w:r>
      <w:r>
        <w:t xml:space="preserve"> daughter of Adaiah</w:t>
      </w:r>
      <w:r>
        <w:rPr>
          <w:rStyle w:val="FootnoteReference"/>
        </w:rPr>
        <w:footnoteReference w:id="7543"/>
      </w:r>
      <w:r>
        <w:t xml:space="preserve"> from Boscath</w:t>
      </w:r>
      <w:r>
        <w:rPr>
          <w:rStyle w:val="FootnoteReference"/>
        </w:rPr>
        <w:footnoteReference w:id="7544"/>
      </w:r>
      <w:r>
        <w:t xml:space="preserve">.</w:t>
      </w:r>
    </w:p>
    <w:p>
      <w:r>
        <w:rPr>
          <w:b/>
        </w:rPr>
        <w:t xml:space="preserve">2 </w:t>
      </w:r>
      <w:r>
        <w:t xml:space="preserve">And he did what was right</w:t>
      </w:r>
      <w:r>
        <w:rPr>
          <w:rStyle w:val="FootnoteReference"/>
        </w:rPr>
        <w:footnoteReference w:id="7545"/>
      </w:r>
      <w:r>
        <w:t xml:space="preserve"> in the eyes of the Lord and walked in every way of David his father. He did not turn aside to the right or to the left.</w:t>
      </w:r>
    </w:p>
    <w:p>
      <w:r>
        <w:rPr>
          <w:b/>
        </w:rPr>
        <w:t xml:space="preserve">3 </w:t>
      </w:r>
      <w:r>
        <w:t xml:space="preserve">And it came to be in the eighteenth year of King Josiah, in the eighth month, the king sent Shaphan son of Azaliah</w:t>
      </w:r>
      <w:r>
        <w:rPr>
          <w:rStyle w:val="FootnoteReference"/>
        </w:rPr>
        <w:footnoteReference w:id="7546"/>
      </w:r>
      <w:r>
        <w:t xml:space="preserve"> son of Meshullam</w:t>
      </w:r>
      <w:r>
        <w:rPr>
          <w:rStyle w:val="FootnoteReference"/>
        </w:rPr>
        <w:footnoteReference w:id="7547"/>
      </w:r>
      <w:r>
        <w:t xml:space="preserve">, the scribe of the house of the Lord, saying,</w:t>
      </w:r>
    </w:p>
    <w:p>
      <w:r>
        <w:rPr>
          <w:b/>
        </w:rPr>
        <w:t xml:space="preserve">4 </w:t>
      </w:r>
      <w:r>
        <w:t xml:space="preserve">Go up to Hilkiah</w:t>
      </w:r>
      <w:r>
        <w:rPr>
          <w:rStyle w:val="FootnoteReference"/>
        </w:rPr>
        <w:footnoteReference w:id="7548"/>
      </w:r>
      <w:r>
        <w:t xml:space="preserve"> the high priest and seal the silver brought into the house of the Lord, which the keepers of the threshold gathered from the people.</w:t>
      </w:r>
    </w:p>
    <w:p>
      <w:r>
        <w:rPr>
          <w:b/>
        </w:rPr>
        <w:t xml:space="preserve">5 </w:t>
      </w:r>
      <w:r>
        <w:t xml:space="preserve">And let them give it into the hand of those doing the works, those appointed in the house of the Lord. And he gave it to those doing the works, those in the house of the Lord, to strengthen the breach of the house</w:t>
      </w:r>
      <w:r>
        <w:rPr>
          <w:rStyle w:val="FootnoteReference"/>
        </w:rPr>
        <w:footnoteReference w:id="7549"/>
      </w:r>
      <w:r>
        <w:t xml:space="preserve">,</w:t>
      </w:r>
    </w:p>
    <w:p>
      <w:r>
        <w:rPr>
          <w:b/>
        </w:rPr>
        <w:t xml:space="preserve">6 </w:t>
      </w:r>
      <w:r>
        <w:t xml:space="preserve">to the carpenters</w:t>
      </w:r>
      <w:r>
        <w:rPr>
          <w:rStyle w:val="FootnoteReference"/>
        </w:rPr>
        <w:footnoteReference w:id="7550"/>
      </w:r>
      <w:r>
        <w:t xml:space="preserve"> and the builders and the masons, and to buy timber and quarried stones to strengthen the breach of the house.</w:t>
      </w:r>
    </w:p>
    <w:p>
      <w:r>
        <w:rPr>
          <w:b/>
        </w:rPr>
        <w:t xml:space="preserve">7 </w:t>
      </w:r>
      <w:r>
        <w:t xml:space="preserve">Only, they did not reckon with them the silver being given to them, because they act in faithfulness.</w:t>
      </w:r>
    </w:p>
    <w:p>
      <w:r>
        <w:rPr>
          <w:b/>
        </w:rPr>
        <w:t xml:space="preserve">8 </w:t>
      </w:r>
      <w:r>
        <w:t xml:space="preserve">And Hilkiah the high priest said to Shaphan the scribe, I found a book of the law in the house of the Lord. And Hilkiah gave the book to Shaphan, and he read it.</w:t>
      </w:r>
    </w:p>
    <w:p>
      <w:r>
        <w:rPr>
          <w:b/>
        </w:rPr>
        <w:t xml:space="preserve">9 </w:t>
      </w:r>
      <w:r>
        <w:t xml:space="preserve">And Shaphan</w:t>
      </w:r>
      <w:r>
        <w:rPr>
          <w:rStyle w:val="FootnoteReference"/>
        </w:rPr>
        <w:footnoteReference w:id="7551"/>
      </w:r>
      <w:r>
        <w:t xml:space="preserve"> brought it to King Josiah and brought word back to the king and said, Your servants poured out the silver</w:t>
      </w:r>
      <w:r>
        <w:rPr>
          <w:rStyle w:val="FootnoteReference"/>
        </w:rPr>
        <w:footnoteReference w:id="7552"/>
      </w:r>
      <w:r>
        <w:t xml:space="preserve"> found in the house of the Lord and gave it into the hand of those doing the works, those appointed in the house of the Lord.</w:t>
      </w:r>
    </w:p>
    <w:p>
      <w:r>
        <w:rPr>
          <w:b/>
        </w:rPr>
        <w:t xml:space="preserve">10 </w:t>
      </w:r>
      <w:r>
        <w:t xml:space="preserve">And Shaphan</w:t>
      </w:r>
      <w:r>
        <w:rPr>
          <w:rStyle w:val="FootnoteReference"/>
        </w:rPr>
        <w:footnoteReference w:id="7553"/>
      </w:r>
      <w:r>
        <w:t xml:space="preserve"> the scribe said to the king, saying, Hilkiah the priest gave me a book. And Shaphan read it before the king.</w:t>
      </w:r>
    </w:p>
    <w:p>
      <w:r>
        <w:rPr>
          <w:b/>
        </w:rPr>
        <w:t xml:space="preserve">11 </w:t>
      </w:r>
      <w:r>
        <w:t xml:space="preserve">And it came to be, when the king heard the words of the book of the law, he tore his garments.</w:t>
      </w:r>
    </w:p>
    <w:p>
      <w:r>
        <w:rPr>
          <w:b/>
        </w:rPr>
        <w:t xml:space="preserve">12 </w:t>
      </w:r>
      <w:r>
        <w:t xml:space="preserve">And the king commanded Hilkiah the priest and Ahikam</w:t>
      </w:r>
      <w:r>
        <w:rPr>
          <w:rStyle w:val="FootnoteReference"/>
        </w:rPr>
        <w:footnoteReference w:id="7554"/>
      </w:r>
      <w:r>
        <w:t xml:space="preserve"> son of Shaphan and Achbor son of Michaiah</w:t>
      </w:r>
      <w:r>
        <w:rPr>
          <w:rStyle w:val="FootnoteReference"/>
        </w:rPr>
        <w:footnoteReference w:id="7555"/>
      </w:r>
      <w:r>
        <w:t xml:space="preserve"> and Shaphan the scribe and Asaiah</w:t>
      </w:r>
      <w:r>
        <w:rPr>
          <w:rStyle w:val="FootnoteReference"/>
        </w:rPr>
        <w:footnoteReference w:id="7556"/>
      </w:r>
      <w:r>
        <w:t xml:space="preserve"> servant of the king, saying,</w:t>
      </w:r>
      <w:r>
        <w:rPr>
          <w:rStyle w:val="FootnoteReference"/>
        </w:rPr>
        <w:footnoteReference w:id="7557"/>
      </w:r>
    </w:p>
    <w:p>
      <w:r>
        <w:rPr>
          <w:b/>
        </w:rPr>
        <w:t xml:space="preserve">13 </w:t>
      </w:r>
      <w:r>
        <w:t xml:space="preserve">Go, seek the Lord concerning me and concerning all the people and concerning all Judah, concerning the words of this book that was found, because great is the anger of the Lord, which burns in us</w:t>
      </w:r>
      <w:r>
        <w:rPr>
          <w:rStyle w:val="FootnoteReference"/>
        </w:rPr>
        <w:footnoteReference w:id="7558"/>
      </w:r>
      <w:r>
        <w:t xml:space="preserve">, because our fathers</w:t>
      </w:r>
      <w:r>
        <w:rPr>
          <w:rStyle w:val="FootnoteReference"/>
        </w:rPr>
        <w:footnoteReference w:id="7559"/>
      </w:r>
      <w:r>
        <w:t xml:space="preserve"> did not listen to all the words of this book to do according to all written for us.</w:t>
      </w:r>
    </w:p>
    <w:p>
      <w:r>
        <w:rPr>
          <w:b/>
        </w:rPr>
        <w:t xml:space="preserve">14 </w:t>
      </w:r>
      <w:r>
        <w:t xml:space="preserve">And Hilkiah the priest and Ahikam and Achbor and Shaphan and Asaiah went to Huldah</w:t>
      </w:r>
      <w:r>
        <w:rPr>
          <w:rStyle w:val="FootnoteReference"/>
        </w:rPr>
        <w:footnoteReference w:id="7560"/>
      </w:r>
      <w:r>
        <w:t xml:space="preserve"> the prophetess</w:t>
      </w:r>
      <w:r>
        <w:rPr>
          <w:rStyle w:val="FootnoteReference"/>
        </w:rPr>
        <w:footnoteReference w:id="7561"/>
      </w:r>
      <w:r>
        <w:t xml:space="preserve">, wife of Hillel son of Tikvah</w:t>
      </w:r>
      <w:r>
        <w:rPr>
          <w:rStyle w:val="FootnoteReference"/>
        </w:rPr>
        <w:footnoteReference w:id="7562"/>
      </w:r>
      <w:r>
        <w:t xml:space="preserve"> son of Harhas</w:t>
      </w:r>
      <w:r>
        <w:rPr>
          <w:rStyle w:val="FootnoteReference"/>
        </w:rPr>
        <w:footnoteReference w:id="7563"/>
      </w:r>
      <w:r>
        <w:t xml:space="preserve"> keeper of the wardrobe, and she dwelt in Jerusalem in the Maseña</w:t>
      </w:r>
      <w:r>
        <w:rPr>
          <w:rStyle w:val="FootnoteReference"/>
        </w:rPr>
        <w:footnoteReference w:id="7564"/>
      </w:r>
      <w:r>
        <w:t xml:space="preserve">, and they spoke to her.</w:t>
      </w:r>
    </w:p>
    <w:p>
      <w:r>
        <w:rPr>
          <w:b/>
        </w:rPr>
        <w:t xml:space="preserve">15 </w:t>
      </w:r>
      <w:r>
        <w:t xml:space="preserve">And she said to them, Thus says the Lord God of Israel: Say to the man who sent you to me,</w:t>
      </w:r>
    </w:p>
    <w:p>
      <w:r>
        <w:rPr>
          <w:b/>
        </w:rPr>
        <w:t xml:space="preserve">16 </w:t>
      </w:r>
      <w:r>
        <w:t xml:space="preserve">Thus says the Lord: Behold</w:t>
      </w:r>
      <w:r>
        <w:rPr>
          <w:rStyle w:val="FootnoteReference"/>
        </w:rPr>
        <w:footnoteReference w:id="7565"/>
      </w:r>
      <w:r>
        <w:t xml:space="preserve">, I am bringing evils upon this place and upon those dwelling in it, all the words of the book which the king of Judah read,</w:t>
      </w:r>
    </w:p>
    <w:p>
      <w:r>
        <w:rPr>
          <w:b/>
        </w:rPr>
        <w:t xml:space="preserve">17 </w:t>
      </w:r>
      <w:r>
        <w:t xml:space="preserve">because they abandoned me and burned incense to other gods, so as to provoke me in all the works</w:t>
      </w:r>
      <w:r>
        <w:rPr>
          <w:rStyle w:val="FootnoteReference"/>
        </w:rPr>
        <w:footnoteReference w:id="7566"/>
      </w:r>
      <w:r>
        <w:t xml:space="preserve"> of their hands, and my wrath will burn in this place and will not be quenched.</w:t>
      </w:r>
    </w:p>
    <w:p>
      <w:r>
        <w:rPr>
          <w:b/>
        </w:rPr>
        <w:t xml:space="preserve">18 </w:t>
      </w:r>
      <w:r>
        <w:t xml:space="preserve">And to the king of Judah who sent you to seek the Lord, thus you shall say to him: Thus says the Lord God of Israel concerning the words which you heard:</w:t>
      </w:r>
    </w:p>
    <w:p>
      <w:r>
        <w:rPr>
          <w:b/>
        </w:rPr>
        <w:t xml:space="preserve">19 </w:t>
      </w:r>
      <w:r>
        <w:t xml:space="preserve">Because your heart was softened</w:t>
      </w:r>
      <w:r>
        <w:rPr>
          <w:rStyle w:val="FootnoteReference"/>
        </w:rPr>
        <w:footnoteReference w:id="7567"/>
      </w:r>
      <w:r>
        <w:t xml:space="preserve"> and you were ashamed from before the Lord when you heard what I spoke against this place and against those dwelling in it, that they should become a desolation</w:t>
      </w:r>
      <w:r>
        <w:rPr>
          <w:rStyle w:val="FootnoteReference"/>
        </w:rPr>
        <w:footnoteReference w:id="7568"/>
      </w:r>
      <w:r>
        <w:t xml:space="preserve"> and a curse, and you tore your garments and wept before me, I also heard, says the Lord.</w:t>
      </w:r>
    </w:p>
    <w:p>
      <w:r>
        <w:rPr>
          <w:b/>
        </w:rPr>
        <w:t xml:space="preserve">20 </w:t>
      </w:r>
      <w:r>
        <w:t xml:space="preserve">Not so. Behold, I am adding you to your fathers, and you will be gathered</w:t>
      </w:r>
      <w:r>
        <w:rPr>
          <w:rStyle w:val="FootnoteReference"/>
        </w:rPr>
        <w:footnoteReference w:id="7569"/>
      </w:r>
      <w:r>
        <w:t xml:space="preserve"> to your tomb in peace, and your eyes will not see among all the evils that I am bringing upon this place. And they returned word to the king.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the king sent and gathered to himself all the elders of Judah and Jerusalem</w:t>
      </w:r>
      <w:r>
        <w:rPr>
          <w:rStyle w:val="FootnoteReference"/>
        </w:rPr>
        <w:footnoteReference w:id="7570"/>
      </w:r>
      <w:r>
        <w:t xml:space="preserve">.</w:t>
      </w:r>
    </w:p>
    <w:p>
      <w:r>
        <w:rPr>
          <w:b/>
        </w:rPr>
        <w:t xml:space="preserve">2 </w:t>
      </w:r>
      <w:r>
        <w:t xml:space="preserve">And the king went up to the house of the Lord, and every man of Judah and all those dwelling in Jerusalem with him, and the priests and the prophets and all the people from small to great</w:t>
      </w:r>
      <w:r>
        <w:rPr>
          <w:rStyle w:val="FootnoteReference"/>
        </w:rPr>
        <w:footnoteReference w:id="7571"/>
      </w:r>
      <w:r>
        <w:t xml:space="preserve">. And he read</w:t>
      </w:r>
      <w:r>
        <w:rPr>
          <w:rStyle w:val="FootnoteReference"/>
        </w:rPr>
        <w:footnoteReference w:id="7572"/>
      </w:r>
      <w:r>
        <w:t xml:space="preserve"> in their ears all the words of the book of the covenant found in the house of the Lord.</w:t>
      </w:r>
    </w:p>
    <w:p>
      <w:r>
        <w:rPr>
          <w:b/>
        </w:rPr>
        <w:t xml:space="preserve">3 </w:t>
      </w:r>
      <w:r>
        <w:t xml:space="preserve">And the king stood</w:t>
      </w:r>
      <w:r>
        <w:rPr>
          <w:rStyle w:val="FootnoteReference"/>
        </w:rPr>
        <w:footnoteReference w:id="7573"/>
      </w:r>
      <w:r>
        <w:t xml:space="preserve"> by the pillar and made a covenant before the Lord, to walk after the Lord and to keep his commandments and his testimonies and his ordinances with all his heart and with all his soul, to establish the words of this covenant written in this book. And all the people stood to the covenant.</w:t>
      </w:r>
    </w:p>
    <w:p>
      <w:r>
        <w:rPr>
          <w:b/>
        </w:rPr>
        <w:t xml:space="preserve">4 </w:t>
      </w:r>
      <w:r>
        <w:t xml:space="preserve">And the king commanded Hilkiah the high priest and the priests of the second order and the keepers</w:t>
      </w:r>
      <w:r>
        <w:rPr>
          <w:rStyle w:val="FootnoteReference"/>
        </w:rPr>
        <w:footnoteReference w:id="7574"/>
      </w:r>
      <w:r>
        <w:t xml:space="preserve"> of the threshold to bring out from the temple of the Lord all the vessels made for Baal and for the grove and for all the force of heaven, and he burned them outside Jerusalem in the fields of Kidron and carried their dust to Bethel.</w:t>
      </w:r>
      <w:r>
        <w:rPr>
          <w:rStyle w:val="FootnoteReference"/>
        </w:rPr>
        <w:footnoteReference w:id="7575"/>
      </w:r>
    </w:p>
    <w:p>
      <w:r>
        <w:rPr>
          <w:b/>
        </w:rPr>
        <w:t xml:space="preserve">5 </w:t>
      </w:r>
      <w:r>
        <w:t xml:space="preserve">And he put an end to the idol-priests whom the kings of Judah appointed and who were burning incense in the high places and in the cities of Judah and around Jerusalem, and those burning incense to Baal and to the sun and to the moon and to the Mazouroth</w:t>
      </w:r>
      <w:r>
        <w:rPr>
          <w:rStyle w:val="FootnoteReference"/>
        </w:rPr>
        <w:footnoteReference w:id="7576"/>
      </w:r>
      <w:r>
        <w:t xml:space="preserve"> and to all the force of heaven.</w:t>
      </w:r>
    </w:p>
    <w:p>
      <w:r>
        <w:rPr>
          <w:b/>
        </w:rPr>
        <w:t xml:space="preserve">6 </w:t>
      </w:r>
      <w:r>
        <w:t xml:space="preserve">And he brought the grove</w:t>
      </w:r>
      <w:r>
        <w:rPr>
          <w:rStyle w:val="FootnoteReference"/>
        </w:rPr>
        <w:footnoteReference w:id="7577"/>
      </w:r>
      <w:r>
        <w:t xml:space="preserve"> out from the house of the Lord, outside Jerusalem to the wadi Kidron</w:t>
      </w:r>
      <w:r>
        <w:rPr>
          <w:rStyle w:val="FootnoteReference"/>
        </w:rPr>
        <w:footnoteReference w:id="7578"/>
      </w:r>
      <w:r>
        <w:t xml:space="preserve">, and burned it in the wadi Kidron and beat it small to dust and threw its dust on the tombs of the sons of the people.</w:t>
      </w:r>
    </w:p>
    <w:p>
      <w:r>
        <w:rPr>
          <w:b/>
        </w:rPr>
        <w:t xml:space="preserve">7 </w:t>
      </w:r>
      <w:r>
        <w:t xml:space="preserve">And he tore down the houses of the consecrated ones which were in the house of the Lord, where the women were weaving hangings for the grove.</w:t>
      </w:r>
    </w:p>
    <w:p>
      <w:r>
        <w:rPr>
          <w:b/>
        </w:rPr>
        <w:t xml:space="preserve">8 </w:t>
      </w:r>
      <w:r>
        <w:t xml:space="preserve">And he brought all the priests from the cities of Judah and defiled the high places where the priests burned incense, from Gibeah to Beersheba</w:t>
      </w:r>
      <w:r>
        <w:rPr>
          <w:rStyle w:val="FootnoteReference"/>
        </w:rPr>
        <w:footnoteReference w:id="7579"/>
      </w:r>
      <w:r>
        <w:t xml:space="preserve">, and he tore down the house of the gates</w:t>
      </w:r>
      <w:r>
        <w:rPr>
          <w:rStyle w:val="FootnoteReference"/>
        </w:rPr>
        <w:footnoteReference w:id="7580"/>
      </w:r>
      <w:r>
        <w:t xml:space="preserve"> by the entrance of the gate of Joshua governor of the city, those on the left at the gate of the city.</w:t>
      </w:r>
    </w:p>
    <w:p>
      <w:r>
        <w:rPr>
          <w:b/>
        </w:rPr>
        <w:t xml:space="preserve">9 </w:t>
      </w:r>
      <w:r>
        <w:t xml:space="preserve">Only, the priests</w:t>
      </w:r>
      <w:r>
        <w:rPr>
          <w:rStyle w:val="FootnoteReference"/>
        </w:rPr>
        <w:footnoteReference w:id="7581"/>
      </w:r>
      <w:r>
        <w:t xml:space="preserve"> of the high places did not go up to the altar of the Lord in Jerusalem, except they ate unleavened bread in the midst of their brothers.</w:t>
      </w:r>
    </w:p>
    <w:p>
      <w:r>
        <w:rPr>
          <w:b/>
        </w:rPr>
        <w:t xml:space="preserve">10 </w:t>
      </w:r>
      <w:r>
        <w:t xml:space="preserve">And he defiled Topheth</w:t>
      </w:r>
      <w:r>
        <w:rPr>
          <w:rStyle w:val="FootnoteReference"/>
        </w:rPr>
        <w:footnoteReference w:id="7582"/>
      </w:r>
      <w:r>
        <w:t xml:space="preserve"> in the valley of the son of Hinnom, so as not to make a man bring his son or a man bring his daughter through fire to Moloch</w:t>
      </w:r>
      <w:r>
        <w:rPr>
          <w:rStyle w:val="FootnoteReference"/>
        </w:rPr>
        <w:footnoteReference w:id="7583"/>
      </w:r>
      <w:r>
        <w:t xml:space="preserve">.</w:t>
      </w:r>
      <w:r>
        <w:rPr>
          <w:rStyle w:val="FootnoteReference"/>
        </w:rPr>
        <w:footnoteReference w:id="7584"/>
      </w:r>
    </w:p>
    <w:p>
      <w:r>
        <w:rPr>
          <w:b/>
        </w:rPr>
        <w:t xml:space="preserve">11 </w:t>
      </w:r>
      <w:r>
        <w:t xml:space="preserve">And he put an end to the horses which the kings of Judah gave to the sun</w:t>
      </w:r>
      <w:r>
        <w:rPr>
          <w:rStyle w:val="FootnoteReference"/>
        </w:rPr>
        <w:footnoteReference w:id="7585"/>
      </w:r>
      <w:r>
        <w:t xml:space="preserve"> at the entrance of the house of the Lord, in the treasury of Nathan the king's eunuch in the suburbs</w:t>
      </w:r>
      <w:r>
        <w:rPr>
          <w:rStyle w:val="FootnoteReference"/>
        </w:rPr>
        <w:footnoteReference w:id="7586"/>
      </w:r>
      <w:r>
        <w:t xml:space="preserve">, and the chariot of the sun he burned with fire.</w:t>
      </w:r>
    </w:p>
    <w:p>
      <w:r>
        <w:rPr>
          <w:b/>
        </w:rPr>
        <w:t xml:space="preserve">12 </w:t>
      </w:r>
      <w:r>
        <w:t xml:space="preserve">And the altars on the roof of the upper room of Ahaz, which the kings of Judah made, and the altars which Manasseh</w:t>
      </w:r>
      <w:r>
        <w:rPr>
          <w:rStyle w:val="FootnoteReference"/>
        </w:rPr>
        <w:footnoteReference w:id="7587"/>
      </w:r>
      <w:r>
        <w:t xml:space="preserve"> made in the two courts of the house of the Lord, the king tore down and broke up there and threw their dust into the wadi Kidron.</w:t>
      </w:r>
    </w:p>
    <w:p>
      <w:r>
        <w:rPr>
          <w:b/>
        </w:rPr>
        <w:t xml:space="preserve">13 </w:t>
      </w:r>
      <w:r>
        <w:t xml:space="preserve">And the house that was before Jerusalem, to the right of the mount of Mosoath, which Solomon</w:t>
      </w:r>
      <w:r>
        <w:rPr>
          <w:rStyle w:val="FootnoteReference"/>
        </w:rPr>
        <w:footnoteReference w:id="7588"/>
      </w:r>
      <w:r>
        <w:t xml:space="preserve"> king of Israel built to Ashtoreth</w:t>
      </w:r>
      <w:r>
        <w:rPr>
          <w:rStyle w:val="FootnoteReference"/>
        </w:rPr>
        <w:footnoteReference w:id="7589"/>
      </w:r>
      <w:r>
        <w:t xml:space="preserve">, abomination of the Sidonians, and to Chemosh, abomination of Moab, and to Molochol, abomination of the sons of Ammon, the king defiled.</w:t>
      </w:r>
      <w:r>
        <w:rPr>
          <w:rStyle w:val="FootnoteReference"/>
        </w:rPr>
        <w:footnoteReference w:id="7590"/>
      </w:r>
    </w:p>
    <w:p>
      <w:r>
        <w:rPr>
          <w:b/>
        </w:rPr>
        <w:t xml:space="preserve">14 </w:t>
      </w:r>
      <w:r>
        <w:t xml:space="preserve">And he crushed the pillars and destroyed the groves and filled their places with human bones.</w:t>
      </w:r>
    </w:p>
    <w:p>
      <w:r>
        <w:rPr>
          <w:b/>
        </w:rPr>
        <w:t xml:space="preserve">15 </w:t>
      </w:r>
      <w:r>
        <w:t xml:space="preserve">And indeed the altar</w:t>
      </w:r>
      <w:r>
        <w:rPr>
          <w:rStyle w:val="FootnoteReference"/>
        </w:rPr>
        <w:footnoteReference w:id="7591"/>
      </w:r>
      <w:r>
        <w:t xml:space="preserve"> in Bethel, the high place which Jeroboam son of Nebat made, who made Israel sin, indeed that altar and the high place he tore down and crushed its stones and beat them small to dust and burned the grove.</w:t>
      </w:r>
      <w:r>
        <w:rPr>
          <w:rStyle w:val="FootnoteReference"/>
        </w:rPr>
        <w:footnoteReference w:id="7592"/>
      </w:r>
    </w:p>
    <w:p>
      <w:r>
        <w:rPr>
          <w:b/>
        </w:rPr>
        <w:t xml:space="preserve">16 </w:t>
      </w:r>
      <w:r>
        <w:t xml:space="preserve">And Josiah turned and saw the tombs there in the city</w:t>
      </w:r>
      <w:r>
        <w:rPr>
          <w:rStyle w:val="FootnoteReference"/>
        </w:rPr>
        <w:footnoteReference w:id="7593"/>
      </w:r>
      <w:r>
        <w:t xml:space="preserve">, and he sent and took the bones from the tombs and burned</w:t>
      </w:r>
      <w:r>
        <w:rPr>
          <w:rStyle w:val="FootnoteReference"/>
        </w:rPr>
        <w:footnoteReference w:id="7594"/>
      </w:r>
      <w:r>
        <w:t xml:space="preserve"> them upon the altar and defiled it, according to the word of the Lord which the man of God spoke.</w:t>
      </w:r>
    </w:p>
    <w:p>
      <w:r>
        <w:rPr>
          <w:b/>
        </w:rPr>
        <w:t xml:space="preserve">17 </w:t>
      </w:r>
      <w:r>
        <w:t xml:space="preserve">And he said, What is that marker</w:t>
      </w:r>
      <w:r>
        <w:rPr>
          <w:rStyle w:val="FootnoteReference"/>
        </w:rPr>
        <w:footnoteReference w:id="7595"/>
      </w:r>
      <w:r>
        <w:t xml:space="preserve"> which I see? And the men of the city said to him, It is the man of God who came out from Judah and called out these words which he called out against the altar of Bethel.</w:t>
      </w:r>
    </w:p>
    <w:p>
      <w:r>
        <w:rPr>
          <w:b/>
        </w:rPr>
        <w:t xml:space="preserve">18 </w:t>
      </w:r>
      <w:r>
        <w:t xml:space="preserve">And he said, Leave him. Let no man move his bones</w:t>
      </w:r>
      <w:r>
        <w:rPr>
          <w:rStyle w:val="FootnoteReference"/>
        </w:rPr>
        <w:footnoteReference w:id="7596"/>
      </w:r>
      <w:r>
        <w:t xml:space="preserve">. And they preserved his bones with the bones of the prophet</w:t>
      </w:r>
      <w:r>
        <w:rPr>
          <w:rStyle w:val="FootnoteReference"/>
        </w:rPr>
        <w:footnoteReference w:id="7597"/>
      </w:r>
      <w:r>
        <w:t xml:space="preserve"> who came out from Samaria.</w:t>
      </w:r>
    </w:p>
    <w:p>
      <w:r>
        <w:rPr>
          <w:b/>
        </w:rPr>
        <w:t xml:space="preserve">19 </w:t>
      </w:r>
      <w:r>
        <w:t xml:space="preserve">And also all the houses</w:t>
      </w:r>
      <w:r>
        <w:rPr>
          <w:rStyle w:val="FootnoteReference"/>
        </w:rPr>
        <w:footnoteReference w:id="7598"/>
      </w:r>
      <w:r>
        <w:t xml:space="preserve"> of the high places which were in the cities of Samaria, which the kings of Israel made to provoke the Lord, Josiah removed and did to them according to all the deeds that he did in Bethel.</w:t>
      </w:r>
      <w:r>
        <w:rPr>
          <w:rStyle w:val="FootnoteReference"/>
        </w:rPr>
        <w:footnoteReference w:id="7599"/>
      </w:r>
    </w:p>
    <w:p>
      <w:r>
        <w:rPr>
          <w:b/>
        </w:rPr>
        <w:t xml:space="preserve">20 </w:t>
      </w:r>
      <w:r>
        <w:t xml:space="preserve">And he sacrificed all the priests of the high places who were there upon the altars and burned</w:t>
      </w:r>
      <w:r>
        <w:rPr>
          <w:rStyle w:val="FootnoteReference"/>
        </w:rPr>
        <w:footnoteReference w:id="7600"/>
      </w:r>
      <w:r>
        <w:t xml:space="preserve"> the bones of humans upon them and returned to Jerusalem.</w:t>
      </w:r>
    </w:p>
    <w:p>
      <w:r>
        <w:rPr>
          <w:b/>
        </w:rPr>
        <w:t xml:space="preserve">21 </w:t>
      </w:r>
      <w:r>
        <w:t xml:space="preserve">And the king commanded all the people, saying, Keep</w:t>
      </w:r>
      <w:r>
        <w:rPr>
          <w:rStyle w:val="FootnoteReference"/>
        </w:rPr>
        <w:footnoteReference w:id="7601"/>
      </w:r>
      <w:r>
        <w:t xml:space="preserve"> the Passover to the Lord our God, as it is written in this book of the covenant.</w:t>
      </w:r>
    </w:p>
    <w:p>
      <w:r>
        <w:rPr>
          <w:b/>
        </w:rPr>
        <w:t xml:space="preserve">22 </w:t>
      </w:r>
      <w:r>
        <w:t xml:space="preserve">Because this Passover was not held from the days of the judges who judged Israel and all the days of the kings</w:t>
      </w:r>
      <w:r>
        <w:rPr>
          <w:rStyle w:val="FootnoteReference"/>
        </w:rPr>
        <w:footnoteReference w:id="7602"/>
      </w:r>
      <w:r>
        <w:t xml:space="preserve"> of Israel and the kings of Judah,</w:t>
      </w:r>
    </w:p>
    <w:p>
      <w:r>
        <w:rPr>
          <w:b/>
        </w:rPr>
        <w:t xml:space="preserve">23 </w:t>
      </w:r>
      <w:r>
        <w:t xml:space="preserve">except in the eighteenth year of King Josiah this Passover was held to the Lord in Jerusalem.</w:t>
      </w:r>
    </w:p>
    <w:p>
      <w:r>
        <w:rPr>
          <w:b/>
        </w:rPr>
        <w:t xml:space="preserve">24 </w:t>
      </w:r>
      <w:r>
        <w:t xml:space="preserve">And indeed the spirit-mediums and the knowers</w:t>
      </w:r>
      <w:r>
        <w:rPr>
          <w:rStyle w:val="FootnoteReference"/>
        </w:rPr>
        <w:footnoteReference w:id="7603"/>
      </w:r>
      <w:r>
        <w:t xml:space="preserve"> and the theraphin and the idols and all the abominations that had appeared in the land of Judah and in Jerusalem King Josiah removed, to establish the words of the law written upon the book</w:t>
      </w:r>
      <w:r>
        <w:rPr>
          <w:rStyle w:val="FootnoteReference"/>
        </w:rPr>
        <w:footnoteReference w:id="7604"/>
      </w:r>
      <w:r>
        <w:t xml:space="preserve"> which Hilkiah the priest found in the house of the Lord.</w:t>
      </w:r>
    </w:p>
    <w:p>
      <w:r>
        <w:rPr>
          <w:b/>
        </w:rPr>
        <w:t xml:space="preserve">25 </w:t>
      </w:r>
      <w:r>
        <w:t xml:space="preserve">Like him there was no king before him who turned to the Lord with all his heart and with all his soul and with all his strength</w:t>
      </w:r>
      <w:r>
        <w:rPr>
          <w:rStyle w:val="FootnoteReference"/>
        </w:rPr>
        <w:footnoteReference w:id="7605"/>
      </w:r>
      <w:r>
        <w:t xml:space="preserve"> according to all the law of Moses, and after him none like him arose.</w:t>
      </w:r>
    </w:p>
    <w:p>
      <w:r>
        <w:rPr>
          <w:b/>
        </w:rPr>
        <w:t xml:space="preserve">26 </w:t>
      </w:r>
      <w:r>
        <w:t xml:space="preserve">Only, the Lord did not turn away from the fury of his great anger, with which his anger burned in Judah, because of the provocations with which Manasseh provoked him.</w:t>
      </w:r>
    </w:p>
    <w:p>
      <w:r>
        <w:rPr>
          <w:b/>
        </w:rPr>
        <w:t xml:space="preserve">27 </w:t>
      </w:r>
      <w:r>
        <w:t xml:space="preserve">And the Lord said, Also Judah I will remove</w:t>
      </w:r>
      <w:r>
        <w:rPr>
          <w:rStyle w:val="FootnoteReference"/>
        </w:rPr>
        <w:footnoteReference w:id="7606"/>
      </w:r>
      <w:r>
        <w:t xml:space="preserve"> from before my face, as I removed Israel, and I will reject this city which I chose, Jerusalem, and the house of which I said, My name will be there.</w:t>
      </w:r>
    </w:p>
    <w:p>
      <w:r>
        <w:rPr>
          <w:b/>
        </w:rPr>
        <w:t xml:space="preserve">28 </w:t>
      </w:r>
      <w:r>
        <w:t xml:space="preserve">And the rest</w:t>
      </w:r>
      <w:r>
        <w:rPr>
          <w:rStyle w:val="FootnoteReference"/>
        </w:rPr>
        <w:footnoteReference w:id="7607"/>
      </w:r>
      <w:r>
        <w:t xml:space="preserve"> of the words of Josiah and all that he did, are these not written in the book of the words of the days for the kings of Judah?</w:t>
      </w:r>
    </w:p>
    <w:p>
      <w:r>
        <w:rPr>
          <w:b/>
        </w:rPr>
        <w:t xml:space="preserve">29 </w:t>
      </w:r>
      <w:r>
        <w:t xml:space="preserve">And in his days Pharaoh Necho</w:t>
      </w:r>
      <w:r>
        <w:rPr>
          <w:rStyle w:val="FootnoteReference"/>
        </w:rPr>
        <w:footnoteReference w:id="7608"/>
      </w:r>
      <w:r>
        <w:t xml:space="preserve"> king of Egypt went up against the king of the Assyrians by the river Euphrates</w:t>
      </w:r>
      <w:r>
        <w:rPr>
          <w:rStyle w:val="FootnoteReference"/>
        </w:rPr>
        <w:footnoteReference w:id="7609"/>
      </w:r>
      <w:r>
        <w:t xml:space="preserve">, and Josiah went to meet him, and Necho put him to death in Megiddo when he saw him.</w:t>
      </w:r>
    </w:p>
    <w:p>
      <w:r>
        <w:rPr>
          <w:b/>
        </w:rPr>
        <w:t xml:space="preserve">30 </w:t>
      </w:r>
      <w:r>
        <w:t xml:space="preserve">And his servants</w:t>
      </w:r>
      <w:r>
        <w:rPr>
          <w:rStyle w:val="FootnoteReference"/>
        </w:rPr>
        <w:footnoteReference w:id="7610"/>
      </w:r>
      <w:r>
        <w:t xml:space="preserve"> set him on the chariot, dead from Megiddo, and brought him to Jerusalem and buried him in his tomb in the city of David. And the people of the land took Jehoahaz son of Josiah and anointed him and made him king in place of his father.</w:t>
      </w:r>
    </w:p>
    <w:p>
      <w:r>
        <w:rPr>
          <w:b/>
        </w:rPr>
        <w:t xml:space="preserve">31 </w:t>
      </w:r>
      <w:r>
        <w:t xml:space="preserve">Jehoahaz</w:t>
      </w:r>
      <w:r>
        <w:rPr>
          <w:rStyle w:val="FootnoteReference"/>
        </w:rPr>
        <w:footnoteReference w:id="7611"/>
      </w:r>
      <w:r>
        <w:t xml:space="preserve"> was twenty-three years old when he became king, and he reigned three months in Jerusalem, and the name of his mother was Hamutal</w:t>
      </w:r>
      <w:r>
        <w:rPr>
          <w:rStyle w:val="FootnoteReference"/>
        </w:rPr>
        <w:footnoteReference w:id="7612"/>
      </w:r>
      <w:r>
        <w:t xml:space="preserve"> daughter of Jeremiah</w:t>
      </w:r>
      <w:r>
        <w:rPr>
          <w:rStyle w:val="FootnoteReference"/>
        </w:rPr>
        <w:footnoteReference w:id="7613"/>
      </w:r>
      <w:r>
        <w:t xml:space="preserve"> from Libnah.</w:t>
      </w:r>
    </w:p>
    <w:p>
      <w:r>
        <w:rPr>
          <w:b/>
        </w:rPr>
        <w:t xml:space="preserve">32 </w:t>
      </w:r>
      <w:r>
        <w:t xml:space="preserve">And he did evil in the eyes of the Lord according to all that his fathers did.</w:t>
      </w:r>
    </w:p>
    <w:p>
      <w:r>
        <w:rPr>
          <w:b/>
        </w:rPr>
        <w:t xml:space="preserve">33 </w:t>
      </w:r>
      <w:r>
        <w:t xml:space="preserve">And Pharaoh Necho removed him in Riblah</w:t>
      </w:r>
      <w:r>
        <w:rPr>
          <w:rStyle w:val="FootnoteReference"/>
        </w:rPr>
        <w:footnoteReference w:id="7614"/>
      </w:r>
      <w:r>
        <w:t xml:space="preserve"> in the land of Hamath so that he should not reign in Jerusalem, and he imposed a penalty on the land of a hundred talents of silver and a hundred talents of gold.</w:t>
      </w:r>
    </w:p>
    <w:p>
      <w:r>
        <w:rPr>
          <w:b/>
        </w:rPr>
        <w:t xml:space="preserve">34 </w:t>
      </w:r>
      <w:r>
        <w:t xml:space="preserve">And Pharaoh Necho made Eliakim</w:t>
      </w:r>
      <w:r>
        <w:rPr>
          <w:rStyle w:val="FootnoteReference"/>
        </w:rPr>
        <w:footnoteReference w:id="7615"/>
      </w:r>
      <w:r>
        <w:t xml:space="preserve"> son of Josiah king of Judah king in place of Josiah his father, and he changed his name to Joakim</w:t>
      </w:r>
      <w:r>
        <w:rPr>
          <w:rStyle w:val="FootnoteReference"/>
        </w:rPr>
        <w:footnoteReference w:id="7616"/>
      </w:r>
      <w:r>
        <w:t xml:space="preserve">, and he took Jehoahaz and brought him into Egypt, and he died there.</w:t>
      </w:r>
      <w:r>
        <w:rPr>
          <w:rStyle w:val="FootnoteReference"/>
        </w:rPr>
        <w:footnoteReference w:id="7617"/>
      </w:r>
    </w:p>
    <w:p>
      <w:r>
        <w:rPr>
          <w:b/>
        </w:rPr>
        <w:t xml:space="preserve">35 </w:t>
      </w:r>
      <w:r>
        <w:t xml:space="preserve">And Joakim gave the silver</w:t>
      </w:r>
      <w:r>
        <w:rPr>
          <w:rStyle w:val="FootnoteReference"/>
        </w:rPr>
        <w:footnoteReference w:id="7618"/>
      </w:r>
      <w:r>
        <w:t xml:space="preserve"> and the gold to Pharaoh, but he assessed the land to give the silver according to the mouth of Pharaoh. Each man according to his valuation they gave the silver and the gold with the people of the land, to give to Pharaoh Necho.</w:t>
      </w:r>
      <w:r>
        <w:rPr>
          <w:rStyle w:val="FootnoteReference"/>
        </w:rPr>
        <w:footnoteReference w:id="7619"/>
      </w:r>
    </w:p>
    <w:p>
      <w:r>
        <w:rPr>
          <w:b/>
        </w:rPr>
        <w:t xml:space="preserve">36 </w:t>
      </w:r>
      <w:r>
        <w:t xml:space="preserve">Joakim was twenty-five years old when he became king, and he reigned eleven years in Jerusalem, and the name of his mother was Zebudah</w:t>
      </w:r>
      <w:r>
        <w:rPr>
          <w:rStyle w:val="FootnoteReference"/>
        </w:rPr>
        <w:footnoteReference w:id="7620"/>
      </w:r>
      <w:r>
        <w:t xml:space="preserve"> daughter of Pedaiah</w:t>
      </w:r>
      <w:r>
        <w:rPr>
          <w:rStyle w:val="FootnoteReference"/>
        </w:rPr>
        <w:footnoteReference w:id="7621"/>
      </w:r>
      <w:r>
        <w:t xml:space="preserve"> from Rumah</w:t>
      </w:r>
      <w:r>
        <w:rPr>
          <w:rStyle w:val="FootnoteReference"/>
        </w:rPr>
        <w:footnoteReference w:id="7622"/>
      </w:r>
      <w:r>
        <w:t xml:space="preserve">.</w:t>
      </w:r>
    </w:p>
    <w:p>
      <w:r>
        <w:rPr>
          <w:b/>
        </w:rPr>
        <w:t xml:space="preserve">37 </w:t>
      </w:r>
      <w:r>
        <w:t xml:space="preserve">And he did</w:t>
      </w:r>
      <w:r>
        <w:rPr>
          <w:rStyle w:val="FootnoteReference"/>
        </w:rPr>
        <w:footnoteReference w:id="7623"/>
      </w:r>
      <w:r>
        <w:t xml:space="preserve"> evil in the eyes of the Lord according to all that his fathers did.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In his days</w:t>
      </w:r>
      <w:r>
        <w:rPr>
          <w:rStyle w:val="FootnoteReference"/>
        </w:rPr>
        <w:footnoteReference w:id="7624"/>
      </w:r>
      <w:r>
        <w:t xml:space="preserve"> Nebuchadnezzar</w:t>
      </w:r>
      <w:r>
        <w:rPr>
          <w:rStyle w:val="FootnoteReference"/>
        </w:rPr>
        <w:footnoteReference w:id="7625"/>
      </w:r>
      <w:r>
        <w:t xml:space="preserve"> king of Babylon came up, and Joakim became his servant three years, and he turned and rebelled against him.</w:t>
      </w:r>
    </w:p>
    <w:p>
      <w:r>
        <w:rPr>
          <w:b/>
        </w:rPr>
        <w:t xml:space="preserve">2 </w:t>
      </w:r>
      <w:r>
        <w:t xml:space="preserve">And the Lord</w:t>
      </w:r>
      <w:r>
        <w:rPr>
          <w:rStyle w:val="FootnoteReference"/>
        </w:rPr>
        <w:footnoteReference w:id="7626"/>
      </w:r>
      <w:r>
        <w:t xml:space="preserve"> sent against him raiding bands of the Chaldeans and raiding bands of Syria and raiding bands of Moab and raiding bands of the sons of Ammon, and he sent them into the land of Judah to strengthen against it, according to the word of the Lord which he spoke by the hand of his servants the prophets.</w:t>
      </w:r>
    </w:p>
    <w:p>
      <w:r>
        <w:rPr>
          <w:b/>
        </w:rPr>
        <w:t xml:space="preserve">3 </w:t>
      </w:r>
      <w:r>
        <w:t xml:space="preserve">Only, it was upon the anger of the Lord in Judah to remove him from before his face, because of the sins of Manasseh according to all that he did,</w:t>
      </w:r>
    </w:p>
    <w:p>
      <w:r>
        <w:rPr>
          <w:b/>
        </w:rPr>
        <w:t xml:space="preserve">4 </w:t>
      </w:r>
      <w:r>
        <w:t xml:space="preserve">and indeed he poured out innocent blood and filled Jerusalem with innocent blood, and the Lord did not wish to be propitiated.</w:t>
      </w:r>
    </w:p>
    <w:p>
      <w:r>
        <w:rPr>
          <w:b/>
        </w:rPr>
        <w:t xml:space="preserve">5 </w:t>
      </w:r>
      <w:r>
        <w:t xml:space="preserve">And the rest</w:t>
      </w:r>
      <w:r>
        <w:rPr>
          <w:rStyle w:val="FootnoteReference"/>
        </w:rPr>
        <w:footnoteReference w:id="7627"/>
      </w:r>
      <w:r>
        <w:t xml:space="preserve"> of the words of Joakim and all that he did, are these not written in the book of the words of the days for the kings of Judah?</w:t>
      </w:r>
    </w:p>
    <w:p>
      <w:r>
        <w:rPr>
          <w:b/>
        </w:rPr>
        <w:t xml:space="preserve">6 </w:t>
      </w:r>
      <w:r>
        <w:t xml:space="preserve">And Joakim slept</w:t>
      </w:r>
      <w:r>
        <w:rPr>
          <w:rStyle w:val="FootnoteReference"/>
        </w:rPr>
        <w:footnoteReference w:id="7628"/>
      </w:r>
      <w:r>
        <w:t xml:space="preserve"> with his fathers, and Joakim his son reigned in his place.</w:t>
      </w:r>
    </w:p>
    <w:p>
      <w:r>
        <w:rPr>
          <w:b/>
        </w:rPr>
        <w:t xml:space="preserve">7 </w:t>
      </w:r>
      <w:r>
        <w:t xml:space="preserve">And the king of Egypt no longer added to go out from his land</w:t>
      </w:r>
      <w:r>
        <w:rPr>
          <w:rStyle w:val="FootnoteReference"/>
        </w:rPr>
        <w:footnoteReference w:id="7629"/>
      </w:r>
      <w:r>
        <w:t xml:space="preserve">, because the king of Babylon took from the wadi of Egypt as far as the river Euphrates, all that belonged to the king of Egypt.</w:t>
      </w:r>
    </w:p>
    <w:p>
      <w:r>
        <w:rPr>
          <w:b/>
        </w:rPr>
        <w:t xml:space="preserve">8 </w:t>
      </w:r>
      <w:r>
        <w:t xml:space="preserve">Joakim was eighteen years</w:t>
      </w:r>
      <w:r>
        <w:rPr>
          <w:rStyle w:val="FootnoteReference"/>
        </w:rPr>
        <w:footnoteReference w:id="7630"/>
      </w:r>
      <w:r>
        <w:t xml:space="preserve"> old when he became king, and he reigned three months in Jerusalem, and the name of his mother was Nehushta</w:t>
      </w:r>
      <w:r>
        <w:rPr>
          <w:rStyle w:val="FootnoteReference"/>
        </w:rPr>
        <w:footnoteReference w:id="7631"/>
      </w:r>
      <w:r>
        <w:t xml:space="preserve"> daughter of Elnathan</w:t>
      </w:r>
      <w:r>
        <w:rPr>
          <w:rStyle w:val="FootnoteReference"/>
        </w:rPr>
        <w:footnoteReference w:id="7632"/>
      </w:r>
      <w:r>
        <w:t xml:space="preserve"> from Jerusalem.</w:t>
      </w:r>
    </w:p>
    <w:p>
      <w:r>
        <w:rPr>
          <w:b/>
        </w:rPr>
        <w:t xml:space="preserve">9 </w:t>
      </w:r>
      <w:r>
        <w:t xml:space="preserve">And he did evil in the eyes of the Lord according to all that his father did.</w:t>
      </w:r>
    </w:p>
    <w:p>
      <w:r>
        <w:rPr>
          <w:b/>
        </w:rPr>
        <w:t xml:space="preserve">10 </w:t>
      </w:r>
      <w:r>
        <w:t xml:space="preserve">At that time</w:t>
      </w:r>
      <w:r>
        <w:rPr>
          <w:rStyle w:val="FootnoteReference"/>
        </w:rPr>
        <w:footnoteReference w:id="7633"/>
      </w:r>
      <w:r>
        <w:t xml:space="preserve"> Nebuchadnezzar king of Babylon came up to Jerusalem, and the city came under siege.</w:t>
      </w:r>
    </w:p>
    <w:p>
      <w:r>
        <w:rPr>
          <w:b/>
        </w:rPr>
        <w:t xml:space="preserve">11 </w:t>
      </w:r>
      <w:r>
        <w:t xml:space="preserve">And Nebuchadnezzar king of Babylon entered into the city, and his servants were besieging it.</w:t>
      </w:r>
    </w:p>
    <w:p>
      <w:r>
        <w:rPr>
          <w:b/>
        </w:rPr>
        <w:t xml:space="preserve">12 </w:t>
      </w:r>
      <w:r>
        <w:t xml:space="preserve">And Joakim king of Judah went out to the king of Babylon, he and his servants and his mother and his rulers and his eunuchs, and the king of Babylon took him</w:t>
      </w:r>
      <w:r>
        <w:rPr>
          <w:rStyle w:val="FootnoteReference"/>
        </w:rPr>
        <w:footnoteReference w:id="7634"/>
      </w:r>
      <w:r>
        <w:t xml:space="preserve"> in the eighth year of his reign.</w:t>
      </w:r>
    </w:p>
    <w:p>
      <w:r>
        <w:rPr>
          <w:b/>
        </w:rPr>
        <w:t xml:space="preserve">13 </w:t>
      </w:r>
      <w:r>
        <w:t xml:space="preserve">And he carried</w:t>
      </w:r>
      <w:r>
        <w:rPr>
          <w:rStyle w:val="FootnoteReference"/>
        </w:rPr>
        <w:footnoteReference w:id="7635"/>
      </w:r>
      <w:r>
        <w:t xml:space="preserve"> out from there all the treasures of the house of the Lord and the treasures of the king's house and cut in pieces all the golden vessels which Solomon king of Israel made in the temple of the Lord, according to the word of the Lord</w:t>
      </w:r>
      <w:r>
        <w:rPr>
          <w:rStyle w:val="FootnoteReference"/>
        </w:rPr>
        <w:footnoteReference w:id="7636"/>
      </w:r>
      <w:r>
        <w:t xml:space="preserve">.</w:t>
      </w:r>
    </w:p>
    <w:p>
      <w:r>
        <w:rPr>
          <w:b/>
        </w:rPr>
        <w:t xml:space="preserve">14 </w:t>
      </w:r>
      <w:r>
        <w:t xml:space="preserve">And he deported Jerusalem</w:t>
      </w:r>
      <w:r>
        <w:rPr>
          <w:rStyle w:val="FootnoteReference"/>
        </w:rPr>
        <w:footnoteReference w:id="7637"/>
      </w:r>
      <w:r>
        <w:t xml:space="preserve"> and all the rulers and the mighty in strength, ten thousand in captivity, and every craftsman and every smith</w:t>
      </w:r>
      <w:r>
        <w:rPr>
          <w:rStyle w:val="FootnoteReference"/>
        </w:rPr>
        <w:footnoteReference w:id="7638"/>
      </w:r>
      <w:r>
        <w:t xml:space="preserve">, and none was left except the poor of the land.</w:t>
      </w:r>
    </w:p>
    <w:p>
      <w:r>
        <w:rPr>
          <w:b/>
        </w:rPr>
        <w:t xml:space="preserve">15 </w:t>
      </w:r>
      <w:r>
        <w:t xml:space="preserve">And he deported Joakim to Babylon, and the king's mother and the king's wives and his eunuchs and the mighty of the land he led away in exile from Jerusalem into Babylon.</w:t>
      </w:r>
    </w:p>
    <w:p>
      <w:r>
        <w:rPr>
          <w:b/>
        </w:rPr>
        <w:t xml:space="preserve">16 </w:t>
      </w:r>
      <w:r>
        <w:t xml:space="preserve">And all the men of force, seven thousand</w:t>
      </w:r>
      <w:r>
        <w:rPr>
          <w:rStyle w:val="FootnoteReference"/>
        </w:rPr>
        <w:footnoteReference w:id="7639"/>
      </w:r>
      <w:r>
        <w:t xml:space="preserve">, and the craftsman and the smith, a thousand, all mighty ones making war, the king of Babylon brought them as exiles into Babylon.</w:t>
      </w:r>
    </w:p>
    <w:p>
      <w:r>
        <w:rPr>
          <w:b/>
        </w:rPr>
        <w:t xml:space="preserve">17 </w:t>
      </w:r>
      <w:r>
        <w:t xml:space="preserve">And the king of Babylon made Mattaniah</w:t>
      </w:r>
      <w:r>
        <w:rPr>
          <w:rStyle w:val="FootnoteReference"/>
        </w:rPr>
        <w:footnoteReference w:id="7640"/>
      </w:r>
      <w:r>
        <w:t xml:space="preserve"> his kinsman king in his place and set his name Zedekiah.</w:t>
      </w:r>
    </w:p>
    <w:p>
      <w:r>
        <w:rPr>
          <w:b/>
        </w:rPr>
        <w:t xml:space="preserve">18 </w:t>
      </w:r>
      <w:r>
        <w:t xml:space="preserve">Zedekiah</w:t>
      </w:r>
      <w:r>
        <w:rPr>
          <w:rStyle w:val="FootnoteReference"/>
        </w:rPr>
        <w:footnoteReference w:id="7641"/>
      </w:r>
      <w:r>
        <w:t xml:space="preserve"> was twenty-one years old when he became king, and he reigned eleven years in Jerusalem, and the name of his mother was Hamutal daughter of Jeremiah.</w:t>
      </w:r>
    </w:p>
    <w:p>
      <w:r>
        <w:rPr>
          <w:b/>
        </w:rPr>
        <w:t xml:space="preserve">19 </w:t>
      </w:r>
      <w:r>
        <w:t xml:space="preserve">And he did</w:t>
      </w:r>
      <w:r>
        <w:rPr>
          <w:rStyle w:val="FootnoteReference"/>
        </w:rPr>
        <w:footnoteReference w:id="7642"/>
      </w:r>
      <w:r>
        <w:t xml:space="preserve"> evil before the Lord according to all that Joakim did.</w:t>
      </w:r>
    </w:p>
    <w:p>
      <w:r>
        <w:rPr>
          <w:b/>
        </w:rPr>
        <w:t xml:space="preserve">20 </w:t>
      </w:r>
      <w:r>
        <w:t xml:space="preserve">Because it was upon the anger of the Lord against Jerusalem and Judah until he cast them from before his face. And Zedekiah</w:t>
      </w:r>
      <w:r>
        <w:rPr>
          <w:rStyle w:val="FootnoteReference"/>
        </w:rPr>
        <w:footnoteReference w:id="7643"/>
      </w:r>
      <w:r>
        <w:t xml:space="preserve"> rebelled against the kingdom of Babylon.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it came to be in the ninth</w:t>
      </w:r>
      <w:r>
        <w:rPr>
          <w:rStyle w:val="FootnoteReference"/>
        </w:rPr>
        <w:footnoteReference w:id="7644"/>
      </w:r>
      <w:r>
        <w:t xml:space="preserve"> year of his reign, in the tenth month, Nebuchadnezzar king of Babylon came, and all his force, against Jerusalem, and they encamped against it and built a siege-wall</w:t>
      </w:r>
      <w:r>
        <w:rPr>
          <w:rStyle w:val="FootnoteReference"/>
        </w:rPr>
        <w:footnoteReference w:id="7645"/>
      </w:r>
      <w:r>
        <w:t xml:space="preserve"> around it.</w:t>
      </w:r>
    </w:p>
    <w:p>
      <w:r>
        <w:rPr>
          <w:b/>
        </w:rPr>
        <w:t xml:space="preserve">2 </w:t>
      </w:r>
      <w:r>
        <w:t xml:space="preserve">And the city came under siege</w:t>
      </w:r>
      <w:r>
        <w:rPr>
          <w:rStyle w:val="FootnoteReference"/>
        </w:rPr>
        <w:footnoteReference w:id="7646"/>
      </w:r>
      <w:r>
        <w:t xml:space="preserve"> until the eleventh year of King Zedekiah.</w:t>
      </w:r>
    </w:p>
    <w:p>
      <w:r>
        <w:rPr>
          <w:b/>
        </w:rPr>
        <w:t xml:space="preserve">3 </w:t>
      </w:r>
      <w:r>
        <w:t xml:space="preserve">On the ninth day</w:t>
      </w:r>
      <w:r>
        <w:rPr>
          <w:rStyle w:val="FootnoteReference"/>
        </w:rPr>
        <w:footnoteReference w:id="7647"/>
      </w:r>
      <w:r>
        <w:t xml:space="preserve"> of the month, famine became strong in the city, and there was no bread for the people of the land.</w:t>
      </w:r>
    </w:p>
    <w:p>
      <w:r>
        <w:rPr>
          <w:b/>
        </w:rPr>
        <w:t xml:space="preserve">4 </w:t>
      </w:r>
      <w:r>
        <w:t xml:space="preserve">And the city was breached, and all the men of war went out by night by way of the gate between the walls, which is by the king's garden, and the Chaldeans were around the city, and he went by way of the Arabah.</w:t>
      </w:r>
      <w:r>
        <w:rPr>
          <w:rStyle w:val="FootnoteReference"/>
        </w:rPr>
        <w:footnoteReference w:id="7648"/>
      </w:r>
    </w:p>
    <w:p>
      <w:r>
        <w:rPr>
          <w:b/>
        </w:rPr>
        <w:t xml:space="preserve">5 </w:t>
      </w:r>
      <w:r>
        <w:t xml:space="preserve">And the force of the Chaldeans pursued the king and overtook</w:t>
      </w:r>
      <w:r>
        <w:rPr>
          <w:rStyle w:val="FootnoteReference"/>
        </w:rPr>
        <w:footnoteReference w:id="7649"/>
      </w:r>
      <w:r>
        <w:t xml:space="preserve"> him in the plains of Jericho, and all his force was scattered from upon him.</w:t>
      </w:r>
    </w:p>
    <w:p>
      <w:r>
        <w:rPr>
          <w:b/>
        </w:rPr>
        <w:t xml:space="preserve">6 </w:t>
      </w:r>
      <w:r>
        <w:t xml:space="preserve">And they captured the king and brought him to the king of Babylon at Riblah</w:t>
      </w:r>
      <w:r>
        <w:rPr>
          <w:rStyle w:val="FootnoteReference"/>
        </w:rPr>
        <w:footnoteReference w:id="7650"/>
      </w:r>
      <w:r>
        <w:t xml:space="preserve">, and he spoke judgment with him.</w:t>
      </w:r>
    </w:p>
    <w:p>
      <w:r>
        <w:rPr>
          <w:b/>
        </w:rPr>
        <w:t xml:space="preserve">7 </w:t>
      </w:r>
      <w:r>
        <w:t xml:space="preserve">And he slaughtered the sons of Zedekiah before his eyes, and the eyes of Zedekiah he blinded, and he bound him</w:t>
      </w:r>
      <w:r>
        <w:rPr>
          <w:rStyle w:val="FootnoteReference"/>
        </w:rPr>
        <w:footnoteReference w:id="7651"/>
      </w:r>
      <w:r>
        <w:t xml:space="preserve"> in fetters and brought him into Babylon.</w:t>
      </w:r>
    </w:p>
    <w:p>
      <w:r>
        <w:rPr>
          <w:b/>
        </w:rPr>
        <w:t xml:space="preserve">8 </w:t>
      </w:r>
      <w:r>
        <w:t xml:space="preserve">And in the fifth month</w:t>
      </w:r>
      <w:r>
        <w:rPr>
          <w:rStyle w:val="FootnoteReference"/>
        </w:rPr>
        <w:footnoteReference w:id="7652"/>
      </w:r>
      <w:r>
        <w:t xml:space="preserve">, on the seventh day of the month, which was the nineteenth year of Nebuchadnezzar king of Babylon, Nebuzaradan</w:t>
      </w:r>
      <w:r>
        <w:rPr>
          <w:rStyle w:val="FootnoteReference"/>
        </w:rPr>
        <w:footnoteReference w:id="7653"/>
      </w:r>
      <w:r>
        <w:t xml:space="preserve"> the chief guard, standing before the king of Babylon, came to Jerusalem.</w:t>
      </w:r>
    </w:p>
    <w:p>
      <w:r>
        <w:rPr>
          <w:b/>
        </w:rPr>
        <w:t xml:space="preserve">9 </w:t>
      </w:r>
      <w:r>
        <w:t xml:space="preserve">And he burned the house of the Lord and the king's</w:t>
      </w:r>
      <w:r>
        <w:rPr>
          <w:rStyle w:val="FootnoteReference"/>
        </w:rPr>
        <w:footnoteReference w:id="7654"/>
      </w:r>
      <w:r>
        <w:t xml:space="preserve"> house and all the houses of Jerusalem, and every great house he burned.</w:t>
      </w:r>
    </w:p>
    <w:p>
      <w:r>
        <w:rPr>
          <w:b/>
        </w:rPr>
        <w:t xml:space="preserve">10 </w:t>
      </w:r>
      <w:r>
        <w:t xml:space="preserve">And the force of the Chaldeans that was with the chief guard tore down the walls of Jerusalem all around.</w:t>
      </w:r>
    </w:p>
    <w:p>
      <w:r>
        <w:rPr>
          <w:b/>
        </w:rPr>
        <w:t xml:space="preserve">11 </w:t>
      </w:r>
      <w:r>
        <w:t xml:space="preserve">And the rest</w:t>
      </w:r>
      <w:r>
        <w:rPr>
          <w:rStyle w:val="FootnoteReference"/>
        </w:rPr>
        <w:footnoteReference w:id="7655"/>
      </w:r>
      <w:r>
        <w:t xml:space="preserve"> of the people left in the city and those who had fallen away, who fell to the king of Babylon, and the rest of the support Nebuzaradan the chief guard removed.</w:t>
      </w:r>
    </w:p>
    <w:p>
      <w:r>
        <w:rPr>
          <w:b/>
        </w:rPr>
        <w:t xml:space="preserve">12 </w:t>
      </w:r>
      <w:r>
        <w:t xml:space="preserve">And from the poor of the land the chief guard left some for vinedressers and field-workers.</w:t>
      </w:r>
    </w:p>
    <w:p>
      <w:r>
        <w:rPr>
          <w:b/>
        </w:rPr>
        <w:t xml:space="preserve">13 </w:t>
      </w:r>
      <w:r>
        <w:t xml:space="preserve">And the bronze pillars</w:t>
      </w:r>
      <w:r>
        <w:rPr>
          <w:rStyle w:val="FootnoteReference"/>
        </w:rPr>
        <w:footnoteReference w:id="7656"/>
      </w:r>
      <w:r>
        <w:t xml:space="preserve"> in the house of the Lord and the bases and the bronze sea in the house of the Lord the Chaldeans broke up and carried their bronze into Babylon.</w:t>
      </w:r>
      <w:r>
        <w:rPr>
          <w:rStyle w:val="FootnoteReference"/>
        </w:rPr>
        <w:footnoteReference w:id="7657"/>
      </w:r>
    </w:p>
    <w:p>
      <w:r>
        <w:rPr>
          <w:b/>
        </w:rPr>
        <w:t xml:space="preserve">14 </w:t>
      </w:r>
      <w:r>
        <w:t xml:space="preserve">And the pots</w:t>
      </w:r>
      <w:r>
        <w:rPr>
          <w:rStyle w:val="FootnoteReference"/>
        </w:rPr>
        <w:footnoteReference w:id="7658"/>
      </w:r>
      <w:r>
        <w:t xml:space="preserve"> and the shovels and the bowls and the censers and all the bronze vessels with which they ministered, he took.</w:t>
      </w:r>
    </w:p>
    <w:p>
      <w:r>
        <w:rPr>
          <w:b/>
        </w:rPr>
        <w:t xml:space="preserve">15 </w:t>
      </w:r>
      <w:r>
        <w:t xml:space="preserve">And the firepans and the bowls, those of gold and those of silver, the chief guard took.</w:t>
      </w:r>
    </w:p>
    <w:p>
      <w:r>
        <w:rPr>
          <w:b/>
        </w:rPr>
        <w:t xml:space="preserve">16 </w:t>
      </w:r>
      <w:r>
        <w:t xml:space="preserve">The two pillars, the one sea, and the bases which Solomon made for the house of the Lord, there was no weight to the bronze of all the vessels.</w:t>
      </w:r>
    </w:p>
    <w:p>
      <w:r>
        <w:rPr>
          <w:b/>
        </w:rPr>
        <w:t xml:space="preserve">17 </w:t>
      </w:r>
      <w:r>
        <w:t xml:space="preserve">Eighteen cubits was the height of the one pillar</w:t>
      </w:r>
      <w:r>
        <w:rPr>
          <w:rStyle w:val="FootnoteReference"/>
        </w:rPr>
        <w:footnoteReference w:id="7659"/>
      </w:r>
      <w:r>
        <w:t xml:space="preserve">, and the bronze capital was upon it, and the height of the capital was three cubits, with network and pomegranates upon the capital round about, all bronze. And the same for the second pillar with the network.</w:t>
      </w:r>
    </w:p>
    <w:p>
      <w:r>
        <w:rPr>
          <w:b/>
        </w:rPr>
        <w:t xml:space="preserve">18 </w:t>
      </w:r>
      <w:r>
        <w:t xml:space="preserve">And the chief guard took Seraiah</w:t>
      </w:r>
      <w:r>
        <w:rPr>
          <w:rStyle w:val="FootnoteReference"/>
        </w:rPr>
        <w:footnoteReference w:id="7660"/>
      </w:r>
      <w:r>
        <w:t xml:space="preserve"> the first priest and Zephaniah of the second order and the three keeping the threshold.</w:t>
      </w:r>
      <w:r>
        <w:rPr>
          <w:rStyle w:val="FootnoteReference"/>
        </w:rPr>
        <w:footnoteReference w:id="7661"/>
      </w:r>
    </w:p>
    <w:p>
      <w:r>
        <w:rPr>
          <w:b/>
        </w:rPr>
        <w:t xml:space="preserve">19 </w:t>
      </w:r>
      <w:r>
        <w:t xml:space="preserve">And from the city he took one eunuch who was overseer over the men of war and five men of those seeing the king's face</w:t>
      </w:r>
      <w:r>
        <w:rPr>
          <w:rStyle w:val="FootnoteReference"/>
        </w:rPr>
        <w:footnoteReference w:id="7662"/>
      </w:r>
      <w:r>
        <w:t xml:space="preserve"> who were found in the city and the scribe of the ruler of the force, the one mustering the people of the land, and sixty men of the people of the land found in the city.</w:t>
      </w:r>
    </w:p>
    <w:p>
      <w:r>
        <w:rPr>
          <w:b/>
        </w:rPr>
        <w:t xml:space="preserve">20 </w:t>
      </w:r>
      <w:r>
        <w:t xml:space="preserve">And Nebuzaradan the chief guard took them and brought</w:t>
      </w:r>
      <w:r>
        <w:rPr>
          <w:rStyle w:val="FootnoteReference"/>
        </w:rPr>
        <w:footnoteReference w:id="7663"/>
      </w:r>
      <w:r>
        <w:t xml:space="preserve"> them to the king of Babylon at Riblah.</w:t>
      </w:r>
    </w:p>
    <w:p>
      <w:r>
        <w:rPr>
          <w:b/>
        </w:rPr>
        <w:t xml:space="preserve">21 </w:t>
      </w:r>
      <w:r>
        <w:t xml:space="preserve">And the king of Babylon struck them and put them to death in Riblah in the land of Hamath, and Judah was deported from its land.</w:t>
      </w:r>
    </w:p>
    <w:p>
      <w:r>
        <w:rPr>
          <w:b/>
        </w:rPr>
        <w:t xml:space="preserve">22 </w:t>
      </w:r>
      <w:r>
        <w:t xml:space="preserve">And the people left in the land of Judah, whom Nebuchadnezzar king of Babylon left, over them he appointed Gedaliah</w:t>
      </w:r>
      <w:r>
        <w:rPr>
          <w:rStyle w:val="FootnoteReference"/>
        </w:rPr>
        <w:footnoteReference w:id="7664"/>
      </w:r>
      <w:r>
        <w:t xml:space="preserve"> son of Ahikam son of Shaphan.</w:t>
      </w:r>
      <w:r>
        <w:rPr>
          <w:rStyle w:val="FootnoteReference"/>
        </w:rPr>
        <w:footnoteReference w:id="7665"/>
      </w:r>
    </w:p>
    <w:p>
      <w:r>
        <w:rPr>
          <w:b/>
        </w:rPr>
        <w:t xml:space="preserve">23 </w:t>
      </w:r>
      <w:r>
        <w:t xml:space="preserve">And all the commanders of the force, they and their men, heard that the king of Babylon appointed Gedaliah, and they came to Gedaliah at Mizpah</w:t>
      </w:r>
      <w:r>
        <w:rPr>
          <w:rStyle w:val="FootnoteReference"/>
        </w:rPr>
        <w:footnoteReference w:id="7666"/>
      </w:r>
      <w:r>
        <w:t xml:space="preserve">, even Ishmael son of Nethaniah</w:t>
      </w:r>
      <w:r>
        <w:rPr>
          <w:rStyle w:val="FootnoteReference"/>
        </w:rPr>
        <w:footnoteReference w:id="7667"/>
      </w:r>
      <w:r>
        <w:t xml:space="preserve"> and Johanan</w:t>
      </w:r>
      <w:r>
        <w:rPr>
          <w:rStyle w:val="FootnoteReference"/>
        </w:rPr>
        <w:footnoteReference w:id="7668"/>
      </w:r>
      <w:r>
        <w:t xml:space="preserve"> son of Careah</w:t>
      </w:r>
      <w:r>
        <w:rPr>
          <w:rStyle w:val="FootnoteReference"/>
        </w:rPr>
        <w:footnoteReference w:id="7669"/>
      </w:r>
      <w:r>
        <w:t xml:space="preserve"> and Seraiah son of Tanhumeth</w:t>
      </w:r>
      <w:r>
        <w:rPr>
          <w:rStyle w:val="FootnoteReference"/>
        </w:rPr>
        <w:footnoteReference w:id="7670"/>
      </w:r>
      <w:r>
        <w:t xml:space="preserve"> the Netophathite and Iezonias son of the Maachathite, they and their men.</w:t>
      </w:r>
      <w:r>
        <w:rPr>
          <w:rStyle w:val="FootnoteReference"/>
        </w:rPr>
        <w:footnoteReference w:id="7671"/>
      </w:r>
    </w:p>
    <w:p>
      <w:r>
        <w:rPr>
          <w:b/>
        </w:rPr>
        <w:t xml:space="preserve">24 </w:t>
      </w:r>
      <w:r>
        <w:t xml:space="preserve">And Gedaliah swore to them and to their men and said to them, Do not fear the servants of the Chaldeans. Dwell in the land and serve the king of Babylon, and it will be well for you.</w:t>
      </w:r>
    </w:p>
    <w:p>
      <w:r>
        <w:rPr>
          <w:b/>
        </w:rPr>
        <w:t xml:space="preserve">25 </w:t>
      </w:r>
      <w:r>
        <w:t xml:space="preserve">And it came to be in the seventh</w:t>
      </w:r>
      <w:r>
        <w:rPr>
          <w:rStyle w:val="FootnoteReference"/>
        </w:rPr>
        <w:footnoteReference w:id="7672"/>
      </w:r>
      <w:r>
        <w:t xml:space="preserve"> month, Ishmael son of Nethaniah son of Elishama from the seed of the kings, and ten men with him, came and struck Gedaliah, and he died, and also the Judeans and the Chaldeans who were with him at Mizpah.</w:t>
      </w:r>
      <w:r>
        <w:rPr>
          <w:rStyle w:val="FootnoteReference"/>
        </w:rPr>
        <w:footnoteReference w:id="7673"/>
      </w:r>
    </w:p>
    <w:p>
      <w:r>
        <w:rPr>
          <w:b/>
        </w:rPr>
        <w:t xml:space="preserve">26 </w:t>
      </w:r>
      <w:r>
        <w:t xml:space="preserve">And all the people rose, from small to great, and the commanders of the forces, and they entered into Egypt, because they feared from before the Chaldeans.</w:t>
      </w:r>
    </w:p>
    <w:p>
      <w:r>
        <w:rPr>
          <w:b/>
        </w:rPr>
        <w:t xml:space="preserve">27 </w:t>
      </w:r>
      <w:r>
        <w:t xml:space="preserve">And it came to be in the thirty-seventh year of the exile of Joakim king of Judah, in the twelfth month, on the twenty-seventh day of the month, Evilmerodach</w:t>
      </w:r>
      <w:r>
        <w:rPr>
          <w:rStyle w:val="FootnoteReference"/>
        </w:rPr>
        <w:footnoteReference w:id="7674"/>
      </w:r>
      <w:r>
        <w:t xml:space="preserve"> king of Babylon</w:t>
      </w:r>
      <w:r>
        <w:rPr>
          <w:rStyle w:val="FootnoteReference"/>
        </w:rPr>
        <w:footnoteReference w:id="7675"/>
      </w:r>
      <w:r>
        <w:t xml:space="preserve">, in the year of his reign, lifted up the head</w:t>
      </w:r>
      <w:r>
        <w:rPr>
          <w:rStyle w:val="FootnoteReference"/>
        </w:rPr>
        <w:footnoteReference w:id="7676"/>
      </w:r>
      <w:r>
        <w:t xml:space="preserve"> of Joakim king of Judah from prison.</w:t>
      </w:r>
    </w:p>
    <w:p>
      <w:r>
        <w:rPr>
          <w:b/>
        </w:rPr>
        <w:t xml:space="preserve">28 </w:t>
      </w:r>
      <w:r>
        <w:t xml:space="preserve">And he spoke good things with him and gave his throne above the thrones of the kings who were with him in Babylon.</w:t>
      </w:r>
    </w:p>
    <w:p>
      <w:r>
        <w:rPr>
          <w:b/>
        </w:rPr>
        <w:t xml:space="preserve">29 </w:t>
      </w:r>
      <w:r>
        <w:t xml:space="preserve">And he changed</w:t>
      </w:r>
      <w:r>
        <w:rPr>
          <w:rStyle w:val="FootnoteReference"/>
        </w:rPr>
        <w:footnoteReference w:id="7677"/>
      </w:r>
      <w:r>
        <w:t xml:space="preserve"> the garments of his prison, and he ate bread continually before him all the days of his life.</w:t>
      </w:r>
    </w:p>
    <w:p>
      <w:r>
        <w:rPr>
          <w:b/>
        </w:rPr>
        <w:t xml:space="preserve">30 </w:t>
      </w:r>
      <w:r>
        <w:t xml:space="preserve">And his allowance, a continual allowance</w:t>
      </w:r>
      <w:r>
        <w:rPr>
          <w:rStyle w:val="FootnoteReference"/>
        </w:rPr>
        <w:footnoteReference w:id="7678"/>
      </w:r>
      <w:r>
        <w:t xml:space="preserve">, was given to him from the king's house, a day's portion on its day, all the days of his life</w:t>
      </w:r>
      <w:r>
        <w:rPr>
          <w:rStyle w:val="FootnoteReference"/>
        </w:rPr>
        <w:footnoteReference w:id="7679"/>
      </w:r>
      <w:r>
        <w:t xml:space="preserve">.</w:t>
      </w:r>
    </w:p>
    <w:p>
      <w:r>
        <w:br w:type="page"/>
      </w:r>
    </w:p>
    <w:p>
      <w:pPr>
        <w:pStyle w:val="Heading1"/>
      </w:pPr>
      <w:r>
        <w:t xml:space="preserve">1 Chronicles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Adam, Seth, Enos,</w:t>
      </w:r>
    </w:p>
    <w:p>
      <w:r>
        <w:rPr>
          <w:b/>
        </w:rPr>
        <w:t xml:space="preserve">2 </w:t>
      </w:r>
      <w:r>
        <w:t xml:space="preserve">Kenan</w:t>
      </w:r>
      <w:r>
        <w:rPr>
          <w:rStyle w:val="FootnoteReference"/>
        </w:rPr>
        <w:footnoteReference w:id="7680"/>
      </w:r>
      <w:r>
        <w:t xml:space="preserve">, Mahalaleel, Jared,</w:t>
      </w:r>
    </w:p>
    <w:p>
      <w:r>
        <w:rPr>
          <w:b/>
        </w:rPr>
        <w:t xml:space="preserve">3 </w:t>
      </w:r>
      <w:r>
        <w:t xml:space="preserve">Enoch, Methuselah</w:t>
      </w:r>
      <w:r>
        <w:rPr>
          <w:rStyle w:val="FootnoteReference"/>
        </w:rPr>
        <w:footnoteReference w:id="7681"/>
      </w:r>
      <w:r>
        <w:t xml:space="preserve">, Lamech,</w:t>
      </w:r>
    </w:p>
    <w:p>
      <w:r>
        <w:rPr>
          <w:b/>
        </w:rPr>
        <w:t xml:space="preserve">4 </w:t>
      </w:r>
      <w:r>
        <w:t xml:space="preserve">Noah</w:t>
      </w:r>
      <w:r>
        <w:rPr>
          <w:rStyle w:val="FootnoteReference"/>
        </w:rPr>
        <w:footnoteReference w:id="7682"/>
      </w:r>
      <w:r>
        <w:t xml:space="preserve">. Sons of Noah: Shem, Ham, Japheth.</w:t>
      </w:r>
    </w:p>
    <w:p>
      <w:r>
        <w:rPr>
          <w:b/>
        </w:rPr>
        <w:t xml:space="preserve">5 </w:t>
      </w:r>
      <w:r>
        <w:t xml:space="preserve">Sons of Japheth: Gomer, Magog, Madai, Javan, Elishah, Tubal, Meshech, and Tiras.</w:t>
      </w:r>
    </w:p>
    <w:p>
      <w:r>
        <w:rPr>
          <w:b/>
        </w:rPr>
        <w:t xml:space="preserve">6 </w:t>
      </w:r>
      <w:r>
        <w:t xml:space="preserve">Sons of Gomer: Ashkenaz, Riphath, and Togarmah.</w:t>
      </w:r>
    </w:p>
    <w:p>
      <w:r>
        <w:rPr>
          <w:b/>
        </w:rPr>
        <w:t xml:space="preserve">7 </w:t>
      </w:r>
      <w:r>
        <w:t xml:space="preserve">Sons of Javan: Elishah, Tarshish</w:t>
      </w:r>
      <w:r>
        <w:rPr>
          <w:rStyle w:val="FootnoteReference"/>
        </w:rPr>
        <w:footnoteReference w:id="7683"/>
      </w:r>
      <w:r>
        <w:t xml:space="preserve">, Kittim, and Rhodioi.</w:t>
      </w:r>
    </w:p>
    <w:p>
      <w:r>
        <w:rPr>
          <w:b/>
        </w:rPr>
        <w:t xml:space="preserve">8 </w:t>
      </w:r>
      <w:r>
        <w:t xml:space="preserve">Sons of Ham: Cush, Mestraim, Phut, and Canaan.</w:t>
      </w:r>
    </w:p>
    <w:p>
      <w:r>
        <w:rPr>
          <w:b/>
        </w:rPr>
        <w:t xml:space="preserve">9 </w:t>
      </w:r>
      <w:r>
        <w:t xml:space="preserve">Sons of Cush: Sheba, Havilah, Sabta</w:t>
      </w:r>
      <w:r>
        <w:rPr>
          <w:rStyle w:val="FootnoteReference"/>
        </w:rPr>
        <w:footnoteReference w:id="7684"/>
      </w:r>
      <w:r>
        <w:t xml:space="preserve">, Raamah, and Sebekatha. Sons of Raamah: Sheba and Oudadan.</w:t>
      </w:r>
    </w:p>
    <w:p>
      <w:r>
        <w:rPr>
          <w:b/>
        </w:rPr>
        <w:t xml:space="preserve">10 </w:t>
      </w:r>
      <w:r>
        <w:t xml:space="preserve">And Cush begot Nimrod. This one began to be a giant hunter upon the earth.</w:t>
      </w:r>
    </w:p>
    <w:p>
      <w:r>
        <w:rPr>
          <w:b/>
        </w:rPr>
        <w:t xml:space="preserve">17 </w:t>
      </w:r>
      <w:r>
        <w:t xml:space="preserve">Sons of Shem</w:t>
      </w:r>
      <w:r>
        <w:rPr>
          <w:rStyle w:val="FootnoteReference"/>
        </w:rPr>
        <w:footnoteReference w:id="7685"/>
      </w:r>
      <w:r>
        <w:t xml:space="preserve">: Elam and Asshur and Arphaxad.</w:t>
      </w:r>
      <w:r>
        <w:rPr>
          <w:rStyle w:val="FootnoteReference"/>
        </w:rPr>
        <w:footnoteReference w:id="7686"/>
      </w:r>
    </w:p>
    <w:p>
      <w:r>
        <w:rPr>
          <w:b/>
        </w:rPr>
        <w:t xml:space="preserve">24 </w:t>
      </w:r>
      <w:r>
        <w:t xml:space="preserve">Shelah</w:t>
      </w:r>
      <w:r>
        <w:rPr>
          <w:rStyle w:val="FootnoteReference"/>
        </w:rPr>
        <w:footnoteReference w:id="7687"/>
      </w:r>
      <w:r>
        <w:t xml:space="preserve">.</w:t>
      </w:r>
      <w:r>
        <w:rPr>
          <w:rStyle w:val="FootnoteReference"/>
        </w:rPr>
        <w:footnoteReference w:id="7688"/>
      </w:r>
    </w:p>
    <w:p>
      <w:r>
        <w:rPr>
          <w:b/>
        </w:rPr>
        <w:t xml:space="preserve">25 </w:t>
      </w:r>
      <w:r>
        <w:t xml:space="preserve">Eber</w:t>
      </w:r>
      <w:r>
        <w:rPr>
          <w:rStyle w:val="FootnoteReference"/>
        </w:rPr>
        <w:footnoteReference w:id="7689"/>
      </w:r>
      <w:r>
        <w:t xml:space="preserve">, Peleg, Reu,</w:t>
      </w:r>
    </w:p>
    <w:p>
      <w:r>
        <w:rPr>
          <w:b/>
        </w:rPr>
        <w:t xml:space="preserve">26 </w:t>
      </w:r>
      <w:r>
        <w:t xml:space="preserve">Serug</w:t>
      </w:r>
      <w:r>
        <w:rPr>
          <w:rStyle w:val="FootnoteReference"/>
        </w:rPr>
        <w:footnoteReference w:id="7690"/>
      </w:r>
      <w:r>
        <w:t xml:space="preserve">, Nahor, Terah,</w:t>
      </w:r>
    </w:p>
    <w:p>
      <w:r>
        <w:rPr>
          <w:b/>
        </w:rPr>
        <w:t xml:space="preserve">27 </w:t>
      </w:r>
      <w:r>
        <w:t xml:space="preserve">Abraham.</w:t>
      </w:r>
    </w:p>
    <w:p>
      <w:r>
        <w:rPr>
          <w:b/>
        </w:rPr>
        <w:t xml:space="preserve">28 </w:t>
      </w:r>
      <w:r>
        <w:t xml:space="preserve">And sons of Abraham: Isaac</w:t>
      </w:r>
      <w:r>
        <w:rPr>
          <w:rStyle w:val="FootnoteReference"/>
        </w:rPr>
        <w:footnoteReference w:id="7691"/>
      </w:r>
      <w:r>
        <w:t xml:space="preserve"> and Ishmael.</w:t>
      </w:r>
    </w:p>
    <w:p>
      <w:r>
        <w:rPr>
          <w:b/>
        </w:rPr>
        <w:t xml:space="preserve">29 </w:t>
      </w:r>
      <w:r>
        <w:t xml:space="preserve">And these are their generations: Nebajoth the firstborn</w:t>
      </w:r>
      <w:r>
        <w:rPr>
          <w:rStyle w:val="FootnoteReference"/>
        </w:rPr>
        <w:footnoteReference w:id="7692"/>
      </w:r>
      <w:r>
        <w:t xml:space="preserve"> of Ishmael, and Kedar, Adbeel, Mibsam,</w:t>
      </w:r>
    </w:p>
    <w:p>
      <w:r>
        <w:rPr>
          <w:b/>
        </w:rPr>
        <w:t xml:space="preserve">30 </w:t>
      </w:r>
      <w:r>
        <w:t xml:space="preserve">Massa, Idouma, Massa, Hadad</w:t>
      </w:r>
      <w:r>
        <w:rPr>
          <w:rStyle w:val="FootnoteReference"/>
        </w:rPr>
        <w:footnoteReference w:id="7693"/>
      </w:r>
      <w:r>
        <w:t xml:space="preserve">, Teman,</w:t>
      </w:r>
    </w:p>
    <w:p>
      <w:r>
        <w:rPr>
          <w:b/>
        </w:rPr>
        <w:t xml:space="preserve">31 </w:t>
      </w:r>
      <w:r>
        <w:t xml:space="preserve">Jetur</w:t>
      </w:r>
      <w:r>
        <w:rPr>
          <w:rStyle w:val="FootnoteReference"/>
        </w:rPr>
        <w:footnoteReference w:id="7694"/>
      </w:r>
      <w:r>
        <w:t xml:space="preserve">, Naphish, and Kedemah. These are sons of Ishmael.</w:t>
      </w:r>
    </w:p>
    <w:p>
      <w:r>
        <w:rPr>
          <w:b/>
        </w:rPr>
        <w:t xml:space="preserve">32 </w:t>
      </w:r>
      <w:r>
        <w:t xml:space="preserve">And sons of Keturah, concubine of Abraham, and she bore to him Zimran, Jokshan, Medan, Midian</w:t>
      </w:r>
      <w:r>
        <w:rPr>
          <w:rStyle w:val="FootnoteReference"/>
        </w:rPr>
        <w:footnoteReference w:id="7695"/>
      </w:r>
      <w:r>
        <w:t xml:space="preserve">, Ishbak, Soe. And sons of Jokshan: Sheba and Dedan.</w:t>
      </w:r>
    </w:p>
    <w:p>
      <w:r>
        <w:rPr>
          <w:b/>
        </w:rPr>
        <w:t xml:space="preserve">33 </w:t>
      </w:r>
      <w:r>
        <w:t xml:space="preserve">And sons of Midian: Ephah</w:t>
      </w:r>
      <w:r>
        <w:rPr>
          <w:rStyle w:val="FootnoteReference"/>
        </w:rPr>
        <w:footnoteReference w:id="7696"/>
      </w:r>
      <w:r>
        <w:t xml:space="preserve">, Hepher, Enoch, Abida</w:t>
      </w:r>
      <w:r>
        <w:rPr>
          <w:rStyle w:val="FootnoteReference"/>
        </w:rPr>
        <w:footnoteReference w:id="7697"/>
      </w:r>
      <w:r>
        <w:t xml:space="preserve">, and Eldaah. All these were sons of Keturah.</w:t>
      </w:r>
    </w:p>
    <w:p>
      <w:r>
        <w:rPr>
          <w:b/>
        </w:rPr>
        <w:t xml:space="preserve">34 </w:t>
      </w:r>
      <w:r>
        <w:t xml:space="preserve">And Abraham</w:t>
      </w:r>
      <w:r>
        <w:rPr>
          <w:rStyle w:val="FootnoteReference"/>
        </w:rPr>
        <w:footnoteReference w:id="7698"/>
      </w:r>
      <w:r>
        <w:t xml:space="preserve"> begot Isaac. Sons of Isaac: Esau and Jacob.</w:t>
      </w:r>
      <w:r>
        <w:rPr>
          <w:rStyle w:val="FootnoteReference"/>
        </w:rPr>
        <w:footnoteReference w:id="7699"/>
      </w:r>
    </w:p>
    <w:p>
      <w:r>
        <w:rPr>
          <w:b/>
        </w:rPr>
        <w:t xml:space="preserve">35 </w:t>
      </w:r>
      <w:r>
        <w:t xml:space="preserve">Sons of Esau</w:t>
      </w:r>
      <w:r>
        <w:rPr>
          <w:rStyle w:val="FootnoteReference"/>
        </w:rPr>
        <w:footnoteReference w:id="7700"/>
      </w:r>
      <w:r>
        <w:t xml:space="preserve">: Eliphaz, Reuel, Ieoul, Ieglom, and Kore.</w:t>
      </w:r>
    </w:p>
    <w:p>
      <w:r>
        <w:rPr>
          <w:b/>
        </w:rPr>
        <w:t xml:space="preserve">36 </w:t>
      </w:r>
      <w:r>
        <w:t xml:space="preserve">Sons of Eliphaz: Teman</w:t>
      </w:r>
      <w:r>
        <w:rPr>
          <w:rStyle w:val="FootnoteReference"/>
        </w:rPr>
        <w:footnoteReference w:id="7701"/>
      </w:r>
      <w:r>
        <w:t xml:space="preserve">, Omar, Zephi, Gatam, Kenaz, and from Timnah, Amalek.</w:t>
      </w:r>
    </w:p>
    <w:p>
      <w:r>
        <w:rPr>
          <w:b/>
        </w:rPr>
        <w:t xml:space="preserve">37 </w:t>
      </w:r>
      <w:r>
        <w:t xml:space="preserve">And sons of Reuel</w:t>
      </w:r>
      <w:r>
        <w:rPr>
          <w:rStyle w:val="FootnoteReference"/>
        </w:rPr>
        <w:footnoteReference w:id="7702"/>
      </w:r>
      <w:r>
        <w:t xml:space="preserve">: Nahath, Zerah, Some, and Mizzah.</w:t>
      </w:r>
    </w:p>
    <w:p>
      <w:r>
        <w:rPr>
          <w:b/>
        </w:rPr>
        <w:t xml:space="preserve">38 </w:t>
      </w:r>
      <w:r>
        <w:t xml:space="preserve">Sons of Seir: Lotan, Shobal, Zibeon, Anah, Dishon, Ezer, and Dishan.</w:t>
      </w:r>
    </w:p>
    <w:p>
      <w:r>
        <w:rPr>
          <w:b/>
        </w:rPr>
        <w:t xml:space="preserve">39 </w:t>
      </w:r>
      <w:r>
        <w:t xml:space="preserve">And sons of Lotan: Horites and Heman, and Elath and Namna.</w:t>
      </w:r>
    </w:p>
    <w:p>
      <w:r>
        <w:rPr>
          <w:b/>
        </w:rPr>
        <w:t xml:space="preserve">40 </w:t>
      </w:r>
      <w:r>
        <w:t xml:space="preserve">Sons of Shobal: Alian</w:t>
      </w:r>
      <w:r>
        <w:rPr>
          <w:rStyle w:val="FootnoteReference"/>
        </w:rPr>
        <w:footnoteReference w:id="7703"/>
      </w:r>
      <w:r>
        <w:t xml:space="preserve">, Manahath, Ebal, Shephi</w:t>
      </w:r>
      <w:r>
        <w:rPr>
          <w:rStyle w:val="FootnoteReference"/>
        </w:rPr>
        <w:footnoteReference w:id="7704"/>
      </w:r>
      <w:r>
        <w:t xml:space="preserve">, and Onam. And sons of Zibeon: Aiah and Anah.</w:t>
      </w:r>
      <w:r>
        <w:rPr>
          <w:rStyle w:val="FootnoteReference"/>
        </w:rPr>
        <w:footnoteReference w:id="7705"/>
      </w:r>
    </w:p>
    <w:p>
      <w:r>
        <w:rPr>
          <w:b/>
        </w:rPr>
        <w:t xml:space="preserve">41 </w:t>
      </w:r>
      <w:r>
        <w:t xml:space="preserve">Sons of Anah: Dishan. Sons of Dishan: Emeron, Eshban, Ithran, and Haran.</w:t>
      </w:r>
    </w:p>
    <w:p>
      <w:r>
        <w:rPr>
          <w:b/>
        </w:rPr>
        <w:t xml:space="preserve">42 </w:t>
      </w:r>
      <w:r>
        <w:t xml:space="preserve">And sons of Ezer: Bilhan</w:t>
      </w:r>
      <w:r>
        <w:rPr>
          <w:rStyle w:val="FootnoteReference"/>
        </w:rPr>
        <w:footnoteReference w:id="7706"/>
      </w:r>
      <w:r>
        <w:t xml:space="preserve">, Zoukan, and Jakan</w:t>
      </w:r>
      <w:r>
        <w:rPr>
          <w:rStyle w:val="FootnoteReference"/>
        </w:rPr>
        <w:footnoteReference w:id="7707"/>
      </w:r>
      <w:r>
        <w:t xml:space="preserve">. Sons of Dishan also: Os and Haran.</w:t>
      </w:r>
      <w:r>
        <w:rPr>
          <w:rStyle w:val="FootnoteReference"/>
        </w:rPr>
        <w:footnoteReference w:id="7708"/>
      </w:r>
    </w:p>
    <w:p>
      <w:r>
        <w:rPr>
          <w:b/>
        </w:rPr>
        <w:t xml:space="preserve">43 </w:t>
      </w:r>
      <w:r>
        <w:t xml:space="preserve">And these were their kings: Balak son of Beor, and the name of his city was Dinhabah.</w:t>
      </w:r>
    </w:p>
    <w:p>
      <w:r>
        <w:rPr>
          <w:b/>
        </w:rPr>
        <w:t xml:space="preserve">44 </w:t>
      </w:r>
      <w:r>
        <w:t xml:space="preserve">And Balak died, and Jobab son of Zerah from Bozrah</w:t>
      </w:r>
      <w:r>
        <w:rPr>
          <w:rStyle w:val="FootnoteReference"/>
        </w:rPr>
        <w:footnoteReference w:id="7709"/>
      </w:r>
      <w:r>
        <w:t xml:space="preserve"> reigned in his place.</w:t>
      </w:r>
    </w:p>
    <w:p>
      <w:r>
        <w:rPr>
          <w:b/>
        </w:rPr>
        <w:t xml:space="preserve">45 </w:t>
      </w:r>
      <w:r>
        <w:t xml:space="preserve">And Jobab</w:t>
      </w:r>
      <w:r>
        <w:rPr>
          <w:rStyle w:val="FootnoteReference"/>
        </w:rPr>
        <w:footnoteReference w:id="7710"/>
      </w:r>
      <w:r>
        <w:t xml:space="preserve"> died, and Husham from the land of the Temanites reigned in his place.</w:t>
      </w:r>
    </w:p>
    <w:p>
      <w:r>
        <w:rPr>
          <w:b/>
        </w:rPr>
        <w:t xml:space="preserve">46 </w:t>
      </w:r>
      <w:r>
        <w:t xml:space="preserve">And Husham died, and Hadad</w:t>
      </w:r>
      <w:r>
        <w:rPr>
          <w:rStyle w:val="FootnoteReference"/>
        </w:rPr>
        <w:footnoteReference w:id="7711"/>
      </w:r>
      <w:r>
        <w:t xml:space="preserve"> son of Bedad, who struck Midian in the plain of Moab, reigned in his place, and the name of his city was Gittaim.</w:t>
      </w:r>
    </w:p>
    <w:p>
      <w:r>
        <w:rPr>
          <w:b/>
        </w:rPr>
        <w:t xml:space="preserve">47 </w:t>
      </w:r>
      <w:r>
        <w:t xml:space="preserve">And Hadad died, and Samlah</w:t>
      </w:r>
      <w:r>
        <w:rPr>
          <w:rStyle w:val="FootnoteReference"/>
        </w:rPr>
        <w:footnoteReference w:id="7712"/>
      </w:r>
      <w:r>
        <w:t xml:space="preserve"> from Masrekah reigned in his place.</w:t>
      </w:r>
    </w:p>
    <w:p>
      <w:r>
        <w:rPr>
          <w:b/>
        </w:rPr>
        <w:t xml:space="preserve">48 </w:t>
      </w:r>
      <w:r>
        <w:t xml:space="preserve">And Samlah died, and Saul from Rehoboth by the river reigned in his place.</w:t>
      </w:r>
    </w:p>
    <w:p>
      <w:r>
        <w:rPr>
          <w:b/>
        </w:rPr>
        <w:t xml:space="preserve">49 </w:t>
      </w:r>
      <w:r>
        <w:t xml:space="preserve">And Saul died, and Baal-hanan son of Achbor</w:t>
      </w:r>
      <w:r>
        <w:rPr>
          <w:rStyle w:val="FootnoteReference"/>
        </w:rPr>
        <w:footnoteReference w:id="7713"/>
      </w:r>
      <w:r>
        <w:t xml:space="preserve"> reigned in his place.</w:t>
      </w:r>
    </w:p>
    <w:p>
      <w:r>
        <w:rPr>
          <w:b/>
        </w:rPr>
        <w:t xml:space="preserve">50 </w:t>
      </w:r>
      <w:r>
        <w:t xml:space="preserve">And Baal-hanan son of Achbor died, and Hadad</w:t>
      </w:r>
      <w:r>
        <w:rPr>
          <w:rStyle w:val="FootnoteReference"/>
        </w:rPr>
        <w:footnoteReference w:id="7714"/>
      </w:r>
      <w:r>
        <w:t xml:space="preserve"> son of Bedad reigned in his place, and the name of his city was Peor.</w:t>
      </w:r>
    </w:p>
    <w:p>
      <w:r>
        <w:rPr>
          <w:b/>
        </w:rPr>
        <w:t xml:space="preserve">51 </w:t>
      </w:r>
      <w:r>
        <w:t xml:space="preserve">And Hadad died, and the chiefs of Edom were: chief Timnah, chief Alvah, chief Jetheth</w:t>
      </w:r>
      <w:r>
        <w:rPr>
          <w:rStyle w:val="FootnoteReference"/>
        </w:rPr>
        <w:footnoteReference w:id="7715"/>
      </w:r>
      <w:r>
        <w:t xml:space="preserve">,</w:t>
      </w:r>
    </w:p>
    <w:p>
      <w:r>
        <w:rPr>
          <w:b/>
        </w:rPr>
        <w:t xml:space="preserve">52 </w:t>
      </w:r>
      <w:r>
        <w:t xml:space="preserve">chief Elibamas, chief Elas, chief Pinon,</w:t>
      </w:r>
    </w:p>
    <w:p>
      <w:r>
        <w:rPr>
          <w:b/>
        </w:rPr>
        <w:t xml:space="preserve">53 </w:t>
      </w:r>
      <w:r>
        <w:t xml:space="preserve">chief Kenaz</w:t>
      </w:r>
      <w:r>
        <w:rPr>
          <w:rStyle w:val="FootnoteReference"/>
        </w:rPr>
        <w:footnoteReference w:id="7716"/>
      </w:r>
      <w:r>
        <w:t xml:space="preserve">, chief Teman, chief Mabsar,</w:t>
      </w:r>
    </w:p>
    <w:p>
      <w:r>
        <w:rPr>
          <w:b/>
        </w:rPr>
        <w:t xml:space="preserve">54 </w:t>
      </w:r>
      <w:r>
        <w:t xml:space="preserve">chief Magdiel, chief Iram</w:t>
      </w:r>
      <w:r>
        <w:rPr>
          <w:rStyle w:val="FootnoteReference"/>
        </w:rPr>
        <w:footnoteReference w:id="7717"/>
      </w:r>
      <w:r>
        <w:t xml:space="preserve">. These were chiefs of Edom.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These are names of the sons of Israel</w:t>
      </w:r>
      <w:r>
        <w:rPr>
          <w:rStyle w:val="FootnoteReference"/>
        </w:rPr>
        <w:footnoteReference w:id="7718"/>
      </w:r>
      <w:r>
        <w:t xml:space="preserve">: Reuben, Simeon, Levi, Judah, Issachar, Zebulun,</w:t>
      </w:r>
      <w:r>
        <w:rPr>
          <w:rStyle w:val="FootnoteReference"/>
        </w:rPr>
        <w:footnoteReference w:id="7719"/>
      </w:r>
    </w:p>
    <w:p>
      <w:r>
        <w:rPr>
          <w:b/>
        </w:rPr>
        <w:t xml:space="preserve">2 </w:t>
      </w:r>
      <w:r>
        <w:t xml:space="preserve">Dan, Joseph</w:t>
      </w:r>
      <w:r>
        <w:rPr>
          <w:rStyle w:val="FootnoteReference"/>
        </w:rPr>
        <w:footnoteReference w:id="7720"/>
      </w:r>
      <w:r>
        <w:t xml:space="preserve">, Benjamin, Naphtali, Gad, Asher.</w:t>
      </w:r>
      <w:r>
        <w:rPr>
          <w:rStyle w:val="FootnoteReference"/>
        </w:rPr>
        <w:footnoteReference w:id="7721"/>
      </w:r>
    </w:p>
    <w:p>
      <w:r>
        <w:rPr>
          <w:b/>
        </w:rPr>
        <w:t xml:space="preserve">3 </w:t>
      </w:r>
      <w:r>
        <w:t xml:space="preserve">Sons of Judah: Er, Onan, Shallum. These three were born to him from the daughter of Shua the Canaanite. And Er, firstborn of Judah, was evil before the Lord, and he put him to death.</w:t>
      </w:r>
    </w:p>
    <w:p>
      <w:r>
        <w:rPr>
          <w:b/>
        </w:rPr>
        <w:t xml:space="preserve">4 </w:t>
      </w:r>
      <w:r>
        <w:t xml:space="preserve">And Tamar</w:t>
      </w:r>
      <w:r>
        <w:rPr>
          <w:rStyle w:val="FootnoteReference"/>
        </w:rPr>
        <w:footnoteReference w:id="7722"/>
      </w:r>
      <w:r>
        <w:t xml:space="preserve"> his bride bore to him Perez and Zerah. All sons of Judah were five.</w:t>
      </w:r>
    </w:p>
    <w:p>
      <w:r>
        <w:rPr>
          <w:b/>
        </w:rPr>
        <w:t xml:space="preserve">5 </w:t>
      </w:r>
      <w:r>
        <w:t xml:space="preserve">Sons of Perez: Hezron</w:t>
      </w:r>
      <w:r>
        <w:rPr>
          <w:rStyle w:val="FootnoteReference"/>
        </w:rPr>
        <w:footnoteReference w:id="7723"/>
      </w:r>
      <w:r>
        <w:t xml:space="preserve"> and Hamul</w:t>
      </w:r>
      <w:r>
        <w:rPr>
          <w:rStyle w:val="FootnoteReference"/>
        </w:rPr>
        <w:footnoteReference w:id="7724"/>
      </w:r>
      <w:r>
        <w:t xml:space="preserve">.</w:t>
      </w:r>
    </w:p>
    <w:p>
      <w:r>
        <w:rPr>
          <w:b/>
        </w:rPr>
        <w:t xml:space="preserve">6 </w:t>
      </w:r>
      <w:r>
        <w:t xml:space="preserve">And sons of Zerah: Zimri</w:t>
      </w:r>
      <w:r>
        <w:rPr>
          <w:rStyle w:val="FootnoteReference"/>
        </w:rPr>
        <w:footnoteReference w:id="7725"/>
      </w:r>
      <w:r>
        <w:t xml:space="preserve">, Ethan, Heman, Calcol</w:t>
      </w:r>
      <w:r>
        <w:rPr>
          <w:rStyle w:val="FootnoteReference"/>
        </w:rPr>
        <w:footnoteReference w:id="7726"/>
      </w:r>
      <w:r>
        <w:t xml:space="preserve">, and Dara</w:t>
      </w:r>
      <w:r>
        <w:rPr>
          <w:rStyle w:val="FootnoteReference"/>
        </w:rPr>
        <w:footnoteReference w:id="7727"/>
      </w:r>
      <w:r>
        <w:t xml:space="preserve">, all five.</w:t>
      </w:r>
    </w:p>
    <w:p>
      <w:r>
        <w:rPr>
          <w:b/>
        </w:rPr>
        <w:t xml:space="preserve">7 </w:t>
      </w:r>
      <w:r>
        <w:t xml:space="preserve">And sons of Carmi</w:t>
      </w:r>
      <w:r>
        <w:rPr>
          <w:rStyle w:val="FootnoteReference"/>
        </w:rPr>
        <w:footnoteReference w:id="7728"/>
      </w:r>
      <w:r>
        <w:t xml:space="preserve">: Achar, the troubler of Israel, who transgressed in the devoted thing.</w:t>
      </w:r>
    </w:p>
    <w:p>
      <w:r>
        <w:rPr>
          <w:b/>
        </w:rPr>
        <w:t xml:space="preserve">8 </w:t>
      </w:r>
      <w:r>
        <w:t xml:space="preserve">And sons of Ethan</w:t>
      </w:r>
      <w:r>
        <w:rPr>
          <w:rStyle w:val="FootnoteReference"/>
        </w:rPr>
        <w:footnoteReference w:id="7729"/>
      </w:r>
      <w:r>
        <w:t xml:space="preserve">: Azariah.</w:t>
      </w:r>
    </w:p>
    <w:p>
      <w:r>
        <w:rPr>
          <w:b/>
        </w:rPr>
        <w:t xml:space="preserve">9 </w:t>
      </w:r>
      <w:r>
        <w:t xml:space="preserve">And sons of Hezron, who were born to him: Jerahmeel</w:t>
      </w:r>
      <w:r>
        <w:rPr>
          <w:rStyle w:val="FootnoteReference"/>
        </w:rPr>
        <w:footnoteReference w:id="7730"/>
      </w:r>
      <w:r>
        <w:t xml:space="preserve">, Ram</w:t>
      </w:r>
      <w:r>
        <w:rPr>
          <w:rStyle w:val="FootnoteReference"/>
        </w:rPr>
        <w:footnoteReference w:id="7731"/>
      </w:r>
      <w:r>
        <w:t xml:space="preserve">, Caleb, and Aram.</w:t>
      </w:r>
      <w:r>
        <w:rPr>
          <w:rStyle w:val="FootnoteReference"/>
        </w:rPr>
        <w:footnoteReference w:id="7732"/>
      </w:r>
    </w:p>
    <w:p>
      <w:r>
        <w:rPr>
          <w:b/>
        </w:rPr>
        <w:t xml:space="preserve">10 </w:t>
      </w:r>
      <w:r>
        <w:t xml:space="preserve">And Aram begot Amminadab</w:t>
      </w:r>
      <w:r>
        <w:rPr>
          <w:rStyle w:val="FootnoteReference"/>
        </w:rPr>
        <w:footnoteReference w:id="7733"/>
      </w:r>
      <w:r>
        <w:t xml:space="preserve">, and Amminadab begot Nahshon, ruler of the house of Judah.</w:t>
      </w:r>
    </w:p>
    <w:p>
      <w:r>
        <w:rPr>
          <w:b/>
        </w:rPr>
        <w:t xml:space="preserve">11 </w:t>
      </w:r>
      <w:r>
        <w:t xml:space="preserve">And Nahshon begot Salmon, and Salmon begot Boaz.</w:t>
      </w:r>
    </w:p>
    <w:p>
      <w:r>
        <w:rPr>
          <w:b/>
        </w:rPr>
        <w:t xml:space="preserve">12 </w:t>
      </w:r>
      <w:r>
        <w:t xml:space="preserve">And Boaz begot Obed, and Obed begot Jesse</w:t>
      </w:r>
      <w:r>
        <w:rPr>
          <w:rStyle w:val="FootnoteReference"/>
        </w:rPr>
        <w:footnoteReference w:id="7734"/>
      </w:r>
      <w:r>
        <w:t xml:space="preserve">.</w:t>
      </w:r>
    </w:p>
    <w:p>
      <w:r>
        <w:rPr>
          <w:b/>
        </w:rPr>
        <w:t xml:space="preserve">13 </w:t>
      </w:r>
      <w:r>
        <w:t xml:space="preserve">And Jesse begot his firstborn</w:t>
      </w:r>
      <w:r>
        <w:rPr>
          <w:rStyle w:val="FootnoteReference"/>
        </w:rPr>
        <w:footnoteReference w:id="7735"/>
      </w:r>
      <w:r>
        <w:t xml:space="preserve"> Eliab, Amminadab the second, Shimma</w:t>
      </w:r>
      <w:r>
        <w:rPr>
          <w:rStyle w:val="FootnoteReference"/>
        </w:rPr>
        <w:footnoteReference w:id="7736"/>
      </w:r>
      <w:r>
        <w:t xml:space="preserve"> the third,</w:t>
      </w:r>
    </w:p>
    <w:p>
      <w:r>
        <w:rPr>
          <w:b/>
        </w:rPr>
        <w:t xml:space="preserve">14 </w:t>
      </w:r>
      <w:r>
        <w:t xml:space="preserve">Nathanael</w:t>
      </w:r>
      <w:r>
        <w:rPr>
          <w:rStyle w:val="FootnoteReference"/>
        </w:rPr>
        <w:footnoteReference w:id="7737"/>
      </w:r>
      <w:r>
        <w:t xml:space="preserve"> the fourth, Raddai</w:t>
      </w:r>
      <w:r>
        <w:rPr>
          <w:rStyle w:val="FootnoteReference"/>
        </w:rPr>
        <w:footnoteReference w:id="7738"/>
      </w:r>
      <w:r>
        <w:t xml:space="preserve"> the fifth,</w:t>
      </w:r>
    </w:p>
    <w:p>
      <w:r>
        <w:rPr>
          <w:b/>
        </w:rPr>
        <w:t xml:space="preserve">15 </w:t>
      </w:r>
      <w:r>
        <w:t xml:space="preserve">Ozem</w:t>
      </w:r>
      <w:r>
        <w:rPr>
          <w:rStyle w:val="FootnoteReference"/>
        </w:rPr>
        <w:footnoteReference w:id="7739"/>
      </w:r>
      <w:r>
        <w:t xml:space="preserve"> the sixth, David</w:t>
      </w:r>
      <w:r>
        <w:rPr>
          <w:rStyle w:val="FootnoteReference"/>
        </w:rPr>
        <w:footnoteReference w:id="7740"/>
      </w:r>
      <w:r>
        <w:t xml:space="preserve"> the seventh.</w:t>
      </w:r>
    </w:p>
    <w:p>
      <w:r>
        <w:rPr>
          <w:b/>
        </w:rPr>
        <w:t xml:space="preserve">16 </w:t>
      </w:r>
      <w:r>
        <w:t xml:space="preserve">And their sisters were Zeruiah and Abigail. And sons of Zeruiah: Abishai, Joab, and Asahel, three.</w:t>
      </w:r>
    </w:p>
    <w:p>
      <w:r>
        <w:rPr>
          <w:b/>
        </w:rPr>
        <w:t xml:space="preserve">17 </w:t>
      </w:r>
      <w:r>
        <w:t xml:space="preserve">And Abigail begot Amasa</w:t>
      </w:r>
      <w:r>
        <w:rPr>
          <w:rStyle w:val="FootnoteReference"/>
        </w:rPr>
        <w:footnoteReference w:id="7741"/>
      </w:r>
      <w:r>
        <w:t xml:space="preserve">, and father of Amasa was Jether</w:t>
      </w:r>
      <w:r>
        <w:rPr>
          <w:rStyle w:val="FootnoteReference"/>
        </w:rPr>
        <w:footnoteReference w:id="7742"/>
      </w:r>
      <w:r>
        <w:t xml:space="preserve"> the Ismaelite.</w:t>
      </w:r>
    </w:p>
    <w:p>
      <w:r>
        <w:rPr>
          <w:b/>
        </w:rPr>
        <w:t xml:space="preserve">18 </w:t>
      </w:r>
      <w:r>
        <w:t xml:space="preserve">And Caleb</w:t>
      </w:r>
      <w:r>
        <w:rPr>
          <w:rStyle w:val="FootnoteReference"/>
        </w:rPr>
        <w:footnoteReference w:id="7743"/>
      </w:r>
      <w:r>
        <w:t xml:space="preserve"> son of Hezron begot with Azubah his wife and Jerioth</w:t>
      </w:r>
      <w:r>
        <w:rPr>
          <w:rStyle w:val="FootnoteReference"/>
        </w:rPr>
        <w:footnoteReference w:id="7744"/>
      </w:r>
      <w:r>
        <w:t xml:space="preserve">. And these were her sons: Jesher</w:t>
      </w:r>
      <w:r>
        <w:rPr>
          <w:rStyle w:val="FootnoteReference"/>
        </w:rPr>
        <w:footnoteReference w:id="7745"/>
      </w:r>
      <w:r>
        <w:t xml:space="preserve">, Shobab, and Araunah.</w:t>
      </w:r>
    </w:p>
    <w:p>
      <w:r>
        <w:rPr>
          <w:b/>
        </w:rPr>
        <w:t xml:space="preserve">19 </w:t>
      </w:r>
      <w:r>
        <w:t xml:space="preserve">And Azubah died, and Caleb took to himself Ephrath</w:t>
      </w:r>
      <w:r>
        <w:rPr>
          <w:rStyle w:val="FootnoteReference"/>
        </w:rPr>
        <w:footnoteReference w:id="7746"/>
      </w:r>
      <w:r>
        <w:t xml:space="preserve">, and she bore to him Or.</w:t>
      </w:r>
      <w:r>
        <w:rPr>
          <w:rStyle w:val="FootnoteReference"/>
        </w:rPr>
        <w:footnoteReference w:id="7747"/>
      </w:r>
    </w:p>
    <w:p>
      <w:r>
        <w:rPr>
          <w:b/>
        </w:rPr>
        <w:t xml:space="preserve">20 </w:t>
      </w:r>
      <w:r>
        <w:t xml:space="preserve">And Or begot Huri, and Huri begot Beseleel.</w:t>
      </w:r>
    </w:p>
    <w:p>
      <w:r>
        <w:rPr>
          <w:b/>
        </w:rPr>
        <w:t xml:space="preserve">21 </w:t>
      </w:r>
      <w:r>
        <w:t xml:space="preserve">And after this Hezron went in to the daughter of Machir</w:t>
      </w:r>
      <w:r>
        <w:rPr>
          <w:rStyle w:val="FootnoteReference"/>
        </w:rPr>
        <w:footnoteReference w:id="7748"/>
      </w:r>
      <w:r>
        <w:t xml:space="preserve"> father of Gilead, and he took her, and he was sixty years old, and she bore to him Segub.</w:t>
      </w:r>
    </w:p>
    <w:p>
      <w:r>
        <w:rPr>
          <w:b/>
        </w:rPr>
        <w:t xml:space="preserve">22 </w:t>
      </w:r>
      <w:r>
        <w:t xml:space="preserve">And Segub begot Jair</w:t>
      </w:r>
      <w:r>
        <w:rPr>
          <w:rStyle w:val="FootnoteReference"/>
        </w:rPr>
        <w:footnoteReference w:id="7749"/>
      </w:r>
      <w:r>
        <w:t xml:space="preserve">, and he had twenty-three cities in Gilead.</w:t>
      </w:r>
    </w:p>
    <w:p>
      <w:r>
        <w:rPr>
          <w:b/>
        </w:rPr>
        <w:t xml:space="preserve">23 </w:t>
      </w:r>
      <w:r>
        <w:t xml:space="preserve">And Geshur</w:t>
      </w:r>
      <w:r>
        <w:rPr>
          <w:rStyle w:val="FootnoteReference"/>
        </w:rPr>
        <w:footnoteReference w:id="7750"/>
      </w:r>
      <w:r>
        <w:t xml:space="preserve"> and Aram took the villages of Jair from them, even Kanath and its villages, sixty cities. All these were sons of Machir father of Gilead.</w:t>
      </w:r>
    </w:p>
    <w:p>
      <w:r>
        <w:rPr>
          <w:b/>
        </w:rPr>
        <w:t xml:space="preserve">24 </w:t>
      </w:r>
      <w:r>
        <w:t xml:space="preserve">And after Hezron died, Caleb came to Ephrathah, and Abijah wife of Hezron bore to him Ashur</w:t>
      </w:r>
      <w:r>
        <w:rPr>
          <w:rStyle w:val="FootnoteReference"/>
        </w:rPr>
        <w:footnoteReference w:id="7751"/>
      </w:r>
      <w:r>
        <w:t xml:space="preserve"> father of Tekoa.</w:t>
      </w:r>
      <w:r>
        <w:rPr>
          <w:rStyle w:val="FootnoteReference"/>
        </w:rPr>
        <w:footnoteReference w:id="7752"/>
      </w:r>
    </w:p>
    <w:p>
      <w:r>
        <w:rPr>
          <w:b/>
        </w:rPr>
        <w:t xml:space="preserve">25 </w:t>
      </w:r>
      <w:r>
        <w:t xml:space="preserve">And sons of Jerahmeel</w:t>
      </w:r>
      <w:r>
        <w:rPr>
          <w:rStyle w:val="FootnoteReference"/>
        </w:rPr>
        <w:footnoteReference w:id="7753"/>
      </w:r>
      <w:r>
        <w:t xml:space="preserve"> firstborn of Hezron were Ram the firstborn, and Baana, and Aran, and Ozem his brother.</w:t>
      </w:r>
    </w:p>
    <w:p>
      <w:r>
        <w:rPr>
          <w:b/>
        </w:rPr>
        <w:t xml:space="preserve">26 </w:t>
      </w:r>
      <w:r>
        <w:t xml:space="preserve">And Jerahmeel had another wife, and her name was Atarah</w:t>
      </w:r>
      <w:r>
        <w:rPr>
          <w:rStyle w:val="FootnoteReference"/>
        </w:rPr>
        <w:footnoteReference w:id="7754"/>
      </w:r>
      <w:r>
        <w:t xml:space="preserve">. She is the mother of Onam.</w:t>
      </w:r>
    </w:p>
    <w:p>
      <w:r>
        <w:rPr>
          <w:b/>
        </w:rPr>
        <w:t xml:space="preserve">27 </w:t>
      </w:r>
      <w:r>
        <w:t xml:space="preserve">And sons of Ram firstborn of Jerahmeel were Maaz</w:t>
      </w:r>
      <w:r>
        <w:rPr>
          <w:rStyle w:val="FootnoteReference"/>
        </w:rPr>
        <w:footnoteReference w:id="7755"/>
      </w:r>
      <w:r>
        <w:t xml:space="preserve">, Jamin, and Eker</w:t>
      </w:r>
      <w:r>
        <w:rPr>
          <w:rStyle w:val="FootnoteReference"/>
        </w:rPr>
        <w:footnoteReference w:id="7756"/>
      </w:r>
      <w:r>
        <w:t xml:space="preserve">.</w:t>
      </w:r>
    </w:p>
    <w:p>
      <w:r>
        <w:rPr>
          <w:b/>
        </w:rPr>
        <w:t xml:space="preserve">28 </w:t>
      </w:r>
      <w:r>
        <w:t xml:space="preserve">And sons of Onam</w:t>
      </w:r>
      <w:r>
        <w:rPr>
          <w:rStyle w:val="FootnoteReference"/>
        </w:rPr>
        <w:footnoteReference w:id="7757"/>
      </w:r>
      <w:r>
        <w:t xml:space="preserve"> were Shammai</w:t>
      </w:r>
      <w:r>
        <w:rPr>
          <w:rStyle w:val="FootnoteReference"/>
        </w:rPr>
        <w:footnoteReference w:id="7758"/>
      </w:r>
      <w:r>
        <w:t xml:space="preserve"> and Jedaiah</w:t>
      </w:r>
      <w:r>
        <w:rPr>
          <w:rStyle w:val="FootnoteReference"/>
        </w:rPr>
        <w:footnoteReference w:id="7759"/>
      </w:r>
      <w:r>
        <w:t xml:space="preserve">. And sons of Shammai: Nadab and Abishur</w:t>
      </w:r>
      <w:r>
        <w:rPr>
          <w:rStyle w:val="FootnoteReference"/>
        </w:rPr>
        <w:footnoteReference w:id="7760"/>
      </w:r>
      <w:r>
        <w:t xml:space="preserve">.</w:t>
      </w:r>
    </w:p>
    <w:p>
      <w:r>
        <w:rPr>
          <w:b/>
        </w:rPr>
        <w:t xml:space="preserve">29 </w:t>
      </w:r>
      <w:r>
        <w:t xml:space="preserve">And the name of the wife of Abishur was Abihail, and she bore to him Achabar and Molid</w:t>
      </w:r>
      <w:r>
        <w:rPr>
          <w:rStyle w:val="FootnoteReference"/>
        </w:rPr>
        <w:footnoteReference w:id="7761"/>
      </w:r>
      <w:r>
        <w:t xml:space="preserve">.</w:t>
      </w:r>
    </w:p>
    <w:p>
      <w:r>
        <w:rPr>
          <w:b/>
        </w:rPr>
        <w:t xml:space="preserve">30 </w:t>
      </w:r>
      <w:r>
        <w:t xml:space="preserve">Sons of Nadab</w:t>
      </w:r>
      <w:r>
        <w:rPr>
          <w:rStyle w:val="FootnoteReference"/>
        </w:rPr>
        <w:footnoteReference w:id="7762"/>
      </w:r>
      <w:r>
        <w:t xml:space="preserve">: Seled</w:t>
      </w:r>
      <w:r>
        <w:rPr>
          <w:rStyle w:val="FootnoteReference"/>
        </w:rPr>
        <w:footnoteReference w:id="7763"/>
      </w:r>
      <w:r>
        <w:t xml:space="preserve"> and Appaim</w:t>
      </w:r>
      <w:r>
        <w:rPr>
          <w:rStyle w:val="FootnoteReference"/>
        </w:rPr>
        <w:footnoteReference w:id="7764"/>
      </w:r>
      <w:r>
        <w:t xml:space="preserve">. And Seled died having no children.</w:t>
      </w:r>
    </w:p>
    <w:p>
      <w:r>
        <w:rPr>
          <w:b/>
        </w:rPr>
        <w:t xml:space="preserve">31 </w:t>
      </w:r>
      <w:r>
        <w:t xml:space="preserve">And sons of Appaim: Ishi</w:t>
      </w:r>
      <w:r>
        <w:rPr>
          <w:rStyle w:val="FootnoteReference"/>
        </w:rPr>
        <w:footnoteReference w:id="7765"/>
      </w:r>
      <w:r>
        <w:t xml:space="preserve">. And sons of Ishi: Sheshan</w:t>
      </w:r>
      <w:r>
        <w:rPr>
          <w:rStyle w:val="FootnoteReference"/>
        </w:rPr>
        <w:footnoteReference w:id="7766"/>
      </w:r>
      <w:r>
        <w:t xml:space="preserve">. And sons of Sheshan: Ahlai</w:t>
      </w:r>
      <w:r>
        <w:rPr>
          <w:rStyle w:val="FootnoteReference"/>
        </w:rPr>
        <w:footnoteReference w:id="7767"/>
      </w:r>
      <w:r>
        <w:t xml:space="preserve">.</w:t>
      </w:r>
    </w:p>
    <w:p>
      <w:r>
        <w:rPr>
          <w:b/>
        </w:rPr>
        <w:t xml:space="preserve">32 </w:t>
      </w:r>
      <w:r>
        <w:t xml:space="preserve">And sons of Jedaiah: Shammai, Jether, and Jonathan. And Jether died having no children.</w:t>
      </w:r>
    </w:p>
    <w:p>
      <w:r>
        <w:rPr>
          <w:b/>
        </w:rPr>
        <w:t xml:space="preserve">33 </w:t>
      </w:r>
      <w:r>
        <w:t xml:space="preserve">And sons of Jonathan: Peleth</w:t>
      </w:r>
      <w:r>
        <w:rPr>
          <w:rStyle w:val="FootnoteReference"/>
        </w:rPr>
        <w:footnoteReference w:id="7768"/>
      </w:r>
      <w:r>
        <w:t xml:space="preserve"> and Zaza</w:t>
      </w:r>
      <w:r>
        <w:rPr>
          <w:rStyle w:val="FootnoteReference"/>
        </w:rPr>
        <w:footnoteReference w:id="7769"/>
      </w:r>
      <w:r>
        <w:t xml:space="preserve">. These were sons of Jerahmeel.</w:t>
      </w:r>
    </w:p>
    <w:p>
      <w:r>
        <w:rPr>
          <w:b/>
        </w:rPr>
        <w:t xml:space="preserve">34 </w:t>
      </w:r>
      <w:r>
        <w:t xml:space="preserve">And Sheshan had no sons</w:t>
      </w:r>
      <w:r>
        <w:rPr>
          <w:rStyle w:val="FootnoteReference"/>
        </w:rPr>
        <w:footnoteReference w:id="7770"/>
      </w:r>
      <w:r>
        <w:t xml:space="preserve">, only daughters. And Sheshan had an Egyptian servant, and his name was Jekuthiel</w:t>
      </w:r>
      <w:r>
        <w:rPr>
          <w:rStyle w:val="FootnoteReference"/>
        </w:rPr>
        <w:footnoteReference w:id="7771"/>
      </w:r>
      <w:r>
        <w:t xml:space="preserve">.</w:t>
      </w:r>
    </w:p>
    <w:p>
      <w:r>
        <w:rPr>
          <w:b/>
        </w:rPr>
        <w:t xml:space="preserve">35 </w:t>
      </w:r>
      <w:r>
        <w:t xml:space="preserve">And Sheshan gave his daughter</w:t>
      </w:r>
      <w:r>
        <w:rPr>
          <w:rStyle w:val="FootnoteReference"/>
        </w:rPr>
        <w:footnoteReference w:id="7772"/>
      </w:r>
      <w:r>
        <w:t xml:space="preserve"> to Jekuthiel his servant for a wife, and she bore to him Attai</w:t>
      </w:r>
      <w:r>
        <w:rPr>
          <w:rStyle w:val="FootnoteReference"/>
        </w:rPr>
        <w:footnoteReference w:id="7773"/>
      </w:r>
      <w:r>
        <w:t xml:space="preserve">.</w:t>
      </w:r>
    </w:p>
    <w:p>
      <w:r>
        <w:rPr>
          <w:b/>
        </w:rPr>
        <w:t xml:space="preserve">36 </w:t>
      </w:r>
      <w:r>
        <w:t xml:space="preserve">And Attai begot Nathan, and Nathan begot Zabad</w:t>
      </w:r>
      <w:r>
        <w:rPr>
          <w:rStyle w:val="FootnoteReference"/>
        </w:rPr>
        <w:footnoteReference w:id="7774"/>
      </w:r>
      <w:r>
        <w:t xml:space="preserve">.</w:t>
      </w:r>
      <w:r>
        <w:rPr>
          <w:rStyle w:val="FootnoteReference"/>
        </w:rPr>
        <w:footnoteReference w:id="7775"/>
      </w:r>
    </w:p>
    <w:p>
      <w:r>
        <w:rPr>
          <w:b/>
        </w:rPr>
        <w:t xml:space="preserve">37 </w:t>
      </w:r>
      <w:r>
        <w:t xml:space="preserve">And Zabad begot Ephlal</w:t>
      </w:r>
      <w:r>
        <w:rPr>
          <w:rStyle w:val="FootnoteReference"/>
        </w:rPr>
        <w:footnoteReference w:id="7776"/>
      </w:r>
      <w:r>
        <w:t xml:space="preserve">, and Ephlal begot Obed</w:t>
      </w:r>
      <w:r>
        <w:rPr>
          <w:rStyle w:val="FootnoteReference"/>
        </w:rPr>
        <w:footnoteReference w:id="7777"/>
      </w:r>
      <w:r>
        <w:t xml:space="preserve">.</w:t>
      </w:r>
    </w:p>
    <w:p>
      <w:r>
        <w:rPr>
          <w:b/>
        </w:rPr>
        <w:t xml:space="preserve">38 </w:t>
      </w:r>
      <w:r>
        <w:t xml:space="preserve">And Obed begot Jehu</w:t>
      </w:r>
      <w:r>
        <w:rPr>
          <w:rStyle w:val="FootnoteReference"/>
        </w:rPr>
        <w:footnoteReference w:id="7778"/>
      </w:r>
      <w:r>
        <w:t xml:space="preserve">, and Jehu begot Azariah.</w:t>
      </w:r>
    </w:p>
    <w:p>
      <w:r>
        <w:rPr>
          <w:b/>
        </w:rPr>
        <w:t xml:space="preserve">39 </w:t>
      </w:r>
      <w:r>
        <w:t xml:space="preserve">And Azariah begot Helez</w:t>
      </w:r>
      <w:r>
        <w:rPr>
          <w:rStyle w:val="FootnoteReference"/>
        </w:rPr>
        <w:footnoteReference w:id="7779"/>
      </w:r>
      <w:r>
        <w:t xml:space="preserve">, and Helez begot Eleasah</w:t>
      </w:r>
      <w:r>
        <w:rPr>
          <w:rStyle w:val="FootnoteReference"/>
        </w:rPr>
        <w:footnoteReference w:id="7780"/>
      </w:r>
      <w:r>
        <w:t xml:space="preserve">.</w:t>
      </w:r>
    </w:p>
    <w:p>
      <w:r>
        <w:rPr>
          <w:b/>
        </w:rPr>
        <w:t xml:space="preserve">40 </w:t>
      </w:r>
      <w:r>
        <w:t xml:space="preserve">And Eleasah begot Sisamai</w:t>
      </w:r>
      <w:r>
        <w:rPr>
          <w:rStyle w:val="FootnoteReference"/>
        </w:rPr>
        <w:footnoteReference w:id="7781"/>
      </w:r>
      <w:r>
        <w:t xml:space="preserve">, and Sisamai begot Shallum</w:t>
      </w:r>
      <w:r>
        <w:rPr>
          <w:rStyle w:val="FootnoteReference"/>
        </w:rPr>
        <w:footnoteReference w:id="7782"/>
      </w:r>
      <w:r>
        <w:t xml:space="preserve">.</w:t>
      </w:r>
    </w:p>
    <w:p>
      <w:r>
        <w:rPr>
          <w:b/>
        </w:rPr>
        <w:t xml:space="preserve">41 </w:t>
      </w:r>
      <w:r>
        <w:t xml:space="preserve">And Shallum begot Iechemian, and Iechemias begot Elishama</w:t>
      </w:r>
      <w:r>
        <w:rPr>
          <w:rStyle w:val="FootnoteReference"/>
        </w:rPr>
        <w:footnoteReference w:id="7783"/>
      </w:r>
      <w:r>
        <w:t xml:space="preserve">.</w:t>
      </w:r>
    </w:p>
    <w:p>
      <w:r>
        <w:rPr>
          <w:b/>
        </w:rPr>
        <w:t xml:space="preserve">42 </w:t>
      </w:r>
      <w:r>
        <w:t xml:space="preserve">And sons of Caleb</w:t>
      </w:r>
      <w:r>
        <w:rPr>
          <w:rStyle w:val="FootnoteReference"/>
        </w:rPr>
        <w:footnoteReference w:id="7784"/>
      </w:r>
      <w:r>
        <w:t xml:space="preserve"> brother of Jerahmeel: Mareshah</w:t>
      </w:r>
      <w:r>
        <w:rPr>
          <w:rStyle w:val="FootnoteReference"/>
        </w:rPr>
        <w:footnoteReference w:id="7785"/>
      </w:r>
      <w:r>
        <w:t xml:space="preserve"> his firstborn. This one was the father of Ziph, and sons of Mareshah father of Hebron.</w:t>
      </w:r>
    </w:p>
    <w:p>
      <w:r>
        <w:rPr>
          <w:b/>
        </w:rPr>
        <w:t xml:space="preserve">43 </w:t>
      </w:r>
      <w:r>
        <w:t xml:space="preserve">And sons of Hebron: Kore, Tappuah, Rekem, and Shema.</w:t>
      </w:r>
    </w:p>
    <w:p>
      <w:r>
        <w:rPr>
          <w:b/>
        </w:rPr>
        <w:t xml:space="preserve">44 </w:t>
      </w:r>
      <w:r>
        <w:t xml:space="preserve">And Shema begot Raem father of Jorkeam</w:t>
      </w:r>
      <w:r>
        <w:rPr>
          <w:rStyle w:val="FootnoteReference"/>
        </w:rPr>
        <w:footnoteReference w:id="7786"/>
      </w:r>
      <w:r>
        <w:t xml:space="preserve">, and Jorkeam begot Shammai.</w:t>
      </w:r>
    </w:p>
    <w:p>
      <w:r>
        <w:rPr>
          <w:b/>
        </w:rPr>
        <w:t xml:space="preserve">45 </w:t>
      </w:r>
      <w:r>
        <w:t xml:space="preserve">And his son was Maon, and Maon was the father of Bethzur</w:t>
      </w:r>
      <w:r>
        <w:rPr>
          <w:rStyle w:val="FootnoteReference"/>
        </w:rPr>
        <w:footnoteReference w:id="7787"/>
      </w:r>
      <w:r>
        <w:t xml:space="preserve">.</w:t>
      </w:r>
    </w:p>
    <w:p>
      <w:r>
        <w:rPr>
          <w:b/>
        </w:rPr>
        <w:t xml:space="preserve">46 </w:t>
      </w:r>
      <w:r>
        <w:t xml:space="preserve">And Ephah, concubine of Caleb, bore Haran and Mesha and Gazez</w:t>
      </w:r>
      <w:r>
        <w:rPr>
          <w:rStyle w:val="FootnoteReference"/>
        </w:rPr>
        <w:footnoteReference w:id="7788"/>
      </w:r>
      <w:r>
        <w:t xml:space="preserve">, and Haran begot Gazez.</w:t>
      </w:r>
    </w:p>
    <w:p>
      <w:r>
        <w:rPr>
          <w:b/>
        </w:rPr>
        <w:t xml:space="preserve">47 </w:t>
      </w:r>
      <w:r>
        <w:t xml:space="preserve">And sons of Jahdai</w:t>
      </w:r>
      <w:r>
        <w:rPr>
          <w:rStyle w:val="FootnoteReference"/>
        </w:rPr>
        <w:footnoteReference w:id="7789"/>
      </w:r>
      <w:r>
        <w:t xml:space="preserve">: Regem</w:t>
      </w:r>
      <w:r>
        <w:rPr>
          <w:rStyle w:val="FootnoteReference"/>
        </w:rPr>
        <w:footnoteReference w:id="7790"/>
      </w:r>
      <w:r>
        <w:t xml:space="preserve">, Jotham, Gershon, Phalet, Ephah, and Shaaph</w:t>
      </w:r>
      <w:r>
        <w:rPr>
          <w:rStyle w:val="FootnoteReference"/>
        </w:rPr>
        <w:footnoteReference w:id="7791"/>
      </w:r>
      <w:r>
        <w:t xml:space="preserve">.</w:t>
      </w:r>
    </w:p>
    <w:p>
      <w:r>
        <w:rPr>
          <w:b/>
        </w:rPr>
        <w:t xml:space="preserve">48 </w:t>
      </w:r>
      <w:r>
        <w:t xml:space="preserve">And concubine</w:t>
      </w:r>
      <w:r>
        <w:rPr>
          <w:rStyle w:val="FootnoteReference"/>
        </w:rPr>
        <w:footnoteReference w:id="7792"/>
      </w:r>
      <w:r>
        <w:t xml:space="preserve"> of Caleb, Maachah, bore Sheber</w:t>
      </w:r>
      <w:r>
        <w:rPr>
          <w:rStyle w:val="FootnoteReference"/>
        </w:rPr>
        <w:footnoteReference w:id="7793"/>
      </w:r>
      <w:r>
        <w:t xml:space="preserve"> and Tharchna.</w:t>
      </w:r>
    </w:p>
    <w:p>
      <w:r>
        <w:rPr>
          <w:b/>
        </w:rPr>
        <w:t xml:space="preserve">49 </w:t>
      </w:r>
      <w:r>
        <w:t xml:space="preserve">And Shaaph begot father of Madmannah</w:t>
      </w:r>
      <w:r>
        <w:rPr>
          <w:rStyle w:val="FootnoteReference"/>
        </w:rPr>
        <w:footnoteReference w:id="7794"/>
      </w:r>
      <w:r>
        <w:t xml:space="preserve"> and Saou father of Machbenah</w:t>
      </w:r>
      <w:r>
        <w:rPr>
          <w:rStyle w:val="FootnoteReference"/>
        </w:rPr>
        <w:footnoteReference w:id="7795"/>
      </w:r>
      <w:r>
        <w:t xml:space="preserve"> and father of Gaibaa. And daughter of Caleb was Achsah.</w:t>
      </w:r>
    </w:p>
    <w:p>
      <w:r>
        <w:rPr>
          <w:b/>
        </w:rPr>
        <w:t xml:space="preserve">50 </w:t>
      </w:r>
      <w:r>
        <w:t xml:space="preserve">These were sons of Caleb, sons of Or firstborn of Ephrathah: Shobal father of Kirjathjearim</w:t>
      </w:r>
      <w:r>
        <w:rPr>
          <w:rStyle w:val="FootnoteReference"/>
        </w:rPr>
        <w:footnoteReference w:id="7796"/>
      </w:r>
      <w:r>
        <w:t xml:space="preserve">,</w:t>
      </w:r>
    </w:p>
    <w:p>
      <w:r>
        <w:rPr>
          <w:b/>
        </w:rPr>
        <w:t xml:space="preserve">51 </w:t>
      </w:r>
      <w:r>
        <w:t xml:space="preserve">Solomon father of Bethlehem</w:t>
      </w:r>
      <w:r>
        <w:rPr>
          <w:rStyle w:val="FootnoteReference"/>
        </w:rPr>
        <w:footnoteReference w:id="7797"/>
      </w:r>
      <w:r>
        <w:t xml:space="preserve">, Hareph</w:t>
      </w:r>
      <w:r>
        <w:rPr>
          <w:rStyle w:val="FootnoteReference"/>
        </w:rPr>
        <w:footnoteReference w:id="7798"/>
      </w:r>
      <w:r>
        <w:t xml:space="preserve"> father of Bethgader</w:t>
      </w:r>
      <w:r>
        <w:rPr>
          <w:rStyle w:val="FootnoteReference"/>
        </w:rPr>
        <w:footnoteReference w:id="7799"/>
      </w:r>
      <w:r>
        <w:t xml:space="preserve">.</w:t>
      </w:r>
    </w:p>
    <w:p>
      <w:r>
        <w:rPr>
          <w:b/>
        </w:rPr>
        <w:t xml:space="preserve">52 </w:t>
      </w:r>
      <w:r>
        <w:t xml:space="preserve">And sons of Shobal father of Kirjathjearim were Haroeh</w:t>
      </w:r>
      <w:r>
        <w:rPr>
          <w:rStyle w:val="FootnoteReference"/>
        </w:rPr>
        <w:footnoteReference w:id="7800"/>
      </w:r>
      <w:r>
        <w:t xml:space="preserve"> and half of the Manahethites</w:t>
      </w:r>
      <w:r>
        <w:rPr>
          <w:rStyle w:val="FootnoteReference"/>
        </w:rPr>
        <w:footnoteReference w:id="7801"/>
      </w:r>
      <w:r>
        <w:t xml:space="preserve">.</w:t>
      </w:r>
      <w:r>
        <w:rPr>
          <w:rStyle w:val="FootnoteReference"/>
        </w:rPr>
        <w:footnoteReference w:id="7802"/>
      </w:r>
    </w:p>
    <w:p>
      <w:r>
        <w:rPr>
          <w:b/>
        </w:rPr>
        <w:t xml:space="preserve">53 </w:t>
      </w:r>
      <w:r>
        <w:t xml:space="preserve">And the families of Kirjathjearim were the Ithrites</w:t>
      </w:r>
      <w:r>
        <w:rPr>
          <w:rStyle w:val="FootnoteReference"/>
        </w:rPr>
        <w:footnoteReference w:id="7803"/>
      </w:r>
      <w:r>
        <w:t xml:space="preserve">, Puhites</w:t>
      </w:r>
      <w:r>
        <w:rPr>
          <w:rStyle w:val="FootnoteReference"/>
        </w:rPr>
        <w:footnoteReference w:id="7804"/>
      </w:r>
      <w:r>
        <w:t xml:space="preserve">, Shumathites</w:t>
      </w:r>
      <w:r>
        <w:rPr>
          <w:rStyle w:val="FootnoteReference"/>
        </w:rPr>
        <w:footnoteReference w:id="7805"/>
      </w:r>
      <w:r>
        <w:t xml:space="preserve">, and Mishraites</w:t>
      </w:r>
      <w:r>
        <w:rPr>
          <w:rStyle w:val="FootnoteReference"/>
        </w:rPr>
        <w:footnoteReference w:id="7806"/>
      </w:r>
      <w:r>
        <w:t xml:space="preserve">; from these came out the Zareathites</w:t>
      </w:r>
      <w:r>
        <w:rPr>
          <w:rStyle w:val="FootnoteReference"/>
        </w:rPr>
        <w:footnoteReference w:id="7807"/>
      </w:r>
      <w:r>
        <w:t xml:space="preserve"> and Eshtaulites.</w:t>
      </w:r>
      <w:r>
        <w:rPr>
          <w:rStyle w:val="FootnoteReference"/>
        </w:rPr>
        <w:footnoteReference w:id="7808"/>
      </w:r>
    </w:p>
    <w:p>
      <w:r>
        <w:rPr>
          <w:b/>
        </w:rPr>
        <w:t xml:space="preserve">54 </w:t>
      </w:r>
      <w:r>
        <w:t xml:space="preserve">Sons of Solomon: Bethlehem</w:t>
      </w:r>
      <w:r>
        <w:rPr>
          <w:rStyle w:val="FootnoteReference"/>
        </w:rPr>
        <w:footnoteReference w:id="7809"/>
      </w:r>
      <w:r>
        <w:t xml:space="preserve">, Netophathites</w:t>
      </w:r>
      <w:r>
        <w:rPr>
          <w:rStyle w:val="FootnoteReference"/>
        </w:rPr>
        <w:footnoteReference w:id="7810"/>
      </w:r>
      <w:r>
        <w:t xml:space="preserve">, Ataroth, house of Joab, and half of the Manahethites, Esarei.</w:t>
      </w:r>
    </w:p>
    <w:p>
      <w:r>
        <w:rPr>
          <w:b/>
        </w:rPr>
        <w:t xml:space="preserve">55 </w:t>
      </w:r>
      <w:r>
        <w:t xml:space="preserve">Families of scribes dwelling in Iabes: Thargathiim, Samathiim, Sookathiim. These are the Kinaioi who came from Mesema, father of the house of Rechab</w:t>
      </w:r>
      <w:r>
        <w:rPr>
          <w:rStyle w:val="FootnoteReference"/>
        </w:rPr>
        <w:footnoteReference w:id="7811"/>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these were sons of David born to him in Hebron: the firstborn Amnon</w:t>
      </w:r>
      <w:r>
        <w:rPr>
          <w:rStyle w:val="FootnoteReference"/>
        </w:rPr>
        <w:footnoteReference w:id="7812"/>
      </w:r>
      <w:r>
        <w:t xml:space="preserve"> by Ahinoam the Jezreelite, the second Daniel by Abigail the Carmelite,</w:t>
      </w:r>
    </w:p>
    <w:p>
      <w:r>
        <w:rPr>
          <w:b/>
        </w:rPr>
        <w:t xml:space="preserve">2 </w:t>
      </w:r>
      <w:r>
        <w:t xml:space="preserve">the third Absalom</w:t>
      </w:r>
      <w:r>
        <w:rPr>
          <w:rStyle w:val="FootnoteReference"/>
        </w:rPr>
        <w:footnoteReference w:id="7813"/>
      </w:r>
      <w:r>
        <w:t xml:space="preserve"> son of Maachah daughter of Talmai king of Geshur, the fourth Adonijah son of Haggith,</w:t>
      </w:r>
    </w:p>
    <w:p>
      <w:r>
        <w:rPr>
          <w:b/>
        </w:rPr>
        <w:t xml:space="preserve">3 </w:t>
      </w:r>
      <w:r>
        <w:t xml:space="preserve">the fifth Shephatiah by Abital, the sixth Ithream</w:t>
      </w:r>
      <w:r>
        <w:rPr>
          <w:rStyle w:val="FootnoteReference"/>
        </w:rPr>
        <w:footnoteReference w:id="7814"/>
      </w:r>
      <w:r>
        <w:t xml:space="preserve"> by Eglah</w:t>
      </w:r>
      <w:r>
        <w:rPr>
          <w:rStyle w:val="FootnoteReference"/>
        </w:rPr>
        <w:footnoteReference w:id="7815"/>
      </w:r>
      <w:r>
        <w:t xml:space="preserve"> his wife.</w:t>
      </w:r>
      <w:r>
        <w:rPr>
          <w:rStyle w:val="FootnoteReference"/>
        </w:rPr>
        <w:footnoteReference w:id="7816"/>
      </w:r>
    </w:p>
    <w:p>
      <w:r>
        <w:rPr>
          <w:b/>
        </w:rPr>
        <w:t xml:space="preserve">4 </w:t>
      </w:r>
      <w:r>
        <w:t xml:space="preserve">Six were born to him in Hebron, and he reigned there seven years and six months, and thirty-three years he reigned in Jerusalem.</w:t>
      </w:r>
    </w:p>
    <w:p>
      <w:r>
        <w:rPr>
          <w:b/>
        </w:rPr>
        <w:t xml:space="preserve">5 </w:t>
      </w:r>
      <w:r>
        <w:t xml:space="preserve">And these were born to him in Jerusalem: Shimea</w:t>
      </w:r>
      <w:r>
        <w:rPr>
          <w:rStyle w:val="FootnoteReference"/>
        </w:rPr>
        <w:footnoteReference w:id="7817"/>
      </w:r>
      <w:r>
        <w:t xml:space="preserve">, Shobab, Nathan, and Solomon, four, by Beersheba daughter of Ammiel,</w:t>
      </w:r>
      <w:r>
        <w:rPr>
          <w:rStyle w:val="FootnoteReference"/>
        </w:rPr>
        <w:footnoteReference w:id="7818"/>
      </w:r>
    </w:p>
    <w:p>
      <w:r>
        <w:rPr>
          <w:b/>
        </w:rPr>
        <w:t xml:space="preserve">6 </w:t>
      </w:r>
      <w:r>
        <w:t xml:space="preserve">and Ibhar and Elishama</w:t>
      </w:r>
      <w:r>
        <w:rPr>
          <w:rStyle w:val="FootnoteReference"/>
        </w:rPr>
        <w:footnoteReference w:id="7819"/>
      </w:r>
      <w:r>
        <w:t xml:space="preserve"> and Eliphelet</w:t>
      </w:r>
      <w:r>
        <w:rPr>
          <w:rStyle w:val="FootnoteReference"/>
        </w:rPr>
        <w:footnoteReference w:id="7820"/>
      </w:r>
      <w:r>
        <w:t xml:space="preserve">,</w:t>
      </w:r>
    </w:p>
    <w:p>
      <w:r>
        <w:rPr>
          <w:b/>
        </w:rPr>
        <w:t xml:space="preserve">7 </w:t>
      </w:r>
      <w:r>
        <w:t xml:space="preserve">and Nogah</w:t>
      </w:r>
      <w:r>
        <w:rPr>
          <w:rStyle w:val="FootnoteReference"/>
        </w:rPr>
        <w:footnoteReference w:id="7821"/>
      </w:r>
      <w:r>
        <w:t xml:space="preserve"> and Nepheg and Ianoue,</w:t>
      </w:r>
      <w:r>
        <w:rPr>
          <w:rStyle w:val="FootnoteReference"/>
        </w:rPr>
        <w:footnoteReference w:id="7822"/>
      </w:r>
    </w:p>
    <w:p>
      <w:r>
        <w:rPr>
          <w:b/>
        </w:rPr>
        <w:t xml:space="preserve">8 </w:t>
      </w:r>
      <w:r>
        <w:t xml:space="preserve">and Elishama and Eliada</w:t>
      </w:r>
      <w:r>
        <w:rPr>
          <w:rStyle w:val="FootnoteReference"/>
        </w:rPr>
        <w:footnoteReference w:id="7823"/>
      </w:r>
      <w:r>
        <w:t xml:space="preserve"> and Eliphelet, nine.</w:t>
      </w:r>
    </w:p>
    <w:p>
      <w:r>
        <w:rPr>
          <w:b/>
        </w:rPr>
        <w:t xml:space="preserve">9 </w:t>
      </w:r>
      <w:r>
        <w:t xml:space="preserve">All were sons of David, besides sons of the concubines</w:t>
      </w:r>
      <w:r>
        <w:rPr>
          <w:rStyle w:val="FootnoteReference"/>
        </w:rPr>
        <w:footnoteReference w:id="7824"/>
      </w:r>
      <w:r>
        <w:t xml:space="preserve">, and Tamar their sister.</w:t>
      </w:r>
    </w:p>
    <w:p>
      <w:r>
        <w:rPr>
          <w:b/>
        </w:rPr>
        <w:t xml:space="preserve">10 </w:t>
      </w:r>
      <w:r>
        <w:t xml:space="preserve">Sons of Solomon: Rehoboam</w:t>
      </w:r>
      <w:r>
        <w:rPr>
          <w:rStyle w:val="FootnoteReference"/>
        </w:rPr>
        <w:footnoteReference w:id="7825"/>
      </w:r>
      <w:r>
        <w:t xml:space="preserve">, Abijah his son, Asa his son, Jehoshaphat his son,</w:t>
      </w:r>
    </w:p>
    <w:p>
      <w:r>
        <w:rPr>
          <w:b/>
        </w:rPr>
        <w:t xml:space="preserve">11 </w:t>
      </w:r>
      <w:r>
        <w:t xml:space="preserve">Joram</w:t>
      </w:r>
      <w:r>
        <w:rPr>
          <w:rStyle w:val="FootnoteReference"/>
        </w:rPr>
        <w:footnoteReference w:id="7826"/>
      </w:r>
      <w:r>
        <w:t xml:space="preserve"> his son, Ahaziah his son, Joash his son,</w:t>
      </w:r>
    </w:p>
    <w:p>
      <w:r>
        <w:rPr>
          <w:b/>
        </w:rPr>
        <w:t xml:space="preserve">12 </w:t>
      </w:r>
      <w:r>
        <w:t xml:space="preserve">Amaziah</w:t>
      </w:r>
      <w:r>
        <w:rPr>
          <w:rStyle w:val="FootnoteReference"/>
        </w:rPr>
        <w:footnoteReference w:id="7827"/>
      </w:r>
      <w:r>
        <w:t xml:space="preserve"> his son, Azariah his son, Jotham his son,</w:t>
      </w:r>
    </w:p>
    <w:p>
      <w:r>
        <w:rPr>
          <w:b/>
        </w:rPr>
        <w:t xml:space="preserve">13 </w:t>
      </w:r>
      <w:r>
        <w:t xml:space="preserve">Ahaz</w:t>
      </w:r>
      <w:r>
        <w:rPr>
          <w:rStyle w:val="FootnoteReference"/>
        </w:rPr>
        <w:footnoteReference w:id="7828"/>
      </w:r>
      <w:r>
        <w:t xml:space="preserve"> his son, Hezekiah his son, Manasseh his son,</w:t>
      </w:r>
    </w:p>
    <w:p>
      <w:r>
        <w:rPr>
          <w:b/>
        </w:rPr>
        <w:t xml:space="preserve">14 </w:t>
      </w:r>
      <w:r>
        <w:t xml:space="preserve">Amon</w:t>
      </w:r>
      <w:r>
        <w:rPr>
          <w:rStyle w:val="FootnoteReference"/>
        </w:rPr>
        <w:footnoteReference w:id="7829"/>
      </w:r>
      <w:r>
        <w:t xml:space="preserve"> his son, Josiah his son.</w:t>
      </w:r>
    </w:p>
    <w:p>
      <w:r>
        <w:rPr>
          <w:b/>
        </w:rPr>
        <w:t xml:space="preserve">15 </w:t>
      </w:r>
      <w:r>
        <w:t xml:space="preserve">And sons of Josiah: firstborn Johanan, second Joakim, third Zedekiah, fourth Shallum.</w:t>
      </w:r>
    </w:p>
    <w:p>
      <w:r>
        <w:rPr>
          <w:b/>
        </w:rPr>
        <w:t xml:space="preserve">16 </w:t>
      </w:r>
      <w:r>
        <w:t xml:space="preserve">And sons of Joakim: Jeconiah</w:t>
      </w:r>
      <w:r>
        <w:rPr>
          <w:rStyle w:val="FootnoteReference"/>
        </w:rPr>
        <w:footnoteReference w:id="7830"/>
      </w:r>
      <w:r>
        <w:t xml:space="preserve"> his son, Zedekiah his son.</w:t>
      </w:r>
      <w:r>
        <w:rPr>
          <w:rStyle w:val="FootnoteReference"/>
        </w:rPr>
        <w:footnoteReference w:id="7831"/>
      </w:r>
    </w:p>
    <w:p>
      <w:r>
        <w:rPr>
          <w:b/>
        </w:rPr>
        <w:t xml:space="preserve">17 </w:t>
      </w:r>
      <w:r>
        <w:t xml:space="preserve">And sons of Iechonia-asir: Shealtiel</w:t>
      </w:r>
      <w:r>
        <w:rPr>
          <w:rStyle w:val="FootnoteReference"/>
        </w:rPr>
        <w:footnoteReference w:id="7832"/>
      </w:r>
      <w:r>
        <w:t xml:space="preserve"> his son,</w:t>
      </w:r>
    </w:p>
    <w:p>
      <w:r>
        <w:rPr>
          <w:b/>
        </w:rPr>
        <w:t xml:space="preserve">18 </w:t>
      </w:r>
      <w:r>
        <w:t xml:space="preserve">Melchiram and Pedaiah and Shenazar</w:t>
      </w:r>
      <w:r>
        <w:rPr>
          <w:rStyle w:val="FootnoteReference"/>
        </w:rPr>
        <w:footnoteReference w:id="7833"/>
      </w:r>
      <w:r>
        <w:t xml:space="preserve"> and Jecamiah</w:t>
      </w:r>
      <w:r>
        <w:rPr>
          <w:rStyle w:val="FootnoteReference"/>
        </w:rPr>
        <w:footnoteReference w:id="7834"/>
      </w:r>
      <w:r>
        <w:t xml:space="preserve"> and Hoshama</w:t>
      </w:r>
      <w:r>
        <w:rPr>
          <w:rStyle w:val="FootnoteReference"/>
        </w:rPr>
        <w:footnoteReference w:id="7835"/>
      </w:r>
      <w:r>
        <w:t xml:space="preserve"> and Denethi.</w:t>
      </w:r>
    </w:p>
    <w:p>
      <w:r>
        <w:rPr>
          <w:b/>
        </w:rPr>
        <w:t xml:space="preserve">19 </w:t>
      </w:r>
      <w:r>
        <w:t xml:space="preserve">And sons of Shealtiel: Zerubbabel</w:t>
      </w:r>
      <w:r>
        <w:rPr>
          <w:rStyle w:val="FootnoteReference"/>
        </w:rPr>
        <w:footnoteReference w:id="7836"/>
      </w:r>
      <w:r>
        <w:t xml:space="preserve"> and Shimei. And sons of Zerubbabel: Meshullam and Hananiah</w:t>
      </w:r>
      <w:r>
        <w:rPr>
          <w:rStyle w:val="FootnoteReference"/>
        </w:rPr>
        <w:footnoteReference w:id="7837"/>
      </w:r>
      <w:r>
        <w:t xml:space="preserve">, and Shelomith their sister,</w:t>
      </w:r>
      <w:r>
        <w:rPr>
          <w:rStyle w:val="FootnoteReference"/>
        </w:rPr>
        <w:footnoteReference w:id="7838"/>
      </w:r>
    </w:p>
    <w:p>
      <w:r>
        <w:rPr>
          <w:b/>
        </w:rPr>
        <w:t xml:space="preserve">20 </w:t>
      </w:r>
      <w:r>
        <w:t xml:space="preserve">and Hashubah</w:t>
      </w:r>
      <w:r>
        <w:rPr>
          <w:rStyle w:val="FootnoteReference"/>
        </w:rPr>
        <w:footnoteReference w:id="7839"/>
      </w:r>
      <w:r>
        <w:t xml:space="preserve"> and Ohel</w:t>
      </w:r>
      <w:r>
        <w:rPr>
          <w:rStyle w:val="FootnoteReference"/>
        </w:rPr>
        <w:footnoteReference w:id="7840"/>
      </w:r>
      <w:r>
        <w:t xml:space="preserve"> and Berechiah</w:t>
      </w:r>
      <w:r>
        <w:rPr>
          <w:rStyle w:val="FootnoteReference"/>
        </w:rPr>
        <w:footnoteReference w:id="7841"/>
      </w:r>
      <w:r>
        <w:t xml:space="preserve"> and Hasadiah</w:t>
      </w:r>
      <w:r>
        <w:rPr>
          <w:rStyle w:val="FootnoteReference"/>
        </w:rPr>
        <w:footnoteReference w:id="7842"/>
      </w:r>
      <w:r>
        <w:t xml:space="preserve"> and Jushabhesed</w:t>
      </w:r>
      <w:r>
        <w:rPr>
          <w:rStyle w:val="FootnoteReference"/>
        </w:rPr>
        <w:footnoteReference w:id="7843"/>
      </w:r>
      <w:r>
        <w:t xml:space="preserve">, five.</w:t>
      </w:r>
    </w:p>
    <w:p>
      <w:r>
        <w:rPr>
          <w:b/>
        </w:rPr>
        <w:t xml:space="preserve">21 </w:t>
      </w:r>
      <w:r>
        <w:t xml:space="preserve">And sons of Hananiah: Pelatiah</w:t>
      </w:r>
      <w:r>
        <w:rPr>
          <w:rStyle w:val="FootnoteReference"/>
        </w:rPr>
        <w:footnoteReference w:id="7844"/>
      </w:r>
      <w:r>
        <w:t xml:space="preserve"> and Jesaiah</w:t>
      </w:r>
      <w:r>
        <w:rPr>
          <w:rStyle w:val="FootnoteReference"/>
        </w:rPr>
        <w:footnoteReference w:id="7845"/>
      </w:r>
      <w:r>
        <w:t xml:space="preserve"> his son, Rephaiah</w:t>
      </w:r>
      <w:r>
        <w:rPr>
          <w:rStyle w:val="FootnoteReference"/>
        </w:rPr>
        <w:footnoteReference w:id="7846"/>
      </w:r>
      <w:r>
        <w:t xml:space="preserve"> his son, Araunah his son, Obadiah his son, Shecaniah</w:t>
      </w:r>
      <w:r>
        <w:rPr>
          <w:rStyle w:val="FootnoteReference"/>
        </w:rPr>
        <w:footnoteReference w:id="7847"/>
      </w:r>
      <w:r>
        <w:t xml:space="preserve"> his son.</w:t>
      </w:r>
      <w:r>
        <w:rPr>
          <w:rStyle w:val="FootnoteReference"/>
        </w:rPr>
        <w:footnoteReference w:id="7848"/>
      </w:r>
    </w:p>
    <w:p>
      <w:r>
        <w:rPr>
          <w:b/>
        </w:rPr>
        <w:t xml:space="preserve">22 </w:t>
      </w:r>
      <w:r>
        <w:t xml:space="preserve">And son of Shecaniah: Shemaiah. And sons of Shemaiah: Hattush</w:t>
      </w:r>
      <w:r>
        <w:rPr>
          <w:rStyle w:val="FootnoteReference"/>
        </w:rPr>
        <w:footnoteReference w:id="7849"/>
      </w:r>
      <w:r>
        <w:t xml:space="preserve"> and Joel and Bariah</w:t>
      </w:r>
      <w:r>
        <w:rPr>
          <w:rStyle w:val="FootnoteReference"/>
        </w:rPr>
        <w:footnoteReference w:id="7850"/>
      </w:r>
      <w:r>
        <w:t xml:space="preserve"> and Neariah</w:t>
      </w:r>
      <w:r>
        <w:rPr>
          <w:rStyle w:val="FootnoteReference"/>
        </w:rPr>
        <w:footnoteReference w:id="7851"/>
      </w:r>
      <w:r>
        <w:t xml:space="preserve"> and Shaphat, six.</w:t>
      </w:r>
      <w:r>
        <w:rPr>
          <w:rStyle w:val="FootnoteReference"/>
        </w:rPr>
        <w:footnoteReference w:id="7852"/>
      </w:r>
    </w:p>
    <w:p>
      <w:r>
        <w:rPr>
          <w:b/>
        </w:rPr>
        <w:t xml:space="preserve">23 </w:t>
      </w:r>
      <w:r>
        <w:t xml:space="preserve">And sons of Neariah: Elioenai</w:t>
      </w:r>
      <w:r>
        <w:rPr>
          <w:rStyle w:val="FootnoteReference"/>
        </w:rPr>
        <w:footnoteReference w:id="7853"/>
      </w:r>
      <w:r>
        <w:t xml:space="preserve"> and Hezekiah</w:t>
      </w:r>
      <w:r>
        <w:rPr>
          <w:rStyle w:val="FootnoteReference"/>
        </w:rPr>
        <w:footnoteReference w:id="7854"/>
      </w:r>
      <w:r>
        <w:t xml:space="preserve"> and Azrikam</w:t>
      </w:r>
      <w:r>
        <w:rPr>
          <w:rStyle w:val="FootnoteReference"/>
        </w:rPr>
        <w:footnoteReference w:id="7855"/>
      </w:r>
      <w:r>
        <w:t xml:space="preserve">, three.</w:t>
      </w:r>
    </w:p>
    <w:p>
      <w:r>
        <w:rPr>
          <w:b/>
        </w:rPr>
        <w:t xml:space="preserve">24 </w:t>
      </w:r>
      <w:r>
        <w:t xml:space="preserve">And sons of Elioenai: Hodaiah</w:t>
      </w:r>
      <w:r>
        <w:rPr>
          <w:rStyle w:val="FootnoteReference"/>
        </w:rPr>
        <w:footnoteReference w:id="7856"/>
      </w:r>
      <w:r>
        <w:t xml:space="preserve"> and Eliashib</w:t>
      </w:r>
      <w:r>
        <w:rPr>
          <w:rStyle w:val="FootnoteReference"/>
        </w:rPr>
        <w:footnoteReference w:id="7857"/>
      </w:r>
      <w:r>
        <w:t xml:space="preserve"> and Pelaiah</w:t>
      </w:r>
      <w:r>
        <w:rPr>
          <w:rStyle w:val="FootnoteReference"/>
        </w:rPr>
        <w:footnoteReference w:id="7858"/>
      </w:r>
      <w:r>
        <w:t xml:space="preserve"> and Akkub</w:t>
      </w:r>
      <w:r>
        <w:rPr>
          <w:rStyle w:val="FootnoteReference"/>
        </w:rPr>
        <w:footnoteReference w:id="7859"/>
      </w:r>
      <w:r>
        <w:t xml:space="preserve"> and Johanan and Dalaiah</w:t>
      </w:r>
      <w:r>
        <w:rPr>
          <w:rStyle w:val="FootnoteReference"/>
        </w:rPr>
        <w:footnoteReference w:id="7860"/>
      </w:r>
      <w:r>
        <w:t xml:space="preserve"> and Anani, seven.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sons of Judah: Perez, Hezron, Carmi</w:t>
      </w:r>
      <w:r>
        <w:rPr>
          <w:rStyle w:val="FootnoteReference"/>
        </w:rPr>
        <w:footnoteReference w:id="7861"/>
      </w:r>
      <w:r>
        <w:t xml:space="preserve">, Or, and Shobal.</w:t>
      </w:r>
    </w:p>
    <w:p>
      <w:r>
        <w:rPr>
          <w:b/>
        </w:rPr>
        <w:t xml:space="preserve">2 </w:t>
      </w:r>
      <w:r>
        <w:t xml:space="preserve">And Reaiah</w:t>
      </w:r>
      <w:r>
        <w:rPr>
          <w:rStyle w:val="FootnoteReference"/>
        </w:rPr>
        <w:footnoteReference w:id="7862"/>
      </w:r>
      <w:r>
        <w:t xml:space="preserve"> his son, and Shobal begot Jahath</w:t>
      </w:r>
      <w:r>
        <w:rPr>
          <w:rStyle w:val="FootnoteReference"/>
        </w:rPr>
        <w:footnoteReference w:id="7863"/>
      </w:r>
      <w:r>
        <w:t xml:space="preserve">, and Jahath begot Ahumai</w:t>
      </w:r>
      <w:r>
        <w:rPr>
          <w:rStyle w:val="FootnoteReference"/>
        </w:rPr>
        <w:footnoteReference w:id="7864"/>
      </w:r>
      <w:r>
        <w:t xml:space="preserve"> and Lahad</w:t>
      </w:r>
      <w:r>
        <w:rPr>
          <w:rStyle w:val="FootnoteReference"/>
        </w:rPr>
        <w:footnoteReference w:id="7865"/>
      </w:r>
      <w:r>
        <w:t xml:space="preserve">. These are generations of the Sarathi.</w:t>
      </w:r>
      <w:r>
        <w:rPr>
          <w:rStyle w:val="FootnoteReference"/>
        </w:rPr>
        <w:footnoteReference w:id="7866"/>
      </w:r>
    </w:p>
    <w:p>
      <w:r>
        <w:rPr>
          <w:b/>
        </w:rPr>
        <w:t xml:space="preserve">3 </w:t>
      </w:r>
      <w:r>
        <w:t xml:space="preserve">And these are sons of Etam</w:t>
      </w:r>
      <w:r>
        <w:rPr>
          <w:rStyle w:val="FootnoteReference"/>
        </w:rPr>
        <w:footnoteReference w:id="7867"/>
      </w:r>
      <w:r>
        <w:t xml:space="preserve">: Jezreel and Ragma and Idbash</w:t>
      </w:r>
      <w:r>
        <w:rPr>
          <w:rStyle w:val="FootnoteReference"/>
        </w:rPr>
        <w:footnoteReference w:id="7868"/>
      </w:r>
      <w:r>
        <w:t xml:space="preserve">, and the name of their sister was Hazelelponi</w:t>
      </w:r>
      <w:r>
        <w:rPr>
          <w:rStyle w:val="FootnoteReference"/>
        </w:rPr>
        <w:footnoteReference w:id="7869"/>
      </w:r>
      <w:r>
        <w:t xml:space="preserve">.</w:t>
      </w:r>
    </w:p>
    <w:p>
      <w:r>
        <w:rPr>
          <w:b/>
        </w:rPr>
        <w:t xml:space="preserve">4 </w:t>
      </w:r>
      <w:r>
        <w:t xml:space="preserve">And Penuel father of Gedor</w:t>
      </w:r>
      <w:r>
        <w:rPr>
          <w:rStyle w:val="FootnoteReference"/>
        </w:rPr>
        <w:footnoteReference w:id="7870"/>
      </w:r>
      <w:r>
        <w:t xml:space="preserve">, and Asher father of Osan. These are sons of Or, the firstborn of Ephrathah, father of Bethlehem.</w:t>
      </w:r>
    </w:p>
    <w:p>
      <w:r>
        <w:rPr>
          <w:b/>
        </w:rPr>
        <w:t xml:space="preserve">5 </w:t>
      </w:r>
      <w:r>
        <w:t xml:space="preserve">And to Ashur father of Tekoa were two wives, Helah</w:t>
      </w:r>
      <w:r>
        <w:rPr>
          <w:rStyle w:val="FootnoteReference"/>
        </w:rPr>
        <w:footnoteReference w:id="7871"/>
      </w:r>
      <w:r>
        <w:t xml:space="preserve"> and Naarah</w:t>
      </w:r>
      <w:r>
        <w:rPr>
          <w:rStyle w:val="FootnoteReference"/>
        </w:rPr>
        <w:footnoteReference w:id="7872"/>
      </w:r>
      <w:r>
        <w:t xml:space="preserve">.</w:t>
      </w:r>
    </w:p>
    <w:p>
      <w:r>
        <w:rPr>
          <w:b/>
        </w:rPr>
        <w:t xml:space="preserve">6 </w:t>
      </w:r>
      <w:r>
        <w:t xml:space="preserve">And Helah bore to him Ahuzam</w:t>
      </w:r>
      <w:r>
        <w:rPr>
          <w:rStyle w:val="FootnoteReference"/>
        </w:rPr>
        <w:footnoteReference w:id="7873"/>
      </w:r>
      <w:r>
        <w:t xml:space="preserve"> and Hepher and Teman and Haahashtari</w:t>
      </w:r>
      <w:r>
        <w:rPr>
          <w:rStyle w:val="FootnoteReference"/>
        </w:rPr>
        <w:footnoteReference w:id="7874"/>
      </w:r>
      <w:r>
        <w:t xml:space="preserve">. All these were sons of Helah.</w:t>
      </w:r>
    </w:p>
    <w:p>
      <w:r>
        <w:rPr>
          <w:b/>
        </w:rPr>
        <w:t xml:space="preserve">7 </w:t>
      </w:r>
      <w:r>
        <w:t xml:space="preserve">And sons of Naarah: Zereth</w:t>
      </w:r>
      <w:r>
        <w:rPr>
          <w:rStyle w:val="FootnoteReference"/>
        </w:rPr>
        <w:footnoteReference w:id="7875"/>
      </w:r>
      <w:r>
        <w:t xml:space="preserve"> and Jezoar</w:t>
      </w:r>
      <w:r>
        <w:rPr>
          <w:rStyle w:val="FootnoteReference"/>
        </w:rPr>
        <w:footnoteReference w:id="7876"/>
      </w:r>
      <w:r>
        <w:t xml:space="preserve"> and Ethnan</w:t>
      </w:r>
      <w:r>
        <w:rPr>
          <w:rStyle w:val="FootnoteReference"/>
        </w:rPr>
        <w:footnoteReference w:id="7877"/>
      </w:r>
      <w:r>
        <w:t xml:space="preserve">.</w:t>
      </w:r>
    </w:p>
    <w:p>
      <w:r>
        <w:rPr>
          <w:b/>
        </w:rPr>
        <w:t xml:space="preserve">8 </w:t>
      </w:r>
      <w:r>
        <w:t xml:space="preserve">And Koes begot Anub</w:t>
      </w:r>
      <w:r>
        <w:rPr>
          <w:rStyle w:val="FootnoteReference"/>
        </w:rPr>
        <w:footnoteReference w:id="7878"/>
      </w:r>
      <w:r>
        <w:t xml:space="preserve"> and Zobebah</w:t>
      </w:r>
      <w:r>
        <w:rPr>
          <w:rStyle w:val="FootnoteReference"/>
        </w:rPr>
        <w:footnoteReference w:id="7879"/>
      </w:r>
      <w:r>
        <w:t xml:space="preserve"> and generations of brother of Rechab son of Harum</w:t>
      </w:r>
      <w:r>
        <w:rPr>
          <w:rStyle w:val="FootnoteReference"/>
        </w:rPr>
        <w:footnoteReference w:id="7880"/>
      </w:r>
      <w:r>
        <w:t xml:space="preserve">.</w:t>
      </w:r>
    </w:p>
    <w:p>
      <w:r>
        <w:rPr>
          <w:b/>
        </w:rPr>
        <w:t xml:space="preserve">9 </w:t>
      </w:r>
      <w:r>
        <w:t xml:space="preserve">And Jabez</w:t>
      </w:r>
      <w:r>
        <w:rPr>
          <w:rStyle w:val="FootnoteReference"/>
        </w:rPr>
        <w:footnoteReference w:id="7881"/>
      </w:r>
      <w:r>
        <w:t xml:space="preserve"> was more</w:t>
      </w:r>
      <w:r>
        <w:rPr>
          <w:rStyle w:val="FootnoteReference"/>
        </w:rPr>
        <w:footnoteReference w:id="7882"/>
      </w:r>
      <w:r>
        <w:t xml:space="preserve"> honored than his brothers, and his mother called his name Jabez, saying, I bore as with pain.</w:t>
      </w:r>
    </w:p>
    <w:p>
      <w:r>
        <w:rPr>
          <w:b/>
        </w:rPr>
        <w:t xml:space="preserve">10 </w:t>
      </w:r>
      <w:r>
        <w:t xml:space="preserve">And Jabez called</w:t>
      </w:r>
      <w:r>
        <w:rPr>
          <w:rStyle w:val="FootnoteReference"/>
        </w:rPr>
        <w:footnoteReference w:id="7883"/>
      </w:r>
      <w:r>
        <w:t xml:space="preserve"> on the God of Israel, saying, If in blessing you bless me and multiply my borders, and your hand be with me, and you make knowledge</w:t>
      </w:r>
      <w:r>
        <w:rPr>
          <w:rStyle w:val="FootnoteReference"/>
        </w:rPr>
        <w:footnoteReference w:id="7884"/>
      </w:r>
      <w:r>
        <w:t xml:space="preserve"> so as not to humble me. And God brought upon him all that he asked.</w:t>
      </w:r>
    </w:p>
    <w:p>
      <w:r>
        <w:rPr>
          <w:b/>
        </w:rPr>
        <w:t xml:space="preserve">11 </w:t>
      </w:r>
      <w:r>
        <w:t xml:space="preserve">And Caleb father of Achsah begot Machir. This one was the father of Eshton.</w:t>
      </w:r>
      <w:r>
        <w:rPr>
          <w:rStyle w:val="FootnoteReference"/>
        </w:rPr>
        <w:footnoteReference w:id="7885"/>
      </w:r>
      <w:r>
        <w:t xml:space="preserve"/>
      </w:r>
      <w:r>
        <w:rPr>
          <w:rStyle w:val="FootnoteReference"/>
        </w:rPr>
        <w:footnoteReference w:id="7886"/>
      </w:r>
    </w:p>
    <w:p>
      <w:r>
        <w:rPr>
          <w:b/>
        </w:rPr>
        <w:t xml:space="preserve">12 </w:t>
      </w:r>
      <w:r>
        <w:t xml:space="preserve">And Eshton begot Bathrephan and Phessee and Thana father of the city Nahash, brother of Azelon the Kenezite. These are men of Repha.</w:t>
      </w:r>
    </w:p>
    <w:p>
      <w:r>
        <w:rPr>
          <w:b/>
        </w:rPr>
        <w:t xml:space="preserve">13 </w:t>
      </w:r>
      <w:r>
        <w:t xml:space="preserve">And sons of Kenaz</w:t>
      </w:r>
      <w:r>
        <w:rPr>
          <w:rStyle w:val="FootnoteReference"/>
        </w:rPr>
        <w:footnoteReference w:id="7887"/>
      </w:r>
      <w:r>
        <w:t xml:space="preserve">: Gothoniel</w:t>
      </w:r>
      <w:r>
        <w:rPr>
          <w:rStyle w:val="FootnoteReference"/>
        </w:rPr>
        <w:footnoteReference w:id="7888"/>
      </w:r>
      <w:r>
        <w:t xml:space="preserve"> and Seraiah. And sons of Gothoniel: Hathath</w:t>
      </w:r>
      <w:r>
        <w:rPr>
          <w:rStyle w:val="FootnoteReference"/>
        </w:rPr>
        <w:footnoteReference w:id="7889"/>
      </w:r>
      <w:r>
        <w:t xml:space="preserve">.</w:t>
      </w:r>
    </w:p>
    <w:p>
      <w:r>
        <w:rPr>
          <w:b/>
        </w:rPr>
        <w:t xml:space="preserve">14 </w:t>
      </w:r>
      <w:r>
        <w:t xml:space="preserve">And Manahethites begot Ophrah, and Seraiah begot Joab father of Ageaddair, because they were craftsmen.</w:t>
      </w:r>
    </w:p>
    <w:p>
      <w:r>
        <w:rPr>
          <w:b/>
        </w:rPr>
        <w:t xml:space="preserve">15 </w:t>
      </w:r>
      <w:r>
        <w:t xml:space="preserve">And sons of Caleb</w:t>
      </w:r>
      <w:r>
        <w:rPr>
          <w:rStyle w:val="FootnoteReference"/>
        </w:rPr>
        <w:footnoteReference w:id="7890"/>
      </w:r>
      <w:r>
        <w:t xml:space="preserve"> son of Jephunneh: Era</w:t>
      </w:r>
      <w:r>
        <w:rPr>
          <w:rStyle w:val="FootnoteReference"/>
        </w:rPr>
        <w:footnoteReference w:id="7891"/>
      </w:r>
      <w:r>
        <w:t xml:space="preserve">, Elah, and Naam</w:t>
      </w:r>
      <w:r>
        <w:rPr>
          <w:rStyle w:val="FootnoteReference"/>
        </w:rPr>
        <w:footnoteReference w:id="7892"/>
      </w:r>
      <w:r>
        <w:t xml:space="preserve">. And sons of Elah: Kenaz.</w:t>
      </w:r>
    </w:p>
    <w:p>
      <w:r>
        <w:rPr>
          <w:b/>
        </w:rPr>
        <w:t xml:space="preserve">16 </w:t>
      </w:r>
      <w:r>
        <w:t xml:space="preserve">And his son: Jehaleleel</w:t>
      </w:r>
      <w:r>
        <w:rPr>
          <w:rStyle w:val="FootnoteReference"/>
        </w:rPr>
        <w:footnoteReference w:id="7893"/>
      </w:r>
      <w:r>
        <w:t xml:space="preserve">, Aemiachi, Zapha, Tiria</w:t>
      </w:r>
      <w:r>
        <w:rPr>
          <w:rStyle w:val="FootnoteReference"/>
        </w:rPr>
        <w:footnoteReference w:id="7894"/>
      </w:r>
      <w:r>
        <w:t xml:space="preserve">, and Eserael.</w:t>
      </w:r>
    </w:p>
    <w:p>
      <w:r>
        <w:rPr>
          <w:b/>
        </w:rPr>
        <w:t xml:space="preserve">17 </w:t>
      </w:r>
      <w:r>
        <w:t xml:space="preserve">And sons of Ezra</w:t>
      </w:r>
      <w:r>
        <w:rPr>
          <w:rStyle w:val="FootnoteReference"/>
        </w:rPr>
        <w:footnoteReference w:id="7895"/>
      </w:r>
      <w:r>
        <w:t xml:space="preserve">: Jether, Mered</w:t>
      </w:r>
      <w:r>
        <w:rPr>
          <w:rStyle w:val="FootnoteReference"/>
        </w:rPr>
        <w:footnoteReference w:id="7896"/>
      </w:r>
      <w:r>
        <w:t xml:space="preserve">, Epher, and Jalon</w:t>
      </w:r>
      <w:r>
        <w:rPr>
          <w:rStyle w:val="FootnoteReference"/>
        </w:rPr>
        <w:footnoteReference w:id="7897"/>
      </w:r>
      <w:r>
        <w:t xml:space="preserve">. And Jether begot Maron and Shammai and Mareth father of Eshtemoa.</w:t>
      </w:r>
    </w:p>
    <w:p>
      <w:r>
        <w:rPr>
          <w:b/>
        </w:rPr>
        <w:t xml:space="preserve">18 </w:t>
      </w:r>
      <w:r>
        <w:t xml:space="preserve">And his wife, Jehudijah</w:t>
      </w:r>
      <w:r>
        <w:rPr>
          <w:rStyle w:val="FootnoteReference"/>
        </w:rPr>
        <w:footnoteReference w:id="7898"/>
      </w:r>
      <w:r>
        <w:t xml:space="preserve">, bore Jared father of Gedor and Heber father of Sochon and Jekuthiel father of Zanoah</w:t>
      </w:r>
      <w:r>
        <w:rPr>
          <w:rStyle w:val="FootnoteReference"/>
        </w:rPr>
        <w:footnoteReference w:id="7899"/>
      </w:r>
      <w:r>
        <w:t xml:space="preserve">. And these are sons of Geli daughter of Pharaoh, whom Mered took.</w:t>
      </w:r>
      <w:r>
        <w:rPr>
          <w:rStyle w:val="FootnoteReference"/>
        </w:rPr>
        <w:footnoteReference w:id="7900"/>
      </w:r>
    </w:p>
    <w:p>
      <w:r>
        <w:rPr>
          <w:b/>
        </w:rPr>
        <w:t xml:space="preserve">19 </w:t>
      </w:r>
      <w:r>
        <w:t xml:space="preserve">And sons of wife of Hodiah</w:t>
      </w:r>
      <w:r>
        <w:rPr>
          <w:rStyle w:val="FootnoteReference"/>
        </w:rPr>
        <w:footnoteReference w:id="7901"/>
      </w:r>
      <w:r>
        <w:t xml:space="preserve">, sister of Naham</w:t>
      </w:r>
      <w:r>
        <w:rPr>
          <w:rStyle w:val="FootnoteReference"/>
        </w:rPr>
        <w:footnoteReference w:id="7902"/>
      </w:r>
      <w:r>
        <w:t xml:space="preserve">: Dalia father of Keilah and Shimon</w:t>
      </w:r>
      <w:r>
        <w:rPr>
          <w:rStyle w:val="FootnoteReference"/>
        </w:rPr>
        <w:footnoteReference w:id="7903"/>
      </w:r>
      <w:r>
        <w:t xml:space="preserve"> father of Ioman. And sons of Naem father of Keilah: Agarmi and Eshtemoa</w:t>
      </w:r>
      <w:r>
        <w:rPr>
          <w:rStyle w:val="FootnoteReference"/>
        </w:rPr>
        <w:footnoteReference w:id="7904"/>
      </w:r>
      <w:r>
        <w:t xml:space="preserve"> Machathi</w:t>
      </w:r>
      <w:r>
        <w:rPr>
          <w:rStyle w:val="FootnoteReference"/>
        </w:rPr>
        <w:footnoteReference w:id="7905"/>
      </w:r>
      <w:r>
        <w:t xml:space="preserve">.</w:t>
      </w:r>
      <w:r>
        <w:rPr>
          <w:rStyle w:val="FootnoteReference"/>
        </w:rPr>
        <w:footnoteReference w:id="7906"/>
      </w:r>
    </w:p>
    <w:p>
      <w:r>
        <w:rPr>
          <w:b/>
        </w:rPr>
        <w:t xml:space="preserve">20 </w:t>
      </w:r>
      <w:r>
        <w:t xml:space="preserve">And sons of Shimon</w:t>
      </w:r>
      <w:r>
        <w:rPr>
          <w:rStyle w:val="FootnoteReference"/>
        </w:rPr>
        <w:footnoteReference w:id="7907"/>
      </w:r>
      <w:r>
        <w:t xml:space="preserve">: Amnon and Rinnah</w:t>
      </w:r>
      <w:r>
        <w:rPr>
          <w:rStyle w:val="FootnoteReference"/>
        </w:rPr>
        <w:footnoteReference w:id="7908"/>
      </w:r>
      <w:r>
        <w:t xml:space="preserve"> son of Anan and Tilon</w:t>
      </w:r>
      <w:r>
        <w:rPr>
          <w:rStyle w:val="FootnoteReference"/>
        </w:rPr>
        <w:footnoteReference w:id="7909"/>
      </w:r>
      <w:r>
        <w:t xml:space="preserve">. And sons of Ishi: Zoheth</w:t>
      </w:r>
      <w:r>
        <w:rPr>
          <w:rStyle w:val="FootnoteReference"/>
        </w:rPr>
        <w:footnoteReference w:id="7910"/>
      </w:r>
      <w:r>
        <w:t xml:space="preserve"> and sons of Zoheth.</w:t>
      </w:r>
    </w:p>
    <w:p>
      <w:r>
        <w:rPr>
          <w:b/>
        </w:rPr>
        <w:t xml:space="preserve">21 </w:t>
      </w:r>
      <w:r>
        <w:t xml:space="preserve">Sons of Shallum son of Judah: Er father of Lecha and Laadah</w:t>
      </w:r>
      <w:r>
        <w:rPr>
          <w:rStyle w:val="FootnoteReference"/>
        </w:rPr>
        <w:footnoteReference w:id="7911"/>
      </w:r>
      <w:r>
        <w:t xml:space="preserve"> father of Mareshah and generations of houses of workers of fine linen for the house of Esoba.</w:t>
      </w:r>
    </w:p>
    <w:p>
      <w:r>
        <w:rPr>
          <w:b/>
        </w:rPr>
        <w:t xml:space="preserve">22 </w:t>
      </w:r>
      <w:r>
        <w:t xml:space="preserve">And Joakim and men of Chozeba</w:t>
      </w:r>
      <w:r>
        <w:rPr>
          <w:rStyle w:val="FootnoteReference"/>
        </w:rPr>
        <w:footnoteReference w:id="7912"/>
      </w:r>
      <w:r>
        <w:t xml:space="preserve"> and Joash and Saraph</w:t>
      </w:r>
      <w:r>
        <w:rPr>
          <w:rStyle w:val="FootnoteReference"/>
        </w:rPr>
        <w:footnoteReference w:id="7913"/>
      </w:r>
      <w:r>
        <w:t xml:space="preserve">, who dwelt in Moab and brought them back to Abedeirin Athoukiin.</w:t>
      </w:r>
    </w:p>
    <w:p>
      <w:r>
        <w:rPr>
          <w:b/>
        </w:rPr>
        <w:t xml:space="preserve">23 </w:t>
      </w:r>
      <w:r>
        <w:t xml:space="preserve">These were potters, those dwelling in Nataim and Gadira. With the king in his kingdom they strengthened and dwelt there.</w:t>
      </w:r>
    </w:p>
    <w:p>
      <w:r>
        <w:rPr>
          <w:b/>
        </w:rPr>
        <w:t xml:space="preserve">24 </w:t>
      </w:r>
      <w:r>
        <w:t xml:space="preserve">Sons of Simeon: Nemuel</w:t>
      </w:r>
      <w:r>
        <w:rPr>
          <w:rStyle w:val="FootnoteReference"/>
        </w:rPr>
        <w:footnoteReference w:id="7914"/>
      </w:r>
      <w:r>
        <w:t xml:space="preserve"> and Jamin, Jarib</w:t>
      </w:r>
      <w:r>
        <w:rPr>
          <w:rStyle w:val="FootnoteReference"/>
        </w:rPr>
        <w:footnoteReference w:id="7915"/>
      </w:r>
      <w:r>
        <w:t xml:space="preserve">, Zerah, Saul,</w:t>
      </w:r>
    </w:p>
    <w:p>
      <w:r>
        <w:rPr>
          <w:b/>
        </w:rPr>
        <w:t xml:space="preserve">25 </w:t>
      </w:r>
      <w:r>
        <w:t xml:space="preserve">Salem his son, Mibsam his son, Massa his son,</w:t>
      </w:r>
    </w:p>
    <w:p>
      <w:r>
        <w:rPr>
          <w:b/>
        </w:rPr>
        <w:t xml:space="preserve">26 </w:t>
      </w:r>
      <w:r>
        <w:t xml:space="preserve">Amouel his son, Saboud his son, Zakchour his son, Shimei his son.</w:t>
      </w:r>
    </w:p>
    <w:p>
      <w:r>
        <w:rPr>
          <w:b/>
        </w:rPr>
        <w:t xml:space="preserve">27 </w:t>
      </w:r>
      <w:r>
        <w:t xml:space="preserve">And to Shimei were sixteen sons and three daughters, and to their brothers there were not many sons, and all their families did not multiply like sons of Judah.</w:t>
      </w:r>
    </w:p>
    <w:p>
      <w:r>
        <w:rPr>
          <w:b/>
        </w:rPr>
        <w:t xml:space="preserve">28 </w:t>
      </w:r>
      <w:r>
        <w:t xml:space="preserve">And they dwelt in Beersheba</w:t>
      </w:r>
      <w:r>
        <w:rPr>
          <w:rStyle w:val="FootnoteReference"/>
        </w:rPr>
        <w:footnoteReference w:id="7916"/>
      </w:r>
      <w:r>
        <w:t xml:space="preserve"> and Sheba and Moladah and Esersoual</w:t>
      </w:r>
    </w:p>
    <w:p>
      <w:r>
        <w:rPr>
          <w:b/>
        </w:rPr>
        <w:t xml:space="preserve">29 </w:t>
      </w:r>
      <w:r>
        <w:t xml:space="preserve">and in Bilhah</w:t>
      </w:r>
      <w:r>
        <w:rPr>
          <w:rStyle w:val="FootnoteReference"/>
        </w:rPr>
        <w:footnoteReference w:id="7917"/>
      </w:r>
      <w:r>
        <w:t xml:space="preserve"> and Ezem</w:t>
      </w:r>
      <w:r>
        <w:rPr>
          <w:rStyle w:val="FootnoteReference"/>
        </w:rPr>
        <w:footnoteReference w:id="7918"/>
      </w:r>
      <w:r>
        <w:t xml:space="preserve"> and Tolad</w:t>
      </w:r>
      <w:r>
        <w:rPr>
          <w:rStyle w:val="FootnoteReference"/>
        </w:rPr>
        <w:footnoteReference w:id="7919"/>
      </w:r>
      <w:r>
        <w:t xml:space="preserve"/>
      </w:r>
    </w:p>
    <w:p>
      <w:r>
        <w:rPr>
          <w:b/>
        </w:rPr>
        <w:t xml:space="preserve">30 </w:t>
      </w:r>
      <w:r>
        <w:t xml:space="preserve">and Bethuel</w:t>
      </w:r>
      <w:r>
        <w:rPr>
          <w:rStyle w:val="FootnoteReference"/>
        </w:rPr>
        <w:footnoteReference w:id="7920"/>
      </w:r>
      <w:r>
        <w:t xml:space="preserve"> and Hormah and Ziklag</w:t>
      </w:r>
    </w:p>
    <w:p>
      <w:r>
        <w:rPr>
          <w:b/>
        </w:rPr>
        <w:t xml:space="preserve">31 </w:t>
      </w:r>
      <w:r>
        <w:t xml:space="preserve">and Bethmarcaboth and Hemi-soseim and house of Baroumseorim. These were their cities until King David.</w:t>
      </w:r>
    </w:p>
    <w:p>
      <w:r>
        <w:rPr>
          <w:b/>
        </w:rPr>
        <w:t xml:space="preserve">32 </w:t>
      </w:r>
      <w:r>
        <w:t xml:space="preserve">And their villages were Etam</w:t>
      </w:r>
      <w:r>
        <w:rPr>
          <w:rStyle w:val="FootnoteReference"/>
        </w:rPr>
        <w:footnoteReference w:id="7921"/>
      </w:r>
      <w:r>
        <w:t xml:space="preserve"> and Enremmon and Thokkan and Ashan, five cities,</w:t>
      </w:r>
    </w:p>
    <w:p>
      <w:r>
        <w:rPr>
          <w:b/>
        </w:rPr>
        <w:t xml:space="preserve">33 </w:t>
      </w:r>
      <w:r>
        <w:t xml:space="preserve">and all their villages around these cities as far as Baal</w:t>
      </w:r>
      <w:r>
        <w:rPr>
          <w:rStyle w:val="FootnoteReference"/>
        </w:rPr>
        <w:footnoteReference w:id="7922"/>
      </w:r>
      <w:r>
        <w:t xml:space="preserve">. This was their possession and their encampment.</w:t>
      </w:r>
    </w:p>
    <w:p>
      <w:r>
        <w:rPr>
          <w:b/>
        </w:rPr>
        <w:t xml:space="preserve">34 </w:t>
      </w:r>
      <w:r>
        <w:t xml:space="preserve">And Mosobab and Iemoloch and Joshah</w:t>
      </w:r>
      <w:r>
        <w:rPr>
          <w:rStyle w:val="FootnoteReference"/>
        </w:rPr>
        <w:footnoteReference w:id="7923"/>
      </w:r>
      <w:r>
        <w:t xml:space="preserve"> son of Amaziah</w:t>
      </w:r>
    </w:p>
    <w:p>
      <w:r>
        <w:rPr>
          <w:b/>
        </w:rPr>
        <w:t xml:space="preserve">35 </w:t>
      </w:r>
      <w:r>
        <w:t xml:space="preserve">and Joel, and this one was the son of Isabia son of Seraiah son of Asiel,</w:t>
      </w:r>
    </w:p>
    <w:p>
      <w:r>
        <w:rPr>
          <w:b/>
        </w:rPr>
        <w:t xml:space="preserve">36 </w:t>
      </w:r>
      <w:r>
        <w:t xml:space="preserve">and Elioenai and Jaakobah</w:t>
      </w:r>
      <w:r>
        <w:rPr>
          <w:rStyle w:val="FootnoteReference"/>
        </w:rPr>
        <w:footnoteReference w:id="7924"/>
      </w:r>
      <w:r>
        <w:t xml:space="preserve"> and Iasouia and Asaiah and Adiel</w:t>
      </w:r>
      <w:r>
        <w:rPr>
          <w:rStyle w:val="FootnoteReference"/>
        </w:rPr>
        <w:footnoteReference w:id="7925"/>
      </w:r>
      <w:r>
        <w:t xml:space="preserve"> and Ishmael and Benaiah</w:t>
      </w:r>
    </w:p>
    <w:p>
      <w:r>
        <w:rPr>
          <w:b/>
        </w:rPr>
        <w:t xml:space="preserve">37 </w:t>
      </w:r>
      <w:r>
        <w:t xml:space="preserve">and Ziza</w:t>
      </w:r>
      <w:r>
        <w:rPr>
          <w:rStyle w:val="FootnoteReference"/>
        </w:rPr>
        <w:footnoteReference w:id="7926"/>
      </w:r>
      <w:r>
        <w:t xml:space="preserve"> son of Shiphi</w:t>
      </w:r>
      <w:r>
        <w:rPr>
          <w:rStyle w:val="FootnoteReference"/>
        </w:rPr>
        <w:footnoteReference w:id="7927"/>
      </w:r>
      <w:r>
        <w:t xml:space="preserve"> son of Allon son of Jedaiah son of Shimri</w:t>
      </w:r>
      <w:r>
        <w:rPr>
          <w:rStyle w:val="FootnoteReference"/>
        </w:rPr>
        <w:footnoteReference w:id="7928"/>
      </w:r>
      <w:r>
        <w:t xml:space="preserve"> son of Shemaiah.</w:t>
      </w:r>
      <w:r>
        <w:rPr>
          <w:rStyle w:val="FootnoteReference"/>
        </w:rPr>
        <w:footnoteReference w:id="7929"/>
      </w:r>
    </w:p>
    <w:p>
      <w:r>
        <w:rPr>
          <w:b/>
        </w:rPr>
        <w:t xml:space="preserve">38 </w:t>
      </w:r>
      <w:r>
        <w:t xml:space="preserve">These who came by names were rulers in their generations, and in the houses of their fathers they were multiplied into a multitude.</w:t>
      </w:r>
    </w:p>
    <w:p>
      <w:r>
        <w:rPr>
          <w:b/>
        </w:rPr>
        <w:t xml:space="preserve">39 </w:t>
      </w:r>
      <w:r>
        <w:t xml:space="preserve">And they went until coming to Gerar, to the east of the valley, to seek pasture for their cattle.</w:t>
      </w:r>
    </w:p>
    <w:p>
      <w:r>
        <w:rPr>
          <w:b/>
        </w:rPr>
        <w:t xml:space="preserve">40 </w:t>
      </w:r>
      <w:r>
        <w:t xml:space="preserve">And they found rich and good pasture, and the land before them was wide, and peace and quiet, because from the sons of Ham those dwelling there had been before.</w:t>
      </w:r>
    </w:p>
    <w:p>
      <w:r>
        <w:rPr>
          <w:b/>
        </w:rPr>
        <w:t xml:space="preserve">41 </w:t>
      </w:r>
      <w:r>
        <w:t xml:space="preserve">And these who were written by name came in the days of Hezekiah</w:t>
      </w:r>
      <w:r>
        <w:rPr>
          <w:rStyle w:val="FootnoteReference"/>
        </w:rPr>
        <w:footnoteReference w:id="7930"/>
      </w:r>
      <w:r>
        <w:t xml:space="preserve"> king of Judah and struck their houses and the Meunites</w:t>
      </w:r>
      <w:r>
        <w:rPr>
          <w:rStyle w:val="FootnoteReference"/>
        </w:rPr>
        <w:footnoteReference w:id="7931"/>
      </w:r>
      <w:r>
        <w:t xml:space="preserve"> whom they found there and devoted them until this day and dwelt in their place, because there was pasture there for their cattle.</w:t>
      </w:r>
      <w:r>
        <w:rPr>
          <w:rStyle w:val="FootnoteReference"/>
        </w:rPr>
        <w:footnoteReference w:id="7932"/>
      </w:r>
    </w:p>
    <w:p>
      <w:r>
        <w:rPr>
          <w:b/>
        </w:rPr>
        <w:t xml:space="preserve">42 </w:t>
      </w:r>
      <w:r>
        <w:t xml:space="preserve">And from them, from the sons of Simeon, five hundred men went to Mount Seir</w:t>
      </w:r>
      <w:r>
        <w:rPr>
          <w:rStyle w:val="FootnoteReference"/>
        </w:rPr>
        <w:footnoteReference w:id="7933"/>
      </w:r>
      <w:r>
        <w:t xml:space="preserve">, and Pelatiah and Neariah and Rephaiah and Uzziel, sons of Ishi, were their leaders.</w:t>
      </w:r>
    </w:p>
    <w:p>
      <w:r>
        <w:rPr>
          <w:b/>
        </w:rPr>
        <w:t xml:space="preserve">43 </w:t>
      </w:r>
      <w:r>
        <w:t xml:space="preserve">And they struck the remaining survivors of Amalek and dwelt there until this 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sons of Reuben, firstborn of Israel, because he was the firstborn, but when he went up upon the bed of his father, his blessing was given</w:t>
      </w:r>
      <w:r>
        <w:rPr>
          <w:rStyle w:val="FootnoteReference"/>
        </w:rPr>
        <w:footnoteReference w:id="7934"/>
      </w:r>
      <w:r>
        <w:t xml:space="preserve"> to his son Joseph son of Israel, and he was not enrolled for firstborn rights,</w:t>
      </w:r>
    </w:p>
    <w:p>
      <w:r>
        <w:rPr>
          <w:b/>
        </w:rPr>
        <w:t xml:space="preserve">2 </w:t>
      </w:r>
      <w:r>
        <w:t xml:space="preserve">because Judah</w:t>
      </w:r>
      <w:r>
        <w:rPr>
          <w:rStyle w:val="FootnoteReference"/>
        </w:rPr>
        <w:footnoteReference w:id="7935"/>
      </w:r>
      <w:r>
        <w:t xml:space="preserve"> was strong in power among his brothers, and from him came a ruler, but the blessing was Joseph's.</w:t>
      </w:r>
    </w:p>
    <w:p>
      <w:r>
        <w:rPr>
          <w:b/>
        </w:rPr>
        <w:t xml:space="preserve">3 </w:t>
      </w:r>
      <w:r>
        <w:t xml:space="preserve">Sons of Reuben firstborn of Israel: Enoch, Pallu</w:t>
      </w:r>
      <w:r>
        <w:rPr>
          <w:rStyle w:val="FootnoteReference"/>
        </w:rPr>
        <w:footnoteReference w:id="7936"/>
      </w:r>
      <w:r>
        <w:t xml:space="preserve">, Hezron, and Carmi.</w:t>
      </w:r>
    </w:p>
    <w:p>
      <w:r>
        <w:rPr>
          <w:b/>
        </w:rPr>
        <w:t xml:space="preserve">4 </w:t>
      </w:r>
      <w:r>
        <w:t xml:space="preserve">Sons of Joel</w:t>
      </w:r>
      <w:r>
        <w:rPr>
          <w:rStyle w:val="FootnoteReference"/>
        </w:rPr>
        <w:footnoteReference w:id="7937"/>
      </w:r>
      <w:r>
        <w:t xml:space="preserve">: Shemaiah, and Benaiah his son, and sons of Gog son of Shemaiah,</w:t>
      </w:r>
    </w:p>
    <w:p>
      <w:r>
        <w:rPr>
          <w:b/>
        </w:rPr>
        <w:t xml:space="preserve">5 </w:t>
      </w:r>
      <w:r>
        <w:t xml:space="preserve">his son Micah, his son Recha, his son Baal,</w:t>
      </w:r>
    </w:p>
    <w:p>
      <w:r>
        <w:rPr>
          <w:b/>
        </w:rPr>
        <w:t xml:space="preserve">6 </w:t>
      </w:r>
      <w:r>
        <w:t xml:space="preserve">his son Beerah</w:t>
      </w:r>
      <w:r>
        <w:rPr>
          <w:rStyle w:val="FootnoteReference"/>
        </w:rPr>
        <w:footnoteReference w:id="7938"/>
      </w:r>
      <w:r>
        <w:t xml:space="preserve">, whom Tilgathpilneser</w:t>
      </w:r>
      <w:r>
        <w:rPr>
          <w:rStyle w:val="FootnoteReference"/>
        </w:rPr>
        <w:footnoteReference w:id="7939"/>
      </w:r>
      <w:r>
        <w:t xml:space="preserve"> king of Assyria</w:t>
      </w:r>
      <w:r>
        <w:rPr>
          <w:rStyle w:val="FootnoteReference"/>
        </w:rPr>
        <w:footnoteReference w:id="7940"/>
      </w:r>
      <w:r>
        <w:t xml:space="preserve"> deported. He was the ruler of the Reubenites.</w:t>
      </w:r>
      <w:r>
        <w:rPr>
          <w:rStyle w:val="FootnoteReference"/>
        </w:rPr>
        <w:footnoteReference w:id="7941"/>
      </w:r>
    </w:p>
    <w:p>
      <w:r>
        <w:rPr>
          <w:b/>
        </w:rPr>
        <w:t xml:space="preserve">7 </w:t>
      </w:r>
      <w:r>
        <w:t xml:space="preserve">And his brothers by his family in their encampments by their generations: the chief Joel and Zechariah,</w:t>
      </w:r>
    </w:p>
    <w:p>
      <w:r>
        <w:rPr>
          <w:b/>
        </w:rPr>
        <w:t xml:space="preserve">8 </w:t>
      </w:r>
      <w:r>
        <w:t xml:space="preserve">and Balek son of Ozouz son of Shammah son of Joel. He dwelt in Aroer</w:t>
      </w:r>
      <w:r>
        <w:rPr>
          <w:rStyle w:val="FootnoteReference"/>
        </w:rPr>
        <w:footnoteReference w:id="7942"/>
      </w:r>
      <w:r>
        <w:t xml:space="preserve"> and upon Nabaub and Baalmeon</w:t>
      </w:r>
      <w:r>
        <w:rPr>
          <w:rStyle w:val="FootnoteReference"/>
        </w:rPr>
        <w:footnoteReference w:id="7943"/>
      </w:r>
      <w:r>
        <w:t xml:space="preserve">,</w:t>
      </w:r>
    </w:p>
    <w:p>
      <w:r>
        <w:rPr>
          <w:b/>
        </w:rPr>
        <w:t xml:space="preserve">9 </w:t>
      </w:r>
      <w:r>
        <w:t xml:space="preserve">and toward the east he dwelt as far as entering of the wilderness from the river Euphrates</w:t>
      </w:r>
      <w:r>
        <w:rPr>
          <w:rStyle w:val="FootnoteReference"/>
        </w:rPr>
        <w:footnoteReference w:id="7944"/>
      </w:r>
      <w:r>
        <w:t xml:space="preserve">, because their cattle were many in the land of Gilead.</w:t>
      </w:r>
    </w:p>
    <w:p>
      <w:r>
        <w:rPr>
          <w:b/>
        </w:rPr>
        <w:t xml:space="preserve">10 </w:t>
      </w:r>
      <w:r>
        <w:t xml:space="preserve">And in the days of Saul they made war against the sojourners, and they fell into their hands, dwelling in tents as far as all the east of Gilead.</w:t>
      </w:r>
    </w:p>
    <w:p>
      <w:r>
        <w:rPr>
          <w:b/>
        </w:rPr>
        <w:t xml:space="preserve">11 </w:t>
      </w:r>
      <w:r>
        <w:t xml:space="preserve">Sons of Gad opposite them dwelt in Bashan as far as Salcah</w:t>
      </w:r>
      <w:r>
        <w:rPr>
          <w:rStyle w:val="FootnoteReference"/>
        </w:rPr>
        <w:footnoteReference w:id="7945"/>
      </w:r>
      <w:r>
        <w:t xml:space="preserve">.</w:t>
      </w:r>
    </w:p>
    <w:p>
      <w:r>
        <w:rPr>
          <w:b/>
        </w:rPr>
        <w:t xml:space="preserve">12 </w:t>
      </w:r>
      <w:r>
        <w:t xml:space="preserve">Joel</w:t>
      </w:r>
      <w:r>
        <w:rPr>
          <w:rStyle w:val="FootnoteReference"/>
        </w:rPr>
        <w:footnoteReference w:id="7946"/>
      </w:r>
      <w:r>
        <w:t xml:space="preserve"> the firstborn, and Shapham</w:t>
      </w:r>
      <w:r>
        <w:rPr>
          <w:rStyle w:val="FootnoteReference"/>
        </w:rPr>
        <w:footnoteReference w:id="7947"/>
      </w:r>
      <w:r>
        <w:t xml:space="preserve"> the second, and Iani the scribe, in Bashan.</w:t>
      </w:r>
    </w:p>
    <w:p>
      <w:r>
        <w:rPr>
          <w:b/>
        </w:rPr>
        <w:t xml:space="preserve">13 </w:t>
      </w:r>
      <w:r>
        <w:t xml:space="preserve">And their brothers according to the houses of their fathers: Michael</w:t>
      </w:r>
      <w:r>
        <w:rPr>
          <w:rStyle w:val="FootnoteReference"/>
        </w:rPr>
        <w:footnoteReference w:id="7948"/>
      </w:r>
      <w:r>
        <w:t xml:space="preserve">, Meshullam, Sheba, Ioree, Jachan</w:t>
      </w:r>
      <w:r>
        <w:rPr>
          <w:rStyle w:val="FootnoteReference"/>
        </w:rPr>
        <w:footnoteReference w:id="7949"/>
      </w:r>
      <w:r>
        <w:t xml:space="preserve">, Zoue, and Obed, seven.</w:t>
      </w:r>
    </w:p>
    <w:p>
      <w:r>
        <w:rPr>
          <w:b/>
        </w:rPr>
        <w:t xml:space="preserve">14 </w:t>
      </w:r>
      <w:r>
        <w:t xml:space="preserve">These were sons of Abihail</w:t>
      </w:r>
      <w:r>
        <w:rPr>
          <w:rStyle w:val="FootnoteReference"/>
        </w:rPr>
        <w:footnoteReference w:id="7950"/>
      </w:r>
      <w:r>
        <w:t xml:space="preserve"> son of Huri son of Idai son of Gilead son of Michael son of Jeshishai</w:t>
      </w:r>
      <w:r>
        <w:rPr>
          <w:rStyle w:val="FootnoteReference"/>
        </w:rPr>
        <w:footnoteReference w:id="7951"/>
      </w:r>
      <w:r>
        <w:t xml:space="preserve"> son of Iouri son of Buz,</w:t>
      </w:r>
    </w:p>
    <w:p>
      <w:r>
        <w:rPr>
          <w:b/>
        </w:rPr>
        <w:t xml:space="preserve">15 </w:t>
      </w:r>
      <w:r>
        <w:t xml:space="preserve">son of Abdiel</w:t>
      </w:r>
      <w:r>
        <w:rPr>
          <w:rStyle w:val="FootnoteReference"/>
        </w:rPr>
        <w:footnoteReference w:id="7952"/>
      </w:r>
      <w:r>
        <w:t xml:space="preserve"> son of Guni, chief of the house of fathers</w:t>
      </w:r>
      <w:r>
        <w:rPr>
          <w:rStyle w:val="FootnoteReference"/>
        </w:rPr>
        <w:footnoteReference w:id="7953"/>
      </w:r>
      <w:r>
        <w:t xml:space="preserve">.</w:t>
      </w:r>
      <w:r>
        <w:rPr>
          <w:rStyle w:val="FootnoteReference"/>
        </w:rPr>
        <w:footnoteReference w:id="7954"/>
      </w:r>
    </w:p>
    <w:p>
      <w:r>
        <w:rPr>
          <w:b/>
        </w:rPr>
        <w:t xml:space="preserve">16 </w:t>
      </w:r>
      <w:r>
        <w:t xml:space="preserve">They dwelt in Gilead</w:t>
      </w:r>
      <w:r>
        <w:rPr>
          <w:rStyle w:val="FootnoteReference"/>
        </w:rPr>
        <w:footnoteReference w:id="7955"/>
      </w:r>
      <w:r>
        <w:t xml:space="preserve"> in Bashan and in its towns and all the surrounding regions of Sharon, to their extremity.</w:t>
      </w:r>
    </w:p>
    <w:p>
      <w:r>
        <w:rPr>
          <w:b/>
        </w:rPr>
        <w:t xml:space="preserve">17 </w:t>
      </w:r>
      <w:r>
        <w:t xml:space="preserve">The enrollment of all of them was in the days of Jotham</w:t>
      </w:r>
      <w:r>
        <w:rPr>
          <w:rStyle w:val="FootnoteReference"/>
        </w:rPr>
        <w:footnoteReference w:id="7956"/>
      </w:r>
      <w:r>
        <w:t xml:space="preserve"> king of Judah and in the days of Jeroboam king of Israel.</w:t>
      </w:r>
    </w:p>
    <w:p>
      <w:r>
        <w:rPr>
          <w:b/>
        </w:rPr>
        <w:t xml:space="preserve">18 </w:t>
      </w:r>
      <w:r>
        <w:t xml:space="preserve">Sons of Reuben</w:t>
      </w:r>
      <w:r>
        <w:rPr>
          <w:rStyle w:val="FootnoteReference"/>
        </w:rPr>
        <w:footnoteReference w:id="7957"/>
      </w:r>
      <w:r>
        <w:t xml:space="preserve"> and Gad and half tribe of Manasseh, from the sons of power</w:t>
      </w:r>
      <w:r>
        <w:rPr>
          <w:rStyle w:val="FootnoteReference"/>
        </w:rPr>
        <w:footnoteReference w:id="7958"/>
      </w:r>
      <w:r>
        <w:t xml:space="preserve">, men bearing shields and sword and drawing bow and taught in war, forty-four thousand seven hundred sixty, going out to war.</w:t>
      </w:r>
    </w:p>
    <w:p>
      <w:r>
        <w:rPr>
          <w:b/>
        </w:rPr>
        <w:t xml:space="preserve">19 </w:t>
      </w:r>
      <w:r>
        <w:t xml:space="preserve">And they made war</w:t>
      </w:r>
      <w:r>
        <w:rPr>
          <w:rStyle w:val="FootnoteReference"/>
        </w:rPr>
        <w:footnoteReference w:id="7959"/>
      </w:r>
      <w:r>
        <w:t xml:space="preserve"> with the Hagarites</w:t>
      </w:r>
      <w:r>
        <w:rPr>
          <w:rStyle w:val="FootnoteReference"/>
        </w:rPr>
        <w:footnoteReference w:id="7960"/>
      </w:r>
      <w:r>
        <w:t xml:space="preserve"> and Jetur and Nephish</w:t>
      </w:r>
      <w:r>
        <w:rPr>
          <w:rStyle w:val="FootnoteReference"/>
        </w:rPr>
        <w:footnoteReference w:id="7961"/>
      </w:r>
      <w:r>
        <w:t xml:space="preserve"> and Nodab</w:t>
      </w:r>
      <w:r>
        <w:rPr>
          <w:rStyle w:val="FootnoteReference"/>
        </w:rPr>
        <w:footnoteReference w:id="7962"/>
      </w:r>
      <w:r>
        <w:t xml:space="preserve">.</w:t>
      </w:r>
    </w:p>
    <w:p>
      <w:r>
        <w:rPr>
          <w:b/>
        </w:rPr>
        <w:t xml:space="preserve">20 </w:t>
      </w:r>
      <w:r>
        <w:t xml:space="preserve">And they prevailed over them, and the Hagarites and all their tents were given into their hands, because they cried to God in the war, and he heard them, because they hoped in him</w:t>
      </w:r>
      <w:r>
        <w:rPr>
          <w:rStyle w:val="FootnoteReference"/>
        </w:rPr>
        <w:footnoteReference w:id="7963"/>
      </w:r>
      <w:r>
        <w:t xml:space="preserve">.</w:t>
      </w:r>
    </w:p>
    <w:p>
      <w:r>
        <w:rPr>
          <w:b/>
        </w:rPr>
        <w:t xml:space="preserve">21 </w:t>
      </w:r>
      <w:r>
        <w:t xml:space="preserve">And they took captive their goods: five thousand camels, two hundred fifty thousand sheep, two thousand donkeys, and one hundred thousand human lives.</w:t>
      </w:r>
    </w:p>
    <w:p>
      <w:r>
        <w:rPr>
          <w:b/>
        </w:rPr>
        <w:t xml:space="preserve">22 </w:t>
      </w:r>
      <w:r>
        <w:t xml:space="preserve">Because many wounded fell, because the war was from God. And they dwelt</w:t>
      </w:r>
      <w:r>
        <w:rPr>
          <w:rStyle w:val="FootnoteReference"/>
        </w:rPr>
        <w:footnoteReference w:id="7964"/>
      </w:r>
      <w:r>
        <w:t xml:space="preserve"> in their place until the exile.</w:t>
      </w:r>
    </w:p>
    <w:p>
      <w:r>
        <w:rPr>
          <w:b/>
        </w:rPr>
        <w:t xml:space="preserve">23 </w:t>
      </w:r>
      <w:r>
        <w:t xml:space="preserve">And the half tribe of Manasseh dwelt in the land from Bashan to Baalhermon</w:t>
      </w:r>
      <w:r>
        <w:rPr>
          <w:rStyle w:val="FootnoteReference"/>
        </w:rPr>
        <w:footnoteReference w:id="7965"/>
      </w:r>
      <w:r>
        <w:t xml:space="preserve"> and Senir and Mount Hermon and in Lebanon. They multiplied.</w:t>
      </w:r>
    </w:p>
    <w:p>
      <w:r>
        <w:rPr>
          <w:b/>
        </w:rPr>
        <w:t xml:space="preserve">24 </w:t>
      </w:r>
      <w:r>
        <w:t xml:space="preserve">And these were chiefs of houses of their fathers: Hepher and Ishi and Eliel</w:t>
      </w:r>
      <w:r>
        <w:rPr>
          <w:rStyle w:val="FootnoteReference"/>
        </w:rPr>
        <w:footnoteReference w:id="7966"/>
      </w:r>
      <w:r>
        <w:t xml:space="preserve"> and Azriel and Jeremiah and Hodaiah and Jahdiel</w:t>
      </w:r>
      <w:r>
        <w:rPr>
          <w:rStyle w:val="FootnoteReference"/>
        </w:rPr>
        <w:footnoteReference w:id="7967"/>
      </w:r>
      <w:r>
        <w:t xml:space="preserve">, mighty men of power, men of name, chiefs of houses of their fathers.</w:t>
      </w:r>
      <w:r>
        <w:rPr>
          <w:rStyle w:val="FootnoteReference"/>
        </w:rPr>
        <w:footnoteReference w:id="7968"/>
      </w:r>
    </w:p>
    <w:p>
      <w:r>
        <w:rPr>
          <w:b/>
        </w:rPr>
        <w:t xml:space="preserve">25 </w:t>
      </w:r>
      <w:r>
        <w:t xml:space="preserve">And they transgressed against the God of their fathers and whored after the gods</w:t>
      </w:r>
      <w:r>
        <w:rPr>
          <w:rStyle w:val="FootnoteReference"/>
        </w:rPr>
        <w:footnoteReference w:id="7969"/>
      </w:r>
      <w:r>
        <w:t xml:space="preserve"> of the peoples of the land, whom God drove out from before them.</w:t>
      </w:r>
      <w:r>
        <w:rPr>
          <w:rStyle w:val="FootnoteReference"/>
        </w:rPr>
        <w:footnoteReference w:id="7970"/>
      </w:r>
    </w:p>
    <w:p>
      <w:r>
        <w:rPr>
          <w:b/>
        </w:rPr>
        <w:t xml:space="preserve">26 </w:t>
      </w:r>
      <w:r>
        <w:t xml:space="preserve">And the God of Israel stirred up</w:t>
      </w:r>
      <w:r>
        <w:rPr>
          <w:rStyle w:val="FootnoteReference"/>
        </w:rPr>
        <w:footnoteReference w:id="7971"/>
      </w:r>
      <w:r>
        <w:t xml:space="preserve"> the spirit of Pul king of Assyria and the spirit of Tilgathpilneser king of Assyria, and he deported</w:t>
      </w:r>
      <w:r>
        <w:rPr>
          <w:rStyle w:val="FootnoteReference"/>
        </w:rPr>
        <w:footnoteReference w:id="7972"/>
      </w:r>
      <w:r>
        <w:t xml:space="preserve"> Reuben and the Gadites</w:t>
      </w:r>
      <w:r>
        <w:rPr>
          <w:rStyle w:val="FootnoteReference"/>
        </w:rPr>
        <w:footnoteReference w:id="7973"/>
      </w:r>
      <w:r>
        <w:t xml:space="preserve"> and the half tribe of Manasseh, and brought them to Calah and Habor and Hara</w:t>
      </w:r>
      <w:r>
        <w:rPr>
          <w:rStyle w:val="FootnoteReference"/>
        </w:rPr>
        <w:footnoteReference w:id="7974"/>
      </w:r>
      <w:r>
        <w:t xml:space="preserve"> and to the river Gozan, until this day.</w:t>
      </w:r>
    </w:p>
    <w:p>
      <w:r>
        <w:rPr>
          <w:b/>
        </w:rPr>
        <w:t xml:space="preserve">27 </w:t>
      </w:r>
      <w:r>
        <w:t xml:space="preserve">Sons of Levi: Gershon, Kohath, and Merari.</w:t>
      </w:r>
    </w:p>
    <w:p>
      <w:r>
        <w:rPr>
          <w:b/>
        </w:rPr>
        <w:t xml:space="preserve">28 </w:t>
      </w:r>
      <w:r>
        <w:t xml:space="preserve">And sons of Kohath: Amram, Izhar, Hebron, and Uzziel.</w:t>
      </w:r>
    </w:p>
    <w:p>
      <w:r>
        <w:rPr>
          <w:b/>
        </w:rPr>
        <w:t xml:space="preserve">29 </w:t>
      </w:r>
      <w:r>
        <w:t xml:space="preserve">And sons of Amram: Aaron, Moses, and Miriam. And sons of Aaron: Nadab and Abihu, Eleazar and Ithamar.</w:t>
      </w:r>
    </w:p>
    <w:p>
      <w:r>
        <w:rPr>
          <w:b/>
        </w:rPr>
        <w:t xml:space="preserve">30 </w:t>
      </w:r>
      <w:r>
        <w:t xml:space="preserve">Eleazar begot Phinehas, Phinehas begot Abishua</w:t>
      </w:r>
      <w:r>
        <w:rPr>
          <w:rStyle w:val="FootnoteReference"/>
        </w:rPr>
        <w:footnoteReference w:id="7975"/>
      </w:r>
      <w:r>
        <w:t xml:space="preserve">,</w:t>
      </w:r>
    </w:p>
    <w:p>
      <w:r>
        <w:rPr>
          <w:b/>
        </w:rPr>
        <w:t xml:space="preserve">31 </w:t>
      </w:r>
      <w:r>
        <w:t xml:space="preserve">Abishua begot Bukki</w:t>
      </w:r>
      <w:r>
        <w:rPr>
          <w:rStyle w:val="FootnoteReference"/>
        </w:rPr>
        <w:footnoteReference w:id="7976"/>
      </w:r>
      <w:r>
        <w:t xml:space="preserve">, Bukki begot Uzzi</w:t>
      </w:r>
      <w:r>
        <w:rPr>
          <w:rStyle w:val="FootnoteReference"/>
        </w:rPr>
        <w:footnoteReference w:id="7977"/>
      </w:r>
      <w:r>
        <w:t xml:space="preserve">,</w:t>
      </w:r>
    </w:p>
    <w:p>
      <w:r>
        <w:rPr>
          <w:b/>
        </w:rPr>
        <w:t xml:space="preserve">32 </w:t>
      </w:r>
      <w:r>
        <w:t xml:space="preserve">Uzzi begot Zerahiah</w:t>
      </w:r>
      <w:r>
        <w:rPr>
          <w:rStyle w:val="FootnoteReference"/>
        </w:rPr>
        <w:footnoteReference w:id="7978"/>
      </w:r>
      <w:r>
        <w:t xml:space="preserve">, Zerahiah begot Meraioth</w:t>
      </w:r>
      <w:r>
        <w:rPr>
          <w:rStyle w:val="FootnoteReference"/>
        </w:rPr>
        <w:footnoteReference w:id="7979"/>
      </w:r>
      <w:r>
        <w:t xml:space="preserve">,</w:t>
      </w:r>
    </w:p>
    <w:p>
      <w:r>
        <w:rPr>
          <w:b/>
        </w:rPr>
        <w:t xml:space="preserve">33 </w:t>
      </w:r>
      <w:r>
        <w:t xml:space="preserve">and Meraioth begot Amariah</w:t>
      </w:r>
      <w:r>
        <w:rPr>
          <w:rStyle w:val="FootnoteReference"/>
        </w:rPr>
        <w:footnoteReference w:id="7980"/>
      </w:r>
      <w:r>
        <w:t xml:space="preserve">, and Amariah begot Ahitub,</w:t>
      </w:r>
    </w:p>
    <w:p>
      <w:r>
        <w:rPr>
          <w:b/>
        </w:rPr>
        <w:t xml:space="preserve">34 </w:t>
      </w:r>
      <w:r>
        <w:t xml:space="preserve">and Ahitub begot Zadok, and Zadok begot Ahimaaz,</w:t>
      </w:r>
    </w:p>
    <w:p>
      <w:r>
        <w:rPr>
          <w:b/>
        </w:rPr>
        <w:t xml:space="preserve">35 </w:t>
      </w:r>
      <w:r>
        <w:t xml:space="preserve">and Ahimaaz begot Azariah, and Azariah begot Johanan,</w:t>
      </w:r>
    </w:p>
    <w:p>
      <w:r>
        <w:rPr>
          <w:b/>
        </w:rPr>
        <w:t xml:space="preserve">36 </w:t>
      </w:r>
      <w:r>
        <w:t xml:space="preserve">and Johanan begot Azariah. This one served as priest in the house which Solomon built in Jerusalem.</w:t>
      </w:r>
    </w:p>
    <w:p>
      <w:r>
        <w:rPr>
          <w:b/>
        </w:rPr>
        <w:t xml:space="preserve">37 </w:t>
      </w:r>
      <w:r>
        <w:t xml:space="preserve">And Azariah begot Amariah, and Amariah begot Ahitub,</w:t>
      </w:r>
    </w:p>
    <w:p>
      <w:r>
        <w:rPr>
          <w:b/>
        </w:rPr>
        <w:t xml:space="preserve">38 </w:t>
      </w:r>
      <w:r>
        <w:t xml:space="preserve">and Ahitub begot Zadok, and Zadok begot Shallum,</w:t>
      </w:r>
    </w:p>
    <w:p>
      <w:r>
        <w:rPr>
          <w:b/>
        </w:rPr>
        <w:t xml:space="preserve">39 </w:t>
      </w:r>
      <w:r>
        <w:t xml:space="preserve">and Shallum begot Chelkian, and Hilkiah begot Azariah,</w:t>
      </w:r>
    </w:p>
    <w:p>
      <w:r>
        <w:rPr>
          <w:b/>
        </w:rPr>
        <w:t xml:space="preserve">40 </w:t>
      </w:r>
      <w:r>
        <w:t xml:space="preserve">and Azariah begot Seraiah, and Seraiah begot Jehozadak</w:t>
      </w:r>
      <w:r>
        <w:rPr>
          <w:rStyle w:val="FootnoteReference"/>
        </w:rPr>
        <w:footnoteReference w:id="7981"/>
      </w:r>
      <w:r>
        <w:t xml:space="preserve">.</w:t>
      </w:r>
    </w:p>
    <w:p>
      <w:r>
        <w:rPr>
          <w:b/>
        </w:rPr>
        <w:t xml:space="preserve">41 </w:t>
      </w:r>
      <w:r>
        <w:t xml:space="preserve">And Jehozadak went away in the exile with Judah and Jerusalem by the hand of Nebuchadnezzar.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Sons of Levi</w:t>
      </w:r>
      <w:r>
        <w:rPr>
          <w:rStyle w:val="FootnoteReference"/>
        </w:rPr>
        <w:footnoteReference w:id="7982"/>
      </w:r>
      <w:r>
        <w:t xml:space="preserve">: Gershon, Kohath, and Merari.</w:t>
      </w:r>
    </w:p>
    <w:p>
      <w:r>
        <w:rPr>
          <w:b/>
        </w:rPr>
        <w:t xml:space="preserve">2 </w:t>
      </w:r>
      <w:r>
        <w:t xml:space="preserve">And these are names of the sons of Gershon: Libni and Shimi.</w:t>
      </w:r>
    </w:p>
    <w:p>
      <w:r>
        <w:rPr>
          <w:b/>
        </w:rPr>
        <w:t xml:space="preserve">3 </w:t>
      </w:r>
      <w:r>
        <w:t xml:space="preserve">Sons of Kohath: Amram, Izhar, Hebron, and Uzziel.</w:t>
      </w:r>
      <w:r>
        <w:rPr>
          <w:rStyle w:val="FootnoteReference"/>
        </w:rPr>
        <w:footnoteReference w:id="7983"/>
      </w:r>
      <w:r>
        <w:t xml:space="preserve"/>
      </w:r>
    </w:p>
    <w:p>
      <w:r>
        <w:rPr>
          <w:b/>
        </w:rPr>
        <w:t xml:space="preserve">4 </w:t>
      </w:r>
      <w:r>
        <w:t xml:space="preserve">Sons of Merari: Mahali and Mushi. And these are families of Levi according to their families.</w:t>
      </w:r>
      <w:r>
        <w:rPr>
          <w:rStyle w:val="FootnoteReference"/>
        </w:rPr>
        <w:footnoteReference w:id="7984"/>
      </w:r>
      <w:r>
        <w:t xml:space="preserve"/>
      </w:r>
      <w:r>
        <w:rPr>
          <w:rStyle w:val="FootnoteReference"/>
        </w:rPr>
        <w:footnoteReference w:id="7985"/>
      </w:r>
    </w:p>
    <w:p>
      <w:r>
        <w:rPr>
          <w:b/>
        </w:rPr>
        <w:t xml:space="preserve">5 </w:t>
      </w:r>
      <w:r>
        <w:t xml:space="preserve">To Gershon: Libni his son, Ieeeth his son, Zemma his son,</w:t>
      </w:r>
      <w:r>
        <w:rPr>
          <w:rStyle w:val="FootnoteReference"/>
        </w:rPr>
        <w:footnoteReference w:id="7986"/>
      </w:r>
      <w:r>
        <w:t xml:space="preserve"/>
      </w:r>
    </w:p>
    <w:p>
      <w:r>
        <w:rPr>
          <w:b/>
        </w:rPr>
        <w:t xml:space="preserve">6 </w:t>
      </w:r>
      <w:r>
        <w:t xml:space="preserve">Joab</w:t>
      </w:r>
      <w:r>
        <w:rPr>
          <w:rStyle w:val="FootnoteReference"/>
        </w:rPr>
        <w:footnoteReference w:id="7987"/>
      </w:r>
      <w:r>
        <w:t xml:space="preserve"> his son, Addi his son, Zerah his son, Jethri</w:t>
      </w:r>
      <w:r>
        <w:rPr>
          <w:rStyle w:val="FootnoteReference"/>
        </w:rPr>
        <w:footnoteReference w:id="7988"/>
      </w:r>
      <w:r>
        <w:t xml:space="preserve"> his son.</w:t>
      </w:r>
      <w:r>
        <w:rPr>
          <w:rStyle w:val="FootnoteReference"/>
        </w:rPr>
        <w:footnoteReference w:id="7989"/>
      </w:r>
    </w:p>
    <w:p>
      <w:r>
        <w:rPr>
          <w:b/>
        </w:rPr>
        <w:t xml:space="preserve">7 </w:t>
      </w:r>
      <w:r>
        <w:t xml:space="preserve">Sons of Kohath: Amminadab his son, Kore his son, Assir his son,</w:t>
      </w:r>
      <w:r>
        <w:rPr>
          <w:rStyle w:val="FootnoteReference"/>
        </w:rPr>
        <w:footnoteReference w:id="7990"/>
      </w:r>
      <w:r>
        <w:t xml:space="preserve"/>
      </w:r>
    </w:p>
    <w:p>
      <w:r>
        <w:rPr>
          <w:b/>
        </w:rPr>
        <w:t xml:space="preserve">8 </w:t>
      </w:r>
      <w:r>
        <w:t xml:space="preserve">Elkanah his son, and Abiasaph his son, Assir his son,</w:t>
      </w:r>
    </w:p>
    <w:p>
      <w:r>
        <w:rPr>
          <w:b/>
        </w:rPr>
        <w:t xml:space="preserve">9 </w:t>
      </w:r>
      <w:r>
        <w:t xml:space="preserve">Tahath his son, Uriel</w:t>
      </w:r>
      <w:r>
        <w:rPr>
          <w:rStyle w:val="FootnoteReference"/>
        </w:rPr>
        <w:footnoteReference w:id="7991"/>
      </w:r>
      <w:r>
        <w:t xml:space="preserve"> his son, Uzziah his son, Saul his son.</w:t>
      </w:r>
      <w:r>
        <w:rPr>
          <w:rStyle w:val="FootnoteReference"/>
        </w:rPr>
        <w:footnoteReference w:id="7992"/>
      </w:r>
    </w:p>
    <w:p>
      <w:r>
        <w:rPr>
          <w:b/>
        </w:rPr>
        <w:t xml:space="preserve">10 </w:t>
      </w:r>
      <w:r>
        <w:t xml:space="preserve">And sons of Elkanah: Amasai and Achimoth.</w:t>
      </w:r>
      <w:r>
        <w:rPr>
          <w:rStyle w:val="FootnoteReference"/>
        </w:rPr>
        <w:footnoteReference w:id="7993"/>
      </w:r>
      <w:r>
        <w:t xml:space="preserve"/>
      </w:r>
      <w:r>
        <w:rPr>
          <w:rStyle w:val="FootnoteReference"/>
        </w:rPr>
        <w:footnoteReference w:id="7994"/>
      </w:r>
    </w:p>
    <w:p>
      <w:r>
        <w:rPr>
          <w:b/>
        </w:rPr>
        <w:t xml:space="preserve">11 </w:t>
      </w:r>
      <w:r>
        <w:t xml:space="preserve">Elkanah his son, Zophai</w:t>
      </w:r>
      <w:r>
        <w:rPr>
          <w:rStyle w:val="FootnoteReference"/>
        </w:rPr>
        <w:footnoteReference w:id="7995"/>
      </w:r>
      <w:r>
        <w:t xml:space="preserve"> his son, and Naath his son,</w:t>
      </w:r>
    </w:p>
    <w:p>
      <w:r>
        <w:rPr>
          <w:b/>
        </w:rPr>
        <w:t xml:space="preserve">12 </w:t>
      </w:r>
      <w:r>
        <w:t xml:space="preserve">Eliab his son, Idaer his son, Elkanah his son.</w:t>
      </w:r>
      <w:r>
        <w:rPr>
          <w:rStyle w:val="FootnoteReference"/>
        </w:rPr>
        <w:footnoteReference w:id="7996"/>
      </w:r>
      <w:r>
        <w:t xml:space="preserve"/>
      </w:r>
    </w:p>
    <w:p>
      <w:r>
        <w:rPr>
          <w:b/>
        </w:rPr>
        <w:t xml:space="preserve">13 </w:t>
      </w:r>
      <w:r>
        <w:t xml:space="preserve">Sons of Samuel: the firstborn Sani and Abijah.</w:t>
      </w:r>
      <w:r>
        <w:rPr>
          <w:rStyle w:val="FootnoteReference"/>
        </w:rPr>
        <w:footnoteReference w:id="7997"/>
      </w:r>
      <w:r>
        <w:t xml:space="preserve"/>
      </w:r>
    </w:p>
    <w:p>
      <w:r>
        <w:rPr>
          <w:b/>
        </w:rPr>
        <w:t xml:space="preserve">14 </w:t>
      </w:r>
      <w:r>
        <w:t xml:space="preserve">Sons of Merari: Mahali, Libni his son, Shimei his son, Uzza his son,</w:t>
      </w:r>
    </w:p>
    <w:p>
      <w:r>
        <w:rPr>
          <w:b/>
        </w:rPr>
        <w:t xml:space="preserve">15 </w:t>
      </w:r>
      <w:r>
        <w:t xml:space="preserve">Somea his son, Aggia his son, Asaiah his son.</w:t>
      </w:r>
      <w:r>
        <w:rPr>
          <w:rStyle w:val="FootnoteReference"/>
        </w:rPr>
        <w:footnoteReference w:id="7998"/>
      </w:r>
    </w:p>
    <w:p>
      <w:r>
        <w:rPr>
          <w:b/>
        </w:rPr>
        <w:t xml:space="preserve">16 </w:t>
      </w:r>
      <w:r>
        <w:t xml:space="preserve">And these are whom David appointed by the hands of singers in the house of the Lord, when the ark came to rest.</w:t>
      </w:r>
    </w:p>
    <w:p>
      <w:r>
        <w:rPr>
          <w:b/>
        </w:rPr>
        <w:t xml:space="preserve">17 </w:t>
      </w:r>
      <w:r>
        <w:t xml:space="preserve">And they were ministering before the tent of the house of testimony with instruments until Solomon built the house of the Lord in Jerusalem, and they stood according to their judgment over their services.</w:t>
      </w:r>
    </w:p>
    <w:p>
      <w:r>
        <w:rPr>
          <w:b/>
        </w:rPr>
        <w:t xml:space="preserve">18 </w:t>
      </w:r>
      <w:r>
        <w:t xml:space="preserve">And these are those standing, and their sons. From the sons of Kohath: Heman the singer, son of Joel son of Samuel,</w:t>
      </w:r>
    </w:p>
    <w:p>
      <w:r>
        <w:rPr>
          <w:b/>
        </w:rPr>
        <w:t xml:space="preserve">19 </w:t>
      </w:r>
      <w:r>
        <w:t xml:space="preserve">son of Elkanah son of Edad son of Eliel son of Thie,</w:t>
      </w:r>
      <w:r>
        <w:rPr>
          <w:rStyle w:val="FootnoteReference"/>
        </w:rPr>
        <w:footnoteReference w:id="7999"/>
      </w:r>
      <w:r>
        <w:t xml:space="preserve"/>
      </w:r>
    </w:p>
    <w:p>
      <w:r>
        <w:rPr>
          <w:b/>
        </w:rPr>
        <w:t xml:space="preserve">20 </w:t>
      </w:r>
      <w:r>
        <w:t xml:space="preserve">son of Souph son of Elkanah son of Meth son of Amaziah,</w:t>
      </w:r>
    </w:p>
    <w:p>
      <w:r>
        <w:rPr>
          <w:b/>
        </w:rPr>
        <w:t xml:space="preserve">21 </w:t>
      </w:r>
      <w:r>
        <w:t xml:space="preserve">son of Elkanah son of Joel son of Azariah son of Saphania,</w:t>
      </w:r>
    </w:p>
    <w:p>
      <w:r>
        <w:rPr>
          <w:b/>
        </w:rPr>
        <w:t xml:space="preserve">22 </w:t>
      </w:r>
      <w:r>
        <w:t xml:space="preserve">son of Tahath son of Assir son of Abiasaph son of Kore,</w:t>
      </w:r>
      <w:r>
        <w:rPr>
          <w:rStyle w:val="FootnoteReference"/>
        </w:rPr>
        <w:footnoteReference w:id="8000"/>
      </w:r>
      <w:r>
        <w:t xml:space="preserve"/>
      </w:r>
    </w:p>
    <w:p>
      <w:r>
        <w:rPr>
          <w:b/>
        </w:rPr>
        <w:t xml:space="preserve">23 </w:t>
      </w:r>
      <w:r>
        <w:t xml:space="preserve">son of Izhar son of Kohath son of Levi son of Israel.</w:t>
      </w:r>
    </w:p>
    <w:p>
      <w:r>
        <w:rPr>
          <w:b/>
        </w:rPr>
        <w:t xml:space="preserve">24 </w:t>
      </w:r>
      <w:r>
        <w:t xml:space="preserve">And his brother Asaph stood at his right hand: Asaph son of Berechiah son of Shimea,</w:t>
      </w:r>
    </w:p>
    <w:p>
      <w:r>
        <w:rPr>
          <w:b/>
        </w:rPr>
        <w:t xml:space="preserve">25 </w:t>
      </w:r>
      <w:r>
        <w:t xml:space="preserve">son of Michael son of Amasai son of Malchijah</w:t>
      </w:r>
      <w:r>
        <w:rPr>
          <w:rStyle w:val="FootnoteReference"/>
        </w:rPr>
        <w:footnoteReference w:id="8001"/>
      </w:r>
      <w:r>
        <w:t xml:space="preserve">,</w:t>
      </w:r>
    </w:p>
    <w:p>
      <w:r>
        <w:rPr>
          <w:b/>
        </w:rPr>
        <w:t xml:space="preserve">26 </w:t>
      </w:r>
      <w:r>
        <w:t xml:space="preserve">son of Athani son of Zophai</w:t>
      </w:r>
      <w:r>
        <w:rPr>
          <w:rStyle w:val="FootnoteReference"/>
        </w:rPr>
        <w:footnoteReference w:id="8002"/>
      </w:r>
      <w:r>
        <w:t xml:space="preserve"> son of Nahath,</w:t>
      </w:r>
    </w:p>
    <w:p>
      <w:r>
        <w:rPr>
          <w:b/>
        </w:rPr>
        <w:t xml:space="preserve">27 </w:t>
      </w:r>
      <w:r>
        <w:t xml:space="preserve">son of Ethan son of Zamma son of Shimei,</w:t>
      </w:r>
    </w:p>
    <w:p>
      <w:r>
        <w:rPr>
          <w:b/>
        </w:rPr>
        <w:t xml:space="preserve">28 </w:t>
      </w:r>
      <w:r>
        <w:t xml:space="preserve">son of Echa son of Gershon son of Levi.</w:t>
      </w:r>
    </w:p>
    <w:p>
      <w:r>
        <w:rPr>
          <w:b/>
        </w:rPr>
        <w:t xml:space="preserve">29 </w:t>
      </w:r>
      <w:r>
        <w:t xml:space="preserve">And sons of Merari their brother at the left hand: Ethan son of Kisai son of Abdi</w:t>
      </w:r>
      <w:r>
        <w:rPr>
          <w:rStyle w:val="FootnoteReference"/>
        </w:rPr>
        <w:footnoteReference w:id="8003"/>
      </w:r>
      <w:r>
        <w:t xml:space="preserve"> son of Maloch,</w:t>
      </w:r>
    </w:p>
    <w:p>
      <w:r>
        <w:rPr>
          <w:b/>
        </w:rPr>
        <w:t xml:space="preserve">30 </w:t>
      </w:r>
      <w:r>
        <w:t xml:space="preserve">son of Asebi son of Amessia son of Chelkiou,</w:t>
      </w:r>
    </w:p>
    <w:p>
      <w:r>
        <w:rPr>
          <w:b/>
        </w:rPr>
        <w:t xml:space="preserve">31 </w:t>
      </w:r>
      <w:r>
        <w:t xml:space="preserve">son of Amasai son of Bani</w:t>
      </w:r>
      <w:r>
        <w:rPr>
          <w:rStyle w:val="FootnoteReference"/>
        </w:rPr>
        <w:footnoteReference w:id="8004"/>
      </w:r>
      <w:r>
        <w:t xml:space="preserve"> son of Semmer</w:t>
      </w:r>
      <w:r>
        <w:rPr>
          <w:rStyle w:val="FootnoteReference"/>
        </w:rPr>
        <w:footnoteReference w:id="8005"/>
      </w:r>
      <w:r>
        <w:t xml:space="preserve">,</w:t>
      </w:r>
    </w:p>
    <w:p>
      <w:r>
        <w:rPr>
          <w:b/>
        </w:rPr>
        <w:t xml:space="preserve">32 </w:t>
      </w:r>
      <w:r>
        <w:t xml:space="preserve">son of Mahali son of Mushi son of Merari son of Levi.</w:t>
      </w:r>
      <w:r>
        <w:rPr>
          <w:rStyle w:val="FootnoteReference"/>
        </w:rPr>
        <w:footnoteReference w:id="8006"/>
      </w:r>
    </w:p>
    <w:p>
      <w:r>
        <w:rPr>
          <w:b/>
        </w:rPr>
        <w:t xml:space="preserve">33 </w:t>
      </w:r>
      <w:r>
        <w:t xml:space="preserve">And their brothers according to the houses of their fathers, the Levites, were given for every work of service of the tent of the house of God.</w:t>
      </w:r>
    </w:p>
    <w:p>
      <w:r>
        <w:rPr>
          <w:b/>
        </w:rPr>
        <w:t xml:space="preserve">34 </w:t>
      </w:r>
      <w:r>
        <w:t xml:space="preserve">And Aaron and his sons were burning incense upon the altar of the whole-burnt-offerings and upon the altar of incense for every work of the holy of holies and to make atonement for Israel</w:t>
      </w:r>
      <w:r>
        <w:rPr>
          <w:rStyle w:val="FootnoteReference"/>
        </w:rPr>
        <w:footnoteReference w:id="8007"/>
      </w:r>
      <w:r>
        <w:t xml:space="preserve">, according to all that Moses child of God commanded.</w:t>
      </w:r>
    </w:p>
    <w:p>
      <w:r>
        <w:rPr>
          <w:b/>
        </w:rPr>
        <w:t xml:space="preserve">35 </w:t>
      </w:r>
      <w:r>
        <w:t xml:space="preserve">And these are sons of Aaron: Eleazar his son, Phinehas his son, Abishua</w:t>
      </w:r>
      <w:r>
        <w:rPr>
          <w:rStyle w:val="FootnoteReference"/>
        </w:rPr>
        <w:footnoteReference w:id="8008"/>
      </w:r>
      <w:r>
        <w:t xml:space="preserve"> his son,</w:t>
      </w:r>
    </w:p>
    <w:p>
      <w:r>
        <w:rPr>
          <w:b/>
        </w:rPr>
        <w:t xml:space="preserve">36 </w:t>
      </w:r>
      <w:r>
        <w:t xml:space="preserve">Bukki his son, Uzzi his son, Zerahiah his son,</w:t>
      </w:r>
    </w:p>
    <w:p>
      <w:r>
        <w:rPr>
          <w:b/>
        </w:rPr>
        <w:t xml:space="preserve">37 </w:t>
      </w:r>
      <w:r>
        <w:t xml:space="preserve">Meraioth his son, Amariah his son, Ahitub his son,</w:t>
      </w:r>
    </w:p>
    <w:p>
      <w:r>
        <w:rPr>
          <w:b/>
        </w:rPr>
        <w:t xml:space="preserve">38 </w:t>
      </w:r>
      <w:r>
        <w:t xml:space="preserve">Zadok his son, Ahimaaz his son.</w:t>
      </w:r>
      <w:r>
        <w:rPr>
          <w:rStyle w:val="FootnoteReference"/>
        </w:rPr>
        <w:footnoteReference w:id="8009"/>
      </w:r>
      <w:r>
        <w:t xml:space="preserve"/>
      </w:r>
    </w:p>
    <w:p>
      <w:r>
        <w:rPr>
          <w:b/>
        </w:rPr>
        <w:t xml:space="preserve">39 </w:t>
      </w:r>
      <w:r>
        <w:t xml:space="preserve">And these are their dwellings in their villages, in their borders, for the sons of Aaron, the family of the Kohathites, because to them came the lot.</w:t>
      </w:r>
    </w:p>
    <w:p>
      <w:r>
        <w:rPr>
          <w:b/>
        </w:rPr>
        <w:t xml:space="preserve">40 </w:t>
      </w:r>
      <w:r>
        <w:t xml:space="preserve">And they gave them Hebron in the land of Judah and its surrounding pasturelands.</w:t>
      </w:r>
    </w:p>
    <w:p>
      <w:r>
        <w:rPr>
          <w:b/>
        </w:rPr>
        <w:t xml:space="preserve">41 </w:t>
      </w:r>
      <w:r>
        <w:t xml:space="preserve">And the fields of the city and its villages they gave to Caleb son of Jephunneh.</w:t>
      </w:r>
      <w:r>
        <w:rPr>
          <w:rStyle w:val="FootnoteReference"/>
        </w:rPr>
        <w:footnoteReference w:id="8010"/>
      </w:r>
      <w:r>
        <w:t xml:space="preserve"/>
      </w:r>
    </w:p>
    <w:p>
      <w:r>
        <w:rPr>
          <w:b/>
        </w:rPr>
        <w:t xml:space="preserve">42 </w:t>
      </w:r>
      <w:r>
        <w:t xml:space="preserve">And to the sons of Aaron they gave the cities of refuge, Hebron and Libnah and its surrounding lands, and Selna and its surrounding lands, and Esthamo and its surrounding lands,</w:t>
      </w:r>
      <w:r>
        <w:rPr>
          <w:rStyle w:val="FootnoteReference"/>
        </w:rPr>
        <w:footnoteReference w:id="8011"/>
      </w:r>
    </w:p>
    <w:p>
      <w:r>
        <w:rPr>
          <w:b/>
        </w:rPr>
        <w:t xml:space="preserve">43 </w:t>
      </w:r>
      <w:r>
        <w:t xml:space="preserve">and Ieththar and its surrounding lands</w:t>
      </w:r>
      <w:r>
        <w:rPr>
          <w:rStyle w:val="FootnoteReference"/>
        </w:rPr>
        <w:footnoteReference w:id="8012"/>
      </w:r>
      <w:r>
        <w:t xml:space="preserve">, and Debir and its surrounding lands,</w:t>
      </w:r>
    </w:p>
    <w:p>
      <w:r>
        <w:rPr>
          <w:b/>
        </w:rPr>
        <w:t xml:space="preserve">44 </w:t>
      </w:r>
      <w:r>
        <w:t xml:space="preserve">and Ashan and its surrounding lands, and Attan and its surrounding lands, and Basamys</w:t>
      </w:r>
      <w:r>
        <w:rPr>
          <w:rStyle w:val="FootnoteReference"/>
        </w:rPr>
        <w:footnoteReference w:id="8013"/>
      </w:r>
      <w:r>
        <w:t xml:space="preserve"> and its surrounding lands,</w:t>
      </w:r>
    </w:p>
    <w:p>
      <w:r>
        <w:rPr>
          <w:b/>
        </w:rPr>
        <w:t xml:space="preserve">45 </w:t>
      </w:r>
      <w:r>
        <w:t xml:space="preserve">and from the tribe of Benjamin, Gibeah and its surrounding lands, and Alemeth</w:t>
      </w:r>
      <w:r>
        <w:rPr>
          <w:rStyle w:val="FootnoteReference"/>
        </w:rPr>
        <w:footnoteReference w:id="8014"/>
      </w:r>
      <w:r>
        <w:t xml:space="preserve"> and its surrounding lands, and Angoch</w:t>
      </w:r>
      <w:r>
        <w:rPr>
          <w:rStyle w:val="FootnoteReference"/>
        </w:rPr>
        <w:footnoteReference w:id="8015"/>
      </w:r>
      <w:r>
        <w:t xml:space="preserve"> and its surrounding lands. All their cities were thirteen cities according to their families.</w:t>
      </w:r>
    </w:p>
    <w:p>
      <w:r>
        <w:rPr>
          <w:b/>
        </w:rPr>
        <w:t xml:space="preserve">46 </w:t>
      </w:r>
      <w:r>
        <w:t xml:space="preserve">And to the sons of Kohath, the rest, from the families, from the tribe, from the half tribe of Manasseh, by lot, ten cities.</w:t>
      </w:r>
    </w:p>
    <w:p>
      <w:r>
        <w:rPr>
          <w:b/>
        </w:rPr>
        <w:t xml:space="preserve">47 </w:t>
      </w:r>
      <w:r>
        <w:t xml:space="preserve">And to the sons of Gershon according to their families, from the tribe of Issachar, from the tribe of Asher, from the tribe of Naphtali, from the tribe of Manasseh in Bashan, thirteen cities.</w:t>
      </w:r>
      <w:r>
        <w:rPr>
          <w:rStyle w:val="FootnoteReference"/>
        </w:rPr>
        <w:footnoteReference w:id="8016"/>
      </w:r>
    </w:p>
    <w:p>
      <w:r>
        <w:rPr>
          <w:b/>
        </w:rPr>
        <w:t xml:space="preserve">48 </w:t>
      </w:r>
      <w:r>
        <w:t xml:space="preserve">And to the sons of Merari according to their families, from the tribe of Reuben, from the tribe of Gad, from the tribe of Zebulun, by lot, twelve cities.</w:t>
      </w:r>
      <w:r>
        <w:rPr>
          <w:rStyle w:val="FootnoteReference"/>
        </w:rPr>
        <w:footnoteReference w:id="8017"/>
      </w:r>
      <w:r>
        <w:rPr>
          <w:rStyle w:val="FootnoteReference"/>
        </w:rPr>
        <w:footnoteReference w:id="8018"/>
      </w:r>
    </w:p>
    <w:p>
      <w:r>
        <w:rPr>
          <w:b/>
        </w:rPr>
        <w:t xml:space="preserve">49 </w:t>
      </w:r>
      <w:r>
        <w:t xml:space="preserve">And the sons of Israel gave to the Levites the cities and their surrounding lands</w:t>
      </w:r>
      <w:r>
        <w:rPr>
          <w:rStyle w:val="FootnoteReference"/>
        </w:rPr>
        <w:footnoteReference w:id="8019"/>
      </w:r>
      <w:r>
        <w:t xml:space="preserve">.</w:t>
      </w:r>
    </w:p>
    <w:p>
      <w:r>
        <w:rPr>
          <w:b/>
        </w:rPr>
        <w:t xml:space="preserve">50 </w:t>
      </w:r>
      <w:r>
        <w:t xml:space="preserve">And they gave by lot from the tribe of sons of Judah and from the tribe of sons of Simeon these cities which he called by name.</w:t>
      </w:r>
    </w:p>
    <w:p>
      <w:r>
        <w:rPr>
          <w:b/>
        </w:rPr>
        <w:t xml:space="preserve">51 </w:t>
      </w:r>
      <w:r>
        <w:t xml:space="preserve">And from the families of sons of Kohath were their border cities from the tribe of Ephraim.</w:t>
      </w:r>
    </w:p>
    <w:p>
      <w:r>
        <w:rPr>
          <w:b/>
        </w:rPr>
        <w:t xml:space="preserve">52 </w:t>
      </w:r>
      <w:r>
        <w:t xml:space="preserve">And they gave to him the cities of refuge, Shechem and its surrounding lands in hill Ephraim, and Gezer and its surrounding lands,</w:t>
      </w:r>
      <w:r>
        <w:rPr>
          <w:rStyle w:val="FootnoteReference"/>
        </w:rPr>
        <w:footnoteReference w:id="8020"/>
      </w:r>
    </w:p>
    <w:p>
      <w:r>
        <w:rPr>
          <w:b/>
        </w:rPr>
        <w:t xml:space="preserve">53 </w:t>
      </w:r>
      <w:r>
        <w:t xml:space="preserve">and Iekmaam and its surrounding lands, and Bethhoron and its surrounding lands,</w:t>
      </w:r>
    </w:p>
    <w:p>
      <w:r>
        <w:rPr>
          <w:b/>
        </w:rPr>
        <w:t xml:space="preserve">54 </w:t>
      </w:r>
      <w:r>
        <w:t xml:space="preserve">and Eglaim and its surrounding lands, and Gathrimmon and its surrounding lands,</w:t>
      </w:r>
      <w:r>
        <w:rPr>
          <w:rStyle w:val="FootnoteReference"/>
        </w:rPr>
        <w:footnoteReference w:id="8021"/>
      </w:r>
      <w:r>
        <w:t xml:space="preserve"/>
      </w:r>
      <w:r>
        <w:rPr>
          <w:rStyle w:val="FootnoteReference"/>
        </w:rPr>
        <w:footnoteReference w:id="8022"/>
      </w:r>
    </w:p>
    <w:p>
      <w:r>
        <w:rPr>
          <w:b/>
        </w:rPr>
        <w:t xml:space="preserve">55 </w:t>
      </w:r>
      <w:r>
        <w:t xml:space="preserve">and from the half tribe of Manasseh, Anar and its surrounding lands, and Ibleam and its surrounding lands, according to family, to the rest of the sons of Kohath.</w:t>
      </w:r>
      <w:r>
        <w:rPr>
          <w:rStyle w:val="FootnoteReference"/>
        </w:rPr>
        <w:footnoteReference w:id="8023"/>
      </w:r>
    </w:p>
    <w:p>
      <w:r>
        <w:rPr>
          <w:b/>
        </w:rPr>
        <w:t xml:space="preserve">56 </w:t>
      </w:r>
      <w:r>
        <w:t xml:space="preserve">To the sons of Gershon, from the families of the half tribe of Manasseh, Golan from Bashan and its surrounding lands, and Hazeroth and its surrounding lands.</w:t>
      </w:r>
      <w:r>
        <w:rPr>
          <w:rStyle w:val="FootnoteReference"/>
        </w:rPr>
        <w:footnoteReference w:id="8024"/>
      </w:r>
    </w:p>
    <w:p>
      <w:r>
        <w:rPr>
          <w:b/>
        </w:rPr>
        <w:t xml:space="preserve">57 </w:t>
      </w:r>
      <w:r>
        <w:t xml:space="preserve">And from the tribe of Issachar, Kedesh and its surrounding lands, and Deberi and its surrounding lands,</w:t>
      </w:r>
    </w:p>
    <w:p>
      <w:r>
        <w:rPr>
          <w:b/>
        </w:rPr>
        <w:t xml:space="preserve">58 </w:t>
      </w:r>
      <w:r>
        <w:t xml:space="preserve">and Dabor and its surrounding lands, and Anam and its surrounding lands,</w:t>
      </w:r>
    </w:p>
    <w:p>
      <w:r>
        <w:rPr>
          <w:b/>
        </w:rPr>
        <w:t xml:space="preserve">59 </w:t>
      </w:r>
      <w:r>
        <w:t xml:space="preserve">and from the tribe of Asher, Masal and its surrounding lands, and Abaran and its surrounding lands,</w:t>
      </w:r>
    </w:p>
    <w:p>
      <w:r>
        <w:rPr>
          <w:b/>
        </w:rPr>
        <w:t xml:space="preserve">60 </w:t>
      </w:r>
      <w:r>
        <w:t xml:space="preserve">and Ikak and its surrounding lands, and Rehob and its surrounding lands.</w:t>
      </w:r>
    </w:p>
    <w:p>
      <w:r>
        <w:rPr>
          <w:b/>
        </w:rPr>
        <w:t xml:space="preserve">61 </w:t>
      </w:r>
      <w:r>
        <w:t xml:space="preserve">And from the tribe of Naphtali, Kedesh in Galilee and its surrounding lands, and Chamoth and its surrounding lands, and Kirjathaim and its surrounding lands.</w:t>
      </w:r>
      <w:r>
        <w:rPr>
          <w:rStyle w:val="FootnoteReference"/>
        </w:rPr>
        <w:footnoteReference w:id="8025"/>
      </w:r>
    </w:p>
    <w:p>
      <w:r>
        <w:rPr>
          <w:b/>
        </w:rPr>
        <w:t xml:space="preserve">62 </w:t>
      </w:r>
      <w:r>
        <w:t xml:space="preserve">To the sons of Merari, the rest, from the tribe of Zebulun, Rimmon and its surrounding lands, and Thachchia and its surrounding lands.</w:t>
      </w:r>
      <w:r>
        <w:rPr>
          <w:rStyle w:val="FootnoteReference"/>
        </w:rPr>
        <w:footnoteReference w:id="8026"/>
      </w:r>
    </w:p>
    <w:p>
      <w:r>
        <w:rPr>
          <w:b/>
        </w:rPr>
        <w:t xml:space="preserve">63 </w:t>
      </w:r>
      <w:r>
        <w:t xml:space="preserve">And from beyond Jordan of Jericho, west of Jordan, from the tribe of Reuben, Besor in the wilderness and its surrounding lands, and Iasa and its surrounding lands,</w:t>
      </w:r>
    </w:p>
    <w:p>
      <w:r>
        <w:rPr>
          <w:b/>
        </w:rPr>
        <w:t xml:space="preserve">64 </w:t>
      </w:r>
      <w:r>
        <w:t xml:space="preserve">and Kademoth and its surrounding lands</w:t>
      </w:r>
      <w:r>
        <w:rPr>
          <w:rStyle w:val="FootnoteReference"/>
        </w:rPr>
        <w:footnoteReference w:id="8027"/>
      </w:r>
      <w:r>
        <w:t xml:space="preserve">, and Mephaath and its surrounding lands,</w:t>
      </w:r>
    </w:p>
    <w:p>
      <w:r>
        <w:rPr>
          <w:b/>
        </w:rPr>
        <w:t xml:space="preserve">65 </w:t>
      </w:r>
      <w:r>
        <w:t xml:space="preserve">and from the tribe of Gad, Ramoth Gilead and its surrounding lands</w:t>
      </w:r>
      <w:r>
        <w:rPr>
          <w:rStyle w:val="FootnoteReference"/>
        </w:rPr>
        <w:footnoteReference w:id="8028"/>
      </w:r>
      <w:r>
        <w:t xml:space="preserve">, and Mahanaim and its surrounding lands,</w:t>
      </w:r>
    </w:p>
    <w:p>
      <w:r>
        <w:rPr>
          <w:b/>
        </w:rPr>
        <w:t xml:space="preserve">66 </w:t>
      </w:r>
      <w:r>
        <w:t xml:space="preserve">and Heshbon and its surrounding lands, and Iazer and its surrounding lands.</w:t>
      </w:r>
      <w:r>
        <w:rPr>
          <w:rStyle w:val="FootnoteReference"/>
        </w:rPr>
        <w:footnoteReference w:id="8029"/>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to the sons of Issachar: Tola and Puah and Jashub and Semeron, four.</w:t>
      </w:r>
    </w:p>
    <w:p>
      <w:r>
        <w:rPr>
          <w:b/>
        </w:rPr>
        <w:t xml:space="preserve">2 </w:t>
      </w:r>
      <w:r>
        <w:t xml:space="preserve">And sons of Tola: Uzzi and Rephaiah and Jeriel</w:t>
      </w:r>
      <w:r>
        <w:rPr>
          <w:rStyle w:val="FootnoteReference"/>
        </w:rPr>
        <w:footnoteReference w:id="8030"/>
      </w:r>
      <w:r>
        <w:t xml:space="preserve"> and Iemou and Jibsam</w:t>
      </w:r>
      <w:r>
        <w:rPr>
          <w:rStyle w:val="FootnoteReference"/>
        </w:rPr>
        <w:footnoteReference w:id="8031"/>
      </w:r>
      <w:r>
        <w:t xml:space="preserve"> and Samuel, chiefs of houses of their fathers, to Tola, mighty men of power</w:t>
      </w:r>
      <w:r>
        <w:rPr>
          <w:rStyle w:val="FootnoteReference"/>
        </w:rPr>
        <w:footnoteReference w:id="8032"/>
      </w:r>
      <w:r>
        <w:t xml:space="preserve"> according to their generations. Their number in the days of David was twenty-two thousand six hundred.</w:t>
      </w:r>
    </w:p>
    <w:p>
      <w:r>
        <w:rPr>
          <w:b/>
        </w:rPr>
        <w:t xml:space="preserve">3 </w:t>
      </w:r>
      <w:r>
        <w:t xml:space="preserve">And sons of Uzzi: Izrahiah</w:t>
      </w:r>
      <w:r>
        <w:rPr>
          <w:rStyle w:val="FootnoteReference"/>
        </w:rPr>
        <w:footnoteReference w:id="8033"/>
      </w:r>
      <w:r>
        <w:t xml:space="preserve">. And sons of Izrahiah: Michael and Obadiah and Joel and Ishiah</w:t>
      </w:r>
      <w:r>
        <w:rPr>
          <w:rStyle w:val="FootnoteReference"/>
        </w:rPr>
        <w:footnoteReference w:id="8034"/>
      </w:r>
      <w:r>
        <w:t xml:space="preserve">, five, all chiefs.</w:t>
      </w:r>
    </w:p>
    <w:p>
      <w:r>
        <w:rPr>
          <w:b/>
        </w:rPr>
        <w:t xml:space="preserve">4 </w:t>
      </w:r>
      <w:r>
        <w:t xml:space="preserve">And with them by their generations, by the houses of their fathers, mighty men to draw up for war, thirty-six thousand, because they multiplied wives and sons.</w:t>
      </w:r>
    </w:p>
    <w:p>
      <w:r>
        <w:rPr>
          <w:b/>
        </w:rPr>
        <w:t xml:space="preserve">5 </w:t>
      </w:r>
      <w:r>
        <w:t xml:space="preserve">And their brothers in all families of Issachar, mighty in power, were eighty-seven thousand, the full number of them.</w:t>
      </w:r>
    </w:p>
    <w:p>
      <w:r>
        <w:rPr>
          <w:b/>
        </w:rPr>
        <w:t xml:space="preserve">6 </w:t>
      </w:r>
      <w:r>
        <w:t xml:space="preserve">Benjamin: Bela and Becher</w:t>
      </w:r>
      <w:r>
        <w:rPr>
          <w:rStyle w:val="FootnoteReference"/>
        </w:rPr>
        <w:footnoteReference w:id="8035"/>
      </w:r>
      <w:r>
        <w:t xml:space="preserve"> and Jediael</w:t>
      </w:r>
      <w:r>
        <w:rPr>
          <w:rStyle w:val="FootnoteReference"/>
        </w:rPr>
        <w:footnoteReference w:id="8036"/>
      </w:r>
      <w:r>
        <w:t xml:space="preserve">, three.</w:t>
      </w:r>
      <w:r>
        <w:rPr>
          <w:rStyle w:val="FootnoteReference"/>
        </w:rPr>
        <w:footnoteReference w:id="8037"/>
      </w:r>
    </w:p>
    <w:p>
      <w:r>
        <w:rPr>
          <w:b/>
        </w:rPr>
        <w:t xml:space="preserve">7 </w:t>
      </w:r>
      <w:r>
        <w:t xml:space="preserve">And sons of Bela: Ezbon and Uzzi and Uzziel and Jerimoth and Huri, five, chiefs of the houses of fathers, mighty men of power</w:t>
      </w:r>
      <w:r>
        <w:rPr>
          <w:rStyle w:val="FootnoteReference"/>
        </w:rPr>
        <w:footnoteReference w:id="8038"/>
      </w:r>
      <w:r>
        <w:t xml:space="preserve">, and their number was twenty-two thousand thirty-four.</w:t>
      </w:r>
    </w:p>
    <w:p>
      <w:r>
        <w:rPr>
          <w:b/>
        </w:rPr>
        <w:t xml:space="preserve">8 </w:t>
      </w:r>
      <w:r>
        <w:t xml:space="preserve">And sons of Becher: Zamarias and Joash and Eliezer and Elioenai and Amariah and Jerimoth and Abijam and Anathoth and Gemeeth. All these were sons of Becher.</w:t>
      </w:r>
    </w:p>
    <w:p>
      <w:r>
        <w:rPr>
          <w:b/>
        </w:rPr>
        <w:t xml:space="preserve">9 </w:t>
      </w:r>
      <w:r>
        <w:t xml:space="preserve">And their number by their generations, chiefs of houses of their fathers, mighty men of power, was twenty thousand two hundred.</w:t>
      </w:r>
    </w:p>
    <w:p>
      <w:r>
        <w:rPr>
          <w:b/>
        </w:rPr>
        <w:t xml:space="preserve">10 </w:t>
      </w:r>
      <w:r>
        <w:t xml:space="preserve">And sons of Jediael: Bilhan. And sons of Bilhan: Jeush and Benjamin and Aoth and Chenaanah and Zaithan and Ramessai and Achisaar.</w:t>
      </w:r>
    </w:p>
    <w:p>
      <w:r>
        <w:rPr>
          <w:b/>
        </w:rPr>
        <w:t xml:space="preserve">11 </w:t>
      </w:r>
      <w:r>
        <w:t xml:space="preserve">All these sons of Jediael, chiefs of fathers, mighty in power, were seventeen thousand two hundred, going out in force to make war.</w:t>
      </w:r>
    </w:p>
    <w:p>
      <w:r>
        <w:rPr>
          <w:b/>
        </w:rPr>
        <w:t xml:space="preserve">12 </w:t>
      </w:r>
      <w:r>
        <w:t xml:space="preserve">And Sapphin and Apphin and sons of Ir</w:t>
      </w:r>
      <w:r>
        <w:rPr>
          <w:rStyle w:val="FootnoteReference"/>
        </w:rPr>
        <w:footnoteReference w:id="8039"/>
      </w:r>
      <w:r>
        <w:t xml:space="preserve">: his son Aher</w:t>
      </w:r>
      <w:r>
        <w:rPr>
          <w:rStyle w:val="FootnoteReference"/>
        </w:rPr>
        <w:footnoteReference w:id="8040"/>
      </w:r>
      <w:r>
        <w:t xml:space="preserve">.</w:t>
      </w:r>
      <w:r>
        <w:rPr>
          <w:rStyle w:val="FootnoteReference"/>
        </w:rPr>
        <w:footnoteReference w:id="8041"/>
      </w:r>
    </w:p>
    <w:p>
      <w:r>
        <w:rPr>
          <w:b/>
        </w:rPr>
        <w:t xml:space="preserve">13 </w:t>
      </w:r>
      <w:r>
        <w:t xml:space="preserve">Sons of Naphtali: Jahziel</w:t>
      </w:r>
      <w:r>
        <w:rPr>
          <w:rStyle w:val="FootnoteReference"/>
        </w:rPr>
        <w:footnoteReference w:id="8042"/>
      </w:r>
      <w:r>
        <w:t xml:space="preserve"> and Guni and Jezer and Shallum, sons of Bilhah.</w:t>
      </w:r>
      <w:r>
        <w:rPr>
          <w:rStyle w:val="FootnoteReference"/>
        </w:rPr>
        <w:footnoteReference w:id="8043"/>
      </w:r>
    </w:p>
    <w:p>
      <w:r>
        <w:rPr>
          <w:b/>
        </w:rPr>
        <w:t xml:space="preserve">14 </w:t>
      </w:r>
      <w:r>
        <w:t xml:space="preserve">Sons of Manasseh: Ashriel</w:t>
      </w:r>
      <w:r>
        <w:rPr>
          <w:rStyle w:val="FootnoteReference"/>
        </w:rPr>
        <w:footnoteReference w:id="8044"/>
      </w:r>
      <w:r>
        <w:t xml:space="preserve">, whom his Syrian concubine bore. She bore Machir</w:t>
      </w:r>
      <w:r>
        <w:rPr>
          <w:rStyle w:val="FootnoteReference"/>
        </w:rPr>
        <w:footnoteReference w:id="8045"/>
      </w:r>
      <w:r>
        <w:t xml:space="preserve"> father of Gilead.</w:t>
      </w:r>
    </w:p>
    <w:p>
      <w:r>
        <w:rPr>
          <w:b/>
        </w:rPr>
        <w:t xml:space="preserve">15 </w:t>
      </w:r>
      <w:r>
        <w:t xml:space="preserve">And Machir took a wife for Amphin and Maphin, and the name of his sister was Maachah, and the name of the second was Zelophehad, and daughters were born to Zelophehad.</w:t>
      </w:r>
    </w:p>
    <w:p>
      <w:r>
        <w:rPr>
          <w:b/>
        </w:rPr>
        <w:t xml:space="preserve">16 </w:t>
      </w:r>
      <w:r>
        <w:t xml:space="preserve">And Maachah wife of Machir bore a son and called his name Perez, and the name of his brother was Soros. His son was Ulam</w:t>
      </w:r>
      <w:r>
        <w:rPr>
          <w:rStyle w:val="FootnoteReference"/>
        </w:rPr>
        <w:footnoteReference w:id="8046"/>
      </w:r>
      <w:r>
        <w:t xml:space="preserve">.</w:t>
      </w:r>
    </w:p>
    <w:p>
      <w:r>
        <w:rPr>
          <w:b/>
        </w:rPr>
        <w:t xml:space="preserve">17 </w:t>
      </w:r>
      <w:r>
        <w:t xml:space="preserve">And sons of Ulam: Bedan</w:t>
      </w:r>
      <w:r>
        <w:rPr>
          <w:rStyle w:val="FootnoteReference"/>
        </w:rPr>
        <w:footnoteReference w:id="8047"/>
      </w:r>
      <w:r>
        <w:t xml:space="preserve">. These were sons of Gilead son of Machir son of Manasseh.</w:t>
      </w:r>
      <w:r>
        <w:rPr>
          <w:rStyle w:val="FootnoteReference"/>
        </w:rPr>
        <w:footnoteReference w:id="8048"/>
      </w:r>
    </w:p>
    <w:p>
      <w:r>
        <w:rPr>
          <w:b/>
        </w:rPr>
        <w:t xml:space="preserve">18 </w:t>
      </w:r>
      <w:r>
        <w:t xml:space="preserve">And his sister Malecheth bore Ishod</w:t>
      </w:r>
      <w:r>
        <w:rPr>
          <w:rStyle w:val="FootnoteReference"/>
        </w:rPr>
        <w:footnoteReference w:id="8049"/>
      </w:r>
      <w:r>
        <w:t xml:space="preserve"> and Abiezer and Mahalah</w:t>
      </w:r>
      <w:r>
        <w:rPr>
          <w:rStyle w:val="FootnoteReference"/>
        </w:rPr>
        <w:footnoteReference w:id="8050"/>
      </w:r>
      <w:r>
        <w:t xml:space="preserve">.</w:t>
      </w:r>
    </w:p>
    <w:p>
      <w:r>
        <w:rPr>
          <w:b/>
        </w:rPr>
        <w:t xml:space="preserve">19 </w:t>
      </w:r>
      <w:r>
        <w:t xml:space="preserve">And sons of Semira were Iaaim and Shechem and Lakei and Aniam</w:t>
      </w:r>
      <w:r>
        <w:rPr>
          <w:rStyle w:val="FootnoteReference"/>
        </w:rPr>
        <w:footnoteReference w:id="8051"/>
      </w:r>
      <w:r>
        <w:t xml:space="preserve">.</w:t>
      </w:r>
    </w:p>
    <w:p>
      <w:r>
        <w:rPr>
          <w:b/>
        </w:rPr>
        <w:t xml:space="preserve">20 </w:t>
      </w:r>
      <w:r>
        <w:t xml:space="preserve">And sons of Ephraim: Sothala and Bered his son, and Tahath his son, Eladah</w:t>
      </w:r>
      <w:r>
        <w:rPr>
          <w:rStyle w:val="FootnoteReference"/>
        </w:rPr>
        <w:footnoteReference w:id="8052"/>
      </w:r>
      <w:r>
        <w:t xml:space="preserve"> his son, Nomee his son,</w:t>
      </w:r>
    </w:p>
    <w:p>
      <w:r>
        <w:rPr>
          <w:b/>
        </w:rPr>
        <w:t xml:space="preserve">21 </w:t>
      </w:r>
      <w:r>
        <w:t xml:space="preserve">Zabad his son, Shuthelah his son, and Ezer and Elead</w:t>
      </w:r>
      <w:r>
        <w:rPr>
          <w:rStyle w:val="FootnoteReference"/>
        </w:rPr>
        <w:footnoteReference w:id="8053"/>
      </w:r>
      <w:r>
        <w:t xml:space="preserve">. And the men of Gath, those born in the land, killed them, because they went down to take their cattle.</w:t>
      </w:r>
    </w:p>
    <w:p>
      <w:r>
        <w:rPr>
          <w:b/>
        </w:rPr>
        <w:t xml:space="preserve">22 </w:t>
      </w:r>
      <w:r>
        <w:t xml:space="preserve">And Ephraim their father mourned many days</w:t>
      </w:r>
      <w:r>
        <w:rPr>
          <w:rStyle w:val="FootnoteReference"/>
        </w:rPr>
        <w:footnoteReference w:id="8054"/>
      </w:r>
      <w:r>
        <w:t xml:space="preserve">, and his brothers came to comfort him.</w:t>
      </w:r>
      <w:r>
        <w:rPr>
          <w:rStyle w:val="FootnoteReference"/>
        </w:rPr>
        <w:footnoteReference w:id="8055"/>
      </w:r>
    </w:p>
    <w:p>
      <w:r>
        <w:rPr>
          <w:b/>
        </w:rPr>
        <w:t xml:space="preserve">23 </w:t>
      </w:r>
      <w:r>
        <w:t xml:space="preserve">And he went in to his wife, and she conceived and bore a son, and he called his name Baraga, because he came in evils to my house.</w:t>
      </w:r>
    </w:p>
    <w:p>
      <w:r>
        <w:rPr>
          <w:b/>
        </w:rPr>
        <w:t xml:space="preserve">24 </w:t>
      </w:r>
      <w:r>
        <w:t xml:space="preserve">And his daughter Sherah</w:t>
      </w:r>
      <w:r>
        <w:rPr>
          <w:rStyle w:val="FootnoteReference"/>
        </w:rPr>
        <w:footnoteReference w:id="8056"/>
      </w:r>
      <w:r>
        <w:t xml:space="preserve"> built lower Bethhoron</w:t>
      </w:r>
      <w:r>
        <w:rPr>
          <w:rStyle w:val="FootnoteReference"/>
        </w:rPr>
        <w:footnoteReference w:id="8057"/>
      </w:r>
      <w:r>
        <w:t xml:space="preserve"> and upper Bethhoron and Uzzensherah</w:t>
      </w:r>
      <w:r>
        <w:rPr>
          <w:rStyle w:val="FootnoteReference"/>
        </w:rPr>
        <w:footnoteReference w:id="8058"/>
      </w:r>
      <w:r>
        <w:t xml:space="preserve">.</w:t>
      </w:r>
    </w:p>
    <w:p>
      <w:r>
        <w:rPr>
          <w:b/>
        </w:rPr>
        <w:t xml:space="preserve">25 </w:t>
      </w:r>
      <w:r>
        <w:t xml:space="preserve">And Rephah</w:t>
      </w:r>
      <w:r>
        <w:rPr>
          <w:rStyle w:val="FootnoteReference"/>
        </w:rPr>
        <w:footnoteReference w:id="8059"/>
      </w:r>
      <w:r>
        <w:t xml:space="preserve"> his son, Resheph</w:t>
      </w:r>
      <w:r>
        <w:rPr>
          <w:rStyle w:val="FootnoteReference"/>
        </w:rPr>
        <w:footnoteReference w:id="8060"/>
      </w:r>
      <w:r>
        <w:t xml:space="preserve">, and Thale his son, Tahan his son,</w:t>
      </w:r>
    </w:p>
    <w:p>
      <w:r>
        <w:rPr>
          <w:b/>
        </w:rPr>
        <w:t xml:space="preserve">26 </w:t>
      </w:r>
      <w:r>
        <w:t xml:space="preserve">Laadan</w:t>
      </w:r>
      <w:r>
        <w:rPr>
          <w:rStyle w:val="FootnoteReference"/>
        </w:rPr>
        <w:footnoteReference w:id="8061"/>
      </w:r>
      <w:r>
        <w:t xml:space="preserve"> his son, Ammihud his son, Elishama his son,</w:t>
      </w:r>
      <w:r>
        <w:rPr>
          <w:rStyle w:val="FootnoteReference"/>
        </w:rPr>
        <w:footnoteReference w:id="8062"/>
      </w:r>
    </w:p>
    <w:p>
      <w:r>
        <w:rPr>
          <w:b/>
        </w:rPr>
        <w:t xml:space="preserve">27 </w:t>
      </w:r>
      <w:r>
        <w:t xml:space="preserve">Non</w:t>
      </w:r>
      <w:r>
        <w:rPr>
          <w:rStyle w:val="FootnoteReference"/>
        </w:rPr>
        <w:footnoteReference w:id="8063"/>
      </w:r>
      <w:r>
        <w:t xml:space="preserve"> his son, Jehoshuah</w:t>
      </w:r>
      <w:r>
        <w:rPr>
          <w:rStyle w:val="FootnoteReference"/>
        </w:rPr>
        <w:footnoteReference w:id="8064"/>
      </w:r>
      <w:r>
        <w:t xml:space="preserve"> his son.</w:t>
      </w:r>
      <w:r>
        <w:rPr>
          <w:rStyle w:val="FootnoteReference"/>
        </w:rPr>
        <w:footnoteReference w:id="8065"/>
      </w:r>
    </w:p>
    <w:p>
      <w:r>
        <w:rPr>
          <w:b/>
        </w:rPr>
        <w:t xml:space="preserve">28 </w:t>
      </w:r>
      <w:r>
        <w:t xml:space="preserve">And their possession and their dwelling were Bethel</w:t>
      </w:r>
      <w:r>
        <w:rPr>
          <w:rStyle w:val="FootnoteReference"/>
        </w:rPr>
        <w:footnoteReference w:id="8066"/>
      </w:r>
      <w:r>
        <w:t xml:space="preserve"> and its villages, eastward Naaran</w:t>
      </w:r>
      <w:r>
        <w:rPr>
          <w:rStyle w:val="FootnoteReference"/>
        </w:rPr>
        <w:footnoteReference w:id="8067"/>
      </w:r>
      <w:r>
        <w:t xml:space="preserve">, westward Gezer and its villages, and Shechem and its villages as far as Gaza and its villages.</w:t>
      </w:r>
      <w:r>
        <w:rPr>
          <w:rStyle w:val="FootnoteReference"/>
        </w:rPr>
        <w:footnoteReference w:id="8068"/>
      </w:r>
    </w:p>
    <w:p>
      <w:r>
        <w:rPr>
          <w:b/>
        </w:rPr>
        <w:t xml:space="preserve">29 </w:t>
      </w:r>
      <w:r>
        <w:t xml:space="preserve">And to the borders of the sons of Manasseh</w:t>
      </w:r>
      <w:r>
        <w:rPr>
          <w:rStyle w:val="FootnoteReference"/>
        </w:rPr>
        <w:footnoteReference w:id="8069"/>
      </w:r>
      <w:r>
        <w:t xml:space="preserve">: Baithsaan and its villages, Taanach and its villages, Balad and its villages, Megiddo and its villages, Dor and its villages. In these dwelt the sons of Joseph son of Israel.</w:t>
      </w:r>
    </w:p>
    <w:p>
      <w:r>
        <w:rPr>
          <w:b/>
        </w:rPr>
        <w:t xml:space="preserve">30 </w:t>
      </w:r>
      <w:r>
        <w:t xml:space="preserve">Sons of Asher: Imnah</w:t>
      </w:r>
      <w:r>
        <w:rPr>
          <w:rStyle w:val="FootnoteReference"/>
        </w:rPr>
        <w:footnoteReference w:id="8070"/>
      </w:r>
      <w:r>
        <w:t xml:space="preserve"> and Isoua and Isoui and Beriah and Sore their sister.</w:t>
      </w:r>
      <w:r>
        <w:rPr>
          <w:rStyle w:val="FootnoteReference"/>
        </w:rPr>
        <w:footnoteReference w:id="8071"/>
      </w:r>
    </w:p>
    <w:p>
      <w:r>
        <w:rPr>
          <w:b/>
        </w:rPr>
        <w:t xml:space="preserve">31 </w:t>
      </w:r>
      <w:r>
        <w:t xml:space="preserve">And sons of Beriah: Heber and Malchiel, this one father of Berzaith.</w:t>
      </w:r>
    </w:p>
    <w:p>
      <w:r>
        <w:rPr>
          <w:b/>
        </w:rPr>
        <w:t xml:space="preserve">32 </w:t>
      </w:r>
      <w:r>
        <w:t xml:space="preserve">And Heber begot Japhlet</w:t>
      </w:r>
      <w:r>
        <w:rPr>
          <w:rStyle w:val="FootnoteReference"/>
        </w:rPr>
        <w:footnoteReference w:id="8072"/>
      </w:r>
      <w:r>
        <w:t xml:space="preserve"> and Shomer</w:t>
      </w:r>
      <w:r>
        <w:rPr>
          <w:rStyle w:val="FootnoteReference"/>
        </w:rPr>
        <w:footnoteReference w:id="8073"/>
      </w:r>
      <w:r>
        <w:t xml:space="preserve"> and Hotham</w:t>
      </w:r>
      <w:r>
        <w:rPr>
          <w:rStyle w:val="FootnoteReference"/>
        </w:rPr>
        <w:footnoteReference w:id="8074"/>
      </w:r>
      <w:r>
        <w:t xml:space="preserve"> and Shua their sister.</w:t>
      </w:r>
    </w:p>
    <w:p>
      <w:r>
        <w:rPr>
          <w:b/>
        </w:rPr>
        <w:t xml:space="preserve">33 </w:t>
      </w:r>
      <w:r>
        <w:t xml:space="preserve">And sons of Japhlet: Pasach, Bimhal, and Asith. These were sons of Japhlet.</w:t>
      </w:r>
      <w:r>
        <w:rPr>
          <w:rStyle w:val="FootnoteReference"/>
        </w:rPr>
        <w:footnoteReference w:id="8075"/>
      </w:r>
      <w:r>
        <w:t xml:space="preserve"/>
      </w:r>
      <w:r>
        <w:rPr>
          <w:rStyle w:val="FootnoteReference"/>
        </w:rPr>
        <w:footnoteReference w:id="8076"/>
      </w:r>
      <w:r>
        <w:rPr>
          <w:rStyle w:val="FootnoteReference"/>
        </w:rPr>
        <w:footnoteReference w:id="8077"/>
      </w:r>
    </w:p>
    <w:p>
      <w:r>
        <w:rPr>
          <w:b/>
        </w:rPr>
        <w:t xml:space="preserve">34 </w:t>
      </w:r>
      <w:r>
        <w:t xml:space="preserve">And sons of Shamer</w:t>
      </w:r>
      <w:r>
        <w:rPr>
          <w:rStyle w:val="FootnoteReference"/>
        </w:rPr>
        <w:footnoteReference w:id="8078"/>
      </w:r>
      <w:r>
        <w:t xml:space="preserve">: Achiouraoga and Oba and Aram.</w:t>
      </w:r>
      <w:r>
        <w:rPr>
          <w:rStyle w:val="FootnoteReference"/>
        </w:rPr>
        <w:footnoteReference w:id="8079"/>
      </w:r>
    </w:p>
    <w:p>
      <w:r>
        <w:rPr>
          <w:b/>
        </w:rPr>
        <w:t xml:space="preserve">35 </w:t>
      </w:r>
      <w:r>
        <w:t xml:space="preserve">And sons of Helem</w:t>
      </w:r>
      <w:r>
        <w:rPr>
          <w:rStyle w:val="FootnoteReference"/>
        </w:rPr>
        <w:footnoteReference w:id="8080"/>
      </w:r>
      <w:r>
        <w:t xml:space="preserve"> his brother: Zophah</w:t>
      </w:r>
      <w:r>
        <w:rPr>
          <w:rStyle w:val="FootnoteReference"/>
        </w:rPr>
        <w:footnoteReference w:id="8081"/>
      </w:r>
      <w:r>
        <w:t xml:space="preserve"> and Imana and Selles</w:t>
      </w:r>
      <w:r>
        <w:rPr>
          <w:rStyle w:val="FootnoteReference"/>
        </w:rPr>
        <w:footnoteReference w:id="8082"/>
      </w:r>
      <w:r>
        <w:t xml:space="preserve"> and Amal</w:t>
      </w:r>
      <w:r>
        <w:rPr>
          <w:rStyle w:val="FootnoteReference"/>
        </w:rPr>
        <w:footnoteReference w:id="8083"/>
      </w:r>
      <w:r>
        <w:t xml:space="preserve">.</w:t>
      </w:r>
    </w:p>
    <w:p>
      <w:r>
        <w:rPr>
          <w:b/>
        </w:rPr>
        <w:t xml:space="preserve">36 </w:t>
      </w:r>
      <w:r>
        <w:t xml:space="preserve">Sons of Zophah: Chouchi, Harnepher</w:t>
      </w:r>
      <w:r>
        <w:rPr>
          <w:rStyle w:val="FootnoteReference"/>
        </w:rPr>
        <w:footnoteReference w:id="8084"/>
      </w:r>
      <w:r>
        <w:t xml:space="preserve">, Shual, Beri, and Imrah</w:t>
      </w:r>
      <w:r>
        <w:rPr>
          <w:rStyle w:val="FootnoteReference"/>
        </w:rPr>
        <w:footnoteReference w:id="8085"/>
      </w:r>
      <w:r>
        <w:t xml:space="preserve">,</w:t>
      </w:r>
    </w:p>
    <w:p>
      <w:r>
        <w:rPr>
          <w:b/>
        </w:rPr>
        <w:t xml:space="preserve">37 </w:t>
      </w:r>
      <w:r>
        <w:t xml:space="preserve">Shobal and Hod</w:t>
      </w:r>
      <w:r>
        <w:rPr>
          <w:rStyle w:val="FootnoteReference"/>
        </w:rPr>
        <w:footnoteReference w:id="8086"/>
      </w:r>
      <w:r>
        <w:t xml:space="preserve"> and Semma and Salisa and Ithran</w:t>
      </w:r>
      <w:r>
        <w:rPr>
          <w:rStyle w:val="FootnoteReference"/>
        </w:rPr>
        <w:footnoteReference w:id="8087"/>
      </w:r>
      <w:r>
        <w:t xml:space="preserve"> and Beera</w:t>
      </w:r>
      <w:r>
        <w:rPr>
          <w:rStyle w:val="FootnoteReference"/>
        </w:rPr>
        <w:footnoteReference w:id="8088"/>
      </w:r>
      <w:r>
        <w:t xml:space="preserve">.</w:t>
      </w:r>
    </w:p>
    <w:p>
      <w:r>
        <w:rPr>
          <w:b/>
        </w:rPr>
        <w:t xml:space="preserve">38 </w:t>
      </w:r>
      <w:r>
        <w:t xml:space="preserve">And sons of Jether: Iphina and Phaspha and Ara.</w:t>
      </w:r>
    </w:p>
    <w:p>
      <w:r>
        <w:rPr>
          <w:b/>
        </w:rPr>
        <w:t xml:space="preserve">39 </w:t>
      </w:r>
      <w:r>
        <w:t xml:space="preserve">And sons of Ulla</w:t>
      </w:r>
      <w:r>
        <w:rPr>
          <w:rStyle w:val="FootnoteReference"/>
        </w:rPr>
        <w:footnoteReference w:id="8089"/>
      </w:r>
      <w:r>
        <w:t xml:space="preserve">: Arah</w:t>
      </w:r>
      <w:r>
        <w:rPr>
          <w:rStyle w:val="FootnoteReference"/>
        </w:rPr>
        <w:footnoteReference w:id="8090"/>
      </w:r>
      <w:r>
        <w:t xml:space="preserve">, Hanniel, and Rezia.</w:t>
      </w:r>
    </w:p>
    <w:p>
      <w:r>
        <w:rPr>
          <w:b/>
        </w:rPr>
        <w:t xml:space="preserve">40 </w:t>
      </w:r>
      <w:r>
        <w:t xml:space="preserve">All these were sons of Asher, all chiefs of fathers, chosen mighty men of power, leading chiefs. Their number for drawing up battle was twenty-six thousand 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Benjamin begot Bela</w:t>
      </w:r>
      <w:r>
        <w:rPr>
          <w:rStyle w:val="FootnoteReference"/>
        </w:rPr>
        <w:footnoteReference w:id="8091"/>
      </w:r>
      <w:r>
        <w:t xml:space="preserve"> his firstborn, Ashbel the second, Aharah</w:t>
      </w:r>
      <w:r>
        <w:rPr>
          <w:rStyle w:val="FootnoteReference"/>
        </w:rPr>
        <w:footnoteReference w:id="8092"/>
      </w:r>
      <w:r>
        <w:t xml:space="preserve"> the third,</w:t>
      </w:r>
    </w:p>
    <w:p>
      <w:r>
        <w:rPr>
          <w:b/>
        </w:rPr>
        <w:t xml:space="preserve">2 </w:t>
      </w:r>
      <w:r>
        <w:t xml:space="preserve">Nohah the fourth, and Rapha the fifth.</w:t>
      </w:r>
      <w:r>
        <w:rPr>
          <w:rStyle w:val="FootnoteReference"/>
        </w:rPr>
        <w:footnoteReference w:id="8093"/>
      </w:r>
      <w:r>
        <w:t xml:space="preserve"/>
      </w:r>
      <w:r>
        <w:rPr>
          <w:rStyle w:val="FootnoteReference"/>
        </w:rPr>
        <w:footnoteReference w:id="8094"/>
      </w:r>
    </w:p>
    <w:p>
      <w:r>
        <w:rPr>
          <w:b/>
        </w:rPr>
        <w:t xml:space="preserve">3 </w:t>
      </w:r>
      <w:r>
        <w:t xml:space="preserve">And there were sons to Bela: Hadad and Gera and Abihu,</w:t>
      </w:r>
    </w:p>
    <w:p>
      <w:r>
        <w:rPr>
          <w:b/>
        </w:rPr>
        <w:t xml:space="preserve">4 </w:t>
      </w:r>
      <w:r>
        <w:t xml:space="preserve">and Abishua and Naaman and Ahijah,</w:t>
      </w:r>
    </w:p>
    <w:p>
      <w:r>
        <w:rPr>
          <w:b/>
        </w:rPr>
        <w:t xml:space="preserve">5 </w:t>
      </w:r>
      <w:r>
        <w:t xml:space="preserve">and Gera</w:t>
      </w:r>
      <w:r>
        <w:rPr>
          <w:rStyle w:val="FootnoteReference"/>
        </w:rPr>
        <w:footnoteReference w:id="8095"/>
      </w:r>
      <w:r>
        <w:t xml:space="preserve"> and Shephuphan</w:t>
      </w:r>
      <w:r>
        <w:rPr>
          <w:rStyle w:val="FootnoteReference"/>
        </w:rPr>
        <w:footnoteReference w:id="8096"/>
      </w:r>
      <w:r>
        <w:t xml:space="preserve"> and Oim.</w:t>
      </w:r>
    </w:p>
    <w:p>
      <w:r>
        <w:rPr>
          <w:b/>
        </w:rPr>
        <w:t xml:space="preserve">6 </w:t>
      </w:r>
      <w:r>
        <w:t xml:space="preserve">These are sons of Ohad. These are chiefs of fathers for those dwelling in Gibeah, and they deported them to Manahethites,</w:t>
      </w:r>
    </w:p>
    <w:p>
      <w:r>
        <w:rPr>
          <w:b/>
        </w:rPr>
        <w:t xml:space="preserve">7 </w:t>
      </w:r>
      <w:r>
        <w:t xml:space="preserve">and Naaman and Ahijah and Gera. This one begot Naana and Ahihud.</w:t>
      </w:r>
    </w:p>
    <w:p>
      <w:r>
        <w:rPr>
          <w:b/>
        </w:rPr>
        <w:t xml:space="preserve">8 </w:t>
      </w:r>
      <w:r>
        <w:t xml:space="preserve">And Saarim begot in the plain of Moab after sending away Hushim and Baara</w:t>
      </w:r>
      <w:r>
        <w:rPr>
          <w:rStyle w:val="FootnoteReference"/>
        </w:rPr>
        <w:footnoteReference w:id="8097"/>
      </w:r>
      <w:r>
        <w:t xml:space="preserve"> his wives.</w:t>
      </w:r>
    </w:p>
    <w:p>
      <w:r>
        <w:rPr>
          <w:b/>
        </w:rPr>
        <w:t xml:space="preserve">9 </w:t>
      </w:r>
      <w:r>
        <w:t xml:space="preserve">And by Adah his wife he begot Jobab and Sebia and Mesha and Malcham</w:t>
      </w:r>
      <w:r>
        <w:rPr>
          <w:rStyle w:val="FootnoteReference"/>
        </w:rPr>
        <w:footnoteReference w:id="8098"/>
      </w:r>
      <w:r>
        <w:t xml:space="preserve">,</w:t>
      </w:r>
    </w:p>
    <w:p>
      <w:r>
        <w:rPr>
          <w:b/>
        </w:rPr>
        <w:t xml:space="preserve">10 </w:t>
      </w:r>
      <w:r>
        <w:t xml:space="preserve">and Iaos and Shachia</w:t>
      </w:r>
      <w:r>
        <w:rPr>
          <w:rStyle w:val="FootnoteReference"/>
        </w:rPr>
        <w:footnoteReference w:id="8099"/>
      </w:r>
      <w:r>
        <w:t xml:space="preserve"> and Marma. These were chiefs of fathers.</w:t>
      </w:r>
    </w:p>
    <w:p>
      <w:r>
        <w:rPr>
          <w:b/>
        </w:rPr>
        <w:t xml:space="preserve">11 </w:t>
      </w:r>
      <w:r>
        <w:t xml:space="preserve">And from Hushim he begot Abitub</w:t>
      </w:r>
      <w:r>
        <w:rPr>
          <w:rStyle w:val="FootnoteReference"/>
        </w:rPr>
        <w:footnoteReference w:id="8100"/>
      </w:r>
      <w:r>
        <w:t xml:space="preserve"> and Elpaal</w:t>
      </w:r>
      <w:r>
        <w:rPr>
          <w:rStyle w:val="FootnoteReference"/>
        </w:rPr>
        <w:footnoteReference w:id="8101"/>
      </w:r>
      <w:r>
        <w:t xml:space="preserve">.</w:t>
      </w:r>
    </w:p>
    <w:p>
      <w:r>
        <w:rPr>
          <w:b/>
        </w:rPr>
        <w:t xml:space="preserve">12 </w:t>
      </w:r>
      <w:r>
        <w:t xml:space="preserve">And sons of Elpaal: Obed, Misham</w:t>
      </w:r>
      <w:r>
        <w:rPr>
          <w:rStyle w:val="FootnoteReference"/>
        </w:rPr>
        <w:footnoteReference w:id="8102"/>
      </w:r>
      <w:r>
        <w:t xml:space="preserve">, Shamed</w:t>
      </w:r>
      <w:r>
        <w:rPr>
          <w:rStyle w:val="FootnoteReference"/>
        </w:rPr>
        <w:footnoteReference w:id="8103"/>
      </w:r>
      <w:r>
        <w:t xml:space="preserve">. This one built Ono</w:t>
      </w:r>
      <w:r>
        <w:rPr>
          <w:rStyle w:val="FootnoteReference"/>
        </w:rPr>
        <w:footnoteReference w:id="8104"/>
      </w:r>
      <w:r>
        <w:t xml:space="preserve"> and Lod and its villages.</w:t>
      </w:r>
    </w:p>
    <w:p>
      <w:r>
        <w:rPr>
          <w:b/>
        </w:rPr>
        <w:t xml:space="preserve">13 </w:t>
      </w:r>
      <w:r>
        <w:t xml:space="preserve">And Beriah and Shammah, these were chiefs of fathers for those dwelling in Aijalon</w:t>
      </w:r>
      <w:r>
        <w:rPr>
          <w:rStyle w:val="FootnoteReference"/>
        </w:rPr>
        <w:footnoteReference w:id="8105"/>
      </w:r>
      <w:r>
        <w:t xml:space="preserve">, and these drove out those dwelling in Gath.</w:t>
      </w:r>
      <w:r>
        <w:rPr>
          <w:rStyle w:val="FootnoteReference"/>
        </w:rPr>
        <w:footnoteReference w:id="8106"/>
      </w:r>
    </w:p>
    <w:p>
      <w:r>
        <w:rPr>
          <w:b/>
        </w:rPr>
        <w:t xml:space="preserve">14 </w:t>
      </w:r>
      <w:r>
        <w:t xml:space="preserve">And his brother Shashak</w:t>
      </w:r>
      <w:r>
        <w:rPr>
          <w:rStyle w:val="FootnoteReference"/>
        </w:rPr>
        <w:footnoteReference w:id="8107"/>
      </w:r>
      <w:r>
        <w:t xml:space="preserve"> and Jeremoth</w:t>
      </w:r>
      <w:r>
        <w:rPr>
          <w:rStyle w:val="FootnoteReference"/>
        </w:rPr>
        <w:footnoteReference w:id="8108"/>
      </w:r>
      <w:r>
        <w:t xml:space="preserve">,</w:t>
      </w:r>
    </w:p>
    <w:p>
      <w:r>
        <w:rPr>
          <w:b/>
        </w:rPr>
        <w:t xml:space="preserve">15 </w:t>
      </w:r>
      <w:r>
        <w:t xml:space="preserve">and Zebadiah</w:t>
      </w:r>
      <w:r>
        <w:rPr>
          <w:rStyle w:val="FootnoteReference"/>
        </w:rPr>
        <w:footnoteReference w:id="8109"/>
      </w:r>
      <w:r>
        <w:t xml:space="preserve"> and Orer and Oded</w:t>
      </w:r>
      <w:r>
        <w:rPr>
          <w:rStyle w:val="FootnoteReference"/>
        </w:rPr>
        <w:footnoteReference w:id="8110"/>
      </w:r>
      <w:r>
        <w:t xml:space="preserve">,</w:t>
      </w:r>
    </w:p>
    <w:p>
      <w:r>
        <w:rPr>
          <w:b/>
        </w:rPr>
        <w:t xml:space="preserve">16 </w:t>
      </w:r>
      <w:r>
        <w:t xml:space="preserve">and Michael and Ispah</w:t>
      </w:r>
      <w:r>
        <w:rPr>
          <w:rStyle w:val="FootnoteReference"/>
        </w:rPr>
        <w:footnoteReference w:id="8111"/>
      </w:r>
      <w:r>
        <w:t xml:space="preserve"> and Joha</w:t>
      </w:r>
      <w:r>
        <w:rPr>
          <w:rStyle w:val="FootnoteReference"/>
        </w:rPr>
        <w:footnoteReference w:id="8112"/>
      </w:r>
      <w:r>
        <w:t xml:space="preserve">, sons of Beriah</w:t>
      </w:r>
      <w:r>
        <w:rPr>
          <w:rStyle w:val="FootnoteReference"/>
        </w:rPr>
        <w:footnoteReference w:id="8113"/>
      </w:r>
      <w:r>
        <w:t xml:space="preserve">,</w:t>
      </w:r>
    </w:p>
    <w:p>
      <w:r>
        <w:rPr>
          <w:b/>
        </w:rPr>
        <w:t xml:space="preserve">17 </w:t>
      </w:r>
      <w:r>
        <w:t xml:space="preserve">and Zebadiah and Meshullam and Azaki and Abar,</w:t>
      </w:r>
    </w:p>
    <w:p>
      <w:r>
        <w:rPr>
          <w:b/>
        </w:rPr>
        <w:t xml:space="preserve">18 </w:t>
      </w:r>
      <w:r>
        <w:t xml:space="preserve">and Ishmerai</w:t>
      </w:r>
      <w:r>
        <w:rPr>
          <w:rStyle w:val="FootnoteReference"/>
        </w:rPr>
        <w:footnoteReference w:id="8114"/>
      </w:r>
      <w:r>
        <w:t xml:space="preserve"> and Iezlia and Jobab, sons of Elpaal,</w:t>
      </w:r>
    </w:p>
    <w:p>
      <w:r>
        <w:rPr>
          <w:b/>
        </w:rPr>
        <w:t xml:space="preserve">19 </w:t>
      </w:r>
      <w:r>
        <w:t xml:space="preserve">and Jakim and Zichri and Zabdi</w:t>
      </w:r>
      <w:r>
        <w:rPr>
          <w:rStyle w:val="FootnoteReference"/>
        </w:rPr>
        <w:footnoteReference w:id="8115"/>
      </w:r>
      <w:r>
        <w:t xml:space="preserve">,</w:t>
      </w:r>
    </w:p>
    <w:p>
      <w:r>
        <w:rPr>
          <w:b/>
        </w:rPr>
        <w:t xml:space="preserve">20 </w:t>
      </w:r>
      <w:r>
        <w:t xml:space="preserve">and Elienai</w:t>
      </w:r>
      <w:r>
        <w:rPr>
          <w:rStyle w:val="FootnoteReference"/>
        </w:rPr>
        <w:footnoteReference w:id="8116"/>
      </w:r>
      <w:r>
        <w:t xml:space="preserve"> and Zilthai</w:t>
      </w:r>
      <w:r>
        <w:rPr>
          <w:rStyle w:val="FootnoteReference"/>
        </w:rPr>
        <w:footnoteReference w:id="8117"/>
      </w:r>
      <w:r>
        <w:t xml:space="preserve"> and Eliel,</w:t>
      </w:r>
    </w:p>
    <w:p>
      <w:r>
        <w:rPr>
          <w:b/>
        </w:rPr>
        <w:t xml:space="preserve">21 </w:t>
      </w:r>
      <w:r>
        <w:t xml:space="preserve">and Adaiah and Beraiah</w:t>
      </w:r>
      <w:r>
        <w:rPr>
          <w:rStyle w:val="FootnoteReference"/>
        </w:rPr>
        <w:footnoteReference w:id="8118"/>
      </w:r>
      <w:r>
        <w:t xml:space="preserve"> and Shimrath</w:t>
      </w:r>
      <w:r>
        <w:rPr>
          <w:rStyle w:val="FootnoteReference"/>
        </w:rPr>
        <w:footnoteReference w:id="8119"/>
      </w:r>
      <w:r>
        <w:t xml:space="preserve">, sons of Shammai,</w:t>
      </w:r>
    </w:p>
    <w:p>
      <w:r>
        <w:rPr>
          <w:b/>
        </w:rPr>
        <w:t xml:space="preserve">22 </w:t>
      </w:r>
      <w:r>
        <w:t xml:space="preserve">and Ishpan</w:t>
      </w:r>
      <w:r>
        <w:rPr>
          <w:rStyle w:val="FootnoteReference"/>
        </w:rPr>
        <w:footnoteReference w:id="8120"/>
      </w:r>
      <w:r>
        <w:t xml:space="preserve"> and Obed and Eliel,</w:t>
      </w:r>
    </w:p>
    <w:p>
      <w:r>
        <w:rPr>
          <w:b/>
        </w:rPr>
        <w:t xml:space="preserve">23 </w:t>
      </w:r>
      <w:r>
        <w:t xml:space="preserve">and Abdon and Zichri and Anan,</w:t>
      </w:r>
    </w:p>
    <w:p>
      <w:r>
        <w:rPr>
          <w:b/>
        </w:rPr>
        <w:t xml:space="preserve">24 </w:t>
      </w:r>
      <w:r>
        <w:t xml:space="preserve">and Hananiah and Omri and Elam and Antothijah</w:t>
      </w:r>
      <w:r>
        <w:rPr>
          <w:rStyle w:val="FootnoteReference"/>
        </w:rPr>
        <w:footnoteReference w:id="8121"/>
      </w:r>
      <w:r>
        <w:t xml:space="preserve">,</w:t>
      </w:r>
    </w:p>
    <w:p>
      <w:r>
        <w:rPr>
          <w:b/>
        </w:rPr>
        <w:t xml:space="preserve">25 </w:t>
      </w:r>
      <w:r>
        <w:t xml:space="preserve">and Athin and Iepheria and Penuel, sons of Shashak,</w:t>
      </w:r>
    </w:p>
    <w:p>
      <w:r>
        <w:rPr>
          <w:b/>
        </w:rPr>
        <w:t xml:space="preserve">26 </w:t>
      </w:r>
      <w:r>
        <w:t xml:space="preserve">and Shamsherai</w:t>
      </w:r>
      <w:r>
        <w:rPr>
          <w:rStyle w:val="FootnoteReference"/>
        </w:rPr>
        <w:footnoteReference w:id="8122"/>
      </w:r>
      <w:r>
        <w:t xml:space="preserve"> and Shehariah</w:t>
      </w:r>
      <w:r>
        <w:rPr>
          <w:rStyle w:val="FootnoteReference"/>
        </w:rPr>
        <w:footnoteReference w:id="8123"/>
      </w:r>
      <w:r>
        <w:t xml:space="preserve"> and Athaliah,</w:t>
      </w:r>
    </w:p>
    <w:p>
      <w:r>
        <w:rPr>
          <w:b/>
        </w:rPr>
        <w:t xml:space="preserve">27 </w:t>
      </w:r>
      <w:r>
        <w:t xml:space="preserve">and Jaresiah</w:t>
      </w:r>
      <w:r>
        <w:rPr>
          <w:rStyle w:val="FootnoteReference"/>
        </w:rPr>
        <w:footnoteReference w:id="8124"/>
      </w:r>
      <w:r>
        <w:t xml:space="preserve"> and Eliah</w:t>
      </w:r>
      <w:r>
        <w:rPr>
          <w:rStyle w:val="FootnoteReference"/>
        </w:rPr>
        <w:footnoteReference w:id="8125"/>
      </w:r>
      <w:r>
        <w:t xml:space="preserve"> and Zichri, sons of Jeroham.</w:t>
      </w:r>
    </w:p>
    <w:p>
      <w:r>
        <w:rPr>
          <w:b/>
        </w:rPr>
        <w:t xml:space="preserve">28 </w:t>
      </w:r>
      <w:r>
        <w:t xml:space="preserve">These were chiefs of fathers according to their generations, chiefs. These dwelt</w:t>
      </w:r>
      <w:r>
        <w:rPr>
          <w:rStyle w:val="FootnoteReference"/>
        </w:rPr>
        <w:footnoteReference w:id="8126"/>
      </w:r>
      <w:r>
        <w:t xml:space="preserve"> in Jerusalem.</w:t>
      </w:r>
    </w:p>
    <w:p>
      <w:r>
        <w:rPr>
          <w:b/>
        </w:rPr>
        <w:t xml:space="preserve">29 </w:t>
      </w:r>
      <w:r>
        <w:t xml:space="preserve">And in Gibeon dwelt father of Gibeon, and the name of his wife was Maachah.</w:t>
      </w:r>
    </w:p>
    <w:p>
      <w:r>
        <w:rPr>
          <w:b/>
        </w:rPr>
        <w:t xml:space="preserve">30 </w:t>
      </w:r>
      <w:r>
        <w:t xml:space="preserve">And her firstborn son was Abdon</w:t>
      </w:r>
      <w:r>
        <w:rPr>
          <w:rStyle w:val="FootnoteReference"/>
        </w:rPr>
        <w:footnoteReference w:id="8127"/>
      </w:r>
      <w:r>
        <w:t xml:space="preserve">, and Shur and Kish and Baal and Ner and Nadab,</w:t>
      </w:r>
    </w:p>
    <w:p>
      <w:r>
        <w:rPr>
          <w:b/>
        </w:rPr>
        <w:t xml:space="preserve">31 </w:t>
      </w:r>
      <w:r>
        <w:t xml:space="preserve">and Gedor and his brother and Ahio</w:t>
      </w:r>
      <w:r>
        <w:rPr>
          <w:rStyle w:val="FootnoteReference"/>
        </w:rPr>
        <w:footnoteReference w:id="8128"/>
      </w:r>
      <w:r>
        <w:t xml:space="preserve"> and Mikloth</w:t>
      </w:r>
      <w:r>
        <w:rPr>
          <w:rStyle w:val="FootnoteReference"/>
        </w:rPr>
        <w:footnoteReference w:id="8129"/>
      </w:r>
      <w:r>
        <w:t xml:space="preserve">.</w:t>
      </w:r>
    </w:p>
    <w:p>
      <w:r>
        <w:rPr>
          <w:b/>
        </w:rPr>
        <w:t xml:space="preserve">32 </w:t>
      </w:r>
      <w:r>
        <w:t xml:space="preserve">And Mikloth begot Shema, and these also dwelt opposite their brothers in Jerusalem with their brothers.</w:t>
      </w:r>
    </w:p>
    <w:p>
      <w:r>
        <w:rPr>
          <w:b/>
        </w:rPr>
        <w:t xml:space="preserve">33 </w:t>
      </w:r>
      <w:r>
        <w:t xml:space="preserve">And Ner begot Kish</w:t>
      </w:r>
      <w:r>
        <w:rPr>
          <w:rStyle w:val="FootnoteReference"/>
        </w:rPr>
        <w:footnoteReference w:id="8130"/>
      </w:r>
      <w:r>
        <w:t xml:space="preserve">, and Kish begot Saul, and Saul begot Jonathan and Melchishua and Amminadab and Eshbaal</w:t>
      </w:r>
      <w:r>
        <w:rPr>
          <w:rStyle w:val="FootnoteReference"/>
        </w:rPr>
        <w:footnoteReference w:id="8131"/>
      </w:r>
      <w:r>
        <w:t xml:space="preserve">.</w:t>
      </w:r>
    </w:p>
    <w:p>
      <w:r>
        <w:rPr>
          <w:b/>
        </w:rPr>
        <w:t xml:space="preserve">34 </w:t>
      </w:r>
      <w:r>
        <w:t xml:space="preserve">And sons of Jonathan: Meribbaal</w:t>
      </w:r>
      <w:r>
        <w:rPr>
          <w:rStyle w:val="FootnoteReference"/>
        </w:rPr>
        <w:footnoteReference w:id="8132"/>
      </w:r>
      <w:r>
        <w:t xml:space="preserve">. And Meribbaal begot Micah.</w:t>
      </w:r>
      <w:r>
        <w:rPr>
          <w:rStyle w:val="FootnoteReference"/>
        </w:rPr>
        <w:footnoteReference w:id="8133"/>
      </w:r>
    </w:p>
    <w:p>
      <w:r>
        <w:rPr>
          <w:b/>
        </w:rPr>
        <w:t xml:space="preserve">35 </w:t>
      </w:r>
      <w:r>
        <w:t xml:space="preserve">And sons of Micah: Pithon</w:t>
      </w:r>
      <w:r>
        <w:rPr>
          <w:rStyle w:val="FootnoteReference"/>
        </w:rPr>
        <w:footnoteReference w:id="8134"/>
      </w:r>
      <w:r>
        <w:t xml:space="preserve"> and Malchiel and Tarea</w:t>
      </w:r>
      <w:r>
        <w:rPr>
          <w:rStyle w:val="FootnoteReference"/>
        </w:rPr>
        <w:footnoteReference w:id="8135"/>
      </w:r>
      <w:r>
        <w:t xml:space="preserve"> and Ahaz.</w:t>
      </w:r>
      <w:r>
        <w:rPr>
          <w:rStyle w:val="FootnoteReference"/>
        </w:rPr>
        <w:footnoteReference w:id="8136"/>
      </w:r>
    </w:p>
    <w:p>
      <w:r>
        <w:rPr>
          <w:b/>
        </w:rPr>
        <w:t xml:space="preserve">36 </w:t>
      </w:r>
      <w:r>
        <w:t xml:space="preserve">And Ahaz begot Jehoadah</w:t>
      </w:r>
      <w:r>
        <w:rPr>
          <w:rStyle w:val="FootnoteReference"/>
        </w:rPr>
        <w:footnoteReference w:id="8137"/>
      </w:r>
      <w:r>
        <w:t xml:space="preserve">, and Jehoadah begot Alemeth and Azmaveth and Zimri, and Zimri begot Moza</w:t>
      </w:r>
      <w:r>
        <w:rPr>
          <w:rStyle w:val="FootnoteReference"/>
        </w:rPr>
        <w:footnoteReference w:id="8138"/>
      </w:r>
      <w:r>
        <w:t xml:space="preserve">.</w:t>
      </w:r>
      <w:r>
        <w:rPr>
          <w:rStyle w:val="FootnoteReference"/>
        </w:rPr>
        <w:footnoteReference w:id="8139"/>
      </w:r>
    </w:p>
    <w:p>
      <w:r>
        <w:rPr>
          <w:b/>
        </w:rPr>
        <w:t xml:space="preserve">37 </w:t>
      </w:r>
      <w:r>
        <w:t xml:space="preserve">And Moza begot Baana, Rephaiah his son, Eleasah his son, Azel</w:t>
      </w:r>
      <w:r>
        <w:rPr>
          <w:rStyle w:val="FootnoteReference"/>
        </w:rPr>
        <w:footnoteReference w:id="8140"/>
      </w:r>
      <w:r>
        <w:t xml:space="preserve"> his son.</w:t>
      </w:r>
    </w:p>
    <w:p>
      <w:r>
        <w:rPr>
          <w:b/>
        </w:rPr>
        <w:t xml:space="preserve">38 </w:t>
      </w:r>
      <w:r>
        <w:t xml:space="preserve">And Azel had six sons, and these are their names: Azrikam his firstborn, and Ishmael and Seraiah and Obadiah and Anan. All these were sons of Azel.</w:t>
      </w:r>
    </w:p>
    <w:p>
      <w:r>
        <w:rPr>
          <w:b/>
        </w:rPr>
        <w:t xml:space="preserve">39 </w:t>
      </w:r>
      <w:r>
        <w:t xml:space="preserve">And sons of Asel his brother: Ulam his firstborn, Iais the second, Eliphelet the third.</w:t>
      </w:r>
    </w:p>
    <w:p>
      <w:r>
        <w:rPr>
          <w:b/>
        </w:rPr>
        <w:t xml:space="preserve">40 </w:t>
      </w:r>
      <w:r>
        <w:t xml:space="preserve">And sons of Ulam were mighty men of power, drawing bow, multiplying sons and sons of sons, a hundred fifty. All these were from the sons of Benjamin.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all Israel</w:t>
      </w:r>
      <w:r>
        <w:rPr>
          <w:rStyle w:val="FootnoteReference"/>
        </w:rPr>
        <w:footnoteReference w:id="8141"/>
      </w:r>
      <w:r>
        <w:t xml:space="preserve">, their enrollment, and these are recorded in the book of the kings of Israel and Judah, with those deported to Babylon in their lawlessness.</w:t>
      </w:r>
    </w:p>
    <w:p>
      <w:r>
        <w:rPr>
          <w:b/>
        </w:rPr>
        <w:t xml:space="preserve">2 </w:t>
      </w:r>
      <w:r>
        <w:t xml:space="preserve">And those dwelling first in their possessions in the cities of Israel were the priests, the Levites, and the given ones.</w:t>
      </w:r>
    </w:p>
    <w:p>
      <w:r>
        <w:rPr>
          <w:b/>
        </w:rPr>
        <w:t xml:space="preserve">3 </w:t>
      </w:r>
      <w:r>
        <w:t xml:space="preserve">And in Jerusalem</w:t>
      </w:r>
      <w:r>
        <w:rPr>
          <w:rStyle w:val="FootnoteReference"/>
        </w:rPr>
        <w:footnoteReference w:id="8142"/>
      </w:r>
      <w:r>
        <w:t xml:space="preserve"> dwelt from the sons of Judah and from the sons of Benjamin and from the sons of Ephraim and Manasseh,</w:t>
      </w:r>
    </w:p>
    <w:p>
      <w:r>
        <w:rPr>
          <w:b/>
        </w:rPr>
        <w:t xml:space="preserve">4 </w:t>
      </w:r>
      <w:r>
        <w:t xml:space="preserve">Gouthi son of Ammihud son of Amri, of the sons of Perez son of Judah.</w:t>
      </w:r>
    </w:p>
    <w:p>
      <w:r>
        <w:rPr>
          <w:b/>
        </w:rPr>
        <w:t xml:space="preserve">5 </w:t>
      </w:r>
      <w:r>
        <w:t xml:space="preserve">And from the Shilonites</w:t>
      </w:r>
      <w:r>
        <w:rPr>
          <w:rStyle w:val="FootnoteReference"/>
        </w:rPr>
        <w:footnoteReference w:id="8143"/>
      </w:r>
      <w:r>
        <w:t xml:space="preserve">: Asaiah his firstborn and his sons.</w:t>
      </w:r>
      <w:r>
        <w:rPr>
          <w:rStyle w:val="FootnoteReference"/>
        </w:rPr>
        <w:footnoteReference w:id="8144"/>
      </w:r>
    </w:p>
    <w:p>
      <w:r>
        <w:rPr>
          <w:b/>
        </w:rPr>
        <w:t xml:space="preserve">6 </w:t>
      </w:r>
      <w:r>
        <w:t xml:space="preserve">From the sons of Zerah</w:t>
      </w:r>
      <w:r>
        <w:rPr>
          <w:rStyle w:val="FootnoteReference"/>
        </w:rPr>
        <w:footnoteReference w:id="8145"/>
      </w:r>
      <w:r>
        <w:t xml:space="preserve">: Jeuel</w:t>
      </w:r>
      <w:r>
        <w:rPr>
          <w:rStyle w:val="FootnoteReference"/>
        </w:rPr>
        <w:footnoteReference w:id="8146"/>
      </w:r>
      <w:r>
        <w:t xml:space="preserve"> and their brothers, six hundred ninety.</w:t>
      </w:r>
    </w:p>
    <w:p>
      <w:r>
        <w:rPr>
          <w:b/>
        </w:rPr>
        <w:t xml:space="preserve">7 </w:t>
      </w:r>
      <w:r>
        <w:t xml:space="preserve">And from the sons of Benjamin: Sallu</w:t>
      </w:r>
      <w:r>
        <w:rPr>
          <w:rStyle w:val="FootnoteReference"/>
        </w:rPr>
        <w:footnoteReference w:id="8147"/>
      </w:r>
      <w:r>
        <w:t xml:space="preserve"> son of Meshullam son of Hodaiah son of Senaah</w:t>
      </w:r>
      <w:r>
        <w:rPr>
          <w:rStyle w:val="FootnoteReference"/>
        </w:rPr>
        <w:footnoteReference w:id="8148"/>
      </w:r>
      <w:r>
        <w:t xml:space="preserve">,</w:t>
      </w:r>
      <w:r>
        <w:rPr>
          <w:rStyle w:val="FootnoteReference"/>
        </w:rPr>
        <w:footnoteReference w:id="8149"/>
      </w:r>
    </w:p>
    <w:p>
      <w:r>
        <w:rPr>
          <w:b/>
        </w:rPr>
        <w:t xml:space="preserve">8 </w:t>
      </w:r>
      <w:r>
        <w:t xml:space="preserve">and Ibanaa son of Jeroham, and these sons of Uzzi son of Machir, and Meshullam son of Shephatiah son of Reuel son of Benaiah,</w:t>
      </w:r>
      <w:r>
        <w:rPr>
          <w:rStyle w:val="FootnoteReference"/>
        </w:rPr>
        <w:footnoteReference w:id="8150"/>
      </w:r>
    </w:p>
    <w:p>
      <w:r>
        <w:rPr>
          <w:b/>
        </w:rPr>
        <w:t xml:space="preserve">9 </w:t>
      </w:r>
      <w:r>
        <w:t xml:space="preserve">and their brothers by their generations, nine hundred fifty-six. All the men were chiefs of fathers by the houses of their fathers.</w:t>
      </w:r>
    </w:p>
    <w:p>
      <w:r>
        <w:rPr>
          <w:b/>
        </w:rPr>
        <w:t xml:space="preserve">10 </w:t>
      </w:r>
      <w:r>
        <w:t xml:space="preserve">And from the priests: Jedaiah and Jehoiarib</w:t>
      </w:r>
      <w:r>
        <w:rPr>
          <w:rStyle w:val="FootnoteReference"/>
        </w:rPr>
        <w:footnoteReference w:id="8151"/>
      </w:r>
      <w:r>
        <w:t xml:space="preserve"> and Jachin,</w:t>
      </w:r>
      <w:r>
        <w:rPr>
          <w:rStyle w:val="FootnoteReference"/>
        </w:rPr>
        <w:footnoteReference w:id="8152"/>
      </w:r>
    </w:p>
    <w:p>
      <w:r>
        <w:rPr>
          <w:b/>
        </w:rPr>
        <w:t xml:space="preserve">11 </w:t>
      </w:r>
      <w:r>
        <w:t xml:space="preserve">and Azariah</w:t>
      </w:r>
      <w:r>
        <w:rPr>
          <w:rStyle w:val="FootnoteReference"/>
        </w:rPr>
        <w:footnoteReference w:id="8153"/>
      </w:r>
      <w:r>
        <w:t xml:space="preserve"> son of Hilkiah son of Meshullam son of Zadok son of Meraioth son of Ahitub, ruler of the house of God,</w:t>
      </w:r>
    </w:p>
    <w:p>
      <w:r>
        <w:rPr>
          <w:b/>
        </w:rPr>
        <w:t xml:space="preserve">12 </w:t>
      </w:r>
      <w:r>
        <w:t xml:space="preserve">and Adaiah son of Jeroham son of Pashur</w:t>
      </w:r>
      <w:r>
        <w:rPr>
          <w:rStyle w:val="FootnoteReference"/>
        </w:rPr>
        <w:footnoteReference w:id="8154"/>
      </w:r>
      <w:r>
        <w:t xml:space="preserve"> son of Malchijah, and Amasai son of Adiel son of Jahzerah</w:t>
      </w:r>
      <w:r>
        <w:rPr>
          <w:rStyle w:val="FootnoteReference"/>
        </w:rPr>
        <w:footnoteReference w:id="8155"/>
      </w:r>
      <w:r>
        <w:t xml:space="preserve"> son of Meshullam son of Maselmoth son of Immer</w:t>
      </w:r>
      <w:r>
        <w:rPr>
          <w:rStyle w:val="FootnoteReference"/>
        </w:rPr>
        <w:footnoteReference w:id="8156"/>
      </w:r>
      <w:r>
        <w:t xml:space="preserve">,</w:t>
      </w:r>
      <w:r>
        <w:rPr>
          <w:rStyle w:val="FootnoteReference"/>
        </w:rPr>
        <w:footnoteReference w:id="8157"/>
      </w:r>
    </w:p>
    <w:p>
      <w:r>
        <w:rPr>
          <w:b/>
        </w:rPr>
        <w:t xml:space="preserve">13 </w:t>
      </w:r>
      <w:r>
        <w:t xml:space="preserve">and their brothers, chiefs of the houses of fathers, one thousand seven hundred sixty, mighty in strength for the work of service of the house of God.</w:t>
      </w:r>
    </w:p>
    <w:p>
      <w:r>
        <w:rPr>
          <w:b/>
        </w:rPr>
        <w:t xml:space="preserve">14 </w:t>
      </w:r>
      <w:r>
        <w:t xml:space="preserve">And from the Levites: Shemaiah</w:t>
      </w:r>
      <w:r>
        <w:rPr>
          <w:rStyle w:val="FootnoteReference"/>
        </w:rPr>
        <w:footnoteReference w:id="8158"/>
      </w:r>
      <w:r>
        <w:t xml:space="preserve"> son of Asob son of Azrikam son of Hashabiah</w:t>
      </w:r>
      <w:r>
        <w:rPr>
          <w:rStyle w:val="FootnoteReference"/>
        </w:rPr>
        <w:footnoteReference w:id="8159"/>
      </w:r>
      <w:r>
        <w:t xml:space="preserve">, from the sons of Merari,</w:t>
      </w:r>
    </w:p>
    <w:p>
      <w:r>
        <w:rPr>
          <w:b/>
        </w:rPr>
        <w:t xml:space="preserve">15 </w:t>
      </w:r>
      <w:r>
        <w:t xml:space="preserve">and Bakbakar and Heresh</w:t>
      </w:r>
      <w:r>
        <w:rPr>
          <w:rStyle w:val="FootnoteReference"/>
        </w:rPr>
        <w:footnoteReference w:id="8160"/>
      </w:r>
      <w:r>
        <w:t xml:space="preserve"> and Galal</w:t>
      </w:r>
      <w:r>
        <w:rPr>
          <w:rStyle w:val="FootnoteReference"/>
        </w:rPr>
        <w:footnoteReference w:id="8161"/>
      </w:r>
      <w:r>
        <w:t xml:space="preserve"> and Mattaniah</w:t>
      </w:r>
      <w:r>
        <w:rPr>
          <w:rStyle w:val="FootnoteReference"/>
        </w:rPr>
        <w:footnoteReference w:id="8162"/>
      </w:r>
      <w:r>
        <w:t xml:space="preserve"> son of Micah son of Zichri son of Asaph,</w:t>
      </w:r>
    </w:p>
    <w:p>
      <w:r>
        <w:rPr>
          <w:b/>
        </w:rPr>
        <w:t xml:space="preserve">16 </w:t>
      </w:r>
      <w:r>
        <w:t xml:space="preserve">and Obadiah</w:t>
      </w:r>
      <w:r>
        <w:rPr>
          <w:rStyle w:val="FootnoteReference"/>
        </w:rPr>
        <w:footnoteReference w:id="8163"/>
      </w:r>
      <w:r>
        <w:t xml:space="preserve"> son of Shemaiah son of Galal son of Jeduthun</w:t>
      </w:r>
      <w:r>
        <w:rPr>
          <w:rStyle w:val="FootnoteReference"/>
        </w:rPr>
        <w:footnoteReference w:id="8164"/>
      </w:r>
      <w:r>
        <w:t xml:space="preserve">, and Berechiah son of Asa son of Elkanah, the one dwelling in the villages of the Netophathites.</w:t>
      </w:r>
    </w:p>
    <w:p>
      <w:r>
        <w:rPr>
          <w:b/>
        </w:rPr>
        <w:t xml:space="preserve">17 </w:t>
      </w:r>
      <w:r>
        <w:t xml:space="preserve">The gatekeepers: Shallum</w:t>
      </w:r>
      <w:r>
        <w:rPr>
          <w:rStyle w:val="FootnoteReference"/>
        </w:rPr>
        <w:footnoteReference w:id="8165"/>
      </w:r>
      <w:r>
        <w:t xml:space="preserve"> and Akkub and Talman</w:t>
      </w:r>
      <w:r>
        <w:rPr>
          <w:rStyle w:val="FootnoteReference"/>
        </w:rPr>
        <w:footnoteReference w:id="8166"/>
      </w:r>
      <w:r>
        <w:t xml:space="preserve"> and Heman and their brothers. Shallum the chief.</w:t>
      </w:r>
    </w:p>
    <w:p>
      <w:r>
        <w:rPr>
          <w:b/>
        </w:rPr>
        <w:t xml:space="preserve">18 </w:t>
      </w:r>
      <w:r>
        <w:t xml:space="preserve">And until this day at the king's</w:t>
      </w:r>
      <w:r>
        <w:rPr>
          <w:rStyle w:val="FootnoteReference"/>
        </w:rPr>
        <w:footnoteReference w:id="8167"/>
      </w:r>
      <w:r>
        <w:t xml:space="preserve"> gate eastward, these were the gates of the encampments of the sons of Levi.</w:t>
      </w:r>
    </w:p>
    <w:p>
      <w:r>
        <w:rPr>
          <w:b/>
        </w:rPr>
        <w:t xml:space="preserve">19 </w:t>
      </w:r>
      <w:r>
        <w:t xml:space="preserve">And Shallum son of Kore son of Abiasaph son of Kore, and his brothers to the house of his father, the Korahites</w:t>
      </w:r>
      <w:r>
        <w:rPr>
          <w:rStyle w:val="FootnoteReference"/>
        </w:rPr>
        <w:footnoteReference w:id="8168"/>
      </w:r>
      <w:r>
        <w:t xml:space="preserve">, were over the works of the service, guarding the guards of the tent, and their fathers were over the encampment of the Lord, guarding the entrance.</w:t>
      </w:r>
    </w:p>
    <w:p>
      <w:r>
        <w:rPr>
          <w:b/>
        </w:rPr>
        <w:t xml:space="preserve">20 </w:t>
      </w:r>
      <w:r>
        <w:t xml:space="preserve">And Phinehas</w:t>
      </w:r>
      <w:r>
        <w:rPr>
          <w:rStyle w:val="FootnoteReference"/>
        </w:rPr>
        <w:footnoteReference w:id="8169"/>
      </w:r>
      <w:r>
        <w:t xml:space="preserve"> son of Eleazar was ruler over them before, and these were with him.</w:t>
      </w:r>
    </w:p>
    <w:p>
      <w:r>
        <w:rPr>
          <w:b/>
        </w:rPr>
        <w:t xml:space="preserve">21 </w:t>
      </w:r>
      <w:r>
        <w:t xml:space="preserve">Zechariah</w:t>
      </w:r>
      <w:r>
        <w:rPr>
          <w:rStyle w:val="FootnoteReference"/>
        </w:rPr>
        <w:footnoteReference w:id="8170"/>
      </w:r>
      <w:r>
        <w:t xml:space="preserve"> son of Meshelemiah</w:t>
      </w:r>
      <w:r>
        <w:rPr>
          <w:rStyle w:val="FootnoteReference"/>
        </w:rPr>
        <w:footnoteReference w:id="8171"/>
      </w:r>
      <w:r>
        <w:t xml:space="preserve"> was the gatekeeper of the door of the tent of testimony.</w:t>
      </w:r>
    </w:p>
    <w:p>
      <w:r>
        <w:rPr>
          <w:b/>
        </w:rPr>
        <w:t xml:space="preserve">22 </w:t>
      </w:r>
      <w:r>
        <w:t xml:space="preserve">All the chosen ones at the gates in the gates were two hundred twelve. These in their</w:t>
      </w:r>
      <w:r>
        <w:rPr>
          <w:rStyle w:val="FootnoteReference"/>
        </w:rPr>
        <w:footnoteReference w:id="8172"/>
      </w:r>
      <w:r>
        <w:t xml:space="preserve"> courts: their enrollment. David and Samuel the seer established them in their faithfulness.</w:t>
      </w:r>
    </w:p>
    <w:p>
      <w:r>
        <w:rPr>
          <w:b/>
        </w:rPr>
        <w:t xml:space="preserve">23 </w:t>
      </w:r>
      <w:r>
        <w:t xml:space="preserve">And these and their sons were over the gates in the house of the Lord, in the house of the tent, to guard.</w:t>
      </w:r>
    </w:p>
    <w:p>
      <w:r>
        <w:rPr>
          <w:b/>
        </w:rPr>
        <w:t xml:space="preserve">24 </w:t>
      </w:r>
      <w:r>
        <w:t xml:space="preserve">To the four</w:t>
      </w:r>
      <w:r>
        <w:rPr>
          <w:rStyle w:val="FootnoteReference"/>
        </w:rPr>
        <w:footnoteReference w:id="8173"/>
      </w:r>
      <w:r>
        <w:t xml:space="preserve"> winds were the gates: east, west, north, south.</w:t>
      </w:r>
    </w:p>
    <w:p>
      <w:r>
        <w:rPr>
          <w:b/>
        </w:rPr>
        <w:t xml:space="preserve">25 </w:t>
      </w:r>
      <w:r>
        <w:t xml:space="preserve">And their brothers in their courts were to enter every seven</w:t>
      </w:r>
      <w:r>
        <w:rPr>
          <w:rStyle w:val="FootnoteReference"/>
        </w:rPr>
        <w:footnoteReference w:id="8174"/>
      </w:r>
      <w:r>
        <w:t xml:space="preserve"> days from time to time with them.</w:t>
      </w:r>
    </w:p>
    <w:p>
      <w:r>
        <w:rPr>
          <w:b/>
        </w:rPr>
        <w:t xml:space="preserve">26 </w:t>
      </w:r>
      <w:r>
        <w:t xml:space="preserve">Because in faithfulness there were four mighty gatekeepers. The Levites were over the storerooms and over the treasuries of the house of God.</w:t>
      </w:r>
    </w:p>
    <w:p>
      <w:r>
        <w:rPr>
          <w:b/>
        </w:rPr>
        <w:t xml:space="preserve">27 </w:t>
      </w:r>
      <w:r>
        <w:t xml:space="preserve">And around the house of God they encamped, because the guard was upon them, and they were over the keys, to open the doors of the sanctuary morning by morning.</w:t>
      </w:r>
    </w:p>
    <w:p>
      <w:r>
        <w:rPr>
          <w:b/>
        </w:rPr>
        <w:t xml:space="preserve">28 </w:t>
      </w:r>
      <w:r>
        <w:t xml:space="preserve">And from them some were over the vessels of the service, because by number they bring them in and by number they bring them out.</w:t>
      </w:r>
    </w:p>
    <w:p>
      <w:r>
        <w:rPr>
          <w:b/>
        </w:rPr>
        <w:t xml:space="preserve">29 </w:t>
      </w:r>
      <w:r>
        <w:t xml:space="preserve">And from them some were appointed over the vessels and over all the holy vessels and over the fine flour and the wine and the oil</w:t>
      </w:r>
      <w:r>
        <w:rPr>
          <w:rStyle w:val="FootnoteReference"/>
        </w:rPr>
        <w:footnoteReference w:id="8175"/>
      </w:r>
      <w:r>
        <w:t xml:space="preserve"> and the frankincense and the spices.</w:t>
      </w:r>
    </w:p>
    <w:p>
      <w:r>
        <w:rPr>
          <w:b/>
        </w:rPr>
        <w:t xml:space="preserve">30 </w:t>
      </w:r>
      <w:r>
        <w:t xml:space="preserve">And from the sons of the priests were mixers of the ointment and of the spices.</w:t>
      </w:r>
    </w:p>
    <w:p>
      <w:r>
        <w:rPr>
          <w:b/>
        </w:rPr>
        <w:t xml:space="preserve">31 </w:t>
      </w:r>
      <w:r>
        <w:t xml:space="preserve">And Mattithiah</w:t>
      </w:r>
      <w:r>
        <w:rPr>
          <w:rStyle w:val="FootnoteReference"/>
        </w:rPr>
        <w:footnoteReference w:id="8176"/>
      </w:r>
      <w:r>
        <w:t xml:space="preserve"> from the Levites, this one firstborn to Shallum</w:t>
      </w:r>
      <w:r>
        <w:rPr>
          <w:rStyle w:val="FootnoteReference"/>
        </w:rPr>
        <w:footnoteReference w:id="8177"/>
      </w:r>
      <w:r>
        <w:t xml:space="preserve"> the Korahite</w:t>
      </w:r>
      <w:r>
        <w:rPr>
          <w:rStyle w:val="FootnoteReference"/>
        </w:rPr>
        <w:footnoteReference w:id="8178"/>
      </w:r>
      <w:r>
        <w:t xml:space="preserve">, in faithfulness over the works of the pan of the high priest.</w:t>
      </w:r>
    </w:p>
    <w:p>
      <w:r>
        <w:rPr>
          <w:b/>
        </w:rPr>
        <w:t xml:space="preserve">32 </w:t>
      </w:r>
      <w:r>
        <w:t xml:space="preserve">And Benaiah the Kohathite</w:t>
      </w:r>
      <w:r>
        <w:rPr>
          <w:rStyle w:val="FootnoteReference"/>
        </w:rPr>
        <w:footnoteReference w:id="8179"/>
      </w:r>
      <w:r>
        <w:t xml:space="preserve">, from their brothers, was over the bread of presentation, to prepare it Sabbath by Sabbath.</w:t>
      </w:r>
    </w:p>
    <w:p>
      <w:r>
        <w:rPr>
          <w:b/>
        </w:rPr>
        <w:t xml:space="preserve">33 </w:t>
      </w:r>
      <w:r>
        <w:t xml:space="preserve">And these were singers, chiefs of fathers of the Levites, appointed by courses, because day and night the works were upon them.</w:t>
      </w:r>
    </w:p>
    <w:p>
      <w:r>
        <w:rPr>
          <w:b/>
        </w:rPr>
        <w:t xml:space="preserve">34 </w:t>
      </w:r>
      <w:r>
        <w:t xml:space="preserve">These were chiefs of fathers of the Levites according to their generations, chiefs. These dwelt in Jerusalem</w:t>
      </w:r>
      <w:r>
        <w:rPr>
          <w:rStyle w:val="FootnoteReference"/>
        </w:rPr>
        <w:footnoteReference w:id="8180"/>
      </w:r>
      <w:r>
        <w:t xml:space="preserve">.</w:t>
      </w:r>
    </w:p>
    <w:p>
      <w:r>
        <w:rPr>
          <w:b/>
        </w:rPr>
        <w:t xml:space="preserve">35 </w:t>
      </w:r>
      <w:r>
        <w:t xml:space="preserve">And in Gibeon</w:t>
      </w:r>
      <w:r>
        <w:rPr>
          <w:rStyle w:val="FootnoteReference"/>
        </w:rPr>
        <w:footnoteReference w:id="8181"/>
      </w:r>
      <w:r>
        <w:t xml:space="preserve"> dwelt father of Gibeon, Jehiel</w:t>
      </w:r>
      <w:r>
        <w:rPr>
          <w:rStyle w:val="FootnoteReference"/>
        </w:rPr>
        <w:footnoteReference w:id="8182"/>
      </w:r>
      <w:r>
        <w:t xml:space="preserve">, and the name of his wife was Maachah.</w:t>
      </w:r>
    </w:p>
    <w:p>
      <w:r>
        <w:rPr>
          <w:b/>
        </w:rPr>
        <w:t xml:space="preserve">36 </w:t>
      </w:r>
      <w:r>
        <w:t xml:space="preserve">And her firstborn son was Abdon, and Zur and Kish</w:t>
      </w:r>
      <w:r>
        <w:rPr>
          <w:rStyle w:val="FootnoteReference"/>
        </w:rPr>
        <w:footnoteReference w:id="8183"/>
      </w:r>
      <w:r>
        <w:t xml:space="preserve"> and Baal and Ner and Nadab,</w:t>
      </w:r>
    </w:p>
    <w:p>
      <w:r>
        <w:rPr>
          <w:b/>
        </w:rPr>
        <w:t xml:space="preserve">37 </w:t>
      </w:r>
      <w:r>
        <w:t xml:space="preserve">and Gedor and his brother and Zechariah</w:t>
      </w:r>
      <w:r>
        <w:rPr>
          <w:rStyle w:val="FootnoteReference"/>
        </w:rPr>
        <w:footnoteReference w:id="8184"/>
      </w:r>
      <w:r>
        <w:t xml:space="preserve"> and Mikloth.</w:t>
      </w:r>
    </w:p>
    <w:p>
      <w:r>
        <w:rPr>
          <w:b/>
        </w:rPr>
        <w:t xml:space="preserve">38 </w:t>
      </w:r>
      <w:r>
        <w:t xml:space="preserve">And Mikloth begot Shimeam</w:t>
      </w:r>
      <w:r>
        <w:rPr>
          <w:rStyle w:val="FootnoteReference"/>
        </w:rPr>
        <w:footnoteReference w:id="8185"/>
      </w:r>
      <w:r>
        <w:t xml:space="preserve">. And these also dwelt in Jerusalem in the midst of their brothers with their brothers.</w:t>
      </w:r>
    </w:p>
    <w:p>
      <w:r>
        <w:rPr>
          <w:b/>
        </w:rPr>
        <w:t xml:space="preserve">39 </w:t>
      </w:r>
      <w:r>
        <w:t xml:space="preserve">And Ner begot Kish, and Kish begot Saul, and Saul</w:t>
      </w:r>
      <w:r>
        <w:rPr>
          <w:rStyle w:val="FootnoteReference"/>
        </w:rPr>
        <w:footnoteReference w:id="8186"/>
      </w:r>
      <w:r>
        <w:t xml:space="preserve"> begot Jonathan and Melchishua and Amminadab and Eshbaal.</w:t>
      </w:r>
    </w:p>
    <w:p>
      <w:r>
        <w:rPr>
          <w:b/>
        </w:rPr>
        <w:t xml:space="preserve">40 </w:t>
      </w:r>
      <w:r>
        <w:t xml:space="preserve">And son of Jonathan was Meribbaal</w:t>
      </w:r>
      <w:r>
        <w:rPr>
          <w:rStyle w:val="FootnoteReference"/>
        </w:rPr>
        <w:footnoteReference w:id="8187"/>
      </w:r>
      <w:r>
        <w:t xml:space="preserve">, and Meribbaal begot Micah.</w:t>
      </w:r>
    </w:p>
    <w:p>
      <w:r>
        <w:rPr>
          <w:b/>
        </w:rPr>
        <w:t xml:space="preserve">41 </w:t>
      </w:r>
      <w:r>
        <w:t xml:space="preserve">And sons of Micah: Pithon and Melech</w:t>
      </w:r>
      <w:r>
        <w:rPr>
          <w:rStyle w:val="FootnoteReference"/>
        </w:rPr>
        <w:footnoteReference w:id="8188"/>
      </w:r>
      <w:r>
        <w:t xml:space="preserve"> and Tahrea</w:t>
      </w:r>
      <w:r>
        <w:rPr>
          <w:rStyle w:val="FootnoteReference"/>
        </w:rPr>
        <w:footnoteReference w:id="8189"/>
      </w:r>
      <w:r>
        <w:t xml:space="preserve">.</w:t>
      </w:r>
    </w:p>
    <w:p>
      <w:r>
        <w:rPr>
          <w:b/>
        </w:rPr>
        <w:t xml:space="preserve">42 </w:t>
      </w:r>
      <w:r>
        <w:t xml:space="preserve">And Ahaz begot Jehoaddah</w:t>
      </w:r>
      <w:r>
        <w:rPr>
          <w:rStyle w:val="FootnoteReference"/>
        </w:rPr>
        <w:footnoteReference w:id="8190"/>
      </w:r>
      <w:r>
        <w:t xml:space="preserve">, and Jehoaddah begot Alemeth and Azmaveth and Zimri, and Zimri begot Moza.</w:t>
      </w:r>
    </w:p>
    <w:p>
      <w:r>
        <w:rPr>
          <w:b/>
        </w:rPr>
        <w:t xml:space="preserve">43 </w:t>
      </w:r>
      <w:r>
        <w:t xml:space="preserve">And Moza begot Baana, Rephaiah</w:t>
      </w:r>
      <w:r>
        <w:rPr>
          <w:rStyle w:val="FootnoteReference"/>
        </w:rPr>
        <w:footnoteReference w:id="8191"/>
      </w:r>
      <w:r>
        <w:t xml:space="preserve"> his son, Eleasah his son, Azel his son.</w:t>
      </w:r>
    </w:p>
    <w:p>
      <w:r>
        <w:rPr>
          <w:b/>
        </w:rPr>
        <w:t xml:space="preserve">44 </w:t>
      </w:r>
      <w:r>
        <w:t xml:space="preserve">And Azel had six sons, and these were their names: Azrikam his firstborn, Ishmael and Saria and Obadiah and Anan. These were sons of Azel.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Philistines fought against Israel, and Israel fled from before Philistines, and wounded men fell on Mount</w:t>
      </w:r>
      <w:r>
        <w:rPr>
          <w:rStyle w:val="FootnoteReference"/>
        </w:rPr>
        <w:footnoteReference w:id="8192"/>
      </w:r>
      <w:r>
        <w:t xml:space="preserve"> Gilboa.</w:t>
      </w:r>
    </w:p>
    <w:p>
      <w:r>
        <w:rPr>
          <w:b/>
        </w:rPr>
        <w:t xml:space="preserve">2 </w:t>
      </w:r>
      <w:r>
        <w:t xml:space="preserve">And Philistines pursued after Saul and after his sons, and Philistines struck Jonathan</w:t>
      </w:r>
      <w:r>
        <w:rPr>
          <w:rStyle w:val="FootnoteReference"/>
        </w:rPr>
        <w:footnoteReference w:id="8193"/>
      </w:r>
      <w:r>
        <w:t xml:space="preserve"> and Amminadab and Melchishua, sons of Saul.</w:t>
      </w:r>
    </w:p>
    <w:p>
      <w:r>
        <w:rPr>
          <w:b/>
        </w:rPr>
        <w:t xml:space="preserve">3 </w:t>
      </w:r>
      <w:r>
        <w:t xml:space="preserve">And battle grew heavy against Saul, and archers found him with bows, and he was pained from arrows.</w:t>
      </w:r>
    </w:p>
    <w:p>
      <w:r>
        <w:rPr>
          <w:b/>
        </w:rPr>
        <w:t xml:space="preserve">4 </w:t>
      </w:r>
      <w:r>
        <w:t xml:space="preserve">And Saul said to one carrying his weapons, Draw</w:t>
      </w:r>
      <w:r>
        <w:rPr>
          <w:rStyle w:val="FootnoteReference"/>
        </w:rPr>
        <w:footnoteReference w:id="8194"/>
      </w:r>
      <w:r>
        <w:t xml:space="preserve"> your sword and pierce me with it, lest these uncircumcised come and mock me</w:t>
      </w:r>
      <w:r>
        <w:rPr>
          <w:rStyle w:val="FootnoteReference"/>
        </w:rPr>
        <w:footnoteReference w:id="8195"/>
      </w:r>
      <w:r>
        <w:t xml:space="preserve">. But one carrying his weapons would not, because he feared greatly. And Saul took sword and fell upon it.</w:t>
      </w:r>
    </w:p>
    <w:p>
      <w:r>
        <w:rPr>
          <w:b/>
        </w:rPr>
        <w:t xml:space="preserve">5 </w:t>
      </w:r>
      <w:r>
        <w:t xml:space="preserve">And one carrying his weapons saw that Saul had died, and he too fell upon his sword and died.</w:t>
      </w:r>
    </w:p>
    <w:p>
      <w:r>
        <w:rPr>
          <w:b/>
        </w:rPr>
        <w:t xml:space="preserve">6 </w:t>
      </w:r>
      <w:r>
        <w:t xml:space="preserve">And Saul</w:t>
      </w:r>
      <w:r>
        <w:rPr>
          <w:rStyle w:val="FootnoteReference"/>
        </w:rPr>
        <w:footnoteReference w:id="8196"/>
      </w:r>
      <w:r>
        <w:t xml:space="preserve"> died, and his three sons died on that day, and all his house died together.</w:t>
      </w:r>
    </w:p>
    <w:p>
      <w:r>
        <w:rPr>
          <w:b/>
        </w:rPr>
        <w:t xml:space="preserve">7 </w:t>
      </w:r>
      <w:r>
        <w:t xml:space="preserve">And every man of Israel in valley saw that Israel fled and that Saul and his sons had died, and they left their cities and fled, and Philistines came and lived in them.</w:t>
      </w:r>
    </w:p>
    <w:p>
      <w:r>
        <w:rPr>
          <w:b/>
        </w:rPr>
        <w:t xml:space="preserve">8 </w:t>
      </w:r>
      <w:r>
        <w:t xml:space="preserve">And it came to pass on next day, and Philistines came to strip</w:t>
      </w:r>
      <w:r>
        <w:rPr>
          <w:rStyle w:val="FootnoteReference"/>
        </w:rPr>
        <w:footnoteReference w:id="8197"/>
      </w:r>
      <w:r>
        <w:t xml:space="preserve"> slain men, and they found Saul and his sons fallen on Mount Gilboa.</w:t>
      </w:r>
    </w:p>
    <w:p>
      <w:r>
        <w:rPr>
          <w:b/>
        </w:rPr>
        <w:t xml:space="preserve">9 </w:t>
      </w:r>
      <w:r>
        <w:t xml:space="preserve">And they stripped him and took</w:t>
      </w:r>
      <w:r>
        <w:rPr>
          <w:rStyle w:val="FootnoteReference"/>
        </w:rPr>
        <w:footnoteReference w:id="8198"/>
      </w:r>
      <w:r>
        <w:t xml:space="preserve"> his head and his weapons, and sent into the land of Philistines all around to proclaim good news to their idols and to people.</w:t>
      </w:r>
    </w:p>
    <w:p>
      <w:r>
        <w:rPr>
          <w:b/>
        </w:rPr>
        <w:t xml:space="preserve">10 </w:t>
      </w:r>
      <w:r>
        <w:t xml:space="preserve">And they put his weapons in the house of their god, and they put his head in the house of Dagon.</w:t>
      </w:r>
    </w:p>
    <w:p>
      <w:r>
        <w:rPr>
          <w:b/>
        </w:rPr>
        <w:t xml:space="preserve">11 </w:t>
      </w:r>
      <w:r>
        <w:t xml:space="preserve">And all dwelling in Gilead heard all that Philistines had done to Saul and to Israel.</w:t>
      </w:r>
    </w:p>
    <w:p>
      <w:r>
        <w:rPr>
          <w:b/>
        </w:rPr>
        <w:t xml:space="preserve">12 </w:t>
      </w:r>
      <w:r>
        <w:t xml:space="preserve">And every mighty man from Gilead rose and took body of Saul and bodies of his sons and brought them to Jabesh, and they buried their bones under oak in Jabesh and fasted</w:t>
      </w:r>
      <w:r>
        <w:rPr>
          <w:rStyle w:val="FootnoteReference"/>
        </w:rPr>
        <w:footnoteReference w:id="8199"/>
      </w:r>
      <w:r>
        <w:t xml:space="preserve"> seven days.</w:t>
      </w:r>
    </w:p>
    <w:p>
      <w:r>
        <w:rPr>
          <w:b/>
        </w:rPr>
        <w:t xml:space="preserve">13 </w:t>
      </w:r>
      <w:r>
        <w:t xml:space="preserve">And Saul died in his lawless deeds which he committed lawlessly against the Lord, against the word of the Lord, because he did not keep it, because Saul inquired through ventriloquist</w:t>
      </w:r>
      <w:r>
        <w:rPr>
          <w:rStyle w:val="FootnoteReference"/>
        </w:rPr>
        <w:footnoteReference w:id="8200"/>
      </w:r>
      <w:r>
        <w:t xml:space="preserve"> to seek, and Samuel prophet answered him.</w:t>
      </w:r>
    </w:p>
    <w:p>
      <w:r>
        <w:rPr>
          <w:b/>
        </w:rPr>
        <w:t xml:space="preserve">14 </w:t>
      </w:r>
      <w:r>
        <w:t xml:space="preserve">And he did not seek the Lord, and he put him to death and turned</w:t>
      </w:r>
      <w:r>
        <w:rPr>
          <w:rStyle w:val="FootnoteReference"/>
        </w:rPr>
        <w:footnoteReference w:id="8201"/>
      </w:r>
      <w:r>
        <w:t xml:space="preserve"> kingdom to David son of Jesse.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all Israel</w:t>
      </w:r>
      <w:r>
        <w:rPr>
          <w:rStyle w:val="FootnoteReference"/>
        </w:rPr>
        <w:footnoteReference w:id="8202"/>
      </w:r>
      <w:r>
        <w:t xml:space="preserve"> came to David in Hebron, saying, Behold, we are your bones and your flesh.</w:t>
      </w:r>
    </w:p>
    <w:p>
      <w:r>
        <w:rPr>
          <w:b/>
        </w:rPr>
        <w:t xml:space="preserve">2 </w:t>
      </w:r>
      <w:r>
        <w:t xml:space="preserve">Even yesterday and third day, when Saul was king, you were one bringing Israel out and bringing it in, and the Lord your God said to you, You shall shepherd</w:t>
      </w:r>
      <w:r>
        <w:rPr>
          <w:rStyle w:val="FootnoteReference"/>
        </w:rPr>
        <w:footnoteReference w:id="8203"/>
      </w:r>
      <w:r>
        <w:t xml:space="preserve"> my people Israel, and you shall be ruler</w:t>
      </w:r>
      <w:r>
        <w:rPr>
          <w:rStyle w:val="FootnoteReference"/>
        </w:rPr>
        <w:footnoteReference w:id="8204"/>
      </w:r>
      <w:r>
        <w:t xml:space="preserve"> over Israel.</w:t>
      </w:r>
    </w:p>
    <w:p>
      <w:r>
        <w:rPr>
          <w:b/>
        </w:rPr>
        <w:t xml:space="preserve">3 </w:t>
      </w:r>
      <w:r>
        <w:t xml:space="preserve">And all the elders</w:t>
      </w:r>
      <w:r>
        <w:rPr>
          <w:rStyle w:val="FootnoteReference"/>
        </w:rPr>
        <w:footnoteReference w:id="8205"/>
      </w:r>
      <w:r>
        <w:t xml:space="preserve"> of Israel came to the king in Hebron, and King David made covenant with them in Hebron before the Lord, and they anointed David king over Israel according to the word of the Lord by the hand of Samuel.</w:t>
      </w:r>
      <w:r>
        <w:rPr>
          <w:rStyle w:val="FootnoteReference"/>
        </w:rPr>
        <w:footnoteReference w:id="8206"/>
      </w:r>
    </w:p>
    <w:p>
      <w:r>
        <w:rPr>
          <w:b/>
        </w:rPr>
        <w:t xml:space="preserve">4 </w:t>
      </w:r>
      <w:r>
        <w:t xml:space="preserve">And the king and men of Israel went to Jerusalem, this is Jebus</w:t>
      </w:r>
      <w:r>
        <w:rPr>
          <w:rStyle w:val="FootnoteReference"/>
        </w:rPr>
        <w:footnoteReference w:id="8207"/>
      </w:r>
      <w:r>
        <w:t xml:space="preserve">, and there were Jebusites dwelling in the land.</w:t>
      </w:r>
    </w:p>
    <w:p>
      <w:r>
        <w:rPr>
          <w:b/>
        </w:rPr>
        <w:t xml:space="preserve">5 </w:t>
      </w:r>
      <w:r>
        <w:t xml:space="preserve">And those dwelling in Jebus said to David, You shall not enter here. But he captured stronghold of Zion; this is the City of David.</w:t>
      </w:r>
    </w:p>
    <w:p>
      <w:r>
        <w:rPr>
          <w:b/>
        </w:rPr>
        <w:t xml:space="preserve">6 </w:t>
      </w:r>
      <w:r>
        <w:t xml:space="preserve">And David said, Whoever strikes Jebusite first shall become ruler and commander. And Joab</w:t>
      </w:r>
      <w:r>
        <w:rPr>
          <w:rStyle w:val="FootnoteReference"/>
        </w:rPr>
        <w:footnoteReference w:id="8208"/>
      </w:r>
      <w:r>
        <w:t xml:space="preserve"> son of Zeruiah went up first and became ruler.</w:t>
      </w:r>
    </w:p>
    <w:p>
      <w:r>
        <w:rPr>
          <w:b/>
        </w:rPr>
        <w:t xml:space="preserve">7 </w:t>
      </w:r>
      <w:r>
        <w:t xml:space="preserve">And David settled in stronghold; therefore he called it the City of David</w:t>
      </w:r>
      <w:r>
        <w:rPr>
          <w:rStyle w:val="FootnoteReference"/>
        </w:rPr>
        <w:footnoteReference w:id="8209"/>
      </w:r>
      <w:r>
        <w:t xml:space="preserve">.</w:t>
      </w:r>
    </w:p>
    <w:p>
      <w:r>
        <w:rPr>
          <w:b/>
        </w:rPr>
        <w:t xml:space="preserve">8 </w:t>
      </w:r>
      <w:r>
        <w:t xml:space="preserve">And he built the city all around and fought and took the city.</w:t>
      </w:r>
    </w:p>
    <w:p>
      <w:r>
        <w:rPr>
          <w:b/>
        </w:rPr>
        <w:t xml:space="preserve">9 </w:t>
      </w:r>
      <w:r>
        <w:t xml:space="preserve">And David kept going, going and growing great, and the Lord Almighty was with him.</w:t>
      </w:r>
    </w:p>
    <w:p>
      <w:r>
        <w:rPr>
          <w:b/>
        </w:rPr>
        <w:t xml:space="preserve">10 </w:t>
      </w:r>
      <w:r>
        <w:t xml:space="preserve">And these were chiefs of mighty men who belonged to David, those prevailing with him in his kingdom with all Israel to make</w:t>
      </w:r>
      <w:r>
        <w:rPr>
          <w:rStyle w:val="FootnoteReference"/>
        </w:rPr>
        <w:footnoteReference w:id="8210"/>
      </w:r>
      <w:r>
        <w:t xml:space="preserve"> him king according to the word of the Lord over Israel.</w:t>
      </w:r>
    </w:p>
    <w:p>
      <w:r>
        <w:rPr>
          <w:b/>
        </w:rPr>
        <w:t xml:space="preserve">11 </w:t>
      </w:r>
      <w:r>
        <w:t xml:space="preserve">And this was the number of mighty men of David: Jashobeam</w:t>
      </w:r>
      <w:r>
        <w:rPr>
          <w:rStyle w:val="FootnoteReference"/>
        </w:rPr>
        <w:footnoteReference w:id="8211"/>
      </w:r>
      <w:r>
        <w:t xml:space="preserve"> son of Hachmoni</w:t>
      </w:r>
      <w:r>
        <w:rPr>
          <w:rStyle w:val="FootnoteReference"/>
        </w:rPr>
        <w:footnoteReference w:id="8212"/>
      </w:r>
      <w:r>
        <w:t xml:space="preserve">, first of thirty; he drew his sword once against three hundred wounded men at one time.</w:t>
      </w:r>
      <w:r>
        <w:rPr>
          <w:rStyle w:val="FootnoteReference"/>
        </w:rPr>
        <w:footnoteReference w:id="8213"/>
      </w:r>
    </w:p>
    <w:p>
      <w:r>
        <w:rPr>
          <w:b/>
        </w:rPr>
        <w:t xml:space="preserve">12 </w:t>
      </w:r>
      <w:r>
        <w:t xml:space="preserve">And after him Eleazar</w:t>
      </w:r>
      <w:r>
        <w:rPr>
          <w:rStyle w:val="FootnoteReference"/>
        </w:rPr>
        <w:footnoteReference w:id="8214"/>
      </w:r>
      <w:r>
        <w:t xml:space="preserve"> son of Dodo</w:t>
      </w:r>
      <w:r>
        <w:rPr>
          <w:rStyle w:val="FootnoteReference"/>
        </w:rPr>
        <w:footnoteReference w:id="8215"/>
      </w:r>
      <w:r>
        <w:t xml:space="preserve"> the Ahohite</w:t>
      </w:r>
      <w:r>
        <w:rPr>
          <w:rStyle w:val="FootnoteReference"/>
        </w:rPr>
        <w:footnoteReference w:id="8216"/>
      </w:r>
      <w:r>
        <w:t xml:space="preserve">; he was among three mighty men.</w:t>
      </w:r>
    </w:p>
    <w:p>
      <w:r>
        <w:rPr>
          <w:b/>
        </w:rPr>
        <w:t xml:space="preserve">13 </w:t>
      </w:r>
      <w:r>
        <w:t xml:space="preserve">He was with David in Phasodomin, and Philistines gathered there for battle, and there was a portion of field full of barley, and people fled from before Philistines.</w:t>
      </w:r>
    </w:p>
    <w:p>
      <w:r>
        <w:rPr>
          <w:b/>
        </w:rPr>
        <w:t xml:space="preserve">14 </w:t>
      </w:r>
      <w:r>
        <w:t xml:space="preserve">And he stood in the middle of the portion and saved it and struck Philistines, and the Lord</w:t>
      </w:r>
      <w:r>
        <w:rPr>
          <w:rStyle w:val="FootnoteReference"/>
        </w:rPr>
        <w:footnoteReference w:id="8217"/>
      </w:r>
      <w:r>
        <w:t xml:space="preserve"> made great deliverance.</w:t>
      </w:r>
    </w:p>
    <w:p>
      <w:r>
        <w:rPr>
          <w:b/>
        </w:rPr>
        <w:t xml:space="preserve">15 </w:t>
      </w:r>
      <w:r>
        <w:t xml:space="preserve">And three from thirty chiefs went down to rock, to David, into the cave</w:t>
      </w:r>
      <w:r>
        <w:rPr>
          <w:rStyle w:val="FootnoteReference"/>
        </w:rPr>
        <w:footnoteReference w:id="8218"/>
      </w:r>
      <w:r>
        <w:t xml:space="preserve"> of Adullam, and the camp of the Philistines had camped in the valley of giants.</w:t>
      </w:r>
    </w:p>
    <w:p>
      <w:r>
        <w:rPr>
          <w:b/>
        </w:rPr>
        <w:t xml:space="preserve">16 </w:t>
      </w:r>
      <w:r>
        <w:t xml:space="preserve">And David was then in stronghold, and garrison of Philistines was then in Bethlehem.</w:t>
      </w:r>
    </w:p>
    <w:p>
      <w:r>
        <w:rPr>
          <w:b/>
        </w:rPr>
        <w:t xml:space="preserve">17 </w:t>
      </w:r>
      <w:r>
        <w:t xml:space="preserve">And David desired and said, Who will give me water to drink from cistern of Bethlehem, one by gate?</w:t>
      </w:r>
    </w:p>
    <w:p>
      <w:r>
        <w:rPr>
          <w:b/>
        </w:rPr>
        <w:t xml:space="preserve">18 </w:t>
      </w:r>
      <w:r>
        <w:t xml:space="preserve">And three broke through the camp of the Philistines and drew water from cistern in Bethlehem</w:t>
      </w:r>
      <w:r>
        <w:rPr>
          <w:rStyle w:val="FootnoteReference"/>
        </w:rPr>
        <w:footnoteReference w:id="8219"/>
      </w:r>
      <w:r>
        <w:t xml:space="preserve">, which was by gate, and took it and came to David. But David would not drink it, and he poured</w:t>
      </w:r>
      <w:r>
        <w:rPr>
          <w:rStyle w:val="FootnoteReference"/>
        </w:rPr>
        <w:footnoteReference w:id="8220"/>
      </w:r>
      <w:r>
        <w:t xml:space="preserve"> it out to the Lord.</w:t>
      </w:r>
    </w:p>
    <w:p>
      <w:r>
        <w:rPr>
          <w:b/>
        </w:rPr>
        <w:t xml:space="preserve">19 </w:t>
      </w:r>
      <w:r>
        <w:t xml:space="preserve">And he said, God be merciful to me from doing this thing. Shall I</w:t>
      </w:r>
      <w:r>
        <w:rPr>
          <w:rStyle w:val="FootnoteReference"/>
        </w:rPr>
        <w:footnoteReference w:id="8221"/>
      </w:r>
      <w:r>
        <w:t xml:space="preserve"> drink blood of these men with their lives? For with their lives they brought it. And he would not drink it. These things three mighty men did.</w:t>
      </w:r>
    </w:p>
    <w:p>
      <w:r>
        <w:rPr>
          <w:b/>
        </w:rPr>
        <w:t xml:space="preserve">20 </w:t>
      </w:r>
      <w:r>
        <w:t xml:space="preserve">And Abishai</w:t>
      </w:r>
      <w:r>
        <w:rPr>
          <w:rStyle w:val="FootnoteReference"/>
        </w:rPr>
        <w:footnoteReference w:id="8222"/>
      </w:r>
      <w:r>
        <w:t xml:space="preserve"> brother of Joab, he was chief of the three. He drew his sword against three hundred wounded men at one time, and he was named among three.</w:t>
      </w:r>
    </w:p>
    <w:p>
      <w:r>
        <w:rPr>
          <w:b/>
        </w:rPr>
        <w:t xml:space="preserve">21 </w:t>
      </w:r>
      <w:r>
        <w:t xml:space="preserve">Of three he was more glorious than two, and he was their ruler, but he did not attain to three.</w:t>
      </w:r>
    </w:p>
    <w:p>
      <w:r>
        <w:rPr>
          <w:b/>
        </w:rPr>
        <w:t xml:space="preserve">22 </w:t>
      </w:r>
      <w:r>
        <w:t xml:space="preserve">And Benaiah</w:t>
      </w:r>
      <w:r>
        <w:rPr>
          <w:rStyle w:val="FootnoteReference"/>
        </w:rPr>
        <w:footnoteReference w:id="8223"/>
      </w:r>
      <w:r>
        <w:t xml:space="preserve"> son of Jehoiada, son of mighty man, his deeds were many, above Kabasael. He struck two sons of Ariel of Moab, and he went down and struck lion in pit on snowy day.</w:t>
      </w:r>
    </w:p>
    <w:p>
      <w:r>
        <w:rPr>
          <w:b/>
        </w:rPr>
        <w:t xml:space="preserve">23 </w:t>
      </w:r>
      <w:r>
        <w:t xml:space="preserve">And he struck Egyptian man, visible man</w:t>
      </w:r>
      <w:r>
        <w:rPr>
          <w:rStyle w:val="FootnoteReference"/>
        </w:rPr>
        <w:footnoteReference w:id="8224"/>
      </w:r>
      <w:r>
        <w:t xml:space="preserve">, five</w:t>
      </w:r>
      <w:r>
        <w:rPr>
          <w:rStyle w:val="FootnoteReference"/>
        </w:rPr>
        <w:footnoteReference w:id="8225"/>
      </w:r>
      <w:r>
        <w:t xml:space="preserve"> cubits tall, and in the hand of Egyptian was spear like a beam of weavers, and Benaiah went down against him with staff and took spear from the hand of Egyptian and killed him with his own spear.</w:t>
      </w:r>
    </w:p>
    <w:p>
      <w:r>
        <w:rPr>
          <w:b/>
        </w:rPr>
        <w:t xml:space="preserve">24 </w:t>
      </w:r>
      <w:r>
        <w:t xml:space="preserve">These things Benaiah son of Jehoiada did, and to him was name among three mighty men.</w:t>
      </w:r>
    </w:p>
    <w:p>
      <w:r>
        <w:rPr>
          <w:b/>
        </w:rPr>
        <w:t xml:space="preserve">25 </w:t>
      </w:r>
      <w:r>
        <w:t xml:space="preserve">He was glorious above thirty, but he did not attain to three, and David</w:t>
      </w:r>
      <w:r>
        <w:rPr>
          <w:rStyle w:val="FootnoteReference"/>
        </w:rPr>
        <w:footnoteReference w:id="8226"/>
      </w:r>
      <w:r>
        <w:t xml:space="preserve"> set him over his family.</w:t>
      </w:r>
    </w:p>
    <w:p>
      <w:r>
        <w:rPr>
          <w:b/>
        </w:rPr>
        <w:t xml:space="preserve">26 </w:t>
      </w:r>
      <w:r>
        <w:t xml:space="preserve">And mighty men of forces: Asahel</w:t>
      </w:r>
      <w:r>
        <w:rPr>
          <w:rStyle w:val="FootnoteReference"/>
        </w:rPr>
        <w:footnoteReference w:id="8227"/>
      </w:r>
      <w:r>
        <w:t xml:space="preserve"> brother of Joab, Elhanan son of Dodo from Bethlehem,</w:t>
      </w:r>
    </w:p>
    <w:p>
      <w:r>
        <w:rPr>
          <w:b/>
        </w:rPr>
        <w:t xml:space="preserve">27 </w:t>
      </w:r>
      <w:r>
        <w:t xml:space="preserve">Shammoth</w:t>
      </w:r>
      <w:r>
        <w:rPr>
          <w:rStyle w:val="FootnoteReference"/>
        </w:rPr>
        <w:footnoteReference w:id="8228"/>
      </w:r>
      <w:r>
        <w:t xml:space="preserve"> the Adi, Helez the Pelonite</w:t>
      </w:r>
      <w:r>
        <w:rPr>
          <w:rStyle w:val="FootnoteReference"/>
        </w:rPr>
        <w:footnoteReference w:id="8229"/>
      </w:r>
      <w:r>
        <w:t xml:space="preserve">,</w:t>
      </w:r>
      <w:r>
        <w:rPr>
          <w:rStyle w:val="FootnoteReference"/>
        </w:rPr>
        <w:footnoteReference w:id="8230"/>
      </w:r>
    </w:p>
    <w:p>
      <w:r>
        <w:rPr>
          <w:b/>
        </w:rPr>
        <w:t xml:space="preserve">28 </w:t>
      </w:r>
      <w:r>
        <w:t xml:space="preserve">Ira son of Ikkesh the Thekoite, Abiezer the Anathothite,</w:t>
      </w:r>
    </w:p>
    <w:p>
      <w:r>
        <w:rPr>
          <w:b/>
        </w:rPr>
        <w:t xml:space="preserve">29 </w:t>
      </w:r>
      <w:r>
        <w:t xml:space="preserve">Sibbecai</w:t>
      </w:r>
      <w:r>
        <w:rPr>
          <w:rStyle w:val="FootnoteReference"/>
        </w:rPr>
        <w:footnoteReference w:id="8231"/>
      </w:r>
      <w:r>
        <w:t xml:space="preserve"> the Hushathite, Eli the Ahohite,</w:t>
      </w:r>
      <w:r>
        <w:rPr>
          <w:rStyle w:val="FootnoteReference"/>
        </w:rPr>
        <w:footnoteReference w:id="8232"/>
      </w:r>
    </w:p>
    <w:p>
      <w:r>
        <w:rPr>
          <w:b/>
        </w:rPr>
        <w:t xml:space="preserve">30 </w:t>
      </w:r>
      <w:r>
        <w:t xml:space="preserve">Maharai</w:t>
      </w:r>
      <w:r>
        <w:rPr>
          <w:rStyle w:val="FootnoteReference"/>
        </w:rPr>
        <w:footnoteReference w:id="8233"/>
      </w:r>
      <w:r>
        <w:t xml:space="preserve"> the Netophathite, Heled</w:t>
      </w:r>
      <w:r>
        <w:rPr>
          <w:rStyle w:val="FootnoteReference"/>
        </w:rPr>
        <w:footnoteReference w:id="8234"/>
      </w:r>
      <w:r>
        <w:t xml:space="preserve"> son of Nooza the Netophathite,</w:t>
      </w:r>
      <w:r>
        <w:rPr>
          <w:rStyle w:val="FootnoteReference"/>
        </w:rPr>
        <w:footnoteReference w:id="8235"/>
      </w:r>
    </w:p>
    <w:p>
      <w:r>
        <w:rPr>
          <w:b/>
        </w:rPr>
        <w:t xml:space="preserve">31 </w:t>
      </w:r>
      <w:r>
        <w:t xml:space="preserve">Ithai</w:t>
      </w:r>
      <w:r>
        <w:rPr>
          <w:rStyle w:val="FootnoteReference"/>
        </w:rPr>
        <w:footnoteReference w:id="8236"/>
      </w:r>
      <w:r>
        <w:t xml:space="preserve"> son of Ribai from the hill of Benjamin, Benaiah the Pirathonite,</w:t>
      </w:r>
      <w:r>
        <w:rPr>
          <w:rStyle w:val="FootnoteReference"/>
        </w:rPr>
        <w:footnoteReference w:id="8237"/>
      </w:r>
    </w:p>
    <w:p>
      <w:r>
        <w:rPr>
          <w:b/>
        </w:rPr>
        <w:t xml:space="preserve">32 </w:t>
      </w:r>
      <w:r>
        <w:t xml:space="preserve">Huri from Gaash, Abiel</w:t>
      </w:r>
      <w:r>
        <w:rPr>
          <w:rStyle w:val="FootnoteReference"/>
        </w:rPr>
        <w:footnoteReference w:id="8238"/>
      </w:r>
      <w:r>
        <w:t xml:space="preserve"> the Garabeththite,</w:t>
      </w:r>
    </w:p>
    <w:p>
      <w:r>
        <w:rPr>
          <w:b/>
        </w:rPr>
        <w:t xml:space="preserve">33 </w:t>
      </w:r>
      <w:r>
        <w:t xml:space="preserve">Azmaveth the Beermi, Eliahba the Shaalbonite,</w:t>
      </w:r>
    </w:p>
    <w:p>
      <w:r>
        <w:rPr>
          <w:b/>
        </w:rPr>
        <w:t xml:space="preserve">34 </w:t>
      </w:r>
      <w:r>
        <w:t xml:space="preserve">Bennaias, Hosom the Gennounite, Jonathan son of Sola the Hararite,</w:t>
      </w:r>
    </w:p>
    <w:p>
      <w:r>
        <w:rPr>
          <w:b/>
        </w:rPr>
        <w:t xml:space="preserve">35 </w:t>
      </w:r>
      <w:r>
        <w:t xml:space="preserve">Achim</w:t>
      </w:r>
      <w:r>
        <w:rPr>
          <w:rStyle w:val="FootnoteReference"/>
        </w:rPr>
        <w:footnoteReference w:id="8239"/>
      </w:r>
      <w:r>
        <w:t xml:space="preserve"> son of Sachar</w:t>
      </w:r>
      <w:r>
        <w:rPr>
          <w:rStyle w:val="FootnoteReference"/>
        </w:rPr>
        <w:footnoteReference w:id="8240"/>
      </w:r>
      <w:r>
        <w:t xml:space="preserve"> the Hararite, Eliphal</w:t>
      </w:r>
      <w:r>
        <w:rPr>
          <w:rStyle w:val="FootnoteReference"/>
        </w:rPr>
        <w:footnoteReference w:id="8241"/>
      </w:r>
      <w:r>
        <w:t xml:space="preserve"> son of Our,</w:t>
      </w:r>
      <w:r>
        <w:rPr>
          <w:rStyle w:val="FootnoteReference"/>
        </w:rPr>
        <w:footnoteReference w:id="8242"/>
      </w:r>
    </w:p>
    <w:p>
      <w:r>
        <w:rPr>
          <w:b/>
        </w:rPr>
        <w:t xml:space="preserve">36 </w:t>
      </w:r>
      <w:r>
        <w:t xml:space="preserve">Hepher the Mecherathite</w:t>
      </w:r>
      <w:r>
        <w:rPr>
          <w:rStyle w:val="FootnoteReference"/>
        </w:rPr>
        <w:footnoteReference w:id="8243"/>
      </w:r>
      <w:r>
        <w:t xml:space="preserve">, Ahijah the Pelonite,</w:t>
      </w:r>
    </w:p>
    <w:p>
      <w:r>
        <w:rPr>
          <w:b/>
        </w:rPr>
        <w:t xml:space="preserve">37 </w:t>
      </w:r>
      <w:r>
        <w:t xml:space="preserve">Heserai the Carmelite, Naarai</w:t>
      </w:r>
      <w:r>
        <w:rPr>
          <w:rStyle w:val="FootnoteReference"/>
        </w:rPr>
        <w:footnoteReference w:id="8244"/>
      </w:r>
      <w:r>
        <w:t xml:space="preserve"> son of Azobai,</w:t>
      </w:r>
    </w:p>
    <w:p>
      <w:r>
        <w:rPr>
          <w:b/>
        </w:rPr>
        <w:t xml:space="preserve">38 </w:t>
      </w:r>
      <w:r>
        <w:t xml:space="preserve">Joel</w:t>
      </w:r>
      <w:r>
        <w:rPr>
          <w:rStyle w:val="FootnoteReference"/>
        </w:rPr>
        <w:footnoteReference w:id="8245"/>
      </w:r>
      <w:r>
        <w:t xml:space="preserve"> brother of Nathan, Mibhar</w:t>
      </w:r>
      <w:r>
        <w:rPr>
          <w:rStyle w:val="FootnoteReference"/>
        </w:rPr>
        <w:footnoteReference w:id="8246"/>
      </w:r>
      <w:r>
        <w:t xml:space="preserve"> son of Haggeri</w:t>
      </w:r>
      <w:r>
        <w:rPr>
          <w:rStyle w:val="FootnoteReference"/>
        </w:rPr>
        <w:footnoteReference w:id="8247"/>
      </w:r>
      <w:r>
        <w:t xml:space="preserve">,</w:t>
      </w:r>
    </w:p>
    <w:p>
      <w:r>
        <w:rPr>
          <w:b/>
        </w:rPr>
        <w:t xml:space="preserve">39 </w:t>
      </w:r>
      <w:r>
        <w:t xml:space="preserve">Zelek the Ammonite, Nahor the Berthite, carrier of weapons of Joab son of Zeruiah,</w:t>
      </w:r>
    </w:p>
    <w:p>
      <w:r>
        <w:rPr>
          <w:b/>
        </w:rPr>
        <w:t xml:space="preserve">40 </w:t>
      </w:r>
      <w:r>
        <w:t xml:space="preserve">Ira the Ithrite</w:t>
      </w:r>
      <w:r>
        <w:rPr>
          <w:rStyle w:val="FootnoteReference"/>
        </w:rPr>
        <w:footnoteReference w:id="8248"/>
      </w:r>
      <w:r>
        <w:t xml:space="preserve">, Gareb the Ithrite,</w:t>
      </w:r>
      <w:r>
        <w:rPr>
          <w:rStyle w:val="FootnoteReference"/>
        </w:rPr>
        <w:footnoteReference w:id="8249"/>
      </w:r>
    </w:p>
    <w:p>
      <w:r>
        <w:rPr>
          <w:b/>
        </w:rPr>
        <w:t xml:space="preserve">41 </w:t>
      </w:r>
      <w:r>
        <w:t xml:space="preserve">Uriah</w:t>
      </w:r>
      <w:r>
        <w:rPr>
          <w:rStyle w:val="FootnoteReference"/>
        </w:rPr>
        <w:footnoteReference w:id="8250"/>
      </w:r>
      <w:r>
        <w:t xml:space="preserve"> the Hittite, Zabad son of Ahlai,</w:t>
      </w:r>
    </w:p>
    <w:p>
      <w:r>
        <w:rPr>
          <w:b/>
        </w:rPr>
        <w:t xml:space="preserve">42 </w:t>
      </w:r>
      <w:r>
        <w:t xml:space="preserve">Adina</w:t>
      </w:r>
      <w:r>
        <w:rPr>
          <w:rStyle w:val="FootnoteReference"/>
        </w:rPr>
        <w:footnoteReference w:id="8251"/>
      </w:r>
      <w:r>
        <w:t xml:space="preserve"> son of Shiza</w:t>
      </w:r>
      <w:r>
        <w:rPr>
          <w:rStyle w:val="FootnoteReference"/>
        </w:rPr>
        <w:footnoteReference w:id="8252"/>
      </w:r>
      <w:r>
        <w:t xml:space="preserve"> the Reubenite</w:t>
      </w:r>
      <w:r>
        <w:rPr>
          <w:rStyle w:val="FootnoteReference"/>
        </w:rPr>
        <w:footnoteReference w:id="8253"/>
      </w:r>
      <w:r>
        <w:t xml:space="preserve">, ruler, and with him thirty,</w:t>
      </w:r>
    </w:p>
    <w:p>
      <w:r>
        <w:rPr>
          <w:b/>
        </w:rPr>
        <w:t xml:space="preserve">43 </w:t>
      </w:r>
      <w:r>
        <w:t xml:space="preserve">Anan son of Maachah, and Jehoshaphat the Mithnite</w:t>
      </w:r>
      <w:r>
        <w:rPr>
          <w:rStyle w:val="FootnoteReference"/>
        </w:rPr>
        <w:footnoteReference w:id="8254"/>
      </w:r>
      <w:r>
        <w:t xml:space="preserve">,</w:t>
      </w:r>
    </w:p>
    <w:p>
      <w:r>
        <w:rPr>
          <w:b/>
        </w:rPr>
        <w:t xml:space="preserve">44 </w:t>
      </w:r>
      <w:r>
        <w:t xml:space="preserve">Uzziah the Astarothite, Shammah and Jehiel sons of Chothan the Hararite,</w:t>
      </w:r>
    </w:p>
    <w:p>
      <w:r>
        <w:rPr>
          <w:b/>
        </w:rPr>
        <w:t xml:space="preserve">45 </w:t>
      </w:r>
      <w:r>
        <w:t xml:space="preserve">Jahdiel son of Shimri and Ioazae his brother the Ieasite,</w:t>
      </w:r>
    </w:p>
    <w:p>
      <w:r>
        <w:rPr>
          <w:b/>
        </w:rPr>
        <w:t xml:space="preserve">46 </w:t>
      </w:r>
      <w:r>
        <w:t xml:space="preserve">Eliel the Mii, and Iaribi, and Joshah son of Elnaam</w:t>
      </w:r>
      <w:r>
        <w:rPr>
          <w:rStyle w:val="FootnoteReference"/>
        </w:rPr>
        <w:footnoteReference w:id="8255"/>
      </w:r>
      <w:r>
        <w:t xml:space="preserve">, and Ithmah</w:t>
      </w:r>
      <w:r>
        <w:rPr>
          <w:rStyle w:val="FootnoteReference"/>
        </w:rPr>
        <w:footnoteReference w:id="8256"/>
      </w:r>
      <w:r>
        <w:t xml:space="preserve"> the Moabite,</w:t>
      </w:r>
    </w:p>
    <w:p>
      <w:r>
        <w:rPr>
          <w:b/>
        </w:rPr>
        <w:t xml:space="preserve">47 </w:t>
      </w:r>
      <w:r>
        <w:t xml:space="preserve">Eliel and Obed and Jasiel</w:t>
      </w:r>
      <w:r>
        <w:rPr>
          <w:rStyle w:val="FootnoteReference"/>
        </w:rPr>
        <w:footnoteReference w:id="8257"/>
      </w:r>
      <w:r>
        <w:t xml:space="preserve"> the Misabian.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these were those who came to David in Ziklag, while he was still shut in away from before Saul</w:t>
      </w:r>
      <w:r>
        <w:rPr>
          <w:rStyle w:val="FootnoteReference"/>
        </w:rPr>
        <w:footnoteReference w:id="8258"/>
      </w:r>
      <w:r>
        <w:t xml:space="preserve"> son of Kish, and these were among mighty men helping in war,</w:t>
      </w:r>
    </w:p>
    <w:p>
      <w:r>
        <w:rPr>
          <w:b/>
        </w:rPr>
        <w:t xml:space="preserve">2 </w:t>
      </w:r>
      <w:r>
        <w:t xml:space="preserve">with bow in right hand and in left hand, slingers with stones and arrows, from the brothers of Saul, from Benjamin.</w:t>
      </w:r>
    </w:p>
    <w:p>
      <w:r>
        <w:rPr>
          <w:b/>
        </w:rPr>
        <w:t xml:space="preserve">3 </w:t>
      </w:r>
      <w:r>
        <w:t xml:space="preserve">Chief was Ahiezer and Joash son of Asma the Gebothite, and Joel and Iophalet sons of Azmaveth</w:t>
      </w:r>
      <w:r>
        <w:rPr>
          <w:rStyle w:val="FootnoteReference"/>
        </w:rPr>
        <w:footnoteReference w:id="8259"/>
      </w:r>
      <w:r>
        <w:t xml:space="preserve">, and Berachah</w:t>
      </w:r>
      <w:r>
        <w:rPr>
          <w:rStyle w:val="FootnoteReference"/>
        </w:rPr>
        <w:footnoteReference w:id="8260"/>
      </w:r>
      <w:r>
        <w:t xml:space="preserve">, and Jeziel the Anathothite,</w:t>
      </w:r>
    </w:p>
    <w:p>
      <w:r>
        <w:rPr>
          <w:b/>
        </w:rPr>
        <w:t xml:space="preserve">4 </w:t>
      </w:r>
      <w:r>
        <w:t xml:space="preserve">and Shemaiah the Gabaonite</w:t>
      </w:r>
      <w:r>
        <w:rPr>
          <w:rStyle w:val="FootnoteReference"/>
        </w:rPr>
        <w:footnoteReference w:id="8261"/>
      </w:r>
      <w:r>
        <w:t xml:space="preserve">, mighty among thirty and over thirty,</w:t>
      </w:r>
    </w:p>
    <w:p>
      <w:r>
        <w:rPr>
          <w:b/>
        </w:rPr>
        <w:t xml:space="preserve">5 </w:t>
      </w:r>
      <w:r>
        <w:t xml:space="preserve">Jeremiah and Jeziel and Johanan and Jozabad</w:t>
      </w:r>
      <w:r>
        <w:rPr>
          <w:rStyle w:val="FootnoteReference"/>
        </w:rPr>
        <w:footnoteReference w:id="8262"/>
      </w:r>
      <w:r>
        <w:t xml:space="preserve"> the Gadarathite,</w:t>
      </w:r>
    </w:p>
    <w:p>
      <w:r>
        <w:rPr>
          <w:b/>
        </w:rPr>
        <w:t xml:space="preserve">6 </w:t>
      </w:r>
      <w:r>
        <w:t xml:space="preserve">Eluzai</w:t>
      </w:r>
      <w:r>
        <w:rPr>
          <w:rStyle w:val="FootnoteReference"/>
        </w:rPr>
        <w:footnoteReference w:id="8263"/>
      </w:r>
      <w:r>
        <w:t xml:space="preserve"> and Jerimoth and Bealiah</w:t>
      </w:r>
      <w:r>
        <w:rPr>
          <w:rStyle w:val="FootnoteReference"/>
        </w:rPr>
        <w:footnoteReference w:id="8264"/>
      </w:r>
      <w:r>
        <w:t xml:space="preserve"> and Samaria and Shephatiah the Korhites</w:t>
      </w:r>
      <w:r>
        <w:rPr>
          <w:rStyle w:val="FootnoteReference"/>
        </w:rPr>
        <w:footnoteReference w:id="8265"/>
      </w:r>
      <w:r>
        <w:t xml:space="preserve">,</w:t>
      </w:r>
    </w:p>
    <w:p>
      <w:r>
        <w:rPr>
          <w:b/>
        </w:rPr>
        <w:t xml:space="preserve">7 </w:t>
      </w:r>
      <w:r>
        <w:t xml:space="preserve">Elkanah and Jesiah and Azareel and Joezer and Jashobeam the Korahites,</w:t>
      </w:r>
      <w:r>
        <w:rPr>
          <w:rStyle w:val="FootnoteReference"/>
        </w:rPr>
        <w:footnoteReference w:id="8266"/>
      </w:r>
      <w:r>
        <w:t xml:space="preserve"/>
      </w:r>
      <w:r>
        <w:rPr>
          <w:rStyle w:val="FootnoteReference"/>
        </w:rPr>
        <w:footnoteReference w:id="8267"/>
      </w:r>
      <w:r>
        <w:rPr>
          <w:rStyle w:val="FootnoteReference"/>
        </w:rPr>
        <w:footnoteReference w:id="8268"/>
      </w:r>
      <w:r>
        <w:rPr>
          <w:rStyle w:val="FootnoteReference"/>
        </w:rPr>
        <w:footnoteReference w:id="8269"/>
      </w:r>
    </w:p>
    <w:p>
      <w:r>
        <w:rPr>
          <w:b/>
        </w:rPr>
        <w:t xml:space="preserve">8 </w:t>
      </w:r>
      <w:r>
        <w:t xml:space="preserve">and Eliah and Zebadiah sons of Jeroham, sons of Gedor</w:t>
      </w:r>
      <w:r>
        <w:rPr>
          <w:rStyle w:val="FootnoteReference"/>
        </w:rPr>
        <w:footnoteReference w:id="8270"/>
      </w:r>
      <w:r>
        <w:t xml:space="preserve">.</w:t>
      </w:r>
    </w:p>
    <w:p>
      <w:r>
        <w:rPr>
          <w:b/>
        </w:rPr>
        <w:t xml:space="preserve">9 </w:t>
      </w:r>
      <w:r>
        <w:t xml:space="preserve">And from Gadites</w:t>
      </w:r>
      <w:r>
        <w:rPr>
          <w:rStyle w:val="FootnoteReference"/>
        </w:rPr>
        <w:footnoteReference w:id="8271"/>
      </w:r>
      <w:r>
        <w:t xml:space="preserve"> men separated themselves to David from the wilderness, mighty men, men of battle line for war, carrying shields and spears, and their faces were lion faces, and they were swift as gazelles on mountains.</w:t>
      </w:r>
    </w:p>
    <w:p>
      <w:r>
        <w:rPr>
          <w:b/>
        </w:rPr>
        <w:t xml:space="preserve">10 </w:t>
      </w:r>
      <w:r>
        <w:t xml:space="preserve">Azer chief, Obadiah second, Eliab third</w:t>
      </w:r>
      <w:r>
        <w:rPr>
          <w:rStyle w:val="FootnoteReference"/>
        </w:rPr>
        <w:footnoteReference w:id="8272"/>
      </w:r>
      <w:r>
        <w:t xml:space="preserve">,</w:t>
      </w:r>
    </w:p>
    <w:p>
      <w:r>
        <w:rPr>
          <w:b/>
        </w:rPr>
        <w:t xml:space="preserve">11 </w:t>
      </w:r>
      <w:r>
        <w:t xml:space="preserve">Mishmannah</w:t>
      </w:r>
      <w:r>
        <w:rPr>
          <w:rStyle w:val="FootnoteReference"/>
        </w:rPr>
        <w:footnoteReference w:id="8273"/>
      </w:r>
      <w:r>
        <w:t xml:space="preserve"> fourth, Jeremiah fifth,</w:t>
      </w:r>
    </w:p>
    <w:p>
      <w:r>
        <w:rPr>
          <w:b/>
        </w:rPr>
        <w:t xml:space="preserve">12 </w:t>
      </w:r>
      <w:r>
        <w:t xml:space="preserve">Ithai sixth, Eliab seventh,</w:t>
      </w:r>
    </w:p>
    <w:p>
      <w:r>
        <w:rPr>
          <w:b/>
        </w:rPr>
        <w:t xml:space="preserve">13 </w:t>
      </w:r>
      <w:r>
        <w:t xml:space="preserve">Johanan eighth, Eliazer ninth,</w:t>
      </w:r>
    </w:p>
    <w:p>
      <w:r>
        <w:rPr>
          <w:b/>
        </w:rPr>
        <w:t xml:space="preserve">14 </w:t>
      </w:r>
      <w:r>
        <w:t xml:space="preserve">Jeremiah tenth, Machabannai eleventh.</w:t>
      </w:r>
      <w:r>
        <w:rPr>
          <w:rStyle w:val="FootnoteReference"/>
        </w:rPr>
        <w:footnoteReference w:id="8274"/>
      </w:r>
    </w:p>
    <w:p>
      <w:r>
        <w:rPr>
          <w:b/>
        </w:rPr>
        <w:t xml:space="preserve">15 </w:t>
      </w:r>
      <w:r>
        <w:t xml:space="preserve">These from the sons of Gad were chiefs of army; least one was over hundred, and greatest over thousand.</w:t>
      </w:r>
      <w:r>
        <w:rPr>
          <w:rStyle w:val="FootnoteReference"/>
        </w:rPr>
        <w:footnoteReference w:id="8275"/>
      </w:r>
    </w:p>
    <w:p>
      <w:r>
        <w:rPr>
          <w:b/>
        </w:rPr>
        <w:t xml:space="preserve">16 </w:t>
      </w:r>
      <w:r>
        <w:t xml:space="preserve">These crossed Jordan in the first month, when it was filled over all its banks, and they drove out all dwelling in valleys from east to west.</w:t>
      </w:r>
      <w:r>
        <w:rPr>
          <w:rStyle w:val="FootnoteReference"/>
        </w:rPr>
        <w:footnoteReference w:id="8276"/>
      </w:r>
    </w:p>
    <w:p>
      <w:r>
        <w:rPr>
          <w:b/>
        </w:rPr>
        <w:t xml:space="preserve">17 </w:t>
      </w:r>
      <w:r>
        <w:t xml:space="preserve">And some from the sons of Benjamin and Judah came for help</w:t>
      </w:r>
      <w:r>
        <w:rPr>
          <w:rStyle w:val="FootnoteReference"/>
        </w:rPr>
        <w:footnoteReference w:id="8277"/>
      </w:r>
      <w:r>
        <w:t xml:space="preserve"> to David.</w:t>
      </w:r>
    </w:p>
    <w:p>
      <w:r>
        <w:rPr>
          <w:b/>
        </w:rPr>
        <w:t xml:space="preserve">18 </w:t>
      </w:r>
      <w:r>
        <w:t xml:space="preserve">And David went out to meet them and said to them, If you have come to me in peace</w:t>
      </w:r>
      <w:r>
        <w:rPr>
          <w:rStyle w:val="FootnoteReference"/>
        </w:rPr>
        <w:footnoteReference w:id="8278"/>
      </w:r>
      <w:r>
        <w:t xml:space="preserve">, let my heart be united with you</w:t>
      </w:r>
      <w:r>
        <w:rPr>
          <w:rStyle w:val="FootnoteReference"/>
        </w:rPr>
        <w:footnoteReference w:id="8279"/>
      </w:r>
      <w:r>
        <w:t xml:space="preserve">; but if to betray me to my enemies, though no truth of hand is against me, may God of our fathers see and rebuke.</w:t>
      </w:r>
    </w:p>
    <w:p>
      <w:r>
        <w:rPr>
          <w:b/>
        </w:rPr>
        <w:t xml:space="preserve">19 </w:t>
      </w:r>
      <w:r>
        <w:t xml:space="preserve">And spirit clothed Amasai</w:t>
      </w:r>
      <w:r>
        <w:rPr>
          <w:rStyle w:val="FootnoteReference"/>
        </w:rPr>
        <w:footnoteReference w:id="8280"/>
      </w:r>
      <w:r>
        <w:t xml:space="preserve">, chief of thirty, and he said, Go, and your people, David son of Jesse. Peace, peace to you, and peace to your helpers, because your God has helped you. And David received them and set them as chiefs of forces.</w:t>
      </w:r>
    </w:p>
    <w:p>
      <w:r>
        <w:rPr>
          <w:b/>
        </w:rPr>
        <w:t xml:space="preserve">20 </w:t>
      </w:r>
      <w:r>
        <w:t xml:space="preserve">And from Manasseh some joined David when Philistines came against Saul for battle, and he did not help them, because by counsel commanders of Philistines sent him away, saying, At cost of heads of those men he will return to his lord Saul.</w:t>
      </w:r>
      <w:r>
        <w:rPr>
          <w:rStyle w:val="FootnoteReference"/>
        </w:rPr>
        <w:footnoteReference w:id="8281"/>
      </w:r>
    </w:p>
    <w:p>
      <w:r>
        <w:rPr>
          <w:b/>
        </w:rPr>
        <w:t xml:space="preserve">21 </w:t>
      </w:r>
      <w:r>
        <w:t xml:space="preserve">When he went to Ziklag, there joined him from Manasseh: Edna</w:t>
      </w:r>
      <w:r>
        <w:rPr>
          <w:rStyle w:val="FootnoteReference"/>
        </w:rPr>
        <w:footnoteReference w:id="8282"/>
      </w:r>
      <w:r>
        <w:t xml:space="preserve"> and Iozabath and Jediael and Michael and Iosabeth and Elimouth and Selathi, heads of thousands of Manasseh.</w:t>
      </w:r>
      <w:r>
        <w:rPr>
          <w:rStyle w:val="FootnoteReference"/>
        </w:rPr>
        <w:footnoteReference w:id="8283"/>
      </w:r>
    </w:p>
    <w:p>
      <w:r>
        <w:rPr>
          <w:b/>
        </w:rPr>
        <w:t xml:space="preserve">22 </w:t>
      </w:r>
      <w:r>
        <w:t xml:space="preserve">And they fought alongside David against raiding band, because all were mighty of strength, and they became leaders in army, in force.</w:t>
      </w:r>
      <w:r>
        <w:rPr>
          <w:rStyle w:val="FootnoteReference"/>
        </w:rPr>
        <w:footnoteReference w:id="8284"/>
      </w:r>
    </w:p>
    <w:p>
      <w:r>
        <w:rPr>
          <w:b/>
        </w:rPr>
        <w:t xml:space="preserve">23 </w:t>
      </w:r>
      <w:r>
        <w:t xml:space="preserve">Because day by day they kept coming to David, into great force, like the force of God</w:t>
      </w:r>
      <w:r>
        <w:rPr>
          <w:rStyle w:val="FootnoteReference"/>
        </w:rPr>
        <w:footnoteReference w:id="8285"/>
      </w:r>
      <w:r>
        <w:t xml:space="preserve">.</w:t>
      </w:r>
    </w:p>
    <w:p>
      <w:r>
        <w:rPr>
          <w:b/>
        </w:rPr>
        <w:t xml:space="preserve">24 </w:t>
      </w:r>
      <w:r>
        <w:t xml:space="preserve">And these were names of chiefs of army who came to David in Hebron to turn the kingdom of Saul to him according to the word of the Lord.</w:t>
      </w:r>
      <w:r>
        <w:rPr>
          <w:rStyle w:val="FootnoteReference"/>
        </w:rPr>
        <w:footnoteReference w:id="8286"/>
      </w:r>
    </w:p>
    <w:p>
      <w:r>
        <w:rPr>
          <w:b/>
        </w:rPr>
        <w:t xml:space="preserve">25 </w:t>
      </w:r>
      <w:r>
        <w:t xml:space="preserve">Sons of Judah, shield-bearers and spear-bearers, six thousand eight hundred, mighty for battle line.</w:t>
      </w:r>
    </w:p>
    <w:p>
      <w:r>
        <w:rPr>
          <w:b/>
        </w:rPr>
        <w:t xml:space="preserve">26 </w:t>
      </w:r>
      <w:r>
        <w:t xml:space="preserve">From the sons of Simeon, mighty in strength for battle line, seven thousand one hundred.</w:t>
      </w:r>
    </w:p>
    <w:p>
      <w:r>
        <w:rPr>
          <w:b/>
        </w:rPr>
        <w:t xml:space="preserve">27 </w:t>
      </w:r>
      <w:r>
        <w:t xml:space="preserve">From the sons of Levi, four thousand six hundred.</w:t>
      </w:r>
    </w:p>
    <w:p>
      <w:r>
        <w:rPr>
          <w:b/>
        </w:rPr>
        <w:t xml:space="preserve">28 </w:t>
      </w:r>
      <w:r>
        <w:t xml:space="preserve">And Joadas leader for Aaron, and with him three thousand seven hundred.</w:t>
      </w:r>
    </w:p>
    <w:p>
      <w:r>
        <w:rPr>
          <w:b/>
        </w:rPr>
        <w:t xml:space="preserve">29 </w:t>
      </w:r>
      <w:r>
        <w:t xml:space="preserve">And Zadok, young man mighty in strength, and from his father’s house, twenty-two chiefs.</w:t>
      </w:r>
    </w:p>
    <w:p>
      <w:r>
        <w:rPr>
          <w:b/>
        </w:rPr>
        <w:t xml:space="preserve">30 </w:t>
      </w:r>
      <w:r>
        <w:t xml:space="preserve">And from the sons of Benjamin, brothers of Saul, three thousand, and still most of them were keeping watch of the house of Saul.</w:t>
      </w:r>
    </w:p>
    <w:p>
      <w:r>
        <w:rPr>
          <w:b/>
        </w:rPr>
        <w:t xml:space="preserve">31 </w:t>
      </w:r>
      <w:r>
        <w:t xml:space="preserve">And from the sons of Ephraim, twenty thousand eight hundred, mighty in strength, men of name by the houses of their fathers.</w:t>
      </w:r>
    </w:p>
    <w:p>
      <w:r>
        <w:rPr>
          <w:b/>
        </w:rPr>
        <w:t xml:space="preserve">32 </w:t>
      </w:r>
      <w:r>
        <w:t xml:space="preserve">And from the half tribe of Manasseh, eighteen thousand who were named by name to come make David king.</w:t>
      </w:r>
      <w:r>
        <w:rPr>
          <w:rStyle w:val="FootnoteReference"/>
        </w:rPr>
        <w:footnoteReference w:id="8287"/>
      </w:r>
      <w:r>
        <w:t xml:space="preserve"/>
      </w:r>
    </w:p>
    <w:p>
      <w:r>
        <w:rPr>
          <w:b/>
        </w:rPr>
        <w:t xml:space="preserve">33 </w:t>
      </w:r>
      <w:r>
        <w:t xml:space="preserve">And from the sons of Issachar, knowing understanding for times, knowing what Israel should do, their chiefs were two hundred, and all their brothers with them.</w:t>
      </w:r>
      <w:r>
        <w:rPr>
          <w:rStyle w:val="FootnoteReference"/>
        </w:rPr>
        <w:footnoteReference w:id="8288"/>
      </w:r>
    </w:p>
    <w:p>
      <w:r>
        <w:rPr>
          <w:b/>
        </w:rPr>
        <w:t xml:space="preserve">34 </w:t>
      </w:r>
      <w:r>
        <w:t xml:space="preserve">And from Zebulun, going out for battle line with every weapon of war, fifty thousand to help David, not double-hearted.</w:t>
      </w:r>
    </w:p>
    <w:p>
      <w:r>
        <w:rPr>
          <w:b/>
        </w:rPr>
        <w:t xml:space="preserve">35 </w:t>
      </w:r>
      <w:r>
        <w:t xml:space="preserve">And from Naphtali, one thousand chiefs, and with them with shields and spears, thirty-seven thousand.</w:t>
      </w:r>
    </w:p>
    <w:p>
      <w:r>
        <w:rPr>
          <w:b/>
        </w:rPr>
        <w:t xml:space="preserve">36 </w:t>
      </w:r>
      <w:r>
        <w:t xml:space="preserve">And from Danites</w:t>
      </w:r>
      <w:r>
        <w:rPr>
          <w:rStyle w:val="FootnoteReference"/>
        </w:rPr>
        <w:footnoteReference w:id="8289"/>
      </w:r>
      <w:r>
        <w:t xml:space="preserve">, drawing up for battle, twenty-eight thousand eight hundred.</w:t>
      </w:r>
    </w:p>
    <w:p>
      <w:r>
        <w:rPr>
          <w:b/>
        </w:rPr>
        <w:t xml:space="preserve">37 </w:t>
      </w:r>
      <w:r>
        <w:t xml:space="preserve">And from Asher, going out to help in war, forty thousand.</w:t>
      </w:r>
    </w:p>
    <w:p>
      <w:r>
        <w:rPr>
          <w:b/>
        </w:rPr>
        <w:t xml:space="preserve">38 </w:t>
      </w:r>
      <w:r>
        <w:t xml:space="preserve">And from beyond Jordan, from Reuben and Gad and from the half tribe of Manasseh, with every weapon of war</w:t>
      </w:r>
      <w:r>
        <w:rPr>
          <w:rStyle w:val="FootnoteReference"/>
        </w:rPr>
        <w:footnoteReference w:id="8290"/>
      </w:r>
      <w:r>
        <w:t xml:space="preserve">, one hundred twenty thousand.</w:t>
      </w:r>
    </w:p>
    <w:p>
      <w:r>
        <w:rPr>
          <w:b/>
        </w:rPr>
        <w:t xml:space="preserve">39 </w:t>
      </w:r>
      <w:r>
        <w:t xml:space="preserve">All these were men of war, drawing up battle line with peaceful soul, and they came to Hebron to make David king over all Israel, and the remnant of Israel were one soul to make David king.</w:t>
      </w:r>
    </w:p>
    <w:p>
      <w:r>
        <w:rPr>
          <w:b/>
        </w:rPr>
        <w:t xml:space="preserve">40 </w:t>
      </w:r>
      <w:r>
        <w:t xml:space="preserve">And they were there three days, eating and drinking, because their brothers had prepared for them.</w:t>
      </w:r>
      <w:r>
        <w:rPr>
          <w:rStyle w:val="FootnoteReference"/>
        </w:rPr>
        <w:footnoteReference w:id="8291"/>
      </w:r>
    </w:p>
    <w:p>
      <w:r>
        <w:rPr>
          <w:b/>
        </w:rPr>
        <w:t xml:space="preserve">41 </w:t>
      </w:r>
      <w:r>
        <w:t xml:space="preserve">And those bordering them, even as far as Issachar and Zebulun and Naphtali, were bringing to them on camels and donkeys and mules and on calves provisions, meal, fig cakes, raisins, wine and oil, calves and sheep in abundance, because gladness was in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David took counsel with commanders of thousands and of hundreds, with every leader.</w:t>
      </w:r>
    </w:p>
    <w:p>
      <w:r>
        <w:rPr>
          <w:b/>
        </w:rPr>
        <w:t xml:space="preserve">2 </w:t>
      </w:r>
      <w:r>
        <w:t xml:space="preserve">And David said to all the assembly of Israel, If this seems good to you, and if it has been prospered from the Lord our God</w:t>
      </w:r>
      <w:r>
        <w:rPr>
          <w:rStyle w:val="FootnoteReference"/>
        </w:rPr>
        <w:footnoteReference w:id="8292"/>
      </w:r>
      <w:r>
        <w:t xml:space="preserve">, let us send to our brothers left</w:t>
      </w:r>
      <w:r>
        <w:rPr>
          <w:rStyle w:val="FootnoteReference"/>
        </w:rPr>
        <w:footnoteReference w:id="8293"/>
      </w:r>
      <w:r>
        <w:t xml:space="preserve"> behind in all the land of Israel, and with them to priests and Levites in the cities of their possession, and let them gather to us.</w:t>
      </w:r>
    </w:p>
    <w:p>
      <w:r>
        <w:rPr>
          <w:b/>
        </w:rPr>
        <w:t xml:space="preserve">3 </w:t>
      </w:r>
      <w:r>
        <w:t xml:space="preserve">And let us bring the ark</w:t>
      </w:r>
      <w:r>
        <w:rPr>
          <w:rStyle w:val="FootnoteReference"/>
        </w:rPr>
        <w:footnoteReference w:id="8294"/>
      </w:r>
      <w:r>
        <w:t xml:space="preserve"> of our God to us, because from the days of Saul they did not seek it.</w:t>
      </w:r>
    </w:p>
    <w:p>
      <w:r>
        <w:rPr>
          <w:b/>
        </w:rPr>
        <w:t xml:space="preserve">4 </w:t>
      </w:r>
      <w:r>
        <w:t xml:space="preserve">And all the assembly said to do so, because word was upright in the eyes of all the people.</w:t>
      </w:r>
    </w:p>
    <w:p>
      <w:r>
        <w:rPr>
          <w:b/>
        </w:rPr>
        <w:t xml:space="preserve">5 </w:t>
      </w:r>
      <w:r>
        <w:t xml:space="preserve">And David</w:t>
      </w:r>
      <w:r>
        <w:rPr>
          <w:rStyle w:val="FootnoteReference"/>
        </w:rPr>
        <w:footnoteReference w:id="8295"/>
      </w:r>
      <w:r>
        <w:t xml:space="preserve"> assembled all Israel from the borders of Egypt and as far as entrance of Hamath, to bring the ark of God from the city of Kirjathjearim</w:t>
      </w:r>
      <w:r>
        <w:rPr>
          <w:rStyle w:val="FootnoteReference"/>
        </w:rPr>
        <w:footnoteReference w:id="8296"/>
      </w:r>
      <w:r>
        <w:t xml:space="preserve">.</w:t>
      </w:r>
    </w:p>
    <w:p>
      <w:r>
        <w:rPr>
          <w:b/>
        </w:rPr>
        <w:t xml:space="preserve">6 </w:t>
      </w:r>
      <w:r>
        <w:t xml:space="preserve">And David brought it up, and all Israel went up to the City of David, which belonged to Judah, to bring up from there the ark of God, the Lord seated upon cheroubim, where his name was called upon it.</w:t>
      </w:r>
    </w:p>
    <w:p>
      <w:r>
        <w:rPr>
          <w:b/>
        </w:rPr>
        <w:t xml:space="preserve">7 </w:t>
      </w:r>
      <w:r>
        <w:t xml:space="preserve">And they placed the ark of God on new wagon from the house of Amminadab, and Uzza and his brothers were leading wagon.</w:t>
      </w:r>
    </w:p>
    <w:p>
      <w:r>
        <w:rPr>
          <w:b/>
        </w:rPr>
        <w:t xml:space="preserve">8 </w:t>
      </w:r>
      <w:r>
        <w:t xml:space="preserve">And David</w:t>
      </w:r>
      <w:r>
        <w:rPr>
          <w:rStyle w:val="FootnoteReference"/>
        </w:rPr>
        <w:footnoteReference w:id="8297"/>
      </w:r>
      <w:r>
        <w:t xml:space="preserve"> and all Israel were playing before God with all their strength, and with songs and lyres and harps and tambourines and cymbals and trumpets.</w:t>
      </w:r>
    </w:p>
    <w:p>
      <w:r>
        <w:rPr>
          <w:b/>
        </w:rPr>
        <w:t xml:space="preserve">9 </w:t>
      </w:r>
      <w:r>
        <w:t xml:space="preserve">And they came as far as threshing floor, and Uzza stretched out his hand to grasp ark, because calf turned it aside.</w:t>
      </w:r>
    </w:p>
    <w:p>
      <w:r>
        <w:rPr>
          <w:b/>
        </w:rPr>
        <w:t xml:space="preserve">10 </w:t>
      </w:r>
      <w:r>
        <w:t xml:space="preserve">And the Lord’s anger grew hot against Uzza, and he struck him there because he stretched out his hand upon ark, and he died there before God.</w:t>
      </w:r>
    </w:p>
    <w:p>
      <w:r>
        <w:rPr>
          <w:b/>
        </w:rPr>
        <w:t xml:space="preserve">11 </w:t>
      </w:r>
      <w:r>
        <w:t xml:space="preserve">And David was troubled because the Lord had broken out with breach against Uzza, and he called that place Breach-of-Uzza</w:t>
      </w:r>
      <w:r>
        <w:rPr>
          <w:rStyle w:val="FootnoteReference"/>
        </w:rPr>
        <w:footnoteReference w:id="8298"/>
      </w:r>
      <w:r>
        <w:t xml:space="preserve"> until this day.</w:t>
      </w:r>
    </w:p>
    <w:p>
      <w:r>
        <w:rPr>
          <w:b/>
        </w:rPr>
        <w:t xml:space="preserve">12 </w:t>
      </w:r>
      <w:r>
        <w:t xml:space="preserve">And David feared God on that day, saying, How shall I bring the ark of God to myself?</w:t>
      </w:r>
    </w:p>
    <w:p>
      <w:r>
        <w:rPr>
          <w:b/>
        </w:rPr>
        <w:t xml:space="preserve">13 </w:t>
      </w:r>
      <w:r>
        <w:t xml:space="preserve">And David did not bring back ark to himself into the City of David, but turned it aside into the house of Obededom</w:t>
      </w:r>
      <w:r>
        <w:rPr>
          <w:rStyle w:val="FootnoteReference"/>
        </w:rPr>
        <w:footnoteReference w:id="8299"/>
      </w:r>
      <w:r>
        <w:t xml:space="preserve"> the Gittite.</w:t>
      </w:r>
    </w:p>
    <w:p>
      <w:r>
        <w:rPr>
          <w:b/>
        </w:rPr>
        <w:t xml:space="preserve">14 </w:t>
      </w:r>
      <w:r>
        <w:t xml:space="preserve">And the ark of God stayed in the house of Obededom three months, and God blessed Abeddaram and all his things.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Hiram</w:t>
      </w:r>
      <w:r>
        <w:rPr>
          <w:rStyle w:val="FootnoteReference"/>
        </w:rPr>
        <w:footnoteReference w:id="8300"/>
      </w:r>
      <w:r>
        <w:t xml:space="preserve"> king of Tyre sent messengers to David, and cedar woods and builders of walls and carpenters of wood to build him house.</w:t>
      </w:r>
    </w:p>
    <w:p>
      <w:r>
        <w:rPr>
          <w:b/>
        </w:rPr>
        <w:t xml:space="preserve">2 </w:t>
      </w:r>
      <w:r>
        <w:t xml:space="preserve">And David knew that the Lord</w:t>
      </w:r>
      <w:r>
        <w:rPr>
          <w:rStyle w:val="FootnoteReference"/>
        </w:rPr>
        <w:footnoteReference w:id="8301"/>
      </w:r>
      <w:r>
        <w:t xml:space="preserve"> had established him over Israel, because his kingdom was exalted on high for the sake of his people Israel.</w:t>
      </w:r>
    </w:p>
    <w:p>
      <w:r>
        <w:rPr>
          <w:b/>
        </w:rPr>
        <w:t xml:space="preserve">3 </w:t>
      </w:r>
      <w:r>
        <w:t xml:space="preserve">And David took</w:t>
      </w:r>
      <w:r>
        <w:rPr>
          <w:rStyle w:val="FootnoteReference"/>
        </w:rPr>
        <w:footnoteReference w:id="8302"/>
      </w:r>
      <w:r>
        <w:t xml:space="preserve"> yet more wives in Jerusalem, and more sons and daughters were born to David.</w:t>
      </w:r>
    </w:p>
    <w:p>
      <w:r>
        <w:rPr>
          <w:b/>
        </w:rPr>
        <w:t xml:space="preserve">4 </w:t>
      </w:r>
      <w:r>
        <w:t xml:space="preserve">And these were names of children born to him in Jerusalem: Shammua</w:t>
      </w:r>
      <w:r>
        <w:rPr>
          <w:rStyle w:val="FootnoteReference"/>
        </w:rPr>
        <w:footnoteReference w:id="8303"/>
      </w:r>
      <w:r>
        <w:t xml:space="preserve">, Shobab, Nathan, Solomon,</w:t>
      </w:r>
    </w:p>
    <w:p>
      <w:r>
        <w:rPr>
          <w:b/>
        </w:rPr>
        <w:t xml:space="preserve">5 </w:t>
      </w:r>
      <w:r>
        <w:t xml:space="preserve">and Ibhar and Elishua</w:t>
      </w:r>
      <w:r>
        <w:rPr>
          <w:rStyle w:val="FootnoteReference"/>
        </w:rPr>
        <w:footnoteReference w:id="8304"/>
      </w:r>
      <w:r>
        <w:t xml:space="preserve"> and Elpalet,</w:t>
      </w:r>
    </w:p>
    <w:p>
      <w:r>
        <w:rPr>
          <w:b/>
        </w:rPr>
        <w:t xml:space="preserve">6 </w:t>
      </w:r>
      <w:r>
        <w:t xml:space="preserve">and Nogah and Nepheg and Ianouou,</w:t>
      </w:r>
    </w:p>
    <w:p>
      <w:r>
        <w:rPr>
          <w:b/>
        </w:rPr>
        <w:t xml:space="preserve">7 </w:t>
      </w:r>
      <w:r>
        <w:t xml:space="preserve">and Elishama and Beeliada</w:t>
      </w:r>
      <w:r>
        <w:rPr>
          <w:rStyle w:val="FootnoteReference"/>
        </w:rPr>
        <w:footnoteReference w:id="8305"/>
      </w:r>
      <w:r>
        <w:t xml:space="preserve"> and Elpalet.</w:t>
      </w:r>
      <w:r>
        <w:rPr>
          <w:rStyle w:val="FootnoteReference"/>
        </w:rPr>
        <w:footnoteReference w:id="8306"/>
      </w:r>
    </w:p>
    <w:p>
      <w:r>
        <w:rPr>
          <w:b/>
        </w:rPr>
        <w:t xml:space="preserve">8 </w:t>
      </w:r>
      <w:r>
        <w:t xml:space="preserve">And Philistines heard that David had been anointed</w:t>
      </w:r>
      <w:r>
        <w:rPr>
          <w:rStyle w:val="FootnoteReference"/>
        </w:rPr>
        <w:footnoteReference w:id="8307"/>
      </w:r>
      <w:r>
        <w:t xml:space="preserve"> king over all Israel, and all Philistines went up to seek David, and David heard and went out to meet them.</w:t>
      </w:r>
    </w:p>
    <w:p>
      <w:r>
        <w:rPr>
          <w:b/>
        </w:rPr>
        <w:t xml:space="preserve">9 </w:t>
      </w:r>
      <w:r>
        <w:t xml:space="preserve">And Philistines came and fell upon the valley</w:t>
      </w:r>
      <w:r>
        <w:rPr>
          <w:rStyle w:val="FootnoteReference"/>
        </w:rPr>
        <w:footnoteReference w:id="8308"/>
      </w:r>
      <w:r>
        <w:t xml:space="preserve"> of giants.</w:t>
      </w:r>
    </w:p>
    <w:p>
      <w:r>
        <w:rPr>
          <w:b/>
        </w:rPr>
        <w:t xml:space="preserve">10 </w:t>
      </w:r>
      <w:r>
        <w:t xml:space="preserve">And David inquired</w:t>
      </w:r>
      <w:r>
        <w:rPr>
          <w:rStyle w:val="FootnoteReference"/>
        </w:rPr>
        <w:footnoteReference w:id="8309"/>
      </w:r>
      <w:r>
        <w:t xml:space="preserve"> through God, saying, Shall I go up against Philistines, and will you give them into my hands? And the Lord said to him, Go up, and I will give them into your hands.</w:t>
      </w:r>
    </w:p>
    <w:p>
      <w:r>
        <w:rPr>
          <w:b/>
        </w:rPr>
        <w:t xml:space="preserve">11 </w:t>
      </w:r>
      <w:r>
        <w:t xml:space="preserve">And he went up to Baalpharasin, and David struck them there. And David said, God broke through my enemies by my hand like the breaking of waters</w:t>
      </w:r>
      <w:r>
        <w:rPr>
          <w:rStyle w:val="FootnoteReference"/>
        </w:rPr>
        <w:footnoteReference w:id="8310"/>
      </w:r>
      <w:r>
        <w:t xml:space="preserve">. Therefore name of that place was called Breach-of-Pharasin.</w:t>
      </w:r>
      <w:r>
        <w:rPr>
          <w:rStyle w:val="FootnoteReference"/>
        </w:rPr>
        <w:footnoteReference w:id="8311"/>
      </w:r>
    </w:p>
    <w:p>
      <w:r>
        <w:rPr>
          <w:b/>
        </w:rPr>
        <w:t xml:space="preserve">12 </w:t>
      </w:r>
      <w:r>
        <w:t xml:space="preserve">And they left their gods there, and David said to burn them with fire.</w:t>
      </w:r>
    </w:p>
    <w:p>
      <w:r>
        <w:rPr>
          <w:b/>
        </w:rPr>
        <w:t xml:space="preserve">13 </w:t>
      </w:r>
      <w:r>
        <w:t xml:space="preserve">And Philistines added yet again</w:t>
      </w:r>
      <w:r>
        <w:rPr>
          <w:rStyle w:val="FootnoteReference"/>
        </w:rPr>
        <w:footnoteReference w:id="8312"/>
      </w:r>
      <w:r>
        <w:t xml:space="preserve"> and again fell upon the valley of giants.</w:t>
      </w:r>
    </w:p>
    <w:p>
      <w:r>
        <w:rPr>
          <w:b/>
        </w:rPr>
        <w:t xml:space="preserve">14 </w:t>
      </w:r>
      <w:r>
        <w:t xml:space="preserve">And David again inquired</w:t>
      </w:r>
      <w:r>
        <w:rPr>
          <w:rStyle w:val="FootnoteReference"/>
        </w:rPr>
        <w:footnoteReference w:id="8313"/>
      </w:r>
      <w:r>
        <w:t xml:space="preserve"> of God, and God said to him, You shall not go after them; turn away from them and come upon them near pear trees.</w:t>
      </w:r>
    </w:p>
    <w:p>
      <w:r>
        <w:rPr>
          <w:b/>
        </w:rPr>
        <w:t xml:space="preserve">15 </w:t>
      </w:r>
      <w:r>
        <w:t xml:space="preserve">And when you hear the sound of shaking in tops of pear trees, then you shall go out into battle, because God has gone out before you to strike the camp of the Philistines.</w:t>
      </w:r>
    </w:p>
    <w:p>
      <w:r>
        <w:rPr>
          <w:b/>
        </w:rPr>
        <w:t xml:space="preserve">16 </w:t>
      </w:r>
      <w:r>
        <w:t xml:space="preserve">And he did as God</w:t>
      </w:r>
      <w:r>
        <w:rPr>
          <w:rStyle w:val="FootnoteReference"/>
        </w:rPr>
        <w:footnoteReference w:id="8314"/>
      </w:r>
      <w:r>
        <w:t xml:space="preserve"> commanded him, and he struck the camp of the Philistines from Gibeon as far as Gezer.</w:t>
      </w:r>
    </w:p>
    <w:p>
      <w:r>
        <w:rPr>
          <w:b/>
        </w:rPr>
        <w:t xml:space="preserve">17 </w:t>
      </w:r>
      <w:r>
        <w:t xml:space="preserve">And the name of David became in all the land, and the Lord put his fear upon all nations.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he made houses</w:t>
      </w:r>
      <w:r>
        <w:rPr>
          <w:rStyle w:val="FootnoteReference"/>
        </w:rPr>
        <w:footnoteReference w:id="8315"/>
      </w:r>
      <w:r>
        <w:t xml:space="preserve"> for himself in the City of David, and he prepared place for the ark of God and made tent for it.</w:t>
      </w:r>
    </w:p>
    <w:p>
      <w:r>
        <w:rPr>
          <w:b/>
        </w:rPr>
        <w:t xml:space="preserve">2 </w:t>
      </w:r>
      <w:r>
        <w:t xml:space="preserve">Then David said, It is not for any to carry the ark of God except Levites, because the Lord chose them to carry the ark of the Lord and to minister</w:t>
      </w:r>
      <w:r>
        <w:rPr>
          <w:rStyle w:val="FootnoteReference"/>
        </w:rPr>
        <w:footnoteReference w:id="8316"/>
      </w:r>
      <w:r>
        <w:t xml:space="preserve"> to him forever.</w:t>
      </w:r>
    </w:p>
    <w:p>
      <w:r>
        <w:rPr>
          <w:b/>
        </w:rPr>
        <w:t xml:space="preserve">3 </w:t>
      </w:r>
      <w:r>
        <w:t xml:space="preserve">And David assembled all Israel in Jerusalem to bring up</w:t>
      </w:r>
      <w:r>
        <w:rPr>
          <w:rStyle w:val="FootnoteReference"/>
        </w:rPr>
        <w:footnoteReference w:id="8317"/>
      </w:r>
      <w:r>
        <w:t xml:space="preserve"> the ark of the Lord to place which he prepared for it.</w:t>
      </w:r>
    </w:p>
    <w:p>
      <w:r>
        <w:rPr>
          <w:b/>
        </w:rPr>
        <w:t xml:space="preserve">4 </w:t>
      </w:r>
      <w:r>
        <w:t xml:space="preserve">And David gathered sons of Aaron and Levites:</w:t>
      </w:r>
    </w:p>
    <w:p>
      <w:r>
        <w:rPr>
          <w:b/>
        </w:rPr>
        <w:t xml:space="preserve">5 </w:t>
      </w:r>
      <w:r>
        <w:t xml:space="preserve">from the sons of Kohath, Uriel</w:t>
      </w:r>
      <w:r>
        <w:rPr>
          <w:rStyle w:val="FootnoteReference"/>
        </w:rPr>
        <w:footnoteReference w:id="8318"/>
      </w:r>
      <w:r>
        <w:t xml:space="preserve"> chief, and his brothers, one hundred twenty;</w:t>
      </w:r>
    </w:p>
    <w:p>
      <w:r>
        <w:rPr>
          <w:b/>
        </w:rPr>
        <w:t xml:space="preserve">6 </w:t>
      </w:r>
      <w:r>
        <w:t xml:space="preserve">from the sons of Merari</w:t>
      </w:r>
      <w:r>
        <w:rPr>
          <w:rStyle w:val="FootnoteReference"/>
        </w:rPr>
        <w:footnoteReference w:id="8319"/>
      </w:r>
      <w:r>
        <w:t xml:space="preserve">, Asaiah chief, and his brothers, two hundred fifty;</w:t>
      </w:r>
    </w:p>
    <w:p>
      <w:r>
        <w:rPr>
          <w:b/>
        </w:rPr>
        <w:t xml:space="preserve">7 </w:t>
      </w:r>
      <w:r>
        <w:t xml:space="preserve">from the sons of Gershom, Joel</w:t>
      </w:r>
      <w:r>
        <w:rPr>
          <w:rStyle w:val="FootnoteReference"/>
        </w:rPr>
        <w:footnoteReference w:id="8320"/>
      </w:r>
      <w:r>
        <w:t xml:space="preserve"> chief, and his brothers, one hundred fifty;</w:t>
      </w:r>
    </w:p>
    <w:p>
      <w:r>
        <w:rPr>
          <w:b/>
        </w:rPr>
        <w:t xml:space="preserve">8 </w:t>
      </w:r>
      <w:r>
        <w:t xml:space="preserve">from the sons of Elzaphan, Shemaiah</w:t>
      </w:r>
      <w:r>
        <w:rPr>
          <w:rStyle w:val="FootnoteReference"/>
        </w:rPr>
        <w:footnoteReference w:id="8321"/>
      </w:r>
      <w:r>
        <w:t xml:space="preserve"> chief, and his brothers, two hundred;</w:t>
      </w:r>
    </w:p>
    <w:p>
      <w:r>
        <w:rPr>
          <w:b/>
        </w:rPr>
        <w:t xml:space="preserve">9 </w:t>
      </w:r>
      <w:r>
        <w:t xml:space="preserve">from the sons of Hebron</w:t>
      </w:r>
      <w:r>
        <w:rPr>
          <w:rStyle w:val="FootnoteReference"/>
        </w:rPr>
        <w:footnoteReference w:id="8322"/>
      </w:r>
      <w:r>
        <w:t xml:space="preserve">, Eliel chief, and his brothers, eighty;</w:t>
      </w:r>
    </w:p>
    <w:p>
      <w:r>
        <w:rPr>
          <w:b/>
        </w:rPr>
        <w:t xml:space="preserve">10 </w:t>
      </w:r>
      <w:r>
        <w:t xml:space="preserve">from the sons of Uzziel</w:t>
      </w:r>
      <w:r>
        <w:rPr>
          <w:rStyle w:val="FootnoteReference"/>
        </w:rPr>
        <w:footnoteReference w:id="8323"/>
      </w:r>
      <w:r>
        <w:t xml:space="preserve">, Amminadab chief, and his brothers, one hundred twelve.</w:t>
      </w:r>
    </w:p>
    <w:p>
      <w:r>
        <w:rPr>
          <w:b/>
        </w:rPr>
        <w:t xml:space="preserve">11 </w:t>
      </w:r>
      <w:r>
        <w:t xml:space="preserve">And David called Zadok</w:t>
      </w:r>
      <w:r>
        <w:rPr>
          <w:rStyle w:val="FootnoteReference"/>
        </w:rPr>
        <w:footnoteReference w:id="8324"/>
      </w:r>
      <w:r>
        <w:t xml:space="preserve"> and Abiathar the priests, and Levites Uriel, Asaiah, Joel, Shemaiah, Eliel, Amminadab,</w:t>
      </w:r>
    </w:p>
    <w:p>
      <w:r>
        <w:rPr>
          <w:b/>
        </w:rPr>
        <w:t xml:space="preserve">12 </w:t>
      </w:r>
      <w:r>
        <w:t xml:space="preserve">and he said to them, You are chiefs of fathers of Levites. Sanctify</w:t>
      </w:r>
      <w:r>
        <w:rPr>
          <w:rStyle w:val="FootnoteReference"/>
        </w:rPr>
        <w:footnoteReference w:id="8325"/>
      </w:r>
      <w:r>
        <w:t xml:space="preserve"> yourselves, you and your brothers, and bring up the ark of God of Israel, which I prepared for it.</w:t>
      </w:r>
    </w:p>
    <w:p>
      <w:r>
        <w:rPr>
          <w:b/>
        </w:rPr>
        <w:t xml:space="preserve">13 </w:t>
      </w:r>
      <w:r>
        <w:t xml:space="preserve">Because when you were not there at first, our God made breach among us, because we did not seek him according to ordinance.</w:t>
      </w:r>
    </w:p>
    <w:p>
      <w:r>
        <w:rPr>
          <w:b/>
        </w:rPr>
        <w:t xml:space="preserve">14 </w:t>
      </w:r>
      <w:r>
        <w:t xml:space="preserve">And priests and Levites sanctified</w:t>
      </w:r>
      <w:r>
        <w:rPr>
          <w:rStyle w:val="FootnoteReference"/>
        </w:rPr>
        <w:footnoteReference w:id="8326"/>
      </w:r>
      <w:r>
        <w:t xml:space="preserve"> themselves to bring up the ark of God of Israel.</w:t>
      </w:r>
    </w:p>
    <w:p>
      <w:r>
        <w:rPr>
          <w:b/>
        </w:rPr>
        <w:t xml:space="preserve">15 </w:t>
      </w:r>
      <w:r>
        <w:t xml:space="preserve">And sons of Levites took the ark of God as Moses commanded by the word of God, according to writing, with carrying-poles upon them.</w:t>
      </w:r>
    </w:p>
    <w:p>
      <w:r>
        <w:rPr>
          <w:b/>
        </w:rPr>
        <w:t xml:space="preserve">16 </w:t>
      </w:r>
      <w:r>
        <w:t xml:space="preserve">And David</w:t>
      </w:r>
      <w:r>
        <w:rPr>
          <w:rStyle w:val="FootnoteReference"/>
        </w:rPr>
        <w:footnoteReference w:id="8327"/>
      </w:r>
      <w:r>
        <w:t xml:space="preserve"> said to the chiefs of Levites, Station their brothers, singers with the instruments of songs, lyres and harps and cymbals, to raise sound with the voice of gladness.</w:t>
      </w:r>
    </w:p>
    <w:p>
      <w:r>
        <w:rPr>
          <w:b/>
        </w:rPr>
        <w:t xml:space="preserve">17 </w:t>
      </w:r>
      <w:r>
        <w:t xml:space="preserve">And Levites stationed Heman</w:t>
      </w:r>
      <w:r>
        <w:rPr>
          <w:rStyle w:val="FootnoteReference"/>
        </w:rPr>
        <w:footnoteReference w:id="8328"/>
      </w:r>
      <w:r>
        <w:t xml:space="preserve"> son of Joel, and from his brothers Asaph son of Berechiah, and from the sons of Merari, their brothers, Ethan son of Kushaiah</w:t>
      </w:r>
      <w:r>
        <w:rPr>
          <w:rStyle w:val="FootnoteReference"/>
        </w:rPr>
        <w:footnoteReference w:id="8329"/>
      </w:r>
      <w:r>
        <w:t xml:space="preserve">,</w:t>
      </w:r>
    </w:p>
    <w:p>
      <w:r>
        <w:rPr>
          <w:b/>
        </w:rPr>
        <w:t xml:space="preserve">18 </w:t>
      </w:r>
      <w:r>
        <w:t xml:space="preserve">and with them their brothers of second rank</w:t>
      </w:r>
      <w:r>
        <w:rPr>
          <w:rStyle w:val="FootnoteReference"/>
        </w:rPr>
        <w:footnoteReference w:id="8330"/>
      </w:r>
      <w:r>
        <w:t xml:space="preserve">: Zechariah</w:t>
      </w:r>
      <w:r>
        <w:rPr>
          <w:rStyle w:val="FootnoteReference"/>
        </w:rPr>
        <w:footnoteReference w:id="8331"/>
      </w:r>
      <w:r>
        <w:t xml:space="preserve"> and Uzziel and Shemiramoth</w:t>
      </w:r>
      <w:r>
        <w:rPr>
          <w:rStyle w:val="FootnoteReference"/>
        </w:rPr>
        <w:footnoteReference w:id="8332"/>
      </w:r>
      <w:r>
        <w:t xml:space="preserve"> and Jehiel and Unni</w:t>
      </w:r>
      <w:r>
        <w:rPr>
          <w:rStyle w:val="FootnoteReference"/>
        </w:rPr>
        <w:footnoteReference w:id="8333"/>
      </w:r>
      <w:r>
        <w:t xml:space="preserve"> and Eliab and Benaiah and Maaseiah</w:t>
      </w:r>
      <w:r>
        <w:rPr>
          <w:rStyle w:val="FootnoteReference"/>
        </w:rPr>
        <w:footnoteReference w:id="8334"/>
      </w:r>
      <w:r>
        <w:t xml:space="preserve"> and Maaseiah and Eliphalia and Makenia and Obededom and Jeiel</w:t>
      </w:r>
      <w:r>
        <w:rPr>
          <w:rStyle w:val="FootnoteReference"/>
        </w:rPr>
        <w:footnoteReference w:id="8335"/>
      </w:r>
      <w:r>
        <w:t xml:space="preserve"> and Uzziah, gatekeepers.</w:t>
      </w:r>
    </w:p>
    <w:p>
      <w:r>
        <w:rPr>
          <w:b/>
        </w:rPr>
        <w:t xml:space="preserve">19 </w:t>
      </w:r>
      <w:r>
        <w:t xml:space="preserve">And singers Heman, Asaph, and Ethan had bronze cymbals to make sound heard.</w:t>
      </w:r>
    </w:p>
    <w:p>
      <w:r>
        <w:rPr>
          <w:b/>
        </w:rPr>
        <w:t xml:space="preserve">20 </w:t>
      </w:r>
      <w:r>
        <w:t xml:space="preserve">Zechariah and Uzziel, Shemiramoth, Jehiel, Unni, Eliab, Masaias, Benaiah, with harps on alamoth</w:t>
      </w:r>
      <w:r>
        <w:rPr>
          <w:rStyle w:val="FootnoteReference"/>
        </w:rPr>
        <w:footnoteReference w:id="8336"/>
      </w:r>
      <w:r>
        <w:t xml:space="preserve">.</w:t>
      </w:r>
    </w:p>
    <w:p>
      <w:r>
        <w:rPr>
          <w:b/>
        </w:rPr>
        <w:t xml:space="preserve">21 </w:t>
      </w:r>
      <w:r>
        <w:t xml:space="preserve">And Mattathias</w:t>
      </w:r>
      <w:r>
        <w:rPr>
          <w:rStyle w:val="FootnoteReference"/>
        </w:rPr>
        <w:footnoteReference w:id="8337"/>
      </w:r>
      <w:r>
        <w:t xml:space="preserve"> and Eliphalias and Makenias and Obededom and Jeiel and Uzziah with lyres on the eighth, to lead strongly.</w:t>
      </w:r>
    </w:p>
    <w:p>
      <w:r>
        <w:rPr>
          <w:b/>
        </w:rPr>
        <w:t xml:space="preserve">22 </w:t>
      </w:r>
      <w:r>
        <w:t xml:space="preserve">And Chenaniah</w:t>
      </w:r>
      <w:r>
        <w:rPr>
          <w:rStyle w:val="FootnoteReference"/>
        </w:rPr>
        <w:footnoteReference w:id="8338"/>
      </w:r>
      <w:r>
        <w:t xml:space="preserve">, chief of Levites, was chief over songs, because he was understanding.</w:t>
      </w:r>
    </w:p>
    <w:p>
      <w:r>
        <w:rPr>
          <w:b/>
        </w:rPr>
        <w:t xml:space="preserve">23 </w:t>
      </w:r>
      <w:r>
        <w:t xml:space="preserve">And Berechiah and Elkanah were gatekeepers of ark.</w:t>
      </w:r>
    </w:p>
    <w:p>
      <w:r>
        <w:rPr>
          <w:b/>
        </w:rPr>
        <w:t xml:space="preserve">24 </w:t>
      </w:r>
      <w:r>
        <w:t xml:space="preserve">And Shebaniah</w:t>
      </w:r>
      <w:r>
        <w:rPr>
          <w:rStyle w:val="FootnoteReference"/>
        </w:rPr>
        <w:footnoteReference w:id="8339"/>
      </w:r>
      <w:r>
        <w:t xml:space="preserve"> and Jehoshaphat and Nathanael and Amasai and Zechariah and Benaiah and Eliezer, the priests</w:t>
      </w:r>
      <w:r>
        <w:rPr>
          <w:rStyle w:val="FootnoteReference"/>
        </w:rPr>
        <w:footnoteReference w:id="8340"/>
      </w:r>
      <w:r>
        <w:t xml:space="preserve">, were blowing trumpets before the ark of God, and Obededom and Iia were gatekeepers of the ark of God.</w:t>
      </w:r>
    </w:p>
    <w:p>
      <w:r>
        <w:rPr>
          <w:b/>
        </w:rPr>
        <w:t xml:space="preserve">25 </w:t>
      </w:r>
      <w:r>
        <w:t xml:space="preserve">And David</w:t>
      </w:r>
      <w:r>
        <w:rPr>
          <w:rStyle w:val="FootnoteReference"/>
        </w:rPr>
        <w:footnoteReference w:id="8341"/>
      </w:r>
      <w:r>
        <w:t xml:space="preserve"> and elders of Israel and commanders of thousands were going to bring up the ark of the covenant of the Lord from the house of Obededom with gladness.</w:t>
      </w:r>
    </w:p>
    <w:p>
      <w:r>
        <w:rPr>
          <w:b/>
        </w:rPr>
        <w:t xml:space="preserve">26 </w:t>
      </w:r>
      <w:r>
        <w:t xml:space="preserve">And it came to pass, when God strengthened Levites carrying the ark of the covenant of the Lord, they sacrificed seven calves and seven rams.</w:t>
      </w:r>
    </w:p>
    <w:p>
      <w:r>
        <w:rPr>
          <w:b/>
        </w:rPr>
        <w:t xml:space="preserve">27 </w:t>
      </w:r>
      <w:r>
        <w:t xml:space="preserve">And David was girded with linen robe, and all Levites carrying the ark of the covenant of the Lord, and singers, and Chenaniah</w:t>
      </w:r>
      <w:r>
        <w:rPr>
          <w:rStyle w:val="FootnoteReference"/>
        </w:rPr>
        <w:footnoteReference w:id="8342"/>
      </w:r>
      <w:r>
        <w:t xml:space="preserve"> chief of songs of singers; and upon David was linen robe.</w:t>
      </w:r>
    </w:p>
    <w:p>
      <w:r>
        <w:rPr>
          <w:b/>
        </w:rPr>
        <w:t xml:space="preserve">28 </w:t>
      </w:r>
      <w:r>
        <w:t xml:space="preserve">And all Israel were bringing up the ark of the covenant of the Lord with signal and the sound of shophar and with trumpets and with cymbals, sounding aloud with harps and lyres.</w:t>
      </w:r>
    </w:p>
    <w:p>
      <w:r>
        <w:rPr>
          <w:b/>
        </w:rPr>
        <w:t xml:space="preserve">29 </w:t>
      </w:r>
      <w:r>
        <w:t xml:space="preserve">And it came to pass, the ark of the covenant of the Lord came as far as the City of David, and Michal</w:t>
      </w:r>
      <w:r>
        <w:rPr>
          <w:rStyle w:val="FootnoteReference"/>
        </w:rPr>
        <w:footnoteReference w:id="8343"/>
      </w:r>
      <w:r>
        <w:t xml:space="preserve"> daughter of Saul looked through window and saw King David dancing and playing, and she despised him in her soul</w:t>
      </w:r>
      <w:r>
        <w:rPr>
          <w:rStyle w:val="FootnoteReference"/>
        </w:rPr>
        <w:footnoteReference w:id="8344"/>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they brought</w:t>
      </w:r>
      <w:r>
        <w:rPr>
          <w:rStyle w:val="FootnoteReference"/>
        </w:rPr>
        <w:footnoteReference w:id="8345"/>
      </w:r>
      <w:r>
        <w:t xml:space="preserve"> in the ark of God and set it in the middle of the tent which David pitched for it, and they offered whole burnt offerings and offerings of salvation before God.</w:t>
      </w:r>
    </w:p>
    <w:p>
      <w:r>
        <w:rPr>
          <w:b/>
        </w:rPr>
        <w:t xml:space="preserve">2 </w:t>
      </w:r>
      <w:r>
        <w:t xml:space="preserve">And David finished offering whole burnt offerings and offerings of salvation and blessed people in the name of the Lord.</w:t>
      </w:r>
    </w:p>
    <w:p>
      <w:r>
        <w:rPr>
          <w:b/>
        </w:rPr>
        <w:t xml:space="preserve">3 </w:t>
      </w:r>
      <w:r>
        <w:t xml:space="preserve">And he distributed to every man of Israel, from man to woman, to each man one loaf of bread, one bakery-cake, and one raisin-cake.</w:t>
      </w:r>
    </w:p>
    <w:p>
      <w:r>
        <w:rPr>
          <w:b/>
        </w:rPr>
        <w:t xml:space="preserve">4 </w:t>
      </w:r>
      <w:r>
        <w:t xml:space="preserve">And he appointed</w:t>
      </w:r>
      <w:r>
        <w:rPr>
          <w:rStyle w:val="FootnoteReference"/>
        </w:rPr>
        <w:footnoteReference w:id="8346"/>
      </w:r>
      <w:r>
        <w:t xml:space="preserve"> before the ark of the covenant of the Lord from Levites, ministers proclaiming aloud and giving thanks and praising the Lord God of Israel:</w:t>
      </w:r>
    </w:p>
    <w:p>
      <w:r>
        <w:rPr>
          <w:b/>
        </w:rPr>
        <w:t xml:space="preserve">5 </w:t>
      </w:r>
      <w:r>
        <w:t xml:space="preserve">Asaph</w:t>
      </w:r>
      <w:r>
        <w:rPr>
          <w:rStyle w:val="FootnoteReference"/>
        </w:rPr>
        <w:footnoteReference w:id="8347"/>
      </w:r>
      <w:r>
        <w:t xml:space="preserve"> leader, and second to him</w:t>
      </w:r>
      <w:r>
        <w:rPr>
          <w:rStyle w:val="FootnoteReference"/>
        </w:rPr>
        <w:footnoteReference w:id="8348"/>
      </w:r>
      <w:r>
        <w:t xml:space="preserve"> Zechariah, Jeiel, Shemiramoth, Jehiel, Mattathias, Eliab, and Benaiah and Obededom and Jeiel with instruments, harps and lyres, and Asaph sounding aloud with cymbals,</w:t>
      </w:r>
    </w:p>
    <w:p>
      <w:r>
        <w:rPr>
          <w:b/>
        </w:rPr>
        <w:t xml:space="preserve">6 </w:t>
      </w:r>
      <w:r>
        <w:t xml:space="preserve">and Benaiah and Uzziel the priests with trumpets continually before the ark of the covenant of God</w:t>
      </w:r>
      <w:r>
        <w:rPr>
          <w:rStyle w:val="FootnoteReference"/>
        </w:rPr>
        <w:footnoteReference w:id="8349"/>
      </w:r>
      <w:r>
        <w:t xml:space="preserve">.</w:t>
      </w:r>
      <w:r>
        <w:rPr>
          <w:rStyle w:val="FootnoteReference"/>
        </w:rPr>
        <w:footnoteReference w:id="8350"/>
      </w:r>
    </w:p>
    <w:p>
      <w:r>
        <w:rPr>
          <w:b/>
        </w:rPr>
        <w:t xml:space="preserve">7 </w:t>
      </w:r>
      <w:r>
        <w:t xml:space="preserve">On that day</w:t>
      </w:r>
      <w:r>
        <w:rPr>
          <w:rStyle w:val="FootnoteReference"/>
        </w:rPr>
        <w:footnoteReference w:id="8351"/>
      </w:r>
      <w:r>
        <w:t xml:space="preserve"> then David first appointed by the hand of Asaph and his brothers to praise the Lord.</w:t>
      </w:r>
    </w:p>
    <w:p>
      <w:r>
        <w:rPr>
          <w:b/>
        </w:rPr>
        <w:t xml:space="preserve">8 </w:t>
      </w:r>
      <w:r>
        <w:t xml:space="preserve">Give thanks</w:t>
      </w:r>
      <w:r>
        <w:rPr>
          <w:rStyle w:val="FootnoteReference"/>
        </w:rPr>
        <w:footnoteReference w:id="8352"/>
      </w:r>
      <w:r>
        <w:t xml:space="preserve"> to the Lord; call upon him in his name; make known among peoples his practices.</w:t>
      </w:r>
    </w:p>
    <w:p>
      <w:r>
        <w:rPr>
          <w:b/>
        </w:rPr>
        <w:t xml:space="preserve">9 </w:t>
      </w:r>
      <w:r>
        <w:t xml:space="preserve">Sing to him and hymn to him; tell all his wonders, those things the Lord did.</w:t>
      </w:r>
    </w:p>
    <w:p>
      <w:r>
        <w:rPr>
          <w:b/>
        </w:rPr>
        <w:t xml:space="preserve">10 </w:t>
      </w:r>
      <w:r>
        <w:t xml:space="preserve">Praise in his holy name; heart seeking his good pleasure shall rejoice.</w:t>
      </w:r>
    </w:p>
    <w:p>
      <w:r>
        <w:rPr>
          <w:b/>
        </w:rPr>
        <w:t xml:space="preserve">11 </w:t>
      </w:r>
      <w:r>
        <w:t xml:space="preserve">Seek</w:t>
      </w:r>
      <w:r>
        <w:rPr>
          <w:rStyle w:val="FootnoteReference"/>
        </w:rPr>
        <w:footnoteReference w:id="8353"/>
      </w:r>
      <w:r>
        <w:t xml:space="preserve"> the Lord and grow strong; seek his face continually.</w:t>
      </w:r>
    </w:p>
    <w:p>
      <w:r>
        <w:rPr>
          <w:b/>
        </w:rPr>
        <w:t xml:space="preserve">12 </w:t>
      </w:r>
      <w:r>
        <w:t xml:space="preserve">Remember</w:t>
      </w:r>
      <w:r>
        <w:rPr>
          <w:rStyle w:val="FootnoteReference"/>
        </w:rPr>
        <w:footnoteReference w:id="8354"/>
      </w:r>
      <w:r>
        <w:t xml:space="preserve"> his wonders which he did, his marvels and judgments of his mouth,</w:t>
      </w:r>
    </w:p>
    <w:p>
      <w:r>
        <w:rPr>
          <w:b/>
        </w:rPr>
        <w:t xml:space="preserve">13 </w:t>
      </w:r>
      <w:r>
        <w:t xml:space="preserve">seed of Israel, his servants, sons of Jacob, his chosen</w:t>
      </w:r>
      <w:r>
        <w:rPr>
          <w:rStyle w:val="FootnoteReference"/>
        </w:rPr>
        <w:footnoteReference w:id="8355"/>
      </w:r>
      <w:r>
        <w:t xml:space="preserve"> ones.</w:t>
      </w:r>
    </w:p>
    <w:p>
      <w:r>
        <w:rPr>
          <w:b/>
        </w:rPr>
        <w:t xml:space="preserve">14 </w:t>
      </w:r>
      <w:r>
        <w:t xml:space="preserve">He is the Lord</w:t>
      </w:r>
      <w:r>
        <w:rPr>
          <w:rStyle w:val="FootnoteReference"/>
        </w:rPr>
        <w:footnoteReference w:id="8356"/>
      </w:r>
      <w:r>
        <w:t xml:space="preserve"> our God; in all the earth are his judgments.</w:t>
      </w:r>
    </w:p>
    <w:p>
      <w:r>
        <w:rPr>
          <w:b/>
        </w:rPr>
        <w:t xml:space="preserve">15 </w:t>
      </w:r>
      <w:r>
        <w:t xml:space="preserve">Remembering forever his covenant, his word which he commanded for thousand generations,</w:t>
      </w:r>
    </w:p>
    <w:p>
      <w:r>
        <w:rPr>
          <w:b/>
        </w:rPr>
        <w:t xml:space="preserve">16 </w:t>
      </w:r>
      <w:r>
        <w:t xml:space="preserve">which he covenanted with Abraham, and his oath to Isaac,</w:t>
      </w:r>
    </w:p>
    <w:p>
      <w:r>
        <w:rPr>
          <w:b/>
        </w:rPr>
        <w:t xml:space="preserve">17 </w:t>
      </w:r>
      <w:r>
        <w:t xml:space="preserve">and he set it for Jacob as ordinance, for Israel as everlasting covenant,</w:t>
      </w:r>
    </w:p>
    <w:p>
      <w:r>
        <w:rPr>
          <w:b/>
        </w:rPr>
        <w:t xml:space="preserve">18 </w:t>
      </w:r>
      <w:r>
        <w:t xml:space="preserve">saying, To you I will give the land of Canaan, measuring-line of your inheritance</w:t>
      </w:r>
      <w:r>
        <w:rPr>
          <w:rStyle w:val="FootnoteReference"/>
        </w:rPr>
        <w:footnoteReference w:id="8357"/>
      </w:r>
      <w:r>
        <w:t xml:space="preserve">.</w:t>
      </w:r>
    </w:p>
    <w:p>
      <w:r>
        <w:rPr>
          <w:b/>
        </w:rPr>
        <w:t xml:space="preserve">19 </w:t>
      </w:r>
      <w:r>
        <w:t xml:space="preserve">When they were few in number, as they were diminished and sojourned in it,</w:t>
      </w:r>
    </w:p>
    <w:p>
      <w:r>
        <w:rPr>
          <w:b/>
        </w:rPr>
        <w:t xml:space="preserve">20 </w:t>
      </w:r>
      <w:r>
        <w:t xml:space="preserve">and they went</w:t>
      </w:r>
      <w:r>
        <w:rPr>
          <w:rStyle w:val="FootnoteReference"/>
        </w:rPr>
        <w:footnoteReference w:id="8358"/>
      </w:r>
      <w:r>
        <w:t xml:space="preserve"> from nation to nation and from kingdom to another people,</w:t>
      </w:r>
    </w:p>
    <w:p>
      <w:r>
        <w:rPr>
          <w:b/>
        </w:rPr>
        <w:t xml:space="preserve">21 </w:t>
      </w:r>
      <w:r>
        <w:t xml:space="preserve">he did not let man oppress them, and he rebuked kings concerning them:</w:t>
      </w:r>
    </w:p>
    <w:p>
      <w:r>
        <w:rPr>
          <w:b/>
        </w:rPr>
        <w:t xml:space="preserve">22 </w:t>
      </w:r>
      <w:r>
        <w:t xml:space="preserve">Do not touch</w:t>
      </w:r>
      <w:r>
        <w:rPr>
          <w:rStyle w:val="FootnoteReference"/>
        </w:rPr>
        <w:footnoteReference w:id="8359"/>
      </w:r>
      <w:r>
        <w:t xml:space="preserve"> my anointed ones, and do not do evil among my prophets.</w:t>
      </w:r>
    </w:p>
    <w:p>
      <w:r>
        <w:rPr>
          <w:b/>
        </w:rPr>
        <w:t xml:space="preserve">23 </w:t>
      </w:r>
      <w:r>
        <w:t xml:space="preserve">Sing</w:t>
      </w:r>
      <w:r>
        <w:rPr>
          <w:rStyle w:val="FootnoteReference"/>
        </w:rPr>
        <w:footnoteReference w:id="8360"/>
      </w:r>
      <w:r>
        <w:t xml:space="preserve"> to the Lord, all the earth; announce his salvation from day to day.</w:t>
      </w:r>
    </w:p>
    <w:p>
      <w:r>
        <w:rPr>
          <w:b/>
        </w:rPr>
        <w:t xml:space="preserve">25 </w:t>
      </w:r>
      <w:r>
        <w:t xml:space="preserve">For the Lord is great and greatly praised; he is fearful above all gods.</w:t>
      </w:r>
    </w:p>
    <w:p>
      <w:r>
        <w:rPr>
          <w:b/>
        </w:rPr>
        <w:t xml:space="preserve">26 </w:t>
      </w:r>
      <w:r>
        <w:t xml:space="preserve">For all gods of nations are idols, but our God made heaven.</w:t>
      </w:r>
    </w:p>
    <w:p>
      <w:r>
        <w:rPr>
          <w:b/>
        </w:rPr>
        <w:t xml:space="preserve">27 </w:t>
      </w:r>
      <w:r>
        <w:t xml:space="preserve">Glory and praise</w:t>
      </w:r>
      <w:r>
        <w:rPr>
          <w:rStyle w:val="FootnoteReference"/>
        </w:rPr>
        <w:footnoteReference w:id="8361"/>
      </w:r>
      <w:r>
        <w:t xml:space="preserve"> are before him; strength and boasting are in his place.</w:t>
      </w:r>
      <w:r>
        <w:rPr>
          <w:rStyle w:val="FootnoteReference"/>
        </w:rPr>
        <w:footnoteReference w:id="8362"/>
      </w:r>
    </w:p>
    <w:p>
      <w:r>
        <w:rPr>
          <w:b/>
        </w:rPr>
        <w:t xml:space="preserve">28 </w:t>
      </w:r>
      <w:r>
        <w:t xml:space="preserve">Give</w:t>
      </w:r>
      <w:r>
        <w:rPr>
          <w:rStyle w:val="FootnoteReference"/>
        </w:rPr>
        <w:footnoteReference w:id="8363"/>
      </w:r>
      <w:r>
        <w:t xml:space="preserve"> to the Lord, families of nations; give to the Lord glory and strength.</w:t>
      </w:r>
    </w:p>
    <w:p>
      <w:r>
        <w:rPr>
          <w:b/>
        </w:rPr>
        <w:t xml:space="preserve">29 </w:t>
      </w:r>
      <w:r>
        <w:t xml:space="preserve">Give to the Lord glory of his name; take gifts and bring</w:t>
      </w:r>
      <w:r>
        <w:rPr>
          <w:rStyle w:val="FootnoteReference"/>
        </w:rPr>
        <w:footnoteReference w:id="8364"/>
      </w:r>
      <w:r>
        <w:t xml:space="preserve"> them before him, and worship the Lord in his holy courts.</w:t>
      </w:r>
    </w:p>
    <w:p>
      <w:r>
        <w:rPr>
          <w:b/>
        </w:rPr>
        <w:t xml:space="preserve">30 </w:t>
      </w:r>
      <w:r>
        <w:t xml:space="preserve">Let all the earth fear from before him</w:t>
      </w:r>
      <w:r>
        <w:rPr>
          <w:rStyle w:val="FootnoteReference"/>
        </w:rPr>
        <w:footnoteReference w:id="8365"/>
      </w:r>
      <w:r>
        <w:t xml:space="preserve">; let earth be set right and not be shaken.</w:t>
      </w:r>
    </w:p>
    <w:p>
      <w:r>
        <w:rPr>
          <w:b/>
        </w:rPr>
        <w:t xml:space="preserve">31 </w:t>
      </w:r>
      <w:r>
        <w:t xml:space="preserve">Let heaven rejoice and earth exult, and let them say among the nations, the Lord</w:t>
      </w:r>
      <w:r>
        <w:rPr>
          <w:rStyle w:val="FootnoteReference"/>
        </w:rPr>
        <w:footnoteReference w:id="8366"/>
      </w:r>
      <w:r>
        <w:t xml:space="preserve"> reigns.</w:t>
      </w:r>
    </w:p>
    <w:p>
      <w:r>
        <w:rPr>
          <w:b/>
        </w:rPr>
        <w:t xml:space="preserve">32 </w:t>
      </w:r>
      <w:r>
        <w:t xml:space="preserve">Sea shall thunder with its fullness, and tree of field and all things in it.</w:t>
      </w:r>
    </w:p>
    <w:p>
      <w:r>
        <w:rPr>
          <w:b/>
        </w:rPr>
        <w:t xml:space="preserve">33 </w:t>
      </w:r>
      <w:r>
        <w:t xml:space="preserve">Then trees of the forest shall rejoice from before the Lord, because he came to judge earth.</w:t>
      </w:r>
    </w:p>
    <w:p>
      <w:r>
        <w:rPr>
          <w:b/>
        </w:rPr>
        <w:t xml:space="preserve">34 </w:t>
      </w:r>
      <w:r>
        <w:t xml:space="preserve">Give thanks</w:t>
      </w:r>
      <w:r>
        <w:rPr>
          <w:rStyle w:val="FootnoteReference"/>
        </w:rPr>
        <w:footnoteReference w:id="8367"/>
      </w:r>
      <w:r>
        <w:t xml:space="preserve"> to the Lord, because he is good, because his mercy is forever.</w:t>
      </w:r>
    </w:p>
    <w:p>
      <w:r>
        <w:rPr>
          <w:b/>
        </w:rPr>
        <w:t xml:space="preserve">35 </w:t>
      </w:r>
      <w:r>
        <w:t xml:space="preserve">And say, Save us</w:t>
      </w:r>
      <w:r>
        <w:rPr>
          <w:rStyle w:val="FootnoteReference"/>
        </w:rPr>
        <w:footnoteReference w:id="8368"/>
      </w:r>
      <w:r>
        <w:t xml:space="preserve">, O God of our salvation</w:t>
      </w:r>
      <w:r>
        <w:rPr>
          <w:rStyle w:val="FootnoteReference"/>
        </w:rPr>
        <w:footnoteReference w:id="8369"/>
      </w:r>
      <w:r>
        <w:t xml:space="preserve">, and deliver us from the nations, to praise your holy name and to boast in your praises.</w:t>
      </w:r>
    </w:p>
    <w:p>
      <w:r>
        <w:rPr>
          <w:b/>
        </w:rPr>
        <w:t xml:space="preserve">36 </w:t>
      </w:r>
      <w:r>
        <w:t xml:space="preserve">Blessed is the Lord God of Israel from age and unto age.</w:t>
      </w:r>
      <w:r>
        <w:rPr>
          <w:rStyle w:val="FootnoteReference"/>
        </w:rPr>
        <w:footnoteReference w:id="8370"/>
      </w:r>
      <w:r>
        <w:t xml:space="preserve"> And all the people shall say, Amen, and they praised the Lord.</w:t>
      </w:r>
      <w:r>
        <w:rPr>
          <w:rStyle w:val="FootnoteReference"/>
        </w:rPr>
        <w:footnoteReference w:id="8371"/>
      </w:r>
    </w:p>
    <w:p>
      <w:r>
        <w:rPr>
          <w:b/>
        </w:rPr>
        <w:t xml:space="preserve">37 </w:t>
      </w:r>
      <w:r>
        <w:t xml:space="preserve">And they left there before the ark</w:t>
      </w:r>
      <w:r>
        <w:rPr>
          <w:rStyle w:val="FootnoteReference"/>
        </w:rPr>
        <w:footnoteReference w:id="8372"/>
      </w:r>
      <w:r>
        <w:t xml:space="preserve"> of the covenant of the Lord Asaph and his brothers to minister before the ark continually, each day’s matter for its day</w:t>
      </w:r>
      <w:r>
        <w:rPr>
          <w:rStyle w:val="FootnoteReference"/>
        </w:rPr>
        <w:footnoteReference w:id="8373"/>
      </w:r>
      <w:r>
        <w:t xml:space="preserve">,</w:t>
      </w:r>
    </w:p>
    <w:p>
      <w:r>
        <w:rPr>
          <w:b/>
        </w:rPr>
        <w:t xml:space="preserve">38 </w:t>
      </w:r>
      <w:r>
        <w:t xml:space="preserve">and Obededom</w:t>
      </w:r>
      <w:r>
        <w:rPr>
          <w:rStyle w:val="FootnoteReference"/>
        </w:rPr>
        <w:footnoteReference w:id="8374"/>
      </w:r>
      <w:r>
        <w:t xml:space="preserve"> and his brothers, sixty-eight, and Obededom son of Jeduthun and Ossa</w:t>
      </w:r>
      <w:r>
        <w:rPr>
          <w:rStyle w:val="FootnoteReference"/>
        </w:rPr>
        <w:footnoteReference w:id="8375"/>
      </w:r>
      <w:r>
        <w:t xml:space="preserve"> as gatekeepers,</w:t>
      </w:r>
    </w:p>
    <w:p>
      <w:r>
        <w:rPr>
          <w:b/>
        </w:rPr>
        <w:t xml:space="preserve">39 </w:t>
      </w:r>
      <w:r>
        <w:t xml:space="preserve">and Zadok</w:t>
      </w:r>
      <w:r>
        <w:rPr>
          <w:rStyle w:val="FootnoteReference"/>
        </w:rPr>
        <w:footnoteReference w:id="8376"/>
      </w:r>
      <w:r>
        <w:t xml:space="preserve"> the priest and his brothers the priests before the tent of the Lord at high place in Gibeon,</w:t>
      </w:r>
    </w:p>
    <w:p>
      <w:r>
        <w:rPr>
          <w:b/>
        </w:rPr>
        <w:t xml:space="preserve">40 </w:t>
      </w:r>
      <w:r>
        <w:t xml:space="preserve">to offer</w:t>
      </w:r>
      <w:r>
        <w:rPr>
          <w:rStyle w:val="FootnoteReference"/>
        </w:rPr>
        <w:footnoteReference w:id="8377"/>
      </w:r>
      <w:r>
        <w:t xml:space="preserve"> whole burnt offerings to the Lord on the altar of whole burnt offerings continually, morning and evening, and according to all things written in the law of the Lord</w:t>
      </w:r>
      <w:r>
        <w:rPr>
          <w:rStyle w:val="FootnoteReference"/>
        </w:rPr>
        <w:footnoteReference w:id="8378"/>
      </w:r>
      <w:r>
        <w:t xml:space="preserve">, whatever he commanded for the sons of Israel by the hand of Moses servant of God,</w:t>
      </w:r>
    </w:p>
    <w:p>
      <w:r>
        <w:rPr>
          <w:b/>
        </w:rPr>
        <w:t xml:space="preserve">41 </w:t>
      </w:r>
      <w:r>
        <w:t xml:space="preserve">and with him Heman</w:t>
      </w:r>
      <w:r>
        <w:rPr>
          <w:rStyle w:val="FootnoteReference"/>
        </w:rPr>
        <w:footnoteReference w:id="8379"/>
      </w:r>
      <w:r>
        <w:t xml:space="preserve"> and Jeduthun and rest of chosen ones named by name to praise the Lord, because his mercy is forever,</w:t>
      </w:r>
    </w:p>
    <w:p>
      <w:r>
        <w:rPr>
          <w:b/>
        </w:rPr>
        <w:t xml:space="preserve">42 </w:t>
      </w:r>
      <w:r>
        <w:t xml:space="preserve">and with them trumpets</w:t>
      </w:r>
      <w:r>
        <w:rPr>
          <w:rStyle w:val="FootnoteReference"/>
        </w:rPr>
        <w:footnoteReference w:id="8380"/>
      </w:r>
      <w:r>
        <w:t xml:space="preserve"> and cymbals for sounding aloud, and instruments of songs of God; sons of Jeduthun were at gate.</w:t>
      </w:r>
    </w:p>
    <w:p>
      <w:r>
        <w:rPr>
          <w:b/>
        </w:rPr>
        <w:t xml:space="preserve">43 </w:t>
      </w:r>
      <w:r>
        <w:t xml:space="preserve">And all the people</w:t>
      </w:r>
      <w:r>
        <w:rPr>
          <w:rStyle w:val="FootnoteReference"/>
        </w:rPr>
        <w:footnoteReference w:id="8381"/>
      </w:r>
      <w:r>
        <w:t xml:space="preserve"> went each to his house, and David returned to bless his house.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it came to pass, as David</w:t>
      </w:r>
      <w:r>
        <w:rPr>
          <w:rStyle w:val="FootnoteReference"/>
        </w:rPr>
        <w:footnoteReference w:id="8382"/>
      </w:r>
      <w:r>
        <w:t xml:space="preserve"> settled in his house, David said to Nathan prophet, Behold, I dwell in cedar house, but the ark of the covenant of the Lord is under curtains.</w:t>
      </w:r>
    </w:p>
    <w:p>
      <w:r>
        <w:rPr>
          <w:b/>
        </w:rPr>
        <w:t xml:space="preserve">2 </w:t>
      </w:r>
      <w:r>
        <w:t xml:space="preserve">And Nathan said to David, Do all</w:t>
      </w:r>
      <w:r>
        <w:rPr>
          <w:rStyle w:val="FootnoteReference"/>
        </w:rPr>
        <w:footnoteReference w:id="8383"/>
      </w:r>
      <w:r>
        <w:t xml:space="preserve"> that is in your soul, because God is with you.</w:t>
      </w:r>
    </w:p>
    <w:p>
      <w:r>
        <w:rPr>
          <w:b/>
        </w:rPr>
        <w:t xml:space="preserve">3 </w:t>
      </w:r>
      <w:r>
        <w:t xml:space="preserve">And it came to pass in that night, the word of the Lord came to Nathan, saying,</w:t>
      </w:r>
    </w:p>
    <w:p>
      <w:r>
        <w:rPr>
          <w:b/>
        </w:rPr>
        <w:t xml:space="preserve">4 </w:t>
      </w:r>
      <w:r>
        <w:t xml:space="preserve">Go and speak to David my servant, Thus says the Lord, You shall not build me house for me to dwell in it.</w:t>
      </w:r>
    </w:p>
    <w:p>
      <w:r>
        <w:rPr>
          <w:b/>
        </w:rPr>
        <w:t xml:space="preserve">5 </w:t>
      </w:r>
      <w:r>
        <w:t xml:space="preserve">Because I have not dwelt</w:t>
      </w:r>
      <w:r>
        <w:rPr>
          <w:rStyle w:val="FootnoteReference"/>
        </w:rPr>
        <w:footnoteReference w:id="8384"/>
      </w:r>
      <w:r>
        <w:t xml:space="preserve"> in a house from the day when I brought up Israel until this day, but I have been in tent and in dwelling-place.</w:t>
      </w:r>
    </w:p>
    <w:p>
      <w:r>
        <w:rPr>
          <w:b/>
        </w:rPr>
        <w:t xml:space="preserve">6 </w:t>
      </w:r>
      <w:r>
        <w:t xml:space="preserve">In all places where I went through among all Israel, did I ever speak to one tribe of Israel, to shepherd my people, saying, Why have you not built me cedar house?</w:t>
      </w:r>
    </w:p>
    <w:p>
      <w:r>
        <w:rPr>
          <w:b/>
        </w:rPr>
        <w:t xml:space="preserve">7 </w:t>
      </w:r>
      <w:r>
        <w:t xml:space="preserve">And now thus you shall say to my servant David, Thus says the Lord Almighty, I took you from the fold, from behind the sheep</w:t>
      </w:r>
      <w:r>
        <w:rPr>
          <w:rStyle w:val="FootnoteReference"/>
        </w:rPr>
        <w:footnoteReference w:id="8385"/>
      </w:r>
      <w:r>
        <w:t xml:space="preserve">, to be ruler</w:t>
      </w:r>
      <w:r>
        <w:rPr>
          <w:rStyle w:val="FootnoteReference"/>
        </w:rPr>
        <w:footnoteReference w:id="8386"/>
      </w:r>
      <w:r>
        <w:t xml:space="preserve"> over my people Israel.</w:t>
      </w:r>
    </w:p>
    <w:p>
      <w:r>
        <w:rPr>
          <w:b/>
        </w:rPr>
        <w:t xml:space="preserve">8 </w:t>
      </w:r>
      <w:r>
        <w:t xml:space="preserve">And I was with you in all places where you went, and I destroyed all your enemies from before you, and I made for you name like the name of great ones on earth.</w:t>
      </w:r>
    </w:p>
    <w:p>
      <w:r>
        <w:rPr>
          <w:b/>
        </w:rPr>
        <w:t xml:space="preserve">9 </w:t>
      </w:r>
      <w:r>
        <w:t xml:space="preserve">And I will appoint place for my people Israel and plant</w:t>
      </w:r>
      <w:r>
        <w:rPr>
          <w:rStyle w:val="FootnoteReference"/>
        </w:rPr>
        <w:footnoteReference w:id="8387"/>
      </w:r>
      <w:r>
        <w:t xml:space="preserve"> him, and he shall dwell by himself and not be anxious anymore</w:t>
      </w:r>
      <w:r>
        <w:rPr>
          <w:rStyle w:val="FootnoteReference"/>
        </w:rPr>
        <w:footnoteReference w:id="8388"/>
      </w:r>
      <w:r>
        <w:t xml:space="preserve">, and unrighteousness shall not again afflict him as from the beginning,</w:t>
      </w:r>
    </w:p>
    <w:p>
      <w:r>
        <w:rPr>
          <w:b/>
        </w:rPr>
        <w:t xml:space="preserve">10 </w:t>
      </w:r>
      <w:r>
        <w:t xml:space="preserve">and from days when I appointed judges over my people Israel. And I humbled all your enemies, and I will increase you, and the Lord</w:t>
      </w:r>
      <w:r>
        <w:rPr>
          <w:rStyle w:val="FootnoteReference"/>
        </w:rPr>
        <w:footnoteReference w:id="8389"/>
      </w:r>
      <w:r>
        <w:t xml:space="preserve"> will build a house for you.</w:t>
      </w:r>
    </w:p>
    <w:p>
      <w:r>
        <w:rPr>
          <w:b/>
        </w:rPr>
        <w:t xml:space="preserve">11 </w:t>
      </w:r>
      <w:r>
        <w:t xml:space="preserve">And it shall be, when your days are fulfilled and you sleep with your fathers, I will raise</w:t>
      </w:r>
      <w:r>
        <w:rPr>
          <w:rStyle w:val="FootnoteReference"/>
        </w:rPr>
        <w:footnoteReference w:id="8390"/>
      </w:r>
      <w:r>
        <w:t xml:space="preserve"> up your seed after you, who shall be from your belly, and I will prepare his kingdom.</w:t>
      </w:r>
    </w:p>
    <w:p>
      <w:r>
        <w:rPr>
          <w:b/>
        </w:rPr>
        <w:t xml:space="preserve">12 </w:t>
      </w:r>
      <w:r>
        <w:t xml:space="preserve">He shall</w:t>
      </w:r>
      <w:r>
        <w:rPr>
          <w:rStyle w:val="FootnoteReference"/>
        </w:rPr>
        <w:footnoteReference w:id="8391"/>
      </w:r>
      <w:r>
        <w:t xml:space="preserve"> build me house, and I will set upright his throne forever.</w:t>
      </w:r>
    </w:p>
    <w:p>
      <w:r>
        <w:rPr>
          <w:b/>
        </w:rPr>
        <w:t xml:space="preserve">13 </w:t>
      </w:r>
      <w:r>
        <w:t xml:space="preserve">I will be</w:t>
      </w:r>
      <w:r>
        <w:rPr>
          <w:rStyle w:val="FootnoteReference"/>
        </w:rPr>
        <w:footnoteReference w:id="8392"/>
      </w:r>
      <w:r>
        <w:t xml:space="preserve"> to him for father, and he shall be to me for son, and I will not remove my mercy from him, as I removed it from those before you.</w:t>
      </w:r>
    </w:p>
    <w:p>
      <w:r>
        <w:rPr>
          <w:b/>
        </w:rPr>
        <w:t xml:space="preserve">14 </w:t>
      </w:r>
      <w:r>
        <w:t xml:space="preserve">And I will make him faithful in my house and in his kingdom forever, and his throne shall stand upright forever.</w:t>
      </w:r>
    </w:p>
    <w:p>
      <w:r>
        <w:rPr>
          <w:b/>
        </w:rPr>
        <w:t xml:space="preserve">15 </w:t>
      </w:r>
      <w:r>
        <w:t xml:space="preserve">According to all these words and according to all this vision, so Nathan spoke to David.</w:t>
      </w:r>
    </w:p>
    <w:p>
      <w:r>
        <w:rPr>
          <w:b/>
        </w:rPr>
        <w:t xml:space="preserve">16 </w:t>
      </w:r>
      <w:r>
        <w:t xml:space="preserve">And King David came and sat before</w:t>
      </w:r>
      <w:r>
        <w:rPr>
          <w:rStyle w:val="FootnoteReference"/>
        </w:rPr>
        <w:footnoteReference w:id="8393"/>
      </w:r>
      <w:r>
        <w:t xml:space="preserve"> the Lord and said, Who am I, the Lord God, and what is my house, that you loved me unto forever?</w:t>
      </w:r>
    </w:p>
    <w:p>
      <w:r>
        <w:rPr>
          <w:b/>
        </w:rPr>
        <w:t xml:space="preserve">17 </w:t>
      </w:r>
      <w:r>
        <w:t xml:space="preserve">And these things were made small before you, O God, and you spoke concerning the house of your servant for long distance, and you looked upon me as vision of man</w:t>
      </w:r>
      <w:r>
        <w:rPr>
          <w:rStyle w:val="FootnoteReference"/>
        </w:rPr>
        <w:footnoteReference w:id="8394"/>
      </w:r>
      <w:r>
        <w:t xml:space="preserve">, and you exalted me, Lord God.</w:t>
      </w:r>
    </w:p>
    <w:p>
      <w:r>
        <w:rPr>
          <w:b/>
        </w:rPr>
        <w:t xml:space="preserve">18 </w:t>
      </w:r>
      <w:r>
        <w:t xml:space="preserve">What more shall David add to you to glorify? And you know your servant.</w:t>
      </w:r>
    </w:p>
    <w:p>
      <w:r>
        <w:rPr>
          <w:b/>
        </w:rPr>
        <w:t xml:space="preserve">19 </w:t>
      </w:r>
      <w:r>
        <w:t xml:space="preserve">And according to your heart you did all this greatness.</w:t>
      </w:r>
    </w:p>
    <w:p>
      <w:r>
        <w:rPr>
          <w:b/>
        </w:rPr>
        <w:t xml:space="preserve">20 </w:t>
      </w:r>
      <w:r>
        <w:t xml:space="preserve">Lord, there is none</w:t>
      </w:r>
      <w:r>
        <w:rPr>
          <w:rStyle w:val="FootnoteReference"/>
        </w:rPr>
        <w:footnoteReference w:id="8395"/>
      </w:r>
      <w:r>
        <w:t xml:space="preserve"> like you, and there is none besides you, according to all things we heard with our ears.</w:t>
      </w:r>
    </w:p>
    <w:p>
      <w:r>
        <w:rPr>
          <w:b/>
        </w:rPr>
        <w:t xml:space="preserve">21 </w:t>
      </w:r>
      <w:r>
        <w:t xml:space="preserve">And there is no nation on earth like your people Israel, whom God led to redeem</w:t>
      </w:r>
      <w:r>
        <w:rPr>
          <w:rStyle w:val="FootnoteReference"/>
        </w:rPr>
        <w:footnoteReference w:id="8396"/>
      </w:r>
      <w:r>
        <w:t xml:space="preserve"> for himself as people, to make for himself great and manifest name</w:t>
      </w:r>
      <w:r>
        <w:rPr>
          <w:rStyle w:val="FootnoteReference"/>
        </w:rPr>
        <w:footnoteReference w:id="8397"/>
      </w:r>
      <w:r>
        <w:t xml:space="preserve">, to drive out nations from before your people, whom you redeemed from Egypt.</w:t>
      </w:r>
    </w:p>
    <w:p>
      <w:r>
        <w:rPr>
          <w:b/>
        </w:rPr>
        <w:t xml:space="preserve">22 </w:t>
      </w:r>
      <w:r>
        <w:t xml:space="preserve">And you gave your people Israel to yourself as people forever, and you, Lord, became God to them.</w:t>
      </w:r>
    </w:p>
    <w:p>
      <w:r>
        <w:rPr>
          <w:b/>
        </w:rPr>
        <w:t xml:space="preserve">23 </w:t>
      </w:r>
      <w:r>
        <w:t xml:space="preserve">And now, Lord, let your word which you spoke concerning your servant and concerning his house be made faithful forever.</w:t>
      </w:r>
    </w:p>
    <w:p>
      <w:r>
        <w:rPr>
          <w:b/>
        </w:rPr>
        <w:t xml:space="preserve">24 </w:t>
      </w:r>
      <w:r>
        <w:t xml:space="preserve">Let them say</w:t>
      </w:r>
      <w:r>
        <w:rPr>
          <w:rStyle w:val="FootnoteReference"/>
        </w:rPr>
        <w:footnoteReference w:id="8398"/>
      </w:r>
      <w:r>
        <w:t xml:space="preserve">, O Lord, Lord Almighty, God of Israel, and let</w:t>
      </w:r>
      <w:r>
        <w:rPr>
          <w:rStyle w:val="FootnoteReference"/>
        </w:rPr>
        <w:footnoteReference w:id="8399"/>
      </w:r>
      <w:r>
        <w:t xml:space="preserve"> the house of David your servant be established before you.</w:t>
      </w:r>
    </w:p>
    <w:p>
      <w:r>
        <w:rPr>
          <w:b/>
        </w:rPr>
        <w:t xml:space="preserve">25 </w:t>
      </w:r>
      <w:r>
        <w:t xml:space="preserve">Because you, Lord, opened ear of your servant to build him house. Therefore your servant found</w:t>
      </w:r>
      <w:r>
        <w:rPr>
          <w:rStyle w:val="FootnoteReference"/>
        </w:rPr>
        <w:footnoteReference w:id="8400"/>
      </w:r>
      <w:r>
        <w:t xml:space="preserve"> courage to pray before you.</w:t>
      </w:r>
    </w:p>
    <w:p>
      <w:r>
        <w:rPr>
          <w:b/>
        </w:rPr>
        <w:t xml:space="preserve">26 </w:t>
      </w:r>
      <w:r>
        <w:t xml:space="preserve">And now, Lord, you are that God, and you spoke these good things concerning your servant.</w:t>
      </w:r>
    </w:p>
    <w:p>
      <w:r>
        <w:rPr>
          <w:b/>
        </w:rPr>
        <w:t xml:space="preserve">27 </w:t>
      </w:r>
      <w:r>
        <w:t xml:space="preserve">And now you began to bless the house of your servant, that it may be forever before you, because you, Lord, blessed; bless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it came to pass after these things, David struck Philistines and routed them, and he took Gath</w:t>
      </w:r>
      <w:r>
        <w:rPr>
          <w:rStyle w:val="FootnoteReference"/>
        </w:rPr>
        <w:footnoteReference w:id="8401"/>
      </w:r>
      <w:r>
        <w:t xml:space="preserve"> and its villages from the hand of Philistines.</w:t>
      </w:r>
    </w:p>
    <w:p>
      <w:r>
        <w:rPr>
          <w:b/>
        </w:rPr>
        <w:t xml:space="preserve">2 </w:t>
      </w:r>
      <w:r>
        <w:t xml:space="preserve">And he struck Moab, and Moab became servants to David, bringing gifts.</w:t>
      </w:r>
    </w:p>
    <w:p>
      <w:r>
        <w:rPr>
          <w:b/>
        </w:rPr>
        <w:t xml:space="preserve">3 </w:t>
      </w:r>
      <w:r>
        <w:t xml:space="preserve">And David struck Hadarezer</w:t>
      </w:r>
      <w:r>
        <w:rPr>
          <w:rStyle w:val="FootnoteReference"/>
        </w:rPr>
        <w:footnoteReference w:id="8402"/>
      </w:r>
      <w:r>
        <w:t xml:space="preserve"> king of Zobah-Hamath</w:t>
      </w:r>
      <w:r>
        <w:rPr>
          <w:rStyle w:val="FootnoteReference"/>
        </w:rPr>
        <w:footnoteReference w:id="8403"/>
      </w:r>
      <w:r>
        <w:t xml:space="preserve">, as he was going to set his hand upon the river Euphrates.</w:t>
      </w:r>
      <w:r>
        <w:rPr>
          <w:rStyle w:val="FootnoteReference"/>
        </w:rPr>
        <w:footnoteReference w:id="8404"/>
      </w:r>
    </w:p>
    <w:p>
      <w:r>
        <w:rPr>
          <w:b/>
        </w:rPr>
        <w:t xml:space="preserve">4 </w:t>
      </w:r>
      <w:r>
        <w:t xml:space="preserve">And David captured from them one thousand chariots and seven thousand</w:t>
      </w:r>
      <w:r>
        <w:rPr>
          <w:rStyle w:val="FootnoteReference"/>
        </w:rPr>
        <w:footnoteReference w:id="8405"/>
      </w:r>
      <w:r>
        <w:t xml:space="preserve"> horsemen and twenty thousand footmen, and David hamstrung all chariots, but left of them one hundred chariots.</w:t>
      </w:r>
    </w:p>
    <w:p>
      <w:r>
        <w:rPr>
          <w:b/>
        </w:rPr>
        <w:t xml:space="preserve">5 </w:t>
      </w:r>
      <w:r>
        <w:t xml:space="preserve">And Syrian from Damascus came to help</w:t>
      </w:r>
      <w:r>
        <w:rPr>
          <w:rStyle w:val="FootnoteReference"/>
        </w:rPr>
        <w:footnoteReference w:id="8406"/>
      </w:r>
      <w:r>
        <w:t xml:space="preserve"> Hadarezer king of Zobah, and David struck among Syrians twenty-two thousand men.</w:t>
      </w:r>
    </w:p>
    <w:p>
      <w:r>
        <w:rPr>
          <w:b/>
        </w:rPr>
        <w:t xml:space="preserve">6 </w:t>
      </w:r>
      <w:r>
        <w:t xml:space="preserve">And David put garrison in Syria by Damascus, and they became servants to David, bringing gifts, and the Lord kept saving David in all places he went.</w:t>
      </w:r>
    </w:p>
    <w:p>
      <w:r>
        <w:rPr>
          <w:b/>
        </w:rPr>
        <w:t xml:space="preserve">7 </w:t>
      </w:r>
      <w:r>
        <w:t xml:space="preserve">And David took golden armlets which were on the servants of Hadarezer and brought them to Jerusalem.</w:t>
      </w:r>
    </w:p>
    <w:p>
      <w:r>
        <w:rPr>
          <w:b/>
        </w:rPr>
        <w:t xml:space="preserve">8 </w:t>
      </w:r>
      <w:r>
        <w:t xml:space="preserve">And from Tibhath</w:t>
      </w:r>
      <w:r>
        <w:rPr>
          <w:rStyle w:val="FootnoteReference"/>
        </w:rPr>
        <w:footnoteReference w:id="8407"/>
      </w:r>
      <w:r>
        <w:t xml:space="preserve"> and from chosen cities of Hadarezer, David took very much bronze. From it Solomon made bronze sea and pillars and bronze vessels.</w:t>
      </w:r>
      <w:r>
        <w:rPr>
          <w:rStyle w:val="FootnoteReference"/>
        </w:rPr>
        <w:footnoteReference w:id="8408"/>
      </w:r>
    </w:p>
    <w:p>
      <w:r>
        <w:rPr>
          <w:b/>
        </w:rPr>
        <w:t xml:space="preserve">9 </w:t>
      </w:r>
      <w:r>
        <w:t xml:space="preserve">And Tou</w:t>
      </w:r>
      <w:r>
        <w:rPr>
          <w:rStyle w:val="FootnoteReference"/>
        </w:rPr>
        <w:footnoteReference w:id="8409"/>
      </w:r>
      <w:r>
        <w:t xml:space="preserve"> king of Hamath heard that David struck all force of Hadarezer king of Zobah.</w:t>
      </w:r>
    </w:p>
    <w:p>
      <w:r>
        <w:rPr>
          <w:b/>
        </w:rPr>
        <w:t xml:space="preserve">10 </w:t>
      </w:r>
      <w:r>
        <w:t xml:space="preserve">And he sent Hadoram</w:t>
      </w:r>
      <w:r>
        <w:rPr>
          <w:rStyle w:val="FootnoteReference"/>
        </w:rPr>
        <w:footnoteReference w:id="8410"/>
      </w:r>
      <w:r>
        <w:t xml:space="preserve"> his son to King David to ask about peace</w:t>
      </w:r>
      <w:r>
        <w:rPr>
          <w:rStyle w:val="FootnoteReference"/>
        </w:rPr>
        <w:footnoteReference w:id="8411"/>
      </w:r>
      <w:r>
        <w:t xml:space="preserve"> and to bless him because he fought Hadarezer and struck him, because Hadarezer was a man of war against Tou, with every silver and gold vessel.</w:t>
      </w:r>
    </w:p>
    <w:p>
      <w:r>
        <w:rPr>
          <w:b/>
        </w:rPr>
        <w:t xml:space="preserve">11 </w:t>
      </w:r>
      <w:r>
        <w:t xml:space="preserve">These also King David consecrated to the Lord</w:t>
      </w:r>
      <w:r>
        <w:rPr>
          <w:rStyle w:val="FootnoteReference"/>
        </w:rPr>
        <w:footnoteReference w:id="8412"/>
      </w:r>
      <w:r>
        <w:t xml:space="preserve">, with silver and gold which he took from all nations, from Edom and Moab and sons of Ammon and Philistines and Amalek</w:t>
      </w:r>
      <w:r>
        <w:rPr>
          <w:rStyle w:val="FootnoteReference"/>
        </w:rPr>
        <w:footnoteReference w:id="8413"/>
      </w:r>
      <w:r>
        <w:t xml:space="preserve">.</w:t>
      </w:r>
    </w:p>
    <w:p>
      <w:r>
        <w:rPr>
          <w:b/>
        </w:rPr>
        <w:t xml:space="preserve">12 </w:t>
      </w:r>
      <w:r>
        <w:t xml:space="preserve">And Abishai</w:t>
      </w:r>
      <w:r>
        <w:rPr>
          <w:rStyle w:val="FootnoteReference"/>
        </w:rPr>
        <w:footnoteReference w:id="8414"/>
      </w:r>
      <w:r>
        <w:t xml:space="preserve"> son of Zeruiah struck Edom in the valley of salt pits, eighteen thousand.</w:t>
      </w:r>
    </w:p>
    <w:p>
      <w:r>
        <w:rPr>
          <w:b/>
        </w:rPr>
        <w:t xml:space="preserve">13 </w:t>
      </w:r>
      <w:r>
        <w:t xml:space="preserve">And he put garrisons</w:t>
      </w:r>
      <w:r>
        <w:rPr>
          <w:rStyle w:val="FootnoteReference"/>
        </w:rPr>
        <w:footnoteReference w:id="8415"/>
      </w:r>
      <w:r>
        <w:t xml:space="preserve"> in valley, and all Edomites became David's servants, and the Lord kept saving David in all places he went.</w:t>
      </w:r>
    </w:p>
    <w:p>
      <w:r>
        <w:rPr>
          <w:b/>
        </w:rPr>
        <w:t xml:space="preserve">14 </w:t>
      </w:r>
      <w:r>
        <w:t xml:space="preserve">And David</w:t>
      </w:r>
      <w:r>
        <w:rPr>
          <w:rStyle w:val="FootnoteReference"/>
        </w:rPr>
        <w:footnoteReference w:id="8416"/>
      </w:r>
      <w:r>
        <w:t xml:space="preserve"> reigned over all Israel, and he was doing judgment and righteousness for all his people.</w:t>
      </w:r>
    </w:p>
    <w:p>
      <w:r>
        <w:rPr>
          <w:b/>
        </w:rPr>
        <w:t xml:space="preserve">15 </w:t>
      </w:r>
      <w:r>
        <w:t xml:space="preserve">And Joab</w:t>
      </w:r>
      <w:r>
        <w:rPr>
          <w:rStyle w:val="FootnoteReference"/>
        </w:rPr>
        <w:footnoteReference w:id="8417"/>
      </w:r>
      <w:r>
        <w:t xml:space="preserve"> son of Zeruiah was over army, and Jehoshaphat son of Ahilud was recorder,</w:t>
      </w:r>
    </w:p>
    <w:p>
      <w:r>
        <w:rPr>
          <w:b/>
        </w:rPr>
        <w:t xml:space="preserve">16 </w:t>
      </w:r>
      <w:r>
        <w:t xml:space="preserve">and Zadok son of Ahitub and Ahimelech son of Abiathar</w:t>
      </w:r>
      <w:r>
        <w:rPr>
          <w:rStyle w:val="FootnoteReference"/>
        </w:rPr>
        <w:footnoteReference w:id="8418"/>
      </w:r>
      <w:r>
        <w:t xml:space="preserve"> were priests, and Shavsha</w:t>
      </w:r>
      <w:r>
        <w:rPr>
          <w:rStyle w:val="FootnoteReference"/>
        </w:rPr>
        <w:footnoteReference w:id="8419"/>
      </w:r>
      <w:r>
        <w:t xml:space="preserve"> was scribe,</w:t>
      </w:r>
    </w:p>
    <w:p>
      <w:r>
        <w:rPr>
          <w:b/>
        </w:rPr>
        <w:t xml:space="preserve">17 </w:t>
      </w:r>
      <w:r>
        <w:t xml:space="preserve">and Benaiah</w:t>
      </w:r>
      <w:r>
        <w:rPr>
          <w:rStyle w:val="FootnoteReference"/>
        </w:rPr>
        <w:footnoteReference w:id="8420"/>
      </w:r>
      <w:r>
        <w:t xml:space="preserve"> son of Jehoiada was over Cherethites and Pelethites, and sons of David were first successors of the king.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it came to pass after these things, Nahash</w:t>
      </w:r>
      <w:r>
        <w:rPr>
          <w:rStyle w:val="FootnoteReference"/>
        </w:rPr>
        <w:footnoteReference w:id="8421"/>
      </w:r>
      <w:r>
        <w:t xml:space="preserve"> king of sons of Ammon died, and Anan his son reigned in his place.</w:t>
      </w:r>
    </w:p>
    <w:p>
      <w:r>
        <w:rPr>
          <w:b/>
        </w:rPr>
        <w:t xml:space="preserve">2 </w:t>
      </w:r>
      <w:r>
        <w:t xml:space="preserve">And David said, I will do mercy with Anan son of Nahash, as his father did mercy with me. And David sent messengers to comfort him concerning his father. And the servants of David came into the land of sons of Ammon to comfort him.</w:t>
      </w:r>
    </w:p>
    <w:p>
      <w:r>
        <w:rPr>
          <w:b/>
        </w:rPr>
        <w:t xml:space="preserve">3 </w:t>
      </w:r>
      <w:r>
        <w:t xml:space="preserve">And the rulers of Ammon said to Anan, Does David honor your father before you</w:t>
      </w:r>
      <w:r>
        <w:rPr>
          <w:rStyle w:val="FootnoteReference"/>
        </w:rPr>
        <w:footnoteReference w:id="8422"/>
      </w:r>
      <w:r>
        <w:t xml:space="preserve"> because he sent comforters to you? Did not his servants come to you to search</w:t>
      </w:r>
      <w:r>
        <w:rPr>
          <w:rStyle w:val="FootnoteReference"/>
        </w:rPr>
        <w:footnoteReference w:id="8423"/>
      </w:r>
      <w:r>
        <w:t xml:space="preserve"> city and spy out land?</w:t>
      </w:r>
    </w:p>
    <w:p>
      <w:r>
        <w:rPr>
          <w:b/>
        </w:rPr>
        <w:t xml:space="preserve">4 </w:t>
      </w:r>
      <w:r>
        <w:t xml:space="preserve">And Anan took servants of David and shaved them</w:t>
      </w:r>
      <w:r>
        <w:rPr>
          <w:rStyle w:val="FootnoteReference"/>
        </w:rPr>
        <w:footnoteReference w:id="8424"/>
      </w:r>
      <w:r>
        <w:t xml:space="preserve"> and cut away half their cloaks as far as garment and sent them away.</w:t>
      </w:r>
    </w:p>
    <w:p>
      <w:r>
        <w:rPr>
          <w:b/>
        </w:rPr>
        <w:t xml:space="preserve">5 </w:t>
      </w:r>
      <w:r>
        <w:t xml:space="preserve">And men came to report to David concerning men, and he sent to meet them, because men had been greatly dishonored. And the king said, Sit in Jericho until your beards</w:t>
      </w:r>
      <w:r>
        <w:rPr>
          <w:rStyle w:val="FootnoteReference"/>
        </w:rPr>
        <w:footnoteReference w:id="8425"/>
      </w:r>
      <w:r>
        <w:t xml:space="preserve"> grow, and then return.</w:t>
      </w:r>
    </w:p>
    <w:p>
      <w:r>
        <w:rPr>
          <w:b/>
        </w:rPr>
        <w:t xml:space="preserve">6 </w:t>
      </w:r>
      <w:r>
        <w:t xml:space="preserve">And sons of Ammon saw that people of David had been shamed, and Anan and sons of Ammon sent one thousand talents of silver to hire for themselves chariots and horsemen from Syria of Mesopotamia and from Syria of Maachah and from Zobah</w:t>
      </w:r>
      <w:r>
        <w:rPr>
          <w:rStyle w:val="FootnoteReference"/>
        </w:rPr>
        <w:footnoteReference w:id="8426"/>
      </w:r>
      <w:r>
        <w:t xml:space="preserve">.</w:t>
      </w:r>
      <w:r>
        <w:rPr>
          <w:rStyle w:val="FootnoteReference"/>
        </w:rPr>
        <w:footnoteReference w:id="8427"/>
      </w:r>
      <w:r>
        <w:rPr>
          <w:rStyle w:val="FootnoteReference"/>
        </w:rPr>
        <w:footnoteReference w:id="8428"/>
      </w:r>
    </w:p>
    <w:p>
      <w:r>
        <w:rPr>
          <w:b/>
        </w:rPr>
        <w:t xml:space="preserve">7 </w:t>
      </w:r>
      <w:r>
        <w:t xml:space="preserve">And they hired for themselves</w:t>
      </w:r>
      <w:r>
        <w:rPr>
          <w:rStyle w:val="FootnoteReference"/>
        </w:rPr>
        <w:footnoteReference w:id="8429"/>
      </w:r>
      <w:r>
        <w:t xml:space="preserve"> thirty-two thousand chariots and the king of Maachah and his people, and they came and camped opposite Medeba. And sons of Ammon gathered from their cities and came to battle.</w:t>
      </w:r>
      <w:r>
        <w:rPr>
          <w:rStyle w:val="FootnoteReference"/>
        </w:rPr>
        <w:footnoteReference w:id="8430"/>
      </w:r>
    </w:p>
    <w:p>
      <w:r>
        <w:rPr>
          <w:b/>
        </w:rPr>
        <w:t xml:space="preserve">8 </w:t>
      </w:r>
      <w:r>
        <w:t xml:space="preserve">And David heard and sent Joab</w:t>
      </w:r>
      <w:r>
        <w:rPr>
          <w:rStyle w:val="FootnoteReference"/>
        </w:rPr>
        <w:footnoteReference w:id="8431"/>
      </w:r>
      <w:r>
        <w:t xml:space="preserve"> and all army of mighty men.</w:t>
      </w:r>
    </w:p>
    <w:p>
      <w:r>
        <w:rPr>
          <w:b/>
        </w:rPr>
        <w:t xml:space="preserve">9 </w:t>
      </w:r>
      <w:r>
        <w:t xml:space="preserve">And sons of Ammon came out and drew up for battle by the gate of the city, and kings who came camped by themselves in the plain.</w:t>
      </w:r>
    </w:p>
    <w:p>
      <w:r>
        <w:rPr>
          <w:b/>
        </w:rPr>
        <w:t xml:space="preserve">10 </w:t>
      </w:r>
      <w:r>
        <w:t xml:space="preserve">And Joab saw that front of battle had come against him before and behind, and he chose from every young man of Israel, and they drew up against Syrians.</w:t>
      </w:r>
    </w:p>
    <w:p>
      <w:r>
        <w:rPr>
          <w:b/>
        </w:rPr>
        <w:t xml:space="preserve">11 </w:t>
      </w:r>
      <w:r>
        <w:t xml:space="preserve">And the rest of the people he gave into the hand of Abishai</w:t>
      </w:r>
      <w:r>
        <w:rPr>
          <w:rStyle w:val="FootnoteReference"/>
        </w:rPr>
        <w:footnoteReference w:id="8432"/>
      </w:r>
      <w:r>
        <w:t xml:space="preserve"> his brother, and they drew up opposite sons of Ammon.</w:t>
      </w:r>
    </w:p>
    <w:p>
      <w:r>
        <w:rPr>
          <w:b/>
        </w:rPr>
        <w:t xml:space="preserve">12 </w:t>
      </w:r>
      <w:r>
        <w:t xml:space="preserve">And he said, If Syrians prevail over me, you shall be for salvation to me, and if sons of Ammon prevail over you, I will save you.</w:t>
      </w:r>
    </w:p>
    <w:p>
      <w:r>
        <w:rPr>
          <w:b/>
        </w:rPr>
        <w:t xml:space="preserve">13 </w:t>
      </w:r>
      <w:r>
        <w:t xml:space="preserve">Act like a man, and let us strengthen ourselves for our people and for the cities of our God, and the Lord will do what is good in his eyes.</w:t>
      </w:r>
    </w:p>
    <w:p>
      <w:r>
        <w:rPr>
          <w:b/>
        </w:rPr>
        <w:t xml:space="preserve">14 </w:t>
      </w:r>
      <w:r>
        <w:t xml:space="preserve">And Joab drew up, and people with him, opposite Syrians for battle, and they fled</w:t>
      </w:r>
      <w:r>
        <w:rPr>
          <w:rStyle w:val="FootnoteReference"/>
        </w:rPr>
        <w:footnoteReference w:id="8433"/>
      </w:r>
      <w:r>
        <w:t xml:space="preserve"> from him.</w:t>
      </w:r>
    </w:p>
    <w:p>
      <w:r>
        <w:rPr>
          <w:b/>
        </w:rPr>
        <w:t xml:space="preserve">15 </w:t>
      </w:r>
      <w:r>
        <w:t xml:space="preserve">And sons of Ammon saw that Syrians fled, and they too fled from before Joab and from before Abishai his brother and came into the city. And Joab came to Jerusalem.</w:t>
      </w:r>
    </w:p>
    <w:p>
      <w:r>
        <w:rPr>
          <w:b/>
        </w:rPr>
        <w:t xml:space="preserve">16 </w:t>
      </w:r>
      <w:r>
        <w:t xml:space="preserve">And Syria saw that Israel routed him</w:t>
      </w:r>
      <w:r>
        <w:rPr>
          <w:rStyle w:val="FootnoteReference"/>
        </w:rPr>
        <w:footnoteReference w:id="8434"/>
      </w:r>
      <w:r>
        <w:t xml:space="preserve">, and they sent messengers and brought out Syrians from beyond river, with Shophach</w:t>
      </w:r>
      <w:r>
        <w:rPr>
          <w:rStyle w:val="FootnoteReference"/>
        </w:rPr>
        <w:footnoteReference w:id="8435"/>
      </w:r>
      <w:r>
        <w:t xml:space="preserve"> commander of force of Hadarezer before them.</w:t>
      </w:r>
      <w:r>
        <w:rPr>
          <w:rStyle w:val="FootnoteReference"/>
        </w:rPr>
        <w:footnoteReference w:id="8436"/>
      </w:r>
    </w:p>
    <w:p>
      <w:r>
        <w:rPr>
          <w:b/>
        </w:rPr>
        <w:t xml:space="preserve">17 </w:t>
      </w:r>
      <w:r>
        <w:t xml:space="preserve">And it was reported to David, and he gathered all Israel and crossed Jordan and came against them and drew up against them. And Syria drew up opposite David</w:t>
      </w:r>
      <w:r>
        <w:rPr>
          <w:rStyle w:val="FootnoteReference"/>
        </w:rPr>
        <w:footnoteReference w:id="8437"/>
      </w:r>
      <w:r>
        <w:t xml:space="preserve"> and fought him.</w:t>
      </w:r>
    </w:p>
    <w:p>
      <w:r>
        <w:rPr>
          <w:b/>
        </w:rPr>
        <w:t xml:space="preserve">18 </w:t>
      </w:r>
      <w:r>
        <w:t xml:space="preserve">And Syria fled from before David, and David killed from Syria seven thousand chariots and forty thousand footmen</w:t>
      </w:r>
      <w:r>
        <w:rPr>
          <w:rStyle w:val="FootnoteReference"/>
        </w:rPr>
        <w:footnoteReference w:id="8438"/>
      </w:r>
      <w:r>
        <w:t xml:space="preserve">, and he killed Shophach commander of force.</w:t>
      </w:r>
    </w:p>
    <w:p>
      <w:r>
        <w:rPr>
          <w:b/>
        </w:rPr>
        <w:t xml:space="preserve">19 </w:t>
      </w:r>
      <w:r>
        <w:t xml:space="preserve">And the servants</w:t>
      </w:r>
      <w:r>
        <w:rPr>
          <w:rStyle w:val="FootnoteReference"/>
        </w:rPr>
        <w:footnoteReference w:id="8439"/>
      </w:r>
      <w:r>
        <w:t xml:space="preserve"> of Hadarezer saw that they had fallen before Israel, and they made covenant with David and served him. And Syria did not want to help sons of Ammon anymore.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it came</w:t>
      </w:r>
      <w:r>
        <w:rPr>
          <w:rStyle w:val="FootnoteReference"/>
        </w:rPr>
        <w:footnoteReference w:id="8440"/>
      </w:r>
      <w:r>
        <w:t xml:space="preserve"> to pass in following year, at time when kings go out, Joab led all force of army and ruined land of sons of Ammon</w:t>
      </w:r>
      <w:r>
        <w:rPr>
          <w:rStyle w:val="FootnoteReference"/>
        </w:rPr>
        <w:footnoteReference w:id="8441"/>
      </w:r>
      <w:r>
        <w:t xml:space="preserve"> and came and besieged Rabbah, while David stayed in Jerusalem. And Joab struck Rabbah and tore it down.</w:t>
      </w:r>
    </w:p>
    <w:p>
      <w:r>
        <w:rPr>
          <w:b/>
        </w:rPr>
        <w:t xml:space="preserve">2 </w:t>
      </w:r>
      <w:r>
        <w:t xml:space="preserve">And David took crown of Molchol their king from his head, and its weight was found to be a talent of gold, and in it was precious stone</w:t>
      </w:r>
      <w:r>
        <w:rPr>
          <w:rStyle w:val="FootnoteReference"/>
        </w:rPr>
        <w:footnoteReference w:id="8442"/>
      </w:r>
      <w:r>
        <w:t xml:space="preserve">, and it was upon the head of David. And he brought</w:t>
      </w:r>
      <w:r>
        <w:rPr>
          <w:rStyle w:val="FootnoteReference"/>
        </w:rPr>
        <w:footnoteReference w:id="8443"/>
      </w:r>
      <w:r>
        <w:t xml:space="preserve"> out spoils of the city very many.</w:t>
      </w:r>
    </w:p>
    <w:p>
      <w:r>
        <w:rPr>
          <w:b/>
        </w:rPr>
        <w:t xml:space="preserve">3 </w:t>
      </w:r>
      <w:r>
        <w:t xml:space="preserve">And the people in it he brought out and cut with saws and with iron picks</w:t>
      </w:r>
      <w:r>
        <w:rPr>
          <w:rStyle w:val="FootnoteReference"/>
        </w:rPr>
        <w:footnoteReference w:id="8444"/>
      </w:r>
      <w:r>
        <w:t xml:space="preserve">, and thus David did to all the sons of Ammon. And David and all his people returned to Jerusalem.</w:t>
      </w:r>
      <w:r>
        <w:rPr>
          <w:rStyle w:val="FootnoteReference"/>
        </w:rPr>
        <w:footnoteReference w:id="8445"/>
      </w:r>
    </w:p>
    <w:p>
      <w:r>
        <w:rPr>
          <w:b/>
        </w:rPr>
        <w:t xml:space="preserve">4 </w:t>
      </w:r>
      <w:r>
        <w:t xml:space="preserve">And it came to pass after these things, there was still war in Gezer</w:t>
      </w:r>
      <w:r>
        <w:rPr>
          <w:rStyle w:val="FootnoteReference"/>
        </w:rPr>
        <w:footnoteReference w:id="8446"/>
      </w:r>
      <w:r>
        <w:t xml:space="preserve"> with Philistines. Then Sibbecai the Hushathite struck Saph from the sons of giants, and he humbled him.</w:t>
      </w:r>
    </w:p>
    <w:p>
      <w:r>
        <w:rPr>
          <w:b/>
        </w:rPr>
        <w:t xml:space="preserve">5 </w:t>
      </w:r>
      <w:r>
        <w:t xml:space="preserve">And there was yet war with Philistines, and Elhanan son of Jair</w:t>
      </w:r>
      <w:r>
        <w:rPr>
          <w:rStyle w:val="FootnoteReference"/>
        </w:rPr>
        <w:footnoteReference w:id="8447"/>
      </w:r>
      <w:r>
        <w:t xml:space="preserve"> struck Lahmi</w:t>
      </w:r>
      <w:r>
        <w:rPr>
          <w:rStyle w:val="FootnoteReference"/>
        </w:rPr>
        <w:footnoteReference w:id="8448"/>
      </w:r>
      <w:r>
        <w:t xml:space="preserve"> brother of Goliath the Gittite, and wood of his spear was like a beam of weavers.</w:t>
      </w:r>
    </w:p>
    <w:p>
      <w:r>
        <w:rPr>
          <w:b/>
        </w:rPr>
        <w:t xml:space="preserve">6 </w:t>
      </w:r>
      <w:r>
        <w:t xml:space="preserve">And there was still war in Gath, and there was an oversized man, and his fingers were six and six, twenty-four, and he was a descendant of giants.</w:t>
      </w:r>
    </w:p>
    <w:p>
      <w:r>
        <w:rPr>
          <w:b/>
        </w:rPr>
        <w:t xml:space="preserve">7 </w:t>
      </w:r>
      <w:r>
        <w:t xml:space="preserve">And he reproached Israel, and Jonathan son of Shimea</w:t>
      </w:r>
      <w:r>
        <w:rPr>
          <w:rStyle w:val="FootnoteReference"/>
        </w:rPr>
        <w:footnoteReference w:id="8449"/>
      </w:r>
      <w:r>
        <w:t xml:space="preserve"> brother of David struck him.</w:t>
      </w:r>
    </w:p>
    <w:p>
      <w:r>
        <w:rPr>
          <w:b/>
        </w:rPr>
        <w:t xml:space="preserve">8 </w:t>
      </w:r>
      <w:r>
        <w:t xml:space="preserve">These were born to Rapha in Gath; all were four giants, and they fell</w:t>
      </w:r>
      <w:r>
        <w:rPr>
          <w:rStyle w:val="FootnoteReference"/>
        </w:rPr>
        <w:footnoteReference w:id="8450"/>
      </w:r>
      <w:r>
        <w:t xml:space="preserve"> by the hand of David and by the hand of his servants.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slanderer stood up against Israel and stirred David to number Israel.</w:t>
      </w:r>
    </w:p>
    <w:p>
      <w:r>
        <w:rPr>
          <w:b/>
        </w:rPr>
        <w:t xml:space="preserve">2 </w:t>
      </w:r>
      <w:r>
        <w:t xml:space="preserve">And King David said to Joab</w:t>
      </w:r>
      <w:r>
        <w:rPr>
          <w:rStyle w:val="FootnoteReference"/>
        </w:rPr>
        <w:footnoteReference w:id="8451"/>
      </w:r>
      <w:r>
        <w:t xml:space="preserve"> and to the chiefs of force, Go, number Israel from Beersheba to Dan, and bring to me, and I shall know their number.</w:t>
      </w:r>
    </w:p>
    <w:p>
      <w:r>
        <w:rPr>
          <w:b/>
        </w:rPr>
        <w:t xml:space="preserve">3 </w:t>
      </w:r>
      <w:r>
        <w:t xml:space="preserve">And Joab said, May the Lord</w:t>
      </w:r>
      <w:r>
        <w:rPr>
          <w:rStyle w:val="FootnoteReference"/>
        </w:rPr>
        <w:footnoteReference w:id="8452"/>
      </w:r>
      <w:r>
        <w:t xml:space="preserve"> add to his people a hundredfold as they are</w:t>
      </w:r>
      <w:r>
        <w:rPr>
          <w:rStyle w:val="FootnoteReference"/>
        </w:rPr>
        <w:footnoteReference w:id="8453"/>
      </w:r>
      <w:r>
        <w:t xml:space="preserve">, and are not eyes of my lord the king seeing that all are servants to my lord? Why does my lord seek this, so that it should not become sin for Israel?</w:t>
      </w:r>
    </w:p>
    <w:p>
      <w:r>
        <w:rPr>
          <w:b/>
        </w:rPr>
        <w:t xml:space="preserve">4 </w:t>
      </w:r>
      <w:r>
        <w:t xml:space="preserve">But the word of the king prevailed over Joab. And Joab went out and passed through every border of Israel and came to Jerusalem.</w:t>
      </w:r>
    </w:p>
    <w:p>
      <w:r>
        <w:rPr>
          <w:b/>
        </w:rPr>
        <w:t xml:space="preserve">5 </w:t>
      </w:r>
      <w:r>
        <w:t xml:space="preserve">And Joab gave number of mustering of the people to David, and all Israel was one million one hundred thousand men drawing sword, and Judah was four hundred eighty thousand</w:t>
      </w:r>
      <w:r>
        <w:rPr>
          <w:rStyle w:val="FootnoteReference"/>
        </w:rPr>
        <w:footnoteReference w:id="8454"/>
      </w:r>
      <w:r>
        <w:t xml:space="preserve"> men drawing sword.</w:t>
      </w:r>
    </w:p>
    <w:p>
      <w:r>
        <w:rPr>
          <w:b/>
        </w:rPr>
        <w:t xml:space="preserve">6 </w:t>
      </w:r>
      <w:r>
        <w:t xml:space="preserve">But Levi</w:t>
      </w:r>
      <w:r>
        <w:rPr>
          <w:rStyle w:val="FootnoteReference"/>
        </w:rPr>
        <w:footnoteReference w:id="8455"/>
      </w:r>
      <w:r>
        <w:t xml:space="preserve"> and Benjamin he did not count among them, because word of the king overpowered Joab.</w:t>
      </w:r>
    </w:p>
    <w:p>
      <w:r>
        <w:rPr>
          <w:b/>
        </w:rPr>
        <w:t xml:space="preserve">7 </w:t>
      </w:r>
      <w:r>
        <w:t xml:space="preserve">And thing appeared evil before God concerning this matter, and he struck Israel.</w:t>
      </w:r>
    </w:p>
    <w:p>
      <w:r>
        <w:rPr>
          <w:b/>
        </w:rPr>
        <w:t xml:space="preserve">8 </w:t>
      </w:r>
      <w:r>
        <w:t xml:space="preserve">And David said to God, I sinned greatly because I did this thing, and now please take away evil of your servant</w:t>
      </w:r>
      <w:r>
        <w:rPr>
          <w:rStyle w:val="FootnoteReference"/>
        </w:rPr>
        <w:footnoteReference w:id="8456"/>
      </w:r>
      <w:r>
        <w:t xml:space="preserve">, because I acted very foolishly.</w:t>
      </w:r>
    </w:p>
    <w:p>
      <w:r>
        <w:rPr>
          <w:b/>
        </w:rPr>
        <w:t xml:space="preserve">9 </w:t>
      </w:r>
      <w:r>
        <w:t xml:space="preserve">And the Lord spoke to Gad, seer of David, saying,</w:t>
      </w:r>
    </w:p>
    <w:p>
      <w:r>
        <w:rPr>
          <w:b/>
        </w:rPr>
        <w:t xml:space="preserve">10 </w:t>
      </w:r>
      <w:r>
        <w:t xml:space="preserve">Go and speak to David, saying, Thus says the Lord, I lift three things upon you; choose</w:t>
      </w:r>
      <w:r>
        <w:rPr>
          <w:rStyle w:val="FootnoteReference"/>
        </w:rPr>
        <w:footnoteReference w:id="8457"/>
      </w:r>
      <w:r>
        <w:t xml:space="preserve"> one of them for yourself, and I will do it to you.</w:t>
      </w:r>
    </w:p>
    <w:p>
      <w:r>
        <w:rPr>
          <w:b/>
        </w:rPr>
        <w:t xml:space="preserve">11 </w:t>
      </w:r>
      <w:r>
        <w:t xml:space="preserve">And Gad came to David and said to him, Thus says the Lord, Choose for yourself:</w:t>
      </w:r>
    </w:p>
    <w:p>
      <w:r>
        <w:rPr>
          <w:b/>
        </w:rPr>
        <w:t xml:space="preserve">12 </w:t>
      </w:r>
      <w:r>
        <w:t xml:space="preserve">either three years of famine, or three months for you to flee from before your enemies while sword of your enemies destroys, or three days sword of the Lord and death</w:t>
      </w:r>
      <w:r>
        <w:rPr>
          <w:rStyle w:val="FootnoteReference"/>
        </w:rPr>
        <w:footnoteReference w:id="8458"/>
      </w:r>
      <w:r>
        <w:t xml:space="preserve"> in the land, and angel of the Lord destroying in all inheritance of Israel. And now see what word I should answer to one who sent me.</w:t>
      </w:r>
    </w:p>
    <w:p>
      <w:r>
        <w:rPr>
          <w:b/>
        </w:rPr>
        <w:t xml:space="preserve">13 </w:t>
      </w:r>
      <w:r>
        <w:t xml:space="preserve">And David said to Gad, All three press me very hard. Let me now fall into the hands of the Lord, because his mercies are very many; but into the hands of men I shall not fall.</w:t>
      </w:r>
    </w:p>
    <w:p>
      <w:r>
        <w:rPr>
          <w:b/>
        </w:rPr>
        <w:t xml:space="preserve">14 </w:t>
      </w:r>
      <w:r>
        <w:t xml:space="preserve">And the Lord</w:t>
      </w:r>
      <w:r>
        <w:rPr>
          <w:rStyle w:val="FootnoteReference"/>
        </w:rPr>
        <w:footnoteReference w:id="8459"/>
      </w:r>
      <w:r>
        <w:t xml:space="preserve"> gave death in Israel, and seventy thousand men fell from Israel.</w:t>
      </w:r>
    </w:p>
    <w:p>
      <w:r>
        <w:rPr>
          <w:b/>
        </w:rPr>
        <w:t xml:space="preserve">15 </w:t>
      </w:r>
      <w:r>
        <w:t xml:space="preserve">And God sent angel into Jerusalem to destroy it, and as he destroyed, the Lord saw and relented over evil</w:t>
      </w:r>
      <w:r>
        <w:rPr>
          <w:rStyle w:val="FootnoteReference"/>
        </w:rPr>
        <w:footnoteReference w:id="8460"/>
      </w:r>
      <w:r>
        <w:t xml:space="preserve"> and said to angel destroying, It is enough</w:t>
      </w:r>
      <w:r>
        <w:rPr>
          <w:rStyle w:val="FootnoteReference"/>
        </w:rPr>
        <w:footnoteReference w:id="8461"/>
      </w:r>
      <w:r>
        <w:t xml:space="preserve"> for you; let go your hand. And the angel of the Lord was standing at the threshing floor of Araunah the Jebusite.</w:t>
      </w:r>
    </w:p>
    <w:p>
      <w:r>
        <w:rPr>
          <w:b/>
        </w:rPr>
        <w:t xml:space="preserve">16 </w:t>
      </w:r>
      <w:r>
        <w:t xml:space="preserve">And David lifted his eyes and saw angel of the Lord standing between earth and between heaven, with his sword drawn in his hand, stretched out over Jerusalem. And David and elders clothed</w:t>
      </w:r>
      <w:r>
        <w:rPr>
          <w:rStyle w:val="FootnoteReference"/>
        </w:rPr>
        <w:footnoteReference w:id="8462"/>
      </w:r>
      <w:r>
        <w:t xml:space="preserve"> in sackcloth fell on their faces.</w:t>
      </w:r>
      <w:r>
        <w:rPr>
          <w:rStyle w:val="FootnoteReference"/>
        </w:rPr>
        <w:footnoteReference w:id="8463"/>
      </w:r>
    </w:p>
    <w:p>
      <w:r>
        <w:rPr>
          <w:b/>
        </w:rPr>
        <w:t xml:space="preserve">17 </w:t>
      </w:r>
      <w:r>
        <w:t xml:space="preserve">And David said to God, Was it not I who said to number among people? And I am one who sinned; I acted evilly with evil</w:t>
      </w:r>
      <w:r>
        <w:rPr>
          <w:rStyle w:val="FootnoteReference"/>
        </w:rPr>
        <w:footnoteReference w:id="8464"/>
      </w:r>
      <w:r>
        <w:t xml:space="preserve">. But these sheep</w:t>
      </w:r>
      <w:r>
        <w:rPr>
          <w:rStyle w:val="FootnoteReference"/>
        </w:rPr>
        <w:footnoteReference w:id="8465"/>
      </w:r>
      <w:r>
        <w:t xml:space="preserve">, what did they do? Lord God, let your hand be on me and on the house of my father, and not on your people for destruction, Lord.</w:t>
      </w:r>
    </w:p>
    <w:p>
      <w:r>
        <w:rPr>
          <w:b/>
        </w:rPr>
        <w:t xml:space="preserve">18 </w:t>
      </w:r>
      <w:r>
        <w:t xml:space="preserve">And the angel</w:t>
      </w:r>
      <w:r>
        <w:rPr>
          <w:rStyle w:val="FootnoteReference"/>
        </w:rPr>
        <w:footnoteReference w:id="8466"/>
      </w:r>
      <w:r>
        <w:t xml:space="preserve"> of the Lord said to Gad to tell David to go up and set altar to the Lord at the threshing floor of Araunah the Jebusite.</w:t>
      </w:r>
    </w:p>
    <w:p>
      <w:r>
        <w:rPr>
          <w:b/>
        </w:rPr>
        <w:t xml:space="preserve">19 </w:t>
      </w:r>
      <w:r>
        <w:t xml:space="preserve">And David went up</w:t>
      </w:r>
      <w:r>
        <w:rPr>
          <w:rStyle w:val="FootnoteReference"/>
        </w:rPr>
        <w:footnoteReference w:id="8467"/>
      </w:r>
      <w:r>
        <w:t xml:space="preserve"> according to the word of Gad, which he spoke in the name of the Lord.</w:t>
      </w:r>
    </w:p>
    <w:p>
      <w:r>
        <w:rPr>
          <w:b/>
        </w:rPr>
        <w:t xml:space="preserve">20 </w:t>
      </w:r>
      <w:r>
        <w:t xml:space="preserve">And Araunah turned and saw king, and his four sons with him were hiding themselves</w:t>
      </w:r>
      <w:r>
        <w:rPr>
          <w:rStyle w:val="FootnoteReference"/>
        </w:rPr>
        <w:footnoteReference w:id="8468"/>
      </w:r>
      <w:r>
        <w:t xml:space="preserve">, and Araunah was threshing wheat.</w:t>
      </w:r>
    </w:p>
    <w:p>
      <w:r>
        <w:rPr>
          <w:b/>
        </w:rPr>
        <w:t xml:space="preserve">21 </w:t>
      </w:r>
      <w:r>
        <w:t xml:space="preserve">And David came to Araunah, and Araunah came out from threshing floor and bowed to David with his face to the ground.</w:t>
      </w:r>
    </w:p>
    <w:p>
      <w:r>
        <w:rPr>
          <w:b/>
        </w:rPr>
        <w:t xml:space="preserve">22 </w:t>
      </w:r>
      <w:r>
        <w:t xml:space="preserve">And David said to Araunah, Give me place of your threshing floor, and I will build on it altar to the Lord. For silver at full worth</w:t>
      </w:r>
      <w:r>
        <w:rPr>
          <w:rStyle w:val="FootnoteReference"/>
        </w:rPr>
        <w:footnoteReference w:id="8469"/>
      </w:r>
      <w:r>
        <w:t xml:space="preserve"> give it to me, and plague will stop from people.</w:t>
      </w:r>
    </w:p>
    <w:p>
      <w:r>
        <w:rPr>
          <w:b/>
        </w:rPr>
        <w:t xml:space="preserve">23 </w:t>
      </w:r>
      <w:r>
        <w:t xml:space="preserve">And Araunah said to David, Take for yourself</w:t>
      </w:r>
      <w:r>
        <w:rPr>
          <w:rStyle w:val="FootnoteReference"/>
        </w:rPr>
        <w:footnoteReference w:id="8470"/>
      </w:r>
      <w:r>
        <w:t xml:space="preserve">, and let my lord the king do good in his sight. Behold, I have given calves for whole burnt offering, and plow and wagons for wood, and wheat for sacrifice; I have given all.</w:t>
      </w:r>
    </w:p>
    <w:p>
      <w:r>
        <w:rPr>
          <w:b/>
        </w:rPr>
        <w:t xml:space="preserve">24 </w:t>
      </w:r>
      <w:r>
        <w:t xml:space="preserve">And King David said to Araunah, No, because by buying I will buy for full worth in silver, because I shall not take what is yours for the Lord, to offer free whole burnt offering to the Lord.</w:t>
      </w:r>
    </w:p>
    <w:p>
      <w:r>
        <w:rPr>
          <w:b/>
        </w:rPr>
        <w:t xml:space="preserve">25 </w:t>
      </w:r>
      <w:r>
        <w:t xml:space="preserve">And David gave to Araunah in his place six hundred shekels of weight in gold.</w:t>
      </w:r>
    </w:p>
    <w:p>
      <w:r>
        <w:rPr>
          <w:b/>
        </w:rPr>
        <w:t xml:space="preserve">26 </w:t>
      </w:r>
      <w:r>
        <w:t xml:space="preserve">And David built there</w:t>
      </w:r>
      <w:r>
        <w:rPr>
          <w:rStyle w:val="FootnoteReference"/>
        </w:rPr>
        <w:footnoteReference w:id="8471"/>
      </w:r>
      <w:r>
        <w:t xml:space="preserve"> altar to the Lord and offered whole burnt offerings and offerings of salvation, and cried out to the Lord, and he answered him with fire from heaven upon the altar of whole burnt offering and consumed whole burnt offering</w:t>
      </w:r>
      <w:r>
        <w:rPr>
          <w:rStyle w:val="FootnoteReference"/>
        </w:rPr>
        <w:footnoteReference w:id="8472"/>
      </w:r>
      <w:r>
        <w:t xml:space="preserve">.</w:t>
      </w:r>
    </w:p>
    <w:p>
      <w:r>
        <w:rPr>
          <w:b/>
        </w:rPr>
        <w:t xml:space="preserve">27 </w:t>
      </w:r>
      <w:r>
        <w:t xml:space="preserve">And the Lord</w:t>
      </w:r>
      <w:r>
        <w:rPr>
          <w:rStyle w:val="FootnoteReference"/>
        </w:rPr>
        <w:footnoteReference w:id="8473"/>
      </w:r>
      <w:r>
        <w:t xml:space="preserve"> spoke to angel, and he put sword into sheath.</w:t>
      </w:r>
    </w:p>
    <w:p>
      <w:r>
        <w:rPr>
          <w:b/>
        </w:rPr>
        <w:t xml:space="preserve">28 </w:t>
      </w:r>
      <w:r>
        <w:t xml:space="preserve">At that time, when David saw that the Lord answered him at the threshing floor of Araunah the Jebusite, he sacrificed there.</w:t>
      </w:r>
    </w:p>
    <w:p>
      <w:r>
        <w:rPr>
          <w:b/>
        </w:rPr>
        <w:t xml:space="preserve">29 </w:t>
      </w:r>
      <w:r>
        <w:t xml:space="preserve">And tent of the Lord which Moses made in the wilderness, and altar of whole burnt offerings, were at that time at high place in Gibeon</w:t>
      </w:r>
      <w:r>
        <w:rPr>
          <w:rStyle w:val="FootnoteReference"/>
        </w:rPr>
        <w:footnoteReference w:id="8474"/>
      </w:r>
      <w:r>
        <w:t xml:space="preserve">.</w:t>
      </w:r>
    </w:p>
    <w:p>
      <w:r>
        <w:rPr>
          <w:b/>
        </w:rPr>
        <w:t xml:space="preserve">30 </w:t>
      </w:r>
      <w:r>
        <w:t xml:space="preserve">And David was not able to go before it to seek God, because he hurried in fear from before sword of angel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David said, This is the house</w:t>
      </w:r>
      <w:r>
        <w:rPr>
          <w:rStyle w:val="FootnoteReference"/>
        </w:rPr>
        <w:footnoteReference w:id="8475"/>
      </w:r>
      <w:r>
        <w:t xml:space="preserve"> of the Lord God, and this is the altar for whole burnt offering for Israel.</w:t>
      </w:r>
    </w:p>
    <w:p>
      <w:r>
        <w:rPr>
          <w:b/>
        </w:rPr>
        <w:t xml:space="preserve">2 </w:t>
      </w:r>
      <w:r>
        <w:t xml:space="preserve">And David told them to gather all sojourners in the land of Israel, and he appointed stonecutters to cut dressed stones to build a house for God.</w:t>
      </w:r>
    </w:p>
    <w:p>
      <w:r>
        <w:rPr>
          <w:b/>
        </w:rPr>
        <w:t xml:space="preserve">3 </w:t>
      </w:r>
      <w:r>
        <w:t xml:space="preserve">And David prepared much iron for the nails of doors and gates and hinges, and bronze in abundance without weight</w:t>
      </w:r>
      <w:r>
        <w:rPr>
          <w:rStyle w:val="FootnoteReference"/>
        </w:rPr>
        <w:footnoteReference w:id="8476"/>
      </w:r>
      <w:r>
        <w:t xml:space="preserve">,</w:t>
      </w:r>
    </w:p>
    <w:p>
      <w:r>
        <w:rPr>
          <w:b/>
        </w:rPr>
        <w:t xml:space="preserve">4 </w:t>
      </w:r>
      <w:r>
        <w:t xml:space="preserve">and cedar woods without number, because Sidonians and Tyrians brought cedar woods in abundance to David.</w:t>
      </w:r>
    </w:p>
    <w:p>
      <w:r>
        <w:rPr>
          <w:b/>
        </w:rPr>
        <w:t xml:space="preserve">5 </w:t>
      </w:r>
      <w:r>
        <w:t xml:space="preserve">And David said, Solomon</w:t>
      </w:r>
      <w:r>
        <w:rPr>
          <w:rStyle w:val="FootnoteReference"/>
        </w:rPr>
        <w:footnoteReference w:id="8477"/>
      </w:r>
      <w:r>
        <w:t xml:space="preserve"> my son is tender youth</w:t>
      </w:r>
      <w:r>
        <w:rPr>
          <w:rStyle w:val="FootnoteReference"/>
        </w:rPr>
        <w:footnoteReference w:id="8478"/>
      </w:r>
      <w:r>
        <w:t xml:space="preserve">, and house to build for the Lord must be for greatness beyond, for name and for glory in all the earth; I will prepare for him. And David prepared in abundance before his death.</w:t>
      </w:r>
    </w:p>
    <w:p>
      <w:r>
        <w:rPr>
          <w:b/>
        </w:rPr>
        <w:t xml:space="preserve">6 </w:t>
      </w:r>
      <w:r>
        <w:t xml:space="preserve">And he called Solomon his son and charged him</w:t>
      </w:r>
      <w:r>
        <w:rPr>
          <w:rStyle w:val="FootnoteReference"/>
        </w:rPr>
        <w:footnoteReference w:id="8479"/>
      </w:r>
      <w:r>
        <w:t xml:space="preserve"> to build a house to God of Israel.</w:t>
      </w:r>
    </w:p>
    <w:p>
      <w:r>
        <w:rPr>
          <w:b/>
        </w:rPr>
        <w:t xml:space="preserve">7 </w:t>
      </w:r>
      <w:r>
        <w:t xml:space="preserve">And David said, Solomon, my child, it was upon my heart to build a house for the name of the Lord God,</w:t>
      </w:r>
    </w:p>
    <w:p>
      <w:r>
        <w:rPr>
          <w:b/>
        </w:rPr>
        <w:t xml:space="preserve">8 </w:t>
      </w:r>
      <w:r>
        <w:t xml:space="preserve">but the word of the Lord came upon me, saying, You poured out blood in abundance</w:t>
      </w:r>
      <w:r>
        <w:rPr>
          <w:rStyle w:val="FootnoteReference"/>
        </w:rPr>
        <w:footnoteReference w:id="8480"/>
      </w:r>
      <w:r>
        <w:t xml:space="preserve"> and made great wars; you shall not build a house to my name, because you poured out much blood on earth before me.</w:t>
      </w:r>
    </w:p>
    <w:p>
      <w:r>
        <w:rPr>
          <w:b/>
        </w:rPr>
        <w:t xml:space="preserve">9 </w:t>
      </w:r>
      <w:r>
        <w:t xml:space="preserve">Behold, son is born to you. He shall be man of rest, and I will give</w:t>
      </w:r>
      <w:r>
        <w:rPr>
          <w:rStyle w:val="FootnoteReference"/>
        </w:rPr>
        <w:footnoteReference w:id="8481"/>
      </w:r>
      <w:r>
        <w:t xml:space="preserve"> him rest from all enemies around, because Solomon shall be his name, and peace and quietness I will give upon Israel in his days.</w:t>
      </w:r>
    </w:p>
    <w:p>
      <w:r>
        <w:rPr>
          <w:b/>
        </w:rPr>
        <w:t xml:space="preserve">10 </w:t>
      </w:r>
      <w:r>
        <w:t xml:space="preserve">He shall build</w:t>
      </w:r>
      <w:r>
        <w:rPr>
          <w:rStyle w:val="FootnoteReference"/>
        </w:rPr>
        <w:footnoteReference w:id="8482"/>
      </w:r>
      <w:r>
        <w:t xml:space="preserve"> a house to my name, and he shall be to me for son, and I to him for father, and I will set upright throne of his kingdom in Israel forever.</w:t>
      </w:r>
      <w:r>
        <w:rPr>
          <w:rStyle w:val="FootnoteReference"/>
        </w:rPr>
        <w:footnoteReference w:id="8483"/>
      </w:r>
    </w:p>
    <w:p>
      <w:r>
        <w:rPr>
          <w:b/>
        </w:rPr>
        <w:t xml:space="preserve">11 </w:t>
      </w:r>
      <w:r>
        <w:t xml:space="preserve">And now, my son, the Lord</w:t>
      </w:r>
      <w:r>
        <w:rPr>
          <w:rStyle w:val="FootnoteReference"/>
        </w:rPr>
        <w:footnoteReference w:id="8484"/>
      </w:r>
      <w:r>
        <w:t xml:space="preserve"> shall be with you and prosper you, and you shall build a house to your God as he spoke concerning you.</w:t>
      </w:r>
    </w:p>
    <w:p>
      <w:r>
        <w:rPr>
          <w:b/>
        </w:rPr>
        <w:t xml:space="preserve">12 </w:t>
      </w:r>
      <w:r>
        <w:t xml:space="preserve">Only may the Lord give you wisdom and understanding, and strengthen you over Israel, to keep and to do the law of the Lord your God.</w:t>
      </w:r>
    </w:p>
    <w:p>
      <w:r>
        <w:rPr>
          <w:b/>
        </w:rPr>
        <w:t xml:space="preserve">13 </w:t>
      </w:r>
      <w:r>
        <w:t xml:space="preserve">Then you shall prosper if you keep doing ordinances and judgments which the Lord commanded Moses for Israel. Act like a man and be strong</w:t>
      </w:r>
      <w:r>
        <w:rPr>
          <w:rStyle w:val="FootnoteReference"/>
        </w:rPr>
        <w:footnoteReference w:id="8485"/>
      </w:r>
      <w:r>
        <w:t xml:space="preserve">; do not fear and do not be dismayed.</w:t>
      </w:r>
    </w:p>
    <w:p>
      <w:r>
        <w:rPr>
          <w:b/>
        </w:rPr>
        <w:t xml:space="preserve">14 </w:t>
      </w:r>
      <w:r>
        <w:t xml:space="preserve">And behold, in my poverty</w:t>
      </w:r>
      <w:r>
        <w:rPr>
          <w:rStyle w:val="FootnoteReference"/>
        </w:rPr>
        <w:footnoteReference w:id="8486"/>
      </w:r>
      <w:r>
        <w:t xml:space="preserve"> I prepared for the house of the Lord one hundred thousand talents of gold and one thousand thousand talents of silver, and bronze and iron without weight</w:t>
      </w:r>
      <w:r>
        <w:rPr>
          <w:rStyle w:val="FootnoteReference"/>
        </w:rPr>
        <w:footnoteReference w:id="8487"/>
      </w:r>
      <w:r>
        <w:t xml:space="preserve">, because it is in abundance, and wood and stones I prepared, and to these add more.</w:t>
      </w:r>
    </w:p>
    <w:p>
      <w:r>
        <w:rPr>
          <w:b/>
        </w:rPr>
        <w:t xml:space="preserve">15 </w:t>
      </w:r>
      <w:r>
        <w:t xml:space="preserve">And with you are workers in abundance, craftsmen and builders of stone and carpenters of wood and every wise man in every work,</w:t>
      </w:r>
    </w:p>
    <w:p>
      <w:r>
        <w:rPr>
          <w:b/>
        </w:rPr>
        <w:t xml:space="preserve">16 </w:t>
      </w:r>
      <w:r>
        <w:t xml:space="preserve">in gold, in silver, in bronze, and in iron there is no number. Rise and do, and the Lord</w:t>
      </w:r>
      <w:r>
        <w:rPr>
          <w:rStyle w:val="FootnoteReference"/>
        </w:rPr>
        <w:footnoteReference w:id="8488"/>
      </w:r>
      <w:r>
        <w:t xml:space="preserve"> be with you.</w:t>
      </w:r>
    </w:p>
    <w:p>
      <w:r>
        <w:rPr>
          <w:b/>
        </w:rPr>
        <w:t xml:space="preserve">17 </w:t>
      </w:r>
      <w:r>
        <w:t xml:space="preserve">And David commanded all rulers of Israel to help Solomon his son:</w:t>
      </w:r>
    </w:p>
    <w:p>
      <w:r>
        <w:rPr>
          <w:b/>
        </w:rPr>
        <w:t xml:space="preserve">18 </w:t>
      </w:r>
      <w:r>
        <w:t xml:space="preserve">Is not the Lord with you and has he not given you rest all around? Because he gave inhabitants of the land into hands, and land is subdued before the Lord</w:t>
      </w:r>
      <w:r>
        <w:rPr>
          <w:rStyle w:val="FootnoteReference"/>
        </w:rPr>
        <w:footnoteReference w:id="8489"/>
      </w:r>
      <w:r>
        <w:t xml:space="preserve"> and before his people.</w:t>
      </w:r>
    </w:p>
    <w:p>
      <w:r>
        <w:rPr>
          <w:b/>
        </w:rPr>
        <w:t xml:space="preserve">19 </w:t>
      </w:r>
      <w:r>
        <w:t xml:space="preserve">Now set your hearts and your souls</w:t>
      </w:r>
      <w:r>
        <w:rPr>
          <w:rStyle w:val="FootnoteReference"/>
        </w:rPr>
        <w:footnoteReference w:id="8490"/>
      </w:r>
      <w:r>
        <w:t xml:space="preserve"> to seek the Lord your God, and rise and build a sanctuary to the Lord your God, to bring the ark of the covenant of the Lord and the holy vessels of God into the house being built for the name of the Lord</w:t>
      </w:r>
      <w:r>
        <w:rPr>
          <w:rStyle w:val="FootnoteReference"/>
        </w:rPr>
        <w:footnoteReference w:id="8491"/>
      </w:r>
      <w:r>
        <w:t xml:space="preserve">.</w:t>
      </w:r>
      <w:r>
        <w:rPr>
          <w:rStyle w:val="FootnoteReference"/>
        </w:rPr>
        <w:footnoteReference w:id="8492"/>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David was old and full of days, and he made</w:t>
      </w:r>
      <w:r>
        <w:rPr>
          <w:rStyle w:val="FootnoteReference"/>
        </w:rPr>
        <w:footnoteReference w:id="8493"/>
      </w:r>
      <w:r>
        <w:t xml:space="preserve"> Solomon his son king in his place over Israel.</w:t>
      </w:r>
    </w:p>
    <w:p>
      <w:r>
        <w:rPr>
          <w:b/>
        </w:rPr>
        <w:t xml:space="preserve">2 </w:t>
      </w:r>
      <w:r>
        <w:t xml:space="preserve">And he gathered</w:t>
      </w:r>
      <w:r>
        <w:rPr>
          <w:rStyle w:val="FootnoteReference"/>
        </w:rPr>
        <w:footnoteReference w:id="8494"/>
      </w:r>
      <w:r>
        <w:t xml:space="preserve"> all rulers of Israel and priests and Levites.</w:t>
      </w:r>
    </w:p>
    <w:p>
      <w:r>
        <w:rPr>
          <w:b/>
        </w:rPr>
        <w:t xml:space="preserve">3 </w:t>
      </w:r>
      <w:r>
        <w:t xml:space="preserve">And Levites were numbered from thirty years old and upward, and their number by heads, men, was thirty-eight thousand.</w:t>
      </w:r>
    </w:p>
    <w:p>
      <w:r>
        <w:rPr>
          <w:b/>
        </w:rPr>
        <w:t xml:space="preserve">4 </w:t>
      </w:r>
      <w:r>
        <w:t xml:space="preserve">From these, overseers over the works of the house of the Lord were twenty</w:t>
      </w:r>
      <w:r>
        <w:rPr>
          <w:rStyle w:val="FootnoteReference"/>
        </w:rPr>
        <w:footnoteReference w:id="8495"/>
      </w:r>
      <w:r>
        <w:t xml:space="preserve">-four thousand, and scribes and judges six thousand,</w:t>
      </w:r>
    </w:p>
    <w:p>
      <w:r>
        <w:rPr>
          <w:b/>
        </w:rPr>
        <w:t xml:space="preserve">5 </w:t>
      </w:r>
      <w:r>
        <w:t xml:space="preserve">and four thousand gatekeepers, and four thousand praising the Lord with instruments which he made for praising the Lord.</w:t>
      </w:r>
    </w:p>
    <w:p>
      <w:r>
        <w:rPr>
          <w:b/>
        </w:rPr>
        <w:t xml:space="preserve">6 </w:t>
      </w:r>
      <w:r>
        <w:t xml:space="preserve">And David divided</w:t>
      </w:r>
      <w:r>
        <w:rPr>
          <w:rStyle w:val="FootnoteReference"/>
        </w:rPr>
        <w:footnoteReference w:id="8496"/>
      </w:r>
      <w:r>
        <w:t xml:space="preserve"> them into courses for the sons of Levi: to Gershon, Kohath, Merari.</w:t>
      </w:r>
    </w:p>
    <w:p>
      <w:r>
        <w:rPr>
          <w:b/>
        </w:rPr>
        <w:t xml:space="preserve">7 </w:t>
      </w:r>
      <w:r>
        <w:t xml:space="preserve">And to Gershon, to Laadan</w:t>
      </w:r>
      <w:r>
        <w:rPr>
          <w:rStyle w:val="FootnoteReference"/>
        </w:rPr>
        <w:footnoteReference w:id="8497"/>
      </w:r>
      <w:r>
        <w:t xml:space="preserve"> and to Shimei.</w:t>
      </w:r>
    </w:p>
    <w:p>
      <w:r>
        <w:rPr>
          <w:b/>
        </w:rPr>
        <w:t xml:space="preserve">8 </w:t>
      </w:r>
      <w:r>
        <w:t xml:space="preserve">Sons of Laadan: chief Jehiel</w:t>
      </w:r>
      <w:r>
        <w:rPr>
          <w:rStyle w:val="FootnoteReference"/>
        </w:rPr>
        <w:footnoteReference w:id="8498"/>
      </w:r>
      <w:r>
        <w:t xml:space="preserve">, and Zetham</w:t>
      </w:r>
      <w:r>
        <w:rPr>
          <w:rStyle w:val="FootnoteReference"/>
        </w:rPr>
        <w:footnoteReference w:id="8499"/>
      </w:r>
      <w:r>
        <w:t xml:space="preserve">, and Joel, three.</w:t>
      </w:r>
    </w:p>
    <w:p>
      <w:r>
        <w:rPr>
          <w:b/>
        </w:rPr>
        <w:t xml:space="preserve">9 </w:t>
      </w:r>
      <w:r>
        <w:t xml:space="preserve">Sons of Shimei: Shelomith and Jeiel and Haran, three. These were chiefs of fathers for Laadan.</w:t>
      </w:r>
    </w:p>
    <w:p>
      <w:r>
        <w:rPr>
          <w:b/>
        </w:rPr>
        <w:t xml:space="preserve">10 </w:t>
      </w:r>
      <w:r>
        <w:t xml:space="preserve">And to the sons of Shimei: Jahath and Ziza and Joash and Beriah; these were four sons of Shimei.</w:t>
      </w:r>
    </w:p>
    <w:p>
      <w:r>
        <w:rPr>
          <w:b/>
        </w:rPr>
        <w:t xml:space="preserve">11 </w:t>
      </w:r>
      <w:r>
        <w:t xml:space="preserve">And Jahath was chief and Ziza second; Joash and Beriah did not multiply sons, and they became one father-house in one reckoning.</w:t>
      </w:r>
    </w:p>
    <w:p>
      <w:r>
        <w:rPr>
          <w:b/>
        </w:rPr>
        <w:t xml:space="preserve">12 </w:t>
      </w:r>
      <w:r>
        <w:t xml:space="preserve">Sons of Kohath</w:t>
      </w:r>
      <w:r>
        <w:rPr>
          <w:rStyle w:val="FootnoteReference"/>
        </w:rPr>
        <w:footnoteReference w:id="8500"/>
      </w:r>
      <w:r>
        <w:t xml:space="preserve">: Amram, Izhar, Hebron, Uzziel, four.</w:t>
      </w:r>
    </w:p>
    <w:p>
      <w:r>
        <w:rPr>
          <w:b/>
        </w:rPr>
        <w:t xml:space="preserve">13 </w:t>
      </w:r>
      <w:r>
        <w:t xml:space="preserve">Sons of Amram: Aaron and Moses. And Aaron was set apart to be sanctified as holy of holies</w:t>
      </w:r>
      <w:r>
        <w:rPr>
          <w:rStyle w:val="FootnoteReference"/>
        </w:rPr>
        <w:footnoteReference w:id="8501"/>
      </w:r>
      <w:r>
        <w:t xml:space="preserve">, he and his sons forever, to burn incense</w:t>
      </w:r>
      <w:r>
        <w:rPr>
          <w:rStyle w:val="FootnoteReference"/>
        </w:rPr>
        <w:footnoteReference w:id="8502"/>
      </w:r>
      <w:r>
        <w:t xml:space="preserve"> before the Lord, to minister, and to bless upon his name forever.</w:t>
      </w:r>
    </w:p>
    <w:p>
      <w:r>
        <w:rPr>
          <w:b/>
        </w:rPr>
        <w:t xml:space="preserve">14 </w:t>
      </w:r>
      <w:r>
        <w:t xml:space="preserve">And Moses, man of God, his sons</w:t>
      </w:r>
      <w:r>
        <w:rPr>
          <w:rStyle w:val="FootnoteReference"/>
        </w:rPr>
        <w:footnoteReference w:id="8503"/>
      </w:r>
      <w:r>
        <w:t xml:space="preserve"> were called into the tribe of Levi.</w:t>
      </w:r>
    </w:p>
    <w:p>
      <w:r>
        <w:rPr>
          <w:b/>
        </w:rPr>
        <w:t xml:space="preserve">15 </w:t>
      </w:r>
      <w:r>
        <w:t xml:space="preserve">Sons of Moses: Gershom</w:t>
      </w:r>
      <w:r>
        <w:rPr>
          <w:rStyle w:val="FootnoteReference"/>
        </w:rPr>
        <w:footnoteReference w:id="8504"/>
      </w:r>
      <w:r>
        <w:t xml:space="preserve"> and Eliezer.</w:t>
      </w:r>
    </w:p>
    <w:p>
      <w:r>
        <w:rPr>
          <w:b/>
        </w:rPr>
        <w:t xml:space="preserve">16 </w:t>
      </w:r>
      <w:r>
        <w:t xml:space="preserve">Sons of Gershom: Shebuel</w:t>
      </w:r>
      <w:r>
        <w:rPr>
          <w:rStyle w:val="FootnoteReference"/>
        </w:rPr>
        <w:footnoteReference w:id="8505"/>
      </w:r>
      <w:r>
        <w:t xml:space="preserve"> chief.</w:t>
      </w:r>
      <w:r>
        <w:rPr>
          <w:rStyle w:val="FootnoteReference"/>
        </w:rPr>
        <w:footnoteReference w:id="8506"/>
      </w:r>
    </w:p>
    <w:p>
      <w:r>
        <w:rPr>
          <w:b/>
        </w:rPr>
        <w:t xml:space="preserve">17 </w:t>
      </w:r>
      <w:r>
        <w:t xml:space="preserve">And sons of Eliezer: Rehabiah</w:t>
      </w:r>
      <w:r>
        <w:rPr>
          <w:rStyle w:val="FootnoteReference"/>
        </w:rPr>
        <w:footnoteReference w:id="8507"/>
      </w:r>
      <w:r>
        <w:t xml:space="preserve"> chief. And Eliezer had no other sons, but sons of Rehabiah increased greatly.</w:t>
      </w:r>
    </w:p>
    <w:p>
      <w:r>
        <w:rPr>
          <w:b/>
        </w:rPr>
        <w:t xml:space="preserve">18 </w:t>
      </w:r>
      <w:r>
        <w:t xml:space="preserve">Sons of Izhar: Shelomith</w:t>
      </w:r>
      <w:r>
        <w:rPr>
          <w:rStyle w:val="FootnoteReference"/>
        </w:rPr>
        <w:footnoteReference w:id="8508"/>
      </w:r>
      <w:r>
        <w:t xml:space="preserve"> chief.</w:t>
      </w:r>
    </w:p>
    <w:p>
      <w:r>
        <w:rPr>
          <w:b/>
        </w:rPr>
        <w:t xml:space="preserve">19 </w:t>
      </w:r>
      <w:r>
        <w:t xml:space="preserve">Sons of Hebron</w:t>
      </w:r>
      <w:r>
        <w:rPr>
          <w:rStyle w:val="FootnoteReference"/>
        </w:rPr>
        <w:footnoteReference w:id="8509"/>
      </w:r>
      <w:r>
        <w:t xml:space="preserve">: Idoud chief, Amariah second, Uzziel third, Ikemias fourth.</w:t>
      </w:r>
    </w:p>
    <w:p>
      <w:r>
        <w:rPr>
          <w:b/>
        </w:rPr>
        <w:t xml:space="preserve">20 </w:t>
      </w:r>
      <w:r>
        <w:t xml:space="preserve">Sons of Uzziel: Micah chief, and Jesiah second.</w:t>
      </w:r>
    </w:p>
    <w:p>
      <w:r>
        <w:rPr>
          <w:b/>
        </w:rPr>
        <w:t xml:space="preserve">21 </w:t>
      </w:r>
      <w:r>
        <w:t xml:space="preserve">Sons of Merari</w:t>
      </w:r>
      <w:r>
        <w:rPr>
          <w:rStyle w:val="FootnoteReference"/>
        </w:rPr>
        <w:footnoteReference w:id="8510"/>
      </w:r>
      <w:r>
        <w:t xml:space="preserve">: Mahali and Mushi. Sons of Mahali: Eleazar and Kish.</w:t>
      </w:r>
    </w:p>
    <w:p>
      <w:r>
        <w:rPr>
          <w:b/>
        </w:rPr>
        <w:t xml:space="preserve">22 </w:t>
      </w:r>
      <w:r>
        <w:t xml:space="preserve">And Eleazar died, and he had no sons</w:t>
      </w:r>
      <w:r>
        <w:rPr>
          <w:rStyle w:val="FootnoteReference"/>
        </w:rPr>
        <w:footnoteReference w:id="8511"/>
      </w:r>
      <w:r>
        <w:t xml:space="preserve"> but daughters, and sons of Kish their brothers took them.</w:t>
      </w:r>
    </w:p>
    <w:p>
      <w:r>
        <w:rPr>
          <w:b/>
        </w:rPr>
        <w:t xml:space="preserve">23 </w:t>
      </w:r>
      <w:r>
        <w:t xml:space="preserve">Sons of Mushi: Mahali and Eder and Jeremoth</w:t>
      </w:r>
      <w:r>
        <w:rPr>
          <w:rStyle w:val="FootnoteReference"/>
        </w:rPr>
        <w:footnoteReference w:id="8512"/>
      </w:r>
      <w:r>
        <w:t xml:space="preserve">, three.</w:t>
      </w:r>
    </w:p>
    <w:p>
      <w:r>
        <w:rPr>
          <w:b/>
        </w:rPr>
        <w:t xml:space="preserve">24 </w:t>
      </w:r>
      <w:r>
        <w:t xml:space="preserve">These were sons of Levi according to the houses of their fathers, chiefs of fathers according to their mustering, by the number of their names, by head, doing works of service of the house of the Lord from twenty years old and upward</w:t>
      </w:r>
      <w:r>
        <w:rPr>
          <w:rStyle w:val="FootnoteReference"/>
        </w:rPr>
        <w:footnoteReference w:id="8513"/>
      </w:r>
      <w:r>
        <w:t xml:space="preserve">.</w:t>
      </w:r>
      <w:r>
        <w:rPr>
          <w:rStyle w:val="FootnoteReference"/>
        </w:rPr>
        <w:footnoteReference w:id="8514"/>
      </w:r>
    </w:p>
    <w:p>
      <w:r>
        <w:rPr>
          <w:b/>
        </w:rPr>
        <w:t xml:space="preserve">25 </w:t>
      </w:r>
      <w:r>
        <w:t xml:space="preserve">Because David said, the Lord</w:t>
      </w:r>
      <w:r>
        <w:rPr>
          <w:rStyle w:val="FootnoteReference"/>
        </w:rPr>
        <w:footnoteReference w:id="8515"/>
      </w:r>
      <w:r>
        <w:t xml:space="preserve"> God of Israel gave rest to his people, and he dwelt in Jerusalem forever.</w:t>
      </w:r>
    </w:p>
    <w:p>
      <w:r>
        <w:rPr>
          <w:b/>
        </w:rPr>
        <w:t xml:space="preserve">26 </w:t>
      </w:r>
      <w:r>
        <w:t xml:space="preserve">And Levites were no longer carrying tent and all its vessels for its service.</w:t>
      </w:r>
    </w:p>
    <w:p>
      <w:r>
        <w:rPr>
          <w:b/>
        </w:rPr>
        <w:t xml:space="preserve">27 </w:t>
      </w:r>
      <w:r>
        <w:t xml:space="preserve">For in last words of David is number of sons of Levi from twenty years old and upward.</w:t>
      </w:r>
    </w:p>
    <w:p>
      <w:r>
        <w:rPr>
          <w:b/>
        </w:rPr>
        <w:t xml:space="preserve">28 </w:t>
      </w:r>
      <w:r>
        <w:t xml:space="preserve">Because he set them by the hand of Aaron</w:t>
      </w:r>
      <w:r>
        <w:rPr>
          <w:rStyle w:val="FootnoteReference"/>
        </w:rPr>
        <w:footnoteReference w:id="8516"/>
      </w:r>
      <w:r>
        <w:t xml:space="preserve"> to minister in the house of the Lord, over courts and over storerooms and over the cleansing of all holy things and over the works of service of the house of God,</w:t>
      </w:r>
    </w:p>
    <w:p>
      <w:r>
        <w:rPr>
          <w:b/>
        </w:rPr>
        <w:t xml:space="preserve">29 </w:t>
      </w:r>
      <w:r>
        <w:t xml:space="preserve">for the bread of presentation and for the fine flour</w:t>
      </w:r>
      <w:r>
        <w:rPr>
          <w:rStyle w:val="FootnoteReference"/>
        </w:rPr>
        <w:footnoteReference w:id="8517"/>
      </w:r>
      <w:r>
        <w:t xml:space="preserve"> of offering and for unleavened wafers and for griddle and for mixed dough and for every measure,</w:t>
      </w:r>
    </w:p>
    <w:p>
      <w:r>
        <w:rPr>
          <w:b/>
        </w:rPr>
        <w:t xml:space="preserve">30 </w:t>
      </w:r>
      <w:r>
        <w:t xml:space="preserve">and to stand</w:t>
      </w:r>
      <w:r>
        <w:rPr>
          <w:rStyle w:val="FootnoteReference"/>
        </w:rPr>
        <w:footnoteReference w:id="8518"/>
      </w:r>
      <w:r>
        <w:t xml:space="preserve"> morning by morning to praise and give thanks to the Lord, and likewise at evening,</w:t>
      </w:r>
    </w:p>
    <w:p>
      <w:r>
        <w:rPr>
          <w:b/>
        </w:rPr>
        <w:t xml:space="preserve">31 </w:t>
      </w:r>
      <w:r>
        <w:t xml:space="preserve">and over all whole burnt offerings offered to the Lord on Sabbaths and on new moons and on feasts, by number according to ordinance upon them continually before the Lord</w:t>
      </w:r>
      <w:r>
        <w:rPr>
          <w:rStyle w:val="FootnoteReference"/>
        </w:rPr>
        <w:footnoteReference w:id="8519"/>
      </w:r>
      <w:r>
        <w:t xml:space="preserve">,</w:t>
      </w:r>
    </w:p>
    <w:p>
      <w:r>
        <w:rPr>
          <w:b/>
        </w:rPr>
        <w:t xml:space="preserve">32 </w:t>
      </w:r>
      <w:r>
        <w:t xml:space="preserve">and they shall keep</w:t>
      </w:r>
      <w:r>
        <w:rPr>
          <w:rStyle w:val="FootnoteReference"/>
        </w:rPr>
        <w:footnoteReference w:id="8520"/>
      </w:r>
      <w:r>
        <w:t xml:space="preserve"> charges of the tent of testimony and charges of the sons of Aaron their brothers, to minister in the house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for the sons</w:t>
      </w:r>
      <w:r>
        <w:rPr>
          <w:rStyle w:val="FootnoteReference"/>
        </w:rPr>
        <w:footnoteReference w:id="8521"/>
      </w:r>
      <w:r>
        <w:t xml:space="preserve"> of Aaron, divisions: sons of Aaron were Nadab and Abihu, Eleazar and Ithamar.</w:t>
      </w:r>
    </w:p>
    <w:p>
      <w:r>
        <w:rPr>
          <w:b/>
        </w:rPr>
        <w:t xml:space="preserve">2 </w:t>
      </w:r>
      <w:r>
        <w:t xml:space="preserve">And Nadab</w:t>
      </w:r>
      <w:r>
        <w:rPr>
          <w:rStyle w:val="FootnoteReference"/>
        </w:rPr>
        <w:footnoteReference w:id="8522"/>
      </w:r>
      <w:r>
        <w:t xml:space="preserve"> and Abihu died before their father, and they had no sons, and Eleazar and Ithamar, sons of Aaron, served as priests.</w:t>
      </w:r>
    </w:p>
    <w:p>
      <w:r>
        <w:rPr>
          <w:b/>
        </w:rPr>
        <w:t xml:space="preserve">3 </w:t>
      </w:r>
      <w:r>
        <w:t xml:space="preserve">And David divided them, and Zadok</w:t>
      </w:r>
      <w:r>
        <w:rPr>
          <w:rStyle w:val="FootnoteReference"/>
        </w:rPr>
        <w:footnoteReference w:id="8523"/>
      </w:r>
      <w:r>
        <w:t xml:space="preserve"> from the sons of Eleazar and Ahimelech from the sons of Ithamar, according to their mustering for their service by the houses of their fathers.</w:t>
      </w:r>
    </w:p>
    <w:p>
      <w:r>
        <w:rPr>
          <w:b/>
        </w:rPr>
        <w:t xml:space="preserve">4 </w:t>
      </w:r>
      <w:r>
        <w:t xml:space="preserve">And more sons of Eleazar were found as chiefs of mighty men than sons of Ithamar</w:t>
      </w:r>
      <w:r>
        <w:rPr>
          <w:rStyle w:val="FootnoteReference"/>
        </w:rPr>
        <w:footnoteReference w:id="8524"/>
      </w:r>
      <w:r>
        <w:t xml:space="preserve">, and he divided them: for the sons of Eleazar, sixteen chiefs by father-houses, and for the sons of Ithamar, eight by father-houses.</w:t>
      </w:r>
      <w:r>
        <w:rPr>
          <w:rStyle w:val="FootnoteReference"/>
        </w:rPr>
        <w:footnoteReference w:id="8525"/>
      </w:r>
    </w:p>
    <w:p>
      <w:r>
        <w:rPr>
          <w:b/>
        </w:rPr>
        <w:t xml:space="preserve">5 </w:t>
      </w:r>
      <w:r>
        <w:t xml:space="preserve">And he divided them by lots, these with those, because they were chiefs of holy things and chiefs of God among sons of Eleazar and among sons of Ithamar.</w:t>
      </w:r>
    </w:p>
    <w:p>
      <w:r>
        <w:rPr>
          <w:b/>
        </w:rPr>
        <w:t xml:space="preserve">6 </w:t>
      </w:r>
      <w:r>
        <w:t xml:space="preserve">And Shemaiah son of Nathanael, scribe from Levi, wrote them before the king and rulers and Zadok priest and Ahimelech son of Abiathar and chiefs of the father-houses of priests and Levites, one father-house taken for Eleazar and one taken for Ithamar.</w:t>
      </w:r>
      <w:r>
        <w:rPr>
          <w:rStyle w:val="FootnoteReference"/>
        </w:rPr>
        <w:footnoteReference w:id="8526"/>
      </w:r>
    </w:p>
    <w:p>
      <w:r>
        <w:rPr>
          <w:b/>
        </w:rPr>
        <w:t xml:space="preserve">7 </w:t>
      </w:r>
      <w:r>
        <w:t xml:space="preserve">And first lot came out to Jarib, to Jedaiah</w:t>
      </w:r>
      <w:r>
        <w:rPr>
          <w:rStyle w:val="FootnoteReference"/>
        </w:rPr>
        <w:footnoteReference w:id="8527"/>
      </w:r>
      <w:r>
        <w:t xml:space="preserve"> second,</w:t>
      </w:r>
    </w:p>
    <w:p>
      <w:r>
        <w:rPr>
          <w:b/>
        </w:rPr>
        <w:t xml:space="preserve">8 </w:t>
      </w:r>
      <w:r>
        <w:t xml:space="preserve">to Harim</w:t>
      </w:r>
      <w:r>
        <w:rPr>
          <w:rStyle w:val="FootnoteReference"/>
        </w:rPr>
        <w:footnoteReference w:id="8528"/>
      </w:r>
      <w:r>
        <w:t xml:space="preserve"> third, to Seorim</w:t>
      </w:r>
      <w:r>
        <w:rPr>
          <w:rStyle w:val="FootnoteReference"/>
        </w:rPr>
        <w:footnoteReference w:id="8529"/>
      </w:r>
      <w:r>
        <w:t xml:space="preserve"> fourth,</w:t>
      </w:r>
      <w:r>
        <w:rPr>
          <w:rStyle w:val="FootnoteReference"/>
        </w:rPr>
        <w:footnoteReference w:id="8530"/>
      </w:r>
    </w:p>
    <w:p>
      <w:r>
        <w:rPr>
          <w:b/>
        </w:rPr>
        <w:t xml:space="preserve">9 </w:t>
      </w:r>
      <w:r>
        <w:t xml:space="preserve">to Malchijah fifth, to Mijamin</w:t>
      </w:r>
      <w:r>
        <w:rPr>
          <w:rStyle w:val="FootnoteReference"/>
        </w:rPr>
        <w:footnoteReference w:id="8531"/>
      </w:r>
      <w:r>
        <w:t xml:space="preserve"> sixth,</w:t>
      </w:r>
      <w:r>
        <w:rPr>
          <w:rStyle w:val="FootnoteReference"/>
        </w:rPr>
        <w:footnoteReference w:id="8532"/>
      </w:r>
    </w:p>
    <w:p>
      <w:r>
        <w:rPr>
          <w:b/>
        </w:rPr>
        <w:t xml:space="preserve">10 </w:t>
      </w:r>
      <w:r>
        <w:t xml:space="preserve">to Koz</w:t>
      </w:r>
      <w:r>
        <w:rPr>
          <w:rStyle w:val="FootnoteReference"/>
        </w:rPr>
        <w:footnoteReference w:id="8533"/>
      </w:r>
      <w:r>
        <w:t xml:space="preserve"> seventh, to Abijah</w:t>
      </w:r>
      <w:r>
        <w:rPr>
          <w:rStyle w:val="FootnoteReference"/>
        </w:rPr>
        <w:footnoteReference w:id="8534"/>
      </w:r>
      <w:r>
        <w:t xml:space="preserve"> eighth,</w:t>
      </w:r>
    </w:p>
    <w:p>
      <w:r>
        <w:rPr>
          <w:b/>
        </w:rPr>
        <w:t xml:space="preserve">11 </w:t>
      </w:r>
      <w:r>
        <w:t xml:space="preserve">to Jeshuah</w:t>
      </w:r>
      <w:r>
        <w:rPr>
          <w:rStyle w:val="FootnoteReference"/>
        </w:rPr>
        <w:footnoteReference w:id="8535"/>
      </w:r>
      <w:r>
        <w:t xml:space="preserve"> ninth, to Shecaniah tenth,</w:t>
      </w:r>
      <w:r>
        <w:rPr>
          <w:rStyle w:val="FootnoteReference"/>
        </w:rPr>
        <w:footnoteReference w:id="8536"/>
      </w:r>
    </w:p>
    <w:p>
      <w:r>
        <w:rPr>
          <w:b/>
        </w:rPr>
        <w:t xml:space="preserve">12 </w:t>
      </w:r>
      <w:r>
        <w:t xml:space="preserve">to Eliashib</w:t>
      </w:r>
      <w:r>
        <w:rPr>
          <w:rStyle w:val="FootnoteReference"/>
        </w:rPr>
        <w:footnoteReference w:id="8537"/>
      </w:r>
      <w:r>
        <w:t xml:space="preserve"> eleventh, to Jakim twelfth,</w:t>
      </w:r>
    </w:p>
    <w:p>
      <w:r>
        <w:rPr>
          <w:b/>
        </w:rPr>
        <w:t xml:space="preserve">13 </w:t>
      </w:r>
      <w:r>
        <w:t xml:space="preserve">to Ochchoppha thirteenth, to Eshbaal fourteenth,</w:t>
      </w:r>
    </w:p>
    <w:p>
      <w:r>
        <w:rPr>
          <w:b/>
        </w:rPr>
        <w:t xml:space="preserve">14 </w:t>
      </w:r>
      <w:r>
        <w:t xml:space="preserve">to Bilgah</w:t>
      </w:r>
      <w:r>
        <w:rPr>
          <w:rStyle w:val="FootnoteReference"/>
        </w:rPr>
        <w:footnoteReference w:id="8538"/>
      </w:r>
      <w:r>
        <w:t xml:space="preserve"> fifteenth, to Immer</w:t>
      </w:r>
      <w:r>
        <w:rPr>
          <w:rStyle w:val="FootnoteReference"/>
        </w:rPr>
        <w:footnoteReference w:id="8539"/>
      </w:r>
      <w:r>
        <w:t xml:space="preserve"> sixteenth,</w:t>
      </w:r>
    </w:p>
    <w:p>
      <w:r>
        <w:rPr>
          <w:b/>
        </w:rPr>
        <w:t xml:space="preserve">15 </w:t>
      </w:r>
      <w:r>
        <w:t xml:space="preserve">to Hezir</w:t>
      </w:r>
      <w:r>
        <w:rPr>
          <w:rStyle w:val="FootnoteReference"/>
        </w:rPr>
        <w:footnoteReference w:id="8540"/>
      </w:r>
      <w:r>
        <w:t xml:space="preserve"> seventeenth, to Aphesse eighteenth,</w:t>
      </w:r>
    </w:p>
    <w:p>
      <w:r>
        <w:rPr>
          <w:b/>
        </w:rPr>
        <w:t xml:space="preserve">16 </w:t>
      </w:r>
      <w:r>
        <w:t xml:space="preserve">to Pethahiah</w:t>
      </w:r>
      <w:r>
        <w:rPr>
          <w:rStyle w:val="FootnoteReference"/>
        </w:rPr>
        <w:footnoteReference w:id="8541"/>
      </w:r>
      <w:r>
        <w:t xml:space="preserve"> nineteenth, to Jehezekel</w:t>
      </w:r>
      <w:r>
        <w:rPr>
          <w:rStyle w:val="FootnoteReference"/>
        </w:rPr>
        <w:footnoteReference w:id="8542"/>
      </w:r>
      <w:r>
        <w:t xml:space="preserve"> twentieth,</w:t>
      </w:r>
    </w:p>
    <w:p>
      <w:r>
        <w:rPr>
          <w:b/>
        </w:rPr>
        <w:t xml:space="preserve">17 </w:t>
      </w:r>
      <w:r>
        <w:t xml:space="preserve">to Jachin twenty-first, to Gamul</w:t>
      </w:r>
      <w:r>
        <w:rPr>
          <w:rStyle w:val="FootnoteReference"/>
        </w:rPr>
        <w:footnoteReference w:id="8543"/>
      </w:r>
      <w:r>
        <w:t xml:space="preserve"> twenty-second,</w:t>
      </w:r>
    </w:p>
    <w:p>
      <w:r>
        <w:rPr>
          <w:b/>
        </w:rPr>
        <w:t xml:space="preserve">18 </w:t>
      </w:r>
      <w:r>
        <w:t xml:space="preserve">to Delaiah</w:t>
      </w:r>
      <w:r>
        <w:rPr>
          <w:rStyle w:val="FootnoteReference"/>
        </w:rPr>
        <w:footnoteReference w:id="8544"/>
      </w:r>
      <w:r>
        <w:t xml:space="preserve"> twenty-third, to Maaziah</w:t>
      </w:r>
      <w:r>
        <w:rPr>
          <w:rStyle w:val="FootnoteReference"/>
        </w:rPr>
        <w:footnoteReference w:id="8545"/>
      </w:r>
      <w:r>
        <w:t xml:space="preserve"> twenty-fourth.</w:t>
      </w:r>
    </w:p>
    <w:p>
      <w:r>
        <w:rPr>
          <w:b/>
        </w:rPr>
        <w:t xml:space="preserve">19 </w:t>
      </w:r>
      <w:r>
        <w:t xml:space="preserve">This was their mustering for their service to enter the house of the Lord according to their ordinance by the hand of Aaron their father, as the Lord God of Israel commanded him.</w:t>
      </w:r>
    </w:p>
    <w:p>
      <w:r>
        <w:rPr>
          <w:b/>
        </w:rPr>
        <w:t xml:space="preserve">20 </w:t>
      </w:r>
      <w:r>
        <w:t xml:space="preserve">And for the remaining sons of Levi: for the sons of Amram</w:t>
      </w:r>
      <w:r>
        <w:rPr>
          <w:rStyle w:val="FootnoteReference"/>
        </w:rPr>
        <w:footnoteReference w:id="8546"/>
      </w:r>
      <w:r>
        <w:t xml:space="preserve">, Shebuel; for the sons of Shebuel, Iadia.</w:t>
      </w:r>
    </w:p>
    <w:p>
      <w:r>
        <w:rPr>
          <w:b/>
        </w:rPr>
        <w:t xml:space="preserve">21 </w:t>
      </w:r>
      <w:r>
        <w:t xml:space="preserve">For Rehabiah</w:t>
      </w:r>
      <w:r>
        <w:rPr>
          <w:rStyle w:val="FootnoteReference"/>
        </w:rPr>
        <w:footnoteReference w:id="8547"/>
      </w:r>
      <w:r>
        <w:t xml:space="preserve">, chief was Isshiah</w:t>
      </w:r>
      <w:r>
        <w:rPr>
          <w:rStyle w:val="FootnoteReference"/>
        </w:rPr>
        <w:footnoteReference w:id="8548"/>
      </w:r>
      <w:r>
        <w:t xml:space="preserve">.</w:t>
      </w:r>
    </w:p>
    <w:p>
      <w:r>
        <w:rPr>
          <w:b/>
        </w:rPr>
        <w:t xml:space="preserve">22 </w:t>
      </w:r>
      <w:r>
        <w:t xml:space="preserve">And for Izharites</w:t>
      </w:r>
      <w:r>
        <w:rPr>
          <w:rStyle w:val="FootnoteReference"/>
        </w:rPr>
        <w:footnoteReference w:id="8549"/>
      </w:r>
      <w:r>
        <w:t xml:space="preserve">, Shelomith; for the sons of Shelomith, Jahath.</w:t>
      </w:r>
      <w:r>
        <w:rPr>
          <w:rStyle w:val="FootnoteReference"/>
        </w:rPr>
        <w:footnoteReference w:id="8550"/>
      </w:r>
    </w:p>
    <w:p>
      <w:r>
        <w:rPr>
          <w:b/>
        </w:rPr>
        <w:t xml:space="preserve">23 </w:t>
      </w:r>
      <w:r>
        <w:t xml:space="preserve">Sons of Hebron: Amariah second, Jahaziel</w:t>
      </w:r>
      <w:r>
        <w:rPr>
          <w:rStyle w:val="FootnoteReference"/>
        </w:rPr>
        <w:footnoteReference w:id="8551"/>
      </w:r>
      <w:r>
        <w:t xml:space="preserve"> third, Iokom fourth.</w:t>
      </w:r>
    </w:p>
    <w:p>
      <w:r>
        <w:rPr>
          <w:b/>
        </w:rPr>
        <w:t xml:space="preserve">24 </w:t>
      </w:r>
      <w:r>
        <w:t xml:space="preserve">Sons of Uzziel: Michah</w:t>
      </w:r>
      <w:r>
        <w:rPr>
          <w:rStyle w:val="FootnoteReference"/>
        </w:rPr>
        <w:footnoteReference w:id="8552"/>
      </w:r>
      <w:r>
        <w:t xml:space="preserve">; sons of Michah: Shamir.</w:t>
      </w:r>
    </w:p>
    <w:p>
      <w:r>
        <w:rPr>
          <w:b/>
        </w:rPr>
        <w:t xml:space="preserve">25 </w:t>
      </w:r>
      <w:r>
        <w:t xml:space="preserve">Brother of Michah: Jesiah; sons of Jesiah: Zechariah</w:t>
      </w:r>
      <w:r>
        <w:rPr>
          <w:rStyle w:val="FootnoteReference"/>
        </w:rPr>
        <w:footnoteReference w:id="8553"/>
      </w:r>
      <w:r>
        <w:t xml:space="preserve">.</w:t>
      </w:r>
    </w:p>
    <w:p>
      <w:r>
        <w:rPr>
          <w:b/>
        </w:rPr>
        <w:t xml:space="preserve">26 </w:t>
      </w:r>
      <w:r>
        <w:t xml:space="preserve">Sons of Merari: Mahali and Mushi; sons of Uzziah: sons of Bonni.</w:t>
      </w:r>
    </w:p>
    <w:p>
      <w:r>
        <w:rPr>
          <w:b/>
        </w:rPr>
        <w:t xml:space="preserve">27 </w:t>
      </w:r>
      <w:r>
        <w:t xml:space="preserve">Sons</w:t>
      </w:r>
      <w:r>
        <w:rPr>
          <w:rStyle w:val="FootnoteReference"/>
        </w:rPr>
        <w:footnoteReference w:id="8554"/>
      </w:r>
      <w:r>
        <w:t xml:space="preserve"> of Merari for Uzziah: his sons Isoam and Zaccur and Abdi.</w:t>
      </w:r>
    </w:p>
    <w:p>
      <w:r>
        <w:rPr>
          <w:b/>
        </w:rPr>
        <w:t xml:space="preserve">28 </w:t>
      </w:r>
      <w:r>
        <w:t xml:space="preserve">For Mahali: Eleazar and Ithamar; and Eleazar died and had no sons.</w:t>
      </w:r>
    </w:p>
    <w:p>
      <w:r>
        <w:rPr>
          <w:b/>
        </w:rPr>
        <w:t xml:space="preserve">29 </w:t>
      </w:r>
      <w:r>
        <w:t xml:space="preserve">For Kish: sons of Kish, Jerahmeel</w:t>
      </w:r>
      <w:r>
        <w:rPr>
          <w:rStyle w:val="FootnoteReference"/>
        </w:rPr>
        <w:footnoteReference w:id="8555"/>
      </w:r>
      <w:r>
        <w:t xml:space="preserve">.</w:t>
      </w:r>
    </w:p>
    <w:p>
      <w:r>
        <w:rPr>
          <w:b/>
        </w:rPr>
        <w:t xml:space="preserve">30 </w:t>
      </w:r>
      <w:r>
        <w:t xml:space="preserve">And sons of Mushi</w:t>
      </w:r>
      <w:r>
        <w:rPr>
          <w:rStyle w:val="FootnoteReference"/>
        </w:rPr>
        <w:footnoteReference w:id="8556"/>
      </w:r>
      <w:r>
        <w:t xml:space="preserve">: Mahali and Eder and Jeremoth. These were sons of Levites by the houses of their fathers.</w:t>
      </w:r>
    </w:p>
    <w:p>
      <w:r>
        <w:rPr>
          <w:b/>
        </w:rPr>
        <w:t xml:space="preserve">31 </w:t>
      </w:r>
      <w:r>
        <w:t xml:space="preserve">And they too received lots</w:t>
      </w:r>
      <w:r>
        <w:rPr>
          <w:rStyle w:val="FootnoteReference"/>
        </w:rPr>
        <w:footnoteReference w:id="8557"/>
      </w:r>
      <w:r>
        <w:t xml:space="preserve">, like their brothers sons of Aaron, before the king and Zadok and Ahimelech and chiefs of the father-houses of priests and Levites, elder fathers like their younger brothers</w:t>
      </w:r>
      <w:r>
        <w:rPr>
          <w:rStyle w:val="FootnoteReference"/>
        </w:rPr>
        <w:footnoteReference w:id="8558"/>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King David and rulers of force appointed for works sons of Asaph</w:t>
      </w:r>
      <w:r>
        <w:rPr>
          <w:rStyle w:val="FootnoteReference"/>
        </w:rPr>
        <w:footnoteReference w:id="8559"/>
      </w:r>
      <w:r>
        <w:t xml:space="preserve"> and Heman and Jeduthun, those prophesying with lyres and harps and cymbals</w:t>
      </w:r>
      <w:r>
        <w:rPr>
          <w:rStyle w:val="FootnoteReference"/>
        </w:rPr>
        <w:footnoteReference w:id="8560"/>
      </w:r>
      <w:r>
        <w:t xml:space="preserve">, and their number by head was according to their works.</w:t>
      </w:r>
    </w:p>
    <w:p>
      <w:r>
        <w:rPr>
          <w:b/>
        </w:rPr>
        <w:t xml:space="preserve">2 </w:t>
      </w:r>
      <w:r>
        <w:t xml:space="preserve">Sons of Asaph</w:t>
      </w:r>
      <w:r>
        <w:rPr>
          <w:rStyle w:val="FootnoteReference"/>
        </w:rPr>
        <w:footnoteReference w:id="8561"/>
      </w:r>
      <w:r>
        <w:t xml:space="preserve">: Zaccur and Joseph and Nethaniah and Asarelah</w:t>
      </w:r>
      <w:r>
        <w:rPr>
          <w:rStyle w:val="FootnoteReference"/>
        </w:rPr>
        <w:footnoteReference w:id="8562"/>
      </w:r>
      <w:r>
        <w:t xml:space="preserve">, sons of Asaph, under Asaph the prophet, under king.</w:t>
      </w:r>
    </w:p>
    <w:p>
      <w:r>
        <w:rPr>
          <w:b/>
        </w:rPr>
        <w:t xml:space="preserve">3 </w:t>
      </w:r>
      <w:r>
        <w:t xml:space="preserve">For Jeduthun</w:t>
      </w:r>
      <w:r>
        <w:rPr>
          <w:rStyle w:val="FootnoteReference"/>
        </w:rPr>
        <w:footnoteReference w:id="8563"/>
      </w:r>
      <w:r>
        <w:t xml:space="preserve">: sons of Jeduthun, Gedaliah and Zeri</w:t>
      </w:r>
      <w:r>
        <w:rPr>
          <w:rStyle w:val="FootnoteReference"/>
        </w:rPr>
        <w:footnoteReference w:id="8564"/>
      </w:r>
      <w:r>
        <w:t xml:space="preserve"> and Jesaiah and Shimei and Hashabiah and Mattathias, six, after their father Jeduthun, with lyre, sounding thanksgiving and praise to the Lord.</w:t>
      </w:r>
    </w:p>
    <w:p>
      <w:r>
        <w:rPr>
          <w:b/>
        </w:rPr>
        <w:t xml:space="preserve">4 </w:t>
      </w:r>
      <w:r>
        <w:t xml:space="preserve">For Heman</w:t>
      </w:r>
      <w:r>
        <w:rPr>
          <w:rStyle w:val="FootnoteReference"/>
        </w:rPr>
        <w:footnoteReference w:id="8565"/>
      </w:r>
      <w:r>
        <w:t xml:space="preserve">: sons of Heman, Bukkiah</w:t>
      </w:r>
      <w:r>
        <w:rPr>
          <w:rStyle w:val="FootnoteReference"/>
        </w:rPr>
        <w:footnoteReference w:id="8566"/>
      </w:r>
      <w:r>
        <w:t xml:space="preserve"> and Mattaniah and Azarel</w:t>
      </w:r>
      <w:r>
        <w:rPr>
          <w:rStyle w:val="FootnoteReference"/>
        </w:rPr>
        <w:footnoteReference w:id="8567"/>
      </w:r>
      <w:r>
        <w:t xml:space="preserve"> and Shebuel and Jerimoth and Ananias</w:t>
      </w:r>
      <w:r>
        <w:rPr>
          <w:rStyle w:val="FootnoteReference"/>
        </w:rPr>
        <w:footnoteReference w:id="8568"/>
      </w:r>
      <w:r>
        <w:t xml:space="preserve"> and Anani and Eliathah</w:t>
      </w:r>
      <w:r>
        <w:rPr>
          <w:rStyle w:val="FootnoteReference"/>
        </w:rPr>
        <w:footnoteReference w:id="8569"/>
      </w:r>
      <w:r>
        <w:t xml:space="preserve"> and Giddalti</w:t>
      </w:r>
      <w:r>
        <w:rPr>
          <w:rStyle w:val="FootnoteReference"/>
        </w:rPr>
        <w:footnoteReference w:id="8570"/>
      </w:r>
      <w:r>
        <w:t xml:space="preserve"> and Romamtiezer</w:t>
      </w:r>
      <w:r>
        <w:rPr>
          <w:rStyle w:val="FootnoteReference"/>
        </w:rPr>
        <w:footnoteReference w:id="8571"/>
      </w:r>
      <w:r>
        <w:t xml:space="preserve"> and Joshbekashah</w:t>
      </w:r>
      <w:r>
        <w:rPr>
          <w:rStyle w:val="FootnoteReference"/>
        </w:rPr>
        <w:footnoteReference w:id="8572"/>
      </w:r>
      <w:r>
        <w:t xml:space="preserve"> and Mallothi</w:t>
      </w:r>
      <w:r>
        <w:rPr>
          <w:rStyle w:val="FootnoteReference"/>
        </w:rPr>
        <w:footnoteReference w:id="8573"/>
      </w:r>
      <w:r>
        <w:t xml:space="preserve"> and Hothir</w:t>
      </w:r>
      <w:r>
        <w:rPr>
          <w:rStyle w:val="FootnoteReference"/>
        </w:rPr>
        <w:footnoteReference w:id="8574"/>
      </w:r>
      <w:r>
        <w:t xml:space="preserve"> and Mahazioth</w:t>
      </w:r>
      <w:r>
        <w:rPr>
          <w:rStyle w:val="FootnoteReference"/>
        </w:rPr>
        <w:footnoteReference w:id="8575"/>
      </w:r>
      <w:r>
        <w:t xml:space="preserve">.</w:t>
      </w:r>
      <w:r>
        <w:rPr>
          <w:rStyle w:val="FootnoteReference"/>
        </w:rPr>
        <w:footnoteReference w:id="8576"/>
      </w:r>
    </w:p>
    <w:p>
      <w:r>
        <w:rPr>
          <w:b/>
        </w:rPr>
        <w:t xml:space="preserve">5 </w:t>
      </w:r>
      <w:r>
        <w:t xml:space="preserve">All these were sons of Heman, one sounding to the king in the words of God, to raise horn, and God gave</w:t>
      </w:r>
      <w:r>
        <w:rPr>
          <w:rStyle w:val="FootnoteReference"/>
        </w:rPr>
        <w:footnoteReference w:id="8577"/>
      </w:r>
      <w:r>
        <w:t xml:space="preserve"> to Heman fourteen sons and three daughters.</w:t>
      </w:r>
    </w:p>
    <w:p>
      <w:r>
        <w:rPr>
          <w:b/>
        </w:rPr>
        <w:t xml:space="preserve">6 </w:t>
      </w:r>
      <w:r>
        <w:t xml:space="preserve">All these, with their father, were singing hymns</w:t>
      </w:r>
      <w:r>
        <w:rPr>
          <w:rStyle w:val="FootnoteReference"/>
        </w:rPr>
        <w:footnoteReference w:id="8578"/>
      </w:r>
      <w:r>
        <w:t xml:space="preserve"> in the house of the Lord with cymbals and harps and lyres, under king, and Asaph</w:t>
      </w:r>
      <w:r>
        <w:rPr>
          <w:rStyle w:val="FootnoteReference"/>
        </w:rPr>
        <w:footnoteReference w:id="8579"/>
      </w:r>
      <w:r>
        <w:t xml:space="preserve"> and Jeduthun and Heman.</w:t>
      </w:r>
    </w:p>
    <w:p>
      <w:r>
        <w:rPr>
          <w:b/>
        </w:rPr>
        <w:t xml:space="preserve">7 </w:t>
      </w:r>
      <w:r>
        <w:t xml:space="preserve">And their number with their brothers, taught to sing to the Lord, every one understanding, was two hundred</w:t>
      </w:r>
      <w:r>
        <w:rPr>
          <w:rStyle w:val="FootnoteReference"/>
        </w:rPr>
        <w:footnoteReference w:id="8580"/>
      </w:r>
      <w:r>
        <w:t xml:space="preserve"> eighty-eight.</w:t>
      </w:r>
    </w:p>
    <w:p>
      <w:r>
        <w:rPr>
          <w:b/>
        </w:rPr>
        <w:t xml:space="preserve">8 </w:t>
      </w:r>
      <w:r>
        <w:t xml:space="preserve">And they also cast lots</w:t>
      </w:r>
      <w:r>
        <w:rPr>
          <w:rStyle w:val="FootnoteReference"/>
        </w:rPr>
        <w:footnoteReference w:id="8581"/>
      </w:r>
      <w:r>
        <w:t xml:space="preserve"> for courses, small like great, perfect like learners.</w:t>
      </w:r>
    </w:p>
    <w:p>
      <w:r>
        <w:rPr>
          <w:b/>
        </w:rPr>
        <w:t xml:space="preserve">9 </w:t>
      </w:r>
      <w:r>
        <w:t xml:space="preserve">And first lot came out for the sons of him and brothers of Asaph, to Joseph</w:t>
      </w:r>
      <w:r>
        <w:rPr>
          <w:rStyle w:val="FootnoteReference"/>
        </w:rPr>
        <w:footnoteReference w:id="8582"/>
      </w:r>
      <w:r>
        <w:t xml:space="preserve">; Gedaliah second, he and his brothers and sons, twelve.</w:t>
      </w:r>
    </w:p>
    <w:p>
      <w:r>
        <w:rPr>
          <w:b/>
        </w:rPr>
        <w:t xml:space="preserve">10 </w:t>
      </w:r>
      <w:r>
        <w:t xml:space="preserve">Third, Zaccur</w:t>
      </w:r>
      <w:r>
        <w:rPr>
          <w:rStyle w:val="FootnoteReference"/>
        </w:rPr>
        <w:footnoteReference w:id="8583"/>
      </w:r>
      <w:r>
        <w:t xml:space="preserve">, his sons and his brothers, twelve.</w:t>
      </w:r>
    </w:p>
    <w:p>
      <w:r>
        <w:rPr>
          <w:b/>
        </w:rPr>
        <w:t xml:space="preserve">11 </w:t>
      </w:r>
      <w:r>
        <w:t xml:space="preserve">Fourth, Iesdri, his sons and his brothers, twelve.</w:t>
      </w:r>
    </w:p>
    <w:p>
      <w:r>
        <w:rPr>
          <w:b/>
        </w:rPr>
        <w:t xml:space="preserve">12 </w:t>
      </w:r>
      <w:r>
        <w:t xml:space="preserve">Fifth, Nethaniah</w:t>
      </w:r>
      <w:r>
        <w:rPr>
          <w:rStyle w:val="FootnoteReference"/>
        </w:rPr>
        <w:footnoteReference w:id="8584"/>
      </w:r>
      <w:r>
        <w:t xml:space="preserve">, his sons and his brothers, twelve.</w:t>
      </w:r>
    </w:p>
    <w:p>
      <w:r>
        <w:rPr>
          <w:b/>
        </w:rPr>
        <w:t xml:space="preserve">13 </w:t>
      </w:r>
      <w:r>
        <w:t xml:space="preserve">Sixth, Bukkiah, his sons and his brothers, twelve.</w:t>
      </w:r>
    </w:p>
    <w:p>
      <w:r>
        <w:rPr>
          <w:b/>
        </w:rPr>
        <w:t xml:space="preserve">14 </w:t>
      </w:r>
      <w:r>
        <w:t xml:space="preserve">Seventh, Jesharelah</w:t>
      </w:r>
      <w:r>
        <w:rPr>
          <w:rStyle w:val="FootnoteReference"/>
        </w:rPr>
        <w:footnoteReference w:id="8585"/>
      </w:r>
      <w:r>
        <w:t xml:space="preserve">, his sons and his brothers, twelve.</w:t>
      </w:r>
      <w:r>
        <w:rPr>
          <w:rStyle w:val="FootnoteReference"/>
        </w:rPr>
        <w:footnoteReference w:id="8586"/>
      </w:r>
    </w:p>
    <w:p>
      <w:r>
        <w:rPr>
          <w:b/>
        </w:rPr>
        <w:t xml:space="preserve">15 </w:t>
      </w:r>
      <w:r>
        <w:t xml:space="preserve">Eighth, Jeshaiah</w:t>
      </w:r>
      <w:r>
        <w:rPr>
          <w:rStyle w:val="FootnoteReference"/>
        </w:rPr>
        <w:footnoteReference w:id="8587"/>
      </w:r>
      <w:r>
        <w:t xml:space="preserve">, his sons and his brothers, twelve.</w:t>
      </w:r>
    </w:p>
    <w:p>
      <w:r>
        <w:rPr>
          <w:b/>
        </w:rPr>
        <w:t xml:space="preserve">16 </w:t>
      </w:r>
      <w:r>
        <w:t xml:space="preserve">Ninth, Mattaniah, his sons and his brothers, twelve.</w:t>
      </w:r>
    </w:p>
    <w:p>
      <w:r>
        <w:rPr>
          <w:b/>
        </w:rPr>
        <w:t xml:space="preserve">17 </w:t>
      </w:r>
      <w:r>
        <w:t xml:space="preserve">Tenth, Shimei, his sons and his brothers, twelve.</w:t>
      </w:r>
    </w:p>
    <w:p>
      <w:r>
        <w:rPr>
          <w:b/>
        </w:rPr>
        <w:t xml:space="preserve">18 </w:t>
      </w:r>
      <w:r>
        <w:t xml:space="preserve">Eleventh, Azariah, his sons and his brothers, twelve.</w:t>
      </w:r>
    </w:p>
    <w:p>
      <w:r>
        <w:rPr>
          <w:b/>
        </w:rPr>
        <w:t xml:space="preserve">19 </w:t>
      </w:r>
      <w:r>
        <w:t xml:space="preserve">Twelfth, Hashabiah</w:t>
      </w:r>
      <w:r>
        <w:rPr>
          <w:rStyle w:val="FootnoteReference"/>
        </w:rPr>
        <w:footnoteReference w:id="8588"/>
      </w:r>
      <w:r>
        <w:t xml:space="preserve">, his sons and his brothers, twelve.</w:t>
      </w:r>
    </w:p>
    <w:p>
      <w:r>
        <w:rPr>
          <w:b/>
        </w:rPr>
        <w:t xml:space="preserve">20 </w:t>
      </w:r>
      <w:r>
        <w:t xml:space="preserve">Thirteenth, Shebuel, his sons and his brothers, twelve.</w:t>
      </w:r>
    </w:p>
    <w:p>
      <w:r>
        <w:rPr>
          <w:b/>
        </w:rPr>
        <w:t xml:space="preserve">21 </w:t>
      </w:r>
      <w:r>
        <w:t xml:space="preserve">Fourteenth, Mattathias, his sons and his brothers, twelve.</w:t>
      </w:r>
    </w:p>
    <w:p>
      <w:r>
        <w:rPr>
          <w:b/>
        </w:rPr>
        <w:t xml:space="preserve">22 </w:t>
      </w:r>
      <w:r>
        <w:t xml:space="preserve">Fifteenth, Jerimoth, his sons and his brothers, twelve.</w:t>
      </w:r>
    </w:p>
    <w:p>
      <w:r>
        <w:rPr>
          <w:b/>
        </w:rPr>
        <w:t xml:space="preserve">23 </w:t>
      </w:r>
      <w:r>
        <w:t xml:space="preserve">Sixteenth, Ananias, his sons and his brothers, twelve.</w:t>
      </w:r>
    </w:p>
    <w:p>
      <w:r>
        <w:rPr>
          <w:b/>
        </w:rPr>
        <w:t xml:space="preserve">24 </w:t>
      </w:r>
      <w:r>
        <w:t xml:space="preserve">Seventeenth, Joshbekashah, his sons and his brothers, twelve.</w:t>
      </w:r>
    </w:p>
    <w:p>
      <w:r>
        <w:rPr>
          <w:b/>
        </w:rPr>
        <w:t xml:space="preserve">25 </w:t>
      </w:r>
      <w:r>
        <w:t xml:space="preserve">Eighteenth, Anani, his sons and his brothers, twelve.</w:t>
      </w:r>
    </w:p>
    <w:p>
      <w:r>
        <w:rPr>
          <w:b/>
        </w:rPr>
        <w:t xml:space="preserve">26 </w:t>
      </w:r>
      <w:r>
        <w:t xml:space="preserve">Nineteenth, Mallothi, his sons and his brothers, twelve.</w:t>
      </w:r>
    </w:p>
    <w:p>
      <w:r>
        <w:rPr>
          <w:b/>
        </w:rPr>
        <w:t xml:space="preserve">27 </w:t>
      </w:r>
      <w:r>
        <w:t xml:space="preserve">Twentieth, Eliathah, his sons and his brothers, twelve.</w:t>
      </w:r>
    </w:p>
    <w:p>
      <w:r>
        <w:rPr>
          <w:b/>
        </w:rPr>
        <w:t xml:space="preserve">28 </w:t>
      </w:r>
      <w:r>
        <w:t xml:space="preserve">Twenty-first, Hothir, his sons and his brothers, twelve.</w:t>
      </w:r>
    </w:p>
    <w:p>
      <w:r>
        <w:rPr>
          <w:b/>
        </w:rPr>
        <w:t xml:space="preserve">29 </w:t>
      </w:r>
      <w:r>
        <w:t xml:space="preserve">Twenty-second, Giddalti, his sons and his brothers, twelve.</w:t>
      </w:r>
    </w:p>
    <w:p>
      <w:r>
        <w:rPr>
          <w:b/>
        </w:rPr>
        <w:t xml:space="preserve">30 </w:t>
      </w:r>
      <w:r>
        <w:t xml:space="preserve">Twenty-third, Mahazioth</w:t>
      </w:r>
      <w:r>
        <w:rPr>
          <w:rStyle w:val="FootnoteReference"/>
        </w:rPr>
        <w:footnoteReference w:id="8589"/>
      </w:r>
      <w:r>
        <w:t xml:space="preserve">, his sons and his brothers, twelve.</w:t>
      </w:r>
    </w:p>
    <w:p>
      <w:r>
        <w:rPr>
          <w:b/>
        </w:rPr>
        <w:t xml:space="preserve">31 </w:t>
      </w:r>
      <w:r>
        <w:t xml:space="preserve">Twenty-fourth, Romamtiezer</w:t>
      </w:r>
      <w:r>
        <w:rPr>
          <w:rStyle w:val="FootnoteReference"/>
        </w:rPr>
        <w:footnoteReference w:id="8590"/>
      </w:r>
      <w:r>
        <w:t xml:space="preserve">, his sons and his brothers, twelve.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For the divisions</w:t>
      </w:r>
      <w:r>
        <w:rPr>
          <w:rStyle w:val="FootnoteReference"/>
        </w:rPr>
        <w:footnoteReference w:id="8591"/>
      </w:r>
      <w:r>
        <w:t xml:space="preserve"> of gates: for the sons of Korhites, Meshelemiah son of Kore from the sons of Abiasaph.</w:t>
      </w:r>
    </w:p>
    <w:p>
      <w:r>
        <w:rPr>
          <w:b/>
        </w:rPr>
        <w:t xml:space="preserve">2 </w:t>
      </w:r>
      <w:r>
        <w:t xml:space="preserve">And to Meshelemiah, sons: Zechariah firstborn, Jediael second, Zebadiah third, Jathniel</w:t>
      </w:r>
      <w:r>
        <w:rPr>
          <w:rStyle w:val="FootnoteReference"/>
        </w:rPr>
        <w:footnoteReference w:id="8592"/>
      </w:r>
      <w:r>
        <w:t xml:space="preserve"> fourth,</w:t>
      </w:r>
    </w:p>
    <w:p>
      <w:r>
        <w:rPr>
          <w:b/>
        </w:rPr>
        <w:t xml:space="preserve">3 </w:t>
      </w:r>
      <w:r>
        <w:t xml:space="preserve">Elam fifth, Jehohanan</w:t>
      </w:r>
      <w:r>
        <w:rPr>
          <w:rStyle w:val="FootnoteReference"/>
        </w:rPr>
        <w:footnoteReference w:id="8593"/>
      </w:r>
      <w:r>
        <w:t xml:space="preserve"> sixth, Elioenai seventh.</w:t>
      </w:r>
      <w:r>
        <w:rPr>
          <w:rStyle w:val="FootnoteReference"/>
        </w:rPr>
        <w:footnoteReference w:id="8594"/>
      </w:r>
    </w:p>
    <w:p>
      <w:r>
        <w:rPr>
          <w:b/>
        </w:rPr>
        <w:t xml:space="preserve">4 </w:t>
      </w:r>
      <w:r>
        <w:t xml:space="preserve">And to Obededom</w:t>
      </w:r>
      <w:r>
        <w:rPr>
          <w:rStyle w:val="FootnoteReference"/>
        </w:rPr>
        <w:footnoteReference w:id="8595"/>
      </w:r>
      <w:r>
        <w:t xml:space="preserve">, sons: Shemaiah firstborn, Jehozabad</w:t>
      </w:r>
      <w:r>
        <w:rPr>
          <w:rStyle w:val="FootnoteReference"/>
        </w:rPr>
        <w:footnoteReference w:id="8596"/>
      </w:r>
      <w:r>
        <w:t xml:space="preserve"> second, Joah third, Sacar</w:t>
      </w:r>
      <w:r>
        <w:rPr>
          <w:rStyle w:val="FootnoteReference"/>
        </w:rPr>
        <w:footnoteReference w:id="8597"/>
      </w:r>
      <w:r>
        <w:t xml:space="preserve"> fourth, Nathanael fifth,</w:t>
      </w:r>
    </w:p>
    <w:p>
      <w:r>
        <w:rPr>
          <w:b/>
        </w:rPr>
        <w:t xml:space="preserve">5 </w:t>
      </w:r>
      <w:r>
        <w:t xml:space="preserve">Ammiel sixth, Issachar seventh, Peulthai</w:t>
      </w:r>
      <w:r>
        <w:rPr>
          <w:rStyle w:val="FootnoteReference"/>
        </w:rPr>
        <w:footnoteReference w:id="8598"/>
      </w:r>
      <w:r>
        <w:t xml:space="preserve"> eighth, because God blessed him.</w:t>
      </w:r>
    </w:p>
    <w:p>
      <w:r>
        <w:rPr>
          <w:b/>
        </w:rPr>
        <w:t xml:space="preserve">6 </w:t>
      </w:r>
      <w:r>
        <w:t xml:space="preserve">And to Shemaiah his son were born sons, rulers of his firstborn house, because they were mighty men.</w:t>
      </w:r>
    </w:p>
    <w:p>
      <w:r>
        <w:rPr>
          <w:b/>
        </w:rPr>
        <w:t xml:space="preserve">7 </w:t>
      </w:r>
      <w:r>
        <w:t xml:space="preserve">Sons of Shemaiah: Othni</w:t>
      </w:r>
      <w:r>
        <w:rPr>
          <w:rStyle w:val="FootnoteReference"/>
        </w:rPr>
        <w:footnoteReference w:id="8599"/>
      </w:r>
      <w:r>
        <w:t xml:space="preserve"> and Rephael</w:t>
      </w:r>
      <w:r>
        <w:rPr>
          <w:rStyle w:val="FootnoteReference"/>
        </w:rPr>
        <w:footnoteReference w:id="8600"/>
      </w:r>
      <w:r>
        <w:t xml:space="preserve"> and Obed and Elzabad</w:t>
      </w:r>
      <w:r>
        <w:rPr>
          <w:rStyle w:val="FootnoteReference"/>
        </w:rPr>
        <w:footnoteReference w:id="8601"/>
      </w:r>
      <w:r>
        <w:t xml:space="preserve"> and his strong brothers, Elihu and Semachiah</w:t>
      </w:r>
      <w:r>
        <w:rPr>
          <w:rStyle w:val="FootnoteReference"/>
        </w:rPr>
        <w:footnoteReference w:id="8602"/>
      </w:r>
      <w:r>
        <w:t xml:space="preserve"> and Isbacom.</w:t>
      </w:r>
    </w:p>
    <w:p>
      <w:r>
        <w:rPr>
          <w:b/>
        </w:rPr>
        <w:t xml:space="preserve">8 </w:t>
      </w:r>
      <w:r>
        <w:t xml:space="preserve">All these were from the sons of Obededom, they and their brothers and their sons, working strongly in service, all sixty-two for Obededom.</w:t>
      </w:r>
    </w:p>
    <w:p>
      <w:r>
        <w:rPr>
          <w:b/>
        </w:rPr>
        <w:t xml:space="preserve">9 </w:t>
      </w:r>
      <w:r>
        <w:t xml:space="preserve">And to Meshelemiah</w:t>
      </w:r>
      <w:r>
        <w:rPr>
          <w:rStyle w:val="FootnoteReference"/>
        </w:rPr>
        <w:footnoteReference w:id="8603"/>
      </w:r>
      <w:r>
        <w:t xml:space="preserve">, sons and brothers, eighteen mighty men.</w:t>
      </w:r>
    </w:p>
    <w:p>
      <w:r>
        <w:rPr>
          <w:b/>
        </w:rPr>
        <w:t xml:space="preserve">10 </w:t>
      </w:r>
      <w:r>
        <w:t xml:space="preserve">And to Hosah</w:t>
      </w:r>
      <w:r>
        <w:rPr>
          <w:rStyle w:val="FootnoteReference"/>
        </w:rPr>
        <w:footnoteReference w:id="8604"/>
      </w:r>
      <w:r>
        <w:t xml:space="preserve"> from the sons of Merari, sons keeping the rule, because he was not firstborn, yet his father made him chief.</w:t>
      </w:r>
      <w:r>
        <w:rPr>
          <w:rStyle w:val="FootnoteReference"/>
        </w:rPr>
        <w:footnoteReference w:id="8605"/>
      </w:r>
    </w:p>
    <w:p>
      <w:r>
        <w:rPr>
          <w:b/>
        </w:rPr>
        <w:t xml:space="preserve">11 </w:t>
      </w:r>
      <w:r>
        <w:t xml:space="preserve">Tablai second, Zechariah third, fourth; all these were sons and brothers for Hosah, thirteen.</w:t>
      </w:r>
    </w:p>
    <w:p>
      <w:r>
        <w:rPr>
          <w:b/>
        </w:rPr>
        <w:t xml:space="preserve">12 </w:t>
      </w:r>
      <w:r>
        <w:t xml:space="preserve">To these divisions of gates, to the chiefs of mighty men, were courses like their brothers, to minister in the house of the Lord.</w:t>
      </w:r>
    </w:p>
    <w:p>
      <w:r>
        <w:rPr>
          <w:b/>
        </w:rPr>
        <w:t xml:space="preserve">13 </w:t>
      </w:r>
      <w:r>
        <w:t xml:space="preserve">And they cast lots, small like great, by the houses of their fathers, for gate and gate.</w:t>
      </w:r>
    </w:p>
    <w:p>
      <w:r>
        <w:rPr>
          <w:b/>
        </w:rPr>
        <w:t xml:space="preserve">14 </w:t>
      </w:r>
      <w:r>
        <w:t xml:space="preserve">And lot toward east fell to Salamia, and to Zechariah</w:t>
      </w:r>
      <w:r>
        <w:rPr>
          <w:rStyle w:val="FootnoteReference"/>
        </w:rPr>
        <w:footnoteReference w:id="8606"/>
      </w:r>
      <w:r>
        <w:t xml:space="preserve"> son of Joas, to Malchijah, they cast lots, and his lot came out north.</w:t>
      </w:r>
    </w:p>
    <w:p>
      <w:r>
        <w:rPr>
          <w:b/>
        </w:rPr>
        <w:t xml:space="preserve">15 </w:t>
      </w:r>
      <w:r>
        <w:t xml:space="preserve">To Obededom, south, opposite house of Asuppim</w:t>
      </w:r>
      <w:r>
        <w:rPr>
          <w:rStyle w:val="FootnoteReference"/>
        </w:rPr>
        <w:footnoteReference w:id="8607"/>
      </w:r>
      <w:r>
        <w:t xml:space="preserve">.</w:t>
      </w:r>
      <w:r>
        <w:rPr>
          <w:rStyle w:val="FootnoteReference"/>
        </w:rPr>
        <w:footnoteReference w:id="8608"/>
      </w:r>
    </w:p>
    <w:p>
      <w:r>
        <w:rPr>
          <w:b/>
        </w:rPr>
        <w:t xml:space="preserve">16 </w:t>
      </w:r>
      <w:r>
        <w:t xml:space="preserve">For second, to Hosah</w:t>
      </w:r>
      <w:r>
        <w:rPr>
          <w:rStyle w:val="FootnoteReference"/>
        </w:rPr>
        <w:footnoteReference w:id="8609"/>
      </w:r>
      <w:r>
        <w:t xml:space="preserve"> toward west, by the gate of storeroom of ascent, guard opposite guard.</w:t>
      </w:r>
    </w:p>
    <w:p>
      <w:r>
        <w:rPr>
          <w:b/>
        </w:rPr>
        <w:t xml:space="preserve">17 </w:t>
      </w:r>
      <w:r>
        <w:t xml:space="preserve">Toward east six for day, north for day four, south for day four, and for Asuppim</w:t>
      </w:r>
      <w:r>
        <w:rPr>
          <w:rStyle w:val="FootnoteReference"/>
        </w:rPr>
        <w:footnoteReference w:id="8610"/>
      </w:r>
      <w:r>
        <w:t xml:space="preserve"> two.</w:t>
      </w:r>
      <w:r>
        <w:rPr>
          <w:rStyle w:val="FootnoteReference"/>
        </w:rPr>
        <w:footnoteReference w:id="8611"/>
      </w:r>
    </w:p>
    <w:p>
      <w:r>
        <w:rPr>
          <w:b/>
        </w:rPr>
        <w:t xml:space="preserve">18 </w:t>
      </w:r>
      <w:r>
        <w:t xml:space="preserve">At the annexes toward west, four, and at roadway two annexes.</w:t>
      </w:r>
    </w:p>
    <w:p>
      <w:r>
        <w:rPr>
          <w:b/>
        </w:rPr>
        <w:t xml:space="preserve">19 </w:t>
      </w:r>
      <w:r>
        <w:t xml:space="preserve">These were divisions of gatekeepers for the sons of Kore</w:t>
      </w:r>
      <w:r>
        <w:rPr>
          <w:rStyle w:val="FootnoteReference"/>
        </w:rPr>
        <w:footnoteReference w:id="8612"/>
      </w:r>
      <w:r>
        <w:t xml:space="preserve"> and for the sons of Merari.</w:t>
      </w:r>
    </w:p>
    <w:p>
      <w:r>
        <w:rPr>
          <w:b/>
        </w:rPr>
        <w:t xml:space="preserve">20 </w:t>
      </w:r>
      <w:r>
        <w:t xml:space="preserve">And Levites their brothers were over the treasuries of the house of the Lord and over the treasuries of dedicated things</w:t>
      </w:r>
      <w:r>
        <w:rPr>
          <w:rStyle w:val="FootnoteReference"/>
        </w:rPr>
        <w:footnoteReference w:id="8613"/>
      </w:r>
      <w:r>
        <w:t xml:space="preserve">.</w:t>
      </w:r>
    </w:p>
    <w:p>
      <w:r>
        <w:rPr>
          <w:b/>
        </w:rPr>
        <w:t xml:space="preserve">21 </w:t>
      </w:r>
      <w:r>
        <w:t xml:space="preserve">Sons of Laadan</w:t>
      </w:r>
      <w:r>
        <w:rPr>
          <w:rStyle w:val="FootnoteReference"/>
        </w:rPr>
        <w:footnoteReference w:id="8614"/>
      </w:r>
      <w:r>
        <w:t xml:space="preserve">, sons of Gershonite</w:t>
      </w:r>
      <w:r>
        <w:rPr>
          <w:rStyle w:val="FootnoteReference"/>
        </w:rPr>
        <w:footnoteReference w:id="8615"/>
      </w:r>
      <w:r>
        <w:t xml:space="preserve"> for Laadan, chiefs of fathers for Laadan the Gershonite: Jehieli</w:t>
      </w:r>
      <w:r>
        <w:rPr>
          <w:rStyle w:val="FootnoteReference"/>
        </w:rPr>
        <w:footnoteReference w:id="8616"/>
      </w:r>
      <w:r>
        <w:t xml:space="preserve">.</w:t>
      </w:r>
    </w:p>
    <w:p>
      <w:r>
        <w:rPr>
          <w:b/>
        </w:rPr>
        <w:t xml:space="preserve">22 </w:t>
      </w:r>
      <w:r>
        <w:t xml:space="preserve">And sons of Jehieli</w:t>
      </w:r>
      <w:r>
        <w:rPr>
          <w:rStyle w:val="FootnoteReference"/>
        </w:rPr>
        <w:footnoteReference w:id="8617"/>
      </w:r>
      <w:r>
        <w:t xml:space="preserve">, Zetham and Joel his brother, were over the treasuries of the house of the Lord.</w:t>
      </w:r>
    </w:p>
    <w:p>
      <w:r>
        <w:rPr>
          <w:b/>
        </w:rPr>
        <w:t xml:space="preserve">23 </w:t>
      </w:r>
      <w:r>
        <w:t xml:space="preserve">For Amram and Izhar, Hebron and Uzziel.</w:t>
      </w:r>
    </w:p>
    <w:p>
      <w:r>
        <w:rPr>
          <w:b/>
        </w:rPr>
        <w:t xml:space="preserve">24 </w:t>
      </w:r>
      <w:r>
        <w:t xml:space="preserve">And Shebuel</w:t>
      </w:r>
      <w:r>
        <w:rPr>
          <w:rStyle w:val="FootnoteReference"/>
        </w:rPr>
        <w:footnoteReference w:id="8618"/>
      </w:r>
      <w:r>
        <w:t xml:space="preserve">, from Gershom son of Moses, was chief over treasuries.</w:t>
      </w:r>
    </w:p>
    <w:p>
      <w:r>
        <w:rPr>
          <w:b/>
        </w:rPr>
        <w:t xml:space="preserve">25 </w:t>
      </w:r>
      <w:r>
        <w:t xml:space="preserve">And for his brother Eliezer</w:t>
      </w:r>
      <w:r>
        <w:rPr>
          <w:rStyle w:val="FootnoteReference"/>
        </w:rPr>
        <w:footnoteReference w:id="8619"/>
      </w:r>
      <w:r>
        <w:t xml:space="preserve">: Rehabiah his son, and Jeshaiah and Joram and Zichri and Shelomith.</w:t>
      </w:r>
    </w:p>
    <w:p>
      <w:r>
        <w:rPr>
          <w:b/>
        </w:rPr>
        <w:t xml:space="preserve">26 </w:t>
      </w:r>
      <w:r>
        <w:t xml:space="preserve">This Shelomith and his brothers were over all treasuries of holy things which King David and chiefs of father-houses and commanders of thousands and hundreds and chiefs of force dedicated,</w:t>
      </w:r>
      <w:r>
        <w:rPr>
          <w:rStyle w:val="FootnoteReference"/>
        </w:rPr>
        <w:footnoteReference w:id="8620"/>
      </w:r>
    </w:p>
    <w:p>
      <w:r>
        <w:rPr>
          <w:b/>
        </w:rPr>
        <w:t xml:space="preserve">27 </w:t>
      </w:r>
      <w:r>
        <w:t xml:space="preserve">which he took from wars and from spoils, and from them he dedicated, to avoid delaying building of the house of God.</w:t>
      </w:r>
    </w:p>
    <w:p>
      <w:r>
        <w:rPr>
          <w:b/>
        </w:rPr>
        <w:t xml:space="preserve">28 </w:t>
      </w:r>
      <w:r>
        <w:t xml:space="preserve">And over all holy things which Samuel</w:t>
      </w:r>
      <w:r>
        <w:rPr>
          <w:rStyle w:val="FootnoteReference"/>
        </w:rPr>
        <w:footnoteReference w:id="8621"/>
      </w:r>
      <w:r>
        <w:t xml:space="preserve"> prophet and Saul son of Kish and Abner son of Ner and Joab son of Zeruiah dedicated, all dedicated things by the hand of Shelomith and his brothers.</w:t>
      </w:r>
      <w:r>
        <w:rPr>
          <w:rStyle w:val="FootnoteReference"/>
        </w:rPr>
        <w:footnoteReference w:id="8622"/>
      </w:r>
    </w:p>
    <w:p>
      <w:r>
        <w:rPr>
          <w:b/>
        </w:rPr>
        <w:t xml:space="preserve">29 </w:t>
      </w:r>
      <w:r>
        <w:t xml:space="preserve">For Izharites</w:t>
      </w:r>
      <w:r>
        <w:rPr>
          <w:rStyle w:val="FootnoteReference"/>
        </w:rPr>
        <w:footnoteReference w:id="8623"/>
      </w:r>
      <w:r>
        <w:t xml:space="preserve">, Chenaniah and his sons were for outside work over Israel, for scribal work and for judging.</w:t>
      </w:r>
    </w:p>
    <w:p>
      <w:r>
        <w:rPr>
          <w:b/>
        </w:rPr>
        <w:t xml:space="preserve">30 </w:t>
      </w:r>
      <w:r>
        <w:t xml:space="preserve">For Hebronites, Hashabiah and his brothers, sons of strength</w:t>
      </w:r>
      <w:r>
        <w:rPr>
          <w:rStyle w:val="FootnoteReference"/>
        </w:rPr>
        <w:footnoteReference w:id="8624"/>
      </w:r>
      <w:r>
        <w:t xml:space="preserve">, one thousand seven hundred, over oversight of Israel beyond Jordan westward, for every service of the Lord and work of the king.</w:t>
      </w:r>
    </w:p>
    <w:p>
      <w:r>
        <w:rPr>
          <w:b/>
        </w:rPr>
        <w:t xml:space="preserve">31 </w:t>
      </w:r>
      <w:r>
        <w:t xml:space="preserve">For the Hebronites, Ioudias was the chief of the Hebronites by their generations, by fathers. In the fortieth</w:t>
      </w:r>
      <w:r>
        <w:rPr>
          <w:rStyle w:val="FootnoteReference"/>
        </w:rPr>
        <w:footnoteReference w:id="8625"/>
      </w:r>
      <w:r>
        <w:t xml:space="preserve"> year of his reign they were sought out</w:t>
      </w:r>
      <w:r>
        <w:rPr>
          <w:rStyle w:val="FootnoteReference"/>
        </w:rPr>
        <w:footnoteReference w:id="8626"/>
      </w:r>
      <w:r>
        <w:t xml:space="preserve">, and a mighty man was found among them in Jaazer of Gilead.</w:t>
      </w:r>
    </w:p>
    <w:p>
      <w:r>
        <w:rPr>
          <w:b/>
        </w:rPr>
        <w:t xml:space="preserve">32 </w:t>
      </w:r>
      <w:r>
        <w:t xml:space="preserve">And his brothers, sons of strength</w:t>
      </w:r>
      <w:r>
        <w:rPr>
          <w:rStyle w:val="FootnoteReference"/>
        </w:rPr>
        <w:footnoteReference w:id="8627"/>
      </w:r>
      <w:r>
        <w:t xml:space="preserve">, were two thousand seven hundred chiefs of fathers, and King David appointed them over Reubenite and Gadites and half tribe of Manasseh for every ordinance of the Lord and matter of the king.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sons of Israel according to their number, chiefs of fathers and commanders of thousands and of hundreds and scribes, those ministering to people and for every matter of the king</w:t>
      </w:r>
      <w:r>
        <w:rPr>
          <w:rStyle w:val="FootnoteReference"/>
        </w:rPr>
        <w:footnoteReference w:id="8628"/>
      </w:r>
      <w:r>
        <w:t xml:space="preserve"> according to divisions, for every matter of what came in and went out month</w:t>
      </w:r>
      <w:r>
        <w:rPr>
          <w:rStyle w:val="FootnoteReference"/>
        </w:rPr>
        <w:footnoteReference w:id="8629"/>
      </w:r>
      <w:r>
        <w:t xml:space="preserve"> by month through all months of year, each division twenty-four thousand.</w:t>
      </w:r>
    </w:p>
    <w:p>
      <w:r>
        <w:rPr>
          <w:b/>
        </w:rPr>
        <w:t xml:space="preserve">2 </w:t>
      </w:r>
      <w:r>
        <w:t xml:space="preserve">And over first division for first month was Jashobeam</w:t>
      </w:r>
      <w:r>
        <w:rPr>
          <w:rStyle w:val="FootnoteReference"/>
        </w:rPr>
        <w:footnoteReference w:id="8630"/>
      </w:r>
      <w:r>
        <w:t xml:space="preserve"> son of Zabdiel</w:t>
      </w:r>
      <w:r>
        <w:rPr>
          <w:rStyle w:val="FootnoteReference"/>
        </w:rPr>
        <w:footnoteReference w:id="8631"/>
      </w:r>
      <w:r>
        <w:t xml:space="preserve">, and over his division twenty-four thousand.</w:t>
      </w:r>
    </w:p>
    <w:p>
      <w:r>
        <w:rPr>
          <w:b/>
        </w:rPr>
        <w:t xml:space="preserve">3 </w:t>
      </w:r>
      <w:r>
        <w:t xml:space="preserve">From the sons of Perez</w:t>
      </w:r>
      <w:r>
        <w:rPr>
          <w:rStyle w:val="FootnoteReference"/>
        </w:rPr>
        <w:footnoteReference w:id="8632"/>
      </w:r>
      <w:r>
        <w:t xml:space="preserve">, chief of all commanders of force for first month.</w:t>
      </w:r>
    </w:p>
    <w:p>
      <w:r>
        <w:rPr>
          <w:b/>
        </w:rPr>
        <w:t xml:space="preserve">4 </w:t>
      </w:r>
      <w:r>
        <w:t xml:space="preserve">And over division of the second month was Dodavah</w:t>
      </w:r>
      <w:r>
        <w:rPr>
          <w:rStyle w:val="FootnoteReference"/>
        </w:rPr>
        <w:footnoteReference w:id="8633"/>
      </w:r>
      <w:r>
        <w:t xml:space="preserve"> the Ahohi</w:t>
      </w:r>
      <w:r>
        <w:rPr>
          <w:rStyle w:val="FootnoteReference"/>
        </w:rPr>
        <w:footnoteReference w:id="8634"/>
      </w:r>
      <w:r>
        <w:t xml:space="preserve">, and over his division twenty-four thousand, commanders of force.</w:t>
      </w:r>
    </w:p>
    <w:p>
      <w:r>
        <w:rPr>
          <w:b/>
        </w:rPr>
        <w:t xml:space="preserve">5 </w:t>
      </w:r>
      <w:r>
        <w:t xml:space="preserve">Third for third month was Benaiah</w:t>
      </w:r>
      <w:r>
        <w:rPr>
          <w:rStyle w:val="FootnoteReference"/>
        </w:rPr>
        <w:footnoteReference w:id="8635"/>
      </w:r>
      <w:r>
        <w:t xml:space="preserve"> son of Jehoiada the priest, chief, and over his division twenty-four thousand.</w:t>
      </w:r>
    </w:p>
    <w:p>
      <w:r>
        <w:rPr>
          <w:b/>
        </w:rPr>
        <w:t xml:space="preserve">6 </w:t>
      </w:r>
      <w:r>
        <w:t xml:space="preserve">This Benaiah was mightier than thirty and over thirty, and over his division was Ammizabad</w:t>
      </w:r>
      <w:r>
        <w:rPr>
          <w:rStyle w:val="FootnoteReference"/>
        </w:rPr>
        <w:footnoteReference w:id="8636"/>
      </w:r>
      <w:r>
        <w:t xml:space="preserve"> his son.</w:t>
      </w:r>
    </w:p>
    <w:p>
      <w:r>
        <w:rPr>
          <w:b/>
        </w:rPr>
        <w:t xml:space="preserve">7 </w:t>
      </w:r>
      <w:r>
        <w:t xml:space="preserve">Fourth for fourth month was Asahel</w:t>
      </w:r>
      <w:r>
        <w:rPr>
          <w:rStyle w:val="FootnoteReference"/>
        </w:rPr>
        <w:footnoteReference w:id="8637"/>
      </w:r>
      <w:r>
        <w:t xml:space="preserve"> brother of Joab and Zebadiah his son and brothers, and over his division twenty-four thousand.</w:t>
      </w:r>
    </w:p>
    <w:p>
      <w:r>
        <w:rPr>
          <w:b/>
        </w:rPr>
        <w:t xml:space="preserve">8 </w:t>
      </w:r>
      <w:r>
        <w:t xml:space="preserve">Fifth for fifth month, leader Shamhuth</w:t>
      </w:r>
      <w:r>
        <w:rPr>
          <w:rStyle w:val="FootnoteReference"/>
        </w:rPr>
        <w:footnoteReference w:id="8638"/>
      </w:r>
      <w:r>
        <w:t xml:space="preserve"> the Iesrae, and over his division twenty-four thousand.</w:t>
      </w:r>
      <w:r>
        <w:rPr>
          <w:rStyle w:val="FootnoteReference"/>
        </w:rPr>
        <w:footnoteReference w:id="8639"/>
      </w:r>
    </w:p>
    <w:p>
      <w:r>
        <w:rPr>
          <w:b/>
        </w:rPr>
        <w:t xml:space="preserve">9 </w:t>
      </w:r>
      <w:r>
        <w:t xml:space="preserve">Sixth for sixth month, Odouias son of Ikkesh the Thekoite, and over his division twenty-four thousand.</w:t>
      </w:r>
    </w:p>
    <w:p>
      <w:r>
        <w:rPr>
          <w:b/>
        </w:rPr>
        <w:t xml:space="preserve">10 </w:t>
      </w:r>
      <w:r>
        <w:t xml:space="preserve">Seventh for seventh month, Helez</w:t>
      </w:r>
      <w:r>
        <w:rPr>
          <w:rStyle w:val="FootnoteReference"/>
        </w:rPr>
        <w:footnoteReference w:id="8640"/>
      </w:r>
      <w:r>
        <w:t xml:space="preserve"> from Pallu, from the sons of Ephraim, and over his division twenty-four thousand.</w:t>
      </w:r>
    </w:p>
    <w:p>
      <w:r>
        <w:rPr>
          <w:b/>
        </w:rPr>
        <w:t xml:space="preserve">11 </w:t>
      </w:r>
      <w:r>
        <w:t xml:space="preserve">Eighth for eighth month, Sibbecai</w:t>
      </w:r>
      <w:r>
        <w:rPr>
          <w:rStyle w:val="FootnoteReference"/>
        </w:rPr>
        <w:footnoteReference w:id="8641"/>
      </w:r>
      <w:r>
        <w:t xml:space="preserve"> the Isathi of the Zarhites, and over his division twenty-four thousand.</w:t>
      </w:r>
    </w:p>
    <w:p>
      <w:r>
        <w:rPr>
          <w:b/>
        </w:rPr>
        <w:t xml:space="preserve">12 </w:t>
      </w:r>
      <w:r>
        <w:t xml:space="preserve">Ninth for ninth month, Abiezer from Anetothite</w:t>
      </w:r>
      <w:r>
        <w:rPr>
          <w:rStyle w:val="FootnoteReference"/>
        </w:rPr>
        <w:footnoteReference w:id="8642"/>
      </w:r>
      <w:r>
        <w:t xml:space="preserve">, from the land of Benjamin, and over his division twenty-four thousand.</w:t>
      </w:r>
    </w:p>
    <w:p>
      <w:r>
        <w:rPr>
          <w:b/>
        </w:rPr>
        <w:t xml:space="preserve">13 </w:t>
      </w:r>
      <w:r>
        <w:t xml:space="preserve">Tenth for tenth month, Maharai</w:t>
      </w:r>
      <w:r>
        <w:rPr>
          <w:rStyle w:val="FootnoteReference"/>
        </w:rPr>
        <w:footnoteReference w:id="8643"/>
      </w:r>
      <w:r>
        <w:t xml:space="preserve"> from Netoupha of the Zarhites, and over his division twenty-four thousand.</w:t>
      </w:r>
    </w:p>
    <w:p>
      <w:r>
        <w:rPr>
          <w:b/>
        </w:rPr>
        <w:t xml:space="preserve">14 </w:t>
      </w:r>
      <w:r>
        <w:t xml:space="preserve">Eleventh for eleventh month, Benaiah</w:t>
      </w:r>
      <w:r>
        <w:rPr>
          <w:rStyle w:val="FootnoteReference"/>
        </w:rPr>
        <w:footnoteReference w:id="8644"/>
      </w:r>
      <w:r>
        <w:t xml:space="preserve"> from Pirathonite, of sons of Ephraim, and over his division twenty-four thousand.</w:t>
      </w:r>
    </w:p>
    <w:p>
      <w:r>
        <w:rPr>
          <w:b/>
        </w:rPr>
        <w:t xml:space="preserve">15 </w:t>
      </w:r>
      <w:r>
        <w:t xml:space="preserve">Twelfth for twelfth month, Choldai the Netouphathi for Othniel</w:t>
      </w:r>
      <w:r>
        <w:rPr>
          <w:rStyle w:val="FootnoteReference"/>
        </w:rPr>
        <w:footnoteReference w:id="8645"/>
      </w:r>
      <w:r>
        <w:t xml:space="preserve">, and over his division twenty-four thousand.</w:t>
      </w:r>
    </w:p>
    <w:p>
      <w:r>
        <w:rPr>
          <w:b/>
        </w:rPr>
        <w:t xml:space="preserve">16 </w:t>
      </w:r>
      <w:r>
        <w:t xml:space="preserve">And over the tribes of Israel: for Reuben, leader Eliezer son of Zichri; for Simeon, Shephatiah son of Maachah;</w:t>
      </w:r>
    </w:p>
    <w:p>
      <w:r>
        <w:rPr>
          <w:b/>
        </w:rPr>
        <w:t xml:space="preserve">17 </w:t>
      </w:r>
      <w:r>
        <w:t xml:space="preserve">for Levi, Hashabiah</w:t>
      </w:r>
      <w:r>
        <w:rPr>
          <w:rStyle w:val="FootnoteReference"/>
        </w:rPr>
        <w:footnoteReference w:id="8646"/>
      </w:r>
      <w:r>
        <w:t xml:space="preserve"> son of Kemuel; for Aaron, Zadok;</w:t>
      </w:r>
    </w:p>
    <w:p>
      <w:r>
        <w:rPr>
          <w:b/>
        </w:rPr>
        <w:t xml:space="preserve">18 </w:t>
      </w:r>
      <w:r>
        <w:t xml:space="preserve">for Judah, Eliab from the brothers of David; for Issachar, Omri son of Michael;</w:t>
      </w:r>
    </w:p>
    <w:p>
      <w:r>
        <w:rPr>
          <w:b/>
        </w:rPr>
        <w:t xml:space="preserve">19 </w:t>
      </w:r>
      <w:r>
        <w:t xml:space="preserve">for Zebulun, Shemaiah son of Obadiah; for Naphtali, Jerimoth son of Azriel;</w:t>
      </w:r>
    </w:p>
    <w:p>
      <w:r>
        <w:rPr>
          <w:b/>
        </w:rPr>
        <w:t xml:space="preserve">20 </w:t>
      </w:r>
      <w:r>
        <w:t xml:space="preserve">for Ephraim, Hoshea son of Uzziah; for the half tribe of Manasseh, Joel son of Pedaiah;</w:t>
      </w:r>
    </w:p>
    <w:p>
      <w:r>
        <w:rPr>
          <w:b/>
        </w:rPr>
        <w:t xml:space="preserve">21 </w:t>
      </w:r>
      <w:r>
        <w:t xml:space="preserve">for the half tribe of Manasseh in Gilead, Iddo</w:t>
      </w:r>
      <w:r>
        <w:rPr>
          <w:rStyle w:val="FootnoteReference"/>
        </w:rPr>
        <w:footnoteReference w:id="8647"/>
      </w:r>
      <w:r>
        <w:t xml:space="preserve"> son of Zechariah; for the sons of Benjamin, Jaasiel</w:t>
      </w:r>
      <w:r>
        <w:rPr>
          <w:rStyle w:val="FootnoteReference"/>
        </w:rPr>
        <w:footnoteReference w:id="8648"/>
      </w:r>
      <w:r>
        <w:t xml:space="preserve"> son of Abner;</w:t>
      </w:r>
      <w:r>
        <w:rPr>
          <w:rStyle w:val="FootnoteReference"/>
        </w:rPr>
        <w:footnoteReference w:id="8649"/>
      </w:r>
    </w:p>
    <w:p>
      <w:r>
        <w:rPr>
          <w:b/>
        </w:rPr>
        <w:t xml:space="preserve">22 </w:t>
      </w:r>
      <w:r>
        <w:t xml:space="preserve">for Dan, Azareel son of Jeroham. These were patriarchs of the tribes of Israel.</w:t>
      </w:r>
    </w:p>
    <w:p>
      <w:r>
        <w:rPr>
          <w:b/>
        </w:rPr>
        <w:t xml:space="preserve">23 </w:t>
      </w:r>
      <w:r>
        <w:t xml:space="preserve">And David did not take their number from twenty</w:t>
      </w:r>
      <w:r>
        <w:rPr>
          <w:rStyle w:val="FootnoteReference"/>
        </w:rPr>
        <w:footnoteReference w:id="8650"/>
      </w:r>
      <w:r>
        <w:t xml:space="preserve"> years and under, because the Lord said to multiply Israel like stars of heaven.</w:t>
      </w:r>
    </w:p>
    <w:p>
      <w:r>
        <w:rPr>
          <w:b/>
        </w:rPr>
        <w:t xml:space="preserve">24 </w:t>
      </w:r>
      <w:r>
        <w:t xml:space="preserve">And Joab son of Zeruiah began numbering among people and did not finish</w:t>
      </w:r>
      <w:r>
        <w:rPr>
          <w:rStyle w:val="FootnoteReference"/>
        </w:rPr>
        <w:footnoteReference w:id="8651"/>
      </w:r>
      <w:r>
        <w:t xml:space="preserve">, and because of these things wrath came upon Israel, and number was not entered in the book of matters of days of King David.</w:t>
      </w:r>
    </w:p>
    <w:p>
      <w:r>
        <w:rPr>
          <w:b/>
        </w:rPr>
        <w:t xml:space="preserve">25 </w:t>
      </w:r>
      <w:r>
        <w:t xml:space="preserve">And over king’s treasuries was Azmaveth son of Adiel, and over treasuries in the field and in villages and in settlements and in towers was Jonathan son of Uzziah.</w:t>
      </w:r>
    </w:p>
    <w:p>
      <w:r>
        <w:rPr>
          <w:b/>
        </w:rPr>
        <w:t xml:space="preserve">26 </w:t>
      </w:r>
      <w:r>
        <w:t xml:space="preserve">And over those farming ground, those working soil, was Esdri</w:t>
      </w:r>
      <w:r>
        <w:rPr>
          <w:rStyle w:val="FootnoteReference"/>
        </w:rPr>
        <w:footnoteReference w:id="8652"/>
      </w:r>
      <w:r>
        <w:t xml:space="preserve"> son of Chelub</w:t>
      </w:r>
      <w:r>
        <w:rPr>
          <w:rStyle w:val="FootnoteReference"/>
        </w:rPr>
        <w:footnoteReference w:id="8653"/>
      </w:r>
      <w:r>
        <w:t xml:space="preserve">.</w:t>
      </w:r>
    </w:p>
    <w:p>
      <w:r>
        <w:rPr>
          <w:b/>
        </w:rPr>
        <w:t xml:space="preserve">27 </w:t>
      </w:r>
      <w:r>
        <w:t xml:space="preserve">And over vineyards was Shimei from Ramah, and over treasuries in the vineyards of wine was Zabdi the Shiphmite</w:t>
      </w:r>
      <w:r>
        <w:rPr>
          <w:rStyle w:val="FootnoteReference"/>
        </w:rPr>
        <w:footnoteReference w:id="8654"/>
      </w:r>
      <w:r>
        <w:t xml:space="preserve">.</w:t>
      </w:r>
    </w:p>
    <w:p>
      <w:r>
        <w:rPr>
          <w:b/>
        </w:rPr>
        <w:t xml:space="preserve">28 </w:t>
      </w:r>
      <w:r>
        <w:t xml:space="preserve">And over</w:t>
      </w:r>
      <w:r>
        <w:rPr>
          <w:rStyle w:val="FootnoteReference"/>
        </w:rPr>
        <w:footnoteReference w:id="8655"/>
      </w:r>
      <w:r>
        <w:t xml:space="preserve"> olive groves and sycamines in lowland was Balanas the Gederite</w:t>
      </w:r>
      <w:r>
        <w:rPr>
          <w:rStyle w:val="FootnoteReference"/>
        </w:rPr>
        <w:footnoteReference w:id="8656"/>
      </w:r>
      <w:r>
        <w:t xml:space="preserve">, and over the treasuries of oil was Joash.</w:t>
      </w:r>
    </w:p>
    <w:p>
      <w:r>
        <w:rPr>
          <w:b/>
        </w:rPr>
        <w:t xml:space="preserve">29 </w:t>
      </w:r>
      <w:r>
        <w:t xml:space="preserve">And over cattle feeding in Sharon</w:t>
      </w:r>
      <w:r>
        <w:rPr>
          <w:rStyle w:val="FootnoteReference"/>
        </w:rPr>
        <w:footnoteReference w:id="8657"/>
      </w:r>
      <w:r>
        <w:t xml:space="preserve"> was Shitrai</w:t>
      </w:r>
      <w:r>
        <w:rPr>
          <w:rStyle w:val="FootnoteReference"/>
        </w:rPr>
        <w:footnoteReference w:id="8658"/>
      </w:r>
      <w:r>
        <w:t xml:space="preserve"> the Sharonite</w:t>
      </w:r>
      <w:r>
        <w:rPr>
          <w:rStyle w:val="FootnoteReference"/>
        </w:rPr>
        <w:footnoteReference w:id="8659"/>
      </w:r>
      <w:r>
        <w:t xml:space="preserve">, and over cattle in farmyards was Shaphat son of Adlai</w:t>
      </w:r>
      <w:r>
        <w:rPr>
          <w:rStyle w:val="FootnoteReference"/>
        </w:rPr>
        <w:footnoteReference w:id="8660"/>
      </w:r>
      <w:r>
        <w:t xml:space="preserve">.</w:t>
      </w:r>
    </w:p>
    <w:p>
      <w:r>
        <w:rPr>
          <w:b/>
        </w:rPr>
        <w:t xml:space="preserve">30 </w:t>
      </w:r>
      <w:r>
        <w:t xml:space="preserve">And over camels was Obil</w:t>
      </w:r>
      <w:r>
        <w:rPr>
          <w:rStyle w:val="FootnoteReference"/>
        </w:rPr>
        <w:footnoteReference w:id="8661"/>
      </w:r>
      <w:r>
        <w:t xml:space="preserve"> the Ishmaelite</w:t>
      </w:r>
      <w:r>
        <w:rPr>
          <w:rStyle w:val="FootnoteReference"/>
        </w:rPr>
        <w:footnoteReference w:id="8662"/>
      </w:r>
      <w:r>
        <w:t xml:space="preserve">, and over donkeys was Iadias from Meronothite</w:t>
      </w:r>
      <w:r>
        <w:rPr>
          <w:rStyle w:val="FootnoteReference"/>
        </w:rPr>
        <w:footnoteReference w:id="8663"/>
      </w:r>
      <w:r>
        <w:t xml:space="preserve">.</w:t>
      </w:r>
    </w:p>
    <w:p>
      <w:r>
        <w:rPr>
          <w:b/>
        </w:rPr>
        <w:t xml:space="preserve">31 </w:t>
      </w:r>
      <w:r>
        <w:t xml:space="preserve">And over sheep was Jaziz</w:t>
      </w:r>
      <w:r>
        <w:rPr>
          <w:rStyle w:val="FootnoteReference"/>
        </w:rPr>
        <w:footnoteReference w:id="8664"/>
      </w:r>
      <w:r>
        <w:t xml:space="preserve"> the Hagerite. All these were stewards of possessions of King David.</w:t>
      </w:r>
    </w:p>
    <w:p>
      <w:r>
        <w:rPr>
          <w:b/>
        </w:rPr>
        <w:t xml:space="preserve">32 </w:t>
      </w:r>
      <w:r>
        <w:t xml:space="preserve">And Jonathan, David’s uncle</w:t>
      </w:r>
      <w:r>
        <w:rPr>
          <w:rStyle w:val="FootnoteReference"/>
        </w:rPr>
        <w:footnoteReference w:id="8665"/>
      </w:r>
      <w:r>
        <w:t xml:space="preserve">, was counselor, understanding man and scribe, and Jehiel son of Hachmoni was with the sons of the king.</w:t>
      </w:r>
    </w:p>
    <w:p>
      <w:r>
        <w:rPr>
          <w:b/>
        </w:rPr>
        <w:t xml:space="preserve">33 </w:t>
      </w:r>
      <w:r>
        <w:t xml:space="preserve">And Ahithophel</w:t>
      </w:r>
      <w:r>
        <w:rPr>
          <w:rStyle w:val="FootnoteReference"/>
        </w:rPr>
        <w:footnoteReference w:id="8666"/>
      </w:r>
      <w:r>
        <w:t xml:space="preserve"> was counselor to the king, and Cushi was the first friend of the king.</w:t>
      </w:r>
    </w:p>
    <w:p>
      <w:r>
        <w:rPr>
          <w:b/>
        </w:rPr>
        <w:t xml:space="preserve">34 </w:t>
      </w:r>
      <w:r>
        <w:t xml:space="preserve">And after him: Ahithophel, then Jehoiada son of Benaiah and Abiathar</w:t>
      </w:r>
      <w:r>
        <w:rPr>
          <w:rStyle w:val="FootnoteReference"/>
        </w:rPr>
        <w:footnoteReference w:id="8667"/>
      </w:r>
      <w:r>
        <w:t xml:space="preserve">, and Joab commander-in-chief of the king.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And David assembled</w:t>
      </w:r>
      <w:r>
        <w:rPr>
          <w:rStyle w:val="FootnoteReference"/>
        </w:rPr>
        <w:footnoteReference w:id="8668"/>
      </w:r>
      <w:r>
        <w:t xml:space="preserve"> all rulers of Israel, rulers of judges and rulers of courses around body of the king</w:t>
      </w:r>
      <w:r>
        <w:rPr>
          <w:rStyle w:val="FootnoteReference"/>
        </w:rPr>
        <w:footnoteReference w:id="8669"/>
      </w:r>
      <w:r>
        <w:t xml:space="preserve"> and rulers of thousands and of hundreds and treasurers and those over his possessions and mighty lords and fighters of army, in Jerusalem.</w:t>
      </w:r>
    </w:p>
    <w:p>
      <w:r>
        <w:rPr>
          <w:b/>
        </w:rPr>
        <w:t xml:space="preserve">2 </w:t>
      </w:r>
      <w:r>
        <w:t xml:space="preserve">And David stood in the midst of assembly and said, Hear me, my brothers and my people. It came upon my heart to build the house of rest</w:t>
      </w:r>
      <w:r>
        <w:rPr>
          <w:rStyle w:val="FootnoteReference"/>
        </w:rPr>
        <w:footnoteReference w:id="8670"/>
      </w:r>
      <w:r>
        <w:t xml:space="preserve"> for the ark of the covenant of the Lord and footstool of our Lord</w:t>
      </w:r>
      <w:r>
        <w:rPr>
          <w:rStyle w:val="FootnoteReference"/>
        </w:rPr>
        <w:footnoteReference w:id="8671"/>
      </w:r>
      <w:r>
        <w:t xml:space="preserve">, and I prepared fitting things for dwelling.</w:t>
      </w:r>
    </w:p>
    <w:p>
      <w:r>
        <w:rPr>
          <w:b/>
        </w:rPr>
        <w:t xml:space="preserve">3 </w:t>
      </w:r>
      <w:r>
        <w:t xml:space="preserve">But God said, You shall not build me a house to have my name called upon it, because you are man of war and have poured out blood.</w:t>
      </w:r>
    </w:p>
    <w:p>
      <w:r>
        <w:rPr>
          <w:b/>
        </w:rPr>
        <w:t xml:space="preserve">4 </w:t>
      </w:r>
      <w:r>
        <w:t xml:space="preserve">And the Lord God of Israel chose me</w:t>
      </w:r>
      <w:r>
        <w:rPr>
          <w:rStyle w:val="FootnoteReference"/>
        </w:rPr>
        <w:footnoteReference w:id="8672"/>
      </w:r>
      <w:r>
        <w:t xml:space="preserve"> from all house of my father to be king over Israel forever, and in Judah he chose kingdom, and from the house of Judah house of my father, and among sons of my father he desired in me to make me king over all Israel.</w:t>
      </w:r>
    </w:p>
    <w:p>
      <w:r>
        <w:rPr>
          <w:b/>
        </w:rPr>
        <w:t xml:space="preserve">5 </w:t>
      </w:r>
      <w:r>
        <w:t xml:space="preserve">And from all my sons</w:t>
      </w:r>
      <w:r>
        <w:rPr>
          <w:rStyle w:val="FootnoteReference"/>
        </w:rPr>
        <w:footnoteReference w:id="8673"/>
      </w:r>
      <w:r>
        <w:t xml:space="preserve">, because the Lord gave me many sons, he chose in Solomon my son to seat him upon the throne of the kingdom of the Lord over Israel.</w:t>
      </w:r>
    </w:p>
    <w:p>
      <w:r>
        <w:rPr>
          <w:b/>
        </w:rPr>
        <w:t xml:space="preserve">6 </w:t>
      </w:r>
      <w:r>
        <w:t xml:space="preserve">And God said to me, Solomon your son shall build my house and my court, because I chose him to be son to me, and I will be father to him.</w:t>
      </w:r>
    </w:p>
    <w:p>
      <w:r>
        <w:rPr>
          <w:b/>
        </w:rPr>
        <w:t xml:space="preserve">7 </w:t>
      </w:r>
      <w:r>
        <w:t xml:space="preserve">And I will set his kingdom right forever, if he is strong to keep my commandments and my judgments, as this day.</w:t>
      </w:r>
    </w:p>
    <w:p>
      <w:r>
        <w:rPr>
          <w:b/>
        </w:rPr>
        <w:t xml:space="preserve">8 </w:t>
      </w:r>
      <w:r>
        <w:t xml:space="preserve">And now, before all the assembly of the Lord and in the ears of our God, keep</w:t>
      </w:r>
      <w:r>
        <w:rPr>
          <w:rStyle w:val="FootnoteReference"/>
        </w:rPr>
        <w:footnoteReference w:id="8674"/>
      </w:r>
      <w:r>
        <w:t xml:space="preserve"> and seek all commandments of the Lord our God, so that you may inherit</w:t>
      </w:r>
      <w:r>
        <w:rPr>
          <w:rStyle w:val="FootnoteReference"/>
        </w:rPr>
        <w:footnoteReference w:id="8675"/>
      </w:r>
      <w:r>
        <w:t xml:space="preserve"> good land and leave inheritance to your sons after you forever.</w:t>
      </w:r>
    </w:p>
    <w:p>
      <w:r>
        <w:rPr>
          <w:b/>
        </w:rPr>
        <w:t xml:space="preserve">9 </w:t>
      </w:r>
      <w:r>
        <w:t xml:space="preserve">And now, Solomon my son, know God of your fathers and serve him</w:t>
      </w:r>
      <w:r>
        <w:rPr>
          <w:rStyle w:val="FootnoteReference"/>
        </w:rPr>
        <w:footnoteReference w:id="8676"/>
      </w:r>
      <w:r>
        <w:t xml:space="preserve"> with complete heart and willing soul</w:t>
      </w:r>
      <w:r>
        <w:rPr>
          <w:rStyle w:val="FootnoteReference"/>
        </w:rPr>
        <w:footnoteReference w:id="8677"/>
      </w:r>
      <w:r>
        <w:t xml:space="preserve">, because the Lord examines all hearts and knows every thought. If you seek him, he will be found by you; and if you forsake him, he will forsake you to end.</w:t>
      </w:r>
    </w:p>
    <w:p>
      <w:r>
        <w:rPr>
          <w:b/>
        </w:rPr>
        <w:t xml:space="preserve">10 </w:t>
      </w:r>
      <w:r>
        <w:t xml:space="preserve">See now, because the Lord chose you to build him house for sanctuary. Be strong and do.</w:t>
      </w:r>
    </w:p>
    <w:p>
      <w:r>
        <w:rPr>
          <w:b/>
        </w:rPr>
        <w:t xml:space="preserve">11 </w:t>
      </w:r>
      <w:r>
        <w:t xml:space="preserve">And David</w:t>
      </w:r>
      <w:r>
        <w:rPr>
          <w:rStyle w:val="FootnoteReference"/>
        </w:rPr>
        <w:footnoteReference w:id="8678"/>
      </w:r>
      <w:r>
        <w:t xml:space="preserve"> gave to Solomon his son pattern of the temple and of its houses and its treasuries and upper rooms and inner storehouses and house of propitiation</w:t>
      </w:r>
      <w:r>
        <w:rPr>
          <w:rStyle w:val="FootnoteReference"/>
        </w:rPr>
        <w:footnoteReference w:id="8679"/>
      </w:r>
      <w:r>
        <w:t xml:space="preserve">,</w:t>
      </w:r>
    </w:p>
    <w:p>
      <w:r>
        <w:rPr>
          <w:b/>
        </w:rPr>
        <w:t xml:space="preserve">12 </w:t>
      </w:r>
      <w:r>
        <w:t xml:space="preserve">and pattern which he had in his spirit of the courts of the house of the Lord and all storerooms around, for treasuries of the house of the Lord and treasuries of holy things,</w:t>
      </w:r>
      <w:r>
        <w:rPr>
          <w:rStyle w:val="FootnoteReference"/>
        </w:rPr>
        <w:footnoteReference w:id="8680"/>
      </w:r>
    </w:p>
    <w:p>
      <w:r>
        <w:rPr>
          <w:b/>
        </w:rPr>
        <w:t xml:space="preserve">13 </w:t>
      </w:r>
      <w:r>
        <w:t xml:space="preserve">and of chambers of courses of priests and Levites, for every work of service of the house of the Lord and of storehouses of vessels of service of worship of the house of the Lord,</w:t>
      </w:r>
    </w:p>
    <w:p>
      <w:r>
        <w:rPr>
          <w:b/>
        </w:rPr>
        <w:t xml:space="preserve">14 </w:t>
      </w:r>
      <w:r>
        <w:t xml:space="preserve">and weight of their weighing</w:t>
      </w:r>
      <w:r>
        <w:rPr>
          <w:rStyle w:val="FootnoteReference"/>
        </w:rPr>
        <w:footnoteReference w:id="8681"/>
      </w:r>
      <w:r>
        <w:t xml:space="preserve">, both of gold</w:t>
      </w:r>
      <w:r>
        <w:rPr>
          <w:rStyle w:val="FootnoteReference"/>
        </w:rPr>
        <w:footnoteReference w:id="8682"/>
      </w:r>
      <w:r>
        <w:t xml:space="preserve"> and silver things,</w:t>
      </w:r>
    </w:p>
    <w:p>
      <w:r>
        <w:rPr>
          <w:b/>
        </w:rPr>
        <w:t xml:space="preserve">15 </w:t>
      </w:r>
      <w:r>
        <w:t xml:space="preserve">weight of lampstands</w:t>
      </w:r>
      <w:r>
        <w:rPr>
          <w:rStyle w:val="FootnoteReference"/>
        </w:rPr>
        <w:footnoteReference w:id="8683"/>
      </w:r>
      <w:r>
        <w:t xml:space="preserve"> and of lamps he gave him,</w:t>
      </w:r>
    </w:p>
    <w:p>
      <w:r>
        <w:rPr>
          <w:b/>
        </w:rPr>
        <w:t xml:space="preserve">16 </w:t>
      </w:r>
      <w:r>
        <w:t xml:space="preserve">he likewise gave him weight of tables of presentation, each golden table, and likewise silver ones,</w:t>
      </w:r>
    </w:p>
    <w:p>
      <w:r>
        <w:rPr>
          <w:b/>
        </w:rPr>
        <w:t xml:space="preserve">17 </w:t>
      </w:r>
      <w:r>
        <w:t xml:space="preserve">and for flesh-hooks and bowls and golden cups, and weight of gold and of silver for each kefphoure according to weight,</w:t>
      </w:r>
    </w:p>
    <w:p>
      <w:r>
        <w:rPr>
          <w:b/>
        </w:rPr>
        <w:t xml:space="preserve">18 </w:t>
      </w:r>
      <w:r>
        <w:t xml:space="preserve">and for altar of incense, weight from refined gold he showed him, and pattern of chariot of cheroubim spreading wings and overshadowing the ark of the covenant of the Lord.</w:t>
      </w:r>
    </w:p>
    <w:p>
      <w:r>
        <w:rPr>
          <w:b/>
        </w:rPr>
        <w:t xml:space="preserve">19 </w:t>
      </w:r>
      <w:r>
        <w:t xml:space="preserve">All in the writing of the hand of the Lord</w:t>
      </w:r>
      <w:r>
        <w:rPr>
          <w:rStyle w:val="FootnoteReference"/>
        </w:rPr>
        <w:footnoteReference w:id="8684"/>
      </w:r>
      <w:r>
        <w:t xml:space="preserve">, David gave to Solomon according to understanding given to him for working of pattern.</w:t>
      </w:r>
    </w:p>
    <w:p>
      <w:r>
        <w:rPr>
          <w:b/>
        </w:rPr>
        <w:t xml:space="preserve">20 </w:t>
      </w:r>
      <w:r>
        <w:t xml:space="preserve">And David said to Solomon his son, Be strong</w:t>
      </w:r>
      <w:r>
        <w:rPr>
          <w:rStyle w:val="FootnoteReference"/>
        </w:rPr>
        <w:footnoteReference w:id="8685"/>
      </w:r>
      <w:r>
        <w:t xml:space="preserve"> and act like a man and do</w:t>
      </w:r>
      <w:r>
        <w:rPr>
          <w:rStyle w:val="FootnoteReference"/>
        </w:rPr>
        <w:footnoteReference w:id="8686"/>
      </w:r>
      <w:r>
        <w:t xml:space="preserve">. Do not fear and do not be dismayed, because the Lord my God is with you. He will not let go of you and will not forsake you until you finish every work of service of the house of the Lord.</w:t>
      </w:r>
    </w:p>
    <w:p>
      <w:r>
        <w:rPr>
          <w:b/>
        </w:rPr>
        <w:t xml:space="preserve">21 </w:t>
      </w:r>
      <w:r>
        <w:t xml:space="preserve">And behold, courses of priests and Levites for every service of the house of God are with you, and with you in every work are all willing men in wisdom</w:t>
      </w:r>
      <w:r>
        <w:rPr>
          <w:rStyle w:val="FootnoteReference"/>
        </w:rPr>
        <w:footnoteReference w:id="8687"/>
      </w:r>
      <w:r>
        <w:t xml:space="preserve"> for every craft, and rulers and all the people for all your words.</w:t>
      </w:r>
      <w:r>
        <w:rPr>
          <w:rStyle w:val="FootnoteReference"/>
        </w:rPr>
        <w:footnoteReference w:id="8688"/>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And King David said to all the assembly, Solomon my son, in whom alone the Lord chose, is young</w:t>
      </w:r>
      <w:r>
        <w:rPr>
          <w:rStyle w:val="FootnoteReference"/>
        </w:rPr>
        <w:footnoteReference w:id="8689"/>
      </w:r>
      <w:r>
        <w:t xml:space="preserve"> and tender, and work is great, because building not for man but for the Lord God.</w:t>
      </w:r>
    </w:p>
    <w:p>
      <w:r>
        <w:rPr>
          <w:b/>
        </w:rPr>
        <w:t xml:space="preserve">2 </w:t>
      </w:r>
      <w:r>
        <w:t xml:space="preserve">With all my strength I prepared for the house of my God</w:t>
      </w:r>
      <w:r>
        <w:rPr>
          <w:rStyle w:val="FootnoteReference"/>
        </w:rPr>
        <w:footnoteReference w:id="8690"/>
      </w:r>
      <w:r>
        <w:t xml:space="preserve"> gold, silver, bronze, iron, wood, shoham stones and filling stones and precious stones and varied stones and every precious stone and much Parian stone.</w:t>
      </w:r>
      <w:r>
        <w:rPr>
          <w:rStyle w:val="FootnoteReference"/>
        </w:rPr>
        <w:footnoteReference w:id="8691"/>
      </w:r>
    </w:p>
    <w:p>
      <w:r>
        <w:rPr>
          <w:b/>
        </w:rPr>
        <w:t xml:space="preserve">3 </w:t>
      </w:r>
      <w:r>
        <w:t xml:space="preserve">And still, because I delighted in the house of my God, I have gold and silver which I kept for myself, and behold, I gave it for the house of my God in addition to what I prepared for the house of holy things</w:t>
      </w:r>
      <w:r>
        <w:rPr>
          <w:rStyle w:val="FootnoteReference"/>
        </w:rPr>
        <w:footnoteReference w:id="8692"/>
      </w:r>
      <w:r>
        <w:t xml:space="preserve">,</w:t>
      </w:r>
    </w:p>
    <w:p>
      <w:r>
        <w:rPr>
          <w:b/>
        </w:rPr>
        <w:t xml:space="preserve">4 </w:t>
      </w:r>
      <w:r>
        <w:t xml:space="preserve">three thousand talents of gold from Ophir and seven thousand talents of refined silver to overlay walls of sanctuary with them,</w:t>
      </w:r>
    </w:p>
    <w:p>
      <w:r>
        <w:rPr>
          <w:b/>
        </w:rPr>
        <w:t xml:space="preserve">5 </w:t>
      </w:r>
      <w:r>
        <w:t xml:space="preserve">by the hand of craftsmen. And who is willing to fill his hands</w:t>
      </w:r>
      <w:r>
        <w:rPr>
          <w:rStyle w:val="FootnoteReference"/>
        </w:rPr>
        <w:footnoteReference w:id="8693"/>
      </w:r>
      <w:r>
        <w:t xml:space="preserve"> for the Lord today?</w:t>
      </w:r>
    </w:p>
    <w:p>
      <w:r>
        <w:rPr>
          <w:b/>
        </w:rPr>
        <w:t xml:space="preserve">6 </w:t>
      </w:r>
      <w:r>
        <w:t xml:space="preserve">And chiefs of fathers and rulers of sons of Israel and commanders of thousands and of hundreds and leaders of works and stewards of the king were made willing.</w:t>
      </w:r>
    </w:p>
    <w:p>
      <w:r>
        <w:rPr>
          <w:b/>
        </w:rPr>
        <w:t xml:space="preserve">7 </w:t>
      </w:r>
      <w:r>
        <w:t xml:space="preserve">And they gave for the works of the house of the Lord five thousand talents of gold and ten thousand gold pieces</w:t>
      </w:r>
      <w:r>
        <w:rPr>
          <w:rStyle w:val="FootnoteReference"/>
        </w:rPr>
        <w:footnoteReference w:id="8694"/>
      </w:r>
      <w:r>
        <w:t xml:space="preserve">, and ten thousand talents of silver, and eighteen thousand talents of bronze, and one hundred thousand talents of iron.</w:t>
      </w:r>
    </w:p>
    <w:p>
      <w:r>
        <w:rPr>
          <w:b/>
        </w:rPr>
        <w:t xml:space="preserve">8 </w:t>
      </w:r>
      <w:r>
        <w:t xml:space="preserve">And those with whom stone was found gave it to treasuries of the house of the Lord by the hand of Jehiel the Gershonite</w:t>
      </w:r>
      <w:r>
        <w:rPr>
          <w:rStyle w:val="FootnoteReference"/>
        </w:rPr>
        <w:footnoteReference w:id="8695"/>
      </w:r>
      <w:r>
        <w:t xml:space="preserve">.</w:t>
      </w:r>
    </w:p>
    <w:p>
      <w:r>
        <w:rPr>
          <w:b/>
        </w:rPr>
        <w:t xml:space="preserve">9 </w:t>
      </w:r>
      <w:r>
        <w:t xml:space="preserve">And the people rejoiced over their willingness, because with full heart they were made willing to the Lord</w:t>
      </w:r>
      <w:r>
        <w:rPr>
          <w:rStyle w:val="FootnoteReference"/>
        </w:rPr>
        <w:footnoteReference w:id="8696"/>
      </w:r>
      <w:r>
        <w:t xml:space="preserve">, and King David</w:t>
      </w:r>
      <w:r>
        <w:rPr>
          <w:rStyle w:val="FootnoteReference"/>
        </w:rPr>
        <w:footnoteReference w:id="8697"/>
      </w:r>
      <w:r>
        <w:t xml:space="preserve"> rejoiced greatly.</w:t>
      </w:r>
    </w:p>
    <w:p>
      <w:r>
        <w:rPr>
          <w:b/>
        </w:rPr>
        <w:t xml:space="preserve">10 </w:t>
      </w:r>
      <w:r>
        <w:t xml:space="preserve">And King David blessed</w:t>
      </w:r>
      <w:r>
        <w:rPr>
          <w:rStyle w:val="FootnoteReference"/>
        </w:rPr>
        <w:footnoteReference w:id="8698"/>
      </w:r>
      <w:r>
        <w:t xml:space="preserve"> the Lord before assembly, saying, Blessed are you, Lord God of Israel our father, from age and unto age.</w:t>
      </w:r>
    </w:p>
    <w:p>
      <w:r>
        <w:rPr>
          <w:b/>
        </w:rPr>
        <w:t xml:space="preserve">11 </w:t>
      </w:r>
      <w:r>
        <w:t xml:space="preserve">Yours, Lord, are greatness and power and boasting and victory</w:t>
      </w:r>
      <w:r>
        <w:rPr>
          <w:rStyle w:val="FootnoteReference"/>
        </w:rPr>
        <w:footnoteReference w:id="8699"/>
      </w:r>
      <w:r>
        <w:t xml:space="preserve"> and strength, because you rule all things in heaven and on earth; before your face every king and nation is troubled.</w:t>
      </w:r>
    </w:p>
    <w:p>
      <w:r>
        <w:rPr>
          <w:b/>
        </w:rPr>
        <w:t xml:space="preserve">12 </w:t>
      </w:r>
      <w:r>
        <w:t xml:space="preserve">From you are riches</w:t>
      </w:r>
      <w:r>
        <w:rPr>
          <w:rStyle w:val="FootnoteReference"/>
        </w:rPr>
        <w:footnoteReference w:id="8700"/>
      </w:r>
      <w:r>
        <w:t xml:space="preserve"> and glory; you rule all things, Lord, ruler of every beginning, and in your hand are strength and lordship, and in your hand, Almighty One, to magnify and strengthen all things.</w:t>
      </w:r>
    </w:p>
    <w:p>
      <w:r>
        <w:rPr>
          <w:b/>
        </w:rPr>
        <w:t xml:space="preserve">13 </w:t>
      </w:r>
      <w:r>
        <w:t xml:space="preserve">And now, Lord, we give thanks to you and praise the name of your boasting.</w:t>
      </w:r>
    </w:p>
    <w:p>
      <w:r>
        <w:rPr>
          <w:b/>
        </w:rPr>
        <w:t xml:space="preserve">14 </w:t>
      </w:r>
      <w:r>
        <w:t xml:space="preserve">And who am I</w:t>
      </w:r>
      <w:r>
        <w:rPr>
          <w:rStyle w:val="FootnoteReference"/>
        </w:rPr>
        <w:footnoteReference w:id="8701"/>
      </w:r>
      <w:r>
        <w:t xml:space="preserve">, and who are my people, that we grew strong to be willing to you in this way? Because all things are yours, and from your things we gave to you.</w:t>
      </w:r>
    </w:p>
    <w:p>
      <w:r>
        <w:rPr>
          <w:b/>
        </w:rPr>
        <w:t xml:space="preserve">15 </w:t>
      </w:r>
      <w:r>
        <w:t xml:space="preserve">Because we are sojourners before you and temporary residents, as all our fathers were. Our days</w:t>
      </w:r>
      <w:r>
        <w:rPr>
          <w:rStyle w:val="FootnoteReference"/>
        </w:rPr>
        <w:footnoteReference w:id="8702"/>
      </w:r>
      <w:r>
        <w:t xml:space="preserve"> on earth are like a shadow, and there is no staying.</w:t>
      </w:r>
    </w:p>
    <w:p>
      <w:r>
        <w:rPr>
          <w:b/>
        </w:rPr>
        <w:t xml:space="preserve">16 </w:t>
      </w:r>
      <w:r>
        <w:t xml:space="preserve">Lord our God, all this abundance which I prepared to build a house for is from your hand, and all things are yours.</w:t>
      </w:r>
    </w:p>
    <w:p>
      <w:r>
        <w:rPr>
          <w:b/>
        </w:rPr>
        <w:t xml:space="preserve">17 </w:t>
      </w:r>
      <w:r>
        <w:t xml:space="preserve">And I knew, Lord, that you examine hearts and love righteousness. In simplicity of heart</w:t>
      </w:r>
      <w:r>
        <w:rPr>
          <w:rStyle w:val="FootnoteReference"/>
        </w:rPr>
        <w:footnoteReference w:id="8703"/>
      </w:r>
      <w:r>
        <w:t xml:space="preserve"> I was willing for all these things, and now I saw your people found here willingly giving to you with gladness.</w:t>
      </w:r>
    </w:p>
    <w:p>
      <w:r>
        <w:rPr>
          <w:b/>
        </w:rPr>
        <w:t xml:space="preserve">18 </w:t>
      </w:r>
      <w:r>
        <w:t xml:space="preserve">Lord God</w:t>
      </w:r>
      <w:r>
        <w:rPr>
          <w:rStyle w:val="FootnoteReference"/>
        </w:rPr>
        <w:footnoteReference w:id="8704"/>
      </w:r>
      <w:r>
        <w:t xml:space="preserve"> of Abraham and Isaac and Israel our fathers, keep these things in thought of heart of your people forever, and direct their hearts toward you.</w:t>
      </w:r>
    </w:p>
    <w:p>
      <w:r>
        <w:rPr>
          <w:b/>
        </w:rPr>
        <w:t xml:space="preserve">19 </w:t>
      </w:r>
      <w:r>
        <w:t xml:space="preserve">And to Solomon my son give good heart to do your commandments and your testimonies and your ordinances, and to bring building of your house to completion.</w:t>
      </w:r>
    </w:p>
    <w:p>
      <w:r>
        <w:rPr>
          <w:b/>
        </w:rPr>
        <w:t xml:space="preserve">20 </w:t>
      </w:r>
      <w:r>
        <w:t xml:space="preserve">And David said to all the assembly, Bless the Lord your God. And all the assembly blessed the Lord God of their fathers, and bowing knees they worshiped the Lord and the king.</w:t>
      </w:r>
    </w:p>
    <w:p>
      <w:r>
        <w:rPr>
          <w:b/>
        </w:rPr>
        <w:t xml:space="preserve">21 </w:t>
      </w:r>
      <w:r>
        <w:t xml:space="preserve">And David sacrificed</w:t>
      </w:r>
      <w:r>
        <w:rPr>
          <w:rStyle w:val="FootnoteReference"/>
        </w:rPr>
        <w:footnoteReference w:id="8705"/>
      </w:r>
      <w:r>
        <w:t xml:space="preserve"> sacrifices to the Lord and offered whole burnt offerings to God on next day after first day: one thousand calves, one thousand rams, one thousand lambs, and their libations, and sacrifices in abundance for all Israel</w:t>
      </w:r>
      <w:r>
        <w:rPr>
          <w:rStyle w:val="FootnoteReference"/>
        </w:rPr>
        <w:footnoteReference w:id="8706"/>
      </w:r>
      <w:r>
        <w:t xml:space="preserve">.</w:t>
      </w:r>
    </w:p>
    <w:p>
      <w:r>
        <w:rPr>
          <w:b/>
        </w:rPr>
        <w:t xml:space="preserve">22 </w:t>
      </w:r>
      <w:r>
        <w:t xml:space="preserve">And they ate and drank before the Lord on that day with joy, and they made Solomon son of David king a second time, and anointed</w:t>
      </w:r>
      <w:r>
        <w:rPr>
          <w:rStyle w:val="FootnoteReference"/>
        </w:rPr>
        <w:footnoteReference w:id="8707"/>
      </w:r>
      <w:r>
        <w:t xml:space="preserve"> him to the Lord as king and Zadok to priesthood</w:t>
      </w:r>
      <w:r>
        <w:rPr>
          <w:rStyle w:val="FootnoteReference"/>
        </w:rPr>
        <w:footnoteReference w:id="8708"/>
      </w:r>
      <w:r>
        <w:t xml:space="preserve">.</w:t>
      </w:r>
    </w:p>
    <w:p>
      <w:r>
        <w:rPr>
          <w:b/>
        </w:rPr>
        <w:t xml:space="preserve">23 </w:t>
      </w:r>
      <w:r>
        <w:t xml:space="preserve">And Solomon sat on the throne</w:t>
      </w:r>
      <w:r>
        <w:rPr>
          <w:rStyle w:val="FootnoteReference"/>
        </w:rPr>
        <w:footnoteReference w:id="8709"/>
      </w:r>
      <w:r>
        <w:t xml:space="preserve"> of David his father and prospered, and all Israel listened to him.</w:t>
      </w:r>
    </w:p>
    <w:p>
      <w:r>
        <w:rPr>
          <w:b/>
        </w:rPr>
        <w:t xml:space="preserve">24 </w:t>
      </w:r>
      <w:r>
        <w:t xml:space="preserve">Rulers and mighty lords and all sons of King David his father submitted to him.</w:t>
      </w:r>
    </w:p>
    <w:p>
      <w:r>
        <w:rPr>
          <w:b/>
        </w:rPr>
        <w:t xml:space="preserve">25 </w:t>
      </w:r>
      <w:r>
        <w:t xml:space="preserve">And the Lord magnified Solomon</w:t>
      </w:r>
      <w:r>
        <w:rPr>
          <w:rStyle w:val="FootnoteReference"/>
        </w:rPr>
        <w:footnoteReference w:id="8710"/>
      </w:r>
      <w:r>
        <w:t xml:space="preserve"> exceedingly before all Israel and gave him royal glory such as did not happen on any king before him.</w:t>
      </w:r>
    </w:p>
    <w:p>
      <w:r>
        <w:rPr>
          <w:b/>
        </w:rPr>
        <w:t xml:space="preserve">26 </w:t>
      </w:r>
      <w:r>
        <w:t xml:space="preserve">And David son of Jesse reigned over Israel.</w:t>
      </w:r>
    </w:p>
    <w:p>
      <w:r>
        <w:rPr>
          <w:b/>
        </w:rPr>
        <w:t xml:space="preserve">27 </w:t>
      </w:r>
      <w:r>
        <w:t xml:space="preserve">Forty years</w:t>
      </w:r>
      <w:r>
        <w:rPr>
          <w:rStyle w:val="FootnoteReference"/>
        </w:rPr>
        <w:footnoteReference w:id="8711"/>
      </w:r>
      <w:r>
        <w:t xml:space="preserve">: in Hebron seven years and in Jerusalem thirty-three years.</w:t>
      </w:r>
    </w:p>
    <w:p>
      <w:r>
        <w:rPr>
          <w:b/>
        </w:rPr>
        <w:t xml:space="preserve">28 </w:t>
      </w:r>
      <w:r>
        <w:t xml:space="preserve">And he died in good old age, full of days</w:t>
      </w:r>
      <w:r>
        <w:rPr>
          <w:rStyle w:val="FootnoteReference"/>
        </w:rPr>
        <w:footnoteReference w:id="8712"/>
      </w:r>
      <w:r>
        <w:t xml:space="preserve">, riches, and glory, and Solomon his son reigned in his place.</w:t>
      </w:r>
    </w:p>
    <w:p>
      <w:r>
        <w:rPr>
          <w:b/>
        </w:rPr>
        <w:t xml:space="preserve">29 </w:t>
      </w:r>
      <w:r>
        <w:t xml:space="preserve">And the rest of matters of King David, first and last, are written in the words of Samuel</w:t>
      </w:r>
      <w:r>
        <w:rPr>
          <w:rStyle w:val="FootnoteReference"/>
        </w:rPr>
        <w:footnoteReference w:id="8713"/>
      </w:r>
      <w:r>
        <w:t xml:space="preserve"> seer and in the words of Nathan prophet and in the words of Gad seer,</w:t>
      </w:r>
    </w:p>
    <w:p>
      <w:r>
        <w:rPr>
          <w:b/>
        </w:rPr>
        <w:t xml:space="preserve">30 </w:t>
      </w:r>
      <w:r>
        <w:t xml:space="preserve">concerning all his kingdom and his mighty rule and times which came upon him and upon Israel and upon all kingdoms of the earth.</w:t>
      </w:r>
    </w:p>
    <w:p>
      <w:r>
        <w:br w:type="page"/>
      </w:r>
    </w:p>
    <w:p>
      <w:pPr>
        <w:pStyle w:val="Heading1"/>
      </w:pPr>
      <w:r>
        <w:t xml:space="preserve">2 Chronicles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Solomon son of David was strengthened</w:t>
      </w:r>
      <w:r>
        <w:rPr>
          <w:rStyle w:val="FootnoteReference"/>
        </w:rPr>
        <w:footnoteReference w:id="8714"/>
      </w:r>
      <w:r>
        <w:t xml:space="preserve"> over his kingdom, and the Lord his God was with him and magnified him on high.</w:t>
      </w:r>
    </w:p>
    <w:p>
      <w:r>
        <w:rPr>
          <w:b/>
        </w:rPr>
        <w:t xml:space="preserve">2 </w:t>
      </w:r>
      <w:r>
        <w:t xml:space="preserve">And Solomon spoke to all Israel, to commanders of thousands and of hundreds and to judges and to all rulers before Israel, to the chiefs of fathers.</w:t>
      </w:r>
    </w:p>
    <w:p>
      <w:r>
        <w:rPr>
          <w:b/>
        </w:rPr>
        <w:t xml:space="preserve">3 </w:t>
      </w:r>
      <w:r>
        <w:t xml:space="preserve">And Solomon and all the assembly with him went to high place in Gibeon</w:t>
      </w:r>
      <w:r>
        <w:rPr>
          <w:rStyle w:val="FootnoteReference"/>
        </w:rPr>
        <w:footnoteReference w:id="8715"/>
      </w:r>
      <w:r>
        <w:t xml:space="preserve">, because there was the tent of testimony of God</w:t>
      </w:r>
      <w:r>
        <w:rPr>
          <w:rStyle w:val="FootnoteReference"/>
        </w:rPr>
        <w:footnoteReference w:id="8716"/>
      </w:r>
      <w:r>
        <w:t xml:space="preserve"> which Moses servant of the Lord made in the wilderness.</w:t>
      </w:r>
    </w:p>
    <w:p>
      <w:r>
        <w:rPr>
          <w:b/>
        </w:rPr>
        <w:t xml:space="preserve">4 </w:t>
      </w:r>
      <w:r>
        <w:t xml:space="preserve">But David brought up the ark</w:t>
      </w:r>
      <w:r>
        <w:rPr>
          <w:rStyle w:val="FootnoteReference"/>
        </w:rPr>
        <w:footnoteReference w:id="8717"/>
      </w:r>
      <w:r>
        <w:t xml:space="preserve"> of God from the city Kirjathjearim, because he prepared tent for it in Jerusalem.</w:t>
      </w:r>
    </w:p>
    <w:p>
      <w:r>
        <w:rPr>
          <w:b/>
        </w:rPr>
        <w:t xml:space="preserve">5 </w:t>
      </w:r>
      <w:r>
        <w:t xml:space="preserve">And bronze altar which Bezaleel</w:t>
      </w:r>
      <w:r>
        <w:rPr>
          <w:rStyle w:val="FootnoteReference"/>
        </w:rPr>
        <w:footnoteReference w:id="8718"/>
      </w:r>
      <w:r>
        <w:t xml:space="preserve"> son of Ourios son of Hur made was there before the tent of the Lord, and Solomon and assembly sought it.</w:t>
      </w:r>
      <w:r>
        <w:rPr>
          <w:rStyle w:val="FootnoteReference"/>
        </w:rPr>
        <w:footnoteReference w:id="8719"/>
      </w:r>
    </w:p>
    <w:p>
      <w:r>
        <w:rPr>
          <w:b/>
        </w:rPr>
        <w:t xml:space="preserve">6 </w:t>
      </w:r>
      <w:r>
        <w:t xml:space="preserve">And there Solomon brought up upon bronze altar before the Lord, the one in tent, and brought up upon it one thousand whole burnt offerings.</w:t>
      </w:r>
    </w:p>
    <w:p>
      <w:r>
        <w:rPr>
          <w:b/>
        </w:rPr>
        <w:t xml:space="preserve">7 </w:t>
      </w:r>
      <w:r>
        <w:t xml:space="preserve">In that night</w:t>
      </w:r>
      <w:r>
        <w:rPr>
          <w:rStyle w:val="FootnoteReference"/>
        </w:rPr>
        <w:footnoteReference w:id="8720"/>
      </w:r>
      <w:r>
        <w:t xml:space="preserve"> God appeared to Solomon and said to him, Ask what I should give you.</w:t>
      </w:r>
    </w:p>
    <w:p>
      <w:r>
        <w:rPr>
          <w:b/>
        </w:rPr>
        <w:t xml:space="preserve">8 </w:t>
      </w:r>
      <w:r>
        <w:t xml:space="preserve">And Solomon said to God, You did great mercy with David my father and made me king in his place.</w:t>
      </w:r>
    </w:p>
    <w:p>
      <w:r>
        <w:rPr>
          <w:b/>
        </w:rPr>
        <w:t xml:space="preserve">9 </w:t>
      </w:r>
      <w:r>
        <w:t xml:space="preserve">And now, Lord God, let your name be made faithful upon David my father, because you made me king over numerous people like dust of the earth.</w:t>
      </w:r>
    </w:p>
    <w:p>
      <w:r>
        <w:rPr>
          <w:b/>
        </w:rPr>
        <w:t xml:space="preserve">10 </w:t>
      </w:r>
      <w:r>
        <w:t xml:space="preserve">Now give me</w:t>
      </w:r>
      <w:r>
        <w:rPr>
          <w:rStyle w:val="FootnoteReference"/>
        </w:rPr>
        <w:footnoteReference w:id="8721"/>
      </w:r>
      <w:r>
        <w:t xml:space="preserve"> wisdom and understanding, and I shall go out before this people and come in, because who can judge this great people of yours?</w:t>
      </w:r>
    </w:p>
    <w:p>
      <w:r>
        <w:rPr>
          <w:b/>
        </w:rPr>
        <w:t xml:space="preserve">11 </w:t>
      </w:r>
      <w:r>
        <w:t xml:space="preserve">And God said to Solomon, Because this came to be in your heart, and you did not ask wealth, riches, or glory, nor life of your adversaries, nor many days, but asked wisdom and understanding for yourself so that you may judge my people over whom I made you king,</w:t>
      </w:r>
      <w:r>
        <w:rPr>
          <w:rStyle w:val="FootnoteReference"/>
        </w:rPr>
        <w:footnoteReference w:id="8722"/>
      </w:r>
    </w:p>
    <w:p>
      <w:r>
        <w:rPr>
          <w:b/>
        </w:rPr>
        <w:t xml:space="preserve">12 </w:t>
      </w:r>
      <w:r>
        <w:t xml:space="preserve">wisdom and understanding I give to you, and wealth and riches and glory I will give</w:t>
      </w:r>
      <w:r>
        <w:rPr>
          <w:rStyle w:val="FootnoteReference"/>
        </w:rPr>
        <w:footnoteReference w:id="8723"/>
      </w:r>
      <w:r>
        <w:t xml:space="preserve"> to you such as none among kings before you had, and after you there shall not be thus.</w:t>
      </w:r>
    </w:p>
    <w:p>
      <w:r>
        <w:rPr>
          <w:b/>
        </w:rPr>
        <w:t xml:space="preserve">13 </w:t>
      </w:r>
      <w:r>
        <w:t xml:space="preserve">And Solomon came from high place in Gibeon to Jerusalem, from before the tent of testimony, and reigned</w:t>
      </w:r>
      <w:r>
        <w:rPr>
          <w:rStyle w:val="FootnoteReference"/>
        </w:rPr>
        <w:footnoteReference w:id="8724"/>
      </w:r>
      <w:r>
        <w:t xml:space="preserve"> over Israel.</w:t>
      </w:r>
    </w:p>
    <w:p>
      <w:r>
        <w:rPr>
          <w:b/>
        </w:rPr>
        <w:t xml:space="preserve">14 </w:t>
      </w:r>
      <w:r>
        <w:t xml:space="preserve">And Solomon</w:t>
      </w:r>
      <w:r>
        <w:rPr>
          <w:rStyle w:val="FootnoteReference"/>
        </w:rPr>
        <w:footnoteReference w:id="8725"/>
      </w:r>
      <w:r>
        <w:t xml:space="preserve"> gathered chariots and horsemen, and he had one thousand four hundred chariots and twelve thousand horsemen, and he placed them in the cities of chariots, and people were with the king in Jerusalem.</w:t>
      </w:r>
    </w:p>
    <w:p>
      <w:r>
        <w:rPr>
          <w:b/>
        </w:rPr>
        <w:t xml:space="preserve">15 </w:t>
      </w:r>
      <w:r>
        <w:t xml:space="preserve">And the king made gold and silver in Jerusalem like stones, and cedars in Judah like sycamines in lowland in abundance.</w:t>
      </w:r>
    </w:p>
    <w:p>
      <w:r>
        <w:rPr>
          <w:b/>
        </w:rPr>
        <w:t xml:space="preserve">16 </w:t>
      </w:r>
      <w:r>
        <w:t xml:space="preserve">And the export of horses for Solomon</w:t>
      </w:r>
      <w:r>
        <w:rPr>
          <w:rStyle w:val="FootnoteReference"/>
        </w:rPr>
        <w:footnoteReference w:id="8726"/>
      </w:r>
      <w:r>
        <w:t xml:space="preserve"> was from Egypt, and merchants of the king were trading and buying at price.</w:t>
      </w:r>
    </w:p>
    <w:p>
      <w:r>
        <w:rPr>
          <w:b/>
        </w:rPr>
        <w:t xml:space="preserve">17 </w:t>
      </w:r>
      <w:r>
        <w:t xml:space="preserve">And they were bringing up and bringing out from Egypt chariot for six hundred silver and horse for one hundred fifty, and thus for all kings of Hittites and kings of Syria they brought by their hands</w:t>
      </w:r>
      <w:r>
        <w:rPr>
          <w:rStyle w:val="FootnoteReference"/>
        </w:rPr>
        <w:footnoteReference w:id="8727"/>
      </w:r>
      <w:r>
        <w:t xml:space="preserve">.</w:t>
      </w:r>
    </w:p>
    <w:p>
      <w:r>
        <w:rPr>
          <w:b/>
        </w:rPr>
        <w:t xml:space="preserve">18 </w:t>
      </w:r>
      <w:r>
        <w:t xml:space="preserve">And Solomon spoke of building a house to the name of the Lord and a house for his kingdom.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Solomon gathered seventy thousand men and eighty thousand stonecutters in mountain and three thousand six hundred overseers over them.</w:t>
      </w:r>
    </w:p>
    <w:p>
      <w:r>
        <w:rPr>
          <w:b/>
        </w:rPr>
        <w:t xml:space="preserve">2 </w:t>
      </w:r>
      <w:r>
        <w:t xml:space="preserve">And Solomon sent to Hiram king of Tyre, saying, As you did with David my father and sent him cedars to build a house for to dwell in it,</w:t>
      </w:r>
    </w:p>
    <w:p>
      <w:r>
        <w:rPr>
          <w:b/>
        </w:rPr>
        <w:t xml:space="preserve">3 </w:t>
      </w:r>
      <w:r>
        <w:t xml:space="preserve">behold, I his son am building a house to the name of the Lord my God, to sanctify it to him, to burn incense of spices before him and perpetual presentation</w:t>
      </w:r>
      <w:r>
        <w:rPr>
          <w:rStyle w:val="FootnoteReference"/>
        </w:rPr>
        <w:footnoteReference w:id="8728"/>
      </w:r>
      <w:r>
        <w:t xml:space="preserve"> and to offer whole burnt offerings continually morning and evening and on Sabbaths and on new moons and on feasts of the Lord our God. This is forever upon Israel.</w:t>
      </w:r>
    </w:p>
    <w:p>
      <w:r>
        <w:rPr>
          <w:b/>
        </w:rPr>
        <w:t xml:space="preserve">4 </w:t>
      </w:r>
      <w:r>
        <w:t xml:space="preserve">And house which I am building is great</w:t>
      </w:r>
      <w:r>
        <w:rPr>
          <w:rStyle w:val="FootnoteReference"/>
        </w:rPr>
        <w:footnoteReference w:id="8729"/>
      </w:r>
      <w:r>
        <w:t xml:space="preserve">, because our God is great above all gods.</w:t>
      </w:r>
    </w:p>
    <w:p>
      <w:r>
        <w:rPr>
          <w:b/>
        </w:rPr>
        <w:t xml:space="preserve">5 </w:t>
      </w:r>
      <w:r>
        <w:t xml:space="preserve">And who will have strength to build him house? Because heaven and heaven of heavens do not bear his glory. And who am I building him house, except to burn incense before him?</w:t>
      </w:r>
      <w:r>
        <w:rPr>
          <w:rStyle w:val="FootnoteReference"/>
        </w:rPr>
        <w:footnoteReference w:id="8730"/>
      </w:r>
    </w:p>
    <w:p>
      <w:r>
        <w:rPr>
          <w:b/>
        </w:rPr>
        <w:t xml:space="preserve">6 </w:t>
      </w:r>
      <w:r>
        <w:t xml:space="preserve">And now send me wise man, one knowing how to work in gold and silver and bronze and iron and purple and scarlet and blue, and knowing how to carve carving</w:t>
      </w:r>
      <w:r>
        <w:rPr>
          <w:rStyle w:val="FootnoteReference"/>
        </w:rPr>
        <w:footnoteReference w:id="8731"/>
      </w:r>
      <w:r>
        <w:t xml:space="preserve">, together with wise men with me in Judah and in Jerusalem, whom David my father prepared.</w:t>
      </w:r>
    </w:p>
    <w:p>
      <w:r>
        <w:rPr>
          <w:b/>
        </w:rPr>
        <w:t xml:space="preserve">7 </w:t>
      </w:r>
      <w:r>
        <w:t xml:space="preserve">And send me cedar woods and juniper woods and pine woods</w:t>
      </w:r>
      <w:r>
        <w:rPr>
          <w:rStyle w:val="FootnoteReference"/>
        </w:rPr>
        <w:footnoteReference w:id="8732"/>
      </w:r>
      <w:r>
        <w:t xml:space="preserve"> from Lebanon, because I know your servants know how to cut woods from Lebanon, and behold, your servants are with my servants,</w:t>
      </w:r>
    </w:p>
    <w:p>
      <w:r>
        <w:rPr>
          <w:b/>
        </w:rPr>
        <w:t xml:space="preserve">8 </w:t>
      </w:r>
      <w:r>
        <w:t xml:space="preserve">to prepare woods for me in abundance, because house which I am building is great and glorious.</w:t>
      </w:r>
      <w:r>
        <w:rPr>
          <w:rStyle w:val="FootnoteReference"/>
        </w:rPr>
        <w:footnoteReference w:id="8733"/>
      </w:r>
      <w:r>
        <w:t xml:space="preserve"/>
      </w:r>
    </w:p>
    <w:p>
      <w:r>
        <w:rPr>
          <w:b/>
        </w:rPr>
        <w:t xml:space="preserve">9 </w:t>
      </w:r>
      <w:r>
        <w:t xml:space="preserve">And behold, for workers, those cutting woods for food, I gave grain to your servants, twenty thousand kors</w:t>
      </w:r>
      <w:r>
        <w:rPr>
          <w:rStyle w:val="FootnoteReference"/>
        </w:rPr>
        <w:footnoteReference w:id="8734"/>
      </w:r>
      <w:r>
        <w:t xml:space="preserve">, and barley, twenty thousand kors, and wine, twenty thousand measures, and oil, twenty thousand measures.</w:t>
      </w:r>
    </w:p>
    <w:p>
      <w:r>
        <w:rPr>
          <w:b/>
        </w:rPr>
        <w:t xml:space="preserve">10 </w:t>
      </w:r>
      <w:r>
        <w:t xml:space="preserve">And Hiram king of Tyre answered in writing and sent to Solomon, Because the Lord loved his people, he gave you king over them.</w:t>
      </w:r>
      <w:r>
        <w:rPr>
          <w:rStyle w:val="FootnoteReference"/>
        </w:rPr>
        <w:footnoteReference w:id="8735"/>
      </w:r>
    </w:p>
    <w:p>
      <w:r>
        <w:rPr>
          <w:b/>
        </w:rPr>
        <w:t xml:space="preserve">11 </w:t>
      </w:r>
      <w:r>
        <w:t xml:space="preserve">And Hiram said, Blessed is the Lord God of Israel who made heaven and earth, who gave to King David wise son, knowing understanding and knowledge, who will build a house to and a house for his kingdom.</w:t>
      </w:r>
      <w:r>
        <w:rPr>
          <w:rStyle w:val="FootnoteReference"/>
        </w:rPr>
        <w:footnoteReference w:id="8736"/>
      </w:r>
    </w:p>
    <w:p>
      <w:r>
        <w:rPr>
          <w:b/>
        </w:rPr>
        <w:t xml:space="preserve">12 </w:t>
      </w:r>
      <w:r>
        <w:t xml:space="preserve">And now I have sent to you wise man, knowing understanding, Hiram my father,</w:t>
      </w:r>
      <w:r>
        <w:rPr>
          <w:rStyle w:val="FootnoteReference"/>
        </w:rPr>
        <w:footnoteReference w:id="8737"/>
      </w:r>
    </w:p>
    <w:p>
      <w:r>
        <w:rPr>
          <w:b/>
        </w:rPr>
        <w:t xml:space="preserve">13 </w:t>
      </w:r>
      <w:r>
        <w:t xml:space="preserve">whose mother was from the daughters of Dan and whose father was Tyrian man</w:t>
      </w:r>
      <w:r>
        <w:rPr>
          <w:rStyle w:val="FootnoteReference"/>
        </w:rPr>
        <w:footnoteReference w:id="8738"/>
      </w:r>
      <w:r>
        <w:t xml:space="preserve">, knowing how to work in gold and in silver and in bronze and in iron, in stones and woods, and to weave in purple and in blue and in fine linen and in scarlet, and to carve carvings and devise every design whatever you give him, together with your wise men and wise men of David my lord your father.</w:t>
      </w:r>
    </w:p>
    <w:p>
      <w:r>
        <w:rPr>
          <w:b/>
        </w:rPr>
        <w:t xml:space="preserve">14 </w:t>
      </w:r>
      <w:r>
        <w:t xml:space="preserve">And now let my lord send to his servants grain and barley</w:t>
      </w:r>
      <w:r>
        <w:rPr>
          <w:rStyle w:val="FootnoteReference"/>
        </w:rPr>
        <w:footnoteReference w:id="8739"/>
      </w:r>
      <w:r>
        <w:t xml:space="preserve"> and oil and wine which my lord spoke of.</w:t>
      </w:r>
    </w:p>
    <w:p>
      <w:r>
        <w:rPr>
          <w:b/>
        </w:rPr>
        <w:t xml:space="preserve">15 </w:t>
      </w:r>
      <w:r>
        <w:t xml:space="preserve">And we shall cut woods from Lebanon according to all your need, and we shall bring them on rafts by sea to Joppa, and you shall bring them up to Jerusalem.</w:t>
      </w:r>
      <w:r>
        <w:rPr>
          <w:rStyle w:val="FootnoteReference"/>
        </w:rPr>
        <w:footnoteReference w:id="8740"/>
      </w:r>
    </w:p>
    <w:p>
      <w:r>
        <w:rPr>
          <w:b/>
        </w:rPr>
        <w:t xml:space="preserve">16 </w:t>
      </w:r>
      <w:r>
        <w:t xml:space="preserve">And Solomon gathered all sojourning men in the land of Israel, after number by which David his father numbered them, and they were found to be one hundred fifty-three thousand six hundred.</w:t>
      </w:r>
    </w:p>
    <w:p>
      <w:r>
        <w:rPr>
          <w:b/>
        </w:rPr>
        <w:t xml:space="preserve">17 </w:t>
      </w:r>
      <w:r>
        <w:t xml:space="preserve">And he made from them seventy thousand carriers of burdens</w:t>
      </w:r>
      <w:r>
        <w:rPr>
          <w:rStyle w:val="FootnoteReference"/>
        </w:rPr>
        <w:footnoteReference w:id="8741"/>
      </w:r>
      <w:r>
        <w:t xml:space="preserve"> and eighty thousand stonecutters and three thousand six hundred overseers over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Solomon</w:t>
      </w:r>
      <w:r>
        <w:rPr>
          <w:rStyle w:val="FootnoteReference"/>
        </w:rPr>
        <w:footnoteReference w:id="8742"/>
      </w:r>
      <w:r>
        <w:t xml:space="preserve"> began building the house of the Lord in Jerusalem on the mountain of Moriah</w:t>
      </w:r>
      <w:r>
        <w:rPr>
          <w:rStyle w:val="FootnoteReference"/>
        </w:rPr>
        <w:footnoteReference w:id="8743"/>
      </w:r>
      <w:r>
        <w:t xml:space="preserve">, where the Lord appeared to David his father, in place which David prepared at the threshing floor of Araunah the Jebusite.</w:t>
      </w:r>
      <w:r>
        <w:rPr>
          <w:rStyle w:val="FootnoteReference"/>
        </w:rPr>
        <w:footnoteReference w:id="8744"/>
      </w:r>
    </w:p>
    <w:p>
      <w:r>
        <w:rPr>
          <w:b/>
        </w:rPr>
        <w:t xml:space="preserve">2 </w:t>
      </w:r>
      <w:r>
        <w:t xml:space="preserve">And he began building in the second</w:t>
      </w:r>
      <w:r>
        <w:rPr>
          <w:rStyle w:val="FootnoteReference"/>
        </w:rPr>
        <w:footnoteReference w:id="8745"/>
      </w:r>
      <w:r>
        <w:t xml:space="preserve"> month, in the fourth year of his reign.</w:t>
      </w:r>
    </w:p>
    <w:p>
      <w:r>
        <w:rPr>
          <w:b/>
        </w:rPr>
        <w:t xml:space="preserve">3 </w:t>
      </w:r>
      <w:r>
        <w:t xml:space="preserve">And these are foundations which Solomon</w:t>
      </w:r>
      <w:r>
        <w:rPr>
          <w:rStyle w:val="FootnoteReference"/>
        </w:rPr>
        <w:footnoteReference w:id="8746"/>
      </w:r>
      <w:r>
        <w:t xml:space="preserve"> laid for building the house of God: length by first measure, sixty cubits, and width twenty cubits.</w:t>
      </w:r>
    </w:p>
    <w:p>
      <w:r>
        <w:rPr>
          <w:b/>
        </w:rPr>
        <w:t xml:space="preserve">4 </w:t>
      </w:r>
      <w:r>
        <w:t xml:space="preserve">And vestibule</w:t>
      </w:r>
      <w:r>
        <w:rPr>
          <w:rStyle w:val="FootnoteReference"/>
        </w:rPr>
        <w:footnoteReference w:id="8747"/>
      </w:r>
      <w:r>
        <w:t xml:space="preserve"> before the house, length according to breadth of the house, twenty cubits, and height one hundred twenty cubits, and he overlaid it inside with pure gold.</w:t>
      </w:r>
    </w:p>
    <w:p>
      <w:r>
        <w:rPr>
          <w:b/>
        </w:rPr>
        <w:t xml:space="preserve">5 </w:t>
      </w:r>
      <w:r>
        <w:t xml:space="preserve">And great house he paneled with cedar woods and overlaid it with pure gold and carved upon it palms and chains.</w:t>
      </w:r>
    </w:p>
    <w:p>
      <w:r>
        <w:rPr>
          <w:b/>
        </w:rPr>
        <w:t xml:space="preserve">6 </w:t>
      </w:r>
      <w:r>
        <w:t xml:space="preserve">And he adorned house with precious</w:t>
      </w:r>
      <w:r>
        <w:rPr>
          <w:rStyle w:val="FootnoteReference"/>
        </w:rPr>
        <w:footnoteReference w:id="8748"/>
      </w:r>
      <w:r>
        <w:t xml:space="preserve"> stones for glory, and with gold, gold from Pharouaim.</w:t>
      </w:r>
    </w:p>
    <w:p>
      <w:r>
        <w:rPr>
          <w:b/>
        </w:rPr>
        <w:t xml:space="preserve">7 </w:t>
      </w:r>
      <w:r>
        <w:t xml:space="preserve">And he gilded house and walls and doorposts and ceilings and doors with gold, and carved cheroubim on walls.</w:t>
      </w:r>
    </w:p>
    <w:p>
      <w:r>
        <w:rPr>
          <w:b/>
        </w:rPr>
        <w:t xml:space="preserve">8 </w:t>
      </w:r>
      <w:r>
        <w:t xml:space="preserve">And he made the house of the holy of holies, its length according to breadth, twenty cubits, and its width twenty cubits, and he overlaid it with pure gold, for cheroubim, six hundred talents.</w:t>
      </w:r>
    </w:p>
    <w:p>
      <w:r>
        <w:rPr>
          <w:b/>
        </w:rPr>
        <w:t xml:space="preserve">9 </w:t>
      </w:r>
      <w:r>
        <w:t xml:space="preserve">And weight of nails, weight of one, fifty shekels of gold, and upper rooms he gilded with gold.</w:t>
      </w:r>
    </w:p>
    <w:p>
      <w:r>
        <w:rPr>
          <w:b/>
        </w:rPr>
        <w:t xml:space="preserve">10 </w:t>
      </w:r>
      <w:r>
        <w:t xml:space="preserve">And he made in the house of holy of holies two cheroubim, work from woods, and gilded them with gold.</w:t>
      </w:r>
    </w:p>
    <w:p>
      <w:r>
        <w:rPr>
          <w:b/>
        </w:rPr>
        <w:t xml:space="preserve">11 </w:t>
      </w:r>
      <w:r>
        <w:t xml:space="preserve">And the wings of cheroubim were twenty cubits in length; one wing five cubits touching wall of the house, and other wing five cubits touching wing of other cheroub.</w:t>
      </w:r>
    </w:p>
    <w:p>
      <w:r>
        <w:rPr>
          <w:b/>
        </w:rPr>
        <w:t xml:space="preserve">12 </w:t>
      </w:r>
      <w:r>
        <w:t xml:space="preserve">And wing of one cheroub was five cubits touching wall of the house, and other wing five cubits touching wing of other cheroub.</w:t>
      </w:r>
    </w:p>
    <w:p>
      <w:r>
        <w:rPr>
          <w:b/>
        </w:rPr>
        <w:t xml:space="preserve">13 </w:t>
      </w:r>
      <w:r>
        <w:t xml:space="preserve">And the wings of cheroubim spread out were twenty cubits, and they stood on their feet, and their faces were toward house.</w:t>
      </w:r>
    </w:p>
    <w:p>
      <w:r>
        <w:rPr>
          <w:b/>
        </w:rPr>
        <w:t xml:space="preserve">14 </w:t>
      </w:r>
      <w:r>
        <w:t xml:space="preserve">And he made veil of blue and purple and scarlet and fine linen, and wove cheroubim in it.</w:t>
      </w:r>
    </w:p>
    <w:p>
      <w:r>
        <w:rPr>
          <w:b/>
        </w:rPr>
        <w:t xml:space="preserve">15 </w:t>
      </w:r>
      <w:r>
        <w:t xml:space="preserve">And he made before the house two pillars</w:t>
      </w:r>
      <w:r>
        <w:rPr>
          <w:rStyle w:val="FootnoteReference"/>
        </w:rPr>
        <w:footnoteReference w:id="8749"/>
      </w:r>
      <w:r>
        <w:t xml:space="preserve">, thirty-five cubits high, and their capitals five cubits.</w:t>
      </w:r>
    </w:p>
    <w:p>
      <w:r>
        <w:rPr>
          <w:b/>
        </w:rPr>
        <w:t xml:space="preserve">16 </w:t>
      </w:r>
      <w:r>
        <w:t xml:space="preserve">And he made chains</w:t>
      </w:r>
      <w:r>
        <w:rPr>
          <w:rStyle w:val="FootnoteReference"/>
        </w:rPr>
        <w:footnoteReference w:id="8750"/>
      </w:r>
      <w:r>
        <w:t xml:space="preserve"> in debir and put them on the heads of pillars, and he made one hundred pomegranates and put them on chains.</w:t>
      </w:r>
    </w:p>
    <w:p>
      <w:r>
        <w:rPr>
          <w:b/>
        </w:rPr>
        <w:t xml:space="preserve">17 </w:t>
      </w:r>
      <w:r>
        <w:t xml:space="preserve">And he set pillars before the temple, one at right and one at left, and he called name of right one Uprightness and name of left one Strength.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he made bronze altar, twenty cubits long and twenty cubits broad and ten cubits high.</w:t>
      </w:r>
    </w:p>
    <w:p>
      <w:r>
        <w:rPr>
          <w:b/>
        </w:rPr>
        <w:t xml:space="preserve">2 </w:t>
      </w:r>
      <w:r>
        <w:t xml:space="preserve">And he made cast sea, ten cubits across, round all around, and its height five cubits, and its circuit thirty cubits.</w:t>
      </w:r>
    </w:p>
    <w:p>
      <w:r>
        <w:rPr>
          <w:b/>
        </w:rPr>
        <w:t xml:space="preserve">3 </w:t>
      </w:r>
      <w:r>
        <w:t xml:space="preserve">And likeness of calves under it around encircled it, ten cubits surrounding laver all around, two kinds having cast calves in their casting.</w:t>
      </w:r>
      <w:r>
        <w:rPr>
          <w:rStyle w:val="FootnoteReference"/>
        </w:rPr>
        <w:footnoteReference w:id="8751"/>
      </w:r>
    </w:p>
    <w:p>
      <w:r>
        <w:rPr>
          <w:b/>
        </w:rPr>
        <w:t xml:space="preserve">4 </w:t>
      </w:r>
      <w:r>
        <w:t xml:space="preserve">Which they made: twelve calves, three</w:t>
      </w:r>
      <w:r>
        <w:rPr>
          <w:rStyle w:val="FootnoteReference"/>
        </w:rPr>
        <w:footnoteReference w:id="8752"/>
      </w:r>
      <w:r>
        <w:t xml:space="preserve"> facing north and three facing west and three facing south and three facing east, and sea was above them, and their hind parts were inward</w:t>
      </w:r>
      <w:r>
        <w:rPr>
          <w:rStyle w:val="FootnoteReference"/>
        </w:rPr>
        <w:footnoteReference w:id="8753"/>
      </w:r>
      <w:r>
        <w:t xml:space="preserve">.</w:t>
      </w:r>
    </w:p>
    <w:p>
      <w:r>
        <w:rPr>
          <w:b/>
        </w:rPr>
        <w:t xml:space="preserve">5 </w:t>
      </w:r>
      <w:r>
        <w:t xml:space="preserve">And its thickness was a handbreadth, and its rim like the rim of a cup, carved lily blossoms, holding three thousand measures, and it was finished.</w:t>
      </w:r>
    </w:p>
    <w:p>
      <w:r>
        <w:rPr>
          <w:b/>
        </w:rPr>
        <w:t xml:space="preserve">6 </w:t>
      </w:r>
      <w:r>
        <w:t xml:space="preserve">And he made ten lavers</w:t>
      </w:r>
      <w:r>
        <w:rPr>
          <w:rStyle w:val="FootnoteReference"/>
        </w:rPr>
        <w:footnoteReference w:id="8754"/>
      </w:r>
      <w:r>
        <w:t xml:space="preserve"> and set five on right and five on left, to wash in them works of whole burnt offerings and rinse in them, and sea was for priests to wash in it.</w:t>
      </w:r>
    </w:p>
    <w:p>
      <w:r>
        <w:rPr>
          <w:b/>
        </w:rPr>
        <w:t xml:space="preserve">7 </w:t>
      </w:r>
      <w:r>
        <w:t xml:space="preserve">And he made ten gold lampstands according to</w:t>
      </w:r>
      <w:r>
        <w:rPr>
          <w:rStyle w:val="FootnoteReference"/>
        </w:rPr>
        <w:footnoteReference w:id="8755"/>
      </w:r>
      <w:r>
        <w:t xml:space="preserve"> their ordinance and set them in the temple, five on right and five on left.</w:t>
      </w:r>
    </w:p>
    <w:p>
      <w:r>
        <w:rPr>
          <w:b/>
        </w:rPr>
        <w:t xml:space="preserve">8 </w:t>
      </w:r>
      <w:r>
        <w:t xml:space="preserve">And he made ten tables</w:t>
      </w:r>
      <w:r>
        <w:rPr>
          <w:rStyle w:val="FootnoteReference"/>
        </w:rPr>
        <w:footnoteReference w:id="8756"/>
      </w:r>
      <w:r>
        <w:t xml:space="preserve"> and set them in the temple, five on right and five on left, and he made one hundred golden bowls.</w:t>
      </w:r>
    </w:p>
    <w:p>
      <w:r>
        <w:rPr>
          <w:b/>
        </w:rPr>
        <w:t xml:space="preserve">9 </w:t>
      </w:r>
      <w:r>
        <w:t xml:space="preserve">And he made court of priests and great court and doors for court, and their door-panels plated with bronze.</w:t>
      </w:r>
    </w:p>
    <w:p>
      <w:r>
        <w:rPr>
          <w:b/>
        </w:rPr>
        <w:t xml:space="preserve">10 </w:t>
      </w:r>
      <w:r>
        <w:t xml:space="preserve">And he set the sea from the corner of the house on the right, toward east, opposite.</w:t>
      </w:r>
    </w:p>
    <w:p>
      <w:r>
        <w:rPr>
          <w:b/>
        </w:rPr>
        <w:t xml:space="preserve">11 </w:t>
      </w:r>
      <w:r>
        <w:t xml:space="preserve">And Hiram made flesh-hooks and firepans and grate of altar and all its vessels, and Hiram finished making all work which Solomon the king made in the house of God:</w:t>
      </w:r>
    </w:p>
    <w:p>
      <w:r>
        <w:rPr>
          <w:b/>
        </w:rPr>
        <w:t xml:space="preserve">12 </w:t>
      </w:r>
      <w:r>
        <w:t xml:space="preserve">two pillars, and upon them bowl-capitals on the heads of pillars, two, and two nets to cover two bowl-capitals which were on the heads of pillars,</w:t>
      </w:r>
    </w:p>
    <w:p>
      <w:r>
        <w:rPr>
          <w:b/>
        </w:rPr>
        <w:t xml:space="preserve">13 </w:t>
      </w:r>
      <w:r>
        <w:t xml:space="preserve">and four hundred</w:t>
      </w:r>
      <w:r>
        <w:rPr>
          <w:rStyle w:val="FootnoteReference"/>
        </w:rPr>
        <w:footnoteReference w:id="8757"/>
      </w:r>
      <w:r>
        <w:t xml:space="preserve"> golden pomegranates for two nets, two sets of pomegranates on one net to cover two bowl-capitals which were above pillars,</w:t>
      </w:r>
    </w:p>
    <w:p>
      <w:r>
        <w:rPr>
          <w:b/>
        </w:rPr>
        <w:t xml:space="preserve">14 </w:t>
      </w:r>
      <w:r>
        <w:t xml:space="preserve">and he made ten stands and made lavers</w:t>
      </w:r>
      <w:r>
        <w:rPr>
          <w:rStyle w:val="FootnoteReference"/>
        </w:rPr>
        <w:footnoteReference w:id="8758"/>
      </w:r>
      <w:r>
        <w:t xml:space="preserve"> upon stands,</w:t>
      </w:r>
    </w:p>
    <w:p>
      <w:r>
        <w:rPr>
          <w:b/>
        </w:rPr>
        <w:t xml:space="preserve">15 </w:t>
      </w:r>
      <w:r>
        <w:t xml:space="preserve">and one sea and twelve calves under it,</w:t>
      </w:r>
    </w:p>
    <w:p>
      <w:r>
        <w:rPr>
          <w:b/>
        </w:rPr>
        <w:t xml:space="preserve">16 </w:t>
      </w:r>
      <w:r>
        <w:t xml:space="preserve">and footstools and forks and cauldrons and flesh-hooks and all their vessels, which Hiram made and brought to King Solomon for the house of the Lord, of pure bronze.</w:t>
      </w:r>
    </w:p>
    <w:p>
      <w:r>
        <w:rPr>
          <w:b/>
        </w:rPr>
        <w:t xml:space="preserve">17 </w:t>
      </w:r>
      <w:r>
        <w:t xml:space="preserve">In the region of Jordan the king cast them in the thickness of the earth, in the house of Succoth and between Sirdatha.</w:t>
      </w:r>
    </w:p>
    <w:p>
      <w:r>
        <w:rPr>
          <w:b/>
        </w:rPr>
        <w:t xml:space="preserve">18 </w:t>
      </w:r>
      <w:r>
        <w:t xml:space="preserve">And Solomon made all these vessels in very great abundance, because weight of bronze did not fail.</w:t>
      </w:r>
    </w:p>
    <w:p>
      <w:r>
        <w:rPr>
          <w:b/>
        </w:rPr>
        <w:t xml:space="preserve">19 </w:t>
      </w:r>
      <w:r>
        <w:t xml:space="preserve">And Solomon made all vessels of the house of the Lord, and golden altar and tables, and on them breads of presentation,</w:t>
      </w:r>
    </w:p>
    <w:p>
      <w:r>
        <w:rPr>
          <w:b/>
        </w:rPr>
        <w:t xml:space="preserve">20 </w:t>
      </w:r>
      <w:r>
        <w:t xml:space="preserve">and lampstands and lamps for light according to ordinance and before debir, of pure gold,</w:t>
      </w:r>
    </w:p>
    <w:p>
      <w:r>
        <w:rPr>
          <w:b/>
        </w:rPr>
        <w:t xml:space="preserve">21 </w:t>
      </w:r>
      <w:r>
        <w:t xml:space="preserve">and their tongs and their lamps and bowls and censers and firepans of pure gold,</w:t>
      </w:r>
    </w:p>
    <w:p>
      <w:r>
        <w:rPr>
          <w:b/>
        </w:rPr>
        <w:t xml:space="preserve">22 </w:t>
      </w:r>
      <w:r>
        <w:t xml:space="preserve">and inner door of the house into the holy of holies, and doors of the house of the temple</w:t>
      </w:r>
      <w:r>
        <w:rPr>
          <w:rStyle w:val="FootnoteReference"/>
        </w:rPr>
        <w:footnoteReference w:id="8759"/>
      </w:r>
      <w:r>
        <w:t xml:space="preserve">, golden.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all work which Solomon made in the house of the Lord was finished, and Solomon brought in the holy things of David his father, silver and gold and vessels, and gave them into treasure of the house of the Lord.</w:t>
      </w:r>
      <w:r>
        <w:rPr>
          <w:rStyle w:val="FootnoteReference"/>
        </w:rPr>
        <w:footnoteReference w:id="8760"/>
      </w:r>
    </w:p>
    <w:p>
      <w:r>
        <w:rPr>
          <w:b/>
        </w:rPr>
        <w:t xml:space="preserve">2 </w:t>
      </w:r>
      <w:r>
        <w:t xml:space="preserve">Then Solomon</w:t>
      </w:r>
      <w:r>
        <w:rPr>
          <w:rStyle w:val="FootnoteReference"/>
        </w:rPr>
        <w:footnoteReference w:id="8761"/>
      </w:r>
      <w:r>
        <w:t xml:space="preserve"> assembled elders of Israel and all rulers of tribes, leaders of fathers of sons of Israel, in Jerusalem, to bring up the ark of the covenant of the Lord from the City of David, this is Zion.</w:t>
      </w:r>
    </w:p>
    <w:p>
      <w:r>
        <w:rPr>
          <w:b/>
        </w:rPr>
        <w:t xml:space="preserve">3 </w:t>
      </w:r>
      <w:r>
        <w:t xml:space="preserve">And every man of Israel was assembled to the king at feast, this seventh month.</w:t>
      </w:r>
    </w:p>
    <w:p>
      <w:r>
        <w:rPr>
          <w:b/>
        </w:rPr>
        <w:t xml:space="preserve">4 </w:t>
      </w:r>
      <w:r>
        <w:t xml:space="preserve">And all the elders of Israel came, and all the Levites</w:t>
      </w:r>
      <w:r>
        <w:rPr>
          <w:rStyle w:val="FootnoteReference"/>
        </w:rPr>
        <w:footnoteReference w:id="8762"/>
      </w:r>
      <w:r>
        <w:t xml:space="preserve"> took the ark.</w:t>
      </w:r>
    </w:p>
    <w:p>
      <w:r>
        <w:rPr>
          <w:b/>
        </w:rPr>
        <w:t xml:space="preserve">5 </w:t>
      </w:r>
      <w:r>
        <w:t xml:space="preserve">And they brought up ark and the tent of testimony and all holy vessels in tent; priests and Levites brought them up.</w:t>
      </w:r>
    </w:p>
    <w:p>
      <w:r>
        <w:rPr>
          <w:b/>
        </w:rPr>
        <w:t xml:space="preserve">6 </w:t>
      </w:r>
      <w:r>
        <w:t xml:space="preserve">And King Solomon and all congregation of Israel, those fearing and gathered with him before the ark, were sacrificing calves and sheep which cannot be numbered and cannot be reckoned from multitude.</w:t>
      </w:r>
    </w:p>
    <w:p>
      <w:r>
        <w:rPr>
          <w:b/>
        </w:rPr>
        <w:t xml:space="preserve">7 </w:t>
      </w:r>
      <w:r>
        <w:t xml:space="preserve">And priests brought in the ark of the covenant of the Lord to its place, into debir of the house, into the holy of holies, under wings of cheroubim.</w:t>
      </w:r>
    </w:p>
    <w:p>
      <w:r>
        <w:rPr>
          <w:b/>
        </w:rPr>
        <w:t xml:space="preserve">8 </w:t>
      </w:r>
      <w:r>
        <w:t xml:space="preserve">And cheroubim were spreading out their wings over the place of the ark, and cheroubim were covering the ark and its carrying-poles above.</w:t>
      </w:r>
    </w:p>
    <w:p>
      <w:r>
        <w:rPr>
          <w:b/>
        </w:rPr>
        <w:t xml:space="preserve">9 </w:t>
      </w:r>
      <w:r>
        <w:t xml:space="preserve">And carrying-poles projected, and heads of poles were seen from holy place before debir, but were not seen outside, and they were there until this day.</w:t>
      </w:r>
    </w:p>
    <w:p>
      <w:r>
        <w:rPr>
          <w:b/>
        </w:rPr>
        <w:t xml:space="preserve">10 </w:t>
      </w:r>
      <w:r>
        <w:t xml:space="preserve">There was nothing in the ark except two tablets which Moses put in Horeb, when the Lord</w:t>
      </w:r>
      <w:r>
        <w:rPr>
          <w:rStyle w:val="FootnoteReference"/>
        </w:rPr>
        <w:footnoteReference w:id="8763"/>
      </w:r>
      <w:r>
        <w:t xml:space="preserve"> made covenant with the sons of Israel as they came out from the land of Egypt.</w:t>
      </w:r>
    </w:p>
    <w:p>
      <w:r>
        <w:rPr>
          <w:b/>
        </w:rPr>
        <w:t xml:space="preserve">11 </w:t>
      </w:r>
      <w:r>
        <w:t xml:space="preserve">And it came to pass when priests came out from holy place, because all priests found there had sanctified</w:t>
      </w:r>
      <w:r>
        <w:rPr>
          <w:rStyle w:val="FootnoteReference"/>
        </w:rPr>
        <w:footnoteReference w:id="8764"/>
      </w:r>
      <w:r>
        <w:t xml:space="preserve"> themselves; they were not arranged by courses.</w:t>
      </w:r>
    </w:p>
    <w:p>
      <w:r>
        <w:rPr>
          <w:b/>
        </w:rPr>
        <w:t xml:space="preserve">12 </w:t>
      </w:r>
      <w:r>
        <w:t xml:space="preserve">And Levites, singers, all sons of Asaph</w:t>
      </w:r>
      <w:r>
        <w:rPr>
          <w:rStyle w:val="FootnoteReference"/>
        </w:rPr>
        <w:footnoteReference w:id="8765"/>
      </w:r>
      <w:r>
        <w:t xml:space="preserve">, Heman, Jeduthun, and their sons and their brothers, clothed in linen robes</w:t>
      </w:r>
      <w:r>
        <w:rPr>
          <w:rStyle w:val="FootnoteReference"/>
        </w:rPr>
        <w:footnoteReference w:id="8766"/>
      </w:r>
      <w:r>
        <w:t xml:space="preserve"> with cymbals and harps and lyres, were standing opposite altar, and with them one hundred twenty priests blowing trumpets.</w:t>
      </w:r>
    </w:p>
    <w:p>
      <w:r>
        <w:rPr>
          <w:b/>
        </w:rPr>
        <w:t xml:space="preserve">13 </w:t>
      </w:r>
      <w:r>
        <w:t xml:space="preserve">And one sound</w:t>
      </w:r>
      <w:r>
        <w:rPr>
          <w:rStyle w:val="FootnoteReference"/>
        </w:rPr>
        <w:footnoteReference w:id="8767"/>
      </w:r>
      <w:r>
        <w:t xml:space="preserve"> came to be in blowing trumpets and in singing psalms and in sounding one voice, to give thanks and praise to the Lord. And as they raised voice with trumpets and cymbals and instruments of songs and said, Give thanks to the Lord, because he is good</w:t>
      </w:r>
      <w:r>
        <w:rPr>
          <w:rStyle w:val="FootnoteReference"/>
        </w:rPr>
        <w:footnoteReference w:id="8768"/>
      </w:r>
      <w:r>
        <w:t xml:space="preserve">, because his mercy is forever, house was filled with cloud of the glory of the Lord.</w:t>
      </w:r>
    </w:p>
    <w:p>
      <w:r>
        <w:rPr>
          <w:b/>
        </w:rPr>
        <w:t xml:space="preserve">14 </w:t>
      </w:r>
      <w:r>
        <w:t xml:space="preserve">And priests were not able to stand to minister from the presence of cloud, because the glory</w:t>
      </w:r>
      <w:r>
        <w:rPr>
          <w:rStyle w:val="FootnoteReference"/>
        </w:rPr>
        <w:footnoteReference w:id="8769"/>
      </w:r>
      <w:r>
        <w:t xml:space="preserve"> of the Lord filled the house of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Then Solomon said, the Lord</w:t>
      </w:r>
      <w:r>
        <w:rPr>
          <w:rStyle w:val="FootnoteReference"/>
        </w:rPr>
        <w:footnoteReference w:id="8770"/>
      </w:r>
      <w:r>
        <w:t xml:space="preserve"> said he would dwell in thick darkness.</w:t>
      </w:r>
    </w:p>
    <w:p>
      <w:r>
        <w:rPr>
          <w:b/>
        </w:rPr>
        <w:t xml:space="preserve">2 </w:t>
      </w:r>
      <w:r>
        <w:t xml:space="preserve">And I built holy house to your name for you, ready for dwelling forever.</w:t>
      </w:r>
    </w:p>
    <w:p>
      <w:r>
        <w:rPr>
          <w:b/>
        </w:rPr>
        <w:t xml:space="preserve">3 </w:t>
      </w:r>
      <w:r>
        <w:t xml:space="preserve">And the king turned his face</w:t>
      </w:r>
      <w:r>
        <w:rPr>
          <w:rStyle w:val="FootnoteReference"/>
        </w:rPr>
        <w:footnoteReference w:id="8771"/>
      </w:r>
      <w:r>
        <w:t xml:space="preserve"> and blessed all the assembly of Israel, and all the assembly of Israel stood there.</w:t>
      </w:r>
    </w:p>
    <w:p>
      <w:r>
        <w:rPr>
          <w:b/>
        </w:rPr>
        <w:t xml:space="preserve">4 </w:t>
      </w:r>
      <w:r>
        <w:t xml:space="preserve">And he said, Blessed</w:t>
      </w:r>
      <w:r>
        <w:rPr>
          <w:rStyle w:val="FootnoteReference"/>
        </w:rPr>
        <w:footnoteReference w:id="8772"/>
      </w:r>
      <w:r>
        <w:t xml:space="preserve"> is the Lord God of Israel, who spoke with his mouth to David my father and with his hands fulfilled it, saying,</w:t>
      </w:r>
    </w:p>
    <w:p>
      <w:r>
        <w:rPr>
          <w:b/>
        </w:rPr>
        <w:t xml:space="preserve">5 </w:t>
      </w:r>
      <w:r>
        <w:t xml:space="preserve">From the day when I brought my people out of the land of Egypt, I did not choose city from all the tribes of Israel to build a house for to be there, and I did not choose man to be ruler over my people Israel,</w:t>
      </w:r>
      <w:r>
        <w:rPr>
          <w:rStyle w:val="FootnoteReference"/>
        </w:rPr>
        <w:footnoteReference w:id="8773"/>
      </w:r>
    </w:p>
    <w:p>
      <w:r>
        <w:rPr>
          <w:b/>
        </w:rPr>
        <w:t xml:space="preserve">6 </w:t>
      </w:r>
      <w:r>
        <w:t xml:space="preserve">but I chose Jerusalem for my name to be there, and I chose David to be over my people Israel.</w:t>
      </w:r>
    </w:p>
    <w:p>
      <w:r>
        <w:rPr>
          <w:b/>
        </w:rPr>
        <w:t xml:space="preserve">7 </w:t>
      </w:r>
      <w:r>
        <w:t xml:space="preserve">And it came upon the heart of David my father to build a house to the name of the Lord God of Israel.</w:t>
      </w:r>
    </w:p>
    <w:p>
      <w:r>
        <w:rPr>
          <w:b/>
        </w:rPr>
        <w:t xml:space="preserve">8 </w:t>
      </w:r>
      <w:r>
        <w:t xml:space="preserve">And the Lord said to David my father, Because it came upon your heart to build a house to my name, you did well that it came upon your heart.</w:t>
      </w:r>
    </w:p>
    <w:p>
      <w:r>
        <w:rPr>
          <w:b/>
        </w:rPr>
        <w:t xml:space="preserve">9 </w:t>
      </w:r>
      <w:r>
        <w:t xml:space="preserve">Nevertheless, you shall not build a house, but your son who shall come out from your loins, he shall build a house to my name.</w:t>
      </w:r>
    </w:p>
    <w:p>
      <w:r>
        <w:rPr>
          <w:b/>
        </w:rPr>
        <w:t xml:space="preserve">10 </w:t>
      </w:r>
      <w:r>
        <w:t xml:space="preserve">And the Lord raised up his word which he spoke, and I came to be in place of David my father and sat upon the throne of Israel, as the Lord</w:t>
      </w:r>
      <w:r>
        <w:rPr>
          <w:rStyle w:val="FootnoteReference"/>
        </w:rPr>
        <w:footnoteReference w:id="8774"/>
      </w:r>
      <w:r>
        <w:t xml:space="preserve"> spoke, and I built a house to the name of the Lord God of Israel.</w:t>
      </w:r>
      <w:r>
        <w:rPr>
          <w:rStyle w:val="FootnoteReference"/>
        </w:rPr>
        <w:footnoteReference w:id="8775"/>
      </w:r>
    </w:p>
    <w:p>
      <w:r>
        <w:rPr>
          <w:b/>
        </w:rPr>
        <w:t xml:space="preserve">11 </w:t>
      </w:r>
      <w:r>
        <w:t xml:space="preserve">And there I put ark, in which is the covenant of the Lord which he made with Israel.</w:t>
      </w:r>
    </w:p>
    <w:p>
      <w:r>
        <w:rPr>
          <w:b/>
        </w:rPr>
        <w:t xml:space="preserve">12 </w:t>
      </w:r>
      <w:r>
        <w:t xml:space="preserve">And he stood</w:t>
      </w:r>
      <w:r>
        <w:rPr>
          <w:rStyle w:val="FootnoteReference"/>
        </w:rPr>
        <w:footnoteReference w:id="8776"/>
      </w:r>
      <w:r>
        <w:t xml:space="preserve"> before the altar of the Lord in presence of all the assembly of Israel and spread out his hands.</w:t>
      </w:r>
    </w:p>
    <w:p>
      <w:r>
        <w:rPr>
          <w:b/>
        </w:rPr>
        <w:t xml:space="preserve">13 </w:t>
      </w:r>
      <w:r>
        <w:t xml:space="preserve">For Solomon made bronze platform</w:t>
      </w:r>
      <w:r>
        <w:rPr>
          <w:rStyle w:val="FootnoteReference"/>
        </w:rPr>
        <w:footnoteReference w:id="8777"/>
      </w:r>
      <w:r>
        <w:t xml:space="preserve"> and set it in the midst of court of sanctuary, its length five cubits and breadth five cubits and height three cubits, and he stood upon it and fell on his knees before all the assembly of Israel and spread out his hands toward heaven.</w:t>
      </w:r>
    </w:p>
    <w:p>
      <w:r>
        <w:rPr>
          <w:b/>
        </w:rPr>
        <w:t xml:space="preserve">14 </w:t>
      </w:r>
      <w:r>
        <w:t xml:space="preserve">And he said, Lord God of Israel, there is no God</w:t>
      </w:r>
      <w:r>
        <w:rPr>
          <w:rStyle w:val="FootnoteReference"/>
        </w:rPr>
        <w:footnoteReference w:id="8778"/>
      </w:r>
      <w:r>
        <w:t xml:space="preserve"> like you in heaven and on earth, keeping covenant and mercy</w:t>
      </w:r>
      <w:r>
        <w:rPr>
          <w:rStyle w:val="FootnoteReference"/>
        </w:rPr>
        <w:footnoteReference w:id="8779"/>
      </w:r>
      <w:r>
        <w:t xml:space="preserve"> for your servants walking before you with all their heart</w:t>
      </w:r>
      <w:r>
        <w:rPr>
          <w:rStyle w:val="FootnoteReference"/>
        </w:rPr>
        <w:footnoteReference w:id="8780"/>
      </w:r>
      <w:r>
        <w:t xml:space="preserve">,</w:t>
      </w:r>
    </w:p>
    <w:p>
      <w:r>
        <w:rPr>
          <w:b/>
        </w:rPr>
        <w:t xml:space="preserve">15 </w:t>
      </w:r>
      <w:r>
        <w:t xml:space="preserve">what you kept for your servant David my father, what you spoke to him saying, and you spoke with your mouth and fulfilled with your hands, as this day.</w:t>
      </w:r>
    </w:p>
    <w:p>
      <w:r>
        <w:rPr>
          <w:b/>
        </w:rPr>
        <w:t xml:space="preserve">16 </w:t>
      </w:r>
      <w:r>
        <w:t xml:space="preserve">And now, Lord God of Israel, keep</w:t>
      </w:r>
      <w:r>
        <w:rPr>
          <w:rStyle w:val="FootnoteReference"/>
        </w:rPr>
        <w:footnoteReference w:id="8781"/>
      </w:r>
      <w:r>
        <w:t xml:space="preserve"> for your servant David my father what you spoke to him, saying, Man shall not fail for you from before me</w:t>
      </w:r>
      <w:r>
        <w:rPr>
          <w:rStyle w:val="FootnoteReference"/>
        </w:rPr>
        <w:footnoteReference w:id="8782"/>
      </w:r>
      <w:r>
        <w:t xml:space="preserve"> sitting on the throne of Israel, if only your sons keep their way to walk in my law as you walked before me.</w:t>
      </w:r>
    </w:p>
    <w:p>
      <w:r>
        <w:rPr>
          <w:b/>
        </w:rPr>
        <w:t xml:space="preserve">17 </w:t>
      </w:r>
      <w:r>
        <w:t xml:space="preserve">And now, Lord God of Israel, let your word be made faithful, which you spoke to your servant David.</w:t>
      </w:r>
    </w:p>
    <w:p>
      <w:r>
        <w:rPr>
          <w:b/>
        </w:rPr>
        <w:t xml:space="preserve">18 </w:t>
      </w:r>
      <w:r>
        <w:t xml:space="preserve">For will God truly dwell with men upon the earth? If heaven</w:t>
      </w:r>
      <w:r>
        <w:rPr>
          <w:rStyle w:val="FootnoteReference"/>
        </w:rPr>
        <w:footnoteReference w:id="8783"/>
      </w:r>
      <w:r>
        <w:t xml:space="preserve"> and heaven of heaven are not sufficient for you, then what is this house which I built?</w:t>
      </w:r>
    </w:p>
    <w:p>
      <w:r>
        <w:rPr>
          <w:b/>
        </w:rPr>
        <w:t xml:space="preserve">19 </w:t>
      </w:r>
      <w:r>
        <w:t xml:space="preserve">And you shall look upon the prayer of your servant and upon my petition, O Lord God, to hear the petition and the prayer which your servant prays before you today,</w:t>
      </w:r>
    </w:p>
    <w:p>
      <w:r>
        <w:rPr>
          <w:b/>
        </w:rPr>
        <w:t xml:space="preserve">20 </w:t>
      </w:r>
      <w:r>
        <w:t xml:space="preserve">that your eyes may be open upon this house day and night, upon this place where you said your name would be called there</w:t>
      </w:r>
      <w:r>
        <w:rPr>
          <w:rStyle w:val="FootnoteReference"/>
        </w:rPr>
        <w:footnoteReference w:id="8784"/>
      </w:r>
      <w:r>
        <w:t xml:space="preserve">, to hear the prayer which your servant prays toward this place</w:t>
      </w:r>
      <w:r>
        <w:rPr>
          <w:rStyle w:val="FootnoteReference"/>
        </w:rPr>
        <w:footnoteReference w:id="8785"/>
      </w:r>
      <w:r>
        <w:t xml:space="preserve">.</w:t>
      </w:r>
    </w:p>
    <w:p>
      <w:r>
        <w:rPr>
          <w:b/>
        </w:rPr>
        <w:t xml:space="preserve">21 </w:t>
      </w:r>
      <w:r>
        <w:t xml:space="preserve">And you shall hear petition of your servant and your people Israel, whatever they pray toward this place, and you shall hear from place of your dwelling, from heaven, and you shall hear and be merciful.</w:t>
      </w:r>
    </w:p>
    <w:p>
      <w:r>
        <w:rPr>
          <w:b/>
        </w:rPr>
        <w:t xml:space="preserve">22 </w:t>
      </w:r>
      <w:r>
        <w:t xml:space="preserve">If man sins against his neighbor and takes oath upon him to swear him, and comes and swears before the altar in this house,</w:t>
      </w:r>
    </w:p>
    <w:p>
      <w:r>
        <w:rPr>
          <w:b/>
        </w:rPr>
        <w:t xml:space="preserve">23 </w:t>
      </w:r>
      <w:r>
        <w:t xml:space="preserve">then you shall hear from heaven</w:t>
      </w:r>
      <w:r>
        <w:rPr>
          <w:rStyle w:val="FootnoteReference"/>
        </w:rPr>
        <w:footnoteReference w:id="8786"/>
      </w:r>
      <w:r>
        <w:t xml:space="preserve"> and do and judge your servants, repaying lawless one, to return his ways upon his head</w:t>
      </w:r>
      <w:r>
        <w:rPr>
          <w:rStyle w:val="FootnoteReference"/>
        </w:rPr>
        <w:footnoteReference w:id="8787"/>
      </w:r>
      <w:r>
        <w:t xml:space="preserve">, and justifying righteous one, to give to him according to his righteousness.</w:t>
      </w:r>
    </w:p>
    <w:p>
      <w:r>
        <w:rPr>
          <w:b/>
        </w:rPr>
        <w:t xml:space="preserve">24 </w:t>
      </w:r>
      <w:r>
        <w:t xml:space="preserve">And if your people Israel are crushed before enemy when they sin against you, and they turn and give thanks to your name and pray</w:t>
      </w:r>
      <w:r>
        <w:rPr>
          <w:rStyle w:val="FootnoteReference"/>
        </w:rPr>
        <w:footnoteReference w:id="8788"/>
      </w:r>
      <w:r>
        <w:t xml:space="preserve"> and entreat before you in this house,</w:t>
      </w:r>
    </w:p>
    <w:p>
      <w:r>
        <w:rPr>
          <w:b/>
        </w:rPr>
        <w:t xml:space="preserve">25 </w:t>
      </w:r>
      <w:r>
        <w:t xml:space="preserve">then you shall hear from heaven and be merciful to the sins of your people Israel and return them to the land which you gave to them and to their fathers.</w:t>
      </w:r>
    </w:p>
    <w:p>
      <w:r>
        <w:rPr>
          <w:b/>
        </w:rPr>
        <w:t xml:space="preserve">26 </w:t>
      </w:r>
      <w:r>
        <w:t xml:space="preserve">When heaven is shut and rain does not come because they sin against you, and they pray toward this place and praise your name</w:t>
      </w:r>
      <w:r>
        <w:rPr>
          <w:rStyle w:val="FootnoteReference"/>
        </w:rPr>
        <w:footnoteReference w:id="8789"/>
      </w:r>
      <w:r>
        <w:t xml:space="preserve"> and turn</w:t>
      </w:r>
      <w:r>
        <w:rPr>
          <w:rStyle w:val="FootnoteReference"/>
        </w:rPr>
        <w:footnoteReference w:id="8790"/>
      </w:r>
      <w:r>
        <w:t xml:space="preserve"> from their sins because you humbled them,</w:t>
      </w:r>
    </w:p>
    <w:p>
      <w:r>
        <w:rPr>
          <w:b/>
        </w:rPr>
        <w:t xml:space="preserve">27 </w:t>
      </w:r>
      <w:r>
        <w:t xml:space="preserve">then you shall hear from heaven and be merciful to the sins of your servants and your people Israel, because you will show them good way</w:t>
      </w:r>
      <w:r>
        <w:rPr>
          <w:rStyle w:val="FootnoteReference"/>
        </w:rPr>
        <w:footnoteReference w:id="8791"/>
      </w:r>
      <w:r>
        <w:t xml:space="preserve"> in which they shall walk, and you will give rain upon your land which you gave to your people for inheritance.</w:t>
      </w:r>
      <w:r>
        <w:rPr>
          <w:rStyle w:val="FootnoteReference"/>
        </w:rPr>
        <w:footnoteReference w:id="8792"/>
      </w:r>
    </w:p>
    <w:p>
      <w:r>
        <w:rPr>
          <w:b/>
        </w:rPr>
        <w:t xml:space="preserve">28 </w:t>
      </w:r>
      <w:r>
        <w:t xml:space="preserve">If famine comes on the land, if death comes, if blight and jaundice</w:t>
      </w:r>
      <w:r>
        <w:rPr>
          <w:rStyle w:val="FootnoteReference"/>
        </w:rPr>
        <w:footnoteReference w:id="8793"/>
      </w:r>
      <w:r>
        <w:t xml:space="preserve"> come, locust and caterpillar, if enemy afflicts them before their cities, according to every plague and every pain,</w:t>
      </w:r>
    </w:p>
    <w:p>
      <w:r>
        <w:rPr>
          <w:b/>
        </w:rPr>
        <w:t xml:space="preserve">29 </w:t>
      </w:r>
      <w:r>
        <w:t xml:space="preserve">then every prayer and every petition which happens to every man and to all your people Israel, if a man knows his own touch and his own weakness</w:t>
      </w:r>
      <w:r>
        <w:rPr>
          <w:rStyle w:val="FootnoteReference"/>
        </w:rPr>
        <w:footnoteReference w:id="8794"/>
      </w:r>
      <w:r>
        <w:t xml:space="preserve"> and spreads out his hands toward this house,</w:t>
      </w:r>
    </w:p>
    <w:p>
      <w:r>
        <w:rPr>
          <w:b/>
        </w:rPr>
        <w:t xml:space="preserve">30 </w:t>
      </w:r>
      <w:r>
        <w:t xml:space="preserve">then you shall hear from heaven, from your ready dwelling, and be gracious and give to each man according to his ways, as you know his heart, because you alone know the heart of sons of men,</w:t>
      </w:r>
    </w:p>
    <w:p>
      <w:r>
        <w:rPr>
          <w:b/>
        </w:rPr>
        <w:t xml:space="preserve">31 </w:t>
      </w:r>
      <w:r>
        <w:t xml:space="preserve">so that they may fear your ways all days which they live upon the face of land which you gave to our fathers.</w:t>
      </w:r>
    </w:p>
    <w:p>
      <w:r>
        <w:rPr>
          <w:b/>
        </w:rPr>
        <w:t xml:space="preserve">32 </w:t>
      </w:r>
      <w:r>
        <w:t xml:space="preserve">And every foreigner who is not from your people Israel, and comes from far land because of your great name and your strong hand and your uplifted arm, and comes and prays toward this place</w:t>
      </w:r>
      <w:r>
        <w:rPr>
          <w:rStyle w:val="FootnoteReference"/>
        </w:rPr>
        <w:footnoteReference w:id="8795"/>
      </w:r>
      <w:r>
        <w:t xml:space="preserve">,</w:t>
      </w:r>
    </w:p>
    <w:p>
      <w:r>
        <w:rPr>
          <w:b/>
        </w:rPr>
        <w:t xml:space="preserve">33 </w:t>
      </w:r>
      <w:r>
        <w:t xml:space="preserve">then you shall hear from heaven, from your ready dwelling</w:t>
      </w:r>
      <w:r>
        <w:rPr>
          <w:rStyle w:val="FootnoteReference"/>
        </w:rPr>
        <w:footnoteReference w:id="8796"/>
      </w:r>
      <w:r>
        <w:t xml:space="preserve">, and do according to all things whatever a foreigner calls upon you for, so that all the peoples of the earth may know your name and fear you as your people Israel do, and know that your name is called upon this house</w:t>
      </w:r>
      <w:r>
        <w:rPr>
          <w:rStyle w:val="FootnoteReference"/>
        </w:rPr>
        <w:footnoteReference w:id="8797"/>
      </w:r>
      <w:r>
        <w:t xml:space="preserve"> which I built.</w:t>
      </w:r>
    </w:p>
    <w:p>
      <w:r>
        <w:rPr>
          <w:b/>
        </w:rPr>
        <w:t xml:space="preserve">34 </w:t>
      </w:r>
      <w:r>
        <w:t xml:space="preserve">If your people go out to battle against their enemies on way where you send them, and they pray to you by way of this city</w:t>
      </w:r>
      <w:r>
        <w:rPr>
          <w:rStyle w:val="FootnoteReference"/>
        </w:rPr>
        <w:footnoteReference w:id="8798"/>
      </w:r>
      <w:r>
        <w:t xml:space="preserve"> which you chose and house which I built to your name,</w:t>
      </w:r>
      <w:r>
        <w:rPr>
          <w:rStyle w:val="FootnoteReference"/>
        </w:rPr>
        <w:footnoteReference w:id="8799"/>
      </w:r>
    </w:p>
    <w:p>
      <w:r>
        <w:rPr>
          <w:b/>
        </w:rPr>
        <w:t xml:space="preserve">35 </w:t>
      </w:r>
      <w:r>
        <w:t xml:space="preserve">then hear from heaven their petition and their prayer and do their justice.</w:t>
      </w:r>
    </w:p>
    <w:p>
      <w:r>
        <w:rPr>
          <w:b/>
        </w:rPr>
        <w:t xml:space="preserve">36 </w:t>
      </w:r>
      <w:r>
        <w:t xml:space="preserve">Because they will sin against you, for there will not be man who will not sin, and you will strike them and hand them over before enemies, and those taking them captive shall take them captive to the land of enemies, far or near,</w:t>
      </w:r>
    </w:p>
    <w:p>
      <w:r>
        <w:rPr>
          <w:b/>
        </w:rPr>
        <w:t xml:space="preserve">37 </w:t>
      </w:r>
      <w:r>
        <w:t xml:space="preserve">and they will turn heart</w:t>
      </w:r>
      <w:r>
        <w:rPr>
          <w:rStyle w:val="FootnoteReference"/>
        </w:rPr>
        <w:footnoteReference w:id="8800"/>
      </w:r>
      <w:r>
        <w:t xml:space="preserve"> in their land where they were taken, and indeed turn and entreat you in their captivity, saying, We sinned, we acted unjustly, we acted lawlessly,</w:t>
      </w:r>
    </w:p>
    <w:p>
      <w:r>
        <w:rPr>
          <w:b/>
        </w:rPr>
        <w:t xml:space="preserve">38 </w:t>
      </w:r>
      <w:r>
        <w:t xml:space="preserve">and turn toward you</w:t>
      </w:r>
      <w:r>
        <w:rPr>
          <w:rStyle w:val="FootnoteReference"/>
        </w:rPr>
        <w:footnoteReference w:id="8801"/>
      </w:r>
      <w:r>
        <w:t xml:space="preserve"> with all their heart and all their soul in the land of those who took them captive, and pray by way of their land which you gave to their fathers and city which you chose and house which I built to your name,</w:t>
      </w:r>
    </w:p>
    <w:p>
      <w:r>
        <w:rPr>
          <w:b/>
        </w:rPr>
        <w:t xml:space="preserve">39 </w:t>
      </w:r>
      <w:r>
        <w:t xml:space="preserve">then hear from heaven, from your ready dwelling, their prayer and their petition and do judgments and be merciful to your people who sinned against you.</w:t>
      </w:r>
    </w:p>
    <w:p>
      <w:r>
        <w:rPr>
          <w:b/>
        </w:rPr>
        <w:t xml:space="preserve">40 </w:t>
      </w:r>
      <w:r>
        <w:t xml:space="preserve">Now, Lord, let your eyes be open and your ears attentive to petition of this place.</w:t>
      </w:r>
    </w:p>
    <w:p>
      <w:r>
        <w:rPr>
          <w:b/>
        </w:rPr>
        <w:t xml:space="preserve">41 </w:t>
      </w:r>
      <w:r>
        <w:t xml:space="preserve">And now rise up, Lord God, into your resting place, you and ark of your strength</w:t>
      </w:r>
      <w:r>
        <w:rPr>
          <w:rStyle w:val="FootnoteReference"/>
        </w:rPr>
        <w:footnoteReference w:id="8802"/>
      </w:r>
      <w:r>
        <w:t xml:space="preserve">. Let your priests, Lord God, put on salvation, and let your sons rejoice in good things.</w:t>
      </w:r>
    </w:p>
    <w:p>
      <w:r>
        <w:rPr>
          <w:b/>
        </w:rPr>
        <w:t xml:space="preserve">42 </w:t>
      </w:r>
      <w:r>
        <w:t xml:space="preserve">Lord God, do not turn away face of your anointed one; remember</w:t>
      </w:r>
      <w:r>
        <w:rPr>
          <w:rStyle w:val="FootnoteReference"/>
        </w:rPr>
        <w:footnoteReference w:id="8803"/>
      </w:r>
      <w:r>
        <w:t xml:space="preserve"> mercies of David your servant.</w:t>
      </w:r>
      <w:r>
        <w:rPr>
          <w:rStyle w:val="FootnoteReference"/>
        </w:rPr>
        <w:footnoteReference w:id="880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when Solomon</w:t>
      </w:r>
      <w:r>
        <w:rPr>
          <w:rStyle w:val="FootnoteReference"/>
        </w:rPr>
        <w:footnoteReference w:id="8805"/>
      </w:r>
      <w:r>
        <w:t xml:space="preserve"> finished praying, fire came down from heaven and consumed whole burnt offerings and sacrifices, and the glory of the Lord filled the house.</w:t>
      </w:r>
    </w:p>
    <w:p>
      <w:r>
        <w:rPr>
          <w:b/>
        </w:rPr>
        <w:t xml:space="preserve">2 </w:t>
      </w:r>
      <w:r>
        <w:t xml:space="preserve">And priests were not able to enter the house of the Lord at that time, because the glory of the Lord filled the house.</w:t>
      </w:r>
    </w:p>
    <w:p>
      <w:r>
        <w:rPr>
          <w:b/>
        </w:rPr>
        <w:t xml:space="preserve">3 </w:t>
      </w:r>
      <w:r>
        <w:t xml:space="preserve">And all sons of Israel saw fire coming down</w:t>
      </w:r>
      <w:r>
        <w:rPr>
          <w:rStyle w:val="FootnoteReference"/>
        </w:rPr>
        <w:footnoteReference w:id="8806"/>
      </w:r>
      <w:r>
        <w:t xml:space="preserve"> and the glory of the Lord upon the house, and they fell upon face to ground on pavement and worshiped and praised the Lord, because he is good, because his mercy is forever.</w:t>
      </w:r>
    </w:p>
    <w:p>
      <w:r>
        <w:rPr>
          <w:b/>
        </w:rPr>
        <w:t xml:space="preserve">4 </w:t>
      </w:r>
      <w:r>
        <w:t xml:space="preserve">And the king and all the people were sacrificing sacrifices before the Lord.</w:t>
      </w:r>
    </w:p>
    <w:p>
      <w:r>
        <w:rPr>
          <w:b/>
        </w:rPr>
        <w:t xml:space="preserve">5 </w:t>
      </w:r>
      <w:r>
        <w:t xml:space="preserve">And Solomon sacrificed sacrifice of twenty-two thousand calves and one hundred twenty thousand cattle, and the king and all the people dedicated</w:t>
      </w:r>
      <w:r>
        <w:rPr>
          <w:rStyle w:val="FootnoteReference"/>
        </w:rPr>
        <w:footnoteReference w:id="8807"/>
      </w:r>
      <w:r>
        <w:t xml:space="preserve"> the house of God.</w:t>
      </w:r>
    </w:p>
    <w:p>
      <w:r>
        <w:rPr>
          <w:b/>
        </w:rPr>
        <w:t xml:space="preserve">6 </w:t>
      </w:r>
      <w:r>
        <w:t xml:space="preserve">And priests stood at their charges, and Levites with the instruments of songs of the Lord, of David king, for giving thanks before the Lord, because his mercy is forever</w:t>
      </w:r>
      <w:r>
        <w:rPr>
          <w:rStyle w:val="FootnoteReference"/>
        </w:rPr>
        <w:footnoteReference w:id="8808"/>
      </w:r>
      <w:r>
        <w:t xml:space="preserve">, with hymns of David by their hand, and priests were blowing trumpets before them, and all Israel stood.</w:t>
      </w:r>
      <w:r>
        <w:rPr>
          <w:rStyle w:val="FootnoteReference"/>
        </w:rPr>
        <w:footnoteReference w:id="8809"/>
      </w:r>
    </w:p>
    <w:p>
      <w:r>
        <w:rPr>
          <w:b/>
        </w:rPr>
        <w:t xml:space="preserve">7 </w:t>
      </w:r>
      <w:r>
        <w:t xml:space="preserve">And Solomon sanctified middle of court</w:t>
      </w:r>
      <w:r>
        <w:rPr>
          <w:rStyle w:val="FootnoteReference"/>
        </w:rPr>
        <w:footnoteReference w:id="8810"/>
      </w:r>
      <w:r>
        <w:t xml:space="preserve"> in the house of the Lord, because there he made whole burnt offerings and fat of offerings of salvation, because bronze altar which Solomon made was not able to receive whole burnt offerings and grain offerings and fats.</w:t>
      </w:r>
    </w:p>
    <w:p>
      <w:r>
        <w:rPr>
          <w:b/>
        </w:rPr>
        <w:t xml:space="preserve">8 </w:t>
      </w:r>
      <w:r>
        <w:t xml:space="preserve">And Solomon made feast at that time seven days, and all Israel with him, very great assembly, from the entrance of Hamath and as far as river of Egypt.</w:t>
      </w:r>
    </w:p>
    <w:p>
      <w:r>
        <w:rPr>
          <w:b/>
        </w:rPr>
        <w:t xml:space="preserve">9 </w:t>
      </w:r>
      <w:r>
        <w:t xml:space="preserve">And on the eighth day he made dismissal, because dedication of altar he made seven days</w:t>
      </w:r>
      <w:r>
        <w:rPr>
          <w:rStyle w:val="FootnoteReference"/>
        </w:rPr>
        <w:footnoteReference w:id="8811"/>
      </w:r>
      <w:r>
        <w:t xml:space="preserve">, feast.</w:t>
      </w:r>
    </w:p>
    <w:p>
      <w:r>
        <w:rPr>
          <w:b/>
        </w:rPr>
        <w:t xml:space="preserve">10 </w:t>
      </w:r>
      <w:r>
        <w:t xml:space="preserve">And on twenty-third of seventh month he sent people to their tents rejoicing and with good heart over good things which the Lord did to David and to Solomon and to Israel his people.</w:t>
      </w:r>
    </w:p>
    <w:p>
      <w:r>
        <w:rPr>
          <w:b/>
        </w:rPr>
        <w:t xml:space="preserve">11 </w:t>
      </w:r>
      <w:r>
        <w:t xml:space="preserve">And Solomon</w:t>
      </w:r>
      <w:r>
        <w:rPr>
          <w:rStyle w:val="FootnoteReference"/>
        </w:rPr>
        <w:footnoteReference w:id="8812"/>
      </w:r>
      <w:r>
        <w:t xml:space="preserve"> finished house of the Lord and the house of the king, and all things which Solomon desired in his soul to do in the house of the Lord and in his house prospered.</w:t>
      </w:r>
    </w:p>
    <w:p>
      <w:r>
        <w:rPr>
          <w:b/>
        </w:rPr>
        <w:t xml:space="preserve">12 </w:t>
      </w:r>
      <w:r>
        <w:t xml:space="preserve">And God appeared to Solomon by night and said to him, I heard your prayer and chose in this place for myself as a house of sacrifice.</w:t>
      </w:r>
    </w:p>
    <w:p>
      <w:r>
        <w:rPr>
          <w:b/>
        </w:rPr>
        <w:t xml:space="preserve">13 </w:t>
      </w:r>
      <w:r>
        <w:t xml:space="preserve">If I shut heaven and rain does not come, and if I command</w:t>
      </w:r>
      <w:r>
        <w:rPr>
          <w:rStyle w:val="FootnoteReference"/>
        </w:rPr>
        <w:footnoteReference w:id="8813"/>
      </w:r>
      <w:r>
        <w:t xml:space="preserve"> locust to eat tree, and if I send death among my people,</w:t>
      </w:r>
    </w:p>
    <w:p>
      <w:r>
        <w:rPr>
          <w:b/>
        </w:rPr>
        <w:t xml:space="preserve">14 </w:t>
      </w:r>
      <w:r>
        <w:t xml:space="preserve">and my people</w:t>
      </w:r>
      <w:r>
        <w:rPr>
          <w:rStyle w:val="FootnoteReference"/>
        </w:rPr>
        <w:footnoteReference w:id="8814"/>
      </w:r>
      <w:r>
        <w:t xml:space="preserve"> upon whom my name has been called</w:t>
      </w:r>
      <w:r>
        <w:rPr>
          <w:rStyle w:val="FootnoteReference"/>
        </w:rPr>
        <w:footnoteReference w:id="8815"/>
      </w:r>
      <w:r>
        <w:t xml:space="preserve"> are put to shame</w:t>
      </w:r>
      <w:r>
        <w:rPr>
          <w:rStyle w:val="FootnoteReference"/>
        </w:rPr>
        <w:footnoteReference w:id="8816"/>
      </w:r>
      <w:r>
        <w:t xml:space="preserve">, and they pray and seek my face and turn from their evil ways, then I will hear from heaven and be merciful to their sins and heal their land.</w:t>
      </w:r>
    </w:p>
    <w:p>
      <w:r>
        <w:rPr>
          <w:b/>
        </w:rPr>
        <w:t xml:space="preserve">15 </w:t>
      </w:r>
      <w:r>
        <w:t xml:space="preserve">Now my eyes shall be open and my ears attentive to the prayer of this place.</w:t>
      </w:r>
    </w:p>
    <w:p>
      <w:r>
        <w:rPr>
          <w:b/>
        </w:rPr>
        <w:t xml:space="preserve">16 </w:t>
      </w:r>
      <w:r>
        <w:t xml:space="preserve">And now I have chosen and sanctified this house for my name</w:t>
      </w:r>
      <w:r>
        <w:rPr>
          <w:rStyle w:val="FootnoteReference"/>
        </w:rPr>
        <w:footnoteReference w:id="8817"/>
      </w:r>
      <w:r>
        <w:t xml:space="preserve"> to be there forever, and my eyes and my heart shall be there all days.</w:t>
      </w:r>
    </w:p>
    <w:p>
      <w:r>
        <w:rPr>
          <w:b/>
        </w:rPr>
        <w:t xml:space="preserve">17 </w:t>
      </w:r>
      <w:r>
        <w:t xml:space="preserve">And you, if you walk before me as David your father and do according to all things I commanded you and keep my ordinances and my judgments,</w:t>
      </w:r>
    </w:p>
    <w:p>
      <w:r>
        <w:rPr>
          <w:b/>
        </w:rPr>
        <w:t xml:space="preserve">18 </w:t>
      </w:r>
      <w:r>
        <w:t xml:space="preserve">then I will set up throne of your kingdom as I covenanted with David your father, saying, Man leading in Israel shall not</w:t>
      </w:r>
      <w:r>
        <w:rPr>
          <w:rStyle w:val="FootnoteReference"/>
        </w:rPr>
        <w:footnoteReference w:id="8818"/>
      </w:r>
      <w:r>
        <w:t xml:space="preserve"> be removed from you.</w:t>
      </w:r>
    </w:p>
    <w:p>
      <w:r>
        <w:rPr>
          <w:b/>
        </w:rPr>
        <w:t xml:space="preserve">19 </w:t>
      </w:r>
      <w:r>
        <w:t xml:space="preserve">And if you turn away and forsake my ordinances and my commandments which I gave before you and go and serve other gods and worship them,</w:t>
      </w:r>
    </w:p>
    <w:p>
      <w:r>
        <w:rPr>
          <w:b/>
        </w:rPr>
        <w:t xml:space="preserve">20 </w:t>
      </w:r>
      <w:r>
        <w:t xml:space="preserve">then I will lift you out of land which I gave them, and this house which I sanctified to my name I will cast away from my face and give it for parable and tale</w:t>
      </w:r>
      <w:r>
        <w:rPr>
          <w:rStyle w:val="FootnoteReference"/>
        </w:rPr>
        <w:footnoteReference w:id="8819"/>
      </w:r>
      <w:r>
        <w:t xml:space="preserve"> among all nations.</w:t>
      </w:r>
    </w:p>
    <w:p>
      <w:r>
        <w:rPr>
          <w:b/>
        </w:rPr>
        <w:t xml:space="preserve">21 </w:t>
      </w:r>
      <w:r>
        <w:t xml:space="preserve">And this exalted house, everyone passing by it will be astonished and say, For what reason did the Lord do thus to this land and to this house</w:t>
      </w:r>
      <w:r>
        <w:rPr>
          <w:rStyle w:val="FootnoteReference"/>
        </w:rPr>
        <w:footnoteReference w:id="8820"/>
      </w:r>
      <w:r>
        <w:t xml:space="preserve">?</w:t>
      </w:r>
    </w:p>
    <w:p>
      <w:r>
        <w:rPr>
          <w:b/>
        </w:rPr>
        <w:t xml:space="preserve">22 </w:t>
      </w:r>
      <w:r>
        <w:t xml:space="preserve">And they shall say, Because they forsook</w:t>
      </w:r>
      <w:r>
        <w:rPr>
          <w:rStyle w:val="FootnoteReference"/>
        </w:rPr>
        <w:footnoteReference w:id="8821"/>
      </w:r>
      <w:r>
        <w:t xml:space="preserve"> the Lord God of their fathers, who brought them out from the land of Egypt, and laid hold of other gods</w:t>
      </w:r>
      <w:r>
        <w:rPr>
          <w:rStyle w:val="FootnoteReference"/>
        </w:rPr>
        <w:footnoteReference w:id="8822"/>
      </w:r>
      <w:r>
        <w:t xml:space="preserve"> and worshiped them and served them, therefore he brought upon them all this evil.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it came to pass after twenty years in which Solomon built the house of the Lord and his own house,</w:t>
      </w:r>
    </w:p>
    <w:p>
      <w:r>
        <w:rPr>
          <w:b/>
        </w:rPr>
        <w:t xml:space="preserve">2 </w:t>
      </w:r>
      <w:r>
        <w:t xml:space="preserve">and cities which Hiram gave to Solomon, Solomon built them and settled sons of Israel there.</w:t>
      </w:r>
    </w:p>
    <w:p>
      <w:r>
        <w:rPr>
          <w:b/>
        </w:rPr>
        <w:t xml:space="preserve">3 </w:t>
      </w:r>
      <w:r>
        <w:t xml:space="preserve">And Solomon came to Hamath-Zobah</w:t>
      </w:r>
      <w:r>
        <w:rPr>
          <w:rStyle w:val="FootnoteReference"/>
        </w:rPr>
        <w:footnoteReference w:id="8823"/>
      </w:r>
      <w:r>
        <w:t xml:space="preserve"> and prevailed over it.</w:t>
      </w:r>
    </w:p>
    <w:p>
      <w:r>
        <w:rPr>
          <w:b/>
        </w:rPr>
        <w:t xml:space="preserve">4 </w:t>
      </w:r>
      <w:r>
        <w:t xml:space="preserve">And he built</w:t>
      </w:r>
      <w:r>
        <w:rPr>
          <w:rStyle w:val="FootnoteReference"/>
        </w:rPr>
        <w:footnoteReference w:id="8824"/>
      </w:r>
      <w:r>
        <w:t xml:space="preserve"> Tadmor</w:t>
      </w:r>
      <w:r>
        <w:rPr>
          <w:rStyle w:val="FootnoteReference"/>
        </w:rPr>
        <w:footnoteReference w:id="8825"/>
      </w:r>
      <w:r>
        <w:t xml:space="preserve"> in the wilderness and all strong cities which he built in Hamath.</w:t>
      </w:r>
    </w:p>
    <w:p>
      <w:r>
        <w:rPr>
          <w:b/>
        </w:rPr>
        <w:t xml:space="preserve">5 </w:t>
      </w:r>
      <w:r>
        <w:t xml:space="preserve">And he built Bethhoron</w:t>
      </w:r>
      <w:r>
        <w:rPr>
          <w:rStyle w:val="FootnoteReference"/>
        </w:rPr>
        <w:footnoteReference w:id="8826"/>
      </w:r>
      <w:r>
        <w:t xml:space="preserve"> the upper and Bethhoron the lower, fortified cities, walls, gates, and bars,</w:t>
      </w:r>
    </w:p>
    <w:p>
      <w:r>
        <w:rPr>
          <w:b/>
        </w:rPr>
        <w:t xml:space="preserve">6 </w:t>
      </w:r>
      <w:r>
        <w:t xml:space="preserve">and Baalath</w:t>
      </w:r>
      <w:r>
        <w:rPr>
          <w:rStyle w:val="FootnoteReference"/>
        </w:rPr>
        <w:footnoteReference w:id="8827"/>
      </w:r>
      <w:r>
        <w:t xml:space="preserve"> and all strong cities which belonged to Solomon and all cities of chariots and cities of horsemen and whatever Solomon desired according to desire</w:t>
      </w:r>
      <w:r>
        <w:rPr>
          <w:rStyle w:val="FootnoteReference"/>
        </w:rPr>
        <w:footnoteReference w:id="8828"/>
      </w:r>
      <w:r>
        <w:t xml:space="preserve"> to build in Jerusalem and in Lebanon and in all his kingdom.</w:t>
      </w:r>
    </w:p>
    <w:p>
      <w:r>
        <w:rPr>
          <w:b/>
        </w:rPr>
        <w:t xml:space="preserve">7 </w:t>
      </w:r>
      <w:r>
        <w:t xml:space="preserve">All the people left over from Hittite and Amorite and Perizzite and Hivite and Jebusite, who were not from Israel,</w:t>
      </w:r>
    </w:p>
    <w:p>
      <w:r>
        <w:rPr>
          <w:b/>
        </w:rPr>
        <w:t xml:space="preserve">8 </w:t>
      </w:r>
      <w:r>
        <w:t xml:space="preserve">from their sons left after them in the land whom sons of Israel did not destroy, Solomon brought them up as tribute until this day.</w:t>
      </w:r>
    </w:p>
    <w:p>
      <w:r>
        <w:rPr>
          <w:b/>
        </w:rPr>
        <w:t xml:space="preserve">9 </w:t>
      </w:r>
      <w:r>
        <w:t xml:space="preserve">But from the sons of Israel Solomon did not make servants for his kingdom, because they were men</w:t>
      </w:r>
      <w:r>
        <w:rPr>
          <w:rStyle w:val="FootnoteReference"/>
        </w:rPr>
        <w:footnoteReference w:id="8829"/>
      </w:r>
      <w:r>
        <w:t xml:space="preserve"> of war and rulers and mighty men and rulers of chariots and horsemen.</w:t>
      </w:r>
    </w:p>
    <w:p>
      <w:r>
        <w:rPr>
          <w:b/>
        </w:rPr>
        <w:t xml:space="preserve">10 </w:t>
      </w:r>
      <w:r>
        <w:t xml:space="preserve">And these were chiefs of officers of King Solomon, two hundred</w:t>
      </w:r>
      <w:r>
        <w:rPr>
          <w:rStyle w:val="FootnoteReference"/>
        </w:rPr>
        <w:footnoteReference w:id="8830"/>
      </w:r>
      <w:r>
        <w:t xml:space="preserve"> fifty overseeing work among people.</w:t>
      </w:r>
    </w:p>
    <w:p>
      <w:r>
        <w:rPr>
          <w:b/>
        </w:rPr>
        <w:t xml:space="preserve">11 </w:t>
      </w:r>
      <w:r>
        <w:t xml:space="preserve">And Solomon brought daughter of Pharaoh up from the City of David into the house which he built for her, because he said, My wife shall not dwell in the City of David king of Israel, because holy</w:t>
      </w:r>
      <w:r>
        <w:rPr>
          <w:rStyle w:val="FootnoteReference"/>
        </w:rPr>
        <w:footnoteReference w:id="8831"/>
      </w:r>
      <w:r>
        <w:t xml:space="preserve"> is the place where the ark of the Lord entered.</w:t>
      </w:r>
    </w:p>
    <w:p>
      <w:r>
        <w:rPr>
          <w:b/>
        </w:rPr>
        <w:t xml:space="preserve">12 </w:t>
      </w:r>
      <w:r>
        <w:t xml:space="preserve">Then Solomon brought up whole burnt offerings to the Lord on the altar</w:t>
      </w:r>
      <w:r>
        <w:rPr>
          <w:rStyle w:val="FootnoteReference"/>
        </w:rPr>
        <w:footnoteReference w:id="8832"/>
      </w:r>
      <w:r>
        <w:t xml:space="preserve"> which he built opposite temple.</w:t>
      </w:r>
    </w:p>
    <w:p>
      <w:r>
        <w:rPr>
          <w:b/>
        </w:rPr>
        <w:t xml:space="preserve">13 </w:t>
      </w:r>
      <w:r>
        <w:t xml:space="preserve">And according to the matter of each day</w:t>
      </w:r>
      <w:r>
        <w:rPr>
          <w:rStyle w:val="FootnoteReference"/>
        </w:rPr>
        <w:footnoteReference w:id="8833"/>
      </w:r>
      <w:r>
        <w:t xml:space="preserve">, for offering according to commandments of Moses, on Sabbaths and on new moons and on feasts three times</w:t>
      </w:r>
      <w:r>
        <w:rPr>
          <w:rStyle w:val="FootnoteReference"/>
        </w:rPr>
        <w:footnoteReference w:id="8834"/>
      </w:r>
      <w:r>
        <w:t xml:space="preserve"> of year, in the feast of unleavened bread and in the feast of weeks and in the feast of tents.</w:t>
      </w:r>
    </w:p>
    <w:p>
      <w:r>
        <w:rPr>
          <w:b/>
        </w:rPr>
        <w:t xml:space="preserve">14 </w:t>
      </w:r>
      <w:r>
        <w:t xml:space="preserve">And he established according to the ordinance of David divisions of priests according to their services, and Levites in their charges to praise and minister before priests according to each day's matter on its day</w:t>
      </w:r>
      <w:r>
        <w:rPr>
          <w:rStyle w:val="FootnoteReference"/>
        </w:rPr>
        <w:footnoteReference w:id="8835"/>
      </w:r>
      <w:r>
        <w:t xml:space="preserve">, and gatekeepers in their divisions for gate and gate, because thus were commandments of David man of God.</w:t>
      </w:r>
    </w:p>
    <w:p>
      <w:r>
        <w:rPr>
          <w:b/>
        </w:rPr>
        <w:t xml:space="preserve">15 </w:t>
      </w:r>
      <w:r>
        <w:t xml:space="preserve">They did not pass by commands of the king concerning priests and Levites in every matter and concerning treasuries.</w:t>
      </w:r>
    </w:p>
    <w:p>
      <w:r>
        <w:rPr>
          <w:b/>
        </w:rPr>
        <w:t xml:space="preserve">16 </w:t>
      </w:r>
      <w:r>
        <w:t xml:space="preserve">And all work was prepared from the day the house was founded until Solomon finished the house of the Lord.</w:t>
      </w:r>
    </w:p>
    <w:p>
      <w:r>
        <w:rPr>
          <w:b/>
        </w:rPr>
        <w:t xml:space="preserve">17 </w:t>
      </w:r>
      <w:r>
        <w:t xml:space="preserve">Then Solomon went to Eziongeber</w:t>
      </w:r>
      <w:r>
        <w:rPr>
          <w:rStyle w:val="FootnoteReference"/>
        </w:rPr>
        <w:footnoteReference w:id="8836"/>
      </w:r>
      <w:r>
        <w:t xml:space="preserve"> and to Elath by sea in the land of Edom.</w:t>
      </w:r>
    </w:p>
    <w:p>
      <w:r>
        <w:rPr>
          <w:b/>
        </w:rPr>
        <w:t xml:space="preserve">18 </w:t>
      </w:r>
      <w:r>
        <w:t xml:space="preserve">And Hiram sent by the hands of his servants ships and servants knowing sea, and they went with the servants of Solomon to Ophir and took from there four hundred fifty talents of gold and came to King Solomon.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the queen of Sheba</w:t>
      </w:r>
      <w:r>
        <w:rPr>
          <w:rStyle w:val="FootnoteReference"/>
        </w:rPr>
        <w:footnoteReference w:id="8837"/>
      </w:r>
      <w:r>
        <w:t xml:space="preserve"> heard the name of Solomon and came to test Solomon with riddles in Jerusalem, with very weighty force</w:t>
      </w:r>
      <w:r>
        <w:rPr>
          <w:rStyle w:val="FootnoteReference"/>
        </w:rPr>
        <w:footnoteReference w:id="8838"/>
      </w:r>
      <w:r>
        <w:t xml:space="preserve">, and camels carrying spices and gold in abundance and precious stone, and she came to Solomon and spoke with him all things in her soul.</w:t>
      </w:r>
    </w:p>
    <w:p>
      <w:r>
        <w:rPr>
          <w:b/>
        </w:rPr>
        <w:t xml:space="preserve">2 </w:t>
      </w:r>
      <w:r>
        <w:t xml:space="preserve">And Solomon declared to her all her matters, and no matter passed from Solomon which he did not declare to her.</w:t>
      </w:r>
    </w:p>
    <w:p>
      <w:r>
        <w:rPr>
          <w:b/>
        </w:rPr>
        <w:t xml:space="preserve">3 </w:t>
      </w:r>
      <w:r>
        <w:t xml:space="preserve">And the queen of Sheba saw the wisdom of Solomon and the house which he built,</w:t>
      </w:r>
    </w:p>
    <w:p>
      <w:r>
        <w:rPr>
          <w:b/>
        </w:rPr>
        <w:t xml:space="preserve">4 </w:t>
      </w:r>
      <w:r>
        <w:t xml:space="preserve">and foods of his tables and seating of his servants and standing of his ministers and their clothing and his cupbearers</w:t>
      </w:r>
      <w:r>
        <w:rPr>
          <w:rStyle w:val="FootnoteReference"/>
        </w:rPr>
        <w:footnoteReference w:id="8839"/>
      </w:r>
      <w:r>
        <w:t xml:space="preserve"> and their apparel and whole burnt offerings which he offered in the house of the Lord, and she was beside herself.</w:t>
      </w:r>
    </w:p>
    <w:p>
      <w:r>
        <w:rPr>
          <w:b/>
        </w:rPr>
        <w:t xml:space="preserve">5 </w:t>
      </w:r>
      <w:r>
        <w:t xml:space="preserve">And she said to the king, True was word which I heard in my land concerning your matters and concerning your wisdom.</w:t>
      </w:r>
    </w:p>
    <w:p>
      <w:r>
        <w:rPr>
          <w:b/>
        </w:rPr>
        <w:t xml:space="preserve">6 </w:t>
      </w:r>
      <w:r>
        <w:t xml:space="preserve">And I did not believe words until I came and my eyes saw, and behold, half multitude of your wisdom was not reported to me. You added beyond report which I heard.</w:t>
      </w:r>
    </w:p>
    <w:p>
      <w:r>
        <w:rPr>
          <w:b/>
        </w:rPr>
        <w:t xml:space="preserve">7 </w:t>
      </w:r>
      <w:r>
        <w:t xml:space="preserve">Blessed are your men; blessed are these servants of yours standing before you continually and hearing your wisdom.</w:t>
      </w:r>
    </w:p>
    <w:p>
      <w:r>
        <w:rPr>
          <w:b/>
        </w:rPr>
        <w:t xml:space="preserve">8 </w:t>
      </w:r>
      <w:r>
        <w:t xml:space="preserve">Blessed</w:t>
      </w:r>
      <w:r>
        <w:rPr>
          <w:rStyle w:val="FootnoteReference"/>
        </w:rPr>
        <w:footnoteReference w:id="8840"/>
      </w:r>
      <w:r>
        <w:t xml:space="preserve"> be the Lord your God, who delighted in you to set you on his throne as king for the Lord your God</w:t>
      </w:r>
      <w:r>
        <w:rPr>
          <w:rStyle w:val="FootnoteReference"/>
        </w:rPr>
        <w:footnoteReference w:id="8841"/>
      </w:r>
      <w:r>
        <w:t xml:space="preserve">. Because the Lord your God loved Israel to establish him forever, he gave you over them as king to do judgment and righteousness</w:t>
      </w:r>
      <w:r>
        <w:rPr>
          <w:rStyle w:val="FootnoteReference"/>
        </w:rPr>
        <w:footnoteReference w:id="8842"/>
      </w:r>
      <w:r>
        <w:t xml:space="preserve">.</w:t>
      </w:r>
    </w:p>
    <w:p>
      <w:r>
        <w:rPr>
          <w:b/>
        </w:rPr>
        <w:t xml:space="preserve">9 </w:t>
      </w:r>
      <w:r>
        <w:t xml:space="preserve">And she gave</w:t>
      </w:r>
      <w:r>
        <w:rPr>
          <w:rStyle w:val="FootnoteReference"/>
        </w:rPr>
        <w:footnoteReference w:id="8843"/>
      </w:r>
      <w:r>
        <w:t xml:space="preserve"> to the king one hundred twenty talents of gold and spices in very great abundance and precious stone</w:t>
      </w:r>
      <w:r>
        <w:rPr>
          <w:rStyle w:val="FootnoteReference"/>
        </w:rPr>
        <w:footnoteReference w:id="8844"/>
      </w:r>
      <w:r>
        <w:t xml:space="preserve">, and there were no spices like those which queen of Sheba gave to King Solomon.</w:t>
      </w:r>
    </w:p>
    <w:p>
      <w:r>
        <w:rPr>
          <w:b/>
        </w:rPr>
        <w:t xml:space="preserve">10 </w:t>
      </w:r>
      <w:r>
        <w:t xml:space="preserve">And the servants of Solomon and servants of Hiram were bringing gold to Solomon from Ophir and pine woods and precious stone.</w:t>
      </w:r>
      <w:r>
        <w:rPr>
          <w:rStyle w:val="FootnoteReference"/>
        </w:rPr>
        <w:footnoteReference w:id="8845"/>
      </w:r>
    </w:p>
    <w:p>
      <w:r>
        <w:rPr>
          <w:b/>
        </w:rPr>
        <w:t xml:space="preserve">11 </w:t>
      </w:r>
      <w:r>
        <w:t xml:space="preserve">And the king made from pine woods stairways for the house of the Lord and for the house of the king and lyres and harps</w:t>
      </w:r>
      <w:r>
        <w:rPr>
          <w:rStyle w:val="FootnoteReference"/>
        </w:rPr>
        <w:footnoteReference w:id="8846"/>
      </w:r>
      <w:r>
        <w:t xml:space="preserve"> for singers, and such things were not seen before in the land of Judah.</w:t>
      </w:r>
    </w:p>
    <w:p>
      <w:r>
        <w:rPr>
          <w:b/>
        </w:rPr>
        <w:t xml:space="preserve">12 </w:t>
      </w:r>
      <w:r>
        <w:t xml:space="preserve">And King Solomon gave to the queen of Sheba all her desires which she asked, besides all which she brought to King Solomon, and she returned to her land.</w:t>
      </w:r>
    </w:p>
    <w:p>
      <w:r>
        <w:rPr>
          <w:b/>
        </w:rPr>
        <w:t xml:space="preserve">13 </w:t>
      </w:r>
      <w:r>
        <w:t xml:space="preserve">And weight of gold brought to Solomon in one year was six hundred sixty-six talents of gold,</w:t>
      </w:r>
    </w:p>
    <w:p>
      <w:r>
        <w:rPr>
          <w:b/>
        </w:rPr>
        <w:t xml:space="preserve">14 </w:t>
      </w:r>
      <w:r>
        <w:t xml:space="preserve">besides what subject men and traders brought, and all kings of Arabia and satraps of land brought gold and silver to King Solomon.</w:t>
      </w:r>
    </w:p>
    <w:p>
      <w:r>
        <w:rPr>
          <w:b/>
        </w:rPr>
        <w:t xml:space="preserve">15 </w:t>
      </w:r>
      <w:r>
        <w:t xml:space="preserve">And King Solomon made two hundred beaten-gold shields; six hundred pure golds went upon one shield.</w:t>
      </w:r>
    </w:p>
    <w:p>
      <w:r>
        <w:rPr>
          <w:b/>
        </w:rPr>
        <w:t xml:space="preserve">16 </w:t>
      </w:r>
      <w:r>
        <w:t xml:space="preserve">And three hundred beaten-gold bucklers; three hundred golds went up on each buckler, and the king put them in the house</w:t>
      </w:r>
      <w:r>
        <w:rPr>
          <w:rStyle w:val="FootnoteReference"/>
        </w:rPr>
        <w:footnoteReference w:id="8847"/>
      </w:r>
      <w:r>
        <w:t xml:space="preserve"> of the forest of Lebanon.</w:t>
      </w:r>
    </w:p>
    <w:p>
      <w:r>
        <w:rPr>
          <w:b/>
        </w:rPr>
        <w:t xml:space="preserve">17 </w:t>
      </w:r>
      <w:r>
        <w:t xml:space="preserve">And the king made great ivory throne and overlaid it with refined gold.</w:t>
      </w:r>
    </w:p>
    <w:p>
      <w:r>
        <w:rPr>
          <w:b/>
        </w:rPr>
        <w:t xml:space="preserve">18 </w:t>
      </w:r>
      <w:r>
        <w:t xml:space="preserve">And six steps to throne, fastened with gold, and armrests on this side and on that side on the seat of throne, and two lions</w:t>
      </w:r>
      <w:r>
        <w:rPr>
          <w:rStyle w:val="FootnoteReference"/>
        </w:rPr>
        <w:footnoteReference w:id="8848"/>
      </w:r>
      <w:r>
        <w:t xml:space="preserve"> standing beside armrests.</w:t>
      </w:r>
    </w:p>
    <w:p>
      <w:r>
        <w:rPr>
          <w:b/>
        </w:rPr>
        <w:t xml:space="preserve">19 </w:t>
      </w:r>
      <w:r>
        <w:t xml:space="preserve">And twelve lions</w:t>
      </w:r>
      <w:r>
        <w:rPr>
          <w:rStyle w:val="FootnoteReference"/>
        </w:rPr>
        <w:footnoteReference w:id="8849"/>
      </w:r>
      <w:r>
        <w:t xml:space="preserve"> standing there on six steps, on this side and that side. Thus it had not been done in any kingdom.</w:t>
      </w:r>
    </w:p>
    <w:p>
      <w:r>
        <w:rPr>
          <w:b/>
        </w:rPr>
        <w:t xml:space="preserve">20 </w:t>
      </w:r>
      <w:r>
        <w:t xml:space="preserve">And all vessels of King Solomon were of gold, and all vessels of the house of the forest of Lebanon covered with gold; silver was not reckoned in the days of Solomon as anything.</w:t>
      </w:r>
    </w:p>
    <w:p>
      <w:r>
        <w:rPr>
          <w:b/>
        </w:rPr>
        <w:t xml:space="preserve">21 </w:t>
      </w:r>
      <w:r>
        <w:t xml:space="preserve">Because ships went for the king to Tarshish with the servants of Hiram; once every three years ships came from Tarshish to the king full of gold and silver and ivory and monkeys.</w:t>
      </w:r>
    </w:p>
    <w:p>
      <w:r>
        <w:rPr>
          <w:b/>
        </w:rPr>
        <w:t xml:space="preserve">22 </w:t>
      </w:r>
      <w:r>
        <w:t xml:space="preserve">And Solomon was magnified above all kings in wealth and wisdom.</w:t>
      </w:r>
    </w:p>
    <w:p>
      <w:r>
        <w:rPr>
          <w:b/>
        </w:rPr>
        <w:t xml:space="preserve">23 </w:t>
      </w:r>
      <w:r>
        <w:t xml:space="preserve">And all kings of the earth were seeking the face of Solomon to hear his wisdom which God gave in his heart.</w:t>
      </w:r>
    </w:p>
    <w:p>
      <w:r>
        <w:rPr>
          <w:b/>
        </w:rPr>
        <w:t xml:space="preserve">24 </w:t>
      </w:r>
      <w:r>
        <w:t xml:space="preserve">And they were bringing each his gifts, silver vessels and gold vessels and clothing, myrrh and spices, horses and mules, year by year.</w:t>
      </w:r>
    </w:p>
    <w:p>
      <w:r>
        <w:rPr>
          <w:b/>
        </w:rPr>
        <w:t xml:space="preserve">25 </w:t>
      </w:r>
      <w:r>
        <w:t xml:space="preserve">And Solomon had four thousand mares for chariots and twelve thousand horsemen, and he put them in the cities of chariots and with the king in Jerusalem.</w:t>
      </w:r>
    </w:p>
    <w:p>
      <w:r>
        <w:rPr>
          <w:b/>
        </w:rPr>
        <w:t xml:space="preserve">26 </w:t>
      </w:r>
      <w:r>
        <w:t xml:space="preserve">And he was ruling all kings from the river</w:t>
      </w:r>
      <w:r>
        <w:rPr>
          <w:rStyle w:val="FootnoteReference"/>
        </w:rPr>
        <w:footnoteReference w:id="8850"/>
      </w:r>
      <w:r>
        <w:t xml:space="preserve"> and as far as land of Philistines and as far as border of Egypt.</w:t>
      </w:r>
    </w:p>
    <w:p>
      <w:r>
        <w:rPr>
          <w:b/>
        </w:rPr>
        <w:t xml:space="preserve">27 </w:t>
      </w:r>
      <w:r>
        <w:t xml:space="preserve">And the king made gold and silver in Jerusalem like stones, and cedars like sycamines in lowland in abundance.</w:t>
      </w:r>
    </w:p>
    <w:p>
      <w:r>
        <w:rPr>
          <w:b/>
        </w:rPr>
        <w:t xml:space="preserve">28 </w:t>
      </w:r>
      <w:r>
        <w:t xml:space="preserve">And the export of horses from Egypt was for Solomon, and from all the land.</w:t>
      </w:r>
    </w:p>
    <w:p>
      <w:r>
        <w:rPr>
          <w:b/>
        </w:rPr>
        <w:t xml:space="preserve">29 </w:t>
      </w:r>
      <w:r>
        <w:t xml:space="preserve">And the rest</w:t>
      </w:r>
      <w:r>
        <w:rPr>
          <w:rStyle w:val="FootnoteReference"/>
        </w:rPr>
        <w:footnoteReference w:id="8851"/>
      </w:r>
      <w:r>
        <w:t xml:space="preserve"> of matters of Solomon, first and last, behold, written in the words of Nathan prophet and in the words of Ahijah the Shilonite and in visions of Iddo the seer concerning Jeroboam son of Nebat.</w:t>
      </w:r>
      <w:r>
        <w:rPr>
          <w:rStyle w:val="FootnoteReference"/>
        </w:rPr>
        <w:footnoteReference w:id="8852"/>
      </w:r>
    </w:p>
    <w:p>
      <w:r>
        <w:rPr>
          <w:b/>
        </w:rPr>
        <w:t xml:space="preserve">30 </w:t>
      </w:r>
      <w:r>
        <w:t xml:space="preserve">And King Solomon</w:t>
      </w:r>
      <w:r>
        <w:rPr>
          <w:rStyle w:val="FootnoteReference"/>
        </w:rPr>
        <w:footnoteReference w:id="8853"/>
      </w:r>
      <w:r>
        <w:t xml:space="preserve"> reigned over all Israel forty years.</w:t>
      </w:r>
    </w:p>
    <w:p>
      <w:r>
        <w:rPr>
          <w:b/>
        </w:rPr>
        <w:t xml:space="preserve">31 </w:t>
      </w:r>
      <w:r>
        <w:t xml:space="preserve">And Solomon slept</w:t>
      </w:r>
      <w:r>
        <w:rPr>
          <w:rStyle w:val="FootnoteReference"/>
        </w:rPr>
        <w:footnoteReference w:id="8854"/>
      </w:r>
      <w:r>
        <w:t xml:space="preserve">, and they buried him in the city of David his father, and Rehoboam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Rehoboam</w:t>
      </w:r>
      <w:r>
        <w:rPr>
          <w:rStyle w:val="FootnoteReference"/>
        </w:rPr>
        <w:footnoteReference w:id="8855"/>
      </w:r>
      <w:r>
        <w:t xml:space="preserve"> came to Shechem, because all Israel came to Shechem to make him king.</w:t>
      </w:r>
    </w:p>
    <w:p>
      <w:r>
        <w:rPr>
          <w:b/>
        </w:rPr>
        <w:t xml:space="preserve">2 </w:t>
      </w:r>
      <w:r>
        <w:t xml:space="preserve">And it came to pass when Jeroboam</w:t>
      </w:r>
      <w:r>
        <w:rPr>
          <w:rStyle w:val="FootnoteReference"/>
        </w:rPr>
        <w:footnoteReference w:id="8856"/>
      </w:r>
      <w:r>
        <w:t xml:space="preserve"> son of Nebat heard, while he himself was in Egypt, since he fled from before King Solomon, and Jeroboam dwelt in Egypt, and Jeroboam returned from Egypt,</w:t>
      </w:r>
    </w:p>
    <w:p>
      <w:r>
        <w:rPr>
          <w:b/>
        </w:rPr>
        <w:t xml:space="preserve">3 </w:t>
      </w:r>
      <w:r>
        <w:t xml:space="preserve">and they sent</w:t>
      </w:r>
      <w:r>
        <w:rPr>
          <w:rStyle w:val="FootnoteReference"/>
        </w:rPr>
        <w:footnoteReference w:id="8857"/>
      </w:r>
      <w:r>
        <w:t xml:space="preserve"> and called him, and Jeroboam and all the assembly of Israel came to Rehoboam, saying,</w:t>
      </w:r>
    </w:p>
    <w:p>
      <w:r>
        <w:rPr>
          <w:b/>
        </w:rPr>
        <w:t xml:space="preserve">4 </w:t>
      </w:r>
      <w:r>
        <w:t xml:space="preserve">Your father made our yoke hard, and now lighten from hard service of your father and from his heavy yoke which he put upon us, and we will serve you.</w:t>
      </w:r>
    </w:p>
    <w:p>
      <w:r>
        <w:rPr>
          <w:b/>
        </w:rPr>
        <w:t xml:space="preserve">5 </w:t>
      </w:r>
      <w:r>
        <w:t xml:space="preserve">And he said to them, Go for three days and come again</w:t>
      </w:r>
      <w:r>
        <w:rPr>
          <w:rStyle w:val="FootnoteReference"/>
        </w:rPr>
        <w:footnoteReference w:id="8858"/>
      </w:r>
      <w:r>
        <w:t xml:space="preserve"> to me. And people departed.</w:t>
      </w:r>
    </w:p>
    <w:p>
      <w:r>
        <w:rPr>
          <w:b/>
        </w:rPr>
        <w:t xml:space="preserve">6 </w:t>
      </w:r>
      <w:r>
        <w:t xml:space="preserve">And King Rehoboam gathered elders who stood before Solomon his father while he lived, saying, How do you counsel to answer word to this people?</w:t>
      </w:r>
    </w:p>
    <w:p>
      <w:r>
        <w:rPr>
          <w:b/>
        </w:rPr>
        <w:t xml:space="preserve">7 </w:t>
      </w:r>
      <w:r>
        <w:t xml:space="preserve">And they spoke to him, saying, If today you become for good to this people</w:t>
      </w:r>
      <w:r>
        <w:rPr>
          <w:rStyle w:val="FootnoteReference"/>
        </w:rPr>
        <w:footnoteReference w:id="8859"/>
      </w:r>
      <w:r>
        <w:t xml:space="preserve"> and are pleased and speak good</w:t>
      </w:r>
      <w:r>
        <w:rPr>
          <w:rStyle w:val="FootnoteReference"/>
        </w:rPr>
        <w:footnoteReference w:id="8860"/>
      </w:r>
      <w:r>
        <w:t xml:space="preserve"> words to them, then they will be your servants all days.</w:t>
      </w:r>
    </w:p>
    <w:p>
      <w:r>
        <w:rPr>
          <w:b/>
        </w:rPr>
        <w:t xml:space="preserve">8 </w:t>
      </w:r>
      <w:r>
        <w:t xml:space="preserve">But he left counsel of elders who counseled him and took counsel with young men brought up with him, who stood before him.</w:t>
      </w:r>
    </w:p>
    <w:p>
      <w:r>
        <w:rPr>
          <w:b/>
        </w:rPr>
        <w:t xml:space="preserve">9 </w:t>
      </w:r>
      <w:r>
        <w:t xml:space="preserve">And he said to them, What do you counsel, and what word shall I answer this people who spoke to me saying, Lighten from yoke which your father put upon us?</w:t>
      </w:r>
    </w:p>
    <w:p>
      <w:r>
        <w:rPr>
          <w:b/>
        </w:rPr>
        <w:t xml:space="preserve">10 </w:t>
      </w:r>
      <w:r>
        <w:t xml:space="preserve">And young men brought up with him spoke to him thus: Thus you shall speak to people who spoke to you saying, Your father made our yoke heavy, and you, lighten from us. Thus you shall say: My little finger</w:t>
      </w:r>
      <w:r>
        <w:rPr>
          <w:rStyle w:val="FootnoteReference"/>
        </w:rPr>
        <w:footnoteReference w:id="8861"/>
      </w:r>
      <w:r>
        <w:t xml:space="preserve"> is thicker than loins of my father.</w:t>
      </w:r>
    </w:p>
    <w:p>
      <w:r>
        <w:rPr>
          <w:b/>
        </w:rPr>
        <w:t xml:space="preserve">11 </w:t>
      </w:r>
      <w:r>
        <w:t xml:space="preserve">And now, my father</w:t>
      </w:r>
      <w:r>
        <w:rPr>
          <w:rStyle w:val="FootnoteReference"/>
        </w:rPr>
        <w:footnoteReference w:id="8862"/>
      </w:r>
      <w:r>
        <w:t xml:space="preserve"> disciplined you with heavy yoke, and I will add upon your yoke. My father disciplined you with whips, but I will discipline you with scorpions.</w:t>
      </w:r>
    </w:p>
    <w:p>
      <w:r>
        <w:rPr>
          <w:b/>
        </w:rPr>
        <w:t xml:space="preserve">12 </w:t>
      </w:r>
      <w:r>
        <w:t xml:space="preserve">And Jeroboam and all the people came to Rehoboam on third day, as king spoke saying, Return to me on third day.</w:t>
      </w:r>
    </w:p>
    <w:p>
      <w:r>
        <w:rPr>
          <w:b/>
        </w:rPr>
        <w:t xml:space="preserve">13 </w:t>
      </w:r>
      <w:r>
        <w:t xml:space="preserve">And the king answered</w:t>
      </w:r>
      <w:r>
        <w:rPr>
          <w:rStyle w:val="FootnoteReference"/>
        </w:rPr>
        <w:footnoteReference w:id="8863"/>
      </w:r>
      <w:r>
        <w:t xml:space="preserve"> harshly, and King Rehoboam left counsel of elders.</w:t>
      </w:r>
    </w:p>
    <w:p>
      <w:r>
        <w:rPr>
          <w:b/>
        </w:rPr>
        <w:t xml:space="preserve">14 </w:t>
      </w:r>
      <w:r>
        <w:t xml:space="preserve">And he spoke to them according to the counsel of younger men, saying, My father</w:t>
      </w:r>
      <w:r>
        <w:rPr>
          <w:rStyle w:val="FootnoteReference"/>
        </w:rPr>
        <w:footnoteReference w:id="8864"/>
      </w:r>
      <w:r>
        <w:t xml:space="preserve"> made your yoke heavy, and I will add upon it. My father disciplined you with whips, but I will discipline you with scorpions.</w:t>
      </w:r>
    </w:p>
    <w:p>
      <w:r>
        <w:rPr>
          <w:b/>
        </w:rPr>
        <w:t xml:space="preserve">15 </w:t>
      </w:r>
      <w:r>
        <w:t xml:space="preserve">And the king did not listen to people, because turn came from God, so that the Lord</w:t>
      </w:r>
      <w:r>
        <w:rPr>
          <w:rStyle w:val="FootnoteReference"/>
        </w:rPr>
        <w:footnoteReference w:id="8865"/>
      </w:r>
      <w:r>
        <w:t xml:space="preserve"> might raise up his word which he spoke by the hand of Ahijah the Shilonite concerning Jeroboam son of Nebat.</w:t>
      </w:r>
    </w:p>
    <w:p>
      <w:r>
        <w:rPr>
          <w:b/>
        </w:rPr>
        <w:t xml:space="preserve">16 </w:t>
      </w:r>
      <w:r>
        <w:t xml:space="preserve">And all Israel saw that the king did not listen to them, and people answered the king saying, What share do we have in David</w:t>
      </w:r>
      <w:r>
        <w:rPr>
          <w:rStyle w:val="FootnoteReference"/>
        </w:rPr>
        <w:footnoteReference w:id="8866"/>
      </w:r>
      <w:r>
        <w:t xml:space="preserve"> and inheritance in son of Jesse? To your tents, Israel. Now see your house, David. And all Israel went to his tents.</w:t>
      </w:r>
      <w:r>
        <w:rPr>
          <w:rStyle w:val="FootnoteReference"/>
        </w:rPr>
        <w:footnoteReference w:id="8867"/>
      </w:r>
    </w:p>
    <w:p>
      <w:r>
        <w:rPr>
          <w:b/>
        </w:rPr>
        <w:t xml:space="preserve">17 </w:t>
      </w:r>
      <w:r>
        <w:t xml:space="preserve">But over the men of Israel dwelling in the cities of Judah, Rehoboam reigned over them.</w:t>
      </w:r>
    </w:p>
    <w:p>
      <w:r>
        <w:rPr>
          <w:b/>
        </w:rPr>
        <w:t xml:space="preserve">18 </w:t>
      </w:r>
      <w:r>
        <w:t xml:space="preserve">And King Rehoboam sent Hadoram</w:t>
      </w:r>
      <w:r>
        <w:rPr>
          <w:rStyle w:val="FootnoteReference"/>
        </w:rPr>
        <w:footnoteReference w:id="8868"/>
      </w:r>
      <w:r>
        <w:t xml:space="preserve"> over tribute, and sons of Israel stoned him with stones, and he died. And King Rehoboam hurried to go up into chariot to flee to Jerusalem.</w:t>
      </w:r>
    </w:p>
    <w:p>
      <w:r>
        <w:rPr>
          <w:b/>
        </w:rPr>
        <w:t xml:space="preserve">19 </w:t>
      </w:r>
      <w:r>
        <w:t xml:space="preserve">And Israel</w:t>
      </w:r>
      <w:r>
        <w:rPr>
          <w:rStyle w:val="FootnoteReference"/>
        </w:rPr>
        <w:footnoteReference w:id="8869"/>
      </w:r>
      <w:r>
        <w:t xml:space="preserve"> broke covenant with the house of David until this 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Rehoboam came to Jerusalem and assembled Judah and Benjamin, one hundred eighty thousand young men making war</w:t>
      </w:r>
      <w:r>
        <w:rPr>
          <w:rStyle w:val="FootnoteReference"/>
        </w:rPr>
        <w:footnoteReference w:id="8870"/>
      </w:r>
      <w:r>
        <w:t xml:space="preserve">, and he fought against Israel to return kingdom to Rehoboam.</w:t>
      </w:r>
    </w:p>
    <w:p>
      <w:r>
        <w:rPr>
          <w:b/>
        </w:rPr>
        <w:t xml:space="preserve">2 </w:t>
      </w:r>
      <w:r>
        <w:t xml:space="preserve">And the word of the Lord came to Shemaiah</w:t>
      </w:r>
      <w:r>
        <w:rPr>
          <w:rStyle w:val="FootnoteReference"/>
        </w:rPr>
        <w:footnoteReference w:id="8871"/>
      </w:r>
      <w:r>
        <w:t xml:space="preserve"> man of God, saying,</w:t>
      </w:r>
    </w:p>
    <w:p>
      <w:r>
        <w:rPr>
          <w:b/>
        </w:rPr>
        <w:t xml:space="preserve">3 </w:t>
      </w:r>
      <w:r>
        <w:t xml:space="preserve">Speak to Rehoboam son of Solomon and to all Judah and Benjamin, saying,</w:t>
      </w:r>
    </w:p>
    <w:p>
      <w:r>
        <w:rPr>
          <w:b/>
        </w:rPr>
        <w:t xml:space="preserve">4 </w:t>
      </w:r>
      <w:r>
        <w:t xml:space="preserve">Thus says the Lord: You shall not go up and shall not fight against</w:t>
      </w:r>
      <w:r>
        <w:rPr>
          <w:rStyle w:val="FootnoteReference"/>
        </w:rPr>
        <w:footnoteReference w:id="8872"/>
      </w:r>
      <w:r>
        <w:t xml:space="preserve"> your brothers. Return each to his house, because this thing came from me. And they listened to the word of the Lord and turned back from not going against Jeroboam.</w:t>
      </w:r>
      <w:r>
        <w:rPr>
          <w:rStyle w:val="FootnoteReference"/>
        </w:rPr>
        <w:footnoteReference w:id="8873"/>
      </w:r>
    </w:p>
    <w:p>
      <w:r>
        <w:rPr>
          <w:b/>
        </w:rPr>
        <w:t xml:space="preserve">5 </w:t>
      </w:r>
      <w:r>
        <w:t xml:space="preserve">And Rehoboam dwelt in Jerusalem and built</w:t>
      </w:r>
      <w:r>
        <w:rPr>
          <w:rStyle w:val="FootnoteReference"/>
        </w:rPr>
        <w:footnoteReference w:id="8874"/>
      </w:r>
      <w:r>
        <w:t xml:space="preserve"> fortified cities in Judah.</w:t>
      </w:r>
    </w:p>
    <w:p>
      <w:r>
        <w:rPr>
          <w:b/>
        </w:rPr>
        <w:t xml:space="preserve">6 </w:t>
      </w:r>
      <w:r>
        <w:t xml:space="preserve">And he built Bethlehem</w:t>
      </w:r>
      <w:r>
        <w:rPr>
          <w:rStyle w:val="FootnoteReference"/>
        </w:rPr>
        <w:footnoteReference w:id="8875"/>
      </w:r>
      <w:r>
        <w:t xml:space="preserve"> and Etam and Tekoa,</w:t>
      </w:r>
    </w:p>
    <w:p>
      <w:r>
        <w:rPr>
          <w:b/>
        </w:rPr>
        <w:t xml:space="preserve">7 </w:t>
      </w:r>
      <w:r>
        <w:t xml:space="preserve">and Bethzur</w:t>
      </w:r>
      <w:r>
        <w:rPr>
          <w:rStyle w:val="FootnoteReference"/>
        </w:rPr>
        <w:footnoteReference w:id="8876"/>
      </w:r>
      <w:r>
        <w:t xml:space="preserve"> and Socoh and Adullam,</w:t>
      </w:r>
    </w:p>
    <w:p>
      <w:r>
        <w:rPr>
          <w:b/>
        </w:rPr>
        <w:t xml:space="preserve">8 </w:t>
      </w:r>
      <w:r>
        <w:t xml:space="preserve">and Gath</w:t>
      </w:r>
      <w:r>
        <w:rPr>
          <w:rStyle w:val="FootnoteReference"/>
        </w:rPr>
        <w:footnoteReference w:id="8877"/>
      </w:r>
      <w:r>
        <w:t xml:space="preserve"> and Mareshah and Ziph,</w:t>
      </w:r>
    </w:p>
    <w:p>
      <w:r>
        <w:rPr>
          <w:b/>
        </w:rPr>
        <w:t xml:space="preserve">9 </w:t>
      </w:r>
      <w:r>
        <w:t xml:space="preserve">and Adoraim</w:t>
      </w:r>
      <w:r>
        <w:rPr>
          <w:rStyle w:val="FootnoteReference"/>
        </w:rPr>
        <w:footnoteReference w:id="8878"/>
      </w:r>
      <w:r>
        <w:t xml:space="preserve"> and Lachish</w:t>
      </w:r>
      <w:r>
        <w:rPr>
          <w:rStyle w:val="FootnoteReference"/>
        </w:rPr>
        <w:footnoteReference w:id="8879"/>
      </w:r>
      <w:r>
        <w:t xml:space="preserve"> and Azekah,</w:t>
      </w:r>
    </w:p>
    <w:p>
      <w:r>
        <w:rPr>
          <w:b/>
        </w:rPr>
        <w:t xml:space="preserve">10 </w:t>
      </w:r>
      <w:r>
        <w:t xml:space="preserve">and Zorah</w:t>
      </w:r>
      <w:r>
        <w:rPr>
          <w:rStyle w:val="FootnoteReference"/>
        </w:rPr>
        <w:footnoteReference w:id="8880"/>
      </w:r>
      <w:r>
        <w:t xml:space="preserve"> and Aijalon and Hebron, which are of Judah and Benjamin, fortified cities.</w:t>
      </w:r>
    </w:p>
    <w:p>
      <w:r>
        <w:rPr>
          <w:b/>
        </w:rPr>
        <w:t xml:space="preserve">11 </w:t>
      </w:r>
      <w:r>
        <w:t xml:space="preserve">And he fortified</w:t>
      </w:r>
      <w:r>
        <w:rPr>
          <w:rStyle w:val="FootnoteReference"/>
        </w:rPr>
        <w:footnoteReference w:id="8881"/>
      </w:r>
      <w:r>
        <w:t xml:space="preserve"> them with walls and gave leaders in them and stores of foods, oil, and wine,</w:t>
      </w:r>
    </w:p>
    <w:p>
      <w:r>
        <w:rPr>
          <w:b/>
        </w:rPr>
        <w:t xml:space="preserve">12 </w:t>
      </w:r>
      <w:r>
        <w:t xml:space="preserve">city by city, shields and spears, and strengthened them very greatly, and Judah and Benjamin were his.</w:t>
      </w:r>
    </w:p>
    <w:p>
      <w:r>
        <w:rPr>
          <w:b/>
        </w:rPr>
        <w:t xml:space="preserve">13 </w:t>
      </w:r>
      <w:r>
        <w:t xml:space="preserve">And priests and Levites who were in all Israel gathered to him from all borders,</w:t>
      </w:r>
    </w:p>
    <w:p>
      <w:r>
        <w:rPr>
          <w:b/>
        </w:rPr>
        <w:t xml:space="preserve">14 </w:t>
      </w:r>
      <w:r>
        <w:t xml:space="preserve">because Levites left tents of their possession</w:t>
      </w:r>
      <w:r>
        <w:rPr>
          <w:rStyle w:val="FootnoteReference"/>
        </w:rPr>
        <w:footnoteReference w:id="8882"/>
      </w:r>
      <w:r>
        <w:t xml:space="preserve"> and went to Judah, to Jerusalem, because Jeroboam and his sons cast them out from ministering to the Lord.</w:t>
      </w:r>
    </w:p>
    <w:p>
      <w:r>
        <w:rPr>
          <w:b/>
        </w:rPr>
        <w:t xml:space="preserve">15 </w:t>
      </w:r>
      <w:r>
        <w:t xml:space="preserve">And he appointed for himself priests of high places and for idols and vanities and calves which Jeroboam made.</w:t>
      </w:r>
    </w:p>
    <w:p>
      <w:r>
        <w:rPr>
          <w:b/>
        </w:rPr>
        <w:t xml:space="preserve">16 </w:t>
      </w:r>
      <w:r>
        <w:t xml:space="preserve">And he cast out from tribes of Israel those who gave their hearts to seek the Lord God of Israel, and they came to Jerusalem to sacrifice</w:t>
      </w:r>
      <w:r>
        <w:rPr>
          <w:rStyle w:val="FootnoteReference"/>
        </w:rPr>
        <w:footnoteReference w:id="8883"/>
      </w:r>
      <w:r>
        <w:t xml:space="preserve"> to the Lord God of their fathers.</w:t>
      </w:r>
    </w:p>
    <w:p>
      <w:r>
        <w:rPr>
          <w:b/>
        </w:rPr>
        <w:t xml:space="preserve">17 </w:t>
      </w:r>
      <w:r>
        <w:t xml:space="preserve">And they strengthened</w:t>
      </w:r>
      <w:r>
        <w:rPr>
          <w:rStyle w:val="FootnoteReference"/>
        </w:rPr>
        <w:footnoteReference w:id="8884"/>
      </w:r>
      <w:r>
        <w:t xml:space="preserve"> kingdom of Judah and strengthened Rehoboam son of Solomon for three years, because he walked in the ways of David and Solomon three years.</w:t>
      </w:r>
    </w:p>
    <w:p>
      <w:r>
        <w:rPr>
          <w:b/>
        </w:rPr>
        <w:t xml:space="preserve">18 </w:t>
      </w:r>
      <w:r>
        <w:t xml:space="preserve">And Rehoboam took for himself Mahalath daughter of Jerimoth son of David, Abijah daughter of Eliab</w:t>
      </w:r>
      <w:r>
        <w:rPr>
          <w:rStyle w:val="FootnoteReference"/>
        </w:rPr>
        <w:footnoteReference w:id="8885"/>
      </w:r>
      <w:r>
        <w:t xml:space="preserve"> son of Jesse.</w:t>
      </w:r>
    </w:p>
    <w:p>
      <w:r>
        <w:rPr>
          <w:b/>
        </w:rPr>
        <w:t xml:space="preserve">19 </w:t>
      </w:r>
      <w:r>
        <w:t xml:space="preserve">And she bore him sons, Jeush and Shamariah</w:t>
      </w:r>
      <w:r>
        <w:rPr>
          <w:rStyle w:val="FootnoteReference"/>
        </w:rPr>
        <w:footnoteReference w:id="8886"/>
      </w:r>
      <w:r>
        <w:t xml:space="preserve"> and Zaham</w:t>
      </w:r>
      <w:r>
        <w:rPr>
          <w:rStyle w:val="FootnoteReference"/>
        </w:rPr>
        <w:footnoteReference w:id="8887"/>
      </w:r>
      <w:r>
        <w:t xml:space="preserve">.</w:t>
      </w:r>
    </w:p>
    <w:p>
      <w:r>
        <w:rPr>
          <w:b/>
        </w:rPr>
        <w:t xml:space="preserve">20 </w:t>
      </w:r>
      <w:r>
        <w:t xml:space="preserve">And after these things he took for himself Maachah</w:t>
      </w:r>
      <w:r>
        <w:rPr>
          <w:rStyle w:val="FootnoteReference"/>
        </w:rPr>
        <w:footnoteReference w:id="8888"/>
      </w:r>
      <w:r>
        <w:t xml:space="preserve"> daughter of Absalom, and she bore him Abijah and Attai and Ziza and Shelomith.</w:t>
      </w:r>
    </w:p>
    <w:p>
      <w:r>
        <w:rPr>
          <w:b/>
        </w:rPr>
        <w:t xml:space="preserve">21 </w:t>
      </w:r>
      <w:r>
        <w:t xml:space="preserve">And Rehoboam loved Maachah daughter of Absalom above all his wives and concubines, because he had eighteen wives</w:t>
      </w:r>
      <w:r>
        <w:rPr>
          <w:rStyle w:val="FootnoteReference"/>
        </w:rPr>
        <w:footnoteReference w:id="8889"/>
      </w:r>
      <w:r>
        <w:t xml:space="preserve"> and thirty concubines, and he fathered twenty-eight sons and sixty daughters.</w:t>
      </w:r>
    </w:p>
    <w:p>
      <w:r>
        <w:rPr>
          <w:b/>
        </w:rPr>
        <w:t xml:space="preserve">22 </w:t>
      </w:r>
      <w:r>
        <w:t xml:space="preserve">And Rehoboam appointed Abijah son of Maachah as a ruler, as a leader among his brothers, because he intended to make him king.</w:t>
      </w:r>
    </w:p>
    <w:p>
      <w:r>
        <w:rPr>
          <w:b/>
        </w:rPr>
        <w:t xml:space="preserve">23 </w:t>
      </w:r>
      <w:r>
        <w:t xml:space="preserve">And he increased above all his sons in all borders of Judah and Benjamin and in fortified cities, and he gave them food in great abundance and sought multitude of wives.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it came to pass, when kingdom of Rehoboam was prepared and as he grew strong, he forsook</w:t>
      </w:r>
      <w:r>
        <w:rPr>
          <w:rStyle w:val="FootnoteReference"/>
        </w:rPr>
        <w:footnoteReference w:id="8890"/>
      </w:r>
      <w:r>
        <w:t xml:space="preserve"> commandments of the Lord, and all Israel with him.</w:t>
      </w:r>
    </w:p>
    <w:p>
      <w:r>
        <w:rPr>
          <w:b/>
        </w:rPr>
        <w:t xml:space="preserve">2 </w:t>
      </w:r>
      <w:r>
        <w:t xml:space="preserve">And it came to pass in the fifth year of the reign of Rehoboam, Shishak</w:t>
      </w:r>
      <w:r>
        <w:rPr>
          <w:rStyle w:val="FootnoteReference"/>
        </w:rPr>
        <w:footnoteReference w:id="8891"/>
      </w:r>
      <w:r>
        <w:t xml:space="preserve"> king of Egypt came up against Jerusalem, because they sinned against the Lord,</w:t>
      </w:r>
    </w:p>
    <w:p>
      <w:r>
        <w:rPr>
          <w:b/>
        </w:rPr>
        <w:t xml:space="preserve">3 </w:t>
      </w:r>
      <w:r>
        <w:t xml:space="preserve">with one thousand two hundred chariots and sixty thousand horsemen, and there was no number for multitude coming with him from Egypt: Libyans</w:t>
      </w:r>
      <w:r>
        <w:rPr>
          <w:rStyle w:val="FootnoteReference"/>
        </w:rPr>
        <w:footnoteReference w:id="8892"/>
      </w:r>
      <w:r>
        <w:t xml:space="preserve">, Trogodytes, and Ethiopians</w:t>
      </w:r>
      <w:r>
        <w:rPr>
          <w:rStyle w:val="FootnoteReference"/>
        </w:rPr>
        <w:footnoteReference w:id="8893"/>
      </w:r>
      <w:r>
        <w:t xml:space="preserve">.</w:t>
      </w:r>
    </w:p>
    <w:p>
      <w:r>
        <w:rPr>
          <w:b/>
        </w:rPr>
        <w:t xml:space="preserve">4 </w:t>
      </w:r>
      <w:r>
        <w:t xml:space="preserve">And they seized fortified cities that were in Judah and came to Jerusalem.</w:t>
      </w:r>
    </w:p>
    <w:p>
      <w:r>
        <w:rPr>
          <w:b/>
        </w:rPr>
        <w:t xml:space="preserve">5 </w:t>
      </w:r>
      <w:r>
        <w:t xml:space="preserve">And Shemaiah</w:t>
      </w:r>
      <w:r>
        <w:rPr>
          <w:rStyle w:val="FootnoteReference"/>
        </w:rPr>
        <w:footnoteReference w:id="8894"/>
      </w:r>
      <w:r>
        <w:t xml:space="preserve"> the prophet came to Rehoboam and rulers of Judah, those gathered into Jerusalem because of Shishak, and said to them, Thus says the Lord: You forsake me, and I also will forsake you</w:t>
      </w:r>
      <w:r>
        <w:rPr>
          <w:rStyle w:val="FootnoteReference"/>
        </w:rPr>
        <w:footnoteReference w:id="8895"/>
      </w:r>
      <w:r>
        <w:t xml:space="preserve"> into the hand of Shishak.</w:t>
      </w:r>
    </w:p>
    <w:p>
      <w:r>
        <w:rPr>
          <w:b/>
        </w:rPr>
        <w:t xml:space="preserve">6 </w:t>
      </w:r>
      <w:r>
        <w:t xml:space="preserve">And the rulers of Israel and the king were put to shame and said, the Lord</w:t>
      </w:r>
      <w:r>
        <w:rPr>
          <w:rStyle w:val="FootnoteReference"/>
        </w:rPr>
        <w:footnoteReference w:id="8896"/>
      </w:r>
      <w:r>
        <w:t xml:space="preserve"> is righteous.</w:t>
      </w:r>
    </w:p>
    <w:p>
      <w:r>
        <w:rPr>
          <w:b/>
        </w:rPr>
        <w:t xml:space="preserve">7 </w:t>
      </w:r>
      <w:r>
        <w:t xml:space="preserve">And when the Lord</w:t>
      </w:r>
      <w:r>
        <w:rPr>
          <w:rStyle w:val="FootnoteReference"/>
        </w:rPr>
        <w:footnoteReference w:id="8897"/>
      </w:r>
      <w:r>
        <w:t xml:space="preserve"> saw that they were put to shame, the word of the Lord came to Shemaiah saying, They were put to shame; I will not destroy them, and I will give them a little salvation</w:t>
      </w:r>
      <w:r>
        <w:rPr>
          <w:rStyle w:val="FootnoteReference"/>
        </w:rPr>
        <w:footnoteReference w:id="8898"/>
      </w:r>
      <w:r>
        <w:t xml:space="preserve">, and my wrath shall not drip upon Jerusalem.</w:t>
      </w:r>
    </w:p>
    <w:p>
      <w:r>
        <w:rPr>
          <w:b/>
        </w:rPr>
        <w:t xml:space="preserve">8 </w:t>
      </w:r>
      <w:r>
        <w:t xml:space="preserve">For they shall be servants, and they shall know my service and service of kingdom of earth.</w:t>
      </w:r>
    </w:p>
    <w:p>
      <w:r>
        <w:rPr>
          <w:b/>
        </w:rPr>
        <w:t xml:space="preserve">9 </w:t>
      </w:r>
      <w:r>
        <w:t xml:space="preserve">And Shishak</w:t>
      </w:r>
      <w:r>
        <w:rPr>
          <w:rStyle w:val="FootnoteReference"/>
        </w:rPr>
        <w:footnoteReference w:id="8899"/>
      </w:r>
      <w:r>
        <w:t xml:space="preserve"> king of Egypt came up and took treasures in the house of the Lord and treasures in the house of the king. He took all</w:t>
      </w:r>
      <w:r>
        <w:rPr>
          <w:rStyle w:val="FootnoteReference"/>
        </w:rPr>
        <w:footnoteReference w:id="8900"/>
      </w:r>
      <w:r>
        <w:t xml:space="preserve">, and he took golden shields which Solomon made.</w:t>
      </w:r>
    </w:p>
    <w:p>
      <w:r>
        <w:rPr>
          <w:b/>
        </w:rPr>
        <w:t xml:space="preserve">10 </w:t>
      </w:r>
      <w:r>
        <w:t xml:space="preserve">And Rehoboam made bronze shields instead of them and set over them Shishak chiefs of runners guarding gate of the king.</w:t>
      </w:r>
    </w:p>
    <w:p>
      <w:r>
        <w:rPr>
          <w:b/>
        </w:rPr>
        <w:t xml:space="preserve">11 </w:t>
      </w:r>
      <w:r>
        <w:t xml:space="preserve">And whenever king entered the house of the Lord, guards and runners entered and then returned to chamber of runners.</w:t>
      </w:r>
    </w:p>
    <w:p>
      <w:r>
        <w:rPr>
          <w:b/>
        </w:rPr>
        <w:t xml:space="preserve">12 </w:t>
      </w:r>
      <w:r>
        <w:t xml:space="preserve">And when he was put to shame, the wrath of the Lord turned away from him and not for destruction to end, and indeed in Judah there were good matters.</w:t>
      </w:r>
    </w:p>
    <w:p>
      <w:r>
        <w:rPr>
          <w:b/>
        </w:rPr>
        <w:t xml:space="preserve">13 </w:t>
      </w:r>
      <w:r>
        <w:t xml:space="preserve">And Rehoboam was strengthened in Jerusalem and reigned. Rehoboam was forty-one years old when he began to reign, and he reigned seventeen years in Jerusalem, in the city which the Lord chose from all the tribes of the sons of Israel to have his name called there</w:t>
      </w:r>
      <w:r>
        <w:rPr>
          <w:rStyle w:val="FootnoteReference"/>
        </w:rPr>
        <w:footnoteReference w:id="8901"/>
      </w:r>
      <w:r>
        <w:t xml:space="preserve">, and his mother's name was Naamah the Ammonite.</w:t>
      </w:r>
      <w:r>
        <w:rPr>
          <w:rStyle w:val="FootnoteReference"/>
        </w:rPr>
        <w:footnoteReference w:id="8902"/>
      </w:r>
    </w:p>
    <w:p>
      <w:r>
        <w:rPr>
          <w:b/>
        </w:rPr>
        <w:t xml:space="preserve">14 </w:t>
      </w:r>
      <w:r>
        <w:t xml:space="preserve">And he did evil, because he did not direct his heart to seek</w:t>
      </w:r>
      <w:r>
        <w:rPr>
          <w:rStyle w:val="FootnoteReference"/>
        </w:rPr>
        <w:footnoteReference w:id="8903"/>
      </w:r>
      <w:r>
        <w:t xml:space="preserve"> the Lord.</w:t>
      </w:r>
    </w:p>
    <w:p>
      <w:r>
        <w:rPr>
          <w:b/>
        </w:rPr>
        <w:t xml:space="preserve">15 </w:t>
      </w:r>
      <w:r>
        <w:t xml:space="preserve">And matters of Rehoboam, first and last</w:t>
      </w:r>
      <w:r>
        <w:rPr>
          <w:rStyle w:val="FootnoteReference"/>
        </w:rPr>
        <w:footnoteReference w:id="8904"/>
      </w:r>
      <w:r>
        <w:t xml:space="preserve">, behold, are they not written in the words of Shemaiah the prophet and Iddo the seer and his acts? And Rehoboam fought Jeroboam all his days.</w:t>
      </w:r>
      <w:r>
        <w:rPr>
          <w:rStyle w:val="FootnoteReference"/>
        </w:rPr>
        <w:footnoteReference w:id="8905"/>
      </w:r>
    </w:p>
    <w:p>
      <w:r>
        <w:rPr>
          <w:b/>
        </w:rPr>
        <w:t xml:space="preserve">16 </w:t>
      </w:r>
      <w:r>
        <w:t xml:space="preserve">And Rehoboam died and was buried with his fathers and was buried in the City of David, and Abijah</w:t>
      </w:r>
      <w:r>
        <w:rPr>
          <w:rStyle w:val="FootnoteReference"/>
        </w:rPr>
        <w:footnoteReference w:id="8906"/>
      </w:r>
      <w:r>
        <w:t xml:space="preserve">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In the eighteenth</w:t>
      </w:r>
      <w:r>
        <w:rPr>
          <w:rStyle w:val="FootnoteReference"/>
        </w:rPr>
        <w:footnoteReference w:id="8907"/>
      </w:r>
      <w:r>
        <w:t xml:space="preserve"> year of the reign of Jeroboam, Abijah reigned over Judah.</w:t>
      </w:r>
    </w:p>
    <w:p>
      <w:r>
        <w:rPr>
          <w:b/>
        </w:rPr>
        <w:t xml:space="preserve">2 </w:t>
      </w:r>
      <w:r>
        <w:t xml:space="preserve">He reigned three years in Jerusalem, and the name of his mother was Maachah daughter of Uriel from Gibeon. And there was</w:t>
      </w:r>
      <w:r>
        <w:rPr>
          <w:rStyle w:val="FootnoteReference"/>
        </w:rPr>
        <w:footnoteReference w:id="8908"/>
      </w:r>
      <w:r>
        <w:t xml:space="preserve"> war between Abijah and Jeroboam.</w:t>
      </w:r>
    </w:p>
    <w:p>
      <w:r>
        <w:rPr>
          <w:b/>
        </w:rPr>
        <w:t xml:space="preserve">3 </w:t>
      </w:r>
      <w:r>
        <w:t xml:space="preserve">And Abijah drew up battle with a force of mighty warriors</w:t>
      </w:r>
      <w:r>
        <w:rPr>
          <w:rStyle w:val="FootnoteReference"/>
        </w:rPr>
        <w:footnoteReference w:id="8909"/>
      </w:r>
      <w:r>
        <w:t xml:space="preserve">, four hundred</w:t>
      </w:r>
      <w:r>
        <w:rPr>
          <w:rStyle w:val="FootnoteReference"/>
        </w:rPr>
        <w:footnoteReference w:id="8910"/>
      </w:r>
      <w:r>
        <w:t xml:space="preserve"> thousand mighty men, and Jeroboam drew up battle against him with eight hundred thousand mighty warriors.</w:t>
      </w:r>
    </w:p>
    <w:p>
      <w:r>
        <w:rPr>
          <w:b/>
        </w:rPr>
        <w:t xml:space="preserve">4 </w:t>
      </w:r>
      <w:r>
        <w:t xml:space="preserve">And Abijah stood up from mount Zemaraim</w:t>
      </w:r>
      <w:r>
        <w:rPr>
          <w:rStyle w:val="FootnoteReference"/>
        </w:rPr>
        <w:footnoteReference w:id="8911"/>
      </w:r>
      <w:r>
        <w:t xml:space="preserve">, which is in the mountain of Ephraim, and said, Hear, Jeroboam and all Israel.</w:t>
      </w:r>
      <w:r>
        <w:rPr>
          <w:rStyle w:val="FootnoteReference"/>
        </w:rPr>
        <w:footnoteReference w:id="8912"/>
      </w:r>
    </w:p>
    <w:p>
      <w:r>
        <w:rPr>
          <w:b/>
        </w:rPr>
        <w:t xml:space="preserve">5 </w:t>
      </w:r>
      <w:r>
        <w:t xml:space="preserve">Is it not for you to know that the Lord</w:t>
      </w:r>
      <w:r>
        <w:rPr>
          <w:rStyle w:val="FootnoteReference"/>
        </w:rPr>
        <w:footnoteReference w:id="8913"/>
      </w:r>
      <w:r>
        <w:t xml:space="preserve"> God of Israel gave kingdom over Israel forever to David and to his sons, covenant of salt?</w:t>
      </w:r>
    </w:p>
    <w:p>
      <w:r>
        <w:rPr>
          <w:b/>
        </w:rPr>
        <w:t xml:space="preserve">6 </w:t>
      </w:r>
      <w:r>
        <w:t xml:space="preserve">And Jeroboam son of Nebat, servant of Solomon son of David, rose up and rebelled</w:t>
      </w:r>
      <w:r>
        <w:rPr>
          <w:rStyle w:val="FootnoteReference"/>
        </w:rPr>
        <w:footnoteReference w:id="8914"/>
      </w:r>
      <w:r>
        <w:t xml:space="preserve"> from his lord.</w:t>
      </w:r>
    </w:p>
    <w:p>
      <w:r>
        <w:rPr>
          <w:b/>
        </w:rPr>
        <w:t xml:space="preserve">7 </w:t>
      </w:r>
      <w:r>
        <w:t xml:space="preserve">And pestilent men</w:t>
      </w:r>
      <w:r>
        <w:rPr>
          <w:rStyle w:val="FootnoteReference"/>
        </w:rPr>
        <w:footnoteReference w:id="8915"/>
      </w:r>
      <w:r>
        <w:t xml:space="preserve">, lawless sons, gathered to him and stood against Rehoboam son of Solomon, and Rehoboam was younger and timid in heart and did not stand against him.</w:t>
      </w:r>
    </w:p>
    <w:p>
      <w:r>
        <w:rPr>
          <w:b/>
        </w:rPr>
        <w:t xml:space="preserve">8 </w:t>
      </w:r>
      <w:r>
        <w:t xml:space="preserve">And now you say you will stand against the kingdom of the Lord</w:t>
      </w:r>
      <w:r>
        <w:rPr>
          <w:rStyle w:val="FootnoteReference"/>
        </w:rPr>
        <w:footnoteReference w:id="8916"/>
      </w:r>
      <w:r>
        <w:t xml:space="preserve"> by the hand of sons of David, and you are many people, and with you are golden calves which Jeroboam made for you as gods.</w:t>
      </w:r>
      <w:r>
        <w:rPr>
          <w:rStyle w:val="FootnoteReference"/>
        </w:rPr>
        <w:footnoteReference w:id="8917"/>
      </w:r>
    </w:p>
    <w:p>
      <w:r>
        <w:rPr>
          <w:b/>
        </w:rPr>
        <w:t xml:space="preserve">9 </w:t>
      </w:r>
      <w:r>
        <w:t xml:space="preserve">Did you not cast out</w:t>
      </w:r>
      <w:r>
        <w:rPr>
          <w:rStyle w:val="FootnoteReference"/>
        </w:rPr>
        <w:footnoteReference w:id="8918"/>
      </w:r>
      <w:r>
        <w:t xml:space="preserve"> priests of the Lord, sons of Aaron, and Levites, and make for yourselves priests from the people of the land? Everyone coming to fill hands</w:t>
      </w:r>
      <w:r>
        <w:rPr>
          <w:rStyle w:val="FootnoteReference"/>
        </w:rPr>
        <w:footnoteReference w:id="8919"/>
      </w:r>
      <w:r>
        <w:t xml:space="preserve"> with young bull from cattle and seven rams became priest to what was not god.</w:t>
      </w:r>
    </w:p>
    <w:p>
      <w:r>
        <w:rPr>
          <w:b/>
        </w:rPr>
        <w:t xml:space="preserve">10 </w:t>
      </w:r>
      <w:r>
        <w:t xml:space="preserve">But we have not forsaken the Lord</w:t>
      </w:r>
      <w:r>
        <w:rPr>
          <w:rStyle w:val="FootnoteReference"/>
        </w:rPr>
        <w:footnoteReference w:id="8920"/>
      </w:r>
      <w:r>
        <w:t xml:space="preserve"> our God, and his priests minister to the Lord, sons of Aaron, and Levites in their courses.</w:t>
      </w:r>
    </w:p>
    <w:p>
      <w:r>
        <w:rPr>
          <w:b/>
        </w:rPr>
        <w:t xml:space="preserve">11 </w:t>
      </w:r>
      <w:r>
        <w:t xml:space="preserve">They burn</w:t>
      </w:r>
      <w:r>
        <w:rPr>
          <w:rStyle w:val="FootnoteReference"/>
        </w:rPr>
        <w:footnoteReference w:id="8921"/>
      </w:r>
      <w:r>
        <w:t xml:space="preserve"> to the Lord whole burnt offerings morning and evening and incense of compounded spices</w:t>
      </w:r>
      <w:r>
        <w:rPr>
          <w:rStyle w:val="FootnoteReference"/>
        </w:rPr>
        <w:footnoteReference w:id="8922"/>
      </w:r>
      <w:r>
        <w:t xml:space="preserve"> and presentations of bread upon pure table, and golden lampstand and its lamps for burning to light at evening, because we keep charges of the Lord God of our fathers, but you forsake him.</w:t>
      </w:r>
    </w:p>
    <w:p>
      <w:r>
        <w:rPr>
          <w:b/>
        </w:rPr>
        <w:t xml:space="preserve">12 </w:t>
      </w:r>
      <w:r>
        <w:t xml:space="preserve">And behold, with us at beginning is the Lord</w:t>
      </w:r>
      <w:r>
        <w:rPr>
          <w:rStyle w:val="FootnoteReference"/>
        </w:rPr>
        <w:footnoteReference w:id="8923"/>
      </w:r>
      <w:r>
        <w:t xml:space="preserve">, and his priests</w:t>
      </w:r>
      <w:r>
        <w:rPr>
          <w:rStyle w:val="FootnoteReference"/>
        </w:rPr>
        <w:footnoteReference w:id="8924"/>
      </w:r>
      <w:r>
        <w:t xml:space="preserve"> and trumpets of signal to sound against you. Sons of Israel, do not fight against the Lord God of our fathers, because it will not prosper for you.</w:t>
      </w:r>
    </w:p>
    <w:p>
      <w:r>
        <w:rPr>
          <w:b/>
        </w:rPr>
        <w:t xml:space="preserve">13 </w:t>
      </w:r>
      <w:r>
        <w:t xml:space="preserve">And Jeroboam turned ambush to come upon them from behind, and battle was before Judah and ambush behind them.</w:t>
      </w:r>
    </w:p>
    <w:p>
      <w:r>
        <w:rPr>
          <w:b/>
        </w:rPr>
        <w:t xml:space="preserve">14 </w:t>
      </w:r>
      <w:r>
        <w:t xml:space="preserve">And Judah turned and behold, battle was before and behind them, and they cried</w:t>
      </w:r>
      <w:r>
        <w:rPr>
          <w:rStyle w:val="FootnoteReference"/>
        </w:rPr>
        <w:footnoteReference w:id="8925"/>
      </w:r>
      <w:r>
        <w:t xml:space="preserve"> out to the Lord, and priests sounded trumpets.</w:t>
      </w:r>
    </w:p>
    <w:p>
      <w:r>
        <w:rPr>
          <w:b/>
        </w:rPr>
        <w:t xml:space="preserve">15 </w:t>
      </w:r>
      <w:r>
        <w:t xml:space="preserve">And the men of Judah shouted, and it came to pass when men of Judah shouted, the Lord struck Jeroboam and Israel before Abijah and Judah.</w:t>
      </w:r>
    </w:p>
    <w:p>
      <w:r>
        <w:rPr>
          <w:b/>
        </w:rPr>
        <w:t xml:space="preserve">16 </w:t>
      </w:r>
      <w:r>
        <w:t xml:space="preserve">And sons of Israel fled from before Judah, and the Lord gave them into their hands.</w:t>
      </w:r>
    </w:p>
    <w:p>
      <w:r>
        <w:rPr>
          <w:b/>
        </w:rPr>
        <w:t xml:space="preserve">17 </w:t>
      </w:r>
      <w:r>
        <w:t xml:space="preserve">And Abijah and his people struck among them great blow, and five hundred</w:t>
      </w:r>
      <w:r>
        <w:rPr>
          <w:rStyle w:val="FootnoteReference"/>
        </w:rPr>
        <w:footnoteReference w:id="8926"/>
      </w:r>
      <w:r>
        <w:t xml:space="preserve"> thousand mighty men fell wounded from Israel.</w:t>
      </w:r>
    </w:p>
    <w:p>
      <w:r>
        <w:rPr>
          <w:b/>
        </w:rPr>
        <w:t xml:space="preserve">18 </w:t>
      </w:r>
      <w:r>
        <w:t xml:space="preserve">And sons of Israel were humbled in that day, and sons of Judah prevailed, because they hoped in the Lord God of their fathers.</w:t>
      </w:r>
    </w:p>
    <w:p>
      <w:r>
        <w:rPr>
          <w:b/>
        </w:rPr>
        <w:t xml:space="preserve">19 </w:t>
      </w:r>
      <w:r>
        <w:t xml:space="preserve">And Abijah pursued after Jeroboam and seized from him cities: Bethel and its villages, and Isana and its villages, and Ephraim and its villages.</w:t>
      </w:r>
    </w:p>
    <w:p>
      <w:r>
        <w:rPr>
          <w:b/>
        </w:rPr>
        <w:t xml:space="preserve">20 </w:t>
      </w:r>
      <w:r>
        <w:t xml:space="preserve">And Jeroboam had no more strength all days of Abijah, and the Lord struck him and he died</w:t>
      </w:r>
      <w:r>
        <w:rPr>
          <w:rStyle w:val="FootnoteReference"/>
        </w:rPr>
        <w:footnoteReference w:id="8927"/>
      </w:r>
      <w:r>
        <w:t xml:space="preserve">.</w:t>
      </w:r>
    </w:p>
    <w:p>
      <w:r>
        <w:rPr>
          <w:b/>
        </w:rPr>
        <w:t xml:space="preserve">21 </w:t>
      </w:r>
      <w:r>
        <w:t xml:space="preserve">And Abijah grew strong and took for himself fourteen wives</w:t>
      </w:r>
      <w:r>
        <w:rPr>
          <w:rStyle w:val="FootnoteReference"/>
        </w:rPr>
        <w:footnoteReference w:id="8928"/>
      </w:r>
      <w:r>
        <w:t xml:space="preserve"> and fathered twenty-two sons and sixteen daughters.</w:t>
      </w:r>
    </w:p>
    <w:p>
      <w:r>
        <w:rPr>
          <w:b/>
        </w:rPr>
        <w:t xml:space="preserve">22 </w:t>
      </w:r>
      <w:r>
        <w:t xml:space="preserve">And the rest of matters of Abijah and his deeds and his words are written in the book of prophet Iddo</w:t>
      </w:r>
      <w:r>
        <w:rPr>
          <w:rStyle w:val="FootnoteReference"/>
        </w:rPr>
        <w:footnoteReference w:id="8929"/>
      </w:r>
      <w:r>
        <w:t xml:space="preserve">.</w:t>
      </w:r>
    </w:p>
    <w:p>
      <w:r>
        <w:rPr>
          <w:b/>
        </w:rPr>
        <w:t xml:space="preserve">23 </w:t>
      </w:r>
      <w:r>
        <w:t xml:space="preserve">And Abijah died with his fathers, and they buried him in the City of David, and Asa his son reigned in his place. In the days of Asa, land of Judah was quiet ten years.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he did good and upright</w:t>
      </w:r>
      <w:r>
        <w:rPr>
          <w:rStyle w:val="FootnoteReference"/>
        </w:rPr>
        <w:footnoteReference w:id="8930"/>
      </w:r>
      <w:r>
        <w:t xml:space="preserve"> in the sight of the Lord his God.</w:t>
      </w:r>
    </w:p>
    <w:p>
      <w:r>
        <w:rPr>
          <w:b/>
        </w:rPr>
        <w:t xml:space="preserve">2 </w:t>
      </w:r>
      <w:r>
        <w:t xml:space="preserve">And he removed altars of foreigners and high places and broke pillars and cut down groves.</w:t>
      </w:r>
      <w:r>
        <w:rPr>
          <w:rStyle w:val="FootnoteReference"/>
        </w:rPr>
        <w:footnoteReference w:id="8931"/>
      </w:r>
      <w:r>
        <w:t xml:space="preserve"/>
      </w:r>
    </w:p>
    <w:p>
      <w:r>
        <w:rPr>
          <w:b/>
        </w:rPr>
        <w:t xml:space="preserve">3 </w:t>
      </w:r>
      <w:r>
        <w:t xml:space="preserve">And he told Judah to seek the Lord God of their fathers and to do law and commandments.</w:t>
      </w:r>
    </w:p>
    <w:p>
      <w:r>
        <w:rPr>
          <w:b/>
        </w:rPr>
        <w:t xml:space="preserve">4 </w:t>
      </w:r>
      <w:r>
        <w:t xml:space="preserve">And he removed from all the cities of Judah altars and idols, and land was at peace.</w:t>
      </w:r>
    </w:p>
    <w:p>
      <w:r>
        <w:rPr>
          <w:b/>
        </w:rPr>
        <w:t xml:space="preserve">5 </w:t>
      </w:r>
      <w:r>
        <w:t xml:space="preserve">He built fortified cities in the land of Judah, because land was at peace, and there was no war with him in these years, because the Lord gave him rest.</w:t>
      </w:r>
    </w:p>
    <w:p>
      <w:r>
        <w:rPr>
          <w:b/>
        </w:rPr>
        <w:t xml:space="preserve">6 </w:t>
      </w:r>
      <w:r>
        <w:t xml:space="preserve">And he said to Judah, Let us build these cities and make walls and towers and gates and bars, while we master land, because as we sought the Lord</w:t>
      </w:r>
      <w:r>
        <w:rPr>
          <w:rStyle w:val="FootnoteReference"/>
        </w:rPr>
        <w:footnoteReference w:id="8932"/>
      </w:r>
      <w:r>
        <w:t xml:space="preserve"> our God, he sought us and gave us rest all around, and he prospered us.</w:t>
      </w:r>
    </w:p>
    <w:p>
      <w:r>
        <w:rPr>
          <w:b/>
        </w:rPr>
        <w:t xml:space="preserve">7 </w:t>
      </w:r>
      <w:r>
        <w:t xml:space="preserve">And Asa had force of shield-bearers and spear-carriers in the land of Judah, three hundred thousand, and in the land of Benjamin, peltasts and archers, two hundred fifty thousand. All these were mighty men of force.</w:t>
      </w:r>
      <w:r>
        <w:rPr>
          <w:rStyle w:val="FootnoteReference"/>
        </w:rPr>
        <w:footnoteReference w:id="8933"/>
      </w:r>
    </w:p>
    <w:p>
      <w:r>
        <w:rPr>
          <w:b/>
        </w:rPr>
        <w:t xml:space="preserve">8 </w:t>
      </w:r>
      <w:r>
        <w:t xml:space="preserve">And Zerah the Aithiopian came out against them with force of one million</w:t>
      </w:r>
      <w:r>
        <w:rPr>
          <w:rStyle w:val="FootnoteReference"/>
        </w:rPr>
        <w:footnoteReference w:id="8934"/>
      </w:r>
      <w:r>
        <w:t xml:space="preserve"> and three hundred chariots and came as far as Mareshah.</w:t>
      </w:r>
    </w:p>
    <w:p>
      <w:r>
        <w:rPr>
          <w:b/>
        </w:rPr>
        <w:t xml:space="preserve">9 </w:t>
      </w:r>
      <w:r>
        <w:t xml:space="preserve">And Asa went out to meet him and drew up battle in ravine north of Mareshah.</w:t>
      </w:r>
      <w:r>
        <w:rPr>
          <w:rStyle w:val="FootnoteReference"/>
        </w:rPr>
        <w:footnoteReference w:id="8935"/>
      </w:r>
      <w:r>
        <w:t xml:space="preserve"/>
      </w:r>
      <w:r>
        <w:rPr>
          <w:rStyle w:val="FootnoteReference"/>
        </w:rPr>
        <w:footnoteReference w:id="8936"/>
      </w:r>
    </w:p>
    <w:p>
      <w:r>
        <w:rPr>
          <w:b/>
        </w:rPr>
        <w:t xml:space="preserve">10 </w:t>
      </w:r>
      <w:r>
        <w:t xml:space="preserve">And Asa cried to the Lord his God and said, Lord, with you it is not impossible to save</w:t>
      </w:r>
      <w:r>
        <w:rPr>
          <w:rStyle w:val="FootnoteReference"/>
        </w:rPr>
        <w:footnoteReference w:id="8937"/>
      </w:r>
      <w:r>
        <w:t xml:space="preserve"> with many and with few. Strengthen us, Lord our God, because in you we trust, and in your name we came against this great multitude. Lord our God, let not man prevail against you.</w:t>
      </w:r>
    </w:p>
    <w:p>
      <w:r>
        <w:rPr>
          <w:b/>
        </w:rPr>
        <w:t xml:space="preserve">11 </w:t>
      </w:r>
      <w:r>
        <w:t xml:space="preserve">And the Lord struck Ethiopians before Judah, and Ethiopians fled.</w:t>
      </w:r>
      <w:r>
        <w:rPr>
          <w:rStyle w:val="FootnoteReference"/>
        </w:rPr>
        <w:footnoteReference w:id="8938"/>
      </w:r>
      <w:r>
        <w:t xml:space="preserve"/>
      </w:r>
    </w:p>
    <w:p>
      <w:r>
        <w:rPr>
          <w:b/>
        </w:rPr>
        <w:t xml:space="preserve">12 </w:t>
      </w:r>
      <w:r>
        <w:t xml:space="preserve">And Asa and his people pursued them as far as Gerar, and Ethiopians fell so that there was no preservation in them, because they were crushed before the Lord and before his force, and they plundered many spoils.</w:t>
      </w:r>
    </w:p>
    <w:p>
      <w:r>
        <w:rPr>
          <w:b/>
        </w:rPr>
        <w:t xml:space="preserve">13 </w:t>
      </w:r>
      <w:r>
        <w:t xml:space="preserve">And they cut off their villages around Gerar</w:t>
      </w:r>
      <w:r>
        <w:rPr>
          <w:rStyle w:val="FootnoteReference"/>
        </w:rPr>
        <w:footnoteReference w:id="8939"/>
      </w:r>
      <w:r>
        <w:t xml:space="preserve">, because terror of the Lord</w:t>
      </w:r>
      <w:r>
        <w:rPr>
          <w:rStyle w:val="FootnoteReference"/>
        </w:rPr>
        <w:footnoteReference w:id="8940"/>
      </w:r>
      <w:r>
        <w:t xml:space="preserve"> came upon them, and they plundered all their cities, because there became much spoil for them.</w:t>
      </w:r>
    </w:p>
    <w:p>
      <w:r>
        <w:rPr>
          <w:b/>
        </w:rPr>
        <w:t xml:space="preserve">14 </w:t>
      </w:r>
      <w:r>
        <w:t xml:space="preserve">And indeed they cut off tents of livestock of Amazons and took many sheep and camels and returned to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Azariah son of Oded, spirit of the Lord came upon him.</w:t>
      </w:r>
    </w:p>
    <w:p>
      <w:r>
        <w:rPr>
          <w:b/>
        </w:rPr>
        <w:t xml:space="preserve">2 </w:t>
      </w:r>
      <w:r>
        <w:t xml:space="preserve">And he went out to meet Asa and all Judah and Benjamin and said, Hear me, Asa and all Judah and Benjamin: The Lord</w:t>
      </w:r>
      <w:r>
        <w:rPr>
          <w:rStyle w:val="FootnoteReference"/>
        </w:rPr>
        <w:footnoteReference w:id="8941"/>
      </w:r>
      <w:r>
        <w:t xml:space="preserve"> is with you while you are with him, and if you seek him, he will be found by you, and if you forsake him, he will forsake you.</w:t>
      </w:r>
    </w:p>
    <w:p>
      <w:r>
        <w:rPr>
          <w:b/>
        </w:rPr>
        <w:t xml:space="preserve">3 </w:t>
      </w:r>
      <w:r>
        <w:t xml:space="preserve">And many days Israel was without true God</w:t>
      </w:r>
      <w:r>
        <w:rPr>
          <w:rStyle w:val="FootnoteReference"/>
        </w:rPr>
        <w:footnoteReference w:id="8942"/>
      </w:r>
      <w:r>
        <w:t xml:space="preserve"> and without priest showing way and without law.</w:t>
      </w:r>
    </w:p>
    <w:p>
      <w:r>
        <w:rPr>
          <w:b/>
        </w:rPr>
        <w:t xml:space="preserve">4 </w:t>
      </w:r>
      <w:r>
        <w:t xml:space="preserve">And he will return upon the Lord God of Israel, and he will be found by them.</w:t>
      </w:r>
    </w:p>
    <w:p>
      <w:r>
        <w:rPr>
          <w:b/>
        </w:rPr>
        <w:t xml:space="preserve">5 </w:t>
      </w:r>
      <w:r>
        <w:t xml:space="preserve">And in that time there is no peace</w:t>
      </w:r>
      <w:r>
        <w:rPr>
          <w:rStyle w:val="FootnoteReference"/>
        </w:rPr>
        <w:footnoteReference w:id="8943"/>
      </w:r>
      <w:r>
        <w:t xml:space="preserve"> to one going out and to one coming in, because terror of the Lord is upon all dwelling in lands.</w:t>
      </w:r>
    </w:p>
    <w:p>
      <w:r>
        <w:rPr>
          <w:b/>
        </w:rPr>
        <w:t xml:space="preserve">6 </w:t>
      </w:r>
      <w:r>
        <w:t xml:space="preserve">And nation</w:t>
      </w:r>
      <w:r>
        <w:rPr>
          <w:rStyle w:val="FootnoteReference"/>
        </w:rPr>
        <w:footnoteReference w:id="8944"/>
      </w:r>
      <w:r>
        <w:t xml:space="preserve"> will fight against nation and city against city, because God troubled them with every affliction.</w:t>
      </w:r>
    </w:p>
    <w:p>
      <w:r>
        <w:rPr>
          <w:b/>
        </w:rPr>
        <w:t xml:space="preserve">7 </w:t>
      </w:r>
      <w:r>
        <w:t xml:space="preserve">And you, be strong, and do not let your hands be weakened, because there is reward for your work</w:t>
      </w:r>
      <w:r>
        <w:rPr>
          <w:rStyle w:val="FootnoteReference"/>
        </w:rPr>
        <w:footnoteReference w:id="8945"/>
      </w:r>
      <w:r>
        <w:t xml:space="preserve">.</w:t>
      </w:r>
    </w:p>
    <w:p>
      <w:r>
        <w:rPr>
          <w:b/>
        </w:rPr>
        <w:t xml:space="preserve">8 </w:t>
      </w:r>
      <w:r>
        <w:t xml:space="preserve">And when he heard these words and prophecy of Hadad the prophet, he was strengthened and cast out abominations from all the land of Judah and Benjamin and from cities which he seized in the mountain of Ephraim and renewed altar of the Lord which was before the temple of the Lord.</w:t>
      </w:r>
      <w:r>
        <w:rPr>
          <w:rStyle w:val="FootnoteReference"/>
        </w:rPr>
        <w:footnoteReference w:id="8946"/>
      </w:r>
    </w:p>
    <w:p>
      <w:r>
        <w:rPr>
          <w:b/>
        </w:rPr>
        <w:t xml:space="preserve">9 </w:t>
      </w:r>
      <w:r>
        <w:t xml:space="preserve">And he assembled Judah and Benjamin and sojourners dwelling with him from Ephraim and from Manasseh and from Simeon, because many from Israel joined themselves to him</w:t>
      </w:r>
      <w:r>
        <w:rPr>
          <w:rStyle w:val="FootnoteReference"/>
        </w:rPr>
        <w:footnoteReference w:id="8947"/>
      </w:r>
      <w:r>
        <w:t xml:space="preserve"> when they saw</w:t>
      </w:r>
      <w:r>
        <w:rPr>
          <w:rStyle w:val="FootnoteReference"/>
        </w:rPr>
        <w:footnoteReference w:id="8948"/>
      </w:r>
      <w:r>
        <w:t xml:space="preserve"> that the Lord his God was with him.</w:t>
      </w:r>
    </w:p>
    <w:p>
      <w:r>
        <w:rPr>
          <w:b/>
        </w:rPr>
        <w:t xml:space="preserve">10 </w:t>
      </w:r>
      <w:r>
        <w:t xml:space="preserve">And they were gathered into Jerusalem in the third month</w:t>
      </w:r>
      <w:r>
        <w:rPr>
          <w:rStyle w:val="FootnoteReference"/>
        </w:rPr>
        <w:footnoteReference w:id="8949"/>
      </w:r>
      <w:r>
        <w:t xml:space="preserve">, in the fifteenth year of the kingdom of Asa.</w:t>
      </w:r>
    </w:p>
    <w:p>
      <w:r>
        <w:rPr>
          <w:b/>
        </w:rPr>
        <w:t xml:space="preserve">11 </w:t>
      </w:r>
      <w:r>
        <w:t xml:space="preserve">And they sacrificed to the Lord in that day from spoils they brought, seven hundred</w:t>
      </w:r>
      <w:r>
        <w:rPr>
          <w:rStyle w:val="FootnoteReference"/>
        </w:rPr>
        <w:footnoteReference w:id="8950"/>
      </w:r>
      <w:r>
        <w:t xml:space="preserve"> calves and seven thousand sheep.</w:t>
      </w:r>
    </w:p>
    <w:p>
      <w:r>
        <w:rPr>
          <w:b/>
        </w:rPr>
        <w:t xml:space="preserve">12 </w:t>
      </w:r>
      <w:r>
        <w:t xml:space="preserve">And he entered into covenant to seek</w:t>
      </w:r>
      <w:r>
        <w:rPr>
          <w:rStyle w:val="FootnoteReference"/>
        </w:rPr>
        <w:footnoteReference w:id="8951"/>
      </w:r>
      <w:r>
        <w:t xml:space="preserve"> the Lord God of their fathers with all heart and with all soul.</w:t>
      </w:r>
    </w:p>
    <w:p>
      <w:r>
        <w:rPr>
          <w:b/>
        </w:rPr>
        <w:t xml:space="preserve">13 </w:t>
      </w:r>
      <w:r>
        <w:t xml:space="preserve">And everyone who would not seek the Lord God of Israel shall die, from younger to elder, from man to woman.</w:t>
      </w:r>
    </w:p>
    <w:p>
      <w:r>
        <w:rPr>
          <w:b/>
        </w:rPr>
        <w:t xml:space="preserve">14 </w:t>
      </w:r>
      <w:r>
        <w:t xml:space="preserve">And they swore in the Lord with loud voice and with trumpets</w:t>
      </w:r>
      <w:r>
        <w:rPr>
          <w:rStyle w:val="FootnoteReference"/>
        </w:rPr>
        <w:footnoteReference w:id="8952"/>
      </w:r>
      <w:r>
        <w:t xml:space="preserve"> and with horns.</w:t>
      </w:r>
    </w:p>
    <w:p>
      <w:r>
        <w:rPr>
          <w:b/>
        </w:rPr>
        <w:t xml:space="preserve">15 </w:t>
      </w:r>
      <w:r>
        <w:t xml:space="preserve">And all Judah rejoiced</w:t>
      </w:r>
      <w:r>
        <w:rPr>
          <w:rStyle w:val="FootnoteReference"/>
        </w:rPr>
        <w:footnoteReference w:id="8953"/>
      </w:r>
      <w:r>
        <w:t xml:space="preserve"> over oath, because with all their soul they swore and with all their desire sought him, and he was found by them, and the Lord gave them rest all around.</w:t>
      </w:r>
    </w:p>
    <w:p>
      <w:r>
        <w:rPr>
          <w:b/>
        </w:rPr>
        <w:t xml:space="preserve">16 </w:t>
      </w:r>
      <w:r>
        <w:t xml:space="preserve">And he removed Maachah</w:t>
      </w:r>
      <w:r>
        <w:rPr>
          <w:rStyle w:val="FootnoteReference"/>
        </w:rPr>
        <w:footnoteReference w:id="8954"/>
      </w:r>
      <w:r>
        <w:t xml:space="preserve"> his mother from not being one serving Ashtaroth, and he cut down idol and burned it in torrent of Kidron.</w:t>
      </w:r>
      <w:r>
        <w:rPr>
          <w:rStyle w:val="FootnoteReference"/>
        </w:rPr>
        <w:footnoteReference w:id="8955"/>
      </w:r>
    </w:p>
    <w:p>
      <w:r>
        <w:rPr>
          <w:b/>
        </w:rPr>
        <w:t xml:space="preserve">17 </w:t>
      </w:r>
      <w:r>
        <w:t xml:space="preserve">But high places were not removed; there was still in Israel. Yet heart of Asa became full all his days.</w:t>
      </w:r>
    </w:p>
    <w:p>
      <w:r>
        <w:rPr>
          <w:b/>
        </w:rPr>
        <w:t xml:space="preserve">18 </w:t>
      </w:r>
      <w:r>
        <w:t xml:space="preserve">And he brought</w:t>
      </w:r>
      <w:r>
        <w:rPr>
          <w:rStyle w:val="FootnoteReference"/>
        </w:rPr>
        <w:footnoteReference w:id="8956"/>
      </w:r>
      <w:r>
        <w:t xml:space="preserve"> in the holy things of David his father and holy things of the house of the Lord God, silver and gold and vessels.</w:t>
      </w:r>
    </w:p>
    <w:p>
      <w:r>
        <w:rPr>
          <w:b/>
        </w:rPr>
        <w:t xml:space="preserve">19 </w:t>
      </w:r>
      <w:r>
        <w:t xml:space="preserve">And there was no war with him until the thirty-fifth year of the kingdom of Asa.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in the thirty-eighth year of the kingdom of Asa, Baasha king of Israel came up against Judah and built Ramah so as not to give exit and entry to Asa king of Judah.</w:t>
      </w:r>
    </w:p>
    <w:p>
      <w:r>
        <w:rPr>
          <w:b/>
        </w:rPr>
        <w:t xml:space="preserve">2 </w:t>
      </w:r>
      <w:r>
        <w:t xml:space="preserve">And Asa took gold and silver from treasures of the house of the Lord and the house of the king and sent to Ben-hadad king of Syria dwelling in Damascus, saying,</w:t>
      </w:r>
    </w:p>
    <w:p>
      <w:r>
        <w:rPr>
          <w:b/>
        </w:rPr>
        <w:t xml:space="preserve">3 </w:t>
      </w:r>
      <w:r>
        <w:t xml:space="preserve">Make covenant between me and you and between my father and your father. Behold, I sent you gold and silver. Come, scatter away from me Baasha king of Israel, and let him depart from me.</w:t>
      </w:r>
    </w:p>
    <w:p>
      <w:r>
        <w:rPr>
          <w:b/>
        </w:rPr>
        <w:t xml:space="preserve">4 </w:t>
      </w:r>
      <w:r>
        <w:t xml:space="preserve">And Ben-hadad listened to King Asa and sent chiefs of his force against the cities of Israel, and he struck Ijon</w:t>
      </w:r>
      <w:r>
        <w:rPr>
          <w:rStyle w:val="FootnoteReference"/>
        </w:rPr>
        <w:footnoteReference w:id="8957"/>
      </w:r>
      <w:r>
        <w:t xml:space="preserve"> and Dan and Abelmaim</w:t>
      </w:r>
      <w:r>
        <w:rPr>
          <w:rStyle w:val="FootnoteReference"/>
        </w:rPr>
        <w:footnoteReference w:id="8958"/>
      </w:r>
      <w:r>
        <w:t xml:space="preserve"> and all surrounding places of Naphtali.</w:t>
      </w:r>
    </w:p>
    <w:p>
      <w:r>
        <w:rPr>
          <w:b/>
        </w:rPr>
        <w:t xml:space="preserve">5 </w:t>
      </w:r>
      <w:r>
        <w:t xml:space="preserve">And it came to pass when Baasha heard, he left off building Ramah and stopped his work.</w:t>
      </w:r>
    </w:p>
    <w:p>
      <w:r>
        <w:rPr>
          <w:b/>
        </w:rPr>
        <w:t xml:space="preserve">6 </w:t>
      </w:r>
      <w:r>
        <w:t xml:space="preserve">And Asa the king took all Judah and took stones of Ramah and its timbers, with which Baasha had built, and built with them Geba</w:t>
      </w:r>
      <w:r>
        <w:rPr>
          <w:rStyle w:val="FootnoteReference"/>
        </w:rPr>
        <w:footnoteReference w:id="8959"/>
      </w:r>
      <w:r>
        <w:t xml:space="preserve"> and Mizpeh.</w:t>
      </w:r>
      <w:r>
        <w:rPr>
          <w:rStyle w:val="FootnoteReference"/>
        </w:rPr>
        <w:footnoteReference w:id="8960"/>
      </w:r>
    </w:p>
    <w:p>
      <w:r>
        <w:rPr>
          <w:b/>
        </w:rPr>
        <w:t xml:space="preserve">7 </w:t>
      </w:r>
      <w:r>
        <w:t xml:space="preserve">And at that time Anani the prophet came to Asa king of Judah and said to him, Because you trusted in king of Syria and did not trust in the Lord your God, because of this force of Syria escaped</w:t>
      </w:r>
      <w:r>
        <w:rPr>
          <w:rStyle w:val="FootnoteReference"/>
        </w:rPr>
        <w:footnoteReference w:id="8961"/>
      </w:r>
      <w:r>
        <w:t xml:space="preserve"> from your hand.</w:t>
      </w:r>
    </w:p>
    <w:p>
      <w:r>
        <w:rPr>
          <w:b/>
        </w:rPr>
        <w:t xml:space="preserve">8 </w:t>
      </w:r>
      <w:r>
        <w:t xml:space="preserve">Were not Ethiopians and Libyans for very great force, for courage, horsemen in great multitude? Yet when you trusted in the Lord, he gave them into your hands.</w:t>
      </w:r>
    </w:p>
    <w:p>
      <w:r>
        <w:rPr>
          <w:b/>
        </w:rPr>
        <w:t xml:space="preserve">9 </w:t>
      </w:r>
      <w:r>
        <w:t xml:space="preserve">Because eyes of the Lord look through all the earth to strengthen every heart full toward him</w:t>
      </w:r>
      <w:r>
        <w:rPr>
          <w:rStyle w:val="FootnoteReference"/>
        </w:rPr>
        <w:footnoteReference w:id="8962"/>
      </w:r>
      <w:r>
        <w:t xml:space="preserve">. You acted foolishly in this; from now on wars shall be with you.</w:t>
      </w:r>
    </w:p>
    <w:p>
      <w:r>
        <w:rPr>
          <w:b/>
        </w:rPr>
        <w:t xml:space="preserve">10 </w:t>
      </w:r>
      <w:r>
        <w:t xml:space="preserve">And Asa was angry with prophet and put him</w:t>
      </w:r>
      <w:r>
        <w:rPr>
          <w:rStyle w:val="FootnoteReference"/>
        </w:rPr>
        <w:footnoteReference w:id="8963"/>
      </w:r>
      <w:r>
        <w:t xml:space="preserve"> in prison, because he was enraged over this, and Asa brought harm among people at that time.</w:t>
      </w:r>
    </w:p>
    <w:p>
      <w:r>
        <w:rPr>
          <w:b/>
        </w:rPr>
        <w:t xml:space="preserve">11 </w:t>
      </w:r>
      <w:r>
        <w:t xml:space="preserve">And behold, matters of Asa, first and last, are written in the book of kings of Judah</w:t>
      </w:r>
      <w:r>
        <w:rPr>
          <w:rStyle w:val="FootnoteReference"/>
        </w:rPr>
        <w:footnoteReference w:id="8964"/>
      </w:r>
      <w:r>
        <w:t xml:space="preserve"> and Israel.</w:t>
      </w:r>
    </w:p>
    <w:p>
      <w:r>
        <w:rPr>
          <w:b/>
        </w:rPr>
        <w:t xml:space="preserve">12 </w:t>
      </w:r>
      <w:r>
        <w:t xml:space="preserve">And Asa became diseased</w:t>
      </w:r>
      <w:r>
        <w:rPr>
          <w:rStyle w:val="FootnoteReference"/>
        </w:rPr>
        <w:footnoteReference w:id="8965"/>
      </w:r>
      <w:r>
        <w:t xml:space="preserve"> in his feet in the thirty-ninth year of his kingdom, until he was very diseased, and in his disease he did not seek the Lord but physicians.</w:t>
      </w:r>
    </w:p>
    <w:p>
      <w:r>
        <w:rPr>
          <w:b/>
        </w:rPr>
        <w:t xml:space="preserve">13 </w:t>
      </w:r>
      <w:r>
        <w:t xml:space="preserve">And Asa slept</w:t>
      </w:r>
      <w:r>
        <w:rPr>
          <w:rStyle w:val="FootnoteReference"/>
        </w:rPr>
        <w:footnoteReference w:id="8966"/>
      </w:r>
      <w:r>
        <w:t xml:space="preserve"> with his fathers and died in the thirty-ninth year of his kingdom.</w:t>
      </w:r>
    </w:p>
    <w:p>
      <w:r>
        <w:rPr>
          <w:b/>
        </w:rPr>
        <w:t xml:space="preserve">14 </w:t>
      </w:r>
      <w:r>
        <w:t xml:space="preserve">And they buried him in tomb which he dug for himself in the City of David and laid him on bier, and they filled it with spices and kinds of perfumed ointments</w:t>
      </w:r>
      <w:r>
        <w:rPr>
          <w:rStyle w:val="FootnoteReference"/>
        </w:rPr>
        <w:footnoteReference w:id="8967"/>
      </w:r>
      <w:r>
        <w:t xml:space="preserve">, and they made for him very great funeral.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Jehoshaphat</w:t>
      </w:r>
      <w:r>
        <w:rPr>
          <w:rStyle w:val="FootnoteReference"/>
        </w:rPr>
        <w:footnoteReference w:id="8968"/>
      </w:r>
      <w:r>
        <w:t xml:space="preserve"> his son reigned in his place, and Jehoshaphat prevailed over Israel.</w:t>
      </w:r>
    </w:p>
    <w:p>
      <w:r>
        <w:rPr>
          <w:b/>
        </w:rPr>
        <w:t xml:space="preserve">2 </w:t>
      </w:r>
      <w:r>
        <w:t xml:space="preserve">And he put force in all fortified cities of Judah and set rulers in all cities of Judah and in the cities</w:t>
      </w:r>
      <w:r>
        <w:rPr>
          <w:rStyle w:val="FootnoteReference"/>
        </w:rPr>
        <w:footnoteReference w:id="8969"/>
      </w:r>
      <w:r>
        <w:t xml:space="preserve"> of Ephraim which Asa his father seized.</w:t>
      </w:r>
    </w:p>
    <w:p>
      <w:r>
        <w:rPr>
          <w:b/>
        </w:rPr>
        <w:t xml:space="preserve">3 </w:t>
      </w:r>
      <w:r>
        <w:t xml:space="preserve">And the Lord</w:t>
      </w:r>
      <w:r>
        <w:rPr>
          <w:rStyle w:val="FootnoteReference"/>
        </w:rPr>
        <w:footnoteReference w:id="8970"/>
      </w:r>
      <w:r>
        <w:t xml:space="preserve"> was with Jehoshaphat, because he walked in first ways of his father and did not seek idols,</w:t>
      </w:r>
    </w:p>
    <w:p>
      <w:r>
        <w:rPr>
          <w:b/>
        </w:rPr>
        <w:t xml:space="preserve">4 </w:t>
      </w:r>
      <w:r>
        <w:t xml:space="preserve">but sought the Lord God of his father and walked</w:t>
      </w:r>
      <w:r>
        <w:rPr>
          <w:rStyle w:val="FootnoteReference"/>
        </w:rPr>
        <w:footnoteReference w:id="8971"/>
      </w:r>
      <w:r>
        <w:t xml:space="preserve"> in the commandments of his father and not according to the works of Israel.</w:t>
      </w:r>
    </w:p>
    <w:p>
      <w:r>
        <w:rPr>
          <w:b/>
        </w:rPr>
        <w:t xml:space="preserve">5 </w:t>
      </w:r>
      <w:r>
        <w:t xml:space="preserve">And the Lord</w:t>
      </w:r>
      <w:r>
        <w:rPr>
          <w:rStyle w:val="FootnoteReference"/>
        </w:rPr>
        <w:footnoteReference w:id="8972"/>
      </w:r>
      <w:r>
        <w:t xml:space="preserve"> directed kingdom in his hand, and all Judah gave gifts to Jehoshaphat, and he had much wealth and glory.</w:t>
      </w:r>
    </w:p>
    <w:p>
      <w:r>
        <w:rPr>
          <w:b/>
        </w:rPr>
        <w:t xml:space="preserve">6 </w:t>
      </w:r>
      <w:r>
        <w:t xml:space="preserve">And his heart</w:t>
      </w:r>
      <w:r>
        <w:rPr>
          <w:rStyle w:val="FootnoteReference"/>
        </w:rPr>
        <w:footnoteReference w:id="8973"/>
      </w:r>
      <w:r>
        <w:t xml:space="preserve"> was lifted high in the way of the Lord, and he further removed high places and groves from the land of Judah.</w:t>
      </w:r>
    </w:p>
    <w:p>
      <w:r>
        <w:rPr>
          <w:b/>
        </w:rPr>
        <w:t xml:space="preserve">7 </w:t>
      </w:r>
      <w:r>
        <w:t xml:space="preserve">And in the third year of his kingdom he sent his rulers and sons of mighty men, Abdian and Zechariah and Nathanael and Michaiah, to teach</w:t>
      </w:r>
      <w:r>
        <w:rPr>
          <w:rStyle w:val="FootnoteReference"/>
        </w:rPr>
        <w:footnoteReference w:id="8974"/>
      </w:r>
      <w:r>
        <w:t xml:space="preserve"> in the cities of Judah,</w:t>
      </w:r>
    </w:p>
    <w:p>
      <w:r>
        <w:rPr>
          <w:b/>
        </w:rPr>
        <w:t xml:space="preserve">8 </w:t>
      </w:r>
      <w:r>
        <w:t xml:space="preserve">and with them Levites Samouias and Nethaniah and Zebadiah and Jaasiel and Shemiramoth and Jonathan and Adonijah and Tobijah</w:t>
      </w:r>
      <w:r>
        <w:rPr>
          <w:rStyle w:val="FootnoteReference"/>
        </w:rPr>
        <w:footnoteReference w:id="8975"/>
      </w:r>
      <w:r>
        <w:t xml:space="preserve">, the Levites, and with them Elishama and Jehoram, the priests</w:t>
      </w:r>
      <w:r>
        <w:rPr>
          <w:rStyle w:val="FootnoteReference"/>
        </w:rPr>
        <w:footnoteReference w:id="8976"/>
      </w:r>
      <w:r>
        <w:t xml:space="preserve">.</w:t>
      </w:r>
    </w:p>
    <w:p>
      <w:r>
        <w:rPr>
          <w:b/>
        </w:rPr>
        <w:t xml:space="preserve">9 </w:t>
      </w:r>
      <w:r>
        <w:t xml:space="preserve">And they were teaching in Judah, and with them was the book</w:t>
      </w:r>
      <w:r>
        <w:rPr>
          <w:rStyle w:val="FootnoteReference"/>
        </w:rPr>
        <w:footnoteReference w:id="8977"/>
      </w:r>
      <w:r>
        <w:t xml:space="preserve"> of the law of the Lord, and they went through the cities of Judah and taught the people.</w:t>
      </w:r>
    </w:p>
    <w:p>
      <w:r>
        <w:rPr>
          <w:b/>
        </w:rPr>
        <w:t xml:space="preserve">10 </w:t>
      </w:r>
      <w:r>
        <w:t xml:space="preserve">And terror of the Lord came upon all kingdoms of the earth around Judah, and they did not war against Jehoshaphat.</w:t>
      </w:r>
    </w:p>
    <w:p>
      <w:r>
        <w:rPr>
          <w:b/>
        </w:rPr>
        <w:t xml:space="preserve">11 </w:t>
      </w:r>
      <w:r>
        <w:t xml:space="preserve">And from Philistines they were bringing to Jehoshaphat gifts and silver and tribute, and Arabs</w:t>
      </w:r>
      <w:r>
        <w:rPr>
          <w:rStyle w:val="FootnoteReference"/>
        </w:rPr>
        <w:footnoteReference w:id="8978"/>
      </w:r>
      <w:r>
        <w:t xml:space="preserve"> brought</w:t>
      </w:r>
      <w:r>
        <w:rPr>
          <w:rStyle w:val="FootnoteReference"/>
        </w:rPr>
        <w:footnoteReference w:id="8979"/>
      </w:r>
      <w:r>
        <w:t xml:space="preserve"> him seven thousand seven hundred rams of sheep.</w:t>
      </w:r>
    </w:p>
    <w:p>
      <w:r>
        <w:rPr>
          <w:b/>
        </w:rPr>
        <w:t xml:space="preserve">12 </w:t>
      </w:r>
      <w:r>
        <w:t xml:space="preserve">And Jehoshaphat was becoming greater and greater on high, and he built dwellings in Judah</w:t>
      </w:r>
      <w:r>
        <w:rPr>
          <w:rStyle w:val="FootnoteReference"/>
        </w:rPr>
        <w:footnoteReference w:id="8980"/>
      </w:r>
      <w:r>
        <w:t xml:space="preserve"> and fortified cities.</w:t>
      </w:r>
    </w:p>
    <w:p>
      <w:r>
        <w:rPr>
          <w:b/>
        </w:rPr>
        <w:t xml:space="preserve">13 </w:t>
      </w:r>
      <w:r>
        <w:t xml:space="preserve">And many works came to him in Judah, and mighty men of war were strong in Jerusalem.</w:t>
      </w:r>
    </w:p>
    <w:p>
      <w:r>
        <w:rPr>
          <w:b/>
        </w:rPr>
        <w:t xml:space="preserve">14 </w:t>
      </w:r>
      <w:r>
        <w:t xml:space="preserve">And this was their number according to the houses of their fathers: for Judah, commanders of thousands: Adnah</w:t>
      </w:r>
      <w:r>
        <w:rPr>
          <w:rStyle w:val="FootnoteReference"/>
        </w:rPr>
        <w:footnoteReference w:id="8981"/>
      </w:r>
      <w:r>
        <w:t xml:space="preserve"> the chief, and with him three hundred</w:t>
      </w:r>
      <w:r>
        <w:rPr>
          <w:rStyle w:val="FootnoteReference"/>
        </w:rPr>
        <w:footnoteReference w:id="8982"/>
      </w:r>
      <w:r>
        <w:t xml:space="preserve"> thousand mighty men of force;</w:t>
      </w:r>
    </w:p>
    <w:p>
      <w:r>
        <w:rPr>
          <w:b/>
        </w:rPr>
        <w:t xml:space="preserve">15 </w:t>
      </w:r>
      <w:r>
        <w:t xml:space="preserve">and with him Jehohanan the leader, and with him two hundred eighty thousand;</w:t>
      </w:r>
    </w:p>
    <w:p>
      <w:r>
        <w:rPr>
          <w:b/>
        </w:rPr>
        <w:t xml:space="preserve">16 </w:t>
      </w:r>
      <w:r>
        <w:t xml:space="preserve">and with him Amaziah son of Zichri, one willingly</w:t>
      </w:r>
      <w:r>
        <w:rPr>
          <w:rStyle w:val="FootnoteReference"/>
        </w:rPr>
        <w:footnoteReference w:id="8983"/>
      </w:r>
      <w:r>
        <w:t xml:space="preserve"> given to the Lord, and with him two hundred thousand mighty men of force;</w:t>
      </w:r>
    </w:p>
    <w:p>
      <w:r>
        <w:rPr>
          <w:b/>
        </w:rPr>
        <w:t xml:space="preserve">17 </w:t>
      </w:r>
      <w:r>
        <w:t xml:space="preserve">and from Benjamin, mighty man of force Eliada, and with him archers and peltasts, two hundred thousand;</w:t>
      </w:r>
    </w:p>
    <w:p>
      <w:r>
        <w:rPr>
          <w:b/>
        </w:rPr>
        <w:t xml:space="preserve">18 </w:t>
      </w:r>
      <w:r>
        <w:t xml:space="preserve">and with him Jehozabad, and with him one hundred eighty thousand mighty for war.</w:t>
      </w:r>
    </w:p>
    <w:p>
      <w:r>
        <w:rPr>
          <w:b/>
        </w:rPr>
        <w:t xml:space="preserve">19 </w:t>
      </w:r>
      <w:r>
        <w:t xml:space="preserve">These were those ministering to the king, besides those whom king placed in fortified cities in all Judah.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Jehoshaphat had still much wealth and glory, and he joined by marriage with the house of Ahab.</w:t>
      </w:r>
    </w:p>
    <w:p>
      <w:r>
        <w:rPr>
          <w:b/>
        </w:rPr>
        <w:t xml:space="preserve">2 </w:t>
      </w:r>
      <w:r>
        <w:t xml:space="preserve">And after the end of years he went down to Ahab</w:t>
      </w:r>
      <w:r>
        <w:rPr>
          <w:rStyle w:val="FootnoteReference"/>
        </w:rPr>
        <w:footnoteReference w:id="8984"/>
      </w:r>
      <w:r>
        <w:t xml:space="preserve"> in Samaria, and Ahab sacrificed to him many sheep and calves and to people with him, and deceived him to go up with him to Ramoth of Gilead.</w:t>
      </w:r>
    </w:p>
    <w:p>
      <w:r>
        <w:rPr>
          <w:b/>
        </w:rPr>
        <w:t xml:space="preserve">3 </w:t>
      </w:r>
      <w:r>
        <w:t xml:space="preserve">And Ahab king of Israel said to Jehoshaphat king of Judah, Will you go with me to Ramoth of Gilead? And he said to him, As I am, so are you; as your people, so my people, with you in battle</w:t>
      </w:r>
      <w:r>
        <w:rPr>
          <w:rStyle w:val="FootnoteReference"/>
        </w:rPr>
        <w:footnoteReference w:id="8985"/>
      </w:r>
      <w:r>
        <w:t xml:space="preserve">.</w:t>
      </w:r>
    </w:p>
    <w:p>
      <w:r>
        <w:rPr>
          <w:b/>
        </w:rPr>
        <w:t xml:space="preserve">4 </w:t>
      </w:r>
      <w:r>
        <w:t xml:space="preserve">And Jehoshaphat said to the king of Israel, Seek now today Lord.</w:t>
      </w:r>
    </w:p>
    <w:p>
      <w:r>
        <w:rPr>
          <w:b/>
        </w:rPr>
        <w:t xml:space="preserve">5 </w:t>
      </w:r>
      <w:r>
        <w:t xml:space="preserve">And the king of Israel gathered prophets</w:t>
      </w:r>
      <w:r>
        <w:rPr>
          <w:rStyle w:val="FootnoteReference"/>
        </w:rPr>
        <w:footnoteReference w:id="8986"/>
      </w:r>
      <w:r>
        <w:t xml:space="preserve">, four hundred men, and said to them, Shall I go to Ramoth Gilead for battle, or shall I hold back? And they said, Go up, and God will give into the hands of the king.</w:t>
      </w:r>
    </w:p>
    <w:p>
      <w:r>
        <w:rPr>
          <w:b/>
        </w:rPr>
        <w:t xml:space="preserve">6 </w:t>
      </w:r>
      <w:r>
        <w:t xml:space="preserve">And Jehoshaphat said, Is there not</w:t>
      </w:r>
      <w:r>
        <w:rPr>
          <w:rStyle w:val="FootnoteReference"/>
        </w:rPr>
        <w:footnoteReference w:id="8987"/>
      </w:r>
      <w:r>
        <w:t xml:space="preserve"> here still prophet of the Lord, and shall we seek through him?</w:t>
      </w:r>
    </w:p>
    <w:p>
      <w:r>
        <w:rPr>
          <w:b/>
        </w:rPr>
        <w:t xml:space="preserve">7 </w:t>
      </w:r>
      <w:r>
        <w:t xml:space="preserve">And the king of Israel said to Jehoshaphat, There is still one man</w:t>
      </w:r>
      <w:r>
        <w:rPr>
          <w:rStyle w:val="FootnoteReference"/>
        </w:rPr>
        <w:footnoteReference w:id="8988"/>
      </w:r>
      <w:r>
        <w:t xml:space="preserve"> through whom to seek the Lord, and I hated him, because he is not prophesying good concerning me, but all his days evil</w:t>
      </w:r>
      <w:r>
        <w:rPr>
          <w:rStyle w:val="FootnoteReference"/>
        </w:rPr>
        <w:footnoteReference w:id="8989"/>
      </w:r>
      <w:r>
        <w:t xml:space="preserve">. This is Micaiah son of Imlah. And Jehoshaphat said, Let not the king speak thus.</w:t>
      </w:r>
    </w:p>
    <w:p>
      <w:r>
        <w:rPr>
          <w:b/>
        </w:rPr>
        <w:t xml:space="preserve">8 </w:t>
      </w:r>
      <w:r>
        <w:t xml:space="preserve">And the king of Israel called one eunuch and said, Quickly, Micaiah son of Imlah.</w:t>
      </w:r>
    </w:p>
    <w:p>
      <w:r>
        <w:rPr>
          <w:b/>
        </w:rPr>
        <w:t xml:space="preserve">9 </w:t>
      </w:r>
      <w:r>
        <w:t xml:space="preserve">And the king of Israel and Jehoshaphat king of Judah were sitting each on his throne, clothed</w:t>
      </w:r>
      <w:r>
        <w:rPr>
          <w:rStyle w:val="FootnoteReference"/>
        </w:rPr>
        <w:footnoteReference w:id="8990"/>
      </w:r>
      <w:r>
        <w:t xml:space="preserve"> in robes, sitting in the broad place</w:t>
      </w:r>
      <w:r>
        <w:rPr>
          <w:rStyle w:val="FootnoteReference"/>
        </w:rPr>
        <w:footnoteReference w:id="8991"/>
      </w:r>
      <w:r>
        <w:t xml:space="preserve"> of gate of Samaria, and all prophets were prophesying before them.</w:t>
      </w:r>
    </w:p>
    <w:p>
      <w:r>
        <w:rPr>
          <w:b/>
        </w:rPr>
        <w:t xml:space="preserve">10 </w:t>
      </w:r>
      <w:r>
        <w:t xml:space="preserve">And Zedekiah son of Chenaanah made for himself iron horns and said, Thus</w:t>
      </w:r>
      <w:r>
        <w:rPr>
          <w:rStyle w:val="FootnoteReference"/>
        </w:rPr>
        <w:footnoteReference w:id="8992"/>
      </w:r>
      <w:r>
        <w:t xml:space="preserve"> says the Lord: With these you shall gore Syria until it is finished.</w:t>
      </w:r>
    </w:p>
    <w:p>
      <w:r>
        <w:rPr>
          <w:b/>
        </w:rPr>
        <w:t xml:space="preserve">11 </w:t>
      </w:r>
      <w:r>
        <w:t xml:space="preserve">And all prophets were prophesying thus, saying, Go up to Ramoth Gilead and prosper, and the Lord will give into the hands of the king.</w:t>
      </w:r>
    </w:p>
    <w:p>
      <w:r>
        <w:rPr>
          <w:b/>
        </w:rPr>
        <w:t xml:space="preserve">12 </w:t>
      </w:r>
      <w:r>
        <w:t xml:space="preserve">And messenger who went to call Micaiah spoke to him, saying, Behold</w:t>
      </w:r>
      <w:r>
        <w:rPr>
          <w:rStyle w:val="FootnoteReference"/>
        </w:rPr>
        <w:footnoteReference w:id="8993"/>
      </w:r>
      <w:r>
        <w:t xml:space="preserve">, prophets spoke with one mouth good things about king. Let your words now be like one of them, and you shall speak good things.</w:t>
      </w:r>
      <w:r>
        <w:rPr>
          <w:rStyle w:val="FootnoteReference"/>
        </w:rPr>
        <w:footnoteReference w:id="8994"/>
      </w:r>
    </w:p>
    <w:p>
      <w:r>
        <w:rPr>
          <w:b/>
        </w:rPr>
        <w:t xml:space="preserve">13 </w:t>
      </w:r>
      <w:r>
        <w:t xml:space="preserve">And Micaiah said, As the Lord lives, whatever God says to me, this I will speak.</w:t>
      </w:r>
    </w:p>
    <w:p>
      <w:r>
        <w:rPr>
          <w:b/>
        </w:rPr>
        <w:t xml:space="preserve">14 </w:t>
      </w:r>
      <w:r>
        <w:t xml:space="preserve">And he came to the king, and the king said to him, Micaiah, shall I go to Ramoth Gilead for battle, or shall I hold back</w:t>
      </w:r>
      <w:r>
        <w:rPr>
          <w:rStyle w:val="FootnoteReference"/>
        </w:rPr>
        <w:footnoteReference w:id="8995"/>
      </w:r>
      <w:r>
        <w:t xml:space="preserve">? And he said, Go up, and you will prosper, and they shall be given into your hands.</w:t>
      </w:r>
    </w:p>
    <w:p>
      <w:r>
        <w:rPr>
          <w:b/>
        </w:rPr>
        <w:t xml:space="preserve">15 </w:t>
      </w:r>
      <w:r>
        <w:t xml:space="preserve">And the king said to him, How many times shall I make you swear that you speak to me nothing except truth in the name of the Lord?</w:t>
      </w:r>
    </w:p>
    <w:p>
      <w:r>
        <w:rPr>
          <w:b/>
        </w:rPr>
        <w:t xml:space="preserve">16 </w:t>
      </w:r>
      <w:r>
        <w:t xml:space="preserve">And he said</w:t>
      </w:r>
      <w:r>
        <w:rPr>
          <w:rStyle w:val="FootnoteReference"/>
        </w:rPr>
        <w:footnoteReference w:id="8996"/>
      </w:r>
      <w:r>
        <w:t xml:space="preserve">, I saw Israel scattered on mountains like sheep which have no shepherd, and the Lord said, These have no ruler; let each return to his house in peace.</w:t>
      </w:r>
    </w:p>
    <w:p>
      <w:r>
        <w:rPr>
          <w:b/>
        </w:rPr>
        <w:t xml:space="preserve">17 </w:t>
      </w:r>
      <w:r>
        <w:t xml:space="preserve">And the king of Israel said to Jehoshaphat, Did I not say to you that he would not prophesy good concerning me, but evil?</w:t>
      </w:r>
    </w:p>
    <w:p>
      <w:r>
        <w:rPr>
          <w:b/>
        </w:rPr>
        <w:t xml:space="preserve">18 </w:t>
      </w:r>
      <w:r>
        <w:t xml:space="preserve">And he said, Not so. Hear the word</w:t>
      </w:r>
      <w:r>
        <w:rPr>
          <w:rStyle w:val="FootnoteReference"/>
        </w:rPr>
        <w:footnoteReference w:id="8997"/>
      </w:r>
      <w:r>
        <w:t xml:space="preserve"> of the Lord: I saw the Lord sitting on his throne, and all force of heaven stood at his right and at his left.</w:t>
      </w:r>
    </w:p>
    <w:p>
      <w:r>
        <w:rPr>
          <w:b/>
        </w:rPr>
        <w:t xml:space="preserve">19 </w:t>
      </w:r>
      <w:r>
        <w:t xml:space="preserve">And the Lord said, Who will deceive Ahab king of Israel, and he will go up</w:t>
      </w:r>
      <w:r>
        <w:rPr>
          <w:rStyle w:val="FootnoteReference"/>
        </w:rPr>
        <w:footnoteReference w:id="8998"/>
      </w:r>
      <w:r>
        <w:t xml:space="preserve"> and fall in Ramoth Gilead? And one said thus and another said thus.</w:t>
      </w:r>
    </w:p>
    <w:p>
      <w:r>
        <w:rPr>
          <w:b/>
        </w:rPr>
        <w:t xml:space="preserve">20 </w:t>
      </w:r>
      <w:r>
        <w:t xml:space="preserve">And spirit came out and stood before the Lord and said, I will deceive him. And the Lord said, In what way?</w:t>
      </w:r>
    </w:p>
    <w:p>
      <w:r>
        <w:rPr>
          <w:b/>
        </w:rPr>
        <w:t xml:space="preserve">21 </w:t>
      </w:r>
      <w:r>
        <w:t xml:space="preserve">And he said, I will go out and be lying spirit in the mouth of all his prophets. And he said, You shall deceive and you shall be able; go out and do so.</w:t>
      </w:r>
    </w:p>
    <w:p>
      <w:r>
        <w:rPr>
          <w:b/>
        </w:rPr>
        <w:t xml:space="preserve">22 </w:t>
      </w:r>
      <w:r>
        <w:t xml:space="preserve">And now, behold, the Lord has put lying spirit in the mouth of all these prophets of yours, and the Lord</w:t>
      </w:r>
      <w:r>
        <w:rPr>
          <w:rStyle w:val="FootnoteReference"/>
        </w:rPr>
        <w:footnoteReference w:id="8999"/>
      </w:r>
      <w:r>
        <w:t xml:space="preserve"> spoke evil against you.</w:t>
      </w:r>
    </w:p>
    <w:p>
      <w:r>
        <w:rPr>
          <w:b/>
        </w:rPr>
        <w:t xml:space="preserve">23 </w:t>
      </w:r>
      <w:r>
        <w:t xml:space="preserve">And Zedekiah</w:t>
      </w:r>
      <w:r>
        <w:rPr>
          <w:rStyle w:val="FootnoteReference"/>
        </w:rPr>
        <w:footnoteReference w:id="9000"/>
      </w:r>
      <w:r>
        <w:t xml:space="preserve"> son of Chenaanah came near and struck Micaiah on jaw and said to him, By what way did spirit of the Lord pass from me to speak to you?</w:t>
      </w:r>
    </w:p>
    <w:p>
      <w:r>
        <w:rPr>
          <w:b/>
        </w:rPr>
        <w:t xml:space="preserve">24 </w:t>
      </w:r>
      <w:r>
        <w:t xml:space="preserve">And Micaiah said, Behold</w:t>
      </w:r>
      <w:r>
        <w:rPr>
          <w:rStyle w:val="FootnoteReference"/>
        </w:rPr>
        <w:footnoteReference w:id="9001"/>
      </w:r>
      <w:r>
        <w:t xml:space="preserve">, you will see in that day when you enter chamber from chamber to hide yourself.</w:t>
      </w:r>
    </w:p>
    <w:p>
      <w:r>
        <w:rPr>
          <w:b/>
        </w:rPr>
        <w:t xml:space="preserve">25 </w:t>
      </w:r>
      <w:r>
        <w:t xml:space="preserve">And the king of Israel said, Take Micaiah and return him to Amon ruler of the city and to Joash ruler, son of the king,</w:t>
      </w:r>
    </w:p>
    <w:p>
      <w:r>
        <w:rPr>
          <w:b/>
        </w:rPr>
        <w:t xml:space="preserve">26 </w:t>
      </w:r>
      <w:r>
        <w:t xml:space="preserve">and say, Thus says king: Put this one into the house of prison, and let him eat bread of affliction</w:t>
      </w:r>
      <w:r>
        <w:rPr>
          <w:rStyle w:val="FootnoteReference"/>
        </w:rPr>
        <w:footnoteReference w:id="9002"/>
      </w:r>
      <w:r>
        <w:t xml:space="preserve"> and water of affliction until I return in peace.</w:t>
      </w:r>
    </w:p>
    <w:p>
      <w:r>
        <w:rPr>
          <w:b/>
        </w:rPr>
        <w:t xml:space="preserve">27 </w:t>
      </w:r>
      <w:r>
        <w:t xml:space="preserve">And Micaiah said, If you indeed return in peace, the Lord did not speak in me. Hear, all peoples.</w:t>
      </w:r>
    </w:p>
    <w:p>
      <w:r>
        <w:rPr>
          <w:b/>
        </w:rPr>
        <w:t xml:space="preserve">28 </w:t>
      </w:r>
      <w:r>
        <w:t xml:space="preserve">And the king of Israel and Jehoshaphat king of Judah went up to Ramoth Gilead.</w:t>
      </w:r>
    </w:p>
    <w:p>
      <w:r>
        <w:rPr>
          <w:b/>
        </w:rPr>
        <w:t xml:space="preserve">29 </w:t>
      </w:r>
      <w:r>
        <w:t xml:space="preserve">And the king of Israel said to Jehoshaphat, I will disguise</w:t>
      </w:r>
      <w:r>
        <w:rPr>
          <w:rStyle w:val="FootnoteReference"/>
        </w:rPr>
        <w:footnoteReference w:id="9003"/>
      </w:r>
      <w:r>
        <w:t xml:space="preserve"> myself and enter into battle, and you put on my clothing. And the king of Israel disguised himself and entered into battle.</w:t>
      </w:r>
    </w:p>
    <w:p>
      <w:r>
        <w:rPr>
          <w:b/>
        </w:rPr>
        <w:t xml:space="preserve">30 </w:t>
      </w:r>
      <w:r>
        <w:t xml:space="preserve">And the king of Syria commanded chiefs of chariots with him, saying, Do not fight small and great</w:t>
      </w:r>
      <w:r>
        <w:rPr>
          <w:rStyle w:val="FootnoteReference"/>
        </w:rPr>
        <w:footnoteReference w:id="9004"/>
      </w:r>
      <w:r>
        <w:t xml:space="preserve">, except the king of Israel only.</w:t>
      </w:r>
    </w:p>
    <w:p>
      <w:r>
        <w:rPr>
          <w:b/>
        </w:rPr>
        <w:t xml:space="preserve">31 </w:t>
      </w:r>
      <w:r>
        <w:t xml:space="preserve">And it came to pass when the chiefs of chariots saw Jehoshaphat</w:t>
      </w:r>
      <w:r>
        <w:rPr>
          <w:rStyle w:val="FootnoteReference"/>
        </w:rPr>
        <w:footnoteReference w:id="9005"/>
      </w:r>
      <w:r>
        <w:t xml:space="preserve">, they said, It is the king of Israel. And they surrounded him to fight, and Jehoshaphat cried out, and the Lord saved him, and God turned them away from him.</w:t>
      </w:r>
    </w:p>
    <w:p>
      <w:r>
        <w:rPr>
          <w:b/>
        </w:rPr>
        <w:t xml:space="preserve">32 </w:t>
      </w:r>
      <w:r>
        <w:t xml:space="preserve">And it came to pass when the chiefs of chariots saw that he was not king of Israel, they turned away from him.</w:t>
      </w:r>
    </w:p>
    <w:p>
      <w:r>
        <w:rPr>
          <w:b/>
        </w:rPr>
        <w:t xml:space="preserve">33 </w:t>
      </w:r>
      <w:r>
        <w:t xml:space="preserve">And a man bent bow by good aim and struck king of Israel between lung and between chest, and he said to driver, Turn your hand and bring me out of battle, because I am in pain.</w:t>
      </w:r>
      <w:r>
        <w:rPr>
          <w:rStyle w:val="FootnoteReference"/>
        </w:rPr>
        <w:footnoteReference w:id="9006"/>
      </w:r>
    </w:p>
    <w:p>
      <w:r>
        <w:rPr>
          <w:b/>
        </w:rPr>
        <w:t xml:space="preserve">34 </w:t>
      </w:r>
      <w:r>
        <w:t xml:space="preserve">And battle turned in that day, and the king of Israel was standing on chariot until evening against Syria, and he died</w:t>
      </w:r>
      <w:r>
        <w:rPr>
          <w:rStyle w:val="FootnoteReference"/>
        </w:rPr>
        <w:footnoteReference w:id="9007"/>
      </w:r>
      <w:r>
        <w:t xml:space="preserve"> at setting of sun.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Jehoshaphat king of Judah returned to his house in peace</w:t>
      </w:r>
      <w:r>
        <w:rPr>
          <w:rStyle w:val="FootnoteReference"/>
        </w:rPr>
        <w:footnoteReference w:id="9008"/>
      </w:r>
      <w:r>
        <w:t xml:space="preserve">, to Jerusalem.</w:t>
      </w:r>
    </w:p>
    <w:p>
      <w:r>
        <w:rPr>
          <w:b/>
        </w:rPr>
        <w:t xml:space="preserve">2 </w:t>
      </w:r>
      <w:r>
        <w:t xml:space="preserve">And Jehu</w:t>
      </w:r>
      <w:r>
        <w:rPr>
          <w:rStyle w:val="FootnoteReference"/>
        </w:rPr>
        <w:footnoteReference w:id="9009"/>
      </w:r>
      <w:r>
        <w:t xml:space="preserve"> son of Anani the prophet went out to meet him and said to him, King Jehoshaphat, do you help sinner, or make friendship with one hated by the Lord? Because of this wrath came upon you from the Lord.</w:t>
      </w:r>
    </w:p>
    <w:p>
      <w:r>
        <w:rPr>
          <w:b/>
        </w:rPr>
        <w:t xml:space="preserve">3 </w:t>
      </w:r>
      <w:r>
        <w:t xml:space="preserve">Yet good matters were found in you, because you removed groves from the land of Judah and directed your heart to seek the Lord.</w:t>
      </w:r>
    </w:p>
    <w:p>
      <w:r>
        <w:rPr>
          <w:b/>
        </w:rPr>
        <w:t xml:space="preserve">4 </w:t>
      </w:r>
      <w:r>
        <w:t xml:space="preserve">And Jehoshaphat dwelt in Jerusalem and again went out to people from Beersheba</w:t>
      </w:r>
      <w:r>
        <w:rPr>
          <w:rStyle w:val="FootnoteReference"/>
        </w:rPr>
        <w:footnoteReference w:id="9010"/>
      </w:r>
      <w:r>
        <w:t xml:space="preserve"> to the mountain of Ephraim and turned them back to the Lord God of their fathers.</w:t>
      </w:r>
    </w:p>
    <w:p>
      <w:r>
        <w:rPr>
          <w:b/>
        </w:rPr>
        <w:t xml:space="preserve">5 </w:t>
      </w:r>
      <w:r>
        <w:t xml:space="preserve">And he appointed judges in all fortified cities of Judah, city by city.</w:t>
      </w:r>
    </w:p>
    <w:p>
      <w:r>
        <w:rPr>
          <w:b/>
        </w:rPr>
        <w:t xml:space="preserve">6 </w:t>
      </w:r>
      <w:r>
        <w:t xml:space="preserve">And he said to judges, See what you do, because you do not judge for man, but for the Lord, and matters of judgment are with you.</w:t>
      </w:r>
    </w:p>
    <w:p>
      <w:r>
        <w:rPr>
          <w:b/>
        </w:rPr>
        <w:t xml:space="preserve">7 </w:t>
      </w:r>
      <w:r>
        <w:t xml:space="preserve">And now let the fear of the Lord be upon you, and keep and do, because with the Lord our God there is no injustice, nor regard of face, nor taking of gifts</w:t>
      </w:r>
      <w:r>
        <w:rPr>
          <w:rStyle w:val="FootnoteReference"/>
        </w:rPr>
        <w:footnoteReference w:id="9011"/>
      </w:r>
      <w:r>
        <w:t xml:space="preserve">.</w:t>
      </w:r>
    </w:p>
    <w:p>
      <w:r>
        <w:rPr>
          <w:b/>
        </w:rPr>
        <w:t xml:space="preserve">8 </w:t>
      </w:r>
      <w:r>
        <w:t xml:space="preserve">And also in Jerusalem Jehoshaphat appointed from priests and Levites</w:t>
      </w:r>
      <w:r>
        <w:rPr>
          <w:rStyle w:val="FootnoteReference"/>
        </w:rPr>
        <w:footnoteReference w:id="9012"/>
      </w:r>
      <w:r>
        <w:t xml:space="preserve"> and patriarchs of Israel for the judgment of the Lord</w:t>
      </w:r>
      <w:r>
        <w:rPr>
          <w:rStyle w:val="FootnoteReference"/>
        </w:rPr>
        <w:footnoteReference w:id="9013"/>
      </w:r>
      <w:r>
        <w:t xml:space="preserve"> and to judge those dwelling in Jerusalem.</w:t>
      </w:r>
    </w:p>
    <w:p>
      <w:r>
        <w:rPr>
          <w:b/>
        </w:rPr>
        <w:t xml:space="preserve">9 </w:t>
      </w:r>
      <w:r>
        <w:t xml:space="preserve">And he commanded them, saying, Thus you shall do in the fear</w:t>
      </w:r>
      <w:r>
        <w:rPr>
          <w:rStyle w:val="FootnoteReference"/>
        </w:rPr>
        <w:footnoteReference w:id="9014"/>
      </w:r>
      <w:r>
        <w:t xml:space="preserve"> of the Lord, in truth and with full heart.</w:t>
      </w:r>
    </w:p>
    <w:p>
      <w:r>
        <w:rPr>
          <w:b/>
        </w:rPr>
        <w:t xml:space="preserve">10 </w:t>
      </w:r>
      <w:r>
        <w:t xml:space="preserve">Every case that comes upon you from your brothers dwelling in their cities, between blood</w:t>
      </w:r>
      <w:r>
        <w:rPr>
          <w:rStyle w:val="FootnoteReference"/>
        </w:rPr>
        <w:footnoteReference w:id="9015"/>
      </w:r>
      <w:r>
        <w:t xml:space="preserve"> and blood and between ordinance and commandment and statutes and judgments, you shall make distinction for them</w:t>
      </w:r>
      <w:r>
        <w:rPr>
          <w:rStyle w:val="FootnoteReference"/>
        </w:rPr>
        <w:footnoteReference w:id="9016"/>
      </w:r>
      <w:r>
        <w:t xml:space="preserve">, and they shall not sin against the Lord, and wrath shall not be on you and on your brothers. Thus you shall do and you shall not sin.</w:t>
      </w:r>
    </w:p>
    <w:p>
      <w:r>
        <w:rPr>
          <w:b/>
        </w:rPr>
        <w:t xml:space="preserve">11 </w:t>
      </w:r>
      <w:r>
        <w:t xml:space="preserve">And behold, Amariah</w:t>
      </w:r>
      <w:r>
        <w:rPr>
          <w:rStyle w:val="FootnoteReference"/>
        </w:rPr>
        <w:footnoteReference w:id="9017"/>
      </w:r>
      <w:r>
        <w:t xml:space="preserve"> the priest is leader over you for every matter of the Lord, and Zebadiah son of Ishmael is leader for the house of Judah for every matter of the king, and scribes and Levites are before you. Be strong and do, and the Lord shall be with good man</w:t>
      </w:r>
      <w:r>
        <w:rPr>
          <w:rStyle w:val="FootnoteReference"/>
        </w:rPr>
        <w:footnoteReference w:id="9018"/>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after these things sons of Moab and sons of Ammon and with them from Meunites came against</w:t>
      </w:r>
      <w:r>
        <w:rPr>
          <w:rStyle w:val="FootnoteReference"/>
        </w:rPr>
        <w:footnoteReference w:id="9019"/>
      </w:r>
      <w:r>
        <w:t xml:space="preserve"> Jehoshaphat for battle.</w:t>
      </w:r>
    </w:p>
    <w:p>
      <w:r>
        <w:rPr>
          <w:b/>
        </w:rPr>
        <w:t xml:space="preserve">2 </w:t>
      </w:r>
      <w:r>
        <w:t xml:space="preserve">And they came and reported to Jehoshaphat, saying, Great multitude has come against you from beyond sea, from Syria, and behold, they are in Asasanthamar, this is Engedi</w:t>
      </w:r>
      <w:r>
        <w:rPr>
          <w:rStyle w:val="FootnoteReference"/>
        </w:rPr>
        <w:footnoteReference w:id="9020"/>
      </w:r>
      <w:r>
        <w:t xml:space="preserve">.</w:t>
      </w:r>
    </w:p>
    <w:p>
      <w:r>
        <w:rPr>
          <w:b/>
        </w:rPr>
        <w:t xml:space="preserve">3 </w:t>
      </w:r>
      <w:r>
        <w:t xml:space="preserve">And he feared</w:t>
      </w:r>
      <w:r>
        <w:rPr>
          <w:rStyle w:val="FootnoteReference"/>
        </w:rPr>
        <w:footnoteReference w:id="9021"/>
      </w:r>
      <w:r>
        <w:t xml:space="preserve">, and Jehoshaphat set his face to seek the Lord and proclaimed fast in all Judah.</w:t>
      </w:r>
    </w:p>
    <w:p>
      <w:r>
        <w:rPr>
          <w:b/>
        </w:rPr>
        <w:t xml:space="preserve">4 </w:t>
      </w:r>
      <w:r>
        <w:t xml:space="preserve">And Judah gathered to seek the Lord, and from all the cities</w:t>
      </w:r>
      <w:r>
        <w:rPr>
          <w:rStyle w:val="FootnoteReference"/>
        </w:rPr>
        <w:footnoteReference w:id="9022"/>
      </w:r>
      <w:r>
        <w:t xml:space="preserve"> of Judah they came to seek the Lord.</w:t>
      </w:r>
    </w:p>
    <w:p>
      <w:r>
        <w:rPr>
          <w:b/>
        </w:rPr>
        <w:t xml:space="preserve">5 </w:t>
      </w:r>
      <w:r>
        <w:t xml:space="preserve">And Jehoshaphat</w:t>
      </w:r>
      <w:r>
        <w:rPr>
          <w:rStyle w:val="FootnoteReference"/>
        </w:rPr>
        <w:footnoteReference w:id="9023"/>
      </w:r>
      <w:r>
        <w:t xml:space="preserve"> stood in the assembly of Judah in Jerusalem, in the house of the Lord, before new court,</w:t>
      </w:r>
    </w:p>
    <w:p>
      <w:r>
        <w:rPr>
          <w:b/>
        </w:rPr>
        <w:t xml:space="preserve">6 </w:t>
      </w:r>
      <w:r>
        <w:t xml:space="preserve">and said, Lord God of our fathers, are you not God in heaven</w:t>
      </w:r>
      <w:r>
        <w:rPr>
          <w:rStyle w:val="FootnoteReference"/>
        </w:rPr>
        <w:footnoteReference w:id="9024"/>
      </w:r>
      <w:r>
        <w:t xml:space="preserve">, and do you not rule over all kingdoms of nations? And in your hand are strength and power, and none can stand against you.</w:t>
      </w:r>
    </w:p>
    <w:p>
      <w:r>
        <w:rPr>
          <w:b/>
        </w:rPr>
        <w:t xml:space="preserve">7 </w:t>
      </w:r>
      <w:r>
        <w:t xml:space="preserve">Are you not the Lord who destroyed inhabitants of this land from before your people Israel and gave it to the seed of Abraham your beloved forever?</w:t>
      </w:r>
      <w:r>
        <w:rPr>
          <w:rStyle w:val="FootnoteReference"/>
        </w:rPr>
        <w:footnoteReference w:id="9025"/>
      </w:r>
    </w:p>
    <w:p>
      <w:r>
        <w:rPr>
          <w:b/>
        </w:rPr>
        <w:t xml:space="preserve">8 </w:t>
      </w:r>
      <w:r>
        <w:t xml:space="preserve">And they dwelt in it and built in it sanctuary to your name, saying,</w:t>
      </w:r>
    </w:p>
    <w:p>
      <w:r>
        <w:rPr>
          <w:b/>
        </w:rPr>
        <w:t xml:space="preserve">9 </w:t>
      </w:r>
      <w:r>
        <w:t xml:space="preserve">If evils come upon us, sword, judgment, death</w:t>
      </w:r>
      <w:r>
        <w:rPr>
          <w:rStyle w:val="FootnoteReference"/>
        </w:rPr>
        <w:footnoteReference w:id="9026"/>
      </w:r>
      <w:r>
        <w:t xml:space="preserve">, famine, we shall stand before this house and before you, because your name is upon this house, and we shall cry to you from affliction, and you will hear and save.</w:t>
      </w:r>
    </w:p>
    <w:p>
      <w:r>
        <w:rPr>
          <w:b/>
        </w:rPr>
        <w:t xml:space="preserve">10 </w:t>
      </w:r>
      <w:r>
        <w:t xml:space="preserve">And now, behold, sons of Ammon and Moab and mount Seir, through whom you did not allow Israel to pass</w:t>
      </w:r>
      <w:r>
        <w:rPr>
          <w:rStyle w:val="FootnoteReference"/>
        </w:rPr>
        <w:footnoteReference w:id="9027"/>
      </w:r>
      <w:r>
        <w:t xml:space="preserve"> when they came out from the land of Egypt, because they turned away from them and did not destroy them,</w:t>
      </w:r>
    </w:p>
    <w:p>
      <w:r>
        <w:rPr>
          <w:b/>
        </w:rPr>
        <w:t xml:space="preserve">11 </w:t>
      </w:r>
      <w:r>
        <w:t xml:space="preserve">and now, behold, they attempt against us, to come cast us out from our inheritance which you gave us.</w:t>
      </w:r>
    </w:p>
    <w:p>
      <w:r>
        <w:rPr>
          <w:b/>
        </w:rPr>
        <w:t xml:space="preserve">12 </w:t>
      </w:r>
      <w:r>
        <w:t xml:space="preserve">Lord our God, will you not judge among them? Because there is no strength in us to stand against this great multitude that came upon us, and we do not know what we should do, but our eyes</w:t>
      </w:r>
      <w:r>
        <w:rPr>
          <w:rStyle w:val="FootnoteReference"/>
        </w:rPr>
        <w:footnoteReference w:id="9028"/>
      </w:r>
      <w:r>
        <w:t xml:space="preserve"> are upon you.</w:t>
      </w:r>
    </w:p>
    <w:p>
      <w:r>
        <w:rPr>
          <w:b/>
        </w:rPr>
        <w:t xml:space="preserve">13 </w:t>
      </w:r>
      <w:r>
        <w:t xml:space="preserve">And all Judah</w:t>
      </w:r>
      <w:r>
        <w:rPr>
          <w:rStyle w:val="FootnoteReference"/>
        </w:rPr>
        <w:footnoteReference w:id="9029"/>
      </w:r>
      <w:r>
        <w:t xml:space="preserve"> stood before the Lord, and their little children and wives.</w:t>
      </w:r>
    </w:p>
    <w:p>
      <w:r>
        <w:rPr>
          <w:b/>
        </w:rPr>
        <w:t xml:space="preserve">14 </w:t>
      </w:r>
      <w:r>
        <w:t xml:space="preserve">And upon Uzziel son of Zechariah, from the sons of Benaiah, from the sons of Levite, from Mattaniah the Levite, from the sons of Asaph, spirit of the Lord came in assembly,</w:t>
      </w:r>
    </w:p>
    <w:p>
      <w:r>
        <w:rPr>
          <w:b/>
        </w:rPr>
        <w:t xml:space="preserve">15 </w:t>
      </w:r>
      <w:r>
        <w:t xml:space="preserve">and he said, Hear, all Judah and the inhabitants of Jerusalem and King Jehoshaphat. Thus says the Lord to you: Do not fear and do not be dismayed before this great multitude, because battle is not yours but God’s.</w:t>
      </w:r>
    </w:p>
    <w:p>
      <w:r>
        <w:rPr>
          <w:b/>
        </w:rPr>
        <w:t xml:space="preserve">16 </w:t>
      </w:r>
      <w:r>
        <w:t xml:space="preserve">Tomorrow go down against them. Behold, they are going up by ascent of Ziz</w:t>
      </w:r>
      <w:r>
        <w:rPr>
          <w:rStyle w:val="FootnoteReference"/>
        </w:rPr>
        <w:footnoteReference w:id="9030"/>
      </w:r>
      <w:r>
        <w:t xml:space="preserve">, and you will find them at the end of the river of the wilderness</w:t>
      </w:r>
      <w:r>
        <w:rPr>
          <w:rStyle w:val="FootnoteReference"/>
        </w:rPr>
        <w:footnoteReference w:id="9031"/>
      </w:r>
      <w:r>
        <w:t xml:space="preserve"> Jeruel</w:t>
      </w:r>
      <w:r>
        <w:rPr>
          <w:rStyle w:val="FootnoteReference"/>
        </w:rPr>
        <w:footnoteReference w:id="9032"/>
      </w:r>
      <w:r>
        <w:t xml:space="preserve">.</w:t>
      </w:r>
    </w:p>
    <w:p>
      <w:r>
        <w:rPr>
          <w:b/>
        </w:rPr>
        <w:t xml:space="preserve">17 </w:t>
      </w:r>
      <w:r>
        <w:t xml:space="preserve">It is not for you to fight in this. Stand and see salvation of the Lord</w:t>
      </w:r>
      <w:r>
        <w:rPr>
          <w:rStyle w:val="FootnoteReference"/>
        </w:rPr>
        <w:footnoteReference w:id="9033"/>
      </w:r>
      <w:r>
        <w:t xml:space="preserve"> with you, Judah and Jerusalem. Do not fear and do not be dismayed. Tomorrow go out to meet them, and the Lord is with you.</w:t>
      </w:r>
    </w:p>
    <w:p>
      <w:r>
        <w:rPr>
          <w:b/>
        </w:rPr>
        <w:t xml:space="preserve">18 </w:t>
      </w:r>
      <w:r>
        <w:t xml:space="preserve">And Jehoshaphat bowed with his face to the ground, and all Judah and the inhabitants of Jerusalem fell before</w:t>
      </w:r>
      <w:r>
        <w:rPr>
          <w:rStyle w:val="FootnoteReference"/>
        </w:rPr>
        <w:footnoteReference w:id="9034"/>
      </w:r>
      <w:r>
        <w:t xml:space="preserve"> the Lord to worship the Lord.</w:t>
      </w:r>
    </w:p>
    <w:p>
      <w:r>
        <w:rPr>
          <w:b/>
        </w:rPr>
        <w:t xml:space="preserve">19 </w:t>
      </w:r>
      <w:r>
        <w:t xml:space="preserve">And Levites</w:t>
      </w:r>
      <w:r>
        <w:rPr>
          <w:rStyle w:val="FootnoteReference"/>
        </w:rPr>
        <w:footnoteReference w:id="9035"/>
      </w:r>
      <w:r>
        <w:t xml:space="preserve"> from the sons of Kohath and from the sons of Kore rose to praise the Lord God of Israel with very great loud voice.</w:t>
      </w:r>
    </w:p>
    <w:p>
      <w:r>
        <w:rPr>
          <w:b/>
        </w:rPr>
        <w:t xml:space="preserve">20 </w:t>
      </w:r>
      <w:r>
        <w:t xml:space="preserve">And they rose early in the morning and went out into the wilderness of Tekoa</w:t>
      </w:r>
      <w:r>
        <w:rPr>
          <w:rStyle w:val="FootnoteReference"/>
        </w:rPr>
        <w:footnoteReference w:id="9036"/>
      </w:r>
      <w:r>
        <w:t xml:space="preserve">, and as they went out, Jehoshaphat stood and cried, saying, Hear me, Judah and the inhabitants of Jerusalem. Trust in the Lord your God and you shall be trusted</w:t>
      </w:r>
      <w:r>
        <w:rPr>
          <w:rStyle w:val="FootnoteReference"/>
        </w:rPr>
        <w:footnoteReference w:id="9037"/>
      </w:r>
      <w:r>
        <w:t xml:space="preserve">; trust in his prophet and you shall prosper.</w:t>
      </w:r>
    </w:p>
    <w:p>
      <w:r>
        <w:rPr>
          <w:b/>
        </w:rPr>
        <w:t xml:space="preserve">21 </w:t>
      </w:r>
      <w:r>
        <w:t xml:space="preserve">And he took counsel with people and set singers and praisers to give thanks and praise holy things</w:t>
      </w:r>
      <w:r>
        <w:rPr>
          <w:rStyle w:val="FootnoteReference"/>
        </w:rPr>
        <w:footnoteReference w:id="9038"/>
      </w:r>
      <w:r>
        <w:t xml:space="preserve"> as they went out before force, and they said, Give thanks to the Lord, because his mercy is forever.</w:t>
      </w:r>
    </w:p>
    <w:p>
      <w:r>
        <w:rPr>
          <w:b/>
        </w:rPr>
        <w:t xml:space="preserve">22 </w:t>
      </w:r>
      <w:r>
        <w:t xml:space="preserve">And when he began praise of thanksgiving, the Lord made sons of Ammon fight against Moab and mount Seir, those coming out against Judah, and they were routed.</w:t>
      </w:r>
    </w:p>
    <w:p>
      <w:r>
        <w:rPr>
          <w:b/>
        </w:rPr>
        <w:t xml:space="preserve">23 </w:t>
      </w:r>
      <w:r>
        <w:t xml:space="preserve">And sons of Ammon and Moab rose against the inhabitants of mount Seir</w:t>
      </w:r>
      <w:r>
        <w:rPr>
          <w:rStyle w:val="FootnoteReference"/>
        </w:rPr>
        <w:footnoteReference w:id="9039"/>
      </w:r>
      <w:r>
        <w:t xml:space="preserve"> to destroy and wipe out, and when they finished inhabitants of Seir, they rose against one another for destruction.</w:t>
      </w:r>
      <w:r>
        <w:rPr>
          <w:rStyle w:val="FootnoteReference"/>
        </w:rPr>
        <w:footnoteReference w:id="9040"/>
      </w:r>
    </w:p>
    <w:p>
      <w:r>
        <w:rPr>
          <w:b/>
        </w:rPr>
        <w:t xml:space="preserve">24 </w:t>
      </w:r>
      <w:r>
        <w:t xml:space="preserve">And Judah came to watchtower of the wilderness and looked, and saw multitude, and behold, all were dead, fallen on ground; there was none being saved.</w:t>
      </w:r>
    </w:p>
    <w:p>
      <w:r>
        <w:rPr>
          <w:b/>
        </w:rPr>
        <w:t xml:space="preserve">25 </w:t>
      </w:r>
      <w:r>
        <w:t xml:space="preserve">And Jehoshaphat and his people came to plunder their spoils and found many cattle and baggage and spoils and desirable vessels, and they plundered for themselves, and it was three days they plundered spoils, because it was much.</w:t>
      </w:r>
      <w:r>
        <w:rPr>
          <w:rStyle w:val="FootnoteReference"/>
        </w:rPr>
        <w:footnoteReference w:id="9041"/>
      </w:r>
    </w:p>
    <w:p>
      <w:r>
        <w:rPr>
          <w:b/>
        </w:rPr>
        <w:t xml:space="preserve">26 </w:t>
      </w:r>
      <w:r>
        <w:t xml:space="preserve">And on fourth day they were gathered to the valley of blessing, because there they blessed</w:t>
      </w:r>
      <w:r>
        <w:rPr>
          <w:rStyle w:val="FootnoteReference"/>
        </w:rPr>
        <w:footnoteReference w:id="9042"/>
      </w:r>
      <w:r>
        <w:t xml:space="preserve"> the Lord. Therefore name of that place was called Valley of Blessing until this day.</w:t>
      </w:r>
    </w:p>
    <w:p>
      <w:r>
        <w:rPr>
          <w:b/>
        </w:rPr>
        <w:t xml:space="preserve">27 </w:t>
      </w:r>
      <w:r>
        <w:t xml:space="preserve">And every man of Judah returned to Jerusalem, and Jehoshaphat leading them, with great gladness, because the Lord</w:t>
      </w:r>
      <w:r>
        <w:rPr>
          <w:rStyle w:val="FootnoteReference"/>
        </w:rPr>
        <w:footnoteReference w:id="9043"/>
      </w:r>
      <w:r>
        <w:t xml:space="preserve"> gladdened them from their enemies.</w:t>
      </w:r>
    </w:p>
    <w:p>
      <w:r>
        <w:rPr>
          <w:b/>
        </w:rPr>
        <w:t xml:space="preserve">28 </w:t>
      </w:r>
      <w:r>
        <w:t xml:space="preserve">And they entered into Jerusalem with harps and lyres and trumpets to the house of the Lord.</w:t>
      </w:r>
    </w:p>
    <w:p>
      <w:r>
        <w:rPr>
          <w:b/>
        </w:rPr>
        <w:t xml:space="preserve">29 </w:t>
      </w:r>
      <w:r>
        <w:t xml:space="preserve">And terror of the Lord came upon all kingdoms of the earth when they heard that the Lord fought against adversaries of Israel.</w:t>
      </w:r>
    </w:p>
    <w:p>
      <w:r>
        <w:rPr>
          <w:b/>
        </w:rPr>
        <w:t xml:space="preserve">30 </w:t>
      </w:r>
      <w:r>
        <w:t xml:space="preserve">And kingdom of Jehoshaphat was at peace, and his God</w:t>
      </w:r>
      <w:r>
        <w:rPr>
          <w:rStyle w:val="FootnoteReference"/>
        </w:rPr>
        <w:footnoteReference w:id="9044"/>
      </w:r>
      <w:r>
        <w:t xml:space="preserve"> gave him rest all around.</w:t>
      </w:r>
    </w:p>
    <w:p>
      <w:r>
        <w:rPr>
          <w:b/>
        </w:rPr>
        <w:t xml:space="preserve">31 </w:t>
      </w:r>
      <w:r>
        <w:t xml:space="preserve">And Jehoshaphat</w:t>
      </w:r>
      <w:r>
        <w:rPr>
          <w:rStyle w:val="FootnoteReference"/>
        </w:rPr>
        <w:footnoteReference w:id="9045"/>
      </w:r>
      <w:r>
        <w:t xml:space="preserve"> reigned over Judah, being thirty-five years old when he reigned, and he reigned twenty-five years in Jerusalem, and his mother’s name was Azubah daughter of Shilhi.</w:t>
      </w:r>
    </w:p>
    <w:p>
      <w:r>
        <w:rPr>
          <w:b/>
        </w:rPr>
        <w:t xml:space="preserve">32 </w:t>
      </w:r>
      <w:r>
        <w:t xml:space="preserve">And he walked</w:t>
      </w:r>
      <w:r>
        <w:rPr>
          <w:rStyle w:val="FootnoteReference"/>
        </w:rPr>
        <w:footnoteReference w:id="9046"/>
      </w:r>
      <w:r>
        <w:t xml:space="preserve"> in the ways of Asa his father and did not turn aside from doing upright in the sight of the Lord.</w:t>
      </w:r>
    </w:p>
    <w:p>
      <w:r>
        <w:rPr>
          <w:b/>
        </w:rPr>
        <w:t xml:space="preserve">33 </w:t>
      </w:r>
      <w:r>
        <w:t xml:space="preserve">But high places still existed, and people still did not direct heart toward the Lord God of their fathers.</w:t>
      </w:r>
    </w:p>
    <w:p>
      <w:r>
        <w:rPr>
          <w:b/>
        </w:rPr>
        <w:t xml:space="preserve">34 </w:t>
      </w:r>
      <w:r>
        <w:t xml:space="preserve">And the rest</w:t>
      </w:r>
      <w:r>
        <w:rPr>
          <w:rStyle w:val="FootnoteReference"/>
        </w:rPr>
        <w:footnoteReference w:id="9047"/>
      </w:r>
      <w:r>
        <w:t xml:space="preserve"> of matters of Jehoshaphat, first and last, behold, written in the words of Jehu son of Anani, who wrote book of kings of Israel.</w:t>
      </w:r>
    </w:p>
    <w:p>
      <w:r>
        <w:rPr>
          <w:b/>
        </w:rPr>
        <w:t xml:space="preserve">35 </w:t>
      </w:r>
      <w:r>
        <w:t xml:space="preserve">And after these things Jehoshaphat king of Judah joined himself with Ahaziah king of Israel, and he acted lawlessly.</w:t>
      </w:r>
      <w:r>
        <w:rPr>
          <w:rStyle w:val="FootnoteReference"/>
        </w:rPr>
        <w:footnoteReference w:id="9048"/>
      </w:r>
    </w:p>
    <w:p>
      <w:r>
        <w:rPr>
          <w:b/>
        </w:rPr>
        <w:t xml:space="preserve">36 </w:t>
      </w:r>
      <w:r>
        <w:t xml:space="preserve">In making and going with him to make ships to go to Tarshish</w:t>
      </w:r>
      <w:r>
        <w:rPr>
          <w:rStyle w:val="FootnoteReference"/>
        </w:rPr>
        <w:footnoteReference w:id="9049"/>
      </w:r>
      <w:r>
        <w:t xml:space="preserve">, he made ships in Eziongeber.</w:t>
      </w:r>
    </w:p>
    <w:p>
      <w:r>
        <w:rPr>
          <w:b/>
        </w:rPr>
        <w:t xml:space="preserve">37 </w:t>
      </w:r>
      <w:r>
        <w:t xml:space="preserve">And Eliezer son of Dodavah from Mareshah prophesied against Jehoshaphat, saying, Because you made friendship with Ahaziah, the Lord</w:t>
      </w:r>
      <w:r>
        <w:rPr>
          <w:rStyle w:val="FootnoteReference"/>
        </w:rPr>
        <w:footnoteReference w:id="9050"/>
      </w:r>
      <w:r>
        <w:t xml:space="preserve"> broke your work, and your ships were wrecked and were not able to go to Tarshish.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Jehoshaphat</w:t>
      </w:r>
      <w:r>
        <w:rPr>
          <w:rStyle w:val="FootnoteReference"/>
        </w:rPr>
        <w:footnoteReference w:id="9051"/>
      </w:r>
      <w:r>
        <w:t xml:space="preserve"> slept with his fathers and was buried beside his fathers in the City of David, and Jehoram his son reigned in his place.</w:t>
      </w:r>
    </w:p>
    <w:p>
      <w:r>
        <w:rPr>
          <w:b/>
        </w:rPr>
        <w:t xml:space="preserve">2 </w:t>
      </w:r>
      <w:r>
        <w:t xml:space="preserve">And he had brothers, sons of Jehoshaphat: Azariah and Jehiel and Zechariah and Azariah and Michael and Shephatiah; all these were sons of Jehoshaphat king of Judah.</w:t>
      </w:r>
    </w:p>
    <w:p>
      <w:r>
        <w:rPr>
          <w:b/>
        </w:rPr>
        <w:t xml:space="preserve">3 </w:t>
      </w:r>
      <w:r>
        <w:t xml:space="preserve">And their father gave them</w:t>
      </w:r>
      <w:r>
        <w:rPr>
          <w:rStyle w:val="FootnoteReference"/>
        </w:rPr>
        <w:footnoteReference w:id="9052"/>
      </w:r>
      <w:r>
        <w:t xml:space="preserve"> many gifts, silver and gold and weapons, with fortified cities in Judah, but kingdom he gave to Jehoram, because he was firstborn.</w:t>
      </w:r>
    </w:p>
    <w:p>
      <w:r>
        <w:rPr>
          <w:b/>
        </w:rPr>
        <w:t xml:space="preserve">4 </w:t>
      </w:r>
      <w:r>
        <w:t xml:space="preserve">And Jehoram rose over his kingdom and grew strong and killed all his brothers with sword, and also from rulers of Israel.</w:t>
      </w:r>
    </w:p>
    <w:p>
      <w:r>
        <w:rPr>
          <w:b/>
        </w:rPr>
        <w:t xml:space="preserve">5 </w:t>
      </w:r>
      <w:r>
        <w:t xml:space="preserve">Jehoram</w:t>
      </w:r>
      <w:r>
        <w:rPr>
          <w:rStyle w:val="FootnoteReference"/>
        </w:rPr>
        <w:footnoteReference w:id="9053"/>
      </w:r>
      <w:r>
        <w:t xml:space="preserve"> was thirty-two years old when he became king, and eight years he reigned in Jerusalem.</w:t>
      </w:r>
    </w:p>
    <w:p>
      <w:r>
        <w:rPr>
          <w:b/>
        </w:rPr>
        <w:t xml:space="preserve">6 </w:t>
      </w:r>
      <w:r>
        <w:t xml:space="preserve">And he walked in the way</w:t>
      </w:r>
      <w:r>
        <w:rPr>
          <w:rStyle w:val="FootnoteReference"/>
        </w:rPr>
        <w:footnoteReference w:id="9054"/>
      </w:r>
      <w:r>
        <w:t xml:space="preserve"> of kings of Israel, as the house of Ahab did, because daughter of Ahab was his wife, and he did evil before the Lord.</w:t>
      </w:r>
    </w:p>
    <w:p>
      <w:r>
        <w:rPr>
          <w:b/>
        </w:rPr>
        <w:t xml:space="preserve">7 </w:t>
      </w:r>
      <w:r>
        <w:t xml:space="preserve">And the Lord did not want to destroy the house of David because of covenant which he made with David and as he said to give to him lamp and to his sons all days.</w:t>
      </w:r>
    </w:p>
    <w:p>
      <w:r>
        <w:rPr>
          <w:b/>
        </w:rPr>
        <w:t xml:space="preserve">8 </w:t>
      </w:r>
      <w:r>
        <w:t xml:space="preserve">In those days Edom rebelled from Judah and made</w:t>
      </w:r>
      <w:r>
        <w:rPr>
          <w:rStyle w:val="FootnoteReference"/>
        </w:rPr>
        <w:footnoteReference w:id="9055"/>
      </w:r>
      <w:r>
        <w:t xml:space="preserve"> king over themselves.</w:t>
      </w:r>
    </w:p>
    <w:p>
      <w:r>
        <w:rPr>
          <w:b/>
        </w:rPr>
        <w:t xml:space="preserve">9 </w:t>
      </w:r>
      <w:r>
        <w:t xml:space="preserve">And Jehoram went with rulers and all cavalry with him, and it came to pass, he rose by night and struck Edom encircling him and commanders of chariots, and people fled to their tents.</w:t>
      </w:r>
    </w:p>
    <w:p>
      <w:r>
        <w:rPr>
          <w:b/>
        </w:rPr>
        <w:t xml:space="preserve">10 </w:t>
      </w:r>
      <w:r>
        <w:t xml:space="preserve">And Edom rebelled from Judah until this day. Then Libnah</w:t>
      </w:r>
      <w:r>
        <w:rPr>
          <w:rStyle w:val="FootnoteReference"/>
        </w:rPr>
        <w:footnoteReference w:id="9056"/>
      </w:r>
      <w:r>
        <w:t xml:space="preserve"> rebelled at that time from his hand, because he forsook the Lord God of his fathers.</w:t>
      </w:r>
    </w:p>
    <w:p>
      <w:r>
        <w:rPr>
          <w:b/>
        </w:rPr>
        <w:t xml:space="preserve">11 </w:t>
      </w:r>
      <w:r>
        <w:t xml:space="preserve">And he too made high places in the cities of Judah and prostituted the inhabitants of Jerusalem and led Judah astray.</w:t>
      </w:r>
    </w:p>
    <w:p>
      <w:r>
        <w:rPr>
          <w:b/>
        </w:rPr>
        <w:t xml:space="preserve">12 </w:t>
      </w:r>
      <w:r>
        <w:t xml:space="preserve">And writing came to him from Elijah the prophet</w:t>
      </w:r>
      <w:r>
        <w:rPr>
          <w:rStyle w:val="FootnoteReference"/>
        </w:rPr>
        <w:footnoteReference w:id="9057"/>
      </w:r>
      <w:r>
        <w:t xml:space="preserve">, saying, Thus says the Lord God of David your father: Because you did not walk in the way of Jehoshaphat your father and in the ways of Asa king of Judah,</w:t>
      </w:r>
    </w:p>
    <w:p>
      <w:r>
        <w:rPr>
          <w:b/>
        </w:rPr>
        <w:t xml:space="preserve">13 </w:t>
      </w:r>
      <w:r>
        <w:t xml:space="preserve">but walked in the ways of kings of Israel and prostituted Judah and the inhabitants of Jerusalem as the house of Ahab prostituted, and you killed your brothers, sons of your father, those better than you,</w:t>
      </w:r>
      <w:r>
        <w:rPr>
          <w:rStyle w:val="FootnoteReference"/>
        </w:rPr>
        <w:footnoteReference w:id="9058"/>
      </w:r>
    </w:p>
    <w:p>
      <w:r>
        <w:rPr>
          <w:b/>
        </w:rPr>
        <w:t xml:space="preserve">14 </w:t>
      </w:r>
      <w:r>
        <w:t xml:space="preserve">behold, the Lord will strike you with great plague</w:t>
      </w:r>
      <w:r>
        <w:rPr>
          <w:rStyle w:val="FootnoteReference"/>
        </w:rPr>
        <w:footnoteReference w:id="9059"/>
      </w:r>
      <w:r>
        <w:t xml:space="preserve"> among your people and among your sons and among your wives and among all your baggage.</w:t>
      </w:r>
    </w:p>
    <w:p>
      <w:r>
        <w:rPr>
          <w:b/>
        </w:rPr>
        <w:t xml:space="preserve">15 </w:t>
      </w:r>
      <w:r>
        <w:t xml:space="preserve">And you with evil weakness, in disease of belly, until your belly comes out with sickness from day to day.</w:t>
      </w:r>
    </w:p>
    <w:p>
      <w:r>
        <w:rPr>
          <w:b/>
        </w:rPr>
        <w:t xml:space="preserve">16 </w:t>
      </w:r>
      <w:r>
        <w:t xml:space="preserve">And the Lord</w:t>
      </w:r>
      <w:r>
        <w:rPr>
          <w:rStyle w:val="FootnoteReference"/>
        </w:rPr>
        <w:footnoteReference w:id="9060"/>
      </w:r>
      <w:r>
        <w:t xml:space="preserve"> stirred up against Jehoram Philistines and Arabs and neighbors of Ethiopians.</w:t>
      </w:r>
    </w:p>
    <w:p>
      <w:r>
        <w:rPr>
          <w:b/>
        </w:rPr>
        <w:t xml:space="preserve">17 </w:t>
      </w:r>
      <w:r>
        <w:t xml:space="preserve">And they went up against Judah and overpowered</w:t>
      </w:r>
      <w:r>
        <w:rPr>
          <w:rStyle w:val="FootnoteReference"/>
        </w:rPr>
        <w:footnoteReference w:id="9061"/>
      </w:r>
      <w:r>
        <w:t xml:space="preserve"> and carried away</w:t>
      </w:r>
      <w:r>
        <w:rPr>
          <w:rStyle w:val="FootnoteReference"/>
        </w:rPr>
        <w:footnoteReference w:id="9062"/>
      </w:r>
      <w:r>
        <w:t xml:space="preserve"> all baggage they found in the house of the king and his sons and his daughters, and no son was left to him except Ahaziah, youngest of his sons.</w:t>
      </w:r>
    </w:p>
    <w:p>
      <w:r>
        <w:rPr>
          <w:b/>
        </w:rPr>
        <w:t xml:space="preserve">18 </w:t>
      </w:r>
      <w:r>
        <w:t xml:space="preserve">And after all these things the Lord struck him in belly with weakness that had no healing.</w:t>
      </w:r>
    </w:p>
    <w:p>
      <w:r>
        <w:rPr>
          <w:b/>
        </w:rPr>
        <w:t xml:space="preserve">19 </w:t>
      </w:r>
      <w:r>
        <w:t xml:space="preserve">And it came to pass from days to days</w:t>
      </w:r>
      <w:r>
        <w:rPr>
          <w:rStyle w:val="FootnoteReference"/>
        </w:rPr>
        <w:footnoteReference w:id="9063"/>
      </w:r>
      <w:r>
        <w:t xml:space="preserve">, and as time of days came, two days, his belly came out with disease, and he died in evil weakness, and his people did not make funeral for him like the funeral of his fathers.</w:t>
      </w:r>
    </w:p>
    <w:p>
      <w:r>
        <w:rPr>
          <w:b/>
        </w:rPr>
        <w:t xml:space="preserve">20 </w:t>
      </w:r>
      <w:r>
        <w:t xml:space="preserve">He was thirty-two years old when he reigned, and eight years he reigned in Jerusalem, and he went away without praise</w:t>
      </w:r>
      <w:r>
        <w:rPr>
          <w:rStyle w:val="FootnoteReference"/>
        </w:rPr>
        <w:footnoteReference w:id="9064"/>
      </w:r>
      <w:r>
        <w:t xml:space="preserve"> and was buried in the City of David, but not in the tombs of kings.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the inhabitants</w:t>
      </w:r>
      <w:r>
        <w:rPr>
          <w:rStyle w:val="FootnoteReference"/>
        </w:rPr>
        <w:footnoteReference w:id="9065"/>
      </w:r>
      <w:r>
        <w:t xml:space="preserve"> of Jerusalem made Ahaziah his son, youngest, king in his place, because raiding band that came upon them, Arabs and Alimazones</w:t>
      </w:r>
      <w:r>
        <w:rPr>
          <w:rStyle w:val="FootnoteReference"/>
        </w:rPr>
        <w:footnoteReference w:id="9066"/>
      </w:r>
      <w:r>
        <w:t xml:space="preserve">, killed all elders. And Ahaziah son of Jehoram king of Judah reigned.</w:t>
      </w:r>
    </w:p>
    <w:p>
      <w:r>
        <w:rPr>
          <w:b/>
        </w:rPr>
        <w:t xml:space="preserve">2 </w:t>
      </w:r>
      <w:r>
        <w:t xml:space="preserve">Ahaziah was twenty years old when he reigned, and one year he reigned in Jerusalem, and his mother’s name was Athaliah</w:t>
      </w:r>
      <w:r>
        <w:rPr>
          <w:rStyle w:val="FootnoteReference"/>
        </w:rPr>
        <w:footnoteReference w:id="9067"/>
      </w:r>
      <w:r>
        <w:t xml:space="preserve"> daughter of Omri.</w:t>
      </w:r>
    </w:p>
    <w:p>
      <w:r>
        <w:rPr>
          <w:b/>
        </w:rPr>
        <w:t xml:space="preserve">3 </w:t>
      </w:r>
      <w:r>
        <w:t xml:space="preserve">And he walked in the way of the house of Ahab, because his mother</w:t>
      </w:r>
      <w:r>
        <w:rPr>
          <w:rStyle w:val="FootnoteReference"/>
        </w:rPr>
        <w:footnoteReference w:id="9068"/>
      </w:r>
      <w:r>
        <w:t xml:space="preserve"> was counselor to him in sinning.</w:t>
      </w:r>
    </w:p>
    <w:p>
      <w:r>
        <w:rPr>
          <w:b/>
        </w:rPr>
        <w:t xml:space="preserve">4 </w:t>
      </w:r>
      <w:r>
        <w:t xml:space="preserve">And he did evil before the Lord like the house of Ahab, because they were counselors to him after the death of his father, to destroy him.</w:t>
      </w:r>
    </w:p>
    <w:p>
      <w:r>
        <w:rPr>
          <w:b/>
        </w:rPr>
        <w:t xml:space="preserve">5 </w:t>
      </w:r>
      <w:r>
        <w:t xml:space="preserve">And in their counsels he walked</w:t>
      </w:r>
      <w:r>
        <w:rPr>
          <w:rStyle w:val="FootnoteReference"/>
        </w:rPr>
        <w:footnoteReference w:id="9069"/>
      </w:r>
      <w:r>
        <w:t xml:space="preserve"> and went with Joram son of Ahab to war against Hazael king of Syria at Ramah Gilead, and archers struck Joram.</w:t>
      </w:r>
    </w:p>
    <w:p>
      <w:r>
        <w:rPr>
          <w:b/>
        </w:rPr>
        <w:t xml:space="preserve">6 </w:t>
      </w:r>
      <w:r>
        <w:t xml:space="preserve">And Joram returned to be healed</w:t>
      </w:r>
      <w:r>
        <w:rPr>
          <w:rStyle w:val="FootnoteReference"/>
        </w:rPr>
        <w:footnoteReference w:id="9070"/>
      </w:r>
      <w:r>
        <w:t xml:space="preserve"> in Jezreel from wounds which Syrians gave him in Ramah when he fought Hazael king of Syria, and Ahaziah son of Jehoram king of Judah came down to visit Joram son of Ahab in Jezreel, because he was sick.</w:t>
      </w:r>
    </w:p>
    <w:p>
      <w:r>
        <w:rPr>
          <w:b/>
        </w:rPr>
        <w:t xml:space="preserve">7 </w:t>
      </w:r>
      <w:r>
        <w:t xml:space="preserve">And from God came destruction</w:t>
      </w:r>
      <w:r>
        <w:rPr>
          <w:rStyle w:val="FootnoteReference"/>
        </w:rPr>
        <w:footnoteReference w:id="9071"/>
      </w:r>
      <w:r>
        <w:t xml:space="preserve"> of Ahaziah by coming to Joram. And when he came, Joram went out with him toward Jehu son of Nimshi, anointed of the Lord, against the house of Ahab.</w:t>
      </w:r>
    </w:p>
    <w:p>
      <w:r>
        <w:rPr>
          <w:b/>
        </w:rPr>
        <w:t xml:space="preserve">8 </w:t>
      </w:r>
      <w:r>
        <w:t xml:space="preserve">And it came to pass when Jehu</w:t>
      </w:r>
      <w:r>
        <w:rPr>
          <w:rStyle w:val="FootnoteReference"/>
        </w:rPr>
        <w:footnoteReference w:id="9072"/>
      </w:r>
      <w:r>
        <w:t xml:space="preserve"> avenged the house of Ahab and found rulers of Judah and brothers of Ahaziah ministering to Ahaziah, he killed them.</w:t>
      </w:r>
    </w:p>
    <w:p>
      <w:r>
        <w:rPr>
          <w:b/>
        </w:rPr>
        <w:t xml:space="preserve">9 </w:t>
      </w:r>
      <w:r>
        <w:t xml:space="preserve">And he told them to seek Ahaziah, and they seized him while he was being healed in Samaria</w:t>
      </w:r>
      <w:r>
        <w:rPr>
          <w:rStyle w:val="FootnoteReference"/>
        </w:rPr>
        <w:footnoteReference w:id="9073"/>
      </w:r>
      <w:r>
        <w:t xml:space="preserve"> and brought him to Jehu, and he killed him and buried him, because they said, He is a son of Jehoshaphat who sought the Lord with all his heart</w:t>
      </w:r>
      <w:r>
        <w:rPr>
          <w:rStyle w:val="FootnoteReference"/>
        </w:rPr>
        <w:footnoteReference w:id="9074"/>
      </w:r>
      <w:r>
        <w:t xml:space="preserve">. And there was none in the house of Ahaziah strong enough for the kingdom.</w:t>
      </w:r>
      <w:r>
        <w:rPr>
          <w:rStyle w:val="FootnoteReference"/>
        </w:rPr>
        <w:footnoteReference w:id="9075"/>
      </w:r>
    </w:p>
    <w:p>
      <w:r>
        <w:rPr>
          <w:b/>
        </w:rPr>
        <w:t xml:space="preserve">10 </w:t>
      </w:r>
      <w:r>
        <w:t xml:space="preserve">And Athaliah</w:t>
      </w:r>
      <w:r>
        <w:rPr>
          <w:rStyle w:val="FootnoteReference"/>
        </w:rPr>
        <w:footnoteReference w:id="9076"/>
      </w:r>
      <w:r>
        <w:t xml:space="preserve"> mother of Ahaziah saw that her son was dead, and she rose and destroyed all royal seed in the house of Judah.</w:t>
      </w:r>
    </w:p>
    <w:p>
      <w:r>
        <w:rPr>
          <w:b/>
        </w:rPr>
        <w:t xml:space="preserve">11 </w:t>
      </w:r>
      <w:r>
        <w:t xml:space="preserve">And Jehoshabeath</w:t>
      </w:r>
      <w:r>
        <w:rPr>
          <w:rStyle w:val="FootnoteReference"/>
        </w:rPr>
        <w:footnoteReference w:id="9077"/>
      </w:r>
      <w:r>
        <w:t xml:space="preserve"> daughter of the king took Joash son of Ahaziah and stole him from the midst of the king’s sons who were being put to death and put him and his nurse in chamber of beds. And Jehoshabeath daughter of King Jehoram, sister of Ahaziah, wife of Jehoiada the priest, hid him from before Athaliah, and she did not kill him.</w:t>
      </w:r>
      <w:r>
        <w:rPr>
          <w:rStyle w:val="FootnoteReference"/>
        </w:rPr>
        <w:footnoteReference w:id="9078"/>
      </w:r>
      <w:r>
        <w:rPr>
          <w:rStyle w:val="FootnoteReference"/>
        </w:rPr>
        <w:footnoteReference w:id="9079"/>
      </w:r>
    </w:p>
    <w:p>
      <w:r>
        <w:rPr>
          <w:b/>
        </w:rPr>
        <w:t xml:space="preserve">12 </w:t>
      </w:r>
      <w:r>
        <w:t xml:space="preserve">And he was with her in the house of God, hidden six years, and Athaliah</w:t>
      </w:r>
      <w:r>
        <w:rPr>
          <w:rStyle w:val="FootnoteReference"/>
        </w:rPr>
        <w:footnoteReference w:id="9080"/>
      </w:r>
      <w:r>
        <w:t xml:space="preserve"> reigned over the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in seventh year</w:t>
      </w:r>
      <w:r>
        <w:rPr>
          <w:rStyle w:val="FootnoteReference"/>
        </w:rPr>
        <w:footnoteReference w:id="9081"/>
      </w:r>
      <w:r>
        <w:t xml:space="preserve"> Jehoiada strengthened himself and took the centurions, Azariah son of Jeroham and Ishmael son of Jehohanan and Azariah son of Obed and Maaseiah son of Adaiah and Elzaphan son of Zechariah, with him into the house.</w:t>
      </w:r>
    </w:p>
    <w:p>
      <w:r>
        <w:rPr>
          <w:b/>
        </w:rPr>
        <w:t xml:space="preserve">2 </w:t>
      </w:r>
      <w:r>
        <w:t xml:space="preserve">And they went around Judah and gathered Levites from all the cities of Judah and chiefs of fathers of Israel and came to Jerusalem.</w:t>
      </w:r>
    </w:p>
    <w:p>
      <w:r>
        <w:rPr>
          <w:b/>
        </w:rPr>
        <w:t xml:space="preserve">3 </w:t>
      </w:r>
      <w:r>
        <w:t xml:space="preserve">And all the assembly of Judah made covenant in the house of God</w:t>
      </w:r>
      <w:r>
        <w:rPr>
          <w:rStyle w:val="FootnoteReference"/>
        </w:rPr>
        <w:footnoteReference w:id="9082"/>
      </w:r>
      <w:r>
        <w:t xml:space="preserve"> with the king, and he showed them son of the king and said to them, Behold, son of the king, let him reign, as the Lord</w:t>
      </w:r>
      <w:r>
        <w:rPr>
          <w:rStyle w:val="FootnoteReference"/>
        </w:rPr>
        <w:footnoteReference w:id="9083"/>
      </w:r>
      <w:r>
        <w:t xml:space="preserve"> spoke concerning the house of David.</w:t>
      </w:r>
    </w:p>
    <w:p>
      <w:r>
        <w:rPr>
          <w:b/>
        </w:rPr>
        <w:t xml:space="preserve">4 </w:t>
      </w:r>
      <w:r>
        <w:t xml:space="preserve">Now this is thing which you shall do: one-third of you entering</w:t>
      </w:r>
      <w:r>
        <w:rPr>
          <w:rStyle w:val="FootnoteReference"/>
        </w:rPr>
        <w:footnoteReference w:id="9084"/>
      </w:r>
      <w:r>
        <w:t xml:space="preserve"> on Sabbath, of priests and Levites, shall be at the gates of entries,</w:t>
      </w:r>
    </w:p>
    <w:p>
      <w:r>
        <w:rPr>
          <w:b/>
        </w:rPr>
        <w:t xml:space="preserve">5 </w:t>
      </w:r>
      <w:r>
        <w:t xml:space="preserve">and one-third in the house of the king, and one-third at middle gate, and all the people in the courts of the house of the Lord.</w:t>
      </w:r>
    </w:p>
    <w:p>
      <w:r>
        <w:rPr>
          <w:b/>
        </w:rPr>
        <w:t xml:space="preserve">6 </w:t>
      </w:r>
      <w:r>
        <w:t xml:space="preserve">And no one shall enter house of the Lord except priests and Levites and ministers of Levites. They shall enter because they are holy, and all the people shall keep charges of the Lord.</w:t>
      </w:r>
    </w:p>
    <w:p>
      <w:r>
        <w:rPr>
          <w:b/>
        </w:rPr>
        <w:t xml:space="preserve">7 </w:t>
      </w:r>
      <w:r>
        <w:t xml:space="preserve">And Levites shall surround king all around</w:t>
      </w:r>
      <w:r>
        <w:rPr>
          <w:rStyle w:val="FootnoteReference"/>
        </w:rPr>
        <w:footnoteReference w:id="9085"/>
      </w:r>
      <w:r>
        <w:t xml:space="preserve">, each man with weapon in his hand, and one entering house shall die, and they shall be with the king when he enters and goes out.</w:t>
      </w:r>
    </w:p>
    <w:p>
      <w:r>
        <w:rPr>
          <w:b/>
        </w:rPr>
        <w:t xml:space="preserve">8 </w:t>
      </w:r>
      <w:r>
        <w:t xml:space="preserve">And Levites and all Judah did according to all things which Jehoiada the priest commanded, and each took his men from the beginning of Sabbath to the end of Sabbath</w:t>
      </w:r>
      <w:r>
        <w:rPr>
          <w:rStyle w:val="FootnoteReference"/>
        </w:rPr>
        <w:footnoteReference w:id="9086"/>
      </w:r>
      <w:r>
        <w:t xml:space="preserve">, because Jehoiada did not dismiss courses.</w:t>
      </w:r>
    </w:p>
    <w:p>
      <w:r>
        <w:rPr>
          <w:b/>
        </w:rPr>
        <w:t xml:space="preserve">9 </w:t>
      </w:r>
      <w:r>
        <w:t xml:space="preserve">And he gave swords and shields and weapons which belonged to King David in the house of God.</w:t>
      </w:r>
    </w:p>
    <w:p>
      <w:r>
        <w:rPr>
          <w:b/>
        </w:rPr>
        <w:t xml:space="preserve">10 </w:t>
      </w:r>
      <w:r>
        <w:t xml:space="preserve">And he set all the people, each with his weapons, from the right shoulder of the house to the left shoulder of the altar and the house, around the king.</w:t>
      </w:r>
    </w:p>
    <w:p>
      <w:r>
        <w:rPr>
          <w:b/>
        </w:rPr>
        <w:t xml:space="preserve">11 </w:t>
      </w:r>
      <w:r>
        <w:t xml:space="preserve">And they brought</w:t>
      </w:r>
      <w:r>
        <w:rPr>
          <w:rStyle w:val="FootnoteReference"/>
        </w:rPr>
        <w:footnoteReference w:id="9087"/>
      </w:r>
      <w:r>
        <w:t xml:space="preserve"> out son of the king and put kingdom and testimonies upon him, and they made him king and anointed him, Jehoiada and his sons, and said, Let king live.</w:t>
      </w:r>
    </w:p>
    <w:p>
      <w:r>
        <w:rPr>
          <w:b/>
        </w:rPr>
        <w:t xml:space="preserve">12 </w:t>
      </w:r>
      <w:r>
        <w:t xml:space="preserve">And Athaliah heard the sound of the people running and giving thanks and praising the king and entered to the king in the house of the Lord.</w:t>
      </w:r>
    </w:p>
    <w:p>
      <w:r>
        <w:rPr>
          <w:b/>
        </w:rPr>
        <w:t xml:space="preserve">13 </w:t>
      </w:r>
      <w:r>
        <w:t xml:space="preserve">And she saw, and behold, the king stood at his station and at the entrance, rulers and trumpets around the king, and all the people</w:t>
      </w:r>
      <w:r>
        <w:rPr>
          <w:rStyle w:val="FootnoteReference"/>
        </w:rPr>
        <w:footnoteReference w:id="9088"/>
      </w:r>
      <w:r>
        <w:t xml:space="preserve"> of the land rejoiced, and they sounded with trumpets, and singers with the instruments of songs and hymning praise</w:t>
      </w:r>
      <w:r>
        <w:rPr>
          <w:rStyle w:val="FootnoteReference"/>
        </w:rPr>
        <w:footnoteReference w:id="9089"/>
      </w:r>
      <w:r>
        <w:t xml:space="preserve">. And Athaliah tore her robe and cried, Conspiracy, conspire!</w:t>
      </w:r>
    </w:p>
    <w:p>
      <w:r>
        <w:rPr>
          <w:b/>
        </w:rPr>
        <w:t xml:space="preserve">14 </w:t>
      </w:r>
      <w:r>
        <w:t xml:space="preserve">And Jehoiada the priest went out and commanded centurions and leaders of force and said to them, Throw her out beyond house</w:t>
      </w:r>
      <w:r>
        <w:rPr>
          <w:rStyle w:val="FootnoteReference"/>
        </w:rPr>
        <w:footnoteReference w:id="9090"/>
      </w:r>
      <w:r>
        <w:t xml:space="preserve">, and whoever enters after her, let him die by sword, because priest said, Let her not die in the house of the Lord.</w:t>
      </w:r>
    </w:p>
    <w:p>
      <w:r>
        <w:rPr>
          <w:b/>
        </w:rPr>
        <w:t xml:space="preserve">15 </w:t>
      </w:r>
      <w:r>
        <w:t xml:space="preserve">And they gave her free passage, and she went through the horse gate</w:t>
      </w:r>
      <w:r>
        <w:rPr>
          <w:rStyle w:val="FootnoteReference"/>
        </w:rPr>
        <w:footnoteReference w:id="9091"/>
      </w:r>
      <w:r>
        <w:t xml:space="preserve"> of the house of the king, and they killed her there.</w:t>
      </w:r>
    </w:p>
    <w:p>
      <w:r>
        <w:rPr>
          <w:b/>
        </w:rPr>
        <w:t xml:space="preserve">16 </w:t>
      </w:r>
      <w:r>
        <w:t xml:space="preserve">And Jehoiada made covenant between himself and people and the king, that they should</w:t>
      </w:r>
      <w:r>
        <w:rPr>
          <w:rStyle w:val="FootnoteReference"/>
        </w:rPr>
        <w:footnoteReference w:id="9092"/>
      </w:r>
      <w:r>
        <w:t xml:space="preserve"> be people to the Lord.</w:t>
      </w:r>
    </w:p>
    <w:p>
      <w:r>
        <w:rPr>
          <w:b/>
        </w:rPr>
        <w:t xml:space="preserve">17 </w:t>
      </w:r>
      <w:r>
        <w:t xml:space="preserve">And all the people of the land entered the house of Baal</w:t>
      </w:r>
      <w:r>
        <w:rPr>
          <w:rStyle w:val="FootnoteReference"/>
        </w:rPr>
        <w:footnoteReference w:id="9093"/>
      </w:r>
      <w:r>
        <w:t xml:space="preserve"> and pulled it down, and his altars and idols they crushed small, and Matthan priest of Baal they killed before his altars.</w:t>
      </w:r>
    </w:p>
    <w:p>
      <w:r>
        <w:rPr>
          <w:b/>
        </w:rPr>
        <w:t xml:space="preserve">18 </w:t>
      </w:r>
      <w:r>
        <w:t xml:space="preserve">And Jehoiada the priest entrusted works of the house of the Lord by the hand of priests and Levites and restored courses of priests and Levites which David appointed over the house of the Lord, to offer whole burnt offerings to the Lord as written in the law of Moses, with gladness and with songs by the hand of David.</w:t>
      </w:r>
      <w:r>
        <w:rPr>
          <w:rStyle w:val="FootnoteReference"/>
        </w:rPr>
        <w:footnoteReference w:id="9094"/>
      </w:r>
    </w:p>
    <w:p>
      <w:r>
        <w:rPr>
          <w:b/>
        </w:rPr>
        <w:t xml:space="preserve">19 </w:t>
      </w:r>
      <w:r>
        <w:t xml:space="preserve">And they stationed gatekeepers at the gates of the house of the Lord, and no unclean person in any matter shall enter.</w:t>
      </w:r>
    </w:p>
    <w:p>
      <w:r>
        <w:rPr>
          <w:b/>
        </w:rPr>
        <w:t xml:space="preserve">20 </w:t>
      </w:r>
      <w:r>
        <w:t xml:space="preserve">And he took patriarchs and mighty men and rulers of the people and all the people of the land, and brought up king to the house of the Lord, and entered by inner gate</w:t>
      </w:r>
      <w:r>
        <w:rPr>
          <w:rStyle w:val="FootnoteReference"/>
        </w:rPr>
        <w:footnoteReference w:id="9095"/>
      </w:r>
      <w:r>
        <w:t xml:space="preserve"> into the house of the king and seated king upon the throne of kingdom.</w:t>
      </w:r>
    </w:p>
    <w:p>
      <w:r>
        <w:rPr>
          <w:b/>
        </w:rPr>
        <w:t xml:space="preserve">21 </w:t>
      </w:r>
      <w:r>
        <w:t xml:space="preserve">And all the people of the land rejoiced, and the city was quiet, and they killed Athaliah with sword.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Joash</w:t>
      </w:r>
      <w:r>
        <w:rPr>
          <w:rStyle w:val="FootnoteReference"/>
        </w:rPr>
        <w:footnoteReference w:id="9096"/>
      </w:r>
      <w:r>
        <w:t xml:space="preserve"> was seven years old when he reigned, and forty years he reigned in Jerusalem, and the name of his mother was Shachia from Beersheba.</w:t>
      </w:r>
    </w:p>
    <w:p>
      <w:r>
        <w:rPr>
          <w:b/>
        </w:rPr>
        <w:t xml:space="preserve">2 </w:t>
      </w:r>
      <w:r>
        <w:t xml:space="preserve">And Joash</w:t>
      </w:r>
      <w:r>
        <w:rPr>
          <w:rStyle w:val="FootnoteReference"/>
        </w:rPr>
        <w:footnoteReference w:id="9097"/>
      </w:r>
      <w:r>
        <w:t xml:space="preserve"> did upright in the sight of the Lord all days of Jehoiada the priest.</w:t>
      </w:r>
    </w:p>
    <w:p>
      <w:r>
        <w:rPr>
          <w:b/>
        </w:rPr>
        <w:t xml:space="preserve">3 </w:t>
      </w:r>
      <w:r>
        <w:t xml:space="preserve">And Jehoiada took for him</w:t>
      </w:r>
      <w:r>
        <w:rPr>
          <w:rStyle w:val="FootnoteReference"/>
        </w:rPr>
        <w:footnoteReference w:id="9098"/>
      </w:r>
      <w:r>
        <w:t xml:space="preserve"> two wives, and he fathered sons and daughters.</w:t>
      </w:r>
    </w:p>
    <w:p>
      <w:r>
        <w:rPr>
          <w:b/>
        </w:rPr>
        <w:t xml:space="preserve">4 </w:t>
      </w:r>
      <w:r>
        <w:t xml:space="preserve">And after these things it came upon the heart of Joash to repair</w:t>
      </w:r>
      <w:r>
        <w:rPr>
          <w:rStyle w:val="FootnoteReference"/>
        </w:rPr>
        <w:footnoteReference w:id="9099"/>
      </w:r>
      <w:r>
        <w:t xml:space="preserve"> the house of the Lord.</w:t>
      </w:r>
    </w:p>
    <w:p>
      <w:r>
        <w:rPr>
          <w:b/>
        </w:rPr>
        <w:t xml:space="preserve">5 </w:t>
      </w:r>
      <w:r>
        <w:t xml:space="preserve">And he gathered priests and Levites and said to them, Go out into the cities of Judah and gather from all Israel silver to strengthen the house of the Lord year by year, and hurry to speak. And Levites did not hurry.</w:t>
      </w:r>
    </w:p>
    <w:p>
      <w:r>
        <w:rPr>
          <w:b/>
        </w:rPr>
        <w:t xml:space="preserve">6 </w:t>
      </w:r>
      <w:r>
        <w:t xml:space="preserve">And King Joash called Jehoiada the chief and said to him, Why did you not see about Levites to bring from Judah and Jerusalem what was ordained by Moses man of God</w:t>
      </w:r>
      <w:r>
        <w:rPr>
          <w:rStyle w:val="FootnoteReference"/>
        </w:rPr>
        <w:footnoteReference w:id="9100"/>
      </w:r>
      <w:r>
        <w:t xml:space="preserve"> when he assembled Israel for the tent of testimony?</w:t>
      </w:r>
    </w:p>
    <w:p>
      <w:r>
        <w:rPr>
          <w:b/>
        </w:rPr>
        <w:t xml:space="preserve">7 </w:t>
      </w:r>
      <w:r>
        <w:t xml:space="preserve">Because Athaliah was lawless, and her sons pulled down the house of God, and indeed holy things of the house of the Lord they made for Baals.</w:t>
      </w:r>
    </w:p>
    <w:p>
      <w:r>
        <w:rPr>
          <w:b/>
        </w:rPr>
        <w:t xml:space="preserve">8 </w:t>
      </w:r>
      <w:r>
        <w:t xml:space="preserve">And the king said, Let a chest be made and placed at the gate of the house of the Lord outside.</w:t>
      </w:r>
    </w:p>
    <w:p>
      <w:r>
        <w:rPr>
          <w:b/>
        </w:rPr>
        <w:t xml:space="preserve">9 </w:t>
      </w:r>
      <w:r>
        <w:t xml:space="preserve">And let them proclaim in Judah and in Jerusalem to bring to the Lord as Moses servant of God spoke upon Israel in the wilderness.</w:t>
      </w:r>
    </w:p>
    <w:p>
      <w:r>
        <w:rPr>
          <w:b/>
        </w:rPr>
        <w:t xml:space="preserve">10 </w:t>
      </w:r>
      <w:r>
        <w:t xml:space="preserve">And all rulers and all the people gave and brought and put into chest until it was full.</w:t>
      </w:r>
    </w:p>
    <w:p>
      <w:r>
        <w:rPr>
          <w:b/>
        </w:rPr>
        <w:t xml:space="preserve">11 </w:t>
      </w:r>
      <w:r>
        <w:t xml:space="preserve">And whenever chest was brought to the king’s officers by the hand of Levites, and when they saw silver had multiplied, then king’s scribe came and officer of high priest and emptied chest and restored it to its place. Thus they did</w:t>
      </w:r>
      <w:r>
        <w:rPr>
          <w:rStyle w:val="FootnoteReference"/>
        </w:rPr>
        <w:footnoteReference w:id="9101"/>
      </w:r>
      <w:r>
        <w:t xml:space="preserve"> day by day and gathered much silver.</w:t>
      </w:r>
      <w:r>
        <w:rPr>
          <w:rStyle w:val="FootnoteReference"/>
        </w:rPr>
        <w:footnoteReference w:id="9102"/>
      </w:r>
    </w:p>
    <w:p>
      <w:r>
        <w:rPr>
          <w:b/>
        </w:rPr>
        <w:t xml:space="preserve">12 </w:t>
      </w:r>
      <w:r>
        <w:t xml:space="preserve">And the king and Jehoiada the priest gave it to those doing works for the work of the house of the Lord, and they hired stonecutters</w:t>
      </w:r>
      <w:r>
        <w:rPr>
          <w:rStyle w:val="FootnoteReference"/>
        </w:rPr>
        <w:footnoteReference w:id="9103"/>
      </w:r>
      <w:r>
        <w:t xml:space="preserve"> and carpenters to repair the house of the Lord, and workers in iron and bronze to repair the house of the Lord.</w:t>
      </w:r>
    </w:p>
    <w:p>
      <w:r>
        <w:rPr>
          <w:b/>
        </w:rPr>
        <w:t xml:space="preserve">13 </w:t>
      </w:r>
      <w:r>
        <w:t xml:space="preserve">And workers did work, and length of works went up in their hands, and they restored house of the Lord to its standing and strengthened it.</w:t>
      </w:r>
    </w:p>
    <w:p>
      <w:r>
        <w:rPr>
          <w:b/>
        </w:rPr>
        <w:t xml:space="preserve">14 </w:t>
      </w:r>
      <w:r>
        <w:t xml:space="preserve">And when they finished</w:t>
      </w:r>
      <w:r>
        <w:rPr>
          <w:rStyle w:val="FootnoteReference"/>
        </w:rPr>
        <w:footnoteReference w:id="9104"/>
      </w:r>
      <w:r>
        <w:t xml:space="preserve">, they brought remaining silver to the king and to Jehoiada, and they made vessels for the house of the Lord, ministering vessels for whole burnt offerings and censers of gold and silver, and they offered</w:t>
      </w:r>
      <w:r>
        <w:rPr>
          <w:rStyle w:val="FootnoteReference"/>
        </w:rPr>
        <w:footnoteReference w:id="9105"/>
      </w:r>
      <w:r>
        <w:t xml:space="preserve"> whole burnt offerings in the house of the Lord continually all days of Jehoiada.</w:t>
      </w:r>
    </w:p>
    <w:p>
      <w:r>
        <w:rPr>
          <w:b/>
        </w:rPr>
        <w:t xml:space="preserve">15 </w:t>
      </w:r>
      <w:r>
        <w:t xml:space="preserve">And Jehoiada grew old, full of days, and died, being one hundred thirty years old at his death.</w:t>
      </w:r>
    </w:p>
    <w:p>
      <w:r>
        <w:rPr>
          <w:b/>
        </w:rPr>
        <w:t xml:space="preserve">16 </w:t>
      </w:r>
      <w:r>
        <w:t xml:space="preserve">And they buried him in the City</w:t>
      </w:r>
      <w:r>
        <w:rPr>
          <w:rStyle w:val="FootnoteReference"/>
        </w:rPr>
        <w:footnoteReference w:id="9106"/>
      </w:r>
      <w:r>
        <w:t xml:space="preserve"> of David with kings, because he did goodness with Israel and with God and his house.</w:t>
      </w:r>
    </w:p>
    <w:p>
      <w:r>
        <w:rPr>
          <w:b/>
        </w:rPr>
        <w:t xml:space="preserve">17 </w:t>
      </w:r>
      <w:r>
        <w:t xml:space="preserve">And after the death of Jehoiada, rulers of Judah came and bowed to the king; then king listened to them.</w:t>
      </w:r>
    </w:p>
    <w:p>
      <w:r>
        <w:rPr>
          <w:b/>
        </w:rPr>
        <w:t xml:space="preserve">18 </w:t>
      </w:r>
      <w:r>
        <w:t xml:space="preserve">And they forsook the Lord God of their fathers and served Ashtaroth and idols, and wrath</w:t>
      </w:r>
      <w:r>
        <w:rPr>
          <w:rStyle w:val="FootnoteReference"/>
        </w:rPr>
        <w:footnoteReference w:id="9107"/>
      </w:r>
      <w:r>
        <w:t xml:space="preserve"> came upon Judah and Jerusalem in this day.</w:t>
      </w:r>
    </w:p>
    <w:p>
      <w:r>
        <w:rPr>
          <w:b/>
        </w:rPr>
        <w:t xml:space="preserve">19 </w:t>
      </w:r>
      <w:r>
        <w:t xml:space="preserve">And he sent prophets to them to return to the Lord, and they did not listen, and they testified to them and they did not listen.</w:t>
      </w:r>
    </w:p>
    <w:p>
      <w:r>
        <w:rPr>
          <w:b/>
        </w:rPr>
        <w:t xml:space="preserve">20 </w:t>
      </w:r>
      <w:r>
        <w:t xml:space="preserve">And the Spirit</w:t>
      </w:r>
      <w:r>
        <w:rPr>
          <w:rStyle w:val="FootnoteReference"/>
        </w:rPr>
        <w:footnoteReference w:id="9108"/>
      </w:r>
      <w:r>
        <w:t xml:space="preserve"> of God clothed Azariah son of Jehoiada the priest, and he stood above the people and said, Thus says the Lord: Why do you transgress the commandments of the Lord and not prosper? Because you forsake the Lord, he will forsake you.</w:t>
      </w:r>
    </w:p>
    <w:p>
      <w:r>
        <w:rPr>
          <w:b/>
        </w:rPr>
        <w:t xml:space="preserve">21 </w:t>
      </w:r>
      <w:r>
        <w:t xml:space="preserve">And they conspired</w:t>
      </w:r>
      <w:r>
        <w:rPr>
          <w:rStyle w:val="FootnoteReference"/>
        </w:rPr>
        <w:footnoteReference w:id="9109"/>
      </w:r>
      <w:r>
        <w:t xml:space="preserve"> against him and stoned him by the command of King Joash in the court of the house of the Lord.</w:t>
      </w:r>
    </w:p>
    <w:p>
      <w:r>
        <w:rPr>
          <w:b/>
        </w:rPr>
        <w:t xml:space="preserve">22 </w:t>
      </w:r>
      <w:r>
        <w:t xml:space="preserve">And Joash did not remember mercy which Jehoiada his father did with him and killed his son. And as he was dying, he said, Let the Lord</w:t>
      </w:r>
      <w:r>
        <w:rPr>
          <w:rStyle w:val="FootnoteReference"/>
        </w:rPr>
        <w:footnoteReference w:id="9110"/>
      </w:r>
      <w:r>
        <w:t xml:space="preserve"> see and judge.</w:t>
      </w:r>
    </w:p>
    <w:p>
      <w:r>
        <w:rPr>
          <w:b/>
        </w:rPr>
        <w:t xml:space="preserve">23 </w:t>
      </w:r>
      <w:r>
        <w:t xml:space="preserve">And it came to pass after completion of year, force of Syria came up against him and came upon Judah and Jerusalem and destroyed all rulers of the people among people, and all their spoils they sent to the king of Damascus.</w:t>
      </w:r>
    </w:p>
    <w:p>
      <w:r>
        <w:rPr>
          <w:b/>
        </w:rPr>
        <w:t xml:space="preserve">24 </w:t>
      </w:r>
      <w:r>
        <w:t xml:space="preserve">Because with few men force of Syria came, and God gave into their hands very great force, because they forsook the Lord God of their fathers, and against Joash he made judgments</w:t>
      </w:r>
      <w:r>
        <w:rPr>
          <w:rStyle w:val="FootnoteReference"/>
        </w:rPr>
        <w:footnoteReference w:id="9111"/>
      </w:r>
      <w:r>
        <w:t xml:space="preserve">.</w:t>
      </w:r>
    </w:p>
    <w:p>
      <w:r>
        <w:rPr>
          <w:b/>
        </w:rPr>
        <w:t xml:space="preserve">25 </w:t>
      </w:r>
      <w:r>
        <w:t xml:space="preserve">And after they departed from him, leaving him in great weaknesses, his servants conspired against him over bloods of son of Jehoiada</w:t>
      </w:r>
      <w:r>
        <w:rPr>
          <w:rStyle w:val="FootnoteReference"/>
        </w:rPr>
        <w:footnoteReference w:id="9112"/>
      </w:r>
      <w:r>
        <w:t xml:space="preserve"> the priest and killed him on his bed, and he died. And they buried him in the City of David, but they did not bury him in tomb of kings.</w:t>
      </w:r>
    </w:p>
    <w:p>
      <w:r>
        <w:rPr>
          <w:b/>
        </w:rPr>
        <w:t xml:space="preserve">26 </w:t>
      </w:r>
      <w:r>
        <w:t xml:space="preserve">And those conspiring against him were Zabad</w:t>
      </w:r>
      <w:r>
        <w:rPr>
          <w:rStyle w:val="FootnoteReference"/>
        </w:rPr>
        <w:footnoteReference w:id="9113"/>
      </w:r>
      <w:r>
        <w:t xml:space="preserve"> son of Shimeath</w:t>
      </w:r>
      <w:r>
        <w:rPr>
          <w:rStyle w:val="FootnoteReference"/>
        </w:rPr>
        <w:footnoteReference w:id="9114"/>
      </w:r>
      <w:r>
        <w:t xml:space="preserve"> the Ammonite and Jehozabad son of Shimrith</w:t>
      </w:r>
      <w:r>
        <w:rPr>
          <w:rStyle w:val="FootnoteReference"/>
        </w:rPr>
        <w:footnoteReference w:id="9115"/>
      </w:r>
      <w:r>
        <w:t xml:space="preserve"> the Moabite.</w:t>
      </w:r>
    </w:p>
    <w:p>
      <w:r>
        <w:rPr>
          <w:b/>
        </w:rPr>
        <w:t xml:space="preserve">27 </w:t>
      </w:r>
      <w:r>
        <w:t xml:space="preserve">And all his sons and the five things brought upon him and the rest, behold, written on commentary of kings, and Amaziah</w:t>
      </w:r>
      <w:r>
        <w:rPr>
          <w:rStyle w:val="FootnoteReference"/>
        </w:rPr>
        <w:footnoteReference w:id="9116"/>
      </w:r>
      <w:r>
        <w:t xml:space="preserve">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Amaziah was twenty-five years old when he reigned, and twenty-nine years he reigned in Jerusalem, and the name of his mother was Jehoaddan from Jerusalem.</w:t>
      </w:r>
    </w:p>
    <w:p>
      <w:r>
        <w:rPr>
          <w:b/>
        </w:rPr>
        <w:t xml:space="preserve">2 </w:t>
      </w:r>
      <w:r>
        <w:t xml:space="preserve">And he did upright in the sight of the Lord, but not</w:t>
      </w:r>
      <w:r>
        <w:rPr>
          <w:rStyle w:val="FootnoteReference"/>
        </w:rPr>
        <w:footnoteReference w:id="9117"/>
      </w:r>
      <w:r>
        <w:t xml:space="preserve"> with full heart.</w:t>
      </w:r>
    </w:p>
    <w:p>
      <w:r>
        <w:rPr>
          <w:b/>
        </w:rPr>
        <w:t xml:space="preserve">3 </w:t>
      </w:r>
      <w:r>
        <w:t xml:space="preserve">And it came to pass when kingdom was established in his hand, he killed his servants who killed king his father.</w:t>
      </w:r>
    </w:p>
    <w:p>
      <w:r>
        <w:rPr>
          <w:b/>
        </w:rPr>
        <w:t xml:space="preserve">4 </w:t>
      </w:r>
      <w:r>
        <w:t xml:space="preserve">But their sons he did not kill, according to the covenant of the law of the Lord</w:t>
      </w:r>
      <w:r>
        <w:rPr>
          <w:rStyle w:val="FootnoteReference"/>
        </w:rPr>
        <w:footnoteReference w:id="9118"/>
      </w:r>
      <w:r>
        <w:t xml:space="preserve">, as written, as the Lord commanded, saying, Fathers shall not die for children, and sons shall not die for fathers, but each shall die for his own sin.</w:t>
      </w:r>
    </w:p>
    <w:p>
      <w:r>
        <w:rPr>
          <w:b/>
        </w:rPr>
        <w:t xml:space="preserve">5 </w:t>
      </w:r>
      <w:r>
        <w:t xml:space="preserve">And Amaziah gathered the house of Judah and set them by the houses of their fathers over thousands and hundreds</w:t>
      </w:r>
      <w:r>
        <w:rPr>
          <w:rStyle w:val="FootnoteReference"/>
        </w:rPr>
        <w:footnoteReference w:id="9119"/>
      </w:r>
      <w:r>
        <w:t xml:space="preserve"> in all Judah and Jerusalem, and counted them from twenty</w:t>
      </w:r>
      <w:r>
        <w:rPr>
          <w:rStyle w:val="FootnoteReference"/>
        </w:rPr>
        <w:footnoteReference w:id="9120"/>
      </w:r>
      <w:r>
        <w:t xml:space="preserve"> years old and upward and found them three hundred thousand able to go out to battle, holding spear and shield.</w:t>
      </w:r>
    </w:p>
    <w:p>
      <w:r>
        <w:rPr>
          <w:b/>
        </w:rPr>
        <w:t xml:space="preserve">6 </w:t>
      </w:r>
      <w:r>
        <w:t xml:space="preserve">And he hired from Israel one hundred thousand mighty men of strength for one hundred talents of silver.</w:t>
      </w:r>
    </w:p>
    <w:p>
      <w:r>
        <w:rPr>
          <w:b/>
        </w:rPr>
        <w:t xml:space="preserve">7 </w:t>
      </w:r>
      <w:r>
        <w:t xml:space="preserve">And man of God came to him, saying, King, force of Israel shall not go with you, because the Lord is not with Israel, with all sons of Ephraim.</w:t>
      </w:r>
    </w:p>
    <w:p>
      <w:r>
        <w:rPr>
          <w:b/>
        </w:rPr>
        <w:t xml:space="preserve">8 </w:t>
      </w:r>
      <w:r>
        <w:t xml:space="preserve">Because if you suppose to prevail by these, the Lord</w:t>
      </w:r>
      <w:r>
        <w:rPr>
          <w:rStyle w:val="FootnoteReference"/>
        </w:rPr>
        <w:footnoteReference w:id="9121"/>
      </w:r>
      <w:r>
        <w:t xml:space="preserve"> will rout you before enemies, because with the Lord there is power both to strengthen and to route.</w:t>
      </w:r>
    </w:p>
    <w:p>
      <w:r>
        <w:rPr>
          <w:b/>
        </w:rPr>
        <w:t xml:space="preserve">9 </w:t>
      </w:r>
      <w:r>
        <w:t xml:space="preserve">And Amaziah said to the man of God, And what shall I do with hundred talents which I gave to force of Israel? And man of God said, the Lord is able to give you many more than these.</w:t>
      </w:r>
    </w:p>
    <w:p>
      <w:r>
        <w:rPr>
          <w:b/>
        </w:rPr>
        <w:t xml:space="preserve">10 </w:t>
      </w:r>
      <w:r>
        <w:t xml:space="preserve">And Amaziah</w:t>
      </w:r>
      <w:r>
        <w:rPr>
          <w:rStyle w:val="FootnoteReference"/>
        </w:rPr>
        <w:footnoteReference w:id="9122"/>
      </w:r>
      <w:r>
        <w:t xml:space="preserve"> separated force that came to him from Ephraim to go to their place, and they were very angry against Judah and returned to their place in the heat of anger.</w:t>
      </w:r>
    </w:p>
    <w:p>
      <w:r>
        <w:rPr>
          <w:b/>
        </w:rPr>
        <w:t xml:space="preserve">11 </w:t>
      </w:r>
      <w:r>
        <w:t xml:space="preserve">And Amaziah strengthened himself and took his people and went to the valley</w:t>
      </w:r>
      <w:r>
        <w:rPr>
          <w:rStyle w:val="FootnoteReference"/>
        </w:rPr>
        <w:footnoteReference w:id="9123"/>
      </w:r>
      <w:r>
        <w:t xml:space="preserve"> of salt pits and struck there ten thousand sons of Seir.</w:t>
      </w:r>
    </w:p>
    <w:p>
      <w:r>
        <w:rPr>
          <w:b/>
        </w:rPr>
        <w:t xml:space="preserve">12 </w:t>
      </w:r>
      <w:r>
        <w:t xml:space="preserve">And ten thousand sons of Judah took captive alive and brought them to the top of cliff and threw them down from the top of cliff, and all were broken apart</w:t>
      </w:r>
      <w:r>
        <w:rPr>
          <w:rStyle w:val="FootnoteReference"/>
        </w:rPr>
        <w:footnoteReference w:id="9124"/>
      </w:r>
      <w:r>
        <w:t xml:space="preserve">.</w:t>
      </w:r>
    </w:p>
    <w:p>
      <w:r>
        <w:rPr>
          <w:b/>
        </w:rPr>
        <w:t xml:space="preserve">13 </w:t>
      </w:r>
      <w:r>
        <w:t xml:space="preserve">And sons of force</w:t>
      </w:r>
      <w:r>
        <w:rPr>
          <w:rStyle w:val="FootnoteReference"/>
        </w:rPr>
        <w:footnoteReference w:id="9125"/>
      </w:r>
      <w:r>
        <w:t xml:space="preserve"> whom Amaziah sent back from not going with him to war attacked the cities of Judah from Samaria</w:t>
      </w:r>
      <w:r>
        <w:rPr>
          <w:rStyle w:val="FootnoteReference"/>
        </w:rPr>
        <w:footnoteReference w:id="9126"/>
      </w:r>
      <w:r>
        <w:t xml:space="preserve"> to Bethhoron and struck among them three thousand and plundered much spoil.</w:t>
      </w:r>
    </w:p>
    <w:p>
      <w:r>
        <w:rPr>
          <w:b/>
        </w:rPr>
        <w:t xml:space="preserve">14 </w:t>
      </w:r>
      <w:r>
        <w:t xml:space="preserve">And it came to pass after Amaziah came from striking Edom, he brought</w:t>
      </w:r>
      <w:r>
        <w:rPr>
          <w:rStyle w:val="FootnoteReference"/>
        </w:rPr>
        <w:footnoteReference w:id="9127"/>
      </w:r>
      <w:r>
        <w:t xml:space="preserve"> to them gods of sons of Seir and set them up for himself as gods, and bowed before them and burned sacrifice to them</w:t>
      </w:r>
      <w:r>
        <w:rPr>
          <w:rStyle w:val="FootnoteReference"/>
        </w:rPr>
        <w:footnoteReference w:id="9128"/>
      </w:r>
      <w:r>
        <w:t xml:space="preserve">.</w:t>
      </w:r>
    </w:p>
    <w:p>
      <w:r>
        <w:rPr>
          <w:b/>
        </w:rPr>
        <w:t xml:space="preserve">15 </w:t>
      </w:r>
      <w:r>
        <w:t xml:space="preserve">And the anger of the Lord came upon Amaziah and he sent prophets</w:t>
      </w:r>
      <w:r>
        <w:rPr>
          <w:rStyle w:val="FootnoteReference"/>
        </w:rPr>
        <w:footnoteReference w:id="9129"/>
      </w:r>
      <w:r>
        <w:t xml:space="preserve"> to him and said to him, Why did you seek gods of the people who did not rescue their own people from your hand?</w:t>
      </w:r>
    </w:p>
    <w:p>
      <w:r>
        <w:rPr>
          <w:b/>
        </w:rPr>
        <w:t xml:space="preserve">16 </w:t>
      </w:r>
      <w:r>
        <w:t xml:space="preserve">And it came to pass as he spoke to him, he said to him, Have I made you counselor of the king</w:t>
      </w:r>
      <w:r>
        <w:rPr>
          <w:rStyle w:val="FootnoteReference"/>
        </w:rPr>
        <w:footnoteReference w:id="9130"/>
      </w:r>
      <w:r>
        <w:t xml:space="preserve">? Take heed lest you be whipped. And prophet was silent and said, I know that this was intended against you to destroy you, because you did this and did not listen to my counsel.</w:t>
      </w:r>
    </w:p>
    <w:p>
      <w:r>
        <w:rPr>
          <w:b/>
        </w:rPr>
        <w:t xml:space="preserve">17 </w:t>
      </w:r>
      <w:r>
        <w:t xml:space="preserve">And Amaziah</w:t>
      </w:r>
      <w:r>
        <w:rPr>
          <w:rStyle w:val="FootnoteReference"/>
        </w:rPr>
        <w:footnoteReference w:id="9131"/>
      </w:r>
      <w:r>
        <w:t xml:space="preserve"> took counsel and sent to Joash son of Jehoahaz son of Jehu king of Israel, saying, Come, let us look one another in face.</w:t>
      </w:r>
    </w:p>
    <w:p>
      <w:r>
        <w:rPr>
          <w:b/>
        </w:rPr>
        <w:t xml:space="preserve">18 </w:t>
      </w:r>
      <w:r>
        <w:t xml:space="preserve">And Joash king of Israel sent to Amaziah king of Judah, saying, Thornbush</w:t>
      </w:r>
      <w:r>
        <w:rPr>
          <w:rStyle w:val="FootnoteReference"/>
        </w:rPr>
        <w:footnoteReference w:id="9132"/>
      </w:r>
      <w:r>
        <w:t xml:space="preserve"> in Lebanon sent to cedar in Lebanon, saying, Give your daughter to my son for wife. And behold, beasts of the field in Lebanon came and trampled thornbush.</w:t>
      </w:r>
    </w:p>
    <w:p>
      <w:r>
        <w:rPr>
          <w:b/>
        </w:rPr>
        <w:t xml:space="preserve">19 </w:t>
      </w:r>
      <w:r>
        <w:t xml:space="preserve">You said, Behold, you struck Edom, and your heavy heart</w:t>
      </w:r>
      <w:r>
        <w:rPr>
          <w:rStyle w:val="FootnoteReference"/>
        </w:rPr>
        <w:footnoteReference w:id="9133"/>
      </w:r>
      <w:r>
        <w:t xml:space="preserve"> lifts you up. Now sit in your house. Why provoke evil and fall, you and Judah with you?</w:t>
      </w:r>
    </w:p>
    <w:p>
      <w:r>
        <w:rPr>
          <w:b/>
        </w:rPr>
        <w:t xml:space="preserve">20 </w:t>
      </w:r>
      <w:r>
        <w:t xml:space="preserve">And Amaziah did not listen, because it came from the Lord to hand him over, because he sought</w:t>
      </w:r>
      <w:r>
        <w:rPr>
          <w:rStyle w:val="FootnoteReference"/>
        </w:rPr>
        <w:footnoteReference w:id="9134"/>
      </w:r>
      <w:r>
        <w:t xml:space="preserve"> gods of Edomites.</w:t>
      </w:r>
    </w:p>
    <w:p>
      <w:r>
        <w:rPr>
          <w:b/>
        </w:rPr>
        <w:t xml:space="preserve">21 </w:t>
      </w:r>
      <w:r>
        <w:t xml:space="preserve">And Joash king of Israel went up, and they looked one another in face, he and Amaziah king of Judah, at Beth-shemesh, which belongs to Judah.</w:t>
      </w:r>
    </w:p>
    <w:p>
      <w:r>
        <w:rPr>
          <w:b/>
        </w:rPr>
        <w:t xml:space="preserve">22 </w:t>
      </w:r>
      <w:r>
        <w:t xml:space="preserve">And Judah was routed before Israel, and each fled</w:t>
      </w:r>
      <w:r>
        <w:rPr>
          <w:rStyle w:val="FootnoteReference"/>
        </w:rPr>
        <w:footnoteReference w:id="9135"/>
      </w:r>
      <w:r>
        <w:t xml:space="preserve"> to his tent.</w:t>
      </w:r>
    </w:p>
    <w:p>
      <w:r>
        <w:rPr>
          <w:b/>
        </w:rPr>
        <w:t xml:space="preserve">23 </w:t>
      </w:r>
      <w:r>
        <w:t xml:space="preserve">And Joash king of Israel seized Amaziah king of Judah, son of Joash, at Beth-shemesh and brought him to Jerusalem and pulled down from the wall of Jerusalem, from the gate of Ephraim</w:t>
      </w:r>
      <w:r>
        <w:rPr>
          <w:rStyle w:val="FootnoteReference"/>
        </w:rPr>
        <w:footnoteReference w:id="9136"/>
      </w:r>
      <w:r>
        <w:t xml:space="preserve"> to corner gate, four hundred cubits.</w:t>
      </w:r>
      <w:r>
        <w:rPr>
          <w:rStyle w:val="FootnoteReference"/>
        </w:rPr>
        <w:footnoteReference w:id="9137"/>
      </w:r>
    </w:p>
    <w:p>
      <w:r>
        <w:rPr>
          <w:b/>
        </w:rPr>
        <w:t xml:space="preserve">24 </w:t>
      </w:r>
      <w:r>
        <w:t xml:space="preserve">And all gold and silver and all vessels found in the house of the Lord and with Obededom and treasures of the house of the king and sons of mixtures, and he returned to Samaria.</w:t>
      </w:r>
    </w:p>
    <w:p>
      <w:r>
        <w:rPr>
          <w:b/>
        </w:rPr>
        <w:t xml:space="preserve">25 </w:t>
      </w:r>
      <w:r>
        <w:t xml:space="preserve">And Amaziah son of Joash</w:t>
      </w:r>
      <w:r>
        <w:rPr>
          <w:rStyle w:val="FootnoteReference"/>
        </w:rPr>
        <w:footnoteReference w:id="9138"/>
      </w:r>
      <w:r>
        <w:t xml:space="preserve"> king of Judah lived after the death of Joash son of Jehoahaz king of Israel fifteen years.</w:t>
      </w:r>
    </w:p>
    <w:p>
      <w:r>
        <w:rPr>
          <w:b/>
        </w:rPr>
        <w:t xml:space="preserve">26 </w:t>
      </w:r>
      <w:r>
        <w:t xml:space="preserve">And the rest of matters of Amaziah, first and last, behold, written upon the book of kings of Judah and Israel.</w:t>
      </w:r>
    </w:p>
    <w:p>
      <w:r>
        <w:rPr>
          <w:b/>
        </w:rPr>
        <w:t xml:space="preserve">27 </w:t>
      </w:r>
      <w:r>
        <w:t xml:space="preserve">And at time when Amaziah rebelled from the Lord they conspired against him, and he fled from Jerusalem to Lachish</w:t>
      </w:r>
      <w:r>
        <w:rPr>
          <w:rStyle w:val="FootnoteReference"/>
        </w:rPr>
        <w:footnoteReference w:id="9139"/>
      </w:r>
      <w:r>
        <w:t xml:space="preserve">, and they sent after him to Lachish and killed him there.</w:t>
      </w:r>
    </w:p>
    <w:p>
      <w:r>
        <w:rPr>
          <w:b/>
        </w:rPr>
        <w:t xml:space="preserve">28 </w:t>
      </w:r>
      <w:r>
        <w:t xml:space="preserve">And they carried him upon horses and buried him with his fathers in the City of David.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all the people of the land took Uzziah</w:t>
      </w:r>
      <w:r>
        <w:rPr>
          <w:rStyle w:val="FootnoteReference"/>
        </w:rPr>
        <w:footnoteReference w:id="9140"/>
      </w:r>
      <w:r>
        <w:t xml:space="preserve">, and he was sixteen years old, and they made him king in place of his father Amaziah.</w:t>
      </w:r>
    </w:p>
    <w:p>
      <w:r>
        <w:rPr>
          <w:b/>
        </w:rPr>
        <w:t xml:space="preserve">2 </w:t>
      </w:r>
      <w:r>
        <w:t xml:space="preserve">He built Elath; he restored</w:t>
      </w:r>
      <w:r>
        <w:rPr>
          <w:rStyle w:val="FootnoteReference"/>
        </w:rPr>
        <w:footnoteReference w:id="9141"/>
      </w:r>
      <w:r>
        <w:t xml:space="preserve"> it to Judah after king slept with his fathers.</w:t>
      </w:r>
    </w:p>
    <w:p>
      <w:r>
        <w:rPr>
          <w:b/>
        </w:rPr>
        <w:t xml:space="preserve">3 </w:t>
      </w:r>
      <w:r>
        <w:t xml:space="preserve">Uzziah</w:t>
      </w:r>
      <w:r>
        <w:rPr>
          <w:rStyle w:val="FootnoteReference"/>
        </w:rPr>
        <w:footnoteReference w:id="9142"/>
      </w:r>
      <w:r>
        <w:t xml:space="preserve"> was sixteen years old when he reigned, and fifty-two years he reigned in Jerusalem, and the name of his mother was Jecoliah from Jerusalem.</w:t>
      </w:r>
    </w:p>
    <w:p>
      <w:r>
        <w:rPr>
          <w:b/>
        </w:rPr>
        <w:t xml:space="preserve">4 </w:t>
      </w:r>
      <w:r>
        <w:t xml:space="preserve">And he did upright in the sight of the Lord according to all</w:t>
      </w:r>
      <w:r>
        <w:rPr>
          <w:rStyle w:val="FootnoteReference"/>
        </w:rPr>
        <w:footnoteReference w:id="9143"/>
      </w:r>
      <w:r>
        <w:t xml:space="preserve"> things Amaziah his father did.</w:t>
      </w:r>
    </w:p>
    <w:p>
      <w:r>
        <w:rPr>
          <w:b/>
        </w:rPr>
        <w:t xml:space="preserve">5 </w:t>
      </w:r>
      <w:r>
        <w:t xml:space="preserve">And he was seeking the Lord in the days of Zechariah, one understanding in the fear of the Lord, and in his days he sought the Lord and the Lord prospered him.</w:t>
      </w:r>
    </w:p>
    <w:p>
      <w:r>
        <w:rPr>
          <w:b/>
        </w:rPr>
        <w:t xml:space="preserve">6 </w:t>
      </w:r>
      <w:r>
        <w:t xml:space="preserve">And he went out and fought against Philistines and pulled down walls of Gath and walls of Jabneh</w:t>
      </w:r>
      <w:r>
        <w:rPr>
          <w:rStyle w:val="FootnoteReference"/>
        </w:rPr>
        <w:footnoteReference w:id="9144"/>
      </w:r>
      <w:r>
        <w:t xml:space="preserve"> and walls of Ashdod and built cities of Ashdod and among Philistines.</w:t>
      </w:r>
    </w:p>
    <w:p>
      <w:r>
        <w:rPr>
          <w:b/>
        </w:rPr>
        <w:t xml:space="preserve">7 </w:t>
      </w:r>
      <w:r>
        <w:t xml:space="preserve">And the Lord strengthened him against Philistines and against Arabs dwelling upon rock and against Meunites.</w:t>
      </w:r>
    </w:p>
    <w:p>
      <w:r>
        <w:rPr>
          <w:b/>
        </w:rPr>
        <w:t xml:space="preserve">8 </w:t>
      </w:r>
      <w:r>
        <w:t xml:space="preserve">And Meunites gave gifts to Uzziah, and his name</w:t>
      </w:r>
      <w:r>
        <w:rPr>
          <w:rStyle w:val="FootnoteReference"/>
        </w:rPr>
        <w:footnoteReference w:id="9145"/>
      </w:r>
      <w:r>
        <w:t xml:space="preserve"> was until entrance of Egypt, because he grew strong exceedingly.</w:t>
      </w:r>
    </w:p>
    <w:p>
      <w:r>
        <w:rPr>
          <w:b/>
        </w:rPr>
        <w:t xml:space="preserve">9 </w:t>
      </w:r>
      <w:r>
        <w:t xml:space="preserve">And Uzziah built towers in Jerusalem, at corner gate and at valley gate and at corners, and strengthened them.</w:t>
      </w:r>
    </w:p>
    <w:p>
      <w:r>
        <w:rPr>
          <w:b/>
        </w:rPr>
        <w:t xml:space="preserve">10 </w:t>
      </w:r>
      <w:r>
        <w:t xml:space="preserve">And he built towers in the wilderness and cut many pits, because much cattle belonged to him in lowland and in the plain, and vine-workers in hill-country and in Carmel</w:t>
      </w:r>
      <w:r>
        <w:rPr>
          <w:rStyle w:val="FootnoteReference"/>
        </w:rPr>
        <w:footnoteReference w:id="9146"/>
      </w:r>
      <w:r>
        <w:t xml:space="preserve">, because he loved farming</w:t>
      </w:r>
      <w:r>
        <w:rPr>
          <w:rStyle w:val="FootnoteReference"/>
        </w:rPr>
        <w:footnoteReference w:id="9147"/>
      </w:r>
      <w:r>
        <w:t xml:space="preserve">.</w:t>
      </w:r>
    </w:p>
    <w:p>
      <w:r>
        <w:rPr>
          <w:b/>
        </w:rPr>
        <w:t xml:space="preserve">11 </w:t>
      </w:r>
      <w:r>
        <w:t xml:space="preserve">And Uzziah had forces making war and going out for battle in number, and their number by the hand of Jeiel the scribe and Maasaiou the judge, by the hand of Ananiou, successor of the king</w:t>
      </w:r>
      <w:r>
        <w:rPr>
          <w:rStyle w:val="FootnoteReference"/>
        </w:rPr>
        <w:footnoteReference w:id="9148"/>
      </w:r>
      <w:r>
        <w:t xml:space="preserve">.</w:t>
      </w:r>
    </w:p>
    <w:p>
      <w:r>
        <w:rPr>
          <w:b/>
        </w:rPr>
        <w:t xml:space="preserve">12 </w:t>
      </w:r>
      <w:r>
        <w:t xml:space="preserve">Whole number of patriarchs of mighty men for war was two thousand six hundred.</w:t>
      </w:r>
    </w:p>
    <w:p>
      <w:r>
        <w:rPr>
          <w:b/>
        </w:rPr>
        <w:t xml:space="preserve">13 </w:t>
      </w:r>
      <w:r>
        <w:t xml:space="preserve">And with them military force was three hundred</w:t>
      </w:r>
      <w:r>
        <w:rPr>
          <w:rStyle w:val="FootnoteReference"/>
        </w:rPr>
        <w:footnoteReference w:id="9149"/>
      </w:r>
      <w:r>
        <w:t xml:space="preserve"> seven thousand five hundred, those doing war with the strength of power to help king against adversaries.</w:t>
      </w:r>
    </w:p>
    <w:p>
      <w:r>
        <w:rPr>
          <w:b/>
        </w:rPr>
        <w:t xml:space="preserve">14 </w:t>
      </w:r>
      <w:r>
        <w:t xml:space="preserve">And Uzziah prepared for them, for all force, shields and spears and helmets and breastplates and bows and sling-stones.</w:t>
      </w:r>
    </w:p>
    <w:p>
      <w:r>
        <w:rPr>
          <w:b/>
        </w:rPr>
        <w:t xml:space="preserve">15 </w:t>
      </w:r>
      <w:r>
        <w:t xml:space="preserve">And he made in Jerusalem machines, invented by designer, to be on towers and corners, to cast arrows and large stones, and the sound of their making was heard far away, because he was marvelously helped until he became strong.</w:t>
      </w:r>
      <w:r>
        <w:rPr>
          <w:rStyle w:val="FootnoteReference"/>
        </w:rPr>
        <w:footnoteReference w:id="9150"/>
      </w:r>
    </w:p>
    <w:p>
      <w:r>
        <w:rPr>
          <w:b/>
        </w:rPr>
        <w:t xml:space="preserve">16 </w:t>
      </w:r>
      <w:r>
        <w:t xml:space="preserve">And when he became strong, his heart was lifted up to ruin, and he acted unjustly against the Lord his God and entered into the temple of the Lord to burn</w:t>
      </w:r>
      <w:r>
        <w:rPr>
          <w:rStyle w:val="FootnoteReference"/>
        </w:rPr>
        <w:footnoteReference w:id="9151"/>
      </w:r>
      <w:r>
        <w:t xml:space="preserve"> incense on the altar of incense.</w:t>
      </w:r>
    </w:p>
    <w:p>
      <w:r>
        <w:rPr>
          <w:b/>
        </w:rPr>
        <w:t xml:space="preserve">17 </w:t>
      </w:r>
      <w:r>
        <w:t xml:space="preserve">And Azariah</w:t>
      </w:r>
      <w:r>
        <w:rPr>
          <w:rStyle w:val="FootnoteReference"/>
        </w:rPr>
        <w:footnoteReference w:id="9152"/>
      </w:r>
      <w:r>
        <w:t xml:space="preserve"> the priest entered after him and with him eighty priests of the Lord, mighty sons.</w:t>
      </w:r>
    </w:p>
    <w:p>
      <w:r>
        <w:rPr>
          <w:b/>
        </w:rPr>
        <w:t xml:space="preserve">18 </w:t>
      </w:r>
      <w:r>
        <w:t xml:space="preserve">And they stood against Uzziah the king and said to him, Not for you, Uzziah, to burn incense to the Lord, but for priests, sons of Aaron, those sanctified to burn incense. Go out</w:t>
      </w:r>
      <w:r>
        <w:rPr>
          <w:rStyle w:val="FootnoteReference"/>
        </w:rPr>
        <w:footnoteReference w:id="9153"/>
      </w:r>
      <w:r>
        <w:t xml:space="preserve"> from sanctuary, because you rebelled from the Lord, and this shall not be for glory to you from the Lord God.</w:t>
      </w:r>
      <w:r>
        <w:rPr>
          <w:rStyle w:val="FootnoteReference"/>
        </w:rPr>
        <w:footnoteReference w:id="9154"/>
      </w:r>
    </w:p>
    <w:p>
      <w:r>
        <w:rPr>
          <w:b/>
        </w:rPr>
        <w:t xml:space="preserve">19 </w:t>
      </w:r>
      <w:r>
        <w:t xml:space="preserve">And Uzziah was angry, and in his hand was censer to burn incense in the temple, and when he was angry with priests, leprosy rose in his forehead before priests</w:t>
      </w:r>
      <w:r>
        <w:rPr>
          <w:rStyle w:val="FootnoteReference"/>
        </w:rPr>
        <w:footnoteReference w:id="9155"/>
      </w:r>
      <w:r>
        <w:t xml:space="preserve"> in the house of the Lord above altar of incense.</w:t>
      </w:r>
    </w:p>
    <w:p>
      <w:r>
        <w:rPr>
          <w:b/>
        </w:rPr>
        <w:t xml:space="preserve">20 </w:t>
      </w:r>
      <w:r>
        <w:t xml:space="preserve">And chief priest and priests turned to him, and behold, he was leprous in forehead, and they hurried him out from there, and indeed he himself hurried to go out because the Lord</w:t>
      </w:r>
      <w:r>
        <w:rPr>
          <w:rStyle w:val="FootnoteReference"/>
        </w:rPr>
        <w:footnoteReference w:id="9156"/>
      </w:r>
      <w:r>
        <w:t xml:space="preserve"> rebuked him.</w:t>
      </w:r>
    </w:p>
    <w:p>
      <w:r>
        <w:rPr>
          <w:b/>
        </w:rPr>
        <w:t xml:space="preserve">21 </w:t>
      </w:r>
      <w:r>
        <w:t xml:space="preserve">And Uzziah</w:t>
      </w:r>
      <w:r>
        <w:rPr>
          <w:rStyle w:val="FootnoteReference"/>
        </w:rPr>
        <w:footnoteReference w:id="9157"/>
      </w:r>
      <w:r>
        <w:t xml:space="preserve"> the king was leprous until the day of his death, and as a leper he sat in a separate house, because he was cut off from the house of the Lord, and Jotham his son was over kingdom, judging people of the land.</w:t>
      </w:r>
    </w:p>
    <w:p>
      <w:r>
        <w:rPr>
          <w:b/>
        </w:rPr>
        <w:t xml:space="preserve">22 </w:t>
      </w:r>
      <w:r>
        <w:t xml:space="preserve">And the rest of matters of Uzziah, first</w:t>
      </w:r>
      <w:r>
        <w:rPr>
          <w:rStyle w:val="FootnoteReference"/>
        </w:rPr>
        <w:footnoteReference w:id="9158"/>
      </w:r>
      <w:r>
        <w:t xml:space="preserve"> and last, were written by Isaiah the prophet.</w:t>
      </w:r>
    </w:p>
    <w:p>
      <w:r>
        <w:rPr>
          <w:b/>
        </w:rPr>
        <w:t xml:space="preserve">23 </w:t>
      </w:r>
      <w:r>
        <w:t xml:space="preserve">And Uzziah slept</w:t>
      </w:r>
      <w:r>
        <w:rPr>
          <w:rStyle w:val="FootnoteReference"/>
        </w:rPr>
        <w:footnoteReference w:id="9159"/>
      </w:r>
      <w:r>
        <w:t xml:space="preserve"> with his fathers, and they buried him with his fathers in the field of burial of kings, because they said he is leprous, and Jotham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Jotham was twenty-five years old when he reigned, and sixteen years he reigned in Jerusalem, and the name of his mother was Jerusha daughter of Zadok.</w:t>
      </w:r>
    </w:p>
    <w:p>
      <w:r>
        <w:rPr>
          <w:b/>
        </w:rPr>
        <w:t xml:space="preserve">2 </w:t>
      </w:r>
      <w:r>
        <w:t xml:space="preserve">And he did</w:t>
      </w:r>
      <w:r>
        <w:rPr>
          <w:rStyle w:val="FootnoteReference"/>
        </w:rPr>
        <w:footnoteReference w:id="9160"/>
      </w:r>
      <w:r>
        <w:t xml:space="preserve"> upright in the sight of the Lord according to all things which Uzziah his father did, but he did not enter into the temple of the Lord, and still people were being corrupted.</w:t>
      </w:r>
    </w:p>
    <w:p>
      <w:r>
        <w:rPr>
          <w:b/>
        </w:rPr>
        <w:t xml:space="preserve">3 </w:t>
      </w:r>
      <w:r>
        <w:t xml:space="preserve">He built high gate of the house of the Lord</w:t>
      </w:r>
      <w:r>
        <w:rPr>
          <w:rStyle w:val="FootnoteReference"/>
        </w:rPr>
        <w:footnoteReference w:id="9161"/>
      </w:r>
      <w:r>
        <w:t xml:space="preserve">, and in the wall of Ophel</w:t>
      </w:r>
      <w:r>
        <w:rPr>
          <w:rStyle w:val="FootnoteReference"/>
        </w:rPr>
        <w:footnoteReference w:id="9162"/>
      </w:r>
      <w:r>
        <w:t xml:space="preserve"> he built much.</w:t>
      </w:r>
      <w:r>
        <w:rPr>
          <w:rStyle w:val="FootnoteReference"/>
        </w:rPr>
        <w:footnoteReference w:id="9163"/>
      </w:r>
    </w:p>
    <w:p>
      <w:r>
        <w:rPr>
          <w:b/>
        </w:rPr>
        <w:t xml:space="preserve">4 </w:t>
      </w:r>
      <w:r>
        <w:t xml:space="preserve">And he built cities</w:t>
      </w:r>
      <w:r>
        <w:rPr>
          <w:rStyle w:val="FootnoteReference"/>
        </w:rPr>
        <w:footnoteReference w:id="9164"/>
      </w:r>
      <w:r>
        <w:t xml:space="preserve"> in the mountain of Judah, and in forests dwellings and towers</w:t>
      </w:r>
      <w:r>
        <w:rPr>
          <w:rStyle w:val="FootnoteReference"/>
        </w:rPr>
        <w:footnoteReference w:id="9165"/>
      </w:r>
      <w:r>
        <w:t xml:space="preserve">.</w:t>
      </w:r>
    </w:p>
    <w:p>
      <w:r>
        <w:rPr>
          <w:b/>
        </w:rPr>
        <w:t xml:space="preserve">5 </w:t>
      </w:r>
      <w:r>
        <w:t xml:space="preserve">He fought against the king of sons of Ammon and prevailed over him, and sons of Ammon gave him year by year</w:t>
      </w:r>
      <w:r>
        <w:rPr>
          <w:rStyle w:val="FootnoteReference"/>
        </w:rPr>
        <w:footnoteReference w:id="9166"/>
      </w:r>
      <w:r>
        <w:t xml:space="preserve"> one hundred talents of silver and ten thousand kors of wheat and ten thousand of barley. These king of Ammon brought him in the first year and second and third.</w:t>
      </w:r>
    </w:p>
    <w:p>
      <w:r>
        <w:rPr>
          <w:b/>
        </w:rPr>
        <w:t xml:space="preserve">6 </w:t>
      </w:r>
      <w:r>
        <w:t xml:space="preserve">And Jotham</w:t>
      </w:r>
      <w:r>
        <w:rPr>
          <w:rStyle w:val="FootnoteReference"/>
        </w:rPr>
        <w:footnoteReference w:id="9167"/>
      </w:r>
      <w:r>
        <w:t xml:space="preserve"> grew strong, because he prepared his ways before the Lord his God.</w:t>
      </w:r>
    </w:p>
    <w:p>
      <w:r>
        <w:rPr>
          <w:b/>
        </w:rPr>
        <w:t xml:space="preserve">7 </w:t>
      </w:r>
      <w:r>
        <w:t xml:space="preserve">And the rest of matters of Jotham and war and deeds of him, behold, written in the book of kings of Judah and Israel.</w:t>
      </w:r>
    </w:p>
    <w:p>
      <w:r>
        <w:rPr>
          <w:b/>
        </w:rPr>
        <w:t xml:space="preserve">9 </w:t>
      </w:r>
      <w:r>
        <w:t xml:space="preserve">And Jotham</w:t>
      </w:r>
      <w:r>
        <w:rPr>
          <w:rStyle w:val="FootnoteReference"/>
        </w:rPr>
        <w:footnoteReference w:id="9168"/>
      </w:r>
      <w:r>
        <w:t xml:space="preserve"> slept with his fathers and was buried in the City of David, and Ahaz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Ahaz</w:t>
      </w:r>
      <w:r>
        <w:rPr>
          <w:rStyle w:val="FootnoteReference"/>
        </w:rPr>
        <w:footnoteReference w:id="9169"/>
      </w:r>
      <w:r>
        <w:t xml:space="preserve"> was twenty years old when he reigned, and sixteen years he reigned in Jerusalem, and he did not do upright in the sight of the Lord like David his father.</w:t>
      </w:r>
    </w:p>
    <w:p>
      <w:r>
        <w:rPr>
          <w:b/>
        </w:rPr>
        <w:t xml:space="preserve">2 </w:t>
      </w:r>
      <w:r>
        <w:t xml:space="preserve">And he walked according to the ways of kings of Israel, and indeed he made carved things for their idols.</w:t>
      </w:r>
    </w:p>
    <w:p>
      <w:r>
        <w:rPr>
          <w:b/>
        </w:rPr>
        <w:t xml:space="preserve">3 </w:t>
      </w:r>
      <w:r>
        <w:t xml:space="preserve">And he sacrificed in Gaibennom and brought his children through fire according to the abominations of nations which the Lord destroyed from before the sons of Israel.</w:t>
      </w:r>
    </w:p>
    <w:p>
      <w:r>
        <w:rPr>
          <w:b/>
        </w:rPr>
        <w:t xml:space="preserve">4 </w:t>
      </w:r>
      <w:r>
        <w:t xml:space="preserve">And he burned incense on high places and on roofs and under every grove tree.</w:t>
      </w:r>
    </w:p>
    <w:p>
      <w:r>
        <w:rPr>
          <w:b/>
        </w:rPr>
        <w:t xml:space="preserve">5 </w:t>
      </w:r>
      <w:r>
        <w:t xml:space="preserve">And the Lord his God</w:t>
      </w:r>
      <w:r>
        <w:rPr>
          <w:rStyle w:val="FootnoteReference"/>
        </w:rPr>
        <w:footnoteReference w:id="9170"/>
      </w:r>
      <w:r>
        <w:t xml:space="preserve"> gave him into the hand of the king of Syria, and he struck him and took from them many captives and brought them to Damascus. And indeed into the hands of the king of Israel he gave him, and he struck him with great blow</w:t>
      </w:r>
      <w:r>
        <w:rPr>
          <w:rStyle w:val="FootnoteReference"/>
        </w:rPr>
        <w:footnoteReference w:id="9171"/>
      </w:r>
      <w:r>
        <w:t xml:space="preserve">.</w:t>
      </w:r>
    </w:p>
    <w:p>
      <w:r>
        <w:rPr>
          <w:b/>
        </w:rPr>
        <w:t xml:space="preserve">6 </w:t>
      </w:r>
      <w:r>
        <w:t xml:space="preserve">And Pekah</w:t>
      </w:r>
      <w:r>
        <w:rPr>
          <w:rStyle w:val="FootnoteReference"/>
        </w:rPr>
        <w:footnoteReference w:id="9172"/>
      </w:r>
      <w:r>
        <w:t xml:space="preserve"> son of Remaliah king of Israel killed in Judah in one day one hundred twenty thousand mighty men of strength, because they forsook the Lord God of their fathers.</w:t>
      </w:r>
    </w:p>
    <w:p>
      <w:r>
        <w:rPr>
          <w:b/>
        </w:rPr>
        <w:t xml:space="preserve">7 </w:t>
      </w:r>
      <w:r>
        <w:t xml:space="preserve">And Zichri, mighty man of Ephraim, killed Maaseiah son of the king and Azrikam ruler of his house and Elkanah successor of the king.</w:t>
      </w:r>
    </w:p>
    <w:p>
      <w:r>
        <w:rPr>
          <w:b/>
        </w:rPr>
        <w:t xml:space="preserve">8 </w:t>
      </w:r>
      <w:r>
        <w:t xml:space="preserve">And sons of Israel took captive from their brothers three hundred thousand, women, sons, and daughters, and they plundered much spoil from them and brought spoil to Samaria.</w:t>
      </w:r>
    </w:p>
    <w:p>
      <w:r>
        <w:rPr>
          <w:b/>
        </w:rPr>
        <w:t xml:space="preserve">9 </w:t>
      </w:r>
      <w:r>
        <w:t xml:space="preserve">And there was a prophet of the Lord there, Oded his name, and he went out</w:t>
      </w:r>
      <w:r>
        <w:rPr>
          <w:rStyle w:val="FootnoteReference"/>
        </w:rPr>
        <w:footnoteReference w:id="9173"/>
      </w:r>
      <w:r>
        <w:t xml:space="preserve"> to meet force coming to Samaria and said to them, Behold, the wrath of the Lord God of your fathers came upon Judah and he gave them into your hands, and you killed among them in wrath reaching to heavens.</w:t>
      </w:r>
      <w:r>
        <w:rPr>
          <w:rStyle w:val="FootnoteReference"/>
        </w:rPr>
        <w:footnoteReference w:id="9174"/>
      </w:r>
    </w:p>
    <w:p>
      <w:r>
        <w:rPr>
          <w:b/>
        </w:rPr>
        <w:t xml:space="preserve">10 </w:t>
      </w:r>
      <w:r>
        <w:t xml:space="preserve">And now sons of Judah and Jerusalem you say to acquire as male and female servants. Behold, am I not with</w:t>
      </w:r>
      <w:r>
        <w:rPr>
          <w:rStyle w:val="FootnoteReference"/>
        </w:rPr>
        <w:footnoteReference w:id="9175"/>
      </w:r>
      <w:r>
        <w:t xml:space="preserve"> you to testify to the Lord your God?</w:t>
      </w:r>
    </w:p>
    <w:p>
      <w:r>
        <w:rPr>
          <w:b/>
        </w:rPr>
        <w:t xml:space="preserve">11 </w:t>
      </w:r>
      <w:r>
        <w:t xml:space="preserve">And now hear me and return captivity which you took captive from your brothers, because wrath of heat of the Lord is upon you.</w:t>
      </w:r>
    </w:p>
    <w:p>
      <w:r>
        <w:rPr>
          <w:b/>
        </w:rPr>
        <w:t xml:space="preserve">12 </w:t>
      </w:r>
      <w:r>
        <w:t xml:space="preserve">And rulers from the sons of Ephraim</w:t>
      </w:r>
      <w:r>
        <w:rPr>
          <w:rStyle w:val="FootnoteReference"/>
        </w:rPr>
        <w:footnoteReference w:id="9176"/>
      </w:r>
      <w:r>
        <w:t xml:space="preserve"> rose up: Oudia son of Johanan and Berechiah son of Meshillemoth</w:t>
      </w:r>
      <w:r>
        <w:rPr>
          <w:rStyle w:val="FootnoteReference"/>
        </w:rPr>
        <w:footnoteReference w:id="9177"/>
      </w:r>
      <w:r>
        <w:t xml:space="preserve"> and Ezechias son of Hillel and Amaziah son of Hadlai</w:t>
      </w:r>
      <w:r>
        <w:rPr>
          <w:rStyle w:val="FootnoteReference"/>
        </w:rPr>
        <w:footnoteReference w:id="9178"/>
      </w:r>
      <w:r>
        <w:t xml:space="preserve">, against those coming from war.</w:t>
      </w:r>
    </w:p>
    <w:p>
      <w:r>
        <w:rPr>
          <w:b/>
        </w:rPr>
        <w:t xml:space="preserve">13 </w:t>
      </w:r>
      <w:r>
        <w:t xml:space="preserve">And they said to them, You shall not bring captivity here to us, because you say to add upon our sins</w:t>
      </w:r>
      <w:r>
        <w:rPr>
          <w:rStyle w:val="FootnoteReference"/>
        </w:rPr>
        <w:footnoteReference w:id="9179"/>
      </w:r>
      <w:r>
        <w:t xml:space="preserve"> and upon our ignorance in sinning to the Lord, because our sin is great, and heat of the wrath of the Lord is upon Israel.</w:t>
      </w:r>
    </w:p>
    <w:p>
      <w:r>
        <w:rPr>
          <w:b/>
        </w:rPr>
        <w:t xml:space="preserve">14 </w:t>
      </w:r>
      <w:r>
        <w:t xml:space="preserve">And warriors left captivity and spoils before rulers and all the assembly.</w:t>
      </w:r>
    </w:p>
    <w:p>
      <w:r>
        <w:rPr>
          <w:b/>
        </w:rPr>
        <w:t xml:space="preserve">15 </w:t>
      </w:r>
      <w:r>
        <w:t xml:space="preserve">And men called by name rose and took hold of captivity, and all naked they clothed</w:t>
      </w:r>
      <w:r>
        <w:rPr>
          <w:rStyle w:val="FootnoteReference"/>
        </w:rPr>
        <w:footnoteReference w:id="9180"/>
      </w:r>
      <w:r>
        <w:t xml:space="preserve"> from spoils and dressed them and shod them and gave them to eat and to be anointed, and took hold of every weak one on the beasts of burden and set them in Jericho, the city of palms, by their brothers, and returned to Samaria.</w:t>
      </w:r>
      <w:r>
        <w:rPr>
          <w:rStyle w:val="FootnoteReference"/>
        </w:rPr>
        <w:footnoteReference w:id="9181"/>
      </w:r>
    </w:p>
    <w:p>
      <w:r>
        <w:rPr>
          <w:b/>
        </w:rPr>
        <w:t xml:space="preserve">16 </w:t>
      </w:r>
      <w:r>
        <w:t xml:space="preserve">At that time Ahaz sent to the king of Asshur to help him.</w:t>
      </w:r>
    </w:p>
    <w:p>
      <w:r>
        <w:rPr>
          <w:b/>
        </w:rPr>
        <w:t xml:space="preserve">17 </w:t>
      </w:r>
      <w:r>
        <w:t xml:space="preserve">And also because Edomites attacked and struck in Judah and took captivity.</w:t>
      </w:r>
    </w:p>
    <w:p>
      <w:r>
        <w:rPr>
          <w:b/>
        </w:rPr>
        <w:t xml:space="preserve">18 </w:t>
      </w:r>
      <w:r>
        <w:t xml:space="preserve">And Philistines attacked cities of the plain</w:t>
      </w:r>
      <w:r>
        <w:rPr>
          <w:rStyle w:val="FootnoteReference"/>
        </w:rPr>
        <w:footnoteReference w:id="9182"/>
      </w:r>
      <w:r>
        <w:t xml:space="preserve"> and of south of Judah and took Beth-shemesh and Elon and Gederoth and Shocho</w:t>
      </w:r>
      <w:r>
        <w:rPr>
          <w:rStyle w:val="FootnoteReference"/>
        </w:rPr>
        <w:footnoteReference w:id="9183"/>
      </w:r>
      <w:r>
        <w:t xml:space="preserve"> and its villages and Timnah and its villages and Gimzo</w:t>
      </w:r>
      <w:r>
        <w:rPr>
          <w:rStyle w:val="FootnoteReference"/>
        </w:rPr>
        <w:footnoteReference w:id="9184"/>
      </w:r>
      <w:r>
        <w:t xml:space="preserve"> and its villages, and they dwelt there.</w:t>
      </w:r>
      <w:r>
        <w:rPr>
          <w:rStyle w:val="FootnoteReference"/>
        </w:rPr>
        <w:footnoteReference w:id="9185"/>
      </w:r>
    </w:p>
    <w:p>
      <w:r>
        <w:rPr>
          <w:b/>
        </w:rPr>
        <w:t xml:space="preserve">19 </w:t>
      </w:r>
      <w:r>
        <w:t xml:space="preserve">Because the Lord</w:t>
      </w:r>
      <w:r>
        <w:rPr>
          <w:rStyle w:val="FootnoteReference"/>
        </w:rPr>
        <w:footnoteReference w:id="9186"/>
      </w:r>
      <w:r>
        <w:t xml:space="preserve"> humbled Judah through Ahaz king of Judah, because he rebelled in rebellion from the Lord.</w:t>
      </w:r>
    </w:p>
    <w:p>
      <w:r>
        <w:rPr>
          <w:b/>
        </w:rPr>
        <w:t xml:space="preserve">20 </w:t>
      </w:r>
      <w:r>
        <w:t xml:space="preserve">And Tilgathpilneser</w:t>
      </w:r>
      <w:r>
        <w:rPr>
          <w:rStyle w:val="FootnoteReference"/>
        </w:rPr>
        <w:footnoteReference w:id="9187"/>
      </w:r>
      <w:r>
        <w:t xml:space="preserve"> king of Assyria came upon him and struck him.</w:t>
      </w:r>
    </w:p>
    <w:p>
      <w:r>
        <w:rPr>
          <w:b/>
        </w:rPr>
        <w:t xml:space="preserve">21 </w:t>
      </w:r>
      <w:r>
        <w:t xml:space="preserve">And Ahaz took what was in the house of the Lord and in the house of the king and of rulers and gave to the king of Asshur, and it was not for help to him.</w:t>
      </w:r>
    </w:p>
    <w:p>
      <w:r>
        <w:rPr>
          <w:b/>
        </w:rPr>
        <w:t xml:space="preserve">22 </w:t>
      </w:r>
      <w:r>
        <w:t xml:space="preserve">But when he was afflicted he added to rebel further from the Lord, and the king said,</w:t>
      </w:r>
    </w:p>
    <w:p>
      <w:r>
        <w:rPr>
          <w:b/>
        </w:rPr>
        <w:t xml:space="preserve">23 </w:t>
      </w:r>
      <w:r>
        <w:t xml:space="preserve">I will seek gods of Damascus who strike me. And he said, Because gods of the king of Syria strengthened them, therefore I will sacrifice to them</w:t>
      </w:r>
      <w:r>
        <w:rPr>
          <w:rStyle w:val="FootnoteReference"/>
        </w:rPr>
        <w:footnoteReference w:id="9188"/>
      </w:r>
      <w:r>
        <w:t xml:space="preserve"> and they will help me. But they became to him as a stumbling-block</w:t>
      </w:r>
      <w:r>
        <w:rPr>
          <w:rStyle w:val="FootnoteReference"/>
        </w:rPr>
        <w:footnoteReference w:id="9189"/>
      </w:r>
      <w:r>
        <w:t xml:space="preserve"> and to all Israel.</w:t>
      </w:r>
    </w:p>
    <w:p>
      <w:r>
        <w:rPr>
          <w:b/>
        </w:rPr>
        <w:t xml:space="preserve">24 </w:t>
      </w:r>
      <w:r>
        <w:t xml:space="preserve">And Ahaz removed vessels of the house of the Lord and cut them up</w:t>
      </w:r>
      <w:r>
        <w:rPr>
          <w:rStyle w:val="FootnoteReference"/>
        </w:rPr>
        <w:footnoteReference w:id="9190"/>
      </w:r>
      <w:r>
        <w:t xml:space="preserve"> and shut doors of the house of the Lord and made for himself altars in every corner in Jerusalem.</w:t>
      </w:r>
    </w:p>
    <w:p>
      <w:r>
        <w:rPr>
          <w:b/>
        </w:rPr>
        <w:t xml:space="preserve">25 </w:t>
      </w:r>
      <w:r>
        <w:t xml:space="preserve">And in every city of Judah he made high places to burn</w:t>
      </w:r>
      <w:r>
        <w:rPr>
          <w:rStyle w:val="FootnoteReference"/>
        </w:rPr>
        <w:footnoteReference w:id="9191"/>
      </w:r>
      <w:r>
        <w:t xml:space="preserve"> incense to foreign gods, and they provoked the Lord God of their fathers.</w:t>
      </w:r>
    </w:p>
    <w:p>
      <w:r>
        <w:rPr>
          <w:b/>
        </w:rPr>
        <w:t xml:space="preserve">26 </w:t>
      </w:r>
      <w:r>
        <w:t xml:space="preserve">And the rest</w:t>
      </w:r>
      <w:r>
        <w:rPr>
          <w:rStyle w:val="FootnoteReference"/>
        </w:rPr>
        <w:footnoteReference w:id="9192"/>
      </w:r>
      <w:r>
        <w:t xml:space="preserve"> of his matters and his deeds, first and last, behold, written upon the book of kings of Judah and Israel.</w:t>
      </w:r>
    </w:p>
    <w:p>
      <w:r>
        <w:rPr>
          <w:b/>
        </w:rPr>
        <w:t xml:space="preserve">27 </w:t>
      </w:r>
      <w:r>
        <w:t xml:space="preserve">And Ahaz slept with his fathers and was buried in the City of David, because they did not bring him into tombs of kings of Israel, and Hezekiah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And Hezekiah</w:t>
      </w:r>
      <w:r>
        <w:rPr>
          <w:rStyle w:val="FootnoteReference"/>
        </w:rPr>
        <w:footnoteReference w:id="9193"/>
      </w:r>
      <w:r>
        <w:t xml:space="preserve"> reigned, being twenty-five years old, and twenty-nine years he reigned in Jerusalem, and the name of his mother was Abijah daughter of Zechariah.</w:t>
      </w:r>
    </w:p>
    <w:p>
      <w:r>
        <w:rPr>
          <w:b/>
        </w:rPr>
        <w:t xml:space="preserve">2 </w:t>
      </w:r>
      <w:r>
        <w:t xml:space="preserve">And he did upright in the sight of the Lord according to all things David his father did.</w:t>
      </w:r>
    </w:p>
    <w:p>
      <w:r>
        <w:rPr>
          <w:b/>
        </w:rPr>
        <w:t xml:space="preserve">3 </w:t>
      </w:r>
      <w:r>
        <w:t xml:space="preserve">And it came to pass when he stood over his kingdom, in the first month, he opened</w:t>
      </w:r>
      <w:r>
        <w:rPr>
          <w:rStyle w:val="FootnoteReference"/>
        </w:rPr>
        <w:footnoteReference w:id="9194"/>
      </w:r>
      <w:r>
        <w:t xml:space="preserve"> doors of the house of the Lord and repaired them.</w:t>
      </w:r>
    </w:p>
    <w:p>
      <w:r>
        <w:rPr>
          <w:b/>
        </w:rPr>
        <w:t xml:space="preserve">4 </w:t>
      </w:r>
      <w:r>
        <w:t xml:space="preserve">And he brought in priests and Levites and stationed them in east court.</w:t>
      </w:r>
    </w:p>
    <w:p>
      <w:r>
        <w:rPr>
          <w:b/>
        </w:rPr>
        <w:t xml:space="preserve">5 </w:t>
      </w:r>
      <w:r>
        <w:t xml:space="preserve">And he said to them, Hear, Levites. Now sanctify yourselves and sanctify house of the Lord God of your fathers and throw out uncleanness from holy place.</w:t>
      </w:r>
    </w:p>
    <w:p>
      <w:r>
        <w:rPr>
          <w:b/>
        </w:rPr>
        <w:t xml:space="preserve">6 </w:t>
      </w:r>
      <w:r>
        <w:t xml:space="preserve">Because our fathers rebelled and did evil before the Lord and forsook him and turned face away from the tent of the Lord and gave neck</w:t>
      </w:r>
      <w:r>
        <w:rPr>
          <w:rStyle w:val="FootnoteReference"/>
        </w:rPr>
        <w:footnoteReference w:id="9195"/>
      </w:r>
      <w:r>
        <w:t xml:space="preserve">.</w:t>
      </w:r>
    </w:p>
    <w:p>
      <w:r>
        <w:rPr>
          <w:b/>
        </w:rPr>
        <w:t xml:space="preserve">7 </w:t>
      </w:r>
      <w:r>
        <w:t xml:space="preserve">And they shut doors of the temple and quenched lamps and did not burn incense and did not offer whole burnt offerings in holy place to God of Israel.</w:t>
      </w:r>
    </w:p>
    <w:p>
      <w:r>
        <w:rPr>
          <w:b/>
        </w:rPr>
        <w:t xml:space="preserve">8 </w:t>
      </w:r>
      <w:r>
        <w:t xml:space="preserve">And the wrath of the Lord was against Judah and Jerusalem, and he gave them to terror and to desolation and to hissing, as you see with your eyes.</w:t>
      </w:r>
    </w:p>
    <w:p>
      <w:r>
        <w:rPr>
          <w:b/>
        </w:rPr>
        <w:t xml:space="preserve">9 </w:t>
      </w:r>
      <w:r>
        <w:t xml:space="preserve">And behold, your fathers have fallen by sword and your sons and daughters and wives are in captivity in a land not theirs, which even now is so.</w:t>
      </w:r>
    </w:p>
    <w:p>
      <w:r>
        <w:rPr>
          <w:b/>
        </w:rPr>
        <w:t xml:space="preserve">10 </w:t>
      </w:r>
      <w:r>
        <w:t xml:space="preserve">Upon these things now it is</w:t>
      </w:r>
      <w:r>
        <w:rPr>
          <w:rStyle w:val="FootnoteReference"/>
        </w:rPr>
        <w:footnoteReference w:id="9196"/>
      </w:r>
      <w:r>
        <w:t xml:space="preserve"> in my heart to make covenant of the Lord God of Israel, and he will turn away heat of his wrath from us.</w:t>
      </w:r>
    </w:p>
    <w:p>
      <w:r>
        <w:rPr>
          <w:b/>
        </w:rPr>
        <w:t xml:space="preserve">11 </w:t>
      </w:r>
      <w:r>
        <w:t xml:space="preserve">And now do not fail, because the Lord</w:t>
      </w:r>
      <w:r>
        <w:rPr>
          <w:rStyle w:val="FootnoteReference"/>
        </w:rPr>
        <w:footnoteReference w:id="9197"/>
      </w:r>
      <w:r>
        <w:t xml:space="preserve"> chose in you to stand before him to minister and to be ministers and burners of incense.</w:t>
      </w:r>
    </w:p>
    <w:p>
      <w:r>
        <w:rPr>
          <w:b/>
        </w:rPr>
        <w:t xml:space="preserve">12 </w:t>
      </w:r>
      <w:r>
        <w:t xml:space="preserve">And Levites rose: Maath</w:t>
      </w:r>
      <w:r>
        <w:rPr>
          <w:rStyle w:val="FootnoteReference"/>
        </w:rPr>
        <w:footnoteReference w:id="9198"/>
      </w:r>
      <w:r>
        <w:t xml:space="preserve"> son of Amasai and Joel son of Azariah from the sons of Kohath, and from the sons of Merari, Kish son of Abdi and Azariah son of Igal, and from the sons of Gershonites, Igal son of Zemmath and Joadam son of Joah,</w:t>
      </w:r>
    </w:p>
    <w:p>
      <w:r>
        <w:rPr>
          <w:b/>
        </w:rPr>
        <w:t xml:space="preserve">13 </w:t>
      </w:r>
      <w:r>
        <w:t xml:space="preserve">and from the sons of Elzaphan, Shimri and Jeiel, and from the sons of Asaph</w:t>
      </w:r>
      <w:r>
        <w:rPr>
          <w:rStyle w:val="FootnoteReference"/>
        </w:rPr>
        <w:footnoteReference w:id="9199"/>
      </w:r>
      <w:r>
        <w:t xml:space="preserve">, Zechariah and Mattaniah,</w:t>
      </w:r>
    </w:p>
    <w:p>
      <w:r>
        <w:rPr>
          <w:b/>
        </w:rPr>
        <w:t xml:space="preserve">14 </w:t>
      </w:r>
      <w:r>
        <w:t xml:space="preserve">and from the sons of Heman</w:t>
      </w:r>
      <w:r>
        <w:rPr>
          <w:rStyle w:val="FootnoteReference"/>
        </w:rPr>
        <w:footnoteReference w:id="9200"/>
      </w:r>
      <w:r>
        <w:t xml:space="preserve">, Jehiel and Shimei, and from the sons of Jeduthun, Shemaiah and Uzziel.</w:t>
      </w:r>
    </w:p>
    <w:p>
      <w:r>
        <w:rPr>
          <w:b/>
        </w:rPr>
        <w:t xml:space="preserve">15 </w:t>
      </w:r>
      <w:r>
        <w:t xml:space="preserve">And they gathered their brothers and sanctified themselves</w:t>
      </w:r>
      <w:r>
        <w:rPr>
          <w:rStyle w:val="FootnoteReference"/>
        </w:rPr>
        <w:footnoteReference w:id="9201"/>
      </w:r>
      <w:r>
        <w:t xml:space="preserve"> according to the command of the king by ordinance of the Lord to cleanse house of the Lord.</w:t>
      </w:r>
    </w:p>
    <w:p>
      <w:r>
        <w:rPr>
          <w:b/>
        </w:rPr>
        <w:t xml:space="preserve">16 </w:t>
      </w:r>
      <w:r>
        <w:t xml:space="preserve">And priests entered inside the house of the Lord to sanctify it and threw out every uncleanness found in the house of the Lord into the court of the house of the Lord, and Levites received it to throw outside into the torrent of Kidron</w:t>
      </w:r>
      <w:r>
        <w:rPr>
          <w:rStyle w:val="FootnoteReference"/>
        </w:rPr>
        <w:footnoteReference w:id="9202"/>
      </w:r>
      <w:r>
        <w:t xml:space="preserve">.</w:t>
      </w:r>
      <w:r>
        <w:rPr>
          <w:rStyle w:val="FootnoteReference"/>
        </w:rPr>
        <w:footnoteReference w:id="9203"/>
      </w:r>
    </w:p>
    <w:p>
      <w:r>
        <w:rPr>
          <w:b/>
        </w:rPr>
        <w:t xml:space="preserve">17 </w:t>
      </w:r>
      <w:r>
        <w:t xml:space="preserve">And they began on the first day of new moon of the first month to sanctify, and on the eighth day of the month they entered the temple of the Lord, and they sanctified house of the Lord in eight days, and on the sixteenth</w:t>
      </w:r>
      <w:r>
        <w:rPr>
          <w:rStyle w:val="FootnoteReference"/>
        </w:rPr>
        <w:footnoteReference w:id="9204"/>
      </w:r>
      <w:r>
        <w:t xml:space="preserve"> day of the first month they finished.</w:t>
      </w:r>
      <w:r>
        <w:rPr>
          <w:rStyle w:val="FootnoteReference"/>
        </w:rPr>
        <w:footnoteReference w:id="9205"/>
      </w:r>
    </w:p>
    <w:p>
      <w:r>
        <w:rPr>
          <w:b/>
        </w:rPr>
        <w:t xml:space="preserve">18 </w:t>
      </w:r>
      <w:r>
        <w:t xml:space="preserve">And they went inside to Hezekiah the king and said, We sanctified all things in the house of the Lord, altar of whole burnt offering and its vessels and table of presentation and its vessels.</w:t>
      </w:r>
    </w:p>
    <w:p>
      <w:r>
        <w:rPr>
          <w:b/>
        </w:rPr>
        <w:t xml:space="preserve">19 </w:t>
      </w:r>
      <w:r>
        <w:t xml:space="preserve">And all vessels which King Ahaz defiled in his kingdom in his rebellion we prepared and sanctified. Behold, they are before the altar of the Lord.</w:t>
      </w:r>
    </w:p>
    <w:p>
      <w:r>
        <w:rPr>
          <w:b/>
        </w:rPr>
        <w:t xml:space="preserve">20 </w:t>
      </w:r>
      <w:r>
        <w:t xml:space="preserve">And Hezekiah the king rose early and gathered rulers of the city</w:t>
      </w:r>
      <w:r>
        <w:rPr>
          <w:rStyle w:val="FootnoteReference"/>
        </w:rPr>
        <w:footnoteReference w:id="9206"/>
      </w:r>
      <w:r>
        <w:t xml:space="preserve"> and went up to the house of the Lord.</w:t>
      </w:r>
      <w:r>
        <w:rPr>
          <w:rStyle w:val="FootnoteReference"/>
        </w:rPr>
        <w:footnoteReference w:id="9207"/>
      </w:r>
    </w:p>
    <w:p>
      <w:r>
        <w:rPr>
          <w:b/>
        </w:rPr>
        <w:t xml:space="preserve">21 </w:t>
      </w:r>
      <w:r>
        <w:t xml:space="preserve">And they brought seven</w:t>
      </w:r>
      <w:r>
        <w:rPr>
          <w:rStyle w:val="FootnoteReference"/>
        </w:rPr>
        <w:footnoteReference w:id="9208"/>
      </w:r>
      <w:r>
        <w:t xml:space="preserve"> calves, seven rams, seven lambs, seven male goats of goats for sin, for the kingdom and for holy things and for Israel</w:t>
      </w:r>
      <w:r>
        <w:rPr>
          <w:rStyle w:val="FootnoteReference"/>
        </w:rPr>
        <w:footnoteReference w:id="9209"/>
      </w:r>
      <w:r>
        <w:t xml:space="preserve">, and he told sons of Aaron the priests to go up upon the altar of the Lord.</w:t>
      </w:r>
    </w:p>
    <w:p>
      <w:r>
        <w:rPr>
          <w:b/>
        </w:rPr>
        <w:t xml:space="preserve">22 </w:t>
      </w:r>
      <w:r>
        <w:t xml:space="preserve">And they slaughtered calves, and priests received blood and poured it upon the altar, and they slaughtered rams and poured blood upon the altar</w:t>
      </w:r>
      <w:r>
        <w:rPr>
          <w:rStyle w:val="FootnoteReference"/>
        </w:rPr>
        <w:footnoteReference w:id="9210"/>
      </w:r>
      <w:r>
        <w:t xml:space="preserve">, and they slaughtered lambs and poured blood to the altar.</w:t>
      </w:r>
    </w:p>
    <w:p>
      <w:r>
        <w:rPr>
          <w:b/>
        </w:rPr>
        <w:t xml:space="preserve">23 </w:t>
      </w:r>
      <w:r>
        <w:t xml:space="preserve">And they brought male goats for sin before the king and assembly, and they put hands upon them.</w:t>
      </w:r>
    </w:p>
    <w:p>
      <w:r>
        <w:rPr>
          <w:b/>
        </w:rPr>
        <w:t xml:space="preserve">24 </w:t>
      </w:r>
      <w:r>
        <w:t xml:space="preserve">And priests slaughtered them and made atonement with their blood toward altar</w:t>
      </w:r>
      <w:r>
        <w:rPr>
          <w:rStyle w:val="FootnoteReference"/>
        </w:rPr>
        <w:footnoteReference w:id="9211"/>
      </w:r>
      <w:r>
        <w:t xml:space="preserve"> and made atonement for all Israel, because the king said whole burnt offering and sin offerings were for all Israel.</w:t>
      </w:r>
    </w:p>
    <w:p>
      <w:r>
        <w:rPr>
          <w:b/>
        </w:rPr>
        <w:t xml:space="preserve">25 </w:t>
      </w:r>
      <w:r>
        <w:t xml:space="preserve">And he stationed Levites in the house of the Lord with cymbals and harps and lyres according to the command of David king and Gad the seer for the king and Nathan</w:t>
      </w:r>
      <w:r>
        <w:rPr>
          <w:rStyle w:val="FootnoteReference"/>
        </w:rPr>
        <w:footnoteReference w:id="9212"/>
      </w:r>
      <w:r>
        <w:t xml:space="preserve"> the prophet, because ordinance was from the Lord by the hand of prophets.</w:t>
      </w:r>
    </w:p>
    <w:p>
      <w:r>
        <w:rPr>
          <w:b/>
        </w:rPr>
        <w:t xml:space="preserve">26 </w:t>
      </w:r>
      <w:r>
        <w:t xml:space="preserve">And Levites stood with the instruments</w:t>
      </w:r>
      <w:r>
        <w:rPr>
          <w:rStyle w:val="FootnoteReference"/>
        </w:rPr>
        <w:footnoteReference w:id="9213"/>
      </w:r>
      <w:r>
        <w:t xml:space="preserve"> of David, and priests with trumpets.</w:t>
      </w:r>
    </w:p>
    <w:p>
      <w:r>
        <w:rPr>
          <w:b/>
        </w:rPr>
        <w:t xml:space="preserve">27 </w:t>
      </w:r>
      <w:r>
        <w:t xml:space="preserve">And Hezekiah said to offer whole burnt offering upon the altar, and when they began to offer whole burnt offering, they began to sing to the Lord, and trumpets with the instruments of David king of Israel.</w:t>
      </w:r>
      <w:r>
        <w:rPr>
          <w:rStyle w:val="FootnoteReference"/>
        </w:rPr>
        <w:footnoteReference w:id="9214"/>
      </w:r>
    </w:p>
    <w:p>
      <w:r>
        <w:rPr>
          <w:b/>
        </w:rPr>
        <w:t xml:space="preserve">28 </w:t>
      </w:r>
      <w:r>
        <w:t xml:space="preserve">And all the assembly worshiped, and singers were singing and trumpets sounding, until whole burnt offering was finished.</w:t>
      </w:r>
    </w:p>
    <w:p>
      <w:r>
        <w:rPr>
          <w:b/>
        </w:rPr>
        <w:t xml:space="preserve">29 </w:t>
      </w:r>
      <w:r>
        <w:t xml:space="preserve">And as they finished offering, king bent knee and all those found with him and worshiped.</w:t>
      </w:r>
    </w:p>
    <w:p>
      <w:r>
        <w:rPr>
          <w:b/>
        </w:rPr>
        <w:t xml:space="preserve">30 </w:t>
      </w:r>
      <w:r>
        <w:t xml:space="preserve">And Hezekiah the king and rulers told Levites to hymn the Lord</w:t>
      </w:r>
      <w:r>
        <w:rPr>
          <w:rStyle w:val="FootnoteReference"/>
        </w:rPr>
        <w:footnoteReference w:id="9215"/>
      </w:r>
      <w:r>
        <w:t xml:space="preserve"> in the words of David and Asaph the prophet, and they hymned with gladness and fell and worshiped.</w:t>
      </w:r>
    </w:p>
    <w:p>
      <w:r>
        <w:rPr>
          <w:b/>
        </w:rPr>
        <w:t xml:space="preserve">31 </w:t>
      </w:r>
      <w:r>
        <w:t xml:space="preserve">And Hezekiah answered and said, Now you have filled your hands to the Lord; come near and bring sacrifices and praises into the house of the Lord. And assembly brought sacrifices and praises into the house of the Lord, and everyone willing in heart brought whole burnt offerings.</w:t>
      </w:r>
    </w:p>
    <w:p>
      <w:r>
        <w:rPr>
          <w:b/>
        </w:rPr>
        <w:t xml:space="preserve">32 </w:t>
      </w:r>
      <w:r>
        <w:t xml:space="preserve">And number of whole burnt offerings which assembly brought was seventy calves, one hundred rams, two hundred lambs. All these for whole burnt offering to the Lord.</w:t>
      </w:r>
    </w:p>
    <w:p>
      <w:r>
        <w:rPr>
          <w:b/>
        </w:rPr>
        <w:t xml:space="preserve">33 </w:t>
      </w:r>
      <w:r>
        <w:t xml:space="preserve">And holy things were six hundred calves and three thousand sheep</w:t>
      </w:r>
      <w:r>
        <w:rPr>
          <w:rStyle w:val="FootnoteReference"/>
        </w:rPr>
        <w:footnoteReference w:id="9216"/>
      </w:r>
      <w:r>
        <w:t xml:space="preserve">.</w:t>
      </w:r>
    </w:p>
    <w:p>
      <w:r>
        <w:rPr>
          <w:b/>
        </w:rPr>
        <w:t xml:space="preserve">34 </w:t>
      </w:r>
      <w:r>
        <w:t xml:space="preserve">But priests were few and were not able to flay whole burnt offerings, and their brothers Levites took hold with them until work was finished and until priests were sanctified, because Levites were more willing to sanctify</w:t>
      </w:r>
      <w:r>
        <w:rPr>
          <w:rStyle w:val="FootnoteReference"/>
        </w:rPr>
        <w:footnoteReference w:id="9217"/>
      </w:r>
      <w:r>
        <w:t xml:space="preserve"> than priests.</w:t>
      </w:r>
    </w:p>
    <w:p>
      <w:r>
        <w:rPr>
          <w:b/>
        </w:rPr>
        <w:t xml:space="preserve">35 </w:t>
      </w:r>
      <w:r>
        <w:t xml:space="preserve">And whole burnt offering was much, with fats of completion of the offering of salvation and libations of whole burnt offering, and work in the house of the Lord was set right.</w:t>
      </w:r>
    </w:p>
    <w:p>
      <w:r>
        <w:rPr>
          <w:b/>
        </w:rPr>
        <w:t xml:space="preserve">36 </w:t>
      </w:r>
      <w:r>
        <w:t xml:space="preserve">And Hezekiah and all the people rejoiced because God prepared for people, because word came suddenly.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And Hezekiah sent over all Israel</w:t>
      </w:r>
      <w:r>
        <w:rPr>
          <w:rStyle w:val="FootnoteReference"/>
        </w:rPr>
        <w:footnoteReference w:id="9218"/>
      </w:r>
      <w:r>
        <w:t xml:space="preserve"> and Judah and wrote letters to Ephraim and Manasseh to come to the house of the Lord in Jerusalem to do passover to the Lord God of Israel.</w:t>
      </w:r>
    </w:p>
    <w:p>
      <w:r>
        <w:rPr>
          <w:b/>
        </w:rPr>
        <w:t xml:space="preserve">2 </w:t>
      </w:r>
      <w:r>
        <w:t xml:space="preserve">And the king and rulers and all the assembly in Jerusalem took counsel to do passover in the second month</w:t>
      </w:r>
      <w:r>
        <w:rPr>
          <w:rStyle w:val="FootnoteReference"/>
        </w:rPr>
        <w:footnoteReference w:id="9219"/>
      </w:r>
      <w:r>
        <w:t xml:space="preserve">.</w:t>
      </w:r>
    </w:p>
    <w:p>
      <w:r>
        <w:rPr>
          <w:b/>
        </w:rPr>
        <w:t xml:space="preserve">3 </w:t>
      </w:r>
      <w:r>
        <w:t xml:space="preserve">For they were not able to do it at that time</w:t>
      </w:r>
      <w:r>
        <w:rPr>
          <w:rStyle w:val="FootnoteReference"/>
        </w:rPr>
        <w:footnoteReference w:id="9220"/>
      </w:r>
      <w:r>
        <w:t xml:space="preserve">, because priests had not sanctified themselves enough and people had not been gathered into Jerusalem.</w:t>
      </w:r>
    </w:p>
    <w:p>
      <w:r>
        <w:rPr>
          <w:b/>
        </w:rPr>
        <w:t xml:space="preserve">4 </w:t>
      </w:r>
      <w:r>
        <w:t xml:space="preserve">And word pleased king and assembly.</w:t>
      </w:r>
    </w:p>
    <w:p>
      <w:r>
        <w:rPr>
          <w:b/>
        </w:rPr>
        <w:t xml:space="preserve">5 </w:t>
      </w:r>
      <w:r>
        <w:t xml:space="preserve">And they established</w:t>
      </w:r>
      <w:r>
        <w:rPr>
          <w:rStyle w:val="FootnoteReference"/>
        </w:rPr>
        <w:footnoteReference w:id="9221"/>
      </w:r>
      <w:r>
        <w:t xml:space="preserve"> word to make proclamation pass through all Israel from Beersheba to Dan, that they should come do passover to the Lord God of Israel in Jerusalem, because multitude did not do it according to writing</w:t>
      </w:r>
      <w:r>
        <w:rPr>
          <w:rStyle w:val="FootnoteReference"/>
        </w:rPr>
        <w:footnoteReference w:id="9222"/>
      </w:r>
      <w:r>
        <w:t xml:space="preserve">.</w:t>
      </w:r>
    </w:p>
    <w:p>
      <w:r>
        <w:rPr>
          <w:b/>
        </w:rPr>
        <w:t xml:space="preserve">6 </w:t>
      </w:r>
      <w:r>
        <w:t xml:space="preserve">And runners went with letters</w:t>
      </w:r>
      <w:r>
        <w:rPr>
          <w:rStyle w:val="FootnoteReference"/>
        </w:rPr>
        <w:footnoteReference w:id="9223"/>
      </w:r>
      <w:r>
        <w:t xml:space="preserve"> from the king and rulers through all Israel and Judah according to the command of the king, saying, Sons of Israel, return to God of Abraham and Isaac and Israel, and he will</w:t>
      </w:r>
      <w:r>
        <w:rPr>
          <w:rStyle w:val="FootnoteReference"/>
        </w:rPr>
        <w:footnoteReference w:id="9224"/>
      </w:r>
      <w:r>
        <w:t xml:space="preserve"> return remnant, those left from the hand of the king of Asshur.</w:t>
      </w:r>
    </w:p>
    <w:p>
      <w:r>
        <w:rPr>
          <w:b/>
        </w:rPr>
        <w:t xml:space="preserve">7 </w:t>
      </w:r>
      <w:r>
        <w:t xml:space="preserve">And do not become like your fathers and your brothers who rebelled from the Lord God of their fathers, and he gave them to desolation, as you see.</w:t>
      </w:r>
    </w:p>
    <w:p>
      <w:r>
        <w:rPr>
          <w:b/>
        </w:rPr>
        <w:t xml:space="preserve">8 </w:t>
      </w:r>
      <w:r>
        <w:t xml:space="preserve">And now do not harden your necks; give glory to the Lord God</w:t>
      </w:r>
      <w:r>
        <w:rPr>
          <w:rStyle w:val="FootnoteReference"/>
        </w:rPr>
        <w:footnoteReference w:id="9225"/>
      </w:r>
      <w:r>
        <w:t xml:space="preserve">, and enter into</w:t>
      </w:r>
      <w:r>
        <w:rPr>
          <w:rStyle w:val="FootnoteReference"/>
        </w:rPr>
        <w:footnoteReference w:id="9226"/>
      </w:r>
      <w:r>
        <w:t xml:space="preserve"> his sanctuary which he sanctified forever, and serve the Lord your God, and he will turn away fury of wrath from you.</w:t>
      </w:r>
    </w:p>
    <w:p>
      <w:r>
        <w:rPr>
          <w:b/>
        </w:rPr>
        <w:t xml:space="preserve">9 </w:t>
      </w:r>
      <w:r>
        <w:t xml:space="preserve">Because when you return to the Lord</w:t>
      </w:r>
      <w:r>
        <w:rPr>
          <w:rStyle w:val="FootnoteReference"/>
        </w:rPr>
        <w:footnoteReference w:id="9227"/>
      </w:r>
      <w:r>
        <w:t xml:space="preserve">, your brothers and your children shall be in mercies before all who took them captive</w:t>
      </w:r>
      <w:r>
        <w:rPr>
          <w:rStyle w:val="FootnoteReference"/>
        </w:rPr>
        <w:footnoteReference w:id="9228"/>
      </w:r>
      <w:r>
        <w:t xml:space="preserve"> and he will return to this land, because the Lord our God is merciful and compassionate and will not turn away his face from us if we return to him.</w:t>
      </w:r>
    </w:p>
    <w:p>
      <w:r>
        <w:rPr>
          <w:b/>
        </w:rPr>
        <w:t xml:space="preserve">10 </w:t>
      </w:r>
      <w:r>
        <w:t xml:space="preserve">And runners were passing from one city to another in hill-country of Ephraim and Manasseh and as far as Zebulun, and they became as a laughingstock and mockery to them.</w:t>
      </w:r>
    </w:p>
    <w:p>
      <w:r>
        <w:rPr>
          <w:b/>
        </w:rPr>
        <w:t xml:space="preserve">11 </w:t>
      </w:r>
      <w:r>
        <w:t xml:space="preserve">But men from Asher and from Manasseh and from Zebulun were put to shame and came to Jerusalem.</w:t>
      </w:r>
    </w:p>
    <w:p>
      <w:r>
        <w:rPr>
          <w:b/>
        </w:rPr>
        <w:t xml:space="preserve">12 </w:t>
      </w:r>
      <w:r>
        <w:t xml:space="preserve">And in Judah the hand of the Lord came to give them one heart, to come do according to the command of the king and rulers in the word of the Lord.</w:t>
      </w:r>
    </w:p>
    <w:p>
      <w:r>
        <w:rPr>
          <w:b/>
        </w:rPr>
        <w:t xml:space="preserve">13 </w:t>
      </w:r>
      <w:r>
        <w:t xml:space="preserve">And much people gathered into Jerusalem to do feast of unleavened bread in the second month</w:t>
      </w:r>
      <w:r>
        <w:rPr>
          <w:rStyle w:val="FootnoteReference"/>
        </w:rPr>
        <w:footnoteReference w:id="9229"/>
      </w:r>
      <w:r>
        <w:t xml:space="preserve">, very great assembly.</w:t>
      </w:r>
    </w:p>
    <w:p>
      <w:r>
        <w:rPr>
          <w:b/>
        </w:rPr>
        <w:t xml:space="preserve">14 </w:t>
      </w:r>
      <w:r>
        <w:t xml:space="preserve">And they rose and took down altars</w:t>
      </w:r>
      <w:r>
        <w:rPr>
          <w:rStyle w:val="FootnoteReference"/>
        </w:rPr>
        <w:footnoteReference w:id="9230"/>
      </w:r>
      <w:r>
        <w:t xml:space="preserve"> in Jerusalem, and all things in which they burned incense to false gods they pulled down and threw into the torrent of Kidron.</w:t>
      </w:r>
    </w:p>
    <w:p>
      <w:r>
        <w:rPr>
          <w:b/>
        </w:rPr>
        <w:t xml:space="preserve">15 </w:t>
      </w:r>
      <w:r>
        <w:t xml:space="preserve">And they sacrificed passover on the fourteenth of the second month, and priests and Levites were put to shame</w:t>
      </w:r>
      <w:r>
        <w:rPr>
          <w:rStyle w:val="FootnoteReference"/>
        </w:rPr>
        <w:footnoteReference w:id="9231"/>
      </w:r>
      <w:r>
        <w:t xml:space="preserve"> and sanctified</w:t>
      </w:r>
      <w:r>
        <w:rPr>
          <w:rStyle w:val="FootnoteReference"/>
        </w:rPr>
        <w:footnoteReference w:id="9232"/>
      </w:r>
      <w:r>
        <w:t xml:space="preserve"> themselves and brought whole burnt offerings into the house of the Lord.</w:t>
      </w:r>
    </w:p>
    <w:p>
      <w:r>
        <w:rPr>
          <w:b/>
        </w:rPr>
        <w:t xml:space="preserve">16 </w:t>
      </w:r>
      <w:r>
        <w:t xml:space="preserve">And they stood</w:t>
      </w:r>
      <w:r>
        <w:rPr>
          <w:rStyle w:val="FootnoteReference"/>
        </w:rPr>
        <w:footnoteReference w:id="9233"/>
      </w:r>
      <w:r>
        <w:t xml:space="preserve"> at their station according to their ordinance, according to the command of Moses man of God, and priests received blood from the hand of Levites.</w:t>
      </w:r>
    </w:p>
    <w:p>
      <w:r>
        <w:rPr>
          <w:b/>
        </w:rPr>
        <w:t xml:space="preserve">17 </w:t>
      </w:r>
      <w:r>
        <w:t xml:space="preserve">Because many of the assembly had not sanctified themselves, and Levites were to sacrifice passover for everyone not able to sanctify to the Lord.</w:t>
      </w:r>
    </w:p>
    <w:p>
      <w:r>
        <w:rPr>
          <w:b/>
        </w:rPr>
        <w:t xml:space="preserve">18 </w:t>
      </w:r>
      <w:r>
        <w:t xml:space="preserve">Because most of the people from Ephraim and Manasseh and Issachar and Zebulun had not sanctified themselves, but they ate passover contrary to writing</w:t>
      </w:r>
      <w:r>
        <w:rPr>
          <w:rStyle w:val="FootnoteReference"/>
        </w:rPr>
        <w:footnoteReference w:id="9234"/>
      </w:r>
      <w:r>
        <w:t xml:space="preserve">, and Hezekiah prayed</w:t>
      </w:r>
      <w:r>
        <w:rPr>
          <w:rStyle w:val="FootnoteReference"/>
        </w:rPr>
        <w:footnoteReference w:id="9235"/>
      </w:r>
      <w:r>
        <w:t xml:space="preserve"> for them, saying, May the good Lord make atonement concerning</w:t>
      </w:r>
    </w:p>
    <w:p>
      <w:r>
        <w:rPr>
          <w:b/>
        </w:rPr>
        <w:t xml:space="preserve">19 </w:t>
      </w:r>
      <w:r>
        <w:t xml:space="preserve">every heart directing itself to seek the Lord God of their fathers and not according to the purity of holy things.</w:t>
      </w:r>
    </w:p>
    <w:p>
      <w:r>
        <w:rPr>
          <w:b/>
        </w:rPr>
        <w:t xml:space="preserve">20 </w:t>
      </w:r>
      <w:r>
        <w:t xml:space="preserve">And the Lord listened to Hezekiah and healed</w:t>
      </w:r>
      <w:r>
        <w:rPr>
          <w:rStyle w:val="FootnoteReference"/>
        </w:rPr>
        <w:footnoteReference w:id="9236"/>
      </w:r>
      <w:r>
        <w:t xml:space="preserve"> people.</w:t>
      </w:r>
    </w:p>
    <w:p>
      <w:r>
        <w:rPr>
          <w:b/>
        </w:rPr>
        <w:t xml:space="preserve">21 </w:t>
      </w:r>
      <w:r>
        <w:t xml:space="preserve">And sons of Israel found in Jerusalem kept feast of unleavened bread seven days with great gladness</w:t>
      </w:r>
      <w:r>
        <w:rPr>
          <w:rStyle w:val="FootnoteReference"/>
        </w:rPr>
        <w:footnoteReference w:id="9237"/>
      </w:r>
      <w:r>
        <w:t xml:space="preserve">, and priests and Levites hymning to the Lord day by day</w:t>
      </w:r>
      <w:r>
        <w:rPr>
          <w:rStyle w:val="FootnoteReference"/>
        </w:rPr>
        <w:footnoteReference w:id="9238"/>
      </w:r>
      <w:r>
        <w:t xml:space="preserve"> with instruments to the Lord.</w:t>
      </w:r>
    </w:p>
    <w:p>
      <w:r>
        <w:rPr>
          <w:b/>
        </w:rPr>
        <w:t xml:space="preserve">22 </w:t>
      </w:r>
      <w:r>
        <w:t xml:space="preserve">And Hezekiah spoke to every heart</w:t>
      </w:r>
      <w:r>
        <w:rPr>
          <w:rStyle w:val="FootnoteReference"/>
        </w:rPr>
        <w:footnoteReference w:id="9239"/>
      </w:r>
      <w:r>
        <w:t xml:space="preserve"> of Levites, those understanding good understanding for the Lord, and they completed feast of unleavened bread seven days, sacrificing sacrifices of salvation and giving thanks to the Lord God of their fathers.</w:t>
      </w:r>
    </w:p>
    <w:p>
      <w:r>
        <w:rPr>
          <w:b/>
        </w:rPr>
        <w:t xml:space="preserve">23 </w:t>
      </w:r>
      <w:r>
        <w:t xml:space="preserve">And assembly took counsel</w:t>
      </w:r>
      <w:r>
        <w:rPr>
          <w:rStyle w:val="FootnoteReference"/>
        </w:rPr>
        <w:footnoteReference w:id="9240"/>
      </w:r>
      <w:r>
        <w:t xml:space="preserve"> together to do another seven days, and they did seven days with gladness.</w:t>
      </w:r>
    </w:p>
    <w:p>
      <w:r>
        <w:rPr>
          <w:b/>
        </w:rPr>
        <w:t xml:space="preserve">24 </w:t>
      </w:r>
      <w:r>
        <w:t xml:space="preserve">Because Hezekiah contributed to Judah for assembly one thousand calves and seven thousand sheep, and rulers contributed to people one thousand calves and ten thousand sheep, and many holy things for priests</w:t>
      </w:r>
      <w:r>
        <w:rPr>
          <w:rStyle w:val="FootnoteReference"/>
        </w:rPr>
        <w:footnoteReference w:id="9241"/>
      </w:r>
      <w:r>
        <w:t xml:space="preserve">.</w:t>
      </w:r>
    </w:p>
    <w:p>
      <w:r>
        <w:rPr>
          <w:b/>
        </w:rPr>
        <w:t xml:space="preserve">25 </w:t>
      </w:r>
      <w:r>
        <w:t xml:space="preserve">And all the assembly rejoiced</w:t>
      </w:r>
      <w:r>
        <w:rPr>
          <w:rStyle w:val="FootnoteReference"/>
        </w:rPr>
        <w:footnoteReference w:id="9242"/>
      </w:r>
      <w:r>
        <w:t xml:space="preserve">, priests and Levites and all the assembly from Judah and those found from Israel</w:t>
      </w:r>
      <w:r>
        <w:rPr>
          <w:rStyle w:val="FootnoteReference"/>
        </w:rPr>
        <w:footnoteReference w:id="9243"/>
      </w:r>
      <w:r>
        <w:t xml:space="preserve"> and sojourners who came from the land of Israel and those dwelling in Judah.</w:t>
      </w:r>
    </w:p>
    <w:p>
      <w:r>
        <w:rPr>
          <w:b/>
        </w:rPr>
        <w:t xml:space="preserve">26 </w:t>
      </w:r>
      <w:r>
        <w:t xml:space="preserve">And there was great gladness in Jerusalem; from the days of Solomon son of David king of Israel there had not been such feast in Jerusalem.</w:t>
      </w:r>
    </w:p>
    <w:p>
      <w:r>
        <w:rPr>
          <w:b/>
        </w:rPr>
        <w:t xml:space="preserve">27 </w:t>
      </w:r>
      <w:r>
        <w:t xml:space="preserve">And priests the Levites rose and blessed people, and their voice was heard and their prayer</w:t>
      </w:r>
      <w:r>
        <w:rPr>
          <w:rStyle w:val="FootnoteReference"/>
        </w:rPr>
        <w:footnoteReference w:id="9244"/>
      </w:r>
      <w:r>
        <w:t xml:space="preserve"> came to his holy dwelling, to heaven.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And when all these things were finished, all Israel</w:t>
      </w:r>
      <w:r>
        <w:rPr>
          <w:rStyle w:val="FootnoteReference"/>
        </w:rPr>
        <w:footnoteReference w:id="9245"/>
      </w:r>
      <w:r>
        <w:t xml:space="preserve"> found in the cities of Judah went out and broke pillars and cut down groves</w:t>
      </w:r>
      <w:r>
        <w:rPr>
          <w:rStyle w:val="FootnoteReference"/>
        </w:rPr>
        <w:footnoteReference w:id="9246"/>
      </w:r>
      <w:r>
        <w:t xml:space="preserve"> and pulled down high places and altars from all Judah and Benjamin and from Ephraim and from Manasseh until end, and all Israel returned each to his inheritance and to their cities.</w:t>
      </w:r>
    </w:p>
    <w:p>
      <w:r>
        <w:rPr>
          <w:b/>
        </w:rPr>
        <w:t xml:space="preserve">2 </w:t>
      </w:r>
      <w:r>
        <w:t xml:space="preserve">And Hezekiah appointed courses of priests and Levites, each course according to its own service, priests and Levites for whole burnt offering and sacrifice of salvation and to praise and give thanks and minister at gates in the courts of the house of the Lord.</w:t>
      </w:r>
    </w:p>
    <w:p>
      <w:r>
        <w:rPr>
          <w:b/>
        </w:rPr>
        <w:t xml:space="preserve">3 </w:t>
      </w:r>
      <w:r>
        <w:t xml:space="preserve">And portion of the king from his possessions</w:t>
      </w:r>
      <w:r>
        <w:rPr>
          <w:rStyle w:val="FootnoteReference"/>
        </w:rPr>
        <w:footnoteReference w:id="9247"/>
      </w:r>
      <w:r>
        <w:t xml:space="preserve"> was for whole burnt offerings, morning and evening, and whole burnt offerings for Sabbaths and new moons and feasts written in the law of the Lord.</w:t>
      </w:r>
    </w:p>
    <w:p>
      <w:r>
        <w:rPr>
          <w:b/>
        </w:rPr>
        <w:t xml:space="preserve">4 </w:t>
      </w:r>
      <w:r>
        <w:t xml:space="preserve">And he told people dwelling in Jerusalem to give portion of priests and Levites so that they might</w:t>
      </w:r>
      <w:r>
        <w:rPr>
          <w:rStyle w:val="FootnoteReference"/>
        </w:rPr>
        <w:footnoteReference w:id="9248"/>
      </w:r>
      <w:r>
        <w:t xml:space="preserve"> grow strong in service of the house of the Lord.</w:t>
      </w:r>
    </w:p>
    <w:p>
      <w:r>
        <w:rPr>
          <w:b/>
        </w:rPr>
        <w:t xml:space="preserve">5 </w:t>
      </w:r>
      <w:r>
        <w:t xml:space="preserve">And as word was commanded, sons of Israel increased firstfruits</w:t>
      </w:r>
      <w:r>
        <w:rPr>
          <w:rStyle w:val="FootnoteReference"/>
        </w:rPr>
        <w:footnoteReference w:id="9249"/>
      </w:r>
      <w:r>
        <w:t xml:space="preserve"> of grain and wine and oil and honey</w:t>
      </w:r>
      <w:r>
        <w:rPr>
          <w:rStyle w:val="FootnoteReference"/>
        </w:rPr>
        <w:footnoteReference w:id="9250"/>
      </w:r>
      <w:r>
        <w:t xml:space="preserve"> and every produce of field, and tithes of all things they brought in abundance.</w:t>
      </w:r>
    </w:p>
    <w:p>
      <w:r>
        <w:rPr>
          <w:b/>
        </w:rPr>
        <w:t xml:space="preserve">6 </w:t>
      </w:r>
      <w:r>
        <w:t xml:space="preserve">Sons of Israel and Judah and those dwelling in the cities of Judah also brought tithes of calves and sheep and tithes of goats and sanctified to the Lord their God and brought in and set in heaps, heaps</w:t>
      </w:r>
      <w:r>
        <w:rPr>
          <w:rStyle w:val="FootnoteReference"/>
        </w:rPr>
        <w:footnoteReference w:id="9251"/>
      </w:r>
      <w:r>
        <w:t xml:space="preserve">.</w:t>
      </w:r>
    </w:p>
    <w:p>
      <w:r>
        <w:rPr>
          <w:b/>
        </w:rPr>
        <w:t xml:space="preserve">7 </w:t>
      </w:r>
      <w:r>
        <w:t xml:space="preserve">In the third month they began to lay foundation of heaps, and in seventh month they finished.</w:t>
      </w:r>
    </w:p>
    <w:p>
      <w:r>
        <w:rPr>
          <w:b/>
        </w:rPr>
        <w:t xml:space="preserve">8 </w:t>
      </w:r>
      <w:r>
        <w:t xml:space="preserve">And Hezekiah and rulers came and saw heaps and blessed</w:t>
      </w:r>
      <w:r>
        <w:rPr>
          <w:rStyle w:val="FootnoteReference"/>
        </w:rPr>
        <w:footnoteReference w:id="9252"/>
      </w:r>
      <w:r>
        <w:t xml:space="preserve"> the Lord and his people Israel.</w:t>
      </w:r>
    </w:p>
    <w:p>
      <w:r>
        <w:rPr>
          <w:b/>
        </w:rPr>
        <w:t xml:space="preserve">9 </w:t>
      </w:r>
      <w:r>
        <w:t xml:space="preserve">And Hezekiah inquired of priests and Levites concerning heaps.</w:t>
      </w:r>
    </w:p>
    <w:p>
      <w:r>
        <w:rPr>
          <w:b/>
        </w:rPr>
        <w:t xml:space="preserve">10 </w:t>
      </w:r>
      <w:r>
        <w:t xml:space="preserve">And Azariah</w:t>
      </w:r>
      <w:r>
        <w:rPr>
          <w:rStyle w:val="FootnoteReference"/>
        </w:rPr>
        <w:footnoteReference w:id="9253"/>
      </w:r>
      <w:r>
        <w:t xml:space="preserve"> the chief priest for the house of Zadok said to him, From when firstfruits began to be brought into the house of the Lord, we ate and drank and left over</w:t>
      </w:r>
      <w:r>
        <w:rPr>
          <w:rStyle w:val="FootnoteReference"/>
        </w:rPr>
        <w:footnoteReference w:id="9254"/>
      </w:r>
      <w:r>
        <w:t xml:space="preserve">, because the Lord blessed his people, and we still left over this great abundance.</w:t>
      </w:r>
    </w:p>
    <w:p>
      <w:r>
        <w:rPr>
          <w:b/>
        </w:rPr>
        <w:t xml:space="preserve">11 </w:t>
      </w:r>
      <w:r>
        <w:t xml:space="preserve">And Hezekiah said to prepare storerooms in the house of the Lord, and they prepared them.</w:t>
      </w:r>
    </w:p>
    <w:p>
      <w:r>
        <w:rPr>
          <w:b/>
        </w:rPr>
        <w:t xml:space="preserve">12 </w:t>
      </w:r>
      <w:r>
        <w:t xml:space="preserve">And they brought there firstfruits and tithes in faithfulness, and over them overseer was Cononiah</w:t>
      </w:r>
      <w:r>
        <w:rPr>
          <w:rStyle w:val="FootnoteReference"/>
        </w:rPr>
        <w:footnoteReference w:id="9255"/>
      </w:r>
      <w:r>
        <w:t xml:space="preserve"> the Levite and Shimei his brother second.</w:t>
      </w:r>
    </w:p>
    <w:p>
      <w:r>
        <w:rPr>
          <w:b/>
        </w:rPr>
        <w:t xml:space="preserve">13 </w:t>
      </w:r>
      <w:r>
        <w:t xml:space="preserve">And Jehiel and Azaziah</w:t>
      </w:r>
      <w:r>
        <w:rPr>
          <w:rStyle w:val="FootnoteReference"/>
        </w:rPr>
        <w:footnoteReference w:id="9256"/>
      </w:r>
      <w:r>
        <w:t xml:space="preserve"> and Nahath and Asahel and Jerimoth and Jozabad and Eliel and Samachia and Maath and Benaiah and his sons were set under Cononiah and Shimei his brother, as King Hezekiah and Azariah</w:t>
      </w:r>
      <w:r>
        <w:rPr>
          <w:rStyle w:val="FootnoteReference"/>
        </w:rPr>
        <w:footnoteReference w:id="9257"/>
      </w:r>
      <w:r>
        <w:t xml:space="preserve"> leader of the house of the Lord commanded.</w:t>
      </w:r>
      <w:r>
        <w:rPr>
          <w:rStyle w:val="FootnoteReference"/>
        </w:rPr>
        <w:footnoteReference w:id="9258"/>
      </w:r>
    </w:p>
    <w:p>
      <w:r>
        <w:rPr>
          <w:b/>
        </w:rPr>
        <w:t xml:space="preserve">14 </w:t>
      </w:r>
      <w:r>
        <w:t xml:space="preserve">And Kore son of Imnah the Levite, gatekeeper eastward, was over freewill gifts to give firstfruits to the Lord and holy of holies.</w:t>
      </w:r>
    </w:p>
    <w:p>
      <w:r>
        <w:rPr>
          <w:b/>
        </w:rPr>
        <w:t xml:space="preserve">15 </w:t>
      </w:r>
      <w:r>
        <w:t xml:space="preserve">By hand of Odom and Benjamin and Joshua and Shemaiah and Amariah and Shecaniah, by the hand of priests in faithfulness</w:t>
      </w:r>
      <w:r>
        <w:rPr>
          <w:rStyle w:val="FootnoteReference"/>
        </w:rPr>
        <w:footnoteReference w:id="9259"/>
      </w:r>
      <w:r>
        <w:t xml:space="preserve">, to give to their brothers according to courses, to great and small.</w:t>
      </w:r>
    </w:p>
    <w:p>
      <w:r>
        <w:rPr>
          <w:b/>
        </w:rPr>
        <w:t xml:space="preserve">16 </w:t>
      </w:r>
      <w:r>
        <w:t xml:space="preserve">Besides genealogy of males from three years and upward, to everyone entering house of the Lord for matter of days day by day, for service in courses of their ordinance.</w:t>
      </w:r>
    </w:p>
    <w:p>
      <w:r>
        <w:rPr>
          <w:b/>
        </w:rPr>
        <w:t xml:space="preserve">17 </w:t>
      </w:r>
      <w:r>
        <w:t xml:space="preserve">This is reckoning of priests by the houses of fathers, and Levites in their courses from twenty</w:t>
      </w:r>
      <w:r>
        <w:rPr>
          <w:rStyle w:val="FootnoteReference"/>
        </w:rPr>
        <w:footnoteReference w:id="9260"/>
      </w:r>
      <w:r>
        <w:t xml:space="preserve"> years and upward in their arrangement.</w:t>
      </w:r>
    </w:p>
    <w:p>
      <w:r>
        <w:rPr>
          <w:b/>
        </w:rPr>
        <w:t xml:space="preserve">18 </w:t>
      </w:r>
      <w:r>
        <w:t xml:space="preserve">In genealogies among all their offspring, their sons and daughters, for all multitude, because in faithfulness they sanctified</w:t>
      </w:r>
      <w:r>
        <w:rPr>
          <w:rStyle w:val="FootnoteReference"/>
        </w:rPr>
        <w:footnoteReference w:id="9261"/>
      </w:r>
      <w:r>
        <w:t xml:space="preserve"> holy thing.</w:t>
      </w:r>
    </w:p>
    <w:p>
      <w:r>
        <w:rPr>
          <w:b/>
        </w:rPr>
        <w:t xml:space="preserve">19 </w:t>
      </w:r>
      <w:r>
        <w:t xml:space="preserve">For the sons of Aaron, those serving as priests, and those from their cities in every city and city</w:t>
      </w:r>
      <w:r>
        <w:rPr>
          <w:rStyle w:val="FootnoteReference"/>
        </w:rPr>
        <w:footnoteReference w:id="9262"/>
      </w:r>
      <w:r>
        <w:t xml:space="preserve">, men named by name to give portion to every male among priests and to every one counted among Levites.</w:t>
      </w:r>
    </w:p>
    <w:p>
      <w:r>
        <w:rPr>
          <w:b/>
        </w:rPr>
        <w:t xml:space="preserve">20 </w:t>
      </w:r>
      <w:r>
        <w:t xml:space="preserve">And Hezekiah did thus in all Judah and did good and upright before the Lord his God.</w:t>
      </w:r>
    </w:p>
    <w:p>
      <w:r>
        <w:rPr>
          <w:b/>
        </w:rPr>
        <w:t xml:space="preserve">21 </w:t>
      </w:r>
      <w:r>
        <w:t xml:space="preserve">And in every work which he began in service in the house of the Lord and in law and in ordinances, he sought his God with all his soul and did it, and he prospered</w:t>
      </w:r>
      <w:r>
        <w:rPr>
          <w:rStyle w:val="FootnoteReference"/>
        </w:rPr>
        <w:footnoteReference w:id="9263"/>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t xml:space="preserve">And after these words and this faithfulness, Sennacherib king of the Assyrians came, and he came against Judah and encamped against fortified cities and said to seize them.</w:t>
      </w:r>
    </w:p>
    <w:p>
      <w:r>
        <w:rPr>
          <w:b/>
        </w:rPr>
        <w:t xml:space="preserve">2 </w:t>
      </w:r>
      <w:r>
        <w:t xml:space="preserve">And Hezekiah saw that Sennacherib had come and that his face was set to fight against Jerusalem.</w:t>
      </w:r>
    </w:p>
    <w:p>
      <w:r>
        <w:rPr>
          <w:b/>
        </w:rPr>
        <w:t xml:space="preserve">3 </w:t>
      </w:r>
      <w:r>
        <w:t xml:space="preserve">And he took counsel</w:t>
      </w:r>
      <w:r>
        <w:rPr>
          <w:rStyle w:val="FootnoteReference"/>
        </w:rPr>
        <w:footnoteReference w:id="9264"/>
      </w:r>
      <w:r>
        <w:t xml:space="preserve"> with his elders and his mighty men to stop up waters of springs which were outside city, and they strengthened him.</w:t>
      </w:r>
    </w:p>
    <w:p>
      <w:r>
        <w:rPr>
          <w:b/>
        </w:rPr>
        <w:t xml:space="preserve">4 </w:t>
      </w:r>
      <w:r>
        <w:t xml:space="preserve">And he gathered much people and stopped up waters of springs and river dividing through the city, saying, Lest king of Asshur come and find</w:t>
      </w:r>
      <w:r>
        <w:rPr>
          <w:rStyle w:val="FootnoteReference"/>
        </w:rPr>
        <w:footnoteReference w:id="9265"/>
      </w:r>
      <w:r>
        <w:t xml:space="preserve"> much water and prevail.</w:t>
      </w:r>
    </w:p>
    <w:p>
      <w:r>
        <w:rPr>
          <w:b/>
        </w:rPr>
        <w:t xml:space="preserve">5 </w:t>
      </w:r>
      <w:r>
        <w:t xml:space="preserve">And Hezekiah grew strong and built all wall that had been pulled down</w:t>
      </w:r>
      <w:r>
        <w:rPr>
          <w:rStyle w:val="FootnoteReference"/>
        </w:rPr>
        <w:footnoteReference w:id="9266"/>
      </w:r>
      <w:r>
        <w:t xml:space="preserve">, and towers, and another outer wall, and strengthened supporting-wall of the City of David, and prepared many weapons.</w:t>
      </w:r>
    </w:p>
    <w:p>
      <w:r>
        <w:rPr>
          <w:b/>
        </w:rPr>
        <w:t xml:space="preserve">6 </w:t>
      </w:r>
      <w:r>
        <w:t xml:space="preserve">And he set war-captains over people, and they were gathered to him in the broad place of gate of valley, and he spoke to their heart, saying,</w:t>
      </w:r>
    </w:p>
    <w:p>
      <w:r>
        <w:rPr>
          <w:b/>
        </w:rPr>
        <w:t xml:space="preserve">7 </w:t>
      </w:r>
      <w:r>
        <w:t xml:space="preserve">Be strong</w:t>
      </w:r>
      <w:r>
        <w:rPr>
          <w:rStyle w:val="FootnoteReference"/>
        </w:rPr>
        <w:footnoteReference w:id="9267"/>
      </w:r>
      <w:r>
        <w:t xml:space="preserve"> and act like men. Do not fear from the face of the king of Asshur and from the face of all nation with him, because more are with us than with him.</w:t>
      </w:r>
    </w:p>
    <w:p>
      <w:r>
        <w:rPr>
          <w:b/>
        </w:rPr>
        <w:t xml:space="preserve">8 </w:t>
      </w:r>
      <w:r>
        <w:t xml:space="preserve">With him are fleshly arms, but with us</w:t>
      </w:r>
      <w:r>
        <w:rPr>
          <w:rStyle w:val="FootnoteReference"/>
        </w:rPr>
        <w:footnoteReference w:id="9268"/>
      </w:r>
      <w:r>
        <w:t xml:space="preserve"> is the Lord our God, to save and to fight our battle. And people grew bold upon the words of Hezekiah king of Judah.</w:t>
      </w:r>
    </w:p>
    <w:p>
      <w:r>
        <w:rPr>
          <w:b/>
        </w:rPr>
        <w:t xml:space="preserve">9 </w:t>
      </w:r>
      <w:r>
        <w:t xml:space="preserve">And after these things Sennacherib</w:t>
      </w:r>
      <w:r>
        <w:rPr>
          <w:rStyle w:val="FootnoteReference"/>
        </w:rPr>
        <w:footnoteReference w:id="9269"/>
      </w:r>
      <w:r>
        <w:t xml:space="preserve"> king of the Assyrians sent his servants to Jerusalem, while he himself was at Lachish and all force with him, and he sent to Hezekiah king of Judah and to all Judah in Jerusalem, saying,</w:t>
      </w:r>
      <w:r>
        <w:rPr>
          <w:rStyle w:val="FootnoteReference"/>
        </w:rPr>
        <w:footnoteReference w:id="9270"/>
      </w:r>
    </w:p>
    <w:p>
      <w:r>
        <w:rPr>
          <w:b/>
        </w:rPr>
        <w:t xml:space="preserve">10 </w:t>
      </w:r>
      <w:r>
        <w:t xml:space="preserve">Thus says Sennacherib king of the Assyrians: Upon what do you trust and remain in siege in Jerusalem?</w:t>
      </w:r>
    </w:p>
    <w:p>
      <w:r>
        <w:rPr>
          <w:b/>
        </w:rPr>
        <w:t xml:space="preserve">11 </w:t>
      </w:r>
      <w:r>
        <w:t xml:space="preserve">Does not Hezekiah deceive you, to give you over to death and to famine and to thirst, saying, The Lord our God</w:t>
      </w:r>
      <w:r>
        <w:rPr>
          <w:rStyle w:val="FootnoteReference"/>
        </w:rPr>
        <w:footnoteReference w:id="9271"/>
      </w:r>
      <w:r>
        <w:t xml:space="preserve"> will save us from the hand of the king of Asshur?</w:t>
      </w:r>
    </w:p>
    <w:p>
      <w:r>
        <w:rPr>
          <w:b/>
        </w:rPr>
        <w:t xml:space="preserve">12 </w:t>
      </w:r>
      <w:r>
        <w:t xml:space="preserve">Is not this Hezekiah himself the one who removed his altars and his high places and said to Judah and to those dwelling in Jerusalem, saying, Before this altar you shall bow down, and upon it you shall burn incense?</w:t>
      </w:r>
    </w:p>
    <w:p>
      <w:r>
        <w:rPr>
          <w:b/>
        </w:rPr>
        <w:t xml:space="preserve">13 </w:t>
      </w:r>
      <w:r>
        <w:t xml:space="preserve">Will you not know what I and my</w:t>
      </w:r>
      <w:r>
        <w:rPr>
          <w:rStyle w:val="FootnoteReference"/>
        </w:rPr>
        <w:footnoteReference w:id="9272"/>
      </w:r>
      <w:r>
        <w:t xml:space="preserve"> fathers did to all peoples of lands? Were gods of nations of all the earth at all able to save their people from my hand?</w:t>
      </w:r>
    </w:p>
    <w:p>
      <w:r>
        <w:rPr>
          <w:b/>
        </w:rPr>
        <w:t xml:space="preserve">14 </w:t>
      </w:r>
      <w:r>
        <w:t xml:space="preserve">Who among</w:t>
      </w:r>
      <w:r>
        <w:rPr>
          <w:rStyle w:val="FootnoteReference"/>
        </w:rPr>
        <w:footnoteReference w:id="9273"/>
      </w:r>
      <w:r>
        <w:t xml:space="preserve"> all gods of these nations whom my fathers destroyed was unable to save their people from my hand, that your God will be able to save you from my hand?</w:t>
      </w:r>
    </w:p>
    <w:p>
      <w:r>
        <w:rPr>
          <w:b/>
        </w:rPr>
        <w:t xml:space="preserve">15 </w:t>
      </w:r>
      <w:r>
        <w:t xml:space="preserve">Now let not Hezekiah deceive</w:t>
      </w:r>
      <w:r>
        <w:rPr>
          <w:rStyle w:val="FootnoteReference"/>
        </w:rPr>
        <w:footnoteReference w:id="9274"/>
      </w:r>
      <w:r>
        <w:t xml:space="preserve"> you, and let him not make you trust according to these things, and do not believe him</w:t>
      </w:r>
      <w:r>
        <w:rPr>
          <w:rStyle w:val="FootnoteReference"/>
        </w:rPr>
        <w:footnoteReference w:id="9275"/>
      </w:r>
      <w:r>
        <w:t xml:space="preserve">, because no god of any nation and kingdom was able to save his people from my hand and from the hand of my fathers. So your God will certainly not save you from my hand.</w:t>
      </w:r>
    </w:p>
    <w:p>
      <w:r>
        <w:rPr>
          <w:b/>
        </w:rPr>
        <w:t xml:space="preserve">16 </w:t>
      </w:r>
      <w:r>
        <w:t xml:space="preserve">And still his servants spoke against</w:t>
      </w:r>
      <w:r>
        <w:rPr>
          <w:rStyle w:val="FootnoteReference"/>
        </w:rPr>
        <w:footnoteReference w:id="9276"/>
      </w:r>
      <w:r>
        <w:t xml:space="preserve"> the Lord God and against Hezekiah his servant.</w:t>
      </w:r>
    </w:p>
    <w:p>
      <w:r>
        <w:rPr>
          <w:b/>
        </w:rPr>
        <w:t xml:space="preserve">17 </w:t>
      </w:r>
      <w:r>
        <w:t xml:space="preserve">And he wrote</w:t>
      </w:r>
      <w:r>
        <w:rPr>
          <w:rStyle w:val="FootnoteReference"/>
        </w:rPr>
        <w:footnoteReference w:id="9277"/>
      </w:r>
      <w:r>
        <w:t xml:space="preserve"> letter to reproach the Lord God of Israel and spoke concerning him, saying, As gods of the nations of the earth did not deliver their peoples from my hand, so God of Hezekiah will certainly not deliver</w:t>
      </w:r>
      <w:r>
        <w:rPr>
          <w:rStyle w:val="FootnoteReference"/>
        </w:rPr>
        <w:footnoteReference w:id="9278"/>
      </w:r>
      <w:r>
        <w:t xml:space="preserve"> his people from my hand.</w:t>
      </w:r>
    </w:p>
    <w:p>
      <w:r>
        <w:rPr>
          <w:b/>
        </w:rPr>
        <w:t xml:space="preserve">18 </w:t>
      </w:r>
      <w:r>
        <w:t xml:space="preserve">And he cried with loud voice in Ioudaisti over people of Jerusalem on wall, to frighten them and throw them down, so that they might seize city.</w:t>
      </w:r>
    </w:p>
    <w:p>
      <w:r>
        <w:rPr>
          <w:b/>
        </w:rPr>
        <w:t xml:space="preserve">19 </w:t>
      </w:r>
      <w:r>
        <w:t xml:space="preserve">And he spoke against God of Jerusalem as also against gods of peoples of earth, works of the hands of men.</w:t>
      </w:r>
    </w:p>
    <w:p>
      <w:r>
        <w:rPr>
          <w:b/>
        </w:rPr>
        <w:t xml:space="preserve">20 </w:t>
      </w:r>
      <w:r>
        <w:t xml:space="preserve">And Hezekiah</w:t>
      </w:r>
      <w:r>
        <w:rPr>
          <w:rStyle w:val="FootnoteReference"/>
        </w:rPr>
        <w:footnoteReference w:id="9279"/>
      </w:r>
      <w:r>
        <w:t xml:space="preserve"> king and Isaiah son of Amoz prophet prayed about these things and cried out to heaven.</w:t>
      </w:r>
    </w:p>
    <w:p>
      <w:r>
        <w:rPr>
          <w:b/>
        </w:rPr>
        <w:t xml:space="preserve">21 </w:t>
      </w:r>
      <w:r>
        <w:t xml:space="preserve">And the Lord</w:t>
      </w:r>
      <w:r>
        <w:rPr>
          <w:rStyle w:val="FootnoteReference"/>
        </w:rPr>
        <w:footnoteReference w:id="9280"/>
      </w:r>
      <w:r>
        <w:t xml:space="preserve"> sent angel and crushed every mighty warrior and ruler and commander in camp of the king of Asshur, and he returned with the shame of face to his land, and he came into the house of his god, and those coming from his own belly</w:t>
      </w:r>
      <w:r>
        <w:rPr>
          <w:rStyle w:val="FootnoteReference"/>
        </w:rPr>
        <w:footnoteReference w:id="9281"/>
      </w:r>
      <w:r>
        <w:t xml:space="preserve"> struck him down there with sword.</w:t>
      </w:r>
    </w:p>
    <w:p>
      <w:r>
        <w:rPr>
          <w:b/>
        </w:rPr>
        <w:t xml:space="preserve">22 </w:t>
      </w:r>
      <w:r>
        <w:t xml:space="preserve">And the Lord saved Hezekiah and those dwelling in Jerusalem from the hand of Sennacherib king of Asshur and from the hand of all, and gave them rest round about.</w:t>
      </w:r>
    </w:p>
    <w:p>
      <w:r>
        <w:rPr>
          <w:b/>
        </w:rPr>
        <w:t xml:space="preserve">23 </w:t>
      </w:r>
      <w:r>
        <w:t xml:space="preserve">And many brought gifts</w:t>
      </w:r>
      <w:r>
        <w:rPr>
          <w:rStyle w:val="FootnoteReference"/>
        </w:rPr>
        <w:footnoteReference w:id="9282"/>
      </w:r>
      <w:r>
        <w:t xml:space="preserve"> to the Lord in Jerusalem, and offerings to Hezekiah king of Judah, and he was lifted up in the eyes of all nations after these things.</w:t>
      </w:r>
    </w:p>
    <w:p>
      <w:r>
        <w:rPr>
          <w:b/>
        </w:rPr>
        <w:t xml:space="preserve">24 </w:t>
      </w:r>
      <w:r>
        <w:t xml:space="preserve">In those days Hezekiah</w:t>
      </w:r>
      <w:r>
        <w:rPr>
          <w:rStyle w:val="FootnoteReference"/>
        </w:rPr>
        <w:footnoteReference w:id="9283"/>
      </w:r>
      <w:r>
        <w:t xml:space="preserve"> became sick to point of death, and he prayed to the Lord, and he heard him and gave him sign.</w:t>
      </w:r>
    </w:p>
    <w:p>
      <w:r>
        <w:rPr>
          <w:b/>
        </w:rPr>
        <w:t xml:space="preserve">25 </w:t>
      </w:r>
      <w:r>
        <w:t xml:space="preserve">And Hezekiah did not repay according to recompense given him, but his heart</w:t>
      </w:r>
      <w:r>
        <w:rPr>
          <w:rStyle w:val="FootnoteReference"/>
        </w:rPr>
        <w:footnoteReference w:id="9284"/>
      </w:r>
      <w:r>
        <w:t xml:space="preserve"> was lifted up, and wrath came upon him and upon Judah and Jerusalem.</w:t>
      </w:r>
    </w:p>
    <w:p>
      <w:r>
        <w:rPr>
          <w:b/>
        </w:rPr>
        <w:t xml:space="preserve">26 </w:t>
      </w:r>
      <w:r>
        <w:t xml:space="preserve">And Hezekiah</w:t>
      </w:r>
      <w:r>
        <w:rPr>
          <w:rStyle w:val="FootnoteReference"/>
        </w:rPr>
        <w:footnoteReference w:id="9285"/>
      </w:r>
      <w:r>
        <w:t xml:space="preserve"> was humbled from the height of his heart, he and those dwelling in Jerusalem, and the wrath of the Lord did not come upon them in the days of Hezekiah.</w:t>
      </w:r>
    </w:p>
    <w:p>
      <w:r>
        <w:rPr>
          <w:b/>
        </w:rPr>
        <w:t xml:space="preserve">27 </w:t>
      </w:r>
      <w:r>
        <w:t xml:space="preserve">And there came to Hezekiah very much wealth and glory, and he made for himself treasuries</w:t>
      </w:r>
      <w:r>
        <w:rPr>
          <w:rStyle w:val="FootnoteReference"/>
        </w:rPr>
        <w:footnoteReference w:id="9286"/>
      </w:r>
      <w:r>
        <w:t xml:space="preserve"> of silver and gold and precious stone and for spices and armories and for desirable vessels,</w:t>
      </w:r>
    </w:p>
    <w:p>
      <w:r>
        <w:rPr>
          <w:b/>
        </w:rPr>
        <w:t xml:space="preserve">28 </w:t>
      </w:r>
      <w:r>
        <w:t xml:space="preserve">and store-cities for produce of grain and oil and wine, and stalls</w:t>
      </w:r>
      <w:r>
        <w:rPr>
          <w:rStyle w:val="FootnoteReference"/>
        </w:rPr>
        <w:footnoteReference w:id="9287"/>
      </w:r>
      <w:r>
        <w:t xml:space="preserve"> for every beast and folds for flocks.</w:t>
      </w:r>
    </w:p>
    <w:p>
      <w:r>
        <w:rPr>
          <w:b/>
        </w:rPr>
        <w:t xml:space="preserve">29 </w:t>
      </w:r>
      <w:r>
        <w:t xml:space="preserve">And he built cities for himself, and possession of sheep and cattle in abundance, because the Lord gave him very much possession.</w:t>
      </w:r>
    </w:p>
    <w:p>
      <w:r>
        <w:rPr>
          <w:b/>
        </w:rPr>
        <w:t xml:space="preserve">30 </w:t>
      </w:r>
      <w:r>
        <w:t xml:space="preserve">This Hezekiah</w:t>
      </w:r>
      <w:r>
        <w:rPr>
          <w:rStyle w:val="FootnoteReference"/>
        </w:rPr>
        <w:footnoteReference w:id="9288"/>
      </w:r>
      <w:r>
        <w:t xml:space="preserve"> stopped up upper outlet of water of Gihon and directed them down toward south of the City of David, and Hezekiah prospered in all his works.</w:t>
      </w:r>
    </w:p>
    <w:p>
      <w:r>
        <w:rPr>
          <w:b/>
        </w:rPr>
        <w:t xml:space="preserve">31 </w:t>
      </w:r>
      <w:r>
        <w:t xml:space="preserve">And so, with ambassadors of rulers from Babylon who had been sent to him to inquire from him about wonder that happened upon earth, the Lord left him</w:t>
      </w:r>
      <w:r>
        <w:rPr>
          <w:rStyle w:val="FootnoteReference"/>
        </w:rPr>
        <w:footnoteReference w:id="9289"/>
      </w:r>
      <w:r>
        <w:t xml:space="preserve"> to test him</w:t>
      </w:r>
      <w:r>
        <w:rPr>
          <w:rStyle w:val="FootnoteReference"/>
        </w:rPr>
        <w:footnoteReference w:id="9290"/>
      </w:r>
      <w:r>
        <w:t xml:space="preserve">, to know things in his heart.</w:t>
      </w:r>
    </w:p>
    <w:p>
      <w:r>
        <w:rPr>
          <w:b/>
        </w:rPr>
        <w:t xml:space="preserve">32 </w:t>
      </w:r>
      <w:r>
        <w:t xml:space="preserve">And the rest of words of Hezekiah and his mercy, behold, written in prophecy of Isaiah son of Amoz the prophet and in the book of kings of Judah and Israel.</w:t>
      </w:r>
    </w:p>
    <w:p>
      <w:r>
        <w:rPr>
          <w:b/>
        </w:rPr>
        <w:t xml:space="preserve">33 </w:t>
      </w:r>
      <w:r>
        <w:t xml:space="preserve">And Hezekiah slept</w:t>
      </w:r>
      <w:r>
        <w:rPr>
          <w:rStyle w:val="FootnoteReference"/>
        </w:rPr>
        <w:footnoteReference w:id="9291"/>
      </w:r>
      <w:r>
        <w:t xml:space="preserve"> with his fathers, and they buried him in ascent of tombs of sons of David, and all Judah and those dwelling in Jerusalem gave him glory and honor in his death, and Manasseh his son reigned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Manasseh</w:t>
      </w:r>
      <w:r>
        <w:rPr>
          <w:rStyle w:val="FootnoteReference"/>
        </w:rPr>
        <w:footnoteReference w:id="9292"/>
      </w:r>
      <w:r>
        <w:t xml:space="preserve"> was twelve years old when he reigned, and fifty-five years he reigned in Jerusalem.</w:t>
      </w:r>
    </w:p>
    <w:p>
      <w:r>
        <w:rPr>
          <w:b/>
        </w:rPr>
        <w:t xml:space="preserve">2 </w:t>
      </w:r>
      <w:r>
        <w:t xml:space="preserve">And he did evil before the Lord, from all abominations of nations whom the Lord destroyed from before the sons of Israel.</w:t>
      </w:r>
    </w:p>
    <w:p>
      <w:r>
        <w:rPr>
          <w:b/>
        </w:rPr>
        <w:t xml:space="preserve">3 </w:t>
      </w:r>
      <w:r>
        <w:t xml:space="preserve">And he turned again and rebuilt high places which Hezekiah</w:t>
      </w:r>
      <w:r>
        <w:rPr>
          <w:rStyle w:val="FootnoteReference"/>
        </w:rPr>
        <w:footnoteReference w:id="9293"/>
      </w:r>
      <w:r>
        <w:t xml:space="preserve"> his father pulled down, and set up pillars to Baalim and made groves and bowed down to all the army of heaven and served them.</w:t>
      </w:r>
    </w:p>
    <w:p>
      <w:r>
        <w:rPr>
          <w:b/>
        </w:rPr>
        <w:t xml:space="preserve">4 </w:t>
      </w:r>
      <w:r>
        <w:t xml:space="preserve">And he built</w:t>
      </w:r>
      <w:r>
        <w:rPr>
          <w:rStyle w:val="FootnoteReference"/>
        </w:rPr>
        <w:footnoteReference w:id="9294"/>
      </w:r>
      <w:r>
        <w:t xml:space="preserve"> altars in the house of the Lord, of which the Lord said, In Jerusalem my name will be forever.</w:t>
      </w:r>
    </w:p>
    <w:p>
      <w:r>
        <w:rPr>
          <w:b/>
        </w:rPr>
        <w:t xml:space="preserve">5 </w:t>
      </w:r>
      <w:r>
        <w:t xml:space="preserve">And he built altars to all the army of heaven in two courts of the house of the Lord.</w:t>
      </w:r>
    </w:p>
    <w:p>
      <w:r>
        <w:rPr>
          <w:b/>
        </w:rPr>
        <w:t xml:space="preserve">6 </w:t>
      </w:r>
      <w:r>
        <w:t xml:space="preserve">And he himself brought his children through fire in Valley of Ben-Hinnom</w:t>
      </w:r>
      <w:r>
        <w:rPr>
          <w:rStyle w:val="FootnoteReference"/>
        </w:rPr>
        <w:footnoteReference w:id="9295"/>
      </w:r>
      <w:r>
        <w:t xml:space="preserve">, and practiced divination and omens and sorcery, and made ventriloquists</w:t>
      </w:r>
      <w:r>
        <w:rPr>
          <w:rStyle w:val="FootnoteReference"/>
        </w:rPr>
        <w:footnoteReference w:id="9296"/>
      </w:r>
      <w:r>
        <w:t xml:space="preserve"> and enchanters. He multiplied doing evil before the Lord, to provoke him.</w:t>
      </w:r>
    </w:p>
    <w:p>
      <w:r>
        <w:rPr>
          <w:b/>
        </w:rPr>
        <w:t xml:space="preserve">7 </w:t>
      </w:r>
      <w:r>
        <w:t xml:space="preserve">And he set carved and molten image</w:t>
      </w:r>
      <w:r>
        <w:rPr>
          <w:rStyle w:val="FootnoteReference"/>
        </w:rPr>
        <w:footnoteReference w:id="9297"/>
      </w:r>
      <w:r>
        <w:t xml:space="preserve"> which he made in the house</w:t>
      </w:r>
      <w:r>
        <w:rPr>
          <w:rStyle w:val="FootnoteReference"/>
        </w:rPr>
        <w:footnoteReference w:id="9298"/>
      </w:r>
      <w:r>
        <w:t xml:space="preserve"> of God, of which God said to David and to Solomon his son, In this house and Jerusalem, which I chose from all the tribes of Israel, I will put my name forever.</w:t>
      </w:r>
    </w:p>
    <w:p>
      <w:r>
        <w:rPr>
          <w:b/>
        </w:rPr>
        <w:t xml:space="preserve">8 </w:t>
      </w:r>
      <w:r>
        <w:t xml:space="preserve">And I will not again add to move foot of Israel</w:t>
      </w:r>
      <w:r>
        <w:rPr>
          <w:rStyle w:val="FootnoteReference"/>
        </w:rPr>
        <w:footnoteReference w:id="9299"/>
      </w:r>
      <w:r>
        <w:t xml:space="preserve"> from the land which I gave to their fathers, only if they keep to do all</w:t>
      </w:r>
      <w:r>
        <w:rPr>
          <w:rStyle w:val="FootnoteReference"/>
        </w:rPr>
        <w:footnoteReference w:id="9300"/>
      </w:r>
      <w:r>
        <w:t xml:space="preserve"> things which I commanded them, according to all law and ordinances and judgments by the hand of Moses.</w:t>
      </w:r>
    </w:p>
    <w:p>
      <w:r>
        <w:rPr>
          <w:b/>
        </w:rPr>
        <w:t xml:space="preserve">9 </w:t>
      </w:r>
      <w:r>
        <w:t xml:space="preserve">And Manasseh led Judah and those dwelling in Jerusalem astray, to do evil beyond all nations which the Lord removed from before the sons of Israel.</w:t>
      </w:r>
    </w:p>
    <w:p>
      <w:r>
        <w:rPr>
          <w:b/>
        </w:rPr>
        <w:t xml:space="preserve">10 </w:t>
      </w:r>
      <w:r>
        <w:t xml:space="preserve">And the Lord spoke against Manasseh and against his people, and they did not listen.</w:t>
      </w:r>
    </w:p>
    <w:p>
      <w:r>
        <w:rPr>
          <w:b/>
        </w:rPr>
        <w:t xml:space="preserve">11 </w:t>
      </w:r>
      <w:r>
        <w:t xml:space="preserve">And the Lord</w:t>
      </w:r>
      <w:r>
        <w:rPr>
          <w:rStyle w:val="FootnoteReference"/>
        </w:rPr>
        <w:footnoteReference w:id="9301"/>
      </w:r>
      <w:r>
        <w:t xml:space="preserve"> brought upon them commanders of the force of the king of Asshur, and they seized Manasseh in bonds and bound him in fetters and brought him to Babylon.</w:t>
      </w:r>
    </w:p>
    <w:p>
      <w:r>
        <w:rPr>
          <w:b/>
        </w:rPr>
        <w:t xml:space="preserve">12 </w:t>
      </w:r>
      <w:r>
        <w:t xml:space="preserve">And when</w:t>
      </w:r>
      <w:r>
        <w:rPr>
          <w:rStyle w:val="FootnoteReference"/>
        </w:rPr>
        <w:footnoteReference w:id="9302"/>
      </w:r>
      <w:r>
        <w:t xml:space="preserve"> he was afflicted, he sought the face of the Lord his God and humbled himself greatly</w:t>
      </w:r>
      <w:r>
        <w:rPr>
          <w:rStyle w:val="FootnoteReference"/>
        </w:rPr>
        <w:footnoteReference w:id="9303"/>
      </w:r>
      <w:r>
        <w:t xml:space="preserve"> before God of his fathers.</w:t>
      </w:r>
    </w:p>
    <w:p>
      <w:r>
        <w:rPr>
          <w:b/>
        </w:rPr>
        <w:t xml:space="preserve">13 </w:t>
      </w:r>
      <w:r>
        <w:t xml:space="preserve">And he prayed to him, and he heard him and heard his cry and restored him to Jerusalem, to his kingdom. And Manasseh knew</w:t>
      </w:r>
      <w:r>
        <w:rPr>
          <w:rStyle w:val="FootnoteReference"/>
        </w:rPr>
        <w:footnoteReference w:id="9304"/>
      </w:r>
      <w:r>
        <w:t xml:space="preserve"> that Lord, he is God.</w:t>
      </w:r>
    </w:p>
    <w:p>
      <w:r>
        <w:rPr>
          <w:b/>
        </w:rPr>
        <w:t xml:space="preserve">14 </w:t>
      </w:r>
      <w:r>
        <w:t xml:space="preserve">And after these things he built</w:t>
      </w:r>
      <w:r>
        <w:rPr>
          <w:rStyle w:val="FootnoteReference"/>
        </w:rPr>
        <w:footnoteReference w:id="9305"/>
      </w:r>
      <w:r>
        <w:t xml:space="preserve"> wall outside the City of David from west toward Gihon in ravine and at those going out of gate round about and to Ophel, and he raised it very high, and set commanders of force in all fortified cities in Judah.</w:t>
      </w:r>
      <w:r>
        <w:rPr>
          <w:rStyle w:val="FootnoteReference"/>
        </w:rPr>
        <w:footnoteReference w:id="9306"/>
      </w:r>
    </w:p>
    <w:p>
      <w:r>
        <w:rPr>
          <w:b/>
        </w:rPr>
        <w:t xml:space="preserve">15 </w:t>
      </w:r>
      <w:r>
        <w:t xml:space="preserve">And he removed foreign gods and carved thing from the house of the Lord, and all altars which he built on the mountain of the house of the Lord and in Jerusalem, and he threw them outside city.</w:t>
      </w:r>
    </w:p>
    <w:p>
      <w:r>
        <w:rPr>
          <w:b/>
        </w:rPr>
        <w:t xml:space="preserve">16 </w:t>
      </w:r>
      <w:r>
        <w:t xml:space="preserve">And he restored the altar of the Lord and sacrificed upon it a sacrifice of salvation and of praise</w:t>
      </w:r>
      <w:r>
        <w:rPr>
          <w:rStyle w:val="FootnoteReference"/>
        </w:rPr>
        <w:footnoteReference w:id="9307"/>
      </w:r>
      <w:r>
        <w:t xml:space="preserve">, and told Judah to serve the Lord God of Israel.</w:t>
      </w:r>
      <w:r>
        <w:rPr>
          <w:rStyle w:val="FootnoteReference"/>
        </w:rPr>
        <w:footnoteReference w:id="9308"/>
      </w:r>
    </w:p>
    <w:p>
      <w:r>
        <w:rPr>
          <w:b/>
        </w:rPr>
        <w:t xml:space="preserve">17 </w:t>
      </w:r>
      <w:r>
        <w:t xml:space="preserve">Except that people</w:t>
      </w:r>
      <w:r>
        <w:rPr>
          <w:rStyle w:val="FootnoteReference"/>
        </w:rPr>
        <w:footnoteReference w:id="9309"/>
      </w:r>
      <w:r>
        <w:t xml:space="preserve"> still sacrificed on high places, only to the Lord their God.</w:t>
      </w:r>
    </w:p>
    <w:p>
      <w:r>
        <w:rPr>
          <w:b/>
        </w:rPr>
        <w:t xml:space="preserve">18 </w:t>
      </w:r>
      <w:r>
        <w:t xml:space="preserve">And the rest</w:t>
      </w:r>
      <w:r>
        <w:rPr>
          <w:rStyle w:val="FootnoteReference"/>
        </w:rPr>
        <w:footnoteReference w:id="9310"/>
      </w:r>
      <w:r>
        <w:t xml:space="preserve"> of words of Manasseh and his prayer to God and words of seers speaking to him in the name of the Lord God of Israel, behold, upon records.</w:t>
      </w:r>
      <w:r>
        <w:rPr>
          <w:rStyle w:val="FootnoteReference"/>
        </w:rPr>
        <w:footnoteReference w:id="9311"/>
      </w:r>
    </w:p>
    <w:p>
      <w:r>
        <w:rPr>
          <w:b/>
        </w:rPr>
        <w:t xml:space="preserve">19 </w:t>
      </w:r>
      <w:r>
        <w:t xml:space="preserve">And his prayer and how he was heard</w:t>
      </w:r>
      <w:r>
        <w:rPr>
          <w:rStyle w:val="FootnoteReference"/>
        </w:rPr>
        <w:footnoteReference w:id="9312"/>
      </w:r>
      <w:r>
        <w:t xml:space="preserve">, and all his sins</w:t>
      </w:r>
      <w:r>
        <w:rPr>
          <w:rStyle w:val="FootnoteReference"/>
        </w:rPr>
        <w:footnoteReference w:id="9313"/>
      </w:r>
      <w:r>
        <w:t xml:space="preserve"> and his rebellions and places on which he built high places and set up groves and carved things before he turned back, behold, written upon the words of seers.</w:t>
      </w:r>
    </w:p>
    <w:p>
      <w:r>
        <w:rPr>
          <w:b/>
        </w:rPr>
        <w:t xml:space="preserve">20 </w:t>
      </w:r>
      <w:r>
        <w:t xml:space="preserve">And Manasseh</w:t>
      </w:r>
      <w:r>
        <w:rPr>
          <w:rStyle w:val="FootnoteReference"/>
        </w:rPr>
        <w:footnoteReference w:id="9314"/>
      </w:r>
      <w:r>
        <w:t xml:space="preserve"> slept with his fathers, and they buried him in garden of his house, and Amon his son reigned in his place.</w:t>
      </w:r>
    </w:p>
    <w:p>
      <w:r>
        <w:rPr>
          <w:b/>
        </w:rPr>
        <w:t xml:space="preserve">21 </w:t>
      </w:r>
      <w:r>
        <w:t xml:space="preserve">Amon was twenty-two years</w:t>
      </w:r>
      <w:r>
        <w:rPr>
          <w:rStyle w:val="FootnoteReference"/>
        </w:rPr>
        <w:footnoteReference w:id="9315"/>
      </w:r>
      <w:r>
        <w:t xml:space="preserve"> old when he reigned, and two years he reigned in Jerusalem.</w:t>
      </w:r>
    </w:p>
    <w:p>
      <w:r>
        <w:rPr>
          <w:b/>
        </w:rPr>
        <w:t xml:space="preserve">22 </w:t>
      </w:r>
      <w:r>
        <w:t xml:space="preserve">And he did evil before the Lord as Manasseh his father did, and to all idols which Manasseh his father made Amon sacrificed and served them.</w:t>
      </w:r>
    </w:p>
    <w:p>
      <w:r>
        <w:rPr>
          <w:b/>
        </w:rPr>
        <w:t xml:space="preserve">23 </w:t>
      </w:r>
      <w:r>
        <w:t xml:space="preserve">And he did not humble himself before the Lord as Manasseh his father humbled</w:t>
      </w:r>
      <w:r>
        <w:rPr>
          <w:rStyle w:val="FootnoteReference"/>
        </w:rPr>
        <w:footnoteReference w:id="9316"/>
      </w:r>
      <w:r>
        <w:t xml:space="preserve"> himself, because this Amon multiplied trespass.</w:t>
      </w:r>
    </w:p>
    <w:p>
      <w:r>
        <w:rPr>
          <w:b/>
        </w:rPr>
        <w:t xml:space="preserve">24 </w:t>
      </w:r>
      <w:r>
        <w:t xml:space="preserve">And his servants attacked him and struck him in his house.</w:t>
      </w:r>
    </w:p>
    <w:p>
      <w:r>
        <w:rPr>
          <w:b/>
        </w:rPr>
        <w:t xml:space="preserve">25 </w:t>
      </w:r>
      <w:r>
        <w:t xml:space="preserve">And the people of the land struck those attacking King Amon, and people of the land made Josiah</w:t>
      </w:r>
      <w:r>
        <w:rPr>
          <w:rStyle w:val="FootnoteReference"/>
        </w:rPr>
        <w:footnoteReference w:id="9317"/>
      </w:r>
      <w:r>
        <w:t xml:space="preserve"> his son king in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t xml:space="preserve">Josiah</w:t>
      </w:r>
      <w:r>
        <w:rPr>
          <w:rStyle w:val="FootnoteReference"/>
        </w:rPr>
        <w:footnoteReference w:id="9318"/>
      </w:r>
      <w:r>
        <w:t xml:space="preserve"> was eight years old when he reigned, and thirty-one years he reigned in Jerusalem.</w:t>
      </w:r>
    </w:p>
    <w:p>
      <w:r>
        <w:rPr>
          <w:b/>
        </w:rPr>
        <w:t xml:space="preserve">2 </w:t>
      </w:r>
      <w:r>
        <w:t xml:space="preserve">And he did upright before the Lord and walked in the ways of David his father and did not turn aside right or left.</w:t>
      </w:r>
    </w:p>
    <w:p>
      <w:r>
        <w:rPr>
          <w:b/>
        </w:rPr>
        <w:t xml:space="preserve">3 </w:t>
      </w:r>
      <w:r>
        <w:t xml:space="preserve">And in the eighth year of his kingdom, while he</w:t>
      </w:r>
      <w:r>
        <w:rPr>
          <w:rStyle w:val="FootnoteReference"/>
        </w:rPr>
        <w:footnoteReference w:id="9319"/>
      </w:r>
      <w:r>
        <w:t xml:space="preserve"> was still a young boy, he began to seek the Lord God of David his father. And in the twelfth year of his kingdom he began to cleanse Judah and Jerusalem from high places and groves and molten things.</w:t>
      </w:r>
      <w:r>
        <w:rPr>
          <w:rStyle w:val="FootnoteReference"/>
        </w:rPr>
        <w:footnoteReference w:id="9320"/>
      </w:r>
    </w:p>
    <w:p>
      <w:r>
        <w:rPr>
          <w:b/>
        </w:rPr>
        <w:t xml:space="preserve">4 </w:t>
      </w:r>
      <w:r>
        <w:t xml:space="preserve">And they pulled down before his face altars of Baalim, and high places above them, and he cut down groves, and carved and molten things he crushed and ground small</w:t>
      </w:r>
      <w:r>
        <w:rPr>
          <w:rStyle w:val="FootnoteReference"/>
        </w:rPr>
        <w:footnoteReference w:id="9321"/>
      </w:r>
      <w:r>
        <w:t xml:space="preserve"> and threw on tombs of those sacrificing to them.</w:t>
      </w:r>
    </w:p>
    <w:p>
      <w:r>
        <w:rPr>
          <w:b/>
        </w:rPr>
        <w:t xml:space="preserve">5 </w:t>
      </w:r>
      <w:r>
        <w:t xml:space="preserve">And bones of priests he burned upon altars, and he cleansed</w:t>
      </w:r>
      <w:r>
        <w:rPr>
          <w:rStyle w:val="FootnoteReference"/>
        </w:rPr>
        <w:footnoteReference w:id="9322"/>
      </w:r>
      <w:r>
        <w:t xml:space="preserve"> Judah and Jerusalem.</w:t>
      </w:r>
    </w:p>
    <w:p>
      <w:r>
        <w:rPr>
          <w:b/>
        </w:rPr>
        <w:t xml:space="preserve">6 </w:t>
      </w:r>
      <w:r>
        <w:t xml:space="preserve">And in the cities of Ephraim and Manasseh and Simeon and Naphtali and in their places round about.</w:t>
      </w:r>
    </w:p>
    <w:p>
      <w:r>
        <w:rPr>
          <w:b/>
        </w:rPr>
        <w:t xml:space="preserve">7 </w:t>
      </w:r>
      <w:r>
        <w:t xml:space="preserve">And he pulled down groves and altars, and idols he cut small, and all high places he cut down from all the land of Israel, and he returned</w:t>
      </w:r>
      <w:r>
        <w:rPr>
          <w:rStyle w:val="FootnoteReference"/>
        </w:rPr>
        <w:footnoteReference w:id="9323"/>
      </w:r>
      <w:r>
        <w:t xml:space="preserve"> to Jerusalem.</w:t>
      </w:r>
    </w:p>
    <w:p>
      <w:r>
        <w:rPr>
          <w:b/>
        </w:rPr>
        <w:t xml:space="preserve">8 </w:t>
      </w:r>
      <w:r>
        <w:t xml:space="preserve">And in the eighteenth</w:t>
      </w:r>
      <w:r>
        <w:rPr>
          <w:rStyle w:val="FootnoteReference"/>
        </w:rPr>
        <w:footnoteReference w:id="9324"/>
      </w:r>
      <w:r>
        <w:t xml:space="preserve"> year of his kingdom, after cleansing land and house, he sent Shaphan son of Azelia</w:t>
      </w:r>
      <w:r>
        <w:rPr>
          <w:rStyle w:val="FootnoteReference"/>
        </w:rPr>
        <w:footnoteReference w:id="9325"/>
      </w:r>
      <w:r>
        <w:t xml:space="preserve"> and Maaseiah ruler of the city and Joah son of Jehoahaz his recorder to strengthen the house</w:t>
      </w:r>
      <w:r>
        <w:rPr>
          <w:rStyle w:val="FootnoteReference"/>
        </w:rPr>
        <w:footnoteReference w:id="9326"/>
      </w:r>
      <w:r>
        <w:t xml:space="preserve"> of the Lord his God.</w:t>
      </w:r>
    </w:p>
    <w:p>
      <w:r>
        <w:rPr>
          <w:b/>
        </w:rPr>
        <w:t xml:space="preserve">9 </w:t>
      </w:r>
      <w:r>
        <w:t xml:space="preserve">And they came to Hilkiah</w:t>
      </w:r>
      <w:r>
        <w:rPr>
          <w:rStyle w:val="FootnoteReference"/>
        </w:rPr>
        <w:footnoteReference w:id="9327"/>
      </w:r>
      <w:r>
        <w:t xml:space="preserve"> the high priest and gave money brought into the house of God, which Levites keeping gate gathered from the hand of Manasseh and Ephraim and of rulers and from all remnant in Israel</w:t>
      </w:r>
      <w:r>
        <w:rPr>
          <w:rStyle w:val="FootnoteReference"/>
        </w:rPr>
        <w:footnoteReference w:id="9328"/>
      </w:r>
      <w:r>
        <w:t xml:space="preserve"> and sons of Judah and Benjamin and those dwelling in Jerusalem.</w:t>
      </w:r>
    </w:p>
    <w:p>
      <w:r>
        <w:rPr>
          <w:b/>
        </w:rPr>
        <w:t xml:space="preserve">10 </w:t>
      </w:r>
      <w:r>
        <w:t xml:space="preserve">And they gave it into the hand of workers, those appointed in the house of the Lord, and they gave it to those doing works, who were working in the house of the Lord, to repair and strengthen the house.</w:t>
      </w:r>
    </w:p>
    <w:p>
      <w:r>
        <w:rPr>
          <w:b/>
        </w:rPr>
        <w:t xml:space="preserve">11 </w:t>
      </w:r>
      <w:r>
        <w:t xml:space="preserve">And they gave to carpenters and builders to buy squared stones and timber for beams, to roof houses which kings of Judah destroyed.</w:t>
      </w:r>
    </w:p>
    <w:p>
      <w:r>
        <w:rPr>
          <w:b/>
        </w:rPr>
        <w:t xml:space="preserve">12 </w:t>
      </w:r>
      <w:r>
        <w:t xml:space="preserve">And men were faithfully upon works</w:t>
      </w:r>
      <w:r>
        <w:rPr>
          <w:rStyle w:val="FootnoteReference"/>
        </w:rPr>
        <w:footnoteReference w:id="9329"/>
      </w:r>
      <w:r>
        <w:t xml:space="preserve">, and overseers over them were Jahath and Obadiah the Levites from the sons of Merari, and Zechariah and Meshullam from the sons of Kohath, to oversee. And every Levite skilled in instruments of songs,</w:t>
      </w:r>
      <w:r>
        <w:rPr>
          <w:rStyle w:val="FootnoteReference"/>
        </w:rPr>
        <w:footnoteReference w:id="9330"/>
      </w:r>
    </w:p>
    <w:p>
      <w:r>
        <w:rPr>
          <w:b/>
        </w:rPr>
        <w:t xml:space="preserve">13 </w:t>
      </w:r>
      <w:r>
        <w:t xml:space="preserve">and over burden bearers and over all those doing works, work by work. And from Levites were scribes</w:t>
      </w:r>
      <w:r>
        <w:rPr>
          <w:rStyle w:val="FootnoteReference"/>
        </w:rPr>
        <w:footnoteReference w:id="9331"/>
      </w:r>
      <w:r>
        <w:t xml:space="preserve"> and judges and gatekeepers.</w:t>
      </w:r>
    </w:p>
    <w:p>
      <w:r>
        <w:rPr>
          <w:b/>
        </w:rPr>
        <w:t xml:space="preserve">14 </w:t>
      </w:r>
      <w:r>
        <w:t xml:space="preserve">And when they were bringing out money brought into the house of the Lord, Hilkiah</w:t>
      </w:r>
      <w:r>
        <w:rPr>
          <w:rStyle w:val="FootnoteReference"/>
        </w:rPr>
        <w:footnoteReference w:id="9332"/>
      </w:r>
      <w:r>
        <w:t xml:space="preserve"> the priest found the book of the law of the Lord by the hand of Moses.</w:t>
      </w:r>
    </w:p>
    <w:p>
      <w:r>
        <w:rPr>
          <w:b/>
        </w:rPr>
        <w:t xml:space="preserve">15 </w:t>
      </w:r>
      <w:r>
        <w:t xml:space="preserve">And Hilkiah answered and said to Shaphan the scribe, I found the book of the law in the house of the Lord. And Hilkiah gave the book to Shaphan.</w:t>
      </w:r>
    </w:p>
    <w:p>
      <w:r>
        <w:rPr>
          <w:b/>
        </w:rPr>
        <w:t xml:space="preserve">16 </w:t>
      </w:r>
      <w:r>
        <w:t xml:space="preserve">And Shaphan</w:t>
      </w:r>
      <w:r>
        <w:rPr>
          <w:rStyle w:val="FootnoteReference"/>
        </w:rPr>
        <w:footnoteReference w:id="9333"/>
      </w:r>
      <w:r>
        <w:t xml:space="preserve"> brought book to the king and further brought word back to the king: All money placed in the hand of your servants doing work,</w:t>
      </w:r>
    </w:p>
    <w:p>
      <w:r>
        <w:rPr>
          <w:b/>
        </w:rPr>
        <w:t xml:space="preserve">17 </w:t>
      </w:r>
      <w:r>
        <w:t xml:space="preserve">they melted down money found in the house of the Lord and gave it into the hand of overseers and into the hand of those doing work.</w:t>
      </w:r>
    </w:p>
    <w:p>
      <w:r>
        <w:rPr>
          <w:b/>
        </w:rPr>
        <w:t xml:space="preserve">18 </w:t>
      </w:r>
      <w:r>
        <w:t xml:space="preserve">And Shaphan the scribe reported to the king, saying, Hilkiah the priest gave me book. And Shaphan read</w:t>
      </w:r>
      <w:r>
        <w:rPr>
          <w:rStyle w:val="FootnoteReference"/>
        </w:rPr>
        <w:footnoteReference w:id="9334"/>
      </w:r>
      <w:r>
        <w:t xml:space="preserve"> it before the king.</w:t>
      </w:r>
    </w:p>
    <w:p>
      <w:r>
        <w:rPr>
          <w:b/>
        </w:rPr>
        <w:t xml:space="preserve">19 </w:t>
      </w:r>
      <w:r>
        <w:t xml:space="preserve">And it happened, when the king heard the words</w:t>
      </w:r>
      <w:r>
        <w:rPr>
          <w:rStyle w:val="FootnoteReference"/>
        </w:rPr>
        <w:footnoteReference w:id="9335"/>
      </w:r>
      <w:r>
        <w:t xml:space="preserve"> of the law, he tore his garments.</w:t>
      </w:r>
    </w:p>
    <w:p>
      <w:r>
        <w:rPr>
          <w:b/>
        </w:rPr>
        <w:t xml:space="preserve">20 </w:t>
      </w:r>
      <w:r>
        <w:t xml:space="preserve">And the king commanded Hilkiah and Ahikam</w:t>
      </w:r>
      <w:r>
        <w:rPr>
          <w:rStyle w:val="FootnoteReference"/>
        </w:rPr>
        <w:footnoteReference w:id="9336"/>
      </w:r>
      <w:r>
        <w:t xml:space="preserve"> son of Shaphan and Abdon son of Micah and Shaphan the scribe and Asaiah servant of the king, saying,</w:t>
      </w:r>
    </w:p>
    <w:p>
      <w:r>
        <w:rPr>
          <w:b/>
        </w:rPr>
        <w:t xml:space="preserve">21 </w:t>
      </w:r>
      <w:r>
        <w:t xml:space="preserve">Go, seek the Lord concerning me and concerning everyone left in Israel and in Judah, concerning the words of book found, because great wrath of the Lord is kindled among us, because our fathers did not listen to the words of the Lord, to do according to all things written in this book.</w:t>
      </w:r>
      <w:r>
        <w:rPr>
          <w:rStyle w:val="FootnoteReference"/>
        </w:rPr>
        <w:footnoteReference w:id="9337"/>
      </w:r>
    </w:p>
    <w:p>
      <w:r>
        <w:rPr>
          <w:b/>
        </w:rPr>
        <w:t xml:space="preserve">22 </w:t>
      </w:r>
      <w:r>
        <w:t xml:space="preserve">And Hilkiah and those whom king told went to Olda the prophetess</w:t>
      </w:r>
      <w:r>
        <w:rPr>
          <w:rStyle w:val="FootnoteReference"/>
        </w:rPr>
        <w:footnoteReference w:id="9338"/>
      </w:r>
      <w:r>
        <w:t xml:space="preserve">, wife of Hillel son of Thakouath son of Helez, keeper of robes, and she dwelt in Jerusalem in Masena, and they spoke to her according to these things.</w:t>
      </w:r>
      <w:r>
        <w:rPr>
          <w:rStyle w:val="FootnoteReference"/>
        </w:rPr>
        <w:footnoteReference w:id="9339"/>
      </w:r>
    </w:p>
    <w:p>
      <w:r>
        <w:rPr>
          <w:b/>
        </w:rPr>
        <w:t xml:space="preserve">23 </w:t>
      </w:r>
      <w:r>
        <w:t xml:space="preserve">And she said to them, Thus said the Lord God of Israel: Say to man who sent you to me,</w:t>
      </w:r>
    </w:p>
    <w:p>
      <w:r>
        <w:rPr>
          <w:b/>
        </w:rPr>
        <w:t xml:space="preserve">24 </w:t>
      </w:r>
      <w:r>
        <w:t xml:space="preserve">Thus says the Lord: Behold, I bring evils upon this place, all words written in book read before the king of Judah,</w:t>
      </w:r>
    </w:p>
    <w:p>
      <w:r>
        <w:rPr>
          <w:b/>
        </w:rPr>
        <w:t xml:space="preserve">25 </w:t>
      </w:r>
      <w:r>
        <w:t xml:space="preserve">because they forsook me and burned incense to foreign gods, so that they might provoke me</w:t>
      </w:r>
      <w:r>
        <w:rPr>
          <w:rStyle w:val="FootnoteReference"/>
        </w:rPr>
        <w:footnoteReference w:id="9340"/>
      </w:r>
      <w:r>
        <w:t xml:space="preserve"> in all works of their hands. And my wrath</w:t>
      </w:r>
      <w:r>
        <w:rPr>
          <w:rStyle w:val="FootnoteReference"/>
        </w:rPr>
        <w:footnoteReference w:id="9341"/>
      </w:r>
      <w:r>
        <w:t xml:space="preserve"> has been kindled in this place and will not be quenched.</w:t>
      </w:r>
    </w:p>
    <w:p>
      <w:r>
        <w:rPr>
          <w:b/>
        </w:rPr>
        <w:t xml:space="preserve">26 </w:t>
      </w:r>
      <w:r>
        <w:t xml:space="preserve">And to the king of Judah who sent you to seek the Lord, thus you shall say to him: Thus says the Lord God of Israel, concerning words which you heard,</w:t>
      </w:r>
    </w:p>
    <w:p>
      <w:r>
        <w:rPr>
          <w:b/>
        </w:rPr>
        <w:t xml:space="preserve">27 </w:t>
      </w:r>
      <w:r>
        <w:t xml:space="preserve">because your heart was turned</w:t>
      </w:r>
      <w:r>
        <w:rPr>
          <w:rStyle w:val="FootnoteReference"/>
        </w:rPr>
        <w:footnoteReference w:id="9342"/>
      </w:r>
      <w:r>
        <w:t xml:space="preserve">, and you humbled yourself before me when you heard my words against this place and against those dwelling in it, and you humbled yourself before me and tore your garments and wept before me, I also heard, says the Lord.</w:t>
      </w:r>
    </w:p>
    <w:p>
      <w:r>
        <w:rPr>
          <w:b/>
        </w:rPr>
        <w:t xml:space="preserve">28 </w:t>
      </w:r>
      <w:r>
        <w:t xml:space="preserve">Behold, I will add you to your fathers, and you shall be added to your tombs in peace</w:t>
      </w:r>
      <w:r>
        <w:rPr>
          <w:rStyle w:val="FootnoteReference"/>
        </w:rPr>
        <w:footnoteReference w:id="9343"/>
      </w:r>
      <w:r>
        <w:t xml:space="preserve">, and your eyes will not see all evils which I am bringing upon this place and upon those dwelling in it. And they brought word back to the king.</w:t>
      </w:r>
      <w:r>
        <w:rPr>
          <w:rStyle w:val="FootnoteReference"/>
        </w:rPr>
        <w:footnoteReference w:id="9344"/>
      </w:r>
    </w:p>
    <w:p>
      <w:r>
        <w:rPr>
          <w:b/>
        </w:rPr>
        <w:t xml:space="preserve">29 </w:t>
      </w:r>
      <w:r>
        <w:t xml:space="preserve">And the king sent and gathered</w:t>
      </w:r>
      <w:r>
        <w:rPr>
          <w:rStyle w:val="FootnoteReference"/>
        </w:rPr>
        <w:footnoteReference w:id="9345"/>
      </w:r>
      <w:r>
        <w:t xml:space="preserve"> elders of Judah and Jerusalem.</w:t>
      </w:r>
    </w:p>
    <w:p>
      <w:r>
        <w:rPr>
          <w:b/>
        </w:rPr>
        <w:t xml:space="preserve">30 </w:t>
      </w:r>
      <w:r>
        <w:t xml:space="preserve">And the king went up to the house of the Lord, and all Judah and those dwelling in Jerusalem and priests and Levites and all the people, from great to small, and he read in their ears</w:t>
      </w:r>
      <w:r>
        <w:rPr>
          <w:rStyle w:val="FootnoteReference"/>
        </w:rPr>
        <w:footnoteReference w:id="9346"/>
      </w:r>
      <w:r>
        <w:t xml:space="preserve"> all words of book of covenant found in the house of the Lord.</w:t>
      </w:r>
      <w:r>
        <w:rPr>
          <w:rStyle w:val="FootnoteReference"/>
        </w:rPr>
        <w:footnoteReference w:id="9347"/>
      </w:r>
    </w:p>
    <w:p>
      <w:r>
        <w:rPr>
          <w:b/>
        </w:rPr>
        <w:t xml:space="preserve">31 </w:t>
      </w:r>
      <w:r>
        <w:t xml:space="preserve">And the king stood upon pillar and made covenant before the Lord</w:t>
      </w:r>
      <w:r>
        <w:rPr>
          <w:rStyle w:val="FootnoteReference"/>
        </w:rPr>
        <w:footnoteReference w:id="9348"/>
      </w:r>
      <w:r>
        <w:t xml:space="preserve">, to walk before the Lord, to keep his commandments and his testimonies</w:t>
      </w:r>
      <w:r>
        <w:rPr>
          <w:rStyle w:val="FootnoteReference"/>
        </w:rPr>
        <w:footnoteReference w:id="9349"/>
      </w:r>
      <w:r>
        <w:t xml:space="preserve"> and his ordinances with all his heart and with all his soul, words of covenant written upon this book.</w:t>
      </w:r>
    </w:p>
    <w:p>
      <w:r>
        <w:rPr>
          <w:b/>
        </w:rPr>
        <w:t xml:space="preserve">32 </w:t>
      </w:r>
      <w:r>
        <w:t xml:space="preserve">And he made all found in Jerusalem and Benjamin stand to it, and those dwelling in Jerusalem made covenant in the house of the Lord God of their fathers.</w:t>
      </w:r>
    </w:p>
    <w:p>
      <w:r>
        <w:rPr>
          <w:b/>
        </w:rPr>
        <w:t xml:space="preserve">33 </w:t>
      </w:r>
      <w:r>
        <w:t xml:space="preserve">And Josiah removed all abominations from all the land that belonged to the sons of Israel and made all found in Jerusalem and in Israel serve the Lord their God. All his days</w:t>
      </w:r>
      <w:r>
        <w:rPr>
          <w:rStyle w:val="FootnoteReference"/>
        </w:rPr>
        <w:footnoteReference w:id="9350"/>
      </w:r>
      <w:r>
        <w:t xml:space="preserve"> they did not turn away from behind the Lord God of their fathers.</w:t>
      </w:r>
      <w:r>
        <w:rPr>
          <w:rStyle w:val="FootnoteReference"/>
        </w:rPr>
        <w:footnoteReference w:id="9351"/>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t xml:space="preserve">And Josiah</w:t>
      </w:r>
      <w:r>
        <w:rPr>
          <w:rStyle w:val="FootnoteReference"/>
        </w:rPr>
        <w:footnoteReference w:id="9352"/>
      </w:r>
      <w:r>
        <w:t xml:space="preserve"> kept Passover to the Lord his God, and they sacrificed Passover on the fourteenth of the first month.</w:t>
      </w:r>
    </w:p>
    <w:p>
      <w:r>
        <w:rPr>
          <w:b/>
        </w:rPr>
        <w:t xml:space="preserve">2 </w:t>
      </w:r>
      <w:r>
        <w:t xml:space="preserve">And he set priests in their charges</w:t>
      </w:r>
      <w:r>
        <w:rPr>
          <w:rStyle w:val="FootnoteReference"/>
        </w:rPr>
        <w:footnoteReference w:id="9353"/>
      </w:r>
      <w:r>
        <w:t xml:space="preserve"> and strengthened them for the works of the house of the Lord.</w:t>
      </w:r>
    </w:p>
    <w:p>
      <w:r>
        <w:rPr>
          <w:b/>
        </w:rPr>
        <w:t xml:space="preserve">3 </w:t>
      </w:r>
      <w:r>
        <w:t xml:space="preserve">And he said to the Levites</w:t>
      </w:r>
      <w:r>
        <w:rPr>
          <w:rStyle w:val="FootnoteReference"/>
        </w:rPr>
        <w:footnoteReference w:id="9354"/>
      </w:r>
      <w:r>
        <w:t xml:space="preserve">, mighty in all Israel, when they had sanctified themselves to the Lord and placed the holy ark in the house which Solomon son of David king of Israel built, and the king said, It is not for you to carry anything on your shoulders</w:t>
      </w:r>
      <w:r>
        <w:rPr>
          <w:rStyle w:val="FootnoteReference"/>
        </w:rPr>
        <w:footnoteReference w:id="9355"/>
      </w:r>
      <w:r>
        <w:t xml:space="preserve">. Now then minister to the Lord your God and to his people Israel.</w:t>
      </w:r>
      <w:r>
        <w:rPr>
          <w:rStyle w:val="FootnoteReference"/>
        </w:rPr>
        <w:footnoteReference w:id="9356"/>
      </w:r>
      <w:r>
        <w:rPr>
          <w:rStyle w:val="FootnoteReference"/>
        </w:rPr>
        <w:footnoteReference w:id="9357"/>
      </w:r>
      <w:r>
        <w:rPr>
          <w:rStyle w:val="FootnoteReference"/>
        </w:rPr>
        <w:footnoteReference w:id="9358"/>
      </w:r>
      <w:r>
        <w:rPr>
          <w:rStyle w:val="FootnoteReference"/>
        </w:rPr>
        <w:footnoteReference w:id="9359"/>
      </w:r>
    </w:p>
    <w:p>
      <w:r>
        <w:rPr>
          <w:b/>
        </w:rPr>
        <w:t xml:space="preserve">4 </w:t>
      </w:r>
      <w:r>
        <w:t xml:space="preserve">And prepare yourselves by the houses</w:t>
      </w:r>
      <w:r>
        <w:rPr>
          <w:rStyle w:val="FootnoteReference"/>
        </w:rPr>
        <w:footnoteReference w:id="9360"/>
      </w:r>
      <w:r>
        <w:t xml:space="preserve"> of your fathers and by your courses, according to the writing of David king of Israel and by the hand of Solomon his son.</w:t>
      </w:r>
    </w:p>
    <w:p>
      <w:r>
        <w:rPr>
          <w:b/>
        </w:rPr>
        <w:t xml:space="preserve">5 </w:t>
      </w:r>
      <w:r>
        <w:t xml:space="preserve">And stand</w:t>
      </w:r>
      <w:r>
        <w:rPr>
          <w:rStyle w:val="FootnoteReference"/>
        </w:rPr>
        <w:footnoteReference w:id="9361"/>
      </w:r>
      <w:r>
        <w:t xml:space="preserve"> in the house according to divisions of houses of your fathers, for your brothers, sons of the people, and share of father-house for Levites.</w:t>
      </w:r>
    </w:p>
    <w:p>
      <w:r>
        <w:rPr>
          <w:b/>
        </w:rPr>
        <w:t xml:space="preserve">6 </w:t>
      </w:r>
      <w:r>
        <w:t xml:space="preserve">And sacrifice Passover and prepare holy things for your brothers, to do according to the word of the Lord by the hand of Moses.</w:t>
      </w:r>
    </w:p>
    <w:p>
      <w:r>
        <w:rPr>
          <w:b/>
        </w:rPr>
        <w:t xml:space="preserve">7 </w:t>
      </w:r>
      <w:r>
        <w:t xml:space="preserve">And Josiah</w:t>
      </w:r>
      <w:r>
        <w:rPr>
          <w:rStyle w:val="FootnoteReference"/>
        </w:rPr>
        <w:footnoteReference w:id="9362"/>
      </w:r>
      <w:r>
        <w:t xml:space="preserve"> contributed to the sons of the people sheep and lambs and kids of goats, all for Passover, to all found, to the number of thirty thousand, and three thousand calves; these were from the king's possessions.</w:t>
      </w:r>
    </w:p>
    <w:p>
      <w:r>
        <w:rPr>
          <w:b/>
        </w:rPr>
        <w:t xml:space="preserve">8 </w:t>
      </w:r>
      <w:r>
        <w:t xml:space="preserve">And his rulers contributed to people and to priests and Levites</w:t>
      </w:r>
      <w:r>
        <w:rPr>
          <w:rStyle w:val="FootnoteReference"/>
        </w:rPr>
        <w:footnoteReference w:id="9363"/>
      </w:r>
      <w:r>
        <w:t xml:space="preserve">. Hilkiah</w:t>
      </w:r>
      <w:r>
        <w:rPr>
          <w:rStyle w:val="FootnoteReference"/>
        </w:rPr>
        <w:footnoteReference w:id="9364"/>
      </w:r>
      <w:r>
        <w:t xml:space="preserve"> and Zechariah and Jehiel, rulers of the house of God, gave to priests for Passover sheep and lambs and kids, two thousand six hundred, and calves three hundred.</w:t>
      </w:r>
    </w:p>
    <w:p>
      <w:r>
        <w:rPr>
          <w:b/>
        </w:rPr>
        <w:t xml:space="preserve">9 </w:t>
      </w:r>
      <w:r>
        <w:t xml:space="preserve">And Cononiah and Benaiah and Shemaiah and Nathanael his brother and Hashabiah and Jeiel and Jehozabad, rulers of the Levites, contributed to the Levites for Passover</w:t>
      </w:r>
      <w:r>
        <w:rPr>
          <w:rStyle w:val="FootnoteReference"/>
        </w:rPr>
        <w:footnoteReference w:id="9365"/>
      </w:r>
      <w:r>
        <w:t xml:space="preserve"> five thousand sheep and five hundred calves.</w:t>
      </w:r>
    </w:p>
    <w:p>
      <w:r>
        <w:rPr>
          <w:b/>
        </w:rPr>
        <w:t xml:space="preserve">10 </w:t>
      </w:r>
      <w:r>
        <w:t xml:space="preserve">And service was set right, and priests stood in their station and Levites in their divisions according to the command of the king.</w:t>
      </w:r>
    </w:p>
    <w:p>
      <w:r>
        <w:rPr>
          <w:b/>
        </w:rPr>
        <w:t xml:space="preserve">11 </w:t>
      </w:r>
      <w:r>
        <w:t xml:space="preserve">And they sacrificed Passover, and priests poured out blood from their hand, and Levites flayed them</w:t>
      </w:r>
      <w:r>
        <w:rPr>
          <w:rStyle w:val="FootnoteReference"/>
        </w:rPr>
        <w:footnoteReference w:id="9366"/>
      </w:r>
      <w:r>
        <w:t xml:space="preserve">.</w:t>
      </w:r>
    </w:p>
    <w:p>
      <w:r>
        <w:rPr>
          <w:b/>
        </w:rPr>
        <w:t xml:space="preserve">12 </w:t>
      </w:r>
      <w:r>
        <w:t xml:space="preserve">And they prepared whole burnt offering to give to them according to division by the houses of fathers for the sons of the people, to bring to the Lord, as written in the book of Moses, and thus till morning.</w:t>
      </w:r>
    </w:p>
    <w:p>
      <w:r>
        <w:rPr>
          <w:b/>
        </w:rPr>
        <w:t xml:space="preserve">13 </w:t>
      </w:r>
      <w:r>
        <w:t xml:space="preserve">And they roasted</w:t>
      </w:r>
      <w:r>
        <w:rPr>
          <w:rStyle w:val="FootnoteReference"/>
        </w:rPr>
        <w:footnoteReference w:id="9367"/>
      </w:r>
      <w:r>
        <w:t xml:space="preserve"> Passover in fire according to ordinance, and holy things they boiled in bronze pots and cauldrons, and it went well, and they ran to all the sons of the people.</w:t>
      </w:r>
    </w:p>
    <w:p>
      <w:r>
        <w:rPr>
          <w:b/>
        </w:rPr>
        <w:t xml:space="preserve">14 </w:t>
      </w:r>
      <w:r>
        <w:t xml:space="preserve">And after preparing for themselves and for priests, because priests were in offering fats and whole burnt offerings</w:t>
      </w:r>
      <w:r>
        <w:rPr>
          <w:rStyle w:val="FootnoteReference"/>
        </w:rPr>
        <w:footnoteReference w:id="9368"/>
      </w:r>
      <w:r>
        <w:t xml:space="preserve"> until night, Levites prepared for themselves and for their brothers, sons of Aaron.</w:t>
      </w:r>
    </w:p>
    <w:p>
      <w:r>
        <w:rPr>
          <w:b/>
        </w:rPr>
        <w:t xml:space="preserve">15 </w:t>
      </w:r>
      <w:r>
        <w:t xml:space="preserve">And singers sons of Asaph were at their station according to commands of David and Asaph and Heman and Jeduthun prophets of the king, and rulers and gatekeepers at gate and gate</w:t>
      </w:r>
      <w:r>
        <w:rPr>
          <w:rStyle w:val="FootnoteReference"/>
        </w:rPr>
        <w:footnoteReference w:id="9369"/>
      </w:r>
      <w:r>
        <w:t xml:space="preserve">. There was no need for them to move from service of holy things, because their brothers the Levites prepared for them.</w:t>
      </w:r>
    </w:p>
    <w:p>
      <w:r>
        <w:rPr>
          <w:b/>
        </w:rPr>
        <w:t xml:space="preserve">16 </w:t>
      </w:r>
      <w:r>
        <w:t xml:space="preserve">And all service of the Lord was set right and prepared on that day</w:t>
      </w:r>
      <w:r>
        <w:rPr>
          <w:rStyle w:val="FootnoteReference"/>
        </w:rPr>
        <w:footnoteReference w:id="9370"/>
      </w:r>
      <w:r>
        <w:t xml:space="preserve">, to keep Passover and to offer whole burnt offerings upon the altar of the Lord according to the command of King Josiah.</w:t>
      </w:r>
    </w:p>
    <w:p>
      <w:r>
        <w:rPr>
          <w:b/>
        </w:rPr>
        <w:t xml:space="preserve">17 </w:t>
      </w:r>
      <w:r>
        <w:t xml:space="preserve">And sons of Israel found there kept Passover at that time and feast of unleavened bread seven days.</w:t>
      </w:r>
    </w:p>
    <w:p>
      <w:r>
        <w:rPr>
          <w:b/>
        </w:rPr>
        <w:t xml:space="preserve">18 </w:t>
      </w:r>
      <w:r>
        <w:t xml:space="preserve">And no Passover like it</w:t>
      </w:r>
      <w:r>
        <w:rPr>
          <w:rStyle w:val="FootnoteReference"/>
        </w:rPr>
        <w:footnoteReference w:id="9371"/>
      </w:r>
      <w:r>
        <w:t xml:space="preserve"> came to be in Israel from the days of Samuel the prophet, and all kings of Israel did not keep such Passover as Josiah kept, and priests and Levites and all Judah and Israel found there and those dwelling in Jerusalem, to the Lord.</w:t>
      </w:r>
    </w:p>
    <w:p>
      <w:r>
        <w:rPr>
          <w:b/>
        </w:rPr>
        <w:t xml:space="preserve">19 </w:t>
      </w:r>
      <w:r>
        <w:t xml:space="preserve">In the eighteenth year of the reign of Josiah this Passover was kept.</w:t>
      </w:r>
      <w:r>
        <w:rPr>
          <w:rStyle w:val="FootnoteReference"/>
        </w:rPr>
        <w:footnoteReference w:id="9372"/>
      </w:r>
    </w:p>
    <w:p>
      <w:r>
        <w:rPr>
          <w:b/>
        </w:rPr>
        <w:t xml:space="preserve">20 </w:t>
      </w:r>
      <w:r>
        <w:t xml:space="preserve">And Pharaoh Necho</w:t>
      </w:r>
      <w:r>
        <w:rPr>
          <w:rStyle w:val="FootnoteReference"/>
        </w:rPr>
        <w:footnoteReference w:id="9373"/>
      </w:r>
      <w:r>
        <w:t xml:space="preserve"> king of Egypt went up against the king of the Assyrians at river Euphrates, and King Josiah went to meet him.</w:t>
      </w:r>
    </w:p>
    <w:p>
      <w:r>
        <w:rPr>
          <w:b/>
        </w:rPr>
        <w:t xml:space="preserve">21 </w:t>
      </w:r>
      <w:r>
        <w:t xml:space="preserve">And he sent messengers to him, saying, What to me and to you, king of Judah? I do not come against you today to make war, and God said to hurry me</w:t>
      </w:r>
      <w:r>
        <w:rPr>
          <w:rStyle w:val="FootnoteReference"/>
        </w:rPr>
        <w:footnoteReference w:id="9374"/>
      </w:r>
      <w:r>
        <w:t xml:space="preserve">. Pay attention to God with me, lest he destroy you.</w:t>
      </w:r>
    </w:p>
    <w:p>
      <w:r>
        <w:rPr>
          <w:b/>
        </w:rPr>
        <w:t xml:space="preserve">22 </w:t>
      </w:r>
      <w:r>
        <w:t xml:space="preserve">And Josiah did not turn his face away from him, but strengthened himself</w:t>
      </w:r>
      <w:r>
        <w:rPr>
          <w:rStyle w:val="FootnoteReference"/>
        </w:rPr>
        <w:footnoteReference w:id="9375"/>
      </w:r>
      <w:r>
        <w:t xml:space="preserve"> to fight him, and did not listen to the words of Necho from the mouth</w:t>
      </w:r>
      <w:r>
        <w:rPr>
          <w:rStyle w:val="FootnoteReference"/>
        </w:rPr>
        <w:footnoteReference w:id="9376"/>
      </w:r>
      <w:r>
        <w:t xml:space="preserve"> of God, and came to fight in the plain of Megiddo.</w:t>
      </w:r>
    </w:p>
    <w:p>
      <w:r>
        <w:rPr>
          <w:b/>
        </w:rPr>
        <w:t xml:space="preserve">23 </w:t>
      </w:r>
      <w:r>
        <w:t xml:space="preserve">And archers shot at King Josiah, and the king said to his servants, Bring me out, because I am badly wounded</w:t>
      </w:r>
      <w:r>
        <w:rPr>
          <w:rStyle w:val="FootnoteReference"/>
        </w:rPr>
        <w:footnoteReference w:id="9377"/>
      </w:r>
      <w:r>
        <w:t xml:space="preserve">.</w:t>
      </w:r>
    </w:p>
    <w:p>
      <w:r>
        <w:rPr>
          <w:b/>
        </w:rPr>
        <w:t xml:space="preserve">24 </w:t>
      </w:r>
      <w:r>
        <w:t xml:space="preserve">And his servants brought him out from chariot and lifted him onto second chariot which was his and brought him to Jerusalem, and he died</w:t>
      </w:r>
      <w:r>
        <w:rPr>
          <w:rStyle w:val="FootnoteReference"/>
        </w:rPr>
        <w:footnoteReference w:id="9378"/>
      </w:r>
      <w:r>
        <w:t xml:space="preserve"> and was buried with his fathers</w:t>
      </w:r>
      <w:r>
        <w:rPr>
          <w:rStyle w:val="FootnoteReference"/>
        </w:rPr>
        <w:footnoteReference w:id="9379"/>
      </w:r>
      <w:r>
        <w:t xml:space="preserve">. And all Judah and Jerusalem mourned over Josiah.</w:t>
      </w:r>
    </w:p>
    <w:p>
      <w:r>
        <w:rPr>
          <w:b/>
        </w:rPr>
        <w:t xml:space="preserve">25 </w:t>
      </w:r>
      <w:r>
        <w:t xml:space="preserve">And Jeremiah</w:t>
      </w:r>
      <w:r>
        <w:rPr>
          <w:rStyle w:val="FootnoteReference"/>
        </w:rPr>
        <w:footnoteReference w:id="9380"/>
      </w:r>
      <w:r>
        <w:t xml:space="preserve"> lamented over Josiah, and all rulers and ruling women spoke lament over Josiah until this day, and they gave it as ordinance upon Israel, and behold, written upon laments.</w:t>
      </w:r>
      <w:r>
        <w:rPr>
          <w:rStyle w:val="FootnoteReference"/>
        </w:rPr>
        <w:footnoteReference w:id="9381"/>
      </w:r>
    </w:p>
    <w:p>
      <w:r>
        <w:rPr>
          <w:b/>
        </w:rPr>
        <w:t xml:space="preserve">26 </w:t>
      </w:r>
      <w:r>
        <w:t xml:space="preserve">And words of Josiah and his hope are written in the law of the Lord.</w:t>
      </w:r>
    </w:p>
    <w:p>
      <w:r>
        <w:rPr>
          <w:b/>
        </w:rPr>
        <w:t xml:space="preserve">27 </w:t>
      </w:r>
      <w:r>
        <w:t xml:space="preserve">And his first words and his last, behold, written upon the book of kings of Israel and Judah.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t xml:space="preserve">And the people of the land took Jehoahaz</w:t>
      </w:r>
      <w:r>
        <w:rPr>
          <w:rStyle w:val="FootnoteReference"/>
        </w:rPr>
        <w:footnoteReference w:id="9382"/>
      </w:r>
      <w:r>
        <w:t xml:space="preserve"> son of Josiah and anointed him and made him king in place of his father in Jerusalem.</w:t>
      </w:r>
    </w:p>
    <w:p>
      <w:r>
        <w:rPr>
          <w:b/>
        </w:rPr>
        <w:t xml:space="preserve">2 </w:t>
      </w:r>
      <w:r>
        <w:t xml:space="preserve">Jehoahaz was twenty-three years old when he reigned, and three months he reigned in Jerusalem. And the name of his mother was Hamutal daughter of Jeremiah from Libnah. And he did evil before the Lord according to all things his fathers did. And Pharaoh Necho bound him in Riblah in the land of Hamath, so that he should not reign in Jerusalem.</w:t>
      </w:r>
    </w:p>
    <w:p>
      <w:r>
        <w:rPr>
          <w:b/>
        </w:rPr>
        <w:t xml:space="preserve">3 </w:t>
      </w:r>
      <w:r>
        <w:t xml:space="preserve">And the king removed him to Egypt and imposed tribute on the land, one hundred talents of silver and one talent of gold.</w:t>
      </w:r>
    </w:p>
    <w:p>
      <w:r>
        <w:rPr>
          <w:b/>
        </w:rPr>
        <w:t xml:space="preserve">4 </w:t>
      </w:r>
      <w:r>
        <w:t xml:space="preserve">And Pharaoh Necho made Eliakim</w:t>
      </w:r>
      <w:r>
        <w:rPr>
          <w:rStyle w:val="FootnoteReference"/>
        </w:rPr>
        <w:footnoteReference w:id="9383"/>
      </w:r>
      <w:r>
        <w:t xml:space="preserve"> son of Josiah king of Judah in place of Josiah his father and changed his name to Jehoiakim</w:t>
      </w:r>
      <w:r>
        <w:rPr>
          <w:rStyle w:val="FootnoteReference"/>
        </w:rPr>
        <w:footnoteReference w:id="9384"/>
      </w:r>
      <w:r>
        <w:t xml:space="preserve">, and Pharaoh Necho took Jehoahaz his brother and brought him into Egypt, and he died there. And they gave silver and gold to Pharaoh. Then land began to be taxed, to give silver according to the mouth of Pharaoh, and each man required silver and gold from the people of the land according to ability, to give to Pharaoh Necho.</w:t>
      </w:r>
    </w:p>
    <w:p>
      <w:r>
        <w:rPr>
          <w:b/>
        </w:rPr>
        <w:t xml:space="preserve">5 </w:t>
      </w:r>
      <w:r>
        <w:t xml:space="preserve">Jehoiakim</w:t>
      </w:r>
      <w:r>
        <w:rPr>
          <w:rStyle w:val="FootnoteReference"/>
        </w:rPr>
        <w:footnoteReference w:id="9385"/>
      </w:r>
      <w:r>
        <w:t xml:space="preserve"> was twenty-five years old when he reigned, and eleven years he reigned in Jerusalem, and the name of his mother was Zechora daughter of Nerias from Ramah. And he did evil before the Lord according to all things his fathers did. In his days Nebuchadnezzar king of Babylon came into the land, and he was serving him three years, and he rebelled from him. And the Lord sent against them Chaldeans and raiding bands of Syrians and raiding bands of Moabites and sons of Ammon</w:t>
      </w:r>
      <w:r>
        <w:rPr>
          <w:rStyle w:val="FootnoteReference"/>
        </w:rPr>
        <w:footnoteReference w:id="9386"/>
      </w:r>
      <w:r>
        <w:t xml:space="preserve"> and of Samaria, and they revolted after this word according to the word of the Lord by the hand of his servants the prophets. Yet anger of the Lord was against Judah, to remove him from his face, because of the sins of Manasseh in all things he did, and in innocent blood which Jehoiakim poured out, and he filled Jerusalem with innocent blood, and the Lord did not wish to destroy them.</w:t>
      </w:r>
      <w:r>
        <w:rPr>
          <w:rStyle w:val="FootnoteReference"/>
        </w:rPr>
        <w:footnoteReference w:id="9387"/>
      </w:r>
    </w:p>
    <w:p>
      <w:r>
        <w:rPr>
          <w:b/>
        </w:rPr>
        <w:t xml:space="preserve">6 </w:t>
      </w:r>
      <w:r>
        <w:t xml:space="preserve">And Nebuchadnezzar king of Babylon came up</w:t>
      </w:r>
      <w:r>
        <w:rPr>
          <w:rStyle w:val="FootnoteReference"/>
        </w:rPr>
        <w:footnoteReference w:id="9388"/>
      </w:r>
      <w:r>
        <w:t xml:space="preserve"> against him and bound him in bronze fetters and brought him to Babylon.</w:t>
      </w:r>
    </w:p>
    <w:p>
      <w:r>
        <w:rPr>
          <w:b/>
        </w:rPr>
        <w:t xml:space="preserve">7 </w:t>
      </w:r>
      <w:r>
        <w:t xml:space="preserve">And he carried part of vessels of the house of the Lord to Babylon and put them in his temple in Babylon.</w:t>
      </w:r>
    </w:p>
    <w:p>
      <w:r>
        <w:rPr>
          <w:b/>
        </w:rPr>
        <w:t xml:space="preserve">8 </w:t>
      </w:r>
      <w:r>
        <w:t xml:space="preserve">And the rest of words of Jehoiakim and all things he did, are not these written</w:t>
      </w:r>
      <w:r>
        <w:rPr>
          <w:rStyle w:val="FootnoteReference"/>
        </w:rPr>
        <w:footnoteReference w:id="9389"/>
      </w:r>
      <w:r>
        <w:t xml:space="preserve"> upon the book of words of days for kings of Judah? And Jehoiakim slept with his fathers and was buried in Ganoza</w:t>
      </w:r>
      <w:r>
        <w:rPr>
          <w:rStyle w:val="FootnoteReference"/>
        </w:rPr>
        <w:footnoteReference w:id="9390"/>
      </w:r>
      <w:r>
        <w:t xml:space="preserve"> with his fathers, and Jeconiah his son reigned in his place.</w:t>
      </w:r>
    </w:p>
    <w:p>
      <w:r>
        <w:rPr>
          <w:b/>
        </w:rPr>
        <w:t xml:space="preserve">9 </w:t>
      </w:r>
      <w:r>
        <w:t xml:space="preserve">Jeconiah was eighteen years old when he reigned, and three months and ten days he reigned in Jerusalem, and he did evil before the Lord.</w:t>
      </w:r>
    </w:p>
    <w:p>
      <w:r>
        <w:rPr>
          <w:b/>
        </w:rPr>
        <w:t xml:space="preserve">10 </w:t>
      </w:r>
      <w:r>
        <w:t xml:space="preserve">And when year turned, King Nebuchadnezzar sent and brought him into Babylon with desirable vessels of the house of the Lord, and he made Zedekiah</w:t>
      </w:r>
      <w:r>
        <w:rPr>
          <w:rStyle w:val="FootnoteReference"/>
        </w:rPr>
        <w:footnoteReference w:id="9391"/>
      </w:r>
      <w:r>
        <w:t xml:space="preserve"> his father's brother king over Judah and Jerusalem.</w:t>
      </w:r>
    </w:p>
    <w:p>
      <w:r>
        <w:rPr>
          <w:b/>
        </w:rPr>
        <w:t xml:space="preserve">11 </w:t>
      </w:r>
      <w:r>
        <w:t xml:space="preserve">Zedekiah was twenty-one years old when he reigned, and eleven years he reigned in Jerusalem.</w:t>
      </w:r>
    </w:p>
    <w:p>
      <w:r>
        <w:rPr>
          <w:b/>
        </w:rPr>
        <w:t xml:space="preserve">12 </w:t>
      </w:r>
      <w:r>
        <w:t xml:space="preserve">And he did evil before the Lord his God. He was not ashamed before Jeremiah</w:t>
      </w:r>
      <w:r>
        <w:rPr>
          <w:rStyle w:val="FootnoteReference"/>
        </w:rPr>
        <w:footnoteReference w:id="9392"/>
      </w:r>
      <w:r>
        <w:t xml:space="preserve"> the prophet speaking from the mouth of the Lord.</w:t>
      </w:r>
    </w:p>
    <w:p>
      <w:r>
        <w:rPr>
          <w:b/>
        </w:rPr>
        <w:t xml:space="preserve">13 </w:t>
      </w:r>
      <w:r>
        <w:t xml:space="preserve">And in that he broke with King Nebuchadnezzar what he had sworn him by God, he hardened</w:t>
      </w:r>
      <w:r>
        <w:rPr>
          <w:rStyle w:val="FootnoteReference"/>
        </w:rPr>
        <w:footnoteReference w:id="9393"/>
      </w:r>
      <w:r>
        <w:t xml:space="preserve"> his neck and strengthened his heart, so as not to turn back to the Lord God of Israel.</w:t>
      </w:r>
    </w:p>
    <w:p>
      <w:r>
        <w:rPr>
          <w:b/>
        </w:rPr>
        <w:t xml:space="preserve">14 </w:t>
      </w:r>
      <w:r>
        <w:t xml:space="preserve">And all glorious men of Judah and priests and people of the land multiplied to break faith with faithless acts of abominations of nations, and they defiled house of the Lord in Jerusalem.</w:t>
      </w:r>
    </w:p>
    <w:p>
      <w:r>
        <w:rPr>
          <w:b/>
        </w:rPr>
        <w:t xml:space="preserve">15 </w:t>
      </w:r>
      <w:r>
        <w:t xml:space="preserve">And the Lord</w:t>
      </w:r>
      <w:r>
        <w:rPr>
          <w:rStyle w:val="FootnoteReference"/>
        </w:rPr>
        <w:footnoteReference w:id="9394"/>
      </w:r>
      <w:r>
        <w:t xml:space="preserve"> God of their fathers sent by the hand of prophets, rising early and sending his messengers, because he was sparing his people and his holy place.</w:t>
      </w:r>
    </w:p>
    <w:p>
      <w:r>
        <w:rPr>
          <w:b/>
        </w:rPr>
        <w:t xml:space="preserve">16 </w:t>
      </w:r>
      <w:r>
        <w:t xml:space="preserve">But they kept mocking his messengers and despising his words and playing with his prophets, until the wrath</w:t>
      </w:r>
      <w:r>
        <w:rPr>
          <w:rStyle w:val="FootnoteReference"/>
        </w:rPr>
        <w:footnoteReference w:id="9395"/>
      </w:r>
      <w:r>
        <w:t xml:space="preserve"> of the Lord rose upon his people, until there was no healing.</w:t>
      </w:r>
    </w:p>
    <w:p>
      <w:r>
        <w:rPr>
          <w:b/>
        </w:rPr>
        <w:t xml:space="preserve">17 </w:t>
      </w:r>
      <w:r>
        <w:t xml:space="preserve">And he brought</w:t>
      </w:r>
      <w:r>
        <w:rPr>
          <w:rStyle w:val="FootnoteReference"/>
        </w:rPr>
        <w:footnoteReference w:id="9396"/>
      </w:r>
      <w:r>
        <w:t xml:space="preserve"> upon them king of Chaldeans, and he killed their young men with sword in the house of his holy place, and he did not spare young man or virgin or elder, but gave all into their hands.</w:t>
      </w:r>
    </w:p>
    <w:p>
      <w:r>
        <w:rPr>
          <w:b/>
        </w:rPr>
        <w:t xml:space="preserve">18 </w:t>
      </w:r>
      <w:r>
        <w:t xml:space="preserve">And all vessels of the house of God, great and small, and treasures</w:t>
      </w:r>
      <w:r>
        <w:rPr>
          <w:rStyle w:val="FootnoteReference"/>
        </w:rPr>
        <w:footnoteReference w:id="9397"/>
      </w:r>
      <w:r>
        <w:t xml:space="preserve"> and all treasures of the king and nobles, he brought all into Babylon.</w:t>
      </w:r>
    </w:p>
    <w:p>
      <w:r>
        <w:rPr>
          <w:b/>
        </w:rPr>
        <w:t xml:space="preserve">19 </w:t>
      </w:r>
      <w:r>
        <w:t xml:space="preserve">And he burned the house of the Lord and broke down the wall of Jerusalem, and her towers he burned in fire, and every beautiful vessel to destruction.</w:t>
      </w:r>
    </w:p>
    <w:p>
      <w:r>
        <w:rPr>
          <w:b/>
        </w:rPr>
        <w:t xml:space="preserve">20 </w:t>
      </w:r>
      <w:r>
        <w:t xml:space="preserve">And he transported remnant to Babylon, and they were servants</w:t>
      </w:r>
      <w:r>
        <w:rPr>
          <w:rStyle w:val="FootnoteReference"/>
        </w:rPr>
        <w:footnoteReference w:id="9398"/>
      </w:r>
      <w:r>
        <w:t xml:space="preserve"> to him and to his sons until kingdom of Medes,</w:t>
      </w:r>
    </w:p>
    <w:p>
      <w:r>
        <w:rPr>
          <w:b/>
        </w:rPr>
        <w:t xml:space="preserve">21 </w:t>
      </w:r>
      <w:r>
        <w:t xml:space="preserve">to fulfill the word of the Lord by the mouth of Jeremiah, until land welcomed its Sabbaths. All days of its desolation it kept Sabbaths to fulfill seventy years.</w:t>
      </w:r>
    </w:p>
    <w:p>
      <w:r>
        <w:rPr>
          <w:b/>
        </w:rPr>
        <w:t xml:space="preserve">22 </w:t>
      </w:r>
      <w:r>
        <w:t xml:space="preserve">In the first</w:t>
      </w:r>
      <w:r>
        <w:rPr>
          <w:rStyle w:val="FootnoteReference"/>
        </w:rPr>
        <w:footnoteReference w:id="9399"/>
      </w:r>
      <w:r>
        <w:t xml:space="preserve"> year of Cyrus</w:t>
      </w:r>
      <w:r>
        <w:rPr>
          <w:rStyle w:val="FootnoteReference"/>
        </w:rPr>
        <w:footnoteReference w:id="9400"/>
      </w:r>
      <w:r>
        <w:t xml:space="preserve"> king of the Persians</w:t>
      </w:r>
      <w:r>
        <w:rPr>
          <w:rStyle w:val="FootnoteReference"/>
        </w:rPr>
        <w:footnoteReference w:id="9401"/>
      </w:r>
      <w:r>
        <w:t xml:space="preserve">, after the word of the Lord by the mouth of Jeremiah was fulfilled, the Lord stirred the spirit of Cyrus king of the Persians, and he proclaimed to cry out</w:t>
      </w:r>
      <w:r>
        <w:rPr>
          <w:rStyle w:val="FootnoteReference"/>
        </w:rPr>
        <w:footnoteReference w:id="9402"/>
      </w:r>
      <w:r>
        <w:t xml:space="preserve"> in all his kingdom, also in writing, saying,</w:t>
      </w:r>
    </w:p>
    <w:p>
      <w:r>
        <w:rPr>
          <w:b/>
        </w:rPr>
        <w:t xml:space="preserve">23 </w:t>
      </w:r>
      <w:r>
        <w:t xml:space="preserve">Thus says Cyrus king of the Persians: The Lord God of heaven gave me all kingdoms of the earth, and he himself commanded me to build for him a house in Jerusalem in Judah. Whoever among you is from all his people, his God shall be with him, and let him go up.</w:t>
      </w:r>
    </w:p>
    <w:p>
      <w:r>
        <w:br w:type="page"/>
      </w:r>
    </w:p>
    <w:p>
      <w:pPr>
        <w:pStyle w:val="Heading1"/>
      </w:pPr>
      <w:r>
        <w:t xml:space="preserve">Ezra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in the first year of Cyrus king of the Persians, for fulfillment of the word of the Lord</w:t>
      </w:r>
      <w:r>
        <w:rPr>
          <w:rStyle w:val="FootnoteReference"/>
        </w:rPr>
        <w:footnoteReference w:id="9403"/>
      </w:r>
      <w:r>
        <w:t xml:space="preserve"> from the mouth of Jeremiah, the Lord stirred the spirit of Cyrus</w:t>
      </w:r>
      <w:r>
        <w:rPr>
          <w:rStyle w:val="FootnoteReference"/>
        </w:rPr>
        <w:footnoteReference w:id="9404"/>
      </w:r>
      <w:r>
        <w:t xml:space="preserve"> king of the Persians, and he proclaimed with a voice through all his kingdom, also in writing, saying,</w:t>
      </w:r>
    </w:p>
    <w:p>
      <w:r>
        <w:rPr>
          <w:b/>
        </w:rPr>
        <w:t xml:space="preserve">2 </w:t>
      </w:r>
      <w:r>
        <w:t xml:space="preserve">Thus said Cyrus king of the Persians: The Lord God</w:t>
      </w:r>
      <w:r>
        <w:rPr>
          <w:rStyle w:val="FootnoteReference"/>
        </w:rPr>
        <w:footnoteReference w:id="9405"/>
      </w:r>
      <w:r>
        <w:t xml:space="preserve"> of heaven gave me all kingdoms of the earth, and he charged me to build for him a house in Jerusalem, the one in Judah.</w:t>
      </w:r>
    </w:p>
    <w:p>
      <w:r>
        <w:rPr>
          <w:b/>
        </w:rPr>
        <w:t xml:space="preserve">3 </w:t>
      </w:r>
      <w:r>
        <w:t xml:space="preserve">Who among you is from all his people? Let his God</w:t>
      </w:r>
      <w:r>
        <w:rPr>
          <w:rStyle w:val="FootnoteReference"/>
        </w:rPr>
        <w:footnoteReference w:id="9406"/>
      </w:r>
      <w:r>
        <w:t xml:space="preserve"> be with him, and let him go up to Jerusalem in Judah and build the house of God of Israel. He is the God in Jerusalem.</w:t>
      </w:r>
      <w:r>
        <w:rPr>
          <w:rStyle w:val="FootnoteReference"/>
        </w:rPr>
        <w:footnoteReference w:id="9407"/>
      </w:r>
    </w:p>
    <w:p>
      <w:r>
        <w:rPr>
          <w:b/>
        </w:rPr>
        <w:t xml:space="preserve">4 </w:t>
      </w:r>
      <w:r>
        <w:t xml:space="preserve">And everyone left behind from all the places where he sojourns there, let men of his place support him with silver and gold and goods and cattle, besides the voluntary gift for the house of God in Jerusalem.</w:t>
      </w:r>
      <w:r>
        <w:rPr>
          <w:rStyle w:val="FootnoteReference"/>
        </w:rPr>
        <w:footnoteReference w:id="9408"/>
      </w:r>
    </w:p>
    <w:p>
      <w:r>
        <w:rPr>
          <w:b/>
        </w:rPr>
        <w:t xml:space="preserve">5 </w:t>
      </w:r>
      <w:r>
        <w:t xml:space="preserve">Then the heads of father-houses of Judah and Benjamin rose up, and priests and Levites, all whose spirit God stirred</w:t>
      </w:r>
      <w:r>
        <w:rPr>
          <w:rStyle w:val="FootnoteReference"/>
        </w:rPr>
        <w:footnoteReference w:id="9409"/>
      </w:r>
      <w:r>
        <w:t xml:space="preserve"> to go up to build the house of the Lord in Jerusalem.</w:t>
      </w:r>
      <w:r>
        <w:rPr>
          <w:rStyle w:val="FootnoteReference"/>
        </w:rPr>
        <w:footnoteReference w:id="9410"/>
      </w:r>
    </w:p>
    <w:p>
      <w:r>
        <w:rPr>
          <w:b/>
        </w:rPr>
        <w:t xml:space="preserve">6 </w:t>
      </w:r>
      <w:r>
        <w:t xml:space="preserve">And all around them strengthened their hands</w:t>
      </w:r>
      <w:r>
        <w:rPr>
          <w:rStyle w:val="FootnoteReference"/>
        </w:rPr>
        <w:footnoteReference w:id="9411"/>
      </w:r>
      <w:r>
        <w:t xml:space="preserve"> with silver vessels, with gold, with goods and cattle and gifts, besides all the voluntary offerings.</w:t>
      </w:r>
    </w:p>
    <w:p>
      <w:r>
        <w:rPr>
          <w:b/>
        </w:rPr>
        <w:t xml:space="preserve">7 </w:t>
      </w:r>
      <w:r>
        <w:t xml:space="preserve">And King Cyrus brought out vessels of the house of the Lord, which Nebuchadnezzar</w:t>
      </w:r>
      <w:r>
        <w:rPr>
          <w:rStyle w:val="FootnoteReference"/>
        </w:rPr>
        <w:footnoteReference w:id="9412"/>
      </w:r>
      <w:r>
        <w:t xml:space="preserve"> took from Jerusalem and placed in the house of his god.</w:t>
      </w:r>
    </w:p>
    <w:p>
      <w:r>
        <w:rPr>
          <w:b/>
        </w:rPr>
        <w:t xml:space="preserve">8 </w:t>
      </w:r>
      <w:r>
        <w:t xml:space="preserve">And Cyrus king of the Persians brought them out by the hand of Mithredath</w:t>
      </w:r>
      <w:r>
        <w:rPr>
          <w:rStyle w:val="FootnoteReference"/>
        </w:rPr>
        <w:footnoteReference w:id="9413"/>
      </w:r>
      <w:r>
        <w:t xml:space="preserve"> the treasurer and counted them out to Sheshbazzar</w:t>
      </w:r>
      <w:r>
        <w:rPr>
          <w:rStyle w:val="FootnoteReference"/>
        </w:rPr>
        <w:footnoteReference w:id="9414"/>
      </w:r>
      <w:r>
        <w:t xml:space="preserve">, governor of Judah.</w:t>
      </w:r>
      <w:r>
        <w:rPr>
          <w:rStyle w:val="FootnoteReference"/>
        </w:rPr>
        <w:footnoteReference w:id="9415"/>
      </w:r>
    </w:p>
    <w:p>
      <w:r>
        <w:rPr>
          <w:b/>
        </w:rPr>
        <w:t xml:space="preserve">9 </w:t>
      </w:r>
      <w:r>
        <w:t xml:space="preserve">And this their number: thirty golden basins, one thousand silver basins, twenty-nine</w:t>
      </w:r>
      <w:r>
        <w:rPr>
          <w:rStyle w:val="FootnoteReference"/>
        </w:rPr>
        <w:footnoteReference w:id="9416"/>
      </w:r>
      <w:r>
        <w:t xml:space="preserve"> substitute vessels,</w:t>
      </w:r>
    </w:p>
    <w:p>
      <w:r>
        <w:rPr>
          <w:b/>
        </w:rPr>
        <w:t xml:space="preserve">10 </w:t>
      </w:r>
      <w:r>
        <w:t xml:space="preserve">thirty golden bowls, two hundred silver bowls, and one thousand other vessels.</w:t>
      </w:r>
    </w:p>
    <w:p>
      <w:r>
        <w:rPr>
          <w:b/>
        </w:rPr>
        <w:t xml:space="preserve">11 </w:t>
      </w:r>
      <w:r>
        <w:t xml:space="preserve">All the vessels</w:t>
      </w:r>
      <w:r>
        <w:rPr>
          <w:rStyle w:val="FootnoteReference"/>
        </w:rPr>
        <w:footnoteReference w:id="9417"/>
      </w:r>
      <w:r>
        <w:t xml:space="preserve">, in gold and silver, were five thousand four hundred. Sheshbazzar brought them all up with those coming up from captivity, from Babylon to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these are sons of the province, those coming up from the captivity of the exile whom Nebuchadnezzar</w:t>
      </w:r>
      <w:r>
        <w:rPr>
          <w:rStyle w:val="FootnoteReference"/>
        </w:rPr>
        <w:footnoteReference w:id="9418"/>
      </w:r>
      <w:r>
        <w:t xml:space="preserve"> king of Babylon exiled to Babylon, and they returned to Jerusalem and Judah, each to his city.</w:t>
      </w:r>
      <w:r>
        <w:rPr>
          <w:rStyle w:val="FootnoteReference"/>
        </w:rPr>
        <w:footnoteReference w:id="9419"/>
      </w:r>
    </w:p>
    <w:p>
      <w:r>
        <w:rPr>
          <w:b/>
        </w:rPr>
        <w:t xml:space="preserve">2 </w:t>
      </w:r>
      <w:r>
        <w:t xml:space="preserve">Those who came with Zerubbabel</w:t>
      </w:r>
      <w:r>
        <w:rPr>
          <w:rStyle w:val="FootnoteReference"/>
        </w:rPr>
        <w:footnoteReference w:id="9420"/>
      </w:r>
      <w:r>
        <w:t xml:space="preserve"> were Jeshua</w:t>
      </w:r>
      <w:r>
        <w:rPr>
          <w:rStyle w:val="FootnoteReference"/>
        </w:rPr>
        <w:footnoteReference w:id="9421"/>
      </w:r>
      <w:r>
        <w:t xml:space="preserve">, Nehemiah</w:t>
      </w:r>
      <w:r>
        <w:rPr>
          <w:rStyle w:val="FootnoteReference"/>
        </w:rPr>
        <w:footnoteReference w:id="9422"/>
      </w:r>
      <w:r>
        <w:t xml:space="preserve">, Seraiah, Reelaiah</w:t>
      </w:r>
      <w:r>
        <w:rPr>
          <w:rStyle w:val="FootnoteReference"/>
        </w:rPr>
        <w:footnoteReference w:id="9423"/>
      </w:r>
      <w:r>
        <w:t xml:space="preserve">, Mordecai</w:t>
      </w:r>
      <w:r>
        <w:rPr>
          <w:rStyle w:val="FootnoteReference"/>
        </w:rPr>
        <w:footnoteReference w:id="9424"/>
      </w:r>
      <w:r>
        <w:t xml:space="preserve">, Bilshan</w:t>
      </w:r>
      <w:r>
        <w:rPr>
          <w:rStyle w:val="FootnoteReference"/>
        </w:rPr>
        <w:footnoteReference w:id="9425"/>
      </w:r>
      <w:r>
        <w:t xml:space="preserve">, Mizpar</w:t>
      </w:r>
      <w:r>
        <w:rPr>
          <w:rStyle w:val="FootnoteReference"/>
        </w:rPr>
        <w:footnoteReference w:id="9426"/>
      </w:r>
      <w:r>
        <w:t xml:space="preserve">, Bigvai</w:t>
      </w:r>
      <w:r>
        <w:rPr>
          <w:rStyle w:val="FootnoteReference"/>
        </w:rPr>
        <w:footnoteReference w:id="9427"/>
      </w:r>
      <w:r>
        <w:t xml:space="preserve">, Rehum</w:t>
      </w:r>
      <w:r>
        <w:rPr>
          <w:rStyle w:val="FootnoteReference"/>
        </w:rPr>
        <w:footnoteReference w:id="9428"/>
      </w:r>
      <w:r>
        <w:t xml:space="preserve">, and Baana. Number of men of the people of Israel:</w:t>
      </w:r>
    </w:p>
    <w:p>
      <w:r>
        <w:rPr>
          <w:b/>
        </w:rPr>
        <w:t xml:space="preserve">3 </w:t>
      </w:r>
      <w:r>
        <w:t xml:space="preserve">Sons of Parosh: 2,172.</w:t>
      </w:r>
      <w:r>
        <w:rPr>
          <w:rStyle w:val="FootnoteReference"/>
        </w:rPr>
        <w:footnoteReference w:id="9429"/>
      </w:r>
      <w:r>
        <w:t xml:space="preserve"/>
      </w:r>
      <w:r>
        <w:rPr>
          <w:rStyle w:val="FootnoteReference"/>
        </w:rPr>
        <w:footnoteReference w:id="9430"/>
      </w:r>
      <w:r>
        <w:rPr>
          <w:rStyle w:val="FootnoteReference"/>
        </w:rPr>
        <w:footnoteReference w:id="9431"/>
      </w:r>
      <w:r>
        <w:rPr>
          <w:rStyle w:val="FootnoteReference"/>
        </w:rPr>
        <w:footnoteReference w:id="9432"/>
      </w:r>
    </w:p>
    <w:p>
      <w:r>
        <w:rPr>
          <w:b/>
        </w:rPr>
        <w:t xml:space="preserve">4 </w:t>
      </w:r>
      <w:r>
        <w:t xml:space="preserve">Sons of Shephatiah</w:t>
      </w:r>
      <w:r>
        <w:rPr>
          <w:rStyle w:val="FootnoteReference"/>
        </w:rPr>
        <w:footnoteReference w:id="9433"/>
      </w:r>
      <w:r>
        <w:t xml:space="preserve">: 372.</w:t>
      </w:r>
    </w:p>
    <w:p>
      <w:r>
        <w:rPr>
          <w:b/>
        </w:rPr>
        <w:t xml:space="preserve">5 </w:t>
      </w:r>
      <w:r>
        <w:t xml:space="preserve">Sons of Hara: 775.</w:t>
      </w:r>
      <w:r>
        <w:rPr>
          <w:rStyle w:val="FootnoteReference"/>
        </w:rPr>
        <w:footnoteReference w:id="9434"/>
      </w:r>
      <w:r>
        <w:t xml:space="preserve"/>
      </w:r>
      <w:r>
        <w:rPr>
          <w:rStyle w:val="FootnoteReference"/>
        </w:rPr>
        <w:footnoteReference w:id="9435"/>
      </w:r>
    </w:p>
    <w:p>
      <w:r>
        <w:rPr>
          <w:b/>
        </w:rPr>
        <w:t xml:space="preserve">6 </w:t>
      </w:r>
      <w:r>
        <w:t xml:space="preserve">Sons of Pahathmoab</w:t>
      </w:r>
      <w:r>
        <w:rPr>
          <w:rStyle w:val="FootnoteReference"/>
        </w:rPr>
        <w:footnoteReference w:id="9436"/>
      </w:r>
      <w:r>
        <w:t xml:space="preserve">, to the sons of Iesoue-Joab: 2,812.</w:t>
      </w:r>
      <w:r>
        <w:rPr>
          <w:rStyle w:val="FootnoteReference"/>
        </w:rPr>
        <w:footnoteReference w:id="9437"/>
      </w:r>
    </w:p>
    <w:p>
      <w:r>
        <w:rPr>
          <w:b/>
        </w:rPr>
        <w:t xml:space="preserve">7 </w:t>
      </w:r>
      <w:r>
        <w:t xml:space="preserve">Sons of Elam: 1,254.</w:t>
      </w:r>
      <w:r>
        <w:rPr>
          <w:rStyle w:val="FootnoteReference"/>
        </w:rPr>
        <w:footnoteReference w:id="9438"/>
      </w:r>
      <w:r>
        <w:t xml:space="preserve"/>
      </w:r>
      <w:r>
        <w:rPr>
          <w:rStyle w:val="FootnoteReference"/>
        </w:rPr>
        <w:footnoteReference w:id="9439"/>
      </w:r>
    </w:p>
    <w:p>
      <w:r>
        <w:rPr>
          <w:b/>
        </w:rPr>
        <w:t xml:space="preserve">8 </w:t>
      </w:r>
      <w:r>
        <w:t xml:space="preserve">Sons of Zattu</w:t>
      </w:r>
      <w:r>
        <w:rPr>
          <w:rStyle w:val="FootnoteReference"/>
        </w:rPr>
        <w:footnoteReference w:id="9440"/>
      </w:r>
      <w:r>
        <w:t xml:space="preserve">: 945.</w:t>
      </w:r>
      <w:r>
        <w:rPr>
          <w:rStyle w:val="FootnoteReference"/>
        </w:rPr>
        <w:footnoteReference w:id="9441"/>
      </w:r>
    </w:p>
    <w:p>
      <w:r>
        <w:rPr>
          <w:b/>
        </w:rPr>
        <w:t xml:space="preserve">9 </w:t>
      </w:r>
      <w:r>
        <w:t xml:space="preserve">Sons of Zaccai</w:t>
      </w:r>
      <w:r>
        <w:rPr>
          <w:rStyle w:val="FootnoteReference"/>
        </w:rPr>
        <w:footnoteReference w:id="9442"/>
      </w:r>
      <w:r>
        <w:t xml:space="preserve">: 760.</w:t>
      </w:r>
      <w:r>
        <w:rPr>
          <w:rStyle w:val="FootnoteReference"/>
        </w:rPr>
        <w:footnoteReference w:id="9443"/>
      </w:r>
      <w:r>
        <w:rPr>
          <w:rStyle w:val="FootnoteReference"/>
        </w:rPr>
        <w:footnoteReference w:id="9444"/>
      </w:r>
    </w:p>
    <w:p>
      <w:r>
        <w:rPr>
          <w:b/>
        </w:rPr>
        <w:t xml:space="preserve">10 </w:t>
      </w:r>
      <w:r>
        <w:t xml:space="preserve">Sons of Bani: 642.</w:t>
      </w:r>
      <w:r>
        <w:rPr>
          <w:rStyle w:val="FootnoteReference"/>
        </w:rPr>
        <w:footnoteReference w:id="9445"/>
      </w:r>
      <w:r>
        <w:t xml:space="preserve"/>
      </w:r>
      <w:r>
        <w:rPr>
          <w:rStyle w:val="FootnoteReference"/>
        </w:rPr>
        <w:footnoteReference w:id="9446"/>
      </w:r>
    </w:p>
    <w:p>
      <w:r>
        <w:rPr>
          <w:b/>
        </w:rPr>
        <w:t xml:space="preserve">11 </w:t>
      </w:r>
      <w:r>
        <w:t xml:space="preserve">Sons of Bebai: 623.</w:t>
      </w:r>
      <w:r>
        <w:rPr>
          <w:rStyle w:val="FootnoteReference"/>
        </w:rPr>
        <w:footnoteReference w:id="9447"/>
      </w:r>
      <w:r>
        <w:t xml:space="preserve"/>
      </w:r>
      <w:r>
        <w:rPr>
          <w:rStyle w:val="FootnoteReference"/>
        </w:rPr>
        <w:footnoteReference w:id="9448"/>
      </w:r>
      <w:r>
        <w:rPr>
          <w:rStyle w:val="FootnoteReference"/>
        </w:rPr>
        <w:footnoteReference w:id="9449"/>
      </w:r>
    </w:p>
    <w:p>
      <w:r>
        <w:rPr>
          <w:b/>
        </w:rPr>
        <w:t xml:space="preserve">12 </w:t>
      </w:r>
      <w:r>
        <w:t xml:space="preserve">Sons of Azgad: 3,222.</w:t>
      </w:r>
      <w:r>
        <w:rPr>
          <w:rStyle w:val="FootnoteReference"/>
        </w:rPr>
        <w:footnoteReference w:id="9450"/>
      </w:r>
      <w:r>
        <w:t xml:space="preserve"/>
      </w:r>
      <w:r>
        <w:rPr>
          <w:rStyle w:val="FootnoteReference"/>
        </w:rPr>
        <w:footnoteReference w:id="9451"/>
      </w:r>
      <w:r>
        <w:rPr>
          <w:rStyle w:val="FootnoteReference"/>
        </w:rPr>
        <w:footnoteReference w:id="9452"/>
      </w:r>
    </w:p>
    <w:p>
      <w:r>
        <w:rPr>
          <w:b/>
        </w:rPr>
        <w:t xml:space="preserve">13 </w:t>
      </w:r>
      <w:r>
        <w:t xml:space="preserve">Sons of Adonikam</w:t>
      </w:r>
      <w:r>
        <w:rPr>
          <w:rStyle w:val="FootnoteReference"/>
        </w:rPr>
        <w:footnoteReference w:id="9453"/>
      </w:r>
      <w:r>
        <w:t xml:space="preserve">: 666.</w:t>
      </w:r>
      <w:r>
        <w:rPr>
          <w:rStyle w:val="FootnoteReference"/>
        </w:rPr>
        <w:footnoteReference w:id="9454"/>
      </w:r>
    </w:p>
    <w:p>
      <w:r>
        <w:rPr>
          <w:b/>
        </w:rPr>
        <w:t xml:space="preserve">14 </w:t>
      </w:r>
      <w:r>
        <w:t xml:space="preserve">Sons of Bigvai: 2,056.</w:t>
      </w:r>
      <w:r>
        <w:rPr>
          <w:rStyle w:val="FootnoteReference"/>
        </w:rPr>
        <w:footnoteReference w:id="9455"/>
      </w:r>
      <w:r>
        <w:t xml:space="preserve"/>
      </w:r>
      <w:r>
        <w:rPr>
          <w:rStyle w:val="FootnoteReference"/>
        </w:rPr>
        <w:footnoteReference w:id="9456"/>
      </w:r>
    </w:p>
    <w:p>
      <w:r>
        <w:rPr>
          <w:b/>
        </w:rPr>
        <w:t xml:space="preserve">15 </w:t>
      </w:r>
      <w:r>
        <w:t xml:space="preserve">Sons of Adin: 454.</w:t>
      </w:r>
      <w:r>
        <w:rPr>
          <w:rStyle w:val="FootnoteReference"/>
        </w:rPr>
        <w:footnoteReference w:id="9457"/>
      </w:r>
      <w:r>
        <w:t xml:space="preserve"/>
      </w:r>
      <w:r>
        <w:rPr>
          <w:rStyle w:val="FootnoteReference"/>
        </w:rPr>
        <w:footnoteReference w:id="9458"/>
      </w:r>
      <w:r>
        <w:rPr>
          <w:rStyle w:val="FootnoteReference"/>
        </w:rPr>
        <w:footnoteReference w:id="9459"/>
      </w:r>
    </w:p>
    <w:p>
      <w:r>
        <w:rPr>
          <w:b/>
        </w:rPr>
        <w:t xml:space="preserve">16 </w:t>
      </w:r>
      <w:r>
        <w:t xml:space="preserve">Sons of Ater</w:t>
      </w:r>
      <w:r>
        <w:rPr>
          <w:rStyle w:val="FootnoteReference"/>
        </w:rPr>
        <w:footnoteReference w:id="9460"/>
      </w:r>
      <w:r>
        <w:t xml:space="preserve">, of Hezekiah: 98.</w:t>
      </w:r>
      <w:r>
        <w:rPr>
          <w:rStyle w:val="FootnoteReference"/>
        </w:rPr>
        <w:footnoteReference w:id="9461"/>
      </w:r>
    </w:p>
    <w:p>
      <w:r>
        <w:rPr>
          <w:b/>
        </w:rPr>
        <w:t xml:space="preserve">17 </w:t>
      </w:r>
      <w:r>
        <w:t xml:space="preserve">Sons of Basou: 323.</w:t>
      </w:r>
      <w:r>
        <w:rPr>
          <w:rStyle w:val="FootnoteReference"/>
        </w:rPr>
        <w:footnoteReference w:id="9462"/>
      </w:r>
      <w:r>
        <w:t xml:space="preserve"/>
      </w:r>
    </w:p>
    <w:p>
      <w:r>
        <w:rPr>
          <w:b/>
        </w:rPr>
        <w:t xml:space="preserve">18 </w:t>
      </w:r>
      <w:r>
        <w:t xml:space="preserve">Sons of Jorah: 112.</w:t>
      </w:r>
      <w:r>
        <w:rPr>
          <w:rStyle w:val="FootnoteReference"/>
        </w:rPr>
        <w:footnoteReference w:id="9463"/>
      </w:r>
      <w:r>
        <w:t xml:space="preserve"/>
      </w:r>
      <w:r>
        <w:rPr>
          <w:rStyle w:val="FootnoteReference"/>
        </w:rPr>
        <w:footnoteReference w:id="9464"/>
      </w:r>
      <w:r>
        <w:rPr>
          <w:rStyle w:val="FootnoteReference"/>
        </w:rPr>
        <w:footnoteReference w:id="9465"/>
      </w:r>
    </w:p>
    <w:p>
      <w:r>
        <w:rPr>
          <w:b/>
        </w:rPr>
        <w:t xml:space="preserve">19 </w:t>
      </w:r>
      <w:r>
        <w:t xml:space="preserve">Sons of Hashum: 223.</w:t>
      </w:r>
      <w:r>
        <w:rPr>
          <w:rStyle w:val="FootnoteReference"/>
        </w:rPr>
        <w:footnoteReference w:id="9466"/>
      </w:r>
      <w:r>
        <w:t xml:space="preserve"/>
      </w:r>
      <w:r>
        <w:rPr>
          <w:rStyle w:val="FootnoteReference"/>
        </w:rPr>
        <w:footnoteReference w:id="9467"/>
      </w:r>
      <w:r>
        <w:rPr>
          <w:rStyle w:val="FootnoteReference"/>
        </w:rPr>
        <w:footnoteReference w:id="9468"/>
      </w:r>
      <w:r>
        <w:rPr>
          <w:rStyle w:val="FootnoteReference"/>
        </w:rPr>
        <w:footnoteReference w:id="9469"/>
      </w:r>
    </w:p>
    <w:p>
      <w:r>
        <w:rPr>
          <w:b/>
        </w:rPr>
        <w:t xml:space="preserve">20 </w:t>
      </w:r>
      <w:r>
        <w:t xml:space="preserve">Sons of Gibbar</w:t>
      </w:r>
      <w:r>
        <w:rPr>
          <w:rStyle w:val="FootnoteReference"/>
        </w:rPr>
        <w:footnoteReference w:id="9470"/>
      </w:r>
      <w:r>
        <w:t xml:space="preserve">: 95.</w:t>
      </w:r>
    </w:p>
    <w:p>
      <w:r>
        <w:rPr>
          <w:b/>
        </w:rPr>
        <w:t xml:space="preserve">21 </w:t>
      </w:r>
      <w:r>
        <w:t xml:space="preserve">Sons of Bethlehem</w:t>
      </w:r>
      <w:r>
        <w:rPr>
          <w:rStyle w:val="FootnoteReference"/>
        </w:rPr>
        <w:footnoteReference w:id="9471"/>
      </w:r>
      <w:r>
        <w:t xml:space="preserve">: 123.</w:t>
      </w:r>
    </w:p>
    <w:p>
      <w:r>
        <w:rPr>
          <w:b/>
        </w:rPr>
        <w:t xml:space="preserve">22 </w:t>
      </w:r>
      <w:r>
        <w:t xml:space="preserve">Sons of Netophah</w:t>
      </w:r>
      <w:r>
        <w:rPr>
          <w:rStyle w:val="FootnoteReference"/>
        </w:rPr>
        <w:footnoteReference w:id="9472"/>
      </w:r>
      <w:r>
        <w:t xml:space="preserve">: 56.</w:t>
      </w:r>
      <w:r>
        <w:rPr>
          <w:rStyle w:val="FootnoteReference"/>
        </w:rPr>
        <w:footnoteReference w:id="9473"/>
      </w:r>
    </w:p>
    <w:p>
      <w:r>
        <w:rPr>
          <w:b/>
        </w:rPr>
        <w:t xml:space="preserve">23 </w:t>
      </w:r>
      <w:r>
        <w:t xml:space="preserve">Sons of Anathoth</w:t>
      </w:r>
      <w:r>
        <w:rPr>
          <w:rStyle w:val="FootnoteReference"/>
        </w:rPr>
        <w:footnoteReference w:id="9474"/>
      </w:r>
      <w:r>
        <w:t xml:space="preserve">: 128.</w:t>
      </w:r>
    </w:p>
    <w:p>
      <w:r>
        <w:rPr>
          <w:b/>
        </w:rPr>
        <w:t xml:space="preserve">24 </w:t>
      </w:r>
      <w:r>
        <w:t xml:space="preserve">Sons of Azmaveth</w:t>
      </w:r>
      <w:r>
        <w:rPr>
          <w:rStyle w:val="FootnoteReference"/>
        </w:rPr>
        <w:footnoteReference w:id="9475"/>
      </w:r>
      <w:r>
        <w:t xml:space="preserve">: 42.</w:t>
      </w:r>
    </w:p>
    <w:p>
      <w:r>
        <w:rPr>
          <w:b/>
        </w:rPr>
        <w:t xml:space="preserve">25 </w:t>
      </w:r>
      <w:r>
        <w:t xml:space="preserve">Sons of Kirjathjearim, Chephirah, and Beeroth: 743.</w:t>
      </w:r>
    </w:p>
    <w:p>
      <w:r>
        <w:rPr>
          <w:b/>
        </w:rPr>
        <w:t xml:space="preserve">26 </w:t>
      </w:r>
      <w:r>
        <w:t xml:space="preserve">Sons of Ramah</w:t>
      </w:r>
      <w:r>
        <w:rPr>
          <w:rStyle w:val="FootnoteReference"/>
        </w:rPr>
        <w:footnoteReference w:id="9476"/>
      </w:r>
      <w:r>
        <w:t xml:space="preserve"> and Gibeah: 621.</w:t>
      </w:r>
    </w:p>
    <w:p>
      <w:r>
        <w:rPr>
          <w:b/>
        </w:rPr>
        <w:t xml:space="preserve">27 </w:t>
      </w:r>
      <w:r>
        <w:t xml:space="preserve">Men of Michmash: 122.</w:t>
      </w:r>
    </w:p>
    <w:p>
      <w:r>
        <w:rPr>
          <w:b/>
        </w:rPr>
        <w:t xml:space="preserve">28 </w:t>
      </w:r>
      <w:r>
        <w:t xml:space="preserve">Men of Bethel and Ai: 423.</w:t>
      </w:r>
    </w:p>
    <w:p>
      <w:r>
        <w:rPr>
          <w:b/>
        </w:rPr>
        <w:t xml:space="preserve">29 </w:t>
      </w:r>
      <w:r>
        <w:t xml:space="preserve">Sons of Nebo</w:t>
      </w:r>
      <w:r>
        <w:rPr>
          <w:rStyle w:val="FootnoteReference"/>
        </w:rPr>
        <w:footnoteReference w:id="9477"/>
      </w:r>
      <w:r>
        <w:t xml:space="preserve">: 52.</w:t>
      </w:r>
    </w:p>
    <w:p>
      <w:r>
        <w:rPr>
          <w:b/>
        </w:rPr>
        <w:t xml:space="preserve">30 </w:t>
      </w:r>
      <w:r>
        <w:t xml:space="preserve">Sons of Magbish: 156.</w:t>
      </w:r>
      <w:r>
        <w:rPr>
          <w:rStyle w:val="FootnoteReference"/>
        </w:rPr>
        <w:footnoteReference w:id="9478"/>
      </w:r>
      <w:r>
        <w:t xml:space="preserve"/>
      </w:r>
      <w:r>
        <w:rPr>
          <w:rStyle w:val="FootnoteReference"/>
        </w:rPr>
        <w:footnoteReference w:id="9479"/>
      </w:r>
      <w:r>
        <w:rPr>
          <w:rStyle w:val="FootnoteReference"/>
        </w:rPr>
        <w:footnoteReference w:id="9480"/>
      </w:r>
    </w:p>
    <w:p>
      <w:r>
        <w:rPr>
          <w:b/>
        </w:rPr>
        <w:t xml:space="preserve">31 </w:t>
      </w:r>
      <w:r>
        <w:t xml:space="preserve">Sons of Elam: 1,254.</w:t>
      </w:r>
      <w:r>
        <w:rPr>
          <w:rStyle w:val="FootnoteReference"/>
        </w:rPr>
        <w:footnoteReference w:id="9481"/>
      </w:r>
      <w:r>
        <w:t xml:space="preserve"/>
      </w:r>
      <w:r>
        <w:rPr>
          <w:rStyle w:val="FootnoteReference"/>
        </w:rPr>
        <w:footnoteReference w:id="9482"/>
      </w:r>
    </w:p>
    <w:p>
      <w:r>
        <w:rPr>
          <w:b/>
        </w:rPr>
        <w:t xml:space="preserve">32 </w:t>
      </w:r>
      <w:r>
        <w:t xml:space="preserve">Sons of Harim: 320.</w:t>
      </w:r>
      <w:r>
        <w:rPr>
          <w:rStyle w:val="FootnoteReference"/>
        </w:rPr>
        <w:footnoteReference w:id="9483"/>
      </w:r>
      <w:r>
        <w:t xml:space="preserve"/>
      </w:r>
      <w:r>
        <w:rPr>
          <w:rStyle w:val="FootnoteReference"/>
        </w:rPr>
        <w:footnoteReference w:id="9484"/>
      </w:r>
    </w:p>
    <w:p>
      <w:r>
        <w:rPr>
          <w:b/>
        </w:rPr>
        <w:t xml:space="preserve">33 </w:t>
      </w:r>
      <w:r>
        <w:t xml:space="preserve">Sons of Lod, Aroth, and Ono: 725.</w:t>
      </w:r>
    </w:p>
    <w:p>
      <w:r>
        <w:rPr>
          <w:b/>
        </w:rPr>
        <w:t xml:space="preserve">34 </w:t>
      </w:r>
      <w:r>
        <w:t xml:space="preserve">Sons of Jericho</w:t>
      </w:r>
      <w:r>
        <w:rPr>
          <w:rStyle w:val="FootnoteReference"/>
        </w:rPr>
        <w:footnoteReference w:id="9485"/>
      </w:r>
      <w:r>
        <w:t xml:space="preserve">: 345.</w:t>
      </w:r>
    </w:p>
    <w:p>
      <w:r>
        <w:rPr>
          <w:b/>
        </w:rPr>
        <w:t xml:space="preserve">35 </w:t>
      </w:r>
      <w:r>
        <w:t xml:space="preserve">Sons of Senaah: 3,630.</w:t>
      </w:r>
      <w:r>
        <w:rPr>
          <w:rStyle w:val="FootnoteReference"/>
        </w:rPr>
        <w:footnoteReference w:id="9486"/>
      </w:r>
      <w:r>
        <w:t xml:space="preserve"/>
      </w:r>
      <w:r>
        <w:rPr>
          <w:rStyle w:val="FootnoteReference"/>
        </w:rPr>
        <w:footnoteReference w:id="9487"/>
      </w:r>
    </w:p>
    <w:p>
      <w:r>
        <w:rPr>
          <w:b/>
        </w:rPr>
        <w:t xml:space="preserve">36 </w:t>
      </w:r>
      <w:r>
        <w:t xml:space="preserve">And the priests: sons of Iedoua, of the house of Jeshua</w:t>
      </w:r>
      <w:r>
        <w:rPr>
          <w:rStyle w:val="FootnoteReference"/>
        </w:rPr>
        <w:footnoteReference w:id="9488"/>
      </w:r>
      <w:r>
        <w:t xml:space="preserve">, 973.</w:t>
      </w:r>
    </w:p>
    <w:p>
      <w:r>
        <w:rPr>
          <w:b/>
        </w:rPr>
        <w:t xml:space="preserve">37 </w:t>
      </w:r>
      <w:r>
        <w:t xml:space="preserve">Sons of Immer</w:t>
      </w:r>
      <w:r>
        <w:rPr>
          <w:rStyle w:val="FootnoteReference"/>
        </w:rPr>
        <w:footnoteReference w:id="9489"/>
      </w:r>
      <w:r>
        <w:t xml:space="preserve">: 1,052.</w:t>
      </w:r>
    </w:p>
    <w:p>
      <w:r>
        <w:rPr>
          <w:b/>
        </w:rPr>
        <w:t xml:space="preserve">38 </w:t>
      </w:r>
      <w:r>
        <w:t xml:space="preserve">Sons of Pashur: 1,247.</w:t>
      </w:r>
      <w:r>
        <w:rPr>
          <w:rStyle w:val="FootnoteReference"/>
        </w:rPr>
        <w:footnoteReference w:id="9490"/>
      </w:r>
      <w:r>
        <w:t xml:space="preserve"/>
      </w:r>
      <w:r>
        <w:rPr>
          <w:rStyle w:val="FootnoteReference"/>
        </w:rPr>
        <w:footnoteReference w:id="9491"/>
      </w:r>
    </w:p>
    <w:p>
      <w:r>
        <w:rPr>
          <w:b/>
        </w:rPr>
        <w:t xml:space="preserve">39 </w:t>
      </w:r>
      <w:r>
        <w:t xml:space="preserve">Sons of Harim: 1,007.</w:t>
      </w:r>
      <w:r>
        <w:rPr>
          <w:rStyle w:val="FootnoteReference"/>
        </w:rPr>
        <w:footnoteReference w:id="9492"/>
      </w:r>
      <w:r>
        <w:t xml:space="preserve"/>
      </w:r>
      <w:r>
        <w:rPr>
          <w:rStyle w:val="FootnoteReference"/>
        </w:rPr>
        <w:footnoteReference w:id="9493"/>
      </w:r>
    </w:p>
    <w:p>
      <w:r>
        <w:rPr>
          <w:b/>
        </w:rPr>
        <w:t xml:space="preserve">40 </w:t>
      </w:r>
      <w:r>
        <w:t xml:space="preserve">And the Levites: sons of Jeshua and Kadmiel</w:t>
      </w:r>
      <w:r>
        <w:rPr>
          <w:rStyle w:val="FootnoteReference"/>
        </w:rPr>
        <w:footnoteReference w:id="9494"/>
      </w:r>
      <w:r>
        <w:t xml:space="preserve">, to the sons of Hodaiah, 74.</w:t>
      </w:r>
    </w:p>
    <w:p>
      <w:r>
        <w:rPr>
          <w:b/>
        </w:rPr>
        <w:t xml:space="preserve">41 </w:t>
      </w:r>
      <w:r>
        <w:t xml:space="preserve">The singers: sons of Asaph</w:t>
      </w:r>
      <w:r>
        <w:rPr>
          <w:rStyle w:val="FootnoteReference"/>
        </w:rPr>
        <w:footnoteReference w:id="9495"/>
      </w:r>
      <w:r>
        <w:t xml:space="preserve">, 128.</w:t>
      </w:r>
    </w:p>
    <w:p>
      <w:r>
        <w:rPr>
          <w:b/>
        </w:rPr>
        <w:t xml:space="preserve">42 </w:t>
      </w:r>
      <w:r>
        <w:t xml:space="preserve">Sons of the gatekeepers: sons of Shallum, sons of Ater, sons of Talmon</w:t>
      </w:r>
      <w:r>
        <w:rPr>
          <w:rStyle w:val="FootnoteReference"/>
        </w:rPr>
        <w:footnoteReference w:id="9496"/>
      </w:r>
      <w:r>
        <w:t xml:space="preserve">, sons of Akkub, sons of Hatita</w:t>
      </w:r>
      <w:r>
        <w:rPr>
          <w:rStyle w:val="FootnoteReference"/>
        </w:rPr>
        <w:footnoteReference w:id="9497"/>
      </w:r>
      <w:r>
        <w:t xml:space="preserve">, sons of Shobai</w:t>
      </w:r>
      <w:r>
        <w:rPr>
          <w:rStyle w:val="FootnoteReference"/>
        </w:rPr>
        <w:footnoteReference w:id="9498"/>
      </w:r>
      <w:r>
        <w:t xml:space="preserve">, all together 139.</w:t>
      </w:r>
    </w:p>
    <w:p>
      <w:r>
        <w:rPr>
          <w:b/>
        </w:rPr>
        <w:t xml:space="preserve">43 </w:t>
      </w:r>
      <w:r>
        <w:t xml:space="preserve">The nethinim: sons of Sia</w:t>
      </w:r>
      <w:r>
        <w:rPr>
          <w:rStyle w:val="FootnoteReference"/>
        </w:rPr>
        <w:footnoteReference w:id="9499"/>
      </w:r>
      <w:r>
        <w:t xml:space="preserve">, sons of Asouph, sons of Tabbaoth</w:t>
      </w:r>
      <w:r>
        <w:rPr>
          <w:rStyle w:val="FootnoteReference"/>
        </w:rPr>
        <w:footnoteReference w:id="9500"/>
      </w:r>
      <w:r>
        <w:t xml:space="preserve">,</w:t>
      </w:r>
    </w:p>
    <w:p>
      <w:r>
        <w:rPr>
          <w:b/>
        </w:rPr>
        <w:t xml:space="preserve">44 </w:t>
      </w:r>
      <w:r>
        <w:t xml:space="preserve">sons of Keros</w:t>
      </w:r>
      <w:r>
        <w:rPr>
          <w:rStyle w:val="FootnoteReference"/>
        </w:rPr>
        <w:footnoteReference w:id="9501"/>
      </w:r>
      <w:r>
        <w:t xml:space="preserve">, sons of Soeia, sons of Padon</w:t>
      </w:r>
      <w:r>
        <w:rPr>
          <w:rStyle w:val="FootnoteReference"/>
        </w:rPr>
        <w:footnoteReference w:id="9502"/>
      </w:r>
      <w:r>
        <w:t xml:space="preserve">,</w:t>
      </w:r>
    </w:p>
    <w:p>
      <w:r>
        <w:rPr>
          <w:b/>
        </w:rPr>
        <w:t xml:space="preserve">45 </w:t>
      </w:r>
      <w:r>
        <w:t xml:space="preserve">sons of Labano, sons of Hagabah</w:t>
      </w:r>
      <w:r>
        <w:rPr>
          <w:rStyle w:val="FootnoteReference"/>
        </w:rPr>
        <w:footnoteReference w:id="9503"/>
      </w:r>
      <w:r>
        <w:t xml:space="preserve">, sons of Akkub,</w:t>
      </w:r>
    </w:p>
    <w:p>
      <w:r>
        <w:rPr>
          <w:b/>
        </w:rPr>
        <w:t xml:space="preserve">46 </w:t>
      </w:r>
      <w:r>
        <w:t xml:space="preserve">sons of Hagab</w:t>
      </w:r>
      <w:r>
        <w:rPr>
          <w:rStyle w:val="FootnoteReference"/>
        </w:rPr>
        <w:footnoteReference w:id="9504"/>
      </w:r>
      <w:r>
        <w:t xml:space="preserve">, sons of Shalmai</w:t>
      </w:r>
      <w:r>
        <w:rPr>
          <w:rStyle w:val="FootnoteReference"/>
        </w:rPr>
        <w:footnoteReference w:id="9505"/>
      </w:r>
      <w:r>
        <w:t xml:space="preserve">, sons of Anan,</w:t>
      </w:r>
    </w:p>
    <w:p>
      <w:r>
        <w:rPr>
          <w:b/>
        </w:rPr>
        <w:t xml:space="preserve">47 </w:t>
      </w:r>
      <w:r>
        <w:t xml:space="preserve">sons of Giddel</w:t>
      </w:r>
      <w:r>
        <w:rPr>
          <w:rStyle w:val="FootnoteReference"/>
        </w:rPr>
        <w:footnoteReference w:id="9506"/>
      </w:r>
      <w:r>
        <w:t xml:space="preserve">, sons of Gaer, sons of Reaiah,</w:t>
      </w:r>
    </w:p>
    <w:p>
      <w:r>
        <w:rPr>
          <w:b/>
        </w:rPr>
        <w:t xml:space="preserve">48 </w:t>
      </w:r>
      <w:r>
        <w:t xml:space="preserve">sons of Rezin, sons of Nekoda</w:t>
      </w:r>
      <w:r>
        <w:rPr>
          <w:rStyle w:val="FootnoteReference"/>
        </w:rPr>
        <w:footnoteReference w:id="9507"/>
      </w:r>
      <w:r>
        <w:t xml:space="preserve">, sons of Gazzam</w:t>
      </w:r>
      <w:r>
        <w:rPr>
          <w:rStyle w:val="FootnoteReference"/>
        </w:rPr>
        <w:footnoteReference w:id="9508"/>
      </w:r>
      <w:r>
        <w:t xml:space="preserve">,</w:t>
      </w:r>
    </w:p>
    <w:p>
      <w:r>
        <w:rPr>
          <w:b/>
        </w:rPr>
        <w:t xml:space="preserve">49 </w:t>
      </w:r>
      <w:r>
        <w:t xml:space="preserve">sons of Ousa, sons of Paseah</w:t>
      </w:r>
      <w:r>
        <w:rPr>
          <w:rStyle w:val="FootnoteReference"/>
        </w:rPr>
        <w:footnoteReference w:id="9509"/>
      </w:r>
      <w:r>
        <w:t xml:space="preserve">, sons of Besai</w:t>
      </w:r>
      <w:r>
        <w:rPr>
          <w:rStyle w:val="FootnoteReference"/>
        </w:rPr>
        <w:footnoteReference w:id="9510"/>
      </w:r>
      <w:r>
        <w:t xml:space="preserve">,</w:t>
      </w:r>
      <w:r>
        <w:rPr>
          <w:rStyle w:val="FootnoteReference"/>
        </w:rPr>
        <w:footnoteReference w:id="9511"/>
      </w:r>
    </w:p>
    <w:p>
      <w:r>
        <w:rPr>
          <w:b/>
        </w:rPr>
        <w:t xml:space="preserve">50 </w:t>
      </w:r>
      <w:r>
        <w:t xml:space="preserve">sons of Asena, sons of Maonim, sons of Nephusim</w:t>
      </w:r>
      <w:r>
        <w:rPr>
          <w:rStyle w:val="FootnoteReference"/>
        </w:rPr>
        <w:footnoteReference w:id="9512"/>
      </w:r>
      <w:r>
        <w:t xml:space="preserve">,</w:t>
      </w:r>
    </w:p>
    <w:p>
      <w:r>
        <w:rPr>
          <w:b/>
        </w:rPr>
        <w:t xml:space="preserve">51 </w:t>
      </w:r>
      <w:r>
        <w:t xml:space="preserve">sons of Bakbuk</w:t>
      </w:r>
      <w:r>
        <w:rPr>
          <w:rStyle w:val="FootnoteReference"/>
        </w:rPr>
        <w:footnoteReference w:id="9513"/>
      </w:r>
      <w:r>
        <w:t xml:space="preserve">, sons of Hakupha</w:t>
      </w:r>
      <w:r>
        <w:rPr>
          <w:rStyle w:val="FootnoteReference"/>
        </w:rPr>
        <w:footnoteReference w:id="9514"/>
      </w:r>
      <w:r>
        <w:t xml:space="preserve">, sons of Harhur</w:t>
      </w:r>
      <w:r>
        <w:rPr>
          <w:rStyle w:val="FootnoteReference"/>
        </w:rPr>
        <w:footnoteReference w:id="9515"/>
      </w:r>
      <w:r>
        <w:t xml:space="preserve">,</w:t>
      </w:r>
    </w:p>
    <w:p>
      <w:r>
        <w:rPr>
          <w:b/>
        </w:rPr>
        <w:t xml:space="preserve">52 </w:t>
      </w:r>
      <w:r>
        <w:t xml:space="preserve">sons of Bazluth</w:t>
      </w:r>
      <w:r>
        <w:rPr>
          <w:rStyle w:val="FootnoteReference"/>
        </w:rPr>
        <w:footnoteReference w:id="9516"/>
      </w:r>
      <w:r>
        <w:t xml:space="preserve">, sons of Mehida</w:t>
      </w:r>
      <w:r>
        <w:rPr>
          <w:rStyle w:val="FootnoteReference"/>
        </w:rPr>
        <w:footnoteReference w:id="9517"/>
      </w:r>
      <w:r>
        <w:t xml:space="preserve">, sons of Harsha</w:t>
      </w:r>
      <w:r>
        <w:rPr>
          <w:rStyle w:val="FootnoteReference"/>
        </w:rPr>
        <w:footnoteReference w:id="9518"/>
      </w:r>
      <w:r>
        <w:t xml:space="preserve">,</w:t>
      </w:r>
      <w:r>
        <w:rPr>
          <w:rStyle w:val="FootnoteReference"/>
        </w:rPr>
        <w:footnoteReference w:id="9519"/>
      </w:r>
    </w:p>
    <w:p>
      <w:r>
        <w:rPr>
          <w:b/>
        </w:rPr>
        <w:t xml:space="preserve">53 </w:t>
      </w:r>
      <w:r>
        <w:t xml:space="preserve">sons of Barkos</w:t>
      </w:r>
      <w:r>
        <w:rPr>
          <w:rStyle w:val="FootnoteReference"/>
        </w:rPr>
        <w:footnoteReference w:id="9520"/>
      </w:r>
      <w:r>
        <w:t xml:space="preserve">, sons of Sisera, sons of Thamah</w:t>
      </w:r>
      <w:r>
        <w:rPr>
          <w:rStyle w:val="FootnoteReference"/>
        </w:rPr>
        <w:footnoteReference w:id="9521"/>
      </w:r>
      <w:r>
        <w:t xml:space="preserve">,</w:t>
      </w:r>
      <w:r>
        <w:rPr>
          <w:rStyle w:val="FootnoteReference"/>
        </w:rPr>
        <w:footnoteReference w:id="9522"/>
      </w:r>
    </w:p>
    <w:p>
      <w:r>
        <w:rPr>
          <w:b/>
        </w:rPr>
        <w:t xml:space="preserve">54 </w:t>
      </w:r>
      <w:r>
        <w:t xml:space="preserve">sons of Nasoue, sons of Atoupha.</w:t>
      </w:r>
    </w:p>
    <w:p>
      <w:r>
        <w:rPr>
          <w:b/>
        </w:rPr>
        <w:t xml:space="preserve">55 </w:t>
      </w:r>
      <w:r>
        <w:t xml:space="preserve">Sons of Solomon's</w:t>
      </w:r>
      <w:r>
        <w:rPr>
          <w:rStyle w:val="FootnoteReference"/>
        </w:rPr>
        <w:footnoteReference w:id="9523"/>
      </w:r>
      <w:r>
        <w:t xml:space="preserve"> servants: sons of Sotai</w:t>
      </w:r>
      <w:r>
        <w:rPr>
          <w:rStyle w:val="FootnoteReference"/>
        </w:rPr>
        <w:footnoteReference w:id="9524"/>
      </w:r>
      <w:r>
        <w:t xml:space="preserve">, sons of Sophereth</w:t>
      </w:r>
      <w:r>
        <w:rPr>
          <w:rStyle w:val="FootnoteReference"/>
        </w:rPr>
        <w:footnoteReference w:id="9525"/>
      </w:r>
      <w:r>
        <w:t xml:space="preserve">, sons of Phadoura,</w:t>
      </w:r>
    </w:p>
    <w:p>
      <w:r>
        <w:rPr>
          <w:b/>
        </w:rPr>
        <w:t xml:space="preserve">56 </w:t>
      </w:r>
      <w:r>
        <w:t xml:space="preserve">sons of Iela, sons of Darkon</w:t>
      </w:r>
      <w:r>
        <w:rPr>
          <w:rStyle w:val="FootnoteReference"/>
        </w:rPr>
        <w:footnoteReference w:id="9526"/>
      </w:r>
      <w:r>
        <w:t xml:space="preserve">, sons of Giddel,</w:t>
      </w:r>
    </w:p>
    <w:p>
      <w:r>
        <w:rPr>
          <w:b/>
        </w:rPr>
        <w:t xml:space="preserve">57 </w:t>
      </w:r>
      <w:r>
        <w:t xml:space="preserve">sons of Shephatiah, sons of Hattil, sons of Phacherath-aseboin, sons of Emi.</w:t>
      </w:r>
      <w:r>
        <w:rPr>
          <w:rStyle w:val="FootnoteReference"/>
        </w:rPr>
        <w:footnoteReference w:id="9527"/>
      </w:r>
      <w:r>
        <w:t xml:space="preserve"/>
      </w:r>
      <w:r>
        <w:rPr>
          <w:rStyle w:val="FootnoteReference"/>
        </w:rPr>
        <w:footnoteReference w:id="9528"/>
      </w:r>
    </w:p>
    <w:p>
      <w:r>
        <w:rPr>
          <w:b/>
        </w:rPr>
        <w:t xml:space="preserve">58 </w:t>
      </w:r>
      <w:r>
        <w:t xml:space="preserve">All the nethinim and sons of Solomon's</w:t>
      </w:r>
      <w:r>
        <w:rPr>
          <w:rStyle w:val="FootnoteReference"/>
        </w:rPr>
        <w:footnoteReference w:id="9529"/>
      </w:r>
      <w:r>
        <w:t xml:space="preserve"> servants: 392.</w:t>
      </w:r>
    </w:p>
    <w:p>
      <w:r>
        <w:rPr>
          <w:b/>
        </w:rPr>
        <w:t xml:space="preserve">59 </w:t>
      </w:r>
      <w:r>
        <w:t xml:space="preserve">And these were the ones coming up from Telmelah</w:t>
      </w:r>
      <w:r>
        <w:rPr>
          <w:rStyle w:val="FootnoteReference"/>
        </w:rPr>
        <w:footnoteReference w:id="9530"/>
      </w:r>
      <w:r>
        <w:t xml:space="preserve">, Telharsa</w:t>
      </w:r>
      <w:r>
        <w:rPr>
          <w:rStyle w:val="FootnoteReference"/>
        </w:rPr>
        <w:footnoteReference w:id="9531"/>
      </w:r>
      <w:r>
        <w:t xml:space="preserve">, Cherub</w:t>
      </w:r>
      <w:r>
        <w:rPr>
          <w:rStyle w:val="FootnoteReference"/>
        </w:rPr>
        <w:footnoteReference w:id="9532"/>
      </w:r>
      <w:r>
        <w:t xml:space="preserve">, Edan, and Immer, and they were not able to declare their father-house and their seed, whether they were from Israel:</w:t>
      </w:r>
      <w:r>
        <w:rPr>
          <w:rStyle w:val="FootnoteReference"/>
        </w:rPr>
        <w:footnoteReference w:id="9533"/>
      </w:r>
    </w:p>
    <w:p>
      <w:r>
        <w:rPr>
          <w:b/>
        </w:rPr>
        <w:t xml:space="preserve">60 </w:t>
      </w:r>
      <w:r>
        <w:t xml:space="preserve">sons of Delaiah</w:t>
      </w:r>
      <w:r>
        <w:rPr>
          <w:rStyle w:val="FootnoteReference"/>
        </w:rPr>
        <w:footnoteReference w:id="9534"/>
      </w:r>
      <w:r>
        <w:t xml:space="preserve">, sons of Boua, sons of Tobiah</w:t>
      </w:r>
      <w:r>
        <w:rPr>
          <w:rStyle w:val="FootnoteReference"/>
        </w:rPr>
        <w:footnoteReference w:id="9535"/>
      </w:r>
      <w:r>
        <w:t xml:space="preserve">, sons of Nekoda: 652.</w:t>
      </w:r>
    </w:p>
    <w:p>
      <w:r>
        <w:rPr>
          <w:b/>
        </w:rPr>
        <w:t xml:space="preserve">61 </w:t>
      </w:r>
      <w:r>
        <w:t xml:space="preserve">And from the sons of the priests: sons of Habaiah</w:t>
      </w:r>
      <w:r>
        <w:rPr>
          <w:rStyle w:val="FootnoteReference"/>
        </w:rPr>
        <w:footnoteReference w:id="9536"/>
      </w:r>
      <w:r>
        <w:t xml:space="preserve">, sons of Koz, sons of Barzillai</w:t>
      </w:r>
      <w:r>
        <w:rPr>
          <w:rStyle w:val="FootnoteReference"/>
        </w:rPr>
        <w:footnoteReference w:id="9537"/>
      </w:r>
      <w:r>
        <w:t xml:space="preserve">, who took a wife from the daughters of Barzillai the Gileadite and was called by their name.</w:t>
      </w:r>
    </w:p>
    <w:p>
      <w:r>
        <w:rPr>
          <w:b/>
        </w:rPr>
        <w:t xml:space="preserve">62 </w:t>
      </w:r>
      <w:r>
        <w:t xml:space="preserve">These sought their enrolled writing, and it was not found, and they were excluded from the priesthood.</w:t>
      </w:r>
    </w:p>
    <w:p>
      <w:r>
        <w:rPr>
          <w:b/>
        </w:rPr>
        <w:t xml:space="preserve">63 </w:t>
      </w:r>
      <w:r>
        <w:t xml:space="preserve">And the Tirshatha</w:t>
      </w:r>
      <w:r>
        <w:rPr>
          <w:rStyle w:val="FootnoteReference"/>
        </w:rPr>
        <w:footnoteReference w:id="9538"/>
      </w:r>
      <w:r>
        <w:t xml:space="preserve"> said to them not to eat from the holy of holies until a priest might arise with the lights and the perfections.</w:t>
      </w:r>
      <w:r>
        <w:rPr>
          <w:rStyle w:val="FootnoteReference"/>
        </w:rPr>
        <w:footnoteReference w:id="9539"/>
      </w:r>
    </w:p>
    <w:p>
      <w:r>
        <w:rPr>
          <w:b/>
        </w:rPr>
        <w:t xml:space="preserve">64 </w:t>
      </w:r>
      <w:r>
        <w:t xml:space="preserve">And all the assembly together was forty</w:t>
      </w:r>
      <w:r>
        <w:rPr>
          <w:rStyle w:val="FootnoteReference"/>
        </w:rPr>
        <w:footnoteReference w:id="9540"/>
      </w:r>
      <w:r>
        <w:t xml:space="preserve">-two thousand three hundred sixty,</w:t>
      </w:r>
    </w:p>
    <w:p>
      <w:r>
        <w:rPr>
          <w:b/>
        </w:rPr>
        <w:t xml:space="preserve">65 </w:t>
      </w:r>
      <w:r>
        <w:t xml:space="preserve">besides their male slaves and female slaves; these were seven thousand three hundred thirty-seven, and they had two hundred</w:t>
      </w:r>
      <w:r>
        <w:rPr>
          <w:rStyle w:val="FootnoteReference"/>
        </w:rPr>
        <w:footnoteReference w:id="9541"/>
      </w:r>
      <w:r>
        <w:t xml:space="preserve"> singers and singing women.</w:t>
      </w:r>
    </w:p>
    <w:p>
      <w:r>
        <w:rPr>
          <w:b/>
        </w:rPr>
        <w:t xml:space="preserve">66 </w:t>
      </w:r>
      <w:r>
        <w:t xml:space="preserve">Their horses were 736, their mules 245,</w:t>
      </w:r>
    </w:p>
    <w:p>
      <w:r>
        <w:rPr>
          <w:b/>
        </w:rPr>
        <w:t xml:space="preserve">67 </w:t>
      </w:r>
      <w:r>
        <w:t xml:space="preserve">their camels 435, their donkeys 6,720.</w:t>
      </w:r>
    </w:p>
    <w:p>
      <w:r>
        <w:rPr>
          <w:b/>
        </w:rPr>
        <w:t xml:space="preserve">68 </w:t>
      </w:r>
      <w:r>
        <w:t xml:space="preserve">And some from the heads of father-houses, when they came to the house of the Lord in Jerusalem, made freewill offerings for the house of God, to set it on its foundation.</w:t>
      </w:r>
    </w:p>
    <w:p>
      <w:r>
        <w:rPr>
          <w:b/>
        </w:rPr>
        <w:t xml:space="preserve">69 </w:t>
      </w:r>
      <w:r>
        <w:t xml:space="preserve">According to their strength they gave into the treasury of the work 61,000 minas of pure gold, 5,000 minas of silver, and 100 priestly bowls.</w:t>
      </w:r>
    </w:p>
    <w:p>
      <w:r>
        <w:rPr>
          <w:b/>
        </w:rPr>
        <w:t xml:space="preserve">70 </w:t>
      </w:r>
      <w:r>
        <w:t xml:space="preserve">And the priests and Levites and some from the people and the singers and the gatekeepers and the nethinim settled in their cities, and all Israel in their cities.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the seventh</w:t>
      </w:r>
      <w:r>
        <w:rPr>
          <w:rStyle w:val="FootnoteReference"/>
        </w:rPr>
        <w:footnoteReference w:id="9542"/>
      </w:r>
      <w:r>
        <w:t xml:space="preserve"> month arrived, and sons of Israel were in their cities, and the people gathered as one man in Jerusalem.</w:t>
      </w:r>
    </w:p>
    <w:p>
      <w:r>
        <w:rPr>
          <w:b/>
        </w:rPr>
        <w:t xml:space="preserve">2 </w:t>
      </w:r>
      <w:r>
        <w:t xml:space="preserve">And Jeshua</w:t>
      </w:r>
      <w:r>
        <w:rPr>
          <w:rStyle w:val="FootnoteReference"/>
        </w:rPr>
        <w:footnoteReference w:id="9543"/>
      </w:r>
      <w:r>
        <w:t xml:space="preserve"> son of Jozadak</w:t>
      </w:r>
      <w:r>
        <w:rPr>
          <w:rStyle w:val="FootnoteReference"/>
        </w:rPr>
        <w:footnoteReference w:id="9544"/>
      </w:r>
      <w:r>
        <w:t xml:space="preserve"> rose up, and his brothers the priests, and Zerubbabel son of Shealtiel, and his brothers, and they built altar of God of Israel</w:t>
      </w:r>
      <w:r>
        <w:rPr>
          <w:rStyle w:val="FootnoteReference"/>
        </w:rPr>
        <w:footnoteReference w:id="9545"/>
      </w:r>
      <w:r>
        <w:t xml:space="preserve"> to offer whole burnt offerings on it, according to things written in the law of Moses man of God.</w:t>
      </w:r>
    </w:p>
    <w:p>
      <w:r>
        <w:rPr>
          <w:b/>
        </w:rPr>
        <w:t xml:space="preserve">3 </w:t>
      </w:r>
      <w:r>
        <w:t xml:space="preserve">And they prepared the altar</w:t>
      </w:r>
      <w:r>
        <w:rPr>
          <w:rStyle w:val="FootnoteReference"/>
        </w:rPr>
        <w:footnoteReference w:id="9546"/>
      </w:r>
      <w:r>
        <w:t xml:space="preserve"> on its place, because terror from the peoples of the lands was upon them, and they offered on it whole burnt offerings to the Lord, morning and evening.</w:t>
      </w:r>
    </w:p>
    <w:p>
      <w:r>
        <w:rPr>
          <w:b/>
        </w:rPr>
        <w:t xml:space="preserve">4 </w:t>
      </w:r>
      <w:r>
        <w:t xml:space="preserve">And they kept feast of booths according to what is written, and whole burnt offerings day by day in number, according to ordinance, matter of each day on its day.</w:t>
      </w:r>
    </w:p>
    <w:p>
      <w:r>
        <w:rPr>
          <w:b/>
        </w:rPr>
        <w:t xml:space="preserve">5 </w:t>
      </w:r>
      <w:r>
        <w:t xml:space="preserve">And after this came the continual</w:t>
      </w:r>
      <w:r>
        <w:rPr>
          <w:rStyle w:val="FootnoteReference"/>
        </w:rPr>
        <w:footnoteReference w:id="9547"/>
      </w:r>
      <w:r>
        <w:t xml:space="preserve"> whole burnt offerings, and those for the new moons, and for all the sanctified feasts, and for everyone freely offering a freewill gift to the Lord.</w:t>
      </w:r>
    </w:p>
    <w:p>
      <w:r>
        <w:rPr>
          <w:b/>
        </w:rPr>
        <w:t xml:space="preserve">6 </w:t>
      </w:r>
      <w:r>
        <w:t xml:space="preserve">On the first day of seventh month they began offering whole burnt offerings to the Lord, and house of the Lord had not yet been founded.</w:t>
      </w:r>
    </w:p>
    <w:p>
      <w:r>
        <w:rPr>
          <w:b/>
        </w:rPr>
        <w:t xml:space="preserve">7 </w:t>
      </w:r>
      <w:r>
        <w:t xml:space="preserve">And they gave silver to stonecutters and craftsmen, and food and drink and oil to Sidonians and Tyrians to bring cedar timbers from Lebanon to sea of Joppa</w:t>
      </w:r>
      <w:r>
        <w:rPr>
          <w:rStyle w:val="FootnoteReference"/>
        </w:rPr>
        <w:footnoteReference w:id="9548"/>
      </w:r>
      <w:r>
        <w:t xml:space="preserve">, according to grant of Cyrus king of the Persians upon them</w:t>
      </w:r>
      <w:r>
        <w:rPr>
          <w:rStyle w:val="FootnoteReference"/>
        </w:rPr>
        <w:footnoteReference w:id="9549"/>
      </w:r>
      <w:r>
        <w:t xml:space="preserve">.</w:t>
      </w:r>
    </w:p>
    <w:p>
      <w:r>
        <w:rPr>
          <w:b/>
        </w:rPr>
        <w:t xml:space="preserve">8 </w:t>
      </w:r>
      <w:r>
        <w:t xml:space="preserve">And in the second year of their coming to the house of God in Jerusalem, in the second month, Zerubbabel</w:t>
      </w:r>
      <w:r>
        <w:rPr>
          <w:rStyle w:val="FootnoteReference"/>
        </w:rPr>
        <w:footnoteReference w:id="9550"/>
      </w:r>
      <w:r>
        <w:t xml:space="preserve"> son of Shealtiel and Jeshua son of Jozadak began, along with the rest of their brothers, the priests and the Levites and all who came from captivity to Jerusalem, and they appointed Levites from twenty years old and upward over those doing the works in the house of the Lord.</w:t>
      </w:r>
    </w:p>
    <w:p>
      <w:r>
        <w:rPr>
          <w:b/>
        </w:rPr>
        <w:t xml:space="preserve">9 </w:t>
      </w:r>
      <w:r>
        <w:t xml:space="preserve">And Jeshua</w:t>
      </w:r>
      <w:r>
        <w:rPr>
          <w:rStyle w:val="FootnoteReference"/>
        </w:rPr>
        <w:footnoteReference w:id="9551"/>
      </w:r>
      <w:r>
        <w:t xml:space="preserve"> stood, and his sons and his brothers, Kadmiel and his sons, sons of Judah, over those doing the works</w:t>
      </w:r>
      <w:r>
        <w:rPr>
          <w:rStyle w:val="FootnoteReference"/>
        </w:rPr>
        <w:footnoteReference w:id="9552"/>
      </w:r>
      <w:r>
        <w:t xml:space="preserve"> in the house of God, the sons of Henadad</w:t>
      </w:r>
      <w:r>
        <w:rPr>
          <w:rStyle w:val="FootnoteReference"/>
        </w:rPr>
        <w:footnoteReference w:id="9553"/>
      </w:r>
      <w:r>
        <w:t xml:space="preserve">, their sons and their brothers the Levites.</w:t>
      </w:r>
    </w:p>
    <w:p>
      <w:r>
        <w:rPr>
          <w:b/>
        </w:rPr>
        <w:t xml:space="preserve">10 </w:t>
      </w:r>
      <w:r>
        <w:t xml:space="preserve">And they laid foundations to build the house of the Lord, and the priests stood arrayed with trumpets</w:t>
      </w:r>
      <w:r>
        <w:rPr>
          <w:rStyle w:val="FootnoteReference"/>
        </w:rPr>
        <w:footnoteReference w:id="9554"/>
      </w:r>
      <w:r>
        <w:t xml:space="preserve"> and the Levites, sons of Asaph, with cymbals, to praise the Lord according to the ordinance of David king of Israel.</w:t>
      </w:r>
    </w:p>
    <w:p>
      <w:r>
        <w:rPr>
          <w:b/>
        </w:rPr>
        <w:t xml:space="preserve">11 </w:t>
      </w:r>
      <w:r>
        <w:t xml:space="preserve">And they answered with praise and thanksgiving</w:t>
      </w:r>
      <w:r>
        <w:rPr>
          <w:rStyle w:val="FootnoteReference"/>
        </w:rPr>
        <w:footnoteReference w:id="9555"/>
      </w:r>
      <w:r>
        <w:t xml:space="preserve"> to the Lord, For he is good, for his mercy upon Israel is forever. And all the people shouted</w:t>
      </w:r>
      <w:r>
        <w:rPr>
          <w:rStyle w:val="FootnoteReference"/>
        </w:rPr>
        <w:footnoteReference w:id="9556"/>
      </w:r>
      <w:r>
        <w:t xml:space="preserve"> with a loud voice in praising the Lord over foundation of the house of the Lord.</w:t>
      </w:r>
    </w:p>
    <w:p>
      <w:r>
        <w:rPr>
          <w:b/>
        </w:rPr>
        <w:t xml:space="preserve">12 </w:t>
      </w:r>
      <w:r>
        <w:t xml:space="preserve">And many from the priests and the Levites and leaders of father-houses, the elders who had seen the first house on its foundation, were weeping with a loud voice when this house was before their eyes, while the crowd with shouting in joy was raising song</w:t>
      </w:r>
      <w:r>
        <w:rPr>
          <w:rStyle w:val="FootnoteReference"/>
        </w:rPr>
        <w:footnoteReference w:id="9557"/>
      </w:r>
      <w:r>
        <w:t xml:space="preserve">.</w:t>
      </w:r>
    </w:p>
    <w:p>
      <w:r>
        <w:rPr>
          <w:b/>
        </w:rPr>
        <w:t xml:space="preserve">13 </w:t>
      </w:r>
      <w:r>
        <w:t xml:space="preserve">And the people could not distinguish the sound of a shout of joy from the sound of weeping of the people, for the people cried out with a loud voice, and the sound was heard from far away.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those afflicting Judah and Benjamin heard that sons of the captivity are building a house to God of Israel.</w:t>
      </w:r>
    </w:p>
    <w:p>
      <w:r>
        <w:rPr>
          <w:b/>
        </w:rPr>
        <w:t xml:space="preserve">2 </w:t>
      </w:r>
      <w:r>
        <w:t xml:space="preserve">And they came near to Zerubbabel</w:t>
      </w:r>
      <w:r>
        <w:rPr>
          <w:rStyle w:val="FootnoteReference"/>
        </w:rPr>
        <w:footnoteReference w:id="9558"/>
      </w:r>
      <w:r>
        <w:t xml:space="preserve"> and to the heads of father-houses and said to them, We will build with you, because like you we seek your God</w:t>
      </w:r>
      <w:r>
        <w:rPr>
          <w:rStyle w:val="FootnoteReference"/>
        </w:rPr>
        <w:footnoteReference w:id="9559"/>
      </w:r>
      <w:r>
        <w:t xml:space="preserve">, and to him we sacrifice from the days of Esarhaddon king of Asshur, who brought us up here.</w:t>
      </w:r>
    </w:p>
    <w:p>
      <w:r>
        <w:rPr>
          <w:b/>
        </w:rPr>
        <w:t xml:space="preserve">3 </w:t>
      </w:r>
      <w:r>
        <w:t xml:space="preserve">And Zerubbabel and Jeshua and the rest of the heads of father-houses of Israel said to them, It is not for us and you to build a house to our God, for we ourselves together will build to the Lord our God, as Cyrus king of the Persians commanded us.</w:t>
      </w:r>
    </w:p>
    <w:p>
      <w:r>
        <w:rPr>
          <w:b/>
        </w:rPr>
        <w:t xml:space="preserve">4 </w:t>
      </w:r>
      <w:r>
        <w:t xml:space="preserve">And the people of the land were weakening hands of the people of Judah and hindering them from building,</w:t>
      </w:r>
    </w:p>
    <w:p>
      <w:r>
        <w:rPr>
          <w:b/>
        </w:rPr>
        <w:t xml:space="preserve">5 </w:t>
      </w:r>
      <w:r>
        <w:t xml:space="preserve">and hiring counselors against them to scatter their counsel all the days of Cyrus king of the Persians and until reign of Darius</w:t>
      </w:r>
      <w:r>
        <w:rPr>
          <w:rStyle w:val="FootnoteReference"/>
        </w:rPr>
        <w:footnoteReference w:id="9560"/>
      </w:r>
      <w:r>
        <w:t xml:space="preserve"> king of the Persians.</w:t>
      </w:r>
      <w:r>
        <w:rPr>
          <w:rStyle w:val="FootnoteReference"/>
        </w:rPr>
        <w:footnoteReference w:id="9561"/>
      </w:r>
    </w:p>
    <w:p>
      <w:r>
        <w:rPr>
          <w:b/>
        </w:rPr>
        <w:t xml:space="preserve">6 </w:t>
      </w:r>
      <w:r>
        <w:t xml:space="preserve">And in the reign of Ahasuerus</w:t>
      </w:r>
      <w:r>
        <w:rPr>
          <w:rStyle w:val="FootnoteReference"/>
        </w:rPr>
        <w:footnoteReference w:id="9562"/>
      </w:r>
      <w:r>
        <w:t xml:space="preserve">, at the beginning of his reign, they wrote</w:t>
      </w:r>
      <w:r>
        <w:rPr>
          <w:rStyle w:val="FootnoteReference"/>
        </w:rPr>
        <w:footnoteReference w:id="9563"/>
      </w:r>
      <w:r>
        <w:t xml:space="preserve"> a letter against the inhabitants of Judah and Jerusalem.</w:t>
      </w:r>
    </w:p>
    <w:p>
      <w:r>
        <w:rPr>
          <w:b/>
        </w:rPr>
        <w:t xml:space="preserve">7 </w:t>
      </w:r>
      <w:r>
        <w:t xml:space="preserve">And in the days of Artaxerxes, Mithredath, Tabeel</w:t>
      </w:r>
      <w:r>
        <w:rPr>
          <w:rStyle w:val="FootnoteReference"/>
        </w:rPr>
        <w:footnoteReference w:id="9564"/>
      </w:r>
      <w:r>
        <w:t xml:space="preserve">, together with the rest of his fellow-servants, wrote to Artaxerxes king of the Persians. The tax-writer wrote the document</w:t>
      </w:r>
      <w:r>
        <w:rPr>
          <w:rStyle w:val="FootnoteReference"/>
        </w:rPr>
        <w:footnoteReference w:id="9565"/>
      </w:r>
      <w:r>
        <w:t xml:space="preserve"> in Syrian, and it was translated.</w:t>
      </w:r>
    </w:p>
    <w:p>
      <w:r>
        <w:rPr>
          <w:b/>
        </w:rPr>
        <w:t xml:space="preserve">8 </w:t>
      </w:r>
      <w:r>
        <w:t xml:space="preserve">Rehum the chancellor and Shimshai</w:t>
      </w:r>
      <w:r>
        <w:rPr>
          <w:rStyle w:val="FootnoteReference"/>
        </w:rPr>
        <w:footnoteReference w:id="9566"/>
      </w:r>
      <w:r>
        <w:t xml:space="preserve"> the scribe</w:t>
      </w:r>
      <w:r>
        <w:rPr>
          <w:rStyle w:val="FootnoteReference"/>
        </w:rPr>
        <w:footnoteReference w:id="9567"/>
      </w:r>
      <w:r>
        <w:t xml:space="preserve"> wrote one letter against Jerusalem to King Artaxerxes,</w:t>
      </w:r>
    </w:p>
    <w:p>
      <w:r>
        <w:rPr>
          <w:b/>
        </w:rPr>
        <w:t xml:space="preserve">9 </w:t>
      </w:r>
      <w:r>
        <w:t xml:space="preserve">thus judged Rehum the chancellor and Shimshai the scribe and our other fellow-servants</w:t>
      </w:r>
      <w:r>
        <w:rPr>
          <w:rStyle w:val="FootnoteReference"/>
        </w:rPr>
        <w:footnoteReference w:id="9568"/>
      </w:r>
      <w:r>
        <w:t xml:space="preserve">, the Dinaeans, the Apharsathchites</w:t>
      </w:r>
      <w:r>
        <w:rPr>
          <w:rStyle w:val="FootnoteReference"/>
        </w:rPr>
        <w:footnoteReference w:id="9569"/>
      </w:r>
      <w:r>
        <w:t xml:space="preserve">, the Tarphelaeans, the Apharsaeans, the Archyaeans, the Babylonians</w:t>
      </w:r>
      <w:r>
        <w:rPr>
          <w:rStyle w:val="FootnoteReference"/>
        </w:rPr>
        <w:footnoteReference w:id="9570"/>
      </w:r>
      <w:r>
        <w:t xml:space="preserve">, the Sousanchaeans, who are Elamites</w:t>
      </w:r>
      <w:r>
        <w:rPr>
          <w:rStyle w:val="FootnoteReference"/>
        </w:rPr>
        <w:footnoteReference w:id="9571"/>
      </w:r>
      <w:r>
        <w:t xml:space="preserve">,</w:t>
      </w:r>
      <w:r>
        <w:rPr>
          <w:rStyle w:val="FootnoteReference"/>
        </w:rPr>
        <w:footnoteReference w:id="9572"/>
      </w:r>
    </w:p>
    <w:p>
      <w:r>
        <w:rPr>
          <w:b/>
        </w:rPr>
        <w:t xml:space="preserve">10 </w:t>
      </w:r>
      <w:r>
        <w:t xml:space="preserve">and the rest</w:t>
      </w:r>
      <w:r>
        <w:rPr>
          <w:rStyle w:val="FootnoteReference"/>
        </w:rPr>
        <w:footnoteReference w:id="9573"/>
      </w:r>
      <w:r>
        <w:t xml:space="preserve"> of the nations whom Asnapper</w:t>
      </w:r>
      <w:r>
        <w:rPr>
          <w:rStyle w:val="FootnoteReference"/>
        </w:rPr>
        <w:footnoteReference w:id="9574"/>
      </w:r>
      <w:r>
        <w:t xml:space="preserve"> the great and honored deported and settled in the cities of Samaria and the rest beyond the River.</w:t>
      </w:r>
    </w:p>
    <w:p>
      <w:r>
        <w:rPr>
          <w:b/>
        </w:rPr>
        <w:t xml:space="preserve">11 </w:t>
      </w:r>
      <w:r>
        <w:t xml:space="preserve">This is the copy of the letter which they sent to him, to King Artaxerxes: Your servants, men beyond the River.</w:t>
      </w:r>
    </w:p>
    <w:p>
      <w:r>
        <w:rPr>
          <w:b/>
        </w:rPr>
        <w:t xml:space="preserve">12 </w:t>
      </w:r>
      <w:r>
        <w:t xml:space="preserve">Let it be known to the king that the Jews</w:t>
      </w:r>
      <w:r>
        <w:rPr>
          <w:rStyle w:val="FootnoteReference"/>
        </w:rPr>
        <w:footnoteReference w:id="9575"/>
      </w:r>
      <w:r>
        <w:t xml:space="preserve"> who came up from you to us have come to Jerusalem, the rebellious</w:t>
      </w:r>
      <w:r>
        <w:rPr>
          <w:rStyle w:val="FootnoteReference"/>
        </w:rPr>
        <w:footnoteReference w:id="9576"/>
      </w:r>
      <w:r>
        <w:t xml:space="preserve"> and wicked city. They are building it, and its walls are being made ready, and they raised up its foundations.</w:t>
      </w:r>
    </w:p>
    <w:p>
      <w:r>
        <w:rPr>
          <w:b/>
        </w:rPr>
        <w:t xml:space="preserve">13 </w:t>
      </w:r>
      <w:r>
        <w:t xml:space="preserve">Now then let it be known to the king that if that city is rebuilt and its walls completed, taxes will not belong to you, nor will they give tribute, and this harms kings.</w:t>
      </w:r>
    </w:p>
    <w:p>
      <w:r>
        <w:rPr>
          <w:b/>
        </w:rPr>
        <w:t xml:space="preserve">14 </w:t>
      </w:r>
      <w:r>
        <w:t xml:space="preserve">And it is not lawful for us to see shame of the king; because of this we sent and made it known to the king,</w:t>
      </w:r>
    </w:p>
    <w:p>
      <w:r>
        <w:rPr>
          <w:b/>
        </w:rPr>
        <w:t xml:space="preserve">15 </w:t>
      </w:r>
      <w:r>
        <w:t xml:space="preserve">so that he may inspect book of records of your fathers, and you will find and know that that city is a rebellious city, harming kings and lands, and that runaways of slaves</w:t>
      </w:r>
      <w:r>
        <w:rPr>
          <w:rStyle w:val="FootnoteReference"/>
        </w:rPr>
        <w:footnoteReference w:id="9577"/>
      </w:r>
      <w:r>
        <w:t xml:space="preserve"> were in its midst from ancient times. Because of these things that city was laid waste.</w:t>
      </w:r>
    </w:p>
    <w:p>
      <w:r>
        <w:rPr>
          <w:b/>
        </w:rPr>
        <w:t xml:space="preserve">16 </w:t>
      </w:r>
      <w:r>
        <w:t xml:space="preserve">Therefore we make known to the king that if that city is rebuilt and its walls completed, there will not be peace for you.</w:t>
      </w:r>
    </w:p>
    <w:p>
      <w:r>
        <w:rPr>
          <w:b/>
        </w:rPr>
        <w:t xml:space="preserve">17 </w:t>
      </w:r>
      <w:r>
        <w:t xml:space="preserve">And the king sent to Rehum the chancellor and Shimshai the scribe and the rest of their fellow-servants dwelling in Samaria and the rest beyond the River, Peace</w:t>
      </w:r>
      <w:r>
        <w:rPr>
          <w:rStyle w:val="FootnoteReference"/>
        </w:rPr>
        <w:footnoteReference w:id="9578"/>
      </w:r>
      <w:r>
        <w:t xml:space="preserve">, and he says,</w:t>
      </w:r>
    </w:p>
    <w:p>
      <w:r>
        <w:rPr>
          <w:b/>
        </w:rPr>
        <w:t xml:space="preserve">18 </w:t>
      </w:r>
      <w:r>
        <w:t xml:space="preserve">The tax-document which you sent to us was read before me.</w:t>
      </w:r>
    </w:p>
    <w:p>
      <w:r>
        <w:rPr>
          <w:b/>
        </w:rPr>
        <w:t xml:space="preserve">19 </w:t>
      </w:r>
      <w:r>
        <w:t xml:space="preserve">And a decree from me was set down, and they searched and found that that city from ancient days rises up against kings, and rebellions and runaways happen in it.</w:t>
      </w:r>
    </w:p>
    <w:p>
      <w:r>
        <w:rPr>
          <w:b/>
        </w:rPr>
        <w:t xml:space="preserve">20 </w:t>
      </w:r>
      <w:r>
        <w:t xml:space="preserve">And strong kings were over Jerusalem, ruling all the west beyond</w:t>
      </w:r>
      <w:r>
        <w:rPr>
          <w:rStyle w:val="FootnoteReference"/>
        </w:rPr>
        <w:footnoteReference w:id="9579"/>
      </w:r>
      <w:r>
        <w:t xml:space="preserve"> the River, and full taxes and tribute were given to them.</w:t>
      </w:r>
    </w:p>
    <w:p>
      <w:r>
        <w:rPr>
          <w:b/>
        </w:rPr>
        <w:t xml:space="preserve">21 </w:t>
      </w:r>
      <w:r>
        <w:t xml:space="preserve">And now set decision to stop those men, and that city shall not be built again except by decree.</w:t>
      </w:r>
    </w:p>
    <w:p>
      <w:r>
        <w:rPr>
          <w:b/>
        </w:rPr>
        <w:t xml:space="preserve">22 </w:t>
      </w:r>
      <w:r>
        <w:t xml:space="preserve">And take care not to be negligent concerning this, lest destruction multiply to harm kings.</w:t>
      </w:r>
    </w:p>
    <w:p>
      <w:r>
        <w:rPr>
          <w:b/>
        </w:rPr>
        <w:t xml:space="preserve">23 </w:t>
      </w:r>
      <w:r>
        <w:t xml:space="preserve">Then tax-document</w:t>
      </w:r>
      <w:r>
        <w:rPr>
          <w:rStyle w:val="FootnoteReference"/>
        </w:rPr>
        <w:footnoteReference w:id="9580"/>
      </w:r>
      <w:r>
        <w:t xml:space="preserve"> of King Artaxerxes was read before Rehum</w:t>
      </w:r>
      <w:r>
        <w:rPr>
          <w:rStyle w:val="FootnoteReference"/>
        </w:rPr>
        <w:footnoteReference w:id="9581"/>
      </w:r>
      <w:r>
        <w:t xml:space="preserve"> and Shimshai the scribe and their fellow-servants, and they went in haste to Jerusalem and into Judah and stopped them with horses and force.</w:t>
      </w:r>
    </w:p>
    <w:p>
      <w:r>
        <w:rPr>
          <w:b/>
        </w:rPr>
        <w:t xml:space="preserve">24 </w:t>
      </w:r>
      <w:r>
        <w:t xml:space="preserve">Then work of the house of God in Jerusalem ceased, and it lay idle until the second year of the reign of Darius</w:t>
      </w:r>
      <w:r>
        <w:rPr>
          <w:rStyle w:val="FootnoteReference"/>
        </w:rPr>
        <w:footnoteReference w:id="9582"/>
      </w:r>
      <w:r>
        <w:t xml:space="preserve"> king of the Persians.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Haggai</w:t>
      </w:r>
      <w:r>
        <w:rPr>
          <w:rStyle w:val="FootnoteReference"/>
        </w:rPr>
        <w:footnoteReference w:id="9583"/>
      </w:r>
      <w:r>
        <w:t xml:space="preserve"> the prophet and Zechariah son of Iddo prophesied over the Jews in Judah and Jerusalem, in the name of God of Israel upon them.</w:t>
      </w:r>
      <w:r>
        <w:rPr>
          <w:rStyle w:val="FootnoteReference"/>
        </w:rPr>
        <w:footnoteReference w:id="9584"/>
      </w:r>
    </w:p>
    <w:p>
      <w:r>
        <w:rPr>
          <w:b/>
        </w:rPr>
        <w:t xml:space="preserve">2 </w:t>
      </w:r>
      <w:r>
        <w:t xml:space="preserve">Then Zerubbabel son of Shealtiel and Jeshua son of Jozadak rose up</w:t>
      </w:r>
      <w:r>
        <w:rPr>
          <w:rStyle w:val="FootnoteReference"/>
        </w:rPr>
        <w:footnoteReference w:id="9585"/>
      </w:r>
      <w:r>
        <w:t xml:space="preserve"> and began to build the house of God in Jerusalem, and with them were prophets of God helping them.</w:t>
      </w:r>
    </w:p>
    <w:p>
      <w:r>
        <w:rPr>
          <w:b/>
        </w:rPr>
        <w:t xml:space="preserve">3 </w:t>
      </w:r>
      <w:r>
        <w:t xml:space="preserve">At that time Tatnai</w:t>
      </w:r>
      <w:r>
        <w:rPr>
          <w:rStyle w:val="FootnoteReference"/>
        </w:rPr>
        <w:footnoteReference w:id="9586"/>
      </w:r>
      <w:r>
        <w:t xml:space="preserve">, governor beyond the River, and Shetharboznai</w:t>
      </w:r>
      <w:r>
        <w:rPr>
          <w:rStyle w:val="FootnoteReference"/>
        </w:rPr>
        <w:footnoteReference w:id="9587"/>
      </w:r>
      <w:r>
        <w:t xml:space="preserve"> and their fellow-servants came upon them and said these things to them: Who set a decree for you to build this house and complete this structure?</w:t>
      </w:r>
      <w:r>
        <w:rPr>
          <w:rStyle w:val="FootnoteReference"/>
        </w:rPr>
        <w:footnoteReference w:id="9588"/>
      </w:r>
    </w:p>
    <w:p>
      <w:r>
        <w:rPr>
          <w:b/>
        </w:rPr>
        <w:t xml:space="preserve">4 </w:t>
      </w:r>
      <w:r>
        <w:t xml:space="preserve">Then they said these things to them: What are</w:t>
      </w:r>
      <w:r>
        <w:rPr>
          <w:rStyle w:val="FootnoteReference"/>
        </w:rPr>
        <w:footnoteReference w:id="9589"/>
      </w:r>
      <w:r>
        <w:t xml:space="preserve"> names of the men building this city?</w:t>
      </w:r>
    </w:p>
    <w:p>
      <w:r>
        <w:rPr>
          <w:b/>
        </w:rPr>
        <w:t xml:space="preserve">5 </w:t>
      </w:r>
      <w:r>
        <w:t xml:space="preserve">And the eyes of God were upon captivity of Judah, and they did not stop them until a report was carried to Darius and then an answer was sent to the tax-officer concerning this.</w:t>
      </w:r>
    </w:p>
    <w:p>
      <w:r>
        <w:rPr>
          <w:b/>
        </w:rPr>
        <w:t xml:space="preserve">6 </w:t>
      </w:r>
      <w:r>
        <w:t xml:space="preserve">Copy</w:t>
      </w:r>
      <w:r>
        <w:rPr>
          <w:rStyle w:val="FootnoteReference"/>
        </w:rPr>
        <w:footnoteReference w:id="9590"/>
      </w:r>
      <w:r>
        <w:t xml:space="preserve"> of letter which Tatnai governor beyond the River and Shetharboznai and their fellow-servants, the Apharsachites</w:t>
      </w:r>
      <w:r>
        <w:rPr>
          <w:rStyle w:val="FootnoteReference"/>
        </w:rPr>
        <w:footnoteReference w:id="9591"/>
      </w:r>
      <w:r>
        <w:t xml:space="preserve"> beyond the River, sent to King Darius:</w:t>
      </w:r>
    </w:p>
    <w:p>
      <w:r>
        <w:rPr>
          <w:b/>
        </w:rPr>
        <w:t xml:space="preserve">7 </w:t>
      </w:r>
      <w:r>
        <w:t xml:space="preserve">They sent a report to him, and these things were written in it: To King Darius, all peace</w:t>
      </w:r>
      <w:r>
        <w:rPr>
          <w:rStyle w:val="FootnoteReference"/>
        </w:rPr>
        <w:footnoteReference w:id="9592"/>
      </w:r>
      <w:r>
        <w:t xml:space="preserve">.</w:t>
      </w:r>
    </w:p>
    <w:p>
      <w:r>
        <w:rPr>
          <w:b/>
        </w:rPr>
        <w:t xml:space="preserve">8 </w:t>
      </w:r>
      <w:r>
        <w:t xml:space="preserve">Let it be known to the king that we went into the land of Judah, to the house of the great God</w:t>
      </w:r>
      <w:r>
        <w:rPr>
          <w:rStyle w:val="FootnoteReference"/>
        </w:rPr>
        <w:footnoteReference w:id="9593"/>
      </w:r>
      <w:r>
        <w:t xml:space="preserve">, and it is being built with choice stones, and timbers are laid in the walls, and that work is done skillfully and prospers in their hands.</w:t>
      </w:r>
    </w:p>
    <w:p>
      <w:r>
        <w:rPr>
          <w:b/>
        </w:rPr>
        <w:t xml:space="preserve">9 </w:t>
      </w:r>
      <w:r>
        <w:t xml:space="preserve">Then we asked those elders and said this to them: Who set a decree for you to build this house and complete this structure?</w:t>
      </w:r>
    </w:p>
    <w:p>
      <w:r>
        <w:rPr>
          <w:b/>
        </w:rPr>
        <w:t xml:space="preserve">10 </w:t>
      </w:r>
      <w:r>
        <w:t xml:space="preserve">And we also asked</w:t>
      </w:r>
      <w:r>
        <w:rPr>
          <w:rStyle w:val="FootnoteReference"/>
        </w:rPr>
        <w:footnoteReference w:id="9594"/>
      </w:r>
      <w:r>
        <w:t xml:space="preserve"> them their names, to make them known to you, so that we might write to you names of the men leading them.</w:t>
      </w:r>
    </w:p>
    <w:p>
      <w:r>
        <w:rPr>
          <w:b/>
        </w:rPr>
        <w:t xml:space="preserve">11 </w:t>
      </w:r>
      <w:r>
        <w:t xml:space="preserve">And this word they answered us, saying, We are</w:t>
      </w:r>
      <w:r>
        <w:rPr>
          <w:rStyle w:val="FootnoteReference"/>
        </w:rPr>
        <w:footnoteReference w:id="9595"/>
      </w:r>
      <w:r>
        <w:t xml:space="preserve"> servants of the God of heaven and earth</w:t>
      </w:r>
      <w:r>
        <w:rPr>
          <w:rStyle w:val="FootnoteReference"/>
        </w:rPr>
        <w:footnoteReference w:id="9596"/>
      </w:r>
      <w:r>
        <w:t xml:space="preserve">, and we are building the house that was built many years before this, and a great king of Israel built it and completed it.</w:t>
      </w:r>
    </w:p>
    <w:p>
      <w:r>
        <w:rPr>
          <w:b/>
        </w:rPr>
        <w:t xml:space="preserve">12 </w:t>
      </w:r>
      <w:r>
        <w:t xml:space="preserve">But from time when our fathers provoked the God of heaven</w:t>
      </w:r>
      <w:r>
        <w:rPr>
          <w:rStyle w:val="FootnoteReference"/>
        </w:rPr>
        <w:footnoteReference w:id="9597"/>
      </w:r>
      <w:r>
        <w:t xml:space="preserve">, he gave</w:t>
      </w:r>
      <w:r>
        <w:rPr>
          <w:rStyle w:val="FootnoteReference"/>
        </w:rPr>
        <w:footnoteReference w:id="9598"/>
      </w:r>
      <w:r>
        <w:t xml:space="preserve"> them into the hand of Nebuchadnezzar king of Babylon the Chaldean</w:t>
      </w:r>
      <w:r>
        <w:rPr>
          <w:rStyle w:val="FootnoteReference"/>
        </w:rPr>
        <w:footnoteReference w:id="9599"/>
      </w:r>
      <w:r>
        <w:t xml:space="preserve">, and he destroyed this house and exiled the people to Babylon.</w:t>
      </w:r>
    </w:p>
    <w:p>
      <w:r>
        <w:rPr>
          <w:b/>
        </w:rPr>
        <w:t xml:space="preserve">13 </w:t>
      </w:r>
      <w:r>
        <w:t xml:space="preserve">But in the first year of King Cyrus, Cyrus the king set a decree for this house of God to be built.</w:t>
      </w:r>
    </w:p>
    <w:p>
      <w:r>
        <w:rPr>
          <w:b/>
        </w:rPr>
        <w:t xml:space="preserve">14 </w:t>
      </w:r>
      <w:r>
        <w:t xml:space="preserve">And vessels of the house of God, the gold and silver ones which Nebuchadnezzar took from the house in Jerusalem and carried into the temple of the king, King Cyrus took them out from the temple of the king and gave them to Sheshbazzar</w:t>
      </w:r>
      <w:r>
        <w:rPr>
          <w:rStyle w:val="FootnoteReference"/>
        </w:rPr>
        <w:footnoteReference w:id="9600"/>
      </w:r>
      <w:r>
        <w:t xml:space="preserve">, the treasurer over the treasury.</w:t>
      </w:r>
      <w:r>
        <w:rPr>
          <w:rStyle w:val="FootnoteReference"/>
        </w:rPr>
        <w:footnoteReference w:id="9601"/>
      </w:r>
    </w:p>
    <w:p>
      <w:r>
        <w:rPr>
          <w:b/>
        </w:rPr>
        <w:t xml:space="preserve">15 </w:t>
      </w:r>
      <w:r>
        <w:t xml:space="preserve">And he said to him, Take all the vessels and go, put them in the house in Jerusalem, each in its own place.</w:t>
      </w:r>
    </w:p>
    <w:p>
      <w:r>
        <w:rPr>
          <w:b/>
        </w:rPr>
        <w:t xml:space="preserve">16 </w:t>
      </w:r>
      <w:r>
        <w:t xml:space="preserve">Then that Sheshbazzar</w:t>
      </w:r>
      <w:r>
        <w:rPr>
          <w:rStyle w:val="FootnoteReference"/>
        </w:rPr>
        <w:footnoteReference w:id="9602"/>
      </w:r>
      <w:r>
        <w:t xml:space="preserve"> came and laid foundations of the house of God in Jerusalem, and from then until now it has been built and not completed.</w:t>
      </w:r>
    </w:p>
    <w:p>
      <w:r>
        <w:rPr>
          <w:b/>
        </w:rPr>
        <w:t xml:space="preserve">17 </w:t>
      </w:r>
      <w:r>
        <w:t xml:space="preserve">And now, if it seems good to the king, let search be made in the house of royal treasury in Babylon, that you may know whether decree was set from King Cyrus to build that house of God in Jerusalem, and after knowing concerning this</w:t>
      </w:r>
      <w:r>
        <w:rPr>
          <w:rStyle w:val="FootnoteReference"/>
        </w:rPr>
        <w:footnoteReference w:id="9603"/>
      </w:r>
      <w:r>
        <w:t xml:space="preserve"> let the king send to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Then King Darius set a decree, and search</w:t>
      </w:r>
      <w:r>
        <w:rPr>
          <w:rStyle w:val="FootnoteReference"/>
        </w:rPr>
        <w:footnoteReference w:id="9604"/>
      </w:r>
      <w:r>
        <w:t xml:space="preserve"> was made in the libraries where the treasure is laid in Babylon.</w:t>
      </w:r>
    </w:p>
    <w:p>
      <w:r>
        <w:rPr>
          <w:b/>
        </w:rPr>
        <w:t xml:space="preserve">2 </w:t>
      </w:r>
      <w:r>
        <w:t xml:space="preserve">And in the city of Bareis, city of the Medes, one scroll was found, and this memorandum was written in it:</w:t>
      </w:r>
    </w:p>
    <w:p>
      <w:r>
        <w:rPr>
          <w:b/>
        </w:rPr>
        <w:t xml:space="preserve">3 </w:t>
      </w:r>
      <w:r>
        <w:t xml:space="preserve">In the first year</w:t>
      </w:r>
      <w:r>
        <w:rPr>
          <w:rStyle w:val="FootnoteReference"/>
        </w:rPr>
        <w:footnoteReference w:id="9605"/>
      </w:r>
      <w:r>
        <w:t xml:space="preserve"> of King Cyrus, Cyrus the king set a decree concerning the house of God in Jerusalem: Let the house be built, and the place where they sacrifice the offerings. And he set its height at sixty cubits and its breadth at sixty cubits,</w:t>
      </w:r>
      <w:r>
        <w:rPr>
          <w:rStyle w:val="FootnoteReference"/>
        </w:rPr>
        <w:footnoteReference w:id="9606"/>
      </w:r>
    </w:p>
    <w:p>
      <w:r>
        <w:rPr>
          <w:b/>
        </w:rPr>
        <w:t xml:space="preserve">4 </w:t>
      </w:r>
      <w:r>
        <w:t xml:space="preserve">with three courses of massive stone and one course of timber, and expense shall be given from the house of the king.</w:t>
      </w:r>
    </w:p>
    <w:p>
      <w:r>
        <w:rPr>
          <w:b/>
        </w:rPr>
        <w:t xml:space="preserve">5 </w:t>
      </w:r>
      <w:r>
        <w:t xml:space="preserve">And silver and gold vessels of the house of God, which Nebuchadnezzar</w:t>
      </w:r>
      <w:r>
        <w:rPr>
          <w:rStyle w:val="FootnoteReference"/>
        </w:rPr>
        <w:footnoteReference w:id="9607"/>
      </w:r>
      <w:r>
        <w:t xml:space="preserve"> brought out from the house in Jerusalem and carried to Babylon, let them be given back and go to the temple in Jerusalem, to place where they were put, in the house of God.</w:t>
      </w:r>
      <w:r>
        <w:rPr>
          <w:rStyle w:val="FootnoteReference"/>
        </w:rPr>
        <w:footnoteReference w:id="9608"/>
      </w:r>
    </w:p>
    <w:p>
      <w:r>
        <w:rPr>
          <w:b/>
        </w:rPr>
        <w:t xml:space="preserve">6 </w:t>
      </w:r>
      <w:r>
        <w:t xml:space="preserve">Now stay away from there, governors beyond the River, Shetharboznai and your fellow-servants, the Apharsachites beyond the River.</w:t>
      </w:r>
    </w:p>
    <w:p>
      <w:r>
        <w:rPr>
          <w:b/>
        </w:rPr>
        <w:t xml:space="preserve">7 </w:t>
      </w:r>
      <w:r>
        <w:t xml:space="preserve">Leave work of that house of God alone. Let leaders of the Jews and elders of the Jews build that house of God on its place.</w:t>
      </w:r>
    </w:p>
    <w:p>
      <w:r>
        <w:rPr>
          <w:b/>
        </w:rPr>
        <w:t xml:space="preserve">8 </w:t>
      </w:r>
      <w:r>
        <w:t xml:space="preserve">And from me decree has been set that you do nothing against elders of the Jews in building that house of God, and from possessions of the king, from taxes beyond the River, let expense be carefully given</w:t>
      </w:r>
      <w:r>
        <w:rPr>
          <w:rStyle w:val="FootnoteReference"/>
        </w:rPr>
        <w:footnoteReference w:id="9609"/>
      </w:r>
      <w:r>
        <w:t xml:space="preserve"> to those men so that it not stop.</w:t>
      </w:r>
    </w:p>
    <w:p>
      <w:r>
        <w:rPr>
          <w:b/>
        </w:rPr>
        <w:t xml:space="preserve">9 </w:t>
      </w:r>
      <w:r>
        <w:t xml:space="preserve">And whatever is lacking, young bulls and rams and lambs</w:t>
      </w:r>
      <w:r>
        <w:rPr>
          <w:rStyle w:val="FootnoteReference"/>
        </w:rPr>
        <w:footnoteReference w:id="9610"/>
      </w:r>
      <w:r>
        <w:t xml:space="preserve"> for whole burnt offerings to the God of heaven, wheat, salt, wine, and oil, according to the word of priests in Jerusalem, let it be given to them day by day, whatever they ask,</w:t>
      </w:r>
    </w:p>
    <w:p>
      <w:r>
        <w:rPr>
          <w:b/>
        </w:rPr>
        <w:t xml:space="preserve">10 </w:t>
      </w:r>
      <w:r>
        <w:t xml:space="preserve">so that they may be offering fragrant offerings to the God of heaven and praying for the life of the king and his sons.</w:t>
      </w:r>
    </w:p>
    <w:p>
      <w:r>
        <w:rPr>
          <w:b/>
        </w:rPr>
        <w:t xml:space="preserve">11 </w:t>
      </w:r>
      <w:r>
        <w:t xml:space="preserve">And from me decree has been set that every man who changes this word, a timber</w:t>
      </w:r>
      <w:r>
        <w:rPr>
          <w:rStyle w:val="FootnoteReference"/>
        </w:rPr>
        <w:footnoteReference w:id="9611"/>
      </w:r>
      <w:r>
        <w:t xml:space="preserve"> shall be pulled down from his house, and after being raised up he shall be impaled on it, and his house shall be made a ruin for this.</w:t>
      </w:r>
    </w:p>
    <w:p>
      <w:r>
        <w:rPr>
          <w:b/>
        </w:rPr>
        <w:t xml:space="preserve">12 </w:t>
      </w:r>
      <w:r>
        <w:t xml:space="preserve">And God, who causes name to dwell there</w:t>
      </w:r>
      <w:r>
        <w:rPr>
          <w:rStyle w:val="FootnoteReference"/>
        </w:rPr>
        <w:footnoteReference w:id="9612"/>
      </w:r>
      <w:r>
        <w:t xml:space="preserve">, will overthrow every king and people who stretches out his hand to alter or destroy</w:t>
      </w:r>
      <w:r>
        <w:rPr>
          <w:rStyle w:val="FootnoteReference"/>
        </w:rPr>
        <w:footnoteReference w:id="9613"/>
      </w:r>
      <w:r>
        <w:t xml:space="preserve"> that house of God in Jerusalem. I, Darius, set a decree; it shall be done carefully.</w:t>
      </w:r>
    </w:p>
    <w:p>
      <w:r>
        <w:rPr>
          <w:b/>
        </w:rPr>
        <w:t xml:space="preserve">13 </w:t>
      </w:r>
      <w:r>
        <w:t xml:space="preserve">Then Tatnai</w:t>
      </w:r>
      <w:r>
        <w:rPr>
          <w:rStyle w:val="FootnoteReference"/>
        </w:rPr>
        <w:footnoteReference w:id="9614"/>
      </w:r>
      <w:r>
        <w:t xml:space="preserve">, governor beyond the River, Shetharboznai, and their fellow-servants did carefully according to what Darius the king sent.</w:t>
      </w:r>
    </w:p>
    <w:p>
      <w:r>
        <w:rPr>
          <w:b/>
        </w:rPr>
        <w:t xml:space="preserve">14 </w:t>
      </w:r>
      <w:r>
        <w:t xml:space="preserve">And elders of the Jews were building and prospering through prophecy of Haggai the prophet and Zechariah son of Iddo. And they built and completed it by the decree of God of Israel and by the decree of Cyrus</w:t>
      </w:r>
      <w:r>
        <w:rPr>
          <w:rStyle w:val="FootnoteReference"/>
        </w:rPr>
        <w:footnoteReference w:id="9615"/>
      </w:r>
      <w:r>
        <w:t xml:space="preserve"> and Darius and Artaxerxes, kings of Persia</w:t>
      </w:r>
      <w:r>
        <w:rPr>
          <w:rStyle w:val="FootnoteReference"/>
        </w:rPr>
        <w:footnoteReference w:id="9616"/>
      </w:r>
      <w:r>
        <w:t xml:space="preserve">.</w:t>
      </w:r>
      <w:r>
        <w:rPr>
          <w:rStyle w:val="FootnoteReference"/>
        </w:rPr>
        <w:footnoteReference w:id="9617"/>
      </w:r>
    </w:p>
    <w:p>
      <w:r>
        <w:rPr>
          <w:b/>
        </w:rPr>
        <w:t xml:space="preserve">15 </w:t>
      </w:r>
      <w:r>
        <w:t xml:space="preserve">And they completed this house by third day of the month Adar</w:t>
      </w:r>
      <w:r>
        <w:rPr>
          <w:rStyle w:val="FootnoteReference"/>
        </w:rPr>
        <w:footnoteReference w:id="9618"/>
      </w:r>
      <w:r>
        <w:t xml:space="preserve">, which was sixth year in the reign of Darius the king.</w:t>
      </w:r>
    </w:p>
    <w:p>
      <w:r>
        <w:rPr>
          <w:b/>
        </w:rPr>
        <w:t xml:space="preserve">16 </w:t>
      </w:r>
      <w:r>
        <w:t xml:space="preserve">And sons of Israel, the priests and the Levites and rest of sons of exile, kept dedication of the house of God with gladness.</w:t>
      </w:r>
    </w:p>
    <w:p>
      <w:r>
        <w:rPr>
          <w:b/>
        </w:rPr>
        <w:t xml:space="preserve">17 </w:t>
      </w:r>
      <w:r>
        <w:t xml:space="preserve">And they offered</w:t>
      </w:r>
      <w:r>
        <w:rPr>
          <w:rStyle w:val="FootnoteReference"/>
        </w:rPr>
        <w:footnoteReference w:id="9619"/>
      </w:r>
      <w:r>
        <w:t xml:space="preserve"> at the dedication of the house of God one hundred calves, two hundred rams, four hundred lambs, and twelve goat kids for sin</w:t>
      </w:r>
      <w:r>
        <w:rPr>
          <w:rStyle w:val="FootnoteReference"/>
        </w:rPr>
        <w:footnoteReference w:id="9620"/>
      </w:r>
      <w:r>
        <w:t xml:space="preserve"> concerning all Israel, according to the number of tribes of Israel.</w:t>
      </w:r>
    </w:p>
    <w:p>
      <w:r>
        <w:rPr>
          <w:b/>
        </w:rPr>
        <w:t xml:space="preserve">18 </w:t>
      </w:r>
      <w:r>
        <w:t xml:space="preserve">And they set priests in their divisions and Levites in their allotments for the service of God in Jerusalem, according to the writing of book of Moses.</w:t>
      </w:r>
    </w:p>
    <w:p>
      <w:r>
        <w:rPr>
          <w:b/>
        </w:rPr>
        <w:t xml:space="preserve">19 </w:t>
      </w:r>
      <w:r>
        <w:t xml:space="preserve">And the sons of the exile kept</w:t>
      </w:r>
      <w:r>
        <w:rPr>
          <w:rStyle w:val="FootnoteReference"/>
        </w:rPr>
        <w:footnoteReference w:id="9621"/>
      </w:r>
      <w:r>
        <w:t xml:space="preserve"> the Passover on fourteenth day of the first month.</w:t>
      </w:r>
    </w:p>
    <w:p>
      <w:r>
        <w:rPr>
          <w:b/>
        </w:rPr>
        <w:t xml:space="preserve">20 </w:t>
      </w:r>
      <w:r>
        <w:t xml:space="preserve">For the priests and the Levites had purified themselves until all of them together were pure, and they slaughtered the Passover for all sons of exile and for their brothers the priests and for themselves.</w:t>
      </w:r>
    </w:p>
    <w:p>
      <w:r>
        <w:rPr>
          <w:b/>
        </w:rPr>
        <w:t xml:space="preserve">21 </w:t>
      </w:r>
      <w:r>
        <w:t xml:space="preserve">And sons of Israel from the exile ate the Passover, and everyone separating himself from uncleanness of nations of the land to them</w:t>
      </w:r>
      <w:r>
        <w:rPr>
          <w:rStyle w:val="FootnoteReference"/>
        </w:rPr>
        <w:footnoteReference w:id="9622"/>
      </w:r>
      <w:r>
        <w:t xml:space="preserve">, to seek the Lord God of Israel.</w:t>
      </w:r>
    </w:p>
    <w:p>
      <w:r>
        <w:rPr>
          <w:b/>
        </w:rPr>
        <w:t xml:space="preserve">22 </w:t>
      </w:r>
      <w:r>
        <w:t xml:space="preserve">And they kept feast of unleavened for seven days with gladness, because the Lord gladdened them and turned</w:t>
      </w:r>
      <w:r>
        <w:rPr>
          <w:rStyle w:val="FootnoteReference"/>
        </w:rPr>
        <w:footnoteReference w:id="9623"/>
      </w:r>
      <w:r>
        <w:t xml:space="preserve"> heart of the king of Asshur toward them, to strengthen their hands in the works of the house of God of Israel.</w:t>
      </w:r>
      <w:r>
        <w:rPr>
          <w:rStyle w:val="FootnoteReference"/>
        </w:rPr>
        <w:footnoteReference w:id="962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after these words, in the reign of Artaxerxes</w:t>
      </w:r>
      <w:r>
        <w:rPr>
          <w:rStyle w:val="FootnoteReference"/>
        </w:rPr>
        <w:footnoteReference w:id="9625"/>
      </w:r>
      <w:r>
        <w:t xml:space="preserve"> king of the Persians, Ezra son of Seraiah, son of Azariah, son of Hilkiah,</w:t>
      </w:r>
    </w:p>
    <w:p>
      <w:r>
        <w:rPr>
          <w:b/>
        </w:rPr>
        <w:t xml:space="preserve">2 </w:t>
      </w:r>
      <w:r>
        <w:t xml:space="preserve">son of Shallum, son of Zadok</w:t>
      </w:r>
      <w:r>
        <w:rPr>
          <w:rStyle w:val="FootnoteReference"/>
        </w:rPr>
        <w:footnoteReference w:id="9626"/>
      </w:r>
      <w:r>
        <w:t xml:space="preserve">, son of Ahitub,</w:t>
      </w:r>
    </w:p>
    <w:p>
      <w:r>
        <w:rPr>
          <w:b/>
        </w:rPr>
        <w:t xml:space="preserve">3 </w:t>
      </w:r>
      <w:r>
        <w:t xml:space="preserve">son of Amariah, son of Azariah, son of Meraioth,</w:t>
      </w:r>
    </w:p>
    <w:p>
      <w:r>
        <w:rPr>
          <w:b/>
        </w:rPr>
        <w:t xml:space="preserve">4 </w:t>
      </w:r>
      <w:r>
        <w:t xml:space="preserve">son of Zerahiah, son of Saouia, son of Bukki,</w:t>
      </w:r>
    </w:p>
    <w:p>
      <w:r>
        <w:rPr>
          <w:b/>
        </w:rPr>
        <w:t xml:space="preserve">5 </w:t>
      </w:r>
      <w:r>
        <w:t xml:space="preserve">son of Abishua, son of Phinehas</w:t>
      </w:r>
      <w:r>
        <w:rPr>
          <w:rStyle w:val="FootnoteReference"/>
        </w:rPr>
        <w:footnoteReference w:id="9627"/>
      </w:r>
      <w:r>
        <w:t xml:space="preserve">, son of Eleazar, son of Aaron the first priest.</w:t>
      </w:r>
    </w:p>
    <w:p>
      <w:r>
        <w:rPr>
          <w:b/>
        </w:rPr>
        <w:t xml:space="preserve">6 </w:t>
      </w:r>
      <w:r>
        <w:t xml:space="preserve">This Ezra came up from Babylon, and he was a quick scribe</w:t>
      </w:r>
      <w:r>
        <w:rPr>
          <w:rStyle w:val="FootnoteReference"/>
        </w:rPr>
        <w:footnoteReference w:id="9628"/>
      </w:r>
      <w:r>
        <w:t xml:space="preserve"> in the law of Moses, which the Lord God of Israel gave, and the king gave to him because the hand of the Lord his God was upon him</w:t>
      </w:r>
      <w:r>
        <w:rPr>
          <w:rStyle w:val="FootnoteReference"/>
        </w:rPr>
        <w:footnoteReference w:id="9629"/>
      </w:r>
      <w:r>
        <w:t xml:space="preserve"> in all he sought.</w:t>
      </w:r>
    </w:p>
    <w:p>
      <w:r>
        <w:rPr>
          <w:b/>
        </w:rPr>
        <w:t xml:space="preserve">7 </w:t>
      </w:r>
      <w:r>
        <w:t xml:space="preserve">And some from the sons of Israel and from the priests and from the Levites</w:t>
      </w:r>
      <w:r>
        <w:rPr>
          <w:rStyle w:val="FootnoteReference"/>
        </w:rPr>
        <w:footnoteReference w:id="9630"/>
      </w:r>
      <w:r>
        <w:t xml:space="preserve"> and the singers and the gatekeepers and the nethinim went up to Jerusalem in the seventh year of King Artaxerxes.</w:t>
      </w:r>
    </w:p>
    <w:p>
      <w:r>
        <w:rPr>
          <w:b/>
        </w:rPr>
        <w:t xml:space="preserve">8 </w:t>
      </w:r>
      <w:r>
        <w:t xml:space="preserve">And they came to Jerusalem in the fifth month; this was seventh year of the king.</w:t>
      </w:r>
    </w:p>
    <w:p>
      <w:r>
        <w:rPr>
          <w:b/>
        </w:rPr>
        <w:t xml:space="preserve">9 </w:t>
      </w:r>
      <w:r>
        <w:t xml:space="preserve">For on the first day of the first month he founded the going-up from Babylon, and on the first day of the fifth month they came to Jerusalem, because good hand of his God was upon him.</w:t>
      </w:r>
    </w:p>
    <w:p>
      <w:r>
        <w:rPr>
          <w:b/>
        </w:rPr>
        <w:t xml:space="preserve">10 </w:t>
      </w:r>
      <w:r>
        <w:t xml:space="preserve">For Ezra gave his heart to seek the law</w:t>
      </w:r>
      <w:r>
        <w:rPr>
          <w:rStyle w:val="FootnoteReference"/>
        </w:rPr>
        <w:footnoteReference w:id="9631"/>
      </w:r>
      <w:r>
        <w:t xml:space="preserve"> and to do it and to teach ordinances and judgments in Israel.</w:t>
      </w:r>
    </w:p>
    <w:p>
      <w:r>
        <w:rPr>
          <w:b/>
        </w:rPr>
        <w:t xml:space="preserve">11 </w:t>
      </w:r>
      <w:r>
        <w:t xml:space="preserve">And this is a copy of the decree which Artaxerxes gave to Ezra the priest, the scribe of book of words of commandments of the Lord and his ordinances for Israel:</w:t>
      </w:r>
    </w:p>
    <w:p>
      <w:r>
        <w:rPr>
          <w:b/>
        </w:rPr>
        <w:t xml:space="preserve">12 </w:t>
      </w:r>
      <w:r>
        <w:t xml:space="preserve">Artaxerxes</w:t>
      </w:r>
      <w:r>
        <w:rPr>
          <w:rStyle w:val="FootnoteReference"/>
        </w:rPr>
        <w:footnoteReference w:id="9632"/>
      </w:r>
      <w:r>
        <w:t xml:space="preserve">, king of kings, to Ezra, scribe of the law of the God of heaven: the matter is settled, and this the answer.</w:t>
      </w:r>
      <w:r>
        <w:rPr>
          <w:rStyle w:val="FootnoteReference"/>
        </w:rPr>
        <w:footnoteReference w:id="9633"/>
      </w:r>
    </w:p>
    <w:p>
      <w:r>
        <w:rPr>
          <w:b/>
        </w:rPr>
        <w:t xml:space="preserve">13 </w:t>
      </w:r>
      <w:r>
        <w:t xml:space="preserve">From me decree has been set that everyone in my kingdom who freely chooses from the people of Israel and priests and Levites to go to Jerusalem with you may go.</w:t>
      </w:r>
    </w:p>
    <w:p>
      <w:r>
        <w:rPr>
          <w:b/>
        </w:rPr>
        <w:t xml:space="preserve">14 </w:t>
      </w:r>
      <w:r>
        <w:t xml:space="preserve">Because you are sent from the presence of the king and the seven counselors to inspect concerning Judah and Jerusalem by law of your God in your hand,</w:t>
      </w:r>
    </w:p>
    <w:p>
      <w:r>
        <w:rPr>
          <w:b/>
        </w:rPr>
        <w:t xml:space="preserve">15 </w:t>
      </w:r>
      <w:r>
        <w:t xml:space="preserve">and to bring silver and gold which the king and his counselors freely gave to God of Israel who dwells in Jerusalem,</w:t>
      </w:r>
    </w:p>
    <w:p>
      <w:r>
        <w:rPr>
          <w:b/>
        </w:rPr>
        <w:t xml:space="preserve">16 </w:t>
      </w:r>
      <w:r>
        <w:t xml:space="preserve">and all the silver</w:t>
      </w:r>
      <w:r>
        <w:rPr>
          <w:rStyle w:val="FootnoteReference"/>
        </w:rPr>
        <w:footnoteReference w:id="9634"/>
      </w:r>
      <w:r>
        <w:t xml:space="preserve"> and gold whatever you find in the whole land of Babylon, together with the freewill offering of the people and priests who freely give for the house of God in Jerusalem,</w:t>
      </w:r>
    </w:p>
    <w:p>
      <w:r>
        <w:rPr>
          <w:b/>
        </w:rPr>
        <w:t xml:space="preserve">17 </w:t>
      </w:r>
      <w:r>
        <w:t xml:space="preserve">and whatever comes with this, promptly arrange in this writing: calves, rams, lambs, and their grain offerings and their drink offerings, and you shall offer them</w:t>
      </w:r>
      <w:r>
        <w:rPr>
          <w:rStyle w:val="FootnoteReference"/>
        </w:rPr>
        <w:footnoteReference w:id="9635"/>
      </w:r>
      <w:r>
        <w:t xml:space="preserve"> on the altar of the house of your God in Jerusalem.</w:t>
      </w:r>
    </w:p>
    <w:p>
      <w:r>
        <w:rPr>
          <w:b/>
        </w:rPr>
        <w:t xml:space="preserve">18 </w:t>
      </w:r>
      <w:r>
        <w:t xml:space="preserve">And whatever seems good to you and your brothers to do with rest of the silver and the gold, do as pleasing to your God.</w:t>
      </w:r>
    </w:p>
    <w:p>
      <w:r>
        <w:rPr>
          <w:b/>
        </w:rPr>
        <w:t xml:space="preserve">19 </w:t>
      </w:r>
      <w:r>
        <w:t xml:space="preserve">And vessels given to you for the service of the house of God, deliver before God in Jerusalem.</w:t>
      </w:r>
    </w:p>
    <w:p>
      <w:r>
        <w:rPr>
          <w:b/>
        </w:rPr>
        <w:t xml:space="preserve">20 </w:t>
      </w:r>
      <w:r>
        <w:t xml:space="preserve">And whatever remains of need for the house of your God, whatever seems to you to give, you shall give from houses of treasury of the king.</w:t>
      </w:r>
    </w:p>
    <w:p>
      <w:r>
        <w:rPr>
          <w:b/>
        </w:rPr>
        <w:t xml:space="preserve">21 </w:t>
      </w:r>
      <w:r>
        <w:t xml:space="preserve">And from me, I Artaxerxes</w:t>
      </w:r>
      <w:r>
        <w:rPr>
          <w:rStyle w:val="FootnoteReference"/>
        </w:rPr>
        <w:footnoteReference w:id="9636"/>
      </w:r>
      <w:r>
        <w:t xml:space="preserve"> the king, set a decree to all the treasuries beyond the River, that whatever Ezra the priest and scribe of the law of the God of heaven asks from you, let it be promptly done,</w:t>
      </w:r>
      <w:r>
        <w:rPr>
          <w:rStyle w:val="FootnoteReference"/>
        </w:rPr>
        <w:footnoteReference w:id="9637"/>
      </w:r>
    </w:p>
    <w:p>
      <w:r>
        <w:rPr>
          <w:b/>
        </w:rPr>
        <w:t xml:space="preserve">22 </w:t>
      </w:r>
      <w:r>
        <w:t xml:space="preserve">up to one hundred talents of silver and up to one hundred kors of wheat and up to one hundred baths of wine</w:t>
      </w:r>
      <w:r>
        <w:rPr>
          <w:rStyle w:val="FootnoteReference"/>
        </w:rPr>
        <w:footnoteReference w:id="9638"/>
      </w:r>
      <w:r>
        <w:t xml:space="preserve"> and up to one hundred baths of oil, and salt without measure.</w:t>
      </w:r>
    </w:p>
    <w:p>
      <w:r>
        <w:rPr>
          <w:b/>
        </w:rPr>
        <w:t xml:space="preserve">23 </w:t>
      </w:r>
      <w:r>
        <w:t xml:space="preserve">Everything in decree of the God of heaven, let it be</w:t>
      </w:r>
      <w:r>
        <w:rPr>
          <w:rStyle w:val="FootnoteReference"/>
        </w:rPr>
        <w:footnoteReference w:id="9639"/>
      </w:r>
      <w:r>
        <w:t xml:space="preserve"> done carefully for the house of the God of heaven. Take care lest anyone attack it, lest wrath come upon the kingdom of the king and his sons.</w:t>
      </w:r>
    </w:p>
    <w:p>
      <w:r>
        <w:rPr>
          <w:b/>
        </w:rPr>
        <w:t xml:space="preserve">24 </w:t>
      </w:r>
      <w:r>
        <w:t xml:space="preserve">And it is made known to you that upon all the priests and Levites, singers, gatekeepers, nethinim, and servants of this house of God, tribute shall not be for you; you will have no authority to enslave them.</w:t>
      </w:r>
    </w:p>
    <w:p>
      <w:r>
        <w:rPr>
          <w:b/>
        </w:rPr>
        <w:t xml:space="preserve">25 </w:t>
      </w:r>
      <w:r>
        <w:t xml:space="preserve">And you, Ezra, according to wisdom of God in your hand, appoint scribes and judges</w:t>
      </w:r>
      <w:r>
        <w:rPr>
          <w:rStyle w:val="FootnoteReference"/>
        </w:rPr>
        <w:footnoteReference w:id="9640"/>
      </w:r>
      <w:r>
        <w:t xml:space="preserve">, that they may be judging all the people beyond the River</w:t>
      </w:r>
      <w:r>
        <w:rPr>
          <w:rStyle w:val="FootnoteReference"/>
        </w:rPr>
        <w:footnoteReference w:id="9641"/>
      </w:r>
      <w:r>
        <w:t xml:space="preserve">, all knowing law of your God, and you shall make it known to those not knowing.</w:t>
      </w:r>
    </w:p>
    <w:p>
      <w:r>
        <w:rPr>
          <w:b/>
        </w:rPr>
        <w:t xml:space="preserve">26 </w:t>
      </w:r>
      <w:r>
        <w:t xml:space="preserve">And everyone who is not doing the law of your God and the law of the king, judgment shall promptly be carried out</w:t>
      </w:r>
      <w:r>
        <w:rPr>
          <w:rStyle w:val="FootnoteReference"/>
        </w:rPr>
        <w:footnoteReference w:id="9642"/>
      </w:r>
      <w:r>
        <w:t xml:space="preserve"> from him, whether to death or to discipline or to confiscation of substance or to bonds.</w:t>
      </w:r>
    </w:p>
    <w:p>
      <w:r>
        <w:rPr>
          <w:b/>
        </w:rPr>
        <w:t xml:space="preserve">27 </w:t>
      </w:r>
      <w:r>
        <w:t xml:space="preserve">Blessed</w:t>
      </w:r>
      <w:r>
        <w:rPr>
          <w:rStyle w:val="FootnoteReference"/>
        </w:rPr>
        <w:footnoteReference w:id="9643"/>
      </w:r>
      <w:r>
        <w:t xml:space="preserve"> is the Lord God of our fathers, who gave thus into the heart of the king to glorify house of the Lord in Jerusalem,</w:t>
      </w:r>
    </w:p>
    <w:p>
      <w:r>
        <w:rPr>
          <w:b/>
        </w:rPr>
        <w:t xml:space="preserve">28 </w:t>
      </w:r>
      <w:r>
        <w:t xml:space="preserve">and bent mercy toward me</w:t>
      </w:r>
      <w:r>
        <w:rPr>
          <w:rStyle w:val="FootnoteReference"/>
        </w:rPr>
        <w:footnoteReference w:id="9644"/>
      </w:r>
      <w:r>
        <w:t xml:space="preserve"> before the king and his counselors and all the exalted rulers of the king. And I was strengthened, as the good hand of God was upon me, and I gathered leaders from Israel to go up with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these were chiefs of their father-houses, leaders going up with me in the reign of Artaxerxes, king of Babylon:</w:t>
      </w:r>
    </w:p>
    <w:p>
      <w:r>
        <w:rPr>
          <w:b/>
        </w:rPr>
        <w:t xml:space="preserve">2 </w:t>
      </w:r>
      <w:r>
        <w:t xml:space="preserve">from the sons of Phinehas</w:t>
      </w:r>
      <w:r>
        <w:rPr>
          <w:rStyle w:val="FootnoteReference"/>
        </w:rPr>
        <w:footnoteReference w:id="9645"/>
      </w:r>
      <w:r>
        <w:t xml:space="preserve">, Gershom; from the sons of Ithamar, Daniel; from the sons of David, Hattush;</w:t>
      </w:r>
    </w:p>
    <w:p>
      <w:r>
        <w:rPr>
          <w:b/>
        </w:rPr>
        <w:t xml:space="preserve">3 </w:t>
      </w:r>
      <w:r>
        <w:t xml:space="preserve">from the sons of Sechanias</w:t>
      </w:r>
      <w:r>
        <w:rPr>
          <w:rStyle w:val="FootnoteReference"/>
        </w:rPr>
        <w:footnoteReference w:id="9646"/>
      </w:r>
      <w:r>
        <w:t xml:space="preserve">; from the sons of Parosh, Zechariah, and with him a band of one hundred fifty males;</w:t>
      </w:r>
    </w:p>
    <w:p>
      <w:r>
        <w:rPr>
          <w:b/>
        </w:rPr>
        <w:t xml:space="preserve">4 </w:t>
      </w:r>
      <w:r>
        <w:t xml:space="preserve">from the sons of Pahathmoab</w:t>
      </w:r>
      <w:r>
        <w:rPr>
          <w:rStyle w:val="FootnoteReference"/>
        </w:rPr>
        <w:footnoteReference w:id="9647"/>
      </w:r>
      <w:r>
        <w:t xml:space="preserve">, Elianas son of Zerahiah, and with him two hundred males;</w:t>
      </w:r>
    </w:p>
    <w:p>
      <w:r>
        <w:rPr>
          <w:b/>
        </w:rPr>
        <w:t xml:space="preserve">5 </w:t>
      </w:r>
      <w:r>
        <w:t xml:space="preserve">from the sons of Zathoes, Shechaniah</w:t>
      </w:r>
      <w:r>
        <w:rPr>
          <w:rStyle w:val="FootnoteReference"/>
        </w:rPr>
        <w:footnoteReference w:id="9648"/>
      </w:r>
      <w:r>
        <w:t xml:space="preserve"> son of Aziel</w:t>
      </w:r>
      <w:r>
        <w:rPr>
          <w:rStyle w:val="FootnoteReference"/>
        </w:rPr>
        <w:footnoteReference w:id="9649"/>
      </w:r>
      <w:r>
        <w:t xml:space="preserve">, and with him three hundred males;</w:t>
      </w:r>
    </w:p>
    <w:p>
      <w:r>
        <w:rPr>
          <w:b/>
        </w:rPr>
        <w:t xml:space="preserve">6 </w:t>
      </w:r>
      <w:r>
        <w:t xml:space="preserve">and from the sons of Adin</w:t>
      </w:r>
      <w:r>
        <w:rPr>
          <w:rStyle w:val="FootnoteReference"/>
        </w:rPr>
        <w:footnoteReference w:id="9650"/>
      </w:r>
      <w:r>
        <w:t xml:space="preserve">, Obeth son of Jonathan, and with him fifty males;</w:t>
      </w:r>
    </w:p>
    <w:p>
      <w:r>
        <w:rPr>
          <w:b/>
        </w:rPr>
        <w:t xml:space="preserve">7 </w:t>
      </w:r>
      <w:r>
        <w:t xml:space="preserve">and from the sons of Elam</w:t>
      </w:r>
      <w:r>
        <w:rPr>
          <w:rStyle w:val="FootnoteReference"/>
        </w:rPr>
        <w:footnoteReference w:id="9651"/>
      </w:r>
      <w:r>
        <w:t xml:space="preserve">, Jeshaiah</w:t>
      </w:r>
      <w:r>
        <w:rPr>
          <w:rStyle w:val="FootnoteReference"/>
        </w:rPr>
        <w:footnoteReference w:id="9652"/>
      </w:r>
      <w:r>
        <w:t xml:space="preserve"> son of Athaliah, and with him seventy males;</w:t>
      </w:r>
    </w:p>
    <w:p>
      <w:r>
        <w:rPr>
          <w:b/>
        </w:rPr>
        <w:t xml:space="preserve">8 </w:t>
      </w:r>
      <w:r>
        <w:t xml:space="preserve">and from the sons of Shephatiah</w:t>
      </w:r>
      <w:r>
        <w:rPr>
          <w:rStyle w:val="FootnoteReference"/>
        </w:rPr>
        <w:footnoteReference w:id="9653"/>
      </w:r>
      <w:r>
        <w:t xml:space="preserve">, Zebadiah son of Michael, and with him eighty males;</w:t>
      </w:r>
    </w:p>
    <w:p>
      <w:r>
        <w:rPr>
          <w:b/>
        </w:rPr>
        <w:t xml:space="preserve">9 </w:t>
      </w:r>
      <w:r>
        <w:t xml:space="preserve">and from the sons of Joab</w:t>
      </w:r>
      <w:r>
        <w:rPr>
          <w:rStyle w:val="FootnoteReference"/>
        </w:rPr>
        <w:footnoteReference w:id="9654"/>
      </w:r>
      <w:r>
        <w:t xml:space="preserve">, Obadiah son of Jehiel, and with him two hundred eighteen males;</w:t>
      </w:r>
    </w:p>
    <w:p>
      <w:r>
        <w:rPr>
          <w:b/>
        </w:rPr>
        <w:t xml:space="preserve">10 </w:t>
      </w:r>
      <w:r>
        <w:t xml:space="preserve">and from the sons of Baani, Salimoth son of Iosephia, and with him one hundred sixty males;</w:t>
      </w:r>
    </w:p>
    <w:p>
      <w:r>
        <w:rPr>
          <w:b/>
        </w:rPr>
        <w:t xml:space="preserve">11 </w:t>
      </w:r>
      <w:r>
        <w:t xml:space="preserve">and from the sons of Bebai</w:t>
      </w:r>
      <w:r>
        <w:rPr>
          <w:rStyle w:val="FootnoteReference"/>
        </w:rPr>
        <w:footnoteReference w:id="9655"/>
      </w:r>
      <w:r>
        <w:t xml:space="preserve">, Zechariah son of Bebai, and with him seventy-eight males;</w:t>
      </w:r>
    </w:p>
    <w:p>
      <w:r>
        <w:rPr>
          <w:b/>
        </w:rPr>
        <w:t xml:space="preserve">12 </w:t>
      </w:r>
      <w:r>
        <w:t xml:space="preserve">and from the sons of Azgad</w:t>
      </w:r>
      <w:r>
        <w:rPr>
          <w:rStyle w:val="FootnoteReference"/>
        </w:rPr>
        <w:footnoteReference w:id="9656"/>
      </w:r>
      <w:r>
        <w:t xml:space="preserve">, Johanan son of Hakkatan</w:t>
      </w:r>
      <w:r>
        <w:rPr>
          <w:rStyle w:val="FootnoteReference"/>
        </w:rPr>
        <w:footnoteReference w:id="9657"/>
      </w:r>
      <w:r>
        <w:t xml:space="preserve">, and with him one hundred ten males;</w:t>
      </w:r>
    </w:p>
    <w:p>
      <w:r>
        <w:rPr>
          <w:b/>
        </w:rPr>
        <w:t xml:space="preserve">13 </w:t>
      </w:r>
      <w:r>
        <w:t xml:space="preserve">and from the sons of Adonikam</w:t>
      </w:r>
      <w:r>
        <w:rPr>
          <w:rStyle w:val="FootnoteReference"/>
        </w:rPr>
        <w:footnoteReference w:id="9658"/>
      </w:r>
      <w:r>
        <w:t xml:space="preserve">, the last, and these their names: Eliphalat</w:t>
      </w:r>
      <w:r>
        <w:rPr>
          <w:rStyle w:val="FootnoteReference"/>
        </w:rPr>
        <w:footnoteReference w:id="9659"/>
      </w:r>
      <w:r>
        <w:t xml:space="preserve">, Jehiel, and Shemaiah, and with them sixty males;</w:t>
      </w:r>
    </w:p>
    <w:p>
      <w:r>
        <w:rPr>
          <w:b/>
        </w:rPr>
        <w:t xml:space="preserve">14 </w:t>
      </w:r>
      <w:r>
        <w:t xml:space="preserve">and from the sons of Bigvai</w:t>
      </w:r>
      <w:r>
        <w:rPr>
          <w:rStyle w:val="FootnoteReference"/>
        </w:rPr>
        <w:footnoteReference w:id="9660"/>
      </w:r>
      <w:r>
        <w:t xml:space="preserve">, Uthai</w:t>
      </w:r>
      <w:r>
        <w:rPr>
          <w:rStyle w:val="FootnoteReference"/>
        </w:rPr>
        <w:footnoteReference w:id="9661"/>
      </w:r>
      <w:r>
        <w:t xml:space="preserve">, and with him seventy males.</w:t>
      </w:r>
    </w:p>
    <w:p>
      <w:r>
        <w:rPr>
          <w:b/>
        </w:rPr>
        <w:t xml:space="preserve">15 </w:t>
      </w:r>
      <w:r>
        <w:t xml:space="preserve">And I gathered them to the river coming to Ahava</w:t>
      </w:r>
      <w:r>
        <w:rPr>
          <w:rStyle w:val="FootnoteReference"/>
        </w:rPr>
        <w:footnoteReference w:id="9662"/>
      </w:r>
      <w:r>
        <w:t xml:space="preserve">, and we camped there three days, and I discerned among the people and the priests, but from the sons of Levi I found no one there.</w:t>
      </w:r>
      <w:r>
        <w:rPr>
          <w:rStyle w:val="FootnoteReference"/>
        </w:rPr>
        <w:footnoteReference w:id="9663"/>
      </w:r>
    </w:p>
    <w:p>
      <w:r>
        <w:rPr>
          <w:b/>
        </w:rPr>
        <w:t xml:space="preserve">16 </w:t>
      </w:r>
      <w:r>
        <w:t xml:space="preserve">And I sent for Eleazar, Ariel, Shemaiah</w:t>
      </w:r>
      <w:r>
        <w:rPr>
          <w:rStyle w:val="FootnoteReference"/>
        </w:rPr>
        <w:footnoteReference w:id="9664"/>
      </w:r>
      <w:r>
        <w:t xml:space="preserve">, Alonam, Jarib, Elnathan, Nathan, Zechariah, and Meshullam, men, and for Ioarib and Elnathan, those with understanding</w:t>
      </w:r>
      <w:r>
        <w:rPr>
          <w:rStyle w:val="FootnoteReference"/>
        </w:rPr>
        <w:footnoteReference w:id="9665"/>
      </w:r>
      <w:r>
        <w:t xml:space="preserve">.</w:t>
      </w:r>
    </w:p>
    <w:p>
      <w:r>
        <w:rPr>
          <w:b/>
        </w:rPr>
        <w:t xml:space="preserve">17 </w:t>
      </w:r>
      <w:r>
        <w:t xml:space="preserve">And I sent them out to the leader at Casiphia</w:t>
      </w:r>
      <w:r>
        <w:rPr>
          <w:rStyle w:val="FootnoteReference"/>
        </w:rPr>
        <w:footnoteReference w:id="9666"/>
      </w:r>
      <w:r>
        <w:t xml:space="preserve"> the place, and I put words in their mouth to speak to their brothers the nethinim at Casiphia the place, to bring us singers</w:t>
      </w:r>
      <w:r>
        <w:rPr>
          <w:rStyle w:val="FootnoteReference"/>
        </w:rPr>
        <w:footnoteReference w:id="9667"/>
      </w:r>
      <w:r>
        <w:t xml:space="preserve"> for the house of our God.</w:t>
      </w:r>
      <w:r>
        <w:rPr>
          <w:rStyle w:val="FootnoteReference"/>
        </w:rPr>
        <w:footnoteReference w:id="9668"/>
      </w:r>
    </w:p>
    <w:p>
      <w:r>
        <w:rPr>
          <w:b/>
        </w:rPr>
        <w:t xml:space="preserve">18 </w:t>
      </w:r>
      <w:r>
        <w:t xml:space="preserve">And they came to us, because good hand of our God was upon us, a man, Mahli</w:t>
      </w:r>
      <w:r>
        <w:rPr>
          <w:rStyle w:val="FootnoteReference"/>
        </w:rPr>
        <w:footnoteReference w:id="9669"/>
      </w:r>
      <w:r>
        <w:t xml:space="preserve">, from the sons of Mahali son of Levi son of Israel, and his sons and his brothers, eighteen.</w:t>
      </w:r>
      <w:r>
        <w:rPr>
          <w:rStyle w:val="FootnoteReference"/>
        </w:rPr>
        <w:footnoteReference w:id="9670"/>
      </w:r>
    </w:p>
    <w:p>
      <w:r>
        <w:rPr>
          <w:b/>
        </w:rPr>
        <w:t xml:space="preserve">19 </w:t>
      </w:r>
      <w:r>
        <w:t xml:space="preserve">And Hashabiah</w:t>
      </w:r>
      <w:r>
        <w:rPr>
          <w:rStyle w:val="FootnoteReference"/>
        </w:rPr>
        <w:footnoteReference w:id="9671"/>
      </w:r>
      <w:r>
        <w:t xml:space="preserve"> and Jeshaiah from the sons of Merari, his brothers and their sons, twenty.</w:t>
      </w:r>
    </w:p>
    <w:p>
      <w:r>
        <w:rPr>
          <w:b/>
        </w:rPr>
        <w:t xml:space="preserve">20 </w:t>
      </w:r>
      <w:r>
        <w:t xml:space="preserve">And from the nethinim, whom David and the rulers gave for the service of the Levites, two hundred twenty nethinim. All were enrolled by names.</w:t>
      </w:r>
    </w:p>
    <w:p>
      <w:r>
        <w:rPr>
          <w:b/>
        </w:rPr>
        <w:t xml:space="preserve">21 </w:t>
      </w:r>
      <w:r>
        <w:t xml:space="preserve">And I proclaimed</w:t>
      </w:r>
      <w:r>
        <w:rPr>
          <w:rStyle w:val="FootnoteReference"/>
        </w:rPr>
        <w:footnoteReference w:id="9672"/>
      </w:r>
      <w:r>
        <w:t xml:space="preserve"> a fast there at river Ahava, to humble ourselves before our God, to seek from him a straight way for us and for our children and for all our possessions.</w:t>
      </w:r>
    </w:p>
    <w:p>
      <w:r>
        <w:rPr>
          <w:b/>
        </w:rPr>
        <w:t xml:space="preserve">22 </w:t>
      </w:r>
      <w:r>
        <w:t xml:space="preserve">For I was ashamed</w:t>
      </w:r>
      <w:r>
        <w:rPr>
          <w:rStyle w:val="FootnoteReference"/>
        </w:rPr>
        <w:footnoteReference w:id="9673"/>
      </w:r>
      <w:r>
        <w:t xml:space="preserve"> to ask from the king force and horsemen to save us from enemy on the road, because we had spoken to the king, saying, The hand of our God</w:t>
      </w:r>
      <w:r>
        <w:rPr>
          <w:rStyle w:val="FootnoteReference"/>
        </w:rPr>
        <w:footnoteReference w:id="9674"/>
      </w:r>
      <w:r>
        <w:t xml:space="preserve"> is upon all seeking him for good, but his might and his wrath are upon all forsaking him.</w:t>
      </w:r>
    </w:p>
    <w:p>
      <w:r>
        <w:rPr>
          <w:b/>
        </w:rPr>
        <w:t xml:space="preserve">23 </w:t>
      </w:r>
      <w:r>
        <w:t xml:space="preserve">And we fasted</w:t>
      </w:r>
      <w:r>
        <w:rPr>
          <w:rStyle w:val="FootnoteReference"/>
        </w:rPr>
        <w:footnoteReference w:id="9675"/>
      </w:r>
      <w:r>
        <w:t xml:space="preserve"> and sought from our God concerning this, and he listened to us.</w:t>
      </w:r>
    </w:p>
    <w:p>
      <w:r>
        <w:rPr>
          <w:b/>
        </w:rPr>
        <w:t xml:space="preserve">24 </w:t>
      </w:r>
      <w:r>
        <w:t xml:space="preserve">And I separated twelve from the chiefs of the priests: Seraiah, Hashabiah, and with them ten from their brothers.</w:t>
      </w:r>
    </w:p>
    <w:p>
      <w:r>
        <w:rPr>
          <w:b/>
        </w:rPr>
        <w:t xml:space="preserve">25 </w:t>
      </w:r>
      <w:r>
        <w:t xml:space="preserve">And I weighed out to them the silver and the gold and the vessels, the firstfruits of the house of our God</w:t>
      </w:r>
      <w:r>
        <w:rPr>
          <w:rStyle w:val="FootnoteReference"/>
        </w:rPr>
        <w:footnoteReference w:id="9676"/>
      </w:r>
      <w:r>
        <w:t xml:space="preserve">, which the king and his counselors and his rulers and all Israel found there had lifted up.</w:t>
      </w:r>
      <w:r>
        <w:rPr>
          <w:rStyle w:val="FootnoteReference"/>
        </w:rPr>
        <w:footnoteReference w:id="9677"/>
      </w:r>
    </w:p>
    <w:p>
      <w:r>
        <w:rPr>
          <w:b/>
        </w:rPr>
        <w:t xml:space="preserve">26 </w:t>
      </w:r>
      <w:r>
        <w:t xml:space="preserve">And I weighed into their hands six hundred fifty talents of silver and one hundred silver vessels and one hundred talents of gold,</w:t>
      </w:r>
    </w:p>
    <w:p>
      <w:r>
        <w:rPr>
          <w:b/>
        </w:rPr>
        <w:t xml:space="preserve">27 </w:t>
      </w:r>
      <w:r>
        <w:t xml:space="preserve">and twenty golden bowls worth one thousand chamanim, and vessels of shining good bronze, choice as gold.</w:t>
      </w:r>
    </w:p>
    <w:p>
      <w:r>
        <w:rPr>
          <w:b/>
        </w:rPr>
        <w:t xml:space="preserve">28 </w:t>
      </w:r>
      <w:r>
        <w:t xml:space="preserve">And I said to them, You are holy to the Lord, and the vessels</w:t>
      </w:r>
      <w:r>
        <w:rPr>
          <w:rStyle w:val="FootnoteReference"/>
        </w:rPr>
        <w:footnoteReference w:id="9678"/>
      </w:r>
      <w:r>
        <w:t xml:space="preserve"> are holy, and the silver and gold are a freewill offering to the Lord God of your fathers.</w:t>
      </w:r>
    </w:p>
    <w:p>
      <w:r>
        <w:rPr>
          <w:b/>
        </w:rPr>
        <w:t xml:space="preserve">29 </w:t>
      </w:r>
      <w:r>
        <w:t xml:space="preserve">Stay awake and guard them until you stand before chiefs of the priests and the Levites and chiefs of father-houses in Jerusalem, in the chambers of the house of the Lord.</w:t>
      </w:r>
    </w:p>
    <w:p>
      <w:r>
        <w:rPr>
          <w:b/>
        </w:rPr>
        <w:t xml:space="preserve">30 </w:t>
      </w:r>
      <w:r>
        <w:t xml:space="preserve">And the priests and the Levites received the weight of the silver and the gold and the vessels, to bring them to Jerusalem into the house of our God</w:t>
      </w:r>
      <w:r>
        <w:rPr>
          <w:rStyle w:val="FootnoteReference"/>
        </w:rPr>
        <w:footnoteReference w:id="9679"/>
      </w:r>
      <w:r>
        <w:t xml:space="preserve">.</w:t>
      </w:r>
    </w:p>
    <w:p>
      <w:r>
        <w:rPr>
          <w:b/>
        </w:rPr>
        <w:t xml:space="preserve">31 </w:t>
      </w:r>
      <w:r>
        <w:t xml:space="preserve">And we set out from the river Ahava on twelfth day of the first month to come to Jerusalem, and hand of our God was upon us, and he rescued us from the hand</w:t>
      </w:r>
      <w:r>
        <w:rPr>
          <w:rStyle w:val="FootnoteReference"/>
        </w:rPr>
        <w:footnoteReference w:id="9680"/>
      </w:r>
      <w:r>
        <w:t xml:space="preserve"> of enemy and foe</w:t>
      </w:r>
      <w:r>
        <w:rPr>
          <w:rStyle w:val="FootnoteReference"/>
        </w:rPr>
        <w:footnoteReference w:id="9681"/>
      </w:r>
      <w:r>
        <w:t xml:space="preserve"> on the road.</w:t>
      </w:r>
    </w:p>
    <w:p>
      <w:r>
        <w:rPr>
          <w:b/>
        </w:rPr>
        <w:t xml:space="preserve">32 </w:t>
      </w:r>
      <w:r>
        <w:t xml:space="preserve">And we came to Jerusalem and sat there three days.</w:t>
      </w:r>
    </w:p>
    <w:p>
      <w:r>
        <w:rPr>
          <w:b/>
        </w:rPr>
        <w:t xml:space="preserve">33 </w:t>
      </w:r>
      <w:r>
        <w:t xml:space="preserve">And it happened on fourth day that we weighed</w:t>
      </w:r>
      <w:r>
        <w:rPr>
          <w:rStyle w:val="FootnoteReference"/>
        </w:rPr>
        <w:footnoteReference w:id="9682"/>
      </w:r>
      <w:r>
        <w:t xml:space="preserve"> the silver and the gold and the vessels in the house of our God by the hand of Meremoth</w:t>
      </w:r>
      <w:r>
        <w:rPr>
          <w:rStyle w:val="FootnoteReference"/>
        </w:rPr>
        <w:footnoteReference w:id="9683"/>
      </w:r>
      <w:r>
        <w:t xml:space="preserve"> son of Uriah the priest, and with him Eleazar son of Phinehas, and with them Jozabad son of Jeshua and Noadiah</w:t>
      </w:r>
      <w:r>
        <w:rPr>
          <w:rStyle w:val="FootnoteReference"/>
        </w:rPr>
        <w:footnoteReference w:id="9684"/>
      </w:r>
      <w:r>
        <w:t xml:space="preserve"> son of Benaiah, the Levites,</w:t>
      </w:r>
    </w:p>
    <w:p>
      <w:r>
        <w:rPr>
          <w:b/>
        </w:rPr>
        <w:t xml:space="preserve">34 </w:t>
      </w:r>
      <w:r>
        <w:t xml:space="preserve">by number and by weight, everything, and all the weight was written at that time.</w:t>
      </w:r>
      <w:r>
        <w:rPr>
          <w:rStyle w:val="FootnoteReference"/>
        </w:rPr>
        <w:footnoteReference w:id="9685"/>
      </w:r>
      <w:r>
        <w:t xml:space="preserve"/>
      </w:r>
    </w:p>
    <w:p>
      <w:r>
        <w:rPr>
          <w:b/>
        </w:rPr>
        <w:t xml:space="preserve">35 </w:t>
      </w:r>
      <w:r>
        <w:t xml:space="preserve">Those coming from captivity, sons of exile</w:t>
      </w:r>
      <w:r>
        <w:rPr>
          <w:rStyle w:val="FootnoteReference"/>
        </w:rPr>
        <w:footnoteReference w:id="9686"/>
      </w:r>
      <w:r>
        <w:t xml:space="preserve">, offered whole burnt offerings to God of Israel: twelve calves for all Israel, ninety-six rams, seventy-seven lambs, twelve goat kids for sin, all as whole burnt offerings to the Lord.</w:t>
      </w:r>
    </w:p>
    <w:p>
      <w:r>
        <w:rPr>
          <w:b/>
        </w:rPr>
        <w:t xml:space="preserve">36 </w:t>
      </w:r>
      <w:r>
        <w:t xml:space="preserve">And they gave king's decree to the king's administrators and governors beyond the River, and they honored the people and the house of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when these things were finished, the rulers came near to me saying, People of Israel and the priests and the Levites have not separated</w:t>
      </w:r>
      <w:r>
        <w:rPr>
          <w:rStyle w:val="FootnoteReference"/>
        </w:rPr>
        <w:footnoteReference w:id="9687"/>
      </w:r>
      <w:r>
        <w:t xml:space="preserve"> themselves from the peoples of the lands in their abominations, from the Canaanite, Hittite, Perizzite, Jebusite, Ammonite, Moabite, Moserite</w:t>
      </w:r>
      <w:r>
        <w:rPr>
          <w:rStyle w:val="FootnoteReference"/>
        </w:rPr>
        <w:footnoteReference w:id="9688"/>
      </w:r>
      <w:r>
        <w:t xml:space="preserve">, and Amorite.</w:t>
      </w:r>
    </w:p>
    <w:p>
      <w:r>
        <w:rPr>
          <w:b/>
        </w:rPr>
        <w:t xml:space="preserve">2 </w:t>
      </w:r>
      <w:r>
        <w:t xml:space="preserve">For they took from their daughters for themselves and for their sons, and the holy seed</w:t>
      </w:r>
      <w:r>
        <w:rPr>
          <w:rStyle w:val="FootnoteReference"/>
        </w:rPr>
        <w:footnoteReference w:id="9689"/>
      </w:r>
      <w:r>
        <w:t xml:space="preserve"> was mixed with the peoples of the lands, and hand of the rulers was first in this faithlessness.</w:t>
      </w:r>
    </w:p>
    <w:p>
      <w:r>
        <w:rPr>
          <w:b/>
        </w:rPr>
        <w:t xml:space="preserve">3 </w:t>
      </w:r>
      <w:r>
        <w:t xml:space="preserve">And when I heard this word, I tore my garments and mantle and plucked hair from my head and from my beard and sat devastated.</w:t>
      </w:r>
    </w:p>
    <w:p>
      <w:r>
        <w:rPr>
          <w:b/>
        </w:rPr>
        <w:t xml:space="preserve">4 </w:t>
      </w:r>
      <w:r>
        <w:t xml:space="preserve">And everyone pursuing word of God of Israel was gathered to me over the faithlessness of the exile, and I sat devastated until evening sacrifice.</w:t>
      </w:r>
    </w:p>
    <w:p>
      <w:r>
        <w:rPr>
          <w:b/>
        </w:rPr>
        <w:t xml:space="preserve">5 </w:t>
      </w:r>
      <w:r>
        <w:t xml:space="preserve">And at evening sacrifice I rose from my humbling, and as I tore my garments and mantle I bent upon my knees and spread</w:t>
      </w:r>
      <w:r>
        <w:rPr>
          <w:rStyle w:val="FootnoteReference"/>
        </w:rPr>
        <w:footnoteReference w:id="9690"/>
      </w:r>
      <w:r>
        <w:t xml:space="preserve"> out my hands to the Lord God</w:t>
      </w:r>
    </w:p>
    <w:p>
      <w:r>
        <w:rPr>
          <w:b/>
        </w:rPr>
        <w:t xml:space="preserve">6 </w:t>
      </w:r>
      <w:r>
        <w:t xml:space="preserve">and said, Lord, I was ashamed and embarrassed to lift my face to you, because our lawlessnesses multiplied above our head and our trespasses grew great unto heaven.</w:t>
      </w:r>
    </w:p>
    <w:p>
      <w:r>
        <w:rPr>
          <w:b/>
        </w:rPr>
        <w:t xml:space="preserve">7 </w:t>
      </w:r>
      <w:r>
        <w:t xml:space="preserve">From the days of our fathers we have been in great trespass until this day, and in our lawlessnesses</w:t>
      </w:r>
      <w:r>
        <w:rPr>
          <w:rStyle w:val="FootnoteReference"/>
        </w:rPr>
        <w:footnoteReference w:id="9691"/>
      </w:r>
      <w:r>
        <w:t xml:space="preserve"> we and our kings and our sons were given into the hand</w:t>
      </w:r>
      <w:r>
        <w:rPr>
          <w:rStyle w:val="FootnoteReference"/>
        </w:rPr>
        <w:footnoteReference w:id="9692"/>
      </w:r>
      <w:r>
        <w:t xml:space="preserve"> of kings of the nations, to sword and captivity and plundering and shame of face, as this day.</w:t>
      </w:r>
    </w:p>
    <w:p>
      <w:r>
        <w:rPr>
          <w:b/>
        </w:rPr>
        <w:t xml:space="preserve">8 </w:t>
      </w:r>
      <w:r>
        <w:t xml:space="preserve">And now the Lord our God dealt gently with us, to leave us a remnant</w:t>
      </w:r>
      <w:r>
        <w:rPr>
          <w:rStyle w:val="FootnoteReference"/>
        </w:rPr>
        <w:footnoteReference w:id="9693"/>
      </w:r>
      <w:r>
        <w:t xml:space="preserve"> for salvation and give us a foothold in place of his sanctuary, to enlighten our eyes and give us a little reviving in our slavery.</w:t>
      </w:r>
    </w:p>
    <w:p>
      <w:r>
        <w:rPr>
          <w:b/>
        </w:rPr>
        <w:t xml:space="preserve">9 </w:t>
      </w:r>
      <w:r>
        <w:t xml:space="preserve">For slaves we are, yet in our slavery the Lord our God did not forsake us, and he bent mercy</w:t>
      </w:r>
      <w:r>
        <w:rPr>
          <w:rStyle w:val="FootnoteReference"/>
        </w:rPr>
        <w:footnoteReference w:id="9694"/>
      </w:r>
      <w:r>
        <w:t xml:space="preserve"> upon us before kings of Persia, to give us reviving, to raise up house of our God and restore its desolate places and give us a wall</w:t>
      </w:r>
      <w:r>
        <w:rPr>
          <w:rStyle w:val="FootnoteReference"/>
        </w:rPr>
        <w:footnoteReference w:id="9695"/>
      </w:r>
      <w:r>
        <w:t xml:space="preserve"> in Judah and in Jerusalem.</w:t>
      </w:r>
    </w:p>
    <w:p>
      <w:r>
        <w:rPr>
          <w:b/>
        </w:rPr>
        <w:t xml:space="preserve">10 </w:t>
      </w:r>
      <w:r>
        <w:t xml:space="preserve">And what shall we say</w:t>
      </w:r>
      <w:r>
        <w:rPr>
          <w:rStyle w:val="FootnoteReference"/>
        </w:rPr>
        <w:footnoteReference w:id="9696"/>
      </w:r>
      <w:r>
        <w:t xml:space="preserve">, our God, after this? For we forsook your commandments,</w:t>
      </w:r>
    </w:p>
    <w:p>
      <w:r>
        <w:rPr>
          <w:b/>
        </w:rPr>
        <w:t xml:space="preserve">11 </w:t>
      </w:r>
      <w:r>
        <w:t xml:space="preserve">which you gave by the hand of your servants the prophets, saying, The land into which you enter to inherit it is a land made unclean in uncleanness of peoples of the nations</w:t>
      </w:r>
      <w:r>
        <w:rPr>
          <w:rStyle w:val="FootnoteReference"/>
        </w:rPr>
        <w:footnoteReference w:id="9697"/>
      </w:r>
      <w:r>
        <w:t xml:space="preserve">, in their abominations with which they filled it from one end to the other with their uncleannesses.</w:t>
      </w:r>
    </w:p>
    <w:p>
      <w:r>
        <w:rPr>
          <w:b/>
        </w:rPr>
        <w:t xml:space="preserve">12 </w:t>
      </w:r>
      <w:r>
        <w:t xml:space="preserve">And now do not give your daughters to their sons, and do not take from their daughters for your sons, and do not seek their peace and their good forever</w:t>
      </w:r>
      <w:r>
        <w:rPr>
          <w:rStyle w:val="FootnoteReference"/>
        </w:rPr>
        <w:footnoteReference w:id="9698"/>
      </w:r>
      <w:r>
        <w:t xml:space="preserve">, so that you may grow strong and eat</w:t>
      </w:r>
      <w:r>
        <w:rPr>
          <w:rStyle w:val="FootnoteReference"/>
        </w:rPr>
        <w:footnoteReference w:id="9699"/>
      </w:r>
      <w:r>
        <w:t xml:space="preserve"> good things of the land and leave it as inheritance to your sons forever.</w:t>
      </w:r>
    </w:p>
    <w:p>
      <w:r>
        <w:rPr>
          <w:b/>
        </w:rPr>
        <w:t xml:space="preserve">13 </w:t>
      </w:r>
      <w:r>
        <w:t xml:space="preserve">And after all</w:t>
      </w:r>
      <w:r>
        <w:rPr>
          <w:rStyle w:val="FootnoteReference"/>
        </w:rPr>
        <w:footnoteReference w:id="9700"/>
      </w:r>
      <w:r>
        <w:t xml:space="preserve"> that came upon us for our evil deeds and our great trespass, since you, our God, lightened from our lawlessnesses and gave us such deliverance</w:t>
      </w:r>
      <w:r>
        <w:rPr>
          <w:rStyle w:val="FootnoteReference"/>
        </w:rPr>
        <w:footnoteReference w:id="9701"/>
      </w:r>
      <w:r>
        <w:t xml:space="preserve">,</w:t>
      </w:r>
    </w:p>
    <w:p>
      <w:r>
        <w:rPr>
          <w:b/>
        </w:rPr>
        <w:t xml:space="preserve">14 </w:t>
      </w:r>
      <w:r>
        <w:t xml:space="preserve">shall we turn again to scatter your commandments and intermarry with the peoples of the lands? Do not be angry with us until completion</w:t>
      </w:r>
      <w:r>
        <w:rPr>
          <w:rStyle w:val="FootnoteReference"/>
        </w:rPr>
        <w:footnoteReference w:id="9702"/>
      </w:r>
      <w:r>
        <w:t xml:space="preserve">, so that there be no remnant</w:t>
      </w:r>
      <w:r>
        <w:rPr>
          <w:rStyle w:val="FootnoteReference"/>
        </w:rPr>
        <w:footnoteReference w:id="9703"/>
      </w:r>
      <w:r>
        <w:t xml:space="preserve"> and no one escaping.</w:t>
      </w:r>
    </w:p>
    <w:p>
      <w:r>
        <w:rPr>
          <w:b/>
        </w:rPr>
        <w:t xml:space="preserve">15 </w:t>
      </w:r>
      <w:r>
        <w:t xml:space="preserve">Lord God of Israel, righteous are you, because we were left escaping as this day. Behold, we are before you in our trespasses</w:t>
      </w:r>
      <w:r>
        <w:rPr>
          <w:rStyle w:val="FootnoteReference"/>
        </w:rPr>
        <w:footnoteReference w:id="9704"/>
      </w:r>
      <w:r>
        <w:t xml:space="preserve">, because there is no standing before you on account of this.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as Ezra prayed and confessed, weeping</w:t>
      </w:r>
      <w:r>
        <w:rPr>
          <w:rStyle w:val="FootnoteReference"/>
        </w:rPr>
        <w:footnoteReference w:id="9705"/>
      </w:r>
      <w:r>
        <w:t xml:space="preserve"> and praying before the house of God, a very great assembly from Israel was gathered to him, men and women and young people, because the people wept and lifted up weeping</w:t>
      </w:r>
      <w:r>
        <w:rPr>
          <w:rStyle w:val="FootnoteReference"/>
        </w:rPr>
        <w:footnoteReference w:id="9706"/>
      </w:r>
      <w:r>
        <w:t xml:space="preserve">.</w:t>
      </w:r>
    </w:p>
    <w:p>
      <w:r>
        <w:rPr>
          <w:b/>
        </w:rPr>
        <w:t xml:space="preserve">2 </w:t>
      </w:r>
      <w:r>
        <w:t xml:space="preserve">And Shechaniah</w:t>
      </w:r>
      <w:r>
        <w:rPr>
          <w:rStyle w:val="FootnoteReference"/>
        </w:rPr>
        <w:footnoteReference w:id="9707"/>
      </w:r>
      <w:r>
        <w:t xml:space="preserve"> son of Jehiel, from the sons of Elam, answered and said to Ezra, We acted faithlessly against our God and seated foreign women from the peoples of the land, and now there is patient hope</w:t>
      </w:r>
      <w:r>
        <w:rPr>
          <w:rStyle w:val="FootnoteReference"/>
        </w:rPr>
        <w:footnoteReference w:id="9708"/>
      </w:r>
      <w:r>
        <w:t xml:space="preserve"> for Israel about this.</w:t>
      </w:r>
    </w:p>
    <w:p>
      <w:r>
        <w:rPr>
          <w:b/>
        </w:rPr>
        <w:t xml:space="preserve">3 </w:t>
      </w:r>
      <w:r>
        <w:t xml:space="preserve">And now let us make</w:t>
      </w:r>
      <w:r>
        <w:rPr>
          <w:rStyle w:val="FootnoteReference"/>
        </w:rPr>
        <w:footnoteReference w:id="9709"/>
      </w:r>
      <w:r>
        <w:t xml:space="preserve"> a covenant with our God to put out all the women and those born from them</w:t>
      </w:r>
      <w:r>
        <w:rPr>
          <w:rStyle w:val="FootnoteReference"/>
        </w:rPr>
        <w:footnoteReference w:id="9710"/>
      </w:r>
      <w:r>
        <w:t xml:space="preserve">, according to your counsel. Rise and warn them in the commandments of our God, and let it be according to law.</w:t>
      </w:r>
    </w:p>
    <w:p>
      <w:r>
        <w:rPr>
          <w:b/>
        </w:rPr>
        <w:t xml:space="preserve">4 </w:t>
      </w:r>
      <w:r>
        <w:t xml:space="preserve">Rise, because the matter is on you, and we are with you. Be strong and do it.</w:t>
      </w:r>
    </w:p>
    <w:p>
      <w:r>
        <w:rPr>
          <w:b/>
        </w:rPr>
        <w:t xml:space="preserve">5 </w:t>
      </w:r>
      <w:r>
        <w:t xml:space="preserve">And Ezra rose and made</w:t>
      </w:r>
      <w:r>
        <w:rPr>
          <w:rStyle w:val="FootnoteReference"/>
        </w:rPr>
        <w:footnoteReference w:id="9711"/>
      </w:r>
      <w:r>
        <w:t xml:space="preserve"> the rulers, the priests, and the Levites and all Israel swear to do according to this word, and they swore.</w:t>
      </w:r>
    </w:p>
    <w:p>
      <w:r>
        <w:rPr>
          <w:b/>
        </w:rPr>
        <w:t xml:space="preserve">6 </w:t>
      </w:r>
      <w:r>
        <w:t xml:space="preserve">And Ezra rose from before the house of God and went into the treasury-room</w:t>
      </w:r>
      <w:r>
        <w:rPr>
          <w:rStyle w:val="FootnoteReference"/>
        </w:rPr>
        <w:footnoteReference w:id="9712"/>
      </w:r>
      <w:r>
        <w:t xml:space="preserve"> of Johanan</w:t>
      </w:r>
      <w:r>
        <w:rPr>
          <w:rStyle w:val="FootnoteReference"/>
        </w:rPr>
        <w:footnoteReference w:id="9713"/>
      </w:r>
      <w:r>
        <w:t xml:space="preserve"> son of Eliashib, and he went there. He ate no bread and drank no water, because he mourned over the faithlessness of the exile.</w:t>
      </w:r>
    </w:p>
    <w:p>
      <w:r>
        <w:rPr>
          <w:b/>
        </w:rPr>
        <w:t xml:space="preserve">7 </w:t>
      </w:r>
      <w:r>
        <w:t xml:space="preserve">And they proclaimed through Judah and Jerusalem to all the sons of the exile to gather into Jerusalem.</w:t>
      </w:r>
    </w:p>
    <w:p>
      <w:r>
        <w:rPr>
          <w:b/>
        </w:rPr>
        <w:t xml:space="preserve">8 </w:t>
      </w:r>
      <w:r>
        <w:t xml:space="preserve">And everyone who would not come within three days, according to the counsel of the rulers and the elders, all his substance would be devoted</w:t>
      </w:r>
      <w:r>
        <w:rPr>
          <w:rStyle w:val="FootnoteReference"/>
        </w:rPr>
        <w:footnoteReference w:id="9714"/>
      </w:r>
      <w:r>
        <w:t xml:space="preserve">, and he himself would be separated from assembly of the exile.</w:t>
      </w:r>
    </w:p>
    <w:p>
      <w:r>
        <w:rPr>
          <w:b/>
        </w:rPr>
        <w:t xml:space="preserve">9 </w:t>
      </w:r>
      <w:r>
        <w:t xml:space="preserve">And all the men of Judah and Benjamin gathered into Jerusalem within three days. This was the ninth month</w:t>
      </w:r>
      <w:r>
        <w:rPr>
          <w:rStyle w:val="FootnoteReference"/>
        </w:rPr>
        <w:footnoteReference w:id="9715"/>
      </w:r>
      <w:r>
        <w:t xml:space="preserve">, on twentieth day of the month. And all the people sat in the open square of the house of God, trembling because of the matter and because of the winter.</w:t>
      </w:r>
    </w:p>
    <w:p>
      <w:r>
        <w:rPr>
          <w:b/>
        </w:rPr>
        <w:t xml:space="preserve">10 </w:t>
      </w:r>
      <w:r>
        <w:t xml:space="preserve">And Ezra the priest stood and said to them, You have acted faithlessly and seated foreign women, to add to trespass of Israel.</w:t>
      </w:r>
    </w:p>
    <w:p>
      <w:r>
        <w:rPr>
          <w:b/>
        </w:rPr>
        <w:t xml:space="preserve">11 </w:t>
      </w:r>
      <w:r>
        <w:t xml:space="preserve">And now give praise to the Lord God of your fathers and do what is pleasing before him, and separate</w:t>
      </w:r>
      <w:r>
        <w:rPr>
          <w:rStyle w:val="FootnoteReference"/>
        </w:rPr>
        <w:footnoteReference w:id="9716"/>
      </w:r>
      <w:r>
        <w:t xml:space="preserve"> yourselves from the peoples of the land and from the foreign women.</w:t>
      </w:r>
    </w:p>
    <w:p>
      <w:r>
        <w:rPr>
          <w:b/>
        </w:rPr>
        <w:t xml:space="preserve">12 </w:t>
      </w:r>
      <w:r>
        <w:t xml:space="preserve">And all the assembly answered and said, Great is this word of yours upon us to do.</w:t>
      </w:r>
    </w:p>
    <w:p>
      <w:r>
        <w:rPr>
          <w:b/>
        </w:rPr>
        <w:t xml:space="preserve">13 </w:t>
      </w:r>
      <w:r>
        <w:t xml:space="preserve">But the people are many, and the season is rainy, and there is no strength to stand outside, and the work is not for one day and not for two, because we multiplied wrongdoing in this matter.</w:t>
      </w:r>
    </w:p>
    <w:p>
      <w:r>
        <w:rPr>
          <w:b/>
        </w:rPr>
        <w:t xml:space="preserve">14 </w:t>
      </w:r>
      <w:r>
        <w:t xml:space="preserve">Let our rulers</w:t>
      </w:r>
      <w:r>
        <w:rPr>
          <w:rStyle w:val="FootnoteReference"/>
        </w:rPr>
        <w:footnoteReference w:id="9717"/>
      </w:r>
      <w:r>
        <w:t xml:space="preserve"> stand for the whole assembly, and all in our cities who seated foreign women, let them come at appointed times</w:t>
      </w:r>
      <w:r>
        <w:rPr>
          <w:rStyle w:val="FootnoteReference"/>
        </w:rPr>
        <w:footnoteReference w:id="9718"/>
      </w:r>
      <w:r>
        <w:t xml:space="preserve">, and with them elders of the city by city and judges, to turn away anger of wrath of our God from us concerning this matter.</w:t>
      </w:r>
    </w:p>
    <w:p>
      <w:r>
        <w:rPr>
          <w:b/>
        </w:rPr>
        <w:t xml:space="preserve">15 </w:t>
      </w:r>
      <w:r>
        <w:t xml:space="preserve">Only Jonathan son of Asahel and Jahaziah</w:t>
      </w:r>
      <w:r>
        <w:rPr>
          <w:rStyle w:val="FootnoteReference"/>
        </w:rPr>
        <w:footnoteReference w:id="9719"/>
      </w:r>
      <w:r>
        <w:t xml:space="preserve"> son of Tikvah stood for this, and Meshullam</w:t>
      </w:r>
      <w:r>
        <w:rPr>
          <w:rStyle w:val="FootnoteReference"/>
        </w:rPr>
        <w:footnoteReference w:id="9720"/>
      </w:r>
      <w:r>
        <w:t xml:space="preserve"> and Shabbethai</w:t>
      </w:r>
      <w:r>
        <w:rPr>
          <w:rStyle w:val="FootnoteReference"/>
        </w:rPr>
        <w:footnoteReference w:id="9721"/>
      </w:r>
      <w:r>
        <w:t xml:space="preserve"> the Levite were helping them.</w:t>
      </w:r>
    </w:p>
    <w:p>
      <w:r>
        <w:rPr>
          <w:b/>
        </w:rPr>
        <w:t xml:space="preserve">16 </w:t>
      </w:r>
      <w:r>
        <w:t xml:space="preserve">And the sons of the exile did thus, and Ezra the priest and men, leaders of father-houses by house, all by names, were set apart</w:t>
      </w:r>
      <w:r>
        <w:rPr>
          <w:rStyle w:val="FootnoteReference"/>
        </w:rPr>
        <w:footnoteReference w:id="9722"/>
      </w:r>
      <w:r>
        <w:t xml:space="preserve">, and they sat on the first day of the tenth month to investigate the matter.</w:t>
      </w:r>
    </w:p>
    <w:p>
      <w:r>
        <w:rPr>
          <w:b/>
        </w:rPr>
        <w:t xml:space="preserve">17 </w:t>
      </w:r>
      <w:r>
        <w:t xml:space="preserve">And they finished with all the men who had seated foreign women by first day of the first month.</w:t>
      </w:r>
    </w:p>
    <w:p>
      <w:r>
        <w:rPr>
          <w:b/>
        </w:rPr>
        <w:t xml:space="preserve">18 </w:t>
      </w:r>
      <w:r>
        <w:t xml:space="preserve">And from the sons</w:t>
      </w:r>
      <w:r>
        <w:rPr>
          <w:rStyle w:val="FootnoteReference"/>
        </w:rPr>
        <w:footnoteReference w:id="9723"/>
      </w:r>
      <w:r>
        <w:t xml:space="preserve"> of the priests who had seated foreign women were found these: from the sons of Jeshua son of Jozadak and his brothers, Maaseiah and Eliezer and Jarib and Gedaliah.</w:t>
      </w:r>
    </w:p>
    <w:p>
      <w:r>
        <w:rPr>
          <w:b/>
        </w:rPr>
        <w:t xml:space="preserve">19 </w:t>
      </w:r>
      <w:r>
        <w:t xml:space="preserve">And they gave their hands</w:t>
      </w:r>
      <w:r>
        <w:rPr>
          <w:rStyle w:val="FootnoteReference"/>
        </w:rPr>
        <w:footnoteReference w:id="9724"/>
      </w:r>
      <w:r>
        <w:t xml:space="preserve"> to put out their wives, and for their trespass a ram from the sheep for their trespass.</w:t>
      </w:r>
    </w:p>
    <w:p>
      <w:r>
        <w:rPr>
          <w:b/>
        </w:rPr>
        <w:t xml:space="preserve">20 </w:t>
      </w:r>
      <w:r>
        <w:t xml:space="preserve">And from the sons of Immer</w:t>
      </w:r>
      <w:r>
        <w:rPr>
          <w:rStyle w:val="FootnoteReference"/>
        </w:rPr>
        <w:footnoteReference w:id="9725"/>
      </w:r>
      <w:r>
        <w:t xml:space="preserve">: Anani and Zebadiah.</w:t>
      </w:r>
    </w:p>
    <w:p>
      <w:r>
        <w:rPr>
          <w:b/>
        </w:rPr>
        <w:t xml:space="preserve">21 </w:t>
      </w:r>
      <w:r>
        <w:t xml:space="preserve">And from the sons of Harim</w:t>
      </w:r>
      <w:r>
        <w:rPr>
          <w:rStyle w:val="FootnoteReference"/>
        </w:rPr>
        <w:footnoteReference w:id="9726"/>
      </w:r>
      <w:r>
        <w:t xml:space="preserve">: Maaseiah and Eliah and Shemaiah and Jehiel and Uzziah.</w:t>
      </w:r>
    </w:p>
    <w:p>
      <w:r>
        <w:rPr>
          <w:b/>
        </w:rPr>
        <w:t xml:space="preserve">22 </w:t>
      </w:r>
      <w:r>
        <w:t xml:space="preserve">And from the sons of Pashur</w:t>
      </w:r>
      <w:r>
        <w:rPr>
          <w:rStyle w:val="FootnoteReference"/>
        </w:rPr>
        <w:footnoteReference w:id="9727"/>
      </w:r>
      <w:r>
        <w:t xml:space="preserve">: Elioenai, Maaseiah, Ishmael, Nathanael, Jozabad, and Elasah</w:t>
      </w:r>
      <w:r>
        <w:rPr>
          <w:rStyle w:val="FootnoteReference"/>
        </w:rPr>
        <w:footnoteReference w:id="9728"/>
      </w:r>
      <w:r>
        <w:t xml:space="preserve">.</w:t>
      </w:r>
    </w:p>
    <w:p>
      <w:r>
        <w:rPr>
          <w:b/>
        </w:rPr>
        <w:t xml:space="preserve">23 </w:t>
      </w:r>
      <w:r>
        <w:t xml:space="preserve">And from the Levites: Jozabad</w:t>
      </w:r>
      <w:r>
        <w:rPr>
          <w:rStyle w:val="FootnoteReference"/>
        </w:rPr>
        <w:footnoteReference w:id="9729"/>
      </w:r>
      <w:r>
        <w:t xml:space="preserve"> and Samou and Kelaiah</w:t>
      </w:r>
      <w:r>
        <w:rPr>
          <w:rStyle w:val="FootnoteReference"/>
        </w:rPr>
        <w:footnoteReference w:id="9730"/>
      </w:r>
      <w:r>
        <w:t xml:space="preserve">, he is Kolitas, and Pethahiah and Iodom and Eliezer.</w:t>
      </w:r>
    </w:p>
    <w:p>
      <w:r>
        <w:rPr>
          <w:b/>
        </w:rPr>
        <w:t xml:space="preserve">24 </w:t>
      </w:r>
      <w:r>
        <w:t xml:space="preserve">And from the singers: Eliasaph. And from the gatekeepers: Shillem and Telem</w:t>
      </w:r>
      <w:r>
        <w:rPr>
          <w:rStyle w:val="FootnoteReference"/>
        </w:rPr>
        <w:footnoteReference w:id="9731"/>
      </w:r>
      <w:r>
        <w:t xml:space="preserve"> and Odoue.</w:t>
      </w:r>
    </w:p>
    <w:p>
      <w:r>
        <w:rPr>
          <w:b/>
        </w:rPr>
        <w:t xml:space="preserve">25 </w:t>
      </w:r>
      <w:r>
        <w:t xml:space="preserve">And from Israel, from the sons of Parosh</w:t>
      </w:r>
      <w:r>
        <w:rPr>
          <w:rStyle w:val="FootnoteReference"/>
        </w:rPr>
        <w:footnoteReference w:id="9732"/>
      </w:r>
      <w:r>
        <w:t xml:space="preserve">: Ramiah</w:t>
      </w:r>
      <w:r>
        <w:rPr>
          <w:rStyle w:val="FootnoteReference"/>
        </w:rPr>
        <w:footnoteReference w:id="9733"/>
      </w:r>
      <w:r>
        <w:t xml:space="preserve"> and Iazia and Malchijah and Mijamin and Eleazar and Hashabiah and Benaiah.</w:t>
      </w:r>
    </w:p>
    <w:p>
      <w:r>
        <w:rPr>
          <w:b/>
        </w:rPr>
        <w:t xml:space="preserve">26 </w:t>
      </w:r>
      <w:r>
        <w:t xml:space="preserve">And from the sons of Elam</w:t>
      </w:r>
      <w:r>
        <w:rPr>
          <w:rStyle w:val="FootnoteReference"/>
        </w:rPr>
        <w:footnoteReference w:id="9734"/>
      </w:r>
      <w:r>
        <w:t xml:space="preserve">: Mattaniah and Zechariah and Jehiel and Obadiah and Jeremoth and Eliah.</w:t>
      </w:r>
    </w:p>
    <w:p>
      <w:r>
        <w:rPr>
          <w:b/>
        </w:rPr>
        <w:t xml:space="preserve">27 </w:t>
      </w:r>
      <w:r>
        <w:t xml:space="preserve">And from the sons of Zattu</w:t>
      </w:r>
      <w:r>
        <w:rPr>
          <w:rStyle w:val="FootnoteReference"/>
        </w:rPr>
        <w:footnoteReference w:id="9735"/>
      </w:r>
      <w:r>
        <w:t xml:space="preserve">: Elioenai, Eliashib, Mattaniah, Jeremoth, Zabad, and Oziza.</w:t>
      </w:r>
    </w:p>
    <w:p>
      <w:r>
        <w:rPr>
          <w:b/>
        </w:rPr>
        <w:t xml:space="preserve">28 </w:t>
      </w:r>
      <w:r>
        <w:t xml:space="preserve">And from the sons of Bebai</w:t>
      </w:r>
      <w:r>
        <w:rPr>
          <w:rStyle w:val="FootnoteReference"/>
        </w:rPr>
        <w:footnoteReference w:id="9736"/>
      </w:r>
      <w:r>
        <w:t xml:space="preserve">: Johanan, Hananiah, Zabbai</w:t>
      </w:r>
      <w:r>
        <w:rPr>
          <w:rStyle w:val="FootnoteReference"/>
        </w:rPr>
        <w:footnoteReference w:id="9737"/>
      </w:r>
      <w:r>
        <w:t xml:space="preserve">, Athlai</w:t>
      </w:r>
      <w:r>
        <w:rPr>
          <w:rStyle w:val="FootnoteReference"/>
        </w:rPr>
        <w:footnoteReference w:id="9738"/>
      </w:r>
      <w:r>
        <w:t xml:space="preserve">.</w:t>
      </w:r>
    </w:p>
    <w:p>
      <w:r>
        <w:rPr>
          <w:b/>
        </w:rPr>
        <w:t xml:space="preserve">29 </w:t>
      </w:r>
      <w:r>
        <w:t xml:space="preserve">And from the sons of Bani</w:t>
      </w:r>
      <w:r>
        <w:rPr>
          <w:rStyle w:val="FootnoteReference"/>
        </w:rPr>
        <w:footnoteReference w:id="9739"/>
      </w:r>
      <w:r>
        <w:t xml:space="preserve">: Meshullam, Malluch</w:t>
      </w:r>
      <w:r>
        <w:rPr>
          <w:rStyle w:val="FootnoteReference"/>
        </w:rPr>
        <w:footnoteReference w:id="9740"/>
      </w:r>
      <w:r>
        <w:t xml:space="preserve">, Adaiah, Jashub, Salouia, and Ramoth.</w:t>
      </w:r>
    </w:p>
    <w:p>
      <w:r>
        <w:rPr>
          <w:b/>
        </w:rPr>
        <w:t xml:space="preserve">30 </w:t>
      </w:r>
      <w:r>
        <w:t xml:space="preserve">And from the sons of Pahathmoab</w:t>
      </w:r>
      <w:r>
        <w:rPr>
          <w:rStyle w:val="FootnoteReference"/>
        </w:rPr>
        <w:footnoteReference w:id="9741"/>
      </w:r>
      <w:r>
        <w:t xml:space="preserve">: Edna, Chelal</w:t>
      </w:r>
      <w:r>
        <w:rPr>
          <w:rStyle w:val="FootnoteReference"/>
        </w:rPr>
        <w:footnoteReference w:id="9742"/>
      </w:r>
      <w:r>
        <w:t xml:space="preserve">, Benaiah, Maaseiah, Mattaniah, Bezaleel, Bani, and Manasseh.</w:t>
      </w:r>
    </w:p>
    <w:p>
      <w:r>
        <w:rPr>
          <w:b/>
        </w:rPr>
        <w:t xml:space="preserve">31 </w:t>
      </w:r>
      <w:r>
        <w:t xml:space="preserve">And from the sons of Harim</w:t>
      </w:r>
      <w:r>
        <w:rPr>
          <w:rStyle w:val="FootnoteReference"/>
        </w:rPr>
        <w:footnoteReference w:id="9743"/>
      </w:r>
      <w:r>
        <w:t xml:space="preserve">: Eliezer, Iessia, Malchijah, Shemaiah, Shimeon</w:t>
      </w:r>
      <w:r>
        <w:rPr>
          <w:rStyle w:val="FootnoteReference"/>
        </w:rPr>
        <w:footnoteReference w:id="9744"/>
      </w:r>
      <w:r>
        <w:t xml:space="preserve">,</w:t>
      </w:r>
    </w:p>
    <w:p>
      <w:r>
        <w:rPr>
          <w:b/>
        </w:rPr>
        <w:t xml:space="preserve">32 </w:t>
      </w:r>
      <w:r>
        <w:t xml:space="preserve">Benjamin, Malluch, Samaria.</w:t>
      </w:r>
    </w:p>
    <w:p>
      <w:r>
        <w:rPr>
          <w:b/>
        </w:rPr>
        <w:t xml:space="preserve">33 </w:t>
      </w:r>
      <w:r>
        <w:t xml:space="preserve">And from the sons of Hashum</w:t>
      </w:r>
      <w:r>
        <w:rPr>
          <w:rStyle w:val="FootnoteReference"/>
        </w:rPr>
        <w:footnoteReference w:id="9745"/>
      </w:r>
      <w:r>
        <w:t xml:space="preserve">: Mattenai</w:t>
      </w:r>
      <w:r>
        <w:rPr>
          <w:rStyle w:val="FootnoteReference"/>
        </w:rPr>
        <w:footnoteReference w:id="9746"/>
      </w:r>
      <w:r>
        <w:t xml:space="preserve">, Mathatha, Zabad, Eliphaleph</w:t>
      </w:r>
      <w:r>
        <w:rPr>
          <w:rStyle w:val="FootnoteReference"/>
        </w:rPr>
        <w:footnoteReference w:id="9747"/>
      </w:r>
      <w:r>
        <w:t xml:space="preserve">, Jeremai</w:t>
      </w:r>
      <w:r>
        <w:rPr>
          <w:rStyle w:val="FootnoteReference"/>
        </w:rPr>
        <w:footnoteReference w:id="9748"/>
      </w:r>
      <w:r>
        <w:t xml:space="preserve">, Manasseh, Shimei.</w:t>
      </w:r>
    </w:p>
    <w:p>
      <w:r>
        <w:rPr>
          <w:b/>
        </w:rPr>
        <w:t xml:space="preserve">34 </w:t>
      </w:r>
      <w:r>
        <w:t xml:space="preserve">From the sons of Bani</w:t>
      </w:r>
      <w:r>
        <w:rPr>
          <w:rStyle w:val="FootnoteReference"/>
        </w:rPr>
        <w:footnoteReference w:id="9749"/>
      </w:r>
      <w:r>
        <w:t xml:space="preserve">: Maadai</w:t>
      </w:r>
      <w:r>
        <w:rPr>
          <w:rStyle w:val="FootnoteReference"/>
        </w:rPr>
        <w:footnoteReference w:id="9750"/>
      </w:r>
      <w:r>
        <w:t xml:space="preserve">, Amram, Uel</w:t>
      </w:r>
      <w:r>
        <w:rPr>
          <w:rStyle w:val="FootnoteReference"/>
        </w:rPr>
        <w:footnoteReference w:id="9751"/>
      </w:r>
      <w:r>
        <w:t xml:space="preserve">,</w:t>
      </w:r>
    </w:p>
    <w:p>
      <w:r>
        <w:rPr>
          <w:b/>
        </w:rPr>
        <w:t xml:space="preserve">35 </w:t>
      </w:r>
      <w:r>
        <w:t xml:space="preserve">Benaiah, Bedeiah</w:t>
      </w:r>
      <w:r>
        <w:rPr>
          <w:rStyle w:val="FootnoteReference"/>
        </w:rPr>
        <w:footnoteReference w:id="9752"/>
      </w:r>
      <w:r>
        <w:t xml:space="preserve">, Chelluh</w:t>
      </w:r>
      <w:r>
        <w:rPr>
          <w:rStyle w:val="FootnoteReference"/>
        </w:rPr>
        <w:footnoteReference w:id="9753"/>
      </w:r>
      <w:r>
        <w:t xml:space="preserve">,</w:t>
      </w:r>
    </w:p>
    <w:p>
      <w:r>
        <w:rPr>
          <w:b/>
        </w:rPr>
        <w:t xml:space="preserve">36 </w:t>
      </w:r>
      <w:r>
        <w:t xml:space="preserve">Ouechoa, Meremoth, Eliashib,</w:t>
      </w:r>
    </w:p>
    <w:p>
      <w:r>
        <w:rPr>
          <w:b/>
        </w:rPr>
        <w:t xml:space="preserve">37 </w:t>
      </w:r>
      <w:r>
        <w:t xml:space="preserve">Mattaniah, Mathanai, and they made.</w:t>
      </w:r>
    </w:p>
    <w:p>
      <w:r>
        <w:rPr>
          <w:b/>
        </w:rPr>
        <w:t xml:space="preserve">38 </w:t>
      </w:r>
      <w:r>
        <w:t xml:space="preserve">The sons of Bani and the sons of Shimei,</w:t>
      </w:r>
    </w:p>
    <w:p>
      <w:r>
        <w:rPr>
          <w:b/>
        </w:rPr>
        <w:t xml:space="preserve">39 </w:t>
      </w:r>
      <w:r>
        <w:t xml:space="preserve">and Shelemiah</w:t>
      </w:r>
      <w:r>
        <w:rPr>
          <w:rStyle w:val="FootnoteReference"/>
        </w:rPr>
        <w:footnoteReference w:id="9754"/>
      </w:r>
      <w:r>
        <w:t xml:space="preserve"> and Nathan and Adaiah,</w:t>
      </w:r>
    </w:p>
    <w:p>
      <w:r>
        <w:rPr>
          <w:b/>
        </w:rPr>
        <w:t xml:space="preserve">40 </w:t>
      </w:r>
      <w:r>
        <w:t xml:space="preserve">Machnadebai</w:t>
      </w:r>
      <w:r>
        <w:rPr>
          <w:rStyle w:val="FootnoteReference"/>
        </w:rPr>
        <w:footnoteReference w:id="9755"/>
      </w:r>
      <w:r>
        <w:t xml:space="preserve">, Sese, Sharai</w:t>
      </w:r>
      <w:r>
        <w:rPr>
          <w:rStyle w:val="FootnoteReference"/>
        </w:rPr>
        <w:footnoteReference w:id="9756"/>
      </w:r>
      <w:r>
        <w:t xml:space="preserve">,</w:t>
      </w:r>
    </w:p>
    <w:p>
      <w:r>
        <w:rPr>
          <w:b/>
        </w:rPr>
        <w:t xml:space="preserve">41 </w:t>
      </w:r>
      <w:r>
        <w:t xml:space="preserve">Azareel and Shelemiah and Samaria,</w:t>
      </w:r>
    </w:p>
    <w:p>
      <w:r>
        <w:rPr>
          <w:b/>
        </w:rPr>
        <w:t xml:space="preserve">42 </w:t>
      </w:r>
      <w:r>
        <w:t xml:space="preserve">and Shallum, Amariah, Joseph.</w:t>
      </w:r>
    </w:p>
    <w:p>
      <w:r>
        <w:rPr>
          <w:b/>
        </w:rPr>
        <w:t xml:space="preserve">43 </w:t>
      </w:r>
      <w:r>
        <w:t xml:space="preserve">From the sons of Nebo</w:t>
      </w:r>
      <w:r>
        <w:rPr>
          <w:rStyle w:val="FootnoteReference"/>
        </w:rPr>
        <w:footnoteReference w:id="9757"/>
      </w:r>
      <w:r>
        <w:t xml:space="preserve">: Jehiel, Mattithiah, Zedem, Zebina</w:t>
      </w:r>
      <w:r>
        <w:rPr>
          <w:rStyle w:val="FootnoteReference"/>
        </w:rPr>
        <w:footnoteReference w:id="9758"/>
      </w:r>
      <w:r>
        <w:t xml:space="preserve">, Jahdai, Joel, and Benaiah.</w:t>
      </w:r>
    </w:p>
    <w:p>
      <w:r>
        <w:rPr>
          <w:b/>
        </w:rPr>
        <w:t xml:space="preserve">44 </w:t>
      </w:r>
      <w:r>
        <w:t xml:space="preserve">All these took foreign women and begot sons from them.</w:t>
      </w:r>
    </w:p>
    <w:p>
      <w:r>
        <w:br w:type="page"/>
      </w:r>
    </w:p>
    <w:p>
      <w:pPr>
        <w:pStyle w:val="Heading1"/>
      </w:pPr>
      <w:r>
        <w:t xml:space="preserve">Nehemiah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words of Nehemiah son of Hachaliah</w:t>
      </w:r>
      <w:r>
        <w:rPr>
          <w:rStyle w:val="FootnoteReference"/>
        </w:rPr>
        <w:footnoteReference w:id="9759"/>
      </w:r>
      <w:r>
        <w:t xml:space="preserve">. And it came to be in the month of Chisleu</w:t>
      </w:r>
      <w:r>
        <w:rPr>
          <w:rStyle w:val="FootnoteReference"/>
        </w:rPr>
        <w:footnoteReference w:id="9760"/>
      </w:r>
      <w:r>
        <w:t xml:space="preserve">, in the twentieth year, and I was in Shushan</w:t>
      </w:r>
      <w:r>
        <w:rPr>
          <w:rStyle w:val="FootnoteReference"/>
        </w:rPr>
        <w:footnoteReference w:id="9761"/>
      </w:r>
      <w:r>
        <w:t xml:space="preserve"> the citadel.</w:t>
      </w:r>
    </w:p>
    <w:p>
      <w:r>
        <w:rPr>
          <w:b/>
        </w:rPr>
        <w:t xml:space="preserve">2 </w:t>
      </w:r>
      <w:r>
        <w:t xml:space="preserve">And Anani, one from my brothers, came, he and men of Judah, and I asked</w:t>
      </w:r>
      <w:r>
        <w:rPr>
          <w:rStyle w:val="FootnoteReference"/>
        </w:rPr>
        <w:footnoteReference w:id="9762"/>
      </w:r>
      <w:r>
        <w:t xml:space="preserve"> them concerning the survivors who were left from captivity and concerning Jerusalem.</w:t>
      </w:r>
    </w:p>
    <w:p>
      <w:r>
        <w:rPr>
          <w:b/>
        </w:rPr>
        <w:t xml:space="preserve">3 </w:t>
      </w:r>
      <w:r>
        <w:t xml:space="preserve">And they said to me, The ones left, who were left from captivity there in the province</w:t>
      </w:r>
      <w:r>
        <w:rPr>
          <w:rStyle w:val="FootnoteReference"/>
        </w:rPr>
        <w:footnoteReference w:id="9763"/>
      </w:r>
      <w:r>
        <w:t xml:space="preserve">, are in great evil and reproach</w:t>
      </w:r>
      <w:r>
        <w:rPr>
          <w:rStyle w:val="FootnoteReference"/>
        </w:rPr>
        <w:footnoteReference w:id="9764"/>
      </w:r>
      <w:r>
        <w:t xml:space="preserve">, and walls of Jerusalem are broken down and its gates have been burned with fire.</w:t>
      </w:r>
    </w:p>
    <w:p>
      <w:r>
        <w:rPr>
          <w:b/>
        </w:rPr>
        <w:t xml:space="preserve">4 </w:t>
      </w:r>
      <w:r>
        <w:t xml:space="preserve">And it came to be when I heard these words, I sat and wept and mourned for days, and I was fasting and praying before the God</w:t>
      </w:r>
      <w:r>
        <w:rPr>
          <w:rStyle w:val="FootnoteReference"/>
        </w:rPr>
        <w:footnoteReference w:id="9765"/>
      </w:r>
      <w:r>
        <w:t xml:space="preserve"> of heaven.</w:t>
      </w:r>
    </w:p>
    <w:p>
      <w:r>
        <w:rPr>
          <w:b/>
        </w:rPr>
        <w:t xml:space="preserve">5 </w:t>
      </w:r>
      <w:r>
        <w:t xml:space="preserve">And I said, Please, O Lord God of heaven, strong, great, and fearful, keeping the covenant and the mercy</w:t>
      </w:r>
      <w:r>
        <w:rPr>
          <w:rStyle w:val="FootnoteReference"/>
        </w:rPr>
        <w:footnoteReference w:id="9766"/>
      </w:r>
      <w:r>
        <w:t xml:space="preserve"> for those loving him and keeping his commandments,</w:t>
      </w:r>
    </w:p>
    <w:p>
      <w:r>
        <w:rPr>
          <w:b/>
        </w:rPr>
        <w:t xml:space="preserve">6 </w:t>
      </w:r>
      <w:r>
        <w:t xml:space="preserve">let your ear now be attentive and your eyes open to hear prayer of your servant which I pray before you today, day and night</w:t>
      </w:r>
      <w:r>
        <w:rPr>
          <w:rStyle w:val="FootnoteReference"/>
        </w:rPr>
        <w:footnoteReference w:id="9767"/>
      </w:r>
      <w:r>
        <w:t xml:space="preserve">, concerning the sons of Israel your servants, and I confess over sins of sons of Israel, which we sinned against you; both I and house of my father sinned.</w:t>
      </w:r>
    </w:p>
    <w:p>
      <w:r>
        <w:rPr>
          <w:b/>
        </w:rPr>
        <w:t xml:space="preserve">7 </w:t>
      </w:r>
      <w:r>
        <w:t xml:space="preserve">In ruin we were ruined toward you, and we did not keep the commandments</w:t>
      </w:r>
      <w:r>
        <w:rPr>
          <w:rStyle w:val="FootnoteReference"/>
        </w:rPr>
        <w:footnoteReference w:id="9768"/>
      </w:r>
      <w:r>
        <w:t xml:space="preserve"> and the ordinances and the judgments which you commanded Moses your servant.</w:t>
      </w:r>
    </w:p>
    <w:p>
      <w:r>
        <w:rPr>
          <w:b/>
        </w:rPr>
        <w:t xml:space="preserve">8 </w:t>
      </w:r>
      <w:r>
        <w:t xml:space="preserve">Remember</w:t>
      </w:r>
      <w:r>
        <w:rPr>
          <w:rStyle w:val="FootnoteReference"/>
        </w:rPr>
        <w:footnoteReference w:id="9769"/>
      </w:r>
      <w:r>
        <w:t xml:space="preserve">, please, the word which you commanded Moses your servant, saying, If you act faithlessly, I will scatter you among the peoples.</w:t>
      </w:r>
    </w:p>
    <w:p>
      <w:r>
        <w:rPr>
          <w:b/>
        </w:rPr>
        <w:t xml:space="preserve">9 </w:t>
      </w:r>
      <w:r>
        <w:t xml:space="preserve">But if you return to me and keep my commandments and do them, even if your dispersion is from the edge of heaven</w:t>
      </w:r>
      <w:r>
        <w:rPr>
          <w:rStyle w:val="FootnoteReference"/>
        </w:rPr>
        <w:footnoteReference w:id="9770"/>
      </w:r>
      <w:r>
        <w:t xml:space="preserve">, from there I will gather them and bring them into the place</w:t>
      </w:r>
      <w:r>
        <w:rPr>
          <w:rStyle w:val="FootnoteReference"/>
        </w:rPr>
        <w:footnoteReference w:id="9771"/>
      </w:r>
      <w:r>
        <w:t xml:space="preserve"> which I chose for my name to dwell there.</w:t>
      </w:r>
    </w:p>
    <w:p>
      <w:r>
        <w:rPr>
          <w:b/>
        </w:rPr>
        <w:t xml:space="preserve">10 </w:t>
      </w:r>
      <w:r>
        <w:t xml:space="preserve">And they are your servants and your people, whom you redeemed by your great power and your strong hand</w:t>
      </w:r>
      <w:r>
        <w:rPr>
          <w:rStyle w:val="FootnoteReference"/>
        </w:rPr>
        <w:footnoteReference w:id="9772"/>
      </w:r>
      <w:r>
        <w:t xml:space="preserve">.</w:t>
      </w:r>
    </w:p>
    <w:p>
      <w:r>
        <w:rPr>
          <w:b/>
        </w:rPr>
        <w:t xml:space="preserve">11 </w:t>
      </w:r>
      <w:r>
        <w:t xml:space="preserve">Please, Lord, let your ear be attentive to the prayer of your servant and to the prayer of your servants who desire</w:t>
      </w:r>
      <w:r>
        <w:rPr>
          <w:rStyle w:val="FootnoteReference"/>
        </w:rPr>
        <w:footnoteReference w:id="9773"/>
      </w:r>
      <w:r>
        <w:t xml:space="preserve"> to fear your name, and prosper your servant today and give him for compassions before this man</w:t>
      </w:r>
      <w:r>
        <w:rPr>
          <w:rStyle w:val="FootnoteReference"/>
        </w:rPr>
        <w:footnoteReference w:id="9774"/>
      </w:r>
      <w:r>
        <w:t xml:space="preserve">. And I was cupbearer to the king.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it came to be in month Nisan</w:t>
      </w:r>
      <w:r>
        <w:rPr>
          <w:rStyle w:val="FootnoteReference"/>
        </w:rPr>
        <w:footnoteReference w:id="9775"/>
      </w:r>
      <w:r>
        <w:t xml:space="preserve">, twentieth year of King Artaxerxes, and wine was before me</w:t>
      </w:r>
      <w:r>
        <w:rPr>
          <w:rStyle w:val="FootnoteReference"/>
        </w:rPr>
        <w:footnoteReference w:id="9776"/>
      </w:r>
      <w:r>
        <w:t xml:space="preserve">, and I took the wine and gave it to the king, and I had not been sad before him.</w:t>
      </w:r>
      <w:r>
        <w:rPr>
          <w:rStyle w:val="FootnoteReference"/>
        </w:rPr>
        <w:footnoteReference w:id="9777"/>
      </w:r>
    </w:p>
    <w:p>
      <w:r>
        <w:rPr>
          <w:b/>
        </w:rPr>
        <w:t xml:space="preserve">2 </w:t>
      </w:r>
      <w:r>
        <w:t xml:space="preserve">And the king said to me, Why is your face troubled while you are not sick? This is nothing except trouble of heart. And I feared very greatly,</w:t>
      </w:r>
    </w:p>
    <w:p>
      <w:r>
        <w:rPr>
          <w:b/>
        </w:rPr>
        <w:t xml:space="preserve">3 </w:t>
      </w:r>
      <w:r>
        <w:t xml:space="preserve">and I said to the king, Let the king</w:t>
      </w:r>
      <w:r>
        <w:rPr>
          <w:rStyle w:val="FootnoteReference"/>
        </w:rPr>
        <w:footnoteReference w:id="9778"/>
      </w:r>
      <w:r>
        <w:t xml:space="preserve"> live forever. Why should my face not be troubled, because the city, house of the tombs of my fathers, was laid waste and its gates were devoured by fire?</w:t>
      </w:r>
    </w:p>
    <w:p>
      <w:r>
        <w:rPr>
          <w:b/>
        </w:rPr>
        <w:t xml:space="preserve">4 </w:t>
      </w:r>
      <w:r>
        <w:t xml:space="preserve">And the king said to me, For what</w:t>
      </w:r>
      <w:r>
        <w:rPr>
          <w:rStyle w:val="FootnoteReference"/>
        </w:rPr>
        <w:footnoteReference w:id="9779"/>
      </w:r>
      <w:r>
        <w:t xml:space="preserve"> do you seek this? And I prayed to the God of heaven,</w:t>
      </w:r>
    </w:p>
    <w:p>
      <w:r>
        <w:rPr>
          <w:b/>
        </w:rPr>
        <w:t xml:space="preserve">5 </w:t>
      </w:r>
      <w:r>
        <w:t xml:space="preserve">and I said to the king, If it seems good to the king, and if your servant will be dealt well with before you, send him to Judah, to the city of the tombs of my fathers, and I will rebuild it.</w:t>
      </w:r>
    </w:p>
    <w:p>
      <w:r>
        <w:rPr>
          <w:b/>
        </w:rPr>
        <w:t xml:space="preserve">6 </w:t>
      </w:r>
      <w:r>
        <w:t xml:space="preserve">And the king and the concubine sitting beside him said to me, Until when will your journey be, and when will you return? And it seemed good before the king, and he sent me, and I gave him a time.</w:t>
      </w:r>
    </w:p>
    <w:p>
      <w:r>
        <w:rPr>
          <w:b/>
        </w:rPr>
        <w:t xml:space="preserve">7 </w:t>
      </w:r>
      <w:r>
        <w:t xml:space="preserve">And I said to the king, If it seems good to the king, let letters</w:t>
      </w:r>
      <w:r>
        <w:rPr>
          <w:rStyle w:val="FootnoteReference"/>
        </w:rPr>
        <w:footnoteReference w:id="9780"/>
      </w:r>
      <w:r>
        <w:t xml:space="preserve"> be given to me for governors beyond the River, so that they may send me through until I come to Judah,</w:t>
      </w:r>
    </w:p>
    <w:p>
      <w:r>
        <w:rPr>
          <w:b/>
        </w:rPr>
        <w:t xml:space="preserve">8 </w:t>
      </w:r>
      <w:r>
        <w:t xml:space="preserve">and a letter to Asaph, keeper of the king's park, so that he may give me timbers to roof the gates</w:t>
      </w:r>
      <w:r>
        <w:rPr>
          <w:rStyle w:val="FootnoteReference"/>
        </w:rPr>
        <w:footnoteReference w:id="9781"/>
      </w:r>
      <w:r>
        <w:t xml:space="preserve"> of the citadel belonging to the house and for the wall</w:t>
      </w:r>
      <w:r>
        <w:rPr>
          <w:rStyle w:val="FootnoteReference"/>
        </w:rPr>
        <w:footnoteReference w:id="9782"/>
      </w:r>
      <w:r>
        <w:t xml:space="preserve"> of the city and for the house into which I will enter. And the king gave to me, as the good hand of God was upon me.</w:t>
      </w:r>
    </w:p>
    <w:p>
      <w:r>
        <w:rPr>
          <w:b/>
        </w:rPr>
        <w:t xml:space="preserve">9 </w:t>
      </w:r>
      <w:r>
        <w:t xml:space="preserve">And I came to the governors</w:t>
      </w:r>
      <w:r>
        <w:rPr>
          <w:rStyle w:val="FootnoteReference"/>
        </w:rPr>
        <w:footnoteReference w:id="9783"/>
      </w:r>
      <w:r>
        <w:t xml:space="preserve"> beyond the River and gave to them letters of the king, and the king sent with me leaders of force and horsemen.</w:t>
      </w:r>
    </w:p>
    <w:p>
      <w:r>
        <w:rPr>
          <w:b/>
        </w:rPr>
        <w:t xml:space="preserve">10 </w:t>
      </w:r>
      <w:r>
        <w:t xml:space="preserve">And Sanballat</w:t>
      </w:r>
      <w:r>
        <w:rPr>
          <w:rStyle w:val="FootnoteReference"/>
        </w:rPr>
        <w:footnoteReference w:id="9784"/>
      </w:r>
      <w:r>
        <w:t xml:space="preserve"> the Horonite</w:t>
      </w:r>
      <w:r>
        <w:rPr>
          <w:rStyle w:val="FootnoteReference"/>
        </w:rPr>
        <w:footnoteReference w:id="9785"/>
      </w:r>
      <w:r>
        <w:t xml:space="preserve"> heard, and Tobiah the servant, the Ammonite, and it became evil to them that a man had come to seek good for the sons of Israel.</w:t>
      </w:r>
      <w:r>
        <w:rPr>
          <w:rStyle w:val="FootnoteReference"/>
        </w:rPr>
        <w:footnoteReference w:id="9786"/>
      </w:r>
    </w:p>
    <w:p>
      <w:r>
        <w:rPr>
          <w:b/>
        </w:rPr>
        <w:t xml:space="preserve">11 </w:t>
      </w:r>
      <w:r>
        <w:t xml:space="preserve">And I came to Jerusalem and was there three days.</w:t>
      </w:r>
    </w:p>
    <w:p>
      <w:r>
        <w:rPr>
          <w:b/>
        </w:rPr>
        <w:t xml:space="preserve">12 </w:t>
      </w:r>
      <w:r>
        <w:t xml:space="preserve">And I rose by night, I and a few men with me, and I did not tell any man what God was giving in my heart to do with Israel, and no beast was with me except the beast on which I rode.</w:t>
      </w:r>
    </w:p>
    <w:p>
      <w:r>
        <w:rPr>
          <w:b/>
        </w:rPr>
        <w:t xml:space="preserve">13 </w:t>
      </w:r>
      <w:r>
        <w:t xml:space="preserve">And I went out by night through the gate</w:t>
      </w:r>
      <w:r>
        <w:rPr>
          <w:rStyle w:val="FootnoteReference"/>
        </w:rPr>
        <w:footnoteReference w:id="9787"/>
      </w:r>
      <w:r>
        <w:t xml:space="preserve"> of Goleila and toward mouth of spring of the figs and to the gate of the dung-heaps, and I was inspecting wall of Jerusalem, which they are pulling down, and its gates were devoured by fire.</w:t>
      </w:r>
      <w:r>
        <w:rPr>
          <w:rStyle w:val="FootnoteReference"/>
        </w:rPr>
        <w:footnoteReference w:id="9788"/>
      </w:r>
    </w:p>
    <w:p>
      <w:r>
        <w:rPr>
          <w:b/>
        </w:rPr>
        <w:t xml:space="preserve">14 </w:t>
      </w:r>
      <w:r>
        <w:t xml:space="preserve">And I passed on to the gate of Ain</w:t>
      </w:r>
      <w:r>
        <w:rPr>
          <w:rStyle w:val="FootnoteReference"/>
        </w:rPr>
        <w:footnoteReference w:id="9789"/>
      </w:r>
      <w:r>
        <w:t xml:space="preserve"> and to the king's pool, and there was no place for the beast under me to pass.</w:t>
      </w:r>
    </w:p>
    <w:p>
      <w:r>
        <w:rPr>
          <w:b/>
        </w:rPr>
        <w:t xml:space="preserve">15 </w:t>
      </w:r>
      <w:r>
        <w:t xml:space="preserve">And I was going up by night along wall of the torrent and was inspecting the wall, and I went in by the gate</w:t>
      </w:r>
      <w:r>
        <w:rPr>
          <w:rStyle w:val="FootnoteReference"/>
        </w:rPr>
        <w:footnoteReference w:id="9790"/>
      </w:r>
      <w:r>
        <w:t xml:space="preserve"> of the gorge and returned.</w:t>
      </w:r>
    </w:p>
    <w:p>
      <w:r>
        <w:rPr>
          <w:b/>
        </w:rPr>
        <w:t xml:space="preserve">16 </w:t>
      </w:r>
      <w:r>
        <w:t xml:space="preserve">And the guards did not know where I went and what I was doing, and to the Jews and to the priests and to the nobles and to the generals and to the rest doing the works I had not told it until then.</w:t>
      </w:r>
    </w:p>
    <w:p>
      <w:r>
        <w:rPr>
          <w:b/>
        </w:rPr>
        <w:t xml:space="preserve">17 </w:t>
      </w:r>
      <w:r>
        <w:t xml:space="preserve">And I said to them, You see the evil in which we are, how Jerusalem lies waste and its gates were given to fire</w:t>
      </w:r>
      <w:r>
        <w:rPr>
          <w:rStyle w:val="FootnoteReference"/>
        </w:rPr>
        <w:footnoteReference w:id="9791"/>
      </w:r>
      <w:r>
        <w:t xml:space="preserve">. Come, let us rebuild wall of Jerusalem, and we will no longer be a reproach</w:t>
      </w:r>
      <w:r>
        <w:rPr>
          <w:rStyle w:val="FootnoteReference"/>
        </w:rPr>
        <w:footnoteReference w:id="9792"/>
      </w:r>
      <w:r>
        <w:t xml:space="preserve">.</w:t>
      </w:r>
    </w:p>
    <w:p>
      <w:r>
        <w:rPr>
          <w:b/>
        </w:rPr>
        <w:t xml:space="preserve">18 </w:t>
      </w:r>
      <w:r>
        <w:t xml:space="preserve">And I told them of the hand of God</w:t>
      </w:r>
      <w:r>
        <w:rPr>
          <w:rStyle w:val="FootnoteReference"/>
        </w:rPr>
        <w:footnoteReference w:id="9793"/>
      </w:r>
      <w:r>
        <w:t xml:space="preserve">, that it is good upon me, and of the words of the king which he spoke to me. And they said, Let us rise and build. And their hands were strengthened for good.</w:t>
      </w:r>
      <w:r>
        <w:rPr>
          <w:rStyle w:val="FootnoteReference"/>
        </w:rPr>
        <w:footnoteReference w:id="9794"/>
      </w:r>
    </w:p>
    <w:p>
      <w:r>
        <w:rPr>
          <w:b/>
        </w:rPr>
        <w:t xml:space="preserve">19 </w:t>
      </w:r>
      <w:r>
        <w:t xml:space="preserve">And Sanballat</w:t>
      </w:r>
      <w:r>
        <w:rPr>
          <w:rStyle w:val="FootnoteReference"/>
        </w:rPr>
        <w:footnoteReference w:id="9795"/>
      </w:r>
      <w:r>
        <w:t xml:space="preserve"> the Horonite and Tobiah the servant the Ammonite and Geshem</w:t>
      </w:r>
      <w:r>
        <w:rPr>
          <w:rStyle w:val="FootnoteReference"/>
        </w:rPr>
        <w:footnoteReference w:id="9796"/>
      </w:r>
      <w:r>
        <w:t xml:space="preserve"> the Arab</w:t>
      </w:r>
      <w:r>
        <w:rPr>
          <w:rStyle w:val="FootnoteReference"/>
        </w:rPr>
        <w:footnoteReference w:id="9797"/>
      </w:r>
      <w:r>
        <w:t xml:space="preserve"> heard and mocked us and came against us and said, What is this thing</w:t>
      </w:r>
      <w:r>
        <w:rPr>
          <w:rStyle w:val="FootnoteReference"/>
        </w:rPr>
        <w:footnoteReference w:id="9798"/>
      </w:r>
      <w:r>
        <w:t xml:space="preserve"> you are doing? Are you rebelling against the king?</w:t>
      </w:r>
    </w:p>
    <w:p>
      <w:r>
        <w:rPr>
          <w:b/>
        </w:rPr>
        <w:t xml:space="preserve">20 </w:t>
      </w:r>
      <w:r>
        <w:t xml:space="preserve">And I answered them with a word and said to them, The God</w:t>
      </w:r>
      <w:r>
        <w:rPr>
          <w:rStyle w:val="FootnoteReference"/>
        </w:rPr>
        <w:footnoteReference w:id="9799"/>
      </w:r>
      <w:r>
        <w:t xml:space="preserve"> of heaven, he will prosper us, and we his servants are clean and will build, but to you there is no share and no right and no memorial in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Eliashib</w:t>
      </w:r>
      <w:r>
        <w:rPr>
          <w:rStyle w:val="FootnoteReference"/>
        </w:rPr>
        <w:footnoteReference w:id="9800"/>
      </w:r>
      <w:r>
        <w:t xml:space="preserve"> the high priest and his brothers the priests rose up and built the Sheep Gate. They sanctified it and set up its doors, and sanctified it as far as Tower of Hundred, as far as Tower of Hananeel</w:t>
      </w:r>
      <w:r>
        <w:rPr>
          <w:rStyle w:val="FootnoteReference"/>
        </w:rPr>
        <w:footnoteReference w:id="9801"/>
      </w:r>
      <w:r>
        <w:t xml:space="preserve">.</w:t>
      </w:r>
    </w:p>
    <w:p>
      <w:r>
        <w:rPr>
          <w:b/>
        </w:rPr>
        <w:t xml:space="preserve">2 </w:t>
      </w:r>
      <w:r>
        <w:t xml:space="preserve">And next to them were sons of men of Jericho, and next to them sons of Zaccur</w:t>
      </w:r>
      <w:r>
        <w:rPr>
          <w:rStyle w:val="FootnoteReference"/>
        </w:rPr>
        <w:footnoteReference w:id="9802"/>
      </w:r>
      <w:r>
        <w:t xml:space="preserve"> son of Imri</w:t>
      </w:r>
      <w:r>
        <w:rPr>
          <w:rStyle w:val="FootnoteReference"/>
        </w:rPr>
        <w:footnoteReference w:id="9803"/>
      </w:r>
      <w:r>
        <w:t xml:space="preserve">.</w:t>
      </w:r>
    </w:p>
    <w:p>
      <w:r>
        <w:rPr>
          <w:b/>
        </w:rPr>
        <w:t xml:space="preserve">3 </w:t>
      </w:r>
      <w:r>
        <w:t xml:space="preserve">And sons of Hassenaah</w:t>
      </w:r>
      <w:r>
        <w:rPr>
          <w:rStyle w:val="FootnoteReference"/>
        </w:rPr>
        <w:footnoteReference w:id="9804"/>
      </w:r>
      <w:r>
        <w:t xml:space="preserve"> built the Fish Gate</w:t>
      </w:r>
      <w:r>
        <w:rPr>
          <w:rStyle w:val="FootnoteReference"/>
        </w:rPr>
        <w:footnoteReference w:id="9805"/>
      </w:r>
      <w:r>
        <w:t xml:space="preserve">. They roofed it and set its doors, its bolts, and its bars.</w:t>
      </w:r>
    </w:p>
    <w:p>
      <w:r>
        <w:rPr>
          <w:b/>
        </w:rPr>
        <w:t xml:space="preserve">4 </w:t>
      </w:r>
      <w:r>
        <w:t xml:space="preserve">And next to them Meremoth</w:t>
      </w:r>
      <w:r>
        <w:rPr>
          <w:rStyle w:val="FootnoteReference"/>
        </w:rPr>
        <w:footnoteReference w:id="9806"/>
      </w:r>
      <w:r>
        <w:t xml:space="preserve"> son of Urijah son of Koz repaired, and next to them Meshullam son of Berechiah son of Meshezabeel</w:t>
      </w:r>
      <w:r>
        <w:rPr>
          <w:rStyle w:val="FootnoteReference"/>
        </w:rPr>
        <w:footnoteReference w:id="9807"/>
      </w:r>
      <w:r>
        <w:t xml:space="preserve"> repaired, and next to them Zadok son of Baana repaired.</w:t>
      </w:r>
    </w:p>
    <w:p>
      <w:r>
        <w:rPr>
          <w:b/>
        </w:rPr>
        <w:t xml:space="preserve">5 </w:t>
      </w:r>
      <w:r>
        <w:t xml:space="preserve">And next to them the Tekoites</w:t>
      </w:r>
      <w:r>
        <w:rPr>
          <w:rStyle w:val="FootnoteReference"/>
        </w:rPr>
        <w:footnoteReference w:id="9808"/>
      </w:r>
      <w:r>
        <w:t xml:space="preserve"> repaired, but their nobles did not bring their neck into service</w:t>
      </w:r>
      <w:r>
        <w:rPr>
          <w:rStyle w:val="FootnoteReference"/>
        </w:rPr>
        <w:footnoteReference w:id="9809"/>
      </w:r>
      <w:r>
        <w:t xml:space="preserve"> of their lord.</w:t>
      </w:r>
      <w:r>
        <w:rPr>
          <w:rStyle w:val="FootnoteReference"/>
        </w:rPr>
        <w:footnoteReference w:id="9810"/>
      </w:r>
    </w:p>
    <w:p>
      <w:r>
        <w:rPr>
          <w:b/>
        </w:rPr>
        <w:t xml:space="preserve">6 </w:t>
      </w:r>
      <w:r>
        <w:t xml:space="preserve">And Ioda son of Phasek and Meshullam son of Basodia repaired the Old Gate. They roofed it and set its doors, its bolts, and its bars.</w:t>
      </w:r>
    </w:p>
    <w:p>
      <w:r>
        <w:rPr>
          <w:b/>
        </w:rPr>
        <w:t xml:space="preserve">8 </w:t>
      </w:r>
      <w:r>
        <w:t xml:space="preserve">And next to them Hananiah son of the perfumers repaired, and they left Jerusalem as far as the Broad Wall</w:t>
      </w:r>
      <w:r>
        <w:rPr>
          <w:rStyle w:val="FootnoteReference"/>
        </w:rPr>
        <w:footnoteReference w:id="9811"/>
      </w:r>
      <w:r>
        <w:t xml:space="preserve">.</w:t>
      </w:r>
    </w:p>
    <w:p>
      <w:r>
        <w:rPr>
          <w:b/>
        </w:rPr>
        <w:t xml:space="preserve">9 </w:t>
      </w:r>
      <w:r>
        <w:t xml:space="preserve">And next to them Rephaiah, ruler of half district of Jerusalem, repaired.</w:t>
      </w:r>
      <w:r>
        <w:rPr>
          <w:rStyle w:val="FootnoteReference"/>
        </w:rPr>
        <w:footnoteReference w:id="9812"/>
      </w:r>
    </w:p>
    <w:p>
      <w:r>
        <w:rPr>
          <w:b/>
        </w:rPr>
        <w:t xml:space="preserve">10 </w:t>
      </w:r>
      <w:r>
        <w:t xml:space="preserve">And next to them Jedaiah son of Harumaph</w:t>
      </w:r>
      <w:r>
        <w:rPr>
          <w:rStyle w:val="FootnoteReference"/>
        </w:rPr>
        <w:footnoteReference w:id="9813"/>
      </w:r>
      <w:r>
        <w:t xml:space="preserve"> repaired opposite his house, and next to him Hattush</w:t>
      </w:r>
      <w:r>
        <w:rPr>
          <w:rStyle w:val="FootnoteReference"/>
        </w:rPr>
        <w:footnoteReference w:id="9814"/>
      </w:r>
      <w:r>
        <w:t xml:space="preserve"> son of Hashabniah</w:t>
      </w:r>
      <w:r>
        <w:rPr>
          <w:rStyle w:val="FootnoteReference"/>
        </w:rPr>
        <w:footnoteReference w:id="9815"/>
      </w:r>
      <w:r>
        <w:t xml:space="preserve"> repaired.</w:t>
      </w:r>
    </w:p>
    <w:p>
      <w:r>
        <w:rPr>
          <w:b/>
        </w:rPr>
        <w:t xml:space="preserve">11 </w:t>
      </w:r>
      <w:r>
        <w:t xml:space="preserve">A second section Malchiah</w:t>
      </w:r>
      <w:r>
        <w:rPr>
          <w:rStyle w:val="FootnoteReference"/>
        </w:rPr>
        <w:footnoteReference w:id="9816"/>
      </w:r>
      <w:r>
        <w:t xml:space="preserve"> son of Harim</w:t>
      </w:r>
      <w:r>
        <w:rPr>
          <w:rStyle w:val="FootnoteReference"/>
        </w:rPr>
        <w:footnoteReference w:id="9817"/>
      </w:r>
      <w:r>
        <w:t xml:space="preserve"> and Shobek</w:t>
      </w:r>
      <w:r>
        <w:rPr>
          <w:rStyle w:val="FootnoteReference"/>
        </w:rPr>
        <w:footnoteReference w:id="9818"/>
      </w:r>
      <w:r>
        <w:t xml:space="preserve"> son of Pahathmoab repaired, and as far as Tower of Ovens.</w:t>
      </w:r>
    </w:p>
    <w:p>
      <w:r>
        <w:rPr>
          <w:b/>
        </w:rPr>
        <w:t xml:space="preserve">12 </w:t>
      </w:r>
      <w:r>
        <w:t xml:space="preserve">And next to him Shallum son of Alloes, ruler of half district of Jerusalem, repaired, he and his daughters</w:t>
      </w:r>
      <w:r>
        <w:rPr>
          <w:rStyle w:val="FootnoteReference"/>
        </w:rPr>
        <w:footnoteReference w:id="9819"/>
      </w:r>
      <w:r>
        <w:t xml:space="preserve">.</w:t>
      </w:r>
    </w:p>
    <w:p>
      <w:r>
        <w:rPr>
          <w:b/>
        </w:rPr>
        <w:t xml:space="preserve">13 </w:t>
      </w:r>
      <w:r>
        <w:t xml:space="preserve">Hanun and inhabitants of Zanoah</w:t>
      </w:r>
      <w:r>
        <w:rPr>
          <w:rStyle w:val="FootnoteReference"/>
        </w:rPr>
        <w:footnoteReference w:id="9820"/>
      </w:r>
      <w:r>
        <w:t xml:space="preserve"> repaired Valley Gate. They built it and set its doors, its bolts, and its bars, and one thousand cubits on the wall, as far as Dung Gate.</w:t>
      </w:r>
    </w:p>
    <w:p>
      <w:r>
        <w:rPr>
          <w:b/>
        </w:rPr>
        <w:t xml:space="preserve">14 </w:t>
      </w:r>
      <w:r>
        <w:t xml:space="preserve">And Malchiah son of Rechab, ruler of district of Bethacharm, repaired Dung Gate, he and his sons. They roofed it and set its doors, its bolts, and its bars.</w:t>
      </w:r>
    </w:p>
    <w:p>
      <w:r>
        <w:rPr>
          <w:b/>
        </w:rPr>
        <w:t xml:space="preserve">15 </w:t>
      </w:r>
      <w:r>
        <w:t xml:space="preserve">And the wall of pool of Kodia</w:t>
      </w:r>
      <w:r>
        <w:rPr>
          <w:rStyle w:val="FootnoteReference"/>
        </w:rPr>
        <w:footnoteReference w:id="9821"/>
      </w:r>
      <w:r>
        <w:t xml:space="preserve"> at the king's garden, and as far as the stairs</w:t>
      </w:r>
      <w:r>
        <w:rPr>
          <w:rStyle w:val="FootnoteReference"/>
        </w:rPr>
        <w:footnoteReference w:id="9822"/>
      </w:r>
      <w:r>
        <w:t xml:space="preserve"> going down from the city of David.</w:t>
      </w:r>
    </w:p>
    <w:p>
      <w:r>
        <w:rPr>
          <w:b/>
        </w:rPr>
        <w:t xml:space="preserve">16 </w:t>
      </w:r>
      <w:r>
        <w:t xml:space="preserve">After him Nehemiah son of Azabouch, ruler of half district of Bethzur</w:t>
      </w:r>
      <w:r>
        <w:rPr>
          <w:rStyle w:val="FootnoteReference"/>
        </w:rPr>
        <w:footnoteReference w:id="9823"/>
      </w:r>
      <w:r>
        <w:t xml:space="preserve">, repaired as far as garden of tomb of David and as far as pool that was made and as far as House of the Mighty Men.</w:t>
      </w:r>
    </w:p>
    <w:p>
      <w:r>
        <w:rPr>
          <w:b/>
        </w:rPr>
        <w:t xml:space="preserve">17 </w:t>
      </w:r>
      <w:r>
        <w:t xml:space="preserve">After him the Levites repaired: Rehum son of Bani. Next to him Hashabiah, ruler of half district of Keilah</w:t>
      </w:r>
      <w:r>
        <w:rPr>
          <w:rStyle w:val="FootnoteReference"/>
        </w:rPr>
        <w:footnoteReference w:id="9824"/>
      </w:r>
      <w:r>
        <w:t xml:space="preserve">, repaired for his district.</w:t>
      </w:r>
    </w:p>
    <w:p>
      <w:r>
        <w:rPr>
          <w:b/>
        </w:rPr>
        <w:t xml:space="preserve">18 </w:t>
      </w:r>
      <w:r>
        <w:t xml:space="preserve">After him their brothers repaired: Beni son of Henadad, ruler of half district of Keilah.</w:t>
      </w:r>
    </w:p>
    <w:p>
      <w:r>
        <w:rPr>
          <w:b/>
        </w:rPr>
        <w:t xml:space="preserve">19 </w:t>
      </w:r>
      <w:r>
        <w:t xml:space="preserve">And next to him Ezer son of Jeshua</w:t>
      </w:r>
      <w:r>
        <w:rPr>
          <w:rStyle w:val="FootnoteReference"/>
        </w:rPr>
        <w:footnoteReference w:id="9825"/>
      </w:r>
      <w:r>
        <w:t xml:space="preserve">, ruler of Mizpah, repaired a second measure from the tower of ascent adjoining the angle.</w:t>
      </w:r>
    </w:p>
    <w:p>
      <w:r>
        <w:rPr>
          <w:b/>
        </w:rPr>
        <w:t xml:space="preserve">20 </w:t>
      </w:r>
      <w:r>
        <w:t xml:space="preserve">After him Baruch son of Zabbai repaired a second measure, from the angle to the door of the house of Eliashib</w:t>
      </w:r>
      <w:r>
        <w:rPr>
          <w:rStyle w:val="FootnoteReference"/>
        </w:rPr>
        <w:footnoteReference w:id="9826"/>
      </w:r>
      <w:r>
        <w:t xml:space="preserve"> the high priest.</w:t>
      </w:r>
    </w:p>
    <w:p>
      <w:r>
        <w:rPr>
          <w:b/>
        </w:rPr>
        <w:t xml:space="preserve">21 </w:t>
      </w:r>
      <w:r>
        <w:t xml:space="preserve">After him Meremoth</w:t>
      </w:r>
      <w:r>
        <w:rPr>
          <w:rStyle w:val="FootnoteReference"/>
        </w:rPr>
        <w:footnoteReference w:id="9827"/>
      </w:r>
      <w:r>
        <w:t xml:space="preserve"> son of Urijah son of Koz repaired a second measure, from the door of the house of Eliashib to the end of the house of Eliashib.</w:t>
      </w:r>
    </w:p>
    <w:p>
      <w:r>
        <w:rPr>
          <w:b/>
        </w:rPr>
        <w:t xml:space="preserve">22 </w:t>
      </w:r>
      <w:r>
        <w:t xml:space="preserve">And after him the priests, men of Achechar, repaired.</w:t>
      </w:r>
    </w:p>
    <w:p>
      <w:r>
        <w:rPr>
          <w:b/>
        </w:rPr>
        <w:t xml:space="preserve">23 </w:t>
      </w:r>
      <w:r>
        <w:t xml:space="preserve">And after him Benjamin and Shobek repaired opposite their house. After him Azariah</w:t>
      </w:r>
      <w:r>
        <w:rPr>
          <w:rStyle w:val="FootnoteReference"/>
        </w:rPr>
        <w:footnoteReference w:id="9828"/>
      </w:r>
      <w:r>
        <w:t xml:space="preserve"> son of Amasai son of Hananiah repaired beside his house.</w:t>
      </w:r>
    </w:p>
    <w:p>
      <w:r>
        <w:rPr>
          <w:b/>
        </w:rPr>
        <w:t xml:space="preserve">24 </w:t>
      </w:r>
      <w:r>
        <w:t xml:space="preserve">After him Bani son of Henadad repaired a second measure, from the house of Azariah to the angle and to the turning</w:t>
      </w:r>
      <w:r>
        <w:rPr>
          <w:rStyle w:val="FootnoteReference"/>
        </w:rPr>
        <w:footnoteReference w:id="9829"/>
      </w:r>
      <w:r>
        <w:t xml:space="preserve">.</w:t>
      </w:r>
    </w:p>
    <w:p>
      <w:r>
        <w:rPr>
          <w:b/>
        </w:rPr>
        <w:t xml:space="preserve">25 </w:t>
      </w:r>
      <w:r>
        <w:t xml:space="preserve">Palal</w:t>
      </w:r>
      <w:r>
        <w:rPr>
          <w:rStyle w:val="FootnoteReference"/>
        </w:rPr>
        <w:footnoteReference w:id="9830"/>
      </w:r>
      <w:r>
        <w:t xml:space="preserve"> son of Uzai</w:t>
      </w:r>
      <w:r>
        <w:rPr>
          <w:rStyle w:val="FootnoteReference"/>
        </w:rPr>
        <w:footnoteReference w:id="9831"/>
      </w:r>
      <w:r>
        <w:t xml:space="preserve"> repaired opposite the angle and the tower projecting from upper house of the king, the one at court of the guard, and after him Pedaiah</w:t>
      </w:r>
      <w:r>
        <w:rPr>
          <w:rStyle w:val="FootnoteReference"/>
        </w:rPr>
        <w:footnoteReference w:id="9832"/>
      </w:r>
      <w:r>
        <w:t xml:space="preserve"> son of Parosh.</w:t>
      </w:r>
    </w:p>
    <w:p>
      <w:r>
        <w:rPr>
          <w:b/>
        </w:rPr>
        <w:t xml:space="preserve">26 </w:t>
      </w:r>
      <w:r>
        <w:t xml:space="preserve">And the nethinim were dwelling in the Ophel</w:t>
      </w:r>
      <w:r>
        <w:rPr>
          <w:rStyle w:val="FootnoteReference"/>
        </w:rPr>
        <w:footnoteReference w:id="9833"/>
      </w:r>
      <w:r>
        <w:t xml:space="preserve"> as far as Water Gate eastward and the projecting tower.</w:t>
      </w:r>
    </w:p>
    <w:p>
      <w:r>
        <w:rPr>
          <w:b/>
        </w:rPr>
        <w:t xml:space="preserve">27 </w:t>
      </w:r>
      <w:r>
        <w:t xml:space="preserve">After him the Tekoites</w:t>
      </w:r>
      <w:r>
        <w:rPr>
          <w:rStyle w:val="FootnoteReference"/>
        </w:rPr>
        <w:footnoteReference w:id="9834"/>
      </w:r>
      <w:r>
        <w:t xml:space="preserve"> repaired a second measure, opposite the great projecting tower and as far as wall of Ophel.</w:t>
      </w:r>
    </w:p>
    <w:p>
      <w:r>
        <w:rPr>
          <w:b/>
        </w:rPr>
        <w:t xml:space="preserve">28 </w:t>
      </w:r>
      <w:r>
        <w:t xml:space="preserve">Above Horse Gate the priests repaired, each opposite his own house.</w:t>
      </w:r>
    </w:p>
    <w:p>
      <w:r>
        <w:rPr>
          <w:b/>
        </w:rPr>
        <w:t xml:space="preserve">29 </w:t>
      </w:r>
      <w:r>
        <w:t xml:space="preserve">After him Zadok son of Immer repaired opposite his house, and after him Shemaiah son of Shecaniah, keeper of East Gate, repaired.</w:t>
      </w:r>
    </w:p>
    <w:p>
      <w:r>
        <w:rPr>
          <w:b/>
        </w:rPr>
        <w:t xml:space="preserve">30 </w:t>
      </w:r>
      <w:r>
        <w:t xml:space="preserve">After him Hananiah son of Shelemiah and Hanun son of Zalaph</w:t>
      </w:r>
      <w:r>
        <w:rPr>
          <w:rStyle w:val="FootnoteReference"/>
        </w:rPr>
        <w:footnoteReference w:id="9835"/>
      </w:r>
      <w:r>
        <w:t xml:space="preserve">, the sixth, repaired a second measure. After him Meshullam</w:t>
      </w:r>
      <w:r>
        <w:rPr>
          <w:rStyle w:val="FootnoteReference"/>
        </w:rPr>
        <w:footnoteReference w:id="9836"/>
      </w:r>
      <w:r>
        <w:t xml:space="preserve"> son of Berechiah repaired opposite his treasury-room.</w:t>
      </w:r>
    </w:p>
    <w:p>
      <w:r>
        <w:rPr>
          <w:b/>
        </w:rPr>
        <w:t xml:space="preserve">31 </w:t>
      </w:r>
      <w:r>
        <w:t xml:space="preserve">After him Malchijah son of the goldsmith repaired as far as house of the nethinim and the traders, opposite Gate of the Mustering and as far as ascent of the turning.</w:t>
      </w:r>
    </w:p>
    <w:p>
      <w:r>
        <w:rPr>
          <w:b/>
        </w:rPr>
        <w:t xml:space="preserve">32 </w:t>
      </w:r>
      <w:r>
        <w:t xml:space="preserve">And between ascent of the turning and Sheep Gate the smiths and the traders repaired.</w:t>
      </w:r>
    </w:p>
    <w:p>
      <w:r>
        <w:rPr>
          <w:b/>
        </w:rPr>
        <w:t xml:space="preserve">33 </w:t>
      </w:r>
      <w:r>
        <w:t xml:space="preserve">And it came to be when Sanballat heard that we are building the wall, it was evil to him and he became very angry and mocked the Jews.</w:t>
      </w:r>
    </w:p>
    <w:p>
      <w:r>
        <w:rPr>
          <w:b/>
        </w:rPr>
        <w:t xml:space="preserve">34 </w:t>
      </w:r>
      <w:r>
        <w:t xml:space="preserve">And he said before his brothers, This force of Samaria, that these Jews build their own city?</w:t>
      </w:r>
    </w:p>
    <w:p>
      <w:r>
        <w:rPr>
          <w:b/>
        </w:rPr>
        <w:t xml:space="preserve">35 </w:t>
      </w:r>
      <w:r>
        <w:t xml:space="preserve">And Tobiah the Ammonite beside him came, and they said among themselves, Will they not sacrifice or eat on their place? Surely a fox will go up and tear down wall of their stones.</w:t>
      </w:r>
    </w:p>
    <w:p>
      <w:r>
        <w:rPr>
          <w:b/>
        </w:rPr>
        <w:t xml:space="preserve">36 </w:t>
      </w:r>
      <w:r>
        <w:t xml:space="preserve">Hear, our God, because we became a mockery, and turn their reproach upon their own head and give them for mockery in the land of captivity.</w:t>
      </w:r>
    </w:p>
    <w:p>
      <w:r>
        <w:rPr>
          <w:b/>
        </w:rPr>
        <w:t xml:space="preserve">37 </w:t>
      </w:r>
      <w:r>
        <w:t xml:space="preserve">And do not cover over their lawlessness.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it came to be as Sanballat</w:t>
      </w:r>
      <w:r>
        <w:rPr>
          <w:rStyle w:val="FootnoteReference"/>
        </w:rPr>
        <w:footnoteReference w:id="9837"/>
      </w:r>
      <w:r>
        <w:t xml:space="preserve"> and Tobiah and the Arabs and the Ammonites heard that growth had come to walls of Jerusalem, that the breaches began to be closed, it seemed very evil to them.</w:t>
      </w:r>
    </w:p>
    <w:p>
      <w:r>
        <w:rPr>
          <w:b/>
        </w:rPr>
        <w:t xml:space="preserve">2 </w:t>
      </w:r>
      <w:r>
        <w:t xml:space="preserve">And they all gathered together to come to array against Jerusalem.</w:t>
      </w:r>
      <w:r>
        <w:rPr>
          <w:rStyle w:val="FootnoteReference"/>
        </w:rPr>
        <w:footnoteReference w:id="9838"/>
      </w:r>
      <w:r>
        <w:t xml:space="preserve"/>
      </w:r>
    </w:p>
    <w:p>
      <w:r>
        <w:rPr>
          <w:b/>
        </w:rPr>
        <w:t xml:space="preserve">3 </w:t>
      </w:r>
      <w:r>
        <w:t xml:space="preserve">And we prayed to our God and set guards over them day and night because of them.</w:t>
      </w:r>
      <w:r>
        <w:rPr>
          <w:rStyle w:val="FootnoteReference"/>
        </w:rPr>
        <w:footnoteReference w:id="9839"/>
      </w:r>
      <w:r>
        <w:t xml:space="preserve"/>
      </w:r>
      <w:r>
        <w:rPr>
          <w:rStyle w:val="FootnoteReference"/>
        </w:rPr>
        <w:footnoteReference w:id="9840"/>
      </w:r>
    </w:p>
    <w:p>
      <w:r>
        <w:rPr>
          <w:b/>
        </w:rPr>
        <w:t xml:space="preserve">4 </w:t>
      </w:r>
      <w:r>
        <w:t xml:space="preserve">And Judah said, The strength of the enemies was crushed, and the dust is much, and we shall not be able to build on the wall.</w:t>
      </w:r>
      <w:r>
        <w:rPr>
          <w:rStyle w:val="FootnoteReference"/>
        </w:rPr>
        <w:footnoteReference w:id="9841"/>
      </w:r>
    </w:p>
    <w:p>
      <w:r>
        <w:rPr>
          <w:b/>
        </w:rPr>
        <w:t xml:space="preserve">5 </w:t>
      </w:r>
      <w:r>
        <w:t xml:space="preserve">And those afflicting us said, They will not know and they will not see until we come into their midst and kill them and stop the work.</w:t>
      </w:r>
      <w:r>
        <w:rPr>
          <w:rStyle w:val="FootnoteReference"/>
        </w:rPr>
        <w:footnoteReference w:id="9842"/>
      </w:r>
    </w:p>
    <w:p>
      <w:r>
        <w:rPr>
          <w:b/>
        </w:rPr>
        <w:t xml:space="preserve">6 </w:t>
      </w:r>
      <w:r>
        <w:t xml:space="preserve">And it came to be when the Jews dwelling near them came and said to us, They are coming up against us from all the places.</w:t>
      </w:r>
    </w:p>
    <w:p>
      <w:r>
        <w:rPr>
          <w:b/>
        </w:rPr>
        <w:t xml:space="preserve">7 </w:t>
      </w:r>
      <w:r>
        <w:t xml:space="preserve">And I stationed in the lowest parts of the place behind the wall, in the sheltered places, and I stationed the people by clans with their swords, their spears, and their bows.</w:t>
      </w:r>
      <w:r>
        <w:rPr>
          <w:rStyle w:val="FootnoteReference"/>
        </w:rPr>
        <w:footnoteReference w:id="9843"/>
      </w:r>
    </w:p>
    <w:p>
      <w:r>
        <w:rPr>
          <w:b/>
        </w:rPr>
        <w:t xml:space="preserve">8 </w:t>
      </w:r>
      <w:r>
        <w:t xml:space="preserve">And I looked and rose and said to the nobles and the generals and the rest of the people, Do not fear before them. Remember our God, the great and fearful, and array yourselves for your brothers, your sons and daughters, your wives and your houses.</w:t>
      </w:r>
      <w:r>
        <w:rPr>
          <w:rStyle w:val="FootnoteReference"/>
        </w:rPr>
        <w:footnoteReference w:id="9844"/>
      </w:r>
    </w:p>
    <w:p>
      <w:r>
        <w:rPr>
          <w:b/>
        </w:rPr>
        <w:t xml:space="preserve">9 </w:t>
      </w:r>
      <w:r>
        <w:t xml:space="preserve">And it came to be when our enemies heard that it had become known to us and God scattered their counsel, we all returned to the wall, each man to his own work.</w:t>
      </w:r>
    </w:p>
    <w:p>
      <w:r>
        <w:rPr>
          <w:b/>
        </w:rPr>
        <w:t xml:space="preserve">10 </w:t>
      </w:r>
      <w:r>
        <w:t xml:space="preserve">And it came to be from that day, half of those shaken out were doing the work, and half of them were holding spears and shields and bows and breastplates, and the rulers were behind the whole house of Judah.</w:t>
      </w:r>
    </w:p>
    <w:p>
      <w:r>
        <w:rPr>
          <w:b/>
        </w:rPr>
        <w:t xml:space="preserve">11 </w:t>
      </w:r>
      <w:r>
        <w:t xml:space="preserve">Those building on the wall and those carrying in the loads, in arms, with one hand each was doing the work and one was holding the dart.</w:t>
      </w:r>
    </w:p>
    <w:p>
      <w:r>
        <w:rPr>
          <w:b/>
        </w:rPr>
        <w:t xml:space="preserve">12 </w:t>
      </w:r>
      <w:r>
        <w:t xml:space="preserve">And the builders, each man girded his sword upon his loins, and they were building, and the one sounding on the horn was beside him.</w:t>
      </w:r>
    </w:p>
    <w:p>
      <w:r>
        <w:rPr>
          <w:b/>
        </w:rPr>
        <w:t xml:space="preserve">13 </w:t>
      </w:r>
      <w:r>
        <w:t xml:space="preserve">And I said to the nobles and to the rulers and to the rest of the people, The work is wide and much, and we are scattered on the wall, far each man from his brother.</w:t>
      </w:r>
    </w:p>
    <w:p>
      <w:r>
        <w:rPr>
          <w:b/>
        </w:rPr>
        <w:t xml:space="preserve">14 </w:t>
      </w:r>
      <w:r>
        <w:t xml:space="preserve">In place where you hear the sound of the horn</w:t>
      </w:r>
      <w:r>
        <w:rPr>
          <w:rStyle w:val="FootnoteReference"/>
        </w:rPr>
        <w:footnoteReference w:id="9845"/>
      </w:r>
      <w:r>
        <w:t xml:space="preserve">, there you shall gather to us, and our God will fight</w:t>
      </w:r>
      <w:r>
        <w:rPr>
          <w:rStyle w:val="FootnoteReference"/>
        </w:rPr>
        <w:footnoteReference w:id="9846"/>
      </w:r>
      <w:r>
        <w:t xml:space="preserve"> for us.</w:t>
      </w:r>
    </w:p>
    <w:p>
      <w:r>
        <w:rPr>
          <w:b/>
        </w:rPr>
        <w:t xml:space="preserve">15 </w:t>
      </w:r>
      <w:r>
        <w:t xml:space="preserve">And we were doing the work, and half of them were holding the spears</w:t>
      </w:r>
      <w:r>
        <w:rPr>
          <w:rStyle w:val="FootnoteReference"/>
        </w:rPr>
        <w:footnoteReference w:id="9847"/>
      </w:r>
      <w:r>
        <w:t xml:space="preserve"> from the rising of dawn until coming out of the stars.</w:t>
      </w:r>
    </w:p>
    <w:p>
      <w:r>
        <w:rPr>
          <w:b/>
        </w:rPr>
        <w:t xml:space="preserve">16 </w:t>
      </w:r>
      <w:r>
        <w:t xml:space="preserve">And at that time I said to the people, Lodge inside Jerusalem, and let the night be a watch for you and the day a work</w:t>
      </w:r>
      <w:r>
        <w:rPr>
          <w:rStyle w:val="FootnoteReference"/>
        </w:rPr>
        <w:footnoteReference w:id="9848"/>
      </w:r>
      <w:r>
        <w:t xml:space="preserve">.</w:t>
      </w:r>
    </w:p>
    <w:p>
      <w:r>
        <w:rPr>
          <w:b/>
        </w:rPr>
        <w:t xml:space="preserve">17 </w:t>
      </w:r>
      <w:r>
        <w:t xml:space="preserve">And I and men of the watch behind me, not one of us was taking off his clothes.</w:t>
      </w:r>
      <w:r>
        <w:rPr>
          <w:rStyle w:val="FootnoteReference"/>
        </w:rPr>
        <w:footnoteReference w:id="9849"/>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cry of the people and of their women was great against their brothers the Jews.</w:t>
      </w:r>
    </w:p>
    <w:p>
      <w:r>
        <w:rPr>
          <w:b/>
        </w:rPr>
        <w:t xml:space="preserve">2 </w:t>
      </w:r>
      <w:r>
        <w:t xml:space="preserve">And some were saying, In our sons</w:t>
      </w:r>
      <w:r>
        <w:rPr>
          <w:rStyle w:val="FootnoteReference"/>
        </w:rPr>
        <w:footnoteReference w:id="9850"/>
      </w:r>
      <w:r>
        <w:t xml:space="preserve"> and in our daughters we are many, and we shall get grain and eat and live.</w:t>
      </w:r>
    </w:p>
    <w:p>
      <w:r>
        <w:rPr>
          <w:b/>
        </w:rPr>
        <w:t xml:space="preserve">3 </w:t>
      </w:r>
      <w:r>
        <w:t xml:space="preserve">And some were saying, Our fields and our vineyards and our houses we are pledging, and we shall get grain and eat.</w:t>
      </w:r>
    </w:p>
    <w:p>
      <w:r>
        <w:rPr>
          <w:b/>
        </w:rPr>
        <w:t xml:space="preserve">4 </w:t>
      </w:r>
      <w:r>
        <w:t xml:space="preserve">And some were saying, We borrowed silver for taxes of the king on our fields and our vineyards and our houses.</w:t>
      </w:r>
    </w:p>
    <w:p>
      <w:r>
        <w:rPr>
          <w:b/>
        </w:rPr>
        <w:t xml:space="preserve">5 </w:t>
      </w:r>
      <w:r>
        <w:t xml:space="preserve">And now flesh of our brothers is our flesh</w:t>
      </w:r>
      <w:r>
        <w:rPr>
          <w:rStyle w:val="FootnoteReference"/>
        </w:rPr>
        <w:footnoteReference w:id="9851"/>
      </w:r>
      <w:r>
        <w:t xml:space="preserve">, as their sons are our sons, and behold we oppress our sons and our daughters into slavery</w:t>
      </w:r>
      <w:r>
        <w:rPr>
          <w:rStyle w:val="FootnoteReference"/>
        </w:rPr>
        <w:footnoteReference w:id="9852"/>
      </w:r>
      <w:r>
        <w:t xml:space="preserve">, and some from our daughters are being oppressed, and there is no power in our hands, and our fields and our vineyards belong to the nobles.</w:t>
      </w:r>
    </w:p>
    <w:p>
      <w:r>
        <w:rPr>
          <w:b/>
        </w:rPr>
        <w:t xml:space="preserve">6 </w:t>
      </w:r>
      <w:r>
        <w:t xml:space="preserve">And I was very grieved when I heard their cry and these words.</w:t>
      </w:r>
    </w:p>
    <w:p>
      <w:r>
        <w:rPr>
          <w:b/>
        </w:rPr>
        <w:t xml:space="preserve">7 </w:t>
      </w:r>
      <w:r>
        <w:t xml:space="preserve">And my heart counseled within me, and I contended with the nobles and the rulers and said to them, Each man demands from his brother? You are demanding. And I set against them a great assembly.</w:t>
      </w:r>
    </w:p>
    <w:p>
      <w:r>
        <w:rPr>
          <w:b/>
        </w:rPr>
        <w:t xml:space="preserve">8 </w:t>
      </w:r>
      <w:r>
        <w:t xml:space="preserve">And I said to them, We bought our brothers</w:t>
      </w:r>
      <w:r>
        <w:rPr>
          <w:rStyle w:val="FootnoteReference"/>
        </w:rPr>
        <w:footnoteReference w:id="9853"/>
      </w:r>
      <w:r>
        <w:t xml:space="preserve"> the Jews, those sold to the nations, according to our will, and you sell your</w:t>
      </w:r>
      <w:r>
        <w:rPr>
          <w:rStyle w:val="FootnoteReference"/>
        </w:rPr>
        <w:footnoteReference w:id="9854"/>
      </w:r>
      <w:r>
        <w:t xml:space="preserve"> brothers? And they were silent and found no word.</w:t>
      </w:r>
    </w:p>
    <w:p>
      <w:r>
        <w:rPr>
          <w:b/>
        </w:rPr>
        <w:t xml:space="preserve">9 </w:t>
      </w:r>
      <w:r>
        <w:t xml:space="preserve">And I said, The thing you are doing is not good. Should you not thus walk</w:t>
      </w:r>
      <w:r>
        <w:rPr>
          <w:rStyle w:val="FootnoteReference"/>
        </w:rPr>
        <w:footnoteReference w:id="9855"/>
      </w:r>
      <w:r>
        <w:t xml:space="preserve"> in fear of our God, away from reproach of nations our enemies?</w:t>
      </w:r>
    </w:p>
    <w:p>
      <w:r>
        <w:rPr>
          <w:b/>
        </w:rPr>
        <w:t xml:space="preserve">10 </w:t>
      </w:r>
      <w:r>
        <w:t xml:space="preserve">And my brothers and my acquaintances and I placed silver and grain among them. Let us leave</w:t>
      </w:r>
      <w:r>
        <w:rPr>
          <w:rStyle w:val="FootnoteReference"/>
        </w:rPr>
        <w:footnoteReference w:id="9856"/>
      </w:r>
      <w:r>
        <w:t xml:space="preserve"> off this demand.</w:t>
      </w:r>
    </w:p>
    <w:p>
      <w:r>
        <w:rPr>
          <w:b/>
        </w:rPr>
        <w:t xml:space="preserve">11 </w:t>
      </w:r>
      <w:r>
        <w:t xml:space="preserve">Return to them today their fields, their vineyards, their oliveyards, and their houses, and bring out to them</w:t>
      </w:r>
      <w:r>
        <w:rPr>
          <w:rStyle w:val="FootnoteReference"/>
        </w:rPr>
        <w:footnoteReference w:id="9857"/>
      </w:r>
      <w:r>
        <w:t xml:space="preserve"> from the silver and the grain and the wine and the oil.</w:t>
      </w:r>
    </w:p>
    <w:p>
      <w:r>
        <w:rPr>
          <w:b/>
        </w:rPr>
        <w:t xml:space="preserve">12 </w:t>
      </w:r>
      <w:r>
        <w:t xml:space="preserve">And they said, We will give it back and will not ask from them; thus we will do as you say. And I called</w:t>
      </w:r>
      <w:r>
        <w:rPr>
          <w:rStyle w:val="FootnoteReference"/>
        </w:rPr>
        <w:footnoteReference w:id="9858"/>
      </w:r>
      <w:r>
        <w:t xml:space="preserve"> the priests and made them swear to do according to this word.</w:t>
      </w:r>
    </w:p>
    <w:p>
      <w:r>
        <w:rPr>
          <w:b/>
        </w:rPr>
        <w:t xml:space="preserve">13 </w:t>
      </w:r>
      <w:r>
        <w:t xml:space="preserve">And I shook out my fold</w:t>
      </w:r>
      <w:r>
        <w:rPr>
          <w:rStyle w:val="FootnoteReference"/>
        </w:rPr>
        <w:footnoteReference w:id="9859"/>
      </w:r>
      <w:r>
        <w:t xml:space="preserve"> and said, Thus may God shake out every man who does not fulfill this word, from his house and from his labor, and thus may he be shaken out and empty. And all the assembly said, Amen</w:t>
      </w:r>
      <w:r>
        <w:rPr>
          <w:rStyle w:val="FootnoteReference"/>
        </w:rPr>
        <w:footnoteReference w:id="9860"/>
      </w:r>
      <w:r>
        <w:t xml:space="preserve">, and they praised the Lord, and the people did this word.</w:t>
      </w:r>
    </w:p>
    <w:p>
      <w:r>
        <w:rPr>
          <w:b/>
        </w:rPr>
        <w:t xml:space="preserve">14 </w:t>
      </w:r>
      <w:r>
        <w:t xml:space="preserve">From the day when he commanded me to be governor over them in the land of Judah, from twentieth year until thirty-second year of Artaxerxes, twelve years, I and my</w:t>
      </w:r>
      <w:r>
        <w:rPr>
          <w:rStyle w:val="FootnoteReference"/>
        </w:rPr>
        <w:footnoteReference w:id="9861"/>
      </w:r>
      <w:r>
        <w:t xml:space="preserve"> brothers did not eat their exaction</w:t>
      </w:r>
      <w:r>
        <w:rPr>
          <w:rStyle w:val="FootnoteReference"/>
        </w:rPr>
        <w:footnoteReference w:id="9862"/>
      </w:r>
      <w:r>
        <w:t xml:space="preserve">.</w:t>
      </w:r>
    </w:p>
    <w:p>
      <w:r>
        <w:rPr>
          <w:b/>
        </w:rPr>
        <w:t xml:space="preserve">15 </w:t>
      </w:r>
      <w:r>
        <w:t xml:space="preserve">But the first exactions which were before me weighed heavily upon them, and they took from them in breads and in wine, at last forty didrachmas of silver</w:t>
      </w:r>
      <w:r>
        <w:rPr>
          <w:rStyle w:val="FootnoteReference"/>
        </w:rPr>
        <w:footnoteReference w:id="9863"/>
      </w:r>
      <w:r>
        <w:t xml:space="preserve">, and those shaken out from them exercised power over the people. But I did not do so because of fear of God.</w:t>
      </w:r>
    </w:p>
    <w:p>
      <w:r>
        <w:rPr>
          <w:b/>
        </w:rPr>
        <w:t xml:space="preserve">16 </w:t>
      </w:r>
      <w:r>
        <w:t xml:space="preserve">And in work of this wall I did not take possession of field, I did not acquire any, and all gathered there were for the work.</w:t>
      </w:r>
    </w:p>
    <w:p>
      <w:r>
        <w:rPr>
          <w:b/>
        </w:rPr>
        <w:t xml:space="preserve">17 </w:t>
      </w:r>
      <w:r>
        <w:t xml:space="preserve">And one hundred fifty Jews men, and those coming to us from the nations around us, were at my table</w:t>
      </w:r>
      <w:r>
        <w:rPr>
          <w:rStyle w:val="FootnoteReference"/>
        </w:rPr>
        <w:footnoteReference w:id="9864"/>
      </w:r>
      <w:r>
        <w:t xml:space="preserve">.</w:t>
      </w:r>
      <w:r>
        <w:rPr>
          <w:rStyle w:val="FootnoteReference"/>
        </w:rPr>
        <w:footnoteReference w:id="9865"/>
      </w:r>
    </w:p>
    <w:p>
      <w:r>
        <w:rPr>
          <w:b/>
        </w:rPr>
        <w:t xml:space="preserve">18 </w:t>
      </w:r>
      <w:r>
        <w:t xml:space="preserve">And what was made for one day was one calf, and six choice sheep, and a goat were made for me, and every ten days wine in abundance for all. Yet with these I did not seek bread of exaction</w:t>
      </w:r>
      <w:r>
        <w:rPr>
          <w:rStyle w:val="FootnoteReference"/>
        </w:rPr>
        <w:footnoteReference w:id="9866"/>
      </w:r>
      <w:r>
        <w:t xml:space="preserve">, because service was heavy upon this people.</w:t>
      </w:r>
    </w:p>
    <w:p>
      <w:r>
        <w:rPr>
          <w:b/>
        </w:rPr>
        <w:t xml:space="preserve">19 </w:t>
      </w:r>
      <w:r>
        <w:t xml:space="preserve">Remember me, O God, for good, all that I did for this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it came to be as Sanballat and Tobiah and Geshem</w:t>
      </w:r>
      <w:r>
        <w:rPr>
          <w:rStyle w:val="FootnoteReference"/>
        </w:rPr>
        <w:footnoteReference w:id="9867"/>
      </w:r>
      <w:r>
        <w:t xml:space="preserve"> the Arab and the rest of our enemies heard that I had built the wall and no breach was left in it, though until that time I had not set doors in the gates,</w:t>
      </w:r>
    </w:p>
    <w:p>
      <w:r>
        <w:rPr>
          <w:b/>
        </w:rPr>
        <w:t xml:space="preserve">2 </w:t>
      </w:r>
      <w:r>
        <w:t xml:space="preserve">Sanballat and Geshem sent to me saying, Come, let us gather together in the villages in the plain of Ono. But they were reckoning to do evil to me.</w:t>
      </w:r>
    </w:p>
    <w:p>
      <w:r>
        <w:rPr>
          <w:b/>
        </w:rPr>
        <w:t xml:space="preserve">3 </w:t>
      </w:r>
      <w:r>
        <w:t xml:space="preserve">And I sent</w:t>
      </w:r>
      <w:r>
        <w:rPr>
          <w:rStyle w:val="FootnoteReference"/>
        </w:rPr>
        <w:footnoteReference w:id="9868"/>
      </w:r>
      <w:r>
        <w:t xml:space="preserve"> messengers to them saying, Great work I do, and I will not be able to come down, lest the work stop. As soon as I complete it, I will come down to you.</w:t>
      </w:r>
    </w:p>
    <w:p>
      <w:r>
        <w:rPr>
          <w:b/>
        </w:rPr>
        <w:t xml:space="preserve">4 </w:t>
      </w:r>
      <w:r>
        <w:t xml:space="preserve">And they sent to me according to this word four times</w:t>
      </w:r>
      <w:r>
        <w:rPr>
          <w:rStyle w:val="FootnoteReference"/>
        </w:rPr>
        <w:footnoteReference w:id="9869"/>
      </w:r>
      <w:r>
        <w:t xml:space="preserve">, and I sent them according to these things.</w:t>
      </w:r>
    </w:p>
    <w:p>
      <w:r>
        <w:rPr>
          <w:b/>
        </w:rPr>
        <w:t xml:space="preserve">5 </w:t>
      </w:r>
      <w:r>
        <w:t xml:space="preserve">And Sanballat sent to me his servant and an open letter in his hand.</w:t>
      </w:r>
    </w:p>
    <w:p>
      <w:r>
        <w:rPr>
          <w:b/>
        </w:rPr>
        <w:t xml:space="preserve">6 </w:t>
      </w:r>
      <w:r>
        <w:t xml:space="preserve">And written in it was, Among nations it was heard that you and the Jews are reckoning to rebel; because of this you build the wall and you will become king to them.</w:t>
      </w:r>
    </w:p>
    <w:p>
      <w:r>
        <w:rPr>
          <w:b/>
        </w:rPr>
        <w:t xml:space="preserve">7 </w:t>
      </w:r>
      <w:r>
        <w:t xml:space="preserve">And besides these things, you appointed</w:t>
      </w:r>
      <w:r>
        <w:rPr>
          <w:rStyle w:val="FootnoteReference"/>
        </w:rPr>
        <w:footnoteReference w:id="9870"/>
      </w:r>
      <w:r>
        <w:t xml:space="preserve"> prophets for yourself so that you might sit in Jerusalem as king in Judah, and now these words will be reported to the king. So now come, let us take counsel together.</w:t>
      </w:r>
      <w:r>
        <w:rPr>
          <w:rStyle w:val="FootnoteReference"/>
        </w:rPr>
        <w:footnoteReference w:id="9871"/>
      </w:r>
    </w:p>
    <w:p>
      <w:r>
        <w:rPr>
          <w:b/>
        </w:rPr>
        <w:t xml:space="preserve">8 </w:t>
      </w:r>
      <w:r>
        <w:t xml:space="preserve">And I sent to him saying, These words which you say did not happen, because from your own heart you invent them.</w:t>
      </w:r>
    </w:p>
    <w:p>
      <w:r>
        <w:rPr>
          <w:b/>
        </w:rPr>
        <w:t xml:space="preserve">9 </w:t>
      </w:r>
      <w:r>
        <w:t xml:space="preserve">For all are frightening us, saying, Their hands</w:t>
      </w:r>
      <w:r>
        <w:rPr>
          <w:rStyle w:val="FootnoteReference"/>
        </w:rPr>
        <w:footnoteReference w:id="9872"/>
      </w:r>
      <w:r>
        <w:t xml:space="preserve"> will be loosened from this work, and it will not be done. And now I strengthened my hands.</w:t>
      </w:r>
    </w:p>
    <w:p>
      <w:r>
        <w:rPr>
          <w:b/>
        </w:rPr>
        <w:t xml:space="preserve">10 </w:t>
      </w:r>
      <w:r>
        <w:t xml:space="preserve">And I entered the house of Shemaiah</w:t>
      </w:r>
      <w:r>
        <w:rPr>
          <w:rStyle w:val="FootnoteReference"/>
        </w:rPr>
        <w:footnoteReference w:id="9873"/>
      </w:r>
      <w:r>
        <w:t xml:space="preserve"> son of Delaiah son of Meehtabel, and he, being confined</w:t>
      </w:r>
      <w:r>
        <w:rPr>
          <w:rStyle w:val="FootnoteReference"/>
        </w:rPr>
        <w:footnoteReference w:id="9874"/>
      </w:r>
      <w:r>
        <w:t xml:space="preserve">, said, Let us gather in the house of God, in its midst, and let us shut its doors, because they are coming by night to kill you.</w:t>
      </w:r>
    </w:p>
    <w:p>
      <w:r>
        <w:rPr>
          <w:b/>
        </w:rPr>
        <w:t xml:space="preserve">11 </w:t>
      </w:r>
      <w:r>
        <w:t xml:space="preserve">And I said, What kind of man will go into the house and live?</w:t>
      </w:r>
    </w:p>
    <w:p>
      <w:r>
        <w:rPr>
          <w:b/>
        </w:rPr>
        <w:t xml:space="preserve">12 </w:t>
      </w:r>
      <w:r>
        <w:t xml:space="preserve">And I recognized, and behold, God had not sent him</w:t>
      </w:r>
      <w:r>
        <w:rPr>
          <w:rStyle w:val="FootnoteReference"/>
        </w:rPr>
        <w:footnoteReference w:id="9875"/>
      </w:r>
      <w:r>
        <w:t xml:space="preserve">, but he spoke the prophecy-word against me, and Tobiah and Sanballat had hired him.</w:t>
      </w:r>
      <w:r>
        <w:rPr>
          <w:rStyle w:val="FootnoteReference"/>
        </w:rPr>
        <w:footnoteReference w:id="9876"/>
      </w:r>
    </w:p>
    <w:p>
      <w:r>
        <w:rPr>
          <w:b/>
        </w:rPr>
        <w:t xml:space="preserve">13 </w:t>
      </w:r>
      <w:r>
        <w:t xml:space="preserve">They hired him against me so that I might fear and do thus and sin</w:t>
      </w:r>
      <w:r>
        <w:rPr>
          <w:rStyle w:val="FootnoteReference"/>
        </w:rPr>
        <w:footnoteReference w:id="9877"/>
      </w:r>
      <w:r>
        <w:t xml:space="preserve"> and become to them for an evil name, so that they might reproach me.</w:t>
      </w:r>
    </w:p>
    <w:p>
      <w:r>
        <w:rPr>
          <w:b/>
        </w:rPr>
        <w:t xml:space="preserve">14 </w:t>
      </w:r>
      <w:r>
        <w:t xml:space="preserve">Remember, my God</w:t>
      </w:r>
      <w:r>
        <w:rPr>
          <w:rStyle w:val="FootnoteReference"/>
        </w:rPr>
        <w:footnoteReference w:id="9878"/>
      </w:r>
      <w:r>
        <w:t xml:space="preserve">, Tobiah and Sanballat according to these deeds of his, and Noadiah the prophet and the rest of the prophets who were frightening me.</w:t>
      </w:r>
    </w:p>
    <w:p>
      <w:r>
        <w:rPr>
          <w:b/>
        </w:rPr>
        <w:t xml:space="preserve">15 </w:t>
      </w:r>
      <w:r>
        <w:t xml:space="preserve">And the wall</w:t>
      </w:r>
      <w:r>
        <w:rPr>
          <w:rStyle w:val="FootnoteReference"/>
        </w:rPr>
        <w:footnoteReference w:id="9879"/>
      </w:r>
      <w:r>
        <w:t xml:space="preserve"> was completed on twenty-fifth of Elul</w:t>
      </w:r>
      <w:r>
        <w:rPr>
          <w:rStyle w:val="FootnoteReference"/>
        </w:rPr>
        <w:footnoteReference w:id="9880"/>
      </w:r>
      <w:r>
        <w:t xml:space="preserve">, in fifty-two days.</w:t>
      </w:r>
    </w:p>
    <w:p>
      <w:r>
        <w:rPr>
          <w:b/>
        </w:rPr>
        <w:t xml:space="preserve">16 </w:t>
      </w:r>
      <w:r>
        <w:t xml:space="preserve">And it came to be when all our enemies</w:t>
      </w:r>
      <w:r>
        <w:rPr>
          <w:rStyle w:val="FootnoteReference"/>
        </w:rPr>
        <w:footnoteReference w:id="9881"/>
      </w:r>
      <w:r>
        <w:t xml:space="preserve"> heard and all nations around us feared, fear fell very greatly in their eyes, and they knew that this work came to completion from our God.</w:t>
      </w:r>
      <w:r>
        <w:rPr>
          <w:rStyle w:val="FootnoteReference"/>
        </w:rPr>
        <w:footnoteReference w:id="9882"/>
      </w:r>
    </w:p>
    <w:p>
      <w:r>
        <w:rPr>
          <w:b/>
        </w:rPr>
        <w:t xml:space="preserve">17 </w:t>
      </w:r>
      <w:r>
        <w:t xml:space="preserve">And in those days letters from many nobles of Judah were going to Tobiah, and those of Tobiah were coming to them.</w:t>
      </w:r>
    </w:p>
    <w:p>
      <w:r>
        <w:rPr>
          <w:b/>
        </w:rPr>
        <w:t xml:space="preserve">18 </w:t>
      </w:r>
      <w:r>
        <w:t xml:space="preserve">For many in Judah were under oath to him, because he was son-in-law of Shecaniah son of Arah</w:t>
      </w:r>
      <w:r>
        <w:rPr>
          <w:rStyle w:val="FootnoteReference"/>
        </w:rPr>
        <w:footnoteReference w:id="9883"/>
      </w:r>
      <w:r>
        <w:t xml:space="preserve">, and Johanan his son had taken daughter of Meshullam son of Berechiah as wife.</w:t>
      </w:r>
    </w:p>
    <w:p>
      <w:r>
        <w:rPr>
          <w:b/>
        </w:rPr>
        <w:t xml:space="preserve">19 </w:t>
      </w:r>
      <w:r>
        <w:t xml:space="preserve">And they were speaking his words to me, and they were carrying my words out to him, and Tobiah sent letters to frighten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it came to be when the wall</w:t>
      </w:r>
      <w:r>
        <w:rPr>
          <w:rStyle w:val="FootnoteReference"/>
        </w:rPr>
        <w:footnoteReference w:id="9884"/>
      </w:r>
      <w:r>
        <w:t xml:space="preserve"> was built, and I set up the doors, that the gatekeepers and the singers and the Levites were appointed.</w:t>
      </w:r>
    </w:p>
    <w:p>
      <w:r>
        <w:rPr>
          <w:b/>
        </w:rPr>
        <w:t xml:space="preserve">2 </w:t>
      </w:r>
      <w:r>
        <w:t xml:space="preserve">And I commanded Hanani</w:t>
      </w:r>
      <w:r>
        <w:rPr>
          <w:rStyle w:val="FootnoteReference"/>
        </w:rPr>
        <w:footnoteReference w:id="9885"/>
      </w:r>
      <w:r>
        <w:t xml:space="preserve"> my brother</w:t>
      </w:r>
      <w:r>
        <w:rPr>
          <w:rStyle w:val="FootnoteReference"/>
        </w:rPr>
        <w:footnoteReference w:id="9886"/>
      </w:r>
      <w:r>
        <w:t xml:space="preserve"> and Hananiah ruler of the citadel in Jerusalem, because he was as a truthful man and fearing God beyond many,</w:t>
      </w:r>
    </w:p>
    <w:p>
      <w:r>
        <w:rPr>
          <w:b/>
        </w:rPr>
        <w:t xml:space="preserve">3 </w:t>
      </w:r>
      <w:r>
        <w:t xml:space="preserve">and I said to them, The gates of Jerusalem shall not be opened until the sun is hot, and while they are still keeping watch let the doors be shut and barred. And station guards from the inhabitants of Jerusalem, each man in his watch and each man opposite his own house.</w:t>
      </w:r>
      <w:r>
        <w:rPr>
          <w:rStyle w:val="FootnoteReference"/>
        </w:rPr>
        <w:footnoteReference w:id="9887"/>
      </w:r>
    </w:p>
    <w:p>
      <w:r>
        <w:rPr>
          <w:b/>
        </w:rPr>
        <w:t xml:space="preserve">4 </w:t>
      </w:r>
      <w:r>
        <w:t xml:space="preserve">And the city was wide and great, but the people in it were few, and no houses had been built.</w:t>
      </w:r>
    </w:p>
    <w:p>
      <w:r>
        <w:rPr>
          <w:b/>
        </w:rPr>
        <w:t xml:space="preserve">5 </w:t>
      </w:r>
      <w:r>
        <w:t xml:space="preserve">And God gave into my heart, and I gathered the nobles and the rulers and the people for enrollment, and I found book of enrollment of those who came up at first, and I found written in it:</w:t>
      </w:r>
    </w:p>
    <w:p>
      <w:r>
        <w:rPr>
          <w:b/>
        </w:rPr>
        <w:t xml:space="preserve">6 </w:t>
      </w:r>
      <w:r>
        <w:t xml:space="preserve">And these are sons of the province, those who came up from the captivity of the exile whom Nebuchadnezzar</w:t>
      </w:r>
      <w:r>
        <w:rPr>
          <w:rStyle w:val="FootnoteReference"/>
        </w:rPr>
        <w:footnoteReference w:id="9888"/>
      </w:r>
      <w:r>
        <w:t xml:space="preserve"> king of Babylon exiled, and they returned to Jerusalem and to Judah, each man to his own city,</w:t>
      </w:r>
      <w:r>
        <w:rPr>
          <w:rStyle w:val="FootnoteReference"/>
        </w:rPr>
        <w:footnoteReference w:id="9889"/>
      </w:r>
    </w:p>
    <w:p>
      <w:r>
        <w:rPr>
          <w:b/>
        </w:rPr>
        <w:t xml:space="preserve">7 </w:t>
      </w:r>
      <w:r>
        <w:t xml:space="preserve">with Zerubbabel</w:t>
      </w:r>
      <w:r>
        <w:rPr>
          <w:rStyle w:val="FootnoteReference"/>
        </w:rPr>
        <w:footnoteReference w:id="9890"/>
      </w:r>
      <w:r>
        <w:t xml:space="preserve"> and Jeshua and Nehemiah, Azariah, Raamiah</w:t>
      </w:r>
      <w:r>
        <w:rPr>
          <w:rStyle w:val="FootnoteReference"/>
        </w:rPr>
        <w:footnoteReference w:id="9891"/>
      </w:r>
      <w:r>
        <w:t xml:space="preserve">, Nahamani</w:t>
      </w:r>
      <w:r>
        <w:rPr>
          <w:rStyle w:val="FootnoteReference"/>
        </w:rPr>
        <w:footnoteReference w:id="9892"/>
      </w:r>
      <w:r>
        <w:t xml:space="preserve">, Mordecai, Bilshan, Mispereth</w:t>
      </w:r>
      <w:r>
        <w:rPr>
          <w:rStyle w:val="FootnoteReference"/>
        </w:rPr>
        <w:footnoteReference w:id="9893"/>
      </w:r>
      <w:r>
        <w:t xml:space="preserve">, Bigvai, Nehum</w:t>
      </w:r>
      <w:r>
        <w:rPr>
          <w:rStyle w:val="FootnoteReference"/>
        </w:rPr>
        <w:footnoteReference w:id="9894"/>
      </w:r>
      <w:r>
        <w:t xml:space="preserve">, Baana. Men of the people of Israel:</w:t>
      </w:r>
    </w:p>
    <w:p>
      <w:r>
        <w:rPr>
          <w:b/>
        </w:rPr>
        <w:t xml:space="preserve">8 </w:t>
      </w:r>
      <w:r>
        <w:t xml:space="preserve">Sons of Parosh: 2,172.</w:t>
      </w:r>
      <w:r>
        <w:rPr>
          <w:rStyle w:val="FootnoteReference"/>
        </w:rPr>
        <w:footnoteReference w:id="9895"/>
      </w:r>
      <w:r>
        <w:t xml:space="preserve"/>
      </w:r>
      <w:r>
        <w:rPr>
          <w:rStyle w:val="FootnoteReference"/>
        </w:rPr>
        <w:footnoteReference w:id="9896"/>
      </w:r>
      <w:r>
        <w:rPr>
          <w:rStyle w:val="FootnoteReference"/>
        </w:rPr>
        <w:footnoteReference w:id="9897"/>
      </w:r>
    </w:p>
    <w:p>
      <w:r>
        <w:rPr>
          <w:b/>
        </w:rPr>
        <w:t xml:space="preserve">9 </w:t>
      </w:r>
      <w:r>
        <w:t xml:space="preserve">Sons of Shephatiah</w:t>
      </w:r>
      <w:r>
        <w:rPr>
          <w:rStyle w:val="FootnoteReference"/>
        </w:rPr>
        <w:footnoteReference w:id="9898"/>
      </w:r>
      <w:r>
        <w:t xml:space="preserve">: 372.</w:t>
      </w:r>
    </w:p>
    <w:p>
      <w:r>
        <w:rPr>
          <w:b/>
        </w:rPr>
        <w:t xml:space="preserve">10 </w:t>
      </w:r>
      <w:r>
        <w:t xml:space="preserve">Sons of Hara: 652.</w:t>
      </w:r>
      <w:r>
        <w:rPr>
          <w:rStyle w:val="FootnoteReference"/>
        </w:rPr>
        <w:footnoteReference w:id="9899"/>
      </w:r>
      <w:r>
        <w:t xml:space="preserve"/>
      </w:r>
    </w:p>
    <w:p>
      <w:r>
        <w:rPr>
          <w:b/>
        </w:rPr>
        <w:t xml:space="preserve">11 </w:t>
      </w:r>
      <w:r>
        <w:t xml:space="preserve">Sons of Pahathmoab</w:t>
      </w:r>
      <w:r>
        <w:rPr>
          <w:rStyle w:val="FootnoteReference"/>
        </w:rPr>
        <w:footnoteReference w:id="9900"/>
      </w:r>
      <w:r>
        <w:t xml:space="preserve">, to the sons of Jeshua and Joab: 2,818.</w:t>
      </w:r>
    </w:p>
    <w:p>
      <w:r>
        <w:rPr>
          <w:b/>
        </w:rPr>
        <w:t xml:space="preserve">12 </w:t>
      </w:r>
      <w:r>
        <w:t xml:space="preserve">Sons of Elam: 1,254.</w:t>
      </w:r>
      <w:r>
        <w:rPr>
          <w:rStyle w:val="FootnoteReference"/>
        </w:rPr>
        <w:footnoteReference w:id="9901"/>
      </w:r>
      <w:r>
        <w:t xml:space="preserve"/>
      </w:r>
      <w:r>
        <w:rPr>
          <w:rStyle w:val="FootnoteReference"/>
        </w:rPr>
        <w:footnoteReference w:id="9902"/>
      </w:r>
    </w:p>
    <w:p>
      <w:r>
        <w:rPr>
          <w:b/>
        </w:rPr>
        <w:t xml:space="preserve">13 </w:t>
      </w:r>
      <w:r>
        <w:t xml:space="preserve">Sons of Zattu</w:t>
      </w:r>
      <w:r>
        <w:rPr>
          <w:rStyle w:val="FootnoteReference"/>
        </w:rPr>
        <w:footnoteReference w:id="9903"/>
      </w:r>
      <w:r>
        <w:t xml:space="preserve">: 845.</w:t>
      </w:r>
    </w:p>
    <w:p>
      <w:r>
        <w:rPr>
          <w:b/>
        </w:rPr>
        <w:t xml:space="preserve">14 </w:t>
      </w:r>
      <w:r>
        <w:t xml:space="preserve">Sons of Zaccai</w:t>
      </w:r>
      <w:r>
        <w:rPr>
          <w:rStyle w:val="FootnoteReference"/>
        </w:rPr>
        <w:footnoteReference w:id="9904"/>
      </w:r>
      <w:r>
        <w:t xml:space="preserve">: 760.</w:t>
      </w:r>
      <w:r>
        <w:rPr>
          <w:rStyle w:val="FootnoteReference"/>
        </w:rPr>
        <w:footnoteReference w:id="9905"/>
      </w:r>
    </w:p>
    <w:p>
      <w:r>
        <w:rPr>
          <w:b/>
        </w:rPr>
        <w:t xml:space="preserve">15 </w:t>
      </w:r>
      <w:r>
        <w:t xml:space="preserve">Sons of Bani: 648.</w:t>
      </w:r>
      <w:r>
        <w:rPr>
          <w:rStyle w:val="FootnoteReference"/>
        </w:rPr>
        <w:footnoteReference w:id="9906"/>
      </w:r>
      <w:r>
        <w:t xml:space="preserve"/>
      </w:r>
    </w:p>
    <w:p>
      <w:r>
        <w:rPr>
          <w:b/>
        </w:rPr>
        <w:t xml:space="preserve">16 </w:t>
      </w:r>
      <w:r>
        <w:t xml:space="preserve">Sons of Bebai: 628.</w:t>
      </w:r>
      <w:r>
        <w:rPr>
          <w:rStyle w:val="FootnoteReference"/>
        </w:rPr>
        <w:footnoteReference w:id="9907"/>
      </w:r>
      <w:r>
        <w:t xml:space="preserve"/>
      </w:r>
      <w:r>
        <w:rPr>
          <w:rStyle w:val="FootnoteReference"/>
        </w:rPr>
        <w:footnoteReference w:id="9908"/>
      </w:r>
    </w:p>
    <w:p>
      <w:r>
        <w:rPr>
          <w:b/>
        </w:rPr>
        <w:t xml:space="preserve">17 </w:t>
      </w:r>
      <w:r>
        <w:t xml:space="preserve">Sons of Azgad: 2,322.</w:t>
      </w:r>
      <w:r>
        <w:rPr>
          <w:rStyle w:val="FootnoteReference"/>
        </w:rPr>
        <w:footnoteReference w:id="9909"/>
      </w:r>
      <w:r>
        <w:t xml:space="preserve"/>
      </w:r>
      <w:r>
        <w:rPr>
          <w:rStyle w:val="FootnoteReference"/>
        </w:rPr>
        <w:footnoteReference w:id="9910"/>
      </w:r>
      <w:r>
        <w:rPr>
          <w:rStyle w:val="FootnoteReference"/>
        </w:rPr>
        <w:footnoteReference w:id="9911"/>
      </w:r>
    </w:p>
    <w:p>
      <w:r>
        <w:rPr>
          <w:b/>
        </w:rPr>
        <w:t xml:space="preserve">18 </w:t>
      </w:r>
      <w:r>
        <w:t xml:space="preserve">Sons of Adonikam</w:t>
      </w:r>
      <w:r>
        <w:rPr>
          <w:rStyle w:val="FootnoteReference"/>
        </w:rPr>
        <w:footnoteReference w:id="9912"/>
      </w:r>
      <w:r>
        <w:t xml:space="preserve">: 667.</w:t>
      </w:r>
    </w:p>
    <w:p>
      <w:r>
        <w:rPr>
          <w:b/>
        </w:rPr>
        <w:t xml:space="preserve">19 </w:t>
      </w:r>
      <w:r>
        <w:t xml:space="preserve">Sons of Bigvai: 2,067.</w:t>
      </w:r>
      <w:r>
        <w:rPr>
          <w:rStyle w:val="FootnoteReference"/>
        </w:rPr>
        <w:footnoteReference w:id="9913"/>
      </w:r>
      <w:r>
        <w:t xml:space="preserve"/>
      </w:r>
      <w:r>
        <w:rPr>
          <w:rStyle w:val="FootnoteReference"/>
        </w:rPr>
        <w:footnoteReference w:id="9914"/>
      </w:r>
    </w:p>
    <w:p>
      <w:r>
        <w:rPr>
          <w:b/>
        </w:rPr>
        <w:t xml:space="preserve">20 </w:t>
      </w:r>
      <w:r>
        <w:t xml:space="preserve">Sons of Adin: 655.</w:t>
      </w:r>
      <w:r>
        <w:rPr>
          <w:rStyle w:val="FootnoteReference"/>
        </w:rPr>
        <w:footnoteReference w:id="9915"/>
      </w:r>
      <w:r>
        <w:t xml:space="preserve"/>
      </w:r>
      <w:r>
        <w:rPr>
          <w:rStyle w:val="FootnoteReference"/>
        </w:rPr>
        <w:footnoteReference w:id="9916"/>
      </w:r>
    </w:p>
    <w:p>
      <w:r>
        <w:rPr>
          <w:b/>
        </w:rPr>
        <w:t xml:space="preserve">21 </w:t>
      </w:r>
      <w:r>
        <w:t xml:space="preserve">Sons of Ater</w:t>
      </w:r>
      <w:r>
        <w:rPr>
          <w:rStyle w:val="FootnoteReference"/>
        </w:rPr>
        <w:footnoteReference w:id="9917"/>
      </w:r>
      <w:r>
        <w:t xml:space="preserve">, of Hezekiah: 98.</w:t>
      </w:r>
    </w:p>
    <w:p>
      <w:r>
        <w:rPr>
          <w:b/>
        </w:rPr>
        <w:t xml:space="preserve">22 </w:t>
      </w:r>
      <w:r>
        <w:t xml:space="preserve">Sons of Hashum</w:t>
      </w:r>
      <w:r>
        <w:rPr>
          <w:rStyle w:val="FootnoteReference"/>
        </w:rPr>
        <w:footnoteReference w:id="9918"/>
      </w:r>
      <w:r>
        <w:t xml:space="preserve">: 328.</w:t>
      </w:r>
      <w:r>
        <w:rPr>
          <w:rStyle w:val="FootnoteReference"/>
        </w:rPr>
        <w:footnoteReference w:id="9919"/>
      </w:r>
    </w:p>
    <w:p>
      <w:r>
        <w:rPr>
          <w:b/>
        </w:rPr>
        <w:t xml:space="preserve">23 </w:t>
      </w:r>
      <w:r>
        <w:t xml:space="preserve">Sons of Bezai: 324.</w:t>
      </w:r>
      <w:r>
        <w:rPr>
          <w:rStyle w:val="FootnoteReference"/>
        </w:rPr>
        <w:footnoteReference w:id="9920"/>
      </w:r>
      <w:r>
        <w:t xml:space="preserve"/>
      </w:r>
      <w:r>
        <w:rPr>
          <w:rStyle w:val="FootnoteReference"/>
        </w:rPr>
        <w:footnoteReference w:id="9921"/>
      </w:r>
      <w:r>
        <w:rPr>
          <w:rStyle w:val="FootnoteReference"/>
        </w:rPr>
        <w:footnoteReference w:id="9922"/>
      </w:r>
      <w:r>
        <w:rPr>
          <w:rStyle w:val="FootnoteReference"/>
        </w:rPr>
        <w:footnoteReference w:id="9923"/>
      </w:r>
    </w:p>
    <w:p>
      <w:r>
        <w:rPr>
          <w:b/>
        </w:rPr>
        <w:t xml:space="preserve">24 </w:t>
      </w:r>
      <w:r>
        <w:t xml:space="preserve">Sons of Hariph</w:t>
      </w:r>
      <w:r>
        <w:rPr>
          <w:rStyle w:val="FootnoteReference"/>
        </w:rPr>
        <w:footnoteReference w:id="9924"/>
      </w:r>
      <w:r>
        <w:t xml:space="preserve">: 112.</w:t>
      </w:r>
      <w:r>
        <w:rPr>
          <w:rStyle w:val="FootnoteReference"/>
        </w:rPr>
        <w:footnoteReference w:id="9925"/>
      </w:r>
    </w:p>
    <w:p>
      <w:r>
        <w:rPr>
          <w:b/>
        </w:rPr>
        <w:t xml:space="preserve">25 </w:t>
      </w:r>
      <w:r>
        <w:t xml:space="preserve">Sons of Gibeon</w:t>
      </w:r>
      <w:r>
        <w:rPr>
          <w:rStyle w:val="FootnoteReference"/>
        </w:rPr>
        <w:footnoteReference w:id="9926"/>
      </w:r>
      <w:r>
        <w:t xml:space="preserve">: 95.</w:t>
      </w:r>
    </w:p>
    <w:p>
      <w:r>
        <w:rPr>
          <w:b/>
        </w:rPr>
        <w:t xml:space="preserve">26 </w:t>
      </w:r>
      <w:r>
        <w:t xml:space="preserve">Sons of Bethlehem</w:t>
      </w:r>
      <w:r>
        <w:rPr>
          <w:rStyle w:val="FootnoteReference"/>
        </w:rPr>
        <w:footnoteReference w:id="9927"/>
      </w:r>
      <w:r>
        <w:t xml:space="preserve">: 123. Sons of Netophah: 56.</w:t>
      </w:r>
    </w:p>
    <w:p>
      <w:r>
        <w:rPr>
          <w:b/>
        </w:rPr>
        <w:t xml:space="preserve">27 </w:t>
      </w:r>
      <w:r>
        <w:t xml:space="preserve">Sons of Anathoth</w:t>
      </w:r>
      <w:r>
        <w:rPr>
          <w:rStyle w:val="FootnoteReference"/>
        </w:rPr>
        <w:footnoteReference w:id="9928"/>
      </w:r>
      <w:r>
        <w:t xml:space="preserve">: 128.</w:t>
      </w:r>
    </w:p>
    <w:p>
      <w:r>
        <w:rPr>
          <w:b/>
        </w:rPr>
        <w:t xml:space="preserve">28 </w:t>
      </w:r>
      <w:r>
        <w:t xml:space="preserve">Men of Bethazmaveth</w:t>
      </w:r>
      <w:r>
        <w:rPr>
          <w:rStyle w:val="FootnoteReference"/>
        </w:rPr>
        <w:footnoteReference w:id="9929"/>
      </w:r>
      <w:r>
        <w:t xml:space="preserve">: 42.</w:t>
      </w:r>
      <w:r>
        <w:rPr>
          <w:rStyle w:val="FootnoteReference"/>
        </w:rPr>
        <w:footnoteReference w:id="9930"/>
      </w:r>
    </w:p>
    <w:p>
      <w:r>
        <w:rPr>
          <w:b/>
        </w:rPr>
        <w:t xml:space="preserve">29 </w:t>
      </w:r>
      <w:r>
        <w:t xml:space="preserve">Men of Kirjathjearim</w:t>
      </w:r>
      <w:r>
        <w:rPr>
          <w:rStyle w:val="FootnoteReference"/>
        </w:rPr>
        <w:footnoteReference w:id="9931"/>
      </w:r>
      <w:r>
        <w:t xml:space="preserve">, Chephirah, and Beeroth: 743.</w:t>
      </w:r>
    </w:p>
    <w:p>
      <w:r>
        <w:rPr>
          <w:b/>
        </w:rPr>
        <w:t xml:space="preserve">30 </w:t>
      </w:r>
      <w:r>
        <w:t xml:space="preserve">Men of Ramah</w:t>
      </w:r>
      <w:r>
        <w:rPr>
          <w:rStyle w:val="FootnoteReference"/>
        </w:rPr>
        <w:footnoteReference w:id="9932"/>
      </w:r>
      <w:r>
        <w:t xml:space="preserve"> and Gibeah: 621.</w:t>
      </w:r>
    </w:p>
    <w:p>
      <w:r>
        <w:rPr>
          <w:b/>
        </w:rPr>
        <w:t xml:space="preserve">31 </w:t>
      </w:r>
      <w:r>
        <w:t xml:space="preserve">Men of Michmas</w:t>
      </w:r>
      <w:r>
        <w:rPr>
          <w:rStyle w:val="FootnoteReference"/>
        </w:rPr>
        <w:footnoteReference w:id="9933"/>
      </w:r>
      <w:r>
        <w:t xml:space="preserve">: 122.</w:t>
      </w:r>
    </w:p>
    <w:p>
      <w:r>
        <w:rPr>
          <w:b/>
        </w:rPr>
        <w:t xml:space="preserve">32 </w:t>
      </w:r>
      <w:r>
        <w:t xml:space="preserve">Men of Bethel</w:t>
      </w:r>
      <w:r>
        <w:rPr>
          <w:rStyle w:val="FootnoteReference"/>
        </w:rPr>
        <w:footnoteReference w:id="9934"/>
      </w:r>
      <w:r>
        <w:t xml:space="preserve"> and Ai: 123.</w:t>
      </w:r>
    </w:p>
    <w:p>
      <w:r>
        <w:rPr>
          <w:b/>
        </w:rPr>
        <w:t xml:space="preserve">33 </w:t>
      </w:r>
      <w:r>
        <w:t xml:space="preserve">Men of Nahbi-aar: 52.</w:t>
      </w:r>
    </w:p>
    <w:p>
      <w:r>
        <w:rPr>
          <w:b/>
        </w:rPr>
        <w:t xml:space="preserve">34 </w:t>
      </w:r>
      <w:r>
        <w:t xml:space="preserve">Men of Elam: 1,254.</w:t>
      </w:r>
    </w:p>
    <w:p>
      <w:r>
        <w:rPr>
          <w:b/>
        </w:rPr>
        <w:t xml:space="preserve">35 </w:t>
      </w:r>
      <w:r>
        <w:t xml:space="preserve">Sons of Harim: 320.</w:t>
      </w:r>
      <w:r>
        <w:rPr>
          <w:rStyle w:val="FootnoteReference"/>
        </w:rPr>
        <w:footnoteReference w:id="9935"/>
      </w:r>
      <w:r>
        <w:t xml:space="preserve"/>
      </w:r>
      <w:r>
        <w:rPr>
          <w:rStyle w:val="FootnoteReference"/>
        </w:rPr>
        <w:footnoteReference w:id="9936"/>
      </w:r>
    </w:p>
    <w:p>
      <w:r>
        <w:rPr>
          <w:b/>
        </w:rPr>
        <w:t xml:space="preserve">36 </w:t>
      </w:r>
      <w:r>
        <w:t xml:space="preserve">Sons of Jericho</w:t>
      </w:r>
      <w:r>
        <w:rPr>
          <w:rStyle w:val="FootnoteReference"/>
        </w:rPr>
        <w:footnoteReference w:id="9937"/>
      </w:r>
      <w:r>
        <w:t xml:space="preserve">: 345.</w:t>
      </w:r>
    </w:p>
    <w:p>
      <w:r>
        <w:rPr>
          <w:b/>
        </w:rPr>
        <w:t xml:space="preserve">37 </w:t>
      </w:r>
      <w:r>
        <w:t xml:space="preserve">Sons of Lod, Adid, and Ono: 721.</w:t>
      </w:r>
    </w:p>
    <w:p>
      <w:r>
        <w:rPr>
          <w:b/>
        </w:rPr>
        <w:t xml:space="preserve">38 </w:t>
      </w:r>
      <w:r>
        <w:t xml:space="preserve">Sons of Senaah: 3,930.</w:t>
      </w:r>
      <w:r>
        <w:rPr>
          <w:rStyle w:val="FootnoteReference"/>
        </w:rPr>
        <w:footnoteReference w:id="9938"/>
      </w:r>
      <w:r>
        <w:t xml:space="preserve"/>
      </w:r>
      <w:r>
        <w:rPr>
          <w:rStyle w:val="FootnoteReference"/>
        </w:rPr>
        <w:footnoteReference w:id="9939"/>
      </w:r>
    </w:p>
    <w:p>
      <w:r>
        <w:rPr>
          <w:b/>
        </w:rPr>
        <w:t xml:space="preserve">39 </w:t>
      </w:r>
      <w:r>
        <w:t xml:space="preserve">The priests: sons of Jehoiada, of the house of Jeshua, 973.</w:t>
      </w:r>
    </w:p>
    <w:p>
      <w:r>
        <w:rPr>
          <w:b/>
        </w:rPr>
        <w:t xml:space="preserve">40 </w:t>
      </w:r>
      <w:r>
        <w:t xml:space="preserve">Sons of Immer</w:t>
      </w:r>
      <w:r>
        <w:rPr>
          <w:rStyle w:val="FootnoteReference"/>
        </w:rPr>
        <w:footnoteReference w:id="9940"/>
      </w:r>
      <w:r>
        <w:t xml:space="preserve">: 1,052.</w:t>
      </w:r>
    </w:p>
    <w:p>
      <w:r>
        <w:rPr>
          <w:b/>
        </w:rPr>
        <w:t xml:space="preserve">41 </w:t>
      </w:r>
      <w:r>
        <w:t xml:space="preserve">Sons of Pashur: 1,247.</w:t>
      </w:r>
      <w:r>
        <w:rPr>
          <w:rStyle w:val="FootnoteReference"/>
        </w:rPr>
        <w:footnoteReference w:id="9941"/>
      </w:r>
      <w:r>
        <w:t xml:space="preserve"/>
      </w:r>
      <w:r>
        <w:rPr>
          <w:rStyle w:val="FootnoteReference"/>
        </w:rPr>
        <w:footnoteReference w:id="9942"/>
      </w:r>
    </w:p>
    <w:p>
      <w:r>
        <w:rPr>
          <w:b/>
        </w:rPr>
        <w:t xml:space="preserve">42 </w:t>
      </w:r>
      <w:r>
        <w:t xml:space="preserve">Sons of Harim: 1,017.</w:t>
      </w:r>
      <w:r>
        <w:rPr>
          <w:rStyle w:val="FootnoteReference"/>
        </w:rPr>
        <w:footnoteReference w:id="9943"/>
      </w:r>
      <w:r>
        <w:t xml:space="preserve"/>
      </w:r>
      <w:r>
        <w:rPr>
          <w:rStyle w:val="FootnoteReference"/>
        </w:rPr>
        <w:footnoteReference w:id="9944"/>
      </w:r>
    </w:p>
    <w:p>
      <w:r>
        <w:rPr>
          <w:b/>
        </w:rPr>
        <w:t xml:space="preserve">43 </w:t>
      </w:r>
      <w:r>
        <w:t xml:space="preserve">The Levites: sons of Jeshua, of Kadmiel, to the sons of Hodaiah, 74.</w:t>
      </w:r>
    </w:p>
    <w:p>
      <w:r>
        <w:rPr>
          <w:b/>
        </w:rPr>
        <w:t xml:space="preserve">44 </w:t>
      </w:r>
      <w:r>
        <w:t xml:space="preserve">The singers</w:t>
      </w:r>
      <w:r>
        <w:rPr>
          <w:rStyle w:val="FootnoteReference"/>
        </w:rPr>
        <w:footnoteReference w:id="9945"/>
      </w:r>
      <w:r>
        <w:t xml:space="preserve">: sons of Asaph, 148.</w:t>
      </w:r>
    </w:p>
    <w:p>
      <w:r>
        <w:rPr>
          <w:b/>
        </w:rPr>
        <w:t xml:space="preserve">45 </w:t>
      </w:r>
      <w:r>
        <w:t xml:space="preserve">The gatekeepers: sons of Shallum, sons of Ater, sons of Talmon, sons of Akkub, sons of Hatita, sons of Shobai, 138.</w:t>
      </w:r>
    </w:p>
    <w:p>
      <w:r>
        <w:rPr>
          <w:b/>
        </w:rPr>
        <w:t xml:space="preserve">46 </w:t>
      </w:r>
      <w:r>
        <w:t xml:space="preserve">The nethinim: sons of Seia, sons of Asipha, sons of Tabbaoth,</w:t>
      </w:r>
    </w:p>
    <w:p>
      <w:r>
        <w:rPr>
          <w:b/>
        </w:rPr>
        <w:t xml:space="preserve">47 </w:t>
      </w:r>
      <w:r>
        <w:t xml:space="preserve">sons of Keros, sons of Sia, sons of Padon,</w:t>
      </w:r>
    </w:p>
    <w:p>
      <w:r>
        <w:rPr>
          <w:b/>
        </w:rPr>
        <w:t xml:space="preserve">48 </w:t>
      </w:r>
      <w:r>
        <w:t xml:space="preserve">sons of Lebana, sons of Hagabah, sons of Shalmai</w:t>
      </w:r>
      <w:r>
        <w:rPr>
          <w:rStyle w:val="FootnoteReference"/>
        </w:rPr>
        <w:footnoteReference w:id="9946"/>
      </w:r>
      <w:r>
        <w:t xml:space="preserve">,</w:t>
      </w:r>
    </w:p>
    <w:p>
      <w:r>
        <w:rPr>
          <w:b/>
        </w:rPr>
        <w:t xml:space="preserve">49 </w:t>
      </w:r>
      <w:r>
        <w:t xml:space="preserve">sons of Anan, sons of Giddel, sons of Gaar,</w:t>
      </w:r>
    </w:p>
    <w:p>
      <w:r>
        <w:rPr>
          <w:b/>
        </w:rPr>
        <w:t xml:space="preserve">50 </w:t>
      </w:r>
      <w:r>
        <w:t xml:space="preserve">sons of Reaiah, sons of Rezin, sons of Nekoda,</w:t>
      </w:r>
    </w:p>
    <w:p>
      <w:r>
        <w:rPr>
          <w:b/>
        </w:rPr>
        <w:t xml:space="preserve">51 </w:t>
      </w:r>
      <w:r>
        <w:t xml:space="preserve">sons of Gazzam, sons of Uzzi, sons of Phese,</w:t>
      </w:r>
    </w:p>
    <w:p>
      <w:r>
        <w:rPr>
          <w:b/>
        </w:rPr>
        <w:t xml:space="preserve">52 </w:t>
      </w:r>
      <w:r>
        <w:t xml:space="preserve">sons of Besai, sons of Meunim</w:t>
      </w:r>
      <w:r>
        <w:rPr>
          <w:rStyle w:val="FootnoteReference"/>
        </w:rPr>
        <w:footnoteReference w:id="9947"/>
      </w:r>
      <w:r>
        <w:t xml:space="preserve">, sons of Nephishesim</w:t>
      </w:r>
      <w:r>
        <w:rPr>
          <w:rStyle w:val="FootnoteReference"/>
        </w:rPr>
        <w:footnoteReference w:id="9948"/>
      </w:r>
      <w:r>
        <w:t xml:space="preserve">,</w:t>
      </w:r>
      <w:r>
        <w:rPr>
          <w:rStyle w:val="FootnoteReference"/>
        </w:rPr>
        <w:footnoteReference w:id="9949"/>
      </w:r>
    </w:p>
    <w:p>
      <w:r>
        <w:rPr>
          <w:b/>
        </w:rPr>
        <w:t xml:space="preserve">53 </w:t>
      </w:r>
      <w:r>
        <w:t xml:space="preserve">sons of Bakbuk, sons of Hakupha, sons of Harhur,</w:t>
      </w:r>
    </w:p>
    <w:p>
      <w:r>
        <w:rPr>
          <w:b/>
        </w:rPr>
        <w:t xml:space="preserve">54 </w:t>
      </w:r>
      <w:r>
        <w:t xml:space="preserve">sons of Bazlith</w:t>
      </w:r>
      <w:r>
        <w:rPr>
          <w:rStyle w:val="FootnoteReference"/>
        </w:rPr>
        <w:footnoteReference w:id="9950"/>
      </w:r>
      <w:r>
        <w:t xml:space="preserve">, sons of Mehida, sons of Hadashah,</w:t>
      </w:r>
      <w:r>
        <w:rPr>
          <w:rStyle w:val="FootnoteReference"/>
        </w:rPr>
        <w:footnoteReference w:id="9951"/>
      </w:r>
    </w:p>
    <w:p>
      <w:r>
        <w:rPr>
          <w:b/>
        </w:rPr>
        <w:t xml:space="preserve">55 </w:t>
      </w:r>
      <w:r>
        <w:t xml:space="preserve">sons of Barkos, sons of Sisera, sons of Thamah,</w:t>
      </w:r>
    </w:p>
    <w:p>
      <w:r>
        <w:rPr>
          <w:b/>
        </w:rPr>
        <w:t xml:space="preserve">56 </w:t>
      </w:r>
      <w:r>
        <w:t xml:space="preserve">sons of Neziah</w:t>
      </w:r>
      <w:r>
        <w:rPr>
          <w:rStyle w:val="FootnoteReference"/>
        </w:rPr>
        <w:footnoteReference w:id="9952"/>
      </w:r>
      <w:r>
        <w:t xml:space="preserve">, sons of Atipha.</w:t>
      </w:r>
    </w:p>
    <w:p>
      <w:r>
        <w:rPr>
          <w:b/>
        </w:rPr>
        <w:t xml:space="preserve">57 </w:t>
      </w:r>
      <w:r>
        <w:t xml:space="preserve">Sons of servants of Solomon: sons of Sotai, sons of Sophereth, sons of Perida</w:t>
      </w:r>
      <w:r>
        <w:rPr>
          <w:rStyle w:val="FootnoteReference"/>
        </w:rPr>
        <w:footnoteReference w:id="9953"/>
      </w:r>
      <w:r>
        <w:t xml:space="preserve">,</w:t>
      </w:r>
      <w:r>
        <w:rPr>
          <w:rStyle w:val="FootnoteReference"/>
        </w:rPr>
        <w:footnoteReference w:id="9954"/>
      </w:r>
    </w:p>
    <w:p>
      <w:r>
        <w:rPr>
          <w:b/>
        </w:rPr>
        <w:t xml:space="preserve">58 </w:t>
      </w:r>
      <w:r>
        <w:t xml:space="preserve">sons of Jaala</w:t>
      </w:r>
      <w:r>
        <w:rPr>
          <w:rStyle w:val="FootnoteReference"/>
        </w:rPr>
        <w:footnoteReference w:id="9955"/>
      </w:r>
      <w:r>
        <w:t xml:space="preserve">, sons of Darkon, sons of Giddel,</w:t>
      </w:r>
      <w:r>
        <w:rPr>
          <w:rStyle w:val="FootnoteReference"/>
        </w:rPr>
        <w:footnoteReference w:id="9956"/>
      </w:r>
    </w:p>
    <w:p>
      <w:r>
        <w:rPr>
          <w:b/>
        </w:rPr>
        <w:t xml:space="preserve">59 </w:t>
      </w:r>
      <w:r>
        <w:t xml:space="preserve">sons of Shephatiah, sons of Hattil, sons of Pochereth</w:t>
      </w:r>
      <w:r>
        <w:rPr>
          <w:rStyle w:val="FootnoteReference"/>
        </w:rPr>
        <w:footnoteReference w:id="9957"/>
      </w:r>
      <w:r>
        <w:t xml:space="preserve">, sons of Sabaim, sons of Emim</w:t>
      </w:r>
      <w:r>
        <w:rPr>
          <w:rStyle w:val="FootnoteReference"/>
        </w:rPr>
        <w:footnoteReference w:id="9958"/>
      </w:r>
      <w:r>
        <w:t xml:space="preserve">.</w:t>
      </w:r>
    </w:p>
    <w:p>
      <w:r>
        <w:rPr>
          <w:b/>
        </w:rPr>
        <w:t xml:space="preserve">60 </w:t>
      </w:r>
      <w:r>
        <w:t xml:space="preserve">All the nethinim and sons of servants of Solomon: 392.</w:t>
      </w:r>
    </w:p>
    <w:p>
      <w:r>
        <w:rPr>
          <w:b/>
        </w:rPr>
        <w:t xml:space="preserve">61 </w:t>
      </w:r>
      <w:r>
        <w:t xml:space="preserve">And these came up from Telmelah, Harsha, Cherub, Heron, and Immer, and they were not able to declare their father-houses and their seed, whether they were from Israel:</w:t>
      </w:r>
    </w:p>
    <w:p>
      <w:r>
        <w:rPr>
          <w:b/>
        </w:rPr>
        <w:t xml:space="preserve">62 </w:t>
      </w:r>
      <w:r>
        <w:t xml:space="preserve">sons of Delaiah, sons of Tobiah, sons of Nekoda: 642.</w:t>
      </w:r>
    </w:p>
    <w:p>
      <w:r>
        <w:rPr>
          <w:b/>
        </w:rPr>
        <w:t xml:space="preserve">63 </w:t>
      </w:r>
      <w:r>
        <w:t xml:space="preserve">And from the priests: sons of Habaiah, sons of Koz, sons of Barzillai</w:t>
      </w:r>
      <w:r>
        <w:rPr>
          <w:rStyle w:val="FootnoteReference"/>
        </w:rPr>
        <w:footnoteReference w:id="9959"/>
      </w:r>
      <w:r>
        <w:t xml:space="preserve">, because he took wives from the daughters of Barzillai the Gileadite and was called by their name.</w:t>
      </w:r>
    </w:p>
    <w:p>
      <w:r>
        <w:rPr>
          <w:b/>
        </w:rPr>
        <w:t xml:space="preserve">64 </w:t>
      </w:r>
      <w:r>
        <w:t xml:space="preserve">These sought</w:t>
      </w:r>
      <w:r>
        <w:rPr>
          <w:rStyle w:val="FootnoteReference"/>
        </w:rPr>
        <w:footnoteReference w:id="9960"/>
      </w:r>
      <w:r>
        <w:t xml:space="preserve"> their writing of enrollment and it was not found, and they were excluded from the priesthood.</w:t>
      </w:r>
    </w:p>
    <w:p>
      <w:r>
        <w:rPr>
          <w:b/>
        </w:rPr>
        <w:t xml:space="preserve">65 </w:t>
      </w:r>
      <w:r>
        <w:t xml:space="preserve">And the Tirshatha</w:t>
      </w:r>
      <w:r>
        <w:rPr>
          <w:rStyle w:val="FootnoteReference"/>
        </w:rPr>
        <w:footnoteReference w:id="9961"/>
      </w:r>
      <w:r>
        <w:t xml:space="preserve"> said that they should not eat from the holy of holies until the priest might arise giving light.</w:t>
      </w:r>
    </w:p>
    <w:p>
      <w:r>
        <w:rPr>
          <w:b/>
        </w:rPr>
        <w:t xml:space="preserve">66 </w:t>
      </w:r>
      <w:r>
        <w:t xml:space="preserve">And all the assembly together was forty-two thousand three hundred sixty,</w:t>
      </w:r>
    </w:p>
    <w:p>
      <w:r>
        <w:rPr>
          <w:b/>
        </w:rPr>
        <w:t xml:space="preserve">67 </w:t>
      </w:r>
      <w:r>
        <w:t xml:space="preserve">besides their male slaves and female slaves, these being seven thousand three hundred thirty-seven, and singers and singing women, two hundred</w:t>
      </w:r>
      <w:r>
        <w:rPr>
          <w:rStyle w:val="FootnoteReference"/>
        </w:rPr>
        <w:footnoteReference w:id="9962"/>
      </w:r>
      <w:r>
        <w:t xml:space="preserve"> forty-five.</w:t>
      </w:r>
    </w:p>
    <w:p>
      <w:r>
        <w:rPr>
          <w:b/>
        </w:rPr>
        <w:t xml:space="preserve">68 </w:t>
      </w:r>
      <w:r>
        <w:t xml:space="preserve">Horses: 736. Mules: 245.</w:t>
      </w:r>
    </w:p>
    <w:p>
      <w:r>
        <w:rPr>
          <w:b/>
        </w:rPr>
        <w:t xml:space="preserve">69 </w:t>
      </w:r>
      <w:r>
        <w:t xml:space="preserve">Camels: 435</w:t>
      </w:r>
      <w:r>
        <w:rPr>
          <w:rStyle w:val="FootnoteReference"/>
        </w:rPr>
        <w:footnoteReference w:id="9963"/>
      </w:r>
      <w:r>
        <w:t xml:space="preserve">. Donkeys: 6,720.</w:t>
      </w:r>
    </w:p>
    <w:p>
      <w:r>
        <w:rPr>
          <w:b/>
        </w:rPr>
        <w:t xml:space="preserve">70 </w:t>
      </w:r>
      <w:r>
        <w:t xml:space="preserve">And from part of chiefs of father-houses they gave to the work. To Nehemiah, for the treasury: one thousand gold pieces, fifty bowls, and thirty priestly tunics.</w:t>
      </w:r>
    </w:p>
    <w:p>
      <w:r>
        <w:rPr>
          <w:b/>
        </w:rPr>
        <w:t xml:space="preserve">71 </w:t>
      </w:r>
      <w:r>
        <w:t xml:space="preserve">And from the chiefs of father-houses they gave to treasury of the work twenty thousand gold pieces and two thousand two hundred minas of silver.</w:t>
      </w:r>
    </w:p>
    <w:p>
      <w:r>
        <w:rPr>
          <w:b/>
        </w:rPr>
        <w:t xml:space="preserve">72 </w:t>
      </w:r>
      <w:r>
        <w:t xml:space="preserve">And the rest of the people gave twenty thousand gold pieces and two thousand two hundred minas of silver and sixty-seven priestly tunics.</w:t>
      </w:r>
    </w:p>
    <w:p>
      <w:r>
        <w:rPr>
          <w:b/>
        </w:rPr>
        <w:t xml:space="preserve">73 </w:t>
      </w:r>
      <w:r>
        <w:t xml:space="preserve">And the priests and the Levites and the gatekeepers and the singers and some from the people and the nethinim and all Israel settled in their cities. And the seventh month arrived, and sons of Israel were in their cities.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all the people</w:t>
      </w:r>
      <w:r>
        <w:rPr>
          <w:rStyle w:val="FootnoteReference"/>
        </w:rPr>
        <w:footnoteReference w:id="9964"/>
      </w:r>
      <w:r>
        <w:t xml:space="preserve"> were gathered as one man into the broad place before Water Gate, and they told Ezra</w:t>
      </w:r>
      <w:r>
        <w:rPr>
          <w:rStyle w:val="FootnoteReference"/>
        </w:rPr>
        <w:footnoteReference w:id="9965"/>
      </w:r>
      <w:r>
        <w:t xml:space="preserve"> the scribe to bring the book of the law of Moses which the Lord commanded to Israel.</w:t>
      </w:r>
    </w:p>
    <w:p>
      <w:r>
        <w:rPr>
          <w:b/>
        </w:rPr>
        <w:t xml:space="preserve">2 </w:t>
      </w:r>
      <w:r>
        <w:t xml:space="preserve">And Ezra the priest</w:t>
      </w:r>
      <w:r>
        <w:rPr>
          <w:rStyle w:val="FootnoteReference"/>
        </w:rPr>
        <w:footnoteReference w:id="9966"/>
      </w:r>
      <w:r>
        <w:t xml:space="preserve"> brought the law before the assembly, from man to woman, and everyone who could understand what they heard, on the first day of the seventh month.</w:t>
      </w:r>
    </w:p>
    <w:p>
      <w:r>
        <w:rPr>
          <w:b/>
        </w:rPr>
        <w:t xml:space="preserve">3 </w:t>
      </w:r>
      <w:r>
        <w:t xml:space="preserve">And he read</w:t>
      </w:r>
      <w:r>
        <w:rPr>
          <w:rStyle w:val="FootnoteReference"/>
        </w:rPr>
        <w:footnoteReference w:id="9967"/>
      </w:r>
      <w:r>
        <w:t xml:space="preserve"> in it from the hour when the sun was giving light until middle of the day, before the men and the women, and they were understanding, and ears of all the people were toward the book of the law.</w:t>
      </w:r>
      <w:r>
        <w:rPr>
          <w:rStyle w:val="FootnoteReference"/>
        </w:rPr>
        <w:footnoteReference w:id="9968"/>
      </w:r>
    </w:p>
    <w:p>
      <w:r>
        <w:rPr>
          <w:b/>
        </w:rPr>
        <w:t xml:space="preserve">4 </w:t>
      </w:r>
      <w:r>
        <w:t xml:space="preserve">And Ezra the scribe stood on a wooden platform</w:t>
      </w:r>
      <w:r>
        <w:rPr>
          <w:rStyle w:val="FootnoteReference"/>
        </w:rPr>
        <w:footnoteReference w:id="9969"/>
      </w:r>
      <w:r>
        <w:t xml:space="preserve">, and standing beside him on his right were Mattathias and Shemaiah and Ananias and Urijah and Hilkiah and Maaseiah</w:t>
      </w:r>
      <w:r>
        <w:rPr>
          <w:rStyle w:val="FootnoteReference"/>
        </w:rPr>
        <w:footnoteReference w:id="9970"/>
      </w:r>
      <w:r>
        <w:t xml:space="preserve">, and on his left Pedaiah and Mishael and Malchiah and Osam and Asabdana and Zechariah and Meshullam.</w:t>
      </w:r>
    </w:p>
    <w:p>
      <w:r>
        <w:rPr>
          <w:b/>
        </w:rPr>
        <w:t xml:space="preserve">5 </w:t>
      </w:r>
      <w:r>
        <w:t xml:space="preserve">And Ezra opened</w:t>
      </w:r>
      <w:r>
        <w:rPr>
          <w:rStyle w:val="FootnoteReference"/>
        </w:rPr>
        <w:footnoteReference w:id="9971"/>
      </w:r>
      <w:r>
        <w:t xml:space="preserve"> the book before all the people, because he was above all the people, and it came to be when he opened it all the people stood.</w:t>
      </w:r>
    </w:p>
    <w:p>
      <w:r>
        <w:rPr>
          <w:b/>
        </w:rPr>
        <w:t xml:space="preserve">6 </w:t>
      </w:r>
      <w:r>
        <w:t xml:space="preserve">And Ezra blessed</w:t>
      </w:r>
      <w:r>
        <w:rPr>
          <w:rStyle w:val="FootnoteReference"/>
        </w:rPr>
        <w:footnoteReference w:id="9972"/>
      </w:r>
      <w:r>
        <w:t xml:space="preserve"> the Lord, the great God, and all the people answered and said, Amen, lifting up their hands. And they bowed and worshiped the Lord with face to the ground.</w:t>
      </w:r>
    </w:p>
    <w:p>
      <w:r>
        <w:rPr>
          <w:b/>
        </w:rPr>
        <w:t xml:space="preserve">7 </w:t>
      </w:r>
      <w:r>
        <w:t xml:space="preserve">And Jeshua</w:t>
      </w:r>
      <w:r>
        <w:rPr>
          <w:rStyle w:val="FootnoteReference"/>
        </w:rPr>
        <w:footnoteReference w:id="9973"/>
      </w:r>
      <w:r>
        <w:t xml:space="preserve"> and Benaiah and Sherebiah</w:t>
      </w:r>
      <w:r>
        <w:rPr>
          <w:rStyle w:val="FootnoteReference"/>
        </w:rPr>
        <w:footnoteReference w:id="9974"/>
      </w:r>
      <w:r>
        <w:t xml:space="preserve"> were causing the people to understand the law, and the people stood in their place</w:t>
      </w:r>
      <w:r>
        <w:rPr>
          <w:rStyle w:val="FootnoteReference"/>
        </w:rPr>
        <w:footnoteReference w:id="9975"/>
      </w:r>
      <w:r>
        <w:t xml:space="preserve">.</w:t>
      </w:r>
    </w:p>
    <w:p>
      <w:r>
        <w:rPr>
          <w:b/>
        </w:rPr>
        <w:t xml:space="preserve">8 </w:t>
      </w:r>
      <w:r>
        <w:t xml:space="preserve">And they read in the book of the law of God, and Ezra was teaching and distinguishing it by knowledge of the Lord, and the people understood in the reading.</w:t>
      </w:r>
    </w:p>
    <w:p>
      <w:r>
        <w:rPr>
          <w:b/>
        </w:rPr>
        <w:t xml:space="preserve">9 </w:t>
      </w:r>
      <w:r>
        <w:t xml:space="preserve">And Nehemiah</w:t>
      </w:r>
      <w:r>
        <w:rPr>
          <w:rStyle w:val="FootnoteReference"/>
        </w:rPr>
        <w:footnoteReference w:id="9976"/>
      </w:r>
      <w:r>
        <w:t xml:space="preserve"> and Ezra the priest and scribe and the Levites teaching the people said to all the people, This day is holy to the Lord our God</w:t>
      </w:r>
      <w:r>
        <w:rPr>
          <w:rStyle w:val="FootnoteReference"/>
        </w:rPr>
        <w:footnoteReference w:id="9977"/>
      </w:r>
      <w:r>
        <w:t xml:space="preserve">. Do not mourn and do not weep. For all the people were weeping as they heard the words of the law.</w:t>
      </w:r>
    </w:p>
    <w:p>
      <w:r>
        <w:rPr>
          <w:b/>
        </w:rPr>
        <w:t xml:space="preserve">10 </w:t>
      </w:r>
      <w:r>
        <w:t xml:space="preserve">And he said to them, Go, eat fat things and drink sweet things and send</w:t>
      </w:r>
      <w:r>
        <w:rPr>
          <w:rStyle w:val="FootnoteReference"/>
        </w:rPr>
        <w:footnoteReference w:id="9978"/>
      </w:r>
      <w:r>
        <w:t xml:space="preserve"> portions to those having nothing, because the day is holy to our Lord, and do not fall away</w:t>
      </w:r>
      <w:r>
        <w:rPr>
          <w:rStyle w:val="FootnoteReference"/>
        </w:rPr>
        <w:footnoteReference w:id="9979"/>
      </w:r>
      <w:r>
        <w:t xml:space="preserve">, because he is your strength.</w:t>
      </w:r>
    </w:p>
    <w:p>
      <w:r>
        <w:rPr>
          <w:b/>
        </w:rPr>
        <w:t xml:space="preserve">11 </w:t>
      </w:r>
      <w:r>
        <w:t xml:space="preserve">And the Levites were silencing all the people, saying, Be silent, because the day is holy, and do not fall away.</w:t>
      </w:r>
    </w:p>
    <w:p>
      <w:r>
        <w:rPr>
          <w:b/>
        </w:rPr>
        <w:t xml:space="preserve">12 </w:t>
      </w:r>
      <w:r>
        <w:t xml:space="preserve">And all the people went away to eat and drink and send portions and make great rejoicing, because they understood in the words which he made known to them.</w:t>
      </w:r>
    </w:p>
    <w:p>
      <w:r>
        <w:rPr>
          <w:b/>
        </w:rPr>
        <w:t xml:space="preserve">13 </w:t>
      </w:r>
      <w:r>
        <w:t xml:space="preserve">And on the second</w:t>
      </w:r>
      <w:r>
        <w:rPr>
          <w:rStyle w:val="FootnoteReference"/>
        </w:rPr>
        <w:footnoteReference w:id="9980"/>
      </w:r>
      <w:r>
        <w:t xml:space="preserve"> day chiefs of the fathers of all the people, the priests and the Levites, were gathered to Ezra the scribe, to gain insight into all the words of the law.</w:t>
      </w:r>
    </w:p>
    <w:p>
      <w:r>
        <w:rPr>
          <w:b/>
        </w:rPr>
        <w:t xml:space="preserve">14 </w:t>
      </w:r>
      <w:r>
        <w:t xml:space="preserve">And they found written in the law which the Lord commanded by Moses that sons of Israel should dwell</w:t>
      </w:r>
      <w:r>
        <w:rPr>
          <w:rStyle w:val="FootnoteReference"/>
        </w:rPr>
        <w:footnoteReference w:id="9981"/>
      </w:r>
      <w:r>
        <w:t xml:space="preserve"> in booths during the feast in the seventh month,</w:t>
      </w:r>
    </w:p>
    <w:p>
      <w:r>
        <w:rPr>
          <w:b/>
        </w:rPr>
        <w:t xml:space="preserve">15 </w:t>
      </w:r>
      <w:r>
        <w:t xml:space="preserve">and that</w:t>
      </w:r>
      <w:r>
        <w:rPr>
          <w:rStyle w:val="FootnoteReference"/>
        </w:rPr>
        <w:footnoteReference w:id="9982"/>
      </w:r>
      <w:r>
        <w:t xml:space="preserve"> they should sound with trumpets in all their cities and in Jerusalem. And Ezra said, Go out to the mountain and bring leaves of olive and leaves of cypress woods and leaves of myrtle and leaves of palms and leaves of thick wood, to make booths according to what is written.</w:t>
      </w:r>
      <w:r>
        <w:rPr>
          <w:rStyle w:val="FootnoteReference"/>
        </w:rPr>
        <w:footnoteReference w:id="9983"/>
      </w:r>
    </w:p>
    <w:p>
      <w:r>
        <w:rPr>
          <w:b/>
        </w:rPr>
        <w:t xml:space="preserve">16 </w:t>
      </w:r>
      <w:r>
        <w:t xml:space="preserve">And the people went out and brought them and made booths for themselves, each on his roof and in their courts and in the courts</w:t>
      </w:r>
      <w:r>
        <w:rPr>
          <w:rStyle w:val="FootnoteReference"/>
        </w:rPr>
        <w:footnoteReference w:id="9984"/>
      </w:r>
      <w:r>
        <w:t xml:space="preserve"> of the house of God and in the broad places of the city, even to Gate of Ephraim.</w:t>
      </w:r>
      <w:r>
        <w:rPr>
          <w:rStyle w:val="FootnoteReference"/>
        </w:rPr>
        <w:footnoteReference w:id="9985"/>
      </w:r>
    </w:p>
    <w:p>
      <w:r>
        <w:rPr>
          <w:b/>
        </w:rPr>
        <w:t xml:space="preserve">17 </w:t>
      </w:r>
      <w:r>
        <w:t xml:space="preserve">And all the assembly, those returned from captivity, made booths and sat in booths, for the sons of Israel had not done thus</w:t>
      </w:r>
      <w:r>
        <w:rPr>
          <w:rStyle w:val="FootnoteReference"/>
        </w:rPr>
        <w:footnoteReference w:id="9986"/>
      </w:r>
      <w:r>
        <w:t xml:space="preserve"> from the days of Jeshua</w:t>
      </w:r>
      <w:r>
        <w:rPr>
          <w:rStyle w:val="FootnoteReference"/>
        </w:rPr>
        <w:footnoteReference w:id="9987"/>
      </w:r>
      <w:r>
        <w:t xml:space="preserve"> son of Nun until that day. And there was very great rejoicing.</w:t>
      </w:r>
    </w:p>
    <w:p>
      <w:r>
        <w:rPr>
          <w:b/>
        </w:rPr>
        <w:t xml:space="preserve">18 </w:t>
      </w:r>
      <w:r>
        <w:t xml:space="preserve">And he read in the book of the law of God day by day</w:t>
      </w:r>
      <w:r>
        <w:rPr>
          <w:rStyle w:val="FootnoteReference"/>
        </w:rPr>
        <w:footnoteReference w:id="9988"/>
      </w:r>
      <w:r>
        <w:t xml:space="preserve">, from the first day until the last day, and they kept feast seven days, and on the eighth day an assembly according to ordinance.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on the twenty</w:t>
      </w:r>
      <w:r>
        <w:rPr>
          <w:rStyle w:val="FootnoteReference"/>
        </w:rPr>
        <w:footnoteReference w:id="9989"/>
      </w:r>
      <w:r>
        <w:t xml:space="preserve">-fourth day of this month sons of Israel were gathered in fasting and in sackcloth.</w:t>
      </w:r>
    </w:p>
    <w:p>
      <w:r>
        <w:rPr>
          <w:b/>
        </w:rPr>
        <w:t xml:space="preserve">2 </w:t>
      </w:r>
      <w:r>
        <w:t xml:space="preserve">And sons of Israel were separated from every foreign son and stood and confessed</w:t>
      </w:r>
      <w:r>
        <w:rPr>
          <w:rStyle w:val="FootnoteReference"/>
        </w:rPr>
        <w:footnoteReference w:id="9990"/>
      </w:r>
      <w:r>
        <w:t xml:space="preserve"> their sins and lawless deeds of their fathers.</w:t>
      </w:r>
    </w:p>
    <w:p>
      <w:r>
        <w:rPr>
          <w:b/>
        </w:rPr>
        <w:t xml:space="preserve">3 </w:t>
      </w:r>
      <w:r>
        <w:t xml:space="preserve">And they stood</w:t>
      </w:r>
      <w:r>
        <w:rPr>
          <w:rStyle w:val="FootnoteReference"/>
        </w:rPr>
        <w:footnoteReference w:id="9991"/>
      </w:r>
      <w:r>
        <w:t xml:space="preserve"> at their standing place and read in the book of the law of the Lord their God, and they were confessing to the Lord and worshiping the Lord their God.</w:t>
      </w:r>
    </w:p>
    <w:p>
      <w:r>
        <w:rPr>
          <w:b/>
        </w:rPr>
        <w:t xml:space="preserve">4 </w:t>
      </w:r>
      <w:r>
        <w:t xml:space="preserve">And on the platform of the Levites stood Jeshua</w:t>
      </w:r>
      <w:r>
        <w:rPr>
          <w:rStyle w:val="FootnoteReference"/>
        </w:rPr>
        <w:footnoteReference w:id="9992"/>
      </w:r>
      <w:r>
        <w:t xml:space="preserve"> and sons of Kadmiel, Sachania son of Sherebiah, sons of Chenani</w:t>
      </w:r>
      <w:r>
        <w:rPr>
          <w:rStyle w:val="FootnoteReference"/>
        </w:rPr>
        <w:footnoteReference w:id="9993"/>
      </w:r>
      <w:r>
        <w:t xml:space="preserve">, and they cried with a loud voice to the Lord their God.</w:t>
      </w:r>
    </w:p>
    <w:p>
      <w:r>
        <w:rPr>
          <w:b/>
        </w:rPr>
        <w:t xml:space="preserve">5 </w:t>
      </w:r>
      <w:r>
        <w:t xml:space="preserve">And the Levites, Jeshua and Kadmiel, said, Rise, bless</w:t>
      </w:r>
      <w:r>
        <w:rPr>
          <w:rStyle w:val="FootnoteReference"/>
        </w:rPr>
        <w:footnoteReference w:id="9994"/>
      </w:r>
      <w:r>
        <w:t xml:space="preserve"> the Lord your God from age to age, and they will bless the name of your glory and will exalt it above every blessing and praise.</w:t>
      </w:r>
      <w:r>
        <w:rPr>
          <w:rStyle w:val="FootnoteReference"/>
        </w:rPr>
        <w:footnoteReference w:id="9995"/>
      </w:r>
    </w:p>
    <w:p>
      <w:r>
        <w:rPr>
          <w:b/>
        </w:rPr>
        <w:t xml:space="preserve">6 </w:t>
      </w:r>
      <w:r>
        <w:t xml:space="preserve">And Ezra said, You are the one, Lord alone. You made heaven and heaven of heaven and all their array, the earth and all things in it, the seas and all things in them, and you give life to all, and armies of heaven worship you.</w:t>
      </w:r>
    </w:p>
    <w:p>
      <w:r>
        <w:rPr>
          <w:b/>
        </w:rPr>
        <w:t xml:space="preserve">7 </w:t>
      </w:r>
      <w:r>
        <w:t xml:space="preserve">You are the Lord God. You chose Abram and brought him out from the land of the Chaldeans and placed on him the name Abraham.</w:t>
      </w:r>
    </w:p>
    <w:p>
      <w:r>
        <w:rPr>
          <w:b/>
        </w:rPr>
        <w:t xml:space="preserve">8 </w:t>
      </w:r>
      <w:r>
        <w:t xml:space="preserve">And you found his heart faithful before you and made covenant with him, to give to him land of the Canaanites</w:t>
      </w:r>
      <w:r>
        <w:rPr>
          <w:rStyle w:val="FootnoteReference"/>
        </w:rPr>
        <w:footnoteReference w:id="9996"/>
      </w:r>
      <w:r>
        <w:t xml:space="preserve"> and Hittites and Amorites and Perizzites and Jebusites and Girgashites, and to his seed, and you established your words, because you are righteous.</w:t>
      </w:r>
    </w:p>
    <w:p>
      <w:r>
        <w:rPr>
          <w:b/>
        </w:rPr>
        <w:t xml:space="preserve">9 </w:t>
      </w:r>
      <w:r>
        <w:t xml:space="preserve">And you saw humiliation of our fathers in Egypt, and their cry you heard at Red Sea.</w:t>
      </w:r>
    </w:p>
    <w:p>
      <w:r>
        <w:rPr>
          <w:b/>
        </w:rPr>
        <w:t xml:space="preserve">10 </w:t>
      </w:r>
      <w:r>
        <w:t xml:space="preserve">And you gave signs in Egypt against Pharaoh and all his servants and all the people of his land, because you knew that they acted proudly against them, and you made a name for yourself as this day</w:t>
      </w:r>
      <w:r>
        <w:rPr>
          <w:rStyle w:val="FootnoteReference"/>
        </w:rPr>
        <w:footnoteReference w:id="9997"/>
      </w:r>
      <w:r>
        <w:t xml:space="preserve">.</w:t>
      </w:r>
    </w:p>
    <w:p>
      <w:r>
        <w:rPr>
          <w:b/>
        </w:rPr>
        <w:t xml:space="preserve">11 </w:t>
      </w:r>
      <w:r>
        <w:t xml:space="preserve">And you split the sea before them, and they passed through the middle of the sea on dry land, and their pursuers you threw into the deep like a stone in mighty water.</w:t>
      </w:r>
    </w:p>
    <w:p>
      <w:r>
        <w:rPr>
          <w:b/>
        </w:rPr>
        <w:t xml:space="preserve">12 </w:t>
      </w:r>
      <w:r>
        <w:t xml:space="preserve">And in the pillar of cloud you guided them by day, and in the pillar of fire by night, to enlighten for them the road in which they would go.</w:t>
      </w:r>
    </w:p>
    <w:p>
      <w:r>
        <w:rPr>
          <w:b/>
        </w:rPr>
        <w:t xml:space="preserve">13 </w:t>
      </w:r>
      <w:r>
        <w:t xml:space="preserve">And upon Mount Sinai you came down and spoke to them from heaven and gave them straight judgments and laws of truth, good ordinances and commandments.</w:t>
      </w:r>
    </w:p>
    <w:p>
      <w:r>
        <w:rPr>
          <w:b/>
        </w:rPr>
        <w:t xml:space="preserve">14 </w:t>
      </w:r>
      <w:r>
        <w:t xml:space="preserve">And your holy Sabbath you made known to them, and by the hand of Moses</w:t>
      </w:r>
      <w:r>
        <w:rPr>
          <w:rStyle w:val="FootnoteReference"/>
        </w:rPr>
        <w:footnoteReference w:id="9998"/>
      </w:r>
      <w:r>
        <w:t xml:space="preserve"> your servant you commanded to them commandments and ordinances and law.</w:t>
      </w:r>
    </w:p>
    <w:p>
      <w:r>
        <w:rPr>
          <w:b/>
        </w:rPr>
        <w:t xml:space="preserve">15 </w:t>
      </w:r>
      <w:r>
        <w:t xml:space="preserve">And bread from heaven you gave to them for their hunger, and water from a rock you brought out for them for their thirst, and you told them to enter to inherit the land over which you stretched out your hand</w:t>
      </w:r>
      <w:r>
        <w:rPr>
          <w:rStyle w:val="FootnoteReference"/>
        </w:rPr>
        <w:footnoteReference w:id="9999"/>
      </w:r>
      <w:r>
        <w:t xml:space="preserve"> to give to them.</w:t>
      </w:r>
    </w:p>
    <w:p>
      <w:r>
        <w:rPr>
          <w:b/>
        </w:rPr>
        <w:t xml:space="preserve">16 </w:t>
      </w:r>
      <w:r>
        <w:t xml:space="preserve">But they and our fathers acted proudly and hardened</w:t>
      </w:r>
      <w:r>
        <w:rPr>
          <w:rStyle w:val="FootnoteReference"/>
        </w:rPr>
        <w:footnoteReference w:id="10000"/>
      </w:r>
      <w:r>
        <w:t xml:space="preserve"> their neck and did not hear your commandments.</w:t>
      </w:r>
    </w:p>
    <w:p>
      <w:r>
        <w:rPr>
          <w:b/>
        </w:rPr>
        <w:t xml:space="preserve">17 </w:t>
      </w:r>
      <w:r>
        <w:t xml:space="preserve">And they refused</w:t>
      </w:r>
      <w:r>
        <w:rPr>
          <w:rStyle w:val="FootnoteReference"/>
        </w:rPr>
        <w:footnoteReference w:id="10001"/>
      </w:r>
      <w:r>
        <w:t xml:space="preserve"> to hear and did not remember your wonders which you did with them, and they hardened their neck and gave a chief</w:t>
      </w:r>
      <w:r>
        <w:rPr>
          <w:rStyle w:val="FootnoteReference"/>
        </w:rPr>
        <w:footnoteReference w:id="10002"/>
      </w:r>
      <w:r>
        <w:t xml:space="preserve"> to return into their slavery in Egypt. But you are a God merciful and compassionate, long-suffering and abundant in mercy, and you did not forsake them.</w:t>
      </w:r>
    </w:p>
    <w:p>
      <w:r>
        <w:rPr>
          <w:b/>
        </w:rPr>
        <w:t xml:space="preserve">18 </w:t>
      </w:r>
      <w:r>
        <w:t xml:space="preserve">Even when they made for themselves a molten calf and said, These are your gods who brought us up from Egypt, and committed great provocations,</w:t>
      </w:r>
    </w:p>
    <w:p>
      <w:r>
        <w:rPr>
          <w:b/>
        </w:rPr>
        <w:t xml:space="preserve">19 </w:t>
      </w:r>
      <w:r>
        <w:t xml:space="preserve">you, in your many compassions</w:t>
      </w:r>
      <w:r>
        <w:rPr>
          <w:rStyle w:val="FootnoteReference"/>
        </w:rPr>
        <w:footnoteReference w:id="10003"/>
      </w:r>
      <w:r>
        <w:t xml:space="preserve">, did not forsake them in the wilderness. Pillar of cloud did not turn away from them by day to guide them in the road, nor pillar of fire by night to enlighten them the road in which they would go.</w:t>
      </w:r>
    </w:p>
    <w:p>
      <w:r>
        <w:rPr>
          <w:b/>
        </w:rPr>
        <w:t xml:space="preserve">20 </w:t>
      </w:r>
      <w:r>
        <w:t xml:space="preserve">And your good</w:t>
      </w:r>
      <w:r>
        <w:rPr>
          <w:rStyle w:val="FootnoteReference"/>
        </w:rPr>
        <w:footnoteReference w:id="10004"/>
      </w:r>
      <w:r>
        <w:t xml:space="preserve"> Spirit you gave to instruct them, and your manna you did not withhold from their mouth, and water you gave to them for their thirst.</w:t>
      </w:r>
    </w:p>
    <w:p>
      <w:r>
        <w:rPr>
          <w:b/>
        </w:rPr>
        <w:t xml:space="preserve">21 </w:t>
      </w:r>
      <w:r>
        <w:t xml:space="preserve">And forty</w:t>
      </w:r>
      <w:r>
        <w:rPr>
          <w:rStyle w:val="FootnoteReference"/>
        </w:rPr>
        <w:footnoteReference w:id="10005"/>
      </w:r>
      <w:r>
        <w:t xml:space="preserve"> years you sustained them in the wilderness. They did not lack. Their garments did not grow old, and their feet did not split.</w:t>
      </w:r>
    </w:p>
    <w:p>
      <w:r>
        <w:rPr>
          <w:b/>
        </w:rPr>
        <w:t xml:space="preserve">22 </w:t>
      </w:r>
      <w:r>
        <w:t xml:space="preserve">And you gave to them kingdoms and peoples and divided them out to them, and they inherited land of Sihon</w:t>
      </w:r>
      <w:r>
        <w:rPr>
          <w:rStyle w:val="FootnoteReference"/>
        </w:rPr>
        <w:footnoteReference w:id="10006"/>
      </w:r>
      <w:r>
        <w:t xml:space="preserve"> king of Heshbon and land of Og king of Bashan.</w:t>
      </w:r>
    </w:p>
    <w:p>
      <w:r>
        <w:rPr>
          <w:b/>
        </w:rPr>
        <w:t xml:space="preserve">23 </w:t>
      </w:r>
      <w:r>
        <w:t xml:space="preserve">And their sons you multiplied like stars of heaven, and you brought them into the land which you told their fathers, and they inherited it.</w:t>
      </w:r>
    </w:p>
    <w:p>
      <w:r>
        <w:rPr>
          <w:b/>
        </w:rPr>
        <w:t xml:space="preserve">24 </w:t>
      </w:r>
      <w:r>
        <w:t xml:space="preserve">And you subdued before them inhabitants of the land of the Canaanites and gave them into their hands, both their kings and the peoples of the land, to do to them as was pleasing before them</w:t>
      </w:r>
      <w:r>
        <w:rPr>
          <w:rStyle w:val="FootnoteReference"/>
        </w:rPr>
        <w:footnoteReference w:id="10007"/>
      </w:r>
      <w:r>
        <w:t xml:space="preserve">.</w:t>
      </w:r>
    </w:p>
    <w:p>
      <w:r>
        <w:rPr>
          <w:b/>
        </w:rPr>
        <w:t xml:space="preserve">25 </w:t>
      </w:r>
      <w:r>
        <w:t xml:space="preserve">And they seized lofty cities and inherited houses full of every good thing, hewn cisterns, vineyards and oliveyards and every edible tree in abundance. And they ate and were filled and grew fat and luxuriated</w:t>
      </w:r>
      <w:r>
        <w:rPr>
          <w:rStyle w:val="FootnoteReference"/>
        </w:rPr>
        <w:footnoteReference w:id="10008"/>
      </w:r>
      <w:r>
        <w:t xml:space="preserve"> in your great goodness.</w:t>
      </w:r>
    </w:p>
    <w:p>
      <w:r>
        <w:rPr>
          <w:b/>
        </w:rPr>
        <w:t xml:space="preserve">26 </w:t>
      </w:r>
      <w:r>
        <w:t xml:space="preserve">And they changed and turned away from you and cast your law behind their body</w:t>
      </w:r>
      <w:r>
        <w:rPr>
          <w:rStyle w:val="FootnoteReference"/>
        </w:rPr>
        <w:footnoteReference w:id="10009"/>
      </w:r>
      <w:r>
        <w:t xml:space="preserve">, and your prophets they killed, the ones who testified among them to turn them back to you, and they committed great provocations.</w:t>
      </w:r>
    </w:p>
    <w:p>
      <w:r>
        <w:rPr>
          <w:b/>
        </w:rPr>
        <w:t xml:space="preserve">27 </w:t>
      </w:r>
      <w:r>
        <w:t xml:space="preserve">And you gave them into the hand of those afflicting them, and they afflicted them, and they cried out to you in the time</w:t>
      </w:r>
      <w:r>
        <w:rPr>
          <w:rStyle w:val="FootnoteReference"/>
        </w:rPr>
        <w:footnoteReference w:id="10010"/>
      </w:r>
      <w:r>
        <w:t xml:space="preserve"> of their affliction, and you from heaven heard, and in your great compassions gave them saviors</w:t>
      </w:r>
      <w:r>
        <w:rPr>
          <w:rStyle w:val="FootnoteReference"/>
        </w:rPr>
        <w:footnoteReference w:id="10011"/>
      </w:r>
      <w:r>
        <w:t xml:space="preserve">, and they saved them from the hand of those afflicting them.</w:t>
      </w:r>
    </w:p>
    <w:p>
      <w:r>
        <w:rPr>
          <w:b/>
        </w:rPr>
        <w:t xml:space="preserve">28 </w:t>
      </w:r>
      <w:r>
        <w:t xml:space="preserve">And when they rested, they turned again to do evil before you, and you forsook them into the hands of their enemies, and they ruled over them</w:t>
      </w:r>
      <w:r>
        <w:rPr>
          <w:rStyle w:val="FootnoteReference"/>
        </w:rPr>
        <w:footnoteReference w:id="10012"/>
      </w:r>
      <w:r>
        <w:t xml:space="preserve">. And they cried out to you again, and you from heaven heard and rescued them in your many compassions.</w:t>
      </w:r>
    </w:p>
    <w:p>
      <w:r>
        <w:rPr>
          <w:b/>
        </w:rPr>
        <w:t xml:space="preserve">29 </w:t>
      </w:r>
      <w:r>
        <w:t xml:space="preserve">And you testified to them to turn them back to your law, but they did not hear. Instead, in your commandments and in your judgments they sinned, which if a man does he will live in them. And they gave a stubborn back</w:t>
      </w:r>
      <w:r>
        <w:rPr>
          <w:rStyle w:val="FootnoteReference"/>
        </w:rPr>
        <w:footnoteReference w:id="10013"/>
      </w:r>
      <w:r>
        <w:t xml:space="preserve"> and hardened</w:t>
      </w:r>
      <w:r>
        <w:rPr>
          <w:rStyle w:val="FootnoteReference"/>
        </w:rPr>
        <w:footnoteReference w:id="10014"/>
      </w:r>
      <w:r>
        <w:t xml:space="preserve"> their neck and did not hear.</w:t>
      </w:r>
    </w:p>
    <w:p>
      <w:r>
        <w:rPr>
          <w:b/>
        </w:rPr>
        <w:t xml:space="preserve">30 </w:t>
      </w:r>
      <w:r>
        <w:t xml:space="preserve">And you drew over them many years</w:t>
      </w:r>
      <w:r>
        <w:rPr>
          <w:rStyle w:val="FootnoteReference"/>
        </w:rPr>
        <w:footnoteReference w:id="10015"/>
      </w:r>
      <w:r>
        <w:t xml:space="preserve"> and testified to them by your Spirit in the hand of your prophets, and they gave no ear, and you gave them into the hand of the peoples of the land.</w:t>
      </w:r>
    </w:p>
    <w:p>
      <w:r>
        <w:rPr>
          <w:b/>
        </w:rPr>
        <w:t xml:space="preserve">31 </w:t>
      </w:r>
      <w:r>
        <w:t xml:space="preserve">But you, in your many compassions, did not make an end of them and did not forsake them, because strong and merciful and compassionate you are.</w:t>
      </w:r>
    </w:p>
    <w:p>
      <w:r>
        <w:rPr>
          <w:b/>
        </w:rPr>
        <w:t xml:space="preserve">32 </w:t>
      </w:r>
      <w:r>
        <w:t xml:space="preserve">And now, our God</w:t>
      </w:r>
      <w:r>
        <w:rPr>
          <w:rStyle w:val="FootnoteReference"/>
        </w:rPr>
        <w:footnoteReference w:id="10016"/>
      </w:r>
      <w:r>
        <w:t xml:space="preserve">, strong, great, mighty, and fearful, keeping your covenant and your mercy, let not all the toil grow little before you, which found us and our kings and our rulers and our priests and our prophets and our fathers and all your people, from the days of kings of Asshur until this day.</w:t>
      </w:r>
      <w:r>
        <w:rPr>
          <w:rStyle w:val="FootnoteReference"/>
        </w:rPr>
        <w:footnoteReference w:id="10017"/>
      </w:r>
    </w:p>
    <w:p>
      <w:r>
        <w:rPr>
          <w:b/>
        </w:rPr>
        <w:t xml:space="preserve">33 </w:t>
      </w:r>
      <w:r>
        <w:t xml:space="preserve">And you are righteous over all things coming upon us, because you did truth, and we sinned.</w:t>
      </w:r>
    </w:p>
    <w:p>
      <w:r>
        <w:rPr>
          <w:b/>
        </w:rPr>
        <w:t xml:space="preserve">34 </w:t>
      </w:r>
      <w:r>
        <w:t xml:space="preserve">And our kings and our rulers and our priests and our fathers did not do your law and did not pay attention to your commandments and your testimonies with which you testified to them.</w:t>
      </w:r>
    </w:p>
    <w:p>
      <w:r>
        <w:rPr>
          <w:b/>
        </w:rPr>
        <w:t xml:space="preserve">35 </w:t>
      </w:r>
      <w:r>
        <w:t xml:space="preserve">And they in your kingdom and in your great goodness which you gave to them, and in the broad and fat land</w:t>
      </w:r>
      <w:r>
        <w:rPr>
          <w:rStyle w:val="FootnoteReference"/>
        </w:rPr>
        <w:footnoteReference w:id="10018"/>
      </w:r>
      <w:r>
        <w:t xml:space="preserve"> which you gave before them, did not serve you and did not turn from their evil practices.</w:t>
      </w:r>
    </w:p>
    <w:p>
      <w:r>
        <w:rPr>
          <w:b/>
        </w:rPr>
        <w:t xml:space="preserve">36 </w:t>
      </w:r>
      <w:r>
        <w:t xml:space="preserve">Behold, we are slaves today, and the land which you gave to our fathers to eat its fruit,</w:t>
      </w:r>
    </w:p>
    <w:p>
      <w:r>
        <w:rPr>
          <w:b/>
        </w:rPr>
        <w:t xml:space="preserve">37 </w:t>
      </w:r>
      <w:r>
        <w:t xml:space="preserve">belongs to kings whom you set over us because of our sins, and over our bodies they rule, and over our cattle as is pleasing to them, and we are in great affliction.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in all these things we are making a faithful covenant and writing it, and all our rulers, our Levites, and our priests are sealing it.</w:t>
      </w:r>
      <w:r>
        <w:rPr>
          <w:rStyle w:val="FootnoteReference"/>
        </w:rPr>
        <w:footnoteReference w:id="10019"/>
      </w:r>
    </w:p>
    <w:p>
      <w:r>
        <w:rPr>
          <w:b/>
        </w:rPr>
        <w:t xml:space="preserve">2 </w:t>
      </w:r>
      <w:r>
        <w:t xml:space="preserve">And among the sealers: Nehemiah son of Hachaliah, and Zedekiah,</w:t>
      </w:r>
      <w:r>
        <w:rPr>
          <w:rStyle w:val="FootnoteReference"/>
        </w:rPr>
        <w:footnoteReference w:id="10020"/>
      </w:r>
      <w:r>
        <w:t xml:space="preserve"/>
      </w:r>
      <w:r>
        <w:rPr>
          <w:rStyle w:val="FootnoteReference"/>
        </w:rPr>
        <w:footnoteReference w:id="10021"/>
      </w:r>
    </w:p>
    <w:p>
      <w:r>
        <w:rPr>
          <w:b/>
        </w:rPr>
        <w:t xml:space="preserve">3 </w:t>
      </w:r>
      <w:r>
        <w:t xml:space="preserve">Seraia, Azariah, and Jeremiah,</w:t>
      </w:r>
    </w:p>
    <w:p>
      <w:r>
        <w:rPr>
          <w:b/>
        </w:rPr>
        <w:t xml:space="preserve">4 </w:t>
      </w:r>
      <w:r>
        <w:t xml:space="preserve">Pashur, Amariah, Malchijah,</w:t>
      </w:r>
    </w:p>
    <w:p>
      <w:r>
        <w:rPr>
          <w:b/>
        </w:rPr>
        <w:t xml:space="preserve">5 </w:t>
      </w:r>
      <w:r>
        <w:t xml:space="preserve">Hattush, Sebani, Malluch,</w:t>
      </w:r>
    </w:p>
    <w:p>
      <w:r>
        <w:rPr>
          <w:b/>
        </w:rPr>
        <w:t xml:space="preserve">6 </w:t>
      </w:r>
      <w:r>
        <w:t xml:space="preserve">Iram, Meremoth, Obadiah,</w:t>
      </w:r>
    </w:p>
    <w:p>
      <w:r>
        <w:rPr>
          <w:b/>
        </w:rPr>
        <w:t xml:space="preserve">7 </w:t>
      </w:r>
      <w:r>
        <w:t xml:space="preserve">Daniel, Ganathon, Baruch,</w:t>
      </w:r>
      <w:r>
        <w:rPr>
          <w:rStyle w:val="FootnoteReference"/>
        </w:rPr>
        <w:footnoteReference w:id="10022"/>
      </w:r>
    </w:p>
    <w:p>
      <w:r>
        <w:rPr>
          <w:b/>
        </w:rPr>
        <w:t xml:space="preserve">8 </w:t>
      </w:r>
      <w:r>
        <w:t xml:space="preserve">Meshullam, Abijah, Mijamin,</w:t>
      </w:r>
      <w:r>
        <w:rPr>
          <w:rStyle w:val="FootnoteReference"/>
        </w:rPr>
        <w:footnoteReference w:id="10023"/>
      </w:r>
    </w:p>
    <w:p>
      <w:r>
        <w:rPr>
          <w:b/>
        </w:rPr>
        <w:t xml:space="preserve">9 </w:t>
      </w:r>
      <w:r>
        <w:t xml:space="preserve">Maazia, Belgai, Shemaiah. These were priests.</w:t>
      </w:r>
      <w:r>
        <w:rPr>
          <w:rStyle w:val="FootnoteReference"/>
        </w:rPr>
        <w:footnoteReference w:id="10024"/>
      </w:r>
      <w:r>
        <w:t xml:space="preserve"/>
      </w:r>
    </w:p>
    <w:p>
      <w:r>
        <w:rPr>
          <w:b/>
        </w:rPr>
        <w:t xml:space="preserve">10 </w:t>
      </w:r>
      <w:r>
        <w:t xml:space="preserve">And the Levites: Jeshua son of Azania, Benaiah from the sons of Henadad, Kadmiel,</w:t>
      </w:r>
    </w:p>
    <w:p>
      <w:r>
        <w:rPr>
          <w:b/>
        </w:rPr>
        <w:t xml:space="preserve">11 </w:t>
      </w:r>
      <w:r>
        <w:t xml:space="preserve">and his brothers: Sabania, Hodaiah, Kalita, Pheleia, Anan,</w:t>
      </w:r>
      <w:r>
        <w:rPr>
          <w:rStyle w:val="FootnoteReference"/>
        </w:rPr>
        <w:footnoteReference w:id="10025"/>
      </w:r>
      <w:r>
        <w:t xml:space="preserve"/>
      </w:r>
    </w:p>
    <w:p>
      <w:r>
        <w:rPr>
          <w:b/>
        </w:rPr>
        <w:t xml:space="preserve">12 </w:t>
      </w:r>
      <w:r>
        <w:t xml:space="preserve">Micah</w:t>
      </w:r>
      <w:r>
        <w:rPr>
          <w:rStyle w:val="FootnoteReference"/>
        </w:rPr>
        <w:footnoteReference w:id="10026"/>
      </w:r>
      <w:r>
        <w:t xml:space="preserve">, Rehob</w:t>
      </w:r>
      <w:r>
        <w:rPr>
          <w:rStyle w:val="FootnoteReference"/>
        </w:rPr>
        <w:footnoteReference w:id="10027"/>
      </w:r>
      <w:r>
        <w:t xml:space="preserve">, Shebaniah,</w:t>
      </w:r>
    </w:p>
    <w:p>
      <w:r>
        <w:rPr>
          <w:b/>
        </w:rPr>
        <w:t xml:space="preserve">13 </w:t>
      </w:r>
      <w:r>
        <w:t xml:space="preserve">Zachor, Sherebiah, Sebania,</w:t>
      </w:r>
    </w:p>
    <w:p>
      <w:r>
        <w:rPr>
          <w:b/>
        </w:rPr>
        <w:t xml:space="preserve">14 </w:t>
      </w:r>
      <w:r>
        <w:t xml:space="preserve">Hodaiah, sons of Banounai.</w:t>
      </w:r>
      <w:r>
        <w:rPr>
          <w:rStyle w:val="FootnoteReference"/>
        </w:rPr>
        <w:footnoteReference w:id="10028"/>
      </w:r>
    </w:p>
    <w:p>
      <w:r>
        <w:rPr>
          <w:b/>
        </w:rPr>
        <w:t xml:space="preserve">15 </w:t>
      </w:r>
      <w:r>
        <w:t xml:space="preserve">Rulers of the people: Parosh, Pahathmoab, Elam, Zathouia, sons of</w:t>
      </w:r>
      <w:r>
        <w:rPr>
          <w:rStyle w:val="FootnoteReference"/>
        </w:rPr>
        <w:footnoteReference w:id="10029"/>
      </w:r>
    </w:p>
    <w:p>
      <w:r>
        <w:rPr>
          <w:b/>
        </w:rPr>
        <w:t xml:space="preserve">16 </w:t>
      </w:r>
      <w:r>
        <w:t xml:space="preserve">Bani, Azgad, Bebai,</w:t>
      </w:r>
    </w:p>
    <w:p>
      <w:r>
        <w:rPr>
          <w:b/>
        </w:rPr>
        <w:t xml:space="preserve">17 </w:t>
      </w:r>
      <w:r>
        <w:t xml:space="preserve">Edania, Bigvai, Adin,</w:t>
      </w:r>
      <w:r>
        <w:rPr>
          <w:rStyle w:val="FootnoteReference"/>
        </w:rPr>
        <w:footnoteReference w:id="10030"/>
      </w:r>
    </w:p>
    <w:p>
      <w:r>
        <w:rPr>
          <w:b/>
        </w:rPr>
        <w:t xml:space="preserve">18 </w:t>
      </w:r>
      <w:r>
        <w:t xml:space="preserve">Ater, Hezekiah, Azzur,</w:t>
      </w:r>
      <w:r>
        <w:rPr>
          <w:rStyle w:val="FootnoteReference"/>
        </w:rPr>
        <w:footnoteReference w:id="10031"/>
      </w:r>
      <w:r>
        <w:t xml:space="preserve"/>
      </w:r>
      <w:r>
        <w:rPr>
          <w:rStyle w:val="FootnoteReference"/>
        </w:rPr>
        <w:footnoteReference w:id="10032"/>
      </w:r>
    </w:p>
    <w:p>
      <w:r>
        <w:rPr>
          <w:b/>
        </w:rPr>
        <w:t xml:space="preserve">19 </w:t>
      </w:r>
      <w:r>
        <w:t xml:space="preserve">Hodaiah, Hashum, Besai,</w:t>
      </w:r>
      <w:r>
        <w:rPr>
          <w:rStyle w:val="FootnoteReference"/>
        </w:rPr>
        <w:footnoteReference w:id="10033"/>
      </w:r>
    </w:p>
    <w:p>
      <w:r>
        <w:rPr>
          <w:b/>
        </w:rPr>
        <w:t xml:space="preserve">20 </w:t>
      </w:r>
      <w:r>
        <w:t xml:space="preserve">Hariph, Anathoth, Nebai,</w:t>
      </w:r>
      <w:r>
        <w:rPr>
          <w:rStyle w:val="FootnoteReference"/>
        </w:rPr>
        <w:footnoteReference w:id="10034"/>
      </w:r>
      <w:r>
        <w:t xml:space="preserve"/>
      </w:r>
      <w:r>
        <w:rPr>
          <w:rStyle w:val="FootnoteReference"/>
        </w:rPr>
        <w:footnoteReference w:id="10035"/>
      </w:r>
    </w:p>
    <w:p>
      <w:r>
        <w:rPr>
          <w:b/>
        </w:rPr>
        <w:t xml:space="preserve">21 </w:t>
      </w:r>
      <w:r>
        <w:t xml:space="preserve">Magpiash, Meshullam, Hezir,</w:t>
      </w:r>
      <w:r>
        <w:rPr>
          <w:rStyle w:val="FootnoteReference"/>
        </w:rPr>
        <w:footnoteReference w:id="10036"/>
      </w:r>
      <w:r>
        <w:t xml:space="preserve"/>
      </w:r>
      <w:r>
        <w:rPr>
          <w:rStyle w:val="FootnoteReference"/>
        </w:rPr>
        <w:footnoteReference w:id="10037"/>
      </w:r>
    </w:p>
    <w:p>
      <w:r>
        <w:rPr>
          <w:b/>
        </w:rPr>
        <w:t xml:space="preserve">22 </w:t>
      </w:r>
      <w:r>
        <w:t xml:space="preserve">Meshezabeel, Zadok, Ieddoua,</w:t>
      </w:r>
      <w:r>
        <w:rPr>
          <w:rStyle w:val="FootnoteReference"/>
        </w:rPr>
        <w:footnoteReference w:id="10038"/>
      </w:r>
      <w:r>
        <w:t xml:space="preserve"/>
      </w:r>
    </w:p>
    <w:p>
      <w:r>
        <w:rPr>
          <w:b/>
        </w:rPr>
        <w:t xml:space="preserve">23 </w:t>
      </w:r>
      <w:r>
        <w:t xml:space="preserve">Phaltia, Anan, Anaia,</w:t>
      </w:r>
    </w:p>
    <w:p>
      <w:r>
        <w:rPr>
          <w:b/>
        </w:rPr>
        <w:t xml:space="preserve">24 </w:t>
      </w:r>
      <w:r>
        <w:t xml:space="preserve">Hoshea, Hananiah, Shobek,</w:t>
      </w:r>
    </w:p>
    <w:p>
      <w:r>
        <w:rPr>
          <w:b/>
        </w:rPr>
        <w:t xml:space="preserve">25 </w:t>
      </w:r>
      <w:r>
        <w:t xml:space="preserve">Hallohesh, Phalai, Shobek,</w:t>
      </w:r>
      <w:r>
        <w:rPr>
          <w:rStyle w:val="FootnoteReference"/>
        </w:rPr>
        <w:footnoteReference w:id="10039"/>
      </w:r>
      <w:r>
        <w:t xml:space="preserve"/>
      </w:r>
      <w:r>
        <w:rPr>
          <w:rStyle w:val="FootnoteReference"/>
        </w:rPr>
        <w:footnoteReference w:id="10040"/>
      </w:r>
    </w:p>
    <w:p>
      <w:r>
        <w:rPr>
          <w:b/>
        </w:rPr>
        <w:t xml:space="preserve">26 </w:t>
      </w:r>
      <w:r>
        <w:t xml:space="preserve">Rehum, Hanan</w:t>
      </w:r>
      <w:r>
        <w:rPr>
          <w:rStyle w:val="FootnoteReference"/>
        </w:rPr>
        <w:footnoteReference w:id="10041"/>
      </w:r>
      <w:r>
        <w:t xml:space="preserve">, Maaseiah,</w:t>
      </w:r>
    </w:p>
    <w:p>
      <w:r>
        <w:rPr>
          <w:b/>
        </w:rPr>
        <w:t xml:space="preserve">27 </w:t>
      </w:r>
      <w:r>
        <w:t xml:space="preserve">and Aia</w:t>
      </w:r>
      <w:r>
        <w:rPr>
          <w:rStyle w:val="FootnoteReference"/>
        </w:rPr>
        <w:footnoteReference w:id="10042"/>
      </w:r>
      <w:r>
        <w:t xml:space="preserve">, Harim, Anan,</w:t>
      </w:r>
    </w:p>
    <w:p>
      <w:r>
        <w:rPr>
          <w:b/>
        </w:rPr>
        <w:t xml:space="preserve">28 </w:t>
      </w:r>
      <w:r>
        <w:t xml:space="preserve">Malluch, Harim, Baana.</w:t>
      </w:r>
      <w:r>
        <w:rPr>
          <w:rStyle w:val="FootnoteReference"/>
        </w:rPr>
        <w:footnoteReference w:id="10043"/>
      </w:r>
    </w:p>
    <w:p>
      <w:r>
        <w:rPr>
          <w:b/>
        </w:rPr>
        <w:t xml:space="preserve">29 </w:t>
      </w:r>
      <w:r>
        <w:t xml:space="preserve">And the rest of the people, the priests, the Levites, the gatekeepers, the singers, the nethinim, and everyone joining from the peoples of the land to the law of God, their wives, their sons, their daughters, everyone knowing and understanding</w:t>
      </w:r>
      <w:r>
        <w:rPr>
          <w:rStyle w:val="FootnoteReference"/>
        </w:rPr>
        <w:footnoteReference w:id="10044"/>
      </w:r>
      <w:r>
        <w:t xml:space="preserve">,</w:t>
      </w:r>
    </w:p>
    <w:p>
      <w:r>
        <w:rPr>
          <w:b/>
        </w:rPr>
        <w:t xml:space="preserve">30 </w:t>
      </w:r>
      <w:r>
        <w:t xml:space="preserve">were strengthening themselves upon their brothers, and cursed themselves</w:t>
      </w:r>
      <w:r>
        <w:rPr>
          <w:rStyle w:val="FootnoteReference"/>
        </w:rPr>
        <w:footnoteReference w:id="10045"/>
      </w:r>
      <w:r>
        <w:t xml:space="preserve"> and entered into a curse and into an oath, to walk in the law of God which was given by the hand of Moses servant of God, and to keep and do all commandments of the Lord our God and his judgments,</w:t>
      </w:r>
    </w:p>
    <w:p>
      <w:r>
        <w:rPr>
          <w:b/>
        </w:rPr>
        <w:t xml:space="preserve">31 </w:t>
      </w:r>
      <w:r>
        <w:t xml:space="preserve">and that we</w:t>
      </w:r>
      <w:r>
        <w:rPr>
          <w:rStyle w:val="FootnoteReference"/>
        </w:rPr>
        <w:footnoteReference w:id="10046"/>
      </w:r>
      <w:r>
        <w:t xml:space="preserve"> would not give our daughters to the peoples of the land</w:t>
      </w:r>
      <w:r>
        <w:rPr>
          <w:rStyle w:val="FootnoteReference"/>
        </w:rPr>
        <w:footnoteReference w:id="10047"/>
      </w:r>
      <w:r>
        <w:t xml:space="preserve"> and would not take their daughters for our sons,</w:t>
      </w:r>
    </w:p>
    <w:p>
      <w:r>
        <w:rPr>
          <w:b/>
        </w:rPr>
        <w:t xml:space="preserve">32 </w:t>
      </w:r>
      <w:r>
        <w:t xml:space="preserve">and that from the peoples of the land bringing wares and every merchandise on Sabbath day to sell, we would not buy from them on Sabbath and on holy day, and we would leave the seventh year and demand of every hand</w:t>
      </w:r>
      <w:r>
        <w:rPr>
          <w:rStyle w:val="FootnoteReference"/>
        </w:rPr>
        <w:footnoteReference w:id="10048"/>
      </w:r>
      <w:r>
        <w:t xml:space="preserve">.</w:t>
      </w:r>
    </w:p>
    <w:p>
      <w:r>
        <w:rPr>
          <w:b/>
        </w:rPr>
        <w:t xml:space="preserve">33 </w:t>
      </w:r>
      <w:r>
        <w:t xml:space="preserve">And we will set commandments upon ourselves, to give upon ourselves a third of a didrachma yearly for the service of the house of our God,</w:t>
      </w:r>
      <w:r>
        <w:rPr>
          <w:rStyle w:val="FootnoteReference"/>
        </w:rPr>
        <w:footnoteReference w:id="10049"/>
      </w:r>
    </w:p>
    <w:p>
      <w:r>
        <w:rPr>
          <w:b/>
        </w:rPr>
        <w:t xml:space="preserve">34 </w:t>
      </w:r>
      <w:r>
        <w:t xml:space="preserve">for the bread of the presence and sacrifice of the continual offering and for the continual whole burnt offering of the Sabbaths, of the new moons, for the feasts and for the holy things and for the sin offerings to make atonement concerning Israel, and for the works of the house of our God.</w:t>
      </w:r>
      <w:r>
        <w:rPr>
          <w:rStyle w:val="FootnoteReference"/>
        </w:rPr>
        <w:footnoteReference w:id="10050"/>
      </w:r>
      <w:r>
        <w:rPr>
          <w:rStyle w:val="FootnoteReference"/>
        </w:rPr>
        <w:footnoteReference w:id="10051"/>
      </w:r>
    </w:p>
    <w:p>
      <w:r>
        <w:rPr>
          <w:b/>
        </w:rPr>
        <w:t xml:space="preserve">35 </w:t>
      </w:r>
      <w:r>
        <w:t xml:space="preserve">And we cast lots concerning lot of wood-bearing, the priests and the Levites and the people, to bring into the house of our God, to the house of our fathers, at appointed times from years, year by year, to burn on the altar of the Lord our God as written in the law,</w:t>
      </w:r>
    </w:p>
    <w:p>
      <w:r>
        <w:rPr>
          <w:b/>
        </w:rPr>
        <w:t xml:space="preserve">36 </w:t>
      </w:r>
      <w:r>
        <w:t xml:space="preserve">and to bring firstfruits of our land</w:t>
      </w:r>
      <w:r>
        <w:rPr>
          <w:rStyle w:val="FootnoteReference"/>
        </w:rPr>
        <w:footnoteReference w:id="10052"/>
      </w:r>
      <w:r>
        <w:t xml:space="preserve"> and firstfruits of fruit of every tree, year by year, into the house of the Lord,</w:t>
      </w:r>
    </w:p>
    <w:p>
      <w:r>
        <w:rPr>
          <w:b/>
        </w:rPr>
        <w:t xml:space="preserve">37 </w:t>
      </w:r>
      <w:r>
        <w:t xml:space="preserve">and the firstborn of our sons and our cattle as written in the law, and firstborn of our cattle and our flocks, to bring into the house of our God, to the priests ministering in the house of our God,</w:t>
      </w:r>
      <w:r>
        <w:rPr>
          <w:rStyle w:val="FootnoteReference"/>
        </w:rPr>
        <w:footnoteReference w:id="10053"/>
      </w:r>
    </w:p>
    <w:p>
      <w:r>
        <w:rPr>
          <w:b/>
        </w:rPr>
        <w:t xml:space="preserve">38 </w:t>
      </w:r>
      <w:r>
        <w:t xml:space="preserve">and the firstfruit of our grains and fruit of every tree, wine and oil, we will bring to the priests into the treasury-room of the house of God, and tithe of our land</w:t>
      </w:r>
      <w:r>
        <w:rPr>
          <w:rStyle w:val="FootnoteReference"/>
        </w:rPr>
        <w:footnoteReference w:id="10054"/>
      </w:r>
      <w:r>
        <w:t xml:space="preserve"> to the Levites, and they, the Levites, are tithing in all cities of our service.</w:t>
      </w:r>
    </w:p>
    <w:p>
      <w:r>
        <w:rPr>
          <w:b/>
        </w:rPr>
        <w:t xml:space="preserve">39 </w:t>
      </w:r>
      <w:r>
        <w:t xml:space="preserve">And priest son of Aaron shall be with the Levite in tithe of the Levite, and the Levites shall bring up tithe of the tithe</w:t>
      </w:r>
      <w:r>
        <w:rPr>
          <w:rStyle w:val="FootnoteReference"/>
        </w:rPr>
        <w:footnoteReference w:id="10055"/>
      </w:r>
      <w:r>
        <w:t xml:space="preserve"> into the house of our God, into the treasury-rooms, into the house of God.</w:t>
      </w:r>
    </w:p>
    <w:p>
      <w:r>
        <w:rPr>
          <w:b/>
        </w:rPr>
        <w:t xml:space="preserve">40 </w:t>
      </w:r>
      <w:r>
        <w:t xml:space="preserve">For into the treasuries sons of Israel and sons of Levi will bring the firstfruits of the grain and the wine and the oil, and there are the holy vessels and the ministering priests and the gatekeepers and the singers, and we will not forsake house of 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the rulers</w:t>
      </w:r>
      <w:r>
        <w:rPr>
          <w:rStyle w:val="FootnoteReference"/>
        </w:rPr>
        <w:footnoteReference w:id="10056"/>
      </w:r>
      <w:r>
        <w:t xml:space="preserve"> of the people settled in Jerusalem, and the rest of the people cast lots to bring one of ten to settle in Jerusalem, the holy city, and nine parts in the cities.</w:t>
      </w:r>
    </w:p>
    <w:p>
      <w:r>
        <w:rPr>
          <w:b/>
        </w:rPr>
        <w:t xml:space="preserve">2 </w:t>
      </w:r>
      <w:r>
        <w:t xml:space="preserve">And the people blessed</w:t>
      </w:r>
      <w:r>
        <w:rPr>
          <w:rStyle w:val="FootnoteReference"/>
        </w:rPr>
        <w:footnoteReference w:id="10057"/>
      </w:r>
      <w:r>
        <w:t xml:space="preserve"> all the men freely choosing to settle in Jerusalem.</w:t>
      </w:r>
    </w:p>
    <w:p>
      <w:r>
        <w:rPr>
          <w:b/>
        </w:rPr>
        <w:t xml:space="preserve">3 </w:t>
      </w:r>
      <w:r>
        <w:t xml:space="preserve">And these are rulers of the province who settled in Jerusalem, while in the cities of Judah each settled in his own holding</w:t>
      </w:r>
      <w:r>
        <w:rPr>
          <w:rStyle w:val="FootnoteReference"/>
        </w:rPr>
        <w:footnoteReference w:id="10058"/>
      </w:r>
      <w:r>
        <w:t xml:space="preserve">, in their cities: Israel</w:t>
      </w:r>
      <w:r>
        <w:rPr>
          <w:rStyle w:val="FootnoteReference"/>
        </w:rPr>
        <w:footnoteReference w:id="10059"/>
      </w:r>
      <w:r>
        <w:t xml:space="preserve">, the priests, and the Levites, and the nethinim, and sons of servants of Solomon.</w:t>
      </w:r>
    </w:p>
    <w:p>
      <w:r>
        <w:rPr>
          <w:b/>
        </w:rPr>
        <w:t xml:space="preserve">4 </w:t>
      </w:r>
      <w:r>
        <w:t xml:space="preserve">And in Jerusalem settled</w:t>
      </w:r>
      <w:r>
        <w:rPr>
          <w:rStyle w:val="FootnoteReference"/>
        </w:rPr>
        <w:footnoteReference w:id="10060"/>
      </w:r>
      <w:r>
        <w:t xml:space="preserve"> some from the sons of Judah and some from the sons of Benjamin. From the sons of Judah: Athaiah</w:t>
      </w:r>
      <w:r>
        <w:rPr>
          <w:rStyle w:val="FootnoteReference"/>
        </w:rPr>
        <w:footnoteReference w:id="10061"/>
      </w:r>
      <w:r>
        <w:t xml:space="preserve"> son of Uzziah, son of Zechariah, son of Amariah, son of Shephatiah, son of Mahalaleel, from the sons of Perez</w:t>
      </w:r>
      <w:r>
        <w:rPr>
          <w:rStyle w:val="FootnoteReference"/>
        </w:rPr>
        <w:footnoteReference w:id="10062"/>
      </w:r>
      <w:r>
        <w:t xml:space="preserve">,</w:t>
      </w:r>
    </w:p>
    <w:p>
      <w:r>
        <w:rPr>
          <w:b/>
        </w:rPr>
        <w:t xml:space="preserve">5 </w:t>
      </w:r>
      <w:r>
        <w:t xml:space="preserve">and Amasai son of Baruch, son of Chalaza, son of Uzziah, son of Adaiah, son of Joiarib</w:t>
      </w:r>
      <w:r>
        <w:rPr>
          <w:rStyle w:val="FootnoteReference"/>
        </w:rPr>
        <w:footnoteReference w:id="10063"/>
      </w:r>
      <w:r>
        <w:t xml:space="preserve">, son of Hazaiah</w:t>
      </w:r>
      <w:r>
        <w:rPr>
          <w:rStyle w:val="FootnoteReference"/>
        </w:rPr>
        <w:footnoteReference w:id="10064"/>
      </w:r>
      <w:r>
        <w:t xml:space="preserve">, son of the Shilonite.</w:t>
      </w:r>
    </w:p>
    <w:p>
      <w:r>
        <w:rPr>
          <w:b/>
        </w:rPr>
        <w:t xml:space="preserve">6 </w:t>
      </w:r>
      <w:r>
        <w:t xml:space="preserve">All sons of Perez settling in Jerusalem: four hundred sixty-eight mighty men.</w:t>
      </w:r>
    </w:p>
    <w:p>
      <w:r>
        <w:rPr>
          <w:b/>
        </w:rPr>
        <w:t xml:space="preserve">7 </w:t>
      </w:r>
      <w:r>
        <w:t xml:space="preserve">And these are sons of Benjamin: Sallu son of Meshullam, son of Joed</w:t>
      </w:r>
      <w:r>
        <w:rPr>
          <w:rStyle w:val="FootnoteReference"/>
        </w:rPr>
        <w:footnoteReference w:id="10065"/>
      </w:r>
      <w:r>
        <w:t xml:space="preserve">, son of Pedaiah, son of Kolaiah</w:t>
      </w:r>
      <w:r>
        <w:rPr>
          <w:rStyle w:val="FootnoteReference"/>
        </w:rPr>
        <w:footnoteReference w:id="10066"/>
      </w:r>
      <w:r>
        <w:t xml:space="preserve">, son of Maaseiah, son of Ithiel</w:t>
      </w:r>
      <w:r>
        <w:rPr>
          <w:rStyle w:val="FootnoteReference"/>
        </w:rPr>
        <w:footnoteReference w:id="10067"/>
      </w:r>
      <w:r>
        <w:t xml:space="preserve">, son of Ishiah.</w:t>
      </w:r>
    </w:p>
    <w:p>
      <w:r>
        <w:rPr>
          <w:b/>
        </w:rPr>
        <w:t xml:space="preserve">8 </w:t>
      </w:r>
      <w:r>
        <w:t xml:space="preserve">And after him: Gabbai</w:t>
      </w:r>
      <w:r>
        <w:rPr>
          <w:rStyle w:val="FootnoteReference"/>
        </w:rPr>
        <w:footnoteReference w:id="10068"/>
      </w:r>
      <w:r>
        <w:t xml:space="preserve">, Sallai</w:t>
      </w:r>
      <w:r>
        <w:rPr>
          <w:rStyle w:val="FootnoteReference"/>
        </w:rPr>
        <w:footnoteReference w:id="10069"/>
      </w:r>
      <w:r>
        <w:t xml:space="preserve">, nine hundred twenty-eight.</w:t>
      </w:r>
    </w:p>
    <w:p>
      <w:r>
        <w:rPr>
          <w:b/>
        </w:rPr>
        <w:t xml:space="preserve">9 </w:t>
      </w:r>
      <w:r>
        <w:t xml:space="preserve">And Iddo son of Zichri was overseer over them, and Judah</w:t>
      </w:r>
      <w:r>
        <w:rPr>
          <w:rStyle w:val="FootnoteReference"/>
        </w:rPr>
        <w:footnoteReference w:id="10070"/>
      </w:r>
      <w:r>
        <w:t xml:space="preserve"> son of Senuah</w:t>
      </w:r>
      <w:r>
        <w:rPr>
          <w:rStyle w:val="FootnoteReference"/>
        </w:rPr>
        <w:footnoteReference w:id="10071"/>
      </w:r>
      <w:r>
        <w:t xml:space="preserve"> was second over the city.</w:t>
      </w:r>
    </w:p>
    <w:p>
      <w:r>
        <w:rPr>
          <w:b/>
        </w:rPr>
        <w:t xml:space="preserve">10 </w:t>
      </w:r>
      <w:r>
        <w:t xml:space="preserve">From the priests: Jedaiah</w:t>
      </w:r>
      <w:r>
        <w:rPr>
          <w:rStyle w:val="FootnoteReference"/>
        </w:rPr>
        <w:footnoteReference w:id="10072"/>
      </w:r>
      <w:r>
        <w:t xml:space="preserve"> son of Joiarib, Jachin,</w:t>
      </w:r>
    </w:p>
    <w:p>
      <w:r>
        <w:rPr>
          <w:b/>
        </w:rPr>
        <w:t xml:space="preserve">11 </w:t>
      </w:r>
      <w:r>
        <w:t xml:space="preserve">Seraiah</w:t>
      </w:r>
      <w:r>
        <w:rPr>
          <w:rStyle w:val="FootnoteReference"/>
        </w:rPr>
        <w:footnoteReference w:id="10073"/>
      </w:r>
      <w:r>
        <w:t xml:space="preserve"> son of Hilkiah, son of Meshullam, son of Zadok, son of Meraioth, son of Ahitub, opposite the house of God,</w:t>
      </w:r>
    </w:p>
    <w:p>
      <w:r>
        <w:rPr>
          <w:b/>
        </w:rPr>
        <w:t xml:space="preserve">12 </w:t>
      </w:r>
      <w:r>
        <w:t xml:space="preserve">and their brothers doing work of the house: Amasai son of Zechariah, son of Pashur, son of Malchijah,</w:t>
      </w:r>
      <w:r>
        <w:rPr>
          <w:rStyle w:val="FootnoteReference"/>
        </w:rPr>
        <w:footnoteReference w:id="10074"/>
      </w:r>
      <w:r>
        <w:t xml:space="preserve"/>
      </w:r>
    </w:p>
    <w:p>
      <w:r>
        <w:rPr>
          <w:b/>
        </w:rPr>
        <w:t xml:space="preserve">13 </w:t>
      </w:r>
      <w:r>
        <w:t xml:space="preserve">heads of fathers: two hundred forty-two. And Amasa son of Azriel,</w:t>
      </w:r>
    </w:p>
    <w:p>
      <w:r>
        <w:rPr>
          <w:b/>
        </w:rPr>
        <w:t xml:space="preserve">14 </w:t>
      </w:r>
      <w:r>
        <w:t xml:space="preserve">and his brothers, mighty men of battle: one hundred twenty-eight, and their overseer was Zabdiel.</w:t>
      </w:r>
    </w:p>
    <w:p>
      <w:r>
        <w:rPr>
          <w:b/>
        </w:rPr>
        <w:t xml:space="preserve">15 </w:t>
      </w:r>
      <w:r>
        <w:t xml:space="preserve">And from the Levites: Shemaiah</w:t>
      </w:r>
      <w:r>
        <w:rPr>
          <w:rStyle w:val="FootnoteReference"/>
        </w:rPr>
        <w:footnoteReference w:id="10075"/>
      </w:r>
      <w:r>
        <w:t xml:space="preserve"> son of Shobek, son of Ezri,</w:t>
      </w:r>
    </w:p>
    <w:p>
      <w:r>
        <w:rPr>
          <w:b/>
        </w:rPr>
        <w:t xml:space="preserve">17 </w:t>
      </w:r>
      <w:r>
        <w:t xml:space="preserve">and Mattaniah son of Micah and Obed son of Samoui,</w:t>
      </w:r>
      <w:r>
        <w:rPr>
          <w:rStyle w:val="FootnoteReference"/>
        </w:rPr>
        <w:footnoteReference w:id="10076"/>
      </w:r>
    </w:p>
    <w:p>
      <w:r>
        <w:rPr>
          <w:b/>
        </w:rPr>
        <w:t xml:space="preserve">18 </w:t>
      </w:r>
      <w:r>
        <w:t xml:space="preserve">two hundred eighty-four.</w:t>
      </w:r>
    </w:p>
    <w:p>
      <w:r>
        <w:rPr>
          <w:b/>
        </w:rPr>
        <w:t xml:space="preserve">19 </w:t>
      </w:r>
      <w:r>
        <w:t xml:space="preserve">And the gatekeepers: Akkub</w:t>
      </w:r>
      <w:r>
        <w:rPr>
          <w:rStyle w:val="FootnoteReference"/>
        </w:rPr>
        <w:footnoteReference w:id="10077"/>
      </w:r>
      <w:r>
        <w:t xml:space="preserve">, Telamin, and their brothers: one hundred seventy-two.</w:t>
      </w:r>
    </w:p>
    <w:p>
      <w:r>
        <w:rPr>
          <w:b/>
        </w:rPr>
        <w:t xml:space="preserve">22 </w:t>
      </w:r>
      <w:r>
        <w:t xml:space="preserve">And the overseer</w:t>
      </w:r>
      <w:r>
        <w:rPr>
          <w:rStyle w:val="FootnoteReference"/>
        </w:rPr>
        <w:footnoteReference w:id="10078"/>
      </w:r>
      <w:r>
        <w:t xml:space="preserve"> of the Levites was the son of Bani, Uzzi, son of Hashabiah, son of Micah, from the sons of Asaph the singers, over against work of the house of God</w:t>
      </w:r>
      <w:r>
        <w:rPr>
          <w:rStyle w:val="FootnoteReference"/>
        </w:rPr>
        <w:footnoteReference w:id="10079"/>
      </w:r>
      <w:r>
        <w:t xml:space="preserve">.</w:t>
      </w:r>
    </w:p>
    <w:p>
      <w:r>
        <w:rPr>
          <w:b/>
        </w:rPr>
        <w:t xml:space="preserve">23 </w:t>
      </w:r>
      <w:r>
        <w:t xml:space="preserve">For the command of the king was upon them</w:t>
      </w:r>
      <w:r>
        <w:rPr>
          <w:rStyle w:val="FootnoteReference"/>
        </w:rPr>
        <w:footnoteReference w:id="10080"/>
      </w:r>
      <w:r>
        <w:t xml:space="preserve">.</w:t>
      </w:r>
    </w:p>
    <w:p>
      <w:r>
        <w:rPr>
          <w:b/>
        </w:rPr>
        <w:t xml:space="preserve">24 </w:t>
      </w:r>
      <w:r>
        <w:t xml:space="preserve">And Pathaia son of Meshezabeel</w:t>
      </w:r>
      <w:r>
        <w:rPr>
          <w:rStyle w:val="FootnoteReference"/>
        </w:rPr>
        <w:footnoteReference w:id="10081"/>
      </w:r>
      <w:r>
        <w:t xml:space="preserve"> was at hand of the king for every matter of the people.</w:t>
      </w:r>
    </w:p>
    <w:p>
      <w:r>
        <w:rPr>
          <w:b/>
        </w:rPr>
        <w:t xml:space="preserve">25 </w:t>
      </w:r>
      <w:r>
        <w:t xml:space="preserve">And toward the farmsteads in their field, some from the sons of Judah settled in Kirjatharba</w:t>
      </w:r>
      <w:r>
        <w:rPr>
          <w:rStyle w:val="FootnoteReference"/>
        </w:rPr>
        <w:footnoteReference w:id="10082"/>
      </w:r>
      <w:r>
        <w:t xml:space="preserve"/>
      </w:r>
      <w:r>
        <w:rPr>
          <w:rStyle w:val="FootnoteReference"/>
        </w:rPr>
        <w:footnoteReference w:id="10083"/>
      </w:r>
    </w:p>
    <w:p>
      <w:r>
        <w:rPr>
          <w:b/>
        </w:rPr>
        <w:t xml:space="preserve">26 </w:t>
      </w:r>
      <w:r>
        <w:t xml:space="preserve">and in Jeshuah</w:t>
      </w:r>
      <w:r>
        <w:rPr>
          <w:rStyle w:val="FootnoteReference"/>
        </w:rPr>
        <w:footnoteReference w:id="10084"/>
      </w:r>
      <w:r>
        <w:t xml:space="preserve"/>
      </w:r>
    </w:p>
    <w:p>
      <w:r>
        <w:rPr>
          <w:b/>
        </w:rPr>
        <w:t xml:space="preserve">27 </w:t>
      </w:r>
      <w:r>
        <w:t xml:space="preserve">and in Beersheba,</w:t>
      </w:r>
      <w:r>
        <w:rPr>
          <w:rStyle w:val="FootnoteReference"/>
        </w:rPr>
        <w:footnoteReference w:id="10085"/>
      </w:r>
      <w:r>
        <w:t xml:space="preserve"/>
      </w:r>
    </w:p>
    <w:p>
      <w:r>
        <w:rPr>
          <w:b/>
        </w:rPr>
        <w:t xml:space="preserve">30 </w:t>
      </w:r>
      <w:r>
        <w:t xml:space="preserve">and their farmsteads, Lachish and its fields, and they camped in Beersheba.</w:t>
      </w:r>
      <w:r>
        <w:rPr>
          <w:rStyle w:val="FootnoteReference"/>
        </w:rPr>
        <w:footnoteReference w:id="10086"/>
      </w:r>
      <w:r>
        <w:t xml:space="preserve"/>
      </w:r>
      <w:r>
        <w:rPr>
          <w:rStyle w:val="FootnoteReference"/>
        </w:rPr>
        <w:footnoteReference w:id="10087"/>
      </w:r>
    </w:p>
    <w:p>
      <w:r>
        <w:rPr>
          <w:b/>
        </w:rPr>
        <w:t xml:space="preserve">31 </w:t>
      </w:r>
      <w:r>
        <w:t xml:space="preserve">And sons of Benjamin settled from Gaba, Machamas,</w:t>
      </w:r>
    </w:p>
    <w:p>
      <w:r>
        <w:rPr>
          <w:b/>
        </w:rPr>
        <w:t xml:space="preserve">36 </w:t>
      </w:r>
      <w:r>
        <w:t xml:space="preserve">And from the Levites, divisions</w:t>
      </w:r>
      <w:r>
        <w:rPr>
          <w:rStyle w:val="FootnoteReference"/>
        </w:rPr>
        <w:footnoteReference w:id="10088"/>
      </w:r>
      <w:r>
        <w:t xml:space="preserve"> of Judah were for Benjamin.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these are the priests</w:t>
      </w:r>
      <w:r>
        <w:rPr>
          <w:rStyle w:val="FootnoteReference"/>
        </w:rPr>
        <w:footnoteReference w:id="10089"/>
      </w:r>
      <w:r>
        <w:t xml:space="preserve"> and the Levites who came up with Zerubbabel son of Shealtiel and Jeshua: Seraiah, Jeremiah, Ezra,</w:t>
      </w:r>
    </w:p>
    <w:p>
      <w:r>
        <w:rPr>
          <w:b/>
        </w:rPr>
        <w:t xml:space="preserve">2 </w:t>
      </w:r>
      <w:r>
        <w:t xml:space="preserve">Amariah, Malluch</w:t>
      </w:r>
      <w:r>
        <w:rPr>
          <w:rStyle w:val="FootnoteReference"/>
        </w:rPr>
        <w:footnoteReference w:id="10090"/>
      </w:r>
      <w:r>
        <w:t xml:space="preserve">,</w:t>
      </w:r>
    </w:p>
    <w:p>
      <w:r>
        <w:rPr>
          <w:b/>
        </w:rPr>
        <w:t xml:space="preserve">3 </w:t>
      </w:r>
      <w:r>
        <w:t xml:space="preserve">Shecaniah,</w:t>
      </w:r>
    </w:p>
    <w:p>
      <w:r>
        <w:rPr>
          <w:b/>
        </w:rPr>
        <w:t xml:space="preserve">7 </w:t>
      </w:r>
      <w:r>
        <w:t xml:space="preserve">These were leaders of the priests and their brothers in the days of Jeshua</w:t>
      </w:r>
      <w:r>
        <w:rPr>
          <w:rStyle w:val="FootnoteReference"/>
        </w:rPr>
        <w:footnoteReference w:id="10091"/>
      </w:r>
      <w:r>
        <w:t xml:space="preserve">.</w:t>
      </w:r>
    </w:p>
    <w:p>
      <w:r>
        <w:rPr>
          <w:b/>
        </w:rPr>
        <w:t xml:space="preserve">8 </w:t>
      </w:r>
      <w:r>
        <w:t xml:space="preserve">And the Levites: Jeshua</w:t>
      </w:r>
      <w:r>
        <w:rPr>
          <w:rStyle w:val="FootnoteReference"/>
        </w:rPr>
        <w:footnoteReference w:id="10092"/>
      </w:r>
      <w:r>
        <w:t xml:space="preserve">, Bani, Kadmiel, Sherebiah, Judah, Machania, over the hands, he and his brothers,</w:t>
      </w:r>
    </w:p>
    <w:p>
      <w:r>
        <w:rPr>
          <w:b/>
        </w:rPr>
        <w:t xml:space="preserve">9 </w:t>
      </w:r>
      <w:r>
        <w:t xml:space="preserve">for the courses</w:t>
      </w:r>
      <w:r>
        <w:rPr>
          <w:rStyle w:val="FootnoteReference"/>
        </w:rPr>
        <w:footnoteReference w:id="10093"/>
      </w:r>
      <w:r>
        <w:t xml:space="preserve">.</w:t>
      </w:r>
    </w:p>
    <w:p>
      <w:r>
        <w:rPr>
          <w:b/>
        </w:rPr>
        <w:t xml:space="preserve">10 </w:t>
      </w:r>
      <w:r>
        <w:t xml:space="preserve">And Jeshua</w:t>
      </w:r>
      <w:r>
        <w:rPr>
          <w:rStyle w:val="FootnoteReference"/>
        </w:rPr>
        <w:footnoteReference w:id="10094"/>
      </w:r>
      <w:r>
        <w:t xml:space="preserve"> begot Joiakim</w:t>
      </w:r>
      <w:r>
        <w:rPr>
          <w:rStyle w:val="FootnoteReference"/>
        </w:rPr>
        <w:footnoteReference w:id="10095"/>
      </w:r>
      <w:r>
        <w:t xml:space="preserve">, and Joiakim begot Eliashib, and Eliashib begot Joiada</w:t>
      </w:r>
      <w:r>
        <w:rPr>
          <w:rStyle w:val="FootnoteReference"/>
        </w:rPr>
        <w:footnoteReference w:id="10096"/>
      </w:r>
      <w:r>
        <w:t xml:space="preserve">,</w:t>
      </w:r>
    </w:p>
    <w:p>
      <w:r>
        <w:rPr>
          <w:b/>
        </w:rPr>
        <w:t xml:space="preserve">11 </w:t>
      </w:r>
      <w:r>
        <w:t xml:space="preserve">and Joiada begot Jonathan</w:t>
      </w:r>
      <w:r>
        <w:rPr>
          <w:rStyle w:val="FootnoteReference"/>
        </w:rPr>
        <w:footnoteReference w:id="10097"/>
      </w:r>
      <w:r>
        <w:t xml:space="preserve">, and Jonathan begot Jaddua</w:t>
      </w:r>
      <w:r>
        <w:rPr>
          <w:rStyle w:val="FootnoteReference"/>
        </w:rPr>
        <w:footnoteReference w:id="10098"/>
      </w:r>
      <w:r>
        <w:t xml:space="preserve">.</w:t>
      </w:r>
    </w:p>
    <w:p>
      <w:r>
        <w:rPr>
          <w:b/>
        </w:rPr>
        <w:t xml:space="preserve">12 </w:t>
      </w:r>
      <w:r>
        <w:t xml:space="preserve">And in the days of Joiakim, his brothers the priests and heads of the fathers were: to Seraiah</w:t>
      </w:r>
      <w:r>
        <w:rPr>
          <w:rStyle w:val="FootnoteReference"/>
        </w:rPr>
        <w:footnoteReference w:id="10099"/>
      </w:r>
      <w:r>
        <w:t xml:space="preserve">, Maraia; to Jeremiah, Hananiah;</w:t>
      </w:r>
    </w:p>
    <w:p>
      <w:r>
        <w:rPr>
          <w:b/>
        </w:rPr>
        <w:t xml:space="preserve">13 </w:t>
      </w:r>
      <w:r>
        <w:t xml:space="preserve">to Ezra, Meshullam; to Amariah, Jehohanan;</w:t>
      </w:r>
    </w:p>
    <w:p>
      <w:r>
        <w:rPr>
          <w:b/>
        </w:rPr>
        <w:t xml:space="preserve">14 </w:t>
      </w:r>
      <w:r>
        <w:t xml:space="preserve">to Malluch, Jonathan; to Shecaniah, Joseph;</w:t>
      </w:r>
    </w:p>
    <w:p>
      <w:r>
        <w:rPr>
          <w:b/>
        </w:rPr>
        <w:t xml:space="preserve">15 </w:t>
      </w:r>
      <w:r>
        <w:t xml:space="preserve">to Harim</w:t>
      </w:r>
      <w:r>
        <w:rPr>
          <w:rStyle w:val="FootnoteReference"/>
        </w:rPr>
        <w:footnoteReference w:id="10100"/>
      </w:r>
      <w:r>
        <w:t xml:space="preserve">, Adna</w:t>
      </w:r>
      <w:r>
        <w:rPr>
          <w:rStyle w:val="FootnoteReference"/>
        </w:rPr>
        <w:footnoteReference w:id="10101"/>
      </w:r>
      <w:r>
        <w:t xml:space="preserve">; to Meraioth, Helkai</w:t>
      </w:r>
      <w:r>
        <w:rPr>
          <w:rStyle w:val="FootnoteReference"/>
        </w:rPr>
        <w:footnoteReference w:id="10102"/>
      </w:r>
      <w:r>
        <w:t xml:space="preserve">;</w:t>
      </w:r>
    </w:p>
    <w:p>
      <w:r>
        <w:rPr>
          <w:b/>
        </w:rPr>
        <w:t xml:space="preserve">16 </w:t>
      </w:r>
      <w:r>
        <w:t xml:space="preserve">to Addai, Zechariah; to Ginnethon</w:t>
      </w:r>
      <w:r>
        <w:rPr>
          <w:rStyle w:val="FootnoteReference"/>
        </w:rPr>
        <w:footnoteReference w:id="10103"/>
      </w:r>
      <w:r>
        <w:t xml:space="preserve">, Meshullam;</w:t>
      </w:r>
      <w:r>
        <w:rPr>
          <w:rStyle w:val="FootnoteReference"/>
        </w:rPr>
        <w:footnoteReference w:id="10104"/>
      </w:r>
    </w:p>
    <w:p>
      <w:r>
        <w:rPr>
          <w:b/>
        </w:rPr>
        <w:t xml:space="preserve">17 </w:t>
      </w:r>
      <w:r>
        <w:t xml:space="preserve">to Abijah, Zichri; to Benjamin, in times; to Piltai</w:t>
      </w:r>
      <w:r>
        <w:rPr>
          <w:rStyle w:val="FootnoteReference"/>
        </w:rPr>
        <w:footnoteReference w:id="10105"/>
      </w:r>
      <w:r>
        <w:t xml:space="preserve">,</w:t>
      </w:r>
    </w:p>
    <w:p>
      <w:r>
        <w:rPr>
          <w:b/>
        </w:rPr>
        <w:t xml:space="preserve">18 </w:t>
      </w:r>
      <w:r>
        <w:t xml:space="preserve">to Bilgah, Shammua; to Shemaiah</w:t>
      </w:r>
      <w:r>
        <w:rPr>
          <w:rStyle w:val="FootnoteReference"/>
        </w:rPr>
        <w:footnoteReference w:id="10106"/>
      </w:r>
      <w:r>
        <w:t xml:space="preserve">, Jonathan;</w:t>
      </w:r>
    </w:p>
    <w:p>
      <w:r>
        <w:rPr>
          <w:b/>
        </w:rPr>
        <w:t xml:space="preserve">19 </w:t>
      </w:r>
      <w:r>
        <w:t xml:space="preserve">to Joiarib, Mattenai; to Jedaiah, Uzzi;</w:t>
      </w:r>
    </w:p>
    <w:p>
      <w:r>
        <w:rPr>
          <w:b/>
        </w:rPr>
        <w:t xml:space="preserve">20 </w:t>
      </w:r>
      <w:r>
        <w:t xml:space="preserve">to Sallai</w:t>
      </w:r>
      <w:r>
        <w:rPr>
          <w:rStyle w:val="FootnoteReference"/>
        </w:rPr>
        <w:footnoteReference w:id="10107"/>
      </w:r>
      <w:r>
        <w:t xml:space="preserve">, Kallai</w:t>
      </w:r>
      <w:r>
        <w:rPr>
          <w:rStyle w:val="FootnoteReference"/>
        </w:rPr>
        <w:footnoteReference w:id="10108"/>
      </w:r>
      <w:r>
        <w:t xml:space="preserve">; to Amok</w:t>
      </w:r>
      <w:r>
        <w:rPr>
          <w:rStyle w:val="FootnoteReference"/>
        </w:rPr>
        <w:footnoteReference w:id="10109"/>
      </w:r>
      <w:r>
        <w:t xml:space="preserve">, Ebed;</w:t>
      </w:r>
    </w:p>
    <w:p>
      <w:r>
        <w:rPr>
          <w:b/>
        </w:rPr>
        <w:t xml:space="preserve">21 </w:t>
      </w:r>
      <w:r>
        <w:t xml:space="preserve">to Hilkiah, Hashabiah; to Iedeiou, Nathanael.</w:t>
      </w:r>
    </w:p>
    <w:p>
      <w:r>
        <w:rPr>
          <w:b/>
        </w:rPr>
        <w:t xml:space="preserve">22 </w:t>
      </w:r>
      <w:r>
        <w:t xml:space="preserve">The Levites in the days of Eliashib</w:t>
      </w:r>
      <w:r>
        <w:rPr>
          <w:rStyle w:val="FootnoteReference"/>
        </w:rPr>
        <w:footnoteReference w:id="10110"/>
      </w:r>
      <w:r>
        <w:t xml:space="preserve">, Joiada, Johanan, and Jaddua were written as heads of fathers, and the priests in the reign of Darius the Persian</w:t>
      </w:r>
      <w:r>
        <w:rPr>
          <w:rStyle w:val="FootnoteReference"/>
        </w:rPr>
        <w:footnoteReference w:id="10111"/>
      </w:r>
      <w:r>
        <w:t xml:space="preserve">.</w:t>
      </w:r>
    </w:p>
    <w:p>
      <w:r>
        <w:rPr>
          <w:b/>
        </w:rPr>
        <w:t xml:space="preserve">23 </w:t>
      </w:r>
      <w:r>
        <w:t xml:space="preserve">Sons of Levi, heads of fathers, were written in the book</w:t>
      </w:r>
      <w:r>
        <w:rPr>
          <w:rStyle w:val="FootnoteReference"/>
        </w:rPr>
        <w:footnoteReference w:id="10112"/>
      </w:r>
      <w:r>
        <w:t xml:space="preserve"> of words of the days until days of Johanan son of Eliashib.</w:t>
      </w:r>
    </w:p>
    <w:p>
      <w:r>
        <w:rPr>
          <w:b/>
        </w:rPr>
        <w:t xml:space="preserve">24 </w:t>
      </w:r>
      <w:r>
        <w:t xml:space="preserve">And leaders of the Levites were Hashabiah</w:t>
      </w:r>
      <w:r>
        <w:rPr>
          <w:rStyle w:val="FootnoteReference"/>
        </w:rPr>
        <w:footnoteReference w:id="10113"/>
      </w:r>
      <w:r>
        <w:t xml:space="preserve"> and Sherebiah and Jeshua and sons of Kadmiel, and their brothers opposite them, to hymn and praise</w:t>
      </w:r>
      <w:r>
        <w:rPr>
          <w:rStyle w:val="FootnoteReference"/>
        </w:rPr>
        <w:footnoteReference w:id="10114"/>
      </w:r>
      <w:r>
        <w:t xml:space="preserve"> by the command of David man of God, course by course.</w:t>
      </w:r>
    </w:p>
    <w:p>
      <w:r>
        <w:rPr>
          <w:b/>
        </w:rPr>
        <w:t xml:space="preserve">25 </w:t>
      </w:r>
      <w:r>
        <w:t xml:space="preserve">When I was gathering the gatekeepers.</w:t>
      </w:r>
      <w:r>
        <w:rPr>
          <w:rStyle w:val="FootnoteReference"/>
        </w:rPr>
        <w:footnoteReference w:id="10115"/>
      </w:r>
      <w:r>
        <w:t xml:space="preserve"/>
      </w:r>
    </w:p>
    <w:p>
      <w:r>
        <w:rPr>
          <w:b/>
        </w:rPr>
        <w:t xml:space="preserve">26 </w:t>
      </w:r>
      <w:r>
        <w:t xml:space="preserve">In the days of Joiakim</w:t>
      </w:r>
      <w:r>
        <w:rPr>
          <w:rStyle w:val="FootnoteReference"/>
        </w:rPr>
        <w:footnoteReference w:id="10116"/>
      </w:r>
      <w:r>
        <w:t xml:space="preserve"> son of Jeshua son of Jozadak, and in the days of Nehemiah and Ezra the priest, the scribe.</w:t>
      </w:r>
    </w:p>
    <w:p>
      <w:r>
        <w:rPr>
          <w:b/>
        </w:rPr>
        <w:t xml:space="preserve">27 </w:t>
      </w:r>
      <w:r>
        <w:t xml:space="preserve">And at the dedication</w:t>
      </w:r>
      <w:r>
        <w:rPr>
          <w:rStyle w:val="FootnoteReference"/>
        </w:rPr>
        <w:footnoteReference w:id="10117"/>
      </w:r>
      <w:r>
        <w:t xml:space="preserve"> of wall of Jerusalem they sought the Levites in their places, to bring them into Jerusalem to make dedication and rejoicing, in thanksgiving and in songs, with cymbals and stringed instruments and lyres.</w:t>
      </w:r>
    </w:p>
    <w:p>
      <w:r>
        <w:rPr>
          <w:b/>
        </w:rPr>
        <w:t xml:space="preserve">28 </w:t>
      </w:r>
      <w:r>
        <w:t xml:space="preserve">And the sons of the singers were gathered both from the district round about into Jerusalem and from the farmsteads,</w:t>
      </w:r>
    </w:p>
    <w:p>
      <w:r>
        <w:rPr>
          <w:b/>
        </w:rPr>
        <w:t xml:space="preserve">29 </w:t>
      </w:r>
      <w:r>
        <w:t xml:space="preserve">and from the fields, because the singers built farmsteads for themselves in Jerusalem.</w:t>
      </w:r>
    </w:p>
    <w:p>
      <w:r>
        <w:rPr>
          <w:b/>
        </w:rPr>
        <w:t xml:space="preserve">30 </w:t>
      </w:r>
      <w:r>
        <w:t xml:space="preserve">And the priests and the Levites purified themselves</w:t>
      </w:r>
      <w:r>
        <w:rPr>
          <w:rStyle w:val="FootnoteReference"/>
        </w:rPr>
        <w:footnoteReference w:id="10118"/>
      </w:r>
      <w:r>
        <w:t xml:space="preserve">, and they purified the people and the gatekeepers and the wall.</w:t>
      </w:r>
    </w:p>
    <w:p>
      <w:r>
        <w:rPr>
          <w:b/>
        </w:rPr>
        <w:t xml:space="preserve">31 </w:t>
      </w:r>
      <w:r>
        <w:t xml:space="preserve">And I brought up rulers of Judah upon the wall and set two great</w:t>
      </w:r>
      <w:r>
        <w:rPr>
          <w:rStyle w:val="FootnoteReference"/>
        </w:rPr>
        <w:footnoteReference w:id="10119"/>
      </w:r>
      <w:r>
        <w:t xml:space="preserve"> thanksgiving choirs, and they went to the right upon the wall by the Dung Gate.</w:t>
      </w:r>
    </w:p>
    <w:p>
      <w:r>
        <w:rPr>
          <w:b/>
        </w:rPr>
        <w:t xml:space="preserve">32 </w:t>
      </w:r>
      <w:r>
        <w:t xml:space="preserve">And after them went Hoshaiah</w:t>
      </w:r>
      <w:r>
        <w:rPr>
          <w:rStyle w:val="FootnoteReference"/>
        </w:rPr>
        <w:footnoteReference w:id="10120"/>
      </w:r>
      <w:r>
        <w:t xml:space="preserve"> and half of rulers of Judah,</w:t>
      </w:r>
    </w:p>
    <w:p>
      <w:r>
        <w:rPr>
          <w:b/>
        </w:rPr>
        <w:t xml:space="preserve">33 </w:t>
      </w:r>
      <w:r>
        <w:t xml:space="preserve">and Azariah</w:t>
      </w:r>
      <w:r>
        <w:rPr>
          <w:rStyle w:val="FootnoteReference"/>
        </w:rPr>
        <w:footnoteReference w:id="10121"/>
      </w:r>
      <w:r>
        <w:t xml:space="preserve">, Ezra, and Meshullam,</w:t>
      </w:r>
    </w:p>
    <w:p>
      <w:r>
        <w:rPr>
          <w:b/>
        </w:rPr>
        <w:t xml:space="preserve">34 </w:t>
      </w:r>
      <w:r>
        <w:t xml:space="preserve">Judah and Benjamin and Shemaiah and Jeremiah,</w:t>
      </w:r>
    </w:p>
    <w:p>
      <w:r>
        <w:rPr>
          <w:b/>
        </w:rPr>
        <w:t xml:space="preserve">35 </w:t>
      </w:r>
      <w:r>
        <w:t xml:space="preserve">and from the sons of the priests with trumpets</w:t>
      </w:r>
      <w:r>
        <w:rPr>
          <w:rStyle w:val="FootnoteReference"/>
        </w:rPr>
        <w:footnoteReference w:id="10122"/>
      </w:r>
      <w:r>
        <w:t xml:space="preserve">, Zechariah son of Jonathan, son of Shemaiah, son of Mattaniah, son of Micah, son of Zaccur, son of Asaph,</w:t>
      </w:r>
    </w:p>
    <w:p>
      <w:r>
        <w:rPr>
          <w:b/>
        </w:rPr>
        <w:t xml:space="preserve">36 </w:t>
      </w:r>
      <w:r>
        <w:t xml:space="preserve">and his brothers, Shemaiah and Uzziel, praising in songs of David man of God, and Ezra</w:t>
      </w:r>
      <w:r>
        <w:rPr>
          <w:rStyle w:val="FootnoteReference"/>
        </w:rPr>
        <w:footnoteReference w:id="10123"/>
      </w:r>
      <w:r>
        <w:t xml:space="preserve"> the scribe before them,</w:t>
      </w:r>
    </w:p>
    <w:p>
      <w:r>
        <w:rPr>
          <w:b/>
        </w:rPr>
        <w:t xml:space="preserve">37 </w:t>
      </w:r>
      <w:r>
        <w:t xml:space="preserve">at Gate of Ain opposite them. They went up on steps of the city of David, on the ascent of the wall above the house of David and as far as Water Gate</w:t>
      </w:r>
      <w:r>
        <w:rPr>
          <w:rStyle w:val="FootnoteReference"/>
        </w:rPr>
        <w:footnoteReference w:id="10124"/>
      </w:r>
      <w:r>
        <w:t xml:space="preserve"> eastward.</w:t>
      </w:r>
    </w:p>
    <w:p>
      <w:r>
        <w:rPr>
          <w:b/>
        </w:rPr>
        <w:t xml:space="preserve">38 </w:t>
      </w:r>
      <w:r>
        <w:t xml:space="preserve">And the second thanksgiving choir was going to meet them, and I after it, and half of the people upon the wall above Tower</w:t>
      </w:r>
      <w:r>
        <w:rPr>
          <w:rStyle w:val="FootnoteReference"/>
        </w:rPr>
        <w:footnoteReference w:id="10125"/>
      </w:r>
      <w:r>
        <w:t xml:space="preserve"> of Ovens and as far as Broad Wall,</w:t>
      </w:r>
    </w:p>
    <w:p>
      <w:r>
        <w:rPr>
          <w:b/>
        </w:rPr>
        <w:t xml:space="preserve">39 </w:t>
      </w:r>
      <w:r>
        <w:t xml:space="preserve">and above the Gate of Ephraim</w:t>
      </w:r>
      <w:r>
        <w:rPr>
          <w:rStyle w:val="FootnoteReference"/>
        </w:rPr>
        <w:footnoteReference w:id="10126"/>
      </w:r>
      <w:r>
        <w:t xml:space="preserve"> and to the Old Gate and to Fish Gate and Tower of Hananeel and as far as Sheep Gate, and they stood in Gate of the Guard.</w:t>
      </w:r>
    </w:p>
    <w:p>
      <w:r>
        <w:rPr>
          <w:b/>
        </w:rPr>
        <w:t xml:space="preserve">40 </w:t>
      </w:r>
      <w:r>
        <w:t xml:space="preserve">And the two choirs stood in the house of God, and I and half of the generals with me,</w:t>
      </w:r>
    </w:p>
    <w:p>
      <w:r>
        <w:rPr>
          <w:b/>
        </w:rPr>
        <w:t xml:space="preserve">41 </w:t>
      </w:r>
      <w:r>
        <w:t xml:space="preserve">and the priests, Eliakim, Maaseiah, Benjamin, Micaiah, Elioenai, Zechariah, Ananias, with trumpets</w:t>
      </w:r>
      <w:r>
        <w:rPr>
          <w:rStyle w:val="FootnoteReference"/>
        </w:rPr>
        <w:footnoteReference w:id="10127"/>
      </w:r>
      <w:r>
        <w:t xml:space="preserve">,</w:t>
      </w:r>
    </w:p>
    <w:p>
      <w:r>
        <w:rPr>
          <w:b/>
        </w:rPr>
        <w:t xml:space="preserve">42 </w:t>
      </w:r>
      <w:r>
        <w:t xml:space="preserve">and Maaseiah and Shemaiah and Eleazar and Uzzi and Jehohanan and Malchiah and Elam and Ezour. And the singers were heard, and they were appointed.</w:t>
      </w:r>
    </w:p>
    <w:p>
      <w:r>
        <w:rPr>
          <w:b/>
        </w:rPr>
        <w:t xml:space="preserve">43 </w:t>
      </w:r>
      <w:r>
        <w:t xml:space="preserve">And they sacrificed on that day great sacrifices and rejoiced, because God gladdened them greatly, and their wives and their children rejoiced, and rejoicing in Jerusalem was heard from far away.</w:t>
      </w:r>
    </w:p>
    <w:p>
      <w:r>
        <w:rPr>
          <w:b/>
        </w:rPr>
        <w:t xml:space="preserve">44 </w:t>
      </w:r>
      <w:r>
        <w:t xml:space="preserve">And on that day men were appointed over the treasury-rooms</w:t>
      </w:r>
      <w:r>
        <w:rPr>
          <w:rStyle w:val="FootnoteReference"/>
        </w:rPr>
        <w:footnoteReference w:id="10128"/>
      </w:r>
      <w:r>
        <w:t xml:space="preserve">, for the treasures, the firstfruits, the tithes, and the things gathered in them by rulers of the cities, portions for the priests and for the Levites, because rejoicing was in Judah over the priests and over the Levites who stood.</w:t>
      </w:r>
    </w:p>
    <w:p>
      <w:r>
        <w:rPr>
          <w:b/>
        </w:rPr>
        <w:t xml:space="preserve">45 </w:t>
      </w:r>
      <w:r>
        <w:t xml:space="preserve">And they kept charges of their God and charges of the purification and the singers and the gatekeepers, as commands of David and Solomon his son.</w:t>
      </w:r>
    </w:p>
    <w:p>
      <w:r>
        <w:rPr>
          <w:b/>
        </w:rPr>
        <w:t xml:space="preserve">46 </w:t>
      </w:r>
      <w:r>
        <w:t xml:space="preserve">For in the days of David, Asaph from the beginning was the chief of the singers, and there was hymn and praise to God.</w:t>
      </w:r>
    </w:p>
    <w:p>
      <w:r>
        <w:rPr>
          <w:b/>
        </w:rPr>
        <w:t xml:space="preserve">47 </w:t>
      </w:r>
      <w:r>
        <w:t xml:space="preserve">And all Israel in the days of Zerubbabel</w:t>
      </w:r>
      <w:r>
        <w:rPr>
          <w:rStyle w:val="FootnoteReference"/>
        </w:rPr>
        <w:footnoteReference w:id="10129"/>
      </w:r>
      <w:r>
        <w:t xml:space="preserve"> were giving portions of the singers and the gatekeepers, matter of each day on its day</w:t>
      </w:r>
      <w:r>
        <w:rPr>
          <w:rStyle w:val="FootnoteReference"/>
        </w:rPr>
        <w:footnoteReference w:id="10130"/>
      </w:r>
      <w:r>
        <w:t xml:space="preserve">, and sanctifying for the Levites, and the Levites sanctifying for the sons of Aaron.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On that day it was read in the book of Moses in the ears of the people, and it was found written in it that Ammonites and Moabites should not enter into assembly of God forever,</w:t>
      </w:r>
    </w:p>
    <w:p>
      <w:r>
        <w:rPr>
          <w:b/>
        </w:rPr>
        <w:t xml:space="preserve">2 </w:t>
      </w:r>
      <w:r>
        <w:t xml:space="preserve">because they did not meet sons of Israel with bread and water, and they hired Balaam</w:t>
      </w:r>
      <w:r>
        <w:rPr>
          <w:rStyle w:val="FootnoteReference"/>
        </w:rPr>
        <w:footnoteReference w:id="10131"/>
      </w:r>
      <w:r>
        <w:t xml:space="preserve"> against him to curse him, and our God turned the curse into blessing.</w:t>
      </w:r>
    </w:p>
    <w:p>
      <w:r>
        <w:rPr>
          <w:b/>
        </w:rPr>
        <w:t xml:space="preserve">3 </w:t>
      </w:r>
      <w:r>
        <w:t xml:space="preserve">And it came to be when they</w:t>
      </w:r>
      <w:r>
        <w:rPr>
          <w:rStyle w:val="FootnoteReference"/>
        </w:rPr>
        <w:footnoteReference w:id="10132"/>
      </w:r>
      <w:r>
        <w:t xml:space="preserve"> heard the law, they separated every mixed group in Israel.</w:t>
      </w:r>
    </w:p>
    <w:p>
      <w:r>
        <w:rPr>
          <w:b/>
        </w:rPr>
        <w:t xml:space="preserve">4 </w:t>
      </w:r>
      <w:r>
        <w:t xml:space="preserve">And before this, Eliashib</w:t>
      </w:r>
      <w:r>
        <w:rPr>
          <w:rStyle w:val="FootnoteReference"/>
        </w:rPr>
        <w:footnoteReference w:id="10133"/>
      </w:r>
      <w:r>
        <w:t xml:space="preserve"> the priest was dwelling in treasury-room of the house of our God, being near to Tobiah,</w:t>
      </w:r>
    </w:p>
    <w:p>
      <w:r>
        <w:rPr>
          <w:b/>
        </w:rPr>
        <w:t xml:space="preserve">5 </w:t>
      </w:r>
      <w:r>
        <w:t xml:space="preserve">and he made for him a great treasury-room</w:t>
      </w:r>
      <w:r>
        <w:rPr>
          <w:rStyle w:val="FootnoteReference"/>
        </w:rPr>
        <w:footnoteReference w:id="10134"/>
      </w:r>
      <w:r>
        <w:t xml:space="preserve">, and there they formerly gave the manna and the frankincense and the vessels and the tithe of grain and wine and oil, the command for the Levites and the singers and the gatekeepers, and firstfruits of the priests.</w:t>
      </w:r>
      <w:r>
        <w:rPr>
          <w:rStyle w:val="FootnoteReference"/>
        </w:rPr>
        <w:footnoteReference w:id="10135"/>
      </w:r>
    </w:p>
    <w:p>
      <w:r>
        <w:rPr>
          <w:b/>
        </w:rPr>
        <w:t xml:space="preserve">6 </w:t>
      </w:r>
      <w:r>
        <w:t xml:space="preserve">And in all this I was not in Jerusalem, because in thirty-second year of Artaxerxes king of Babylon I came to the king, and after the end of days I asked leave from the king.</w:t>
      </w:r>
    </w:p>
    <w:p>
      <w:r>
        <w:rPr>
          <w:b/>
        </w:rPr>
        <w:t xml:space="preserve">7 </w:t>
      </w:r>
      <w:r>
        <w:t xml:space="preserve">And I came to Jerusalem and understood</w:t>
      </w:r>
      <w:r>
        <w:rPr>
          <w:rStyle w:val="FootnoteReference"/>
        </w:rPr>
        <w:footnoteReference w:id="10136"/>
      </w:r>
      <w:r>
        <w:t xml:space="preserve"> the evil which Eliashib did for Tobiah, making for him a treasury-room in the court of the house of God.</w:t>
      </w:r>
    </w:p>
    <w:p>
      <w:r>
        <w:rPr>
          <w:b/>
        </w:rPr>
        <w:t xml:space="preserve">8 </w:t>
      </w:r>
      <w:r>
        <w:t xml:space="preserve">And it seemed very evil to me, and I threw all vessels of the house of Tobiah outside the treasury-room.</w:t>
      </w:r>
    </w:p>
    <w:p>
      <w:r>
        <w:rPr>
          <w:b/>
        </w:rPr>
        <w:t xml:space="preserve">9 </w:t>
      </w:r>
      <w:r>
        <w:t xml:space="preserve">And I said, and they purified the treasury-rooms, and I restored there vessels of the house of God, the manna, and the frankincense.</w:t>
      </w:r>
    </w:p>
    <w:p>
      <w:r>
        <w:rPr>
          <w:b/>
        </w:rPr>
        <w:t xml:space="preserve">10 </w:t>
      </w:r>
      <w:r>
        <w:t xml:space="preserve">And I knew that portions of the Levites had not been given</w:t>
      </w:r>
      <w:r>
        <w:rPr>
          <w:rStyle w:val="FootnoteReference"/>
        </w:rPr>
        <w:footnoteReference w:id="10137"/>
      </w:r>
      <w:r>
        <w:t xml:space="preserve">, and the Levites and the singers doing the work fled, each man to his own field.</w:t>
      </w:r>
    </w:p>
    <w:p>
      <w:r>
        <w:rPr>
          <w:b/>
        </w:rPr>
        <w:t xml:space="preserve">11 </w:t>
      </w:r>
      <w:r>
        <w:t xml:space="preserve">And I contended</w:t>
      </w:r>
      <w:r>
        <w:rPr>
          <w:rStyle w:val="FootnoteReference"/>
        </w:rPr>
        <w:footnoteReference w:id="10138"/>
      </w:r>
      <w:r>
        <w:t xml:space="preserve"> with the generals and said, Why was the house of God forsaken?</w:t>
      </w:r>
      <w:r>
        <w:rPr>
          <w:rStyle w:val="FootnoteReference"/>
        </w:rPr>
        <w:footnoteReference w:id="10139"/>
      </w:r>
      <w:r>
        <w:t xml:space="preserve"> And I gathered them and set them in their standing.</w:t>
      </w:r>
    </w:p>
    <w:p>
      <w:r>
        <w:rPr>
          <w:b/>
        </w:rPr>
        <w:t xml:space="preserve">12 </w:t>
      </w:r>
      <w:r>
        <w:t xml:space="preserve">And all Judah brought</w:t>
      </w:r>
      <w:r>
        <w:rPr>
          <w:rStyle w:val="FootnoteReference"/>
        </w:rPr>
        <w:footnoteReference w:id="10140"/>
      </w:r>
      <w:r>
        <w:t xml:space="preserve"> tithe of the grain and the wine and the oil into the treasuries.</w:t>
      </w:r>
    </w:p>
    <w:p>
      <w:r>
        <w:rPr>
          <w:b/>
        </w:rPr>
        <w:t xml:space="preserve">13 </w:t>
      </w:r>
      <w:r>
        <w:t xml:space="preserve">Over the hand of</w:t>
      </w:r>
      <w:r>
        <w:rPr>
          <w:rStyle w:val="FootnoteReference"/>
        </w:rPr>
        <w:footnoteReference w:id="10141"/>
      </w:r>
      <w:r>
        <w:t xml:space="preserve"> Shelemiah</w:t>
      </w:r>
      <w:r>
        <w:rPr>
          <w:rStyle w:val="FootnoteReference"/>
        </w:rPr>
        <w:footnoteReference w:id="10142"/>
      </w:r>
      <w:r>
        <w:t xml:space="preserve"> the priest and Zadok the scribe and Pedaiah from the Levites, and over their hand Hanan son of Zaccur son of Mattaniah, because they were reckoned faithful to divide to their brothers.</w:t>
      </w:r>
    </w:p>
    <w:p>
      <w:r>
        <w:rPr>
          <w:b/>
        </w:rPr>
        <w:t xml:space="preserve">14 </w:t>
      </w:r>
      <w:r>
        <w:t xml:space="preserve">Remember me</w:t>
      </w:r>
      <w:r>
        <w:rPr>
          <w:rStyle w:val="FootnoteReference"/>
        </w:rPr>
        <w:footnoteReference w:id="10143"/>
      </w:r>
      <w:r>
        <w:t xml:space="preserve">, O God, in this, and let not my mercy be wiped out, which I did in the house of the Lord God.</w:t>
      </w:r>
    </w:p>
    <w:p>
      <w:r>
        <w:rPr>
          <w:b/>
        </w:rPr>
        <w:t xml:space="preserve">15 </w:t>
      </w:r>
      <w:r>
        <w:t xml:space="preserve">In those days I saw in Judah men treading winepresses on the Sabbath and bringing sheaves and loading them on the donkeys, and wine and grapes and figs and every burden, and bringing them into Jerusalem on Sabbath day, and I testified on the day of their selling</w:t>
      </w:r>
      <w:r>
        <w:rPr>
          <w:rStyle w:val="FootnoteReference"/>
        </w:rPr>
        <w:footnoteReference w:id="10144"/>
      </w:r>
      <w:r>
        <w:t xml:space="preserve">.</w:t>
      </w:r>
      <w:r>
        <w:rPr>
          <w:rStyle w:val="FootnoteReference"/>
        </w:rPr>
        <w:footnoteReference w:id="10145"/>
      </w:r>
    </w:p>
    <w:p>
      <w:r>
        <w:rPr>
          <w:b/>
        </w:rPr>
        <w:t xml:space="preserve">16 </w:t>
      </w:r>
      <w:r>
        <w:t xml:space="preserve">And they were dwelling in it, bringing fish and every kind of merchandise, selling on the Sabbath to the sons of Judah and in Jerusalem.</w:t>
      </w:r>
    </w:p>
    <w:p>
      <w:r>
        <w:rPr>
          <w:b/>
        </w:rPr>
        <w:t xml:space="preserve">17 </w:t>
      </w:r>
      <w:r>
        <w:t xml:space="preserve">And I contended</w:t>
      </w:r>
      <w:r>
        <w:rPr>
          <w:rStyle w:val="FootnoteReference"/>
        </w:rPr>
        <w:footnoteReference w:id="10146"/>
      </w:r>
      <w:r>
        <w:t xml:space="preserve"> with the sons of Judah, the free men, and said to them, What is this evil thing you are doing, profaning the Sabbath day?</w:t>
      </w:r>
    </w:p>
    <w:p>
      <w:r>
        <w:rPr>
          <w:b/>
        </w:rPr>
        <w:t xml:space="preserve">18 </w:t>
      </w:r>
      <w:r>
        <w:t xml:space="preserve">Did not your</w:t>
      </w:r>
      <w:r>
        <w:rPr>
          <w:rStyle w:val="FootnoteReference"/>
        </w:rPr>
        <w:footnoteReference w:id="10147"/>
      </w:r>
      <w:r>
        <w:t xml:space="preserve"> fathers do thus, and our God brought all these evils upon them and upon us and upon this city? And you add wrath upon Israel by profaning the Sabbath.</w:t>
      </w:r>
    </w:p>
    <w:p>
      <w:r>
        <w:rPr>
          <w:b/>
        </w:rPr>
        <w:t xml:space="preserve">19 </w:t>
      </w:r>
      <w:r>
        <w:t xml:space="preserve">And it came to be when the gates of Jerusalem were set before the Sabbath, I gave word and they shut the gates, and I said that they should not be opened until after the Sabbath. And from my servants I set some over the gates, so that no burden be brought in on Sabbath day.</w:t>
      </w:r>
      <w:r>
        <w:rPr>
          <w:rStyle w:val="FootnoteReference"/>
        </w:rPr>
        <w:footnoteReference w:id="10148"/>
      </w:r>
    </w:p>
    <w:p>
      <w:r>
        <w:rPr>
          <w:b/>
        </w:rPr>
        <w:t xml:space="preserve">20 </w:t>
      </w:r>
      <w:r>
        <w:t xml:space="preserve">And all the traders and sellers of merchandise lodged outside Jerusalem once and twice.</w:t>
      </w:r>
    </w:p>
    <w:p>
      <w:r>
        <w:rPr>
          <w:b/>
        </w:rPr>
        <w:t xml:space="preserve">21 </w:t>
      </w:r>
      <w:r>
        <w:t xml:space="preserve">And I testified</w:t>
      </w:r>
      <w:r>
        <w:rPr>
          <w:rStyle w:val="FootnoteReference"/>
        </w:rPr>
        <w:footnoteReference w:id="10149"/>
      </w:r>
      <w:r>
        <w:t xml:space="preserve"> among them and said to them, Why do you lodge opposite the wall? If you do this a second time, I will stretch out my hand against you. From that time they did not come on the Sabbath.</w:t>
      </w:r>
    </w:p>
    <w:p>
      <w:r>
        <w:rPr>
          <w:b/>
        </w:rPr>
        <w:t xml:space="preserve">22 </w:t>
      </w:r>
      <w:r>
        <w:t xml:space="preserve">And I told the Levites, those being purified and coming to guard the gates, to sanctify</w:t>
      </w:r>
      <w:r>
        <w:rPr>
          <w:rStyle w:val="FootnoteReference"/>
        </w:rPr>
        <w:footnoteReference w:id="10150"/>
      </w:r>
      <w:r>
        <w:t xml:space="preserve"> the Sabbath day. Concerning these things remember me, O God, and spare me according to the abundance of your mercy.</w:t>
      </w:r>
    </w:p>
    <w:p>
      <w:r>
        <w:rPr>
          <w:b/>
        </w:rPr>
        <w:t xml:space="preserve">23 </w:t>
      </w:r>
      <w:r>
        <w:t xml:space="preserve">And in those days I saw the Jews who had seated Ashdodite</w:t>
      </w:r>
      <w:r>
        <w:rPr>
          <w:rStyle w:val="FootnoteReference"/>
        </w:rPr>
        <w:footnoteReference w:id="10151"/>
      </w:r>
      <w:r>
        <w:t xml:space="preserve">, Ammonite, and Moabite women.</w:t>
      </w:r>
    </w:p>
    <w:p>
      <w:r>
        <w:rPr>
          <w:b/>
        </w:rPr>
        <w:t xml:space="preserve">24 </w:t>
      </w:r>
      <w:r>
        <w:t xml:space="preserve">And half of their sons were speaking Ashdodite and were not recognizing how to speak Ioudaian.</w:t>
      </w:r>
    </w:p>
    <w:p>
      <w:r>
        <w:rPr>
          <w:b/>
        </w:rPr>
        <w:t xml:space="preserve">25 </w:t>
      </w:r>
      <w:r>
        <w:t xml:space="preserve">And I contended</w:t>
      </w:r>
      <w:r>
        <w:rPr>
          <w:rStyle w:val="FootnoteReference"/>
        </w:rPr>
        <w:footnoteReference w:id="10152"/>
      </w:r>
      <w:r>
        <w:t xml:space="preserve"> with them and cursed them and struck men among them and made them bald, and made them swear by God that you will not give your daughters to their sons and will not take from their daughters for your sons.</w:t>
      </w:r>
    </w:p>
    <w:p>
      <w:r>
        <w:rPr>
          <w:b/>
        </w:rPr>
        <w:t xml:space="preserve">26 </w:t>
      </w:r>
      <w:r>
        <w:t xml:space="preserve">Did not Solomon</w:t>
      </w:r>
      <w:r>
        <w:rPr>
          <w:rStyle w:val="FootnoteReference"/>
        </w:rPr>
        <w:footnoteReference w:id="10153"/>
      </w:r>
      <w:r>
        <w:t xml:space="preserve"> king of Israel sin thus? And among many nations there was no king like him, and he was loved by God</w:t>
      </w:r>
      <w:r>
        <w:rPr>
          <w:rStyle w:val="FootnoteReference"/>
        </w:rPr>
        <w:footnoteReference w:id="10154"/>
      </w:r>
      <w:r>
        <w:t xml:space="preserve">, and God gave him as king over all Israel, yet foreign women turned even him aside.</w:t>
      </w:r>
    </w:p>
    <w:p>
      <w:r>
        <w:rPr>
          <w:b/>
        </w:rPr>
        <w:t xml:space="preserve">27 </w:t>
      </w:r>
      <w:r>
        <w:t xml:space="preserve">And shall we listen to you to do all this evil, to act faithlessly toward our God, seating foreign women?</w:t>
      </w:r>
    </w:p>
    <w:p>
      <w:r>
        <w:rPr>
          <w:b/>
        </w:rPr>
        <w:t xml:space="preserve">28 </w:t>
      </w:r>
      <w:r>
        <w:t xml:space="preserve">And from the sons of Joiada</w:t>
      </w:r>
      <w:r>
        <w:rPr>
          <w:rStyle w:val="FootnoteReference"/>
        </w:rPr>
        <w:footnoteReference w:id="10155"/>
      </w:r>
      <w:r>
        <w:t xml:space="preserve">, of Eliashib the high priest, was son-in-law of Sanballat the Horonite, and I drove him out from me</w:t>
      </w:r>
      <w:r>
        <w:rPr>
          <w:rStyle w:val="FootnoteReference"/>
        </w:rPr>
        <w:footnoteReference w:id="10156"/>
      </w:r>
      <w:r>
        <w:t xml:space="preserve">.</w:t>
      </w:r>
    </w:p>
    <w:p>
      <w:r>
        <w:rPr>
          <w:b/>
        </w:rPr>
        <w:t xml:space="preserve">29 </w:t>
      </w:r>
      <w:r>
        <w:t xml:space="preserve">Remember</w:t>
      </w:r>
      <w:r>
        <w:rPr>
          <w:rStyle w:val="FootnoteReference"/>
        </w:rPr>
        <w:footnoteReference w:id="10157"/>
      </w:r>
      <w:r>
        <w:t xml:space="preserve"> them, O God, for kinship with the priesthood and covenant of the priesthood and the Levites.</w:t>
      </w:r>
    </w:p>
    <w:p>
      <w:r>
        <w:rPr>
          <w:b/>
        </w:rPr>
        <w:t xml:space="preserve">30 </w:t>
      </w:r>
      <w:r>
        <w:t xml:space="preserve">And I purified them from every foreign thing and set courses for the priests and for the Levites, each man as his work,</w:t>
      </w:r>
    </w:p>
    <w:p>
      <w:r>
        <w:rPr>
          <w:b/>
        </w:rPr>
        <w:t xml:space="preserve">31 </w:t>
      </w:r>
      <w:r>
        <w:t xml:space="preserve">and the gift of the wood</w:t>
      </w:r>
      <w:r>
        <w:rPr>
          <w:rStyle w:val="FootnoteReference"/>
        </w:rPr>
        <w:footnoteReference w:id="10158"/>
      </w:r>
      <w:r>
        <w:t xml:space="preserve">-bearers at appointed times, year by year, and in the firstfruits. Remember me, O our God, for goodness.</w:t>
      </w:r>
    </w:p>
    <w:p>
      <w:r>
        <w:br w:type="page"/>
      </w:r>
    </w:p>
    <w:p>
      <w:pPr>
        <w:pStyle w:val="Heading1"/>
      </w:pPr>
      <w:r>
        <w:t xml:space="preserve">Esther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it came to be after these words, in the days of Artaxerxes</w:t>
      </w:r>
      <w:r>
        <w:rPr>
          <w:rStyle w:val="FootnoteReference"/>
        </w:rPr>
        <w:footnoteReference w:id="10159"/>
      </w:r>
      <w:r>
        <w:t xml:space="preserve">, this Artaxerxes ruled from India</w:t>
      </w:r>
      <w:r>
        <w:rPr>
          <w:rStyle w:val="FootnoteReference"/>
        </w:rPr>
        <w:footnoteReference w:id="10160"/>
      </w:r>
      <w:r>
        <w:t xml:space="preserve"> over one hundred twenty-seven provinces.</w:t>
      </w:r>
      <w:r>
        <w:rPr>
          <w:rStyle w:val="FootnoteReference"/>
        </w:rPr>
        <w:footnoteReference w:id="10161"/>
      </w:r>
    </w:p>
    <w:p>
      <w:r>
        <w:rPr>
          <w:b/>
        </w:rPr>
        <w:t xml:space="preserve">2 </w:t>
      </w:r>
      <w:r>
        <w:t xml:space="preserve">In those days, when King Artaxerxes was enthroned in Shushan</w:t>
      </w:r>
      <w:r>
        <w:rPr>
          <w:rStyle w:val="FootnoteReference"/>
        </w:rPr>
        <w:footnoteReference w:id="10162"/>
      </w:r>
      <w:r>
        <w:t xml:space="preserve"> the city,</w:t>
      </w:r>
    </w:p>
    <w:p>
      <w:r>
        <w:rPr>
          <w:b/>
        </w:rPr>
        <w:t xml:space="preserve">3 </w:t>
      </w:r>
      <w:r>
        <w:t xml:space="preserve">in the third year of his reign he made</w:t>
      </w:r>
      <w:r>
        <w:rPr>
          <w:rStyle w:val="FootnoteReference"/>
        </w:rPr>
        <w:footnoteReference w:id="10163"/>
      </w:r>
      <w:r>
        <w:t xml:space="preserve"> a feast for his friends and the rest of the nations and the nobles of Persia and Media</w:t>
      </w:r>
      <w:r>
        <w:rPr>
          <w:rStyle w:val="FootnoteReference"/>
        </w:rPr>
        <w:footnoteReference w:id="10164"/>
      </w:r>
      <w:r>
        <w:t xml:space="preserve"> and rulers of the satrapies,</w:t>
      </w:r>
    </w:p>
    <w:p>
      <w:r>
        <w:rPr>
          <w:b/>
        </w:rPr>
        <w:t xml:space="preserve">4 </w:t>
      </w:r>
      <w:r>
        <w:t xml:space="preserve">and after this, after showing them wealth of his kingdom and glory of joy of his riches for one hundred eighty days,</w:t>
      </w:r>
    </w:p>
    <w:p>
      <w:r>
        <w:rPr>
          <w:b/>
        </w:rPr>
        <w:t xml:space="preserve">5 </w:t>
      </w:r>
      <w:r>
        <w:t xml:space="preserve">when days of the marriage were fulfilled, the king made a drinking-feast for the nations found in the city for six days, in the court of the house of the king,</w:t>
      </w:r>
    </w:p>
    <w:p>
      <w:r>
        <w:rPr>
          <w:b/>
        </w:rPr>
        <w:t xml:space="preserve">6 </w:t>
      </w:r>
      <w:r>
        <w:t xml:space="preserve">adorned with linen and carbasus stretched on linen and purple cords, on rings of gold and silver, on marble pillars, and couches of gold and silver on pavement of emerald stone and pearl and marble stone, and coverings transparent and variously flowered, with roses scattered around.</w:t>
      </w:r>
    </w:p>
    <w:p>
      <w:r>
        <w:rPr>
          <w:b/>
        </w:rPr>
        <w:t xml:space="preserve">7 </w:t>
      </w:r>
      <w:r>
        <w:t xml:space="preserve">And golden and silver cups, and a carbuncle cup set forth worth thirty thousand talents. Wine was much and sweet, which the king himself drank.</w:t>
      </w:r>
    </w:p>
    <w:p>
      <w:r>
        <w:rPr>
          <w:b/>
        </w:rPr>
        <w:t xml:space="preserve">8 </w:t>
      </w:r>
      <w:r>
        <w:t xml:space="preserve">And this drinking was not according to fixed law, for thus the king willed, and he ordered the stewards to do his pleasure and that of the men.</w:t>
      </w:r>
    </w:p>
    <w:p>
      <w:r>
        <w:rPr>
          <w:b/>
        </w:rPr>
        <w:t xml:space="preserve">9 </w:t>
      </w:r>
      <w:r>
        <w:t xml:space="preserve">And Vashti</w:t>
      </w:r>
      <w:r>
        <w:rPr>
          <w:rStyle w:val="FootnoteReference"/>
        </w:rPr>
        <w:footnoteReference w:id="10165"/>
      </w:r>
      <w:r>
        <w:t xml:space="preserve"> the queen</w:t>
      </w:r>
      <w:r>
        <w:rPr>
          <w:rStyle w:val="FootnoteReference"/>
        </w:rPr>
        <w:footnoteReference w:id="10166"/>
      </w:r>
      <w:r>
        <w:t xml:space="preserve"> made a drinking-feast for the women in the royal house where King Artaxerxes was.</w:t>
      </w:r>
    </w:p>
    <w:p>
      <w:r>
        <w:rPr>
          <w:b/>
        </w:rPr>
        <w:t xml:space="preserve">10 </w:t>
      </w:r>
      <w:r>
        <w:t xml:space="preserve">And on the seventh day, when the king became merry, he said to Aman and Bazan and Tharra</w:t>
      </w:r>
      <w:r>
        <w:rPr>
          <w:rStyle w:val="FootnoteReference"/>
        </w:rPr>
        <w:footnoteReference w:id="10167"/>
      </w:r>
      <w:r>
        <w:t xml:space="preserve"> and Bigtha</w:t>
      </w:r>
      <w:r>
        <w:rPr>
          <w:rStyle w:val="FootnoteReference"/>
        </w:rPr>
        <w:footnoteReference w:id="10168"/>
      </w:r>
      <w:r>
        <w:t xml:space="preserve"> and Abagtha</w:t>
      </w:r>
      <w:r>
        <w:rPr>
          <w:rStyle w:val="FootnoteReference"/>
        </w:rPr>
        <w:footnoteReference w:id="10169"/>
      </w:r>
      <w:r>
        <w:t xml:space="preserve"> and Abataza and Tharaba, the seven eunuchs serving King Artaxerxes,</w:t>
      </w:r>
    </w:p>
    <w:p>
      <w:r>
        <w:rPr>
          <w:b/>
        </w:rPr>
        <w:t xml:space="preserve">11 </w:t>
      </w:r>
      <w:r>
        <w:t xml:space="preserve">to bring in the queen to him, to crown her and put the diadem on her and show her beauty to all the rulers and the nations, because she was beautiful.</w:t>
      </w:r>
    </w:p>
    <w:p>
      <w:r>
        <w:rPr>
          <w:b/>
        </w:rPr>
        <w:t xml:space="preserve">12 </w:t>
      </w:r>
      <w:r>
        <w:t xml:space="preserve">And Vashti the queen would not listen to come with the eunuchs, and the king was grieved and enraged.</w:t>
      </w:r>
    </w:p>
    <w:p>
      <w:r>
        <w:rPr>
          <w:b/>
        </w:rPr>
        <w:t xml:space="preserve">13 </w:t>
      </w:r>
      <w:r>
        <w:t xml:space="preserve">And he said to his friends, Thus Vashti has spoken. So make law and judgment concerning this</w:t>
      </w:r>
      <w:r>
        <w:rPr>
          <w:rStyle w:val="FootnoteReference"/>
        </w:rPr>
        <w:footnoteReference w:id="10170"/>
      </w:r>
      <w:r>
        <w:t xml:space="preserve">.</w:t>
      </w:r>
    </w:p>
    <w:p>
      <w:r>
        <w:rPr>
          <w:b/>
        </w:rPr>
        <w:t xml:space="preserve">14 </w:t>
      </w:r>
      <w:r>
        <w:t xml:space="preserve">And Arkesaios and Sarsathaios and Marsena</w:t>
      </w:r>
      <w:r>
        <w:rPr>
          <w:rStyle w:val="FootnoteReference"/>
        </w:rPr>
        <w:footnoteReference w:id="10171"/>
      </w:r>
      <w:r>
        <w:t xml:space="preserve"> approached him, rulers of Persians and Medes, those near the king, first seated beside the king,</w:t>
      </w:r>
    </w:p>
    <w:p>
      <w:r>
        <w:rPr>
          <w:b/>
        </w:rPr>
        <w:t xml:space="preserve">15 </w:t>
      </w:r>
      <w:r>
        <w:t xml:space="preserve">and they reported to him according to the laws what ought to be done to Vashti the queen, because she did not do what was commanded by the king through the eunuchs.</w:t>
      </w:r>
    </w:p>
    <w:p>
      <w:r>
        <w:rPr>
          <w:b/>
        </w:rPr>
        <w:t xml:space="preserve">16 </w:t>
      </w:r>
      <w:r>
        <w:t xml:space="preserve">And Memucan</w:t>
      </w:r>
      <w:r>
        <w:rPr>
          <w:rStyle w:val="FootnoteReference"/>
        </w:rPr>
        <w:footnoteReference w:id="10172"/>
      </w:r>
      <w:r>
        <w:t xml:space="preserve"> said to the king and the rulers, Not against the king only did Vashti the queen do wrong, but also against all the rulers and leaders of the king.</w:t>
      </w:r>
    </w:p>
    <w:p>
      <w:r>
        <w:rPr>
          <w:b/>
        </w:rPr>
        <w:t xml:space="preserve">17 </w:t>
      </w:r>
      <w:r>
        <w:t xml:space="preserve">For he recounted to them words of the queen and how she contradicted the king, even as she contradicted King Artaxerxes.</w:t>
      </w:r>
    </w:p>
    <w:p>
      <w:r>
        <w:rPr>
          <w:b/>
        </w:rPr>
        <w:t xml:space="preserve">18 </w:t>
      </w:r>
      <w:r>
        <w:t xml:space="preserve">Thus today the remaining princesses of rulers of Persia and Media, hearing what she said to the king, will likewise dare to dishonor their husbands.</w:t>
      </w:r>
    </w:p>
    <w:p>
      <w:r>
        <w:rPr>
          <w:b/>
        </w:rPr>
        <w:t xml:space="preserve">19 </w:t>
      </w:r>
      <w:r>
        <w:t xml:space="preserve">If then it seems good to the king, let him issue a royal command and let it be written among laws of Medes and Persians and not otherwise used, that the queen enter to him no more, and let the king give her royal place to a woman better than she.</w:t>
      </w:r>
    </w:p>
    <w:p>
      <w:r>
        <w:rPr>
          <w:b/>
        </w:rPr>
        <w:t xml:space="preserve">20 </w:t>
      </w:r>
      <w:r>
        <w:t xml:space="preserve">And let the law which the king makes be heard in his kingdom, and thus all women will give honor to their husbands</w:t>
      </w:r>
      <w:r>
        <w:rPr>
          <w:rStyle w:val="FootnoteReference"/>
        </w:rPr>
        <w:footnoteReference w:id="10173"/>
      </w:r>
      <w:r>
        <w:t xml:space="preserve">, from poor to rich.</w:t>
      </w:r>
    </w:p>
    <w:p>
      <w:r>
        <w:rPr>
          <w:b/>
        </w:rPr>
        <w:t xml:space="preserve">21 </w:t>
      </w:r>
      <w:r>
        <w:t xml:space="preserve">And the word pleased the king</w:t>
      </w:r>
      <w:r>
        <w:rPr>
          <w:rStyle w:val="FootnoteReference"/>
        </w:rPr>
        <w:footnoteReference w:id="10174"/>
      </w:r>
      <w:r>
        <w:t xml:space="preserve"> and the rulers, and the king did as Memucan spoke.</w:t>
      </w:r>
    </w:p>
    <w:p>
      <w:r>
        <w:rPr>
          <w:b/>
        </w:rPr>
        <w:t xml:space="preserve">22 </w:t>
      </w:r>
      <w:r>
        <w:t xml:space="preserve">And he sent into all the kingdom, province by province in their own language, so that there might be fear in their houses.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after these words the king ceased from wrath and no longer remembered Vashti, remembering what she said and how he condemned her.</w:t>
      </w:r>
    </w:p>
    <w:p>
      <w:r>
        <w:rPr>
          <w:b/>
        </w:rPr>
        <w:t xml:space="preserve">2 </w:t>
      </w:r>
      <w:r>
        <w:t xml:space="preserve">And the servants of the king said, Let incorrupt young girls, beautiful in appearance, be sought for the king.</w:t>
      </w:r>
    </w:p>
    <w:p>
      <w:r>
        <w:rPr>
          <w:b/>
        </w:rPr>
        <w:t xml:space="preserve">3 </w:t>
      </w:r>
      <w:r>
        <w:t xml:space="preserve">And let the king appoint local rulers in all provinces of his kingdom, and let them choose virgin girls, beautiful in appearance, into Shushan the city, into the women's house, and let them be delivered to eunuch of the king, keeper of the women, and let cosmetics and the rest of care be given.</w:t>
      </w:r>
    </w:p>
    <w:p>
      <w:r>
        <w:rPr>
          <w:b/>
        </w:rPr>
        <w:t xml:space="preserve">4 </w:t>
      </w:r>
      <w:r>
        <w:t xml:space="preserve">And the woman who pleases the king shall reign instead of Vashti. And the matter pleased the king, and he did thus.</w:t>
      </w:r>
    </w:p>
    <w:p>
      <w:r>
        <w:rPr>
          <w:b/>
        </w:rPr>
        <w:t xml:space="preserve">5 </w:t>
      </w:r>
      <w:r>
        <w:t xml:space="preserve">And there was a Jewish</w:t>
      </w:r>
      <w:r>
        <w:rPr>
          <w:rStyle w:val="FootnoteReference"/>
        </w:rPr>
        <w:footnoteReference w:id="10175"/>
      </w:r>
      <w:r>
        <w:t xml:space="preserve"> man in Shushan</w:t>
      </w:r>
      <w:r>
        <w:rPr>
          <w:rStyle w:val="FootnoteReference"/>
        </w:rPr>
        <w:footnoteReference w:id="10176"/>
      </w:r>
      <w:r>
        <w:t xml:space="preserve"> the city, and his name was Mordecai</w:t>
      </w:r>
      <w:r>
        <w:rPr>
          <w:rStyle w:val="FootnoteReference"/>
        </w:rPr>
        <w:footnoteReference w:id="10177"/>
      </w:r>
      <w:r>
        <w:t xml:space="preserve"> son of Jair, son of Shimei, son of Kish, from the tribe of Benjamin,</w:t>
      </w:r>
      <w:r>
        <w:rPr>
          <w:rStyle w:val="FootnoteReference"/>
        </w:rPr>
        <w:footnoteReference w:id="10178"/>
      </w:r>
    </w:p>
    <w:p>
      <w:r>
        <w:rPr>
          <w:b/>
        </w:rPr>
        <w:t xml:space="preserve">6 </w:t>
      </w:r>
      <w:r>
        <w:t xml:space="preserve">who was a captive from Jerusalem, whom Nebuchadnezzar king of Babylon carried away captive.</w:t>
      </w:r>
    </w:p>
    <w:p>
      <w:r>
        <w:rPr>
          <w:b/>
        </w:rPr>
        <w:t xml:space="preserve">7 </w:t>
      </w:r>
      <w:r>
        <w:t xml:space="preserve">And he had a foster-child, daughter of Amminadab his father's brother, and her name was Esther</w:t>
      </w:r>
      <w:r>
        <w:rPr>
          <w:rStyle w:val="FootnoteReference"/>
        </w:rPr>
        <w:footnoteReference w:id="10179"/>
      </w:r>
      <w:r>
        <w:t xml:space="preserve">. And after her parents died he trained her for himself as a wife, and the girl was beautiful in appearance.</w:t>
      </w:r>
    </w:p>
    <w:p>
      <w:r>
        <w:rPr>
          <w:b/>
        </w:rPr>
        <w:t xml:space="preserve">8 </w:t>
      </w:r>
      <w:r>
        <w:t xml:space="preserve">And when command of the king was heard, many girls were gathered into Shushan the city under the hand of Hegai</w:t>
      </w:r>
      <w:r>
        <w:rPr>
          <w:rStyle w:val="FootnoteReference"/>
        </w:rPr>
        <w:footnoteReference w:id="10180"/>
      </w:r>
      <w:r>
        <w:t xml:space="preserve">, and Esther was led to Hegai, keeper of the women.</w:t>
      </w:r>
      <w:r>
        <w:rPr>
          <w:rStyle w:val="FootnoteReference"/>
        </w:rPr>
        <w:footnoteReference w:id="10181"/>
      </w:r>
    </w:p>
    <w:p>
      <w:r>
        <w:rPr>
          <w:b/>
        </w:rPr>
        <w:t xml:space="preserve">9 </w:t>
      </w:r>
      <w:r>
        <w:t xml:space="preserve">And the girl pleased him and found favor before him, and he hurried to give her the cosmetics and the portion and the seven girls appointed to her from the royal house, and he treated her and her maidservants well in the women's house.</w:t>
      </w:r>
    </w:p>
    <w:p>
      <w:r>
        <w:rPr>
          <w:b/>
        </w:rPr>
        <w:t xml:space="preserve">10 </w:t>
      </w:r>
      <w:r>
        <w:t xml:space="preserve">And Esther did not reveal her race or her homeland, for Mordecai</w:t>
      </w:r>
      <w:r>
        <w:rPr>
          <w:rStyle w:val="FootnoteReference"/>
        </w:rPr>
        <w:footnoteReference w:id="10182"/>
      </w:r>
      <w:r>
        <w:t xml:space="preserve"> commanded her not to report it.</w:t>
      </w:r>
    </w:p>
    <w:p>
      <w:r>
        <w:rPr>
          <w:b/>
        </w:rPr>
        <w:t xml:space="preserve">11 </w:t>
      </w:r>
      <w:r>
        <w:t xml:space="preserve">And every day Mordecai walked</w:t>
      </w:r>
      <w:r>
        <w:rPr>
          <w:rStyle w:val="FootnoteReference"/>
        </w:rPr>
        <w:footnoteReference w:id="10183"/>
      </w:r>
      <w:r>
        <w:t xml:space="preserve"> around the women's court, looking to see what would happen to Esther.</w:t>
      </w:r>
    </w:p>
    <w:p>
      <w:r>
        <w:rPr>
          <w:b/>
        </w:rPr>
        <w:t xml:space="preserve">12 </w:t>
      </w:r>
      <w:r>
        <w:t xml:space="preserve">And this was the time for a girl to go in</w:t>
      </w:r>
      <w:r>
        <w:rPr>
          <w:rStyle w:val="FootnoteReference"/>
        </w:rPr>
        <w:footnoteReference w:id="10184"/>
      </w:r>
      <w:r>
        <w:t xml:space="preserve"> to the king, when she completed twelve months, for thus the days of treatment are completed</w:t>
      </w:r>
      <w:r>
        <w:rPr>
          <w:rStyle w:val="FootnoteReference"/>
        </w:rPr>
        <w:footnoteReference w:id="10185"/>
      </w:r>
      <w:r>
        <w:t xml:space="preserve">: six months being anointed with the oil of myrrh and six months with spices and with the women's cosmetics.</w:t>
      </w:r>
    </w:p>
    <w:p>
      <w:r>
        <w:rPr>
          <w:b/>
        </w:rPr>
        <w:t xml:space="preserve">13 </w:t>
      </w:r>
      <w:r>
        <w:t xml:space="preserve">And then she goes in to the king, and whatever she says will be given to her to go in with her from the women's house as far as the royal rooms.</w:t>
      </w:r>
    </w:p>
    <w:p>
      <w:r>
        <w:rPr>
          <w:b/>
        </w:rPr>
        <w:t xml:space="preserve">14 </w:t>
      </w:r>
      <w:r>
        <w:t xml:space="preserve">In evening she goes in, and by day she returns to the second women's house, where Shaashgaz</w:t>
      </w:r>
      <w:r>
        <w:rPr>
          <w:rStyle w:val="FootnoteReference"/>
        </w:rPr>
        <w:footnoteReference w:id="10186"/>
      </w:r>
      <w:r>
        <w:t xml:space="preserve"> the king's eunuch, keeper of the women, is, and she no longer goes in to the king unless called by name.</w:t>
      </w:r>
    </w:p>
    <w:p>
      <w:r>
        <w:rPr>
          <w:b/>
        </w:rPr>
        <w:t xml:space="preserve">15 </w:t>
      </w:r>
      <w:r>
        <w:t xml:space="preserve">And when time of Esther</w:t>
      </w:r>
      <w:r>
        <w:rPr>
          <w:rStyle w:val="FootnoteReference"/>
        </w:rPr>
        <w:footnoteReference w:id="10187"/>
      </w:r>
      <w:r>
        <w:t xml:space="preserve">, daughter of Amminadab the father's brother of Mordecai, was fulfilled to go in to the king, she rejected nothing of what Hegai the eunuch, keeper of the women, commanded her. For Esther was finding favor from all seeing her.</w:t>
      </w:r>
    </w:p>
    <w:p>
      <w:r>
        <w:rPr>
          <w:b/>
        </w:rPr>
        <w:t xml:space="preserve">16 </w:t>
      </w:r>
      <w:r>
        <w:t xml:space="preserve">And Esther went in to Artaxerxes the king in the twelfth month, which is Adar, in the seventh</w:t>
      </w:r>
      <w:r>
        <w:rPr>
          <w:rStyle w:val="FootnoteReference"/>
        </w:rPr>
        <w:footnoteReference w:id="10188"/>
      </w:r>
      <w:r>
        <w:t xml:space="preserve"> year of his reign.</w:t>
      </w:r>
    </w:p>
    <w:p>
      <w:r>
        <w:rPr>
          <w:b/>
        </w:rPr>
        <w:t xml:space="preserve">17 </w:t>
      </w:r>
      <w:r>
        <w:t xml:space="preserve">And the king loved Esther, and she found favor beyond all the virgins, and he put upon her the woman's diadem.</w:t>
      </w:r>
    </w:p>
    <w:p>
      <w:r>
        <w:rPr>
          <w:b/>
        </w:rPr>
        <w:t xml:space="preserve">18 </w:t>
      </w:r>
      <w:r>
        <w:t xml:space="preserve">And the king made a feast for all his friends and the forces for seven days, and exalted wedding of Esther and made a remission for those under his kingdom.</w:t>
      </w:r>
    </w:p>
    <w:p>
      <w:r>
        <w:rPr>
          <w:b/>
        </w:rPr>
        <w:t xml:space="preserve">19 </w:t>
      </w:r>
      <w:r>
        <w:t xml:space="preserve">And Mordecai was serving in the court.</w:t>
      </w:r>
    </w:p>
    <w:p>
      <w:r>
        <w:rPr>
          <w:b/>
        </w:rPr>
        <w:t xml:space="preserve">20 </w:t>
      </w:r>
      <w:r>
        <w:t xml:space="preserve">And Esther did not reveal her homeland, for thus Mordecai commanded her to fear God and do his commandments, just as when she was with him, and Esther did not change her conduct.</w:t>
      </w:r>
    </w:p>
    <w:p>
      <w:r>
        <w:rPr>
          <w:b/>
        </w:rPr>
        <w:t xml:space="preserve">21 </w:t>
      </w:r>
      <w:r>
        <w:t xml:space="preserve">And the two eunuchs of the king, chief bodyguards, were grieved because Mordecai had been promoted, and they sought to kill Artaxerxes the king.</w:t>
      </w:r>
    </w:p>
    <w:p>
      <w:r>
        <w:rPr>
          <w:b/>
        </w:rPr>
        <w:t xml:space="preserve">22 </w:t>
      </w:r>
      <w:r>
        <w:t xml:space="preserve">And the matter became known to Mordecai, and he signaled it to Esther, and she made known to the king the details of the plot.</w:t>
      </w:r>
    </w:p>
    <w:p>
      <w:r>
        <w:rPr>
          <w:b/>
        </w:rPr>
        <w:t xml:space="preserve">23 </w:t>
      </w:r>
      <w:r>
        <w:t xml:space="preserve">And the king examined the two eunuchs and hanged</w:t>
      </w:r>
      <w:r>
        <w:rPr>
          <w:rStyle w:val="FootnoteReference"/>
        </w:rPr>
        <w:footnoteReference w:id="10189"/>
      </w:r>
      <w:r>
        <w:t xml:space="preserve"> them, and the king ordered it to be recorded for remembrance in the royal library concerning the favor of Mordecai, with praise.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after these things King Artaxerxes honored Aman</w:t>
      </w:r>
      <w:r>
        <w:rPr>
          <w:rStyle w:val="FootnoteReference"/>
        </w:rPr>
        <w:footnoteReference w:id="10190"/>
      </w:r>
      <w:r>
        <w:t xml:space="preserve"> son of Hammedatha</w:t>
      </w:r>
      <w:r>
        <w:rPr>
          <w:rStyle w:val="FootnoteReference"/>
        </w:rPr>
        <w:footnoteReference w:id="10191"/>
      </w:r>
      <w:r>
        <w:t xml:space="preserve"> the Agagite</w:t>
      </w:r>
      <w:r>
        <w:rPr>
          <w:rStyle w:val="FootnoteReference"/>
        </w:rPr>
        <w:footnoteReference w:id="10192"/>
      </w:r>
      <w:r>
        <w:t xml:space="preserve"> and exalted him and gave him first rank beyond all his friends.</w:t>
      </w:r>
      <w:r>
        <w:rPr>
          <w:rStyle w:val="FootnoteReference"/>
        </w:rPr>
        <w:footnoteReference w:id="10193"/>
      </w:r>
    </w:p>
    <w:p>
      <w:r>
        <w:rPr>
          <w:b/>
        </w:rPr>
        <w:t xml:space="preserve">2 </w:t>
      </w:r>
      <w:r>
        <w:t xml:space="preserve">And all in the court were bowing to him, for thus the king commanded it to be done, but Mordecai was not bowing to him.</w:t>
      </w:r>
    </w:p>
    <w:p>
      <w:r>
        <w:rPr>
          <w:b/>
        </w:rPr>
        <w:t xml:space="preserve">3 </w:t>
      </w:r>
      <w:r>
        <w:t xml:space="preserve">And those in the court of the king said to Mordecai, Mordecai, why do you disregard things spoken by the king?</w:t>
      </w:r>
    </w:p>
    <w:p>
      <w:r>
        <w:rPr>
          <w:b/>
        </w:rPr>
        <w:t xml:space="preserve">4 </w:t>
      </w:r>
      <w:r>
        <w:t xml:space="preserve">Every day they spoke to him, and he was not listening to them, and they reported Mordecai to Aman, as one opposing words of the king, and Mordecai showed them that he is a Jew</w:t>
      </w:r>
      <w:r>
        <w:rPr>
          <w:rStyle w:val="FootnoteReference"/>
        </w:rPr>
        <w:footnoteReference w:id="10194"/>
      </w:r>
      <w:r>
        <w:t xml:space="preserve">.</w:t>
      </w:r>
    </w:p>
    <w:p>
      <w:r>
        <w:rPr>
          <w:b/>
        </w:rPr>
        <w:t xml:space="preserve">5 </w:t>
      </w:r>
      <w:r>
        <w:t xml:space="preserve">And Aman, perceiving that Mordecai</w:t>
      </w:r>
      <w:r>
        <w:rPr>
          <w:rStyle w:val="FootnoteReference"/>
        </w:rPr>
        <w:footnoteReference w:id="10195"/>
      </w:r>
      <w:r>
        <w:t xml:space="preserve"> was not bowing to him, was enraged greatly.</w:t>
      </w:r>
    </w:p>
    <w:p>
      <w:r>
        <w:rPr>
          <w:b/>
        </w:rPr>
        <w:t xml:space="preserve">6 </w:t>
      </w:r>
      <w:r>
        <w:t xml:space="preserve">And he planned to destroy all the Jews under kingdom of Artaxerxes.</w:t>
      </w:r>
    </w:p>
    <w:p>
      <w:r>
        <w:rPr>
          <w:b/>
        </w:rPr>
        <w:t xml:space="preserve">7 </w:t>
      </w:r>
      <w:r>
        <w:t xml:space="preserve">And he made a decree in the twelfth</w:t>
      </w:r>
      <w:r>
        <w:rPr>
          <w:rStyle w:val="FootnoteReference"/>
        </w:rPr>
        <w:footnoteReference w:id="10196"/>
      </w:r>
      <w:r>
        <w:t xml:space="preserve"> year of the reign of Artaxerxes and cast lots, day by day and month by month, so as to destroy the race of Mordecai in one day, and the lot fell on the fourteenth of the month, which is Adar.</w:t>
      </w:r>
    </w:p>
    <w:p>
      <w:r>
        <w:rPr>
          <w:b/>
        </w:rPr>
        <w:t xml:space="preserve">8 </w:t>
      </w:r>
      <w:r>
        <w:t xml:space="preserve">And he spoke to King Artaxerxes, saying, There is a nation scattered among the nations in all your kingdom, and their laws</w:t>
      </w:r>
      <w:r>
        <w:rPr>
          <w:rStyle w:val="FootnoteReference"/>
        </w:rPr>
        <w:footnoteReference w:id="10197"/>
      </w:r>
      <w:r>
        <w:t xml:space="preserve"> differ from all nations, and they disregard laws of the king, and it is not advantageous for the king to let them remain.</w:t>
      </w:r>
    </w:p>
    <w:p>
      <w:r>
        <w:rPr>
          <w:b/>
        </w:rPr>
        <w:t xml:space="preserve">9 </w:t>
      </w:r>
      <w:r>
        <w:t xml:space="preserve">If it seems good to the king, let it be decreed to destroy them, and I will write ten thousand</w:t>
      </w:r>
      <w:r>
        <w:rPr>
          <w:rStyle w:val="FootnoteReference"/>
        </w:rPr>
        <w:footnoteReference w:id="10198"/>
      </w:r>
      <w:r>
        <w:t xml:space="preserve"> talents of silver into the treasury of the king.</w:t>
      </w:r>
    </w:p>
    <w:p>
      <w:r>
        <w:rPr>
          <w:b/>
        </w:rPr>
        <w:t xml:space="preserve">10 </w:t>
      </w:r>
      <w:r>
        <w:t xml:space="preserve">And the king removed the ring and gave it into the hand of Aman to seal against the writings against the Jews.</w:t>
      </w:r>
    </w:p>
    <w:p>
      <w:r>
        <w:rPr>
          <w:b/>
        </w:rPr>
        <w:t xml:space="preserve">11 </w:t>
      </w:r>
      <w:r>
        <w:t xml:space="preserve">And the king said to Aman, Keep the silver, and use the nation as you wish.</w:t>
      </w:r>
    </w:p>
    <w:p>
      <w:r>
        <w:rPr>
          <w:b/>
        </w:rPr>
        <w:t xml:space="preserve">12 </w:t>
      </w:r>
      <w:r>
        <w:t xml:space="preserve">And scribes of the king were called on the thirteenth of the first month, and they wrote as Aman commanded to the generals and the rulers over every province, from India to Ethiopia, to the one hundred twenty-seven provinces, and to the rulers of the nations in their own language, by Artaxerxes the king.</w:t>
      </w:r>
    </w:p>
    <w:p>
      <w:r>
        <w:rPr>
          <w:b/>
        </w:rPr>
        <w:t xml:space="preserve">13 </w:t>
      </w:r>
      <w:r>
        <w:t xml:space="preserve">And it was sent by book-carriers into the kingdom of Artaxerxes to destroy the race of the Jews in one day</w:t>
      </w:r>
      <w:r>
        <w:rPr>
          <w:rStyle w:val="FootnoteReference"/>
        </w:rPr>
        <w:footnoteReference w:id="10199"/>
      </w:r>
      <w:r>
        <w:t xml:space="preserve"> of the twelfth month, which is Adar, and to plunder their goods.</w:t>
      </w:r>
    </w:p>
    <w:p>
      <w:r>
        <w:rPr>
          <w:b/>
        </w:rPr>
        <w:t xml:space="preserve">14 </w:t>
      </w:r>
      <w:r>
        <w:t xml:space="preserve">Copies of the letters were posted province by province, and command was given to all the nations to be ready for this day.</w:t>
      </w:r>
    </w:p>
    <w:p>
      <w:r>
        <w:rPr>
          <w:b/>
        </w:rPr>
        <w:t xml:space="preserve">15 </w:t>
      </w:r>
      <w:r>
        <w:t xml:space="preserve">And the matter was hurried, even in Shushan. But the king and Aman were drinking, while the city was troubled.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Mordecai, perceiving what was being carried out, tore his garments and put on sackcloth and sprinkled himself with ashes</w:t>
      </w:r>
      <w:r>
        <w:rPr>
          <w:rStyle w:val="FootnoteReference"/>
        </w:rPr>
        <w:footnoteReference w:id="10200"/>
      </w:r>
      <w:r>
        <w:t xml:space="preserve">, and leaping through the broad place of the city he cried with a loud voice, A nation that did no wrong is being taken away.</w:t>
      </w:r>
    </w:p>
    <w:p>
      <w:r>
        <w:rPr>
          <w:b/>
        </w:rPr>
        <w:t xml:space="preserve">2 </w:t>
      </w:r>
      <w:r>
        <w:t xml:space="preserve">And he came as far as the king's gate and stood, for it was not lawful for him to enter the court wearing sackcloth and ashes.</w:t>
      </w:r>
    </w:p>
    <w:p>
      <w:r>
        <w:rPr>
          <w:b/>
        </w:rPr>
        <w:t xml:space="preserve">3 </w:t>
      </w:r>
      <w:r>
        <w:t xml:space="preserve">And in every province</w:t>
      </w:r>
      <w:r>
        <w:rPr>
          <w:rStyle w:val="FootnoteReference"/>
        </w:rPr>
        <w:footnoteReference w:id="10201"/>
      </w:r>
      <w:r>
        <w:t xml:space="preserve"> where the letters were posted, there was cry and beating and great mourning for the Jews. They spread sackcloth and ashes for themselves.</w:t>
      </w:r>
    </w:p>
    <w:p>
      <w:r>
        <w:rPr>
          <w:b/>
        </w:rPr>
        <w:t xml:space="preserve">4 </w:t>
      </w:r>
      <w:r>
        <w:t xml:space="preserve">And maidservants and eunuchs of the queen came in and reported to her, and hearing what happened she was troubled, and she sent to clothe Mordecai and take away the sackcloth from him, but he was not persuaded.</w:t>
      </w:r>
    </w:p>
    <w:p>
      <w:r>
        <w:rPr>
          <w:b/>
        </w:rPr>
        <w:t xml:space="preserve">5 </w:t>
      </w:r>
      <w:r>
        <w:t xml:space="preserve">And Esther called Hathach</w:t>
      </w:r>
      <w:r>
        <w:rPr>
          <w:rStyle w:val="FootnoteReference"/>
        </w:rPr>
        <w:footnoteReference w:id="10202"/>
      </w:r>
      <w:r>
        <w:t xml:space="preserve"> her eunuch, who stood by her, and sent to learn from Mordecai the exact truth.</w:t>
      </w:r>
    </w:p>
    <w:p>
      <w:r>
        <w:rPr>
          <w:b/>
        </w:rPr>
        <w:t xml:space="preserve">7 </w:t>
      </w:r>
      <w:r>
        <w:t xml:space="preserve">And Mordecai showed him what had happened and the promise which Aman promised to the king, ten thousand talents to the treasury, so as to destroy the Jews.</w:t>
      </w:r>
    </w:p>
    <w:p>
      <w:r>
        <w:rPr>
          <w:b/>
        </w:rPr>
        <w:t xml:space="preserve">8 </w:t>
      </w:r>
      <w:r>
        <w:t xml:space="preserve">And he gave him copy of the notice posted in Shushan for their destruction, to show Esther, and he told him to command her, after going in, to plead with the king and urge him for the people, remembering days of your humiliation, how you were nourished in my hand, because Aman, the second to the kingdom, has spoken against us for death. Call upon the Lord and speak to the king concerning us</w:t>
      </w:r>
      <w:r>
        <w:rPr>
          <w:rStyle w:val="FootnoteReference"/>
        </w:rPr>
        <w:footnoteReference w:id="10203"/>
      </w:r>
      <w:r>
        <w:t xml:space="preserve"> and rescue us from death.</w:t>
      </w:r>
    </w:p>
    <w:p>
      <w:r>
        <w:rPr>
          <w:b/>
        </w:rPr>
        <w:t xml:space="preserve">9 </w:t>
      </w:r>
      <w:r>
        <w:t xml:space="preserve">And Hathach went in and spoke to her all these words.</w:t>
      </w:r>
    </w:p>
    <w:p>
      <w:r>
        <w:rPr>
          <w:b/>
        </w:rPr>
        <w:t xml:space="preserve">10 </w:t>
      </w:r>
      <w:r>
        <w:t xml:space="preserve">And Esther said to Hathach, Go to Mordecai and say that</w:t>
      </w:r>
    </w:p>
    <w:p>
      <w:r>
        <w:rPr>
          <w:b/>
        </w:rPr>
        <w:t xml:space="preserve">11 </w:t>
      </w:r>
      <w:r>
        <w:t xml:space="preserve">all nations of the kingdom know that every man or woman who enters to the king in the inner court</w:t>
      </w:r>
      <w:r>
        <w:rPr>
          <w:rStyle w:val="FootnoteReference"/>
        </w:rPr>
        <w:footnoteReference w:id="10204"/>
      </w:r>
      <w:r>
        <w:t xml:space="preserve"> uncalled has no salvation</w:t>
      </w:r>
      <w:r>
        <w:rPr>
          <w:rStyle w:val="FootnoteReference"/>
        </w:rPr>
        <w:footnoteReference w:id="10205"/>
      </w:r>
      <w:r>
        <w:t xml:space="preserve">, except the one to whom the king stretches out the golden scepter, that one will be saved. And I have not been called to go in to the king these thirty days.</w:t>
      </w:r>
    </w:p>
    <w:p>
      <w:r>
        <w:rPr>
          <w:b/>
        </w:rPr>
        <w:t xml:space="preserve">12 </w:t>
      </w:r>
      <w:r>
        <w:t xml:space="preserve">And Hathach reported to Mordecai all words of Esther.</w:t>
      </w:r>
    </w:p>
    <w:p>
      <w:r>
        <w:rPr>
          <w:b/>
        </w:rPr>
        <w:t xml:space="preserve">13 </w:t>
      </w:r>
      <w:r>
        <w:t xml:space="preserve">And Mordecai said to Hathach, Go and tell Esther, Do not say to yourself that you alone in the kingdom will be saved beyond all the Jews.</w:t>
      </w:r>
    </w:p>
    <w:p>
      <w:r>
        <w:rPr>
          <w:b/>
        </w:rPr>
        <w:t xml:space="preserve">14 </w:t>
      </w:r>
      <w:r>
        <w:t xml:space="preserve">For if you disregard in this time, help and shelter will be for the Jews from another place, but you and house of your father will perish. And who knows whether</w:t>
      </w:r>
      <w:r>
        <w:rPr>
          <w:rStyle w:val="FootnoteReference"/>
        </w:rPr>
        <w:footnoteReference w:id="10206"/>
      </w:r>
      <w:r>
        <w:t xml:space="preserve"> for this very time you came to reign?</w:t>
      </w:r>
    </w:p>
    <w:p>
      <w:r>
        <w:rPr>
          <w:b/>
        </w:rPr>
        <w:t xml:space="preserve">15 </w:t>
      </w:r>
      <w:r>
        <w:t xml:space="preserve">And Esther sent back the one who came to her, to Mordecai, saying,</w:t>
      </w:r>
    </w:p>
    <w:p>
      <w:r>
        <w:rPr>
          <w:b/>
        </w:rPr>
        <w:t xml:space="preserve">16 </w:t>
      </w:r>
      <w:r>
        <w:t xml:space="preserve">Go, gather the Jews in Shushan and fast</w:t>
      </w:r>
      <w:r>
        <w:rPr>
          <w:rStyle w:val="FootnoteReference"/>
        </w:rPr>
        <w:footnoteReference w:id="10207"/>
      </w:r>
      <w:r>
        <w:t xml:space="preserve"> for me, and do not eat or drink for three days, night and day. And I and my maidservants will likewise go without food, and then I will go in to the king contrary to the law. If then I must perish, I will perish.</w:t>
      </w:r>
    </w:p>
    <w:p>
      <w:r>
        <w:rPr>
          <w:b/>
        </w:rPr>
        <w:t xml:space="preserve">17 </w:t>
      </w:r>
      <w:r>
        <w:t xml:space="preserve">And Mordecai went</w:t>
      </w:r>
      <w:r>
        <w:rPr>
          <w:rStyle w:val="FootnoteReference"/>
        </w:rPr>
        <w:footnoteReference w:id="10208"/>
      </w:r>
      <w:r>
        <w:t xml:space="preserve"> and did all that Esther commanded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it happened on the</w:t>
      </w:r>
      <w:r>
        <w:rPr>
          <w:rStyle w:val="FootnoteReference"/>
        </w:rPr>
        <w:footnoteReference w:id="10209"/>
      </w:r>
      <w:r>
        <w:t xml:space="preserve"> third day, when she ceased praying, she took off garments of service and put on her glory.</w:t>
      </w:r>
    </w:p>
    <w:p>
      <w:r>
        <w:rPr>
          <w:b/>
        </w:rPr>
        <w:t xml:space="preserve">2 </w:t>
      </w:r>
      <w:r>
        <w:t xml:space="preserve">And after lifting the golden scepter she placed it on her neck and kissed it and said, Speak to me.</w:t>
      </w:r>
    </w:p>
    <w:p>
      <w:r>
        <w:rPr>
          <w:b/>
        </w:rPr>
        <w:t xml:space="preserve">3 </w:t>
      </w:r>
      <w:r>
        <w:t xml:space="preserve">And the king said, What do you want, Esther, and what is your request? Even to half of my kingdom, it shall be yours.</w:t>
      </w:r>
    </w:p>
    <w:p>
      <w:r>
        <w:rPr>
          <w:b/>
        </w:rPr>
        <w:t xml:space="preserve">4 </w:t>
      </w:r>
      <w:r>
        <w:t xml:space="preserve">And Esther said, My marked day is today. If then it seems good to the king, let him and Aman come to the feast which I will make today.</w:t>
      </w:r>
    </w:p>
    <w:p>
      <w:r>
        <w:rPr>
          <w:b/>
        </w:rPr>
        <w:t xml:space="preserve">5 </w:t>
      </w:r>
      <w:r>
        <w:t xml:space="preserve">And the king said, Hasten Aman, so that we may do word of Esther. And both came to the feast which Esther spoke of.</w:t>
      </w:r>
    </w:p>
    <w:p>
      <w:r>
        <w:rPr>
          <w:b/>
        </w:rPr>
        <w:t xml:space="preserve">6 </w:t>
      </w:r>
      <w:r>
        <w:t xml:space="preserve">And during the drinking the king said</w:t>
      </w:r>
      <w:r>
        <w:rPr>
          <w:rStyle w:val="FootnoteReference"/>
        </w:rPr>
        <w:footnoteReference w:id="10210"/>
      </w:r>
      <w:r>
        <w:t xml:space="preserve"> to Esther, What is it, Queen Esther? It shall be yours, whatever you ask.</w:t>
      </w:r>
    </w:p>
    <w:p>
      <w:r>
        <w:rPr>
          <w:b/>
        </w:rPr>
        <w:t xml:space="preserve">7 </w:t>
      </w:r>
      <w:r>
        <w:t xml:space="preserve">And she said, My petition and my request are this:</w:t>
      </w:r>
    </w:p>
    <w:p>
      <w:r>
        <w:rPr>
          <w:b/>
        </w:rPr>
        <w:t xml:space="preserve">8 </w:t>
      </w:r>
      <w:r>
        <w:t xml:space="preserve">If I found favor before the king, let the king and Aman come tomorrow to the feast which I will make for them, and tomorrow I will do the same things.</w:t>
      </w:r>
    </w:p>
    <w:p>
      <w:r>
        <w:rPr>
          <w:b/>
        </w:rPr>
        <w:t xml:space="preserve">9 </w:t>
      </w:r>
      <w:r>
        <w:t xml:space="preserve">And Aman went out from the king overjoyed and rejoicing. But when Aman saw Mordecai the Jew in the court, he was enraged greatly.</w:t>
      </w:r>
    </w:p>
    <w:p>
      <w:r>
        <w:rPr>
          <w:b/>
        </w:rPr>
        <w:t xml:space="preserve">10 </w:t>
      </w:r>
      <w:r>
        <w:t xml:space="preserve">And after entering his own house he called his friends and Zeresh</w:t>
      </w:r>
      <w:r>
        <w:rPr>
          <w:rStyle w:val="FootnoteReference"/>
        </w:rPr>
        <w:footnoteReference w:id="10211"/>
      </w:r>
      <w:r>
        <w:t xml:space="preserve"> his wife.</w:t>
      </w:r>
    </w:p>
    <w:p>
      <w:r>
        <w:rPr>
          <w:b/>
        </w:rPr>
        <w:t xml:space="preserve">11 </w:t>
      </w:r>
      <w:r>
        <w:t xml:space="preserve">And he showed them his wealth and the honor which the king placed on him and how he made him hold first place and lead the kingdom.</w:t>
      </w:r>
    </w:p>
    <w:p>
      <w:r>
        <w:rPr>
          <w:b/>
        </w:rPr>
        <w:t xml:space="preserve">12 </w:t>
      </w:r>
      <w:r>
        <w:t xml:space="preserve">And Aman said, The queen called no one to the feast with the king except me, and for tomorrow I have been called.</w:t>
      </w:r>
    </w:p>
    <w:p>
      <w:r>
        <w:rPr>
          <w:b/>
        </w:rPr>
        <w:t xml:space="preserve">13 </w:t>
      </w:r>
      <w:r>
        <w:t xml:space="preserve">And these things do not please me whenever I see Mordecai the Jew in the court.</w:t>
      </w:r>
    </w:p>
    <w:p>
      <w:r>
        <w:rPr>
          <w:b/>
        </w:rPr>
        <w:t xml:space="preserve">14 </w:t>
      </w:r>
      <w:r>
        <w:t xml:space="preserve">And Zeresh his wife and the friends said to him, Let a timber of fifty cubits be cut for you, and in the morning speak to the king, and let Mordecai be hanged on the timber. But you go into the feast with the king and rejoice. And the word pleased Aman, and the timber was prepared.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But the Lord drove sleep away from the king in that night</w:t>
      </w:r>
      <w:r>
        <w:rPr>
          <w:rStyle w:val="FootnoteReference"/>
        </w:rPr>
        <w:footnoteReference w:id="10212"/>
      </w:r>
      <w:r>
        <w:t xml:space="preserve">, and he told his teacher to bring in memorial records of the days, to read to him.</w:t>
      </w:r>
    </w:p>
    <w:p>
      <w:r>
        <w:rPr>
          <w:b/>
        </w:rPr>
        <w:t xml:space="preserve">2 </w:t>
      </w:r>
      <w:r>
        <w:t xml:space="preserve">And he found the writings written concerning Mordecai, how he reported to the king about the two eunuchs of the king while they were guarding him and seeking to lay hands on Artaxerxes.</w:t>
      </w:r>
    </w:p>
    <w:p>
      <w:r>
        <w:rPr>
          <w:b/>
        </w:rPr>
        <w:t xml:space="preserve">3 </w:t>
      </w:r>
      <w:r>
        <w:t xml:space="preserve">And the king said, What honor or favor have we done for Mordecai? And the servants of the king said, You did nothing for him.</w:t>
      </w:r>
    </w:p>
    <w:p>
      <w:r>
        <w:rPr>
          <w:b/>
        </w:rPr>
        <w:t xml:space="preserve">4 </w:t>
      </w:r>
      <w:r>
        <w:t xml:space="preserve">And as the king was inquiring concerning the favor of Mordecai, behold Aman was in the court. And the king said, Who is in the court</w:t>
      </w:r>
      <w:r>
        <w:rPr>
          <w:rStyle w:val="FootnoteReference"/>
        </w:rPr>
        <w:footnoteReference w:id="10213"/>
      </w:r>
      <w:r>
        <w:t xml:space="preserve">? And Aman came in to speak to the king to hang Mordecai on the timber which he prepared.</w:t>
      </w:r>
    </w:p>
    <w:p>
      <w:r>
        <w:rPr>
          <w:b/>
        </w:rPr>
        <w:t xml:space="preserve">5 </w:t>
      </w:r>
      <w:r>
        <w:t xml:space="preserve">And the servants of the king said, Behold, Aman stands in the court. And the king said, Call him.</w:t>
      </w:r>
    </w:p>
    <w:p>
      <w:r>
        <w:rPr>
          <w:b/>
        </w:rPr>
        <w:t xml:space="preserve">6 </w:t>
      </w:r>
      <w:r>
        <w:t xml:space="preserve">And the king said to Aman, What shall I do for the man whom I wish to honor? And Aman said in himself, Whom does the king wish to honor except me?</w:t>
      </w:r>
    </w:p>
    <w:p>
      <w:r>
        <w:rPr>
          <w:b/>
        </w:rPr>
        <w:t xml:space="preserve">7 </w:t>
      </w:r>
      <w:r>
        <w:t xml:space="preserve">And he said to the king, For the man whom the king</w:t>
      </w:r>
      <w:r>
        <w:rPr>
          <w:rStyle w:val="FootnoteReference"/>
        </w:rPr>
        <w:footnoteReference w:id="10214"/>
      </w:r>
      <w:r>
        <w:t xml:space="preserve"> wishes to honor,</w:t>
      </w:r>
    </w:p>
    <w:p>
      <w:r>
        <w:rPr>
          <w:b/>
        </w:rPr>
        <w:t xml:space="preserve">8 </w:t>
      </w:r>
      <w:r>
        <w:t xml:space="preserve">let servants of the king bring linen robe which the king wears and horse on which the king rides,</w:t>
      </w:r>
    </w:p>
    <w:p>
      <w:r>
        <w:rPr>
          <w:b/>
        </w:rPr>
        <w:t xml:space="preserve">9 </w:t>
      </w:r>
      <w:r>
        <w:t xml:space="preserve">and let one of the king's glorious friends give it, and let him robe the man whom the king loves and lift him upon the horse and proclaim</w:t>
      </w:r>
      <w:r>
        <w:rPr>
          <w:rStyle w:val="FootnoteReference"/>
        </w:rPr>
        <w:footnoteReference w:id="10215"/>
      </w:r>
      <w:r>
        <w:t xml:space="preserve"> through the broad place of the city, saying, Thus it shall be to every man whom the king honors.</w:t>
      </w:r>
    </w:p>
    <w:p>
      <w:r>
        <w:rPr>
          <w:b/>
        </w:rPr>
        <w:t xml:space="preserve">10 </w:t>
      </w:r>
      <w:r>
        <w:t xml:space="preserve">And the king said to Aman, As you spoke, so do to Mordecai the Jew, who serves in the court, and let not one word of what you spoke fall away.</w:t>
      </w:r>
    </w:p>
    <w:p>
      <w:r>
        <w:rPr>
          <w:b/>
        </w:rPr>
        <w:t xml:space="preserve">11 </w:t>
      </w:r>
      <w:r>
        <w:t xml:space="preserve">And Aman took the robe and the horse and robed Mordecai and lifted him upon the horse and went through the broad place of the city and proclaimed, saying, Thus it shall be to every man whom the king wishes to honor.</w:t>
      </w:r>
    </w:p>
    <w:p>
      <w:r>
        <w:rPr>
          <w:b/>
        </w:rPr>
        <w:t xml:space="preserve">12 </w:t>
      </w:r>
      <w:r>
        <w:t xml:space="preserve">And Mordecai returned to the court, but Aman returned to his own house grieving, with head covered.</w:t>
      </w:r>
    </w:p>
    <w:p>
      <w:r>
        <w:rPr>
          <w:b/>
        </w:rPr>
        <w:t xml:space="preserve">13 </w:t>
      </w:r>
      <w:r>
        <w:t xml:space="preserve">And Aman recounted to Zeresh</w:t>
      </w:r>
      <w:r>
        <w:rPr>
          <w:rStyle w:val="FootnoteReference"/>
        </w:rPr>
        <w:footnoteReference w:id="10216"/>
      </w:r>
      <w:r>
        <w:t xml:space="preserve"> his wife and to the friends what happened to him, and the friends and the wife said to him, If Mordecai is from race of Jews, you began to be humbled before him, and falling you will fall; you will never be able to resist him, because living God is with him.</w:t>
      </w:r>
    </w:p>
    <w:p>
      <w:r>
        <w:rPr>
          <w:b/>
        </w:rPr>
        <w:t xml:space="preserve">14 </w:t>
      </w:r>
      <w:r>
        <w:t xml:space="preserve">While they were still speaking, the eunuchs arrived, hurrying Aman to the drinking-feast which Esther prepared.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the king and Aman went in to drink with the queen.</w:t>
      </w:r>
    </w:p>
    <w:p>
      <w:r>
        <w:rPr>
          <w:b/>
        </w:rPr>
        <w:t xml:space="preserve">2 </w:t>
      </w:r>
      <w:r>
        <w:t xml:space="preserve">And on the second day during the drinking the king said</w:t>
      </w:r>
      <w:r>
        <w:rPr>
          <w:rStyle w:val="FootnoteReference"/>
        </w:rPr>
        <w:footnoteReference w:id="10217"/>
      </w:r>
      <w:r>
        <w:t xml:space="preserve">, What is it, Queen Esther, and what is your petition and what is your request? Even to half of my kingdom, let it be yours.</w:t>
      </w:r>
    </w:p>
    <w:p>
      <w:r>
        <w:rPr>
          <w:b/>
        </w:rPr>
        <w:t xml:space="preserve">3 </w:t>
      </w:r>
      <w:r>
        <w:t xml:space="preserve">And she answered and said, If I found favor before the king, let my life</w:t>
      </w:r>
      <w:r>
        <w:rPr>
          <w:rStyle w:val="FootnoteReference"/>
        </w:rPr>
        <w:footnoteReference w:id="10218"/>
      </w:r>
      <w:r>
        <w:t xml:space="preserve"> be given for my petition and my people for my request.</w:t>
      </w:r>
    </w:p>
    <w:p>
      <w:r>
        <w:rPr>
          <w:b/>
        </w:rPr>
        <w:t xml:space="preserve">4 </w:t>
      </w:r>
      <w:r>
        <w:t xml:space="preserve">For I and my people were sold for destruction and plundering and slavery, we and our children, for boy-servants and girl-servants. And I kept silent, for the accuser is not worthy of the king's court.</w:t>
      </w:r>
    </w:p>
    <w:p>
      <w:r>
        <w:rPr>
          <w:b/>
        </w:rPr>
        <w:t xml:space="preserve">5 </w:t>
      </w:r>
      <w:r>
        <w:t xml:space="preserve">And the king said, Who is this one who dared to do this thing?</w:t>
      </w:r>
    </w:p>
    <w:p>
      <w:r>
        <w:rPr>
          <w:b/>
        </w:rPr>
        <w:t xml:space="preserve">6 </w:t>
      </w:r>
      <w:r>
        <w:t xml:space="preserve">And Esther said, An enemy, Aman, this evil one. And Aman was thrown into turmoil before the king and the queen.</w:t>
      </w:r>
    </w:p>
    <w:p>
      <w:r>
        <w:rPr>
          <w:b/>
        </w:rPr>
        <w:t xml:space="preserve">7 </w:t>
      </w:r>
      <w:r>
        <w:t xml:space="preserve">And the king rose from the banquet into the garden, but Aman was begging the queen, for he saw</w:t>
      </w:r>
      <w:r>
        <w:rPr>
          <w:rStyle w:val="FootnoteReference"/>
        </w:rPr>
        <w:footnoteReference w:id="10219"/>
      </w:r>
      <w:r>
        <w:t xml:space="preserve"> himself in evils.</w:t>
      </w:r>
    </w:p>
    <w:p>
      <w:r>
        <w:rPr>
          <w:b/>
        </w:rPr>
        <w:t xml:space="preserve">8 </w:t>
      </w:r>
      <w:r>
        <w:t xml:space="preserve">And the king returned from the garden. Aman had fallen on the couch, begging the queen. And the king said, So then will he even force the woman in my own house? And Aman, hearing, was struck in the face.</w:t>
      </w:r>
    </w:p>
    <w:p>
      <w:r>
        <w:rPr>
          <w:b/>
        </w:rPr>
        <w:t xml:space="preserve">9 </w:t>
      </w:r>
      <w:r>
        <w:t xml:space="preserve">And Bouthathan, one of the eunuchs, said to the king, Behold</w:t>
      </w:r>
      <w:r>
        <w:rPr>
          <w:rStyle w:val="FootnoteReference"/>
        </w:rPr>
        <w:footnoteReference w:id="10220"/>
      </w:r>
      <w:r>
        <w:t xml:space="preserve">, Aman also prepared a timber for Mordecai, the one who spoke for the king, and it stands in Aman's house, fifty cubits. And the king said, Let him be impaled on it.</w:t>
      </w:r>
    </w:p>
    <w:p>
      <w:r>
        <w:rPr>
          <w:b/>
        </w:rPr>
        <w:t xml:space="preserve">10 </w:t>
      </w:r>
      <w:r>
        <w:t xml:space="preserve">And Aman was hanged on the timber which he prepared for Mordecai, and then the king ceased from wrath.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on that day King Artaxerxes gave to Esther all things that belonged to Aman the accuser, and Mordecai was called by the king, for Esther showed that he was related to her.</w:t>
      </w:r>
    </w:p>
    <w:p>
      <w:r>
        <w:rPr>
          <w:b/>
        </w:rPr>
        <w:t xml:space="preserve">2 </w:t>
      </w:r>
      <w:r>
        <w:t xml:space="preserve">And the king took the ring which he removed from Aman and gave it to Mordecai, and Esther appointed Mordecai over all things of Aman.</w:t>
      </w:r>
    </w:p>
    <w:p>
      <w:r>
        <w:rPr>
          <w:b/>
        </w:rPr>
        <w:t xml:space="preserve">3 </w:t>
      </w:r>
      <w:r>
        <w:t xml:space="preserve">And Esther added and spoke to the king and fell</w:t>
      </w:r>
      <w:r>
        <w:rPr>
          <w:rStyle w:val="FootnoteReference"/>
        </w:rPr>
        <w:footnoteReference w:id="10221"/>
      </w:r>
      <w:r>
        <w:t xml:space="preserve"> at his feet and asked him to remove evil of Aman and all he did against the Jews.</w:t>
      </w:r>
    </w:p>
    <w:p>
      <w:r>
        <w:rPr>
          <w:b/>
        </w:rPr>
        <w:t xml:space="preserve">4 </w:t>
      </w:r>
      <w:r>
        <w:t xml:space="preserve">And the king stretched out to Esther the golden scepter. And Esther rose to stand by the king.</w:t>
      </w:r>
    </w:p>
    <w:p>
      <w:r>
        <w:rPr>
          <w:b/>
        </w:rPr>
        <w:t xml:space="preserve">5 </w:t>
      </w:r>
      <w:r>
        <w:t xml:space="preserve">And Esther said, If it seems good to you and I found favor, let the letters</w:t>
      </w:r>
      <w:r>
        <w:rPr>
          <w:rStyle w:val="FootnoteReference"/>
        </w:rPr>
        <w:footnoteReference w:id="10222"/>
      </w:r>
      <w:r>
        <w:t xml:space="preserve"> sent by Aman be turned back, the ones written to destroy the Jews who are in your kingdom.</w:t>
      </w:r>
    </w:p>
    <w:p>
      <w:r>
        <w:rPr>
          <w:b/>
        </w:rPr>
        <w:t xml:space="preserve">6 </w:t>
      </w:r>
      <w:r>
        <w:t xml:space="preserve">For how</w:t>
      </w:r>
      <w:r>
        <w:rPr>
          <w:rStyle w:val="FootnoteReference"/>
        </w:rPr>
        <w:footnoteReference w:id="10223"/>
      </w:r>
      <w:r>
        <w:t xml:space="preserve"> shall I be able to see mistreatment of my people? And how shall I be saved amid destruction of my homeland?</w:t>
      </w:r>
    </w:p>
    <w:p>
      <w:r>
        <w:rPr>
          <w:b/>
        </w:rPr>
        <w:t xml:space="preserve">7 </w:t>
      </w:r>
      <w:r>
        <w:t xml:space="preserve">And the king said to Esther, If all things of Aman I gave and granted to you, and him I hanged on timber because he laid hands on the Jews, what do you still seek?</w:t>
      </w:r>
    </w:p>
    <w:p>
      <w:r>
        <w:rPr>
          <w:b/>
        </w:rPr>
        <w:t xml:space="preserve">8 </w:t>
      </w:r>
      <w:r>
        <w:t xml:space="preserve">Write also yourselves in my name as seems good to you, and seal it with my ring. For whatever is written when the king commands and sealed with my ring, there is no contradicting it</w:t>
      </w:r>
      <w:r>
        <w:rPr>
          <w:rStyle w:val="FootnoteReference"/>
        </w:rPr>
        <w:footnoteReference w:id="10224"/>
      </w:r>
      <w:r>
        <w:t xml:space="preserve">.</w:t>
      </w:r>
    </w:p>
    <w:p>
      <w:r>
        <w:rPr>
          <w:b/>
        </w:rPr>
        <w:t xml:space="preserve">9 </w:t>
      </w:r>
      <w:r>
        <w:t xml:space="preserve">And the scribes were called in the first month, which is Nisan, on the twenty-third of that year, and it was written for the Jews what he commanded to the administrators and rulers of the satrapies, from India to Ethiopia, one hundred twenty-seven satrapies, province by province in its own language.</w:t>
      </w:r>
    </w:p>
    <w:p>
      <w:r>
        <w:rPr>
          <w:b/>
        </w:rPr>
        <w:t xml:space="preserve">10 </w:t>
      </w:r>
      <w:r>
        <w:t xml:space="preserve">And it was written through the king and sealed with his ring, and they sent the letters through book-carriers,</w:t>
      </w:r>
    </w:p>
    <w:p>
      <w:r>
        <w:rPr>
          <w:b/>
        </w:rPr>
        <w:t xml:space="preserve">11 </w:t>
      </w:r>
      <w:r>
        <w:t xml:space="preserve">just as he commanded them to use their laws in every city, to help themselves and deal with their adversaries and those opposing them as they wish,</w:t>
      </w:r>
    </w:p>
    <w:p>
      <w:r>
        <w:rPr>
          <w:b/>
        </w:rPr>
        <w:t xml:space="preserve">12 </w:t>
      </w:r>
      <w:r>
        <w:t xml:space="preserve">on one day</w:t>
      </w:r>
      <w:r>
        <w:rPr>
          <w:rStyle w:val="FootnoteReference"/>
        </w:rPr>
        <w:footnoteReference w:id="10225"/>
      </w:r>
      <w:r>
        <w:t xml:space="preserve"> in all kingdom of Artaxerxes, on the thirteenth of the twelfth month, which is Adar.</w:t>
      </w:r>
    </w:p>
    <w:p>
      <w:r>
        <w:rPr>
          <w:b/>
        </w:rPr>
        <w:t xml:space="preserve">13 </w:t>
      </w:r>
      <w:r>
        <w:t xml:space="preserve">And let copies be publicly posted in all the kingdom, and let all the Jews be ready for this day to fight those set against them.</w:t>
      </w:r>
    </w:p>
    <w:p>
      <w:r>
        <w:rPr>
          <w:b/>
        </w:rPr>
        <w:t xml:space="preserve">14 </w:t>
      </w:r>
      <w:r>
        <w:t xml:space="preserve">So the riders went out hurrying to fulfill what the king spoke, and the decree was also posted in Shushan</w:t>
      </w:r>
      <w:r>
        <w:rPr>
          <w:rStyle w:val="FootnoteReference"/>
        </w:rPr>
        <w:footnoteReference w:id="10226"/>
      </w:r>
      <w:r>
        <w:t xml:space="preserve">.</w:t>
      </w:r>
    </w:p>
    <w:p>
      <w:r>
        <w:rPr>
          <w:b/>
        </w:rPr>
        <w:t xml:space="preserve">15 </w:t>
      </w:r>
      <w:r>
        <w:t xml:space="preserve">And Mordecai went out clothed in royal robe and wearing golden crown and linen purple diadem, and those in Shushan, seeing, rejoiced.</w:t>
      </w:r>
    </w:p>
    <w:p>
      <w:r>
        <w:rPr>
          <w:b/>
        </w:rPr>
        <w:t xml:space="preserve">16 </w:t>
      </w:r>
      <w:r>
        <w:t xml:space="preserve">And for the Jews</w:t>
      </w:r>
      <w:r>
        <w:rPr>
          <w:rStyle w:val="FootnoteReference"/>
        </w:rPr>
        <w:footnoteReference w:id="10227"/>
      </w:r>
      <w:r>
        <w:t xml:space="preserve"> there came light and gladness,</w:t>
      </w:r>
    </w:p>
    <w:p>
      <w:r>
        <w:rPr>
          <w:b/>
        </w:rPr>
        <w:t xml:space="preserve">17 </w:t>
      </w:r>
      <w:r>
        <w:t xml:space="preserve">in each city and province wherever the decree and notice were posted, joy and gladness came for the Jews, a feast</w:t>
      </w:r>
      <w:r>
        <w:rPr>
          <w:rStyle w:val="FootnoteReference"/>
        </w:rPr>
        <w:footnoteReference w:id="10228"/>
      </w:r>
      <w:r>
        <w:t xml:space="preserve"> and rejoicing, and many of the nations were circumcised and became Ioudaizing because of fear of the Jews.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For in the twelfth</w:t>
      </w:r>
      <w:r>
        <w:rPr>
          <w:rStyle w:val="FootnoteReference"/>
        </w:rPr>
        <w:footnoteReference w:id="10229"/>
      </w:r>
      <w:r>
        <w:t xml:space="preserve"> month, on the thirteenth of the month, which is Adar, the letters written by the king were at hand.</w:t>
      </w:r>
    </w:p>
    <w:p>
      <w:r>
        <w:rPr>
          <w:b/>
        </w:rPr>
        <w:t xml:space="preserve">2 </w:t>
      </w:r>
      <w:r>
        <w:t xml:space="preserve">On that day those opposing the Jews were destroyed, for no one stood against them, fearing them.</w:t>
      </w:r>
    </w:p>
    <w:p>
      <w:r>
        <w:rPr>
          <w:b/>
        </w:rPr>
        <w:t xml:space="preserve">3 </w:t>
      </w:r>
      <w:r>
        <w:t xml:space="preserve">For rulers of the satrapies and the tyrants and the king's scribes were honoring the Jews, for fear of Mordecai was pressing upon them.</w:t>
      </w:r>
    </w:p>
    <w:p>
      <w:r>
        <w:rPr>
          <w:b/>
        </w:rPr>
        <w:t xml:space="preserve">4 </w:t>
      </w:r>
      <w:r>
        <w:t xml:space="preserve">For decree of the king had fallen that his name be spoken in all the kingdom.</w:t>
      </w:r>
    </w:p>
    <w:p>
      <w:r>
        <w:rPr>
          <w:b/>
        </w:rPr>
        <w:t xml:space="preserve">6 </w:t>
      </w:r>
      <w:r>
        <w:t xml:space="preserve">And in Shushan</w:t>
      </w:r>
      <w:r>
        <w:rPr>
          <w:rStyle w:val="FootnoteReference"/>
        </w:rPr>
        <w:footnoteReference w:id="10230"/>
      </w:r>
      <w:r>
        <w:t xml:space="preserve"> the city the Jews killed five hundred men,</w:t>
      </w:r>
    </w:p>
    <w:p>
      <w:r>
        <w:rPr>
          <w:b/>
        </w:rPr>
        <w:t xml:space="preserve">7 </w:t>
      </w:r>
      <w:r>
        <w:t xml:space="preserve">both Parshandatha</w:t>
      </w:r>
      <w:r>
        <w:rPr>
          <w:rStyle w:val="FootnoteReference"/>
        </w:rPr>
        <w:footnoteReference w:id="10231"/>
      </w:r>
      <w:r>
        <w:t xml:space="preserve"> and Dalphon</w:t>
      </w:r>
      <w:r>
        <w:rPr>
          <w:rStyle w:val="FootnoteReference"/>
        </w:rPr>
        <w:footnoteReference w:id="10232"/>
      </w:r>
      <w:r>
        <w:t xml:space="preserve"> and Pisgah,</w:t>
      </w:r>
    </w:p>
    <w:p>
      <w:r>
        <w:rPr>
          <w:b/>
        </w:rPr>
        <w:t xml:space="preserve">8 </w:t>
      </w:r>
      <w:r>
        <w:t xml:space="preserve">and Poratha</w:t>
      </w:r>
      <w:r>
        <w:rPr>
          <w:rStyle w:val="FootnoteReference"/>
        </w:rPr>
        <w:footnoteReference w:id="10233"/>
      </w:r>
      <w:r>
        <w:t xml:space="preserve"> and Adalia</w:t>
      </w:r>
      <w:r>
        <w:rPr>
          <w:rStyle w:val="FootnoteReference"/>
        </w:rPr>
        <w:footnoteReference w:id="10234"/>
      </w:r>
      <w:r>
        <w:t xml:space="preserve"> and Sarbacha</w:t>
      </w:r>
      <w:r>
        <w:rPr>
          <w:rStyle w:val="FootnoteReference"/>
        </w:rPr>
        <w:footnoteReference w:id="10235"/>
      </w:r>
      <w:r>
        <w:t xml:space="preserve">,</w:t>
      </w:r>
    </w:p>
    <w:p>
      <w:r>
        <w:rPr>
          <w:b/>
        </w:rPr>
        <w:t xml:space="preserve">9 </w:t>
      </w:r>
      <w:r>
        <w:t xml:space="preserve">and Parmashta</w:t>
      </w:r>
      <w:r>
        <w:rPr>
          <w:rStyle w:val="FootnoteReference"/>
        </w:rPr>
        <w:footnoteReference w:id="10236"/>
      </w:r>
      <w:r>
        <w:t xml:space="preserve"> and Arisai</w:t>
      </w:r>
      <w:r>
        <w:rPr>
          <w:rStyle w:val="FootnoteReference"/>
        </w:rPr>
        <w:footnoteReference w:id="10237"/>
      </w:r>
      <w:r>
        <w:t xml:space="preserve"> and Aridai</w:t>
      </w:r>
      <w:r>
        <w:rPr>
          <w:rStyle w:val="FootnoteReference"/>
        </w:rPr>
        <w:footnoteReference w:id="10238"/>
      </w:r>
      <w:r>
        <w:t xml:space="preserve"> and Vaizatha</w:t>
      </w:r>
      <w:r>
        <w:rPr>
          <w:rStyle w:val="FootnoteReference"/>
        </w:rPr>
        <w:footnoteReference w:id="10239"/>
      </w:r>
      <w:r>
        <w:t xml:space="preserve">,</w:t>
      </w:r>
    </w:p>
    <w:p>
      <w:r>
        <w:rPr>
          <w:b/>
        </w:rPr>
        <w:t xml:space="preserve">10 </w:t>
      </w:r>
      <w:r>
        <w:t xml:space="preserve">the ten sons</w:t>
      </w:r>
      <w:r>
        <w:rPr>
          <w:rStyle w:val="FootnoteReference"/>
        </w:rPr>
        <w:footnoteReference w:id="10240"/>
      </w:r>
      <w:r>
        <w:t xml:space="preserve"> of Aman son of Hammedatha the Agagite, enemy of the Jews, and they plundered.</w:t>
      </w:r>
    </w:p>
    <w:p>
      <w:r>
        <w:rPr>
          <w:b/>
        </w:rPr>
        <w:t xml:space="preserve">11 </w:t>
      </w:r>
      <w:r>
        <w:t xml:space="preserve">On that day the number of the slain in Shushan was reported to the king.</w:t>
      </w:r>
    </w:p>
    <w:p>
      <w:r>
        <w:rPr>
          <w:b/>
        </w:rPr>
        <w:t xml:space="preserve">12 </w:t>
      </w:r>
      <w:r>
        <w:t xml:space="preserve">And the king said to Esther, The Jews destroyed five hundred men in Shushan the city, and in the district how do you think they acted? What more do you request? And it shall be yours.</w:t>
      </w:r>
    </w:p>
    <w:p>
      <w:r>
        <w:rPr>
          <w:b/>
        </w:rPr>
        <w:t xml:space="preserve">13 </w:t>
      </w:r>
      <w:r>
        <w:t xml:space="preserve">And Esther said to the king, Let it be given to the Jews to act likewise tomorrow, and to hang the ten sons of Aman.</w:t>
      </w:r>
    </w:p>
    <w:p>
      <w:r>
        <w:rPr>
          <w:b/>
        </w:rPr>
        <w:t xml:space="preserve">14 </w:t>
      </w:r>
      <w:r>
        <w:t xml:space="preserve">And he permitted it to happen thus and ordered bodies of Aman's sons to be hung for the Jews of the city.</w:t>
      </w:r>
    </w:p>
    <w:p>
      <w:r>
        <w:rPr>
          <w:b/>
        </w:rPr>
        <w:t xml:space="preserve">15 </w:t>
      </w:r>
      <w:r>
        <w:t xml:space="preserve">And the Jews were gathered in Shushan on the fourteenth of Adar and killed three hundred men, and they plundered nothing.</w:t>
      </w:r>
    </w:p>
    <w:p>
      <w:r>
        <w:rPr>
          <w:b/>
        </w:rPr>
        <w:t xml:space="preserve">16 </w:t>
      </w:r>
      <w:r>
        <w:t xml:space="preserve">And the rest of the Jews in the kingdom gathered and were helping themselves, and they rested from the war. For they destroyed fifteen thousand of them on the thirteenth of Adar and plundered nothing.</w:t>
      </w:r>
    </w:p>
    <w:p>
      <w:r>
        <w:rPr>
          <w:b/>
        </w:rPr>
        <w:t xml:space="preserve">17 </w:t>
      </w:r>
      <w:r>
        <w:t xml:space="preserve">And they rested on the fourteenth of the same</w:t>
      </w:r>
      <w:r>
        <w:rPr>
          <w:rStyle w:val="FootnoteReference"/>
        </w:rPr>
        <w:footnoteReference w:id="10241"/>
      </w:r>
      <w:r>
        <w:t xml:space="preserve"> month and kept it as day of rest with joy and gladness.</w:t>
      </w:r>
    </w:p>
    <w:p>
      <w:r>
        <w:rPr>
          <w:b/>
        </w:rPr>
        <w:t xml:space="preserve">18 </w:t>
      </w:r>
      <w:r>
        <w:t xml:space="preserve">But the Jews in Shushan the city were gathered on the fourteenth and did not rest, but kept the fifteenth with joy and gladness.</w:t>
      </w:r>
    </w:p>
    <w:p>
      <w:r>
        <w:rPr>
          <w:b/>
        </w:rPr>
        <w:t xml:space="preserve">19 </w:t>
      </w:r>
      <w:r>
        <w:t xml:space="preserve">Therefore the Jews scattered in every country outside keep the fourteenth of Adar as a good day with joy, sending portions each to his neighbor, and those dwelling in the capitals keep also the fifteenth of Adar as a good day of rejoicing, sending portions to neighbors.</w:t>
      </w:r>
    </w:p>
    <w:p>
      <w:r>
        <w:rPr>
          <w:b/>
        </w:rPr>
        <w:t xml:space="preserve">20 </w:t>
      </w:r>
      <w:r>
        <w:t xml:space="preserve">And Mordecai wrote these</w:t>
      </w:r>
      <w:r>
        <w:rPr>
          <w:rStyle w:val="FootnoteReference"/>
        </w:rPr>
        <w:footnoteReference w:id="10242"/>
      </w:r>
      <w:r>
        <w:t xml:space="preserve"> words into a book and sent to the Jews, as many as were in the kingdom of Artaxerxes, both near and far,</w:t>
      </w:r>
    </w:p>
    <w:p>
      <w:r>
        <w:rPr>
          <w:b/>
        </w:rPr>
        <w:t xml:space="preserve">21 </w:t>
      </w:r>
      <w:r>
        <w:t xml:space="preserve">to establish these good days, to keep both the fourteenth and the fifteenth of Adar,</w:t>
      </w:r>
    </w:p>
    <w:p>
      <w:r>
        <w:rPr>
          <w:b/>
        </w:rPr>
        <w:t xml:space="preserve">22 </w:t>
      </w:r>
      <w:r>
        <w:t xml:space="preserve">for in these days the Jews rested from their enemies, and the month in which, being Adar, it was turned for them from mourning into joy and from grief into a good day, to keep all as good days of marriages and rejoicing, sending portions</w:t>
      </w:r>
      <w:r>
        <w:rPr>
          <w:rStyle w:val="FootnoteReference"/>
        </w:rPr>
        <w:footnoteReference w:id="10243"/>
      </w:r>
      <w:r>
        <w:t xml:space="preserve"> to friends and to the poor.</w:t>
      </w:r>
    </w:p>
    <w:p>
      <w:r>
        <w:rPr>
          <w:b/>
        </w:rPr>
        <w:t xml:space="preserve">23 </w:t>
      </w:r>
      <w:r>
        <w:t xml:space="preserve">And the Jews accepted it, just as Mordecai wrote to them,</w:t>
      </w:r>
    </w:p>
    <w:p>
      <w:r>
        <w:rPr>
          <w:b/>
        </w:rPr>
        <w:t xml:space="preserve">24 </w:t>
      </w:r>
      <w:r>
        <w:t xml:space="preserve">how Aman son of Hammedatha the Macedonian</w:t>
      </w:r>
      <w:r>
        <w:rPr>
          <w:rStyle w:val="FootnoteReference"/>
        </w:rPr>
        <w:footnoteReference w:id="10244"/>
      </w:r>
      <w:r>
        <w:t xml:space="preserve"> warred against them, as he made decree and lot to destroy them,</w:t>
      </w:r>
    </w:p>
    <w:p>
      <w:r>
        <w:rPr>
          <w:b/>
        </w:rPr>
        <w:t xml:space="preserve">25 </w:t>
      </w:r>
      <w:r>
        <w:t xml:space="preserve">and how he entered to the king, saying to hang Mordecai. But the evils which he attempted to bring upon the Jews came upon him, and he and his children were hanged.</w:t>
      </w:r>
    </w:p>
    <w:p>
      <w:r>
        <w:rPr>
          <w:b/>
        </w:rPr>
        <w:t xml:space="preserve">26 </w:t>
      </w:r>
      <w:r>
        <w:t xml:space="preserve">Therefore these days were called Purim</w:t>
      </w:r>
      <w:r>
        <w:rPr>
          <w:rStyle w:val="FootnoteReference"/>
        </w:rPr>
        <w:footnoteReference w:id="10245"/>
      </w:r>
      <w:r>
        <w:t xml:space="preserve"> because of the lots, for in their language they call them Purim, because of words of this letter</w:t>
      </w:r>
      <w:r>
        <w:rPr>
          <w:rStyle w:val="FootnoteReference"/>
        </w:rPr>
        <w:footnoteReference w:id="10246"/>
      </w:r>
      <w:r>
        <w:t xml:space="preserve"> and what they suffered because of these things and what happened to them.</w:t>
      </w:r>
    </w:p>
    <w:p>
      <w:r>
        <w:rPr>
          <w:b/>
        </w:rPr>
        <w:t xml:space="preserve">27 </w:t>
      </w:r>
      <w:r>
        <w:t xml:space="preserve">And the Jews established and accepted it upon themselves and upon their seed</w:t>
      </w:r>
      <w:r>
        <w:rPr>
          <w:rStyle w:val="FootnoteReference"/>
        </w:rPr>
        <w:footnoteReference w:id="10247"/>
      </w:r>
      <w:r>
        <w:t xml:space="preserve"> and upon those added to them, and they will use no other way, but these days will be a memorial kept generation by generation and city and father-house and province.</w:t>
      </w:r>
    </w:p>
    <w:p>
      <w:r>
        <w:rPr>
          <w:b/>
        </w:rPr>
        <w:t xml:space="preserve">28 </w:t>
      </w:r>
      <w:r>
        <w:t xml:space="preserve">And these days of Purim will be kept for all time, and their memorial shall never fail from the generations.</w:t>
      </w:r>
    </w:p>
    <w:p>
      <w:r>
        <w:rPr>
          <w:b/>
        </w:rPr>
        <w:t xml:space="preserve">29 </w:t>
      </w:r>
      <w:r>
        <w:t xml:space="preserve">And Esther the queen, daughter of Amminadab, and Mordecai the Jew wrote all that they did, even the confirming of the letter of Purim.</w:t>
      </w:r>
    </w:p>
    <w:p>
      <w:r>
        <w:rPr>
          <w:b/>
        </w:rPr>
        <w:t xml:space="preserve">31 </w:t>
      </w:r>
      <w:r>
        <w:t xml:space="preserve">And Mordecai and Esther the queen established for themselves by themselves, and then after establishing according to their safety and their counsel,</w:t>
      </w:r>
    </w:p>
    <w:p>
      <w:r>
        <w:rPr>
          <w:b/>
        </w:rPr>
        <w:t xml:space="preserve">32 </w:t>
      </w:r>
      <w:r>
        <w:t xml:space="preserve">Esther established by word forever, and it was written for remembrance.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the king wrote taxes upon the kingdom of both land and sea.</w:t>
      </w:r>
    </w:p>
    <w:p>
      <w:r>
        <w:rPr>
          <w:b/>
        </w:rPr>
        <w:t xml:space="preserve">2 </w:t>
      </w:r>
      <w:r>
        <w:t xml:space="preserve">And his strength and bravery and the wealth and glory of his kingdom, behold, these are written in the book</w:t>
      </w:r>
      <w:r>
        <w:rPr>
          <w:rStyle w:val="FootnoteReference"/>
        </w:rPr>
        <w:footnoteReference w:id="10248"/>
      </w:r>
      <w:r>
        <w:t xml:space="preserve"> of kings of Persia and Media for remembrance.</w:t>
      </w:r>
    </w:p>
    <w:p>
      <w:r>
        <w:rPr>
          <w:b/>
        </w:rPr>
        <w:t xml:space="preserve">3 </w:t>
      </w:r>
      <w:r>
        <w:t xml:space="preserve">And Mordecai succeeded King Artaxerxes and was great in the kingdom and glorified by the Jews and loved, recounting the way of life to all his nation.</w:t>
      </w:r>
    </w:p>
    <w:p>
      <w:r>
        <w:br w:type="page"/>
      </w:r>
    </w:p>
    <w:p>
      <w:pPr>
        <w:pStyle w:val="Heading1"/>
      </w:pPr>
      <w:r>
        <w:t xml:space="preserve">Job</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There was a certain man in the land of Uz, whose name was Job</w:t>
      </w:r>
      <w:r>
        <w:rPr>
          <w:rStyle w:val="FootnoteReference"/>
        </w:rPr>
        <w:footnoteReference w:id="10249"/>
      </w:r>
      <w:r>
        <w:t xml:space="preserve">, and that man was true, blameless, righteous, god-fearing</w:t>
      </w:r>
      <w:r>
        <w:rPr>
          <w:rStyle w:val="FootnoteReference"/>
        </w:rPr>
        <w:footnoteReference w:id="10250"/>
      </w:r>
      <w:r>
        <w:t xml:space="preserve">, turning away from every evil thing.</w:t>
      </w:r>
    </w:p>
    <w:p>
      <w:r>
        <w:rPr>
          <w:b/>
        </w:rPr>
        <w:t xml:space="preserve">2 </w:t>
      </w:r>
      <w:r>
        <w:t xml:space="preserve">And there came to him seven sons</w:t>
      </w:r>
      <w:r>
        <w:rPr>
          <w:rStyle w:val="FootnoteReference"/>
        </w:rPr>
        <w:footnoteReference w:id="10251"/>
      </w:r>
      <w:r>
        <w:t xml:space="preserve"> and three daughters.</w:t>
      </w:r>
    </w:p>
    <w:p>
      <w:r>
        <w:rPr>
          <w:b/>
        </w:rPr>
        <w:t xml:space="preserve">3 </w:t>
      </w:r>
      <w:r>
        <w:t xml:space="preserve">And his livestock was seven</w:t>
      </w:r>
      <w:r>
        <w:rPr>
          <w:rStyle w:val="FootnoteReference"/>
        </w:rPr>
        <w:footnoteReference w:id="10252"/>
      </w:r>
      <w:r>
        <w:t xml:space="preserve"> thousand sheep, three thousand camels, five hundred yoke of oxen, five hundred grazing she-donkeys, and very much service, and great works were his upon the land. And that man was noblest of those from sunrise.</w:t>
      </w:r>
    </w:p>
    <w:p>
      <w:r>
        <w:rPr>
          <w:b/>
        </w:rPr>
        <w:t xml:space="preserve">4 </w:t>
      </w:r>
      <w:r>
        <w:t xml:space="preserve">And his sons, going to one another, were making a feast each day, bringing along also their three sisters to eat and drink with them.</w:t>
      </w:r>
    </w:p>
    <w:p>
      <w:r>
        <w:rPr>
          <w:b/>
        </w:rPr>
        <w:t xml:space="preserve">5 </w:t>
      </w:r>
      <w:r>
        <w:t xml:space="preserve">And when days of the feast were completed, Job sent and purified them. Rising early, he offered</w:t>
      </w:r>
      <w:r>
        <w:rPr>
          <w:rStyle w:val="FootnoteReference"/>
        </w:rPr>
        <w:footnoteReference w:id="10253"/>
      </w:r>
      <w:r>
        <w:t xml:space="preserve"> sacrifices for them according to their number, and one calf for sin concerning their souls. For Job said, Lest my sons thought evil things in their mind toward God. Thus Job was doing all the days.</w:t>
      </w:r>
    </w:p>
    <w:p>
      <w:r>
        <w:rPr>
          <w:b/>
        </w:rPr>
        <w:t xml:space="preserve">6 </w:t>
      </w:r>
      <w:r>
        <w:t xml:space="preserve">And when this day came, behold, angels of God came to</w:t>
      </w:r>
      <w:r>
        <w:rPr>
          <w:rStyle w:val="FootnoteReference"/>
        </w:rPr>
        <w:footnoteReference w:id="10254"/>
      </w:r>
      <w:r>
        <w:t xml:space="preserve"> stand before the Lord, and the slanderer came with them.</w:t>
      </w:r>
    </w:p>
    <w:p>
      <w:r>
        <w:rPr>
          <w:b/>
        </w:rPr>
        <w:t xml:space="preserve">7 </w:t>
      </w:r>
      <w:r>
        <w:t xml:space="preserve">And the Lord said to the slanderer, From where are you here? And answering, the slanderer said to the Lord, After going around the earth and walking about under heaven, I am here.</w:t>
      </w:r>
    </w:p>
    <w:p>
      <w:r>
        <w:rPr>
          <w:b/>
        </w:rPr>
        <w:t xml:space="preserve">8 </w:t>
      </w:r>
      <w:r>
        <w:t xml:space="preserve">And the Lord said to him, Did you set your mind against my servant</w:t>
      </w:r>
      <w:r>
        <w:rPr>
          <w:rStyle w:val="FootnoteReference"/>
        </w:rPr>
        <w:footnoteReference w:id="10255"/>
      </w:r>
      <w:r>
        <w:t xml:space="preserve"> Job, because there is no man like him on the earth, blameless, true, god-fearing, turning away from every evil thing?</w:t>
      </w:r>
      <w:r>
        <w:rPr>
          <w:rStyle w:val="FootnoteReference"/>
        </w:rPr>
        <w:footnoteReference w:id="10256"/>
      </w:r>
    </w:p>
    <w:p>
      <w:r>
        <w:rPr>
          <w:b/>
        </w:rPr>
        <w:t xml:space="preserve">9 </w:t>
      </w:r>
      <w:r>
        <w:t xml:space="preserve">And the slanderer answered and said before the Lord, Does Job fear God for nothing?</w:t>
      </w:r>
    </w:p>
    <w:p>
      <w:r>
        <w:rPr>
          <w:b/>
        </w:rPr>
        <w:t xml:space="preserve">10 </w:t>
      </w:r>
      <w:r>
        <w:t xml:space="preserve">Did you not fence in things outside him and inside his house and outside all that belongs to him round about? The works of his hands you blessed, and his cattle you made many upon the earth.</w:t>
      </w:r>
    </w:p>
    <w:p>
      <w:r>
        <w:rPr>
          <w:b/>
        </w:rPr>
        <w:t xml:space="preserve">11 </w:t>
      </w:r>
      <w:r>
        <w:t xml:space="preserve">But stretch out your hand and touch</w:t>
      </w:r>
      <w:r>
        <w:rPr>
          <w:rStyle w:val="FootnoteReference"/>
        </w:rPr>
        <w:footnoteReference w:id="10257"/>
      </w:r>
      <w:r>
        <w:t xml:space="preserve"> all that he has, and surely he will bless you to your face.</w:t>
      </w:r>
    </w:p>
    <w:p>
      <w:r>
        <w:rPr>
          <w:b/>
        </w:rPr>
        <w:t xml:space="preserve">12 </w:t>
      </w:r>
      <w:r>
        <w:t xml:space="preserve">Then the Lord said to the slanderer, Behold</w:t>
      </w:r>
      <w:r>
        <w:rPr>
          <w:rStyle w:val="FootnoteReference"/>
        </w:rPr>
        <w:footnoteReference w:id="10258"/>
      </w:r>
      <w:r>
        <w:t xml:space="preserve">, all things that are his I give into your hand, only do not touch him. And the slanderer went out from the Lord.</w:t>
      </w:r>
    </w:p>
    <w:p>
      <w:r>
        <w:rPr>
          <w:b/>
        </w:rPr>
        <w:t xml:space="preserve">13 </w:t>
      </w:r>
      <w:r>
        <w:t xml:space="preserve">And it happened on a day when Job's sons and daughters were drinking wine in the house of their elder brother,</w:t>
      </w:r>
    </w:p>
    <w:p>
      <w:r>
        <w:rPr>
          <w:b/>
        </w:rPr>
        <w:t xml:space="preserve">14 </w:t>
      </w:r>
      <w:r>
        <w:t xml:space="preserve">and behold, a messenger</w:t>
      </w:r>
      <w:r>
        <w:rPr>
          <w:rStyle w:val="FootnoteReference"/>
        </w:rPr>
        <w:footnoteReference w:id="10259"/>
      </w:r>
      <w:r>
        <w:t xml:space="preserve"> came to Job and said to him, The yoke of oxen were plowing, and the she-donkeys were grazing beside them,</w:t>
      </w:r>
    </w:p>
    <w:p>
      <w:r>
        <w:rPr>
          <w:b/>
        </w:rPr>
        <w:t xml:space="preserve">15 </w:t>
      </w:r>
      <w:r>
        <w:t xml:space="preserve">and the raiders came and took them captive, and the servants they killed with swords. And I alone escaped and came to report to you.</w:t>
      </w:r>
    </w:p>
    <w:p>
      <w:r>
        <w:rPr>
          <w:b/>
        </w:rPr>
        <w:t xml:space="preserve">16 </w:t>
      </w:r>
      <w:r>
        <w:t xml:space="preserve">While this one was still speaking, another messenger came and said to Job, Fire fell from heaven and burned up the sheep and devoured the shepherds likewise. And I alone escaped and came to report to you.</w:t>
      </w:r>
    </w:p>
    <w:p>
      <w:r>
        <w:rPr>
          <w:b/>
        </w:rPr>
        <w:t xml:space="preserve">17 </w:t>
      </w:r>
      <w:r>
        <w:t xml:space="preserve">While this one was still speaking, another messenger came and said to Job, The horsemen made against us three heads, and they surrounded the camels and took them captive, and the servants they killed with swords. And I alone escaped and came to report to you.</w:t>
      </w:r>
    </w:p>
    <w:p>
      <w:r>
        <w:rPr>
          <w:b/>
        </w:rPr>
        <w:t xml:space="preserve">18 </w:t>
      </w:r>
      <w:r>
        <w:t xml:space="preserve">While this one was still speaking, another messenger came, saying to Job, Your sons and your daughters were eating</w:t>
      </w:r>
      <w:r>
        <w:rPr>
          <w:rStyle w:val="FootnoteReference"/>
        </w:rPr>
        <w:footnoteReference w:id="10260"/>
      </w:r>
      <w:r>
        <w:t xml:space="preserve"> and drinking at their elder brother's house,</w:t>
      </w:r>
    </w:p>
    <w:p>
      <w:r>
        <w:rPr>
          <w:b/>
        </w:rPr>
        <w:t xml:space="preserve">19 </w:t>
      </w:r>
      <w:r>
        <w:t xml:space="preserve">and suddenly a great</w:t>
      </w:r>
      <w:r>
        <w:rPr>
          <w:rStyle w:val="FootnoteReference"/>
        </w:rPr>
        <w:footnoteReference w:id="10261"/>
      </w:r>
      <w:r>
        <w:t xml:space="preserve"> wind came from the wilderness and touched the four corners of the house, and the house fell on your children, and they died. And I alone escaped and came to report to you.</w:t>
      </w:r>
    </w:p>
    <w:p>
      <w:r>
        <w:rPr>
          <w:b/>
        </w:rPr>
        <w:t xml:space="preserve">20 </w:t>
      </w:r>
      <w:r>
        <w:t xml:space="preserve">So Job rose, tore his garments, shaved hair of his head, and falling to the ground worshiped and said,</w:t>
      </w:r>
    </w:p>
    <w:p>
      <w:r>
        <w:rPr>
          <w:b/>
        </w:rPr>
        <w:t xml:space="preserve">21 </w:t>
      </w:r>
      <w:r>
        <w:t xml:space="preserve">Naked I came out from the womb of my mother, naked also I will go away there. The Lord gave</w:t>
      </w:r>
      <w:r>
        <w:rPr>
          <w:rStyle w:val="FootnoteReference"/>
        </w:rPr>
        <w:footnoteReference w:id="10262"/>
      </w:r>
      <w:r>
        <w:t xml:space="preserve">, the Lord took away. As it seemed good to the Lord, so also it came to pass. Let the name of the Lord be blessed.</w:t>
      </w:r>
    </w:p>
    <w:p>
      <w:r>
        <w:rPr>
          <w:b/>
        </w:rPr>
        <w:t xml:space="preserve">22 </w:t>
      </w:r>
      <w:r>
        <w:t xml:space="preserve">In all these things that happened to him, Job sinned in nothing before the Lord and gave no folly to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it came to be on this day also that angels of God came to stand before the Lord, and the slanderer came among them to stand before the Lord.</w:t>
      </w:r>
    </w:p>
    <w:p>
      <w:r>
        <w:rPr>
          <w:b/>
        </w:rPr>
        <w:t xml:space="preserve">2 </w:t>
      </w:r>
      <w:r>
        <w:t xml:space="preserve">And the Lord said to the slanderer, From where do you come? Then the slanderer said before the Lord, After passing through what is under heaven and walking all around, I am here.</w:t>
      </w:r>
    </w:p>
    <w:p>
      <w:r>
        <w:rPr>
          <w:b/>
        </w:rPr>
        <w:t xml:space="preserve">3 </w:t>
      </w:r>
      <w:r>
        <w:t xml:space="preserve">And the Lord said to the slanderer, Did you then give attention to my servant Job, because there is no man like him on the earth, innocent, true, blameless, god-fearing, turning away from every evil, and he still holds fast his innocence</w:t>
      </w:r>
      <w:r>
        <w:rPr>
          <w:rStyle w:val="FootnoteReference"/>
        </w:rPr>
        <w:footnoteReference w:id="10263"/>
      </w:r>
      <w:r>
        <w:t xml:space="preserve">? Yet you spoke against his possessions to destroy them for nothing.</w:t>
      </w:r>
    </w:p>
    <w:p>
      <w:r>
        <w:rPr>
          <w:b/>
        </w:rPr>
        <w:t xml:space="preserve">4 </w:t>
      </w:r>
      <w:r>
        <w:t xml:space="preserve">And taking up the matter, the slanderer said to the Lord, Skin for skin, all things a man has he will pay for his life.</w:t>
      </w:r>
    </w:p>
    <w:p>
      <w:r>
        <w:rPr>
          <w:b/>
        </w:rPr>
        <w:t xml:space="preserve">5 </w:t>
      </w:r>
      <w:r>
        <w:t xml:space="preserve">But stretch out your hand and touch his bones and his flesh, and surely he will bless you to your face.</w:t>
      </w:r>
    </w:p>
    <w:p>
      <w:r>
        <w:rPr>
          <w:b/>
        </w:rPr>
        <w:t xml:space="preserve">6 </w:t>
      </w:r>
      <w:r>
        <w:t xml:space="preserve">And the Lord said to the slanderer, Behold</w:t>
      </w:r>
      <w:r>
        <w:rPr>
          <w:rStyle w:val="FootnoteReference"/>
        </w:rPr>
        <w:footnoteReference w:id="10264"/>
      </w:r>
      <w:r>
        <w:t xml:space="preserve">, I hand him over to you; only preserve his life.</w:t>
      </w:r>
    </w:p>
    <w:p>
      <w:r>
        <w:rPr>
          <w:b/>
        </w:rPr>
        <w:t xml:space="preserve">7 </w:t>
      </w:r>
      <w:r>
        <w:t xml:space="preserve">And the slanderer went out from the Lord and struck Job with a grievous sore from feet to head.</w:t>
      </w:r>
    </w:p>
    <w:p>
      <w:r>
        <w:rPr>
          <w:b/>
        </w:rPr>
        <w:t xml:space="preserve">8 </w:t>
      </w:r>
      <w:r>
        <w:t xml:space="preserve">And he took a potsherd to scrape the discharge, and he sat</w:t>
      </w:r>
      <w:r>
        <w:rPr>
          <w:rStyle w:val="FootnoteReference"/>
        </w:rPr>
        <w:footnoteReference w:id="10265"/>
      </w:r>
      <w:r>
        <w:t xml:space="preserve"> upon the dung-heap outside the city.</w:t>
      </w:r>
    </w:p>
    <w:p>
      <w:r>
        <w:rPr>
          <w:b/>
        </w:rPr>
        <w:t xml:space="preserve">9 </w:t>
      </w:r>
      <w:r>
        <w:t xml:space="preserve">And when much time had passed, his wife</w:t>
      </w:r>
      <w:r>
        <w:rPr>
          <w:rStyle w:val="FootnoteReference"/>
        </w:rPr>
        <w:footnoteReference w:id="10266"/>
      </w:r>
      <w:r>
        <w:t xml:space="preserve"> said to him, How long will you endure, saying, Behold, I wait yet a little time, expecting hope of my deliverance? For behold, your memorial has vanished from the earth, sons and daughters of my womb, pangs and labors which I toiled for in vain with hardships. And you yourself sit in decay of worms, passing the night in the open air. And I am a wanderer and servant, going from place to place and house to house, waiting for sun to set so that I may rest from labors and pains that now hold me fast. But speak some word to the Lord and die.</w:t>
      </w:r>
    </w:p>
    <w:p>
      <w:r>
        <w:rPr>
          <w:b/>
        </w:rPr>
        <w:t xml:space="preserve">10 </w:t>
      </w:r>
      <w:r>
        <w:t xml:space="preserve">And looking at her, he said to her, You spoke like one of the foolish women. If we accepted good things from the hand of the Lord, shall we not bear evil things? In all these things that happened to him, Job sinned in nothing with his lips before God.</w:t>
      </w:r>
    </w:p>
    <w:p>
      <w:r>
        <w:rPr>
          <w:b/>
        </w:rPr>
        <w:t xml:space="preserve">11 </w:t>
      </w:r>
      <w:r>
        <w:t xml:space="preserve">And hearing all the evils that came upon him, his three friends</w:t>
      </w:r>
      <w:r>
        <w:rPr>
          <w:rStyle w:val="FootnoteReference"/>
        </w:rPr>
        <w:footnoteReference w:id="10267"/>
      </w:r>
      <w:r>
        <w:t xml:space="preserve"> came, each from his own country, to him: Eliphaz the Temanite</w:t>
      </w:r>
      <w:r>
        <w:rPr>
          <w:rStyle w:val="FootnoteReference"/>
        </w:rPr>
        <w:footnoteReference w:id="10268"/>
      </w:r>
      <w:r>
        <w:t xml:space="preserve"> king, Bildad</w:t>
      </w:r>
      <w:r>
        <w:rPr>
          <w:rStyle w:val="FootnoteReference"/>
        </w:rPr>
        <w:footnoteReference w:id="10269"/>
      </w:r>
      <w:r>
        <w:t xml:space="preserve"> the Sauchaian tyrant, and Zophar</w:t>
      </w:r>
      <w:r>
        <w:rPr>
          <w:rStyle w:val="FootnoteReference"/>
        </w:rPr>
        <w:footnoteReference w:id="10270"/>
      </w:r>
      <w:r>
        <w:t xml:space="preserve"> the Naamathite</w:t>
      </w:r>
      <w:r>
        <w:rPr>
          <w:rStyle w:val="FootnoteReference"/>
        </w:rPr>
        <w:footnoteReference w:id="10271"/>
      </w:r>
      <w:r>
        <w:t xml:space="preserve"> king. And they came to him with one purpose, to encourage and visit him.</w:t>
      </w:r>
    </w:p>
    <w:p>
      <w:r>
        <w:rPr>
          <w:b/>
        </w:rPr>
        <w:t xml:space="preserve">12 </w:t>
      </w:r>
      <w:r>
        <w:t xml:space="preserve">And seeing him from far off, they did not recognize him, and crying with a loud voice they wept, each tearing his own robe and scattering dust.</w:t>
      </w:r>
    </w:p>
    <w:p>
      <w:r>
        <w:rPr>
          <w:b/>
        </w:rPr>
        <w:t xml:space="preserve">13 </w:t>
      </w:r>
      <w:r>
        <w:t xml:space="preserve">They sat</w:t>
      </w:r>
      <w:r>
        <w:rPr>
          <w:rStyle w:val="FootnoteReference"/>
        </w:rPr>
        <w:footnoteReference w:id="10272"/>
      </w:r>
      <w:r>
        <w:t xml:space="preserve"> with him seven days and seven nights, and none of them spoke, for they saw that the blow was dreadful and very great.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After this Job opened</w:t>
      </w:r>
      <w:r>
        <w:rPr>
          <w:rStyle w:val="FootnoteReference"/>
        </w:rPr>
        <w:footnoteReference w:id="10273"/>
      </w:r>
      <w:r>
        <w:t xml:space="preserve"> his mouth</w:t>
      </w:r>
    </w:p>
    <w:p>
      <w:r>
        <w:rPr>
          <w:b/>
        </w:rPr>
        <w:t xml:space="preserve">2 </w:t>
      </w:r>
      <w:r>
        <w:t xml:space="preserve">and cursed his day, saying,</w:t>
      </w:r>
    </w:p>
    <w:p>
      <w:r>
        <w:rPr>
          <w:b/>
        </w:rPr>
        <w:t xml:space="preserve">3 </w:t>
      </w:r>
      <w:r>
        <w:t xml:space="preserve">Let the day</w:t>
      </w:r>
      <w:r>
        <w:rPr>
          <w:rStyle w:val="FootnoteReference"/>
        </w:rPr>
        <w:footnoteReference w:id="10274"/>
      </w:r>
      <w:r>
        <w:t xml:space="preserve"> perish in which I was born, and the night in which they said, Behold, a male.</w:t>
      </w:r>
    </w:p>
    <w:p>
      <w:r>
        <w:rPr>
          <w:b/>
        </w:rPr>
        <w:t xml:space="preserve">4 </w:t>
      </w:r>
      <w:r>
        <w:t xml:space="preserve">Let that day be darkness</w:t>
      </w:r>
      <w:r>
        <w:rPr>
          <w:rStyle w:val="FootnoteReference"/>
        </w:rPr>
        <w:footnoteReference w:id="10275"/>
      </w:r>
      <w:r>
        <w:t xml:space="preserve">, and let not the Lord seek it from above, nor let light come upon it.</w:t>
      </w:r>
    </w:p>
    <w:p>
      <w:r>
        <w:rPr>
          <w:b/>
        </w:rPr>
        <w:t xml:space="preserve">5 </w:t>
      </w:r>
      <w:r>
        <w:t xml:space="preserve">Let darkness and the shadow</w:t>
      </w:r>
      <w:r>
        <w:rPr>
          <w:rStyle w:val="FootnoteReference"/>
        </w:rPr>
        <w:footnoteReference w:id="10276"/>
      </w:r>
      <w:r>
        <w:t xml:space="preserve"> of death take it. Let gloom come upon it.</w:t>
      </w:r>
    </w:p>
    <w:p>
      <w:r>
        <w:rPr>
          <w:b/>
        </w:rPr>
        <w:t xml:space="preserve">6 </w:t>
      </w:r>
      <w:r>
        <w:t xml:space="preserve">Let the day and that night be cursed. Let darkness take it away. Let it not be among days of the year, nor counted among days of months.</w:t>
      </w:r>
    </w:p>
    <w:p>
      <w:r>
        <w:rPr>
          <w:b/>
        </w:rPr>
        <w:t xml:space="preserve">7 </w:t>
      </w:r>
      <w:r>
        <w:t xml:space="preserve">But let that night be pain, and let no gladness come upon it, nor joy.</w:t>
      </w:r>
    </w:p>
    <w:p>
      <w:r>
        <w:rPr>
          <w:b/>
        </w:rPr>
        <w:t xml:space="preserve">8 </w:t>
      </w:r>
      <w:r>
        <w:t xml:space="preserve">But let the one cursing that day curse it, the one preparing to master the great sea-beast.</w:t>
      </w:r>
    </w:p>
    <w:p>
      <w:r>
        <w:rPr>
          <w:b/>
        </w:rPr>
        <w:t xml:space="preserve">9 </w:t>
      </w:r>
      <w:r>
        <w:t xml:space="preserve">Let stars of that night be darkened. Let it wait and not come into light, nor see morning-star rising,</w:t>
      </w:r>
    </w:p>
    <w:p>
      <w:r>
        <w:rPr>
          <w:b/>
        </w:rPr>
        <w:t xml:space="preserve">10 </w:t>
      </w:r>
      <w:r>
        <w:t xml:space="preserve">because it did not shut gates of my mother's womb, for then it would have removed pain from my eyes.</w:t>
      </w:r>
    </w:p>
    <w:p>
      <w:r>
        <w:rPr>
          <w:b/>
        </w:rPr>
        <w:t xml:space="preserve">11 </w:t>
      </w:r>
      <w:r>
        <w:t xml:space="preserve">For why did I not die in the belly? And coming out from the womb, why did I not immediately perish?</w:t>
      </w:r>
    </w:p>
    <w:p>
      <w:r>
        <w:rPr>
          <w:b/>
        </w:rPr>
        <w:t xml:space="preserve">12 </w:t>
      </w:r>
      <w:r>
        <w:t xml:space="preserve">Why then did knees meet me? And why breasts, that I sucked?</w:t>
      </w:r>
    </w:p>
    <w:p>
      <w:r>
        <w:rPr>
          <w:b/>
        </w:rPr>
        <w:t xml:space="preserve">13 </w:t>
      </w:r>
      <w:r>
        <w:t xml:space="preserve">Now, having lain down, I would have been quiet. Having slept, I would have rested</w:t>
      </w:r>
    </w:p>
    <w:p>
      <w:r>
        <w:rPr>
          <w:b/>
        </w:rPr>
        <w:t xml:space="preserve">14 </w:t>
      </w:r>
      <w:r>
        <w:t xml:space="preserve">with kings</w:t>
      </w:r>
      <w:r>
        <w:rPr>
          <w:rStyle w:val="FootnoteReference"/>
        </w:rPr>
        <w:footnoteReference w:id="10277"/>
      </w:r>
      <w:r>
        <w:t xml:space="preserve">, counselors of earth, who gloried themselves over swords,</w:t>
      </w:r>
    </w:p>
    <w:p>
      <w:r>
        <w:rPr>
          <w:b/>
        </w:rPr>
        <w:t xml:space="preserve">15 </w:t>
      </w:r>
      <w:r>
        <w:t xml:space="preserve">or with rulers whose gold was much, who filled their houses</w:t>
      </w:r>
      <w:r>
        <w:rPr>
          <w:rStyle w:val="FootnoteReference"/>
        </w:rPr>
        <w:footnoteReference w:id="10278"/>
      </w:r>
      <w:r>
        <w:t xml:space="preserve"> with silver,</w:t>
      </w:r>
    </w:p>
    <w:p>
      <w:r>
        <w:rPr>
          <w:b/>
        </w:rPr>
        <w:t xml:space="preserve">16 </w:t>
      </w:r>
      <w:r>
        <w:t xml:space="preserve">or like miscarriage coming out from the womb of a mother, or like infants who never saw light.</w:t>
      </w:r>
    </w:p>
    <w:p>
      <w:r>
        <w:rPr>
          <w:b/>
        </w:rPr>
        <w:t xml:space="preserve">17 </w:t>
      </w:r>
      <w:r>
        <w:t xml:space="preserve">There the ungodly burned out rage of wrath. There the weary in body rested.</w:t>
      </w:r>
    </w:p>
    <w:p>
      <w:r>
        <w:rPr>
          <w:b/>
        </w:rPr>
        <w:t xml:space="preserve">18 </w:t>
      </w:r>
      <w:r>
        <w:t xml:space="preserve">And there the eternal ones together did not hear the voice of tax-collector.</w:t>
      </w:r>
    </w:p>
    <w:p>
      <w:r>
        <w:rPr>
          <w:b/>
        </w:rPr>
        <w:t xml:space="preserve">19 </w:t>
      </w:r>
      <w:r>
        <w:t xml:space="preserve">Small and great are there, and servant not fearing his lord.</w:t>
      </w:r>
    </w:p>
    <w:p>
      <w:r>
        <w:rPr>
          <w:b/>
        </w:rPr>
        <w:t xml:space="preserve">20 </w:t>
      </w:r>
      <w:r>
        <w:t xml:space="preserve">Why then is light</w:t>
      </w:r>
      <w:r>
        <w:rPr>
          <w:rStyle w:val="FootnoteReference"/>
        </w:rPr>
        <w:footnoteReference w:id="10279"/>
      </w:r>
      <w:r>
        <w:t xml:space="preserve"> given to those in bitterness, and life to souls in pains,</w:t>
      </w:r>
    </w:p>
    <w:p>
      <w:r>
        <w:rPr>
          <w:b/>
        </w:rPr>
        <w:t xml:space="preserve">21 </w:t>
      </w:r>
      <w:r>
        <w:t xml:space="preserve">who long</w:t>
      </w:r>
      <w:r>
        <w:rPr>
          <w:rStyle w:val="FootnoteReference"/>
        </w:rPr>
        <w:footnoteReference w:id="10280"/>
      </w:r>
      <w:r>
        <w:t xml:space="preserve"> for death and do not obtain it, digging for it as for treasures,</w:t>
      </w:r>
    </w:p>
    <w:p>
      <w:r>
        <w:rPr>
          <w:b/>
        </w:rPr>
        <w:t xml:space="preserve">22 </w:t>
      </w:r>
      <w:r>
        <w:t xml:space="preserve">who become overjoyed if they should attain it?</w:t>
      </w:r>
    </w:p>
    <w:p>
      <w:r>
        <w:rPr>
          <w:b/>
        </w:rPr>
        <w:t xml:space="preserve">23 </w:t>
      </w:r>
      <w:r>
        <w:t xml:space="preserve">Death is rest for a man, for God shut in against him.</w:t>
      </w:r>
    </w:p>
    <w:p>
      <w:r>
        <w:rPr>
          <w:b/>
        </w:rPr>
        <w:t xml:space="preserve">24 </w:t>
      </w:r>
      <w:r>
        <w:t xml:space="preserve">For before my food, groaning comes to me, and I weep, being held fast by fear.</w:t>
      </w:r>
    </w:p>
    <w:p>
      <w:r>
        <w:rPr>
          <w:b/>
        </w:rPr>
        <w:t xml:space="preserve">25 </w:t>
      </w:r>
      <w:r>
        <w:t xml:space="preserve">For fear which I pondered came upon me, and what I dreaded met me.</w:t>
      </w:r>
    </w:p>
    <w:p>
      <w:r>
        <w:rPr>
          <w:b/>
        </w:rPr>
        <w:t xml:space="preserve">26 </w:t>
      </w:r>
      <w:r>
        <w:t xml:space="preserve">I neither had peace nor was quiet nor rested, but wrath came to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taking up the matter, Eliphaz</w:t>
      </w:r>
      <w:r>
        <w:rPr>
          <w:rStyle w:val="FootnoteReference"/>
        </w:rPr>
        <w:footnoteReference w:id="10281"/>
      </w:r>
      <w:r>
        <w:t xml:space="preserve"> the Temanite says,</w:t>
      </w:r>
    </w:p>
    <w:p>
      <w:r>
        <w:rPr>
          <w:b/>
        </w:rPr>
        <w:t xml:space="preserve">2 </w:t>
      </w:r>
      <w:r>
        <w:t xml:space="preserve">Were many times spoken to you in distress? But strength of your words, who will bear?</w:t>
      </w:r>
    </w:p>
    <w:p>
      <w:r>
        <w:rPr>
          <w:b/>
        </w:rPr>
        <w:t xml:space="preserve">3 </w:t>
      </w:r>
      <w:r>
        <w:t xml:space="preserve">For you instructed many and encouraged weak hands.</w:t>
      </w:r>
    </w:p>
    <w:p>
      <w:r>
        <w:rPr>
          <w:b/>
        </w:rPr>
        <w:t xml:space="preserve">4 </w:t>
      </w:r>
      <w:r>
        <w:t xml:space="preserve">And those failing you raised up by words, and upon knees without strength you put courage.</w:t>
      </w:r>
    </w:p>
    <w:p>
      <w:r>
        <w:rPr>
          <w:b/>
        </w:rPr>
        <w:t xml:space="preserve">5 </w:t>
      </w:r>
      <w:r>
        <w:t xml:space="preserve">But now pain comes upon you and touches you, and you were hasty.</w:t>
      </w:r>
    </w:p>
    <w:p>
      <w:r>
        <w:rPr>
          <w:b/>
        </w:rPr>
        <w:t xml:space="preserve">6 </w:t>
      </w:r>
      <w:r>
        <w:t xml:space="preserve">Is not your fear foolishness, and your hope, and innocence of your way?</w:t>
      </w:r>
    </w:p>
    <w:p>
      <w:r>
        <w:rPr>
          <w:b/>
        </w:rPr>
        <w:t xml:space="preserve">7 </w:t>
      </w:r>
      <w:r>
        <w:t xml:space="preserve">Remember then, who being pure perished? Or when did true men perish root and all?</w:t>
      </w:r>
    </w:p>
    <w:p>
      <w:r>
        <w:rPr>
          <w:b/>
        </w:rPr>
        <w:t xml:space="preserve">8 </w:t>
      </w:r>
      <w:r>
        <w:t xml:space="preserve">In the way I saw, those plowing improper things and those sowing them will reap pains for themselves.</w:t>
      </w:r>
    </w:p>
    <w:p>
      <w:r>
        <w:rPr>
          <w:b/>
        </w:rPr>
        <w:t xml:space="preserve">9 </w:t>
      </w:r>
      <w:r>
        <w:t xml:space="preserve">By the command of the Lord they will perish, and by breath of his wrath they will be wiped out.</w:t>
      </w:r>
    </w:p>
    <w:p>
      <w:r>
        <w:rPr>
          <w:b/>
        </w:rPr>
        <w:t xml:space="preserve">10 </w:t>
      </w:r>
      <w:r>
        <w:t xml:space="preserve">The strength of a lion, the voice of a lioness, and boast of dragons were quenched.</w:t>
      </w:r>
    </w:p>
    <w:p>
      <w:r>
        <w:rPr>
          <w:b/>
        </w:rPr>
        <w:t xml:space="preserve">11 </w:t>
      </w:r>
      <w:r>
        <w:t xml:space="preserve">Ant-lion perished for not having food, and lion cubs abandoned one another.</w:t>
      </w:r>
    </w:p>
    <w:p>
      <w:r>
        <w:rPr>
          <w:b/>
        </w:rPr>
        <w:t xml:space="preserve">12 </w:t>
      </w:r>
      <w:r>
        <w:t xml:space="preserve">But if any true word happened in your sayings, none of these evils would ever have met you. Will not my ear receive strange things from him?</w:t>
      </w:r>
    </w:p>
    <w:p>
      <w:r>
        <w:rPr>
          <w:b/>
        </w:rPr>
        <w:t xml:space="preserve">13 </w:t>
      </w:r>
      <w:r>
        <w:t xml:space="preserve">But fears and the sound of night, fear falling on men,</w:t>
      </w:r>
    </w:p>
    <w:p>
      <w:r>
        <w:rPr>
          <w:b/>
        </w:rPr>
        <w:t xml:space="preserve">14 </w:t>
      </w:r>
      <w:r>
        <w:t xml:space="preserve">dread met me and trembling, and greatly my bones shook together.</w:t>
      </w:r>
    </w:p>
    <w:p>
      <w:r>
        <w:rPr>
          <w:b/>
        </w:rPr>
        <w:t xml:space="preserve">15 </w:t>
      </w:r>
      <w:r>
        <w:t xml:space="preserve">And a spirit</w:t>
      </w:r>
      <w:r>
        <w:rPr>
          <w:rStyle w:val="FootnoteReference"/>
        </w:rPr>
        <w:footnoteReference w:id="10282"/>
      </w:r>
      <w:r>
        <w:t xml:space="preserve"> came upon my face, and my hairs and flesh shuddered.</w:t>
      </w:r>
    </w:p>
    <w:p>
      <w:r>
        <w:rPr>
          <w:b/>
        </w:rPr>
        <w:t xml:space="preserve">16 </w:t>
      </w:r>
      <w:r>
        <w:t xml:space="preserve">I stood up and did not recognize; I looked, and there was no form before my eyes, but only a breeze, and I was hearing a voice:</w:t>
      </w:r>
    </w:p>
    <w:p>
      <w:r>
        <w:rPr>
          <w:b/>
        </w:rPr>
        <w:t xml:space="preserve">17 </w:t>
      </w:r>
      <w:r>
        <w:t xml:space="preserve">What then? Shall mortal</w:t>
      </w:r>
      <w:r>
        <w:rPr>
          <w:rStyle w:val="FootnoteReference"/>
        </w:rPr>
        <w:footnoteReference w:id="10283"/>
      </w:r>
      <w:r>
        <w:t xml:space="preserve"> be pure before the Lord, or shall a man be blameless by his works?</w:t>
      </w:r>
    </w:p>
    <w:p>
      <w:r>
        <w:rPr>
          <w:b/>
        </w:rPr>
        <w:t xml:space="preserve">18 </w:t>
      </w:r>
      <w:r>
        <w:t xml:space="preserve">If he does not trust in his servants, and against his angels he devised something crooked,</w:t>
      </w:r>
    </w:p>
    <w:p>
      <w:r>
        <w:rPr>
          <w:b/>
        </w:rPr>
        <w:t xml:space="preserve">19 </w:t>
      </w:r>
      <w:r>
        <w:t xml:space="preserve">then those dwelling in the houses of clay, from which we also are from the same clay, he struck like a moth.</w:t>
      </w:r>
    </w:p>
    <w:p>
      <w:r>
        <w:rPr>
          <w:b/>
        </w:rPr>
        <w:t xml:space="preserve">20 </w:t>
      </w:r>
      <w:r>
        <w:t xml:space="preserve">And from morning</w:t>
      </w:r>
      <w:r>
        <w:rPr>
          <w:rStyle w:val="FootnoteReference"/>
        </w:rPr>
        <w:footnoteReference w:id="10284"/>
      </w:r>
      <w:r>
        <w:t xml:space="preserve"> until evening they no longer exist, because they were not able to help themselves. They perished.</w:t>
      </w:r>
    </w:p>
    <w:p>
      <w:r>
        <w:rPr>
          <w:b/>
        </w:rPr>
        <w:t xml:space="preserve">21 </w:t>
      </w:r>
      <w:r>
        <w:t xml:space="preserve">For he breathed on them and they dried up. They perished for not having wisdom.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But call, if anyone will hear you, or if you will see any of the holy angels.</w:t>
      </w:r>
    </w:p>
    <w:p>
      <w:r>
        <w:rPr>
          <w:b/>
        </w:rPr>
        <w:t xml:space="preserve">2 </w:t>
      </w:r>
      <w:r>
        <w:t xml:space="preserve">For anger kills the fool, and jealousy kills the wandering one.</w:t>
      </w:r>
    </w:p>
    <w:p>
      <w:r>
        <w:rPr>
          <w:b/>
        </w:rPr>
        <w:t xml:space="preserve">3 </w:t>
      </w:r>
      <w:r>
        <w:t xml:space="preserve">But I saw fools throwing down root, yet immediately their way of life was eaten up.</w:t>
      </w:r>
    </w:p>
    <w:p>
      <w:r>
        <w:rPr>
          <w:b/>
        </w:rPr>
        <w:t xml:space="preserve">4 </w:t>
      </w:r>
      <w:r>
        <w:t xml:space="preserve">Let their sons be far from deliverance, and let them be beaten at the doors of inferiors, and there will be no one rescuing.</w:t>
      </w:r>
    </w:p>
    <w:p>
      <w:r>
        <w:rPr>
          <w:b/>
        </w:rPr>
        <w:t xml:space="preserve">5 </w:t>
      </w:r>
      <w:r>
        <w:t xml:space="preserve">For what they gathered, righteous men will eat, but they themselves will not be delivered from evils. Let their strength be drained away.</w:t>
      </w:r>
    </w:p>
    <w:p>
      <w:r>
        <w:rPr>
          <w:b/>
        </w:rPr>
        <w:t xml:space="preserve">6 </w:t>
      </w:r>
      <w:r>
        <w:t xml:space="preserve">For toil will not come out from the earth, nor will pain sprout up from the mountains.</w:t>
      </w:r>
    </w:p>
    <w:p>
      <w:r>
        <w:rPr>
          <w:b/>
        </w:rPr>
        <w:t xml:space="preserve">7 </w:t>
      </w:r>
      <w:r>
        <w:t xml:space="preserve">But man is born for toil, and young vultures fly to the heights.</w:t>
      </w:r>
    </w:p>
    <w:p>
      <w:r>
        <w:rPr>
          <w:b/>
        </w:rPr>
        <w:t xml:space="preserve">8 </w:t>
      </w:r>
      <w:r>
        <w:t xml:space="preserve">Yet I will petition the Lord, and I will call on the Master of all.</w:t>
      </w:r>
    </w:p>
    <w:p>
      <w:r>
        <w:rPr>
          <w:b/>
        </w:rPr>
        <w:t xml:space="preserve">9 </w:t>
      </w:r>
      <w:r>
        <w:t xml:space="preserve">He does great and unsearchable</w:t>
      </w:r>
      <w:r>
        <w:rPr>
          <w:rStyle w:val="FootnoteReference"/>
        </w:rPr>
        <w:footnoteReference w:id="10285"/>
      </w:r>
      <w:r>
        <w:t xml:space="preserve"> things, glorious and extraordinary things beyond number,</w:t>
      </w:r>
    </w:p>
    <w:p>
      <w:r>
        <w:rPr>
          <w:b/>
        </w:rPr>
        <w:t xml:space="preserve">10 </w:t>
      </w:r>
      <w:r>
        <w:t xml:space="preserve">giving rain upon the earth, sending water upon what is under heaven,</w:t>
      </w:r>
    </w:p>
    <w:p>
      <w:r>
        <w:rPr>
          <w:b/>
        </w:rPr>
        <w:t xml:space="preserve">11 </w:t>
      </w:r>
      <w:r>
        <w:t xml:space="preserve">making lowly ones into height, raising up those</w:t>
      </w:r>
      <w:r>
        <w:rPr>
          <w:rStyle w:val="FootnoteReference"/>
        </w:rPr>
        <w:footnoteReference w:id="10286"/>
      </w:r>
      <w:r>
        <w:t xml:space="preserve"> who were lost,</w:t>
      </w:r>
    </w:p>
    <w:p>
      <w:r>
        <w:rPr>
          <w:b/>
        </w:rPr>
        <w:t xml:space="preserve">12 </w:t>
      </w:r>
      <w:r>
        <w:t xml:space="preserve">turning aside counsels of the crafty, and their hands</w:t>
      </w:r>
      <w:r>
        <w:rPr>
          <w:rStyle w:val="FootnoteReference"/>
        </w:rPr>
        <w:footnoteReference w:id="10287"/>
      </w:r>
      <w:r>
        <w:t xml:space="preserve"> will never do what is true,</w:t>
      </w:r>
    </w:p>
    <w:p>
      <w:r>
        <w:rPr>
          <w:b/>
        </w:rPr>
        <w:t xml:space="preserve">13 </w:t>
      </w:r>
      <w:r>
        <w:t xml:space="preserve">the one catching wise men in their cunning, and overthrowing counsel of the twisted,</w:t>
      </w:r>
    </w:p>
    <w:p>
      <w:r>
        <w:rPr>
          <w:b/>
        </w:rPr>
        <w:t xml:space="preserve">14 </w:t>
      </w:r>
      <w:r>
        <w:t xml:space="preserve">in daytime darkness</w:t>
      </w:r>
      <w:r>
        <w:rPr>
          <w:rStyle w:val="FootnoteReference"/>
        </w:rPr>
        <w:footnoteReference w:id="10288"/>
      </w:r>
      <w:r>
        <w:t xml:space="preserve"> will meet them, and at noon they will grope as in night.</w:t>
      </w:r>
    </w:p>
    <w:p>
      <w:r>
        <w:rPr>
          <w:b/>
        </w:rPr>
        <w:t xml:space="preserve">15 </w:t>
      </w:r>
      <w:r>
        <w:t xml:space="preserve">But let the weak perish in war, and let the powerless come out from the hand of the mighty.</w:t>
      </w:r>
    </w:p>
    <w:p>
      <w:r>
        <w:rPr>
          <w:b/>
        </w:rPr>
        <w:t xml:space="preserve">16 </w:t>
      </w:r>
      <w:r>
        <w:t xml:space="preserve">And let there be hope for the powerless, but mouth of the unrighteous be stopped.</w:t>
      </w:r>
    </w:p>
    <w:p>
      <w:r>
        <w:rPr>
          <w:b/>
        </w:rPr>
        <w:t xml:space="preserve">17 </w:t>
      </w:r>
      <w:r>
        <w:t xml:space="preserve">But blessed is man whom the Lord corrected; do not reject discipline of the Almighty.</w:t>
      </w:r>
    </w:p>
    <w:p>
      <w:r>
        <w:rPr>
          <w:b/>
        </w:rPr>
        <w:t xml:space="preserve">18 </w:t>
      </w:r>
      <w:r>
        <w:t xml:space="preserve">For he causes pain and again restores. He struck, and his hands healed.</w:t>
      </w:r>
    </w:p>
    <w:p>
      <w:r>
        <w:rPr>
          <w:b/>
        </w:rPr>
        <w:t xml:space="preserve">19 </w:t>
      </w:r>
      <w:r>
        <w:t xml:space="preserve">Six times from necessities he will deliver you, and in the seventh evil will not touch you.</w:t>
      </w:r>
    </w:p>
    <w:p>
      <w:r>
        <w:rPr>
          <w:b/>
        </w:rPr>
        <w:t xml:space="preserve">20 </w:t>
      </w:r>
      <w:r>
        <w:t xml:space="preserve">In famine</w:t>
      </w:r>
      <w:r>
        <w:rPr>
          <w:rStyle w:val="FootnoteReference"/>
        </w:rPr>
        <w:footnoteReference w:id="10289"/>
      </w:r>
      <w:r>
        <w:t xml:space="preserve"> he will rescue you from death, and in war he will free you from the hand of iron.</w:t>
      </w:r>
    </w:p>
    <w:p>
      <w:r>
        <w:rPr>
          <w:b/>
        </w:rPr>
        <w:t xml:space="preserve">21 </w:t>
      </w:r>
      <w:r>
        <w:t xml:space="preserve">From scourge of the tongue he will hide you, and you will not fear evils coming.</w:t>
      </w:r>
    </w:p>
    <w:p>
      <w:r>
        <w:rPr>
          <w:b/>
        </w:rPr>
        <w:t xml:space="preserve">22 </w:t>
      </w:r>
      <w:r>
        <w:t xml:space="preserve">You will laugh</w:t>
      </w:r>
      <w:r>
        <w:rPr>
          <w:rStyle w:val="FootnoteReference"/>
        </w:rPr>
        <w:footnoteReference w:id="10290"/>
      </w:r>
      <w:r>
        <w:t xml:space="preserve"> at unjust and lawless men, and you will not fear from wild beasts,</w:t>
      </w:r>
    </w:p>
    <w:p>
      <w:r>
        <w:rPr>
          <w:b/>
        </w:rPr>
        <w:t xml:space="preserve">23 </w:t>
      </w:r>
      <w:r>
        <w:t xml:space="preserve">for wild beasts</w:t>
      </w:r>
      <w:r>
        <w:rPr>
          <w:rStyle w:val="FootnoteReference"/>
        </w:rPr>
        <w:footnoteReference w:id="10291"/>
      </w:r>
      <w:r>
        <w:t xml:space="preserve"> will be at peace with you.</w:t>
      </w:r>
    </w:p>
    <w:p>
      <w:r>
        <w:rPr>
          <w:b/>
        </w:rPr>
        <w:t xml:space="preserve">24 </w:t>
      </w:r>
      <w:r>
        <w:t xml:space="preserve">Then you will know that your house will be at peace, and dwelling of your tent will never go wrong.</w:t>
      </w:r>
    </w:p>
    <w:p>
      <w:r>
        <w:rPr>
          <w:b/>
        </w:rPr>
        <w:t xml:space="preserve">25 </w:t>
      </w:r>
      <w:r>
        <w:t xml:space="preserve">And you will know that your seed is many, and your children will be like all-herbage of the field.</w:t>
      </w:r>
    </w:p>
    <w:p>
      <w:r>
        <w:rPr>
          <w:b/>
        </w:rPr>
        <w:t xml:space="preserve">26 </w:t>
      </w:r>
      <w:r>
        <w:t xml:space="preserve">And you will come to the grave like ripe grain harvested in its season, or like a heap of threshing floor gathered at its time.</w:t>
      </w:r>
    </w:p>
    <w:p>
      <w:r>
        <w:rPr>
          <w:b/>
        </w:rPr>
        <w:t xml:space="preserve">27 </w:t>
      </w:r>
      <w:r>
        <w:t xml:space="preserve">Behold, these things we searched out. These are what we heard. But you, know for yourself if you did anything.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taking up the matter, Job says,</w:t>
      </w:r>
    </w:p>
    <w:p>
      <w:r>
        <w:rPr>
          <w:b/>
        </w:rPr>
        <w:t xml:space="preserve">2 </w:t>
      </w:r>
      <w:r>
        <w:t xml:space="preserve">If only someone might weigh my anger, and lift my pains together in balance.</w:t>
      </w:r>
    </w:p>
    <w:p>
      <w:r>
        <w:rPr>
          <w:b/>
        </w:rPr>
        <w:t xml:space="preserve">3 </w:t>
      </w:r>
      <w:r>
        <w:t xml:space="preserve">For now it would be heavier</w:t>
      </w:r>
      <w:r>
        <w:rPr>
          <w:rStyle w:val="FootnoteReference"/>
        </w:rPr>
        <w:footnoteReference w:id="10292"/>
      </w:r>
      <w:r>
        <w:t xml:space="preserve"> than the sand of the seashore; but, as it seems, my words are worthless.</w:t>
      </w:r>
    </w:p>
    <w:p>
      <w:r>
        <w:rPr>
          <w:b/>
        </w:rPr>
        <w:t xml:space="preserve">4 </w:t>
      </w:r>
      <w:r>
        <w:t xml:space="preserve">For arrows of the Lord are in my body, whose fury drinks up my blood; whenever I begin to speak, they stab me.</w:t>
      </w:r>
    </w:p>
    <w:p>
      <w:r>
        <w:rPr>
          <w:b/>
        </w:rPr>
        <w:t xml:space="preserve">5 </w:t>
      </w:r>
      <w:r>
        <w:t xml:space="preserve">For surely wild donkey does not cry for nothing, unless seeking grain; nor will ox bellow at manger while having fodder.</w:t>
      </w:r>
    </w:p>
    <w:p>
      <w:r>
        <w:rPr>
          <w:b/>
        </w:rPr>
        <w:t xml:space="preserve">6 </w:t>
      </w:r>
      <w:r>
        <w:t xml:space="preserve">Will bread be eaten without salt? Or is there taste</w:t>
      </w:r>
      <w:r>
        <w:rPr>
          <w:rStyle w:val="FootnoteReference"/>
        </w:rPr>
        <w:footnoteReference w:id="10293"/>
      </w:r>
      <w:r>
        <w:t xml:space="preserve"> in empty words?</w:t>
      </w:r>
    </w:p>
    <w:p>
      <w:r>
        <w:rPr>
          <w:b/>
        </w:rPr>
        <w:t xml:space="preserve">7 </w:t>
      </w:r>
      <w:r>
        <w:t xml:space="preserve">For my soul cannot cease, for I see my foods as stench, like smell of lion.</w:t>
      </w:r>
    </w:p>
    <w:p>
      <w:r>
        <w:rPr>
          <w:b/>
        </w:rPr>
        <w:t xml:space="preserve">8 </w:t>
      </w:r>
      <w:r>
        <w:t xml:space="preserve">If only my request might come, and the Lord might give my hope.</w:t>
      </w:r>
    </w:p>
    <w:p>
      <w:r>
        <w:rPr>
          <w:b/>
        </w:rPr>
        <w:t xml:space="preserve">9 </w:t>
      </w:r>
      <w:r>
        <w:t xml:space="preserve">Let the Lord begin and wound me; but in end let him not destroy me.</w:t>
      </w:r>
    </w:p>
    <w:p>
      <w:r>
        <w:rPr>
          <w:b/>
        </w:rPr>
        <w:t xml:space="preserve">10 </w:t>
      </w:r>
      <w:r>
        <w:t xml:space="preserve">Let my city be grave, upon whose walls I leaped; upon it I will by no means spare myself, for I did not lie about words of holy God.</w:t>
      </w:r>
    </w:p>
    <w:p>
      <w:r>
        <w:rPr>
          <w:b/>
        </w:rPr>
        <w:t xml:space="preserve">11 </w:t>
      </w:r>
      <w:r>
        <w:t xml:space="preserve">For what strength have I, that I keep enduring? Or what time remains for me, that my soul keeps bearing?</w:t>
      </w:r>
    </w:p>
    <w:p>
      <w:r>
        <w:rPr>
          <w:b/>
        </w:rPr>
        <w:t xml:space="preserve">12 </w:t>
      </w:r>
      <w:r>
        <w:t xml:space="preserve">Is my strength the strength of stones, or is my flesh bronze?</w:t>
      </w:r>
    </w:p>
    <w:p>
      <w:r>
        <w:rPr>
          <w:b/>
        </w:rPr>
        <w:t xml:space="preserve">13 </w:t>
      </w:r>
      <w:r>
        <w:t xml:space="preserve">Or was I not trusting in him? But help has gone far from me.</w:t>
      </w:r>
    </w:p>
    <w:p>
      <w:r>
        <w:rPr>
          <w:b/>
        </w:rPr>
        <w:t xml:space="preserve">14 </w:t>
      </w:r>
      <w:r>
        <w:t xml:space="preserve">Mercy renounced me, and visitation of the Lord overlooked me.</w:t>
      </w:r>
    </w:p>
    <w:p>
      <w:r>
        <w:rPr>
          <w:b/>
        </w:rPr>
        <w:t xml:space="preserve">15 </w:t>
      </w:r>
      <w:r>
        <w:t xml:space="preserve">My near ones did not regard me; like failing torrents, or like a wave they passed me by.</w:t>
      </w:r>
    </w:p>
    <w:p>
      <w:r>
        <w:rPr>
          <w:b/>
        </w:rPr>
        <w:t xml:space="preserve">16 </w:t>
      </w:r>
      <w:r>
        <w:t xml:space="preserve">Those who feared me before have now fallen upon me, like snow or frozen ice.</w:t>
      </w:r>
    </w:p>
    <w:p>
      <w:r>
        <w:rPr>
          <w:b/>
        </w:rPr>
        <w:t xml:space="preserve">17 </w:t>
      </w:r>
      <w:r>
        <w:t xml:space="preserve">As things melted when heat came, what they were was not recognized.</w:t>
      </w:r>
    </w:p>
    <w:p>
      <w:r>
        <w:rPr>
          <w:b/>
        </w:rPr>
        <w:t xml:space="preserve">18 </w:t>
      </w:r>
      <w:r>
        <w:t xml:space="preserve">Thus I too was abandoned by all; I perished and became homeless.</w:t>
      </w:r>
    </w:p>
    <w:p>
      <w:r>
        <w:rPr>
          <w:b/>
        </w:rPr>
        <w:t xml:space="preserve">19 </w:t>
      </w:r>
      <w:r>
        <w:t xml:space="preserve">Look at ways of Tema</w:t>
      </w:r>
      <w:r>
        <w:rPr>
          <w:rStyle w:val="FootnoteReference"/>
        </w:rPr>
        <w:footnoteReference w:id="10294"/>
      </w:r>
      <w:r>
        <w:t xml:space="preserve">, paths of Sheba</w:t>
      </w:r>
      <w:r>
        <w:rPr>
          <w:rStyle w:val="FootnoteReference"/>
        </w:rPr>
        <w:footnoteReference w:id="10295"/>
      </w:r>
      <w:r>
        <w:t xml:space="preserve">, those who look intently.</w:t>
      </w:r>
      <w:r>
        <w:rPr>
          <w:rStyle w:val="FootnoteReference"/>
        </w:rPr>
        <w:footnoteReference w:id="10296"/>
      </w:r>
    </w:p>
    <w:p>
      <w:r>
        <w:rPr>
          <w:b/>
        </w:rPr>
        <w:t xml:space="preserve">20 </w:t>
      </w:r>
      <w:r>
        <w:t xml:space="preserve">They will owe shame, those trusting in cities and riches.</w:t>
      </w:r>
    </w:p>
    <w:p>
      <w:r>
        <w:rPr>
          <w:b/>
        </w:rPr>
        <w:t xml:space="preserve">21 </w:t>
      </w:r>
      <w:r>
        <w:t xml:space="preserve">But now you too fell upon me without mercy, so that seeing my wound you were afraid.</w:t>
      </w:r>
    </w:p>
    <w:p>
      <w:r>
        <w:rPr>
          <w:b/>
        </w:rPr>
        <w:t xml:space="preserve">22 </w:t>
      </w:r>
      <w:r>
        <w:t xml:space="preserve">For what? Did I ask anything from you, or do I need some of your strength?</w:t>
      </w:r>
    </w:p>
    <w:p>
      <w:r>
        <w:rPr>
          <w:b/>
        </w:rPr>
        <w:t xml:space="preserve">23 </w:t>
      </w:r>
      <w:r>
        <w:t xml:space="preserve">So as to save me from enemies, or rescue me from the hand of rulers?</w:t>
      </w:r>
    </w:p>
    <w:p>
      <w:r>
        <w:rPr>
          <w:b/>
        </w:rPr>
        <w:t xml:space="preserve">24 </w:t>
      </w:r>
      <w:r>
        <w:t xml:space="preserve">Teach me</w:t>
      </w:r>
      <w:r>
        <w:rPr>
          <w:rStyle w:val="FootnoteReference"/>
        </w:rPr>
        <w:footnoteReference w:id="10297"/>
      </w:r>
      <w:r>
        <w:t xml:space="preserve">, and I will be silent; if I have gone astray, show me.</w:t>
      </w:r>
    </w:p>
    <w:p>
      <w:r>
        <w:rPr>
          <w:b/>
        </w:rPr>
        <w:t xml:space="preserve">25 </w:t>
      </w:r>
      <w:r>
        <w:t xml:space="preserve">As it seems, the words of truth are worthless, for I do not ask strength from you.</w:t>
      </w:r>
    </w:p>
    <w:p>
      <w:r>
        <w:rPr>
          <w:b/>
        </w:rPr>
        <w:t xml:space="preserve">26 </w:t>
      </w:r>
      <w:r>
        <w:t xml:space="preserve">Nor will your reproof stop me with words, for neither will I endure the sound of your speech.</w:t>
      </w:r>
    </w:p>
    <w:p>
      <w:r>
        <w:rPr>
          <w:b/>
        </w:rPr>
        <w:t xml:space="preserve">27 </w:t>
      </w:r>
      <w:r>
        <w:t xml:space="preserve">Only because you fall upon orphan, and spring against your friend.</w:t>
      </w:r>
    </w:p>
    <w:p>
      <w:r>
        <w:rPr>
          <w:b/>
        </w:rPr>
        <w:t xml:space="preserve">28 </w:t>
      </w:r>
      <w:r>
        <w:t xml:space="preserve">But now, looking into your faces, I will not lie.</w:t>
      </w:r>
    </w:p>
    <w:p>
      <w:r>
        <w:rPr>
          <w:b/>
        </w:rPr>
        <w:t xml:space="preserve">29 </w:t>
      </w:r>
      <w:r>
        <w:t xml:space="preserve">Sit down then, and let there not be injustice; and again come together with righteous judgment.</w:t>
      </w:r>
    </w:p>
    <w:p>
      <w:r>
        <w:rPr>
          <w:b/>
        </w:rPr>
        <w:t xml:space="preserve">30 </w:t>
      </w:r>
      <w:r>
        <w:t xml:space="preserve">For there is no injustice on my tongue; does not my throat ponder understanding?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Is not life of man on earth a trial, and his life like that of day-laborer?</w:t>
      </w:r>
    </w:p>
    <w:p>
      <w:r>
        <w:rPr>
          <w:b/>
        </w:rPr>
        <w:t xml:space="preserve">2 </w:t>
      </w:r>
      <w:r>
        <w:t xml:space="preserve">Like servant fearing his master and having attained shade, like a hired man waiting for his wage,</w:t>
      </w:r>
    </w:p>
    <w:p>
      <w:r>
        <w:rPr>
          <w:b/>
        </w:rPr>
        <w:t xml:space="preserve">3 </w:t>
      </w:r>
      <w:r>
        <w:t xml:space="preserve">so I too inherited empty months, and nights of pains were given me.</w:t>
      </w:r>
    </w:p>
    <w:p>
      <w:r>
        <w:rPr>
          <w:b/>
        </w:rPr>
        <w:t xml:space="preserve">4 </w:t>
      </w:r>
      <w:r>
        <w:t xml:space="preserve">If I lie down, I say, When day? and when I rise again, When evening? And I am full of pains from evening until morning.</w:t>
      </w:r>
    </w:p>
    <w:p>
      <w:r>
        <w:rPr>
          <w:b/>
        </w:rPr>
        <w:t xml:space="preserve">5 </w:t>
      </w:r>
      <w:r>
        <w:t xml:space="preserve">My body is mixed with rottenness of worms; I melt clods of earth, scraping off the discharge.</w:t>
      </w:r>
    </w:p>
    <w:p>
      <w:r>
        <w:rPr>
          <w:b/>
        </w:rPr>
        <w:t xml:space="preserve">6 </w:t>
      </w:r>
      <w:r>
        <w:t xml:space="preserve">My life is lighter than speech, and has perished in empty hope.</w:t>
      </w:r>
    </w:p>
    <w:p>
      <w:r>
        <w:rPr>
          <w:b/>
        </w:rPr>
        <w:t xml:space="preserve">7 </w:t>
      </w:r>
      <w:r>
        <w:t xml:space="preserve">Remember</w:t>
      </w:r>
      <w:r>
        <w:rPr>
          <w:rStyle w:val="FootnoteReference"/>
        </w:rPr>
        <w:footnoteReference w:id="10298"/>
      </w:r>
      <w:r>
        <w:t xml:space="preserve"> then that my life is breath, and my eye will no longer return to see good.</w:t>
      </w:r>
    </w:p>
    <w:p>
      <w:r>
        <w:rPr>
          <w:b/>
        </w:rPr>
        <w:t xml:space="preserve">8 </w:t>
      </w:r>
      <w:r>
        <w:t xml:space="preserve">Eye of one seeing me will not look on me; your eyes are on me, and I am no longer.</w:t>
      </w:r>
    </w:p>
    <w:p>
      <w:r>
        <w:rPr>
          <w:b/>
        </w:rPr>
        <w:t xml:space="preserve">9 </w:t>
      </w:r>
      <w:r>
        <w:t xml:space="preserve">Like cloud cleansed away from heaven, if man goes down to Hades, he will certainly not come up again.</w:t>
      </w:r>
    </w:p>
    <w:p>
      <w:r>
        <w:rPr>
          <w:b/>
        </w:rPr>
        <w:t xml:space="preserve">10 </w:t>
      </w:r>
      <w:r>
        <w:t xml:space="preserve">Nor will he ever return again to his own house, nor will his place know him anymore.</w:t>
      </w:r>
    </w:p>
    <w:p>
      <w:r>
        <w:rPr>
          <w:b/>
        </w:rPr>
        <w:t xml:space="preserve">11 </w:t>
      </w:r>
      <w:r>
        <w:t xml:space="preserve">But therefore neither will I spare my mouth; I will speak in distress, opening bitterness of my soul while hard pressed.</w:t>
      </w:r>
    </w:p>
    <w:p>
      <w:r>
        <w:rPr>
          <w:b/>
        </w:rPr>
        <w:t xml:space="preserve">12 </w:t>
      </w:r>
      <w:r>
        <w:t xml:space="preserve">Am I sea or dragon, that you set a guard over me?</w:t>
      </w:r>
    </w:p>
    <w:p>
      <w:r>
        <w:rPr>
          <w:b/>
        </w:rPr>
        <w:t xml:space="preserve">13 </w:t>
      </w:r>
      <w:r>
        <w:t xml:space="preserve">If I say, My bed</w:t>
      </w:r>
      <w:r>
        <w:rPr>
          <w:rStyle w:val="FootnoteReference"/>
        </w:rPr>
        <w:footnoteReference w:id="10299"/>
      </w:r>
      <w:r>
        <w:t xml:space="preserve"> will comfort me, and my couch will bear my complaint for me,</w:t>
      </w:r>
    </w:p>
    <w:p>
      <w:r>
        <w:rPr>
          <w:b/>
        </w:rPr>
        <w:t xml:space="preserve">14 </w:t>
      </w:r>
      <w:r>
        <w:t xml:space="preserve">then you frighten me with dreams and terrify me with visions.</w:t>
      </w:r>
    </w:p>
    <w:p>
      <w:r>
        <w:rPr>
          <w:b/>
        </w:rPr>
        <w:t xml:space="preserve">15 </w:t>
      </w:r>
      <w:r>
        <w:t xml:space="preserve">You will free my soul from breath, and my bones from death.</w:t>
      </w:r>
    </w:p>
    <w:p>
      <w:r>
        <w:rPr>
          <w:b/>
        </w:rPr>
        <w:t xml:space="preserve">16 </w:t>
      </w:r>
      <w:r>
        <w:t xml:space="preserve">For I will not live forever, that I should be patient. Depart from me, for my life is empty.</w:t>
      </w:r>
    </w:p>
    <w:p>
      <w:r>
        <w:rPr>
          <w:b/>
        </w:rPr>
        <w:t xml:space="preserve">17 </w:t>
      </w:r>
      <w:r>
        <w:t xml:space="preserve">What is man</w:t>
      </w:r>
      <w:r>
        <w:rPr>
          <w:rStyle w:val="FootnoteReference"/>
        </w:rPr>
        <w:footnoteReference w:id="10300"/>
      </w:r>
      <w:r>
        <w:t xml:space="preserve">, that you magnified him, or that you set your mind on him,</w:t>
      </w:r>
    </w:p>
    <w:p>
      <w:r>
        <w:rPr>
          <w:b/>
        </w:rPr>
        <w:t xml:space="preserve">18 </w:t>
      </w:r>
      <w:r>
        <w:t xml:space="preserve">or make visitation of him until morning, and judge him for rest?</w:t>
      </w:r>
    </w:p>
    <w:p>
      <w:r>
        <w:rPr>
          <w:b/>
        </w:rPr>
        <w:t xml:space="preserve">19 </w:t>
      </w:r>
      <w:r>
        <w:t xml:space="preserve">Until when will you not let me be, nor release me until I swallow my spittle in pain?</w:t>
      </w:r>
    </w:p>
    <w:p>
      <w:r>
        <w:rPr>
          <w:b/>
        </w:rPr>
        <w:t xml:space="preserve">20 </w:t>
      </w:r>
      <w:r>
        <w:t xml:space="preserve">If I sinned, what can I do to you, knower of minds of men? Why did you set me as your accuser? And I have become burden to you.</w:t>
      </w:r>
    </w:p>
    <w:p>
      <w:r>
        <w:rPr>
          <w:b/>
        </w:rPr>
        <w:t xml:space="preserve">21 </w:t>
      </w:r>
      <w:r>
        <w:t xml:space="preserve">And why did you not make forgetfulness of my lawlessness and cleansing of my sin? For now I will depart into earth, and seeking me early, I am no more.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taking up the matter, Bildad</w:t>
      </w:r>
      <w:r>
        <w:rPr>
          <w:rStyle w:val="FootnoteReference"/>
        </w:rPr>
        <w:footnoteReference w:id="10301"/>
      </w:r>
      <w:r>
        <w:t xml:space="preserve"> the Shuhite</w:t>
      </w:r>
      <w:r>
        <w:rPr>
          <w:rStyle w:val="FootnoteReference"/>
        </w:rPr>
        <w:footnoteReference w:id="10302"/>
      </w:r>
      <w:r>
        <w:t xml:space="preserve"> says,</w:t>
      </w:r>
    </w:p>
    <w:p>
      <w:r>
        <w:rPr>
          <w:b/>
        </w:rPr>
        <w:t xml:space="preserve">2 </w:t>
      </w:r>
      <w:r>
        <w:t xml:space="preserve">How long</w:t>
      </w:r>
      <w:r>
        <w:rPr>
          <w:rStyle w:val="FootnoteReference"/>
        </w:rPr>
        <w:footnoteReference w:id="10303"/>
      </w:r>
      <w:r>
        <w:t xml:space="preserve"> will you speak these things, wind of many words from your mouth?</w:t>
      </w:r>
    </w:p>
    <w:p>
      <w:r>
        <w:rPr>
          <w:b/>
        </w:rPr>
        <w:t xml:space="preserve">3 </w:t>
      </w:r>
      <w:r>
        <w:t xml:space="preserve">Will the Lord do injustice in judging, or will maker of all disturb what is right?</w:t>
      </w:r>
    </w:p>
    <w:p>
      <w:r>
        <w:rPr>
          <w:b/>
        </w:rPr>
        <w:t xml:space="preserve">4 </w:t>
      </w:r>
      <w:r>
        <w:t xml:space="preserve">If your sons sinned before him, he sent them away in the hand of their lawlessness.</w:t>
      </w:r>
    </w:p>
    <w:p>
      <w:r>
        <w:rPr>
          <w:b/>
        </w:rPr>
        <w:t xml:space="preserve">5 </w:t>
      </w:r>
      <w:r>
        <w:t xml:space="preserve">But you, rise early toward the Lord, begging Almighty.</w:t>
      </w:r>
    </w:p>
    <w:p>
      <w:r>
        <w:rPr>
          <w:b/>
        </w:rPr>
        <w:t xml:space="preserve">6 </w:t>
      </w:r>
      <w:r>
        <w:t xml:space="preserve">If you are pure and true, he will hear your petition and restore to you dwelling of righteousness.</w:t>
      </w:r>
    </w:p>
    <w:p>
      <w:r>
        <w:rPr>
          <w:b/>
        </w:rPr>
        <w:t xml:space="preserve">7 </w:t>
      </w:r>
      <w:r>
        <w:t xml:space="preserve">Then your first things will be few, but your last things beyond counting.</w:t>
      </w:r>
    </w:p>
    <w:p>
      <w:r>
        <w:rPr>
          <w:b/>
        </w:rPr>
        <w:t xml:space="preserve">8 </w:t>
      </w:r>
      <w:r>
        <w:t xml:space="preserve">Ask indeed former generation, and search out race of fathers.</w:t>
      </w:r>
    </w:p>
    <w:p>
      <w:r>
        <w:rPr>
          <w:b/>
        </w:rPr>
        <w:t xml:space="preserve">9 </w:t>
      </w:r>
      <w:r>
        <w:t xml:space="preserve">For we are of yesterday and do not know; for our life on earth is shadow.</w:t>
      </w:r>
    </w:p>
    <w:p>
      <w:r>
        <w:rPr>
          <w:b/>
        </w:rPr>
        <w:t xml:space="preserve">10 </w:t>
      </w:r>
      <w:r>
        <w:t xml:space="preserve">Will not these teach you and tell you, and bring out words from their heart?</w:t>
      </w:r>
    </w:p>
    <w:p>
      <w:r>
        <w:rPr>
          <w:b/>
        </w:rPr>
        <w:t xml:space="preserve">11 </w:t>
      </w:r>
      <w:r>
        <w:t xml:space="preserve">Does papyrus flourish without water, or will reed rise high without drink?</w:t>
      </w:r>
    </w:p>
    <w:p>
      <w:r>
        <w:rPr>
          <w:b/>
        </w:rPr>
        <w:t xml:space="preserve">12 </w:t>
      </w:r>
      <w:r>
        <w:t xml:space="preserve">While still on its root and not yet cut, before any herb drinks, does it not dry up?</w:t>
      </w:r>
    </w:p>
    <w:p>
      <w:r>
        <w:rPr>
          <w:b/>
        </w:rPr>
        <w:t xml:space="preserve">13 </w:t>
      </w:r>
      <w:r>
        <w:t xml:space="preserve">So then will be the end of all who forget the Lord, for the hope of the ungodly will perish.</w:t>
      </w:r>
    </w:p>
    <w:p>
      <w:r>
        <w:rPr>
          <w:b/>
        </w:rPr>
        <w:t xml:space="preserve">14 </w:t>
      </w:r>
      <w:r>
        <w:t xml:space="preserve">For his house will be uninhabited, and his tent will turn out to be spider's web.</w:t>
      </w:r>
    </w:p>
    <w:p>
      <w:r>
        <w:rPr>
          <w:b/>
        </w:rPr>
        <w:t xml:space="preserve">15 </w:t>
      </w:r>
      <w:r>
        <w:t xml:space="preserve">If he lean on his house, it will not stand; if he take hold of it, it will not endure.</w:t>
      </w:r>
    </w:p>
    <w:p>
      <w:r>
        <w:rPr>
          <w:b/>
        </w:rPr>
        <w:t xml:space="preserve">16 </w:t>
      </w:r>
      <w:r>
        <w:t xml:space="preserve">For it is moist under the sun, and from its decay its shoot will come out.</w:t>
      </w:r>
    </w:p>
    <w:p>
      <w:r>
        <w:rPr>
          <w:b/>
        </w:rPr>
        <w:t xml:space="preserve">17 </w:t>
      </w:r>
      <w:r>
        <w:t xml:space="preserve">It sleeps upon gathering of stones, and in the midst of pebbles it will live.</w:t>
      </w:r>
    </w:p>
    <w:p>
      <w:r>
        <w:rPr>
          <w:b/>
        </w:rPr>
        <w:t xml:space="preserve">18 </w:t>
      </w:r>
      <w:r>
        <w:t xml:space="preserve">If place swallow it up, it will deny it: You have not seen such things.</w:t>
      </w:r>
    </w:p>
    <w:p>
      <w:r>
        <w:rPr>
          <w:b/>
        </w:rPr>
        <w:t xml:space="preserve">19 </w:t>
      </w:r>
      <w:r>
        <w:t xml:space="preserve">For such is overthrow of the ungodly, and from earth another will sprout.</w:t>
      </w:r>
    </w:p>
    <w:p>
      <w:r>
        <w:rPr>
          <w:b/>
        </w:rPr>
        <w:t xml:space="preserve">20 </w:t>
      </w:r>
      <w:r>
        <w:t xml:space="preserve">For the Lord will by no means reject blameless one, but will not receive any gift of the ungodly.</w:t>
      </w:r>
    </w:p>
    <w:p>
      <w:r>
        <w:rPr>
          <w:b/>
        </w:rPr>
        <w:t xml:space="preserve">21 </w:t>
      </w:r>
      <w:r>
        <w:t xml:space="preserve">Yet he will fill mouth of true ones with laughter, and their lips with confession.</w:t>
      </w:r>
    </w:p>
    <w:p>
      <w:r>
        <w:rPr>
          <w:b/>
        </w:rPr>
        <w:t xml:space="preserve">22 </w:t>
      </w:r>
      <w:r>
        <w:t xml:space="preserve">But their enemies will clothe themselves with shame, and the dwelling of the ungodly will not be.</w:t>
      </w:r>
      <w:r>
        <w:rPr>
          <w:rStyle w:val="FootnoteReference"/>
        </w:rPr>
        <w:footnoteReference w:id="10304"/>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taking up the matter, Job says,</w:t>
      </w:r>
    </w:p>
    <w:p>
      <w:r>
        <w:rPr>
          <w:b/>
        </w:rPr>
        <w:t xml:space="preserve">2 </w:t>
      </w:r>
      <w:r>
        <w:t xml:space="preserve">In truth I know that it is so; for how will a mortal be righteous before the Lord</w:t>
      </w:r>
      <w:r>
        <w:rPr>
          <w:rStyle w:val="FootnoteReference"/>
        </w:rPr>
        <w:footnoteReference w:id="10305"/>
      </w:r>
      <w:r>
        <w:t xml:space="preserve">?</w:t>
      </w:r>
    </w:p>
    <w:p>
      <w:r>
        <w:rPr>
          <w:b/>
        </w:rPr>
        <w:t xml:space="preserve">3 </w:t>
      </w:r>
      <w:r>
        <w:t xml:space="preserve">If he should wish to enter judgment with him, he will not answer him one word out of thousand.</w:t>
      </w:r>
    </w:p>
    <w:p>
      <w:r>
        <w:rPr>
          <w:b/>
        </w:rPr>
        <w:t xml:space="preserve">4 </w:t>
      </w:r>
      <w:r>
        <w:t xml:space="preserve">For he is wise in mind, mighty and great. Who, having hardened himself against him, endured?</w:t>
      </w:r>
    </w:p>
    <w:p>
      <w:r>
        <w:rPr>
          <w:b/>
        </w:rPr>
        <w:t xml:space="preserve">5 </w:t>
      </w:r>
      <w:r>
        <w:t xml:space="preserve">He who ages mountains, and they do not know, overthrowing them in anger.</w:t>
      </w:r>
    </w:p>
    <w:p>
      <w:r>
        <w:rPr>
          <w:b/>
        </w:rPr>
        <w:t xml:space="preserve">6 </w:t>
      </w:r>
      <w:r>
        <w:t xml:space="preserve">He who shakes what is under heaven from foundations, and its pillars totter.</w:t>
      </w:r>
    </w:p>
    <w:p>
      <w:r>
        <w:rPr>
          <w:b/>
        </w:rPr>
        <w:t xml:space="preserve">7 </w:t>
      </w:r>
      <w:r>
        <w:t xml:space="preserve">He who says to sun, and it does not rise, and seals up stars.</w:t>
      </w:r>
    </w:p>
    <w:p>
      <w:r>
        <w:rPr>
          <w:b/>
        </w:rPr>
        <w:t xml:space="preserve">8 </w:t>
      </w:r>
      <w:r>
        <w:t xml:space="preserve">He who stretched out heaven alone and walks as upon ground on sea.</w:t>
      </w:r>
    </w:p>
    <w:p>
      <w:r>
        <w:rPr>
          <w:b/>
        </w:rPr>
        <w:t xml:space="preserve">9 </w:t>
      </w:r>
      <w:r>
        <w:t xml:space="preserve">He who makes Pleiad and Evening Star and Bear and chambers of south.</w:t>
      </w:r>
    </w:p>
    <w:p>
      <w:r>
        <w:rPr>
          <w:b/>
        </w:rPr>
        <w:t xml:space="preserve">10 </w:t>
      </w:r>
      <w:r>
        <w:t xml:space="preserve">He who does great and unsearchable things, glorious and astonishing things without number.</w:t>
      </w:r>
    </w:p>
    <w:p>
      <w:r>
        <w:rPr>
          <w:b/>
        </w:rPr>
        <w:t xml:space="preserve">11 </w:t>
      </w:r>
      <w:r>
        <w:t xml:space="preserve">If he pass over me, I will not see; if he go by me, I would not know.</w:t>
      </w:r>
    </w:p>
    <w:p>
      <w:r>
        <w:rPr>
          <w:b/>
        </w:rPr>
        <w:t xml:space="preserve">12 </w:t>
      </w:r>
      <w:r>
        <w:t xml:space="preserve">If someone turn him away, who will turn him back? Or who will say to him, What have you done?</w:t>
      </w:r>
    </w:p>
    <w:p>
      <w:r>
        <w:rPr>
          <w:b/>
        </w:rPr>
        <w:t xml:space="preserve">13 </w:t>
      </w:r>
      <w:r>
        <w:t xml:space="preserve">For he turned away wrath; under him sea-monsters beneath heaven were bowed down.</w:t>
      </w:r>
    </w:p>
    <w:p>
      <w:r>
        <w:rPr>
          <w:b/>
        </w:rPr>
        <w:t xml:space="preserve">14 </w:t>
      </w:r>
      <w:r>
        <w:t xml:space="preserve">And if he should hear me, will he discern my words?</w:t>
      </w:r>
    </w:p>
    <w:p>
      <w:r>
        <w:rPr>
          <w:b/>
        </w:rPr>
        <w:t xml:space="preserve">15 </w:t>
      </w:r>
      <w:r>
        <w:t xml:space="preserve">For even if I am righteous, he will not hear me; I will plead with my judge</w:t>
      </w:r>
      <w:r>
        <w:rPr>
          <w:rStyle w:val="FootnoteReference"/>
        </w:rPr>
        <w:footnoteReference w:id="10306"/>
      </w:r>
      <w:r>
        <w:t xml:space="preserve">.</w:t>
      </w:r>
    </w:p>
    <w:p>
      <w:r>
        <w:rPr>
          <w:b/>
        </w:rPr>
        <w:t xml:space="preserve">16 </w:t>
      </w:r>
      <w:r>
        <w:t xml:space="preserve">And if I call and he answers, I do not believe that he has heard my voice.</w:t>
      </w:r>
    </w:p>
    <w:p>
      <w:r>
        <w:rPr>
          <w:b/>
        </w:rPr>
        <w:t xml:space="preserve">17 </w:t>
      </w:r>
      <w:r>
        <w:t xml:space="preserve">Let him not rub me out in storm-cloud; he made my shatterings many for nothing.</w:t>
      </w:r>
    </w:p>
    <w:p>
      <w:r>
        <w:rPr>
          <w:b/>
        </w:rPr>
        <w:t xml:space="preserve">18 </w:t>
      </w:r>
      <w:r>
        <w:t xml:space="preserve">For he does not let me take breath, but filled me with bitterness.</w:t>
      </w:r>
    </w:p>
    <w:p>
      <w:r>
        <w:rPr>
          <w:b/>
        </w:rPr>
        <w:t xml:space="preserve">19 </w:t>
      </w:r>
      <w:r>
        <w:t xml:space="preserve">If it is matter of strength, he is strong</w:t>
      </w:r>
      <w:r>
        <w:rPr>
          <w:rStyle w:val="FootnoteReference"/>
        </w:rPr>
        <w:footnoteReference w:id="10307"/>
      </w:r>
      <w:r>
        <w:t xml:space="preserve">; but in judgment, who will withstand him?</w:t>
      </w:r>
    </w:p>
    <w:p>
      <w:r>
        <w:rPr>
          <w:b/>
        </w:rPr>
        <w:t xml:space="preserve">20 </w:t>
      </w:r>
      <w:r>
        <w:t xml:space="preserve">Even if I am righteous, my mouth will act ungodly; if I am blameless, I will turn crooked.</w:t>
      </w:r>
    </w:p>
    <w:p>
      <w:r>
        <w:rPr>
          <w:b/>
        </w:rPr>
        <w:t xml:space="preserve">21 </w:t>
      </w:r>
      <w:r>
        <w:t xml:space="preserve">For even if I did act ungodly, I do not know in my soul; only this, that my life is taken away.</w:t>
      </w:r>
    </w:p>
    <w:p>
      <w:r>
        <w:rPr>
          <w:b/>
        </w:rPr>
        <w:t xml:space="preserve">22 </w:t>
      </w:r>
      <w:r>
        <w:t xml:space="preserve">Therefore I said, wrath destroys both great man and ruler.</w:t>
      </w:r>
    </w:p>
    <w:p>
      <w:r>
        <w:rPr>
          <w:b/>
        </w:rPr>
        <w:t xml:space="preserve">23 </w:t>
      </w:r>
      <w:r>
        <w:t xml:space="preserve">For worthless men are remarkable in death, but the righteous are laughed to scorn.</w:t>
      </w:r>
      <w:r>
        <w:rPr>
          <w:rStyle w:val="FootnoteReference"/>
        </w:rPr>
        <w:footnoteReference w:id="10308"/>
      </w:r>
      <w:r>
        <w:t xml:space="preserve"/>
      </w:r>
    </w:p>
    <w:p>
      <w:r>
        <w:rPr>
          <w:b/>
        </w:rPr>
        <w:t xml:space="preserve">24 </w:t>
      </w:r>
      <w:r>
        <w:t xml:space="preserve">For the earth</w:t>
      </w:r>
      <w:r>
        <w:rPr>
          <w:rStyle w:val="FootnoteReference"/>
        </w:rPr>
        <w:footnoteReference w:id="10309"/>
      </w:r>
      <w:r>
        <w:t xml:space="preserve"> is given into the hands of the ungodly; he covers faces of its judges. But if not he, who is it?</w:t>
      </w:r>
    </w:p>
    <w:p>
      <w:r>
        <w:rPr>
          <w:b/>
        </w:rPr>
        <w:t xml:space="preserve">25 </w:t>
      </w:r>
      <w:r>
        <w:t xml:space="preserve">My life is lighter than runner; they fled and did not know.</w:t>
      </w:r>
    </w:p>
    <w:p>
      <w:r>
        <w:rPr>
          <w:b/>
        </w:rPr>
        <w:t xml:space="preserve">26 </w:t>
      </w:r>
      <w:r>
        <w:t xml:space="preserve">Or is there track of way for ships, or of eagle flying and seeking food?</w:t>
      </w:r>
    </w:p>
    <w:p>
      <w:r>
        <w:rPr>
          <w:b/>
        </w:rPr>
        <w:t xml:space="preserve">27 </w:t>
      </w:r>
      <w:r>
        <w:t xml:space="preserve">If then I say, I will forget my speaking, stooping with face I will groan,</w:t>
      </w:r>
    </w:p>
    <w:p>
      <w:r>
        <w:rPr>
          <w:b/>
        </w:rPr>
        <w:t xml:space="preserve">28 </w:t>
      </w:r>
      <w:r>
        <w:t xml:space="preserve">I shudder in all my limbs, for I know that you will not leave me innocent.</w:t>
      </w:r>
    </w:p>
    <w:p>
      <w:r>
        <w:rPr>
          <w:b/>
        </w:rPr>
        <w:t xml:space="preserve">29 </w:t>
      </w:r>
      <w:r>
        <w:t xml:space="preserve">Since I am ungodly, why then did I not die?</w:t>
      </w:r>
    </w:p>
    <w:p>
      <w:r>
        <w:rPr>
          <w:b/>
        </w:rPr>
        <w:t xml:space="preserve">30 </w:t>
      </w:r>
      <w:r>
        <w:t xml:space="preserve">For if I wash myself with snow and cleanse my hands with purity,</w:t>
      </w:r>
    </w:p>
    <w:p>
      <w:r>
        <w:rPr>
          <w:b/>
        </w:rPr>
        <w:t xml:space="preserve">31 </w:t>
      </w:r>
      <w:r>
        <w:t xml:space="preserve">sufficiently you dipped me in filth, and my garment loathed me.</w:t>
      </w:r>
    </w:p>
    <w:p>
      <w:r>
        <w:rPr>
          <w:b/>
        </w:rPr>
        <w:t xml:space="preserve">32 </w:t>
      </w:r>
      <w:r>
        <w:t xml:space="preserve">For you are not man like me, against whom I will answer, that we might come together into judgment.</w:t>
      </w:r>
    </w:p>
    <w:p>
      <w:r>
        <w:rPr>
          <w:b/>
        </w:rPr>
        <w:t xml:space="preserve">33 </w:t>
      </w:r>
      <w:r>
        <w:t xml:space="preserve">If only there were mediator of us, and reprover, and one hearing between both.</w:t>
      </w:r>
    </w:p>
    <w:p>
      <w:r>
        <w:rPr>
          <w:b/>
        </w:rPr>
        <w:t xml:space="preserve">34 </w:t>
      </w:r>
      <w:r>
        <w:t xml:space="preserve">Let him take his rod away from me, and let his fear not whirl me about.</w:t>
      </w:r>
    </w:p>
    <w:p>
      <w:r>
        <w:rPr>
          <w:b/>
        </w:rPr>
        <w:t xml:space="preserve">35 </w:t>
      </w:r>
      <w:r>
        <w:t xml:space="preserve">Then I would not fear, but speak, for I do not know myself so.</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Weary in my soul</w:t>
      </w:r>
      <w:r>
        <w:rPr>
          <w:rStyle w:val="FootnoteReference"/>
        </w:rPr>
        <w:footnoteReference w:id="10310"/>
      </w:r>
      <w:r>
        <w:t xml:space="preserve">, groaning, I will let my words go upon him; I will speak bitterness of my soul while hard pressed.</w:t>
      </w:r>
    </w:p>
    <w:p>
      <w:r>
        <w:rPr>
          <w:b/>
        </w:rPr>
        <w:t xml:space="preserve">2 </w:t>
      </w:r>
      <w:r>
        <w:t xml:space="preserve">And I will say to the Lord, Do not</w:t>
      </w:r>
      <w:r>
        <w:rPr>
          <w:rStyle w:val="FootnoteReference"/>
        </w:rPr>
        <w:footnoteReference w:id="10311"/>
      </w:r>
      <w:r>
        <w:t xml:space="preserve"> treat me as ungodly; teach me why you judged me thus.</w:t>
      </w:r>
    </w:p>
    <w:p>
      <w:r>
        <w:rPr>
          <w:b/>
        </w:rPr>
        <w:t xml:space="preserve">3 </w:t>
      </w:r>
      <w:r>
        <w:t xml:space="preserve">Is it good</w:t>
      </w:r>
      <w:r>
        <w:rPr>
          <w:rStyle w:val="FootnoteReference"/>
        </w:rPr>
        <w:footnoteReference w:id="10312"/>
      </w:r>
      <w:r>
        <w:t xml:space="preserve"> to you if I act unjustly, that you reject works of your hands, but give heed to the counsel of the ungodly?</w:t>
      </w:r>
    </w:p>
    <w:p>
      <w:r>
        <w:rPr>
          <w:b/>
        </w:rPr>
        <w:t xml:space="preserve">4 </w:t>
      </w:r>
      <w:r>
        <w:t xml:space="preserve">Do you look as mortal looks, or see as man sees?</w:t>
      </w:r>
    </w:p>
    <w:p>
      <w:r>
        <w:rPr>
          <w:b/>
        </w:rPr>
        <w:t xml:space="preserve">5 </w:t>
      </w:r>
      <w:r>
        <w:t xml:space="preserve">Is your life human, or your years those of man,</w:t>
      </w:r>
    </w:p>
    <w:p>
      <w:r>
        <w:rPr>
          <w:b/>
        </w:rPr>
        <w:t xml:space="preserve">6 </w:t>
      </w:r>
      <w:r>
        <w:t xml:space="preserve">that you searched out my lawlessness and tracked down my sins?</w:t>
      </w:r>
    </w:p>
    <w:p>
      <w:r>
        <w:rPr>
          <w:b/>
        </w:rPr>
        <w:t xml:space="preserve">7 </w:t>
      </w:r>
      <w:r>
        <w:t xml:space="preserve">For you know that I did not act ungodly, but there is none rescuing from your hands.</w:t>
      </w:r>
    </w:p>
    <w:p>
      <w:r>
        <w:rPr>
          <w:b/>
        </w:rPr>
        <w:t xml:space="preserve">8 </w:t>
      </w:r>
      <w:r>
        <w:t xml:space="preserve">Your hands</w:t>
      </w:r>
      <w:r>
        <w:rPr>
          <w:rStyle w:val="FootnoteReference"/>
        </w:rPr>
        <w:footnoteReference w:id="10313"/>
      </w:r>
      <w:r>
        <w:t xml:space="preserve"> formed me and made me; then changing, you struck me.</w:t>
      </w:r>
    </w:p>
    <w:p>
      <w:r>
        <w:rPr>
          <w:b/>
        </w:rPr>
        <w:t xml:space="preserve">9 </w:t>
      </w:r>
      <w:r>
        <w:t xml:space="preserve">Remember</w:t>
      </w:r>
      <w:r>
        <w:rPr>
          <w:rStyle w:val="FootnoteReference"/>
        </w:rPr>
        <w:footnoteReference w:id="10314"/>
      </w:r>
      <w:r>
        <w:t xml:space="preserve"> that you molded me like clay, and you turn me back into earth.</w:t>
      </w:r>
    </w:p>
    <w:p>
      <w:r>
        <w:rPr>
          <w:b/>
        </w:rPr>
        <w:t xml:space="preserve">10 </w:t>
      </w:r>
      <w:r>
        <w:t xml:space="preserve">Did you not milk me out like milk and curdle me like cheese?</w:t>
      </w:r>
    </w:p>
    <w:p>
      <w:r>
        <w:rPr>
          <w:b/>
        </w:rPr>
        <w:t xml:space="preserve">11 </w:t>
      </w:r>
      <w:r>
        <w:t xml:space="preserve">With skin and flesh you clothed</w:t>
      </w:r>
      <w:r>
        <w:rPr>
          <w:rStyle w:val="FootnoteReference"/>
        </w:rPr>
        <w:footnoteReference w:id="10315"/>
      </w:r>
      <w:r>
        <w:t xml:space="preserve"> me, and with bones and sinews you wove me.</w:t>
      </w:r>
    </w:p>
    <w:p>
      <w:r>
        <w:rPr>
          <w:b/>
        </w:rPr>
        <w:t xml:space="preserve">12 </w:t>
      </w:r>
      <w:r>
        <w:t xml:space="preserve">Life and mercy you set with me, and your oversight guarded my spirit.</w:t>
      </w:r>
    </w:p>
    <w:p>
      <w:r>
        <w:rPr>
          <w:b/>
        </w:rPr>
        <w:t xml:space="preserve">13 </w:t>
      </w:r>
      <w:r>
        <w:t xml:space="preserve">Holding these things within yourself, I know that you can do all things, and nothing is impossible to you.</w:t>
      </w:r>
    </w:p>
    <w:p>
      <w:r>
        <w:rPr>
          <w:b/>
        </w:rPr>
        <w:t xml:space="preserve">14 </w:t>
      </w:r>
      <w:r>
        <w:t xml:space="preserve">If I sin, you watch me, and from lawlessness you did not make me innocent.</w:t>
      </w:r>
    </w:p>
    <w:p>
      <w:r>
        <w:rPr>
          <w:b/>
        </w:rPr>
        <w:t xml:space="preserve">15 </w:t>
      </w:r>
      <w:r>
        <w:t xml:space="preserve">If I am ungodly, woe to me; if I am righteous</w:t>
      </w:r>
      <w:r>
        <w:rPr>
          <w:rStyle w:val="FootnoteReference"/>
        </w:rPr>
        <w:footnoteReference w:id="10316"/>
      </w:r>
      <w:r>
        <w:t xml:space="preserve">, I cannot lift myself up, for I am full of dishonor.</w:t>
      </w:r>
    </w:p>
    <w:p>
      <w:r>
        <w:rPr>
          <w:b/>
        </w:rPr>
        <w:t xml:space="preserve">16 </w:t>
      </w:r>
      <w:r>
        <w:t xml:space="preserve">For I am hunted like a lion for slaughter, and again changing, you destroy me terribly.</w:t>
      </w:r>
    </w:p>
    <w:p>
      <w:r>
        <w:rPr>
          <w:b/>
        </w:rPr>
        <w:t xml:space="preserve">17 </w:t>
      </w:r>
      <w:r>
        <w:t xml:space="preserve">Renewing my examination against me, you used great wrath toward me and brought trials upon me.</w:t>
      </w:r>
    </w:p>
    <w:p>
      <w:r>
        <w:rPr>
          <w:b/>
        </w:rPr>
        <w:t xml:space="preserve">18 </w:t>
      </w:r>
      <w:r>
        <w:t xml:space="preserve">Why then did you bring me out from womb? Would that I had died and eye had not seen me.</w:t>
      </w:r>
    </w:p>
    <w:p>
      <w:r>
        <w:rPr>
          <w:b/>
        </w:rPr>
        <w:t xml:space="preserve">19 </w:t>
      </w:r>
      <w:r>
        <w:t xml:space="preserve">And I would have become as if I had not been. Why then was I not carried from belly to grave?</w:t>
      </w:r>
    </w:p>
    <w:p>
      <w:r>
        <w:rPr>
          <w:b/>
        </w:rPr>
        <w:t xml:space="preserve">20 </w:t>
      </w:r>
      <w:r>
        <w:t xml:space="preserve">Is not time of my life small? Let me be, that I may rest a little,</w:t>
      </w:r>
    </w:p>
    <w:p>
      <w:r>
        <w:rPr>
          <w:b/>
        </w:rPr>
        <w:t xml:space="preserve">21 </w:t>
      </w:r>
      <w:r>
        <w:t xml:space="preserve">before I go from where I will not return, into a dark and gloomy land,</w:t>
      </w:r>
    </w:p>
    <w:p>
      <w:r>
        <w:rPr>
          <w:b/>
        </w:rPr>
        <w:t xml:space="preserve">22 </w:t>
      </w:r>
      <w:r>
        <w:t xml:space="preserve">into the land of eternal darkness, where there is no light, nor seeing of life among mortals.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taking up the matter, Zophar</w:t>
      </w:r>
      <w:r>
        <w:rPr>
          <w:rStyle w:val="FootnoteReference"/>
        </w:rPr>
        <w:footnoteReference w:id="10317"/>
      </w:r>
      <w:r>
        <w:t xml:space="preserve"> the Naamathite says,</w:t>
      </w:r>
    </w:p>
    <w:p>
      <w:r>
        <w:rPr>
          <w:b/>
        </w:rPr>
        <w:t xml:space="preserve">2 </w:t>
      </w:r>
      <w:r>
        <w:t xml:space="preserve">Will one who says many things also answer back? Or does wordy man think himself righteous, blessed though born of woman and short-lived?</w:t>
      </w:r>
    </w:p>
    <w:p>
      <w:r>
        <w:rPr>
          <w:b/>
        </w:rPr>
        <w:t xml:space="preserve">3 </w:t>
      </w:r>
      <w:r>
        <w:t xml:space="preserve">Do not become abundant in words, for there is no one answering you.</w:t>
      </w:r>
    </w:p>
    <w:p>
      <w:r>
        <w:rPr>
          <w:b/>
        </w:rPr>
        <w:t xml:space="preserve">4 </w:t>
      </w:r>
      <w:r>
        <w:t xml:space="preserve">For do not say, I am pure in works and blameless before him.</w:t>
      </w:r>
    </w:p>
    <w:p>
      <w:r>
        <w:rPr>
          <w:b/>
        </w:rPr>
        <w:t xml:space="preserve">5 </w:t>
      </w:r>
      <w:r>
        <w:t xml:space="preserve">But how might the Lord speak to you and open his lips with you!</w:t>
      </w:r>
    </w:p>
    <w:p>
      <w:r>
        <w:rPr>
          <w:b/>
        </w:rPr>
        <w:t xml:space="preserve">6 </w:t>
      </w:r>
      <w:r>
        <w:t xml:space="preserve">Then he would declare to you power of wisdom, because they will be double to what is with you. And then you will know that what came to you from the Lord matches what you sinned.</w:t>
      </w:r>
    </w:p>
    <w:p>
      <w:r>
        <w:rPr>
          <w:b/>
        </w:rPr>
        <w:t xml:space="preserve">7 </w:t>
      </w:r>
      <w:r>
        <w:t xml:space="preserve">Will you find track of the Lord, or reach to the ends of what Almighty made?</w:t>
      </w:r>
    </w:p>
    <w:p>
      <w:r>
        <w:rPr>
          <w:b/>
        </w:rPr>
        <w:t xml:space="preserve">8 </w:t>
      </w:r>
      <w:r>
        <w:t xml:space="preserve">Heaven is high; what will you do? Deeper</w:t>
      </w:r>
      <w:r>
        <w:rPr>
          <w:rStyle w:val="FootnoteReference"/>
        </w:rPr>
        <w:footnoteReference w:id="10318"/>
      </w:r>
      <w:r>
        <w:t xml:space="preserve"> than things in Hades; what do you know?</w:t>
      </w:r>
    </w:p>
    <w:p>
      <w:r>
        <w:rPr>
          <w:b/>
        </w:rPr>
        <w:t xml:space="preserve">9 </w:t>
      </w:r>
      <w:r>
        <w:t xml:space="preserve">Longer</w:t>
      </w:r>
      <w:r>
        <w:rPr>
          <w:rStyle w:val="FootnoteReference"/>
        </w:rPr>
        <w:footnoteReference w:id="10319"/>
      </w:r>
      <w:r>
        <w:t xml:space="preserve"> than measure of earth and broader than sea.</w:t>
      </w:r>
    </w:p>
    <w:p>
      <w:r>
        <w:rPr>
          <w:b/>
        </w:rPr>
        <w:t xml:space="preserve">10 </w:t>
      </w:r>
      <w:r>
        <w:t xml:space="preserve">If he overturn all things, who will say to him, What did you do?</w:t>
      </w:r>
    </w:p>
    <w:p>
      <w:r>
        <w:rPr>
          <w:b/>
        </w:rPr>
        <w:t xml:space="preserve">11 </w:t>
      </w:r>
      <w:r>
        <w:t xml:space="preserve">For he knows the works of lawless men, and seeing wrongs he will not overlook.</w:t>
      </w:r>
      <w:r>
        <w:rPr>
          <w:rStyle w:val="FootnoteReference"/>
        </w:rPr>
        <w:footnoteReference w:id="10320"/>
      </w:r>
      <w:r>
        <w:t xml:space="preserve"/>
      </w:r>
    </w:p>
    <w:p>
      <w:r>
        <w:rPr>
          <w:b/>
        </w:rPr>
        <w:t xml:space="preserve">12 </w:t>
      </w:r>
      <w:r>
        <w:t xml:space="preserve">But man drifts vainly in words, and mortal born of woman is like a desert donkey.</w:t>
      </w:r>
    </w:p>
    <w:p>
      <w:r>
        <w:rPr>
          <w:b/>
        </w:rPr>
        <w:t xml:space="preserve">13 </w:t>
      </w:r>
      <w:r>
        <w:t xml:space="preserve">For if you set your heart pure and stretch</w:t>
      </w:r>
      <w:r>
        <w:rPr>
          <w:rStyle w:val="FootnoteReference"/>
        </w:rPr>
        <w:footnoteReference w:id="10321"/>
      </w:r>
      <w:r>
        <w:t xml:space="preserve"> out hands toward him,</w:t>
      </w:r>
    </w:p>
    <w:p>
      <w:r>
        <w:rPr>
          <w:b/>
        </w:rPr>
        <w:t xml:space="preserve">14 </w:t>
      </w:r>
      <w:r>
        <w:t xml:space="preserve">if any lawless thing is in your hands, put it far</w:t>
      </w:r>
      <w:r>
        <w:rPr>
          <w:rStyle w:val="FootnoteReference"/>
        </w:rPr>
        <w:footnoteReference w:id="10322"/>
      </w:r>
      <w:r>
        <w:t xml:space="preserve"> from you, and let not injustice lodge in your dwelling.</w:t>
      </w:r>
    </w:p>
    <w:p>
      <w:r>
        <w:rPr>
          <w:b/>
        </w:rPr>
        <w:t xml:space="preserve">15 </w:t>
      </w:r>
      <w:r>
        <w:t xml:space="preserve">For then your face will shine like pure water, and you will strip off filth and by no means fear.</w:t>
      </w:r>
    </w:p>
    <w:p>
      <w:r>
        <w:rPr>
          <w:b/>
        </w:rPr>
        <w:t xml:space="preserve">16 </w:t>
      </w:r>
      <w:r>
        <w:t xml:space="preserve">And you will forget toil, like a wave that passed by, and you will not be alarmed.</w:t>
      </w:r>
    </w:p>
    <w:p>
      <w:r>
        <w:rPr>
          <w:b/>
        </w:rPr>
        <w:t xml:space="preserve">17 </w:t>
      </w:r>
      <w:r>
        <w:t xml:space="preserve">And your prayer will be like a morning star, and life will rise for you from midday.</w:t>
      </w:r>
    </w:p>
    <w:p>
      <w:r>
        <w:rPr>
          <w:b/>
        </w:rPr>
        <w:t xml:space="preserve">18 </w:t>
      </w:r>
      <w:r>
        <w:t xml:space="preserve">And you will be confident because there is hope for you; and out of care and anxiety peace will appear for you.</w:t>
      </w:r>
    </w:p>
    <w:p>
      <w:r>
        <w:rPr>
          <w:b/>
        </w:rPr>
        <w:t xml:space="preserve">19 </w:t>
      </w:r>
      <w:r>
        <w:t xml:space="preserve">For you will be at rest, and none will make war on you; and many changing course will entreat you.</w:t>
      </w:r>
    </w:p>
    <w:p>
      <w:r>
        <w:rPr>
          <w:b/>
        </w:rPr>
        <w:t xml:space="preserve">20 </w:t>
      </w:r>
      <w:r>
        <w:t xml:space="preserve">But salvation will fail them, for their hope is destruction, and the eyes of the ungodly will melt.</w:t>
      </w:r>
      <w:r>
        <w:rPr>
          <w:rStyle w:val="FootnoteReference"/>
        </w:rPr>
        <w:footnoteReference w:id="10323"/>
      </w:r>
      <w:r>
        <w:t xml:space="preserve"/>
      </w:r>
      <w:r>
        <w:rPr>
          <w:rStyle w:val="FootnoteReference"/>
        </w:rPr>
        <w:footnoteReference w:id="1032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taking up the matter, Job says,</w:t>
      </w:r>
    </w:p>
    <w:p>
      <w:r>
        <w:rPr>
          <w:b/>
        </w:rPr>
        <w:t xml:space="preserve">2 </w:t>
      </w:r>
      <w:r>
        <w:t xml:space="preserve">Then you are men indeed, and wisdom will die with you?</w:t>
      </w:r>
    </w:p>
    <w:p>
      <w:r>
        <w:rPr>
          <w:b/>
        </w:rPr>
        <w:t xml:space="preserve">3 </w:t>
      </w:r>
      <w:r>
        <w:t xml:space="preserve">But I too have heart like you.</w:t>
      </w:r>
    </w:p>
    <w:p>
      <w:r>
        <w:rPr>
          <w:b/>
        </w:rPr>
        <w:t xml:space="preserve">4 </w:t>
      </w:r>
      <w:r>
        <w:t xml:space="preserve">For a righteous and blameless man became an object of mockery.</w:t>
      </w:r>
    </w:p>
    <w:p>
      <w:r>
        <w:rPr>
          <w:b/>
        </w:rPr>
        <w:t xml:space="preserve">5 </w:t>
      </w:r>
      <w:r>
        <w:t xml:space="preserve">For an appointed time was prepared for him to fall under others and for his houses to be plundered by lawless men.</w:t>
      </w:r>
      <w:r>
        <w:rPr>
          <w:rStyle w:val="FootnoteReference"/>
        </w:rPr>
        <w:footnoteReference w:id="10325"/>
      </w:r>
      <w:r>
        <w:t xml:space="preserve"/>
      </w:r>
    </w:p>
    <w:p>
      <w:r>
        <w:rPr>
          <w:b/>
        </w:rPr>
        <w:t xml:space="preserve">6 </w:t>
      </w:r>
      <w:r>
        <w:t xml:space="preserve">Yet let no one, being evil, trust that he will be innocent; all who provoke Lord, is there not examination for them too?</w:t>
      </w:r>
    </w:p>
    <w:p>
      <w:r>
        <w:rPr>
          <w:b/>
        </w:rPr>
        <w:t xml:space="preserve">7 </w:t>
      </w:r>
      <w:r>
        <w:t xml:space="preserve">But now ask beasts, if they will tell you, and birds of heaven, if they will report to you.</w:t>
      </w:r>
    </w:p>
    <w:p>
      <w:r>
        <w:rPr>
          <w:b/>
        </w:rPr>
        <w:t xml:space="preserve">8 </w:t>
      </w:r>
      <w:r>
        <w:t xml:space="preserve">Or tell earth, if it should explain to you, and fish of the sea will recount to you.</w:t>
      </w:r>
    </w:p>
    <w:p>
      <w:r>
        <w:rPr>
          <w:b/>
        </w:rPr>
        <w:t xml:space="preserve">9 </w:t>
      </w:r>
      <w:r>
        <w:t xml:space="preserve">Who does not know in all these that the hand</w:t>
      </w:r>
      <w:r>
        <w:rPr>
          <w:rStyle w:val="FootnoteReference"/>
        </w:rPr>
        <w:footnoteReference w:id="10326"/>
      </w:r>
      <w:r>
        <w:t xml:space="preserve"> of the Lord made these things,</w:t>
      </w:r>
    </w:p>
    <w:p>
      <w:r>
        <w:rPr>
          <w:b/>
        </w:rPr>
        <w:t xml:space="preserve">10 </w:t>
      </w:r>
      <w:r>
        <w:t xml:space="preserve">if not that in his hand is the soul of every living thing and breath of every human?</w:t>
      </w:r>
    </w:p>
    <w:p>
      <w:r>
        <w:rPr>
          <w:b/>
        </w:rPr>
        <w:t xml:space="preserve">11 </w:t>
      </w:r>
      <w:r>
        <w:t xml:space="preserve">For throat discerns words, and palate tastes foods.</w:t>
      </w:r>
    </w:p>
    <w:p>
      <w:r>
        <w:rPr>
          <w:b/>
        </w:rPr>
        <w:t xml:space="preserve">12 </w:t>
      </w:r>
      <w:r>
        <w:t xml:space="preserve">In much time is wisdom, and in long life knowledge.</w:t>
      </w:r>
    </w:p>
    <w:p>
      <w:r>
        <w:rPr>
          <w:b/>
        </w:rPr>
        <w:t xml:space="preserve">13 </w:t>
      </w:r>
      <w:r>
        <w:t xml:space="preserve">With him are wisdom</w:t>
      </w:r>
      <w:r>
        <w:rPr>
          <w:rStyle w:val="FootnoteReference"/>
        </w:rPr>
        <w:footnoteReference w:id="10327"/>
      </w:r>
      <w:r>
        <w:t xml:space="preserve"> and power; with him counsel and understanding.</w:t>
      </w:r>
    </w:p>
    <w:p>
      <w:r>
        <w:rPr>
          <w:b/>
        </w:rPr>
        <w:t xml:space="preserve">14 </w:t>
      </w:r>
      <w:r>
        <w:t xml:space="preserve">If he throws down, who will build? If he shuts against men, who will open?</w:t>
      </w:r>
    </w:p>
    <w:p>
      <w:r>
        <w:rPr>
          <w:b/>
        </w:rPr>
        <w:t xml:space="preserve">15 </w:t>
      </w:r>
      <w:r>
        <w:t xml:space="preserve">If he hold back water, he will dry earth; if he let it loose, he ruined it by overthrowing.</w:t>
      </w:r>
    </w:p>
    <w:p>
      <w:r>
        <w:rPr>
          <w:b/>
        </w:rPr>
        <w:t xml:space="preserve">16 </w:t>
      </w:r>
      <w:r>
        <w:t xml:space="preserve">With him are might and strength; with him knowledge and understanding.</w:t>
      </w:r>
    </w:p>
    <w:p>
      <w:r>
        <w:rPr>
          <w:b/>
        </w:rPr>
        <w:t xml:space="preserve">17 </w:t>
      </w:r>
      <w:r>
        <w:t xml:space="preserve">Leading counselors away captive, he drove judges of earth mad.</w:t>
      </w:r>
    </w:p>
    <w:p>
      <w:r>
        <w:rPr>
          <w:b/>
        </w:rPr>
        <w:t xml:space="preserve">18 </w:t>
      </w:r>
      <w:r>
        <w:t xml:space="preserve">Setting kings on thrones, he bound belt around their loins.</w:t>
      </w:r>
    </w:p>
    <w:p>
      <w:r>
        <w:rPr>
          <w:b/>
        </w:rPr>
        <w:t xml:space="preserve">19 </w:t>
      </w:r>
      <w:r>
        <w:t xml:space="preserve">Sending priests away captive, he overthrew rulers of the earth.</w:t>
      </w:r>
    </w:p>
    <w:p>
      <w:r>
        <w:rPr>
          <w:b/>
        </w:rPr>
        <w:t xml:space="preserve">20 </w:t>
      </w:r>
      <w:r>
        <w:t xml:space="preserve">Changing lips of faithful men, he takes away understanding of elders.</w:t>
      </w:r>
    </w:p>
    <w:p>
      <w:r>
        <w:rPr>
          <w:b/>
        </w:rPr>
        <w:t xml:space="preserve">21 </w:t>
      </w:r>
      <w:r>
        <w:t xml:space="preserve">Pouring dishonor on rulers, but healing humble ones.</w:t>
      </w:r>
    </w:p>
    <w:p>
      <w:r>
        <w:rPr>
          <w:b/>
        </w:rPr>
        <w:t xml:space="preserve">22 </w:t>
      </w:r>
      <w:r>
        <w:t xml:space="preserve">Revealing deep things from darkness, and bringing the shadow of death into light.</w:t>
      </w:r>
    </w:p>
    <w:p>
      <w:r>
        <w:rPr>
          <w:b/>
        </w:rPr>
        <w:t xml:space="preserve">23 </w:t>
      </w:r>
      <w:r>
        <w:t xml:space="preserve">Leading nations astray and destroying them, spreading out nations and guiding them.</w:t>
      </w:r>
    </w:p>
    <w:p>
      <w:r>
        <w:rPr>
          <w:b/>
        </w:rPr>
        <w:t xml:space="preserve">24 </w:t>
      </w:r>
      <w:r>
        <w:t xml:space="preserve">Changing hearts of rulers of the earth, he led them astray in path they did not know.</w:t>
      </w:r>
    </w:p>
    <w:p>
      <w:r>
        <w:rPr>
          <w:b/>
        </w:rPr>
        <w:t xml:space="preserve">25 </w:t>
      </w:r>
      <w:r>
        <w:t xml:space="preserve">Let them grope</w:t>
      </w:r>
      <w:r>
        <w:rPr>
          <w:rStyle w:val="FootnoteReference"/>
        </w:rPr>
        <w:footnoteReference w:id="10328"/>
      </w:r>
      <w:r>
        <w:t xml:space="preserve"> darkness and not light, and let them wander like a drunkard.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Behold, my eye has seen these things, and my ear heard them.</w:t>
      </w:r>
    </w:p>
    <w:p>
      <w:r>
        <w:rPr>
          <w:b/>
        </w:rPr>
        <w:t xml:space="preserve">2 </w:t>
      </w:r>
      <w:r>
        <w:t xml:space="preserve">What you know, I also know; I am not less understanding than you.</w:t>
      </w:r>
    </w:p>
    <w:p>
      <w:r>
        <w:rPr>
          <w:b/>
        </w:rPr>
        <w:t xml:space="preserve">3 </w:t>
      </w:r>
      <w:r>
        <w:t xml:space="preserve">But indeed I will speak to the Lord, and if he wishes I will reason before him.</w:t>
      </w:r>
    </w:p>
    <w:p>
      <w:r>
        <w:rPr>
          <w:b/>
        </w:rPr>
        <w:t xml:space="preserve">4 </w:t>
      </w:r>
      <w:r>
        <w:t xml:space="preserve">But you are unjust physicians</w:t>
      </w:r>
      <w:r>
        <w:rPr>
          <w:rStyle w:val="FootnoteReference"/>
        </w:rPr>
        <w:footnoteReference w:id="10329"/>
      </w:r>
      <w:r>
        <w:t xml:space="preserve"> and healers of evils, all of you.</w:t>
      </w:r>
    </w:p>
    <w:p>
      <w:r>
        <w:rPr>
          <w:b/>
        </w:rPr>
        <w:t xml:space="preserve">5 </w:t>
      </w:r>
      <w:r>
        <w:t xml:space="preserve">If only you would be silent, and it</w:t>
      </w:r>
      <w:r>
        <w:rPr>
          <w:rStyle w:val="FootnoteReference"/>
        </w:rPr>
        <w:footnoteReference w:id="10330"/>
      </w:r>
      <w:r>
        <w:t xml:space="preserve"> would turn out to be wisdom for you.</w:t>
      </w:r>
    </w:p>
    <w:p>
      <w:r>
        <w:rPr>
          <w:b/>
        </w:rPr>
        <w:t xml:space="preserve">6 </w:t>
      </w:r>
      <w:r>
        <w:t xml:space="preserve">Hear correction of my mouth, and give attention to the judgment of my lips.</w:t>
      </w:r>
    </w:p>
    <w:p>
      <w:r>
        <w:rPr>
          <w:b/>
        </w:rPr>
        <w:t xml:space="preserve">7 </w:t>
      </w:r>
      <w:r>
        <w:t xml:space="preserve">Do you not speak before the Lord, and utter deceit before him?</w:t>
      </w:r>
    </w:p>
    <w:p>
      <w:r>
        <w:rPr>
          <w:b/>
        </w:rPr>
        <w:t xml:space="preserve">8 </w:t>
      </w:r>
      <w:r>
        <w:t xml:space="preserve">Will you shrink back, and become judges yourselves?</w:t>
      </w:r>
    </w:p>
    <w:p>
      <w:r>
        <w:rPr>
          <w:b/>
        </w:rPr>
        <w:t xml:space="preserve">9 </w:t>
      </w:r>
      <w:r>
        <w:t xml:space="preserve">It will indeed be good if he searches you out, if in doing all things you attach yourselves to him?</w:t>
      </w:r>
    </w:p>
    <w:p>
      <w:r>
        <w:rPr>
          <w:b/>
        </w:rPr>
        <w:t xml:space="preserve">10 </w:t>
      </w:r>
      <w:r>
        <w:t xml:space="preserve">Yet he will surely reprove</w:t>
      </w:r>
      <w:r>
        <w:rPr>
          <w:rStyle w:val="FootnoteReference"/>
        </w:rPr>
        <w:footnoteReference w:id="10331"/>
      </w:r>
      <w:r>
        <w:t xml:space="preserve"> you, even if in secret you admire faces.</w:t>
      </w:r>
    </w:p>
    <w:p>
      <w:r>
        <w:rPr>
          <w:b/>
        </w:rPr>
        <w:t xml:space="preserve">11 </w:t>
      </w:r>
      <w:r>
        <w:t xml:space="preserve">Will not his terrors whirl you, and fear from him fall upon you?</w:t>
      </w:r>
    </w:p>
    <w:p>
      <w:r>
        <w:rPr>
          <w:b/>
        </w:rPr>
        <w:t xml:space="preserve">12 </w:t>
      </w:r>
      <w:r>
        <w:t xml:space="preserve">Your boasting will turn out equal to ashes</w:t>
      </w:r>
      <w:r>
        <w:rPr>
          <w:rStyle w:val="FootnoteReference"/>
        </w:rPr>
        <w:footnoteReference w:id="10332"/>
      </w:r>
      <w:r>
        <w:t xml:space="preserve">, and body to clay.</w:t>
      </w:r>
    </w:p>
    <w:p>
      <w:r>
        <w:rPr>
          <w:b/>
        </w:rPr>
        <w:t xml:space="preserve">13 </w:t>
      </w:r>
      <w:r>
        <w:t xml:space="preserve">Be silent, so I may speak, and let wrath rest from me.</w:t>
      </w:r>
    </w:p>
    <w:p>
      <w:r>
        <w:rPr>
          <w:b/>
        </w:rPr>
        <w:t xml:space="preserve">14 </w:t>
      </w:r>
      <w:r>
        <w:t xml:space="preserve">Taking my flesh in my teeth, I will put my soul in my hand.</w:t>
      </w:r>
    </w:p>
    <w:p>
      <w:r>
        <w:rPr>
          <w:b/>
        </w:rPr>
        <w:t xml:space="preserve">15 </w:t>
      </w:r>
      <w:r>
        <w:t xml:space="preserve">If Mighty One should lay hand on me, since he has begun, yet I will speak and reason before him.</w:t>
      </w:r>
    </w:p>
    <w:p>
      <w:r>
        <w:rPr>
          <w:b/>
        </w:rPr>
        <w:t xml:space="preserve">16 </w:t>
      </w:r>
      <w:r>
        <w:t xml:space="preserve">And this will turn out for me into salvation, for deceit will not enter before him.</w:t>
      </w:r>
    </w:p>
    <w:p>
      <w:r>
        <w:rPr>
          <w:b/>
        </w:rPr>
        <w:t xml:space="preserve">17 </w:t>
      </w:r>
      <w:r>
        <w:t xml:space="preserve">Hear, hear my words, for I will declare with you listening.</w:t>
      </w:r>
    </w:p>
    <w:p>
      <w:r>
        <w:rPr>
          <w:b/>
        </w:rPr>
        <w:t xml:space="preserve">18 </w:t>
      </w:r>
      <w:r>
        <w:t xml:space="preserve">Behold, I am near my judgment; I know that I will appear righteous.</w:t>
      </w:r>
    </w:p>
    <w:p>
      <w:r>
        <w:rPr>
          <w:b/>
        </w:rPr>
        <w:t xml:space="preserve">19 </w:t>
      </w:r>
      <w:r>
        <w:t xml:space="preserve">For who is he that will contend with me? Then I would be silent and expire.</w:t>
      </w:r>
    </w:p>
    <w:p>
      <w:r>
        <w:rPr>
          <w:b/>
        </w:rPr>
        <w:t xml:space="preserve">20 </w:t>
      </w:r>
      <w:r>
        <w:t xml:space="preserve">But use two things toward me; then I will not hide from your face.</w:t>
      </w:r>
    </w:p>
    <w:p>
      <w:r>
        <w:rPr>
          <w:b/>
        </w:rPr>
        <w:t xml:space="preserve">21 </w:t>
      </w:r>
      <w:r>
        <w:t xml:space="preserve">Hold back your hand from me, and let not</w:t>
      </w:r>
      <w:r>
        <w:rPr>
          <w:rStyle w:val="FootnoteReference"/>
        </w:rPr>
        <w:footnoteReference w:id="10333"/>
      </w:r>
      <w:r>
        <w:t xml:space="preserve"> your fear terrify me.</w:t>
      </w:r>
    </w:p>
    <w:p>
      <w:r>
        <w:rPr>
          <w:b/>
        </w:rPr>
        <w:t xml:space="preserve">22 </w:t>
      </w:r>
      <w:r>
        <w:t xml:space="preserve">Then you will call, and I will answer you; or you will speak, and I will give you reply.</w:t>
      </w:r>
    </w:p>
    <w:p>
      <w:r>
        <w:rPr>
          <w:b/>
        </w:rPr>
        <w:t xml:space="preserve">23 </w:t>
      </w:r>
      <w:r>
        <w:t xml:space="preserve">How many are my sins and lawless acts? Teach me what they are.</w:t>
      </w:r>
    </w:p>
    <w:p>
      <w:r>
        <w:rPr>
          <w:b/>
        </w:rPr>
        <w:t xml:space="preserve">24 </w:t>
      </w:r>
      <w:r>
        <w:t xml:space="preserve">Why do you hide from me and count me your opponent?</w:t>
      </w:r>
    </w:p>
    <w:p>
      <w:r>
        <w:rPr>
          <w:b/>
        </w:rPr>
        <w:t xml:space="preserve">25 </w:t>
      </w:r>
      <w:r>
        <w:t xml:space="preserve">Will you fear leaf moved by wind, or oppose me as grass carried by breath?</w:t>
      </w:r>
    </w:p>
    <w:p>
      <w:r>
        <w:rPr>
          <w:b/>
        </w:rPr>
        <w:t xml:space="preserve">26 </w:t>
      </w:r>
      <w:r>
        <w:t xml:space="preserve">For you wrote bitter things against me and laid on me sins of youth.</w:t>
      </w:r>
    </w:p>
    <w:p>
      <w:r>
        <w:rPr>
          <w:b/>
        </w:rPr>
        <w:t xml:space="preserve">27 </w:t>
      </w:r>
      <w:r>
        <w:t xml:space="preserve">You put my foot in restraint, and watched all my works, and came up to roots of my feet.</w:t>
      </w:r>
    </w:p>
    <w:p>
      <w:r>
        <w:rPr>
          <w:b/>
        </w:rPr>
        <w:t xml:space="preserve">28 </w:t>
      </w:r>
      <w:r>
        <w:t xml:space="preserve">And I grow old like a skin-bag, like a garment eaten by moth.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Mortal born</w:t>
      </w:r>
      <w:r>
        <w:rPr>
          <w:rStyle w:val="FootnoteReference"/>
        </w:rPr>
        <w:footnoteReference w:id="10334"/>
      </w:r>
      <w:r>
        <w:t xml:space="preserve"> of woman, short-lived and full of wrath.</w:t>
      </w:r>
    </w:p>
    <w:p>
      <w:r>
        <w:rPr>
          <w:b/>
        </w:rPr>
        <w:t xml:space="preserve">2 </w:t>
      </w:r>
      <w:r>
        <w:t xml:space="preserve">Like a flower blooming he fell off; he fled like a shadow and will not stand.</w:t>
      </w:r>
    </w:p>
    <w:p>
      <w:r>
        <w:rPr>
          <w:b/>
        </w:rPr>
        <w:t xml:space="preserve">3 </w:t>
      </w:r>
      <w:r>
        <w:t xml:space="preserve">And on this one you made account, and this one you caused to enter judgment before you?</w:t>
      </w:r>
    </w:p>
    <w:p>
      <w:r>
        <w:rPr>
          <w:b/>
        </w:rPr>
        <w:t xml:space="preserve">4 </w:t>
      </w:r>
      <w:r>
        <w:t xml:space="preserve">For who will be clean from defilement? No one.</w:t>
      </w:r>
    </w:p>
    <w:p>
      <w:r>
        <w:rPr>
          <w:b/>
        </w:rPr>
        <w:t xml:space="preserve">5 </w:t>
      </w:r>
      <w:r>
        <w:t xml:space="preserve">Even if his life is one day on earth, and his months beyond number are with you, you set him a time and he will not pass it.</w:t>
      </w:r>
    </w:p>
    <w:p>
      <w:r>
        <w:rPr>
          <w:b/>
        </w:rPr>
        <w:t xml:space="preserve">6 </w:t>
      </w:r>
      <w:r>
        <w:t xml:space="preserve">Depart from him, that he may rest and take pleasure in his life like a hired man.</w:t>
      </w:r>
    </w:p>
    <w:p>
      <w:r>
        <w:rPr>
          <w:b/>
        </w:rPr>
        <w:t xml:space="preserve">7 </w:t>
      </w:r>
      <w:r>
        <w:t xml:space="preserve">For there is hope for tree: if it be cut down, it will bloom again, and its shoot will not fail.</w:t>
      </w:r>
    </w:p>
    <w:p>
      <w:r>
        <w:rPr>
          <w:b/>
        </w:rPr>
        <w:t xml:space="preserve">8 </w:t>
      </w:r>
      <w:r>
        <w:t xml:space="preserve">If its root should grow old in earth and its stump die in rock,</w:t>
      </w:r>
    </w:p>
    <w:p>
      <w:r>
        <w:rPr>
          <w:b/>
        </w:rPr>
        <w:t xml:space="preserve">9 </w:t>
      </w:r>
      <w:r>
        <w:t xml:space="preserve">by scent of water it will blossom and make harvest like young plant.</w:t>
      </w:r>
    </w:p>
    <w:p>
      <w:r>
        <w:rPr>
          <w:b/>
        </w:rPr>
        <w:t xml:space="preserve">10 </w:t>
      </w:r>
      <w:r>
        <w:t xml:space="preserve">But man, having died, is gone; and mortal, having fallen, is no more.</w:t>
      </w:r>
    </w:p>
    <w:p>
      <w:r>
        <w:rPr>
          <w:b/>
        </w:rPr>
        <w:t xml:space="preserve">11 </w:t>
      </w:r>
      <w:r>
        <w:t xml:space="preserve">For in time sea grows scarce, and river, having deserted, dried up.</w:t>
      </w:r>
    </w:p>
    <w:p>
      <w:r>
        <w:rPr>
          <w:b/>
        </w:rPr>
        <w:t xml:space="preserve">12 </w:t>
      </w:r>
      <w:r>
        <w:t xml:space="preserve">So man</w:t>
      </w:r>
      <w:r>
        <w:rPr>
          <w:rStyle w:val="FootnoteReference"/>
        </w:rPr>
        <w:footnoteReference w:id="10335"/>
      </w:r>
      <w:r>
        <w:t xml:space="preserve">, having fallen asleep, will certainly not rise until heaven is stitched together. They will not be awakened from their sleep.</w:t>
      </w:r>
    </w:p>
    <w:p>
      <w:r>
        <w:rPr>
          <w:b/>
        </w:rPr>
        <w:t xml:space="preserve">13 </w:t>
      </w:r>
      <w:r>
        <w:t xml:space="preserve">If only you had kept me in Hades and hidden me until your wrath ceased, and set me a time in which you would remember</w:t>
      </w:r>
      <w:r>
        <w:rPr>
          <w:rStyle w:val="FootnoteReference"/>
        </w:rPr>
        <w:footnoteReference w:id="10336"/>
      </w:r>
      <w:r>
        <w:t xml:space="preserve"> me.</w:t>
      </w:r>
    </w:p>
    <w:p>
      <w:r>
        <w:rPr>
          <w:b/>
        </w:rPr>
        <w:t xml:space="preserve">14 </w:t>
      </w:r>
      <w:r>
        <w:t xml:space="preserve">For if man die, will he live again? Having completed days of my life, I wait until I become again.</w:t>
      </w:r>
    </w:p>
    <w:p>
      <w:r>
        <w:rPr>
          <w:b/>
        </w:rPr>
        <w:t xml:space="preserve">15 </w:t>
      </w:r>
      <w:r>
        <w:t xml:space="preserve">Then you will call, and I will listen to you. Do not reject works of your hands.</w:t>
      </w:r>
    </w:p>
    <w:p>
      <w:r>
        <w:rPr>
          <w:b/>
        </w:rPr>
        <w:t xml:space="preserve">16 </w:t>
      </w:r>
      <w:r>
        <w:t xml:space="preserve">You counted my practices, and none of my sins will escape you.</w:t>
      </w:r>
    </w:p>
    <w:p>
      <w:r>
        <w:rPr>
          <w:b/>
        </w:rPr>
        <w:t xml:space="preserve">17 </w:t>
      </w:r>
      <w:r>
        <w:t xml:space="preserve">You sealed my lawless acts in purse, and marked if in anything I transgressed unwillingly.</w:t>
      </w:r>
    </w:p>
    <w:p>
      <w:r>
        <w:rPr>
          <w:b/>
        </w:rPr>
        <w:t xml:space="preserve">18 </w:t>
      </w:r>
      <w:r>
        <w:t xml:space="preserve">Yet mountain falling will collapse, and rock will grow old out of its place.</w:t>
      </w:r>
    </w:p>
    <w:p>
      <w:r>
        <w:rPr>
          <w:b/>
        </w:rPr>
        <w:t xml:space="preserve">19 </w:t>
      </w:r>
      <w:r>
        <w:t xml:space="preserve">Waters wore stones smooth, and waters flooded dust of the earth, and you destroyed hope of man.</w:t>
      </w:r>
    </w:p>
    <w:p>
      <w:r>
        <w:rPr>
          <w:b/>
        </w:rPr>
        <w:t xml:space="preserve">20 </w:t>
      </w:r>
      <w:r>
        <w:t xml:space="preserve">Pushing him to end, he is gone; you set his face and sent him away.</w:t>
      </w:r>
    </w:p>
    <w:p>
      <w:r>
        <w:rPr>
          <w:b/>
        </w:rPr>
        <w:t xml:space="preserve">21 </w:t>
      </w:r>
      <w:r>
        <w:t xml:space="preserve">If his sons become many, he does not know; if they become few, he is not aware.</w:t>
      </w:r>
    </w:p>
    <w:p>
      <w:r>
        <w:rPr>
          <w:b/>
        </w:rPr>
        <w:t xml:space="preserve">22 </w:t>
      </w:r>
      <w:r>
        <w:t xml:space="preserve">But his flesh</w:t>
      </w:r>
      <w:r>
        <w:rPr>
          <w:rStyle w:val="FootnoteReference"/>
        </w:rPr>
        <w:footnoteReference w:id="10337"/>
      </w:r>
      <w:r>
        <w:t xml:space="preserve"> grieved, and his soul mourned.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taking up the matter, Eliphaz</w:t>
      </w:r>
      <w:r>
        <w:rPr>
          <w:rStyle w:val="FootnoteReference"/>
        </w:rPr>
        <w:footnoteReference w:id="10338"/>
      </w:r>
      <w:r>
        <w:t xml:space="preserve"> the Temanite says,</w:t>
      </w:r>
    </w:p>
    <w:p>
      <w:r>
        <w:rPr>
          <w:b/>
        </w:rPr>
        <w:t xml:space="preserve">2 </w:t>
      </w:r>
      <w:r>
        <w:t xml:space="preserve">Will wise man give answer of understanding's spirit, and fill</w:t>
      </w:r>
      <w:r>
        <w:rPr>
          <w:rStyle w:val="FootnoteReference"/>
        </w:rPr>
        <w:footnoteReference w:id="10339"/>
      </w:r>
      <w:r>
        <w:t xml:space="preserve"> belly with pain?</w:t>
      </w:r>
    </w:p>
    <w:p>
      <w:r>
        <w:rPr>
          <w:b/>
        </w:rPr>
        <w:t xml:space="preserve">3 </w:t>
      </w:r>
      <w:r>
        <w:t xml:space="preserve">Reproving with words that are not needed, and speeches with no profit.</w:t>
      </w:r>
    </w:p>
    <w:p>
      <w:r>
        <w:rPr>
          <w:b/>
        </w:rPr>
        <w:t xml:space="preserve">4 </w:t>
      </w:r>
      <w:r>
        <w:t xml:space="preserve">Indeed you cast off fear and brought such words to completion before the Lord.</w:t>
      </w:r>
    </w:p>
    <w:p>
      <w:r>
        <w:rPr>
          <w:b/>
        </w:rPr>
        <w:t xml:space="preserve">5 </w:t>
      </w:r>
      <w:r>
        <w:t xml:space="preserve">You are guilty by the words of your mouth, nor did you discern words of mighty men.</w:t>
      </w:r>
    </w:p>
    <w:p>
      <w:r>
        <w:rPr>
          <w:b/>
        </w:rPr>
        <w:t xml:space="preserve">6 </w:t>
      </w:r>
      <w:r>
        <w:t xml:space="preserve">Your own mouth</w:t>
      </w:r>
      <w:r>
        <w:rPr>
          <w:rStyle w:val="FootnoteReference"/>
        </w:rPr>
        <w:footnoteReference w:id="10340"/>
      </w:r>
      <w:r>
        <w:t xml:space="preserve"> will reprove you, not I; your lips will testify against you.</w:t>
      </w:r>
    </w:p>
    <w:p>
      <w:r>
        <w:rPr>
          <w:b/>
        </w:rPr>
        <w:t xml:space="preserve">7 </w:t>
      </w:r>
      <w:r>
        <w:t xml:space="preserve">For were you first of men to be born, or were you fixed in place before hills?</w:t>
      </w:r>
    </w:p>
    <w:p>
      <w:r>
        <w:rPr>
          <w:b/>
        </w:rPr>
        <w:t xml:space="preserve">8 </w:t>
      </w:r>
      <w:r>
        <w:t xml:space="preserve">Did you hear ordinance of the Lord, and did wisdom reach to you alone?</w:t>
      </w:r>
    </w:p>
    <w:p>
      <w:r>
        <w:rPr>
          <w:b/>
        </w:rPr>
        <w:t xml:space="preserve">9 </w:t>
      </w:r>
      <w:r>
        <w:t xml:space="preserve">For what do you know that we do not know? What do you understand that is not also with us?</w:t>
      </w:r>
    </w:p>
    <w:p>
      <w:r>
        <w:rPr>
          <w:b/>
        </w:rPr>
        <w:t xml:space="preserve">10 </w:t>
      </w:r>
      <w:r>
        <w:t xml:space="preserve">Both gray-haired and aged men are among us, heavier in days than your father.</w:t>
      </w:r>
    </w:p>
    <w:p>
      <w:r>
        <w:rPr>
          <w:b/>
        </w:rPr>
        <w:t xml:space="preserve">11 </w:t>
      </w:r>
      <w:r>
        <w:t xml:space="preserve">For little things in which you sinned you were chastised greatly; you spoke excessively beyond measure.</w:t>
      </w:r>
    </w:p>
    <w:p>
      <w:r>
        <w:rPr>
          <w:b/>
        </w:rPr>
        <w:t xml:space="preserve">12 </w:t>
      </w:r>
      <w:r>
        <w:t xml:space="preserve">What did your heart dare, and what did your eyes bring on?</w:t>
      </w:r>
    </w:p>
    <w:p>
      <w:r>
        <w:rPr>
          <w:b/>
        </w:rPr>
        <w:t xml:space="preserve">13 </w:t>
      </w:r>
      <w:r>
        <w:t xml:space="preserve">That you burst out wrath against the Lord and brought out such words from your mouth.</w:t>
      </w:r>
    </w:p>
    <w:p>
      <w:r>
        <w:rPr>
          <w:b/>
        </w:rPr>
        <w:t xml:space="preserve">14 </w:t>
      </w:r>
      <w:r>
        <w:t xml:space="preserve">For what is mortal, that he will be blameless? Or how will one born of woman be righteous?</w:t>
      </w:r>
    </w:p>
    <w:p>
      <w:r>
        <w:rPr>
          <w:b/>
        </w:rPr>
        <w:t xml:space="preserve">15 </w:t>
      </w:r>
      <w:r>
        <w:t xml:space="preserve">If he does not trust his holy ones, and heaven is not clean before him,</w:t>
      </w:r>
    </w:p>
    <w:p>
      <w:r>
        <w:rPr>
          <w:b/>
        </w:rPr>
        <w:t xml:space="preserve">16 </w:t>
      </w:r>
      <w:r>
        <w:t xml:space="preserve">how much more abominable</w:t>
      </w:r>
      <w:r>
        <w:rPr>
          <w:rStyle w:val="FootnoteReference"/>
        </w:rPr>
        <w:footnoteReference w:id="10341"/>
      </w:r>
      <w:r>
        <w:t xml:space="preserve"> and unclean is man, drinking injustice like drink.</w:t>
      </w:r>
    </w:p>
    <w:p>
      <w:r>
        <w:rPr>
          <w:b/>
        </w:rPr>
        <w:t xml:space="preserve">17 </w:t>
      </w:r>
      <w:r>
        <w:t xml:space="preserve">But I will declare to you; hear me</w:t>
      </w:r>
      <w:r>
        <w:rPr>
          <w:rStyle w:val="FootnoteReference"/>
        </w:rPr>
        <w:footnoteReference w:id="10342"/>
      </w:r>
      <w:r>
        <w:t xml:space="preserve">. What things I indeed have seen, I will tell you,</w:t>
      </w:r>
    </w:p>
    <w:p>
      <w:r>
        <w:rPr>
          <w:b/>
        </w:rPr>
        <w:t xml:space="preserve">18 </w:t>
      </w:r>
      <w:r>
        <w:t xml:space="preserve">what wise men will say and did not hide from their</w:t>
      </w:r>
      <w:r>
        <w:rPr>
          <w:rStyle w:val="FootnoteReference"/>
        </w:rPr>
        <w:footnoteReference w:id="10343"/>
      </w:r>
      <w:r>
        <w:t xml:space="preserve"> fathers.</w:t>
      </w:r>
    </w:p>
    <w:p>
      <w:r>
        <w:rPr>
          <w:b/>
        </w:rPr>
        <w:t xml:space="preserve">19 </w:t>
      </w:r>
      <w:r>
        <w:t xml:space="preserve">To them alone earth was given, and foreigner did not come upon them.</w:t>
      </w:r>
    </w:p>
    <w:p>
      <w:r>
        <w:rPr>
          <w:b/>
        </w:rPr>
        <w:t xml:space="preserve">20 </w:t>
      </w:r>
      <w:r>
        <w:t xml:space="preserve">All the life of the ungodly is in care, and numbered years are given to a tyrant.</w:t>
      </w:r>
      <w:r>
        <w:rPr>
          <w:rStyle w:val="FootnoteReference"/>
        </w:rPr>
        <w:footnoteReference w:id="10344"/>
      </w:r>
      <w:r>
        <w:t xml:space="preserve"/>
      </w:r>
    </w:p>
    <w:p>
      <w:r>
        <w:rPr>
          <w:b/>
        </w:rPr>
        <w:t xml:space="preserve">21 </w:t>
      </w:r>
      <w:r>
        <w:t xml:space="preserve">Fear is in his ears; when he thinks he is at peace, destruction will come on him.</w:t>
      </w:r>
    </w:p>
    <w:p>
      <w:r>
        <w:rPr>
          <w:b/>
        </w:rPr>
        <w:t xml:space="preserve">22 </w:t>
      </w:r>
      <w:r>
        <w:t xml:space="preserve">Let him not believe he will turn back from darkness, for he is already appointed into the hands of iron.</w:t>
      </w:r>
    </w:p>
    <w:p>
      <w:r>
        <w:rPr>
          <w:b/>
        </w:rPr>
        <w:t xml:space="preserve">23 </w:t>
      </w:r>
      <w:r>
        <w:t xml:space="preserve">He is appointed for vultures as food; he knows in himself that he remains for corpse, and dark day will whirl him.</w:t>
      </w:r>
    </w:p>
    <w:p>
      <w:r>
        <w:rPr>
          <w:b/>
        </w:rPr>
        <w:t xml:space="preserve">24 </w:t>
      </w:r>
      <w:r>
        <w:t xml:space="preserve">Necessity and distress will hold him, like commanding general falling in front rank.</w:t>
      </w:r>
    </w:p>
    <w:p>
      <w:r>
        <w:rPr>
          <w:b/>
        </w:rPr>
        <w:t xml:space="preserve">25 </w:t>
      </w:r>
      <w:r>
        <w:t xml:space="preserve">Because he raised hands against the Lord and stiffened neck against the Lord Almighty.</w:t>
      </w:r>
    </w:p>
    <w:p>
      <w:r>
        <w:rPr>
          <w:b/>
        </w:rPr>
        <w:t xml:space="preserve">26 </w:t>
      </w:r>
      <w:r>
        <w:t xml:space="preserve">He ran against him in insolence, in thickness of hump of his shield.</w:t>
      </w:r>
    </w:p>
    <w:p>
      <w:r>
        <w:rPr>
          <w:b/>
        </w:rPr>
        <w:t xml:space="preserve">27 </w:t>
      </w:r>
      <w:r>
        <w:t xml:space="preserve">Because he covered his face in his fat, and made collar upon thighs.</w:t>
      </w:r>
    </w:p>
    <w:p>
      <w:r>
        <w:rPr>
          <w:b/>
        </w:rPr>
        <w:t xml:space="preserve">28 </w:t>
      </w:r>
      <w:r>
        <w:t xml:space="preserve">Let him lodge in deserted cities, and enter uninhabited houses; what those men prepared, others will carry off.</w:t>
      </w:r>
    </w:p>
    <w:p>
      <w:r>
        <w:rPr>
          <w:b/>
        </w:rPr>
        <w:t xml:space="preserve">29 </w:t>
      </w:r>
      <w:r>
        <w:t xml:space="preserve">He will by no means grow rich, nor will his possessions remain; his shadow will not fall on earth.</w:t>
      </w:r>
    </w:p>
    <w:p>
      <w:r>
        <w:rPr>
          <w:b/>
        </w:rPr>
        <w:t xml:space="preserve">30 </w:t>
      </w:r>
      <w:r>
        <w:t xml:space="preserve">Nor will he escape darkness; wind will wither his shoot, and his flower will fall off.</w:t>
      </w:r>
    </w:p>
    <w:p>
      <w:r>
        <w:rPr>
          <w:b/>
        </w:rPr>
        <w:t xml:space="preserve">31 </w:t>
      </w:r>
      <w:r>
        <w:t xml:space="preserve">Let him not believe he endures, for empty things will turn out for him.</w:t>
      </w:r>
    </w:p>
    <w:p>
      <w:r>
        <w:rPr>
          <w:b/>
        </w:rPr>
        <w:t xml:space="preserve">32 </w:t>
      </w:r>
      <w:r>
        <w:t xml:space="preserve">His cutting-down will be completed before its time, and his shoot will not flourish.</w:t>
      </w:r>
    </w:p>
    <w:p>
      <w:r>
        <w:rPr>
          <w:b/>
        </w:rPr>
        <w:t xml:space="preserve">33 </w:t>
      </w:r>
      <w:r>
        <w:t xml:space="preserve">Let him be harvested like unripe grape before its time, and fall off like a flower of olive.</w:t>
      </w:r>
    </w:p>
    <w:p>
      <w:r>
        <w:rPr>
          <w:b/>
        </w:rPr>
        <w:t xml:space="preserve">34 </w:t>
      </w:r>
      <w:r>
        <w:t xml:space="preserve">For the witness of the ungodly is death, and fire will burn houses of gift-takers.</w:t>
      </w:r>
      <w:r>
        <w:rPr>
          <w:rStyle w:val="FootnoteReference"/>
        </w:rPr>
        <w:footnoteReference w:id="10345"/>
      </w:r>
      <w:r>
        <w:t xml:space="preserve"/>
      </w:r>
    </w:p>
    <w:p>
      <w:r>
        <w:rPr>
          <w:b/>
        </w:rPr>
        <w:t xml:space="preserve">35 </w:t>
      </w:r>
      <w:r>
        <w:t xml:space="preserve">In belly he will receive pains, and empty things will turn out for him, and his belly will bear deceit.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taking up the matter, Job says,</w:t>
      </w:r>
    </w:p>
    <w:p>
      <w:r>
        <w:rPr>
          <w:b/>
        </w:rPr>
        <w:t xml:space="preserve">2 </w:t>
      </w:r>
      <w:r>
        <w:t xml:space="preserve">I heard</w:t>
      </w:r>
      <w:r>
        <w:rPr>
          <w:rStyle w:val="FootnoteReference"/>
        </w:rPr>
        <w:footnoteReference w:id="10346"/>
      </w:r>
      <w:r>
        <w:t xml:space="preserve"> many such things, all of you comforters of evils.</w:t>
      </w:r>
    </w:p>
    <w:p>
      <w:r>
        <w:rPr>
          <w:b/>
        </w:rPr>
        <w:t xml:space="preserve">3 </w:t>
      </w:r>
      <w:r>
        <w:t xml:space="preserve">For is there not order to windy words? Or what troubles you that you answer?</w:t>
      </w:r>
    </w:p>
    <w:p>
      <w:r>
        <w:rPr>
          <w:b/>
        </w:rPr>
        <w:t xml:space="preserve">4 </w:t>
      </w:r>
      <w:r>
        <w:t xml:space="preserve">I too would speak like you, if only your soul lay in place of mine; then I would exult over you with words and shake head against you.</w:t>
      </w:r>
    </w:p>
    <w:p>
      <w:r>
        <w:rPr>
          <w:b/>
        </w:rPr>
        <w:t xml:space="preserve">5 </w:t>
      </w:r>
      <w:r>
        <w:t xml:space="preserve">But let there be strength in my mouth; I will not spare movement of my lips.</w:t>
      </w:r>
    </w:p>
    <w:p>
      <w:r>
        <w:rPr>
          <w:b/>
        </w:rPr>
        <w:t xml:space="preserve">6 </w:t>
      </w:r>
      <w:r>
        <w:t xml:space="preserve">For if I speak, I will not ease the wound; if I keep silent, how much less will I be wounded?</w:t>
      </w:r>
    </w:p>
    <w:p>
      <w:r>
        <w:rPr>
          <w:b/>
        </w:rPr>
        <w:t xml:space="preserve">7 </w:t>
      </w:r>
      <w:r>
        <w:t xml:space="preserve">But now he made me worn out, rotten and foolish.</w:t>
      </w:r>
    </w:p>
    <w:p>
      <w:r>
        <w:rPr>
          <w:b/>
        </w:rPr>
        <w:t xml:space="preserve">8 </w:t>
      </w:r>
      <w:r>
        <w:t xml:space="preserve">He seized me for witness; it became so, and my lie rose up in me, answering against my face.</w:t>
      </w:r>
    </w:p>
    <w:p>
      <w:r>
        <w:rPr>
          <w:b/>
        </w:rPr>
        <w:t xml:space="preserve">9 </w:t>
      </w:r>
      <w:r>
        <w:t xml:space="preserve">Using wrath, he threw me down; he gnashed teeth at me. Arrows of his raiders fell on me.</w:t>
      </w:r>
    </w:p>
    <w:p>
      <w:r>
        <w:rPr>
          <w:b/>
        </w:rPr>
        <w:t xml:space="preserve">10 </w:t>
      </w:r>
      <w:r>
        <w:t xml:space="preserve">With sharpness of eyes he leaped on me; he struck me sharply on cheek, and with one accord they rushed upon me.</w:t>
      </w:r>
    </w:p>
    <w:p>
      <w:r>
        <w:rPr>
          <w:b/>
        </w:rPr>
        <w:t xml:space="preserve">11 </w:t>
      </w:r>
      <w:r>
        <w:t xml:space="preserve">For the Lord handed me over into the hands of an unjust one, and threw me upon ungodly men.</w:t>
      </w:r>
      <w:r>
        <w:rPr>
          <w:rStyle w:val="FootnoteReference"/>
        </w:rPr>
        <w:footnoteReference w:id="10347"/>
      </w:r>
      <w:r>
        <w:t xml:space="preserve"/>
      </w:r>
    </w:p>
    <w:p>
      <w:r>
        <w:rPr>
          <w:b/>
        </w:rPr>
        <w:t xml:space="preserve">12 </w:t>
      </w:r>
      <w:r>
        <w:t xml:space="preserve">At peace, he scattered me; taking me by hair he tore me, set me up</w:t>
      </w:r>
      <w:r>
        <w:rPr>
          <w:rStyle w:val="FootnoteReference"/>
        </w:rPr>
        <w:footnoteReference w:id="10348"/>
      </w:r>
      <w:r>
        <w:t xml:space="preserve"> like target.</w:t>
      </w:r>
    </w:p>
    <w:p>
      <w:r>
        <w:rPr>
          <w:b/>
        </w:rPr>
        <w:t xml:space="preserve">13 </w:t>
      </w:r>
      <w:r>
        <w:t xml:space="preserve">Spears encircled me, throwing into my kidneys without sparing; he poured my gall upon earth.</w:t>
      </w:r>
    </w:p>
    <w:p>
      <w:r>
        <w:rPr>
          <w:b/>
        </w:rPr>
        <w:t xml:space="preserve">14 </w:t>
      </w:r>
      <w:r>
        <w:t xml:space="preserve">He cast me down corpse upon corpse; mighty ones ran upon me.</w:t>
      </w:r>
    </w:p>
    <w:p>
      <w:r>
        <w:rPr>
          <w:b/>
        </w:rPr>
        <w:t xml:space="preserve">15 </w:t>
      </w:r>
      <w:r>
        <w:t xml:space="preserve">I sewed</w:t>
      </w:r>
      <w:r>
        <w:rPr>
          <w:rStyle w:val="FootnoteReference"/>
        </w:rPr>
        <w:footnoteReference w:id="10349"/>
      </w:r>
      <w:r>
        <w:t xml:space="preserve"> sackcloth upon my skin, and my strength was quenched in earth.</w:t>
      </w:r>
    </w:p>
    <w:p>
      <w:r>
        <w:rPr>
          <w:b/>
        </w:rPr>
        <w:t xml:space="preserve">16 </w:t>
      </w:r>
      <w:r>
        <w:t xml:space="preserve">My belly is burned from weeping, and shadow upon my eyelids.</w:t>
      </w:r>
    </w:p>
    <w:p>
      <w:r>
        <w:rPr>
          <w:b/>
        </w:rPr>
        <w:t xml:space="preserve">17 </w:t>
      </w:r>
      <w:r>
        <w:t xml:space="preserve">Yet there was nothing unjust in my hands, and my prayer</w:t>
      </w:r>
      <w:r>
        <w:rPr>
          <w:rStyle w:val="FootnoteReference"/>
        </w:rPr>
        <w:footnoteReference w:id="10350"/>
      </w:r>
      <w:r>
        <w:t xml:space="preserve"> was pure.</w:t>
      </w:r>
    </w:p>
    <w:p>
      <w:r>
        <w:rPr>
          <w:b/>
        </w:rPr>
        <w:t xml:space="preserve">18 </w:t>
      </w:r>
      <w:r>
        <w:t xml:space="preserve">Earth, do not cover over blood of my flesh, nor let there be place for my cry.</w:t>
      </w:r>
    </w:p>
    <w:p>
      <w:r>
        <w:rPr>
          <w:b/>
        </w:rPr>
        <w:t xml:space="preserve">19 </w:t>
      </w:r>
      <w:r>
        <w:t xml:space="preserve">And now, behold, my witness</w:t>
      </w:r>
      <w:r>
        <w:rPr>
          <w:rStyle w:val="FootnoteReference"/>
        </w:rPr>
        <w:footnoteReference w:id="10351"/>
      </w:r>
      <w:r>
        <w:t xml:space="preserve"> is in heavens, and my confirmer in highest places.</w:t>
      </w:r>
    </w:p>
    <w:p>
      <w:r>
        <w:rPr>
          <w:b/>
        </w:rPr>
        <w:t xml:space="preserve">20 </w:t>
      </w:r>
      <w:r>
        <w:t xml:space="preserve">Let my petition come to the Lord, and before him let my eye drop tears.</w:t>
      </w:r>
    </w:p>
    <w:p>
      <w:r>
        <w:rPr>
          <w:b/>
        </w:rPr>
        <w:t xml:space="preserve">21 </w:t>
      </w:r>
      <w:r>
        <w:t xml:space="preserve">Let there be reproof for man before the Lord, and son of man for his neighbor.</w:t>
      </w:r>
    </w:p>
    <w:p>
      <w:r>
        <w:rPr>
          <w:b/>
        </w:rPr>
        <w:t xml:space="preserve">22 </w:t>
      </w:r>
      <w:r>
        <w:t xml:space="preserve">For numbered years have come, and I will go way from which I will not return.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I am ruined, carried by breath; I beg for burial and do not obtain it.</w:t>
      </w:r>
    </w:p>
    <w:p>
      <w:r>
        <w:rPr>
          <w:b/>
        </w:rPr>
        <w:t xml:space="preserve">2 </w:t>
      </w:r>
      <w:r>
        <w:t xml:space="preserve">I am worn out in supplication. And what have I done?</w:t>
      </w:r>
    </w:p>
    <w:p>
      <w:r>
        <w:rPr>
          <w:b/>
        </w:rPr>
        <w:t xml:space="preserve">3 </w:t>
      </w:r>
      <w:r>
        <w:t xml:space="preserve">Strangers stole my goods. Who is this? Let him be bound with my hand.</w:t>
      </w:r>
    </w:p>
    <w:p>
      <w:r>
        <w:rPr>
          <w:b/>
        </w:rPr>
        <w:t xml:space="preserve">4 </w:t>
      </w:r>
      <w:r>
        <w:t xml:space="preserve">For you hid their heart from understanding; because of this you will not exalt them.</w:t>
      </w:r>
    </w:p>
    <w:p>
      <w:r>
        <w:rPr>
          <w:b/>
        </w:rPr>
        <w:t xml:space="preserve">5 </w:t>
      </w:r>
      <w:r>
        <w:t xml:space="preserve">He will declare evils for a share, and my eyes melted away over my sons.</w:t>
      </w:r>
    </w:p>
    <w:p>
      <w:r>
        <w:rPr>
          <w:b/>
        </w:rPr>
        <w:t xml:space="preserve">6 </w:t>
      </w:r>
      <w:r>
        <w:t xml:space="preserve">And you set me for byword among nations, and I became a laughingstock to them.</w:t>
      </w:r>
    </w:p>
    <w:p>
      <w:r>
        <w:rPr>
          <w:b/>
        </w:rPr>
        <w:t xml:space="preserve">7 </w:t>
      </w:r>
      <w:r>
        <w:t xml:space="preserve">For my eyes are dimmed from wrath; I have been greatly besieged by all.</w:t>
      </w:r>
    </w:p>
    <w:p>
      <w:r>
        <w:rPr>
          <w:b/>
        </w:rPr>
        <w:t xml:space="preserve">8 </w:t>
      </w:r>
      <w:r>
        <w:t xml:space="preserve">True men were amazed at this, and a righteous man would rise up against a lawless one.</w:t>
      </w:r>
      <w:r>
        <w:rPr>
          <w:rStyle w:val="FootnoteReference"/>
        </w:rPr>
        <w:footnoteReference w:id="10352"/>
      </w:r>
      <w:r>
        <w:t xml:space="preserve"/>
      </w:r>
    </w:p>
    <w:p>
      <w:r>
        <w:rPr>
          <w:b/>
        </w:rPr>
        <w:t xml:space="preserve">9 </w:t>
      </w:r>
      <w:r>
        <w:t xml:space="preserve">Let faithful one hold fast his own way, and clean</w:t>
      </w:r>
      <w:r>
        <w:rPr>
          <w:rStyle w:val="FootnoteReference"/>
        </w:rPr>
        <w:footnoteReference w:id="10353"/>
      </w:r>
      <w:r>
        <w:t xml:space="preserve"> of hands take courage.</w:t>
      </w:r>
    </w:p>
    <w:p>
      <w:r>
        <w:rPr>
          <w:b/>
        </w:rPr>
        <w:t xml:space="preserve">10 </w:t>
      </w:r>
      <w:r>
        <w:t xml:space="preserve">But all of you brace yourselves and come; for I</w:t>
      </w:r>
      <w:r>
        <w:rPr>
          <w:rStyle w:val="FootnoteReference"/>
        </w:rPr>
        <w:footnoteReference w:id="10354"/>
      </w:r>
      <w:r>
        <w:t xml:space="preserve"> do not find truth among you.</w:t>
      </w:r>
    </w:p>
    <w:p>
      <w:r>
        <w:rPr>
          <w:b/>
        </w:rPr>
        <w:t xml:space="preserve">11 </w:t>
      </w:r>
      <w:r>
        <w:t xml:space="preserve">My days</w:t>
      </w:r>
      <w:r>
        <w:rPr>
          <w:rStyle w:val="FootnoteReference"/>
        </w:rPr>
        <w:footnoteReference w:id="10355"/>
      </w:r>
      <w:r>
        <w:t xml:space="preserve"> passed in stench, and joints of my heart were broken.</w:t>
      </w:r>
    </w:p>
    <w:p>
      <w:r>
        <w:rPr>
          <w:b/>
        </w:rPr>
        <w:t xml:space="preserve">12 </w:t>
      </w:r>
      <w:r>
        <w:t xml:space="preserve">They turned night into day; light is near from the face of darkness.</w:t>
      </w:r>
    </w:p>
    <w:p>
      <w:r>
        <w:rPr>
          <w:b/>
        </w:rPr>
        <w:t xml:space="preserve">13 </w:t>
      </w:r>
      <w:r>
        <w:t xml:space="preserve">For if I endure, Hades is my house; in gloom my bed is spread.</w:t>
      </w:r>
    </w:p>
    <w:p>
      <w:r>
        <w:rPr>
          <w:b/>
        </w:rPr>
        <w:t xml:space="preserve">14 </w:t>
      </w:r>
      <w:r>
        <w:t xml:space="preserve">I called death my father, and rot my mother and my sister.</w:t>
      </w:r>
    </w:p>
    <w:p>
      <w:r>
        <w:rPr>
          <w:b/>
        </w:rPr>
        <w:t xml:space="preserve">15 </w:t>
      </w:r>
      <w:r>
        <w:t xml:space="preserve">Where then is my hope</w:t>
      </w:r>
      <w:r>
        <w:rPr>
          <w:rStyle w:val="FootnoteReference"/>
        </w:rPr>
        <w:footnoteReference w:id="10356"/>
      </w:r>
      <w:r>
        <w:t xml:space="preserve">? Or my good things? Will I see them?</w:t>
      </w:r>
    </w:p>
    <w:p>
      <w:r>
        <w:rPr>
          <w:b/>
        </w:rPr>
        <w:t xml:space="preserve">16 </w:t>
      </w:r>
      <w:r>
        <w:t xml:space="preserve">Will they go down with me into Hades, or shall we descend together to dust?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taking up the matter, Bildad</w:t>
      </w:r>
      <w:r>
        <w:rPr>
          <w:rStyle w:val="FootnoteReference"/>
        </w:rPr>
        <w:footnoteReference w:id="10357"/>
      </w:r>
      <w:r>
        <w:t xml:space="preserve"> the Shuhite says,</w:t>
      </w:r>
    </w:p>
    <w:p>
      <w:r>
        <w:rPr>
          <w:b/>
        </w:rPr>
        <w:t xml:space="preserve">2 </w:t>
      </w:r>
      <w:r>
        <w:t xml:space="preserve">How long</w:t>
      </w:r>
      <w:r>
        <w:rPr>
          <w:rStyle w:val="FootnoteReference"/>
        </w:rPr>
        <w:footnoteReference w:id="10358"/>
      </w:r>
      <w:r>
        <w:t xml:space="preserve"> will you not stop? Hold back, so we also may speak.</w:t>
      </w:r>
    </w:p>
    <w:p>
      <w:r>
        <w:rPr>
          <w:b/>
        </w:rPr>
        <w:t xml:space="preserve">3 </w:t>
      </w:r>
      <w:r>
        <w:t xml:space="preserve">Why have we been silenced like beasts before you?</w:t>
      </w:r>
    </w:p>
    <w:p>
      <w:r>
        <w:rPr>
          <w:b/>
        </w:rPr>
        <w:t xml:space="preserve">4 </w:t>
      </w:r>
      <w:r>
        <w:t xml:space="preserve">Wrath has used you. For what, if you die, will what is under heaven be uninhabited, or mountains overturned from foundations?</w:t>
      </w:r>
    </w:p>
    <w:p>
      <w:r>
        <w:rPr>
          <w:b/>
        </w:rPr>
        <w:t xml:space="preserve">5 </w:t>
      </w:r>
      <w:r>
        <w:t xml:space="preserve">But the light of the ungodly will be quenched, and their flame will not blaze forth.</w:t>
      </w:r>
      <w:r>
        <w:rPr>
          <w:rStyle w:val="FootnoteReference"/>
        </w:rPr>
        <w:footnoteReference w:id="10359"/>
      </w:r>
      <w:r>
        <w:t xml:space="preserve"/>
      </w:r>
      <w:r>
        <w:rPr>
          <w:rStyle w:val="FootnoteReference"/>
        </w:rPr>
        <w:footnoteReference w:id="10360"/>
      </w:r>
    </w:p>
    <w:p>
      <w:r>
        <w:rPr>
          <w:b/>
        </w:rPr>
        <w:t xml:space="preserve">6 </w:t>
      </w:r>
      <w:r>
        <w:t xml:space="preserve">His light is darkness in his dwelling, and lamp over him will be extinguished.</w:t>
      </w:r>
    </w:p>
    <w:p>
      <w:r>
        <w:rPr>
          <w:b/>
        </w:rPr>
        <w:t xml:space="preserve">7 </w:t>
      </w:r>
      <w:r>
        <w:t xml:space="preserve">Let smallest things hunt down his possessions, and his counsel slip.</w:t>
      </w:r>
    </w:p>
    <w:p>
      <w:r>
        <w:rPr>
          <w:b/>
        </w:rPr>
        <w:t xml:space="preserve">8 </w:t>
      </w:r>
      <w:r>
        <w:t xml:space="preserve">His foot is cast into snare, and let him be twisted in net.</w:t>
      </w:r>
    </w:p>
    <w:p>
      <w:r>
        <w:rPr>
          <w:b/>
        </w:rPr>
        <w:t xml:space="preserve">9 </w:t>
      </w:r>
      <w:r>
        <w:t xml:space="preserve">Let traps come upon him, and let thirsty ones overpower him.</w:t>
      </w:r>
    </w:p>
    <w:p>
      <w:r>
        <w:rPr>
          <w:b/>
        </w:rPr>
        <w:t xml:space="preserve">10 </w:t>
      </w:r>
      <w:r>
        <w:t xml:space="preserve">His rope is hidden in ground, and his capture on paths.</w:t>
      </w:r>
    </w:p>
    <w:p>
      <w:r>
        <w:rPr>
          <w:b/>
        </w:rPr>
        <w:t xml:space="preserve">11 </w:t>
      </w:r>
      <w:r>
        <w:t xml:space="preserve">Let pains destroy him around, and let many come about his feet in hunger.</w:t>
      </w:r>
    </w:p>
    <w:p>
      <w:r>
        <w:rPr>
          <w:b/>
        </w:rPr>
        <w:t xml:space="preserve">12 </w:t>
      </w:r>
      <w:r>
        <w:t xml:space="preserve">An extraordinary corpse has been prepared for him.</w:t>
      </w:r>
    </w:p>
    <w:p>
      <w:r>
        <w:rPr>
          <w:b/>
        </w:rPr>
        <w:t xml:space="preserve">13 </w:t>
      </w:r>
      <w:r>
        <w:t xml:space="preserve">Let branches of his feet be eaten, and let death devour his beauties.</w:t>
      </w:r>
    </w:p>
    <w:p>
      <w:r>
        <w:rPr>
          <w:b/>
        </w:rPr>
        <w:t xml:space="preserve">14 </w:t>
      </w:r>
      <w:r>
        <w:t xml:space="preserve">Let healing be torn from his dwelling, and let royal necessity seize him.</w:t>
      </w:r>
    </w:p>
    <w:p>
      <w:r>
        <w:rPr>
          <w:b/>
        </w:rPr>
        <w:t xml:space="preserve">15 </w:t>
      </w:r>
      <w:r>
        <w:t xml:space="preserve">It will lodge in his tent in his night; his fair things will be scattered with sulfur.</w:t>
      </w:r>
    </w:p>
    <w:p>
      <w:r>
        <w:rPr>
          <w:b/>
        </w:rPr>
        <w:t xml:space="preserve">16 </w:t>
      </w:r>
      <w:r>
        <w:t xml:space="preserve">His roots</w:t>
      </w:r>
      <w:r>
        <w:rPr>
          <w:rStyle w:val="FootnoteReference"/>
        </w:rPr>
        <w:footnoteReference w:id="10361"/>
      </w:r>
      <w:r>
        <w:t xml:space="preserve"> below will be dried up, and above his harvest will fall.</w:t>
      </w:r>
    </w:p>
    <w:p>
      <w:r>
        <w:rPr>
          <w:b/>
        </w:rPr>
        <w:t xml:space="preserve">17 </w:t>
      </w:r>
      <w:r>
        <w:t xml:space="preserve">His memorial perish from earth, and let there be no name of his on outside.</w:t>
      </w:r>
    </w:p>
    <w:p>
      <w:r>
        <w:rPr>
          <w:b/>
        </w:rPr>
        <w:t xml:space="preserve">18 </w:t>
      </w:r>
      <w:r>
        <w:t xml:space="preserve">Let him be driven from light into darkness.</w:t>
      </w:r>
    </w:p>
    <w:p>
      <w:r>
        <w:rPr>
          <w:b/>
        </w:rPr>
        <w:t xml:space="preserve">19 </w:t>
      </w:r>
      <w:r>
        <w:t xml:space="preserve">He will not be known among his people, nor saved under heaven his house; others will live in what is his.</w:t>
      </w:r>
    </w:p>
    <w:p>
      <w:r>
        <w:rPr>
          <w:b/>
        </w:rPr>
        <w:t xml:space="preserve">20 </w:t>
      </w:r>
      <w:r>
        <w:t xml:space="preserve">Last ones groaned over him, and first ones were seized with amazement.</w:t>
      </w:r>
    </w:p>
    <w:p>
      <w:r>
        <w:rPr>
          <w:b/>
        </w:rPr>
        <w:t xml:space="preserve">21 </w:t>
      </w:r>
      <w:r>
        <w:t xml:space="preserve">These are houses of unjust men, and this is the place of those not knowing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taking up the matter, Job says,</w:t>
      </w:r>
    </w:p>
    <w:p>
      <w:r>
        <w:rPr>
          <w:b/>
        </w:rPr>
        <w:t xml:space="preserve">2 </w:t>
      </w:r>
      <w:r>
        <w:t xml:space="preserve">Until when will you trouble my soul and tear me down with words?</w:t>
      </w:r>
    </w:p>
    <w:p>
      <w:r>
        <w:rPr>
          <w:b/>
        </w:rPr>
        <w:t xml:space="preserve">3 </w:t>
      </w:r>
      <w:r>
        <w:t xml:space="preserve">Know only that the Lord did this to me. Speaking against me, not ashamed, you press upon me.</w:t>
      </w:r>
    </w:p>
    <w:p>
      <w:r>
        <w:rPr>
          <w:b/>
        </w:rPr>
        <w:t xml:space="preserve">4 </w:t>
      </w:r>
      <w:r>
        <w:t xml:space="preserve">Yes then, if in truth I went astray, my wandering lodges with me. To speak word not needed, my words wander and not in season.</w:t>
      </w:r>
    </w:p>
    <w:p>
      <w:r>
        <w:rPr>
          <w:b/>
        </w:rPr>
        <w:t xml:space="preserve">5 </w:t>
      </w:r>
      <w:r>
        <w:t xml:space="preserve">If indeed you magnify</w:t>
      </w:r>
      <w:r>
        <w:rPr>
          <w:rStyle w:val="FootnoteReference"/>
        </w:rPr>
        <w:footnoteReference w:id="10362"/>
      </w:r>
      <w:r>
        <w:t xml:space="preserve"> yourselves against me and throw reproach at me,</w:t>
      </w:r>
    </w:p>
    <w:p>
      <w:r>
        <w:rPr>
          <w:b/>
        </w:rPr>
        <w:t xml:space="preserve">6 </w:t>
      </w:r>
      <w:r>
        <w:t xml:space="preserve">know then that the Lord is one who troubled me and raised his stronghold over me.</w:t>
      </w:r>
    </w:p>
    <w:p>
      <w:r>
        <w:rPr>
          <w:b/>
        </w:rPr>
        <w:t xml:space="preserve">7 </w:t>
      </w:r>
      <w:r>
        <w:t xml:space="preserve">Behold, I laugh at reproach and will not speak; I will cry out, and there is nowhere judgment.</w:t>
      </w:r>
    </w:p>
    <w:p>
      <w:r>
        <w:rPr>
          <w:b/>
        </w:rPr>
        <w:t xml:space="preserve">8 </w:t>
      </w:r>
      <w:r>
        <w:t xml:space="preserve">All around I am walled in, and I will certainly not pass; over my face he set darkness.</w:t>
      </w:r>
    </w:p>
    <w:p>
      <w:r>
        <w:rPr>
          <w:b/>
        </w:rPr>
        <w:t xml:space="preserve">9 </w:t>
      </w:r>
      <w:r>
        <w:t xml:space="preserve">He stripped</w:t>
      </w:r>
      <w:r>
        <w:rPr>
          <w:rStyle w:val="FootnoteReference"/>
        </w:rPr>
        <w:footnoteReference w:id="10363"/>
      </w:r>
      <w:r>
        <w:t xml:space="preserve"> glory from me and took crown from my head.</w:t>
      </w:r>
    </w:p>
    <w:p>
      <w:r>
        <w:rPr>
          <w:b/>
        </w:rPr>
        <w:t xml:space="preserve">10 </w:t>
      </w:r>
      <w:r>
        <w:t xml:space="preserve">He tore me apart round about, and I am gone</w:t>
      </w:r>
      <w:r>
        <w:rPr>
          <w:rStyle w:val="FootnoteReference"/>
        </w:rPr>
        <w:footnoteReference w:id="10364"/>
      </w:r>
      <w:r>
        <w:t xml:space="preserve">; he cut off my hope like a tree.</w:t>
      </w:r>
    </w:p>
    <w:p>
      <w:r>
        <w:rPr>
          <w:b/>
        </w:rPr>
        <w:t xml:space="preserve">11 </w:t>
      </w:r>
      <w:r>
        <w:t xml:space="preserve">He used wrath terribly against me and regarded me like an enemy.</w:t>
      </w:r>
    </w:p>
    <w:p>
      <w:r>
        <w:rPr>
          <w:b/>
        </w:rPr>
        <w:t xml:space="preserve">12 </w:t>
      </w:r>
      <w:r>
        <w:t xml:space="preserve">His raiding bands came together against me; they encircled me in ambushes on my paths.</w:t>
      </w:r>
    </w:p>
    <w:p>
      <w:r>
        <w:rPr>
          <w:b/>
        </w:rPr>
        <w:t xml:space="preserve">13 </w:t>
      </w:r>
      <w:r>
        <w:t xml:space="preserve">My brothers stood far from me, and they knew me as stranger; my friends became without mercy.</w:t>
      </w:r>
    </w:p>
    <w:p>
      <w:r>
        <w:rPr>
          <w:b/>
        </w:rPr>
        <w:t xml:space="preserve">14 </w:t>
      </w:r>
      <w:r>
        <w:t xml:space="preserve">My nearest ones did not acknowledge me, and those knowing my name forgot me.</w:t>
      </w:r>
    </w:p>
    <w:p>
      <w:r>
        <w:rPr>
          <w:b/>
        </w:rPr>
        <w:t xml:space="preserve">15 </w:t>
      </w:r>
      <w:r>
        <w:t xml:space="preserve">Neighbors of my house and my servant girls treated me as stranger before them.</w:t>
      </w:r>
    </w:p>
    <w:p>
      <w:r>
        <w:rPr>
          <w:b/>
        </w:rPr>
        <w:t xml:space="preserve">16 </w:t>
      </w:r>
      <w:r>
        <w:t xml:space="preserve">I called my servant</w:t>
      </w:r>
      <w:r>
        <w:rPr>
          <w:rStyle w:val="FootnoteReference"/>
        </w:rPr>
        <w:footnoteReference w:id="10365"/>
      </w:r>
      <w:r>
        <w:t xml:space="preserve">, and he did not obey; my mouth pleaded with him.</w:t>
      </w:r>
    </w:p>
    <w:p>
      <w:r>
        <w:rPr>
          <w:b/>
        </w:rPr>
        <w:t xml:space="preserve">17 </w:t>
      </w:r>
      <w:r>
        <w:t xml:space="preserve">And I begged my wife, and flattering, I was calling sons of my concubines.</w:t>
      </w:r>
    </w:p>
    <w:p>
      <w:r>
        <w:rPr>
          <w:b/>
        </w:rPr>
        <w:t xml:space="preserve">18 </w:t>
      </w:r>
      <w:r>
        <w:t xml:space="preserve">Those forever rejected me; when I rise, they speak against me.</w:t>
      </w:r>
    </w:p>
    <w:p>
      <w:r>
        <w:rPr>
          <w:b/>
        </w:rPr>
        <w:t xml:space="preserve">19 </w:t>
      </w:r>
      <w:r>
        <w:t xml:space="preserve">Those who knew me abhorred me; those I had loved rose against me.</w:t>
      </w:r>
    </w:p>
    <w:p>
      <w:r>
        <w:rPr>
          <w:b/>
        </w:rPr>
        <w:t xml:space="preserve">20 </w:t>
      </w:r>
      <w:r>
        <w:t xml:space="preserve">My flesh rotted upon my skin, and my bones are held in my teeth.</w:t>
      </w:r>
    </w:p>
    <w:p>
      <w:r>
        <w:rPr>
          <w:b/>
        </w:rPr>
        <w:t xml:space="preserve">21 </w:t>
      </w:r>
      <w:r>
        <w:t xml:space="preserve">Pity me, pity me, O friends, for the hand</w:t>
      </w:r>
      <w:r>
        <w:rPr>
          <w:rStyle w:val="FootnoteReference"/>
        </w:rPr>
        <w:footnoteReference w:id="10366"/>
      </w:r>
      <w:r>
        <w:t xml:space="preserve"> of the Lord is what touched me.</w:t>
      </w:r>
    </w:p>
    <w:p>
      <w:r>
        <w:rPr>
          <w:b/>
        </w:rPr>
        <w:t xml:space="preserve">22 </w:t>
      </w:r>
      <w:r>
        <w:t xml:space="preserve">Why do you persecute</w:t>
      </w:r>
      <w:r>
        <w:rPr>
          <w:rStyle w:val="FootnoteReference"/>
        </w:rPr>
        <w:footnoteReference w:id="10367"/>
      </w:r>
      <w:r>
        <w:t xml:space="preserve"> me as the Lord does, and are not filled from my flesh?</w:t>
      </w:r>
    </w:p>
    <w:p>
      <w:r>
        <w:rPr>
          <w:b/>
        </w:rPr>
        <w:t xml:space="preserve">23 </w:t>
      </w:r>
      <w:r>
        <w:t xml:space="preserve">If only someone would grant my words</w:t>
      </w:r>
      <w:r>
        <w:rPr>
          <w:rStyle w:val="FootnoteReference"/>
        </w:rPr>
        <w:footnoteReference w:id="10368"/>
      </w:r>
      <w:r>
        <w:t xml:space="preserve"> be written, and set down in book forever,</w:t>
      </w:r>
    </w:p>
    <w:p>
      <w:r>
        <w:rPr>
          <w:b/>
        </w:rPr>
        <w:t xml:space="preserve">24 </w:t>
      </w:r>
      <w:r>
        <w:t xml:space="preserve">engraved with iron stylus and lead, or cut into rocks.</w:t>
      </w:r>
    </w:p>
    <w:p>
      <w:r>
        <w:rPr>
          <w:b/>
        </w:rPr>
        <w:t xml:space="preserve">25 </w:t>
      </w:r>
      <w:r>
        <w:t xml:space="preserve">For I know that eternal is the one who is about to free me upon earth.</w:t>
      </w:r>
      <w:r>
        <w:rPr>
          <w:rStyle w:val="FootnoteReference"/>
        </w:rPr>
        <w:footnoteReference w:id="10369"/>
      </w:r>
      <w:r>
        <w:t xml:space="preserve"/>
      </w:r>
      <w:r>
        <w:rPr>
          <w:rStyle w:val="FootnoteReference"/>
        </w:rPr>
        <w:footnoteReference w:id="10370"/>
      </w:r>
      <w:r>
        <w:rPr>
          <w:rStyle w:val="FootnoteReference"/>
        </w:rPr>
        <w:footnoteReference w:id="10371"/>
      </w:r>
    </w:p>
    <w:p>
      <w:r>
        <w:rPr>
          <w:b/>
        </w:rPr>
        <w:t xml:space="preserve">26 </w:t>
      </w:r>
      <w:r>
        <w:t xml:space="preserve">he will raise up my skin enduring these things, for from the Lord these things were accomplished for me.</w:t>
      </w:r>
    </w:p>
    <w:p>
      <w:r>
        <w:rPr>
          <w:b/>
        </w:rPr>
        <w:t xml:space="preserve">27 </w:t>
      </w:r>
      <w:r>
        <w:t xml:space="preserve">Which things I know in myself, which my eye has seen and not another</w:t>
      </w:r>
      <w:r>
        <w:rPr>
          <w:rStyle w:val="FootnoteReference"/>
        </w:rPr>
        <w:footnoteReference w:id="10372"/>
      </w:r>
      <w:r>
        <w:t xml:space="preserve">; all things have been fulfilled for me in my bosom.</w:t>
      </w:r>
    </w:p>
    <w:p>
      <w:r>
        <w:rPr>
          <w:b/>
        </w:rPr>
        <w:t xml:space="preserve">28 </w:t>
      </w:r>
      <w:r>
        <w:t xml:space="preserve">But if you say, What shall we say against him, and we will find root of matter in him,</w:t>
      </w:r>
    </w:p>
    <w:p>
      <w:r>
        <w:rPr>
          <w:b/>
        </w:rPr>
        <w:t xml:space="preserve">29 </w:t>
      </w:r>
      <w:r>
        <w:t xml:space="preserve">then you also beware of covering; for wrath will come upon lawless men, and then they will know where their substance is.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taking up the matter, Zophar</w:t>
      </w:r>
      <w:r>
        <w:rPr>
          <w:rStyle w:val="FootnoteReference"/>
        </w:rPr>
        <w:footnoteReference w:id="10373"/>
      </w:r>
      <w:r>
        <w:t xml:space="preserve"> the Naamathite says,</w:t>
      </w:r>
    </w:p>
    <w:p>
      <w:r>
        <w:rPr>
          <w:b/>
        </w:rPr>
        <w:t xml:space="preserve">2 </w:t>
      </w:r>
      <w:r>
        <w:t xml:space="preserve">Did I not suppose you would answer back thus? Do you not understand more than I do?</w:t>
      </w:r>
    </w:p>
    <w:p>
      <w:r>
        <w:rPr>
          <w:b/>
        </w:rPr>
        <w:t xml:space="preserve">3 </w:t>
      </w:r>
      <w:r>
        <w:t xml:space="preserve">I will hear discipline of my shame, and spirit from my understanding answers me.</w:t>
      </w:r>
    </w:p>
    <w:p>
      <w:r>
        <w:rPr>
          <w:b/>
        </w:rPr>
        <w:t xml:space="preserve">4 </w:t>
      </w:r>
      <w:r>
        <w:t xml:space="preserve">Do you not know these things from long ago, from when man was placed upon earth,</w:t>
      </w:r>
    </w:p>
    <w:p>
      <w:r>
        <w:rPr>
          <w:b/>
        </w:rPr>
        <w:t xml:space="preserve">5 </w:t>
      </w:r>
      <w:r>
        <w:t xml:space="preserve">that the gladness of the ungodly is a sudden fall, and the joy of lawless men is destruction?</w:t>
      </w:r>
      <w:r>
        <w:rPr>
          <w:rStyle w:val="FootnoteReference"/>
        </w:rPr>
        <w:footnoteReference w:id="10374"/>
      </w:r>
      <w:r>
        <w:t xml:space="preserve"/>
      </w:r>
      <w:r>
        <w:rPr>
          <w:rStyle w:val="FootnoteReference"/>
        </w:rPr>
        <w:footnoteReference w:id="10375"/>
      </w:r>
    </w:p>
    <w:p>
      <w:r>
        <w:rPr>
          <w:b/>
        </w:rPr>
        <w:t xml:space="preserve">6 </w:t>
      </w:r>
      <w:r>
        <w:t xml:space="preserve">If his gifts go up to heaven and his sacrifice touches clouds,</w:t>
      </w:r>
    </w:p>
    <w:p>
      <w:r>
        <w:rPr>
          <w:b/>
        </w:rPr>
        <w:t xml:space="preserve">7 </w:t>
      </w:r>
      <w:r>
        <w:t xml:space="preserve">then when he thinks he is already established, he will utterly perish</w:t>
      </w:r>
      <w:r>
        <w:rPr>
          <w:rStyle w:val="FootnoteReference"/>
        </w:rPr>
        <w:footnoteReference w:id="10376"/>
      </w:r>
      <w:r>
        <w:t xml:space="preserve">, and those who saw him will say, Where is he?</w:t>
      </w:r>
    </w:p>
    <w:p>
      <w:r>
        <w:rPr>
          <w:b/>
        </w:rPr>
        <w:t xml:space="preserve">8 </w:t>
      </w:r>
      <w:r>
        <w:t xml:space="preserve">Like dream flown away, he will not be found; he flew off like night phantom.</w:t>
      </w:r>
    </w:p>
    <w:p>
      <w:r>
        <w:rPr>
          <w:b/>
        </w:rPr>
        <w:t xml:space="preserve">9 </w:t>
      </w:r>
      <w:r>
        <w:t xml:space="preserve">Eye passed by him and will not continue, and his place will not notice him anymore.</w:t>
      </w:r>
    </w:p>
    <w:p>
      <w:r>
        <w:rPr>
          <w:b/>
        </w:rPr>
        <w:t xml:space="preserve">10 </w:t>
      </w:r>
      <w:r>
        <w:t xml:space="preserve">Let lesser men destroy his sons, and his hands</w:t>
      </w:r>
      <w:r>
        <w:rPr>
          <w:rStyle w:val="FootnoteReference"/>
        </w:rPr>
        <w:footnoteReference w:id="10377"/>
      </w:r>
      <w:r>
        <w:t xml:space="preserve"> kindle pains.</w:t>
      </w:r>
    </w:p>
    <w:p>
      <w:r>
        <w:rPr>
          <w:b/>
        </w:rPr>
        <w:t xml:space="preserve">11 </w:t>
      </w:r>
      <w:r>
        <w:t xml:space="preserve">His bones</w:t>
      </w:r>
      <w:r>
        <w:rPr>
          <w:rStyle w:val="FootnoteReference"/>
        </w:rPr>
        <w:footnoteReference w:id="10378"/>
      </w:r>
      <w:r>
        <w:t xml:space="preserve"> were filled with youth, and with him it will lie down in dust.</w:t>
      </w:r>
    </w:p>
    <w:p>
      <w:r>
        <w:rPr>
          <w:b/>
        </w:rPr>
        <w:t xml:space="preserve">12 </w:t>
      </w:r>
      <w:r>
        <w:t xml:space="preserve">If evil be sweet in his mouth, he will hide it under his tongue.</w:t>
      </w:r>
    </w:p>
    <w:p>
      <w:r>
        <w:rPr>
          <w:b/>
        </w:rPr>
        <w:t xml:space="preserve">13 </w:t>
      </w:r>
      <w:r>
        <w:t xml:space="preserve">He will not spare it</w:t>
      </w:r>
      <w:r>
        <w:rPr>
          <w:rStyle w:val="FootnoteReference"/>
        </w:rPr>
        <w:footnoteReference w:id="10379"/>
      </w:r>
      <w:r>
        <w:t xml:space="preserve"> and will not abandon it, but hold it fast in the midst of his throat.</w:t>
      </w:r>
    </w:p>
    <w:p>
      <w:r>
        <w:rPr>
          <w:b/>
        </w:rPr>
        <w:t xml:space="preserve">14 </w:t>
      </w:r>
      <w:r>
        <w:t xml:space="preserve">And he will not be able to help himself; venom of asp is in his belly.</w:t>
      </w:r>
    </w:p>
    <w:p>
      <w:r>
        <w:rPr>
          <w:b/>
        </w:rPr>
        <w:t xml:space="preserve">15 </w:t>
      </w:r>
      <w:r>
        <w:t xml:space="preserve">Wealth unjustly gathered will be vomited out; angel will drag him from his house.</w:t>
      </w:r>
    </w:p>
    <w:p>
      <w:r>
        <w:rPr>
          <w:b/>
        </w:rPr>
        <w:t xml:space="preserve">16 </w:t>
      </w:r>
      <w:r>
        <w:t xml:space="preserve">Let him suck wrath of dragons, and tongue of serpent will kill him.</w:t>
      </w:r>
    </w:p>
    <w:p>
      <w:r>
        <w:rPr>
          <w:b/>
        </w:rPr>
        <w:t xml:space="preserve">17 </w:t>
      </w:r>
      <w:r>
        <w:t xml:space="preserve">Let him not see milking of nomads, nor pastures of honey</w:t>
      </w:r>
      <w:r>
        <w:rPr>
          <w:rStyle w:val="FootnoteReference"/>
        </w:rPr>
        <w:footnoteReference w:id="10380"/>
      </w:r>
      <w:r>
        <w:t xml:space="preserve"> and butter.</w:t>
      </w:r>
    </w:p>
    <w:p>
      <w:r>
        <w:rPr>
          <w:b/>
        </w:rPr>
        <w:t xml:space="preserve">18 </w:t>
      </w:r>
      <w:r>
        <w:t xml:space="preserve">He labored for empty and vain things; wealth from which he will not taste, like twisted thing unchewed and unswallowable.</w:t>
      </w:r>
    </w:p>
    <w:p>
      <w:r>
        <w:rPr>
          <w:b/>
        </w:rPr>
        <w:t xml:space="preserve">19 </w:t>
      </w:r>
      <w:r>
        <w:t xml:space="preserve">For he crushed houses of many weak ones, and seized dwelling he did not build.</w:t>
      </w:r>
    </w:p>
    <w:p>
      <w:r>
        <w:rPr>
          <w:b/>
        </w:rPr>
        <w:t xml:space="preserve">20 </w:t>
      </w:r>
      <w:r>
        <w:t xml:space="preserve">There is no salvation for his possessions; in his desire he will not be saved.</w:t>
      </w:r>
    </w:p>
    <w:p>
      <w:r>
        <w:rPr>
          <w:b/>
        </w:rPr>
        <w:t xml:space="preserve">21 </w:t>
      </w:r>
      <w:r>
        <w:t xml:space="preserve">There is no remnant for his foods; therefore his good things will not flourish.</w:t>
      </w:r>
    </w:p>
    <w:p>
      <w:r>
        <w:rPr>
          <w:b/>
        </w:rPr>
        <w:t xml:space="preserve">22 </w:t>
      </w:r>
      <w:r>
        <w:t xml:space="preserve">And when he thinks he is already full, he will be distressed, and every necessity will come upon him.</w:t>
      </w:r>
    </w:p>
    <w:p>
      <w:r>
        <w:rPr>
          <w:b/>
        </w:rPr>
        <w:t xml:space="preserve">23 </w:t>
      </w:r>
      <w:r>
        <w:t xml:space="preserve">The wrath of anger will be sent upon him and pains washed upon him, if only to fill his belly.</w:t>
      </w:r>
    </w:p>
    <w:p>
      <w:r>
        <w:rPr>
          <w:b/>
        </w:rPr>
        <w:t xml:space="preserve">24 </w:t>
      </w:r>
      <w:r>
        <w:t xml:space="preserve">And he will not be saved from the hand of iron; bronze bow will wound him.</w:t>
      </w:r>
    </w:p>
    <w:p>
      <w:r>
        <w:rPr>
          <w:b/>
        </w:rPr>
        <w:t xml:space="preserve">25 </w:t>
      </w:r>
      <w:r>
        <w:t xml:space="preserve">Let arrow go through his body, and let lightnings walk in his dwelling; fears upon him.</w:t>
      </w:r>
    </w:p>
    <w:p>
      <w:r>
        <w:rPr>
          <w:b/>
        </w:rPr>
        <w:t xml:space="preserve">26 </w:t>
      </w:r>
      <w:r>
        <w:t xml:space="preserve">Let all darkness</w:t>
      </w:r>
      <w:r>
        <w:rPr>
          <w:rStyle w:val="FootnoteReference"/>
        </w:rPr>
        <w:footnoteReference w:id="10381"/>
      </w:r>
      <w:r>
        <w:t xml:space="preserve"> wait for him; unquenchable fire will devour him, and stranger will afflict his house.</w:t>
      </w:r>
    </w:p>
    <w:p>
      <w:r>
        <w:rPr>
          <w:b/>
        </w:rPr>
        <w:t xml:space="preserve">27 </w:t>
      </w:r>
      <w:r>
        <w:t xml:space="preserve">Heaven</w:t>
      </w:r>
      <w:r>
        <w:rPr>
          <w:rStyle w:val="FootnoteReference"/>
        </w:rPr>
        <w:footnoteReference w:id="10382"/>
      </w:r>
      <w:r>
        <w:t xml:space="preserve"> will reveal his lawless acts, and earth rise up against him.</w:t>
      </w:r>
    </w:p>
    <w:p>
      <w:r>
        <w:rPr>
          <w:b/>
        </w:rPr>
        <w:t xml:space="preserve">28 </w:t>
      </w:r>
      <w:r>
        <w:t xml:space="preserve">Destruction will drag away his house; final end, day of wrath will come upon him.</w:t>
      </w:r>
    </w:p>
    <w:p>
      <w:r>
        <w:rPr>
          <w:b/>
        </w:rPr>
        <w:t xml:space="preserve">29 </w:t>
      </w:r>
      <w:r>
        <w:t xml:space="preserve">This is the portion</w:t>
      </w:r>
      <w:r>
        <w:rPr>
          <w:rStyle w:val="FootnoteReference"/>
        </w:rPr>
        <w:footnoteReference w:id="10383"/>
      </w:r>
      <w:r>
        <w:t xml:space="preserve"> of an ungodly man from the Lord, and possession of his goods from the Overseer.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taking up the matter, Job says,</w:t>
      </w:r>
    </w:p>
    <w:p>
      <w:r>
        <w:rPr>
          <w:b/>
        </w:rPr>
        <w:t xml:space="preserve">2 </w:t>
      </w:r>
      <w:r>
        <w:t xml:space="preserve">Hear</w:t>
      </w:r>
      <w:r>
        <w:rPr>
          <w:rStyle w:val="FootnoteReference"/>
        </w:rPr>
        <w:footnoteReference w:id="10384"/>
      </w:r>
      <w:r>
        <w:t xml:space="preserve">, hear my words, so that this from you may be my consolation.</w:t>
      </w:r>
    </w:p>
    <w:p>
      <w:r>
        <w:rPr>
          <w:b/>
        </w:rPr>
        <w:t xml:space="preserve">3 </w:t>
      </w:r>
      <w:r>
        <w:t xml:space="preserve">Bear with me, and I will speak; then afterward laugh at me.</w:t>
      </w:r>
    </w:p>
    <w:p>
      <w:r>
        <w:rPr>
          <w:b/>
        </w:rPr>
        <w:t xml:space="preserve">4 </w:t>
      </w:r>
      <w:r>
        <w:t xml:space="preserve">For is my reproof against man? And why should I not be angry?</w:t>
      </w:r>
    </w:p>
    <w:p>
      <w:r>
        <w:rPr>
          <w:b/>
        </w:rPr>
        <w:t xml:space="preserve">5 </w:t>
      </w:r>
      <w:r>
        <w:t xml:space="preserve">Looking at me, be amazed, laying hand upon cheek.</w:t>
      </w:r>
    </w:p>
    <w:p>
      <w:r>
        <w:rPr>
          <w:b/>
        </w:rPr>
        <w:t xml:space="preserve">6 </w:t>
      </w:r>
      <w:r>
        <w:t xml:space="preserve">For if I remember, I hurried, and pains seized my flesh.</w:t>
      </w:r>
    </w:p>
    <w:p>
      <w:r>
        <w:rPr>
          <w:b/>
        </w:rPr>
        <w:t xml:space="preserve">7 </w:t>
      </w:r>
      <w:r>
        <w:t xml:space="preserve">Why do ungodly men live, grow old, and even abound in wealth?</w:t>
      </w:r>
    </w:p>
    <w:p>
      <w:r>
        <w:rPr>
          <w:b/>
        </w:rPr>
        <w:t xml:space="preserve">8 </w:t>
      </w:r>
      <w:r>
        <w:t xml:space="preserve">Their offspring remain with them, and their children before their eyes.</w:t>
      </w:r>
    </w:p>
    <w:p>
      <w:r>
        <w:rPr>
          <w:b/>
        </w:rPr>
        <w:t xml:space="preserve">9 </w:t>
      </w:r>
      <w:r>
        <w:t xml:space="preserve">Their houses prosper, and fear is nowhere; scourge from the Lord is not upon them.</w:t>
      </w:r>
    </w:p>
    <w:p>
      <w:r>
        <w:rPr>
          <w:b/>
        </w:rPr>
        <w:t xml:space="preserve">10 </w:t>
      </w:r>
      <w:r>
        <w:t xml:space="preserve">Their cow</w:t>
      </w:r>
      <w:r>
        <w:rPr>
          <w:rStyle w:val="FootnoteReference"/>
        </w:rPr>
        <w:footnoteReference w:id="10385"/>
      </w:r>
      <w:r>
        <w:t xml:space="preserve"> did not miscarry; what was in womb was preserved and did not fail.</w:t>
      </w:r>
    </w:p>
    <w:p>
      <w:r>
        <w:rPr>
          <w:b/>
        </w:rPr>
        <w:t xml:space="preserve">11 </w:t>
      </w:r>
      <w:r>
        <w:t xml:space="preserve">And they remain like perpetual sheep, and their little children play.</w:t>
      </w:r>
    </w:p>
    <w:p>
      <w:r>
        <w:rPr>
          <w:b/>
        </w:rPr>
        <w:t xml:space="preserve">12 </w:t>
      </w:r>
      <w:r>
        <w:t xml:space="preserve">Taking up psaltery and harp, they rejoice at the sound of song.</w:t>
      </w:r>
    </w:p>
    <w:p>
      <w:r>
        <w:rPr>
          <w:b/>
        </w:rPr>
        <w:t xml:space="preserve">13 </w:t>
      </w:r>
      <w:r>
        <w:t xml:space="preserve">They completed their life in good things, and in rest of Hades they fell asleep.</w:t>
      </w:r>
    </w:p>
    <w:p>
      <w:r>
        <w:rPr>
          <w:b/>
        </w:rPr>
        <w:t xml:space="preserve">14 </w:t>
      </w:r>
      <w:r>
        <w:t xml:space="preserve">Yet they say</w:t>
      </w:r>
      <w:r>
        <w:rPr>
          <w:rStyle w:val="FootnoteReference"/>
        </w:rPr>
        <w:footnoteReference w:id="10386"/>
      </w:r>
      <w:r>
        <w:t xml:space="preserve"> to the Lord, Depart from me; I do not want to know your ways.</w:t>
      </w:r>
    </w:p>
    <w:p>
      <w:r>
        <w:rPr>
          <w:b/>
        </w:rPr>
        <w:t xml:space="preserve">15 </w:t>
      </w:r>
      <w:r>
        <w:t xml:space="preserve">What is</w:t>
      </w:r>
      <w:r>
        <w:rPr>
          <w:rStyle w:val="FootnoteReference"/>
        </w:rPr>
        <w:footnoteReference w:id="10387"/>
      </w:r>
      <w:r>
        <w:t xml:space="preserve"> Sufficient One, that we should serve him, and what profit if we meet him?</w:t>
      </w:r>
    </w:p>
    <w:p>
      <w:r>
        <w:rPr>
          <w:b/>
        </w:rPr>
        <w:t xml:space="preserve">16 </w:t>
      </w:r>
      <w:r>
        <w:t xml:space="preserve">For their good things were in their hands, but he does not regard the works of ungodly men.</w:t>
      </w:r>
      <w:r>
        <w:rPr>
          <w:rStyle w:val="FootnoteReference"/>
        </w:rPr>
        <w:footnoteReference w:id="10388"/>
      </w:r>
      <w:r>
        <w:t xml:space="preserve"/>
      </w:r>
    </w:p>
    <w:p>
      <w:r>
        <w:rPr>
          <w:b/>
        </w:rPr>
        <w:t xml:space="preserve">17 </w:t>
      </w:r>
      <w:r>
        <w:t xml:space="preserve">Yet the lamp of ungodly men will be quenched, and destruction will come upon them, and pains will hold them from wrath.</w:t>
      </w:r>
      <w:r>
        <w:rPr>
          <w:rStyle w:val="FootnoteReference"/>
        </w:rPr>
        <w:footnoteReference w:id="10389"/>
      </w:r>
      <w:r>
        <w:t xml:space="preserve"/>
      </w:r>
    </w:p>
    <w:p>
      <w:r>
        <w:rPr>
          <w:b/>
        </w:rPr>
        <w:t xml:space="preserve">18 </w:t>
      </w:r>
      <w:r>
        <w:t xml:space="preserve">And they will be like chaff before wind, or like dust that whirlwind carried off.</w:t>
      </w:r>
    </w:p>
    <w:p>
      <w:r>
        <w:rPr>
          <w:b/>
        </w:rPr>
        <w:t xml:space="preserve">19 </w:t>
      </w:r>
      <w:r>
        <w:t xml:space="preserve">Let his possessions fail his sons; he will repay it to him, and he will know.</w:t>
      </w:r>
    </w:p>
    <w:p>
      <w:r>
        <w:rPr>
          <w:b/>
        </w:rPr>
        <w:t xml:space="preserve">20 </w:t>
      </w:r>
      <w:r>
        <w:t xml:space="preserve">Let his eyes see his own slaughter, and let him not be rescued from the Lord.</w:t>
      </w:r>
    </w:p>
    <w:p>
      <w:r>
        <w:rPr>
          <w:b/>
        </w:rPr>
        <w:t xml:space="preserve">21 </w:t>
      </w:r>
      <w:r>
        <w:t xml:space="preserve">For what</w:t>
      </w:r>
      <w:r>
        <w:rPr>
          <w:rStyle w:val="FootnoteReference"/>
        </w:rPr>
        <w:footnoteReference w:id="10390"/>
      </w:r>
      <w:r>
        <w:t xml:space="preserve"> is his will in his house after him, when numbers of his months were divided?</w:t>
      </w:r>
    </w:p>
    <w:p>
      <w:r>
        <w:rPr>
          <w:b/>
        </w:rPr>
        <w:t xml:space="preserve">22 </w:t>
      </w:r>
      <w:r>
        <w:t xml:space="preserve">Is it not the Lord who teaches understanding and knowledge? He judges murders.</w:t>
      </w:r>
    </w:p>
    <w:p>
      <w:r>
        <w:rPr>
          <w:b/>
        </w:rPr>
        <w:t xml:space="preserve">23 </w:t>
      </w:r>
      <w:r>
        <w:t xml:space="preserve">This man will die in the strength of his simplicity, altogether prosperous and flourishing.</w:t>
      </w:r>
    </w:p>
    <w:p>
      <w:r>
        <w:rPr>
          <w:b/>
        </w:rPr>
        <w:t xml:space="preserve">24 </w:t>
      </w:r>
      <w:r>
        <w:t xml:space="preserve">His inward parts are full of fat, and his marrow pours out.</w:t>
      </w:r>
    </w:p>
    <w:p>
      <w:r>
        <w:rPr>
          <w:b/>
        </w:rPr>
        <w:t xml:space="preserve">25 </w:t>
      </w:r>
      <w:r>
        <w:t xml:space="preserve">But another dies in bitterness of soul, not having eaten any good thing.</w:t>
      </w:r>
    </w:p>
    <w:p>
      <w:r>
        <w:rPr>
          <w:b/>
        </w:rPr>
        <w:t xml:space="preserve">26 </w:t>
      </w:r>
      <w:r>
        <w:t xml:space="preserve">Yet together they lie down on earth, and rot covered them.</w:t>
      </w:r>
    </w:p>
    <w:p>
      <w:r>
        <w:rPr>
          <w:b/>
        </w:rPr>
        <w:t xml:space="preserve">27 </w:t>
      </w:r>
      <w:r>
        <w:t xml:space="preserve">So I know that you boldly press upon me.</w:t>
      </w:r>
    </w:p>
    <w:p>
      <w:r>
        <w:rPr>
          <w:b/>
        </w:rPr>
        <w:t xml:space="preserve">28 </w:t>
      </w:r>
      <w:r>
        <w:t xml:space="preserve">For you will say, Where is the house of a ruler, and where is the shelter of the tents of ungodly men?</w:t>
      </w:r>
      <w:r>
        <w:rPr>
          <w:rStyle w:val="FootnoteReference"/>
        </w:rPr>
        <w:footnoteReference w:id="10391"/>
      </w:r>
      <w:r>
        <w:t xml:space="preserve"/>
      </w:r>
    </w:p>
    <w:p>
      <w:r>
        <w:rPr>
          <w:b/>
        </w:rPr>
        <w:t xml:space="preserve">29 </w:t>
      </w:r>
      <w:r>
        <w:t xml:space="preserve">Ask those passing along way, and you will not reject their signs.</w:t>
      </w:r>
    </w:p>
    <w:p>
      <w:r>
        <w:rPr>
          <w:b/>
        </w:rPr>
        <w:t xml:space="preserve">30 </w:t>
      </w:r>
      <w:r>
        <w:t xml:space="preserve">For wicked man is spared in the day of destruction; they will be led away in the day of his wrath.</w:t>
      </w:r>
    </w:p>
    <w:p>
      <w:r>
        <w:rPr>
          <w:b/>
        </w:rPr>
        <w:t xml:space="preserve">31 </w:t>
      </w:r>
      <w:r>
        <w:t xml:space="preserve">Who will declare</w:t>
      </w:r>
      <w:r>
        <w:rPr>
          <w:rStyle w:val="FootnoteReference"/>
        </w:rPr>
        <w:footnoteReference w:id="10392"/>
      </w:r>
      <w:r>
        <w:t xml:space="preserve"> his way to his face? And what he did, who will repay to him?</w:t>
      </w:r>
    </w:p>
    <w:p>
      <w:r>
        <w:rPr>
          <w:b/>
        </w:rPr>
        <w:t xml:space="preserve">32 </w:t>
      </w:r>
      <w:r>
        <w:t xml:space="preserve">And he was carried off to tombs, and kept watch over on mound.</w:t>
      </w:r>
    </w:p>
    <w:p>
      <w:r>
        <w:rPr>
          <w:b/>
        </w:rPr>
        <w:t xml:space="preserve">33 </w:t>
      </w:r>
      <w:r>
        <w:t xml:space="preserve">The pebbles of a torrent were sweet</w:t>
      </w:r>
      <w:r>
        <w:rPr>
          <w:rStyle w:val="FootnoteReference"/>
        </w:rPr>
        <w:footnoteReference w:id="10393"/>
      </w:r>
      <w:r>
        <w:t xml:space="preserve"> to him, and after him every man will depart, and before him were beyond number.</w:t>
      </w:r>
    </w:p>
    <w:p>
      <w:r>
        <w:rPr>
          <w:b/>
        </w:rPr>
        <w:t xml:space="preserve">34 </w:t>
      </w:r>
      <w:r>
        <w:t xml:space="preserve">How then do you comfort</w:t>
      </w:r>
      <w:r>
        <w:rPr>
          <w:rStyle w:val="FootnoteReference"/>
        </w:rPr>
        <w:footnoteReference w:id="10394"/>
      </w:r>
      <w:r>
        <w:t xml:space="preserve"> me with empty things? To make me cease from you, nothing remains.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taking up the matter, Eliphaz the Temanite says,</w:t>
      </w:r>
    </w:p>
    <w:p>
      <w:r>
        <w:rPr>
          <w:b/>
        </w:rPr>
        <w:t xml:space="preserve">2 </w:t>
      </w:r>
      <w:r>
        <w:t xml:space="preserve">Is it not the Lord who teaches understanding and knowledge?</w:t>
      </w:r>
    </w:p>
    <w:p>
      <w:r>
        <w:rPr>
          <w:b/>
        </w:rPr>
        <w:t xml:space="preserve">3 </w:t>
      </w:r>
      <w:r>
        <w:t xml:space="preserve">For what does it matter to the Lord if you were blameless in works, or what profit if you made your way simple?</w:t>
      </w:r>
    </w:p>
    <w:p>
      <w:r>
        <w:rPr>
          <w:b/>
        </w:rPr>
        <w:t xml:space="preserve">4 </w:t>
      </w:r>
      <w:r>
        <w:t xml:space="preserve">Will he reprove</w:t>
      </w:r>
      <w:r>
        <w:rPr>
          <w:rStyle w:val="FootnoteReference"/>
        </w:rPr>
        <w:footnoteReference w:id="10395"/>
      </w:r>
      <w:r>
        <w:t xml:space="preserve"> you because he takes account of your words, and enter judgment with you?</w:t>
      </w:r>
    </w:p>
    <w:p>
      <w:r>
        <w:rPr>
          <w:b/>
        </w:rPr>
        <w:t xml:space="preserve">5 </w:t>
      </w:r>
      <w:r>
        <w:t xml:space="preserve">Is not your evil great, and your sins beyond number?</w:t>
      </w:r>
    </w:p>
    <w:p>
      <w:r>
        <w:rPr>
          <w:b/>
        </w:rPr>
        <w:t xml:space="preserve">6 </w:t>
      </w:r>
      <w:r>
        <w:t xml:space="preserve">You took pledges from your brothers for nothing, and stripped</w:t>
      </w:r>
      <w:r>
        <w:rPr>
          <w:rStyle w:val="FootnoteReference"/>
        </w:rPr>
        <w:footnoteReference w:id="10396"/>
      </w:r>
      <w:r>
        <w:t xml:space="preserve"> clothing from naked men.</w:t>
      </w:r>
    </w:p>
    <w:p>
      <w:r>
        <w:rPr>
          <w:b/>
        </w:rPr>
        <w:t xml:space="preserve">7 </w:t>
      </w:r>
      <w:r>
        <w:t xml:space="preserve">You did not give water to thirsty men, but withheld bread from hungry men.</w:t>
      </w:r>
    </w:p>
    <w:p>
      <w:r>
        <w:rPr>
          <w:b/>
        </w:rPr>
        <w:t xml:space="preserve">8 </w:t>
      </w:r>
      <w:r>
        <w:t xml:space="preserve">And you admired faces of certain men, and settled those upon earth.</w:t>
      </w:r>
    </w:p>
    <w:p>
      <w:r>
        <w:rPr>
          <w:b/>
        </w:rPr>
        <w:t xml:space="preserve">9 </w:t>
      </w:r>
      <w:r>
        <w:t xml:space="preserve">But you sent widows</w:t>
      </w:r>
      <w:r>
        <w:rPr>
          <w:rStyle w:val="FootnoteReference"/>
        </w:rPr>
        <w:footnoteReference w:id="10397"/>
      </w:r>
      <w:r>
        <w:t xml:space="preserve"> away empty, and afflicted orphans.</w:t>
      </w:r>
    </w:p>
    <w:p>
      <w:r>
        <w:rPr>
          <w:b/>
        </w:rPr>
        <w:t xml:space="preserve">10 </w:t>
      </w:r>
      <w:r>
        <w:t xml:space="preserve">Therefore snares</w:t>
      </w:r>
      <w:r>
        <w:rPr>
          <w:rStyle w:val="FootnoteReference"/>
        </w:rPr>
        <w:footnoteReference w:id="10398"/>
      </w:r>
      <w:r>
        <w:t xml:space="preserve"> encircled you, and extraordinary war made you hurry.</w:t>
      </w:r>
    </w:p>
    <w:p>
      <w:r>
        <w:rPr>
          <w:b/>
        </w:rPr>
        <w:t xml:space="preserve">11 </w:t>
      </w:r>
      <w:r>
        <w:t xml:space="preserve">The light turned to darkness</w:t>
      </w:r>
      <w:r>
        <w:rPr>
          <w:rStyle w:val="FootnoteReference"/>
        </w:rPr>
        <w:footnoteReference w:id="10399"/>
      </w:r>
      <w:r>
        <w:t xml:space="preserve"> for you, and water covered you as you slept.</w:t>
      </w:r>
    </w:p>
    <w:p>
      <w:r>
        <w:rPr>
          <w:b/>
        </w:rPr>
        <w:t xml:space="preserve">12 </w:t>
      </w:r>
      <w:r>
        <w:t xml:space="preserve">Is not he who dwells in heights watching, and he humbled those carried in arrogance?</w:t>
      </w:r>
    </w:p>
    <w:p>
      <w:r>
        <w:rPr>
          <w:b/>
        </w:rPr>
        <w:t xml:space="preserve">13 </w:t>
      </w:r>
      <w:r>
        <w:t xml:space="preserve">And you said, What did Mighty One know? Does he judge through thick gloom?</w:t>
      </w:r>
    </w:p>
    <w:p>
      <w:r>
        <w:rPr>
          <w:b/>
        </w:rPr>
        <w:t xml:space="preserve">14 </w:t>
      </w:r>
      <w:r>
        <w:t xml:space="preserve">Clouds are his hiding place, and he will not be seen; and he walks about circuit of heaven.</w:t>
      </w:r>
    </w:p>
    <w:p>
      <w:r>
        <w:rPr>
          <w:b/>
        </w:rPr>
        <w:t xml:space="preserve">15 </w:t>
      </w:r>
      <w:r>
        <w:t xml:space="preserve">Will you keep the ancient path which unjust men trod,</w:t>
      </w:r>
    </w:p>
    <w:p>
      <w:r>
        <w:rPr>
          <w:b/>
        </w:rPr>
        <w:t xml:space="preserve">16 </w:t>
      </w:r>
      <w:r>
        <w:t xml:space="preserve">who were seized before their time, their foundations a river pouring over?</w:t>
      </w:r>
    </w:p>
    <w:p>
      <w:r>
        <w:rPr>
          <w:b/>
        </w:rPr>
        <w:t xml:space="preserve">17 </w:t>
      </w:r>
      <w:r>
        <w:t xml:space="preserve">Who say, What will the Lord do to us, or what will Almighty bring upon us?</w:t>
      </w:r>
    </w:p>
    <w:p>
      <w:r>
        <w:rPr>
          <w:b/>
        </w:rPr>
        <w:t xml:space="preserve">18 </w:t>
      </w:r>
      <w:r>
        <w:t xml:space="preserve">Yet he filled their houses with good things, but the counsel of ungodly men is far from him.</w:t>
      </w:r>
      <w:r>
        <w:rPr>
          <w:rStyle w:val="FootnoteReference"/>
        </w:rPr>
        <w:footnoteReference w:id="10400"/>
      </w:r>
      <w:r>
        <w:t xml:space="preserve"/>
      </w:r>
      <w:r>
        <w:rPr>
          <w:rStyle w:val="FootnoteReference"/>
        </w:rPr>
        <w:footnoteReference w:id="10401"/>
      </w:r>
    </w:p>
    <w:p>
      <w:r>
        <w:rPr>
          <w:b/>
        </w:rPr>
        <w:t xml:space="preserve">19 </w:t>
      </w:r>
      <w:r>
        <w:t xml:space="preserve">Righteous</w:t>
      </w:r>
      <w:r>
        <w:rPr>
          <w:rStyle w:val="FootnoteReference"/>
        </w:rPr>
        <w:footnoteReference w:id="10402"/>
      </w:r>
      <w:r>
        <w:t xml:space="preserve"> men saw and laughed, and blameless one mocked.</w:t>
      </w:r>
    </w:p>
    <w:p>
      <w:r>
        <w:rPr>
          <w:b/>
        </w:rPr>
        <w:t xml:space="preserve">20 </w:t>
      </w:r>
      <w:r>
        <w:t xml:space="preserve">If indeed their substance did not vanish, and fire will devour what remains of them.</w:t>
      </w:r>
    </w:p>
    <w:p>
      <w:r>
        <w:rPr>
          <w:b/>
        </w:rPr>
        <w:t xml:space="preserve">21 </w:t>
      </w:r>
      <w:r>
        <w:t xml:space="preserve">Become firm then, if you endure, and then your fruit will be in good things.</w:t>
      </w:r>
    </w:p>
    <w:p>
      <w:r>
        <w:rPr>
          <w:b/>
        </w:rPr>
        <w:t xml:space="preserve">22 </w:t>
      </w:r>
      <w:r>
        <w:t xml:space="preserve">Receive</w:t>
      </w:r>
      <w:r>
        <w:rPr>
          <w:rStyle w:val="FootnoteReference"/>
        </w:rPr>
        <w:footnoteReference w:id="10403"/>
      </w:r>
      <w:r>
        <w:t xml:space="preserve"> declaration from his mouth, and take his words into your heart.</w:t>
      </w:r>
    </w:p>
    <w:p>
      <w:r>
        <w:rPr>
          <w:b/>
        </w:rPr>
        <w:t xml:space="preserve">23 </w:t>
      </w:r>
      <w:r>
        <w:t xml:space="preserve">And if you return</w:t>
      </w:r>
      <w:r>
        <w:rPr>
          <w:rStyle w:val="FootnoteReference"/>
        </w:rPr>
        <w:footnoteReference w:id="10404"/>
      </w:r>
      <w:r>
        <w:t xml:space="preserve"> and humble yourself before the Lord, you made injustice far from your dwelling.</w:t>
      </w:r>
    </w:p>
    <w:p>
      <w:r>
        <w:rPr>
          <w:b/>
        </w:rPr>
        <w:t xml:space="preserve">24 </w:t>
      </w:r>
      <w:r>
        <w:t xml:space="preserve">You will place Ophir</w:t>
      </w:r>
      <w:r>
        <w:rPr>
          <w:rStyle w:val="FootnoteReference"/>
        </w:rPr>
        <w:footnoteReference w:id="10405"/>
      </w:r>
      <w:r>
        <w:t xml:space="preserve"> on rock in dust and as torrent-stones among rocks.</w:t>
      </w:r>
    </w:p>
    <w:p>
      <w:r>
        <w:rPr>
          <w:b/>
        </w:rPr>
        <w:t xml:space="preserve">25 </w:t>
      </w:r>
      <w:r>
        <w:t xml:space="preserve">Then Almighty will be your helper against enemies, and will restore you pure like silver refined by fire.</w:t>
      </w:r>
    </w:p>
    <w:p>
      <w:r>
        <w:rPr>
          <w:b/>
        </w:rPr>
        <w:t xml:space="preserve">26 </w:t>
      </w:r>
      <w:r>
        <w:t xml:space="preserve">Then you will speak boldly before the Lord, looking up to heaven with cheerfulness.</w:t>
      </w:r>
    </w:p>
    <w:p>
      <w:r>
        <w:rPr>
          <w:b/>
        </w:rPr>
        <w:t xml:space="preserve">27 </w:t>
      </w:r>
      <w:r>
        <w:t xml:space="preserve">And when you pray to him, he will hear you, and will give you to pay your vows.</w:t>
      </w:r>
    </w:p>
    <w:p>
      <w:r>
        <w:rPr>
          <w:b/>
        </w:rPr>
        <w:t xml:space="preserve">28 </w:t>
      </w:r>
      <w:r>
        <w:t xml:space="preserve">And he will restore to you dwelling of righteousness, and upon your ways there will be light.</w:t>
      </w:r>
    </w:p>
    <w:p>
      <w:r>
        <w:rPr>
          <w:b/>
        </w:rPr>
        <w:t xml:space="preserve">29 </w:t>
      </w:r>
      <w:r>
        <w:t xml:space="preserve">For he humbled him, and you will say, He acted proudly; but one bent in eyes he will save.</w:t>
      </w:r>
    </w:p>
    <w:p>
      <w:r>
        <w:rPr>
          <w:b/>
        </w:rPr>
        <w:t xml:space="preserve">30 </w:t>
      </w:r>
      <w:r>
        <w:t xml:space="preserve">He will rescue innocent one, and be saved through purity of your hands.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taking up the matter, Job says,</w:t>
      </w:r>
    </w:p>
    <w:p>
      <w:r>
        <w:rPr>
          <w:b/>
        </w:rPr>
        <w:t xml:space="preserve">2 </w:t>
      </w:r>
      <w:r>
        <w:t xml:space="preserve">And now I know that my reproof is from my hand, and his hand has become heavy upon my groaning.</w:t>
      </w:r>
    </w:p>
    <w:p>
      <w:r>
        <w:rPr>
          <w:b/>
        </w:rPr>
        <w:t xml:space="preserve">3 </w:t>
      </w:r>
      <w:r>
        <w:t xml:space="preserve">Who then would know that I might</w:t>
      </w:r>
      <w:r>
        <w:rPr>
          <w:rStyle w:val="FootnoteReference"/>
        </w:rPr>
        <w:footnoteReference w:id="10406"/>
      </w:r>
      <w:r>
        <w:t xml:space="preserve"> find him and come to end?</w:t>
      </w:r>
    </w:p>
    <w:p>
      <w:r>
        <w:rPr>
          <w:b/>
        </w:rPr>
        <w:t xml:space="preserve">4 </w:t>
      </w:r>
      <w:r>
        <w:t xml:space="preserve">I would state my judgment to myself, and fill my mouth</w:t>
      </w:r>
      <w:r>
        <w:rPr>
          <w:rStyle w:val="FootnoteReference"/>
        </w:rPr>
        <w:footnoteReference w:id="10407"/>
      </w:r>
      <w:r>
        <w:t xml:space="preserve"> with reproofs.</w:t>
      </w:r>
    </w:p>
    <w:p>
      <w:r>
        <w:rPr>
          <w:b/>
        </w:rPr>
        <w:t xml:space="preserve">5 </w:t>
      </w:r>
      <w:r>
        <w:t xml:space="preserve">And I would know</w:t>
      </w:r>
      <w:r>
        <w:rPr>
          <w:rStyle w:val="FootnoteReference"/>
        </w:rPr>
        <w:footnoteReference w:id="10408"/>
      </w:r>
      <w:r>
        <w:t xml:space="preserve"> words that he will say to me, and perceive what he will tell me.</w:t>
      </w:r>
    </w:p>
    <w:p>
      <w:r>
        <w:rPr>
          <w:b/>
        </w:rPr>
        <w:t xml:space="preserve">6 </w:t>
      </w:r>
      <w:r>
        <w:t xml:space="preserve">And if he comes upon me in much strength, then he will not use threats against me.</w:t>
      </w:r>
    </w:p>
    <w:p>
      <w:r>
        <w:rPr>
          <w:b/>
        </w:rPr>
        <w:t xml:space="preserve">7 </w:t>
      </w:r>
      <w:r>
        <w:t xml:space="preserve">For truth and reproof are from him, and he would bring my judgment out to end.</w:t>
      </w:r>
    </w:p>
    <w:p>
      <w:r>
        <w:rPr>
          <w:b/>
        </w:rPr>
        <w:t xml:space="preserve">8 </w:t>
      </w:r>
      <w:r>
        <w:t xml:space="preserve">For I will go to first things, and I am no longer there; and at last things, what do I know?</w:t>
      </w:r>
    </w:p>
    <w:p>
      <w:r>
        <w:rPr>
          <w:b/>
        </w:rPr>
        <w:t xml:space="preserve">9 </w:t>
      </w:r>
      <w:r>
        <w:t xml:space="preserve">When he works on left, I did not grasp it; he will wrap right side, and I will not see.</w:t>
      </w:r>
    </w:p>
    <w:p>
      <w:r>
        <w:rPr>
          <w:b/>
        </w:rPr>
        <w:t xml:space="preserve">10 </w:t>
      </w:r>
      <w:r>
        <w:t xml:space="preserve">For he already knows my way, and he judged me like gold.</w:t>
      </w:r>
    </w:p>
    <w:p>
      <w:r>
        <w:rPr>
          <w:b/>
        </w:rPr>
        <w:t xml:space="preserve">11 </w:t>
      </w:r>
      <w:r>
        <w:t xml:space="preserve">And I will come forth in his commands; for I kept his ways and will by no means turn aside.</w:t>
      </w:r>
    </w:p>
    <w:p>
      <w:r>
        <w:rPr>
          <w:b/>
        </w:rPr>
        <w:t xml:space="preserve">12 </w:t>
      </w:r>
      <w:r>
        <w:t xml:space="preserve">And I will by no means pass beyond his commands; in my bosom I hid his words.</w:t>
      </w:r>
    </w:p>
    <w:p>
      <w:r>
        <w:rPr>
          <w:b/>
        </w:rPr>
        <w:t xml:space="preserve">13 </w:t>
      </w:r>
      <w:r>
        <w:t xml:space="preserve">But if he judged thus, who is one contradicting him? For what he himself willed, he also did.</w:t>
      </w:r>
    </w:p>
    <w:p>
      <w:r>
        <w:rPr>
          <w:b/>
        </w:rPr>
        <w:t xml:space="preserve">15 </w:t>
      </w:r>
      <w:r>
        <w:t xml:space="preserve">Because of this I hurried at him; being admonished, I took thought of him. Because of this let one make haste from his face; I will consider and be alarmed because of him.</w:t>
      </w:r>
    </w:p>
    <w:p>
      <w:r>
        <w:rPr>
          <w:b/>
        </w:rPr>
        <w:t xml:space="preserve">16 </w:t>
      </w:r>
      <w:r>
        <w:t xml:space="preserve">But the Lord softened my heart, and Almighty</w:t>
      </w:r>
      <w:r>
        <w:rPr>
          <w:rStyle w:val="FootnoteReference"/>
        </w:rPr>
        <w:footnoteReference w:id="10409"/>
      </w:r>
      <w:r>
        <w:t xml:space="preserve"> made me hurry.</w:t>
      </w:r>
    </w:p>
    <w:p>
      <w:r>
        <w:rPr>
          <w:b/>
        </w:rPr>
        <w:t xml:space="preserve">17 </w:t>
      </w:r>
      <w:r>
        <w:t xml:space="preserve">For I did not know that darkness would come upon me, and gloom covered me before my face.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Why then were seasons hidden from the Lord?</w:t>
      </w:r>
    </w:p>
    <w:p>
      <w:r>
        <w:rPr>
          <w:b/>
        </w:rPr>
        <w:t xml:space="preserve">2 </w:t>
      </w:r>
      <w:r>
        <w:t xml:space="preserve">But ungodly men crossed boundary, seizing flock together with shepherd.</w:t>
      </w:r>
    </w:p>
    <w:p>
      <w:r>
        <w:rPr>
          <w:b/>
        </w:rPr>
        <w:t xml:space="preserve">3 </w:t>
      </w:r>
      <w:r>
        <w:t xml:space="preserve">They drove away orphan's donkey and took widow's ox as pledge.</w:t>
      </w:r>
    </w:p>
    <w:p>
      <w:r>
        <w:rPr>
          <w:b/>
        </w:rPr>
        <w:t xml:space="preserve">4 </w:t>
      </w:r>
      <w:r>
        <w:t xml:space="preserve">They turned weak ones aside from right way; together meek ones of earth were hidden.</w:t>
      </w:r>
    </w:p>
    <w:p>
      <w:r>
        <w:rPr>
          <w:b/>
        </w:rPr>
        <w:t xml:space="preserve">5 </w:t>
      </w:r>
      <w:r>
        <w:t xml:space="preserve">They went out like donkeys in the field against me, going forth to their own labor; bread became sweet to him for younger ones.</w:t>
      </w:r>
    </w:p>
    <w:p>
      <w:r>
        <w:rPr>
          <w:b/>
        </w:rPr>
        <w:t xml:space="preserve">6 </w:t>
      </w:r>
      <w:r>
        <w:t xml:space="preserve">Before the right time they reaped a field not their own, and weak men worked the vineyards of ungodly men without pay and unfed.</w:t>
      </w:r>
      <w:r>
        <w:rPr>
          <w:rStyle w:val="FootnoteReference"/>
        </w:rPr>
        <w:footnoteReference w:id="10410"/>
      </w:r>
    </w:p>
    <w:p>
      <w:r>
        <w:rPr>
          <w:b/>
        </w:rPr>
        <w:t xml:space="preserve">7 </w:t>
      </w:r>
      <w:r>
        <w:t xml:space="preserve">They put many naked ones to sleep without clothing, and took away covering of their souls.</w:t>
      </w:r>
    </w:p>
    <w:p>
      <w:r>
        <w:rPr>
          <w:b/>
        </w:rPr>
        <w:t xml:space="preserve">8 </w:t>
      </w:r>
      <w:r>
        <w:t xml:space="preserve">They are drenched by mountain showers; because they have no shelter, they wrapped themselves around rock.</w:t>
      </w:r>
    </w:p>
    <w:p>
      <w:r>
        <w:rPr>
          <w:b/>
        </w:rPr>
        <w:t xml:space="preserve">9 </w:t>
      </w:r>
      <w:r>
        <w:t xml:space="preserve">They snatched orphan from the breast, and humbled one who had fallen out.</w:t>
      </w:r>
    </w:p>
    <w:p>
      <w:r>
        <w:rPr>
          <w:b/>
        </w:rPr>
        <w:t xml:space="preserve">10 </w:t>
      </w:r>
      <w:r>
        <w:t xml:space="preserve">They put naked men to sleep unjustly, and took away bread from hungry men.</w:t>
      </w:r>
    </w:p>
    <w:p>
      <w:r>
        <w:rPr>
          <w:b/>
        </w:rPr>
        <w:t xml:space="preserve">11 </w:t>
      </w:r>
      <w:r>
        <w:t xml:space="preserve">In narrow places they lay in wait unjustly, and they did not know a righteous way</w:t>
      </w:r>
      <w:r>
        <w:rPr>
          <w:rStyle w:val="FootnoteReference"/>
        </w:rPr>
        <w:footnoteReference w:id="10411"/>
      </w:r>
      <w:r>
        <w:t xml:space="preserve">.</w:t>
      </w:r>
    </w:p>
    <w:p>
      <w:r>
        <w:rPr>
          <w:b/>
        </w:rPr>
        <w:t xml:space="preserve">12 </w:t>
      </w:r>
      <w:r>
        <w:t xml:space="preserve">They were cast out from the city and their own houses, and soul of infants groaned greatly. Yet why has he not made inspection of these things?</w:t>
      </w:r>
    </w:p>
    <w:p>
      <w:r>
        <w:rPr>
          <w:b/>
        </w:rPr>
        <w:t xml:space="preserve">13 </w:t>
      </w:r>
      <w:r>
        <w:t xml:space="preserve">While they were on earth, they did not recognize way of righteousness, nor knew its paths, nor walked them.</w:t>
      </w:r>
    </w:p>
    <w:p>
      <w:r>
        <w:rPr>
          <w:b/>
        </w:rPr>
        <w:t xml:space="preserve">14 </w:t>
      </w:r>
      <w:r>
        <w:t xml:space="preserve">But knowing their works, he handed them over to darkness, and in night he will be like thief.</w:t>
      </w:r>
    </w:p>
    <w:p>
      <w:r>
        <w:rPr>
          <w:b/>
        </w:rPr>
        <w:t xml:space="preserve">15 </w:t>
      </w:r>
      <w:r>
        <w:t xml:space="preserve">And eye of adulterer watched darkness, saying, Eye will not notice me, and he put hiddenness of face.</w:t>
      </w:r>
    </w:p>
    <w:p>
      <w:r>
        <w:rPr>
          <w:b/>
        </w:rPr>
        <w:t xml:space="preserve">16 </w:t>
      </w:r>
      <w:r>
        <w:t xml:space="preserve">In darkness he dug through houses; by day they sealed themselves up; they did not know light.</w:t>
      </w:r>
    </w:p>
    <w:p>
      <w:r>
        <w:rPr>
          <w:b/>
        </w:rPr>
        <w:t xml:space="preserve">17 </w:t>
      </w:r>
      <w:r>
        <w:t xml:space="preserve">For morning is to them the shadow of death, because he will recognize terrors of the shadow of death.</w:t>
      </w:r>
    </w:p>
    <w:p>
      <w:r>
        <w:rPr>
          <w:b/>
        </w:rPr>
        <w:t xml:space="preserve">18 </w:t>
      </w:r>
      <w:r>
        <w:t xml:space="preserve">He is light upon the face of water; let their portion</w:t>
      </w:r>
      <w:r>
        <w:rPr>
          <w:rStyle w:val="FootnoteReference"/>
        </w:rPr>
        <w:footnoteReference w:id="10412"/>
      </w:r>
      <w:r>
        <w:t xml:space="preserve"> be cursed upon earth.</w:t>
      </w:r>
    </w:p>
    <w:p>
      <w:r>
        <w:rPr>
          <w:b/>
        </w:rPr>
        <w:t xml:space="preserve">19 </w:t>
      </w:r>
      <w:r>
        <w:t xml:space="preserve">And let their plants appear upon dry earth, for they snatched embrace of orphans.</w:t>
      </w:r>
    </w:p>
    <w:p>
      <w:r>
        <w:rPr>
          <w:b/>
        </w:rPr>
        <w:t xml:space="preserve">20 </w:t>
      </w:r>
      <w:r>
        <w:t xml:space="preserve">Then his sin was remembered; like mist of dew he became unseen. Let what he did be repaid to him, and let every unjust man be shattered like incurable wood.</w:t>
      </w:r>
    </w:p>
    <w:p>
      <w:r>
        <w:rPr>
          <w:b/>
        </w:rPr>
        <w:t xml:space="preserve">21 </w:t>
      </w:r>
      <w:r>
        <w:t xml:space="preserve">For he did not treat barren woman well, and did not pity woman.</w:t>
      </w:r>
    </w:p>
    <w:p>
      <w:r>
        <w:rPr>
          <w:b/>
        </w:rPr>
        <w:t xml:space="preserve">22 </w:t>
      </w:r>
      <w:r>
        <w:t xml:space="preserve">But by wrath he overthrew weak men; therefore rising up he will by no means trust in his own life.</w:t>
      </w:r>
    </w:p>
    <w:p>
      <w:r>
        <w:rPr>
          <w:b/>
        </w:rPr>
        <w:t xml:space="preserve">23 </w:t>
      </w:r>
      <w:r>
        <w:t xml:space="preserve">Being softened, let him not hope to be healed, but he will fall in sickness.</w:t>
      </w:r>
    </w:p>
    <w:p>
      <w:r>
        <w:rPr>
          <w:b/>
        </w:rPr>
        <w:t xml:space="preserve">24 </w:t>
      </w:r>
      <w:r>
        <w:t xml:space="preserve">For his exaltation afflicted many, but he withered like mallow in heat, or like ear of grain falling of itself from stalk.</w:t>
      </w:r>
    </w:p>
    <w:p>
      <w:r>
        <w:rPr>
          <w:b/>
        </w:rPr>
        <w:t xml:space="preserve">25 </w:t>
      </w:r>
      <w:r>
        <w:t xml:space="preserve">If not, who is one saying I speak lies and will make my words into nothing?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taking up the matter, Bildad the Shuhite says,</w:t>
      </w:r>
    </w:p>
    <w:p>
      <w:r>
        <w:rPr>
          <w:b/>
        </w:rPr>
        <w:t xml:space="preserve">2 </w:t>
      </w:r>
      <w:r>
        <w:t xml:space="preserve">For what foreword or fear is from him, he who makes whole order in highest place?</w:t>
      </w:r>
    </w:p>
    <w:p>
      <w:r>
        <w:rPr>
          <w:b/>
        </w:rPr>
        <w:t xml:space="preserve">3 </w:t>
      </w:r>
      <w:r>
        <w:t xml:space="preserve">For let no one suppose there is delay for raiders; upon whom</w:t>
      </w:r>
      <w:r>
        <w:rPr>
          <w:rStyle w:val="FootnoteReference"/>
        </w:rPr>
        <w:footnoteReference w:id="10413"/>
      </w:r>
      <w:r>
        <w:t xml:space="preserve"> will ambush from him not come?</w:t>
      </w:r>
    </w:p>
    <w:p>
      <w:r>
        <w:rPr>
          <w:b/>
        </w:rPr>
        <w:t xml:space="preserve">4 </w:t>
      </w:r>
      <w:r>
        <w:t xml:space="preserve">For how will mortal be righteous before the Lord, or who could cleanse himself, one born of woman?</w:t>
      </w:r>
    </w:p>
    <w:p>
      <w:r>
        <w:rPr>
          <w:b/>
        </w:rPr>
        <w:t xml:space="preserve">5 </w:t>
      </w:r>
      <w:r>
        <w:t xml:space="preserve">If he orders moon, and it does not shine, and stars are not clean before him,</w:t>
      </w:r>
    </w:p>
    <w:p>
      <w:r>
        <w:rPr>
          <w:b/>
        </w:rPr>
        <w:t xml:space="preserve">6 </w:t>
      </w:r>
      <w:r>
        <w:t xml:space="preserve">how much less</w:t>
      </w:r>
      <w:r>
        <w:rPr>
          <w:rStyle w:val="FootnoteReference"/>
        </w:rPr>
        <w:footnoteReference w:id="10414"/>
      </w:r>
      <w:r>
        <w:t xml:space="preserve"> man, rot, and son of man, worm.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taking up the matter, Job says,</w:t>
      </w:r>
    </w:p>
    <w:p>
      <w:r>
        <w:rPr>
          <w:b/>
        </w:rPr>
        <w:t xml:space="preserve">2 </w:t>
      </w:r>
      <w:r>
        <w:t xml:space="preserve">To whom will you attach yourself, and whom are you about to help? Is it not one of much strength and mighty arm?</w:t>
      </w:r>
    </w:p>
    <w:p>
      <w:r>
        <w:rPr>
          <w:b/>
        </w:rPr>
        <w:t xml:space="preserve">3 </w:t>
      </w:r>
      <w:r>
        <w:t xml:space="preserve">To whom did you give counsel? Is it not one of all wisdom? And whom will you follow? Is it not one of greatest power?</w:t>
      </w:r>
    </w:p>
    <w:p>
      <w:r>
        <w:rPr>
          <w:b/>
        </w:rPr>
        <w:t xml:space="preserve">4 </w:t>
      </w:r>
      <w:r>
        <w:t xml:space="preserve">To whom did you declare words? And breath of whom is that which came out from you?</w:t>
      </w:r>
    </w:p>
    <w:p>
      <w:r>
        <w:rPr>
          <w:b/>
        </w:rPr>
        <w:t xml:space="preserve">5 </w:t>
      </w:r>
      <w:r>
        <w:t xml:space="preserve">Will not giants be brought forth from under water, and its neighbors?</w:t>
      </w:r>
    </w:p>
    <w:p>
      <w:r>
        <w:rPr>
          <w:b/>
        </w:rPr>
        <w:t xml:space="preserve">6 </w:t>
      </w:r>
      <w:r>
        <w:t xml:space="preserve">Hades is naked before him, and destruction</w:t>
      </w:r>
      <w:r>
        <w:rPr>
          <w:rStyle w:val="FootnoteReference"/>
        </w:rPr>
        <w:footnoteReference w:id="10415"/>
      </w:r>
      <w:r>
        <w:t xml:space="preserve"> has no covering.</w:t>
      </w:r>
    </w:p>
    <w:p>
      <w:r>
        <w:rPr>
          <w:b/>
        </w:rPr>
        <w:t xml:space="preserve">7 </w:t>
      </w:r>
      <w:r>
        <w:t xml:space="preserve">Stretching out north over nothing, hanging earth upon nothing.</w:t>
      </w:r>
    </w:p>
    <w:p>
      <w:r>
        <w:rPr>
          <w:b/>
        </w:rPr>
        <w:t xml:space="preserve">8 </w:t>
      </w:r>
      <w:r>
        <w:t xml:space="preserve">Binding water in his clouds, and cloud was not torn under him.</w:t>
      </w:r>
    </w:p>
    <w:p>
      <w:r>
        <w:rPr>
          <w:b/>
        </w:rPr>
        <w:t xml:space="preserve">9 </w:t>
      </w:r>
      <w:r>
        <w:t xml:space="preserve">Holding face of throne, spreading his cloud upon it.</w:t>
      </w:r>
    </w:p>
    <w:p>
      <w:r>
        <w:rPr>
          <w:b/>
        </w:rPr>
        <w:t xml:space="preserve">10 </w:t>
      </w:r>
      <w:r>
        <w:t xml:space="preserve">He drew boundary by decree upon the face of water, until completion of light with darkness.</w:t>
      </w:r>
    </w:p>
    <w:p>
      <w:r>
        <w:rPr>
          <w:b/>
        </w:rPr>
        <w:t xml:space="preserve">11 </w:t>
      </w:r>
      <w:r>
        <w:t xml:space="preserve">The pillars</w:t>
      </w:r>
      <w:r>
        <w:rPr>
          <w:rStyle w:val="FootnoteReference"/>
        </w:rPr>
        <w:footnoteReference w:id="10416"/>
      </w:r>
      <w:r>
        <w:t xml:space="preserve"> of heaven were spread out and were astonished at his rebuke.</w:t>
      </w:r>
    </w:p>
    <w:p>
      <w:r>
        <w:rPr>
          <w:b/>
        </w:rPr>
        <w:t xml:space="preserve">12 </w:t>
      </w:r>
      <w:r>
        <w:t xml:space="preserve">By strength he stilled sea, and by knowledge wounded sea-monster.</w:t>
      </w:r>
    </w:p>
    <w:p>
      <w:r>
        <w:rPr>
          <w:b/>
        </w:rPr>
        <w:t xml:space="preserve">13 </w:t>
      </w:r>
      <w:r>
        <w:t xml:space="preserve">And bolts of heaven fear him, and by decree he killed dragon that turned away.</w:t>
      </w:r>
    </w:p>
    <w:p>
      <w:r>
        <w:rPr>
          <w:b/>
        </w:rPr>
        <w:t xml:space="preserve">14 </w:t>
      </w:r>
      <w:r>
        <w:t xml:space="preserve">Behold, these are parts of his way, and upon mere drop of word we will hear in him; but strength of his thunder, who knows when he will make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again adding, Job said in his opening discourse,</w:t>
      </w:r>
    </w:p>
    <w:p>
      <w:r>
        <w:rPr>
          <w:b/>
        </w:rPr>
        <w:t xml:space="preserve">2 </w:t>
      </w:r>
      <w:r>
        <w:t xml:space="preserve">As the Lord lives, who has judged me thus, and Almighty, who embittered my soul,</w:t>
      </w:r>
    </w:p>
    <w:p>
      <w:r>
        <w:rPr>
          <w:b/>
        </w:rPr>
        <w:t xml:space="preserve">3 </w:t>
      </w:r>
      <w:r>
        <w:t xml:space="preserve">as long as my breath is still in me and divine spirit in my nostrils,</w:t>
      </w:r>
    </w:p>
    <w:p>
      <w:r>
        <w:rPr>
          <w:b/>
        </w:rPr>
        <w:t xml:space="preserve">4 </w:t>
      </w:r>
      <w:r>
        <w:t xml:space="preserve">my lips will by no means speak lawless things, nor will my soul meditate unjust things.</w:t>
      </w:r>
    </w:p>
    <w:p>
      <w:r>
        <w:rPr>
          <w:b/>
        </w:rPr>
        <w:t xml:space="preserve">5 </w:t>
      </w:r>
      <w:r>
        <w:t xml:space="preserve">Far be it from me to declare you righteous until I die, for I will not</w:t>
      </w:r>
      <w:r>
        <w:rPr>
          <w:rStyle w:val="FootnoteReference"/>
        </w:rPr>
        <w:footnoteReference w:id="10417"/>
      </w:r>
      <w:r>
        <w:t xml:space="preserve"> put away my innocence.</w:t>
      </w:r>
    </w:p>
    <w:p>
      <w:r>
        <w:rPr>
          <w:b/>
        </w:rPr>
        <w:t xml:space="preserve">6 </w:t>
      </w:r>
      <w:r>
        <w:t xml:space="preserve">And clinging to righteousness, I will by no means let go, for I am not conscious to myself of having done improper things.</w:t>
      </w:r>
    </w:p>
    <w:p>
      <w:r>
        <w:rPr>
          <w:b/>
        </w:rPr>
        <w:t xml:space="preserve">7 </w:t>
      </w:r>
      <w:r>
        <w:t xml:space="preserve">Yet let my enemies be as the overthrow of ungodly men, and those rising against me as the destruction of lawless men.</w:t>
      </w:r>
      <w:r>
        <w:rPr>
          <w:rStyle w:val="FootnoteReference"/>
        </w:rPr>
        <w:footnoteReference w:id="10418"/>
      </w:r>
      <w:r>
        <w:t xml:space="preserve"/>
      </w:r>
    </w:p>
    <w:p>
      <w:r>
        <w:rPr>
          <w:b/>
        </w:rPr>
        <w:t xml:space="preserve">8 </w:t>
      </w:r>
      <w:r>
        <w:t xml:space="preserve">For what hope is there for an ungodly man</w:t>
      </w:r>
      <w:r>
        <w:rPr>
          <w:rStyle w:val="FootnoteReference"/>
        </w:rPr>
        <w:footnoteReference w:id="10419"/>
      </w:r>
      <w:r>
        <w:t xml:space="preserve">, that he clings, trusting upon the Lord? Will he be saved?</w:t>
      </w:r>
    </w:p>
    <w:p>
      <w:r>
        <w:rPr>
          <w:b/>
        </w:rPr>
        <w:t xml:space="preserve">9 </w:t>
      </w:r>
      <w:r>
        <w:t xml:space="preserve">Or will the Lord hear his petition, or when necessity comes upon him?</w:t>
      </w:r>
    </w:p>
    <w:p>
      <w:r>
        <w:rPr>
          <w:b/>
        </w:rPr>
        <w:t xml:space="preserve">10 </w:t>
      </w:r>
      <w:r>
        <w:t xml:space="preserve">Does he have any boldness before him, or when he calls upon him, will he hear him?</w:t>
      </w:r>
    </w:p>
    <w:p>
      <w:r>
        <w:rPr>
          <w:b/>
        </w:rPr>
        <w:t xml:space="preserve">11 </w:t>
      </w:r>
      <w:r>
        <w:t xml:space="preserve">But now I will declare to you what is in the hand of the Lord; what things are with Almighty I will not lie about.</w:t>
      </w:r>
    </w:p>
    <w:p>
      <w:r>
        <w:rPr>
          <w:b/>
        </w:rPr>
        <w:t xml:space="preserve">12 </w:t>
      </w:r>
      <w:r>
        <w:t xml:space="preserve">Behold now, you all know that you heap empty things upon empty things.</w:t>
      </w:r>
    </w:p>
    <w:p>
      <w:r>
        <w:rPr>
          <w:b/>
        </w:rPr>
        <w:t xml:space="preserve">13 </w:t>
      </w:r>
      <w:r>
        <w:t xml:space="preserve">This is the portion</w:t>
      </w:r>
      <w:r>
        <w:rPr>
          <w:rStyle w:val="FootnoteReference"/>
        </w:rPr>
        <w:footnoteReference w:id="10420"/>
      </w:r>
      <w:r>
        <w:t xml:space="preserve"> of an ungodly man from the Lord, and possession of tyrants will come upon them from Almighty.</w:t>
      </w:r>
    </w:p>
    <w:p>
      <w:r>
        <w:rPr>
          <w:b/>
        </w:rPr>
        <w:t xml:space="preserve">14 </w:t>
      </w:r>
      <w:r>
        <w:t xml:space="preserve">And if his sons become many, they will be for slaughter; and if they grow into men, they will beg.</w:t>
      </w:r>
    </w:p>
    <w:p>
      <w:r>
        <w:rPr>
          <w:b/>
        </w:rPr>
        <w:t xml:space="preserve">15 </w:t>
      </w:r>
      <w:r>
        <w:t xml:space="preserve">And those</w:t>
      </w:r>
      <w:r>
        <w:rPr>
          <w:rStyle w:val="FootnoteReference"/>
        </w:rPr>
        <w:footnoteReference w:id="10421"/>
      </w:r>
      <w:r>
        <w:t xml:space="preserve"> left of him will end in death, and no one will pity their widows.</w:t>
      </w:r>
    </w:p>
    <w:p>
      <w:r>
        <w:rPr>
          <w:b/>
        </w:rPr>
        <w:t xml:space="preserve">16 </w:t>
      </w:r>
      <w:r>
        <w:t xml:space="preserve">If he gathers silver like earth, and prepares gold like clay,</w:t>
      </w:r>
    </w:p>
    <w:p>
      <w:r>
        <w:rPr>
          <w:b/>
        </w:rPr>
        <w:t xml:space="preserve">17 </w:t>
      </w:r>
      <w:r>
        <w:t xml:space="preserve">righteous men will obtain all these things, and true men will hold his goods.</w:t>
      </w:r>
    </w:p>
    <w:p>
      <w:r>
        <w:rPr>
          <w:b/>
        </w:rPr>
        <w:t xml:space="preserve">18 </w:t>
      </w:r>
      <w:r>
        <w:t xml:space="preserve">And his house turned out like a moth, and like a spider.</w:t>
      </w:r>
    </w:p>
    <w:p>
      <w:r>
        <w:rPr>
          <w:b/>
        </w:rPr>
        <w:t xml:space="preserve">19 </w:t>
      </w:r>
      <w:r>
        <w:t xml:space="preserve">Rich man, having lain down, will add no more; he opened his eyes, and he is not</w:t>
      </w:r>
      <w:r>
        <w:rPr>
          <w:rStyle w:val="FootnoteReference"/>
        </w:rPr>
        <w:footnoteReference w:id="10422"/>
      </w:r>
      <w:r>
        <w:t xml:space="preserve">.</w:t>
      </w:r>
    </w:p>
    <w:p>
      <w:r>
        <w:rPr>
          <w:b/>
        </w:rPr>
        <w:t xml:space="preserve">20 </w:t>
      </w:r>
      <w:r>
        <w:t xml:space="preserve">Pains met him like water, and by night gloom carried him away.</w:t>
      </w:r>
    </w:p>
    <w:p>
      <w:r>
        <w:rPr>
          <w:b/>
        </w:rPr>
        <w:t xml:space="preserve">21 </w:t>
      </w:r>
      <w:r>
        <w:t xml:space="preserve">Scorching wind will carry him off and depart, and will winnow him from his place.</w:t>
      </w:r>
    </w:p>
    <w:p>
      <w:r>
        <w:rPr>
          <w:b/>
        </w:rPr>
        <w:t xml:space="preserve">22 </w:t>
      </w:r>
      <w:r>
        <w:t xml:space="preserve">And it will hurl itself upon him and not spare</w:t>
      </w:r>
      <w:r>
        <w:rPr>
          <w:rStyle w:val="FootnoteReference"/>
        </w:rPr>
        <w:footnoteReference w:id="10423"/>
      </w:r>
      <w:r>
        <w:t xml:space="preserve">; fleeing, he will flee from its hand.</w:t>
      </w:r>
    </w:p>
    <w:p>
      <w:r>
        <w:rPr>
          <w:b/>
        </w:rPr>
        <w:t xml:space="preserve">23 </w:t>
      </w:r>
      <w:r>
        <w:t xml:space="preserve">He will clap</w:t>
      </w:r>
      <w:r>
        <w:rPr>
          <w:rStyle w:val="FootnoteReference"/>
        </w:rPr>
        <w:footnoteReference w:id="10424"/>
      </w:r>
      <w:r>
        <w:t xml:space="preserve"> his hands against him and hiss him out of his place.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For silver has place from where it comes, and gold place from where it is refined.</w:t>
      </w:r>
    </w:p>
    <w:p>
      <w:r>
        <w:rPr>
          <w:b/>
        </w:rPr>
        <w:t xml:space="preserve">2 </w:t>
      </w:r>
      <w:r>
        <w:t xml:space="preserve">For iron</w:t>
      </w:r>
      <w:r>
        <w:rPr>
          <w:rStyle w:val="FootnoteReference"/>
        </w:rPr>
        <w:footnoteReference w:id="10425"/>
      </w:r>
      <w:r>
        <w:t xml:space="preserve"> comes from earth, and bronze is quarried like stone.</w:t>
      </w:r>
    </w:p>
    <w:p>
      <w:r>
        <w:rPr>
          <w:b/>
        </w:rPr>
        <w:t xml:space="preserve">3 </w:t>
      </w:r>
      <w:r>
        <w:t xml:space="preserve">He set order for darkness, and he himself searches out every limit, stone of gloom and the shadow of death.</w:t>
      </w:r>
    </w:p>
    <w:p>
      <w:r>
        <w:rPr>
          <w:b/>
        </w:rPr>
        <w:t xml:space="preserve">4 </w:t>
      </w:r>
      <w:r>
        <w:t xml:space="preserve">Torrent breaks off from dust, and those forgetting a righteous way</w:t>
      </w:r>
      <w:r>
        <w:rPr>
          <w:rStyle w:val="FootnoteReference"/>
        </w:rPr>
        <w:footnoteReference w:id="10426"/>
      </w:r>
      <w:r>
        <w:t xml:space="preserve"> grew weak among mortals.</w:t>
      </w:r>
    </w:p>
    <w:p>
      <w:r>
        <w:rPr>
          <w:b/>
        </w:rPr>
        <w:t xml:space="preserve">5 </w:t>
      </w:r>
      <w:r>
        <w:t xml:space="preserve">Earth, from it bread will come out, but underneath it is turned up as by fire</w:t>
      </w:r>
      <w:r>
        <w:rPr>
          <w:rStyle w:val="FootnoteReference"/>
        </w:rPr>
        <w:footnoteReference w:id="10427"/>
      </w:r>
      <w:r>
        <w:t xml:space="preserve">.</w:t>
      </w:r>
    </w:p>
    <w:p>
      <w:r>
        <w:rPr>
          <w:b/>
        </w:rPr>
        <w:t xml:space="preserve">6 </w:t>
      </w:r>
      <w:r>
        <w:t xml:space="preserve">Its stones are place of sapphire, and its dust has gold with it.</w:t>
      </w:r>
    </w:p>
    <w:p>
      <w:r>
        <w:rPr>
          <w:b/>
        </w:rPr>
        <w:t xml:space="preserve">7 </w:t>
      </w:r>
      <w:r>
        <w:t xml:space="preserve">Bird did not know that path, nor did eye of vulture look upon it.</w:t>
      </w:r>
    </w:p>
    <w:p>
      <w:r>
        <w:rPr>
          <w:b/>
        </w:rPr>
        <w:t xml:space="preserve">8 </w:t>
      </w:r>
      <w:r>
        <w:t xml:space="preserve">Sons of arrogant men did not tread it, nor did lion pass over it.</w:t>
      </w:r>
    </w:p>
    <w:p>
      <w:r>
        <w:rPr>
          <w:b/>
        </w:rPr>
        <w:t xml:space="preserve">9 </w:t>
      </w:r>
      <w:r>
        <w:t xml:space="preserve">He stretched out his hand upon sharp rock, and overturned mountains from roots.</w:t>
      </w:r>
    </w:p>
    <w:p>
      <w:r>
        <w:rPr>
          <w:b/>
        </w:rPr>
        <w:t xml:space="preserve">10 </w:t>
      </w:r>
      <w:r>
        <w:t xml:space="preserve">And he broke open whirlings of rivers, and my eye saw every precious thing</w:t>
      </w:r>
      <w:r>
        <w:rPr>
          <w:rStyle w:val="FootnoteReference"/>
        </w:rPr>
        <w:footnoteReference w:id="10428"/>
      </w:r>
      <w:r>
        <w:t xml:space="preserve">.</w:t>
      </w:r>
    </w:p>
    <w:p>
      <w:r>
        <w:rPr>
          <w:b/>
        </w:rPr>
        <w:t xml:space="preserve">11 </w:t>
      </w:r>
      <w:r>
        <w:t xml:space="preserve">And he uncovered depths of rivers and brought his power into light.</w:t>
      </w:r>
    </w:p>
    <w:p>
      <w:r>
        <w:rPr>
          <w:b/>
        </w:rPr>
        <w:t xml:space="preserve">12 </w:t>
      </w:r>
      <w:r>
        <w:t xml:space="preserve">But wisdom, from where was it found? And what place is there for knowledge?</w:t>
      </w:r>
    </w:p>
    <w:p>
      <w:r>
        <w:rPr>
          <w:b/>
        </w:rPr>
        <w:t xml:space="preserve">13 </w:t>
      </w:r>
      <w:r>
        <w:t xml:space="preserve">Mortal does not know its way, nor will it be found among men.</w:t>
      </w:r>
    </w:p>
    <w:p>
      <w:r>
        <w:rPr>
          <w:b/>
        </w:rPr>
        <w:t xml:space="preserve">14 </w:t>
      </w:r>
      <w:r>
        <w:t xml:space="preserve">Deep said, It is not in me, and sea said, It is not with me.</w:t>
      </w:r>
    </w:p>
    <w:p>
      <w:r>
        <w:rPr>
          <w:b/>
        </w:rPr>
        <w:t xml:space="preserve">15 </w:t>
      </w:r>
      <w:r>
        <w:t xml:space="preserve">He will not give enclosure in exchange for it, and silver will not stand as its price.</w:t>
      </w:r>
    </w:p>
    <w:p>
      <w:r>
        <w:rPr>
          <w:b/>
        </w:rPr>
        <w:t xml:space="preserve">16 </w:t>
      </w:r>
      <w:r>
        <w:t xml:space="preserve">Nor will it be weighed with gold of Ophir, with precious onyx</w:t>
      </w:r>
      <w:r>
        <w:rPr>
          <w:rStyle w:val="FootnoteReference"/>
        </w:rPr>
        <w:footnoteReference w:id="10429"/>
      </w:r>
      <w:r>
        <w:t xml:space="preserve"> and sapphire.</w:t>
      </w:r>
    </w:p>
    <w:p>
      <w:r>
        <w:rPr>
          <w:b/>
        </w:rPr>
        <w:t xml:space="preserve">17 </w:t>
      </w:r>
      <w:r>
        <w:t xml:space="preserve">Gold and glass will not equal it, and exchange for it is vessels of gold.</w:t>
      </w:r>
    </w:p>
    <w:p>
      <w:r>
        <w:rPr>
          <w:b/>
        </w:rPr>
        <w:t xml:space="preserve">18 </w:t>
      </w:r>
      <w:r>
        <w:t xml:space="preserve">Coral</w:t>
      </w:r>
      <w:r>
        <w:rPr>
          <w:rStyle w:val="FootnoteReference"/>
        </w:rPr>
        <w:footnoteReference w:id="10430"/>
      </w:r>
      <w:r>
        <w:t xml:space="preserve"> and crystal will not be remembered, and draw wisdom above innermost things.</w:t>
      </w:r>
    </w:p>
    <w:p>
      <w:r>
        <w:rPr>
          <w:b/>
        </w:rPr>
        <w:t xml:space="preserve">19 </w:t>
      </w:r>
      <w:r>
        <w:t xml:space="preserve">Topaz</w:t>
      </w:r>
      <w:r>
        <w:rPr>
          <w:rStyle w:val="FootnoteReference"/>
        </w:rPr>
        <w:footnoteReference w:id="10431"/>
      </w:r>
      <w:r>
        <w:t xml:space="preserve"> of Ethiopia will not equal it, nor will it be weighed with pure gold.</w:t>
      </w:r>
    </w:p>
    <w:p>
      <w:r>
        <w:rPr>
          <w:b/>
        </w:rPr>
        <w:t xml:space="preserve">20 </w:t>
      </w:r>
      <w:r>
        <w:t xml:space="preserve">But wisdom, from where was it found? And what place is there for understanding?</w:t>
      </w:r>
    </w:p>
    <w:p>
      <w:r>
        <w:rPr>
          <w:b/>
        </w:rPr>
        <w:t xml:space="preserve">21 </w:t>
      </w:r>
      <w:r>
        <w:t xml:space="preserve">It escaped every man and was hidden from the birds of heaven.</w:t>
      </w:r>
    </w:p>
    <w:p>
      <w:r>
        <w:rPr>
          <w:b/>
        </w:rPr>
        <w:t xml:space="preserve">22 </w:t>
      </w:r>
      <w:r>
        <w:t xml:space="preserve">Destruction</w:t>
      </w:r>
      <w:r>
        <w:rPr>
          <w:rStyle w:val="FootnoteReference"/>
        </w:rPr>
        <w:footnoteReference w:id="10432"/>
      </w:r>
      <w:r>
        <w:t xml:space="preserve"> and death said, We heard its fame.</w:t>
      </w:r>
    </w:p>
    <w:p>
      <w:r>
        <w:rPr>
          <w:b/>
        </w:rPr>
        <w:t xml:space="preserve">23 </w:t>
      </w:r>
      <w:r>
        <w:t xml:space="preserve">God well understood its way, and he knows its place.</w:t>
      </w:r>
    </w:p>
    <w:p>
      <w:r>
        <w:rPr>
          <w:b/>
        </w:rPr>
        <w:t xml:space="preserve">24 </w:t>
      </w:r>
      <w:r>
        <w:t xml:space="preserve">For he watches all that is under heaven, knowing all things on earth, whatever he made.</w:t>
      </w:r>
    </w:p>
    <w:p>
      <w:r>
        <w:rPr>
          <w:b/>
        </w:rPr>
        <w:t xml:space="preserve">25 </w:t>
      </w:r>
      <w:r>
        <w:t xml:space="preserve">Weight of winds and measures of waters,</w:t>
      </w:r>
    </w:p>
    <w:p>
      <w:r>
        <w:rPr>
          <w:b/>
        </w:rPr>
        <w:t xml:space="preserve">26 </w:t>
      </w:r>
      <w:r>
        <w:t xml:space="preserve">when he thus made rain and counted it, and path in roaring voices.</w:t>
      </w:r>
    </w:p>
    <w:p>
      <w:r>
        <w:rPr>
          <w:b/>
        </w:rPr>
        <w:t xml:space="preserve">27 </w:t>
      </w:r>
      <w:r>
        <w:t xml:space="preserve">Then he saw it and declared it, preparing it and searching it out.</w:t>
      </w:r>
    </w:p>
    <w:p>
      <w:r>
        <w:rPr>
          <w:b/>
        </w:rPr>
        <w:t xml:space="preserve">28 </w:t>
      </w:r>
      <w:r>
        <w:t xml:space="preserve">And he said to man, Behold, godliness is wisdom, and to abstain from evils is understanding.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And again adding, Job said in his opening discourse,</w:t>
      </w:r>
    </w:p>
    <w:p>
      <w:r>
        <w:rPr>
          <w:b/>
        </w:rPr>
        <w:t xml:space="preserve">2 </w:t>
      </w:r>
      <w:r>
        <w:t xml:space="preserve">Who might set me as in months</w:t>
      </w:r>
      <w:r>
        <w:rPr>
          <w:rStyle w:val="FootnoteReference"/>
        </w:rPr>
        <w:footnoteReference w:id="10433"/>
      </w:r>
      <w:r>
        <w:t xml:space="preserve"> before, in days when God guarded me,</w:t>
      </w:r>
    </w:p>
    <w:p>
      <w:r>
        <w:rPr>
          <w:b/>
        </w:rPr>
        <w:t xml:space="preserve">3 </w:t>
      </w:r>
      <w:r>
        <w:t xml:space="preserve">as when his lamp shone over my head, when by his light</w:t>
      </w:r>
      <w:r>
        <w:rPr>
          <w:rStyle w:val="FootnoteReference"/>
        </w:rPr>
        <w:footnoteReference w:id="10434"/>
      </w:r>
      <w:r>
        <w:t xml:space="preserve"> I walked in darkness,</w:t>
      </w:r>
    </w:p>
    <w:p>
      <w:r>
        <w:rPr>
          <w:b/>
        </w:rPr>
        <w:t xml:space="preserve">4 </w:t>
      </w:r>
      <w:r>
        <w:t xml:space="preserve">when I was heavy upon my ways, when God made visitation of my house,</w:t>
      </w:r>
    </w:p>
    <w:p>
      <w:r>
        <w:rPr>
          <w:b/>
        </w:rPr>
        <w:t xml:space="preserve">5 </w:t>
      </w:r>
      <w:r>
        <w:t xml:space="preserve">when I was very leafy, and my children</w:t>
      </w:r>
      <w:r>
        <w:rPr>
          <w:rStyle w:val="FootnoteReference"/>
        </w:rPr>
        <w:footnoteReference w:id="10435"/>
      </w:r>
      <w:r>
        <w:t xml:space="preserve"> round about me,</w:t>
      </w:r>
    </w:p>
    <w:p>
      <w:r>
        <w:rPr>
          <w:b/>
        </w:rPr>
        <w:t xml:space="preserve">6 </w:t>
      </w:r>
      <w:r>
        <w:t xml:space="preserve">when my ways were poured out with butter, and my mountains poured out milk,</w:t>
      </w:r>
    </w:p>
    <w:p>
      <w:r>
        <w:rPr>
          <w:b/>
        </w:rPr>
        <w:t xml:space="preserve">7 </w:t>
      </w:r>
      <w:r>
        <w:t xml:space="preserve">when I went out early in the city, and my seat was set in squares,</w:t>
      </w:r>
    </w:p>
    <w:p>
      <w:r>
        <w:rPr>
          <w:b/>
        </w:rPr>
        <w:t xml:space="preserve">8 </w:t>
      </w:r>
      <w:r>
        <w:t xml:space="preserve">young men</w:t>
      </w:r>
      <w:r>
        <w:rPr>
          <w:rStyle w:val="FootnoteReference"/>
        </w:rPr>
        <w:footnoteReference w:id="10436"/>
      </w:r>
      <w:r>
        <w:t xml:space="preserve"> seeing me hid themselves, and all elders stood up,</w:t>
      </w:r>
    </w:p>
    <w:p>
      <w:r>
        <w:rPr>
          <w:b/>
        </w:rPr>
        <w:t xml:space="preserve">9 </w:t>
      </w:r>
      <w:r>
        <w:t xml:space="preserve">and great men stopped speaking, putting finger upon mouth.</w:t>
      </w:r>
    </w:p>
    <w:p>
      <w:r>
        <w:rPr>
          <w:b/>
        </w:rPr>
        <w:t xml:space="preserve">10 </w:t>
      </w:r>
      <w:r>
        <w:t xml:space="preserve">And those hearing me blessed me, and their tongue stuck to their throat.</w:t>
      </w:r>
    </w:p>
    <w:p>
      <w:r>
        <w:rPr>
          <w:b/>
        </w:rPr>
        <w:t xml:space="preserve">11 </w:t>
      </w:r>
      <w:r>
        <w:t xml:space="preserve">For ear heard and blessed me, and eye seeing me turned aside toward me,</w:t>
      </w:r>
    </w:p>
    <w:p>
      <w:r>
        <w:rPr>
          <w:b/>
        </w:rPr>
        <w:t xml:space="preserve">12 </w:t>
      </w:r>
      <w:r>
        <w:t xml:space="preserve">because I rescued a poor man from the hand of a mighty man, and I helped an orphan who had no helper.</w:t>
      </w:r>
      <w:r>
        <w:rPr>
          <w:rStyle w:val="FootnoteReference"/>
        </w:rPr>
        <w:footnoteReference w:id="10437"/>
      </w:r>
    </w:p>
    <w:p>
      <w:r>
        <w:rPr>
          <w:b/>
        </w:rPr>
        <w:t xml:space="preserve">13 </w:t>
      </w:r>
      <w:r>
        <w:t xml:space="preserve">The blessing</w:t>
      </w:r>
      <w:r>
        <w:rPr>
          <w:rStyle w:val="FootnoteReference"/>
        </w:rPr>
        <w:footnoteReference w:id="10438"/>
      </w:r>
      <w:r>
        <w:t xml:space="preserve"> of one perishing came upon me, and the mouth of the widow blessed me.</w:t>
      </w:r>
    </w:p>
    <w:p>
      <w:r>
        <w:rPr>
          <w:b/>
        </w:rPr>
        <w:t xml:space="preserve">14 </w:t>
      </w:r>
      <w:r>
        <w:t xml:space="preserve">And I put</w:t>
      </w:r>
      <w:r>
        <w:rPr>
          <w:rStyle w:val="FootnoteReference"/>
        </w:rPr>
        <w:footnoteReference w:id="10439"/>
      </w:r>
      <w:r>
        <w:t xml:space="preserve"> on righteousness and clothed myself with judgment like double robe.</w:t>
      </w:r>
    </w:p>
    <w:p>
      <w:r>
        <w:rPr>
          <w:b/>
        </w:rPr>
        <w:t xml:space="preserve">15 </w:t>
      </w:r>
      <w:r>
        <w:t xml:space="preserve">I was the eye of the blind and foot of the lame.</w:t>
      </w:r>
    </w:p>
    <w:p>
      <w:r>
        <w:rPr>
          <w:b/>
        </w:rPr>
        <w:t xml:space="preserve">16 </w:t>
      </w:r>
      <w:r>
        <w:t xml:space="preserve">I was a father</w:t>
      </w:r>
      <w:r>
        <w:rPr>
          <w:rStyle w:val="FootnoteReference"/>
        </w:rPr>
        <w:footnoteReference w:id="10440"/>
      </w:r>
      <w:r>
        <w:t xml:space="preserve"> to weak men, and case that I did not know I searched out.</w:t>
      </w:r>
    </w:p>
    <w:p>
      <w:r>
        <w:rPr>
          <w:b/>
        </w:rPr>
        <w:t xml:space="preserve">17 </w:t>
      </w:r>
      <w:r>
        <w:t xml:space="preserve">And I shattered jaws of unjust men, and from the midst of their teeth I snatched prey.</w:t>
      </w:r>
    </w:p>
    <w:p>
      <w:r>
        <w:rPr>
          <w:b/>
        </w:rPr>
        <w:t xml:space="preserve">18 </w:t>
      </w:r>
      <w:r>
        <w:t xml:space="preserve">And I said, My age will grow old like stem of palm; I will live long time.</w:t>
      </w:r>
    </w:p>
    <w:p>
      <w:r>
        <w:rPr>
          <w:b/>
        </w:rPr>
        <w:t xml:space="preserve">19 </w:t>
      </w:r>
      <w:r>
        <w:t xml:space="preserve">My root</w:t>
      </w:r>
      <w:r>
        <w:rPr>
          <w:rStyle w:val="FootnoteReference"/>
        </w:rPr>
        <w:footnoteReference w:id="10441"/>
      </w:r>
      <w:r>
        <w:t xml:space="preserve"> is opened upon water, and dew will lodge in my harvest.</w:t>
      </w:r>
    </w:p>
    <w:p>
      <w:r>
        <w:rPr>
          <w:b/>
        </w:rPr>
        <w:t xml:space="preserve">20 </w:t>
      </w:r>
      <w:r>
        <w:t xml:space="preserve">My glory</w:t>
      </w:r>
      <w:r>
        <w:rPr>
          <w:rStyle w:val="FootnoteReference"/>
        </w:rPr>
        <w:footnoteReference w:id="10442"/>
      </w:r>
      <w:r>
        <w:t xml:space="preserve"> is fresh with me, and my bow will go in his hand.</w:t>
      </w:r>
    </w:p>
    <w:p>
      <w:r>
        <w:rPr>
          <w:b/>
        </w:rPr>
        <w:t xml:space="preserve">21 </w:t>
      </w:r>
      <w:r>
        <w:t xml:space="preserve">Hearing me, they paid attention, and kept silence at my counsel.</w:t>
      </w:r>
    </w:p>
    <w:p>
      <w:r>
        <w:rPr>
          <w:b/>
        </w:rPr>
        <w:t xml:space="preserve">22 </w:t>
      </w:r>
      <w:r>
        <w:t xml:space="preserve">And upon my word they added nothing, and they became joyful whenever I spoke to them.</w:t>
      </w:r>
    </w:p>
    <w:p>
      <w:r>
        <w:rPr>
          <w:b/>
        </w:rPr>
        <w:t xml:space="preserve">23 </w:t>
      </w:r>
      <w:r>
        <w:t xml:space="preserve">Like thirsty earth expecting rain, so these expected my speech.</w:t>
      </w:r>
    </w:p>
    <w:p>
      <w:r>
        <w:rPr>
          <w:b/>
        </w:rPr>
        <w:t xml:space="preserve">24 </w:t>
      </w:r>
      <w:r>
        <w:t xml:space="preserve">If I laugh toward them, they will by no means believe, and light of my face did not fall away.</w:t>
      </w:r>
    </w:p>
    <w:p>
      <w:r>
        <w:rPr>
          <w:b/>
        </w:rPr>
        <w:t xml:space="preserve">25 </w:t>
      </w:r>
      <w:r>
        <w:t xml:space="preserve">I chose their way and sat as a ruler, and dwelt</w:t>
      </w:r>
      <w:r>
        <w:rPr>
          <w:rStyle w:val="FootnoteReference"/>
        </w:rPr>
        <w:footnoteReference w:id="10443"/>
      </w:r>
      <w:r>
        <w:t xml:space="preserve"> like king among lone-belted men, as one comforting those in grief.</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But now least men laughed at me; now they admonish me in part, whose fathers I despised, whom I did not count worthy of dogs of my flocks.</w:t>
      </w:r>
    </w:p>
    <w:p>
      <w:r>
        <w:rPr>
          <w:b/>
        </w:rPr>
        <w:t xml:space="preserve">2 </w:t>
      </w:r>
      <w:r>
        <w:t xml:space="preserve">And strength of their hands, why should it be to me? Completion perished upon them.</w:t>
      </w:r>
    </w:p>
    <w:p>
      <w:r>
        <w:rPr>
          <w:b/>
        </w:rPr>
        <w:t xml:space="preserve">3 </w:t>
      </w:r>
      <w:r>
        <w:t xml:space="preserve">In want and famine, barren men, fleeing dry place yesterday, distress and misery,</w:t>
      </w:r>
    </w:p>
    <w:p>
      <w:r>
        <w:rPr>
          <w:b/>
        </w:rPr>
        <w:t xml:space="preserve">4 </w:t>
      </w:r>
      <w:r>
        <w:t xml:space="preserve">plucking saltwort upon scrub, whose foods were saltwort, dishonored and made worthless, lacking every good thing, even chewing roots of trees because of great hunger.</w:t>
      </w:r>
    </w:p>
    <w:p>
      <w:r>
        <w:rPr>
          <w:b/>
        </w:rPr>
        <w:t xml:space="preserve">5 </w:t>
      </w:r>
      <w:r>
        <w:t xml:space="preserve">Robbers rose against me.</w:t>
      </w:r>
    </w:p>
    <w:p>
      <w:r>
        <w:rPr>
          <w:b/>
        </w:rPr>
        <w:t xml:space="preserve">6 </w:t>
      </w:r>
      <w:r>
        <w:t xml:space="preserve">Whose houses were caves of rocks.</w:t>
      </w:r>
    </w:p>
    <w:p>
      <w:r>
        <w:rPr>
          <w:b/>
        </w:rPr>
        <w:t xml:space="preserve">7 </w:t>
      </w:r>
      <w:r>
        <w:t xml:space="preserve">Among pleasant-sounding places they will cry out; under wild brush they had their way of life.</w:t>
      </w:r>
    </w:p>
    <w:p>
      <w:r>
        <w:rPr>
          <w:b/>
        </w:rPr>
        <w:t xml:space="preserve">8 </w:t>
      </w:r>
      <w:r>
        <w:t xml:space="preserve">Sons of fools</w:t>
      </w:r>
      <w:r>
        <w:rPr>
          <w:rStyle w:val="FootnoteReference"/>
        </w:rPr>
        <w:footnoteReference w:id="10444"/>
      </w:r>
      <w:r>
        <w:t xml:space="preserve"> and dishonored men, name and fame wiped out from earth.</w:t>
      </w:r>
    </w:p>
    <w:p>
      <w:r>
        <w:rPr>
          <w:b/>
        </w:rPr>
        <w:t xml:space="preserve">9 </w:t>
      </w:r>
      <w:r>
        <w:t xml:space="preserve">But now I am their harp, and they have me for byword.</w:t>
      </w:r>
    </w:p>
    <w:p>
      <w:r>
        <w:rPr>
          <w:b/>
        </w:rPr>
        <w:t xml:space="preserve">10 </w:t>
      </w:r>
      <w:r>
        <w:t xml:space="preserve">And standing far off they abhorred me, and they did not spare spittle from my face.</w:t>
      </w:r>
    </w:p>
    <w:p>
      <w:r>
        <w:rPr>
          <w:b/>
        </w:rPr>
        <w:t xml:space="preserve">11 </w:t>
      </w:r>
      <w:r>
        <w:t xml:space="preserve">For opening his quiver he afflicted me, and they sent away bridle from my face.</w:t>
      </w:r>
    </w:p>
    <w:p>
      <w:r>
        <w:rPr>
          <w:b/>
        </w:rPr>
        <w:t xml:space="preserve">12 </w:t>
      </w:r>
      <w:r>
        <w:t xml:space="preserve">On right hand shoot rose against me; they stretched out their foot and made roads of their destruction against me.</w:t>
      </w:r>
    </w:p>
    <w:p>
      <w:r>
        <w:rPr>
          <w:b/>
        </w:rPr>
        <w:t xml:space="preserve">13 </w:t>
      </w:r>
      <w:r>
        <w:t xml:space="preserve">My paths were crushed, for he stripped off my garment.</w:t>
      </w:r>
    </w:p>
    <w:p>
      <w:r>
        <w:rPr>
          <w:b/>
        </w:rPr>
        <w:t xml:space="preserve">14 </w:t>
      </w:r>
      <w:r>
        <w:t xml:space="preserve">With his arrows he struck me down; he dealt with me as he wished; I am mixed up in pains.</w:t>
      </w:r>
    </w:p>
    <w:p>
      <w:r>
        <w:rPr>
          <w:b/>
        </w:rPr>
        <w:t xml:space="preserve">15 </w:t>
      </w:r>
      <w:r>
        <w:t xml:space="preserve">My pains turn back upon me; my hope went away like wind, and my salvation like a cloud.</w:t>
      </w:r>
    </w:p>
    <w:p>
      <w:r>
        <w:rPr>
          <w:b/>
        </w:rPr>
        <w:t xml:space="preserve">16 </w:t>
      </w:r>
      <w:r>
        <w:t xml:space="preserve">And now my soul</w:t>
      </w:r>
      <w:r>
        <w:rPr>
          <w:rStyle w:val="FootnoteReference"/>
        </w:rPr>
        <w:footnoteReference w:id="10445"/>
      </w:r>
      <w:r>
        <w:t xml:space="preserve"> will be poured out upon me, and days of pains hold me.</w:t>
      </w:r>
    </w:p>
    <w:p>
      <w:r>
        <w:rPr>
          <w:b/>
        </w:rPr>
        <w:t xml:space="preserve">17 </w:t>
      </w:r>
      <w:r>
        <w:t xml:space="preserve">And by night my bones</w:t>
      </w:r>
      <w:r>
        <w:rPr>
          <w:rStyle w:val="FootnoteReference"/>
        </w:rPr>
        <w:footnoteReference w:id="10446"/>
      </w:r>
      <w:r>
        <w:t xml:space="preserve"> are burned together, and my sinews are dissolved.</w:t>
      </w:r>
    </w:p>
    <w:p>
      <w:r>
        <w:rPr>
          <w:b/>
        </w:rPr>
        <w:t xml:space="preserve">18 </w:t>
      </w:r>
      <w:r>
        <w:t xml:space="preserve">In much strength he took hold of my garment; like collar of my tunic it encircled me.</w:t>
      </w:r>
    </w:p>
    <w:p>
      <w:r>
        <w:rPr>
          <w:b/>
        </w:rPr>
        <w:t xml:space="preserve">19 </w:t>
      </w:r>
      <w:r>
        <w:t xml:space="preserve">And you counted me like clay in earth, and ash is my portion.</w:t>
      </w:r>
    </w:p>
    <w:p>
      <w:r>
        <w:rPr>
          <w:b/>
        </w:rPr>
        <w:t xml:space="preserve">20 </w:t>
      </w:r>
      <w:r>
        <w:t xml:space="preserve">And I cried to you, and you do not hear me; they stood and observed me.</w:t>
      </w:r>
    </w:p>
    <w:p>
      <w:r>
        <w:rPr>
          <w:b/>
        </w:rPr>
        <w:t xml:space="preserve">21 </w:t>
      </w:r>
      <w:r>
        <w:t xml:space="preserve">And you came upon me without mercy; with mighty hand you scourged me.</w:t>
      </w:r>
    </w:p>
    <w:p>
      <w:r>
        <w:rPr>
          <w:b/>
        </w:rPr>
        <w:t xml:space="preserve">22 </w:t>
      </w:r>
      <w:r>
        <w:t xml:space="preserve">And you appointed me in pains and cast me away from salvation.</w:t>
      </w:r>
    </w:p>
    <w:p>
      <w:r>
        <w:rPr>
          <w:b/>
        </w:rPr>
        <w:t xml:space="preserve">23 </w:t>
      </w:r>
      <w:r>
        <w:t xml:space="preserve">For I know that death will wear me out, for the earth is a house for every mortal.</w:t>
      </w:r>
    </w:p>
    <w:p>
      <w:r>
        <w:rPr>
          <w:b/>
        </w:rPr>
        <w:t xml:space="preserve">24 </w:t>
      </w:r>
      <w:r>
        <w:t xml:space="preserve">For if only I might be able to lay hand on myself; and having asked another, he will do this for me.</w:t>
      </w:r>
    </w:p>
    <w:p>
      <w:r>
        <w:rPr>
          <w:b/>
        </w:rPr>
        <w:t xml:space="preserve">25 </w:t>
      </w:r>
      <w:r>
        <w:t xml:space="preserve">But I wept over every weak man, and groaned when seeing man in necessities.</w:t>
      </w:r>
    </w:p>
    <w:p>
      <w:r>
        <w:rPr>
          <w:b/>
        </w:rPr>
        <w:t xml:space="preserve">26 </w:t>
      </w:r>
      <w:r>
        <w:t xml:space="preserve">But I, waiting for good things, behold, days of evils met me rather.</w:t>
      </w:r>
    </w:p>
    <w:p>
      <w:r>
        <w:rPr>
          <w:b/>
        </w:rPr>
        <w:t xml:space="preserve">27 </w:t>
      </w:r>
      <w:r>
        <w:t xml:space="preserve">My belly boiled and will not be silent; days of poverty came before me.</w:t>
      </w:r>
    </w:p>
    <w:p>
      <w:r>
        <w:rPr>
          <w:b/>
        </w:rPr>
        <w:t xml:space="preserve">28 </w:t>
      </w:r>
      <w:r>
        <w:t xml:space="preserve">Groaning, I have gone without muzzle; I stood in assembly crying out.</w:t>
      </w:r>
    </w:p>
    <w:p>
      <w:r>
        <w:rPr>
          <w:b/>
        </w:rPr>
        <w:t xml:space="preserve">29 </w:t>
      </w:r>
      <w:r>
        <w:t xml:space="preserve">I have become brother of sirens and companion of ostriches.</w:t>
      </w:r>
    </w:p>
    <w:p>
      <w:r>
        <w:rPr>
          <w:b/>
        </w:rPr>
        <w:t xml:space="preserve">30 </w:t>
      </w:r>
      <w:r>
        <w:t xml:space="preserve">And my skin</w:t>
      </w:r>
      <w:r>
        <w:rPr>
          <w:rStyle w:val="FootnoteReference"/>
        </w:rPr>
        <w:footnoteReference w:id="10447"/>
      </w:r>
      <w:r>
        <w:t xml:space="preserve"> is greatly blackened, and my bones from heat.</w:t>
      </w:r>
    </w:p>
    <w:p>
      <w:r>
        <w:rPr>
          <w:b/>
        </w:rPr>
        <w:t xml:space="preserve">31 </w:t>
      </w:r>
      <w:r>
        <w:t xml:space="preserve">And my harp turned to mourning, and my song to weeping for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I made covenant with my eyes, and I will not think</w:t>
      </w:r>
      <w:r>
        <w:rPr>
          <w:rStyle w:val="FootnoteReference"/>
        </w:rPr>
        <w:footnoteReference w:id="10448"/>
      </w:r>
      <w:r>
        <w:t xml:space="preserve"> upon virgin.</w:t>
      </w:r>
    </w:p>
    <w:p>
      <w:r>
        <w:rPr>
          <w:b/>
        </w:rPr>
        <w:t xml:space="preserve">2 </w:t>
      </w:r>
      <w:r>
        <w:t xml:space="preserve">And what did God divide from above, and inheritance of Sufficient One from heights?</w:t>
      </w:r>
    </w:p>
    <w:p>
      <w:r>
        <w:rPr>
          <w:b/>
        </w:rPr>
        <w:t xml:space="preserve">3 </w:t>
      </w:r>
      <w:r>
        <w:t xml:space="preserve">Is it not destruction</w:t>
      </w:r>
      <w:r>
        <w:rPr>
          <w:rStyle w:val="FootnoteReference"/>
        </w:rPr>
        <w:footnoteReference w:id="10449"/>
      </w:r>
      <w:r>
        <w:t xml:space="preserve"> for unjust man, and estrangement for those doing lawless things?</w:t>
      </w:r>
    </w:p>
    <w:p>
      <w:r>
        <w:rPr>
          <w:b/>
        </w:rPr>
        <w:t xml:space="preserve">4 </w:t>
      </w:r>
      <w:r>
        <w:t xml:space="preserve">Does he not see my way and count all my steps?</w:t>
      </w:r>
    </w:p>
    <w:p>
      <w:r>
        <w:rPr>
          <w:b/>
        </w:rPr>
        <w:t xml:space="preserve">5 </w:t>
      </w:r>
      <w:r>
        <w:t xml:space="preserve">But if I walked</w:t>
      </w:r>
      <w:r>
        <w:rPr>
          <w:rStyle w:val="FootnoteReference"/>
        </w:rPr>
        <w:footnoteReference w:id="10450"/>
      </w:r>
      <w:r>
        <w:t xml:space="preserve"> with mockers, and if my foot hurried toward deceit,</w:t>
      </w:r>
    </w:p>
    <w:p>
      <w:r>
        <w:rPr>
          <w:b/>
        </w:rPr>
        <w:t xml:space="preserve">6 </w:t>
      </w:r>
      <w:r>
        <w:t xml:space="preserve">let him set me then in righteous balance, and the Lord knows my innocence.</w:t>
      </w:r>
    </w:p>
    <w:p>
      <w:r>
        <w:rPr>
          <w:b/>
        </w:rPr>
        <w:t xml:space="preserve">7 </w:t>
      </w:r>
      <w:r>
        <w:t xml:space="preserve">If my</w:t>
      </w:r>
      <w:r>
        <w:rPr>
          <w:rStyle w:val="FootnoteReference"/>
        </w:rPr>
        <w:footnoteReference w:id="10451"/>
      </w:r>
      <w:r>
        <w:t xml:space="preserve"> foot turned aside from way, and if my heart followed eye, and if with my hands I touched gifts,</w:t>
      </w:r>
    </w:p>
    <w:p>
      <w:r>
        <w:rPr>
          <w:b/>
        </w:rPr>
        <w:t xml:space="preserve">8 </w:t>
      </w:r>
      <w:r>
        <w:t xml:space="preserve">then let me</w:t>
      </w:r>
      <w:r>
        <w:rPr>
          <w:rStyle w:val="FootnoteReference"/>
        </w:rPr>
        <w:footnoteReference w:id="10452"/>
      </w:r>
      <w:r>
        <w:t xml:space="preserve"> sow and let others eat, and let me become rootless upon earth.</w:t>
      </w:r>
    </w:p>
    <w:p>
      <w:r>
        <w:rPr>
          <w:b/>
        </w:rPr>
        <w:t xml:space="preserve">9 </w:t>
      </w:r>
      <w:r>
        <w:t xml:space="preserve">If my heart followed after the wife of another man, and if I</w:t>
      </w:r>
      <w:r>
        <w:rPr>
          <w:rStyle w:val="FootnoteReference"/>
        </w:rPr>
        <w:footnoteReference w:id="10453"/>
      </w:r>
      <w:r>
        <w:t xml:space="preserve"> sat in ambush at her doors,</w:t>
      </w:r>
    </w:p>
    <w:p>
      <w:r>
        <w:rPr>
          <w:b/>
        </w:rPr>
        <w:t xml:space="preserve">10 </w:t>
      </w:r>
      <w:r>
        <w:t xml:space="preserve">then let my wife please another man, and let</w:t>
      </w:r>
      <w:r>
        <w:rPr>
          <w:rStyle w:val="FootnoteReference"/>
        </w:rPr>
        <w:footnoteReference w:id="10454"/>
      </w:r>
      <w:r>
        <w:t xml:space="preserve"> my little ones be humbled.</w:t>
      </w:r>
    </w:p>
    <w:p>
      <w:r>
        <w:rPr>
          <w:b/>
        </w:rPr>
        <w:t xml:space="preserve">11 </w:t>
      </w:r>
      <w:r>
        <w:t xml:space="preserve">For the wrath of anger is unrestrainable, to defile the wife of a man.</w:t>
      </w:r>
    </w:p>
    <w:p>
      <w:r>
        <w:rPr>
          <w:b/>
        </w:rPr>
        <w:t xml:space="preserve">12 </w:t>
      </w:r>
      <w:r>
        <w:t xml:space="preserve">For it is fire burning upon all my members, which wherever it comes destroys from roots.</w:t>
      </w:r>
    </w:p>
    <w:p>
      <w:r>
        <w:rPr>
          <w:b/>
        </w:rPr>
        <w:t xml:space="preserve">13 </w:t>
      </w:r>
      <w:r>
        <w:t xml:space="preserve">And if I despised case of my servant or my servant girl when they were contending with me,</w:t>
      </w:r>
    </w:p>
    <w:p>
      <w:r>
        <w:rPr>
          <w:b/>
        </w:rPr>
        <w:t xml:space="preserve">14 </w:t>
      </w:r>
      <w:r>
        <w:t xml:space="preserve">what then</w:t>
      </w:r>
      <w:r>
        <w:rPr>
          <w:rStyle w:val="FootnoteReference"/>
        </w:rPr>
        <w:footnoteReference w:id="10455"/>
      </w:r>
      <w:r>
        <w:t xml:space="preserve"> will I do when the Lord makes inspection of me, and if he makes visitation, what answer will I give?</w:t>
      </w:r>
    </w:p>
    <w:p>
      <w:r>
        <w:rPr>
          <w:b/>
        </w:rPr>
        <w:t xml:space="preserve">15 </w:t>
      </w:r>
      <w:r>
        <w:t xml:space="preserve">Were they not formed in womb as I also was? And were we not made in same womb?</w:t>
      </w:r>
    </w:p>
    <w:p>
      <w:r>
        <w:rPr>
          <w:b/>
        </w:rPr>
        <w:t xml:space="preserve">16 </w:t>
      </w:r>
      <w:r>
        <w:t xml:space="preserve">And weak men, whatever need they had, did not fail to obtain it from me, and I did not make eye of widow waste away.</w:t>
      </w:r>
    </w:p>
    <w:p>
      <w:r>
        <w:rPr>
          <w:b/>
        </w:rPr>
        <w:t xml:space="preserve">17 </w:t>
      </w:r>
      <w:r>
        <w:t xml:space="preserve">And if I ate my morsel alone, and did not share it with orphan,</w:t>
      </w:r>
    </w:p>
    <w:p>
      <w:r>
        <w:rPr>
          <w:b/>
        </w:rPr>
        <w:t xml:space="preserve">18 </w:t>
      </w:r>
      <w:r>
        <w:t xml:space="preserve">for from my youth I reared them as father, and from my mother's womb I guided them.</w:t>
      </w:r>
    </w:p>
    <w:p>
      <w:r>
        <w:rPr>
          <w:b/>
        </w:rPr>
        <w:t xml:space="preserve">19 </w:t>
      </w:r>
      <w:r>
        <w:t xml:space="preserve">And if I overlooked naked man perishing and did not clothe him,</w:t>
      </w:r>
    </w:p>
    <w:p>
      <w:r>
        <w:rPr>
          <w:b/>
        </w:rPr>
        <w:t xml:space="preserve">20 </w:t>
      </w:r>
      <w:r>
        <w:t xml:space="preserve">and weak men did not bless me, and from shearings of my lambs their shoulders were warmed,</w:t>
      </w:r>
    </w:p>
    <w:p>
      <w:r>
        <w:rPr>
          <w:b/>
        </w:rPr>
        <w:t xml:space="preserve">21 </w:t>
      </w:r>
      <w:r>
        <w:t xml:space="preserve">if I lifted</w:t>
      </w:r>
      <w:r>
        <w:rPr>
          <w:rStyle w:val="FootnoteReference"/>
        </w:rPr>
        <w:footnoteReference w:id="10456"/>
      </w:r>
      <w:r>
        <w:t xml:space="preserve"> hand against orphan, trusting that much help surrounded me,</w:t>
      </w:r>
    </w:p>
    <w:p>
      <w:r>
        <w:rPr>
          <w:b/>
        </w:rPr>
        <w:t xml:space="preserve">22 </w:t>
      </w:r>
      <w:r>
        <w:t xml:space="preserve">then let my shoulder fall away from collarbone, and let my arm be broken from elbow.</w:t>
      </w:r>
    </w:p>
    <w:p>
      <w:r>
        <w:rPr>
          <w:b/>
        </w:rPr>
        <w:t xml:space="preserve">23 </w:t>
      </w:r>
      <w:r>
        <w:t xml:space="preserve">For the fear of the Lord constrained me, and because of his burden I will not endure.</w:t>
      </w:r>
    </w:p>
    <w:p>
      <w:r>
        <w:rPr>
          <w:b/>
        </w:rPr>
        <w:t xml:space="preserve">24 </w:t>
      </w:r>
      <w:r>
        <w:t xml:space="preserve">If I made gold my strength, or trusted in precious stone,</w:t>
      </w:r>
    </w:p>
    <w:p>
      <w:r>
        <w:rPr>
          <w:b/>
        </w:rPr>
        <w:t xml:space="preserve">25 </w:t>
      </w:r>
      <w:r>
        <w:t xml:space="preserve">and if I rejoiced</w:t>
      </w:r>
      <w:r>
        <w:rPr>
          <w:rStyle w:val="FootnoteReference"/>
        </w:rPr>
        <w:footnoteReference w:id="10457"/>
      </w:r>
      <w:r>
        <w:t xml:space="preserve"> because much wealth came to me, and because I laid hand upon countless things,</w:t>
      </w:r>
    </w:p>
    <w:p>
      <w:r>
        <w:rPr>
          <w:b/>
        </w:rPr>
        <w:t xml:space="preserve">26 </w:t>
      </w:r>
      <w:r>
        <w:t xml:space="preserve">or if I saw sun shining, moon waning, for these things are not mine,</w:t>
      </w:r>
    </w:p>
    <w:p>
      <w:r>
        <w:rPr>
          <w:b/>
        </w:rPr>
        <w:t xml:space="preserve">27 </w:t>
      </w:r>
      <w:r>
        <w:t xml:space="preserve">and if my heart</w:t>
      </w:r>
      <w:r>
        <w:rPr>
          <w:rStyle w:val="FootnoteReference"/>
        </w:rPr>
        <w:footnoteReference w:id="10458"/>
      </w:r>
      <w:r>
        <w:t xml:space="preserve"> was secretly deceived, and laying hand upon my mouth I kissed them,</w:t>
      </w:r>
    </w:p>
    <w:p>
      <w:r>
        <w:rPr>
          <w:b/>
        </w:rPr>
        <w:t xml:space="preserve">28 </w:t>
      </w:r>
      <w:r>
        <w:t xml:space="preserve">then let this too be counted to me as greatest lawlessness, because I lied against the Lord Most High.</w:t>
      </w:r>
    </w:p>
    <w:p>
      <w:r>
        <w:rPr>
          <w:b/>
        </w:rPr>
        <w:t xml:space="preserve">29 </w:t>
      </w:r>
      <w:r>
        <w:t xml:space="preserve">And if I became glad at downfall of my enemies, and my heart said, Good!</w:t>
      </w:r>
    </w:p>
    <w:p>
      <w:r>
        <w:rPr>
          <w:b/>
        </w:rPr>
        <w:t xml:space="preserve">30 </w:t>
      </w:r>
      <w:r>
        <w:t xml:space="preserve">then let my ear hear my curse, and let me become a byword among my people while afflicted.</w:t>
      </w:r>
    </w:p>
    <w:p>
      <w:r>
        <w:rPr>
          <w:b/>
        </w:rPr>
        <w:t xml:space="preserve">31 </w:t>
      </w:r>
      <w:r>
        <w:t xml:space="preserve">And if my servant girls often said, Who would give us of his flesh that we might be very full, because I was good?</w:t>
      </w:r>
    </w:p>
    <w:p>
      <w:r>
        <w:rPr>
          <w:b/>
        </w:rPr>
        <w:t xml:space="preserve">32 </w:t>
      </w:r>
      <w:r>
        <w:t xml:space="preserve">Stranger did not lodge outside, and my door stood open to every comer.</w:t>
      </w:r>
    </w:p>
    <w:p>
      <w:r>
        <w:rPr>
          <w:b/>
        </w:rPr>
        <w:t xml:space="preserve">33 </w:t>
      </w:r>
      <w:r>
        <w:t xml:space="preserve">And if sinning unwillingly I hid my sin,</w:t>
      </w:r>
    </w:p>
    <w:p>
      <w:r>
        <w:rPr>
          <w:b/>
        </w:rPr>
        <w:t xml:space="preserve">34 </w:t>
      </w:r>
      <w:r>
        <w:t xml:space="preserve">for I was not ashamed of great crowd, so as not to confess before them, and if I let weak man not go out from my empty bosom-door,</w:t>
      </w:r>
    </w:p>
    <w:p>
      <w:r>
        <w:rPr>
          <w:b/>
        </w:rPr>
        <w:t xml:space="preserve">35 </w:t>
      </w:r>
      <w:r>
        <w:t xml:space="preserve">who would grant one hearing me? And if not, the hand of the Lord I would have feared. And written indictment I had against someone.</w:t>
      </w:r>
    </w:p>
    <w:p>
      <w:r>
        <w:rPr>
          <w:b/>
        </w:rPr>
        <w:t xml:space="preserve">36 </w:t>
      </w:r>
      <w:r>
        <w:t xml:space="preserve">Placing it upon my shoulders, I would read it as crown.</w:t>
      </w:r>
    </w:p>
    <w:p>
      <w:r>
        <w:rPr>
          <w:b/>
        </w:rPr>
        <w:t xml:space="preserve">37 </w:t>
      </w:r>
      <w:r>
        <w:t xml:space="preserve">And if, not tearing it up, I repaid nothing taken from debtor,</w:t>
      </w:r>
    </w:p>
    <w:p>
      <w:r>
        <w:rPr>
          <w:b/>
        </w:rPr>
        <w:t xml:space="preserve">38 </w:t>
      </w:r>
      <w:r>
        <w:t xml:space="preserve">if ever land groaned against me, and its furrows wept together,</w:t>
      </w:r>
    </w:p>
    <w:p>
      <w:r>
        <w:rPr>
          <w:b/>
        </w:rPr>
        <w:t xml:space="preserve">39 </w:t>
      </w:r>
      <w:r>
        <w:t xml:space="preserve">and if I ate its strength alone without payment, and grieving I cast out soul of lord of land,</w:t>
      </w:r>
    </w:p>
    <w:p>
      <w:r>
        <w:rPr>
          <w:b/>
        </w:rPr>
        <w:t xml:space="preserve">40 </w:t>
      </w:r>
      <w:r>
        <w:t xml:space="preserve">then let nettle come out for me instead of wheat, and thorn-bush instead of barley. And Job ceased from words.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t xml:space="preserve">And his three friends were quiet, no longer answering Job, for Job was righteous</w:t>
      </w:r>
      <w:r>
        <w:rPr>
          <w:rStyle w:val="FootnoteReference"/>
        </w:rPr>
        <w:footnoteReference w:id="10459"/>
      </w:r>
      <w:r>
        <w:t xml:space="preserve"> before them.</w:t>
      </w:r>
    </w:p>
    <w:p>
      <w:r>
        <w:rPr>
          <w:b/>
        </w:rPr>
        <w:t xml:space="preserve">2 </w:t>
      </w:r>
      <w:r>
        <w:t xml:space="preserve">And Elihu son of Barachel</w:t>
      </w:r>
      <w:r>
        <w:rPr>
          <w:rStyle w:val="FootnoteReference"/>
        </w:rPr>
        <w:footnoteReference w:id="10460"/>
      </w:r>
      <w:r>
        <w:t xml:space="preserve"> the Buzite</w:t>
      </w:r>
      <w:r>
        <w:rPr>
          <w:rStyle w:val="FootnoteReference"/>
        </w:rPr>
        <w:footnoteReference w:id="10461"/>
      </w:r>
      <w:r>
        <w:t xml:space="preserve"> of kin of Ram from the country of Uz was angered; and against Job he was greatly angered because he declared himself righteous before the Lord.</w:t>
      </w:r>
      <w:r>
        <w:rPr>
          <w:rStyle w:val="FootnoteReference"/>
        </w:rPr>
        <w:footnoteReference w:id="10462"/>
      </w:r>
    </w:p>
    <w:p>
      <w:r>
        <w:rPr>
          <w:b/>
        </w:rPr>
        <w:t xml:space="preserve">3 </w:t>
      </w:r>
      <w:r>
        <w:t xml:space="preserve">And against the three friends he was greatly angered, because they were not able to answer contrary things to Job, and they made him out to be ungodly.</w:t>
      </w:r>
    </w:p>
    <w:p>
      <w:r>
        <w:rPr>
          <w:b/>
        </w:rPr>
        <w:t xml:space="preserve">4 </w:t>
      </w:r>
      <w:r>
        <w:t xml:space="preserve">But Elihu waited to give answer to Job because they were older than he in days.</w:t>
      </w:r>
    </w:p>
    <w:p>
      <w:r>
        <w:rPr>
          <w:b/>
        </w:rPr>
        <w:t xml:space="preserve">5 </w:t>
      </w:r>
      <w:r>
        <w:t xml:space="preserve">And Elihu saw that there was no answer in the mouth of the three men, and his wrath</w:t>
      </w:r>
      <w:r>
        <w:rPr>
          <w:rStyle w:val="FootnoteReference"/>
        </w:rPr>
        <w:footnoteReference w:id="10463"/>
      </w:r>
      <w:r>
        <w:t xml:space="preserve"> became angry.</w:t>
      </w:r>
    </w:p>
    <w:p>
      <w:r>
        <w:rPr>
          <w:b/>
        </w:rPr>
        <w:t xml:space="preserve">6 </w:t>
      </w:r>
      <w:r>
        <w:t xml:space="preserve">And taking up the matter, Elihu son of Barachel the Buzite said, I am younger in time, but you are elders; therefore I kept silent, fearing to declare to you my own knowledge.</w:t>
      </w:r>
    </w:p>
    <w:p>
      <w:r>
        <w:rPr>
          <w:b/>
        </w:rPr>
        <w:t xml:space="preserve">7 </w:t>
      </w:r>
      <w:r>
        <w:t xml:space="preserve">And I said, Time is what speaks, and in many years they know wisdom.</w:t>
      </w:r>
    </w:p>
    <w:p>
      <w:r>
        <w:rPr>
          <w:b/>
        </w:rPr>
        <w:t xml:space="preserve">8 </w:t>
      </w:r>
      <w:r>
        <w:t xml:space="preserve">But spirit is in mortals, and breath of Almighty is what teaches.</w:t>
      </w:r>
    </w:p>
    <w:p>
      <w:r>
        <w:rPr>
          <w:b/>
        </w:rPr>
        <w:t xml:space="preserve">9 </w:t>
      </w:r>
      <w:r>
        <w:t xml:space="preserve">Not long-lived men are wise, nor do elders know judgment.</w:t>
      </w:r>
    </w:p>
    <w:p>
      <w:r>
        <w:rPr>
          <w:b/>
        </w:rPr>
        <w:t xml:space="preserve">10 </w:t>
      </w:r>
      <w:r>
        <w:t xml:space="preserve">Therefore I said, Hear me, and I will declare to you what I know.</w:t>
      </w:r>
    </w:p>
    <w:p>
      <w:r>
        <w:rPr>
          <w:b/>
        </w:rPr>
        <w:t xml:space="preserve">11 </w:t>
      </w:r>
      <w:r>
        <w:t xml:space="preserve">Give ear to my words, for I will speak with you listening, until you test sayings.</w:t>
      </w:r>
    </w:p>
    <w:p>
      <w:r>
        <w:rPr>
          <w:b/>
        </w:rPr>
        <w:t xml:space="preserve">12 </w:t>
      </w:r>
      <w:r>
        <w:t xml:space="preserve">And up to you I will understand. And behold</w:t>
      </w:r>
      <w:r>
        <w:rPr>
          <w:rStyle w:val="FootnoteReference"/>
        </w:rPr>
        <w:footnoteReference w:id="10464"/>
      </w:r>
      <w:r>
        <w:t xml:space="preserve">, there was none from you reproving Job or answering his words.</w:t>
      </w:r>
    </w:p>
    <w:p>
      <w:r>
        <w:rPr>
          <w:b/>
        </w:rPr>
        <w:t xml:space="preserve">13 </w:t>
      </w:r>
      <w:r>
        <w:t xml:space="preserve">Lest you say, We found wisdom by adding to the Lord.</w:t>
      </w:r>
    </w:p>
    <w:p>
      <w:r>
        <w:rPr>
          <w:b/>
        </w:rPr>
        <w:t xml:space="preserve">14 </w:t>
      </w:r>
      <w:r>
        <w:t xml:space="preserve">But you allowed man to speak such words.</w:t>
      </w:r>
    </w:p>
    <w:p>
      <w:r>
        <w:rPr>
          <w:b/>
        </w:rPr>
        <w:t xml:space="preserve">15 </w:t>
      </w:r>
      <w:r>
        <w:t xml:space="preserve">They were terrified; they answered no more; words grew old from them.</w:t>
      </w:r>
    </w:p>
    <w:p>
      <w:r>
        <w:rPr>
          <w:b/>
        </w:rPr>
        <w:t xml:space="preserve">16 </w:t>
      </w:r>
      <w:r>
        <w:t xml:space="preserve">I waited, for they did not speak, because they stood and did not answer.</w:t>
      </w:r>
    </w:p>
    <w:p>
      <w:r>
        <w:rPr>
          <w:b/>
        </w:rPr>
        <w:t xml:space="preserve">17 </w:t>
      </w:r>
      <w:r>
        <w:t xml:space="preserve">And taking up the matter, Elihu says,</w:t>
      </w:r>
    </w:p>
    <w:p>
      <w:r>
        <w:rPr>
          <w:b/>
        </w:rPr>
        <w:t xml:space="preserve">18 </w:t>
      </w:r>
      <w:r>
        <w:t xml:space="preserve">Again I will speak, for I am full of words; spirit of my belly destroys me.</w:t>
      </w:r>
    </w:p>
    <w:p>
      <w:r>
        <w:rPr>
          <w:b/>
        </w:rPr>
        <w:t xml:space="preserve">19 </w:t>
      </w:r>
      <w:r>
        <w:t xml:space="preserve">And my belly is like a skin-bag of sweet wine boiling, tied up, or like broken bronze-worker's bellows.</w:t>
      </w:r>
    </w:p>
    <w:p>
      <w:r>
        <w:rPr>
          <w:b/>
        </w:rPr>
        <w:t xml:space="preserve">20 </w:t>
      </w:r>
      <w:r>
        <w:t xml:space="preserve">I will speak</w:t>
      </w:r>
      <w:r>
        <w:rPr>
          <w:rStyle w:val="FootnoteReference"/>
        </w:rPr>
        <w:footnoteReference w:id="10465"/>
      </w:r>
      <w:r>
        <w:t xml:space="preserve">, that I may have rest, opening my lips.</w:t>
      </w:r>
    </w:p>
    <w:p>
      <w:r>
        <w:rPr>
          <w:b/>
        </w:rPr>
        <w:t xml:space="preserve">21 </w:t>
      </w:r>
      <w:r>
        <w:t xml:space="preserve">For I will not be ashamed before man, nor indeed will I feel shame before mortal.</w:t>
      </w:r>
    </w:p>
    <w:p>
      <w:r>
        <w:rPr>
          <w:b/>
        </w:rPr>
        <w:t xml:space="preserve">22 </w:t>
      </w:r>
      <w:r>
        <w:t xml:space="preserve">For I do not know how to admire face, else moths would eat even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Yet hear</w:t>
      </w:r>
      <w:r>
        <w:rPr>
          <w:rStyle w:val="FootnoteReference"/>
        </w:rPr>
        <w:footnoteReference w:id="10466"/>
      </w:r>
      <w:r>
        <w:t xml:space="preserve"> my words, Job, and give ear to my speech.</w:t>
      </w:r>
    </w:p>
    <w:p>
      <w:r>
        <w:rPr>
          <w:b/>
        </w:rPr>
        <w:t xml:space="preserve">2 </w:t>
      </w:r>
      <w:r>
        <w:t xml:space="preserve">For behold, I opened my mouth</w:t>
      </w:r>
      <w:r>
        <w:rPr>
          <w:rStyle w:val="FootnoteReference"/>
        </w:rPr>
        <w:footnoteReference w:id="10467"/>
      </w:r>
      <w:r>
        <w:t xml:space="preserve">, and my tongue spoke.</w:t>
      </w:r>
    </w:p>
    <w:p>
      <w:r>
        <w:rPr>
          <w:b/>
        </w:rPr>
        <w:t xml:space="preserve">3 </w:t>
      </w:r>
      <w:r>
        <w:t xml:space="preserve">My heart is pure in words, and understanding of my lips</w:t>
      </w:r>
      <w:r>
        <w:rPr>
          <w:rStyle w:val="FootnoteReference"/>
        </w:rPr>
        <w:footnoteReference w:id="10468"/>
      </w:r>
      <w:r>
        <w:t xml:space="preserve"> knows purely.</w:t>
      </w:r>
    </w:p>
    <w:p>
      <w:r>
        <w:rPr>
          <w:b/>
        </w:rPr>
        <w:t xml:space="preserve">4 </w:t>
      </w:r>
      <w:r>
        <w:t xml:space="preserve">Divine spirit made me, and breath of Almighty teaches me.</w:t>
      </w:r>
    </w:p>
    <w:p>
      <w:r>
        <w:rPr>
          <w:b/>
        </w:rPr>
        <w:t xml:space="preserve">5 </w:t>
      </w:r>
      <w:r>
        <w:t xml:space="preserve">If you are able, give me answer to these things; endure, stand</w:t>
      </w:r>
      <w:r>
        <w:rPr>
          <w:rStyle w:val="FootnoteReference"/>
        </w:rPr>
        <w:footnoteReference w:id="10469"/>
      </w:r>
      <w:r>
        <w:t xml:space="preserve"> against me, and I against you.</w:t>
      </w:r>
    </w:p>
    <w:p>
      <w:r>
        <w:rPr>
          <w:b/>
        </w:rPr>
        <w:t xml:space="preserve">6 </w:t>
      </w:r>
      <w:r>
        <w:t xml:space="preserve">You were fashioned from clay as I also</w:t>
      </w:r>
      <w:r>
        <w:rPr>
          <w:rStyle w:val="FootnoteReference"/>
        </w:rPr>
        <w:footnoteReference w:id="10470"/>
      </w:r>
      <w:r>
        <w:t xml:space="preserve">; from same thing we were formed.</w:t>
      </w:r>
    </w:p>
    <w:p>
      <w:r>
        <w:rPr>
          <w:b/>
        </w:rPr>
        <w:t xml:space="preserve">7 </w:t>
      </w:r>
      <w:r>
        <w:t xml:space="preserve">My fear will not whirl you, nor will my hand</w:t>
      </w:r>
      <w:r>
        <w:rPr>
          <w:rStyle w:val="FootnoteReference"/>
        </w:rPr>
        <w:footnoteReference w:id="10471"/>
      </w:r>
      <w:r>
        <w:t xml:space="preserve"> be heavy upon you.</w:t>
      </w:r>
    </w:p>
    <w:p>
      <w:r>
        <w:rPr>
          <w:b/>
        </w:rPr>
        <w:t xml:space="preserve">8 </w:t>
      </w:r>
      <w:r>
        <w:t xml:space="preserve">Still, you said in my ears, and I heard the voice of your words,</w:t>
      </w:r>
    </w:p>
    <w:p>
      <w:r>
        <w:rPr>
          <w:b/>
        </w:rPr>
        <w:t xml:space="preserve">9 </w:t>
      </w:r>
      <w:r>
        <w:t xml:space="preserve">saying, I am pure, not sinning; I am blameless, for I did not act lawlessly.</w:t>
      </w:r>
    </w:p>
    <w:p>
      <w:r>
        <w:rPr>
          <w:b/>
        </w:rPr>
        <w:t xml:space="preserve">10 </w:t>
      </w:r>
      <w:r>
        <w:t xml:space="preserve">But he found complaint against me and counts me as opponent.</w:t>
      </w:r>
    </w:p>
    <w:p>
      <w:r>
        <w:rPr>
          <w:b/>
        </w:rPr>
        <w:t xml:space="preserve">11 </w:t>
      </w:r>
      <w:r>
        <w:t xml:space="preserve">And he put my foot in stocks, and watched all my ways.</w:t>
      </w:r>
    </w:p>
    <w:p>
      <w:r>
        <w:rPr>
          <w:b/>
        </w:rPr>
        <w:t xml:space="preserve">12 </w:t>
      </w:r>
      <w:r>
        <w:t xml:space="preserve">For how do you say, I am righteous, and Eternal did not hear me? For he is eternal above mortals.</w:t>
      </w:r>
    </w:p>
    <w:p>
      <w:r>
        <w:rPr>
          <w:b/>
        </w:rPr>
        <w:t xml:space="preserve">13 </w:t>
      </w:r>
      <w:r>
        <w:t xml:space="preserve">And you say, Why did he not hear every word of my case?</w:t>
      </w:r>
    </w:p>
    <w:p>
      <w:r>
        <w:rPr>
          <w:b/>
        </w:rPr>
        <w:t xml:space="preserve">14 </w:t>
      </w:r>
      <w:r>
        <w:t xml:space="preserve">For when the Lord speaks once, and second time in dream,</w:t>
      </w:r>
    </w:p>
    <w:p>
      <w:r>
        <w:rPr>
          <w:b/>
        </w:rPr>
        <w:t xml:space="preserve">15 </w:t>
      </w:r>
      <w:r>
        <w:t xml:space="preserve">or in nighttime meditation, as fearful dread falls upon men in slumberings on bed,</w:t>
      </w:r>
    </w:p>
    <w:p>
      <w:r>
        <w:rPr>
          <w:b/>
        </w:rPr>
        <w:t xml:space="preserve">16 </w:t>
      </w:r>
      <w:r>
        <w:t xml:space="preserve">then he uncovers mind of men; in such kinds of fear he frightened them,</w:t>
      </w:r>
    </w:p>
    <w:p>
      <w:r>
        <w:rPr>
          <w:b/>
        </w:rPr>
        <w:t xml:space="preserve">17 </w:t>
      </w:r>
      <w:r>
        <w:t xml:space="preserve">to turn man from injustice, and rescued his body from fall.</w:t>
      </w:r>
    </w:p>
    <w:p>
      <w:r>
        <w:rPr>
          <w:b/>
        </w:rPr>
        <w:t xml:space="preserve">18 </w:t>
      </w:r>
      <w:r>
        <w:t xml:space="preserve">And he spared his soul from death and him from falling in war.</w:t>
      </w:r>
    </w:p>
    <w:p>
      <w:r>
        <w:rPr>
          <w:b/>
        </w:rPr>
        <w:t xml:space="preserve">19 </w:t>
      </w:r>
      <w:r>
        <w:t xml:space="preserve">And again he reproved him in weakness upon bed, and great number of his bones grew numb.</w:t>
      </w:r>
    </w:p>
    <w:p>
      <w:r>
        <w:rPr>
          <w:b/>
        </w:rPr>
        <w:t xml:space="preserve">20 </w:t>
      </w:r>
      <w:r>
        <w:t xml:space="preserve">And he will by no means be able to receive every edible thing of grain, and his soul will desire food.</w:t>
      </w:r>
    </w:p>
    <w:p>
      <w:r>
        <w:rPr>
          <w:b/>
        </w:rPr>
        <w:t xml:space="preserve">21 </w:t>
      </w:r>
      <w:r>
        <w:t xml:space="preserve">Until his flesh</w:t>
      </w:r>
      <w:r>
        <w:rPr>
          <w:rStyle w:val="FootnoteReference"/>
        </w:rPr>
        <w:footnoteReference w:id="10472"/>
      </w:r>
      <w:r>
        <w:t xml:space="preserve"> rots away and his bones are shown bare.</w:t>
      </w:r>
    </w:p>
    <w:p>
      <w:r>
        <w:rPr>
          <w:b/>
        </w:rPr>
        <w:t xml:space="preserve">22 </w:t>
      </w:r>
      <w:r>
        <w:t xml:space="preserve">And his soul</w:t>
      </w:r>
      <w:r>
        <w:rPr>
          <w:rStyle w:val="FootnoteReference"/>
        </w:rPr>
        <w:footnoteReference w:id="10473"/>
      </w:r>
      <w:r>
        <w:t xml:space="preserve"> came near to death, and his life to Hades.</w:t>
      </w:r>
    </w:p>
    <w:p>
      <w:r>
        <w:rPr>
          <w:b/>
        </w:rPr>
        <w:t xml:space="preserve">23 </w:t>
      </w:r>
      <w:r>
        <w:t xml:space="preserve">If there are a thousand death-bearing angels, not one of them will wound him, if he understands in heart to turn to the Lord and tells man his own blame and shows his folly,</w:t>
      </w:r>
    </w:p>
    <w:p>
      <w:r>
        <w:rPr>
          <w:b/>
        </w:rPr>
        <w:t xml:space="preserve">24 </w:t>
      </w:r>
      <w:r>
        <w:t xml:space="preserve">he will hold out against his falling into death, and will renew his body like plaster on wall, and fill his bones with marrow.</w:t>
      </w:r>
    </w:p>
    <w:p>
      <w:r>
        <w:rPr>
          <w:b/>
        </w:rPr>
        <w:t xml:space="preserve">25 </w:t>
      </w:r>
      <w:r>
        <w:t xml:space="preserve">And he will soften his flesh</w:t>
      </w:r>
      <w:r>
        <w:rPr>
          <w:rStyle w:val="FootnoteReference"/>
        </w:rPr>
        <w:footnoteReference w:id="10474"/>
      </w:r>
      <w:r>
        <w:t xml:space="preserve"> like that of infant and restore him as grown man among men.</w:t>
      </w:r>
    </w:p>
    <w:p>
      <w:r>
        <w:rPr>
          <w:b/>
        </w:rPr>
        <w:t xml:space="preserve">26 </w:t>
      </w:r>
      <w:r>
        <w:t xml:space="preserve">And when he prays to the Lord, things will be acceptable to him, and he will enter with clean face, with confession; and he will repay righteousness to men.</w:t>
      </w:r>
    </w:p>
    <w:p>
      <w:r>
        <w:rPr>
          <w:b/>
        </w:rPr>
        <w:t xml:space="preserve">27 </w:t>
      </w:r>
      <w:r>
        <w:t xml:space="preserve">Then man himself will blame himself, saying, What things I completed, and he did not examine me according to what I sinned.</w:t>
      </w:r>
    </w:p>
    <w:p>
      <w:r>
        <w:rPr>
          <w:b/>
        </w:rPr>
        <w:t xml:space="preserve">28 </w:t>
      </w:r>
      <w:r>
        <w:t xml:space="preserve">Save my soul from coming into corruption, and my life will see light.</w:t>
      </w:r>
    </w:p>
    <w:p>
      <w:r>
        <w:rPr>
          <w:b/>
        </w:rPr>
        <w:t xml:space="preserve">29 </w:t>
      </w:r>
      <w:r>
        <w:t xml:space="preserve">Behold, Mighty One works all these things, three ways with man,</w:t>
      </w:r>
    </w:p>
    <w:p>
      <w:r>
        <w:rPr>
          <w:b/>
        </w:rPr>
        <w:t xml:space="preserve">30 </w:t>
      </w:r>
      <w:r>
        <w:t xml:space="preserve">but he rescued my soul from death, so that my life in light may praise him.</w:t>
      </w:r>
    </w:p>
    <w:p>
      <w:r>
        <w:rPr>
          <w:b/>
        </w:rPr>
        <w:t xml:space="preserve">31 </w:t>
      </w:r>
      <w:r>
        <w:t xml:space="preserve">Give ear, Job, and hear me; be silent, and I will speak.</w:t>
      </w:r>
    </w:p>
    <w:p>
      <w:r>
        <w:rPr>
          <w:b/>
        </w:rPr>
        <w:t xml:space="preserve">32 </w:t>
      </w:r>
      <w:r>
        <w:t xml:space="preserve">If there are words, answer me; speak, for I want to justify you.</w:t>
      </w:r>
    </w:p>
    <w:p>
      <w:r>
        <w:rPr>
          <w:b/>
        </w:rPr>
        <w:t xml:space="preserve">33 </w:t>
      </w:r>
      <w:r>
        <w:t xml:space="preserve">If not, you hear me; be silent, and I will teach you wisdom.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t xml:space="preserve">And taking up the matter, Elihu says,</w:t>
      </w:r>
    </w:p>
    <w:p>
      <w:r>
        <w:rPr>
          <w:b/>
        </w:rPr>
        <w:t xml:space="preserve">2 </w:t>
      </w:r>
      <w:r>
        <w:t xml:space="preserve">Hear me, wise men; you who know, give ear to what is good.</w:t>
      </w:r>
    </w:p>
    <w:p>
      <w:r>
        <w:rPr>
          <w:b/>
        </w:rPr>
        <w:t xml:space="preserve">3 </w:t>
      </w:r>
      <w:r>
        <w:t xml:space="preserve">For ear tests words, and throat tastes foods.</w:t>
      </w:r>
    </w:p>
    <w:p>
      <w:r>
        <w:rPr>
          <w:b/>
        </w:rPr>
        <w:t xml:space="preserve">4 </w:t>
      </w:r>
      <w:r>
        <w:t xml:space="preserve">Let us choose</w:t>
      </w:r>
      <w:r>
        <w:rPr>
          <w:rStyle w:val="FootnoteReference"/>
        </w:rPr>
        <w:footnoteReference w:id="10475"/>
      </w:r>
      <w:r>
        <w:t xml:space="preserve"> judgment for ourselves; let us know among ourselves what is good.</w:t>
      </w:r>
    </w:p>
    <w:p>
      <w:r>
        <w:rPr>
          <w:b/>
        </w:rPr>
        <w:t xml:space="preserve">5 </w:t>
      </w:r>
      <w:r>
        <w:t xml:space="preserve">For Job said, I am righteous; the Lord took away my judgment.</w:t>
      </w:r>
    </w:p>
    <w:p>
      <w:r>
        <w:rPr>
          <w:b/>
        </w:rPr>
        <w:t xml:space="preserve">6 </w:t>
      </w:r>
      <w:r>
        <w:t xml:space="preserve">And he lied against my judgment; my arrow is violent without injustice.</w:t>
      </w:r>
    </w:p>
    <w:p>
      <w:r>
        <w:rPr>
          <w:b/>
        </w:rPr>
        <w:t xml:space="preserve">7 </w:t>
      </w:r>
      <w:r>
        <w:t xml:space="preserve">What man is like Job, drinking mockery like water,</w:t>
      </w:r>
    </w:p>
    <w:p>
      <w:r>
        <w:rPr>
          <w:b/>
        </w:rPr>
        <w:t xml:space="preserve">8 </w:t>
      </w:r>
      <w:r>
        <w:t xml:space="preserve">not sinning nor acting ungodly, but sharing road with those doing lawless things, to walk with ungodly men?</w:t>
      </w:r>
    </w:p>
    <w:p>
      <w:r>
        <w:rPr>
          <w:b/>
        </w:rPr>
        <w:t xml:space="preserve">9 </w:t>
      </w:r>
      <w:r>
        <w:t xml:space="preserve">For do not say that there will not be inspection of man, and inspection for him from the Lord.</w:t>
      </w:r>
    </w:p>
    <w:p>
      <w:r>
        <w:rPr>
          <w:b/>
        </w:rPr>
        <w:t xml:space="preserve">10 </w:t>
      </w:r>
      <w:r>
        <w:t xml:space="preserve">Therefore, you who are wise in heart, hear me: far be it from me to act impiously before the Lord, and before the Almighty to pervert what is right.</w:t>
      </w:r>
      <w:r>
        <w:rPr>
          <w:rStyle w:val="FootnoteReference"/>
        </w:rPr>
        <w:footnoteReference w:id="10476"/>
      </w:r>
    </w:p>
    <w:p>
      <w:r>
        <w:rPr>
          <w:b/>
        </w:rPr>
        <w:t xml:space="preserve">11 </w:t>
      </w:r>
      <w:r>
        <w:t xml:space="preserve">But he repays man according to what each does, and in the path of man he will find him.</w:t>
      </w:r>
    </w:p>
    <w:p>
      <w:r>
        <w:rPr>
          <w:b/>
        </w:rPr>
        <w:t xml:space="preserve">12 </w:t>
      </w:r>
      <w:r>
        <w:t xml:space="preserve">Do not think the Lord will do strange things, or Almighty disturb judgment.</w:t>
      </w:r>
    </w:p>
    <w:p>
      <w:r>
        <w:rPr>
          <w:b/>
        </w:rPr>
        <w:t xml:space="preserve">13 </w:t>
      </w:r>
      <w:r>
        <w:t xml:space="preserve">Who made earth? And who made what is under heaven and all things within it?</w:t>
      </w:r>
    </w:p>
    <w:p>
      <w:r>
        <w:rPr>
          <w:b/>
        </w:rPr>
        <w:t xml:space="preserve">14 </w:t>
      </w:r>
      <w:r>
        <w:t xml:space="preserve">For if he should wish to hold fast and keep spirit with himself,</w:t>
      </w:r>
    </w:p>
    <w:p>
      <w:r>
        <w:rPr>
          <w:b/>
        </w:rPr>
        <w:t xml:space="preserve">15 </w:t>
      </w:r>
      <w:r>
        <w:t xml:space="preserve">all flesh would die together, and every mortal would depart into earth from where he was formed.</w:t>
      </w:r>
    </w:p>
    <w:p>
      <w:r>
        <w:rPr>
          <w:b/>
        </w:rPr>
        <w:t xml:space="preserve">16 </w:t>
      </w:r>
      <w:r>
        <w:t xml:space="preserve">But if not, take warning; hear these things; give ear to the voice of words.</w:t>
      </w:r>
    </w:p>
    <w:p>
      <w:r>
        <w:rPr>
          <w:b/>
        </w:rPr>
        <w:t xml:space="preserve">17 </w:t>
      </w:r>
      <w:r>
        <w:t xml:space="preserve">Look at one hating lawless things and destroying evil men, being eternal and righteous.</w:t>
      </w:r>
    </w:p>
    <w:p>
      <w:r>
        <w:rPr>
          <w:b/>
        </w:rPr>
        <w:t xml:space="preserve">18 </w:t>
      </w:r>
      <w:r>
        <w:t xml:space="preserve">He is ungodly who says to the king, You act lawlessly, and Most Ungodly One to rulers.</w:t>
      </w:r>
    </w:p>
    <w:p>
      <w:r>
        <w:rPr>
          <w:b/>
        </w:rPr>
        <w:t xml:space="preserve">19 </w:t>
      </w:r>
      <w:r>
        <w:t xml:space="preserve">He who did not feel shame before honorable face, nor knows to give honor by admiring faces of great men.</w:t>
      </w:r>
    </w:p>
    <w:p>
      <w:r>
        <w:rPr>
          <w:b/>
        </w:rPr>
        <w:t xml:space="preserve">20 </w:t>
      </w:r>
      <w:r>
        <w:t xml:space="preserve">Their crying out and begging from man will turn out empty to them, for they used lawlessly while weak men were turning aside.</w:t>
      </w:r>
    </w:p>
    <w:p>
      <w:r>
        <w:rPr>
          <w:b/>
        </w:rPr>
        <w:t xml:space="preserve">21 </w:t>
      </w:r>
      <w:r>
        <w:t xml:space="preserve">For he is seer of works of men, and nothing of what they do is hidden from him.</w:t>
      </w:r>
    </w:p>
    <w:p>
      <w:r>
        <w:rPr>
          <w:b/>
        </w:rPr>
        <w:t xml:space="preserve">22 </w:t>
      </w:r>
      <w:r>
        <w:t xml:space="preserve">Nor will there be place to hide for those doing lawless things.</w:t>
      </w:r>
    </w:p>
    <w:p>
      <w:r>
        <w:rPr>
          <w:b/>
        </w:rPr>
        <w:t xml:space="preserve">23 </w:t>
      </w:r>
      <w:r>
        <w:t xml:space="preserve">For he will no longer appoint anything over man, for the Lord watches all.</w:t>
      </w:r>
    </w:p>
    <w:p>
      <w:r>
        <w:rPr>
          <w:b/>
        </w:rPr>
        <w:t xml:space="preserve">24 </w:t>
      </w:r>
      <w:r>
        <w:t xml:space="preserve">He who grasps unsearchable things, glorious and extraordinary things without number.</w:t>
      </w:r>
    </w:p>
    <w:p>
      <w:r>
        <w:rPr>
          <w:b/>
        </w:rPr>
        <w:t xml:space="preserve">25 </w:t>
      </w:r>
      <w:r>
        <w:t xml:space="preserve">He who makes known their works and turns night, and they will be humbled.</w:t>
      </w:r>
    </w:p>
    <w:p>
      <w:r>
        <w:rPr>
          <w:b/>
        </w:rPr>
        <w:t xml:space="preserve">26 </w:t>
      </w:r>
      <w:r>
        <w:t xml:space="preserve">And he quenched ungodly men; they are visible before him,</w:t>
      </w:r>
    </w:p>
    <w:p>
      <w:r>
        <w:rPr>
          <w:b/>
        </w:rPr>
        <w:t xml:space="preserve">27 </w:t>
      </w:r>
      <w:r>
        <w:t xml:space="preserve">because they turned</w:t>
      </w:r>
      <w:r>
        <w:rPr>
          <w:rStyle w:val="FootnoteReference"/>
        </w:rPr>
        <w:footnoteReference w:id="10477"/>
      </w:r>
      <w:r>
        <w:t xml:space="preserve"> aside from the law of God and did not know his ordinances,</w:t>
      </w:r>
    </w:p>
    <w:p>
      <w:r>
        <w:rPr>
          <w:b/>
        </w:rPr>
        <w:t xml:space="preserve">28 </w:t>
      </w:r>
      <w:r>
        <w:t xml:space="preserve">so as to bring cry of the poor upon him, and he will hear cry of needy men.</w:t>
      </w:r>
    </w:p>
    <w:p>
      <w:r>
        <w:rPr>
          <w:b/>
        </w:rPr>
        <w:t xml:space="preserve">29 </w:t>
      </w:r>
      <w:r>
        <w:t xml:space="preserve">And he will provide quiet, and who will condemn? And he will hide face, and who will see him, against nation and against man alike?</w:t>
      </w:r>
    </w:p>
    <w:p>
      <w:r>
        <w:rPr>
          <w:b/>
        </w:rPr>
        <w:t xml:space="preserve">30 </w:t>
      </w:r>
      <w:r>
        <w:t xml:space="preserve">He reigns over hypocritical man because of hardship of the people.</w:t>
      </w:r>
    </w:p>
    <w:p>
      <w:r>
        <w:rPr>
          <w:b/>
        </w:rPr>
        <w:t xml:space="preserve">31 </w:t>
      </w:r>
      <w:r>
        <w:t xml:space="preserve">Because one says to Mighty One, I have received; I will not take pledges.</w:t>
      </w:r>
    </w:p>
    <w:p>
      <w:r>
        <w:rPr>
          <w:b/>
        </w:rPr>
        <w:t xml:space="preserve">32 </w:t>
      </w:r>
      <w:r>
        <w:t xml:space="preserve">Apart from myself I will see; you show me if I worked injustice; I will add no more.</w:t>
      </w:r>
    </w:p>
    <w:p>
      <w:r>
        <w:rPr>
          <w:b/>
        </w:rPr>
        <w:t xml:space="preserve">33 </w:t>
      </w:r>
      <w:r>
        <w:t xml:space="preserve">Will he repay it from you because you rejected it? For you will choose, not I. And what you know, speak.</w:t>
      </w:r>
    </w:p>
    <w:p>
      <w:r>
        <w:rPr>
          <w:b/>
        </w:rPr>
        <w:t xml:space="preserve">34 </w:t>
      </w:r>
      <w:r>
        <w:t xml:space="preserve">Therefore men of understanding</w:t>
      </w:r>
      <w:r>
        <w:rPr>
          <w:rStyle w:val="FootnoteReference"/>
        </w:rPr>
        <w:footnoteReference w:id="10478"/>
      </w:r>
      <w:r>
        <w:t xml:space="preserve"> heart will say these things, and wise man heard my word.</w:t>
      </w:r>
    </w:p>
    <w:p>
      <w:r>
        <w:rPr>
          <w:b/>
        </w:rPr>
        <w:t xml:space="preserve">35 </w:t>
      </w:r>
      <w:r>
        <w:t xml:space="preserve">But Job did not speak with understanding, and his words were not with knowledge.</w:t>
      </w:r>
    </w:p>
    <w:p>
      <w:r>
        <w:rPr>
          <w:b/>
        </w:rPr>
        <w:t xml:space="preserve">36 </w:t>
      </w:r>
      <w:r>
        <w:t xml:space="preserve">Yet learn, Job: do not yet give answer like foolish men,</w:t>
      </w:r>
    </w:p>
    <w:p>
      <w:r>
        <w:rPr>
          <w:b/>
        </w:rPr>
        <w:t xml:space="preserve">37 </w:t>
      </w:r>
      <w:r>
        <w:t xml:space="preserve">lest we add lawlessness to our sins, and let lawlessness be counted upon us while speaking many words against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t xml:space="preserve">And taking up the matter, Elihu says,</w:t>
      </w:r>
    </w:p>
    <w:p>
      <w:r>
        <w:rPr>
          <w:b/>
        </w:rPr>
        <w:t xml:space="preserve">2 </w:t>
      </w:r>
      <w:r>
        <w:t xml:space="preserve">What is this you counted in judgment, you who said, I am righteous before the Lord</w:t>
      </w:r>
      <w:r>
        <w:rPr>
          <w:rStyle w:val="FootnoteReference"/>
        </w:rPr>
        <w:footnoteReference w:id="10479"/>
      </w:r>
      <w:r>
        <w:t xml:space="preserve">?</w:t>
      </w:r>
    </w:p>
    <w:p>
      <w:r>
        <w:rPr>
          <w:b/>
        </w:rPr>
        <w:t xml:space="preserve">3 </w:t>
      </w:r>
      <w:r>
        <w:t xml:space="preserve">Or will you say, What shall I do if I sinned?</w:t>
      </w:r>
    </w:p>
    <w:p>
      <w:r>
        <w:rPr>
          <w:b/>
        </w:rPr>
        <w:t xml:space="preserve">4 </w:t>
      </w:r>
      <w:r>
        <w:t xml:space="preserve">I will give you answer, and your three friends too.</w:t>
      </w:r>
    </w:p>
    <w:p>
      <w:r>
        <w:rPr>
          <w:b/>
        </w:rPr>
        <w:t xml:space="preserve">5 </w:t>
      </w:r>
      <w:r>
        <w:t xml:space="preserve">Look</w:t>
      </w:r>
      <w:r>
        <w:rPr>
          <w:rStyle w:val="FootnoteReference"/>
        </w:rPr>
        <w:footnoteReference w:id="10480"/>
      </w:r>
      <w:r>
        <w:t xml:space="preserve"> up to heaven and see, and study clouds, how high they are above you.</w:t>
      </w:r>
    </w:p>
    <w:p>
      <w:r>
        <w:rPr>
          <w:b/>
        </w:rPr>
        <w:t xml:space="preserve">6 </w:t>
      </w:r>
      <w:r>
        <w:t xml:space="preserve">If you sinned, what will you do? And if you committed much lawlessness, what are you able to do?</w:t>
      </w:r>
    </w:p>
    <w:p>
      <w:r>
        <w:rPr>
          <w:b/>
        </w:rPr>
        <w:t xml:space="preserve">7 </w:t>
      </w:r>
      <w:r>
        <w:t xml:space="preserve">Since therefore you are righteous, what will you give him, or what will he receive from your hand?</w:t>
      </w:r>
    </w:p>
    <w:p>
      <w:r>
        <w:rPr>
          <w:b/>
        </w:rPr>
        <w:t xml:space="preserve">8 </w:t>
      </w:r>
      <w:r>
        <w:t xml:space="preserve">Your ungodliness is to man like you, and your righteousness to a son of man.</w:t>
      </w:r>
    </w:p>
    <w:p>
      <w:r>
        <w:rPr>
          <w:b/>
        </w:rPr>
        <w:t xml:space="preserve">9 </w:t>
      </w:r>
      <w:r>
        <w:t xml:space="preserve">Being oppressed by multitude, they will cry out; they will cry for help from arm of many.</w:t>
      </w:r>
    </w:p>
    <w:p>
      <w:r>
        <w:rPr>
          <w:b/>
        </w:rPr>
        <w:t xml:space="preserve">10 </w:t>
      </w:r>
      <w:r>
        <w:t xml:space="preserve">And he did not say, Where is God, maker of me, appointing night watches,</w:t>
      </w:r>
    </w:p>
    <w:p>
      <w:r>
        <w:rPr>
          <w:b/>
        </w:rPr>
        <w:t xml:space="preserve">11 </w:t>
      </w:r>
      <w:r>
        <w:t xml:space="preserve">distinguishing me from beasts of the earth and from the birds of heaven?</w:t>
      </w:r>
    </w:p>
    <w:p>
      <w:r>
        <w:rPr>
          <w:b/>
        </w:rPr>
        <w:t xml:space="preserve">12 </w:t>
      </w:r>
      <w:r>
        <w:t xml:space="preserve">There they will cry out, and he will by no means hear, because of arrogance of evil men.</w:t>
      </w:r>
    </w:p>
    <w:p>
      <w:r>
        <w:rPr>
          <w:b/>
        </w:rPr>
        <w:t xml:space="preserve">13 </w:t>
      </w:r>
      <w:r>
        <w:t xml:space="preserve">For the Lord does not wish to see strange things, for Almighty himself is seer.</w:t>
      </w:r>
    </w:p>
    <w:p>
      <w:r>
        <w:rPr>
          <w:b/>
        </w:rPr>
        <w:t xml:space="preserve">14 </w:t>
      </w:r>
      <w:r>
        <w:t xml:space="preserve">Of those completing lawless things he will save me. And be judged before him, if you are able to praise him as he is.</w:t>
      </w:r>
    </w:p>
    <w:p>
      <w:r>
        <w:rPr>
          <w:b/>
        </w:rPr>
        <w:t xml:space="preserve">15 </w:t>
      </w:r>
      <w:r>
        <w:t xml:space="preserve">And now, because there is no one visiting his wrath, and he did not know the trespass greatly,</w:t>
      </w:r>
    </w:p>
    <w:p>
      <w:r>
        <w:rPr>
          <w:b/>
        </w:rPr>
        <w:t xml:space="preserve">16 </w:t>
      </w:r>
      <w:r>
        <w:t xml:space="preserve">Job opens his mouth vainly; in ignorance he makes words heavy.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t xml:space="preserve">And Elihu still added and says,</w:t>
      </w:r>
    </w:p>
    <w:p>
      <w:r>
        <w:rPr>
          <w:b/>
        </w:rPr>
        <w:t xml:space="preserve">2 </w:t>
      </w:r>
      <w:r>
        <w:t xml:space="preserve">Wait for me a little longer, that I may teach you, for still there is speech in me.</w:t>
      </w:r>
    </w:p>
    <w:p>
      <w:r>
        <w:rPr>
          <w:b/>
        </w:rPr>
        <w:t xml:space="preserve">3 </w:t>
      </w:r>
      <w:r>
        <w:t xml:space="preserve">Taking up my knowledge from far, I will speak righteous things to my works.</w:t>
      </w:r>
    </w:p>
    <w:p>
      <w:r>
        <w:rPr>
          <w:b/>
        </w:rPr>
        <w:t xml:space="preserve">4 </w:t>
      </w:r>
      <w:r>
        <w:t xml:space="preserve">Truly my words are not unjust; you understand unjustly.</w:t>
      </w:r>
    </w:p>
    <w:p>
      <w:r>
        <w:rPr>
          <w:b/>
        </w:rPr>
        <w:t xml:space="preserve">5 </w:t>
      </w:r>
      <w:r>
        <w:t xml:space="preserve">Know that the Lord will by no means reject blameless one, mighty</w:t>
      </w:r>
      <w:r>
        <w:rPr>
          <w:rStyle w:val="FootnoteReference"/>
        </w:rPr>
        <w:footnoteReference w:id="10481"/>
      </w:r>
      <w:r>
        <w:t xml:space="preserve"> in the strength of heart.</w:t>
      </w:r>
    </w:p>
    <w:p>
      <w:r>
        <w:rPr>
          <w:b/>
        </w:rPr>
        <w:t xml:space="preserve">6 </w:t>
      </w:r>
      <w:r>
        <w:t xml:space="preserve">He will by no means keep an ungodly man</w:t>
      </w:r>
      <w:r>
        <w:rPr>
          <w:rStyle w:val="FootnoteReference"/>
        </w:rPr>
        <w:footnoteReference w:id="10482"/>
      </w:r>
      <w:r>
        <w:t xml:space="preserve"> alive, but will give judgment to poor</w:t>
      </w:r>
      <w:r>
        <w:rPr>
          <w:rStyle w:val="FootnoteReference"/>
        </w:rPr>
        <w:footnoteReference w:id="10483"/>
      </w:r>
      <w:r>
        <w:t xml:space="preserve"> men.</w:t>
      </w:r>
    </w:p>
    <w:p>
      <w:r>
        <w:rPr>
          <w:b/>
        </w:rPr>
        <w:t xml:space="preserve">7 </w:t>
      </w:r>
      <w:r>
        <w:t xml:space="preserve">He will not take away his eyes from a righteous man, and with kings on a throne he will set them, and they will be exalted in strife.</w:t>
      </w:r>
      <w:r>
        <w:rPr>
          <w:rStyle w:val="FootnoteReference"/>
        </w:rPr>
        <w:footnoteReference w:id="10484"/>
      </w:r>
    </w:p>
    <w:p>
      <w:r>
        <w:rPr>
          <w:b/>
        </w:rPr>
        <w:t xml:space="preserve">8 </w:t>
      </w:r>
      <w:r>
        <w:t xml:space="preserve">And if they have been bound in shackles and held fast in ropes of poverty,</w:t>
      </w:r>
    </w:p>
    <w:p>
      <w:r>
        <w:rPr>
          <w:b/>
        </w:rPr>
        <w:t xml:space="preserve">9 </w:t>
      </w:r>
      <w:r>
        <w:t xml:space="preserve">then he will declare to them their</w:t>
      </w:r>
      <w:r>
        <w:rPr>
          <w:rStyle w:val="FootnoteReference"/>
        </w:rPr>
        <w:footnoteReference w:id="10485"/>
      </w:r>
      <w:r>
        <w:t xml:space="preserve"> works and their transgressions, because they will be strong.</w:t>
      </w:r>
    </w:p>
    <w:p>
      <w:r>
        <w:rPr>
          <w:b/>
        </w:rPr>
        <w:t xml:space="preserve">10 </w:t>
      </w:r>
      <w:r>
        <w:t xml:space="preserve">But he will hear the righteous man and said that they will turn from injustice.</w:t>
      </w:r>
      <w:r>
        <w:rPr>
          <w:rStyle w:val="FootnoteReference"/>
        </w:rPr>
        <w:footnoteReference w:id="10486"/>
      </w:r>
      <w:r>
        <w:t xml:space="preserve"/>
      </w:r>
    </w:p>
    <w:p>
      <w:r>
        <w:rPr>
          <w:b/>
        </w:rPr>
        <w:t xml:space="preserve">11 </w:t>
      </w:r>
      <w:r>
        <w:t xml:space="preserve">If they hear and serve, they will complete their days in good things and their years in comeliness.</w:t>
      </w:r>
    </w:p>
    <w:p>
      <w:r>
        <w:rPr>
          <w:b/>
        </w:rPr>
        <w:t xml:space="preserve">12 </w:t>
      </w:r>
      <w:r>
        <w:t xml:space="preserve">But ungodly men he does not save, because they were unwilling to know Lord, and because, though admonished, they were disobedient.</w:t>
      </w:r>
    </w:p>
    <w:p>
      <w:r>
        <w:rPr>
          <w:b/>
        </w:rPr>
        <w:t xml:space="preserve">13 </w:t>
      </w:r>
      <w:r>
        <w:t xml:space="preserve">And hypocrites in heart will appoint wrath; they will not cry for help because he bound them.</w:t>
      </w:r>
    </w:p>
    <w:p>
      <w:r>
        <w:rPr>
          <w:b/>
        </w:rPr>
        <w:t xml:space="preserve">14 </w:t>
      </w:r>
      <w:r>
        <w:t xml:space="preserve">Therefore let their soul die in youth, and their life wounded by angels.</w:t>
      </w:r>
    </w:p>
    <w:p>
      <w:r>
        <w:rPr>
          <w:b/>
        </w:rPr>
        <w:t xml:space="preserve">15 </w:t>
      </w:r>
      <w:r>
        <w:t xml:space="preserve">In return for what they oppressed, he will bring out judgment of meek men for weak and powerless men.</w:t>
      </w:r>
    </w:p>
    <w:p>
      <w:r>
        <w:rPr>
          <w:b/>
        </w:rPr>
        <w:t xml:space="preserve">16 </w:t>
      </w:r>
      <w:r>
        <w:t xml:space="preserve">And further he deceived you from the mouth of enemy: abyss, pouring out beneath it, and your table came down full</w:t>
      </w:r>
      <w:r>
        <w:rPr>
          <w:rStyle w:val="FootnoteReference"/>
        </w:rPr>
        <w:footnoteReference w:id="10487"/>
      </w:r>
      <w:r>
        <w:t xml:space="preserve"> of richness.</w:t>
      </w:r>
    </w:p>
    <w:p>
      <w:r>
        <w:rPr>
          <w:b/>
        </w:rPr>
        <w:t xml:space="preserve">17 </w:t>
      </w:r>
      <w:r>
        <w:t xml:space="preserve">Yet judgment will not fail from the righteous.</w:t>
      </w:r>
      <w:r>
        <w:rPr>
          <w:rStyle w:val="FootnoteReference"/>
        </w:rPr>
        <w:footnoteReference w:id="10488"/>
      </w:r>
      <w:r>
        <w:t xml:space="preserve"/>
      </w:r>
    </w:p>
    <w:p>
      <w:r>
        <w:rPr>
          <w:b/>
        </w:rPr>
        <w:t xml:space="preserve">18 </w:t>
      </w:r>
      <w:r>
        <w:t xml:space="preserve">But wrath will be upon the ungodly because of the ungodliness of gifts which they received upon injustices.</w:t>
      </w:r>
      <w:r>
        <w:rPr>
          <w:rStyle w:val="FootnoteReference"/>
        </w:rPr>
        <w:footnoteReference w:id="10489"/>
      </w:r>
      <w:r>
        <w:t xml:space="preserve"/>
      </w:r>
    </w:p>
    <w:p>
      <w:r>
        <w:rPr>
          <w:b/>
        </w:rPr>
        <w:t xml:space="preserve">19 </w:t>
      </w:r>
      <w:r>
        <w:t xml:space="preserve">Let not willing mind of prayer turn you aside in necessity when weak men exist, and all strengthening power.</w:t>
      </w:r>
    </w:p>
    <w:p>
      <w:r>
        <w:rPr>
          <w:b/>
        </w:rPr>
        <w:t xml:space="preserve">20 </w:t>
      </w:r>
      <w:r>
        <w:t xml:space="preserve">Do not draw out night, for peoples go up instead of them.</w:t>
      </w:r>
    </w:p>
    <w:p>
      <w:r>
        <w:rPr>
          <w:b/>
        </w:rPr>
        <w:t xml:space="preserve">21 </w:t>
      </w:r>
      <w:r>
        <w:t xml:space="preserve">But take heed not to do strange things, for because of this I rescued you from poverty.</w:t>
      </w:r>
    </w:p>
    <w:p>
      <w:r>
        <w:rPr>
          <w:b/>
        </w:rPr>
        <w:t xml:space="preserve">22 </w:t>
      </w:r>
      <w:r>
        <w:t xml:space="preserve">Behold, Mighty One will strengthen in his strength. For who is ruler against him?</w:t>
      </w:r>
    </w:p>
    <w:p>
      <w:r>
        <w:rPr>
          <w:b/>
        </w:rPr>
        <w:t xml:space="preserve">23 </w:t>
      </w:r>
      <w:r>
        <w:t xml:space="preserve">And who is one examining his works? Or who said, You did unjust things?</w:t>
      </w:r>
    </w:p>
    <w:p>
      <w:r>
        <w:rPr>
          <w:b/>
        </w:rPr>
        <w:t xml:space="preserve">24 </w:t>
      </w:r>
      <w:r>
        <w:t xml:space="preserve">Remember that his works are great, which men began.</w:t>
      </w:r>
    </w:p>
    <w:p>
      <w:r>
        <w:rPr>
          <w:b/>
        </w:rPr>
        <w:t xml:space="preserve">25 </w:t>
      </w:r>
      <w:r>
        <w:t xml:space="preserve">Every man has seen in himself, as many mortals as are being wounded.</w:t>
      </w:r>
    </w:p>
    <w:p>
      <w:r>
        <w:rPr>
          <w:b/>
        </w:rPr>
        <w:t xml:space="preserve">26 </w:t>
      </w:r>
      <w:r>
        <w:t xml:space="preserve">Behold, Mighty One is great, and we will not know; number of his years is endless.</w:t>
      </w:r>
    </w:p>
    <w:p>
      <w:r>
        <w:rPr>
          <w:b/>
        </w:rPr>
        <w:t xml:space="preserve">27 </w:t>
      </w:r>
      <w:r>
        <w:t xml:space="preserve">The drops of rain are counted for him, and they will be poured out as rain for cloud.</w:t>
      </w:r>
    </w:p>
    <w:p>
      <w:r>
        <w:rPr>
          <w:b/>
        </w:rPr>
        <w:t xml:space="preserve">28 </w:t>
      </w:r>
      <w:r>
        <w:t xml:space="preserve">Ancient things will flow down, and clouds cast shadow over countless mortals. He set time for beasts, and they know order of resting place. Over all these things your mind is not amazed, nor does your heart change from body.</w:t>
      </w:r>
    </w:p>
    <w:p>
      <w:r>
        <w:rPr>
          <w:b/>
        </w:rPr>
        <w:t xml:space="preserve">29 </w:t>
      </w:r>
      <w:r>
        <w:t xml:space="preserve">And if he understands stretchings of cloud, equality of his tent?</w:t>
      </w:r>
    </w:p>
    <w:p>
      <w:r>
        <w:rPr>
          <w:b/>
        </w:rPr>
        <w:t xml:space="preserve">30 </w:t>
      </w:r>
      <w:r>
        <w:t xml:space="preserve">Behold, he stretches water upon it and covered roots of sea.</w:t>
      </w:r>
    </w:p>
    <w:p>
      <w:r>
        <w:rPr>
          <w:b/>
        </w:rPr>
        <w:t xml:space="preserve">31 </w:t>
      </w:r>
      <w:r>
        <w:t xml:space="preserve">For by them he will judge peoples; he will give food to one who is strong.</w:t>
      </w:r>
    </w:p>
    <w:p>
      <w:r>
        <w:rPr>
          <w:b/>
        </w:rPr>
        <w:t xml:space="preserve">32 </w:t>
      </w:r>
      <w:r>
        <w:t xml:space="preserve">Upon hands he covered light, and commanded concerning it in meeting one.</w:t>
      </w:r>
    </w:p>
    <w:p>
      <w:r>
        <w:rPr>
          <w:b/>
        </w:rPr>
        <w:t xml:space="preserve">33 </w:t>
      </w:r>
      <w:r>
        <w:t xml:space="preserve">His friend will announce concerning him, possession also concerning injustice.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37</w:t>
      </w:r>
    </w:p>
    <w:p>
      <w:r>
        <w:rPr>
          <w:b/>
        </w:rPr>
        <w:t xml:space="preserve">1 </w:t>
      </w:r>
      <w:r>
        <w:t xml:space="preserve">And because of this my heart was troubled and leaped from its place.</w:t>
      </w:r>
    </w:p>
    <w:p>
      <w:r>
        <w:rPr>
          <w:b/>
        </w:rPr>
        <w:t xml:space="preserve">2 </w:t>
      </w:r>
      <w:r>
        <w:t xml:space="preserve">Hear hearing in the anger of the Lord's wrath, and meditation will come out from his mouth.</w:t>
      </w:r>
    </w:p>
    <w:p>
      <w:r>
        <w:rPr>
          <w:b/>
        </w:rPr>
        <w:t xml:space="preserve">3 </w:t>
      </w:r>
      <w:r>
        <w:t xml:space="preserve">Under whole heaven is his rule, and his light upon the wings of earth.</w:t>
      </w:r>
    </w:p>
    <w:p>
      <w:r>
        <w:rPr>
          <w:b/>
        </w:rPr>
        <w:t xml:space="preserve">4 </w:t>
      </w:r>
      <w:r>
        <w:t xml:space="preserve">After him voice will roar; he will thunder with the voice</w:t>
      </w:r>
      <w:r>
        <w:rPr>
          <w:rStyle w:val="FootnoteReference"/>
        </w:rPr>
        <w:footnoteReference w:id="10490"/>
      </w:r>
      <w:r>
        <w:t xml:space="preserve"> of his arrogance, and he will not exchange them when he hears his voice.</w:t>
      </w:r>
    </w:p>
    <w:p>
      <w:r>
        <w:rPr>
          <w:b/>
        </w:rPr>
        <w:t xml:space="preserve">5 </w:t>
      </w:r>
      <w:r>
        <w:t xml:space="preserve">Mighty One will thunder wondrously in his voice, for he did great</w:t>
      </w:r>
      <w:r>
        <w:rPr>
          <w:rStyle w:val="FootnoteReference"/>
        </w:rPr>
        <w:footnoteReference w:id="10491"/>
      </w:r>
      <w:r>
        <w:t xml:space="preserve"> things which we did not know.</w:t>
      </w:r>
    </w:p>
    <w:p>
      <w:r>
        <w:rPr>
          <w:b/>
        </w:rPr>
        <w:t xml:space="preserve">6 </w:t>
      </w:r>
      <w:r>
        <w:t xml:space="preserve">Commanding snow, Become upon earth, and winter rain, and winter rains of his strength.</w:t>
      </w:r>
    </w:p>
    <w:p>
      <w:r>
        <w:rPr>
          <w:b/>
        </w:rPr>
        <w:t xml:space="preserve">7 </w:t>
      </w:r>
      <w:r>
        <w:t xml:space="preserve">He seals every man's hand, that every man may know his own weakness.</w:t>
      </w:r>
    </w:p>
    <w:p>
      <w:r>
        <w:rPr>
          <w:b/>
        </w:rPr>
        <w:t xml:space="preserve">8 </w:t>
      </w:r>
      <w:r>
        <w:t xml:space="preserve">And beasts entered under shelter and were quiet on their resting places.</w:t>
      </w:r>
    </w:p>
    <w:p>
      <w:r>
        <w:rPr>
          <w:b/>
        </w:rPr>
        <w:t xml:space="preserve">9 </w:t>
      </w:r>
      <w:r>
        <w:t xml:space="preserve">Whirlwinds come from storehouses, and cold from extremities.</w:t>
      </w:r>
    </w:p>
    <w:p>
      <w:r>
        <w:rPr>
          <w:b/>
        </w:rPr>
        <w:t xml:space="preserve">10 </w:t>
      </w:r>
      <w:r>
        <w:t xml:space="preserve">And from the breath of Mighty One he will give frost, and he pilots water as he wishes.</w:t>
      </w:r>
    </w:p>
    <w:p>
      <w:r>
        <w:rPr>
          <w:b/>
        </w:rPr>
        <w:t xml:space="preserve">11 </w:t>
      </w:r>
      <w:r>
        <w:t xml:space="preserve">And choice thing fashions cloud, and cloud will scatter his light.</w:t>
      </w:r>
    </w:p>
    <w:p>
      <w:r>
        <w:rPr>
          <w:b/>
        </w:rPr>
        <w:t xml:space="preserve">12 </w:t>
      </w:r>
      <w:r>
        <w:t xml:space="preserve">And he will turn roundabout his circuits by divine counsels into all their works; whatever he commands them, these have been arranged by him upon earth.</w:t>
      </w:r>
    </w:p>
    <w:p>
      <w:r>
        <w:rPr>
          <w:b/>
        </w:rPr>
        <w:t xml:space="preserve">13 </w:t>
      </w:r>
      <w:r>
        <w:t xml:space="preserve">Whether</w:t>
      </w:r>
      <w:r>
        <w:rPr>
          <w:rStyle w:val="FootnoteReference"/>
        </w:rPr>
        <w:footnoteReference w:id="10492"/>
      </w:r>
      <w:r>
        <w:t xml:space="preserve"> for correction, or for his land, or for mercy, he will find him.</w:t>
      </w:r>
    </w:p>
    <w:p>
      <w:r>
        <w:rPr>
          <w:b/>
        </w:rPr>
        <w:t xml:space="preserve">14 </w:t>
      </w:r>
      <w:r>
        <w:t xml:space="preserve">Give ear to these things, Job; stand</w:t>
      </w:r>
      <w:r>
        <w:rPr>
          <w:rStyle w:val="FootnoteReference"/>
        </w:rPr>
        <w:footnoteReference w:id="10493"/>
      </w:r>
      <w:r>
        <w:t xml:space="preserve"> still and understand power of the Lord.</w:t>
      </w:r>
    </w:p>
    <w:p>
      <w:r>
        <w:rPr>
          <w:b/>
        </w:rPr>
        <w:t xml:space="preserve">15 </w:t>
      </w:r>
      <w:r>
        <w:t xml:space="preserve">We know that God set his works, making light out of darkness.</w:t>
      </w:r>
    </w:p>
    <w:p>
      <w:r>
        <w:rPr>
          <w:b/>
        </w:rPr>
        <w:t xml:space="preserve">16 </w:t>
      </w:r>
      <w:r>
        <w:t xml:space="preserve">And he knows distinctions of clouds, and extraordinary falls of evil men.</w:t>
      </w:r>
    </w:p>
    <w:p>
      <w:r>
        <w:rPr>
          <w:b/>
        </w:rPr>
        <w:t xml:space="preserve">17 </w:t>
      </w:r>
      <w:r>
        <w:t xml:space="preserve">And your garment is warm; yet earth rests quietly.</w:t>
      </w:r>
    </w:p>
    <w:p>
      <w:r>
        <w:rPr>
          <w:b/>
        </w:rPr>
        <w:t xml:space="preserve">18 </w:t>
      </w:r>
      <w:r>
        <w:t xml:space="preserve">Will you make firm with him ancient things, strong as vision of molten metal?</w:t>
      </w:r>
    </w:p>
    <w:p>
      <w:r>
        <w:rPr>
          <w:b/>
        </w:rPr>
        <w:t xml:space="preserve">19 </w:t>
      </w:r>
      <w:r>
        <w:t xml:space="preserve">Why? Teach</w:t>
      </w:r>
      <w:r>
        <w:rPr>
          <w:rStyle w:val="FootnoteReference"/>
        </w:rPr>
        <w:footnoteReference w:id="10494"/>
      </w:r>
      <w:r>
        <w:t xml:space="preserve"> me what we shall say to him, and let us stop saying many things.</w:t>
      </w:r>
    </w:p>
    <w:p>
      <w:r>
        <w:rPr>
          <w:b/>
        </w:rPr>
        <w:t xml:space="preserve">20 </w:t>
      </w:r>
      <w:r>
        <w:t xml:space="preserve">Did book or scribe stand by me, that standing I should make man silent?</w:t>
      </w:r>
    </w:p>
    <w:p>
      <w:r>
        <w:rPr>
          <w:b/>
        </w:rPr>
        <w:t xml:space="preserve">21 </w:t>
      </w:r>
      <w:r>
        <w:t xml:space="preserve">But light is not visible to all; it shines afar in ancient things, like what is with him upon clouds.</w:t>
      </w:r>
    </w:p>
    <w:p>
      <w:r>
        <w:rPr>
          <w:b/>
        </w:rPr>
        <w:t xml:space="preserve">22 </w:t>
      </w:r>
      <w:r>
        <w:t xml:space="preserve">From north clouds shine with gold; over these things is great glory and honor of Almighty.</w:t>
      </w:r>
    </w:p>
    <w:p>
      <w:r>
        <w:rPr>
          <w:b/>
        </w:rPr>
        <w:t xml:space="preserve">23 </w:t>
      </w:r>
      <w:r>
        <w:t xml:space="preserve">And we do not find another like his strength; judging righteous things, he does not think to hear.</w:t>
      </w:r>
    </w:p>
    <w:p>
      <w:r>
        <w:rPr>
          <w:b/>
        </w:rPr>
        <w:t xml:space="preserve">24 </w:t>
      </w:r>
      <w:r>
        <w:t xml:space="preserve">Therefore men will fear</w:t>
      </w:r>
      <w:r>
        <w:rPr>
          <w:rStyle w:val="FootnoteReference"/>
        </w:rPr>
        <w:footnoteReference w:id="10495"/>
      </w:r>
      <w:r>
        <w:t xml:space="preserve"> him, and wise of heart will fear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38</w:t>
      </w:r>
    </w:p>
    <w:p>
      <w:r>
        <w:rPr>
          <w:b/>
        </w:rPr>
        <w:t xml:space="preserve">1 </w:t>
      </w:r>
      <w:r>
        <w:t xml:space="preserve">And after Elihu ceased from speech, the Lord said to Job through whirlwind and clouds,</w:t>
      </w:r>
    </w:p>
    <w:p>
      <w:r>
        <w:rPr>
          <w:b/>
        </w:rPr>
        <w:t xml:space="preserve">2 </w:t>
      </w:r>
      <w:r>
        <w:t xml:space="preserve">Who is this hiding counsel, and holding words in heart, but thinking to hide them from me?</w:t>
      </w:r>
    </w:p>
    <w:p>
      <w:r>
        <w:rPr>
          <w:b/>
        </w:rPr>
        <w:t xml:space="preserve">3 </w:t>
      </w:r>
      <w:r>
        <w:t xml:space="preserve">Gird</w:t>
      </w:r>
      <w:r>
        <w:rPr>
          <w:rStyle w:val="FootnoteReference"/>
        </w:rPr>
        <w:footnoteReference w:id="10496"/>
      </w:r>
      <w:r>
        <w:t xml:space="preserve"> your loins like a man; I will ask you, and you answer me.</w:t>
      </w:r>
    </w:p>
    <w:p>
      <w:r>
        <w:rPr>
          <w:b/>
        </w:rPr>
        <w:t xml:space="preserve">4 </w:t>
      </w:r>
      <w:r>
        <w:t xml:space="preserve">Where were you when I founded earth? Declare to me, if you know understanding.</w:t>
      </w:r>
    </w:p>
    <w:p>
      <w:r>
        <w:rPr>
          <w:b/>
        </w:rPr>
        <w:t xml:space="preserve">5 </w:t>
      </w:r>
      <w:r>
        <w:t xml:space="preserve">Who set its measures, if you know, or who stretched line upon it?</w:t>
      </w:r>
    </w:p>
    <w:p>
      <w:r>
        <w:rPr>
          <w:b/>
        </w:rPr>
        <w:t xml:space="preserve">6 </w:t>
      </w:r>
      <w:r>
        <w:t xml:space="preserve">Upon what have its rings been fastened</w:t>
      </w:r>
      <w:r>
        <w:rPr>
          <w:rStyle w:val="FootnoteReference"/>
        </w:rPr>
        <w:footnoteReference w:id="10497"/>
      </w:r>
      <w:r>
        <w:t xml:space="preserve">? And who is one laying cornerstone upon it,</w:t>
      </w:r>
    </w:p>
    <w:p>
      <w:r>
        <w:rPr>
          <w:b/>
        </w:rPr>
        <w:t xml:space="preserve">7 </w:t>
      </w:r>
      <w:r>
        <w:t xml:space="preserve">when stars were born and all my angels praised me with loud voice?</w:t>
      </w:r>
    </w:p>
    <w:p>
      <w:r>
        <w:rPr>
          <w:b/>
        </w:rPr>
        <w:t xml:space="preserve">8 </w:t>
      </w:r>
      <w:r>
        <w:t xml:space="preserve">And I fenced in sea with gates when it rushed out, coming forth from the womb of its mother,</w:t>
      </w:r>
    </w:p>
    <w:p>
      <w:r>
        <w:rPr>
          <w:b/>
        </w:rPr>
        <w:t xml:space="preserve">9 </w:t>
      </w:r>
      <w:r>
        <w:t xml:space="preserve">and I put cloud as its clothing and wrapped it in mist,</w:t>
      </w:r>
    </w:p>
    <w:p>
      <w:r>
        <w:rPr>
          <w:b/>
        </w:rPr>
        <w:t xml:space="preserve">10 </w:t>
      </w:r>
      <w:r>
        <w:t xml:space="preserve">and I put boundaries to it, setting bars and gates around,</w:t>
      </w:r>
    </w:p>
    <w:p>
      <w:r>
        <w:rPr>
          <w:b/>
        </w:rPr>
        <w:t xml:space="preserve">11 </w:t>
      </w:r>
      <w:r>
        <w:t xml:space="preserve">and I said to it, Up to this you will come and not pass beyond, but in yourself your waves will be broken.</w:t>
      </w:r>
    </w:p>
    <w:p>
      <w:r>
        <w:rPr>
          <w:b/>
        </w:rPr>
        <w:t xml:space="preserve">12 </w:t>
      </w:r>
      <w:r>
        <w:t xml:space="preserve">Or did I arrange morning light for you, and morning-star see its own order,</w:t>
      </w:r>
    </w:p>
    <w:p>
      <w:r>
        <w:rPr>
          <w:b/>
        </w:rPr>
        <w:t xml:space="preserve">13 </w:t>
      </w:r>
      <w:r>
        <w:t xml:space="preserve">to seize wings of earth and shake ungodly men out of it?</w:t>
      </w:r>
    </w:p>
    <w:p>
      <w:r>
        <w:rPr>
          <w:b/>
        </w:rPr>
        <w:t xml:space="preserve">14 </w:t>
      </w:r>
      <w:r>
        <w:t xml:space="preserve">Or did you take earth, clay, and shape living thing, and set speaking one upon the earth?</w:t>
      </w:r>
    </w:p>
    <w:p>
      <w:r>
        <w:rPr>
          <w:b/>
        </w:rPr>
        <w:t xml:space="preserve">15 </w:t>
      </w:r>
      <w:r>
        <w:t xml:space="preserve">And you took the light from ungodly men, and shattered the arm of proud men.</w:t>
      </w:r>
      <w:r>
        <w:rPr>
          <w:rStyle w:val="FootnoteReference"/>
        </w:rPr>
        <w:footnoteReference w:id="10498"/>
      </w:r>
      <w:r>
        <w:t xml:space="preserve"/>
      </w:r>
    </w:p>
    <w:p>
      <w:r>
        <w:rPr>
          <w:b/>
        </w:rPr>
        <w:t xml:space="preserve">16 </w:t>
      </w:r>
      <w:r>
        <w:t xml:space="preserve">And did you come upon spring of sea, and walk in tracks of deep?</w:t>
      </w:r>
    </w:p>
    <w:p>
      <w:r>
        <w:rPr>
          <w:b/>
        </w:rPr>
        <w:t xml:space="preserve">17 </w:t>
      </w:r>
      <w:r>
        <w:t xml:space="preserve">And are the gates</w:t>
      </w:r>
      <w:r>
        <w:rPr>
          <w:rStyle w:val="FootnoteReference"/>
        </w:rPr>
        <w:footnoteReference w:id="10499"/>
      </w:r>
      <w:r>
        <w:t xml:space="preserve"> of death opened to you in fear, and gatekeepers of Hades, seeing you, were terrified?</w:t>
      </w:r>
    </w:p>
    <w:p>
      <w:r>
        <w:rPr>
          <w:b/>
        </w:rPr>
        <w:t xml:space="preserve">18 </w:t>
      </w:r>
      <w:r>
        <w:t xml:space="preserve">And did you perceive breadth of what is under heaven? Declare then to me how great it is.</w:t>
      </w:r>
    </w:p>
    <w:p>
      <w:r>
        <w:rPr>
          <w:b/>
        </w:rPr>
        <w:t xml:space="preserve">19 </w:t>
      </w:r>
      <w:r>
        <w:t xml:space="preserve">And what land does light lodge in, and what is the place of darkness</w:t>
      </w:r>
      <w:r>
        <w:rPr>
          <w:rStyle w:val="FootnoteReference"/>
        </w:rPr>
        <w:footnoteReference w:id="10500"/>
      </w:r>
      <w:r>
        <w:t xml:space="preserve">,</w:t>
      </w:r>
    </w:p>
    <w:p>
      <w:r>
        <w:rPr>
          <w:b/>
        </w:rPr>
        <w:t xml:space="preserve">20 </w:t>
      </w:r>
      <w:r>
        <w:t xml:space="preserve">if you would bring me to their boundaries and know their paths?</w:t>
      </w:r>
    </w:p>
    <w:p>
      <w:r>
        <w:rPr>
          <w:b/>
        </w:rPr>
        <w:t xml:space="preserve">21 </w:t>
      </w:r>
      <w:r>
        <w:t xml:space="preserve">I know then that you were born at that time, and number of your years is great.</w:t>
      </w:r>
    </w:p>
    <w:p>
      <w:r>
        <w:rPr>
          <w:b/>
        </w:rPr>
        <w:t xml:space="preserve">22 </w:t>
      </w:r>
      <w:r>
        <w:t xml:space="preserve">And did you come upon treasuries of snow, and see treasuries of hail,</w:t>
      </w:r>
    </w:p>
    <w:p>
      <w:r>
        <w:rPr>
          <w:b/>
        </w:rPr>
        <w:t xml:space="preserve">23 </w:t>
      </w:r>
      <w:r>
        <w:t xml:space="preserve">kept aside for you for hour of enemies, for the day of war and battle?</w:t>
      </w:r>
    </w:p>
    <w:p>
      <w:r>
        <w:rPr>
          <w:b/>
        </w:rPr>
        <w:t xml:space="preserve">24 </w:t>
      </w:r>
      <w:r>
        <w:t xml:space="preserve">And from where does frost come out, or south wind scatter into what is under heaven?</w:t>
      </w:r>
    </w:p>
    <w:p>
      <w:r>
        <w:rPr>
          <w:b/>
        </w:rPr>
        <w:t xml:space="preserve">25 </w:t>
      </w:r>
      <w:r>
        <w:t xml:space="preserve">And who prepared channel for violent rain, and way for thunderings,</w:t>
      </w:r>
    </w:p>
    <w:p>
      <w:r>
        <w:rPr>
          <w:b/>
        </w:rPr>
        <w:t xml:space="preserve">26 </w:t>
      </w:r>
      <w:r>
        <w:t xml:space="preserve">to rain upon a land where there is no man, wilderness where no man exists in it,</w:t>
      </w:r>
    </w:p>
    <w:p>
      <w:r>
        <w:rPr>
          <w:b/>
        </w:rPr>
        <w:t xml:space="preserve">27 </w:t>
      </w:r>
      <w:r>
        <w:t xml:space="preserve">to satisfy pathless and uninhabited land and make growth of grass spring out?</w:t>
      </w:r>
    </w:p>
    <w:p>
      <w:r>
        <w:rPr>
          <w:b/>
        </w:rPr>
        <w:t xml:space="preserve">28 </w:t>
      </w:r>
      <w:r>
        <w:t xml:space="preserve">Who is the father of rain, and who begot clods of dew?</w:t>
      </w:r>
    </w:p>
    <w:p>
      <w:r>
        <w:rPr>
          <w:b/>
        </w:rPr>
        <w:t xml:space="preserve">29 </w:t>
      </w:r>
      <w:r>
        <w:t xml:space="preserve">And from whose womb does ice come out, and who begot frost in heaven?</w:t>
      </w:r>
    </w:p>
    <w:p>
      <w:r>
        <w:rPr>
          <w:b/>
        </w:rPr>
        <w:t xml:space="preserve">30 </w:t>
      </w:r>
      <w:r>
        <w:t xml:space="preserve">Or does it descend like flowing water, and who froze face of deep?</w:t>
      </w:r>
    </w:p>
    <w:p>
      <w:r>
        <w:rPr>
          <w:b/>
        </w:rPr>
        <w:t xml:space="preserve">31 </w:t>
      </w:r>
      <w:r>
        <w:t xml:space="preserve">And did you understand bond of Pleiad, and open barrier of Orion?</w:t>
      </w:r>
    </w:p>
    <w:p>
      <w:r>
        <w:rPr>
          <w:b/>
        </w:rPr>
        <w:t xml:space="preserve">32 </w:t>
      </w:r>
      <w:r>
        <w:t xml:space="preserve">Or will you open Mazzaroth</w:t>
      </w:r>
      <w:r>
        <w:rPr>
          <w:rStyle w:val="FootnoteReference"/>
        </w:rPr>
        <w:footnoteReference w:id="10501"/>
      </w:r>
      <w:r>
        <w:t xml:space="preserve"> in its season, and bring Evening Star with its tail?</w:t>
      </w:r>
      <w:r>
        <w:rPr>
          <w:rStyle w:val="FootnoteReference"/>
        </w:rPr>
        <w:footnoteReference w:id="10502"/>
      </w:r>
    </w:p>
    <w:p>
      <w:r>
        <w:rPr>
          <w:b/>
        </w:rPr>
        <w:t xml:space="preserve">33 </w:t>
      </w:r>
      <w:r>
        <w:t xml:space="preserve">And do you know turnings of heaven, or things happening together under heaven?</w:t>
      </w:r>
    </w:p>
    <w:p>
      <w:r>
        <w:rPr>
          <w:b/>
        </w:rPr>
        <w:t xml:space="preserve">34 </w:t>
      </w:r>
      <w:r>
        <w:t xml:space="preserve">And will you call cloud with voice, and will trembling of abundant water obey you?</w:t>
      </w:r>
    </w:p>
    <w:p>
      <w:r>
        <w:rPr>
          <w:b/>
        </w:rPr>
        <w:t xml:space="preserve">35 </w:t>
      </w:r>
      <w:r>
        <w:t xml:space="preserve">And will you send out lightnings, and they will go and say to you, What is it?</w:t>
      </w:r>
    </w:p>
    <w:p>
      <w:r>
        <w:rPr>
          <w:b/>
        </w:rPr>
        <w:t xml:space="preserve">36 </w:t>
      </w:r>
      <w:r>
        <w:t xml:space="preserve">And who gave women skill in weaving, or embroidered knowledge?</w:t>
      </w:r>
    </w:p>
    <w:p>
      <w:r>
        <w:rPr>
          <w:b/>
        </w:rPr>
        <w:t xml:space="preserve">37 </w:t>
      </w:r>
      <w:r>
        <w:t xml:space="preserve">And who counts clouds in wisdom, and bent heaven down to earth,</w:t>
      </w:r>
    </w:p>
    <w:p>
      <w:r>
        <w:rPr>
          <w:b/>
        </w:rPr>
        <w:t xml:space="preserve">38 </w:t>
      </w:r>
      <w:r>
        <w:t xml:space="preserve">and it was poured out like dusty earth, and I glued it together like a stone cube?</w:t>
      </w:r>
    </w:p>
    <w:p>
      <w:r>
        <w:rPr>
          <w:b/>
        </w:rPr>
        <w:t xml:space="preserve">39 </w:t>
      </w:r>
      <w:r>
        <w:t xml:space="preserve">And will you hunt food for lions, and fill souls of dragons,</w:t>
      </w:r>
    </w:p>
    <w:p>
      <w:r>
        <w:rPr>
          <w:b/>
        </w:rPr>
        <w:t xml:space="preserve">40 </w:t>
      </w:r>
      <w:r>
        <w:t xml:space="preserve">for they fear in their lairs and sit in woods lying in wait?</w:t>
      </w:r>
    </w:p>
    <w:p>
      <w:r>
        <w:rPr>
          <w:b/>
        </w:rPr>
        <w:t xml:space="preserve">41 </w:t>
      </w:r>
      <w:r>
        <w:t xml:space="preserve">And who prepared food for raven? For its young cry to the Lord, wandering and seeking food.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39</w:t>
      </w:r>
    </w:p>
    <w:p>
      <w:r>
        <w:rPr>
          <w:b/>
        </w:rPr>
        <w:t xml:space="preserve">1 </w:t>
      </w:r>
      <w:r>
        <w:t xml:space="preserve">Do you know time of giving birth of rock-goats, and did you watch birth-pangs of hinds?</w:t>
      </w:r>
    </w:p>
    <w:p>
      <w:r>
        <w:rPr>
          <w:b/>
        </w:rPr>
        <w:t xml:space="preserve">2 </w:t>
      </w:r>
      <w:r>
        <w:t xml:space="preserve">And did you count full months of their bearing, and loosen their pangs?</w:t>
      </w:r>
    </w:p>
    <w:p>
      <w:r>
        <w:rPr>
          <w:b/>
        </w:rPr>
        <w:t xml:space="preserve">3 </w:t>
      </w:r>
      <w:r>
        <w:t xml:space="preserve">And did you rear their young without fear, and send out their birth-pangs?</w:t>
      </w:r>
    </w:p>
    <w:p>
      <w:r>
        <w:rPr>
          <w:b/>
        </w:rPr>
        <w:t xml:space="preserve">4 </w:t>
      </w:r>
      <w:r>
        <w:t xml:space="preserve">Their young will burst forth, increase with produce, go out and by no means return to them.</w:t>
      </w:r>
    </w:p>
    <w:p>
      <w:r>
        <w:rPr>
          <w:b/>
        </w:rPr>
        <w:t xml:space="preserve">5 </w:t>
      </w:r>
      <w:r>
        <w:t xml:space="preserve">And who let wild donkey go free, and who loosed its bonds?</w:t>
      </w:r>
    </w:p>
    <w:p>
      <w:r>
        <w:rPr>
          <w:b/>
        </w:rPr>
        <w:t xml:space="preserve">6 </w:t>
      </w:r>
      <w:r>
        <w:t xml:space="preserve">And I set its dwelling in the wilderness, and its tents in salt land.</w:t>
      </w:r>
    </w:p>
    <w:p>
      <w:r>
        <w:rPr>
          <w:b/>
        </w:rPr>
        <w:t xml:space="preserve">7 </w:t>
      </w:r>
      <w:r>
        <w:t xml:space="preserve">Laughing at tumult of the city, and not hearing rebuke of tax-collector,</w:t>
      </w:r>
    </w:p>
    <w:p>
      <w:r>
        <w:rPr>
          <w:b/>
        </w:rPr>
        <w:t xml:space="preserve">8 </w:t>
      </w:r>
      <w:r>
        <w:t xml:space="preserve">it will inspect mountains for its pasture and seek after every green thing.</w:t>
      </w:r>
    </w:p>
    <w:p>
      <w:r>
        <w:rPr>
          <w:b/>
        </w:rPr>
        <w:t xml:space="preserve">9 </w:t>
      </w:r>
      <w:r>
        <w:t xml:space="preserve">Will unicorn be willing to serve you, or sleep at your manger?</w:t>
      </w:r>
    </w:p>
    <w:p>
      <w:r>
        <w:rPr>
          <w:b/>
        </w:rPr>
        <w:t xml:space="preserve">10 </w:t>
      </w:r>
      <w:r>
        <w:t xml:space="preserve">And will you bind its yoke with straps, or will it drag your furrows in the plain?</w:t>
      </w:r>
    </w:p>
    <w:p>
      <w:r>
        <w:rPr>
          <w:b/>
        </w:rPr>
        <w:t xml:space="preserve">11 </w:t>
      </w:r>
      <w:r>
        <w:t xml:space="preserve">And do you trust</w:t>
      </w:r>
      <w:r>
        <w:rPr>
          <w:rStyle w:val="FootnoteReference"/>
        </w:rPr>
        <w:footnoteReference w:id="10503"/>
      </w:r>
      <w:r>
        <w:t xml:space="preserve"> in it because its strength is great? And will you leave your works to it?</w:t>
      </w:r>
    </w:p>
    <w:p>
      <w:r>
        <w:rPr>
          <w:b/>
        </w:rPr>
        <w:t xml:space="preserve">12 </w:t>
      </w:r>
      <w:r>
        <w:t xml:space="preserve">And will you trust that it will return your seed and bring it into your threshing floor?</w:t>
      </w:r>
    </w:p>
    <w:p>
      <w:r>
        <w:rPr>
          <w:b/>
        </w:rPr>
        <w:t xml:space="preserve">13 </w:t>
      </w:r>
      <w:r>
        <w:t xml:space="preserve">Wing of rejoicing ostriches, if it should conceive stork and hawk,</w:t>
      </w:r>
    </w:p>
    <w:p>
      <w:r>
        <w:rPr>
          <w:b/>
        </w:rPr>
        <w:t xml:space="preserve">14 </w:t>
      </w:r>
      <w:r>
        <w:t xml:space="preserve">because it will leave its eggs in earth and brood them upon dust,</w:t>
      </w:r>
    </w:p>
    <w:p>
      <w:r>
        <w:rPr>
          <w:b/>
        </w:rPr>
        <w:t xml:space="preserve">15 </w:t>
      </w:r>
      <w:r>
        <w:t xml:space="preserve">and forgot that foot will scatter them and beasts of the field trample them.</w:t>
      </w:r>
    </w:p>
    <w:p>
      <w:r>
        <w:rPr>
          <w:b/>
        </w:rPr>
        <w:t xml:space="preserve">16 </w:t>
      </w:r>
      <w:r>
        <w:t xml:space="preserve">It hardened</w:t>
      </w:r>
      <w:r>
        <w:rPr>
          <w:rStyle w:val="FootnoteReference"/>
        </w:rPr>
        <w:footnoteReference w:id="10504"/>
      </w:r>
      <w:r>
        <w:t xml:space="preserve"> its young so as not to be its own; for nothing it labored without fear,</w:t>
      </w:r>
    </w:p>
    <w:p>
      <w:r>
        <w:rPr>
          <w:b/>
        </w:rPr>
        <w:t xml:space="preserve">17 </w:t>
      </w:r>
      <w:r>
        <w:t xml:space="preserve">because God made wisdom silent to it and did not divide understanding to it.</w:t>
      </w:r>
    </w:p>
    <w:p>
      <w:r>
        <w:rPr>
          <w:b/>
        </w:rPr>
        <w:t xml:space="preserve">18 </w:t>
      </w:r>
      <w:r>
        <w:t xml:space="preserve">At time on high it will raise itself up; it will laugh at horse and its rider.</w:t>
      </w:r>
    </w:p>
    <w:p>
      <w:r>
        <w:rPr>
          <w:b/>
        </w:rPr>
        <w:t xml:space="preserve">19 </w:t>
      </w:r>
      <w:r>
        <w:t xml:space="preserve">And did you clothe horse with strength, and put fear on its neck?</w:t>
      </w:r>
    </w:p>
    <w:p>
      <w:r>
        <w:rPr>
          <w:b/>
        </w:rPr>
        <w:t xml:space="preserve">20 </w:t>
      </w:r>
      <w:r>
        <w:t xml:space="preserve">And did you put armor on it, and boldness on its chest?</w:t>
      </w:r>
    </w:p>
    <w:p>
      <w:r>
        <w:rPr>
          <w:b/>
        </w:rPr>
        <w:t xml:space="preserve">21 </w:t>
      </w:r>
      <w:r>
        <w:t xml:space="preserve">Pawing in the plain in pride, it goes out to field in strength.</w:t>
      </w:r>
    </w:p>
    <w:p>
      <w:r>
        <w:rPr>
          <w:b/>
        </w:rPr>
        <w:t xml:space="preserve">22 </w:t>
      </w:r>
      <w:r>
        <w:t xml:space="preserve">Meeting arrow, it laughs and will by no means turn back from iron.</w:t>
      </w:r>
    </w:p>
    <w:p>
      <w:r>
        <w:rPr>
          <w:b/>
        </w:rPr>
        <w:t xml:space="preserve">23 </w:t>
      </w:r>
      <w:r>
        <w:t xml:space="preserve">Over it boast bow and sword.</w:t>
      </w:r>
    </w:p>
    <w:p>
      <w:r>
        <w:rPr>
          <w:b/>
        </w:rPr>
        <w:t xml:space="preserve">24 </w:t>
      </w:r>
      <w:r>
        <w:t xml:space="preserve">And anger will destroy earth, and it will by no means believe until trumpet sounds.</w:t>
      </w:r>
    </w:p>
    <w:p>
      <w:r>
        <w:rPr>
          <w:b/>
        </w:rPr>
        <w:t xml:space="preserve">25 </w:t>
      </w:r>
      <w:r>
        <w:t xml:space="preserve">And when trumpet sounds it says, Good! And from far off it smells war with leap and cry.</w:t>
      </w:r>
    </w:p>
    <w:p>
      <w:r>
        <w:rPr>
          <w:b/>
        </w:rPr>
        <w:t xml:space="preserve">26 </w:t>
      </w:r>
      <w:r>
        <w:t xml:space="preserve">And by your knowledge has hawk stood still, spreading out wings motionless and looking southward?</w:t>
      </w:r>
    </w:p>
    <w:p>
      <w:r>
        <w:rPr>
          <w:b/>
        </w:rPr>
        <w:t xml:space="preserve">27 </w:t>
      </w:r>
      <w:r>
        <w:t xml:space="preserve">And by your command does eagle rise up, and vulture, sitting, lodge at its nest?</w:t>
      </w:r>
    </w:p>
    <w:p>
      <w:r>
        <w:rPr>
          <w:b/>
        </w:rPr>
        <w:t xml:space="preserve">28 </w:t>
      </w:r>
      <w:r>
        <w:t xml:space="preserve">Upon</w:t>
      </w:r>
      <w:r>
        <w:rPr>
          <w:rStyle w:val="FootnoteReference"/>
        </w:rPr>
        <w:footnoteReference w:id="10505"/>
      </w:r>
      <w:r>
        <w:t xml:space="preserve"> projection of rock and hidden place.</w:t>
      </w:r>
    </w:p>
    <w:p>
      <w:r>
        <w:rPr>
          <w:b/>
        </w:rPr>
        <w:t xml:space="preserve">29 </w:t>
      </w:r>
      <w:r>
        <w:t xml:space="preserve">From there, being there, it seeks foods; its eyes watch from far away.</w:t>
      </w:r>
    </w:p>
    <w:p>
      <w:r>
        <w:rPr>
          <w:b/>
        </w:rPr>
        <w:t xml:space="preserve">30 </w:t>
      </w:r>
      <w:r>
        <w:t xml:space="preserve">And its young wallow in blood, and wherever corpses are, they are immediately found.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40</w:t>
      </w:r>
    </w:p>
    <w:p>
      <w:r>
        <w:rPr>
          <w:b/>
        </w:rPr>
        <w:t xml:space="preserve">1 </w:t>
      </w:r>
      <w:r>
        <w:t xml:space="preserve">And the Lord God answered Job and said,</w:t>
      </w:r>
    </w:p>
    <w:p>
      <w:r>
        <w:rPr>
          <w:b/>
        </w:rPr>
        <w:t xml:space="preserve">2 </w:t>
      </w:r>
      <w:r>
        <w:t xml:space="preserve">Will one turning aside judgment with Sufficient One, reproving God, answer this?</w:t>
      </w:r>
    </w:p>
    <w:p>
      <w:r>
        <w:rPr>
          <w:b/>
        </w:rPr>
        <w:t xml:space="preserve">3 </w:t>
      </w:r>
      <w:r>
        <w:t xml:space="preserve">And taking up the matter, Job says to the Lord,</w:t>
      </w:r>
    </w:p>
    <w:p>
      <w:r>
        <w:rPr>
          <w:b/>
        </w:rPr>
        <w:t xml:space="preserve">4 </w:t>
      </w:r>
      <w:r>
        <w:t xml:space="preserve">Why am I still judged, being admonished and reproving Lord, hearing such things while I am nothing? What answer shall I give to these things? I will put hand on my mouth.</w:t>
      </w:r>
    </w:p>
    <w:p>
      <w:r>
        <w:rPr>
          <w:b/>
        </w:rPr>
        <w:t xml:space="preserve">5 </w:t>
      </w:r>
      <w:r>
        <w:t xml:space="preserve">Once I spoke, but on second time I will not add.</w:t>
      </w:r>
    </w:p>
    <w:p>
      <w:r>
        <w:rPr>
          <w:b/>
        </w:rPr>
        <w:t xml:space="preserve">6 </w:t>
      </w:r>
      <w:r>
        <w:t xml:space="preserve">And again taking up the matter, the Lord said to Job out of cloud,</w:t>
      </w:r>
    </w:p>
    <w:p>
      <w:r>
        <w:rPr>
          <w:b/>
        </w:rPr>
        <w:t xml:space="preserve">7 </w:t>
      </w:r>
      <w:r>
        <w:t xml:space="preserve">But gird</w:t>
      </w:r>
      <w:r>
        <w:rPr>
          <w:rStyle w:val="FootnoteReference"/>
        </w:rPr>
        <w:footnoteReference w:id="10506"/>
      </w:r>
      <w:r>
        <w:t xml:space="preserve"> your loins like a man; I will ask you, and you answer me.</w:t>
      </w:r>
    </w:p>
    <w:p>
      <w:r>
        <w:rPr>
          <w:b/>
        </w:rPr>
        <w:t xml:space="preserve">8 </w:t>
      </w:r>
      <w:r>
        <w:t xml:space="preserve">Do not reject my judgment; do you think I have dealt with you otherwise than that you might appear righteous?</w:t>
      </w:r>
    </w:p>
    <w:p>
      <w:r>
        <w:rPr>
          <w:b/>
        </w:rPr>
        <w:t xml:space="preserve">9 </w:t>
      </w:r>
      <w:r>
        <w:t xml:space="preserve">Or is your arm against the Lord, or your voice thundering against him?</w:t>
      </w:r>
    </w:p>
    <w:p>
      <w:r>
        <w:rPr>
          <w:b/>
        </w:rPr>
        <w:t xml:space="preserve">10 </w:t>
      </w:r>
      <w:r>
        <w:t xml:space="preserve">Take up then height and power, and clothe yourself with glory</w:t>
      </w:r>
      <w:r>
        <w:rPr>
          <w:rStyle w:val="FootnoteReference"/>
        </w:rPr>
        <w:footnoteReference w:id="10507"/>
      </w:r>
      <w:r>
        <w:t xml:space="preserve"> and honor.</w:t>
      </w:r>
    </w:p>
    <w:p>
      <w:r>
        <w:rPr>
          <w:b/>
        </w:rPr>
        <w:t xml:space="preserve">11 </w:t>
      </w:r>
      <w:r>
        <w:t xml:space="preserve">And send out angels in wrath, and humble every arrogant man.</w:t>
      </w:r>
    </w:p>
    <w:p>
      <w:r>
        <w:rPr>
          <w:b/>
        </w:rPr>
        <w:t xml:space="preserve">12 </w:t>
      </w:r>
      <w:r>
        <w:t xml:space="preserve">And quench proud man, and rot ungodly men at once.</w:t>
      </w:r>
    </w:p>
    <w:p>
      <w:r>
        <w:rPr>
          <w:b/>
        </w:rPr>
        <w:t xml:space="preserve">13 </w:t>
      </w:r>
      <w:r>
        <w:t xml:space="preserve">Hide</w:t>
      </w:r>
      <w:r>
        <w:rPr>
          <w:rStyle w:val="FootnoteReference"/>
        </w:rPr>
        <w:footnoteReference w:id="10508"/>
      </w:r>
      <w:r>
        <w:t xml:space="preserve"> them together outside in earth, and fill their faces with dishonor.</w:t>
      </w:r>
    </w:p>
    <w:p>
      <w:r>
        <w:rPr>
          <w:b/>
        </w:rPr>
        <w:t xml:space="preserve">14 </w:t>
      </w:r>
      <w:r>
        <w:t xml:space="preserve">Then I too will confess that your right hand can save.</w:t>
      </w:r>
    </w:p>
    <w:p>
      <w:r>
        <w:rPr>
          <w:b/>
        </w:rPr>
        <w:t xml:space="preserve">15 </w:t>
      </w:r>
      <w:r>
        <w:t xml:space="preserve">But now behold beasts beside you; it eats grass like oxen.</w:t>
      </w:r>
    </w:p>
    <w:p>
      <w:r>
        <w:rPr>
          <w:b/>
        </w:rPr>
        <w:t xml:space="preserve">16 </w:t>
      </w:r>
      <w:r>
        <w:t xml:space="preserve">Behold then its strength upon loins, and its power upon navel of belly.</w:t>
      </w:r>
    </w:p>
    <w:p>
      <w:r>
        <w:rPr>
          <w:b/>
        </w:rPr>
        <w:t xml:space="preserve">17 </w:t>
      </w:r>
      <w:r>
        <w:t xml:space="preserve">It set tail like cypress, and its sinews are interwoven.</w:t>
      </w:r>
    </w:p>
    <w:p>
      <w:r>
        <w:rPr>
          <w:b/>
        </w:rPr>
        <w:t xml:space="preserve">18 </w:t>
      </w:r>
      <w:r>
        <w:t xml:space="preserve">Its ribs are bronze ribs, and its backbone cast iron.</w:t>
      </w:r>
    </w:p>
    <w:p>
      <w:r>
        <w:rPr>
          <w:b/>
        </w:rPr>
        <w:t xml:space="preserve">19 </w:t>
      </w:r>
      <w:r>
        <w:t xml:space="preserve">This is the beginning of the Lord's creation, made to be mocked by his angels.</w:t>
      </w:r>
    </w:p>
    <w:p>
      <w:r>
        <w:rPr>
          <w:b/>
        </w:rPr>
        <w:t xml:space="preserve">20 </w:t>
      </w:r>
      <w:r>
        <w:t xml:space="preserve">And going upon steep mountain, it made joy for quadrupeds in Tartarus.</w:t>
      </w:r>
    </w:p>
    <w:p>
      <w:r>
        <w:rPr>
          <w:b/>
        </w:rPr>
        <w:t xml:space="preserve">21 </w:t>
      </w:r>
      <w:r>
        <w:t xml:space="preserve">It sleeps under every kind of tree, beside papyrus and reed and rush.</w:t>
      </w:r>
    </w:p>
    <w:p>
      <w:r>
        <w:rPr>
          <w:b/>
        </w:rPr>
        <w:t xml:space="preserve">22 </w:t>
      </w:r>
      <w:r>
        <w:t xml:space="preserve">And great trees shade it, with branches and shoots of agnus-tree.</w:t>
      </w:r>
    </w:p>
    <w:p>
      <w:r>
        <w:rPr>
          <w:b/>
        </w:rPr>
        <w:t xml:space="preserve">23 </w:t>
      </w:r>
      <w:r>
        <w:t xml:space="preserve">If flood happens, it will not notice; it trusts that Jordan</w:t>
      </w:r>
      <w:r>
        <w:rPr>
          <w:rStyle w:val="FootnoteReference"/>
        </w:rPr>
        <w:footnoteReference w:id="10509"/>
      </w:r>
      <w:r>
        <w:t xml:space="preserve"> will dash into its mouth.</w:t>
      </w:r>
    </w:p>
    <w:p>
      <w:r>
        <w:rPr>
          <w:b/>
        </w:rPr>
        <w:t xml:space="preserve">24 </w:t>
      </w:r>
      <w:r>
        <w:t xml:space="preserve">Will one take it in its eye? With snare one will pierce its nose.</w:t>
      </w:r>
    </w:p>
    <w:p>
      <w:r>
        <w:rPr>
          <w:b/>
        </w:rPr>
        <w:t xml:space="preserve">25 </w:t>
      </w:r>
      <w:r>
        <w:t xml:space="preserve">And will you lead dragon with hook, and put halter around its nose?</w:t>
      </w:r>
    </w:p>
    <w:p>
      <w:r>
        <w:rPr>
          <w:b/>
        </w:rPr>
        <w:t xml:space="preserve">26 </w:t>
      </w:r>
      <w:r>
        <w:t xml:space="preserve">Or will you bind ring in its nostril and pierce its lip with bracelet?</w:t>
      </w:r>
    </w:p>
    <w:p>
      <w:r>
        <w:rPr>
          <w:b/>
        </w:rPr>
        <w:t xml:space="preserve">27 </w:t>
      </w:r>
      <w:r>
        <w:t xml:space="preserve">And will it speak to you with petition, making supplications softly?</w:t>
      </w:r>
    </w:p>
    <w:p>
      <w:r>
        <w:rPr>
          <w:b/>
        </w:rPr>
        <w:t xml:space="preserve">28 </w:t>
      </w:r>
      <w:r>
        <w:t xml:space="preserve">And will it make covenant with you, and you will take it for eternal slave?</w:t>
      </w:r>
    </w:p>
    <w:p>
      <w:r>
        <w:rPr>
          <w:b/>
        </w:rPr>
        <w:t xml:space="preserve">29 </w:t>
      </w:r>
      <w:r>
        <w:t xml:space="preserve">And will you play with it like a bird, or bind it like a sparrow for child?</w:t>
      </w:r>
    </w:p>
    <w:p>
      <w:r>
        <w:rPr>
          <w:b/>
        </w:rPr>
        <w:t xml:space="preserve">30 </w:t>
      </w:r>
      <w:r>
        <w:t xml:space="preserve">And nations feed upon it, and races of Phoenicians divide it up.</w:t>
      </w:r>
    </w:p>
    <w:p>
      <w:r>
        <w:rPr>
          <w:b/>
        </w:rPr>
        <w:t xml:space="preserve">31 </w:t>
      </w:r>
      <w:r>
        <w:t xml:space="preserve">And all ships gathered together will by no means carry one skin of its tail, nor in fishing boats its head.</w:t>
      </w:r>
    </w:p>
    <w:p>
      <w:r>
        <w:rPr>
          <w:b/>
        </w:rPr>
        <w:t xml:space="preserve">32 </w:t>
      </w:r>
      <w:r>
        <w:t xml:space="preserve">And will you lay hand upon it, remembering war happening in its body, and let it happen no more?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41</w:t>
      </w:r>
    </w:p>
    <w:p>
      <w:r>
        <w:rPr>
          <w:b/>
        </w:rPr>
        <w:t xml:space="preserve">1 </w:t>
      </w:r>
      <w:r>
        <w:t xml:space="preserve">Have you not seen it, nor marveled at things spoken of it?</w:t>
      </w:r>
    </w:p>
    <w:p>
      <w:r>
        <w:rPr>
          <w:b/>
        </w:rPr>
        <w:t xml:space="preserve">2 </w:t>
      </w:r>
      <w:r>
        <w:t xml:space="preserve">Have you not feared because it has been prepared for me? For who is one standing against me?</w:t>
      </w:r>
    </w:p>
    <w:p>
      <w:r>
        <w:rPr>
          <w:b/>
        </w:rPr>
        <w:t xml:space="preserve">3 </w:t>
      </w:r>
      <w:r>
        <w:t xml:space="preserve">Or who will withstand me and endure, if all that is under heaven is mine?</w:t>
      </w:r>
    </w:p>
    <w:p>
      <w:r>
        <w:rPr>
          <w:b/>
        </w:rPr>
        <w:t xml:space="preserve">4 </w:t>
      </w:r>
      <w:r>
        <w:t xml:space="preserve">I will not be silent because of it, and word of power will have mercy on its equal.</w:t>
      </w:r>
    </w:p>
    <w:p>
      <w:r>
        <w:rPr>
          <w:b/>
        </w:rPr>
        <w:t xml:space="preserve">5 </w:t>
      </w:r>
      <w:r>
        <w:t xml:space="preserve">Who will uncover the face of its clothing? And who would enter fold of its breastplate?</w:t>
      </w:r>
    </w:p>
    <w:p>
      <w:r>
        <w:rPr>
          <w:b/>
        </w:rPr>
        <w:t xml:space="preserve">6 </w:t>
      </w:r>
      <w:r>
        <w:t xml:space="preserve">Who will open gates of its face? Around its teeth is fear.</w:t>
      </w:r>
    </w:p>
    <w:p>
      <w:r>
        <w:rPr>
          <w:b/>
        </w:rPr>
        <w:t xml:space="preserve">7 </w:t>
      </w:r>
      <w:r>
        <w:t xml:space="preserve">Its inward parts are bronze shields, and its binding like emery stone.</w:t>
      </w:r>
    </w:p>
    <w:p>
      <w:r>
        <w:rPr>
          <w:b/>
        </w:rPr>
        <w:t xml:space="preserve">8 </w:t>
      </w:r>
      <w:r>
        <w:t xml:space="preserve">One cleaving to another, and breath will by no means pass through it.</w:t>
      </w:r>
    </w:p>
    <w:p>
      <w:r>
        <w:rPr>
          <w:b/>
        </w:rPr>
        <w:t xml:space="preserve">9 </w:t>
      </w:r>
      <w:r>
        <w:t xml:space="preserve">A man to his brother will be glued; they hold together and will by no means be torn apart.</w:t>
      </w:r>
    </w:p>
    <w:p>
      <w:r>
        <w:rPr>
          <w:b/>
        </w:rPr>
        <w:t xml:space="preserve">10 </w:t>
      </w:r>
      <w:r>
        <w:t xml:space="preserve">At its sneezing light shines, and its eyes like form of morning star.</w:t>
      </w:r>
    </w:p>
    <w:p>
      <w:r>
        <w:rPr>
          <w:b/>
        </w:rPr>
        <w:t xml:space="preserve">11 </w:t>
      </w:r>
      <w:r>
        <w:t xml:space="preserve">From its mouth go out burning lamps, and hearths of fire are scattered abroad.</w:t>
      </w:r>
    </w:p>
    <w:p>
      <w:r>
        <w:rPr>
          <w:b/>
        </w:rPr>
        <w:t xml:space="preserve">12 </w:t>
      </w:r>
      <w:r>
        <w:t xml:space="preserve">From its nostrils comes out smoke of furnace burning with coals of fire.</w:t>
      </w:r>
    </w:p>
    <w:p>
      <w:r>
        <w:rPr>
          <w:b/>
        </w:rPr>
        <w:t xml:space="preserve">13 </w:t>
      </w:r>
      <w:r>
        <w:t xml:space="preserve">Its soul is coals, and flame goes out from its mouth.</w:t>
      </w:r>
    </w:p>
    <w:p>
      <w:r>
        <w:rPr>
          <w:b/>
        </w:rPr>
        <w:t xml:space="preserve">14 </w:t>
      </w:r>
      <w:r>
        <w:t xml:space="preserve">And in its neck strength lodges; destruction runs before it.</w:t>
      </w:r>
    </w:p>
    <w:p>
      <w:r>
        <w:rPr>
          <w:b/>
        </w:rPr>
        <w:t xml:space="preserve">15 </w:t>
      </w:r>
      <w:r>
        <w:t xml:space="preserve">Fleshes of its body are joined together; he will pour upon it, and it will not be shaken.</w:t>
      </w:r>
    </w:p>
    <w:p>
      <w:r>
        <w:rPr>
          <w:b/>
        </w:rPr>
        <w:t xml:space="preserve">16 </w:t>
      </w:r>
      <w:r>
        <w:t xml:space="preserve">Its heart is fixed like stone, standing like unhammersmitten anvil.</w:t>
      </w:r>
    </w:p>
    <w:p>
      <w:r>
        <w:rPr>
          <w:b/>
        </w:rPr>
        <w:t xml:space="preserve">17 </w:t>
      </w:r>
      <w:r>
        <w:t xml:space="preserve">When it turns, there is fear to beasts, to quadrupeds on earth leaping.</w:t>
      </w:r>
    </w:p>
    <w:p>
      <w:r>
        <w:rPr>
          <w:b/>
        </w:rPr>
        <w:t xml:space="preserve">18 </w:t>
      </w:r>
      <w:r>
        <w:t xml:space="preserve">If spears meet it, they will do nothing, nor raised spear and breastplate.</w:t>
      </w:r>
    </w:p>
    <w:p>
      <w:r>
        <w:rPr>
          <w:b/>
        </w:rPr>
        <w:t xml:space="preserve">19 </w:t>
      </w:r>
      <w:r>
        <w:t xml:space="preserve">For it counts iron as straw, and bronze as rotten wood.</w:t>
      </w:r>
    </w:p>
    <w:p>
      <w:r>
        <w:rPr>
          <w:b/>
        </w:rPr>
        <w:t xml:space="preserve">20 </w:t>
      </w:r>
      <w:r>
        <w:t xml:space="preserve">Bronze bow will by no means wound it; it counts stone-slinger as grass.</w:t>
      </w:r>
    </w:p>
    <w:p>
      <w:r>
        <w:rPr>
          <w:b/>
        </w:rPr>
        <w:t xml:space="preserve">21 </w:t>
      </w:r>
      <w:r>
        <w:t xml:space="preserve">Hammers were counted as reed, and it laughs at shaking of fire-bearer.</w:t>
      </w:r>
    </w:p>
    <w:p>
      <w:r>
        <w:rPr>
          <w:b/>
        </w:rPr>
        <w:t xml:space="preserve">22 </w:t>
      </w:r>
      <w:r>
        <w:t xml:space="preserve">Its bed is sharp spits, and all gold of sea under it like immeasurable clay.</w:t>
      </w:r>
    </w:p>
    <w:p>
      <w:r>
        <w:rPr>
          <w:b/>
        </w:rPr>
        <w:t xml:space="preserve">23 </w:t>
      </w:r>
      <w:r>
        <w:t xml:space="preserve">It makes deep boil like a bronze pot, and counts sea like a perfume-vessel.</w:t>
      </w:r>
    </w:p>
    <w:p>
      <w:r>
        <w:rPr>
          <w:b/>
        </w:rPr>
        <w:t xml:space="preserve">24 </w:t>
      </w:r>
      <w:r>
        <w:t xml:space="preserve">And Tartarus of deep it counted like captive, and deep for its walking.</w:t>
      </w:r>
    </w:p>
    <w:p>
      <w:r>
        <w:rPr>
          <w:b/>
        </w:rPr>
        <w:t xml:space="preserve">25 </w:t>
      </w:r>
      <w:r>
        <w:t xml:space="preserve">There is nothing upon earth like it, made to be mocked by my angels.</w:t>
      </w:r>
    </w:p>
    <w:p>
      <w:r>
        <w:rPr>
          <w:b/>
        </w:rPr>
        <w:t xml:space="preserve">26 </w:t>
      </w:r>
      <w:r>
        <w:t xml:space="preserve">It sees every high thing; and it is the king of all things in waters.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42</w:t>
      </w:r>
    </w:p>
    <w:p>
      <w:r>
        <w:rPr>
          <w:b/>
        </w:rPr>
        <w:t xml:space="preserve">1 </w:t>
      </w:r>
      <w:r>
        <w:t xml:space="preserve">And taking up the matter, Job says to the Lord,</w:t>
      </w:r>
    </w:p>
    <w:p>
      <w:r>
        <w:rPr>
          <w:b/>
        </w:rPr>
        <w:t xml:space="preserve">2 </w:t>
      </w:r>
      <w:r>
        <w:t xml:space="preserve">I know that you can do all things, and nothing is impossible for you.</w:t>
      </w:r>
    </w:p>
    <w:p>
      <w:r>
        <w:rPr>
          <w:b/>
        </w:rPr>
        <w:t xml:space="preserve">3 </w:t>
      </w:r>
      <w:r>
        <w:t xml:space="preserve">For who is one hiding counsel from you, sparing words, and thinking to hide you? And who will tell me things</w:t>
      </w:r>
      <w:r>
        <w:rPr>
          <w:rStyle w:val="FootnoteReference"/>
        </w:rPr>
        <w:footnoteReference w:id="10510"/>
      </w:r>
      <w:r>
        <w:t xml:space="preserve"> I did not know, great and wonderful things which I did not understand?</w:t>
      </w:r>
    </w:p>
    <w:p>
      <w:r>
        <w:rPr>
          <w:b/>
        </w:rPr>
        <w:t xml:space="preserve">4 </w:t>
      </w:r>
      <w:r>
        <w:t xml:space="preserve">Hear</w:t>
      </w:r>
      <w:r>
        <w:rPr>
          <w:rStyle w:val="FootnoteReference"/>
        </w:rPr>
        <w:footnoteReference w:id="10511"/>
      </w:r>
      <w:r>
        <w:t xml:space="preserve"> me, Lord, that I too may speak; I will ask you, and you teach me.</w:t>
      </w:r>
    </w:p>
    <w:p>
      <w:r>
        <w:rPr>
          <w:b/>
        </w:rPr>
        <w:t xml:space="preserve">5 </w:t>
      </w:r>
      <w:r>
        <w:t xml:space="preserve">By hearing of ear I formerly heard</w:t>
      </w:r>
      <w:r>
        <w:rPr>
          <w:rStyle w:val="FootnoteReference"/>
        </w:rPr>
        <w:footnoteReference w:id="10512"/>
      </w:r>
      <w:r>
        <w:t xml:space="preserve"> you, but now my eye has seen you.</w:t>
      </w:r>
    </w:p>
    <w:p>
      <w:r>
        <w:rPr>
          <w:b/>
        </w:rPr>
        <w:t xml:space="preserve">6 </w:t>
      </w:r>
      <w:r>
        <w:t xml:space="preserve">Therefore I despised myself and melted away, and I count myself earth and ashes.</w:t>
      </w:r>
    </w:p>
    <w:p>
      <w:r>
        <w:rPr>
          <w:b/>
        </w:rPr>
        <w:t xml:space="preserve">7 </w:t>
      </w:r>
      <w:r>
        <w:t xml:space="preserve">And it happened after the Lord spoke all these words to Job, the Lord said to Eliphaz</w:t>
      </w:r>
      <w:r>
        <w:rPr>
          <w:rStyle w:val="FootnoteReference"/>
        </w:rPr>
        <w:footnoteReference w:id="10513"/>
      </w:r>
      <w:r>
        <w:t xml:space="preserve"> the Temanite, You and your two friends sinned, for you spoke nothing true before me, as my servant Job did.</w:t>
      </w:r>
    </w:p>
    <w:p>
      <w:r>
        <w:rPr>
          <w:b/>
        </w:rPr>
        <w:t xml:space="preserve">8 </w:t>
      </w:r>
      <w:r>
        <w:t xml:space="preserve">Now then take seven calves and seven rams and go to my servant Job, and he will make fruit-offering concerning you. And my servant Job will pray concerning you, because unless I receive his face, for his sake I would have destroyed you, for you did not speak truth concerning my servant Job.</w:t>
      </w:r>
    </w:p>
    <w:p>
      <w:r>
        <w:rPr>
          <w:b/>
        </w:rPr>
        <w:t xml:space="preserve">9 </w:t>
      </w:r>
      <w:r>
        <w:t xml:space="preserve">And Eliphaz the Temanite and Bildad the Shuhite and Zophar the Naamathite went and did as the Lord instructed them, and through Job he loosed their sin.</w:t>
      </w:r>
    </w:p>
    <w:p>
      <w:r>
        <w:rPr>
          <w:b/>
        </w:rPr>
        <w:t xml:space="preserve">10 </w:t>
      </w:r>
      <w:r>
        <w:t xml:space="preserve">And the Lord</w:t>
      </w:r>
      <w:r>
        <w:rPr>
          <w:rStyle w:val="FootnoteReference"/>
        </w:rPr>
        <w:footnoteReference w:id="10514"/>
      </w:r>
      <w:r>
        <w:t xml:space="preserve"> increased Job. And when he prayed also concerning his friends, he forgave them their sin. And the Lord gave double whatever had been before Job, for doubling.</w:t>
      </w:r>
    </w:p>
    <w:p>
      <w:r>
        <w:rPr>
          <w:b/>
        </w:rPr>
        <w:t xml:space="preserve">11 </w:t>
      </w:r>
      <w:r>
        <w:t xml:space="preserve">And all his brothers and sisters heard all things that happened to him, and they came to him, and all who had known him from first. And eating and drinking with him, they comforted him and marveled over all that the Lord brought upon him. And each gave him one lamb and a gold four-drachma piece unstamped.</w:t>
      </w:r>
    </w:p>
    <w:p>
      <w:r>
        <w:rPr>
          <w:b/>
        </w:rPr>
        <w:t xml:space="preserve">12 </w:t>
      </w:r>
      <w:r>
        <w:t xml:space="preserve">And the Lord blessed last things of Job more than former things. And his livestock was fourteen thousand sheep, six thousand camels, one thousand yoke of oxen, and one thousand female grazing donkeys.</w:t>
      </w:r>
    </w:p>
    <w:p>
      <w:r>
        <w:rPr>
          <w:b/>
        </w:rPr>
        <w:t xml:space="preserve">13 </w:t>
      </w:r>
      <w:r>
        <w:t xml:space="preserve">And seven sons and three daughters were born to him.</w:t>
      </w:r>
    </w:p>
    <w:p>
      <w:r>
        <w:rPr>
          <w:b/>
        </w:rPr>
        <w:t xml:space="preserve">14 </w:t>
      </w:r>
      <w:r>
        <w:t xml:space="preserve">And he called first Day, second Cassia, and third Horn of Amaltheia.</w:t>
      </w:r>
    </w:p>
    <w:p>
      <w:r>
        <w:rPr>
          <w:b/>
        </w:rPr>
        <w:t xml:space="preserve">15 </w:t>
      </w:r>
      <w:r>
        <w:t xml:space="preserve">And no women under heaven were found better than daughters of Job, and father gave</w:t>
      </w:r>
      <w:r>
        <w:rPr>
          <w:rStyle w:val="FootnoteReference"/>
        </w:rPr>
        <w:footnoteReference w:id="10515"/>
      </w:r>
      <w:r>
        <w:t xml:space="preserve"> them inheritance among their brothers.</w:t>
      </w:r>
    </w:p>
    <w:p>
      <w:r>
        <w:rPr>
          <w:b/>
        </w:rPr>
        <w:t xml:space="preserve">16 </w:t>
      </w:r>
      <w:r>
        <w:t xml:space="preserve">And Job lived after the blow one hundred seventy years; altogether he lived two hundred forty-eight years, and Job saw his sons and sons of his sons, fourth generation.</w:t>
      </w:r>
    </w:p>
    <w:p>
      <w:r>
        <w:rPr>
          <w:b/>
        </w:rPr>
        <w:t xml:space="preserve">17 </w:t>
      </w:r>
      <w:r>
        <w:t xml:space="preserve">And Job died old and full of days. And it is written that he will rise again with those whom the Lord raises up</w:t>
      </w:r>
      <w:r>
        <w:rPr>
          <w:rStyle w:val="FootnoteReference"/>
        </w:rPr>
        <w:footnoteReference w:id="10516"/>
      </w:r>
      <w:r>
        <w:t xml:space="preserve">. This man, interpreted from the Syriac book, dwelt in the land of Uz on the borders of Idumaia and Arabia, and his former name was Jobab. Taking an Arabian</w:t>
      </w:r>
      <w:r>
        <w:rPr>
          <w:rStyle w:val="FootnoteReference"/>
        </w:rPr>
        <w:footnoteReference w:id="10517"/>
      </w:r>
      <w:r>
        <w:t xml:space="preserve"> wife, he fathered a son whose name was Ennon. And he himself was the son of Zerah, one of the sons of Esau, from his mother Bozrah, so as to be fifth from Abraham. And these were kings who reigned in Edom, over which he also first ruled: Balak son of Beor, and the name of his city was Dinhabah; after Balak, Jobab called Job; after him Husham, ruler from the country of Temanite; after him Hadad son of Bedad, who cut down Midian in the plain of Moab, and the name of his city was Gittaim. And friends coming to him were Eliphaz king of the sons of Esau from the Temanites, Bildad tyrant of the Sauchites, and Zophar king of the Naamathites</w:t>
      </w:r>
      <w:r>
        <w:rPr>
          <w:rStyle w:val="FootnoteReference"/>
        </w:rPr>
        <w:footnoteReference w:id="10518"/>
      </w:r>
      <w:r>
        <w:t xml:space="preserve">.</w:t>
      </w:r>
    </w:p>
    <w:p>
      <w:r>
        <w:br w:type="page"/>
      </w:r>
    </w:p>
    <w:p>
      <w:pPr>
        <w:pStyle w:val="Heading1"/>
      </w:pPr>
      <w:r>
        <w:t xml:space="preserve">Psalms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Blessed</w:t>
      </w:r>
      <w:r>
        <w:rPr>
          <w:rStyle w:val="FootnoteReference"/>
        </w:rPr>
        <w:footnoteReference w:id="10519"/>
      </w:r>
      <w:r>
        <w:t xml:space="preserve"> is the man who did not walk in the counsel of ungodly men, and did not stand in the way of sinners, and did not sit upon the seat of pestilent men,</w:t>
      </w:r>
    </w:p>
    <w:p>
      <w:r>
        <w:rPr>
          <w:b/>
        </w:rPr>
        <w:t xml:space="preserve">2 </w:t>
      </w:r>
      <w:r>
        <w:t xml:space="preserve">but his</w:t>
      </w:r>
      <w:r>
        <w:rPr>
          <w:rStyle w:val="FootnoteReference"/>
        </w:rPr>
        <w:footnoteReference w:id="10520"/>
      </w:r>
      <w:r>
        <w:t xml:space="preserve"> delight is in the law of the Lord, and in his law he will meditate day and night.</w:t>
      </w:r>
    </w:p>
    <w:p>
      <w:r>
        <w:rPr>
          <w:b/>
        </w:rPr>
        <w:t xml:space="preserve">3 </w:t>
      </w:r>
      <w:r>
        <w:t xml:space="preserve">And he will be like a tree</w:t>
      </w:r>
      <w:r>
        <w:rPr>
          <w:rStyle w:val="FootnoteReference"/>
        </w:rPr>
        <w:footnoteReference w:id="10521"/>
      </w:r>
      <w:r>
        <w:t xml:space="preserve"> planted by outlets of waters, which will give its fruit in its season, and its leaf will not wither, and all things whatever he does will prosper.</w:t>
      </w:r>
    </w:p>
    <w:p>
      <w:r>
        <w:rPr>
          <w:b/>
        </w:rPr>
        <w:t xml:space="preserve">4 </w:t>
      </w:r>
      <w:r>
        <w:t xml:space="preserve">Not so ungodly men, not so, but like chaff which wind throws from the face of the earth.</w:t>
      </w:r>
    </w:p>
    <w:p>
      <w:r>
        <w:rPr>
          <w:b/>
        </w:rPr>
        <w:t xml:space="preserve">5 </w:t>
      </w:r>
      <w:r>
        <w:t xml:space="preserve">Because of this ungodly men will not stand in judgment, nor sinners</w:t>
      </w:r>
      <w:r>
        <w:rPr>
          <w:rStyle w:val="FootnoteReference"/>
        </w:rPr>
        <w:footnoteReference w:id="10522"/>
      </w:r>
      <w:r>
        <w:t xml:space="preserve"> in the counsel of righteous men.</w:t>
      </w:r>
    </w:p>
    <w:p>
      <w:r>
        <w:rPr>
          <w:b/>
        </w:rPr>
        <w:t xml:space="preserve">6 </w:t>
      </w:r>
      <w:r>
        <w:t xml:space="preserve">For the Lord knows the way of righteous men, but the way of ungodly men will perish.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Why did nations rage</w:t>
      </w:r>
      <w:r>
        <w:rPr>
          <w:rStyle w:val="FootnoteReference"/>
        </w:rPr>
        <w:footnoteReference w:id="10523"/>
      </w:r>
      <w:r>
        <w:t xml:space="preserve">, and peoples meditate empty things?</w:t>
      </w:r>
    </w:p>
    <w:p>
      <w:r>
        <w:rPr>
          <w:b/>
        </w:rPr>
        <w:t xml:space="preserve">2 </w:t>
      </w:r>
      <w:r>
        <w:t xml:space="preserve">The kings</w:t>
      </w:r>
      <w:r>
        <w:rPr>
          <w:rStyle w:val="FootnoteReference"/>
        </w:rPr>
        <w:footnoteReference w:id="10524"/>
      </w:r>
      <w:r>
        <w:t xml:space="preserve"> of the earth stood by, and rulers were gathered together against the Lord and against his Anointed. Interlude.</w:t>
      </w:r>
    </w:p>
    <w:p>
      <w:r>
        <w:rPr>
          <w:b/>
        </w:rPr>
        <w:t xml:space="preserve">3 </w:t>
      </w:r>
      <w:r>
        <w:t xml:space="preserve">Let us tear their bonds apart and cast their yoke from us.</w:t>
      </w:r>
    </w:p>
    <w:p>
      <w:r>
        <w:rPr>
          <w:b/>
        </w:rPr>
        <w:t xml:space="preserve">4 </w:t>
      </w:r>
      <w:r>
        <w:t xml:space="preserve">One dwelling in heavens will laugh at them, and the Lord will mock them.</w:t>
      </w:r>
    </w:p>
    <w:p>
      <w:r>
        <w:rPr>
          <w:b/>
        </w:rPr>
        <w:t xml:space="preserve">5 </w:t>
      </w:r>
      <w:r>
        <w:t xml:space="preserve">Then he will speak to them in his wrath and trouble them in his anger.</w:t>
      </w:r>
    </w:p>
    <w:p>
      <w:r>
        <w:rPr>
          <w:b/>
        </w:rPr>
        <w:t xml:space="preserve">6 </w:t>
      </w:r>
      <w:r>
        <w:t xml:space="preserve">But I was set as king by him upon Zion, his holy mountain,</w:t>
      </w:r>
    </w:p>
    <w:p>
      <w:r>
        <w:rPr>
          <w:b/>
        </w:rPr>
        <w:t xml:space="preserve">7 </w:t>
      </w:r>
      <w:r>
        <w:t xml:space="preserve">declaring decree of the Lord. The Lord said to me, You are my son; today I have begotten you.</w:t>
      </w:r>
    </w:p>
    <w:p>
      <w:r>
        <w:rPr>
          <w:b/>
        </w:rPr>
        <w:t xml:space="preserve">8 </w:t>
      </w:r>
      <w:r>
        <w:t xml:space="preserve">Ask from me, and I will give nations as your inheritance and ends of the earth as your possession.</w:t>
      </w:r>
    </w:p>
    <w:p>
      <w:r>
        <w:rPr>
          <w:b/>
        </w:rPr>
        <w:t xml:space="preserve">9 </w:t>
      </w:r>
      <w:r>
        <w:t xml:space="preserve">You will shepherd them with iron rod; like potter's vessel you will shatter them.</w:t>
      </w:r>
    </w:p>
    <w:p>
      <w:r>
        <w:rPr>
          <w:b/>
        </w:rPr>
        <w:t xml:space="preserve">10 </w:t>
      </w:r>
      <w:r>
        <w:t xml:space="preserve">And now, kings, understand; be instructed</w:t>
      </w:r>
      <w:r>
        <w:rPr>
          <w:rStyle w:val="FootnoteReference"/>
        </w:rPr>
        <w:footnoteReference w:id="10525"/>
      </w:r>
      <w:r>
        <w:t xml:space="preserve">, all judging earth.</w:t>
      </w:r>
    </w:p>
    <w:p>
      <w:r>
        <w:rPr>
          <w:b/>
        </w:rPr>
        <w:t xml:space="preserve">11 </w:t>
      </w:r>
      <w:r>
        <w:t xml:space="preserve">Serve</w:t>
      </w:r>
      <w:r>
        <w:rPr>
          <w:rStyle w:val="FootnoteReference"/>
        </w:rPr>
        <w:footnoteReference w:id="10526"/>
      </w:r>
      <w:r>
        <w:t xml:space="preserve"> the Lord in fear and rejoice in him with trembling.</w:t>
      </w:r>
    </w:p>
    <w:p>
      <w:r>
        <w:rPr>
          <w:b/>
        </w:rPr>
        <w:t xml:space="preserve">12 </w:t>
      </w:r>
      <w:r>
        <w:t xml:space="preserve">Take hold of instruction lest the Lord be angered and you perish from a righteous way when his wrath is quickly kindled. Blessed are all who trust in him</w:t>
      </w:r>
      <w:r>
        <w:rPr>
          <w:rStyle w:val="FootnoteReference"/>
        </w:rPr>
        <w:footnoteReference w:id="10527"/>
      </w:r>
      <w:r>
        <w:t xml:space="preserve">.</w:t>
      </w:r>
      <w:r>
        <w:rPr>
          <w:rStyle w:val="FootnoteReference"/>
        </w:rPr>
        <w:footnoteReference w:id="10528"/>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rPr>
          <w:i/>
        </w:rPr>
        <w:t xml:space="preserve">Psalm of David, when he fled from the face of Absalom his son.</w:t>
      </w:r>
      <w:r>
        <w:t xml:space="preserve"/>
      </w:r>
    </w:p>
    <w:p>
      <w:r>
        <w:rPr>
          <w:b/>
        </w:rPr>
        <w:t xml:space="preserve">2 </w:t>
      </w:r>
      <w:r>
        <w:t xml:space="preserve">Lord, why were those afflicting me multiplied? Many rise up against me.</w:t>
      </w:r>
    </w:p>
    <w:p>
      <w:r>
        <w:rPr>
          <w:b/>
        </w:rPr>
        <w:t xml:space="preserve">3 </w:t>
      </w:r>
      <w:r>
        <w:t xml:space="preserve">Many say to my soul, There is no salvation for him in his God. Interlude.</w:t>
      </w:r>
    </w:p>
    <w:p>
      <w:r>
        <w:rPr>
          <w:b/>
        </w:rPr>
        <w:t xml:space="preserve">4 </w:t>
      </w:r>
      <w:r>
        <w:t xml:space="preserve">But you, Lord, are my defender, my glory, and one lifting my head.</w:t>
      </w:r>
    </w:p>
    <w:p>
      <w:r>
        <w:rPr>
          <w:b/>
        </w:rPr>
        <w:t xml:space="preserve">5 </w:t>
      </w:r>
      <w:r>
        <w:t xml:space="preserve">With my voice I cried to the Lord, and he heard me from his holy mountain. Interlude.</w:t>
      </w:r>
    </w:p>
    <w:p>
      <w:r>
        <w:rPr>
          <w:b/>
        </w:rPr>
        <w:t xml:space="preserve">6 </w:t>
      </w:r>
      <w:r>
        <w:t xml:space="preserve">I lay down and slept; I awoke, because the Lord will help me.</w:t>
      </w:r>
    </w:p>
    <w:p>
      <w:r>
        <w:rPr>
          <w:b/>
        </w:rPr>
        <w:t xml:space="preserve">7 </w:t>
      </w:r>
      <w:r>
        <w:t xml:space="preserve">I will not fear from myriads of the people those surrounding and attacking me.</w:t>
      </w:r>
    </w:p>
    <w:p>
      <w:r>
        <w:rPr>
          <w:b/>
        </w:rPr>
        <w:t xml:space="preserve">8 </w:t>
      </w:r>
      <w:r>
        <w:t xml:space="preserve">Rise up, Lord; save me, my God, because you struck all who hate me for nothing; the teeth of sinners you shattered.</w:t>
      </w:r>
      <w:r>
        <w:rPr>
          <w:rStyle w:val="FootnoteReference"/>
        </w:rPr>
        <w:footnoteReference w:id="10529"/>
      </w:r>
      <w:r>
        <w:t xml:space="preserve"/>
      </w:r>
    </w:p>
    <w:p>
      <w:r>
        <w:rPr>
          <w:b/>
        </w:rPr>
        <w:t xml:space="preserve">9 </w:t>
      </w:r>
      <w:r>
        <w:t xml:space="preserve">Salvation belongs to the Lord, and your blessing upon your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rPr>
          <w:i/>
        </w:rPr>
        <w:t xml:space="preserve">For end.</w:t>
      </w:r>
      <w:r>
        <w:br/>
      </w:r>
      <w:r>
        <w:t xml:space="preserve">In psalms. Song of David.</w:t>
      </w:r>
    </w:p>
    <w:p>
      <w:r>
        <w:rPr>
          <w:b/>
        </w:rPr>
        <w:t xml:space="preserve">2 </w:t>
      </w:r>
      <w:r>
        <w:t xml:space="preserve">When I call, God of my righteousness heard me; in affliction you widened space for me. Have pity on me and hear my prayer.</w:t>
      </w:r>
    </w:p>
    <w:p>
      <w:r>
        <w:rPr>
          <w:b/>
        </w:rPr>
        <w:t xml:space="preserve">3 </w:t>
      </w:r>
      <w:r>
        <w:t xml:space="preserve">Sons of men, until when heavy-hearted? Why do you love vanity and seek lie? Interlude.</w:t>
      </w:r>
    </w:p>
    <w:p>
      <w:r>
        <w:rPr>
          <w:b/>
        </w:rPr>
        <w:t xml:space="preserve">4 </w:t>
      </w:r>
      <w:r>
        <w:t xml:space="preserve">And know that the Lord made his holy one wondrous; The Lord will hear me when I cry to him.</w:t>
      </w:r>
    </w:p>
    <w:p>
      <w:r>
        <w:rPr>
          <w:b/>
        </w:rPr>
        <w:t xml:space="preserve">5 </w:t>
      </w:r>
      <w:r>
        <w:t xml:space="preserve">Be angry and do not sin; say within your hearts, and upon your beds be pierced through. Interlude.</w:t>
      </w:r>
    </w:p>
    <w:p>
      <w:r>
        <w:rPr>
          <w:b/>
        </w:rPr>
        <w:t xml:space="preserve">6 </w:t>
      </w:r>
      <w:r>
        <w:t xml:space="preserve">Offer a sacrifice of righteousness and hope upon the Lord.</w:t>
      </w:r>
    </w:p>
    <w:p>
      <w:r>
        <w:rPr>
          <w:b/>
        </w:rPr>
        <w:t xml:space="preserve">7 </w:t>
      </w:r>
      <w:r>
        <w:t xml:space="preserve">Many say, Who will show us good things? Light of your face, Lord, was marked upon us.</w:t>
      </w:r>
    </w:p>
    <w:p>
      <w:r>
        <w:rPr>
          <w:b/>
        </w:rPr>
        <w:t xml:space="preserve">8 </w:t>
      </w:r>
      <w:r>
        <w:t xml:space="preserve">You gave gladness into my heart, from season when their grain and wine and oil were multiplied.</w:t>
      </w:r>
    </w:p>
    <w:p>
      <w:r>
        <w:rPr>
          <w:b/>
        </w:rPr>
        <w:t xml:space="preserve">9 </w:t>
      </w:r>
      <w:r>
        <w:t xml:space="preserve">In peace, at same time, I will lie down and sleep, because you, Lord, alone settled me in hope.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rPr>
          <w:i/>
        </w:rPr>
        <w:t xml:space="preserve">For end.</w:t>
      </w:r>
      <w:r>
        <w:br/>
      </w:r>
      <w:r>
        <w:t xml:space="preserve">Concerning her who inherits. Psalm of David.</w:t>
      </w:r>
    </w:p>
    <w:p>
      <w:r>
        <w:rPr>
          <w:b/>
        </w:rPr>
        <w:t xml:space="preserve">2 </w:t>
      </w:r>
      <w:r>
        <w:t xml:space="preserve">Give ear to my words, Lord; understand my cry.</w:t>
      </w:r>
    </w:p>
    <w:p>
      <w:r>
        <w:rPr>
          <w:b/>
        </w:rPr>
        <w:t xml:space="preserve">3 </w:t>
      </w:r>
      <w:r>
        <w:t xml:space="preserve">Attend to the voice of my petition, my King and my God, because to you I will pray, Lord.</w:t>
      </w:r>
    </w:p>
    <w:p>
      <w:r>
        <w:rPr>
          <w:b/>
        </w:rPr>
        <w:t xml:space="preserve">4 </w:t>
      </w:r>
      <w:r>
        <w:t xml:space="preserve">In morning you will hear my voice; in morning I will stand before you and keep watch.</w:t>
      </w:r>
    </w:p>
    <w:p>
      <w:r>
        <w:rPr>
          <w:b/>
        </w:rPr>
        <w:t xml:space="preserve">5 </w:t>
      </w:r>
      <w:r>
        <w:t xml:space="preserve">For you are not God willing lawlessness, nor will one doing evil dwell with you.</w:t>
      </w:r>
    </w:p>
    <w:p>
      <w:r>
        <w:rPr>
          <w:b/>
        </w:rPr>
        <w:t xml:space="preserve">6 </w:t>
      </w:r>
      <w:r>
        <w:t xml:space="preserve">Lawless men will not remain before your eyes; you hated all working lawlessness.</w:t>
      </w:r>
    </w:p>
    <w:p>
      <w:r>
        <w:rPr>
          <w:b/>
        </w:rPr>
        <w:t xml:space="preserve">7 </w:t>
      </w:r>
      <w:r>
        <w:t xml:space="preserve">You will destroy all speaking lie; man of bloods and deceit the Lord abhors.</w:t>
      </w:r>
    </w:p>
    <w:p>
      <w:r>
        <w:rPr>
          <w:b/>
        </w:rPr>
        <w:t xml:space="preserve">8 </w:t>
      </w:r>
      <w:r>
        <w:t xml:space="preserve">But I, in the multitude of your mercy, will enter into your house; I will worship toward your holy temple in your fear.</w:t>
      </w:r>
    </w:p>
    <w:p>
      <w:r>
        <w:rPr>
          <w:b/>
        </w:rPr>
        <w:t xml:space="preserve">9 </w:t>
      </w:r>
      <w:r>
        <w:t xml:space="preserve">Lord, lead me in your righteousness because of my enemies; make your way straight before me.</w:t>
      </w:r>
    </w:p>
    <w:p>
      <w:r>
        <w:rPr>
          <w:b/>
        </w:rPr>
        <w:t xml:space="preserve">10 </w:t>
      </w:r>
      <w:r>
        <w:t xml:space="preserve">Because there is no truth in their mouth; their heart is vain; their throat open grave; with their tongues they dealt deceitfully.</w:t>
      </w:r>
    </w:p>
    <w:p>
      <w:r>
        <w:rPr>
          <w:b/>
        </w:rPr>
        <w:t xml:space="preserve">11 </w:t>
      </w:r>
      <w:r>
        <w:t xml:space="preserve">Judge them, God; let them fall from their counsels. According to the multitude of their ungodliness cast them out, because they embittered you, Lord.</w:t>
      </w:r>
    </w:p>
    <w:p>
      <w:r>
        <w:rPr>
          <w:b/>
        </w:rPr>
        <w:t xml:space="preserve">12 </w:t>
      </w:r>
      <w:r>
        <w:t xml:space="preserve">And let all hoping in you be glad; into age they will rejoice, and you will dwell among them; and all loving your name will boast in you.</w:t>
      </w:r>
    </w:p>
    <w:p>
      <w:r>
        <w:rPr>
          <w:b/>
        </w:rPr>
        <w:t xml:space="preserve">13 </w:t>
      </w:r>
      <w:r>
        <w:t xml:space="preserve">Because you will bless a righteous man, Lord; as with a weapon of favor you crowned us.</w:t>
      </w:r>
      <w:r>
        <w:rPr>
          <w:rStyle w:val="FootnoteReference"/>
        </w:rPr>
        <w:footnoteReference w:id="10530"/>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rPr>
          <w:i/>
        </w:rPr>
        <w:t xml:space="preserve">For end.</w:t>
      </w:r>
      <w:r>
        <w:br/>
      </w:r>
      <w:r>
        <w:t xml:space="preserve">In hymns. Concerning eighth. Psalm of David.</w:t>
      </w:r>
    </w:p>
    <w:p>
      <w:r>
        <w:rPr>
          <w:b/>
        </w:rPr>
        <w:t xml:space="preserve">2 </w:t>
      </w:r>
      <w:r>
        <w:t xml:space="preserve">Lord, do not reprove me in your fury, nor discipline me in your anger.</w:t>
      </w:r>
    </w:p>
    <w:p>
      <w:r>
        <w:rPr>
          <w:b/>
        </w:rPr>
        <w:t xml:space="preserve">3 </w:t>
      </w:r>
      <w:r>
        <w:t xml:space="preserve">Have mercy on me, Lord, because I am weak. Heal me, Lord, because my bones were troubled.</w:t>
      </w:r>
    </w:p>
    <w:p>
      <w:r>
        <w:rPr>
          <w:b/>
        </w:rPr>
        <w:t xml:space="preserve">4 </w:t>
      </w:r>
      <w:r>
        <w:t xml:space="preserve">And my soul was greatly troubled. And you, Lord, until when?</w:t>
      </w:r>
    </w:p>
    <w:p>
      <w:r>
        <w:rPr>
          <w:b/>
        </w:rPr>
        <w:t xml:space="preserve">5 </w:t>
      </w:r>
      <w:r>
        <w:t xml:space="preserve">Turn back, Lord; rescue my soul. Save me because of your mercy.</w:t>
      </w:r>
    </w:p>
    <w:p>
      <w:r>
        <w:rPr>
          <w:b/>
        </w:rPr>
        <w:t xml:space="preserve">6 </w:t>
      </w:r>
      <w:r>
        <w:t xml:space="preserve">Because in death there is none remembering you; and in Hades who will confess to you?</w:t>
      </w:r>
    </w:p>
    <w:p>
      <w:r>
        <w:rPr>
          <w:b/>
        </w:rPr>
        <w:t xml:space="preserve">7 </w:t>
      </w:r>
      <w:r>
        <w:t xml:space="preserve">I toiled in my groaning; every night I will wash my bed, with my tears I will soak my couch.</w:t>
      </w:r>
    </w:p>
    <w:p>
      <w:r>
        <w:rPr>
          <w:b/>
        </w:rPr>
        <w:t xml:space="preserve">8 </w:t>
      </w:r>
      <w:r>
        <w:t xml:space="preserve">My eye was troubled from anger; I grew old among all my enemies.</w:t>
      </w:r>
    </w:p>
    <w:p>
      <w:r>
        <w:rPr>
          <w:b/>
        </w:rPr>
        <w:t xml:space="preserve">9 </w:t>
      </w:r>
      <w:r>
        <w:t xml:space="preserve">Depart from me, all working lawlessness, because the Lord heard the voice of my weeping.</w:t>
      </w:r>
    </w:p>
    <w:p>
      <w:r>
        <w:rPr>
          <w:b/>
        </w:rPr>
        <w:t xml:space="preserve">10 </w:t>
      </w:r>
      <w:r>
        <w:t xml:space="preserve">The Lord heard my petition; The Lord received my prayer.</w:t>
      </w:r>
    </w:p>
    <w:p>
      <w:r>
        <w:rPr>
          <w:b/>
        </w:rPr>
        <w:t xml:space="preserve">11 </w:t>
      </w:r>
      <w:r>
        <w:t xml:space="preserve">Let all my enemies be ashamed and greatly troubled; let them turn back and be greatly ashamed very quickly.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rPr>
          <w:i/>
        </w:rPr>
        <w:t xml:space="preserve">Psalm of David, which he sang to the Lord concerning the words of Cushi son of Iemeni.</w:t>
      </w:r>
      <w:r>
        <w:t xml:space="preserve"/>
      </w:r>
    </w:p>
    <w:p>
      <w:r>
        <w:rPr>
          <w:b/>
        </w:rPr>
        <w:t xml:space="preserve">2 </w:t>
      </w:r>
      <w:r>
        <w:t xml:space="preserve">Lord my God, upon you I hoped; save me from all pursuing me and rescue me,</w:t>
      </w:r>
    </w:p>
    <w:p>
      <w:r>
        <w:rPr>
          <w:b/>
        </w:rPr>
        <w:t xml:space="preserve">3 </w:t>
      </w:r>
      <w:r>
        <w:t xml:space="preserve">lest he seize my soul like a lion, while there is none redeeming and none saving.</w:t>
      </w:r>
    </w:p>
    <w:p>
      <w:r>
        <w:rPr>
          <w:b/>
        </w:rPr>
        <w:t xml:space="preserve">4 </w:t>
      </w:r>
      <w:r>
        <w:t xml:space="preserve">Lord my God, if I</w:t>
      </w:r>
      <w:r>
        <w:rPr>
          <w:rStyle w:val="FootnoteReference"/>
        </w:rPr>
        <w:footnoteReference w:id="10531"/>
      </w:r>
      <w:r>
        <w:t xml:space="preserve"> did this, if there is injustice in my hands,</w:t>
      </w:r>
    </w:p>
    <w:p>
      <w:r>
        <w:rPr>
          <w:b/>
        </w:rPr>
        <w:t xml:space="preserve">5 </w:t>
      </w:r>
      <w:r>
        <w:t xml:space="preserve">if I repaid evil to those repaying me, then let me fall away from my enemies empty.</w:t>
      </w:r>
    </w:p>
    <w:p>
      <w:r>
        <w:rPr>
          <w:b/>
        </w:rPr>
        <w:t xml:space="preserve">6 </w:t>
      </w:r>
      <w:r>
        <w:t xml:space="preserve">Then let enemy pursue my soul and seize it, and trample my life into earth, and settle my glory in dust. Interlude.</w:t>
      </w:r>
    </w:p>
    <w:p>
      <w:r>
        <w:rPr>
          <w:b/>
        </w:rPr>
        <w:t xml:space="preserve">7 </w:t>
      </w:r>
      <w:r>
        <w:t xml:space="preserve">Rise up, Lord, in your anger; be lifted up at ends of my enemies. Wake up, Lord my God, in command which you enjoined.</w:t>
      </w:r>
    </w:p>
    <w:p>
      <w:r>
        <w:rPr>
          <w:b/>
        </w:rPr>
        <w:t xml:space="preserve">8 </w:t>
      </w:r>
      <w:r>
        <w:t xml:space="preserve">And a gathering of peoples will encircle you, and over this return on high.</w:t>
      </w:r>
    </w:p>
    <w:p>
      <w:r>
        <w:rPr>
          <w:b/>
        </w:rPr>
        <w:t xml:space="preserve">9 </w:t>
      </w:r>
      <w:r>
        <w:t xml:space="preserve">The Lord judges peoples. Judge me, Lord, according to my righteousness and according to my innocence upon me.</w:t>
      </w:r>
    </w:p>
    <w:p>
      <w:r>
        <w:rPr>
          <w:b/>
        </w:rPr>
        <w:t xml:space="preserve">10 </w:t>
      </w:r>
      <w:r>
        <w:t xml:space="preserve">Let the evil of sinners come to an end, and you will set a righteous man straight, examining hearts and kidneys, O God.</w:t>
      </w:r>
      <w:r>
        <w:rPr>
          <w:rStyle w:val="FootnoteReference"/>
        </w:rPr>
        <w:footnoteReference w:id="10532"/>
      </w:r>
      <w:r>
        <w:t xml:space="preserve"/>
      </w:r>
    </w:p>
    <w:p>
      <w:r>
        <w:rPr>
          <w:b/>
        </w:rPr>
        <w:t xml:space="preserve">11 </w:t>
      </w:r>
      <w:r>
        <w:t xml:space="preserve">My help is righteous from God, the one saving upright ones in heart.</w:t>
      </w:r>
    </w:p>
    <w:p>
      <w:r>
        <w:rPr>
          <w:b/>
        </w:rPr>
        <w:t xml:space="preserve">12 </w:t>
      </w:r>
      <w:r>
        <w:t xml:space="preserve">God is righteous judge, strong and patient, not bringing on anger each day.</w:t>
      </w:r>
    </w:p>
    <w:p>
      <w:r>
        <w:rPr>
          <w:b/>
        </w:rPr>
        <w:t xml:space="preserve">13 </w:t>
      </w:r>
      <w:r>
        <w:t xml:space="preserve">If you do not turn back, he will polish his sword, stretch his bow, and prepare it.</w:t>
      </w:r>
    </w:p>
    <w:p>
      <w:r>
        <w:rPr>
          <w:b/>
        </w:rPr>
        <w:t xml:space="preserve">14 </w:t>
      </w:r>
      <w:r>
        <w:t xml:space="preserve">And in it he prepared instruments of death; his arrows he worked out for burning ones.</w:t>
      </w:r>
    </w:p>
    <w:p>
      <w:r>
        <w:rPr>
          <w:b/>
        </w:rPr>
        <w:t xml:space="preserve">15 </w:t>
      </w:r>
      <w:r>
        <w:t xml:space="preserve">Behold, he travailed with injustice, conceived toil, and gave birth to lawlessness.</w:t>
      </w:r>
    </w:p>
    <w:p>
      <w:r>
        <w:rPr>
          <w:b/>
        </w:rPr>
        <w:t xml:space="preserve">16 </w:t>
      </w:r>
      <w:r>
        <w:t xml:space="preserve">He dug pit and scooped it out, and he will fall into hole which he made.</w:t>
      </w:r>
    </w:p>
    <w:p>
      <w:r>
        <w:rPr>
          <w:b/>
        </w:rPr>
        <w:t xml:space="preserve">17 </w:t>
      </w:r>
      <w:r>
        <w:t xml:space="preserve">His toil will return upon his head, and his injustice will come down upon his crown.</w:t>
      </w:r>
      <w:r>
        <w:rPr>
          <w:rStyle w:val="FootnoteReference"/>
        </w:rPr>
        <w:footnoteReference w:id="10533"/>
      </w:r>
    </w:p>
    <w:p>
      <w:r>
        <w:rPr>
          <w:b/>
        </w:rPr>
        <w:t xml:space="preserve">18 </w:t>
      </w:r>
      <w:r>
        <w:t xml:space="preserve">I will confess to the Lord according to his righteousness, and I will sing praise to the name of the Lord Most High</w:t>
      </w:r>
      <w:r>
        <w:rPr>
          <w:rStyle w:val="FootnoteReference"/>
        </w:rPr>
        <w:footnoteReference w:id="10534"/>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rPr>
          <w:i/>
        </w:rPr>
        <w:t xml:space="preserve">For end.</w:t>
      </w:r>
      <w:r>
        <w:br/>
      </w:r>
      <w:r>
        <w:t xml:space="preserve">Concerning winepresses. Psalm of David.</w:t>
      </w:r>
    </w:p>
    <w:p>
      <w:r>
        <w:rPr>
          <w:b/>
        </w:rPr>
        <w:t xml:space="preserve">2 </w:t>
      </w:r>
      <w:r>
        <w:t xml:space="preserve">Lord, our Lord, how wondrous your name in all the earth, because your magnificence was lifted above heavens.</w:t>
      </w:r>
    </w:p>
    <w:p>
      <w:r>
        <w:rPr>
          <w:b/>
        </w:rPr>
        <w:t xml:space="preserve">3 </w:t>
      </w:r>
      <w:r>
        <w:t xml:space="preserve">Out of mouth of infants and nursing ones you prepared praise, because of your enemies, to tear down enemy and avenger.</w:t>
      </w:r>
    </w:p>
    <w:p>
      <w:r>
        <w:rPr>
          <w:b/>
        </w:rPr>
        <w:t xml:space="preserve">4 </w:t>
      </w:r>
      <w:r>
        <w:t xml:space="preserve">Because I will see heavens, works of your fingers, moon and stars which you founded.</w:t>
      </w:r>
    </w:p>
    <w:p>
      <w:r>
        <w:rPr>
          <w:b/>
        </w:rPr>
        <w:t xml:space="preserve">5 </w:t>
      </w:r>
      <w:r>
        <w:t xml:space="preserve">What is man, that you remember him, or son of man, that you visit him?</w:t>
      </w:r>
    </w:p>
    <w:p>
      <w:r>
        <w:rPr>
          <w:b/>
        </w:rPr>
        <w:t xml:space="preserve">6 </w:t>
      </w:r>
      <w:r>
        <w:t xml:space="preserve">You lessened him a little from angels; with glory and honor you crowned him.</w:t>
      </w:r>
    </w:p>
    <w:p>
      <w:r>
        <w:rPr>
          <w:b/>
        </w:rPr>
        <w:t xml:space="preserve">7 </w:t>
      </w:r>
      <w:r>
        <w:t xml:space="preserve">And you set him over the works of your hands; all things you subjected under his feet:</w:t>
      </w:r>
    </w:p>
    <w:p>
      <w:r>
        <w:rPr>
          <w:b/>
        </w:rPr>
        <w:t xml:space="preserve">8 </w:t>
      </w:r>
      <w:r>
        <w:t xml:space="preserve">sheep and oxen, all of them, and also beasts of the field,</w:t>
      </w:r>
    </w:p>
    <w:p>
      <w:r>
        <w:rPr>
          <w:b/>
        </w:rPr>
        <w:t xml:space="preserve">9 </w:t>
      </w:r>
      <w:r>
        <w:t xml:space="preserve">birds of heaven and fish of the sea, things passing through paths of seas.</w:t>
      </w:r>
    </w:p>
    <w:p>
      <w:r>
        <w:rPr>
          <w:b/>
        </w:rPr>
        <w:t xml:space="preserve">10 </w:t>
      </w:r>
      <w:r>
        <w:t xml:space="preserve">Lord, our Lord, how wondrous your name in all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rPr>
          <w:i/>
        </w:rPr>
        <w:t xml:space="preserve">For end.</w:t>
      </w:r>
      <w:r>
        <w:br/>
      </w:r>
      <w:r>
        <w:t xml:space="preserve">Concerning hidden things of son. Psalm of David.</w:t>
      </w:r>
    </w:p>
    <w:p>
      <w:r>
        <w:rPr>
          <w:b/>
        </w:rPr>
        <w:t xml:space="preserve">2 </w:t>
      </w:r>
      <w:r>
        <w:t xml:space="preserve">I will confess to you, Lord, with all my heart</w:t>
      </w:r>
      <w:r>
        <w:rPr>
          <w:rStyle w:val="FootnoteReference"/>
        </w:rPr>
        <w:footnoteReference w:id="10535"/>
      </w:r>
      <w:r>
        <w:t xml:space="preserve">; I will recount all your wondrous deeds.</w:t>
      </w:r>
    </w:p>
    <w:p>
      <w:r>
        <w:rPr>
          <w:b/>
        </w:rPr>
        <w:t xml:space="preserve">3 </w:t>
      </w:r>
      <w:r>
        <w:t xml:space="preserve">I will be glad and rejoice in you; I will sing praise to your name, Most High,</w:t>
      </w:r>
    </w:p>
    <w:p>
      <w:r>
        <w:rPr>
          <w:b/>
        </w:rPr>
        <w:t xml:space="preserve">4 </w:t>
      </w:r>
      <w:r>
        <w:t xml:space="preserve">when my enemy turns back. They will grow weak and perish from your face,</w:t>
      </w:r>
    </w:p>
    <w:p>
      <w:r>
        <w:rPr>
          <w:b/>
        </w:rPr>
        <w:t xml:space="preserve">5 </w:t>
      </w:r>
      <w:r>
        <w:t xml:space="preserve">because you made my judgment and my case. You sat upon a throne</w:t>
      </w:r>
      <w:r>
        <w:rPr>
          <w:rStyle w:val="FootnoteReference"/>
        </w:rPr>
        <w:footnoteReference w:id="10536"/>
      </w:r>
      <w:r>
        <w:t xml:space="preserve">, judging righteousness.</w:t>
      </w:r>
    </w:p>
    <w:p>
      <w:r>
        <w:rPr>
          <w:b/>
        </w:rPr>
        <w:t xml:space="preserve">6 </w:t>
      </w:r>
      <w:r>
        <w:t xml:space="preserve">You rebuked nations, and the ungodly man</w:t>
      </w:r>
      <w:r>
        <w:rPr>
          <w:rStyle w:val="FootnoteReference"/>
        </w:rPr>
        <w:footnoteReference w:id="10537"/>
      </w:r>
      <w:r>
        <w:t xml:space="preserve"> perished. Their name you wiped out into age and into age of age.</w:t>
      </w:r>
    </w:p>
    <w:p>
      <w:r>
        <w:rPr>
          <w:b/>
        </w:rPr>
        <w:t xml:space="preserve">7 </w:t>
      </w:r>
      <w:r>
        <w:t xml:space="preserve">The swords of the enemy failed to end, and you pulled down cities. Their memorial perished with noise.</w:t>
      </w:r>
    </w:p>
    <w:p>
      <w:r>
        <w:rPr>
          <w:b/>
        </w:rPr>
        <w:t xml:space="preserve">8 </w:t>
      </w:r>
      <w:r>
        <w:t xml:space="preserve">But the Lord remains into age; he prepared his throne in judgment.</w:t>
      </w:r>
    </w:p>
    <w:p>
      <w:r>
        <w:rPr>
          <w:b/>
        </w:rPr>
        <w:t xml:space="preserve">9 </w:t>
      </w:r>
      <w:r>
        <w:t xml:space="preserve">And he himself will judge inhabited world in righteousness; he will judge peoples in uprightness.</w:t>
      </w:r>
    </w:p>
    <w:p>
      <w:r>
        <w:rPr>
          <w:b/>
        </w:rPr>
        <w:t xml:space="preserve">10 </w:t>
      </w:r>
      <w:r>
        <w:t xml:space="preserve">And the Lord became a refuge for the poor man</w:t>
      </w:r>
      <w:r>
        <w:rPr>
          <w:rStyle w:val="FootnoteReference"/>
        </w:rPr>
        <w:footnoteReference w:id="10538"/>
      </w:r>
      <w:r>
        <w:t xml:space="preserve">, a helper in opportunities, in affliction.</w:t>
      </w:r>
    </w:p>
    <w:p>
      <w:r>
        <w:rPr>
          <w:b/>
        </w:rPr>
        <w:t xml:space="preserve">11 </w:t>
      </w:r>
      <w:r>
        <w:t xml:space="preserve">And let those knowing your name hope upon you, because you did not forsake those seeking you, Lord.</w:t>
      </w:r>
    </w:p>
    <w:p>
      <w:r>
        <w:rPr>
          <w:b/>
        </w:rPr>
        <w:t xml:space="preserve">12 </w:t>
      </w:r>
      <w:r>
        <w:t xml:space="preserve">Sing praise to the Lord dwelling in Zion; announce among nations his deeds.</w:t>
      </w:r>
    </w:p>
    <w:p>
      <w:r>
        <w:rPr>
          <w:b/>
        </w:rPr>
        <w:t xml:space="preserve">13 </w:t>
      </w:r>
      <w:r>
        <w:t xml:space="preserve">Because, seeking out their bloods, he remembered; he did not forget the cry of poor men</w:t>
      </w:r>
      <w:r>
        <w:rPr>
          <w:rStyle w:val="FootnoteReference"/>
        </w:rPr>
        <w:footnoteReference w:id="10539"/>
      </w:r>
      <w:r>
        <w:t xml:space="preserve">.</w:t>
      </w:r>
    </w:p>
    <w:p>
      <w:r>
        <w:rPr>
          <w:b/>
        </w:rPr>
        <w:t xml:space="preserve">14 </w:t>
      </w:r>
      <w:r>
        <w:t xml:space="preserve">Have mercy on me, Lord; see my humiliation from my enemies, you lifting me up from the gates of death,</w:t>
      </w:r>
    </w:p>
    <w:p>
      <w:r>
        <w:rPr>
          <w:b/>
        </w:rPr>
        <w:t xml:space="preserve">15 </w:t>
      </w:r>
      <w:r>
        <w:t xml:space="preserve">so that I may declare all your praises in the gates of daughter of Zion. I will rejoice in your salvation.</w:t>
      </w:r>
    </w:p>
    <w:p>
      <w:r>
        <w:rPr>
          <w:b/>
        </w:rPr>
        <w:t xml:space="preserve">16 </w:t>
      </w:r>
      <w:r>
        <w:t xml:space="preserve">Nations were trapped in corruption which they made; in this snare which they hid, their foot was caught.</w:t>
      </w:r>
    </w:p>
    <w:p>
      <w:r>
        <w:rPr>
          <w:b/>
        </w:rPr>
        <w:t xml:space="preserve">17 </w:t>
      </w:r>
      <w:r>
        <w:t xml:space="preserve">The Lord is known, making judgments; in the works of his hands the sinner was caught</w:t>
      </w:r>
      <w:r>
        <w:rPr>
          <w:rStyle w:val="FootnoteReference"/>
        </w:rPr>
        <w:footnoteReference w:id="10540"/>
      </w:r>
      <w:r>
        <w:t xml:space="preserve">. Song of interlude.</w:t>
      </w:r>
    </w:p>
    <w:p>
      <w:r>
        <w:rPr>
          <w:b/>
        </w:rPr>
        <w:t xml:space="preserve">18 </w:t>
      </w:r>
      <w:r>
        <w:t xml:space="preserve">Let sinners turn back into Hades, all nations forgetting God.</w:t>
      </w:r>
    </w:p>
    <w:p>
      <w:r>
        <w:rPr>
          <w:b/>
        </w:rPr>
        <w:t xml:space="preserve">19 </w:t>
      </w:r>
      <w:r>
        <w:t xml:space="preserve">Because the poor man will not be forgotten</w:t>
      </w:r>
      <w:r>
        <w:rPr>
          <w:rStyle w:val="FootnoteReference"/>
        </w:rPr>
        <w:footnoteReference w:id="10541"/>
      </w:r>
      <w:r>
        <w:t xml:space="preserve"> to the end, and endurance of poor men will not perish into age.</w:t>
      </w:r>
    </w:p>
    <w:p>
      <w:r>
        <w:rPr>
          <w:b/>
        </w:rPr>
        <w:t xml:space="preserve">20 </w:t>
      </w:r>
      <w:r>
        <w:t xml:space="preserve">Rise up, Lord; let not man prevail. Let nations be judged before you.</w:t>
      </w:r>
    </w:p>
    <w:p>
      <w:r>
        <w:rPr>
          <w:b/>
        </w:rPr>
        <w:t xml:space="preserve">21 </w:t>
      </w:r>
      <w:r>
        <w:t xml:space="preserve">Appoint lawgiver over them, Lord; let nations know that they are men. Interlude.</w:t>
      </w:r>
    </w:p>
    <w:p>
      <w:r>
        <w:rPr>
          <w:b/>
        </w:rPr>
        <w:t xml:space="preserve">22 </w:t>
      </w:r>
      <w:r>
        <w:t xml:space="preserve">Why, Lord, have you stood far off, overlooking in opportunities, in affliction?</w:t>
      </w:r>
    </w:p>
    <w:p>
      <w:r>
        <w:rPr>
          <w:b/>
        </w:rPr>
        <w:t xml:space="preserve">23 </w:t>
      </w:r>
      <w:r>
        <w:t xml:space="preserve">When the ungodly man acts proudly, the poor man is set on fire; they are caught in schemes which they devise.</w:t>
      </w:r>
      <w:r>
        <w:rPr>
          <w:rStyle w:val="FootnoteReference"/>
        </w:rPr>
        <w:footnoteReference w:id="10542"/>
      </w:r>
    </w:p>
    <w:p>
      <w:r>
        <w:rPr>
          <w:b/>
        </w:rPr>
        <w:t xml:space="preserve">24 </w:t>
      </w:r>
      <w:r>
        <w:t xml:space="preserve">Because the sinner is praised in the desires of his soul, and the unjust man is blessed.</w:t>
      </w:r>
      <w:r>
        <w:rPr>
          <w:rStyle w:val="FootnoteReference"/>
        </w:rPr>
        <w:footnoteReference w:id="10543"/>
      </w:r>
    </w:p>
    <w:p>
      <w:r>
        <w:rPr>
          <w:b/>
        </w:rPr>
        <w:t xml:space="preserve">25 </w:t>
      </w:r>
      <w:r>
        <w:t xml:space="preserve">The sinner provoked the Lord; according to the multitude of his anger he will not seek him. God is not before him.</w:t>
      </w:r>
    </w:p>
    <w:p>
      <w:r>
        <w:rPr>
          <w:b/>
        </w:rPr>
        <w:t xml:space="preserve">26 </w:t>
      </w:r>
      <w:r>
        <w:t xml:space="preserve">His ways are profaned in every season; your judgments are taken away from before him. He will dominate all his enemies.</w:t>
      </w:r>
    </w:p>
    <w:p>
      <w:r>
        <w:rPr>
          <w:b/>
        </w:rPr>
        <w:t xml:space="preserve">27 </w:t>
      </w:r>
      <w:r>
        <w:t xml:space="preserve">For he said in his heart, I will not be shaken from generation to generation, without evil.</w:t>
      </w:r>
    </w:p>
    <w:p>
      <w:r>
        <w:rPr>
          <w:b/>
        </w:rPr>
        <w:t xml:space="preserve">28 </w:t>
      </w:r>
      <w:r>
        <w:t xml:space="preserve">His mouth is full of curse and bitterness and deceit; under his tongue are toil and pain.</w:t>
      </w:r>
    </w:p>
    <w:p>
      <w:r>
        <w:rPr>
          <w:b/>
        </w:rPr>
        <w:t xml:space="preserve">29 </w:t>
      </w:r>
      <w:r>
        <w:t xml:space="preserve">He sits in ambush with rich men in hidden places to kill an innocent man; his eyes look toward the poor man.</w:t>
      </w:r>
      <w:r>
        <w:rPr>
          <w:rStyle w:val="FootnoteReference"/>
        </w:rPr>
        <w:footnoteReference w:id="10544"/>
      </w:r>
    </w:p>
    <w:p>
      <w:r>
        <w:rPr>
          <w:b/>
        </w:rPr>
        <w:t xml:space="preserve">30 </w:t>
      </w:r>
      <w:r>
        <w:t xml:space="preserve">He lies in ambush in a hidden place like a lion in its den, lying in ambush to seize a poor man, to seize a poor man by dragging him away.</w:t>
      </w:r>
      <w:r>
        <w:rPr>
          <w:rStyle w:val="FootnoteReference"/>
        </w:rPr>
        <w:footnoteReference w:id="10545"/>
      </w:r>
    </w:p>
    <w:p>
      <w:r>
        <w:rPr>
          <w:b/>
        </w:rPr>
        <w:t xml:space="preserve">31 </w:t>
      </w:r>
      <w:r>
        <w:t xml:space="preserve">In his snare he will humble him; he will crouch and fall when he dominates poor men.</w:t>
      </w:r>
    </w:p>
    <w:p>
      <w:r>
        <w:rPr>
          <w:b/>
        </w:rPr>
        <w:t xml:space="preserve">32 </w:t>
      </w:r>
      <w:r>
        <w:t xml:space="preserve">For he said in his heart, God has forgotten; he turned away his face so as never to see.</w:t>
      </w:r>
    </w:p>
    <w:p>
      <w:r>
        <w:rPr>
          <w:b/>
        </w:rPr>
        <w:t xml:space="preserve">33 </w:t>
      </w:r>
      <w:r>
        <w:t xml:space="preserve">Rise up, Lord God; let your hand be lifted high. Do not forget poor men.</w:t>
      </w:r>
    </w:p>
    <w:p>
      <w:r>
        <w:rPr>
          <w:b/>
        </w:rPr>
        <w:t xml:space="preserve">34 </w:t>
      </w:r>
      <w:r>
        <w:t xml:space="preserve">For what reason did the ungodly man</w:t>
      </w:r>
      <w:r>
        <w:rPr>
          <w:rStyle w:val="FootnoteReference"/>
        </w:rPr>
        <w:footnoteReference w:id="10546"/>
      </w:r>
      <w:r>
        <w:t xml:space="preserve"> provoke God? For he said in his heart, He will not seek out.</w:t>
      </w:r>
    </w:p>
    <w:p>
      <w:r>
        <w:rPr>
          <w:b/>
        </w:rPr>
        <w:t xml:space="preserve">35 </w:t>
      </w:r>
      <w:r>
        <w:t xml:space="preserve">You see, because you observe toil and wrath, to hand them over into your hands. To you the poor man is left; you were a helper to an orphan.</w:t>
      </w:r>
      <w:r>
        <w:rPr>
          <w:rStyle w:val="FootnoteReference"/>
        </w:rPr>
        <w:footnoteReference w:id="10547"/>
      </w:r>
    </w:p>
    <w:p>
      <w:r>
        <w:rPr>
          <w:b/>
        </w:rPr>
        <w:t xml:space="preserve">36 </w:t>
      </w:r>
      <w:r>
        <w:t xml:space="preserve">Break the arm of the sinner and evil man</w:t>
      </w:r>
      <w:r>
        <w:rPr>
          <w:rStyle w:val="FootnoteReference"/>
        </w:rPr>
        <w:footnoteReference w:id="10548"/>
      </w:r>
      <w:r>
        <w:t xml:space="preserve">; his sin will be sought and by no means found because of it.</w:t>
      </w:r>
    </w:p>
    <w:p>
      <w:r>
        <w:rPr>
          <w:b/>
        </w:rPr>
        <w:t xml:space="preserve">37 </w:t>
      </w:r>
      <w:r>
        <w:t xml:space="preserve">The Lord will reign into age and into age of age; nations, you will perish from his land.</w:t>
      </w:r>
      <w:r>
        <w:rPr>
          <w:rStyle w:val="FootnoteReference"/>
        </w:rPr>
        <w:footnoteReference w:id="10549"/>
      </w:r>
    </w:p>
    <w:p>
      <w:r>
        <w:rPr>
          <w:b/>
        </w:rPr>
        <w:t xml:space="preserve">38 </w:t>
      </w:r>
      <w:r>
        <w:t xml:space="preserve">The Lord heard the desire of poor men</w:t>
      </w:r>
      <w:r>
        <w:rPr>
          <w:rStyle w:val="FootnoteReference"/>
        </w:rPr>
        <w:footnoteReference w:id="10550"/>
      </w:r>
      <w:r>
        <w:t xml:space="preserve">; your ear attended to the preparation of their heart,</w:t>
      </w:r>
    </w:p>
    <w:p>
      <w:r>
        <w:rPr>
          <w:b/>
        </w:rPr>
        <w:t xml:space="preserve">39 </w:t>
      </w:r>
      <w:r>
        <w:t xml:space="preserve">to judge an orphan and a lowly man</w:t>
      </w:r>
      <w:r>
        <w:rPr>
          <w:rStyle w:val="FootnoteReference"/>
        </w:rPr>
        <w:footnoteReference w:id="10551"/>
      </w:r>
      <w:r>
        <w:t xml:space="preserve">, so that man upon earth may no longer add to acting great.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rPr>
          <w:i/>
        </w:rPr>
        <w:t xml:space="preserve">For end. Psalm of David.</w:t>
      </w:r>
      <w:r>
        <w:br/>
      </w:r>
      <w:r>
        <w:t xml:space="preserve">In the Lord I trusted. How will you say to my soul, Migrate to mountains like a sparrow?</w:t>
      </w:r>
    </w:p>
    <w:p>
      <w:r>
        <w:rPr>
          <w:b/>
        </w:rPr>
        <w:t xml:space="preserve">2 </w:t>
      </w:r>
      <w:r>
        <w:t xml:space="preserve">Because behold, sinners stretched bow, prepared arrows in quiver, to shoot in darkness at upright ones in heart.</w:t>
      </w:r>
    </w:p>
    <w:p>
      <w:r>
        <w:rPr>
          <w:b/>
        </w:rPr>
        <w:t xml:space="preserve">3 </w:t>
      </w:r>
      <w:r>
        <w:t xml:space="preserve">Because what you fitted together they tore down; but the righteous man, what did he do?</w:t>
      </w:r>
      <w:r>
        <w:rPr>
          <w:rStyle w:val="FootnoteReference"/>
        </w:rPr>
        <w:footnoteReference w:id="10552"/>
      </w:r>
      <w:r>
        <w:t xml:space="preserve"/>
      </w:r>
    </w:p>
    <w:p>
      <w:r>
        <w:rPr>
          <w:b/>
        </w:rPr>
        <w:t xml:space="preserve">4 </w:t>
      </w:r>
      <w:r>
        <w:t xml:space="preserve">The Lord is in his holy temple; the Lord's throne is in heaven. His eyes look toward the poor man</w:t>
      </w:r>
      <w:r>
        <w:rPr>
          <w:rStyle w:val="FootnoteReference"/>
        </w:rPr>
        <w:footnoteReference w:id="10553"/>
      </w:r>
      <w:r>
        <w:t xml:space="preserve">; his eyelids examine sons of men.</w:t>
      </w:r>
    </w:p>
    <w:p>
      <w:r>
        <w:rPr>
          <w:b/>
        </w:rPr>
        <w:t xml:space="preserve">5 </w:t>
      </w:r>
      <w:r>
        <w:t xml:space="preserve">The Lord examines the righteous man and the ungodly man</w:t>
      </w:r>
      <w:r>
        <w:rPr>
          <w:rStyle w:val="FootnoteReference"/>
        </w:rPr>
        <w:footnoteReference w:id="10554"/>
      </w:r>
      <w:r>
        <w:t xml:space="preserve">, but one loving injustice hates his own soul.</w:t>
      </w:r>
    </w:p>
    <w:p>
      <w:r>
        <w:rPr>
          <w:b/>
        </w:rPr>
        <w:t xml:space="preserve">6 </w:t>
      </w:r>
      <w:r>
        <w:t xml:space="preserve">He will rain snares upon sinners, fire and sulfur and blast of storm, the portion of their cup.</w:t>
      </w:r>
      <w:r>
        <w:rPr>
          <w:rStyle w:val="FootnoteReference"/>
        </w:rPr>
        <w:footnoteReference w:id="10555"/>
      </w:r>
      <w:r>
        <w:t xml:space="preserve"/>
      </w:r>
    </w:p>
    <w:p>
      <w:r>
        <w:rPr>
          <w:b/>
        </w:rPr>
        <w:t xml:space="preserve">7 </w:t>
      </w:r>
      <w:r>
        <w:t xml:space="preserve">Because the Lord is righteous and loved righteousnesses; his face saw uprightness.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rPr>
          <w:i/>
        </w:rPr>
        <w:t xml:space="preserve">For end.</w:t>
      </w:r>
      <w:r>
        <w:br/>
      </w:r>
      <w:r>
        <w:t xml:space="preserve">Concerning eighth. Psalm of David.</w:t>
      </w:r>
    </w:p>
    <w:p>
      <w:r>
        <w:rPr>
          <w:b/>
        </w:rPr>
        <w:t xml:space="preserve">2 </w:t>
      </w:r>
      <w:r>
        <w:t xml:space="preserve">Save me, Lord, because holy man failed, because truths were diminished from the sons of men.</w:t>
      </w:r>
    </w:p>
    <w:p>
      <w:r>
        <w:rPr>
          <w:b/>
        </w:rPr>
        <w:t xml:space="preserve">3 </w:t>
      </w:r>
      <w:r>
        <w:t xml:space="preserve">Each spoke vain things to his neighbor; with deceitful lips, with heart and heart they spoke.</w:t>
      </w:r>
    </w:p>
    <w:p>
      <w:r>
        <w:rPr>
          <w:b/>
        </w:rPr>
        <w:t xml:space="preserve">4 </w:t>
      </w:r>
      <w:r>
        <w:t xml:space="preserve">May the Lord</w:t>
      </w:r>
      <w:r>
        <w:rPr>
          <w:rStyle w:val="FootnoteReference"/>
        </w:rPr>
        <w:footnoteReference w:id="10556"/>
      </w:r>
      <w:r>
        <w:t xml:space="preserve"> utterly destroy all deceitful lips and tongue speaking great things,</w:t>
      </w:r>
    </w:p>
    <w:p>
      <w:r>
        <w:rPr>
          <w:b/>
        </w:rPr>
        <w:t xml:space="preserve">5 </w:t>
      </w:r>
      <w:r>
        <w:t xml:space="preserve">those saying, We will magnify our tongue; our lips are with us; who is lord over us?</w:t>
      </w:r>
    </w:p>
    <w:p>
      <w:r>
        <w:rPr>
          <w:b/>
        </w:rPr>
        <w:t xml:space="preserve">6 </w:t>
      </w:r>
      <w:r>
        <w:t xml:space="preserve">Because of misery of poor men and groaning of needy men, now I will rise up, says the Lord; I will set him in salvation; I will speak boldly in him.</w:t>
      </w:r>
    </w:p>
    <w:p>
      <w:r>
        <w:rPr>
          <w:b/>
        </w:rPr>
        <w:t xml:space="preserve">7 </w:t>
      </w:r>
      <w:r>
        <w:t xml:space="preserve">The words of the Lord are pure words, silver refined by fire, tested in earth, purified sevenfold.</w:t>
      </w:r>
    </w:p>
    <w:p>
      <w:r>
        <w:rPr>
          <w:b/>
        </w:rPr>
        <w:t xml:space="preserve">8 </w:t>
      </w:r>
      <w:r>
        <w:t xml:space="preserve">You, Lord, will guard us and preserve us from this generation and into age.</w:t>
      </w:r>
    </w:p>
    <w:p>
      <w:r>
        <w:rPr>
          <w:b/>
        </w:rPr>
        <w:t xml:space="preserve">9 </w:t>
      </w:r>
      <w:r>
        <w:t xml:space="preserve">Ungodly men walk around in circle; according to your height you made sons of men much observed.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rPr>
          <w:i/>
        </w:rPr>
        <w:t xml:space="preserve">For end. Psalm of David.</w:t>
      </w:r>
      <w:r>
        <w:t xml:space="preserve"/>
      </w:r>
    </w:p>
    <w:p>
      <w:r>
        <w:rPr>
          <w:b/>
        </w:rPr>
        <w:t xml:space="preserve">2 </w:t>
      </w:r>
      <w:r>
        <w:t xml:space="preserve">Until when, Lord, will you forget me to end? Until when will you turn your face from me?</w:t>
      </w:r>
    </w:p>
    <w:p>
      <w:r>
        <w:rPr>
          <w:b/>
        </w:rPr>
        <w:t xml:space="preserve">3 </w:t>
      </w:r>
      <w:r>
        <w:t xml:space="preserve">Until when will I place counsels in my soul, pains in my heart by day? Until when will my enemy be lifted up over me?</w:t>
      </w:r>
    </w:p>
    <w:p>
      <w:r>
        <w:rPr>
          <w:b/>
        </w:rPr>
        <w:t xml:space="preserve">4 </w:t>
      </w:r>
      <w:r>
        <w:t xml:space="preserve">Look, hear me, Lord my God. Enlighten my eyes, lest I sleep into death,</w:t>
      </w:r>
    </w:p>
    <w:p>
      <w:r>
        <w:rPr>
          <w:b/>
        </w:rPr>
        <w:t xml:space="preserve">5 </w:t>
      </w:r>
      <w:r>
        <w:t xml:space="preserve">lest my enemy say, I prevailed against him. Those afflicting me will rejoice if I am shaken.</w:t>
      </w:r>
    </w:p>
    <w:p>
      <w:r>
        <w:rPr>
          <w:b/>
        </w:rPr>
        <w:t xml:space="preserve">6 </w:t>
      </w:r>
      <w:r>
        <w:t xml:space="preserve">But I hoped in your mercy; my heart will rejoice in your salvation. I will sing to the Lord who did good to me, and sing praise to the name of the Lord Most High.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rPr>
          <w:i/>
        </w:rPr>
        <w:t xml:space="preserve">For end. Psalm of David.</w:t>
      </w:r>
      <w:r>
        <w:br/>
      </w:r>
      <w:r>
        <w:t xml:space="preserve">The fool said in his heart, There is no God. They were corrupted and became abominable in pursuits; there is none doing kindness, there is not even one.</w:t>
      </w:r>
    </w:p>
    <w:p>
      <w:r>
        <w:rPr>
          <w:b/>
        </w:rPr>
        <w:t xml:space="preserve">2 </w:t>
      </w:r>
      <w:r>
        <w:t xml:space="preserve">The Lord looked down from heaven upon the sons of men to see if there is one understanding or seeking God.</w:t>
      </w:r>
    </w:p>
    <w:p>
      <w:r>
        <w:rPr>
          <w:b/>
        </w:rPr>
        <w:t xml:space="preserve">3 </w:t>
      </w:r>
      <w:r>
        <w:t xml:space="preserve">All turned aside; together they became useless. There is none doing kindness, there is not even one. Their throat open grave; with their tongues they dealt deceitfully; venom of asps under their lips; whose mouth is full of curse and bitterness; their feet sharp to pour out blood.</w:t>
      </w:r>
    </w:p>
    <w:p>
      <w:r>
        <w:rPr>
          <w:b/>
        </w:rPr>
        <w:t xml:space="preserve">4 </w:t>
      </w:r>
      <w:r>
        <w:t xml:space="preserve">Will not all workers of lawlessness know, those eating my people as food of bread? They did not call upon the Lord.</w:t>
      </w:r>
    </w:p>
    <w:p>
      <w:r>
        <w:rPr>
          <w:b/>
        </w:rPr>
        <w:t xml:space="preserve">5 </w:t>
      </w:r>
      <w:r>
        <w:t xml:space="preserve">There they feared with fear where there was no fear, because God is in righteous generation.</w:t>
      </w:r>
    </w:p>
    <w:p>
      <w:r>
        <w:rPr>
          <w:b/>
        </w:rPr>
        <w:t xml:space="preserve">6 </w:t>
      </w:r>
      <w:r>
        <w:t xml:space="preserve">You shamed counsel of a poor man, because the Lord is his hope.</w:t>
      </w:r>
    </w:p>
    <w:p>
      <w:r>
        <w:rPr>
          <w:b/>
        </w:rPr>
        <w:t xml:space="preserve">7 </w:t>
      </w:r>
      <w:r>
        <w:t xml:space="preserve">Who will give from Zion salvation of Israel? When the Lord turns back captivity of his people, let Jacob rejoice and Israel be glad.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rPr>
          <w:i/>
        </w:rPr>
        <w:t xml:space="preserve">Psalm of David.</w:t>
      </w:r>
      <w:r>
        <w:br/>
      </w:r>
      <w:r>
        <w:t xml:space="preserve">Lord, who will sojourn in your tent, and who will camp on your holy mountain?</w:t>
      </w:r>
    </w:p>
    <w:p>
      <w:r>
        <w:rPr>
          <w:b/>
        </w:rPr>
        <w:t xml:space="preserve">2 </w:t>
      </w:r>
      <w:r>
        <w:t xml:space="preserve">One walking blamelessly and working righteousness, speaking truth in his heart,</w:t>
      </w:r>
    </w:p>
    <w:p>
      <w:r>
        <w:rPr>
          <w:b/>
        </w:rPr>
        <w:t xml:space="preserve">3 </w:t>
      </w:r>
      <w:r>
        <w:t xml:space="preserve">who did not deal deceitfully with his tongue, nor do evil to his neighbor, and did not take reproach against those near him.</w:t>
      </w:r>
    </w:p>
    <w:p>
      <w:r>
        <w:rPr>
          <w:b/>
        </w:rPr>
        <w:t xml:space="preserve">4 </w:t>
      </w:r>
      <w:r>
        <w:t xml:space="preserve">Evildoer is despised before him, but those fearing the Lord he glorifies; one swearing to his neighbor and not setting it aside,</w:t>
      </w:r>
    </w:p>
    <w:p>
      <w:r>
        <w:rPr>
          <w:b/>
        </w:rPr>
        <w:t xml:space="preserve">5 </w:t>
      </w:r>
      <w:r>
        <w:t xml:space="preserve">his silver he did not give at interest, and did not take gifts against innocent men. One doing these things will not be shaken into age.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Inscription of David. Guard me, Lord</w:t>
      </w:r>
      <w:r>
        <w:rPr>
          <w:rStyle w:val="FootnoteReference"/>
        </w:rPr>
        <w:footnoteReference w:id="10557"/>
      </w:r>
      <w:r>
        <w:t xml:space="preserve">, because upon you I hoped.</w:t>
      </w:r>
    </w:p>
    <w:p>
      <w:r>
        <w:rPr>
          <w:b/>
        </w:rPr>
        <w:t xml:space="preserve">2 </w:t>
      </w:r>
      <w:r>
        <w:t xml:space="preserve">I said to the Lord, You are my Lord, because you have no need of my good things.</w:t>
      </w:r>
    </w:p>
    <w:p>
      <w:r>
        <w:rPr>
          <w:b/>
        </w:rPr>
        <w:t xml:space="preserve">3 </w:t>
      </w:r>
      <w:r>
        <w:t xml:space="preserve">To holy ones in his land he made all his wills wondrous in them.</w:t>
      </w:r>
    </w:p>
    <w:p>
      <w:r>
        <w:rPr>
          <w:b/>
        </w:rPr>
        <w:t xml:space="preserve">4 </w:t>
      </w:r>
      <w:r>
        <w:t xml:space="preserve">Their weaknesses were multiplied; after these things they hastened. I will by no means gather their gatherings from bloods, nor by any means remember their names with my lips.</w:t>
      </w:r>
    </w:p>
    <w:p>
      <w:r>
        <w:rPr>
          <w:b/>
        </w:rPr>
        <w:t xml:space="preserve">5 </w:t>
      </w:r>
      <w:r>
        <w:t xml:space="preserve">Lord, portion of my inheritance and of my cup, you are one restoring my inheritance to me.</w:t>
      </w:r>
    </w:p>
    <w:p>
      <w:r>
        <w:rPr>
          <w:b/>
        </w:rPr>
        <w:t xml:space="preserve">6 </w:t>
      </w:r>
      <w:r>
        <w:t xml:space="preserve">Measuring lines fell to me among best things, and indeed my inheritance is best to me.</w:t>
      </w:r>
    </w:p>
    <w:p>
      <w:r>
        <w:rPr>
          <w:b/>
        </w:rPr>
        <w:t xml:space="preserve">7 </w:t>
      </w:r>
      <w:r>
        <w:t xml:space="preserve">I will bless the Lord who gave me understanding; and still, until night, my kidneys disciplined me.</w:t>
      </w:r>
    </w:p>
    <w:p>
      <w:r>
        <w:rPr>
          <w:b/>
        </w:rPr>
        <w:t xml:space="preserve">8 </w:t>
      </w:r>
      <w:r>
        <w:t xml:space="preserve">I foresaw the Lord before me through all things, because he is at my right hand so that I may not be shaken.</w:t>
      </w:r>
    </w:p>
    <w:p>
      <w:r>
        <w:rPr>
          <w:b/>
        </w:rPr>
        <w:t xml:space="preserve">9 </w:t>
      </w:r>
      <w:r>
        <w:t xml:space="preserve">Because of this my heart was gladdened and my tongue rejoiced; and still my flesh will camp in hope,</w:t>
      </w:r>
    </w:p>
    <w:p>
      <w:r>
        <w:rPr>
          <w:b/>
        </w:rPr>
        <w:t xml:space="preserve">10 </w:t>
      </w:r>
      <w:r>
        <w:t xml:space="preserve">because you will not forsake my soul to Hades, nor will you give your holy one to see corruption.</w:t>
      </w:r>
    </w:p>
    <w:p>
      <w:r>
        <w:rPr>
          <w:b/>
        </w:rPr>
        <w:t xml:space="preserve">11 </w:t>
      </w:r>
      <w:r>
        <w:t xml:space="preserve">You made known to me ways of life; you will fill me with gladness with your face; delights at your right hand to end.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rPr>
          <w:i/>
        </w:rPr>
        <w:t xml:space="preserve">Prayer of David.</w:t>
      </w:r>
      <w:r>
        <w:br/>
      </w:r>
      <w:r>
        <w:t xml:space="preserve">Hear, Lord, my righteousness; attend to my petition; give ear to my prayer, not with deceitful lips.</w:t>
      </w:r>
    </w:p>
    <w:p>
      <w:r>
        <w:rPr>
          <w:b/>
        </w:rPr>
        <w:t xml:space="preserve">2 </w:t>
      </w:r>
      <w:r>
        <w:t xml:space="preserve">Let my judgment come out from your face; let my eyes see straight things.</w:t>
      </w:r>
    </w:p>
    <w:p>
      <w:r>
        <w:rPr>
          <w:b/>
        </w:rPr>
        <w:t xml:space="preserve">3 </w:t>
      </w:r>
      <w:r>
        <w:t xml:space="preserve">You tested my heart, visited by night, refined me, and injustice was not found in me.</w:t>
      </w:r>
    </w:p>
    <w:p>
      <w:r>
        <w:rPr>
          <w:b/>
        </w:rPr>
        <w:t xml:space="preserve">4 </w:t>
      </w:r>
      <w:r>
        <w:t xml:space="preserve">So that my mouth might not speak works of men, because of words of your lips I kept hard ways.</w:t>
      </w:r>
    </w:p>
    <w:p>
      <w:r>
        <w:rPr>
          <w:b/>
        </w:rPr>
        <w:t xml:space="preserve">5 </w:t>
      </w:r>
      <w:r>
        <w:t xml:space="preserve">Set right my steps in your tracks, so that my steps may not be shaken.</w:t>
      </w:r>
    </w:p>
    <w:p>
      <w:r>
        <w:rPr>
          <w:b/>
        </w:rPr>
        <w:t xml:space="preserve">6 </w:t>
      </w:r>
      <w:r>
        <w:t xml:space="preserve">I cried out because you heard me, God. Incline your ear to me and hear my words.</w:t>
      </w:r>
    </w:p>
    <w:p>
      <w:r>
        <w:rPr>
          <w:b/>
        </w:rPr>
        <w:t xml:space="preserve">7 </w:t>
      </w:r>
      <w:r>
        <w:t xml:space="preserve">Make your mercies wondrous, you saving those hoping upon you from those standing against your right hand.</w:t>
      </w:r>
    </w:p>
    <w:p>
      <w:r>
        <w:rPr>
          <w:b/>
        </w:rPr>
        <w:t xml:space="preserve">8 </w:t>
      </w:r>
      <w:r>
        <w:t xml:space="preserve">Guard me as apple of eye; in the shelter of your wings you will cover me</w:t>
      </w:r>
    </w:p>
    <w:p>
      <w:r>
        <w:rPr>
          <w:b/>
        </w:rPr>
        <w:t xml:space="preserve">9 </w:t>
      </w:r>
      <w:r>
        <w:t xml:space="preserve">from the face of ungodly men who distressed me. My enemies enclosed my soul.</w:t>
      </w:r>
    </w:p>
    <w:p>
      <w:r>
        <w:rPr>
          <w:b/>
        </w:rPr>
        <w:t xml:space="preserve">10 </w:t>
      </w:r>
      <w:r>
        <w:t xml:space="preserve">Their fat they shut up; their mouth spoke arrogance.</w:t>
      </w:r>
    </w:p>
    <w:p>
      <w:r>
        <w:rPr>
          <w:b/>
        </w:rPr>
        <w:t xml:space="preserve">11 </w:t>
      </w:r>
      <w:r>
        <w:t xml:space="preserve">Casting me out, now they encircled me; their eyes they set to turn aside into earth.</w:t>
      </w:r>
    </w:p>
    <w:p>
      <w:r>
        <w:rPr>
          <w:b/>
        </w:rPr>
        <w:t xml:space="preserve">12 </w:t>
      </w:r>
      <w:r>
        <w:t xml:space="preserve">They took me up like a lion ready for the hunt and like a lion-cub dwelling in hidden places.</w:t>
      </w:r>
    </w:p>
    <w:p>
      <w:r>
        <w:rPr>
          <w:b/>
        </w:rPr>
        <w:t xml:space="preserve">13 </w:t>
      </w:r>
      <w:r>
        <w:t xml:space="preserve">Rise up, Lord; get before them and trip them up. Rescue my soul from ungodly men, your sword, from enemies of your hand,</w:t>
      </w:r>
    </w:p>
    <w:p>
      <w:r>
        <w:rPr>
          <w:b/>
        </w:rPr>
        <w:t xml:space="preserve">14 </w:t>
      </w:r>
      <w:r>
        <w:t xml:space="preserve">Lord, from few men of earth divide them in their life; and with your hidden things their belly was filled. They were satisfied with sons and left remainders to their little ones.</w:t>
      </w:r>
    </w:p>
    <w:p>
      <w:r>
        <w:rPr>
          <w:b/>
        </w:rPr>
        <w:t xml:space="preserve">15 </w:t>
      </w:r>
      <w:r>
        <w:t xml:space="preserve">But I in righteousness will appear before your face; I will be satisfied when your glory appears.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rPr>
          <w:i/>
        </w:rPr>
        <w:t xml:space="preserve">For end.</w:t>
      </w:r>
      <w:r>
        <w:br/>
      </w:r>
      <w:r>
        <w:t xml:space="preserve">To the servant of the Lord, David, what he spoke to the Lord, words of this song, on the day when the Lord rescued him from the hand of all his enemies and from the hand of Saul.</w:t>
      </w:r>
    </w:p>
    <w:p>
      <w:r>
        <w:rPr>
          <w:b/>
        </w:rPr>
        <w:t xml:space="preserve">2 </w:t>
      </w:r>
      <w:r>
        <w:t xml:space="preserve">And he said, I will love you, Lord, my strength.</w:t>
      </w:r>
    </w:p>
    <w:p>
      <w:r>
        <w:rPr>
          <w:b/>
        </w:rPr>
        <w:t xml:space="preserve">3 </w:t>
      </w:r>
      <w:r>
        <w:t xml:space="preserve">Lord my firm place and my refuge and my rescuer, my God my helper, and I will hope upon him, my defender and horn of my salvation, my supporter.</w:t>
      </w:r>
    </w:p>
    <w:p>
      <w:r>
        <w:rPr>
          <w:b/>
        </w:rPr>
        <w:t xml:space="preserve">4 </w:t>
      </w:r>
      <w:r>
        <w:t xml:space="preserve">Praising, I will call upon the Lord, and from my enemies I will be saved.</w:t>
      </w:r>
    </w:p>
    <w:p>
      <w:r>
        <w:rPr>
          <w:b/>
        </w:rPr>
        <w:t xml:space="preserve">5 </w:t>
      </w:r>
      <w:r>
        <w:t xml:space="preserve">The pangs of death enclosed me, and torrents of lawlessness troubled me.</w:t>
      </w:r>
    </w:p>
    <w:p>
      <w:r>
        <w:rPr>
          <w:b/>
        </w:rPr>
        <w:t xml:space="preserve">6 </w:t>
      </w:r>
      <w:r>
        <w:t xml:space="preserve">The pangs of Hades surrounded me; snares of death came before me.</w:t>
      </w:r>
    </w:p>
    <w:p>
      <w:r>
        <w:rPr>
          <w:b/>
        </w:rPr>
        <w:t xml:space="preserve">7 </w:t>
      </w:r>
      <w:r>
        <w:t xml:space="preserve">And in my affliction I called upon the Lord, and to my God I cried out. He heard my voice from his holy temple, and my cry before him will enter into his ears.</w:t>
      </w:r>
    </w:p>
    <w:p>
      <w:r>
        <w:rPr>
          <w:b/>
        </w:rPr>
        <w:t xml:space="preserve">8 </w:t>
      </w:r>
      <w:r>
        <w:t xml:space="preserve">And earth was shaken and became trembling; foundations of mountains were troubled and shaken, because God was angered with them.</w:t>
      </w:r>
    </w:p>
    <w:p>
      <w:r>
        <w:rPr>
          <w:b/>
        </w:rPr>
        <w:t xml:space="preserve">9 </w:t>
      </w:r>
      <w:r>
        <w:t xml:space="preserve">Smoke went up in his anger, and fire from his face flamed up; coals were kindled from him.</w:t>
      </w:r>
    </w:p>
    <w:p>
      <w:r>
        <w:rPr>
          <w:b/>
        </w:rPr>
        <w:t xml:space="preserve">10 </w:t>
      </w:r>
      <w:r>
        <w:t xml:space="preserve">And he bent heaven and came down, and gloom under his feet.</w:t>
      </w:r>
    </w:p>
    <w:p>
      <w:r>
        <w:rPr>
          <w:b/>
        </w:rPr>
        <w:t xml:space="preserve">11 </w:t>
      </w:r>
      <w:r>
        <w:t xml:space="preserve">And he mounted cheroub and flew; he flew upon the wings of winds.</w:t>
      </w:r>
    </w:p>
    <w:p>
      <w:r>
        <w:rPr>
          <w:b/>
        </w:rPr>
        <w:t xml:space="preserve">12 </w:t>
      </w:r>
      <w:r>
        <w:t xml:space="preserve">And he made darkness his hiding place; around him his tent, dark water in the clouds of air.</w:t>
      </w:r>
    </w:p>
    <w:p>
      <w:r>
        <w:rPr>
          <w:b/>
        </w:rPr>
        <w:t xml:space="preserve">13 </w:t>
      </w:r>
      <w:r>
        <w:t xml:space="preserve">From brightness before him clouds passed through, hail and coals of fire.</w:t>
      </w:r>
    </w:p>
    <w:p>
      <w:r>
        <w:rPr>
          <w:b/>
        </w:rPr>
        <w:t xml:space="preserve">14 </w:t>
      </w:r>
      <w:r>
        <w:t xml:space="preserve">And the Lord thundered from heaven, and Most High gave his voice.</w:t>
      </w:r>
    </w:p>
    <w:p>
      <w:r>
        <w:rPr>
          <w:b/>
        </w:rPr>
        <w:t xml:space="preserve">15 </w:t>
      </w:r>
      <w:r>
        <w:t xml:space="preserve">And he sent out arrows and scattered them; he multiplied lightnings and threw them into confusion.</w:t>
      </w:r>
    </w:p>
    <w:p>
      <w:r>
        <w:rPr>
          <w:b/>
        </w:rPr>
        <w:t xml:space="preserve">16 </w:t>
      </w:r>
      <w:r>
        <w:t xml:space="preserve">And the fountains of waters were seen, and the foundations of the inhabited world were uncovered from your rebuke, Lord, from the breath of the spirit of your wrath.</w:t>
      </w:r>
    </w:p>
    <w:p>
      <w:r>
        <w:rPr>
          <w:b/>
        </w:rPr>
        <w:t xml:space="preserve">17 </w:t>
      </w:r>
      <w:r>
        <w:t xml:space="preserve">He sent from on high and took me; he received me out of many waters.</w:t>
      </w:r>
    </w:p>
    <w:p>
      <w:r>
        <w:rPr>
          <w:b/>
        </w:rPr>
        <w:t xml:space="preserve">18 </w:t>
      </w:r>
      <w:r>
        <w:t xml:space="preserve">He will rescue me from my strong enemies and from those hating me, because they were stronger than I.</w:t>
      </w:r>
    </w:p>
    <w:p>
      <w:r>
        <w:rPr>
          <w:b/>
        </w:rPr>
        <w:t xml:space="preserve">19 </w:t>
      </w:r>
      <w:r>
        <w:t xml:space="preserve">They came before me in the day of my affliction, and the Lord became my support.</w:t>
      </w:r>
    </w:p>
    <w:p>
      <w:r>
        <w:rPr>
          <w:b/>
        </w:rPr>
        <w:t xml:space="preserve">20 </w:t>
      </w:r>
      <w:r>
        <w:t xml:space="preserve">And he brought me out into broad place; he will rescue me because he desired me.</w:t>
      </w:r>
    </w:p>
    <w:p>
      <w:r>
        <w:rPr>
          <w:b/>
        </w:rPr>
        <w:t xml:space="preserve">21 </w:t>
      </w:r>
      <w:r>
        <w:t xml:space="preserve">And the Lord will repay me according to my righteousness, and according to the purity of my hands he will repay me,</w:t>
      </w:r>
    </w:p>
    <w:p>
      <w:r>
        <w:rPr>
          <w:b/>
        </w:rPr>
        <w:t xml:space="preserve">22 </w:t>
      </w:r>
      <w:r>
        <w:t xml:space="preserve">because I kept ways of the Lord and did not act ungodly from my God.</w:t>
      </w:r>
    </w:p>
    <w:p>
      <w:r>
        <w:rPr>
          <w:b/>
        </w:rPr>
        <w:t xml:space="preserve">23 </w:t>
      </w:r>
      <w:r>
        <w:t xml:space="preserve">Because all his judgments were before me, and his ordinances I did not turn away from me.</w:t>
      </w:r>
    </w:p>
    <w:p>
      <w:r>
        <w:rPr>
          <w:b/>
        </w:rPr>
        <w:t xml:space="preserve">24 </w:t>
      </w:r>
      <w:r>
        <w:t xml:space="preserve">And I will be blameless with him, and guard myself from my lawlessness.</w:t>
      </w:r>
    </w:p>
    <w:p>
      <w:r>
        <w:rPr>
          <w:b/>
        </w:rPr>
        <w:t xml:space="preserve">25 </w:t>
      </w:r>
      <w:r>
        <w:t xml:space="preserve">And the Lord will repay me according to my righteousness and according to the purity of my hands before his eyes.</w:t>
      </w:r>
    </w:p>
    <w:p>
      <w:r>
        <w:rPr>
          <w:b/>
        </w:rPr>
        <w:t xml:space="preserve">26 </w:t>
      </w:r>
      <w:r>
        <w:t xml:space="preserve">With holy one you will be holy, and with innocent man you will be innocent.</w:t>
      </w:r>
    </w:p>
    <w:p>
      <w:r>
        <w:rPr>
          <w:b/>
        </w:rPr>
        <w:t xml:space="preserve">27 </w:t>
      </w:r>
      <w:r>
        <w:t xml:space="preserve">And with chosen one you will be chosen, and with crooked one you will twist.</w:t>
      </w:r>
    </w:p>
    <w:p>
      <w:r>
        <w:rPr>
          <w:b/>
        </w:rPr>
        <w:t xml:space="preserve">28 </w:t>
      </w:r>
      <w:r>
        <w:t xml:space="preserve">Because you will save humble people and humble eyes of proud men.</w:t>
      </w:r>
    </w:p>
    <w:p>
      <w:r>
        <w:rPr>
          <w:b/>
        </w:rPr>
        <w:t xml:space="preserve">29 </w:t>
      </w:r>
      <w:r>
        <w:t xml:space="preserve">Because you will light my lamp, Lord; my God, you will light my darkness.</w:t>
      </w:r>
    </w:p>
    <w:p>
      <w:r>
        <w:rPr>
          <w:b/>
        </w:rPr>
        <w:t xml:space="preserve">30 </w:t>
      </w:r>
      <w:r>
        <w:t xml:space="preserve">Because in you I will be rescued from trap, and in my God I will leap over wall.</w:t>
      </w:r>
    </w:p>
    <w:p>
      <w:r>
        <w:rPr>
          <w:b/>
        </w:rPr>
        <w:t xml:space="preserve">31 </w:t>
      </w:r>
      <w:r>
        <w:t xml:space="preserve">My God, his way blameless; the words of the Lord refined by fire. He is defender of all hoping upon him.</w:t>
      </w:r>
    </w:p>
    <w:p>
      <w:r>
        <w:rPr>
          <w:b/>
        </w:rPr>
        <w:t xml:space="preserve">32 </w:t>
      </w:r>
      <w:r>
        <w:t xml:space="preserve">Because who is God besides Lord, and who is God besides our God?</w:t>
      </w:r>
    </w:p>
    <w:p>
      <w:r>
        <w:rPr>
          <w:b/>
        </w:rPr>
        <w:t xml:space="preserve">33 </w:t>
      </w:r>
      <w:r>
        <w:t xml:space="preserve">God who girds me with strength and set my way blameless,</w:t>
      </w:r>
    </w:p>
    <w:p>
      <w:r>
        <w:rPr>
          <w:b/>
        </w:rPr>
        <w:t xml:space="preserve">34 </w:t>
      </w:r>
      <w:r>
        <w:t xml:space="preserve">fitting my feet like deer and setting me upon heights,</w:t>
      </w:r>
    </w:p>
    <w:p>
      <w:r>
        <w:rPr>
          <w:b/>
        </w:rPr>
        <w:t xml:space="preserve">35 </w:t>
      </w:r>
      <w:r>
        <w:t xml:space="preserve">teaching my hands for war, and you made my arms bronze bow.</w:t>
      </w:r>
    </w:p>
    <w:p>
      <w:r>
        <w:rPr>
          <w:b/>
        </w:rPr>
        <w:t xml:space="preserve">36 </w:t>
      </w:r>
      <w:r>
        <w:t xml:space="preserve">And you gave me defense of my salvation, and your right hand held me up, and your discipline set me straight to end, and this discipline of yours will teach me.</w:t>
      </w:r>
    </w:p>
    <w:p>
      <w:r>
        <w:rPr>
          <w:b/>
        </w:rPr>
        <w:t xml:space="preserve">37 </w:t>
      </w:r>
      <w:r>
        <w:t xml:space="preserve">You widened my steps under me, and my tracks did not weaken.</w:t>
      </w:r>
    </w:p>
    <w:p>
      <w:r>
        <w:rPr>
          <w:b/>
        </w:rPr>
        <w:t xml:space="preserve">38 </w:t>
      </w:r>
      <w:r>
        <w:t xml:space="preserve">I will pursue my enemies and overtake them, and I will not turn back until they fail.</w:t>
      </w:r>
    </w:p>
    <w:p>
      <w:r>
        <w:rPr>
          <w:b/>
        </w:rPr>
        <w:t xml:space="preserve">39 </w:t>
      </w:r>
      <w:r>
        <w:t xml:space="preserve">I will crush them and they will not be able to stand; they will fall under my feet.</w:t>
      </w:r>
    </w:p>
    <w:p>
      <w:r>
        <w:rPr>
          <w:b/>
        </w:rPr>
        <w:t xml:space="preserve">40 </w:t>
      </w:r>
      <w:r>
        <w:t xml:space="preserve">And you girded me with strength for war; you shackled under me all rising against me.</w:t>
      </w:r>
    </w:p>
    <w:p>
      <w:r>
        <w:rPr>
          <w:b/>
        </w:rPr>
        <w:t xml:space="preserve">41 </w:t>
      </w:r>
      <w:r>
        <w:t xml:space="preserve">And my enemies you gave to me back, and those hating me you destroyed.</w:t>
      </w:r>
    </w:p>
    <w:p>
      <w:r>
        <w:rPr>
          <w:b/>
        </w:rPr>
        <w:t xml:space="preserve">42 </w:t>
      </w:r>
      <w:r>
        <w:t xml:space="preserve">They cried out, and there was none saving, to the Lord, and he did not hear them.</w:t>
      </w:r>
    </w:p>
    <w:p>
      <w:r>
        <w:rPr>
          <w:b/>
        </w:rPr>
        <w:t xml:space="preserve">43 </w:t>
      </w:r>
      <w:r>
        <w:t xml:space="preserve">And I will pulverize them like dust before wind; like mud of streets I will smooth them down.</w:t>
      </w:r>
    </w:p>
    <w:p>
      <w:r>
        <w:rPr>
          <w:b/>
        </w:rPr>
        <w:t xml:space="preserve">44 </w:t>
      </w:r>
      <w:r>
        <w:t xml:space="preserve">Rescue me from contradictions of the people; you will set me as head of nations. People whom I did not know served me.</w:t>
      </w:r>
    </w:p>
    <w:p>
      <w:r>
        <w:rPr>
          <w:b/>
        </w:rPr>
        <w:t xml:space="preserve">45 </w:t>
      </w:r>
      <w:r>
        <w:t xml:space="preserve">At the hearing of ear they obeyed me; foreign sons lied to me.</w:t>
      </w:r>
    </w:p>
    <w:p>
      <w:r>
        <w:rPr>
          <w:b/>
        </w:rPr>
        <w:t xml:space="preserve">46 </w:t>
      </w:r>
      <w:r>
        <w:t xml:space="preserve">Foreign sons grew old and limped from their paths.</w:t>
      </w:r>
    </w:p>
    <w:p>
      <w:r>
        <w:rPr>
          <w:b/>
        </w:rPr>
        <w:t xml:space="preserve">47 </w:t>
      </w:r>
      <w:r>
        <w:t xml:space="preserve">The Lord lives, and blessed is my God, and let God of my salvation be exalted,</w:t>
      </w:r>
    </w:p>
    <w:p>
      <w:r>
        <w:rPr>
          <w:b/>
        </w:rPr>
        <w:t xml:space="preserve">48 </w:t>
      </w:r>
      <w:r>
        <w:t xml:space="preserve">God giving vengeance to me and subjecting peoples under me,</w:t>
      </w:r>
    </w:p>
    <w:p>
      <w:r>
        <w:rPr>
          <w:b/>
        </w:rPr>
        <w:t xml:space="preserve">49 </w:t>
      </w:r>
      <w:r>
        <w:t xml:space="preserve">my rescuer from angry enemies. From those rising against me you will lift me up; from unjust man you will rescue me.</w:t>
      </w:r>
    </w:p>
    <w:p>
      <w:r>
        <w:rPr>
          <w:b/>
        </w:rPr>
        <w:t xml:space="preserve">50 </w:t>
      </w:r>
      <w:r>
        <w:t xml:space="preserve">Because of this I will confess to you among nations, Lord, and to your name I will sing praise,</w:t>
      </w:r>
    </w:p>
    <w:p>
      <w:r>
        <w:rPr>
          <w:b/>
        </w:rPr>
        <w:t xml:space="preserve">51 </w:t>
      </w:r>
      <w:r>
        <w:t xml:space="preserve">magnifying salvations of his king and doing mercy to his Anointed, to David and to his seed into age.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rPr>
          <w:i/>
        </w:rPr>
        <w:t xml:space="preserve">For end. Psalm of David.</w:t>
      </w:r>
      <w:r>
        <w:t xml:space="preserve"/>
      </w:r>
    </w:p>
    <w:p>
      <w:r>
        <w:rPr>
          <w:b/>
        </w:rPr>
        <w:t xml:space="preserve">2 </w:t>
      </w:r>
      <w:r>
        <w:t xml:space="preserve">Heavens recount the glory of God, and firmament announces making of his hands.</w:t>
      </w:r>
    </w:p>
    <w:p>
      <w:r>
        <w:rPr>
          <w:b/>
        </w:rPr>
        <w:t xml:space="preserve">3 </w:t>
      </w:r>
      <w:r>
        <w:t xml:space="preserve">Day to day gushes word, and night to night announces knowledge.</w:t>
      </w:r>
    </w:p>
    <w:p>
      <w:r>
        <w:rPr>
          <w:b/>
        </w:rPr>
        <w:t xml:space="preserve">4 </w:t>
      </w:r>
      <w:r>
        <w:t xml:space="preserve">There are no speeches nor words where their voices are not heard.</w:t>
      </w:r>
    </w:p>
    <w:p>
      <w:r>
        <w:rPr>
          <w:b/>
        </w:rPr>
        <w:t xml:space="preserve">5 </w:t>
      </w:r>
      <w:r>
        <w:t xml:space="preserve">Into all the earth their sound went out, and to the ends of inhabited world their words. In sun he set his tent.</w:t>
      </w:r>
    </w:p>
    <w:p>
      <w:r>
        <w:rPr>
          <w:b/>
        </w:rPr>
        <w:t xml:space="preserve">6 </w:t>
      </w:r>
      <w:r>
        <w:t xml:space="preserve">And he as bridegroom coming out of bridal chamber will rejoice like a giant to run his course.</w:t>
      </w:r>
    </w:p>
    <w:p>
      <w:r>
        <w:rPr>
          <w:b/>
        </w:rPr>
        <w:t xml:space="preserve">7 </w:t>
      </w:r>
      <w:r>
        <w:t xml:space="preserve">From the edge of heaven is his going out, and his return to edge of heaven, and there is none who will hide from his heat.</w:t>
      </w:r>
    </w:p>
    <w:p>
      <w:r>
        <w:rPr>
          <w:b/>
        </w:rPr>
        <w:t xml:space="preserve">8 </w:t>
      </w:r>
      <w:r>
        <w:t xml:space="preserve">The law of the Lord is blameless, turning souls back; the testimony of the Lord is faithful, making little ones wise.</w:t>
      </w:r>
    </w:p>
    <w:p>
      <w:r>
        <w:rPr>
          <w:b/>
        </w:rPr>
        <w:t xml:space="preserve">9 </w:t>
      </w:r>
      <w:r>
        <w:t xml:space="preserve">The ordinances of the Lord are straight, gladdening heart; the command of the Lord is radiant, enlightening eyes.</w:t>
      </w:r>
    </w:p>
    <w:p>
      <w:r>
        <w:rPr>
          <w:b/>
        </w:rPr>
        <w:t xml:space="preserve">10 </w:t>
      </w:r>
      <w:r>
        <w:t xml:space="preserve">The fear of the Lord is pure, remaining into age of age; judgments of the Lord are true, justified together.</w:t>
      </w:r>
    </w:p>
    <w:p>
      <w:r>
        <w:rPr>
          <w:b/>
        </w:rPr>
        <w:t xml:space="preserve">11 </w:t>
      </w:r>
      <w:r>
        <w:t xml:space="preserve">More to be desired than gold and much precious stone, and sweeter than honey and honeycomb.</w:t>
      </w:r>
    </w:p>
    <w:p>
      <w:r>
        <w:rPr>
          <w:b/>
        </w:rPr>
        <w:t xml:space="preserve">12 </w:t>
      </w:r>
      <w:r>
        <w:t xml:space="preserve">And indeed your servant guards them; in guarding them, much repayment.</w:t>
      </w:r>
    </w:p>
    <w:p>
      <w:r>
        <w:rPr>
          <w:b/>
        </w:rPr>
        <w:t xml:space="preserve">13 </w:t>
      </w:r>
      <w:r>
        <w:t xml:space="preserve">Who will understand trespasses? From my hidden ones cleanse me,</w:t>
      </w:r>
    </w:p>
    <w:p>
      <w:r>
        <w:rPr>
          <w:b/>
        </w:rPr>
        <w:t xml:space="preserve">14 </w:t>
      </w:r>
      <w:r>
        <w:t xml:space="preserve">and from strangers spare your servant. If they do not dominate me, then I will be blameless, and I will be cleansed from great sin.</w:t>
      </w:r>
    </w:p>
    <w:p>
      <w:r>
        <w:rPr>
          <w:b/>
        </w:rPr>
        <w:t xml:space="preserve">15 </w:t>
      </w:r>
      <w:r>
        <w:t xml:space="preserve">And words of my mouth and meditation of my heart will be for favor before you through all things, Lord, my helper and my redeemer.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rPr>
          <w:i/>
        </w:rPr>
        <w:t xml:space="preserve">For end. Psalm of David.</w:t>
      </w:r>
      <w:r>
        <w:t xml:space="preserve"/>
      </w:r>
    </w:p>
    <w:p>
      <w:r>
        <w:rPr>
          <w:b/>
        </w:rPr>
        <w:t xml:space="preserve">2 </w:t>
      </w:r>
      <w:r>
        <w:t xml:space="preserve">May the Lord hear you in the day of affliction; may the name of God of Jacob defend you.</w:t>
      </w:r>
    </w:p>
    <w:p>
      <w:r>
        <w:rPr>
          <w:b/>
        </w:rPr>
        <w:t xml:space="preserve">3 </w:t>
      </w:r>
      <w:r>
        <w:t xml:space="preserve">May he send you help from holy place, and from Zion may he support you.</w:t>
      </w:r>
    </w:p>
    <w:p>
      <w:r>
        <w:rPr>
          <w:b/>
        </w:rPr>
        <w:t xml:space="preserve">4 </w:t>
      </w:r>
      <w:r>
        <w:t xml:space="preserve">May he remember all your sacrifice and let your whole burnt offering be fat. Interlude.</w:t>
      </w:r>
    </w:p>
    <w:p>
      <w:r>
        <w:rPr>
          <w:b/>
        </w:rPr>
        <w:t xml:space="preserve">5 </w:t>
      </w:r>
      <w:r>
        <w:t xml:space="preserve">May he give you according to your heart and fulfill all your counsel.</w:t>
      </w:r>
    </w:p>
    <w:p>
      <w:r>
        <w:rPr>
          <w:b/>
        </w:rPr>
        <w:t xml:space="preserve">6 </w:t>
      </w:r>
      <w:r>
        <w:t xml:space="preserve">We will rejoice in your salvation, and in the name of our God we will be magnified. May the Lord fulfill all your requests.</w:t>
      </w:r>
    </w:p>
    <w:p>
      <w:r>
        <w:rPr>
          <w:b/>
        </w:rPr>
        <w:t xml:space="preserve">7 </w:t>
      </w:r>
      <w:r>
        <w:t xml:space="preserve">Now I knew that the Lord saved his Anointed</w:t>
      </w:r>
      <w:r>
        <w:rPr>
          <w:rStyle w:val="FootnoteReference"/>
        </w:rPr>
        <w:footnoteReference w:id="10558"/>
      </w:r>
      <w:r>
        <w:t xml:space="preserve">; he will hear him from his holy heaven. Salvation of his right hand is in the acts of power.</w:t>
      </w:r>
    </w:p>
    <w:p>
      <w:r>
        <w:rPr>
          <w:b/>
        </w:rPr>
        <w:t xml:space="preserve">8 </w:t>
      </w:r>
      <w:r>
        <w:t xml:space="preserve">These in chariots and these in horses, but we in the name of the Lord our God will be magnified.</w:t>
      </w:r>
    </w:p>
    <w:p>
      <w:r>
        <w:rPr>
          <w:b/>
        </w:rPr>
        <w:t xml:space="preserve">9 </w:t>
      </w:r>
      <w:r>
        <w:t xml:space="preserve">They were shackled and fell, but we rose and were set upright.</w:t>
      </w:r>
    </w:p>
    <w:p>
      <w:r>
        <w:rPr>
          <w:b/>
        </w:rPr>
        <w:t xml:space="preserve">10 </w:t>
      </w:r>
      <w:r>
        <w:t xml:space="preserve">Lord, save your king, and hear us in whatever day we call upon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rPr>
          <w:i/>
        </w:rPr>
        <w:t xml:space="preserve">For end. Psalm of David.</w:t>
      </w:r>
      <w:r>
        <w:t xml:space="preserve"/>
      </w:r>
    </w:p>
    <w:p>
      <w:r>
        <w:rPr>
          <w:b/>
        </w:rPr>
        <w:t xml:space="preserve">2 </w:t>
      </w:r>
      <w:r>
        <w:t xml:space="preserve">Lord, in your strength king will be gladdened, and in your salvation he will greatly rejoice.</w:t>
      </w:r>
    </w:p>
    <w:p>
      <w:r>
        <w:rPr>
          <w:b/>
        </w:rPr>
        <w:t xml:space="preserve">3 </w:t>
      </w:r>
      <w:r>
        <w:t xml:space="preserve">The desire of his soul you gave to him, and longing of his lips you did not deprive him of. Interlude.</w:t>
      </w:r>
    </w:p>
    <w:p>
      <w:r>
        <w:rPr>
          <w:b/>
        </w:rPr>
        <w:t xml:space="preserve">4 </w:t>
      </w:r>
      <w:r>
        <w:t xml:space="preserve">Because you got before him with blessings of goodness; you set upon his head crown from precious stone.</w:t>
      </w:r>
    </w:p>
    <w:p>
      <w:r>
        <w:rPr>
          <w:b/>
        </w:rPr>
        <w:t xml:space="preserve">5 </w:t>
      </w:r>
      <w:r>
        <w:t xml:space="preserve">He asked life from you, and you gave it to him, length of days into age of age.</w:t>
      </w:r>
    </w:p>
    <w:p>
      <w:r>
        <w:rPr>
          <w:b/>
        </w:rPr>
        <w:t xml:space="preserve">6 </w:t>
      </w:r>
      <w:r>
        <w:t xml:space="preserve">Great his glory in your salvation; glory and magnificence you will place upon him.</w:t>
      </w:r>
    </w:p>
    <w:p>
      <w:r>
        <w:rPr>
          <w:b/>
        </w:rPr>
        <w:t xml:space="preserve">7 </w:t>
      </w:r>
      <w:r>
        <w:t xml:space="preserve">Because you will give him blessing into age of age; you will gladden him with joy with your face.</w:t>
      </w:r>
    </w:p>
    <w:p>
      <w:r>
        <w:rPr>
          <w:b/>
        </w:rPr>
        <w:t xml:space="preserve">8 </w:t>
      </w:r>
      <w:r>
        <w:t xml:space="preserve">Because the king hopes upon the Lord, and in the mercy of Most High he will by no means be shaken.</w:t>
      </w:r>
    </w:p>
    <w:p>
      <w:r>
        <w:rPr>
          <w:b/>
        </w:rPr>
        <w:t xml:space="preserve">9 </w:t>
      </w:r>
      <w:r>
        <w:t xml:space="preserve">May your hand be found by all your enemies; may your right hand find all hating you.</w:t>
      </w:r>
    </w:p>
    <w:p>
      <w:r>
        <w:rPr>
          <w:b/>
        </w:rPr>
        <w:t xml:space="preserve">10 </w:t>
      </w:r>
      <w:r>
        <w:t xml:space="preserve">You will set them like a furnace of fire in the time of your face; The Lord in his anger will trouble them, and fire will devour them.</w:t>
      </w:r>
    </w:p>
    <w:p>
      <w:r>
        <w:rPr>
          <w:b/>
        </w:rPr>
        <w:t xml:space="preserve">11 </w:t>
      </w:r>
      <w:r>
        <w:t xml:space="preserve">Their fruit from earth you will destroy, and their seed from the sons of men,</w:t>
      </w:r>
    </w:p>
    <w:p>
      <w:r>
        <w:rPr>
          <w:b/>
        </w:rPr>
        <w:t xml:space="preserve">12 </w:t>
      </w:r>
      <w:r>
        <w:t xml:space="preserve">because they bent evils toward you; they devised counsel which they will not be able to establish.</w:t>
      </w:r>
    </w:p>
    <w:p>
      <w:r>
        <w:rPr>
          <w:b/>
        </w:rPr>
        <w:t xml:space="preserve">13 </w:t>
      </w:r>
      <w:r>
        <w:t xml:space="preserve">Because you will set them as back in your remnants; you will prepare their face.</w:t>
      </w:r>
    </w:p>
    <w:p>
      <w:r>
        <w:rPr>
          <w:b/>
        </w:rPr>
        <w:t xml:space="preserve">14 </w:t>
      </w:r>
      <w:r>
        <w:t xml:space="preserve">Be exalted, Lord, in your strength; we will sing and praise your mighty acts.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rPr>
          <w:i/>
        </w:rPr>
        <w:t xml:space="preserve">For end.</w:t>
      </w:r>
      <w:r>
        <w:br/>
      </w:r>
      <w:r>
        <w:t xml:space="preserve">Concerning morning help. Psalm of David.</w:t>
      </w:r>
    </w:p>
    <w:p>
      <w:r>
        <w:rPr>
          <w:b/>
        </w:rPr>
        <w:t xml:space="preserve">2 </w:t>
      </w:r>
      <w:r>
        <w:t xml:space="preserve">God, my God</w:t>
      </w:r>
      <w:r>
        <w:rPr>
          <w:rStyle w:val="FootnoteReference"/>
        </w:rPr>
        <w:footnoteReference w:id="10559"/>
      </w:r>
      <w:r>
        <w:t xml:space="preserve">, attend to me. Why did you forsake me? Far from my salvation are words of my trespasses.</w:t>
      </w:r>
    </w:p>
    <w:p>
      <w:r>
        <w:rPr>
          <w:b/>
        </w:rPr>
        <w:t xml:space="preserve">3 </w:t>
      </w:r>
      <w:r>
        <w:t xml:space="preserve">My God, I will cry by day and you will not hear, and by night, and it is not folly to me.</w:t>
      </w:r>
    </w:p>
    <w:p>
      <w:r>
        <w:rPr>
          <w:b/>
        </w:rPr>
        <w:t xml:space="preserve">4 </w:t>
      </w:r>
      <w:r>
        <w:t xml:space="preserve">But you dwell among holy ones, praise of Israel.</w:t>
      </w:r>
    </w:p>
    <w:p>
      <w:r>
        <w:rPr>
          <w:b/>
        </w:rPr>
        <w:t xml:space="preserve">5 </w:t>
      </w:r>
      <w:r>
        <w:t xml:space="preserve">Upon you our fathers hoped; they hoped and you rescued them.</w:t>
      </w:r>
    </w:p>
    <w:p>
      <w:r>
        <w:rPr>
          <w:b/>
        </w:rPr>
        <w:t xml:space="preserve">6 </w:t>
      </w:r>
      <w:r>
        <w:t xml:space="preserve">To you they cried and were saved; upon you they hoped and were not ashamed.</w:t>
      </w:r>
    </w:p>
    <w:p>
      <w:r>
        <w:rPr>
          <w:b/>
        </w:rPr>
        <w:t xml:space="preserve">7 </w:t>
      </w:r>
      <w:r>
        <w:t xml:space="preserve">But I am worm and not man, reproach of man and despising of the people.</w:t>
      </w:r>
    </w:p>
    <w:p>
      <w:r>
        <w:rPr>
          <w:b/>
        </w:rPr>
        <w:t xml:space="preserve">8 </w:t>
      </w:r>
      <w:r>
        <w:t xml:space="preserve">All seeing me mocked me; they spoke with lips, they shook head,</w:t>
      </w:r>
    </w:p>
    <w:p>
      <w:r>
        <w:rPr>
          <w:b/>
        </w:rPr>
        <w:t xml:space="preserve">9 </w:t>
      </w:r>
      <w:r>
        <w:t xml:space="preserve">He hoped upon the Lord</w:t>
      </w:r>
      <w:r>
        <w:rPr>
          <w:rStyle w:val="FootnoteReference"/>
        </w:rPr>
        <w:footnoteReference w:id="10560"/>
      </w:r>
      <w:r>
        <w:t xml:space="preserve">; let him rescue him, let him save him, because he wants him.</w:t>
      </w:r>
    </w:p>
    <w:p>
      <w:r>
        <w:rPr>
          <w:b/>
        </w:rPr>
        <w:t xml:space="preserve">10 </w:t>
      </w:r>
      <w:r>
        <w:t xml:space="preserve">Because you are one drawing me out from womb, my hope from the breasts of my mother.</w:t>
      </w:r>
    </w:p>
    <w:p>
      <w:r>
        <w:rPr>
          <w:b/>
        </w:rPr>
        <w:t xml:space="preserve">11 </w:t>
      </w:r>
      <w:r>
        <w:t xml:space="preserve">Upon you I was cast from womb; from the belly of my mother you are my God.</w:t>
      </w:r>
    </w:p>
    <w:p>
      <w:r>
        <w:rPr>
          <w:b/>
        </w:rPr>
        <w:t xml:space="preserve">12 </w:t>
      </w:r>
      <w:r>
        <w:t xml:space="preserve">Do not stand far from me, because affliction is near, because there is no helper.</w:t>
      </w:r>
    </w:p>
    <w:p>
      <w:r>
        <w:rPr>
          <w:b/>
        </w:rPr>
        <w:t xml:space="preserve">13 </w:t>
      </w:r>
      <w:r>
        <w:t xml:space="preserve">Many calves encircled me; fat bulls surrounded me.</w:t>
      </w:r>
    </w:p>
    <w:p>
      <w:r>
        <w:rPr>
          <w:b/>
        </w:rPr>
        <w:t xml:space="preserve">14 </w:t>
      </w:r>
      <w:r>
        <w:t xml:space="preserve">They opened their mouth upon me like a lion seizing and roaring.</w:t>
      </w:r>
    </w:p>
    <w:p>
      <w:r>
        <w:rPr>
          <w:b/>
        </w:rPr>
        <w:t xml:space="preserve">15 </w:t>
      </w:r>
      <w:r>
        <w:t xml:space="preserve">Like water I was poured out, and all my bones were scattered; my heart became like wax melting in the midst of my belly.</w:t>
      </w:r>
    </w:p>
    <w:p>
      <w:r>
        <w:rPr>
          <w:b/>
        </w:rPr>
        <w:t xml:space="preserve">16 </w:t>
      </w:r>
      <w:r>
        <w:t xml:space="preserve">My strength dried up like potsherd, and my tongue was glued to my throat, and you brought me down into dust of death.</w:t>
      </w:r>
    </w:p>
    <w:p>
      <w:r>
        <w:rPr>
          <w:b/>
        </w:rPr>
        <w:t xml:space="preserve">17 </w:t>
      </w:r>
      <w:r>
        <w:t xml:space="preserve">Because many dogs encircled me; gathering of evildoers surrounded me; they dug my hands and feet.</w:t>
      </w:r>
      <w:r>
        <w:rPr>
          <w:rStyle w:val="FootnoteReference"/>
        </w:rPr>
        <w:footnoteReference w:id="10561"/>
      </w:r>
      <w:r>
        <w:t xml:space="preserve"/>
      </w:r>
    </w:p>
    <w:p>
      <w:r>
        <w:rPr>
          <w:b/>
        </w:rPr>
        <w:t xml:space="preserve">18 </w:t>
      </w:r>
      <w:r>
        <w:t xml:space="preserve">I counted all my bones, and they observed and looked on me.</w:t>
      </w:r>
    </w:p>
    <w:p>
      <w:r>
        <w:rPr>
          <w:b/>
        </w:rPr>
        <w:t xml:space="preserve">19 </w:t>
      </w:r>
      <w:r>
        <w:t xml:space="preserve">They divided my garments among themselves, and cast lot upon my clothing.</w:t>
      </w:r>
    </w:p>
    <w:p>
      <w:r>
        <w:rPr>
          <w:b/>
        </w:rPr>
        <w:t xml:space="preserve">20 </w:t>
      </w:r>
      <w:r>
        <w:t xml:space="preserve">But you, Lord, do not put my help far away; attend to my support.</w:t>
      </w:r>
    </w:p>
    <w:p>
      <w:r>
        <w:rPr>
          <w:b/>
        </w:rPr>
        <w:t xml:space="preserve">21 </w:t>
      </w:r>
      <w:r>
        <w:t xml:space="preserve">Rescue my soul from sword, and my only one from the hand of dog.</w:t>
      </w:r>
    </w:p>
    <w:p>
      <w:r>
        <w:rPr>
          <w:b/>
        </w:rPr>
        <w:t xml:space="preserve">22 </w:t>
      </w:r>
      <w:r>
        <w:t xml:space="preserve">Save me from the mouth of lion, and my humiliation from horns of unicorns.</w:t>
      </w:r>
    </w:p>
    <w:p>
      <w:r>
        <w:rPr>
          <w:b/>
        </w:rPr>
        <w:t xml:space="preserve">23 </w:t>
      </w:r>
      <w:r>
        <w:t xml:space="preserve">I will recount your name to my brothers; in the midst of assembly I will hymn you.</w:t>
      </w:r>
    </w:p>
    <w:p>
      <w:r>
        <w:rPr>
          <w:b/>
        </w:rPr>
        <w:t xml:space="preserve">24 </w:t>
      </w:r>
      <w:r>
        <w:t xml:space="preserve">You fearing Lord, praise him; all seed of Jacob, glorify him; let all seed of Israel fear him,</w:t>
      </w:r>
    </w:p>
    <w:p>
      <w:r>
        <w:rPr>
          <w:b/>
        </w:rPr>
        <w:t xml:space="preserve">25 </w:t>
      </w:r>
      <w:r>
        <w:t xml:space="preserve">because he did not despise nor loathe petition of a poor man, nor turn his face from me, and when I cried to him he heard me.</w:t>
      </w:r>
    </w:p>
    <w:p>
      <w:r>
        <w:rPr>
          <w:b/>
        </w:rPr>
        <w:t xml:space="preserve">26 </w:t>
      </w:r>
      <w:r>
        <w:t xml:space="preserve">From you my praise in great assembly; my vows I will repay before those fearing him.</w:t>
      </w:r>
    </w:p>
    <w:p>
      <w:r>
        <w:rPr>
          <w:b/>
        </w:rPr>
        <w:t xml:space="preserve">27 </w:t>
      </w:r>
      <w:r>
        <w:t xml:space="preserve">Poor men will eat and be filled, and those seeking him will praise the Lord; their hearts will live into age of age.</w:t>
      </w:r>
    </w:p>
    <w:p>
      <w:r>
        <w:rPr>
          <w:b/>
        </w:rPr>
        <w:t xml:space="preserve">28 </w:t>
      </w:r>
      <w:r>
        <w:t xml:space="preserve">All ends of the earth will remember and turn to the Lord, and all families of nations will worship before you.</w:t>
      </w:r>
    </w:p>
    <w:p>
      <w:r>
        <w:rPr>
          <w:b/>
        </w:rPr>
        <w:t xml:space="preserve">29 </w:t>
      </w:r>
      <w:r>
        <w:t xml:space="preserve">Because the kingdom belongs to the Lord</w:t>
      </w:r>
      <w:r>
        <w:rPr>
          <w:rStyle w:val="FootnoteReference"/>
        </w:rPr>
        <w:footnoteReference w:id="10562"/>
      </w:r>
      <w:r>
        <w:t xml:space="preserve">, and he rules over the nations.</w:t>
      </w:r>
    </w:p>
    <w:p>
      <w:r>
        <w:rPr>
          <w:b/>
        </w:rPr>
        <w:t xml:space="preserve">30 </w:t>
      </w:r>
      <w:r>
        <w:t xml:space="preserve">All fat ones of earth ate and worshiped; before him all going down into earth will fall down, and my soul lives to him.</w:t>
      </w:r>
    </w:p>
    <w:p>
      <w:r>
        <w:rPr>
          <w:b/>
        </w:rPr>
        <w:t xml:space="preserve">31 </w:t>
      </w:r>
      <w:r>
        <w:t xml:space="preserve">And my seed will serve him; coming generation will be announced to the Lord.</w:t>
      </w:r>
    </w:p>
    <w:p>
      <w:r>
        <w:rPr>
          <w:b/>
        </w:rPr>
        <w:t xml:space="preserve">32 </w:t>
      </w:r>
      <w:r>
        <w:t xml:space="preserve">And they will announce his righteousness to people being born, because the Lord did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rPr>
          <w:i/>
        </w:rPr>
        <w:t xml:space="preserve">Psalm of David.</w:t>
      </w:r>
      <w:r>
        <w:br/>
      </w:r>
      <w:r>
        <w:t xml:space="preserve">The Lord shepherds me</w:t>
      </w:r>
      <w:r>
        <w:rPr>
          <w:rStyle w:val="FootnoteReference"/>
        </w:rPr>
        <w:footnoteReference w:id="10563"/>
      </w:r>
      <w:r>
        <w:t xml:space="preserve">, and nothing will be lacking to me.</w:t>
      </w:r>
      <w:r>
        <w:rPr>
          <w:rStyle w:val="FootnoteReference"/>
        </w:rPr>
        <w:footnoteReference w:id="10564"/>
      </w:r>
    </w:p>
    <w:p>
      <w:r>
        <w:rPr>
          <w:b/>
        </w:rPr>
        <w:t xml:space="preserve">2 </w:t>
      </w:r>
      <w:r>
        <w:t xml:space="preserve">Into place of grass there he camped me; beside water of rest he nourished me.</w:t>
      </w:r>
    </w:p>
    <w:p>
      <w:r>
        <w:rPr>
          <w:b/>
        </w:rPr>
        <w:t xml:space="preserve">3 </w:t>
      </w:r>
      <w:r>
        <w:t xml:space="preserve">He turned my soul back; he led me upon tracks of righteousness for the sake of his name.</w:t>
      </w:r>
    </w:p>
    <w:p>
      <w:r>
        <w:rPr>
          <w:b/>
        </w:rPr>
        <w:t xml:space="preserve">4 </w:t>
      </w:r>
      <w:r>
        <w:t xml:space="preserve">For even if I walk in the midst of the shadow of death, I will not fear evils, because you are with me; your rod and your staff, these comforted me.</w:t>
      </w:r>
    </w:p>
    <w:p>
      <w:r>
        <w:rPr>
          <w:b/>
        </w:rPr>
        <w:t xml:space="preserve">5 </w:t>
      </w:r>
      <w:r>
        <w:t xml:space="preserve">You prepared table before me opposite those afflicting me; you anointed my head with oil, and your cup intoxicating like strongest wine.</w:t>
      </w:r>
    </w:p>
    <w:p>
      <w:r>
        <w:rPr>
          <w:b/>
        </w:rPr>
        <w:t xml:space="preserve">6 </w:t>
      </w:r>
      <w:r>
        <w:t xml:space="preserve">And your mercy will pursue me all days of my life, and my dwelling in the house of the Lord to the length of days.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rPr>
          <w:i/>
        </w:rPr>
        <w:t xml:space="preserve">Psalm of David. Of first of Sabbaths.</w:t>
      </w:r>
      <w:r>
        <w:br/>
      </w:r>
      <w:r>
        <w:t xml:space="preserve">Earth belongs to the Lord and its fullness, inhabited world and all dwelling in it.</w:t>
      </w:r>
      <w:r>
        <w:rPr>
          <w:rStyle w:val="FootnoteReference"/>
        </w:rPr>
        <w:footnoteReference w:id="10565"/>
      </w:r>
    </w:p>
    <w:p>
      <w:r>
        <w:rPr>
          <w:b/>
        </w:rPr>
        <w:t xml:space="preserve">2 </w:t>
      </w:r>
      <w:r>
        <w:t xml:space="preserve">He founded it upon seas and prepared it upon rivers.</w:t>
      </w:r>
    </w:p>
    <w:p>
      <w:r>
        <w:rPr>
          <w:b/>
        </w:rPr>
        <w:t xml:space="preserve">3 </w:t>
      </w:r>
      <w:r>
        <w:t xml:space="preserve">Who will go up to the mountain of the Lord, and who will stand in his holy place?</w:t>
      </w:r>
    </w:p>
    <w:p>
      <w:r>
        <w:rPr>
          <w:b/>
        </w:rPr>
        <w:t xml:space="preserve">4 </w:t>
      </w:r>
      <w:r>
        <w:t xml:space="preserve">Innocent in hands and clean in heart, who did not take his soul upon vanity and did not swear in deceit to his neighbor.</w:t>
      </w:r>
    </w:p>
    <w:p>
      <w:r>
        <w:rPr>
          <w:b/>
        </w:rPr>
        <w:t xml:space="preserve">5 </w:t>
      </w:r>
      <w:r>
        <w:t xml:space="preserve">This one will receive blessing from the Lord and mercy from God his savior</w:t>
      </w:r>
      <w:r>
        <w:rPr>
          <w:rStyle w:val="FootnoteReference"/>
        </w:rPr>
        <w:footnoteReference w:id="10566"/>
      </w:r>
      <w:r>
        <w:t xml:space="preserve">.</w:t>
      </w:r>
    </w:p>
    <w:p>
      <w:r>
        <w:rPr>
          <w:b/>
        </w:rPr>
        <w:t xml:space="preserve">6 </w:t>
      </w:r>
      <w:r>
        <w:t xml:space="preserve">This is generation of those seeking him, seeking face of God of Jacob. Interlude.</w:t>
      </w:r>
    </w:p>
    <w:p>
      <w:r>
        <w:rPr>
          <w:b/>
        </w:rPr>
        <w:t xml:space="preserve">7 </w:t>
      </w:r>
      <w:r>
        <w:t xml:space="preserve">Lift up gates, your rulers, and be lifted up, everlasting gates, and the king of glory will enter.</w:t>
      </w:r>
    </w:p>
    <w:p>
      <w:r>
        <w:rPr>
          <w:b/>
        </w:rPr>
        <w:t xml:space="preserve">8 </w:t>
      </w:r>
      <w:r>
        <w:t xml:space="preserve">Who is this king of glory? The Lord, strong and mighty; the Lord, mighty in war.</w:t>
      </w:r>
    </w:p>
    <w:p>
      <w:r>
        <w:rPr>
          <w:b/>
        </w:rPr>
        <w:t xml:space="preserve">9 </w:t>
      </w:r>
      <w:r>
        <w:t xml:space="preserve">Lift up gates, your rulers, and be lifted up, everlasting gates, and the king of glory will enter.</w:t>
      </w:r>
    </w:p>
    <w:p>
      <w:r>
        <w:rPr>
          <w:b/>
        </w:rPr>
        <w:t xml:space="preserve">10 </w:t>
      </w:r>
      <w:r>
        <w:t xml:space="preserve">Who is this king of glory? The Lord of hosts, he is the king of glory.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rPr>
          <w:i/>
        </w:rPr>
        <w:t xml:space="preserve">Psalm of David.</w:t>
      </w:r>
      <w:r>
        <w:br/>
      </w:r>
      <w:r>
        <w:t xml:space="preserve">To you, Lord, I lifted my soul, O my God.</w:t>
      </w:r>
      <w:r>
        <w:rPr>
          <w:rStyle w:val="FootnoteReference"/>
        </w:rPr>
        <w:footnoteReference w:id="10567"/>
      </w:r>
    </w:p>
    <w:p>
      <w:r>
        <w:rPr>
          <w:b/>
        </w:rPr>
        <w:t xml:space="preserve">2 </w:t>
      </w:r>
      <w:r>
        <w:t xml:space="preserve">Upon you I trusted; may I not be ashamed, nor let my enemies mock me.</w:t>
      </w:r>
    </w:p>
    <w:p>
      <w:r>
        <w:rPr>
          <w:b/>
        </w:rPr>
        <w:t xml:space="preserve">3 </w:t>
      </w:r>
      <w:r>
        <w:t xml:space="preserve">For indeed all enduring you will by no means be ashamed; let all acting lawlessly for nothing be ashamed.</w:t>
      </w:r>
    </w:p>
    <w:p>
      <w:r>
        <w:rPr>
          <w:b/>
        </w:rPr>
        <w:t xml:space="preserve">4 </w:t>
      </w:r>
      <w:r>
        <w:t xml:space="preserve">Your ways, Lord, make known to me, and your paths teach me.</w:t>
      </w:r>
    </w:p>
    <w:p>
      <w:r>
        <w:rPr>
          <w:b/>
        </w:rPr>
        <w:t xml:space="preserve">5 </w:t>
      </w:r>
      <w:r>
        <w:t xml:space="preserve">Lead me upon your truth and teach me, because you are God my savior, and I endured you all day.</w:t>
      </w:r>
    </w:p>
    <w:p>
      <w:r>
        <w:rPr>
          <w:b/>
        </w:rPr>
        <w:t xml:space="preserve">6 </w:t>
      </w:r>
      <w:r>
        <w:t xml:space="preserve">Remember your compassions, Lord, and your mercies, because they are from age.</w:t>
      </w:r>
    </w:p>
    <w:p>
      <w:r>
        <w:rPr>
          <w:b/>
        </w:rPr>
        <w:t xml:space="preserve">7 </w:t>
      </w:r>
      <w:r>
        <w:t xml:space="preserve">Sins of my youth and my ignorances do not remember; according to your mercy remember me, because of your goodness, Lord.</w:t>
      </w:r>
    </w:p>
    <w:p>
      <w:r>
        <w:rPr>
          <w:b/>
        </w:rPr>
        <w:t xml:space="preserve">8 </w:t>
      </w:r>
      <w:r>
        <w:t xml:space="preserve">Good and upright is the Lord; because of this he will give law to sinners in way.</w:t>
      </w:r>
    </w:p>
    <w:p>
      <w:r>
        <w:rPr>
          <w:b/>
        </w:rPr>
        <w:t xml:space="preserve">9 </w:t>
      </w:r>
      <w:r>
        <w:t xml:space="preserve">He will guide meek ones in judgment; he will teach meek ones his ways.</w:t>
      </w:r>
    </w:p>
    <w:p>
      <w:r>
        <w:rPr>
          <w:b/>
        </w:rPr>
        <w:t xml:space="preserve">10 </w:t>
      </w:r>
      <w:r>
        <w:t xml:space="preserve">All ways of the Lord</w:t>
      </w:r>
      <w:r>
        <w:rPr>
          <w:rStyle w:val="FootnoteReference"/>
        </w:rPr>
        <w:footnoteReference w:id="10568"/>
      </w:r>
      <w:r>
        <w:t xml:space="preserve"> are mercy and truth to those seeking out his covenant and his testimonies.</w:t>
      </w:r>
    </w:p>
    <w:p>
      <w:r>
        <w:rPr>
          <w:b/>
        </w:rPr>
        <w:t xml:space="preserve">11 </w:t>
      </w:r>
      <w:r>
        <w:t xml:space="preserve">For the sake of your name, Lord, you will be propitious to my sin, because it is great.</w:t>
      </w:r>
    </w:p>
    <w:p>
      <w:r>
        <w:rPr>
          <w:b/>
        </w:rPr>
        <w:t xml:space="preserve">12 </w:t>
      </w:r>
      <w:r>
        <w:t xml:space="preserve">Who is man fearing Lord? He will give law to him in way which he chose.</w:t>
      </w:r>
    </w:p>
    <w:p>
      <w:r>
        <w:rPr>
          <w:b/>
        </w:rPr>
        <w:t xml:space="preserve">13 </w:t>
      </w:r>
      <w:r>
        <w:t xml:space="preserve">His soul will lodge among good things, and his seed will inherit earth.</w:t>
      </w:r>
    </w:p>
    <w:p>
      <w:r>
        <w:rPr>
          <w:b/>
        </w:rPr>
        <w:t xml:space="preserve">14 </w:t>
      </w:r>
      <w:r>
        <w:t xml:space="preserve">The Lord is stronghold of those fearing him, and the name of the Lord belongs to those fearing him, and his covenant to show it to them.</w:t>
      </w:r>
    </w:p>
    <w:p>
      <w:r>
        <w:rPr>
          <w:b/>
        </w:rPr>
        <w:t xml:space="preserve">15 </w:t>
      </w:r>
      <w:r>
        <w:t xml:space="preserve">My eyes are always toward the Lord, because he will draw my feet out of snare.</w:t>
      </w:r>
    </w:p>
    <w:p>
      <w:r>
        <w:rPr>
          <w:b/>
        </w:rPr>
        <w:t xml:space="preserve">16 </w:t>
      </w:r>
      <w:r>
        <w:t xml:space="preserve">Look upon me and have mercy on me, because I am only one and poor.</w:t>
      </w:r>
    </w:p>
    <w:p>
      <w:r>
        <w:rPr>
          <w:b/>
        </w:rPr>
        <w:t xml:space="preserve">17 </w:t>
      </w:r>
      <w:r>
        <w:t xml:space="preserve">Afflictions of my heart were widened; out of my necessities bring me out.</w:t>
      </w:r>
    </w:p>
    <w:p>
      <w:r>
        <w:rPr>
          <w:b/>
        </w:rPr>
        <w:t xml:space="preserve">18 </w:t>
      </w:r>
      <w:r>
        <w:t xml:space="preserve">See my humiliation and my toil, and forgive all my sins.</w:t>
      </w:r>
    </w:p>
    <w:p>
      <w:r>
        <w:rPr>
          <w:b/>
        </w:rPr>
        <w:t xml:space="preserve">19 </w:t>
      </w:r>
      <w:r>
        <w:t xml:space="preserve">See my enemies, because they were multiplied and hated me with unjust hatred.</w:t>
      </w:r>
    </w:p>
    <w:p>
      <w:r>
        <w:rPr>
          <w:b/>
        </w:rPr>
        <w:t xml:space="preserve">20 </w:t>
      </w:r>
      <w:r>
        <w:t xml:space="preserve">Guard my soul and rescue me; may I not be ashamed, because I hoped upon you.</w:t>
      </w:r>
    </w:p>
    <w:p>
      <w:r>
        <w:rPr>
          <w:b/>
        </w:rPr>
        <w:t xml:space="preserve">21 </w:t>
      </w:r>
      <w:r>
        <w:t xml:space="preserve">Blameless and upright men clung to me, because I endured you, Lord.</w:t>
      </w:r>
    </w:p>
    <w:p>
      <w:r>
        <w:rPr>
          <w:b/>
        </w:rPr>
        <w:t xml:space="preserve">22 </w:t>
      </w:r>
      <w:r>
        <w:t xml:space="preserve">Redeem, O God, Israel from all his afflictions.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rPr>
          <w:i/>
        </w:rPr>
        <w:t xml:space="preserve">Of David.</w:t>
      </w:r>
      <w:r>
        <w:br/>
      </w:r>
      <w:r>
        <w:t xml:space="preserve">Judge me, Lord, because I walked in my innocence, and hoping upon the Lord I will by no means weaken.</w:t>
      </w:r>
    </w:p>
    <w:p>
      <w:r>
        <w:rPr>
          <w:b/>
        </w:rPr>
        <w:t xml:space="preserve">2 </w:t>
      </w:r>
      <w:r>
        <w:t xml:space="preserve">Test me, Lord, and try me; refine my kidneys and my heart.</w:t>
      </w:r>
    </w:p>
    <w:p>
      <w:r>
        <w:rPr>
          <w:b/>
        </w:rPr>
        <w:t xml:space="preserve">3 </w:t>
      </w:r>
      <w:r>
        <w:t xml:space="preserve">Because your mercy is before my eyes, and I was well-pleasing in your truth.</w:t>
      </w:r>
    </w:p>
    <w:p>
      <w:r>
        <w:rPr>
          <w:b/>
        </w:rPr>
        <w:t xml:space="preserve">4 </w:t>
      </w:r>
      <w:r>
        <w:t xml:space="preserve">I did not sit with the assembly of vanity, and with lawless men I will by no means enter.</w:t>
      </w:r>
    </w:p>
    <w:p>
      <w:r>
        <w:rPr>
          <w:b/>
        </w:rPr>
        <w:t xml:space="preserve">5 </w:t>
      </w:r>
      <w:r>
        <w:t xml:space="preserve">I hated assembly of evildoers, and with ungodly men I will by no means sit.</w:t>
      </w:r>
    </w:p>
    <w:p>
      <w:r>
        <w:rPr>
          <w:b/>
        </w:rPr>
        <w:t xml:space="preserve">6 </w:t>
      </w:r>
      <w:r>
        <w:t xml:space="preserve">I will wash my hands among innocent ones, and circle your altar, Lord,</w:t>
      </w:r>
    </w:p>
    <w:p>
      <w:r>
        <w:rPr>
          <w:b/>
        </w:rPr>
        <w:t xml:space="preserve">7 </w:t>
      </w:r>
      <w:r>
        <w:t xml:space="preserve">to hear the voice of praise and recount all your wondrous deeds.</w:t>
      </w:r>
    </w:p>
    <w:p>
      <w:r>
        <w:rPr>
          <w:b/>
        </w:rPr>
        <w:t xml:space="preserve">8 </w:t>
      </w:r>
      <w:r>
        <w:t xml:space="preserve">Lord, I loved beauty of your house and place of tent of your glory.</w:t>
      </w:r>
    </w:p>
    <w:p>
      <w:r>
        <w:rPr>
          <w:b/>
        </w:rPr>
        <w:t xml:space="preserve">9 </w:t>
      </w:r>
      <w:r>
        <w:t xml:space="preserve">Do not destroy my soul together with ungodly men, nor my life with men of bloods,</w:t>
      </w:r>
    </w:p>
    <w:p>
      <w:r>
        <w:rPr>
          <w:b/>
        </w:rPr>
        <w:t xml:space="preserve">10 </w:t>
      </w:r>
      <w:r>
        <w:t xml:space="preserve">in whose hands are lawless acts, and their right hand was filled with gifts.</w:t>
      </w:r>
    </w:p>
    <w:p>
      <w:r>
        <w:rPr>
          <w:b/>
        </w:rPr>
        <w:t xml:space="preserve">11 </w:t>
      </w:r>
      <w:r>
        <w:t xml:space="preserve">But I walked in my innocence; redeem me and have mercy on me.</w:t>
      </w:r>
    </w:p>
    <w:p>
      <w:r>
        <w:rPr>
          <w:b/>
        </w:rPr>
        <w:t xml:space="preserve">12 </w:t>
      </w:r>
      <w:r>
        <w:t xml:space="preserve">For my foot stood in uprightness; in assemblies I will bless you,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rPr>
          <w:i/>
        </w:rPr>
        <w:t xml:space="preserve">Of David, before being anointed.</w:t>
      </w:r>
      <w:r>
        <w:br/>
      </w:r>
      <w:r>
        <w:t xml:space="preserve">The Lord is my illumination and my savior; whom shall I fear? The Lord is defender of my life; from whom shall I be afraid?</w:t>
      </w:r>
    </w:p>
    <w:p>
      <w:r>
        <w:rPr>
          <w:b/>
        </w:rPr>
        <w:t xml:space="preserve">2 </w:t>
      </w:r>
      <w:r>
        <w:t xml:space="preserve">When evildoers draw near upon me to eat my flesh, those afflicting me and my enemies, they weakened and fell.</w:t>
      </w:r>
    </w:p>
    <w:p>
      <w:r>
        <w:rPr>
          <w:b/>
        </w:rPr>
        <w:t xml:space="preserve">3 </w:t>
      </w:r>
      <w:r>
        <w:t xml:space="preserve">If camp should line up against me, my heart will not fear. If war rise up against me, in this I hope.</w:t>
      </w:r>
    </w:p>
    <w:p>
      <w:r>
        <w:rPr>
          <w:b/>
        </w:rPr>
        <w:t xml:space="preserve">4 </w:t>
      </w:r>
      <w:r>
        <w:t xml:space="preserve">One thing I asked from the Lord; this I will seek out: to dwell me in the house of the Lord all days of my life, to behold delight of the Lord and visit his temple.</w:t>
      </w:r>
    </w:p>
    <w:p>
      <w:r>
        <w:rPr>
          <w:b/>
        </w:rPr>
        <w:t xml:space="preserve">5 </w:t>
      </w:r>
      <w:r>
        <w:t xml:space="preserve">Because he hid me in tent in the day of my evils; he sheltered me in the hidden place of his tent; on rock he lifted me up.</w:t>
      </w:r>
    </w:p>
    <w:p>
      <w:r>
        <w:rPr>
          <w:b/>
        </w:rPr>
        <w:t xml:space="preserve">6 </w:t>
      </w:r>
      <w:r>
        <w:t xml:space="preserve">And now behold, he lifted my head over enemies around me. I went around and sacrificed in his tent sacrifice of shouting; I will sing and praise the Lord.</w:t>
      </w:r>
    </w:p>
    <w:p>
      <w:r>
        <w:rPr>
          <w:b/>
        </w:rPr>
        <w:t xml:space="preserve">7 </w:t>
      </w:r>
      <w:r>
        <w:t xml:space="preserve">Hear, Lord, my voice with which I cried out; have mercy on me and hear me.</w:t>
      </w:r>
    </w:p>
    <w:p>
      <w:r>
        <w:rPr>
          <w:b/>
        </w:rPr>
        <w:t xml:space="preserve">8 </w:t>
      </w:r>
      <w:r>
        <w:t xml:space="preserve">To you my heart said, My face sought your face; your face, Lord</w:t>
      </w:r>
      <w:r>
        <w:rPr>
          <w:rStyle w:val="FootnoteReference"/>
        </w:rPr>
        <w:footnoteReference w:id="10569"/>
      </w:r>
      <w:r>
        <w:t xml:space="preserve">, I will seek.</w:t>
      </w:r>
    </w:p>
    <w:p>
      <w:r>
        <w:rPr>
          <w:b/>
        </w:rPr>
        <w:t xml:space="preserve">9 </w:t>
      </w:r>
      <w:r>
        <w:t xml:space="preserve">Do not turn your face from me, nor turn away in anger from your servant. Become my helper; do not cast me off and do not forsake me, God my savior.</w:t>
      </w:r>
    </w:p>
    <w:p>
      <w:r>
        <w:rPr>
          <w:b/>
        </w:rPr>
        <w:t xml:space="preserve">10 </w:t>
      </w:r>
      <w:r>
        <w:t xml:space="preserve">Because my father and my mother forsook me, but the Lord took me in.</w:t>
      </w:r>
    </w:p>
    <w:p>
      <w:r>
        <w:rPr>
          <w:b/>
        </w:rPr>
        <w:t xml:space="preserve">11 </w:t>
      </w:r>
      <w:r>
        <w:t xml:space="preserve">Give me law, Lord, in your way, and lead me in straight path because of my enemies.</w:t>
      </w:r>
    </w:p>
    <w:p>
      <w:r>
        <w:rPr>
          <w:b/>
        </w:rPr>
        <w:t xml:space="preserve">12 </w:t>
      </w:r>
      <w:r>
        <w:t xml:space="preserve">Do not hand me over to the souls of those afflicting me, because unjust witnesses rose against me and injustice lied to itself.</w:t>
      </w:r>
    </w:p>
    <w:p>
      <w:r>
        <w:rPr>
          <w:b/>
        </w:rPr>
        <w:t xml:space="preserve">13 </w:t>
      </w:r>
      <w:r>
        <w:t xml:space="preserve">I believe to see good things of the Lord in the land of living ones.</w:t>
      </w:r>
    </w:p>
    <w:p>
      <w:r>
        <w:rPr>
          <w:b/>
        </w:rPr>
        <w:t xml:space="preserve">14 </w:t>
      </w:r>
      <w:r>
        <w:t xml:space="preserve">Endure Lord; act like a man, and let your heart be strengthened, and endure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rPr>
          <w:i/>
        </w:rPr>
        <w:t xml:space="preserve">Of David.</w:t>
      </w:r>
      <w:r>
        <w:br/>
      </w:r>
      <w:r>
        <w:t xml:space="preserve">To you, Lord, I cried out. My God, do not be silent from me, lest if you be silent from me, I become like those going down into pit.</w:t>
      </w:r>
    </w:p>
    <w:p>
      <w:r>
        <w:rPr>
          <w:b/>
        </w:rPr>
        <w:t xml:space="preserve">2 </w:t>
      </w:r>
      <w:r>
        <w:t xml:space="preserve">Hear voice of my petition when I beg to you, when I lift my hands toward your holy temple.</w:t>
      </w:r>
    </w:p>
    <w:p>
      <w:r>
        <w:rPr>
          <w:b/>
        </w:rPr>
        <w:t xml:space="preserve">3 </w:t>
      </w:r>
      <w:r>
        <w:t xml:space="preserve">Do not drag my soul away with sinners, and do not destroy me together with those working injustice, those speaking peace with their neighbors while evils are in their hearts.</w:t>
      </w:r>
    </w:p>
    <w:p>
      <w:r>
        <w:rPr>
          <w:b/>
        </w:rPr>
        <w:t xml:space="preserve">4 </w:t>
      </w:r>
      <w:r>
        <w:t xml:space="preserve">Give to them according to their works and according to evil of their pursuits; according to the works of their hands give to them; repay to them their repayment.</w:t>
      </w:r>
    </w:p>
    <w:p>
      <w:r>
        <w:rPr>
          <w:b/>
        </w:rPr>
        <w:t xml:space="preserve">5 </w:t>
      </w:r>
      <w:r>
        <w:t xml:space="preserve">Because they did not understand works of the Lord and works of his hands, you will pull them down and by no means build them up.</w:t>
      </w:r>
    </w:p>
    <w:p>
      <w:r>
        <w:rPr>
          <w:b/>
        </w:rPr>
        <w:t xml:space="preserve">6 </w:t>
      </w:r>
      <w:r>
        <w:t xml:space="preserve">Blessed is the Lord, because he heard the voice of my petition.</w:t>
      </w:r>
    </w:p>
    <w:p>
      <w:r>
        <w:rPr>
          <w:b/>
        </w:rPr>
        <w:t xml:space="preserve">7 </w:t>
      </w:r>
      <w:r>
        <w:t xml:space="preserve">Lord my helper and my defender; upon him my heart hoped and I was helped, and my flesh bloomed again, and by my will I will confess to him.</w:t>
      </w:r>
    </w:p>
    <w:p>
      <w:r>
        <w:rPr>
          <w:b/>
        </w:rPr>
        <w:t xml:space="preserve">8 </w:t>
      </w:r>
      <w:r>
        <w:t xml:space="preserve">The Lord is strength of his people, and defender of salvations of his Anointed is he.</w:t>
      </w:r>
    </w:p>
    <w:p>
      <w:r>
        <w:rPr>
          <w:b/>
        </w:rPr>
        <w:t xml:space="preserve">9 </w:t>
      </w:r>
      <w:r>
        <w:t xml:space="preserve">Save your people and bless your inheritance, and shepherd them and lift them up until age.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rPr>
          <w:i/>
        </w:rPr>
        <w:t xml:space="preserve">Psalm of David. Of exiting tent.</w:t>
      </w:r>
      <w:r>
        <w:br/>
      </w:r>
      <w:r>
        <w:t xml:space="preserve">Bring to the Lord, sons of God; bring to the Lord sons of rams; bring to the Lord glory and honor.</w:t>
      </w:r>
    </w:p>
    <w:p>
      <w:r>
        <w:rPr>
          <w:b/>
        </w:rPr>
        <w:t xml:space="preserve">2 </w:t>
      </w:r>
      <w:r>
        <w:t xml:space="preserve">Bring to the Lord glory to his name; worship the Lord in his holy court.</w:t>
      </w:r>
    </w:p>
    <w:p>
      <w:r>
        <w:rPr>
          <w:b/>
        </w:rPr>
        <w:t xml:space="preserve">3 </w:t>
      </w:r>
      <w:r>
        <w:t xml:space="preserve">The voice of the Lord is upon waters; God of glory thundered; Lord upon many waters.</w:t>
      </w:r>
    </w:p>
    <w:p>
      <w:r>
        <w:rPr>
          <w:b/>
        </w:rPr>
        <w:t xml:space="preserve">4 </w:t>
      </w:r>
      <w:r>
        <w:t xml:space="preserve">The voice of the Lord is in strength; the voice of the Lord is in magnificence.</w:t>
      </w:r>
    </w:p>
    <w:p>
      <w:r>
        <w:rPr>
          <w:b/>
        </w:rPr>
        <w:t xml:space="preserve">5 </w:t>
      </w:r>
      <w:r>
        <w:t xml:space="preserve">The voice of the Lord shattering cedars, and the Lord will shatter cedars of Lebanon.</w:t>
      </w:r>
    </w:p>
    <w:p>
      <w:r>
        <w:rPr>
          <w:b/>
        </w:rPr>
        <w:t xml:space="preserve">6 </w:t>
      </w:r>
      <w:r>
        <w:t xml:space="preserve">And he will pulverize them like a calf, Lebanon, and the beloved one like son of unicorns.</w:t>
      </w:r>
    </w:p>
    <w:p>
      <w:r>
        <w:rPr>
          <w:b/>
        </w:rPr>
        <w:t xml:space="preserve">7 </w:t>
      </w:r>
      <w:r>
        <w:t xml:space="preserve">The voice of the Lord cutting through flame of fire.</w:t>
      </w:r>
    </w:p>
    <w:p>
      <w:r>
        <w:rPr>
          <w:b/>
        </w:rPr>
        <w:t xml:space="preserve">8 </w:t>
      </w:r>
      <w:r>
        <w:t xml:space="preserve">The voice of the Lord shaking wilderness, and the Lord will shake wilderness of Kadesh.</w:t>
      </w:r>
    </w:p>
    <w:p>
      <w:r>
        <w:rPr>
          <w:b/>
        </w:rPr>
        <w:t xml:space="preserve">9 </w:t>
      </w:r>
      <w:r>
        <w:t xml:space="preserve">The voice of the Lord fitting deer and uncovering forests; and in his temple every one says, Glory.</w:t>
      </w:r>
    </w:p>
    <w:p>
      <w:r>
        <w:rPr>
          <w:b/>
        </w:rPr>
        <w:t xml:space="preserve">10 </w:t>
      </w:r>
      <w:r>
        <w:t xml:space="preserve">The Lord will dwell over flood, and the Lord will sit king into age.</w:t>
      </w:r>
    </w:p>
    <w:p>
      <w:r>
        <w:rPr>
          <w:b/>
        </w:rPr>
        <w:t xml:space="preserve">11 </w:t>
      </w:r>
      <w:r>
        <w:t xml:space="preserve">The Lord will give strength to his people; The Lord will bless his people in peace.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rPr>
          <w:i/>
        </w:rPr>
        <w:t xml:space="preserve">For end. Psalm, song of dedication of the house, of David.</w:t>
      </w:r>
      <w:r>
        <w:t xml:space="preserve"/>
      </w:r>
    </w:p>
    <w:p>
      <w:r>
        <w:rPr>
          <w:b/>
        </w:rPr>
        <w:t xml:space="preserve">2 </w:t>
      </w:r>
      <w:r>
        <w:t xml:space="preserve">I will exalt you, Lord, because you took me up and did not gladden my enemies over me.</w:t>
      </w:r>
    </w:p>
    <w:p>
      <w:r>
        <w:rPr>
          <w:b/>
        </w:rPr>
        <w:t xml:space="preserve">3 </w:t>
      </w:r>
      <w:r>
        <w:t xml:space="preserve">Lord my God, I cried to you and you healed me.</w:t>
      </w:r>
    </w:p>
    <w:p>
      <w:r>
        <w:rPr>
          <w:b/>
        </w:rPr>
        <w:t xml:space="preserve">4 </w:t>
      </w:r>
      <w:r>
        <w:t xml:space="preserve">Lord, you brought up my soul from Hades; you saved me from those going down into pit.</w:t>
      </w:r>
    </w:p>
    <w:p>
      <w:r>
        <w:rPr>
          <w:b/>
        </w:rPr>
        <w:t xml:space="preserve">5 </w:t>
      </w:r>
      <w:r>
        <w:t xml:space="preserve">Sing praise to the Lord, his holy ones, and confess to remembrance of his holiness.</w:t>
      </w:r>
    </w:p>
    <w:p>
      <w:r>
        <w:rPr>
          <w:b/>
        </w:rPr>
        <w:t xml:space="preserve">6 </w:t>
      </w:r>
      <w:r>
        <w:t xml:space="preserve">Because anger in his wrath and life in his will. At evening weeping will lodge, and by morning glad shouting.</w:t>
      </w:r>
    </w:p>
    <w:p>
      <w:r>
        <w:rPr>
          <w:b/>
        </w:rPr>
        <w:t xml:space="preserve">7 </w:t>
      </w:r>
      <w:r>
        <w:t xml:space="preserve">But I said in my prosperity, I will by no means be shaken into age.</w:t>
      </w:r>
    </w:p>
    <w:p>
      <w:r>
        <w:rPr>
          <w:b/>
        </w:rPr>
        <w:t xml:space="preserve">8 </w:t>
      </w:r>
      <w:r>
        <w:t xml:space="preserve">Lord, in your will you supplied strength to my beauty; but you turned your face away and I became troubled.</w:t>
      </w:r>
    </w:p>
    <w:p>
      <w:r>
        <w:rPr>
          <w:b/>
        </w:rPr>
        <w:t xml:space="preserve">9 </w:t>
      </w:r>
      <w:r>
        <w:t xml:space="preserve">To you, Lord, I will cry, and to my God I will beg.</w:t>
      </w:r>
    </w:p>
    <w:p>
      <w:r>
        <w:rPr>
          <w:b/>
        </w:rPr>
        <w:t xml:space="preserve">10 </w:t>
      </w:r>
      <w:r>
        <w:t xml:space="preserve">What profit in my blood, in my going down into corruption? Will dust confess to you or announce your truth?</w:t>
      </w:r>
    </w:p>
    <w:p>
      <w:r>
        <w:rPr>
          <w:b/>
        </w:rPr>
        <w:t xml:space="preserve">11 </w:t>
      </w:r>
      <w:r>
        <w:t xml:space="preserve">The Lord heard and had mercy on me; The Lord became my helper.</w:t>
      </w:r>
    </w:p>
    <w:p>
      <w:r>
        <w:rPr>
          <w:b/>
        </w:rPr>
        <w:t xml:space="preserve">12 </w:t>
      </w:r>
      <w:r>
        <w:t xml:space="preserve">You turned my mourning into dance for me; you tore my sackcloth and girded me with gladness,</w:t>
      </w:r>
    </w:p>
    <w:p>
      <w:r>
        <w:rPr>
          <w:b/>
        </w:rPr>
        <w:t xml:space="preserve">13 </w:t>
      </w:r>
      <w:r>
        <w:t xml:space="preserve">so that my glory might sing to you and by no means be pierced through. Lord my God, into age I will confess to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rPr>
          <w:i/>
        </w:rPr>
        <w:t xml:space="preserve">For end. Psalm of David, of ecstasy.</w:t>
      </w:r>
      <w:r>
        <w:t xml:space="preserve"/>
      </w:r>
    </w:p>
    <w:p>
      <w:r>
        <w:rPr>
          <w:b/>
        </w:rPr>
        <w:t xml:space="preserve">2 </w:t>
      </w:r>
      <w:r>
        <w:t xml:space="preserve">Upon you, Lord, I hoped; may I not be ashamed into age. In your righteousness rescue me and deliver me.</w:t>
      </w:r>
    </w:p>
    <w:p>
      <w:r>
        <w:rPr>
          <w:b/>
        </w:rPr>
        <w:t xml:space="preserve">3 </w:t>
      </w:r>
      <w:r>
        <w:t xml:space="preserve">Incline your ear to me; hurry to deliver me. Become to me God defender and a house of refuge to save me.</w:t>
      </w:r>
    </w:p>
    <w:p>
      <w:r>
        <w:rPr>
          <w:b/>
        </w:rPr>
        <w:t xml:space="preserve">4 </w:t>
      </w:r>
      <w:r>
        <w:t xml:space="preserve">Because you are my strength and my refuge, and for the sake of your name you will lead me and nourish me.</w:t>
      </w:r>
    </w:p>
    <w:p>
      <w:r>
        <w:rPr>
          <w:b/>
        </w:rPr>
        <w:t xml:space="preserve">5 </w:t>
      </w:r>
      <w:r>
        <w:t xml:space="preserve">You will bring me out from this snare which they hid for me, because you are my defender.</w:t>
      </w:r>
    </w:p>
    <w:p>
      <w:r>
        <w:rPr>
          <w:b/>
        </w:rPr>
        <w:t xml:space="preserve">6 </w:t>
      </w:r>
      <w:r>
        <w:t xml:space="preserve">Into your hands I will entrust my spirit. You redeemed me, Lord, God of truth.</w:t>
      </w:r>
    </w:p>
    <w:p>
      <w:r>
        <w:rPr>
          <w:b/>
        </w:rPr>
        <w:t xml:space="preserve">7 </w:t>
      </w:r>
      <w:r>
        <w:t xml:space="preserve">You hated those keeping worthless vanities for nothing, but I hoped upon the Lord.</w:t>
      </w:r>
    </w:p>
    <w:p>
      <w:r>
        <w:rPr>
          <w:b/>
        </w:rPr>
        <w:t xml:space="preserve">8 </w:t>
      </w:r>
      <w:r>
        <w:t xml:space="preserve">I will rejoice and be glad in your mercy, because you looked upon my humiliation; you saved my soul from necessities.</w:t>
      </w:r>
    </w:p>
    <w:p>
      <w:r>
        <w:rPr>
          <w:b/>
        </w:rPr>
        <w:t xml:space="preserve">9 </w:t>
      </w:r>
      <w:r>
        <w:t xml:space="preserve">And you did not shut me up into enemy hands; you set my feet in broad place.</w:t>
      </w:r>
    </w:p>
    <w:p>
      <w:r>
        <w:rPr>
          <w:b/>
        </w:rPr>
        <w:t xml:space="preserve">10 </w:t>
      </w:r>
      <w:r>
        <w:t xml:space="preserve">Have mercy on me, Lord, because I am afflicted; my eye was troubled in anger, my soul and my belly.</w:t>
      </w:r>
    </w:p>
    <w:p>
      <w:r>
        <w:rPr>
          <w:b/>
        </w:rPr>
        <w:t xml:space="preserve">11 </w:t>
      </w:r>
      <w:r>
        <w:t xml:space="preserve">Because my life failed in pain and my years in groanings; my strength weakened in poverty and my bones were troubled.</w:t>
      </w:r>
    </w:p>
    <w:p>
      <w:r>
        <w:rPr>
          <w:b/>
        </w:rPr>
        <w:t xml:space="preserve">12 </w:t>
      </w:r>
      <w:r>
        <w:t xml:space="preserve">Beyond all my enemies I became a reproach, and greatly to my neighbors, and fear to those known to me; those seeing me outside fled from me.</w:t>
      </w:r>
    </w:p>
    <w:p>
      <w:r>
        <w:rPr>
          <w:b/>
        </w:rPr>
        <w:t xml:space="preserve">13 </w:t>
      </w:r>
      <w:r>
        <w:t xml:space="preserve">I was forgotten like a dead man from heart; I became like a ruined vessel.</w:t>
      </w:r>
    </w:p>
    <w:p>
      <w:r>
        <w:rPr>
          <w:b/>
        </w:rPr>
        <w:t xml:space="preserve">14 </w:t>
      </w:r>
      <w:r>
        <w:t xml:space="preserve">Because I heard blame of many dwelling around, when they gathered together against me, they planned to take my soul.</w:t>
      </w:r>
    </w:p>
    <w:p>
      <w:r>
        <w:rPr>
          <w:b/>
        </w:rPr>
        <w:t xml:space="preserve">15 </w:t>
      </w:r>
      <w:r>
        <w:t xml:space="preserve">But I hoped upon you, Lord; I said, You are my God.</w:t>
      </w:r>
    </w:p>
    <w:p>
      <w:r>
        <w:rPr>
          <w:b/>
        </w:rPr>
        <w:t xml:space="preserve">16 </w:t>
      </w:r>
      <w:r>
        <w:t xml:space="preserve">My times in your hands. Rescue me from the hand of my enemies and from those pursuing me.</w:t>
      </w:r>
    </w:p>
    <w:p>
      <w:r>
        <w:rPr>
          <w:b/>
        </w:rPr>
        <w:t xml:space="preserve">17 </w:t>
      </w:r>
      <w:r>
        <w:t xml:space="preserve">Shine your face upon your servant; save me in your mercy.</w:t>
      </w:r>
    </w:p>
    <w:p>
      <w:r>
        <w:rPr>
          <w:b/>
        </w:rPr>
        <w:t xml:space="preserve">18 </w:t>
      </w:r>
      <w:r>
        <w:t xml:space="preserve">Lord, may I not be ashamed, because I called upon you. Let ungodly men be ashamed and brought down into Hades.</w:t>
      </w:r>
    </w:p>
    <w:p>
      <w:r>
        <w:rPr>
          <w:b/>
        </w:rPr>
        <w:t xml:space="preserve">19 </w:t>
      </w:r>
      <w:r>
        <w:t xml:space="preserve">Let deceitful lips become dumb, those speaking lawlessness against the righteous man in pride and contempt.</w:t>
      </w:r>
      <w:r>
        <w:rPr>
          <w:rStyle w:val="FootnoteReference"/>
        </w:rPr>
        <w:footnoteReference w:id="10570"/>
      </w:r>
      <w:r>
        <w:t xml:space="preserve"/>
      </w:r>
    </w:p>
    <w:p>
      <w:r>
        <w:rPr>
          <w:b/>
        </w:rPr>
        <w:t xml:space="preserve">20 </w:t>
      </w:r>
      <w:r>
        <w:t xml:space="preserve">How much the multitude of your goodness, Lord, which you hid for those fearing you; you worked it out for those hoping upon you before the sons of men.</w:t>
      </w:r>
    </w:p>
    <w:p>
      <w:r>
        <w:rPr>
          <w:b/>
        </w:rPr>
        <w:t xml:space="preserve">21 </w:t>
      </w:r>
      <w:r>
        <w:t xml:space="preserve">You will hide them in the hidden place of your face from disturbance of men; you will shelter them in tent from contradiction of tongues.</w:t>
      </w:r>
    </w:p>
    <w:p>
      <w:r>
        <w:rPr>
          <w:b/>
        </w:rPr>
        <w:t xml:space="preserve">22 </w:t>
      </w:r>
      <w:r>
        <w:t xml:space="preserve">Blessed is the Lord, because he made his mercy wondrous in the city of enclosure.</w:t>
      </w:r>
    </w:p>
    <w:p>
      <w:r>
        <w:rPr>
          <w:b/>
        </w:rPr>
        <w:t xml:space="preserve">23 </w:t>
      </w:r>
      <w:r>
        <w:t xml:space="preserve">But I said in my ecstasy, So then I am cast away from the face of your eyes. Because of this you heard the voice of my petition when I cried out to you.</w:t>
      </w:r>
    </w:p>
    <w:p>
      <w:r>
        <w:rPr>
          <w:b/>
        </w:rPr>
        <w:t xml:space="preserve">24 </w:t>
      </w:r>
      <w:r>
        <w:t xml:space="preserve">Love Lord, all his holy ones, because the Lord seeks truths and repays those doing pride beyond measure.</w:t>
      </w:r>
    </w:p>
    <w:p>
      <w:r>
        <w:rPr>
          <w:b/>
        </w:rPr>
        <w:t xml:space="preserve">25 </w:t>
      </w:r>
      <w:r>
        <w:t xml:space="preserve">Act like men and let your heart be strengthened, all hoping upon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rPr>
          <w:i/>
        </w:rPr>
        <w:t xml:space="preserve">Of David. Of understanding.</w:t>
      </w:r>
      <w:r>
        <w:br/>
      </w:r>
      <w:r>
        <w:t xml:space="preserve">Blessed are those whose lawless acts were forgiven and whose sins were covered.</w:t>
      </w:r>
    </w:p>
    <w:p>
      <w:r>
        <w:rPr>
          <w:b/>
        </w:rPr>
        <w:t xml:space="preserve">2 </w:t>
      </w:r>
      <w:r>
        <w:t xml:space="preserve">Blessed is the man to whom the Lord will by no means count sin, nor is deceit in his mouth.</w:t>
      </w:r>
    </w:p>
    <w:p>
      <w:r>
        <w:rPr>
          <w:b/>
        </w:rPr>
        <w:t xml:space="preserve">3 </w:t>
      </w:r>
      <w:r>
        <w:t xml:space="preserve">Because I was silent, my bones grew old from my crying all day.</w:t>
      </w:r>
    </w:p>
    <w:p>
      <w:r>
        <w:rPr>
          <w:b/>
        </w:rPr>
        <w:t xml:space="preserve">4 </w:t>
      </w:r>
      <w:r>
        <w:t xml:space="preserve">Because day and night your hand grew heavy upon me; I was turned into misery when thorn was fixed in. Interlude.</w:t>
      </w:r>
    </w:p>
    <w:p>
      <w:r>
        <w:rPr>
          <w:b/>
        </w:rPr>
        <w:t xml:space="preserve">5 </w:t>
      </w:r>
      <w:r>
        <w:t xml:space="preserve">My sin I made known, and my lawlessness I did not cover. I said, I will confess against myself my lawlessness to the Lord, and you forgave ungodliness of my sin. Interlude.</w:t>
      </w:r>
    </w:p>
    <w:p>
      <w:r>
        <w:rPr>
          <w:b/>
        </w:rPr>
        <w:t xml:space="preserve">6 </w:t>
      </w:r>
      <w:r>
        <w:t xml:space="preserve">Because of this every holy one will pray to you in fitting season. Yet in flood of many waters they will not come near him.</w:t>
      </w:r>
    </w:p>
    <w:p>
      <w:r>
        <w:rPr>
          <w:b/>
        </w:rPr>
        <w:t xml:space="preserve">7 </w:t>
      </w:r>
      <w:r>
        <w:t xml:space="preserve">You are my refuge from affliction surrounding me, my joy. Redeem me from those encircling me. Interlude.</w:t>
      </w:r>
    </w:p>
    <w:p>
      <w:r>
        <w:rPr>
          <w:b/>
        </w:rPr>
        <w:t xml:space="preserve">8 </w:t>
      </w:r>
      <w:r>
        <w:t xml:space="preserve">I will make you understand and instruct you in this way which you will go; I will fix my eyes upon you.</w:t>
      </w:r>
    </w:p>
    <w:p>
      <w:r>
        <w:rPr>
          <w:b/>
        </w:rPr>
        <w:t xml:space="preserve">9 </w:t>
      </w:r>
      <w:r>
        <w:t xml:space="preserve">Do not become like horse and mule, which have no understanding, in bridle and bit to clamp their jaws, of those not drawing near to you.</w:t>
      </w:r>
    </w:p>
    <w:p>
      <w:r>
        <w:rPr>
          <w:b/>
        </w:rPr>
        <w:t xml:space="preserve">10 </w:t>
      </w:r>
      <w:r>
        <w:t xml:space="preserve">Many scourges belong to sinner, but mercy will encircle one hoping upon the Lord.</w:t>
      </w:r>
    </w:p>
    <w:p>
      <w:r>
        <w:rPr>
          <w:b/>
        </w:rPr>
        <w:t xml:space="preserve">11 </w:t>
      </w:r>
      <w:r>
        <w:t xml:space="preserve">Be glad in the Lord and rejoice, righteous ones, and boast, all upright in heart.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rPr>
          <w:i/>
        </w:rPr>
        <w:t xml:space="preserve">Of David.</w:t>
      </w:r>
      <w:r>
        <w:br/>
      </w:r>
      <w:r>
        <w:t xml:space="preserve">Rejoice in the Lord, righteous ones; praise is fitting for upright ones.</w:t>
      </w:r>
    </w:p>
    <w:p>
      <w:r>
        <w:rPr>
          <w:b/>
        </w:rPr>
        <w:t xml:space="preserve">2 </w:t>
      </w:r>
      <w:r>
        <w:t xml:space="preserve">Confess to the Lord</w:t>
      </w:r>
      <w:r>
        <w:rPr>
          <w:rStyle w:val="FootnoteReference"/>
        </w:rPr>
        <w:footnoteReference w:id="10571"/>
      </w:r>
      <w:r>
        <w:t xml:space="preserve"> with harp; with ten-stringed psaltery sing to him.</w:t>
      </w:r>
    </w:p>
    <w:p>
      <w:r>
        <w:rPr>
          <w:b/>
        </w:rPr>
        <w:t xml:space="preserve">3 </w:t>
      </w:r>
      <w:r>
        <w:t xml:space="preserve">Sing to him new song; play well with shouting.</w:t>
      </w:r>
    </w:p>
    <w:p>
      <w:r>
        <w:rPr>
          <w:b/>
        </w:rPr>
        <w:t xml:space="preserve">4 </w:t>
      </w:r>
      <w:r>
        <w:t xml:space="preserve">Because the word of the Lord is straight, and all his works in faithfulness.</w:t>
      </w:r>
    </w:p>
    <w:p>
      <w:r>
        <w:rPr>
          <w:b/>
        </w:rPr>
        <w:t xml:space="preserve">5 </w:t>
      </w:r>
      <w:r>
        <w:t xml:space="preserve">He loves mercy and judgment; earth full of mercy of the Lord.</w:t>
      </w:r>
    </w:p>
    <w:p>
      <w:r>
        <w:rPr>
          <w:b/>
        </w:rPr>
        <w:t xml:space="preserve">6 </w:t>
      </w:r>
      <w:r>
        <w:t xml:space="preserve">By the word of the Lord the heavens were made firm, and by the spirit of his mouth all their power.</w:t>
      </w:r>
    </w:p>
    <w:p>
      <w:r>
        <w:rPr>
          <w:b/>
        </w:rPr>
        <w:t xml:space="preserve">7 </w:t>
      </w:r>
      <w:r>
        <w:t xml:space="preserve">Gathering waters of sea like a wineskin, putting deeps in treasuries.</w:t>
      </w:r>
    </w:p>
    <w:p>
      <w:r>
        <w:rPr>
          <w:b/>
        </w:rPr>
        <w:t xml:space="preserve">8 </w:t>
      </w:r>
      <w:r>
        <w:t xml:space="preserve">Let all the earth fear Lord, and from him let all dwelling inhabited world be shaken,</w:t>
      </w:r>
    </w:p>
    <w:p>
      <w:r>
        <w:rPr>
          <w:b/>
        </w:rPr>
        <w:t xml:space="preserve">9 </w:t>
      </w:r>
      <w:r>
        <w:t xml:space="preserve">because he said and they came to be; he commanded and they were created.</w:t>
      </w:r>
    </w:p>
    <w:p>
      <w:r>
        <w:rPr>
          <w:b/>
        </w:rPr>
        <w:t xml:space="preserve">10 </w:t>
      </w:r>
      <w:r>
        <w:t xml:space="preserve">The Lord scatters counsels of nations, sets aside reasonings of peoples, and sets aside counsels of rulers.</w:t>
      </w:r>
    </w:p>
    <w:p>
      <w:r>
        <w:rPr>
          <w:b/>
        </w:rPr>
        <w:t xml:space="preserve">11 </w:t>
      </w:r>
      <w:r>
        <w:t xml:space="preserve">But counsel of the Lord remains into age, reasonings of his heart from generation to generation.</w:t>
      </w:r>
    </w:p>
    <w:p>
      <w:r>
        <w:rPr>
          <w:b/>
        </w:rPr>
        <w:t xml:space="preserve">12 </w:t>
      </w:r>
      <w:r>
        <w:t xml:space="preserve">Blessed is the nation whose God is the Lord, people whom he chose for inheritance to himself.</w:t>
      </w:r>
    </w:p>
    <w:p>
      <w:r>
        <w:rPr>
          <w:b/>
        </w:rPr>
        <w:t xml:space="preserve">13 </w:t>
      </w:r>
      <w:r>
        <w:t xml:space="preserve">From heaven the Lord looked down; he saw all sons of men.</w:t>
      </w:r>
    </w:p>
    <w:p>
      <w:r>
        <w:rPr>
          <w:b/>
        </w:rPr>
        <w:t xml:space="preserve">14 </w:t>
      </w:r>
      <w:r>
        <w:t xml:space="preserve">From his prepared dwelling he looked upon all dwelling earth,</w:t>
      </w:r>
    </w:p>
    <w:p>
      <w:r>
        <w:rPr>
          <w:b/>
        </w:rPr>
        <w:t xml:space="preserve">15 </w:t>
      </w:r>
      <w:r>
        <w:t xml:space="preserve">he who formed their hearts one by one, he who understands all their works.</w:t>
      </w:r>
    </w:p>
    <w:p>
      <w:r>
        <w:rPr>
          <w:b/>
        </w:rPr>
        <w:t xml:space="preserve">16 </w:t>
      </w:r>
      <w:r>
        <w:t xml:space="preserve">King is not saved by much power, and giant will not be saved by the multitude of his strength.</w:t>
      </w:r>
    </w:p>
    <w:p>
      <w:r>
        <w:rPr>
          <w:b/>
        </w:rPr>
        <w:t xml:space="preserve">17 </w:t>
      </w:r>
      <w:r>
        <w:t xml:space="preserve">Horse false thing for salvation, and in the multitude of its power it will not be saved.</w:t>
      </w:r>
    </w:p>
    <w:p>
      <w:r>
        <w:rPr>
          <w:b/>
        </w:rPr>
        <w:t xml:space="preserve">18 </w:t>
      </w:r>
      <w:r>
        <w:t xml:space="preserve">Behold, eyes of the Lord upon those fearing him, those hoping upon his mercy,</w:t>
      </w:r>
    </w:p>
    <w:p>
      <w:r>
        <w:rPr>
          <w:b/>
        </w:rPr>
        <w:t xml:space="preserve">19 </w:t>
      </w:r>
      <w:r>
        <w:t xml:space="preserve">to rescue their souls from death and nourish them in famine.</w:t>
      </w:r>
    </w:p>
    <w:p>
      <w:r>
        <w:rPr>
          <w:b/>
        </w:rPr>
        <w:t xml:space="preserve">20 </w:t>
      </w:r>
      <w:r>
        <w:t xml:space="preserve">Our soul endures for the Lord, because he is our helper and defender.</w:t>
      </w:r>
    </w:p>
    <w:p>
      <w:r>
        <w:rPr>
          <w:b/>
        </w:rPr>
        <w:t xml:space="preserve">21 </w:t>
      </w:r>
      <w:r>
        <w:t xml:space="preserve">Because in him our heart will be gladdened, and in his holy name we hoped.</w:t>
      </w:r>
    </w:p>
    <w:p>
      <w:r>
        <w:rPr>
          <w:b/>
        </w:rPr>
        <w:t xml:space="preserve">22 </w:t>
      </w:r>
      <w:r>
        <w:t xml:space="preserve">Let your mercy, Lord, be upon us, just as we hoped upon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rPr>
          <w:i/>
        </w:rPr>
        <w:t xml:space="preserve">Of David, when he altered his face before Abimelech, and he released him and he went away.</w:t>
      </w:r>
      <w:r>
        <w:t xml:space="preserve"/>
      </w:r>
    </w:p>
    <w:p>
      <w:r>
        <w:rPr>
          <w:b/>
        </w:rPr>
        <w:t xml:space="preserve">2 </w:t>
      </w:r>
      <w:r>
        <w:t xml:space="preserve">I will bless the Lord in every season; continually his praise</w:t>
      </w:r>
      <w:r>
        <w:rPr>
          <w:rStyle w:val="FootnoteReference"/>
        </w:rPr>
        <w:footnoteReference w:id="10572"/>
      </w:r>
      <w:r>
        <w:t xml:space="preserve"> in my mouth.</w:t>
      </w:r>
    </w:p>
    <w:p>
      <w:r>
        <w:rPr>
          <w:b/>
        </w:rPr>
        <w:t xml:space="preserve">3 </w:t>
      </w:r>
      <w:r>
        <w:t xml:space="preserve">In the Lord my soul will be praised; let meek hear and be glad.</w:t>
      </w:r>
    </w:p>
    <w:p>
      <w:r>
        <w:rPr>
          <w:b/>
        </w:rPr>
        <w:t xml:space="preserve">4 </w:t>
      </w:r>
      <w:r>
        <w:t xml:space="preserve">Magnify the Lord with me, and let us lift up his name together.</w:t>
      </w:r>
    </w:p>
    <w:p>
      <w:r>
        <w:rPr>
          <w:b/>
        </w:rPr>
        <w:t xml:space="preserve">5 </w:t>
      </w:r>
      <w:r>
        <w:t xml:space="preserve">I sought out Lord, and he heard me, and rescued me from all my sojournings.</w:t>
      </w:r>
    </w:p>
    <w:p>
      <w:r>
        <w:rPr>
          <w:b/>
        </w:rPr>
        <w:t xml:space="preserve">6 </w:t>
      </w:r>
      <w:r>
        <w:t xml:space="preserve">Draw near to him and be enlightened, and your faces will by no means be ashamed.</w:t>
      </w:r>
    </w:p>
    <w:p>
      <w:r>
        <w:rPr>
          <w:b/>
        </w:rPr>
        <w:t xml:space="preserve">7 </w:t>
      </w:r>
      <w:r>
        <w:t xml:space="preserve">This poor man cried out, and the Lord heard him and saved him from all his afflictions.</w:t>
      </w:r>
    </w:p>
    <w:p>
      <w:r>
        <w:rPr>
          <w:b/>
        </w:rPr>
        <w:t xml:space="preserve">8 </w:t>
      </w:r>
      <w:r>
        <w:t xml:space="preserve">Angel of the Lord will encamp around those fearing him and will rescue them.</w:t>
      </w:r>
    </w:p>
    <w:p>
      <w:r>
        <w:rPr>
          <w:b/>
        </w:rPr>
        <w:t xml:space="preserve">9 </w:t>
      </w:r>
      <w:r>
        <w:t xml:space="preserve">Taste and see that the Lord is good; blessed is the man who hopes upon him.</w:t>
      </w:r>
    </w:p>
    <w:p>
      <w:r>
        <w:rPr>
          <w:b/>
        </w:rPr>
        <w:t xml:space="preserve">10 </w:t>
      </w:r>
      <w:r>
        <w:t xml:space="preserve">Fear the Lord</w:t>
      </w:r>
      <w:r>
        <w:rPr>
          <w:rStyle w:val="FootnoteReference"/>
        </w:rPr>
        <w:footnoteReference w:id="10573"/>
      </w:r>
      <w:r>
        <w:t xml:space="preserve">, his holy ones, because there is no lack to those fearing him.</w:t>
      </w:r>
    </w:p>
    <w:p>
      <w:r>
        <w:rPr>
          <w:b/>
        </w:rPr>
        <w:t xml:space="preserve">11 </w:t>
      </w:r>
      <w:r>
        <w:t xml:space="preserve">Rich men became poor and hungry, but those seeking the Lord will not be diminished of any good thing. Interlude.</w:t>
      </w:r>
    </w:p>
    <w:p>
      <w:r>
        <w:rPr>
          <w:b/>
        </w:rPr>
        <w:t xml:space="preserve">12 </w:t>
      </w:r>
      <w:r>
        <w:t xml:space="preserve">Come, children, hear me; The fear of the Lord I will teach you.</w:t>
      </w:r>
    </w:p>
    <w:p>
      <w:r>
        <w:rPr>
          <w:b/>
        </w:rPr>
        <w:t xml:space="preserve">13 </w:t>
      </w:r>
      <w:r>
        <w:t xml:space="preserve">Who is man wanting life, loving days to see good things?</w:t>
      </w:r>
    </w:p>
    <w:p>
      <w:r>
        <w:rPr>
          <w:b/>
        </w:rPr>
        <w:t xml:space="preserve">14 </w:t>
      </w:r>
      <w:r>
        <w:t xml:space="preserve">Stop your tongue from evil and your lips from speaking deceit.</w:t>
      </w:r>
    </w:p>
    <w:p>
      <w:r>
        <w:rPr>
          <w:b/>
        </w:rPr>
        <w:t xml:space="preserve">15 </w:t>
      </w:r>
      <w:r>
        <w:t xml:space="preserve">Turn away from evil and do good; seek peace and pursue it.</w:t>
      </w:r>
    </w:p>
    <w:p>
      <w:r>
        <w:rPr>
          <w:b/>
        </w:rPr>
        <w:t xml:space="preserve">16 </w:t>
      </w:r>
      <w:r>
        <w:t xml:space="preserve">The eyes of the Lord are upon righteous ones and his ears toward their petition.</w:t>
      </w:r>
    </w:p>
    <w:p>
      <w:r>
        <w:rPr>
          <w:b/>
        </w:rPr>
        <w:t xml:space="preserve">17 </w:t>
      </w:r>
      <w:r>
        <w:t xml:space="preserve">But the face of the Lord against those doing evils, to destroy their memorial from earth.</w:t>
      </w:r>
    </w:p>
    <w:p>
      <w:r>
        <w:rPr>
          <w:b/>
        </w:rPr>
        <w:t xml:space="preserve">18 </w:t>
      </w:r>
      <w:r>
        <w:t xml:space="preserve">The righteous cried out and the Lord heard them, and rescued them from all their afflictions.</w:t>
      </w:r>
    </w:p>
    <w:p>
      <w:r>
        <w:rPr>
          <w:b/>
        </w:rPr>
        <w:t xml:space="preserve">19 </w:t>
      </w:r>
      <w:r>
        <w:t xml:space="preserve">The Lord near to those crushed in heart, and he will save humble in spirit.</w:t>
      </w:r>
    </w:p>
    <w:p>
      <w:r>
        <w:rPr>
          <w:b/>
        </w:rPr>
        <w:t xml:space="preserve">20 </w:t>
      </w:r>
      <w:r>
        <w:t xml:space="preserve">Many are the afflictions of the righteous ones, and from all of them he will rescue them.</w:t>
      </w:r>
      <w:r>
        <w:rPr>
          <w:rStyle w:val="FootnoteReference"/>
        </w:rPr>
        <w:footnoteReference w:id="10574"/>
      </w:r>
      <w:r>
        <w:t xml:space="preserve"/>
      </w:r>
    </w:p>
    <w:p>
      <w:r>
        <w:rPr>
          <w:b/>
        </w:rPr>
        <w:t xml:space="preserve">21 </w:t>
      </w:r>
      <w:r>
        <w:t xml:space="preserve">The Lord guards all their bones; not one of them will be broken.</w:t>
      </w:r>
    </w:p>
    <w:p>
      <w:r>
        <w:rPr>
          <w:b/>
        </w:rPr>
        <w:t xml:space="preserve">22 </w:t>
      </w:r>
      <w:r>
        <w:t xml:space="preserve">The death of sinners is evil, and those hating the righteous man will go astray.</w:t>
      </w:r>
      <w:r>
        <w:rPr>
          <w:rStyle w:val="FootnoteReference"/>
        </w:rPr>
        <w:footnoteReference w:id="10575"/>
      </w:r>
      <w:r>
        <w:t xml:space="preserve"/>
      </w:r>
    </w:p>
    <w:p>
      <w:r>
        <w:rPr>
          <w:b/>
        </w:rPr>
        <w:t xml:space="preserve">23 </w:t>
      </w:r>
      <w:r>
        <w:t xml:space="preserve">The Lord will redeem souls of his servants, and all hoping upon him will by no means go astray.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rPr>
          <w:i/>
        </w:rPr>
        <w:t xml:space="preserve">Of David.</w:t>
      </w:r>
      <w:r>
        <w:br/>
      </w:r>
      <w:r>
        <w:t xml:space="preserve">Judge, Lord, those doing me injustice; war against those warring against me.</w:t>
      </w:r>
    </w:p>
    <w:p>
      <w:r>
        <w:rPr>
          <w:b/>
        </w:rPr>
        <w:t xml:space="preserve">2 </w:t>
      </w:r>
      <w:r>
        <w:t xml:space="preserve">Take hold of weapon and shield, and rise up for my help.</w:t>
      </w:r>
    </w:p>
    <w:p>
      <w:r>
        <w:rPr>
          <w:b/>
        </w:rPr>
        <w:t xml:space="preserve">3 </w:t>
      </w:r>
      <w:r>
        <w:t xml:space="preserve">Pour out sword and shut off those opposite my pursuers; say to my soul, I am your salvation.</w:t>
      </w:r>
    </w:p>
    <w:p>
      <w:r>
        <w:rPr>
          <w:b/>
        </w:rPr>
        <w:t xml:space="preserve">4 </w:t>
      </w:r>
      <w:r>
        <w:t xml:space="preserve">Let those seeking my soul be ashamed and put to shame; let those devising evils for me turn backward and be ashamed.</w:t>
      </w:r>
    </w:p>
    <w:p>
      <w:r>
        <w:rPr>
          <w:b/>
        </w:rPr>
        <w:t xml:space="preserve">5 </w:t>
      </w:r>
      <w:r>
        <w:t xml:space="preserve">Let them become like chaff before wind, and angel of the Lord afflicting them.</w:t>
      </w:r>
    </w:p>
    <w:p>
      <w:r>
        <w:rPr>
          <w:b/>
        </w:rPr>
        <w:t xml:space="preserve">6 </w:t>
      </w:r>
      <w:r>
        <w:t xml:space="preserve">Let their way become darkness and slipperiness, and angel of the Lord pursuing them.</w:t>
      </w:r>
    </w:p>
    <w:p>
      <w:r>
        <w:rPr>
          <w:b/>
        </w:rPr>
        <w:t xml:space="preserve">7 </w:t>
      </w:r>
      <w:r>
        <w:t xml:space="preserve">Because without cause they hid for me destruction of their snare; in vain they reproached my soul.</w:t>
      </w:r>
    </w:p>
    <w:p>
      <w:r>
        <w:rPr>
          <w:b/>
        </w:rPr>
        <w:t xml:space="preserve">8 </w:t>
      </w:r>
      <w:r>
        <w:t xml:space="preserve">Let snare come upon them which they do not know, and hunt which they hid catch them, and in that snare let them fall.</w:t>
      </w:r>
    </w:p>
    <w:p>
      <w:r>
        <w:rPr>
          <w:b/>
        </w:rPr>
        <w:t xml:space="preserve">9 </w:t>
      </w:r>
      <w:r>
        <w:t xml:space="preserve">But my soul will rejoice in the Lord, delighting in his salvation.</w:t>
      </w:r>
    </w:p>
    <w:p>
      <w:r>
        <w:rPr>
          <w:b/>
        </w:rPr>
        <w:t xml:space="preserve">10 </w:t>
      </w:r>
      <w:r>
        <w:t xml:space="preserve">All my bones will say, Lord, who like you, rescuing a poor man from the hand of those stronger than he, and a poor and needy one from those plundering him?</w:t>
      </w:r>
      <w:r>
        <w:rPr>
          <w:rStyle w:val="FootnoteReference"/>
        </w:rPr>
        <w:footnoteReference w:id="10576"/>
      </w:r>
    </w:p>
    <w:p>
      <w:r>
        <w:rPr>
          <w:b/>
        </w:rPr>
        <w:t xml:space="preserve">11 </w:t>
      </w:r>
      <w:r>
        <w:t xml:space="preserve">Unjust witnesses rising up asked me things I did not know.</w:t>
      </w:r>
    </w:p>
    <w:p>
      <w:r>
        <w:rPr>
          <w:b/>
        </w:rPr>
        <w:t xml:space="preserve">12 </w:t>
      </w:r>
      <w:r>
        <w:t xml:space="preserve">They repaid me evils for good things and childlessness to my soul.</w:t>
      </w:r>
    </w:p>
    <w:p>
      <w:r>
        <w:rPr>
          <w:b/>
        </w:rPr>
        <w:t xml:space="preserve">13 </w:t>
      </w:r>
      <w:r>
        <w:t xml:space="preserve">But when they troubled me, I clothed myself in sackcloth and humbled my soul in fasting, and my prayer will return into my bosom.</w:t>
      </w:r>
    </w:p>
    <w:p>
      <w:r>
        <w:rPr>
          <w:b/>
        </w:rPr>
        <w:t xml:space="preserve">14 </w:t>
      </w:r>
      <w:r>
        <w:t xml:space="preserve">Like neighbor, like our brother, so I was pleasing; like mourning and glooming, so I humbled myself.</w:t>
      </w:r>
    </w:p>
    <w:p>
      <w:r>
        <w:rPr>
          <w:b/>
        </w:rPr>
        <w:t xml:space="preserve">15 </w:t>
      </w:r>
      <w:r>
        <w:t xml:space="preserve">And against me they rejoiced and gathered together; scourges gathered upon me and I did not know; they were torn apart and were not pierced through.</w:t>
      </w:r>
    </w:p>
    <w:p>
      <w:r>
        <w:rPr>
          <w:b/>
        </w:rPr>
        <w:t xml:space="preserve">16 </w:t>
      </w:r>
      <w:r>
        <w:t xml:space="preserve">They tested me, mocked me with mocking, gnashed their teeth at me.</w:t>
      </w:r>
    </w:p>
    <w:p>
      <w:r>
        <w:rPr>
          <w:b/>
        </w:rPr>
        <w:t xml:space="preserve">17 </w:t>
      </w:r>
      <w:r>
        <w:t xml:space="preserve">Lord, when will you look? Restore my soul from their villainies, my only one from lions.</w:t>
      </w:r>
    </w:p>
    <w:p>
      <w:r>
        <w:rPr>
          <w:b/>
        </w:rPr>
        <w:t xml:space="preserve">18 </w:t>
      </w:r>
      <w:r>
        <w:t xml:space="preserve">I will confess to you, Lord, in great assembly; among heavy people I will praise you.</w:t>
      </w:r>
    </w:p>
    <w:p>
      <w:r>
        <w:rPr>
          <w:b/>
        </w:rPr>
        <w:t xml:space="preserve">19 </w:t>
      </w:r>
      <w:r>
        <w:t xml:space="preserve">Let those hating me unjustly not rejoice over me, those hating me without cause and winking with eyes,</w:t>
      </w:r>
    </w:p>
    <w:p>
      <w:r>
        <w:rPr>
          <w:b/>
        </w:rPr>
        <w:t xml:space="preserve">20 </w:t>
      </w:r>
      <w:r>
        <w:t xml:space="preserve">because to me they spoke peaceful things, and in anger they devised deceits.</w:t>
      </w:r>
    </w:p>
    <w:p>
      <w:r>
        <w:rPr>
          <w:b/>
        </w:rPr>
        <w:t xml:space="preserve">21 </w:t>
      </w:r>
      <w:r>
        <w:t xml:space="preserve">And they opened wide their mouth upon me; they said, Good, good, our eyes saw.</w:t>
      </w:r>
    </w:p>
    <w:p>
      <w:r>
        <w:rPr>
          <w:b/>
        </w:rPr>
        <w:t xml:space="preserve">22 </w:t>
      </w:r>
      <w:r>
        <w:t xml:space="preserve">You saw, Lord; do not be silent. Lord, do not stand far from me.</w:t>
      </w:r>
    </w:p>
    <w:p>
      <w:r>
        <w:rPr>
          <w:b/>
        </w:rPr>
        <w:t xml:space="preserve">23 </w:t>
      </w:r>
      <w:r>
        <w:t xml:space="preserve">Wake up, Lord, and attend to my judgment, my God and my Lord, to my case.</w:t>
      </w:r>
    </w:p>
    <w:p>
      <w:r>
        <w:rPr>
          <w:b/>
        </w:rPr>
        <w:t xml:space="preserve">24 </w:t>
      </w:r>
      <w:r>
        <w:t xml:space="preserve">Judge me according to your righteousness, Lord my God, and let them not rejoice over me.</w:t>
      </w:r>
    </w:p>
    <w:p>
      <w:r>
        <w:rPr>
          <w:b/>
        </w:rPr>
        <w:t xml:space="preserve">25 </w:t>
      </w:r>
      <w:r>
        <w:t xml:space="preserve">Let them not say in their hearts, Good, good, to our soul, nor say, We swallowed him up.</w:t>
      </w:r>
    </w:p>
    <w:p>
      <w:r>
        <w:rPr>
          <w:b/>
        </w:rPr>
        <w:t xml:space="preserve">26 </w:t>
      </w:r>
      <w:r>
        <w:t xml:space="preserve">Let those rejoicing at my evils be ashamed and put to shame together; let those speaking great things against me be clothed with shame and embarrassment.</w:t>
      </w:r>
    </w:p>
    <w:p>
      <w:r>
        <w:rPr>
          <w:b/>
        </w:rPr>
        <w:t xml:space="preserve">27 </w:t>
      </w:r>
      <w:r>
        <w:t xml:space="preserve">Let those wanting my righteousness rejoice and be glad, and let them always say, Let the Lord be magnified, those wanting peace of his servant.</w:t>
      </w:r>
    </w:p>
    <w:p>
      <w:r>
        <w:rPr>
          <w:b/>
        </w:rPr>
        <w:t xml:space="preserve">28 </w:t>
      </w:r>
      <w:r>
        <w:t xml:space="preserve">And my tongue will meditate your righteousness, all day your praise.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rPr>
          <w:i/>
        </w:rPr>
        <w:t xml:space="preserve">For end.</w:t>
      </w:r>
      <w:r>
        <w:br/>
      </w:r>
      <w:r>
        <w:t xml:space="preserve">To the servant of the Lord, David.</w:t>
      </w:r>
    </w:p>
    <w:p>
      <w:r>
        <w:rPr>
          <w:b/>
        </w:rPr>
        <w:t xml:space="preserve">2 </w:t>
      </w:r>
      <w:r>
        <w:t xml:space="preserve">The lawless man says of sinning within himself, There is no fear of God before his eyes.</w:t>
      </w:r>
    </w:p>
    <w:p>
      <w:r>
        <w:rPr>
          <w:b/>
        </w:rPr>
        <w:t xml:space="preserve">3 </w:t>
      </w:r>
      <w:r>
        <w:t xml:space="preserve">Because he dealt deceitfully before him, to find his lawlessness and hate it.</w:t>
      </w:r>
    </w:p>
    <w:p>
      <w:r>
        <w:rPr>
          <w:b/>
        </w:rPr>
        <w:t xml:space="preserve">4 </w:t>
      </w:r>
      <w:r>
        <w:t xml:space="preserve">The words of his mouth lawlessness and deceit; he did not wish to understand so as to do good.</w:t>
      </w:r>
    </w:p>
    <w:p>
      <w:r>
        <w:rPr>
          <w:b/>
        </w:rPr>
        <w:t xml:space="preserve">5 </w:t>
      </w:r>
      <w:r>
        <w:t xml:space="preserve">He devised lawlessness upon his bed; he stood upon every way not good, and he did not loathe evil.</w:t>
      </w:r>
    </w:p>
    <w:p>
      <w:r>
        <w:rPr>
          <w:b/>
        </w:rPr>
        <w:t xml:space="preserve">6 </w:t>
      </w:r>
      <w:r>
        <w:t xml:space="preserve">Lord, in heaven your mercy and your truth up to clouds.</w:t>
      </w:r>
    </w:p>
    <w:p>
      <w:r>
        <w:rPr>
          <w:b/>
        </w:rPr>
        <w:t xml:space="preserve">7 </w:t>
      </w:r>
      <w:r>
        <w:t xml:space="preserve">Your righteousness like mountains of God; your judgments great deep. Men and cattle you will save, Lord.</w:t>
      </w:r>
    </w:p>
    <w:p>
      <w:r>
        <w:rPr>
          <w:b/>
        </w:rPr>
        <w:t xml:space="preserve">8 </w:t>
      </w:r>
      <w:r>
        <w:t xml:space="preserve">How you multiplied your mercy, God; but sons of men will hope in the shelter of your wings.</w:t>
      </w:r>
    </w:p>
    <w:p>
      <w:r>
        <w:rPr>
          <w:b/>
        </w:rPr>
        <w:t xml:space="preserve">9 </w:t>
      </w:r>
      <w:r>
        <w:t xml:space="preserve">They will be intoxicated from richness of your house, and you will give them drink from torrent of your delight.</w:t>
      </w:r>
    </w:p>
    <w:p>
      <w:r>
        <w:rPr>
          <w:b/>
        </w:rPr>
        <w:t xml:space="preserve">10 </w:t>
      </w:r>
      <w:r>
        <w:t xml:space="preserve">Because with you spring of life; in your light we will see light.</w:t>
      </w:r>
    </w:p>
    <w:p>
      <w:r>
        <w:rPr>
          <w:b/>
        </w:rPr>
        <w:t xml:space="preserve">11 </w:t>
      </w:r>
      <w:r>
        <w:t xml:space="preserve">Stretch out your mercy to those knowing you and your righteousness to upright in heart.</w:t>
      </w:r>
    </w:p>
    <w:p>
      <w:r>
        <w:rPr>
          <w:b/>
        </w:rPr>
        <w:t xml:space="preserve">12 </w:t>
      </w:r>
      <w:r>
        <w:t xml:space="preserve">Let the foot of pride not come to me, and the hand of sinners not shake me.</w:t>
      </w:r>
      <w:r>
        <w:rPr>
          <w:rStyle w:val="FootnoteReference"/>
        </w:rPr>
        <w:footnoteReference w:id="10577"/>
      </w:r>
      <w:r>
        <w:t xml:space="preserve"/>
      </w:r>
    </w:p>
    <w:p>
      <w:r>
        <w:rPr>
          <w:b/>
        </w:rPr>
        <w:t xml:space="preserve">13 </w:t>
      </w:r>
      <w:r>
        <w:t xml:space="preserve">There the workers of lawlessness fell; they were thrust out and will not be able to stand.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rPr>
          <w:i/>
        </w:rPr>
        <w:t xml:space="preserve">Of David.</w:t>
      </w:r>
      <w:r>
        <w:br/>
      </w:r>
      <w:r>
        <w:t xml:space="preserve">Do not be jealous among evildoers, nor envy those doing lawlessness,</w:t>
      </w:r>
    </w:p>
    <w:p>
      <w:r>
        <w:rPr>
          <w:b/>
        </w:rPr>
        <w:t xml:space="preserve">2 </w:t>
      </w:r>
      <w:r>
        <w:t xml:space="preserve">because like grass they will quickly dry up, and like green herbs they will quickly fall away.</w:t>
      </w:r>
    </w:p>
    <w:p>
      <w:r>
        <w:rPr>
          <w:b/>
        </w:rPr>
        <w:t xml:space="preserve">3 </w:t>
      </w:r>
      <w:r>
        <w:t xml:space="preserve">Hope upon the Lord and do kindness, and dwell in earth, and you will be shepherded upon its wealth.</w:t>
      </w:r>
    </w:p>
    <w:p>
      <w:r>
        <w:rPr>
          <w:b/>
        </w:rPr>
        <w:t xml:space="preserve">4 </w:t>
      </w:r>
      <w:r>
        <w:t xml:space="preserve">Take delight in the Lord, and he will give you requests of your heart.</w:t>
      </w:r>
    </w:p>
    <w:p>
      <w:r>
        <w:rPr>
          <w:b/>
        </w:rPr>
        <w:t xml:space="preserve">5 </w:t>
      </w:r>
      <w:r>
        <w:t xml:space="preserve">Reveal your way to the Lord and hope upon him, and he will do it.</w:t>
      </w:r>
    </w:p>
    <w:p>
      <w:r>
        <w:rPr>
          <w:b/>
        </w:rPr>
        <w:t xml:space="preserve">6 </w:t>
      </w:r>
      <w:r>
        <w:t xml:space="preserve">And he will bring out your righteousness</w:t>
      </w:r>
      <w:r>
        <w:rPr>
          <w:rStyle w:val="FootnoteReference"/>
        </w:rPr>
        <w:footnoteReference w:id="10578"/>
      </w:r>
      <w:r>
        <w:t xml:space="preserve"> like light and your judgment like noonday.</w:t>
      </w:r>
    </w:p>
    <w:p>
      <w:r>
        <w:rPr>
          <w:b/>
        </w:rPr>
        <w:t xml:space="preserve">7 </w:t>
      </w:r>
      <w:r>
        <w:t xml:space="preserve">Be subjected to the Lord and entreat him. Do not be jealous in one prospering in his way, in man doing lawless things.</w:t>
      </w:r>
    </w:p>
    <w:p>
      <w:r>
        <w:rPr>
          <w:b/>
        </w:rPr>
        <w:t xml:space="preserve">8 </w:t>
      </w:r>
      <w:r>
        <w:t xml:space="preserve">Cease from anger and leave wrath behind; do not be jealous so as to do evil.</w:t>
      </w:r>
    </w:p>
    <w:p>
      <w:r>
        <w:rPr>
          <w:b/>
        </w:rPr>
        <w:t xml:space="preserve">9 </w:t>
      </w:r>
      <w:r>
        <w:t xml:space="preserve">Because evildoers will be utterly destroyed, but those enduring Lord, they will inherit earth.</w:t>
      </w:r>
    </w:p>
    <w:p>
      <w:r>
        <w:rPr>
          <w:b/>
        </w:rPr>
        <w:t xml:space="preserve">10 </w:t>
      </w:r>
      <w:r>
        <w:t xml:space="preserve">And still a little, and sinner will by no means exist; and you will seek his place and by no means find it.</w:t>
      </w:r>
    </w:p>
    <w:p>
      <w:r>
        <w:rPr>
          <w:b/>
        </w:rPr>
        <w:t xml:space="preserve">11 </w:t>
      </w:r>
      <w:r>
        <w:t xml:space="preserve">But meek ones will inherit earth and take delight in the abundance of peace.</w:t>
      </w:r>
    </w:p>
    <w:p>
      <w:r>
        <w:rPr>
          <w:b/>
        </w:rPr>
        <w:t xml:space="preserve">12 </w:t>
      </w:r>
      <w:r>
        <w:t xml:space="preserve">The sinner will watch a righteous man and gnash his teeth upon him.</w:t>
      </w:r>
    </w:p>
    <w:p>
      <w:r>
        <w:rPr>
          <w:b/>
        </w:rPr>
        <w:t xml:space="preserve">13 </w:t>
      </w:r>
      <w:r>
        <w:t xml:space="preserve">But the Lord will laugh at him, because he foresees that his day will come.</w:t>
      </w:r>
    </w:p>
    <w:p>
      <w:r>
        <w:rPr>
          <w:b/>
        </w:rPr>
        <w:t xml:space="preserve">14 </w:t>
      </w:r>
      <w:r>
        <w:t xml:space="preserve">Sinners drew sword and stretched their bow, to cast down poor and needy, to slaughter upright in heart.</w:t>
      </w:r>
    </w:p>
    <w:p>
      <w:r>
        <w:rPr>
          <w:b/>
        </w:rPr>
        <w:t xml:space="preserve">15 </w:t>
      </w:r>
      <w:r>
        <w:t xml:space="preserve">Their sword may enter into their heart, and their bows may be broken.</w:t>
      </w:r>
    </w:p>
    <w:p>
      <w:r>
        <w:rPr>
          <w:b/>
        </w:rPr>
        <w:t xml:space="preserve">16 </w:t>
      </w:r>
      <w:r>
        <w:t xml:space="preserve">Better a little thing to the righteous man than much wealth of sinners,</w:t>
      </w:r>
      <w:r>
        <w:rPr>
          <w:rStyle w:val="FootnoteReference"/>
        </w:rPr>
        <w:footnoteReference w:id="10579"/>
      </w:r>
      <w:r>
        <w:t xml:space="preserve"/>
      </w:r>
    </w:p>
    <w:p>
      <w:r>
        <w:rPr>
          <w:b/>
        </w:rPr>
        <w:t xml:space="preserve">17 </w:t>
      </w:r>
      <w:r>
        <w:t xml:space="preserve">because the arms of sinners will be broken, but the Lord supports righteous ones.</w:t>
      </w:r>
      <w:r>
        <w:rPr>
          <w:rStyle w:val="FootnoteReference"/>
        </w:rPr>
        <w:footnoteReference w:id="10580"/>
      </w:r>
      <w:r>
        <w:t xml:space="preserve"/>
      </w:r>
    </w:p>
    <w:p>
      <w:r>
        <w:rPr>
          <w:b/>
        </w:rPr>
        <w:t xml:space="preserve">18 </w:t>
      </w:r>
      <w:r>
        <w:t xml:space="preserve">The Lord knows ways of blameless ones, and their inheritance will be into age.</w:t>
      </w:r>
    </w:p>
    <w:p>
      <w:r>
        <w:rPr>
          <w:b/>
        </w:rPr>
        <w:t xml:space="preserve">19 </w:t>
      </w:r>
      <w:r>
        <w:t xml:space="preserve">They will not be ashamed in evil season, and in the days of famine they will be filled.</w:t>
      </w:r>
    </w:p>
    <w:p>
      <w:r>
        <w:rPr>
          <w:b/>
        </w:rPr>
        <w:t xml:space="preserve">20 </w:t>
      </w:r>
      <w:r>
        <w:t xml:space="preserve">Because sinners will perish, and enemies of the Lord, when they are glorified and lifted up, failing away like smoke they failed away.</w:t>
      </w:r>
    </w:p>
    <w:p>
      <w:r>
        <w:rPr>
          <w:b/>
        </w:rPr>
        <w:t xml:space="preserve">21 </w:t>
      </w:r>
      <w:r>
        <w:t xml:space="preserve">The sinner borrows and will not repay, but a righteous man has compassion and gives.</w:t>
      </w:r>
    </w:p>
    <w:p>
      <w:r>
        <w:rPr>
          <w:b/>
        </w:rPr>
        <w:t xml:space="preserve">22 </w:t>
      </w:r>
      <w:r>
        <w:t xml:space="preserve">Because those blessing him will inherit earth, but those cursing him will be utterly destroyed.</w:t>
      </w:r>
    </w:p>
    <w:p>
      <w:r>
        <w:rPr>
          <w:b/>
        </w:rPr>
        <w:t xml:space="preserve">23 </w:t>
      </w:r>
      <w:r>
        <w:t xml:space="preserve">From the Lord the steps of a man are directed straight, and he will desire his way.</w:t>
      </w:r>
    </w:p>
    <w:p>
      <w:r>
        <w:rPr>
          <w:b/>
        </w:rPr>
        <w:t xml:space="preserve">24 </w:t>
      </w:r>
      <w:r>
        <w:t xml:space="preserve">When he falls, he will not be dashed down, because the Lord supports his hand.</w:t>
      </w:r>
    </w:p>
    <w:p>
      <w:r>
        <w:rPr>
          <w:b/>
        </w:rPr>
        <w:t xml:space="preserve">25 </w:t>
      </w:r>
      <w:r>
        <w:t xml:space="preserve">I became younger and indeed I grew old, and I did not see a righteous man forsaken, nor his seed seeking breads.</w:t>
      </w:r>
      <w:r>
        <w:rPr>
          <w:rStyle w:val="FootnoteReference"/>
        </w:rPr>
        <w:footnoteReference w:id="10581"/>
      </w:r>
      <w:r>
        <w:t xml:space="preserve"/>
      </w:r>
    </w:p>
    <w:p>
      <w:r>
        <w:rPr>
          <w:b/>
        </w:rPr>
        <w:t xml:space="preserve">26 </w:t>
      </w:r>
      <w:r>
        <w:t xml:space="preserve">All day he has mercy and lends, and his seed will be into blessing.</w:t>
      </w:r>
    </w:p>
    <w:p>
      <w:r>
        <w:rPr>
          <w:b/>
        </w:rPr>
        <w:t xml:space="preserve">27 </w:t>
      </w:r>
      <w:r>
        <w:t xml:space="preserve">Turn away from evil and do good, and dwell into age of age,</w:t>
      </w:r>
    </w:p>
    <w:p>
      <w:r>
        <w:rPr>
          <w:b/>
        </w:rPr>
        <w:t xml:space="preserve">28 </w:t>
      </w:r>
      <w:r>
        <w:t xml:space="preserve">because the Lord loves judgment and will not forsake his holy ones. Into age they will be guarded, but lawless men will be driven out, and the seed of ungodly men will be utterly destroyed.</w:t>
      </w:r>
      <w:r>
        <w:rPr>
          <w:rStyle w:val="FootnoteReference"/>
        </w:rPr>
        <w:footnoteReference w:id="10582"/>
      </w:r>
    </w:p>
    <w:p>
      <w:r>
        <w:rPr>
          <w:b/>
        </w:rPr>
        <w:t xml:space="preserve">29 </w:t>
      </w:r>
      <w:r>
        <w:t xml:space="preserve">But righteous ones will inherit earth and dwell upon it into age of age.</w:t>
      </w:r>
    </w:p>
    <w:p>
      <w:r>
        <w:rPr>
          <w:b/>
        </w:rPr>
        <w:t xml:space="preserve">30 </w:t>
      </w:r>
      <w:r>
        <w:t xml:space="preserve">The mouth of a righteous man will meditate wisdom, and his tongue will speak judgment.</w:t>
      </w:r>
      <w:r>
        <w:rPr>
          <w:rStyle w:val="FootnoteReference"/>
        </w:rPr>
        <w:footnoteReference w:id="10583"/>
      </w:r>
      <w:r>
        <w:t xml:space="preserve"/>
      </w:r>
    </w:p>
    <w:p>
      <w:r>
        <w:rPr>
          <w:b/>
        </w:rPr>
        <w:t xml:space="preserve">31 </w:t>
      </w:r>
      <w:r>
        <w:t xml:space="preserve">The law of his God is in his heart, and his steps will not be tripped up.</w:t>
      </w:r>
    </w:p>
    <w:p>
      <w:r>
        <w:rPr>
          <w:b/>
        </w:rPr>
        <w:t xml:space="preserve">32 </w:t>
      </w:r>
      <w:r>
        <w:t xml:space="preserve">The sinner watches a righteous man and seeks to put him to death.</w:t>
      </w:r>
    </w:p>
    <w:p>
      <w:r>
        <w:rPr>
          <w:b/>
        </w:rPr>
        <w:t xml:space="preserve">33 </w:t>
      </w:r>
      <w:r>
        <w:t xml:space="preserve">But the Lord will by no means forsake him into his hands, nor by any means condemn him when judgment comes to him.</w:t>
      </w:r>
    </w:p>
    <w:p>
      <w:r>
        <w:rPr>
          <w:b/>
        </w:rPr>
        <w:t xml:space="preserve">34 </w:t>
      </w:r>
      <w:r>
        <w:t xml:space="preserve">Wait for the Lord and keep his way, and he will lift you up to inherit earth; when sinners are utterly destroyed you will see.</w:t>
      </w:r>
    </w:p>
    <w:p>
      <w:r>
        <w:rPr>
          <w:b/>
        </w:rPr>
        <w:t xml:space="preserve">35 </w:t>
      </w:r>
      <w:r>
        <w:t xml:space="preserve">I saw an ungodly man</w:t>
      </w:r>
      <w:r>
        <w:rPr>
          <w:rStyle w:val="FootnoteReference"/>
        </w:rPr>
        <w:footnoteReference w:id="10584"/>
      </w:r>
      <w:r>
        <w:t xml:space="preserve"> highly exalted and lifted up like cedars of Lebanon.</w:t>
      </w:r>
    </w:p>
    <w:p>
      <w:r>
        <w:rPr>
          <w:b/>
        </w:rPr>
        <w:t xml:space="preserve">36 </w:t>
      </w:r>
      <w:r>
        <w:t xml:space="preserve">And I passed by, and behold, he was not; and I sought him, and his place was not found.</w:t>
      </w:r>
    </w:p>
    <w:p>
      <w:r>
        <w:rPr>
          <w:b/>
        </w:rPr>
        <w:t xml:space="preserve">37 </w:t>
      </w:r>
      <w:r>
        <w:t xml:space="preserve">Guard innocence and see uprightness, because there is remnant for peaceful man.</w:t>
      </w:r>
    </w:p>
    <w:p>
      <w:r>
        <w:rPr>
          <w:b/>
        </w:rPr>
        <w:t xml:space="preserve">38 </w:t>
      </w:r>
      <w:r>
        <w:t xml:space="preserve">But lawless men will be utterly destroyed together; the remnants of ungodly men will be utterly destroyed.</w:t>
      </w:r>
      <w:r>
        <w:rPr>
          <w:rStyle w:val="FootnoteReference"/>
        </w:rPr>
        <w:footnoteReference w:id="10585"/>
      </w:r>
      <w:r>
        <w:t xml:space="preserve"/>
      </w:r>
    </w:p>
    <w:p>
      <w:r>
        <w:rPr>
          <w:b/>
        </w:rPr>
        <w:t xml:space="preserve">39 </w:t>
      </w:r>
      <w:r>
        <w:t xml:space="preserve">But salvation of the righteous ones is from the Lord, and he is their defender in the time of affliction.</w:t>
      </w:r>
      <w:r>
        <w:rPr>
          <w:rStyle w:val="FootnoteReference"/>
        </w:rPr>
        <w:footnoteReference w:id="10586"/>
      </w:r>
      <w:r>
        <w:t xml:space="preserve"/>
      </w:r>
    </w:p>
    <w:p>
      <w:r>
        <w:rPr>
          <w:b/>
        </w:rPr>
        <w:t xml:space="preserve">40 </w:t>
      </w:r>
      <w:r>
        <w:t xml:space="preserve">And the Lord will help them and rescue them and deliver them from sinners and save them, because they hoped upon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37</w:t>
      </w:r>
    </w:p>
    <w:p>
      <w:r>
        <w:rPr>
          <w:b/>
        </w:rPr>
        <w:t xml:space="preserve">1 </w:t>
      </w:r>
      <w:r>
        <w:rPr>
          <w:i/>
        </w:rPr>
        <w:t xml:space="preserve">Psalm of David, for remembrance concerning Sabbath.</w:t>
      </w:r>
      <w:r>
        <w:t xml:space="preserve"/>
      </w:r>
    </w:p>
    <w:p>
      <w:r>
        <w:rPr>
          <w:b/>
        </w:rPr>
        <w:t xml:space="preserve">2 </w:t>
      </w:r>
      <w:r>
        <w:t xml:space="preserve">Lord, do not reprove me in your fury, nor discipline me in your anger,</w:t>
      </w:r>
    </w:p>
    <w:p>
      <w:r>
        <w:rPr>
          <w:b/>
        </w:rPr>
        <w:t xml:space="preserve">3 </w:t>
      </w:r>
      <w:r>
        <w:t xml:space="preserve">because your arrows were fixed in me and you set your hand firmly upon me.</w:t>
      </w:r>
    </w:p>
    <w:p>
      <w:r>
        <w:rPr>
          <w:b/>
        </w:rPr>
        <w:t xml:space="preserve">4 </w:t>
      </w:r>
      <w:r>
        <w:t xml:space="preserve">There is no healing in my flesh from the face of your wrath; no peace to my bones from the face of my sins.</w:t>
      </w:r>
    </w:p>
    <w:p>
      <w:r>
        <w:rPr>
          <w:b/>
        </w:rPr>
        <w:t xml:space="preserve">5 </w:t>
      </w:r>
      <w:r>
        <w:t xml:space="preserve">Because my lawless acts rose above my head; like heavy burden they weighed heavily upon me.</w:t>
      </w:r>
    </w:p>
    <w:p>
      <w:r>
        <w:rPr>
          <w:b/>
        </w:rPr>
        <w:t xml:space="preserve">6 </w:t>
      </w:r>
      <w:r>
        <w:t xml:space="preserve">My wounds stank and rotted from the face of my foolishness.</w:t>
      </w:r>
    </w:p>
    <w:p>
      <w:r>
        <w:rPr>
          <w:b/>
        </w:rPr>
        <w:t xml:space="preserve">7 </w:t>
      </w:r>
      <w:r>
        <w:t xml:space="preserve">I was miserable and bent down to end; all day mourning-faced I went about.</w:t>
      </w:r>
    </w:p>
    <w:p>
      <w:r>
        <w:rPr>
          <w:b/>
        </w:rPr>
        <w:t xml:space="preserve">8 </w:t>
      </w:r>
      <w:r>
        <w:t xml:space="preserve">Because my loins were filled with mockings, and there is no healing in my flesh.</w:t>
      </w:r>
    </w:p>
    <w:p>
      <w:r>
        <w:rPr>
          <w:b/>
        </w:rPr>
        <w:t xml:space="preserve">9 </w:t>
      </w:r>
      <w:r>
        <w:t xml:space="preserve">I was afflicted and humbled beyond measure; I roared from groaning of my heart.</w:t>
      </w:r>
    </w:p>
    <w:p>
      <w:r>
        <w:rPr>
          <w:b/>
        </w:rPr>
        <w:t xml:space="preserve">10 </w:t>
      </w:r>
      <w:r>
        <w:t xml:space="preserve">Lord, all my desire before you, and my groaning was not hidden from you.</w:t>
      </w:r>
    </w:p>
    <w:p>
      <w:r>
        <w:rPr>
          <w:b/>
        </w:rPr>
        <w:t xml:space="preserve">11 </w:t>
      </w:r>
      <w:r>
        <w:t xml:space="preserve">My heart was troubled; my strength forsook me, and light of my eyes, even this not with me.</w:t>
      </w:r>
    </w:p>
    <w:p>
      <w:r>
        <w:rPr>
          <w:b/>
        </w:rPr>
        <w:t xml:space="preserve">12 </w:t>
      </w:r>
      <w:r>
        <w:t xml:space="preserve">My friends and my neighbors drew near opposite me and stood, and my near ones stood far off.</w:t>
      </w:r>
    </w:p>
    <w:p>
      <w:r>
        <w:rPr>
          <w:b/>
        </w:rPr>
        <w:t xml:space="preserve">13 </w:t>
      </w:r>
      <w:r>
        <w:t xml:space="preserve">And those seeking my soul used violence, and those seeking my evils spoke vanities and meditated deceits all day.</w:t>
      </w:r>
    </w:p>
    <w:p>
      <w:r>
        <w:rPr>
          <w:b/>
        </w:rPr>
        <w:t xml:space="preserve">14 </w:t>
      </w:r>
      <w:r>
        <w:t xml:space="preserve">But I like a deaf man was not hearing, and like mute not opening his mouth.</w:t>
      </w:r>
    </w:p>
    <w:p>
      <w:r>
        <w:rPr>
          <w:b/>
        </w:rPr>
        <w:t xml:space="preserve">15 </w:t>
      </w:r>
      <w:r>
        <w:t xml:space="preserve">And I became like a man not hearing and not having reproofs in his mouth.</w:t>
      </w:r>
    </w:p>
    <w:p>
      <w:r>
        <w:rPr>
          <w:b/>
        </w:rPr>
        <w:t xml:space="preserve">16 </w:t>
      </w:r>
      <w:r>
        <w:t xml:space="preserve">Because upon you, Lord, I hoped; you will hear, Lord my God.</w:t>
      </w:r>
    </w:p>
    <w:p>
      <w:r>
        <w:rPr>
          <w:b/>
        </w:rPr>
        <w:t xml:space="preserve">17 </w:t>
      </w:r>
      <w:r>
        <w:t xml:space="preserve">Because I said, Lest my enemies rejoice over me, and when my feet are shaken they spoke great things against me.</w:t>
      </w:r>
    </w:p>
    <w:p>
      <w:r>
        <w:rPr>
          <w:b/>
        </w:rPr>
        <w:t xml:space="preserve">18 </w:t>
      </w:r>
      <w:r>
        <w:t xml:space="preserve">Because I am ready for scourges, and my pain before me always.</w:t>
      </w:r>
    </w:p>
    <w:p>
      <w:r>
        <w:rPr>
          <w:b/>
        </w:rPr>
        <w:t xml:space="preserve">19 </w:t>
      </w:r>
      <w:r>
        <w:t xml:space="preserve">Because my lawlessness I will announce, and I will be anxious concerning my sin.</w:t>
      </w:r>
    </w:p>
    <w:p>
      <w:r>
        <w:rPr>
          <w:b/>
        </w:rPr>
        <w:t xml:space="preserve">20 </w:t>
      </w:r>
      <w:r>
        <w:t xml:space="preserve">But my enemies live and are stronger than I, and those hating me unjustly were multiplied.</w:t>
      </w:r>
    </w:p>
    <w:p>
      <w:r>
        <w:rPr>
          <w:b/>
        </w:rPr>
        <w:t xml:space="preserve">21 </w:t>
      </w:r>
      <w:r>
        <w:t xml:space="preserve">Those repaying evil for good slandered me because I pursued righteousness and cast me away, beloved one, like a dead man abhorred.</w:t>
      </w:r>
    </w:p>
    <w:p>
      <w:r>
        <w:rPr>
          <w:b/>
        </w:rPr>
        <w:t xml:space="preserve">22 </w:t>
      </w:r>
      <w:r>
        <w:t xml:space="preserve">Do not forsake me, Lord my God; do not stand far from me.</w:t>
      </w:r>
    </w:p>
    <w:p>
      <w:r>
        <w:rPr>
          <w:b/>
        </w:rPr>
        <w:t xml:space="preserve">23 </w:t>
      </w:r>
      <w:r>
        <w:t xml:space="preserve">Attend to my help, Lord of my salvation.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38</w:t>
      </w:r>
    </w:p>
    <w:p>
      <w:r>
        <w:rPr>
          <w:b/>
        </w:rPr>
        <w:t xml:space="preserve">1 </w:t>
      </w:r>
      <w:r>
        <w:rPr>
          <w:i/>
        </w:rPr>
        <w:t xml:space="preserve">For end.</w:t>
      </w:r>
      <w:r>
        <w:br/>
      </w:r>
      <w:r>
        <w:t xml:space="preserve">To Jeduthun. Song of David.</w:t>
      </w:r>
    </w:p>
    <w:p>
      <w:r>
        <w:rPr>
          <w:b/>
        </w:rPr>
        <w:t xml:space="preserve">2 </w:t>
      </w:r>
      <w:r>
        <w:t xml:space="preserve">I said, I will guard my ways so as not to sin with my tongue; I set guard for my mouth when sinner stood opposite me.</w:t>
      </w:r>
    </w:p>
    <w:p>
      <w:r>
        <w:rPr>
          <w:b/>
        </w:rPr>
        <w:t xml:space="preserve">3 </w:t>
      </w:r>
      <w:r>
        <w:t xml:space="preserve">I became mute and humbled and was silent from good things, and my pain was renewed.</w:t>
      </w:r>
    </w:p>
    <w:p>
      <w:r>
        <w:rPr>
          <w:b/>
        </w:rPr>
        <w:t xml:space="preserve">4 </w:t>
      </w:r>
      <w:r>
        <w:t xml:space="preserve">My heart grew hot within me, and in my meditation fire will blaze; I spoke with my tongue,</w:t>
      </w:r>
    </w:p>
    <w:p>
      <w:r>
        <w:rPr>
          <w:b/>
        </w:rPr>
        <w:t xml:space="preserve">5 </w:t>
      </w:r>
      <w:r>
        <w:t xml:space="preserve">Make known to me, Lord, my end and number of my days, what it is, that I may know what I lack.</w:t>
      </w:r>
    </w:p>
    <w:p>
      <w:r>
        <w:rPr>
          <w:b/>
        </w:rPr>
        <w:t xml:space="preserve">6 </w:t>
      </w:r>
      <w:r>
        <w:t xml:space="preserve">Behold, you made my days old-span lengths, and my existence like nothing before you. Yet all things vanity, every living man. Interlude.</w:t>
      </w:r>
    </w:p>
    <w:p>
      <w:r>
        <w:rPr>
          <w:b/>
        </w:rPr>
        <w:t xml:space="preserve">7 </w:t>
      </w:r>
      <w:r>
        <w:t xml:space="preserve">Surely man passes by in image; yet in vain they are troubled; he stores up and does not know for whom he will gather them.</w:t>
      </w:r>
    </w:p>
    <w:p>
      <w:r>
        <w:rPr>
          <w:b/>
        </w:rPr>
        <w:t xml:space="preserve">8 </w:t>
      </w:r>
      <w:r>
        <w:t xml:space="preserve">And now what is my endurance? Is it not Lord? And my substance is from you.</w:t>
      </w:r>
    </w:p>
    <w:p>
      <w:r>
        <w:rPr>
          <w:b/>
        </w:rPr>
        <w:t xml:space="preserve">9 </w:t>
      </w:r>
      <w:r>
        <w:t xml:space="preserve">From all my lawless acts rescue me; you gave me as reproach to fool.</w:t>
      </w:r>
    </w:p>
    <w:p>
      <w:r>
        <w:rPr>
          <w:b/>
        </w:rPr>
        <w:t xml:space="preserve">10 </w:t>
      </w:r>
      <w:r>
        <w:t xml:space="preserve">I became mute and did not open my mouth, because you are one who made me.</w:t>
      </w:r>
    </w:p>
    <w:p>
      <w:r>
        <w:rPr>
          <w:b/>
        </w:rPr>
        <w:t xml:space="preserve">11 </w:t>
      </w:r>
      <w:r>
        <w:t xml:space="preserve">Remove your scourges from me; from the strength of your hand I failed away.</w:t>
      </w:r>
    </w:p>
    <w:p>
      <w:r>
        <w:rPr>
          <w:b/>
        </w:rPr>
        <w:t xml:space="preserve">12 </w:t>
      </w:r>
      <w:r>
        <w:t xml:space="preserve">With reproofs over lawlessness you disciplined man and melted his soul like a spider. Yet in vain every man is troubled. Interlude.</w:t>
      </w:r>
    </w:p>
    <w:p>
      <w:r>
        <w:rPr>
          <w:b/>
        </w:rPr>
        <w:t xml:space="preserve">13 </w:t>
      </w:r>
      <w:r>
        <w:t xml:space="preserve">Hear my prayer, Lord, and give ear to my petition. Do not be silent at my tears, because I am sojourner with you and passing resident, like all my fathers.</w:t>
      </w:r>
    </w:p>
    <w:p>
      <w:r>
        <w:rPr>
          <w:b/>
        </w:rPr>
        <w:t xml:space="preserve">14 </w:t>
      </w:r>
      <w:r>
        <w:t xml:space="preserve">Leave me, that I may be refreshed before I depart and no longer exist.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39</w:t>
      </w:r>
    </w:p>
    <w:p>
      <w:r>
        <w:rPr>
          <w:b/>
        </w:rPr>
        <w:t xml:space="preserve">1 </w:t>
      </w:r>
      <w:r>
        <w:rPr>
          <w:i/>
        </w:rPr>
        <w:t xml:space="preserve">For end. Psalm of David.</w:t>
      </w:r>
      <w:r>
        <w:t xml:space="preserve"/>
      </w:r>
    </w:p>
    <w:p>
      <w:r>
        <w:rPr>
          <w:b/>
        </w:rPr>
        <w:t xml:space="preserve">2 </w:t>
      </w:r>
      <w:r>
        <w:t xml:space="preserve">Waiting, I waited for the Lord, and he attended to me and heard my petition.</w:t>
      </w:r>
    </w:p>
    <w:p>
      <w:r>
        <w:rPr>
          <w:b/>
        </w:rPr>
        <w:t xml:space="preserve">3 </w:t>
      </w:r>
      <w:r>
        <w:t xml:space="preserve">And he brought me up from pit of misery and from mud of mire and set my feet upon rock and straightened my steps.</w:t>
      </w:r>
    </w:p>
    <w:p>
      <w:r>
        <w:rPr>
          <w:b/>
        </w:rPr>
        <w:t xml:space="preserve">4 </w:t>
      </w:r>
      <w:r>
        <w:t xml:space="preserve">And he threw into my mouth new song, hymn to our God. Many will see and fear and hope upon the Lord.</w:t>
      </w:r>
    </w:p>
    <w:p>
      <w:r>
        <w:rPr>
          <w:b/>
        </w:rPr>
        <w:t xml:space="preserve">5 </w:t>
      </w:r>
      <w:r>
        <w:t xml:space="preserve">Blessed is the man whose hope is the name of the Lord, and did not look toward vanities and false frenzies.</w:t>
      </w:r>
    </w:p>
    <w:p>
      <w:r>
        <w:rPr>
          <w:b/>
        </w:rPr>
        <w:t xml:space="preserve">6 </w:t>
      </w:r>
      <w:r>
        <w:t xml:space="preserve">Many things you did, Lord my God, your wonders; and in your reasonings there is none who will be likened to you. I declared and spoke; they were multiplied beyond number.</w:t>
      </w:r>
    </w:p>
    <w:p>
      <w:r>
        <w:rPr>
          <w:b/>
        </w:rPr>
        <w:t xml:space="preserve">7 </w:t>
      </w:r>
      <w:r>
        <w:t xml:space="preserve">Sacrifice and offering you did not want, but ears you fitted for me; whole burnt offering and concerning sin you did not ask.</w:t>
      </w:r>
    </w:p>
    <w:p>
      <w:r>
        <w:rPr>
          <w:b/>
        </w:rPr>
        <w:t xml:space="preserve">8 </w:t>
      </w:r>
      <w:r>
        <w:t xml:space="preserve">Then I said, Behold, I came. In head-roll of book it is written concerning me.</w:t>
      </w:r>
    </w:p>
    <w:p>
      <w:r>
        <w:rPr>
          <w:b/>
        </w:rPr>
        <w:t xml:space="preserve">9 </w:t>
      </w:r>
      <w:r>
        <w:t xml:space="preserve">To do your will, O my God, I wanted, and your law in the midst of my belly.</w:t>
      </w:r>
    </w:p>
    <w:p>
      <w:r>
        <w:rPr>
          <w:b/>
        </w:rPr>
        <w:t xml:space="preserve">10 </w:t>
      </w:r>
      <w:r>
        <w:t xml:space="preserve">I proclaimed righteousness in great assembly; behold, my lips I will by no means restrain. Lord, you knew.</w:t>
      </w:r>
    </w:p>
    <w:p>
      <w:r>
        <w:rPr>
          <w:b/>
        </w:rPr>
        <w:t xml:space="preserve">11 </w:t>
      </w:r>
      <w:r>
        <w:t xml:space="preserve">Your righteousness I did not hide in my heart; your truth and your salvation I spoke; I did not hide your mercy and your truth from great gathering.</w:t>
      </w:r>
    </w:p>
    <w:p>
      <w:r>
        <w:rPr>
          <w:b/>
        </w:rPr>
        <w:t xml:space="preserve">12 </w:t>
      </w:r>
      <w:r>
        <w:t xml:space="preserve">But you, Lord, do not keep your compassions far from me; your mercy and your truth always supported me.</w:t>
      </w:r>
    </w:p>
    <w:p>
      <w:r>
        <w:rPr>
          <w:b/>
        </w:rPr>
        <w:t xml:space="preserve">13 </w:t>
      </w:r>
      <w:r>
        <w:t xml:space="preserve">Because evils without number enclosed me; my lawless acts overtook me and I was not able to look. They were multiplied beyond hairs of my head, and my heart forsook me.</w:t>
      </w:r>
    </w:p>
    <w:p>
      <w:r>
        <w:rPr>
          <w:b/>
        </w:rPr>
        <w:t xml:space="preserve">14 </w:t>
      </w:r>
      <w:r>
        <w:t xml:space="preserve">Be pleased, Lord, to rescue me; Lord, attend to help me.</w:t>
      </w:r>
    </w:p>
    <w:p>
      <w:r>
        <w:rPr>
          <w:b/>
        </w:rPr>
        <w:t xml:space="preserve">15 </w:t>
      </w:r>
      <w:r>
        <w:t xml:space="preserve">Let those seeking my soul to take it away be ashamed and put to shame together; let those wanting evils for me turn backward and be put to shame.</w:t>
      </w:r>
    </w:p>
    <w:p>
      <w:r>
        <w:rPr>
          <w:b/>
        </w:rPr>
        <w:t xml:space="preserve">16 </w:t>
      </w:r>
      <w:r>
        <w:t xml:space="preserve">Let those saying to me, Good, good, carry away at once their shame.</w:t>
      </w:r>
    </w:p>
    <w:p>
      <w:r>
        <w:rPr>
          <w:b/>
        </w:rPr>
        <w:t xml:space="preserve">17 </w:t>
      </w:r>
      <w:r>
        <w:t xml:space="preserve">Let all seeking you rejoice and be glad upon you, Lord, and let those loving your salvation always say, Let the Lord be magnified.</w:t>
      </w:r>
    </w:p>
    <w:p>
      <w:r>
        <w:rPr>
          <w:b/>
        </w:rPr>
        <w:t xml:space="preserve">18 </w:t>
      </w:r>
      <w:r>
        <w:t xml:space="preserve">But I am poor and needy; The Lord will care for me. My helper and my defender are you; my God, do not delay.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40</w:t>
      </w:r>
    </w:p>
    <w:p>
      <w:r>
        <w:rPr>
          <w:b/>
        </w:rPr>
        <w:t xml:space="preserve">1 </w:t>
      </w:r>
      <w:r>
        <w:rPr>
          <w:i/>
        </w:rPr>
        <w:t xml:space="preserve">For end. Psalm of David.</w:t>
      </w:r>
      <w:r>
        <w:t xml:space="preserve"/>
      </w:r>
    </w:p>
    <w:p>
      <w:r>
        <w:rPr>
          <w:b/>
        </w:rPr>
        <w:t xml:space="preserve">2 </w:t>
      </w:r>
      <w:r>
        <w:t xml:space="preserve">Blessed is the one understanding concerning poor and needy man; in evil day the Lord will rescue him.</w:t>
      </w:r>
    </w:p>
    <w:p>
      <w:r>
        <w:rPr>
          <w:b/>
        </w:rPr>
        <w:t xml:space="preserve">3 </w:t>
      </w:r>
      <w:r>
        <w:t xml:space="preserve">The Lord guard him and make him live and bless him in earth and not hand him over into the hands of his enemy.</w:t>
      </w:r>
    </w:p>
    <w:p>
      <w:r>
        <w:rPr>
          <w:b/>
        </w:rPr>
        <w:t xml:space="preserve">4 </w:t>
      </w:r>
      <w:r>
        <w:t xml:space="preserve">The Lord help him upon the bed of his pain; you turned all his bed in his sickness.</w:t>
      </w:r>
    </w:p>
    <w:p>
      <w:r>
        <w:rPr>
          <w:b/>
        </w:rPr>
        <w:t xml:space="preserve">5 </w:t>
      </w:r>
      <w:r>
        <w:t xml:space="preserve">I said, Lord, have mercy on me; heal my soul, because I sinned against you.</w:t>
      </w:r>
    </w:p>
    <w:p>
      <w:r>
        <w:rPr>
          <w:b/>
        </w:rPr>
        <w:t xml:space="preserve">6 </w:t>
      </w:r>
      <w:r>
        <w:t xml:space="preserve">My enemies spoke evils to me: When will he die and his name perish?</w:t>
      </w:r>
    </w:p>
    <w:p>
      <w:r>
        <w:rPr>
          <w:b/>
        </w:rPr>
        <w:t xml:space="preserve">7 </w:t>
      </w:r>
      <w:r>
        <w:t xml:space="preserve">And if he entered to see, he spoke vain things; his heart gathered lawlessness to itself; he went outside and spoke.</w:t>
      </w:r>
    </w:p>
    <w:p>
      <w:r>
        <w:rPr>
          <w:b/>
        </w:rPr>
        <w:t xml:space="preserve">8 </w:t>
      </w:r>
      <w:r>
        <w:t xml:space="preserve">Together all my enemies whispered against me; against me they reasoned evils for me:</w:t>
      </w:r>
    </w:p>
    <w:p>
      <w:r>
        <w:rPr>
          <w:b/>
        </w:rPr>
        <w:t xml:space="preserve">9 </w:t>
      </w:r>
      <w:r>
        <w:t xml:space="preserve">They set lawless word against me: Will not one lying down add to rise again?</w:t>
      </w:r>
    </w:p>
    <w:p>
      <w:r>
        <w:rPr>
          <w:b/>
        </w:rPr>
        <w:t xml:space="preserve">10 </w:t>
      </w:r>
      <w:r>
        <w:t xml:space="preserve">And indeed man of my peace, upon whom I hoped, one eating my breads, magnified heel-tripping against me.</w:t>
      </w:r>
    </w:p>
    <w:p>
      <w:r>
        <w:rPr>
          <w:b/>
        </w:rPr>
        <w:t xml:space="preserve">11 </w:t>
      </w:r>
      <w:r>
        <w:t xml:space="preserve">But you, Lord, have mercy on me and raise me up, and I will repay them.</w:t>
      </w:r>
    </w:p>
    <w:p>
      <w:r>
        <w:rPr>
          <w:b/>
        </w:rPr>
        <w:t xml:space="preserve">12 </w:t>
      </w:r>
      <w:r>
        <w:t xml:space="preserve">In this I knew that you wanted me, because my enemy will by no means rejoice over me.</w:t>
      </w:r>
    </w:p>
    <w:p>
      <w:r>
        <w:rPr>
          <w:b/>
        </w:rPr>
        <w:t xml:space="preserve">13 </w:t>
      </w:r>
      <w:r>
        <w:t xml:space="preserve">But of me, because of my innocence, you took hold and established me before you into age.</w:t>
      </w:r>
    </w:p>
    <w:p>
      <w:r>
        <w:rPr>
          <w:b/>
        </w:rPr>
        <w:t xml:space="preserve">14 </w:t>
      </w:r>
      <w:r>
        <w:t xml:space="preserve">Blessed is the Lord God of Israel from age and into age. Let it be, let it be.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41</w:t>
      </w:r>
    </w:p>
    <w:p>
      <w:r>
        <w:rPr>
          <w:b/>
        </w:rPr>
        <w:t xml:space="preserve">1 </w:t>
      </w:r>
      <w:r>
        <w:rPr>
          <w:i/>
        </w:rPr>
        <w:t xml:space="preserve">For end, for understanding, for the sons of Korah.</w:t>
      </w:r>
      <w:r>
        <w:t xml:space="preserve"/>
      </w:r>
    </w:p>
    <w:p>
      <w:r>
        <w:rPr>
          <w:b/>
        </w:rPr>
        <w:t xml:space="preserve">2 </w:t>
      </w:r>
      <w:r>
        <w:t xml:space="preserve">As deer longs for springs of waters, so my soul longs for you, O God.</w:t>
      </w:r>
    </w:p>
    <w:p>
      <w:r>
        <w:rPr>
          <w:b/>
        </w:rPr>
        <w:t xml:space="preserve">3 </w:t>
      </w:r>
      <w:r>
        <w:t xml:space="preserve">My soul thirsted for living God; when will I come and appear before the face of God?</w:t>
      </w:r>
    </w:p>
    <w:p>
      <w:r>
        <w:rPr>
          <w:b/>
        </w:rPr>
        <w:t xml:space="preserve">4 </w:t>
      </w:r>
      <w:r>
        <w:t xml:space="preserve">My tears became bread to me day and night, while they say to me each day, Where is your God?</w:t>
      </w:r>
    </w:p>
    <w:p>
      <w:r>
        <w:rPr>
          <w:b/>
        </w:rPr>
        <w:t xml:space="preserve">5 </w:t>
      </w:r>
      <w:r>
        <w:t xml:space="preserve">These things I remembered, and I poured out my soul upon me, because I will pass through into place of wondrous tent, as far as the house of God, with the voice of exultation and confession, the sound of festival-keepers.</w:t>
      </w:r>
    </w:p>
    <w:p>
      <w:r>
        <w:rPr>
          <w:b/>
        </w:rPr>
        <w:t xml:space="preserve">6 </w:t>
      </w:r>
      <w:r>
        <w:t xml:space="preserve">Why are you sorrowful, my soul, and why do you trouble me? Hope upon God, because I will yet confess to him, salvation of my face, my God.</w:t>
      </w:r>
    </w:p>
    <w:p>
      <w:r>
        <w:rPr>
          <w:b/>
        </w:rPr>
        <w:t xml:space="preserve">7 </w:t>
      </w:r>
      <w:r>
        <w:t xml:space="preserve">Toward myself my soul was troubled; therefore I will remember you from the land of Jordan and Hermoniim, from little mountain.</w:t>
      </w:r>
    </w:p>
    <w:p>
      <w:r>
        <w:rPr>
          <w:b/>
        </w:rPr>
        <w:t xml:space="preserve">8 </w:t>
      </w:r>
      <w:r>
        <w:t xml:space="preserve">Abyss calls abyss at the sound of your cataracts; all your surges and your waves passed over me.</w:t>
      </w:r>
    </w:p>
    <w:p>
      <w:r>
        <w:rPr>
          <w:b/>
        </w:rPr>
        <w:t xml:space="preserve">9 </w:t>
      </w:r>
      <w:r>
        <w:t xml:space="preserve">By day the Lord will command his mercy, and by night his song with me, prayer to God of my life.</w:t>
      </w:r>
    </w:p>
    <w:p>
      <w:r>
        <w:rPr>
          <w:b/>
        </w:rPr>
        <w:t xml:space="preserve">10 </w:t>
      </w:r>
      <w:r>
        <w:t xml:space="preserve">I will say to God, my supporter, Why did you forget me? Why do I go gloomy when enemy afflicts me?</w:t>
      </w:r>
    </w:p>
    <w:p>
      <w:r>
        <w:rPr>
          <w:b/>
        </w:rPr>
        <w:t xml:space="preserve">11 </w:t>
      </w:r>
      <w:r>
        <w:t xml:space="preserve">When my bones were crushed, those afflicting me reproached me, while they say to me each day, Where is your God?</w:t>
      </w:r>
    </w:p>
    <w:p>
      <w:r>
        <w:rPr>
          <w:b/>
        </w:rPr>
        <w:t xml:space="preserve">12 </w:t>
      </w:r>
      <w:r>
        <w:t xml:space="preserve">Why are you sorrowful, my soul, and why do you trouble me? Hope upon God, because I will yet confess to him, salvation of my face, my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42</w:t>
      </w:r>
    </w:p>
    <w:p>
      <w:r>
        <w:rPr>
          <w:b/>
        </w:rPr>
        <w:t xml:space="preserve">1 </w:t>
      </w:r>
      <w:r>
        <w:rPr>
          <w:i/>
        </w:rPr>
        <w:t xml:space="preserve">Psalm of David.</w:t>
      </w:r>
      <w:r>
        <w:br/>
      </w:r>
      <w:r>
        <w:t xml:space="preserve">Judge me, O God, and judge my case from nation not holy; from unjust and deceitful man rescue me.</w:t>
      </w:r>
    </w:p>
    <w:p>
      <w:r>
        <w:rPr>
          <w:b/>
        </w:rPr>
        <w:t xml:space="preserve">2 </w:t>
      </w:r>
      <w:r>
        <w:t xml:space="preserve">Because you are God, my strength. Why did you reject me? Why do I go gloomy when enemy afflicts me?</w:t>
      </w:r>
    </w:p>
    <w:p>
      <w:r>
        <w:rPr>
          <w:b/>
        </w:rPr>
        <w:t xml:space="preserve">3 </w:t>
      </w:r>
      <w:r>
        <w:t xml:space="preserve">Send out your light and your truth; they guided me and brought me to your holy mountain and to your tabernacles.</w:t>
      </w:r>
    </w:p>
    <w:p>
      <w:r>
        <w:rPr>
          <w:b/>
        </w:rPr>
        <w:t xml:space="preserve">4 </w:t>
      </w:r>
      <w:r>
        <w:t xml:space="preserve">And I will go in to the altar of God, to God gladdening my youth; I will confess to you with harp, O God, my God.</w:t>
      </w:r>
    </w:p>
    <w:p>
      <w:r>
        <w:rPr>
          <w:b/>
        </w:rPr>
        <w:t xml:space="preserve">5 </w:t>
      </w:r>
      <w:r>
        <w:t xml:space="preserve">Why are you sorrowful, my soul, and why do you trouble me? Hope</w:t>
      </w:r>
      <w:r>
        <w:rPr>
          <w:rStyle w:val="FootnoteReference"/>
        </w:rPr>
        <w:footnoteReference w:id="10587"/>
      </w:r>
      <w:r>
        <w:t xml:space="preserve"> upon God, because I will yet confess to him, salvation of my face, my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43</w:t>
      </w:r>
    </w:p>
    <w:p>
      <w:r>
        <w:rPr>
          <w:b/>
        </w:rPr>
        <w:t xml:space="preserve">1 </w:t>
      </w:r>
      <w:r>
        <w:rPr>
          <w:i/>
        </w:rPr>
        <w:t xml:space="preserve">For end, for the sons of Korah, for understanding, psalm.</w:t>
      </w:r>
      <w:r>
        <w:t xml:space="preserve"/>
      </w:r>
    </w:p>
    <w:p>
      <w:r>
        <w:rPr>
          <w:b/>
        </w:rPr>
        <w:t xml:space="preserve">2 </w:t>
      </w:r>
      <w:r>
        <w:t xml:space="preserve">O God, with our ears we heard; our fathers told us work you worked in their days, in ancient days.</w:t>
      </w:r>
    </w:p>
    <w:p>
      <w:r>
        <w:rPr>
          <w:b/>
        </w:rPr>
        <w:t xml:space="preserve">3 </w:t>
      </w:r>
      <w:r>
        <w:t xml:space="preserve">Your hand destroyed nations, and you planted them; you afflicted peoples and cast them out.</w:t>
      </w:r>
    </w:p>
    <w:p>
      <w:r>
        <w:rPr>
          <w:b/>
        </w:rPr>
        <w:t xml:space="preserve">4 </w:t>
      </w:r>
      <w:r>
        <w:t xml:space="preserve">Because not by their sword did they inherit land, and their arm did not save them, but your right hand and your arm and light of your face, because you took pleasure in them.</w:t>
      </w:r>
    </w:p>
    <w:p>
      <w:r>
        <w:rPr>
          <w:b/>
        </w:rPr>
        <w:t xml:space="preserve">5 </w:t>
      </w:r>
      <w:r>
        <w:t xml:space="preserve">You are same my king and my God, one commanding salvations of Jacob.</w:t>
      </w:r>
    </w:p>
    <w:p>
      <w:r>
        <w:rPr>
          <w:b/>
        </w:rPr>
        <w:t xml:space="preserve">6 </w:t>
      </w:r>
      <w:r>
        <w:t xml:space="preserve">In you we will gore our enemies, and in your name we will despise those rising against us.</w:t>
      </w:r>
    </w:p>
    <w:p>
      <w:r>
        <w:rPr>
          <w:b/>
        </w:rPr>
        <w:t xml:space="preserve">7 </w:t>
      </w:r>
      <w:r>
        <w:t xml:space="preserve">Because not in my bow will I hope, and my sword will not save me.</w:t>
      </w:r>
    </w:p>
    <w:p>
      <w:r>
        <w:rPr>
          <w:b/>
        </w:rPr>
        <w:t xml:space="preserve">8 </w:t>
      </w:r>
      <w:r>
        <w:t xml:space="preserve">Because you saved us from those afflicting us, and those hating us you shamed.</w:t>
      </w:r>
    </w:p>
    <w:p>
      <w:r>
        <w:rPr>
          <w:b/>
        </w:rPr>
        <w:t xml:space="preserve">9 </w:t>
      </w:r>
      <w:r>
        <w:t xml:space="preserve">In God we will boast whole day, and in your name we will confess forever. Interlude.</w:t>
      </w:r>
    </w:p>
    <w:p>
      <w:r>
        <w:rPr>
          <w:b/>
        </w:rPr>
        <w:t xml:space="preserve">10 </w:t>
      </w:r>
      <w:r>
        <w:t xml:space="preserve">But now you rejected and shamed us, and you will not go out with our powers.</w:t>
      </w:r>
    </w:p>
    <w:p>
      <w:r>
        <w:rPr>
          <w:b/>
        </w:rPr>
        <w:t xml:space="preserve">11 </w:t>
      </w:r>
      <w:r>
        <w:t xml:space="preserve">You turned us back before our enemies, and those hating us plundered for themselves.</w:t>
      </w:r>
    </w:p>
    <w:p>
      <w:r>
        <w:rPr>
          <w:b/>
        </w:rPr>
        <w:t xml:space="preserve">12 </w:t>
      </w:r>
      <w:r>
        <w:t xml:space="preserve">You gave us like sheep for food, and among nations you scattered us.</w:t>
      </w:r>
    </w:p>
    <w:p>
      <w:r>
        <w:rPr>
          <w:b/>
        </w:rPr>
        <w:t xml:space="preserve">13 </w:t>
      </w:r>
      <w:r>
        <w:t xml:space="preserve">You sold your people without price, and there was no multitude in their exchanges.</w:t>
      </w:r>
    </w:p>
    <w:p>
      <w:r>
        <w:rPr>
          <w:b/>
        </w:rPr>
        <w:t xml:space="preserve">14 </w:t>
      </w:r>
      <w:r>
        <w:t xml:space="preserve">You made us reproach to our neighbors, mockery and derision to those around us.</w:t>
      </w:r>
    </w:p>
    <w:p>
      <w:r>
        <w:rPr>
          <w:b/>
        </w:rPr>
        <w:t xml:space="preserve">15 </w:t>
      </w:r>
      <w:r>
        <w:t xml:space="preserve">You made us proverb among nations, shaking of head among peoples.</w:t>
      </w:r>
    </w:p>
    <w:p>
      <w:r>
        <w:rPr>
          <w:b/>
        </w:rPr>
        <w:t xml:space="preserve">16 </w:t>
      </w:r>
      <w:r>
        <w:t xml:space="preserve">Whole day my shame before me, and shame of my face covered me,</w:t>
      </w:r>
    </w:p>
    <w:p>
      <w:r>
        <w:rPr>
          <w:b/>
        </w:rPr>
        <w:t xml:space="preserve">17 </w:t>
      </w:r>
      <w:r>
        <w:t xml:space="preserve">from the voice of reproacher and slanderer, from the face of enemy and pursuer.</w:t>
      </w:r>
    </w:p>
    <w:p>
      <w:r>
        <w:rPr>
          <w:b/>
        </w:rPr>
        <w:t xml:space="preserve">18 </w:t>
      </w:r>
      <w:r>
        <w:t xml:space="preserve">All these things came upon us, and we did not forget you, and we did not act unjustly in your covenant.</w:t>
      </w:r>
    </w:p>
    <w:p>
      <w:r>
        <w:rPr>
          <w:b/>
        </w:rPr>
        <w:t xml:space="preserve">19 </w:t>
      </w:r>
      <w:r>
        <w:t xml:space="preserve">And our heart did not turn back, and you turned our paths aside from your way,</w:t>
      </w:r>
    </w:p>
    <w:p>
      <w:r>
        <w:rPr>
          <w:b/>
        </w:rPr>
        <w:t xml:space="preserve">20 </w:t>
      </w:r>
      <w:r>
        <w:t xml:space="preserve">because you humbled us in place of affliction, and the shadow of death covered us.</w:t>
      </w:r>
    </w:p>
    <w:p>
      <w:r>
        <w:rPr>
          <w:b/>
        </w:rPr>
        <w:t xml:space="preserve">21 </w:t>
      </w:r>
      <w:r>
        <w:t xml:space="preserve">If we forgot name of our God and stretched out our hands to strange god,</w:t>
      </w:r>
    </w:p>
    <w:p>
      <w:r>
        <w:rPr>
          <w:b/>
        </w:rPr>
        <w:t xml:space="preserve">22 </w:t>
      </w:r>
      <w:r>
        <w:t xml:space="preserve">will not God seek these things out? For he knows hidden things of heart.</w:t>
      </w:r>
    </w:p>
    <w:p>
      <w:r>
        <w:rPr>
          <w:b/>
        </w:rPr>
        <w:t xml:space="preserve">23 </w:t>
      </w:r>
      <w:r>
        <w:t xml:space="preserve">Because for your sake we are put to death whole day; we were counted as sheep of slaughter.</w:t>
      </w:r>
    </w:p>
    <w:p>
      <w:r>
        <w:rPr>
          <w:b/>
        </w:rPr>
        <w:t xml:space="preserve">24 </w:t>
      </w:r>
      <w:r>
        <w:t xml:space="preserve">Awake. Why do you sleep, Lord? Rise up and do not reject to end.</w:t>
      </w:r>
    </w:p>
    <w:p>
      <w:r>
        <w:rPr>
          <w:b/>
        </w:rPr>
        <w:t xml:space="preserve">25 </w:t>
      </w:r>
      <w:r>
        <w:t xml:space="preserve">Why do you turn away your face, forgetting our poverty and our affliction?</w:t>
      </w:r>
    </w:p>
    <w:p>
      <w:r>
        <w:rPr>
          <w:b/>
        </w:rPr>
        <w:t xml:space="preserve">26 </w:t>
      </w:r>
      <w:r>
        <w:t xml:space="preserve">Because our soul was humbled into dust; our belly clung to earth.</w:t>
      </w:r>
    </w:p>
    <w:p>
      <w:r>
        <w:rPr>
          <w:b/>
        </w:rPr>
        <w:t xml:space="preserve">27 </w:t>
      </w:r>
      <w:r>
        <w:t xml:space="preserve">Rise up, Lord, help us, and redeem us for the sake of your name.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44</w:t>
      </w:r>
    </w:p>
    <w:p>
      <w:r>
        <w:rPr>
          <w:b/>
        </w:rPr>
        <w:t xml:space="preserve">1 </w:t>
      </w:r>
      <w:r>
        <w:rPr>
          <w:i/>
        </w:rPr>
        <w:t xml:space="preserve">For end, concerning those to be changed, for the sons of Korah, for understanding, song concerning beloved.</w:t>
      </w:r>
      <w:r>
        <w:t xml:space="preserve"/>
      </w:r>
    </w:p>
    <w:p>
      <w:r>
        <w:rPr>
          <w:b/>
        </w:rPr>
        <w:t xml:space="preserve">2 </w:t>
      </w:r>
      <w:r>
        <w:t xml:space="preserve">My heart poured forth good word; I speak my works to the king; my tongue reed of swift-writing scribe.</w:t>
      </w:r>
    </w:p>
    <w:p>
      <w:r>
        <w:rPr>
          <w:b/>
        </w:rPr>
        <w:t xml:space="preserve">3 </w:t>
      </w:r>
      <w:r>
        <w:t xml:space="preserve">Beautiful in form beyond sons of men; grace was poured upon your lips; therefore God blessed you forever.</w:t>
      </w:r>
    </w:p>
    <w:p>
      <w:r>
        <w:rPr>
          <w:b/>
        </w:rPr>
        <w:t xml:space="preserve">4 </w:t>
      </w:r>
      <w:r>
        <w:t xml:space="preserve">Gird your sword upon thigh, mighty one, in your beauty and your loveliness.</w:t>
      </w:r>
    </w:p>
    <w:p>
      <w:r>
        <w:rPr>
          <w:b/>
        </w:rPr>
        <w:t xml:space="preserve">5 </w:t>
      </w:r>
      <w:r>
        <w:t xml:space="preserve">And draw, and prosper, and reign, because of truth and meekness and righteousness, and your right hand will guide you wondrously.</w:t>
      </w:r>
    </w:p>
    <w:p>
      <w:r>
        <w:rPr>
          <w:b/>
        </w:rPr>
        <w:t xml:space="preserve">6 </w:t>
      </w:r>
      <w:r>
        <w:t xml:space="preserve">Your arrows sharpened, mighty one; peoples will fall under you, in the heart of enemies of the king.</w:t>
      </w:r>
    </w:p>
    <w:p>
      <w:r>
        <w:rPr>
          <w:b/>
        </w:rPr>
        <w:t xml:space="preserve">7 </w:t>
      </w:r>
      <w:r>
        <w:t xml:space="preserve">Your throne, O God, forever and ever; rod of uprightness rod of your kingdom.</w:t>
      </w:r>
    </w:p>
    <w:p>
      <w:r>
        <w:rPr>
          <w:b/>
        </w:rPr>
        <w:t xml:space="preserve">8 </w:t>
      </w:r>
      <w:r>
        <w:t xml:space="preserve">You loved righteousness and hated lawlessness; therefore God, your God, anointed you with the oil of exultation beyond your companions.</w:t>
      </w:r>
    </w:p>
    <w:p>
      <w:r>
        <w:rPr>
          <w:b/>
        </w:rPr>
        <w:t xml:space="preserve">9 </w:t>
      </w:r>
      <w:r>
        <w:t xml:space="preserve">Myrrh and stacte and cassia from your garments, from ivory palaces from which they gladdened you.</w:t>
      </w:r>
    </w:p>
    <w:p>
      <w:r>
        <w:rPr>
          <w:b/>
        </w:rPr>
        <w:t xml:space="preserve">10 </w:t>
      </w:r>
      <w:r>
        <w:t xml:space="preserve">Daughters of kings in your honor; queen stood at your right hand, clothed in gold-woven garments, adorned with many colors.</w:t>
      </w:r>
    </w:p>
    <w:p>
      <w:r>
        <w:rPr>
          <w:b/>
        </w:rPr>
        <w:t xml:space="preserve">11 </w:t>
      </w:r>
      <w:r>
        <w:t xml:space="preserve">Hear, daughter, and see, and incline your ear, and forget your people and house of your father,</w:t>
      </w:r>
    </w:p>
    <w:p>
      <w:r>
        <w:rPr>
          <w:b/>
        </w:rPr>
        <w:t xml:space="preserve">12 </w:t>
      </w:r>
      <w:r>
        <w:t xml:space="preserve">because the king desired your beauty, because he is your lord.</w:t>
      </w:r>
    </w:p>
    <w:p>
      <w:r>
        <w:rPr>
          <w:b/>
        </w:rPr>
        <w:t xml:space="preserve">13 </w:t>
      </w:r>
      <w:r>
        <w:t xml:space="preserve">And daughters of Tyre will worship him with gifts; rich ones of the people will entreat your face.</w:t>
      </w:r>
    </w:p>
    <w:p>
      <w:r>
        <w:rPr>
          <w:b/>
        </w:rPr>
        <w:t xml:space="preserve">14 </w:t>
      </w:r>
      <w:r>
        <w:t xml:space="preserve">All glory of daughter of the king within, clothed in golden fringes, adorned with many colors.</w:t>
      </w:r>
    </w:p>
    <w:p>
      <w:r>
        <w:rPr>
          <w:b/>
        </w:rPr>
        <w:t xml:space="preserve">15 </w:t>
      </w:r>
      <w:r>
        <w:t xml:space="preserve">Virgins after her will be brought to the king; her companions will be brought to you.</w:t>
      </w:r>
    </w:p>
    <w:p>
      <w:r>
        <w:rPr>
          <w:b/>
        </w:rPr>
        <w:t xml:space="preserve">16 </w:t>
      </w:r>
      <w:r>
        <w:t xml:space="preserve">They will be brought in gladness and exultation; they will be led into the temple of the king.</w:t>
      </w:r>
    </w:p>
    <w:p>
      <w:r>
        <w:rPr>
          <w:b/>
        </w:rPr>
        <w:t xml:space="preserve">17 </w:t>
      </w:r>
      <w:r>
        <w:t xml:space="preserve">In place of your fathers sons were born to you; you will appoint them rulers over all the earth.</w:t>
      </w:r>
    </w:p>
    <w:p>
      <w:r>
        <w:rPr>
          <w:b/>
        </w:rPr>
        <w:t xml:space="preserve">18 </w:t>
      </w:r>
      <w:r>
        <w:t xml:space="preserve">They will remember your name in every generation and generation; therefore peoples will confess to you forever, even forever and 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45</w:t>
      </w:r>
    </w:p>
    <w:p>
      <w:r>
        <w:rPr>
          <w:b/>
        </w:rPr>
        <w:t xml:space="preserve">1 </w:t>
      </w:r>
      <w:r>
        <w:rPr>
          <w:i/>
        </w:rPr>
        <w:t xml:space="preserve">For end, for the sons of Korah, concerning hidden things, psalm.</w:t>
      </w:r>
      <w:r>
        <w:t xml:space="preserve"/>
      </w:r>
    </w:p>
    <w:p>
      <w:r>
        <w:rPr>
          <w:b/>
        </w:rPr>
        <w:t xml:space="preserve">2 </w:t>
      </w:r>
      <w:r>
        <w:t xml:space="preserve">God ours refuge and strength, helper in afflictions that found us greatly.</w:t>
      </w:r>
    </w:p>
    <w:p>
      <w:r>
        <w:rPr>
          <w:b/>
        </w:rPr>
        <w:t xml:space="preserve">3 </w:t>
      </w:r>
      <w:r>
        <w:t xml:space="preserve">Therefore we will not fear when earth is shaken and mountains are shifted into hearts of seas.</w:t>
      </w:r>
    </w:p>
    <w:p>
      <w:r>
        <w:rPr>
          <w:b/>
        </w:rPr>
        <w:t xml:space="preserve">4 </w:t>
      </w:r>
      <w:r>
        <w:t xml:space="preserve">Their waters roared and were troubled; mountains were troubled by his might. Interlude.</w:t>
      </w:r>
    </w:p>
    <w:p>
      <w:r>
        <w:rPr>
          <w:b/>
        </w:rPr>
        <w:t xml:space="preserve">5 </w:t>
      </w:r>
      <w:r>
        <w:t xml:space="preserve">Rushings of the river gladden the city of God; Most High sanctified his dwelling.</w:t>
      </w:r>
    </w:p>
    <w:p>
      <w:r>
        <w:rPr>
          <w:b/>
        </w:rPr>
        <w:t xml:space="preserve">6 </w:t>
      </w:r>
      <w:r>
        <w:t xml:space="preserve">God is in the midst of her; she will not be shaken. God will help her toward morning.</w:t>
      </w:r>
    </w:p>
    <w:p>
      <w:r>
        <w:rPr>
          <w:b/>
        </w:rPr>
        <w:t xml:space="preserve">7 </w:t>
      </w:r>
      <w:r>
        <w:t xml:space="preserve">Nations were troubled, kingdoms bowed; he gave his voice, earth was shaken.</w:t>
      </w:r>
    </w:p>
    <w:p>
      <w:r>
        <w:rPr>
          <w:b/>
        </w:rPr>
        <w:t xml:space="preserve">8 </w:t>
      </w:r>
      <w:r>
        <w:t xml:space="preserve">The Lord of hosts is with us; our supporter God of Jacob. Interlude.</w:t>
      </w:r>
    </w:p>
    <w:p>
      <w:r>
        <w:rPr>
          <w:b/>
        </w:rPr>
        <w:t xml:space="preserve">9 </w:t>
      </w:r>
      <w:r>
        <w:t xml:space="preserve">Come, see works of the Lord, what wonders he set upon</w:t>
      </w:r>
      <w:r>
        <w:rPr>
          <w:rStyle w:val="FootnoteReference"/>
        </w:rPr>
        <w:footnoteReference w:id="10588"/>
      </w:r>
      <w:r>
        <w:t xml:space="preserve"> earth,</w:t>
      </w:r>
    </w:p>
    <w:p>
      <w:r>
        <w:rPr>
          <w:b/>
        </w:rPr>
        <w:t xml:space="preserve">10 </w:t>
      </w:r>
      <w:r>
        <w:t xml:space="preserve">doing away wars to the ends of the earth. He will break bow and shatter weapon and burn shields in fire.</w:t>
      </w:r>
    </w:p>
    <w:p>
      <w:r>
        <w:rPr>
          <w:b/>
        </w:rPr>
        <w:t xml:space="preserve">11 </w:t>
      </w:r>
      <w:r>
        <w:t xml:space="preserve">Be still and know that I am God; I will be exalted among nations, I will be exalted in earth.</w:t>
      </w:r>
    </w:p>
    <w:p>
      <w:r>
        <w:rPr>
          <w:b/>
        </w:rPr>
        <w:t xml:space="preserve">12 </w:t>
      </w:r>
      <w:r>
        <w:t xml:space="preserve">The Lord of hosts is with us; our supporter God of Jacob.</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46</w:t>
      </w:r>
    </w:p>
    <w:p>
      <w:r>
        <w:rPr>
          <w:b/>
        </w:rPr>
        <w:t xml:space="preserve">1 </w:t>
      </w:r>
      <w:r>
        <w:rPr>
          <w:i/>
        </w:rPr>
        <w:t xml:space="preserve">For end, for the sons of Korah, psalm.</w:t>
      </w:r>
      <w:r>
        <w:t xml:space="preserve"/>
      </w:r>
    </w:p>
    <w:p>
      <w:r>
        <w:rPr>
          <w:b/>
        </w:rPr>
        <w:t xml:space="preserve">2 </w:t>
      </w:r>
      <w:r>
        <w:t xml:space="preserve">All nations, clap hands; shout to God with the voice of exultation.</w:t>
      </w:r>
    </w:p>
    <w:p>
      <w:r>
        <w:rPr>
          <w:b/>
        </w:rPr>
        <w:t xml:space="preserve">3 </w:t>
      </w:r>
      <w:r>
        <w:t xml:space="preserve">Because the Lord Most High is fearsome</w:t>
      </w:r>
      <w:r>
        <w:rPr>
          <w:rStyle w:val="FootnoteReference"/>
        </w:rPr>
        <w:footnoteReference w:id="10589"/>
      </w:r>
      <w:r>
        <w:t xml:space="preserve">, a great king over all the earth.</w:t>
      </w:r>
    </w:p>
    <w:p>
      <w:r>
        <w:rPr>
          <w:b/>
        </w:rPr>
        <w:t xml:space="preserve">4 </w:t>
      </w:r>
      <w:r>
        <w:t xml:space="preserve">He subjected peoples to us and nations under our feet.</w:t>
      </w:r>
    </w:p>
    <w:p>
      <w:r>
        <w:rPr>
          <w:b/>
        </w:rPr>
        <w:t xml:space="preserve">5 </w:t>
      </w:r>
      <w:r>
        <w:t xml:space="preserve">He chose for us his inheritance, beauty of Jacob which he loved. Interlude.</w:t>
      </w:r>
    </w:p>
    <w:p>
      <w:r>
        <w:rPr>
          <w:b/>
        </w:rPr>
        <w:t xml:space="preserve">6 </w:t>
      </w:r>
      <w:r>
        <w:t xml:space="preserve">God went up with a shout, the Lord with the voice of a trumpet.</w:t>
      </w:r>
    </w:p>
    <w:p>
      <w:r>
        <w:rPr>
          <w:b/>
        </w:rPr>
        <w:t xml:space="preserve">7 </w:t>
      </w:r>
      <w:r>
        <w:t xml:space="preserve">Sing to our God, sing; sing to our king, sing.</w:t>
      </w:r>
    </w:p>
    <w:p>
      <w:r>
        <w:rPr>
          <w:b/>
        </w:rPr>
        <w:t xml:space="preserve">8 </w:t>
      </w:r>
      <w:r>
        <w:t xml:space="preserve">Because God king of all the earth, sing with understanding.</w:t>
      </w:r>
    </w:p>
    <w:p>
      <w:r>
        <w:rPr>
          <w:b/>
        </w:rPr>
        <w:t xml:space="preserve">9 </w:t>
      </w:r>
      <w:r>
        <w:t xml:space="preserve">God reigned over nations; God sits upon his holy throne.</w:t>
      </w:r>
    </w:p>
    <w:p>
      <w:r>
        <w:rPr>
          <w:b/>
        </w:rPr>
        <w:t xml:space="preserve">10 </w:t>
      </w:r>
      <w:r>
        <w:t xml:space="preserve">The rulers of peoples gathered with the God of Abraham, because the mighty ones of the earth belong to God; they were greatly exalted.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47</w:t>
      </w:r>
    </w:p>
    <w:p>
      <w:r>
        <w:rPr>
          <w:b/>
        </w:rPr>
        <w:t xml:space="preserve">1 </w:t>
      </w:r>
      <w:r>
        <w:rPr>
          <w:i/>
        </w:rPr>
        <w:t xml:space="preserve">Psalm of song for the sons of Korah, second of Sabbath.</w:t>
      </w:r>
      <w:r>
        <w:t xml:space="preserve"/>
      </w:r>
    </w:p>
    <w:p>
      <w:r>
        <w:rPr>
          <w:b/>
        </w:rPr>
        <w:t xml:space="preserve">2 </w:t>
      </w:r>
      <w:r>
        <w:t xml:space="preserve">Great is the Lord and greatly praised in the city of our God, his holy mountain,</w:t>
      </w:r>
    </w:p>
    <w:p>
      <w:r>
        <w:rPr>
          <w:b/>
        </w:rPr>
        <w:t xml:space="preserve">3 </w:t>
      </w:r>
      <w:r>
        <w:t xml:space="preserve">well-rooted, joy of all the earth. Mounts of Zion, sides of north, city of great king.</w:t>
      </w:r>
    </w:p>
    <w:p>
      <w:r>
        <w:rPr>
          <w:b/>
        </w:rPr>
        <w:t xml:space="preserve">4 </w:t>
      </w:r>
      <w:r>
        <w:t xml:space="preserve">God in her citadels is known when he takes hold of her.</w:t>
      </w:r>
    </w:p>
    <w:p>
      <w:r>
        <w:rPr>
          <w:b/>
        </w:rPr>
        <w:t xml:space="preserve">5 </w:t>
      </w:r>
      <w:r>
        <w:t xml:space="preserve">Because behold, kings gathered; they came together.</w:t>
      </w:r>
    </w:p>
    <w:p>
      <w:r>
        <w:rPr>
          <w:b/>
        </w:rPr>
        <w:t xml:space="preserve">6 </w:t>
      </w:r>
      <w:r>
        <w:t xml:space="preserve">They, seeing thus, were astonished, were troubled, were shaken.</w:t>
      </w:r>
    </w:p>
    <w:p>
      <w:r>
        <w:rPr>
          <w:b/>
        </w:rPr>
        <w:t xml:space="preserve">7 </w:t>
      </w:r>
      <w:r>
        <w:t xml:space="preserve">Trembling seized them there, pangs as of a woman giving birth.</w:t>
      </w:r>
    </w:p>
    <w:p>
      <w:r>
        <w:rPr>
          <w:b/>
        </w:rPr>
        <w:t xml:space="preserve">8 </w:t>
      </w:r>
      <w:r>
        <w:t xml:space="preserve">With violent wind you will shatter ships of Tarshish.</w:t>
      </w:r>
    </w:p>
    <w:p>
      <w:r>
        <w:rPr>
          <w:b/>
        </w:rPr>
        <w:t xml:space="preserve">9 </w:t>
      </w:r>
      <w:r>
        <w:t xml:space="preserve">As we heard, so we saw in the city of the Lord of hosts, in the city of our God; God founded her forever. Interlude.</w:t>
      </w:r>
    </w:p>
    <w:p>
      <w:r>
        <w:rPr>
          <w:b/>
        </w:rPr>
        <w:t xml:space="preserve">10 </w:t>
      </w:r>
      <w:r>
        <w:t xml:space="preserve">We received, O God, your mercy in the midst of your temple.</w:t>
      </w:r>
    </w:p>
    <w:p>
      <w:r>
        <w:rPr>
          <w:b/>
        </w:rPr>
        <w:t xml:space="preserve">11 </w:t>
      </w:r>
      <w:r>
        <w:t xml:space="preserve">According to your name, O God, so also your praise to the ends of the earth; your right hand full of righteousness.</w:t>
      </w:r>
    </w:p>
    <w:p>
      <w:r>
        <w:rPr>
          <w:b/>
        </w:rPr>
        <w:t xml:space="preserve">12 </w:t>
      </w:r>
      <w:r>
        <w:t xml:space="preserve">Let Mount Zion rejoice; let daughters of Judah exult because of your judgments, Lord.</w:t>
      </w:r>
    </w:p>
    <w:p>
      <w:r>
        <w:rPr>
          <w:b/>
        </w:rPr>
        <w:t xml:space="preserve">13 </w:t>
      </w:r>
      <w:r>
        <w:t xml:space="preserve">Encircle Zion and surround her; tell in her towers.</w:t>
      </w:r>
    </w:p>
    <w:p>
      <w:r>
        <w:rPr>
          <w:b/>
        </w:rPr>
        <w:t xml:space="preserve">14 </w:t>
      </w:r>
      <w:r>
        <w:t xml:space="preserve">Set your hearts on her power and pass through her citadels, so that you may tell to another generation.</w:t>
      </w:r>
    </w:p>
    <w:p>
      <w:r>
        <w:rPr>
          <w:b/>
        </w:rPr>
        <w:t xml:space="preserve">15 </w:t>
      </w:r>
      <w:r>
        <w:t xml:space="preserve">Because this is God, our God forever and ever; he will shepherd us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48</w:t>
      </w:r>
    </w:p>
    <w:p>
      <w:r>
        <w:rPr>
          <w:b/>
        </w:rPr>
        <w:t xml:space="preserve">1 </w:t>
      </w:r>
      <w:r>
        <w:rPr>
          <w:i/>
        </w:rPr>
        <w:t xml:space="preserve">For end, for the sons of Korah, psalm.</w:t>
      </w:r>
      <w:r>
        <w:t xml:space="preserve"/>
      </w:r>
    </w:p>
    <w:p>
      <w:r>
        <w:rPr>
          <w:b/>
        </w:rPr>
        <w:t xml:space="preserve">2 </w:t>
      </w:r>
      <w:r>
        <w:t xml:space="preserve">Hear these things, all nations; give ear, all inhabiting world,</w:t>
      </w:r>
    </w:p>
    <w:p>
      <w:r>
        <w:rPr>
          <w:b/>
        </w:rPr>
        <w:t xml:space="preserve">3 </w:t>
      </w:r>
      <w:r>
        <w:t xml:space="preserve">both earthborn and sons of men together, rich and poor.</w:t>
      </w:r>
    </w:p>
    <w:p>
      <w:r>
        <w:rPr>
          <w:b/>
        </w:rPr>
        <w:t xml:space="preserve">4 </w:t>
      </w:r>
      <w:r>
        <w:t xml:space="preserve">My mouth will speak wisdom, and meditation of my heart understanding.</w:t>
      </w:r>
    </w:p>
    <w:p>
      <w:r>
        <w:rPr>
          <w:b/>
        </w:rPr>
        <w:t xml:space="preserve">5 </w:t>
      </w:r>
      <w:r>
        <w:t xml:space="preserve">I will incline my ear into parable; I will open my riddle on harp.</w:t>
      </w:r>
    </w:p>
    <w:p>
      <w:r>
        <w:rPr>
          <w:b/>
        </w:rPr>
        <w:t xml:space="preserve">6 </w:t>
      </w:r>
      <w:r>
        <w:t xml:space="preserve">Why do I fear</w:t>
      </w:r>
      <w:r>
        <w:rPr>
          <w:rStyle w:val="FootnoteReference"/>
        </w:rPr>
        <w:footnoteReference w:id="10590"/>
      </w:r>
      <w:r>
        <w:t xml:space="preserve"> in evil day? Lawlessness of my heel will surround me,</w:t>
      </w:r>
    </w:p>
    <w:p>
      <w:r>
        <w:rPr>
          <w:b/>
        </w:rPr>
        <w:t xml:space="preserve">7 </w:t>
      </w:r>
      <w:r>
        <w:t xml:space="preserve">those trusting in their strength and boasting in the abundance of their wealth.</w:t>
      </w:r>
    </w:p>
    <w:p>
      <w:r>
        <w:rPr>
          <w:b/>
        </w:rPr>
        <w:t xml:space="preserve">8 </w:t>
      </w:r>
      <w:r>
        <w:t xml:space="preserve">Brother is not redeemed; will man redeem? He will not give to God his atonement,</w:t>
      </w:r>
    </w:p>
    <w:p>
      <w:r>
        <w:rPr>
          <w:b/>
        </w:rPr>
        <w:t xml:space="preserve">9 </w:t>
      </w:r>
      <w:r>
        <w:t xml:space="preserve">even price of redemption of his soul,</w:t>
      </w:r>
    </w:p>
    <w:p>
      <w:r>
        <w:rPr>
          <w:b/>
        </w:rPr>
        <w:t xml:space="preserve">10 </w:t>
      </w:r>
      <w:r>
        <w:t xml:space="preserve">and he labored forever, and he will live to end. He will not see corruption when he sees wise men dying.</w:t>
      </w:r>
    </w:p>
    <w:p>
      <w:r>
        <w:rPr>
          <w:b/>
        </w:rPr>
        <w:t xml:space="preserve">11 </w:t>
      </w:r>
      <w:r>
        <w:t xml:space="preserve">Together fool and senseless will perish and leave their wealth to strangers.</w:t>
      </w:r>
    </w:p>
    <w:p>
      <w:r>
        <w:rPr>
          <w:b/>
        </w:rPr>
        <w:t xml:space="preserve">12 </w:t>
      </w:r>
      <w:r>
        <w:t xml:space="preserve">And their graves their houses forever, their dwellings from generation to generation; they called their names upon their lands.</w:t>
      </w:r>
    </w:p>
    <w:p>
      <w:r>
        <w:rPr>
          <w:b/>
        </w:rPr>
        <w:t xml:space="preserve">13 </w:t>
      </w:r>
      <w:r>
        <w:t xml:space="preserve">But man in honor did not understand; he was compared with mindless cattle and was made like them.</w:t>
      </w:r>
    </w:p>
    <w:p>
      <w:r>
        <w:rPr>
          <w:b/>
        </w:rPr>
        <w:t xml:space="preserve">14 </w:t>
      </w:r>
      <w:r>
        <w:t xml:space="preserve">This way of theirs stumbling-block to them, and after these things they will delight in their mouth. Interlude.</w:t>
      </w:r>
    </w:p>
    <w:p>
      <w:r>
        <w:rPr>
          <w:b/>
        </w:rPr>
        <w:t xml:space="preserve">15 </w:t>
      </w:r>
      <w:r>
        <w:t xml:space="preserve">Like sheep they were set in Hades; death will shepherd them, and upright ones will lord over them in morning, and their help will grow old in Hades, away from their glory.</w:t>
      </w:r>
    </w:p>
    <w:p>
      <w:r>
        <w:rPr>
          <w:b/>
        </w:rPr>
        <w:t xml:space="preserve">16 </w:t>
      </w:r>
      <w:r>
        <w:t xml:space="preserve">But God will redeem my soul from the hand of Hades when he receives me. Interlude.</w:t>
      </w:r>
    </w:p>
    <w:p>
      <w:r>
        <w:rPr>
          <w:b/>
        </w:rPr>
        <w:t xml:space="preserve">17 </w:t>
      </w:r>
      <w:r>
        <w:t xml:space="preserve">Do not fear when man becomes rich and glory of his house is multiplied,</w:t>
      </w:r>
    </w:p>
    <w:p>
      <w:r>
        <w:rPr>
          <w:b/>
        </w:rPr>
        <w:t xml:space="preserve">18 </w:t>
      </w:r>
      <w:r>
        <w:t xml:space="preserve">because when he dies he will take nothing; his glory will not go down with him.</w:t>
      </w:r>
    </w:p>
    <w:p>
      <w:r>
        <w:rPr>
          <w:b/>
        </w:rPr>
        <w:t xml:space="preserve">19 </w:t>
      </w:r>
      <w:r>
        <w:t xml:space="preserve">Because his soul in his life will be blessed; he will confess to you when you do good to him.</w:t>
      </w:r>
    </w:p>
    <w:p>
      <w:r>
        <w:rPr>
          <w:b/>
        </w:rPr>
        <w:t xml:space="preserve">20 </w:t>
      </w:r>
      <w:r>
        <w:t xml:space="preserve">He will go in as far as generation of his fathers; forever he will not see light.</w:t>
      </w:r>
    </w:p>
    <w:p>
      <w:r>
        <w:rPr>
          <w:b/>
        </w:rPr>
        <w:t xml:space="preserve">21 </w:t>
      </w:r>
      <w:r>
        <w:t xml:space="preserve">Man in honor did not understand; he was compared with mindless cattle and was made like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49</w:t>
      </w:r>
    </w:p>
    <w:p>
      <w:r>
        <w:rPr>
          <w:b/>
        </w:rPr>
        <w:t xml:space="preserve">1 </w:t>
      </w:r>
      <w:r>
        <w:rPr>
          <w:i/>
        </w:rPr>
        <w:t xml:space="preserve">Psalm of Asaph.</w:t>
      </w:r>
      <w:r>
        <w:br/>
      </w:r>
      <w:r>
        <w:t xml:space="preserve">The God of gods, the Lord, spoke and called earth from the rising of sun to its setting.</w:t>
      </w:r>
    </w:p>
    <w:p>
      <w:r>
        <w:rPr>
          <w:b/>
        </w:rPr>
        <w:t xml:space="preserve">2 </w:t>
      </w:r>
      <w:r>
        <w:t xml:space="preserve">Out of Zion comeliness of his beauty; God will come openly.</w:t>
      </w:r>
    </w:p>
    <w:p>
      <w:r>
        <w:rPr>
          <w:b/>
        </w:rPr>
        <w:t xml:space="preserve">3 </w:t>
      </w:r>
      <w:r>
        <w:t xml:space="preserve">Our God will come and will not keep silent; fire before him will burn, and around him storm exceedingly.</w:t>
      </w:r>
    </w:p>
    <w:p>
      <w:r>
        <w:rPr>
          <w:b/>
        </w:rPr>
        <w:t xml:space="preserve">4 </w:t>
      </w:r>
      <w:r>
        <w:t xml:space="preserve">He will call heaven above and earth to judge his people.</w:t>
      </w:r>
    </w:p>
    <w:p>
      <w:r>
        <w:rPr>
          <w:b/>
        </w:rPr>
        <w:t xml:space="preserve">5 </w:t>
      </w:r>
      <w:r>
        <w:t xml:space="preserve">Gather to him his holy ones, those making his covenant upon sacrifices.</w:t>
      </w:r>
    </w:p>
    <w:p>
      <w:r>
        <w:rPr>
          <w:b/>
        </w:rPr>
        <w:t xml:space="preserve">6 </w:t>
      </w:r>
      <w:r>
        <w:t xml:space="preserve">And heavens will declare his righteousness, because God is judge. Interlude.</w:t>
      </w:r>
    </w:p>
    <w:p>
      <w:r>
        <w:rPr>
          <w:b/>
        </w:rPr>
        <w:t xml:space="preserve">7 </w:t>
      </w:r>
      <w:r>
        <w:t xml:space="preserve">Hear, my people, and I will speak to you; Israel, and I will testify to you: God, your God, am I.</w:t>
      </w:r>
    </w:p>
    <w:p>
      <w:r>
        <w:rPr>
          <w:b/>
        </w:rPr>
        <w:t xml:space="preserve">8 </w:t>
      </w:r>
      <w:r>
        <w:t xml:space="preserve">Not concerning your sacrifices will I rebuke you, and your whole burnt offerings are before me continually.</w:t>
      </w:r>
    </w:p>
    <w:p>
      <w:r>
        <w:rPr>
          <w:b/>
        </w:rPr>
        <w:t xml:space="preserve">9 </w:t>
      </w:r>
      <w:r>
        <w:t xml:space="preserve">I will not receive calves from your house, nor he-goats from your flocks,</w:t>
      </w:r>
    </w:p>
    <w:p>
      <w:r>
        <w:rPr>
          <w:b/>
        </w:rPr>
        <w:t xml:space="preserve">10 </w:t>
      </w:r>
      <w:r>
        <w:t xml:space="preserve">because all wild animals of the forest are mine, cattle on mountains and oxen.</w:t>
      </w:r>
    </w:p>
    <w:p>
      <w:r>
        <w:rPr>
          <w:b/>
        </w:rPr>
        <w:t xml:space="preserve">11 </w:t>
      </w:r>
      <w:r>
        <w:t xml:space="preserve">I knew all birds of heaven, and beauty of field with me.</w:t>
      </w:r>
    </w:p>
    <w:p>
      <w:r>
        <w:rPr>
          <w:b/>
        </w:rPr>
        <w:t xml:space="preserve">12 </w:t>
      </w:r>
      <w:r>
        <w:t xml:space="preserve">If I hunger, I will not tell you, because inhabited world is mine and its fullness.</w:t>
      </w:r>
    </w:p>
    <w:p>
      <w:r>
        <w:rPr>
          <w:b/>
        </w:rPr>
        <w:t xml:space="preserve">13 </w:t>
      </w:r>
      <w:r>
        <w:t xml:space="preserve">Will I eat flesh of bulls, or drink blood of goats?</w:t>
      </w:r>
    </w:p>
    <w:p>
      <w:r>
        <w:rPr>
          <w:b/>
        </w:rPr>
        <w:t xml:space="preserve">14 </w:t>
      </w:r>
      <w:r>
        <w:t xml:space="preserve">Sacrifice to God sacrifice of praise, and pay to Most High your vows.</w:t>
      </w:r>
    </w:p>
    <w:p>
      <w:r>
        <w:rPr>
          <w:b/>
        </w:rPr>
        <w:t xml:space="preserve">15 </w:t>
      </w:r>
      <w:r>
        <w:t xml:space="preserve">And call upon me in the day of affliction, and I will deliver you, and you will glorify me. Interlude.</w:t>
      </w:r>
    </w:p>
    <w:p>
      <w:r>
        <w:rPr>
          <w:b/>
        </w:rPr>
        <w:t xml:space="preserve">16 </w:t>
      </w:r>
      <w:r>
        <w:t xml:space="preserve">But to sinner God said, Why do you recount my righteous acts and take up my covenant in your mouth,</w:t>
      </w:r>
    </w:p>
    <w:p>
      <w:r>
        <w:rPr>
          <w:b/>
        </w:rPr>
        <w:t xml:space="preserve">17 </w:t>
      </w:r>
      <w:r>
        <w:t xml:space="preserve">but you hated instruction and cast my words behind you?</w:t>
      </w:r>
    </w:p>
    <w:p>
      <w:r>
        <w:rPr>
          <w:b/>
        </w:rPr>
        <w:t xml:space="preserve">18 </w:t>
      </w:r>
      <w:r>
        <w:t xml:space="preserve">If you saw thief, you ran with him, and with adulterers you set your share.</w:t>
      </w:r>
    </w:p>
    <w:p>
      <w:r>
        <w:rPr>
          <w:b/>
        </w:rPr>
        <w:t xml:space="preserve">19 </w:t>
      </w:r>
      <w:r>
        <w:t xml:space="preserve">Your mouth abounded in evil, and your tongue wove deceit.</w:t>
      </w:r>
    </w:p>
    <w:p>
      <w:r>
        <w:rPr>
          <w:b/>
        </w:rPr>
        <w:t xml:space="preserve">20 </w:t>
      </w:r>
      <w:r>
        <w:t xml:space="preserve">Sitting, you spoke against your brother, and against son of your mother you set stumbling-block.</w:t>
      </w:r>
    </w:p>
    <w:p>
      <w:r>
        <w:rPr>
          <w:b/>
        </w:rPr>
        <w:t xml:space="preserve">21 </w:t>
      </w:r>
      <w:r>
        <w:t xml:space="preserve">These things you did, and I kept silent. You supposed lawlessness, that I would be like you. I will rebuke you and set them before your face.</w:t>
      </w:r>
    </w:p>
    <w:p>
      <w:r>
        <w:rPr>
          <w:b/>
        </w:rPr>
        <w:t xml:space="preserve">22 </w:t>
      </w:r>
      <w:r>
        <w:t xml:space="preserve">Understand these things, you forgetting God, lest he seize, and there be none rescuing.</w:t>
      </w:r>
    </w:p>
    <w:p>
      <w:r>
        <w:rPr>
          <w:b/>
        </w:rPr>
        <w:t xml:space="preserve">23 </w:t>
      </w:r>
      <w:r>
        <w:t xml:space="preserve">A sacrifice of praise will glorify me, and there is way by which I will show him salvation of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50</w:t>
      </w:r>
    </w:p>
    <w:p>
      <w:r>
        <w:rPr>
          <w:b/>
        </w:rPr>
        <w:t xml:space="preserve">1 </w:t>
      </w:r>
      <w:r>
        <w:rPr>
          <w:i/>
        </w:rPr>
        <w:t xml:space="preserve">For end. Psalm of David.</w:t>
      </w:r>
      <w:r>
        <w:t xml:space="preserve"/>
      </w:r>
    </w:p>
    <w:p>
      <w:r>
        <w:rPr>
          <w:b/>
        </w:rPr>
        <w:t xml:space="preserve">2 </w:t>
      </w:r>
      <w:r>
        <w:t xml:space="preserve">When Nathan the prophet came to him, when he went in to Beersheba.</w:t>
      </w:r>
    </w:p>
    <w:p>
      <w:r>
        <w:rPr>
          <w:b/>
        </w:rPr>
        <w:t xml:space="preserve">3 </w:t>
      </w:r>
      <w:r>
        <w:t xml:space="preserve">Have mercy on me, O God, according to your great mercy, and according to the multitude of your compassions blot out my lawlessness.</w:t>
      </w:r>
    </w:p>
    <w:p>
      <w:r>
        <w:rPr>
          <w:b/>
        </w:rPr>
        <w:t xml:space="preserve">4 </w:t>
      </w:r>
      <w:r>
        <w:t xml:space="preserve">Wash me more and more from my lawlessness and cleanse me from my sin,</w:t>
      </w:r>
    </w:p>
    <w:p>
      <w:r>
        <w:rPr>
          <w:b/>
        </w:rPr>
        <w:t xml:space="preserve">5 </w:t>
      </w:r>
      <w:r>
        <w:t xml:space="preserve">because I know my lawlessness, and my sin before me continually.</w:t>
      </w:r>
    </w:p>
    <w:p>
      <w:r>
        <w:rPr>
          <w:b/>
        </w:rPr>
        <w:t xml:space="preserve">6 </w:t>
      </w:r>
      <w:r>
        <w:t xml:space="preserve">Against you only I sinned and did evil before you, so that you may be justified in your words and prevail when you are judged.</w:t>
      </w:r>
    </w:p>
    <w:p>
      <w:r>
        <w:rPr>
          <w:b/>
        </w:rPr>
        <w:t xml:space="preserve">7 </w:t>
      </w:r>
      <w:r>
        <w:t xml:space="preserve">For behold, in lawlessnesses I was conceived, and in sins my mother conceived me.</w:t>
      </w:r>
    </w:p>
    <w:p>
      <w:r>
        <w:rPr>
          <w:b/>
        </w:rPr>
        <w:t xml:space="preserve">8 </w:t>
      </w:r>
      <w:r>
        <w:t xml:space="preserve">For behold, you loved truth; hidden and secret things of your wisdom you showed me.</w:t>
      </w:r>
    </w:p>
    <w:p>
      <w:r>
        <w:rPr>
          <w:b/>
        </w:rPr>
        <w:t xml:space="preserve">9 </w:t>
      </w:r>
      <w:r>
        <w:t xml:space="preserve">You will sprinkle me with hyssop, and I will be cleansed; you will wash me, and beyond snow I will be whitened.</w:t>
      </w:r>
    </w:p>
    <w:p>
      <w:r>
        <w:rPr>
          <w:b/>
        </w:rPr>
        <w:t xml:space="preserve">10 </w:t>
      </w:r>
      <w:r>
        <w:t xml:space="preserve">You will make me hear exultation and gladness; humbled bones will exult.</w:t>
      </w:r>
    </w:p>
    <w:p>
      <w:r>
        <w:rPr>
          <w:b/>
        </w:rPr>
        <w:t xml:space="preserve">11 </w:t>
      </w:r>
      <w:r>
        <w:t xml:space="preserve">Turn your face away from my sins, and blot out all my lawlessnesses.</w:t>
      </w:r>
    </w:p>
    <w:p>
      <w:r>
        <w:rPr>
          <w:b/>
        </w:rPr>
        <w:t xml:space="preserve">12 </w:t>
      </w:r>
      <w:r>
        <w:t xml:space="preserve">Create in me clean heart, O God, and renew right spirit in my inward parts.</w:t>
      </w:r>
    </w:p>
    <w:p>
      <w:r>
        <w:rPr>
          <w:b/>
        </w:rPr>
        <w:t xml:space="preserve">13 </w:t>
      </w:r>
      <w:r>
        <w:t xml:space="preserve">Do not cast me away from your face, and do not take your Holy Spirit from me.</w:t>
      </w:r>
    </w:p>
    <w:p>
      <w:r>
        <w:rPr>
          <w:b/>
        </w:rPr>
        <w:t xml:space="preserve">14 </w:t>
      </w:r>
      <w:r>
        <w:t xml:space="preserve">Restore to me exultation of your salvation, and strengthen me with guiding spirit.</w:t>
      </w:r>
    </w:p>
    <w:p>
      <w:r>
        <w:rPr>
          <w:b/>
        </w:rPr>
        <w:t xml:space="preserve">15 </w:t>
      </w:r>
      <w:r>
        <w:t xml:space="preserve">I will teach lawless ones your ways, and ungodly ones will turn back to you.</w:t>
      </w:r>
    </w:p>
    <w:p>
      <w:r>
        <w:rPr>
          <w:b/>
        </w:rPr>
        <w:t xml:space="preserve">16 </w:t>
      </w:r>
      <w:r>
        <w:t xml:space="preserve">Rescue me from bloodguilt, O God, God of my salvation; my tongue will exult in your righteousness.</w:t>
      </w:r>
    </w:p>
    <w:p>
      <w:r>
        <w:rPr>
          <w:b/>
        </w:rPr>
        <w:t xml:space="preserve">17 </w:t>
      </w:r>
      <w:r>
        <w:t xml:space="preserve">Lord, you will open my lips, and my mouth will declare your praise.</w:t>
      </w:r>
    </w:p>
    <w:p>
      <w:r>
        <w:rPr>
          <w:b/>
        </w:rPr>
        <w:t xml:space="preserve">18 </w:t>
      </w:r>
      <w:r>
        <w:t xml:space="preserve">Because if you wanted sacrifice, I would give it; in whole burnt offerings you will not delight.</w:t>
      </w:r>
    </w:p>
    <w:p>
      <w:r>
        <w:rPr>
          <w:b/>
        </w:rPr>
        <w:t xml:space="preserve">19 </w:t>
      </w:r>
      <w:r>
        <w:t xml:space="preserve">Sacrifice to God crushed spirit; crushed and humbled heart God will not despise.</w:t>
      </w:r>
    </w:p>
    <w:p>
      <w:r>
        <w:rPr>
          <w:b/>
        </w:rPr>
        <w:t xml:space="preserve">20 </w:t>
      </w:r>
      <w:r>
        <w:t xml:space="preserve">Do good, Lord, in your good pleasure to Zion, and let walls of Jerusalem be built.</w:t>
      </w:r>
    </w:p>
    <w:p>
      <w:r>
        <w:rPr>
          <w:b/>
        </w:rPr>
        <w:t xml:space="preserve">21 </w:t>
      </w:r>
      <w:r>
        <w:t xml:space="preserve">Then you will</w:t>
      </w:r>
      <w:r>
        <w:rPr>
          <w:rStyle w:val="FootnoteReference"/>
        </w:rPr>
        <w:footnoteReference w:id="10591"/>
      </w:r>
      <w:r>
        <w:t xml:space="preserve"> delight in sacrifice of righteousness, offering and whole burnt offerings; then they will offer calves upon your altar.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51</w:t>
      </w:r>
    </w:p>
    <w:p>
      <w:r>
        <w:rPr>
          <w:b/>
        </w:rPr>
        <w:t xml:space="preserve">1 </w:t>
      </w:r>
      <w:r>
        <w:rPr>
          <w:i/>
        </w:rPr>
        <w:t xml:space="preserve">For end. For understanding. Of David.</w:t>
      </w:r>
      <w:r>
        <w:t xml:space="preserve"/>
      </w:r>
    </w:p>
    <w:p>
      <w:r>
        <w:rPr>
          <w:b/>
        </w:rPr>
        <w:t xml:space="preserve">2 </w:t>
      </w:r>
      <w:r>
        <w:t xml:space="preserve">When Doeg the Edomite came and told Saul and said to him, David came into the house of Abimelech.</w:t>
      </w:r>
    </w:p>
    <w:p>
      <w:r>
        <w:rPr>
          <w:b/>
        </w:rPr>
        <w:t xml:space="preserve">3 </w:t>
      </w:r>
      <w:r>
        <w:t xml:space="preserve">Why do you boast in evil, mighty one, in lawlessness whole day?</w:t>
      </w:r>
    </w:p>
    <w:p>
      <w:r>
        <w:rPr>
          <w:b/>
        </w:rPr>
        <w:t xml:space="preserve">4 </w:t>
      </w:r>
      <w:r>
        <w:t xml:space="preserve">Your tongue devised injustice; like sharpened razor you worked deceit.</w:t>
      </w:r>
    </w:p>
    <w:p>
      <w:r>
        <w:rPr>
          <w:b/>
        </w:rPr>
        <w:t xml:space="preserve">5 </w:t>
      </w:r>
      <w:r>
        <w:t xml:space="preserve">You loved evil beyond goodness, injustice beyond speaking righteousness. Interlude.</w:t>
      </w:r>
    </w:p>
    <w:p>
      <w:r>
        <w:rPr>
          <w:b/>
        </w:rPr>
        <w:t xml:space="preserve">6 </w:t>
      </w:r>
      <w:r>
        <w:t xml:space="preserve">You loved all words of engulfing, a deceitful tongue</w:t>
      </w:r>
      <w:r>
        <w:rPr>
          <w:rStyle w:val="FootnoteReference"/>
        </w:rPr>
        <w:footnoteReference w:id="10592"/>
      </w:r>
      <w:r>
        <w:t xml:space="preserve">.</w:t>
      </w:r>
    </w:p>
    <w:p>
      <w:r>
        <w:rPr>
          <w:b/>
        </w:rPr>
        <w:t xml:space="preserve">7 </w:t>
      </w:r>
      <w:r>
        <w:t xml:space="preserve">Therefore God will tear you down to end; may he pluck you out and remove you from tent, and your root from the land of living. Interlude.</w:t>
      </w:r>
    </w:p>
    <w:p>
      <w:r>
        <w:rPr>
          <w:b/>
        </w:rPr>
        <w:t xml:space="preserve">8 </w:t>
      </w:r>
      <w:r>
        <w:t xml:space="preserve">And righteous ones will see and fear, and over him they will laugh and say,</w:t>
      </w:r>
    </w:p>
    <w:p>
      <w:r>
        <w:rPr>
          <w:b/>
        </w:rPr>
        <w:t xml:space="preserve">9 </w:t>
      </w:r>
      <w:r>
        <w:t xml:space="preserve">Behold man who did not make God his helper, but hoped in the multitude of his wealth and was strengthened in his vanity.</w:t>
      </w:r>
    </w:p>
    <w:p>
      <w:r>
        <w:rPr>
          <w:b/>
        </w:rPr>
        <w:t xml:space="preserve">10 </w:t>
      </w:r>
      <w:r>
        <w:t xml:space="preserve">But I like a fruitful olive tree in the house of God; I hoped in the mercy of God forever and forever of forever.</w:t>
      </w:r>
    </w:p>
    <w:p>
      <w:r>
        <w:rPr>
          <w:b/>
        </w:rPr>
        <w:t xml:space="preserve">11 </w:t>
      </w:r>
      <w:r>
        <w:t xml:space="preserve">I will confess to you forever, because you did it, and I will wait for your name, because good before your holy</w:t>
      </w:r>
      <w:r>
        <w:rPr>
          <w:rStyle w:val="FootnoteReference"/>
        </w:rPr>
        <w:footnoteReference w:id="10593"/>
      </w:r>
      <w:r>
        <w:t xml:space="preserve"> ones.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52</w:t>
      </w:r>
    </w:p>
    <w:p>
      <w:r>
        <w:rPr>
          <w:b/>
        </w:rPr>
        <w:t xml:space="preserve">1 </w:t>
      </w:r>
      <w:r>
        <w:rPr>
          <w:i/>
        </w:rPr>
        <w:t xml:space="preserve">For end, concerning Mahalath. For understanding. Of David.</w:t>
      </w:r>
      <w:r>
        <w:t xml:space="preserve"/>
      </w:r>
    </w:p>
    <w:p>
      <w:r>
        <w:rPr>
          <w:b/>
        </w:rPr>
        <w:t xml:space="preserve">2 </w:t>
      </w:r>
      <w:r>
        <w:t xml:space="preserve">The fool said in his heart, There is no God. They were corrupted and became abominable in lawlessnesses; there is none doing good.</w:t>
      </w:r>
    </w:p>
    <w:p>
      <w:r>
        <w:rPr>
          <w:b/>
        </w:rPr>
        <w:t xml:space="preserve">3 </w:t>
      </w:r>
      <w:r>
        <w:t xml:space="preserve">God looked down from heaven upon the sons of men to see whether there is one understanding or seeking God.</w:t>
      </w:r>
    </w:p>
    <w:p>
      <w:r>
        <w:rPr>
          <w:b/>
        </w:rPr>
        <w:t xml:space="preserve">4 </w:t>
      </w:r>
      <w:r>
        <w:t xml:space="preserve">All turned aside; together they became worthless; there is none doing good, there is not even one.</w:t>
      </w:r>
    </w:p>
    <w:p>
      <w:r>
        <w:rPr>
          <w:b/>
        </w:rPr>
        <w:t xml:space="preserve">5 </w:t>
      </w:r>
      <w:r>
        <w:t xml:space="preserve">Will not all workers of lawlessness know, those eating my people as eating bread? They did not call upon God.</w:t>
      </w:r>
    </w:p>
    <w:p>
      <w:r>
        <w:rPr>
          <w:b/>
        </w:rPr>
        <w:t xml:space="preserve">6 </w:t>
      </w:r>
      <w:r>
        <w:t xml:space="preserve">There they feared fear where fear was not, because God scattered bones of men-pleasers. They were shamed, because God despised them.</w:t>
      </w:r>
    </w:p>
    <w:p>
      <w:r>
        <w:rPr>
          <w:b/>
        </w:rPr>
        <w:t xml:space="preserve">7 </w:t>
      </w:r>
      <w:r>
        <w:t xml:space="preserve">Who will give out of Zion salvation of Israel? When the Lord turns back captivity of his people, Jacob will exult and Israel will rejoice.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53</w:t>
      </w:r>
    </w:p>
    <w:p>
      <w:r>
        <w:rPr>
          <w:b/>
        </w:rPr>
        <w:t xml:space="preserve">1 </w:t>
      </w:r>
      <w:r>
        <w:rPr>
          <w:i/>
        </w:rPr>
        <w:t xml:space="preserve">For end, in hymns. For understanding. Of David.</w:t>
      </w:r>
      <w:r>
        <w:t xml:space="preserve"/>
      </w:r>
    </w:p>
    <w:p>
      <w:r>
        <w:rPr>
          <w:b/>
        </w:rPr>
        <w:t xml:space="preserve">2 </w:t>
      </w:r>
      <w:r>
        <w:t xml:space="preserve">When Ziphites came and said to Saul, Is not David hidden among us?</w:t>
      </w:r>
    </w:p>
    <w:p>
      <w:r>
        <w:rPr>
          <w:b/>
        </w:rPr>
        <w:t xml:space="preserve">3 </w:t>
      </w:r>
      <w:r>
        <w:t xml:space="preserve">O God, in your name save me, and in your power judge me.</w:t>
      </w:r>
    </w:p>
    <w:p>
      <w:r>
        <w:rPr>
          <w:b/>
        </w:rPr>
        <w:t xml:space="preserve">4 </w:t>
      </w:r>
      <w:r>
        <w:t xml:space="preserve">O God, hear my prayer; give ear to the words of my mouth.</w:t>
      </w:r>
    </w:p>
    <w:p>
      <w:r>
        <w:rPr>
          <w:b/>
        </w:rPr>
        <w:t xml:space="preserve">5 </w:t>
      </w:r>
      <w:r>
        <w:t xml:space="preserve">Because strangers rose up against me, and strong men sought my soul; they did not set God before them. Interlude.</w:t>
      </w:r>
    </w:p>
    <w:p>
      <w:r>
        <w:rPr>
          <w:b/>
        </w:rPr>
        <w:t xml:space="preserve">6 </w:t>
      </w:r>
      <w:r>
        <w:t xml:space="preserve">For behold, God helps me, and the Lord supporter of my soul.</w:t>
      </w:r>
    </w:p>
    <w:p>
      <w:r>
        <w:rPr>
          <w:b/>
        </w:rPr>
        <w:t xml:space="preserve">7 </w:t>
      </w:r>
      <w:r>
        <w:t xml:space="preserve">He will turn evils back on my enemies; in your truth destroy them.</w:t>
      </w:r>
    </w:p>
    <w:p>
      <w:r>
        <w:rPr>
          <w:b/>
        </w:rPr>
        <w:t xml:space="preserve">8 </w:t>
      </w:r>
      <w:r>
        <w:t xml:space="preserve">Willingly I will sacrifice to you; I will confess your name, Lord, because good,</w:t>
      </w:r>
    </w:p>
    <w:p>
      <w:r>
        <w:rPr>
          <w:b/>
        </w:rPr>
        <w:t xml:space="preserve">9 </w:t>
      </w:r>
      <w:r>
        <w:t xml:space="preserve">because from every affliction he rescued me, and among my enemies my eye looked down.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54</w:t>
      </w:r>
    </w:p>
    <w:p>
      <w:r>
        <w:rPr>
          <w:b/>
        </w:rPr>
        <w:t xml:space="preserve">1 </w:t>
      </w:r>
      <w:r>
        <w:rPr>
          <w:i/>
        </w:rPr>
        <w:t xml:space="preserve">For end, in hymns. For understanding. Of David.</w:t>
      </w:r>
      <w:r>
        <w:t xml:space="preserve"/>
      </w:r>
    </w:p>
    <w:p>
      <w:r>
        <w:rPr>
          <w:b/>
        </w:rPr>
        <w:t xml:space="preserve">2 </w:t>
      </w:r>
      <w:r>
        <w:t xml:space="preserve">Give ear, O God, to my prayer, and do not overlook my supplication.</w:t>
      </w:r>
    </w:p>
    <w:p>
      <w:r>
        <w:rPr>
          <w:b/>
        </w:rPr>
        <w:t xml:space="preserve">3 </w:t>
      </w:r>
      <w:r>
        <w:t xml:space="preserve">Attend to me and hear me; I was grieved in my musing and was troubled</w:t>
      </w:r>
    </w:p>
    <w:p>
      <w:r>
        <w:rPr>
          <w:b/>
        </w:rPr>
        <w:t xml:space="preserve">4 </w:t>
      </w:r>
      <w:r>
        <w:t xml:space="preserve">from the voice of enemy and from the affliction of sinner, because they bent lawlessness upon me and in wrath were enraged against me.</w:t>
      </w:r>
    </w:p>
    <w:p>
      <w:r>
        <w:rPr>
          <w:b/>
        </w:rPr>
        <w:t xml:space="preserve">5 </w:t>
      </w:r>
      <w:r>
        <w:t xml:space="preserve">My heart was troubled in me, and dread of death fell upon me.</w:t>
      </w:r>
    </w:p>
    <w:p>
      <w:r>
        <w:rPr>
          <w:b/>
        </w:rPr>
        <w:t xml:space="preserve">6 </w:t>
      </w:r>
      <w:r>
        <w:t xml:space="preserve">Fear and trembling came upon me, and darkness covered me.</w:t>
      </w:r>
    </w:p>
    <w:p>
      <w:r>
        <w:rPr>
          <w:b/>
        </w:rPr>
        <w:t xml:space="preserve">7 </w:t>
      </w:r>
      <w:r>
        <w:t xml:space="preserve">And I said, Who will give me wings like a dove, and I will fly away and be at rest?</w:t>
      </w:r>
    </w:p>
    <w:p>
      <w:r>
        <w:rPr>
          <w:b/>
        </w:rPr>
        <w:t xml:space="preserve">8 </w:t>
      </w:r>
      <w:r>
        <w:t xml:space="preserve">Behold, I went far away in fleeing and lodged in the wilderness. Interlude.</w:t>
      </w:r>
    </w:p>
    <w:p>
      <w:r>
        <w:rPr>
          <w:b/>
        </w:rPr>
        <w:t xml:space="preserve">9 </w:t>
      </w:r>
      <w:r>
        <w:t xml:space="preserve">I waited for one saving me from faintheartedness and storm.</w:t>
      </w:r>
    </w:p>
    <w:p>
      <w:r>
        <w:rPr>
          <w:b/>
        </w:rPr>
        <w:t xml:space="preserve">10 </w:t>
      </w:r>
      <w:r>
        <w:t xml:space="preserve">Drown them, Lord, and divide their tongues, because I saw lawlessness and contradiction in the city.</w:t>
      </w:r>
    </w:p>
    <w:p>
      <w:r>
        <w:rPr>
          <w:b/>
        </w:rPr>
        <w:t xml:space="preserve">11 </w:t>
      </w:r>
      <w:r>
        <w:t xml:space="preserve">Day and night it will encircle her upon her walls; lawlessness and labor in the midst of her,</w:t>
      </w:r>
    </w:p>
    <w:p>
      <w:r>
        <w:rPr>
          <w:b/>
        </w:rPr>
        <w:t xml:space="preserve">12 </w:t>
      </w:r>
      <w:r>
        <w:t xml:space="preserve">and injustice. And usury and deceit did not fail from her squares.</w:t>
      </w:r>
    </w:p>
    <w:p>
      <w:r>
        <w:rPr>
          <w:b/>
        </w:rPr>
        <w:t xml:space="preserve">13 </w:t>
      </w:r>
      <w:r>
        <w:t xml:space="preserve">Because if enemy reproached me, I would bear it; and if one hating me spoke great words against me, I would hide from him.</w:t>
      </w:r>
    </w:p>
    <w:p>
      <w:r>
        <w:rPr>
          <w:b/>
        </w:rPr>
        <w:t xml:space="preserve">14 </w:t>
      </w:r>
      <w:r>
        <w:t xml:space="preserve">But you, man equal-souled, my guide and my acquaintance,</w:t>
      </w:r>
    </w:p>
    <w:p>
      <w:r>
        <w:rPr>
          <w:b/>
        </w:rPr>
        <w:t xml:space="preserve">15 </w:t>
      </w:r>
      <w:r>
        <w:t xml:space="preserve">who together with me sweetened foods; in the house of God we walked in concord.</w:t>
      </w:r>
    </w:p>
    <w:p>
      <w:r>
        <w:rPr>
          <w:b/>
        </w:rPr>
        <w:t xml:space="preserve">16 </w:t>
      </w:r>
      <w:r>
        <w:t xml:space="preserve">Let death come upon them, and let them go down living to Hades, because evils in their dwellings, in the midst of them.</w:t>
      </w:r>
    </w:p>
    <w:p>
      <w:r>
        <w:rPr>
          <w:b/>
        </w:rPr>
        <w:t xml:space="preserve">17 </w:t>
      </w:r>
      <w:r>
        <w:t xml:space="preserve">But I cried to God, and the Lord heard me.</w:t>
      </w:r>
    </w:p>
    <w:p>
      <w:r>
        <w:rPr>
          <w:b/>
        </w:rPr>
        <w:t xml:space="preserve">18 </w:t>
      </w:r>
      <w:r>
        <w:t xml:space="preserve">Evening and morning and midday I will tell and declare, and he will hear my voice.</w:t>
      </w:r>
    </w:p>
    <w:p>
      <w:r>
        <w:rPr>
          <w:b/>
        </w:rPr>
        <w:t xml:space="preserve">19 </w:t>
      </w:r>
      <w:r>
        <w:t xml:space="preserve">He will redeem my soul in peace from those drawing near to me, because among many they were with me.</w:t>
      </w:r>
    </w:p>
    <w:p>
      <w:r>
        <w:rPr>
          <w:b/>
        </w:rPr>
        <w:t xml:space="preserve">20 </w:t>
      </w:r>
      <w:r>
        <w:t xml:space="preserve">God will hear and humble them, he who exists before ages. Interlude. Because there is no change for them, and they did not fear God.</w:t>
      </w:r>
    </w:p>
    <w:p>
      <w:r>
        <w:rPr>
          <w:b/>
        </w:rPr>
        <w:t xml:space="preserve">21 </w:t>
      </w:r>
      <w:r>
        <w:t xml:space="preserve">He stretched out his hand in repaying; they profaned his covenant.</w:t>
      </w:r>
    </w:p>
    <w:p>
      <w:r>
        <w:rPr>
          <w:b/>
        </w:rPr>
        <w:t xml:space="preserve">22 </w:t>
      </w:r>
      <w:r>
        <w:t xml:space="preserve">They were divided by wrath of his face, and his heart drew near. His words were softened beyond oil, and they are darts.</w:t>
      </w:r>
    </w:p>
    <w:p>
      <w:r>
        <w:rPr>
          <w:b/>
        </w:rPr>
        <w:t xml:space="preserve">23 </w:t>
      </w:r>
      <w:r>
        <w:t xml:space="preserve">Cast your care upon the Lord, and he will sustain you; he will not give shaking to a righteous one forever.</w:t>
      </w:r>
      <w:r>
        <w:rPr>
          <w:rStyle w:val="FootnoteReference"/>
        </w:rPr>
        <w:footnoteReference w:id="10594"/>
      </w:r>
      <w:r>
        <w:t xml:space="preserve"/>
      </w:r>
    </w:p>
    <w:p>
      <w:r>
        <w:rPr>
          <w:b/>
        </w:rPr>
        <w:t xml:space="preserve">24 </w:t>
      </w:r>
      <w:r>
        <w:t xml:space="preserve">But you, O God, will bring them down into the pit of corruption; men of bloods and deceit will not halve their days, but I will hope upon you,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55</w:t>
      </w:r>
    </w:p>
    <w:p>
      <w:r>
        <w:rPr>
          <w:b/>
        </w:rPr>
        <w:t xml:space="preserve">1 </w:t>
      </w:r>
      <w:r>
        <w:rPr>
          <w:i/>
        </w:rPr>
        <w:t xml:space="preserve">For end, concerning people removed far from holy places. Of David, for inscription, when Philistines seized him in Gath.</w:t>
      </w:r>
      <w:r>
        <w:t xml:space="preserve"/>
      </w:r>
    </w:p>
    <w:p>
      <w:r>
        <w:rPr>
          <w:b/>
        </w:rPr>
        <w:t xml:space="preserve">2 </w:t>
      </w:r>
      <w:r>
        <w:t xml:space="preserve">Have mercy on me, Lord, because man trampled me; whole day, warring, he afflicted me.</w:t>
      </w:r>
    </w:p>
    <w:p>
      <w:r>
        <w:rPr>
          <w:b/>
        </w:rPr>
        <w:t xml:space="preserve">3 </w:t>
      </w:r>
      <w:r>
        <w:t xml:space="preserve">My enemies trampled me whole day, because many warring against me from height.</w:t>
      </w:r>
    </w:p>
    <w:p>
      <w:r>
        <w:rPr>
          <w:b/>
        </w:rPr>
        <w:t xml:space="preserve">4 </w:t>
      </w:r>
      <w:r>
        <w:t xml:space="preserve">In day I fear, I will hope upon you.</w:t>
      </w:r>
    </w:p>
    <w:p>
      <w:r>
        <w:rPr>
          <w:b/>
        </w:rPr>
        <w:t xml:space="preserve">5 </w:t>
      </w:r>
      <w:r>
        <w:t xml:space="preserve">In God I will praise my words; whole day in God I hoped; I will not fear what flesh will do to me.</w:t>
      </w:r>
    </w:p>
    <w:p>
      <w:r>
        <w:rPr>
          <w:b/>
        </w:rPr>
        <w:t xml:space="preserve">6 </w:t>
      </w:r>
      <w:r>
        <w:t xml:space="preserve">Whole day they were abhorring my words; all their thoughts against me for evil.</w:t>
      </w:r>
    </w:p>
    <w:p>
      <w:r>
        <w:rPr>
          <w:b/>
        </w:rPr>
        <w:t xml:space="preserve">7 </w:t>
      </w:r>
      <w:r>
        <w:t xml:space="preserve">They will dwell as strangers and hide themselves; they will watch my heel, just as they waited for my soul.</w:t>
      </w:r>
    </w:p>
    <w:p>
      <w:r>
        <w:rPr>
          <w:b/>
        </w:rPr>
        <w:t xml:space="preserve">8 </w:t>
      </w:r>
      <w:r>
        <w:t xml:space="preserve">For the sake of nothing will you save them? In wrath you will bring down peoples, O God.</w:t>
      </w:r>
    </w:p>
    <w:p>
      <w:r>
        <w:rPr>
          <w:b/>
        </w:rPr>
        <w:t xml:space="preserve">9 </w:t>
      </w:r>
      <w:r>
        <w:t xml:space="preserve">My life I told to you; set my tears before you, as also in your promise.</w:t>
      </w:r>
    </w:p>
    <w:p>
      <w:r>
        <w:rPr>
          <w:b/>
        </w:rPr>
        <w:t xml:space="preserve">10 </w:t>
      </w:r>
      <w:r>
        <w:t xml:space="preserve">My enemies will turn back in whatever day I call on you; behold, I knew that you are my God.</w:t>
      </w:r>
    </w:p>
    <w:p>
      <w:r>
        <w:rPr>
          <w:b/>
        </w:rPr>
        <w:t xml:space="preserve">11 </w:t>
      </w:r>
      <w:r>
        <w:t xml:space="preserve">In God I will praise word; in the Lord I will praise saying.</w:t>
      </w:r>
    </w:p>
    <w:p>
      <w:r>
        <w:rPr>
          <w:b/>
        </w:rPr>
        <w:t xml:space="preserve">12 </w:t>
      </w:r>
      <w:r>
        <w:t xml:space="preserve">In God I hoped; I will not fear what man will do to me.</w:t>
      </w:r>
    </w:p>
    <w:p>
      <w:r>
        <w:rPr>
          <w:b/>
        </w:rPr>
        <w:t xml:space="preserve">13 </w:t>
      </w:r>
      <w:r>
        <w:t xml:space="preserve">In me, O God, are vows; I will repay praises to you,</w:t>
      </w:r>
    </w:p>
    <w:p>
      <w:r>
        <w:rPr>
          <w:b/>
        </w:rPr>
        <w:t xml:space="preserve">14 </w:t>
      </w:r>
      <w:r>
        <w:t xml:space="preserve">because you rescued my soul from death and my feet from slipping, so that I may be well-pleasing before God in the light of living ones.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56</w:t>
      </w:r>
    </w:p>
    <w:p>
      <w:r>
        <w:rPr>
          <w:b/>
        </w:rPr>
        <w:t xml:space="preserve">1 </w:t>
      </w:r>
      <w:r>
        <w:rPr>
          <w:i/>
        </w:rPr>
        <w:t xml:space="preserve">For end, do not destroy. Of David, for inscription, when he fled from the face of Saul into cave.</w:t>
      </w:r>
      <w:r>
        <w:t xml:space="preserve"/>
      </w:r>
    </w:p>
    <w:p>
      <w:r>
        <w:rPr>
          <w:b/>
        </w:rPr>
        <w:t xml:space="preserve">2 </w:t>
      </w:r>
      <w:r>
        <w:t xml:space="preserve">Have mercy on me, O God, have mercy on me, because my soul has trusted in you, and in the shadow of your wings I will hope until lawlessness passes by.</w:t>
      </w:r>
    </w:p>
    <w:p>
      <w:r>
        <w:rPr>
          <w:b/>
        </w:rPr>
        <w:t xml:space="preserve">3 </w:t>
      </w:r>
      <w:r>
        <w:t xml:space="preserve">I will cry to God Most High, to God who benefited me.</w:t>
      </w:r>
    </w:p>
    <w:p>
      <w:r>
        <w:rPr>
          <w:b/>
        </w:rPr>
        <w:t xml:space="preserve">4 </w:t>
      </w:r>
      <w:r>
        <w:t xml:space="preserve">He sent from heaven and saved me; he gave reproach to those trampling me. Interlude. God sent his mercy and his truth.</w:t>
      </w:r>
    </w:p>
    <w:p>
      <w:r>
        <w:rPr>
          <w:b/>
        </w:rPr>
        <w:t xml:space="preserve">5 </w:t>
      </w:r>
      <w:r>
        <w:t xml:space="preserve">And he rescued my soul from the midst of lion-cubs. I slept troubled. Sons of men: their teeth weapon and arrows, and their tongue sharp sword.</w:t>
      </w:r>
    </w:p>
    <w:p>
      <w:r>
        <w:rPr>
          <w:b/>
        </w:rPr>
        <w:t xml:space="preserve">6 </w:t>
      </w:r>
      <w:r>
        <w:t xml:space="preserve">Be exalted above heavens, O God, and over all the earth your glory.</w:t>
      </w:r>
    </w:p>
    <w:p>
      <w:r>
        <w:rPr>
          <w:b/>
        </w:rPr>
        <w:t xml:space="preserve">7 </w:t>
      </w:r>
      <w:r>
        <w:t xml:space="preserve">They prepared snare for my feet and bent down my soul; they dug pit before my face and fell into it. Interlude.</w:t>
      </w:r>
    </w:p>
    <w:p>
      <w:r>
        <w:rPr>
          <w:b/>
        </w:rPr>
        <w:t xml:space="preserve">8 </w:t>
      </w:r>
      <w:r>
        <w:t xml:space="preserve">Ready my heart, O God, ready my heart; I will sing and make melody.</w:t>
      </w:r>
    </w:p>
    <w:p>
      <w:r>
        <w:rPr>
          <w:b/>
        </w:rPr>
        <w:t xml:space="preserve">9 </w:t>
      </w:r>
      <w:r>
        <w:t xml:space="preserve">Awake, my glory; awake, harp and lyre; I will awake at dawn.</w:t>
      </w:r>
    </w:p>
    <w:p>
      <w:r>
        <w:rPr>
          <w:b/>
        </w:rPr>
        <w:t xml:space="preserve">10 </w:t>
      </w:r>
      <w:r>
        <w:t xml:space="preserve">I will confess to you among peoples, Lord; I will sing to you among nations.</w:t>
      </w:r>
    </w:p>
    <w:p>
      <w:r>
        <w:rPr>
          <w:b/>
        </w:rPr>
        <w:t xml:space="preserve">11 </w:t>
      </w:r>
      <w:r>
        <w:t xml:space="preserve">Because your mercy was magnified unto heavens and your truth unto clouds.</w:t>
      </w:r>
    </w:p>
    <w:p>
      <w:r>
        <w:rPr>
          <w:b/>
        </w:rPr>
        <w:t xml:space="preserve">12 </w:t>
      </w:r>
      <w:r>
        <w:t xml:space="preserve">Be exalted above heavens, O God, and over all the earth your glory.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57</w:t>
      </w:r>
    </w:p>
    <w:p>
      <w:r>
        <w:rPr>
          <w:b/>
        </w:rPr>
        <w:t xml:space="preserve">1 </w:t>
      </w:r>
      <w:r>
        <w:rPr>
          <w:i/>
        </w:rPr>
        <w:t xml:space="preserve">For end, do not destroy. Of David, for inscription.</w:t>
      </w:r>
      <w:r>
        <w:t xml:space="preserve"/>
      </w:r>
    </w:p>
    <w:p>
      <w:r>
        <w:rPr>
          <w:b/>
        </w:rPr>
        <w:t xml:space="preserve">2 </w:t>
      </w:r>
      <w:r>
        <w:t xml:space="preserve">If truly indeed you speak righteousness, judge straight things, sons of men.</w:t>
      </w:r>
    </w:p>
    <w:p>
      <w:r>
        <w:rPr>
          <w:b/>
        </w:rPr>
        <w:t xml:space="preserve">3 </w:t>
      </w:r>
      <w:r>
        <w:t xml:space="preserve">For even in heart you work lawlessnesses; in earth your hands weave together injustice.</w:t>
      </w:r>
    </w:p>
    <w:p>
      <w:r>
        <w:rPr>
          <w:b/>
        </w:rPr>
        <w:t xml:space="preserve">4 </w:t>
      </w:r>
      <w:r>
        <w:t xml:space="preserve">Sinners were estranged from womb, they went astray from belly, they spoke lies.</w:t>
      </w:r>
    </w:p>
    <w:p>
      <w:r>
        <w:rPr>
          <w:b/>
        </w:rPr>
        <w:t xml:space="preserve">5 </w:t>
      </w:r>
      <w:r>
        <w:t xml:space="preserve">Their fury according to the likeness of serpent, like a deaf asp stopping its ears,</w:t>
      </w:r>
    </w:p>
    <w:p>
      <w:r>
        <w:rPr>
          <w:b/>
        </w:rPr>
        <w:t xml:space="preserve">6 </w:t>
      </w:r>
      <w:r>
        <w:t xml:space="preserve">which will not hear the voice of charmers, of drug mixed by wise enchanter.</w:t>
      </w:r>
    </w:p>
    <w:p>
      <w:r>
        <w:rPr>
          <w:b/>
        </w:rPr>
        <w:t xml:space="preserve">7 </w:t>
      </w:r>
      <w:r>
        <w:t xml:space="preserve">God shattered their teeth in their mouth; The Lord crushed fangs of lions.</w:t>
      </w:r>
    </w:p>
    <w:p>
      <w:r>
        <w:rPr>
          <w:b/>
        </w:rPr>
        <w:t xml:space="preserve">8 </w:t>
      </w:r>
      <w:r>
        <w:t xml:space="preserve">They will be despised like water passing by; he will bend his bow until they grow weak.</w:t>
      </w:r>
    </w:p>
    <w:p>
      <w:r>
        <w:rPr>
          <w:b/>
        </w:rPr>
        <w:t xml:space="preserve">9 </w:t>
      </w:r>
      <w:r>
        <w:t xml:space="preserve">Like wax melting they will be done away; fire fell, and they did not see sun.</w:t>
      </w:r>
    </w:p>
    <w:p>
      <w:r>
        <w:rPr>
          <w:b/>
        </w:rPr>
        <w:t xml:space="preserve">10 </w:t>
      </w:r>
      <w:r>
        <w:t xml:space="preserve">Before your thorns understand bramble, as living ones, as in wrath, he will swallow you up.</w:t>
      </w:r>
    </w:p>
    <w:p>
      <w:r>
        <w:rPr>
          <w:b/>
        </w:rPr>
        <w:t xml:space="preserve">11 </w:t>
      </w:r>
      <w:r>
        <w:t xml:space="preserve">The righteous one will rejoice when he sees vengeance of the ungodly; he will wash his hands in the blood of sinner.</w:t>
      </w:r>
    </w:p>
    <w:p>
      <w:r>
        <w:rPr>
          <w:b/>
        </w:rPr>
        <w:t xml:space="preserve">12 </w:t>
      </w:r>
      <w:r>
        <w:t xml:space="preserve">And man will say, Then there is fruit for righteous one; then there is God judging them in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58</w:t>
      </w:r>
    </w:p>
    <w:p>
      <w:r>
        <w:rPr>
          <w:b/>
        </w:rPr>
        <w:t xml:space="preserve">1 </w:t>
      </w:r>
      <w:r>
        <w:rPr>
          <w:i/>
        </w:rPr>
        <w:t xml:space="preserve">For end, do not destroy. Of David, for inscription, when Saul sent and watched his house to kill him.</w:t>
      </w:r>
      <w:r>
        <w:t xml:space="preserve"/>
      </w:r>
    </w:p>
    <w:p>
      <w:r>
        <w:rPr>
          <w:b/>
        </w:rPr>
        <w:t xml:space="preserve">2 </w:t>
      </w:r>
      <w:r>
        <w:t xml:space="preserve">Rescue me from my enemies, O God, and redeem me from those rising against me.</w:t>
      </w:r>
    </w:p>
    <w:p>
      <w:r>
        <w:rPr>
          <w:b/>
        </w:rPr>
        <w:t xml:space="preserve">3 </w:t>
      </w:r>
      <w:r>
        <w:t xml:space="preserve">Deliver me from those working lawlessness, and save me from the men of bloods.</w:t>
      </w:r>
    </w:p>
    <w:p>
      <w:r>
        <w:rPr>
          <w:b/>
        </w:rPr>
        <w:t xml:space="preserve">4 </w:t>
      </w:r>
      <w:r>
        <w:t xml:space="preserve">Because behold, they hunted my soul; strong men attacked me, neither my lawlessness nor my sin, Lord.</w:t>
      </w:r>
    </w:p>
    <w:p>
      <w:r>
        <w:rPr>
          <w:b/>
        </w:rPr>
        <w:t xml:space="preserve">5 </w:t>
      </w:r>
      <w:r>
        <w:t xml:space="preserve">Without lawlessness I ran and went straight; awake to meet me and see.</w:t>
      </w:r>
    </w:p>
    <w:p>
      <w:r>
        <w:rPr>
          <w:b/>
        </w:rPr>
        <w:t xml:space="preserve">6 </w:t>
      </w:r>
      <w:r>
        <w:t xml:space="preserve">And you, Lord God of hosts, God of Israel, attend to visit all nations; do not pity all workers of lawlessness. Interlude.</w:t>
      </w:r>
    </w:p>
    <w:p>
      <w:r>
        <w:rPr>
          <w:b/>
        </w:rPr>
        <w:t xml:space="preserve">7 </w:t>
      </w:r>
      <w:r>
        <w:t xml:space="preserve">They will return at evening and hunger like a dog and encircle city.</w:t>
      </w:r>
    </w:p>
    <w:p>
      <w:r>
        <w:rPr>
          <w:b/>
        </w:rPr>
        <w:t xml:space="preserve">8 </w:t>
      </w:r>
      <w:r>
        <w:t xml:space="preserve">Behold, they will utter with their mouth, and sword on their lips, because who heard?</w:t>
      </w:r>
    </w:p>
    <w:p>
      <w:r>
        <w:rPr>
          <w:b/>
        </w:rPr>
        <w:t xml:space="preserve">9 </w:t>
      </w:r>
      <w:r>
        <w:t xml:space="preserve">But you, Lord, will laugh at them; you will despise all nations.</w:t>
      </w:r>
    </w:p>
    <w:p>
      <w:r>
        <w:rPr>
          <w:b/>
        </w:rPr>
        <w:t xml:space="preserve">10 </w:t>
      </w:r>
      <w:r>
        <w:t xml:space="preserve">My strength, toward you I will keep watch, because God my supporter.</w:t>
      </w:r>
    </w:p>
    <w:p>
      <w:r>
        <w:rPr>
          <w:b/>
        </w:rPr>
        <w:t xml:space="preserve">11 </w:t>
      </w:r>
      <w:r>
        <w:t xml:space="preserve">My God, his mercy will go before me; God will show me among my enemies.</w:t>
      </w:r>
    </w:p>
    <w:p>
      <w:r>
        <w:rPr>
          <w:b/>
        </w:rPr>
        <w:t xml:space="preserve">12 </w:t>
      </w:r>
      <w:r>
        <w:t xml:space="preserve">Do not kill them, lest they forget my people. Scatter them in your power and bring them down, my defender, Lord.</w:t>
      </w:r>
    </w:p>
    <w:p>
      <w:r>
        <w:rPr>
          <w:b/>
        </w:rPr>
        <w:t xml:space="preserve">13 </w:t>
      </w:r>
      <w:r>
        <w:t xml:space="preserve">Sin of their mouth, word of their lips. Let them be caught in their pride, and from curse and lie they will be proclaimed in endings.</w:t>
      </w:r>
    </w:p>
    <w:p>
      <w:r>
        <w:rPr>
          <w:b/>
        </w:rPr>
        <w:t xml:space="preserve">14 </w:t>
      </w:r>
      <w:r>
        <w:t xml:space="preserve">In wrath of ending, and they will be no more; and they will know that God rules Jacob to the ends of the earth. Interlude.</w:t>
      </w:r>
    </w:p>
    <w:p>
      <w:r>
        <w:rPr>
          <w:b/>
        </w:rPr>
        <w:t xml:space="preserve">15 </w:t>
      </w:r>
      <w:r>
        <w:t xml:space="preserve">They will return at evening and hunger like a dog and encircle city.</w:t>
      </w:r>
    </w:p>
    <w:p>
      <w:r>
        <w:rPr>
          <w:b/>
        </w:rPr>
        <w:t xml:space="preserve">16 </w:t>
      </w:r>
      <w:r>
        <w:t xml:space="preserve">They will be scattered to eat; if they are not filled, they will also grumble.</w:t>
      </w:r>
    </w:p>
    <w:p>
      <w:r>
        <w:rPr>
          <w:b/>
        </w:rPr>
        <w:t xml:space="preserve">17 </w:t>
      </w:r>
      <w:r>
        <w:t xml:space="preserve">But I will sing of your power and exult in morning in your mercy, because you became my supporter and refuge in the day of my affliction.</w:t>
      </w:r>
    </w:p>
    <w:p>
      <w:r>
        <w:rPr>
          <w:b/>
        </w:rPr>
        <w:t xml:space="preserve">18 </w:t>
      </w:r>
      <w:r>
        <w:t xml:space="preserve">My helper, to you I will sing, because God my supporter, my God, my mercy.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59</w:t>
      </w:r>
    </w:p>
    <w:p>
      <w:r>
        <w:rPr>
          <w:b/>
        </w:rPr>
        <w:t xml:space="preserve">1 </w:t>
      </w:r>
      <w:r>
        <w:rPr>
          <w:i/>
        </w:rPr>
        <w:t xml:space="preserve">For end, concerning those to be changed, yet for inscription, of David, for teaching.</w:t>
      </w:r>
      <w:r>
        <w:t xml:space="preserve"/>
      </w:r>
    </w:p>
    <w:p>
      <w:r>
        <w:rPr>
          <w:b/>
        </w:rPr>
        <w:t xml:space="preserve">2 </w:t>
      </w:r>
      <w:r>
        <w:t xml:space="preserve">When he burned Mesopotamia of Syria and Syria of Zobah</w:t>
      </w:r>
      <w:r>
        <w:rPr>
          <w:rStyle w:val="FootnoteReference"/>
        </w:rPr>
        <w:footnoteReference w:id="10595"/>
      </w:r>
      <w:r>
        <w:t xml:space="preserve">, and Joab returned and struck valley of salt, twelve thousand.</w:t>
      </w:r>
    </w:p>
    <w:p>
      <w:r>
        <w:rPr>
          <w:b/>
        </w:rPr>
        <w:t xml:space="preserve">3 </w:t>
      </w:r>
      <w:r>
        <w:t xml:space="preserve">O God, you rejected us and pulled us down; you were angry and had compassion on us.</w:t>
      </w:r>
    </w:p>
    <w:p>
      <w:r>
        <w:rPr>
          <w:b/>
        </w:rPr>
        <w:t xml:space="preserve">4 </w:t>
      </w:r>
      <w:r>
        <w:t xml:space="preserve">You shook earth and troubled it; heal its fractures, because it was shaken.</w:t>
      </w:r>
    </w:p>
    <w:p>
      <w:r>
        <w:rPr>
          <w:b/>
        </w:rPr>
        <w:t xml:space="preserve">5 </w:t>
      </w:r>
      <w:r>
        <w:t xml:space="preserve">You showed your people hard things; you made us drink wine of staggering.</w:t>
      </w:r>
    </w:p>
    <w:p>
      <w:r>
        <w:rPr>
          <w:b/>
        </w:rPr>
        <w:t xml:space="preserve">6 </w:t>
      </w:r>
      <w:r>
        <w:t xml:space="preserve">You gave signal to those fearing you, to flee from the face of bow. Interlude.</w:t>
      </w:r>
    </w:p>
    <w:p>
      <w:r>
        <w:rPr>
          <w:b/>
        </w:rPr>
        <w:t xml:space="preserve">7 </w:t>
      </w:r>
      <w:r>
        <w:t xml:space="preserve">So that your beloved ones may be rescued, save with your right hand and hear me.</w:t>
      </w:r>
    </w:p>
    <w:p>
      <w:r>
        <w:rPr>
          <w:b/>
        </w:rPr>
        <w:t xml:space="preserve">8 </w:t>
      </w:r>
      <w:r>
        <w:t xml:space="preserve">God spoke in his holy place: I will exult and divide Shechem, and valley of tents I will measure out.</w:t>
      </w:r>
    </w:p>
    <w:p>
      <w:r>
        <w:rPr>
          <w:b/>
        </w:rPr>
        <w:t xml:space="preserve">9 </w:t>
      </w:r>
      <w:r>
        <w:t xml:space="preserve">Gilead mine and Manasseh mine, and Ephraim strength of my head, Judah my king.</w:t>
      </w:r>
    </w:p>
    <w:p>
      <w:r>
        <w:rPr>
          <w:b/>
        </w:rPr>
        <w:t xml:space="preserve">10 </w:t>
      </w:r>
      <w:r>
        <w:t xml:space="preserve">Moab cauldron of my hope; upon Edom I will stretch out my sandal; foreigners were subjected to me.</w:t>
      </w:r>
    </w:p>
    <w:p>
      <w:r>
        <w:rPr>
          <w:b/>
        </w:rPr>
        <w:t xml:space="preserve">11 </w:t>
      </w:r>
      <w:r>
        <w:t xml:space="preserve">Who will bring</w:t>
      </w:r>
      <w:r>
        <w:rPr>
          <w:rStyle w:val="FootnoteReference"/>
        </w:rPr>
        <w:footnoteReference w:id="10596"/>
      </w:r>
      <w:r>
        <w:t xml:space="preserve"> me into fortified city? Who will guide me as far as Edom?</w:t>
      </w:r>
    </w:p>
    <w:p>
      <w:r>
        <w:rPr>
          <w:b/>
        </w:rPr>
        <w:t xml:space="preserve">12 </w:t>
      </w:r>
      <w:r>
        <w:t xml:space="preserve">Is it not you, O God, who rejected us? And God will not go out in our powers.</w:t>
      </w:r>
    </w:p>
    <w:p>
      <w:r>
        <w:rPr>
          <w:b/>
        </w:rPr>
        <w:t xml:space="preserve">13 </w:t>
      </w:r>
      <w:r>
        <w:t xml:space="preserve">Give us help out of affliction, because salvation of man is vain.</w:t>
      </w:r>
    </w:p>
    <w:p>
      <w:r>
        <w:rPr>
          <w:b/>
        </w:rPr>
        <w:t xml:space="preserve">14 </w:t>
      </w:r>
      <w:r>
        <w:t xml:space="preserve">In God we will do mighty deed, and he will despise those afflicting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60</w:t>
      </w:r>
    </w:p>
    <w:p>
      <w:r>
        <w:rPr>
          <w:b/>
        </w:rPr>
        <w:t xml:space="preserve">1 </w:t>
      </w:r>
      <w:r>
        <w:rPr>
          <w:i/>
        </w:rPr>
        <w:t xml:space="preserve">For end, in hymns. Of David.</w:t>
      </w:r>
      <w:r>
        <w:t xml:space="preserve"/>
      </w:r>
    </w:p>
    <w:p>
      <w:r>
        <w:rPr>
          <w:b/>
        </w:rPr>
        <w:t xml:space="preserve">2 </w:t>
      </w:r>
      <w:r>
        <w:t xml:space="preserve">Hear, O God, my supplication; attend to my prayer.</w:t>
      </w:r>
    </w:p>
    <w:p>
      <w:r>
        <w:rPr>
          <w:b/>
        </w:rPr>
        <w:t xml:space="preserve">3 </w:t>
      </w:r>
      <w:r>
        <w:t xml:space="preserve">From the ends of the earth I cried to you when my heart grew faint; on rock you lifted me up.</w:t>
      </w:r>
    </w:p>
    <w:p>
      <w:r>
        <w:rPr>
          <w:b/>
        </w:rPr>
        <w:t xml:space="preserve">4 </w:t>
      </w:r>
      <w:r>
        <w:t xml:space="preserve">You guided me, because you became my hope, tower of strength from the face of enemy.</w:t>
      </w:r>
    </w:p>
    <w:p>
      <w:r>
        <w:rPr>
          <w:b/>
        </w:rPr>
        <w:t xml:space="preserve">5 </w:t>
      </w:r>
      <w:r>
        <w:t xml:space="preserve">I will sojourn in your tent forever; I will be sheltered in cover of your wings. Interlude.</w:t>
      </w:r>
    </w:p>
    <w:p>
      <w:r>
        <w:rPr>
          <w:b/>
        </w:rPr>
        <w:t xml:space="preserve">6 </w:t>
      </w:r>
      <w:r>
        <w:t xml:space="preserve">Because you, God, heard my vows; you gave inheritance to those fearing your name.</w:t>
      </w:r>
    </w:p>
    <w:p>
      <w:r>
        <w:rPr>
          <w:b/>
        </w:rPr>
        <w:t xml:space="preserve">7 </w:t>
      </w:r>
      <w:r>
        <w:t xml:space="preserve">Days upon days of the king you will add; his years until days of generation and generation.</w:t>
      </w:r>
    </w:p>
    <w:p>
      <w:r>
        <w:rPr>
          <w:b/>
        </w:rPr>
        <w:t xml:space="preserve">8 </w:t>
      </w:r>
      <w:r>
        <w:t xml:space="preserve">He remains forever before God; his mercy and truth, who will seek out?</w:t>
      </w:r>
    </w:p>
    <w:p>
      <w:r>
        <w:rPr>
          <w:b/>
        </w:rPr>
        <w:t xml:space="preserve">9 </w:t>
      </w:r>
      <w:r>
        <w:t xml:space="preserve">Thus I will sing to your name forever and forever, to pay my vows day from day.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61</w:t>
      </w:r>
    </w:p>
    <w:p>
      <w:r>
        <w:rPr>
          <w:b/>
        </w:rPr>
        <w:t xml:space="preserve">1 </w:t>
      </w:r>
      <w:r>
        <w:rPr>
          <w:i/>
        </w:rPr>
        <w:t xml:space="preserve">For end, concerning Jeduthun. Psalm of David.</w:t>
      </w:r>
      <w:r>
        <w:t xml:space="preserve"/>
      </w:r>
    </w:p>
    <w:p>
      <w:r>
        <w:rPr>
          <w:b/>
        </w:rPr>
        <w:t xml:space="preserve">2 </w:t>
      </w:r>
      <w:r>
        <w:t xml:space="preserve">Will not my soul be subjected to God? For from him my salvation.</w:t>
      </w:r>
    </w:p>
    <w:p>
      <w:r>
        <w:rPr>
          <w:b/>
        </w:rPr>
        <w:t xml:space="preserve">3 </w:t>
      </w:r>
      <w:r>
        <w:t xml:space="preserve">For he my God and my savior, my supporter; I will not be shaken much.</w:t>
      </w:r>
    </w:p>
    <w:p>
      <w:r>
        <w:rPr>
          <w:b/>
        </w:rPr>
        <w:t xml:space="preserve">4 </w:t>
      </w:r>
      <w:r>
        <w:t xml:space="preserve">How long do you attack man? You all murder, like leaning wall and thrust fence.</w:t>
      </w:r>
    </w:p>
    <w:p>
      <w:r>
        <w:rPr>
          <w:b/>
        </w:rPr>
        <w:t xml:space="preserve">5 </w:t>
      </w:r>
      <w:r>
        <w:t xml:space="preserve">Only my honor they planned to cast away; they ran in lie. With their mouth they blessed and with their heart they cursed. Interlude.</w:t>
      </w:r>
    </w:p>
    <w:p>
      <w:r>
        <w:rPr>
          <w:b/>
        </w:rPr>
        <w:t xml:space="preserve">6 </w:t>
      </w:r>
      <w:r>
        <w:t xml:space="preserve">Only be subjected to God, my soul, because from him my endurance.</w:t>
      </w:r>
    </w:p>
    <w:p>
      <w:r>
        <w:rPr>
          <w:b/>
        </w:rPr>
        <w:t xml:space="preserve">7 </w:t>
      </w:r>
      <w:r>
        <w:t xml:space="preserve">Because he my God and savior, my supporter; I will not be moved away.</w:t>
      </w:r>
    </w:p>
    <w:p>
      <w:r>
        <w:rPr>
          <w:b/>
        </w:rPr>
        <w:t xml:space="preserve">8 </w:t>
      </w:r>
      <w:r>
        <w:t xml:space="preserve">Upon God my salvation and my glory, God of my help and my hope upon God.</w:t>
      </w:r>
    </w:p>
    <w:p>
      <w:r>
        <w:rPr>
          <w:b/>
        </w:rPr>
        <w:t xml:space="preserve">9 </w:t>
      </w:r>
      <w:r>
        <w:t xml:space="preserve">Hope upon him, every assembly of the people; pour out your hearts before him; God our helper. Interlude.</w:t>
      </w:r>
    </w:p>
    <w:p>
      <w:r>
        <w:rPr>
          <w:b/>
        </w:rPr>
        <w:t xml:space="preserve">10 </w:t>
      </w:r>
      <w:r>
        <w:t xml:space="preserve">But vain sons of men, false sons of men, in balances to do injustice; they together from vanity.</w:t>
      </w:r>
    </w:p>
    <w:p>
      <w:r>
        <w:rPr>
          <w:b/>
        </w:rPr>
        <w:t xml:space="preserve">11 </w:t>
      </w:r>
      <w:r>
        <w:t xml:space="preserve">Do not hope in injustice, and do not desire plunder; if wealth flows, do not set heart on it.</w:t>
      </w:r>
    </w:p>
    <w:p>
      <w:r>
        <w:rPr>
          <w:b/>
        </w:rPr>
        <w:t xml:space="preserve">12 </w:t>
      </w:r>
      <w:r>
        <w:t xml:space="preserve">Once God spoke; these two things I heard:</w:t>
      </w:r>
    </w:p>
    <w:p>
      <w:r>
        <w:rPr>
          <w:b/>
        </w:rPr>
        <w:t xml:space="preserve">13 </w:t>
      </w:r>
      <w:r>
        <w:t xml:space="preserve">because strength belongs to God, and to you, Lord, mercy, because you will repay each one according to his works.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62</w:t>
      </w:r>
    </w:p>
    <w:p>
      <w:r>
        <w:rPr>
          <w:b/>
        </w:rPr>
        <w:t xml:space="preserve">1 </w:t>
      </w:r>
      <w:r>
        <w:rPr>
          <w:i/>
        </w:rPr>
        <w:t xml:space="preserve">Psalm of David, when he was in the wilderness of Judah.</w:t>
      </w:r>
      <w:r>
        <w:t xml:space="preserve"/>
      </w:r>
    </w:p>
    <w:p>
      <w:r>
        <w:rPr>
          <w:b/>
        </w:rPr>
        <w:t xml:space="preserve">2 </w:t>
      </w:r>
      <w:r>
        <w:t xml:space="preserve">O God, my God, to you I rise early. My soul thirsted for you; how much my flesh also for you, in a desert and trackless and waterless land.</w:t>
      </w:r>
    </w:p>
    <w:p>
      <w:r>
        <w:rPr>
          <w:b/>
        </w:rPr>
        <w:t xml:space="preserve">3 </w:t>
      </w:r>
      <w:r>
        <w:t xml:space="preserve">Thus in holy place I appeared to you, to see your power and your glory.</w:t>
      </w:r>
    </w:p>
    <w:p>
      <w:r>
        <w:rPr>
          <w:b/>
        </w:rPr>
        <w:t xml:space="preserve">4 </w:t>
      </w:r>
      <w:r>
        <w:t xml:space="preserve">Because your mercy better than lives; my lips will praise you.</w:t>
      </w:r>
    </w:p>
    <w:p>
      <w:r>
        <w:rPr>
          <w:b/>
        </w:rPr>
        <w:t xml:space="preserve">5 </w:t>
      </w:r>
      <w:r>
        <w:t xml:space="preserve">Thus I will bless you in my life; in your name I will lift my hands.</w:t>
      </w:r>
    </w:p>
    <w:p>
      <w:r>
        <w:rPr>
          <w:b/>
        </w:rPr>
        <w:t xml:space="preserve">6 </w:t>
      </w:r>
      <w:r>
        <w:t xml:space="preserve">Let my soul be filled as with fat and richness, and with lips of exultation my mouth will praise you.</w:t>
      </w:r>
    </w:p>
    <w:p>
      <w:r>
        <w:rPr>
          <w:b/>
        </w:rPr>
        <w:t xml:space="preserve">7 </w:t>
      </w:r>
      <w:r>
        <w:t xml:space="preserve">If I remembered you upon my bed, at dawns I meditated on you.</w:t>
      </w:r>
    </w:p>
    <w:p>
      <w:r>
        <w:rPr>
          <w:b/>
        </w:rPr>
        <w:t xml:space="preserve">8 </w:t>
      </w:r>
      <w:r>
        <w:t xml:space="preserve">Because you became my helper, and in the shelter of your wings I will exult.</w:t>
      </w:r>
    </w:p>
    <w:p>
      <w:r>
        <w:rPr>
          <w:b/>
        </w:rPr>
        <w:t xml:space="preserve">9 </w:t>
      </w:r>
      <w:r>
        <w:t xml:space="preserve">My soul clung after you; your right hand took hold of me.</w:t>
      </w:r>
    </w:p>
    <w:p>
      <w:r>
        <w:rPr>
          <w:b/>
        </w:rPr>
        <w:t xml:space="preserve">10 </w:t>
      </w:r>
      <w:r>
        <w:t xml:space="preserve">But they in vain sought my soul; they will enter into lowest parts of earth.</w:t>
      </w:r>
    </w:p>
    <w:p>
      <w:r>
        <w:rPr>
          <w:b/>
        </w:rPr>
        <w:t xml:space="preserve">11 </w:t>
      </w:r>
      <w:r>
        <w:t xml:space="preserve">They will be handed over into the hands of sword; they will be portions for foxes.</w:t>
      </w:r>
    </w:p>
    <w:p>
      <w:r>
        <w:rPr>
          <w:b/>
        </w:rPr>
        <w:t xml:space="preserve">12 </w:t>
      </w:r>
      <w:r>
        <w:t xml:space="preserve">But the king will rejoice in God; everyone swearing by him will be praised, because mouth of those speaking unjust things was stopped.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63</w:t>
      </w:r>
    </w:p>
    <w:p>
      <w:r>
        <w:rPr>
          <w:b/>
        </w:rPr>
        <w:t xml:space="preserve">1 </w:t>
      </w:r>
      <w:r>
        <w:rPr>
          <w:i/>
        </w:rPr>
        <w:t xml:space="preserve">For end. Psalm of David.</w:t>
      </w:r>
      <w:r>
        <w:t xml:space="preserve"/>
      </w:r>
    </w:p>
    <w:p>
      <w:r>
        <w:rPr>
          <w:b/>
        </w:rPr>
        <w:t xml:space="preserve">2 </w:t>
      </w:r>
      <w:r>
        <w:t xml:space="preserve">Hear, O God, my voice in my supplication; from fear of enemy rescue my soul.</w:t>
      </w:r>
    </w:p>
    <w:p>
      <w:r>
        <w:rPr>
          <w:b/>
        </w:rPr>
        <w:t xml:space="preserve">3 </w:t>
      </w:r>
      <w:r>
        <w:t xml:space="preserve">You sheltered me from conspiracy of evil-doers, from the multitude of workers of lawlessness,</w:t>
      </w:r>
    </w:p>
    <w:p>
      <w:r>
        <w:rPr>
          <w:b/>
        </w:rPr>
        <w:t xml:space="preserve">4 </w:t>
      </w:r>
      <w:r>
        <w:t xml:space="preserve">who sharpened their tongues like a sword, bent their bow, bitter thing,</w:t>
      </w:r>
    </w:p>
    <w:p>
      <w:r>
        <w:rPr>
          <w:b/>
        </w:rPr>
        <w:t xml:space="preserve">5 </w:t>
      </w:r>
      <w:r>
        <w:t xml:space="preserve">to shoot blameless one in secret places. Suddenly they will shoot him and will not fear.</w:t>
      </w:r>
    </w:p>
    <w:p>
      <w:r>
        <w:rPr>
          <w:b/>
        </w:rPr>
        <w:t xml:space="preserve">6 </w:t>
      </w:r>
      <w:r>
        <w:t xml:space="preserve">They strengthened for themselves evil word; they told of hiding snares. They said, Who will see them?</w:t>
      </w:r>
    </w:p>
    <w:p>
      <w:r>
        <w:rPr>
          <w:b/>
        </w:rPr>
        <w:t xml:space="preserve">7 </w:t>
      </w:r>
      <w:r>
        <w:t xml:space="preserve">They searched out lawlessnesses; they failed, searching out searchings. Man will come near, and heart deep.</w:t>
      </w:r>
    </w:p>
    <w:p>
      <w:r>
        <w:rPr>
          <w:b/>
        </w:rPr>
        <w:t xml:space="preserve">8 </w:t>
      </w:r>
      <w:r>
        <w:t xml:space="preserve">And God will be exalted; arrows of infants were their wounds.</w:t>
      </w:r>
    </w:p>
    <w:p>
      <w:r>
        <w:rPr>
          <w:b/>
        </w:rPr>
        <w:t xml:space="preserve">9 </w:t>
      </w:r>
      <w:r>
        <w:t xml:space="preserve">And their tongues grew weak against them; all seeing them were troubled.</w:t>
      </w:r>
    </w:p>
    <w:p>
      <w:r>
        <w:rPr>
          <w:b/>
        </w:rPr>
        <w:t xml:space="preserve">10 </w:t>
      </w:r>
      <w:r>
        <w:t xml:space="preserve">And every man feared, and they declared works of God and understood his deeds.</w:t>
      </w:r>
    </w:p>
    <w:p>
      <w:r>
        <w:rPr>
          <w:b/>
        </w:rPr>
        <w:t xml:space="preserve">11 </w:t>
      </w:r>
      <w:r>
        <w:t xml:space="preserve">The righteous one will rejoice in the Lord and hope upon him, and all straight in heart will be praised.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64</w:t>
      </w:r>
    </w:p>
    <w:p>
      <w:r>
        <w:rPr>
          <w:b/>
        </w:rPr>
        <w:t xml:space="preserve">1 </w:t>
      </w:r>
      <w:r>
        <w:rPr>
          <w:i/>
        </w:rPr>
        <w:t xml:space="preserve">For end. Psalm of David. Song of Jeremiah and Ezekiel from word of the sojourning when they were about to go out.</w:t>
      </w:r>
      <w:r>
        <w:t xml:space="preserve"/>
      </w:r>
    </w:p>
    <w:p>
      <w:r>
        <w:rPr>
          <w:b/>
        </w:rPr>
        <w:t xml:space="preserve">2 </w:t>
      </w:r>
      <w:r>
        <w:t xml:space="preserve">Hymn fits you, O God, in Zion, and vow will be paid to you in Jerusalem.</w:t>
      </w:r>
    </w:p>
    <w:p>
      <w:r>
        <w:rPr>
          <w:b/>
        </w:rPr>
        <w:t xml:space="preserve">3 </w:t>
      </w:r>
      <w:r>
        <w:t xml:space="preserve">Hear my prayer; to you all flesh will come.</w:t>
      </w:r>
    </w:p>
    <w:p>
      <w:r>
        <w:rPr>
          <w:b/>
        </w:rPr>
        <w:t xml:space="preserve">4 </w:t>
      </w:r>
      <w:r>
        <w:t xml:space="preserve">The words of lawless men overpowered us, and our ungodlinesses you will propitiate.</w:t>
      </w:r>
    </w:p>
    <w:p>
      <w:r>
        <w:rPr>
          <w:b/>
        </w:rPr>
        <w:t xml:space="preserve">5 </w:t>
      </w:r>
      <w:r>
        <w:t xml:space="preserve">Blessed is the one whom you chose and took to yourself; he will dwell in your courts. We will be filled with good things of your house; holy is your temple, wondrous in righteousness.</w:t>
      </w:r>
    </w:p>
    <w:p>
      <w:r>
        <w:rPr>
          <w:b/>
        </w:rPr>
        <w:t xml:space="preserve">6 </w:t>
      </w:r>
      <w:r>
        <w:t xml:space="preserve">Hear us, God our savior, hope of all ends of the earth and of those far off in sea,</w:t>
      </w:r>
    </w:p>
    <w:p>
      <w:r>
        <w:rPr>
          <w:b/>
        </w:rPr>
        <w:t xml:space="preserve">7 </w:t>
      </w:r>
      <w:r>
        <w:t xml:space="preserve">preparing mountains in his strength, girded about in dominion,</w:t>
      </w:r>
    </w:p>
    <w:p>
      <w:r>
        <w:rPr>
          <w:b/>
        </w:rPr>
        <w:t xml:space="preserve">8 </w:t>
      </w:r>
      <w:r>
        <w:t xml:space="preserve">troubling depth of sea, the sound of its waves. Nations will be troubled.</w:t>
      </w:r>
    </w:p>
    <w:p>
      <w:r>
        <w:rPr>
          <w:b/>
        </w:rPr>
        <w:t xml:space="preserve">9 </w:t>
      </w:r>
      <w:r>
        <w:t xml:space="preserve">And those inhabiting ends will fear</w:t>
      </w:r>
      <w:r>
        <w:rPr>
          <w:rStyle w:val="FootnoteReference"/>
        </w:rPr>
        <w:footnoteReference w:id="10597"/>
      </w:r>
      <w:r>
        <w:t xml:space="preserve"> at your signs; goings out of morning and evening you will gladden.</w:t>
      </w:r>
    </w:p>
    <w:p>
      <w:r>
        <w:rPr>
          <w:b/>
        </w:rPr>
        <w:t xml:space="preserve">10 </w:t>
      </w:r>
      <w:r>
        <w:t xml:space="preserve">You visited earth and made it drunk; you multiplied to enrich it. The river of God was filled with waters; you prepared their food, because thus your preparation.</w:t>
      </w:r>
    </w:p>
    <w:p>
      <w:r>
        <w:rPr>
          <w:b/>
        </w:rPr>
        <w:t xml:space="preserve">11 </w:t>
      </w:r>
      <w:r>
        <w:t xml:space="preserve">Make her furrows drunk; multiply her produce; in its drops that springing thing will rejoice.</w:t>
      </w:r>
    </w:p>
    <w:p>
      <w:r>
        <w:rPr>
          <w:b/>
        </w:rPr>
        <w:t xml:space="preserve">12 </w:t>
      </w:r>
      <w:r>
        <w:t xml:space="preserve">You will bless crown of year of your goodness, and your plains will be filled with richness.</w:t>
      </w:r>
    </w:p>
    <w:p>
      <w:r>
        <w:rPr>
          <w:b/>
        </w:rPr>
        <w:t xml:space="preserve">13 </w:t>
      </w:r>
      <w:r>
        <w:t xml:space="preserve">The beauties of the wilderness will grow fat, and the hills will gird themselves with exultation.</w:t>
      </w:r>
    </w:p>
    <w:p>
      <w:r>
        <w:rPr>
          <w:b/>
        </w:rPr>
        <w:t xml:space="preserve">14 </w:t>
      </w:r>
      <w:r>
        <w:t xml:space="preserve">Rams of sheep clothed themselves, and valleys will multiply grain; they will cry out, yes, they will sing hymns.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65</w:t>
      </w:r>
    </w:p>
    <w:p>
      <w:r>
        <w:rPr>
          <w:b/>
        </w:rPr>
        <w:t xml:space="preserve">1 </w:t>
      </w:r>
      <w:r>
        <w:rPr>
          <w:i/>
        </w:rPr>
        <w:t xml:space="preserve">For end. Song of psalm of resurrection.</w:t>
      </w:r>
      <w:r>
        <w:br/>
      </w:r>
      <w:r>
        <w:t xml:space="preserve">Shout to God, all the earth.</w:t>
      </w:r>
    </w:p>
    <w:p>
      <w:r>
        <w:rPr>
          <w:b/>
        </w:rPr>
        <w:t xml:space="preserve">2 </w:t>
      </w:r>
      <w:r>
        <w:t xml:space="preserve">Sing indeed to his name; give glory to his praise.</w:t>
      </w:r>
    </w:p>
    <w:p>
      <w:r>
        <w:rPr>
          <w:b/>
        </w:rPr>
        <w:t xml:space="preserve">3 </w:t>
      </w:r>
      <w:r>
        <w:t xml:space="preserve">Say to God, How fearful your works. In the multitude of your power your enemies will lie to you.</w:t>
      </w:r>
    </w:p>
    <w:p>
      <w:r>
        <w:rPr>
          <w:b/>
        </w:rPr>
        <w:t xml:space="preserve">4 </w:t>
      </w:r>
      <w:r>
        <w:t xml:space="preserve">Let all the earth worship you and sing to you; let them sing to your name. Interlude.</w:t>
      </w:r>
    </w:p>
    <w:p>
      <w:r>
        <w:rPr>
          <w:b/>
        </w:rPr>
        <w:t xml:space="preserve">5 </w:t>
      </w:r>
      <w:r>
        <w:t xml:space="preserve">Come and see works of God, fearful in counsels beyond sons of men,</w:t>
      </w:r>
    </w:p>
    <w:p>
      <w:r>
        <w:rPr>
          <w:b/>
        </w:rPr>
        <w:t xml:space="preserve">6 </w:t>
      </w:r>
      <w:r>
        <w:t xml:space="preserve">who turns sea into dry land; in the river they will pass through on foot; there we will rejoice in him,</w:t>
      </w:r>
    </w:p>
    <w:p>
      <w:r>
        <w:rPr>
          <w:b/>
        </w:rPr>
        <w:t xml:space="preserve">7 </w:t>
      </w:r>
      <w:r>
        <w:t xml:space="preserve">the one ruling in his dominion forever. His eyes look upon nations; those provoking must not exalt themselves. Interlude.</w:t>
      </w:r>
    </w:p>
    <w:p>
      <w:r>
        <w:rPr>
          <w:b/>
        </w:rPr>
        <w:t xml:space="preserve">8 </w:t>
      </w:r>
      <w:r>
        <w:t xml:space="preserve">Bless our God, nations, and make voice of his praise heard,</w:t>
      </w:r>
    </w:p>
    <w:p>
      <w:r>
        <w:rPr>
          <w:b/>
        </w:rPr>
        <w:t xml:space="preserve">9 </w:t>
      </w:r>
      <w:r>
        <w:t xml:space="preserve">who set my soul into life and did not give my feet to shaking.</w:t>
      </w:r>
    </w:p>
    <w:p>
      <w:r>
        <w:rPr>
          <w:b/>
        </w:rPr>
        <w:t xml:space="preserve">10 </w:t>
      </w:r>
      <w:r>
        <w:t xml:space="preserve">Because you tested us, O God; you purified us as silver is purified.</w:t>
      </w:r>
    </w:p>
    <w:p>
      <w:r>
        <w:rPr>
          <w:b/>
        </w:rPr>
        <w:t xml:space="preserve">11 </w:t>
      </w:r>
      <w:r>
        <w:t xml:space="preserve">You brought us into snare; you laid afflictions upon our back.</w:t>
      </w:r>
    </w:p>
    <w:p>
      <w:r>
        <w:rPr>
          <w:b/>
        </w:rPr>
        <w:t xml:space="preserve">12 </w:t>
      </w:r>
      <w:r>
        <w:t xml:space="preserve">You made men ride upon our heads; we went through fire and water, and you brought us out into refreshment.</w:t>
      </w:r>
    </w:p>
    <w:p>
      <w:r>
        <w:rPr>
          <w:b/>
        </w:rPr>
        <w:t xml:space="preserve">13 </w:t>
      </w:r>
      <w:r>
        <w:t xml:space="preserve">I will enter into your house with whole burnt offerings; I will pay you my vows,</w:t>
      </w:r>
    </w:p>
    <w:p>
      <w:r>
        <w:rPr>
          <w:b/>
        </w:rPr>
        <w:t xml:space="preserve">14 </w:t>
      </w:r>
      <w:r>
        <w:t xml:space="preserve">which my lips uttered and my mouth spoke in my affliction.</w:t>
      </w:r>
    </w:p>
    <w:p>
      <w:r>
        <w:rPr>
          <w:b/>
        </w:rPr>
        <w:t xml:space="preserve">15 </w:t>
      </w:r>
      <w:r>
        <w:t xml:space="preserve">Fattened whole burnt offerings I will offer to you with incense and rams; I will offer oxen with he-goats. Interlude.</w:t>
      </w:r>
    </w:p>
    <w:p>
      <w:r>
        <w:rPr>
          <w:b/>
        </w:rPr>
        <w:t xml:space="preserve">16 </w:t>
      </w:r>
      <w:r>
        <w:t xml:space="preserve">Come, hear, and I will tell, all fearing God, whatever he did for my soul.</w:t>
      </w:r>
    </w:p>
    <w:p>
      <w:r>
        <w:rPr>
          <w:b/>
        </w:rPr>
        <w:t xml:space="preserve">17 </w:t>
      </w:r>
      <w:r>
        <w:t xml:space="preserve">To him with my mouth I cried, and I exalted under my tongue.</w:t>
      </w:r>
    </w:p>
    <w:p>
      <w:r>
        <w:rPr>
          <w:b/>
        </w:rPr>
        <w:t xml:space="preserve">18 </w:t>
      </w:r>
      <w:r>
        <w:t xml:space="preserve">If I saw injustice in my heart, let not the Lord hear me.</w:t>
      </w:r>
    </w:p>
    <w:p>
      <w:r>
        <w:rPr>
          <w:b/>
        </w:rPr>
        <w:t xml:space="preserve">19 </w:t>
      </w:r>
      <w:r>
        <w:t xml:space="preserve">Therefore God heard me; he attended to the voice of my supplication.</w:t>
      </w:r>
    </w:p>
    <w:p>
      <w:r>
        <w:rPr>
          <w:b/>
        </w:rPr>
        <w:t xml:space="preserve">20 </w:t>
      </w:r>
      <w:r>
        <w:t xml:space="preserve">Blessed be God, who did not turn away my prayer and his mercy from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66</w:t>
      </w:r>
    </w:p>
    <w:p>
      <w:r>
        <w:rPr>
          <w:b/>
        </w:rPr>
        <w:t xml:space="preserve">1 </w:t>
      </w:r>
      <w:r>
        <w:rPr>
          <w:i/>
        </w:rPr>
        <w:t xml:space="preserve">For end, in hymns. Psalm of song.</w:t>
      </w:r>
      <w:r>
        <w:t xml:space="preserve"/>
      </w:r>
    </w:p>
    <w:p>
      <w:r>
        <w:rPr>
          <w:b/>
        </w:rPr>
        <w:t xml:space="preserve">2 </w:t>
      </w:r>
      <w:r>
        <w:t xml:space="preserve">May God have compassion on us and bless us; may he make his face shine upon us. Interlude.</w:t>
      </w:r>
    </w:p>
    <w:p>
      <w:r>
        <w:rPr>
          <w:b/>
        </w:rPr>
        <w:t xml:space="preserve">3 </w:t>
      </w:r>
      <w:r>
        <w:t xml:space="preserve">So as to know your way in earth, your salvation among all nations.</w:t>
      </w:r>
    </w:p>
    <w:p>
      <w:r>
        <w:rPr>
          <w:b/>
        </w:rPr>
        <w:t xml:space="preserve">4 </w:t>
      </w:r>
      <w:r>
        <w:t xml:space="preserve">Let peoples confess to you, O God; let all peoples confess to you.</w:t>
      </w:r>
    </w:p>
    <w:p>
      <w:r>
        <w:rPr>
          <w:b/>
        </w:rPr>
        <w:t xml:space="preserve">5 </w:t>
      </w:r>
      <w:r>
        <w:t xml:space="preserve">Let nations rejoice and exult, because you judge peoples in uprightness and will guide nations upon earth. Interlude.</w:t>
      </w:r>
    </w:p>
    <w:p>
      <w:r>
        <w:rPr>
          <w:b/>
        </w:rPr>
        <w:t xml:space="preserve">6 </w:t>
      </w:r>
      <w:r>
        <w:t xml:space="preserve">Let peoples confess to you, O God; let all peoples confess to you.</w:t>
      </w:r>
    </w:p>
    <w:p>
      <w:r>
        <w:rPr>
          <w:b/>
        </w:rPr>
        <w:t xml:space="preserve">7 </w:t>
      </w:r>
      <w:r>
        <w:t xml:space="preserve">Earth gave her fruit; may God, our God, bless us.</w:t>
      </w:r>
    </w:p>
    <w:p>
      <w:r>
        <w:rPr>
          <w:b/>
        </w:rPr>
        <w:t xml:space="preserve">8 </w:t>
      </w:r>
      <w:r>
        <w:t xml:space="preserve">May God bless us, and let all ends of the earth fear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67</w:t>
      </w:r>
    </w:p>
    <w:p>
      <w:r>
        <w:rPr>
          <w:b/>
        </w:rPr>
        <w:t xml:space="preserve">1 </w:t>
      </w:r>
      <w:r>
        <w:rPr>
          <w:i/>
        </w:rPr>
        <w:t xml:space="preserve">For end. Of David. Psalm of song.</w:t>
      </w:r>
      <w:r>
        <w:t xml:space="preserve"/>
      </w:r>
    </w:p>
    <w:p>
      <w:r>
        <w:rPr>
          <w:b/>
        </w:rPr>
        <w:t xml:space="preserve">2 </w:t>
      </w:r>
      <w:r>
        <w:t xml:space="preserve">Let God arise, and let his enemies be scattered, and let those hating him flee from before him.</w:t>
      </w:r>
    </w:p>
    <w:p>
      <w:r>
        <w:rPr>
          <w:b/>
        </w:rPr>
        <w:t xml:space="preserve">3 </w:t>
      </w:r>
      <w:r>
        <w:t xml:space="preserve">As smoke fails, let them fail; as wax melts from the face of fire, so let sinners perish from the face of God.</w:t>
      </w:r>
    </w:p>
    <w:p>
      <w:r>
        <w:rPr>
          <w:b/>
        </w:rPr>
        <w:t xml:space="preserve">4 </w:t>
      </w:r>
      <w:r>
        <w:t xml:space="preserve">But let righteous ones rejoice; let them exult before God; let them delight in gladness.</w:t>
      </w:r>
    </w:p>
    <w:p>
      <w:r>
        <w:rPr>
          <w:b/>
        </w:rPr>
        <w:t xml:space="preserve">5 </w:t>
      </w:r>
      <w:r>
        <w:t xml:space="preserve">Sing to God, make melody to his name; make way for one riding upon westlands. The Lord is his name, and exult before him; they will be troubled from before his face,</w:t>
      </w:r>
    </w:p>
    <w:p>
      <w:r>
        <w:rPr>
          <w:b/>
        </w:rPr>
        <w:t xml:space="preserve">6 </w:t>
      </w:r>
      <w:r>
        <w:t xml:space="preserve">father of orphans and judge of widows, God in his holy place.</w:t>
      </w:r>
    </w:p>
    <w:p>
      <w:r>
        <w:rPr>
          <w:b/>
        </w:rPr>
        <w:t xml:space="preserve">7 </w:t>
      </w:r>
      <w:r>
        <w:t xml:space="preserve">God settles solitary ones in a house, bringing out chained ones in manliness, likewise those provoking, those dwelling in tombs.</w:t>
      </w:r>
    </w:p>
    <w:p>
      <w:r>
        <w:rPr>
          <w:b/>
        </w:rPr>
        <w:t xml:space="preserve">8 </w:t>
      </w:r>
      <w:r>
        <w:t xml:space="preserve">O God, when you go out before your people, when you pass through wilderness. Interlude.</w:t>
      </w:r>
    </w:p>
    <w:p>
      <w:r>
        <w:rPr>
          <w:b/>
        </w:rPr>
        <w:t xml:space="preserve">9 </w:t>
      </w:r>
      <w:r>
        <w:t xml:space="preserve">Earth was shaken, for even heavens dripped from the face of God, this Sinai, from the face of God of Israel.</w:t>
      </w:r>
    </w:p>
    <w:p>
      <w:r>
        <w:rPr>
          <w:b/>
        </w:rPr>
        <w:t xml:space="preserve">10 </w:t>
      </w:r>
      <w:r>
        <w:t xml:space="preserve">You will set apart willing rain, O God, for your inheritance; and it grew weak, but you restored it.</w:t>
      </w:r>
    </w:p>
    <w:p>
      <w:r>
        <w:rPr>
          <w:b/>
        </w:rPr>
        <w:t xml:space="preserve">11 </w:t>
      </w:r>
      <w:r>
        <w:t xml:space="preserve">Your living creatures dwell in it; in your goodness you prepared for the poor one</w:t>
      </w:r>
      <w:r>
        <w:rPr>
          <w:rStyle w:val="FootnoteReference"/>
        </w:rPr>
        <w:footnoteReference w:id="10598"/>
      </w:r>
      <w:r>
        <w:t xml:space="preserve">, O God.</w:t>
      </w:r>
    </w:p>
    <w:p>
      <w:r>
        <w:rPr>
          <w:b/>
        </w:rPr>
        <w:t xml:space="preserve">12 </w:t>
      </w:r>
      <w:r>
        <w:t xml:space="preserve">The Lord will give word to those bringing good news with much power.</w:t>
      </w:r>
    </w:p>
    <w:p>
      <w:r>
        <w:rPr>
          <w:b/>
        </w:rPr>
        <w:t xml:space="preserve">13 </w:t>
      </w:r>
      <w:r>
        <w:t xml:space="preserve">King of forces of beloved one, and in beauty of the house to divide spoils.</w:t>
      </w:r>
    </w:p>
    <w:p>
      <w:r>
        <w:rPr>
          <w:b/>
        </w:rPr>
        <w:t xml:space="preserve">14 </w:t>
      </w:r>
      <w:r>
        <w:t xml:space="preserve">If you sleep between the lots, wings of dove silvered, and her back parts in green sheen of gold. Interlude.</w:t>
      </w:r>
    </w:p>
    <w:p>
      <w:r>
        <w:rPr>
          <w:b/>
        </w:rPr>
        <w:t xml:space="preserve">15 </w:t>
      </w:r>
      <w:r>
        <w:t xml:space="preserve">When heavenly one scatters kings upon her, they will be snow-white in Zalmon.</w:t>
      </w:r>
    </w:p>
    <w:p>
      <w:r>
        <w:rPr>
          <w:b/>
        </w:rPr>
        <w:t xml:space="preserve">16 </w:t>
      </w:r>
      <w:r>
        <w:t xml:space="preserve">The mountain of God, rich mountain; curdled mountain, rich mountain.</w:t>
      </w:r>
    </w:p>
    <w:p>
      <w:r>
        <w:rPr>
          <w:b/>
        </w:rPr>
        <w:t xml:space="preserve">17 </w:t>
      </w:r>
      <w:r>
        <w:t xml:space="preserve">Why do you suppose, curdled mountains, mountain in which God delighted to dwell? And indeed the Lord will tabernacle to end.</w:t>
      </w:r>
    </w:p>
    <w:p>
      <w:r>
        <w:rPr>
          <w:b/>
        </w:rPr>
        <w:t xml:space="preserve">18 </w:t>
      </w:r>
      <w:r>
        <w:t xml:space="preserve">Chariot of God ten-thousandfold, thousands prospering; Lord among them in Sinai, in holy place.</w:t>
      </w:r>
    </w:p>
    <w:p>
      <w:r>
        <w:rPr>
          <w:b/>
        </w:rPr>
        <w:t xml:space="preserve">19 </w:t>
      </w:r>
      <w:r>
        <w:t xml:space="preserve">You went up on high, you led captivity captive; you received gifts in man, for even disobedient ones, for the Lord God to dwell. Blessed.</w:t>
      </w:r>
    </w:p>
    <w:p>
      <w:r>
        <w:rPr>
          <w:b/>
        </w:rPr>
        <w:t xml:space="preserve">20 </w:t>
      </w:r>
      <w:r>
        <w:t xml:space="preserve">Blessed is the Lord day by day; the God of our salvations will make a straight way for us. Interlude.</w:t>
      </w:r>
    </w:p>
    <w:p>
      <w:r>
        <w:rPr>
          <w:b/>
        </w:rPr>
        <w:t xml:space="preserve">21 </w:t>
      </w:r>
      <w:r>
        <w:t xml:space="preserve">Our God is God of saving, and exits from death belong to the Lord, Lord.</w:t>
      </w:r>
    </w:p>
    <w:p>
      <w:r>
        <w:rPr>
          <w:b/>
        </w:rPr>
        <w:t xml:space="preserve">22 </w:t>
      </w:r>
      <w:r>
        <w:t xml:space="preserve">But God will crush heads of his enemies, hairy crown of those going on in their trespasses.</w:t>
      </w:r>
    </w:p>
    <w:p>
      <w:r>
        <w:rPr>
          <w:b/>
        </w:rPr>
        <w:t xml:space="preserve">23 </w:t>
      </w:r>
      <w:r>
        <w:t xml:space="preserve">The Lord said, From Bashan I will turn back, I will turn back in the depths of sea,</w:t>
      </w:r>
    </w:p>
    <w:p>
      <w:r>
        <w:rPr>
          <w:b/>
        </w:rPr>
        <w:t xml:space="preserve">24 </w:t>
      </w:r>
      <w:r>
        <w:t xml:space="preserve">so that your foot may be dipped in blood, tongue of your dogs from enemies, from him.</w:t>
      </w:r>
    </w:p>
    <w:p>
      <w:r>
        <w:rPr>
          <w:b/>
        </w:rPr>
        <w:t xml:space="preserve">25 </w:t>
      </w:r>
      <w:r>
        <w:t xml:space="preserve">Your goings were seen, O God, goings of my God, my king, in holy place.</w:t>
      </w:r>
    </w:p>
    <w:p>
      <w:r>
        <w:rPr>
          <w:b/>
        </w:rPr>
        <w:t xml:space="preserve">26 </w:t>
      </w:r>
      <w:r>
        <w:t xml:space="preserve">Princes went before, close behind singers, in the midst of young women beating tambourines.</w:t>
      </w:r>
    </w:p>
    <w:p>
      <w:r>
        <w:rPr>
          <w:b/>
        </w:rPr>
        <w:t xml:space="preserve">27 </w:t>
      </w:r>
      <w:r>
        <w:t xml:space="preserve">In assemblies bless God, Lord, from the springs of Israel.</w:t>
      </w:r>
    </w:p>
    <w:p>
      <w:r>
        <w:rPr>
          <w:b/>
        </w:rPr>
        <w:t xml:space="preserve">28 </w:t>
      </w:r>
      <w:r>
        <w:t xml:space="preserve">There Benjamin, younger one, in ecstasy, princes of Judah, their leaders, princes of Zebulun, princes of Naphtali.</w:t>
      </w:r>
    </w:p>
    <w:p>
      <w:r>
        <w:rPr>
          <w:b/>
        </w:rPr>
        <w:t xml:space="preserve">29 </w:t>
      </w:r>
      <w:r>
        <w:t xml:space="preserve">Command, O God, your strength; strengthen, O God, this which you worked for us.</w:t>
      </w:r>
    </w:p>
    <w:p>
      <w:r>
        <w:rPr>
          <w:b/>
        </w:rPr>
        <w:t xml:space="preserve">30 </w:t>
      </w:r>
      <w:r>
        <w:t xml:space="preserve">From your temple over Jerusalem kings will bring gifts to you.</w:t>
      </w:r>
    </w:p>
    <w:p>
      <w:r>
        <w:rPr>
          <w:b/>
        </w:rPr>
        <w:t xml:space="preserve">31 </w:t>
      </w:r>
      <w:r>
        <w:t xml:space="preserve">Rebuke beasts of reed, gathering of bulls among calves of peoples, so as not to shut out those tested by silver. Scatter nations wanting wars.</w:t>
      </w:r>
    </w:p>
    <w:p>
      <w:r>
        <w:rPr>
          <w:b/>
        </w:rPr>
        <w:t xml:space="preserve">32 </w:t>
      </w:r>
      <w:r>
        <w:t xml:space="preserve">Envoys will come from Egypt; Ethiopia will hasten her hand to God.</w:t>
      </w:r>
    </w:p>
    <w:p>
      <w:r>
        <w:rPr>
          <w:b/>
        </w:rPr>
        <w:t xml:space="preserve">33 </w:t>
      </w:r>
      <w:r>
        <w:t xml:space="preserve">Kingdoms of earth, sing to God; make melody to the Lord. Interlude.</w:t>
      </w:r>
    </w:p>
    <w:p>
      <w:r>
        <w:rPr>
          <w:b/>
        </w:rPr>
        <w:t xml:space="preserve">34 </w:t>
      </w:r>
      <w:r>
        <w:t xml:space="preserve">Sing to God, to one riding on heaven of heaven toward east; behold, he will give to his voice a voice of power.</w:t>
      </w:r>
    </w:p>
    <w:p>
      <w:r>
        <w:rPr>
          <w:b/>
        </w:rPr>
        <w:t xml:space="preserve">35 </w:t>
      </w:r>
      <w:r>
        <w:t xml:space="preserve">Give glory to God; over Israel his magnificence and his power in clouds.</w:t>
      </w:r>
    </w:p>
    <w:p>
      <w:r>
        <w:rPr>
          <w:b/>
        </w:rPr>
        <w:t xml:space="preserve">36 </w:t>
      </w:r>
      <w:r>
        <w:t xml:space="preserve">Wonderful God in his holy ones; God of Israel, he will give power and strengthening to his people. Blessed be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68</w:t>
      </w:r>
    </w:p>
    <w:p>
      <w:r>
        <w:rPr>
          <w:b/>
        </w:rPr>
        <w:t xml:space="preserve">1 </w:t>
      </w:r>
      <w:r>
        <w:rPr>
          <w:i/>
        </w:rPr>
        <w:t xml:space="preserve">For end, concerning those to be changed. Of David.</w:t>
      </w:r>
      <w:r>
        <w:t xml:space="preserve"/>
      </w:r>
    </w:p>
    <w:p>
      <w:r>
        <w:rPr>
          <w:b/>
        </w:rPr>
        <w:t xml:space="preserve">2 </w:t>
      </w:r>
      <w:r>
        <w:t xml:space="preserve">Save me, O God, because waters came in as far as my soul.</w:t>
      </w:r>
    </w:p>
    <w:p>
      <w:r>
        <w:rPr>
          <w:b/>
        </w:rPr>
        <w:t xml:space="preserve">3 </w:t>
      </w:r>
      <w:r>
        <w:t xml:space="preserve">I was stuck in mud of deep, and no standing-place; I came into the depths of sea, and storm sank me.</w:t>
      </w:r>
    </w:p>
    <w:p>
      <w:r>
        <w:rPr>
          <w:b/>
        </w:rPr>
        <w:t xml:space="preserve">4 </w:t>
      </w:r>
      <w:r>
        <w:t xml:space="preserve">I grew weary crying; my throat grew hoarse; my eyes failed from hoping upon my God.</w:t>
      </w:r>
    </w:p>
    <w:p>
      <w:r>
        <w:rPr>
          <w:b/>
        </w:rPr>
        <w:t xml:space="preserve">5 </w:t>
      </w:r>
      <w:r>
        <w:t xml:space="preserve">Those hating me without cause multiplied beyond hairs of my head; my enemies, unjustly pursuing me, were strengthened. What I did not seize, then I was repaying.</w:t>
      </w:r>
    </w:p>
    <w:p>
      <w:r>
        <w:rPr>
          <w:b/>
        </w:rPr>
        <w:t xml:space="preserve">6 </w:t>
      </w:r>
      <w:r>
        <w:t xml:space="preserve">O God, you knew my foolishness, and my trespasses were not hidden from you.</w:t>
      </w:r>
    </w:p>
    <w:p>
      <w:r>
        <w:rPr>
          <w:b/>
        </w:rPr>
        <w:t xml:space="preserve">7 </w:t>
      </w:r>
      <w:r>
        <w:t xml:space="preserve">Let not those waiting for you be shamed because of me, Lord, Lord of hosts; let not those seeking you be disgraced because of me, God of Israel.</w:t>
      </w:r>
    </w:p>
    <w:p>
      <w:r>
        <w:rPr>
          <w:b/>
        </w:rPr>
        <w:t xml:space="preserve">8 </w:t>
      </w:r>
      <w:r>
        <w:t xml:space="preserve">Because for your sake I bore reproach; shame covered my face.</w:t>
      </w:r>
    </w:p>
    <w:p>
      <w:r>
        <w:rPr>
          <w:b/>
        </w:rPr>
        <w:t xml:space="preserve">9 </w:t>
      </w:r>
      <w:r>
        <w:t xml:space="preserve">I became estranged to my brothers and foreign to the sons of my mother,</w:t>
      </w:r>
    </w:p>
    <w:p>
      <w:r>
        <w:rPr>
          <w:b/>
        </w:rPr>
        <w:t xml:space="preserve">10 </w:t>
      </w:r>
      <w:r>
        <w:t xml:space="preserve">because zeal of your house consumed me, and reproaches of those reproaching you fell upon me.</w:t>
      </w:r>
    </w:p>
    <w:p>
      <w:r>
        <w:rPr>
          <w:b/>
        </w:rPr>
        <w:t xml:space="preserve">11 </w:t>
      </w:r>
      <w:r>
        <w:t xml:space="preserve">And I bent my soul in fasting, and it became a reproach to me.</w:t>
      </w:r>
    </w:p>
    <w:p>
      <w:r>
        <w:rPr>
          <w:b/>
        </w:rPr>
        <w:t xml:space="preserve">12 </w:t>
      </w:r>
      <w:r>
        <w:t xml:space="preserve">And I made my clothing sackcloth, and I became proverb to them.</w:t>
      </w:r>
    </w:p>
    <w:p>
      <w:r>
        <w:rPr>
          <w:b/>
        </w:rPr>
        <w:t xml:space="preserve">13 </w:t>
      </w:r>
      <w:r>
        <w:t xml:space="preserve">Those sitting in gate were talking against me, and those drinking wine were singing about me.</w:t>
      </w:r>
    </w:p>
    <w:p>
      <w:r>
        <w:rPr>
          <w:b/>
        </w:rPr>
        <w:t xml:space="preserve">14 </w:t>
      </w:r>
      <w:r>
        <w:t xml:space="preserve">But as for me, my prayer is to you, Lord, at a time of good pleasure. O God, in the multitude of your mercy hear me in the truth of your salvation.</w:t>
      </w:r>
    </w:p>
    <w:p>
      <w:r>
        <w:rPr>
          <w:b/>
        </w:rPr>
        <w:t xml:space="preserve">15 </w:t>
      </w:r>
      <w:r>
        <w:t xml:space="preserve">Save me from mire so that I may not be stuck; let me be delivered from those hating me and from depth of waters.</w:t>
      </w:r>
    </w:p>
    <w:p>
      <w:r>
        <w:rPr>
          <w:b/>
        </w:rPr>
        <w:t xml:space="preserve">16 </w:t>
      </w:r>
      <w:r>
        <w:t xml:space="preserve">Let not storm of water sink me, nor let deep swallow me, nor let pit close its mouth over me.</w:t>
      </w:r>
    </w:p>
    <w:p>
      <w:r>
        <w:rPr>
          <w:b/>
        </w:rPr>
        <w:t xml:space="preserve">17 </w:t>
      </w:r>
      <w:r>
        <w:t xml:space="preserve">Hear me, Lord, because your mercy kind; according to the multitude of your compassions look upon me.</w:t>
      </w:r>
    </w:p>
    <w:p>
      <w:r>
        <w:rPr>
          <w:b/>
        </w:rPr>
        <w:t xml:space="preserve">18 </w:t>
      </w:r>
      <w:r>
        <w:t xml:space="preserve">Do not turn your face away from your servant, because I am afflicted; quickly hear me.</w:t>
      </w:r>
    </w:p>
    <w:p>
      <w:r>
        <w:rPr>
          <w:b/>
        </w:rPr>
        <w:t xml:space="preserve">19 </w:t>
      </w:r>
      <w:r>
        <w:t xml:space="preserve">Draw near to my soul and redeem it; because of my enemies rescue me.</w:t>
      </w:r>
    </w:p>
    <w:p>
      <w:r>
        <w:rPr>
          <w:b/>
        </w:rPr>
        <w:t xml:space="preserve">20 </w:t>
      </w:r>
      <w:r>
        <w:t xml:space="preserve">For you know my reproach and my shame and my dishonor; before you all afflicting me.</w:t>
      </w:r>
    </w:p>
    <w:p>
      <w:r>
        <w:rPr>
          <w:b/>
        </w:rPr>
        <w:t xml:space="preserve">21 </w:t>
      </w:r>
      <w:r>
        <w:t xml:space="preserve">My soul expected reproach and misery, and I waited for one grieving with me, and there was none, and for comforters, and I found none.</w:t>
      </w:r>
    </w:p>
    <w:p>
      <w:r>
        <w:rPr>
          <w:b/>
        </w:rPr>
        <w:t xml:space="preserve">22 </w:t>
      </w:r>
      <w:r>
        <w:t xml:space="preserve">And they gave gall for my food, and in my thirst they gave me vinegar to drink.</w:t>
      </w:r>
    </w:p>
    <w:p>
      <w:r>
        <w:rPr>
          <w:b/>
        </w:rPr>
        <w:t xml:space="preserve">23 </w:t>
      </w:r>
      <w:r>
        <w:t xml:space="preserve">Let their table become snare before them, and retribution and stumbling-block.</w:t>
      </w:r>
    </w:p>
    <w:p>
      <w:r>
        <w:rPr>
          <w:b/>
        </w:rPr>
        <w:t xml:space="preserve">24 </w:t>
      </w:r>
      <w:r>
        <w:t xml:space="preserve">Let their eyes be darkened so as not to see, and bend down their back continually.</w:t>
      </w:r>
    </w:p>
    <w:p>
      <w:r>
        <w:rPr>
          <w:b/>
        </w:rPr>
        <w:t xml:space="preserve">25 </w:t>
      </w:r>
      <w:r>
        <w:t xml:space="preserve">Pour out your wrath upon them, and let fury of your anger overtake them.</w:t>
      </w:r>
    </w:p>
    <w:p>
      <w:r>
        <w:rPr>
          <w:b/>
        </w:rPr>
        <w:t xml:space="preserve">26 </w:t>
      </w:r>
      <w:r>
        <w:t xml:space="preserve">Let their homestead become desolate, and in their tents let there be none dwelling.</w:t>
      </w:r>
    </w:p>
    <w:p>
      <w:r>
        <w:rPr>
          <w:b/>
        </w:rPr>
        <w:t xml:space="preserve">27 </w:t>
      </w:r>
      <w:r>
        <w:t xml:space="preserve">Because one you struck, they themselves pursued, and to pain of your wounded ones they added.</w:t>
      </w:r>
    </w:p>
    <w:p>
      <w:r>
        <w:rPr>
          <w:b/>
        </w:rPr>
        <w:t xml:space="preserve">28 </w:t>
      </w:r>
      <w:r>
        <w:t xml:space="preserve">Add lawlessness upon their lawlessness, and let them not enter into your righteousness.</w:t>
      </w:r>
    </w:p>
    <w:p>
      <w:r>
        <w:rPr>
          <w:b/>
        </w:rPr>
        <w:t xml:space="preserve">29 </w:t>
      </w:r>
      <w:r>
        <w:t xml:space="preserve">Let them be blotted out from the book of the living, and with the righteous let them not be written.</w:t>
      </w:r>
      <w:r>
        <w:rPr>
          <w:rStyle w:val="FootnoteReference"/>
        </w:rPr>
        <w:footnoteReference w:id="10599"/>
      </w:r>
      <w:r>
        <w:t xml:space="preserve"/>
      </w:r>
    </w:p>
    <w:p>
      <w:r>
        <w:rPr>
          <w:b/>
        </w:rPr>
        <w:t xml:space="preserve">30 </w:t>
      </w:r>
      <w:r>
        <w:t xml:space="preserve">But I poor and pained; salvation of your face, O God, took hold of me.</w:t>
      </w:r>
    </w:p>
    <w:p>
      <w:r>
        <w:rPr>
          <w:b/>
        </w:rPr>
        <w:t xml:space="preserve">31 </w:t>
      </w:r>
      <w:r>
        <w:t xml:space="preserve">I will praise the name of God with song; I will magnify him with praise.</w:t>
      </w:r>
    </w:p>
    <w:p>
      <w:r>
        <w:rPr>
          <w:b/>
        </w:rPr>
        <w:t xml:space="preserve">32 </w:t>
      </w:r>
      <w:r>
        <w:t xml:space="preserve">And it will please God beyond young bull bringing forth horns and hoofs.</w:t>
      </w:r>
    </w:p>
    <w:p>
      <w:r>
        <w:rPr>
          <w:b/>
        </w:rPr>
        <w:t xml:space="preserve">33 </w:t>
      </w:r>
      <w:r>
        <w:t xml:space="preserve">Let poor see and rejoice; seek God, and your soul will live.</w:t>
      </w:r>
    </w:p>
    <w:p>
      <w:r>
        <w:rPr>
          <w:b/>
        </w:rPr>
        <w:t xml:space="preserve">34 </w:t>
      </w:r>
      <w:r>
        <w:t xml:space="preserve">Because the Lord heard poor ones and did not despise his chained ones.</w:t>
      </w:r>
    </w:p>
    <w:p>
      <w:r>
        <w:rPr>
          <w:b/>
        </w:rPr>
        <w:t xml:space="preserve">35 </w:t>
      </w:r>
      <w:r>
        <w:t xml:space="preserve">Let heavens and earth praise him, sea and all creeping things in them,</w:t>
      </w:r>
    </w:p>
    <w:p>
      <w:r>
        <w:rPr>
          <w:b/>
        </w:rPr>
        <w:t xml:space="preserve">36 </w:t>
      </w:r>
      <w:r>
        <w:t xml:space="preserve">because God will save Zion and the cities of Judah will be built, and they will dwell there and inherit her.</w:t>
      </w:r>
    </w:p>
    <w:p>
      <w:r>
        <w:rPr>
          <w:b/>
        </w:rPr>
        <w:t xml:space="preserve">37 </w:t>
      </w:r>
      <w:r>
        <w:t xml:space="preserve">And seed of his servants will possess her, and those loving his name will dwell in 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69</w:t>
      </w:r>
    </w:p>
    <w:p>
      <w:r>
        <w:rPr>
          <w:b/>
        </w:rPr>
        <w:t xml:space="preserve">1 </w:t>
      </w:r>
      <w:r>
        <w:rPr>
          <w:i/>
        </w:rPr>
        <w:t xml:space="preserve">For end. Of David, for remembrance.</w:t>
      </w:r>
      <w:r>
        <w:t xml:space="preserve"/>
      </w:r>
    </w:p>
    <w:p>
      <w:r>
        <w:rPr>
          <w:b/>
        </w:rPr>
        <w:t xml:space="preserve">2 </w:t>
      </w:r>
      <w:r>
        <w:t xml:space="preserve">For the Lord to save me. O God, attend to my help.</w:t>
      </w:r>
    </w:p>
    <w:p>
      <w:r>
        <w:rPr>
          <w:b/>
        </w:rPr>
        <w:t xml:space="preserve">3 </w:t>
      </w:r>
      <w:r>
        <w:t xml:space="preserve">Let those seeking my soul be shamed and disgraced; let those wanting evils for me be turned back and shamed.</w:t>
      </w:r>
    </w:p>
    <w:p>
      <w:r>
        <w:rPr>
          <w:b/>
        </w:rPr>
        <w:t xml:space="preserve">4 </w:t>
      </w:r>
      <w:r>
        <w:t xml:space="preserve">Let those saying to me, Good, good, be turned back immediately, being shamed.</w:t>
      </w:r>
    </w:p>
    <w:p>
      <w:r>
        <w:rPr>
          <w:b/>
        </w:rPr>
        <w:t xml:space="preserve">5 </w:t>
      </w:r>
      <w:r>
        <w:t xml:space="preserve">Let all seeking you exult and rejoice in you, and let those loving your salvation say continually, Let God be magnified.</w:t>
      </w:r>
    </w:p>
    <w:p>
      <w:r>
        <w:rPr>
          <w:b/>
        </w:rPr>
        <w:t xml:space="preserve">6 </w:t>
      </w:r>
      <w:r>
        <w:t xml:space="preserve">But I poor and needy; O God, help me. My helper and deliverer you are, Lord; do not delay.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70</w:t>
      </w:r>
    </w:p>
    <w:p>
      <w:r>
        <w:rPr>
          <w:b/>
        </w:rPr>
        <w:t xml:space="preserve">1 </w:t>
      </w:r>
      <w:r>
        <w:rPr>
          <w:i/>
        </w:rPr>
        <w:t xml:space="preserve">Of David, of sons of Jonadab, and of first captives.</w:t>
      </w:r>
      <w:r>
        <w:br/>
      </w:r>
      <w:r>
        <w:t xml:space="preserve">O God</w:t>
      </w:r>
      <w:r>
        <w:rPr>
          <w:rStyle w:val="FootnoteReference"/>
        </w:rPr>
        <w:footnoteReference w:id="10600"/>
      </w:r>
      <w:r>
        <w:t xml:space="preserve">, on you I hoped; let me not be shamed forever.</w:t>
      </w:r>
    </w:p>
    <w:p>
      <w:r>
        <w:rPr>
          <w:b/>
        </w:rPr>
        <w:t xml:space="preserve">2 </w:t>
      </w:r>
      <w:r>
        <w:t xml:space="preserve">In your righteousness rescue me and deliver me; incline your ear to me and save me.</w:t>
      </w:r>
    </w:p>
    <w:p>
      <w:r>
        <w:rPr>
          <w:b/>
        </w:rPr>
        <w:t xml:space="preserve">3 </w:t>
      </w:r>
      <w:r>
        <w:t xml:space="preserve">Become to me God defender and fortified place to save me, because you are my firm place and refuge.</w:t>
      </w:r>
    </w:p>
    <w:p>
      <w:r>
        <w:rPr>
          <w:b/>
        </w:rPr>
        <w:t xml:space="preserve">4 </w:t>
      </w:r>
      <w:r>
        <w:t xml:space="preserve">My God, rescue me from the hand of sinner, from the hand of law-breaking and unjust man.</w:t>
      </w:r>
    </w:p>
    <w:p>
      <w:r>
        <w:rPr>
          <w:b/>
        </w:rPr>
        <w:t xml:space="preserve">5 </w:t>
      </w:r>
      <w:r>
        <w:t xml:space="preserve">Because you are my endurance, Lord, Lord, my hope from my youth.</w:t>
      </w:r>
    </w:p>
    <w:p>
      <w:r>
        <w:rPr>
          <w:b/>
        </w:rPr>
        <w:t xml:space="preserve">6 </w:t>
      </w:r>
      <w:r>
        <w:t xml:space="preserve">On you I was supported from womb; from the belly of my mother you are my protector; in you my hymn continually.</w:t>
      </w:r>
    </w:p>
    <w:p>
      <w:r>
        <w:rPr>
          <w:b/>
        </w:rPr>
        <w:t xml:space="preserve">7 </w:t>
      </w:r>
      <w:r>
        <w:t xml:space="preserve">I became like wonder to many, and you strong helper.</w:t>
      </w:r>
    </w:p>
    <w:p>
      <w:r>
        <w:rPr>
          <w:b/>
        </w:rPr>
        <w:t xml:space="preserve">8 </w:t>
      </w:r>
      <w:r>
        <w:t xml:space="preserve">Let my mouth be filled with praise, so that I may hymn your glory, all day your magnificence.</w:t>
      </w:r>
    </w:p>
    <w:p>
      <w:r>
        <w:rPr>
          <w:b/>
        </w:rPr>
        <w:t xml:space="preserve">9 </w:t>
      </w:r>
      <w:r>
        <w:t xml:space="preserve">Do not cast me away in the time of old age; when my strength fails, do not forsake me.</w:t>
      </w:r>
    </w:p>
    <w:p>
      <w:r>
        <w:rPr>
          <w:b/>
        </w:rPr>
        <w:t xml:space="preserve">10 </w:t>
      </w:r>
      <w:r>
        <w:t xml:space="preserve">Because my enemies spoke against me, and those watching my soul took counsel together,</w:t>
      </w:r>
    </w:p>
    <w:p>
      <w:r>
        <w:rPr>
          <w:b/>
        </w:rPr>
        <w:t xml:space="preserve">11 </w:t>
      </w:r>
      <w:r>
        <w:t xml:space="preserve">saying, God forsook him; pursue and seize him, because there is no rescuer.</w:t>
      </w:r>
    </w:p>
    <w:p>
      <w:r>
        <w:rPr>
          <w:b/>
        </w:rPr>
        <w:t xml:space="preserve">12 </w:t>
      </w:r>
      <w:r>
        <w:t xml:space="preserve">O God, do not be far from me; my God, attend to my help.</w:t>
      </w:r>
    </w:p>
    <w:p>
      <w:r>
        <w:rPr>
          <w:b/>
        </w:rPr>
        <w:t xml:space="preserve">13 </w:t>
      </w:r>
      <w:r>
        <w:t xml:space="preserve">Let those slandering my soul be shamed and fail; let those seeking evils for me be clothed with shame and dishonor.</w:t>
      </w:r>
    </w:p>
    <w:p>
      <w:r>
        <w:rPr>
          <w:b/>
        </w:rPr>
        <w:t xml:space="preserve">14 </w:t>
      </w:r>
      <w:r>
        <w:t xml:space="preserve">But I will hope continually and will add upon all your praise.</w:t>
      </w:r>
    </w:p>
    <w:p>
      <w:r>
        <w:rPr>
          <w:b/>
        </w:rPr>
        <w:t xml:space="preserve">15 </w:t>
      </w:r>
      <w:r>
        <w:t xml:space="preserve">My mouth will declare your righteousness, all day your salvation, because I did not know writings.</w:t>
      </w:r>
    </w:p>
    <w:p>
      <w:r>
        <w:rPr>
          <w:b/>
        </w:rPr>
        <w:t xml:space="preserve">16 </w:t>
      </w:r>
      <w:r>
        <w:t xml:space="preserve">I will go in by dominion of the Lord, Lord; I will remember your righteousness, yours alone.</w:t>
      </w:r>
    </w:p>
    <w:p>
      <w:r>
        <w:rPr>
          <w:b/>
        </w:rPr>
        <w:t xml:space="preserve">17 </w:t>
      </w:r>
      <w:r>
        <w:t xml:space="preserve">You taught me, O God, from my youth, and until now I declare your wonders.</w:t>
      </w:r>
    </w:p>
    <w:p>
      <w:r>
        <w:rPr>
          <w:b/>
        </w:rPr>
        <w:t xml:space="preserve">18 </w:t>
      </w:r>
      <w:r>
        <w:t xml:space="preserve">And until old age and gray hair, O God, do not forsake me, until I declare your arm to every coming generation, your dominion and your righteousness,</w:t>
      </w:r>
    </w:p>
    <w:p>
      <w:r>
        <w:rPr>
          <w:b/>
        </w:rPr>
        <w:t xml:space="preserve">19 </w:t>
      </w:r>
      <w:r>
        <w:t xml:space="preserve">O God, unto heights, what great things you did; O God, who like you?</w:t>
      </w:r>
    </w:p>
    <w:p>
      <w:r>
        <w:rPr>
          <w:b/>
        </w:rPr>
        <w:t xml:space="preserve">20 </w:t>
      </w:r>
      <w:r>
        <w:t xml:space="preserve">How many afflictions, many and evil, you showed me; and turning back, you made me live, and from the depths of earth again you brought me up.</w:t>
      </w:r>
    </w:p>
    <w:p>
      <w:r>
        <w:rPr>
          <w:b/>
        </w:rPr>
        <w:t xml:space="preserve">21 </w:t>
      </w:r>
      <w:r>
        <w:t xml:space="preserve">You multiplied your greatness, and turning back you comforted me, and from the depths of earth again you brought me up.</w:t>
      </w:r>
    </w:p>
    <w:p>
      <w:r>
        <w:rPr>
          <w:b/>
        </w:rPr>
        <w:t xml:space="preserve">22 </w:t>
      </w:r>
      <w:r>
        <w:t xml:space="preserve">And indeed I will confess to you with instrument of psalm your truth, O God; I will sing to you with lyre, O Holy One of Israel.</w:t>
      </w:r>
    </w:p>
    <w:p>
      <w:r>
        <w:rPr>
          <w:b/>
        </w:rPr>
        <w:t xml:space="preserve">23 </w:t>
      </w:r>
      <w:r>
        <w:t xml:space="preserve">My lips will exult when I sing to you, and my soul which you redeemed.</w:t>
      </w:r>
    </w:p>
    <w:p>
      <w:r>
        <w:rPr>
          <w:b/>
        </w:rPr>
        <w:t xml:space="preserve">24 </w:t>
      </w:r>
      <w:r>
        <w:t xml:space="preserve">And still my tongue all day will meditate on your righteousness, when those seeking evils for me are shamed and disgraced.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71</w:t>
      </w:r>
    </w:p>
    <w:p>
      <w:r>
        <w:rPr>
          <w:b/>
        </w:rPr>
        <w:t xml:space="preserve">1 </w:t>
      </w:r>
      <w:r>
        <w:rPr>
          <w:i/>
        </w:rPr>
        <w:t xml:space="preserve">Of Solomon.</w:t>
      </w:r>
      <w:r>
        <w:br/>
      </w:r>
      <w:r>
        <w:t xml:space="preserve">O God, give your judgment to the king and your righteousness to son of the king,</w:t>
      </w:r>
    </w:p>
    <w:p>
      <w:r>
        <w:rPr>
          <w:b/>
        </w:rPr>
        <w:t xml:space="preserve">2 </w:t>
      </w:r>
      <w:r>
        <w:t xml:space="preserve">to judge your people in righteousness and your poor ones in judgment.</w:t>
      </w:r>
    </w:p>
    <w:p>
      <w:r>
        <w:rPr>
          <w:b/>
        </w:rPr>
        <w:t xml:space="preserve">3 </w:t>
      </w:r>
      <w:r>
        <w:t xml:space="preserve">Let mountains take up peace for your people, and hills in righteousness.</w:t>
      </w:r>
    </w:p>
    <w:p>
      <w:r>
        <w:rPr>
          <w:b/>
        </w:rPr>
        <w:t xml:space="preserve">4 </w:t>
      </w:r>
      <w:r>
        <w:t xml:space="preserve">He will judge poor ones of the people and save sons of needy ones and humble slanderer.</w:t>
      </w:r>
    </w:p>
    <w:p>
      <w:r>
        <w:rPr>
          <w:b/>
        </w:rPr>
        <w:t xml:space="preserve">5 </w:t>
      </w:r>
      <w:r>
        <w:t xml:space="preserve">And he will continue along with the sun and before the moon for generations of generations.</w:t>
      </w:r>
    </w:p>
    <w:p>
      <w:r>
        <w:rPr>
          <w:b/>
        </w:rPr>
        <w:t xml:space="preserve">6 </w:t>
      </w:r>
      <w:r>
        <w:t xml:space="preserve">And he will come down like rain upon fleece and like drops dripping upon earth.</w:t>
      </w:r>
    </w:p>
    <w:p>
      <w:r>
        <w:rPr>
          <w:b/>
        </w:rPr>
        <w:t xml:space="preserve">7 </w:t>
      </w:r>
      <w:r>
        <w:t xml:space="preserve">Righteousness will rise in his days and abundance of peace until the moon is removed.</w:t>
      </w:r>
    </w:p>
    <w:p>
      <w:r>
        <w:rPr>
          <w:b/>
        </w:rPr>
        <w:t xml:space="preserve">8 </w:t>
      </w:r>
      <w:r>
        <w:t xml:space="preserve">And he will rule from sea to sea and from the river to the ends of inhabited world.</w:t>
      </w:r>
    </w:p>
    <w:p>
      <w:r>
        <w:rPr>
          <w:b/>
        </w:rPr>
        <w:t xml:space="preserve">9 </w:t>
      </w:r>
      <w:r>
        <w:t xml:space="preserve">Before him Ethiopians will fall, and his enemies will lick dust.</w:t>
      </w:r>
    </w:p>
    <w:p>
      <w:r>
        <w:rPr>
          <w:b/>
        </w:rPr>
        <w:t xml:space="preserve">10 </w:t>
      </w:r>
      <w:r>
        <w:t xml:space="preserve">The kings of Tarshish and islands will bring gifts; kings of Arabians</w:t>
      </w:r>
      <w:r>
        <w:rPr>
          <w:rStyle w:val="FootnoteReference"/>
        </w:rPr>
        <w:footnoteReference w:id="10601"/>
      </w:r>
      <w:r>
        <w:t xml:space="preserve"> and Sheba will bring presents.</w:t>
      </w:r>
    </w:p>
    <w:p>
      <w:r>
        <w:rPr>
          <w:b/>
        </w:rPr>
        <w:t xml:space="preserve">11 </w:t>
      </w:r>
      <w:r>
        <w:t xml:space="preserve">And all kings will worship him; all nations will serve him.</w:t>
      </w:r>
    </w:p>
    <w:p>
      <w:r>
        <w:rPr>
          <w:b/>
        </w:rPr>
        <w:t xml:space="preserve">12 </w:t>
      </w:r>
      <w:r>
        <w:t xml:space="preserve">Because he rescued a poor man from the hand of a ruler and a needy one to whom no helper existed.</w:t>
      </w:r>
      <w:r>
        <w:rPr>
          <w:rStyle w:val="FootnoteReference"/>
        </w:rPr>
        <w:footnoteReference w:id="10602"/>
      </w:r>
    </w:p>
    <w:p>
      <w:r>
        <w:rPr>
          <w:b/>
        </w:rPr>
        <w:t xml:space="preserve">13 </w:t>
      </w:r>
      <w:r>
        <w:t xml:space="preserve">He will spare poor and needy and save souls of needy ones.</w:t>
      </w:r>
    </w:p>
    <w:p>
      <w:r>
        <w:rPr>
          <w:b/>
        </w:rPr>
        <w:t xml:space="preserve">14 </w:t>
      </w:r>
      <w:r>
        <w:t xml:space="preserve">From usury and from injustice he will redeem their souls, and their name precious before him.</w:t>
      </w:r>
    </w:p>
    <w:p>
      <w:r>
        <w:rPr>
          <w:b/>
        </w:rPr>
        <w:t xml:space="preserve">15 </w:t>
      </w:r>
      <w:r>
        <w:t xml:space="preserve">And he will live, and from gold of Arabia it will be given to him, and they will pray concerning him continually; all day they will bless him.</w:t>
      </w:r>
    </w:p>
    <w:p>
      <w:r>
        <w:rPr>
          <w:b/>
        </w:rPr>
        <w:t xml:space="preserve">16 </w:t>
      </w:r>
      <w:r>
        <w:t xml:space="preserve">There will be support in earth on the tops of mountains; his fruit will be lifted above Lebanon, and they will flower from the city like grass of earth.</w:t>
      </w:r>
    </w:p>
    <w:p>
      <w:r>
        <w:rPr>
          <w:b/>
        </w:rPr>
        <w:t xml:space="preserve">17 </w:t>
      </w:r>
      <w:r>
        <w:t xml:space="preserve">Let his name be blessed forever; before sun his name remains, and in him all tribes of earth will be blessed; all nations will count him blessed.</w:t>
      </w:r>
    </w:p>
    <w:p>
      <w:r>
        <w:rPr>
          <w:b/>
        </w:rPr>
        <w:t xml:space="preserve">18 </w:t>
      </w:r>
      <w:r>
        <w:t xml:space="preserve">Blessed is the Lord God, God of Israel, who alone does wonders.</w:t>
      </w:r>
    </w:p>
    <w:p>
      <w:r>
        <w:rPr>
          <w:b/>
        </w:rPr>
        <w:t xml:space="preserve">19 </w:t>
      </w:r>
      <w:r>
        <w:t xml:space="preserve">And blessed name of his glory forever and forever of forever, and all the earth will be filled with his glory. Amen, amen.</w:t>
      </w:r>
    </w:p>
    <w:p>
      <w:r>
        <w:rPr>
          <w:b/>
        </w:rPr>
        <w:t xml:space="preserve">20 </w:t>
      </w:r>
      <w:r>
        <w:t xml:space="preserve">Hymns of David son of Jesse came to end.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72</w:t>
      </w:r>
    </w:p>
    <w:p>
      <w:r>
        <w:rPr>
          <w:b/>
        </w:rPr>
        <w:t xml:space="preserve">1 </w:t>
      </w:r>
      <w:r>
        <w:rPr>
          <w:i/>
        </w:rPr>
        <w:t xml:space="preserve">Psalm of Asaph.</w:t>
      </w:r>
      <w:r>
        <w:br/>
      </w:r>
      <w:r>
        <w:t xml:space="preserve">How good God to Israel, to those straight in heart.</w:t>
      </w:r>
    </w:p>
    <w:p>
      <w:r>
        <w:rPr>
          <w:b/>
        </w:rPr>
        <w:t xml:space="preserve">2 </w:t>
      </w:r>
      <w:r>
        <w:t xml:space="preserve">But as for me, my feet were almost shaken; my steps all but poured out.</w:t>
      </w:r>
    </w:p>
    <w:p>
      <w:r>
        <w:rPr>
          <w:b/>
        </w:rPr>
        <w:t xml:space="preserve">3 </w:t>
      </w:r>
      <w:r>
        <w:t xml:space="preserve">Because I was jealous over lawless ones, seeing the peace of sinners.</w:t>
      </w:r>
      <w:r>
        <w:rPr>
          <w:rStyle w:val="FootnoteReference"/>
        </w:rPr>
        <w:footnoteReference w:id="10603"/>
      </w:r>
      <w:r>
        <w:t xml:space="preserve"/>
      </w:r>
    </w:p>
    <w:p>
      <w:r>
        <w:rPr>
          <w:b/>
        </w:rPr>
        <w:t xml:space="preserve">4 </w:t>
      </w:r>
      <w:r>
        <w:t xml:space="preserve">Because there is no relenting in their death and firmness in their scourge.</w:t>
      </w:r>
    </w:p>
    <w:p>
      <w:r>
        <w:rPr>
          <w:b/>
        </w:rPr>
        <w:t xml:space="preserve">5 </w:t>
      </w:r>
      <w:r>
        <w:t xml:space="preserve">In labors of men they are not, and with men they will not be scourged.</w:t>
      </w:r>
    </w:p>
    <w:p>
      <w:r>
        <w:rPr>
          <w:b/>
        </w:rPr>
        <w:t xml:space="preserve">6 </w:t>
      </w:r>
      <w:r>
        <w:t xml:space="preserve">Therefore pride took hold of them; they clothed themselves with their injustice and ungodliness.</w:t>
      </w:r>
    </w:p>
    <w:p>
      <w:r>
        <w:rPr>
          <w:b/>
        </w:rPr>
        <w:t xml:space="preserve">7 </w:t>
      </w:r>
      <w:r>
        <w:t xml:space="preserve">Their injustice will go out as from fatness; they passed into purpose of heart.</w:t>
      </w:r>
    </w:p>
    <w:p>
      <w:r>
        <w:rPr>
          <w:b/>
        </w:rPr>
        <w:t xml:space="preserve">8 </w:t>
      </w:r>
      <w:r>
        <w:t xml:space="preserve">They thought and spoke in evil, they spoke injustice on high.</w:t>
      </w:r>
    </w:p>
    <w:p>
      <w:r>
        <w:rPr>
          <w:b/>
        </w:rPr>
        <w:t xml:space="preserve">9 </w:t>
      </w:r>
      <w:r>
        <w:t xml:space="preserve">They set their mouth into heaven, and their tongue passed through earth.</w:t>
      </w:r>
    </w:p>
    <w:p>
      <w:r>
        <w:rPr>
          <w:b/>
        </w:rPr>
        <w:t xml:space="preserve">10 </w:t>
      </w:r>
      <w:r>
        <w:t xml:space="preserve">Therefore my people will return here, and full days will be found for them.</w:t>
      </w:r>
    </w:p>
    <w:p>
      <w:r>
        <w:rPr>
          <w:b/>
        </w:rPr>
        <w:t xml:space="preserve">11 </w:t>
      </w:r>
      <w:r>
        <w:t xml:space="preserve">And they said, How did God know? And is there knowledge in Most High?</w:t>
      </w:r>
    </w:p>
    <w:p>
      <w:r>
        <w:rPr>
          <w:b/>
        </w:rPr>
        <w:t xml:space="preserve">12 </w:t>
      </w:r>
      <w:r>
        <w:t xml:space="preserve">Behold, these sinners prosper forever and possessed wealth.</w:t>
      </w:r>
    </w:p>
    <w:p>
      <w:r>
        <w:rPr>
          <w:b/>
        </w:rPr>
        <w:t xml:space="preserve">13 </w:t>
      </w:r>
      <w:r>
        <w:t xml:space="preserve">And I said, Then in vain I made my heart righteous and washed my hands among innocent ones.</w:t>
      </w:r>
    </w:p>
    <w:p>
      <w:r>
        <w:rPr>
          <w:b/>
        </w:rPr>
        <w:t xml:space="preserve">14 </w:t>
      </w:r>
      <w:r>
        <w:t xml:space="preserve">And I became scourged whole day, and my reproof unto mornings.</w:t>
      </w:r>
    </w:p>
    <w:p>
      <w:r>
        <w:rPr>
          <w:b/>
        </w:rPr>
        <w:t xml:space="preserve">15 </w:t>
      </w:r>
      <w:r>
        <w:t xml:space="preserve">If I said, I will tell thus, behold, against generation of your sons I acted treacherously.</w:t>
      </w:r>
    </w:p>
    <w:p>
      <w:r>
        <w:rPr>
          <w:b/>
        </w:rPr>
        <w:t xml:space="preserve">16 </w:t>
      </w:r>
      <w:r>
        <w:t xml:space="preserve">And I undertook to know this; it is trouble before me,</w:t>
      </w:r>
    </w:p>
    <w:p>
      <w:r>
        <w:rPr>
          <w:b/>
        </w:rPr>
        <w:t xml:space="preserve">17 </w:t>
      </w:r>
      <w:r>
        <w:t xml:space="preserve">until I enter into sanctuary of God and understand their last things.</w:t>
      </w:r>
    </w:p>
    <w:p>
      <w:r>
        <w:rPr>
          <w:b/>
        </w:rPr>
        <w:t xml:space="preserve">18 </w:t>
      </w:r>
      <w:r>
        <w:t xml:space="preserve">Surely because of their deceits you set things for them; you cast them down in their being lifted up.</w:t>
      </w:r>
    </w:p>
    <w:p>
      <w:r>
        <w:rPr>
          <w:b/>
        </w:rPr>
        <w:t xml:space="preserve">19 </w:t>
      </w:r>
      <w:r>
        <w:t xml:space="preserve">How they came to desolation suddenly; they failed, they perished because of their lawlessness.</w:t>
      </w:r>
    </w:p>
    <w:p>
      <w:r>
        <w:rPr>
          <w:b/>
        </w:rPr>
        <w:t xml:space="preserve">20 </w:t>
      </w:r>
      <w:r>
        <w:t xml:space="preserve">Like dream of one waking, Lord, in your city you will despise their image.</w:t>
      </w:r>
    </w:p>
    <w:p>
      <w:r>
        <w:rPr>
          <w:b/>
        </w:rPr>
        <w:t xml:space="preserve">21 </w:t>
      </w:r>
      <w:r>
        <w:t xml:space="preserve">Because my heart burned and my kidneys were altered,</w:t>
      </w:r>
    </w:p>
    <w:p>
      <w:r>
        <w:rPr>
          <w:b/>
        </w:rPr>
        <w:t xml:space="preserve">22 </w:t>
      </w:r>
      <w:r>
        <w:t xml:space="preserve">and I, being despised, did not know; I became beastlike beside you.</w:t>
      </w:r>
    </w:p>
    <w:p>
      <w:r>
        <w:rPr>
          <w:b/>
        </w:rPr>
        <w:t xml:space="preserve">23 </w:t>
      </w:r>
      <w:r>
        <w:t xml:space="preserve">And I continually with you; you held my right hand.</w:t>
      </w:r>
    </w:p>
    <w:p>
      <w:r>
        <w:rPr>
          <w:b/>
        </w:rPr>
        <w:t xml:space="preserve">24 </w:t>
      </w:r>
      <w:r>
        <w:t xml:space="preserve">In your counsel you guided me, and with glory you received me.</w:t>
      </w:r>
    </w:p>
    <w:p>
      <w:r>
        <w:rPr>
          <w:b/>
        </w:rPr>
        <w:t xml:space="preserve">25 </w:t>
      </w:r>
      <w:r>
        <w:t xml:space="preserve">For what exists for me in heaven? And besides you what did I desire upon the earth?</w:t>
      </w:r>
    </w:p>
    <w:p>
      <w:r>
        <w:rPr>
          <w:b/>
        </w:rPr>
        <w:t xml:space="preserve">26 </w:t>
      </w:r>
      <w:r>
        <w:t xml:space="preserve">My heart and my flesh failed; God of my heart and my portion, God forever.</w:t>
      </w:r>
    </w:p>
    <w:p>
      <w:r>
        <w:rPr>
          <w:b/>
        </w:rPr>
        <w:t xml:space="preserve">27 </w:t>
      </w:r>
      <w:r>
        <w:t xml:space="preserve">Because behold, those distancing themselves from you will perish; you destroyed everyone prostituting himself away from you.</w:t>
      </w:r>
    </w:p>
    <w:p>
      <w:r>
        <w:rPr>
          <w:b/>
        </w:rPr>
        <w:t xml:space="preserve">28 </w:t>
      </w:r>
      <w:r>
        <w:t xml:space="preserve">But for me, clinging to God good; to place hope in the Lord, to declare all your praises in the gates of daughter of Zion.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73</w:t>
      </w:r>
    </w:p>
    <w:p>
      <w:r>
        <w:rPr>
          <w:b/>
        </w:rPr>
        <w:t xml:space="preserve">1 </w:t>
      </w:r>
      <w:r>
        <w:rPr>
          <w:i/>
        </w:rPr>
        <w:t xml:space="preserve">For understanding. Of Asaph.</w:t>
      </w:r>
      <w:r>
        <w:br/>
      </w:r>
      <w:r>
        <w:t xml:space="preserve">Why, O God, did you reject to end? Your anger burned against sheep of your pasture.</w:t>
      </w:r>
    </w:p>
    <w:p>
      <w:r>
        <w:rPr>
          <w:b/>
        </w:rPr>
        <w:t xml:space="preserve">2 </w:t>
      </w:r>
      <w:r>
        <w:t xml:space="preserve">Remember your congregation which you acquired from the beginning; you redeemed rod of your inheritance, this Mount Zion in which you dwelt.</w:t>
      </w:r>
    </w:p>
    <w:p>
      <w:r>
        <w:rPr>
          <w:b/>
        </w:rPr>
        <w:t xml:space="preserve">3 </w:t>
      </w:r>
      <w:r>
        <w:t xml:space="preserve">Lift up your hands against their pride to end, against all evil enemy did in your holy places.</w:t>
      </w:r>
    </w:p>
    <w:p>
      <w:r>
        <w:rPr>
          <w:b/>
        </w:rPr>
        <w:t xml:space="preserve">4 </w:t>
      </w:r>
      <w:r>
        <w:t xml:space="preserve">And those hating you boasted in the midst of your feast; they set their signs as signs and did not know,</w:t>
      </w:r>
    </w:p>
    <w:p>
      <w:r>
        <w:rPr>
          <w:b/>
        </w:rPr>
        <w:t xml:space="preserve">5 </w:t>
      </w:r>
      <w:r>
        <w:t xml:space="preserve">as at entrance above.</w:t>
      </w:r>
    </w:p>
    <w:p>
      <w:r>
        <w:rPr>
          <w:b/>
        </w:rPr>
        <w:t xml:space="preserve">6 </w:t>
      </w:r>
      <w:r>
        <w:t xml:space="preserve">As in the forest of woods with axes they cut down her doors together; with hatchet and stone-cutter tool they broke her down.</w:t>
      </w:r>
    </w:p>
    <w:p>
      <w:r>
        <w:rPr>
          <w:b/>
        </w:rPr>
        <w:t xml:space="preserve">7 </w:t>
      </w:r>
      <w:r>
        <w:t xml:space="preserve">They burned your sanctuary with fire; to ground they profaned tabernacle of your name.</w:t>
      </w:r>
    </w:p>
    <w:p>
      <w:r>
        <w:rPr>
          <w:b/>
        </w:rPr>
        <w:t xml:space="preserve">8 </w:t>
      </w:r>
      <w:r>
        <w:t xml:space="preserve">They said in their heart, their whole kin together, Come, let us burn all feasts of God from earth.</w:t>
      </w:r>
    </w:p>
    <w:p>
      <w:r>
        <w:rPr>
          <w:b/>
        </w:rPr>
        <w:t xml:space="preserve">9 </w:t>
      </w:r>
      <w:r>
        <w:t xml:space="preserve">Our signs we did not see; there is no longer prophet, and he will not know us any longer.</w:t>
      </w:r>
    </w:p>
    <w:p>
      <w:r>
        <w:rPr>
          <w:b/>
        </w:rPr>
        <w:t xml:space="preserve">10 </w:t>
      </w:r>
      <w:r>
        <w:t xml:space="preserve">How long, O God, will enemy reproach? Will adversary provoke your name to end?</w:t>
      </w:r>
    </w:p>
    <w:p>
      <w:r>
        <w:rPr>
          <w:b/>
        </w:rPr>
        <w:t xml:space="preserve">11 </w:t>
      </w:r>
      <w:r>
        <w:t xml:space="preserve">Why do you turn away your hand and your right hand from the midst of your bosom to end?</w:t>
      </w:r>
    </w:p>
    <w:p>
      <w:r>
        <w:rPr>
          <w:b/>
        </w:rPr>
        <w:t xml:space="preserve">12 </w:t>
      </w:r>
      <w:r>
        <w:t xml:space="preserve">But God our king before age worked salvation in the midst of earth.</w:t>
      </w:r>
    </w:p>
    <w:p>
      <w:r>
        <w:rPr>
          <w:b/>
        </w:rPr>
        <w:t xml:space="preserve">13 </w:t>
      </w:r>
      <w:r>
        <w:t xml:space="preserve">You strengthened sea in your power; you crushed heads of dragons upon water.</w:t>
      </w:r>
    </w:p>
    <w:p>
      <w:r>
        <w:rPr>
          <w:b/>
        </w:rPr>
        <w:t xml:space="preserve">14 </w:t>
      </w:r>
      <w:r>
        <w:t xml:space="preserve">You crushed heads of dragon; you gave him as food to Ethiopian peoples.</w:t>
      </w:r>
    </w:p>
    <w:p>
      <w:r>
        <w:rPr>
          <w:b/>
        </w:rPr>
        <w:t xml:space="preserve">15 </w:t>
      </w:r>
      <w:r>
        <w:t xml:space="preserve">You split open springs and torrents; you dried up rivers of Etham.</w:t>
      </w:r>
    </w:p>
    <w:p>
      <w:r>
        <w:rPr>
          <w:b/>
        </w:rPr>
        <w:t xml:space="preserve">16 </w:t>
      </w:r>
      <w:r>
        <w:t xml:space="preserve">Yours day and yours night; you prepared light and sun.</w:t>
      </w:r>
    </w:p>
    <w:p>
      <w:r>
        <w:rPr>
          <w:b/>
        </w:rPr>
        <w:t xml:space="preserve">17 </w:t>
      </w:r>
      <w:r>
        <w:t xml:space="preserve">You made all boundaries of earth; summer and spring you formed them.</w:t>
      </w:r>
    </w:p>
    <w:p>
      <w:r>
        <w:rPr>
          <w:b/>
        </w:rPr>
        <w:t xml:space="preserve">18 </w:t>
      </w:r>
      <w:r>
        <w:t xml:space="preserve">Remember this: enemy reproached Lord, and foolish people provoked your name.</w:t>
      </w:r>
    </w:p>
    <w:p>
      <w:r>
        <w:rPr>
          <w:b/>
        </w:rPr>
        <w:t xml:space="preserve">19 </w:t>
      </w:r>
      <w:r>
        <w:t xml:space="preserve">Do not hand over to beasts soul confessing to you; souls of your poor ones do not forget to end.</w:t>
      </w:r>
    </w:p>
    <w:p>
      <w:r>
        <w:rPr>
          <w:b/>
        </w:rPr>
        <w:t xml:space="preserve">20 </w:t>
      </w:r>
      <w:r>
        <w:t xml:space="preserve">Look upon your covenant, because dark places of earth were filled with houses of lawlessness.</w:t>
      </w:r>
    </w:p>
    <w:p>
      <w:r>
        <w:rPr>
          <w:b/>
        </w:rPr>
        <w:t xml:space="preserve">21 </w:t>
      </w:r>
      <w:r>
        <w:t xml:space="preserve">Let humbled one not turn back shamed; poor and needy will praise your name.</w:t>
      </w:r>
    </w:p>
    <w:p>
      <w:r>
        <w:rPr>
          <w:b/>
        </w:rPr>
        <w:t xml:space="preserve">22 </w:t>
      </w:r>
      <w:r>
        <w:t xml:space="preserve">Rise up, O God, judge your case; remember your reproaches from fool all day.</w:t>
      </w:r>
    </w:p>
    <w:p>
      <w:r>
        <w:rPr>
          <w:b/>
        </w:rPr>
        <w:t xml:space="preserve">23 </w:t>
      </w:r>
      <w:r>
        <w:t xml:space="preserve">Do not forget voice of your suppliants; pride of those hating you went up continually toward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74</w:t>
      </w:r>
    </w:p>
    <w:p>
      <w:r>
        <w:rPr>
          <w:b/>
        </w:rPr>
        <w:t xml:space="preserve">1 </w:t>
      </w:r>
      <w:r>
        <w:rPr>
          <w:i/>
        </w:rPr>
        <w:t xml:space="preserve">For end, do not destroy. Psalm of Asaph. Song.</w:t>
      </w:r>
      <w:r>
        <w:t xml:space="preserve"/>
      </w:r>
    </w:p>
    <w:p>
      <w:r>
        <w:rPr>
          <w:b/>
        </w:rPr>
        <w:t xml:space="preserve">2 </w:t>
      </w:r>
      <w:r>
        <w:t xml:space="preserve">We will confess to you, O God, we will confess, and we will call on your name.</w:t>
      </w:r>
    </w:p>
    <w:p>
      <w:r>
        <w:rPr>
          <w:b/>
        </w:rPr>
        <w:t xml:space="preserve">3 </w:t>
      </w:r>
      <w:r>
        <w:t xml:space="preserve">I will tell all your wonders when I receive appointed time; I will judge uprightnesses.</w:t>
      </w:r>
    </w:p>
    <w:p>
      <w:r>
        <w:rPr>
          <w:b/>
        </w:rPr>
        <w:t xml:space="preserve">4 </w:t>
      </w:r>
      <w:r>
        <w:t xml:space="preserve">Earth melted, and all inhabiting it; I strengthened its pillars. Interlude.</w:t>
      </w:r>
    </w:p>
    <w:p>
      <w:r>
        <w:rPr>
          <w:b/>
        </w:rPr>
        <w:t xml:space="preserve">5 </w:t>
      </w:r>
      <w:r>
        <w:t xml:space="preserve">I said to law-breakers, Do not break law, and to sinners, Do not lift horn.</w:t>
      </w:r>
    </w:p>
    <w:p>
      <w:r>
        <w:rPr>
          <w:b/>
        </w:rPr>
        <w:t xml:space="preserve">6 </w:t>
      </w:r>
      <w:r>
        <w:t xml:space="preserve">Do not raise your horn on high; do not speak injustice against God.</w:t>
      </w:r>
    </w:p>
    <w:p>
      <w:r>
        <w:rPr>
          <w:b/>
        </w:rPr>
        <w:t xml:space="preserve">7 </w:t>
      </w:r>
      <w:r>
        <w:t xml:space="preserve">Because neither from exits nor from wests nor from desert mountains,</w:t>
      </w:r>
    </w:p>
    <w:p>
      <w:r>
        <w:rPr>
          <w:b/>
        </w:rPr>
        <w:t xml:space="preserve">8 </w:t>
      </w:r>
      <w:r>
        <w:t xml:space="preserve">because God is judge; this one he humbles and this one he exalts.</w:t>
      </w:r>
    </w:p>
    <w:p>
      <w:r>
        <w:rPr>
          <w:b/>
        </w:rPr>
        <w:t xml:space="preserve">9 </w:t>
      </w:r>
      <w:r>
        <w:t xml:space="preserve">Because cup in the hand of the Lord, of unmixed wine full of mixture, and he tilted from this into that, but its dregs were not emptied; all sinners of earth will drink.</w:t>
      </w:r>
    </w:p>
    <w:p>
      <w:r>
        <w:rPr>
          <w:b/>
        </w:rPr>
        <w:t xml:space="preserve">10 </w:t>
      </w:r>
      <w:r>
        <w:t xml:space="preserve">But I will exult forever; I will sing to God of Jacob.</w:t>
      </w:r>
    </w:p>
    <w:p>
      <w:r>
        <w:rPr>
          <w:b/>
        </w:rPr>
        <w:t xml:space="preserve">11 </w:t>
      </w:r>
      <w:r>
        <w:t xml:space="preserve">And all the horns of sinners I will shatter, and the horns of the righteous one will be exalted.</w:t>
      </w:r>
      <w:r>
        <w:rPr>
          <w:rStyle w:val="FootnoteReference"/>
        </w:rPr>
        <w:footnoteReference w:id="10604"/>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75</w:t>
      </w:r>
    </w:p>
    <w:p>
      <w:r>
        <w:rPr>
          <w:b/>
        </w:rPr>
        <w:t xml:space="preserve">1 </w:t>
      </w:r>
      <w:r>
        <w:rPr>
          <w:i/>
        </w:rPr>
        <w:t xml:space="preserve">For end, in hymns. Psalm of Asaph. Song against Assyrian.</w:t>
      </w:r>
      <w:r>
        <w:t xml:space="preserve"/>
      </w:r>
      <w:r>
        <w:rPr>
          <w:rStyle w:val="FootnoteReference"/>
        </w:rPr>
        <w:footnoteReference w:id="10605"/>
      </w:r>
    </w:p>
    <w:p>
      <w:r>
        <w:rPr>
          <w:b/>
        </w:rPr>
        <w:t xml:space="preserve">2 </w:t>
      </w:r>
      <w:r>
        <w:t xml:space="preserve">In Judah God known; in Israel great his name.</w:t>
      </w:r>
    </w:p>
    <w:p>
      <w:r>
        <w:rPr>
          <w:b/>
        </w:rPr>
        <w:t xml:space="preserve">3 </w:t>
      </w:r>
      <w:r>
        <w:t xml:space="preserve">And his place came to be in peace, and his dwelling-place in Zion.</w:t>
      </w:r>
    </w:p>
    <w:p>
      <w:r>
        <w:rPr>
          <w:b/>
        </w:rPr>
        <w:t xml:space="preserve">4 </w:t>
      </w:r>
      <w:r>
        <w:t xml:space="preserve">There he crushed strengths of bows, weapon and sword and war. Interlude.</w:t>
      </w:r>
    </w:p>
    <w:p>
      <w:r>
        <w:rPr>
          <w:b/>
        </w:rPr>
        <w:t xml:space="preserve">5 </w:t>
      </w:r>
      <w:r>
        <w:t xml:space="preserve">You shine wondrously from everlasting mountains.</w:t>
      </w:r>
    </w:p>
    <w:p>
      <w:r>
        <w:rPr>
          <w:b/>
        </w:rPr>
        <w:t xml:space="preserve">6 </w:t>
      </w:r>
      <w:r>
        <w:t xml:space="preserve">All senseless in heart were troubled; they slept their sleep and found nothing, all men of wealth, in their hands.</w:t>
      </w:r>
    </w:p>
    <w:p>
      <w:r>
        <w:rPr>
          <w:b/>
        </w:rPr>
        <w:t xml:space="preserve">7 </w:t>
      </w:r>
      <w:r>
        <w:t xml:space="preserve">From your rebuke, God of Jacob, riders of horses grew drowsy.</w:t>
      </w:r>
    </w:p>
    <w:p>
      <w:r>
        <w:rPr>
          <w:b/>
        </w:rPr>
        <w:t xml:space="preserve">8 </w:t>
      </w:r>
      <w:r>
        <w:t xml:space="preserve">You fearful, and who will stand against you from then on, from your anger?</w:t>
      </w:r>
    </w:p>
    <w:p>
      <w:r>
        <w:rPr>
          <w:b/>
        </w:rPr>
        <w:t xml:space="preserve">9 </w:t>
      </w:r>
      <w:r>
        <w:t xml:space="preserve">From heaven you made judgment heard; earth feared and was still,</w:t>
      </w:r>
    </w:p>
    <w:p>
      <w:r>
        <w:rPr>
          <w:b/>
        </w:rPr>
        <w:t xml:space="preserve">10 </w:t>
      </w:r>
      <w:r>
        <w:t xml:space="preserve">when God rose to judgment, to save all meek of earth. Interlude.</w:t>
      </w:r>
    </w:p>
    <w:p>
      <w:r>
        <w:rPr>
          <w:b/>
        </w:rPr>
        <w:t xml:space="preserve">11 </w:t>
      </w:r>
      <w:r>
        <w:t xml:space="preserve">Because the thought of man will confess to you, and the remnant of thought will celebrate feast to you.</w:t>
      </w:r>
    </w:p>
    <w:p>
      <w:r>
        <w:rPr>
          <w:b/>
        </w:rPr>
        <w:t xml:space="preserve">12 </w:t>
      </w:r>
      <w:r>
        <w:t xml:space="preserve">Vow and pay to the Lord your God; all around him will bring gifts</w:t>
      </w:r>
    </w:p>
    <w:p>
      <w:r>
        <w:rPr>
          <w:b/>
        </w:rPr>
        <w:t xml:space="preserve">13 </w:t>
      </w:r>
      <w:r>
        <w:t xml:space="preserve">to one fearful and removing spirits of rulers, fearful beyond kings of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76</w:t>
      </w:r>
    </w:p>
    <w:p>
      <w:r>
        <w:rPr>
          <w:b/>
        </w:rPr>
        <w:t xml:space="preserve">1 </w:t>
      </w:r>
      <w:r>
        <w:rPr>
          <w:i/>
        </w:rPr>
        <w:t xml:space="preserve">For end, concerning Jeduthun. Of Asaph. Psalm.</w:t>
      </w:r>
      <w:r>
        <w:t xml:space="preserve"/>
      </w:r>
    </w:p>
    <w:p>
      <w:r>
        <w:rPr>
          <w:b/>
        </w:rPr>
        <w:t xml:space="preserve">2 </w:t>
      </w:r>
      <w:r>
        <w:t xml:space="preserve">My voice cried to the Lord, my voice to God, and he attended to me.</w:t>
      </w:r>
    </w:p>
    <w:p>
      <w:r>
        <w:rPr>
          <w:b/>
        </w:rPr>
        <w:t xml:space="preserve">3 </w:t>
      </w:r>
      <w:r>
        <w:t xml:space="preserve">In the day of my affliction I sought God; my hands by night before him, and I was not deceived. My soul refused to be comforted.</w:t>
      </w:r>
    </w:p>
    <w:p>
      <w:r>
        <w:rPr>
          <w:b/>
        </w:rPr>
        <w:t xml:space="preserve">4 </w:t>
      </w:r>
      <w:r>
        <w:t xml:space="preserve">I remembered God and was gladdened; I mused and my spirit grew fainthearted. Interlude.</w:t>
      </w:r>
    </w:p>
    <w:p>
      <w:r>
        <w:rPr>
          <w:b/>
        </w:rPr>
        <w:t xml:space="preserve">5 </w:t>
      </w:r>
      <w:r>
        <w:t xml:space="preserve">My eyes seized first watches; I was troubled and did not speak.</w:t>
      </w:r>
    </w:p>
    <w:p>
      <w:r>
        <w:rPr>
          <w:b/>
        </w:rPr>
        <w:t xml:space="preserve">6 </w:t>
      </w:r>
      <w:r>
        <w:t xml:space="preserve">I considered ancient days, and years of old I remembered and meditated.</w:t>
      </w:r>
    </w:p>
    <w:p>
      <w:r>
        <w:rPr>
          <w:b/>
        </w:rPr>
        <w:t xml:space="preserve">7 </w:t>
      </w:r>
      <w:r>
        <w:t xml:space="preserve">By night with my heart I mused, and my spirit searched out.</w:t>
      </w:r>
    </w:p>
    <w:p>
      <w:r>
        <w:rPr>
          <w:b/>
        </w:rPr>
        <w:t xml:space="preserve">8 </w:t>
      </w:r>
      <w:r>
        <w:t xml:space="preserve">Will the Lord reject forever and add no more to take pleasure still</w:t>
      </w:r>
      <w:r>
        <w:rPr>
          <w:rStyle w:val="FootnoteReference"/>
        </w:rPr>
        <w:footnoteReference w:id="10606"/>
      </w:r>
      <w:r>
        <w:t xml:space="preserve">?</w:t>
      </w:r>
    </w:p>
    <w:p>
      <w:r>
        <w:rPr>
          <w:b/>
        </w:rPr>
        <w:t xml:space="preserve">9 </w:t>
      </w:r>
      <w:r>
        <w:t xml:space="preserve">Or will he cut off his mercy to end, from generation to generation?</w:t>
      </w:r>
    </w:p>
    <w:p>
      <w:r>
        <w:rPr>
          <w:b/>
        </w:rPr>
        <w:t xml:space="preserve">10 </w:t>
      </w:r>
      <w:r>
        <w:t xml:space="preserve">Will God forget to show compassion, or will he hold back his compassions in his anger? Interlude.</w:t>
      </w:r>
    </w:p>
    <w:p>
      <w:r>
        <w:rPr>
          <w:b/>
        </w:rPr>
        <w:t xml:space="preserve">11 </w:t>
      </w:r>
      <w:r>
        <w:t xml:space="preserve">And I said, Now I began; this change belongs to right hand of Most High.</w:t>
      </w:r>
    </w:p>
    <w:p>
      <w:r>
        <w:rPr>
          <w:b/>
        </w:rPr>
        <w:t xml:space="preserve">12 </w:t>
      </w:r>
      <w:r>
        <w:t xml:space="preserve">I remembered works of the Lord, because I will remember from the beginning your wonders.</w:t>
      </w:r>
    </w:p>
    <w:p>
      <w:r>
        <w:rPr>
          <w:b/>
        </w:rPr>
        <w:t xml:space="preserve">13 </w:t>
      </w:r>
      <w:r>
        <w:t xml:space="preserve">And I will meditate on all your works and muse on your practices.</w:t>
      </w:r>
    </w:p>
    <w:p>
      <w:r>
        <w:rPr>
          <w:b/>
        </w:rPr>
        <w:t xml:space="preserve">14 </w:t>
      </w:r>
      <w:r>
        <w:t xml:space="preserve">O God, your way in holy place; what god great as our God?</w:t>
      </w:r>
    </w:p>
    <w:p>
      <w:r>
        <w:rPr>
          <w:b/>
        </w:rPr>
        <w:t xml:space="preserve">15 </w:t>
      </w:r>
      <w:r>
        <w:t xml:space="preserve">You are God doing wonders; you made known your power among peoples.</w:t>
      </w:r>
    </w:p>
    <w:p>
      <w:r>
        <w:rPr>
          <w:b/>
        </w:rPr>
        <w:t xml:space="preserve">16 </w:t>
      </w:r>
      <w:r>
        <w:t xml:space="preserve">With your arm you redeemed your people, sons of Jacob and Joseph. Interlude.</w:t>
      </w:r>
    </w:p>
    <w:p>
      <w:r>
        <w:rPr>
          <w:b/>
        </w:rPr>
        <w:t xml:space="preserve">17 </w:t>
      </w:r>
      <w:r>
        <w:t xml:space="preserve">Waters saw you, O God; waters saw you and feared, and deeps were troubled, multitude of sound of waters.</w:t>
      </w:r>
    </w:p>
    <w:p>
      <w:r>
        <w:rPr>
          <w:b/>
        </w:rPr>
        <w:t xml:space="preserve">18 </w:t>
      </w:r>
      <w:r>
        <w:t xml:space="preserve">Clouds gave voice, for your arrows pass through.</w:t>
      </w:r>
    </w:p>
    <w:p>
      <w:r>
        <w:rPr>
          <w:b/>
        </w:rPr>
        <w:t xml:space="preserve">19 </w:t>
      </w:r>
      <w:r>
        <w:t xml:space="preserve">The voice of your thunder in wheel; your lightnings appeared to inhabited world; earth was shaken and became trembling.</w:t>
      </w:r>
    </w:p>
    <w:p>
      <w:r>
        <w:rPr>
          <w:b/>
        </w:rPr>
        <w:t xml:space="preserve">20 </w:t>
      </w:r>
      <w:r>
        <w:t xml:space="preserve">In sea your way and your paths in many waters, and your footprints will not be known.</w:t>
      </w:r>
    </w:p>
    <w:p>
      <w:r>
        <w:rPr>
          <w:b/>
        </w:rPr>
        <w:t xml:space="preserve">21 </w:t>
      </w:r>
      <w:r>
        <w:t xml:space="preserve">You guided your people like sheep by the hand of Moses and Aaron.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77</w:t>
      </w:r>
    </w:p>
    <w:p>
      <w:r>
        <w:rPr>
          <w:b/>
        </w:rPr>
        <w:t xml:space="preserve">1 </w:t>
      </w:r>
      <w:r>
        <w:rPr>
          <w:i/>
        </w:rPr>
        <w:t xml:space="preserve">For understanding. Of Asaph.</w:t>
      </w:r>
      <w:r>
        <w:br/>
      </w:r>
      <w:r>
        <w:t xml:space="preserve">Attend, my people, to my law; incline your ear to the words of my mouth.</w:t>
      </w:r>
      <w:r>
        <w:rPr>
          <w:rStyle w:val="FootnoteReference"/>
        </w:rPr>
        <w:footnoteReference w:id="10607"/>
      </w:r>
    </w:p>
    <w:p>
      <w:r>
        <w:rPr>
          <w:b/>
        </w:rPr>
        <w:t xml:space="preserve">2 </w:t>
      </w:r>
      <w:r>
        <w:t xml:space="preserve">I will open my mouth in parables; I will utter riddles from the beginning,</w:t>
      </w:r>
    </w:p>
    <w:p>
      <w:r>
        <w:rPr>
          <w:b/>
        </w:rPr>
        <w:t xml:space="preserve">3 </w:t>
      </w:r>
      <w:r>
        <w:t xml:space="preserve">things we heard and knew, and our fathers told us.</w:t>
      </w:r>
    </w:p>
    <w:p>
      <w:r>
        <w:rPr>
          <w:b/>
        </w:rPr>
        <w:t xml:space="preserve">4 </w:t>
      </w:r>
      <w:r>
        <w:t xml:space="preserve">It was not hidden from their children, to another generation declaring praises of the Lord and his powers and his wonders which he did.</w:t>
      </w:r>
    </w:p>
    <w:p>
      <w:r>
        <w:rPr>
          <w:b/>
        </w:rPr>
        <w:t xml:space="preserve">5 </w:t>
      </w:r>
      <w:r>
        <w:t xml:space="preserve">And he raised testimony in Jacob and set law in Israel, things he commanded our fathers to make known to their sons,</w:t>
      </w:r>
    </w:p>
    <w:p>
      <w:r>
        <w:rPr>
          <w:b/>
        </w:rPr>
        <w:t xml:space="preserve">6 </w:t>
      </w:r>
      <w:r>
        <w:t xml:space="preserve">so that another generation might know, sons being born, and rise and tell them to their sons,</w:t>
      </w:r>
    </w:p>
    <w:p>
      <w:r>
        <w:rPr>
          <w:b/>
        </w:rPr>
        <w:t xml:space="preserve">7 </w:t>
      </w:r>
      <w:r>
        <w:t xml:space="preserve">so that they might place their hope upon God and not forget works of God and seek out his commandments,</w:t>
      </w:r>
    </w:p>
    <w:p>
      <w:r>
        <w:rPr>
          <w:b/>
        </w:rPr>
        <w:t xml:space="preserve">8 </w:t>
      </w:r>
      <w:r>
        <w:t xml:space="preserve">so that they may not become like their fathers, generation crooked and provoking, generation which did not set its heart straight and whose spirit was not faithful with God.</w:t>
      </w:r>
    </w:p>
    <w:p>
      <w:r>
        <w:rPr>
          <w:b/>
        </w:rPr>
        <w:t xml:space="preserve">9 </w:t>
      </w:r>
      <w:r>
        <w:t xml:space="preserve">Sons of Ephraim, stringing and shooting bows, turned back in the day of war.</w:t>
      </w:r>
    </w:p>
    <w:p>
      <w:r>
        <w:rPr>
          <w:b/>
        </w:rPr>
        <w:t xml:space="preserve">10 </w:t>
      </w:r>
      <w:r>
        <w:t xml:space="preserve">They did not keep covenant of God and did not want to walk in his law.</w:t>
      </w:r>
    </w:p>
    <w:p>
      <w:r>
        <w:rPr>
          <w:b/>
        </w:rPr>
        <w:t xml:space="preserve">11 </w:t>
      </w:r>
      <w:r>
        <w:t xml:space="preserve">And they forgot his good deeds and his wonders which he showed them,</w:t>
      </w:r>
    </w:p>
    <w:p>
      <w:r>
        <w:rPr>
          <w:b/>
        </w:rPr>
        <w:t xml:space="preserve">12 </w:t>
      </w:r>
      <w:r>
        <w:t xml:space="preserve">things he did wondrously before their fathers in the land of Egypt, in the plain of Zoan.</w:t>
      </w:r>
    </w:p>
    <w:p>
      <w:r>
        <w:rPr>
          <w:b/>
        </w:rPr>
        <w:t xml:space="preserve">13 </w:t>
      </w:r>
      <w:r>
        <w:t xml:space="preserve">He split sea and led them through; he made waters stand like a wineskin.</w:t>
      </w:r>
    </w:p>
    <w:p>
      <w:r>
        <w:rPr>
          <w:b/>
        </w:rPr>
        <w:t xml:space="preserve">14 </w:t>
      </w:r>
      <w:r>
        <w:t xml:space="preserve">And he guided them in cloud by day and all night in the light of fire.</w:t>
      </w:r>
    </w:p>
    <w:p>
      <w:r>
        <w:rPr>
          <w:b/>
        </w:rPr>
        <w:t xml:space="preserve">15 </w:t>
      </w:r>
      <w:r>
        <w:t xml:space="preserve">He split rock in the wilderness and gave them drink as from great deep.</w:t>
      </w:r>
    </w:p>
    <w:p>
      <w:r>
        <w:rPr>
          <w:b/>
        </w:rPr>
        <w:t xml:space="preserve">16 </w:t>
      </w:r>
      <w:r>
        <w:t xml:space="preserve">And he brought water out from rock and brought waters down like rivers.</w:t>
      </w:r>
    </w:p>
    <w:p>
      <w:r>
        <w:rPr>
          <w:b/>
        </w:rPr>
        <w:t xml:space="preserve">17 </w:t>
      </w:r>
      <w:r>
        <w:t xml:space="preserve">And they added still to sin against him; they provoked Most High in waterless place.</w:t>
      </w:r>
    </w:p>
    <w:p>
      <w:r>
        <w:rPr>
          <w:b/>
        </w:rPr>
        <w:t xml:space="preserve">18 </w:t>
      </w:r>
      <w:r>
        <w:t xml:space="preserve">And they tested God in their hearts by asking foods for their souls.</w:t>
      </w:r>
    </w:p>
    <w:p>
      <w:r>
        <w:rPr>
          <w:b/>
        </w:rPr>
        <w:t xml:space="preserve">19 </w:t>
      </w:r>
      <w:r>
        <w:t xml:space="preserve">And they spoke against God and said, Will God be able to prepare table in the wilderness?</w:t>
      </w:r>
    </w:p>
    <w:p>
      <w:r>
        <w:rPr>
          <w:b/>
        </w:rPr>
        <w:t xml:space="preserve">20 </w:t>
      </w:r>
      <w:r>
        <w:t xml:space="preserve">Since he struck rock and waters flowed and torrents overflowed, can he also give bread or prepare table for his people?</w:t>
      </w:r>
    </w:p>
    <w:p>
      <w:r>
        <w:rPr>
          <w:b/>
        </w:rPr>
        <w:t xml:space="preserve">21 </w:t>
      </w:r>
      <w:r>
        <w:t xml:space="preserve">Therefore the Lord heard and deferred, and fire was kindled in Jacob, and wrath rose upon Israel,</w:t>
      </w:r>
    </w:p>
    <w:p>
      <w:r>
        <w:rPr>
          <w:b/>
        </w:rPr>
        <w:t xml:space="preserve">22 </w:t>
      </w:r>
      <w:r>
        <w:t xml:space="preserve">because they did not believe in God nor hope on his salvation.</w:t>
      </w:r>
    </w:p>
    <w:p>
      <w:r>
        <w:rPr>
          <w:b/>
        </w:rPr>
        <w:t xml:space="preserve">23 </w:t>
      </w:r>
      <w:r>
        <w:t xml:space="preserve">And he commanded clouds above and opened doors of heaven,</w:t>
      </w:r>
    </w:p>
    <w:p>
      <w:r>
        <w:rPr>
          <w:b/>
        </w:rPr>
        <w:t xml:space="preserve">24 </w:t>
      </w:r>
      <w:r>
        <w:t xml:space="preserve">and rained manna on them to eat and gave them bread of heaven.</w:t>
      </w:r>
    </w:p>
    <w:p>
      <w:r>
        <w:rPr>
          <w:b/>
        </w:rPr>
        <w:t xml:space="preserve">25 </w:t>
      </w:r>
      <w:r>
        <w:t xml:space="preserve">Man ate bread of angels; he sent them provision unto fullness.</w:t>
      </w:r>
    </w:p>
    <w:p>
      <w:r>
        <w:rPr>
          <w:b/>
        </w:rPr>
        <w:t xml:space="preserve">26 </w:t>
      </w:r>
      <w:r>
        <w:t xml:space="preserve">He lifted south wind from heaven and brought in by his dominion southwest wind.</w:t>
      </w:r>
    </w:p>
    <w:p>
      <w:r>
        <w:rPr>
          <w:b/>
        </w:rPr>
        <w:t xml:space="preserve">27 </w:t>
      </w:r>
      <w:r>
        <w:t xml:space="preserve">And he rained flesh upon them like dust and winged birds like the sand of the seas.</w:t>
      </w:r>
    </w:p>
    <w:p>
      <w:r>
        <w:rPr>
          <w:b/>
        </w:rPr>
        <w:t xml:space="preserve">28 </w:t>
      </w:r>
      <w:r>
        <w:t xml:space="preserve">And they fell into the midst of their camp, around their tents.</w:t>
      </w:r>
    </w:p>
    <w:p>
      <w:r>
        <w:rPr>
          <w:b/>
        </w:rPr>
        <w:t xml:space="preserve">29 </w:t>
      </w:r>
      <w:r>
        <w:t xml:space="preserve">And they ate and were filled exceedingly, and he brought them their desire.</w:t>
      </w:r>
    </w:p>
    <w:p>
      <w:r>
        <w:rPr>
          <w:b/>
        </w:rPr>
        <w:t xml:space="preserve">30 </w:t>
      </w:r>
      <w:r>
        <w:t xml:space="preserve">They were not deprived of their desire; while their food was still in their mouth,</w:t>
      </w:r>
    </w:p>
    <w:p>
      <w:r>
        <w:rPr>
          <w:b/>
        </w:rPr>
        <w:t xml:space="preserve">31 </w:t>
      </w:r>
      <w:r>
        <w:t xml:space="preserve">wrath of God rose upon them and killed among their fat ones and hamstrung chosen ones of Israel.</w:t>
      </w:r>
    </w:p>
    <w:p>
      <w:r>
        <w:rPr>
          <w:b/>
        </w:rPr>
        <w:t xml:space="preserve">32 </w:t>
      </w:r>
      <w:r>
        <w:t xml:space="preserve">In all these things they still sinned and did not believe in his wonders.</w:t>
      </w:r>
    </w:p>
    <w:p>
      <w:r>
        <w:rPr>
          <w:b/>
        </w:rPr>
        <w:t xml:space="preserve">33 </w:t>
      </w:r>
      <w:r>
        <w:t xml:space="preserve">And their days failed in vanity and their years in haste.</w:t>
      </w:r>
    </w:p>
    <w:p>
      <w:r>
        <w:rPr>
          <w:b/>
        </w:rPr>
        <w:t xml:space="preserve">34 </w:t>
      </w:r>
      <w:r>
        <w:t xml:space="preserve">When he killed them, they sought him, and returned and rose early toward God.</w:t>
      </w:r>
    </w:p>
    <w:p>
      <w:r>
        <w:rPr>
          <w:b/>
        </w:rPr>
        <w:t xml:space="preserve">35 </w:t>
      </w:r>
      <w:r>
        <w:t xml:space="preserve">And they remembered that God is their helper and God Most High their redeemer.</w:t>
      </w:r>
    </w:p>
    <w:p>
      <w:r>
        <w:rPr>
          <w:b/>
        </w:rPr>
        <w:t xml:space="preserve">36 </w:t>
      </w:r>
      <w:r>
        <w:t xml:space="preserve">And they deceived him with their mouth and lied to him with their tongue.</w:t>
      </w:r>
    </w:p>
    <w:p>
      <w:r>
        <w:rPr>
          <w:b/>
        </w:rPr>
        <w:t xml:space="preserve">37 </w:t>
      </w:r>
      <w:r>
        <w:t xml:space="preserve">But their heart was not straight with him, nor were they faithful in his covenant.</w:t>
      </w:r>
    </w:p>
    <w:p>
      <w:r>
        <w:rPr>
          <w:b/>
        </w:rPr>
        <w:t xml:space="preserve">38 </w:t>
      </w:r>
      <w:r>
        <w:t xml:space="preserve">But he compassionate and will propitiate their sins and not destroy, and he will multiply turning away his wrath and will not kindle all his anger.</w:t>
      </w:r>
    </w:p>
    <w:p>
      <w:r>
        <w:rPr>
          <w:b/>
        </w:rPr>
        <w:t xml:space="preserve">39 </w:t>
      </w:r>
      <w:r>
        <w:t xml:space="preserve">And he remembered that they are flesh, spirit going and not returning.</w:t>
      </w:r>
    </w:p>
    <w:p>
      <w:r>
        <w:rPr>
          <w:b/>
        </w:rPr>
        <w:t xml:space="preserve">40 </w:t>
      </w:r>
      <w:r>
        <w:t xml:space="preserve">How often they provoked him in the wilderness, angered him in waterless land.</w:t>
      </w:r>
    </w:p>
    <w:p>
      <w:r>
        <w:rPr>
          <w:b/>
        </w:rPr>
        <w:t xml:space="preserve">41 </w:t>
      </w:r>
      <w:r>
        <w:t xml:space="preserve">And they turned and tested God and provoked the Holy One of Israel.</w:t>
      </w:r>
    </w:p>
    <w:p>
      <w:r>
        <w:rPr>
          <w:b/>
        </w:rPr>
        <w:t xml:space="preserve">42 </w:t>
      </w:r>
      <w:r>
        <w:t xml:space="preserve">They did not remember his hand, day when he redeemed them from the hand of afflicter,</w:t>
      </w:r>
    </w:p>
    <w:p>
      <w:r>
        <w:rPr>
          <w:b/>
        </w:rPr>
        <w:t xml:space="preserve">43 </w:t>
      </w:r>
      <w:r>
        <w:t xml:space="preserve">how he set his signs in Egypt and his wonders in the plain of Zoan,</w:t>
      </w:r>
    </w:p>
    <w:p>
      <w:r>
        <w:rPr>
          <w:b/>
        </w:rPr>
        <w:t xml:space="preserve">44 </w:t>
      </w:r>
      <w:r>
        <w:t xml:space="preserve">and turned their rivers into blood and their rainfalls so they might not drink.</w:t>
      </w:r>
    </w:p>
    <w:p>
      <w:r>
        <w:rPr>
          <w:b/>
        </w:rPr>
        <w:t xml:space="preserve">45 </w:t>
      </w:r>
      <w:r>
        <w:t xml:space="preserve">He sent upon them dog-fly and it devoured them, and frog and it ruined them.</w:t>
      </w:r>
    </w:p>
    <w:p>
      <w:r>
        <w:rPr>
          <w:b/>
        </w:rPr>
        <w:t xml:space="preserve">46 </w:t>
      </w:r>
      <w:r>
        <w:t xml:space="preserve">And he gave their fruit to mildew and their labors to locust.</w:t>
      </w:r>
    </w:p>
    <w:p>
      <w:r>
        <w:rPr>
          <w:b/>
        </w:rPr>
        <w:t xml:space="preserve">47 </w:t>
      </w:r>
      <w:r>
        <w:t xml:space="preserve">He killed their vine with hail and their sycamores with frost.</w:t>
      </w:r>
    </w:p>
    <w:p>
      <w:r>
        <w:rPr>
          <w:b/>
        </w:rPr>
        <w:t xml:space="preserve">48 </w:t>
      </w:r>
      <w:r>
        <w:t xml:space="preserve">And he handed over their cattle to hail and their possessions to fire.</w:t>
      </w:r>
    </w:p>
    <w:p>
      <w:r>
        <w:rPr>
          <w:b/>
        </w:rPr>
        <w:t xml:space="preserve">49 </w:t>
      </w:r>
      <w:r>
        <w:t xml:space="preserve">He sent upon them wrath of his anger, anger and fury and affliction, dispatch by evil angels.</w:t>
      </w:r>
    </w:p>
    <w:p>
      <w:r>
        <w:rPr>
          <w:b/>
        </w:rPr>
        <w:t xml:space="preserve">50 </w:t>
      </w:r>
      <w:r>
        <w:t xml:space="preserve">He made way for his anger; he did not spare their souls from death and enclosed their cattle in death.</w:t>
      </w:r>
    </w:p>
    <w:p>
      <w:r>
        <w:rPr>
          <w:b/>
        </w:rPr>
        <w:t xml:space="preserve">51 </w:t>
      </w:r>
      <w:r>
        <w:t xml:space="preserve">And he struck every firstborn in Egypt, first fruits of their labors in the tents of Ham.</w:t>
      </w:r>
    </w:p>
    <w:p>
      <w:r>
        <w:rPr>
          <w:b/>
        </w:rPr>
        <w:t xml:space="preserve">52 </w:t>
      </w:r>
      <w:r>
        <w:t xml:space="preserve">And he lifted up his people like sheep and led them like a flock in the wilderness.</w:t>
      </w:r>
    </w:p>
    <w:p>
      <w:r>
        <w:rPr>
          <w:b/>
        </w:rPr>
        <w:t xml:space="preserve">53 </w:t>
      </w:r>
      <w:r>
        <w:t xml:space="preserve">And he guided them in hope and they did not fear, and sea covered their enemies.</w:t>
      </w:r>
    </w:p>
    <w:p>
      <w:r>
        <w:rPr>
          <w:b/>
        </w:rPr>
        <w:t xml:space="preserve">54 </w:t>
      </w:r>
      <w:r>
        <w:t xml:space="preserve">And he brought them into boundary of his sanctuary, this mountain which his right hand acquired.</w:t>
      </w:r>
    </w:p>
    <w:p>
      <w:r>
        <w:rPr>
          <w:b/>
        </w:rPr>
        <w:t xml:space="preserve">55 </w:t>
      </w:r>
      <w:r>
        <w:t xml:space="preserve">And he cast out nations from before them and gave them inheritance by measuring line and made the tribes of Israel dwell in their tents.</w:t>
      </w:r>
    </w:p>
    <w:p>
      <w:r>
        <w:rPr>
          <w:b/>
        </w:rPr>
        <w:t xml:space="preserve">56 </w:t>
      </w:r>
      <w:r>
        <w:t xml:space="preserve">And they tested and provoked God Most High, and his testimonies they did not keep.</w:t>
      </w:r>
    </w:p>
    <w:p>
      <w:r>
        <w:rPr>
          <w:b/>
        </w:rPr>
        <w:t xml:space="preserve">57 </w:t>
      </w:r>
      <w:r>
        <w:t xml:space="preserve">And they turned back and broke covenant just as their fathers, and were twisted into crooked bow.</w:t>
      </w:r>
    </w:p>
    <w:p>
      <w:r>
        <w:rPr>
          <w:b/>
        </w:rPr>
        <w:t xml:space="preserve">58 </w:t>
      </w:r>
      <w:r>
        <w:t xml:space="preserve">And they angered him with their hills and with their carved images stirred him to jealousy.</w:t>
      </w:r>
    </w:p>
    <w:p>
      <w:r>
        <w:rPr>
          <w:b/>
        </w:rPr>
        <w:t xml:space="preserve">59 </w:t>
      </w:r>
      <w:r>
        <w:t xml:space="preserve">God heard and disregarded and greatly despised Israel.</w:t>
      </w:r>
    </w:p>
    <w:p>
      <w:r>
        <w:rPr>
          <w:b/>
        </w:rPr>
        <w:t xml:space="preserve">60 </w:t>
      </w:r>
      <w:r>
        <w:t xml:space="preserve">And he rejected tent of Shiloh, his tabernacle where he dwelt among men.</w:t>
      </w:r>
    </w:p>
    <w:p>
      <w:r>
        <w:rPr>
          <w:b/>
        </w:rPr>
        <w:t xml:space="preserve">61 </w:t>
      </w:r>
      <w:r>
        <w:t xml:space="preserve">And he gave their strength into captivity and their beauty into the hand of enemy.</w:t>
      </w:r>
    </w:p>
    <w:p>
      <w:r>
        <w:rPr>
          <w:b/>
        </w:rPr>
        <w:t xml:space="preserve">62 </w:t>
      </w:r>
      <w:r>
        <w:t xml:space="preserve">And he enclosed his people to sword and disregarded his inheritance.</w:t>
      </w:r>
    </w:p>
    <w:p>
      <w:r>
        <w:rPr>
          <w:b/>
        </w:rPr>
        <w:t xml:space="preserve">63 </w:t>
      </w:r>
      <w:r>
        <w:t xml:space="preserve">Fire devoured their young men, and their virgins were not mourned.</w:t>
      </w:r>
    </w:p>
    <w:p>
      <w:r>
        <w:rPr>
          <w:b/>
        </w:rPr>
        <w:t xml:space="preserve">64 </w:t>
      </w:r>
      <w:r>
        <w:t xml:space="preserve">Their priests fell by sword, and their widows will not be wept.</w:t>
      </w:r>
    </w:p>
    <w:p>
      <w:r>
        <w:rPr>
          <w:b/>
        </w:rPr>
        <w:t xml:space="preserve">65 </w:t>
      </w:r>
      <w:r>
        <w:t xml:space="preserve">And the Lord awoke like one sleeping, like mighty man sobered from wine.</w:t>
      </w:r>
    </w:p>
    <w:p>
      <w:r>
        <w:rPr>
          <w:b/>
        </w:rPr>
        <w:t xml:space="preserve">66 </w:t>
      </w:r>
      <w:r>
        <w:t xml:space="preserve">And he struck his enemies backward; everlasting reproach he gave them.</w:t>
      </w:r>
    </w:p>
    <w:p>
      <w:r>
        <w:rPr>
          <w:b/>
        </w:rPr>
        <w:t xml:space="preserve">67 </w:t>
      </w:r>
      <w:r>
        <w:t xml:space="preserve">And he rejected tent of Joseph, and tribe of Ephraim he did not choose.</w:t>
      </w:r>
    </w:p>
    <w:p>
      <w:r>
        <w:rPr>
          <w:b/>
        </w:rPr>
        <w:t xml:space="preserve">68 </w:t>
      </w:r>
      <w:r>
        <w:t xml:space="preserve">And he chose tribe of Judah, Mount Zion which he loved.</w:t>
      </w:r>
    </w:p>
    <w:p>
      <w:r>
        <w:rPr>
          <w:b/>
        </w:rPr>
        <w:t xml:space="preserve">69 </w:t>
      </w:r>
      <w:r>
        <w:t xml:space="preserve">And he built his sanctuary like unicorns; on earth he founded it forever.</w:t>
      </w:r>
    </w:p>
    <w:p>
      <w:r>
        <w:rPr>
          <w:b/>
        </w:rPr>
        <w:t xml:space="preserve">70 </w:t>
      </w:r>
      <w:r>
        <w:t xml:space="preserve">And he chose David his servant and took him up from flocks of sheep.</w:t>
      </w:r>
    </w:p>
    <w:p>
      <w:r>
        <w:rPr>
          <w:b/>
        </w:rPr>
        <w:t xml:space="preserve">71 </w:t>
      </w:r>
      <w:r>
        <w:t xml:space="preserve">From behind nursing ones he took him to shepherd Jacob his people and Israel his inheritance.</w:t>
      </w:r>
    </w:p>
    <w:p>
      <w:r>
        <w:rPr>
          <w:b/>
        </w:rPr>
        <w:t xml:space="preserve">72 </w:t>
      </w:r>
      <w:r>
        <w:t xml:space="preserve">And he shepherded them in the innocence of his heart and guided them in understandings of his hands.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78</w:t>
      </w:r>
    </w:p>
    <w:p>
      <w:r>
        <w:rPr>
          <w:b/>
        </w:rPr>
        <w:t xml:space="preserve">1 </w:t>
      </w:r>
      <w:r>
        <w:rPr>
          <w:i/>
        </w:rPr>
        <w:t xml:space="preserve">Psalm of Asaph.</w:t>
      </w:r>
      <w:r>
        <w:br/>
      </w:r>
      <w:r>
        <w:t xml:space="preserve">O God, nations came into your inheritance; they defiled your holy temple; they made Jerusalem into orchard-watch hut.</w:t>
      </w:r>
    </w:p>
    <w:p>
      <w:r>
        <w:rPr>
          <w:b/>
        </w:rPr>
        <w:t xml:space="preserve">2 </w:t>
      </w:r>
      <w:r>
        <w:t xml:space="preserve">They set dead bodies of your servants as food to the birds of heaven, flesh of your holy ones to the beasts of the earth.</w:t>
      </w:r>
    </w:p>
    <w:p>
      <w:r>
        <w:rPr>
          <w:b/>
        </w:rPr>
        <w:t xml:space="preserve">3 </w:t>
      </w:r>
      <w:r>
        <w:t xml:space="preserve">They poured out their blood like water around Jerusalem, and there was none burying.</w:t>
      </w:r>
    </w:p>
    <w:p>
      <w:r>
        <w:rPr>
          <w:b/>
        </w:rPr>
        <w:t xml:space="preserve">4 </w:t>
      </w:r>
      <w:r>
        <w:t xml:space="preserve">We became a reproach to our neighbors, mocking and derision to those around us.</w:t>
      </w:r>
    </w:p>
    <w:p>
      <w:r>
        <w:rPr>
          <w:b/>
        </w:rPr>
        <w:t xml:space="preserve">5 </w:t>
      </w:r>
      <w:r>
        <w:t xml:space="preserve">How long, Lord? Will you be angry to end? Will your zeal burn like fire?</w:t>
      </w:r>
    </w:p>
    <w:p>
      <w:r>
        <w:rPr>
          <w:b/>
        </w:rPr>
        <w:t xml:space="preserve">6 </w:t>
      </w:r>
      <w:r>
        <w:t xml:space="preserve">Pour out your anger upon nations not knowing you and upon kingdoms which did not call upon your name,</w:t>
      </w:r>
    </w:p>
    <w:p>
      <w:r>
        <w:rPr>
          <w:b/>
        </w:rPr>
        <w:t xml:space="preserve">7 </w:t>
      </w:r>
      <w:r>
        <w:t xml:space="preserve">because they devoured Jacob and laid waste his place.</w:t>
      </w:r>
    </w:p>
    <w:p>
      <w:r>
        <w:rPr>
          <w:b/>
        </w:rPr>
        <w:t xml:space="preserve">8 </w:t>
      </w:r>
      <w:r>
        <w:t xml:space="preserve">Do not remember against us ancient lawlessnesses; let your compassions quickly go before us, because we became very poor.</w:t>
      </w:r>
    </w:p>
    <w:p>
      <w:r>
        <w:rPr>
          <w:b/>
        </w:rPr>
        <w:t xml:space="preserve">9 </w:t>
      </w:r>
      <w:r>
        <w:t xml:space="preserve">Help us, God our savior, for the sake of glory of your name. Lord, rescue us and propitiate our sins for the sake of your name.</w:t>
      </w:r>
    </w:p>
    <w:p>
      <w:r>
        <w:rPr>
          <w:b/>
        </w:rPr>
        <w:t xml:space="preserve">10 </w:t>
      </w:r>
      <w:r>
        <w:t xml:space="preserve">Lest nations say, Where is their God? Let vengeance of blood of your servants poured out be known among nations before our eyes.</w:t>
      </w:r>
    </w:p>
    <w:p>
      <w:r>
        <w:rPr>
          <w:b/>
        </w:rPr>
        <w:t xml:space="preserve">11 </w:t>
      </w:r>
      <w:r>
        <w:t xml:space="preserve">Let groaning of chained ones enter before you; according to greatness of your arm preserve sons of those put to death.</w:t>
      </w:r>
    </w:p>
    <w:p>
      <w:r>
        <w:rPr>
          <w:b/>
        </w:rPr>
        <w:t xml:space="preserve">12 </w:t>
      </w:r>
      <w:r>
        <w:t xml:space="preserve">Repay to our neighbors sevenfold into their bosom their reproach with which they reproached you, Lord.</w:t>
      </w:r>
    </w:p>
    <w:p>
      <w:r>
        <w:rPr>
          <w:b/>
        </w:rPr>
        <w:t xml:space="preserve">13 </w:t>
      </w:r>
      <w:r>
        <w:t xml:space="preserve">But we are your people and sheep of your pasture will confess to you forever; from generation to generation we will declare your praise.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79</w:t>
      </w:r>
    </w:p>
    <w:p>
      <w:r>
        <w:rPr>
          <w:b/>
        </w:rPr>
        <w:t xml:space="preserve">1 </w:t>
      </w:r>
      <w:r>
        <w:rPr>
          <w:i/>
        </w:rPr>
        <w:t xml:space="preserve">For end, concerning those to be changed, testimony of Asaph, psalm concerning Assyrian.</w:t>
      </w:r>
      <w:r>
        <w:t xml:space="preserve"/>
      </w:r>
      <w:r>
        <w:rPr>
          <w:rStyle w:val="FootnoteReference"/>
        </w:rPr>
        <w:footnoteReference w:id="10608"/>
      </w:r>
    </w:p>
    <w:p>
      <w:r>
        <w:rPr>
          <w:b/>
        </w:rPr>
        <w:t xml:space="preserve">2 </w:t>
      </w:r>
      <w:r>
        <w:t xml:space="preserve">You shepherding Israel, attend; you leading Joseph like sheep, you sitting upon cherubim, show yourself.</w:t>
      </w:r>
    </w:p>
    <w:p>
      <w:r>
        <w:rPr>
          <w:b/>
        </w:rPr>
        <w:t xml:space="preserve">3 </w:t>
      </w:r>
      <w:r>
        <w:t xml:space="preserve">Before Ephraim and Benjamin and Manasseh stir up your dominion and come to save us.</w:t>
      </w:r>
    </w:p>
    <w:p>
      <w:r>
        <w:rPr>
          <w:b/>
        </w:rPr>
        <w:t xml:space="preserve">4 </w:t>
      </w:r>
      <w:r>
        <w:t xml:space="preserve">O God, turn us back and make your face shine, and we will be saved.</w:t>
      </w:r>
    </w:p>
    <w:p>
      <w:r>
        <w:rPr>
          <w:b/>
        </w:rPr>
        <w:t xml:space="preserve">5 </w:t>
      </w:r>
      <w:r>
        <w:t xml:space="preserve">Lord God of hosts, how long</w:t>
      </w:r>
      <w:r>
        <w:rPr>
          <w:rStyle w:val="FootnoteReference"/>
        </w:rPr>
        <w:footnoteReference w:id="10609"/>
      </w:r>
      <w:r>
        <w:t xml:space="preserve"> are you angry over prayer of your servant?</w:t>
      </w:r>
    </w:p>
    <w:p>
      <w:r>
        <w:rPr>
          <w:b/>
        </w:rPr>
        <w:t xml:space="preserve">6 </w:t>
      </w:r>
      <w:r>
        <w:t xml:space="preserve">You feed us bread of tears and give us tears to drink in measure.</w:t>
      </w:r>
    </w:p>
    <w:p>
      <w:r>
        <w:rPr>
          <w:b/>
        </w:rPr>
        <w:t xml:space="preserve">7 </w:t>
      </w:r>
      <w:r>
        <w:t xml:space="preserve">You set us for contradiction to our neighbors, and our enemies mocked us.</w:t>
      </w:r>
    </w:p>
    <w:p>
      <w:r>
        <w:rPr>
          <w:b/>
        </w:rPr>
        <w:t xml:space="preserve">8 </w:t>
      </w:r>
      <w:r>
        <w:t xml:space="preserve">Lord God of hosts, turn us back and make your face shine, and we will be saved. Interlude.</w:t>
      </w:r>
    </w:p>
    <w:p>
      <w:r>
        <w:rPr>
          <w:b/>
        </w:rPr>
        <w:t xml:space="preserve">9 </w:t>
      </w:r>
      <w:r>
        <w:t xml:space="preserve">You transplanted vine out of Egypt; you cast out nations and planted her.</w:t>
      </w:r>
    </w:p>
    <w:p>
      <w:r>
        <w:rPr>
          <w:b/>
        </w:rPr>
        <w:t xml:space="preserve">10 </w:t>
      </w:r>
      <w:r>
        <w:t xml:space="preserve">You made way before her and planted her roots, and land was filled.</w:t>
      </w:r>
    </w:p>
    <w:p>
      <w:r>
        <w:rPr>
          <w:b/>
        </w:rPr>
        <w:t xml:space="preserve">11 </w:t>
      </w:r>
      <w:r>
        <w:t xml:space="preserve">Her shadow covered mountains, and her branches the cedars of God.</w:t>
      </w:r>
    </w:p>
    <w:p>
      <w:r>
        <w:rPr>
          <w:b/>
        </w:rPr>
        <w:t xml:space="preserve">12 </w:t>
      </w:r>
      <w:r>
        <w:t xml:space="preserve">She stretched out her shoots unto sea and her offshoots unto river.</w:t>
      </w:r>
    </w:p>
    <w:p>
      <w:r>
        <w:rPr>
          <w:b/>
        </w:rPr>
        <w:t xml:space="preserve">13 </w:t>
      </w:r>
      <w:r>
        <w:t xml:space="preserve">Why did you pull down her fence, and all passing by road gather from her?</w:t>
      </w:r>
    </w:p>
    <w:p>
      <w:r>
        <w:rPr>
          <w:b/>
        </w:rPr>
        <w:t xml:space="preserve">14 </w:t>
      </w:r>
      <w:r>
        <w:t xml:space="preserve">Boar from the forest ravaged her, and solitary wild beast fed on her.</w:t>
      </w:r>
    </w:p>
    <w:p>
      <w:r>
        <w:rPr>
          <w:b/>
        </w:rPr>
        <w:t xml:space="preserve">15 </w:t>
      </w:r>
      <w:r>
        <w:t xml:space="preserve">God of hosts, turn now; look from heaven and see and visit this vine,</w:t>
      </w:r>
    </w:p>
    <w:p>
      <w:r>
        <w:rPr>
          <w:b/>
        </w:rPr>
        <w:t xml:space="preserve">16 </w:t>
      </w:r>
      <w:r>
        <w:t xml:space="preserve">and restore what your right hand planted, and upon the son of man whom you strengthened for yourself.</w:t>
      </w:r>
    </w:p>
    <w:p>
      <w:r>
        <w:rPr>
          <w:b/>
        </w:rPr>
        <w:t xml:space="preserve">17 </w:t>
      </w:r>
      <w:r>
        <w:t xml:space="preserve">Burned with fire and dug up, they will perish from rebuke of your face.</w:t>
      </w:r>
    </w:p>
    <w:p>
      <w:r>
        <w:rPr>
          <w:b/>
        </w:rPr>
        <w:t xml:space="preserve">18 </w:t>
      </w:r>
      <w:r>
        <w:t xml:space="preserve">Let your hand be upon man of your right hand and upon the son of man whom you strengthened for yourself.</w:t>
      </w:r>
    </w:p>
    <w:p>
      <w:r>
        <w:rPr>
          <w:b/>
        </w:rPr>
        <w:t xml:space="preserve">19 </w:t>
      </w:r>
      <w:r>
        <w:t xml:space="preserve">And we will never depart from you; you will make us live, and we will call upon your name.</w:t>
      </w:r>
    </w:p>
    <w:p>
      <w:r>
        <w:rPr>
          <w:b/>
        </w:rPr>
        <w:t xml:space="preserve">20 </w:t>
      </w:r>
      <w:r>
        <w:t xml:space="preserve">Lord God of hosts, turn us back and make your face shine, and we will be saved.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80</w:t>
      </w:r>
    </w:p>
    <w:p>
      <w:r>
        <w:rPr>
          <w:b/>
        </w:rPr>
        <w:t xml:space="preserve">1 </w:t>
      </w:r>
      <w:r>
        <w:rPr>
          <w:i/>
        </w:rPr>
        <w:t xml:space="preserve">For end, concerning winepresses. Of Asaph. Psalm.</w:t>
      </w:r>
      <w:r>
        <w:t xml:space="preserve"/>
      </w:r>
    </w:p>
    <w:p>
      <w:r>
        <w:rPr>
          <w:b/>
        </w:rPr>
        <w:t xml:space="preserve">2 </w:t>
      </w:r>
      <w:r>
        <w:t xml:space="preserve">Exult in God our helper; shout to God of Jacob.</w:t>
      </w:r>
    </w:p>
    <w:p>
      <w:r>
        <w:rPr>
          <w:b/>
        </w:rPr>
        <w:t xml:space="preserve">3 </w:t>
      </w:r>
      <w:r>
        <w:t xml:space="preserve">Take psalm and give tambourine, pleasant psaltery with lyre.</w:t>
      </w:r>
    </w:p>
    <w:p>
      <w:r>
        <w:rPr>
          <w:b/>
        </w:rPr>
        <w:t xml:space="preserve">4 </w:t>
      </w:r>
      <w:r>
        <w:t xml:space="preserve">Blow trumpet at new moon, on notable day of our feast,</w:t>
      </w:r>
    </w:p>
    <w:p>
      <w:r>
        <w:rPr>
          <w:b/>
        </w:rPr>
        <w:t xml:space="preserve">5 </w:t>
      </w:r>
      <w:r>
        <w:t xml:space="preserve">because ordinance for Israel it is and judgment for God of Jacob.</w:t>
      </w:r>
    </w:p>
    <w:p>
      <w:r>
        <w:rPr>
          <w:b/>
        </w:rPr>
        <w:t xml:space="preserve">6 </w:t>
      </w:r>
      <w:r>
        <w:t xml:space="preserve">He set it as testimony in Joseph when he went out from the land of Egypt; he heard language he did not know.</w:t>
      </w:r>
    </w:p>
    <w:p>
      <w:r>
        <w:rPr>
          <w:b/>
        </w:rPr>
        <w:t xml:space="preserve">7 </w:t>
      </w:r>
      <w:r>
        <w:t xml:space="preserve">He removed his back from burdens; his hands served in basket.</w:t>
      </w:r>
    </w:p>
    <w:p>
      <w:r>
        <w:rPr>
          <w:b/>
        </w:rPr>
        <w:t xml:space="preserve">8 </w:t>
      </w:r>
      <w:r>
        <w:t xml:space="preserve">In affliction you called on me, and I rescued you; I heard you in the hidden place of storm; I tested you at the water of contradiction. Interlude.</w:t>
      </w:r>
    </w:p>
    <w:p>
      <w:r>
        <w:rPr>
          <w:b/>
        </w:rPr>
        <w:t xml:space="preserve">9 </w:t>
      </w:r>
      <w:r>
        <w:t xml:space="preserve">Hear, my people, and I will testify to you; Israel, if you would hear me,</w:t>
      </w:r>
    </w:p>
    <w:p>
      <w:r>
        <w:rPr>
          <w:b/>
        </w:rPr>
        <w:t xml:space="preserve">10 </w:t>
      </w:r>
      <w:r>
        <w:t xml:space="preserve">there will not be in you recent god, nor will you worship strange god.</w:t>
      </w:r>
    </w:p>
    <w:p>
      <w:r>
        <w:rPr>
          <w:b/>
        </w:rPr>
        <w:t xml:space="preserve">11 </w:t>
      </w:r>
      <w:r>
        <w:t xml:space="preserve">For I am the Lord your God, who brought you up from the land of Egypt; widen your mouth, and I will fill it.</w:t>
      </w:r>
    </w:p>
    <w:p>
      <w:r>
        <w:rPr>
          <w:b/>
        </w:rPr>
        <w:t xml:space="preserve">12 </w:t>
      </w:r>
      <w:r>
        <w:t xml:space="preserve">And my people did not hear my voice, and Israel did not attend to me.</w:t>
      </w:r>
    </w:p>
    <w:p>
      <w:r>
        <w:rPr>
          <w:b/>
        </w:rPr>
        <w:t xml:space="preserve">13 </w:t>
      </w:r>
      <w:r>
        <w:t xml:space="preserve">And I sent them according to practices of their hearts; they will walk in their practices.</w:t>
      </w:r>
    </w:p>
    <w:p>
      <w:r>
        <w:rPr>
          <w:b/>
        </w:rPr>
        <w:t xml:space="preserve">14 </w:t>
      </w:r>
      <w:r>
        <w:t xml:space="preserve">If my people heard me, if Israel walked in my ways,</w:t>
      </w:r>
    </w:p>
    <w:p>
      <w:r>
        <w:rPr>
          <w:b/>
        </w:rPr>
        <w:t xml:space="preserve">15 </w:t>
      </w:r>
      <w:r>
        <w:t xml:space="preserve">in nothing I would humble their enemies and against those afflicting them I would lay my hand.</w:t>
      </w:r>
    </w:p>
    <w:p>
      <w:r>
        <w:rPr>
          <w:b/>
        </w:rPr>
        <w:t xml:space="preserve">16 </w:t>
      </w:r>
      <w:r>
        <w:t xml:space="preserve">The enemies of the Lord lied to him, and their time will be forever.</w:t>
      </w:r>
    </w:p>
    <w:p>
      <w:r>
        <w:rPr>
          <w:b/>
        </w:rPr>
        <w:t xml:space="preserve">17 </w:t>
      </w:r>
      <w:r>
        <w:t xml:space="preserve">And he fed them from the fat of wheat, and from rock he satisfied them with honey.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81</w:t>
      </w:r>
    </w:p>
    <w:p>
      <w:r>
        <w:rPr>
          <w:b/>
        </w:rPr>
        <w:t xml:space="preserve">1 </w:t>
      </w:r>
      <w:r>
        <w:rPr>
          <w:i/>
        </w:rPr>
        <w:t xml:space="preserve">Psalm of Asaph.</w:t>
      </w:r>
      <w:r>
        <w:br/>
      </w:r>
      <w:r>
        <w:t xml:space="preserve">God stood in the gathering of gods, and in midst he judges gods.</w:t>
      </w:r>
    </w:p>
    <w:p>
      <w:r>
        <w:rPr>
          <w:b/>
        </w:rPr>
        <w:t xml:space="preserve">2 </w:t>
      </w:r>
      <w:r>
        <w:t xml:space="preserve">How long will you judge injustice and take faces of sinners? Interlude.</w:t>
      </w:r>
    </w:p>
    <w:p>
      <w:r>
        <w:rPr>
          <w:b/>
        </w:rPr>
        <w:t xml:space="preserve">3 </w:t>
      </w:r>
      <w:r>
        <w:t xml:space="preserve">Judge an orphan and a poor one; justify a humble one and a needy one.</w:t>
      </w:r>
      <w:r>
        <w:rPr>
          <w:rStyle w:val="FootnoteReference"/>
        </w:rPr>
        <w:footnoteReference w:id="10610"/>
      </w:r>
    </w:p>
    <w:p>
      <w:r>
        <w:rPr>
          <w:b/>
        </w:rPr>
        <w:t xml:space="preserve">4 </w:t>
      </w:r>
      <w:r>
        <w:t xml:space="preserve">Rescue a needy one and a poor one</w:t>
      </w:r>
      <w:r>
        <w:rPr>
          <w:rStyle w:val="FootnoteReference"/>
        </w:rPr>
        <w:footnoteReference w:id="10611"/>
      </w:r>
      <w:r>
        <w:t xml:space="preserve">; deliver from the hand of a sinner.</w:t>
      </w:r>
    </w:p>
    <w:p>
      <w:r>
        <w:rPr>
          <w:b/>
        </w:rPr>
        <w:t xml:space="preserve">5 </w:t>
      </w:r>
      <w:r>
        <w:t xml:space="preserve">They did not know nor understand; they walk in darkness; all foundations of the earth will be shaken.</w:t>
      </w:r>
    </w:p>
    <w:p>
      <w:r>
        <w:rPr>
          <w:b/>
        </w:rPr>
        <w:t xml:space="preserve">6 </w:t>
      </w:r>
      <w:r>
        <w:t xml:space="preserve">I said, You are gods, and all sons of Most High.</w:t>
      </w:r>
    </w:p>
    <w:p>
      <w:r>
        <w:rPr>
          <w:b/>
        </w:rPr>
        <w:t xml:space="preserve">7 </w:t>
      </w:r>
      <w:r>
        <w:t xml:space="preserve">But you die like men and fall like one of rulers.</w:t>
      </w:r>
    </w:p>
    <w:p>
      <w:r>
        <w:rPr>
          <w:b/>
        </w:rPr>
        <w:t xml:space="preserve">8 </w:t>
      </w:r>
      <w:r>
        <w:t xml:space="preserve">Rise up, O God, judge earth, because you will inherit among all nations.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82</w:t>
      </w:r>
    </w:p>
    <w:p>
      <w:r>
        <w:rPr>
          <w:b/>
        </w:rPr>
        <w:t xml:space="preserve">1 </w:t>
      </w:r>
      <w:r>
        <w:rPr>
          <w:i/>
        </w:rPr>
        <w:t xml:space="preserve">Song of psalm of Asaph.</w:t>
      </w:r>
      <w:r>
        <w:t xml:space="preserve"/>
      </w:r>
    </w:p>
    <w:p>
      <w:r>
        <w:rPr>
          <w:b/>
        </w:rPr>
        <w:t xml:space="preserve">2 </w:t>
      </w:r>
      <w:r>
        <w:t xml:space="preserve">O God, who will be likened to you? Do not be silent nor be made gentle, O God.</w:t>
      </w:r>
    </w:p>
    <w:p>
      <w:r>
        <w:rPr>
          <w:b/>
        </w:rPr>
        <w:t xml:space="preserve">3 </w:t>
      </w:r>
      <w:r>
        <w:t xml:space="preserve">Because behold, your enemies sounded out, and those hating you raised head.</w:t>
      </w:r>
    </w:p>
    <w:p>
      <w:r>
        <w:rPr>
          <w:b/>
        </w:rPr>
        <w:t xml:space="preserve">4 </w:t>
      </w:r>
      <w:r>
        <w:t xml:space="preserve">Against your people they worked crafty counsel and took counsel against your holy ones.</w:t>
      </w:r>
    </w:p>
    <w:p>
      <w:r>
        <w:rPr>
          <w:b/>
        </w:rPr>
        <w:t xml:space="preserve">5 </w:t>
      </w:r>
      <w:r>
        <w:t xml:space="preserve">They said, Come, and let us destroy them from nation, and the name of Israel will not be remembered any longer.</w:t>
      </w:r>
    </w:p>
    <w:p>
      <w:r>
        <w:rPr>
          <w:b/>
        </w:rPr>
        <w:t xml:space="preserve">6 </w:t>
      </w:r>
      <w:r>
        <w:t xml:space="preserve">Because they took counsel with one accord together; against you they arranged covenant:</w:t>
      </w:r>
    </w:p>
    <w:p>
      <w:r>
        <w:rPr>
          <w:b/>
        </w:rPr>
        <w:t xml:space="preserve">7 </w:t>
      </w:r>
      <w:r>
        <w:t xml:space="preserve">tents of Edomites and Ishmaelites, Moab and Hagarites,</w:t>
      </w:r>
    </w:p>
    <w:p>
      <w:r>
        <w:rPr>
          <w:b/>
        </w:rPr>
        <w:t xml:space="preserve">8 </w:t>
      </w:r>
      <w:r>
        <w:t xml:space="preserve">Gebal</w:t>
      </w:r>
      <w:r>
        <w:rPr>
          <w:rStyle w:val="FootnoteReference"/>
        </w:rPr>
        <w:footnoteReference w:id="10612"/>
      </w:r>
      <w:r>
        <w:t xml:space="preserve"> and Ammon and Amalek, foreigners with those dwelling in Tyre.</w:t>
      </w:r>
    </w:p>
    <w:p>
      <w:r>
        <w:rPr>
          <w:b/>
        </w:rPr>
        <w:t xml:space="preserve">9 </w:t>
      </w:r>
      <w:r>
        <w:t xml:space="preserve">For Asshur also came along with them; they became support to the sons of Lot. Interlude.</w:t>
      </w:r>
    </w:p>
    <w:p>
      <w:r>
        <w:rPr>
          <w:b/>
        </w:rPr>
        <w:t xml:space="preserve">10 </w:t>
      </w:r>
      <w:r>
        <w:t xml:space="preserve">Do to them as to Midian and to Sisera, as to Jabin at torrent Kishon.</w:t>
      </w:r>
    </w:p>
    <w:p>
      <w:r>
        <w:rPr>
          <w:b/>
        </w:rPr>
        <w:t xml:space="preserve">11 </w:t>
      </w:r>
      <w:r>
        <w:t xml:space="preserve">They were destroyed at Endor; they became like dung for earth.</w:t>
      </w:r>
    </w:p>
    <w:p>
      <w:r>
        <w:rPr>
          <w:b/>
        </w:rPr>
        <w:t xml:space="preserve">12 </w:t>
      </w:r>
      <w:r>
        <w:t xml:space="preserve">Make their rulers like Oreb and Zeeb and Zebee and Zalmunna, all their rulers,</w:t>
      </w:r>
    </w:p>
    <w:p>
      <w:r>
        <w:rPr>
          <w:b/>
        </w:rPr>
        <w:t xml:space="preserve">13 </w:t>
      </w:r>
      <w:r>
        <w:t xml:space="preserve">who said, Let us inherit sanctuary of God for ourselves.</w:t>
      </w:r>
    </w:p>
    <w:p>
      <w:r>
        <w:rPr>
          <w:b/>
        </w:rPr>
        <w:t xml:space="preserve">14 </w:t>
      </w:r>
      <w:r>
        <w:t xml:space="preserve">My God, make them like a wheel, like stubble before wind,</w:t>
      </w:r>
    </w:p>
    <w:p>
      <w:r>
        <w:rPr>
          <w:b/>
        </w:rPr>
        <w:t xml:space="preserve">15 </w:t>
      </w:r>
      <w:r>
        <w:t xml:space="preserve">as fire kindles forest, as a flame burns mountains,</w:t>
      </w:r>
    </w:p>
    <w:p>
      <w:r>
        <w:rPr>
          <w:b/>
        </w:rPr>
        <w:t xml:space="preserve">16 </w:t>
      </w:r>
      <w:r>
        <w:t xml:space="preserve">so you will pursue them in your storm, and in your anger you will trouble them.</w:t>
      </w:r>
    </w:p>
    <w:p>
      <w:r>
        <w:rPr>
          <w:b/>
        </w:rPr>
        <w:t xml:space="preserve">17 </w:t>
      </w:r>
      <w:r>
        <w:t xml:space="preserve">Fill their faces with dishonor, and they will seek your name, Lord.</w:t>
      </w:r>
    </w:p>
    <w:p>
      <w:r>
        <w:rPr>
          <w:b/>
        </w:rPr>
        <w:t xml:space="preserve">18 </w:t>
      </w:r>
      <w:r>
        <w:t xml:space="preserve">Let them be shamed and troubled forever and ever, and let them be disgraced and perish.</w:t>
      </w:r>
    </w:p>
    <w:p>
      <w:r>
        <w:rPr>
          <w:b/>
        </w:rPr>
        <w:t xml:space="preserve">19 </w:t>
      </w:r>
      <w:r>
        <w:t xml:space="preserve">And let them know that your name Lord, you alone Most High over all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83</w:t>
      </w:r>
    </w:p>
    <w:p>
      <w:r>
        <w:rPr>
          <w:b/>
        </w:rPr>
        <w:t xml:space="preserve">1 </w:t>
      </w:r>
      <w:r>
        <w:rPr>
          <w:i/>
        </w:rPr>
        <w:t xml:space="preserve">For end, concerning winepresses, for the sons of Korah, psalm.</w:t>
      </w:r>
      <w:r>
        <w:t xml:space="preserve"/>
      </w:r>
    </w:p>
    <w:p>
      <w:r>
        <w:rPr>
          <w:b/>
        </w:rPr>
        <w:t xml:space="preserve">2 </w:t>
      </w:r>
      <w:r>
        <w:t xml:space="preserve">How beloved your tabernacles, Lord of hosts.</w:t>
      </w:r>
    </w:p>
    <w:p>
      <w:r>
        <w:rPr>
          <w:b/>
        </w:rPr>
        <w:t xml:space="preserve">3 </w:t>
      </w:r>
      <w:r>
        <w:t xml:space="preserve">My soul longs and fails for courts of the Lord; my heart and my flesh exulted in living God.</w:t>
      </w:r>
    </w:p>
    <w:p>
      <w:r>
        <w:rPr>
          <w:b/>
        </w:rPr>
        <w:t xml:space="preserve">4 </w:t>
      </w:r>
      <w:r>
        <w:t xml:space="preserve">For even sparrow found house for itself, and turtledove nest for herself where she may place her nestlings: your altars, Lord of hosts, my king and my God.</w:t>
      </w:r>
    </w:p>
    <w:p>
      <w:r>
        <w:rPr>
          <w:b/>
        </w:rPr>
        <w:t xml:space="preserve">5 </w:t>
      </w:r>
      <w:r>
        <w:t xml:space="preserve">Blessed are those dwelling in your house; forever and ever they will praise you. Interlude.</w:t>
      </w:r>
    </w:p>
    <w:p>
      <w:r>
        <w:rPr>
          <w:b/>
        </w:rPr>
        <w:t xml:space="preserve">6 </w:t>
      </w:r>
      <w:r>
        <w:t xml:space="preserve">Blessed is the man whose support is from you, Lord; ascents in his heart he arranged,</w:t>
      </w:r>
    </w:p>
    <w:p>
      <w:r>
        <w:rPr>
          <w:b/>
        </w:rPr>
        <w:t xml:space="preserve">7 </w:t>
      </w:r>
      <w:r>
        <w:t xml:space="preserve">in the valley of weeping, into place he appointed; for lawgiver will also give blessings.</w:t>
      </w:r>
    </w:p>
    <w:p>
      <w:r>
        <w:rPr>
          <w:b/>
        </w:rPr>
        <w:t xml:space="preserve">8 </w:t>
      </w:r>
      <w:r>
        <w:t xml:space="preserve">They will go from strength to strength; the God of gods will be seen in Zion.</w:t>
      </w:r>
    </w:p>
    <w:p>
      <w:r>
        <w:rPr>
          <w:b/>
        </w:rPr>
        <w:t xml:space="preserve">9 </w:t>
      </w:r>
      <w:r>
        <w:t xml:space="preserve">Lord God of hosts, hear my prayer; give ear, God of Jacob. Interlude.</w:t>
      </w:r>
    </w:p>
    <w:p>
      <w:r>
        <w:rPr>
          <w:b/>
        </w:rPr>
        <w:t xml:space="preserve">10 </w:t>
      </w:r>
      <w:r>
        <w:t xml:space="preserve">Our defender, see, O God, and look upon the face of your anointed.</w:t>
      </w:r>
    </w:p>
    <w:p>
      <w:r>
        <w:rPr>
          <w:b/>
        </w:rPr>
        <w:t xml:space="preserve">11 </w:t>
      </w:r>
      <w:r>
        <w:t xml:space="preserve">Because one day in your courts is better than thousands; I chose to be cast aside in the house of God rather than dwell in the tents of sinners.</w:t>
      </w:r>
      <w:r>
        <w:rPr>
          <w:rStyle w:val="FootnoteReference"/>
        </w:rPr>
        <w:footnoteReference w:id="10613"/>
      </w:r>
    </w:p>
    <w:p>
      <w:r>
        <w:rPr>
          <w:b/>
        </w:rPr>
        <w:t xml:space="preserve">12 </w:t>
      </w:r>
      <w:r>
        <w:t xml:space="preserve">Because the Lord God loves mercy and truth</w:t>
      </w:r>
      <w:r>
        <w:rPr>
          <w:rStyle w:val="FootnoteReference"/>
        </w:rPr>
        <w:footnoteReference w:id="10614"/>
      </w:r>
      <w:r>
        <w:t xml:space="preserve">; the Lord will give grace and glory; he will not withhold good things from those walking in innocence.</w:t>
      </w:r>
    </w:p>
    <w:p>
      <w:r>
        <w:rPr>
          <w:b/>
        </w:rPr>
        <w:t xml:space="preserve">13 </w:t>
      </w:r>
      <w:r>
        <w:t xml:space="preserve">Lord of hosts, blessed man hoping on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84</w:t>
      </w:r>
    </w:p>
    <w:p>
      <w:r>
        <w:rPr>
          <w:b/>
        </w:rPr>
        <w:t xml:space="preserve">1 </w:t>
      </w:r>
      <w:r>
        <w:rPr>
          <w:i/>
        </w:rPr>
        <w:t xml:space="preserve">For end, for the sons of Korah, psalm.</w:t>
      </w:r>
      <w:r>
        <w:t xml:space="preserve"/>
      </w:r>
    </w:p>
    <w:p>
      <w:r>
        <w:rPr>
          <w:b/>
        </w:rPr>
        <w:t xml:space="preserve">2 </w:t>
      </w:r>
      <w:r>
        <w:t xml:space="preserve">You took pleasure, Lord, in your land; you turned back captivity of Jacob.</w:t>
      </w:r>
    </w:p>
    <w:p>
      <w:r>
        <w:rPr>
          <w:b/>
        </w:rPr>
        <w:t xml:space="preserve">3 </w:t>
      </w:r>
      <w:r>
        <w:t xml:space="preserve">You forgave lawlessnesses of your people; you covered all their sins. Interlude.</w:t>
      </w:r>
    </w:p>
    <w:p>
      <w:r>
        <w:rPr>
          <w:b/>
        </w:rPr>
        <w:t xml:space="preserve">4 </w:t>
      </w:r>
      <w:r>
        <w:t xml:space="preserve">You stopped all your anger; you turned back from the wrath of your anger.</w:t>
      </w:r>
    </w:p>
    <w:p>
      <w:r>
        <w:rPr>
          <w:b/>
        </w:rPr>
        <w:t xml:space="preserve">5 </w:t>
      </w:r>
      <w:r>
        <w:t xml:space="preserve">Turn us back, O God of our salvations, and turn your anger away from us.</w:t>
      </w:r>
    </w:p>
    <w:p>
      <w:r>
        <w:rPr>
          <w:b/>
        </w:rPr>
        <w:t xml:space="preserve">6 </w:t>
      </w:r>
      <w:r>
        <w:t xml:space="preserve">Will you be angry with us forever, or stretch your anger from generation to generation?</w:t>
      </w:r>
    </w:p>
    <w:p>
      <w:r>
        <w:rPr>
          <w:b/>
        </w:rPr>
        <w:t xml:space="preserve">7 </w:t>
      </w:r>
      <w:r>
        <w:t xml:space="preserve">O God, you, turning back, will make us live, and your people will rejoice in you.</w:t>
      </w:r>
    </w:p>
    <w:p>
      <w:r>
        <w:rPr>
          <w:b/>
        </w:rPr>
        <w:t xml:space="preserve">8 </w:t>
      </w:r>
      <w:r>
        <w:t xml:space="preserve">Show us, Lord, your mercy, and give us your salvation.</w:t>
      </w:r>
    </w:p>
    <w:p>
      <w:r>
        <w:rPr>
          <w:b/>
        </w:rPr>
        <w:t xml:space="preserve">9 </w:t>
      </w:r>
      <w:r>
        <w:t xml:space="preserve">I will hear what the Lord God will speak in me, because he will speak peace upon his people and upon his holy ones and upon those turning heart toward him.</w:t>
      </w:r>
    </w:p>
    <w:p>
      <w:r>
        <w:rPr>
          <w:b/>
        </w:rPr>
        <w:t xml:space="preserve">10 </w:t>
      </w:r>
      <w:r>
        <w:t xml:space="preserve">Surely his salvation near those fearing him, so that glory may dwell in our land.</w:t>
      </w:r>
    </w:p>
    <w:p>
      <w:r>
        <w:rPr>
          <w:b/>
        </w:rPr>
        <w:t xml:space="preserve">11 </w:t>
      </w:r>
      <w:r>
        <w:t xml:space="preserve">Mercy and truth met together</w:t>
      </w:r>
      <w:r>
        <w:rPr>
          <w:rStyle w:val="FootnoteReference"/>
        </w:rPr>
        <w:footnoteReference w:id="10615"/>
      </w:r>
      <w:r>
        <w:t xml:space="preserve">; righteousness and peace kissed.</w:t>
      </w:r>
    </w:p>
    <w:p>
      <w:r>
        <w:rPr>
          <w:b/>
        </w:rPr>
        <w:t xml:space="preserve">12 </w:t>
      </w:r>
      <w:r>
        <w:t xml:space="preserve">Truth rose from earth, and righteousness looked down from heaven.</w:t>
      </w:r>
    </w:p>
    <w:p>
      <w:r>
        <w:rPr>
          <w:b/>
        </w:rPr>
        <w:t xml:space="preserve">13 </w:t>
      </w:r>
      <w:r>
        <w:t xml:space="preserve">For the Lord will give goodness, and our land will give its fruit.</w:t>
      </w:r>
    </w:p>
    <w:p>
      <w:r>
        <w:rPr>
          <w:b/>
        </w:rPr>
        <w:t xml:space="preserve">14 </w:t>
      </w:r>
      <w:r>
        <w:t xml:space="preserve">Righteousness will go before him and set his footsteps in the way.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85</w:t>
      </w:r>
    </w:p>
    <w:p>
      <w:r>
        <w:rPr>
          <w:b/>
        </w:rPr>
        <w:t xml:space="preserve">1 </w:t>
      </w:r>
      <w:r>
        <w:rPr>
          <w:i/>
        </w:rPr>
        <w:t xml:space="preserve">Prayer of David.</w:t>
      </w:r>
      <w:r>
        <w:br/>
      </w:r>
      <w:r>
        <w:t xml:space="preserve">Incline your ear, Lord, and hear me, because I poor and needy.</w:t>
      </w:r>
    </w:p>
    <w:p>
      <w:r>
        <w:rPr>
          <w:b/>
        </w:rPr>
        <w:t xml:space="preserve">2 </w:t>
      </w:r>
      <w:r>
        <w:t xml:space="preserve">Guard my soul, because I holy; save your servant, my God, hoping on you.</w:t>
      </w:r>
    </w:p>
    <w:p>
      <w:r>
        <w:rPr>
          <w:b/>
        </w:rPr>
        <w:t xml:space="preserve">3 </w:t>
      </w:r>
      <w:r>
        <w:t xml:space="preserve">Have mercy on me, Lord, because to you I will cry whole day.</w:t>
      </w:r>
    </w:p>
    <w:p>
      <w:r>
        <w:rPr>
          <w:b/>
        </w:rPr>
        <w:t xml:space="preserve">4 </w:t>
      </w:r>
      <w:r>
        <w:t xml:space="preserve">Gladden soul of your servant, because to you, Lord, I lifted my soul.</w:t>
      </w:r>
    </w:p>
    <w:p>
      <w:r>
        <w:rPr>
          <w:b/>
        </w:rPr>
        <w:t xml:space="preserve">5 </w:t>
      </w:r>
      <w:r>
        <w:t xml:space="preserve">Because you, Lord, kind and gentle and rich in mercy to all calling on you.</w:t>
      </w:r>
    </w:p>
    <w:p>
      <w:r>
        <w:rPr>
          <w:b/>
        </w:rPr>
        <w:t xml:space="preserve">6 </w:t>
      </w:r>
      <w:r>
        <w:t xml:space="preserve">Give ear, Lord, to my prayer and attend to the voice of my supplication.</w:t>
      </w:r>
    </w:p>
    <w:p>
      <w:r>
        <w:rPr>
          <w:b/>
        </w:rPr>
        <w:t xml:space="preserve">7 </w:t>
      </w:r>
      <w:r>
        <w:t xml:space="preserve">In the day of my affliction I cried to you, because you heard me.</w:t>
      </w:r>
    </w:p>
    <w:p>
      <w:r>
        <w:rPr>
          <w:b/>
        </w:rPr>
        <w:t xml:space="preserve">8 </w:t>
      </w:r>
      <w:r>
        <w:t xml:space="preserve">There is none like you among gods, Lord, and none according to your works.</w:t>
      </w:r>
    </w:p>
    <w:p>
      <w:r>
        <w:rPr>
          <w:b/>
        </w:rPr>
        <w:t xml:space="preserve">9 </w:t>
      </w:r>
      <w:r>
        <w:t xml:space="preserve">All nations, as many as you made, will come and worship before you, Lord, and will glorify your name.</w:t>
      </w:r>
    </w:p>
    <w:p>
      <w:r>
        <w:rPr>
          <w:b/>
        </w:rPr>
        <w:t xml:space="preserve">10 </w:t>
      </w:r>
      <w:r>
        <w:t xml:space="preserve">Because you great and doing wonders; you alone the great God.</w:t>
      </w:r>
    </w:p>
    <w:p>
      <w:r>
        <w:rPr>
          <w:b/>
        </w:rPr>
        <w:t xml:space="preserve">11 </w:t>
      </w:r>
      <w:r>
        <w:t xml:space="preserve">Guide me, Lord, in your way, and I will walk in your truth</w:t>
      </w:r>
      <w:r>
        <w:rPr>
          <w:rStyle w:val="FootnoteReference"/>
        </w:rPr>
        <w:footnoteReference w:id="10616"/>
      </w:r>
      <w:r>
        <w:t xml:space="preserve">; let my heart rejoice to fear your name.</w:t>
      </w:r>
    </w:p>
    <w:p>
      <w:r>
        <w:rPr>
          <w:b/>
        </w:rPr>
        <w:t xml:space="preserve">12 </w:t>
      </w:r>
      <w:r>
        <w:t xml:space="preserve">I will confess to you, Lord my God, with all my heart</w:t>
      </w:r>
      <w:r>
        <w:rPr>
          <w:rStyle w:val="FootnoteReference"/>
        </w:rPr>
        <w:footnoteReference w:id="10617"/>
      </w:r>
      <w:r>
        <w:t xml:space="preserve">, and I will glorify your name forever.</w:t>
      </w:r>
    </w:p>
    <w:p>
      <w:r>
        <w:rPr>
          <w:b/>
        </w:rPr>
        <w:t xml:space="preserve">13 </w:t>
      </w:r>
      <w:r>
        <w:t xml:space="preserve">Because your mercy great upon me, and you rescued my soul from lowest Hades.</w:t>
      </w:r>
    </w:p>
    <w:p>
      <w:r>
        <w:rPr>
          <w:b/>
        </w:rPr>
        <w:t xml:space="preserve">14 </w:t>
      </w:r>
      <w:r>
        <w:t xml:space="preserve">O God, lawless men rose against me, and gathering of strong men sought my soul, and they did not set you before them.</w:t>
      </w:r>
    </w:p>
    <w:p>
      <w:r>
        <w:rPr>
          <w:b/>
        </w:rPr>
        <w:t xml:space="preserve">15 </w:t>
      </w:r>
      <w:r>
        <w:t xml:space="preserve">But you, Lord God, compassionate and merciful, long-suffering and rich in mercy and true.</w:t>
      </w:r>
    </w:p>
    <w:p>
      <w:r>
        <w:rPr>
          <w:b/>
        </w:rPr>
        <w:t xml:space="preserve">16 </w:t>
      </w:r>
      <w:r>
        <w:t xml:space="preserve">Look upon me and have mercy on me; give your strength to your child and save son of your handmaid.</w:t>
      </w:r>
    </w:p>
    <w:p>
      <w:r>
        <w:rPr>
          <w:b/>
        </w:rPr>
        <w:t xml:space="preserve">17 </w:t>
      </w:r>
      <w:r>
        <w:t xml:space="preserve">Do with me sign for good, and let those hating me see and be shamed, because you, Lord, helped me and comforted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86</w:t>
      </w:r>
    </w:p>
    <w:p>
      <w:r>
        <w:rPr>
          <w:b/>
        </w:rPr>
        <w:t xml:space="preserve">1 </w:t>
      </w:r>
      <w:r>
        <w:t xml:space="preserve">For the sons of Korah. Psalm of song. His foundations in holy mountains.</w:t>
      </w:r>
    </w:p>
    <w:p>
      <w:r>
        <w:rPr>
          <w:b/>
        </w:rPr>
        <w:t xml:space="preserve">2 </w:t>
      </w:r>
      <w:r>
        <w:t xml:space="preserve">The Lord loves gates of Zion above all tabernacles of Jacob.</w:t>
      </w:r>
    </w:p>
    <w:p>
      <w:r>
        <w:rPr>
          <w:b/>
        </w:rPr>
        <w:t xml:space="preserve">3 </w:t>
      </w:r>
      <w:r>
        <w:t xml:space="preserve">Glorious things were spoken concerning you, city of God. Interlude.</w:t>
      </w:r>
    </w:p>
    <w:p>
      <w:r>
        <w:rPr>
          <w:b/>
        </w:rPr>
        <w:t xml:space="preserve">4 </w:t>
      </w:r>
      <w:r>
        <w:t xml:space="preserve">I will remember Rahab and Babylon to those knowing me; behold, foreigners and Tyre and people of Ethiopians, these were born there.</w:t>
      </w:r>
    </w:p>
    <w:p>
      <w:r>
        <w:rPr>
          <w:b/>
        </w:rPr>
        <w:t xml:space="preserve">5 </w:t>
      </w:r>
      <w:r>
        <w:t xml:space="preserve">Mother Zion, man will say, and man was born in her, and Most High himself founded her.</w:t>
      </w:r>
    </w:p>
    <w:p>
      <w:r>
        <w:rPr>
          <w:b/>
        </w:rPr>
        <w:t xml:space="preserve">6 </w:t>
      </w:r>
      <w:r>
        <w:t xml:space="preserve">The Lord will recount in the writing of peoples and rulers, these who were born in her. Interlude.</w:t>
      </w:r>
    </w:p>
    <w:p>
      <w:r>
        <w:rPr>
          <w:b/>
        </w:rPr>
        <w:t xml:space="preserve">7 </w:t>
      </w:r>
      <w:r>
        <w:t xml:space="preserve">As of all rejoicing ones, dwelling in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87</w:t>
      </w:r>
    </w:p>
    <w:p>
      <w:r>
        <w:rPr>
          <w:b/>
        </w:rPr>
        <w:t xml:space="preserve">1 </w:t>
      </w:r>
      <w:r>
        <w:rPr>
          <w:i/>
        </w:rPr>
        <w:t xml:space="preserve">Song of psalm for the sons of Korah, for end, concerning Mahalath, for answering, for understanding, of Heman the Israelite.</w:t>
      </w:r>
      <w:r>
        <w:t xml:space="preserve"/>
      </w:r>
    </w:p>
    <w:p>
      <w:r>
        <w:rPr>
          <w:b/>
        </w:rPr>
        <w:t xml:space="preserve">2 </w:t>
      </w:r>
      <w:r>
        <w:t xml:space="preserve">Lord God of my salvation, by day I cried and by night before you.</w:t>
      </w:r>
    </w:p>
    <w:p>
      <w:r>
        <w:rPr>
          <w:b/>
        </w:rPr>
        <w:t xml:space="preserve">3 </w:t>
      </w:r>
      <w:r>
        <w:t xml:space="preserve">Let my prayer enter before you; incline your ear to my supplication, Lord.</w:t>
      </w:r>
    </w:p>
    <w:p>
      <w:r>
        <w:rPr>
          <w:b/>
        </w:rPr>
        <w:t xml:space="preserve">4 </w:t>
      </w:r>
      <w:r>
        <w:t xml:space="preserve">Because my soul was filled with evils, and my life drew near to Hades.</w:t>
      </w:r>
    </w:p>
    <w:p>
      <w:r>
        <w:rPr>
          <w:b/>
        </w:rPr>
        <w:t xml:space="preserve">5 </w:t>
      </w:r>
      <w:r>
        <w:t xml:space="preserve">I was counted with those going down into pit; I became like helpless man among dead, free,</w:t>
      </w:r>
    </w:p>
    <w:p>
      <w:r>
        <w:rPr>
          <w:b/>
        </w:rPr>
        <w:t xml:space="preserve">6 </w:t>
      </w:r>
      <w:r>
        <w:t xml:space="preserve">like wounded ones cast down, sleeping in tomb, whom you no longer remembered and they were thrust away from your hand.</w:t>
      </w:r>
    </w:p>
    <w:p>
      <w:r>
        <w:rPr>
          <w:b/>
        </w:rPr>
        <w:t xml:space="preserve">7 </w:t>
      </w:r>
      <w:r>
        <w:t xml:space="preserve">They set me in lowest pit, in dark places and in the shadow of death.</w:t>
      </w:r>
    </w:p>
    <w:p>
      <w:r>
        <w:rPr>
          <w:b/>
        </w:rPr>
        <w:t xml:space="preserve">8 </w:t>
      </w:r>
      <w:r>
        <w:t xml:space="preserve">Your wrath was fixed upon me, and all your surges you brought upon me. Interlude.</w:t>
      </w:r>
    </w:p>
    <w:p>
      <w:r>
        <w:rPr>
          <w:b/>
        </w:rPr>
        <w:t xml:space="preserve">9 </w:t>
      </w:r>
      <w:r>
        <w:t xml:space="preserve">You removed my acquaintances from me; they made me abomination to themselves. I was handed over and did not go out.</w:t>
      </w:r>
    </w:p>
    <w:p>
      <w:r>
        <w:rPr>
          <w:b/>
        </w:rPr>
        <w:t xml:space="preserve">10 </w:t>
      </w:r>
      <w:r>
        <w:t xml:space="preserve">My eyes grew weak from poverty; I cried to you, Lord, whole day; I spread out my hands to you.</w:t>
      </w:r>
    </w:p>
    <w:p>
      <w:r>
        <w:rPr>
          <w:b/>
        </w:rPr>
        <w:t xml:space="preserve">11 </w:t>
      </w:r>
      <w:r>
        <w:t xml:space="preserve">Will you do wonders for dead, or will physicians raise them and confess to you?</w:t>
      </w:r>
    </w:p>
    <w:p>
      <w:r>
        <w:rPr>
          <w:b/>
        </w:rPr>
        <w:t xml:space="preserve">12 </w:t>
      </w:r>
      <w:r>
        <w:t xml:space="preserve">Will anyone recount your mercy in tomb, and your truth in destruction?</w:t>
      </w:r>
    </w:p>
    <w:p>
      <w:r>
        <w:rPr>
          <w:b/>
        </w:rPr>
        <w:t xml:space="preserve">13 </w:t>
      </w:r>
      <w:r>
        <w:t xml:space="preserve">Will your wonders be known in darkness and your righteousness in forgotten land?</w:t>
      </w:r>
    </w:p>
    <w:p>
      <w:r>
        <w:rPr>
          <w:b/>
        </w:rPr>
        <w:t xml:space="preserve">14 </w:t>
      </w:r>
      <w:r>
        <w:t xml:space="preserve">But I cried to you, Lord, and in morning my prayer will go before you.</w:t>
      </w:r>
    </w:p>
    <w:p>
      <w:r>
        <w:rPr>
          <w:b/>
        </w:rPr>
        <w:t xml:space="preserve">15 </w:t>
      </w:r>
      <w:r>
        <w:t xml:space="preserve">Why, Lord, do you reject my soul? You turn your face away from me.</w:t>
      </w:r>
    </w:p>
    <w:p>
      <w:r>
        <w:rPr>
          <w:b/>
        </w:rPr>
        <w:t xml:space="preserve">16 </w:t>
      </w:r>
      <w:r>
        <w:t xml:space="preserve">I poor and in labors from my youth; having been exalted, I was humbled and came to despair.</w:t>
      </w:r>
    </w:p>
    <w:p>
      <w:r>
        <w:rPr>
          <w:b/>
        </w:rPr>
        <w:t xml:space="preserve">17 </w:t>
      </w:r>
      <w:r>
        <w:t xml:space="preserve">Your angers passed over me, and your terrors troubled me.</w:t>
      </w:r>
    </w:p>
    <w:p>
      <w:r>
        <w:rPr>
          <w:b/>
        </w:rPr>
        <w:t xml:space="preserve">18 </w:t>
      </w:r>
      <w:r>
        <w:t xml:space="preserve">They encircled me like water whole day; together they surrounded me.</w:t>
      </w:r>
    </w:p>
    <w:p>
      <w:r>
        <w:rPr>
          <w:b/>
        </w:rPr>
        <w:t xml:space="preserve">19 </w:t>
      </w:r>
      <w:r>
        <w:t xml:space="preserve">You removed friend and neighbor from me and my acquaintances from misery.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88</w:t>
      </w:r>
    </w:p>
    <w:p>
      <w:r>
        <w:rPr>
          <w:b/>
        </w:rPr>
        <w:t xml:space="preserve">1 </w:t>
      </w:r>
      <w:r>
        <w:rPr>
          <w:i/>
        </w:rPr>
        <w:t xml:space="preserve">For understanding. Of Ethan the Israelite.</w:t>
      </w:r>
      <w:r>
        <w:t xml:space="preserve"/>
      </w:r>
    </w:p>
    <w:p>
      <w:r>
        <w:rPr>
          <w:b/>
        </w:rPr>
        <w:t xml:space="preserve">2 </w:t>
      </w:r>
      <w:r>
        <w:t xml:space="preserve">Your mercies, Lord, forever I will sing; from generation to generation I will declare your truth with my mouth.</w:t>
      </w:r>
    </w:p>
    <w:p>
      <w:r>
        <w:rPr>
          <w:b/>
        </w:rPr>
        <w:t xml:space="preserve">3 </w:t>
      </w:r>
      <w:r>
        <w:t xml:space="preserve">Because you said, Mercy will be built forever; in heavens your truth will be prepared.</w:t>
      </w:r>
    </w:p>
    <w:p>
      <w:r>
        <w:rPr>
          <w:b/>
        </w:rPr>
        <w:t xml:space="preserve">4 </w:t>
      </w:r>
      <w:r>
        <w:t xml:space="preserve">I arranged covenant with my chosen ones; I swore to David my servant,</w:t>
      </w:r>
    </w:p>
    <w:p>
      <w:r>
        <w:rPr>
          <w:b/>
        </w:rPr>
        <w:t xml:space="preserve">5 </w:t>
      </w:r>
      <w:r>
        <w:t xml:space="preserve">Until age I will prepare your seed and build your throne to generation and generation. Interlude.</w:t>
      </w:r>
    </w:p>
    <w:p>
      <w:r>
        <w:rPr>
          <w:b/>
        </w:rPr>
        <w:t xml:space="preserve">6 </w:t>
      </w:r>
      <w:r>
        <w:t xml:space="preserve">Heavens will confess your wonders, Lord, and your truth in the assembly of holy ones.</w:t>
      </w:r>
    </w:p>
    <w:p>
      <w:r>
        <w:rPr>
          <w:b/>
        </w:rPr>
        <w:t xml:space="preserve">7 </w:t>
      </w:r>
      <w:r>
        <w:t xml:space="preserve">Because who in clouds will be made equal to the Lord, and who will be likened to the Lord among sons of God?</w:t>
      </w:r>
    </w:p>
    <w:p>
      <w:r>
        <w:rPr>
          <w:b/>
        </w:rPr>
        <w:t xml:space="preserve">8 </w:t>
      </w:r>
      <w:r>
        <w:t xml:space="preserve">God glorified in the council of holy ones, great and fearful above all around him.</w:t>
      </w:r>
    </w:p>
    <w:p>
      <w:r>
        <w:rPr>
          <w:b/>
        </w:rPr>
        <w:t xml:space="preserve">9 </w:t>
      </w:r>
      <w:r>
        <w:t xml:space="preserve">Lord God of hosts, who like you? Mighty are you, Lord, and your truth around you.</w:t>
      </w:r>
    </w:p>
    <w:p>
      <w:r>
        <w:rPr>
          <w:b/>
        </w:rPr>
        <w:t xml:space="preserve">10 </w:t>
      </w:r>
      <w:r>
        <w:t xml:space="preserve">You rule power of sea, and disturbance of its waves you calm.</w:t>
      </w:r>
    </w:p>
    <w:p>
      <w:r>
        <w:rPr>
          <w:b/>
        </w:rPr>
        <w:t xml:space="preserve">11 </w:t>
      </w:r>
      <w:r>
        <w:t xml:space="preserve">You humbled proud one like a wounded man, and with arm of your power you scattered your enemies.</w:t>
      </w:r>
    </w:p>
    <w:p>
      <w:r>
        <w:rPr>
          <w:b/>
        </w:rPr>
        <w:t xml:space="preserve">12 </w:t>
      </w:r>
      <w:r>
        <w:t xml:space="preserve">Yours the heavens and yours the earth; inhabited world and its fullness, you founded them.</w:t>
      </w:r>
    </w:p>
    <w:p>
      <w:r>
        <w:rPr>
          <w:b/>
        </w:rPr>
        <w:t xml:space="preserve">13 </w:t>
      </w:r>
      <w:r>
        <w:t xml:space="preserve">North and seas you created; Tabor and Hermon will exult in your name.</w:t>
      </w:r>
    </w:p>
    <w:p>
      <w:r>
        <w:rPr>
          <w:b/>
        </w:rPr>
        <w:t xml:space="preserve">14 </w:t>
      </w:r>
      <w:r>
        <w:t xml:space="preserve">Yours the arm with dominion; let your hand be strengthened; let your right hand be exalted.</w:t>
      </w:r>
    </w:p>
    <w:p>
      <w:r>
        <w:rPr>
          <w:b/>
        </w:rPr>
        <w:t xml:space="preserve">15 </w:t>
      </w:r>
      <w:r>
        <w:t xml:space="preserve">Righteousness and judgment are the foundation of your throne; mercy and truth will go before your face.</w:t>
      </w:r>
      <w:r>
        <w:rPr>
          <w:rStyle w:val="FootnoteReference"/>
        </w:rPr>
        <w:footnoteReference w:id="10618"/>
      </w:r>
      <w:r>
        <w:t xml:space="preserve"/>
      </w:r>
    </w:p>
    <w:p>
      <w:r>
        <w:rPr>
          <w:b/>
        </w:rPr>
        <w:t xml:space="preserve">16 </w:t>
      </w:r>
      <w:r>
        <w:t xml:space="preserve">Blessed are the people knowing shout; Lord, in the light of your face they will walk.</w:t>
      </w:r>
    </w:p>
    <w:p>
      <w:r>
        <w:rPr>
          <w:b/>
        </w:rPr>
        <w:t xml:space="preserve">17 </w:t>
      </w:r>
      <w:r>
        <w:t xml:space="preserve">And in your name they will exult whole day, and in your righteousness they will be exalted.</w:t>
      </w:r>
    </w:p>
    <w:p>
      <w:r>
        <w:rPr>
          <w:b/>
        </w:rPr>
        <w:t xml:space="preserve">18 </w:t>
      </w:r>
      <w:r>
        <w:t xml:space="preserve">Because you boast of their power, and in your good pleasure our horn will be exalted.</w:t>
      </w:r>
    </w:p>
    <w:p>
      <w:r>
        <w:rPr>
          <w:b/>
        </w:rPr>
        <w:t xml:space="preserve">19 </w:t>
      </w:r>
      <w:r>
        <w:t xml:space="preserve">Because support belongs to the Lord, and to the Holy One of Israel, our king.</w:t>
      </w:r>
    </w:p>
    <w:p>
      <w:r>
        <w:rPr>
          <w:b/>
        </w:rPr>
        <w:t xml:space="preserve">20 </w:t>
      </w:r>
      <w:r>
        <w:t xml:space="preserve">Then you spoke in vision to your holy ones and said, I set help upon mighty one; I exalted chosen one from my people.</w:t>
      </w:r>
    </w:p>
    <w:p>
      <w:r>
        <w:rPr>
          <w:b/>
        </w:rPr>
        <w:t xml:space="preserve">21 </w:t>
      </w:r>
      <w:r>
        <w:t xml:space="preserve">I found David my servant; with my holy oil I anointed him.</w:t>
      </w:r>
    </w:p>
    <w:p>
      <w:r>
        <w:rPr>
          <w:b/>
        </w:rPr>
        <w:t xml:space="preserve">22 </w:t>
      </w:r>
      <w:r>
        <w:t xml:space="preserve">For my hand will support him, and my arm will strengthen him.</w:t>
      </w:r>
    </w:p>
    <w:p>
      <w:r>
        <w:rPr>
          <w:b/>
        </w:rPr>
        <w:t xml:space="preserve">23 </w:t>
      </w:r>
      <w:r>
        <w:t xml:space="preserve">Enemy will not profit in him, and son of lawlessness will not add to harm him.</w:t>
      </w:r>
    </w:p>
    <w:p>
      <w:r>
        <w:rPr>
          <w:b/>
        </w:rPr>
        <w:t xml:space="preserve">24 </w:t>
      </w:r>
      <w:r>
        <w:t xml:space="preserve">And I will cut down his enemies from before him, and those hating him I will rout.</w:t>
      </w:r>
    </w:p>
    <w:p>
      <w:r>
        <w:rPr>
          <w:b/>
        </w:rPr>
        <w:t xml:space="preserve">25 </w:t>
      </w:r>
      <w:r>
        <w:t xml:space="preserve">And my truth and my mercy with him, and in my name his horn will be exalted.</w:t>
      </w:r>
    </w:p>
    <w:p>
      <w:r>
        <w:rPr>
          <w:b/>
        </w:rPr>
        <w:t xml:space="preserve">26 </w:t>
      </w:r>
      <w:r>
        <w:t xml:space="preserve">And I will set his hand in sea and his right hand in rivers.</w:t>
      </w:r>
    </w:p>
    <w:p>
      <w:r>
        <w:rPr>
          <w:b/>
        </w:rPr>
        <w:t xml:space="preserve">27 </w:t>
      </w:r>
      <w:r>
        <w:t xml:space="preserve">He will call upon me, You are my father, my God and supporter of my salvation.</w:t>
      </w:r>
    </w:p>
    <w:p>
      <w:r>
        <w:rPr>
          <w:b/>
        </w:rPr>
        <w:t xml:space="preserve">28 </w:t>
      </w:r>
      <w:r>
        <w:t xml:space="preserve">And I will set him firstborn, high above kings of the earth.</w:t>
      </w:r>
    </w:p>
    <w:p>
      <w:r>
        <w:rPr>
          <w:b/>
        </w:rPr>
        <w:t xml:space="preserve">29 </w:t>
      </w:r>
      <w:r>
        <w:t xml:space="preserve">Forever I will keep my mercy for him, and my covenant faithful to him.</w:t>
      </w:r>
    </w:p>
    <w:p>
      <w:r>
        <w:rPr>
          <w:b/>
        </w:rPr>
        <w:t xml:space="preserve">30 </w:t>
      </w:r>
      <w:r>
        <w:t xml:space="preserve">And I will set his seed forever and ever and his throne as days of heaven.</w:t>
      </w:r>
    </w:p>
    <w:p>
      <w:r>
        <w:rPr>
          <w:b/>
        </w:rPr>
        <w:t xml:space="preserve">31 </w:t>
      </w:r>
      <w:r>
        <w:t xml:space="preserve">If his sons forsake my law and do not walk in my judgments,</w:t>
      </w:r>
    </w:p>
    <w:p>
      <w:r>
        <w:rPr>
          <w:b/>
        </w:rPr>
        <w:t xml:space="preserve">32 </w:t>
      </w:r>
      <w:r>
        <w:t xml:space="preserve">if they profane my ordinances and do not keep my commandments,</w:t>
      </w:r>
    </w:p>
    <w:p>
      <w:r>
        <w:rPr>
          <w:b/>
        </w:rPr>
        <w:t xml:space="preserve">33 </w:t>
      </w:r>
      <w:r>
        <w:t xml:space="preserve">I will visit their lawlessnesses with rod and their sins with whips.</w:t>
      </w:r>
    </w:p>
    <w:p>
      <w:r>
        <w:rPr>
          <w:b/>
        </w:rPr>
        <w:t xml:space="preserve">34 </w:t>
      </w:r>
      <w:r>
        <w:t xml:space="preserve">But my mercy I will certainly not scatter from him, nor will I act unjustly in my truth.</w:t>
      </w:r>
    </w:p>
    <w:p>
      <w:r>
        <w:rPr>
          <w:b/>
        </w:rPr>
        <w:t xml:space="preserve">35 </w:t>
      </w:r>
      <w:r>
        <w:t xml:space="preserve">Nor will I profane my covenant, and what goes out through my lips I will certainly not set aside.</w:t>
      </w:r>
    </w:p>
    <w:p>
      <w:r>
        <w:rPr>
          <w:b/>
        </w:rPr>
        <w:t xml:space="preserve">36 </w:t>
      </w:r>
      <w:r>
        <w:t xml:space="preserve">Once I swore in my holy place: will I lie to David?</w:t>
      </w:r>
    </w:p>
    <w:p>
      <w:r>
        <w:rPr>
          <w:b/>
        </w:rPr>
        <w:t xml:space="preserve">37 </w:t>
      </w:r>
      <w:r>
        <w:t xml:space="preserve">His seed remains forever, and his throne as sun before me,</w:t>
      </w:r>
    </w:p>
    <w:p>
      <w:r>
        <w:rPr>
          <w:b/>
        </w:rPr>
        <w:t xml:space="preserve">38 </w:t>
      </w:r>
      <w:r>
        <w:t xml:space="preserve">and as moon established forever, and witness in heaven faithful. Interlude.</w:t>
      </w:r>
    </w:p>
    <w:p>
      <w:r>
        <w:rPr>
          <w:b/>
        </w:rPr>
        <w:t xml:space="preserve">39 </w:t>
      </w:r>
      <w:r>
        <w:t xml:space="preserve">But you rejected and despised; you deferred your anointed.</w:t>
      </w:r>
    </w:p>
    <w:p>
      <w:r>
        <w:rPr>
          <w:b/>
        </w:rPr>
        <w:t xml:space="preserve">40 </w:t>
      </w:r>
      <w:r>
        <w:t xml:space="preserve">You overturned covenant of your servant; you profaned his sanctuary to earth.</w:t>
      </w:r>
    </w:p>
    <w:p>
      <w:r>
        <w:rPr>
          <w:b/>
        </w:rPr>
        <w:t xml:space="preserve">41 </w:t>
      </w:r>
      <w:r>
        <w:t xml:space="preserve">You pulled down all his fences; you made his strongholds fear.</w:t>
      </w:r>
    </w:p>
    <w:p>
      <w:r>
        <w:rPr>
          <w:b/>
        </w:rPr>
        <w:t xml:space="preserve">42 </w:t>
      </w:r>
      <w:r>
        <w:t xml:space="preserve">All passing by road plundered him; he became a reproach to his neighbors.</w:t>
      </w:r>
    </w:p>
    <w:p>
      <w:r>
        <w:rPr>
          <w:b/>
        </w:rPr>
        <w:t xml:space="preserve">43 </w:t>
      </w:r>
      <w:r>
        <w:t xml:space="preserve">You exalted right hand of his enemies; you gladdened all his enemies.</w:t>
      </w:r>
    </w:p>
    <w:p>
      <w:r>
        <w:rPr>
          <w:b/>
        </w:rPr>
        <w:t xml:space="preserve">44 </w:t>
      </w:r>
      <w:r>
        <w:t xml:space="preserve">You turned back help of his sword and did not support him in war.</w:t>
      </w:r>
    </w:p>
    <w:p>
      <w:r>
        <w:rPr>
          <w:b/>
        </w:rPr>
        <w:t xml:space="preserve">45 </w:t>
      </w:r>
      <w:r>
        <w:t xml:space="preserve">You dissolved him from cleansing; his throne you shattered to earth.</w:t>
      </w:r>
    </w:p>
    <w:p>
      <w:r>
        <w:rPr>
          <w:b/>
        </w:rPr>
        <w:t xml:space="preserve">46 </w:t>
      </w:r>
      <w:r>
        <w:t xml:space="preserve">You shortened days of his time; you poured out shame upon him. Interlude.</w:t>
      </w:r>
    </w:p>
    <w:p>
      <w:r>
        <w:rPr>
          <w:b/>
        </w:rPr>
        <w:t xml:space="preserve">47 </w:t>
      </w:r>
      <w:r>
        <w:t xml:space="preserve">How long, Lord? Will you turn away to end? Will your anger burn like fire?</w:t>
      </w:r>
    </w:p>
    <w:p>
      <w:r>
        <w:rPr>
          <w:b/>
        </w:rPr>
        <w:t xml:space="preserve">48 </w:t>
      </w:r>
      <w:r>
        <w:t xml:space="preserve">Remember what my substance is; for not in vain did you create all sons of men.</w:t>
      </w:r>
    </w:p>
    <w:p>
      <w:r>
        <w:rPr>
          <w:b/>
        </w:rPr>
        <w:t xml:space="preserve">49 </w:t>
      </w:r>
      <w:r>
        <w:t xml:space="preserve">Who is man who will live and not see death? Will he rescue his soul from the hand of Hades? Interlude.</w:t>
      </w:r>
    </w:p>
    <w:p>
      <w:r>
        <w:rPr>
          <w:b/>
        </w:rPr>
        <w:t xml:space="preserve">50 </w:t>
      </w:r>
      <w:r>
        <w:t xml:space="preserve">Where are your former mercies, Lord, which you swore to David in your truth?</w:t>
      </w:r>
    </w:p>
    <w:p>
      <w:r>
        <w:rPr>
          <w:b/>
        </w:rPr>
        <w:t xml:space="preserve">51 </w:t>
      </w:r>
      <w:r>
        <w:t xml:space="preserve">Remember, Lord, reproach of your servants, which I bore in my bosom from many nations,</w:t>
      </w:r>
    </w:p>
    <w:p>
      <w:r>
        <w:rPr>
          <w:b/>
        </w:rPr>
        <w:t xml:space="preserve">52 </w:t>
      </w:r>
      <w:r>
        <w:t xml:space="preserve">with which your enemies reproached, Lord, with which they reproached exchange of your anointed.</w:t>
      </w:r>
    </w:p>
    <w:p>
      <w:r>
        <w:rPr>
          <w:b/>
        </w:rPr>
        <w:t xml:space="preserve">53 </w:t>
      </w:r>
      <w:r>
        <w:t xml:space="preserve">Blessed is the Lord forever. Amen, amen.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89</w:t>
      </w:r>
    </w:p>
    <w:p>
      <w:r>
        <w:rPr>
          <w:b/>
        </w:rPr>
        <w:t xml:space="preserve">1 </w:t>
      </w:r>
      <w:r>
        <w:rPr>
          <w:i/>
        </w:rPr>
        <w:t xml:space="preserve">Prayer of Moses, man of God.</w:t>
      </w:r>
      <w:r>
        <w:br/>
      </w:r>
      <w:r>
        <w:t xml:space="preserve">Lord, you became refuge to us in generation and generation.</w:t>
      </w:r>
    </w:p>
    <w:p>
      <w:r>
        <w:rPr>
          <w:b/>
        </w:rPr>
        <w:t xml:space="preserve">2 </w:t>
      </w:r>
      <w:r>
        <w:t xml:space="preserve">Before mountains were born and earth and inhabited world were formed, from age until age you are.</w:t>
      </w:r>
    </w:p>
    <w:p>
      <w:r>
        <w:rPr>
          <w:b/>
        </w:rPr>
        <w:t xml:space="preserve">3 </w:t>
      </w:r>
      <w:r>
        <w:t xml:space="preserve">Do not turn man away into humiliation; and you said, Return, sons of men.</w:t>
      </w:r>
    </w:p>
    <w:p>
      <w:r>
        <w:rPr>
          <w:b/>
        </w:rPr>
        <w:t xml:space="preserve">4 </w:t>
      </w:r>
      <w:r>
        <w:t xml:space="preserve">Because thousand years in your eyes like yesterday day that passed and like watch in night.</w:t>
      </w:r>
    </w:p>
    <w:p>
      <w:r>
        <w:rPr>
          <w:b/>
        </w:rPr>
        <w:t xml:space="preserve">5 </w:t>
      </w:r>
      <w:r>
        <w:t xml:space="preserve">Their despised things will be years; in morning like grass let it pass away.</w:t>
      </w:r>
    </w:p>
    <w:p>
      <w:r>
        <w:rPr>
          <w:b/>
        </w:rPr>
        <w:t xml:space="preserve">6 </w:t>
      </w:r>
      <w:r>
        <w:t xml:space="preserve">In morning let it flower and pass away; in evening let it fall, grow hard, and dry up.</w:t>
      </w:r>
    </w:p>
    <w:p>
      <w:r>
        <w:rPr>
          <w:b/>
        </w:rPr>
        <w:t xml:space="preserve">7 </w:t>
      </w:r>
      <w:r>
        <w:t xml:space="preserve">Because we failed in your anger and in your fury we were troubled.</w:t>
      </w:r>
    </w:p>
    <w:p>
      <w:r>
        <w:rPr>
          <w:b/>
        </w:rPr>
        <w:t xml:space="preserve">8 </w:t>
      </w:r>
      <w:r>
        <w:t xml:space="preserve">You set our lawlessnesses before you, our age in the light of your face.</w:t>
      </w:r>
    </w:p>
    <w:p>
      <w:r>
        <w:rPr>
          <w:b/>
        </w:rPr>
        <w:t xml:space="preserve">9 </w:t>
      </w:r>
      <w:r>
        <w:t xml:space="preserve">Because all our days failed, and in your anger we failed; our years I kept meditating like a spider.</w:t>
      </w:r>
    </w:p>
    <w:p>
      <w:r>
        <w:rPr>
          <w:b/>
        </w:rPr>
        <w:t xml:space="preserve">10 </w:t>
      </w:r>
      <w:r>
        <w:t xml:space="preserve">Days of our years, in them seventy years; and if in dominions, eighty years; and more of them labor and pain, because meekness came upon us and we will be disciplined.</w:t>
      </w:r>
    </w:p>
    <w:p>
      <w:r>
        <w:rPr>
          <w:b/>
        </w:rPr>
        <w:t xml:space="preserve">11 </w:t>
      </w:r>
      <w:r>
        <w:t xml:space="preserve">Who knows strength of your anger and from your fear your fury?</w:t>
      </w:r>
    </w:p>
    <w:p>
      <w:r>
        <w:rPr>
          <w:b/>
        </w:rPr>
        <w:t xml:space="preserve">12 </w:t>
      </w:r>
      <w:r>
        <w:t xml:space="preserve">To number your right hand, thus make known, and those bound in heart in wisdom.</w:t>
      </w:r>
    </w:p>
    <w:p>
      <w:r>
        <w:rPr>
          <w:b/>
        </w:rPr>
        <w:t xml:space="preserve">13 </w:t>
      </w:r>
      <w:r>
        <w:t xml:space="preserve">Turn back, Lord, how long, and be comforted over your servants.</w:t>
      </w:r>
    </w:p>
    <w:p>
      <w:r>
        <w:rPr>
          <w:b/>
        </w:rPr>
        <w:t xml:space="preserve">14 </w:t>
      </w:r>
      <w:r>
        <w:t xml:space="preserve">We were filled in morning with your mercy</w:t>
      </w:r>
      <w:r>
        <w:rPr>
          <w:rStyle w:val="FootnoteReference"/>
        </w:rPr>
        <w:footnoteReference w:id="10619"/>
      </w:r>
      <w:r>
        <w:t xml:space="preserve">, and we exulted and rejoiced in all our days.</w:t>
      </w:r>
    </w:p>
    <w:p>
      <w:r>
        <w:rPr>
          <w:b/>
        </w:rPr>
        <w:t xml:space="preserve">15 </w:t>
      </w:r>
      <w:r>
        <w:t xml:space="preserve">We rejoiced for days in which you humbled us, years in which we saw evils.</w:t>
      </w:r>
    </w:p>
    <w:p>
      <w:r>
        <w:rPr>
          <w:b/>
        </w:rPr>
        <w:t xml:space="preserve">16 </w:t>
      </w:r>
      <w:r>
        <w:t xml:space="preserve">And look upon your servants and your works and guide their sons.</w:t>
      </w:r>
    </w:p>
    <w:p>
      <w:r>
        <w:rPr>
          <w:b/>
        </w:rPr>
        <w:t xml:space="preserve">17 </w:t>
      </w:r>
      <w:r>
        <w:t xml:space="preserve">And let brightness of the Lord our God be upon us, and works of our hands direct upon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90</w:t>
      </w:r>
    </w:p>
    <w:p>
      <w:r>
        <w:rPr>
          <w:b/>
        </w:rPr>
        <w:t xml:space="preserve">1 </w:t>
      </w:r>
      <w:r>
        <w:t xml:space="preserve">Praise, song of David. One dwelling in help of Most High will lodge in the shelter of the God of heaven.</w:t>
      </w:r>
    </w:p>
    <w:p>
      <w:r>
        <w:rPr>
          <w:b/>
        </w:rPr>
        <w:t xml:space="preserve">2 </w:t>
      </w:r>
      <w:r>
        <w:t xml:space="preserve">He will say to the Lord, You are my supporter and my refuge, my God; I will hope on him.</w:t>
      </w:r>
    </w:p>
    <w:p>
      <w:r>
        <w:rPr>
          <w:b/>
        </w:rPr>
        <w:t xml:space="preserve">3 </w:t>
      </w:r>
      <w:r>
        <w:t xml:space="preserve">Because he will rescue me from the snare of hunters and from troubled word.</w:t>
      </w:r>
    </w:p>
    <w:p>
      <w:r>
        <w:rPr>
          <w:b/>
        </w:rPr>
        <w:t xml:space="preserve">4 </w:t>
      </w:r>
      <w:r>
        <w:t xml:space="preserve">With his shoulders he will overshadow you, and under his wings you will hope; his truth will encircle you with shield.</w:t>
      </w:r>
    </w:p>
    <w:p>
      <w:r>
        <w:rPr>
          <w:b/>
        </w:rPr>
        <w:t xml:space="preserve">5 </w:t>
      </w:r>
      <w:r>
        <w:t xml:space="preserve">You will not fear from night fear, from arrow flying by day,</w:t>
      </w:r>
    </w:p>
    <w:p>
      <w:r>
        <w:rPr>
          <w:b/>
        </w:rPr>
        <w:t xml:space="preserve">6 </w:t>
      </w:r>
      <w:r>
        <w:t xml:space="preserve">from thing passing in darkness, from mishap and midday demon.</w:t>
      </w:r>
    </w:p>
    <w:p>
      <w:r>
        <w:rPr>
          <w:b/>
        </w:rPr>
        <w:t xml:space="preserve">7 </w:t>
      </w:r>
      <w:r>
        <w:t xml:space="preserve">A thousand will fall from your side and ten thousand from your right, but it will not come near you.</w:t>
      </w:r>
    </w:p>
    <w:p>
      <w:r>
        <w:rPr>
          <w:b/>
        </w:rPr>
        <w:t xml:space="preserve">8 </w:t>
      </w:r>
      <w:r>
        <w:t xml:space="preserve">Only with your eyes you will observe and see the repayment of sinners.</w:t>
      </w:r>
      <w:r>
        <w:rPr>
          <w:rStyle w:val="FootnoteReference"/>
        </w:rPr>
        <w:footnoteReference w:id="10620"/>
      </w:r>
      <w:r>
        <w:t xml:space="preserve"/>
      </w:r>
    </w:p>
    <w:p>
      <w:r>
        <w:rPr>
          <w:b/>
        </w:rPr>
        <w:t xml:space="preserve">9 </w:t>
      </w:r>
      <w:r>
        <w:t xml:space="preserve">Because you, Lord, my hope; you made Most High your refuge.</w:t>
      </w:r>
    </w:p>
    <w:p>
      <w:r>
        <w:rPr>
          <w:b/>
        </w:rPr>
        <w:t xml:space="preserve">10 </w:t>
      </w:r>
      <w:r>
        <w:t xml:space="preserve">Evils will not come near you, and scourge will not draw near your tent.</w:t>
      </w:r>
    </w:p>
    <w:p>
      <w:r>
        <w:rPr>
          <w:b/>
        </w:rPr>
        <w:t xml:space="preserve">11 </w:t>
      </w:r>
      <w:r>
        <w:t xml:space="preserve">Because he will command his angels concerning you, to guard you in all your ways.</w:t>
      </w:r>
    </w:p>
    <w:p>
      <w:r>
        <w:rPr>
          <w:b/>
        </w:rPr>
        <w:t xml:space="preserve">12 </w:t>
      </w:r>
      <w:r>
        <w:t xml:space="preserve">On hands they will carry you, lest you strike your foot against stone.</w:t>
      </w:r>
    </w:p>
    <w:p>
      <w:r>
        <w:rPr>
          <w:b/>
        </w:rPr>
        <w:t xml:space="preserve">13 </w:t>
      </w:r>
      <w:r>
        <w:t xml:space="preserve">You will step on asp and basilisk and trample lion and dragon.</w:t>
      </w:r>
    </w:p>
    <w:p>
      <w:r>
        <w:rPr>
          <w:b/>
        </w:rPr>
        <w:t xml:space="preserve">14 </w:t>
      </w:r>
      <w:r>
        <w:t xml:space="preserve">Because he hoped on me, and I will rescue him; I will shelter him, because he knew my name.</w:t>
      </w:r>
    </w:p>
    <w:p>
      <w:r>
        <w:rPr>
          <w:b/>
        </w:rPr>
        <w:t xml:space="preserve">15 </w:t>
      </w:r>
      <w:r>
        <w:t xml:space="preserve">He will call upon me, and I will hear him; I am with him in affliction, and I will deliver and glorify him.</w:t>
      </w:r>
    </w:p>
    <w:p>
      <w:r>
        <w:rPr>
          <w:b/>
        </w:rPr>
        <w:t xml:space="preserve">16 </w:t>
      </w:r>
      <w:r>
        <w:t xml:space="preserve">With length of days I will fill him and show him my salvation.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91</w:t>
      </w:r>
    </w:p>
    <w:p>
      <w:r>
        <w:rPr>
          <w:b/>
        </w:rPr>
        <w:t xml:space="preserve">1 </w:t>
      </w:r>
      <w:r>
        <w:rPr>
          <w:i/>
        </w:rPr>
        <w:t xml:space="preserve">Psalm, song for the day of Sabbath.</w:t>
      </w:r>
      <w:r>
        <w:t xml:space="preserve"/>
      </w:r>
    </w:p>
    <w:p>
      <w:r>
        <w:rPr>
          <w:b/>
        </w:rPr>
        <w:t xml:space="preserve">2 </w:t>
      </w:r>
      <w:r>
        <w:t xml:space="preserve">Good thing to confess to the Lord and sing to your name, Most High,</w:t>
      </w:r>
    </w:p>
    <w:p>
      <w:r>
        <w:rPr>
          <w:b/>
        </w:rPr>
        <w:t xml:space="preserve">3 </w:t>
      </w:r>
      <w:r>
        <w:t xml:space="preserve">to proclaim in morning your mercy and your truth by night,</w:t>
      </w:r>
    </w:p>
    <w:p>
      <w:r>
        <w:rPr>
          <w:b/>
        </w:rPr>
        <w:t xml:space="preserve">4 </w:t>
      </w:r>
      <w:r>
        <w:t xml:space="preserve">on ten-stringed psaltery, with song on lyre.</w:t>
      </w:r>
    </w:p>
    <w:p>
      <w:r>
        <w:rPr>
          <w:b/>
        </w:rPr>
        <w:t xml:space="preserve">5 </w:t>
      </w:r>
      <w:r>
        <w:t xml:space="preserve">Because you gladdened me, Lord, in your workmanship, and in the works of your hands I will exult.</w:t>
      </w:r>
    </w:p>
    <w:p>
      <w:r>
        <w:rPr>
          <w:b/>
        </w:rPr>
        <w:t xml:space="preserve">6 </w:t>
      </w:r>
      <w:r>
        <w:t xml:space="preserve">How your works were magnified, Lord; your thoughts were made very deep.</w:t>
      </w:r>
    </w:p>
    <w:p>
      <w:r>
        <w:rPr>
          <w:b/>
        </w:rPr>
        <w:t xml:space="preserve">7 </w:t>
      </w:r>
      <w:r>
        <w:t xml:space="preserve">Foolish man will not know, and senseless man will not understand these things:</w:t>
      </w:r>
    </w:p>
    <w:p>
      <w:r>
        <w:rPr>
          <w:b/>
        </w:rPr>
        <w:t xml:space="preserve">8 </w:t>
      </w:r>
      <w:r>
        <w:t xml:space="preserve">when sinners spring up like grass and all workers of lawlessness peered out, so that they might be destroyed forever and ever.</w:t>
      </w:r>
    </w:p>
    <w:p>
      <w:r>
        <w:rPr>
          <w:b/>
        </w:rPr>
        <w:t xml:space="preserve">9 </w:t>
      </w:r>
      <w:r>
        <w:t xml:space="preserve">But you, Most High</w:t>
      </w:r>
      <w:r>
        <w:rPr>
          <w:rStyle w:val="FootnoteReference"/>
        </w:rPr>
        <w:footnoteReference w:id="10621"/>
      </w:r>
      <w:r>
        <w:t xml:space="preserve"> forever, Lord.</w:t>
      </w:r>
    </w:p>
    <w:p>
      <w:r>
        <w:rPr>
          <w:b/>
        </w:rPr>
        <w:t xml:space="preserve">10 </w:t>
      </w:r>
      <w:r>
        <w:t xml:space="preserve">Because behold, your enemies will perish, and all workers of lawlessness will be scattered.</w:t>
      </w:r>
    </w:p>
    <w:p>
      <w:r>
        <w:rPr>
          <w:b/>
        </w:rPr>
        <w:t xml:space="preserve">11 </w:t>
      </w:r>
      <w:r>
        <w:t xml:space="preserve">And my horn will be exalted like unicorn, and my old age in rich oil.</w:t>
      </w:r>
    </w:p>
    <w:p>
      <w:r>
        <w:rPr>
          <w:b/>
        </w:rPr>
        <w:t xml:space="preserve">12 </w:t>
      </w:r>
      <w:r>
        <w:t xml:space="preserve">And my eye looked upon my enemies, and on those rising against me doing evil my ear will hear.</w:t>
      </w:r>
    </w:p>
    <w:p>
      <w:r>
        <w:rPr>
          <w:b/>
        </w:rPr>
        <w:t xml:space="preserve">13 </w:t>
      </w:r>
      <w:r>
        <w:t xml:space="preserve">The righteous one will flower like a palm tree; like a cedar in Lebanon he will multiply.</w:t>
      </w:r>
    </w:p>
    <w:p>
      <w:r>
        <w:rPr>
          <w:b/>
        </w:rPr>
        <w:t xml:space="preserve">14 </w:t>
      </w:r>
      <w:r>
        <w:t xml:space="preserve">Planted in the house of the Lord, in the courts of our God they will flower.</w:t>
      </w:r>
    </w:p>
    <w:p>
      <w:r>
        <w:rPr>
          <w:b/>
        </w:rPr>
        <w:t xml:space="preserve">15 </w:t>
      </w:r>
      <w:r>
        <w:t xml:space="preserve">They will still multiply in rich old age and be prospering,</w:t>
      </w:r>
    </w:p>
    <w:p>
      <w:r>
        <w:rPr>
          <w:b/>
        </w:rPr>
        <w:t xml:space="preserve">16 </w:t>
      </w:r>
      <w:r>
        <w:t xml:space="preserve">to declare that the Lord my God is upright, and there is no injustice in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92</w:t>
      </w:r>
    </w:p>
    <w:p>
      <w:r>
        <w:rPr>
          <w:b/>
        </w:rPr>
        <w:t xml:space="preserve">1 </w:t>
      </w:r>
      <w:r>
        <w:t xml:space="preserve">For day before Sabbath, when earth was settled. Praise, song of David. The Lord reigned; he clothed himself with beauty, the Lord clothed himself with power and girded himself; for he also made firm inhabited world which will not be shaken.</w:t>
      </w:r>
    </w:p>
    <w:p>
      <w:r>
        <w:rPr>
          <w:b/>
        </w:rPr>
        <w:t xml:space="preserve">2 </w:t>
      </w:r>
      <w:r>
        <w:t xml:space="preserve">Your throne ready from then; from age you are.</w:t>
      </w:r>
    </w:p>
    <w:p>
      <w:r>
        <w:rPr>
          <w:b/>
        </w:rPr>
        <w:t xml:space="preserve">3 </w:t>
      </w:r>
      <w:r>
        <w:t xml:space="preserve">Rivers lifted up, Lord, rivers lifted up their voices.</w:t>
      </w:r>
    </w:p>
    <w:p>
      <w:r>
        <w:rPr>
          <w:b/>
        </w:rPr>
        <w:t xml:space="preserve">4 </w:t>
      </w:r>
      <w:r>
        <w:t xml:space="preserve">From voices of many waters, wondrous the surges of sea; wondrous in heights Lord.</w:t>
      </w:r>
    </w:p>
    <w:p>
      <w:r>
        <w:rPr>
          <w:b/>
        </w:rPr>
        <w:t xml:space="preserve">5 </w:t>
      </w:r>
      <w:r>
        <w:t xml:space="preserve">Your testimonies were made very faithful; holiness fits your house, Lord, for the length of days.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93</w:t>
      </w:r>
    </w:p>
    <w:p>
      <w:r>
        <w:rPr>
          <w:b/>
        </w:rPr>
        <w:t xml:space="preserve">1 </w:t>
      </w:r>
      <w:r>
        <w:rPr>
          <w:i/>
        </w:rPr>
        <w:t xml:space="preserve">Psalm of David, fourth of Sabbaths.</w:t>
      </w:r>
      <w:r>
        <w:br/>
      </w:r>
      <w:r>
        <w:t xml:space="preserve">God of vengeances, Lord</w:t>
      </w:r>
      <w:r>
        <w:rPr>
          <w:rStyle w:val="FootnoteReference"/>
        </w:rPr>
        <w:footnoteReference w:id="10622"/>
      </w:r>
      <w:r>
        <w:t xml:space="preserve">; God of vengeances spoke openly.</w:t>
      </w:r>
    </w:p>
    <w:p>
      <w:r>
        <w:rPr>
          <w:b/>
        </w:rPr>
        <w:t xml:space="preserve">2 </w:t>
      </w:r>
      <w:r>
        <w:t xml:space="preserve">Be exalted, judge of earth; repay recompense to proud ones.</w:t>
      </w:r>
    </w:p>
    <w:p>
      <w:r>
        <w:rPr>
          <w:b/>
        </w:rPr>
        <w:t xml:space="preserve">3 </w:t>
      </w:r>
      <w:r>
        <w:t xml:space="preserve">How long, sinners, Lord, how long will sinners boast?</w:t>
      </w:r>
    </w:p>
    <w:p>
      <w:r>
        <w:rPr>
          <w:b/>
        </w:rPr>
        <w:t xml:space="preserve">4 </w:t>
      </w:r>
      <w:r>
        <w:t xml:space="preserve">They will utter and speak injustice; all workers of lawlessness will speak.</w:t>
      </w:r>
    </w:p>
    <w:p>
      <w:r>
        <w:rPr>
          <w:b/>
        </w:rPr>
        <w:t xml:space="preserve">5 </w:t>
      </w:r>
      <w:r>
        <w:t xml:space="preserve">Your people, Lord, they humbled, and your inheritance they afflicted.</w:t>
      </w:r>
    </w:p>
    <w:p>
      <w:r>
        <w:rPr>
          <w:b/>
        </w:rPr>
        <w:t xml:space="preserve">6 </w:t>
      </w:r>
      <w:r>
        <w:t xml:space="preserve">Widow and sojourner they killed, and orphans they murdered.</w:t>
      </w:r>
    </w:p>
    <w:p>
      <w:r>
        <w:rPr>
          <w:b/>
        </w:rPr>
        <w:t xml:space="preserve">7 </w:t>
      </w:r>
      <w:r>
        <w:t xml:space="preserve">And they said, the Lord will not see, nor will God of Jacob understand.</w:t>
      </w:r>
    </w:p>
    <w:p>
      <w:r>
        <w:rPr>
          <w:b/>
        </w:rPr>
        <w:t xml:space="preserve">8 </w:t>
      </w:r>
      <w:r>
        <w:t xml:space="preserve">Understand now, foolish ones among people, and senseless ones, when will you understand?</w:t>
      </w:r>
    </w:p>
    <w:p>
      <w:r>
        <w:rPr>
          <w:b/>
        </w:rPr>
        <w:t xml:space="preserve">9 </w:t>
      </w:r>
      <w:r>
        <w:t xml:space="preserve">One planting ear, does he not hear? One forming eye, does he not perceive?</w:t>
      </w:r>
    </w:p>
    <w:p>
      <w:r>
        <w:rPr>
          <w:b/>
        </w:rPr>
        <w:t xml:space="preserve">10 </w:t>
      </w:r>
      <w:r>
        <w:t xml:space="preserve">One disciplining nations, will he not reprove? One teaching man knowledge?</w:t>
      </w:r>
    </w:p>
    <w:p>
      <w:r>
        <w:rPr>
          <w:b/>
        </w:rPr>
        <w:t xml:space="preserve">11 </w:t>
      </w:r>
      <w:r>
        <w:t xml:space="preserve">The Lord knows thoughts of men, that they are vain.</w:t>
      </w:r>
    </w:p>
    <w:p>
      <w:r>
        <w:rPr>
          <w:b/>
        </w:rPr>
        <w:t xml:space="preserve">12 </w:t>
      </w:r>
      <w:r>
        <w:t xml:space="preserve">Blessed is the man whom you discipline, Lord, and teach from your law,</w:t>
      </w:r>
    </w:p>
    <w:p>
      <w:r>
        <w:rPr>
          <w:b/>
        </w:rPr>
        <w:t xml:space="preserve">13 </w:t>
      </w:r>
      <w:r>
        <w:t xml:space="preserve">to make him gentle away from evil days until pit be dug for sinner.</w:t>
      </w:r>
    </w:p>
    <w:p>
      <w:r>
        <w:rPr>
          <w:b/>
        </w:rPr>
        <w:t xml:space="preserve">14 </w:t>
      </w:r>
      <w:r>
        <w:t xml:space="preserve">Because the Lord will not reject his people and will not forsake his inheritance,</w:t>
      </w:r>
    </w:p>
    <w:p>
      <w:r>
        <w:rPr>
          <w:b/>
        </w:rPr>
        <w:t xml:space="preserve">15 </w:t>
      </w:r>
      <w:r>
        <w:t xml:space="preserve">until righteousness returns to judgment, and all straight in heart close behind it. Interlude.</w:t>
      </w:r>
    </w:p>
    <w:p>
      <w:r>
        <w:rPr>
          <w:b/>
        </w:rPr>
        <w:t xml:space="preserve">16 </w:t>
      </w:r>
      <w:r>
        <w:t xml:space="preserve">Who will rise for me against evil-doers, or who will stand with me against workers of lawlessness?</w:t>
      </w:r>
    </w:p>
    <w:p>
      <w:r>
        <w:rPr>
          <w:b/>
        </w:rPr>
        <w:t xml:space="preserve">17 </w:t>
      </w:r>
      <w:r>
        <w:t xml:space="preserve">If not that the Lord helped me, my soul would almost have dwelt in Hades.</w:t>
      </w:r>
    </w:p>
    <w:p>
      <w:r>
        <w:rPr>
          <w:b/>
        </w:rPr>
        <w:t xml:space="preserve">18 </w:t>
      </w:r>
      <w:r>
        <w:t xml:space="preserve">If I said, My foot was shaken, your mercy, Lord, was helping me.</w:t>
      </w:r>
    </w:p>
    <w:p>
      <w:r>
        <w:rPr>
          <w:b/>
        </w:rPr>
        <w:t xml:space="preserve">19 </w:t>
      </w:r>
      <w:r>
        <w:t xml:space="preserve">Lord, according to the multitude of my pains in my heart, your comforts loved my soul.</w:t>
      </w:r>
    </w:p>
    <w:p>
      <w:r>
        <w:rPr>
          <w:b/>
        </w:rPr>
        <w:t xml:space="preserve">20 </w:t>
      </w:r>
      <w:r>
        <w:t xml:space="preserve">Will throne of lawlessness join itself with you, one fashioning labor by ordinance?</w:t>
      </w:r>
    </w:p>
    <w:p>
      <w:r>
        <w:rPr>
          <w:b/>
        </w:rPr>
        <w:t xml:space="preserve">21 </w:t>
      </w:r>
      <w:r>
        <w:t xml:space="preserve">They will hunt against soul of a righteous man and condemn innocent blood.</w:t>
      </w:r>
    </w:p>
    <w:p>
      <w:r>
        <w:rPr>
          <w:b/>
        </w:rPr>
        <w:t xml:space="preserve">22 </w:t>
      </w:r>
      <w:r>
        <w:t xml:space="preserve">And the Lord became refuge to me, and my God helper of my hope.</w:t>
      </w:r>
    </w:p>
    <w:p>
      <w:r>
        <w:rPr>
          <w:b/>
        </w:rPr>
        <w:t xml:space="preserve">23 </w:t>
      </w:r>
      <w:r>
        <w:t xml:space="preserve">And he will repay them their lawlessness and in their evil he will destroy them, Lord 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94</w:t>
      </w:r>
    </w:p>
    <w:p>
      <w:r>
        <w:rPr>
          <w:b/>
        </w:rPr>
        <w:t xml:space="preserve">1 </w:t>
      </w:r>
      <w:r>
        <w:t xml:space="preserve">Praise, song of David. Come, let us exult in the Lord; let us shout to God our savior.</w:t>
      </w:r>
    </w:p>
    <w:p>
      <w:r>
        <w:rPr>
          <w:b/>
        </w:rPr>
        <w:t xml:space="preserve">2 </w:t>
      </w:r>
      <w:r>
        <w:t xml:space="preserve">Let us come before his face in confession, and in psalms let us shout to him.</w:t>
      </w:r>
    </w:p>
    <w:p>
      <w:r>
        <w:rPr>
          <w:b/>
        </w:rPr>
        <w:t xml:space="preserve">3 </w:t>
      </w:r>
      <w:r>
        <w:t xml:space="preserve">Because great God Lord</w:t>
      </w:r>
      <w:r>
        <w:rPr>
          <w:rStyle w:val="FootnoteReference"/>
        </w:rPr>
        <w:footnoteReference w:id="10623"/>
      </w:r>
      <w:r>
        <w:t xml:space="preserve"> and great king over all gods,</w:t>
      </w:r>
    </w:p>
    <w:p>
      <w:r>
        <w:rPr>
          <w:b/>
        </w:rPr>
        <w:t xml:space="preserve">4 </w:t>
      </w:r>
      <w:r>
        <w:t xml:space="preserve">because ends of the earth in his hand and heights of mountains his.</w:t>
      </w:r>
    </w:p>
    <w:p>
      <w:r>
        <w:rPr>
          <w:b/>
        </w:rPr>
        <w:t xml:space="preserve">5 </w:t>
      </w:r>
      <w:r>
        <w:t xml:space="preserve">Because sea his and he made it, and dry land his hands formed.</w:t>
      </w:r>
    </w:p>
    <w:p>
      <w:r>
        <w:rPr>
          <w:b/>
        </w:rPr>
        <w:t xml:space="preserve">6 </w:t>
      </w:r>
      <w:r>
        <w:t xml:space="preserve">Come, let us worship and fall down before him and weep before the Lord who made us,</w:t>
      </w:r>
    </w:p>
    <w:p>
      <w:r>
        <w:rPr>
          <w:b/>
        </w:rPr>
        <w:t xml:space="preserve">7 </w:t>
      </w:r>
      <w:r>
        <w:t xml:space="preserve">because he our God and we people of his pasture and sheep of his hand. Today, if you hear his voice,</w:t>
      </w:r>
    </w:p>
    <w:p>
      <w:r>
        <w:rPr>
          <w:b/>
        </w:rPr>
        <w:t xml:space="preserve">8 </w:t>
      </w:r>
      <w:r>
        <w:t xml:space="preserve">do not harden your hearts as in provocation, according to day of testing in the wilderness,</w:t>
      </w:r>
    </w:p>
    <w:p>
      <w:r>
        <w:rPr>
          <w:b/>
        </w:rPr>
        <w:t xml:space="preserve">9 </w:t>
      </w:r>
      <w:r>
        <w:t xml:space="preserve">where your fathers tested me, tried me, and saw my works.</w:t>
      </w:r>
    </w:p>
    <w:p>
      <w:r>
        <w:rPr>
          <w:b/>
        </w:rPr>
        <w:t xml:space="preserve">10 </w:t>
      </w:r>
      <w:r>
        <w:t xml:space="preserve">Forty years I felt loathing toward that generation and said, They always go astray in heart, and they did not know my ways,</w:t>
      </w:r>
    </w:p>
    <w:p>
      <w:r>
        <w:rPr>
          <w:b/>
        </w:rPr>
        <w:t xml:space="preserve">11 </w:t>
      </w:r>
      <w:r>
        <w:t xml:space="preserve">as I swore in my anger, They will not enter into my rest.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95</w:t>
      </w:r>
    </w:p>
    <w:p>
      <w:r>
        <w:rPr>
          <w:b/>
        </w:rPr>
        <w:t xml:space="preserve">1 </w:t>
      </w:r>
      <w:r>
        <w:t xml:space="preserve">When house was being built after captivity. Song of David. Sing</w:t>
      </w:r>
      <w:r>
        <w:rPr>
          <w:rStyle w:val="FootnoteReference"/>
        </w:rPr>
        <w:footnoteReference w:id="10624"/>
      </w:r>
      <w:r>
        <w:t xml:space="preserve"> to the Lord new song; sing to the Lord, all the earth.</w:t>
      </w:r>
    </w:p>
    <w:p>
      <w:r>
        <w:rPr>
          <w:b/>
        </w:rPr>
        <w:t xml:space="preserve">2 </w:t>
      </w:r>
      <w:r>
        <w:t xml:space="preserve">Sing to the Lord; bless his name; bring good news day from day of his salvation.</w:t>
      </w:r>
    </w:p>
    <w:p>
      <w:r>
        <w:rPr>
          <w:b/>
        </w:rPr>
        <w:t xml:space="preserve">3 </w:t>
      </w:r>
      <w:r>
        <w:t xml:space="preserve">Declare among nations his glory, among all peoples his wonders.</w:t>
      </w:r>
    </w:p>
    <w:p>
      <w:r>
        <w:rPr>
          <w:b/>
        </w:rPr>
        <w:t xml:space="preserve">4 </w:t>
      </w:r>
      <w:r>
        <w:t xml:space="preserve">Because great Lord and greatly praised; fearful he over all gods.</w:t>
      </w:r>
    </w:p>
    <w:p>
      <w:r>
        <w:rPr>
          <w:b/>
        </w:rPr>
        <w:t xml:space="preserve">5 </w:t>
      </w:r>
      <w:r>
        <w:t xml:space="preserve">Because all gods of nations demons, but the Lord made heavens.</w:t>
      </w:r>
    </w:p>
    <w:p>
      <w:r>
        <w:rPr>
          <w:b/>
        </w:rPr>
        <w:t xml:space="preserve">6 </w:t>
      </w:r>
      <w:r>
        <w:t xml:space="preserve">Confession and beauty before him, holiness and magnificence in his sanctuary.</w:t>
      </w:r>
    </w:p>
    <w:p>
      <w:r>
        <w:rPr>
          <w:b/>
        </w:rPr>
        <w:t xml:space="preserve">7 </w:t>
      </w:r>
      <w:r>
        <w:t xml:space="preserve">Bring to the Lord, families of nations, bring to the Lord glory and honor.</w:t>
      </w:r>
    </w:p>
    <w:p>
      <w:r>
        <w:rPr>
          <w:b/>
        </w:rPr>
        <w:t xml:space="preserve">8 </w:t>
      </w:r>
      <w:r>
        <w:t xml:space="preserve">Bring to the Lord glory to his name; take sacrifices and enter into his courts.</w:t>
      </w:r>
    </w:p>
    <w:p>
      <w:r>
        <w:rPr>
          <w:b/>
        </w:rPr>
        <w:t xml:space="preserve">9 </w:t>
      </w:r>
      <w:r>
        <w:t xml:space="preserve">Worship the Lord in his holy court; let all the earth be shaken from before him.</w:t>
      </w:r>
    </w:p>
    <w:p>
      <w:r>
        <w:rPr>
          <w:b/>
        </w:rPr>
        <w:t xml:space="preserve">10 </w:t>
      </w:r>
      <w:r>
        <w:t xml:space="preserve">Say among nations, the Lord reigned, for he also set inhabited world straight, which will not be shaken; he will judge peoples in uprightness.</w:t>
      </w:r>
    </w:p>
    <w:p>
      <w:r>
        <w:rPr>
          <w:b/>
        </w:rPr>
        <w:t xml:space="preserve">11 </w:t>
      </w:r>
      <w:r>
        <w:t xml:space="preserve">Let heavens rejoice and earth exult; let sea be shaken and its fullness.</w:t>
      </w:r>
    </w:p>
    <w:p>
      <w:r>
        <w:rPr>
          <w:b/>
        </w:rPr>
        <w:t xml:space="preserve">12 </w:t>
      </w:r>
      <w:r>
        <w:t xml:space="preserve">Fields will be glad and all things in them; then all trees of the forest will exult</w:t>
      </w:r>
    </w:p>
    <w:p>
      <w:r>
        <w:rPr>
          <w:b/>
        </w:rPr>
        <w:t xml:space="preserve">13 </w:t>
      </w:r>
      <w:r>
        <w:t xml:space="preserve">before the Lord, because he comes, because he comes to judge earth; he will judge inhabited world in righteousness and peoples in his truth.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96</w:t>
      </w:r>
    </w:p>
    <w:p>
      <w:r>
        <w:rPr>
          <w:b/>
        </w:rPr>
        <w:t xml:space="preserve">1 </w:t>
      </w:r>
      <w:r>
        <w:rPr>
          <w:i/>
        </w:rPr>
        <w:t xml:space="preserve">Of David, when his land is established.</w:t>
      </w:r>
      <w:r>
        <w:br/>
      </w:r>
      <w:r>
        <w:t xml:space="preserve">The Lord reigned; let earth exult; let many islands rejoice.</w:t>
      </w:r>
    </w:p>
    <w:p>
      <w:r>
        <w:rPr>
          <w:b/>
        </w:rPr>
        <w:t xml:space="preserve">2 </w:t>
      </w:r>
      <w:r>
        <w:t xml:space="preserve">Cloud and gloom around him; righteousness and judgment correction of his throne.</w:t>
      </w:r>
    </w:p>
    <w:p>
      <w:r>
        <w:rPr>
          <w:b/>
        </w:rPr>
        <w:t xml:space="preserve">3 </w:t>
      </w:r>
      <w:r>
        <w:t xml:space="preserve">Fire will go before him and flame around his enemies.</w:t>
      </w:r>
    </w:p>
    <w:p>
      <w:r>
        <w:rPr>
          <w:b/>
        </w:rPr>
        <w:t xml:space="preserve">4 </w:t>
      </w:r>
      <w:r>
        <w:t xml:space="preserve">His lightnings shone to inhabited world; earth saw and was shaken.</w:t>
      </w:r>
    </w:p>
    <w:p>
      <w:r>
        <w:rPr>
          <w:b/>
        </w:rPr>
        <w:t xml:space="preserve">5 </w:t>
      </w:r>
      <w:r>
        <w:t xml:space="preserve">Mountains melted like wax from the face of the Lord, from the face of the Lord of all the earth.</w:t>
      </w:r>
    </w:p>
    <w:p>
      <w:r>
        <w:rPr>
          <w:b/>
        </w:rPr>
        <w:t xml:space="preserve">6 </w:t>
      </w:r>
      <w:r>
        <w:t xml:space="preserve">Heavens declared his righteousness, and all peoples saw his glory.</w:t>
      </w:r>
    </w:p>
    <w:p>
      <w:r>
        <w:rPr>
          <w:b/>
        </w:rPr>
        <w:t xml:space="preserve">7 </w:t>
      </w:r>
      <w:r>
        <w:t xml:space="preserve">Let all worshiping carved images be shamed, those boasting in their idols; worship him, all his angels.</w:t>
      </w:r>
    </w:p>
    <w:p>
      <w:r>
        <w:rPr>
          <w:b/>
        </w:rPr>
        <w:t xml:space="preserve">8 </w:t>
      </w:r>
      <w:r>
        <w:t xml:space="preserve">Zion heard and rejoiced, and daughters of Judah exulted because of your judgments, Lord.</w:t>
      </w:r>
    </w:p>
    <w:p>
      <w:r>
        <w:rPr>
          <w:b/>
        </w:rPr>
        <w:t xml:space="preserve">9 </w:t>
      </w:r>
      <w:r>
        <w:t xml:space="preserve">Because you are Lord, Most High over all the earth; you were greatly exalted above all gods.</w:t>
      </w:r>
    </w:p>
    <w:p>
      <w:r>
        <w:rPr>
          <w:b/>
        </w:rPr>
        <w:t xml:space="preserve">10 </w:t>
      </w:r>
      <w:r>
        <w:t xml:space="preserve">You who love the Lord</w:t>
      </w:r>
      <w:r>
        <w:rPr>
          <w:rStyle w:val="FootnoteReference"/>
        </w:rPr>
        <w:footnoteReference w:id="10625"/>
      </w:r>
      <w:r>
        <w:t xml:space="preserve">, hate evil; The Lord guards the souls of his holy ones; from the hand of sinners he will rescue them.</w:t>
      </w:r>
      <w:r>
        <w:rPr>
          <w:rStyle w:val="FootnoteReference"/>
        </w:rPr>
        <w:footnoteReference w:id="10626"/>
      </w:r>
    </w:p>
    <w:p>
      <w:r>
        <w:rPr>
          <w:b/>
        </w:rPr>
        <w:t xml:space="preserve">11 </w:t>
      </w:r>
      <w:r>
        <w:t xml:space="preserve">Light arose for a righteous one, and gladness for the straight in heart.</w:t>
      </w:r>
    </w:p>
    <w:p>
      <w:r>
        <w:rPr>
          <w:b/>
        </w:rPr>
        <w:t xml:space="preserve">12 </w:t>
      </w:r>
      <w:r>
        <w:t xml:space="preserve">Rejoice, righteous ones, in the Lord, and confess to memory of his holiness.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97</w:t>
      </w:r>
    </w:p>
    <w:p>
      <w:r>
        <w:rPr>
          <w:b/>
        </w:rPr>
        <w:t xml:space="preserve">1 </w:t>
      </w:r>
      <w:r>
        <w:rPr>
          <w:i/>
        </w:rPr>
        <w:t xml:space="preserve">Psalm of David.</w:t>
      </w:r>
      <w:r>
        <w:br/>
      </w:r>
      <w:r>
        <w:t xml:space="preserve">Sing to the Lord</w:t>
      </w:r>
      <w:r>
        <w:rPr>
          <w:rStyle w:val="FootnoteReference"/>
        </w:rPr>
        <w:footnoteReference w:id="10627"/>
      </w:r>
      <w:r>
        <w:t xml:space="preserve"> new song, because the Lord did wondrous things; his right hand saved for him, and his holy arm.</w:t>
      </w:r>
    </w:p>
    <w:p>
      <w:r>
        <w:rPr>
          <w:b/>
        </w:rPr>
        <w:t xml:space="preserve">2 </w:t>
      </w:r>
      <w:r>
        <w:t xml:space="preserve">The Lord made known his salvation; before nations he revealed his righteousness</w:t>
      </w:r>
      <w:r>
        <w:rPr>
          <w:rStyle w:val="FootnoteReference"/>
        </w:rPr>
        <w:footnoteReference w:id="10628"/>
      </w:r>
      <w:r>
        <w:t xml:space="preserve">.</w:t>
      </w:r>
    </w:p>
    <w:p>
      <w:r>
        <w:rPr>
          <w:b/>
        </w:rPr>
        <w:t xml:space="preserve">3 </w:t>
      </w:r>
      <w:r>
        <w:t xml:space="preserve">He remembered his mercy to Jacob and his truth to the house of Israel; all ends of the earth saw salvation of our God.</w:t>
      </w:r>
    </w:p>
    <w:p>
      <w:r>
        <w:rPr>
          <w:b/>
        </w:rPr>
        <w:t xml:space="preserve">4 </w:t>
      </w:r>
      <w:r>
        <w:t xml:space="preserve">Shout to God, all the earth</w:t>
      </w:r>
      <w:r>
        <w:rPr>
          <w:rStyle w:val="FootnoteReference"/>
        </w:rPr>
        <w:footnoteReference w:id="10629"/>
      </w:r>
      <w:r>
        <w:t xml:space="preserve">; sing and exult and make melody.</w:t>
      </w:r>
    </w:p>
    <w:p>
      <w:r>
        <w:rPr>
          <w:b/>
        </w:rPr>
        <w:t xml:space="preserve">5 </w:t>
      </w:r>
      <w:r>
        <w:t xml:space="preserve">Make melody to the Lord with lyre, with lyre and voice of psalm,</w:t>
      </w:r>
    </w:p>
    <w:p>
      <w:r>
        <w:rPr>
          <w:b/>
        </w:rPr>
        <w:t xml:space="preserve">6 </w:t>
      </w:r>
      <w:r>
        <w:t xml:space="preserve">with hammered trumpets and voice of horn trumpet; shout before the king, Lord.</w:t>
      </w:r>
    </w:p>
    <w:p>
      <w:r>
        <w:rPr>
          <w:b/>
        </w:rPr>
        <w:t xml:space="preserve">7 </w:t>
      </w:r>
      <w:r>
        <w:t xml:space="preserve">Let sea be shaken and its fullness, inhabited world and those dwelling in it.</w:t>
      </w:r>
    </w:p>
    <w:p>
      <w:r>
        <w:rPr>
          <w:b/>
        </w:rPr>
        <w:t xml:space="preserve">8 </w:t>
      </w:r>
      <w:r>
        <w:t xml:space="preserve">Rivers will clap with hand; together mountains will exult,</w:t>
      </w:r>
    </w:p>
    <w:p>
      <w:r>
        <w:rPr>
          <w:b/>
        </w:rPr>
        <w:t xml:space="preserve">9 </w:t>
      </w:r>
      <w:r>
        <w:t xml:space="preserve">because he comes to judge earth; he will judge inhabited world in righteousness and peoples in uprightness.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98</w:t>
      </w:r>
    </w:p>
    <w:p>
      <w:r>
        <w:rPr>
          <w:b/>
        </w:rPr>
        <w:t xml:space="preserve">1 </w:t>
      </w:r>
      <w:r>
        <w:rPr>
          <w:i/>
        </w:rPr>
        <w:t xml:space="preserve">Psalm of David.</w:t>
      </w:r>
      <w:r>
        <w:br/>
      </w:r>
      <w:r>
        <w:t xml:space="preserve">The Lord reigned; let peoples be angry; one sitting upon cherubim, let earth be shaken.</w:t>
      </w:r>
    </w:p>
    <w:p>
      <w:r>
        <w:rPr>
          <w:b/>
        </w:rPr>
        <w:t xml:space="preserve">2 </w:t>
      </w:r>
      <w:r>
        <w:t xml:space="preserve">The Lord great in Zion and high over all peoples.</w:t>
      </w:r>
    </w:p>
    <w:p>
      <w:r>
        <w:rPr>
          <w:b/>
        </w:rPr>
        <w:t xml:space="preserve">3 </w:t>
      </w:r>
      <w:r>
        <w:t xml:space="preserve">Let them confess to your name, the great one, because it fearful and holy.</w:t>
      </w:r>
    </w:p>
    <w:p>
      <w:r>
        <w:rPr>
          <w:b/>
        </w:rPr>
        <w:t xml:space="preserve">4 </w:t>
      </w:r>
      <w:r>
        <w:t xml:space="preserve">And honor of the king loves judgment. You prepared uprightnesses; judgment and righteousness in Jacob you did.</w:t>
      </w:r>
    </w:p>
    <w:p>
      <w:r>
        <w:rPr>
          <w:b/>
        </w:rPr>
        <w:t xml:space="preserve">5 </w:t>
      </w:r>
      <w:r>
        <w:t xml:space="preserve">Exalt the Lord our God and worship at footstool of his feet, because holy he is.</w:t>
      </w:r>
    </w:p>
    <w:p>
      <w:r>
        <w:rPr>
          <w:b/>
        </w:rPr>
        <w:t xml:space="preserve">6 </w:t>
      </w:r>
      <w:r>
        <w:t xml:space="preserve">Moses and Aaron among his priests and Samuel among those calling on his name; they called on the Lord, and he heard them.</w:t>
      </w:r>
    </w:p>
    <w:p>
      <w:r>
        <w:rPr>
          <w:b/>
        </w:rPr>
        <w:t xml:space="preserve">7 </w:t>
      </w:r>
      <w:r>
        <w:t xml:space="preserve">In the pillar of cloud he spoke to them; they kept his testimonies and ordinances he gave them.</w:t>
      </w:r>
    </w:p>
    <w:p>
      <w:r>
        <w:rPr>
          <w:b/>
        </w:rPr>
        <w:t xml:space="preserve">8 </w:t>
      </w:r>
      <w:r>
        <w:t xml:space="preserve">Lord our God, you heard them; O God, you became propitious to them and avenging over all their practices.</w:t>
      </w:r>
    </w:p>
    <w:p>
      <w:r>
        <w:rPr>
          <w:b/>
        </w:rPr>
        <w:t xml:space="preserve">9 </w:t>
      </w:r>
      <w:r>
        <w:t xml:space="preserve">Exalt the Lord our God and worship at his holy mountain, because holy is the Lord 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99</w:t>
      </w:r>
    </w:p>
    <w:p>
      <w:r>
        <w:rPr>
          <w:b/>
        </w:rPr>
        <w:t xml:space="preserve">1 </w:t>
      </w:r>
      <w:r>
        <w:rPr>
          <w:i/>
        </w:rPr>
        <w:t xml:space="preserve">Psalm for confession.</w:t>
      </w:r>
      <w:r>
        <w:br/>
      </w:r>
      <w:r>
        <w:t xml:space="preserve">Shout to the Lord</w:t>
      </w:r>
      <w:r>
        <w:rPr>
          <w:rStyle w:val="FootnoteReference"/>
        </w:rPr>
        <w:footnoteReference w:id="10630"/>
      </w:r>
      <w:r>
        <w:t xml:space="preserve">, all the earth.</w:t>
      </w:r>
    </w:p>
    <w:p>
      <w:r>
        <w:rPr>
          <w:b/>
        </w:rPr>
        <w:t xml:space="preserve">2 </w:t>
      </w:r>
      <w:r>
        <w:t xml:space="preserve">Serve the Lord with gladness; enter before him with exultation.</w:t>
      </w:r>
    </w:p>
    <w:p>
      <w:r>
        <w:rPr>
          <w:b/>
        </w:rPr>
        <w:t xml:space="preserve">3 </w:t>
      </w:r>
      <w:r>
        <w:t xml:space="preserve">Know that Lord, he is God; he made us, and not we ourselves, his people and sheep of his pasture.</w:t>
      </w:r>
    </w:p>
    <w:p>
      <w:r>
        <w:rPr>
          <w:b/>
        </w:rPr>
        <w:t xml:space="preserve">4 </w:t>
      </w:r>
      <w:r>
        <w:t xml:space="preserve">Enter his gates in confession, his courts in hymns; confess to him, praise his name.</w:t>
      </w:r>
    </w:p>
    <w:p>
      <w:r>
        <w:rPr>
          <w:b/>
        </w:rPr>
        <w:t xml:space="preserve">5 </w:t>
      </w:r>
      <w:r>
        <w:t xml:space="preserve">Because the Lord kind; forever his mercy, and unto generation and generation his truth.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100</w:t>
      </w:r>
    </w:p>
    <w:p>
      <w:r>
        <w:rPr>
          <w:b/>
        </w:rPr>
        <w:t xml:space="preserve">1 </w:t>
      </w:r>
      <w:r>
        <w:rPr>
          <w:i/>
        </w:rPr>
        <w:t xml:space="preserve">Of David. Psalm.</w:t>
      </w:r>
      <w:r>
        <w:br/>
      </w:r>
      <w:r>
        <w:t xml:space="preserve">Mercy and judgment I will sing to you, Lord.</w:t>
      </w:r>
    </w:p>
    <w:p>
      <w:r>
        <w:rPr>
          <w:b/>
        </w:rPr>
        <w:t xml:space="preserve">2 </w:t>
      </w:r>
      <w:r>
        <w:t xml:space="preserve">I will sing and understand in blameless way. When will you come to me? I walked in the innocence of my heart in the midst of my house.</w:t>
      </w:r>
    </w:p>
    <w:p>
      <w:r>
        <w:rPr>
          <w:b/>
        </w:rPr>
        <w:t xml:space="preserve">3 </w:t>
      </w:r>
      <w:r>
        <w:t xml:space="preserve">I did not set before my eyes lawless thing; those doing transgressions I hated.</w:t>
      </w:r>
    </w:p>
    <w:p>
      <w:r>
        <w:rPr>
          <w:b/>
        </w:rPr>
        <w:t xml:space="preserve">4 </w:t>
      </w:r>
      <w:r>
        <w:t xml:space="preserve">Crooked heart did not cling to me; when evil one turned away from me, I did not know him.</w:t>
      </w:r>
    </w:p>
    <w:p>
      <w:r>
        <w:rPr>
          <w:b/>
        </w:rPr>
        <w:t xml:space="preserve">5 </w:t>
      </w:r>
      <w:r>
        <w:t xml:space="preserve">One slandering his neighbor secretly, this one I drove out; one with proud eye and insatiable heart, with this one I did not eat.</w:t>
      </w:r>
    </w:p>
    <w:p>
      <w:r>
        <w:rPr>
          <w:b/>
        </w:rPr>
        <w:t xml:space="preserve">6 </w:t>
      </w:r>
      <w:r>
        <w:t xml:space="preserve">My eyes upon faithful ones of earth, so that they may sit with me; one walking in blameless way, this one served me.</w:t>
      </w:r>
    </w:p>
    <w:p>
      <w:r>
        <w:rPr>
          <w:b/>
        </w:rPr>
        <w:t xml:space="preserve">7 </w:t>
      </w:r>
      <w:r>
        <w:t xml:space="preserve">One doing pride did not dwell in the midst of my house; one speaking unjust things did not go straight before my eyes.</w:t>
      </w:r>
    </w:p>
    <w:p>
      <w:r>
        <w:rPr>
          <w:b/>
        </w:rPr>
        <w:t xml:space="preserve">8 </w:t>
      </w:r>
      <w:r>
        <w:t xml:space="preserve">In mornings I killed all sinners of earth, to destroy from the city of the Lord all workers of lawlessness.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101</w:t>
      </w:r>
    </w:p>
    <w:p>
      <w:r>
        <w:rPr>
          <w:b/>
        </w:rPr>
        <w:t xml:space="preserve">1 </w:t>
      </w:r>
      <w:r>
        <w:rPr>
          <w:i/>
        </w:rPr>
        <w:t xml:space="preserve">Prayer for the poor man, when he grows faint and pours out his supplication before the Lord.</w:t>
      </w:r>
      <w:r>
        <w:t xml:space="preserve"/>
      </w:r>
      <w:r>
        <w:rPr>
          <w:rStyle w:val="FootnoteReference"/>
        </w:rPr>
        <w:footnoteReference w:id="10631"/>
      </w:r>
    </w:p>
    <w:p>
      <w:r>
        <w:rPr>
          <w:b/>
        </w:rPr>
        <w:t xml:space="preserve">2 </w:t>
      </w:r>
      <w:r>
        <w:t xml:space="preserve">Hear, Lord, my prayer, and let my cry come to you.</w:t>
      </w:r>
    </w:p>
    <w:p>
      <w:r>
        <w:rPr>
          <w:b/>
        </w:rPr>
        <w:t xml:space="preserve">3 </w:t>
      </w:r>
      <w:r>
        <w:t xml:space="preserve">Do not turn your face from me in whatever day I am afflicted; incline your ear to me; in whatever day I call on you, quickly hear me.</w:t>
      </w:r>
    </w:p>
    <w:p>
      <w:r>
        <w:rPr>
          <w:b/>
        </w:rPr>
        <w:t xml:space="preserve">4 </w:t>
      </w:r>
      <w:r>
        <w:t xml:space="preserve">Because my days failed like smoke, and my bones were scorched like brushwood.</w:t>
      </w:r>
    </w:p>
    <w:p>
      <w:r>
        <w:rPr>
          <w:b/>
        </w:rPr>
        <w:t xml:space="preserve">5 </w:t>
      </w:r>
      <w:r>
        <w:t xml:space="preserve">My heart was struck like grass and dried up, because I forgot to eat my bread.</w:t>
      </w:r>
    </w:p>
    <w:p>
      <w:r>
        <w:rPr>
          <w:b/>
        </w:rPr>
        <w:t xml:space="preserve">6 </w:t>
      </w:r>
      <w:r>
        <w:t xml:space="preserve">From the voice of my groaning, my bone clung to my flesh.</w:t>
      </w:r>
    </w:p>
    <w:p>
      <w:r>
        <w:rPr>
          <w:b/>
        </w:rPr>
        <w:t xml:space="preserve">7 </w:t>
      </w:r>
      <w:r>
        <w:t xml:space="preserve">I became like a desert pelican; I became like night-raven in ruined place.</w:t>
      </w:r>
    </w:p>
    <w:p>
      <w:r>
        <w:rPr>
          <w:b/>
        </w:rPr>
        <w:t xml:space="preserve">8 </w:t>
      </w:r>
      <w:r>
        <w:t xml:space="preserve">I kept watch and became like a sparrow solitary on housetop.</w:t>
      </w:r>
    </w:p>
    <w:p>
      <w:r>
        <w:rPr>
          <w:b/>
        </w:rPr>
        <w:t xml:space="preserve">9 </w:t>
      </w:r>
      <w:r>
        <w:t xml:space="preserve">Whole day my enemies reproached me, and those praising me swore against me.</w:t>
      </w:r>
    </w:p>
    <w:p>
      <w:r>
        <w:rPr>
          <w:b/>
        </w:rPr>
        <w:t xml:space="preserve">10 </w:t>
      </w:r>
      <w:r>
        <w:t xml:space="preserve">Because I ate ash like bread and mixed my drink with weeping,</w:t>
      </w:r>
    </w:p>
    <w:p>
      <w:r>
        <w:rPr>
          <w:b/>
        </w:rPr>
        <w:t xml:space="preserve">11 </w:t>
      </w:r>
      <w:r>
        <w:t xml:space="preserve">from the face of your anger and your fury, because lifting me up you dashed me down.</w:t>
      </w:r>
    </w:p>
    <w:p>
      <w:r>
        <w:rPr>
          <w:b/>
        </w:rPr>
        <w:t xml:space="preserve">12 </w:t>
      </w:r>
      <w:r>
        <w:t xml:space="preserve">My days declined like a shadow, and I dried up like grass.</w:t>
      </w:r>
    </w:p>
    <w:p>
      <w:r>
        <w:rPr>
          <w:b/>
        </w:rPr>
        <w:t xml:space="preserve">13 </w:t>
      </w:r>
      <w:r>
        <w:t xml:space="preserve">But you, Lord, remain forever, and your memorial to generation and generation.</w:t>
      </w:r>
    </w:p>
    <w:p>
      <w:r>
        <w:rPr>
          <w:b/>
        </w:rPr>
        <w:t xml:space="preserve">14 </w:t>
      </w:r>
      <w:r>
        <w:t xml:space="preserve">You, rising up, will have compassion on Zion, because time to pity her, because time came.</w:t>
      </w:r>
    </w:p>
    <w:p>
      <w:r>
        <w:rPr>
          <w:b/>
        </w:rPr>
        <w:t xml:space="preserve">15 </w:t>
      </w:r>
      <w:r>
        <w:t xml:space="preserve">Because your servants took pleasure in her stones and will pity her dust.</w:t>
      </w:r>
    </w:p>
    <w:p>
      <w:r>
        <w:rPr>
          <w:b/>
        </w:rPr>
        <w:t xml:space="preserve">16 </w:t>
      </w:r>
      <w:r>
        <w:t xml:space="preserve">And nations will fear the name of the Lord, and all kings of the earth your glory.</w:t>
      </w:r>
    </w:p>
    <w:p>
      <w:r>
        <w:rPr>
          <w:b/>
        </w:rPr>
        <w:t xml:space="preserve">17 </w:t>
      </w:r>
      <w:r>
        <w:t xml:space="preserve">Because the Lord will build Zion and will be seen in his glory.</w:t>
      </w:r>
    </w:p>
    <w:p>
      <w:r>
        <w:rPr>
          <w:b/>
        </w:rPr>
        <w:t xml:space="preserve">18 </w:t>
      </w:r>
      <w:r>
        <w:t xml:space="preserve">He looked upon the prayer of humble ones and did not despise their supplication.</w:t>
      </w:r>
    </w:p>
    <w:p>
      <w:r>
        <w:rPr>
          <w:b/>
        </w:rPr>
        <w:t xml:space="preserve">19 </w:t>
      </w:r>
      <w:r>
        <w:t xml:space="preserve">Let this be written for another generation, and people being created will praise the Lord,</w:t>
      </w:r>
    </w:p>
    <w:p>
      <w:r>
        <w:rPr>
          <w:b/>
        </w:rPr>
        <w:t xml:space="preserve">20 </w:t>
      </w:r>
      <w:r>
        <w:t xml:space="preserve">because he looked down from the height of his holy place; The Lord from heaven looked upon earth,</w:t>
      </w:r>
    </w:p>
    <w:p>
      <w:r>
        <w:rPr>
          <w:b/>
        </w:rPr>
        <w:t xml:space="preserve">21 </w:t>
      </w:r>
      <w:r>
        <w:t xml:space="preserve">to hear groaning of chained ones, to loose sons of those put to death,</w:t>
      </w:r>
    </w:p>
    <w:p>
      <w:r>
        <w:rPr>
          <w:b/>
        </w:rPr>
        <w:t xml:space="preserve">22 </w:t>
      </w:r>
      <w:r>
        <w:t xml:space="preserve">to declare in Zion the name of the Lord and his praise in Jerusalem,</w:t>
      </w:r>
    </w:p>
    <w:p>
      <w:r>
        <w:rPr>
          <w:b/>
        </w:rPr>
        <w:t xml:space="preserve">23 </w:t>
      </w:r>
      <w:r>
        <w:t xml:space="preserve">when peoples are gathered together and kingdoms to serve Lord.</w:t>
      </w:r>
    </w:p>
    <w:p>
      <w:r>
        <w:rPr>
          <w:b/>
        </w:rPr>
        <w:t xml:space="preserve">24 </w:t>
      </w:r>
      <w:r>
        <w:t xml:space="preserve">He answered him in the way of his strength, Tell me fewness of my days.</w:t>
      </w:r>
    </w:p>
    <w:p>
      <w:r>
        <w:rPr>
          <w:b/>
        </w:rPr>
        <w:t xml:space="preserve">25 </w:t>
      </w:r>
      <w:r>
        <w:t xml:space="preserve">Do not bring me up in half of my days; your years through the generations of generations.</w:t>
      </w:r>
    </w:p>
    <w:p>
      <w:r>
        <w:rPr>
          <w:b/>
        </w:rPr>
        <w:t xml:space="preserve">26 </w:t>
      </w:r>
      <w:r>
        <w:t xml:space="preserve">At beginnings, you, Lord, founded earth, and heavens works of your hands.</w:t>
      </w:r>
    </w:p>
    <w:p>
      <w:r>
        <w:rPr>
          <w:b/>
        </w:rPr>
        <w:t xml:space="preserve">27 </w:t>
      </w:r>
      <w:r>
        <w:t xml:space="preserve">They will perish, but you remain; and all will grow old like a garment, and like a cloak you will change them, and they will be changed.</w:t>
      </w:r>
    </w:p>
    <w:p>
      <w:r>
        <w:rPr>
          <w:b/>
        </w:rPr>
        <w:t xml:space="preserve">28 </w:t>
      </w:r>
      <w:r>
        <w:t xml:space="preserve">But you same, and your years will not fail.</w:t>
      </w:r>
    </w:p>
    <w:p>
      <w:r>
        <w:rPr>
          <w:b/>
        </w:rPr>
        <w:t xml:space="preserve">29 </w:t>
      </w:r>
      <w:r>
        <w:t xml:space="preserve">Sons of your servants will dwell, and their seed will be directed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102</w:t>
      </w:r>
    </w:p>
    <w:p>
      <w:r>
        <w:rPr>
          <w:b/>
        </w:rPr>
        <w:t xml:space="preserve">1 </w:t>
      </w:r>
      <w:r>
        <w:rPr>
          <w:i/>
        </w:rPr>
        <w:t xml:space="preserve">Of David.</w:t>
      </w:r>
      <w:r>
        <w:br/>
      </w:r>
      <w:r>
        <w:t xml:space="preserve">Bless the Lord, my soul, and all within me, his holy name.</w:t>
      </w:r>
    </w:p>
    <w:p>
      <w:r>
        <w:rPr>
          <w:b/>
        </w:rPr>
        <w:t xml:space="preserve">2 </w:t>
      </w:r>
      <w:r>
        <w:t xml:space="preserve">Bless the Lord, my soul, and do not forget all his repayments,</w:t>
      </w:r>
    </w:p>
    <w:p>
      <w:r>
        <w:rPr>
          <w:b/>
        </w:rPr>
        <w:t xml:space="preserve">3 </w:t>
      </w:r>
      <w:r>
        <w:t xml:space="preserve">the one propitiating all your lawlessnesses, the one healing all your diseases,</w:t>
      </w:r>
    </w:p>
    <w:p>
      <w:r>
        <w:rPr>
          <w:b/>
        </w:rPr>
        <w:t xml:space="preserve">4 </w:t>
      </w:r>
      <w:r>
        <w:t xml:space="preserve">the one redeeming your life from corruption, the one crowning you in mercy and compassions,</w:t>
      </w:r>
    </w:p>
    <w:p>
      <w:r>
        <w:rPr>
          <w:b/>
        </w:rPr>
        <w:t xml:space="preserve">5 </w:t>
      </w:r>
      <w:r>
        <w:t xml:space="preserve">the one filling your desire with good things; your youth will be renewed like an eagle.</w:t>
      </w:r>
    </w:p>
    <w:p>
      <w:r>
        <w:rPr>
          <w:b/>
        </w:rPr>
        <w:t xml:space="preserve">6 </w:t>
      </w:r>
      <w:r>
        <w:t xml:space="preserve">The Lord doing mercies and judgment for all suffering injustice.</w:t>
      </w:r>
    </w:p>
    <w:p>
      <w:r>
        <w:rPr>
          <w:b/>
        </w:rPr>
        <w:t xml:space="preserve">7 </w:t>
      </w:r>
      <w:r>
        <w:t xml:space="preserve">He made known his ways to Moses, to the sons of Israel his wills.</w:t>
      </w:r>
    </w:p>
    <w:p>
      <w:r>
        <w:rPr>
          <w:b/>
        </w:rPr>
        <w:t xml:space="preserve">8 </w:t>
      </w:r>
      <w:r>
        <w:t xml:space="preserve">Compassionate and merciful Lord, long-suffering and rich in mercy.</w:t>
      </w:r>
    </w:p>
    <w:p>
      <w:r>
        <w:rPr>
          <w:b/>
        </w:rPr>
        <w:t xml:space="preserve">9 </w:t>
      </w:r>
      <w:r>
        <w:t xml:space="preserve">He will not be angry to end, nor rage forever.</w:t>
      </w:r>
    </w:p>
    <w:p>
      <w:r>
        <w:rPr>
          <w:b/>
        </w:rPr>
        <w:t xml:space="preserve">10 </w:t>
      </w:r>
      <w:r>
        <w:t xml:space="preserve">Not according to our sins did he do to us, nor according to our lawlessnesses did he repay us.</w:t>
      </w:r>
    </w:p>
    <w:p>
      <w:r>
        <w:rPr>
          <w:b/>
        </w:rPr>
        <w:t xml:space="preserve">11 </w:t>
      </w:r>
      <w:r>
        <w:t xml:space="preserve">Because according to height of heaven from earth, the Lord strengthened his mercy upon those fearing him.</w:t>
      </w:r>
    </w:p>
    <w:p>
      <w:r>
        <w:rPr>
          <w:b/>
        </w:rPr>
        <w:t xml:space="preserve">12 </w:t>
      </w:r>
      <w:r>
        <w:t xml:space="preserve">As far as east from west, he removed our lawlessnesses from us.</w:t>
      </w:r>
    </w:p>
    <w:p>
      <w:r>
        <w:rPr>
          <w:b/>
        </w:rPr>
        <w:t xml:space="preserve">13 </w:t>
      </w:r>
      <w:r>
        <w:t xml:space="preserve">As father has compassion on sons, the Lord had compassion on those fearing him.</w:t>
      </w:r>
    </w:p>
    <w:p>
      <w:r>
        <w:rPr>
          <w:b/>
        </w:rPr>
        <w:t xml:space="preserve">14 </w:t>
      </w:r>
      <w:r>
        <w:t xml:space="preserve">Because he knew our formation; remember that we are dust.</w:t>
      </w:r>
    </w:p>
    <w:p>
      <w:r>
        <w:rPr>
          <w:b/>
        </w:rPr>
        <w:t xml:space="preserve">15 </w:t>
      </w:r>
      <w:r>
        <w:t xml:space="preserve">Man, his days like grass; like a flower of field, so he will flower.</w:t>
      </w:r>
    </w:p>
    <w:p>
      <w:r>
        <w:rPr>
          <w:b/>
        </w:rPr>
        <w:t xml:space="preserve">16 </w:t>
      </w:r>
      <w:r>
        <w:t xml:space="preserve">Because wind passed in him and he will not exist, and he will no longer know his place.</w:t>
      </w:r>
    </w:p>
    <w:p>
      <w:r>
        <w:rPr>
          <w:b/>
        </w:rPr>
        <w:t xml:space="preserve">17 </w:t>
      </w:r>
      <w:r>
        <w:t xml:space="preserve">But mercy of the Lord from age and until age upon those fearing him, and his righteousness upon the sons of sons,</w:t>
      </w:r>
    </w:p>
    <w:p>
      <w:r>
        <w:rPr>
          <w:b/>
        </w:rPr>
        <w:t xml:space="preserve">18 </w:t>
      </w:r>
      <w:r>
        <w:t xml:space="preserve">to those keeping his covenant and remembering his commandments to do them.</w:t>
      </w:r>
    </w:p>
    <w:p>
      <w:r>
        <w:rPr>
          <w:b/>
        </w:rPr>
        <w:t xml:space="preserve">19 </w:t>
      </w:r>
      <w:r>
        <w:t xml:space="preserve">The Lord prepared his throne in heaven, and his kingdom rules all.</w:t>
      </w:r>
    </w:p>
    <w:p>
      <w:r>
        <w:rPr>
          <w:b/>
        </w:rPr>
        <w:t xml:space="preserve">20 </w:t>
      </w:r>
      <w:r>
        <w:t xml:space="preserve">Bless the Lord, all his angels, mighty in strength, doing his word, to hear</w:t>
      </w:r>
      <w:r>
        <w:rPr>
          <w:rStyle w:val="FootnoteReference"/>
        </w:rPr>
        <w:footnoteReference w:id="10632"/>
      </w:r>
      <w:r>
        <w:t xml:space="preserve"> the voice of his words.</w:t>
      </w:r>
    </w:p>
    <w:p>
      <w:r>
        <w:rPr>
          <w:b/>
        </w:rPr>
        <w:t xml:space="preserve">21 </w:t>
      </w:r>
      <w:r>
        <w:t xml:space="preserve">Bless the Lord, all his powers, his ministers doing his will.</w:t>
      </w:r>
    </w:p>
    <w:p>
      <w:r>
        <w:rPr>
          <w:b/>
        </w:rPr>
        <w:t xml:space="preserve">22 </w:t>
      </w:r>
      <w:r>
        <w:t xml:space="preserve">Bless the Lord, all his works, in every place of his lordship; bless the Lord, my soul.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103</w:t>
      </w:r>
    </w:p>
    <w:p>
      <w:r>
        <w:rPr>
          <w:b/>
        </w:rPr>
        <w:t xml:space="preserve">1 </w:t>
      </w:r>
      <w:r>
        <w:rPr>
          <w:i/>
        </w:rPr>
        <w:t xml:space="preserve">Of David.</w:t>
      </w:r>
      <w:r>
        <w:br/>
      </w:r>
      <w:r>
        <w:t xml:space="preserve">Bless</w:t>
      </w:r>
      <w:r>
        <w:rPr>
          <w:rStyle w:val="FootnoteReference"/>
        </w:rPr>
        <w:footnoteReference w:id="10633"/>
      </w:r>
      <w:r>
        <w:t xml:space="preserve"> the Lord, my soul. Lord my God, you were made exceedingly great; confession and beauty you clothed yourself with,</w:t>
      </w:r>
    </w:p>
    <w:p>
      <w:r>
        <w:rPr>
          <w:b/>
        </w:rPr>
        <w:t xml:space="preserve">2 </w:t>
      </w:r>
      <w:r>
        <w:t xml:space="preserve">wrapping yourself in light like a garment, stretching out heaven like skin,</w:t>
      </w:r>
    </w:p>
    <w:p>
      <w:r>
        <w:rPr>
          <w:b/>
        </w:rPr>
        <w:t xml:space="preserve">3 </w:t>
      </w:r>
      <w:r>
        <w:t xml:space="preserve">roofing his upper rooms in waters, setting clouds as his ascent, walking on the wings of winds,</w:t>
      </w:r>
    </w:p>
    <w:p>
      <w:r>
        <w:rPr>
          <w:b/>
        </w:rPr>
        <w:t xml:space="preserve">4 </w:t>
      </w:r>
      <w:r>
        <w:t xml:space="preserve">making his angels spirits and his ministers flaming fire,</w:t>
      </w:r>
    </w:p>
    <w:p>
      <w:r>
        <w:rPr>
          <w:b/>
        </w:rPr>
        <w:t xml:space="preserve">5 </w:t>
      </w:r>
      <w:r>
        <w:t xml:space="preserve">who founded earth on its security; it will not be inclined forever and ever.</w:t>
      </w:r>
    </w:p>
    <w:p>
      <w:r>
        <w:rPr>
          <w:b/>
        </w:rPr>
        <w:t xml:space="preserve">6 </w:t>
      </w:r>
      <w:r>
        <w:t xml:space="preserve">Deep like a garment its covering; on mountains waters will stand.</w:t>
      </w:r>
    </w:p>
    <w:p>
      <w:r>
        <w:rPr>
          <w:b/>
        </w:rPr>
        <w:t xml:space="preserve">7 </w:t>
      </w:r>
      <w:r>
        <w:t xml:space="preserve">From your rebuke they will flee; from the voice of your thunder they will fear.</w:t>
      </w:r>
    </w:p>
    <w:p>
      <w:r>
        <w:rPr>
          <w:b/>
        </w:rPr>
        <w:t xml:space="preserve">8 </w:t>
      </w:r>
      <w:r>
        <w:t xml:space="preserve">Mountains go up and plains go down to place which you founded for them.</w:t>
      </w:r>
    </w:p>
    <w:p>
      <w:r>
        <w:rPr>
          <w:b/>
        </w:rPr>
        <w:t xml:space="preserve">9 </w:t>
      </w:r>
      <w:r>
        <w:t xml:space="preserve">You set boundary they will not pass, nor return to cover earth.</w:t>
      </w:r>
    </w:p>
    <w:p>
      <w:r>
        <w:rPr>
          <w:b/>
        </w:rPr>
        <w:t xml:space="preserve">10 </w:t>
      </w:r>
      <w:r>
        <w:t xml:space="preserve">One sending out springs in valleys; among mountains waters will pass.</w:t>
      </w:r>
    </w:p>
    <w:p>
      <w:r>
        <w:rPr>
          <w:b/>
        </w:rPr>
        <w:t xml:space="preserve">11 </w:t>
      </w:r>
      <w:r>
        <w:t xml:space="preserve">They give drink to all the beasts of the field; wild donkeys will receive for their thirst.</w:t>
      </w:r>
    </w:p>
    <w:p>
      <w:r>
        <w:rPr>
          <w:b/>
        </w:rPr>
        <w:t xml:space="preserve">12 </w:t>
      </w:r>
      <w:r>
        <w:t xml:space="preserve">Upon them birds of heaven will dwell; from the midst of rocks they will give voice.</w:t>
      </w:r>
    </w:p>
    <w:p>
      <w:r>
        <w:rPr>
          <w:b/>
        </w:rPr>
        <w:t xml:space="preserve">13 </w:t>
      </w:r>
      <w:r>
        <w:t xml:space="preserve">One watering mountains from his upper rooms; from the fruit of your works earth will be satisfied.</w:t>
      </w:r>
    </w:p>
    <w:p>
      <w:r>
        <w:rPr>
          <w:b/>
        </w:rPr>
        <w:t xml:space="preserve">14 </w:t>
      </w:r>
      <w:r>
        <w:t xml:space="preserve">One causing grass to spring up for cattle and green plant for the service of men, to bring bread out of earth,</w:t>
      </w:r>
    </w:p>
    <w:p>
      <w:r>
        <w:rPr>
          <w:b/>
        </w:rPr>
        <w:t xml:space="preserve">15 </w:t>
      </w:r>
      <w:r>
        <w:t xml:space="preserve">and wine gladdens the heart of man, to brighten the face with oil, and bread strengthens the heart of man.</w:t>
      </w:r>
    </w:p>
    <w:p>
      <w:r>
        <w:rPr>
          <w:b/>
        </w:rPr>
        <w:t xml:space="preserve">16 </w:t>
      </w:r>
      <w:r>
        <w:t xml:space="preserve">The trees of the plain will be filled, cedars of Lebanon which he planted.</w:t>
      </w:r>
    </w:p>
    <w:p>
      <w:r>
        <w:rPr>
          <w:b/>
        </w:rPr>
        <w:t xml:space="preserve">17 </w:t>
      </w:r>
      <w:r>
        <w:t xml:space="preserve">There sparrows will nest; house of stork leads them.</w:t>
      </w:r>
    </w:p>
    <w:p>
      <w:r>
        <w:rPr>
          <w:b/>
        </w:rPr>
        <w:t xml:space="preserve">18 </w:t>
      </w:r>
      <w:r>
        <w:t xml:space="preserve">High mountains for deer, rock refuge for rock-badgers.</w:t>
      </w:r>
    </w:p>
    <w:p>
      <w:r>
        <w:rPr>
          <w:b/>
        </w:rPr>
        <w:t xml:space="preserve">19 </w:t>
      </w:r>
      <w:r>
        <w:t xml:space="preserve">He made moon for seasons; sun knew its setting.</w:t>
      </w:r>
    </w:p>
    <w:p>
      <w:r>
        <w:rPr>
          <w:b/>
        </w:rPr>
        <w:t xml:space="preserve">20 </w:t>
      </w:r>
      <w:r>
        <w:t xml:space="preserve">You set darkness, and night came; in it all beasts of the forest will pass through.</w:t>
      </w:r>
    </w:p>
    <w:p>
      <w:r>
        <w:rPr>
          <w:b/>
        </w:rPr>
        <w:t xml:space="preserve">21 </w:t>
      </w:r>
      <w:r>
        <w:t xml:space="preserve">Lion-cubs roaring to seize and to seek food for themselves from God.</w:t>
      </w:r>
    </w:p>
    <w:p>
      <w:r>
        <w:rPr>
          <w:b/>
        </w:rPr>
        <w:t xml:space="preserve">22 </w:t>
      </w:r>
      <w:r>
        <w:t xml:space="preserve">Sun rose, and they were gathered, and in their dens they will lie down.</w:t>
      </w:r>
    </w:p>
    <w:p>
      <w:r>
        <w:rPr>
          <w:b/>
        </w:rPr>
        <w:t xml:space="preserve">23 </w:t>
      </w:r>
      <w:r>
        <w:t xml:space="preserve">Man will go out to his work and to his labor until evening.</w:t>
      </w:r>
    </w:p>
    <w:p>
      <w:r>
        <w:rPr>
          <w:b/>
        </w:rPr>
        <w:t xml:space="preserve">24 </w:t>
      </w:r>
      <w:r>
        <w:t xml:space="preserve">How your works were magnified, Lord; in wisdom you made all. Earth was filled with your creation.</w:t>
      </w:r>
    </w:p>
    <w:p>
      <w:r>
        <w:rPr>
          <w:b/>
        </w:rPr>
        <w:t xml:space="preserve">25 </w:t>
      </w:r>
      <w:r>
        <w:t xml:space="preserve">This sea, great and broad-spaced: there creeping things without number, small animals with great.</w:t>
      </w:r>
    </w:p>
    <w:p>
      <w:r>
        <w:rPr>
          <w:b/>
        </w:rPr>
        <w:t xml:space="preserve">26 </w:t>
      </w:r>
      <w:r>
        <w:t xml:space="preserve">There ships pass through; this dragon you formed to play in it.</w:t>
      </w:r>
    </w:p>
    <w:p>
      <w:r>
        <w:rPr>
          <w:b/>
        </w:rPr>
        <w:t xml:space="preserve">27 </w:t>
      </w:r>
      <w:r>
        <w:t xml:space="preserve">All look to you to give food to them in due season.</w:t>
      </w:r>
    </w:p>
    <w:p>
      <w:r>
        <w:rPr>
          <w:b/>
        </w:rPr>
        <w:t xml:space="preserve">28 </w:t>
      </w:r>
      <w:r>
        <w:t xml:space="preserve">When you give to them, they will gather; when you open your hand, all things will be filled with goodness.</w:t>
      </w:r>
    </w:p>
    <w:p>
      <w:r>
        <w:rPr>
          <w:b/>
        </w:rPr>
        <w:t xml:space="preserve">29 </w:t>
      </w:r>
      <w:r>
        <w:t xml:space="preserve">When you turn away your face, they will be troubled; you will take away their spirit, and they will fail and return to their dust.</w:t>
      </w:r>
    </w:p>
    <w:p>
      <w:r>
        <w:rPr>
          <w:b/>
        </w:rPr>
        <w:t xml:space="preserve">30 </w:t>
      </w:r>
      <w:r>
        <w:t xml:space="preserve">You send out your spirit, and they will be created, and you renew face of the earth.</w:t>
      </w:r>
    </w:p>
    <w:p>
      <w:r>
        <w:rPr>
          <w:b/>
        </w:rPr>
        <w:t xml:space="preserve">31 </w:t>
      </w:r>
      <w:r>
        <w:t xml:space="preserve">Let the glory of the Lord be forever; The Lord will rejoice in his works,</w:t>
      </w:r>
    </w:p>
    <w:p>
      <w:r>
        <w:rPr>
          <w:b/>
        </w:rPr>
        <w:t xml:space="preserve">32 </w:t>
      </w:r>
      <w:r>
        <w:t xml:space="preserve">one looking upon earth and making it tremble, one touching mountains and they smoke.</w:t>
      </w:r>
    </w:p>
    <w:p>
      <w:r>
        <w:rPr>
          <w:b/>
        </w:rPr>
        <w:t xml:space="preserve">33 </w:t>
      </w:r>
      <w:r>
        <w:t xml:space="preserve">I will sing to the Lord in my life; I will make melody to my God while I exist.</w:t>
      </w:r>
    </w:p>
    <w:p>
      <w:r>
        <w:rPr>
          <w:b/>
        </w:rPr>
        <w:t xml:space="preserve">34 </w:t>
      </w:r>
      <w:r>
        <w:t xml:space="preserve">Let my discourse be sweet to him; and I will rejoice in the Lord.</w:t>
      </w:r>
    </w:p>
    <w:p>
      <w:r>
        <w:rPr>
          <w:b/>
        </w:rPr>
        <w:t xml:space="preserve">35 </w:t>
      </w:r>
      <w:r>
        <w:t xml:space="preserve">Let sinners fail from earth, and lawless ones so as not to exist. Bless the Lord, my soul.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104</w:t>
      </w:r>
    </w:p>
    <w:p>
      <w:r>
        <w:rPr>
          <w:b/>
        </w:rPr>
        <w:t xml:space="preserve">1 </w:t>
      </w:r>
      <w:r>
        <w:rPr>
          <w:i/>
        </w:rPr>
        <w:t xml:space="preserve">Alleluia.</w:t>
      </w:r>
      <w:r>
        <w:br/>
      </w:r>
      <w:r>
        <w:t xml:space="preserve">Confess to the Lord and call on his name; declare among nations his works.</w:t>
      </w:r>
    </w:p>
    <w:p>
      <w:r>
        <w:rPr>
          <w:b/>
        </w:rPr>
        <w:t xml:space="preserve">2 </w:t>
      </w:r>
      <w:r>
        <w:t xml:space="preserve">Sing to him and make melody to him; recount all his wonders.</w:t>
      </w:r>
    </w:p>
    <w:p>
      <w:r>
        <w:rPr>
          <w:b/>
        </w:rPr>
        <w:t xml:space="preserve">3 </w:t>
      </w:r>
      <w:r>
        <w:t xml:space="preserve">Praise in his holy name; let heart of those seeking the Lord rejoice.</w:t>
      </w:r>
    </w:p>
    <w:p>
      <w:r>
        <w:rPr>
          <w:b/>
        </w:rPr>
        <w:t xml:space="preserve">4 </w:t>
      </w:r>
      <w:r>
        <w:t xml:space="preserve">Seek the Lord and be strengthened; seek his face continually.</w:t>
      </w:r>
    </w:p>
    <w:p>
      <w:r>
        <w:rPr>
          <w:b/>
        </w:rPr>
        <w:t xml:space="preserve">5 </w:t>
      </w:r>
      <w:r>
        <w:t xml:space="preserve">Remember his wonders which he did, his portents and judgments of his mouth,</w:t>
      </w:r>
    </w:p>
    <w:p>
      <w:r>
        <w:rPr>
          <w:b/>
        </w:rPr>
        <w:t xml:space="preserve">6 </w:t>
      </w:r>
      <w:r>
        <w:t xml:space="preserve">seed of Abraham, his servants, sons of Jacob, his chosen ones.</w:t>
      </w:r>
    </w:p>
    <w:p>
      <w:r>
        <w:rPr>
          <w:b/>
        </w:rPr>
        <w:t xml:space="preserve">7 </w:t>
      </w:r>
      <w:r>
        <w:t xml:space="preserve">He is the Lord our God; his judgments are in all the earth.</w:t>
      </w:r>
    </w:p>
    <w:p>
      <w:r>
        <w:rPr>
          <w:b/>
        </w:rPr>
        <w:t xml:space="preserve">8 </w:t>
      </w:r>
      <w:r>
        <w:t xml:space="preserve">He remembered his covenant forever, word which he commanded for thousand generations,</w:t>
      </w:r>
    </w:p>
    <w:p>
      <w:r>
        <w:rPr>
          <w:b/>
        </w:rPr>
        <w:t xml:space="preserve">9 </w:t>
      </w:r>
      <w:r>
        <w:t xml:space="preserve">which he arranged with Abraham and his oath to Isaac.</w:t>
      </w:r>
    </w:p>
    <w:p>
      <w:r>
        <w:rPr>
          <w:b/>
        </w:rPr>
        <w:t xml:space="preserve">10 </w:t>
      </w:r>
      <w:r>
        <w:t xml:space="preserve">And he set it to Jacob for ordinance and to Israel everlasting covenant,</w:t>
      </w:r>
    </w:p>
    <w:p>
      <w:r>
        <w:rPr>
          <w:b/>
        </w:rPr>
        <w:t xml:space="preserve">11 </w:t>
      </w:r>
      <w:r>
        <w:t xml:space="preserve">saying, To you I will give the land of Canaan, line-measure of your inheritance,</w:t>
      </w:r>
    </w:p>
    <w:p>
      <w:r>
        <w:rPr>
          <w:b/>
        </w:rPr>
        <w:t xml:space="preserve">12 </w:t>
      </w:r>
      <w:r>
        <w:t xml:space="preserve">when they were few in number, very few and sojourners in it,</w:t>
      </w:r>
    </w:p>
    <w:p>
      <w:r>
        <w:rPr>
          <w:b/>
        </w:rPr>
        <w:t xml:space="preserve">13 </w:t>
      </w:r>
      <w:r>
        <w:t xml:space="preserve">and they passed from nation to nation, from kingdom to another people.</w:t>
      </w:r>
    </w:p>
    <w:p>
      <w:r>
        <w:rPr>
          <w:b/>
        </w:rPr>
        <w:t xml:space="preserve">14 </w:t>
      </w:r>
      <w:r>
        <w:t xml:space="preserve">He did not allow man to do them injustice, and he reproved kings for their sake:</w:t>
      </w:r>
    </w:p>
    <w:p>
      <w:r>
        <w:rPr>
          <w:b/>
        </w:rPr>
        <w:t xml:space="preserve">15 </w:t>
      </w:r>
      <w:r>
        <w:t xml:space="preserve">Do not touch my anointed ones, and in my prophets do not do evil.</w:t>
      </w:r>
    </w:p>
    <w:p>
      <w:r>
        <w:rPr>
          <w:b/>
        </w:rPr>
        <w:t xml:space="preserve">16 </w:t>
      </w:r>
      <w:r>
        <w:t xml:space="preserve">And he called famine upon earth; he crushed every support of bread.</w:t>
      </w:r>
    </w:p>
    <w:p>
      <w:r>
        <w:rPr>
          <w:b/>
        </w:rPr>
        <w:t xml:space="preserve">17 </w:t>
      </w:r>
      <w:r>
        <w:t xml:space="preserve">He sent before them man; Joseph was sold for slave.</w:t>
      </w:r>
    </w:p>
    <w:p>
      <w:r>
        <w:rPr>
          <w:b/>
        </w:rPr>
        <w:t xml:space="preserve">18 </w:t>
      </w:r>
      <w:r>
        <w:t xml:space="preserve">They humbled his feet in shackles; iron went through his soul,</w:t>
      </w:r>
    </w:p>
    <w:p>
      <w:r>
        <w:rPr>
          <w:b/>
        </w:rPr>
        <w:t xml:space="preserve">19 </w:t>
      </w:r>
      <w:r>
        <w:t xml:space="preserve">until his word came; saying of the Lord refined him.</w:t>
      </w:r>
    </w:p>
    <w:p>
      <w:r>
        <w:rPr>
          <w:b/>
        </w:rPr>
        <w:t xml:space="preserve">20 </w:t>
      </w:r>
      <w:r>
        <w:t xml:space="preserve">King sent and loosed him, ruler of peoples and released him.</w:t>
      </w:r>
    </w:p>
    <w:p>
      <w:r>
        <w:rPr>
          <w:b/>
        </w:rPr>
        <w:t xml:space="preserve">21 </w:t>
      </w:r>
      <w:r>
        <w:t xml:space="preserve">He made him lord of his house and ruler of all his possession,</w:t>
      </w:r>
    </w:p>
    <w:p>
      <w:r>
        <w:rPr>
          <w:b/>
        </w:rPr>
        <w:t xml:space="preserve">22 </w:t>
      </w:r>
      <w:r>
        <w:t xml:space="preserve">to discipline his rulers like himself and make his elders wise.</w:t>
      </w:r>
    </w:p>
    <w:p>
      <w:r>
        <w:rPr>
          <w:b/>
        </w:rPr>
        <w:t xml:space="preserve">23 </w:t>
      </w:r>
      <w:r>
        <w:t xml:space="preserve">And Israel entered into Egypt, and Jacob sojourned in the land of Ham.</w:t>
      </w:r>
    </w:p>
    <w:p>
      <w:r>
        <w:rPr>
          <w:b/>
        </w:rPr>
        <w:t xml:space="preserve">24 </w:t>
      </w:r>
      <w:r>
        <w:t xml:space="preserve">And he increased his people exceedingly and strengthened it beyond its enemies.</w:t>
      </w:r>
    </w:p>
    <w:p>
      <w:r>
        <w:rPr>
          <w:b/>
        </w:rPr>
        <w:t xml:space="preserve">25 </w:t>
      </w:r>
      <w:r>
        <w:t xml:space="preserve">He turned their heart to hate his people, to deal deceitfully with his servants.</w:t>
      </w:r>
    </w:p>
    <w:p>
      <w:r>
        <w:rPr>
          <w:b/>
        </w:rPr>
        <w:t xml:space="preserve">26 </w:t>
      </w:r>
      <w:r>
        <w:t xml:space="preserve">He sent Moses his servant, Aaron whom he chose,</w:t>
      </w:r>
    </w:p>
    <w:p>
      <w:r>
        <w:rPr>
          <w:b/>
        </w:rPr>
        <w:t xml:space="preserve">27 </w:t>
      </w:r>
      <w:r>
        <w:t xml:space="preserve">he set among them words of his signs and portents in the land of Ham.</w:t>
      </w:r>
    </w:p>
    <w:p>
      <w:r>
        <w:rPr>
          <w:b/>
        </w:rPr>
        <w:t xml:space="preserve">28 </w:t>
      </w:r>
      <w:r>
        <w:t xml:space="preserve">He sent darkness and darkened, and they provoked his words.</w:t>
      </w:r>
    </w:p>
    <w:p>
      <w:r>
        <w:rPr>
          <w:b/>
        </w:rPr>
        <w:t xml:space="preserve">29 </w:t>
      </w:r>
      <w:r>
        <w:t xml:space="preserve">He turned their waters to blood and killed their fish.</w:t>
      </w:r>
    </w:p>
    <w:p>
      <w:r>
        <w:rPr>
          <w:b/>
        </w:rPr>
        <w:t xml:space="preserve">30 </w:t>
      </w:r>
      <w:r>
        <w:t xml:space="preserve">Their land teemed with frogs in the chambers of their kings.</w:t>
      </w:r>
    </w:p>
    <w:p>
      <w:r>
        <w:rPr>
          <w:b/>
        </w:rPr>
        <w:t xml:space="preserve">31 </w:t>
      </w:r>
      <w:r>
        <w:t xml:space="preserve">He spoke, and dog-fly came, and gnats in all their borders.</w:t>
      </w:r>
    </w:p>
    <w:p>
      <w:r>
        <w:rPr>
          <w:b/>
        </w:rPr>
        <w:t xml:space="preserve">32 </w:t>
      </w:r>
      <w:r>
        <w:t xml:space="preserve">He made their rains hail, burning fire in their land.</w:t>
      </w:r>
    </w:p>
    <w:p>
      <w:r>
        <w:rPr>
          <w:b/>
        </w:rPr>
        <w:t xml:space="preserve">33 </w:t>
      </w:r>
      <w:r>
        <w:t xml:space="preserve">And he struck their vines and their fig trees and shattered every tree of their border.</w:t>
      </w:r>
    </w:p>
    <w:p>
      <w:r>
        <w:rPr>
          <w:b/>
        </w:rPr>
        <w:t xml:space="preserve">34 </w:t>
      </w:r>
      <w:r>
        <w:t xml:space="preserve">He spoke, and locust came, and young locust without number,</w:t>
      </w:r>
    </w:p>
    <w:p>
      <w:r>
        <w:rPr>
          <w:b/>
        </w:rPr>
        <w:t xml:space="preserve">35 </w:t>
      </w:r>
      <w:r>
        <w:t xml:space="preserve">and devoured all grass in their land and devoured fruit of their earth.</w:t>
      </w:r>
    </w:p>
    <w:p>
      <w:r>
        <w:rPr>
          <w:b/>
        </w:rPr>
        <w:t xml:space="preserve">36 </w:t>
      </w:r>
      <w:r>
        <w:t xml:space="preserve">And he struck every firstborn in their land, firstfruits of all their labor.</w:t>
      </w:r>
    </w:p>
    <w:p>
      <w:r>
        <w:rPr>
          <w:b/>
        </w:rPr>
        <w:t xml:space="preserve">37 </w:t>
      </w:r>
      <w:r>
        <w:t xml:space="preserve">And he led them out with silver and gold, and there was none weak in their tribes.</w:t>
      </w:r>
    </w:p>
    <w:p>
      <w:r>
        <w:rPr>
          <w:b/>
        </w:rPr>
        <w:t xml:space="preserve">38 </w:t>
      </w:r>
      <w:r>
        <w:t xml:space="preserve">Egypt rejoiced in their departure, because fear of them fell upon them.</w:t>
      </w:r>
    </w:p>
    <w:p>
      <w:r>
        <w:rPr>
          <w:b/>
        </w:rPr>
        <w:t xml:space="preserve">39 </w:t>
      </w:r>
      <w:r>
        <w:t xml:space="preserve">He spread out cloud for covering to them and fire to give them light by night.</w:t>
      </w:r>
    </w:p>
    <w:p>
      <w:r>
        <w:rPr>
          <w:b/>
        </w:rPr>
        <w:t xml:space="preserve">40 </w:t>
      </w:r>
      <w:r>
        <w:t xml:space="preserve">They asked, and quail came, and bread of heaven filled them.</w:t>
      </w:r>
    </w:p>
    <w:p>
      <w:r>
        <w:rPr>
          <w:b/>
        </w:rPr>
        <w:t xml:space="preserve">41 </w:t>
      </w:r>
      <w:r>
        <w:t xml:space="preserve">He split rock and waters flowed; rivers went in waterless places.</w:t>
      </w:r>
    </w:p>
    <w:p>
      <w:r>
        <w:rPr>
          <w:b/>
        </w:rPr>
        <w:t xml:space="preserve">42 </w:t>
      </w:r>
      <w:r>
        <w:t xml:space="preserve">Because he remembered his holy word to Abraham his servant.</w:t>
      </w:r>
    </w:p>
    <w:p>
      <w:r>
        <w:rPr>
          <w:b/>
        </w:rPr>
        <w:t xml:space="preserve">43 </w:t>
      </w:r>
      <w:r>
        <w:t xml:space="preserve">And he led out his people with exultation and his chosen ones with gladness.</w:t>
      </w:r>
    </w:p>
    <w:p>
      <w:r>
        <w:rPr>
          <w:b/>
        </w:rPr>
        <w:t xml:space="preserve">44 </w:t>
      </w:r>
      <w:r>
        <w:t xml:space="preserve">And he gave them lands of nations, and they inherited labors of peoples,</w:t>
      </w:r>
    </w:p>
    <w:p>
      <w:r>
        <w:rPr>
          <w:b/>
        </w:rPr>
        <w:t xml:space="preserve">45 </w:t>
      </w:r>
      <w:r>
        <w:t xml:space="preserve">so that they might keep his ordinances and seek out his law.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105</w:t>
      </w:r>
    </w:p>
    <w:p>
      <w:r>
        <w:rPr>
          <w:b/>
        </w:rPr>
        <w:t xml:space="preserve">1 </w:t>
      </w:r>
      <w:r>
        <w:rPr>
          <w:i/>
        </w:rPr>
        <w:t xml:space="preserve">Alleluia.</w:t>
      </w:r>
      <w:r>
        <w:br/>
      </w:r>
      <w:r>
        <w:t xml:space="preserve">Confess to the Lord, because kind, because his mercy forever.</w:t>
      </w:r>
    </w:p>
    <w:p>
      <w:r>
        <w:rPr>
          <w:b/>
        </w:rPr>
        <w:t xml:space="preserve">2 </w:t>
      </w:r>
      <w:r>
        <w:t xml:space="preserve">Who will speak powers of the Lord, make all his praises heard?</w:t>
      </w:r>
    </w:p>
    <w:p>
      <w:r>
        <w:rPr>
          <w:b/>
        </w:rPr>
        <w:t xml:space="preserve">3 </w:t>
      </w:r>
      <w:r>
        <w:t xml:space="preserve">Blessed are those keeping judgment and doing righteousness in every time.</w:t>
      </w:r>
    </w:p>
    <w:p>
      <w:r>
        <w:rPr>
          <w:b/>
        </w:rPr>
        <w:t xml:space="preserve">4 </w:t>
      </w:r>
      <w:r>
        <w:t xml:space="preserve">Remember us, Lord, in good pleasure of your people; visit us in your salvation,</w:t>
      </w:r>
    </w:p>
    <w:p>
      <w:r>
        <w:rPr>
          <w:b/>
        </w:rPr>
        <w:t xml:space="preserve">5 </w:t>
      </w:r>
      <w:r>
        <w:t xml:space="preserve">to see in goodness of your chosen ones, to rejoice in the gladness of your nation, to be praised with your inheritance.</w:t>
      </w:r>
    </w:p>
    <w:p>
      <w:r>
        <w:rPr>
          <w:b/>
        </w:rPr>
        <w:t xml:space="preserve">6 </w:t>
      </w:r>
      <w:r>
        <w:t xml:space="preserve">We sinned with our fathers, we acted lawlessly, we did injustice.</w:t>
      </w:r>
    </w:p>
    <w:p>
      <w:r>
        <w:rPr>
          <w:b/>
        </w:rPr>
        <w:t xml:space="preserve">7 </w:t>
      </w:r>
      <w:r>
        <w:t xml:space="preserve">Our fathers in Egypt did not understand your wonders; they did not remember multitude of your mercy and provoked while going up at Red Sea.</w:t>
      </w:r>
    </w:p>
    <w:p>
      <w:r>
        <w:rPr>
          <w:b/>
        </w:rPr>
        <w:t xml:space="preserve">8 </w:t>
      </w:r>
      <w:r>
        <w:t xml:space="preserve">And he saved them for the sake of his name, to make known his dominion.</w:t>
      </w:r>
    </w:p>
    <w:p>
      <w:r>
        <w:rPr>
          <w:b/>
        </w:rPr>
        <w:t xml:space="preserve">9 </w:t>
      </w:r>
      <w:r>
        <w:t xml:space="preserve">And he rebuked Red Sea and it dried up, and he guided them in deep as in the wilderness.</w:t>
      </w:r>
    </w:p>
    <w:p>
      <w:r>
        <w:rPr>
          <w:b/>
        </w:rPr>
        <w:t xml:space="preserve">10 </w:t>
      </w:r>
      <w:r>
        <w:t xml:space="preserve">And he saved them from the hand of those hating and redeemed them from the hand of enemy.</w:t>
      </w:r>
    </w:p>
    <w:p>
      <w:r>
        <w:rPr>
          <w:b/>
        </w:rPr>
        <w:t xml:space="preserve">11 </w:t>
      </w:r>
      <w:r>
        <w:t xml:space="preserve">And water covered those afflicting them; not one of them was left.</w:t>
      </w:r>
    </w:p>
    <w:p>
      <w:r>
        <w:rPr>
          <w:b/>
        </w:rPr>
        <w:t xml:space="preserve">12 </w:t>
      </w:r>
      <w:r>
        <w:t xml:space="preserve">And they believed in his words and sang his praise.</w:t>
      </w:r>
    </w:p>
    <w:p>
      <w:r>
        <w:rPr>
          <w:b/>
        </w:rPr>
        <w:t xml:space="preserve">13 </w:t>
      </w:r>
      <w:r>
        <w:t xml:space="preserve">They hurried, they forgot his works; they did not wait for his counsel.</w:t>
      </w:r>
    </w:p>
    <w:p>
      <w:r>
        <w:rPr>
          <w:b/>
        </w:rPr>
        <w:t xml:space="preserve">14 </w:t>
      </w:r>
      <w:r>
        <w:t xml:space="preserve">And they desired desire in the wilderness and tested God in waterless place.</w:t>
      </w:r>
    </w:p>
    <w:p>
      <w:r>
        <w:rPr>
          <w:b/>
        </w:rPr>
        <w:t xml:space="preserve">15 </w:t>
      </w:r>
      <w:r>
        <w:t xml:space="preserve">And he gave them their request and sent fullness into their souls.</w:t>
      </w:r>
    </w:p>
    <w:p>
      <w:r>
        <w:rPr>
          <w:b/>
        </w:rPr>
        <w:t xml:space="preserve">16 </w:t>
      </w:r>
      <w:r>
        <w:t xml:space="preserve">And they angered Moses in camp, and Aaron, holy one of the Lord.</w:t>
      </w:r>
    </w:p>
    <w:p>
      <w:r>
        <w:rPr>
          <w:b/>
        </w:rPr>
        <w:t xml:space="preserve">17 </w:t>
      </w:r>
      <w:r>
        <w:t xml:space="preserve">Earth opened and swallowed Dathan and covered over assembly of Abiram.</w:t>
      </w:r>
    </w:p>
    <w:p>
      <w:r>
        <w:rPr>
          <w:b/>
        </w:rPr>
        <w:t xml:space="preserve">18 </w:t>
      </w:r>
      <w:r>
        <w:t xml:space="preserve">And fire burned in their assembly; flame consumed sinners.</w:t>
      </w:r>
    </w:p>
    <w:p>
      <w:r>
        <w:rPr>
          <w:b/>
        </w:rPr>
        <w:t xml:space="preserve">19 </w:t>
      </w:r>
      <w:r>
        <w:t xml:space="preserve">And they made calf in Horeb and worshiped carved image.</w:t>
      </w:r>
    </w:p>
    <w:p>
      <w:r>
        <w:rPr>
          <w:b/>
        </w:rPr>
        <w:t xml:space="preserve">20 </w:t>
      </w:r>
      <w:r>
        <w:t xml:space="preserve">And they exchanged their glory for likeness of calf eating grass.</w:t>
      </w:r>
    </w:p>
    <w:p>
      <w:r>
        <w:rPr>
          <w:b/>
        </w:rPr>
        <w:t xml:space="preserve">21 </w:t>
      </w:r>
      <w:r>
        <w:t xml:space="preserve">They forgot God saving them, one doing great things in Egypt,</w:t>
      </w:r>
    </w:p>
    <w:p>
      <w:r>
        <w:rPr>
          <w:b/>
        </w:rPr>
        <w:t xml:space="preserve">22 </w:t>
      </w:r>
      <w:r>
        <w:t xml:space="preserve">wondrous things in the land of Ham, fearful things by Red Sea.</w:t>
      </w:r>
    </w:p>
    <w:p>
      <w:r>
        <w:rPr>
          <w:b/>
        </w:rPr>
        <w:t xml:space="preserve">23 </w:t>
      </w:r>
      <w:r>
        <w:t xml:space="preserve">And he said to destroy them, if not Moses, his chosen one, stood in breaking before him to turn back his anger, so as not to destroy.</w:t>
      </w:r>
    </w:p>
    <w:p>
      <w:r>
        <w:rPr>
          <w:b/>
        </w:rPr>
        <w:t xml:space="preserve">24 </w:t>
      </w:r>
      <w:r>
        <w:t xml:space="preserve">And they despised desirable land; they did not believe his word.</w:t>
      </w:r>
    </w:p>
    <w:p>
      <w:r>
        <w:rPr>
          <w:b/>
        </w:rPr>
        <w:t xml:space="preserve">25 </w:t>
      </w:r>
      <w:r>
        <w:t xml:space="preserve">And they grumbled in their tents; they did not hear the voice of the Lord.</w:t>
      </w:r>
    </w:p>
    <w:p>
      <w:r>
        <w:rPr>
          <w:b/>
        </w:rPr>
        <w:t xml:space="preserve">26 </w:t>
      </w:r>
      <w:r>
        <w:t xml:space="preserve">And he raised his hand against them, to cast them down in the wilderness,</w:t>
      </w:r>
    </w:p>
    <w:p>
      <w:r>
        <w:rPr>
          <w:b/>
        </w:rPr>
        <w:t xml:space="preserve">27 </w:t>
      </w:r>
      <w:r>
        <w:t xml:space="preserve">and to cast down their seed among nations and scatter them in lands.</w:t>
      </w:r>
    </w:p>
    <w:p>
      <w:r>
        <w:rPr>
          <w:b/>
        </w:rPr>
        <w:t xml:space="preserve">28 </w:t>
      </w:r>
      <w:r>
        <w:t xml:space="preserve">And they were joined to Baal-peor and ate sacrifices of dead ones.</w:t>
      </w:r>
    </w:p>
    <w:p>
      <w:r>
        <w:rPr>
          <w:b/>
        </w:rPr>
        <w:t xml:space="preserve">29 </w:t>
      </w:r>
      <w:r>
        <w:t xml:space="preserve">And they provoked him in their practices, and falling was multiplied among them.</w:t>
      </w:r>
    </w:p>
    <w:p>
      <w:r>
        <w:rPr>
          <w:b/>
        </w:rPr>
        <w:t xml:space="preserve">30 </w:t>
      </w:r>
      <w:r>
        <w:t xml:space="preserve">And Phinehas stood and propitiated, and breaking ceased.</w:t>
      </w:r>
    </w:p>
    <w:p>
      <w:r>
        <w:rPr>
          <w:b/>
        </w:rPr>
        <w:t xml:space="preserve">31 </w:t>
      </w:r>
      <w:r>
        <w:t xml:space="preserve">And it was counted to him as righteousness from generation to generation forever.</w:t>
      </w:r>
    </w:p>
    <w:p>
      <w:r>
        <w:rPr>
          <w:b/>
        </w:rPr>
        <w:t xml:space="preserve">32 </w:t>
      </w:r>
      <w:r>
        <w:t xml:space="preserve">And they angered him at the water of contradiction, and Moses was harmed because of them,</w:t>
      </w:r>
    </w:p>
    <w:p>
      <w:r>
        <w:rPr>
          <w:b/>
        </w:rPr>
        <w:t xml:space="preserve">33 </w:t>
      </w:r>
      <w:r>
        <w:t xml:space="preserve">because they provoked his spirit, and he distinguished with his lips.</w:t>
      </w:r>
    </w:p>
    <w:p>
      <w:r>
        <w:rPr>
          <w:b/>
        </w:rPr>
        <w:t xml:space="preserve">34 </w:t>
      </w:r>
      <w:r>
        <w:t xml:space="preserve">They did not destroy nations which the Lord told them,</w:t>
      </w:r>
    </w:p>
    <w:p>
      <w:r>
        <w:rPr>
          <w:b/>
        </w:rPr>
        <w:t xml:space="preserve">35 </w:t>
      </w:r>
      <w:r>
        <w:t xml:space="preserve">and they mixed among nations and learned their works.</w:t>
      </w:r>
    </w:p>
    <w:p>
      <w:r>
        <w:rPr>
          <w:b/>
        </w:rPr>
        <w:t xml:space="preserve">36 </w:t>
      </w:r>
      <w:r>
        <w:t xml:space="preserve">And they served their carved images, and it became to them stumbling-block.</w:t>
      </w:r>
    </w:p>
    <w:p>
      <w:r>
        <w:rPr>
          <w:b/>
        </w:rPr>
        <w:t xml:space="preserve">37 </w:t>
      </w:r>
      <w:r>
        <w:t xml:space="preserve">And they sacrificed their sons and daughters to demons,</w:t>
      </w:r>
    </w:p>
    <w:p>
      <w:r>
        <w:rPr>
          <w:b/>
        </w:rPr>
        <w:t xml:space="preserve">38 </w:t>
      </w:r>
      <w:r>
        <w:t xml:space="preserve">and poured out innocent blood, blood of their sons and daughters whom they sacrificed to carved images of Canaan, and land was stained with bloods.</w:t>
      </w:r>
    </w:p>
    <w:p>
      <w:r>
        <w:rPr>
          <w:b/>
        </w:rPr>
        <w:t xml:space="preserve">39 </w:t>
      </w:r>
      <w:r>
        <w:t xml:space="preserve">And they were defiled in their works and prostituted in their practices.</w:t>
      </w:r>
    </w:p>
    <w:p>
      <w:r>
        <w:rPr>
          <w:b/>
        </w:rPr>
        <w:t xml:space="preserve">40 </w:t>
      </w:r>
      <w:r>
        <w:t xml:space="preserve">And the Lord was angered in fury against his people and abhorred his inheritance.</w:t>
      </w:r>
    </w:p>
    <w:p>
      <w:r>
        <w:rPr>
          <w:b/>
        </w:rPr>
        <w:t xml:space="preserve">41 </w:t>
      </w:r>
      <w:r>
        <w:t xml:space="preserve">And he handed them into the hands of nations, and those hating them ruled over them.</w:t>
      </w:r>
    </w:p>
    <w:p>
      <w:r>
        <w:rPr>
          <w:b/>
        </w:rPr>
        <w:t xml:space="preserve">42 </w:t>
      </w:r>
      <w:r>
        <w:t xml:space="preserve">And their enemies afflicted them, and they were humbled under their hands.</w:t>
      </w:r>
    </w:p>
    <w:p>
      <w:r>
        <w:rPr>
          <w:b/>
        </w:rPr>
        <w:t xml:space="preserve">43 </w:t>
      </w:r>
      <w:r>
        <w:t xml:space="preserve">Many times he rescued them, but they provoked him in their counsel and were humbled in their lawlessnesses.</w:t>
      </w:r>
    </w:p>
    <w:p>
      <w:r>
        <w:rPr>
          <w:b/>
        </w:rPr>
        <w:t xml:space="preserve">44 </w:t>
      </w:r>
      <w:r>
        <w:t xml:space="preserve">And he saw when they were afflicted, when he heard their supplication.</w:t>
      </w:r>
    </w:p>
    <w:p>
      <w:r>
        <w:rPr>
          <w:b/>
        </w:rPr>
        <w:t xml:space="preserve">45 </w:t>
      </w:r>
      <w:r>
        <w:t xml:space="preserve">And he remembered his covenant and relented according to the multitude of his mercy.</w:t>
      </w:r>
    </w:p>
    <w:p>
      <w:r>
        <w:rPr>
          <w:b/>
        </w:rPr>
        <w:t xml:space="preserve">46 </w:t>
      </w:r>
      <w:r>
        <w:t xml:space="preserve">And he gave them into compassions before all who had taken them captive.</w:t>
      </w:r>
    </w:p>
    <w:p>
      <w:r>
        <w:rPr>
          <w:b/>
        </w:rPr>
        <w:t xml:space="preserve">47 </w:t>
      </w:r>
      <w:r>
        <w:t xml:space="preserve">Save us, O Lord our God, and gather us from the nations, to confess to your holy name, to boast in your praise.</w:t>
      </w:r>
    </w:p>
    <w:p>
      <w:r>
        <w:rPr>
          <w:b/>
        </w:rPr>
        <w:t xml:space="preserve">48 </w:t>
      </w:r>
      <w:r>
        <w:t xml:space="preserve">Blessed is the Lord God of Israel from age and until age, and let all the people say, Amen, amen.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106</w:t>
      </w:r>
    </w:p>
    <w:p>
      <w:r>
        <w:rPr>
          <w:b/>
        </w:rPr>
        <w:t xml:space="preserve">1 </w:t>
      </w:r>
      <w:r>
        <w:rPr>
          <w:i/>
        </w:rPr>
        <w:t xml:space="preserve">Alleluia.</w:t>
      </w:r>
      <w:r>
        <w:br/>
      </w:r>
      <w:r>
        <w:t xml:space="preserve">Confess to the Lord, because kind, because his mercy forever.</w:t>
      </w:r>
    </w:p>
    <w:p>
      <w:r>
        <w:rPr>
          <w:b/>
        </w:rPr>
        <w:t xml:space="preserve">2 </w:t>
      </w:r>
      <w:r>
        <w:t xml:space="preserve">Let those redeemed by the Lord say so, whom he redeemed from the hand of enemy</w:t>
      </w:r>
    </w:p>
    <w:p>
      <w:r>
        <w:rPr>
          <w:b/>
        </w:rPr>
        <w:t xml:space="preserve">3 </w:t>
      </w:r>
      <w:r>
        <w:t xml:space="preserve">and gathered them from lands, from east and west and north and sea.</w:t>
      </w:r>
    </w:p>
    <w:p>
      <w:r>
        <w:rPr>
          <w:b/>
        </w:rPr>
        <w:t xml:space="preserve">4 </w:t>
      </w:r>
      <w:r>
        <w:t xml:space="preserve">They wandered in the wilderness, in waterless place; they did not find way of the city of dwelling.</w:t>
      </w:r>
    </w:p>
    <w:p>
      <w:r>
        <w:rPr>
          <w:b/>
        </w:rPr>
        <w:t xml:space="preserve">5 </w:t>
      </w:r>
      <w:r>
        <w:t xml:space="preserve">Hungry and thirsty, their soul in them failed.</w:t>
      </w:r>
    </w:p>
    <w:p>
      <w:r>
        <w:rPr>
          <w:b/>
        </w:rPr>
        <w:t xml:space="preserve">6 </w:t>
      </w:r>
      <w:r>
        <w:t xml:space="preserve">And they cried to the Lord when they were afflicted, and from their necessities he rescued them.</w:t>
      </w:r>
    </w:p>
    <w:p>
      <w:r>
        <w:rPr>
          <w:b/>
        </w:rPr>
        <w:t xml:space="preserve">7 </w:t>
      </w:r>
      <w:r>
        <w:t xml:space="preserve">And he guided them in straight way to go into the city of dwelling.</w:t>
      </w:r>
    </w:p>
    <w:p>
      <w:r>
        <w:rPr>
          <w:b/>
        </w:rPr>
        <w:t xml:space="preserve">8 </w:t>
      </w:r>
      <w:r>
        <w:t xml:space="preserve">Let them confess to the Lord his mercies and his wonders to the sons of men,</w:t>
      </w:r>
    </w:p>
    <w:p>
      <w:r>
        <w:rPr>
          <w:b/>
        </w:rPr>
        <w:t xml:space="preserve">9 </w:t>
      </w:r>
      <w:r>
        <w:t xml:space="preserve">because he satisfied empty soul, and hungry soul he filled with good things.</w:t>
      </w:r>
    </w:p>
    <w:p>
      <w:r>
        <w:rPr>
          <w:b/>
        </w:rPr>
        <w:t xml:space="preserve">10 </w:t>
      </w:r>
      <w:r>
        <w:t xml:space="preserve">Those sitting in darkness and the shadow of death, chained in poverty and iron,</w:t>
      </w:r>
    </w:p>
    <w:p>
      <w:r>
        <w:rPr>
          <w:b/>
        </w:rPr>
        <w:t xml:space="preserve">11 </w:t>
      </w:r>
      <w:r>
        <w:t xml:space="preserve">because they provoked the words of God and angered counsel of Most High.</w:t>
      </w:r>
    </w:p>
    <w:p>
      <w:r>
        <w:rPr>
          <w:b/>
        </w:rPr>
        <w:t xml:space="preserve">12 </w:t>
      </w:r>
      <w:r>
        <w:t xml:space="preserve">And their heart was humbled in labors; they grew weak, and there was none helping.</w:t>
      </w:r>
    </w:p>
    <w:p>
      <w:r>
        <w:rPr>
          <w:b/>
        </w:rPr>
        <w:t xml:space="preserve">13 </w:t>
      </w:r>
      <w:r>
        <w:t xml:space="preserve">And they cried to the Lord when they were afflicted, and from their necessities he saved them.</w:t>
      </w:r>
    </w:p>
    <w:p>
      <w:r>
        <w:rPr>
          <w:b/>
        </w:rPr>
        <w:t xml:space="preserve">14 </w:t>
      </w:r>
      <w:r>
        <w:t xml:space="preserve">And he led them out from darkness and the shadow of death and tore apart their bonds.</w:t>
      </w:r>
    </w:p>
    <w:p>
      <w:r>
        <w:rPr>
          <w:b/>
        </w:rPr>
        <w:t xml:space="preserve">15 </w:t>
      </w:r>
      <w:r>
        <w:t xml:space="preserve">Let them confess to the Lord his mercies and his wonders to the sons of men,</w:t>
      </w:r>
    </w:p>
    <w:p>
      <w:r>
        <w:rPr>
          <w:b/>
        </w:rPr>
        <w:t xml:space="preserve">16 </w:t>
      </w:r>
      <w:r>
        <w:t xml:space="preserve">because he shattered bronze gates and broke iron bars.</w:t>
      </w:r>
    </w:p>
    <w:p>
      <w:r>
        <w:rPr>
          <w:b/>
        </w:rPr>
        <w:t xml:space="preserve">17 </w:t>
      </w:r>
      <w:r>
        <w:t xml:space="preserve">He took hold of them out of way of their lawlessnesses, for because of their lawlessnesses they were humbled.</w:t>
      </w:r>
    </w:p>
    <w:p>
      <w:r>
        <w:rPr>
          <w:b/>
        </w:rPr>
        <w:t xml:space="preserve">18 </w:t>
      </w:r>
      <w:r>
        <w:t xml:space="preserve">Their soul abhorred all food, and they drew near to the gates of death.</w:t>
      </w:r>
    </w:p>
    <w:p>
      <w:r>
        <w:rPr>
          <w:b/>
        </w:rPr>
        <w:t xml:space="preserve">19 </w:t>
      </w:r>
      <w:r>
        <w:t xml:space="preserve">And they cried to the Lord when they were afflicted, and from their necessities he saved them.</w:t>
      </w:r>
    </w:p>
    <w:p>
      <w:r>
        <w:rPr>
          <w:b/>
        </w:rPr>
        <w:t xml:space="preserve">20 </w:t>
      </w:r>
      <w:r>
        <w:t xml:space="preserve">He sent his word and healed them and rescued them from their corruptions.</w:t>
      </w:r>
    </w:p>
    <w:p>
      <w:r>
        <w:rPr>
          <w:b/>
        </w:rPr>
        <w:t xml:space="preserve">21 </w:t>
      </w:r>
      <w:r>
        <w:t xml:space="preserve">Let them confess to the Lord his mercies and his wonders to the sons of men,</w:t>
      </w:r>
    </w:p>
    <w:p>
      <w:r>
        <w:rPr>
          <w:b/>
        </w:rPr>
        <w:t xml:space="preserve">22 </w:t>
      </w:r>
      <w:r>
        <w:t xml:space="preserve">and let them offer a sacrifice of praise and declare his works in exultation.</w:t>
      </w:r>
    </w:p>
    <w:p>
      <w:r>
        <w:rPr>
          <w:b/>
        </w:rPr>
        <w:t xml:space="preserve">23 </w:t>
      </w:r>
      <w:r>
        <w:t xml:space="preserve">Those going down into sea in ships, doing business in many waters,</w:t>
      </w:r>
    </w:p>
    <w:p>
      <w:r>
        <w:rPr>
          <w:b/>
        </w:rPr>
        <w:t xml:space="preserve">24 </w:t>
      </w:r>
      <w:r>
        <w:t xml:space="preserve">they saw works of the Lord and his wonders in deep.</w:t>
      </w:r>
    </w:p>
    <w:p>
      <w:r>
        <w:rPr>
          <w:b/>
        </w:rPr>
        <w:t xml:space="preserve">25 </w:t>
      </w:r>
      <w:r>
        <w:t xml:space="preserve">He spoke, and storm wind stood, and its waves were lifted up.</w:t>
      </w:r>
    </w:p>
    <w:p>
      <w:r>
        <w:rPr>
          <w:b/>
        </w:rPr>
        <w:t xml:space="preserve">26 </w:t>
      </w:r>
      <w:r>
        <w:t xml:space="preserve">They go up to heavens and go down to deeps; their soul in evils was melting.</w:t>
      </w:r>
    </w:p>
    <w:p>
      <w:r>
        <w:rPr>
          <w:b/>
        </w:rPr>
        <w:t xml:space="preserve">27 </w:t>
      </w:r>
      <w:r>
        <w:t xml:space="preserve">They were troubled, they were shaken like a drunkard, and all their wisdom was swallowed up.</w:t>
      </w:r>
    </w:p>
    <w:p>
      <w:r>
        <w:rPr>
          <w:b/>
        </w:rPr>
        <w:t xml:space="preserve">28 </w:t>
      </w:r>
      <w:r>
        <w:t xml:space="preserve">And they cried to the Lord when they were afflicted, and from their necessities he brought them out.</w:t>
      </w:r>
    </w:p>
    <w:p>
      <w:r>
        <w:rPr>
          <w:b/>
        </w:rPr>
        <w:t xml:space="preserve">29 </w:t>
      </w:r>
      <w:r>
        <w:t xml:space="preserve">And he commanded storm, and it stood to breeze, and its waves were silent.</w:t>
      </w:r>
    </w:p>
    <w:p>
      <w:r>
        <w:rPr>
          <w:b/>
        </w:rPr>
        <w:t xml:space="preserve">30 </w:t>
      </w:r>
      <w:r>
        <w:t xml:space="preserve">And they rejoiced because they were quiet, and he guided them to harbor of their will.</w:t>
      </w:r>
    </w:p>
    <w:p>
      <w:r>
        <w:rPr>
          <w:b/>
        </w:rPr>
        <w:t xml:space="preserve">31 </w:t>
      </w:r>
      <w:r>
        <w:t xml:space="preserve">Let them confess to the Lord his mercies and his wonders to the sons of men,</w:t>
      </w:r>
    </w:p>
    <w:p>
      <w:r>
        <w:rPr>
          <w:b/>
        </w:rPr>
        <w:t xml:space="preserve">32 </w:t>
      </w:r>
      <w:r>
        <w:t xml:space="preserve">let them exalt him in the assembly of the people, and in the seat of elders let them praise him.</w:t>
      </w:r>
    </w:p>
    <w:p>
      <w:r>
        <w:rPr>
          <w:b/>
        </w:rPr>
        <w:t xml:space="preserve">33 </w:t>
      </w:r>
      <w:r>
        <w:t xml:space="preserve">He made rivers into desert and outgoings of waters into thirst,</w:t>
      </w:r>
    </w:p>
    <w:p>
      <w:r>
        <w:rPr>
          <w:b/>
        </w:rPr>
        <w:t xml:space="preserve">34 </w:t>
      </w:r>
      <w:r>
        <w:t xml:space="preserve">fruitful land into salt-flat because of evil of those dwelling in it.</w:t>
      </w:r>
    </w:p>
    <w:p>
      <w:r>
        <w:rPr>
          <w:b/>
        </w:rPr>
        <w:t xml:space="preserve">35 </w:t>
      </w:r>
      <w:r>
        <w:t xml:space="preserve">He made desert into pools of waters and waterless land into outgoings of waters.</w:t>
      </w:r>
    </w:p>
    <w:p>
      <w:r>
        <w:rPr>
          <w:b/>
        </w:rPr>
        <w:t xml:space="preserve">36 </w:t>
      </w:r>
      <w:r>
        <w:t xml:space="preserve">And he settled there hungry ones, and they established city of dwelling.</w:t>
      </w:r>
    </w:p>
    <w:p>
      <w:r>
        <w:rPr>
          <w:b/>
        </w:rPr>
        <w:t xml:space="preserve">37 </w:t>
      </w:r>
      <w:r>
        <w:t xml:space="preserve">And they sowed fields and planted vineyards and made fruit of produce.</w:t>
      </w:r>
    </w:p>
    <w:p>
      <w:r>
        <w:rPr>
          <w:b/>
        </w:rPr>
        <w:t xml:space="preserve">38 </w:t>
      </w:r>
      <w:r>
        <w:t xml:space="preserve">And he blessed them, and they multiplied exceedingly, and their cattle he did not lessen.</w:t>
      </w:r>
    </w:p>
    <w:p>
      <w:r>
        <w:rPr>
          <w:b/>
        </w:rPr>
        <w:t xml:space="preserve">39 </w:t>
      </w:r>
      <w:r>
        <w:t xml:space="preserve">And they were few and afflicted from the affliction of evils and pain.</w:t>
      </w:r>
    </w:p>
    <w:p>
      <w:r>
        <w:rPr>
          <w:b/>
        </w:rPr>
        <w:t xml:space="preserve">40 </w:t>
      </w:r>
      <w:r>
        <w:t xml:space="preserve">Contempt was poured out upon rulers, and he made them wander in trackless place and not way.</w:t>
      </w:r>
    </w:p>
    <w:p>
      <w:r>
        <w:rPr>
          <w:b/>
        </w:rPr>
        <w:t xml:space="preserve">41 </w:t>
      </w:r>
      <w:r>
        <w:t xml:space="preserve">And he helped a poor man</w:t>
      </w:r>
      <w:r>
        <w:rPr>
          <w:rStyle w:val="FootnoteReference"/>
        </w:rPr>
        <w:footnoteReference w:id="10634"/>
      </w:r>
      <w:r>
        <w:t xml:space="preserve"> out of poverty and made families like sheep.</w:t>
      </w:r>
    </w:p>
    <w:p>
      <w:r>
        <w:rPr>
          <w:b/>
        </w:rPr>
        <w:t xml:space="preserve">42 </w:t>
      </w:r>
      <w:r>
        <w:t xml:space="preserve">Straight ones will see and rejoice, and all lawlessness will shut its mouth.</w:t>
      </w:r>
    </w:p>
    <w:p>
      <w:r>
        <w:rPr>
          <w:b/>
        </w:rPr>
        <w:t xml:space="preserve">43 </w:t>
      </w:r>
      <w:r>
        <w:t xml:space="preserve">Who wise and will keep these things? And they will understand mercies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107</w:t>
      </w:r>
    </w:p>
    <w:p>
      <w:r>
        <w:rPr>
          <w:b/>
        </w:rPr>
        <w:t xml:space="preserve">1 </w:t>
      </w:r>
      <w:r>
        <w:rPr>
          <w:i/>
        </w:rPr>
        <w:t xml:space="preserve">Song of psalm of David.</w:t>
      </w:r>
      <w:r>
        <w:t xml:space="preserve"/>
      </w:r>
    </w:p>
    <w:p>
      <w:r>
        <w:rPr>
          <w:b/>
        </w:rPr>
        <w:t xml:space="preserve">2 </w:t>
      </w:r>
      <w:r>
        <w:t xml:space="preserve">Ready my heart, O God, ready my heart; I will sing and make melody in my glory.</w:t>
      </w:r>
    </w:p>
    <w:p>
      <w:r>
        <w:rPr>
          <w:b/>
        </w:rPr>
        <w:t xml:space="preserve">3 </w:t>
      </w:r>
      <w:r>
        <w:t xml:space="preserve">Awake, psaltery and lyre; I will awake at dawn.</w:t>
      </w:r>
    </w:p>
    <w:p>
      <w:r>
        <w:rPr>
          <w:b/>
        </w:rPr>
        <w:t xml:space="preserve">4 </w:t>
      </w:r>
      <w:r>
        <w:t xml:space="preserve">I will confess to you among peoples, Lord, and sing to you among nations,</w:t>
      </w:r>
    </w:p>
    <w:p>
      <w:r>
        <w:rPr>
          <w:b/>
        </w:rPr>
        <w:t xml:space="preserve">5 </w:t>
      </w:r>
      <w:r>
        <w:t xml:space="preserve">because great above heavens your mercy and unto clouds your truth.</w:t>
      </w:r>
    </w:p>
    <w:p>
      <w:r>
        <w:rPr>
          <w:b/>
        </w:rPr>
        <w:t xml:space="preserve">6 </w:t>
      </w:r>
      <w:r>
        <w:t xml:space="preserve">Be exalted above heavens, O God, and over all the earth your glory.</w:t>
      </w:r>
    </w:p>
    <w:p>
      <w:r>
        <w:rPr>
          <w:b/>
        </w:rPr>
        <w:t xml:space="preserve">7 </w:t>
      </w:r>
      <w:r>
        <w:t xml:space="preserve">So that your beloved ones may be rescued, save with your right hand and hear me.</w:t>
      </w:r>
    </w:p>
    <w:p>
      <w:r>
        <w:rPr>
          <w:b/>
        </w:rPr>
        <w:t xml:space="preserve">8 </w:t>
      </w:r>
      <w:r>
        <w:t xml:space="preserve">God spoke in his holy place: I will be exalted and divide Shechem and valley of tents I will measure out.</w:t>
      </w:r>
    </w:p>
    <w:p>
      <w:r>
        <w:rPr>
          <w:b/>
        </w:rPr>
        <w:t xml:space="preserve">9 </w:t>
      </w:r>
      <w:r>
        <w:t xml:space="preserve">Mine Gilead and mine Manasseh, and Ephraim support of my head, Judah my king.</w:t>
      </w:r>
    </w:p>
    <w:p>
      <w:r>
        <w:rPr>
          <w:b/>
        </w:rPr>
        <w:t xml:space="preserve">10 </w:t>
      </w:r>
      <w:r>
        <w:t xml:space="preserve">Moab cauldron of my hope; upon Edom I will stretch out my sandal; foreigners were subjected to me.</w:t>
      </w:r>
    </w:p>
    <w:p>
      <w:r>
        <w:rPr>
          <w:b/>
        </w:rPr>
        <w:t xml:space="preserve">11 </w:t>
      </w:r>
      <w:r>
        <w:t xml:space="preserve">Who will bring me into fortified city? Who will guide me as far as Edom?</w:t>
      </w:r>
    </w:p>
    <w:p>
      <w:r>
        <w:rPr>
          <w:b/>
        </w:rPr>
        <w:t xml:space="preserve">12 </w:t>
      </w:r>
      <w:r>
        <w:t xml:space="preserve">Is it not you, O God, who rejected us? And God will not go out with our powers.</w:t>
      </w:r>
    </w:p>
    <w:p>
      <w:r>
        <w:rPr>
          <w:b/>
        </w:rPr>
        <w:t xml:space="preserve">13 </w:t>
      </w:r>
      <w:r>
        <w:t xml:space="preserve">Give us help from affliction, and salvation of man is vain.</w:t>
      </w:r>
    </w:p>
    <w:p>
      <w:r>
        <w:rPr>
          <w:b/>
        </w:rPr>
        <w:t xml:space="preserve">14 </w:t>
      </w:r>
      <w:r>
        <w:t xml:space="preserve">In God we will do mighty deed, and he will despise our enemies.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108</w:t>
      </w:r>
    </w:p>
    <w:p>
      <w:r>
        <w:rPr>
          <w:b/>
        </w:rPr>
        <w:t xml:space="preserve">1 </w:t>
      </w:r>
      <w:r>
        <w:rPr>
          <w:i/>
        </w:rPr>
        <w:t xml:space="preserve">For end, of David, psalm.</w:t>
      </w:r>
      <w:r>
        <w:br/>
      </w:r>
      <w:r>
        <w:t xml:space="preserve">O God, my praise, do not pass over in silence,</w:t>
      </w:r>
    </w:p>
    <w:p>
      <w:r>
        <w:rPr>
          <w:b/>
        </w:rPr>
        <w:t xml:space="preserve">2 </w:t>
      </w:r>
      <w:r>
        <w:t xml:space="preserve">because the mouth of a sinner and the mouth of a deceitful one opened against me; they spoke against me with a deceitful tongue</w:t>
      </w:r>
      <w:r>
        <w:rPr>
          <w:rStyle w:val="FootnoteReference"/>
        </w:rPr>
        <w:footnoteReference w:id="10635"/>
      </w:r>
      <w:r>
        <w:t xml:space="preserve">.</w:t>
      </w:r>
    </w:p>
    <w:p>
      <w:r>
        <w:rPr>
          <w:b/>
        </w:rPr>
        <w:t xml:space="preserve">3 </w:t>
      </w:r>
      <w:r>
        <w:t xml:space="preserve">And with the words of hatred they surrounded me and fought me without cause.</w:t>
      </w:r>
    </w:p>
    <w:p>
      <w:r>
        <w:rPr>
          <w:b/>
        </w:rPr>
        <w:t xml:space="preserve">4 </w:t>
      </w:r>
      <w:r>
        <w:t xml:space="preserve">Instead of loving me they slandered me, but I was praying.</w:t>
      </w:r>
    </w:p>
    <w:p>
      <w:r>
        <w:rPr>
          <w:b/>
        </w:rPr>
        <w:t xml:space="preserve">5 </w:t>
      </w:r>
      <w:r>
        <w:t xml:space="preserve">And they set against me evils for good things and hatred for my love.</w:t>
      </w:r>
    </w:p>
    <w:p>
      <w:r>
        <w:rPr>
          <w:b/>
        </w:rPr>
        <w:t xml:space="preserve">6 </w:t>
      </w:r>
      <w:r>
        <w:t xml:space="preserve">Appoint sinner over him, and let devil stand at his right hand.</w:t>
      </w:r>
    </w:p>
    <w:p>
      <w:r>
        <w:rPr>
          <w:b/>
        </w:rPr>
        <w:t xml:space="preserve">7 </w:t>
      </w:r>
      <w:r>
        <w:t xml:space="preserve">When he is judged, let him go out condemned, and let his prayer become sin.</w:t>
      </w:r>
    </w:p>
    <w:p>
      <w:r>
        <w:rPr>
          <w:b/>
        </w:rPr>
        <w:t xml:space="preserve">8 </w:t>
      </w:r>
      <w:r>
        <w:t xml:space="preserve">Let his days become few, and let another take his oversight.</w:t>
      </w:r>
    </w:p>
    <w:p>
      <w:r>
        <w:rPr>
          <w:b/>
        </w:rPr>
        <w:t xml:space="preserve">9 </w:t>
      </w:r>
      <w:r>
        <w:t xml:space="preserve">Let his sons become orphans and his wife widow.</w:t>
      </w:r>
    </w:p>
    <w:p>
      <w:r>
        <w:rPr>
          <w:b/>
        </w:rPr>
        <w:t xml:space="preserve">10 </w:t>
      </w:r>
      <w:r>
        <w:t xml:space="preserve">Trembling, let his sons wander and beg; let them be cast out from their homesteads.</w:t>
      </w:r>
    </w:p>
    <w:p>
      <w:r>
        <w:rPr>
          <w:b/>
        </w:rPr>
        <w:t xml:space="preserve">11 </w:t>
      </w:r>
      <w:r>
        <w:t xml:space="preserve">Let lender search out all things he has; let strangers plunder his labors.</w:t>
      </w:r>
    </w:p>
    <w:p>
      <w:r>
        <w:rPr>
          <w:b/>
        </w:rPr>
        <w:t xml:space="preserve">12 </w:t>
      </w:r>
      <w:r>
        <w:t xml:space="preserve">Let there be no supporter for him, nor let there be one compassionate to his orphans.</w:t>
      </w:r>
    </w:p>
    <w:p>
      <w:r>
        <w:rPr>
          <w:b/>
        </w:rPr>
        <w:t xml:space="preserve">13 </w:t>
      </w:r>
      <w:r>
        <w:t xml:space="preserve">Let his children be for destruction; in one generation let his name be blotted out.</w:t>
      </w:r>
    </w:p>
    <w:p>
      <w:r>
        <w:rPr>
          <w:b/>
        </w:rPr>
        <w:t xml:space="preserve">14 </w:t>
      </w:r>
      <w:r>
        <w:t xml:space="preserve">Let lawlessness of his fathers be remembered before the Lord, and sin of his mother let it not be blotted out.</w:t>
      </w:r>
    </w:p>
    <w:p>
      <w:r>
        <w:rPr>
          <w:b/>
        </w:rPr>
        <w:t xml:space="preserve">15 </w:t>
      </w:r>
      <w:r>
        <w:t xml:space="preserve">Let them be before the Lord continually, and let their memory be destroyed from earth,</w:t>
      </w:r>
    </w:p>
    <w:p>
      <w:r>
        <w:rPr>
          <w:b/>
        </w:rPr>
        <w:t xml:space="preserve">16 </w:t>
      </w:r>
      <w:r>
        <w:t xml:space="preserve">because he did not remember to do mercy and pursued poor and needy man and one pierced in heart to kill.</w:t>
      </w:r>
    </w:p>
    <w:p>
      <w:r>
        <w:rPr>
          <w:b/>
        </w:rPr>
        <w:t xml:space="preserve">17 </w:t>
      </w:r>
      <w:r>
        <w:t xml:space="preserve">And he loved curse, and it will come to him; and he did not want blessing, and it will be far from him.</w:t>
      </w:r>
    </w:p>
    <w:p>
      <w:r>
        <w:rPr>
          <w:b/>
        </w:rPr>
        <w:t xml:space="preserve">18 </w:t>
      </w:r>
      <w:r>
        <w:t xml:space="preserve">And he clothed himself with curse like a garment, and it entered like water into his inward parts and like oil into his bones.</w:t>
      </w:r>
    </w:p>
    <w:p>
      <w:r>
        <w:rPr>
          <w:b/>
        </w:rPr>
        <w:t xml:space="preserve">19 </w:t>
      </w:r>
      <w:r>
        <w:t xml:space="preserve">Let it become to him like a garment he wraps around and like belt which he girds continually.</w:t>
      </w:r>
    </w:p>
    <w:p>
      <w:r>
        <w:rPr>
          <w:b/>
        </w:rPr>
        <w:t xml:space="preserve">20 </w:t>
      </w:r>
      <w:r>
        <w:t xml:space="preserve">This work of those slandering me from the Lord and of those speaking evil against my soul.</w:t>
      </w:r>
    </w:p>
    <w:p>
      <w:r>
        <w:rPr>
          <w:b/>
        </w:rPr>
        <w:t xml:space="preserve">21 </w:t>
      </w:r>
      <w:r>
        <w:t xml:space="preserve">But you, Lord, Lord, deal mercifully with me for the sake of your name, because your mercy kind.</w:t>
      </w:r>
    </w:p>
    <w:p>
      <w:r>
        <w:rPr>
          <w:b/>
        </w:rPr>
        <w:t xml:space="preserve">22 </w:t>
      </w:r>
      <w:r>
        <w:t xml:space="preserve">Rescue me, because I poor and needy, and my heart troubled within me.</w:t>
      </w:r>
    </w:p>
    <w:p>
      <w:r>
        <w:rPr>
          <w:b/>
        </w:rPr>
        <w:t xml:space="preserve">23 </w:t>
      </w:r>
      <w:r>
        <w:t xml:space="preserve">Like shadow in its decline I was taken away; I was shaken out like locusts.</w:t>
      </w:r>
    </w:p>
    <w:p>
      <w:r>
        <w:rPr>
          <w:b/>
        </w:rPr>
        <w:t xml:space="preserve">24 </w:t>
      </w:r>
      <w:r>
        <w:t xml:space="preserve">My knees grew weak from fasting, and my flesh was changed away from oil.</w:t>
      </w:r>
    </w:p>
    <w:p>
      <w:r>
        <w:rPr>
          <w:b/>
        </w:rPr>
        <w:t xml:space="preserve">25 </w:t>
      </w:r>
      <w:r>
        <w:t xml:space="preserve">And I became a reproach to them; they saw me and shook their heads.</w:t>
      </w:r>
    </w:p>
    <w:p>
      <w:r>
        <w:rPr>
          <w:b/>
        </w:rPr>
        <w:t xml:space="preserve">26 </w:t>
      </w:r>
      <w:r>
        <w:t xml:space="preserve">Help me, Lord my God; save me according to your mercy.</w:t>
      </w:r>
    </w:p>
    <w:p>
      <w:r>
        <w:rPr>
          <w:b/>
        </w:rPr>
        <w:t xml:space="preserve">27 </w:t>
      </w:r>
      <w:r>
        <w:t xml:space="preserve">And let them know that this your hand, and you, Lord, did it.</w:t>
      </w:r>
    </w:p>
    <w:p>
      <w:r>
        <w:rPr>
          <w:b/>
        </w:rPr>
        <w:t xml:space="preserve">28 </w:t>
      </w:r>
      <w:r>
        <w:t xml:space="preserve">They will curse, but you will bless; those rising against me let them be shamed, but your servant will rejoice.</w:t>
      </w:r>
    </w:p>
    <w:p>
      <w:r>
        <w:rPr>
          <w:b/>
        </w:rPr>
        <w:t xml:space="preserve">29 </w:t>
      </w:r>
      <w:r>
        <w:t xml:space="preserve">Let those slandering me be clothed in shame and wrap their shame around themselves like double-cloak.</w:t>
      </w:r>
    </w:p>
    <w:p>
      <w:r>
        <w:rPr>
          <w:b/>
        </w:rPr>
        <w:t xml:space="preserve">30 </w:t>
      </w:r>
      <w:r>
        <w:t xml:space="preserve">I will confess to the Lord exceedingly with my mouth, and in the midst of many I will praise him,</w:t>
      </w:r>
    </w:p>
    <w:p>
      <w:r>
        <w:rPr>
          <w:b/>
        </w:rPr>
        <w:t xml:space="preserve">31 </w:t>
      </w:r>
      <w:r>
        <w:t xml:space="preserve">because he stood at the right hand of a poor man to save from those pursuing my soul.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109</w:t>
      </w:r>
    </w:p>
    <w:p>
      <w:r>
        <w:rPr>
          <w:b/>
        </w:rPr>
        <w:t xml:space="preserve">1 </w:t>
      </w:r>
      <w:r>
        <w:rPr>
          <w:i/>
        </w:rPr>
        <w:t xml:space="preserve">Of David. Psalm.</w:t>
      </w:r>
      <w:r>
        <w:br/>
      </w:r>
      <w:r>
        <w:t xml:space="preserve">The Lord said to my Lord</w:t>
      </w:r>
      <w:r>
        <w:rPr>
          <w:rStyle w:val="FootnoteReference"/>
        </w:rPr>
        <w:footnoteReference w:id="10636"/>
      </w:r>
      <w:r>
        <w:t xml:space="preserve">, Sit at my right hand until I place your enemies footstool of your feet.</w:t>
      </w:r>
    </w:p>
    <w:p>
      <w:r>
        <w:rPr>
          <w:b/>
        </w:rPr>
        <w:t xml:space="preserve">2 </w:t>
      </w:r>
      <w:r>
        <w:t xml:space="preserve">The Lord will send rod of your power from Zion, and rule in the midst of your enemies.</w:t>
      </w:r>
    </w:p>
    <w:p>
      <w:r>
        <w:rPr>
          <w:b/>
        </w:rPr>
        <w:t xml:space="preserve">3 </w:t>
      </w:r>
      <w:r>
        <w:t xml:space="preserve">With you beginning in the day of your power, in splendors of holy ones; from womb before morning-star I begot you.</w:t>
      </w:r>
    </w:p>
    <w:p>
      <w:r>
        <w:rPr>
          <w:b/>
        </w:rPr>
        <w:t xml:space="preserve">4 </w:t>
      </w:r>
      <w:r>
        <w:t xml:space="preserve">The Lord swore and will not regret, You priest forever according to order of Melchizedek.</w:t>
      </w:r>
    </w:p>
    <w:p>
      <w:r>
        <w:rPr>
          <w:b/>
        </w:rPr>
        <w:t xml:space="preserve">5 </w:t>
      </w:r>
      <w:r>
        <w:t xml:space="preserve">The Lord at your right hand crushed kings in the day of his anger.</w:t>
      </w:r>
    </w:p>
    <w:p>
      <w:r>
        <w:rPr>
          <w:b/>
        </w:rPr>
        <w:t xml:space="preserve">6 </w:t>
      </w:r>
      <w:r>
        <w:t xml:space="preserve">He will judge among nations, he will fill corpses, he will crush heads over the land of many.</w:t>
      </w:r>
    </w:p>
    <w:p>
      <w:r>
        <w:rPr>
          <w:b/>
        </w:rPr>
        <w:t xml:space="preserve">7 </w:t>
      </w:r>
      <w:r>
        <w:t xml:space="preserve">From torrent in way he will drink; therefore he will lift up head.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110</w:t>
      </w:r>
    </w:p>
    <w:p>
      <w:r>
        <w:rPr>
          <w:b/>
        </w:rPr>
        <w:t xml:space="preserve">1 </w:t>
      </w:r>
      <w:r>
        <w:rPr>
          <w:i/>
        </w:rPr>
        <w:t xml:space="preserve">Alleluia.</w:t>
      </w:r>
      <w:r>
        <w:br/>
      </w:r>
      <w:r>
        <w:t xml:space="preserve">I will confess to you, Lord, with all my heart</w:t>
      </w:r>
      <w:r>
        <w:rPr>
          <w:rStyle w:val="FootnoteReference"/>
        </w:rPr>
        <w:footnoteReference w:id="10637"/>
      </w:r>
      <w:r>
        <w:t xml:space="preserve">, in the council of straight ones and gathering.</w:t>
      </w:r>
    </w:p>
    <w:p>
      <w:r>
        <w:rPr>
          <w:b/>
        </w:rPr>
        <w:t xml:space="preserve">2 </w:t>
      </w:r>
      <w:r>
        <w:t xml:space="preserve">Great works of the Lord, sought out for all his wills.</w:t>
      </w:r>
    </w:p>
    <w:p>
      <w:r>
        <w:rPr>
          <w:b/>
        </w:rPr>
        <w:t xml:space="preserve">3 </w:t>
      </w:r>
      <w:r>
        <w:t xml:space="preserve">Confession and magnificence his work, and his righteousness remains forever and ever.</w:t>
      </w:r>
    </w:p>
    <w:p>
      <w:r>
        <w:rPr>
          <w:b/>
        </w:rPr>
        <w:t xml:space="preserve">4 </w:t>
      </w:r>
      <w:r>
        <w:t xml:space="preserve">He made remembrance of his wonders; merciful and compassionate Lord</w:t>
      </w:r>
      <w:r>
        <w:rPr>
          <w:rStyle w:val="FootnoteReference"/>
        </w:rPr>
        <w:footnoteReference w:id="10638"/>
      </w:r>
      <w:r>
        <w:t xml:space="preserve">.</w:t>
      </w:r>
    </w:p>
    <w:p>
      <w:r>
        <w:rPr>
          <w:b/>
        </w:rPr>
        <w:t xml:space="preserve">5 </w:t>
      </w:r>
      <w:r>
        <w:t xml:space="preserve">He gave food to those fearing him; he will remember his covenant forever.</w:t>
      </w:r>
    </w:p>
    <w:p>
      <w:r>
        <w:rPr>
          <w:b/>
        </w:rPr>
        <w:t xml:space="preserve">6 </w:t>
      </w:r>
      <w:r>
        <w:t xml:space="preserve">He declared strength of his works to his people, to give them inheritance of nations.</w:t>
      </w:r>
    </w:p>
    <w:p>
      <w:r>
        <w:rPr>
          <w:b/>
        </w:rPr>
        <w:t xml:space="preserve">7 </w:t>
      </w:r>
      <w:r>
        <w:t xml:space="preserve">The works of his hands truth and judgment; all his commandments faithful,</w:t>
      </w:r>
    </w:p>
    <w:p>
      <w:r>
        <w:rPr>
          <w:b/>
        </w:rPr>
        <w:t xml:space="preserve">8 </w:t>
      </w:r>
      <w:r>
        <w:t xml:space="preserve">established forever and ever, done in truth and uprightness.</w:t>
      </w:r>
    </w:p>
    <w:p>
      <w:r>
        <w:rPr>
          <w:b/>
        </w:rPr>
        <w:t xml:space="preserve">9 </w:t>
      </w:r>
      <w:r>
        <w:t xml:space="preserve">He sent redemption to his people; he commanded his covenant forever; holy and fearful his name.</w:t>
      </w:r>
    </w:p>
    <w:p>
      <w:r>
        <w:rPr>
          <w:b/>
        </w:rPr>
        <w:t xml:space="preserve">10 </w:t>
      </w:r>
      <w:r>
        <w:t xml:space="preserve">The beginning of wisdom is the fear of the Lord; good understanding to all doing it; his praise remains forever and 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111</w:t>
      </w:r>
    </w:p>
    <w:p>
      <w:r>
        <w:rPr>
          <w:b/>
        </w:rPr>
        <w:t xml:space="preserve">1 </w:t>
      </w:r>
      <w:r>
        <w:rPr>
          <w:i/>
        </w:rPr>
        <w:t xml:space="preserve">Alleluia.</w:t>
      </w:r>
      <w:r>
        <w:br/>
      </w:r>
      <w:r>
        <w:t xml:space="preserve">Blessed is the man fearing the Lord; in his commandments he will desire greatly.</w:t>
      </w:r>
    </w:p>
    <w:p>
      <w:r>
        <w:rPr>
          <w:b/>
        </w:rPr>
        <w:t xml:space="preserve">2 </w:t>
      </w:r>
      <w:r>
        <w:t xml:space="preserve">His seed will be mighty in earth; generation of straight ones will be blessed.</w:t>
      </w:r>
    </w:p>
    <w:p>
      <w:r>
        <w:rPr>
          <w:b/>
        </w:rPr>
        <w:t xml:space="preserve">3 </w:t>
      </w:r>
      <w:r>
        <w:t xml:space="preserve">Glory and wealth are in his house, and his righteousness</w:t>
      </w:r>
      <w:r>
        <w:rPr>
          <w:rStyle w:val="FootnoteReference"/>
        </w:rPr>
        <w:footnoteReference w:id="10639"/>
      </w:r>
      <w:r>
        <w:t xml:space="preserve"> remains forever and ever.</w:t>
      </w:r>
    </w:p>
    <w:p>
      <w:r>
        <w:rPr>
          <w:b/>
        </w:rPr>
        <w:t xml:space="preserve">4 </w:t>
      </w:r>
      <w:r>
        <w:t xml:space="preserve">Light rose in darkness for straight ones, merciful and compassionate and righteous.</w:t>
      </w:r>
    </w:p>
    <w:p>
      <w:r>
        <w:rPr>
          <w:b/>
        </w:rPr>
        <w:t xml:space="preserve">5 </w:t>
      </w:r>
      <w:r>
        <w:t xml:space="preserve">Good man, one showing compassion and lending, will manage his matters in judgment,</w:t>
      </w:r>
    </w:p>
    <w:p>
      <w:r>
        <w:rPr>
          <w:b/>
        </w:rPr>
        <w:t xml:space="preserve">6 </w:t>
      </w:r>
      <w:r>
        <w:t xml:space="preserve">because forever he will not be shaken; righteous one will be in everlasting remembrance.</w:t>
      </w:r>
    </w:p>
    <w:p>
      <w:r>
        <w:rPr>
          <w:b/>
        </w:rPr>
        <w:t xml:space="preserve">7 </w:t>
      </w:r>
      <w:r>
        <w:t xml:space="preserve">From evil report he will not fear; his heart ready to hope upon the Lord.</w:t>
      </w:r>
    </w:p>
    <w:p>
      <w:r>
        <w:rPr>
          <w:b/>
        </w:rPr>
        <w:t xml:space="preserve">8 </w:t>
      </w:r>
      <w:r>
        <w:t xml:space="preserve">His heart is established; he will not fear until he looks upon his enemies.</w:t>
      </w:r>
    </w:p>
    <w:p>
      <w:r>
        <w:rPr>
          <w:b/>
        </w:rPr>
        <w:t xml:space="preserve">9 </w:t>
      </w:r>
      <w:r>
        <w:t xml:space="preserve">He scattered, he gave to poor ones; his righteousness remains forever and ever; his horn will be exalted in glory.</w:t>
      </w:r>
    </w:p>
    <w:p>
      <w:r>
        <w:rPr>
          <w:b/>
        </w:rPr>
        <w:t xml:space="preserve">10 </w:t>
      </w:r>
      <w:r>
        <w:t xml:space="preserve">The sinner will see and be angry; he will gnash his teeth and melt away; the desire of sinners will perish.</w:t>
      </w:r>
      <w:r>
        <w:rPr>
          <w:rStyle w:val="FootnoteReference"/>
        </w:rPr>
        <w:footnoteReference w:id="10640"/>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112</w:t>
      </w:r>
    </w:p>
    <w:p>
      <w:r>
        <w:rPr>
          <w:b/>
        </w:rPr>
        <w:t xml:space="preserve">1 </w:t>
      </w:r>
      <w:r>
        <w:rPr>
          <w:i/>
        </w:rPr>
        <w:t xml:space="preserve">Alleluia.</w:t>
      </w:r>
      <w:r>
        <w:br/>
      </w:r>
      <w:r>
        <w:t xml:space="preserve">Praise, servants, Lord; praise the name of the Lord.</w:t>
      </w:r>
    </w:p>
    <w:p>
      <w:r>
        <w:rPr>
          <w:b/>
        </w:rPr>
        <w:t xml:space="preserve">2 </w:t>
      </w:r>
      <w:r>
        <w:t xml:space="preserve">Let the name of the Lord be blessed from now and until age.</w:t>
      </w:r>
    </w:p>
    <w:p>
      <w:r>
        <w:rPr>
          <w:b/>
        </w:rPr>
        <w:t xml:space="preserve">3 </w:t>
      </w:r>
      <w:r>
        <w:t xml:space="preserve">From risings of sun until settings, praise the name of the Lord.</w:t>
      </w:r>
    </w:p>
    <w:p>
      <w:r>
        <w:rPr>
          <w:b/>
        </w:rPr>
        <w:t xml:space="preserve">4 </w:t>
      </w:r>
      <w:r>
        <w:t xml:space="preserve">High over all nations Lord, above heavens his glory.</w:t>
      </w:r>
    </w:p>
    <w:p>
      <w:r>
        <w:rPr>
          <w:b/>
        </w:rPr>
        <w:t xml:space="preserve">5 </w:t>
      </w:r>
      <w:r>
        <w:t xml:space="preserve">Who is like the Lord our God, the one dwelling in heights,</w:t>
      </w:r>
    </w:p>
    <w:p>
      <w:r>
        <w:rPr>
          <w:b/>
        </w:rPr>
        <w:t xml:space="preserve">6 </w:t>
      </w:r>
      <w:r>
        <w:t xml:space="preserve">and watching low things in heaven and on earth,</w:t>
      </w:r>
    </w:p>
    <w:p>
      <w:r>
        <w:rPr>
          <w:b/>
        </w:rPr>
        <w:t xml:space="preserve">7 </w:t>
      </w:r>
      <w:r>
        <w:t xml:space="preserve">one raising poor from earth and lifting needy from dung-heap,</w:t>
      </w:r>
    </w:p>
    <w:p>
      <w:r>
        <w:rPr>
          <w:b/>
        </w:rPr>
        <w:t xml:space="preserve">8 </w:t>
      </w:r>
      <w:r>
        <w:t xml:space="preserve">to make him sit with rulers, with the rulers of his people,</w:t>
      </w:r>
    </w:p>
    <w:p>
      <w:r>
        <w:rPr>
          <w:b/>
        </w:rPr>
        <w:t xml:space="preserve">9 </w:t>
      </w:r>
      <w:r>
        <w:t xml:space="preserve">one settling barren woman in a house, joyful mother of children.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113</w:t>
      </w:r>
    </w:p>
    <w:p>
      <w:r>
        <w:rPr>
          <w:b/>
        </w:rPr>
        <w:t xml:space="preserve">1 </w:t>
      </w:r>
      <w:r>
        <w:rPr>
          <w:i/>
        </w:rPr>
        <w:t xml:space="preserve">Alleluia.</w:t>
      </w:r>
      <w:r>
        <w:br/>
      </w:r>
      <w:r>
        <w:t xml:space="preserve">When Israel went out from Egypt, the house of Jacob from a barbarous people,</w:t>
      </w:r>
    </w:p>
    <w:p>
      <w:r>
        <w:rPr>
          <w:b/>
        </w:rPr>
        <w:t xml:space="preserve">2 </w:t>
      </w:r>
      <w:r>
        <w:t xml:space="preserve">Judah became his sanctuary, Israel his authority.</w:t>
      </w:r>
    </w:p>
    <w:p>
      <w:r>
        <w:rPr>
          <w:b/>
        </w:rPr>
        <w:t xml:space="preserve">3 </w:t>
      </w:r>
      <w:r>
        <w:t xml:space="preserve">Sea saw and fled; Jordan turned backward.</w:t>
      </w:r>
    </w:p>
    <w:p>
      <w:r>
        <w:rPr>
          <w:b/>
        </w:rPr>
        <w:t xml:space="preserve">4 </w:t>
      </w:r>
      <w:r>
        <w:t xml:space="preserve">Mountains skipped like rams, and hills like lambs of sheep.</w:t>
      </w:r>
    </w:p>
    <w:p>
      <w:r>
        <w:rPr>
          <w:b/>
        </w:rPr>
        <w:t xml:space="preserve">5 </w:t>
      </w:r>
      <w:r>
        <w:t xml:space="preserve">What is with you, sea, that you fled, and you, Jordan, that you turned back?</w:t>
      </w:r>
    </w:p>
    <w:p>
      <w:r>
        <w:rPr>
          <w:b/>
        </w:rPr>
        <w:t xml:space="preserve">6 </w:t>
      </w:r>
      <w:r>
        <w:t xml:space="preserve">Mountains, why did you skip like rams, and hills like lambs of sheep?</w:t>
      </w:r>
    </w:p>
    <w:p>
      <w:r>
        <w:rPr>
          <w:b/>
        </w:rPr>
        <w:t xml:space="preserve">7 </w:t>
      </w:r>
      <w:r>
        <w:t xml:space="preserve">From the face of the Lord earth was shaken, from the face of God of Jacob,</w:t>
      </w:r>
    </w:p>
    <w:p>
      <w:r>
        <w:rPr>
          <w:b/>
        </w:rPr>
        <w:t xml:space="preserve">8 </w:t>
      </w:r>
      <w:r>
        <w:t xml:space="preserve">who turned rock into pools of waters and flint into springs of waters.</w:t>
      </w:r>
    </w:p>
    <w:p>
      <w:r>
        <w:rPr>
          <w:b/>
        </w:rPr>
        <w:t xml:space="preserve">9 </w:t>
      </w:r>
      <w:r>
        <w:t xml:space="preserve">Not to us, Lord, not to us, but to your name give glory, upon your mercy and your truth.</w:t>
      </w:r>
      <w:r>
        <w:rPr>
          <w:rStyle w:val="FootnoteReference"/>
        </w:rPr>
        <w:footnoteReference w:id="10641"/>
      </w:r>
    </w:p>
    <w:p>
      <w:r>
        <w:rPr>
          <w:b/>
        </w:rPr>
        <w:t xml:space="preserve">10 </w:t>
      </w:r>
      <w:r>
        <w:t xml:space="preserve">Lest nations say, Where is their God?</w:t>
      </w:r>
    </w:p>
    <w:p>
      <w:r>
        <w:rPr>
          <w:b/>
        </w:rPr>
        <w:t xml:space="preserve">11 </w:t>
      </w:r>
      <w:r>
        <w:t xml:space="preserve">But our God above in heaven, in heavens and on earth, all things whatever he wanted he did.</w:t>
      </w:r>
    </w:p>
    <w:p>
      <w:r>
        <w:rPr>
          <w:b/>
        </w:rPr>
        <w:t xml:space="preserve">12 </w:t>
      </w:r>
      <w:r>
        <w:t xml:space="preserve">The idols of nations silver and gold, works of the hands of men.</w:t>
      </w:r>
    </w:p>
    <w:p>
      <w:r>
        <w:rPr>
          <w:b/>
        </w:rPr>
        <w:t xml:space="preserve">13 </w:t>
      </w:r>
      <w:r>
        <w:t xml:space="preserve">They have mouth and will not speak, eyes and will not see,</w:t>
      </w:r>
    </w:p>
    <w:p>
      <w:r>
        <w:rPr>
          <w:b/>
        </w:rPr>
        <w:t xml:space="preserve">14 </w:t>
      </w:r>
      <w:r>
        <w:t xml:space="preserve">they have ears and will not hear, noses and will not smell,</w:t>
      </w:r>
    </w:p>
    <w:p>
      <w:r>
        <w:rPr>
          <w:b/>
        </w:rPr>
        <w:t xml:space="preserve">15 </w:t>
      </w:r>
      <w:r>
        <w:t xml:space="preserve">they have hands and will not feel, feet and will not walk; they will not make sound in their throat.</w:t>
      </w:r>
    </w:p>
    <w:p>
      <w:r>
        <w:rPr>
          <w:b/>
        </w:rPr>
        <w:t xml:space="preserve">16 </w:t>
      </w:r>
      <w:r>
        <w:t xml:space="preserve">Let those making them become like them, and all trusting in them.</w:t>
      </w:r>
    </w:p>
    <w:p>
      <w:r>
        <w:rPr>
          <w:b/>
        </w:rPr>
        <w:t xml:space="preserve">17 </w:t>
      </w:r>
      <w:r>
        <w:t xml:space="preserve">The house of Israel hoped on the Lord; he is their helper and defender.</w:t>
      </w:r>
    </w:p>
    <w:p>
      <w:r>
        <w:rPr>
          <w:b/>
        </w:rPr>
        <w:t xml:space="preserve">18 </w:t>
      </w:r>
      <w:r>
        <w:t xml:space="preserve">The house of Aaron hoped on the Lord; he is their helper and defender.</w:t>
      </w:r>
    </w:p>
    <w:p>
      <w:r>
        <w:rPr>
          <w:b/>
        </w:rPr>
        <w:t xml:space="preserve">19 </w:t>
      </w:r>
      <w:r>
        <w:t xml:space="preserve">Those fearing the Lord hoped on the Lord; he is their helper and defender.</w:t>
      </w:r>
    </w:p>
    <w:p>
      <w:r>
        <w:rPr>
          <w:b/>
        </w:rPr>
        <w:t xml:space="preserve">20 </w:t>
      </w:r>
      <w:r>
        <w:t xml:space="preserve">The Lord remembered us and blessed us; he blessed the house of Israel, he blessed the house of Aaron.</w:t>
      </w:r>
    </w:p>
    <w:p>
      <w:r>
        <w:rPr>
          <w:b/>
        </w:rPr>
        <w:t xml:space="preserve">21 </w:t>
      </w:r>
      <w:r>
        <w:t xml:space="preserve">He blessed those fearing the Lord, small with great.</w:t>
      </w:r>
    </w:p>
    <w:p>
      <w:r>
        <w:rPr>
          <w:b/>
        </w:rPr>
        <w:t xml:space="preserve">22 </w:t>
      </w:r>
      <w:r>
        <w:t xml:space="preserve">May the Lord add upon you, upon you and upon your sons.</w:t>
      </w:r>
    </w:p>
    <w:p>
      <w:r>
        <w:rPr>
          <w:b/>
        </w:rPr>
        <w:t xml:space="preserve">23 </w:t>
      </w:r>
      <w:r>
        <w:t xml:space="preserve">Blessed are you by the Lord, who made heaven and earth.</w:t>
      </w:r>
    </w:p>
    <w:p>
      <w:r>
        <w:rPr>
          <w:b/>
        </w:rPr>
        <w:t xml:space="preserve">24 </w:t>
      </w:r>
      <w:r>
        <w:t xml:space="preserve">The heaven of heaven belongs to the Lord, but the earth he gave to the sons of men.</w:t>
      </w:r>
    </w:p>
    <w:p>
      <w:r>
        <w:rPr>
          <w:b/>
        </w:rPr>
        <w:t xml:space="preserve">25 </w:t>
      </w:r>
      <w:r>
        <w:t xml:space="preserve">Dead ones will not praise you, Lord, nor all going down into Hades.</w:t>
      </w:r>
    </w:p>
    <w:p>
      <w:r>
        <w:rPr>
          <w:b/>
        </w:rPr>
        <w:t xml:space="preserve">26 </w:t>
      </w:r>
      <w:r>
        <w:t xml:space="preserve">But we living ones will bless the Lord from now and until age.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114</w:t>
      </w:r>
    </w:p>
    <w:p>
      <w:r>
        <w:rPr>
          <w:b/>
        </w:rPr>
        <w:t xml:space="preserve">1 </w:t>
      </w:r>
      <w:r>
        <w:rPr>
          <w:i/>
        </w:rPr>
        <w:t xml:space="preserve">Alleluia.</w:t>
      </w:r>
      <w:r>
        <w:br/>
      </w:r>
      <w:r>
        <w:t xml:space="preserve">I loved because the Lord will hear the voice of my supplication,</w:t>
      </w:r>
    </w:p>
    <w:p>
      <w:r>
        <w:rPr>
          <w:b/>
        </w:rPr>
        <w:t xml:space="preserve">2 </w:t>
      </w:r>
      <w:r>
        <w:t xml:space="preserve">because he inclined his ear to me, and in my days I will call upon him.</w:t>
      </w:r>
    </w:p>
    <w:p>
      <w:r>
        <w:rPr>
          <w:b/>
        </w:rPr>
        <w:t xml:space="preserve">3 </w:t>
      </w:r>
      <w:r>
        <w:t xml:space="preserve">The pangs of death surrounded me, dangers of Hades found me; affliction and pain I found.</w:t>
      </w:r>
    </w:p>
    <w:p>
      <w:r>
        <w:rPr>
          <w:b/>
        </w:rPr>
        <w:t xml:space="preserve">4 </w:t>
      </w:r>
      <w:r>
        <w:t xml:space="preserve">And the name of the Lord I called upon: O Lord, rescue my soul.</w:t>
      </w:r>
    </w:p>
    <w:p>
      <w:r>
        <w:rPr>
          <w:b/>
        </w:rPr>
        <w:t xml:space="preserve">5 </w:t>
      </w:r>
      <w:r>
        <w:t xml:space="preserve">Merciful Lord and righteous, and our God shows mercy.</w:t>
      </w:r>
    </w:p>
    <w:p>
      <w:r>
        <w:rPr>
          <w:b/>
        </w:rPr>
        <w:t xml:space="preserve">6 </w:t>
      </w:r>
      <w:r>
        <w:t xml:space="preserve">The Lord guards little ones; I was humbled, and he saved me.</w:t>
      </w:r>
    </w:p>
    <w:p>
      <w:r>
        <w:rPr>
          <w:b/>
        </w:rPr>
        <w:t xml:space="preserve">7 </w:t>
      </w:r>
      <w:r>
        <w:t xml:space="preserve">Return, my soul, into your rest, because the Lord benefited you.</w:t>
      </w:r>
    </w:p>
    <w:p>
      <w:r>
        <w:rPr>
          <w:b/>
        </w:rPr>
        <w:t xml:space="preserve">8 </w:t>
      </w:r>
      <w:r>
        <w:t xml:space="preserve">Because he delivered my soul from death, my eyes from tears, and my feet from stumbling.</w:t>
      </w:r>
    </w:p>
    <w:p>
      <w:r>
        <w:rPr>
          <w:b/>
        </w:rPr>
        <w:t xml:space="preserve">9 </w:t>
      </w:r>
      <w:r>
        <w:t xml:space="preserve">I will be well-pleasing before the Lord in the land of living ones.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115</w:t>
      </w:r>
    </w:p>
    <w:p>
      <w:r>
        <w:rPr>
          <w:b/>
        </w:rPr>
        <w:t xml:space="preserve">1 </w:t>
      </w:r>
      <w:r>
        <w:rPr>
          <w:i/>
        </w:rPr>
        <w:t xml:space="preserve">Alleluia.</w:t>
      </w:r>
      <w:r>
        <w:br/>
      </w:r>
      <w:r>
        <w:t xml:space="preserve">I believed, therefore I spoke; but I was humbled greatly.</w:t>
      </w:r>
    </w:p>
    <w:p>
      <w:r>
        <w:rPr>
          <w:b/>
        </w:rPr>
        <w:t xml:space="preserve">2 </w:t>
      </w:r>
      <w:r>
        <w:t xml:space="preserve">I said in my ecstasy, Every man liar.</w:t>
      </w:r>
    </w:p>
    <w:p>
      <w:r>
        <w:rPr>
          <w:b/>
        </w:rPr>
        <w:t xml:space="preserve">3 </w:t>
      </w:r>
      <w:r>
        <w:t xml:space="preserve">What will I repay to the Lord for all things he repaid me?</w:t>
      </w:r>
    </w:p>
    <w:p>
      <w:r>
        <w:rPr>
          <w:b/>
        </w:rPr>
        <w:t xml:space="preserve">4 </w:t>
      </w:r>
      <w:r>
        <w:t xml:space="preserve">The cup of salvation I will take, and the name of the Lord I will call upon.</w:t>
      </w:r>
    </w:p>
    <w:p>
      <w:r>
        <w:rPr>
          <w:b/>
        </w:rPr>
        <w:t xml:space="preserve">6 </w:t>
      </w:r>
      <w:r>
        <w:t xml:space="preserve">Precious before the Lord is the death of his holy ones.</w:t>
      </w:r>
    </w:p>
    <w:p>
      <w:r>
        <w:rPr>
          <w:b/>
        </w:rPr>
        <w:t xml:space="preserve">7 </w:t>
      </w:r>
      <w:r>
        <w:t xml:space="preserve">O Lord, I am your servant, I am your servant and son of your handmaid; you tore apart my bonds.</w:t>
      </w:r>
    </w:p>
    <w:p>
      <w:r>
        <w:rPr>
          <w:b/>
        </w:rPr>
        <w:t xml:space="preserve">8 </w:t>
      </w:r>
      <w:r>
        <w:t xml:space="preserve">To you I will offer a sacrifice of praise.</w:t>
      </w:r>
    </w:p>
    <w:p>
      <w:r>
        <w:rPr>
          <w:b/>
        </w:rPr>
        <w:t xml:space="preserve">9 </w:t>
      </w:r>
      <w:r>
        <w:t xml:space="preserve">My vows to the Lord I will pay before all his people,</w:t>
      </w:r>
    </w:p>
    <w:p>
      <w:r>
        <w:rPr>
          <w:b/>
        </w:rPr>
        <w:t xml:space="preserve">10 </w:t>
      </w:r>
      <w:r>
        <w:t xml:space="preserve">in the courts of the house of the Lord, in your midst,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116</w:t>
      </w:r>
    </w:p>
    <w:p>
      <w:r>
        <w:rPr>
          <w:b/>
        </w:rPr>
        <w:t xml:space="preserve">1 </w:t>
      </w:r>
      <w:r>
        <w:rPr>
          <w:i/>
        </w:rPr>
        <w:t xml:space="preserve">Alleluia.</w:t>
      </w:r>
      <w:r>
        <w:br/>
      </w:r>
      <w:r>
        <w:t xml:space="preserve">Praise the Lord, all nations; praise him, all peoples,</w:t>
      </w:r>
    </w:p>
    <w:p>
      <w:r>
        <w:rPr>
          <w:b/>
        </w:rPr>
        <w:t xml:space="preserve">2 </w:t>
      </w:r>
      <w:r>
        <w:t xml:space="preserve">because his mercy was strengthened upon us, and truth of the Lord remains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117</w:t>
      </w:r>
    </w:p>
    <w:p>
      <w:r>
        <w:rPr>
          <w:b/>
        </w:rPr>
        <w:t xml:space="preserve">1 </w:t>
      </w:r>
      <w:r>
        <w:rPr>
          <w:i/>
        </w:rPr>
        <w:t xml:space="preserve">Alleluia.</w:t>
      </w:r>
      <w:r>
        <w:br/>
      </w:r>
      <w:r>
        <w:t xml:space="preserve">Confess to the Lord, because good, because his mercy forever.</w:t>
      </w:r>
    </w:p>
    <w:p>
      <w:r>
        <w:rPr>
          <w:b/>
        </w:rPr>
        <w:t xml:space="preserve">2 </w:t>
      </w:r>
      <w:r>
        <w:t xml:space="preserve">Let the house of Israel say now that he good, because his mercy forever.</w:t>
      </w:r>
    </w:p>
    <w:p>
      <w:r>
        <w:rPr>
          <w:b/>
        </w:rPr>
        <w:t xml:space="preserve">3 </w:t>
      </w:r>
      <w:r>
        <w:t xml:space="preserve">Let the house of Aaron say now that he good, because his mercy forever.</w:t>
      </w:r>
    </w:p>
    <w:p>
      <w:r>
        <w:rPr>
          <w:b/>
        </w:rPr>
        <w:t xml:space="preserve">4 </w:t>
      </w:r>
      <w:r>
        <w:t xml:space="preserve">Let all fearing the Lord say now that he good, because his mercy forever.</w:t>
      </w:r>
    </w:p>
    <w:p>
      <w:r>
        <w:rPr>
          <w:b/>
        </w:rPr>
        <w:t xml:space="preserve">5 </w:t>
      </w:r>
      <w:r>
        <w:t xml:space="preserve">In affliction I called on the Lord, and he heard me into broad place.</w:t>
      </w:r>
    </w:p>
    <w:p>
      <w:r>
        <w:rPr>
          <w:b/>
        </w:rPr>
        <w:t xml:space="preserve">6 </w:t>
      </w:r>
      <w:r>
        <w:t xml:space="preserve">The Lord is helper to me; I will not fear what man will do to me.</w:t>
      </w:r>
    </w:p>
    <w:p>
      <w:r>
        <w:rPr>
          <w:b/>
        </w:rPr>
        <w:t xml:space="preserve">7 </w:t>
      </w:r>
      <w:r>
        <w:t xml:space="preserve">The Lord is helper to me, and I will look upon my enemies.</w:t>
      </w:r>
    </w:p>
    <w:p>
      <w:r>
        <w:rPr>
          <w:b/>
        </w:rPr>
        <w:t xml:space="preserve">8 </w:t>
      </w:r>
      <w:r>
        <w:t xml:space="preserve">Better to trust upon the Lord than to trust upon man.</w:t>
      </w:r>
    </w:p>
    <w:p>
      <w:r>
        <w:rPr>
          <w:b/>
        </w:rPr>
        <w:t xml:space="preserve">9 </w:t>
      </w:r>
      <w:r>
        <w:t xml:space="preserve">Better to hope upon the Lord than to hope upon rulers.</w:t>
      </w:r>
    </w:p>
    <w:p>
      <w:r>
        <w:rPr>
          <w:b/>
        </w:rPr>
        <w:t xml:space="preserve">10 </w:t>
      </w:r>
      <w:r>
        <w:t xml:space="preserve">All nations surrounded me, and in the name of the Lord I drove them off.</w:t>
      </w:r>
    </w:p>
    <w:p>
      <w:r>
        <w:rPr>
          <w:b/>
        </w:rPr>
        <w:t xml:space="preserve">11 </w:t>
      </w:r>
      <w:r>
        <w:t xml:space="preserve">Surrounding, they surrounded me, and in the name of the Lord I drove them off.</w:t>
      </w:r>
    </w:p>
    <w:p>
      <w:r>
        <w:rPr>
          <w:b/>
        </w:rPr>
        <w:t xml:space="preserve">12 </w:t>
      </w:r>
      <w:r>
        <w:t xml:space="preserve">They surrounded me like bees round honeycomb and were burned like fire in thorns, and in the name of the Lord I drove them off.</w:t>
      </w:r>
    </w:p>
    <w:p>
      <w:r>
        <w:rPr>
          <w:b/>
        </w:rPr>
        <w:t xml:space="preserve">13 </w:t>
      </w:r>
      <w:r>
        <w:t xml:space="preserve">Pushed, I was overturned to fall, and the Lord took hold of me.</w:t>
      </w:r>
    </w:p>
    <w:p>
      <w:r>
        <w:rPr>
          <w:b/>
        </w:rPr>
        <w:t xml:space="preserve">14 </w:t>
      </w:r>
      <w:r>
        <w:t xml:space="preserve">The Lord is my strength and my hymn, and he became to me for salvation.</w:t>
      </w:r>
    </w:p>
    <w:p>
      <w:r>
        <w:rPr>
          <w:b/>
        </w:rPr>
        <w:t xml:space="preserve">15 </w:t>
      </w:r>
      <w:r>
        <w:t xml:space="preserve">The voice of exultation and salvation in the tents of righteous ones; the right hand of the Lord did a mighty deed.</w:t>
      </w:r>
    </w:p>
    <w:p>
      <w:r>
        <w:rPr>
          <w:b/>
        </w:rPr>
        <w:t xml:space="preserve">16 </w:t>
      </w:r>
      <w:r>
        <w:t xml:space="preserve">The right hand of the Lord lifted me up; the right hand of the Lord did a mighty deed.</w:t>
      </w:r>
    </w:p>
    <w:p>
      <w:r>
        <w:rPr>
          <w:b/>
        </w:rPr>
        <w:t xml:space="preserve">17 </w:t>
      </w:r>
      <w:r>
        <w:t xml:space="preserve">I will not die, but live, and recount works of the Lord.</w:t>
      </w:r>
    </w:p>
    <w:p>
      <w:r>
        <w:rPr>
          <w:b/>
        </w:rPr>
        <w:t xml:space="preserve">18 </w:t>
      </w:r>
      <w:r>
        <w:t xml:space="preserve">The Lord disciplined me with discipline, and to death he did not hand me over.</w:t>
      </w:r>
    </w:p>
    <w:p>
      <w:r>
        <w:rPr>
          <w:b/>
        </w:rPr>
        <w:t xml:space="preserve">19 </w:t>
      </w:r>
      <w:r>
        <w:t xml:space="preserve">Open to me gates of righteousness; entering through them I will confess to the Lord.</w:t>
      </w:r>
    </w:p>
    <w:p>
      <w:r>
        <w:rPr>
          <w:b/>
        </w:rPr>
        <w:t xml:space="preserve">20 </w:t>
      </w:r>
      <w:r>
        <w:t xml:space="preserve">This gate of the Lord; righteous ones will enter through it.</w:t>
      </w:r>
    </w:p>
    <w:p>
      <w:r>
        <w:rPr>
          <w:b/>
        </w:rPr>
        <w:t xml:space="preserve">21 </w:t>
      </w:r>
      <w:r>
        <w:t xml:space="preserve">I will confess to you because you heard me and became to me for salvation.</w:t>
      </w:r>
    </w:p>
    <w:p>
      <w:r>
        <w:rPr>
          <w:b/>
        </w:rPr>
        <w:t xml:space="preserve">22 </w:t>
      </w:r>
      <w:r>
        <w:t xml:space="preserve">The stone which builders rejected, this became the head of the corner.</w:t>
      </w:r>
    </w:p>
    <w:p>
      <w:r>
        <w:rPr>
          <w:b/>
        </w:rPr>
        <w:t xml:space="preserve">23 </w:t>
      </w:r>
      <w:r>
        <w:t xml:space="preserve">From the Lord this came to be, and it wondrous in our eyes.</w:t>
      </w:r>
    </w:p>
    <w:p>
      <w:r>
        <w:rPr>
          <w:b/>
        </w:rPr>
        <w:t xml:space="preserve">24 </w:t>
      </w:r>
      <w:r>
        <w:t xml:space="preserve">This day which the Lord made; let us exult and rejoice in it.</w:t>
      </w:r>
    </w:p>
    <w:p>
      <w:r>
        <w:rPr>
          <w:b/>
        </w:rPr>
        <w:t xml:space="preserve">25 </w:t>
      </w:r>
      <w:r>
        <w:t xml:space="preserve">O Lord, save indeed; O Lord, prosper indeed.</w:t>
      </w:r>
    </w:p>
    <w:p>
      <w:r>
        <w:rPr>
          <w:b/>
        </w:rPr>
        <w:t xml:space="preserve">26 </w:t>
      </w:r>
      <w:r>
        <w:t xml:space="preserve">Blessed is the one coming in the name of the Lord; we blessed you from the house of the Lord.</w:t>
      </w:r>
    </w:p>
    <w:p>
      <w:r>
        <w:rPr>
          <w:b/>
        </w:rPr>
        <w:t xml:space="preserve">27 </w:t>
      </w:r>
      <w:r>
        <w:t xml:space="preserve">God Lord and he appeared to us; arrange feast with dense branches, up to horns of altar.</w:t>
      </w:r>
    </w:p>
    <w:p>
      <w:r>
        <w:rPr>
          <w:b/>
        </w:rPr>
        <w:t xml:space="preserve">28 </w:t>
      </w:r>
      <w:r>
        <w:t xml:space="preserve">You my God, and I will confess to you; you my God, and I will exalt you; I will confess to you because you heard me and became to me for salvation.</w:t>
      </w:r>
    </w:p>
    <w:p>
      <w:r>
        <w:rPr>
          <w:b/>
        </w:rPr>
        <w:t xml:space="preserve">29 </w:t>
      </w:r>
      <w:r>
        <w:t xml:space="preserve">Confess to the Lord, because good, because his mercy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118</w:t>
      </w:r>
    </w:p>
    <w:p>
      <w:r>
        <w:rPr>
          <w:b/>
        </w:rPr>
        <w:t xml:space="preserve">1 </w:t>
      </w:r>
      <w:r>
        <w:rPr>
          <w:i/>
        </w:rPr>
        <w:t xml:space="preserve">Alleluia.</w:t>
      </w:r>
      <w:r>
        <w:br/>
      </w:r>
      <w:r>
        <w:t xml:space="preserve">Aleph. Blessed blameless ones in way, those walking in the law of the Lord.</w:t>
      </w:r>
      <w:r>
        <w:rPr>
          <w:rStyle w:val="FootnoteReference"/>
        </w:rPr>
        <w:footnoteReference w:id="10642"/>
      </w:r>
    </w:p>
    <w:p>
      <w:r>
        <w:rPr>
          <w:b/>
        </w:rPr>
        <w:t xml:space="preserve">2 </w:t>
      </w:r>
      <w:r>
        <w:t xml:space="preserve">Blessed are those searching out his testimonies; with all their heart</w:t>
      </w:r>
      <w:r>
        <w:rPr>
          <w:rStyle w:val="FootnoteReference"/>
        </w:rPr>
        <w:footnoteReference w:id="10643"/>
      </w:r>
      <w:r>
        <w:t xml:space="preserve"> they will seek him.</w:t>
      </w:r>
    </w:p>
    <w:p>
      <w:r>
        <w:rPr>
          <w:b/>
        </w:rPr>
        <w:t xml:space="preserve">3 </w:t>
      </w:r>
      <w:r>
        <w:t xml:space="preserve">For those working lawlessness did not walk in his ways.</w:t>
      </w:r>
    </w:p>
    <w:p>
      <w:r>
        <w:rPr>
          <w:b/>
        </w:rPr>
        <w:t xml:space="preserve">4 </w:t>
      </w:r>
      <w:r>
        <w:t xml:space="preserve">You commanded your commandments to be kept exceedingly.</w:t>
      </w:r>
    </w:p>
    <w:p>
      <w:r>
        <w:rPr>
          <w:b/>
        </w:rPr>
        <w:t xml:space="preserve">5 </w:t>
      </w:r>
      <w:r>
        <w:t xml:space="preserve">Would that my ways be directed to keep your ordinances.</w:t>
      </w:r>
    </w:p>
    <w:p>
      <w:r>
        <w:rPr>
          <w:b/>
        </w:rPr>
        <w:t xml:space="preserve">6 </w:t>
      </w:r>
      <w:r>
        <w:t xml:space="preserve">Then I will certainly not be ashamed when I look upon all your commandments.</w:t>
      </w:r>
    </w:p>
    <w:p>
      <w:r>
        <w:rPr>
          <w:b/>
        </w:rPr>
        <w:t xml:space="preserve">7 </w:t>
      </w:r>
      <w:r>
        <w:t xml:space="preserve">I will confess to you, Lord, in the uprightness of heart when I learn the judgments of your righteousness.</w:t>
      </w:r>
    </w:p>
    <w:p>
      <w:r>
        <w:rPr>
          <w:b/>
        </w:rPr>
        <w:t xml:space="preserve">8 </w:t>
      </w:r>
      <w:r>
        <w:t xml:space="preserve">Your ordinances I will keep; do not forsake me exceedingly.</w:t>
      </w:r>
    </w:p>
    <w:p>
      <w:r>
        <w:rPr>
          <w:b/>
        </w:rPr>
        <w:t xml:space="preserve">9 </w:t>
      </w:r>
      <w:r>
        <w:t xml:space="preserve">Beth. In what will young man set straight his way? In keeping your words.</w:t>
      </w:r>
    </w:p>
    <w:p>
      <w:r>
        <w:rPr>
          <w:b/>
        </w:rPr>
        <w:t xml:space="preserve">10 </w:t>
      </w:r>
      <w:r>
        <w:t xml:space="preserve">With all my heart</w:t>
      </w:r>
      <w:r>
        <w:rPr>
          <w:rStyle w:val="FootnoteReference"/>
        </w:rPr>
        <w:footnoteReference w:id="10644"/>
      </w:r>
      <w:r>
        <w:t xml:space="preserve"> I sought you; do not push me away from your commandments.</w:t>
      </w:r>
    </w:p>
    <w:p>
      <w:r>
        <w:rPr>
          <w:b/>
        </w:rPr>
        <w:t xml:space="preserve">11 </w:t>
      </w:r>
      <w:r>
        <w:t xml:space="preserve">In my heart I hid your sayings so that I might not sin against you.</w:t>
      </w:r>
    </w:p>
    <w:p>
      <w:r>
        <w:rPr>
          <w:b/>
        </w:rPr>
        <w:t xml:space="preserve">12 </w:t>
      </w:r>
      <w:r>
        <w:t xml:space="preserve">Blessed are you, Lord; teach me your ordinances.</w:t>
      </w:r>
    </w:p>
    <w:p>
      <w:r>
        <w:rPr>
          <w:b/>
        </w:rPr>
        <w:t xml:space="preserve">13 </w:t>
      </w:r>
      <w:r>
        <w:t xml:space="preserve">With my lips I declared all judgments of your mouth.</w:t>
      </w:r>
    </w:p>
    <w:p>
      <w:r>
        <w:rPr>
          <w:b/>
        </w:rPr>
        <w:t xml:space="preserve">14 </w:t>
      </w:r>
      <w:r>
        <w:t xml:space="preserve">In the way of your testimonies I delighted as over all wealth.</w:t>
      </w:r>
    </w:p>
    <w:p>
      <w:r>
        <w:rPr>
          <w:b/>
        </w:rPr>
        <w:t xml:space="preserve">15 </w:t>
      </w:r>
      <w:r>
        <w:t xml:space="preserve">In your commandments I will muse and perceive your ways.</w:t>
      </w:r>
    </w:p>
    <w:p>
      <w:r>
        <w:rPr>
          <w:b/>
        </w:rPr>
        <w:t xml:space="preserve">16 </w:t>
      </w:r>
      <w:r>
        <w:t xml:space="preserve">In your ordinances I will meditate; I will not forget your words.</w:t>
      </w:r>
    </w:p>
    <w:p>
      <w:r>
        <w:rPr>
          <w:b/>
        </w:rPr>
        <w:t xml:space="preserve">17 </w:t>
      </w:r>
      <w:r>
        <w:t xml:space="preserve">Gimel. Repay your servant; I will live and keep your words.</w:t>
      </w:r>
    </w:p>
    <w:p>
      <w:r>
        <w:rPr>
          <w:b/>
        </w:rPr>
        <w:t xml:space="preserve">18 </w:t>
      </w:r>
      <w:r>
        <w:t xml:space="preserve">Uncover my eyes, and I will perceive wonders from your law.</w:t>
      </w:r>
    </w:p>
    <w:p>
      <w:r>
        <w:rPr>
          <w:b/>
        </w:rPr>
        <w:t xml:space="preserve">19 </w:t>
      </w:r>
      <w:r>
        <w:t xml:space="preserve">I am sojourner in earth; do not hide your commandments from me.</w:t>
      </w:r>
    </w:p>
    <w:p>
      <w:r>
        <w:rPr>
          <w:b/>
        </w:rPr>
        <w:t xml:space="preserve">20 </w:t>
      </w:r>
      <w:r>
        <w:t xml:space="preserve">My soul longed to desire your judgments at every time.</w:t>
      </w:r>
    </w:p>
    <w:p>
      <w:r>
        <w:rPr>
          <w:b/>
        </w:rPr>
        <w:t xml:space="preserve">21 </w:t>
      </w:r>
      <w:r>
        <w:t xml:space="preserve">You rebuked proud ones; cursed those turning away from your commandments.</w:t>
      </w:r>
    </w:p>
    <w:p>
      <w:r>
        <w:rPr>
          <w:b/>
        </w:rPr>
        <w:t xml:space="preserve">22 </w:t>
      </w:r>
      <w:r>
        <w:t xml:space="preserve">Take away from me reproach and contempt, because I searched out your testimonies.</w:t>
      </w:r>
    </w:p>
    <w:p>
      <w:r>
        <w:rPr>
          <w:b/>
        </w:rPr>
        <w:t xml:space="preserve">23 </w:t>
      </w:r>
      <w:r>
        <w:t xml:space="preserve">For rulers also sat and spoke against me, but your servant mused in your ordinances.</w:t>
      </w:r>
    </w:p>
    <w:p>
      <w:r>
        <w:rPr>
          <w:b/>
        </w:rPr>
        <w:t xml:space="preserve">24 </w:t>
      </w:r>
      <w:r>
        <w:t xml:space="preserve">For indeed your testimonies my meditation and your ordinances my counselors.</w:t>
      </w:r>
    </w:p>
    <w:p>
      <w:r>
        <w:rPr>
          <w:b/>
        </w:rPr>
        <w:t xml:space="preserve">25 </w:t>
      </w:r>
      <w:r>
        <w:t xml:space="preserve">Daleth. My soul clung to ground; make me live according to your word.</w:t>
      </w:r>
    </w:p>
    <w:p>
      <w:r>
        <w:rPr>
          <w:b/>
        </w:rPr>
        <w:t xml:space="preserve">26 </w:t>
      </w:r>
      <w:r>
        <w:t xml:space="preserve">I declared my ways, and you heard me; teach me your ordinances.</w:t>
      </w:r>
    </w:p>
    <w:p>
      <w:r>
        <w:rPr>
          <w:b/>
        </w:rPr>
        <w:t xml:space="preserve">27 </w:t>
      </w:r>
      <w:r>
        <w:t xml:space="preserve">Make me understand way of your ordinances, and I will muse in your wonders.</w:t>
      </w:r>
    </w:p>
    <w:p>
      <w:r>
        <w:rPr>
          <w:b/>
        </w:rPr>
        <w:t xml:space="preserve">28 </w:t>
      </w:r>
      <w:r>
        <w:t xml:space="preserve">My soul dripped from faintheartedness; confirm me in your words.</w:t>
      </w:r>
    </w:p>
    <w:p>
      <w:r>
        <w:rPr>
          <w:b/>
        </w:rPr>
        <w:t xml:space="preserve">29 </w:t>
      </w:r>
      <w:r>
        <w:t xml:space="preserve">Remove way of injustice from me, and in your law have mercy on me.</w:t>
      </w:r>
    </w:p>
    <w:p>
      <w:r>
        <w:rPr>
          <w:b/>
        </w:rPr>
        <w:t xml:space="preserve">30 </w:t>
      </w:r>
      <w:r>
        <w:t xml:space="preserve">The way of truth I chose; your judgments I did not forget.</w:t>
      </w:r>
    </w:p>
    <w:p>
      <w:r>
        <w:rPr>
          <w:b/>
        </w:rPr>
        <w:t xml:space="preserve">31 </w:t>
      </w:r>
      <w:r>
        <w:t xml:space="preserve">I clung to your testimonies, Lord; do not shame me.</w:t>
      </w:r>
    </w:p>
    <w:p>
      <w:r>
        <w:rPr>
          <w:b/>
        </w:rPr>
        <w:t xml:space="preserve">32 </w:t>
      </w:r>
      <w:r>
        <w:t xml:space="preserve">The way of your commandments I ran when you widened my heart.</w:t>
      </w:r>
    </w:p>
    <w:p>
      <w:r>
        <w:rPr>
          <w:b/>
        </w:rPr>
        <w:t xml:space="preserve">33 </w:t>
      </w:r>
      <w:r>
        <w:t xml:space="preserve">He. Give law to me, Lord, way of your ordinances, and I will seek it continually.</w:t>
      </w:r>
    </w:p>
    <w:p>
      <w:r>
        <w:rPr>
          <w:b/>
        </w:rPr>
        <w:t xml:space="preserve">34 </w:t>
      </w:r>
      <w:r>
        <w:t xml:space="preserve">Make me understand, and I will search out your law and keep it with all my heart</w:t>
      </w:r>
      <w:r>
        <w:rPr>
          <w:rStyle w:val="FootnoteReference"/>
        </w:rPr>
        <w:footnoteReference w:id="10645"/>
      </w:r>
      <w:r>
        <w:t xml:space="preserve">.</w:t>
      </w:r>
    </w:p>
    <w:p>
      <w:r>
        <w:rPr>
          <w:b/>
        </w:rPr>
        <w:t xml:space="preserve">35 </w:t>
      </w:r>
      <w:r>
        <w:t xml:space="preserve">Guide me in the path of your commandments, because I wanted it.</w:t>
      </w:r>
    </w:p>
    <w:p>
      <w:r>
        <w:rPr>
          <w:b/>
        </w:rPr>
        <w:t xml:space="preserve">36 </w:t>
      </w:r>
      <w:r>
        <w:t xml:space="preserve">Incline my heart to your testimonies and not to greed.</w:t>
      </w:r>
    </w:p>
    <w:p>
      <w:r>
        <w:rPr>
          <w:b/>
        </w:rPr>
        <w:t xml:space="preserve">37 </w:t>
      </w:r>
      <w:r>
        <w:t xml:space="preserve">Turn away my eyes from seeing vanity; in your way make me live.</w:t>
      </w:r>
    </w:p>
    <w:p>
      <w:r>
        <w:rPr>
          <w:b/>
        </w:rPr>
        <w:t xml:space="preserve">38 </w:t>
      </w:r>
      <w:r>
        <w:t xml:space="preserve">Establish for your servant your saying toward your fear.</w:t>
      </w:r>
    </w:p>
    <w:p>
      <w:r>
        <w:rPr>
          <w:b/>
        </w:rPr>
        <w:t xml:space="preserve">39 </w:t>
      </w:r>
      <w:r>
        <w:t xml:space="preserve">Take away my reproach which I suspected, because your judgments kind.</w:t>
      </w:r>
    </w:p>
    <w:p>
      <w:r>
        <w:rPr>
          <w:b/>
        </w:rPr>
        <w:t xml:space="preserve">40 </w:t>
      </w:r>
      <w:r>
        <w:t xml:space="preserve">Behold, I desired your commandments; in your righteousness make me live.</w:t>
      </w:r>
    </w:p>
    <w:p>
      <w:r>
        <w:rPr>
          <w:b/>
        </w:rPr>
        <w:t xml:space="preserve">41 </w:t>
      </w:r>
      <w:r>
        <w:t xml:space="preserve">Waw. And let your mercy come upon me, Lord, your salvation according to your saying.</w:t>
      </w:r>
    </w:p>
    <w:p>
      <w:r>
        <w:rPr>
          <w:b/>
        </w:rPr>
        <w:t xml:space="preserve">42 </w:t>
      </w:r>
      <w:r>
        <w:t xml:space="preserve">And I will answer a word to those reproaching me, because I hoped upon your words.</w:t>
      </w:r>
    </w:p>
    <w:p>
      <w:r>
        <w:rPr>
          <w:b/>
        </w:rPr>
        <w:t xml:space="preserve">43 </w:t>
      </w:r>
      <w:r>
        <w:t xml:space="preserve">And do not take word of truth from my mouth exceedingly, because I hoped upon your judgments.</w:t>
      </w:r>
    </w:p>
    <w:p>
      <w:r>
        <w:rPr>
          <w:b/>
        </w:rPr>
        <w:t xml:space="preserve">44 </w:t>
      </w:r>
      <w:r>
        <w:t xml:space="preserve">And I will keep your law continually, forever and forever of forever.</w:t>
      </w:r>
    </w:p>
    <w:p>
      <w:r>
        <w:rPr>
          <w:b/>
        </w:rPr>
        <w:t xml:space="preserve">45 </w:t>
      </w:r>
      <w:r>
        <w:t xml:space="preserve">And I was walking in broad place, because I searched out your commandments.</w:t>
      </w:r>
    </w:p>
    <w:p>
      <w:r>
        <w:rPr>
          <w:b/>
        </w:rPr>
        <w:t xml:space="preserve">46 </w:t>
      </w:r>
      <w:r>
        <w:t xml:space="preserve">And I was speaking in your testimonies before kings, and I was not ashamed.</w:t>
      </w:r>
    </w:p>
    <w:p>
      <w:r>
        <w:rPr>
          <w:b/>
        </w:rPr>
        <w:t xml:space="preserve">47 </w:t>
      </w:r>
      <w:r>
        <w:t xml:space="preserve">And I meditated on your commandments, which I loved exceedingly.</w:t>
      </w:r>
    </w:p>
    <w:p>
      <w:r>
        <w:rPr>
          <w:b/>
        </w:rPr>
        <w:t xml:space="preserve">48 </w:t>
      </w:r>
      <w:r>
        <w:t xml:space="preserve">And I lifted my hands to your commandments, which I loved, and mused in your ordinances.</w:t>
      </w:r>
    </w:p>
    <w:p>
      <w:r>
        <w:rPr>
          <w:b/>
        </w:rPr>
        <w:t xml:space="preserve">49 </w:t>
      </w:r>
      <w:r>
        <w:t xml:space="preserve">Zayin. Remember your word to your servant, by which you gave me hope.</w:t>
      </w:r>
    </w:p>
    <w:p>
      <w:r>
        <w:rPr>
          <w:b/>
        </w:rPr>
        <w:t xml:space="preserve">50 </w:t>
      </w:r>
      <w:r>
        <w:t xml:space="preserve">This comforted me in my humiliation, because your saying made me live.</w:t>
      </w:r>
    </w:p>
    <w:p>
      <w:r>
        <w:rPr>
          <w:b/>
        </w:rPr>
        <w:t xml:space="preserve">51 </w:t>
      </w:r>
      <w:r>
        <w:t xml:space="preserve">Proud ones were lawless exceedingly, but from your law I did not turn aside.</w:t>
      </w:r>
    </w:p>
    <w:p>
      <w:r>
        <w:rPr>
          <w:b/>
        </w:rPr>
        <w:t xml:space="preserve">52 </w:t>
      </w:r>
      <w:r>
        <w:t xml:space="preserve">I remembered your judgments from age, Lord, and was comforted.</w:t>
      </w:r>
    </w:p>
    <w:p>
      <w:r>
        <w:rPr>
          <w:b/>
        </w:rPr>
        <w:t xml:space="preserve">53 </w:t>
      </w:r>
      <w:r>
        <w:t xml:space="preserve">Faintheartedness seized me from sinners abandoning your law.</w:t>
      </w:r>
    </w:p>
    <w:p>
      <w:r>
        <w:rPr>
          <w:b/>
        </w:rPr>
        <w:t xml:space="preserve">54 </w:t>
      </w:r>
      <w:r>
        <w:t xml:space="preserve">Your ordinances were songs to me in place of my sojourning.</w:t>
      </w:r>
    </w:p>
    <w:p>
      <w:r>
        <w:rPr>
          <w:b/>
        </w:rPr>
        <w:t xml:space="preserve">55 </w:t>
      </w:r>
      <w:r>
        <w:t xml:space="preserve">I remembered your name in night, Lord, and kept your law.</w:t>
      </w:r>
    </w:p>
    <w:p>
      <w:r>
        <w:rPr>
          <w:b/>
        </w:rPr>
        <w:t xml:space="preserve">56 </w:t>
      </w:r>
      <w:r>
        <w:t xml:space="preserve">This came to me because I searched out your ordinances.</w:t>
      </w:r>
    </w:p>
    <w:p>
      <w:r>
        <w:rPr>
          <w:b/>
        </w:rPr>
        <w:t xml:space="preserve">57 </w:t>
      </w:r>
      <w:r>
        <w:t xml:space="preserve">Heth. My portion, Lord, I said, to keep your law.</w:t>
      </w:r>
    </w:p>
    <w:p>
      <w:r>
        <w:rPr>
          <w:b/>
        </w:rPr>
        <w:t xml:space="preserve">58 </w:t>
      </w:r>
      <w:r>
        <w:t xml:space="preserve">I entreated your face with all my heart</w:t>
      </w:r>
      <w:r>
        <w:rPr>
          <w:rStyle w:val="FootnoteReference"/>
        </w:rPr>
        <w:footnoteReference w:id="10646"/>
      </w:r>
      <w:r>
        <w:t xml:space="preserve">; have mercy on me according to your saying.</w:t>
      </w:r>
    </w:p>
    <w:p>
      <w:r>
        <w:rPr>
          <w:b/>
        </w:rPr>
        <w:t xml:space="preserve">59 </w:t>
      </w:r>
      <w:r>
        <w:t xml:space="preserve">I considered your ways and turned my feet to your testimonies.</w:t>
      </w:r>
    </w:p>
    <w:p>
      <w:r>
        <w:rPr>
          <w:b/>
        </w:rPr>
        <w:t xml:space="preserve">60 </w:t>
      </w:r>
      <w:r>
        <w:t xml:space="preserve">I made ready and was not troubled to keep your commandments.</w:t>
      </w:r>
    </w:p>
    <w:p>
      <w:r>
        <w:rPr>
          <w:b/>
        </w:rPr>
        <w:t xml:space="preserve">61 </w:t>
      </w:r>
      <w:r>
        <w:t xml:space="preserve">The ropes of sinners entangled me, and your law I did not forget.</w:t>
      </w:r>
    </w:p>
    <w:p>
      <w:r>
        <w:rPr>
          <w:b/>
        </w:rPr>
        <w:t xml:space="preserve">62 </w:t>
      </w:r>
      <w:r>
        <w:t xml:space="preserve">At midnight I rose to confess to you upon the judgments of your righteousness.</w:t>
      </w:r>
    </w:p>
    <w:p>
      <w:r>
        <w:rPr>
          <w:b/>
        </w:rPr>
        <w:t xml:space="preserve">63 </w:t>
      </w:r>
      <w:r>
        <w:t xml:space="preserve">I companion of all fearing you and of those keeping your commandments.</w:t>
      </w:r>
    </w:p>
    <w:p>
      <w:r>
        <w:rPr>
          <w:b/>
        </w:rPr>
        <w:t xml:space="preserve">64 </w:t>
      </w:r>
      <w:r>
        <w:t xml:space="preserve">Of your mercy, Lord, earth full; teach me your ordinances.</w:t>
      </w:r>
    </w:p>
    <w:p>
      <w:r>
        <w:rPr>
          <w:b/>
        </w:rPr>
        <w:t xml:space="preserve">65 </w:t>
      </w:r>
      <w:r>
        <w:t xml:space="preserve">Teth. You did goodness with your servant, Lord, according to your word.</w:t>
      </w:r>
    </w:p>
    <w:p>
      <w:r>
        <w:rPr>
          <w:b/>
        </w:rPr>
        <w:t xml:space="preserve">66 </w:t>
      </w:r>
      <w:r>
        <w:t xml:space="preserve">Teach me goodness and discipline and knowledge, because I believed your commandments.</w:t>
      </w:r>
    </w:p>
    <w:p>
      <w:r>
        <w:rPr>
          <w:b/>
        </w:rPr>
        <w:t xml:space="preserve">67 </w:t>
      </w:r>
      <w:r>
        <w:t xml:space="preserve">Before I was humbled, I went astray; therefore I kept your saying.</w:t>
      </w:r>
    </w:p>
    <w:p>
      <w:r>
        <w:rPr>
          <w:b/>
        </w:rPr>
        <w:t xml:space="preserve">68 </w:t>
      </w:r>
      <w:r>
        <w:t xml:space="preserve">You good, Lord, and in your goodness teach me your ordinances.</w:t>
      </w:r>
    </w:p>
    <w:p>
      <w:r>
        <w:rPr>
          <w:b/>
        </w:rPr>
        <w:t xml:space="preserve">69 </w:t>
      </w:r>
      <w:r>
        <w:t xml:space="preserve">Injustice of proud ones multiplied upon me; but I will search out your commandments with all my heart</w:t>
      </w:r>
      <w:r>
        <w:rPr>
          <w:rStyle w:val="FootnoteReference"/>
        </w:rPr>
        <w:footnoteReference w:id="10647"/>
      </w:r>
      <w:r>
        <w:t xml:space="preserve">.</w:t>
      </w:r>
    </w:p>
    <w:p>
      <w:r>
        <w:rPr>
          <w:b/>
        </w:rPr>
        <w:t xml:space="preserve">70 </w:t>
      </w:r>
      <w:r>
        <w:t xml:space="preserve">Their heart curdled like milk, but I meditated on your law.</w:t>
      </w:r>
    </w:p>
    <w:p>
      <w:r>
        <w:rPr>
          <w:b/>
        </w:rPr>
        <w:t xml:space="preserve">71 </w:t>
      </w:r>
      <w:r>
        <w:t xml:space="preserve">Good for me that you humbled me, so that I might learn your ordinances.</w:t>
      </w:r>
    </w:p>
    <w:p>
      <w:r>
        <w:rPr>
          <w:b/>
        </w:rPr>
        <w:t xml:space="preserve">72 </w:t>
      </w:r>
      <w:r>
        <w:t xml:space="preserve">Good for me law of your mouth beyond thousands of gold and silver.</w:t>
      </w:r>
    </w:p>
    <w:p>
      <w:r>
        <w:rPr>
          <w:b/>
        </w:rPr>
        <w:t xml:space="preserve">73 </w:t>
      </w:r>
      <w:r>
        <w:t xml:space="preserve">Yod. Your hands made me and formed me; make me understand, and I will learn your commandments.</w:t>
      </w:r>
    </w:p>
    <w:p>
      <w:r>
        <w:rPr>
          <w:b/>
        </w:rPr>
        <w:t xml:space="preserve">74 </w:t>
      </w:r>
      <w:r>
        <w:t xml:space="preserve">Those fearing you will see me and rejoice, because I hoped in your words.</w:t>
      </w:r>
    </w:p>
    <w:p>
      <w:r>
        <w:rPr>
          <w:b/>
        </w:rPr>
        <w:t xml:space="preserve">75 </w:t>
      </w:r>
      <w:r>
        <w:t xml:space="preserve">I knew, Lord, that your judgments righteousness, and in truth you humbled me.</w:t>
      </w:r>
    </w:p>
    <w:p>
      <w:r>
        <w:rPr>
          <w:b/>
        </w:rPr>
        <w:t xml:space="preserve">76 </w:t>
      </w:r>
      <w:r>
        <w:t xml:space="preserve">Let your mercy become indeed to comfort me according to your saying to your servant.</w:t>
      </w:r>
    </w:p>
    <w:p>
      <w:r>
        <w:rPr>
          <w:b/>
        </w:rPr>
        <w:t xml:space="preserve">77 </w:t>
      </w:r>
      <w:r>
        <w:t xml:space="preserve">Let your compassions come to me and I will live, because your law my meditation.</w:t>
      </w:r>
    </w:p>
    <w:p>
      <w:r>
        <w:rPr>
          <w:b/>
        </w:rPr>
        <w:t xml:space="preserve">78 </w:t>
      </w:r>
      <w:r>
        <w:t xml:space="preserve">Let proud ones be shamed, because unjustly they acted lawlessly against me; but I will muse in your commandments.</w:t>
      </w:r>
    </w:p>
    <w:p>
      <w:r>
        <w:rPr>
          <w:b/>
        </w:rPr>
        <w:t xml:space="preserve">79 </w:t>
      </w:r>
      <w:r>
        <w:t xml:space="preserve">Let those fearing you turn to me, even those knowing your testimonies.</w:t>
      </w:r>
    </w:p>
    <w:p>
      <w:r>
        <w:rPr>
          <w:b/>
        </w:rPr>
        <w:t xml:space="preserve">80 </w:t>
      </w:r>
      <w:r>
        <w:t xml:space="preserve">Let my heart become blameless in your ordinances, so that I may not be shamed.</w:t>
      </w:r>
    </w:p>
    <w:p>
      <w:r>
        <w:rPr>
          <w:b/>
        </w:rPr>
        <w:t xml:space="preserve">81 </w:t>
      </w:r>
      <w:r>
        <w:t xml:space="preserve">Kaph. My soul fails for your salvation, and upon your word I hoped.</w:t>
      </w:r>
    </w:p>
    <w:p>
      <w:r>
        <w:rPr>
          <w:b/>
        </w:rPr>
        <w:t xml:space="preserve">82 </w:t>
      </w:r>
      <w:r>
        <w:t xml:space="preserve">My eyes failed for your saying, saying, When will you comfort me?</w:t>
      </w:r>
    </w:p>
    <w:p>
      <w:r>
        <w:rPr>
          <w:b/>
        </w:rPr>
        <w:t xml:space="preserve">83 </w:t>
      </w:r>
      <w:r>
        <w:t xml:space="preserve">Because I became like a wineskin in frost; your ordinances I did not forget.</w:t>
      </w:r>
    </w:p>
    <w:p>
      <w:r>
        <w:rPr>
          <w:b/>
        </w:rPr>
        <w:t xml:space="preserve">84 </w:t>
      </w:r>
      <w:r>
        <w:t xml:space="preserve">How many are days of your servant? When will you make judgment for me from those persecuting me?</w:t>
      </w:r>
    </w:p>
    <w:p>
      <w:r>
        <w:rPr>
          <w:b/>
        </w:rPr>
        <w:t xml:space="preserve">85 </w:t>
      </w:r>
      <w:r>
        <w:t xml:space="preserve">Lawless men told me idle talk, but not according to your law, Lord.</w:t>
      </w:r>
    </w:p>
    <w:p>
      <w:r>
        <w:rPr>
          <w:b/>
        </w:rPr>
        <w:t xml:space="preserve">86 </w:t>
      </w:r>
      <w:r>
        <w:t xml:space="preserve">All your commandments truth; unjustly they persecuted me; help me.</w:t>
      </w:r>
    </w:p>
    <w:p>
      <w:r>
        <w:rPr>
          <w:b/>
        </w:rPr>
        <w:t xml:space="preserve">87 </w:t>
      </w:r>
      <w:r>
        <w:t xml:space="preserve">They almost ended me in earth, but I did not forsake your commandments.</w:t>
      </w:r>
    </w:p>
    <w:p>
      <w:r>
        <w:rPr>
          <w:b/>
        </w:rPr>
        <w:t xml:space="preserve">88 </w:t>
      </w:r>
      <w:r>
        <w:t xml:space="preserve">According to your mercy make me live, and I will keep testimonies of your mouth.</w:t>
      </w:r>
    </w:p>
    <w:p>
      <w:r>
        <w:rPr>
          <w:b/>
        </w:rPr>
        <w:t xml:space="preserve">89 </w:t>
      </w:r>
      <w:r>
        <w:t xml:space="preserve">Lamed. Forever, Lord, your word remains in heaven.</w:t>
      </w:r>
    </w:p>
    <w:p>
      <w:r>
        <w:rPr>
          <w:b/>
        </w:rPr>
        <w:t xml:space="preserve">90 </w:t>
      </w:r>
      <w:r>
        <w:t xml:space="preserve">To generation and generation your truth; you founded earth, and it remains.</w:t>
      </w:r>
    </w:p>
    <w:p>
      <w:r>
        <w:rPr>
          <w:b/>
        </w:rPr>
        <w:t xml:space="preserve">91 </w:t>
      </w:r>
      <w:r>
        <w:t xml:space="preserve">By your ordinance the day remains, because all things your servants.</w:t>
      </w:r>
    </w:p>
    <w:p>
      <w:r>
        <w:rPr>
          <w:b/>
        </w:rPr>
        <w:t xml:space="preserve">92 </w:t>
      </w:r>
      <w:r>
        <w:t xml:space="preserve">If not that your law my meditation, then I would have perished in my humiliation.</w:t>
      </w:r>
    </w:p>
    <w:p>
      <w:r>
        <w:rPr>
          <w:b/>
        </w:rPr>
        <w:t xml:space="preserve">93 </w:t>
      </w:r>
      <w:r>
        <w:t xml:space="preserve">Forever I will certainly not forget your ordinances, because in them you made me live, Lord.</w:t>
      </w:r>
    </w:p>
    <w:p>
      <w:r>
        <w:rPr>
          <w:b/>
        </w:rPr>
        <w:t xml:space="preserve">94 </w:t>
      </w:r>
      <w:r>
        <w:t xml:space="preserve">Yours I am; save me, because I searched out your ordinances.</w:t>
      </w:r>
    </w:p>
    <w:p>
      <w:r>
        <w:rPr>
          <w:b/>
        </w:rPr>
        <w:t xml:space="preserve">95 </w:t>
      </w:r>
      <w:r>
        <w:t xml:space="preserve">Sinners waited for me to destroy me; your testimonies I understood.</w:t>
      </w:r>
    </w:p>
    <w:p>
      <w:r>
        <w:rPr>
          <w:b/>
        </w:rPr>
        <w:t xml:space="preserve">96 </w:t>
      </w:r>
      <w:r>
        <w:t xml:space="preserve">Of every completion I saw end; your commandment very broad.</w:t>
      </w:r>
    </w:p>
    <w:p>
      <w:r>
        <w:rPr>
          <w:b/>
        </w:rPr>
        <w:t xml:space="preserve">97 </w:t>
      </w:r>
      <w:r>
        <w:t xml:space="preserve">Mem. How I loved your law, Lord; the whole day it is my meditation.</w:t>
      </w:r>
    </w:p>
    <w:p>
      <w:r>
        <w:rPr>
          <w:b/>
        </w:rPr>
        <w:t xml:space="preserve">98 </w:t>
      </w:r>
      <w:r>
        <w:t xml:space="preserve">Beyond my enemies you made me wise by your commandment, because forever it mine.</w:t>
      </w:r>
    </w:p>
    <w:p>
      <w:r>
        <w:rPr>
          <w:b/>
        </w:rPr>
        <w:t xml:space="preserve">99 </w:t>
      </w:r>
      <w:r>
        <w:t xml:space="preserve">Beyond all teaching me I understood, because your testimonies my meditation.</w:t>
      </w:r>
    </w:p>
    <w:p>
      <w:r>
        <w:rPr>
          <w:b/>
        </w:rPr>
        <w:t xml:space="preserve">100 </w:t>
      </w:r>
      <w:r>
        <w:t xml:space="preserve">Beyond elders I understood, because I searched out your commandments.</w:t>
      </w:r>
    </w:p>
    <w:p>
      <w:r>
        <w:rPr>
          <w:b/>
        </w:rPr>
        <w:t xml:space="preserve">101 </w:t>
      </w:r>
      <w:r>
        <w:t xml:space="preserve">From every evil way I kept back my feet, so that I might keep your words.</w:t>
      </w:r>
    </w:p>
    <w:p>
      <w:r>
        <w:rPr>
          <w:b/>
        </w:rPr>
        <w:t xml:space="preserve">102 </w:t>
      </w:r>
      <w:r>
        <w:t xml:space="preserve">From your judgments I did not turn aside, because you gave law to me.</w:t>
      </w:r>
    </w:p>
    <w:p>
      <w:r>
        <w:rPr>
          <w:b/>
        </w:rPr>
        <w:t xml:space="preserve">103 </w:t>
      </w:r>
      <w:r>
        <w:t xml:space="preserve">How sweet to my throat your sayings, beyond honey and honeycomb to my mouth.</w:t>
      </w:r>
    </w:p>
    <w:p>
      <w:r>
        <w:rPr>
          <w:b/>
        </w:rPr>
        <w:t xml:space="preserve">104 </w:t>
      </w:r>
      <w:r>
        <w:t xml:space="preserve">From your commandments I understood; therefore I hated every way of injustice, because you gave law to me.</w:t>
      </w:r>
    </w:p>
    <w:p>
      <w:r>
        <w:rPr>
          <w:b/>
        </w:rPr>
        <w:t xml:space="preserve">105 </w:t>
      </w:r>
      <w:r>
        <w:t xml:space="preserve">Nun. Your word lamp to my feet and light to my paths.</w:t>
      </w:r>
    </w:p>
    <w:p>
      <w:r>
        <w:rPr>
          <w:b/>
        </w:rPr>
        <w:t xml:space="preserve">106 </w:t>
      </w:r>
      <w:r>
        <w:t xml:space="preserve">I swore and established it, to keep the judgments of your righteousness.</w:t>
      </w:r>
    </w:p>
    <w:p>
      <w:r>
        <w:rPr>
          <w:b/>
        </w:rPr>
        <w:t xml:space="preserve">107 </w:t>
      </w:r>
      <w:r>
        <w:t xml:space="preserve">I was humbled exceedingly; Lord, make me live according to your word.</w:t>
      </w:r>
    </w:p>
    <w:p>
      <w:r>
        <w:rPr>
          <w:b/>
        </w:rPr>
        <w:t xml:space="preserve">108 </w:t>
      </w:r>
      <w:r>
        <w:t xml:space="preserve">Freewill offerings of my mouth accept indeed, Lord, and teach me your judgments.</w:t>
      </w:r>
    </w:p>
    <w:p>
      <w:r>
        <w:rPr>
          <w:b/>
        </w:rPr>
        <w:t xml:space="preserve">109 </w:t>
      </w:r>
      <w:r>
        <w:t xml:space="preserve">My soul in my hands continually, and your law I did not forget.</w:t>
      </w:r>
    </w:p>
    <w:p>
      <w:r>
        <w:rPr>
          <w:b/>
        </w:rPr>
        <w:t xml:space="preserve">110 </w:t>
      </w:r>
      <w:r>
        <w:t xml:space="preserve">Sinners set snare for me, and from your commandments I did not wander.</w:t>
      </w:r>
    </w:p>
    <w:p>
      <w:r>
        <w:rPr>
          <w:b/>
        </w:rPr>
        <w:t xml:space="preserve">111 </w:t>
      </w:r>
      <w:r>
        <w:t xml:space="preserve">I inherited your testimonies forever, because they joy of my heart.</w:t>
      </w:r>
    </w:p>
    <w:p>
      <w:r>
        <w:rPr>
          <w:b/>
        </w:rPr>
        <w:t xml:space="preserve">112 </w:t>
      </w:r>
      <w:r>
        <w:t xml:space="preserve">I inclined my heart to do your ordinances forever, for recompense.</w:t>
      </w:r>
    </w:p>
    <w:p>
      <w:r>
        <w:rPr>
          <w:b/>
        </w:rPr>
        <w:t xml:space="preserve">113 </w:t>
      </w:r>
      <w:r>
        <w:t xml:space="preserve">Samekh. Lawless men I hated, but your law I loved.</w:t>
      </w:r>
    </w:p>
    <w:p>
      <w:r>
        <w:rPr>
          <w:b/>
        </w:rPr>
        <w:t xml:space="preserve">114 </w:t>
      </w:r>
      <w:r>
        <w:t xml:space="preserve">You my helper and supporter; upon your word I hoped.</w:t>
      </w:r>
    </w:p>
    <w:p>
      <w:r>
        <w:rPr>
          <w:b/>
        </w:rPr>
        <w:t xml:space="preserve">115 </w:t>
      </w:r>
      <w:r>
        <w:t xml:space="preserve">Turn away from me, evil-doers, and I will search out commandments of my God.</w:t>
      </w:r>
    </w:p>
    <w:p>
      <w:r>
        <w:rPr>
          <w:b/>
        </w:rPr>
        <w:t xml:space="preserve">116 </w:t>
      </w:r>
      <w:r>
        <w:t xml:space="preserve">Take hold of me according to your saying, and I will live, and do not shame me from my expectation.</w:t>
      </w:r>
    </w:p>
    <w:p>
      <w:r>
        <w:rPr>
          <w:b/>
        </w:rPr>
        <w:t xml:space="preserve">117 </w:t>
      </w:r>
      <w:r>
        <w:t xml:space="preserve">Help me, and I will be saved, and I will meditate on your ordinances continually.</w:t>
      </w:r>
    </w:p>
    <w:p>
      <w:r>
        <w:rPr>
          <w:b/>
        </w:rPr>
        <w:t xml:space="preserve">118 </w:t>
      </w:r>
      <w:r>
        <w:t xml:space="preserve">You despised all departing from your ordinances, because unjust their thought.</w:t>
      </w:r>
    </w:p>
    <w:p>
      <w:r>
        <w:rPr>
          <w:b/>
        </w:rPr>
        <w:t xml:space="preserve">119 </w:t>
      </w:r>
      <w:r>
        <w:t xml:space="preserve">I considered all sinners of earth as transgressors; therefore I loved your testimonies continually.</w:t>
      </w:r>
    </w:p>
    <w:p>
      <w:r>
        <w:rPr>
          <w:b/>
        </w:rPr>
        <w:t xml:space="preserve">120 </w:t>
      </w:r>
      <w:r>
        <w:t xml:space="preserve">Nail down my flesh from your fear, because I feared your judgments.</w:t>
      </w:r>
    </w:p>
    <w:p>
      <w:r>
        <w:rPr>
          <w:b/>
        </w:rPr>
        <w:t xml:space="preserve">121 </w:t>
      </w:r>
      <w:r>
        <w:t xml:space="preserve">Ayin. I did judgment and righteousness; do not hand me over to those doing me injustice.</w:t>
      </w:r>
    </w:p>
    <w:p>
      <w:r>
        <w:rPr>
          <w:b/>
        </w:rPr>
        <w:t xml:space="preserve">122 </w:t>
      </w:r>
      <w:r>
        <w:t xml:space="preserve">Receive your servant for good; let proud ones not slander me.</w:t>
      </w:r>
    </w:p>
    <w:p>
      <w:r>
        <w:rPr>
          <w:b/>
        </w:rPr>
        <w:t xml:space="preserve">123 </w:t>
      </w:r>
      <w:r>
        <w:t xml:space="preserve">My eyes failed for your salvation and for saying of your righteousness.</w:t>
      </w:r>
    </w:p>
    <w:p>
      <w:r>
        <w:rPr>
          <w:b/>
        </w:rPr>
        <w:t xml:space="preserve">124 </w:t>
      </w:r>
      <w:r>
        <w:t xml:space="preserve">Do with your servant according to your mercy and teach me your ordinances.</w:t>
      </w:r>
    </w:p>
    <w:p>
      <w:r>
        <w:rPr>
          <w:b/>
        </w:rPr>
        <w:t xml:space="preserve">125 </w:t>
      </w:r>
      <w:r>
        <w:t xml:space="preserve">I am your servant; make me understand, and I will know your testimonies.</w:t>
      </w:r>
    </w:p>
    <w:p>
      <w:r>
        <w:rPr>
          <w:b/>
        </w:rPr>
        <w:t xml:space="preserve">126 </w:t>
      </w:r>
      <w:r>
        <w:t xml:space="preserve">Time for the Lord to act; they scattered your law.</w:t>
      </w:r>
    </w:p>
    <w:p>
      <w:r>
        <w:rPr>
          <w:b/>
        </w:rPr>
        <w:t xml:space="preserve">127 </w:t>
      </w:r>
      <w:r>
        <w:t xml:space="preserve">Therefore I loved your commandments beyond gold and topaz.</w:t>
      </w:r>
    </w:p>
    <w:p>
      <w:r>
        <w:rPr>
          <w:b/>
        </w:rPr>
        <w:t xml:space="preserve">128 </w:t>
      </w:r>
      <w:r>
        <w:t xml:space="preserve">Therefore toward all your commandments I was set straight; every unjust way I hated.</w:t>
      </w:r>
    </w:p>
    <w:p>
      <w:r>
        <w:rPr>
          <w:b/>
        </w:rPr>
        <w:t xml:space="preserve">129 </w:t>
      </w:r>
      <w:r>
        <w:t xml:space="preserve">Pe. Wondrous your testimonies; therefore my soul searched them out.</w:t>
      </w:r>
    </w:p>
    <w:p>
      <w:r>
        <w:rPr>
          <w:b/>
        </w:rPr>
        <w:t xml:space="preserve">130 </w:t>
      </w:r>
      <w:r>
        <w:t xml:space="preserve">The disclosure of your words gives light and makes little ones understand.</w:t>
      </w:r>
    </w:p>
    <w:p>
      <w:r>
        <w:rPr>
          <w:b/>
        </w:rPr>
        <w:t xml:space="preserve">131 </w:t>
      </w:r>
      <w:r>
        <w:t xml:space="preserve">My mouth I opened and drew in breath, because I longed for your commandments.</w:t>
      </w:r>
    </w:p>
    <w:p>
      <w:r>
        <w:rPr>
          <w:b/>
        </w:rPr>
        <w:t xml:space="preserve">132 </w:t>
      </w:r>
      <w:r>
        <w:t xml:space="preserve">Look upon me and have mercy on me according to the judgment of those loving your name.</w:t>
      </w:r>
    </w:p>
    <w:p>
      <w:r>
        <w:rPr>
          <w:b/>
        </w:rPr>
        <w:t xml:space="preserve">133 </w:t>
      </w:r>
      <w:r>
        <w:t xml:space="preserve">Direct my steps according to your saying, and let no lawlessness rule over me.</w:t>
      </w:r>
    </w:p>
    <w:p>
      <w:r>
        <w:rPr>
          <w:b/>
        </w:rPr>
        <w:t xml:space="preserve">134 </w:t>
      </w:r>
      <w:r>
        <w:t xml:space="preserve">Redeem me from slander of men, and I will keep your commandments.</w:t>
      </w:r>
    </w:p>
    <w:p>
      <w:r>
        <w:rPr>
          <w:b/>
        </w:rPr>
        <w:t xml:space="preserve">135 </w:t>
      </w:r>
      <w:r>
        <w:t xml:space="preserve">Make your face shine upon your servant and teach me your ordinances.</w:t>
      </w:r>
    </w:p>
    <w:p>
      <w:r>
        <w:rPr>
          <w:b/>
        </w:rPr>
        <w:t xml:space="preserve">136 </w:t>
      </w:r>
      <w:r>
        <w:t xml:space="preserve">The streams of waters came down from my eyes because they did not keep your law.</w:t>
      </w:r>
    </w:p>
    <w:p>
      <w:r>
        <w:rPr>
          <w:b/>
        </w:rPr>
        <w:t xml:space="preserve">137 </w:t>
      </w:r>
      <w:r>
        <w:t xml:space="preserve">Tsade. Righteous are you, Lord, and straight your judgment.</w:t>
      </w:r>
    </w:p>
    <w:p>
      <w:r>
        <w:rPr>
          <w:b/>
        </w:rPr>
        <w:t xml:space="preserve">138 </w:t>
      </w:r>
      <w:r>
        <w:t xml:space="preserve">You commanded your testimonies in righteousness and truth exceedingly.</w:t>
      </w:r>
    </w:p>
    <w:p>
      <w:r>
        <w:rPr>
          <w:b/>
        </w:rPr>
        <w:t xml:space="preserve">139 </w:t>
      </w:r>
      <w:r>
        <w:t xml:space="preserve">Zeal of your house melted me away, because my enemies forgot your words.</w:t>
      </w:r>
    </w:p>
    <w:p>
      <w:r>
        <w:rPr>
          <w:b/>
        </w:rPr>
        <w:t xml:space="preserve">140 </w:t>
      </w:r>
      <w:r>
        <w:t xml:space="preserve">Your saying very refined, and your servant loved it.</w:t>
      </w:r>
    </w:p>
    <w:p>
      <w:r>
        <w:rPr>
          <w:b/>
        </w:rPr>
        <w:t xml:space="preserve">141 </w:t>
      </w:r>
      <w:r>
        <w:t xml:space="preserve">Younger I am and despised; your ordinances I did not forget.</w:t>
      </w:r>
    </w:p>
    <w:p>
      <w:r>
        <w:rPr>
          <w:b/>
        </w:rPr>
        <w:t xml:space="preserve">142 </w:t>
      </w:r>
      <w:r>
        <w:t xml:space="preserve">Your righteousness is righteousness forever, and your law is truth.</w:t>
      </w:r>
    </w:p>
    <w:p>
      <w:r>
        <w:rPr>
          <w:b/>
        </w:rPr>
        <w:t xml:space="preserve">143 </w:t>
      </w:r>
      <w:r>
        <w:t xml:space="preserve">Affliction and necessity found me; your commandments my meditation.</w:t>
      </w:r>
    </w:p>
    <w:p>
      <w:r>
        <w:rPr>
          <w:b/>
        </w:rPr>
        <w:t xml:space="preserve">144 </w:t>
      </w:r>
      <w:r>
        <w:t xml:space="preserve">Your testimonies righteousness forever; make me understand and I will live.</w:t>
      </w:r>
    </w:p>
    <w:p>
      <w:r>
        <w:rPr>
          <w:b/>
        </w:rPr>
        <w:t xml:space="preserve">145 </w:t>
      </w:r>
      <w:r>
        <w:t xml:space="preserve">Qoph. I cried with all my heart</w:t>
      </w:r>
      <w:r>
        <w:rPr>
          <w:rStyle w:val="FootnoteReference"/>
        </w:rPr>
        <w:footnoteReference w:id="10648"/>
      </w:r>
      <w:r>
        <w:t xml:space="preserve">; hear me, Lord; I will seek out your statutes.</w:t>
      </w:r>
    </w:p>
    <w:p>
      <w:r>
        <w:rPr>
          <w:b/>
        </w:rPr>
        <w:t xml:space="preserve">146 </w:t>
      </w:r>
      <w:r>
        <w:t xml:space="preserve">I cried to you; save me, and I will keep your testimonies.</w:t>
      </w:r>
    </w:p>
    <w:p>
      <w:r>
        <w:rPr>
          <w:b/>
        </w:rPr>
        <w:t xml:space="preserve">147 </w:t>
      </w:r>
      <w:r>
        <w:t xml:space="preserve">I came before dawn and cried; in your words I hoped.</w:t>
      </w:r>
    </w:p>
    <w:p>
      <w:r>
        <w:rPr>
          <w:b/>
        </w:rPr>
        <w:t xml:space="preserve">148 </w:t>
      </w:r>
      <w:r>
        <w:t xml:space="preserve">My eyes came before daybreak to meditate on your sayings.</w:t>
      </w:r>
    </w:p>
    <w:p>
      <w:r>
        <w:rPr>
          <w:b/>
        </w:rPr>
        <w:t xml:space="preserve">149 </w:t>
      </w:r>
      <w:r>
        <w:t xml:space="preserve">Hear my voice, Lord, according to your mercy; according to your judgment make me live.</w:t>
      </w:r>
    </w:p>
    <w:p>
      <w:r>
        <w:rPr>
          <w:b/>
        </w:rPr>
        <w:t xml:space="preserve">150 </w:t>
      </w:r>
      <w:r>
        <w:t xml:space="preserve">Those pursuing me in lawlessness drew near; from your law they grew far.</w:t>
      </w:r>
    </w:p>
    <w:p>
      <w:r>
        <w:rPr>
          <w:b/>
        </w:rPr>
        <w:t xml:space="preserve">151 </w:t>
      </w:r>
      <w:r>
        <w:t xml:space="preserve">You near, Lord, and all your commandments truth.</w:t>
      </w:r>
    </w:p>
    <w:p>
      <w:r>
        <w:rPr>
          <w:b/>
        </w:rPr>
        <w:t xml:space="preserve">152 </w:t>
      </w:r>
      <w:r>
        <w:t xml:space="preserve">From beginning I knew from your testimonies that forever you founded them.</w:t>
      </w:r>
    </w:p>
    <w:p>
      <w:r>
        <w:rPr>
          <w:b/>
        </w:rPr>
        <w:t xml:space="preserve">153 </w:t>
      </w:r>
      <w:r>
        <w:t xml:space="preserve">Resh. See my humiliation and rescue me, because I did not forget your law.</w:t>
      </w:r>
    </w:p>
    <w:p>
      <w:r>
        <w:rPr>
          <w:b/>
        </w:rPr>
        <w:t xml:space="preserve">154 </w:t>
      </w:r>
      <w:r>
        <w:t xml:space="preserve">Judge my case and redeem me; by your word make me live.</w:t>
      </w:r>
    </w:p>
    <w:p>
      <w:r>
        <w:rPr>
          <w:b/>
        </w:rPr>
        <w:t xml:space="preserve">155 </w:t>
      </w:r>
      <w:r>
        <w:t xml:space="preserve">Salvation far from sinners, because your statutes they did not seek out.</w:t>
      </w:r>
    </w:p>
    <w:p>
      <w:r>
        <w:rPr>
          <w:b/>
        </w:rPr>
        <w:t xml:space="preserve">156 </w:t>
      </w:r>
      <w:r>
        <w:t xml:space="preserve">Your compassions many, Lord; according to your judgment make me live.</w:t>
      </w:r>
    </w:p>
    <w:p>
      <w:r>
        <w:rPr>
          <w:b/>
        </w:rPr>
        <w:t xml:space="preserve">157 </w:t>
      </w:r>
      <w:r>
        <w:t xml:space="preserve">Many driving me out and afflicting me; from your testimonies I did not turn aside.</w:t>
      </w:r>
    </w:p>
    <w:p>
      <w:r>
        <w:rPr>
          <w:b/>
        </w:rPr>
        <w:t xml:space="preserve">158 </w:t>
      </w:r>
      <w:r>
        <w:t xml:space="preserve">I saw those breaking faith and wasted away, because they did not keep your words.</w:t>
      </w:r>
    </w:p>
    <w:p>
      <w:r>
        <w:rPr>
          <w:b/>
        </w:rPr>
        <w:t xml:space="preserve">159 </w:t>
      </w:r>
      <w:r>
        <w:t xml:space="preserve">See that I loved your commandments, Lord; in your mercy make me live.</w:t>
      </w:r>
    </w:p>
    <w:p>
      <w:r>
        <w:rPr>
          <w:b/>
        </w:rPr>
        <w:t xml:space="preserve">160 </w:t>
      </w:r>
      <w:r>
        <w:t xml:space="preserve">The beginning of your words is truth, and forever all the judgments of your righteousness.</w:t>
      </w:r>
    </w:p>
    <w:p>
      <w:r>
        <w:rPr>
          <w:b/>
        </w:rPr>
        <w:t xml:space="preserve">161 </w:t>
      </w:r>
      <w:r>
        <w:t xml:space="preserve">Princes pursued me for nothing, and from your words my heart stood in awe.</w:t>
      </w:r>
    </w:p>
    <w:p>
      <w:r>
        <w:rPr>
          <w:b/>
        </w:rPr>
        <w:t xml:space="preserve">162 </w:t>
      </w:r>
      <w:r>
        <w:t xml:space="preserve">I rejoice over your words like one finding much spoil.</w:t>
      </w:r>
    </w:p>
    <w:p>
      <w:r>
        <w:rPr>
          <w:b/>
        </w:rPr>
        <w:t xml:space="preserve">163 </w:t>
      </w:r>
      <w:r>
        <w:t xml:space="preserve">Injustice I hated and abhorred, but your law I loved.</w:t>
      </w:r>
    </w:p>
    <w:p>
      <w:r>
        <w:rPr>
          <w:b/>
        </w:rPr>
        <w:t xml:space="preserve">164 </w:t>
      </w:r>
      <w:r>
        <w:t xml:space="preserve">Seven times a day I praised you for the judgments of your righteousness.</w:t>
      </w:r>
    </w:p>
    <w:p>
      <w:r>
        <w:rPr>
          <w:b/>
        </w:rPr>
        <w:t xml:space="preserve">165 </w:t>
      </w:r>
      <w:r>
        <w:t xml:space="preserve">Much peace to those loving your law, and no stumbling for them.</w:t>
      </w:r>
    </w:p>
    <w:p>
      <w:r>
        <w:rPr>
          <w:b/>
        </w:rPr>
        <w:t xml:space="preserve">166 </w:t>
      </w:r>
      <w:r>
        <w:t xml:space="preserve">I kept expecting your salvation, Lord, and your commandments I loved.</w:t>
      </w:r>
    </w:p>
    <w:p>
      <w:r>
        <w:rPr>
          <w:b/>
        </w:rPr>
        <w:t xml:space="preserve">167 </w:t>
      </w:r>
      <w:r>
        <w:t xml:space="preserve">My soul kept your testimonies and loved them greatly.</w:t>
      </w:r>
    </w:p>
    <w:p>
      <w:r>
        <w:rPr>
          <w:b/>
        </w:rPr>
        <w:t xml:space="preserve">168 </w:t>
      </w:r>
      <w:r>
        <w:t xml:space="preserve">I kept your commandments and your testimonies, because all my ways before you, Lord.</w:t>
      </w:r>
    </w:p>
    <w:p>
      <w:r>
        <w:rPr>
          <w:b/>
        </w:rPr>
        <w:t xml:space="preserve">169 </w:t>
      </w:r>
      <w:r>
        <w:t xml:space="preserve">Tau. Let my petition come near before you, Lord; according to your word make me understand.</w:t>
      </w:r>
    </w:p>
    <w:p>
      <w:r>
        <w:rPr>
          <w:b/>
        </w:rPr>
        <w:t xml:space="preserve">170 </w:t>
      </w:r>
      <w:r>
        <w:t xml:space="preserve">Let my request enter before you; according to your word rescue me.</w:t>
      </w:r>
    </w:p>
    <w:p>
      <w:r>
        <w:rPr>
          <w:b/>
        </w:rPr>
        <w:t xml:space="preserve">171 </w:t>
      </w:r>
      <w:r>
        <w:t xml:space="preserve">Let my lips pour forth hymn when you teach me your statutes.</w:t>
      </w:r>
    </w:p>
    <w:p>
      <w:r>
        <w:rPr>
          <w:b/>
        </w:rPr>
        <w:t xml:space="preserve">172 </w:t>
      </w:r>
      <w:r>
        <w:t xml:space="preserve">Let my tongue speak your saying, because all your commandments righteousness.</w:t>
      </w:r>
    </w:p>
    <w:p>
      <w:r>
        <w:rPr>
          <w:b/>
        </w:rPr>
        <w:t xml:space="preserve">173 </w:t>
      </w:r>
      <w:r>
        <w:t xml:space="preserve">Let your hand come to save me, because I chose your commandments.</w:t>
      </w:r>
    </w:p>
    <w:p>
      <w:r>
        <w:rPr>
          <w:b/>
        </w:rPr>
        <w:t xml:space="preserve">174 </w:t>
      </w:r>
      <w:r>
        <w:t xml:space="preserve">I longed for your salvation, Lord, and your law my meditation.</w:t>
      </w:r>
    </w:p>
    <w:p>
      <w:r>
        <w:rPr>
          <w:b/>
        </w:rPr>
        <w:t xml:space="preserve">175 </w:t>
      </w:r>
      <w:r>
        <w:t xml:space="preserve">My soul will live and praise you, and your judgments will help me.</w:t>
      </w:r>
    </w:p>
    <w:p>
      <w:r>
        <w:rPr>
          <w:b/>
        </w:rPr>
        <w:t xml:space="preserve">176 </w:t>
      </w:r>
      <w:r>
        <w:t xml:space="preserve">I wandered like sheep lost; seek your servant, because your commandments I did not forget.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119</w:t>
      </w:r>
    </w:p>
    <w:p>
      <w:r>
        <w:rPr>
          <w:b/>
        </w:rPr>
        <w:t xml:space="preserve">1 </w:t>
      </w:r>
      <w:r>
        <w:rPr>
          <w:i/>
        </w:rPr>
        <w:t xml:space="preserve">Song of ascents.</w:t>
      </w:r>
      <w:r>
        <w:br/>
      </w:r>
      <w:r>
        <w:t xml:space="preserve">To the Lord, in my being afflicted, I cried, and he heard me.</w:t>
      </w:r>
    </w:p>
    <w:p>
      <w:r>
        <w:rPr>
          <w:b/>
        </w:rPr>
        <w:t xml:space="preserve">2 </w:t>
      </w:r>
      <w:r>
        <w:t xml:space="preserve">Lord, rescue my soul from unjust lips and from a deceitful tongue</w:t>
      </w:r>
      <w:r>
        <w:rPr>
          <w:rStyle w:val="FootnoteReference"/>
        </w:rPr>
        <w:footnoteReference w:id="10649"/>
      </w:r>
      <w:r>
        <w:t xml:space="preserve">.</w:t>
      </w:r>
    </w:p>
    <w:p>
      <w:r>
        <w:rPr>
          <w:b/>
        </w:rPr>
        <w:t xml:space="preserve">3 </w:t>
      </w:r>
      <w:r>
        <w:t xml:space="preserve">What should be given to you, and what should be added to you, against a deceitful tongue</w:t>
      </w:r>
      <w:r>
        <w:rPr>
          <w:rStyle w:val="FootnoteReference"/>
        </w:rPr>
        <w:footnoteReference w:id="10650"/>
      </w:r>
      <w:r>
        <w:t xml:space="preserve">?</w:t>
      </w:r>
    </w:p>
    <w:p>
      <w:r>
        <w:rPr>
          <w:b/>
        </w:rPr>
        <w:t xml:space="preserve">4 </w:t>
      </w:r>
      <w:r>
        <w:t xml:space="preserve">Sharpened arrows of mighty one, with desert coals.</w:t>
      </w:r>
    </w:p>
    <w:p>
      <w:r>
        <w:rPr>
          <w:b/>
        </w:rPr>
        <w:t xml:space="preserve">5 </w:t>
      </w:r>
      <w:r>
        <w:t xml:space="preserve">Alas me, because my sojourning lengthened; I camped with tents of Kedar.</w:t>
      </w:r>
    </w:p>
    <w:p>
      <w:r>
        <w:rPr>
          <w:b/>
        </w:rPr>
        <w:t xml:space="preserve">6 </w:t>
      </w:r>
      <w:r>
        <w:t xml:space="preserve">My soul long sojourned.</w:t>
      </w:r>
    </w:p>
    <w:p>
      <w:r>
        <w:rPr>
          <w:b/>
        </w:rPr>
        <w:t xml:space="preserve">7 </w:t>
      </w:r>
      <w:r>
        <w:t xml:space="preserve">With those hating peace, I was peaceable; when I spoke to them, they warred against me for nothing.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120</w:t>
      </w:r>
    </w:p>
    <w:p>
      <w:r>
        <w:rPr>
          <w:b/>
        </w:rPr>
        <w:t xml:space="preserve">1 </w:t>
      </w:r>
      <w:r>
        <w:rPr>
          <w:i/>
        </w:rPr>
        <w:t xml:space="preserve">Song of ascents.</w:t>
      </w:r>
      <w:r>
        <w:br/>
      </w:r>
      <w:r>
        <w:t xml:space="preserve">I lifted my eyes to mountains; from where will my help come?</w:t>
      </w:r>
    </w:p>
    <w:p>
      <w:r>
        <w:rPr>
          <w:b/>
        </w:rPr>
        <w:t xml:space="preserve">2 </w:t>
      </w:r>
      <w:r>
        <w:t xml:space="preserve">My help from the Lord, maker of heaven and earth.</w:t>
      </w:r>
    </w:p>
    <w:p>
      <w:r>
        <w:rPr>
          <w:b/>
        </w:rPr>
        <w:t xml:space="preserve">3 </w:t>
      </w:r>
      <w:r>
        <w:t xml:space="preserve">Do not let your foot be shaken; may one guarding you not slumber.</w:t>
      </w:r>
    </w:p>
    <w:p>
      <w:r>
        <w:rPr>
          <w:b/>
        </w:rPr>
        <w:t xml:space="preserve">4 </w:t>
      </w:r>
      <w:r>
        <w:t xml:space="preserve">Behold, keeper of Israel</w:t>
      </w:r>
      <w:r>
        <w:rPr>
          <w:rStyle w:val="FootnoteReference"/>
        </w:rPr>
        <w:footnoteReference w:id="10651"/>
      </w:r>
      <w:r>
        <w:t xml:space="preserve"> will neither slumber nor sleep.</w:t>
      </w:r>
    </w:p>
    <w:p>
      <w:r>
        <w:rPr>
          <w:b/>
        </w:rPr>
        <w:t xml:space="preserve">5 </w:t>
      </w:r>
      <w:r>
        <w:t xml:space="preserve">The Lord will guard you; the Lord is your shelter at right hand.</w:t>
      </w:r>
    </w:p>
    <w:p>
      <w:r>
        <w:rPr>
          <w:b/>
        </w:rPr>
        <w:t xml:space="preserve">6 </w:t>
      </w:r>
      <w:r>
        <w:t xml:space="preserve">By day sun will not burn you, nor moon by night.</w:t>
      </w:r>
    </w:p>
    <w:p>
      <w:r>
        <w:rPr>
          <w:b/>
        </w:rPr>
        <w:t xml:space="preserve">7 </w:t>
      </w:r>
      <w:r>
        <w:t xml:space="preserve">The Lord will guard you from every evil; he will guard your soul.</w:t>
      </w:r>
    </w:p>
    <w:p>
      <w:r>
        <w:rPr>
          <w:b/>
        </w:rPr>
        <w:t xml:space="preserve">8 </w:t>
      </w:r>
      <w:r>
        <w:t xml:space="preserve">The Lord will guard your going in and your going out, from now and until age.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121</w:t>
      </w:r>
    </w:p>
    <w:p>
      <w:r>
        <w:rPr>
          <w:b/>
        </w:rPr>
        <w:t xml:space="preserve">1 </w:t>
      </w:r>
      <w:r>
        <w:rPr>
          <w:i/>
        </w:rPr>
        <w:t xml:space="preserve">Song of ascents.</w:t>
      </w:r>
      <w:r>
        <w:br/>
      </w:r>
      <w:r>
        <w:t xml:space="preserve">I rejoiced over those saying to me, "To the house of the Lord we will go."</w:t>
      </w:r>
    </w:p>
    <w:p>
      <w:r>
        <w:rPr>
          <w:b/>
        </w:rPr>
        <w:t xml:space="preserve">2 </w:t>
      </w:r>
      <w:r>
        <w:t xml:space="preserve">Our feet stood in your courts, Jerusalem.</w:t>
      </w:r>
    </w:p>
    <w:p>
      <w:r>
        <w:rPr>
          <w:b/>
        </w:rPr>
        <w:t xml:space="preserve">3 </w:t>
      </w:r>
      <w:r>
        <w:t xml:space="preserve">Jerusalem, being built as a city whose fellowship together one and same.</w:t>
      </w:r>
    </w:p>
    <w:p>
      <w:r>
        <w:rPr>
          <w:b/>
        </w:rPr>
        <w:t xml:space="preserve">4 </w:t>
      </w:r>
      <w:r>
        <w:t xml:space="preserve">For there tribes went up, tribes of the Lord, testimony for Israel, to give thanks to the name of the Lord.</w:t>
      </w:r>
      <w:r>
        <w:rPr>
          <w:rStyle w:val="FootnoteReference"/>
        </w:rPr>
        <w:footnoteReference w:id="10652"/>
      </w:r>
    </w:p>
    <w:p>
      <w:r>
        <w:rPr>
          <w:b/>
        </w:rPr>
        <w:t xml:space="preserve">5 </w:t>
      </w:r>
      <w:r>
        <w:t xml:space="preserve">Because there thrones sat for judgment, thrones over the house of David.</w:t>
      </w:r>
    </w:p>
    <w:p>
      <w:r>
        <w:rPr>
          <w:b/>
        </w:rPr>
        <w:t xml:space="preserve">6 </w:t>
      </w:r>
      <w:r>
        <w:t xml:space="preserve">Ask now things for peace of Jerusalem, and prosperity to those loving you.</w:t>
      </w:r>
    </w:p>
    <w:p>
      <w:r>
        <w:rPr>
          <w:b/>
        </w:rPr>
        <w:t xml:space="preserve">7 </w:t>
      </w:r>
      <w:r>
        <w:t xml:space="preserve">Let peace now be in your strength, and prosperity in your towers.</w:t>
      </w:r>
    </w:p>
    <w:p>
      <w:r>
        <w:rPr>
          <w:b/>
        </w:rPr>
        <w:t xml:space="preserve">8 </w:t>
      </w:r>
      <w:r>
        <w:t xml:space="preserve">For the sake of my brothers and neighbors, I kept speaking peace concerning you.</w:t>
      </w:r>
    </w:p>
    <w:p>
      <w:r>
        <w:rPr>
          <w:b/>
        </w:rPr>
        <w:t xml:space="preserve">9 </w:t>
      </w:r>
      <w:r>
        <w:t xml:space="preserve">For the sake of the house of the Lord our God, I sought good things for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122</w:t>
      </w:r>
    </w:p>
    <w:p>
      <w:r>
        <w:rPr>
          <w:b/>
        </w:rPr>
        <w:t xml:space="preserve">1 </w:t>
      </w:r>
      <w:r>
        <w:rPr>
          <w:i/>
        </w:rPr>
        <w:t xml:space="preserve">Song of ascents.</w:t>
      </w:r>
      <w:r>
        <w:br/>
      </w:r>
      <w:r>
        <w:t xml:space="preserve">To you I lifted my eyes, one dwelling in heaven.</w:t>
      </w:r>
    </w:p>
    <w:p>
      <w:r>
        <w:rPr>
          <w:b/>
        </w:rPr>
        <w:t xml:space="preserve">2 </w:t>
      </w:r>
      <w:r>
        <w:t xml:space="preserve">Behold, as the eyes of servants toward the hands of their masters, as the eyes of a maidservant toward the hands of her mistress, so our eyes are toward the Lord our God until he shows us mercy.</w:t>
      </w:r>
    </w:p>
    <w:p>
      <w:r>
        <w:rPr>
          <w:b/>
        </w:rPr>
        <w:t xml:space="preserve">3 </w:t>
      </w:r>
      <w:r>
        <w:t xml:space="preserve">Have mercy on us, Lord, have mercy on us, because greatly we were filled with contempt.</w:t>
      </w:r>
    </w:p>
    <w:p>
      <w:r>
        <w:rPr>
          <w:b/>
        </w:rPr>
        <w:t xml:space="preserve">4 </w:t>
      </w:r>
      <w:r>
        <w:t xml:space="preserve">Still more our soul filled with reproach from prosperous ones and contempt from proud ones.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123</w:t>
      </w:r>
    </w:p>
    <w:p>
      <w:r>
        <w:rPr>
          <w:b/>
        </w:rPr>
        <w:t xml:space="preserve">1 </w:t>
      </w:r>
      <w:r>
        <w:rPr>
          <w:i/>
        </w:rPr>
        <w:t xml:space="preserve">Song of ascents.</w:t>
      </w:r>
      <w:r>
        <w:br/>
      </w:r>
      <w:r>
        <w:t xml:space="preserve">If not that the Lord was among us, let Israel say now.</w:t>
      </w:r>
    </w:p>
    <w:p>
      <w:r>
        <w:rPr>
          <w:b/>
        </w:rPr>
        <w:t xml:space="preserve">2 </w:t>
      </w:r>
      <w:r>
        <w:t xml:space="preserve">If not that the Lord was among us when men rose against us,</w:t>
      </w:r>
    </w:p>
    <w:p>
      <w:r>
        <w:rPr>
          <w:b/>
        </w:rPr>
        <w:t xml:space="preserve">3 </w:t>
      </w:r>
      <w:r>
        <w:t xml:space="preserve">then alive they would have swallowed us when their anger blazed against us.</w:t>
      </w:r>
    </w:p>
    <w:p>
      <w:r>
        <w:rPr>
          <w:b/>
        </w:rPr>
        <w:t xml:space="preserve">4 </w:t>
      </w:r>
      <w:r>
        <w:t xml:space="preserve">Then water would have drowned us; torrent passed over our soul.</w:t>
      </w:r>
    </w:p>
    <w:p>
      <w:r>
        <w:rPr>
          <w:b/>
        </w:rPr>
        <w:t xml:space="preserve">5 </w:t>
      </w:r>
      <w:r>
        <w:t xml:space="preserve">Then our soul passed over water unendurable.</w:t>
      </w:r>
    </w:p>
    <w:p>
      <w:r>
        <w:rPr>
          <w:b/>
        </w:rPr>
        <w:t xml:space="preserve">6 </w:t>
      </w:r>
      <w:r>
        <w:t xml:space="preserve">Blessed is the Lord, who did not give us for prey to their teeth.</w:t>
      </w:r>
    </w:p>
    <w:p>
      <w:r>
        <w:rPr>
          <w:b/>
        </w:rPr>
        <w:t xml:space="preserve">7 </w:t>
      </w:r>
      <w:r>
        <w:t xml:space="preserve">Our soul like a sparrow rescued from the snare of hunters; snare crushed, and we rescued.</w:t>
      </w:r>
    </w:p>
    <w:p>
      <w:r>
        <w:rPr>
          <w:b/>
        </w:rPr>
        <w:t xml:space="preserve">8 </w:t>
      </w:r>
      <w:r>
        <w:t xml:space="preserve">Our help in the name of the Lord, maker of heaven and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124</w:t>
      </w:r>
    </w:p>
    <w:p>
      <w:r>
        <w:rPr>
          <w:b/>
        </w:rPr>
        <w:t xml:space="preserve">1 </w:t>
      </w:r>
      <w:r>
        <w:rPr>
          <w:i/>
        </w:rPr>
        <w:t xml:space="preserve">Song of ascents.</w:t>
      </w:r>
      <w:r>
        <w:br/>
      </w:r>
      <w:r>
        <w:t xml:space="preserve">Those trusting in the Lord</w:t>
      </w:r>
      <w:r>
        <w:rPr>
          <w:rStyle w:val="FootnoteReference"/>
        </w:rPr>
        <w:footnoteReference w:id="10653"/>
      </w:r>
      <w:r>
        <w:t xml:space="preserve"> are like Mount Zion, not shaken forever.</w:t>
      </w:r>
    </w:p>
    <w:p>
      <w:r>
        <w:rPr>
          <w:b/>
        </w:rPr>
        <w:t xml:space="preserve">2 </w:t>
      </w:r>
      <w:r>
        <w:t xml:space="preserve">Mountains around her, and the Lord around his people, from now and until age.</w:t>
      </w:r>
    </w:p>
    <w:p>
      <w:r>
        <w:rPr>
          <w:b/>
        </w:rPr>
        <w:t xml:space="preserve">3 </w:t>
      </w:r>
      <w:r>
        <w:t xml:space="preserve">Because the Lord will not leave rod of sinners upon the lot of the righteous, lest the righteous stretch out their hands in lawlessness.</w:t>
      </w:r>
      <w:r>
        <w:rPr>
          <w:rStyle w:val="FootnoteReference"/>
        </w:rPr>
        <w:footnoteReference w:id="10654"/>
      </w:r>
    </w:p>
    <w:p>
      <w:r>
        <w:rPr>
          <w:b/>
        </w:rPr>
        <w:t xml:space="preserve">4 </w:t>
      </w:r>
      <w:r>
        <w:t xml:space="preserve">Do good, Lord, to good ones and to upright in heart.</w:t>
      </w:r>
    </w:p>
    <w:p>
      <w:r>
        <w:rPr>
          <w:b/>
        </w:rPr>
        <w:t xml:space="preserve">5 </w:t>
      </w:r>
      <w:r>
        <w:t xml:space="preserve">But those turning aside into crooked ways the Lord will lead away with workers of lawlessness. Peace on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125</w:t>
      </w:r>
    </w:p>
    <w:p>
      <w:r>
        <w:rPr>
          <w:b/>
        </w:rPr>
        <w:t xml:space="preserve">1 </w:t>
      </w:r>
      <w:r>
        <w:rPr>
          <w:i/>
        </w:rPr>
        <w:t xml:space="preserve">Song of ascents.</w:t>
      </w:r>
      <w:r>
        <w:br/>
      </w:r>
      <w:r>
        <w:t xml:space="preserve">When the Lord turned back captivity of Zion, we became like comforted ones.</w:t>
      </w:r>
    </w:p>
    <w:p>
      <w:r>
        <w:rPr>
          <w:b/>
        </w:rPr>
        <w:t xml:space="preserve">2 </w:t>
      </w:r>
      <w:r>
        <w:t xml:space="preserve">Then our mouth filled with joy and our tongue with exultation; then they will say among the nations, "the Lord</w:t>
      </w:r>
      <w:r>
        <w:rPr>
          <w:rStyle w:val="FootnoteReference"/>
        </w:rPr>
        <w:footnoteReference w:id="10655"/>
      </w:r>
      <w:r>
        <w:t xml:space="preserve"> magnified doing with them."</w:t>
      </w:r>
    </w:p>
    <w:p>
      <w:r>
        <w:rPr>
          <w:b/>
        </w:rPr>
        <w:t xml:space="preserve">3 </w:t>
      </w:r>
      <w:r>
        <w:t xml:space="preserve">The Lord magnified doing with us; we became rejoicing.</w:t>
      </w:r>
    </w:p>
    <w:p>
      <w:r>
        <w:rPr>
          <w:b/>
        </w:rPr>
        <w:t xml:space="preserve">4 </w:t>
      </w:r>
      <w:r>
        <w:t xml:space="preserve">Turn back, Lord, our captivity, like torrents in south.</w:t>
      </w:r>
    </w:p>
    <w:p>
      <w:r>
        <w:rPr>
          <w:b/>
        </w:rPr>
        <w:t xml:space="preserve">5 </w:t>
      </w:r>
      <w:r>
        <w:t xml:space="preserve">Those sowing in tears will reap in exultation.</w:t>
      </w:r>
    </w:p>
    <w:p>
      <w:r>
        <w:rPr>
          <w:b/>
        </w:rPr>
        <w:t xml:space="preserve">6 </w:t>
      </w:r>
      <w:r>
        <w:t xml:space="preserve">Going they went and wept, carrying their seeds; coming they will come in exultation, carrying their sheaves.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126</w:t>
      </w:r>
    </w:p>
    <w:p>
      <w:r>
        <w:rPr>
          <w:b/>
        </w:rPr>
        <w:t xml:space="preserve">1 </w:t>
      </w:r>
      <w:r>
        <w:rPr>
          <w:i/>
        </w:rPr>
        <w:t xml:space="preserve">Song of ascents. Of Solomon.</w:t>
      </w:r>
      <w:r>
        <w:br/>
      </w:r>
      <w:r>
        <w:t xml:space="preserve">Unless the Lord builds a house, in vain builders labored; unless the Lord guards a city, in vain guard kept awake.</w:t>
      </w:r>
    </w:p>
    <w:p>
      <w:r>
        <w:rPr>
          <w:b/>
        </w:rPr>
        <w:t xml:space="preserve">2 </w:t>
      </w:r>
      <w:r>
        <w:t xml:space="preserve">In vain for you to rise early, to rise after sitting down, you eating bread of pain, when he gives sleep to his beloved.</w:t>
      </w:r>
    </w:p>
    <w:p>
      <w:r>
        <w:rPr>
          <w:b/>
        </w:rPr>
        <w:t xml:space="preserve">3 </w:t>
      </w:r>
      <w:r>
        <w:t xml:space="preserve">Behold, sons inheritance of the Lord, reward of fruit of the womb.</w:t>
      </w:r>
    </w:p>
    <w:p>
      <w:r>
        <w:rPr>
          <w:b/>
        </w:rPr>
        <w:t xml:space="preserve">4 </w:t>
      </w:r>
      <w:r>
        <w:t xml:space="preserve">Like arrows in the hand of mighty one, so sons of those thrust out.</w:t>
      </w:r>
    </w:p>
    <w:p>
      <w:r>
        <w:rPr>
          <w:b/>
        </w:rPr>
        <w:t xml:space="preserve">5 </w:t>
      </w:r>
      <w:r>
        <w:t xml:space="preserve">Blessed is the man who will fill his desire from them; they will not be shamed when they speak with their enemies in gate.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127</w:t>
      </w:r>
    </w:p>
    <w:p>
      <w:r>
        <w:rPr>
          <w:b/>
        </w:rPr>
        <w:t xml:space="preserve">1 </w:t>
      </w:r>
      <w:r>
        <w:rPr>
          <w:i/>
        </w:rPr>
        <w:t xml:space="preserve">Song of ascents.</w:t>
      </w:r>
      <w:r>
        <w:br/>
      </w:r>
      <w:r>
        <w:t xml:space="preserve">Blessed are all fearing the Lord</w:t>
      </w:r>
      <w:r>
        <w:rPr>
          <w:rStyle w:val="FootnoteReference"/>
        </w:rPr>
        <w:footnoteReference w:id="10656"/>
      </w:r>
      <w:r>
        <w:t xml:space="preserve">, those walking in his ways.</w:t>
      </w:r>
    </w:p>
    <w:p>
      <w:r>
        <w:rPr>
          <w:b/>
        </w:rPr>
        <w:t xml:space="preserve">2 </w:t>
      </w:r>
      <w:r>
        <w:t xml:space="preserve">The labors of your fruits you will eat; blessed you, and well for you.</w:t>
      </w:r>
    </w:p>
    <w:p>
      <w:r>
        <w:rPr>
          <w:b/>
        </w:rPr>
        <w:t xml:space="preserve">3 </w:t>
      </w:r>
      <w:r>
        <w:t xml:space="preserve">Your wife like a vine flourishing in recesses of your house; your sons like olive shoots around your table.</w:t>
      </w:r>
    </w:p>
    <w:p>
      <w:r>
        <w:rPr>
          <w:b/>
        </w:rPr>
        <w:t xml:space="preserve">4 </w:t>
      </w:r>
      <w:r>
        <w:t xml:space="preserve">Behold, thus man fearing the Lord will be blessed.</w:t>
      </w:r>
    </w:p>
    <w:p>
      <w:r>
        <w:rPr>
          <w:b/>
        </w:rPr>
        <w:t xml:space="preserve">5 </w:t>
      </w:r>
      <w:r>
        <w:t xml:space="preserve">May the Lord bless you from Zion, and may you see good things of Jerusalem all days of your life.</w:t>
      </w:r>
    </w:p>
    <w:p>
      <w:r>
        <w:rPr>
          <w:b/>
        </w:rPr>
        <w:t xml:space="preserve">6 </w:t>
      </w:r>
      <w:r>
        <w:t xml:space="preserve">And may you see sons of your sons. Peace upon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128</w:t>
      </w:r>
    </w:p>
    <w:p>
      <w:r>
        <w:rPr>
          <w:b/>
        </w:rPr>
        <w:t xml:space="preserve">1 </w:t>
      </w:r>
      <w:r>
        <w:rPr>
          <w:i/>
        </w:rPr>
        <w:t xml:space="preserve">Song of ascents.</w:t>
      </w:r>
      <w:r>
        <w:br/>
      </w:r>
      <w:r>
        <w:t xml:space="preserve">Many times they warred against me from my youth; let Israel say now.</w:t>
      </w:r>
    </w:p>
    <w:p>
      <w:r>
        <w:rPr>
          <w:b/>
        </w:rPr>
        <w:t xml:space="preserve">2 </w:t>
      </w:r>
      <w:r>
        <w:t xml:space="preserve">Many times they warred against me from my youth, yet indeed they could not prevail against me.</w:t>
      </w:r>
    </w:p>
    <w:p>
      <w:r>
        <w:rPr>
          <w:b/>
        </w:rPr>
        <w:t xml:space="preserve">3 </w:t>
      </w:r>
      <w:r>
        <w:t xml:space="preserve">On my back sinners built; they lengthened their lawlessness.</w:t>
      </w:r>
    </w:p>
    <w:p>
      <w:r>
        <w:rPr>
          <w:b/>
        </w:rPr>
        <w:t xml:space="preserve">4 </w:t>
      </w:r>
      <w:r>
        <w:t xml:space="preserve">The righteous Lord cut necks of sinners.</w:t>
      </w:r>
    </w:p>
    <w:p>
      <w:r>
        <w:rPr>
          <w:b/>
        </w:rPr>
        <w:t xml:space="preserve">5 </w:t>
      </w:r>
      <w:r>
        <w:t xml:space="preserve">Let all hating Zion be shamed and turned backward.</w:t>
      </w:r>
    </w:p>
    <w:p>
      <w:r>
        <w:rPr>
          <w:b/>
        </w:rPr>
        <w:t xml:space="preserve">6 </w:t>
      </w:r>
      <w:r>
        <w:t xml:space="preserve">Let them become like grass of housetops, which before being pulled up dried up.</w:t>
      </w:r>
    </w:p>
    <w:p>
      <w:r>
        <w:rPr>
          <w:b/>
        </w:rPr>
        <w:t xml:space="preserve">7 </w:t>
      </w:r>
      <w:r>
        <w:t xml:space="preserve">With which reaper did not fill his hand, nor gatherer of sheaves his bosom.</w:t>
      </w:r>
    </w:p>
    <w:p>
      <w:r>
        <w:rPr>
          <w:b/>
        </w:rPr>
        <w:t xml:space="preserve">8 </w:t>
      </w:r>
      <w:r>
        <w:t xml:space="preserve">And passersby did not say, "Blessing of the Lord upon you; we blessed you in the name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129</w:t>
      </w:r>
    </w:p>
    <w:p>
      <w:r>
        <w:rPr>
          <w:b/>
        </w:rPr>
        <w:t xml:space="preserve">1 </w:t>
      </w:r>
      <w:r>
        <w:rPr>
          <w:i/>
        </w:rPr>
        <w:t xml:space="preserve">Song of ascents.</w:t>
      </w:r>
      <w:r>
        <w:br/>
      </w:r>
      <w:r>
        <w:t xml:space="preserve">Out of the depths I cried to you, Lord.</w:t>
      </w:r>
    </w:p>
    <w:p>
      <w:r>
        <w:rPr>
          <w:b/>
        </w:rPr>
        <w:t xml:space="preserve">2 </w:t>
      </w:r>
      <w:r>
        <w:t xml:space="preserve">Lord, hear my voice; let your ears attend to the voice of my supplication.</w:t>
      </w:r>
    </w:p>
    <w:p>
      <w:r>
        <w:rPr>
          <w:b/>
        </w:rPr>
        <w:t xml:space="preserve">3 </w:t>
      </w:r>
      <w:r>
        <w:t xml:space="preserve">If you should watch lawless deeds, Lord, Lord, who will stand?</w:t>
      </w:r>
    </w:p>
    <w:p>
      <w:r>
        <w:rPr>
          <w:b/>
        </w:rPr>
        <w:t xml:space="preserve">4 </w:t>
      </w:r>
      <w:r>
        <w:t xml:space="preserve">Because with you propitiation.</w:t>
      </w:r>
    </w:p>
    <w:p>
      <w:r>
        <w:rPr>
          <w:b/>
        </w:rPr>
        <w:t xml:space="preserve">5 </w:t>
      </w:r>
      <w:r>
        <w:t xml:space="preserve">For the sake of your law I waited for you, Lord; my soul waited for your word.</w:t>
      </w:r>
    </w:p>
    <w:p>
      <w:r>
        <w:rPr>
          <w:b/>
        </w:rPr>
        <w:t xml:space="preserve">6 </w:t>
      </w:r>
      <w:r>
        <w:t xml:space="preserve">My soul hoped in the Lord from morning watch until night; from morning watch let Israel hope in the Lord.</w:t>
      </w:r>
    </w:p>
    <w:p>
      <w:r>
        <w:rPr>
          <w:b/>
        </w:rPr>
        <w:t xml:space="preserve">7 </w:t>
      </w:r>
      <w:r>
        <w:t xml:space="preserve">Because with the Lord mercy, and much redemption with him.</w:t>
      </w:r>
    </w:p>
    <w:p>
      <w:r>
        <w:rPr>
          <w:b/>
        </w:rPr>
        <w:t xml:space="preserve">8 </w:t>
      </w:r>
      <w:r>
        <w:t xml:space="preserve">And he will redeem Israel from all his lawless deeds.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130</w:t>
      </w:r>
    </w:p>
    <w:p>
      <w:r>
        <w:rPr>
          <w:b/>
        </w:rPr>
        <w:t xml:space="preserve">1 </w:t>
      </w:r>
      <w:r>
        <w:rPr>
          <w:i/>
        </w:rPr>
        <w:t xml:space="preserve">Song of ascents. Of David.</w:t>
      </w:r>
      <w:r>
        <w:br/>
      </w:r>
      <w:r>
        <w:t xml:space="preserve">Lord, my heart is not exalted, nor my eyes raised high, nor I walked in great things nor in marvels beyond me.</w:t>
      </w:r>
    </w:p>
    <w:p>
      <w:r>
        <w:rPr>
          <w:b/>
        </w:rPr>
        <w:t xml:space="preserve">2 </w:t>
      </w:r>
      <w:r>
        <w:t xml:space="preserve">If not, I was humble-minded, but I lifted my soul like child weaned against its mother, like recompense upon my soul.</w:t>
      </w:r>
    </w:p>
    <w:p>
      <w:r>
        <w:rPr>
          <w:b/>
        </w:rPr>
        <w:t xml:space="preserve">3 </w:t>
      </w:r>
      <w:r>
        <w:t xml:space="preserve">Let Israel hope in the Lord from now and until age.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131</w:t>
      </w:r>
    </w:p>
    <w:p>
      <w:r>
        <w:rPr>
          <w:b/>
        </w:rPr>
        <w:t xml:space="preserve">1 </w:t>
      </w:r>
      <w:r>
        <w:rPr>
          <w:i/>
        </w:rPr>
        <w:t xml:space="preserve">Song of ascents.</w:t>
      </w:r>
      <w:r>
        <w:br/>
      </w:r>
      <w:r>
        <w:t xml:space="preserve">Remember, Lord, David and all his gentleness.</w:t>
      </w:r>
    </w:p>
    <w:p>
      <w:r>
        <w:rPr>
          <w:b/>
        </w:rPr>
        <w:t xml:space="preserve">2 </w:t>
      </w:r>
      <w:r>
        <w:t xml:space="preserve">How he swore to the Lord, vowed to God of Jacob.</w:t>
      </w:r>
    </w:p>
    <w:p>
      <w:r>
        <w:rPr>
          <w:b/>
        </w:rPr>
        <w:t xml:space="preserve">3 </w:t>
      </w:r>
      <w:r>
        <w:t xml:space="preserve">If I enter tent of my house, if I go up upon the bed of my couch,</w:t>
      </w:r>
    </w:p>
    <w:p>
      <w:r>
        <w:rPr>
          <w:b/>
        </w:rPr>
        <w:t xml:space="preserve">4 </w:t>
      </w:r>
      <w:r>
        <w:t xml:space="preserve">if I give sleep to my eyes and slumber to my eyelids and rest to my temples,</w:t>
      </w:r>
    </w:p>
    <w:p>
      <w:r>
        <w:rPr>
          <w:b/>
        </w:rPr>
        <w:t xml:space="preserve">5 </w:t>
      </w:r>
      <w:r>
        <w:t xml:space="preserve">until I find place for the Lord, tabernacle for God of Jacob.</w:t>
      </w:r>
    </w:p>
    <w:p>
      <w:r>
        <w:rPr>
          <w:b/>
        </w:rPr>
        <w:t xml:space="preserve">6 </w:t>
      </w:r>
      <w:r>
        <w:t xml:space="preserve">Behold, we heard of it in Ephrathah; we found it in fields of the wood.</w:t>
      </w:r>
    </w:p>
    <w:p>
      <w:r>
        <w:rPr>
          <w:b/>
        </w:rPr>
        <w:t xml:space="preserve">7 </w:t>
      </w:r>
      <w:r>
        <w:t xml:space="preserve">We will enter his tabernacles; we will worship at place where his feet stood.</w:t>
      </w:r>
    </w:p>
    <w:p>
      <w:r>
        <w:rPr>
          <w:b/>
        </w:rPr>
        <w:t xml:space="preserve">8 </w:t>
      </w:r>
      <w:r>
        <w:t xml:space="preserve">Rise, Lord, into your rest, you and ark of your holiness.</w:t>
      </w:r>
    </w:p>
    <w:p>
      <w:r>
        <w:rPr>
          <w:b/>
        </w:rPr>
        <w:t xml:space="preserve">9 </w:t>
      </w:r>
      <w:r>
        <w:t xml:space="preserve">Your priests will clothe themselves with righteousness, and your holy ones will exult.</w:t>
      </w:r>
    </w:p>
    <w:p>
      <w:r>
        <w:rPr>
          <w:b/>
        </w:rPr>
        <w:t xml:space="preserve">10 </w:t>
      </w:r>
      <w:r>
        <w:t xml:space="preserve">For the sake of David your servant, do not turn away face of your anointed.</w:t>
      </w:r>
    </w:p>
    <w:p>
      <w:r>
        <w:rPr>
          <w:b/>
        </w:rPr>
        <w:t xml:space="preserve">11 </w:t>
      </w:r>
      <w:r>
        <w:t xml:space="preserve">The Lord swore truth to David, and he will not set it aside: from the fruit of your belly I will set upon your throne.</w:t>
      </w:r>
    </w:p>
    <w:p>
      <w:r>
        <w:rPr>
          <w:b/>
        </w:rPr>
        <w:t xml:space="preserve">12 </w:t>
      </w:r>
      <w:r>
        <w:t xml:space="preserve">If your sons keep my covenant and these testimonies that I will teach them, their sons also forever will sit upon your throne.</w:t>
      </w:r>
    </w:p>
    <w:p>
      <w:r>
        <w:rPr>
          <w:b/>
        </w:rPr>
        <w:t xml:space="preserve">13 </w:t>
      </w:r>
      <w:r>
        <w:t xml:space="preserve">Because the Lord chose Zion; he chose her for dwelling to himself.</w:t>
      </w:r>
    </w:p>
    <w:p>
      <w:r>
        <w:rPr>
          <w:b/>
        </w:rPr>
        <w:t xml:space="preserve">14 </w:t>
      </w:r>
      <w:r>
        <w:t xml:space="preserve">This my resting-place forever and ever; here I will dwell, because I chose her.</w:t>
      </w:r>
    </w:p>
    <w:p>
      <w:r>
        <w:rPr>
          <w:b/>
        </w:rPr>
        <w:t xml:space="preserve">15 </w:t>
      </w:r>
      <w:r>
        <w:t xml:space="preserve">Her provision blessing I will bless; her poor I will satisfy with breads.</w:t>
      </w:r>
    </w:p>
    <w:p>
      <w:r>
        <w:rPr>
          <w:b/>
        </w:rPr>
        <w:t xml:space="preserve">16 </w:t>
      </w:r>
      <w:r>
        <w:t xml:space="preserve">Her priests I will clothe with salvation, and her holy ones with exultation will exult.</w:t>
      </w:r>
    </w:p>
    <w:p>
      <w:r>
        <w:rPr>
          <w:b/>
        </w:rPr>
        <w:t xml:space="preserve">17 </w:t>
      </w:r>
      <w:r>
        <w:t xml:space="preserve">There I will cause horn to spring up for David; I prepared lamp for my anointed.</w:t>
      </w:r>
    </w:p>
    <w:p>
      <w:r>
        <w:rPr>
          <w:b/>
        </w:rPr>
        <w:t xml:space="preserve">18 </w:t>
      </w:r>
      <w:r>
        <w:t xml:space="preserve">His enemies I will clothe with shame, but upon him my holiness will flower.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132</w:t>
      </w:r>
    </w:p>
    <w:p>
      <w:r>
        <w:rPr>
          <w:b/>
        </w:rPr>
        <w:t xml:space="preserve">1 </w:t>
      </w:r>
      <w:r>
        <w:rPr>
          <w:i/>
        </w:rPr>
        <w:t xml:space="preserve">Song of ascents. Of David.</w:t>
      </w:r>
      <w:r>
        <w:br/>
      </w:r>
      <w:r>
        <w:t xml:space="preserve">Behold now, what is good or what is pleasant, but brothers dwelling together.</w:t>
      </w:r>
    </w:p>
    <w:p>
      <w:r>
        <w:rPr>
          <w:b/>
        </w:rPr>
        <w:t xml:space="preserve">2 </w:t>
      </w:r>
      <w:r>
        <w:t xml:space="preserve">Like oil upon head, descending upon beard, beard of Aaron, descending upon hem of his garment.</w:t>
      </w:r>
    </w:p>
    <w:p>
      <w:r>
        <w:rPr>
          <w:b/>
        </w:rPr>
        <w:t xml:space="preserve">3 </w:t>
      </w:r>
      <w:r>
        <w:t xml:space="preserve">Like dew of Hermon descending upon the mountains of Zion, because there the Lord commanded blessing and life until age.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133</w:t>
      </w:r>
    </w:p>
    <w:p>
      <w:r>
        <w:rPr>
          <w:b/>
        </w:rPr>
        <w:t xml:space="preserve">1 </w:t>
      </w:r>
      <w:r>
        <w:rPr>
          <w:i/>
        </w:rPr>
        <w:t xml:space="preserve">Song of ascents.</w:t>
      </w:r>
      <w:r>
        <w:br/>
      </w:r>
      <w:r>
        <w:t xml:space="preserve">Behold now, bless the Lord, all servants of the Lord, standing in the house of the Lord, in the courts of the house of our God.</w:t>
      </w:r>
    </w:p>
    <w:p>
      <w:r>
        <w:rPr>
          <w:b/>
        </w:rPr>
        <w:t xml:space="preserve">2 </w:t>
      </w:r>
      <w:r>
        <w:t xml:space="preserve">In nights lift your hands to holy things and bless the Lord.</w:t>
      </w:r>
    </w:p>
    <w:p>
      <w:r>
        <w:rPr>
          <w:b/>
        </w:rPr>
        <w:t xml:space="preserve">3 </w:t>
      </w:r>
      <w:r>
        <w:t xml:space="preserve">The Lord will bless you from Zion, maker of heaven and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134</w:t>
      </w:r>
    </w:p>
    <w:p>
      <w:r>
        <w:rPr>
          <w:b/>
        </w:rPr>
        <w:t xml:space="preserve">1 </w:t>
      </w:r>
      <w:r>
        <w:rPr>
          <w:i/>
        </w:rPr>
        <w:t xml:space="preserve">Alleluia.</w:t>
      </w:r>
      <w:r>
        <w:br/>
      </w:r>
      <w:r>
        <w:t xml:space="preserve">Praise the name of the Lord; praise the Lord, servants.</w:t>
      </w:r>
    </w:p>
    <w:p>
      <w:r>
        <w:rPr>
          <w:b/>
        </w:rPr>
        <w:t xml:space="preserve">2 </w:t>
      </w:r>
      <w:r>
        <w:t xml:space="preserve">Those standing in the house of the Lord, in the courts of the house of our God.</w:t>
      </w:r>
    </w:p>
    <w:p>
      <w:r>
        <w:rPr>
          <w:b/>
        </w:rPr>
        <w:t xml:space="preserve">3 </w:t>
      </w:r>
      <w:r>
        <w:t xml:space="preserve">Praise the Lord</w:t>
      </w:r>
      <w:r>
        <w:rPr>
          <w:rStyle w:val="FootnoteReference"/>
        </w:rPr>
        <w:footnoteReference w:id="10657"/>
      </w:r>
      <w:r>
        <w:t xml:space="preserve">, because the Lord is good; sing psalms to his name, because good.</w:t>
      </w:r>
    </w:p>
    <w:p>
      <w:r>
        <w:rPr>
          <w:b/>
        </w:rPr>
        <w:t xml:space="preserve">4 </w:t>
      </w:r>
      <w:r>
        <w:t xml:space="preserve">Because the Lord chose Jacob for himself, Israel for his special possession.</w:t>
      </w:r>
    </w:p>
    <w:p>
      <w:r>
        <w:rPr>
          <w:b/>
        </w:rPr>
        <w:t xml:space="preserve">5 </w:t>
      </w:r>
      <w:r>
        <w:t xml:space="preserve">Because I knew that the Lord is great, and our Lord is beyond all gods.</w:t>
      </w:r>
    </w:p>
    <w:p>
      <w:r>
        <w:rPr>
          <w:b/>
        </w:rPr>
        <w:t xml:space="preserve">6 </w:t>
      </w:r>
      <w:r>
        <w:t xml:space="preserve">All that the Lord wanted he did in heaven and on earth, in seas and in all deeps.</w:t>
      </w:r>
    </w:p>
    <w:p>
      <w:r>
        <w:rPr>
          <w:b/>
        </w:rPr>
        <w:t xml:space="preserve">7 </w:t>
      </w:r>
      <w:r>
        <w:t xml:space="preserve">Raising clouds from the ends of the earth, he made lightnings for rain, bringing winds from his treasuries.</w:t>
      </w:r>
    </w:p>
    <w:p>
      <w:r>
        <w:rPr>
          <w:b/>
        </w:rPr>
        <w:t xml:space="preserve">8 </w:t>
      </w:r>
      <w:r>
        <w:t xml:space="preserve">Who struck firstborn of Egypt, from man to beast.</w:t>
      </w:r>
    </w:p>
    <w:p>
      <w:r>
        <w:rPr>
          <w:b/>
        </w:rPr>
        <w:t xml:space="preserve">9 </w:t>
      </w:r>
      <w:r>
        <w:t xml:space="preserve">He sent signs and wonders into your midst, Egypt, against Pharaoh and all his servants.</w:t>
      </w:r>
    </w:p>
    <w:p>
      <w:r>
        <w:rPr>
          <w:b/>
        </w:rPr>
        <w:t xml:space="preserve">10 </w:t>
      </w:r>
      <w:r>
        <w:t xml:space="preserve">Who struck many nations and killed mighty kings.</w:t>
      </w:r>
    </w:p>
    <w:p>
      <w:r>
        <w:rPr>
          <w:b/>
        </w:rPr>
        <w:t xml:space="preserve">11 </w:t>
      </w:r>
      <w:r>
        <w:t xml:space="preserve">Sihon king of Amorites and Og king of Bashan and all kingdoms of Canaan.</w:t>
      </w:r>
    </w:p>
    <w:p>
      <w:r>
        <w:rPr>
          <w:b/>
        </w:rPr>
        <w:t xml:space="preserve">12 </w:t>
      </w:r>
      <w:r>
        <w:t xml:space="preserve">And gave their land inheritance, inheritance to Israel his people.</w:t>
      </w:r>
    </w:p>
    <w:p>
      <w:r>
        <w:rPr>
          <w:b/>
        </w:rPr>
        <w:t xml:space="preserve">13 </w:t>
      </w:r>
      <w:r>
        <w:t xml:space="preserve">Lord, your name forever; Lord, your memorial from generation to generation.</w:t>
      </w:r>
    </w:p>
    <w:p>
      <w:r>
        <w:rPr>
          <w:b/>
        </w:rPr>
        <w:t xml:space="preserve">14 </w:t>
      </w:r>
      <w:r>
        <w:t xml:space="preserve">Because the Lord will judge his people and over his servants he will be comforted.</w:t>
      </w:r>
    </w:p>
    <w:p>
      <w:r>
        <w:rPr>
          <w:b/>
        </w:rPr>
        <w:t xml:space="preserve">15 </w:t>
      </w:r>
      <w:r>
        <w:t xml:space="preserve">The idols of nations silver and gold, works of the hands of men.</w:t>
      </w:r>
    </w:p>
    <w:p>
      <w:r>
        <w:rPr>
          <w:b/>
        </w:rPr>
        <w:t xml:space="preserve">16 </w:t>
      </w:r>
      <w:r>
        <w:t xml:space="preserve">Mouths they have and will not speak; eyes they have and will not see.</w:t>
      </w:r>
    </w:p>
    <w:p>
      <w:r>
        <w:rPr>
          <w:b/>
        </w:rPr>
        <w:t xml:space="preserve">17 </w:t>
      </w:r>
      <w:r>
        <w:t xml:space="preserve">Ears they have and will not hear; noses they have and will not smell; hands they have and will not feel; feet they have and will not walk; no sound in their throat, for no spirit in their mouth.</w:t>
      </w:r>
    </w:p>
    <w:p>
      <w:r>
        <w:rPr>
          <w:b/>
        </w:rPr>
        <w:t xml:space="preserve">18 </w:t>
      </w:r>
      <w:r>
        <w:t xml:space="preserve">Like them may those making them become, and all trusting in them.</w:t>
      </w:r>
    </w:p>
    <w:p>
      <w:r>
        <w:rPr>
          <w:b/>
        </w:rPr>
        <w:t xml:space="preserve">19 </w:t>
      </w:r>
      <w:r>
        <w:t xml:space="preserve">The house of Israel, bless the Lord; house of Aaron, bless the Lord.</w:t>
      </w:r>
    </w:p>
    <w:p>
      <w:r>
        <w:rPr>
          <w:b/>
        </w:rPr>
        <w:t xml:space="preserve">20 </w:t>
      </w:r>
      <w:r>
        <w:t xml:space="preserve">The house of Levi, bless the Lord; those fearing the Lord, bless the Lord.</w:t>
      </w:r>
    </w:p>
    <w:p>
      <w:r>
        <w:rPr>
          <w:b/>
        </w:rPr>
        <w:t xml:space="preserve">21 </w:t>
      </w:r>
      <w:r>
        <w:t xml:space="preserve">Blessed is the Lord from Zion, one dwelling in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135</w:t>
      </w:r>
    </w:p>
    <w:p>
      <w:r>
        <w:rPr>
          <w:b/>
        </w:rPr>
        <w:t xml:space="preserve">1 </w:t>
      </w:r>
      <w:r>
        <w:rPr>
          <w:i/>
        </w:rPr>
        <w:t xml:space="preserve">Alleluia.</w:t>
      </w:r>
      <w:r>
        <w:br/>
      </w:r>
      <w:r>
        <w:t xml:space="preserve">Give thanks to the Lord, because kind, because his mercy forever.</w:t>
      </w:r>
    </w:p>
    <w:p>
      <w:r>
        <w:rPr>
          <w:b/>
        </w:rPr>
        <w:t xml:space="preserve">2 </w:t>
      </w:r>
      <w:r>
        <w:t xml:space="preserve">Give thanks to the God of gods, because his mercy forever.</w:t>
      </w:r>
    </w:p>
    <w:p>
      <w:r>
        <w:rPr>
          <w:b/>
        </w:rPr>
        <w:t xml:space="preserve">3 </w:t>
      </w:r>
      <w:r>
        <w:t xml:space="preserve">Give thanks to the Lord of lords, because his mercy forever.</w:t>
      </w:r>
    </w:p>
    <w:p>
      <w:r>
        <w:rPr>
          <w:b/>
        </w:rPr>
        <w:t xml:space="preserve">4 </w:t>
      </w:r>
      <w:r>
        <w:t xml:space="preserve">To one doing great wonders alone, because his mercy forever.</w:t>
      </w:r>
    </w:p>
    <w:p>
      <w:r>
        <w:rPr>
          <w:b/>
        </w:rPr>
        <w:t xml:space="preserve">5 </w:t>
      </w:r>
      <w:r>
        <w:t xml:space="preserve">To one making heavens in understanding, because his mercy forever.</w:t>
      </w:r>
    </w:p>
    <w:p>
      <w:r>
        <w:rPr>
          <w:b/>
        </w:rPr>
        <w:t xml:space="preserve">6 </w:t>
      </w:r>
      <w:r>
        <w:t xml:space="preserve">To one establishing earth upon waters, because his mercy forever.</w:t>
      </w:r>
    </w:p>
    <w:p>
      <w:r>
        <w:rPr>
          <w:b/>
        </w:rPr>
        <w:t xml:space="preserve">7 </w:t>
      </w:r>
      <w:r>
        <w:t xml:space="preserve">To one making great lights alone, because his mercy forever.</w:t>
      </w:r>
    </w:p>
    <w:p>
      <w:r>
        <w:rPr>
          <w:b/>
        </w:rPr>
        <w:t xml:space="preserve">8 </w:t>
      </w:r>
      <w:r>
        <w:t xml:space="preserve">Sun for the authority of day, because his mercy forever.</w:t>
      </w:r>
    </w:p>
    <w:p>
      <w:r>
        <w:rPr>
          <w:b/>
        </w:rPr>
        <w:t xml:space="preserve">9 </w:t>
      </w:r>
      <w:r>
        <w:t xml:space="preserve">Moon and stars for the authority of night, because his mercy forever.</w:t>
      </w:r>
    </w:p>
    <w:p>
      <w:r>
        <w:rPr>
          <w:b/>
        </w:rPr>
        <w:t xml:space="preserve">10 </w:t>
      </w:r>
      <w:r>
        <w:t xml:space="preserve">To one striking Egypt with their firstborn, because his mercy forever.</w:t>
      </w:r>
    </w:p>
    <w:p>
      <w:r>
        <w:rPr>
          <w:b/>
        </w:rPr>
        <w:t xml:space="preserve">11 </w:t>
      </w:r>
      <w:r>
        <w:t xml:space="preserve">And bringing Israel out from their midst, because his mercy forever.</w:t>
      </w:r>
    </w:p>
    <w:p>
      <w:r>
        <w:rPr>
          <w:b/>
        </w:rPr>
        <w:t xml:space="preserve">12 </w:t>
      </w:r>
      <w:r>
        <w:t xml:space="preserve">With strong hand and with high arm, because his mercy forever.</w:t>
      </w:r>
    </w:p>
    <w:p>
      <w:r>
        <w:rPr>
          <w:b/>
        </w:rPr>
        <w:t xml:space="preserve">13 </w:t>
      </w:r>
      <w:r>
        <w:t xml:space="preserve">To one cutting Red Sea into divisions, because his mercy forever.</w:t>
      </w:r>
    </w:p>
    <w:p>
      <w:r>
        <w:rPr>
          <w:b/>
        </w:rPr>
        <w:t xml:space="preserve">14 </w:t>
      </w:r>
      <w:r>
        <w:t xml:space="preserve">And leading Israel through its midst, because his mercy forever.</w:t>
      </w:r>
    </w:p>
    <w:p>
      <w:r>
        <w:rPr>
          <w:b/>
        </w:rPr>
        <w:t xml:space="preserve">15 </w:t>
      </w:r>
      <w:r>
        <w:t xml:space="preserve">And shaking off Pharaoh and his force into Red Sea, because his mercy forever.</w:t>
      </w:r>
    </w:p>
    <w:p>
      <w:r>
        <w:rPr>
          <w:b/>
        </w:rPr>
        <w:t xml:space="preserve">16 </w:t>
      </w:r>
      <w:r>
        <w:t xml:space="preserve">To one leading his people through wilderness, because his mercy forever; to one bringing water from sheer rock, because his mercy forever.</w:t>
      </w:r>
    </w:p>
    <w:p>
      <w:r>
        <w:rPr>
          <w:b/>
        </w:rPr>
        <w:t xml:space="preserve">17 </w:t>
      </w:r>
      <w:r>
        <w:t xml:space="preserve">To one striking great kings, because his mercy forever.</w:t>
      </w:r>
    </w:p>
    <w:p>
      <w:r>
        <w:rPr>
          <w:b/>
        </w:rPr>
        <w:t xml:space="preserve">18 </w:t>
      </w:r>
      <w:r>
        <w:t xml:space="preserve">And killing mighty kings, because his mercy forever.</w:t>
      </w:r>
    </w:p>
    <w:p>
      <w:r>
        <w:rPr>
          <w:b/>
        </w:rPr>
        <w:t xml:space="preserve">19 </w:t>
      </w:r>
      <w:r>
        <w:t xml:space="preserve">Sihon king of Amorites, because his mercy forever.</w:t>
      </w:r>
    </w:p>
    <w:p>
      <w:r>
        <w:rPr>
          <w:b/>
        </w:rPr>
        <w:t xml:space="preserve">20 </w:t>
      </w:r>
      <w:r>
        <w:t xml:space="preserve">And Og king of Bashan, because his mercy forever.</w:t>
      </w:r>
    </w:p>
    <w:p>
      <w:r>
        <w:rPr>
          <w:b/>
        </w:rPr>
        <w:t xml:space="preserve">21 </w:t>
      </w:r>
      <w:r>
        <w:t xml:space="preserve">And giving their land inheritance, because his mercy forever.</w:t>
      </w:r>
    </w:p>
    <w:p>
      <w:r>
        <w:rPr>
          <w:b/>
        </w:rPr>
        <w:t xml:space="preserve">22 </w:t>
      </w:r>
      <w:r>
        <w:t xml:space="preserve">Inheritance to Israel his servant, because his mercy forever.</w:t>
      </w:r>
    </w:p>
    <w:p>
      <w:r>
        <w:rPr>
          <w:b/>
        </w:rPr>
        <w:t xml:space="preserve">23 </w:t>
      </w:r>
      <w:r>
        <w:t xml:space="preserve">Because in our humiliation the Lord remembered us, because his mercy forever.</w:t>
      </w:r>
    </w:p>
    <w:p>
      <w:r>
        <w:rPr>
          <w:b/>
        </w:rPr>
        <w:t xml:space="preserve">24 </w:t>
      </w:r>
      <w:r>
        <w:t xml:space="preserve">And redeemed us from our enemies, because his mercy forever.</w:t>
      </w:r>
    </w:p>
    <w:p>
      <w:r>
        <w:rPr>
          <w:b/>
        </w:rPr>
        <w:t xml:space="preserve">25 </w:t>
      </w:r>
      <w:r>
        <w:t xml:space="preserve">One giving food to all flesh, because his mercy forever.</w:t>
      </w:r>
    </w:p>
    <w:p>
      <w:r>
        <w:rPr>
          <w:b/>
        </w:rPr>
        <w:t xml:space="preserve">26 </w:t>
      </w:r>
      <w:r>
        <w:t xml:space="preserve">Give thanks to the God of heaven, because his mercy forever. Give thanks to the Lord of lords, because his mercy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136</w:t>
      </w:r>
    </w:p>
    <w:p>
      <w:r>
        <w:rPr>
          <w:b/>
        </w:rPr>
        <w:t xml:space="preserve">1 </w:t>
      </w:r>
      <w:r>
        <w:rPr>
          <w:i/>
        </w:rPr>
        <w:t xml:space="preserve">Of David.</w:t>
      </w:r>
      <w:r>
        <w:br/>
      </w:r>
      <w:r>
        <w:t xml:space="preserve">By rivers of Babylon, there we sat and wept when remembering Zion.</w:t>
      </w:r>
    </w:p>
    <w:p>
      <w:r>
        <w:rPr>
          <w:b/>
        </w:rPr>
        <w:t xml:space="preserve">2 </w:t>
      </w:r>
      <w:r>
        <w:t xml:space="preserve">On willows in the midst of it we hung our instruments.</w:t>
      </w:r>
    </w:p>
    <w:p>
      <w:r>
        <w:rPr>
          <w:b/>
        </w:rPr>
        <w:t xml:space="preserve">3 </w:t>
      </w:r>
      <w:r>
        <w:t xml:space="preserve">Because there those taking us captive asked us for the words of songs, and those carrying us away asked hymn: "Sing us from songs of Zion."</w:t>
      </w:r>
    </w:p>
    <w:p>
      <w:r>
        <w:rPr>
          <w:b/>
        </w:rPr>
        <w:t xml:space="preserve">4 </w:t>
      </w:r>
      <w:r>
        <w:t xml:space="preserve">How should we sing song of the Lord on foreign land?</w:t>
      </w:r>
    </w:p>
    <w:p>
      <w:r>
        <w:rPr>
          <w:b/>
        </w:rPr>
        <w:t xml:space="preserve">5 </w:t>
      </w:r>
      <w:r>
        <w:t xml:space="preserve">If I forget you, Jerusalem, let my right hand be forgotten.</w:t>
      </w:r>
    </w:p>
    <w:p>
      <w:r>
        <w:rPr>
          <w:b/>
        </w:rPr>
        <w:t xml:space="preserve">6 </w:t>
      </w:r>
      <w:r>
        <w:t xml:space="preserve">Let my tongue cling to my throat if I do not remember you, if I do not set Jerusalem first at the beginning of my gladness.</w:t>
      </w:r>
    </w:p>
    <w:p>
      <w:r>
        <w:rPr>
          <w:b/>
        </w:rPr>
        <w:t xml:space="preserve">7 </w:t>
      </w:r>
      <w:r>
        <w:t xml:space="preserve">Remember, Lord, sons of Edom in the day of Jerusalem, those saying, "Empty it, empty it, down to its foundation."</w:t>
      </w:r>
    </w:p>
    <w:p>
      <w:r>
        <w:rPr>
          <w:b/>
        </w:rPr>
        <w:t xml:space="preserve">8 </w:t>
      </w:r>
      <w:r>
        <w:t xml:space="preserve">The daughter of Babylon, wretched one, blessed who will repay you repayment that you repaid to us.</w:t>
      </w:r>
    </w:p>
    <w:p>
      <w:r>
        <w:rPr>
          <w:b/>
        </w:rPr>
        <w:t xml:space="preserve">9 </w:t>
      </w:r>
      <w:r>
        <w:t xml:space="preserve">Blessed is the one who will seize and dash your infants against rock.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137</w:t>
      </w:r>
    </w:p>
    <w:p>
      <w:r>
        <w:rPr>
          <w:b/>
        </w:rPr>
        <w:t xml:space="preserve">1 </w:t>
      </w:r>
      <w:r>
        <w:rPr>
          <w:i/>
        </w:rPr>
        <w:t xml:space="preserve">Of David.</w:t>
      </w:r>
      <w:r>
        <w:br/>
      </w:r>
      <w:r>
        <w:t xml:space="preserve">I will give thanks to you, Lord, with all my heart</w:t>
      </w:r>
      <w:r>
        <w:rPr>
          <w:rStyle w:val="FootnoteReference"/>
        </w:rPr>
        <w:footnoteReference w:id="10658"/>
      </w:r>
      <w:r>
        <w:t xml:space="preserve">, because you heard sayings of my mouth; before angels I will sing psalms to you.</w:t>
      </w:r>
    </w:p>
    <w:p>
      <w:r>
        <w:rPr>
          <w:b/>
        </w:rPr>
        <w:t xml:space="preserve">2 </w:t>
      </w:r>
      <w:r>
        <w:t xml:space="preserve">I will worship toward your holy temple and give thanks to your name for your mercy and your truth, because you magnified your saying above every name.</w:t>
      </w:r>
    </w:p>
    <w:p>
      <w:r>
        <w:rPr>
          <w:b/>
        </w:rPr>
        <w:t xml:space="preserve">3 </w:t>
      </w:r>
      <w:r>
        <w:t xml:space="preserve">In whatever day I call on you, quickly hear me; with power in my soul you will greatly strengthen me.</w:t>
      </w:r>
    </w:p>
    <w:p>
      <w:r>
        <w:rPr>
          <w:b/>
        </w:rPr>
        <w:t xml:space="preserve">4 </w:t>
      </w:r>
      <w:r>
        <w:t xml:space="preserve">Let all kings of the earth give thanks to you, Lord, because they heard all sayings of your mouth.</w:t>
      </w:r>
    </w:p>
    <w:p>
      <w:r>
        <w:rPr>
          <w:b/>
        </w:rPr>
        <w:t xml:space="preserve">5 </w:t>
      </w:r>
      <w:r>
        <w:t xml:space="preserve">And let them sing in the ways of the Lord, because great is the glory of the Lord.</w:t>
      </w:r>
    </w:p>
    <w:p>
      <w:r>
        <w:rPr>
          <w:b/>
        </w:rPr>
        <w:t xml:space="preserve">6 </w:t>
      </w:r>
      <w:r>
        <w:t xml:space="preserve">Because the Lord high and looks upon humble things, and high things he knows from far away.</w:t>
      </w:r>
    </w:p>
    <w:p>
      <w:r>
        <w:rPr>
          <w:b/>
        </w:rPr>
        <w:t xml:space="preserve">7 </w:t>
      </w:r>
      <w:r>
        <w:t xml:space="preserve">If I walk in the midst of affliction, you will make me live; against anger of my enemies you stretched out your hand, and your right hand saved me.</w:t>
      </w:r>
    </w:p>
    <w:p>
      <w:r>
        <w:rPr>
          <w:b/>
        </w:rPr>
        <w:t xml:space="preserve">8 </w:t>
      </w:r>
      <w:r>
        <w:t xml:space="preserve">The Lord will repay on my behalf; Lord, your mercy forever. Works of your hands do not disregard.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138</w:t>
      </w:r>
    </w:p>
    <w:p>
      <w:r>
        <w:rPr>
          <w:b/>
        </w:rPr>
        <w:t xml:space="preserve">1 </w:t>
      </w:r>
      <w:r>
        <w:rPr>
          <w:i/>
        </w:rPr>
        <w:t xml:space="preserve">For end. Psalm of David.</w:t>
      </w:r>
      <w:r>
        <w:br/>
      </w:r>
      <w:r>
        <w:t xml:space="preserve">Lord, you tested me and knew me.</w:t>
      </w:r>
    </w:p>
    <w:p>
      <w:r>
        <w:rPr>
          <w:b/>
        </w:rPr>
        <w:t xml:space="preserve">2 </w:t>
      </w:r>
      <w:r>
        <w:t xml:space="preserve">You knew my sitting down and my rising up; you understood my thoughts from far away.</w:t>
      </w:r>
    </w:p>
    <w:p>
      <w:r>
        <w:rPr>
          <w:b/>
        </w:rPr>
        <w:t xml:space="preserve">3 </w:t>
      </w:r>
      <w:r>
        <w:t xml:space="preserve">My path and my measuring line you traced out, and all my ways you foresaw.</w:t>
      </w:r>
    </w:p>
    <w:p>
      <w:r>
        <w:rPr>
          <w:b/>
        </w:rPr>
        <w:t xml:space="preserve">4 </w:t>
      </w:r>
      <w:r>
        <w:t xml:space="preserve">Because no word on my tongue—</w:t>
      </w:r>
    </w:p>
    <w:p>
      <w:r>
        <w:rPr>
          <w:b/>
        </w:rPr>
        <w:t xml:space="preserve">5 </w:t>
      </w:r>
      <w:r>
        <w:t xml:space="preserve">behold, the Lord, you knew all last things and first things; you formed me and laid your hand upon me.</w:t>
      </w:r>
    </w:p>
    <w:p>
      <w:r>
        <w:rPr>
          <w:b/>
        </w:rPr>
        <w:t xml:space="preserve">6 </w:t>
      </w:r>
      <w:r>
        <w:t xml:space="preserve">Your knowledge made wondrous beyond me; it grew strong; I will not be able toward it.</w:t>
      </w:r>
    </w:p>
    <w:p>
      <w:r>
        <w:rPr>
          <w:b/>
        </w:rPr>
        <w:t xml:space="preserve">7 </w:t>
      </w:r>
      <w:r>
        <w:t xml:space="preserve">Where should I go from your spirit, and where should I flee from your face?</w:t>
      </w:r>
    </w:p>
    <w:p>
      <w:r>
        <w:rPr>
          <w:b/>
        </w:rPr>
        <w:t xml:space="preserve">8 </w:t>
      </w:r>
      <w:r>
        <w:t xml:space="preserve">If I go up into heaven, you there; if I go down into Hades, present.</w:t>
      </w:r>
    </w:p>
    <w:p>
      <w:r>
        <w:rPr>
          <w:b/>
        </w:rPr>
        <w:t xml:space="preserve">9 </w:t>
      </w:r>
      <w:r>
        <w:t xml:space="preserve">If I take up my wings at dawn and dwell in uttermost parts of sea,</w:t>
      </w:r>
    </w:p>
    <w:p>
      <w:r>
        <w:rPr>
          <w:b/>
        </w:rPr>
        <w:t xml:space="preserve">10 </w:t>
      </w:r>
      <w:r>
        <w:t xml:space="preserve">even there your hand will guide me and your right hand will hold me fast.</w:t>
      </w:r>
    </w:p>
    <w:p>
      <w:r>
        <w:rPr>
          <w:b/>
        </w:rPr>
        <w:t xml:space="preserve">11 </w:t>
      </w:r>
      <w:r>
        <w:t xml:space="preserve">And I said, "Then darkness will trample me," yet night illumination in my delight.</w:t>
      </w:r>
    </w:p>
    <w:p>
      <w:r>
        <w:rPr>
          <w:b/>
        </w:rPr>
        <w:t xml:space="preserve">12 </w:t>
      </w:r>
      <w:r>
        <w:t xml:space="preserve">Because darkness will not be darkened from you, and night will be lit as day; as its darkness, so also its light.</w:t>
      </w:r>
    </w:p>
    <w:p>
      <w:r>
        <w:rPr>
          <w:b/>
        </w:rPr>
        <w:t xml:space="preserve">13 </w:t>
      </w:r>
      <w:r>
        <w:t xml:space="preserve">Because you acquired my inward parts, Lord; you took hold of me from my mother's womb.</w:t>
      </w:r>
    </w:p>
    <w:p>
      <w:r>
        <w:rPr>
          <w:b/>
        </w:rPr>
        <w:t xml:space="preserve">14 </w:t>
      </w:r>
      <w:r>
        <w:t xml:space="preserve">I will give thanks to you because fearfully I was made wondrous; wondrous your works, and my soul knows very much.</w:t>
      </w:r>
    </w:p>
    <w:p>
      <w:r>
        <w:rPr>
          <w:b/>
        </w:rPr>
        <w:t xml:space="preserve">15 </w:t>
      </w:r>
      <w:r>
        <w:t xml:space="preserve">My bone not hidden from you, which you made in secret, and my substance in lowest parts of earth.</w:t>
      </w:r>
    </w:p>
    <w:p>
      <w:r>
        <w:rPr>
          <w:b/>
        </w:rPr>
        <w:t xml:space="preserve">16 </w:t>
      </w:r>
      <w:r>
        <w:t xml:space="preserve">Your eyes saw my unformed thing, and in your book all will be written; days will be formed, and no one among them.</w:t>
      </w:r>
    </w:p>
    <w:p>
      <w:r>
        <w:rPr>
          <w:b/>
        </w:rPr>
        <w:t xml:space="preserve">17 </w:t>
      </w:r>
      <w:r>
        <w:t xml:space="preserve">To me your friends, God, were greatly honored; their chief ones grew very strong.</w:t>
      </w:r>
    </w:p>
    <w:p>
      <w:r>
        <w:rPr>
          <w:b/>
        </w:rPr>
        <w:t xml:space="preserve">18 </w:t>
      </w:r>
      <w:r>
        <w:t xml:space="preserve">I will number them, and beyond sand they will multiply; I awoke, and still I am with you.</w:t>
      </w:r>
    </w:p>
    <w:p>
      <w:r>
        <w:rPr>
          <w:b/>
        </w:rPr>
        <w:t xml:space="preserve">19 </w:t>
      </w:r>
      <w:r>
        <w:t xml:space="preserve">If only you would kill sinners, God; men of blood, turn aside from me.</w:t>
      </w:r>
    </w:p>
    <w:p>
      <w:r>
        <w:rPr>
          <w:b/>
        </w:rPr>
        <w:t xml:space="preserve">20 </w:t>
      </w:r>
      <w:r>
        <w:t xml:space="preserve">Because they speak of you for scheming; they will take your cities in vain.</w:t>
      </w:r>
    </w:p>
    <w:p>
      <w:r>
        <w:rPr>
          <w:b/>
        </w:rPr>
        <w:t xml:space="preserve">21 </w:t>
      </w:r>
      <w:r>
        <w:t xml:space="preserve">Did I not hate those hating you, Lord, and waste away over your enemies?</w:t>
      </w:r>
    </w:p>
    <w:p>
      <w:r>
        <w:rPr>
          <w:b/>
        </w:rPr>
        <w:t xml:space="preserve">22 </w:t>
      </w:r>
      <w:r>
        <w:t xml:space="preserve">With perfect hatred I hated them; they became enemies to me.</w:t>
      </w:r>
    </w:p>
    <w:p>
      <w:r>
        <w:rPr>
          <w:b/>
        </w:rPr>
        <w:t xml:space="preserve">23 </w:t>
      </w:r>
      <w:r>
        <w:t xml:space="preserve">Test me, God, and know my heart; examine me and know my paths.</w:t>
      </w:r>
    </w:p>
    <w:p>
      <w:r>
        <w:rPr>
          <w:b/>
        </w:rPr>
        <w:t xml:space="preserve">24 </w:t>
      </w:r>
      <w:r>
        <w:t xml:space="preserve">And see if way of lawlessness in me, and guide me in age-lasting way.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139</w:t>
      </w:r>
    </w:p>
    <w:p>
      <w:r>
        <w:rPr>
          <w:b/>
        </w:rPr>
        <w:t xml:space="preserve">1 </w:t>
      </w:r>
      <w:r>
        <w:rPr>
          <w:i/>
        </w:rPr>
        <w:t xml:space="preserve">For end. Psalm of David.</w:t>
      </w:r>
      <w:r>
        <w:t xml:space="preserve"/>
      </w:r>
    </w:p>
    <w:p>
      <w:r>
        <w:rPr>
          <w:b/>
        </w:rPr>
        <w:t xml:space="preserve">2 </w:t>
      </w:r>
      <w:r>
        <w:t xml:space="preserve">Rescue me, Lord, from evil man; from unjust man deliver me.</w:t>
      </w:r>
    </w:p>
    <w:p>
      <w:r>
        <w:rPr>
          <w:b/>
        </w:rPr>
        <w:t xml:space="preserve">3 </w:t>
      </w:r>
      <w:r>
        <w:t xml:space="preserve">Who devised injustices in heart; whole day they arrayed wars.</w:t>
      </w:r>
    </w:p>
    <w:p>
      <w:r>
        <w:rPr>
          <w:b/>
        </w:rPr>
        <w:t xml:space="preserve">4 </w:t>
      </w:r>
      <w:r>
        <w:t xml:space="preserve">They sharpened their tongue like serpent; venom of asps under their lips. Selah</w:t>
      </w:r>
      <w:r>
        <w:rPr>
          <w:rStyle w:val="FootnoteReference"/>
        </w:rPr>
        <w:footnoteReference w:id="10659"/>
      </w:r>
      <w:r>
        <w:t xml:space="preserve">.</w:t>
      </w:r>
    </w:p>
    <w:p>
      <w:r>
        <w:rPr>
          <w:b/>
        </w:rPr>
        <w:t xml:space="preserve">5 </w:t>
      </w:r>
      <w:r>
        <w:t xml:space="preserve">Guard me, Lord, from the hand of sinner; from unjust men deliver me, who devised to trip my steps.</w:t>
      </w:r>
    </w:p>
    <w:p>
      <w:r>
        <w:rPr>
          <w:b/>
        </w:rPr>
        <w:t xml:space="preserve">6 </w:t>
      </w:r>
      <w:r>
        <w:t xml:space="preserve">Proud ones hid snare for me and stretched ropes; traps for my feet, beside path they set stumbling block for me. Selah.</w:t>
      </w:r>
    </w:p>
    <w:p>
      <w:r>
        <w:rPr>
          <w:b/>
        </w:rPr>
        <w:t xml:space="preserve">7 </w:t>
      </w:r>
      <w:r>
        <w:t xml:space="preserve">I said to the Lord, "My God you." Give ear, Lord, to the voice of my supplication.</w:t>
      </w:r>
    </w:p>
    <w:p>
      <w:r>
        <w:rPr>
          <w:b/>
        </w:rPr>
        <w:t xml:space="preserve">8 </w:t>
      </w:r>
      <w:r>
        <w:t xml:space="preserve">Lord, Lord, strength of my salvation, you overshadowed over my head in the day of war.</w:t>
      </w:r>
    </w:p>
    <w:p>
      <w:r>
        <w:rPr>
          <w:b/>
        </w:rPr>
        <w:t xml:space="preserve">9 </w:t>
      </w:r>
      <w:r>
        <w:t xml:space="preserve">Do not give me over, Lord, from my desire to sinner; they schemed against me; do not abandon me, lest they be exalted. Selah.</w:t>
      </w:r>
    </w:p>
    <w:p>
      <w:r>
        <w:rPr>
          <w:b/>
        </w:rPr>
        <w:t xml:space="preserve">10 </w:t>
      </w:r>
      <w:r>
        <w:t xml:space="preserve">The head of their encirclement—labor of their lips will cover them.</w:t>
      </w:r>
    </w:p>
    <w:p>
      <w:r>
        <w:rPr>
          <w:b/>
        </w:rPr>
        <w:t xml:space="preserve">11 </w:t>
      </w:r>
      <w:r>
        <w:t xml:space="preserve">Coals will fall upon them; in fire you will cast them down, in miseries they will not withstand.</w:t>
      </w:r>
    </w:p>
    <w:p>
      <w:r>
        <w:rPr>
          <w:b/>
        </w:rPr>
        <w:t xml:space="preserve">12 </w:t>
      </w:r>
      <w:r>
        <w:t xml:space="preserve">Tongue-man will not be directed on earth; evil will hunt unjust man into destruction.</w:t>
      </w:r>
    </w:p>
    <w:p>
      <w:r>
        <w:rPr>
          <w:b/>
        </w:rPr>
        <w:t xml:space="preserve">13 </w:t>
      </w:r>
      <w:r>
        <w:t xml:space="preserve">I knew the Lord will do judgment of a poor one and justice of the needy.</w:t>
      </w:r>
    </w:p>
    <w:p>
      <w:r>
        <w:rPr>
          <w:b/>
        </w:rPr>
        <w:t xml:space="preserve">14 </w:t>
      </w:r>
      <w:r>
        <w:t xml:space="preserve">Yet the righteous will give thanks to your name, and the upright will dwell with your face.</w:t>
      </w:r>
      <w:r>
        <w:rPr>
          <w:rStyle w:val="FootnoteReference"/>
        </w:rPr>
        <w:footnoteReference w:id="10660"/>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140</w:t>
      </w:r>
    </w:p>
    <w:p>
      <w:r>
        <w:rPr>
          <w:b/>
        </w:rPr>
        <w:t xml:space="preserve">1 </w:t>
      </w:r>
      <w:r>
        <w:rPr>
          <w:i/>
        </w:rPr>
        <w:t xml:space="preserve">Psalm of David.</w:t>
      </w:r>
      <w:r>
        <w:br/>
      </w:r>
      <w:r>
        <w:t xml:space="preserve">Lord, I cried to you; hear me. Attend to the voice of my supplication when I cry to you.</w:t>
      </w:r>
    </w:p>
    <w:p>
      <w:r>
        <w:rPr>
          <w:b/>
        </w:rPr>
        <w:t xml:space="preserve">2 </w:t>
      </w:r>
      <w:r>
        <w:t xml:space="preserve">Let my prayer be set straight as incense before you, lifting up of my hands evening sacrifice.</w:t>
      </w:r>
    </w:p>
    <w:p>
      <w:r>
        <w:rPr>
          <w:b/>
        </w:rPr>
        <w:t xml:space="preserve">3 </w:t>
      </w:r>
      <w:r>
        <w:t xml:space="preserve">Set guard, Lord, for my mouth, and door of enclosure around my lips.</w:t>
      </w:r>
    </w:p>
    <w:p>
      <w:r>
        <w:rPr>
          <w:b/>
        </w:rPr>
        <w:t xml:space="preserve">4 </w:t>
      </w:r>
      <w:r>
        <w:t xml:space="preserve">Do not incline my heart to the words of evil, to make excuses of excuses in sins with men working lawlessness, and I will not join with their chosen ones.</w:t>
      </w:r>
    </w:p>
    <w:p>
      <w:r>
        <w:rPr>
          <w:b/>
        </w:rPr>
        <w:t xml:space="preserve">5 </w:t>
      </w:r>
      <w:r>
        <w:t xml:space="preserve">A righteous one will instruct me in mercy and reprove me, but oil of a sinner may it not fatten my head; because still my prayer against their pleasures.</w:t>
      </w:r>
    </w:p>
    <w:p>
      <w:r>
        <w:rPr>
          <w:b/>
        </w:rPr>
        <w:t xml:space="preserve">6 </w:t>
      </w:r>
      <w:r>
        <w:t xml:space="preserve">Their judges were swallowed up beside rock; they will hear</w:t>
      </w:r>
      <w:r>
        <w:rPr>
          <w:rStyle w:val="FootnoteReference"/>
        </w:rPr>
        <w:footnoteReference w:id="10661"/>
      </w:r>
      <w:r>
        <w:t xml:space="preserve"> my words because they were pleasant.</w:t>
      </w:r>
    </w:p>
    <w:p>
      <w:r>
        <w:rPr>
          <w:b/>
        </w:rPr>
        <w:t xml:space="preserve">7 </w:t>
      </w:r>
      <w:r>
        <w:t xml:space="preserve">Like thickness of earth broken up upon ground, our bones were scattered beside Hades.</w:t>
      </w:r>
    </w:p>
    <w:p>
      <w:r>
        <w:rPr>
          <w:b/>
        </w:rPr>
        <w:t xml:space="preserve">8 </w:t>
      </w:r>
      <w:r>
        <w:t xml:space="preserve">Because toward you, Lord, Lord, my eyes; in you I hoped; do not take away my soul.</w:t>
      </w:r>
    </w:p>
    <w:p>
      <w:r>
        <w:rPr>
          <w:b/>
        </w:rPr>
        <w:t xml:space="preserve">9 </w:t>
      </w:r>
      <w:r>
        <w:t xml:space="preserve">Guard me from snare they set together for me and from stumbling blocks of workers of lawlessness.</w:t>
      </w:r>
    </w:p>
    <w:p>
      <w:r>
        <w:rPr>
          <w:b/>
        </w:rPr>
        <w:t xml:space="preserve">10 </w:t>
      </w:r>
      <w:r>
        <w:t xml:space="preserve">Sinners will fall in his net; alone I am until I pass by.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141</w:t>
      </w:r>
    </w:p>
    <w:p>
      <w:r>
        <w:rPr>
          <w:b/>
        </w:rPr>
        <w:t xml:space="preserve">1 </w:t>
      </w:r>
      <w:r>
        <w:rPr>
          <w:i/>
        </w:rPr>
        <w:t xml:space="preserve">Of understanding. Of David, when he was in cave. Prayer.</w:t>
      </w:r>
      <w:r>
        <w:t xml:space="preserve"/>
      </w:r>
    </w:p>
    <w:p>
      <w:r>
        <w:rPr>
          <w:b/>
        </w:rPr>
        <w:t xml:space="preserve">2 </w:t>
      </w:r>
      <w:r>
        <w:t xml:space="preserve">With my voice to the Lord I cried; with my voice to the Lord I made supplication.</w:t>
      </w:r>
    </w:p>
    <w:p>
      <w:r>
        <w:rPr>
          <w:b/>
        </w:rPr>
        <w:t xml:space="preserve">3 </w:t>
      </w:r>
      <w:r>
        <w:t xml:space="preserve">I pour out before him my supplication; my affliction before him I declare.</w:t>
      </w:r>
    </w:p>
    <w:p>
      <w:r>
        <w:rPr>
          <w:b/>
        </w:rPr>
        <w:t xml:space="preserve">4 </w:t>
      </w:r>
      <w:r>
        <w:t xml:space="preserve">When my spirit was failing from me, then you knew my paths. In this way where I walked, they hid snare for me.</w:t>
      </w:r>
    </w:p>
    <w:p>
      <w:r>
        <w:rPr>
          <w:b/>
        </w:rPr>
        <w:t xml:space="preserve">5 </w:t>
      </w:r>
      <w:r>
        <w:t xml:space="preserve">I was looking to right and watching, and there was none knowing me; flight perished from me, and none seeking my soul.</w:t>
      </w:r>
    </w:p>
    <w:p>
      <w:r>
        <w:rPr>
          <w:b/>
        </w:rPr>
        <w:t xml:space="preserve">6 </w:t>
      </w:r>
      <w:r>
        <w:t xml:space="preserve">I cried to you, Lord; I said, "You my hope, my portion in the land of living."</w:t>
      </w:r>
    </w:p>
    <w:p>
      <w:r>
        <w:rPr>
          <w:b/>
        </w:rPr>
        <w:t xml:space="preserve">7 </w:t>
      </w:r>
      <w:r>
        <w:t xml:space="preserve">Attend to my supplication, because I was greatly humbled; rescue me from those pursuing me, because they grew stronger than I.</w:t>
      </w:r>
    </w:p>
    <w:p>
      <w:r>
        <w:rPr>
          <w:b/>
        </w:rPr>
        <w:t xml:space="preserve">8 </w:t>
      </w:r>
      <w:r>
        <w:t xml:space="preserve">Bring my soul out from prison to give thanks to your name, Lord. The righteous will wait for me until you repay me.</w:t>
      </w:r>
      <w:r>
        <w:rPr>
          <w:rStyle w:val="FootnoteReference"/>
        </w:rPr>
        <w:footnoteReference w:id="10662"/>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142</w:t>
      </w:r>
    </w:p>
    <w:p>
      <w:r>
        <w:rPr>
          <w:b/>
        </w:rPr>
        <w:t xml:space="preserve">1 </w:t>
      </w:r>
      <w:r>
        <w:rPr>
          <w:i/>
        </w:rPr>
        <w:t xml:space="preserve">Psalm of David, when son pursued him.</w:t>
      </w:r>
      <w:r>
        <w:br/>
      </w:r>
      <w:r>
        <w:t xml:space="preserve">Lord, hear my prayer; give ear to my supplication in your truth; hear me in your righteousness.</w:t>
      </w:r>
    </w:p>
    <w:p>
      <w:r>
        <w:rPr>
          <w:b/>
        </w:rPr>
        <w:t xml:space="preserve">2 </w:t>
      </w:r>
      <w:r>
        <w:t xml:space="preserve">And do not enter into judgment with your servant, because no living one will be justified before you.</w:t>
      </w:r>
    </w:p>
    <w:p>
      <w:r>
        <w:rPr>
          <w:b/>
        </w:rPr>
        <w:t xml:space="preserve">3 </w:t>
      </w:r>
      <w:r>
        <w:t xml:space="preserve">Because enemy pursued my soul; he humbled my life to earth; he seated me in dark places like the dead of age.</w:t>
      </w:r>
    </w:p>
    <w:p>
      <w:r>
        <w:rPr>
          <w:b/>
        </w:rPr>
        <w:t xml:space="preserve">4 </w:t>
      </w:r>
      <w:r>
        <w:t xml:space="preserve">And my spirit grew weary upon me; within me my heart troubled.</w:t>
      </w:r>
    </w:p>
    <w:p>
      <w:r>
        <w:rPr>
          <w:b/>
        </w:rPr>
        <w:t xml:space="preserve">5 </w:t>
      </w:r>
      <w:r>
        <w:t xml:space="preserve">I remembered ancient days and meditated on all your works; in the works of your hands I kept meditating.</w:t>
      </w:r>
    </w:p>
    <w:p>
      <w:r>
        <w:rPr>
          <w:b/>
        </w:rPr>
        <w:t xml:space="preserve">6 </w:t>
      </w:r>
      <w:r>
        <w:t xml:space="preserve">I spread out my hands to you; my soul as waterless land to you. Selah.</w:t>
      </w:r>
    </w:p>
    <w:p>
      <w:r>
        <w:rPr>
          <w:b/>
        </w:rPr>
        <w:t xml:space="preserve">7 </w:t>
      </w:r>
      <w:r>
        <w:t xml:space="preserve">Quickly hear me, Lord; my spirit failed. Do not turn away your face from me, and I will be likened to those going down into pit.</w:t>
      </w:r>
    </w:p>
    <w:p>
      <w:r>
        <w:rPr>
          <w:b/>
        </w:rPr>
        <w:t xml:space="preserve">8 </w:t>
      </w:r>
      <w:r>
        <w:t xml:space="preserve">Make your mercy heard to me in morning, because on you I hoped. Make known to me, Lord, way in which I should walk, because to you I lifted my soul.</w:t>
      </w:r>
    </w:p>
    <w:p>
      <w:r>
        <w:rPr>
          <w:b/>
        </w:rPr>
        <w:t xml:space="preserve">9 </w:t>
      </w:r>
      <w:r>
        <w:t xml:space="preserve">Rescue me from my enemies, Lord, because to you I fled.</w:t>
      </w:r>
    </w:p>
    <w:p>
      <w:r>
        <w:rPr>
          <w:b/>
        </w:rPr>
        <w:t xml:space="preserve">10 </w:t>
      </w:r>
      <w:r>
        <w:t xml:space="preserve">Teach me to do your will, because you my God. Your good spirit will guide me in straight land.</w:t>
      </w:r>
    </w:p>
    <w:p>
      <w:r>
        <w:rPr>
          <w:b/>
        </w:rPr>
        <w:t xml:space="preserve">11 </w:t>
      </w:r>
      <w:r>
        <w:t xml:space="preserve">For the sake of your name, Lord, you will make me live; in your righteousness you will bring my soul out from affliction.</w:t>
      </w:r>
    </w:p>
    <w:p>
      <w:r>
        <w:rPr>
          <w:b/>
        </w:rPr>
        <w:t xml:space="preserve">12 </w:t>
      </w:r>
      <w:r>
        <w:t xml:space="preserve">And in your mercy you will utterly destroy my enemies and destroy all afflicting my soul, because I am your servant.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143</w:t>
      </w:r>
    </w:p>
    <w:p>
      <w:r>
        <w:rPr>
          <w:b/>
        </w:rPr>
        <w:t xml:space="preserve">1 </w:t>
      </w:r>
      <w:r>
        <w:rPr>
          <w:i/>
        </w:rPr>
        <w:t xml:space="preserve">Of David, against Goliath.</w:t>
      </w:r>
      <w:r>
        <w:br/>
      </w:r>
      <w:r>
        <w:t xml:space="preserve">Blessed is the Lord my God, teaching my hands for battle, my fingers for war.</w:t>
      </w:r>
    </w:p>
    <w:p>
      <w:r>
        <w:rPr>
          <w:b/>
        </w:rPr>
        <w:t xml:space="preserve">2 </w:t>
      </w:r>
      <w:r>
        <w:t xml:space="preserve">My mercy and my refuge, my helper and my deliverer, my protector, and on him I hoped, one subduing my people under me.</w:t>
      </w:r>
    </w:p>
    <w:p>
      <w:r>
        <w:rPr>
          <w:b/>
        </w:rPr>
        <w:t xml:space="preserve">3 </w:t>
      </w:r>
      <w:r>
        <w:t xml:space="preserve">Lord, what man that you became known to him, or son of man that you count him?</w:t>
      </w:r>
    </w:p>
    <w:p>
      <w:r>
        <w:rPr>
          <w:b/>
        </w:rPr>
        <w:t xml:space="preserve">4 </w:t>
      </w:r>
      <w:r>
        <w:t xml:space="preserve">Man was likened to vanity; his days like a passing shadow.</w:t>
      </w:r>
    </w:p>
    <w:p>
      <w:r>
        <w:rPr>
          <w:b/>
        </w:rPr>
        <w:t xml:space="preserve">5 </w:t>
      </w:r>
      <w:r>
        <w:t xml:space="preserve">Lord, bend your heavens and come down; touch mountains and they will smoke.</w:t>
      </w:r>
    </w:p>
    <w:p>
      <w:r>
        <w:rPr>
          <w:b/>
        </w:rPr>
        <w:t xml:space="preserve">6 </w:t>
      </w:r>
      <w:r>
        <w:t xml:space="preserve">Selah lightning and you will scatter them; send out your arrows and you will throw them into confusion.</w:t>
      </w:r>
    </w:p>
    <w:p>
      <w:r>
        <w:rPr>
          <w:b/>
        </w:rPr>
        <w:t xml:space="preserve">7 </w:t>
      </w:r>
      <w:r>
        <w:t xml:space="preserve">Send out your hand from height; rescue me and deliver me from many waters, from the hand of foreign sons,</w:t>
      </w:r>
    </w:p>
    <w:p>
      <w:r>
        <w:rPr>
          <w:b/>
        </w:rPr>
        <w:t xml:space="preserve">8 </w:t>
      </w:r>
      <w:r>
        <w:t xml:space="preserve">whose mouth spoke vanity and their right hand, the right hand of injustice.</w:t>
      </w:r>
    </w:p>
    <w:p>
      <w:r>
        <w:rPr>
          <w:b/>
        </w:rPr>
        <w:t xml:space="preserve">9 </w:t>
      </w:r>
      <w:r>
        <w:t xml:space="preserve">God, I will sing new song to you; on ten-stringed psaltery I will sing psalms to you.</w:t>
      </w:r>
    </w:p>
    <w:p>
      <w:r>
        <w:rPr>
          <w:b/>
        </w:rPr>
        <w:t xml:space="preserve">10 </w:t>
      </w:r>
      <w:r>
        <w:t xml:space="preserve">To one giving salvation to kings, to one redeeming David his servant from evil sword.</w:t>
      </w:r>
    </w:p>
    <w:p>
      <w:r>
        <w:rPr>
          <w:b/>
        </w:rPr>
        <w:t xml:space="preserve">11 </w:t>
      </w:r>
      <w:r>
        <w:t xml:space="preserve">Rescue me and deliver me from the hand of foreign sons, whose mouth spoke vanity and their right hand, the right hand of injustice.</w:t>
      </w:r>
    </w:p>
    <w:p>
      <w:r>
        <w:rPr>
          <w:b/>
        </w:rPr>
        <w:t xml:space="preserve">12 </w:t>
      </w:r>
      <w:r>
        <w:t xml:space="preserve">Whose sons like young shoots established in their youth; their daughters beautified, adorned like the likeness of the temple.</w:t>
      </w:r>
    </w:p>
    <w:p>
      <w:r>
        <w:rPr>
          <w:b/>
        </w:rPr>
        <w:t xml:space="preserve">13 </w:t>
      </w:r>
      <w:r>
        <w:t xml:space="preserve">Their storehouses full, pouring out from this into that; their sheep many-bearing, multiplying in their outings.</w:t>
      </w:r>
    </w:p>
    <w:p>
      <w:r>
        <w:rPr>
          <w:b/>
        </w:rPr>
        <w:t xml:space="preserve">14 </w:t>
      </w:r>
      <w:r>
        <w:t xml:space="preserve">Their oxen fat; no breach of wall, no passing out, no outcry in their squares.</w:t>
      </w:r>
    </w:p>
    <w:p>
      <w:r>
        <w:rPr>
          <w:b/>
        </w:rPr>
        <w:t xml:space="preserve">15 </w:t>
      </w:r>
      <w:r>
        <w:t xml:space="preserve">They called blessed people to whom these things belong; blessed are the people whose God is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144</w:t>
      </w:r>
    </w:p>
    <w:p>
      <w:r>
        <w:rPr>
          <w:b/>
        </w:rPr>
        <w:t xml:space="preserve">1 </w:t>
      </w:r>
      <w:r>
        <w:rPr>
          <w:i/>
        </w:rPr>
        <w:t xml:space="preserve">Praise of David.</w:t>
      </w:r>
      <w:r>
        <w:br/>
      </w:r>
      <w:r>
        <w:t xml:space="preserve">I will exalt you, my God, my king, and bless your name forever and forever of age.</w:t>
      </w:r>
    </w:p>
    <w:p>
      <w:r>
        <w:rPr>
          <w:b/>
        </w:rPr>
        <w:t xml:space="preserve">2 </w:t>
      </w:r>
      <w:r>
        <w:t xml:space="preserve">Each day I will bless you and praise your name forever and forever of age.</w:t>
      </w:r>
    </w:p>
    <w:p>
      <w:r>
        <w:rPr>
          <w:b/>
        </w:rPr>
        <w:t xml:space="preserve">3 </w:t>
      </w:r>
      <w:r>
        <w:t xml:space="preserve">Great is the Lord and greatly praiseworthy, and of his greatness no end.</w:t>
      </w:r>
    </w:p>
    <w:p>
      <w:r>
        <w:rPr>
          <w:b/>
        </w:rPr>
        <w:t xml:space="preserve">4 </w:t>
      </w:r>
      <w:r>
        <w:t xml:space="preserve">Generation and generation will praise your works, and they will declare your power.</w:t>
      </w:r>
    </w:p>
    <w:p>
      <w:r>
        <w:rPr>
          <w:b/>
        </w:rPr>
        <w:t xml:space="preserve">5 </w:t>
      </w:r>
      <w:r>
        <w:t xml:space="preserve">They will speak of magnificence of glory of your holiness, and they will relate your wonders.</w:t>
      </w:r>
    </w:p>
    <w:p>
      <w:r>
        <w:rPr>
          <w:b/>
        </w:rPr>
        <w:t xml:space="preserve">6 </w:t>
      </w:r>
      <w:r>
        <w:t xml:space="preserve">They will speak of power of your fearful deeds, and they will recount your greatness.</w:t>
      </w:r>
    </w:p>
    <w:p>
      <w:r>
        <w:rPr>
          <w:b/>
        </w:rPr>
        <w:t xml:space="preserve">7 </w:t>
      </w:r>
      <w:r>
        <w:t xml:space="preserve">They will pour forth memory of abundance of your kindness, and exult in your righteousness.</w:t>
      </w:r>
    </w:p>
    <w:p>
      <w:r>
        <w:rPr>
          <w:b/>
        </w:rPr>
        <w:t xml:space="preserve">8 </w:t>
      </w:r>
      <w:r>
        <w:t xml:space="preserve">Compassionate and merciful Lord, long-suffering and very merciful.</w:t>
      </w:r>
    </w:p>
    <w:p>
      <w:r>
        <w:rPr>
          <w:b/>
        </w:rPr>
        <w:t xml:space="preserve">9 </w:t>
      </w:r>
      <w:r>
        <w:t xml:space="preserve">The Lord is kind to all, and his compassions over all his works.</w:t>
      </w:r>
    </w:p>
    <w:p>
      <w:r>
        <w:rPr>
          <w:b/>
        </w:rPr>
        <w:t xml:space="preserve">10 </w:t>
      </w:r>
      <w:r>
        <w:t xml:space="preserve">Let all your works give thanks to you, Lord, and let your holy ones bless you.</w:t>
      </w:r>
    </w:p>
    <w:p>
      <w:r>
        <w:rPr>
          <w:b/>
        </w:rPr>
        <w:t xml:space="preserve">11 </w:t>
      </w:r>
      <w:r>
        <w:t xml:space="preserve">They will speak glory of your kingdom and tell of your dominion,</w:t>
      </w:r>
    </w:p>
    <w:p>
      <w:r>
        <w:rPr>
          <w:b/>
        </w:rPr>
        <w:t xml:space="preserve">12 </w:t>
      </w:r>
      <w:r>
        <w:t xml:space="preserve">to make known to the sons of men your dominion and glory of magnificence of your kingdom.</w:t>
      </w:r>
    </w:p>
    <w:p>
      <w:r>
        <w:rPr>
          <w:b/>
        </w:rPr>
        <w:t xml:space="preserve">13 </w:t>
      </w:r>
      <w:r>
        <w:t xml:space="preserve">Your kingdom is a kingdom of all ages, and your lordship in every generation and generation. Faithful is the Lord in his words and holy in all his works.</w:t>
      </w:r>
    </w:p>
    <w:p>
      <w:r>
        <w:rPr>
          <w:b/>
        </w:rPr>
        <w:t xml:space="preserve">14 </w:t>
      </w:r>
      <w:r>
        <w:t xml:space="preserve">The Lord supports all falling and straightens all crushed down.</w:t>
      </w:r>
    </w:p>
    <w:p>
      <w:r>
        <w:rPr>
          <w:b/>
        </w:rPr>
        <w:t xml:space="preserve">15 </w:t>
      </w:r>
      <w:r>
        <w:t xml:space="preserve">The eyes of all hope in you, and you give their food in season.</w:t>
      </w:r>
    </w:p>
    <w:p>
      <w:r>
        <w:rPr>
          <w:b/>
        </w:rPr>
        <w:t xml:space="preserve">16 </w:t>
      </w:r>
      <w:r>
        <w:t xml:space="preserve">You open your hand and fill every living thing with favor.</w:t>
      </w:r>
    </w:p>
    <w:p>
      <w:r>
        <w:rPr>
          <w:b/>
        </w:rPr>
        <w:t xml:space="preserve">17 </w:t>
      </w:r>
      <w:r>
        <w:t xml:space="preserve">The Lord is righteous in all his ways and holy in all his works.</w:t>
      </w:r>
    </w:p>
    <w:p>
      <w:r>
        <w:rPr>
          <w:b/>
        </w:rPr>
        <w:t xml:space="preserve">18 </w:t>
      </w:r>
      <w:r>
        <w:t xml:space="preserve">The Lord near to all calling upon him, to all calling upon him in truth.</w:t>
      </w:r>
    </w:p>
    <w:p>
      <w:r>
        <w:rPr>
          <w:b/>
        </w:rPr>
        <w:t xml:space="preserve">19 </w:t>
      </w:r>
      <w:r>
        <w:t xml:space="preserve">He will do desire of those fearing him, and he will hear their supplication and save them.</w:t>
      </w:r>
    </w:p>
    <w:p>
      <w:r>
        <w:rPr>
          <w:b/>
        </w:rPr>
        <w:t xml:space="preserve">20 </w:t>
      </w:r>
      <w:r>
        <w:t xml:space="preserve">The Lord guards all loving him, and all sinners he will destroy.</w:t>
      </w:r>
    </w:p>
    <w:p>
      <w:r>
        <w:rPr>
          <w:b/>
        </w:rPr>
        <w:t xml:space="preserve">21 </w:t>
      </w:r>
      <w:r>
        <w:t xml:space="preserve">The praise of the Lord my mouth will speak, and let all flesh bless his holy name forever and forever of age.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145</w:t>
      </w:r>
    </w:p>
    <w:p>
      <w:r>
        <w:rPr>
          <w:b/>
        </w:rPr>
        <w:t xml:space="preserve">1 </w:t>
      </w:r>
      <w:r>
        <w:rPr>
          <w:i/>
        </w:rPr>
        <w:t xml:space="preserve">Alleluia. Of Haggai and Zechariah.</w:t>
      </w:r>
      <w:r>
        <w:br/>
      </w:r>
      <w:r>
        <w:t xml:space="preserve">Praise the Lord, my soul.</w:t>
      </w:r>
    </w:p>
    <w:p>
      <w:r>
        <w:rPr>
          <w:b/>
        </w:rPr>
        <w:t xml:space="preserve">2 </w:t>
      </w:r>
      <w:r>
        <w:t xml:space="preserve">I will praise the Lord in my life; I will sing psalms to my God while I exist.</w:t>
      </w:r>
    </w:p>
    <w:p>
      <w:r>
        <w:rPr>
          <w:b/>
        </w:rPr>
        <w:t xml:space="preserve">3 </w:t>
      </w:r>
      <w:r>
        <w:t xml:space="preserve">Do not trust in rulers and in the sons of men, in whom no salvation.</w:t>
      </w:r>
    </w:p>
    <w:p>
      <w:r>
        <w:rPr>
          <w:b/>
        </w:rPr>
        <w:t xml:space="preserve">4 </w:t>
      </w:r>
      <w:r>
        <w:t xml:space="preserve">His spirit will go out and he will return to his earth; in that day all their plans will perish.</w:t>
      </w:r>
    </w:p>
    <w:p>
      <w:r>
        <w:rPr>
          <w:b/>
        </w:rPr>
        <w:t xml:space="preserve">5 </w:t>
      </w:r>
      <w:r>
        <w:t xml:space="preserve">Blessed is he whose helper is the God of Jacob, his hope upon the Lord his God.</w:t>
      </w:r>
    </w:p>
    <w:p>
      <w:r>
        <w:rPr>
          <w:b/>
        </w:rPr>
        <w:t xml:space="preserve">6 </w:t>
      </w:r>
      <w:r>
        <w:t xml:space="preserve">Who made heaven and earth, sea and all in them, one keeping truth forever.</w:t>
      </w:r>
    </w:p>
    <w:p>
      <w:r>
        <w:rPr>
          <w:b/>
        </w:rPr>
        <w:t xml:space="preserve">7 </w:t>
      </w:r>
      <w:r>
        <w:t xml:space="preserve">Doing judgment for wronged ones, giving food to hungry; The Lord frees chained ones.</w:t>
      </w:r>
    </w:p>
    <w:p>
      <w:r>
        <w:rPr>
          <w:b/>
        </w:rPr>
        <w:t xml:space="preserve">8 </w:t>
      </w:r>
      <w:r>
        <w:t xml:space="preserve">The Lord straightens crushed ones; The Lord makes blind ones wise; The Lord loves righteous.</w:t>
      </w:r>
    </w:p>
    <w:p>
      <w:r>
        <w:rPr>
          <w:b/>
        </w:rPr>
        <w:t xml:space="preserve">9 </w:t>
      </w:r>
      <w:r>
        <w:t xml:space="preserve">The Lord guards sojourners; orphan and widow he will take up, and way of sinners he will destroy.</w:t>
      </w:r>
    </w:p>
    <w:p>
      <w:r>
        <w:rPr>
          <w:b/>
        </w:rPr>
        <w:t xml:space="preserve">10 </w:t>
      </w:r>
      <w:r>
        <w:t xml:space="preserve">The Lord will reign forever, your God, Zion, to generation and generation.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146</w:t>
      </w:r>
    </w:p>
    <w:p>
      <w:r>
        <w:rPr>
          <w:b/>
        </w:rPr>
        <w:t xml:space="preserve">1 </w:t>
      </w:r>
      <w:r>
        <w:rPr>
          <w:i/>
        </w:rPr>
        <w:t xml:space="preserve">Alleluia. Of Haggai and Zechariah.</w:t>
      </w:r>
      <w:r>
        <w:br/>
      </w:r>
      <w:r>
        <w:t xml:space="preserve">Praise the Lord</w:t>
      </w:r>
      <w:r>
        <w:rPr>
          <w:rStyle w:val="FootnoteReference"/>
        </w:rPr>
        <w:footnoteReference w:id="10663"/>
      </w:r>
      <w:r>
        <w:t xml:space="preserve">, because psalm to our God good; let praise be sweet.</w:t>
      </w:r>
    </w:p>
    <w:p>
      <w:r>
        <w:rPr>
          <w:b/>
        </w:rPr>
        <w:t xml:space="preserve">2 </w:t>
      </w:r>
      <w:r>
        <w:t xml:space="preserve">The Lord building Jerusalem and gathering dispersions of Israel.</w:t>
      </w:r>
    </w:p>
    <w:p>
      <w:r>
        <w:rPr>
          <w:b/>
        </w:rPr>
        <w:t xml:space="preserve">3 </w:t>
      </w:r>
      <w:r>
        <w:t xml:space="preserve">Healing crushed in heart and binding up their fractures.</w:t>
      </w:r>
    </w:p>
    <w:p>
      <w:r>
        <w:rPr>
          <w:b/>
        </w:rPr>
        <w:t xml:space="preserve">4 </w:t>
      </w:r>
      <w:r>
        <w:t xml:space="preserve">Numbering multitudes of stars and calling all them by names.</w:t>
      </w:r>
    </w:p>
    <w:p>
      <w:r>
        <w:rPr>
          <w:b/>
        </w:rPr>
        <w:t xml:space="preserve">5 </w:t>
      </w:r>
      <w:r>
        <w:t xml:space="preserve">Great our Lord and great his strength, and of his understanding no number.</w:t>
      </w:r>
    </w:p>
    <w:p>
      <w:r>
        <w:rPr>
          <w:b/>
        </w:rPr>
        <w:t xml:space="preserve">6 </w:t>
      </w:r>
      <w:r>
        <w:t xml:space="preserve">The Lord lifting up meek ones and humbling sinners to ground.</w:t>
      </w:r>
    </w:p>
    <w:p>
      <w:r>
        <w:rPr>
          <w:b/>
        </w:rPr>
        <w:t xml:space="preserve">7 </w:t>
      </w:r>
      <w:r>
        <w:t xml:space="preserve">Begin with thanksgiving to the Lord; sing psalms to our God on lyre.</w:t>
      </w:r>
    </w:p>
    <w:p>
      <w:r>
        <w:rPr>
          <w:b/>
        </w:rPr>
        <w:t xml:space="preserve">8 </w:t>
      </w:r>
      <w:r>
        <w:t xml:space="preserve">To one clothing heaven with clouds, preparing rain for earth, making grass spring up on mountains and green growth for the service of men.</w:t>
      </w:r>
    </w:p>
    <w:p>
      <w:r>
        <w:rPr>
          <w:b/>
        </w:rPr>
        <w:t xml:space="preserve">9 </w:t>
      </w:r>
      <w:r>
        <w:t xml:space="preserve">Giving beasts their food and young ravens calling on him.</w:t>
      </w:r>
    </w:p>
    <w:p>
      <w:r>
        <w:rPr>
          <w:b/>
        </w:rPr>
        <w:t xml:space="preserve">10 </w:t>
      </w:r>
      <w:r>
        <w:t xml:space="preserve">Not in the strength of horse will he desire, nor in legs of man does he delight.</w:t>
      </w:r>
    </w:p>
    <w:p>
      <w:r>
        <w:rPr>
          <w:b/>
        </w:rPr>
        <w:t xml:space="preserve">11 </w:t>
      </w:r>
      <w:r>
        <w:t xml:space="preserve">The Lord delights in those fearing him and hoping upon his mercy.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147</w:t>
      </w:r>
    </w:p>
    <w:p>
      <w:r>
        <w:rPr>
          <w:b/>
        </w:rPr>
        <w:t xml:space="preserve">1 </w:t>
      </w:r>
      <w:r>
        <w:rPr>
          <w:i/>
        </w:rPr>
        <w:t xml:space="preserve">Alleluia. Of Haggai and Zechariah.</w:t>
      </w:r>
      <w:r>
        <w:br/>
      </w:r>
      <w:r>
        <w:t xml:space="preserve">Praise, Jerusalem, Lord; praise your God, Zion.</w:t>
      </w:r>
    </w:p>
    <w:p>
      <w:r>
        <w:rPr>
          <w:b/>
        </w:rPr>
        <w:t xml:space="preserve">2 </w:t>
      </w:r>
      <w:r>
        <w:t xml:space="preserve">Because he strengthened bars of your gates; he blessed your sons in you.</w:t>
      </w:r>
    </w:p>
    <w:p>
      <w:r>
        <w:rPr>
          <w:b/>
        </w:rPr>
        <w:t xml:space="preserve">3 </w:t>
      </w:r>
      <w:r>
        <w:t xml:space="preserve">One making your borders peace and filling you with the fat of wheat.</w:t>
      </w:r>
    </w:p>
    <w:p>
      <w:r>
        <w:rPr>
          <w:b/>
        </w:rPr>
        <w:t xml:space="preserve">4 </w:t>
      </w:r>
      <w:r>
        <w:t xml:space="preserve">One sending his saying to earth; with speed his word will run.</w:t>
      </w:r>
    </w:p>
    <w:p>
      <w:r>
        <w:rPr>
          <w:b/>
        </w:rPr>
        <w:t xml:space="preserve">5 </w:t>
      </w:r>
      <w:r>
        <w:t xml:space="preserve">One giving snow like wool, scattering mist like ashes.</w:t>
      </w:r>
    </w:p>
    <w:p>
      <w:r>
        <w:rPr>
          <w:b/>
        </w:rPr>
        <w:t xml:space="preserve">6 </w:t>
      </w:r>
      <w:r>
        <w:t xml:space="preserve">Throwing his ice like morsels; before his cold who will stand?</w:t>
      </w:r>
    </w:p>
    <w:p>
      <w:r>
        <w:rPr>
          <w:b/>
        </w:rPr>
        <w:t xml:space="preserve">7 </w:t>
      </w:r>
      <w:r>
        <w:t xml:space="preserve">He will send his word and melt them; his spirit will blow and waters will flow.</w:t>
      </w:r>
    </w:p>
    <w:p>
      <w:r>
        <w:rPr>
          <w:b/>
        </w:rPr>
        <w:t xml:space="preserve">8 </w:t>
      </w:r>
      <w:r>
        <w:t xml:space="preserve">Declaring his word to Jacob, his statutes and judgments to Israel.</w:t>
      </w:r>
    </w:p>
    <w:p>
      <w:r>
        <w:rPr>
          <w:b/>
        </w:rPr>
        <w:t xml:space="preserve">9 </w:t>
      </w:r>
      <w:r>
        <w:t xml:space="preserve">He did not do thus to every nation, and his judgments he did not show to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148</w:t>
      </w:r>
    </w:p>
    <w:p>
      <w:r>
        <w:rPr>
          <w:b/>
        </w:rPr>
        <w:t xml:space="preserve">1 </w:t>
      </w:r>
      <w:r>
        <w:rPr>
          <w:i/>
        </w:rPr>
        <w:t xml:space="preserve">Alleluia. Of Haggai and Zechariah.</w:t>
      </w:r>
      <w:r>
        <w:br/>
      </w:r>
      <w:r>
        <w:t xml:space="preserve">Praise the Lord from heavens; praise him in highest places.</w:t>
      </w:r>
    </w:p>
    <w:p>
      <w:r>
        <w:rPr>
          <w:b/>
        </w:rPr>
        <w:t xml:space="preserve">2 </w:t>
      </w:r>
      <w:r>
        <w:t xml:space="preserve">Praise him, all his angels</w:t>
      </w:r>
      <w:r>
        <w:rPr>
          <w:rStyle w:val="FootnoteReference"/>
        </w:rPr>
        <w:footnoteReference w:id="10664"/>
      </w:r>
      <w:r>
        <w:t xml:space="preserve">; praise him, all his powers.</w:t>
      </w:r>
    </w:p>
    <w:p>
      <w:r>
        <w:rPr>
          <w:b/>
        </w:rPr>
        <w:t xml:space="preserve">3 </w:t>
      </w:r>
      <w:r>
        <w:t xml:space="preserve">Praise him, sun and moon; praise him, all stars and light.</w:t>
      </w:r>
    </w:p>
    <w:p>
      <w:r>
        <w:rPr>
          <w:b/>
        </w:rPr>
        <w:t xml:space="preserve">4 </w:t>
      </w:r>
      <w:r>
        <w:t xml:space="preserve">Praise him, heavens</w:t>
      </w:r>
      <w:r>
        <w:rPr>
          <w:rStyle w:val="FootnoteReference"/>
        </w:rPr>
        <w:footnoteReference w:id="10665"/>
      </w:r>
      <w:r>
        <w:t xml:space="preserve"> of heavens, and water above heavens.</w:t>
      </w:r>
    </w:p>
    <w:p>
      <w:r>
        <w:rPr>
          <w:b/>
        </w:rPr>
        <w:t xml:space="preserve">5 </w:t>
      </w:r>
      <w:r>
        <w:t xml:space="preserve">Let them praise the name of the Lord, because he spoke and they came to be; he commanded and they were created.</w:t>
      </w:r>
    </w:p>
    <w:p>
      <w:r>
        <w:rPr>
          <w:b/>
        </w:rPr>
        <w:t xml:space="preserve">6 </w:t>
      </w:r>
      <w:r>
        <w:t xml:space="preserve">He established them forever and forever of age; ordinance he set, and it will not pass away.</w:t>
      </w:r>
    </w:p>
    <w:p>
      <w:r>
        <w:rPr>
          <w:b/>
        </w:rPr>
        <w:t xml:space="preserve">7 </w:t>
      </w:r>
      <w:r>
        <w:t xml:space="preserve">Praise the Lord from earth, dragons and all deeps.</w:t>
      </w:r>
    </w:p>
    <w:p>
      <w:r>
        <w:rPr>
          <w:b/>
        </w:rPr>
        <w:t xml:space="preserve">8 </w:t>
      </w:r>
      <w:r>
        <w:t xml:space="preserve">Fire</w:t>
      </w:r>
      <w:r>
        <w:rPr>
          <w:rStyle w:val="FootnoteReference"/>
        </w:rPr>
        <w:footnoteReference w:id="10666"/>
      </w:r>
      <w:r>
        <w:t xml:space="preserve">, hail, snow, ice, spirit of storm, things doing his word.</w:t>
      </w:r>
    </w:p>
    <w:p>
      <w:r>
        <w:rPr>
          <w:b/>
        </w:rPr>
        <w:t xml:space="preserve">9 </w:t>
      </w:r>
      <w:r>
        <w:t xml:space="preserve">Mountains</w:t>
      </w:r>
      <w:r>
        <w:rPr>
          <w:rStyle w:val="FootnoteReference"/>
        </w:rPr>
        <w:footnoteReference w:id="10667"/>
      </w:r>
      <w:r>
        <w:t xml:space="preserve"> and all hills, fruit trees and all cedars.</w:t>
      </w:r>
    </w:p>
    <w:p>
      <w:r>
        <w:rPr>
          <w:b/>
        </w:rPr>
        <w:t xml:space="preserve">10 </w:t>
      </w:r>
      <w:r>
        <w:t xml:space="preserve">Wild beasts</w:t>
      </w:r>
      <w:r>
        <w:rPr>
          <w:rStyle w:val="FootnoteReference"/>
        </w:rPr>
        <w:footnoteReference w:id="10668"/>
      </w:r>
      <w:r>
        <w:t xml:space="preserve"> and all cattle, creeping things and winged birds.</w:t>
      </w:r>
    </w:p>
    <w:p>
      <w:r>
        <w:rPr>
          <w:b/>
        </w:rPr>
        <w:t xml:space="preserve">11 </w:t>
      </w:r>
      <w:r>
        <w:t xml:space="preserve">The kings</w:t>
      </w:r>
      <w:r>
        <w:rPr>
          <w:rStyle w:val="FootnoteReference"/>
        </w:rPr>
        <w:footnoteReference w:id="10669"/>
      </w:r>
      <w:r>
        <w:t xml:space="preserve"> of the earth and all peoples, rulers and all judges of earth.</w:t>
      </w:r>
    </w:p>
    <w:p>
      <w:r>
        <w:rPr>
          <w:b/>
        </w:rPr>
        <w:t xml:space="preserve">12 </w:t>
      </w:r>
      <w:r>
        <w:t xml:space="preserve">Young men</w:t>
      </w:r>
      <w:r>
        <w:rPr>
          <w:rStyle w:val="FootnoteReference"/>
        </w:rPr>
        <w:footnoteReference w:id="10670"/>
      </w:r>
      <w:r>
        <w:t xml:space="preserve"> and virgins, elders with younger ones.</w:t>
      </w:r>
    </w:p>
    <w:p>
      <w:r>
        <w:rPr>
          <w:b/>
        </w:rPr>
        <w:t xml:space="preserve">13 </w:t>
      </w:r>
      <w:r>
        <w:t xml:space="preserve">Let them praise the name of the Lord, because his name alone was exalted; his praise upon earth and heaven.</w:t>
      </w:r>
    </w:p>
    <w:p>
      <w:r>
        <w:rPr>
          <w:b/>
        </w:rPr>
        <w:t xml:space="preserve">14 </w:t>
      </w:r>
      <w:r>
        <w:t xml:space="preserve">And he will exalt horn of his people, hymn for all his holy ones, sons of Israel, people drawing near to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149</w:t>
      </w:r>
    </w:p>
    <w:p>
      <w:r>
        <w:rPr>
          <w:b/>
        </w:rPr>
        <w:t xml:space="preserve">1 </w:t>
      </w:r>
      <w:r>
        <w:rPr>
          <w:i/>
        </w:rPr>
        <w:t xml:space="preserve">Alleluia.</w:t>
      </w:r>
      <w:r>
        <w:br/>
      </w:r>
      <w:r>
        <w:t xml:space="preserve">Sing</w:t>
      </w:r>
      <w:r>
        <w:rPr>
          <w:rStyle w:val="FootnoteReference"/>
        </w:rPr>
        <w:footnoteReference w:id="10671"/>
      </w:r>
      <w:r>
        <w:t xml:space="preserve"> to the Lord new song; his praise in the assembly of holy ones.</w:t>
      </w:r>
    </w:p>
    <w:p>
      <w:r>
        <w:rPr>
          <w:b/>
        </w:rPr>
        <w:t xml:space="preserve">2 </w:t>
      </w:r>
      <w:r>
        <w:t xml:space="preserve">Let Israel rejoice</w:t>
      </w:r>
      <w:r>
        <w:rPr>
          <w:rStyle w:val="FootnoteReference"/>
        </w:rPr>
        <w:footnoteReference w:id="10672"/>
      </w:r>
      <w:r>
        <w:t xml:space="preserve"> over one making him, and sons of Zion exult over their king.</w:t>
      </w:r>
    </w:p>
    <w:p>
      <w:r>
        <w:rPr>
          <w:b/>
        </w:rPr>
        <w:t xml:space="preserve">3 </w:t>
      </w:r>
      <w:r>
        <w:t xml:space="preserve">Let them praise his name in dance; with tambourine and psaltery let them sing psalms to him.</w:t>
      </w:r>
    </w:p>
    <w:p>
      <w:r>
        <w:rPr>
          <w:b/>
        </w:rPr>
        <w:t xml:space="preserve">4 </w:t>
      </w:r>
      <w:r>
        <w:t xml:space="preserve">Because the Lord delights in his people and will exalt meek ones in salvation.</w:t>
      </w:r>
    </w:p>
    <w:p>
      <w:r>
        <w:rPr>
          <w:b/>
        </w:rPr>
        <w:t xml:space="preserve">5 </w:t>
      </w:r>
      <w:r>
        <w:t xml:space="preserve">Holy ones will boast in glory and exult on their beds.</w:t>
      </w:r>
    </w:p>
    <w:p>
      <w:r>
        <w:rPr>
          <w:b/>
        </w:rPr>
        <w:t xml:space="preserve">6 </w:t>
      </w:r>
      <w:r>
        <w:t xml:space="preserve">The exaltations of God in their throat and two-edged swords in their hands,</w:t>
      </w:r>
    </w:p>
    <w:p>
      <w:r>
        <w:rPr>
          <w:b/>
        </w:rPr>
        <w:t xml:space="preserve">7 </w:t>
      </w:r>
      <w:r>
        <w:t xml:space="preserve">to do vengeance among nations, reproofs among peoples,</w:t>
      </w:r>
    </w:p>
    <w:p>
      <w:r>
        <w:rPr>
          <w:b/>
        </w:rPr>
        <w:t xml:space="preserve">8 </w:t>
      </w:r>
      <w:r>
        <w:t xml:space="preserve">to bind their kings in fetters and their glorious ones in iron handcuffs,</w:t>
      </w:r>
    </w:p>
    <w:p>
      <w:r>
        <w:rPr>
          <w:b/>
        </w:rPr>
        <w:t xml:space="preserve">9 </w:t>
      </w:r>
      <w:r>
        <w:t xml:space="preserve">to do among them judgment written. This glory for all his holy ones.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150</w:t>
      </w:r>
    </w:p>
    <w:p>
      <w:r>
        <w:rPr>
          <w:b/>
        </w:rPr>
        <w:t xml:space="preserve">1 </w:t>
      </w:r>
      <w:r>
        <w:rPr>
          <w:i/>
        </w:rPr>
        <w:t xml:space="preserve">Alleluia.</w:t>
      </w:r>
      <w:r>
        <w:br/>
      </w:r>
      <w:r>
        <w:t xml:space="preserve">Praise God in his holy ones; praise him in firmament of his power.</w:t>
      </w:r>
    </w:p>
    <w:p>
      <w:r>
        <w:rPr>
          <w:b/>
        </w:rPr>
        <w:t xml:space="preserve">2 </w:t>
      </w:r>
      <w:r>
        <w:t xml:space="preserve">Praise him for his dominions; praise him according to the multitude of his greatness.</w:t>
      </w:r>
    </w:p>
    <w:p>
      <w:r>
        <w:rPr>
          <w:b/>
        </w:rPr>
        <w:t xml:space="preserve">3 </w:t>
      </w:r>
      <w:r>
        <w:t xml:space="preserve">Praise him with the sound</w:t>
      </w:r>
      <w:r>
        <w:rPr>
          <w:rStyle w:val="FootnoteReference"/>
        </w:rPr>
        <w:footnoteReference w:id="10673"/>
      </w:r>
      <w:r>
        <w:t xml:space="preserve"> of a trumpet; praise him in psaltery and lyre.</w:t>
      </w:r>
    </w:p>
    <w:p>
      <w:r>
        <w:rPr>
          <w:b/>
        </w:rPr>
        <w:t xml:space="preserve">4 </w:t>
      </w:r>
      <w:r>
        <w:t xml:space="preserve">Praise him in tambourine and dance</w:t>
      </w:r>
      <w:r>
        <w:rPr>
          <w:rStyle w:val="FootnoteReference"/>
        </w:rPr>
        <w:footnoteReference w:id="10674"/>
      </w:r>
      <w:r>
        <w:t xml:space="preserve">; praise him in strings and instrument.</w:t>
      </w:r>
    </w:p>
    <w:p>
      <w:r>
        <w:rPr>
          <w:b/>
        </w:rPr>
        <w:t xml:space="preserve">5 </w:t>
      </w:r>
      <w:r>
        <w:t xml:space="preserve">Praise him in clear-sounding cymbals; praise him in cymbals of shout.</w:t>
      </w:r>
    </w:p>
    <w:p>
      <w:r>
        <w:rPr>
          <w:b/>
        </w:rPr>
        <w:t xml:space="preserve">6 </w:t>
      </w:r>
      <w:r>
        <w:t xml:space="preserve">Every breath let it praise the Lord. Alleluia.</w:t>
      </w:r>
    </w:p>
    <w:p>
      <w:r>
        <w:br w:type="page"/>
      </w:r>
    </w:p>
    <w:p>
      <w:pPr>
        <w:pStyle w:val="Heading1"/>
      </w:pPr>
      <w:r>
        <w:t xml:space="preserve">Proverbs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Proverbs</w:t>
      </w:r>
      <w:r>
        <w:rPr>
          <w:rStyle w:val="FootnoteReference"/>
        </w:rPr>
        <w:footnoteReference w:id="10675"/>
      </w:r>
      <w:r>
        <w:t xml:space="preserve"> of Solomon son of David, who reigned in Israel.</w:t>
      </w:r>
    </w:p>
    <w:p>
      <w:r>
        <w:rPr>
          <w:b/>
        </w:rPr>
        <w:t xml:space="preserve">2 </w:t>
      </w:r>
      <w:r>
        <w:t xml:space="preserve">To know wisdom and discipline, and to understand words of insight.</w:t>
      </w:r>
    </w:p>
    <w:p>
      <w:r>
        <w:rPr>
          <w:b/>
        </w:rPr>
        <w:t xml:space="preserve">3 </w:t>
      </w:r>
      <w:r>
        <w:t xml:space="preserve">To receive</w:t>
      </w:r>
      <w:r>
        <w:rPr>
          <w:rStyle w:val="FootnoteReference"/>
        </w:rPr>
        <w:footnoteReference w:id="10676"/>
      </w:r>
      <w:r>
        <w:t xml:space="preserve"> turnings of words, and to understand true righteousness and judgment, and to direct judgment.</w:t>
      </w:r>
    </w:p>
    <w:p>
      <w:r>
        <w:rPr>
          <w:b/>
        </w:rPr>
        <w:t xml:space="preserve">4 </w:t>
      </w:r>
      <w:r>
        <w:t xml:space="preserve">So that I may give shrewdness to innocent ones, and to child, young perception and understanding.</w:t>
      </w:r>
    </w:p>
    <w:p>
      <w:r>
        <w:rPr>
          <w:b/>
        </w:rPr>
        <w:t xml:space="preserve">5 </w:t>
      </w:r>
      <w:r>
        <w:t xml:space="preserve">For hearing these, wise</w:t>
      </w:r>
      <w:r>
        <w:rPr>
          <w:rStyle w:val="FootnoteReference"/>
        </w:rPr>
        <w:footnoteReference w:id="10677"/>
      </w:r>
      <w:r>
        <w:t xml:space="preserve"> will become wiser, and understanding man will acquire guidance.</w:t>
      </w:r>
    </w:p>
    <w:p>
      <w:r>
        <w:rPr>
          <w:b/>
        </w:rPr>
        <w:t xml:space="preserve">6 </w:t>
      </w:r>
      <w:r>
        <w:t xml:space="preserve">And he will understand proverb and dark</w:t>
      </w:r>
      <w:r>
        <w:rPr>
          <w:rStyle w:val="FootnoteReference"/>
        </w:rPr>
        <w:footnoteReference w:id="10678"/>
      </w:r>
      <w:r>
        <w:t xml:space="preserve"> saying, sayings of wise and riddles.</w:t>
      </w:r>
    </w:p>
    <w:p>
      <w:r>
        <w:rPr>
          <w:b/>
        </w:rPr>
        <w:t xml:space="preserve">7 </w:t>
      </w:r>
      <w:r>
        <w:t xml:space="preserve">The beginning of wisdom is fear</w:t>
      </w:r>
      <w:r>
        <w:rPr>
          <w:rStyle w:val="FootnoteReference"/>
        </w:rPr>
        <w:footnoteReference w:id="10679"/>
      </w:r>
      <w:r>
        <w:t xml:space="preserve"> of God; good understanding for all doing it; piety toward God beginning of perception, but the ungodly will despise wisdom and discipline.</w:t>
      </w:r>
      <w:r>
        <w:rPr>
          <w:rStyle w:val="FootnoteReference"/>
        </w:rPr>
        <w:footnoteReference w:id="10680"/>
      </w:r>
    </w:p>
    <w:p>
      <w:r>
        <w:rPr>
          <w:b/>
        </w:rPr>
        <w:t xml:space="preserve">8 </w:t>
      </w:r>
      <w:r>
        <w:t xml:space="preserve">Hear</w:t>
      </w:r>
      <w:r>
        <w:rPr>
          <w:rStyle w:val="FootnoteReference"/>
        </w:rPr>
        <w:footnoteReference w:id="10681"/>
      </w:r>
      <w:r>
        <w:t xml:space="preserve">, son, discipline of your father, and do not reject decrees of your mother.</w:t>
      </w:r>
    </w:p>
    <w:p>
      <w:r>
        <w:rPr>
          <w:b/>
        </w:rPr>
        <w:t xml:space="preserve">9 </w:t>
      </w:r>
      <w:r>
        <w:t xml:space="preserve">For you will receive crown of graces for your head and golden chain around your neck.</w:t>
      </w:r>
    </w:p>
    <w:p>
      <w:r>
        <w:rPr>
          <w:b/>
        </w:rPr>
        <w:t xml:space="preserve">10 </w:t>
      </w:r>
      <w:r>
        <w:t xml:space="preserve">Son, let ungodly men not lead you astray, nor be willing if they urge you, saying,</w:t>
      </w:r>
    </w:p>
    <w:p>
      <w:r>
        <w:rPr>
          <w:b/>
        </w:rPr>
        <w:t xml:space="preserve">11 </w:t>
      </w:r>
      <w:r>
        <w:t xml:space="preserve">"Come with us, share blood; let us hide in earth a righteous man unjustly.</w:t>
      </w:r>
      <w:r>
        <w:rPr>
          <w:rStyle w:val="FootnoteReference"/>
        </w:rPr>
        <w:footnoteReference w:id="10682"/>
      </w:r>
      <w:r>
        <w:t xml:space="preserve"/>
      </w:r>
    </w:p>
    <w:p>
      <w:r>
        <w:rPr>
          <w:b/>
        </w:rPr>
        <w:t xml:space="preserve">12 </w:t>
      </w:r>
      <w:r>
        <w:t xml:space="preserve">Let us swallow</w:t>
      </w:r>
      <w:r>
        <w:rPr>
          <w:rStyle w:val="FootnoteReference"/>
        </w:rPr>
        <w:footnoteReference w:id="10683"/>
      </w:r>
      <w:r>
        <w:t xml:space="preserve"> him alive like Hades, and lift his memory from earth.</w:t>
      </w:r>
    </w:p>
    <w:p>
      <w:r>
        <w:rPr>
          <w:b/>
        </w:rPr>
        <w:t xml:space="preserve">13 </w:t>
      </w:r>
      <w:r>
        <w:t xml:space="preserve">Let us seize his costly possession and fill our houses with spoils.</w:t>
      </w:r>
    </w:p>
    <w:p>
      <w:r>
        <w:rPr>
          <w:b/>
        </w:rPr>
        <w:t xml:space="preserve">14 </w:t>
      </w:r>
      <w:r>
        <w:t xml:space="preserve">Throw your lot in among us; let us all get common purse, and let one pouch be among us."</w:t>
      </w:r>
    </w:p>
    <w:p>
      <w:r>
        <w:rPr>
          <w:b/>
        </w:rPr>
        <w:t xml:space="preserve">15 </w:t>
      </w:r>
      <w:r>
        <w:t xml:space="preserve">Do not go in way with them; turn your foot away from their tracks.</w:t>
      </w:r>
    </w:p>
    <w:p>
      <w:r>
        <w:rPr>
          <w:b/>
        </w:rPr>
        <w:t xml:space="preserve">16 </w:t>
      </w:r>
      <w:r>
        <w:t xml:space="preserve">For their feet run to evil and swift to pour out blood.</w:t>
      </w:r>
    </w:p>
    <w:p>
      <w:r>
        <w:rPr>
          <w:b/>
        </w:rPr>
        <w:t xml:space="preserve">17 </w:t>
      </w:r>
      <w:r>
        <w:t xml:space="preserve">For not for nothing are nets spread for winged creatures.</w:t>
      </w:r>
    </w:p>
    <w:p>
      <w:r>
        <w:rPr>
          <w:b/>
        </w:rPr>
        <w:t xml:space="preserve">18 </w:t>
      </w:r>
      <w:r>
        <w:t xml:space="preserve">For these sharing in murder store up evils for themselves, and destruction of lawless men evil.</w:t>
      </w:r>
    </w:p>
    <w:p>
      <w:r>
        <w:rPr>
          <w:b/>
        </w:rPr>
        <w:t xml:space="preserve">19 </w:t>
      </w:r>
      <w:r>
        <w:t xml:space="preserve">These ways of all carrying out lawless things, for by ungodliness they take away their own soul.</w:t>
      </w:r>
    </w:p>
    <w:p>
      <w:r>
        <w:rPr>
          <w:b/>
        </w:rPr>
        <w:t xml:space="preserve">20 </w:t>
      </w:r>
      <w:r>
        <w:t xml:space="preserve">Wisdom</w:t>
      </w:r>
      <w:r>
        <w:rPr>
          <w:rStyle w:val="FootnoteReference"/>
        </w:rPr>
        <w:footnoteReference w:id="10684"/>
      </w:r>
      <w:r>
        <w:t xml:space="preserve"> is hymned in exits, and in broad places she leads boldness.</w:t>
      </w:r>
    </w:p>
    <w:p>
      <w:r>
        <w:rPr>
          <w:b/>
        </w:rPr>
        <w:t xml:space="preserve">21 </w:t>
      </w:r>
      <w:r>
        <w:t xml:space="preserve">Upon heights of walls she is proclaimed, and beside the gates of rulers she sits, and beside the gates of the city, speaking boldly, says,</w:t>
      </w:r>
    </w:p>
    <w:p>
      <w:r>
        <w:rPr>
          <w:b/>
        </w:rPr>
        <w:t xml:space="preserve">22 </w:t>
      </w:r>
      <w:r>
        <w:t xml:space="preserve">"As long as innocent ones hold to righteousness, they will not be shamed; but fools</w:t>
      </w:r>
      <w:r>
        <w:rPr>
          <w:rStyle w:val="FootnoteReference"/>
        </w:rPr>
        <w:footnoteReference w:id="10685"/>
      </w:r>
      <w:r>
        <w:t xml:space="preserve">, being desirers of insolence, becoming ungodly, hated perception.</w:t>
      </w:r>
    </w:p>
    <w:p>
      <w:r>
        <w:rPr>
          <w:b/>
        </w:rPr>
        <w:t xml:space="preserve">23 </w:t>
      </w:r>
      <w:r>
        <w:t xml:space="preserve">And they became liable to rebukes. Behold</w:t>
      </w:r>
      <w:r>
        <w:rPr>
          <w:rStyle w:val="FootnoteReference"/>
        </w:rPr>
        <w:footnoteReference w:id="10686"/>
      </w:r>
      <w:r>
        <w:t xml:space="preserve">, I will bring forth for you utterance of my spirit, and teach you my word.</w:t>
      </w:r>
    </w:p>
    <w:p>
      <w:r>
        <w:rPr>
          <w:b/>
        </w:rPr>
        <w:t xml:space="preserve">24 </w:t>
      </w:r>
      <w:r>
        <w:t xml:space="preserve">Since I called and you did not heed, and I stretched</w:t>
      </w:r>
      <w:r>
        <w:rPr>
          <w:rStyle w:val="FootnoteReference"/>
        </w:rPr>
        <w:footnoteReference w:id="10687"/>
      </w:r>
      <w:r>
        <w:t xml:space="preserve"> out words and you did not attend,</w:t>
      </w:r>
    </w:p>
    <w:p>
      <w:r>
        <w:rPr>
          <w:b/>
        </w:rPr>
        <w:t xml:space="preserve">25 </w:t>
      </w:r>
      <w:r>
        <w:t xml:space="preserve">but you kept making my counsels invalid, and to my rebukes disobeyed,</w:t>
      </w:r>
    </w:p>
    <w:p>
      <w:r>
        <w:rPr>
          <w:b/>
        </w:rPr>
        <w:t xml:space="preserve">26 </w:t>
      </w:r>
      <w:r>
        <w:t xml:space="preserve">therefore I too will laugh at your ruin and rejoice when destruction comes to you,</w:t>
      </w:r>
    </w:p>
    <w:p>
      <w:r>
        <w:rPr>
          <w:b/>
        </w:rPr>
        <w:t xml:space="preserve">27 </w:t>
      </w:r>
      <w:r>
        <w:t xml:space="preserve">and when sudden turmoil comes upon you, and downfall comes like a storm, and when affliction and siege or destruction comes upon you.</w:t>
      </w:r>
    </w:p>
    <w:p>
      <w:r>
        <w:rPr>
          <w:b/>
        </w:rPr>
        <w:t xml:space="preserve">28 </w:t>
      </w:r>
      <w:r>
        <w:t xml:space="preserve">For it will be when you call on me, I will not hear you; evil men will seek me and not find.</w:t>
      </w:r>
    </w:p>
    <w:p>
      <w:r>
        <w:rPr>
          <w:b/>
        </w:rPr>
        <w:t xml:space="preserve">29 </w:t>
      </w:r>
      <w:r>
        <w:t xml:space="preserve">For they hated wisdom, and the fear of the Lord they did not choose.</w:t>
      </w:r>
    </w:p>
    <w:p>
      <w:r>
        <w:rPr>
          <w:b/>
        </w:rPr>
        <w:t xml:space="preserve">30 </w:t>
      </w:r>
      <w:r>
        <w:t xml:space="preserve">Nor were they willing to heed my counsels, and they sneered at my rebukes.</w:t>
      </w:r>
    </w:p>
    <w:p>
      <w:r>
        <w:rPr>
          <w:b/>
        </w:rPr>
        <w:t xml:space="preserve">31 </w:t>
      </w:r>
      <w:r>
        <w:t xml:space="preserve">Therefore they will eat fruits of their own way and be filled from their own ungodliness.</w:t>
      </w:r>
    </w:p>
    <w:p>
      <w:r>
        <w:rPr>
          <w:b/>
        </w:rPr>
        <w:t xml:space="preserve">32 </w:t>
      </w:r>
      <w:r>
        <w:t xml:space="preserve">For because they wronged simple ones, they will be killed, and scrutiny destroys ungodly.</w:t>
      </w:r>
    </w:p>
    <w:p>
      <w:r>
        <w:rPr>
          <w:b/>
        </w:rPr>
        <w:t xml:space="preserve">33 </w:t>
      </w:r>
      <w:r>
        <w:t xml:space="preserve">But one hearing me will settle in hope and rest fearless from every evil."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Son, if receiving saying of my command you hide</w:t>
      </w:r>
      <w:r>
        <w:rPr>
          <w:rStyle w:val="FootnoteReference"/>
        </w:rPr>
        <w:footnoteReference w:id="10688"/>
      </w:r>
      <w:r>
        <w:t xml:space="preserve"> it with yourself,</w:t>
      </w:r>
    </w:p>
    <w:p>
      <w:r>
        <w:rPr>
          <w:b/>
        </w:rPr>
        <w:t xml:space="preserve">2 </w:t>
      </w:r>
      <w:r>
        <w:t xml:space="preserve">your ear will obey wisdom, and you will apply</w:t>
      </w:r>
      <w:r>
        <w:rPr>
          <w:rStyle w:val="FootnoteReference"/>
        </w:rPr>
        <w:footnoteReference w:id="10689"/>
      </w:r>
      <w:r>
        <w:t xml:space="preserve"> your heart to understanding; yes, apply it as admonition for your son.</w:t>
      </w:r>
    </w:p>
    <w:p>
      <w:r>
        <w:rPr>
          <w:b/>
        </w:rPr>
        <w:t xml:space="preserve">3 </w:t>
      </w:r>
      <w:r>
        <w:t xml:space="preserve">For if you call on wisdom and give your voice to understanding, and seek perception with loud voice,</w:t>
      </w:r>
    </w:p>
    <w:p>
      <w:r>
        <w:rPr>
          <w:b/>
        </w:rPr>
        <w:t xml:space="preserve">4 </w:t>
      </w:r>
      <w:r>
        <w:t xml:space="preserve">and if you seek it like silver and search it out like treasures,</w:t>
      </w:r>
    </w:p>
    <w:p>
      <w:r>
        <w:rPr>
          <w:b/>
        </w:rPr>
        <w:t xml:space="preserve">5 </w:t>
      </w:r>
      <w:r>
        <w:t xml:space="preserve">then you will understand the fear</w:t>
      </w:r>
      <w:r>
        <w:rPr>
          <w:rStyle w:val="FootnoteReference"/>
        </w:rPr>
        <w:footnoteReference w:id="10690"/>
      </w:r>
      <w:r>
        <w:t xml:space="preserve"> of the Lord and find knowledge of God.</w:t>
      </w:r>
    </w:p>
    <w:p>
      <w:r>
        <w:rPr>
          <w:b/>
        </w:rPr>
        <w:t xml:space="preserve">6 </w:t>
      </w:r>
      <w:r>
        <w:t xml:space="preserve">Because the Lord</w:t>
      </w:r>
      <w:r>
        <w:rPr>
          <w:rStyle w:val="FootnoteReference"/>
        </w:rPr>
        <w:footnoteReference w:id="10691"/>
      </w:r>
      <w:r>
        <w:t xml:space="preserve"> gives wisdom, and from his face knowledge and understanding.</w:t>
      </w:r>
    </w:p>
    <w:p>
      <w:r>
        <w:rPr>
          <w:b/>
        </w:rPr>
        <w:t xml:space="preserve">7 </w:t>
      </w:r>
      <w:r>
        <w:t xml:space="preserve">And he treasures up salvation for those walking straight; he will shield their journey,</w:t>
      </w:r>
    </w:p>
    <w:p>
      <w:r>
        <w:rPr>
          <w:b/>
        </w:rPr>
        <w:t xml:space="preserve">8 </w:t>
      </w:r>
      <w:r>
        <w:t xml:space="preserve">to guard ways of ordinances, and he will preserve way of those revering him.</w:t>
      </w:r>
    </w:p>
    <w:p>
      <w:r>
        <w:rPr>
          <w:b/>
        </w:rPr>
        <w:t xml:space="preserve">9 </w:t>
      </w:r>
      <w:r>
        <w:t xml:space="preserve">Then you will understand righteousness and judgment, and you will straighten all good tracks.</w:t>
      </w:r>
    </w:p>
    <w:p>
      <w:r>
        <w:rPr>
          <w:b/>
        </w:rPr>
        <w:t xml:space="preserve">10 </w:t>
      </w:r>
      <w:r>
        <w:t xml:space="preserve">For if wisdom comes into your mind and perception seems good to your soul,</w:t>
      </w:r>
    </w:p>
    <w:p>
      <w:r>
        <w:rPr>
          <w:b/>
        </w:rPr>
        <w:t xml:space="preserve">11 </w:t>
      </w:r>
      <w:r>
        <w:t xml:space="preserve">good counsel will guard you, and holy thought will keep you,</w:t>
      </w:r>
    </w:p>
    <w:p>
      <w:r>
        <w:rPr>
          <w:b/>
        </w:rPr>
        <w:t xml:space="preserve">12 </w:t>
      </w:r>
      <w:r>
        <w:t xml:space="preserve">to rescue you from evil way and from man speaking nothing trustworthy,</w:t>
      </w:r>
    </w:p>
    <w:p>
      <w:r>
        <w:rPr>
          <w:b/>
        </w:rPr>
        <w:t xml:space="preserve">13 </w:t>
      </w:r>
      <w:r>
        <w:t xml:space="preserve">those abandoning straight ways to walk</w:t>
      </w:r>
      <w:r>
        <w:rPr>
          <w:rStyle w:val="FootnoteReference"/>
        </w:rPr>
        <w:footnoteReference w:id="10692"/>
      </w:r>
      <w:r>
        <w:t xml:space="preserve"> in the ways of darkness,</w:t>
      </w:r>
    </w:p>
    <w:p>
      <w:r>
        <w:rPr>
          <w:b/>
        </w:rPr>
        <w:t xml:space="preserve">14 </w:t>
      </w:r>
      <w:r>
        <w:t xml:space="preserve">those rejoicing over evils and delighting in evil perversity,</w:t>
      </w:r>
    </w:p>
    <w:p>
      <w:r>
        <w:rPr>
          <w:b/>
        </w:rPr>
        <w:t xml:space="preserve">15 </w:t>
      </w:r>
      <w:r>
        <w:t xml:space="preserve">whose tracks crooked and their paths bent,</w:t>
      </w:r>
    </w:p>
    <w:p>
      <w:r>
        <w:rPr>
          <w:b/>
        </w:rPr>
        <w:t xml:space="preserve">16 </w:t>
      </w:r>
      <w:r>
        <w:t xml:space="preserve">to make you far from straight way and alien to righteous judgment.</w:t>
      </w:r>
    </w:p>
    <w:p>
      <w:r>
        <w:rPr>
          <w:b/>
        </w:rPr>
        <w:t xml:space="preserve">17 </w:t>
      </w:r>
      <w:r>
        <w:t xml:space="preserve">Son, let evil counsel not overtake you, that which leaves teaching of youth and has forgotten divine covenant.</w:t>
      </w:r>
    </w:p>
    <w:p>
      <w:r>
        <w:rPr>
          <w:b/>
        </w:rPr>
        <w:t xml:space="preserve">18 </w:t>
      </w:r>
      <w:r>
        <w:t xml:space="preserve">For she set her house beside death, and her tracks beside Hades with earthborn men.</w:t>
      </w:r>
    </w:p>
    <w:p>
      <w:r>
        <w:rPr>
          <w:b/>
        </w:rPr>
        <w:t xml:space="preserve">19 </w:t>
      </w:r>
      <w:r>
        <w:t xml:space="preserve">All going in to her will not return, nor ever catch straight paths, for they are not seized by years of life.</w:t>
      </w:r>
    </w:p>
    <w:p>
      <w:r>
        <w:rPr>
          <w:b/>
        </w:rPr>
        <w:t xml:space="preserve">20 </w:t>
      </w:r>
      <w:r>
        <w:t xml:space="preserve">For if they had walked paths of good, they would have found smooth tracks of righteousness.</w:t>
      </w:r>
    </w:p>
    <w:p>
      <w:r>
        <w:rPr>
          <w:b/>
        </w:rPr>
        <w:t xml:space="preserve">21 </w:t>
      </w:r>
      <w:r>
        <w:t xml:space="preserve">The good ones will inhabit the earth, and the innocent ones remain in it, for the straight ones will settle in the earth and the holy ones remain in it.</w:t>
      </w:r>
    </w:p>
    <w:p>
      <w:r>
        <w:rPr>
          <w:b/>
        </w:rPr>
        <w:t xml:space="preserve">22 </w:t>
      </w:r>
      <w:r>
        <w:t xml:space="preserve">The ways of the ungodly will perish from earth, and lawless men will be thrust out from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Son, do not forget</w:t>
      </w:r>
      <w:r>
        <w:rPr>
          <w:rStyle w:val="FootnoteReference"/>
        </w:rPr>
        <w:footnoteReference w:id="10693"/>
      </w:r>
      <w:r>
        <w:t xml:space="preserve"> my laws, and let your heart keep my sayings.</w:t>
      </w:r>
    </w:p>
    <w:p>
      <w:r>
        <w:rPr>
          <w:b/>
        </w:rPr>
        <w:t xml:space="preserve">2 </w:t>
      </w:r>
      <w:r>
        <w:t xml:space="preserve">For the length</w:t>
      </w:r>
      <w:r>
        <w:rPr>
          <w:rStyle w:val="FootnoteReference"/>
        </w:rPr>
        <w:footnoteReference w:id="10694"/>
      </w:r>
      <w:r>
        <w:t xml:space="preserve"> of life and years of life and peace they will add to you.</w:t>
      </w:r>
    </w:p>
    <w:p>
      <w:r>
        <w:rPr>
          <w:b/>
        </w:rPr>
        <w:t xml:space="preserve">3 </w:t>
      </w:r>
      <w:r>
        <w:t xml:space="preserve">Acts of mercy</w:t>
      </w:r>
      <w:r>
        <w:rPr>
          <w:rStyle w:val="FootnoteReference"/>
        </w:rPr>
        <w:footnoteReference w:id="10695"/>
      </w:r>
      <w:r>
        <w:t xml:space="preserve"> and faithfulness let them not fail you; fasten them on your neck, and you will find favor.</w:t>
      </w:r>
    </w:p>
    <w:p>
      <w:r>
        <w:rPr>
          <w:b/>
        </w:rPr>
        <w:t xml:space="preserve">4 </w:t>
      </w:r>
      <w:r>
        <w:t xml:space="preserve">And plan good things before the Lord and men.</w:t>
      </w:r>
    </w:p>
    <w:p>
      <w:r>
        <w:rPr>
          <w:b/>
        </w:rPr>
        <w:t xml:space="preserve">5 </w:t>
      </w:r>
      <w:r>
        <w:t xml:space="preserve">Be trusting in God with all your heart</w:t>
      </w:r>
      <w:r>
        <w:rPr>
          <w:rStyle w:val="FootnoteReference"/>
        </w:rPr>
        <w:footnoteReference w:id="10696"/>
      </w:r>
      <w:r>
        <w:t xml:space="preserve">, and do not exalt yourself on your own wisdom.</w:t>
      </w:r>
    </w:p>
    <w:p>
      <w:r>
        <w:rPr>
          <w:b/>
        </w:rPr>
        <w:t xml:space="preserve">6 </w:t>
      </w:r>
      <w:r>
        <w:t xml:space="preserve">In all your ways know her, so that she may cut straight your ways, and your foot will not stumble.</w:t>
      </w:r>
    </w:p>
    <w:p>
      <w:r>
        <w:rPr>
          <w:b/>
        </w:rPr>
        <w:t xml:space="preserve">7 </w:t>
      </w:r>
      <w:r>
        <w:t xml:space="preserve">Do not be wise with yourself; fear</w:t>
      </w:r>
      <w:r>
        <w:rPr>
          <w:rStyle w:val="FootnoteReference"/>
        </w:rPr>
        <w:footnoteReference w:id="10697"/>
      </w:r>
      <w:r>
        <w:t xml:space="preserve"> God and turn from every evil.</w:t>
      </w:r>
    </w:p>
    <w:p>
      <w:r>
        <w:rPr>
          <w:b/>
        </w:rPr>
        <w:t xml:space="preserve">8 </w:t>
      </w:r>
      <w:r>
        <w:t xml:space="preserve">Then healing to your body and care to your bones.</w:t>
      </w:r>
    </w:p>
    <w:p>
      <w:r>
        <w:rPr>
          <w:b/>
        </w:rPr>
        <w:t xml:space="preserve">9 </w:t>
      </w:r>
      <w:r>
        <w:t xml:space="preserve">Honor the Lord from your righteous labors and offer firstfruits to him from the fruits of your righteousness</w:t>
      </w:r>
      <w:r>
        <w:rPr>
          <w:rStyle w:val="FootnoteReference"/>
        </w:rPr>
        <w:footnoteReference w:id="10698"/>
      </w:r>
      <w:r>
        <w:t xml:space="preserve">.</w:t>
      </w:r>
    </w:p>
    <w:p>
      <w:r>
        <w:rPr>
          <w:b/>
        </w:rPr>
        <w:t xml:space="preserve">10 </w:t>
      </w:r>
      <w:r>
        <w:t xml:space="preserve">So your storehouses may be filled with the fullness of grain, and your wine vats gush wine.</w:t>
      </w:r>
    </w:p>
    <w:p>
      <w:r>
        <w:rPr>
          <w:b/>
        </w:rPr>
        <w:t xml:space="preserve">11 </w:t>
      </w:r>
      <w:r>
        <w:t xml:space="preserve">Son, do not regard lightly discipline of the Lord, nor faint when reproved by him.</w:t>
      </w:r>
    </w:p>
    <w:p>
      <w:r>
        <w:rPr>
          <w:b/>
        </w:rPr>
        <w:t xml:space="preserve">12 </w:t>
      </w:r>
      <w:r>
        <w:t xml:space="preserve">For whom the Lord loves he disciplines, and he scourges every son whom he receives.</w:t>
      </w:r>
    </w:p>
    <w:p>
      <w:r>
        <w:rPr>
          <w:b/>
        </w:rPr>
        <w:t xml:space="preserve">13 </w:t>
      </w:r>
      <w:r>
        <w:t xml:space="preserve">Blessed is the</w:t>
      </w:r>
      <w:r>
        <w:rPr>
          <w:rStyle w:val="FootnoteReference"/>
        </w:rPr>
        <w:footnoteReference w:id="10699"/>
      </w:r>
      <w:r>
        <w:t xml:space="preserve"> man who found wisdom, and mortal who saw understanding.</w:t>
      </w:r>
    </w:p>
    <w:p>
      <w:r>
        <w:rPr>
          <w:b/>
        </w:rPr>
        <w:t xml:space="preserve">14 </w:t>
      </w:r>
      <w:r>
        <w:t xml:space="preserve">For to trade in her better than treasures of gold and silver.</w:t>
      </w:r>
    </w:p>
    <w:p>
      <w:r>
        <w:rPr>
          <w:b/>
        </w:rPr>
        <w:t xml:space="preserve">15 </w:t>
      </w:r>
      <w:r>
        <w:t xml:space="preserve">And she more</w:t>
      </w:r>
      <w:r>
        <w:rPr>
          <w:rStyle w:val="FootnoteReference"/>
        </w:rPr>
        <w:footnoteReference w:id="10700"/>
      </w:r>
      <w:r>
        <w:t xml:space="preserve"> valuable than precious stones; no evil thing will oppose her; she known by all drawing near to her, and every precious thing unworthy of her.</w:t>
      </w:r>
    </w:p>
    <w:p>
      <w:r>
        <w:rPr>
          <w:b/>
        </w:rPr>
        <w:t xml:space="preserve">16 </w:t>
      </w:r>
      <w:r>
        <w:t xml:space="preserve">For the length</w:t>
      </w:r>
      <w:r>
        <w:rPr>
          <w:rStyle w:val="FootnoteReference"/>
        </w:rPr>
        <w:footnoteReference w:id="10701"/>
      </w:r>
      <w:r>
        <w:t xml:space="preserve"> of life and years of life are in her right hand; in her left are riches and glory. From her mouth comes righteousness, and law and mercy she carries on her tongue</w:t>
      </w:r>
      <w:r>
        <w:rPr>
          <w:rStyle w:val="FootnoteReference"/>
        </w:rPr>
        <w:footnoteReference w:id="10702"/>
      </w:r>
      <w:r>
        <w:t xml:space="preserve">.</w:t>
      </w:r>
    </w:p>
    <w:p>
      <w:r>
        <w:rPr>
          <w:b/>
        </w:rPr>
        <w:t xml:space="preserve">17 </w:t>
      </w:r>
      <w:r>
        <w:t xml:space="preserve">Her ways good ways, and all her tracks in peace.</w:t>
      </w:r>
    </w:p>
    <w:p>
      <w:r>
        <w:rPr>
          <w:b/>
        </w:rPr>
        <w:t xml:space="preserve">18 </w:t>
      </w:r>
      <w:r>
        <w:t xml:space="preserve">Tree of life to all holding fast to her, and to those leaning upon her as on the Lord, secure.</w:t>
      </w:r>
    </w:p>
    <w:p>
      <w:r>
        <w:rPr>
          <w:b/>
        </w:rPr>
        <w:t xml:space="preserve">19 </w:t>
      </w:r>
      <w:r>
        <w:t xml:space="preserve">God founded earth by wisdom and prepared heavens by understanding.</w:t>
      </w:r>
    </w:p>
    <w:p>
      <w:r>
        <w:rPr>
          <w:b/>
        </w:rPr>
        <w:t xml:space="preserve">20 </w:t>
      </w:r>
      <w:r>
        <w:t xml:space="preserve">By perception deeps burst open, and clouds trickled dew.</w:t>
      </w:r>
    </w:p>
    <w:p>
      <w:r>
        <w:rPr>
          <w:b/>
        </w:rPr>
        <w:t xml:space="preserve">21 </w:t>
      </w:r>
      <w:r>
        <w:t xml:space="preserve">Son, do not drift away; keep</w:t>
      </w:r>
      <w:r>
        <w:rPr>
          <w:rStyle w:val="FootnoteReference"/>
        </w:rPr>
        <w:footnoteReference w:id="10703"/>
      </w:r>
      <w:r>
        <w:t xml:space="preserve"> my counsel and thought,</w:t>
      </w:r>
    </w:p>
    <w:p>
      <w:r>
        <w:rPr>
          <w:b/>
        </w:rPr>
        <w:t xml:space="preserve">22 </w:t>
      </w:r>
      <w:r>
        <w:t xml:space="preserve">so that your soul may live and grace</w:t>
      </w:r>
      <w:r>
        <w:rPr>
          <w:rStyle w:val="FootnoteReference"/>
        </w:rPr>
        <w:footnoteReference w:id="10704"/>
      </w:r>
      <w:r>
        <w:t xml:space="preserve"> be around your neck. And there will be healing for your flesh and care for your bones.</w:t>
      </w:r>
    </w:p>
    <w:p>
      <w:r>
        <w:rPr>
          <w:b/>
        </w:rPr>
        <w:t xml:space="preserve">23 </w:t>
      </w:r>
      <w:r>
        <w:t xml:space="preserve">So that you may walk confidently in peace all your ways, and your foot will not stumble.</w:t>
      </w:r>
    </w:p>
    <w:p>
      <w:r>
        <w:rPr>
          <w:b/>
        </w:rPr>
        <w:t xml:space="preserve">24 </w:t>
      </w:r>
      <w:r>
        <w:t xml:space="preserve">For if you sit, you will be fearless; if you sleep, you will sleep sweetly.</w:t>
      </w:r>
    </w:p>
    <w:p>
      <w:r>
        <w:rPr>
          <w:b/>
        </w:rPr>
        <w:t xml:space="preserve">25 </w:t>
      </w:r>
      <w:r>
        <w:t xml:space="preserve">And you will not fear terror coming, nor assaults of the ungodly when they come.</w:t>
      </w:r>
      <w:r>
        <w:rPr>
          <w:rStyle w:val="FootnoteReference"/>
        </w:rPr>
        <w:footnoteReference w:id="10705"/>
      </w:r>
      <w:r>
        <w:t xml:space="preserve"/>
      </w:r>
    </w:p>
    <w:p>
      <w:r>
        <w:rPr>
          <w:b/>
        </w:rPr>
        <w:t xml:space="preserve">26 </w:t>
      </w:r>
      <w:r>
        <w:t xml:space="preserve">For the Lord</w:t>
      </w:r>
      <w:r>
        <w:rPr>
          <w:rStyle w:val="FootnoteReference"/>
        </w:rPr>
        <w:footnoteReference w:id="10706"/>
      </w:r>
      <w:r>
        <w:t xml:space="preserve"> will be over all your ways and brace your foot so that it not be shaken.</w:t>
      </w:r>
    </w:p>
    <w:p>
      <w:r>
        <w:rPr>
          <w:b/>
        </w:rPr>
        <w:t xml:space="preserve">27 </w:t>
      </w:r>
      <w:r>
        <w:t xml:space="preserve">Do not withhold</w:t>
      </w:r>
      <w:r>
        <w:rPr>
          <w:rStyle w:val="FootnoteReference"/>
        </w:rPr>
        <w:footnoteReference w:id="10707"/>
      </w:r>
      <w:r>
        <w:t xml:space="preserve"> doing good to needy when your hand has power to help.</w:t>
      </w:r>
    </w:p>
    <w:p>
      <w:r>
        <w:rPr>
          <w:b/>
        </w:rPr>
        <w:t xml:space="preserve">28 </w:t>
      </w:r>
      <w:r>
        <w:t xml:space="preserve">Do not say, "Go, return, and tomorrow I will give," when you can do good, for you do not know what next day will bring forth.</w:t>
      </w:r>
    </w:p>
    <w:p>
      <w:r>
        <w:rPr>
          <w:b/>
        </w:rPr>
        <w:t xml:space="preserve">29 </w:t>
      </w:r>
      <w:r>
        <w:t xml:space="preserve">Do not contrive evils against your friend living nearby and trusting in you.</w:t>
      </w:r>
    </w:p>
    <w:p>
      <w:r>
        <w:rPr>
          <w:b/>
        </w:rPr>
        <w:t xml:space="preserve">30 </w:t>
      </w:r>
      <w:r>
        <w:t xml:space="preserve">Do not love strife with man for nothing, lest he work some evil against you.</w:t>
      </w:r>
    </w:p>
    <w:p>
      <w:r>
        <w:rPr>
          <w:b/>
        </w:rPr>
        <w:t xml:space="preserve">31 </w:t>
      </w:r>
      <w:r>
        <w:t xml:space="preserve">Do not gain reproaches of evil men, nor envy</w:t>
      </w:r>
      <w:r>
        <w:rPr>
          <w:rStyle w:val="FootnoteReference"/>
        </w:rPr>
        <w:footnoteReference w:id="10708"/>
      </w:r>
      <w:r>
        <w:t xml:space="preserve"> their ways.</w:t>
      </w:r>
    </w:p>
    <w:p>
      <w:r>
        <w:rPr>
          <w:b/>
        </w:rPr>
        <w:t xml:space="preserve">32 </w:t>
      </w:r>
      <w:r>
        <w:t xml:space="preserve">For every lawless man unclean before the Lord, and among righteous he does not sit in council.</w:t>
      </w:r>
    </w:p>
    <w:p>
      <w:r>
        <w:rPr>
          <w:b/>
        </w:rPr>
        <w:t xml:space="preserve">33 </w:t>
      </w:r>
      <w:r>
        <w:t xml:space="preserve">The curse</w:t>
      </w:r>
      <w:r>
        <w:rPr>
          <w:rStyle w:val="FootnoteReference"/>
        </w:rPr>
        <w:footnoteReference w:id="10709"/>
      </w:r>
      <w:r>
        <w:t xml:space="preserve"> of God in the houses of the ungodly, but dwellings of the righteous are blessed.</w:t>
      </w:r>
    </w:p>
    <w:p>
      <w:r>
        <w:rPr>
          <w:b/>
        </w:rPr>
        <w:t xml:space="preserve">34 </w:t>
      </w:r>
      <w:r>
        <w:t xml:space="preserve">The Lord opposes proud, but to humble he gives grace.</w:t>
      </w:r>
    </w:p>
    <w:p>
      <w:r>
        <w:rPr>
          <w:b/>
        </w:rPr>
        <w:t xml:space="preserve">35 </w:t>
      </w:r>
      <w:r>
        <w:t xml:space="preserve">The wise</w:t>
      </w:r>
      <w:r>
        <w:rPr>
          <w:rStyle w:val="FootnoteReference"/>
        </w:rPr>
        <w:footnoteReference w:id="10710"/>
      </w:r>
      <w:r>
        <w:t xml:space="preserve"> will inherit glory, but the ungodly exalt dishonor.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Hear, children, discipline of father, and pay attention to know understanding.</w:t>
      </w:r>
    </w:p>
    <w:p>
      <w:r>
        <w:rPr>
          <w:b/>
        </w:rPr>
        <w:t xml:space="preserve">2 </w:t>
      </w:r>
      <w:r>
        <w:t xml:space="preserve">For I give you good</w:t>
      </w:r>
      <w:r>
        <w:rPr>
          <w:rStyle w:val="FootnoteReference"/>
        </w:rPr>
        <w:footnoteReference w:id="10711"/>
      </w:r>
      <w:r>
        <w:t xml:space="preserve"> gift; do not forsake my law.</w:t>
      </w:r>
    </w:p>
    <w:p>
      <w:r>
        <w:rPr>
          <w:b/>
        </w:rPr>
        <w:t xml:space="preserve">3 </w:t>
      </w:r>
      <w:r>
        <w:t xml:space="preserve">For I also became son to my father, obedient and loved before my mother.</w:t>
      </w:r>
    </w:p>
    <w:p>
      <w:r>
        <w:rPr>
          <w:b/>
        </w:rPr>
        <w:t xml:space="preserve">4 </w:t>
      </w:r>
      <w:r>
        <w:t xml:space="preserve">They were saying and teaching me, "Let our word rest in your heart.</w:t>
      </w:r>
    </w:p>
    <w:p>
      <w:r>
        <w:rPr>
          <w:b/>
        </w:rPr>
        <w:t xml:space="preserve">5 </w:t>
      </w:r>
      <w:r>
        <w:t xml:space="preserve">Keep commandments, do not forget, nor disregard sayings of my mouth.</w:t>
      </w:r>
    </w:p>
    <w:p>
      <w:r>
        <w:rPr>
          <w:b/>
        </w:rPr>
        <w:t xml:space="preserve">6 </w:t>
      </w:r>
      <w:r>
        <w:t xml:space="preserve">Do not abandon her, and she will hold you; love</w:t>
      </w:r>
      <w:r>
        <w:rPr>
          <w:rStyle w:val="FootnoteReference"/>
        </w:rPr>
        <w:footnoteReference w:id="10712"/>
      </w:r>
      <w:r>
        <w:t xml:space="preserve"> her and she will keep you.</w:t>
      </w:r>
    </w:p>
    <w:p>
      <w:r>
        <w:rPr>
          <w:b/>
        </w:rPr>
        <w:t xml:space="preserve">8 </w:t>
      </w:r>
      <w:r>
        <w:t xml:space="preserve">Enclose her round about, and she will exalt you; honor her, so that she may embrace you.</w:t>
      </w:r>
    </w:p>
    <w:p>
      <w:r>
        <w:rPr>
          <w:b/>
        </w:rPr>
        <w:t xml:space="preserve">9 </w:t>
      </w:r>
      <w:r>
        <w:t xml:space="preserve">So that she may give</w:t>
      </w:r>
      <w:r>
        <w:rPr>
          <w:rStyle w:val="FootnoteReference"/>
        </w:rPr>
        <w:footnoteReference w:id="10713"/>
      </w:r>
      <w:r>
        <w:t xml:space="preserve"> your head crown of graces, and with crown of delight defend you.</w:t>
      </w:r>
    </w:p>
    <w:p>
      <w:r>
        <w:rPr>
          <w:b/>
        </w:rPr>
        <w:t xml:space="preserve">10 </w:t>
      </w:r>
      <w:r>
        <w:t xml:space="preserve">Hear, son, and receive my words, and years of your life will multiply, so that many ways of life may belong to you.</w:t>
      </w:r>
    </w:p>
    <w:p>
      <w:r>
        <w:rPr>
          <w:b/>
        </w:rPr>
        <w:t xml:space="preserve">11 </w:t>
      </w:r>
      <w:r>
        <w:t xml:space="preserve">For I teach you ways of wisdom and set you on straight tracks.</w:t>
      </w:r>
    </w:p>
    <w:p>
      <w:r>
        <w:rPr>
          <w:b/>
        </w:rPr>
        <w:t xml:space="preserve">12 </w:t>
      </w:r>
      <w:r>
        <w:t xml:space="preserve">For when you walk, your steps will not be confined; and if you run, you will not grow weary.</w:t>
      </w:r>
    </w:p>
    <w:p>
      <w:r>
        <w:rPr>
          <w:b/>
        </w:rPr>
        <w:t xml:space="preserve">13 </w:t>
      </w:r>
      <w:r>
        <w:t xml:space="preserve">Take</w:t>
      </w:r>
      <w:r>
        <w:rPr>
          <w:rStyle w:val="FootnoteReference"/>
        </w:rPr>
        <w:footnoteReference w:id="10714"/>
      </w:r>
      <w:r>
        <w:t xml:space="preserve"> hold of my discipline; do not let go, but guard it for yourself as your life.</w:t>
      </w:r>
    </w:p>
    <w:p>
      <w:r>
        <w:rPr>
          <w:b/>
        </w:rPr>
        <w:t xml:space="preserve">14 </w:t>
      </w:r>
      <w:r>
        <w:t xml:space="preserve">Do not go upon the ways of the ungodly, nor envy ways of lawless men.</w:t>
      </w:r>
      <w:r>
        <w:rPr>
          <w:rStyle w:val="FootnoteReference"/>
        </w:rPr>
        <w:footnoteReference w:id="10715"/>
      </w:r>
      <w:r>
        <w:t xml:space="preserve"/>
      </w:r>
    </w:p>
    <w:p>
      <w:r>
        <w:rPr>
          <w:b/>
        </w:rPr>
        <w:t xml:space="preserve">15 </w:t>
      </w:r>
      <w:r>
        <w:t xml:space="preserve">Wherever they camp, do not go there; turn aside from them and pass on.</w:t>
      </w:r>
    </w:p>
    <w:p>
      <w:r>
        <w:rPr>
          <w:b/>
        </w:rPr>
        <w:t xml:space="preserve">16 </w:t>
      </w:r>
      <w:r>
        <w:t xml:space="preserve">For they will not sleep unless they do evil; sleep is taken from them, and they do not lie down.</w:t>
      </w:r>
    </w:p>
    <w:p>
      <w:r>
        <w:rPr>
          <w:b/>
        </w:rPr>
        <w:t xml:space="preserve">17 </w:t>
      </w:r>
      <w:r>
        <w:t xml:space="preserve">For these feed on breads of ungodliness and get drunk on lawless wine.</w:t>
      </w:r>
    </w:p>
    <w:p>
      <w:r>
        <w:rPr>
          <w:b/>
        </w:rPr>
        <w:t xml:space="preserve">18 </w:t>
      </w:r>
      <w:r>
        <w:t xml:space="preserve">The ways of the righteous are like shining light; they go before and give light until day is fully set right.</w:t>
      </w:r>
    </w:p>
    <w:p>
      <w:r>
        <w:rPr>
          <w:b/>
        </w:rPr>
        <w:t xml:space="preserve">19 </w:t>
      </w:r>
      <w:r>
        <w:t xml:space="preserve">But the ways of the ungodly are dark; they do not know how they stumble.</w:t>
      </w:r>
    </w:p>
    <w:p>
      <w:r>
        <w:rPr>
          <w:b/>
        </w:rPr>
        <w:t xml:space="preserve">20 </w:t>
      </w:r>
      <w:r>
        <w:t xml:space="preserve">Son, pay attention to my saying; incline your ear to my words,</w:t>
      </w:r>
    </w:p>
    <w:p>
      <w:r>
        <w:rPr>
          <w:b/>
        </w:rPr>
        <w:t xml:space="preserve">21 </w:t>
      </w:r>
      <w:r>
        <w:t xml:space="preserve">so that your springs may not fail you; guard them in your heart.</w:t>
      </w:r>
    </w:p>
    <w:p>
      <w:r>
        <w:rPr>
          <w:b/>
        </w:rPr>
        <w:t xml:space="preserve">22 </w:t>
      </w:r>
      <w:r>
        <w:t xml:space="preserve">For they are life</w:t>
      </w:r>
      <w:r>
        <w:rPr>
          <w:rStyle w:val="FootnoteReference"/>
        </w:rPr>
        <w:footnoteReference w:id="10716"/>
      </w:r>
      <w:r>
        <w:t xml:space="preserve"> to those finding them and healing to all flesh.</w:t>
      </w:r>
    </w:p>
    <w:p>
      <w:r>
        <w:rPr>
          <w:b/>
        </w:rPr>
        <w:t xml:space="preserve">23 </w:t>
      </w:r>
      <w:r>
        <w:t xml:space="preserve">With every guarding keep</w:t>
      </w:r>
      <w:r>
        <w:rPr>
          <w:rStyle w:val="FootnoteReference"/>
        </w:rPr>
        <w:footnoteReference w:id="10717"/>
      </w:r>
      <w:r>
        <w:t xml:space="preserve"> your heart, for out of these are goings-out of life.</w:t>
      </w:r>
    </w:p>
    <w:p>
      <w:r>
        <w:rPr>
          <w:b/>
        </w:rPr>
        <w:t xml:space="preserve">24 </w:t>
      </w:r>
      <w:r>
        <w:t xml:space="preserve">Remove crooked mouth from yourself, and put unjust lips far from you.</w:t>
      </w:r>
    </w:p>
    <w:p>
      <w:r>
        <w:rPr>
          <w:b/>
        </w:rPr>
        <w:t xml:space="preserve">25 </w:t>
      </w:r>
      <w:r>
        <w:t xml:space="preserve">Let your eyes look straight, and your eyelids nod what is right.</w:t>
      </w:r>
    </w:p>
    <w:p>
      <w:r>
        <w:rPr>
          <w:b/>
        </w:rPr>
        <w:t xml:space="preserve">26 </w:t>
      </w:r>
      <w:r>
        <w:t xml:space="preserve">Make straight tracks for your feet and direct your ways.</w:t>
      </w:r>
    </w:p>
    <w:p>
      <w:r>
        <w:rPr>
          <w:b/>
        </w:rPr>
        <w:t xml:space="preserve">27 </w:t>
      </w:r>
      <w:r>
        <w:t xml:space="preserve">Do not turn</w:t>
      </w:r>
      <w:r>
        <w:rPr>
          <w:rStyle w:val="FootnoteReference"/>
        </w:rPr>
        <w:footnoteReference w:id="10718"/>
      </w:r>
      <w:r>
        <w:t xml:space="preserve"> right or left, but turn your foot away from evil way. For God knows ways on right, but those on left twisted; he will make your tracks straight and advance your journeys in peace.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Son, pay attention to my wisdom, and incline your ear to my words,</w:t>
      </w:r>
    </w:p>
    <w:p>
      <w:r>
        <w:rPr>
          <w:b/>
        </w:rPr>
        <w:t xml:space="preserve">2 </w:t>
      </w:r>
      <w:r>
        <w:t xml:space="preserve">so that you may guard good thought; and perception of my lips I command you.</w:t>
      </w:r>
    </w:p>
    <w:p>
      <w:r>
        <w:rPr>
          <w:b/>
        </w:rPr>
        <w:t xml:space="preserve">3 </w:t>
      </w:r>
      <w:r>
        <w:t xml:space="preserve">Do not pay attention to base woman, for honey drips from lips of prostitute, who for a time fattens your throat.</w:t>
      </w:r>
    </w:p>
    <w:p>
      <w:r>
        <w:rPr>
          <w:b/>
        </w:rPr>
        <w:t xml:space="preserve">4 </w:t>
      </w:r>
      <w:r>
        <w:t xml:space="preserve">Yet afterward you will find her more bitter than gall and sharper than two-edged sword.</w:t>
      </w:r>
    </w:p>
    <w:p>
      <w:r>
        <w:rPr>
          <w:b/>
        </w:rPr>
        <w:t xml:space="preserve">5 </w:t>
      </w:r>
      <w:r>
        <w:t xml:space="preserve">For feet of folly bring those using her down with death into Hades, and her steps do not stand firm.</w:t>
      </w:r>
    </w:p>
    <w:p>
      <w:r>
        <w:rPr>
          <w:b/>
        </w:rPr>
        <w:t xml:space="preserve">6 </w:t>
      </w:r>
      <w:r>
        <w:t xml:space="preserve">For she does not go upon the ways of life, and her tracks slippery and not well known.</w:t>
      </w:r>
    </w:p>
    <w:p>
      <w:r>
        <w:rPr>
          <w:b/>
        </w:rPr>
        <w:t xml:space="preserve">7 </w:t>
      </w:r>
      <w:r>
        <w:t xml:space="preserve">Now then, son, hear</w:t>
      </w:r>
      <w:r>
        <w:rPr>
          <w:rStyle w:val="FootnoteReference"/>
        </w:rPr>
        <w:footnoteReference w:id="10719"/>
      </w:r>
      <w:r>
        <w:t xml:space="preserve"> me and do not make my words invalid.</w:t>
      </w:r>
    </w:p>
    <w:p>
      <w:r>
        <w:rPr>
          <w:b/>
        </w:rPr>
        <w:t xml:space="preserve">8 </w:t>
      </w:r>
      <w:r>
        <w:t xml:space="preserve">Make your way far from her; do not come near doors of her houses,</w:t>
      </w:r>
    </w:p>
    <w:p>
      <w:r>
        <w:rPr>
          <w:b/>
        </w:rPr>
        <w:t xml:space="preserve">9 </w:t>
      </w:r>
      <w:r>
        <w:t xml:space="preserve">lest you give your life to others and your livelihood to unmerciful men,</w:t>
      </w:r>
    </w:p>
    <w:p>
      <w:r>
        <w:rPr>
          <w:b/>
        </w:rPr>
        <w:t xml:space="preserve">10 </w:t>
      </w:r>
      <w:r>
        <w:t xml:space="preserve">lest strangers</w:t>
      </w:r>
      <w:r>
        <w:rPr>
          <w:rStyle w:val="FootnoteReference"/>
        </w:rPr>
        <w:footnoteReference w:id="10720"/>
      </w:r>
      <w:r>
        <w:t xml:space="preserve"> be filled with your strength and your labors enter houses of strangers,</w:t>
      </w:r>
    </w:p>
    <w:p>
      <w:r>
        <w:rPr>
          <w:b/>
        </w:rPr>
        <w:t xml:space="preserve">11 </w:t>
      </w:r>
      <w:r>
        <w:t xml:space="preserve">and you will regret at end when flesh of your body is worn away.</w:t>
      </w:r>
    </w:p>
    <w:p>
      <w:r>
        <w:rPr>
          <w:b/>
        </w:rPr>
        <w:t xml:space="preserve">12 </w:t>
      </w:r>
      <w:r>
        <w:t xml:space="preserve">And you will say, "How I hated discipline, and my</w:t>
      </w:r>
      <w:r>
        <w:rPr>
          <w:rStyle w:val="FootnoteReference"/>
        </w:rPr>
        <w:footnoteReference w:id="10721"/>
      </w:r>
      <w:r>
        <w:t xml:space="preserve"> heart turned away from reproofs.</w:t>
      </w:r>
    </w:p>
    <w:p>
      <w:r>
        <w:rPr>
          <w:b/>
        </w:rPr>
        <w:t xml:space="preserve">13 </w:t>
      </w:r>
      <w:r>
        <w:t xml:space="preserve">I was not hearing the voice of one disciplining me and teaching me, nor inclining my ear.</w:t>
      </w:r>
    </w:p>
    <w:p>
      <w:r>
        <w:rPr>
          <w:b/>
        </w:rPr>
        <w:t xml:space="preserve">14 </w:t>
      </w:r>
      <w:r>
        <w:t xml:space="preserve">I almost came into every evil in the midst of assembly and congregation."</w:t>
      </w:r>
    </w:p>
    <w:p>
      <w:r>
        <w:rPr>
          <w:b/>
        </w:rPr>
        <w:t xml:space="preserve">15 </w:t>
      </w:r>
      <w:r>
        <w:t xml:space="preserve">Drink waters from your vessels and from wells of your spring.</w:t>
      </w:r>
    </w:p>
    <w:p>
      <w:r>
        <w:rPr>
          <w:b/>
        </w:rPr>
        <w:t xml:space="preserve">16 </w:t>
      </w:r>
      <w:r>
        <w:t xml:space="preserve">Let not waters overflow for you from your spring; let your waters pass through your broad places.</w:t>
      </w:r>
    </w:p>
    <w:p>
      <w:r>
        <w:rPr>
          <w:b/>
        </w:rPr>
        <w:t xml:space="preserve">17 </w:t>
      </w:r>
      <w:r>
        <w:t xml:space="preserve">Let them be yours alone, and let no stranger share with you.</w:t>
      </w:r>
    </w:p>
    <w:p>
      <w:r>
        <w:rPr>
          <w:b/>
        </w:rPr>
        <w:t xml:space="preserve">18 </w:t>
      </w:r>
      <w:r>
        <w:t xml:space="preserve">Let fountain of your water be your own, and rejoice</w:t>
      </w:r>
      <w:r>
        <w:rPr>
          <w:rStyle w:val="FootnoteReference"/>
        </w:rPr>
        <w:footnoteReference w:id="10722"/>
      </w:r>
      <w:r>
        <w:t xml:space="preserve"> with the wife of your youth.</w:t>
      </w:r>
    </w:p>
    <w:p>
      <w:r>
        <w:rPr>
          <w:b/>
        </w:rPr>
        <w:t xml:space="preserve">19 </w:t>
      </w:r>
      <w:r>
        <w:t xml:space="preserve">Doe of love and colt of your graces, let her converse with you; let your own lead you and be with you at all times, for in companionship with her love you will be much.</w:t>
      </w:r>
    </w:p>
    <w:p>
      <w:r>
        <w:rPr>
          <w:b/>
        </w:rPr>
        <w:t xml:space="preserve">20 </w:t>
      </w:r>
      <w:r>
        <w:t xml:space="preserve">Do not be much with strange woman, nor be held in arms of one not your own.</w:t>
      </w:r>
    </w:p>
    <w:p>
      <w:r>
        <w:rPr>
          <w:b/>
        </w:rPr>
        <w:t xml:space="preserve">21 </w:t>
      </w:r>
      <w:r>
        <w:t xml:space="preserve">For the ways of man before the eyes of God, and he watches all his tracks.</w:t>
      </w:r>
    </w:p>
    <w:p>
      <w:r>
        <w:rPr>
          <w:b/>
        </w:rPr>
        <w:t xml:space="preserve">22 </w:t>
      </w:r>
      <w:r>
        <w:t xml:space="preserve">Lawless deeds hunt man down, and each is bound with cords of his own sins</w:t>
      </w:r>
      <w:r>
        <w:rPr>
          <w:rStyle w:val="FootnoteReference"/>
        </w:rPr>
        <w:footnoteReference w:id="10723"/>
      </w:r>
      <w:r>
        <w:t xml:space="preserve">.</w:t>
      </w:r>
    </w:p>
    <w:p>
      <w:r>
        <w:rPr>
          <w:b/>
        </w:rPr>
        <w:t xml:space="preserve">23 </w:t>
      </w:r>
      <w:r>
        <w:t xml:space="preserve">This one dies with undisciplined men, and from the abundance of his own livelihood is cast out and lost through folly.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Son, if you guarantee your friend, you hand your hand over to enemy.</w:t>
      </w:r>
    </w:p>
    <w:p>
      <w:r>
        <w:rPr>
          <w:b/>
        </w:rPr>
        <w:t xml:space="preserve">2 </w:t>
      </w:r>
      <w:r>
        <w:t xml:space="preserve">For own lips strong snare for man, and he is caught by lips of his own mouth.</w:t>
      </w:r>
    </w:p>
    <w:p>
      <w:r>
        <w:rPr>
          <w:b/>
        </w:rPr>
        <w:t xml:space="preserve">3 </w:t>
      </w:r>
      <w:r>
        <w:t xml:space="preserve">Do, son, what I command you, and save yourself, for you came into the hands of evil men through your friend. Go, do not grow slack, but press your friend whom you guaranteed.</w:t>
      </w:r>
    </w:p>
    <w:p>
      <w:r>
        <w:rPr>
          <w:b/>
        </w:rPr>
        <w:t xml:space="preserve">4 </w:t>
      </w:r>
      <w:r>
        <w:t xml:space="preserve">Do not give sleep to your eyes, nor slumber to your eyelids,</w:t>
      </w:r>
    </w:p>
    <w:p>
      <w:r>
        <w:rPr>
          <w:b/>
        </w:rPr>
        <w:t xml:space="preserve">5 </w:t>
      </w:r>
      <w:r>
        <w:t xml:space="preserve">that you may save yourself like a gazelle from snares and like a bird from trap.</w:t>
      </w:r>
    </w:p>
    <w:p>
      <w:r>
        <w:rPr>
          <w:b/>
        </w:rPr>
        <w:t xml:space="preserve">6 </w:t>
      </w:r>
      <w:r>
        <w:t xml:space="preserve">Go to ant, sluggard, and watch his ways and become wiser than he.</w:t>
      </w:r>
    </w:p>
    <w:p>
      <w:r>
        <w:rPr>
          <w:b/>
        </w:rPr>
        <w:t xml:space="preserve">7 </w:t>
      </w:r>
      <w:r>
        <w:t xml:space="preserve">For since he has no farming, no one forcing him, nor being under master,</w:t>
      </w:r>
    </w:p>
    <w:p>
      <w:r>
        <w:rPr>
          <w:b/>
        </w:rPr>
        <w:t xml:space="preserve">8 </w:t>
      </w:r>
      <w:r>
        <w:t xml:space="preserve">he prepares in summer much food and in harvest makes provision. Or go to bee and learn how worker she is and how dignified she makes her work, whose labors kings and private men use for health. She desired by all and renowned. Though weak in strength, by honoring wisdom she advanced.</w:t>
      </w:r>
    </w:p>
    <w:p>
      <w:r>
        <w:rPr>
          <w:b/>
        </w:rPr>
        <w:t xml:space="preserve">9 </w:t>
      </w:r>
      <w:r>
        <w:t xml:space="preserve">How long, sluggard, will you lie down? When will you rise from sleep?</w:t>
      </w:r>
    </w:p>
    <w:p>
      <w:r>
        <w:rPr>
          <w:b/>
        </w:rPr>
        <w:t xml:space="preserve">10 </w:t>
      </w:r>
      <w:r>
        <w:t xml:space="preserve">Little you sleep, little you sit, little you slumber, little you fold your hands over your chest,</w:t>
      </w:r>
    </w:p>
    <w:p>
      <w:r>
        <w:rPr>
          <w:b/>
        </w:rPr>
        <w:t xml:space="preserve">11 </w:t>
      </w:r>
      <w:r>
        <w:t xml:space="preserve">then poverty comes to you like a bad traveler and want like a good runner. But if you are tireless, your harvest will come like a fountain, and want will flee like a bad runner.</w:t>
      </w:r>
    </w:p>
    <w:p>
      <w:r>
        <w:rPr>
          <w:b/>
        </w:rPr>
        <w:t xml:space="preserve">12 </w:t>
      </w:r>
      <w:r>
        <w:t xml:space="preserve">Foolish and lawless man walks in ways not good.</w:t>
      </w:r>
    </w:p>
    <w:p>
      <w:r>
        <w:rPr>
          <w:b/>
        </w:rPr>
        <w:t xml:space="preserve">13 </w:t>
      </w:r>
      <w:r>
        <w:t xml:space="preserve">He winks with eye, signals with foot, and teaches with nods of fingers.</w:t>
      </w:r>
    </w:p>
    <w:p>
      <w:r>
        <w:rPr>
          <w:b/>
        </w:rPr>
        <w:t xml:space="preserve">14 </w:t>
      </w:r>
      <w:r>
        <w:t xml:space="preserve">Perverse heart devises evils at every time; such man stirs up disturbances for city.</w:t>
      </w:r>
    </w:p>
    <w:p>
      <w:r>
        <w:rPr>
          <w:b/>
        </w:rPr>
        <w:t xml:space="preserve">15 </w:t>
      </w:r>
      <w:r>
        <w:t xml:space="preserve">Because of this his ruin comes suddenly, cutting and crushing incurably.</w:t>
      </w:r>
    </w:p>
    <w:p>
      <w:r>
        <w:rPr>
          <w:b/>
        </w:rPr>
        <w:t xml:space="preserve">16 </w:t>
      </w:r>
      <w:r>
        <w:t xml:space="preserve">For he rejoices in all things the Lord hates, and he is crushed because of uncleanness of soul.</w:t>
      </w:r>
    </w:p>
    <w:p>
      <w:r>
        <w:rPr>
          <w:b/>
        </w:rPr>
        <w:t xml:space="preserve">17 </w:t>
      </w:r>
      <w:r>
        <w:t xml:space="preserve">Haughty eye, unjust tongue, hands pouring out blood of righteous,</w:t>
      </w:r>
    </w:p>
    <w:p>
      <w:r>
        <w:rPr>
          <w:b/>
        </w:rPr>
        <w:t xml:space="preserve">18 </w:t>
      </w:r>
      <w:r>
        <w:t xml:space="preserve">and heart</w:t>
      </w:r>
      <w:r>
        <w:rPr>
          <w:rStyle w:val="FootnoteReference"/>
        </w:rPr>
        <w:footnoteReference w:id="10724"/>
      </w:r>
      <w:r>
        <w:t xml:space="preserve"> forging evil thoughts, and feet hurrying to do evil,</w:t>
      </w:r>
    </w:p>
    <w:p>
      <w:r>
        <w:rPr>
          <w:b/>
        </w:rPr>
        <w:t xml:space="preserve">19 </w:t>
      </w:r>
      <w:r>
        <w:t xml:space="preserve">unjust false witness kindling lies and sending judgments among brothers.</w:t>
      </w:r>
    </w:p>
    <w:p>
      <w:r>
        <w:rPr>
          <w:b/>
        </w:rPr>
        <w:t xml:space="preserve">20 </w:t>
      </w:r>
      <w:r>
        <w:t xml:space="preserve">Son, keep laws of your father and do not reject decrees of your mother.</w:t>
      </w:r>
    </w:p>
    <w:p>
      <w:r>
        <w:rPr>
          <w:b/>
        </w:rPr>
        <w:t xml:space="preserve">21 </w:t>
      </w:r>
      <w:r>
        <w:t xml:space="preserve">Fasten them to your soul always and put them as chain on your neck.</w:t>
      </w:r>
    </w:p>
    <w:p>
      <w:r>
        <w:rPr>
          <w:b/>
        </w:rPr>
        <w:t xml:space="preserve">22 </w:t>
      </w:r>
      <w:r>
        <w:t xml:space="preserve">Whenever you walk, bring her on, and let her be with you; when you sleep, let her guard you, so that waking she may speak with you.</w:t>
      </w:r>
    </w:p>
    <w:p>
      <w:r>
        <w:rPr>
          <w:b/>
        </w:rPr>
        <w:t xml:space="preserve">23 </w:t>
      </w:r>
      <w:r>
        <w:t xml:space="preserve">For the command of law lamp</w:t>
      </w:r>
      <w:r>
        <w:rPr>
          <w:rStyle w:val="FootnoteReference"/>
        </w:rPr>
        <w:footnoteReference w:id="10725"/>
      </w:r>
      <w:r>
        <w:t xml:space="preserve"> and light, and way of life reproof and discipline,</w:t>
      </w:r>
    </w:p>
    <w:p>
      <w:r>
        <w:rPr>
          <w:b/>
        </w:rPr>
        <w:t xml:space="preserve">24 </w:t>
      </w:r>
      <w:r>
        <w:t xml:space="preserve">to guard you from married woman and from slanderous tongue of stranger.</w:t>
      </w:r>
    </w:p>
    <w:p>
      <w:r>
        <w:rPr>
          <w:b/>
        </w:rPr>
        <w:t xml:space="preserve">25 </w:t>
      </w:r>
      <w:r>
        <w:t xml:space="preserve">Let not beauty conquer you in desire, nor be caught by your eyes, nor be seized by her eyelids.</w:t>
      </w:r>
    </w:p>
    <w:p>
      <w:r>
        <w:rPr>
          <w:b/>
        </w:rPr>
        <w:t xml:space="preserve">26 </w:t>
      </w:r>
      <w:r>
        <w:t xml:space="preserve">For price of prostitute as much as one loaf, but wife of honored men hunts precious souls.</w:t>
      </w:r>
    </w:p>
    <w:p>
      <w:r>
        <w:rPr>
          <w:b/>
        </w:rPr>
        <w:t xml:space="preserve">27 </w:t>
      </w:r>
      <w:r>
        <w:t xml:space="preserve">Will anyone bind fire in bosom and not burn clothes?</w:t>
      </w:r>
    </w:p>
    <w:p>
      <w:r>
        <w:rPr>
          <w:b/>
        </w:rPr>
        <w:t xml:space="preserve">28 </w:t>
      </w:r>
      <w:r>
        <w:t xml:space="preserve">Or will anyone walk on coals of fire and not burn feet?</w:t>
      </w:r>
    </w:p>
    <w:p>
      <w:r>
        <w:rPr>
          <w:b/>
        </w:rPr>
        <w:t xml:space="preserve">29 </w:t>
      </w:r>
      <w:r>
        <w:t xml:space="preserve">So one going in to married woman will not be acquitted, nor anyone touching her.</w:t>
      </w:r>
    </w:p>
    <w:p>
      <w:r>
        <w:rPr>
          <w:b/>
        </w:rPr>
        <w:t xml:space="preserve">30 </w:t>
      </w:r>
      <w:r>
        <w:t xml:space="preserve">Not astonishing if one is caught stealing, for he steals to fill soul when hungry.</w:t>
      </w:r>
    </w:p>
    <w:p>
      <w:r>
        <w:rPr>
          <w:b/>
        </w:rPr>
        <w:t xml:space="preserve">31 </w:t>
      </w:r>
      <w:r>
        <w:t xml:space="preserve">But if caught, he will pay sevenfold, and by giving all his possessions he will rescue himself.</w:t>
      </w:r>
    </w:p>
    <w:p>
      <w:r>
        <w:rPr>
          <w:b/>
        </w:rPr>
        <w:t xml:space="preserve">32 </w:t>
      </w:r>
      <w:r>
        <w:t xml:space="preserve">But adulterer, through lack of sense, works destruction for his soul.</w:t>
      </w:r>
    </w:p>
    <w:p>
      <w:r>
        <w:rPr>
          <w:b/>
        </w:rPr>
        <w:t xml:space="preserve">33 </w:t>
      </w:r>
      <w:r>
        <w:t xml:space="preserve">Pains and dishonor he bears, and his reproach will not be wiped out forever.</w:t>
      </w:r>
    </w:p>
    <w:p>
      <w:r>
        <w:rPr>
          <w:b/>
        </w:rPr>
        <w:t xml:space="preserve">34 </w:t>
      </w:r>
      <w:r>
        <w:t xml:space="preserve">For jealousy fills wrath of her husband; he will not spare in the day of judgment.</w:t>
      </w:r>
    </w:p>
    <w:p>
      <w:r>
        <w:rPr>
          <w:b/>
        </w:rPr>
        <w:t xml:space="preserve">35 </w:t>
      </w:r>
      <w:r>
        <w:t xml:space="preserve">He will not accept any ransom against enmity, nor be reconciled by many gifts.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Son, keep</w:t>
      </w:r>
      <w:r>
        <w:rPr>
          <w:rStyle w:val="FootnoteReference"/>
        </w:rPr>
        <w:footnoteReference w:id="10726"/>
      </w:r>
      <w:r>
        <w:t xml:space="preserve"> my words, and hide my commands with yourself. Son, honor Lord and you will grow strong; besides him fear no other.</w:t>
      </w:r>
    </w:p>
    <w:p>
      <w:r>
        <w:rPr>
          <w:b/>
        </w:rPr>
        <w:t xml:space="preserve">2 </w:t>
      </w:r>
      <w:r>
        <w:t xml:space="preserve">Keep</w:t>
      </w:r>
      <w:r>
        <w:rPr>
          <w:rStyle w:val="FootnoteReference"/>
        </w:rPr>
        <w:footnoteReference w:id="10727"/>
      </w:r>
      <w:r>
        <w:t xml:space="preserve"> my commands and live, and my words like apple of eyes.</w:t>
      </w:r>
    </w:p>
    <w:p>
      <w:r>
        <w:rPr>
          <w:b/>
        </w:rPr>
        <w:t xml:space="preserve">3 </w:t>
      </w:r>
      <w:r>
        <w:t xml:space="preserve">Bind them on your fingers, and write them on the breadth of your heart.</w:t>
      </w:r>
    </w:p>
    <w:p>
      <w:r>
        <w:rPr>
          <w:b/>
        </w:rPr>
        <w:t xml:space="preserve">4 </w:t>
      </w:r>
      <w:r>
        <w:t xml:space="preserve">Say wisdom your sister, and make understanding your close acquaintance,</w:t>
      </w:r>
    </w:p>
    <w:p>
      <w:r>
        <w:rPr>
          <w:b/>
        </w:rPr>
        <w:t xml:space="preserve">5 </w:t>
      </w:r>
      <w:r>
        <w:t xml:space="preserve">that she may keep you from strange and evil woman if she throw herself at you with winning words.</w:t>
      </w:r>
    </w:p>
    <w:p>
      <w:r>
        <w:rPr>
          <w:b/>
        </w:rPr>
        <w:t xml:space="preserve">6 </w:t>
      </w:r>
      <w:r>
        <w:t xml:space="preserve">For from little window of her house, peering into streets,</w:t>
      </w:r>
    </w:p>
    <w:p>
      <w:r>
        <w:rPr>
          <w:b/>
        </w:rPr>
        <w:t xml:space="preserve">7 </w:t>
      </w:r>
      <w:r>
        <w:t xml:space="preserve">whomever she sees among foolish children, young man lacking sense,</w:t>
      </w:r>
    </w:p>
    <w:p>
      <w:r>
        <w:rPr>
          <w:b/>
        </w:rPr>
        <w:t xml:space="preserve">8 </w:t>
      </w:r>
      <w:r>
        <w:t xml:space="preserve">passing near corner, in passages of her house,</w:t>
      </w:r>
    </w:p>
    <w:p>
      <w:r>
        <w:rPr>
          <w:b/>
        </w:rPr>
        <w:t xml:space="preserve">9 </w:t>
      </w:r>
      <w:r>
        <w:t xml:space="preserve">and speaking in evening</w:t>
      </w:r>
      <w:r>
        <w:rPr>
          <w:rStyle w:val="FootnoteReference"/>
        </w:rPr>
        <w:footnoteReference w:id="10728"/>
      </w:r>
      <w:r>
        <w:t xml:space="preserve"> darkness, when nightly quiet or murky gloom,</w:t>
      </w:r>
    </w:p>
    <w:p>
      <w:r>
        <w:rPr>
          <w:b/>
        </w:rPr>
        <w:t xml:space="preserve">10 </w:t>
      </w:r>
      <w:r>
        <w:t xml:space="preserve">woman meets him, having appearance of prostitute, who makes hearts of young men fly away.</w:t>
      </w:r>
    </w:p>
    <w:p>
      <w:r>
        <w:rPr>
          <w:b/>
        </w:rPr>
        <w:t xml:space="preserve">11 </w:t>
      </w:r>
      <w:r>
        <w:t xml:space="preserve">She winged and profligate, and in the house her feet</w:t>
      </w:r>
      <w:r>
        <w:rPr>
          <w:rStyle w:val="FootnoteReference"/>
        </w:rPr>
        <w:footnoteReference w:id="10729"/>
      </w:r>
      <w:r>
        <w:t xml:space="preserve"> do not keep quiet.</w:t>
      </w:r>
    </w:p>
    <w:p>
      <w:r>
        <w:rPr>
          <w:b/>
        </w:rPr>
        <w:t xml:space="preserve">12 </w:t>
      </w:r>
      <w:r>
        <w:t xml:space="preserve">For a time she wanders outside, and a time in squares; beside every corner she lurks.</w:t>
      </w:r>
    </w:p>
    <w:p>
      <w:r>
        <w:rPr>
          <w:b/>
        </w:rPr>
        <w:t xml:space="preserve">13 </w:t>
      </w:r>
      <w:r>
        <w:t xml:space="preserve">Then seizing him she kissed him, and with shameless face said to him,</w:t>
      </w:r>
    </w:p>
    <w:p>
      <w:r>
        <w:rPr>
          <w:b/>
        </w:rPr>
        <w:t xml:space="preserve">14 </w:t>
      </w:r>
      <w:r>
        <w:t xml:space="preserve">"Peace-sacrifice mine; today I pay my vows.</w:t>
      </w:r>
    </w:p>
    <w:p>
      <w:r>
        <w:rPr>
          <w:b/>
        </w:rPr>
        <w:t xml:space="preserve">15 </w:t>
      </w:r>
      <w:r>
        <w:t xml:space="preserve">Because of this I came out to meet you, desiring your face; I found you.</w:t>
      </w:r>
    </w:p>
    <w:p>
      <w:r>
        <w:rPr>
          <w:b/>
        </w:rPr>
        <w:t xml:space="preserve">16 </w:t>
      </w:r>
      <w:r>
        <w:t xml:space="preserve">With coverings I decked</w:t>
      </w:r>
      <w:r>
        <w:rPr>
          <w:rStyle w:val="FootnoteReference"/>
        </w:rPr>
        <w:footnoteReference w:id="10730"/>
      </w:r>
      <w:r>
        <w:t xml:space="preserve"> my bed, and with Egyptian tapestries I spread it.</w:t>
      </w:r>
    </w:p>
    <w:p>
      <w:r>
        <w:rPr>
          <w:b/>
        </w:rPr>
        <w:t xml:space="preserve">17 </w:t>
      </w:r>
      <w:r>
        <w:t xml:space="preserve">I sprinkled my couch with saffron, and my house with cinnamon.</w:t>
      </w:r>
    </w:p>
    <w:p>
      <w:r>
        <w:rPr>
          <w:b/>
        </w:rPr>
        <w:t xml:space="preserve">18 </w:t>
      </w:r>
      <w:r>
        <w:t xml:space="preserve">Come, let us enjoy love until dawn; come, let us roll in desire.</w:t>
      </w:r>
    </w:p>
    <w:p>
      <w:r>
        <w:rPr>
          <w:b/>
        </w:rPr>
        <w:t xml:space="preserve">19 </w:t>
      </w:r>
      <w:r>
        <w:t xml:space="preserve">For my husband not home, but he has gone long way.</w:t>
      </w:r>
    </w:p>
    <w:p>
      <w:r>
        <w:rPr>
          <w:b/>
        </w:rPr>
        <w:t xml:space="preserve">20 </w:t>
      </w:r>
      <w:r>
        <w:t xml:space="preserve">Taking bundle of silver in his hand; after many days he will return to his house."</w:t>
      </w:r>
    </w:p>
    <w:p>
      <w:r>
        <w:rPr>
          <w:b/>
        </w:rPr>
        <w:t xml:space="preserve">21 </w:t>
      </w:r>
      <w:r>
        <w:t xml:space="preserve">She led him astray with much talk, and with snares from lips she pushed him over.</w:t>
      </w:r>
    </w:p>
    <w:p>
      <w:r>
        <w:rPr>
          <w:b/>
        </w:rPr>
        <w:t xml:space="preserve">22 </w:t>
      </w:r>
      <w:r>
        <w:t xml:space="preserve">He followed her dumbfounded, as ox led to slaughter and as dog to bonds,</w:t>
      </w:r>
    </w:p>
    <w:p>
      <w:r>
        <w:rPr>
          <w:b/>
        </w:rPr>
        <w:t xml:space="preserve">23 </w:t>
      </w:r>
      <w:r>
        <w:t xml:space="preserve">or as a deer struck in liver by arrow. He hurries like a bird into snare, not knowing he runs for soul.</w:t>
      </w:r>
    </w:p>
    <w:p>
      <w:r>
        <w:rPr>
          <w:b/>
        </w:rPr>
        <w:t xml:space="preserve">24 </w:t>
      </w:r>
      <w:r>
        <w:t xml:space="preserve">Now then, son, hear me and pay attention to sayings of my mouth.</w:t>
      </w:r>
    </w:p>
    <w:p>
      <w:r>
        <w:rPr>
          <w:b/>
        </w:rPr>
        <w:t xml:space="preserve">25 </w:t>
      </w:r>
      <w:r>
        <w:t xml:space="preserve">Let your heart not turn aside to her ways.</w:t>
      </w:r>
    </w:p>
    <w:p>
      <w:r>
        <w:rPr>
          <w:b/>
        </w:rPr>
        <w:t xml:space="preserve">26 </w:t>
      </w:r>
      <w:r>
        <w:t xml:space="preserve">For having wounded many, she cast them down, and innumerable those she killed.</w:t>
      </w:r>
    </w:p>
    <w:p>
      <w:r>
        <w:rPr>
          <w:b/>
        </w:rPr>
        <w:t xml:space="preserve">27 </w:t>
      </w:r>
      <w:r>
        <w:t xml:space="preserve">The ways of Hades are her house, leading down to chambers of death.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You will proclaim wisdom, so that understanding may obey you.</w:t>
      </w:r>
    </w:p>
    <w:p>
      <w:r>
        <w:rPr>
          <w:b/>
        </w:rPr>
        <w:t xml:space="preserve">2 </w:t>
      </w:r>
      <w:r>
        <w:t xml:space="preserve">For she is on high heights, and among paths she stands.</w:t>
      </w:r>
    </w:p>
    <w:p>
      <w:r>
        <w:rPr>
          <w:b/>
        </w:rPr>
        <w:t xml:space="preserve">3 </w:t>
      </w:r>
      <w:r>
        <w:t xml:space="preserve">For beside the gates of rulers she sits, and in entrances she sings hymns.</w:t>
      </w:r>
    </w:p>
    <w:p>
      <w:r>
        <w:rPr>
          <w:b/>
        </w:rPr>
        <w:t xml:space="preserve">4 </w:t>
      </w:r>
      <w:r>
        <w:t xml:space="preserve">To you, men, I call, and I send out my voice to the sons of men.</w:t>
      </w:r>
    </w:p>
    <w:p>
      <w:r>
        <w:rPr>
          <w:b/>
        </w:rPr>
        <w:t xml:space="preserve">5 </w:t>
      </w:r>
      <w:r>
        <w:t xml:space="preserve">Understand shrewdness, innocent ones; and untrained ones, take heart.</w:t>
      </w:r>
    </w:p>
    <w:p>
      <w:r>
        <w:rPr>
          <w:b/>
        </w:rPr>
        <w:t xml:space="preserve">6 </w:t>
      </w:r>
      <w:r>
        <w:t xml:space="preserve">Hear me, for I will speak noble things, and I will open upright things from my lips.</w:t>
      </w:r>
    </w:p>
    <w:p>
      <w:r>
        <w:rPr>
          <w:b/>
        </w:rPr>
        <w:t xml:space="preserve">7 </w:t>
      </w:r>
      <w:r>
        <w:t xml:space="preserve">For my throat will meditate truth, and lying lips abominable before me.</w:t>
      </w:r>
    </w:p>
    <w:p>
      <w:r>
        <w:rPr>
          <w:b/>
        </w:rPr>
        <w:t xml:space="preserve">8 </w:t>
      </w:r>
      <w:r>
        <w:t xml:space="preserve">All sayings of my mouth with righteousness; nothing in them crooked or twisted.</w:t>
      </w:r>
    </w:p>
    <w:p>
      <w:r>
        <w:rPr>
          <w:b/>
        </w:rPr>
        <w:t xml:space="preserve">9 </w:t>
      </w:r>
      <w:r>
        <w:t xml:space="preserve">All plain to those understanding and right to those finding knowledge.</w:t>
      </w:r>
    </w:p>
    <w:p>
      <w:r>
        <w:rPr>
          <w:b/>
        </w:rPr>
        <w:t xml:space="preserve">10 </w:t>
      </w:r>
      <w:r>
        <w:t xml:space="preserve">Take discipline and not silver, and choose knowledge above proven gold; and choose perception above pure gold.</w:t>
      </w:r>
    </w:p>
    <w:p>
      <w:r>
        <w:rPr>
          <w:b/>
        </w:rPr>
        <w:t xml:space="preserve">11 </w:t>
      </w:r>
      <w:r>
        <w:t xml:space="preserve">For wisdom</w:t>
      </w:r>
      <w:r>
        <w:rPr>
          <w:rStyle w:val="FootnoteReference"/>
        </w:rPr>
        <w:footnoteReference w:id="10731"/>
      </w:r>
      <w:r>
        <w:t xml:space="preserve"> better than precious stones, and every valuable thing not worthy of her.</w:t>
      </w:r>
    </w:p>
    <w:p>
      <w:r>
        <w:rPr>
          <w:b/>
        </w:rPr>
        <w:t xml:space="preserve">12 </w:t>
      </w:r>
      <w:r>
        <w:t xml:space="preserve">I, wisdom, settled counsel, and knowledge</w:t>
      </w:r>
      <w:r>
        <w:rPr>
          <w:rStyle w:val="FootnoteReference"/>
        </w:rPr>
        <w:footnoteReference w:id="10732"/>
      </w:r>
      <w:r>
        <w:t xml:space="preserve"> and understanding I called.</w:t>
      </w:r>
    </w:p>
    <w:p>
      <w:r>
        <w:rPr>
          <w:b/>
        </w:rPr>
        <w:t xml:space="preserve">13 </w:t>
      </w:r>
      <w:r>
        <w:t xml:space="preserve">The fear</w:t>
      </w:r>
      <w:r>
        <w:rPr>
          <w:rStyle w:val="FootnoteReference"/>
        </w:rPr>
        <w:footnoteReference w:id="10733"/>
      </w:r>
      <w:r>
        <w:t xml:space="preserve"> of the Lord hates injustice and insolence and pride and evil ways; and twisted ways of evil I hated.</w:t>
      </w:r>
    </w:p>
    <w:p>
      <w:r>
        <w:rPr>
          <w:b/>
        </w:rPr>
        <w:t xml:space="preserve">14 </w:t>
      </w:r>
      <w:r>
        <w:t xml:space="preserve">Mine counsel</w:t>
      </w:r>
      <w:r>
        <w:rPr>
          <w:rStyle w:val="FootnoteReference"/>
        </w:rPr>
        <w:footnoteReference w:id="10734"/>
      </w:r>
      <w:r>
        <w:t xml:space="preserve"> and security, mine understanding, and mine strength.</w:t>
      </w:r>
    </w:p>
    <w:p>
      <w:r>
        <w:rPr>
          <w:b/>
        </w:rPr>
        <w:t xml:space="preserve">15 </w:t>
      </w:r>
      <w:r>
        <w:t xml:space="preserve">Through me kings reign and rulers write righteousness.</w:t>
      </w:r>
    </w:p>
    <w:p>
      <w:r>
        <w:rPr>
          <w:b/>
        </w:rPr>
        <w:t xml:space="preserve">16 </w:t>
      </w:r>
      <w:r>
        <w:t xml:space="preserve">Through me nobles grow great, and tyrants through me rule earth.</w:t>
      </w:r>
    </w:p>
    <w:p>
      <w:r>
        <w:rPr>
          <w:b/>
        </w:rPr>
        <w:t xml:space="preserve">17 </w:t>
      </w:r>
      <w:r>
        <w:t xml:space="preserve">I love</w:t>
      </w:r>
      <w:r>
        <w:rPr>
          <w:rStyle w:val="FootnoteReference"/>
        </w:rPr>
        <w:footnoteReference w:id="10735"/>
      </w:r>
      <w:r>
        <w:t xml:space="preserve"> those loving me, and those seeking me will find me.</w:t>
      </w:r>
    </w:p>
    <w:p>
      <w:r>
        <w:rPr>
          <w:b/>
        </w:rPr>
        <w:t xml:space="preserve">18 </w:t>
      </w:r>
      <w:r>
        <w:t xml:space="preserve">Riches and glory belong to me, and abundance of possessions and righteousness</w:t>
      </w:r>
      <w:r>
        <w:rPr>
          <w:rStyle w:val="FootnoteReference"/>
        </w:rPr>
        <w:footnoteReference w:id="10736"/>
      </w:r>
      <w:r>
        <w:t xml:space="preserve">.</w:t>
      </w:r>
    </w:p>
    <w:p>
      <w:r>
        <w:rPr>
          <w:b/>
        </w:rPr>
        <w:t xml:space="preserve">19 </w:t>
      </w:r>
      <w:r>
        <w:t xml:space="preserve">Better to bear fruit from me than gold and precious stone, and my produce better than chosen silver.</w:t>
      </w:r>
    </w:p>
    <w:p>
      <w:r>
        <w:rPr>
          <w:b/>
        </w:rPr>
        <w:t xml:space="preserve">20 </w:t>
      </w:r>
      <w:r>
        <w:t xml:space="preserve">In the ways of righteousness I walk, and among tracks of judgment I turn about,</w:t>
      </w:r>
    </w:p>
    <w:p>
      <w:r>
        <w:rPr>
          <w:b/>
        </w:rPr>
        <w:t xml:space="preserve">21 </w:t>
      </w:r>
      <w:r>
        <w:t xml:space="preserve">so that I may apportion substance to those loving me and fill</w:t>
      </w:r>
      <w:r>
        <w:rPr>
          <w:rStyle w:val="FootnoteReference"/>
        </w:rPr>
        <w:footnoteReference w:id="10737"/>
      </w:r>
      <w:r>
        <w:t xml:space="preserve"> their treasuries with good things. If I tell you things happening day by day, I will remember things from age to number them.</w:t>
      </w:r>
    </w:p>
    <w:p>
      <w:r>
        <w:rPr>
          <w:b/>
        </w:rPr>
        <w:t xml:space="preserve">22 </w:t>
      </w:r>
      <w:r>
        <w:t xml:space="preserve">The Lord created me beginning of his ways, for his works.</w:t>
      </w:r>
    </w:p>
    <w:p>
      <w:r>
        <w:rPr>
          <w:b/>
        </w:rPr>
        <w:t xml:space="preserve">23 </w:t>
      </w:r>
      <w:r>
        <w:t xml:space="preserve">Before age he founded me, in beginning,</w:t>
      </w:r>
    </w:p>
    <w:p>
      <w:r>
        <w:rPr>
          <w:b/>
        </w:rPr>
        <w:t xml:space="preserve">24 </w:t>
      </w:r>
      <w:r>
        <w:t xml:space="preserve">before making earth and before making deeps, before springs of waters came forth.</w:t>
      </w:r>
    </w:p>
    <w:p>
      <w:r>
        <w:rPr>
          <w:b/>
        </w:rPr>
        <w:t xml:space="preserve">25 </w:t>
      </w:r>
      <w:r>
        <w:t xml:space="preserve">Before mountains were settled, and before all hills, he begets me.</w:t>
      </w:r>
    </w:p>
    <w:p>
      <w:r>
        <w:rPr>
          <w:b/>
        </w:rPr>
        <w:t xml:space="preserve">26 </w:t>
      </w:r>
      <w:r>
        <w:t xml:space="preserve">The Lord made lands and uninhabited places and inhabited heights under heaven.</w:t>
      </w:r>
    </w:p>
    <w:p>
      <w:r>
        <w:rPr>
          <w:b/>
        </w:rPr>
        <w:t xml:space="preserve">27 </w:t>
      </w:r>
      <w:r>
        <w:t xml:space="preserve">When he prepared</w:t>
      </w:r>
      <w:r>
        <w:rPr>
          <w:rStyle w:val="FootnoteReference"/>
        </w:rPr>
        <w:footnoteReference w:id="10738"/>
      </w:r>
      <w:r>
        <w:t xml:space="preserve"> heaven, I was alongside him, and when he marked out his throne upon winds,</w:t>
      </w:r>
    </w:p>
    <w:p>
      <w:r>
        <w:rPr>
          <w:b/>
        </w:rPr>
        <w:t xml:space="preserve">28 </w:t>
      </w:r>
      <w:r>
        <w:t xml:space="preserve">when he made strong upper clouds and set secure springs under heaven,</w:t>
      </w:r>
    </w:p>
    <w:p>
      <w:r>
        <w:rPr>
          <w:b/>
        </w:rPr>
        <w:t xml:space="preserve">29 </w:t>
      </w:r>
      <w:r>
        <w:t xml:space="preserve">and made strong foundations of the earth,</w:t>
      </w:r>
    </w:p>
    <w:p>
      <w:r>
        <w:rPr>
          <w:b/>
        </w:rPr>
        <w:t xml:space="preserve">30 </w:t>
      </w:r>
      <w:r>
        <w:t xml:space="preserve">I was beside him, fitting together. I was one in whom he delighted, and day by day I rejoiced before him at every time,</w:t>
      </w:r>
    </w:p>
    <w:p>
      <w:r>
        <w:rPr>
          <w:b/>
        </w:rPr>
        <w:t xml:space="preserve">31 </w:t>
      </w:r>
      <w:r>
        <w:t xml:space="preserve">when he rejoiced, having completed inhabited world, and rejoiced in the sons of men.</w:t>
      </w:r>
    </w:p>
    <w:p>
      <w:r>
        <w:rPr>
          <w:b/>
        </w:rPr>
        <w:t xml:space="preserve">32 </w:t>
      </w:r>
      <w:r>
        <w:t xml:space="preserve">Now then, son, hear me.</w:t>
      </w:r>
    </w:p>
    <w:p>
      <w:r>
        <w:rPr>
          <w:b/>
        </w:rPr>
        <w:t xml:space="preserve">34 </w:t>
      </w:r>
      <w:r>
        <w:t xml:space="preserve">Blessed is the man who will hear me, and man who will keep my ways, staying awake at my doors daily, keeping posts of my entrances.</w:t>
      </w:r>
    </w:p>
    <w:p>
      <w:r>
        <w:rPr>
          <w:b/>
        </w:rPr>
        <w:t xml:space="preserve">35 </w:t>
      </w:r>
      <w:r>
        <w:t xml:space="preserve">For my goings-out goings-out of life, and favor is prepared from the Lord.</w:t>
      </w:r>
    </w:p>
    <w:p>
      <w:r>
        <w:rPr>
          <w:b/>
        </w:rPr>
        <w:t xml:space="preserve">36 </w:t>
      </w:r>
      <w:r>
        <w:t xml:space="preserve">But those sinning against me act ungodly toward their own souls, and those hating me love death.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Wisdom built a house for herself and set seven pillars</w:t>
      </w:r>
      <w:r>
        <w:rPr>
          <w:rStyle w:val="FootnoteReference"/>
        </w:rPr>
        <w:footnoteReference w:id="10739"/>
      </w:r>
      <w:r>
        <w:t xml:space="preserve"> under it.</w:t>
      </w:r>
    </w:p>
    <w:p>
      <w:r>
        <w:rPr>
          <w:b/>
        </w:rPr>
        <w:t xml:space="preserve">2 </w:t>
      </w:r>
      <w:r>
        <w:t xml:space="preserve">She slaughtered her sacrifices, mixed her wine into bowl, and prepared her table.</w:t>
      </w:r>
    </w:p>
    <w:p>
      <w:r>
        <w:rPr>
          <w:b/>
        </w:rPr>
        <w:t xml:space="preserve">3 </w:t>
      </w:r>
      <w:r>
        <w:t xml:space="preserve">She sent</w:t>
      </w:r>
      <w:r>
        <w:rPr>
          <w:rStyle w:val="FootnoteReference"/>
        </w:rPr>
        <w:footnoteReference w:id="10740"/>
      </w:r>
      <w:r>
        <w:t xml:space="preserve"> her servants, calling with high proclamation upon bowl, saying,</w:t>
      </w:r>
    </w:p>
    <w:p>
      <w:r>
        <w:rPr>
          <w:b/>
        </w:rPr>
        <w:t xml:space="preserve">4 </w:t>
      </w:r>
      <w:r>
        <w:t xml:space="preserve">"Whoever foolish, let him turn aside to me." And to those lacking sense she said,</w:t>
      </w:r>
    </w:p>
    <w:p>
      <w:r>
        <w:rPr>
          <w:b/>
        </w:rPr>
        <w:t xml:space="preserve">5 </w:t>
      </w:r>
      <w:r>
        <w:t xml:space="preserve">"Come, eat of my breads and drink wine I mixed for you.</w:t>
      </w:r>
    </w:p>
    <w:p>
      <w:r>
        <w:rPr>
          <w:b/>
        </w:rPr>
        <w:t xml:space="preserve">6 </w:t>
      </w:r>
      <w:r>
        <w:t xml:space="preserve">Leave folly and live, and seek understanding so that you may live, and set straight by knowledge understanding.</w:t>
      </w:r>
    </w:p>
    <w:p>
      <w:r>
        <w:rPr>
          <w:b/>
        </w:rPr>
        <w:t xml:space="preserve">7 </w:t>
      </w:r>
      <w:r>
        <w:t xml:space="preserve">One disciplining evil men will receive dishonor for himself, and rebuking the ungodly man will blame himself.</w:t>
      </w:r>
      <w:r>
        <w:rPr>
          <w:rStyle w:val="FootnoteReference"/>
        </w:rPr>
        <w:footnoteReference w:id="10741"/>
      </w:r>
      <w:r>
        <w:t xml:space="preserve"/>
      </w:r>
    </w:p>
    <w:p>
      <w:r>
        <w:rPr>
          <w:b/>
        </w:rPr>
        <w:t xml:space="preserve">8 </w:t>
      </w:r>
      <w:r>
        <w:t xml:space="preserve">Do not rebuke</w:t>
      </w:r>
      <w:r>
        <w:rPr>
          <w:rStyle w:val="FootnoteReference"/>
        </w:rPr>
        <w:footnoteReference w:id="10742"/>
      </w:r>
      <w:r>
        <w:t xml:space="preserve"> evil men, lest they hate you; rebuke wise, and he will love you.</w:t>
      </w:r>
    </w:p>
    <w:p>
      <w:r>
        <w:rPr>
          <w:b/>
        </w:rPr>
        <w:t xml:space="preserve">9 </w:t>
      </w:r>
      <w:r>
        <w:t xml:space="preserve">Give wise one opportunity, and he will become wiser; make a righteous man know, and he will add to receiving.</w:t>
      </w:r>
      <w:r>
        <w:rPr>
          <w:rStyle w:val="FootnoteReference"/>
        </w:rPr>
        <w:footnoteReference w:id="10743"/>
      </w:r>
      <w:r>
        <w:t xml:space="preserve"/>
      </w:r>
    </w:p>
    <w:p>
      <w:r>
        <w:rPr>
          <w:b/>
        </w:rPr>
        <w:t xml:space="preserve">10 </w:t>
      </w:r>
      <w:r>
        <w:t xml:space="preserve">The beginning of wisdom is the fear</w:t>
      </w:r>
      <w:r>
        <w:rPr>
          <w:rStyle w:val="FootnoteReference"/>
        </w:rPr>
        <w:footnoteReference w:id="10744"/>
      </w:r>
      <w:r>
        <w:t xml:space="preserve"> of the Lord, and the counsel of holy ones is understanding. For knowing law belongs to good mind.</w:t>
      </w:r>
      <w:r>
        <w:rPr>
          <w:rStyle w:val="FootnoteReference"/>
        </w:rPr>
        <w:footnoteReference w:id="10745"/>
      </w:r>
    </w:p>
    <w:p>
      <w:r>
        <w:rPr>
          <w:b/>
        </w:rPr>
        <w:t xml:space="preserve">11 </w:t>
      </w:r>
      <w:r>
        <w:t xml:space="preserve">For by this way you will live long time, and years of your life will be added.</w:t>
      </w:r>
    </w:p>
    <w:p>
      <w:r>
        <w:rPr>
          <w:b/>
        </w:rPr>
        <w:t xml:space="preserve">12 </w:t>
      </w:r>
      <w:r>
        <w:t xml:space="preserve">Son, if you become wise, for yourself you will be wise and for neighbors; but if you become evil, alone you will draw out evils. One leaning on lies pastures winds, and pursues flying birds. For he left ways of his own vineyard and wandered from tracks of his own field; he passes through waterless desert and land appointed in thirsty places, and gathers barrenness with hands.</w:t>
      </w:r>
    </w:p>
    <w:p>
      <w:r>
        <w:rPr>
          <w:b/>
        </w:rPr>
        <w:t xml:space="preserve">13 </w:t>
      </w:r>
      <w:r>
        <w:t xml:space="preserve">Foolish and bold woman, lacking bread, becomes one who does not know shame.</w:t>
      </w:r>
    </w:p>
    <w:p>
      <w:r>
        <w:rPr>
          <w:b/>
        </w:rPr>
        <w:t xml:space="preserve">14 </w:t>
      </w:r>
      <w:r>
        <w:t xml:space="preserve">She sat at the doors of her house on chair openly in squares,</w:t>
      </w:r>
    </w:p>
    <w:p>
      <w:r>
        <w:rPr>
          <w:b/>
        </w:rPr>
        <w:t xml:space="preserve">15 </w:t>
      </w:r>
      <w:r>
        <w:t xml:space="preserve">calling those passing by and going straight in their ways,</w:t>
      </w:r>
    </w:p>
    <w:p>
      <w:r>
        <w:rPr>
          <w:b/>
        </w:rPr>
        <w:t xml:space="preserve">16 </w:t>
      </w:r>
      <w:r>
        <w:t xml:space="preserve">"Who among you most foolish? Let him turn aside to me." And to those lacking sense I exhort, saying,</w:t>
      </w:r>
    </w:p>
    <w:p>
      <w:r>
        <w:rPr>
          <w:b/>
        </w:rPr>
        <w:t xml:space="preserve">17 </w:t>
      </w:r>
      <w:r>
        <w:t xml:space="preserve">"Touch hidden breads pleasantly and sweet water of theft."</w:t>
      </w:r>
    </w:p>
    <w:p>
      <w:r>
        <w:rPr>
          <w:b/>
        </w:rPr>
        <w:t xml:space="preserve">18 </w:t>
      </w:r>
      <w:r>
        <w:t xml:space="preserve">But he does not know that earthborn men perish beside her, and he meets floor of Hades. But spring away; do not delay in place, nor set your eye toward her. For thus you will cross foreign water and pass over foreign river. Hold back from foreign water and do not drink from foreign spring, so that you may live long time and years of life be added.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 wise</w:t>
      </w:r>
      <w:r>
        <w:rPr>
          <w:rStyle w:val="FootnoteReference"/>
        </w:rPr>
        <w:footnoteReference w:id="10746"/>
      </w:r>
      <w:r>
        <w:t xml:space="preserve"> son gladdens a father, but a foolish son grief to mother.</w:t>
      </w:r>
    </w:p>
    <w:p>
      <w:r>
        <w:rPr>
          <w:b/>
        </w:rPr>
        <w:t xml:space="preserve">2 </w:t>
      </w:r>
      <w:r>
        <w:t xml:space="preserve">Treasures</w:t>
      </w:r>
      <w:r>
        <w:rPr>
          <w:rStyle w:val="FootnoteReference"/>
        </w:rPr>
        <w:footnoteReference w:id="10747"/>
      </w:r>
      <w:r>
        <w:t xml:space="preserve"> will not benefit lawless men, but righteousness will rescue from death.</w:t>
      </w:r>
    </w:p>
    <w:p>
      <w:r>
        <w:rPr>
          <w:b/>
        </w:rPr>
        <w:t xml:space="preserve">3 </w:t>
      </w:r>
      <w:r>
        <w:t xml:space="preserve">The Lord will not starve righteous soul</w:t>
      </w:r>
      <w:r>
        <w:rPr>
          <w:rStyle w:val="FootnoteReference"/>
        </w:rPr>
        <w:footnoteReference w:id="10748"/>
      </w:r>
      <w:r>
        <w:t xml:space="preserve">, but life of the ungodly he will overthrow.</w:t>
      </w:r>
      <w:r>
        <w:rPr>
          <w:rStyle w:val="FootnoteReference"/>
        </w:rPr>
        <w:footnoteReference w:id="10749"/>
      </w:r>
    </w:p>
    <w:p>
      <w:r>
        <w:rPr>
          <w:b/>
        </w:rPr>
        <w:t xml:space="preserve">4 </w:t>
      </w:r>
      <w:r>
        <w:t xml:space="preserve">Poverty humbles man, but hands of brave men make rich. Disciplined son will be wise, but to foolish servant he will make use.</w:t>
      </w:r>
    </w:p>
    <w:p>
      <w:r>
        <w:rPr>
          <w:b/>
        </w:rPr>
        <w:t xml:space="preserve">5 </w:t>
      </w:r>
      <w:r>
        <w:t xml:space="preserve">Understanding son saved from heat, but lawless son becomes wind-blasted in harvest.</w:t>
      </w:r>
    </w:p>
    <w:p>
      <w:r>
        <w:rPr>
          <w:b/>
        </w:rPr>
        <w:t xml:space="preserve">6 </w:t>
      </w:r>
      <w:r>
        <w:t xml:space="preserve">The blessing of the Lord upon the head of the righteous, but the mouth of the ungodly will cover untimely grief.</w:t>
      </w:r>
    </w:p>
    <w:p>
      <w:r>
        <w:rPr>
          <w:b/>
        </w:rPr>
        <w:t xml:space="preserve">7 </w:t>
      </w:r>
      <w:r>
        <w:t xml:space="preserve">The memory</w:t>
      </w:r>
      <w:r>
        <w:rPr>
          <w:rStyle w:val="FootnoteReference"/>
        </w:rPr>
        <w:footnoteReference w:id="10750"/>
      </w:r>
      <w:r>
        <w:t xml:space="preserve"> of the righteous is with praises, but the name of the ungodly is quenched.</w:t>
      </w:r>
    </w:p>
    <w:p>
      <w:r>
        <w:rPr>
          <w:b/>
        </w:rPr>
        <w:t xml:space="preserve">8 </w:t>
      </w:r>
      <w:r>
        <w:t xml:space="preserve">The wise</w:t>
      </w:r>
      <w:r>
        <w:rPr>
          <w:rStyle w:val="FootnoteReference"/>
        </w:rPr>
        <w:footnoteReference w:id="10751"/>
      </w:r>
      <w:r>
        <w:t xml:space="preserve"> in heart will receive commands, but roofless one twisting with lips will be tripped up.</w:t>
      </w:r>
    </w:p>
    <w:p>
      <w:r>
        <w:rPr>
          <w:b/>
        </w:rPr>
        <w:t xml:space="preserve">9 </w:t>
      </w:r>
      <w:r>
        <w:t xml:space="preserve">One walking simply walks confidently, but one twisting his ways will be known.</w:t>
      </w:r>
    </w:p>
    <w:p>
      <w:r>
        <w:rPr>
          <w:b/>
        </w:rPr>
        <w:t xml:space="preserve">10 </w:t>
      </w:r>
      <w:r>
        <w:t xml:space="preserve">One winking eyes with deceit gathers griefs for men, but one rebuking with boldness makes peace.</w:t>
      </w:r>
    </w:p>
    <w:p>
      <w:r>
        <w:rPr>
          <w:b/>
        </w:rPr>
        <w:t xml:space="preserve">11 </w:t>
      </w:r>
      <w:r>
        <w:t xml:space="preserve">A fountain of life is in the hand of the righteous, but the mouth of the ungodly will cover destruction.</w:t>
      </w:r>
    </w:p>
    <w:p>
      <w:r>
        <w:rPr>
          <w:b/>
        </w:rPr>
        <w:t xml:space="preserve">12 </w:t>
      </w:r>
      <w:r>
        <w:t xml:space="preserve">Hatred</w:t>
      </w:r>
      <w:r>
        <w:rPr>
          <w:rStyle w:val="FootnoteReference"/>
        </w:rPr>
        <w:footnoteReference w:id="10752"/>
      </w:r>
      <w:r>
        <w:t xml:space="preserve"> stirs strife, but friendship covers all not loving strife.</w:t>
      </w:r>
    </w:p>
    <w:p>
      <w:r>
        <w:rPr>
          <w:b/>
        </w:rPr>
        <w:t xml:space="preserve">13 </w:t>
      </w:r>
      <w:r>
        <w:t xml:space="preserve">One bringing forth wisdom from lips strikes heartless man with rod.</w:t>
      </w:r>
    </w:p>
    <w:p>
      <w:r>
        <w:rPr>
          <w:b/>
        </w:rPr>
        <w:t xml:space="preserve">14 </w:t>
      </w:r>
      <w:r>
        <w:t xml:space="preserve">The wise hide perception, but the mouth</w:t>
      </w:r>
      <w:r>
        <w:rPr>
          <w:rStyle w:val="FootnoteReference"/>
        </w:rPr>
        <w:footnoteReference w:id="10753"/>
      </w:r>
      <w:r>
        <w:t xml:space="preserve"> of the rash approaches ruin.</w:t>
      </w:r>
    </w:p>
    <w:p>
      <w:r>
        <w:rPr>
          <w:b/>
        </w:rPr>
        <w:t xml:space="preserve">15 </w:t>
      </w:r>
      <w:r>
        <w:t xml:space="preserve">Possession of the rich is a strong city, but poverty is ruin of the ungodly.</w:t>
      </w:r>
      <w:r>
        <w:rPr>
          <w:rStyle w:val="FootnoteReference"/>
        </w:rPr>
        <w:footnoteReference w:id="10754"/>
      </w:r>
      <w:r>
        <w:t xml:space="preserve"/>
      </w:r>
      <w:r>
        <w:rPr>
          <w:rStyle w:val="FootnoteReference"/>
        </w:rPr>
        <w:footnoteReference w:id="10755"/>
      </w:r>
    </w:p>
    <w:p>
      <w:r>
        <w:rPr>
          <w:b/>
        </w:rPr>
        <w:t xml:space="preserve">16 </w:t>
      </w:r>
      <w:r>
        <w:t xml:space="preserve">The works of the righteous produce life, but fruits of the ungodly produce sins.</w:t>
      </w:r>
      <w:r>
        <w:rPr>
          <w:rStyle w:val="FootnoteReference"/>
        </w:rPr>
        <w:footnoteReference w:id="10756"/>
      </w:r>
      <w:r>
        <w:t xml:space="preserve"/>
      </w:r>
    </w:p>
    <w:p>
      <w:r>
        <w:rPr>
          <w:b/>
        </w:rPr>
        <w:t xml:space="preserve">17 </w:t>
      </w:r>
      <w:r>
        <w:t xml:space="preserve">Discipline guards the ways of righteous life, but discipline without correction leads astray.</w:t>
      </w:r>
    </w:p>
    <w:p>
      <w:r>
        <w:rPr>
          <w:b/>
        </w:rPr>
        <w:t xml:space="preserve">18 </w:t>
      </w:r>
      <w:r>
        <w:t xml:space="preserve">Righteous lips cover enmity, but those bringing out slanders are very foolish.</w:t>
      </w:r>
    </w:p>
    <w:p>
      <w:r>
        <w:rPr>
          <w:b/>
        </w:rPr>
        <w:t xml:space="preserve">19 </w:t>
      </w:r>
      <w:r>
        <w:t xml:space="preserve">In much speech you will not escape sin, but sparing lips you will be understanding.</w:t>
      </w:r>
    </w:p>
    <w:p>
      <w:r>
        <w:rPr>
          <w:b/>
        </w:rPr>
        <w:t xml:space="preserve">20 </w:t>
      </w:r>
      <w:r>
        <w:t xml:space="preserve">The tongue of the righteous is refined silver, but the heart of the ungodly will fail.</w:t>
      </w:r>
      <w:r>
        <w:rPr>
          <w:rStyle w:val="FootnoteReference"/>
        </w:rPr>
        <w:footnoteReference w:id="10757"/>
      </w:r>
      <w:r>
        <w:t xml:space="preserve"/>
      </w:r>
      <w:r>
        <w:rPr>
          <w:rStyle w:val="FootnoteReference"/>
        </w:rPr>
        <w:footnoteReference w:id="10758"/>
      </w:r>
    </w:p>
    <w:p>
      <w:r>
        <w:rPr>
          <w:b/>
        </w:rPr>
        <w:t xml:space="preserve">21 </w:t>
      </w:r>
      <w:r>
        <w:t xml:space="preserve">The lips of the righteous know high things, but fools die in want.</w:t>
      </w:r>
      <w:r>
        <w:rPr>
          <w:rStyle w:val="FootnoteReference"/>
        </w:rPr>
        <w:footnoteReference w:id="10759"/>
      </w:r>
      <w:r>
        <w:t xml:space="preserve"/>
      </w:r>
      <w:r>
        <w:rPr>
          <w:rStyle w:val="FootnoteReference"/>
        </w:rPr>
        <w:footnoteReference w:id="10760"/>
      </w:r>
    </w:p>
    <w:p>
      <w:r>
        <w:rPr>
          <w:b/>
        </w:rPr>
        <w:t xml:space="preserve">22 </w:t>
      </w:r>
      <w:r>
        <w:t xml:space="preserve">The blessing of the Lord upon the head of the righteous, it makes rich, and grief in heart will not be added to it.</w:t>
      </w:r>
    </w:p>
    <w:p>
      <w:r>
        <w:rPr>
          <w:b/>
        </w:rPr>
        <w:t xml:space="preserve">23 </w:t>
      </w:r>
      <w:r>
        <w:t xml:space="preserve">In laughter fool practices evil things, but wisdom bears understanding for man.</w:t>
      </w:r>
    </w:p>
    <w:p>
      <w:r>
        <w:rPr>
          <w:b/>
        </w:rPr>
        <w:t xml:space="preserve">24 </w:t>
      </w:r>
      <w:r>
        <w:t xml:space="preserve">An ungodly one is carried about in destruction, but the desire</w:t>
      </w:r>
      <w:r>
        <w:rPr>
          <w:rStyle w:val="FootnoteReference"/>
        </w:rPr>
        <w:footnoteReference w:id="10761"/>
      </w:r>
      <w:r>
        <w:t xml:space="preserve"> of the righteous is acceptable.</w:t>
      </w:r>
    </w:p>
    <w:p>
      <w:r>
        <w:rPr>
          <w:b/>
        </w:rPr>
        <w:t xml:space="preserve">25 </w:t>
      </w:r>
      <w:r>
        <w:t xml:space="preserve">When storm passes by, ungodly vanishes, but righteous turning aside is saved forever.</w:t>
      </w:r>
    </w:p>
    <w:p>
      <w:r>
        <w:rPr>
          <w:b/>
        </w:rPr>
        <w:t xml:space="preserve">26 </w:t>
      </w:r>
      <w:r>
        <w:t xml:space="preserve">Like sour grape to teeth and smoke to eyes, so lawlessness to those using it.</w:t>
      </w:r>
    </w:p>
    <w:p>
      <w:r>
        <w:rPr>
          <w:b/>
        </w:rPr>
        <w:t xml:space="preserve">27 </w:t>
      </w:r>
      <w:r>
        <w:t xml:space="preserve">The fear of the Lord adds days, but years of the ungodly will be shortened.</w:t>
      </w:r>
      <w:r>
        <w:rPr>
          <w:rStyle w:val="FootnoteReference"/>
        </w:rPr>
        <w:footnoteReference w:id="10762"/>
      </w:r>
      <w:r>
        <w:t xml:space="preserve"/>
      </w:r>
      <w:r>
        <w:rPr>
          <w:rStyle w:val="FootnoteReference"/>
        </w:rPr>
        <w:footnoteReference w:id="10763"/>
      </w:r>
    </w:p>
    <w:p>
      <w:r>
        <w:rPr>
          <w:b/>
        </w:rPr>
        <w:t xml:space="preserve">28 </w:t>
      </w:r>
      <w:r>
        <w:t xml:space="preserve">Joy lingers for the righteous, but hope</w:t>
      </w:r>
      <w:r>
        <w:rPr>
          <w:rStyle w:val="FootnoteReference"/>
        </w:rPr>
        <w:footnoteReference w:id="10764"/>
      </w:r>
      <w:r>
        <w:t xml:space="preserve"> of the ungodly perishes.</w:t>
      </w:r>
    </w:p>
    <w:p>
      <w:r>
        <w:rPr>
          <w:b/>
        </w:rPr>
        <w:t xml:space="preserve">29 </w:t>
      </w:r>
      <w:r>
        <w:t xml:space="preserve">The fear of the Lord is a fortress of a holy one, but ruin to workers of evil.</w:t>
      </w:r>
    </w:p>
    <w:p>
      <w:r>
        <w:rPr>
          <w:b/>
        </w:rPr>
        <w:t xml:space="preserve">30 </w:t>
      </w:r>
      <w:r>
        <w:t xml:space="preserve">The righteous forever will not give way, but the ungodly will not inhabit the earth.</w:t>
      </w:r>
    </w:p>
    <w:p>
      <w:r>
        <w:rPr>
          <w:b/>
        </w:rPr>
        <w:t xml:space="preserve">31 </w:t>
      </w:r>
      <w:r>
        <w:t xml:space="preserve">The mouth</w:t>
      </w:r>
      <w:r>
        <w:rPr>
          <w:rStyle w:val="FootnoteReference"/>
        </w:rPr>
        <w:footnoteReference w:id="10765"/>
      </w:r>
      <w:r>
        <w:t xml:space="preserve"> of the righteous drips wisdom, but the tongue of the unjust will perish.</w:t>
      </w:r>
    </w:p>
    <w:p>
      <w:r>
        <w:rPr>
          <w:b/>
        </w:rPr>
        <w:t xml:space="preserve">32 </w:t>
      </w:r>
      <w:r>
        <w:t xml:space="preserve">The lips of righteous men drip graces, but the mouth of the ungodly turns aside.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Deceitful scales abomination before the Lord, but just weight acceptable to him.</w:t>
      </w:r>
    </w:p>
    <w:p>
      <w:r>
        <w:rPr>
          <w:b/>
        </w:rPr>
        <w:t xml:space="preserve">2 </w:t>
      </w:r>
      <w:r>
        <w:t xml:space="preserve">Wherever insolence enters, there also dishonor; but mouth of humble meditates wisdom.</w:t>
      </w:r>
    </w:p>
    <w:p>
      <w:r>
        <w:rPr>
          <w:b/>
        </w:rPr>
        <w:t xml:space="preserve">3 </w:t>
      </w:r>
      <w:r>
        <w:t xml:space="preserve">When a righteous one dies, he leaves regret, but destruction of the ungodly comes readily and gladly.</w:t>
      </w:r>
      <w:r>
        <w:rPr>
          <w:rStyle w:val="FootnoteReference"/>
        </w:rPr>
        <w:footnoteReference w:id="10766"/>
      </w:r>
      <w:r>
        <w:t xml:space="preserve"/>
      </w:r>
    </w:p>
    <w:p>
      <w:r>
        <w:rPr>
          <w:b/>
        </w:rPr>
        <w:t xml:space="preserve">5 </w:t>
      </w:r>
      <w:r>
        <w:t xml:space="preserve">The righteousness of the blameless cuts straight ways; but ungodliness falls by injustice.</w:t>
      </w:r>
    </w:p>
    <w:p>
      <w:r>
        <w:rPr>
          <w:b/>
        </w:rPr>
        <w:t xml:space="preserve">6 </w:t>
      </w:r>
      <w:r>
        <w:t xml:space="preserve">The righteousness</w:t>
      </w:r>
      <w:r>
        <w:rPr>
          <w:rStyle w:val="FootnoteReference"/>
        </w:rPr>
        <w:footnoteReference w:id="10767"/>
      </w:r>
      <w:r>
        <w:t xml:space="preserve"> of the upright rescues them, but lawless are caught by their own destruction.</w:t>
      </w:r>
    </w:p>
    <w:p>
      <w:r>
        <w:rPr>
          <w:b/>
        </w:rPr>
        <w:t xml:space="preserve">7 </w:t>
      </w:r>
      <w:r>
        <w:t xml:space="preserve">When a righteous man dies, hope does not perish, but boast of the ungodly perishes.</w:t>
      </w:r>
      <w:r>
        <w:rPr>
          <w:rStyle w:val="FootnoteReference"/>
        </w:rPr>
        <w:footnoteReference w:id="10768"/>
      </w:r>
      <w:r>
        <w:t xml:space="preserve"/>
      </w:r>
    </w:p>
    <w:p>
      <w:r>
        <w:rPr>
          <w:b/>
        </w:rPr>
        <w:t xml:space="preserve">8 </w:t>
      </w:r>
      <w:r>
        <w:t xml:space="preserve">A righteous one escapes from a trap, and the ungodly one is handed over in his place.</w:t>
      </w:r>
      <w:r>
        <w:rPr>
          <w:rStyle w:val="FootnoteReference"/>
        </w:rPr>
        <w:footnoteReference w:id="10769"/>
      </w:r>
      <w:r>
        <w:t xml:space="preserve"/>
      </w:r>
    </w:p>
    <w:p>
      <w:r>
        <w:rPr>
          <w:b/>
        </w:rPr>
        <w:t xml:space="preserve">9 </w:t>
      </w:r>
      <w:r>
        <w:t xml:space="preserve">In the mouth of the ungodly is a snare to citizens, but perception of the righteous is a good way.</w:t>
      </w:r>
      <w:r>
        <w:rPr>
          <w:rStyle w:val="FootnoteReference"/>
        </w:rPr>
        <w:footnoteReference w:id="10770"/>
      </w:r>
      <w:r>
        <w:t xml:space="preserve"/>
      </w:r>
    </w:p>
    <w:p>
      <w:r>
        <w:rPr>
          <w:b/>
        </w:rPr>
        <w:t xml:space="preserve">10 </w:t>
      </w:r>
      <w:r>
        <w:t xml:space="preserve">In good things of the righteous, a city prospered.</w:t>
      </w:r>
      <w:r>
        <w:rPr>
          <w:rStyle w:val="FootnoteReference"/>
        </w:rPr>
        <w:footnoteReference w:id="10771"/>
      </w:r>
      <w:r>
        <w:t xml:space="preserve"/>
      </w:r>
    </w:p>
    <w:p>
      <w:r>
        <w:rPr>
          <w:b/>
        </w:rPr>
        <w:t xml:space="preserve">11 </w:t>
      </w:r>
      <w:r>
        <w:t xml:space="preserve">But by the mouths of the ungodly it was torn down.</w:t>
      </w:r>
      <w:r>
        <w:rPr>
          <w:rStyle w:val="FootnoteReference"/>
        </w:rPr>
        <w:footnoteReference w:id="10772"/>
      </w:r>
      <w:r>
        <w:t xml:space="preserve"/>
      </w:r>
    </w:p>
    <w:p>
      <w:r>
        <w:rPr>
          <w:b/>
        </w:rPr>
        <w:t xml:space="preserve">12 </w:t>
      </w:r>
      <w:r>
        <w:t xml:space="preserve">One lacking sense sneers at citizens, but prudent man leads quietness.</w:t>
      </w:r>
    </w:p>
    <w:p>
      <w:r>
        <w:rPr>
          <w:b/>
        </w:rPr>
        <w:t xml:space="preserve">13 </w:t>
      </w:r>
      <w:r>
        <w:t xml:space="preserve">Double-tongued man reveals counsels in council, but faithful breath hides matters.</w:t>
      </w:r>
    </w:p>
    <w:p>
      <w:r>
        <w:rPr>
          <w:b/>
        </w:rPr>
        <w:t xml:space="preserve">14 </w:t>
      </w:r>
      <w:r>
        <w:t xml:space="preserve">Those without guidance fall like leaves, but salvation exists in much counsel.</w:t>
      </w:r>
    </w:p>
    <w:p>
      <w:r>
        <w:rPr>
          <w:b/>
        </w:rPr>
        <w:t xml:space="preserve">15 </w:t>
      </w:r>
      <w:r>
        <w:t xml:space="preserve">Evil man does evil when he joins himself to righteous, but hates the sound of security.</w:t>
      </w:r>
    </w:p>
    <w:p>
      <w:r>
        <w:rPr>
          <w:b/>
        </w:rPr>
        <w:t xml:space="preserve">16 </w:t>
      </w:r>
      <w:r>
        <w:t xml:space="preserve">Pleasant woman raises glory for husband, but woman hating righteousness throne of dishonor. Sluggards become needy, but brave men are supported by wealth.</w:t>
      </w:r>
    </w:p>
    <w:p>
      <w:r>
        <w:rPr>
          <w:b/>
        </w:rPr>
        <w:t xml:space="preserve">17 </w:t>
      </w:r>
      <w:r>
        <w:t xml:space="preserve">Merciful</w:t>
      </w:r>
      <w:r>
        <w:rPr>
          <w:rStyle w:val="FootnoteReference"/>
        </w:rPr>
        <w:footnoteReference w:id="10773"/>
      </w:r>
      <w:r>
        <w:t xml:space="preserve"> man does good to his own soul, but pitiless man destroys his own body.</w:t>
      </w:r>
    </w:p>
    <w:p>
      <w:r>
        <w:rPr>
          <w:b/>
        </w:rPr>
        <w:t xml:space="preserve">18 </w:t>
      </w:r>
      <w:r>
        <w:t xml:space="preserve">An ungodly one does unjust works, but for the seed of righteous ones there is reward of truth.</w:t>
      </w:r>
    </w:p>
    <w:p>
      <w:r>
        <w:rPr>
          <w:b/>
        </w:rPr>
        <w:t xml:space="preserve">19 </w:t>
      </w:r>
      <w:r>
        <w:t xml:space="preserve">A righteous son is born for life, but pursuit of the ungodly is for death.</w:t>
      </w:r>
      <w:r>
        <w:rPr>
          <w:rStyle w:val="FootnoteReference"/>
        </w:rPr>
        <w:footnoteReference w:id="10774"/>
      </w:r>
      <w:r>
        <w:t xml:space="preserve"/>
      </w:r>
    </w:p>
    <w:p>
      <w:r>
        <w:rPr>
          <w:b/>
        </w:rPr>
        <w:t xml:space="preserve">20 </w:t>
      </w:r>
      <w:r>
        <w:t xml:space="preserve">Crooked ways abomination to the Lord, but blameless in their ways acceptable to him.</w:t>
      </w:r>
    </w:p>
    <w:p>
      <w:r>
        <w:rPr>
          <w:b/>
        </w:rPr>
        <w:t xml:space="preserve">21 </w:t>
      </w:r>
      <w:r>
        <w:t xml:space="preserve">Hand</w:t>
      </w:r>
      <w:r>
        <w:rPr>
          <w:rStyle w:val="FootnoteReference"/>
        </w:rPr>
        <w:footnoteReference w:id="10775"/>
      </w:r>
      <w:r>
        <w:t xml:space="preserve"> joining hands unjustly will not go unpunished, but one sowing righteousness will receive faithful reward.</w:t>
      </w:r>
    </w:p>
    <w:p>
      <w:r>
        <w:rPr>
          <w:b/>
        </w:rPr>
        <w:t xml:space="preserve">22 </w:t>
      </w:r>
      <w:r>
        <w:t xml:space="preserve">Like earring in nose of swine, so beauty in evil-minded woman.</w:t>
      </w:r>
    </w:p>
    <w:p>
      <w:r>
        <w:rPr>
          <w:b/>
        </w:rPr>
        <w:t xml:space="preserve">23 </w:t>
      </w:r>
      <w:r>
        <w:t xml:space="preserve">The desire</w:t>
      </w:r>
      <w:r>
        <w:rPr>
          <w:rStyle w:val="FootnoteReference"/>
        </w:rPr>
        <w:footnoteReference w:id="10776"/>
      </w:r>
      <w:r>
        <w:t xml:space="preserve"> of the righteous is altogether good, but hope of the ungodly will perish.</w:t>
      </w:r>
    </w:p>
    <w:p>
      <w:r>
        <w:rPr>
          <w:b/>
        </w:rPr>
        <w:t xml:space="preserve">24 </w:t>
      </w:r>
      <w:r>
        <w:t xml:space="preserve">There are those sowing their own things and making them more; there are also those gathering yet becoming less.</w:t>
      </w:r>
    </w:p>
    <w:p>
      <w:r>
        <w:rPr>
          <w:b/>
        </w:rPr>
        <w:t xml:space="preserve">25 </w:t>
      </w:r>
      <w:r>
        <w:t xml:space="preserve">Every simple soul is blessed, but a hot-tempered man is unseemly.</w:t>
      </w:r>
    </w:p>
    <w:p>
      <w:r>
        <w:rPr>
          <w:b/>
        </w:rPr>
        <w:t xml:space="preserve">26 </w:t>
      </w:r>
      <w:r>
        <w:t xml:space="preserve">One withholding grain, may peoples leave him behind, but blessing</w:t>
      </w:r>
      <w:r>
        <w:rPr>
          <w:rStyle w:val="FootnoteReference"/>
        </w:rPr>
        <w:footnoteReference w:id="10777"/>
      </w:r>
      <w:r>
        <w:t xml:space="preserve"> upon the head of one sharing.</w:t>
      </w:r>
    </w:p>
    <w:p>
      <w:r>
        <w:rPr>
          <w:b/>
        </w:rPr>
        <w:t xml:space="preserve">27 </w:t>
      </w:r>
      <w:r>
        <w:t xml:space="preserve">One devising good seeks good favor, but one seeking evils will be overtaken by them.</w:t>
      </w:r>
    </w:p>
    <w:p>
      <w:r>
        <w:rPr>
          <w:b/>
        </w:rPr>
        <w:t xml:space="preserve">28 </w:t>
      </w:r>
      <w:r>
        <w:t xml:space="preserve">One trusting in wealth will fall, but one helping the righteous will spring up.</w:t>
      </w:r>
      <w:r>
        <w:rPr>
          <w:rStyle w:val="FootnoteReference"/>
        </w:rPr>
        <w:footnoteReference w:id="10778"/>
      </w:r>
      <w:r>
        <w:t xml:space="preserve"/>
      </w:r>
    </w:p>
    <w:p>
      <w:r>
        <w:rPr>
          <w:b/>
        </w:rPr>
        <w:t xml:space="preserve">29 </w:t>
      </w:r>
      <w:r>
        <w:t xml:space="preserve">One not living well with his own house will inherit</w:t>
      </w:r>
      <w:r>
        <w:rPr>
          <w:rStyle w:val="FootnoteReference"/>
        </w:rPr>
        <w:footnoteReference w:id="10779"/>
      </w:r>
      <w:r>
        <w:t xml:space="preserve"> wind, and fool will serve wise.</w:t>
      </w:r>
    </w:p>
    <w:p>
      <w:r>
        <w:rPr>
          <w:b/>
        </w:rPr>
        <w:t xml:space="preserve">30 </w:t>
      </w:r>
      <w:r>
        <w:t xml:space="preserve">From the fruit</w:t>
      </w:r>
      <w:r>
        <w:rPr>
          <w:rStyle w:val="FootnoteReference"/>
        </w:rPr>
        <w:footnoteReference w:id="10780"/>
      </w:r>
      <w:r>
        <w:t xml:space="preserve"> of righteousness grows the tree of life, but untimely souls of lawless are taken away.</w:t>
      </w:r>
    </w:p>
    <w:p>
      <w:r>
        <w:rPr>
          <w:b/>
        </w:rPr>
        <w:t xml:space="preserve">31 </w:t>
      </w:r>
      <w:r>
        <w:t xml:space="preserve">If righteous scarcely saved, ungodly and sinner where will appear?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One loving discipline loves perception, but one hating rebukes fool.</w:t>
      </w:r>
    </w:p>
    <w:p>
      <w:r>
        <w:rPr>
          <w:b/>
        </w:rPr>
        <w:t xml:space="preserve">2 </w:t>
      </w:r>
      <w:r>
        <w:t xml:space="preserve">Better man finding favor from the Lord, but lawless man will be silenced.</w:t>
      </w:r>
    </w:p>
    <w:p>
      <w:r>
        <w:rPr>
          <w:b/>
        </w:rPr>
        <w:t xml:space="preserve">3 </w:t>
      </w:r>
      <w:r>
        <w:t xml:space="preserve">Man will not prosper from lawless thing, but roots of the righteous will not be pulled up.</w:t>
      </w:r>
      <w:r>
        <w:rPr>
          <w:rStyle w:val="FootnoteReference"/>
        </w:rPr>
        <w:footnoteReference w:id="10781"/>
      </w:r>
      <w:r>
        <w:t xml:space="preserve"/>
      </w:r>
    </w:p>
    <w:p>
      <w:r>
        <w:rPr>
          <w:b/>
        </w:rPr>
        <w:t xml:space="preserve">4 </w:t>
      </w:r>
      <w:r>
        <w:t xml:space="preserve">Brave wife crown to her husband, but evil-working wife like worm in wood destroys man.</w:t>
      </w:r>
    </w:p>
    <w:p>
      <w:r>
        <w:rPr>
          <w:b/>
        </w:rPr>
        <w:t xml:space="preserve">5 </w:t>
      </w:r>
      <w:r>
        <w:t xml:space="preserve">Thoughts</w:t>
      </w:r>
      <w:r>
        <w:rPr>
          <w:rStyle w:val="FootnoteReference"/>
        </w:rPr>
        <w:footnoteReference w:id="10782"/>
      </w:r>
      <w:r>
        <w:t xml:space="preserve"> of righteous judgments, but ungodly govern deceits.</w:t>
      </w:r>
    </w:p>
    <w:p>
      <w:r>
        <w:rPr>
          <w:b/>
        </w:rPr>
        <w:t xml:space="preserve">6 </w:t>
      </w:r>
      <w:r>
        <w:t xml:space="preserve">The words</w:t>
      </w:r>
      <w:r>
        <w:rPr>
          <w:rStyle w:val="FootnoteReference"/>
        </w:rPr>
        <w:footnoteReference w:id="10783"/>
      </w:r>
      <w:r>
        <w:t xml:space="preserve"> of the ungodly are deceitful, but the mouth of the upright will rescue them.</w:t>
      </w:r>
    </w:p>
    <w:p>
      <w:r>
        <w:rPr>
          <w:b/>
        </w:rPr>
        <w:t xml:space="preserve">7 </w:t>
      </w:r>
      <w:r>
        <w:t xml:space="preserve">Whenever ungodly turn, they vanish, but houses of righteous remain.</w:t>
      </w:r>
    </w:p>
    <w:p>
      <w:r>
        <w:rPr>
          <w:b/>
        </w:rPr>
        <w:t xml:space="preserve">8 </w:t>
      </w:r>
      <w:r>
        <w:t xml:space="preserve">The mouth of understanding praised by man, but slack-hearted mocked.</w:t>
      </w:r>
    </w:p>
    <w:p>
      <w:r>
        <w:rPr>
          <w:b/>
        </w:rPr>
        <w:t xml:space="preserve">9 </w:t>
      </w:r>
      <w:r>
        <w:t xml:space="preserve">Better man in dishonor serving himself than one putting honor round himself and lacking bread.</w:t>
      </w:r>
    </w:p>
    <w:p>
      <w:r>
        <w:rPr>
          <w:b/>
        </w:rPr>
        <w:t xml:space="preserve">10 </w:t>
      </w:r>
      <w:r>
        <w:t xml:space="preserve">A righteous one pities the souls of his cattle, but inward parts of the ungodly are pitiless.</w:t>
      </w:r>
      <w:r>
        <w:rPr>
          <w:rStyle w:val="FootnoteReference"/>
        </w:rPr>
        <w:footnoteReference w:id="10784"/>
      </w:r>
      <w:r>
        <w:t xml:space="preserve"/>
      </w:r>
      <w:r>
        <w:rPr>
          <w:rStyle w:val="FootnoteReference"/>
        </w:rPr>
        <w:footnoteReference w:id="10785"/>
      </w:r>
    </w:p>
    <w:p>
      <w:r>
        <w:rPr>
          <w:b/>
        </w:rPr>
        <w:t xml:space="preserve">11 </w:t>
      </w:r>
      <w:r>
        <w:t xml:space="preserve">One working his own land will be filled with breads, but those pursuing empty things lack sense. One sweet in wine-parties will leave dishonor in his strongholds.</w:t>
      </w:r>
    </w:p>
    <w:p>
      <w:r>
        <w:rPr>
          <w:b/>
        </w:rPr>
        <w:t xml:space="preserve">12 </w:t>
      </w:r>
      <w:r>
        <w:t xml:space="preserve">Desires of the ungodly are evil, but roots of the pious are in strongholds.</w:t>
      </w:r>
      <w:r>
        <w:rPr>
          <w:rStyle w:val="FootnoteReference"/>
        </w:rPr>
        <w:footnoteReference w:id="10786"/>
      </w:r>
      <w:r>
        <w:t xml:space="preserve"/>
      </w:r>
    </w:p>
    <w:p>
      <w:r>
        <w:rPr>
          <w:b/>
        </w:rPr>
        <w:t xml:space="preserve">13 </w:t>
      </w:r>
      <w:r>
        <w:t xml:space="preserve">Through sin of lips a sinner falls into a snare, but a righteous one escapes from them. One whose looks are gentle will receive mercy, but one contending in the gates will afflict souls.</w:t>
      </w:r>
    </w:p>
    <w:p>
      <w:r>
        <w:rPr>
          <w:b/>
        </w:rPr>
        <w:t xml:space="preserve">14 </w:t>
      </w:r>
      <w:r>
        <w:t xml:space="preserve">From the fruits of mouth soul of man will be filled with goods, and reward of his lips will be given him.</w:t>
      </w:r>
    </w:p>
    <w:p>
      <w:r>
        <w:rPr>
          <w:b/>
        </w:rPr>
        <w:t xml:space="preserve">15 </w:t>
      </w:r>
      <w:r>
        <w:t xml:space="preserve">The ways of fools are right before themselves, but a wise one listens to counsels.</w:t>
      </w:r>
    </w:p>
    <w:p>
      <w:r>
        <w:rPr>
          <w:b/>
        </w:rPr>
        <w:t xml:space="preserve">16 </w:t>
      </w:r>
      <w:r>
        <w:t xml:space="preserve">A fool the same day announces his anger, but shrewd hides his own shame.</w:t>
      </w:r>
    </w:p>
    <w:p>
      <w:r>
        <w:rPr>
          <w:b/>
        </w:rPr>
        <w:t xml:space="preserve">17 </w:t>
      </w:r>
      <w:r>
        <w:t xml:space="preserve">A righteous one openly displays faith, but witness of injustices deceitful.</w:t>
      </w:r>
    </w:p>
    <w:p>
      <w:r>
        <w:rPr>
          <w:b/>
        </w:rPr>
        <w:t xml:space="preserve">18 </w:t>
      </w:r>
      <w:r>
        <w:t xml:space="preserve">There are speakers wounding like a sword, but tongues of wise heal.</w:t>
      </w:r>
    </w:p>
    <w:p>
      <w:r>
        <w:rPr>
          <w:b/>
        </w:rPr>
        <w:t xml:space="preserve">19 </w:t>
      </w:r>
      <w:r>
        <w:t xml:space="preserve">Truthful lips set straight witness, but hasty witness has unjust tongue.</w:t>
      </w:r>
    </w:p>
    <w:p>
      <w:r>
        <w:rPr>
          <w:b/>
        </w:rPr>
        <w:t xml:space="preserve">20 </w:t>
      </w:r>
      <w:r>
        <w:t xml:space="preserve">Deceit</w:t>
      </w:r>
      <w:r>
        <w:rPr>
          <w:rStyle w:val="FootnoteReference"/>
        </w:rPr>
        <w:footnoteReference w:id="10787"/>
      </w:r>
      <w:r>
        <w:t xml:space="preserve"> in the heart of one devising evils, but those willing peace will rejoice.</w:t>
      </w:r>
    </w:p>
    <w:p>
      <w:r>
        <w:rPr>
          <w:b/>
        </w:rPr>
        <w:t xml:space="preserve">21 </w:t>
      </w:r>
      <w:r>
        <w:t xml:space="preserve">Nothing unjust will please the righteous, but the ungodly will be filled with evils.</w:t>
      </w:r>
      <w:r>
        <w:rPr>
          <w:rStyle w:val="FootnoteReference"/>
        </w:rPr>
        <w:footnoteReference w:id="10788"/>
      </w:r>
      <w:r>
        <w:t xml:space="preserve"/>
      </w:r>
      <w:r>
        <w:rPr>
          <w:rStyle w:val="FootnoteReference"/>
        </w:rPr>
        <w:footnoteReference w:id="10789"/>
      </w:r>
    </w:p>
    <w:p>
      <w:r>
        <w:rPr>
          <w:b/>
        </w:rPr>
        <w:t xml:space="preserve">22 </w:t>
      </w:r>
      <w:r>
        <w:t xml:space="preserve">Lying</w:t>
      </w:r>
      <w:r>
        <w:rPr>
          <w:rStyle w:val="FootnoteReference"/>
        </w:rPr>
        <w:footnoteReference w:id="10790"/>
      </w:r>
      <w:r>
        <w:t xml:space="preserve"> lips abomination to the Lord, but one doing faithfulness acceptable to him.</w:t>
      </w:r>
    </w:p>
    <w:p>
      <w:r>
        <w:rPr>
          <w:b/>
        </w:rPr>
        <w:t xml:space="preserve">23 </w:t>
      </w:r>
      <w:r>
        <w:t xml:space="preserve">Understanding man throne of perception, but the heart of fools will meet curses.</w:t>
      </w:r>
    </w:p>
    <w:p>
      <w:r>
        <w:rPr>
          <w:b/>
        </w:rPr>
        <w:t xml:space="preserve">24 </w:t>
      </w:r>
      <w:r>
        <w:t xml:space="preserve">The hand</w:t>
      </w:r>
      <w:r>
        <w:rPr>
          <w:rStyle w:val="FootnoteReference"/>
        </w:rPr>
        <w:footnoteReference w:id="10791"/>
      </w:r>
      <w:r>
        <w:t xml:space="preserve"> of choice ones will rule easily, but deceitful will be for plunder.</w:t>
      </w:r>
    </w:p>
    <w:p>
      <w:r>
        <w:rPr>
          <w:b/>
        </w:rPr>
        <w:t xml:space="preserve">25 </w:t>
      </w:r>
      <w:r>
        <w:t xml:space="preserve">A fearful word troubles the heart of a righteous man, but a good message gladdens him.</w:t>
      </w:r>
      <w:r>
        <w:rPr>
          <w:rStyle w:val="FootnoteReference"/>
        </w:rPr>
        <w:footnoteReference w:id="10792"/>
      </w:r>
      <w:r>
        <w:t xml:space="preserve"/>
      </w:r>
    </w:p>
    <w:p>
      <w:r>
        <w:rPr>
          <w:b/>
        </w:rPr>
        <w:t xml:space="preserve">26 </w:t>
      </w:r>
      <w:r>
        <w:t xml:space="preserve">A discerning righteous</w:t>
      </w:r>
      <w:r>
        <w:rPr>
          <w:rStyle w:val="FootnoteReference"/>
        </w:rPr>
        <w:footnoteReference w:id="10793"/>
      </w:r>
      <w:r>
        <w:t xml:space="preserve"> one will be his own friend, but counsels of the ungodly are harsh. Evil will pursue sinners, but the way of the ungodly will mislead them.</w:t>
      </w:r>
      <w:r>
        <w:rPr>
          <w:rStyle w:val="FootnoteReference"/>
        </w:rPr>
        <w:footnoteReference w:id="10794"/>
      </w:r>
    </w:p>
    <w:p>
      <w:r>
        <w:rPr>
          <w:b/>
        </w:rPr>
        <w:t xml:space="preserve">27 </w:t>
      </w:r>
      <w:r>
        <w:t xml:space="preserve">Deceitful man will not obtain game, but precious possession pure man.</w:t>
      </w:r>
    </w:p>
    <w:p>
      <w:r>
        <w:rPr>
          <w:b/>
        </w:rPr>
        <w:t xml:space="preserve">28 </w:t>
      </w:r>
      <w:r>
        <w:t xml:space="preserve">In the ways of righteousness life, but ways of the resentful to death.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Shrewd son obedient to father, but disobedient son in destruction.</w:t>
      </w:r>
    </w:p>
    <w:p>
      <w:r>
        <w:rPr>
          <w:b/>
        </w:rPr>
        <w:t xml:space="preserve">2 </w:t>
      </w:r>
      <w:r>
        <w:t xml:space="preserve">From the fruits of righteousness good man will eat, but souls of lawless perish untimely.</w:t>
      </w:r>
    </w:p>
    <w:p>
      <w:r>
        <w:rPr>
          <w:b/>
        </w:rPr>
        <w:t xml:space="preserve">3 </w:t>
      </w:r>
      <w:r>
        <w:t xml:space="preserve">One guarding own mouth keeps own soul, but rash in lips will terrify himself.</w:t>
      </w:r>
    </w:p>
    <w:p>
      <w:r>
        <w:rPr>
          <w:b/>
        </w:rPr>
        <w:t xml:space="preserve">4 </w:t>
      </w:r>
      <w:r>
        <w:t xml:space="preserve">Every idle man lives in desires, but hands of brave in diligence.</w:t>
      </w:r>
    </w:p>
    <w:p>
      <w:r>
        <w:rPr>
          <w:b/>
        </w:rPr>
        <w:t xml:space="preserve">5 </w:t>
      </w:r>
      <w:r>
        <w:t xml:space="preserve">A righteous one hates an unjust word, but the ungodly will be shamed and have no boldness.</w:t>
      </w:r>
      <w:r>
        <w:rPr>
          <w:rStyle w:val="FootnoteReference"/>
        </w:rPr>
        <w:footnoteReference w:id="10795"/>
      </w:r>
      <w:r>
        <w:t xml:space="preserve"/>
      </w:r>
      <w:r>
        <w:rPr>
          <w:rStyle w:val="FootnoteReference"/>
        </w:rPr>
        <w:footnoteReference w:id="10796"/>
      </w:r>
    </w:p>
    <w:p>
      <w:r>
        <w:rPr>
          <w:b/>
        </w:rPr>
        <w:t xml:space="preserve">6 </w:t>
      </w:r>
      <w:r>
        <w:t xml:space="preserve">Righteousness</w:t>
      </w:r>
      <w:r>
        <w:rPr>
          <w:rStyle w:val="FootnoteReference"/>
        </w:rPr>
        <w:footnoteReference w:id="10797"/>
      </w:r>
      <w:r>
        <w:t xml:space="preserve"> guards the innocent, but sin makes the ungodly base.</w:t>
      </w:r>
    </w:p>
    <w:p>
      <w:r>
        <w:rPr>
          <w:b/>
        </w:rPr>
        <w:t xml:space="preserve">7 </w:t>
      </w:r>
      <w:r>
        <w:t xml:space="preserve">There are those making themselves rich while having nothing, and there are those humbling themselves in much wealth.</w:t>
      </w:r>
    </w:p>
    <w:p>
      <w:r>
        <w:rPr>
          <w:b/>
        </w:rPr>
        <w:t xml:space="preserve">8 </w:t>
      </w:r>
      <w:r>
        <w:t xml:space="preserve">Ransom</w:t>
      </w:r>
      <w:r>
        <w:rPr>
          <w:rStyle w:val="FootnoteReference"/>
        </w:rPr>
        <w:footnoteReference w:id="10798"/>
      </w:r>
      <w:r>
        <w:t xml:space="preserve"> of man's soul his own wealth, but poor does not endure threat.</w:t>
      </w:r>
    </w:p>
    <w:p>
      <w:r>
        <w:rPr>
          <w:b/>
        </w:rPr>
        <w:t xml:space="preserve">9 </w:t>
      </w:r>
      <w:r>
        <w:t xml:space="preserve">There is light</w:t>
      </w:r>
      <w:r>
        <w:rPr>
          <w:rStyle w:val="FootnoteReference"/>
        </w:rPr>
        <w:footnoteReference w:id="10799"/>
      </w:r>
      <w:r>
        <w:t xml:space="preserve"> for the righteous always, but the light of the ungodly is quenched. Deceitful souls wander in sins, but the righteous show compassion and mercy.</w:t>
      </w:r>
    </w:p>
    <w:p>
      <w:r>
        <w:rPr>
          <w:b/>
        </w:rPr>
        <w:t xml:space="preserve">10 </w:t>
      </w:r>
      <w:r>
        <w:t xml:space="preserve">Evil man with insolence works evils, but those knowing themselves wise.</w:t>
      </w:r>
    </w:p>
    <w:p>
      <w:r>
        <w:rPr>
          <w:b/>
        </w:rPr>
        <w:t xml:space="preserve">11 </w:t>
      </w:r>
      <w:r>
        <w:t xml:space="preserve">Possession hurried with lawlessness becomes less, but one gathering for himself with piety will be multiplied. Righteous pities and lends.</w:t>
      </w:r>
    </w:p>
    <w:p>
      <w:r>
        <w:rPr>
          <w:b/>
        </w:rPr>
        <w:t xml:space="preserve">12 </w:t>
      </w:r>
      <w:r>
        <w:t xml:space="preserve">Better one beginning to help from heart than one promising and leading into hope</w:t>
      </w:r>
      <w:r>
        <w:rPr>
          <w:rStyle w:val="FootnoteReference"/>
        </w:rPr>
        <w:footnoteReference w:id="10800"/>
      </w:r>
      <w:r>
        <w:t xml:space="preserve">, for good desire is a tree of life.</w:t>
      </w:r>
    </w:p>
    <w:p>
      <w:r>
        <w:rPr>
          <w:b/>
        </w:rPr>
        <w:t xml:space="preserve">13 </w:t>
      </w:r>
      <w:r>
        <w:t xml:space="preserve">One despising matter will be despised by it, but one fearing command will be made sound. Deceitful son will have nothing good, but to wise servant actions will prosper and his way will be made straight.</w:t>
      </w:r>
    </w:p>
    <w:p>
      <w:r>
        <w:rPr>
          <w:b/>
        </w:rPr>
        <w:t xml:space="preserve">14 </w:t>
      </w:r>
      <w:r>
        <w:t xml:space="preserve">The law of the wise is a fountain of life, but senseless man will die from snare.</w:t>
      </w:r>
    </w:p>
    <w:p>
      <w:r>
        <w:rPr>
          <w:b/>
        </w:rPr>
        <w:t xml:space="preserve">15 </w:t>
      </w:r>
      <w:r>
        <w:t xml:space="preserve">Good</w:t>
      </w:r>
      <w:r>
        <w:rPr>
          <w:rStyle w:val="FootnoteReference"/>
        </w:rPr>
        <w:footnoteReference w:id="10801"/>
      </w:r>
      <w:r>
        <w:t xml:space="preserve"> understanding gives favor, and knowing law belongs to good mind, but ways of despisers in destruction.</w:t>
      </w:r>
    </w:p>
    <w:p>
      <w:r>
        <w:rPr>
          <w:b/>
        </w:rPr>
        <w:t xml:space="preserve">16 </w:t>
      </w:r>
      <w:r>
        <w:t xml:space="preserve">Every shrewd man acts with knowledge, but fool spreads out his own evil.</w:t>
      </w:r>
    </w:p>
    <w:p>
      <w:r>
        <w:rPr>
          <w:b/>
        </w:rPr>
        <w:t xml:space="preserve">17 </w:t>
      </w:r>
      <w:r>
        <w:t xml:space="preserve">Bold king will fall into evils, but faithful messenger will deliver him.</w:t>
      </w:r>
    </w:p>
    <w:p>
      <w:r>
        <w:rPr>
          <w:b/>
        </w:rPr>
        <w:t xml:space="preserve">18 </w:t>
      </w:r>
      <w:r>
        <w:t xml:space="preserve">Discipline removes poverty</w:t>
      </w:r>
      <w:r>
        <w:rPr>
          <w:rStyle w:val="FootnoteReference"/>
        </w:rPr>
        <w:footnoteReference w:id="10802"/>
      </w:r>
      <w:r>
        <w:t xml:space="preserve"> and dishonor, but one keeping reproofs will be glorified.</w:t>
      </w:r>
    </w:p>
    <w:p>
      <w:r>
        <w:rPr>
          <w:b/>
        </w:rPr>
        <w:t xml:space="preserve">19 </w:t>
      </w:r>
      <w:r>
        <w:t xml:space="preserve">Desires of the godly sweeten the soul, but works of the ungodly are far from knowledge.</w:t>
      </w:r>
      <w:r>
        <w:rPr>
          <w:rStyle w:val="FootnoteReference"/>
        </w:rPr>
        <w:footnoteReference w:id="10803"/>
      </w:r>
      <w:r>
        <w:t xml:space="preserve"/>
      </w:r>
    </w:p>
    <w:p>
      <w:r>
        <w:rPr>
          <w:b/>
        </w:rPr>
        <w:t xml:space="preserve">20 </w:t>
      </w:r>
      <w:r>
        <w:t xml:space="preserve">One walking with wise will be wise, but one walking with fools will be known.</w:t>
      </w:r>
    </w:p>
    <w:p>
      <w:r>
        <w:rPr>
          <w:b/>
        </w:rPr>
        <w:t xml:space="preserve">21 </w:t>
      </w:r>
      <w:r>
        <w:t xml:space="preserve">Evil will pursue sinners, but goods will overtake righteous</w:t>
      </w:r>
      <w:r>
        <w:rPr>
          <w:rStyle w:val="FootnoteReference"/>
        </w:rPr>
        <w:footnoteReference w:id="10804"/>
      </w:r>
      <w:r>
        <w:t xml:space="preserve">.</w:t>
      </w:r>
    </w:p>
    <w:p>
      <w:r>
        <w:rPr>
          <w:b/>
        </w:rPr>
        <w:t xml:space="preserve">22 </w:t>
      </w:r>
      <w:r>
        <w:t xml:space="preserve">Good man will inherit sons of sons, but the wealth</w:t>
      </w:r>
      <w:r>
        <w:rPr>
          <w:rStyle w:val="FootnoteReference"/>
        </w:rPr>
        <w:footnoteReference w:id="10805"/>
      </w:r>
      <w:r>
        <w:t xml:space="preserve"> of the ungodly is stored up for the righteous.</w:t>
      </w:r>
    </w:p>
    <w:p>
      <w:r>
        <w:rPr>
          <w:b/>
        </w:rPr>
        <w:t xml:space="preserve">23 </w:t>
      </w:r>
      <w:r>
        <w:t xml:space="preserve">A righteous one will make many years in wealth, but unjust will be destroyed</w:t>
      </w:r>
      <w:r>
        <w:rPr>
          <w:rStyle w:val="FootnoteReference"/>
        </w:rPr>
        <w:footnoteReference w:id="10806"/>
      </w:r>
      <w:r>
        <w:t xml:space="preserve"> quickly.</w:t>
      </w:r>
    </w:p>
    <w:p>
      <w:r>
        <w:rPr>
          <w:b/>
        </w:rPr>
        <w:t xml:space="preserve">24 </w:t>
      </w:r>
      <w:r>
        <w:t xml:space="preserve">One sparing rod hates his son, but one loving disciplines diligently.</w:t>
      </w:r>
    </w:p>
    <w:p>
      <w:r>
        <w:rPr>
          <w:b/>
        </w:rPr>
        <w:t xml:space="preserve">25 </w:t>
      </w:r>
      <w:r>
        <w:t xml:space="preserve">A righteous</w:t>
      </w:r>
      <w:r>
        <w:rPr>
          <w:rStyle w:val="FootnoteReference"/>
        </w:rPr>
        <w:footnoteReference w:id="10807"/>
      </w:r>
      <w:r>
        <w:t xml:space="preserve"> one eats and fills his soul, but souls of ungodly needy.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Wise</w:t>
      </w:r>
      <w:r>
        <w:rPr>
          <w:rStyle w:val="FootnoteReference"/>
        </w:rPr>
        <w:footnoteReference w:id="10808"/>
      </w:r>
      <w:r>
        <w:t xml:space="preserve"> women built houses, but foolish woman tore hers down with her own hands.</w:t>
      </w:r>
    </w:p>
    <w:p>
      <w:r>
        <w:rPr>
          <w:b/>
        </w:rPr>
        <w:t xml:space="preserve">2 </w:t>
      </w:r>
      <w:r>
        <w:t xml:space="preserve">One walking upright fears the Lord, but one twisting his ways will be dishonored.</w:t>
      </w:r>
    </w:p>
    <w:p>
      <w:r>
        <w:rPr>
          <w:b/>
        </w:rPr>
        <w:t xml:space="preserve">3 </w:t>
      </w:r>
      <w:r>
        <w:t xml:space="preserve">From the mouth</w:t>
      </w:r>
      <w:r>
        <w:rPr>
          <w:rStyle w:val="FootnoteReference"/>
        </w:rPr>
        <w:footnoteReference w:id="10809"/>
      </w:r>
      <w:r>
        <w:t xml:space="preserve"> of fools rod of insolence, but lips of wise will guard them.</w:t>
      </w:r>
    </w:p>
    <w:p>
      <w:r>
        <w:rPr>
          <w:b/>
        </w:rPr>
        <w:t xml:space="preserve">4 </w:t>
      </w:r>
      <w:r>
        <w:t xml:space="preserve">Where no oxen, stalls clean</w:t>
      </w:r>
      <w:r>
        <w:rPr>
          <w:rStyle w:val="FootnoteReference"/>
        </w:rPr>
        <w:footnoteReference w:id="10810"/>
      </w:r>
      <w:r>
        <w:t xml:space="preserve">, but much produce manifest in the strength of ox.</w:t>
      </w:r>
    </w:p>
    <w:p>
      <w:r>
        <w:rPr>
          <w:b/>
        </w:rPr>
        <w:t xml:space="preserve">5 </w:t>
      </w:r>
      <w:r>
        <w:t xml:space="preserve">Faithful witness does not lie, but unjust witness kindles lies.</w:t>
      </w:r>
    </w:p>
    <w:p>
      <w:r>
        <w:rPr>
          <w:b/>
        </w:rPr>
        <w:t xml:space="preserve">6 </w:t>
      </w:r>
      <w:r>
        <w:t xml:space="preserve">You will seek wisdom among evil men and not find it, but perception easy with prudent.</w:t>
      </w:r>
    </w:p>
    <w:p>
      <w:r>
        <w:rPr>
          <w:b/>
        </w:rPr>
        <w:t xml:space="preserve">7 </w:t>
      </w:r>
      <w:r>
        <w:t xml:space="preserve">All things contrary to foolish man, but lips of wise weapons of perception.</w:t>
      </w:r>
    </w:p>
    <w:p>
      <w:r>
        <w:rPr>
          <w:b/>
        </w:rPr>
        <w:t xml:space="preserve">8 </w:t>
      </w:r>
      <w:r>
        <w:t xml:space="preserve">The wisdom</w:t>
      </w:r>
      <w:r>
        <w:rPr>
          <w:rStyle w:val="FootnoteReference"/>
        </w:rPr>
        <w:footnoteReference w:id="10811"/>
      </w:r>
      <w:r>
        <w:t xml:space="preserve"> of the shrewd will know their ways, but the folly of fools is in wandering.</w:t>
      </w:r>
    </w:p>
    <w:p>
      <w:r>
        <w:rPr>
          <w:b/>
        </w:rPr>
        <w:t xml:space="preserve">9 </w:t>
      </w:r>
      <w:r>
        <w:t xml:space="preserve">The houses of the lawless will owe cleansing, but the houses of the righteous are acceptable.</w:t>
      </w:r>
      <w:r>
        <w:rPr>
          <w:rStyle w:val="FootnoteReference"/>
        </w:rPr>
        <w:footnoteReference w:id="10812"/>
      </w:r>
      <w:r>
        <w:t xml:space="preserve"/>
      </w:r>
    </w:p>
    <w:p>
      <w:r>
        <w:rPr>
          <w:b/>
        </w:rPr>
        <w:t xml:space="preserve">10 </w:t>
      </w:r>
      <w:r>
        <w:t xml:space="preserve">The heart</w:t>
      </w:r>
      <w:r>
        <w:rPr>
          <w:rStyle w:val="FootnoteReference"/>
        </w:rPr>
        <w:footnoteReference w:id="10813"/>
      </w:r>
      <w:r>
        <w:t xml:space="preserve"> of perceptive man knows grief of its own soul, and when it rejoices it does not mix with insolence.</w:t>
      </w:r>
    </w:p>
    <w:p>
      <w:r>
        <w:rPr>
          <w:b/>
        </w:rPr>
        <w:t xml:space="preserve">11 </w:t>
      </w:r>
      <w:r>
        <w:t xml:space="preserve">The houses of the ungodly will vanish, but the tents of those setting straight will stand.</w:t>
      </w:r>
      <w:r>
        <w:rPr>
          <w:rStyle w:val="FootnoteReference"/>
        </w:rPr>
        <w:footnoteReference w:id="10814"/>
      </w:r>
      <w:r>
        <w:t xml:space="preserve"/>
      </w:r>
    </w:p>
    <w:p>
      <w:r>
        <w:rPr>
          <w:b/>
        </w:rPr>
        <w:t xml:space="preserve">12 </w:t>
      </w:r>
      <w:r>
        <w:t xml:space="preserve">There is way seeming right before men, but its ends come to floor of Hades.</w:t>
      </w:r>
    </w:p>
    <w:p>
      <w:r>
        <w:rPr>
          <w:b/>
        </w:rPr>
        <w:t xml:space="preserve">13 </w:t>
      </w:r>
      <w:r>
        <w:t xml:space="preserve">In merriments sorrow not mixed in, but end of joy comes into grief.</w:t>
      </w:r>
    </w:p>
    <w:p>
      <w:r>
        <w:rPr>
          <w:b/>
        </w:rPr>
        <w:t xml:space="preserve">14 </w:t>
      </w:r>
      <w:r>
        <w:t xml:space="preserve">Bold-hearted will be filled</w:t>
      </w:r>
      <w:r>
        <w:rPr>
          <w:rStyle w:val="FootnoteReference"/>
        </w:rPr>
        <w:footnoteReference w:id="10815"/>
      </w:r>
      <w:r>
        <w:t xml:space="preserve"> from his own ways, but good man from his thoughts.</w:t>
      </w:r>
    </w:p>
    <w:p>
      <w:r>
        <w:rPr>
          <w:b/>
        </w:rPr>
        <w:t xml:space="preserve">15 </w:t>
      </w:r>
      <w:r>
        <w:t xml:space="preserve">Innocent believes every word, but shrewd comes to second thoughts.</w:t>
      </w:r>
    </w:p>
    <w:p>
      <w:r>
        <w:rPr>
          <w:b/>
        </w:rPr>
        <w:t xml:space="preserve">16 </w:t>
      </w:r>
      <w:r>
        <w:t xml:space="preserve">A wise man, fearing, turned away from evil, but a fool, trusting himself, mixes with a lawless man.</w:t>
      </w:r>
    </w:p>
    <w:p>
      <w:r>
        <w:rPr>
          <w:b/>
        </w:rPr>
        <w:t xml:space="preserve">17 </w:t>
      </w:r>
      <w:r>
        <w:t xml:space="preserve">Sharp-tempered man acts without counsel, but prudent man endures much.</w:t>
      </w:r>
    </w:p>
    <w:p>
      <w:r>
        <w:rPr>
          <w:b/>
        </w:rPr>
        <w:t xml:space="preserve">18 </w:t>
      </w:r>
      <w:r>
        <w:t xml:space="preserve">Fools inherit</w:t>
      </w:r>
      <w:r>
        <w:rPr>
          <w:rStyle w:val="FootnoteReference"/>
        </w:rPr>
        <w:footnoteReference w:id="10816"/>
      </w:r>
      <w:r>
        <w:t xml:space="preserve"> evil, but shrewd will hold fast perception.</w:t>
      </w:r>
    </w:p>
    <w:p>
      <w:r>
        <w:rPr>
          <w:b/>
        </w:rPr>
        <w:t xml:space="preserve">19 </w:t>
      </w:r>
      <w:r>
        <w:t xml:space="preserve">Evil men will slip before good ones, and the ungodly will serve at the doors of the righteous.</w:t>
      </w:r>
      <w:r>
        <w:rPr>
          <w:rStyle w:val="FootnoteReference"/>
        </w:rPr>
        <w:footnoteReference w:id="10817"/>
      </w:r>
      <w:r>
        <w:t xml:space="preserve"/>
      </w:r>
    </w:p>
    <w:p>
      <w:r>
        <w:rPr>
          <w:b/>
        </w:rPr>
        <w:t xml:space="preserve">20 </w:t>
      </w:r>
      <w:r>
        <w:t xml:space="preserve">Friends will hate poor</w:t>
      </w:r>
      <w:r>
        <w:rPr>
          <w:rStyle w:val="FootnoteReference"/>
        </w:rPr>
        <w:footnoteReference w:id="10818"/>
      </w:r>
      <w:r>
        <w:t xml:space="preserve"> friend, but friends of rich many.</w:t>
      </w:r>
    </w:p>
    <w:p>
      <w:r>
        <w:rPr>
          <w:b/>
        </w:rPr>
        <w:t xml:space="preserve">21 </w:t>
      </w:r>
      <w:r>
        <w:t xml:space="preserve">One dishonoring poor sins, but one showing mercy to poor blessed.</w:t>
      </w:r>
    </w:p>
    <w:p>
      <w:r>
        <w:rPr>
          <w:b/>
        </w:rPr>
        <w:t xml:space="preserve">22 </w:t>
      </w:r>
      <w:r>
        <w:t xml:space="preserve">Those wandering devise</w:t>
      </w:r>
      <w:r>
        <w:rPr>
          <w:rStyle w:val="FootnoteReference"/>
        </w:rPr>
        <w:footnoteReference w:id="10819"/>
      </w:r>
      <w:r>
        <w:t xml:space="preserve"> evils, but mercy and truth devise good. Those devising evils do not know mercy and faithfulness, but acts of mercy and faithfulness belong with devisers of good.</w:t>
      </w:r>
    </w:p>
    <w:p>
      <w:r>
        <w:rPr>
          <w:b/>
        </w:rPr>
        <w:t xml:space="preserve">23 </w:t>
      </w:r>
      <w:r>
        <w:t xml:space="preserve">In every careful person there is abundance, but one pleasant and insensitive will be in want.</w:t>
      </w:r>
    </w:p>
    <w:p>
      <w:r>
        <w:rPr>
          <w:b/>
        </w:rPr>
        <w:t xml:space="preserve">24 </w:t>
      </w:r>
      <w:r>
        <w:t xml:space="preserve">Crown</w:t>
      </w:r>
      <w:r>
        <w:rPr>
          <w:rStyle w:val="FootnoteReference"/>
        </w:rPr>
        <w:footnoteReference w:id="10820"/>
      </w:r>
      <w:r>
        <w:t xml:space="preserve"> of wise shrewdness, but occupation of fools evil.</w:t>
      </w:r>
    </w:p>
    <w:p>
      <w:r>
        <w:rPr>
          <w:b/>
        </w:rPr>
        <w:t xml:space="preserve">25 </w:t>
      </w:r>
      <w:r>
        <w:t xml:space="preserve">Faithful witness rescues soul from evils, but deceitful one kindles lies.</w:t>
      </w:r>
    </w:p>
    <w:p>
      <w:r>
        <w:rPr>
          <w:b/>
        </w:rPr>
        <w:t xml:space="preserve">26 </w:t>
      </w:r>
      <w:r>
        <w:t xml:space="preserve">In the fear</w:t>
      </w:r>
      <w:r>
        <w:rPr>
          <w:rStyle w:val="FootnoteReference"/>
        </w:rPr>
        <w:footnoteReference w:id="10821"/>
      </w:r>
      <w:r>
        <w:t xml:space="preserve"> of the Lord hope of strength, and for his children he leaves support.</w:t>
      </w:r>
    </w:p>
    <w:p>
      <w:r>
        <w:rPr>
          <w:b/>
        </w:rPr>
        <w:t xml:space="preserve">27 </w:t>
      </w:r>
      <w:r>
        <w:t xml:space="preserve">The command of the Lord is a fountain</w:t>
      </w:r>
      <w:r>
        <w:rPr>
          <w:rStyle w:val="FootnoteReference"/>
        </w:rPr>
        <w:footnoteReference w:id="10822"/>
      </w:r>
      <w:r>
        <w:t xml:space="preserve"> of life, and it makes one turn aside from snares of death.</w:t>
      </w:r>
    </w:p>
    <w:p>
      <w:r>
        <w:rPr>
          <w:b/>
        </w:rPr>
        <w:t xml:space="preserve">28 </w:t>
      </w:r>
      <w:r>
        <w:t xml:space="preserve">In the multitude of nation glory of the king, but in lack of the people crushing of ruler.</w:t>
      </w:r>
    </w:p>
    <w:p>
      <w:r>
        <w:rPr>
          <w:b/>
        </w:rPr>
        <w:t xml:space="preserve">29 </w:t>
      </w:r>
      <w:r>
        <w:t xml:space="preserve">Longsuffering man abundant in understanding, but short-souled man strongly foolish.</w:t>
      </w:r>
    </w:p>
    <w:p>
      <w:r>
        <w:rPr>
          <w:b/>
        </w:rPr>
        <w:t xml:space="preserve">30 </w:t>
      </w:r>
      <w:r>
        <w:t xml:space="preserve">Gentle man physician of heart, but sensitive heart rottenness</w:t>
      </w:r>
      <w:r>
        <w:rPr>
          <w:rStyle w:val="FootnoteReference"/>
        </w:rPr>
        <w:footnoteReference w:id="10823"/>
      </w:r>
      <w:r>
        <w:t xml:space="preserve"> of bones.</w:t>
      </w:r>
    </w:p>
    <w:p>
      <w:r>
        <w:rPr>
          <w:b/>
        </w:rPr>
        <w:t xml:space="preserve">31 </w:t>
      </w:r>
      <w:r>
        <w:t xml:space="preserve">One slandering poor provokes his Maker, but one honoring him has mercy on poor.</w:t>
      </w:r>
    </w:p>
    <w:p>
      <w:r>
        <w:rPr>
          <w:b/>
        </w:rPr>
        <w:t xml:space="preserve">32 </w:t>
      </w:r>
      <w:r>
        <w:t xml:space="preserve">In his evil the ungodly will be driven away, but one trusting in his own holiness is righteous.</w:t>
      </w:r>
      <w:r>
        <w:rPr>
          <w:rStyle w:val="FootnoteReference"/>
        </w:rPr>
        <w:footnoteReference w:id="10824"/>
      </w:r>
      <w:r>
        <w:t xml:space="preserve"/>
      </w:r>
      <w:r>
        <w:rPr>
          <w:rStyle w:val="FootnoteReference"/>
        </w:rPr>
        <w:footnoteReference w:id="10825"/>
      </w:r>
    </w:p>
    <w:p>
      <w:r>
        <w:rPr>
          <w:b/>
        </w:rPr>
        <w:t xml:space="preserve">33 </w:t>
      </w:r>
      <w:r>
        <w:t xml:space="preserve">In the good heart of man wisdom rests, but in the heart of fools it is not discerned.</w:t>
      </w:r>
    </w:p>
    <w:p>
      <w:r>
        <w:rPr>
          <w:b/>
        </w:rPr>
        <w:t xml:space="preserve">34 </w:t>
      </w:r>
      <w:r>
        <w:t xml:space="preserve">Righteousness</w:t>
      </w:r>
      <w:r>
        <w:rPr>
          <w:rStyle w:val="FootnoteReference"/>
        </w:rPr>
        <w:footnoteReference w:id="10826"/>
      </w:r>
      <w:r>
        <w:t xml:space="preserve"> exalts a nation, but sins diminish tribes.</w:t>
      </w:r>
    </w:p>
    <w:p>
      <w:r>
        <w:rPr>
          <w:b/>
        </w:rPr>
        <w:t xml:space="preserve">35 </w:t>
      </w:r>
      <w:r>
        <w:t xml:space="preserve">Understanding servant acceptable to the king, and by his good turning he removes dishonor.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Anger destroys even prudent ones, but yielding answer turns away wrath, and grievous</w:t>
      </w:r>
      <w:r>
        <w:rPr>
          <w:rStyle w:val="FootnoteReference"/>
        </w:rPr>
        <w:footnoteReference w:id="10827"/>
      </w:r>
      <w:r>
        <w:t xml:space="preserve"> word stirs angers.</w:t>
      </w:r>
    </w:p>
    <w:p>
      <w:r>
        <w:rPr>
          <w:b/>
        </w:rPr>
        <w:t xml:space="preserve">2 </w:t>
      </w:r>
      <w:r>
        <w:t xml:space="preserve">The tongue</w:t>
      </w:r>
      <w:r>
        <w:rPr>
          <w:rStyle w:val="FootnoteReference"/>
        </w:rPr>
        <w:footnoteReference w:id="10828"/>
      </w:r>
      <w:r>
        <w:t xml:space="preserve"> of the wise knows good things, but the mouth of fools will announce evils.</w:t>
      </w:r>
    </w:p>
    <w:p>
      <w:r>
        <w:rPr>
          <w:b/>
        </w:rPr>
        <w:t xml:space="preserve">3 </w:t>
      </w:r>
      <w:r>
        <w:t xml:space="preserve">In every place the eyes of the Lord watch evil ones and good ones.</w:t>
      </w:r>
    </w:p>
    <w:p>
      <w:r>
        <w:rPr>
          <w:b/>
        </w:rPr>
        <w:t xml:space="preserve">4 </w:t>
      </w:r>
      <w:r>
        <w:t xml:space="preserve">A healing tongue is a tree</w:t>
      </w:r>
      <w:r>
        <w:rPr>
          <w:rStyle w:val="FootnoteReference"/>
        </w:rPr>
        <w:footnoteReference w:id="10829"/>
      </w:r>
      <w:r>
        <w:t xml:space="preserve"> of life, but one sustaining it will be filled with spirit.</w:t>
      </w:r>
    </w:p>
    <w:p>
      <w:r>
        <w:rPr>
          <w:b/>
        </w:rPr>
        <w:t xml:space="preserve">5 </w:t>
      </w:r>
      <w:r>
        <w:t xml:space="preserve">A fool</w:t>
      </w:r>
      <w:r>
        <w:rPr>
          <w:rStyle w:val="FootnoteReference"/>
        </w:rPr>
        <w:footnoteReference w:id="10830"/>
      </w:r>
      <w:r>
        <w:t xml:space="preserve"> sneers at the discipline of a father, but one keeping commands more shrewd.</w:t>
      </w:r>
    </w:p>
    <w:p>
      <w:r>
        <w:rPr>
          <w:b/>
        </w:rPr>
        <w:t xml:space="preserve">6 </w:t>
      </w:r>
      <w:r>
        <w:t xml:space="preserve">In abundant righteousness much strength, but ungodly root and branch perish from earth. In the houses of righteous much strength, but fruits of ungodly perish.</w:t>
      </w:r>
    </w:p>
    <w:p>
      <w:r>
        <w:rPr>
          <w:b/>
        </w:rPr>
        <w:t xml:space="preserve">7 </w:t>
      </w:r>
      <w:r>
        <w:t xml:space="preserve">The lips</w:t>
      </w:r>
      <w:r>
        <w:rPr>
          <w:rStyle w:val="FootnoteReference"/>
        </w:rPr>
        <w:footnoteReference w:id="10831"/>
      </w:r>
      <w:r>
        <w:t xml:space="preserve"> of wise bound to perception, but hearts of fools unsafe.</w:t>
      </w:r>
    </w:p>
    <w:p>
      <w:r>
        <w:rPr>
          <w:b/>
        </w:rPr>
        <w:t xml:space="preserve">8 </w:t>
      </w:r>
      <w:r>
        <w:t xml:space="preserve">Sacrifices of ungodly abomination to the Lord, but prayers of those setting straight acceptable to him.</w:t>
      </w:r>
    </w:p>
    <w:p>
      <w:r>
        <w:rPr>
          <w:b/>
        </w:rPr>
        <w:t xml:space="preserve">9 </w:t>
      </w:r>
      <w:r>
        <w:t xml:space="preserve">The ways of the ungodly are an abomination to the Lord, but he loves those pursuing righteousness.</w:t>
      </w:r>
      <w:r>
        <w:rPr>
          <w:rStyle w:val="FootnoteReference"/>
        </w:rPr>
        <w:footnoteReference w:id="10832"/>
      </w:r>
      <w:r>
        <w:t xml:space="preserve"/>
      </w:r>
    </w:p>
    <w:p>
      <w:r>
        <w:rPr>
          <w:b/>
        </w:rPr>
        <w:t xml:space="preserve">10 </w:t>
      </w:r>
      <w:r>
        <w:t xml:space="preserve">Discipline of innocent known by passersby, but those hating reproofs die shamefully.</w:t>
      </w:r>
    </w:p>
    <w:p>
      <w:r>
        <w:rPr>
          <w:b/>
        </w:rPr>
        <w:t xml:space="preserve">11 </w:t>
      </w:r>
      <w:r>
        <w:t xml:space="preserve">Hades and destruction visible before the Lord; how much more hearts of men.</w:t>
      </w:r>
    </w:p>
    <w:p>
      <w:r>
        <w:rPr>
          <w:b/>
        </w:rPr>
        <w:t xml:space="preserve">12 </w:t>
      </w:r>
      <w:r>
        <w:t xml:space="preserve">Untrained man will not love those reproving him, nor will he converse with wise.</w:t>
      </w:r>
    </w:p>
    <w:p>
      <w:r>
        <w:rPr>
          <w:b/>
        </w:rPr>
        <w:t xml:space="preserve">13 </w:t>
      </w:r>
      <w:r>
        <w:t xml:space="preserve">Of rejoicing heart face blooms, but being in grief it grows downcast.</w:t>
      </w:r>
    </w:p>
    <w:p>
      <w:r>
        <w:rPr>
          <w:b/>
        </w:rPr>
        <w:t xml:space="preserve">14 </w:t>
      </w:r>
      <w:r>
        <w:t xml:space="preserve">Upright heart</w:t>
      </w:r>
      <w:r>
        <w:rPr>
          <w:rStyle w:val="FootnoteReference"/>
        </w:rPr>
        <w:footnoteReference w:id="10833"/>
      </w:r>
      <w:r>
        <w:t xml:space="preserve"> seeks perception, but mouth of untrained will know evils.</w:t>
      </w:r>
    </w:p>
    <w:p>
      <w:r>
        <w:rPr>
          <w:b/>
        </w:rPr>
        <w:t xml:space="preserve">15 </w:t>
      </w:r>
      <w:r>
        <w:t xml:space="preserve">All the time the eyes of evil ones expect evils, but good ones are at rest continually.</w:t>
      </w:r>
    </w:p>
    <w:p>
      <w:r>
        <w:rPr>
          <w:b/>
        </w:rPr>
        <w:t xml:space="preserve">16 </w:t>
      </w:r>
      <w:r>
        <w:t xml:space="preserve">Better little</w:t>
      </w:r>
      <w:r>
        <w:rPr>
          <w:rStyle w:val="FootnoteReference"/>
        </w:rPr>
        <w:footnoteReference w:id="10834"/>
      </w:r>
      <w:r>
        <w:t xml:space="preserve"> portion with the fear of the Lord than great treasures with fearlessness.</w:t>
      </w:r>
    </w:p>
    <w:p>
      <w:r>
        <w:rPr>
          <w:b/>
        </w:rPr>
        <w:t xml:space="preserve">17 </w:t>
      </w:r>
      <w:r>
        <w:t xml:space="preserve">Better hospitality of vegetables with love and favor than serving of calves with hatred.</w:t>
      </w:r>
    </w:p>
    <w:p>
      <w:r>
        <w:rPr>
          <w:b/>
        </w:rPr>
        <w:t xml:space="preserve">18 </w:t>
      </w:r>
      <w:r>
        <w:t xml:space="preserve">Angry man prepares fights, but longsuffering man calms even what is coming. Longsuffering man extinguishes judgments, but ungodly stirs them up more.</w:t>
      </w:r>
    </w:p>
    <w:p>
      <w:r>
        <w:rPr>
          <w:b/>
        </w:rPr>
        <w:t xml:space="preserve">19 </w:t>
      </w:r>
      <w:r>
        <w:t xml:space="preserve">The ways of the idle are paved with thorns, but those of brave made smooth.</w:t>
      </w:r>
    </w:p>
    <w:p>
      <w:r>
        <w:rPr>
          <w:b/>
        </w:rPr>
        <w:t xml:space="preserve">20 </w:t>
      </w:r>
      <w:r>
        <w:t xml:space="preserve">A wise</w:t>
      </w:r>
      <w:r>
        <w:rPr>
          <w:rStyle w:val="FootnoteReference"/>
        </w:rPr>
        <w:footnoteReference w:id="10835"/>
      </w:r>
      <w:r>
        <w:t xml:space="preserve"> son gladdens a father, but a foolish son sneers at mother.</w:t>
      </w:r>
    </w:p>
    <w:p>
      <w:r>
        <w:rPr>
          <w:b/>
        </w:rPr>
        <w:t xml:space="preserve">21 </w:t>
      </w:r>
      <w:r>
        <w:t xml:space="preserve">The ways of a mindless man lack sense, but prudent man walks directing straight.</w:t>
      </w:r>
    </w:p>
    <w:p>
      <w:r>
        <w:rPr>
          <w:b/>
        </w:rPr>
        <w:t xml:space="preserve">22 </w:t>
      </w:r>
      <w:r>
        <w:t xml:space="preserve">They postpone plans who do not honor council, but counsel remains in hearts of counselors.</w:t>
      </w:r>
    </w:p>
    <w:p>
      <w:r>
        <w:rPr>
          <w:b/>
        </w:rPr>
        <w:t xml:space="preserve">23 </w:t>
      </w:r>
      <w:r>
        <w:t xml:space="preserve">Evil man will not listen to it, nor will he say anything timely and good for public.</w:t>
      </w:r>
    </w:p>
    <w:p>
      <w:r>
        <w:rPr>
          <w:b/>
        </w:rPr>
        <w:t xml:space="preserve">24 </w:t>
      </w:r>
      <w:r>
        <w:t xml:space="preserve">The ways of life are thoughts of understanding, so that turning aside from Hades he may be saved.</w:t>
      </w:r>
    </w:p>
    <w:p>
      <w:r>
        <w:rPr>
          <w:b/>
        </w:rPr>
        <w:t xml:space="preserve">25 </w:t>
      </w:r>
      <w:r>
        <w:t xml:space="preserve">The Lord tears down houses of insolent, but he set firm boundary of widow.</w:t>
      </w:r>
    </w:p>
    <w:p>
      <w:r>
        <w:rPr>
          <w:b/>
        </w:rPr>
        <w:t xml:space="preserve">26 </w:t>
      </w:r>
      <w:r>
        <w:t xml:space="preserve">Unjust thought abomination to the Lord, but sayings of pure ones noble.</w:t>
      </w:r>
    </w:p>
    <w:p>
      <w:r>
        <w:rPr>
          <w:b/>
        </w:rPr>
        <w:t xml:space="preserve">27 </w:t>
      </w:r>
      <w:r>
        <w:t xml:space="preserve">Gift-taker destroys himself, but one hating taking of gifts is saved. By acts of mercy and faithfulness sins are cleansed, and by the fear of the Lord everyone turns from evil.</w:t>
      </w:r>
    </w:p>
    <w:p>
      <w:r>
        <w:rPr>
          <w:b/>
        </w:rPr>
        <w:t xml:space="preserve">28 </w:t>
      </w:r>
      <w:r>
        <w:t xml:space="preserve">The hearts of the righteous meditate faithfulness, but the mouth</w:t>
      </w:r>
      <w:r>
        <w:rPr>
          <w:rStyle w:val="FootnoteReference"/>
        </w:rPr>
        <w:footnoteReference w:id="10836"/>
      </w:r>
      <w:r>
        <w:t xml:space="preserve"> of the ungodly answers evils. The ways of righteous men are acceptable to the Lord, and through them even enemies become friends.</w:t>
      </w:r>
    </w:p>
    <w:p>
      <w:r>
        <w:rPr>
          <w:b/>
        </w:rPr>
        <w:t xml:space="preserve">29 </w:t>
      </w:r>
      <w:r>
        <w:t xml:space="preserve">God is far from the ungodly, but prayers of the righteous he hears. Better little taking with righteousness than much produce with injustice. Let the heart of man reckon righteous things, so that his steps may be corrected by God.</w:t>
      </w:r>
      <w:r>
        <w:rPr>
          <w:rStyle w:val="FootnoteReference"/>
        </w:rPr>
        <w:footnoteReference w:id="10837"/>
      </w:r>
    </w:p>
    <w:p>
      <w:r>
        <w:rPr>
          <w:b/>
        </w:rPr>
        <w:t xml:space="preserve">30 </w:t>
      </w:r>
      <w:r>
        <w:t xml:space="preserve">Eye seeing good things gladdens heart, and good report fattens bones.</w:t>
      </w:r>
    </w:p>
    <w:p>
      <w:r>
        <w:rPr>
          <w:b/>
        </w:rPr>
        <w:t xml:space="preserve">32 </w:t>
      </w:r>
      <w:r>
        <w:t xml:space="preserve">One rejecting discipline hates himself, but one keeping reproofs loves his soul.</w:t>
      </w:r>
    </w:p>
    <w:p>
      <w:r>
        <w:rPr>
          <w:b/>
        </w:rPr>
        <w:t xml:space="preserve">33 </w:t>
      </w:r>
      <w:r>
        <w:t xml:space="preserve">The fear</w:t>
      </w:r>
      <w:r>
        <w:rPr>
          <w:rStyle w:val="FootnoteReference"/>
        </w:rPr>
        <w:footnoteReference w:id="10838"/>
      </w:r>
      <w:r>
        <w:t xml:space="preserve"> of God is discipline and wisdom, and beginning of glory will answer to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2 </w:t>
      </w:r>
      <w:r>
        <w:t xml:space="preserve">All works of humble plain before God, but ungodly in evil day will perish.</w:t>
      </w:r>
    </w:p>
    <w:p>
      <w:r>
        <w:rPr>
          <w:b/>
        </w:rPr>
        <w:t xml:space="preserve">5 </w:t>
      </w:r>
      <w:r>
        <w:t xml:space="preserve">Every proud in heart unclean before God; joining hand to hand unjustly, he will not go unpunished</w:t>
      </w:r>
      <w:r>
        <w:rPr>
          <w:rStyle w:val="FootnoteReference"/>
        </w:rPr>
        <w:footnoteReference w:id="10839"/>
      </w:r>
      <w:r>
        <w:t xml:space="preserve">.</w:t>
      </w:r>
    </w:p>
    <w:p>
      <w:r>
        <w:rPr>
          <w:b/>
        </w:rPr>
        <w:t xml:space="preserve">7 </w:t>
      </w:r>
      <w:r>
        <w:t xml:space="preserve">The beginning of a good way is doing righteous things, and more acceptable before God than sacrificing sacrifices.</w:t>
      </w:r>
    </w:p>
    <w:p>
      <w:r>
        <w:rPr>
          <w:b/>
        </w:rPr>
        <w:t xml:space="preserve">8 </w:t>
      </w:r>
      <w:r>
        <w:t xml:space="preserve">One seeking the Lord will find knowledge with righteousness, and those seeking him rightly will find peace.</w:t>
      </w:r>
    </w:p>
    <w:p>
      <w:r>
        <w:rPr>
          <w:b/>
        </w:rPr>
        <w:t xml:space="preserve">9 </w:t>
      </w:r>
      <w:r>
        <w:t xml:space="preserve">All works of the Lord kept with righteousness, but ungodly kept for evil day.</w:t>
      </w:r>
    </w:p>
    <w:p>
      <w:r>
        <w:rPr>
          <w:b/>
        </w:rPr>
        <w:t xml:space="preserve">10 </w:t>
      </w:r>
      <w:r>
        <w:t xml:space="preserve">Oracle upon lips of the king; in judgment his mouth will not go astray.</w:t>
      </w:r>
    </w:p>
    <w:p>
      <w:r>
        <w:rPr>
          <w:b/>
        </w:rPr>
        <w:t xml:space="preserve">11 </w:t>
      </w:r>
      <w:r>
        <w:t xml:space="preserve">Balance and scale of righteousness from the Lord, and all weights his righteous works.</w:t>
      </w:r>
    </w:p>
    <w:p>
      <w:r>
        <w:rPr>
          <w:b/>
        </w:rPr>
        <w:t xml:space="preserve">12 </w:t>
      </w:r>
      <w:r>
        <w:t xml:space="preserve">Abomination to the king is one doing evil, for the throne of rule prepared with righteousness.</w:t>
      </w:r>
    </w:p>
    <w:p>
      <w:r>
        <w:rPr>
          <w:b/>
        </w:rPr>
        <w:t xml:space="preserve">13 </w:t>
      </w:r>
      <w:r>
        <w:t xml:space="preserve">Righteous lips are acceptable to the king, and he loves upright words.</w:t>
      </w:r>
    </w:p>
    <w:p>
      <w:r>
        <w:rPr>
          <w:b/>
        </w:rPr>
        <w:t xml:space="preserve">14 </w:t>
      </w:r>
      <w:r>
        <w:t xml:space="preserve">The wrath</w:t>
      </w:r>
      <w:r>
        <w:rPr>
          <w:rStyle w:val="FootnoteReference"/>
        </w:rPr>
        <w:footnoteReference w:id="10840"/>
      </w:r>
      <w:r>
        <w:t xml:space="preserve"> of the king is a messenger of death, but a wise man will appease him.</w:t>
      </w:r>
    </w:p>
    <w:p>
      <w:r>
        <w:rPr>
          <w:b/>
        </w:rPr>
        <w:t xml:space="preserve">15 </w:t>
      </w:r>
      <w:r>
        <w:t xml:space="preserve">In the light</w:t>
      </w:r>
      <w:r>
        <w:rPr>
          <w:rStyle w:val="FootnoteReference"/>
        </w:rPr>
        <w:footnoteReference w:id="10841"/>
      </w:r>
      <w:r>
        <w:t xml:space="preserve"> of the king's life is son, and those acceptable to him like late cloud.</w:t>
      </w:r>
    </w:p>
    <w:p>
      <w:r>
        <w:rPr>
          <w:b/>
        </w:rPr>
        <w:t xml:space="preserve">16 </w:t>
      </w:r>
      <w:r>
        <w:t xml:space="preserve">Nests of wisdom more choice than gold, and nests of understanding more choice than silver.</w:t>
      </w:r>
    </w:p>
    <w:p>
      <w:r>
        <w:rPr>
          <w:b/>
        </w:rPr>
        <w:t xml:space="preserve">17 </w:t>
      </w:r>
      <w:r>
        <w:t xml:space="preserve">Paths of life turn away from evils, and ways of righteousness length of life. One receiving discipline will be among good things, and one keeping reproofs will grow wise. One guarding his own ways keeps his own soul, and one loving his life will spare his mouth.</w:t>
      </w:r>
    </w:p>
    <w:p>
      <w:r>
        <w:rPr>
          <w:b/>
        </w:rPr>
        <w:t xml:space="preserve">18 </w:t>
      </w:r>
      <w:r>
        <w:t xml:space="preserve">Before crushing goes insolence, and before fall evil-mindedness.</w:t>
      </w:r>
    </w:p>
    <w:p>
      <w:r>
        <w:rPr>
          <w:b/>
        </w:rPr>
        <w:t xml:space="preserve">19 </w:t>
      </w:r>
      <w:r>
        <w:t xml:space="preserve">Better gentle with humility than</w:t>
      </w:r>
      <w:r>
        <w:rPr>
          <w:rStyle w:val="FootnoteReference"/>
        </w:rPr>
        <w:footnoteReference w:id="10842"/>
      </w:r>
      <w:r>
        <w:t xml:space="preserve"> one dividing spoils with insolent men.</w:t>
      </w:r>
    </w:p>
    <w:p>
      <w:r>
        <w:rPr>
          <w:b/>
        </w:rPr>
        <w:t xml:space="preserve">20 </w:t>
      </w:r>
      <w:r>
        <w:t xml:space="preserve">Understanding in matters finds good things, and one trusting in God blessed.</w:t>
      </w:r>
    </w:p>
    <w:p>
      <w:r>
        <w:rPr>
          <w:b/>
        </w:rPr>
        <w:t xml:space="preserve">21 </w:t>
      </w:r>
      <w:r>
        <w:t xml:space="preserve">Men call the wise</w:t>
      </w:r>
      <w:r>
        <w:rPr>
          <w:rStyle w:val="FootnoteReference"/>
        </w:rPr>
        <w:footnoteReference w:id="10843"/>
      </w:r>
      <w:r>
        <w:t xml:space="preserve"> and understanding evil, but those sweet in speech will hear more.</w:t>
      </w:r>
    </w:p>
    <w:p>
      <w:r>
        <w:rPr>
          <w:b/>
        </w:rPr>
        <w:t xml:space="preserve">22 </w:t>
      </w:r>
      <w:r>
        <w:t xml:space="preserve">Thought fountain of life to those having it, but discipline of fools evil.</w:t>
      </w:r>
    </w:p>
    <w:p>
      <w:r>
        <w:rPr>
          <w:b/>
        </w:rPr>
        <w:t xml:space="preserve">23 </w:t>
      </w:r>
      <w:r>
        <w:t xml:space="preserve">The heart</w:t>
      </w:r>
      <w:r>
        <w:rPr>
          <w:rStyle w:val="FootnoteReference"/>
        </w:rPr>
        <w:footnoteReference w:id="10844"/>
      </w:r>
      <w:r>
        <w:t xml:space="preserve"> of the wise will understand things from its own mouth, and upon lips it will carry discernment.</w:t>
      </w:r>
    </w:p>
    <w:p>
      <w:r>
        <w:rPr>
          <w:b/>
        </w:rPr>
        <w:t xml:space="preserve">24 </w:t>
      </w:r>
      <w:r>
        <w:t xml:space="preserve">Honeycombs are good words, sweetness of them are healing of soul.</w:t>
      </w:r>
    </w:p>
    <w:p>
      <w:r>
        <w:rPr>
          <w:b/>
        </w:rPr>
        <w:t xml:space="preserve">25 </w:t>
      </w:r>
      <w:r>
        <w:t xml:space="preserve">There are ways seeming straight to man, yet their ends look into floor of Hades.</w:t>
      </w:r>
    </w:p>
    <w:p>
      <w:r>
        <w:rPr>
          <w:b/>
        </w:rPr>
        <w:t xml:space="preserve">26 </w:t>
      </w:r>
      <w:r>
        <w:t xml:space="preserve">Man in pains labors for himself and forces his own destruction, but crooked man carries destruction on his own mouth.</w:t>
      </w:r>
    </w:p>
    <w:p>
      <w:r>
        <w:rPr>
          <w:b/>
        </w:rPr>
        <w:t xml:space="preserve">27 </w:t>
      </w:r>
      <w:r>
        <w:t xml:space="preserve">Foolish man digs evils for himself, and on his own lips stores fire.</w:t>
      </w:r>
    </w:p>
    <w:p>
      <w:r>
        <w:rPr>
          <w:b/>
        </w:rPr>
        <w:t xml:space="preserve">28 </w:t>
      </w:r>
      <w:r>
        <w:t xml:space="preserve">Crooked man sends around evils, and lamp of deceit kindles among evil men and separates friends.</w:t>
      </w:r>
    </w:p>
    <w:p>
      <w:r>
        <w:rPr>
          <w:b/>
        </w:rPr>
        <w:t xml:space="preserve">29 </w:t>
      </w:r>
      <w:r>
        <w:t xml:space="preserve">A lawless man tests friends and leads them on ways not good.</w:t>
      </w:r>
    </w:p>
    <w:p>
      <w:r>
        <w:rPr>
          <w:b/>
        </w:rPr>
        <w:t xml:space="preserve">30 </w:t>
      </w:r>
      <w:r>
        <w:t xml:space="preserve">One fixing his eyes plots twisted things and marks out all evils with his lips; this man furnace of evil.</w:t>
      </w:r>
    </w:p>
    <w:p>
      <w:r>
        <w:rPr>
          <w:b/>
        </w:rPr>
        <w:t xml:space="preserve">31 </w:t>
      </w:r>
      <w:r>
        <w:t xml:space="preserve">Crown of boasting is old age, and in the ways of righteousness it is found.</w:t>
      </w:r>
    </w:p>
    <w:p>
      <w:r>
        <w:rPr>
          <w:b/>
        </w:rPr>
        <w:t xml:space="preserve">32 </w:t>
      </w:r>
      <w:r>
        <w:t xml:space="preserve">Better longsuffering man than strong man, and one mastering anger better than one taking city.</w:t>
      </w:r>
    </w:p>
    <w:p>
      <w:r>
        <w:rPr>
          <w:b/>
        </w:rPr>
        <w:t xml:space="preserve">33 </w:t>
      </w:r>
      <w:r>
        <w:t xml:space="preserve">Into laps comes everything for unjust men, but all righteous things from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Better morsel with pleasure in peace than house full of many goods and unjust sacrifices with battle.</w:t>
      </w:r>
    </w:p>
    <w:p>
      <w:r>
        <w:rPr>
          <w:b/>
        </w:rPr>
        <w:t xml:space="preserve">2 </w:t>
      </w:r>
      <w:r>
        <w:t xml:space="preserve">Understanding servant will rule foolish masters, and among brothers he will divide portions.</w:t>
      </w:r>
    </w:p>
    <w:p>
      <w:r>
        <w:rPr>
          <w:b/>
        </w:rPr>
        <w:t xml:space="preserve">3 </w:t>
      </w:r>
      <w:r>
        <w:t xml:space="preserve">As silver and gold tested in furnace, so hearts chosen by the Lord.</w:t>
      </w:r>
    </w:p>
    <w:p>
      <w:r>
        <w:rPr>
          <w:b/>
        </w:rPr>
        <w:t xml:space="preserve">4 </w:t>
      </w:r>
      <w:r>
        <w:t xml:space="preserve">Evil man listens to lawless tongue, but a righteous man does not heed lying lips.</w:t>
      </w:r>
      <w:r>
        <w:rPr>
          <w:rStyle w:val="FootnoteReference"/>
        </w:rPr>
        <w:footnoteReference w:id="10845"/>
      </w:r>
      <w:r>
        <w:t xml:space="preserve"/>
      </w:r>
    </w:p>
    <w:p>
      <w:r>
        <w:rPr>
          <w:b/>
        </w:rPr>
        <w:t xml:space="preserve">5 </w:t>
      </w:r>
      <w:r>
        <w:t xml:space="preserve">One mocking poor provokes his Maker, and one rejoicing over one perishing will not go unpunished</w:t>
      </w:r>
      <w:r>
        <w:rPr>
          <w:rStyle w:val="FootnoteReference"/>
        </w:rPr>
        <w:footnoteReference w:id="10846"/>
      </w:r>
      <w:r>
        <w:t xml:space="preserve">; but compassionate one will receive mercy.</w:t>
      </w:r>
    </w:p>
    <w:p>
      <w:r>
        <w:rPr>
          <w:b/>
        </w:rPr>
        <w:t xml:space="preserve">6 </w:t>
      </w:r>
      <w:r>
        <w:t xml:space="preserve">Crown of old men is children's</w:t>
      </w:r>
      <w:r>
        <w:rPr>
          <w:rStyle w:val="FootnoteReference"/>
        </w:rPr>
        <w:footnoteReference w:id="10847"/>
      </w:r>
      <w:r>
        <w:t xml:space="preserve"> children, and glory of children is their fathers. Of faithful man whole world wealth; of faithless not even small coin.</w:t>
      </w:r>
    </w:p>
    <w:p>
      <w:r>
        <w:rPr>
          <w:b/>
        </w:rPr>
        <w:t xml:space="preserve">7 </w:t>
      </w:r>
      <w:r>
        <w:t xml:space="preserve">Faithful lips do not suit fool, nor lying lips a righteous man.</w:t>
      </w:r>
      <w:r>
        <w:rPr>
          <w:rStyle w:val="FootnoteReference"/>
        </w:rPr>
        <w:footnoteReference w:id="10848"/>
      </w:r>
      <w:r>
        <w:t xml:space="preserve"/>
      </w:r>
      <w:r>
        <w:rPr>
          <w:rStyle w:val="FootnoteReference"/>
        </w:rPr>
        <w:footnoteReference w:id="10849"/>
      </w:r>
    </w:p>
    <w:p>
      <w:r>
        <w:rPr>
          <w:b/>
        </w:rPr>
        <w:t xml:space="preserve">8 </w:t>
      </w:r>
      <w:r>
        <w:t xml:space="preserve">Reward of graces is discipline; wherever it turns, it will prosper.</w:t>
      </w:r>
    </w:p>
    <w:p>
      <w:r>
        <w:rPr>
          <w:b/>
        </w:rPr>
        <w:t xml:space="preserve">9 </w:t>
      </w:r>
      <w:r>
        <w:t xml:space="preserve">One hiding wrongs seeks friendship, but one hating to hide separates friends and kin.</w:t>
      </w:r>
    </w:p>
    <w:p>
      <w:r>
        <w:rPr>
          <w:b/>
        </w:rPr>
        <w:t xml:space="preserve">10 </w:t>
      </w:r>
      <w:r>
        <w:t xml:space="preserve">Threat shatters heart of prudent, but fool when whipped does not perceive.</w:t>
      </w:r>
    </w:p>
    <w:p>
      <w:r>
        <w:rPr>
          <w:b/>
        </w:rPr>
        <w:t xml:space="preserve">11 </w:t>
      </w:r>
      <w:r>
        <w:t xml:space="preserve">Every evil man stirs contradictions, but the Lord will send pitiless angel against him.</w:t>
      </w:r>
    </w:p>
    <w:p>
      <w:r>
        <w:rPr>
          <w:b/>
        </w:rPr>
        <w:t xml:space="preserve">12 </w:t>
      </w:r>
      <w:r>
        <w:t xml:space="preserve">Anxiety will fall upon understanding man, but fools plot evils.</w:t>
      </w:r>
    </w:p>
    <w:p>
      <w:r>
        <w:rPr>
          <w:b/>
        </w:rPr>
        <w:t xml:space="preserve">13 </w:t>
      </w:r>
      <w:r>
        <w:t xml:space="preserve">One repaying evils for good: evils will not be moved from his house.</w:t>
      </w:r>
    </w:p>
    <w:p>
      <w:r>
        <w:rPr>
          <w:b/>
        </w:rPr>
        <w:t xml:space="preserve">14 </w:t>
      </w:r>
      <w:r>
        <w:t xml:space="preserve">Authority gives beginning</w:t>
      </w:r>
      <w:r>
        <w:rPr>
          <w:rStyle w:val="FootnoteReference"/>
        </w:rPr>
        <w:footnoteReference w:id="10850"/>
      </w:r>
      <w:r>
        <w:t xml:space="preserve"> to the words of righteousness, but before want comes faction and battle.</w:t>
      </w:r>
    </w:p>
    <w:p>
      <w:r>
        <w:rPr>
          <w:b/>
        </w:rPr>
        <w:t xml:space="preserve">15 </w:t>
      </w:r>
      <w:r>
        <w:t xml:space="preserve">One justifying the unjust and condemning the righteous is unclean and abominable before God.</w:t>
      </w:r>
      <w:r>
        <w:rPr>
          <w:rStyle w:val="FootnoteReference"/>
        </w:rPr>
        <w:footnoteReference w:id="10851"/>
      </w:r>
      <w:r>
        <w:t xml:space="preserve"/>
      </w:r>
    </w:p>
    <w:p>
      <w:r>
        <w:rPr>
          <w:b/>
        </w:rPr>
        <w:t xml:space="preserve">16 </w:t>
      </w:r>
      <w:r>
        <w:t xml:space="preserve">Why did money come to fool? Heartless man cannot acquire wisdom. One making his house high seeks crushing, and one twisting to learn will fall into evils.</w:t>
      </w:r>
    </w:p>
    <w:p>
      <w:r>
        <w:rPr>
          <w:b/>
        </w:rPr>
        <w:t xml:space="preserve">17 </w:t>
      </w:r>
      <w:r>
        <w:t xml:space="preserve">At every time let friend be yours, and brothers useful in necessities; for this reason they are born.</w:t>
      </w:r>
    </w:p>
    <w:p>
      <w:r>
        <w:rPr>
          <w:b/>
        </w:rPr>
        <w:t xml:space="preserve">18 </w:t>
      </w:r>
      <w:r>
        <w:t xml:space="preserve">Foolish man claps and rejoices in himself, like one guaranteeing his own friend.</w:t>
      </w:r>
    </w:p>
    <w:p>
      <w:r>
        <w:rPr>
          <w:b/>
        </w:rPr>
        <w:t xml:space="preserve">19 </w:t>
      </w:r>
      <w:r>
        <w:t xml:space="preserve">Sin-lover rejoices in fights.</w:t>
      </w:r>
    </w:p>
    <w:p>
      <w:r>
        <w:rPr>
          <w:b/>
        </w:rPr>
        <w:t xml:space="preserve">20 </w:t>
      </w:r>
      <w:r>
        <w:t xml:space="preserve">Hard-hearted man will not meet good things; man of shifting tongue will fall into evils.</w:t>
      </w:r>
    </w:p>
    <w:p>
      <w:r>
        <w:rPr>
          <w:b/>
        </w:rPr>
        <w:t xml:space="preserve">21 </w:t>
      </w:r>
      <w:r>
        <w:t xml:space="preserve">The heart of a fool is pain to one possessing it; father does not rejoice over undisciplined son, but wise son gladdens mother.</w:t>
      </w:r>
    </w:p>
    <w:p>
      <w:r>
        <w:rPr>
          <w:b/>
        </w:rPr>
        <w:t xml:space="preserve">22 </w:t>
      </w:r>
      <w:r>
        <w:t xml:space="preserve">Rejoicing heart does good healing, but sorrowful man dries bones.</w:t>
      </w:r>
    </w:p>
    <w:p>
      <w:r>
        <w:rPr>
          <w:b/>
        </w:rPr>
        <w:t xml:space="preserve">23 </w:t>
      </w:r>
      <w:r>
        <w:t xml:space="preserve">When taking gifts in bosom unjustly, ways do not prosper; ungodly turns aside ways of righteousness.</w:t>
      </w:r>
    </w:p>
    <w:p>
      <w:r>
        <w:rPr>
          <w:b/>
        </w:rPr>
        <w:t xml:space="preserve">24 </w:t>
      </w:r>
      <w:r>
        <w:t xml:space="preserve">The face of an understanding man belongs to a wise one, but the eyes</w:t>
      </w:r>
      <w:r>
        <w:rPr>
          <w:rStyle w:val="FootnoteReference"/>
        </w:rPr>
        <w:footnoteReference w:id="10852"/>
      </w:r>
      <w:r>
        <w:t xml:space="preserve"> of a fool to the ends of the earth.</w:t>
      </w:r>
    </w:p>
    <w:p>
      <w:r>
        <w:rPr>
          <w:b/>
        </w:rPr>
        <w:t xml:space="preserve">25 </w:t>
      </w:r>
      <w:r>
        <w:t xml:space="preserve">Foolish son is anger to father and pain to one bearing him.</w:t>
      </w:r>
    </w:p>
    <w:p>
      <w:r>
        <w:rPr>
          <w:b/>
        </w:rPr>
        <w:t xml:space="preserve">26 </w:t>
      </w:r>
      <w:r>
        <w:t xml:space="preserve">To fine a righteous man is not good, nor holy to plot against righteous rulers.</w:t>
      </w:r>
      <w:r>
        <w:rPr>
          <w:rStyle w:val="FootnoteReference"/>
        </w:rPr>
        <w:footnoteReference w:id="10853"/>
      </w:r>
      <w:r>
        <w:t xml:space="preserve"/>
      </w:r>
    </w:p>
    <w:p>
      <w:r>
        <w:rPr>
          <w:b/>
        </w:rPr>
        <w:t xml:space="preserve">27 </w:t>
      </w:r>
      <w:r>
        <w:t xml:space="preserve">One sparing to utter hard word is discerning; and longsuffering man is prudent.</w:t>
      </w:r>
    </w:p>
    <w:p>
      <w:r>
        <w:rPr>
          <w:b/>
        </w:rPr>
        <w:t xml:space="preserve">28 </w:t>
      </w:r>
      <w:r>
        <w:t xml:space="preserve">When senseless man questioned about wisdom, wisdom will be reckoned to him; and one making himself mute will seem prudent.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Man wanting to separate from friends seeks excuses; at every time he will be worthy of reproach.</w:t>
      </w:r>
    </w:p>
    <w:p>
      <w:r>
        <w:rPr>
          <w:b/>
        </w:rPr>
        <w:t xml:space="preserve">2 </w:t>
      </w:r>
      <w:r>
        <w:t xml:space="preserve">One lacking sense has no need of wisdom, for rather he is led by folly.</w:t>
      </w:r>
    </w:p>
    <w:p>
      <w:r>
        <w:rPr>
          <w:b/>
        </w:rPr>
        <w:t xml:space="preserve">3 </w:t>
      </w:r>
      <w:r>
        <w:t xml:space="preserve">When ungodly comes into the depth of evils, he despises; and dishonor and reproach come upon him.</w:t>
      </w:r>
    </w:p>
    <w:p>
      <w:r>
        <w:rPr>
          <w:b/>
        </w:rPr>
        <w:t xml:space="preserve">4 </w:t>
      </w:r>
      <w:r>
        <w:t xml:space="preserve">Deep water is word in the heart of man, and river springing up is fountain of life.</w:t>
      </w:r>
    </w:p>
    <w:p>
      <w:r>
        <w:rPr>
          <w:b/>
        </w:rPr>
        <w:t xml:space="preserve">5 </w:t>
      </w:r>
      <w:r>
        <w:t xml:space="preserve">It is not good to show partiality to an ungodly person, nor is it holy to turn aside justice in judgment.</w:t>
      </w:r>
      <w:r>
        <w:rPr>
          <w:rStyle w:val="FootnoteReference"/>
        </w:rPr>
        <w:footnoteReference w:id="10854"/>
      </w:r>
      <w:r>
        <w:t xml:space="preserve"/>
      </w:r>
    </w:p>
    <w:p>
      <w:r>
        <w:rPr>
          <w:b/>
        </w:rPr>
        <w:t xml:space="preserve">6 </w:t>
      </w:r>
      <w:r>
        <w:t xml:space="preserve">The lips of fool lead him into evils, and his bold mouth calls death upon him.</w:t>
      </w:r>
    </w:p>
    <w:p>
      <w:r>
        <w:rPr>
          <w:b/>
        </w:rPr>
        <w:t xml:space="preserve">7 </w:t>
      </w:r>
      <w:r>
        <w:t xml:space="preserve">The mouth of fool is ruin to him, and his lips</w:t>
      </w:r>
      <w:r>
        <w:rPr>
          <w:rStyle w:val="FootnoteReference"/>
        </w:rPr>
        <w:footnoteReference w:id="10855"/>
      </w:r>
      <w:r>
        <w:t xml:space="preserve"> snare to his soul.</w:t>
      </w:r>
    </w:p>
    <w:p>
      <w:r>
        <w:rPr>
          <w:b/>
        </w:rPr>
        <w:t xml:space="preserve">8 </w:t>
      </w:r>
      <w:r>
        <w:t xml:space="preserve">Fear casts down the sluggards, and souls of unmanned men will hunger.</w:t>
      </w:r>
    </w:p>
    <w:p>
      <w:r>
        <w:rPr>
          <w:b/>
        </w:rPr>
        <w:t xml:space="preserve">9 </w:t>
      </w:r>
      <w:r>
        <w:t xml:space="preserve">One not healing himself in his works is brother</w:t>
      </w:r>
      <w:r>
        <w:rPr>
          <w:rStyle w:val="FootnoteReference"/>
        </w:rPr>
        <w:footnoteReference w:id="10856"/>
      </w:r>
      <w:r>
        <w:t xml:space="preserve"> of one ruining himself.</w:t>
      </w:r>
    </w:p>
    <w:p>
      <w:r>
        <w:rPr>
          <w:b/>
        </w:rPr>
        <w:t xml:space="preserve">10 </w:t>
      </w:r>
      <w:r>
        <w:t xml:space="preserve">The name of the Lord is great in strength; righteous people who run to it are exalted.</w:t>
      </w:r>
      <w:r>
        <w:rPr>
          <w:rStyle w:val="FootnoteReference"/>
        </w:rPr>
        <w:footnoteReference w:id="10857"/>
      </w:r>
      <w:r>
        <w:t xml:space="preserve"/>
      </w:r>
    </w:p>
    <w:p>
      <w:r>
        <w:rPr>
          <w:b/>
        </w:rPr>
        <w:t xml:space="preserve">11 </w:t>
      </w:r>
      <w:r>
        <w:t xml:space="preserve">Wealth of rich man is strong city, and its glory overshadows greatly.</w:t>
      </w:r>
    </w:p>
    <w:p>
      <w:r>
        <w:rPr>
          <w:b/>
        </w:rPr>
        <w:t xml:space="preserve">12 </w:t>
      </w:r>
      <w:r>
        <w:t xml:space="preserve">Before crushing the heart of man is lifted up, and before glory it is humbled.</w:t>
      </w:r>
    </w:p>
    <w:p>
      <w:r>
        <w:rPr>
          <w:b/>
        </w:rPr>
        <w:t xml:space="preserve">13 </w:t>
      </w:r>
      <w:r>
        <w:t xml:space="preserve">One answering word before hearing: folly to him and reproach.</w:t>
      </w:r>
    </w:p>
    <w:p>
      <w:r>
        <w:rPr>
          <w:b/>
        </w:rPr>
        <w:t xml:space="preserve">14 </w:t>
      </w:r>
      <w:r>
        <w:t xml:space="preserve">A wise servant calms the anger of a man, but short-souled man who can bear?</w:t>
      </w:r>
    </w:p>
    <w:p>
      <w:r>
        <w:rPr>
          <w:b/>
        </w:rPr>
        <w:t xml:space="preserve">15 </w:t>
      </w:r>
      <w:r>
        <w:t xml:space="preserve">The heart of prudent acquires perception, and ears of wise seek understanding.</w:t>
      </w:r>
    </w:p>
    <w:p>
      <w:r>
        <w:rPr>
          <w:b/>
        </w:rPr>
        <w:t xml:space="preserve">16 </w:t>
      </w:r>
      <w:r>
        <w:t xml:space="preserve">Gift of man broadens him and seats him beside rulers.</w:t>
      </w:r>
    </w:p>
    <w:p>
      <w:r>
        <w:rPr>
          <w:b/>
        </w:rPr>
        <w:t xml:space="preserve">17 </w:t>
      </w:r>
      <w:r>
        <w:t xml:space="preserve">A righteous man accuses himself in first speech, but when opponent comes he is reproved.</w:t>
      </w:r>
    </w:p>
    <w:p>
      <w:r>
        <w:rPr>
          <w:b/>
        </w:rPr>
        <w:t xml:space="preserve">18 </w:t>
      </w:r>
      <w:r>
        <w:t xml:space="preserve">Lot stops contradictions and marks bounds among rulers.</w:t>
      </w:r>
    </w:p>
    <w:p>
      <w:r>
        <w:rPr>
          <w:b/>
        </w:rPr>
        <w:t xml:space="preserve">19 </w:t>
      </w:r>
      <w:r>
        <w:t xml:space="preserve">Brother</w:t>
      </w:r>
      <w:r>
        <w:rPr>
          <w:rStyle w:val="FootnoteReference"/>
        </w:rPr>
        <w:footnoteReference w:id="10858"/>
      </w:r>
      <w:r>
        <w:t xml:space="preserve"> helped by brother is strong and high city, and it is strong like founded kingdom.</w:t>
      </w:r>
    </w:p>
    <w:p>
      <w:r>
        <w:rPr>
          <w:b/>
        </w:rPr>
        <w:t xml:space="preserve">20 </w:t>
      </w:r>
      <w:r>
        <w:t xml:space="preserve">From the fruits of mouth man will fill his belly, and from the fruits of his lips he will be filled.</w:t>
      </w:r>
    </w:p>
    <w:p>
      <w:r>
        <w:rPr>
          <w:b/>
        </w:rPr>
        <w:t xml:space="preserve">21 </w:t>
      </w:r>
      <w:r>
        <w:t xml:space="preserve">Death</w:t>
      </w:r>
      <w:r>
        <w:rPr>
          <w:rStyle w:val="FootnoteReference"/>
        </w:rPr>
        <w:footnoteReference w:id="10859"/>
      </w:r>
      <w:r>
        <w:t xml:space="preserve"> and life are in the hand of the tongue, and those mastering it will eat its fruits.</w:t>
      </w:r>
    </w:p>
    <w:p>
      <w:r>
        <w:rPr>
          <w:b/>
        </w:rPr>
        <w:t xml:space="preserve">22 </w:t>
      </w:r>
      <w:r>
        <w:t xml:space="preserve">One finding good wife found graces and received cheerfulness from God; one casting out good wife casts out good things, but one keeping adulteress is foolish and ungodly.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3 </w:t>
      </w:r>
      <w:r>
        <w:t xml:space="preserve">The folly of a man ruins his ways, yet in his heart he blames God.</w:t>
      </w:r>
    </w:p>
    <w:p>
      <w:r>
        <w:rPr>
          <w:b/>
        </w:rPr>
        <w:t xml:space="preserve">4 </w:t>
      </w:r>
      <w:r>
        <w:t xml:space="preserve">Wealth adds many friends, but the poor</w:t>
      </w:r>
      <w:r>
        <w:rPr>
          <w:rStyle w:val="FootnoteReference"/>
        </w:rPr>
        <w:footnoteReference w:id="10860"/>
      </w:r>
      <w:r>
        <w:t xml:space="preserve"> man is deserted even by the friend he has.</w:t>
      </w:r>
      <w:r>
        <w:rPr>
          <w:rStyle w:val="FootnoteReference"/>
        </w:rPr>
        <w:footnoteReference w:id="10861"/>
      </w:r>
    </w:p>
    <w:p>
      <w:r>
        <w:rPr>
          <w:b/>
        </w:rPr>
        <w:t xml:space="preserve">5 </w:t>
      </w:r>
      <w:r>
        <w:t xml:space="preserve">False</w:t>
      </w:r>
      <w:r>
        <w:rPr>
          <w:rStyle w:val="FootnoteReference"/>
        </w:rPr>
        <w:footnoteReference w:id="10862"/>
      </w:r>
      <w:r>
        <w:t xml:space="preserve"> witness will not go unpunished, and one accusing unjustly will not escape.</w:t>
      </w:r>
    </w:p>
    <w:p>
      <w:r>
        <w:rPr>
          <w:b/>
        </w:rPr>
        <w:t xml:space="preserve">6 </w:t>
      </w:r>
      <w:r>
        <w:t xml:space="preserve">Many court faces of kings, and every evil man becomes reproach to man.</w:t>
      </w:r>
    </w:p>
    <w:p>
      <w:r>
        <w:rPr>
          <w:b/>
        </w:rPr>
        <w:t xml:space="preserve">7 </w:t>
      </w:r>
      <w:r>
        <w:t xml:space="preserve">Everyone hating poor brother, even friendships will be far away. Good understanding draws near to those knowing it, and prudent man will find it. One doing much evil accomplishes evil, and one provoking words will not be saved.</w:t>
      </w:r>
    </w:p>
    <w:p>
      <w:r>
        <w:rPr>
          <w:b/>
        </w:rPr>
        <w:t xml:space="preserve">8 </w:t>
      </w:r>
      <w:r>
        <w:t xml:space="preserve">One acquiring understanding loves himself, and one keeping understanding will find good things.</w:t>
      </w:r>
    </w:p>
    <w:p>
      <w:r>
        <w:rPr>
          <w:b/>
        </w:rPr>
        <w:t xml:space="preserve">9 </w:t>
      </w:r>
      <w:r>
        <w:t xml:space="preserve">False</w:t>
      </w:r>
      <w:r>
        <w:rPr>
          <w:rStyle w:val="FootnoteReference"/>
        </w:rPr>
        <w:footnoteReference w:id="10863"/>
      </w:r>
      <w:r>
        <w:t xml:space="preserve"> witness will not go unpunished; one setting evil ablaze will perish by it.</w:t>
      </w:r>
    </w:p>
    <w:p>
      <w:r>
        <w:rPr>
          <w:b/>
        </w:rPr>
        <w:t xml:space="preserve">10 </w:t>
      </w:r>
      <w:r>
        <w:t xml:space="preserve">Luxury does not fit fool, nor if slave should begin to rule arrogantly over rulers.</w:t>
      </w:r>
    </w:p>
    <w:p>
      <w:r>
        <w:rPr>
          <w:b/>
        </w:rPr>
        <w:t xml:space="preserve">11 </w:t>
      </w:r>
      <w:r>
        <w:t xml:space="preserve">Merciful man is longsuffering, and his boast comes upon lawless men.</w:t>
      </w:r>
    </w:p>
    <w:p>
      <w:r>
        <w:rPr>
          <w:b/>
        </w:rPr>
        <w:t xml:space="preserve">12 </w:t>
      </w:r>
      <w:r>
        <w:t xml:space="preserve">Threat of the king like the roaring of a lion, but his cheerfulness like dew on grass.</w:t>
      </w:r>
    </w:p>
    <w:p>
      <w:r>
        <w:rPr>
          <w:b/>
        </w:rPr>
        <w:t xml:space="preserve">13 </w:t>
      </w:r>
      <w:r>
        <w:t xml:space="preserve">Foolish</w:t>
      </w:r>
      <w:r>
        <w:rPr>
          <w:rStyle w:val="FootnoteReference"/>
        </w:rPr>
        <w:footnoteReference w:id="10864"/>
      </w:r>
      <w:r>
        <w:t xml:space="preserve"> son shame to father, and vows from the wages of prostitute not pure.</w:t>
      </w:r>
    </w:p>
    <w:p>
      <w:r>
        <w:rPr>
          <w:b/>
        </w:rPr>
        <w:t xml:space="preserve">14 </w:t>
      </w:r>
      <w:r>
        <w:t xml:space="preserve">House and substance fathers divide to children, but fitting wife prepared from God for man.</w:t>
      </w:r>
    </w:p>
    <w:p>
      <w:r>
        <w:rPr>
          <w:b/>
        </w:rPr>
        <w:t xml:space="preserve">15 </w:t>
      </w:r>
      <w:r>
        <w:t xml:space="preserve">Cowardice holds down unmanned man, and soul of idle man will hunger.</w:t>
      </w:r>
    </w:p>
    <w:p>
      <w:r>
        <w:rPr>
          <w:b/>
        </w:rPr>
        <w:t xml:space="preserve">16 </w:t>
      </w:r>
      <w:r>
        <w:t xml:space="preserve">One keeping command keeps his own soul, but one despising his own ways will perish.</w:t>
      </w:r>
    </w:p>
    <w:p>
      <w:r>
        <w:rPr>
          <w:b/>
        </w:rPr>
        <w:t xml:space="preserve">17 </w:t>
      </w:r>
      <w:r>
        <w:t xml:space="preserve">One showing mercy to poor lends to God, and according to his gift he will repay him.</w:t>
      </w:r>
    </w:p>
    <w:p>
      <w:r>
        <w:rPr>
          <w:b/>
        </w:rPr>
        <w:t xml:space="preserve">18 </w:t>
      </w:r>
      <w:r>
        <w:t xml:space="preserve">Discipline your son, for thus he will be hopeful; but do not exalt your soul into insolence.</w:t>
      </w:r>
    </w:p>
    <w:p>
      <w:r>
        <w:rPr>
          <w:b/>
        </w:rPr>
        <w:t xml:space="preserve">19 </w:t>
      </w:r>
      <w:r>
        <w:t xml:space="preserve">Ill-minded man will suffer much damage; and if he causes destruction, he will add even his soul.</w:t>
      </w:r>
    </w:p>
    <w:p>
      <w:r>
        <w:rPr>
          <w:b/>
        </w:rPr>
        <w:t xml:space="preserve">20 </w:t>
      </w:r>
      <w:r>
        <w:t xml:space="preserve">Hear, son, discipline of your father, so that you may become wise at your latter end.</w:t>
      </w:r>
    </w:p>
    <w:p>
      <w:r>
        <w:rPr>
          <w:b/>
        </w:rPr>
        <w:t xml:space="preserve">21 </w:t>
      </w:r>
      <w:r>
        <w:t xml:space="preserve">Many reasonings in the heart of man, but counsel of the Lord remains forever.</w:t>
      </w:r>
    </w:p>
    <w:p>
      <w:r>
        <w:rPr>
          <w:b/>
        </w:rPr>
        <w:t xml:space="preserve">22 </w:t>
      </w:r>
      <w:r>
        <w:t xml:space="preserve">Fruit for man is mercy; and better poor righteous than rich liar.</w:t>
      </w:r>
    </w:p>
    <w:p>
      <w:r>
        <w:rPr>
          <w:b/>
        </w:rPr>
        <w:t xml:space="preserve">23 </w:t>
      </w:r>
      <w:r>
        <w:t xml:space="preserve">The fear</w:t>
      </w:r>
      <w:r>
        <w:rPr>
          <w:rStyle w:val="FootnoteReference"/>
        </w:rPr>
        <w:footnoteReference w:id="10865"/>
      </w:r>
      <w:r>
        <w:t xml:space="preserve"> of the Lord for life to man, but fear-free man will lodge in places where knowledge is not visited.</w:t>
      </w:r>
    </w:p>
    <w:p>
      <w:r>
        <w:rPr>
          <w:b/>
        </w:rPr>
        <w:t xml:space="preserve">24 </w:t>
      </w:r>
      <w:r>
        <w:t xml:space="preserve">One hiding hands in bosom unjustly will certainly not bring them to his mouth.</w:t>
      </w:r>
    </w:p>
    <w:p>
      <w:r>
        <w:rPr>
          <w:b/>
        </w:rPr>
        <w:t xml:space="preserve">25 </w:t>
      </w:r>
      <w:r>
        <w:t xml:space="preserve">When pestilent man is scourged, fool becomes more shrewd; but if you rebuke prudent man, he will understand perception.</w:t>
      </w:r>
    </w:p>
    <w:p>
      <w:r>
        <w:rPr>
          <w:b/>
        </w:rPr>
        <w:t xml:space="preserve">26 </w:t>
      </w:r>
      <w:r>
        <w:t xml:space="preserve">One dishonoring father and thrusting away mother will be shamed and reproached.</w:t>
      </w:r>
    </w:p>
    <w:p>
      <w:r>
        <w:rPr>
          <w:b/>
        </w:rPr>
        <w:t xml:space="preserve">27 </w:t>
      </w:r>
      <w:r>
        <w:t xml:space="preserve">Son, ceasing to keep discipline of father, you will meditate evil sayings.</w:t>
      </w:r>
    </w:p>
    <w:p>
      <w:r>
        <w:rPr>
          <w:b/>
        </w:rPr>
        <w:t xml:space="preserve">28 </w:t>
      </w:r>
      <w:r>
        <w:t xml:space="preserve">One guaranteeing foolish child insults judgment, and the mouth of the ungodly swallows judgments.</w:t>
      </w:r>
    </w:p>
    <w:p>
      <w:r>
        <w:rPr>
          <w:b/>
        </w:rPr>
        <w:t xml:space="preserve">29 </w:t>
      </w:r>
      <w:r>
        <w:t xml:space="preserve">Scourges prepared for unrestrained men, and punishments for backs of fools.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Wine unrestrained and drunkenness insolent; everyone mingling with it will not be wise.</w:t>
      </w:r>
    </w:p>
    <w:p>
      <w:r>
        <w:rPr>
          <w:b/>
        </w:rPr>
        <w:t xml:space="preserve">2 </w:t>
      </w:r>
      <w:r>
        <w:t xml:space="preserve">Threat of the king not different from the wrath of lion; one provoking him sins against his own soul.</w:t>
      </w:r>
    </w:p>
    <w:p>
      <w:r>
        <w:rPr>
          <w:b/>
        </w:rPr>
        <w:t xml:space="preserve">3 </w:t>
      </w:r>
      <w:r>
        <w:t xml:space="preserve">It is glory for a man to turn from insults, but every fool entangles himself with such things.</w:t>
      </w:r>
    </w:p>
    <w:p>
      <w:r>
        <w:rPr>
          <w:b/>
        </w:rPr>
        <w:t xml:space="preserve">4 </w:t>
      </w:r>
      <w:r>
        <w:t xml:space="preserve">Being reproached, sluggard</w:t>
      </w:r>
      <w:r>
        <w:rPr>
          <w:rStyle w:val="FootnoteReference"/>
        </w:rPr>
        <w:footnoteReference w:id="10866"/>
      </w:r>
      <w:r>
        <w:t xml:space="preserve"> is not ashamed; likewise borrower of grain in harvest.</w:t>
      </w:r>
    </w:p>
    <w:p>
      <w:r>
        <w:rPr>
          <w:b/>
        </w:rPr>
        <w:t xml:space="preserve">5 </w:t>
      </w:r>
      <w:r>
        <w:t xml:space="preserve">Deep water is counsel in the heart of man, but prudent man will draw it out.</w:t>
      </w:r>
    </w:p>
    <w:p>
      <w:r>
        <w:rPr>
          <w:b/>
        </w:rPr>
        <w:t xml:space="preserve">6 </w:t>
      </w:r>
      <w:r>
        <w:t xml:space="preserve">Great man and precious merciful man, but faithful man is hard work to find.</w:t>
      </w:r>
    </w:p>
    <w:p>
      <w:r>
        <w:rPr>
          <w:b/>
        </w:rPr>
        <w:t xml:space="preserve">7 </w:t>
      </w:r>
      <w:r>
        <w:t xml:space="preserve">One walking blameless in righteousness will leave his children</w:t>
      </w:r>
      <w:r>
        <w:rPr>
          <w:rStyle w:val="FootnoteReference"/>
        </w:rPr>
        <w:footnoteReference w:id="10867"/>
      </w:r>
      <w:r>
        <w:t xml:space="preserve"> blessed.</w:t>
      </w:r>
    </w:p>
    <w:p>
      <w:r>
        <w:rPr>
          <w:b/>
        </w:rPr>
        <w:t xml:space="preserve">8 </w:t>
      </w:r>
      <w:r>
        <w:t xml:space="preserve">When righteous king sits on throne, no evil thing stands against his eyes.</w:t>
      </w:r>
    </w:p>
    <w:p>
      <w:r>
        <w:rPr>
          <w:b/>
        </w:rPr>
        <w:t xml:space="preserve">9 </w:t>
      </w:r>
      <w:r>
        <w:t xml:space="preserve">Who will boast, "I have pure heart"? Or who will speak boldly, "I am clean from sins"? Lamp of one speaking evil of father or mother will be quenched, and pupils of his eyes will see darkness. Possession hurried at first will not be blessed at last. Do not say, "I will repay enemy," but wait for the Lord so he may help you.</w:t>
      </w:r>
    </w:p>
    <w:p>
      <w:r>
        <w:rPr>
          <w:b/>
        </w:rPr>
        <w:t xml:space="preserve">10 </w:t>
      </w:r>
      <w:r>
        <w:t xml:space="preserve">Great and small weights, double measures too, both</w:t>
      </w:r>
      <w:r>
        <w:rPr>
          <w:rStyle w:val="FootnoteReference"/>
        </w:rPr>
        <w:footnoteReference w:id="10868"/>
      </w:r>
      <w:r>
        <w:t xml:space="preserve"> unclean before the Lord.</w:t>
      </w:r>
    </w:p>
    <w:p>
      <w:r>
        <w:rPr>
          <w:b/>
        </w:rPr>
        <w:t xml:space="preserve">11 </w:t>
      </w:r>
      <w:r>
        <w:t xml:space="preserve">And one doing them will be tripped in his practices. Young man with holy man and straight his way.</w:t>
      </w:r>
    </w:p>
    <w:p>
      <w:r>
        <w:rPr>
          <w:b/>
        </w:rPr>
        <w:t xml:space="preserve">12 </w:t>
      </w:r>
      <w:r>
        <w:t xml:space="preserve">Ear hearing and eye seeing, the Lord made both works.</w:t>
      </w:r>
    </w:p>
    <w:p>
      <w:r>
        <w:rPr>
          <w:b/>
        </w:rPr>
        <w:t xml:space="preserve">13 </w:t>
      </w:r>
      <w:r>
        <w:t xml:space="preserve">Do not love</w:t>
      </w:r>
      <w:r>
        <w:rPr>
          <w:rStyle w:val="FootnoteReference"/>
        </w:rPr>
        <w:footnoteReference w:id="10869"/>
      </w:r>
      <w:r>
        <w:t xml:space="preserve"> speaking against others, lest you be lifted up; open your eyes and be filled with breads.</w:t>
      </w:r>
    </w:p>
    <w:p>
      <w:r>
        <w:rPr>
          <w:b/>
        </w:rPr>
        <w:t xml:space="preserve">23 </w:t>
      </w:r>
      <w:r>
        <w:t xml:space="preserve">Double weight abomination to the Lord, and deceitful balance not good before him.</w:t>
      </w:r>
      <w:r>
        <w:rPr>
          <w:rStyle w:val="FootnoteReference"/>
        </w:rPr>
        <w:footnoteReference w:id="10870"/>
      </w:r>
    </w:p>
    <w:p>
      <w:r>
        <w:rPr>
          <w:b/>
        </w:rPr>
        <w:t xml:space="preserve">24 </w:t>
      </w:r>
      <w:r>
        <w:t xml:space="preserve">From the Lord the steps of a man are made straight; mortal, how will he understand his ways?</w:t>
      </w:r>
    </w:p>
    <w:p>
      <w:r>
        <w:rPr>
          <w:b/>
        </w:rPr>
        <w:t xml:space="preserve">25 </w:t>
      </w:r>
      <w:r>
        <w:t xml:space="preserve">Snare to man quickly to consecrate some of his own things, for after vowing, regret comes.</w:t>
      </w:r>
    </w:p>
    <w:p>
      <w:r>
        <w:rPr>
          <w:b/>
        </w:rPr>
        <w:t xml:space="preserve">26 </w:t>
      </w:r>
      <w:r>
        <w:t xml:space="preserve">A wise</w:t>
      </w:r>
      <w:r>
        <w:rPr>
          <w:rStyle w:val="FootnoteReference"/>
        </w:rPr>
        <w:footnoteReference w:id="10871"/>
      </w:r>
      <w:r>
        <w:t xml:space="preserve"> king winnows the ungodly and will bring wheel upon them.</w:t>
      </w:r>
    </w:p>
    <w:p>
      <w:r>
        <w:rPr>
          <w:b/>
        </w:rPr>
        <w:t xml:space="preserve">27 </w:t>
      </w:r>
      <w:r>
        <w:t xml:space="preserve">The light of the Lord is the breath of men, searching</w:t>
      </w:r>
      <w:r>
        <w:rPr>
          <w:rStyle w:val="FootnoteReference"/>
        </w:rPr>
        <w:footnoteReference w:id="10872"/>
      </w:r>
      <w:r>
        <w:t xml:space="preserve"> storerooms of belly.</w:t>
      </w:r>
    </w:p>
    <w:p>
      <w:r>
        <w:rPr>
          <w:b/>
        </w:rPr>
        <w:t xml:space="preserve">28 </w:t>
      </w:r>
      <w:r>
        <w:t xml:space="preserve">Mercy</w:t>
      </w:r>
      <w:r>
        <w:rPr>
          <w:rStyle w:val="FootnoteReference"/>
        </w:rPr>
        <w:footnoteReference w:id="10873"/>
      </w:r>
      <w:r>
        <w:t xml:space="preserve"> and truth guard king, and in righteousness they encircle his throne.</w:t>
      </w:r>
    </w:p>
    <w:p>
      <w:r>
        <w:rPr>
          <w:b/>
        </w:rPr>
        <w:t xml:space="preserve">29 </w:t>
      </w:r>
      <w:r>
        <w:t xml:space="preserve">Adornment of young men is wisdom, and glory</w:t>
      </w:r>
      <w:r>
        <w:rPr>
          <w:rStyle w:val="FootnoteReference"/>
        </w:rPr>
        <w:footnoteReference w:id="10874"/>
      </w:r>
      <w:r>
        <w:t xml:space="preserve"> of elders is gray hairs.</w:t>
      </w:r>
    </w:p>
    <w:p>
      <w:r>
        <w:rPr>
          <w:b/>
        </w:rPr>
        <w:t xml:space="preserve">30 </w:t>
      </w:r>
      <w:r>
        <w:t xml:space="preserve">Blows and bruises meet evils, and wounds into the storerooms of belly.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Like rush of water, so heart of the king in the hand of God; wherever he wills to incline, there he bent it.</w:t>
      </w:r>
    </w:p>
    <w:p>
      <w:r>
        <w:rPr>
          <w:b/>
        </w:rPr>
        <w:t xml:space="preserve">2 </w:t>
      </w:r>
      <w:r>
        <w:t xml:space="preserve">Every man appears righteous to himself, but the Lord</w:t>
      </w:r>
      <w:r>
        <w:rPr>
          <w:rStyle w:val="FootnoteReference"/>
        </w:rPr>
        <w:footnoteReference w:id="10875"/>
      </w:r>
      <w:r>
        <w:t xml:space="preserve"> directs hearts.</w:t>
      </w:r>
    </w:p>
    <w:p>
      <w:r>
        <w:rPr>
          <w:b/>
        </w:rPr>
        <w:t xml:space="preserve">3 </w:t>
      </w:r>
      <w:r>
        <w:t xml:space="preserve">Doing righteous things and speaking truth more pleasing to God than blood sacrifices.</w:t>
      </w:r>
    </w:p>
    <w:p>
      <w:r>
        <w:rPr>
          <w:b/>
        </w:rPr>
        <w:t xml:space="preserve">4 </w:t>
      </w:r>
      <w:r>
        <w:t xml:space="preserve">High-minded in insolence, bold in heart; the lamp of the ungodly is sin.</w:t>
      </w:r>
      <w:r>
        <w:rPr>
          <w:rStyle w:val="FootnoteReference"/>
        </w:rPr>
        <w:footnoteReference w:id="10876"/>
      </w:r>
      <w:r>
        <w:t xml:space="preserve"/>
      </w:r>
    </w:p>
    <w:p>
      <w:r>
        <w:rPr>
          <w:b/>
        </w:rPr>
        <w:t xml:space="preserve">6 </w:t>
      </w:r>
      <w:r>
        <w:t xml:space="preserve">One working up treasuries with lying tongue pursues vanities into snares of death.</w:t>
      </w:r>
    </w:p>
    <w:p>
      <w:r>
        <w:rPr>
          <w:b/>
        </w:rPr>
        <w:t xml:space="preserve">7 </w:t>
      </w:r>
      <w:r>
        <w:t xml:space="preserve">Destruction will become foreign to ungodly, for they do not want to do righteous things.</w:t>
      </w:r>
    </w:p>
    <w:p>
      <w:r>
        <w:rPr>
          <w:b/>
        </w:rPr>
        <w:t xml:space="preserve">8 </w:t>
      </w:r>
      <w:r>
        <w:t xml:space="preserve">Toward crooked men God sends crooked ways, for his works pure and straight.</w:t>
      </w:r>
    </w:p>
    <w:p>
      <w:r>
        <w:rPr>
          <w:b/>
        </w:rPr>
        <w:t xml:space="preserve">9 </w:t>
      </w:r>
      <w:r>
        <w:t xml:space="preserve">Better</w:t>
      </w:r>
      <w:r>
        <w:rPr>
          <w:rStyle w:val="FootnoteReference"/>
        </w:rPr>
        <w:footnoteReference w:id="10877"/>
      </w:r>
      <w:r>
        <w:t xml:space="preserve"> dwell on the corner of open roof than in plastered rooms with injustice and common house.</w:t>
      </w:r>
    </w:p>
    <w:p>
      <w:r>
        <w:rPr>
          <w:b/>
        </w:rPr>
        <w:t xml:space="preserve">10 </w:t>
      </w:r>
      <w:r>
        <w:t xml:space="preserve">The soul</w:t>
      </w:r>
      <w:r>
        <w:rPr>
          <w:rStyle w:val="FootnoteReference"/>
        </w:rPr>
        <w:footnoteReference w:id="10878"/>
      </w:r>
      <w:r>
        <w:t xml:space="preserve"> of the ungodly will not be pitied by anyone of men.</w:t>
      </w:r>
    </w:p>
    <w:p>
      <w:r>
        <w:rPr>
          <w:b/>
        </w:rPr>
        <w:t xml:space="preserve">11 </w:t>
      </w:r>
      <w:r>
        <w:t xml:space="preserve">When unrestrained man is punished, innocent becomes more shrewd; and when wise understands, he will receive knowledge.</w:t>
      </w:r>
    </w:p>
    <w:p>
      <w:r>
        <w:rPr>
          <w:b/>
        </w:rPr>
        <w:t xml:space="preserve">12 </w:t>
      </w:r>
      <w:r>
        <w:t xml:space="preserve">A righteous one understands hearts of ungodly and brings down ungodly in evils.</w:t>
      </w:r>
    </w:p>
    <w:p>
      <w:r>
        <w:rPr>
          <w:b/>
        </w:rPr>
        <w:t xml:space="preserve">13 </w:t>
      </w:r>
      <w:r>
        <w:t xml:space="preserve">One stopping his ears from hearing weak man, he himself will call and there will be no hearer.</w:t>
      </w:r>
    </w:p>
    <w:p>
      <w:r>
        <w:rPr>
          <w:b/>
        </w:rPr>
        <w:t xml:space="preserve">14 </w:t>
      </w:r>
      <w:r>
        <w:t xml:space="preserve">Secret gift</w:t>
      </w:r>
      <w:r>
        <w:rPr>
          <w:rStyle w:val="FootnoteReference"/>
        </w:rPr>
        <w:footnoteReference w:id="10879"/>
      </w:r>
      <w:r>
        <w:t xml:space="preserve"> overturns wraths, but one sparing gifts stirs strong anger.</w:t>
      </w:r>
    </w:p>
    <w:p>
      <w:r>
        <w:rPr>
          <w:b/>
        </w:rPr>
        <w:t xml:space="preserve">15 </w:t>
      </w:r>
      <w:r>
        <w:t xml:space="preserve">The joy of the righteous is doing judgment, but a holy man is unclean among evildoers.</w:t>
      </w:r>
      <w:r>
        <w:rPr>
          <w:rStyle w:val="FootnoteReference"/>
        </w:rPr>
        <w:footnoteReference w:id="10880"/>
      </w:r>
      <w:r>
        <w:t xml:space="preserve"/>
      </w:r>
    </w:p>
    <w:p>
      <w:r>
        <w:rPr>
          <w:b/>
        </w:rPr>
        <w:t xml:space="preserve">16 </w:t>
      </w:r>
      <w:r>
        <w:t xml:space="preserve">Man wandering from the way of righteousness will rest in the assembly of giants.</w:t>
      </w:r>
    </w:p>
    <w:p>
      <w:r>
        <w:rPr>
          <w:b/>
        </w:rPr>
        <w:t xml:space="preserve">17 </w:t>
      </w:r>
      <w:r>
        <w:t xml:space="preserve">Needy man loves gladness; loving wine and oil not for wealth.</w:t>
      </w:r>
    </w:p>
    <w:p>
      <w:r>
        <w:rPr>
          <w:b/>
        </w:rPr>
        <w:t xml:space="preserve">18 </w:t>
      </w:r>
      <w:r>
        <w:t xml:space="preserve">A lawless man is purging-scrap for the righteous.</w:t>
      </w:r>
    </w:p>
    <w:p>
      <w:r>
        <w:rPr>
          <w:b/>
        </w:rPr>
        <w:t xml:space="preserve">19 </w:t>
      </w:r>
      <w:r>
        <w:t xml:space="preserve">Better</w:t>
      </w:r>
      <w:r>
        <w:rPr>
          <w:rStyle w:val="FootnoteReference"/>
        </w:rPr>
        <w:footnoteReference w:id="10881"/>
      </w:r>
      <w:r>
        <w:t xml:space="preserve"> dwell in desert land than with quarrelsome, talkative, angry woman.</w:t>
      </w:r>
    </w:p>
    <w:p>
      <w:r>
        <w:rPr>
          <w:b/>
        </w:rPr>
        <w:t xml:space="preserve">20 </w:t>
      </w:r>
      <w:r>
        <w:t xml:space="preserve">Desired treasure</w:t>
      </w:r>
      <w:r>
        <w:rPr>
          <w:rStyle w:val="FootnoteReference"/>
        </w:rPr>
        <w:footnoteReference w:id="10882"/>
      </w:r>
      <w:r>
        <w:t xml:space="preserve"> rests on the mouth of wise, but foolish men swallow it down.</w:t>
      </w:r>
    </w:p>
    <w:p>
      <w:r>
        <w:rPr>
          <w:b/>
        </w:rPr>
        <w:t xml:space="preserve">21 </w:t>
      </w:r>
      <w:r>
        <w:t xml:space="preserve">The way of righteousness and mercy will find life and glory.</w:t>
      </w:r>
    </w:p>
    <w:p>
      <w:r>
        <w:rPr>
          <w:b/>
        </w:rPr>
        <w:t xml:space="preserve">22 </w:t>
      </w:r>
      <w:r>
        <w:t xml:space="preserve">A wise man scaled strong cities and pulled down stronghold in which ungodly trusted.</w:t>
      </w:r>
    </w:p>
    <w:p>
      <w:r>
        <w:rPr>
          <w:b/>
        </w:rPr>
        <w:t xml:space="preserve">23 </w:t>
      </w:r>
      <w:r>
        <w:t xml:space="preserve">One guarding his mouth and tongue keeps his soul from affliction.</w:t>
      </w:r>
    </w:p>
    <w:p>
      <w:r>
        <w:rPr>
          <w:b/>
        </w:rPr>
        <w:t xml:space="preserve">24 </w:t>
      </w:r>
      <w:r>
        <w:t xml:space="preserve">Bold and self-willed and braggart is called pest; a lawless one is one remembering wrongs.</w:t>
      </w:r>
      <w:r>
        <w:rPr>
          <w:rStyle w:val="FootnoteReference"/>
        </w:rPr>
        <w:footnoteReference w:id="10883"/>
      </w:r>
      <w:r>
        <w:t xml:space="preserve"/>
      </w:r>
    </w:p>
    <w:p>
      <w:r>
        <w:rPr>
          <w:b/>
        </w:rPr>
        <w:t xml:space="preserve">25 </w:t>
      </w:r>
      <w:r>
        <w:t xml:space="preserve">Desires kill sluggard, for his hands do not choose to do anything.</w:t>
      </w:r>
    </w:p>
    <w:p>
      <w:r>
        <w:rPr>
          <w:b/>
        </w:rPr>
        <w:t xml:space="preserve">26 </w:t>
      </w:r>
      <w:r>
        <w:t xml:space="preserve">An ungodly one all day desires evil desires, but righteous shows mercy and pities unsparingly.</w:t>
      </w:r>
    </w:p>
    <w:p>
      <w:r>
        <w:rPr>
          <w:b/>
        </w:rPr>
        <w:t xml:space="preserve">27 </w:t>
      </w:r>
      <w:r>
        <w:t xml:space="preserve">Sacrifices of ungodly abomination to the Lord, especially since they offer them lawlessly.</w:t>
      </w:r>
    </w:p>
    <w:p>
      <w:r>
        <w:rPr>
          <w:b/>
        </w:rPr>
        <w:t xml:space="preserve">28 </w:t>
      </w:r>
      <w:r>
        <w:t xml:space="preserve">False witness</w:t>
      </w:r>
      <w:r>
        <w:rPr>
          <w:rStyle w:val="FootnoteReference"/>
        </w:rPr>
        <w:footnoteReference w:id="10884"/>
      </w:r>
      <w:r>
        <w:t xml:space="preserve"> will perish, but obedient man, being guarded, will speak.</w:t>
      </w:r>
    </w:p>
    <w:p>
      <w:r>
        <w:rPr>
          <w:b/>
        </w:rPr>
        <w:t xml:space="preserve">29 </w:t>
      </w:r>
      <w:r>
        <w:t xml:space="preserve">An ungodly man stands shameless in face, but the upright man</w:t>
      </w:r>
      <w:r>
        <w:rPr>
          <w:rStyle w:val="FootnoteReference"/>
        </w:rPr>
        <w:footnoteReference w:id="10885"/>
      </w:r>
      <w:r>
        <w:t xml:space="preserve"> himself understands his ways.</w:t>
      </w:r>
    </w:p>
    <w:p>
      <w:r>
        <w:rPr>
          <w:b/>
        </w:rPr>
        <w:t xml:space="preserve">30 </w:t>
      </w:r>
      <w:r>
        <w:t xml:space="preserve">No wisdom, no courage, no counsel against the ungodly man</w:t>
      </w:r>
      <w:r>
        <w:rPr>
          <w:rStyle w:val="FootnoteReference"/>
        </w:rPr>
        <w:footnoteReference w:id="10886"/>
      </w:r>
      <w:r>
        <w:t xml:space="preserve">.</w:t>
      </w:r>
    </w:p>
    <w:p>
      <w:r>
        <w:rPr>
          <w:b/>
        </w:rPr>
        <w:t xml:space="preserve">31 </w:t>
      </w:r>
      <w:r>
        <w:t xml:space="preserve">Horse</w:t>
      </w:r>
      <w:r>
        <w:rPr>
          <w:rStyle w:val="FootnoteReference"/>
        </w:rPr>
        <w:footnoteReference w:id="10887"/>
      </w:r>
      <w:r>
        <w:t xml:space="preserve"> prepared for the day of war, but help from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Better good name than much wealth, and good favor above silver and gold.</w:t>
      </w:r>
    </w:p>
    <w:p>
      <w:r>
        <w:rPr>
          <w:b/>
        </w:rPr>
        <w:t xml:space="preserve">2 </w:t>
      </w:r>
      <w:r>
        <w:t xml:space="preserve">Rich</w:t>
      </w:r>
      <w:r>
        <w:rPr>
          <w:rStyle w:val="FootnoteReference"/>
        </w:rPr>
        <w:footnoteReference w:id="10888"/>
      </w:r>
      <w:r>
        <w:t xml:space="preserve"> and poor met one another, and the Lord made both.</w:t>
      </w:r>
    </w:p>
    <w:p>
      <w:r>
        <w:rPr>
          <w:b/>
        </w:rPr>
        <w:t xml:space="preserve">3 </w:t>
      </w:r>
      <w:r>
        <w:t xml:space="preserve">Shrewd man, seeing evil man punished strongly, is himself disciplined; but fools pass by and suffer loss.</w:t>
      </w:r>
    </w:p>
    <w:p>
      <w:r>
        <w:rPr>
          <w:b/>
        </w:rPr>
        <w:t xml:space="preserve">4 </w:t>
      </w:r>
      <w:r>
        <w:t xml:space="preserve">The fear of the Lord is the offspring of wisdom, and wealth and glory and life.</w:t>
      </w:r>
      <w:r>
        <w:rPr>
          <w:rStyle w:val="FootnoteReference"/>
        </w:rPr>
        <w:footnoteReference w:id="10889"/>
      </w:r>
      <w:r>
        <w:t xml:space="preserve"/>
      </w:r>
    </w:p>
    <w:p>
      <w:r>
        <w:rPr>
          <w:b/>
        </w:rPr>
        <w:t xml:space="preserve">5 </w:t>
      </w:r>
      <w:r>
        <w:t xml:space="preserve">Thorns</w:t>
      </w:r>
      <w:r>
        <w:rPr>
          <w:rStyle w:val="FootnoteReference"/>
        </w:rPr>
        <w:footnoteReference w:id="10890"/>
      </w:r>
      <w:r>
        <w:t xml:space="preserve"> and snares on crooked ways, but one guarding his soul will keep away from them.</w:t>
      </w:r>
    </w:p>
    <w:p>
      <w:r>
        <w:rPr>
          <w:b/>
        </w:rPr>
        <w:t xml:space="preserve">7 </w:t>
      </w:r>
      <w:r>
        <w:t xml:space="preserve">Rich</w:t>
      </w:r>
      <w:r>
        <w:rPr>
          <w:rStyle w:val="FootnoteReference"/>
        </w:rPr>
        <w:footnoteReference w:id="10891"/>
      </w:r>
      <w:r>
        <w:t xml:space="preserve"> will rule poor, and servants will lend to their own masters.</w:t>
      </w:r>
    </w:p>
    <w:p>
      <w:r>
        <w:rPr>
          <w:b/>
        </w:rPr>
        <w:t xml:space="preserve">8 </w:t>
      </w:r>
      <w:r>
        <w:t xml:space="preserve">One sowing base things will reap evils, and will finish off blow of his works. God blesses cheerful man and giver, but vanity of his works he will finish off.</w:t>
      </w:r>
    </w:p>
    <w:p>
      <w:r>
        <w:rPr>
          <w:b/>
        </w:rPr>
        <w:t xml:space="preserve">9 </w:t>
      </w:r>
      <w:r>
        <w:t xml:space="preserve">One having mercy on poor will himself be nourished, for from his own breads he gave to poor. One giving gifts acquires victory and honor, but takes away soul of possessors.</w:t>
      </w:r>
    </w:p>
    <w:p>
      <w:r>
        <w:rPr>
          <w:b/>
        </w:rPr>
        <w:t xml:space="preserve">10 </w:t>
      </w:r>
      <w:r>
        <w:t xml:space="preserve">Throw pest out of council, and strife will go out with him; for when he sits in council, he dishonors all.</w:t>
      </w:r>
    </w:p>
    <w:p>
      <w:r>
        <w:rPr>
          <w:b/>
        </w:rPr>
        <w:t xml:space="preserve">11 </w:t>
      </w:r>
      <w:r>
        <w:t xml:space="preserve">The Lord loves holy hearts, and all blameless with lips are acceptable to him; king shepherds them.</w:t>
      </w:r>
    </w:p>
    <w:p>
      <w:r>
        <w:rPr>
          <w:b/>
        </w:rPr>
        <w:t xml:space="preserve">12 </w:t>
      </w:r>
      <w:r>
        <w:t xml:space="preserve">The eyes</w:t>
      </w:r>
      <w:r>
        <w:rPr>
          <w:rStyle w:val="FootnoteReference"/>
        </w:rPr>
        <w:footnoteReference w:id="10892"/>
      </w:r>
      <w:r>
        <w:t xml:space="preserve"> of the Lord preserve perception, but lawless man overturns words.</w:t>
      </w:r>
    </w:p>
    <w:p>
      <w:r>
        <w:rPr>
          <w:b/>
        </w:rPr>
        <w:t xml:space="preserve">13 </w:t>
      </w:r>
      <w:r>
        <w:t xml:space="preserve">Sluggard makes excuse and says, "Lion in roads; in streets I will be killed."</w:t>
      </w:r>
    </w:p>
    <w:p>
      <w:r>
        <w:rPr>
          <w:b/>
        </w:rPr>
        <w:t xml:space="preserve">14 </w:t>
      </w:r>
      <w:r>
        <w:t xml:space="preserve">A deep pit is the mouth</w:t>
      </w:r>
      <w:r>
        <w:rPr>
          <w:rStyle w:val="FootnoteReference"/>
        </w:rPr>
        <w:footnoteReference w:id="10893"/>
      </w:r>
      <w:r>
        <w:t xml:space="preserve"> of a lawless man; one hated by the Lord will fall into it. There are evil ways before a man, and he does not love to turn from them; but one must turn from a crooked and evil way.</w:t>
      </w:r>
      <w:r>
        <w:rPr>
          <w:rStyle w:val="FootnoteReference"/>
        </w:rPr>
        <w:footnoteReference w:id="10894"/>
      </w:r>
    </w:p>
    <w:p>
      <w:r>
        <w:rPr>
          <w:b/>
        </w:rPr>
        <w:t xml:space="preserve">15 </w:t>
      </w:r>
      <w:r>
        <w:t xml:space="preserve">Folly is fastened to the heart of youth, but the rod and discipline are far from him.</w:t>
      </w:r>
    </w:p>
    <w:p>
      <w:r>
        <w:rPr>
          <w:b/>
        </w:rPr>
        <w:t xml:space="preserve">16 </w:t>
      </w:r>
      <w:r>
        <w:t xml:space="preserve">One slandering poor makes much for himself, but giving to rich for less.</w:t>
      </w:r>
    </w:p>
    <w:p>
      <w:r>
        <w:rPr>
          <w:b/>
        </w:rPr>
        <w:t xml:space="preserve">17 </w:t>
      </w:r>
      <w:r>
        <w:t xml:space="preserve">Incline your ear to the words of the wise and hear</w:t>
      </w:r>
      <w:r>
        <w:rPr>
          <w:rStyle w:val="FootnoteReference"/>
        </w:rPr>
        <w:footnoteReference w:id="10895"/>
      </w:r>
      <w:r>
        <w:t xml:space="preserve"> my word, and set your heart on them so that you may know they are good.</w:t>
      </w:r>
    </w:p>
    <w:p>
      <w:r>
        <w:rPr>
          <w:b/>
        </w:rPr>
        <w:t xml:space="preserve">18 </w:t>
      </w:r>
      <w:r>
        <w:t xml:space="preserve">And if you cast them into your heart, they will gladden you together upon your lips.</w:t>
      </w:r>
    </w:p>
    <w:p>
      <w:r>
        <w:rPr>
          <w:b/>
        </w:rPr>
        <w:t xml:space="preserve">19 </w:t>
      </w:r>
      <w:r>
        <w:t xml:space="preserve">So that your hope may be on the Lord, and he may make his way known to you.</w:t>
      </w:r>
    </w:p>
    <w:p>
      <w:r>
        <w:rPr>
          <w:b/>
        </w:rPr>
        <w:t xml:space="preserve">20 </w:t>
      </w:r>
      <w:r>
        <w:t xml:space="preserve">And you, write them for yourself threefold for counsel and knowledge on the breadth of your heart.</w:t>
      </w:r>
    </w:p>
    <w:p>
      <w:r>
        <w:rPr>
          <w:b/>
        </w:rPr>
        <w:t xml:space="preserve">21 </w:t>
      </w:r>
      <w:r>
        <w:t xml:space="preserve">So I teach you true word and good knowledge, to obey by answering the words of truth to those putting things before you.</w:t>
      </w:r>
    </w:p>
    <w:p>
      <w:r>
        <w:rPr>
          <w:b/>
        </w:rPr>
        <w:t xml:space="preserve">22 </w:t>
      </w:r>
      <w:r>
        <w:t xml:space="preserve">Do not use force against poor, for he is poor, and do not dishonor weak man in gates.</w:t>
      </w:r>
    </w:p>
    <w:p>
      <w:r>
        <w:rPr>
          <w:b/>
        </w:rPr>
        <w:t xml:space="preserve">23 </w:t>
      </w:r>
      <w:r>
        <w:t xml:space="preserve">For the Lord</w:t>
      </w:r>
      <w:r>
        <w:rPr>
          <w:rStyle w:val="FootnoteReference"/>
        </w:rPr>
        <w:footnoteReference w:id="10896"/>
      </w:r>
      <w:r>
        <w:t xml:space="preserve"> will judge his case and rescue your unplundered soul.</w:t>
      </w:r>
    </w:p>
    <w:p>
      <w:r>
        <w:rPr>
          <w:b/>
        </w:rPr>
        <w:t xml:space="preserve">24 </w:t>
      </w:r>
      <w:r>
        <w:t xml:space="preserve">Do not be companion to hot-tempered man, nor camp together with angry friend,</w:t>
      </w:r>
    </w:p>
    <w:p>
      <w:r>
        <w:rPr>
          <w:b/>
        </w:rPr>
        <w:t xml:space="preserve">25 </w:t>
      </w:r>
      <w:r>
        <w:t xml:space="preserve">lest you learn his ways and take snares for your soul.</w:t>
      </w:r>
    </w:p>
    <w:p>
      <w:r>
        <w:rPr>
          <w:b/>
        </w:rPr>
        <w:t xml:space="preserve">26 </w:t>
      </w:r>
      <w:r>
        <w:t xml:space="preserve">Do not give yourself as pledge, being ashamed of face.</w:t>
      </w:r>
    </w:p>
    <w:p>
      <w:r>
        <w:rPr>
          <w:b/>
        </w:rPr>
        <w:t xml:space="preserve">27 </w:t>
      </w:r>
      <w:r>
        <w:t xml:space="preserve">For if you have nothing from which to pay, they will take bedding from under your ribs.</w:t>
      </w:r>
    </w:p>
    <w:p>
      <w:r>
        <w:rPr>
          <w:b/>
        </w:rPr>
        <w:t xml:space="preserve">28 </w:t>
      </w:r>
      <w:r>
        <w:t xml:space="preserve">Do not move age-old boundaries your fathers set.</w:t>
      </w:r>
    </w:p>
    <w:p>
      <w:r>
        <w:rPr>
          <w:b/>
        </w:rPr>
        <w:t xml:space="preserve">29 </w:t>
      </w:r>
      <w:r>
        <w:t xml:space="preserve">See man with vision and sharp in his works; he must stand beside kings, not beside sluggish 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If you sit to dine at table of rulers, intelligently understand things set before you.</w:t>
      </w:r>
    </w:p>
    <w:p>
      <w:r>
        <w:rPr>
          <w:b/>
        </w:rPr>
        <w:t xml:space="preserve">2 </w:t>
      </w:r>
      <w:r>
        <w:t xml:space="preserve">And put your hand there, knowing that such things you must prepare.</w:t>
      </w:r>
    </w:p>
    <w:p>
      <w:r>
        <w:rPr>
          <w:b/>
        </w:rPr>
        <w:t xml:space="preserve">3 </w:t>
      </w:r>
      <w:r>
        <w:t xml:space="preserve">But if you are more insatiable, do not desire his dishes, for these hold false life.</w:t>
      </w:r>
    </w:p>
    <w:p>
      <w:r>
        <w:rPr>
          <w:b/>
        </w:rPr>
        <w:t xml:space="preserve">4 </w:t>
      </w:r>
      <w:r>
        <w:t xml:space="preserve">Do not stretch yourself out, being poor, toward becoming rich; hold back from your own thought.</w:t>
      </w:r>
    </w:p>
    <w:p>
      <w:r>
        <w:rPr>
          <w:b/>
        </w:rPr>
        <w:t xml:space="preserve">5 </w:t>
      </w:r>
      <w:r>
        <w:t xml:space="preserve">If you set your eye on it, nowhere will it appear, for wings are prepared for it like an eagle, and it returns to the house of one leading it.</w:t>
      </w:r>
    </w:p>
    <w:p>
      <w:r>
        <w:rPr>
          <w:b/>
        </w:rPr>
        <w:t xml:space="preserve">6 </w:t>
      </w:r>
      <w:r>
        <w:t xml:space="preserve">Do not dine with envious man, nor desire</w:t>
      </w:r>
      <w:r>
        <w:rPr>
          <w:rStyle w:val="FootnoteReference"/>
        </w:rPr>
        <w:footnoteReference w:id="10897"/>
      </w:r>
      <w:r>
        <w:t xml:space="preserve"> his foods.</w:t>
      </w:r>
    </w:p>
    <w:p>
      <w:r>
        <w:rPr>
          <w:b/>
        </w:rPr>
        <w:t xml:space="preserve">7 </w:t>
      </w:r>
      <w:r>
        <w:t xml:space="preserve">For as if someone should swallow hair, so he eats and drinks.</w:t>
      </w:r>
    </w:p>
    <w:p>
      <w:r>
        <w:rPr>
          <w:b/>
        </w:rPr>
        <w:t xml:space="preserve">8 </w:t>
      </w:r>
      <w:r>
        <w:t xml:space="preserve">Do not bring him in to yourself and eat your bread with him, for he will vomit it and will damage your good words.</w:t>
      </w:r>
    </w:p>
    <w:p>
      <w:r>
        <w:rPr>
          <w:b/>
        </w:rPr>
        <w:t xml:space="preserve">9 </w:t>
      </w:r>
      <w:r>
        <w:t xml:space="preserve">Speak</w:t>
      </w:r>
      <w:r>
        <w:rPr>
          <w:rStyle w:val="FootnoteReference"/>
        </w:rPr>
        <w:footnoteReference w:id="10898"/>
      </w:r>
      <w:r>
        <w:t xml:space="preserve"> nothing into the ears of fool, lest he sneer at your prudent words.</w:t>
      </w:r>
    </w:p>
    <w:p>
      <w:r>
        <w:rPr>
          <w:b/>
        </w:rPr>
        <w:t xml:space="preserve">10 </w:t>
      </w:r>
      <w:r>
        <w:t xml:space="preserve">Do not move eternal boundaries, and do not enter possession of orphans.</w:t>
      </w:r>
    </w:p>
    <w:p>
      <w:r>
        <w:rPr>
          <w:b/>
        </w:rPr>
        <w:t xml:space="preserve">11 </w:t>
      </w:r>
      <w:r>
        <w:t xml:space="preserve">For the Lord, redeeming them, is mighty, and will judge their case against you.</w:t>
      </w:r>
    </w:p>
    <w:p>
      <w:r>
        <w:rPr>
          <w:b/>
        </w:rPr>
        <w:t xml:space="preserve">12 </w:t>
      </w:r>
      <w:r>
        <w:t xml:space="preserve">Give your heart to discipline and prepare your ears for the words of perception.</w:t>
      </w:r>
    </w:p>
    <w:p>
      <w:r>
        <w:rPr>
          <w:b/>
        </w:rPr>
        <w:t xml:space="preserve">13 </w:t>
      </w:r>
      <w:r>
        <w:t xml:space="preserve">Do not hold back from disciplining child, for if you strike him with rod, he will certainly not die.</w:t>
      </w:r>
    </w:p>
    <w:p>
      <w:r>
        <w:rPr>
          <w:b/>
        </w:rPr>
        <w:t xml:space="preserve">14 </w:t>
      </w:r>
      <w:r>
        <w:t xml:space="preserve">For you will strike him with rod and rescue his soul from death.</w:t>
      </w:r>
    </w:p>
    <w:p>
      <w:r>
        <w:rPr>
          <w:b/>
        </w:rPr>
        <w:t xml:space="preserve">15 </w:t>
      </w:r>
      <w:r>
        <w:t xml:space="preserve">Son, if your heart becomes wise, you will gladden my heart also.</w:t>
      </w:r>
    </w:p>
    <w:p>
      <w:r>
        <w:rPr>
          <w:b/>
        </w:rPr>
        <w:t xml:space="preserve">16 </w:t>
      </w:r>
      <w:r>
        <w:t xml:space="preserve">And your lips will dwell within words toward my lips, if they are upright.</w:t>
      </w:r>
    </w:p>
    <w:p>
      <w:r>
        <w:rPr>
          <w:b/>
        </w:rPr>
        <w:t xml:space="preserve">17 </w:t>
      </w:r>
      <w:r>
        <w:t xml:space="preserve">Let your heart not envy sinners, but be in the fear of the Lord all day.</w:t>
      </w:r>
    </w:p>
    <w:p>
      <w:r>
        <w:rPr>
          <w:b/>
        </w:rPr>
        <w:t xml:space="preserve">18 </w:t>
      </w:r>
      <w:r>
        <w:t xml:space="preserve">For if you keep these things, offspring will exist for you, and your hope will not depart.</w:t>
      </w:r>
    </w:p>
    <w:p>
      <w:r>
        <w:rPr>
          <w:b/>
        </w:rPr>
        <w:t xml:space="preserve">19 </w:t>
      </w:r>
      <w:r>
        <w:t xml:space="preserve">Hear, son, and become wise, and direct thoughts of your heart.</w:t>
      </w:r>
    </w:p>
    <w:p>
      <w:r>
        <w:rPr>
          <w:b/>
        </w:rPr>
        <w:t xml:space="preserve">20 </w:t>
      </w:r>
      <w:r>
        <w:t xml:space="preserve">Do not be wine-drinker, nor stretch yourself out in bargaining over meat-purchases.</w:t>
      </w:r>
    </w:p>
    <w:p>
      <w:r>
        <w:rPr>
          <w:b/>
        </w:rPr>
        <w:t xml:space="preserve">21 </w:t>
      </w:r>
      <w:r>
        <w:t xml:space="preserve">For every drunkard and fornicator will become poor, and every sleepy one will put on torn and ragged things.</w:t>
      </w:r>
    </w:p>
    <w:p>
      <w:r>
        <w:rPr>
          <w:b/>
        </w:rPr>
        <w:t xml:space="preserve">22 </w:t>
      </w:r>
      <w:r>
        <w:t xml:space="preserve">Hear, son, father who begot you, and do not despise</w:t>
      </w:r>
      <w:r>
        <w:rPr>
          <w:rStyle w:val="FootnoteReference"/>
        </w:rPr>
        <w:footnoteReference w:id="10899"/>
      </w:r>
      <w:r>
        <w:t xml:space="preserve"> because your mother has grown old.</w:t>
      </w:r>
    </w:p>
    <w:p>
      <w:r>
        <w:rPr>
          <w:b/>
        </w:rPr>
        <w:t xml:space="preserve">24 </w:t>
      </w:r>
      <w:r>
        <w:t xml:space="preserve">A righteous father</w:t>
      </w:r>
      <w:r>
        <w:rPr>
          <w:rStyle w:val="FootnoteReference"/>
        </w:rPr>
        <w:footnoteReference w:id="10900"/>
      </w:r>
      <w:r>
        <w:t xml:space="preserve"> rears well, and over wise son his soul rejoices.</w:t>
      </w:r>
    </w:p>
    <w:p>
      <w:r>
        <w:rPr>
          <w:b/>
        </w:rPr>
        <w:t xml:space="preserve">25 </w:t>
      </w:r>
      <w:r>
        <w:t xml:space="preserve">Let father and mother rejoice over you, and let one bearing you be glad.</w:t>
      </w:r>
    </w:p>
    <w:p>
      <w:r>
        <w:rPr>
          <w:b/>
        </w:rPr>
        <w:t xml:space="preserve">26 </w:t>
      </w:r>
      <w:r>
        <w:t xml:space="preserve">Give</w:t>
      </w:r>
      <w:r>
        <w:rPr>
          <w:rStyle w:val="FootnoteReference"/>
        </w:rPr>
        <w:footnoteReference w:id="10901"/>
      </w:r>
      <w:r>
        <w:t xml:space="preserve"> me, son, your heart, and let your eyes keep my ways.</w:t>
      </w:r>
    </w:p>
    <w:p>
      <w:r>
        <w:rPr>
          <w:b/>
        </w:rPr>
        <w:t xml:space="preserve">27 </w:t>
      </w:r>
      <w:r>
        <w:t xml:space="preserve">For a foreign house is a pierced jar, and a strange well is a narrow pit.</w:t>
      </w:r>
      <w:r>
        <w:rPr>
          <w:rStyle w:val="FootnoteReference"/>
        </w:rPr>
        <w:footnoteReference w:id="10902"/>
      </w:r>
      <w:r>
        <w:t xml:space="preserve"/>
      </w:r>
    </w:p>
    <w:p>
      <w:r>
        <w:rPr>
          <w:b/>
        </w:rPr>
        <w:t xml:space="preserve">28 </w:t>
      </w:r>
      <w:r>
        <w:t xml:space="preserve">For this one will soon perish, and every lawless man will be consumed.</w:t>
      </w:r>
    </w:p>
    <w:p>
      <w:r>
        <w:rPr>
          <w:b/>
        </w:rPr>
        <w:t xml:space="preserve">29 </w:t>
      </w:r>
      <w:r>
        <w:t xml:space="preserve">For whom woe? For whom turmoil? For whom judgments? For whom disgusts and babblings? For whom pointless bruises? Whose eyes pale?</w:t>
      </w:r>
    </w:p>
    <w:p>
      <w:r>
        <w:rPr>
          <w:b/>
        </w:rPr>
        <w:t xml:space="preserve">30 </w:t>
      </w:r>
      <w:r>
        <w:t xml:space="preserve">Not for those lingering over wines? Not for those tracking where drinking bouts happen?</w:t>
      </w:r>
    </w:p>
    <w:p>
      <w:r>
        <w:rPr>
          <w:b/>
        </w:rPr>
        <w:t xml:space="preserve">31 </w:t>
      </w:r>
      <w:r>
        <w:t xml:space="preserve">Do not get drunk with wine, but talk with righteous men and talk in walkings; for if you give your eyes to bowls and cups, afterward you will walk barer than before.</w:t>
      </w:r>
    </w:p>
    <w:p>
      <w:r>
        <w:rPr>
          <w:b/>
        </w:rPr>
        <w:t xml:space="preserve">32 </w:t>
      </w:r>
      <w:r>
        <w:t xml:space="preserve">At end, like one struck by serpent he stretches out, and like horned viper venom is poured out for him.</w:t>
      </w:r>
    </w:p>
    <w:p>
      <w:r>
        <w:rPr>
          <w:b/>
        </w:rPr>
        <w:t xml:space="preserve">33 </w:t>
      </w:r>
      <w:r>
        <w:t xml:space="preserve">When your eyes</w:t>
      </w:r>
      <w:r>
        <w:rPr>
          <w:rStyle w:val="FootnoteReference"/>
        </w:rPr>
        <w:footnoteReference w:id="10903"/>
      </w:r>
      <w:r>
        <w:t xml:space="preserve"> see strange woman, then your mouth will speak crooked things.</w:t>
      </w:r>
    </w:p>
    <w:p>
      <w:r>
        <w:rPr>
          <w:b/>
        </w:rPr>
        <w:t xml:space="preserve">34 </w:t>
      </w:r>
      <w:r>
        <w:t xml:space="preserve">And you will lie down as in the heart of the sea and as helmsman in great swell.</w:t>
      </w:r>
    </w:p>
    <w:p>
      <w:r>
        <w:rPr>
          <w:b/>
        </w:rPr>
        <w:t xml:space="preserve">35 </w:t>
      </w:r>
      <w:r>
        <w:t xml:space="preserve">And you will say, "They strike me, and I did not feel pain; they mocked me, and I did not know. When will dawn come so that I may go seek those with whom I shall gather?"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Son, do not envy evil men, nor desire to be with them.</w:t>
      </w:r>
    </w:p>
    <w:p>
      <w:r>
        <w:rPr>
          <w:b/>
        </w:rPr>
        <w:t xml:space="preserve">2 </w:t>
      </w:r>
      <w:r>
        <w:t xml:space="preserve">For their heart meditates lies, and their lips speak pains.</w:t>
      </w:r>
    </w:p>
    <w:p>
      <w:r>
        <w:rPr>
          <w:b/>
        </w:rPr>
        <w:t xml:space="preserve">3 </w:t>
      </w:r>
      <w:r>
        <w:t xml:space="preserve">With wisdom</w:t>
      </w:r>
      <w:r>
        <w:rPr>
          <w:rStyle w:val="FootnoteReference"/>
        </w:rPr>
        <w:footnoteReference w:id="10904"/>
      </w:r>
      <w:r>
        <w:t xml:space="preserve"> house is built, and with understanding it is set upright.</w:t>
      </w:r>
    </w:p>
    <w:p>
      <w:r>
        <w:rPr>
          <w:b/>
        </w:rPr>
        <w:t xml:space="preserve">4 </w:t>
      </w:r>
      <w:r>
        <w:t xml:space="preserve">With perception storerooms are filled from every precious and good wealth.</w:t>
      </w:r>
    </w:p>
    <w:p>
      <w:r>
        <w:rPr>
          <w:b/>
        </w:rPr>
        <w:t xml:space="preserve">5 </w:t>
      </w:r>
      <w:r>
        <w:t xml:space="preserve">Better wise man than strong man, and man having understanding than great farmer.</w:t>
      </w:r>
    </w:p>
    <w:p>
      <w:r>
        <w:rPr>
          <w:b/>
        </w:rPr>
        <w:t xml:space="preserve">6 </w:t>
      </w:r>
      <w:r>
        <w:t xml:space="preserve">With steering war happens, and help with counseling heart.</w:t>
      </w:r>
    </w:p>
    <w:p>
      <w:r>
        <w:rPr>
          <w:b/>
        </w:rPr>
        <w:t xml:space="preserve">7 </w:t>
      </w:r>
      <w:r>
        <w:t xml:space="preserve">Wisdom and good understanding are at the gates of the wise; wise men do not turn aside from the mouth of the Lord.</w:t>
      </w:r>
    </w:p>
    <w:p>
      <w:r>
        <w:rPr>
          <w:b/>
        </w:rPr>
        <w:t xml:space="preserve">8 </w:t>
      </w:r>
      <w:r>
        <w:t xml:space="preserve">But undisciplined men reason in councils; death meets them.</w:t>
      </w:r>
    </w:p>
    <w:p>
      <w:r>
        <w:rPr>
          <w:b/>
        </w:rPr>
        <w:t xml:space="preserve">9 </w:t>
      </w:r>
      <w:r>
        <w:t xml:space="preserve">A fool dies in sins, and uncleanness by pestilent man will be defiled.</w:t>
      </w:r>
    </w:p>
    <w:p>
      <w:r>
        <w:rPr>
          <w:b/>
        </w:rPr>
        <w:t xml:space="preserve">10 </w:t>
      </w:r>
      <w:r>
        <w:t xml:space="preserve">In evil day and in the day of affliction until he should fail.</w:t>
      </w:r>
    </w:p>
    <w:p>
      <w:r>
        <w:rPr>
          <w:b/>
        </w:rPr>
        <w:t xml:space="preserve">11 </w:t>
      </w:r>
      <w:r>
        <w:t xml:space="preserve">Rescue those being led to death, and buy back those being killed; do not spare.</w:t>
      </w:r>
    </w:p>
    <w:p>
      <w:r>
        <w:rPr>
          <w:b/>
        </w:rPr>
        <w:t xml:space="preserve">12 </w:t>
      </w:r>
      <w:r>
        <w:t xml:space="preserve">But if you say, "I do not know this man," know that the Lord of all hearts knows, and one forming breath for all himself knows all, who repays each according to his works.</w:t>
      </w:r>
    </w:p>
    <w:p>
      <w:r>
        <w:rPr>
          <w:b/>
        </w:rPr>
        <w:t xml:space="preserve">13 </w:t>
      </w:r>
      <w:r>
        <w:t xml:space="preserve">Eat honey, son, for it is good; comb, so that your throat may be sweetened.</w:t>
      </w:r>
    </w:p>
    <w:p>
      <w:r>
        <w:rPr>
          <w:b/>
        </w:rPr>
        <w:t xml:space="preserve">14 </w:t>
      </w:r>
      <w:r>
        <w:t xml:space="preserve">So you will perceive wisdom for your soul; for if you find it, your end will be good, and hope will not abandon you.</w:t>
      </w:r>
    </w:p>
    <w:p>
      <w:r>
        <w:rPr>
          <w:b/>
        </w:rPr>
        <w:t xml:space="preserve">15 </w:t>
      </w:r>
      <w:r>
        <w:t xml:space="preserve">Do not bring ungodly to pasture of righteous, nor be deceived by filling of belly.</w:t>
      </w:r>
    </w:p>
    <w:p>
      <w:r>
        <w:rPr>
          <w:b/>
        </w:rPr>
        <w:t xml:space="preserve">16 </w:t>
      </w:r>
      <w:r>
        <w:t xml:space="preserve">For seven times the righteous will fall and rise, but the ungodly will grow weak in evils.</w:t>
      </w:r>
      <w:r>
        <w:rPr>
          <w:rStyle w:val="FootnoteReference"/>
        </w:rPr>
        <w:footnoteReference w:id="10905"/>
      </w:r>
      <w:r>
        <w:t xml:space="preserve"/>
      </w:r>
    </w:p>
    <w:p>
      <w:r>
        <w:rPr>
          <w:b/>
        </w:rPr>
        <w:t xml:space="preserve">17 </w:t>
      </w:r>
      <w:r>
        <w:t xml:space="preserve">If your enemy falls, do not rejoice over him, and in his stumble do not exult.</w:t>
      </w:r>
    </w:p>
    <w:p>
      <w:r>
        <w:rPr>
          <w:b/>
        </w:rPr>
        <w:t xml:space="preserve">18 </w:t>
      </w:r>
      <w:r>
        <w:t xml:space="preserve">For the Lord will see and it will not please him, and he will turn his wrath away from him.</w:t>
      </w:r>
    </w:p>
    <w:p>
      <w:r>
        <w:rPr>
          <w:b/>
        </w:rPr>
        <w:t xml:space="preserve">19 </w:t>
      </w:r>
      <w:r>
        <w:t xml:space="preserve">Do not rejoice over evildoers, nor envy sinners.</w:t>
      </w:r>
    </w:p>
    <w:p>
      <w:r>
        <w:rPr>
          <w:b/>
        </w:rPr>
        <w:t xml:space="preserve">20 </w:t>
      </w:r>
      <w:r>
        <w:t xml:space="preserve">For no offspring will come to evil men, and the lamp of the ungodly will be quenched.</w:t>
      </w:r>
      <w:r>
        <w:rPr>
          <w:rStyle w:val="FootnoteReference"/>
        </w:rPr>
        <w:footnoteReference w:id="10906"/>
      </w:r>
      <w:r>
        <w:t xml:space="preserve"/>
      </w:r>
    </w:p>
    <w:p>
      <w:r>
        <w:rPr>
          <w:b/>
        </w:rPr>
        <w:t xml:space="preserve">21 </w:t>
      </w:r>
      <w:r>
        <w:t xml:space="preserve">My son, fear</w:t>
      </w:r>
      <w:r>
        <w:rPr>
          <w:rStyle w:val="FootnoteReference"/>
        </w:rPr>
        <w:footnoteReference w:id="10907"/>
      </w:r>
      <w:r>
        <w:t xml:space="preserve"> God and the king, and do not disobey either of them.</w:t>
      </w:r>
    </w:p>
    <w:p>
      <w:r>
        <w:rPr>
          <w:b/>
        </w:rPr>
        <w:t xml:space="preserve">22 </w:t>
      </w:r>
      <w:r>
        <w:t xml:space="preserve">For suddenly they will punish ungodly; punishments of both, who will know? One guarding word will stay outside son of destruction, and one receiving him received him. Let no lie be spoken to the king from tongue, and no lie at all should come out from his tongue. For tongue of the king a sword, not fleshly; whoever is handed over will be crushed. For if his wrath is sharpened, with sinews he consumes men, and eats bones of men and burns like flame, so that even eaglets are uneatable.</w:t>
      </w:r>
    </w:p>
    <w:p>
      <w:r>
        <w:rPr>
          <w:b/>
        </w:rPr>
        <w:t xml:space="preserve">23 </w:t>
      </w:r>
      <w:r>
        <w:t xml:space="preserve">These things</w:t>
      </w:r>
      <w:r>
        <w:rPr>
          <w:rStyle w:val="FootnoteReference"/>
        </w:rPr>
        <w:footnoteReference w:id="10908"/>
      </w:r>
      <w:r>
        <w:t xml:space="preserve"> I say to you, wise men: to acknowledge and to show partial face in judgment not good.</w:t>
      </w:r>
    </w:p>
    <w:p>
      <w:r>
        <w:rPr>
          <w:b/>
        </w:rPr>
        <w:t xml:space="preserve">24 </w:t>
      </w:r>
      <w:r>
        <w:t xml:space="preserve">One saying to ungodly, "You are righteous," will be cursed by peoples and hated among nations.</w:t>
      </w:r>
    </w:p>
    <w:p>
      <w:r>
        <w:rPr>
          <w:b/>
        </w:rPr>
        <w:t xml:space="preserve">25 </w:t>
      </w:r>
      <w:r>
        <w:t xml:space="preserve">But those reproving will appear better; upon them</w:t>
      </w:r>
      <w:r>
        <w:rPr>
          <w:rStyle w:val="FootnoteReference"/>
        </w:rPr>
        <w:footnoteReference w:id="10909"/>
      </w:r>
      <w:r>
        <w:t xml:space="preserve"> will come good blessing.</w:t>
      </w:r>
    </w:p>
    <w:p>
      <w:r>
        <w:rPr>
          <w:b/>
        </w:rPr>
        <w:t xml:space="preserve">26 </w:t>
      </w:r>
      <w:r>
        <w:t xml:space="preserve">Lips will kiss one answering good words.</w:t>
      </w:r>
    </w:p>
    <w:p>
      <w:r>
        <w:rPr>
          <w:b/>
        </w:rPr>
        <w:t xml:space="preserve">27 </w:t>
      </w:r>
      <w:r>
        <w:t xml:space="preserve">Prepare your works for way out, and get ready for field, and go after me, and you will rebuild your house.</w:t>
      </w:r>
    </w:p>
    <w:p>
      <w:r>
        <w:rPr>
          <w:b/>
        </w:rPr>
        <w:t xml:space="preserve">28 </w:t>
      </w:r>
      <w:r>
        <w:t xml:space="preserve">Do not be false witness against your neighbor, nor widen with your lips.</w:t>
      </w:r>
    </w:p>
    <w:p>
      <w:r>
        <w:rPr>
          <w:b/>
        </w:rPr>
        <w:t xml:space="preserve">29 </w:t>
      </w:r>
      <w:r>
        <w:t xml:space="preserve">Do not say, "As he treated me, so I will treat him; I will repay him what he wronged me."</w:t>
      </w:r>
    </w:p>
    <w:p>
      <w:r>
        <w:rPr>
          <w:b/>
        </w:rPr>
        <w:t xml:space="preserve">30 </w:t>
      </w:r>
      <w:r>
        <w:t xml:space="preserve">Like field of foolish man and like vineyard of man lacking sense,</w:t>
      </w:r>
    </w:p>
    <w:p>
      <w:r>
        <w:rPr>
          <w:b/>
        </w:rPr>
        <w:t xml:space="preserve">31 </w:t>
      </w:r>
      <w:r>
        <w:t xml:space="preserve">if you leave it, it will be made fallow and all overgrown with grass, becoming abandoned, and its stone walls torn down.</w:t>
      </w:r>
    </w:p>
    <w:p>
      <w:r>
        <w:rPr>
          <w:b/>
        </w:rPr>
        <w:t xml:space="preserve">32 </w:t>
      </w:r>
      <w:r>
        <w:t xml:space="preserve">Afterward I repented; I looked</w:t>
      </w:r>
      <w:r>
        <w:rPr>
          <w:rStyle w:val="FootnoteReference"/>
        </w:rPr>
        <w:footnoteReference w:id="10910"/>
      </w:r>
      <w:r>
        <w:t xml:space="preserve"> in order to choose discipline.</w:t>
      </w:r>
    </w:p>
    <w:p>
      <w:r>
        <w:rPr>
          <w:b/>
        </w:rPr>
        <w:t xml:space="preserve">33 </w:t>
      </w:r>
      <w:r>
        <w:t xml:space="preserve">A little I slumber, a little I sleep, a little I fold hands over chest.</w:t>
      </w:r>
    </w:p>
    <w:p>
      <w:r>
        <w:rPr>
          <w:b/>
        </w:rPr>
        <w:t xml:space="preserve">34 </w:t>
      </w:r>
      <w:r>
        <w:t xml:space="preserve">But if you do this, your poverty will come running before you, and your want like a good runner.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These undiscriminating disciplines of Solomon, which friends of Hezekiah king of Judah copied out.</w:t>
      </w:r>
    </w:p>
    <w:p>
      <w:r>
        <w:rPr>
          <w:b/>
        </w:rPr>
        <w:t xml:space="preserve">2 </w:t>
      </w:r>
      <w:r>
        <w:t xml:space="preserve">The glory of God hides a word, but the glory of the king honors matters.</w:t>
      </w:r>
      <w:r>
        <w:rPr>
          <w:rStyle w:val="FootnoteReference"/>
        </w:rPr>
        <w:footnoteReference w:id="10911"/>
      </w:r>
      <w:r>
        <w:t xml:space="preserve"/>
      </w:r>
      <w:r>
        <w:rPr>
          <w:rStyle w:val="FootnoteReference"/>
        </w:rPr>
        <w:footnoteReference w:id="10912"/>
      </w:r>
    </w:p>
    <w:p>
      <w:r>
        <w:rPr>
          <w:b/>
        </w:rPr>
        <w:t xml:space="preserve">3 </w:t>
      </w:r>
      <w:r>
        <w:t xml:space="preserve">Heaven is high, earth is deep, but the heart of the king is unsearchable.</w:t>
      </w:r>
      <w:r>
        <w:rPr>
          <w:rStyle w:val="FootnoteReference"/>
        </w:rPr>
        <w:footnoteReference w:id="10913"/>
      </w:r>
      <w:r>
        <w:t xml:space="preserve"/>
      </w:r>
      <w:r>
        <w:rPr>
          <w:rStyle w:val="FootnoteReference"/>
        </w:rPr>
        <w:footnoteReference w:id="10914"/>
      </w:r>
    </w:p>
    <w:p>
      <w:r>
        <w:rPr>
          <w:b/>
        </w:rPr>
        <w:t xml:space="preserve">4 </w:t>
      </w:r>
      <w:r>
        <w:t xml:space="preserve">Beat untested silver, and all of it will be cleansed pure.</w:t>
      </w:r>
    </w:p>
    <w:p>
      <w:r>
        <w:rPr>
          <w:b/>
        </w:rPr>
        <w:t xml:space="preserve">5 </w:t>
      </w:r>
      <w:r>
        <w:t xml:space="preserve">Kill ungodly men from the face of the king, and his throne will be set right in righteousness.</w:t>
      </w:r>
    </w:p>
    <w:p>
      <w:r>
        <w:rPr>
          <w:b/>
        </w:rPr>
        <w:t xml:space="preserve">6 </w:t>
      </w:r>
      <w:r>
        <w:t xml:space="preserve">Do not act boastfully before the king, nor stand in the places of rulers.</w:t>
      </w:r>
    </w:p>
    <w:p>
      <w:r>
        <w:rPr>
          <w:b/>
        </w:rPr>
        <w:t xml:space="preserve">7 </w:t>
      </w:r>
      <w:r>
        <w:t xml:space="preserve">For better for you to be told, "Come up to me," than</w:t>
      </w:r>
      <w:r>
        <w:rPr>
          <w:rStyle w:val="FootnoteReference"/>
        </w:rPr>
        <w:footnoteReference w:id="10915"/>
      </w:r>
      <w:r>
        <w:t xml:space="preserve"> for you to be humbled before ruler. What your eyes saw, speak.</w:t>
      </w:r>
    </w:p>
    <w:p>
      <w:r>
        <w:rPr>
          <w:b/>
        </w:rPr>
        <w:t xml:space="preserve">8 </w:t>
      </w:r>
      <w:r>
        <w:t xml:space="preserve">Do not fall into fight quickly, lest at end you regret, when your friend reproaches you.</w:t>
      </w:r>
    </w:p>
    <w:p>
      <w:r>
        <w:rPr>
          <w:b/>
        </w:rPr>
        <w:t xml:space="preserve">9 </w:t>
      </w:r>
      <w:r>
        <w:t xml:space="preserve">Withdraw backward; do not despise,</w:t>
      </w:r>
    </w:p>
    <w:p>
      <w:r>
        <w:rPr>
          <w:b/>
        </w:rPr>
        <w:t xml:space="preserve">10 </w:t>
      </w:r>
      <w:r>
        <w:t xml:space="preserve">lest your friend reproach you and your fight and enmity not depart, but be equal to death for you. Grace and friendship free; keep these for yourself, so that you may not become reproached, but guard your ways peaceably.</w:t>
      </w:r>
    </w:p>
    <w:p>
      <w:r>
        <w:rPr>
          <w:b/>
        </w:rPr>
        <w:t xml:space="preserve">11 </w:t>
      </w:r>
      <w:r>
        <w:t xml:space="preserve">A golden apple in a necklace of sardius, so to speak a word.</w:t>
      </w:r>
      <w:r>
        <w:rPr>
          <w:rStyle w:val="FootnoteReference"/>
        </w:rPr>
        <w:footnoteReference w:id="10916"/>
      </w:r>
      <w:r>
        <w:t xml:space="preserve"/>
      </w:r>
      <w:r>
        <w:rPr>
          <w:rStyle w:val="FootnoteReference"/>
        </w:rPr>
        <w:footnoteReference w:id="10917"/>
      </w:r>
    </w:p>
    <w:p>
      <w:r>
        <w:rPr>
          <w:b/>
        </w:rPr>
        <w:t xml:space="preserve">12 </w:t>
      </w:r>
      <w:r>
        <w:t xml:space="preserve">Bound in a golden earring and precious sardius, a wise word to a listening ear.</w:t>
      </w:r>
      <w:r>
        <w:rPr>
          <w:rStyle w:val="FootnoteReference"/>
        </w:rPr>
        <w:footnoteReference w:id="10918"/>
      </w:r>
      <w:r>
        <w:t xml:space="preserve"/>
      </w:r>
      <w:r>
        <w:rPr>
          <w:rStyle w:val="FootnoteReference"/>
        </w:rPr>
        <w:footnoteReference w:id="10919"/>
      </w:r>
    </w:p>
    <w:p>
      <w:r>
        <w:rPr>
          <w:b/>
        </w:rPr>
        <w:t xml:space="preserve">13 </w:t>
      </w:r>
      <w:r>
        <w:t xml:space="preserve">As snowfall coming in harvest helps against heat, so a faithful messenger benefits those sending him, for he benefits the souls of those using him.</w:t>
      </w:r>
      <w:r>
        <w:rPr>
          <w:rStyle w:val="FootnoteReference"/>
        </w:rPr>
        <w:footnoteReference w:id="10920"/>
      </w:r>
    </w:p>
    <w:p>
      <w:r>
        <w:rPr>
          <w:b/>
        </w:rPr>
        <w:t xml:space="preserve">14 </w:t>
      </w:r>
      <w:r>
        <w:t xml:space="preserve">Like winds and clouds and most visible rains, so one boasting in false gift.</w:t>
      </w:r>
    </w:p>
    <w:p>
      <w:r>
        <w:rPr>
          <w:b/>
        </w:rPr>
        <w:t xml:space="preserve">15 </w:t>
      </w:r>
      <w:r>
        <w:t xml:space="preserve">In longsuffering good-way with kings, but soft tongue breaks bones.</w:t>
      </w:r>
    </w:p>
    <w:p>
      <w:r>
        <w:rPr>
          <w:b/>
        </w:rPr>
        <w:t xml:space="preserve">16 </w:t>
      </w:r>
      <w:r>
        <w:t xml:space="preserve">If you found honey, eat what is sufficient, lest being filled you vomit.</w:t>
      </w:r>
    </w:p>
    <w:p>
      <w:r>
        <w:rPr>
          <w:b/>
        </w:rPr>
        <w:t xml:space="preserve">17 </w:t>
      </w:r>
      <w:r>
        <w:t xml:space="preserve">Bring your foot rarely into your friend's house, lest filled with you he hate you.</w:t>
      </w:r>
    </w:p>
    <w:p>
      <w:r>
        <w:rPr>
          <w:b/>
        </w:rPr>
        <w:t xml:space="preserve">18 </w:t>
      </w:r>
      <w:r>
        <w:t xml:space="preserve">Club and sword and sharp-pointed missile, so also a man testifying false witness against his friend.</w:t>
      </w:r>
      <w:r>
        <w:rPr>
          <w:rStyle w:val="FootnoteReference"/>
        </w:rPr>
        <w:footnoteReference w:id="10921"/>
      </w:r>
      <w:r>
        <w:t xml:space="preserve"/>
      </w:r>
    </w:p>
    <w:p>
      <w:r>
        <w:rPr>
          <w:b/>
        </w:rPr>
        <w:t xml:space="preserve">19 </w:t>
      </w:r>
      <w:r>
        <w:t xml:space="preserve">The way of evil and the foot of a lawless man perish in an evil day.</w:t>
      </w:r>
      <w:r>
        <w:rPr>
          <w:rStyle w:val="FootnoteReference"/>
        </w:rPr>
        <w:footnoteReference w:id="10922"/>
      </w:r>
      <w:r>
        <w:t xml:space="preserve"/>
      </w:r>
    </w:p>
    <w:p>
      <w:r>
        <w:rPr>
          <w:b/>
        </w:rPr>
        <w:t xml:space="preserve">20 </w:t>
      </w:r>
      <w:r>
        <w:t xml:space="preserve">As vinegar</w:t>
      </w:r>
      <w:r>
        <w:rPr>
          <w:rStyle w:val="FootnoteReference"/>
        </w:rPr>
        <w:footnoteReference w:id="10923"/>
      </w:r>
      <w:r>
        <w:t xml:space="preserve"> draws what is unfitting, so suffering falling upon the body grieves the heart. As a moth in a garment and a worm in wood, so grief of a man harms the heart.</w:t>
      </w:r>
      <w:r>
        <w:rPr>
          <w:rStyle w:val="FootnoteReference"/>
        </w:rPr>
        <w:footnoteReference w:id="10924"/>
      </w:r>
    </w:p>
    <w:p>
      <w:r>
        <w:rPr>
          <w:b/>
        </w:rPr>
        <w:t xml:space="preserve">21 </w:t>
      </w:r>
      <w:r>
        <w:t xml:space="preserve">If your enemy hungers, feed him bread; if he thirsts, give him drink.</w:t>
      </w:r>
    </w:p>
    <w:p>
      <w:r>
        <w:rPr>
          <w:b/>
        </w:rPr>
        <w:t xml:space="preserve">22 </w:t>
      </w:r>
      <w:r>
        <w:t xml:space="preserve">For doing this you will heap coals of fire on his head, and the Lord</w:t>
      </w:r>
      <w:r>
        <w:rPr>
          <w:rStyle w:val="FootnoteReference"/>
        </w:rPr>
        <w:footnoteReference w:id="10925"/>
      </w:r>
      <w:r>
        <w:t xml:space="preserve"> will repay you good things.</w:t>
      </w:r>
    </w:p>
    <w:p>
      <w:r>
        <w:rPr>
          <w:b/>
        </w:rPr>
        <w:t xml:space="preserve">23 </w:t>
      </w:r>
      <w:r>
        <w:t xml:space="preserve">North</w:t>
      </w:r>
      <w:r>
        <w:rPr>
          <w:rStyle w:val="FootnoteReference"/>
        </w:rPr>
        <w:footnoteReference w:id="10926"/>
      </w:r>
      <w:r>
        <w:t xml:space="preserve"> wind stirs clouds, but shameless face stirs tongue.</w:t>
      </w:r>
    </w:p>
    <w:p>
      <w:r>
        <w:rPr>
          <w:b/>
        </w:rPr>
        <w:t xml:space="preserve">24 </w:t>
      </w:r>
      <w:r>
        <w:t xml:space="preserve">Better dwell on the corner of a roof than with a scolding woman in a common house.</w:t>
      </w:r>
      <w:r>
        <w:rPr>
          <w:rStyle w:val="FootnoteReference"/>
        </w:rPr>
        <w:footnoteReference w:id="10927"/>
      </w:r>
      <w:r>
        <w:t xml:space="preserve"/>
      </w:r>
    </w:p>
    <w:p>
      <w:r>
        <w:rPr>
          <w:b/>
        </w:rPr>
        <w:t xml:space="preserve">25 </w:t>
      </w:r>
      <w:r>
        <w:t xml:space="preserve">As cool water is pleasant to a thirsty soul, so a good message from a far land.</w:t>
      </w:r>
      <w:r>
        <w:rPr>
          <w:rStyle w:val="FootnoteReference"/>
        </w:rPr>
        <w:footnoteReference w:id="10928"/>
      </w:r>
      <w:r>
        <w:t xml:space="preserve"/>
      </w:r>
    </w:p>
    <w:p>
      <w:r>
        <w:rPr>
          <w:b/>
        </w:rPr>
        <w:t xml:space="preserve">26 </w:t>
      </w:r>
      <w:r>
        <w:t xml:space="preserve">As if someone should stop up a spring and spoil a water outlet, so it is indecent for a righteous man to fall before an ungodly man.</w:t>
      </w:r>
      <w:r>
        <w:rPr>
          <w:rStyle w:val="FootnoteReference"/>
        </w:rPr>
        <w:footnoteReference w:id="10929"/>
      </w:r>
    </w:p>
    <w:p>
      <w:r>
        <w:rPr>
          <w:b/>
        </w:rPr>
        <w:t xml:space="preserve">27 </w:t>
      </w:r>
      <w:r>
        <w:t xml:space="preserve">To eat much honey not good</w:t>
      </w:r>
      <w:r>
        <w:rPr>
          <w:rStyle w:val="FootnoteReference"/>
        </w:rPr>
        <w:footnoteReference w:id="10930"/>
      </w:r>
      <w:r>
        <w:t xml:space="preserve">, but one ought to honor glorious words.</w:t>
      </w:r>
    </w:p>
    <w:p>
      <w:r>
        <w:rPr>
          <w:b/>
        </w:rPr>
        <w:t xml:space="preserve">28 </w:t>
      </w:r>
      <w:r>
        <w:t xml:space="preserve">Like a city whose walls are thrown down and unwalled, so a man who does anything without counsel.</w:t>
      </w:r>
      <w:r>
        <w:rPr>
          <w:rStyle w:val="FootnoteReference"/>
        </w:rPr>
        <w:footnoteReference w:id="10931"/>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As dew in harvest and rain in summer, so honor is not for a fool.</w:t>
      </w:r>
      <w:r>
        <w:rPr>
          <w:rStyle w:val="FootnoteReference"/>
        </w:rPr>
        <w:footnoteReference w:id="10932"/>
      </w:r>
      <w:r>
        <w:t xml:space="preserve"/>
      </w:r>
      <w:r>
        <w:rPr>
          <w:rStyle w:val="FootnoteReference"/>
        </w:rPr>
        <w:footnoteReference w:id="10933"/>
      </w:r>
    </w:p>
    <w:p>
      <w:r>
        <w:rPr>
          <w:b/>
        </w:rPr>
        <w:t xml:space="preserve">2 </w:t>
      </w:r>
      <w:r>
        <w:t xml:space="preserve">As birds fly and sparrows, so empty curse will not come upon anyone.</w:t>
      </w:r>
    </w:p>
    <w:p>
      <w:r>
        <w:rPr>
          <w:b/>
        </w:rPr>
        <w:t xml:space="preserve">3 </w:t>
      </w:r>
      <w:r>
        <w:t xml:space="preserve">As whip for horse and goad for donkey, so rod for lawless nation.</w:t>
      </w:r>
    </w:p>
    <w:p>
      <w:r>
        <w:rPr>
          <w:b/>
        </w:rPr>
        <w:t xml:space="preserve">4 </w:t>
      </w:r>
      <w:r>
        <w:t xml:space="preserve">Do not answer fool according to his folly, lest you become like him.</w:t>
      </w:r>
    </w:p>
    <w:p>
      <w:r>
        <w:rPr>
          <w:b/>
        </w:rPr>
        <w:t xml:space="preserve">5 </w:t>
      </w:r>
      <w:r>
        <w:t xml:space="preserve">But answer fool according to his folly, lest he seem wise to himself.</w:t>
      </w:r>
    </w:p>
    <w:p>
      <w:r>
        <w:rPr>
          <w:b/>
        </w:rPr>
        <w:t xml:space="preserve">6 </w:t>
      </w:r>
      <w:r>
        <w:t xml:space="preserve">From his own ways one sending word through foolish messenger makes reproach for himself.</w:t>
      </w:r>
    </w:p>
    <w:p>
      <w:r>
        <w:rPr>
          <w:b/>
        </w:rPr>
        <w:t xml:space="preserve">7 </w:t>
      </w:r>
      <w:r>
        <w:t xml:space="preserve">Take away journey of legs and lawlessness from the mouth of fools.</w:t>
      </w:r>
    </w:p>
    <w:p>
      <w:r>
        <w:rPr>
          <w:b/>
        </w:rPr>
        <w:t xml:space="preserve">8 </w:t>
      </w:r>
      <w:r>
        <w:t xml:space="preserve">One loosening stone in sling resembles one giving glory to fool.</w:t>
      </w:r>
    </w:p>
    <w:p>
      <w:r>
        <w:rPr>
          <w:b/>
        </w:rPr>
        <w:t xml:space="preserve">9 </w:t>
      </w:r>
      <w:r>
        <w:t xml:space="preserve">Thorns grow in the hand of drunkard, and slavery in the hand of fools.</w:t>
      </w:r>
    </w:p>
    <w:p>
      <w:r>
        <w:rPr>
          <w:b/>
        </w:rPr>
        <w:t xml:space="preserve">10 </w:t>
      </w:r>
      <w:r>
        <w:t xml:space="preserve">All flesh of fools is storm-tossed much, for their ecstasy is shattered.</w:t>
      </w:r>
    </w:p>
    <w:p>
      <w:r>
        <w:rPr>
          <w:b/>
        </w:rPr>
        <w:t xml:space="preserve">11 </w:t>
      </w:r>
      <w:r>
        <w:t xml:space="preserve">As a dog</w:t>
      </w:r>
      <w:r>
        <w:rPr>
          <w:rStyle w:val="FootnoteReference"/>
        </w:rPr>
        <w:footnoteReference w:id="10934"/>
      </w:r>
      <w:r>
        <w:t xml:space="preserve"> when it returns to its own vomit and becomes hateful, so a fool, turning in his own evil, returns to his own sin. There is shame that brings sin, and there is shame that is glory and grace.</w:t>
      </w:r>
      <w:r>
        <w:rPr>
          <w:rStyle w:val="FootnoteReference"/>
        </w:rPr>
        <w:footnoteReference w:id="10935"/>
      </w:r>
    </w:p>
    <w:p>
      <w:r>
        <w:rPr>
          <w:b/>
        </w:rPr>
        <w:t xml:space="preserve">12 </w:t>
      </w:r>
      <w:r>
        <w:t xml:space="preserve">I saw a man seeming wise to himself; yet a fool had more hope than he.</w:t>
      </w:r>
      <w:r>
        <w:rPr>
          <w:rStyle w:val="FootnoteReference"/>
        </w:rPr>
        <w:footnoteReference w:id="10936"/>
      </w:r>
      <w:r>
        <w:t xml:space="preserve"/>
      </w:r>
      <w:r>
        <w:rPr>
          <w:rStyle w:val="FootnoteReference"/>
        </w:rPr>
        <w:footnoteReference w:id="10937"/>
      </w:r>
    </w:p>
    <w:p>
      <w:r>
        <w:rPr>
          <w:b/>
        </w:rPr>
        <w:t xml:space="preserve">13 </w:t>
      </w:r>
      <w:r>
        <w:t xml:space="preserve">Sluggard says, sent into road, "Lion in roads, and murderers in squares."</w:t>
      </w:r>
    </w:p>
    <w:p>
      <w:r>
        <w:rPr>
          <w:b/>
        </w:rPr>
        <w:t xml:space="preserve">14 </w:t>
      </w:r>
      <w:r>
        <w:t xml:space="preserve">As door turns on hinge, so sluggard on his bed.</w:t>
      </w:r>
    </w:p>
    <w:p>
      <w:r>
        <w:rPr>
          <w:b/>
        </w:rPr>
        <w:t xml:space="preserve">15 </w:t>
      </w:r>
      <w:r>
        <w:t xml:space="preserve">Sluggard hiding his hand in bosom will not be able to bring it to mouth.</w:t>
      </w:r>
    </w:p>
    <w:p>
      <w:r>
        <w:rPr>
          <w:b/>
        </w:rPr>
        <w:t xml:space="preserve">16 </w:t>
      </w:r>
      <w:r>
        <w:t xml:space="preserve">Sluggard seems wiser to himself than one bringing message back in fullness.</w:t>
      </w:r>
    </w:p>
    <w:p>
      <w:r>
        <w:rPr>
          <w:b/>
        </w:rPr>
        <w:t xml:space="preserve">17 </w:t>
      </w:r>
      <w:r>
        <w:t xml:space="preserve">Like one holding tail of dog, so one standing over stranger's judgment.</w:t>
      </w:r>
    </w:p>
    <w:p>
      <w:r>
        <w:rPr>
          <w:b/>
        </w:rPr>
        <w:t xml:space="preserve">18 </w:t>
      </w:r>
      <w:r>
        <w:t xml:space="preserve">As those being healed throw words at men, but one answering to word first will be tripped,</w:t>
      </w:r>
    </w:p>
    <w:p>
      <w:r>
        <w:rPr>
          <w:b/>
        </w:rPr>
        <w:t xml:space="preserve">19 </w:t>
      </w:r>
      <w:r>
        <w:t xml:space="preserve">so all ambushing their own friends; when seen, they say, "I acted in play."</w:t>
      </w:r>
    </w:p>
    <w:p>
      <w:r>
        <w:rPr>
          <w:b/>
        </w:rPr>
        <w:t xml:space="preserve">20 </w:t>
      </w:r>
      <w:r>
        <w:t xml:space="preserve">With much wood fire flourishes, but where there is no double-tongued man, fight grows quiet.</w:t>
      </w:r>
    </w:p>
    <w:p>
      <w:r>
        <w:rPr>
          <w:b/>
        </w:rPr>
        <w:t xml:space="preserve">21 </w:t>
      </w:r>
      <w:r>
        <w:t xml:space="preserve">Brazier for coals and wood for fire, and scolding man for turmoil of fight.</w:t>
      </w:r>
    </w:p>
    <w:p>
      <w:r>
        <w:rPr>
          <w:b/>
        </w:rPr>
        <w:t xml:space="preserve">22 </w:t>
      </w:r>
      <w:r>
        <w:t xml:space="preserve">The words of whisperers are soft, yet these strike into the storerooms of inward parts.</w:t>
      </w:r>
      <w:r>
        <w:rPr>
          <w:rStyle w:val="FootnoteReference"/>
        </w:rPr>
        <w:footnoteReference w:id="10938"/>
      </w:r>
      <w:r>
        <w:t xml:space="preserve"/>
      </w:r>
      <w:r>
        <w:rPr>
          <w:rStyle w:val="FootnoteReference"/>
        </w:rPr>
        <w:footnoteReference w:id="10939"/>
      </w:r>
    </w:p>
    <w:p>
      <w:r>
        <w:rPr>
          <w:b/>
        </w:rPr>
        <w:t xml:space="preserve">23 </w:t>
      </w:r>
      <w:r>
        <w:t xml:space="preserve">Silver given with deceit should be considered potsherd; smooth lips cover grieving heart.</w:t>
      </w:r>
    </w:p>
    <w:p>
      <w:r>
        <w:rPr>
          <w:b/>
        </w:rPr>
        <w:t xml:space="preserve">24 </w:t>
      </w:r>
      <w:r>
        <w:t xml:space="preserve">With lips enemy nods agreement about everything, but in heart he devises deceits.</w:t>
      </w:r>
    </w:p>
    <w:p>
      <w:r>
        <w:rPr>
          <w:b/>
        </w:rPr>
        <w:t xml:space="preserve">25 </w:t>
      </w:r>
      <w:r>
        <w:t xml:space="preserve">If enemy begs you with loud voice, do not be persuaded, for seven</w:t>
      </w:r>
      <w:r>
        <w:rPr>
          <w:rStyle w:val="FootnoteReference"/>
        </w:rPr>
        <w:footnoteReference w:id="10940"/>
      </w:r>
      <w:r>
        <w:t xml:space="preserve"> evils are in his soul.</w:t>
      </w:r>
    </w:p>
    <w:p>
      <w:r>
        <w:rPr>
          <w:b/>
        </w:rPr>
        <w:t xml:space="preserve">26 </w:t>
      </w:r>
      <w:r>
        <w:t xml:space="preserve">One hiding enmity sets deceit together, but making his own sins plain is known in councils.</w:t>
      </w:r>
    </w:p>
    <w:p>
      <w:r>
        <w:rPr>
          <w:b/>
        </w:rPr>
        <w:t xml:space="preserve">27 </w:t>
      </w:r>
      <w:r>
        <w:t xml:space="preserve">One digging pit for neighbor will fall into it, and one rolling stone rolls it on himself.</w:t>
      </w:r>
    </w:p>
    <w:p>
      <w:r>
        <w:rPr>
          <w:b/>
        </w:rPr>
        <w:t xml:space="preserve">28 </w:t>
      </w:r>
      <w:r>
        <w:t xml:space="preserve">A lying tongue hates truth, and an unchecked mouth makes disorders.</w:t>
      </w:r>
      <w:r>
        <w:rPr>
          <w:rStyle w:val="FootnoteReference"/>
        </w:rPr>
        <w:footnoteReference w:id="10941"/>
      </w:r>
      <w:r>
        <w:t xml:space="preserve"/>
      </w:r>
      <w:r>
        <w:rPr>
          <w:rStyle w:val="FootnoteReference"/>
        </w:rPr>
        <w:footnoteReference w:id="10942"/>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Do not boast about things for tomorrow, for you do not know what the next day will bring forth.</w:t>
      </w:r>
      <w:r>
        <w:rPr>
          <w:rStyle w:val="FootnoteReference"/>
        </w:rPr>
        <w:footnoteReference w:id="10943"/>
      </w:r>
      <w:r>
        <w:t xml:space="preserve"/>
      </w:r>
      <w:r>
        <w:rPr>
          <w:rStyle w:val="FootnoteReference"/>
        </w:rPr>
        <w:footnoteReference w:id="10944"/>
      </w:r>
    </w:p>
    <w:p>
      <w:r>
        <w:rPr>
          <w:b/>
        </w:rPr>
        <w:t xml:space="preserve">2 </w:t>
      </w:r>
      <w:r>
        <w:t xml:space="preserve">Let a neighbor praise you, not your own mouth; a stranger, not your own lips.</w:t>
      </w:r>
      <w:r>
        <w:rPr>
          <w:rStyle w:val="FootnoteReference"/>
        </w:rPr>
        <w:footnoteReference w:id="10945"/>
      </w:r>
      <w:r>
        <w:t xml:space="preserve"/>
      </w:r>
    </w:p>
    <w:p>
      <w:r>
        <w:rPr>
          <w:b/>
        </w:rPr>
        <w:t xml:space="preserve">3 </w:t>
      </w:r>
      <w:r>
        <w:t xml:space="preserve">A heavy stone and burdensome sand, but the anger of a fool is heavier than both.</w:t>
      </w:r>
      <w:r>
        <w:rPr>
          <w:rStyle w:val="FootnoteReference"/>
        </w:rPr>
        <w:footnoteReference w:id="10946"/>
      </w:r>
      <w:r>
        <w:t xml:space="preserve"/>
      </w:r>
    </w:p>
    <w:p>
      <w:r>
        <w:rPr>
          <w:b/>
        </w:rPr>
        <w:t xml:space="preserve">4 </w:t>
      </w:r>
      <w:r>
        <w:t xml:space="preserve">Pitiless wrath and sharp anger, but jealousy no one withstands.</w:t>
      </w:r>
    </w:p>
    <w:p>
      <w:r>
        <w:rPr>
          <w:b/>
        </w:rPr>
        <w:t xml:space="preserve">5 </w:t>
      </w:r>
      <w:r>
        <w:t xml:space="preserve">Better revealed rebukes than hidden friendship.</w:t>
      </w:r>
    </w:p>
    <w:p>
      <w:r>
        <w:rPr>
          <w:b/>
        </w:rPr>
        <w:t xml:space="preserve">6 </w:t>
      </w:r>
      <w:r>
        <w:t xml:space="preserve">Wounds of a friend are more trustworthy than willing kisses of an enemy.</w:t>
      </w:r>
      <w:r>
        <w:rPr>
          <w:rStyle w:val="FootnoteReference"/>
        </w:rPr>
        <w:footnoteReference w:id="10947"/>
      </w:r>
      <w:r>
        <w:t xml:space="preserve"/>
      </w:r>
    </w:p>
    <w:p>
      <w:r>
        <w:rPr>
          <w:b/>
        </w:rPr>
        <w:t xml:space="preserve">7 </w:t>
      </w:r>
      <w:r>
        <w:t xml:space="preserve">A soul in fullness mocks honeycombs, but to a needy soul even bitter things seem sweet.</w:t>
      </w:r>
      <w:r>
        <w:rPr>
          <w:rStyle w:val="FootnoteReference"/>
        </w:rPr>
        <w:footnoteReference w:id="10948"/>
      </w:r>
      <w:r>
        <w:t xml:space="preserve"/>
      </w:r>
    </w:p>
    <w:p>
      <w:r>
        <w:rPr>
          <w:b/>
        </w:rPr>
        <w:t xml:space="preserve">8 </w:t>
      </w:r>
      <w:r>
        <w:t xml:space="preserve">As when a bird flies down from its own nest, so a man enslaves himself when alienated from his own places.</w:t>
      </w:r>
      <w:r>
        <w:rPr>
          <w:rStyle w:val="FootnoteReference"/>
        </w:rPr>
        <w:footnoteReference w:id="10949"/>
      </w:r>
      <w:r>
        <w:t xml:space="preserve"/>
      </w:r>
      <w:r>
        <w:rPr>
          <w:rStyle w:val="FootnoteReference"/>
        </w:rPr>
        <w:footnoteReference w:id="10950"/>
      </w:r>
    </w:p>
    <w:p>
      <w:r>
        <w:rPr>
          <w:b/>
        </w:rPr>
        <w:t xml:space="preserve">9 </w:t>
      </w:r>
      <w:r>
        <w:t xml:space="preserve">With perfumes and wines and incense the heart delights, but the soul is torn apart by mishaps.</w:t>
      </w:r>
      <w:r>
        <w:rPr>
          <w:rStyle w:val="FootnoteReference"/>
        </w:rPr>
        <w:footnoteReference w:id="10951"/>
      </w:r>
      <w:r>
        <w:t xml:space="preserve"/>
      </w:r>
    </w:p>
    <w:p>
      <w:r>
        <w:rPr>
          <w:b/>
        </w:rPr>
        <w:t xml:space="preserve">10 </w:t>
      </w:r>
      <w:r>
        <w:t xml:space="preserve">Do not forsake your friend or ancestral friend, and do not enter the house of your brother when unfortunate. Better</w:t>
      </w:r>
      <w:r>
        <w:rPr>
          <w:rStyle w:val="FootnoteReference"/>
        </w:rPr>
        <w:footnoteReference w:id="10952"/>
      </w:r>
      <w:r>
        <w:t xml:space="preserve"> a nearby friend than a brother dwelling far away.</w:t>
      </w:r>
      <w:r>
        <w:rPr>
          <w:rStyle w:val="FootnoteReference"/>
        </w:rPr>
        <w:footnoteReference w:id="10953"/>
      </w:r>
    </w:p>
    <w:p>
      <w:r>
        <w:rPr>
          <w:b/>
        </w:rPr>
        <w:t xml:space="preserve">11 </w:t>
      </w:r>
      <w:r>
        <w:t xml:space="preserve">Become wise, son, so that your heart may rejoice, and turn reproachful words away from yourself.</w:t>
      </w:r>
    </w:p>
    <w:p>
      <w:r>
        <w:rPr>
          <w:b/>
        </w:rPr>
        <w:t xml:space="preserve">12 </w:t>
      </w:r>
      <w:r>
        <w:t xml:space="preserve">A shrewd man hid himself when evils came on; fools, coming on, will pay damage.</w:t>
      </w:r>
      <w:r>
        <w:rPr>
          <w:rStyle w:val="FootnoteReference"/>
        </w:rPr>
        <w:footnoteReference w:id="10954"/>
      </w:r>
      <w:r>
        <w:t xml:space="preserve"/>
      </w:r>
    </w:p>
    <w:p>
      <w:r>
        <w:rPr>
          <w:b/>
        </w:rPr>
        <w:t xml:space="preserve">13 </w:t>
      </w:r>
      <w:r>
        <w:t xml:space="preserve">Take away his garment, for an insolent man passed by, who destroys strangers' things.</w:t>
      </w:r>
      <w:r>
        <w:rPr>
          <w:rStyle w:val="FootnoteReference"/>
        </w:rPr>
        <w:footnoteReference w:id="10955"/>
      </w:r>
      <w:r>
        <w:t xml:space="preserve"/>
      </w:r>
    </w:p>
    <w:p>
      <w:r>
        <w:rPr>
          <w:b/>
        </w:rPr>
        <w:t xml:space="preserve">14 </w:t>
      </w:r>
      <w:r>
        <w:t xml:space="preserve">Whoever blesses a friend early in the morning with a loud voice will seem no different from one cursing.</w:t>
      </w:r>
      <w:r>
        <w:rPr>
          <w:rStyle w:val="FootnoteReference"/>
        </w:rPr>
        <w:footnoteReference w:id="10956"/>
      </w:r>
      <w:r>
        <w:t xml:space="preserve"/>
      </w:r>
    </w:p>
    <w:p>
      <w:r>
        <w:rPr>
          <w:b/>
        </w:rPr>
        <w:t xml:space="preserve">15 </w:t>
      </w:r>
      <w:r>
        <w:t xml:space="preserve">Drops drive a man out of his house on a winter day; likewise a scolding woman from her own house.</w:t>
      </w:r>
      <w:r>
        <w:rPr>
          <w:rStyle w:val="FootnoteReference"/>
        </w:rPr>
        <w:footnoteReference w:id="10957"/>
      </w:r>
      <w:r>
        <w:t xml:space="preserve"/>
      </w:r>
    </w:p>
    <w:p>
      <w:r>
        <w:rPr>
          <w:b/>
        </w:rPr>
        <w:t xml:space="preserve">16 </w:t>
      </w:r>
      <w:r>
        <w:t xml:space="preserve">A north wind is a hard wind, yet by name it is called dexterous.</w:t>
      </w:r>
      <w:r>
        <w:rPr>
          <w:rStyle w:val="FootnoteReference"/>
        </w:rPr>
        <w:footnoteReference w:id="10958"/>
      </w:r>
      <w:r>
        <w:t xml:space="preserve"/>
      </w:r>
    </w:p>
    <w:p>
      <w:r>
        <w:rPr>
          <w:b/>
        </w:rPr>
        <w:t xml:space="preserve">17 </w:t>
      </w:r>
      <w:r>
        <w:t xml:space="preserve">Iron sharpens iron, and a man sharpens the face of a companion.</w:t>
      </w:r>
      <w:r>
        <w:rPr>
          <w:rStyle w:val="FootnoteReference"/>
        </w:rPr>
        <w:footnoteReference w:id="10959"/>
      </w:r>
      <w:r>
        <w:t xml:space="preserve"/>
      </w:r>
      <w:r>
        <w:rPr>
          <w:rStyle w:val="FootnoteReference"/>
        </w:rPr>
        <w:footnoteReference w:id="10960"/>
      </w:r>
    </w:p>
    <w:p>
      <w:r>
        <w:rPr>
          <w:b/>
        </w:rPr>
        <w:t xml:space="preserve">18 </w:t>
      </w:r>
      <w:r>
        <w:t xml:space="preserve">One planting a fig tree will eat its fruits, and one guarding his own master will be honored.</w:t>
      </w:r>
      <w:r>
        <w:rPr>
          <w:rStyle w:val="FootnoteReference"/>
        </w:rPr>
        <w:footnoteReference w:id="10961"/>
      </w:r>
      <w:r>
        <w:t xml:space="preserve"/>
      </w:r>
    </w:p>
    <w:p>
      <w:r>
        <w:rPr>
          <w:b/>
        </w:rPr>
        <w:t xml:space="preserve">19 </w:t>
      </w:r>
      <w:r>
        <w:t xml:space="preserve">As faces are not alike to faces, so neither are the thoughts of men.</w:t>
      </w:r>
      <w:r>
        <w:rPr>
          <w:rStyle w:val="FootnoteReference"/>
        </w:rPr>
        <w:footnoteReference w:id="10962"/>
      </w:r>
      <w:r>
        <w:t xml:space="preserve"/>
      </w:r>
    </w:p>
    <w:p>
      <w:r>
        <w:rPr>
          <w:b/>
        </w:rPr>
        <w:t xml:space="preserve">20 </w:t>
      </w:r>
      <w:r>
        <w:t xml:space="preserve">Hades and destruction are not filled up; likewise the eyes of men are insatiable. One fixing an eye is an abomination to the Lord, and undisciplined men are unrestrained in tongue.</w:t>
      </w:r>
      <w:r>
        <w:rPr>
          <w:rStyle w:val="FootnoteReference"/>
        </w:rPr>
        <w:footnoteReference w:id="10963"/>
      </w:r>
    </w:p>
    <w:p>
      <w:r>
        <w:rPr>
          <w:b/>
        </w:rPr>
        <w:t xml:space="preserve">21 </w:t>
      </w:r>
      <w:r>
        <w:t xml:space="preserve">Testing for silver and refining for gold, but a man is tested through the mouth of those praising him. The heart of a lawless man seeks evils, but an upright heart seeks knowledge.</w:t>
      </w:r>
      <w:r>
        <w:rPr>
          <w:rStyle w:val="FootnoteReference"/>
        </w:rPr>
        <w:footnoteReference w:id="10964"/>
      </w:r>
    </w:p>
    <w:p>
      <w:r>
        <w:rPr>
          <w:b/>
        </w:rPr>
        <w:t xml:space="preserve">22 </w:t>
      </w:r>
      <w:r>
        <w:t xml:space="preserve">If you scourge a fool in the midst of council dishonoring him, you still will not strip away his folly.</w:t>
      </w:r>
      <w:r>
        <w:rPr>
          <w:rStyle w:val="FootnoteReference"/>
        </w:rPr>
        <w:footnoteReference w:id="10965"/>
      </w:r>
      <w:r>
        <w:t xml:space="preserve"/>
      </w:r>
    </w:p>
    <w:p>
      <w:r>
        <w:rPr>
          <w:b/>
        </w:rPr>
        <w:t xml:space="preserve">23 </w:t>
      </w:r>
      <w:r>
        <w:t xml:space="preserve">Know well the souls of your flock, and set your heart on your herds,</w:t>
      </w:r>
      <w:r>
        <w:rPr>
          <w:rStyle w:val="FootnoteReference"/>
        </w:rPr>
        <w:footnoteReference w:id="10966"/>
      </w:r>
      <w:r>
        <w:t xml:space="preserve"/>
      </w:r>
    </w:p>
    <w:p>
      <w:r>
        <w:rPr>
          <w:b/>
        </w:rPr>
        <w:t xml:space="preserve">24 </w:t>
      </w:r>
      <w:r>
        <w:t xml:space="preserve">because strength and power are not forever for a man, nor does he hand down from generation to generation.</w:t>
      </w:r>
      <w:r>
        <w:rPr>
          <w:rStyle w:val="FootnoteReference"/>
        </w:rPr>
        <w:footnoteReference w:id="10967"/>
      </w:r>
      <w:r>
        <w:t xml:space="preserve"/>
      </w:r>
    </w:p>
    <w:p>
      <w:r>
        <w:rPr>
          <w:b/>
        </w:rPr>
        <w:t xml:space="preserve">25 </w:t>
      </w:r>
      <w:r>
        <w:t xml:space="preserve">Take care of greens in the field and you will cut grass, and gather mountain hay,</w:t>
      </w:r>
    </w:p>
    <w:p>
      <w:r>
        <w:rPr>
          <w:b/>
        </w:rPr>
        <w:t xml:space="preserve">26 </w:t>
      </w:r>
      <w:r>
        <w:t xml:space="preserve">so that you may have sheep for clothing; honor the field so that lambs may be yours.</w:t>
      </w:r>
      <w:r>
        <w:rPr>
          <w:rStyle w:val="FootnoteReference"/>
        </w:rPr>
        <w:footnoteReference w:id="10968"/>
      </w:r>
      <w:r>
        <w:t xml:space="preserve"/>
      </w:r>
    </w:p>
    <w:p>
      <w:r>
        <w:rPr>
          <w:b/>
        </w:rPr>
        <w:t xml:space="preserve">27 </w:t>
      </w:r>
      <w:r>
        <w:t xml:space="preserve">Son, from me you have strong sayings for your life and for the life of your attendants.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 ungodly one flees with none pursuing, but a righteous one trusts like a lion.</w:t>
      </w:r>
      <w:r>
        <w:rPr>
          <w:rStyle w:val="FootnoteReference"/>
        </w:rPr>
        <w:footnoteReference w:id="10969"/>
      </w:r>
      <w:r>
        <w:t xml:space="preserve"/>
      </w:r>
    </w:p>
    <w:p>
      <w:r>
        <w:rPr>
          <w:b/>
        </w:rPr>
        <w:t xml:space="preserve">2 </w:t>
      </w:r>
      <w:r>
        <w:t xml:space="preserve">Through sins of the ungodly judgments are stirred up, but a shrewd man will quench them.</w:t>
      </w:r>
      <w:r>
        <w:rPr>
          <w:rStyle w:val="FootnoteReference"/>
        </w:rPr>
        <w:footnoteReference w:id="10970"/>
      </w:r>
      <w:r>
        <w:t xml:space="preserve"/>
      </w:r>
    </w:p>
    <w:p>
      <w:r>
        <w:rPr>
          <w:b/>
        </w:rPr>
        <w:t xml:space="preserve">3 </w:t>
      </w:r>
      <w:r>
        <w:t xml:space="preserve">A strong man in ungodliness slanders the poor; he is like sweeping and useless rain.</w:t>
      </w:r>
      <w:r>
        <w:rPr>
          <w:rStyle w:val="FootnoteReference"/>
        </w:rPr>
        <w:footnoteReference w:id="10971"/>
      </w:r>
      <w:r>
        <w:t xml:space="preserve"/>
      </w:r>
    </w:p>
    <w:p>
      <w:r>
        <w:rPr>
          <w:b/>
        </w:rPr>
        <w:t xml:space="preserve">4 </w:t>
      </w:r>
      <w:r>
        <w:t xml:space="preserve">Those forsaking the law praise ungodliness, but those loving the law wrap a wall around themselves.</w:t>
      </w:r>
      <w:r>
        <w:rPr>
          <w:rStyle w:val="FootnoteReference"/>
        </w:rPr>
        <w:footnoteReference w:id="10972"/>
      </w:r>
      <w:r>
        <w:t xml:space="preserve"/>
      </w:r>
    </w:p>
    <w:p>
      <w:r>
        <w:rPr>
          <w:b/>
        </w:rPr>
        <w:t xml:space="preserve">5 </w:t>
      </w:r>
      <w:r>
        <w:t xml:space="preserve">Evil men will not understand judgment, but those seeking the Lord will understand in everything.</w:t>
      </w:r>
    </w:p>
    <w:p>
      <w:r>
        <w:rPr>
          <w:b/>
        </w:rPr>
        <w:t xml:space="preserve">6 </w:t>
      </w:r>
      <w:r>
        <w:t xml:space="preserve">Better a poor man walking in truth than a rich liar.</w:t>
      </w:r>
      <w:r>
        <w:rPr>
          <w:rStyle w:val="FootnoteReference"/>
        </w:rPr>
        <w:footnoteReference w:id="10973"/>
      </w:r>
    </w:p>
    <w:p>
      <w:r>
        <w:rPr>
          <w:b/>
        </w:rPr>
        <w:t xml:space="preserve">7 </w:t>
      </w:r>
      <w:r>
        <w:t xml:space="preserve">An understanding son keeps the law, but one shepherding prodigality dishonors his father.</w:t>
      </w:r>
    </w:p>
    <w:p>
      <w:r>
        <w:rPr>
          <w:b/>
        </w:rPr>
        <w:t xml:space="preserve">8 </w:t>
      </w:r>
      <w:r>
        <w:t xml:space="preserve">One multiplying wealth with interest and increase gathers it for one showing mercy to the poor.</w:t>
      </w:r>
      <w:r>
        <w:rPr>
          <w:rStyle w:val="FootnoteReference"/>
        </w:rPr>
        <w:footnoteReference w:id="10974"/>
      </w:r>
      <w:r>
        <w:t xml:space="preserve"/>
      </w:r>
    </w:p>
    <w:p>
      <w:r>
        <w:rPr>
          <w:b/>
        </w:rPr>
        <w:t xml:space="preserve">9 </w:t>
      </w:r>
      <w:r>
        <w:t xml:space="preserve">One turning his ear away from hearing the law, even his prayer is abominated.</w:t>
      </w:r>
      <w:r>
        <w:rPr>
          <w:rStyle w:val="FootnoteReference"/>
        </w:rPr>
        <w:footnoteReference w:id="10975"/>
      </w:r>
      <w:r>
        <w:t xml:space="preserve"/>
      </w:r>
    </w:p>
    <w:p>
      <w:r>
        <w:rPr>
          <w:b/>
        </w:rPr>
        <w:t xml:space="preserve">10 </w:t>
      </w:r>
      <w:r>
        <w:t xml:space="preserve">One leading the upright astray in an evil way will himself fall into corruption; but the lawless will pass by good things and not enter into them.</w:t>
      </w:r>
      <w:r>
        <w:rPr>
          <w:rStyle w:val="FootnoteReference"/>
        </w:rPr>
        <w:footnoteReference w:id="10976"/>
      </w:r>
    </w:p>
    <w:p>
      <w:r>
        <w:rPr>
          <w:b/>
        </w:rPr>
        <w:t xml:space="preserve">11 </w:t>
      </w:r>
      <w:r>
        <w:t xml:space="preserve">A rich man is wise to himself, but a poor understanding man will expose him.</w:t>
      </w:r>
      <w:r>
        <w:rPr>
          <w:rStyle w:val="FootnoteReference"/>
        </w:rPr>
        <w:footnoteReference w:id="10977"/>
      </w:r>
      <w:r>
        <w:t xml:space="preserve"/>
      </w:r>
      <w:r>
        <w:rPr>
          <w:rStyle w:val="FootnoteReference"/>
        </w:rPr>
        <w:footnoteReference w:id="10978"/>
      </w:r>
    </w:p>
    <w:p>
      <w:r>
        <w:rPr>
          <w:b/>
        </w:rPr>
        <w:t xml:space="preserve">12 </w:t>
      </w:r>
      <w:r>
        <w:t xml:space="preserve">Through help of the righteous much glory comes, but in the places of the ungodly men are caught.</w:t>
      </w:r>
      <w:r>
        <w:rPr>
          <w:rStyle w:val="FootnoteReference"/>
        </w:rPr>
        <w:footnoteReference w:id="10979"/>
      </w:r>
      <w:r>
        <w:t xml:space="preserve"/>
      </w:r>
      <w:r>
        <w:rPr>
          <w:rStyle w:val="FootnoteReference"/>
        </w:rPr>
        <w:footnoteReference w:id="10980"/>
      </w:r>
    </w:p>
    <w:p>
      <w:r>
        <w:rPr>
          <w:b/>
        </w:rPr>
        <w:t xml:space="preserve">13 </w:t>
      </w:r>
      <w:r>
        <w:t xml:space="preserve">One covering his ungodliness will not prosper, but one confessing rebukes will be loved.</w:t>
      </w:r>
    </w:p>
    <w:p>
      <w:r>
        <w:rPr>
          <w:b/>
        </w:rPr>
        <w:t xml:space="preserve">14 </w:t>
      </w:r>
      <w:r>
        <w:t xml:space="preserve">Blessed is the man who trembles always in reverence, but one hardening the heart will fall into evils.</w:t>
      </w:r>
      <w:r>
        <w:rPr>
          <w:rStyle w:val="FootnoteReference"/>
        </w:rPr>
        <w:footnoteReference w:id="10981"/>
      </w:r>
      <w:r>
        <w:t xml:space="preserve"/>
      </w:r>
    </w:p>
    <w:p>
      <w:r>
        <w:rPr>
          <w:b/>
        </w:rPr>
        <w:t xml:space="preserve">15 </w:t>
      </w:r>
      <w:r>
        <w:t xml:space="preserve">A hungry lion and a thirsty wolf is a tyrant, being poor, over a needy people.</w:t>
      </w:r>
      <w:r>
        <w:rPr>
          <w:rStyle w:val="FootnoteReference"/>
        </w:rPr>
        <w:footnoteReference w:id="10982"/>
      </w:r>
      <w:r>
        <w:t xml:space="preserve"/>
      </w:r>
    </w:p>
    <w:p>
      <w:r>
        <w:rPr>
          <w:b/>
        </w:rPr>
        <w:t xml:space="preserve">16 </w:t>
      </w:r>
      <w:r>
        <w:t xml:space="preserve">A king lacking revenues is a great slanderer, but one hating injustice will live a long time.</w:t>
      </w:r>
      <w:r>
        <w:rPr>
          <w:rStyle w:val="FootnoteReference"/>
        </w:rPr>
        <w:footnoteReference w:id="10983"/>
      </w:r>
      <w:r>
        <w:t xml:space="preserve"/>
      </w:r>
    </w:p>
    <w:p>
      <w:r>
        <w:rPr>
          <w:b/>
        </w:rPr>
        <w:t xml:space="preserve">17 </w:t>
      </w:r>
      <w:r>
        <w:t xml:space="preserve">One guaranteeing a man guilty of murder will be a fugitive and not in safety. Discipline your son and he will love you and give adornment to your soul; he will not listen to a lawless nation.</w:t>
      </w:r>
      <w:r>
        <w:rPr>
          <w:rStyle w:val="FootnoteReference"/>
        </w:rPr>
        <w:footnoteReference w:id="10984"/>
      </w:r>
    </w:p>
    <w:p>
      <w:r>
        <w:rPr>
          <w:b/>
        </w:rPr>
        <w:t xml:space="preserve">18 </w:t>
      </w:r>
      <w:r>
        <w:t xml:space="preserve">One walking justly is helped, but one walking in crooked ways will be entangled.</w:t>
      </w:r>
    </w:p>
    <w:p>
      <w:r>
        <w:rPr>
          <w:b/>
        </w:rPr>
        <w:t xml:space="preserve">19 </w:t>
      </w:r>
      <w:r>
        <w:t xml:space="preserve">One working his own land will be filled with breads, but one pursuing idleness will be filled with poverty.</w:t>
      </w:r>
    </w:p>
    <w:p>
      <w:r>
        <w:rPr>
          <w:b/>
        </w:rPr>
        <w:t xml:space="preserve">20 </w:t>
      </w:r>
      <w:r>
        <w:t xml:space="preserve">A faithful man will be greatly blessed, but an evil man will not go unpunished.</w:t>
      </w:r>
      <w:r>
        <w:rPr>
          <w:rStyle w:val="FootnoteReference"/>
        </w:rPr>
        <w:footnoteReference w:id="10985"/>
      </w:r>
      <w:r>
        <w:t xml:space="preserve"/>
      </w:r>
      <w:r>
        <w:rPr>
          <w:rStyle w:val="FootnoteReference"/>
        </w:rPr>
        <w:footnoteReference w:id="10986"/>
      </w:r>
    </w:p>
    <w:p>
      <w:r>
        <w:rPr>
          <w:b/>
        </w:rPr>
        <w:t xml:space="preserve">21 </w:t>
      </w:r>
      <w:r>
        <w:t xml:space="preserve">One not respecting faces of the righteous is not good; such a man will be sold for a morsel of bread.</w:t>
      </w:r>
      <w:r>
        <w:rPr>
          <w:rStyle w:val="FootnoteReference"/>
        </w:rPr>
        <w:footnoteReference w:id="10987"/>
      </w:r>
      <w:r>
        <w:t xml:space="preserve"/>
      </w:r>
    </w:p>
    <w:p>
      <w:r>
        <w:rPr>
          <w:b/>
        </w:rPr>
        <w:t xml:space="preserve">22 </w:t>
      </w:r>
      <w:r>
        <w:t xml:space="preserve">An envious man hurries to become rich and does not know that a merciful man will master him.</w:t>
      </w:r>
      <w:r>
        <w:rPr>
          <w:rStyle w:val="FootnoteReference"/>
        </w:rPr>
        <w:footnoteReference w:id="10988"/>
      </w:r>
      <w:r>
        <w:t xml:space="preserve"/>
      </w:r>
    </w:p>
    <w:p>
      <w:r>
        <w:rPr>
          <w:b/>
        </w:rPr>
        <w:t xml:space="preserve">23 </w:t>
      </w:r>
      <w:r>
        <w:t xml:space="preserve">One reproving the ways of a man will have more favor than one flattering with the tongue.</w:t>
      </w:r>
      <w:r>
        <w:rPr>
          <w:rStyle w:val="FootnoteReference"/>
        </w:rPr>
        <w:footnoteReference w:id="10989"/>
      </w:r>
      <w:r>
        <w:t xml:space="preserve"/>
      </w:r>
    </w:p>
    <w:p>
      <w:r>
        <w:rPr>
          <w:b/>
        </w:rPr>
        <w:t xml:space="preserve">24 </w:t>
      </w:r>
      <w:r>
        <w:t xml:space="preserve">One casting away father or mother and thinking he does not sin is a partner of an ungodly man.</w:t>
      </w:r>
      <w:r>
        <w:rPr>
          <w:rStyle w:val="FootnoteReference"/>
        </w:rPr>
        <w:footnoteReference w:id="10990"/>
      </w:r>
      <w:r>
        <w:t xml:space="preserve"/>
      </w:r>
    </w:p>
    <w:p>
      <w:r>
        <w:rPr>
          <w:b/>
        </w:rPr>
        <w:t xml:space="preserve">25 </w:t>
      </w:r>
      <w:r>
        <w:t xml:space="preserve">A faithless man judges vainly, but one trusting in the Lord will be diligent.</w:t>
      </w:r>
      <w:r>
        <w:rPr>
          <w:rStyle w:val="FootnoteReference"/>
        </w:rPr>
        <w:footnoteReference w:id="10991"/>
      </w:r>
      <w:r>
        <w:t xml:space="preserve"/>
      </w:r>
    </w:p>
    <w:p>
      <w:r>
        <w:rPr>
          <w:b/>
        </w:rPr>
        <w:t xml:space="preserve">26 </w:t>
      </w:r>
      <w:r>
        <w:t xml:space="preserve">One trusting in a bold heart, that man is a fool; but one walking in wisdom will be saved.</w:t>
      </w:r>
      <w:r>
        <w:rPr>
          <w:rStyle w:val="FootnoteReference"/>
        </w:rPr>
        <w:footnoteReference w:id="10992"/>
      </w:r>
      <w:r>
        <w:t xml:space="preserve"/>
      </w:r>
    </w:p>
    <w:p>
      <w:r>
        <w:rPr>
          <w:b/>
        </w:rPr>
        <w:t xml:space="preserve">27 </w:t>
      </w:r>
      <w:r>
        <w:t xml:space="preserve">One giving to the poor will not be in need, but one turning away his eye will be in much want.</w:t>
      </w:r>
      <w:r>
        <w:rPr>
          <w:rStyle w:val="FootnoteReference"/>
        </w:rPr>
        <w:footnoteReference w:id="10993"/>
      </w:r>
      <w:r>
        <w:t xml:space="preserve"/>
      </w:r>
    </w:p>
    <w:p>
      <w:r>
        <w:rPr>
          <w:b/>
        </w:rPr>
        <w:t xml:space="preserve">28 </w:t>
      </w:r>
      <w:r>
        <w:t xml:space="preserve">In the places of the ungodly the righteous groan, but in their destruction the righteous will multiply.</w:t>
      </w:r>
      <w:r>
        <w:rPr>
          <w:rStyle w:val="FootnoteReference"/>
        </w:rPr>
        <w:footnoteReference w:id="10994"/>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 man who rebukes is better than a stiff-necked man; for when he suddenly catches fire, there is no healing.</w:t>
      </w:r>
      <w:r>
        <w:rPr>
          <w:rStyle w:val="FootnoteReference"/>
        </w:rPr>
        <w:footnoteReference w:id="10995"/>
      </w:r>
      <w:r>
        <w:t xml:space="preserve"/>
      </w:r>
    </w:p>
    <w:p>
      <w:r>
        <w:rPr>
          <w:b/>
        </w:rPr>
        <w:t xml:space="preserve">2 </w:t>
      </w:r>
      <w:r>
        <w:t xml:space="preserve">When the righteous are praised, peoples rejoice; but when the ungodly rule, men groan.</w:t>
      </w:r>
      <w:r>
        <w:rPr>
          <w:rStyle w:val="FootnoteReference"/>
        </w:rPr>
        <w:footnoteReference w:id="10996"/>
      </w:r>
      <w:r>
        <w:t xml:space="preserve"/>
      </w:r>
      <w:r>
        <w:rPr>
          <w:rStyle w:val="FootnoteReference"/>
        </w:rPr>
        <w:footnoteReference w:id="10997"/>
      </w:r>
    </w:p>
    <w:p>
      <w:r>
        <w:rPr>
          <w:b/>
        </w:rPr>
        <w:t xml:space="preserve">3 </w:t>
      </w:r>
      <w:r>
        <w:t xml:space="preserve">When a man loves wisdom, his father rejoices; but one shepherding prostitutes destroys wealth.</w:t>
      </w:r>
      <w:r>
        <w:rPr>
          <w:rStyle w:val="FootnoteReference"/>
        </w:rPr>
        <w:footnoteReference w:id="10998"/>
      </w:r>
      <w:r>
        <w:t xml:space="preserve"/>
      </w:r>
    </w:p>
    <w:p>
      <w:r>
        <w:rPr>
          <w:b/>
        </w:rPr>
        <w:t xml:space="preserve">4 </w:t>
      </w:r>
      <w:r>
        <w:t xml:space="preserve">A righteous king raises up a land, but a lawless man digs it down.</w:t>
      </w:r>
      <w:r>
        <w:rPr>
          <w:rStyle w:val="FootnoteReference"/>
        </w:rPr>
        <w:footnoteReference w:id="10999"/>
      </w:r>
      <w:r>
        <w:t xml:space="preserve"/>
      </w:r>
      <w:r>
        <w:rPr>
          <w:rStyle w:val="FootnoteReference"/>
        </w:rPr>
        <w:footnoteReference w:id="11000"/>
      </w:r>
    </w:p>
    <w:p>
      <w:r>
        <w:rPr>
          <w:b/>
        </w:rPr>
        <w:t xml:space="preserve">5 </w:t>
      </w:r>
      <w:r>
        <w:t xml:space="preserve">One preparing a net before his own friend wraps it around his own feet.</w:t>
      </w:r>
      <w:r>
        <w:rPr>
          <w:rStyle w:val="FootnoteReference"/>
        </w:rPr>
        <w:footnoteReference w:id="11001"/>
      </w:r>
      <w:r>
        <w:t xml:space="preserve"/>
      </w:r>
    </w:p>
    <w:p>
      <w:r>
        <w:rPr>
          <w:b/>
        </w:rPr>
        <w:t xml:space="preserve">6 </w:t>
      </w:r>
      <w:r>
        <w:t xml:space="preserve">For a sinful man is a great snare, but the righteous will be in joy and gladness.</w:t>
      </w:r>
      <w:r>
        <w:rPr>
          <w:rStyle w:val="FootnoteReference"/>
        </w:rPr>
        <w:footnoteReference w:id="11002"/>
      </w:r>
      <w:r>
        <w:t xml:space="preserve"/>
      </w:r>
    </w:p>
    <w:p>
      <w:r>
        <w:rPr>
          <w:b/>
        </w:rPr>
        <w:t xml:space="preserve">7 </w:t>
      </w:r>
      <w:r>
        <w:t xml:space="preserve">A righteous one knows how to judge for the poor, but the ungodly one does not understand knowledge, and for a poor man there is no discerning mind.</w:t>
      </w:r>
      <w:r>
        <w:rPr>
          <w:rStyle w:val="FootnoteReference"/>
        </w:rPr>
        <w:footnoteReference w:id="11003"/>
      </w:r>
    </w:p>
    <w:p>
      <w:r>
        <w:rPr>
          <w:b/>
        </w:rPr>
        <w:t xml:space="preserve">8 </w:t>
      </w:r>
      <w:r>
        <w:t xml:space="preserve">Lawless men set a city on fire, but wise</w:t>
      </w:r>
      <w:r>
        <w:rPr>
          <w:rStyle w:val="FootnoteReference"/>
        </w:rPr>
        <w:footnoteReference w:id="11004"/>
      </w:r>
      <w:r>
        <w:t xml:space="preserve"> men turned wrath back.</w:t>
      </w:r>
    </w:p>
    <w:p>
      <w:r>
        <w:rPr>
          <w:b/>
        </w:rPr>
        <w:t xml:space="preserve">9 </w:t>
      </w:r>
      <w:r>
        <w:t xml:space="preserve">A wise man will judge nations, but a base man growing angry is laughed at and does not shrink back.</w:t>
      </w:r>
      <w:r>
        <w:rPr>
          <w:rStyle w:val="FootnoteReference"/>
        </w:rPr>
        <w:footnoteReference w:id="11005"/>
      </w:r>
      <w:r>
        <w:t xml:space="preserve"/>
      </w:r>
    </w:p>
    <w:p>
      <w:r>
        <w:rPr>
          <w:b/>
        </w:rPr>
        <w:t xml:space="preserve">10 </w:t>
      </w:r>
      <w:r>
        <w:t xml:space="preserve">Men partaking in blood hate a holy man, but the upright will seek his soul.</w:t>
      </w:r>
      <w:r>
        <w:rPr>
          <w:rStyle w:val="FootnoteReference"/>
        </w:rPr>
        <w:footnoteReference w:id="11006"/>
      </w:r>
      <w:r>
        <w:t xml:space="preserve"/>
      </w:r>
    </w:p>
    <w:p>
      <w:r>
        <w:rPr>
          <w:b/>
        </w:rPr>
        <w:t xml:space="preserve">11 </w:t>
      </w:r>
      <w:r>
        <w:t xml:space="preserve">A fool lets out all his anger, but a wise man keeps it back in measure.</w:t>
      </w:r>
    </w:p>
    <w:p>
      <w:r>
        <w:rPr>
          <w:b/>
        </w:rPr>
        <w:t xml:space="preserve">12 </w:t>
      </w:r>
      <w:r>
        <w:t xml:space="preserve">When a king listens to an unjust word, all who are under him are lawless.</w:t>
      </w:r>
    </w:p>
    <w:p>
      <w:r>
        <w:rPr>
          <w:b/>
        </w:rPr>
        <w:t xml:space="preserve">13 </w:t>
      </w:r>
      <w:r>
        <w:t xml:space="preserve">When a lender and debtor meet one another, the Lord oversees both.</w:t>
      </w:r>
      <w:r>
        <w:rPr>
          <w:rStyle w:val="FootnoteReference"/>
        </w:rPr>
        <w:footnoteReference w:id="11007"/>
      </w:r>
      <w:r>
        <w:t xml:space="preserve"/>
      </w:r>
      <w:r>
        <w:rPr>
          <w:rStyle w:val="FootnoteReference"/>
        </w:rPr>
        <w:footnoteReference w:id="11008"/>
      </w:r>
    </w:p>
    <w:p>
      <w:r>
        <w:rPr>
          <w:b/>
        </w:rPr>
        <w:t xml:space="preserve">14 </w:t>
      </w:r>
      <w:r>
        <w:t xml:space="preserve">When a king judges the poor in truth, his throne will be established as a testimony.</w:t>
      </w:r>
      <w:r>
        <w:rPr>
          <w:rStyle w:val="FootnoteReference"/>
        </w:rPr>
        <w:footnoteReference w:id="11009"/>
      </w:r>
      <w:r>
        <w:t xml:space="preserve"/>
      </w:r>
      <w:r>
        <w:rPr>
          <w:rStyle w:val="FootnoteReference"/>
        </w:rPr>
        <w:footnoteReference w:id="11010"/>
      </w:r>
    </w:p>
    <w:p>
      <w:r>
        <w:rPr>
          <w:b/>
        </w:rPr>
        <w:t xml:space="preserve">15 </w:t>
      </w:r>
      <w:r>
        <w:t xml:space="preserve">Blows and reproofs give wisdom, but a wandering child shames his parents.</w:t>
      </w:r>
    </w:p>
    <w:p>
      <w:r>
        <w:rPr>
          <w:b/>
        </w:rPr>
        <w:t xml:space="preserve">16 </w:t>
      </w:r>
      <w:r>
        <w:t xml:space="preserve">When the ungodly are many, sins become many, but when they fall, the righteous are put in fear.</w:t>
      </w:r>
      <w:r>
        <w:rPr>
          <w:rStyle w:val="FootnoteReference"/>
        </w:rPr>
        <w:footnoteReference w:id="11011"/>
      </w:r>
      <w:r>
        <w:t xml:space="preserve"/>
      </w:r>
    </w:p>
    <w:p>
      <w:r>
        <w:rPr>
          <w:b/>
        </w:rPr>
        <w:t xml:space="preserve">17 </w:t>
      </w:r>
      <w:r>
        <w:t xml:space="preserve">Discipline your son, and he will give you rest, and he will give honor to your soul.</w:t>
      </w:r>
    </w:p>
    <w:p>
      <w:r>
        <w:rPr>
          <w:b/>
        </w:rPr>
        <w:t xml:space="preserve">18 </w:t>
      </w:r>
      <w:r>
        <w:t xml:space="preserve">There will by no means be an interpreter for a lawless nation, but one keeping the law is blessed.</w:t>
      </w:r>
    </w:p>
    <w:p>
      <w:r>
        <w:rPr>
          <w:b/>
        </w:rPr>
        <w:t xml:space="preserve">19 </w:t>
      </w:r>
      <w:r>
        <w:t xml:space="preserve">A hard servant</w:t>
      </w:r>
      <w:r>
        <w:rPr>
          <w:rStyle w:val="FootnoteReference"/>
        </w:rPr>
        <w:footnoteReference w:id="11012"/>
      </w:r>
      <w:r>
        <w:t xml:space="preserve"> will not be disciplined by words; for even if he understands, still he will not obey.</w:t>
      </w:r>
    </w:p>
    <w:p>
      <w:r>
        <w:rPr>
          <w:b/>
        </w:rPr>
        <w:t xml:space="preserve">20 </w:t>
      </w:r>
      <w:r>
        <w:t xml:space="preserve">If you see a man swift in words</w:t>
      </w:r>
      <w:r>
        <w:rPr>
          <w:rStyle w:val="FootnoteReference"/>
        </w:rPr>
        <w:footnoteReference w:id="11013"/>
      </w:r>
      <w:r>
        <w:t xml:space="preserve">, know that a fool has hope rather than he does.</w:t>
      </w:r>
    </w:p>
    <w:p>
      <w:r>
        <w:rPr>
          <w:b/>
        </w:rPr>
        <w:t xml:space="preserve">21 </w:t>
      </w:r>
      <w:r>
        <w:t xml:space="preserve">One who lives wantonly from childhood will be a servant, and in the end he will grieve over himself.</w:t>
      </w:r>
    </w:p>
    <w:p>
      <w:r>
        <w:rPr>
          <w:b/>
        </w:rPr>
        <w:t xml:space="preserve">22 </w:t>
      </w:r>
      <w:r>
        <w:t xml:space="preserve">An angry</w:t>
      </w:r>
      <w:r>
        <w:rPr>
          <w:rStyle w:val="FootnoteReference"/>
        </w:rPr>
        <w:footnoteReference w:id="11014"/>
      </w:r>
      <w:r>
        <w:t xml:space="preserve"> man digs up strife, and a wrathful man digs up sin.</w:t>
      </w:r>
    </w:p>
    <w:p>
      <w:r>
        <w:rPr>
          <w:b/>
        </w:rPr>
        <w:t xml:space="preserve">23 </w:t>
      </w:r>
      <w:r>
        <w:t xml:space="preserve">Arrogance humbles a man, but the Lord supports the humble-minded with glory.</w:t>
      </w:r>
    </w:p>
    <w:p>
      <w:r>
        <w:rPr>
          <w:b/>
        </w:rPr>
        <w:t xml:space="preserve">24 </w:t>
      </w:r>
      <w:r>
        <w:t xml:space="preserve">One who shares with a thief hates his own soul; and if, when an oath has been set forth, those who heard do not report it,</w:t>
      </w:r>
    </w:p>
    <w:p>
      <w:r>
        <w:rPr>
          <w:b/>
        </w:rPr>
        <w:t xml:space="preserve">25 </w:t>
      </w:r>
      <w:r>
        <w:t xml:space="preserve">fearing and being ashamed before men, they were tripped up; but one trusting in the Lord will rejoice. Ungodliness causes a man to stumble, but one who trusts in the Master will be saved.</w:t>
      </w:r>
    </w:p>
    <w:p>
      <w:r>
        <w:rPr>
          <w:b/>
        </w:rPr>
        <w:t xml:space="preserve">26 </w:t>
      </w:r>
      <w:r>
        <w:t xml:space="preserve">Many attend to the faces of the leaders, but from the Lord justice comes to a man.</w:t>
      </w:r>
      <w:r>
        <w:rPr>
          <w:rStyle w:val="FootnoteReference"/>
        </w:rPr>
        <w:footnoteReference w:id="11015"/>
      </w:r>
      <w:r>
        <w:t xml:space="preserve"/>
      </w:r>
    </w:p>
    <w:p>
      <w:r>
        <w:rPr>
          <w:b/>
        </w:rPr>
        <w:t xml:space="preserve">27 </w:t>
      </w:r>
      <w:r>
        <w:t xml:space="preserve">An unjust man is an abomination to the righteous, and a straight way is an abomination to a lawless man.</w:t>
      </w:r>
      <w:r>
        <w:rPr>
          <w:rStyle w:val="FootnoteReference"/>
        </w:rPr>
        <w:footnoteReference w:id="11016"/>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My words, son, fear and receive them, and repent. These things says the man to those trusting in God, and I stop.</w:t>
      </w:r>
      <w:r>
        <w:rPr>
          <w:rStyle w:val="FootnoteReference"/>
        </w:rPr>
        <w:footnoteReference w:id="11017"/>
      </w:r>
      <w:r>
        <w:t xml:space="preserve"/>
      </w:r>
    </w:p>
    <w:p>
      <w:r>
        <w:rPr>
          <w:b/>
        </w:rPr>
        <w:t xml:space="preserve">2 </w:t>
      </w:r>
      <w:r>
        <w:t xml:space="preserve">For I am most foolish of all men, and understanding of men is not in me.</w:t>
      </w:r>
    </w:p>
    <w:p>
      <w:r>
        <w:rPr>
          <w:b/>
        </w:rPr>
        <w:t xml:space="preserve">3 </w:t>
      </w:r>
      <w:r>
        <w:t xml:space="preserve">But God taught me wisdom, and I knew knowledge of the holy ones.</w:t>
      </w:r>
      <w:r>
        <w:rPr>
          <w:rStyle w:val="FootnoteReference"/>
        </w:rPr>
        <w:footnoteReference w:id="11018"/>
      </w:r>
      <w:r>
        <w:t xml:space="preserve"/>
      </w:r>
      <w:r>
        <w:rPr>
          <w:rStyle w:val="FootnoteReference"/>
        </w:rPr>
        <w:footnoteReference w:id="11019"/>
      </w:r>
    </w:p>
    <w:p>
      <w:r>
        <w:rPr>
          <w:b/>
        </w:rPr>
        <w:t xml:space="preserve">4 </w:t>
      </w:r>
      <w:r>
        <w:t xml:space="preserve">Who ascended into heaven and came down? Who gathered winds in a bosom? Who wrapped water in a garment? Who held all the ends of the earth? What is his name</w:t>
      </w:r>
      <w:r>
        <w:rPr>
          <w:rStyle w:val="FootnoteReference"/>
        </w:rPr>
        <w:footnoteReference w:id="11020"/>
      </w:r>
      <w:r>
        <w:t xml:space="preserve">, or what is the name of his children, so that you may know?</w:t>
      </w:r>
      <w:r>
        <w:rPr>
          <w:rStyle w:val="FootnoteReference"/>
        </w:rPr>
        <w:footnoteReference w:id="11021"/>
      </w:r>
    </w:p>
    <w:p>
      <w:r>
        <w:rPr>
          <w:b/>
        </w:rPr>
        <w:t xml:space="preserve">5 </w:t>
      </w:r>
      <w:r>
        <w:t xml:space="preserve">All the words of God are refined; and he defends those revering him.</w:t>
      </w:r>
      <w:r>
        <w:rPr>
          <w:rStyle w:val="FootnoteReference"/>
        </w:rPr>
        <w:footnoteReference w:id="11022"/>
      </w:r>
      <w:r>
        <w:t xml:space="preserve"/>
      </w:r>
    </w:p>
    <w:p>
      <w:r>
        <w:rPr>
          <w:b/>
        </w:rPr>
        <w:t xml:space="preserve">6 </w:t>
      </w:r>
      <w:r>
        <w:t xml:space="preserve">Do not add to his words, lest he reprove you and you become a liar.</w:t>
      </w:r>
      <w:r>
        <w:rPr>
          <w:rStyle w:val="FootnoteReference"/>
        </w:rPr>
        <w:footnoteReference w:id="11023"/>
      </w:r>
      <w:r>
        <w:t xml:space="preserve"/>
      </w:r>
    </w:p>
    <w:p>
      <w:r>
        <w:rPr>
          <w:b/>
        </w:rPr>
        <w:t xml:space="preserve">7 </w:t>
      </w:r>
      <w:r>
        <w:t xml:space="preserve">Two things I ask from you; do not take grace from me before my dying:</w:t>
      </w:r>
    </w:p>
    <w:p>
      <w:r>
        <w:rPr>
          <w:b/>
        </w:rPr>
        <w:t xml:space="preserve">8 </w:t>
      </w:r>
      <w:r>
        <w:t xml:space="preserve">Make a vain word and a lie far from me; do not give me riches and poverty, but appoint for me the necessary and self-sufficient things,</w:t>
      </w:r>
      <w:r>
        <w:rPr>
          <w:rStyle w:val="FootnoteReference"/>
        </w:rPr>
        <w:footnoteReference w:id="11024"/>
      </w:r>
    </w:p>
    <w:p>
      <w:r>
        <w:rPr>
          <w:b/>
        </w:rPr>
        <w:t xml:space="preserve">9 </w:t>
      </w:r>
      <w:r>
        <w:t xml:space="preserve">lest being filled I become a liar and say, "Who sees me?" Or becoming poor I steal and swear by the name of God.</w:t>
      </w:r>
      <w:r>
        <w:rPr>
          <w:rStyle w:val="FootnoteReference"/>
        </w:rPr>
        <w:footnoteReference w:id="11025"/>
      </w:r>
      <w:r>
        <w:t xml:space="preserve"/>
      </w:r>
    </w:p>
    <w:p>
      <w:r>
        <w:rPr>
          <w:b/>
        </w:rPr>
        <w:t xml:space="preserve">10 </w:t>
      </w:r>
      <w:r>
        <w:t xml:space="preserve">Do not hand a servant over into the hands of his master, lest he curse you and you vanish.</w:t>
      </w:r>
      <w:r>
        <w:rPr>
          <w:rStyle w:val="FootnoteReference"/>
        </w:rPr>
        <w:footnoteReference w:id="11026"/>
      </w:r>
      <w:r>
        <w:t xml:space="preserve"/>
      </w:r>
    </w:p>
    <w:p>
      <w:r>
        <w:rPr>
          <w:b/>
        </w:rPr>
        <w:t xml:space="preserve">11 </w:t>
      </w:r>
      <w:r>
        <w:t xml:space="preserve">An evil offspring curses its father and does not bless its mother.</w:t>
      </w:r>
      <w:r>
        <w:rPr>
          <w:rStyle w:val="FootnoteReference"/>
        </w:rPr>
        <w:footnoteReference w:id="11027"/>
      </w:r>
      <w:r>
        <w:t xml:space="preserve"/>
      </w:r>
    </w:p>
    <w:p>
      <w:r>
        <w:rPr>
          <w:b/>
        </w:rPr>
        <w:t xml:space="preserve">12 </w:t>
      </w:r>
      <w:r>
        <w:t xml:space="preserve">An evil offspring judges itself righteous, but has not washed its own filth away.</w:t>
      </w:r>
      <w:r>
        <w:rPr>
          <w:rStyle w:val="FootnoteReference"/>
        </w:rPr>
        <w:footnoteReference w:id="11028"/>
      </w:r>
      <w:r>
        <w:t xml:space="preserve"/>
      </w:r>
    </w:p>
    <w:p>
      <w:r>
        <w:rPr>
          <w:b/>
        </w:rPr>
        <w:t xml:space="preserve">13 </w:t>
      </w:r>
      <w:r>
        <w:t xml:space="preserve">An evil offspring has lofty eyes, and its eyelids lift themselves up.</w:t>
      </w:r>
      <w:r>
        <w:rPr>
          <w:rStyle w:val="FootnoteReference"/>
        </w:rPr>
        <w:footnoteReference w:id="11029"/>
      </w:r>
      <w:r>
        <w:t xml:space="preserve"/>
      </w:r>
    </w:p>
    <w:p>
      <w:r>
        <w:rPr>
          <w:b/>
        </w:rPr>
        <w:t xml:space="preserve">14 </w:t>
      </w:r>
      <w:r>
        <w:t xml:space="preserve">An evil offspring has swords for teeth and grinders like knives, so as to consume the humble from the earth and the poor among men.</w:t>
      </w:r>
      <w:r>
        <w:rPr>
          <w:rStyle w:val="FootnoteReference"/>
        </w:rPr>
        <w:footnoteReference w:id="11030"/>
      </w:r>
    </w:p>
    <w:p>
      <w:r>
        <w:rPr>
          <w:b/>
        </w:rPr>
        <w:t xml:space="preserve">15 </w:t>
      </w:r>
      <w:r>
        <w:t xml:space="preserve">The leech had three daughters dearly loved, and these three did not fill her, and the fourth was not satisfied to say, "Enough."</w:t>
      </w:r>
      <w:r>
        <w:rPr>
          <w:rStyle w:val="FootnoteReference"/>
        </w:rPr>
        <w:footnoteReference w:id="11031"/>
      </w:r>
    </w:p>
    <w:p>
      <w:r>
        <w:rPr>
          <w:b/>
        </w:rPr>
        <w:t xml:space="preserve">16 </w:t>
      </w:r>
      <w:r>
        <w:t xml:space="preserve">Hades and the desire of a woman and Tartarus and land not filled with water, and water and fire will never say, "Enough."</w:t>
      </w:r>
      <w:r>
        <w:rPr>
          <w:rStyle w:val="FootnoteReference"/>
        </w:rPr>
        <w:footnoteReference w:id="11032"/>
      </w:r>
    </w:p>
    <w:p>
      <w:r>
        <w:rPr>
          <w:b/>
        </w:rPr>
        <w:t xml:space="preserve">17 </w:t>
      </w:r>
      <w:r>
        <w:t xml:space="preserve">An eye mocking a father and dishonoring the old age of a mother, ravens from ravines may pluck it out and eaglets may devour it.</w:t>
      </w:r>
      <w:r>
        <w:rPr>
          <w:rStyle w:val="FootnoteReference"/>
        </w:rPr>
        <w:footnoteReference w:id="11033"/>
      </w:r>
    </w:p>
    <w:p>
      <w:r>
        <w:rPr>
          <w:b/>
        </w:rPr>
        <w:t xml:space="preserve">18 </w:t>
      </w:r>
      <w:r>
        <w:t xml:space="preserve">Three things are impossible for me to understand, and a fourth I do not know:</w:t>
      </w:r>
      <w:r>
        <w:rPr>
          <w:rStyle w:val="FootnoteReference"/>
        </w:rPr>
        <w:footnoteReference w:id="11034"/>
      </w:r>
      <w:r>
        <w:t xml:space="preserve"/>
      </w:r>
    </w:p>
    <w:p>
      <w:r>
        <w:rPr>
          <w:b/>
        </w:rPr>
        <w:t xml:space="preserve">19 </w:t>
      </w:r>
      <w:r>
        <w:t xml:space="preserve">the tracks of an eagle flying, and the ways of a serpent on a rock, and the paths of a ship voyaging at sea, and the ways of a man in youth.</w:t>
      </w:r>
      <w:r>
        <w:rPr>
          <w:rStyle w:val="FootnoteReference"/>
        </w:rPr>
        <w:footnoteReference w:id="11035"/>
      </w:r>
    </w:p>
    <w:p>
      <w:r>
        <w:rPr>
          <w:b/>
        </w:rPr>
        <w:t xml:space="preserve">20 </w:t>
      </w:r>
      <w:r>
        <w:t xml:space="preserve">Such is the way of an adulterous woman: when she acts, having washed herself, she says she did nothing improper.</w:t>
      </w:r>
      <w:r>
        <w:rPr>
          <w:rStyle w:val="FootnoteReference"/>
        </w:rPr>
        <w:footnoteReference w:id="11036"/>
      </w:r>
      <w:r>
        <w:t xml:space="preserve"/>
      </w:r>
    </w:p>
    <w:p>
      <w:r>
        <w:rPr>
          <w:b/>
        </w:rPr>
        <w:t xml:space="preserve">21 </w:t>
      </w:r>
      <w:r>
        <w:t xml:space="preserve">By three things the earth is shaken, and a fourth it cannot bear:</w:t>
      </w:r>
      <w:r>
        <w:rPr>
          <w:rStyle w:val="FootnoteReference"/>
        </w:rPr>
        <w:footnoteReference w:id="11037"/>
      </w:r>
      <w:r>
        <w:t xml:space="preserve"/>
      </w:r>
    </w:p>
    <w:p>
      <w:r>
        <w:rPr>
          <w:b/>
        </w:rPr>
        <w:t xml:space="preserve">22 </w:t>
      </w:r>
      <w:r>
        <w:t xml:space="preserve">if a servant reigns and a fool is filled with foods,</w:t>
      </w:r>
      <w:r>
        <w:rPr>
          <w:rStyle w:val="FootnoteReference"/>
        </w:rPr>
        <w:footnoteReference w:id="11038"/>
      </w:r>
      <w:r>
        <w:t xml:space="preserve"/>
      </w:r>
      <w:r>
        <w:rPr>
          <w:rStyle w:val="FootnoteReference"/>
        </w:rPr>
        <w:footnoteReference w:id="11039"/>
      </w:r>
    </w:p>
    <w:p>
      <w:r>
        <w:rPr>
          <w:b/>
        </w:rPr>
        <w:t xml:space="preserve">23 </w:t>
      </w:r>
      <w:r>
        <w:t xml:space="preserve">and a maidservant throws out her mistress, and a hated woman happens upon a good husband.</w:t>
      </w:r>
      <w:r>
        <w:rPr>
          <w:rStyle w:val="FootnoteReference"/>
        </w:rPr>
        <w:footnoteReference w:id="11040"/>
      </w:r>
      <w:r>
        <w:t xml:space="preserve"/>
      </w:r>
    </w:p>
    <w:p>
      <w:r>
        <w:rPr>
          <w:b/>
        </w:rPr>
        <w:t xml:space="preserve">24 </w:t>
      </w:r>
      <w:r>
        <w:t xml:space="preserve">Four things on the earth are very little, yet wiser than the wise:</w:t>
      </w:r>
      <w:r>
        <w:rPr>
          <w:rStyle w:val="FootnoteReference"/>
        </w:rPr>
        <w:footnoteReference w:id="11041"/>
      </w:r>
      <w:r>
        <w:t xml:space="preserve"/>
      </w:r>
      <w:r>
        <w:rPr>
          <w:rStyle w:val="FootnoteReference"/>
        </w:rPr>
        <w:footnoteReference w:id="11042"/>
      </w:r>
    </w:p>
    <w:p>
      <w:r>
        <w:rPr>
          <w:b/>
        </w:rPr>
        <w:t xml:space="preserve">25 </w:t>
      </w:r>
      <w:r>
        <w:t xml:space="preserve">The ants, though they have no strength, prepare food in summer;</w:t>
      </w:r>
      <w:r>
        <w:rPr>
          <w:rStyle w:val="FootnoteReference"/>
        </w:rPr>
        <w:footnoteReference w:id="11043"/>
      </w:r>
      <w:r>
        <w:t xml:space="preserve"/>
      </w:r>
    </w:p>
    <w:p>
      <w:r>
        <w:rPr>
          <w:b/>
        </w:rPr>
        <w:t xml:space="preserve">26 </w:t>
      </w:r>
      <w:r>
        <w:t xml:space="preserve">and the rock-badgers, a nation not strong, who made houses in the rocks;</w:t>
      </w:r>
      <w:r>
        <w:rPr>
          <w:rStyle w:val="FootnoteReference"/>
        </w:rPr>
        <w:footnoteReference w:id="11044"/>
      </w:r>
      <w:r>
        <w:t xml:space="preserve"/>
      </w:r>
    </w:p>
    <w:p>
      <w:r>
        <w:rPr>
          <w:b/>
        </w:rPr>
        <w:t xml:space="preserve">27 </w:t>
      </w:r>
      <w:r>
        <w:t xml:space="preserve">The locust has no king, yet marches orderly at one command;</w:t>
      </w:r>
      <w:r>
        <w:rPr>
          <w:rStyle w:val="FootnoteReference"/>
        </w:rPr>
        <w:footnoteReference w:id="11045"/>
      </w:r>
      <w:r>
        <w:t xml:space="preserve"/>
      </w:r>
    </w:p>
    <w:p>
      <w:r>
        <w:rPr>
          <w:b/>
        </w:rPr>
        <w:t xml:space="preserve">28 </w:t>
      </w:r>
      <w:r>
        <w:t xml:space="preserve">and a lizard bracing itself with its hands, though vulnerable, dwells in the fortresses of the king.</w:t>
      </w:r>
      <w:r>
        <w:rPr>
          <w:rStyle w:val="FootnoteReference"/>
        </w:rPr>
        <w:footnoteReference w:id="11046"/>
      </w:r>
      <w:r>
        <w:t xml:space="preserve"/>
      </w:r>
    </w:p>
    <w:p>
      <w:r>
        <w:rPr>
          <w:b/>
        </w:rPr>
        <w:t xml:space="preserve">29 </w:t>
      </w:r>
      <w:r>
        <w:t xml:space="preserve">Three things travel well, and a fourth walks well:</w:t>
      </w:r>
      <w:r>
        <w:rPr>
          <w:rStyle w:val="FootnoteReference"/>
        </w:rPr>
        <w:footnoteReference w:id="11047"/>
      </w:r>
      <w:r>
        <w:t xml:space="preserve"/>
      </w:r>
    </w:p>
    <w:p>
      <w:r>
        <w:rPr>
          <w:b/>
        </w:rPr>
        <w:t xml:space="preserve">30 </w:t>
      </w:r>
      <w:r>
        <w:t xml:space="preserve">A lion's cub is strongest among beasts, and it does not turn back nor shrink from a beast;</w:t>
      </w:r>
      <w:r>
        <w:rPr>
          <w:rStyle w:val="FootnoteReference"/>
        </w:rPr>
        <w:footnoteReference w:id="11048"/>
      </w:r>
      <w:r>
        <w:t xml:space="preserve"/>
      </w:r>
    </w:p>
    <w:p>
      <w:r>
        <w:rPr>
          <w:b/>
        </w:rPr>
        <w:t xml:space="preserve">31 </w:t>
      </w:r>
      <w:r>
        <w:t xml:space="preserve">and a rooster strutting among females, high-spirited, and a goat leading a flock, and a king speaking publicly among a nation.</w:t>
      </w:r>
      <w:r>
        <w:rPr>
          <w:rStyle w:val="FootnoteReference"/>
        </w:rPr>
        <w:footnoteReference w:id="11049"/>
      </w:r>
    </w:p>
    <w:p>
      <w:r>
        <w:rPr>
          <w:b/>
        </w:rPr>
        <w:t xml:space="preserve">32 </w:t>
      </w:r>
      <w:r>
        <w:t xml:space="preserve">If you push yourself forward into gladness and stretch out your hand with battle, you will be dishonored.</w:t>
      </w:r>
    </w:p>
    <w:p>
      <w:r>
        <w:rPr>
          <w:b/>
        </w:rPr>
        <w:t xml:space="preserve">33 </w:t>
      </w:r>
      <w:r>
        <w:t xml:space="preserve">When milk is pressed there will be butter; if you squeeze nostrils, blood will come out; if you drag out words, judgments and fights will come out.</w:t>
      </w:r>
      <w:r>
        <w:rPr>
          <w:rStyle w:val="FootnoteReference"/>
        </w:rPr>
        <w:footnoteReference w:id="11050"/>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My words were spoken by God, an oracle of a king whom his mother taught.</w:t>
      </w:r>
      <w:r>
        <w:rPr>
          <w:rStyle w:val="FootnoteReference"/>
        </w:rPr>
        <w:footnoteReference w:id="11051"/>
      </w:r>
      <w:r>
        <w:t xml:space="preserve"/>
      </w:r>
    </w:p>
    <w:p>
      <w:r>
        <w:rPr>
          <w:b/>
        </w:rPr>
        <w:t xml:space="preserve">2 </w:t>
      </w:r>
      <w:r>
        <w:t xml:space="preserve">What will you keep, child? What sayings of God? Firstborn, I speak to you, son, child of my womb, child of my vows.</w:t>
      </w:r>
    </w:p>
    <w:p>
      <w:r>
        <w:rPr>
          <w:b/>
        </w:rPr>
        <w:t xml:space="preserve">3 </w:t>
      </w:r>
      <w:r>
        <w:t xml:space="preserve">Do not give your wealth to women, and your mind and life to afterthought.</w:t>
      </w:r>
    </w:p>
    <w:p>
      <w:r>
        <w:rPr>
          <w:b/>
        </w:rPr>
        <w:t xml:space="preserve">4 </w:t>
      </w:r>
      <w:r>
        <w:t xml:space="preserve">Do everything with counsel; the rulers drink wine with counsel, for they are hot-tempered; but let them not drink wine,</w:t>
      </w:r>
      <w:r>
        <w:rPr>
          <w:rStyle w:val="FootnoteReference"/>
        </w:rPr>
        <w:footnoteReference w:id="11052"/>
      </w:r>
      <w:r>
        <w:t xml:space="preserve"/>
      </w:r>
    </w:p>
    <w:p>
      <w:r>
        <w:rPr>
          <w:b/>
        </w:rPr>
        <w:t xml:space="preserve">5 </w:t>
      </w:r>
      <w:r>
        <w:t xml:space="preserve">lest drinking they forget wisdom and be unable to judge the weak rightly.</w:t>
      </w:r>
      <w:r>
        <w:rPr>
          <w:rStyle w:val="FootnoteReference"/>
        </w:rPr>
        <w:footnoteReference w:id="11053"/>
      </w:r>
      <w:r>
        <w:t xml:space="preserve"/>
      </w:r>
    </w:p>
    <w:p>
      <w:r>
        <w:rPr>
          <w:b/>
        </w:rPr>
        <w:t xml:space="preserve">6 </w:t>
      </w:r>
      <w:r>
        <w:t xml:space="preserve">Give strong</w:t>
      </w:r>
      <w:r>
        <w:rPr>
          <w:rStyle w:val="FootnoteReference"/>
        </w:rPr>
        <w:footnoteReference w:id="11054"/>
      </w:r>
      <w:r>
        <w:t xml:space="preserve"> drink to those in grief and wine to drink for those in pains,</w:t>
      </w:r>
    </w:p>
    <w:p>
      <w:r>
        <w:rPr>
          <w:b/>
        </w:rPr>
        <w:t xml:space="preserve">7 </w:t>
      </w:r>
      <w:r>
        <w:t xml:space="preserve">so that they may forget their poverty and remember their troubles no more.</w:t>
      </w:r>
      <w:r>
        <w:rPr>
          <w:rStyle w:val="FootnoteReference"/>
        </w:rPr>
        <w:footnoteReference w:id="11055"/>
      </w:r>
      <w:r>
        <w:t xml:space="preserve"/>
      </w:r>
    </w:p>
    <w:p>
      <w:r>
        <w:rPr>
          <w:b/>
        </w:rPr>
        <w:t xml:space="preserve">8 </w:t>
      </w:r>
      <w:r>
        <w:t xml:space="preserve">Open your mouth for the word of God and judge all soundly.</w:t>
      </w:r>
      <w:r>
        <w:rPr>
          <w:rStyle w:val="FootnoteReference"/>
        </w:rPr>
        <w:footnoteReference w:id="11056"/>
      </w:r>
      <w:r>
        <w:t xml:space="preserve"/>
      </w:r>
      <w:r>
        <w:rPr>
          <w:rStyle w:val="FootnoteReference"/>
        </w:rPr>
        <w:footnoteReference w:id="11057"/>
      </w:r>
    </w:p>
    <w:p>
      <w:r>
        <w:rPr>
          <w:b/>
        </w:rPr>
        <w:t xml:space="preserve">9 </w:t>
      </w:r>
      <w:r>
        <w:t xml:space="preserve">Open your mouth and judge justly; discriminate for the poor and weak.</w:t>
      </w:r>
      <w:r>
        <w:rPr>
          <w:rStyle w:val="FootnoteReference"/>
        </w:rPr>
        <w:footnoteReference w:id="11058"/>
      </w:r>
      <w:r>
        <w:t xml:space="preserve"/>
      </w:r>
    </w:p>
    <w:p>
      <w:r>
        <w:rPr>
          <w:b/>
        </w:rPr>
        <w:t xml:space="preserve">10 </w:t>
      </w:r>
      <w:r>
        <w:t xml:space="preserve">Who will find a brave wife? Such a woman is more precious than precious stones.</w:t>
      </w:r>
      <w:r>
        <w:rPr>
          <w:rStyle w:val="FootnoteReference"/>
        </w:rPr>
        <w:footnoteReference w:id="11059"/>
      </w:r>
      <w:r>
        <w:t xml:space="preserve"/>
      </w:r>
    </w:p>
    <w:p>
      <w:r>
        <w:rPr>
          <w:b/>
        </w:rPr>
        <w:t xml:space="preserve">11 </w:t>
      </w:r>
      <w:r>
        <w:t xml:space="preserve">The heart of her husband trusts upon her; such a woman will not lack good spoils.</w:t>
      </w:r>
      <w:r>
        <w:rPr>
          <w:rStyle w:val="FootnoteReference"/>
        </w:rPr>
        <w:footnoteReference w:id="11060"/>
      </w:r>
      <w:r>
        <w:t xml:space="preserve"/>
      </w:r>
    </w:p>
    <w:p>
      <w:r>
        <w:rPr>
          <w:b/>
        </w:rPr>
        <w:t xml:space="preserve">12 </w:t>
      </w:r>
      <w:r>
        <w:t xml:space="preserve">For she works good things for her husband all her life.</w:t>
      </w:r>
      <w:r>
        <w:rPr>
          <w:rStyle w:val="FootnoteReference"/>
        </w:rPr>
        <w:footnoteReference w:id="11061"/>
      </w:r>
      <w:r>
        <w:t xml:space="preserve"/>
      </w:r>
    </w:p>
    <w:p>
      <w:r>
        <w:rPr>
          <w:b/>
        </w:rPr>
        <w:t xml:space="preserve">13 </w:t>
      </w:r>
      <w:r>
        <w:t xml:space="preserve">She works wool and flax and made them useful with her hands.</w:t>
      </w:r>
      <w:r>
        <w:rPr>
          <w:rStyle w:val="FootnoteReference"/>
        </w:rPr>
        <w:footnoteReference w:id="11062"/>
      </w:r>
      <w:r>
        <w:t xml:space="preserve"/>
      </w:r>
    </w:p>
    <w:p>
      <w:r>
        <w:rPr>
          <w:b/>
        </w:rPr>
        <w:t xml:space="preserve">14 </w:t>
      </w:r>
      <w:r>
        <w:t xml:space="preserve">She became like a merchant ship from far away, and gathers livelihood for herself.</w:t>
      </w:r>
      <w:r>
        <w:rPr>
          <w:rStyle w:val="FootnoteReference"/>
        </w:rPr>
        <w:footnoteReference w:id="11063"/>
      </w:r>
      <w:r>
        <w:t xml:space="preserve"/>
      </w:r>
    </w:p>
    <w:p>
      <w:r>
        <w:rPr>
          <w:b/>
        </w:rPr>
        <w:t xml:space="preserve">15 </w:t>
      </w:r>
      <w:r>
        <w:t xml:space="preserve">And she rises by night and gave foods to the house and tasks to the maidservants.</w:t>
      </w:r>
      <w:r>
        <w:rPr>
          <w:rStyle w:val="FootnoteReference"/>
        </w:rPr>
        <w:footnoteReference w:id="11064"/>
      </w:r>
      <w:r>
        <w:t xml:space="preserve"/>
      </w:r>
    </w:p>
    <w:p>
      <w:r>
        <w:rPr>
          <w:b/>
        </w:rPr>
        <w:t xml:space="preserve">16 </w:t>
      </w:r>
      <w:r>
        <w:t xml:space="preserve">Having considered a field, she bought it, and from the fruits of her hands planted a possession.</w:t>
      </w:r>
      <w:r>
        <w:rPr>
          <w:rStyle w:val="FootnoteReference"/>
        </w:rPr>
        <w:footnoteReference w:id="11065"/>
      </w:r>
      <w:r>
        <w:t xml:space="preserve"/>
      </w:r>
    </w:p>
    <w:p>
      <w:r>
        <w:rPr>
          <w:b/>
        </w:rPr>
        <w:t xml:space="preserve">17 </w:t>
      </w:r>
      <w:r>
        <w:t xml:space="preserve">Having girded her waist strongly, she braced her arms for work.</w:t>
      </w:r>
    </w:p>
    <w:p>
      <w:r>
        <w:rPr>
          <w:b/>
        </w:rPr>
        <w:t xml:space="preserve">18 </w:t>
      </w:r>
      <w:r>
        <w:t xml:space="preserve">She tasted that working is good, and her lamp does not go out the whole night.</w:t>
      </w:r>
      <w:r>
        <w:rPr>
          <w:rStyle w:val="FootnoteReference"/>
        </w:rPr>
        <w:footnoteReference w:id="11066"/>
      </w:r>
      <w:r>
        <w:t xml:space="preserve"/>
      </w:r>
    </w:p>
    <w:p>
      <w:r>
        <w:rPr>
          <w:b/>
        </w:rPr>
        <w:t xml:space="preserve">19 </w:t>
      </w:r>
      <w:r>
        <w:t xml:space="preserve">She stretches her forearms to the useful things, and her hands brace to the spindle.</w:t>
      </w:r>
      <w:r>
        <w:rPr>
          <w:rStyle w:val="FootnoteReference"/>
        </w:rPr>
        <w:footnoteReference w:id="11067"/>
      </w:r>
      <w:r>
        <w:t xml:space="preserve"/>
      </w:r>
    </w:p>
    <w:p>
      <w:r>
        <w:rPr>
          <w:b/>
        </w:rPr>
        <w:t xml:space="preserve">20 </w:t>
      </w:r>
      <w:r>
        <w:t xml:space="preserve">She opened her hands to the poor, and stretched out her wrist to the needy.</w:t>
      </w:r>
      <w:r>
        <w:rPr>
          <w:rStyle w:val="FootnoteReference"/>
        </w:rPr>
        <w:footnoteReference w:id="11068"/>
      </w:r>
      <w:r>
        <w:t xml:space="preserve"/>
      </w:r>
    </w:p>
    <w:p>
      <w:r>
        <w:rPr>
          <w:b/>
        </w:rPr>
        <w:t xml:space="preserve">21 </w:t>
      </w:r>
      <w:r>
        <w:t xml:space="preserve">Her husband does not worry about those in the house when he delays somewhere, for all who are from her are clothed.</w:t>
      </w:r>
      <w:r>
        <w:rPr>
          <w:rStyle w:val="FootnoteReference"/>
        </w:rPr>
        <w:footnoteReference w:id="11069"/>
      </w:r>
      <w:r>
        <w:t xml:space="preserve"/>
      </w:r>
    </w:p>
    <w:p>
      <w:r>
        <w:rPr>
          <w:b/>
        </w:rPr>
        <w:t xml:space="preserve">22 </w:t>
      </w:r>
      <w:r>
        <w:t xml:space="preserve">She made double cloaks for her husband, and clothing</w:t>
      </w:r>
      <w:r>
        <w:rPr>
          <w:rStyle w:val="FootnoteReference"/>
        </w:rPr>
        <w:footnoteReference w:id="11070"/>
      </w:r>
      <w:r>
        <w:t xml:space="preserve"> for herself from fine linen and purple.</w:t>
      </w:r>
    </w:p>
    <w:p>
      <w:r>
        <w:rPr>
          <w:b/>
        </w:rPr>
        <w:t xml:space="preserve">23 </w:t>
      </w:r>
      <w:r>
        <w:t xml:space="preserve">Her husband becomes conspicuous in the gates whenever he sits in council with the elders of the land.</w:t>
      </w:r>
      <w:r>
        <w:rPr>
          <w:rStyle w:val="FootnoteReference"/>
        </w:rPr>
        <w:footnoteReference w:id="11071"/>
      </w:r>
      <w:r>
        <w:t xml:space="preserve"/>
      </w:r>
      <w:r>
        <w:rPr>
          <w:rStyle w:val="FootnoteReference"/>
        </w:rPr>
        <w:footnoteReference w:id="11072"/>
      </w:r>
    </w:p>
    <w:p>
      <w:r>
        <w:rPr>
          <w:b/>
        </w:rPr>
        <w:t xml:space="preserve">24 </w:t>
      </w:r>
      <w:r>
        <w:t xml:space="preserve">She made linen cloths and sold them, and belts to the Canaanites.</w:t>
      </w:r>
      <w:r>
        <w:rPr>
          <w:rStyle w:val="FootnoteReference"/>
        </w:rPr>
        <w:footnoteReference w:id="11073"/>
      </w:r>
      <w:r>
        <w:t xml:space="preserve"/>
      </w:r>
    </w:p>
    <w:p>
      <w:r>
        <w:rPr>
          <w:b/>
        </w:rPr>
        <w:t xml:space="preserve">25 </w:t>
      </w:r>
      <w:r>
        <w:t xml:space="preserve">Her mouth opened attentively and lawfully, and she</w:t>
      </w:r>
      <w:r>
        <w:rPr>
          <w:rStyle w:val="FootnoteReference"/>
        </w:rPr>
        <w:footnoteReference w:id="11074"/>
      </w:r>
      <w:r>
        <w:t xml:space="preserve"> sent order to her tongue.</w:t>
      </w:r>
    </w:p>
    <w:p>
      <w:r>
        <w:rPr>
          <w:b/>
        </w:rPr>
        <w:t xml:space="preserve">26 </w:t>
      </w:r>
      <w:r>
        <w:t xml:space="preserve">She put on strength and dignity and rejoiced in the latter days.</w:t>
      </w:r>
      <w:r>
        <w:rPr>
          <w:rStyle w:val="FootnoteReference"/>
        </w:rPr>
        <w:footnoteReference w:id="11075"/>
      </w:r>
      <w:r>
        <w:t xml:space="preserve"/>
      </w:r>
    </w:p>
    <w:p>
      <w:r>
        <w:rPr>
          <w:b/>
        </w:rPr>
        <w:t xml:space="preserve">27 </w:t>
      </w:r>
      <w:r>
        <w:t xml:space="preserve">Dry are occupations of her house, and she did not eat lazy foods.</w:t>
      </w:r>
    </w:p>
    <w:p>
      <w:r>
        <w:rPr>
          <w:b/>
        </w:rPr>
        <w:t xml:space="preserve">28 </w:t>
      </w:r>
      <w:r>
        <w:t xml:space="preserve">But her mouth opens wisely and lawfully, and her mercy raised her children</w:t>
      </w:r>
      <w:r>
        <w:rPr>
          <w:rStyle w:val="FootnoteReference"/>
        </w:rPr>
        <w:footnoteReference w:id="11076"/>
      </w:r>
      <w:r>
        <w:t xml:space="preserve"> and they became rich, and her husband praised her.</w:t>
      </w:r>
    </w:p>
    <w:p>
      <w:r>
        <w:rPr>
          <w:b/>
        </w:rPr>
        <w:t xml:space="preserve">29 </w:t>
      </w:r>
      <w:r>
        <w:t xml:space="preserve">Many daughters acquired wealth, many made mighty things; but you excel and surpassed them all.</w:t>
      </w:r>
    </w:p>
    <w:p>
      <w:r>
        <w:rPr>
          <w:b/>
        </w:rPr>
        <w:t xml:space="preserve">30 </w:t>
      </w:r>
      <w:r>
        <w:t xml:space="preserve">False are charms and vain is beauty of a woman; for a prudent woman is blessed. Let her praise the fear of the Lord.</w:t>
      </w:r>
      <w:r>
        <w:rPr>
          <w:rStyle w:val="FootnoteReference"/>
        </w:rPr>
        <w:footnoteReference w:id="11077"/>
      </w:r>
      <w:r>
        <w:t xml:space="preserve"/>
      </w:r>
      <w:r>
        <w:rPr>
          <w:rStyle w:val="FootnoteReference"/>
        </w:rPr>
        <w:footnoteReference w:id="11078"/>
      </w:r>
    </w:p>
    <w:p>
      <w:r>
        <w:rPr>
          <w:b/>
        </w:rPr>
        <w:t xml:space="preserve">31 </w:t>
      </w:r>
      <w:r>
        <w:t xml:space="preserve">Give her from the fruits of her hands, and let</w:t>
      </w:r>
      <w:r>
        <w:rPr>
          <w:rStyle w:val="FootnoteReference"/>
        </w:rPr>
        <w:footnoteReference w:id="11079"/>
      </w:r>
      <w:r>
        <w:t xml:space="preserve"> her husband be praised in the gates.</w:t>
      </w:r>
    </w:p>
    <w:p>
      <w:r>
        <w:br w:type="page"/>
      </w:r>
    </w:p>
    <w:p>
      <w:pPr>
        <w:pStyle w:val="Heading1"/>
      </w:pPr>
      <w:r>
        <w:t xml:space="preserve">Ecclesiastes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words of Ecclesiastes, son of David, king</w:t>
      </w:r>
      <w:r>
        <w:rPr>
          <w:rStyle w:val="FootnoteReference"/>
        </w:rPr>
        <w:footnoteReference w:id="11080"/>
      </w:r>
      <w:r>
        <w:t xml:space="preserve"> of Israel in Jerusalem.</w:t>
      </w:r>
    </w:p>
    <w:p>
      <w:r>
        <w:rPr>
          <w:b/>
        </w:rPr>
        <w:t xml:space="preserve">2 </w:t>
      </w:r>
      <w:r>
        <w:t xml:space="preserve">Vanity of vanities, said Ecclesiastes; vanity of vanities, all things are vanity.</w:t>
      </w:r>
      <w:r>
        <w:rPr>
          <w:rStyle w:val="FootnoteReference"/>
        </w:rPr>
        <w:footnoteReference w:id="11081"/>
      </w:r>
      <w:r>
        <w:t xml:space="preserve"/>
      </w:r>
    </w:p>
    <w:p>
      <w:r>
        <w:rPr>
          <w:b/>
        </w:rPr>
        <w:t xml:space="preserve">3 </w:t>
      </w:r>
      <w:r>
        <w:t xml:space="preserve">What surplus is there for a man in all his toil with which he toils under the sun?</w:t>
      </w:r>
      <w:r>
        <w:rPr>
          <w:rStyle w:val="FootnoteReference"/>
        </w:rPr>
        <w:footnoteReference w:id="11082"/>
      </w:r>
      <w:r>
        <w:t xml:space="preserve"/>
      </w:r>
      <w:r>
        <w:rPr>
          <w:rStyle w:val="FootnoteReference"/>
        </w:rPr>
        <w:footnoteReference w:id="11083"/>
      </w:r>
    </w:p>
    <w:p>
      <w:r>
        <w:rPr>
          <w:b/>
        </w:rPr>
        <w:t xml:space="preserve">4 </w:t>
      </w:r>
      <w:r>
        <w:t xml:space="preserve">A generation goes and a generation comes, but the earth stands into the age.</w:t>
      </w:r>
      <w:r>
        <w:rPr>
          <w:rStyle w:val="FootnoteReference"/>
        </w:rPr>
        <w:footnoteReference w:id="11084"/>
      </w:r>
      <w:r>
        <w:t xml:space="preserve"/>
      </w:r>
    </w:p>
    <w:p>
      <w:r>
        <w:rPr>
          <w:b/>
        </w:rPr>
        <w:t xml:space="preserve">5 </w:t>
      </w:r>
      <w:r>
        <w:t xml:space="preserve">And the sun rises and the sun sets and draws to its place,</w:t>
      </w:r>
      <w:r>
        <w:rPr>
          <w:rStyle w:val="FootnoteReference"/>
        </w:rPr>
        <w:footnoteReference w:id="11085"/>
      </w:r>
      <w:r>
        <w:t xml:space="preserve"/>
      </w:r>
    </w:p>
    <w:p>
      <w:r>
        <w:rPr>
          <w:b/>
        </w:rPr>
        <w:t xml:space="preserve">6 </w:t>
      </w:r>
      <w:r>
        <w:t xml:space="preserve">rising there. It goes toward the south and circles toward the north; circling its circles the wind</w:t>
      </w:r>
      <w:r>
        <w:rPr>
          <w:rStyle w:val="FootnoteReference"/>
        </w:rPr>
        <w:footnoteReference w:id="11086"/>
      </w:r>
      <w:r>
        <w:t xml:space="preserve"> goes, and on its circles the wind returns.</w:t>
      </w:r>
      <w:r>
        <w:rPr>
          <w:rStyle w:val="FootnoteReference"/>
        </w:rPr>
        <w:footnoteReference w:id="11087"/>
      </w:r>
    </w:p>
    <w:p>
      <w:r>
        <w:rPr>
          <w:b/>
        </w:rPr>
        <w:t xml:space="preserve">7 </w:t>
      </w:r>
      <w:r>
        <w:t xml:space="preserve">All torrents go into the sea, yet the sea will not be filled; to the place where the torrents go, there they return to go.</w:t>
      </w:r>
      <w:r>
        <w:rPr>
          <w:rStyle w:val="FootnoteReference"/>
        </w:rPr>
        <w:footnoteReference w:id="11088"/>
      </w:r>
    </w:p>
    <w:p>
      <w:r>
        <w:rPr>
          <w:b/>
        </w:rPr>
        <w:t xml:space="preserve">8 </w:t>
      </w:r>
      <w:r>
        <w:t xml:space="preserve">All words are wearisome; a man will not be able to speak, and the eye</w:t>
      </w:r>
      <w:r>
        <w:rPr>
          <w:rStyle w:val="FootnoteReference"/>
        </w:rPr>
        <w:footnoteReference w:id="11089"/>
      </w:r>
      <w:r>
        <w:t xml:space="preserve"> will not be filled with seeing, nor the ear filled from hearing.</w:t>
      </w:r>
      <w:r>
        <w:rPr>
          <w:rStyle w:val="FootnoteReference"/>
        </w:rPr>
        <w:footnoteReference w:id="11090"/>
      </w:r>
    </w:p>
    <w:p>
      <w:r>
        <w:rPr>
          <w:b/>
        </w:rPr>
        <w:t xml:space="preserve">9 </w:t>
      </w:r>
      <w:r>
        <w:t xml:space="preserve">What happened, this is what will happen; and what has been done, this is what will be done; and there</w:t>
      </w:r>
      <w:r>
        <w:rPr>
          <w:rStyle w:val="FootnoteReference"/>
        </w:rPr>
        <w:footnoteReference w:id="11091"/>
      </w:r>
      <w:r>
        <w:t xml:space="preserve"> is nothing fresh under the sun.</w:t>
      </w:r>
      <w:r>
        <w:rPr>
          <w:rStyle w:val="FootnoteReference"/>
        </w:rPr>
        <w:footnoteReference w:id="11092"/>
      </w:r>
    </w:p>
    <w:p>
      <w:r>
        <w:rPr>
          <w:b/>
        </w:rPr>
        <w:t xml:space="preserve">10 </w:t>
      </w:r>
      <w:r>
        <w:t xml:space="preserve">Who will speak and say, "Look, this is new"? It already happened in the ages that came before us.</w:t>
      </w:r>
      <w:r>
        <w:rPr>
          <w:rStyle w:val="FootnoteReference"/>
        </w:rPr>
        <w:footnoteReference w:id="11093"/>
      </w:r>
      <w:r>
        <w:t xml:space="preserve"/>
      </w:r>
    </w:p>
    <w:p>
      <w:r>
        <w:rPr>
          <w:b/>
        </w:rPr>
        <w:t xml:space="preserve">11 </w:t>
      </w:r>
      <w:r>
        <w:t xml:space="preserve">There is</w:t>
      </w:r>
      <w:r>
        <w:rPr>
          <w:rStyle w:val="FootnoteReference"/>
        </w:rPr>
        <w:footnoteReference w:id="11094"/>
      </w:r>
      <w:r>
        <w:t xml:space="preserve"> no memory for the first things, and even for the last things that come there will be no memory for them with the things yet to be at the end.</w:t>
      </w:r>
      <w:r>
        <w:rPr>
          <w:rStyle w:val="FootnoteReference"/>
        </w:rPr>
        <w:footnoteReference w:id="11095"/>
      </w:r>
    </w:p>
    <w:p>
      <w:r>
        <w:rPr>
          <w:b/>
        </w:rPr>
        <w:t xml:space="preserve">12 </w:t>
      </w:r>
      <w:r>
        <w:t xml:space="preserve">I, Ecclesiastes, became king over Israel in Jerusalem.</w:t>
      </w:r>
    </w:p>
    <w:p>
      <w:r>
        <w:rPr>
          <w:b/>
        </w:rPr>
        <w:t xml:space="preserve">13 </w:t>
      </w:r>
      <w:r>
        <w:t xml:space="preserve">And I gave</w:t>
      </w:r>
      <w:r>
        <w:rPr>
          <w:rStyle w:val="FootnoteReference"/>
        </w:rPr>
        <w:footnoteReference w:id="11096"/>
      </w:r>
      <w:r>
        <w:t xml:space="preserve"> my heart to seek out and to inspect in wisdom concerning all things happening under heaven, because God gave evil distraction to the sons of man to be distracted in it.</w:t>
      </w:r>
      <w:r>
        <w:rPr>
          <w:rStyle w:val="FootnoteReference"/>
        </w:rPr>
        <w:footnoteReference w:id="11097"/>
      </w:r>
    </w:p>
    <w:p>
      <w:r>
        <w:rPr>
          <w:b/>
        </w:rPr>
        <w:t xml:space="preserve">14 </w:t>
      </w:r>
      <w:r>
        <w:t xml:space="preserve">I saw all works done under the sun, and look, all is vanity and choice of spirit.</w:t>
      </w:r>
      <w:r>
        <w:rPr>
          <w:rStyle w:val="FootnoteReference"/>
        </w:rPr>
        <w:footnoteReference w:id="11098"/>
      </w:r>
      <w:r>
        <w:t xml:space="preserve"/>
      </w:r>
    </w:p>
    <w:p>
      <w:r>
        <w:rPr>
          <w:b/>
        </w:rPr>
        <w:t xml:space="preserve">15 </w:t>
      </w:r>
      <w:r>
        <w:t xml:space="preserve">What is twisted cannot be adorned, and what is lacking cannot be numbered.</w:t>
      </w:r>
    </w:p>
    <w:p>
      <w:r>
        <w:rPr>
          <w:b/>
        </w:rPr>
        <w:t xml:space="preserve">16 </w:t>
      </w:r>
      <w:r>
        <w:t xml:space="preserve">I spoke in my heart saying, "I, look, grew great and added wisdom above all who were before me in Jerusalem," and my heart saw much wisdom and knowledge.</w:t>
      </w:r>
    </w:p>
    <w:p>
      <w:r>
        <w:rPr>
          <w:b/>
        </w:rPr>
        <w:t xml:space="preserve">17 </w:t>
      </w:r>
      <w:r>
        <w:t xml:space="preserve">And I gave</w:t>
      </w:r>
      <w:r>
        <w:rPr>
          <w:rStyle w:val="FootnoteReference"/>
        </w:rPr>
        <w:footnoteReference w:id="11099"/>
      </w:r>
      <w:r>
        <w:t xml:space="preserve"> my heart to know wisdom and knowledge, parables and skill; I knew that this too is choice of spirit.</w:t>
      </w:r>
    </w:p>
    <w:p>
      <w:r>
        <w:rPr>
          <w:b/>
        </w:rPr>
        <w:t xml:space="preserve">18 </w:t>
      </w:r>
      <w:r>
        <w:t xml:space="preserve">Because in much wisdom is much knowledge, and the one adding knowledge will add pain.</w:t>
      </w:r>
      <w:r>
        <w:rPr>
          <w:rStyle w:val="FootnoteReference"/>
        </w:rPr>
        <w:footnoteReference w:id="11100"/>
      </w:r>
      <w:r>
        <w:t xml:space="preserve"/>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I said in my heart, "Come now, I will test you in gladness and see in good," and look, this too is vanity.</w:t>
      </w:r>
      <w:r>
        <w:rPr>
          <w:rStyle w:val="FootnoteReference"/>
        </w:rPr>
        <w:footnoteReference w:id="11101"/>
      </w:r>
      <w:r>
        <w:t xml:space="preserve"/>
      </w:r>
      <w:r>
        <w:rPr>
          <w:rStyle w:val="FootnoteReference"/>
        </w:rPr>
        <w:footnoteReference w:id="11102"/>
      </w:r>
    </w:p>
    <w:p>
      <w:r>
        <w:rPr>
          <w:b/>
        </w:rPr>
        <w:t xml:space="preserve">2 </w:t>
      </w:r>
      <w:r>
        <w:t xml:space="preserve">To laughter I said, "Madness," and to gladness, "What does this do?"</w:t>
      </w:r>
    </w:p>
    <w:p>
      <w:r>
        <w:rPr>
          <w:b/>
        </w:rPr>
        <w:t xml:space="preserve">3 </w:t>
      </w:r>
      <w:r>
        <w:t xml:space="preserve">I examined in my heart to draw my flesh into wine, and my heart led in wisdom, and to take hold upon folly until I should see what good there is for the sons of man, which they will do under the sun for the number of days of their life.</w:t>
      </w:r>
      <w:r>
        <w:rPr>
          <w:rStyle w:val="FootnoteReference"/>
        </w:rPr>
        <w:footnoteReference w:id="11103"/>
      </w:r>
    </w:p>
    <w:p>
      <w:r>
        <w:rPr>
          <w:b/>
        </w:rPr>
        <w:t xml:space="preserve">4 </w:t>
      </w:r>
      <w:r>
        <w:t xml:space="preserve">I magnified my work; I built houses for myself, I planted</w:t>
      </w:r>
      <w:r>
        <w:rPr>
          <w:rStyle w:val="FootnoteReference"/>
        </w:rPr>
        <w:footnoteReference w:id="11104"/>
      </w:r>
      <w:r>
        <w:t xml:space="preserve"> vineyards for myself.</w:t>
      </w:r>
    </w:p>
    <w:p>
      <w:r>
        <w:rPr>
          <w:b/>
        </w:rPr>
        <w:t xml:space="preserve">5 </w:t>
      </w:r>
      <w:r>
        <w:t xml:space="preserve">I made gardens and parks for myself, and planted in them every fruit tree.</w:t>
      </w:r>
    </w:p>
    <w:p>
      <w:r>
        <w:rPr>
          <w:b/>
        </w:rPr>
        <w:t xml:space="preserve">6 </w:t>
      </w:r>
      <w:r>
        <w:t xml:space="preserve">I made pools of waters for myself, to water from them a forest sprouting trees.</w:t>
      </w:r>
      <w:r>
        <w:rPr>
          <w:rStyle w:val="FootnoteReference"/>
        </w:rPr>
        <w:footnoteReference w:id="11105"/>
      </w:r>
      <w:r>
        <w:t xml:space="preserve"/>
      </w:r>
      <w:r>
        <w:rPr>
          <w:rStyle w:val="FootnoteReference"/>
        </w:rPr>
        <w:footnoteReference w:id="11106"/>
      </w:r>
    </w:p>
    <w:p>
      <w:r>
        <w:rPr>
          <w:b/>
        </w:rPr>
        <w:t xml:space="preserve">7 </w:t>
      </w:r>
      <w:r>
        <w:t xml:space="preserve">I acquired male servants</w:t>
      </w:r>
      <w:r>
        <w:rPr>
          <w:rStyle w:val="FootnoteReference"/>
        </w:rPr>
        <w:footnoteReference w:id="11107"/>
      </w:r>
      <w:r>
        <w:t xml:space="preserve"> and female servants, and home-born servants became mine; and much possession of herds and flocks became mine beyond all who were before me in Jerusalem.</w:t>
      </w:r>
      <w:r>
        <w:rPr>
          <w:rStyle w:val="FootnoteReference"/>
        </w:rPr>
        <w:footnoteReference w:id="11108"/>
      </w:r>
    </w:p>
    <w:p>
      <w:r>
        <w:rPr>
          <w:b/>
        </w:rPr>
        <w:t xml:space="preserve">8 </w:t>
      </w:r>
      <w:r>
        <w:t xml:space="preserve">I gathered for myself also silver</w:t>
      </w:r>
      <w:r>
        <w:rPr>
          <w:rStyle w:val="FootnoteReference"/>
        </w:rPr>
        <w:footnoteReference w:id="11109"/>
      </w:r>
      <w:r>
        <w:t xml:space="preserve"> and gold and treasures of kings and of the provinces; I made for myself singers and singing women and delights of the sons of man, a cupbearer and cupbearers.</w:t>
      </w:r>
      <w:r>
        <w:rPr>
          <w:rStyle w:val="FootnoteReference"/>
        </w:rPr>
        <w:footnoteReference w:id="11110"/>
      </w:r>
    </w:p>
    <w:p>
      <w:r>
        <w:rPr>
          <w:b/>
        </w:rPr>
        <w:t xml:space="preserve">9 </w:t>
      </w:r>
      <w:r>
        <w:t xml:space="preserve">And I grew great and increased beyond all before me in Jerusalem, and my wisdom stood by me.</w:t>
      </w:r>
    </w:p>
    <w:p>
      <w:r>
        <w:rPr>
          <w:b/>
        </w:rPr>
        <w:t xml:space="preserve">10 </w:t>
      </w:r>
      <w:r>
        <w:t xml:space="preserve">And all that my eyes asked, I did not withhold from them; I did not restrain my heart from any gladness, because my heart rejoiced</w:t>
      </w:r>
      <w:r>
        <w:rPr>
          <w:rStyle w:val="FootnoteReference"/>
        </w:rPr>
        <w:footnoteReference w:id="11111"/>
      </w:r>
      <w:r>
        <w:t xml:space="preserve"> in all my toil, and this became my portion from all my toil.</w:t>
      </w:r>
      <w:r>
        <w:rPr>
          <w:rStyle w:val="FootnoteReference"/>
        </w:rPr>
        <w:footnoteReference w:id="11112"/>
      </w:r>
    </w:p>
    <w:p>
      <w:r>
        <w:rPr>
          <w:b/>
        </w:rPr>
        <w:t xml:space="preserve">11 </w:t>
      </w:r>
      <w:r>
        <w:t xml:space="preserve">And I looked</w:t>
      </w:r>
      <w:r>
        <w:rPr>
          <w:rStyle w:val="FootnoteReference"/>
        </w:rPr>
        <w:footnoteReference w:id="11113"/>
      </w:r>
      <w:r>
        <w:t xml:space="preserve"> on all my works which my hands made and on toil in which I toiled to do, and look, all is vanity and choice of spirit, and there is no surplus under the sun.</w:t>
      </w:r>
      <w:r>
        <w:rPr>
          <w:rStyle w:val="FootnoteReference"/>
        </w:rPr>
        <w:footnoteReference w:id="11114"/>
      </w:r>
    </w:p>
    <w:p>
      <w:r>
        <w:rPr>
          <w:b/>
        </w:rPr>
        <w:t xml:space="preserve">12 </w:t>
      </w:r>
      <w:r>
        <w:t xml:space="preserve">And I looked to see wisdom and wandering and folly, because what kind of man will come after counsel? The things it made.</w:t>
      </w:r>
    </w:p>
    <w:p>
      <w:r>
        <w:rPr>
          <w:b/>
        </w:rPr>
        <w:t xml:space="preserve">13 </w:t>
      </w:r>
      <w:r>
        <w:t xml:space="preserve">And I saw that wisdom has surplus over folly as the surplus of light over darkness.</w:t>
      </w:r>
      <w:r>
        <w:rPr>
          <w:rStyle w:val="FootnoteReference"/>
        </w:rPr>
        <w:footnoteReference w:id="11115"/>
      </w:r>
      <w:r>
        <w:t xml:space="preserve"/>
      </w:r>
      <w:r>
        <w:rPr>
          <w:rStyle w:val="FootnoteReference"/>
        </w:rPr>
        <w:footnoteReference w:id="11116"/>
      </w:r>
    </w:p>
    <w:p>
      <w:r>
        <w:rPr>
          <w:b/>
        </w:rPr>
        <w:t xml:space="preserve">14 </w:t>
      </w:r>
      <w:r>
        <w:t xml:space="preserve">The eyes of a wise</w:t>
      </w:r>
      <w:r>
        <w:rPr>
          <w:rStyle w:val="FootnoteReference"/>
        </w:rPr>
        <w:footnoteReference w:id="11117"/>
      </w:r>
      <w:r>
        <w:t xml:space="preserve"> man are in his head, but the fool walks in darkness; and I knew, yes I, that one meeting meets them all.</w:t>
      </w:r>
      <w:r>
        <w:rPr>
          <w:rStyle w:val="FootnoteReference"/>
        </w:rPr>
        <w:footnoteReference w:id="11118"/>
      </w:r>
    </w:p>
    <w:p>
      <w:r>
        <w:rPr>
          <w:b/>
        </w:rPr>
        <w:t xml:space="preserve">15 </w:t>
      </w:r>
      <w:r>
        <w:t xml:space="preserve">And I said in my heart, "As the meeting of the fool, so also to me it will meet; and why then did I become wise more?" I spoke in my heart that this too is vanity, because a fool speaks from surplus.</w:t>
      </w:r>
      <w:r>
        <w:rPr>
          <w:rStyle w:val="FootnoteReference"/>
        </w:rPr>
        <w:footnoteReference w:id="11119"/>
      </w:r>
    </w:p>
    <w:p>
      <w:r>
        <w:rPr>
          <w:b/>
        </w:rPr>
        <w:t xml:space="preserve">16 </w:t>
      </w:r>
      <w:r>
        <w:t xml:space="preserve">For there is</w:t>
      </w:r>
      <w:r>
        <w:rPr>
          <w:rStyle w:val="FootnoteReference"/>
        </w:rPr>
        <w:footnoteReference w:id="11120"/>
      </w:r>
      <w:r>
        <w:t xml:space="preserve"> no memory of the wise man with the fool forever, since already the days that are coming were all forgotten; and how will the wise man die with the fool?</w:t>
      </w:r>
      <w:r>
        <w:rPr>
          <w:rStyle w:val="FootnoteReference"/>
        </w:rPr>
        <w:footnoteReference w:id="11121"/>
      </w:r>
    </w:p>
    <w:p>
      <w:r>
        <w:rPr>
          <w:b/>
        </w:rPr>
        <w:t xml:space="preserve">17 </w:t>
      </w:r>
      <w:r>
        <w:t xml:space="preserve">And I hated life, because evil to me was work done under the sun, because all is vanity and choice of spirit.</w:t>
      </w:r>
      <w:r>
        <w:rPr>
          <w:rStyle w:val="FootnoteReference"/>
        </w:rPr>
        <w:footnoteReference w:id="11122"/>
      </w:r>
      <w:r>
        <w:t xml:space="preserve"/>
      </w:r>
      <w:r>
        <w:rPr>
          <w:rStyle w:val="FootnoteReference"/>
        </w:rPr>
        <w:footnoteReference w:id="11123"/>
      </w:r>
    </w:p>
    <w:p>
      <w:r>
        <w:rPr>
          <w:b/>
        </w:rPr>
        <w:t xml:space="preserve">18 </w:t>
      </w:r>
      <w:r>
        <w:t xml:space="preserve">And I hated all my toil with which I toil under the sun, because I leave it to the man coming after me.</w:t>
      </w:r>
      <w:r>
        <w:rPr>
          <w:rStyle w:val="FootnoteReference"/>
        </w:rPr>
        <w:footnoteReference w:id="11124"/>
      </w:r>
      <w:r>
        <w:t xml:space="preserve"/>
      </w:r>
      <w:r>
        <w:rPr>
          <w:rStyle w:val="FootnoteReference"/>
        </w:rPr>
        <w:footnoteReference w:id="11125"/>
      </w:r>
    </w:p>
    <w:p>
      <w:r>
        <w:rPr>
          <w:b/>
        </w:rPr>
        <w:t xml:space="preserve">19 </w:t>
      </w:r>
      <w:r>
        <w:t xml:space="preserve">And who knows whether he will be wise or a fool? Yet he rules over all my toil in which I toiled and became wise under</w:t>
      </w:r>
      <w:r>
        <w:rPr>
          <w:rStyle w:val="FootnoteReference"/>
        </w:rPr>
        <w:footnoteReference w:id="11126"/>
      </w:r>
      <w:r>
        <w:t xml:space="preserve"> the sun; and this too is vanity.</w:t>
      </w:r>
      <w:r>
        <w:rPr>
          <w:rStyle w:val="FootnoteReference"/>
        </w:rPr>
        <w:footnoteReference w:id="11127"/>
      </w:r>
    </w:p>
    <w:p>
      <w:r>
        <w:rPr>
          <w:b/>
        </w:rPr>
        <w:t xml:space="preserve">20 </w:t>
      </w:r>
      <w:r>
        <w:t xml:space="preserve">And I turned to bid my heart farewell concerning all the toil in which I toiled under the sun.</w:t>
      </w:r>
      <w:r>
        <w:rPr>
          <w:rStyle w:val="FootnoteReference"/>
        </w:rPr>
        <w:footnoteReference w:id="11128"/>
      </w:r>
      <w:r>
        <w:t xml:space="preserve"/>
      </w:r>
    </w:p>
    <w:p>
      <w:r>
        <w:rPr>
          <w:b/>
        </w:rPr>
        <w:t xml:space="preserve">21 </w:t>
      </w:r>
      <w:r>
        <w:t xml:space="preserve">Because there is a man whose toil is in wisdom and knowledge and courage, and to a man who did not toil in it he will give his portion; and this too is vanity and a great evil.</w:t>
      </w:r>
      <w:r>
        <w:rPr>
          <w:rStyle w:val="FootnoteReference"/>
        </w:rPr>
        <w:footnoteReference w:id="11129"/>
      </w:r>
    </w:p>
    <w:p>
      <w:r>
        <w:rPr>
          <w:b/>
        </w:rPr>
        <w:t xml:space="preserve">22 </w:t>
      </w:r>
      <w:r>
        <w:t xml:space="preserve">For what comes to a man in all his toil and in the choice of his heart in which he toils under the sun?</w:t>
      </w:r>
      <w:r>
        <w:rPr>
          <w:rStyle w:val="FootnoteReference"/>
        </w:rPr>
        <w:footnoteReference w:id="11130"/>
      </w:r>
      <w:r>
        <w:t xml:space="preserve"/>
      </w:r>
    </w:p>
    <w:p>
      <w:r>
        <w:rPr>
          <w:b/>
        </w:rPr>
        <w:t xml:space="preserve">23 </w:t>
      </w:r>
      <w:r>
        <w:t xml:space="preserve">Because all his days are pains, and his distraction is wrath; even in the night his heart</w:t>
      </w:r>
      <w:r>
        <w:rPr>
          <w:rStyle w:val="FootnoteReference"/>
        </w:rPr>
        <w:footnoteReference w:id="11131"/>
      </w:r>
      <w:r>
        <w:t xml:space="preserve"> does not sleep, and this too is vanity.</w:t>
      </w:r>
      <w:r>
        <w:rPr>
          <w:rStyle w:val="FootnoteReference"/>
        </w:rPr>
        <w:footnoteReference w:id="11132"/>
      </w:r>
    </w:p>
    <w:p>
      <w:r>
        <w:rPr>
          <w:b/>
        </w:rPr>
        <w:t xml:space="preserve">24 </w:t>
      </w:r>
      <w:r>
        <w:t xml:space="preserve">There is no good in man except that he should eat and drink and show his soul good in his toil</w:t>
      </w:r>
      <w:r>
        <w:rPr>
          <w:rStyle w:val="FootnoteReference"/>
        </w:rPr>
        <w:footnoteReference w:id="11133"/>
      </w:r>
      <w:r>
        <w:t xml:space="preserve">; and this too I saw, that it</w:t>
      </w:r>
      <w:r>
        <w:rPr>
          <w:rStyle w:val="FootnoteReference"/>
        </w:rPr>
        <w:footnoteReference w:id="11134"/>
      </w:r>
      <w:r>
        <w:t xml:space="preserve"> is from the hand of God.</w:t>
      </w:r>
    </w:p>
    <w:p>
      <w:r>
        <w:rPr>
          <w:b/>
        </w:rPr>
        <w:t xml:space="preserve">25 </w:t>
      </w:r>
      <w:r>
        <w:t xml:space="preserve">For who will eat and who will spare apart from him?</w:t>
      </w:r>
    </w:p>
    <w:p>
      <w:r>
        <w:rPr>
          <w:b/>
        </w:rPr>
        <w:t xml:space="preserve">26 </w:t>
      </w:r>
      <w:r>
        <w:t xml:space="preserve">Because to the man who is good before him he gave wisdom</w:t>
      </w:r>
      <w:r>
        <w:rPr>
          <w:rStyle w:val="FootnoteReference"/>
        </w:rPr>
        <w:footnoteReference w:id="11135"/>
      </w:r>
      <w:r>
        <w:t xml:space="preserve"> and knowledge and gladness, but to the sinner he gave distraction, to add and to gather in order to give to one good before the face of God</w:t>
      </w:r>
      <w:r>
        <w:rPr>
          <w:rStyle w:val="FootnoteReference"/>
        </w:rPr>
        <w:footnoteReference w:id="11136"/>
      </w:r>
      <w:r>
        <w:t xml:space="preserve">; because this too is vanity and choice of spirit.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For all things there is a time, and a season for every matter under</w:t>
      </w:r>
      <w:r>
        <w:rPr>
          <w:rStyle w:val="FootnoteReference"/>
        </w:rPr>
        <w:footnoteReference w:id="11137"/>
      </w:r>
      <w:r>
        <w:t xml:space="preserve"> heaven.</w:t>
      </w:r>
    </w:p>
    <w:p>
      <w:r>
        <w:rPr>
          <w:b/>
        </w:rPr>
        <w:t xml:space="preserve">2 </w:t>
      </w:r>
      <w:r>
        <w:t xml:space="preserve">A time to bear and a time to die; a time to plant and a time to pull up what is planted.</w:t>
      </w:r>
      <w:r>
        <w:rPr>
          <w:rStyle w:val="FootnoteReference"/>
        </w:rPr>
        <w:footnoteReference w:id="11138"/>
      </w:r>
      <w:r>
        <w:t xml:space="preserve"/>
      </w:r>
      <w:r>
        <w:rPr>
          <w:rStyle w:val="FootnoteReference"/>
        </w:rPr>
        <w:footnoteReference w:id="11139"/>
      </w:r>
    </w:p>
    <w:p>
      <w:r>
        <w:rPr>
          <w:b/>
        </w:rPr>
        <w:t xml:space="preserve">3 </w:t>
      </w:r>
      <w:r>
        <w:t xml:space="preserve">A time to kill and a time to heal; a time to tear down and a time to build.</w:t>
      </w:r>
      <w:r>
        <w:rPr>
          <w:rStyle w:val="FootnoteReference"/>
        </w:rPr>
        <w:footnoteReference w:id="11140"/>
      </w:r>
      <w:r>
        <w:t xml:space="preserve"/>
      </w:r>
      <w:r>
        <w:rPr>
          <w:rStyle w:val="FootnoteReference"/>
        </w:rPr>
        <w:footnoteReference w:id="11141"/>
      </w:r>
    </w:p>
    <w:p>
      <w:r>
        <w:rPr>
          <w:b/>
        </w:rPr>
        <w:t xml:space="preserve">4 </w:t>
      </w:r>
      <w:r>
        <w:t xml:space="preserve">A time to weep and a time to laugh; a time to mourn and a time to dance.</w:t>
      </w:r>
      <w:r>
        <w:rPr>
          <w:rStyle w:val="FootnoteReference"/>
        </w:rPr>
        <w:footnoteReference w:id="11142"/>
      </w:r>
      <w:r>
        <w:t xml:space="preserve"/>
      </w:r>
      <w:r>
        <w:rPr>
          <w:rStyle w:val="FootnoteReference"/>
        </w:rPr>
        <w:footnoteReference w:id="11143"/>
      </w:r>
    </w:p>
    <w:p>
      <w:r>
        <w:rPr>
          <w:b/>
        </w:rPr>
        <w:t xml:space="preserve">5 </w:t>
      </w:r>
      <w:r>
        <w:t xml:space="preserve">A time to throw stones and a time to gather stones; a time to embrace and a time to keep far from embracing.</w:t>
      </w:r>
      <w:r>
        <w:rPr>
          <w:rStyle w:val="FootnoteReference"/>
        </w:rPr>
        <w:footnoteReference w:id="11144"/>
      </w:r>
      <w:r>
        <w:t xml:space="preserve"/>
      </w:r>
      <w:r>
        <w:rPr>
          <w:rStyle w:val="FootnoteReference"/>
        </w:rPr>
        <w:footnoteReference w:id="11145"/>
      </w:r>
    </w:p>
    <w:p>
      <w:r>
        <w:rPr>
          <w:b/>
        </w:rPr>
        <w:t xml:space="preserve">6 </w:t>
      </w:r>
      <w:r>
        <w:t xml:space="preserve">A time to seek and a time to lose; a time to keep and a time to cast out.</w:t>
      </w:r>
      <w:r>
        <w:rPr>
          <w:rStyle w:val="FootnoteReference"/>
        </w:rPr>
        <w:footnoteReference w:id="11146"/>
      </w:r>
      <w:r>
        <w:t xml:space="preserve"/>
      </w:r>
      <w:r>
        <w:rPr>
          <w:rStyle w:val="FootnoteReference"/>
        </w:rPr>
        <w:footnoteReference w:id="11147"/>
      </w:r>
    </w:p>
    <w:p>
      <w:r>
        <w:rPr>
          <w:b/>
        </w:rPr>
        <w:t xml:space="preserve">7 </w:t>
      </w:r>
      <w:r>
        <w:t xml:space="preserve">A time to tear and a time to sew; a time to be silent and a time to speak.</w:t>
      </w:r>
      <w:r>
        <w:rPr>
          <w:rStyle w:val="FootnoteReference"/>
        </w:rPr>
        <w:footnoteReference w:id="11148"/>
      </w:r>
      <w:r>
        <w:t xml:space="preserve"/>
      </w:r>
      <w:r>
        <w:rPr>
          <w:rStyle w:val="FootnoteReference"/>
        </w:rPr>
        <w:footnoteReference w:id="11149"/>
      </w:r>
    </w:p>
    <w:p>
      <w:r>
        <w:rPr>
          <w:b/>
        </w:rPr>
        <w:t xml:space="preserve">8 </w:t>
      </w:r>
      <w:r>
        <w:t xml:space="preserve">A time to love and a time to hate; a time of war and a time of peace.</w:t>
      </w:r>
      <w:r>
        <w:rPr>
          <w:rStyle w:val="FootnoteReference"/>
        </w:rPr>
        <w:footnoteReference w:id="11150"/>
      </w:r>
      <w:r>
        <w:t xml:space="preserve"/>
      </w:r>
      <w:r>
        <w:rPr>
          <w:rStyle w:val="FootnoteReference"/>
        </w:rPr>
        <w:footnoteReference w:id="11151"/>
      </w:r>
    </w:p>
    <w:p>
      <w:r>
        <w:rPr>
          <w:b/>
        </w:rPr>
        <w:t xml:space="preserve">9 </w:t>
      </w:r>
      <w:r>
        <w:t xml:space="preserve">What surplus is there to the doer in the things in which he toils?</w:t>
      </w:r>
      <w:r>
        <w:rPr>
          <w:rStyle w:val="FootnoteReference"/>
        </w:rPr>
        <w:footnoteReference w:id="11152"/>
      </w:r>
      <w:r>
        <w:t xml:space="preserve"/>
      </w:r>
    </w:p>
    <w:p>
      <w:r>
        <w:rPr>
          <w:b/>
        </w:rPr>
        <w:t xml:space="preserve">10 </w:t>
      </w:r>
      <w:r>
        <w:t xml:space="preserve">I saw the distraction which God gave to the sons of man to be distracted in it.</w:t>
      </w:r>
      <w:r>
        <w:rPr>
          <w:rStyle w:val="FootnoteReference"/>
        </w:rPr>
        <w:footnoteReference w:id="11153"/>
      </w:r>
      <w:r>
        <w:t xml:space="preserve"/>
      </w:r>
    </w:p>
    <w:p>
      <w:r>
        <w:rPr>
          <w:b/>
        </w:rPr>
        <w:t xml:space="preserve">11 </w:t>
      </w:r>
      <w:r>
        <w:t xml:space="preserve">Together he made all things beautiful in its time, and also</w:t>
      </w:r>
      <w:r>
        <w:rPr>
          <w:rStyle w:val="FootnoteReference"/>
        </w:rPr>
        <w:footnoteReference w:id="11154"/>
      </w:r>
      <w:r>
        <w:t xml:space="preserve"> together he gave the age in their heart, so that man might not find the work that God made from the beginning even to the end.</w:t>
      </w:r>
      <w:r>
        <w:rPr>
          <w:rStyle w:val="FootnoteReference"/>
        </w:rPr>
        <w:footnoteReference w:id="11155"/>
      </w:r>
    </w:p>
    <w:p>
      <w:r>
        <w:rPr>
          <w:b/>
        </w:rPr>
        <w:t xml:space="preserve">12 </w:t>
      </w:r>
      <w:r>
        <w:t xml:space="preserve">I knew there is no good in them except to rejoice and to do good in his life.</w:t>
      </w:r>
    </w:p>
    <w:p>
      <w:r>
        <w:rPr>
          <w:b/>
        </w:rPr>
        <w:t xml:space="preserve">13 </w:t>
      </w:r>
      <w:r>
        <w:t xml:space="preserve">And also every man who eats and drinks and sees good in all his toil, it is a gift of God.</w:t>
      </w:r>
    </w:p>
    <w:p>
      <w:r>
        <w:rPr>
          <w:b/>
        </w:rPr>
        <w:t xml:space="preserve">14 </w:t>
      </w:r>
      <w:r>
        <w:t xml:space="preserve">I knew that all things whatever God made, these will be forever; on it there is nothing</w:t>
      </w:r>
      <w:r>
        <w:rPr>
          <w:rStyle w:val="FootnoteReference"/>
        </w:rPr>
        <w:footnoteReference w:id="11156"/>
      </w:r>
      <w:r>
        <w:t xml:space="preserve"> to add and from it nothing to take away, and God made it so that they may fear before his face.</w:t>
      </w:r>
    </w:p>
    <w:p>
      <w:r>
        <w:rPr>
          <w:b/>
        </w:rPr>
        <w:t xml:space="preserve">15 </w:t>
      </w:r>
      <w:r>
        <w:t xml:space="preserve">What came to be already is, and what is to come to be already happened, and God will seek what is pursued.</w:t>
      </w:r>
    </w:p>
    <w:p>
      <w:r>
        <w:rPr>
          <w:b/>
        </w:rPr>
        <w:t xml:space="preserve">16 </w:t>
      </w:r>
      <w:r>
        <w:t xml:space="preserve">And further, I saw under the sun: in the place of judgment, there was the impious one; and in the place of the righteous, there was the impious one.</w:t>
      </w:r>
      <w:r>
        <w:rPr>
          <w:rStyle w:val="FootnoteReference"/>
        </w:rPr>
        <w:footnoteReference w:id="11157"/>
      </w:r>
    </w:p>
    <w:p>
      <w:r>
        <w:rPr>
          <w:b/>
        </w:rPr>
        <w:t xml:space="preserve">17 </w:t>
      </w:r>
      <w:r>
        <w:t xml:space="preserve">I said</w:t>
      </w:r>
      <w:r>
        <w:rPr>
          <w:rStyle w:val="FootnoteReference"/>
        </w:rPr>
        <w:footnoteReference w:id="11158"/>
      </w:r>
      <w:r>
        <w:t xml:space="preserve"> in my heart, "The righteous and the ungodly God will judge, because there is a season for every matter and over every work."</w:t>
      </w:r>
      <w:r>
        <w:rPr>
          <w:rStyle w:val="FootnoteReference"/>
        </w:rPr>
        <w:footnoteReference w:id="11159"/>
      </w:r>
    </w:p>
    <w:p>
      <w:r>
        <w:rPr>
          <w:b/>
        </w:rPr>
        <w:t xml:space="preserve">18 </w:t>
      </w:r>
      <w:r>
        <w:t xml:space="preserve">There I said in my heart about the speech of the sons of man, that God</w:t>
      </w:r>
      <w:r>
        <w:rPr>
          <w:rStyle w:val="FootnoteReference"/>
        </w:rPr>
        <w:footnoteReference w:id="11160"/>
      </w:r>
      <w:r>
        <w:t xml:space="preserve"> will sort them out and show that they are beasts, even they themselves.</w:t>
      </w:r>
      <w:r>
        <w:rPr>
          <w:rStyle w:val="FootnoteReference"/>
        </w:rPr>
        <w:footnoteReference w:id="11161"/>
      </w:r>
    </w:p>
    <w:p>
      <w:r>
        <w:rPr>
          <w:b/>
        </w:rPr>
        <w:t xml:space="preserve">19 </w:t>
      </w:r>
      <w:r>
        <w:t xml:space="preserve">Because the meeting of the sons of man and the meeting of the beast are one meeting for them; as the</w:t>
      </w:r>
      <w:r>
        <w:rPr>
          <w:rStyle w:val="FootnoteReference"/>
        </w:rPr>
        <w:footnoteReference w:id="11162"/>
      </w:r>
      <w:r>
        <w:t xml:space="preserve"> death of this one, so the death of that one, and one spirit is in all, and what did man have more than beast? Nothing, because all is vanity.</w:t>
      </w:r>
      <w:r>
        <w:rPr>
          <w:rStyle w:val="FootnoteReference"/>
        </w:rPr>
        <w:footnoteReference w:id="11163"/>
      </w:r>
    </w:p>
    <w:p>
      <w:r>
        <w:rPr>
          <w:b/>
        </w:rPr>
        <w:t xml:space="preserve">20 </w:t>
      </w:r>
      <w:r>
        <w:t xml:space="preserve">All go to one place; all became from dust, and all return to dust.</w:t>
      </w:r>
    </w:p>
    <w:p>
      <w:r>
        <w:rPr>
          <w:b/>
        </w:rPr>
        <w:t xml:space="preserve">21 </w:t>
      </w:r>
      <w:r>
        <w:t xml:space="preserve">And who knows whether the spirit of the sons of man goes upward, and the spirit of the beast goes down to earth?</w:t>
      </w:r>
      <w:r>
        <w:rPr>
          <w:rStyle w:val="FootnoteReference"/>
        </w:rPr>
        <w:footnoteReference w:id="11164"/>
      </w:r>
      <w:r>
        <w:t xml:space="preserve"/>
      </w:r>
    </w:p>
    <w:p>
      <w:r>
        <w:rPr>
          <w:b/>
        </w:rPr>
        <w:t xml:space="preserve">22 </w:t>
      </w:r>
      <w:r>
        <w:t xml:space="preserve">And I saw there is no good except that man will rejoice in his works, because this is his portion; for who will bring him to see what will happen after him?</w:t>
      </w:r>
      <w:r>
        <w:rPr>
          <w:rStyle w:val="FootnoteReference"/>
        </w:rPr>
        <w:footnoteReference w:id="11165"/>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I turned and saw all the slanders happening under the sun, and look, the tears</w:t>
      </w:r>
      <w:r>
        <w:rPr>
          <w:rStyle w:val="FootnoteReference"/>
        </w:rPr>
        <w:footnoteReference w:id="11166"/>
      </w:r>
      <w:r>
        <w:t xml:space="preserve"> of those slandered, and there is no comforter for them, and from the hand of those slandering them is strength, and there is no comforter for them.</w:t>
      </w:r>
      <w:r>
        <w:rPr>
          <w:rStyle w:val="FootnoteReference"/>
        </w:rPr>
        <w:footnoteReference w:id="11167"/>
      </w:r>
    </w:p>
    <w:p>
      <w:r>
        <w:rPr>
          <w:b/>
        </w:rPr>
        <w:t xml:space="preserve">2 </w:t>
      </w:r>
      <w:r>
        <w:t xml:space="preserve">And I praised the dead, those already having died, above the living who are still alive until now.</w:t>
      </w:r>
    </w:p>
    <w:p>
      <w:r>
        <w:rPr>
          <w:b/>
        </w:rPr>
        <w:t xml:space="preserve">3 </w:t>
      </w:r>
      <w:r>
        <w:t xml:space="preserve">And better than both these is the one who has not yet come to be, who did not see the evil work done under the sun.</w:t>
      </w:r>
      <w:r>
        <w:rPr>
          <w:rStyle w:val="FootnoteReference"/>
        </w:rPr>
        <w:footnoteReference w:id="11168"/>
      </w:r>
      <w:r>
        <w:t xml:space="preserve"/>
      </w:r>
      <w:r>
        <w:rPr>
          <w:rStyle w:val="FootnoteReference"/>
        </w:rPr>
        <w:footnoteReference w:id="11169"/>
      </w:r>
    </w:p>
    <w:p>
      <w:r>
        <w:rPr>
          <w:b/>
        </w:rPr>
        <w:t xml:space="preserve">4 </w:t>
      </w:r>
      <w:r>
        <w:t xml:space="preserve">And I saw all the toil and all the manliness of the work, that it is jealousy of a man from his companion; and this too is vanity and choice of spirit.</w:t>
      </w:r>
      <w:r>
        <w:rPr>
          <w:rStyle w:val="FootnoteReference"/>
        </w:rPr>
        <w:footnoteReference w:id="11170"/>
      </w:r>
    </w:p>
    <w:p>
      <w:r>
        <w:rPr>
          <w:b/>
        </w:rPr>
        <w:t xml:space="preserve">5 </w:t>
      </w:r>
      <w:r>
        <w:t xml:space="preserve">A fool</w:t>
      </w:r>
      <w:r>
        <w:rPr>
          <w:rStyle w:val="FootnoteReference"/>
        </w:rPr>
        <w:footnoteReference w:id="11171"/>
      </w:r>
      <w:r>
        <w:t xml:space="preserve"> folded his hands and ate his own flesh.</w:t>
      </w:r>
    </w:p>
    <w:p>
      <w:r>
        <w:rPr>
          <w:b/>
        </w:rPr>
        <w:t xml:space="preserve">6 </w:t>
      </w:r>
      <w:r>
        <w:t xml:space="preserve">Better one handful of rest than the filling of two hands with toil and choice of spirit.</w:t>
      </w:r>
      <w:r>
        <w:rPr>
          <w:rStyle w:val="FootnoteReference"/>
        </w:rPr>
        <w:footnoteReference w:id="11172"/>
      </w:r>
      <w:r>
        <w:t xml:space="preserve"/>
      </w:r>
    </w:p>
    <w:p>
      <w:r>
        <w:rPr>
          <w:b/>
        </w:rPr>
        <w:t xml:space="preserve">7 </w:t>
      </w:r>
      <w:r>
        <w:t xml:space="preserve">And I turned and saw vanity under the sun:</w:t>
      </w:r>
    </w:p>
    <w:p>
      <w:r>
        <w:rPr>
          <w:b/>
        </w:rPr>
        <w:t xml:space="preserve">8 </w:t>
      </w:r>
      <w:r>
        <w:t xml:space="preserve">There is one and there is no second, and indeed there is no son or brother to him, and there is no end to all his toil; yet his eye is not filled with wealth. "And for whom do I toil and deprive my soul from goodness?" And this too is vanity and an evil distraction.</w:t>
      </w:r>
      <w:r>
        <w:rPr>
          <w:rStyle w:val="FootnoteReference"/>
        </w:rPr>
        <w:footnoteReference w:id="11173"/>
      </w:r>
    </w:p>
    <w:p>
      <w:r>
        <w:rPr>
          <w:b/>
        </w:rPr>
        <w:t xml:space="preserve">9 </w:t>
      </w:r>
      <w:r>
        <w:t xml:space="preserve">The two are good above the one, because they have a good reward in their toil.</w:t>
      </w:r>
      <w:r>
        <w:rPr>
          <w:rStyle w:val="FootnoteReference"/>
        </w:rPr>
        <w:footnoteReference w:id="11174"/>
      </w:r>
      <w:r>
        <w:t xml:space="preserve"/>
      </w:r>
      <w:r>
        <w:rPr>
          <w:rStyle w:val="FootnoteReference"/>
        </w:rPr>
        <w:footnoteReference w:id="11175"/>
      </w:r>
    </w:p>
    <w:p>
      <w:r>
        <w:rPr>
          <w:b/>
        </w:rPr>
        <w:t xml:space="preserve">10 </w:t>
      </w:r>
      <w:r>
        <w:t xml:space="preserve">Because if they fall, the one will raise his partner, and woe to the one when he falls and there is no second to raise him.</w:t>
      </w:r>
      <w:r>
        <w:rPr>
          <w:rStyle w:val="FootnoteReference"/>
        </w:rPr>
        <w:footnoteReference w:id="11176"/>
      </w:r>
    </w:p>
    <w:p>
      <w:r>
        <w:rPr>
          <w:b/>
        </w:rPr>
        <w:t xml:space="preserve">11 </w:t>
      </w:r>
      <w:r>
        <w:t xml:space="preserve">And also if two lie down, there is warmth to them; but the one, how will he be warmed?</w:t>
      </w:r>
      <w:r>
        <w:rPr>
          <w:rStyle w:val="FootnoteReference"/>
        </w:rPr>
        <w:footnoteReference w:id="11177"/>
      </w:r>
      <w:r>
        <w:t xml:space="preserve"/>
      </w:r>
    </w:p>
    <w:p>
      <w:r>
        <w:rPr>
          <w:b/>
        </w:rPr>
        <w:t xml:space="preserve">12 </w:t>
      </w:r>
      <w:r>
        <w:t xml:space="preserve">And if the one overpowers, the two will stand against him, and the threefold cord will not quickly be torn apart.</w:t>
      </w:r>
      <w:r>
        <w:rPr>
          <w:rStyle w:val="FootnoteReference"/>
        </w:rPr>
        <w:footnoteReference w:id="11178"/>
      </w:r>
      <w:r>
        <w:t xml:space="preserve"/>
      </w:r>
    </w:p>
    <w:p>
      <w:r>
        <w:rPr>
          <w:b/>
        </w:rPr>
        <w:t xml:space="preserve">13 </w:t>
      </w:r>
      <w:r>
        <w:t xml:space="preserve">Better a poor and wise child than an old and foolish king who no longer knew how to heed.</w:t>
      </w:r>
      <w:r>
        <w:rPr>
          <w:rStyle w:val="FootnoteReference"/>
        </w:rPr>
        <w:footnoteReference w:id="11179"/>
      </w:r>
      <w:r>
        <w:t xml:space="preserve"/>
      </w:r>
    </w:p>
    <w:p>
      <w:r>
        <w:rPr>
          <w:b/>
        </w:rPr>
        <w:t xml:space="preserve">14 </w:t>
      </w:r>
      <w:r>
        <w:t xml:space="preserve">Because from the house of the prisoners he will come out to reign, because indeed in his kingdom he was born poor.</w:t>
      </w:r>
      <w:r>
        <w:rPr>
          <w:rStyle w:val="FootnoteReference"/>
        </w:rPr>
        <w:footnoteReference w:id="11180"/>
      </w:r>
      <w:r>
        <w:t xml:space="preserve"/>
      </w:r>
    </w:p>
    <w:p>
      <w:r>
        <w:rPr>
          <w:b/>
        </w:rPr>
        <w:t xml:space="preserve">15 </w:t>
      </w:r>
      <w:r>
        <w:t xml:space="preserve">I saw all the living who walk under the sun with the second young man who will stand in his place.</w:t>
      </w:r>
      <w:r>
        <w:rPr>
          <w:rStyle w:val="FootnoteReference"/>
        </w:rPr>
        <w:footnoteReference w:id="11181"/>
      </w:r>
      <w:r>
        <w:t xml:space="preserve"/>
      </w:r>
    </w:p>
    <w:p>
      <w:r>
        <w:rPr>
          <w:b/>
        </w:rPr>
        <w:t xml:space="preserve">16 </w:t>
      </w:r>
      <w:r>
        <w:t xml:space="preserve">There is no end</w:t>
      </w:r>
      <w:r>
        <w:rPr>
          <w:rStyle w:val="FootnoteReference"/>
        </w:rPr>
        <w:footnoteReference w:id="11182"/>
      </w:r>
      <w:r>
        <w:t xml:space="preserve"> to all the people, to all who were before them; yet those last will not rejoice in him, because this too is vanity and choice of spirit.</w:t>
      </w:r>
      <w:r>
        <w:rPr>
          <w:rStyle w:val="FootnoteReference"/>
        </w:rPr>
        <w:footnoteReference w:id="11183"/>
      </w:r>
    </w:p>
    <w:p>
      <w:r>
        <w:rPr>
          <w:b/>
        </w:rPr>
        <w:t xml:space="preserve">17 </w:t>
      </w:r>
      <w:r>
        <w:t xml:space="preserve">Guard your foot whenever you go into the house of God, and draw near to hear rather than to give the sacrifice of fools, for they are not knowing to do evil.</w:t>
      </w:r>
      <w:r>
        <w:rPr>
          <w:rStyle w:val="FootnoteReference"/>
        </w:rPr>
        <w:footnoteReference w:id="1118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Do not hurry with your mouth, and let not your heart hasten to bring out a word before the face of God, because God is in heaven and you are on earth; on this let your words be few.</w:t>
      </w:r>
      <w:r>
        <w:rPr>
          <w:rStyle w:val="FootnoteReference"/>
        </w:rPr>
        <w:footnoteReference w:id="11185"/>
      </w:r>
    </w:p>
    <w:p>
      <w:r>
        <w:rPr>
          <w:b/>
        </w:rPr>
        <w:t xml:space="preserve">2 </w:t>
      </w:r>
      <w:r>
        <w:t xml:space="preserve">Because a dream comes in the multitude of distraction, and the voice of a fool in the multitude of words.</w:t>
      </w:r>
      <w:r>
        <w:rPr>
          <w:rStyle w:val="FootnoteReference"/>
        </w:rPr>
        <w:footnoteReference w:id="11186"/>
      </w:r>
      <w:r>
        <w:t xml:space="preserve"/>
      </w:r>
    </w:p>
    <w:p>
      <w:r>
        <w:rPr>
          <w:b/>
        </w:rPr>
        <w:t xml:space="preserve">3 </w:t>
      </w:r>
      <w:r>
        <w:t xml:space="preserve">Just as if you vow a vow to God, do not delay to pay it, because there is no pleasure in fools; whatever you vow, pay.</w:t>
      </w:r>
    </w:p>
    <w:p>
      <w:r>
        <w:rPr>
          <w:b/>
        </w:rPr>
        <w:t xml:space="preserve">4 </w:t>
      </w:r>
      <w:r>
        <w:t xml:space="preserve">Better that you not vow than that you vow and not pay.</w:t>
      </w:r>
    </w:p>
    <w:p>
      <w:r>
        <w:rPr>
          <w:b/>
        </w:rPr>
        <w:t xml:space="preserve">5 </w:t>
      </w:r>
      <w:r>
        <w:t xml:space="preserve">Do not give your mouth to make your flesh sin, and do not say before the face of God that it was ignorance, lest God grow angry at your voice and ruin the works of your hands.</w:t>
      </w:r>
      <w:r>
        <w:rPr>
          <w:rStyle w:val="FootnoteReference"/>
        </w:rPr>
        <w:footnoteReference w:id="11187"/>
      </w:r>
    </w:p>
    <w:p>
      <w:r>
        <w:rPr>
          <w:b/>
        </w:rPr>
        <w:t xml:space="preserve">6 </w:t>
      </w:r>
      <w:r>
        <w:t xml:space="preserve">Because in the multitude of dreams and vanities and many words, instead fear God.</w:t>
      </w:r>
    </w:p>
    <w:p>
      <w:r>
        <w:rPr>
          <w:b/>
        </w:rPr>
        <w:t xml:space="preserve">7 </w:t>
      </w:r>
      <w:r>
        <w:t xml:space="preserve">If you see slander of a poor man and robbery of judgment and righteousness in a province, do not marvel over the matter, because a high one watches over a high one, and high ones over them.</w:t>
      </w:r>
      <w:r>
        <w:rPr>
          <w:rStyle w:val="FootnoteReference"/>
        </w:rPr>
        <w:footnoteReference w:id="11188"/>
      </w:r>
    </w:p>
    <w:p>
      <w:r>
        <w:rPr>
          <w:b/>
        </w:rPr>
        <w:t xml:space="preserve">8 </w:t>
      </w:r>
      <w:r>
        <w:t xml:space="preserve">And land's surplus in everything is king over cultivated field.</w:t>
      </w:r>
    </w:p>
    <w:p>
      <w:r>
        <w:rPr>
          <w:b/>
        </w:rPr>
        <w:t xml:space="preserve">9 </w:t>
      </w:r>
      <w:r>
        <w:t xml:space="preserve">One loving silver will not be filled with silver, and who loved produce in their abundance? This too is vanity.</w:t>
      </w:r>
      <w:r>
        <w:rPr>
          <w:rStyle w:val="FootnoteReference"/>
        </w:rPr>
        <w:footnoteReference w:id="11189"/>
      </w:r>
      <w:r>
        <w:t xml:space="preserve"/>
      </w:r>
    </w:p>
    <w:p>
      <w:r>
        <w:rPr>
          <w:b/>
        </w:rPr>
        <w:t xml:space="preserve">10 </w:t>
      </w:r>
      <w:r>
        <w:t xml:space="preserve">In the multitude of good things, the eaters of it multiplied, and what advantage is there for its owner except seeing with his eyes?</w:t>
      </w:r>
      <w:r>
        <w:rPr>
          <w:rStyle w:val="FootnoteReference"/>
        </w:rPr>
        <w:footnoteReference w:id="11190"/>
      </w:r>
    </w:p>
    <w:p>
      <w:r>
        <w:rPr>
          <w:b/>
        </w:rPr>
        <w:t xml:space="preserve">11 </w:t>
      </w:r>
      <w:r>
        <w:t xml:space="preserve">The sleep of a servant is sweet, whether little or much he eats; but the fullness of a rich man will not let him sleep.</w:t>
      </w:r>
      <w:r>
        <w:rPr>
          <w:rStyle w:val="FootnoteReference"/>
        </w:rPr>
        <w:footnoteReference w:id="11191"/>
      </w:r>
      <w:r>
        <w:t xml:space="preserve"/>
      </w:r>
    </w:p>
    <w:p>
      <w:r>
        <w:rPr>
          <w:b/>
        </w:rPr>
        <w:t xml:space="preserve">12 </w:t>
      </w:r>
      <w:r>
        <w:t xml:space="preserve">There is a sickness I saw under the sun: wealth kept by its owner for his harm.</w:t>
      </w:r>
      <w:r>
        <w:rPr>
          <w:rStyle w:val="FootnoteReference"/>
        </w:rPr>
        <w:footnoteReference w:id="11192"/>
      </w:r>
      <w:r>
        <w:t xml:space="preserve"/>
      </w:r>
    </w:p>
    <w:p>
      <w:r>
        <w:rPr>
          <w:b/>
        </w:rPr>
        <w:t xml:space="preserve">13 </w:t>
      </w:r>
      <w:r>
        <w:t xml:space="preserve">And that wealth will perish in an evil distraction, and he begot a son and there is nothing in his hand.</w:t>
      </w:r>
      <w:r>
        <w:rPr>
          <w:rStyle w:val="FootnoteReference"/>
        </w:rPr>
        <w:footnoteReference w:id="11193"/>
      </w:r>
      <w:r>
        <w:t xml:space="preserve"/>
      </w:r>
    </w:p>
    <w:p>
      <w:r>
        <w:rPr>
          <w:b/>
        </w:rPr>
        <w:t xml:space="preserve">14 </w:t>
      </w:r>
      <w:r>
        <w:t xml:space="preserve">As he came out from his mother's womb, naked he will return to go as he came, and he will take nothing in his toil to go in his hand.</w:t>
      </w:r>
    </w:p>
    <w:p>
      <w:r>
        <w:rPr>
          <w:b/>
        </w:rPr>
        <w:t xml:space="preserve">15 </w:t>
      </w:r>
      <w:r>
        <w:t xml:space="preserve">And this too is an evil sickness: just as he came, so he also will depart, and what surplus to him because he toils for wind?</w:t>
      </w:r>
      <w:r>
        <w:rPr>
          <w:rStyle w:val="FootnoteReference"/>
        </w:rPr>
        <w:footnoteReference w:id="11194"/>
      </w:r>
    </w:p>
    <w:p>
      <w:r>
        <w:rPr>
          <w:b/>
        </w:rPr>
        <w:t xml:space="preserve">16 </w:t>
      </w:r>
      <w:r>
        <w:t xml:space="preserve">And indeed all his days in darkness and mourning and much wrath and sickness and bile.</w:t>
      </w:r>
    </w:p>
    <w:p>
      <w:r>
        <w:rPr>
          <w:b/>
        </w:rPr>
        <w:t xml:space="preserve">17 </w:t>
      </w:r>
      <w:r>
        <w:t xml:space="preserve">Look, what I saw good, what is beautiful is to eat and to drink and to see goodness in all his toil with which he toils under the sun, the number of days of his life which God gave him, because this is his portion.</w:t>
      </w:r>
      <w:r>
        <w:rPr>
          <w:rStyle w:val="FootnoteReference"/>
        </w:rPr>
        <w:footnoteReference w:id="11195"/>
      </w:r>
    </w:p>
    <w:p>
      <w:r>
        <w:rPr>
          <w:b/>
        </w:rPr>
        <w:t xml:space="preserve">18 </w:t>
      </w:r>
      <w:r>
        <w:t xml:space="preserve">And indeed every man to whom God gave wealth and possessions and empowered him to eat from it and to take his portion and rejoice in his toil, this is a gift of God.</w:t>
      </w:r>
      <w:r>
        <w:rPr>
          <w:rStyle w:val="FootnoteReference"/>
        </w:rPr>
        <w:footnoteReference w:id="11196"/>
      </w:r>
    </w:p>
    <w:p>
      <w:r>
        <w:rPr>
          <w:b/>
        </w:rPr>
        <w:t xml:space="preserve">19 </w:t>
      </w:r>
      <w:r>
        <w:t xml:space="preserve">Because he will not remember many days of his life, because God distracts him in the gladness of his heart.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There is an evil I saw under the sun, and it is much upon man.</w:t>
      </w:r>
      <w:r>
        <w:rPr>
          <w:rStyle w:val="FootnoteReference"/>
        </w:rPr>
        <w:footnoteReference w:id="11197"/>
      </w:r>
      <w:r>
        <w:t xml:space="preserve"/>
      </w:r>
    </w:p>
    <w:p>
      <w:r>
        <w:rPr>
          <w:b/>
        </w:rPr>
        <w:t xml:space="preserve">2 </w:t>
      </w:r>
      <w:r>
        <w:t xml:space="preserve">A man</w:t>
      </w:r>
      <w:r>
        <w:rPr>
          <w:rStyle w:val="FootnoteReference"/>
        </w:rPr>
        <w:footnoteReference w:id="11198"/>
      </w:r>
      <w:r>
        <w:t xml:space="preserve"> to whom God gives wealth and possessions and glory, so that his soul lacks nothing of all he desires, yet God does not empower him to eat from it</w:t>
      </w:r>
      <w:r>
        <w:rPr>
          <w:rStyle w:val="FootnoteReference"/>
        </w:rPr>
        <w:footnoteReference w:id="11199"/>
      </w:r>
      <w:r>
        <w:t xml:space="preserve">, because a foreign man will eat it. This is vanity and grievous sickness.</w:t>
      </w:r>
    </w:p>
    <w:p>
      <w:r>
        <w:rPr>
          <w:b/>
        </w:rPr>
        <w:t xml:space="preserve">3 </w:t>
      </w:r>
      <w:r>
        <w:t xml:space="preserve">If a man</w:t>
      </w:r>
      <w:r>
        <w:rPr>
          <w:rStyle w:val="FootnoteReference"/>
        </w:rPr>
        <w:footnoteReference w:id="11200"/>
      </w:r>
      <w:r>
        <w:t xml:space="preserve"> should beget a hundred and live many years, and however many days of his years may be, and his soul is not filled from good, and indeed burial did not happen for him, I said the stillborn is better than he.</w:t>
      </w:r>
      <w:r>
        <w:rPr>
          <w:rStyle w:val="FootnoteReference"/>
        </w:rPr>
        <w:footnoteReference w:id="11201"/>
      </w:r>
    </w:p>
    <w:p>
      <w:r>
        <w:rPr>
          <w:b/>
        </w:rPr>
        <w:t xml:space="preserve">4 </w:t>
      </w:r>
      <w:r>
        <w:t xml:space="preserve">Because in vanity it came and in darkness it goes, and in darkness its name will be covered.</w:t>
      </w:r>
    </w:p>
    <w:p>
      <w:r>
        <w:rPr>
          <w:b/>
        </w:rPr>
        <w:t xml:space="preserve">5 </w:t>
      </w:r>
      <w:r>
        <w:t xml:space="preserve">And indeed it did not see the sun and did not know; rest is to this one more than to that one.</w:t>
      </w:r>
      <w:r>
        <w:rPr>
          <w:rStyle w:val="FootnoteReference"/>
        </w:rPr>
        <w:footnoteReference w:id="11202"/>
      </w:r>
      <w:r>
        <w:t xml:space="preserve"/>
      </w:r>
    </w:p>
    <w:p>
      <w:r>
        <w:rPr>
          <w:b/>
        </w:rPr>
        <w:t xml:space="preserve">6 </w:t>
      </w:r>
      <w:r>
        <w:t xml:space="preserve">And if he lived a thousand years twice over and did not see good, do not all go to one place?</w:t>
      </w:r>
    </w:p>
    <w:p>
      <w:r>
        <w:rPr>
          <w:b/>
        </w:rPr>
        <w:t xml:space="preserve">7 </w:t>
      </w:r>
      <w:r>
        <w:t xml:space="preserve">All the toil of man is for his mouth, yet the soul will not be filled.</w:t>
      </w:r>
      <w:r>
        <w:rPr>
          <w:rStyle w:val="FootnoteReference"/>
        </w:rPr>
        <w:footnoteReference w:id="11203"/>
      </w:r>
      <w:r>
        <w:t xml:space="preserve"/>
      </w:r>
    </w:p>
    <w:p>
      <w:r>
        <w:rPr>
          <w:b/>
        </w:rPr>
        <w:t xml:space="preserve">8 </w:t>
      </w:r>
      <w:r>
        <w:t xml:space="preserve">Because what surplus is there for the wise man over the fool? Because the poor man knows how to walk before life.</w:t>
      </w:r>
      <w:r>
        <w:rPr>
          <w:rStyle w:val="FootnoteReference"/>
        </w:rPr>
        <w:footnoteReference w:id="11204"/>
      </w:r>
      <w:r>
        <w:t xml:space="preserve"/>
      </w:r>
      <w:r>
        <w:rPr>
          <w:rStyle w:val="FootnoteReference"/>
        </w:rPr>
        <w:footnoteReference w:id="11205"/>
      </w:r>
    </w:p>
    <w:p>
      <w:r>
        <w:rPr>
          <w:b/>
        </w:rPr>
        <w:t xml:space="preserve">9 </w:t>
      </w:r>
      <w:r>
        <w:t xml:space="preserve">Better the sight of the eyes than the wandering of the soul; this too is vanity and choice of spirit.</w:t>
      </w:r>
      <w:r>
        <w:rPr>
          <w:rStyle w:val="FootnoteReference"/>
        </w:rPr>
        <w:footnoteReference w:id="11206"/>
      </w:r>
      <w:r>
        <w:t xml:space="preserve"/>
      </w:r>
      <w:r>
        <w:rPr>
          <w:rStyle w:val="FootnoteReference"/>
        </w:rPr>
        <w:footnoteReference w:id="11207"/>
      </w:r>
    </w:p>
    <w:p>
      <w:r>
        <w:rPr>
          <w:b/>
        </w:rPr>
        <w:t xml:space="preserve">10 </w:t>
      </w:r>
      <w:r>
        <w:t xml:space="preserve">Whatever came to be, its name already has been called, and it</w:t>
      </w:r>
      <w:r>
        <w:rPr>
          <w:rStyle w:val="FootnoteReference"/>
        </w:rPr>
        <w:footnoteReference w:id="11208"/>
      </w:r>
      <w:r>
        <w:t xml:space="preserve"> has been known what man is; and he will not be able to be judged with the one stronger than he.</w:t>
      </w:r>
      <w:r>
        <w:rPr>
          <w:rStyle w:val="FootnoteReference"/>
        </w:rPr>
        <w:footnoteReference w:id="11209"/>
      </w:r>
    </w:p>
    <w:p>
      <w:r>
        <w:rPr>
          <w:b/>
        </w:rPr>
        <w:t xml:space="preserve">11 </w:t>
      </w:r>
      <w:r>
        <w:t xml:space="preserve">Because there are many words multiplying vanity; what surplus is there to man?</w:t>
      </w:r>
      <w:r>
        <w:rPr>
          <w:rStyle w:val="FootnoteReference"/>
        </w:rPr>
        <w:footnoteReference w:id="11210"/>
      </w:r>
      <w:r>
        <w:t xml:space="preserve"/>
      </w:r>
    </w:p>
    <w:p>
      <w:r>
        <w:rPr>
          <w:b/>
        </w:rPr>
        <w:t xml:space="preserve">12 </w:t>
      </w:r>
      <w:r>
        <w:t xml:space="preserve">Because who knows what is good for man in life, the number of days of his vain life, and he made them in shadow? Because who will tell man what will be after him under the sun?</w:t>
      </w:r>
      <w:r>
        <w:rPr>
          <w:rStyle w:val="FootnoteReference"/>
        </w:rPr>
        <w:footnoteReference w:id="11211"/>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 good name is above good oil, and the day of death above the day of his birth.</w:t>
      </w:r>
      <w:r>
        <w:rPr>
          <w:rStyle w:val="FootnoteReference"/>
        </w:rPr>
        <w:footnoteReference w:id="11212"/>
      </w:r>
      <w:r>
        <w:t xml:space="preserve"/>
      </w:r>
    </w:p>
    <w:p>
      <w:r>
        <w:rPr>
          <w:b/>
        </w:rPr>
        <w:t xml:space="preserve">2 </w:t>
      </w:r>
      <w:r>
        <w:t xml:space="preserve">Better</w:t>
      </w:r>
      <w:r>
        <w:rPr>
          <w:rStyle w:val="FootnoteReference"/>
        </w:rPr>
        <w:footnoteReference w:id="11213"/>
      </w:r>
      <w:r>
        <w:t xml:space="preserve"> to go to the house of mourning than to go to the house of drinking, because this is the end of every man, and the living one will give it to his heart.</w:t>
      </w:r>
      <w:r>
        <w:rPr>
          <w:rStyle w:val="FootnoteReference"/>
        </w:rPr>
        <w:footnoteReference w:id="11214"/>
      </w:r>
    </w:p>
    <w:p>
      <w:r>
        <w:rPr>
          <w:b/>
        </w:rPr>
        <w:t xml:space="preserve">3 </w:t>
      </w:r>
      <w:r>
        <w:t xml:space="preserve">Better anger than laughter, because by the gloom of a face the heart will be made good.</w:t>
      </w:r>
      <w:r>
        <w:rPr>
          <w:rStyle w:val="FootnoteReference"/>
        </w:rPr>
        <w:footnoteReference w:id="11215"/>
      </w:r>
      <w:r>
        <w:t xml:space="preserve"/>
      </w:r>
    </w:p>
    <w:p>
      <w:r>
        <w:rPr>
          <w:b/>
        </w:rPr>
        <w:t xml:space="preserve">4 </w:t>
      </w:r>
      <w:r>
        <w:t xml:space="preserve">The heart of the wise is in the house of mourning, and the heart of fools is in the house of gladness.</w:t>
      </w:r>
      <w:r>
        <w:rPr>
          <w:rStyle w:val="FootnoteReference"/>
        </w:rPr>
        <w:footnoteReference w:id="11216"/>
      </w:r>
      <w:r>
        <w:t xml:space="preserve"/>
      </w:r>
      <w:r>
        <w:rPr>
          <w:rStyle w:val="FootnoteReference"/>
        </w:rPr>
        <w:footnoteReference w:id="11217"/>
      </w:r>
    </w:p>
    <w:p>
      <w:r>
        <w:rPr>
          <w:b/>
        </w:rPr>
        <w:t xml:space="preserve">5 </w:t>
      </w:r>
      <w:r>
        <w:t xml:space="preserve">Better to hear a rebuke of a wise man than a man hearing a song of fools.</w:t>
      </w:r>
      <w:r>
        <w:rPr>
          <w:rStyle w:val="FootnoteReference"/>
        </w:rPr>
        <w:footnoteReference w:id="11218"/>
      </w:r>
      <w:r>
        <w:t xml:space="preserve"/>
      </w:r>
      <w:r>
        <w:rPr>
          <w:rStyle w:val="FootnoteReference"/>
        </w:rPr>
        <w:footnoteReference w:id="11219"/>
      </w:r>
    </w:p>
    <w:p>
      <w:r>
        <w:rPr>
          <w:b/>
        </w:rPr>
        <w:t xml:space="preserve">6 </w:t>
      </w:r>
      <w:r>
        <w:t xml:space="preserve">Because as the sound of thorns under the cauldron, so is the laughter of fools, and this too is vanity.</w:t>
      </w:r>
      <w:r>
        <w:rPr>
          <w:rStyle w:val="FootnoteReference"/>
        </w:rPr>
        <w:footnoteReference w:id="11220"/>
      </w:r>
      <w:r>
        <w:t xml:space="preserve"/>
      </w:r>
      <w:r>
        <w:rPr>
          <w:rStyle w:val="FootnoteReference"/>
        </w:rPr>
        <w:footnoteReference w:id="11221"/>
      </w:r>
    </w:p>
    <w:p>
      <w:r>
        <w:rPr>
          <w:b/>
        </w:rPr>
        <w:t xml:space="preserve">7 </w:t>
      </w:r>
      <w:r>
        <w:t xml:space="preserve">Because slander drives a wise man mad and destroys the heart of his strength.</w:t>
      </w:r>
      <w:r>
        <w:rPr>
          <w:rStyle w:val="FootnoteReference"/>
        </w:rPr>
        <w:footnoteReference w:id="11222"/>
      </w:r>
      <w:r>
        <w:t xml:space="preserve"/>
      </w:r>
    </w:p>
    <w:p>
      <w:r>
        <w:rPr>
          <w:b/>
        </w:rPr>
        <w:t xml:space="preserve">8 </w:t>
      </w:r>
      <w:r>
        <w:t xml:space="preserve">Better the end of a matter than its beginning; better a patient one than one high in spirit.</w:t>
      </w:r>
      <w:r>
        <w:rPr>
          <w:rStyle w:val="FootnoteReference"/>
        </w:rPr>
        <w:footnoteReference w:id="11223"/>
      </w:r>
      <w:r>
        <w:t xml:space="preserve"/>
      </w:r>
      <w:r>
        <w:rPr>
          <w:rStyle w:val="FootnoteReference"/>
        </w:rPr>
        <w:footnoteReference w:id="11224"/>
      </w:r>
    </w:p>
    <w:p>
      <w:r>
        <w:rPr>
          <w:b/>
        </w:rPr>
        <w:t xml:space="preserve">9 </w:t>
      </w:r>
      <w:r>
        <w:t xml:space="preserve">Do not hurry in your spirit to be angry, because anger will rest in the bosom of fools.</w:t>
      </w:r>
      <w:r>
        <w:rPr>
          <w:rStyle w:val="FootnoteReference"/>
        </w:rPr>
        <w:footnoteReference w:id="11225"/>
      </w:r>
      <w:r>
        <w:t xml:space="preserve"/>
      </w:r>
      <w:r>
        <w:rPr>
          <w:rStyle w:val="FootnoteReference"/>
        </w:rPr>
        <w:footnoteReference w:id="11226"/>
      </w:r>
    </w:p>
    <w:p>
      <w:r>
        <w:rPr>
          <w:b/>
        </w:rPr>
        <w:t xml:space="preserve">10 </w:t>
      </w:r>
      <w:r>
        <w:t xml:space="preserve">Do not say, "What happened that former days were better than these?" because you did not ask about this in wisdom.</w:t>
      </w:r>
    </w:p>
    <w:p>
      <w:r>
        <w:rPr>
          <w:b/>
        </w:rPr>
        <w:t xml:space="preserve">11 </w:t>
      </w:r>
      <w:r>
        <w:t xml:space="preserve">Wisdom is good with inheritance, and a surplus to those seeing the sun.</w:t>
      </w:r>
      <w:r>
        <w:rPr>
          <w:rStyle w:val="FootnoteReference"/>
        </w:rPr>
        <w:footnoteReference w:id="11227"/>
      </w:r>
      <w:r>
        <w:t xml:space="preserve"/>
      </w:r>
    </w:p>
    <w:p>
      <w:r>
        <w:rPr>
          <w:b/>
        </w:rPr>
        <w:t xml:space="preserve">12 </w:t>
      </w:r>
      <w:r>
        <w:t xml:space="preserve">Because in its shadow wisdom</w:t>
      </w:r>
      <w:r>
        <w:rPr>
          <w:rStyle w:val="FootnoteReference"/>
        </w:rPr>
        <w:footnoteReference w:id="11228"/>
      </w:r>
      <w:r>
        <w:t xml:space="preserve"> is as the shadow of silver, and the surplus of the knowledge of wisdom will give life to its possessor.</w:t>
      </w:r>
      <w:r>
        <w:rPr>
          <w:rStyle w:val="FootnoteReference"/>
        </w:rPr>
        <w:footnoteReference w:id="11229"/>
      </w:r>
    </w:p>
    <w:p>
      <w:r>
        <w:rPr>
          <w:b/>
        </w:rPr>
        <w:t xml:space="preserve">13 </w:t>
      </w:r>
      <w:r>
        <w:t xml:space="preserve">See the works of God, because who can set in order what God twists?</w:t>
      </w:r>
      <w:r>
        <w:rPr>
          <w:rStyle w:val="FootnoteReference"/>
        </w:rPr>
        <w:footnoteReference w:id="11230"/>
      </w:r>
      <w:r>
        <w:t xml:space="preserve"/>
      </w:r>
    </w:p>
    <w:p>
      <w:r>
        <w:rPr>
          <w:b/>
        </w:rPr>
        <w:t xml:space="preserve">14 </w:t>
      </w:r>
      <w:r>
        <w:t xml:space="preserve">In the day of goodness, live in good, and in the day of evil, see: indeed God made this corresponding to that, so that the man should find nothing after him.</w:t>
      </w:r>
      <w:r>
        <w:rPr>
          <w:rStyle w:val="FootnoteReference"/>
        </w:rPr>
        <w:footnoteReference w:id="11231"/>
      </w:r>
    </w:p>
    <w:p>
      <w:r>
        <w:rPr>
          <w:b/>
        </w:rPr>
        <w:t xml:space="preserve">15 </w:t>
      </w:r>
      <w:r>
        <w:t xml:space="preserve">I saw all things in the days of my vanity: there is a righteous man perishing in his righteousness, and there is an impious man remaining in his evil.</w:t>
      </w:r>
      <w:r>
        <w:rPr>
          <w:rStyle w:val="FootnoteReference"/>
        </w:rPr>
        <w:footnoteReference w:id="11232"/>
      </w:r>
    </w:p>
    <w:p>
      <w:r>
        <w:rPr>
          <w:b/>
        </w:rPr>
        <w:t xml:space="preserve">16 </w:t>
      </w:r>
      <w:r>
        <w:t xml:space="preserve">Do not become very righteous, and do not make yourself excessively wise, lest perhaps you be stunned.</w:t>
      </w:r>
    </w:p>
    <w:p>
      <w:r>
        <w:rPr>
          <w:b/>
        </w:rPr>
        <w:t xml:space="preserve">17 </w:t>
      </w:r>
      <w:r>
        <w:t xml:space="preserve">Do not be very ungodly, and do not become hard, lest you die not in your time.</w:t>
      </w:r>
    </w:p>
    <w:p>
      <w:r>
        <w:rPr>
          <w:b/>
        </w:rPr>
        <w:t xml:space="preserve">18 </w:t>
      </w:r>
      <w:r>
        <w:t xml:space="preserve">It is good</w:t>
      </w:r>
      <w:r>
        <w:rPr>
          <w:rStyle w:val="FootnoteReference"/>
        </w:rPr>
        <w:footnoteReference w:id="11233"/>
      </w:r>
      <w:r>
        <w:t xml:space="preserve"> that you take hold in this, and from that do not let your hand rest, because the one fearing God will come out with all these.</w:t>
      </w:r>
      <w:r>
        <w:rPr>
          <w:rStyle w:val="FootnoteReference"/>
        </w:rPr>
        <w:footnoteReference w:id="11234"/>
      </w:r>
    </w:p>
    <w:p>
      <w:r>
        <w:rPr>
          <w:b/>
        </w:rPr>
        <w:t xml:space="preserve">19 </w:t>
      </w:r>
      <w:r>
        <w:t xml:space="preserve">Wisdom will help the wise man above ten rulers who are in the city.</w:t>
      </w:r>
      <w:r>
        <w:rPr>
          <w:rStyle w:val="FootnoteReference"/>
        </w:rPr>
        <w:footnoteReference w:id="11235"/>
      </w:r>
      <w:r>
        <w:t xml:space="preserve"/>
      </w:r>
    </w:p>
    <w:p>
      <w:r>
        <w:rPr>
          <w:b/>
        </w:rPr>
        <w:t xml:space="preserve">20 </w:t>
      </w:r>
      <w:r>
        <w:t xml:space="preserve">Because there is not a righteous man on earth who will do good and not sin</w:t>
      </w:r>
      <w:r>
        <w:rPr>
          <w:rStyle w:val="FootnoteReference"/>
        </w:rPr>
        <w:footnoteReference w:id="11236"/>
      </w:r>
      <w:r>
        <w:t xml:space="preserve">.</w:t>
      </w:r>
    </w:p>
    <w:p>
      <w:r>
        <w:rPr>
          <w:b/>
        </w:rPr>
        <w:t xml:space="preserve">21 </w:t>
      </w:r>
      <w:r>
        <w:t xml:space="preserve">And indeed to all the words they may speak, do not set your heart, so that you may not hear your servant cursing you.</w:t>
      </w:r>
      <w:r>
        <w:rPr>
          <w:rStyle w:val="FootnoteReference"/>
        </w:rPr>
        <w:footnoteReference w:id="11237"/>
      </w:r>
      <w:r>
        <w:t xml:space="preserve"/>
      </w:r>
    </w:p>
    <w:p>
      <w:r>
        <w:rPr>
          <w:b/>
        </w:rPr>
        <w:t xml:space="preserve">22 </w:t>
      </w:r>
      <w:r>
        <w:t xml:space="preserve">Because many times your heart will work evil against you, and in many ways it will hurt, because you too cursed others.</w:t>
      </w:r>
    </w:p>
    <w:p>
      <w:r>
        <w:rPr>
          <w:b/>
        </w:rPr>
        <w:t xml:space="preserve">23 </w:t>
      </w:r>
      <w:r>
        <w:t xml:space="preserve">All these I tested in wisdom; I said</w:t>
      </w:r>
      <w:r>
        <w:rPr>
          <w:rStyle w:val="FootnoteReference"/>
        </w:rPr>
        <w:footnoteReference w:id="11238"/>
      </w:r>
      <w:r>
        <w:t xml:space="preserve">, "I will become wise,"</w:t>
      </w:r>
    </w:p>
    <w:p>
      <w:r>
        <w:rPr>
          <w:b/>
        </w:rPr>
        <w:t xml:space="preserve">24 </w:t>
      </w:r>
      <w:r>
        <w:t xml:space="preserve">and it was far from me, far beyond what it was, and deep, deep; who will find it?</w:t>
      </w:r>
    </w:p>
    <w:p>
      <w:r>
        <w:rPr>
          <w:b/>
        </w:rPr>
        <w:t xml:space="preserve">25 </w:t>
      </w:r>
      <w:r>
        <w:t xml:space="preserve">I circled, I and my heart, to know</w:t>
      </w:r>
      <w:r>
        <w:rPr>
          <w:rStyle w:val="FootnoteReference"/>
        </w:rPr>
        <w:footnoteReference w:id="11239"/>
      </w:r>
      <w:r>
        <w:t xml:space="preserve"> and to inspect and to seek wisdom and reckoning, and to know the folly of an ungodly one and hardness and madness.</w:t>
      </w:r>
      <w:r>
        <w:rPr>
          <w:rStyle w:val="FootnoteReference"/>
        </w:rPr>
        <w:footnoteReference w:id="11240"/>
      </w:r>
    </w:p>
    <w:p>
      <w:r>
        <w:rPr>
          <w:b/>
        </w:rPr>
        <w:t xml:space="preserve">26 </w:t>
      </w:r>
      <w:r>
        <w:t xml:space="preserve">And I find</w:t>
      </w:r>
      <w:r>
        <w:rPr>
          <w:rStyle w:val="FootnoteReference"/>
        </w:rPr>
        <w:footnoteReference w:id="11241"/>
      </w:r>
      <w:r>
        <w:t xml:space="preserve"> more bitter than death the woman whose heart is hunting nets and seines, and her hands are bonds; the good one before the face of God will be rescued from her, and the sinner will be caught in her.</w:t>
      </w:r>
      <w:r>
        <w:rPr>
          <w:rStyle w:val="FootnoteReference"/>
        </w:rPr>
        <w:footnoteReference w:id="11242"/>
      </w:r>
    </w:p>
    <w:p>
      <w:r>
        <w:rPr>
          <w:b/>
        </w:rPr>
        <w:t xml:space="preserve">27 </w:t>
      </w:r>
      <w:r>
        <w:t xml:space="preserve">Look, this I found, said the Ecclesiastes, one by one to find a reckoning.</w:t>
      </w:r>
      <w:r>
        <w:rPr>
          <w:rStyle w:val="FootnoteReference"/>
        </w:rPr>
        <w:footnoteReference w:id="11243"/>
      </w:r>
      <w:r>
        <w:t xml:space="preserve"/>
      </w:r>
    </w:p>
    <w:p>
      <w:r>
        <w:rPr>
          <w:b/>
        </w:rPr>
        <w:t xml:space="preserve">28 </w:t>
      </w:r>
      <w:r>
        <w:t xml:space="preserve">Which my soul still sought and I did not find: one man among a thousand I found, but a woman among all these I did not find.</w:t>
      </w:r>
      <w:r>
        <w:rPr>
          <w:rStyle w:val="FootnoteReference"/>
        </w:rPr>
        <w:footnoteReference w:id="11244"/>
      </w:r>
    </w:p>
    <w:p>
      <w:r>
        <w:rPr>
          <w:b/>
        </w:rPr>
        <w:t xml:space="preserve">29 </w:t>
      </w:r>
      <w:r>
        <w:t xml:space="preserve">Except look, this I found: what God made with man is upright, but they sought many reckonings.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Who knows a wise man, and who knows the explanation of a word? The wisdom of a man gives light to his face, and the hardness of his face will be hated.</w:t>
      </w:r>
    </w:p>
    <w:p>
      <w:r>
        <w:rPr>
          <w:b/>
        </w:rPr>
        <w:t xml:space="preserve">2 </w:t>
      </w:r>
      <w:r>
        <w:t xml:space="preserve">Keep the king's mouth, and because of the word of God's oath do not hurry.</w:t>
      </w:r>
    </w:p>
    <w:p>
      <w:r>
        <w:rPr>
          <w:b/>
        </w:rPr>
        <w:t xml:space="preserve">3 </w:t>
      </w:r>
      <w:r>
        <w:t xml:space="preserve">Go from his face; do not stand</w:t>
      </w:r>
      <w:r>
        <w:rPr>
          <w:rStyle w:val="FootnoteReference"/>
        </w:rPr>
        <w:footnoteReference w:id="11245"/>
      </w:r>
      <w:r>
        <w:t xml:space="preserve"> in an evil matter, because whatever he wishes he will do.</w:t>
      </w:r>
    </w:p>
    <w:p>
      <w:r>
        <w:rPr>
          <w:b/>
        </w:rPr>
        <w:t xml:space="preserve">4 </w:t>
      </w:r>
      <w:r>
        <w:t xml:space="preserve">As a king speaks exercising authority, and who will say to him, "What are you doing?"</w:t>
      </w:r>
    </w:p>
    <w:p>
      <w:r>
        <w:rPr>
          <w:b/>
        </w:rPr>
        <w:t xml:space="preserve">5 </w:t>
      </w:r>
      <w:r>
        <w:t xml:space="preserve">The one keeping a command will know no evil thing, and the heart of a wise</w:t>
      </w:r>
      <w:r>
        <w:rPr>
          <w:rStyle w:val="FootnoteReference"/>
        </w:rPr>
        <w:footnoteReference w:id="11246"/>
      </w:r>
      <w:r>
        <w:t xml:space="preserve"> man knows a time of judgment.</w:t>
      </w:r>
    </w:p>
    <w:p>
      <w:r>
        <w:rPr>
          <w:b/>
        </w:rPr>
        <w:t xml:space="preserve">6 </w:t>
      </w:r>
      <w:r>
        <w:t xml:space="preserve">Because for every matter there is a time and judgment, because the knowledge of man is much upon him.</w:t>
      </w:r>
    </w:p>
    <w:p>
      <w:r>
        <w:rPr>
          <w:b/>
        </w:rPr>
        <w:t xml:space="preserve">7 </w:t>
      </w:r>
      <w:r>
        <w:t xml:space="preserve">Because there is no one knowing what will be, because as it will be, who will tell him?</w:t>
      </w:r>
    </w:p>
    <w:p>
      <w:r>
        <w:rPr>
          <w:b/>
        </w:rPr>
        <w:t xml:space="preserve">8 </w:t>
      </w:r>
      <w:r>
        <w:t xml:space="preserve">There is no</w:t>
      </w:r>
      <w:r>
        <w:rPr>
          <w:rStyle w:val="FootnoteReference"/>
        </w:rPr>
        <w:footnoteReference w:id="11247"/>
      </w:r>
      <w:r>
        <w:t xml:space="preserve"> man exercising authority over the spirit to restrain the spirit, and there is no authority in the day of death, and there is no discharge in war, and ungodliness will not rescue its possessor.</w:t>
      </w:r>
    </w:p>
    <w:p>
      <w:r>
        <w:rPr>
          <w:b/>
        </w:rPr>
        <w:t xml:space="preserve">9 </w:t>
      </w:r>
      <w:r>
        <w:t xml:space="preserve">And with all this I saw and gave my heart to every work done under the sun, all in which man exercised authority over man to harm him.</w:t>
      </w:r>
    </w:p>
    <w:p>
      <w:r>
        <w:rPr>
          <w:b/>
        </w:rPr>
        <w:t xml:space="preserve">10 </w:t>
      </w:r>
      <w:r>
        <w:t xml:space="preserve">And then I saw ungodly men brought into tombs, and they went from the holy place and were praised in the city because thus they did; this too is vanity.</w:t>
      </w:r>
    </w:p>
    <w:p>
      <w:r>
        <w:rPr>
          <w:b/>
        </w:rPr>
        <w:t xml:space="preserve">11 </w:t>
      </w:r>
      <w:r>
        <w:t xml:space="preserve">Because rebuttal against those doing evil does not happen quickly; because of this the heart of the sons of man was fully</w:t>
      </w:r>
      <w:r>
        <w:rPr>
          <w:rStyle w:val="FootnoteReference"/>
        </w:rPr>
        <w:footnoteReference w:id="11248"/>
      </w:r>
      <w:r>
        <w:t xml:space="preserve"> assured in them to do evil.</w:t>
      </w:r>
    </w:p>
    <w:p>
      <w:r>
        <w:rPr>
          <w:b/>
        </w:rPr>
        <w:t xml:space="preserve">12 </w:t>
      </w:r>
      <w:r>
        <w:t xml:space="preserve">The one who sinned did evil from then and from length to him; yet I know that good will be for those fearing God, so that they may fear before</w:t>
      </w:r>
      <w:r>
        <w:rPr>
          <w:rStyle w:val="FootnoteReference"/>
        </w:rPr>
        <w:footnoteReference w:id="11249"/>
      </w:r>
      <w:r>
        <w:t xml:space="preserve"> his face.</w:t>
      </w:r>
    </w:p>
    <w:p>
      <w:r>
        <w:rPr>
          <w:b/>
        </w:rPr>
        <w:t xml:space="preserve">13 </w:t>
      </w:r>
      <w:r>
        <w:t xml:space="preserve">And good will not be for the ungodly man</w:t>
      </w:r>
      <w:r>
        <w:rPr>
          <w:rStyle w:val="FootnoteReference"/>
        </w:rPr>
        <w:footnoteReference w:id="11250"/>
      </w:r>
      <w:r>
        <w:t xml:space="preserve">, and he will not lengthen days in shadow, because he does not fear before the face of God.</w:t>
      </w:r>
    </w:p>
    <w:p>
      <w:r>
        <w:rPr>
          <w:b/>
        </w:rPr>
        <w:t xml:space="preserve">14 </w:t>
      </w:r>
      <w:r>
        <w:t xml:space="preserve">There is vanity done upon the earth: there are righteous ones to whom it reaches as the work of ungodly ones, and there are ungodly ones to whom it reaches as the work of righteous ones; I said that this too is vanity.</w:t>
      </w:r>
    </w:p>
    <w:p>
      <w:r>
        <w:rPr>
          <w:b/>
        </w:rPr>
        <w:t xml:space="preserve">15 </w:t>
      </w:r>
      <w:r>
        <w:t xml:space="preserve">And I praised the gladness, because there is no good for a man under the sun except to eat and to drink and to rejoice, and this will stay with him in his toil all the days of his life which God gave him under the sun.</w:t>
      </w:r>
    </w:p>
    <w:p>
      <w:r>
        <w:rPr>
          <w:b/>
        </w:rPr>
        <w:t xml:space="preserve">16 </w:t>
      </w:r>
      <w:r>
        <w:t xml:space="preserve">In which I gave my heart to know wisdom and to see the distraction done upon the earth, because even by day and by night there is no sleep in his eyes, seeing.</w:t>
      </w:r>
    </w:p>
    <w:p>
      <w:r>
        <w:rPr>
          <w:b/>
        </w:rPr>
        <w:t xml:space="preserve">17 </w:t>
      </w:r>
      <w:r>
        <w:t xml:space="preserve">And I saw all the works of God, that man will not be able to find out the work done under the sun. However much a man toils to seek, he will not find; and however much a wise man says to know, he will not be able to find.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Because with all this I gave into my heart, and my heart saw all this: the righteous and the wise and their works are in the hand of God; yet love and hatred a man does not know; all things are before them.</w:t>
      </w:r>
    </w:p>
    <w:p>
      <w:r>
        <w:rPr>
          <w:b/>
        </w:rPr>
        <w:t xml:space="preserve">2 </w:t>
      </w:r>
      <w:r>
        <w:t xml:space="preserve">Vanity is in all things: one meeting is for the righteous and the ungodly, for the good and the evil, for the clean and the unclean, for the one sacrificing and the one not sacrificing; as the good one, so the sinner; as the one swearing, so the one fearing an oath.</w:t>
      </w:r>
    </w:p>
    <w:p>
      <w:r>
        <w:rPr>
          <w:b/>
        </w:rPr>
        <w:t xml:space="preserve">3 </w:t>
      </w:r>
      <w:r>
        <w:t xml:space="preserve">This is evil in all done under the sun: one meeting is in all, and indeed the heart of the sons of man was filled with evil, and madness</w:t>
      </w:r>
      <w:r>
        <w:rPr>
          <w:rStyle w:val="FootnoteReference"/>
        </w:rPr>
        <w:footnoteReference w:id="11251"/>
      </w:r>
      <w:r>
        <w:t xml:space="preserve"> is in their heart during their life, and after them is to the dead.</w:t>
      </w:r>
    </w:p>
    <w:p>
      <w:r>
        <w:rPr>
          <w:b/>
        </w:rPr>
        <w:t xml:space="preserve">4 </w:t>
      </w:r>
      <w:r>
        <w:t xml:space="preserve">Because for whoever joins with all the living there is hope, because a living dog is better than a dead lion.</w:t>
      </w:r>
    </w:p>
    <w:p>
      <w:r>
        <w:rPr>
          <w:b/>
        </w:rPr>
        <w:t xml:space="preserve">5 </w:t>
      </w:r>
      <w:r>
        <w:t xml:space="preserve">Because the living</w:t>
      </w:r>
      <w:r>
        <w:rPr>
          <w:rStyle w:val="FootnoteReference"/>
        </w:rPr>
        <w:footnoteReference w:id="11252"/>
      </w:r>
      <w:r>
        <w:t xml:space="preserve"> will know that they will die, but the dead know nothing, and there is no wage for them anymore, because the memory of them was forgotten.</w:t>
      </w:r>
    </w:p>
    <w:p>
      <w:r>
        <w:rPr>
          <w:b/>
        </w:rPr>
        <w:t xml:space="preserve">6 </w:t>
      </w:r>
      <w:r>
        <w:t xml:space="preserve">And indeed their love</w:t>
      </w:r>
      <w:r>
        <w:rPr>
          <w:rStyle w:val="FootnoteReference"/>
        </w:rPr>
        <w:footnoteReference w:id="11253"/>
      </w:r>
      <w:r>
        <w:t xml:space="preserve"> and indeed their hatred and indeed their zeal already perished, and there is no portion for them anymore forever in anything done under the sun.</w:t>
      </w:r>
    </w:p>
    <w:p>
      <w:r>
        <w:rPr>
          <w:b/>
        </w:rPr>
        <w:t xml:space="preserve">7 </w:t>
      </w:r>
      <w:r>
        <w:t xml:space="preserve">Come, eat your bread in gladness and drink your wine in a good heart, because God already took pleasure in your works.</w:t>
      </w:r>
    </w:p>
    <w:p>
      <w:r>
        <w:rPr>
          <w:b/>
        </w:rPr>
        <w:t xml:space="preserve">8 </w:t>
      </w:r>
      <w:r>
        <w:t xml:space="preserve">At every time let your garments be white, and let oil on your head not fail.</w:t>
      </w:r>
    </w:p>
    <w:p>
      <w:r>
        <w:rPr>
          <w:b/>
        </w:rPr>
        <w:t xml:space="preserve">9 </w:t>
      </w:r>
      <w:r>
        <w:t xml:space="preserve">See life with a woman whom you loved all the days of your life of vanity, those given to you under the sun, all the days of your vanity, because this is your portion in your life and in your toil with which you toil under the sun.</w:t>
      </w:r>
    </w:p>
    <w:p>
      <w:r>
        <w:rPr>
          <w:b/>
        </w:rPr>
        <w:t xml:space="preserve">10 </w:t>
      </w:r>
      <w:r>
        <w:t xml:space="preserve">All that your hand finds to do, do by your strength, because there is no work and reckoning and knowledge and wisdom in Hades where you go there.</w:t>
      </w:r>
    </w:p>
    <w:p>
      <w:r>
        <w:rPr>
          <w:b/>
        </w:rPr>
        <w:t xml:space="preserve">11 </w:t>
      </w:r>
      <w:r>
        <w:t xml:space="preserve">I turned and saw under the sun that the race</w:t>
      </w:r>
      <w:r>
        <w:rPr>
          <w:rStyle w:val="FootnoteReference"/>
        </w:rPr>
        <w:footnoteReference w:id="11254"/>
      </w:r>
      <w:r>
        <w:t xml:space="preserve"> is not to the swift, nor is war to the strong, and indeed neither is bread to the wise, and indeed neither is wealth to those with understanding, and indeed neither is favor to those knowing, because time and encounter will meet them all.</w:t>
      </w:r>
    </w:p>
    <w:p>
      <w:r>
        <w:rPr>
          <w:b/>
        </w:rPr>
        <w:t xml:space="preserve">12 </w:t>
      </w:r>
      <w:r>
        <w:t xml:space="preserve">Because indeed a man did not know his time: as fish caught in an evil net and as birds caught in a snare, as they are trapped, so the sons</w:t>
      </w:r>
      <w:r>
        <w:rPr>
          <w:rStyle w:val="FootnoteReference"/>
        </w:rPr>
        <w:footnoteReference w:id="11255"/>
      </w:r>
      <w:r>
        <w:t xml:space="preserve"> of man are trapped for an evil time when it falls upon them suddenly.</w:t>
      </w:r>
    </w:p>
    <w:p>
      <w:r>
        <w:rPr>
          <w:b/>
        </w:rPr>
        <w:t xml:space="preserve">13 </w:t>
      </w:r>
      <w:r>
        <w:t xml:space="preserve">And this too I saw as wisdom under the sun, and it is great to me.</w:t>
      </w:r>
    </w:p>
    <w:p>
      <w:r>
        <w:rPr>
          <w:b/>
        </w:rPr>
        <w:t xml:space="preserve">14 </w:t>
      </w:r>
      <w:r>
        <w:t xml:space="preserve">A small city, and few men in it, and a great king came against it and surrounded it and built great siegeworks against it.</w:t>
      </w:r>
    </w:p>
    <w:p>
      <w:r>
        <w:rPr>
          <w:b/>
        </w:rPr>
        <w:t xml:space="preserve">15 </w:t>
      </w:r>
      <w:r>
        <w:t xml:space="preserve">And he found in it a poor wise man</w:t>
      </w:r>
      <w:r>
        <w:rPr>
          <w:rStyle w:val="FootnoteReference"/>
        </w:rPr>
        <w:footnoteReference w:id="11256"/>
      </w:r>
      <w:r>
        <w:t xml:space="preserve">, and he will save the city by his wisdom, and man did not remember that poor man.</w:t>
      </w:r>
    </w:p>
    <w:p>
      <w:r>
        <w:rPr>
          <w:b/>
        </w:rPr>
        <w:t xml:space="preserve">16 </w:t>
      </w:r>
      <w:r>
        <w:t xml:space="preserve">And I said wisdom</w:t>
      </w:r>
      <w:r>
        <w:rPr>
          <w:rStyle w:val="FootnoteReference"/>
        </w:rPr>
        <w:footnoteReference w:id="11257"/>
      </w:r>
      <w:r>
        <w:t xml:space="preserve"> is good above strength, yet the wisdom of the poor man is despised</w:t>
      </w:r>
      <w:r>
        <w:rPr>
          <w:rStyle w:val="FootnoteReference"/>
        </w:rPr>
        <w:footnoteReference w:id="11258"/>
      </w:r>
      <w:r>
        <w:t xml:space="preserve"> and his words are not heard.</w:t>
      </w:r>
    </w:p>
    <w:p>
      <w:r>
        <w:rPr>
          <w:b/>
        </w:rPr>
        <w:t xml:space="preserve">17 </w:t>
      </w:r>
      <w:r>
        <w:t xml:space="preserve">The words of the wise in quiet are heard above the cry of rulers among follies.</w:t>
      </w:r>
    </w:p>
    <w:p>
      <w:r>
        <w:rPr>
          <w:b/>
        </w:rPr>
        <w:t xml:space="preserve">18 </w:t>
      </w:r>
      <w:r>
        <w:t xml:space="preserve">Wisdom is good above weapons of war, and one sinner</w:t>
      </w:r>
      <w:r>
        <w:rPr>
          <w:rStyle w:val="FootnoteReference"/>
        </w:rPr>
        <w:footnoteReference w:id="11259"/>
      </w:r>
      <w:r>
        <w:t xml:space="preserve"> will destroy much good.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Deadly flies rot a compound of perfumed oil; a little</w:t>
      </w:r>
      <w:r>
        <w:rPr>
          <w:rStyle w:val="FootnoteReference"/>
        </w:rPr>
        <w:footnoteReference w:id="11260"/>
      </w:r>
      <w:r>
        <w:t xml:space="preserve"> wisdom is held precious above great glory of folly.</w:t>
      </w:r>
    </w:p>
    <w:p>
      <w:r>
        <w:rPr>
          <w:b/>
        </w:rPr>
        <w:t xml:space="preserve">2 </w:t>
      </w:r>
      <w:r>
        <w:t xml:space="preserve">The heart of the wise</w:t>
      </w:r>
      <w:r>
        <w:rPr>
          <w:rStyle w:val="FootnoteReference"/>
        </w:rPr>
        <w:footnoteReference w:id="11261"/>
      </w:r>
      <w:r>
        <w:t xml:space="preserve"> is at his right, and the heart of a fool is at his left.</w:t>
      </w:r>
    </w:p>
    <w:p>
      <w:r>
        <w:rPr>
          <w:b/>
        </w:rPr>
        <w:t xml:space="preserve">3 </w:t>
      </w:r>
      <w:r>
        <w:t xml:space="preserve">And indeed on the road whenever a fool walks, his heart will lack, and what he thinks is all folly.</w:t>
      </w:r>
    </w:p>
    <w:p>
      <w:r>
        <w:rPr>
          <w:b/>
        </w:rPr>
        <w:t xml:space="preserve">4 </w:t>
      </w:r>
      <w:r>
        <w:t xml:space="preserve">If the spirit of the ruler rises upon you, do not leave</w:t>
      </w:r>
      <w:r>
        <w:rPr>
          <w:rStyle w:val="FootnoteReference"/>
        </w:rPr>
        <w:footnoteReference w:id="11262"/>
      </w:r>
      <w:r>
        <w:t xml:space="preserve"> your place, because healing will put great sins to rest.</w:t>
      </w:r>
    </w:p>
    <w:p>
      <w:r>
        <w:rPr>
          <w:b/>
        </w:rPr>
        <w:t xml:space="preserve">5 </w:t>
      </w:r>
      <w:r>
        <w:t xml:space="preserve">There is evil I saw under the sun, like an involuntary thing that went out from the face of the ruler.</w:t>
      </w:r>
    </w:p>
    <w:p>
      <w:r>
        <w:rPr>
          <w:b/>
        </w:rPr>
        <w:t xml:space="preserve">6 </w:t>
      </w:r>
      <w:r>
        <w:t xml:space="preserve">The fool was given in great heights, and rich men will sit in a low place.</w:t>
      </w:r>
    </w:p>
    <w:p>
      <w:r>
        <w:rPr>
          <w:b/>
        </w:rPr>
        <w:t xml:space="preserve">7 </w:t>
      </w:r>
      <w:r>
        <w:t xml:space="preserve">I saw slaves on horses and rulers walking like slaves upon the earth.</w:t>
      </w:r>
    </w:p>
    <w:p>
      <w:r>
        <w:rPr>
          <w:b/>
        </w:rPr>
        <w:t xml:space="preserve">8 </w:t>
      </w:r>
      <w:r>
        <w:t xml:space="preserve">The one digging a pit will fall into it, and a snake will bite the one pulling down a wall.</w:t>
      </w:r>
    </w:p>
    <w:p>
      <w:r>
        <w:rPr>
          <w:b/>
        </w:rPr>
        <w:t xml:space="preserve">9 </w:t>
      </w:r>
      <w:r>
        <w:t xml:space="preserve">The one removing stones will be hurt by them; the one splitting wood will be endangered by them.</w:t>
      </w:r>
    </w:p>
    <w:p>
      <w:r>
        <w:rPr>
          <w:b/>
        </w:rPr>
        <w:t xml:space="preserve">10 </w:t>
      </w:r>
      <w:r>
        <w:t xml:space="preserve">If the iron grows dull and he has disturbed its face, then he will strengthen force; and the surplus for skill is wisdom</w:t>
      </w:r>
      <w:r>
        <w:rPr>
          <w:rStyle w:val="FootnoteReference"/>
        </w:rPr>
        <w:footnoteReference w:id="11263"/>
      </w:r>
      <w:r>
        <w:t xml:space="preserve">.</w:t>
      </w:r>
    </w:p>
    <w:p>
      <w:r>
        <w:rPr>
          <w:b/>
        </w:rPr>
        <w:t xml:space="preserve">11 </w:t>
      </w:r>
      <w:r>
        <w:t xml:space="preserve">If the snake bites without whispering, there is no surplus for the charmer.</w:t>
      </w:r>
    </w:p>
    <w:p>
      <w:r>
        <w:rPr>
          <w:b/>
        </w:rPr>
        <w:t xml:space="preserve">12 </w:t>
      </w:r>
      <w:r>
        <w:t xml:space="preserve">The words of the mouth of the wise are favor, and the lips of a fool will swallow him.</w:t>
      </w:r>
    </w:p>
    <w:p>
      <w:r>
        <w:rPr>
          <w:b/>
        </w:rPr>
        <w:t xml:space="preserve">13 </w:t>
      </w:r>
      <w:r>
        <w:t xml:space="preserve">The beginning of the words of his mouth is folly, and the last of his mouth is evil madness.</w:t>
      </w:r>
    </w:p>
    <w:p>
      <w:r>
        <w:rPr>
          <w:b/>
        </w:rPr>
        <w:t xml:space="preserve">14 </w:t>
      </w:r>
      <w:r>
        <w:t xml:space="preserve">And the fool</w:t>
      </w:r>
      <w:r>
        <w:rPr>
          <w:rStyle w:val="FootnoteReference"/>
        </w:rPr>
        <w:footnoteReference w:id="11264"/>
      </w:r>
      <w:r>
        <w:t xml:space="preserve"> multiplies words; a man does not know what has happened, and what will be after him, who will tell him?</w:t>
      </w:r>
    </w:p>
    <w:p>
      <w:r>
        <w:rPr>
          <w:b/>
        </w:rPr>
        <w:t xml:space="preserve">15 </w:t>
      </w:r>
      <w:r>
        <w:t xml:space="preserve">The toil of fools will weary them, because one did not know how to go into a city.</w:t>
      </w:r>
    </w:p>
    <w:p>
      <w:r>
        <w:rPr>
          <w:b/>
        </w:rPr>
        <w:t xml:space="preserve">16 </w:t>
      </w:r>
      <w:r>
        <w:t xml:space="preserve">Woe to you, city, whose king is young, and your rulers eat in the morning.</w:t>
      </w:r>
    </w:p>
    <w:p>
      <w:r>
        <w:rPr>
          <w:b/>
        </w:rPr>
        <w:t xml:space="preserve">17 </w:t>
      </w:r>
      <w:r>
        <w:t xml:space="preserve">Blessed are you, land whose king is a son of nobles, and your rulers will eat at the right time in strength and will not be ashamed.</w:t>
      </w:r>
    </w:p>
    <w:p>
      <w:r>
        <w:rPr>
          <w:b/>
        </w:rPr>
        <w:t xml:space="preserve">18 </w:t>
      </w:r>
      <w:r>
        <w:t xml:space="preserve">In sloth the roof-beam will be brought low, and in idleness of hands the house will drip.</w:t>
      </w:r>
    </w:p>
    <w:p>
      <w:r>
        <w:rPr>
          <w:b/>
        </w:rPr>
        <w:t xml:space="preserve">19 </w:t>
      </w:r>
      <w:r>
        <w:t xml:space="preserve">For laughter they make bread, and wine</w:t>
      </w:r>
      <w:r>
        <w:rPr>
          <w:rStyle w:val="FootnoteReference"/>
        </w:rPr>
        <w:footnoteReference w:id="11265"/>
      </w:r>
      <w:r>
        <w:t xml:space="preserve"> gladdens the living ones, and silver answers all things.</w:t>
      </w:r>
    </w:p>
    <w:p>
      <w:r>
        <w:rPr>
          <w:b/>
        </w:rPr>
        <w:t xml:space="preserve">20 </w:t>
      </w:r>
      <w:r>
        <w:t xml:space="preserve">Even in your conscience do not curse</w:t>
      </w:r>
      <w:r>
        <w:rPr>
          <w:rStyle w:val="FootnoteReference"/>
        </w:rPr>
        <w:footnoteReference w:id="11266"/>
      </w:r>
      <w:r>
        <w:t xml:space="preserve"> a king, and in the chambers of your bedchambers do not curse a rich man, because a bird of heaven will carry the voice, and the winged one will report a word.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Send your bread upon the face of the water, because in the multitude of days you will find it.</w:t>
      </w:r>
    </w:p>
    <w:p>
      <w:r>
        <w:rPr>
          <w:b/>
        </w:rPr>
        <w:t xml:space="preserve">2 </w:t>
      </w:r>
      <w:r>
        <w:t xml:space="preserve">Give a portion</w:t>
      </w:r>
      <w:r>
        <w:rPr>
          <w:rStyle w:val="FootnoteReference"/>
        </w:rPr>
        <w:footnoteReference w:id="11267"/>
      </w:r>
      <w:r>
        <w:t xml:space="preserve"> to seven and indeed to eight, because you do not know what evil will be upon the earth.</w:t>
      </w:r>
    </w:p>
    <w:p>
      <w:r>
        <w:rPr>
          <w:b/>
        </w:rPr>
        <w:t xml:space="preserve">3 </w:t>
      </w:r>
      <w:r>
        <w:t xml:space="preserve">If the clouds</w:t>
      </w:r>
      <w:r>
        <w:rPr>
          <w:rStyle w:val="FootnoteReference"/>
        </w:rPr>
        <w:footnoteReference w:id="11268"/>
      </w:r>
      <w:r>
        <w:t xml:space="preserve"> are filled with rain, they pour upon the earth; and if a tree falls in the south, and if in the north, in the place where the tree falls, there it will be.</w:t>
      </w:r>
    </w:p>
    <w:p>
      <w:r>
        <w:rPr>
          <w:b/>
        </w:rPr>
        <w:t xml:space="preserve">4 </w:t>
      </w:r>
      <w:r>
        <w:t xml:space="preserve">The one watching the wind will not sow, and the one looking in the clouds will not reap.</w:t>
      </w:r>
    </w:p>
    <w:p>
      <w:r>
        <w:rPr>
          <w:b/>
        </w:rPr>
        <w:t xml:space="preserve">5 </w:t>
      </w:r>
      <w:r>
        <w:t xml:space="preserve">As you do not know what the way of spirit is</w:t>
      </w:r>
      <w:r>
        <w:rPr>
          <w:rStyle w:val="FootnoteReference"/>
        </w:rPr>
        <w:footnoteReference w:id="11269"/>
      </w:r>
      <w:r>
        <w:t xml:space="preserve">, as bones are in the womb of a pregnant woman, so you will not know the works of God</w:t>
      </w:r>
      <w:r>
        <w:rPr>
          <w:rStyle w:val="FootnoteReference"/>
        </w:rPr>
        <w:footnoteReference w:id="11270"/>
      </w:r>
      <w:r>
        <w:t xml:space="preserve">, who will make all things.</w:t>
      </w:r>
    </w:p>
    <w:p>
      <w:r>
        <w:rPr>
          <w:b/>
        </w:rPr>
        <w:t xml:space="preserve">6 </w:t>
      </w:r>
      <w:r>
        <w:t xml:space="preserve">In the morning sow your seed, and till evening do not let your hand rest, because you do not know which will prosper, this or that, and if both together are good.</w:t>
      </w:r>
    </w:p>
    <w:p>
      <w:r>
        <w:rPr>
          <w:b/>
        </w:rPr>
        <w:t xml:space="preserve">7 </w:t>
      </w:r>
      <w:r>
        <w:t xml:space="preserve">And the light</w:t>
      </w:r>
      <w:r>
        <w:rPr>
          <w:rStyle w:val="FootnoteReference"/>
        </w:rPr>
        <w:footnoteReference w:id="11271"/>
      </w:r>
      <w:r>
        <w:t xml:space="preserve"> is sweet, and it is good for the eyes to see with the sun.</w:t>
      </w:r>
    </w:p>
    <w:p>
      <w:r>
        <w:rPr>
          <w:b/>
        </w:rPr>
        <w:t xml:space="preserve">8 </w:t>
      </w:r>
      <w:r>
        <w:t xml:space="preserve">Because even if a man lives many years, in all of them he will rejoice</w:t>
      </w:r>
      <w:r>
        <w:rPr>
          <w:rStyle w:val="FootnoteReference"/>
        </w:rPr>
        <w:footnoteReference w:id="11272"/>
      </w:r>
      <w:r>
        <w:t xml:space="preserve">, and he will remember the days of darkness, because they will be many; all that is coming is vanity.</w:t>
      </w:r>
    </w:p>
    <w:p>
      <w:r>
        <w:rPr>
          <w:b/>
        </w:rPr>
        <w:t xml:space="preserve">9 </w:t>
      </w:r>
      <w:r>
        <w:t xml:space="preserve">Rejoice</w:t>
      </w:r>
      <w:r>
        <w:rPr>
          <w:rStyle w:val="FootnoteReference"/>
        </w:rPr>
        <w:footnoteReference w:id="11273"/>
      </w:r>
      <w:r>
        <w:t xml:space="preserve">, young man, in your youth, and let your heart do you good in the days of your youth</w:t>
      </w:r>
      <w:r>
        <w:rPr>
          <w:rStyle w:val="FootnoteReference"/>
        </w:rPr>
        <w:footnoteReference w:id="11274"/>
      </w:r>
      <w:r>
        <w:t xml:space="preserve">, and walk in the ways of your heart and in the sight of your eyes, and know that for all these God will bring you in judgment</w:t>
      </w:r>
      <w:r>
        <w:rPr>
          <w:rStyle w:val="FootnoteReference"/>
        </w:rPr>
        <w:footnoteReference w:id="11275"/>
      </w:r>
      <w:r>
        <w:t xml:space="preserve">.</w:t>
      </w:r>
    </w:p>
    <w:p>
      <w:r>
        <w:rPr>
          <w:b/>
        </w:rPr>
        <w:t xml:space="preserve">10 </w:t>
      </w:r>
      <w:r>
        <w:t xml:space="preserve">And remove</w:t>
      </w:r>
      <w:r>
        <w:rPr>
          <w:rStyle w:val="FootnoteReference"/>
        </w:rPr>
        <w:footnoteReference w:id="11276"/>
      </w:r>
      <w:r>
        <w:t xml:space="preserve"> anger from your heart and put evil from your flesh, because youth and folly are vanity.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remember</w:t>
      </w:r>
      <w:r>
        <w:rPr>
          <w:rStyle w:val="FootnoteReference"/>
        </w:rPr>
        <w:footnoteReference w:id="11277"/>
      </w:r>
      <w:r>
        <w:t xml:space="preserve"> the one who created you in the days of your youth, until the days of evil do not come and years arrive in which you will say, "There is no delight for me in them."</w:t>
      </w:r>
    </w:p>
    <w:p>
      <w:r>
        <w:rPr>
          <w:b/>
        </w:rPr>
        <w:t xml:space="preserve">2 </w:t>
      </w:r>
      <w:r>
        <w:t xml:space="preserve">Until the sun</w:t>
      </w:r>
      <w:r>
        <w:rPr>
          <w:rStyle w:val="FootnoteReference"/>
        </w:rPr>
        <w:footnoteReference w:id="11278"/>
      </w:r>
      <w:r>
        <w:t xml:space="preserve"> and the light and the moon and the stars are not darkened and the clouds return after the rain.</w:t>
      </w:r>
    </w:p>
    <w:p>
      <w:r>
        <w:rPr>
          <w:b/>
        </w:rPr>
        <w:t xml:space="preserve">3 </w:t>
      </w:r>
      <w:r>
        <w:t xml:space="preserve">In the day whenever the guards of the house will be shaken and the men of strength twisted and the grinders cease because they became few and those</w:t>
      </w:r>
      <w:r>
        <w:rPr>
          <w:rStyle w:val="FootnoteReference"/>
        </w:rPr>
        <w:footnoteReference w:id="11279"/>
      </w:r>
      <w:r>
        <w:t xml:space="preserve"> seeing through the openings grow dark,</w:t>
      </w:r>
    </w:p>
    <w:p>
      <w:r>
        <w:rPr>
          <w:b/>
        </w:rPr>
        <w:t xml:space="preserve">4 </w:t>
      </w:r>
      <w:r>
        <w:t xml:space="preserve">and doors in the market will be shut in the weakness of the sound of the grinder, and he will rise at the sound of the sparrow, and all daughters of song will be brought low.</w:t>
      </w:r>
    </w:p>
    <w:p>
      <w:r>
        <w:rPr>
          <w:b/>
        </w:rPr>
        <w:t xml:space="preserve">5 </w:t>
      </w:r>
      <w:r>
        <w:t xml:space="preserve">And indeed they will look from a height and terrors will be in the road, and the almond</w:t>
      </w:r>
      <w:r>
        <w:rPr>
          <w:rStyle w:val="FootnoteReference"/>
        </w:rPr>
        <w:footnoteReference w:id="11280"/>
      </w:r>
      <w:r>
        <w:t xml:space="preserve"> will blossom and the locust will grow fat and the caperberry will be scattered, because a man went to the house of his age, and mourners circled in the market.</w:t>
      </w:r>
    </w:p>
    <w:p>
      <w:r>
        <w:rPr>
          <w:b/>
        </w:rPr>
        <w:t xml:space="preserve">6 </w:t>
      </w:r>
      <w:r>
        <w:t xml:space="preserve">Until the silver cord is not overturned and the flower of gold crushed and a water jar broken at the spring and the wheel crushed upon the pit.</w:t>
      </w:r>
    </w:p>
    <w:p>
      <w:r>
        <w:rPr>
          <w:b/>
        </w:rPr>
        <w:t xml:space="preserve">7 </w:t>
      </w:r>
      <w:r>
        <w:t xml:space="preserve">And the dust</w:t>
      </w:r>
      <w:r>
        <w:rPr>
          <w:rStyle w:val="FootnoteReference"/>
        </w:rPr>
        <w:footnoteReference w:id="11281"/>
      </w:r>
      <w:r>
        <w:t xml:space="preserve"> returns upon the earth as it was, and the spirit returns to God who gave it.</w:t>
      </w:r>
    </w:p>
    <w:p>
      <w:r>
        <w:rPr>
          <w:b/>
        </w:rPr>
        <w:t xml:space="preserve">8 </w:t>
      </w:r>
      <w:r>
        <w:t xml:space="preserve">Vanity of vanities, said the Ecclesiastes; all is vanity.</w:t>
      </w:r>
    </w:p>
    <w:p>
      <w:r>
        <w:rPr>
          <w:b/>
        </w:rPr>
        <w:t xml:space="preserve">9 </w:t>
      </w:r>
      <w:r>
        <w:t xml:space="preserve">And beyond that, because the Ecclesiastes became wise, he still</w:t>
      </w:r>
      <w:r>
        <w:rPr>
          <w:rStyle w:val="FootnoteReference"/>
        </w:rPr>
        <w:footnoteReference w:id="11282"/>
      </w:r>
      <w:r>
        <w:t xml:space="preserve"> taught knowledge with the people, and his ear traced out ordered parables.</w:t>
      </w:r>
    </w:p>
    <w:p>
      <w:r>
        <w:rPr>
          <w:b/>
        </w:rPr>
        <w:t xml:space="preserve">10 </w:t>
      </w:r>
      <w:r>
        <w:t xml:space="preserve">The Ecclesiastes sought much to find words of delight, and written</w:t>
      </w:r>
      <w:r>
        <w:rPr>
          <w:rStyle w:val="FootnoteReference"/>
        </w:rPr>
        <w:footnoteReference w:id="11283"/>
      </w:r>
      <w:r>
        <w:t xml:space="preserve"> uprightness, the words of truth.</w:t>
      </w:r>
    </w:p>
    <w:p>
      <w:r>
        <w:rPr>
          <w:b/>
        </w:rPr>
        <w:t xml:space="preserve">11 </w:t>
      </w:r>
      <w:r>
        <w:t xml:space="preserve">The words of the wise are as goads</w:t>
      </w:r>
      <w:r>
        <w:rPr>
          <w:rStyle w:val="FootnoteReference"/>
        </w:rPr>
        <w:footnoteReference w:id="11284"/>
      </w:r>
      <w:r>
        <w:t xml:space="preserve">, and as nails planted, those from gatherings were given from one shepherd.</w:t>
      </w:r>
    </w:p>
    <w:p>
      <w:r>
        <w:rPr>
          <w:b/>
        </w:rPr>
        <w:t xml:space="preserve">12 </w:t>
      </w:r>
      <w:r>
        <w:t xml:space="preserve">My son, beware of making many books; there is no end, and much study is weariness</w:t>
      </w:r>
      <w:r>
        <w:rPr>
          <w:rStyle w:val="FootnoteReference"/>
        </w:rPr>
        <w:footnoteReference w:id="11285"/>
      </w:r>
      <w:r>
        <w:t xml:space="preserve"> of flesh.</w:t>
      </w:r>
    </w:p>
    <w:p>
      <w:r>
        <w:rPr>
          <w:b/>
        </w:rPr>
        <w:t xml:space="preserve">13 </w:t>
      </w:r>
      <w:r>
        <w:t xml:space="preserve">The end of the matter, all is heard: fear</w:t>
      </w:r>
      <w:r>
        <w:rPr>
          <w:rStyle w:val="FootnoteReference"/>
        </w:rPr>
        <w:footnoteReference w:id="11286"/>
      </w:r>
      <w:r>
        <w:t xml:space="preserve"> God and keep his commandments, because this is the whole man.</w:t>
      </w:r>
    </w:p>
    <w:p>
      <w:r>
        <w:rPr>
          <w:b/>
        </w:rPr>
        <w:t xml:space="preserve">14 </w:t>
      </w:r>
      <w:r>
        <w:t xml:space="preserve">Because with every work God will bring into judgment, with every overlooked thing, whether good or whether evil.</w:t>
      </w:r>
    </w:p>
    <w:p>
      <w:r>
        <w:br w:type="page"/>
      </w:r>
    </w:p>
    <w:p>
      <w:pPr>
        <w:pStyle w:val="Heading1"/>
      </w:pPr>
      <w:r>
        <w:t xml:space="preserve">Song of Solomon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Song</w:t>
      </w:r>
      <w:r>
        <w:rPr>
          <w:rStyle w:val="FootnoteReference"/>
        </w:rPr>
        <w:footnoteReference w:id="11287"/>
      </w:r>
      <w:r>
        <w:t xml:space="preserve"> of Songs, which is Solomon's.</w:t>
      </w:r>
    </w:p>
    <w:p>
      <w:r>
        <w:rPr>
          <w:b/>
        </w:rPr>
        <w:t xml:space="preserve">2 </w:t>
      </w:r>
      <w:r>
        <w:t xml:space="preserve">Let him kiss me with kisses of his mouth, because your breasts are better than wine.</w:t>
      </w:r>
    </w:p>
    <w:p>
      <w:r>
        <w:rPr>
          <w:b/>
        </w:rPr>
        <w:t xml:space="preserve">3 </w:t>
      </w:r>
      <w:r>
        <w:t xml:space="preserve">And the scent of your perfumes is above all spices; your name is poured-out perfume, therefore young women loved you.</w:t>
      </w:r>
    </w:p>
    <w:p>
      <w:r>
        <w:rPr>
          <w:b/>
        </w:rPr>
        <w:t xml:space="preserve">4 </w:t>
      </w:r>
      <w:r>
        <w:t xml:space="preserve">They drew you; after you, into the scent of your perfumes we will</w:t>
      </w:r>
      <w:r>
        <w:rPr>
          <w:rStyle w:val="FootnoteReference"/>
        </w:rPr>
        <w:footnoteReference w:id="11288"/>
      </w:r>
      <w:r>
        <w:t xml:space="preserve"> run. The king brought me into his chamber. We will rejoice and be glad in you; we will love your breasts more than wine; the upright loved you.</w:t>
      </w:r>
    </w:p>
    <w:p>
      <w:r>
        <w:rPr>
          <w:b/>
        </w:rPr>
        <w:t xml:space="preserve">5 </w:t>
      </w:r>
      <w:r>
        <w:t xml:space="preserve">Black</w:t>
      </w:r>
      <w:r>
        <w:rPr>
          <w:rStyle w:val="FootnoteReference"/>
        </w:rPr>
        <w:footnoteReference w:id="11289"/>
      </w:r>
      <w:r>
        <w:t xml:space="preserve"> I am and beautiful, daughters of Jerusalem, like tents of Kedar, like skins of Solomon.</w:t>
      </w:r>
    </w:p>
    <w:p>
      <w:r>
        <w:rPr>
          <w:b/>
        </w:rPr>
        <w:t xml:space="preserve">6 </w:t>
      </w:r>
      <w:r>
        <w:t xml:space="preserve">Do not look</w:t>
      </w:r>
      <w:r>
        <w:rPr>
          <w:rStyle w:val="FootnoteReference"/>
        </w:rPr>
        <w:footnoteReference w:id="11290"/>
      </w:r>
      <w:r>
        <w:t xml:space="preserve"> at me because I am darkened, because the sun looked past me. The sons of my mother fought in me; they set me keeping vineyards; my own vineyard I did not keep.</w:t>
      </w:r>
    </w:p>
    <w:p>
      <w:r>
        <w:rPr>
          <w:b/>
        </w:rPr>
        <w:t xml:space="preserve">7 </w:t>
      </w:r>
      <w:r>
        <w:t xml:space="preserve">Tell me, you whom my soul loved, where do you shepherd, where do you rest at noon, lest I become as one veiled over flocks of your companions?</w:t>
      </w:r>
      <w:r>
        <w:rPr>
          <w:rStyle w:val="FootnoteReference"/>
        </w:rPr>
        <w:footnoteReference w:id="11291"/>
      </w:r>
    </w:p>
    <w:p>
      <w:r>
        <w:rPr>
          <w:b/>
        </w:rPr>
        <w:t xml:space="preserve">8 </w:t>
      </w:r>
      <w:r>
        <w:t xml:space="preserve">If you do not know yourself, beautiful among women, go out on the heels of the flocks and shepherd your young goats by the tents of the shepherds.</w:t>
      </w:r>
    </w:p>
    <w:p>
      <w:r>
        <w:rPr>
          <w:b/>
        </w:rPr>
        <w:t xml:space="preserve">9 </w:t>
      </w:r>
      <w:r>
        <w:t xml:space="preserve">To my mare among the chariots of Pharaoh I likened you, my dear one.</w:t>
      </w:r>
    </w:p>
    <w:p>
      <w:r>
        <w:rPr>
          <w:b/>
        </w:rPr>
        <w:t xml:space="preserve">10 </w:t>
      </w:r>
      <w:r>
        <w:t xml:space="preserve">How beautiful are your cheeks as turtledoves, your neck as necklaces.</w:t>
      </w:r>
    </w:p>
    <w:p>
      <w:r>
        <w:rPr>
          <w:b/>
        </w:rPr>
        <w:t xml:space="preserve">11 </w:t>
      </w:r>
      <w:r>
        <w:t xml:space="preserve">We will make for you likenesses of gold with marks of silver.</w:t>
      </w:r>
    </w:p>
    <w:p>
      <w:r>
        <w:rPr>
          <w:b/>
        </w:rPr>
        <w:t xml:space="preserve">12 </w:t>
      </w:r>
      <w:r>
        <w:t xml:space="preserve">Until the king is at his recline, my nard gave its scent.</w:t>
      </w:r>
    </w:p>
    <w:p>
      <w:r>
        <w:rPr>
          <w:b/>
        </w:rPr>
        <w:t xml:space="preserve">13 </w:t>
      </w:r>
      <w:r>
        <w:t xml:space="preserve">A bundle</w:t>
      </w:r>
      <w:r>
        <w:rPr>
          <w:rStyle w:val="FootnoteReference"/>
        </w:rPr>
        <w:footnoteReference w:id="11292"/>
      </w:r>
      <w:r>
        <w:t xml:space="preserve"> of myrrh is my beloved to me; between my breasts he will lodge.</w:t>
      </w:r>
    </w:p>
    <w:p>
      <w:r>
        <w:rPr>
          <w:b/>
        </w:rPr>
        <w:t xml:space="preserve">14 </w:t>
      </w:r>
      <w:r>
        <w:t xml:space="preserve">A cluster of cypress is my beloved</w:t>
      </w:r>
      <w:r>
        <w:rPr>
          <w:rStyle w:val="FootnoteReference"/>
        </w:rPr>
        <w:footnoteReference w:id="11293"/>
      </w:r>
      <w:r>
        <w:t xml:space="preserve"> to me in the vineyards of En-gedi.</w:t>
      </w:r>
    </w:p>
    <w:p>
      <w:r>
        <w:rPr>
          <w:b/>
        </w:rPr>
        <w:t xml:space="preserve">15 </w:t>
      </w:r>
      <w:r>
        <w:t xml:space="preserve">Look, you are beautiful, my dear one, look, you are beautiful; your eyes are doves.</w:t>
      </w:r>
    </w:p>
    <w:p>
      <w:r>
        <w:rPr>
          <w:b/>
        </w:rPr>
        <w:t xml:space="preserve">16 </w:t>
      </w:r>
      <w:r>
        <w:t xml:space="preserve">Look, you are beautiful, my beloved, and indeed lovely; our bed is shadowed.</w:t>
      </w:r>
    </w:p>
    <w:p>
      <w:r>
        <w:rPr>
          <w:b/>
        </w:rPr>
        <w:t xml:space="preserve">17 </w:t>
      </w:r>
      <w:r>
        <w:t xml:space="preserve">The beams</w:t>
      </w:r>
      <w:r>
        <w:rPr>
          <w:rStyle w:val="FootnoteReference"/>
        </w:rPr>
        <w:footnoteReference w:id="11294"/>
      </w:r>
      <w:r>
        <w:t xml:space="preserve"> of our houses are cedars, our rafters are cypresses.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I am a flower of the field, a lily</w:t>
      </w:r>
      <w:r>
        <w:rPr>
          <w:rStyle w:val="FootnoteReference"/>
        </w:rPr>
        <w:footnoteReference w:id="11295"/>
      </w:r>
      <w:r>
        <w:t xml:space="preserve"> of the valleys.</w:t>
      </w:r>
    </w:p>
    <w:p>
      <w:r>
        <w:rPr>
          <w:b/>
        </w:rPr>
        <w:t xml:space="preserve">2 </w:t>
      </w:r>
      <w:r>
        <w:t xml:space="preserve">As a lily in the midst of thorns, so my dear one in the midst of the daughters.</w:t>
      </w:r>
    </w:p>
    <w:p>
      <w:r>
        <w:rPr>
          <w:b/>
        </w:rPr>
        <w:t xml:space="preserve">3 </w:t>
      </w:r>
      <w:r>
        <w:t xml:space="preserve">As an apple tree among the trees of the grove, so my beloved</w:t>
      </w:r>
      <w:r>
        <w:rPr>
          <w:rStyle w:val="FootnoteReference"/>
        </w:rPr>
        <w:footnoteReference w:id="11296"/>
      </w:r>
      <w:r>
        <w:t xml:space="preserve"> in the midst of the sons. In his shadow I desired and sat</w:t>
      </w:r>
      <w:r>
        <w:rPr>
          <w:rStyle w:val="FootnoteReference"/>
        </w:rPr>
        <w:footnoteReference w:id="11297"/>
      </w:r>
      <w:r>
        <w:t xml:space="preserve">, and his fruit was sweet to my palate.</w:t>
      </w:r>
    </w:p>
    <w:p>
      <w:r>
        <w:rPr>
          <w:b/>
        </w:rPr>
        <w:t xml:space="preserve">4 </w:t>
      </w:r>
      <w:r>
        <w:t xml:space="preserve">Bring me into the house of wine; arrange love upon me.</w:t>
      </w:r>
    </w:p>
    <w:p>
      <w:r>
        <w:rPr>
          <w:b/>
        </w:rPr>
        <w:t xml:space="preserve">5 </w:t>
      </w:r>
      <w:r>
        <w:t xml:space="preserve">Strengthen me with perfumes, heap me with apples, because I am wounded by love.</w:t>
      </w:r>
    </w:p>
    <w:p>
      <w:r>
        <w:rPr>
          <w:b/>
        </w:rPr>
        <w:t xml:space="preserve">6 </w:t>
      </w:r>
      <w:r>
        <w:t xml:space="preserve">His left is under my head, and his right will embrace me.</w:t>
      </w:r>
    </w:p>
    <w:p>
      <w:r>
        <w:rPr>
          <w:b/>
        </w:rPr>
        <w:t xml:space="preserve">7 </w:t>
      </w:r>
      <w:r>
        <w:t xml:space="preserve">I bound you by oath, daughters of Jerusalem, by the powers and by the strengths of the field, that you not rouse and awaken love until it wishes.</w:t>
      </w:r>
    </w:p>
    <w:p>
      <w:r>
        <w:rPr>
          <w:b/>
        </w:rPr>
        <w:t xml:space="preserve">8 </w:t>
      </w:r>
      <w:r>
        <w:t xml:space="preserve">The voice</w:t>
      </w:r>
      <w:r>
        <w:rPr>
          <w:rStyle w:val="FootnoteReference"/>
        </w:rPr>
        <w:footnoteReference w:id="11298"/>
      </w:r>
      <w:r>
        <w:t xml:space="preserve"> of my beloved. Look, he comes, leaping on the mountains, springing on the hills.</w:t>
      </w:r>
    </w:p>
    <w:p>
      <w:r>
        <w:rPr>
          <w:b/>
        </w:rPr>
        <w:t xml:space="preserve">9 </w:t>
      </w:r>
      <w:r>
        <w:t xml:space="preserve">My beloved is like a gazelle or a fawn of deer on the mountains of Bethel. Look, he stands behind our wall, peering through the windows, looking through the lattices.</w:t>
      </w:r>
      <w:r>
        <w:rPr>
          <w:rStyle w:val="FootnoteReference"/>
        </w:rPr>
        <w:footnoteReference w:id="11299"/>
      </w:r>
    </w:p>
    <w:p>
      <w:r>
        <w:rPr>
          <w:b/>
        </w:rPr>
        <w:t xml:space="preserve">10 </w:t>
      </w:r>
      <w:r>
        <w:t xml:space="preserve">My beloved answers and says to me, "Rise</w:t>
      </w:r>
      <w:r>
        <w:rPr>
          <w:rStyle w:val="FootnoteReference"/>
        </w:rPr>
        <w:footnoteReference w:id="11300"/>
      </w:r>
      <w:r>
        <w:t xml:space="preserve">, come, my dear one, my beautiful one, my dove."</w:t>
      </w:r>
    </w:p>
    <w:p>
      <w:r>
        <w:rPr>
          <w:b/>
        </w:rPr>
        <w:t xml:space="preserve">11 </w:t>
      </w:r>
      <w:r>
        <w:t xml:space="preserve">Because look, the winter passed, the rain departed, went away for itself.</w:t>
      </w:r>
    </w:p>
    <w:p>
      <w:r>
        <w:rPr>
          <w:b/>
        </w:rPr>
        <w:t xml:space="preserve">12 </w:t>
      </w:r>
      <w:r>
        <w:t xml:space="preserve">The flowers</w:t>
      </w:r>
      <w:r>
        <w:rPr>
          <w:rStyle w:val="FootnoteReference"/>
        </w:rPr>
        <w:footnoteReference w:id="11301"/>
      </w:r>
      <w:r>
        <w:t xml:space="preserve"> appeared in the land, the time of pruning arrived, the voice of a turtledove was heard in our land.</w:t>
      </w:r>
    </w:p>
    <w:p>
      <w:r>
        <w:rPr>
          <w:b/>
        </w:rPr>
        <w:t xml:space="preserve">13 </w:t>
      </w:r>
      <w:r>
        <w:t xml:space="preserve">The fig tree</w:t>
      </w:r>
      <w:r>
        <w:rPr>
          <w:rStyle w:val="FootnoteReference"/>
        </w:rPr>
        <w:footnoteReference w:id="11302"/>
      </w:r>
      <w:r>
        <w:t xml:space="preserve"> brought forth its early figs; the vineyards in blossom gave scent. Rise, come, my dear one, my beautiful one, my dove.</w:t>
      </w:r>
    </w:p>
    <w:p>
      <w:r>
        <w:rPr>
          <w:b/>
        </w:rPr>
        <w:t xml:space="preserve">14 </w:t>
      </w:r>
      <w:r>
        <w:t xml:space="preserve">And come, my dove</w:t>
      </w:r>
      <w:r>
        <w:rPr>
          <w:rStyle w:val="FootnoteReference"/>
        </w:rPr>
        <w:footnoteReference w:id="11303"/>
      </w:r>
      <w:r>
        <w:t xml:space="preserve">, in the shelter of the rock, close to the forewall; show me your face and let me hear your voice, because your voice is sweet and your face is beautiful.</w:t>
      </w:r>
    </w:p>
    <w:p>
      <w:r>
        <w:rPr>
          <w:b/>
        </w:rPr>
        <w:t xml:space="preserve">15 </w:t>
      </w:r>
      <w:r>
        <w:t xml:space="preserve">Catch for us foxes, little foxes destroying vineyards, and our vineyards are blossoming.</w:t>
      </w:r>
    </w:p>
    <w:p>
      <w:r>
        <w:rPr>
          <w:b/>
        </w:rPr>
        <w:t xml:space="preserve">16 </w:t>
      </w:r>
      <w:r>
        <w:t xml:space="preserve">My beloved</w:t>
      </w:r>
      <w:r>
        <w:rPr>
          <w:rStyle w:val="FootnoteReference"/>
        </w:rPr>
        <w:footnoteReference w:id="11304"/>
      </w:r>
      <w:r>
        <w:t xml:space="preserve"> is to me, and I am to him, the one shepherding among the lilies.</w:t>
      </w:r>
    </w:p>
    <w:p>
      <w:r>
        <w:rPr>
          <w:b/>
        </w:rPr>
        <w:t xml:space="preserve">17 </w:t>
      </w:r>
      <w:r>
        <w:t xml:space="preserve">Until the day breathes and the shadows</w:t>
      </w:r>
      <w:r>
        <w:rPr>
          <w:rStyle w:val="FootnoteReference"/>
        </w:rPr>
        <w:footnoteReference w:id="11305"/>
      </w:r>
      <w:r>
        <w:t xml:space="preserve"> move, turn back; be like, my beloved, a gazelle or fawn of deer on the mountains of clefts.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On my bed by nights I sought the one my soul loved</w:t>
      </w:r>
      <w:r>
        <w:rPr>
          <w:rStyle w:val="FootnoteReference"/>
        </w:rPr>
        <w:footnoteReference w:id="11306"/>
      </w:r>
      <w:r>
        <w:t xml:space="preserve">; I sought him and did not find him; I called him and he did not answer me.</w:t>
      </w:r>
    </w:p>
    <w:p>
      <w:r>
        <w:rPr>
          <w:b/>
        </w:rPr>
        <w:t xml:space="preserve">2 </w:t>
      </w:r>
      <w:r>
        <w:t xml:space="preserve">I will rise</w:t>
      </w:r>
      <w:r>
        <w:rPr>
          <w:rStyle w:val="FootnoteReference"/>
        </w:rPr>
        <w:footnoteReference w:id="11307"/>
      </w:r>
      <w:r>
        <w:t xml:space="preserve"> now and circle in the city, in the markets and in the squares, and seek the one my soul loved; I sought him and did not find him.</w:t>
      </w:r>
    </w:p>
    <w:p>
      <w:r>
        <w:rPr>
          <w:b/>
        </w:rPr>
        <w:t xml:space="preserve">3 </w:t>
      </w:r>
      <w:r>
        <w:t xml:space="preserve">Watchmen</w:t>
      </w:r>
      <w:r>
        <w:rPr>
          <w:rStyle w:val="FootnoteReference"/>
        </w:rPr>
        <w:footnoteReference w:id="11308"/>
      </w:r>
      <w:r>
        <w:t xml:space="preserve"> found me, those circling in the city: "Did you see the one my soul loved?"</w:t>
      </w:r>
    </w:p>
    <w:p>
      <w:r>
        <w:rPr>
          <w:b/>
        </w:rPr>
        <w:t xml:space="preserve">4 </w:t>
      </w:r>
      <w:r>
        <w:t xml:space="preserve">Scarcely when I passed from them, until I found the one my soul loved. I seized him and will not let him go until I brought him into the house of my mother and into the chamber of the one who conceived me.</w:t>
      </w:r>
    </w:p>
    <w:p>
      <w:r>
        <w:rPr>
          <w:b/>
        </w:rPr>
        <w:t xml:space="preserve">5 </w:t>
      </w:r>
      <w:r>
        <w:t xml:space="preserve">I bound you by oath, daughters of Jerusalem, by the powers and by the strengths of the field, that you not rouse and awaken love until it wishes.</w:t>
      </w:r>
    </w:p>
    <w:p>
      <w:r>
        <w:rPr>
          <w:b/>
        </w:rPr>
        <w:t xml:space="preserve">6 </w:t>
      </w:r>
      <w:r>
        <w:t xml:space="preserve">Who is this coming up from the wilderness like columns of smoke, perfumed</w:t>
      </w:r>
      <w:r>
        <w:rPr>
          <w:rStyle w:val="FootnoteReference"/>
        </w:rPr>
        <w:footnoteReference w:id="11309"/>
      </w:r>
      <w:r>
        <w:t xml:space="preserve"> with myrrh and frankincense, from all powders of perfumer?</w:t>
      </w:r>
    </w:p>
    <w:p>
      <w:r>
        <w:rPr>
          <w:b/>
        </w:rPr>
        <w:t xml:space="preserve">7 </w:t>
      </w:r>
      <w:r>
        <w:t xml:space="preserve">Look, Solomon's couch: sixty mighty men around it, from the mighty men of Israel.</w:t>
      </w:r>
    </w:p>
    <w:p>
      <w:r>
        <w:rPr>
          <w:b/>
        </w:rPr>
        <w:t xml:space="preserve">8 </w:t>
      </w:r>
      <w:r>
        <w:t xml:space="preserve">All holding a sword, trained in war, each man with his sword on his thigh because of terrors in the nights.</w:t>
      </w:r>
    </w:p>
    <w:p>
      <w:r>
        <w:rPr>
          <w:b/>
        </w:rPr>
        <w:t xml:space="preserve">9 </w:t>
      </w:r>
      <w:r>
        <w:t xml:space="preserve">The king, Solomon, made for himself a litter from woods of Lebanon.</w:t>
      </w:r>
    </w:p>
    <w:p>
      <w:r>
        <w:rPr>
          <w:b/>
        </w:rPr>
        <w:t xml:space="preserve">10 </w:t>
      </w:r>
      <w:r>
        <w:t xml:space="preserve">He made its pillars silver and its recliner gold, its seat purple, its inside paved with love from the daughters of Jerusalem.</w:t>
      </w:r>
    </w:p>
    <w:p>
      <w:r>
        <w:rPr>
          <w:b/>
        </w:rPr>
        <w:t xml:space="preserve">11 </w:t>
      </w:r>
      <w:r>
        <w:t xml:space="preserve">Come out and see King Solomon, with the crown with which his mother</w:t>
      </w:r>
      <w:r>
        <w:rPr>
          <w:rStyle w:val="FootnoteReference"/>
        </w:rPr>
        <w:footnoteReference w:id="11310"/>
      </w:r>
      <w:r>
        <w:t xml:space="preserve"> crowned him in the day of his wedding and in the day of gladness of his heart.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Look, you are beautiful, my dear one, look, you are beautiful; your eyes are doves behind your veil. Your hair is like herds of goats that were revealed from Gilead.</w:t>
      </w:r>
    </w:p>
    <w:p>
      <w:r>
        <w:rPr>
          <w:b/>
        </w:rPr>
        <w:t xml:space="preserve">2 </w:t>
      </w:r>
      <w:r>
        <w:t xml:space="preserve">Your teeth</w:t>
      </w:r>
      <w:r>
        <w:rPr>
          <w:rStyle w:val="FootnoteReference"/>
        </w:rPr>
        <w:footnoteReference w:id="11311"/>
      </w:r>
      <w:r>
        <w:t xml:space="preserve"> are like a herd of shorn sheep that came up from the washing, all bearing twins, and no barren one is among them.</w:t>
      </w:r>
    </w:p>
    <w:p>
      <w:r>
        <w:rPr>
          <w:b/>
        </w:rPr>
        <w:t xml:space="preserve">3 </w:t>
      </w:r>
      <w:r>
        <w:t xml:space="preserve">Your lips</w:t>
      </w:r>
      <w:r>
        <w:rPr>
          <w:rStyle w:val="FootnoteReference"/>
        </w:rPr>
        <w:footnoteReference w:id="11312"/>
      </w:r>
      <w:r>
        <w:t xml:space="preserve"> are like a scarlet cord, and your speech is beautiful; your cheek is like a piece of pomegranate behind your veil.</w:t>
      </w:r>
    </w:p>
    <w:p>
      <w:r>
        <w:rPr>
          <w:b/>
        </w:rPr>
        <w:t xml:space="preserve">4 </w:t>
      </w:r>
      <w:r>
        <w:t xml:space="preserve">Your neck</w:t>
      </w:r>
      <w:r>
        <w:rPr>
          <w:rStyle w:val="FootnoteReference"/>
        </w:rPr>
        <w:footnoteReference w:id="11313"/>
      </w:r>
      <w:r>
        <w:t xml:space="preserve"> is like the tower of David, built for ranks; a thousand shields hang upon it, all darts of the mighty men.</w:t>
      </w:r>
    </w:p>
    <w:p>
      <w:r>
        <w:rPr>
          <w:b/>
        </w:rPr>
        <w:t xml:space="preserve">5 </w:t>
      </w:r>
      <w:r>
        <w:t xml:space="preserve">Your two breasts</w:t>
      </w:r>
      <w:r>
        <w:rPr>
          <w:rStyle w:val="FootnoteReference"/>
        </w:rPr>
        <w:footnoteReference w:id="11314"/>
      </w:r>
      <w:r>
        <w:t xml:space="preserve"> are like two fawns, twins of a gazelle, grazing among lilies.</w:t>
      </w:r>
    </w:p>
    <w:p>
      <w:r>
        <w:rPr>
          <w:b/>
        </w:rPr>
        <w:t xml:space="preserve">6 </w:t>
      </w:r>
      <w:r>
        <w:t xml:space="preserve">Until the day breathes and the shadows move, I will go for myself to the mountain</w:t>
      </w:r>
      <w:r>
        <w:rPr>
          <w:rStyle w:val="FootnoteReference"/>
        </w:rPr>
        <w:footnoteReference w:id="11315"/>
      </w:r>
      <w:r>
        <w:t xml:space="preserve"> of myrrh and to the hill of frankincense.</w:t>
      </w:r>
    </w:p>
    <w:p>
      <w:r>
        <w:rPr>
          <w:b/>
        </w:rPr>
        <w:t xml:space="preserve">7 </w:t>
      </w:r>
      <w:r>
        <w:t xml:space="preserve">You are wholly beautiful, my dear one, and no blemish is in you.</w:t>
      </w:r>
    </w:p>
    <w:p>
      <w:r>
        <w:rPr>
          <w:b/>
        </w:rPr>
        <w:t xml:space="preserve">8 </w:t>
      </w:r>
      <w:r>
        <w:t xml:space="preserve">Come from Lebanon</w:t>
      </w:r>
      <w:r>
        <w:rPr>
          <w:rStyle w:val="FootnoteReference"/>
        </w:rPr>
        <w:footnoteReference w:id="11316"/>
      </w:r>
      <w:r>
        <w:t xml:space="preserve">, bride, come from Lebanon; you will come and pass from the summit of Faith, from the top of Senir and Hermon, from the dens of lions, from the mountains of leopards.</w:t>
      </w:r>
    </w:p>
    <w:p>
      <w:r>
        <w:rPr>
          <w:b/>
        </w:rPr>
        <w:t xml:space="preserve">9 </w:t>
      </w:r>
      <w:r>
        <w:t xml:space="preserve">You heartened us, my sister</w:t>
      </w:r>
      <w:r>
        <w:rPr>
          <w:rStyle w:val="FootnoteReference"/>
        </w:rPr>
        <w:footnoteReference w:id="11317"/>
      </w:r>
      <w:r>
        <w:t xml:space="preserve"> bride, you heartened us with one of your eyes, with one chain of your neck.</w:t>
      </w:r>
    </w:p>
    <w:p>
      <w:r>
        <w:rPr>
          <w:b/>
        </w:rPr>
        <w:t xml:space="preserve">10 </w:t>
      </w:r>
      <w:r>
        <w:t xml:space="preserve">How beautiful are your breasts, my sister bride; how beautiful are your breasts beyond wine, and the scent of your garments is above all spices.</w:t>
      </w:r>
    </w:p>
    <w:p>
      <w:r>
        <w:rPr>
          <w:b/>
        </w:rPr>
        <w:t xml:space="preserve">11 </w:t>
      </w:r>
      <w:r>
        <w:t xml:space="preserve">A honeycomb drips from your lips</w:t>
      </w:r>
      <w:r>
        <w:rPr>
          <w:rStyle w:val="FootnoteReference"/>
        </w:rPr>
        <w:footnoteReference w:id="11318"/>
      </w:r>
      <w:r>
        <w:t xml:space="preserve">, bride; honey and milk are under your tongue, and the scent of your garments is like the scent of Lebanon.</w:t>
      </w:r>
    </w:p>
    <w:p>
      <w:r>
        <w:rPr>
          <w:b/>
        </w:rPr>
        <w:t xml:space="preserve">12 </w:t>
      </w:r>
      <w:r>
        <w:t xml:space="preserve">A garden</w:t>
      </w:r>
      <w:r>
        <w:rPr>
          <w:rStyle w:val="FootnoteReference"/>
        </w:rPr>
        <w:footnoteReference w:id="11319"/>
      </w:r>
      <w:r>
        <w:t xml:space="preserve"> shut, my sister bride; a garden shut, a spring sealed.</w:t>
      </w:r>
    </w:p>
    <w:p>
      <w:r>
        <w:rPr>
          <w:b/>
        </w:rPr>
        <w:t xml:space="preserve">13 </w:t>
      </w:r>
      <w:r>
        <w:t xml:space="preserve">Your shoots are an orchard of pomegranates with the fruit of choice things, cypresses with nards.</w:t>
      </w:r>
    </w:p>
    <w:p>
      <w:r>
        <w:rPr>
          <w:b/>
        </w:rPr>
        <w:t xml:space="preserve">14 </w:t>
      </w:r>
      <w:r>
        <w:t xml:space="preserve">Nard and saffron, cane and cinnamon</w:t>
      </w:r>
      <w:r>
        <w:rPr>
          <w:rStyle w:val="FootnoteReference"/>
        </w:rPr>
        <w:footnoteReference w:id="11320"/>
      </w:r>
      <w:r>
        <w:t xml:space="preserve"> with all the woods of Lebanon, myrrh and aloes with all the first perfumes.</w:t>
      </w:r>
    </w:p>
    <w:p>
      <w:r>
        <w:rPr>
          <w:b/>
        </w:rPr>
        <w:t xml:space="preserve">15 </w:t>
      </w:r>
      <w:r>
        <w:t xml:space="preserve">A spring of gardens, a well</w:t>
      </w:r>
      <w:r>
        <w:rPr>
          <w:rStyle w:val="FootnoteReference"/>
        </w:rPr>
        <w:footnoteReference w:id="11321"/>
      </w:r>
      <w:r>
        <w:t xml:space="preserve"> of living water and rushing from Lebanon.</w:t>
      </w:r>
    </w:p>
    <w:p>
      <w:r>
        <w:rPr>
          <w:b/>
        </w:rPr>
        <w:t xml:space="preserve">16 </w:t>
      </w:r>
      <w:r>
        <w:t xml:space="preserve">Awake</w:t>
      </w:r>
      <w:r>
        <w:rPr>
          <w:rStyle w:val="FootnoteReference"/>
        </w:rPr>
        <w:footnoteReference w:id="11322"/>
      </w:r>
      <w:r>
        <w:t xml:space="preserve">, north wind, and come, south wind. Blow through my garden, and let my spices flow. Let my beloved go down into his garden and eat the fruit of his choice fruits.</w:t>
      </w:r>
      <w:r>
        <w:rPr>
          <w:rStyle w:val="FootnoteReference"/>
        </w:rPr>
        <w:footnoteReference w:id="11323"/>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I entered my garden, my sister</w:t>
      </w:r>
      <w:r>
        <w:rPr>
          <w:rStyle w:val="FootnoteReference"/>
        </w:rPr>
        <w:footnoteReference w:id="11324"/>
      </w:r>
      <w:r>
        <w:t xml:space="preserve"> bride; I gathered my myrrh with my spices; I ate my bread with my honey, I drank my wine with my milk. Eat, companions, and drink and be drunk, brothers.</w:t>
      </w:r>
    </w:p>
    <w:p>
      <w:r>
        <w:rPr>
          <w:b/>
        </w:rPr>
        <w:t xml:space="preserve">2 </w:t>
      </w:r>
      <w:r>
        <w:t xml:space="preserve">I sleep</w:t>
      </w:r>
      <w:r>
        <w:rPr>
          <w:rStyle w:val="FootnoteReference"/>
        </w:rPr>
        <w:footnoteReference w:id="11325"/>
      </w:r>
      <w:r>
        <w:t xml:space="preserve">, and my heart wakes. The voice of my beloved knocks at the door: "Open to me, my sister, my dear one, my dove, my perfect one, because my head is filled with dew and my locks with drops of night."</w:t>
      </w:r>
    </w:p>
    <w:p>
      <w:r>
        <w:rPr>
          <w:b/>
        </w:rPr>
        <w:t xml:space="preserve">3 </w:t>
      </w:r>
      <w:r>
        <w:t xml:space="preserve">I stripped my tunic; how shall I put it on? I washed my feet; how shall I soil them?</w:t>
      </w:r>
    </w:p>
    <w:p>
      <w:r>
        <w:rPr>
          <w:b/>
        </w:rPr>
        <w:t xml:space="preserve">4 </w:t>
      </w:r>
      <w:r>
        <w:t xml:space="preserve">My beloved sent his hand through the opening, and my inward parts trembled for him.</w:t>
      </w:r>
    </w:p>
    <w:p>
      <w:r>
        <w:rPr>
          <w:b/>
        </w:rPr>
        <w:t xml:space="preserve">5 </w:t>
      </w:r>
      <w:r>
        <w:t xml:space="preserve">I rose</w:t>
      </w:r>
      <w:r>
        <w:rPr>
          <w:rStyle w:val="FootnoteReference"/>
        </w:rPr>
        <w:footnoteReference w:id="11326"/>
      </w:r>
      <w:r>
        <w:t xml:space="preserve">, I, to open to my beloved; my hands dripped myrrh, my fingers were full of myrrh upon the handles of the lock.</w:t>
      </w:r>
    </w:p>
    <w:p>
      <w:r>
        <w:rPr>
          <w:b/>
        </w:rPr>
        <w:t xml:space="preserve">6 </w:t>
      </w:r>
      <w:r>
        <w:t xml:space="preserve">I opened, I, to my beloved; my beloved passed by. My soul went out at his word</w:t>
      </w:r>
      <w:r>
        <w:rPr>
          <w:rStyle w:val="FootnoteReference"/>
        </w:rPr>
        <w:footnoteReference w:id="11327"/>
      </w:r>
      <w:r>
        <w:t xml:space="preserve">. I sought him and did not find him; I called him and he did not answer me.</w:t>
      </w:r>
      <w:r>
        <w:rPr>
          <w:rStyle w:val="FootnoteReference"/>
        </w:rPr>
        <w:footnoteReference w:id="11328"/>
      </w:r>
    </w:p>
    <w:p>
      <w:r>
        <w:rPr>
          <w:b/>
        </w:rPr>
        <w:t xml:space="preserve">7 </w:t>
      </w:r>
      <w:r>
        <w:t xml:space="preserve">Watchmen</w:t>
      </w:r>
      <w:r>
        <w:rPr>
          <w:rStyle w:val="FootnoteReference"/>
        </w:rPr>
        <w:footnoteReference w:id="11329"/>
      </w:r>
      <w:r>
        <w:t xml:space="preserve"> found me, those circling in the city. They struck me, they wounded me; watchers of the walls took my veil from me.</w:t>
      </w:r>
    </w:p>
    <w:p>
      <w:r>
        <w:rPr>
          <w:b/>
        </w:rPr>
        <w:t xml:space="preserve">8 </w:t>
      </w:r>
      <w:r>
        <w:t xml:space="preserve">I bound you by oath, daughters of Jerusalem, by the powers and by the strengths of the field, if you find my beloved, what will you report to him? That I am wounded by love.</w:t>
      </w:r>
    </w:p>
    <w:p>
      <w:r>
        <w:rPr>
          <w:b/>
        </w:rPr>
        <w:t xml:space="preserve">9 </w:t>
      </w:r>
      <w:r>
        <w:t xml:space="preserve">What is</w:t>
      </w:r>
      <w:r>
        <w:rPr>
          <w:rStyle w:val="FootnoteReference"/>
        </w:rPr>
        <w:footnoteReference w:id="11330"/>
      </w:r>
      <w:r>
        <w:t xml:space="preserve"> your beloved beyond beloved, beautiful among women? What is your beloved beyond beloved, that thus you bound us by oath?</w:t>
      </w:r>
    </w:p>
    <w:p>
      <w:r>
        <w:rPr>
          <w:b/>
        </w:rPr>
        <w:t xml:space="preserve">10 </w:t>
      </w:r>
      <w:r>
        <w:t xml:space="preserve">My beloved</w:t>
      </w:r>
      <w:r>
        <w:rPr>
          <w:rStyle w:val="FootnoteReference"/>
        </w:rPr>
        <w:footnoteReference w:id="11331"/>
      </w:r>
      <w:r>
        <w:t xml:space="preserve"> is white and ruddy, singled out from myriads.</w:t>
      </w:r>
    </w:p>
    <w:p>
      <w:r>
        <w:rPr>
          <w:b/>
        </w:rPr>
        <w:t xml:space="preserve">11 </w:t>
      </w:r>
      <w:r>
        <w:t xml:space="preserve">His head</w:t>
      </w:r>
      <w:r>
        <w:rPr>
          <w:rStyle w:val="FootnoteReference"/>
        </w:rPr>
        <w:footnoteReference w:id="11332"/>
      </w:r>
      <w:r>
        <w:t xml:space="preserve"> is gold and fine gold; his curls are like palm branches, black as a raven.</w:t>
      </w:r>
    </w:p>
    <w:p>
      <w:r>
        <w:rPr>
          <w:b/>
        </w:rPr>
        <w:t xml:space="preserve">12 </w:t>
      </w:r>
      <w:r>
        <w:t xml:space="preserve">His eyes</w:t>
      </w:r>
      <w:r>
        <w:rPr>
          <w:rStyle w:val="FootnoteReference"/>
        </w:rPr>
        <w:footnoteReference w:id="11333"/>
      </w:r>
      <w:r>
        <w:t xml:space="preserve"> are like doves by fillings of waters, washed in milk, sitting by fullness of waters.</w:t>
      </w:r>
    </w:p>
    <w:p>
      <w:r>
        <w:rPr>
          <w:b/>
        </w:rPr>
        <w:t xml:space="preserve">13 </w:t>
      </w:r>
      <w:r>
        <w:t xml:space="preserve">His cheeks</w:t>
      </w:r>
      <w:r>
        <w:rPr>
          <w:rStyle w:val="FootnoteReference"/>
        </w:rPr>
        <w:footnoteReference w:id="11334"/>
      </w:r>
      <w:r>
        <w:t xml:space="preserve"> are like bowls of spice, growing perfumes; his lips are lilies dripping full myrrh.</w:t>
      </w:r>
    </w:p>
    <w:p>
      <w:r>
        <w:rPr>
          <w:b/>
        </w:rPr>
        <w:t xml:space="preserve">14 </w:t>
      </w:r>
      <w:r>
        <w:t xml:space="preserve">His hands</w:t>
      </w:r>
      <w:r>
        <w:rPr>
          <w:rStyle w:val="FootnoteReference"/>
        </w:rPr>
        <w:footnoteReference w:id="11335"/>
      </w:r>
      <w:r>
        <w:t xml:space="preserve"> are gold-carved, filled with Tarshish; his belly is an ivory box on a sapphire stone.</w:t>
      </w:r>
    </w:p>
    <w:p>
      <w:r>
        <w:rPr>
          <w:b/>
        </w:rPr>
        <w:t xml:space="preserve">15 </w:t>
      </w:r>
      <w:r>
        <w:t xml:space="preserve">His legs</w:t>
      </w:r>
      <w:r>
        <w:rPr>
          <w:rStyle w:val="FootnoteReference"/>
        </w:rPr>
        <w:footnoteReference w:id="11336"/>
      </w:r>
      <w:r>
        <w:t xml:space="preserve"> are marble pillars founded on gold bases; his appearance is like Lebanon, choice as cedars.</w:t>
      </w:r>
    </w:p>
    <w:p>
      <w:r>
        <w:rPr>
          <w:b/>
        </w:rPr>
        <w:t xml:space="preserve">16 </w:t>
      </w:r>
      <w:r>
        <w:t xml:space="preserve">His throat is sweetness, and he is wholly desirable. This is my beloved</w:t>
      </w:r>
      <w:r>
        <w:rPr>
          <w:rStyle w:val="FootnoteReference"/>
        </w:rPr>
        <w:footnoteReference w:id="11337"/>
      </w:r>
      <w:r>
        <w:t xml:space="preserve"> and this is my dear one, daughters of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Where did your beloved go, beautiful among women? Where did your beloved look away, and we will seek him with you?</w:t>
      </w:r>
    </w:p>
    <w:p>
      <w:r>
        <w:rPr>
          <w:b/>
        </w:rPr>
        <w:t xml:space="preserve">2 </w:t>
      </w:r>
      <w:r>
        <w:t xml:space="preserve">My beloved went down into his garden, into bowls of spice, to shepherd in gardens and gather lilies</w:t>
      </w:r>
      <w:r>
        <w:rPr>
          <w:rStyle w:val="FootnoteReference"/>
        </w:rPr>
        <w:footnoteReference w:id="11338"/>
      </w:r>
      <w:r>
        <w:t xml:space="preserve">.</w:t>
      </w:r>
    </w:p>
    <w:p>
      <w:r>
        <w:rPr>
          <w:b/>
        </w:rPr>
        <w:t xml:space="preserve">3 </w:t>
      </w:r>
      <w:r>
        <w:t xml:space="preserve">I am to my beloved, and my beloved is to me, the one shepherding among the lilies.</w:t>
      </w:r>
    </w:p>
    <w:p>
      <w:r>
        <w:rPr>
          <w:b/>
        </w:rPr>
        <w:t xml:space="preserve">4 </w:t>
      </w:r>
      <w:r>
        <w:t xml:space="preserve">You are beautiful</w:t>
      </w:r>
      <w:r>
        <w:rPr>
          <w:rStyle w:val="FootnoteReference"/>
        </w:rPr>
        <w:footnoteReference w:id="11339"/>
      </w:r>
      <w:r>
        <w:t xml:space="preserve">, my dear one, as Delight; lovely as Jerusalem; awe-inspiring as battle-lines.</w:t>
      </w:r>
    </w:p>
    <w:p>
      <w:r>
        <w:rPr>
          <w:b/>
        </w:rPr>
        <w:t xml:space="preserve">5 </w:t>
      </w:r>
      <w:r>
        <w:t xml:space="preserve">Turn your eyes from before me, because they gave me wings. Your hair is like herds of goats that appeared from Gilead.</w:t>
      </w:r>
    </w:p>
    <w:p>
      <w:r>
        <w:rPr>
          <w:b/>
        </w:rPr>
        <w:t xml:space="preserve">6 </w:t>
      </w:r>
      <w:r>
        <w:t xml:space="preserve">Your teeth are like a herd of shorn sheep that came up from washing, all bearing twins, and there is not a barren one among them.</w:t>
      </w:r>
    </w:p>
    <w:p>
      <w:r>
        <w:rPr>
          <w:b/>
        </w:rPr>
        <w:t xml:space="preserve">7 </w:t>
      </w:r>
      <w:r>
        <w:t xml:space="preserve">Your lips are like a scarlet cord, and your speech is beautiful; your cheek is like a piece of pomegranate behind your veil.</w:t>
      </w:r>
    </w:p>
    <w:p>
      <w:r>
        <w:rPr>
          <w:b/>
        </w:rPr>
        <w:t xml:space="preserve">8 </w:t>
      </w:r>
      <w:r>
        <w:t xml:space="preserve">Sixty queens and eighty concubines and maidens without number.</w:t>
      </w:r>
    </w:p>
    <w:p>
      <w:r>
        <w:rPr>
          <w:b/>
        </w:rPr>
        <w:t xml:space="preserve">9 </w:t>
      </w:r>
      <w:r>
        <w:t xml:space="preserve">One is my dove</w:t>
      </w:r>
      <w:r>
        <w:rPr>
          <w:rStyle w:val="FootnoteReference"/>
        </w:rPr>
        <w:footnoteReference w:id="11340"/>
      </w:r>
      <w:r>
        <w:t xml:space="preserve">, my perfect one; one to her mother, chosen to one who bore her. Daughters saw her and will bless her; queens and concubines, and they will praise her.</w:t>
      </w:r>
    </w:p>
    <w:p>
      <w:r>
        <w:rPr>
          <w:b/>
        </w:rPr>
        <w:t xml:space="preserve">10 </w:t>
      </w:r>
      <w:r>
        <w:t xml:space="preserve">Who is this looking forth as dawn, beautiful as the moon, chosen as the sun, awe-inspiring as battle-lines?</w:t>
      </w:r>
    </w:p>
    <w:p>
      <w:r>
        <w:rPr>
          <w:b/>
        </w:rPr>
        <w:t xml:space="preserve">11 </w:t>
      </w:r>
      <w:r>
        <w:t xml:space="preserve">Into a garden of walnut trees I went down, to see among the produce of the torrent, to see whether the vine blossomed, whether the pomegranates bloomed. There I will give my breasts to you.</w:t>
      </w:r>
    </w:p>
    <w:p>
      <w:r>
        <w:rPr>
          <w:b/>
        </w:rPr>
        <w:t xml:space="preserve">12 </w:t>
      </w:r>
      <w:r>
        <w:t xml:space="preserve">My soul did not know; it set me among the chariots of Amminadab.</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Return, return, Shulammite; return, return, and we will look on you. What will you see in Shulammite? She comes like dances of the camps.</w:t>
      </w:r>
    </w:p>
    <w:p>
      <w:r>
        <w:rPr>
          <w:b/>
        </w:rPr>
        <w:t xml:space="preserve">2 </w:t>
      </w:r>
      <w:r>
        <w:t xml:space="preserve">How beautiful are your steps in sandals, daughter of Nadab. The curves of your thighs are like necklaces, the work of hands of a craftsman.</w:t>
      </w:r>
    </w:p>
    <w:p>
      <w:r>
        <w:rPr>
          <w:b/>
        </w:rPr>
        <w:t xml:space="preserve">3 </w:t>
      </w:r>
      <w:r>
        <w:t xml:space="preserve">Your navel is a carved bowl, not lacking mixed wine; your belly is a heap of wheat fenced round with lilies.</w:t>
      </w:r>
    </w:p>
    <w:p>
      <w:r>
        <w:rPr>
          <w:b/>
        </w:rPr>
        <w:t xml:space="preserve">4 </w:t>
      </w:r>
      <w:r>
        <w:t xml:space="preserve">Your two breasts are like two twin fawns of a gazelle.</w:t>
      </w:r>
    </w:p>
    <w:p>
      <w:r>
        <w:rPr>
          <w:b/>
        </w:rPr>
        <w:t xml:space="preserve">5 </w:t>
      </w:r>
      <w:r>
        <w:t xml:space="preserve">Your neck is like an ivory tower. Your eyes are like pools in Heshbon at the gates of the daughter of multitudes. Your nose is like the tower of Lebanon watching the face of Damascus.</w:t>
      </w:r>
    </w:p>
    <w:p>
      <w:r>
        <w:rPr>
          <w:b/>
        </w:rPr>
        <w:t xml:space="preserve">6 </w:t>
      </w:r>
      <w:r>
        <w:t xml:space="preserve">Your head upon you is like Carmel, and the braid of your head is like purple; a king is bound in the flowing locks.</w:t>
      </w:r>
    </w:p>
    <w:p>
      <w:r>
        <w:rPr>
          <w:b/>
        </w:rPr>
        <w:t xml:space="preserve">7 </w:t>
      </w:r>
      <w:r>
        <w:t xml:space="preserve">How beautiful you became, and how sweet, love, in your delights.</w:t>
      </w:r>
    </w:p>
    <w:p>
      <w:r>
        <w:rPr>
          <w:b/>
        </w:rPr>
        <w:t xml:space="preserve">8 </w:t>
      </w:r>
      <w:r>
        <w:t xml:space="preserve">This stature of yours was likened to a palm tree, and your breasts to clusters.</w:t>
      </w:r>
    </w:p>
    <w:p>
      <w:r>
        <w:rPr>
          <w:b/>
        </w:rPr>
        <w:t xml:space="preserve">9 </w:t>
      </w:r>
      <w:r>
        <w:t xml:space="preserve">I said, I will climb the palm tree, I will seize its heights; and now let your breasts be as clusters of the vine, and the scent of your nose as apples.</w:t>
      </w:r>
    </w:p>
    <w:p>
      <w:r>
        <w:rPr>
          <w:b/>
        </w:rPr>
        <w:t xml:space="preserve">10 </w:t>
      </w:r>
      <w:r>
        <w:t xml:space="preserve">And your throat is like the good wine, going to my beloved in straightness, fitted to my lips and teeth.</w:t>
      </w:r>
    </w:p>
    <w:p>
      <w:r>
        <w:rPr>
          <w:b/>
        </w:rPr>
        <w:t xml:space="preserve">11 </w:t>
      </w:r>
      <w:r>
        <w:t xml:space="preserve">I am to my beloved, and his turning is upon me.</w:t>
      </w:r>
    </w:p>
    <w:p>
      <w:r>
        <w:rPr>
          <w:b/>
        </w:rPr>
        <w:t xml:space="preserve">12 </w:t>
      </w:r>
      <w:r>
        <w:t xml:space="preserve">Come, my beloved, let us go out into the field, let us lodge in villages.</w:t>
      </w:r>
    </w:p>
    <w:p>
      <w:r>
        <w:rPr>
          <w:b/>
        </w:rPr>
        <w:t xml:space="preserve">13 </w:t>
      </w:r>
      <w:r>
        <w:t xml:space="preserve">Let us rise early to the vineyards; let us see whether the vine blossomed, whether the cypress blossomed, whether the pomegranates bloomed. There I will give my breasts to you.</w:t>
      </w:r>
    </w:p>
    <w:p>
      <w:r>
        <w:rPr>
          <w:b/>
        </w:rPr>
        <w:t xml:space="preserve">14 </w:t>
      </w:r>
      <w:r>
        <w:t xml:space="preserve">The mandrakes gave scent, and at our doors are every choice fruit, new with old, my beloved, I kept for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Who will give you as my beloved, nursing the breasts of my mother? Finding you outside I will kiss you, and indeed they will not despise me.</w:t>
      </w:r>
    </w:p>
    <w:p>
      <w:r>
        <w:rPr>
          <w:b/>
        </w:rPr>
        <w:t xml:space="preserve">2 </w:t>
      </w:r>
      <w:r>
        <w:t xml:space="preserve">I will take you, I will bring</w:t>
      </w:r>
      <w:r>
        <w:rPr>
          <w:rStyle w:val="FootnoteReference"/>
        </w:rPr>
        <w:footnoteReference w:id="11341"/>
      </w:r>
      <w:r>
        <w:t xml:space="preserve"> you into the house of my mother and into the chamber of the one who conceived me. I will give you drink from the perfumed wine, from the juice of my pomegranates.</w:t>
      </w:r>
    </w:p>
    <w:p>
      <w:r>
        <w:rPr>
          <w:b/>
        </w:rPr>
        <w:t xml:space="preserve">3 </w:t>
      </w:r>
      <w:r>
        <w:t xml:space="preserve">His left is under my head, and his right will embrace me.</w:t>
      </w:r>
    </w:p>
    <w:p>
      <w:r>
        <w:rPr>
          <w:b/>
        </w:rPr>
        <w:t xml:space="preserve">4 </w:t>
      </w:r>
      <w:r>
        <w:t xml:space="preserve">I bound you by oath, daughters of Jerusalem, by the powers and by the strengths of the field: why do you rouse and why do you awaken love until it wishes?</w:t>
      </w:r>
    </w:p>
    <w:p>
      <w:r>
        <w:rPr>
          <w:b/>
        </w:rPr>
        <w:t xml:space="preserve">5 </w:t>
      </w:r>
      <w:r>
        <w:t xml:space="preserve">Who is this</w:t>
      </w:r>
      <w:r>
        <w:rPr>
          <w:rStyle w:val="FootnoteReference"/>
        </w:rPr>
        <w:footnoteReference w:id="11342"/>
      </w:r>
      <w:r>
        <w:t xml:space="preserve"> coming up whitened, leaning on her beloved? Under an apple tree I awakened you; there your mother travailed with you, there she travailed, the one who bore you.</w:t>
      </w:r>
    </w:p>
    <w:p>
      <w:r>
        <w:rPr>
          <w:b/>
        </w:rPr>
        <w:t xml:space="preserve">6 </w:t>
      </w:r>
      <w:r>
        <w:t xml:space="preserve">Set me as a seal</w:t>
      </w:r>
      <w:r>
        <w:rPr>
          <w:rStyle w:val="FootnoteReference"/>
        </w:rPr>
        <w:footnoteReference w:id="11343"/>
      </w:r>
      <w:r>
        <w:t xml:space="preserve"> on your heart, as a seal on your arm, because love is strong as death, jealousy hard as Hades; its wings are wings of fire, its flames.</w:t>
      </w:r>
    </w:p>
    <w:p>
      <w:r>
        <w:rPr>
          <w:b/>
        </w:rPr>
        <w:t xml:space="preserve">7 </w:t>
      </w:r>
      <w:r>
        <w:t xml:space="preserve">Much water will not be able to quench love, and rivers will not flood it. If a man</w:t>
      </w:r>
      <w:r>
        <w:rPr>
          <w:rStyle w:val="FootnoteReference"/>
        </w:rPr>
        <w:footnoteReference w:id="11344"/>
      </w:r>
      <w:r>
        <w:t xml:space="preserve"> gives all his livelihood in love, despising they will despise him.</w:t>
      </w:r>
    </w:p>
    <w:p>
      <w:r>
        <w:rPr>
          <w:b/>
        </w:rPr>
        <w:t xml:space="preserve">8 </w:t>
      </w:r>
      <w:r>
        <w:t xml:space="preserve">Our sister is small, and she has no breasts. What shall we do for our sister on the day when they speak in her?</w:t>
      </w:r>
    </w:p>
    <w:p>
      <w:r>
        <w:rPr>
          <w:b/>
        </w:rPr>
        <w:t xml:space="preserve">9 </w:t>
      </w:r>
      <w:r>
        <w:t xml:space="preserve">If she is a wall</w:t>
      </w:r>
      <w:r>
        <w:rPr>
          <w:rStyle w:val="FootnoteReference"/>
        </w:rPr>
        <w:footnoteReference w:id="11345"/>
      </w:r>
      <w:r>
        <w:t xml:space="preserve">, we will build upon her battlements of silver; and if she is a door, we will engrave upon her a cedar board.</w:t>
      </w:r>
    </w:p>
    <w:p>
      <w:r>
        <w:rPr>
          <w:b/>
        </w:rPr>
        <w:t xml:space="preserve">10 </w:t>
      </w:r>
      <w:r>
        <w:t xml:space="preserve">I am a wall</w:t>
      </w:r>
      <w:r>
        <w:rPr>
          <w:rStyle w:val="FootnoteReference"/>
        </w:rPr>
        <w:footnoteReference w:id="11346"/>
      </w:r>
      <w:r>
        <w:t xml:space="preserve">, and my breasts are like towers. I became in his eyes as one finding peace.</w:t>
      </w:r>
    </w:p>
    <w:p>
      <w:r>
        <w:rPr>
          <w:b/>
        </w:rPr>
        <w:t xml:space="preserve">11 </w:t>
      </w:r>
      <w:r>
        <w:t xml:space="preserve">A vineyard came to Solomon in Baal-hamon</w:t>
      </w:r>
      <w:r>
        <w:rPr>
          <w:rStyle w:val="FootnoteReference"/>
        </w:rPr>
        <w:footnoteReference w:id="11347"/>
      </w:r>
      <w:r>
        <w:t xml:space="preserve">. He gave his vineyard to keepers; each man will bring in its fruit a thousand</w:t>
      </w:r>
      <w:r>
        <w:rPr>
          <w:rStyle w:val="FootnoteReference"/>
        </w:rPr>
        <w:footnoteReference w:id="11348"/>
      </w:r>
      <w:r>
        <w:t xml:space="preserve"> of silver.</w:t>
      </w:r>
    </w:p>
    <w:p>
      <w:r>
        <w:rPr>
          <w:b/>
        </w:rPr>
        <w:t xml:space="preserve">12 </w:t>
      </w:r>
      <w:r>
        <w:t xml:space="preserve">My vineyard</w:t>
      </w:r>
      <w:r>
        <w:rPr>
          <w:rStyle w:val="FootnoteReference"/>
        </w:rPr>
        <w:footnoteReference w:id="11349"/>
      </w:r>
      <w:r>
        <w:t xml:space="preserve"> is mine before me. The thousand are to you, Solomon, and the two hundred to those keeping its fruit.</w:t>
      </w:r>
    </w:p>
    <w:p>
      <w:r>
        <w:rPr>
          <w:b/>
        </w:rPr>
        <w:t xml:space="preserve">13 </w:t>
      </w:r>
      <w:r>
        <w:t xml:space="preserve">You who sit in gardens, companions attending to your voice, let me hear.</w:t>
      </w:r>
    </w:p>
    <w:p>
      <w:r>
        <w:rPr>
          <w:b/>
        </w:rPr>
        <w:t xml:space="preserve">14 </w:t>
      </w:r>
      <w:r>
        <w:t xml:space="preserve">Flee, my beloved, and be like a gazelle or a fawn of deer on the mountains of spices.</w:t>
      </w:r>
    </w:p>
    <w:p>
      <w:r>
        <w:br w:type="page"/>
      </w:r>
    </w:p>
    <w:p>
      <w:pPr>
        <w:pStyle w:val="Heading1"/>
      </w:pPr>
      <w:r>
        <w:t xml:space="preserve">Isaiah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vision</w:t>
      </w:r>
      <w:r>
        <w:rPr>
          <w:rStyle w:val="FootnoteReference"/>
        </w:rPr>
        <w:footnoteReference w:id="11350"/>
      </w:r>
      <w:r>
        <w:t xml:space="preserve"> which Isaiah son of Amoz saw, which he saw against Judah and against Jerusalem in the reign of Uzziah and Jotham and Ahaz and Hezekiah, who reigned over Judah.</w:t>
      </w:r>
    </w:p>
    <w:p>
      <w:r>
        <w:rPr>
          <w:b/>
        </w:rPr>
        <w:t xml:space="preserve">2 </w:t>
      </w:r>
      <w:r>
        <w:t xml:space="preserve">Hear</w:t>
      </w:r>
      <w:r>
        <w:rPr>
          <w:rStyle w:val="FootnoteReference"/>
        </w:rPr>
        <w:footnoteReference w:id="11351"/>
      </w:r>
      <w:r>
        <w:t xml:space="preserve">, heaven, and give ear, earth, because the Lord spoke: Sons I begot and raised high, but they rejected me.</w:t>
      </w:r>
    </w:p>
    <w:p>
      <w:r>
        <w:rPr>
          <w:b/>
        </w:rPr>
        <w:t xml:space="preserve">3 </w:t>
      </w:r>
      <w:r>
        <w:t xml:space="preserve">The ox knew the one acquiring it, and the donkey the manger of its master; but Israel</w:t>
      </w:r>
      <w:r>
        <w:rPr>
          <w:rStyle w:val="FootnoteReference"/>
        </w:rPr>
        <w:footnoteReference w:id="11352"/>
      </w:r>
      <w:r>
        <w:t xml:space="preserve"> did not know me, and the people did not understand me.</w:t>
      </w:r>
    </w:p>
    <w:p>
      <w:r>
        <w:rPr>
          <w:b/>
        </w:rPr>
        <w:t xml:space="preserve">4 </w:t>
      </w:r>
      <w:r>
        <w:t xml:space="preserve">Woe, sinful nation, people full of sins, evil seed, lawless sons. You abandoned the Lord and provoked</w:t>
      </w:r>
      <w:r>
        <w:rPr>
          <w:rStyle w:val="FootnoteReference"/>
        </w:rPr>
        <w:footnoteReference w:id="11353"/>
      </w:r>
      <w:r>
        <w:t xml:space="preserve"> the Holy One of Israel.</w:t>
      </w:r>
    </w:p>
    <w:p>
      <w:r>
        <w:rPr>
          <w:b/>
        </w:rPr>
        <w:t xml:space="preserve">5 </w:t>
      </w:r>
      <w:r>
        <w:t xml:space="preserve">Why still be struck, adding lawlessness? Every head is in pain and every heart in grief.</w:t>
      </w:r>
    </w:p>
    <w:p>
      <w:r>
        <w:rPr>
          <w:b/>
        </w:rPr>
        <w:t xml:space="preserve">6 </w:t>
      </w:r>
      <w:r>
        <w:t xml:space="preserve">From feet to head neither wound nor bruise nor burning stripe; there is no salve to apply, nor oil, nor bandages.</w:t>
      </w:r>
    </w:p>
    <w:p>
      <w:r>
        <w:rPr>
          <w:b/>
        </w:rPr>
        <w:t xml:space="preserve">7 </w:t>
      </w:r>
      <w:r>
        <w:t xml:space="preserve">Your land is desolate, your cities burned with fire; foreigners devour your country</w:t>
      </w:r>
      <w:r>
        <w:rPr>
          <w:rStyle w:val="FootnoteReference"/>
        </w:rPr>
        <w:footnoteReference w:id="11354"/>
      </w:r>
      <w:r>
        <w:t xml:space="preserve"> before you, and it has been desolated, overthrown by foreign peoples.</w:t>
      </w:r>
    </w:p>
    <w:p>
      <w:r>
        <w:rPr>
          <w:b/>
        </w:rPr>
        <w:t xml:space="preserve">8 </w:t>
      </w:r>
      <w:r>
        <w:t xml:space="preserve">The daughter</w:t>
      </w:r>
      <w:r>
        <w:rPr>
          <w:rStyle w:val="FootnoteReference"/>
        </w:rPr>
        <w:footnoteReference w:id="11355"/>
      </w:r>
      <w:r>
        <w:t xml:space="preserve"> of Zion will be left as a tent in a vineyard, and as a watch-hut in a cucumber patch, as a city under siege.</w:t>
      </w:r>
    </w:p>
    <w:p>
      <w:r>
        <w:rPr>
          <w:b/>
        </w:rPr>
        <w:t xml:space="preserve">9 </w:t>
      </w:r>
      <w:r>
        <w:t xml:space="preserve">Unless the Lord of hosts had left</w:t>
      </w:r>
      <w:r>
        <w:rPr>
          <w:rStyle w:val="FootnoteReference"/>
        </w:rPr>
        <w:footnoteReference w:id="11356"/>
      </w:r>
      <w:r>
        <w:t xml:space="preserve"> us seed, we would have become as Sodom and been made like Gomorrah.</w:t>
      </w:r>
    </w:p>
    <w:p>
      <w:r>
        <w:rPr>
          <w:b/>
        </w:rPr>
        <w:t xml:space="preserve">10 </w:t>
      </w:r>
      <w:r>
        <w:t xml:space="preserve">Hear</w:t>
      </w:r>
      <w:r>
        <w:rPr>
          <w:rStyle w:val="FootnoteReference"/>
        </w:rPr>
        <w:footnoteReference w:id="11357"/>
      </w:r>
      <w:r>
        <w:t xml:space="preserve"> the word of the Lord, rulers of Sodom; heed the law of God, people of Gomorrah.</w:t>
      </w:r>
    </w:p>
    <w:p>
      <w:r>
        <w:rPr>
          <w:b/>
        </w:rPr>
        <w:t xml:space="preserve">11 </w:t>
      </w:r>
      <w:r>
        <w:t xml:space="preserve">What is the multitude of your sacrifices to me, says the Lord? I am full of whole burnt offerings of rams and fat of lambs, and blood of bulls and goats I do not want.</w:t>
      </w:r>
    </w:p>
    <w:p>
      <w:r>
        <w:rPr>
          <w:b/>
        </w:rPr>
        <w:t xml:space="preserve">12 </w:t>
      </w:r>
      <w:r>
        <w:t xml:space="preserve">Not even when you come to appear to me. For who sought these from your hands, to trample my court?</w:t>
      </w:r>
    </w:p>
    <w:p>
      <w:r>
        <w:rPr>
          <w:b/>
        </w:rPr>
        <w:t xml:space="preserve">13 </w:t>
      </w:r>
      <w:r>
        <w:t xml:space="preserve">You will not continue. If you bring fine flour, it is vain</w:t>
      </w:r>
      <w:r>
        <w:rPr>
          <w:rStyle w:val="FootnoteReference"/>
        </w:rPr>
        <w:footnoteReference w:id="11358"/>
      </w:r>
      <w:r>
        <w:t xml:space="preserve">; incense is an abomination to me. Your new moons and Sabbaths and a great day I do not endure, fasting and idleness.</w:t>
      </w:r>
    </w:p>
    <w:p>
      <w:r>
        <w:rPr>
          <w:b/>
        </w:rPr>
        <w:t xml:space="preserve">14 </w:t>
      </w:r>
      <w:r>
        <w:t xml:space="preserve">Your new moons and your feasts my soul</w:t>
      </w:r>
      <w:r>
        <w:rPr>
          <w:rStyle w:val="FootnoteReference"/>
        </w:rPr>
        <w:footnoteReference w:id="11359"/>
      </w:r>
      <w:r>
        <w:t xml:space="preserve"> hates; you became fullness to me; no longer will I pardon your sins.</w:t>
      </w:r>
    </w:p>
    <w:p>
      <w:r>
        <w:rPr>
          <w:b/>
        </w:rPr>
        <w:t xml:space="preserve">15 </w:t>
      </w:r>
      <w:r>
        <w:t xml:space="preserve">When you stretch out hands to me, I will turn my eyes from you; and if you multiply supplication, I will not hear you, because your hands</w:t>
      </w:r>
      <w:r>
        <w:rPr>
          <w:rStyle w:val="FootnoteReference"/>
        </w:rPr>
        <w:footnoteReference w:id="11360"/>
      </w:r>
      <w:r>
        <w:t xml:space="preserve"> are full of blood.</w:t>
      </w:r>
    </w:p>
    <w:p>
      <w:r>
        <w:rPr>
          <w:b/>
        </w:rPr>
        <w:t xml:space="preserve">16 </w:t>
      </w:r>
      <w:r>
        <w:t xml:space="preserve">Wash</w:t>
      </w:r>
      <w:r>
        <w:rPr>
          <w:rStyle w:val="FootnoteReference"/>
        </w:rPr>
        <w:footnoteReference w:id="11361"/>
      </w:r>
      <w:r>
        <w:t xml:space="preserve">, become clean, remove evils from your souls before my eyes; stop from your evils.</w:t>
      </w:r>
    </w:p>
    <w:p>
      <w:r>
        <w:rPr>
          <w:b/>
        </w:rPr>
        <w:t xml:space="preserve">17 </w:t>
      </w:r>
      <w:r>
        <w:t xml:space="preserve">Learn to do good, seek</w:t>
      </w:r>
      <w:r>
        <w:rPr>
          <w:rStyle w:val="FootnoteReference"/>
        </w:rPr>
        <w:footnoteReference w:id="11362"/>
      </w:r>
      <w:r>
        <w:t xml:space="preserve"> judgment, rescue one being wronged, judge for the orphan, justify the widow.</w:t>
      </w:r>
    </w:p>
    <w:p>
      <w:r>
        <w:rPr>
          <w:b/>
        </w:rPr>
        <w:t xml:space="preserve">18 </w:t>
      </w:r>
      <w:r>
        <w:t xml:space="preserve">Come and let us</w:t>
      </w:r>
      <w:r>
        <w:rPr>
          <w:rStyle w:val="FootnoteReference"/>
        </w:rPr>
        <w:footnoteReference w:id="11363"/>
      </w:r>
      <w:r>
        <w:t xml:space="preserve"> reason together, says the Lord. And if your sins are as scarlet, I will whiten as snow; if they are as crimson, I will whiten as wool.</w:t>
      </w:r>
    </w:p>
    <w:p>
      <w:r>
        <w:rPr>
          <w:b/>
        </w:rPr>
        <w:t xml:space="preserve">19 </w:t>
      </w:r>
      <w:r>
        <w:t xml:space="preserve">If you are willing and listen to me, the good things of the land you will eat.</w:t>
      </w:r>
    </w:p>
    <w:p>
      <w:r>
        <w:rPr>
          <w:b/>
        </w:rPr>
        <w:t xml:space="preserve">20 </w:t>
      </w:r>
      <w:r>
        <w:t xml:space="preserve">If you are not willing and do not listen to me, a sword will devour you, for the mouth</w:t>
      </w:r>
      <w:r>
        <w:rPr>
          <w:rStyle w:val="FootnoteReference"/>
        </w:rPr>
        <w:footnoteReference w:id="11364"/>
      </w:r>
      <w:r>
        <w:t xml:space="preserve"> of the Lord spoke these things.</w:t>
      </w:r>
    </w:p>
    <w:p>
      <w:r>
        <w:rPr>
          <w:b/>
        </w:rPr>
        <w:t xml:space="preserve">21 </w:t>
      </w:r>
      <w:r>
        <w:t xml:space="preserve">How the faithful</w:t>
      </w:r>
      <w:r>
        <w:rPr>
          <w:rStyle w:val="FootnoteReference"/>
        </w:rPr>
        <w:footnoteReference w:id="11365"/>
      </w:r>
      <w:r>
        <w:t xml:space="preserve"> city Zion became a prostitute, full of judgment, in which righteousness slept, but now murderers.</w:t>
      </w:r>
    </w:p>
    <w:p>
      <w:r>
        <w:rPr>
          <w:b/>
        </w:rPr>
        <w:t xml:space="preserve">22 </w:t>
      </w:r>
      <w:r>
        <w:t xml:space="preserve">Your silver</w:t>
      </w:r>
      <w:r>
        <w:rPr>
          <w:rStyle w:val="FootnoteReference"/>
        </w:rPr>
        <w:footnoteReference w:id="11366"/>
      </w:r>
      <w:r>
        <w:t xml:space="preserve"> is unapproved, your tavern-keepers mix wine with water.</w:t>
      </w:r>
    </w:p>
    <w:p>
      <w:r>
        <w:rPr>
          <w:b/>
        </w:rPr>
        <w:t xml:space="preserve">23 </w:t>
      </w:r>
      <w:r>
        <w:t xml:space="preserve">Your rulers disobey, companions</w:t>
      </w:r>
      <w:r>
        <w:rPr>
          <w:rStyle w:val="FootnoteReference"/>
        </w:rPr>
        <w:footnoteReference w:id="11367"/>
      </w:r>
      <w:r>
        <w:t xml:space="preserve"> of thieves, loving gifts, pursuing repayment; not judging orphans and not attending to widow's case.</w:t>
      </w:r>
    </w:p>
    <w:p>
      <w:r>
        <w:rPr>
          <w:b/>
        </w:rPr>
        <w:t xml:space="preserve">24 </w:t>
      </w:r>
      <w:r>
        <w:t xml:space="preserve">Therefore thus says the Master, the Lord of hosts, Woe to the mighty</w:t>
      </w:r>
      <w:r>
        <w:rPr>
          <w:rStyle w:val="FootnoteReference"/>
        </w:rPr>
        <w:footnoteReference w:id="11368"/>
      </w:r>
      <w:r>
        <w:t xml:space="preserve"> ones of Israel. For my anger will not cease against opponents, and I will execute judgment against my enemies.</w:t>
      </w:r>
    </w:p>
    <w:p>
      <w:r>
        <w:rPr>
          <w:b/>
        </w:rPr>
        <w:t xml:space="preserve">25 </w:t>
      </w:r>
      <w:r>
        <w:t xml:space="preserve">I will bring my hand upon you and purge</w:t>
      </w:r>
      <w:r>
        <w:rPr>
          <w:rStyle w:val="FootnoteReference"/>
        </w:rPr>
        <w:footnoteReference w:id="11369"/>
      </w:r>
      <w:r>
        <w:t xml:space="preserve"> you into purity, but rebellious ones I will destroy; and I will remove all lawless ones from you and humble all proud ones.</w:t>
      </w:r>
    </w:p>
    <w:p>
      <w:r>
        <w:rPr>
          <w:b/>
        </w:rPr>
        <w:t xml:space="preserve">26 </w:t>
      </w:r>
      <w:r>
        <w:t xml:space="preserve">I will appoint your judges as before, and your counselors as from the beginning; afterward you will be called the city of righteousness, faithful mother-city Zion.</w:t>
      </w:r>
    </w:p>
    <w:p>
      <w:r>
        <w:rPr>
          <w:b/>
        </w:rPr>
        <w:t xml:space="preserve">27 </w:t>
      </w:r>
      <w:r>
        <w:t xml:space="preserve">For her captivity will be saved with judgment, and with mercy.</w:t>
      </w:r>
    </w:p>
    <w:p>
      <w:r>
        <w:rPr>
          <w:b/>
        </w:rPr>
        <w:t xml:space="preserve">28 </w:t>
      </w:r>
      <w:r>
        <w:t xml:space="preserve">The lawless and sinners will be shattered together, and those abandoning the Lord will be finished.</w:t>
      </w:r>
    </w:p>
    <w:p>
      <w:r>
        <w:rPr>
          <w:b/>
        </w:rPr>
        <w:t xml:space="preserve">29 </w:t>
      </w:r>
      <w:r>
        <w:t xml:space="preserve">Because they will be ashamed</w:t>
      </w:r>
      <w:r>
        <w:rPr>
          <w:rStyle w:val="FootnoteReference"/>
        </w:rPr>
        <w:footnoteReference w:id="11370"/>
      </w:r>
      <w:r>
        <w:t xml:space="preserve"> over their idols which they wanted, and they were put to shame over their gardens they desired.</w:t>
      </w:r>
    </w:p>
    <w:p>
      <w:r>
        <w:rPr>
          <w:b/>
        </w:rPr>
        <w:t xml:space="preserve">30 </w:t>
      </w:r>
      <w:r>
        <w:t xml:space="preserve">For they will be as a terebinth that has cast off leaves, and as an orchard having no water.</w:t>
      </w:r>
    </w:p>
    <w:p>
      <w:r>
        <w:rPr>
          <w:b/>
        </w:rPr>
        <w:t xml:space="preserve">31 </w:t>
      </w:r>
      <w:r>
        <w:t xml:space="preserve">Their strength will be as a stalk of tow and their works as sparks of fire, and lawless and sinners will be burned together, and there will not be one to quench.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The word that came from the Lord to Isaiah son of Amoz concerning Judah and concerning Jerusalem.</w:t>
      </w:r>
    </w:p>
    <w:p>
      <w:r>
        <w:rPr>
          <w:b/>
        </w:rPr>
        <w:t xml:space="preserve">2 </w:t>
      </w:r>
      <w:r>
        <w:t xml:space="preserve">Because in the last</w:t>
      </w:r>
      <w:r>
        <w:rPr>
          <w:rStyle w:val="FootnoteReference"/>
        </w:rPr>
        <w:footnoteReference w:id="11371"/>
      </w:r>
      <w:r>
        <w:t xml:space="preserve"> days the mountain of the Lord and the house of God will be manifest on the peaks of mountains, and will be lifted above the hills, and all nations will come upon it.</w:t>
      </w:r>
    </w:p>
    <w:p>
      <w:r>
        <w:rPr>
          <w:b/>
        </w:rPr>
        <w:t xml:space="preserve">3 </w:t>
      </w:r>
      <w:r>
        <w:t xml:space="preserve">Many nations will go and say, Come, let us go up to the mountain of the Lord and to the house of God of Jacob, and he will announce his way to us, and we will walk in it. For from Zion the law will come out, and the word of the Lord from Jerusalem.</w:t>
      </w:r>
    </w:p>
    <w:p>
      <w:r>
        <w:rPr>
          <w:b/>
        </w:rPr>
        <w:t xml:space="preserve">4 </w:t>
      </w:r>
      <w:r>
        <w:t xml:space="preserve">He will judge between nations and reprove many people, and they will beat their swords into plowshares and their spears into sickles; nation will not take sword against nation anymore, and they will certainly not learn war anymore.</w:t>
      </w:r>
    </w:p>
    <w:p>
      <w:r>
        <w:rPr>
          <w:b/>
        </w:rPr>
        <w:t xml:space="preserve">5 </w:t>
      </w:r>
      <w:r>
        <w:t xml:space="preserve">And now, house of Jacob, come, let us walk in the light of the Lord.</w:t>
      </w:r>
    </w:p>
    <w:p>
      <w:r>
        <w:rPr>
          <w:b/>
        </w:rPr>
        <w:t xml:space="preserve">6 </w:t>
      </w:r>
      <w:r>
        <w:t xml:space="preserve">For he let go his people, house of Israel, because their land was filled as from the beginning with divinations, as the land of foreigners, and many foreign sons were born to them.</w:t>
      </w:r>
    </w:p>
    <w:p>
      <w:r>
        <w:rPr>
          <w:b/>
        </w:rPr>
        <w:t xml:space="preserve">7 </w:t>
      </w:r>
      <w:r>
        <w:t xml:space="preserve">Their land was filled with silver and gold, and there was no number of their treasures, and the land was filled with horses, and there was no number of their chariots.</w:t>
      </w:r>
    </w:p>
    <w:p>
      <w:r>
        <w:rPr>
          <w:b/>
        </w:rPr>
        <w:t xml:space="preserve">8 </w:t>
      </w:r>
      <w:r>
        <w:t xml:space="preserve">Their land was filled with abominations, works of their hands, and they bowed to what their fingers made.</w:t>
      </w:r>
    </w:p>
    <w:p>
      <w:r>
        <w:rPr>
          <w:b/>
        </w:rPr>
        <w:t xml:space="preserve">9 </w:t>
      </w:r>
      <w:r>
        <w:t xml:space="preserve">Man bent down, and male was humbled, and I will certainly not let them go.</w:t>
      </w:r>
    </w:p>
    <w:p>
      <w:r>
        <w:rPr>
          <w:b/>
        </w:rPr>
        <w:t xml:space="preserve">10 </w:t>
      </w:r>
      <w:r>
        <w:t xml:space="preserve">And now enter</w:t>
      </w:r>
      <w:r>
        <w:rPr>
          <w:rStyle w:val="FootnoteReference"/>
        </w:rPr>
        <w:footnoteReference w:id="11372"/>
      </w:r>
      <w:r>
        <w:t xml:space="preserve"> the rocks and hide in the earth from the face of the fear of the Lord and from the glory of his strength when he rises to shatter the earth.</w:t>
      </w:r>
    </w:p>
    <w:p>
      <w:r>
        <w:rPr>
          <w:b/>
        </w:rPr>
        <w:t xml:space="preserve">11 </w:t>
      </w:r>
      <w:r>
        <w:t xml:space="preserve">For the eyes of the Lord are high, but man is low, and the height of men will be humbled, and the Lord</w:t>
      </w:r>
      <w:r>
        <w:rPr>
          <w:rStyle w:val="FootnoteReference"/>
        </w:rPr>
        <w:footnoteReference w:id="11373"/>
      </w:r>
      <w:r>
        <w:t xml:space="preserve"> alone will be exalted in that day.</w:t>
      </w:r>
    </w:p>
    <w:p>
      <w:r>
        <w:rPr>
          <w:b/>
        </w:rPr>
        <w:t xml:space="preserve">12 </w:t>
      </w:r>
      <w:r>
        <w:t xml:space="preserve">For the day of the Lord of hosts is upon</w:t>
      </w:r>
      <w:r>
        <w:rPr>
          <w:rStyle w:val="FootnoteReference"/>
        </w:rPr>
        <w:footnoteReference w:id="11374"/>
      </w:r>
      <w:r>
        <w:t xml:space="preserve"> every insolent and proud one, and upon every high and lofty thing, and they will be humbled.</w:t>
      </w:r>
    </w:p>
    <w:p>
      <w:r>
        <w:rPr>
          <w:b/>
        </w:rPr>
        <w:t xml:space="preserve">13 </w:t>
      </w:r>
      <w:r>
        <w:t xml:space="preserve">And upon every cedar of Lebanon, high and lofty, and upon every oak tree of Bashan.</w:t>
      </w:r>
    </w:p>
    <w:p>
      <w:r>
        <w:rPr>
          <w:b/>
        </w:rPr>
        <w:t xml:space="preserve">14 </w:t>
      </w:r>
      <w:r>
        <w:t xml:space="preserve">And upon every mountain and every high hill.</w:t>
      </w:r>
    </w:p>
    <w:p>
      <w:r>
        <w:rPr>
          <w:b/>
        </w:rPr>
        <w:t xml:space="preserve">15 </w:t>
      </w:r>
      <w:r>
        <w:t xml:space="preserve">And upon every high tower and every high wall.</w:t>
      </w:r>
    </w:p>
    <w:p>
      <w:r>
        <w:rPr>
          <w:b/>
        </w:rPr>
        <w:t xml:space="preserve">16 </w:t>
      </w:r>
      <w:r>
        <w:t xml:space="preserve">And upon every ship of the sea and upon every sight of beauty of ships.</w:t>
      </w:r>
    </w:p>
    <w:p>
      <w:r>
        <w:rPr>
          <w:b/>
        </w:rPr>
        <w:t xml:space="preserve">17 </w:t>
      </w:r>
      <w:r>
        <w:t xml:space="preserve">Every man will be humbled and the height of men will fall, and the Lord alone will be exalted in that day.</w:t>
      </w:r>
    </w:p>
    <w:p>
      <w:r>
        <w:rPr>
          <w:b/>
        </w:rPr>
        <w:t xml:space="preserve">18 </w:t>
      </w:r>
      <w:r>
        <w:t xml:space="preserve">All handmade things they will utterly hide.</w:t>
      </w:r>
    </w:p>
    <w:p>
      <w:r>
        <w:rPr>
          <w:b/>
        </w:rPr>
        <w:t xml:space="preserve">19 </w:t>
      </w:r>
      <w:r>
        <w:t xml:space="preserve">Carrying them into the caves and into the fissures of the rocks and into the hollows of the earth from the face of the fear of the Lord and from the glory of his strength when he</w:t>
      </w:r>
      <w:r>
        <w:rPr>
          <w:rStyle w:val="FootnoteReference"/>
        </w:rPr>
        <w:footnoteReference w:id="11375"/>
      </w:r>
      <w:r>
        <w:t xml:space="preserve"> rises to shatter the earth.</w:t>
      </w:r>
    </w:p>
    <w:p>
      <w:r>
        <w:rPr>
          <w:b/>
        </w:rPr>
        <w:t xml:space="preserve">20 </w:t>
      </w:r>
      <w:r>
        <w:t xml:space="preserve">For in that day man will throw out his silver and gold abominations, which they made to bow to vanities and night-creatures.</w:t>
      </w:r>
    </w:p>
    <w:p>
      <w:r>
        <w:rPr>
          <w:b/>
        </w:rPr>
        <w:t xml:space="preserve">21 </w:t>
      </w:r>
      <w:r>
        <w:t xml:space="preserve">To enter the hollows of solid rock and the fissures of rocks from the face of the fear of the Lord and from the glory of his strength when he rises to shatter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Look now, the Master, the Lord</w:t>
      </w:r>
      <w:r>
        <w:rPr>
          <w:rStyle w:val="FootnoteReference"/>
        </w:rPr>
        <w:footnoteReference w:id="11376"/>
      </w:r>
      <w:r>
        <w:t xml:space="preserve"> of hosts, will take from Judah and Jerusalem a strong man and a strong woman, strength of bread and strength of water,</w:t>
      </w:r>
    </w:p>
    <w:p>
      <w:r>
        <w:rPr>
          <w:b/>
        </w:rPr>
        <w:t xml:space="preserve">2 </w:t>
      </w:r>
      <w:r>
        <w:t xml:space="preserve">a giant and a strong man and a man of war, and a judge and a prophet and a diviner and an elder,</w:t>
      </w:r>
    </w:p>
    <w:p>
      <w:r>
        <w:rPr>
          <w:b/>
        </w:rPr>
        <w:t xml:space="preserve">3 </w:t>
      </w:r>
      <w:r>
        <w:t xml:space="preserve">and a captain</w:t>
      </w:r>
      <w:r>
        <w:rPr>
          <w:rStyle w:val="FootnoteReference"/>
        </w:rPr>
        <w:footnoteReference w:id="11377"/>
      </w:r>
      <w:r>
        <w:t xml:space="preserve"> of fifty and a wonderful counselor and a wise craftsman and an understanding listener.</w:t>
      </w:r>
    </w:p>
    <w:p>
      <w:r>
        <w:rPr>
          <w:b/>
        </w:rPr>
        <w:t xml:space="preserve">4 </w:t>
      </w:r>
      <w:r>
        <w:t xml:space="preserve">I will appoint youths their rulers, and mockers will lord over them.</w:t>
      </w:r>
    </w:p>
    <w:p>
      <w:r>
        <w:rPr>
          <w:b/>
        </w:rPr>
        <w:t xml:space="preserve">5 </w:t>
      </w:r>
      <w:r>
        <w:t xml:space="preserve">The people will fall together, man against man and man against his neighbor; a child</w:t>
      </w:r>
      <w:r>
        <w:rPr>
          <w:rStyle w:val="FootnoteReference"/>
        </w:rPr>
        <w:footnoteReference w:id="11378"/>
      </w:r>
      <w:r>
        <w:t xml:space="preserve"> will strike against an elder, the dishonorable one against the honorable.</w:t>
      </w:r>
    </w:p>
    <w:p>
      <w:r>
        <w:rPr>
          <w:b/>
        </w:rPr>
        <w:t xml:space="preserve">6 </w:t>
      </w:r>
      <w:r>
        <w:t xml:space="preserve">Because a man</w:t>
      </w:r>
      <w:r>
        <w:rPr>
          <w:rStyle w:val="FootnoteReference"/>
        </w:rPr>
        <w:footnoteReference w:id="11379"/>
      </w:r>
      <w:r>
        <w:t xml:space="preserve"> will seize his brother or one of his father's household, saying, You have clothing, become our leader, and let my food be under you.</w:t>
      </w:r>
    </w:p>
    <w:p>
      <w:r>
        <w:rPr>
          <w:b/>
        </w:rPr>
        <w:t xml:space="preserve">7 </w:t>
      </w:r>
      <w:r>
        <w:t xml:space="preserve">He will answer and say in that day, I will not be your leader, for in my house there is neither bread</w:t>
      </w:r>
      <w:r>
        <w:rPr>
          <w:rStyle w:val="FootnoteReference"/>
        </w:rPr>
        <w:footnoteReference w:id="11380"/>
      </w:r>
      <w:r>
        <w:t xml:space="preserve"> nor clothing; I will not be the leader of this people.</w:t>
      </w:r>
    </w:p>
    <w:p>
      <w:r>
        <w:rPr>
          <w:b/>
        </w:rPr>
        <w:t xml:space="preserve">8 </w:t>
      </w:r>
      <w:r>
        <w:t xml:space="preserve">Because Jerusalem</w:t>
      </w:r>
      <w:r>
        <w:rPr>
          <w:rStyle w:val="FootnoteReference"/>
        </w:rPr>
        <w:footnoteReference w:id="11381"/>
      </w:r>
      <w:r>
        <w:t xml:space="preserve"> is abandoned and Judah has fallen, and their tongues with lawlessness speak things against the Lord, disobeying, because now their glory was humbled.</w:t>
      </w:r>
    </w:p>
    <w:p>
      <w:r>
        <w:rPr>
          <w:b/>
        </w:rPr>
        <w:t xml:space="preserve">9 </w:t>
      </w:r>
      <w:r>
        <w:t xml:space="preserve">The shame of their face stood against them, and their sin they announced as Sodom and made it plain. Woe to their soul, because they planned evil counsel against themselves.</w:t>
      </w:r>
    </w:p>
    <w:p>
      <w:r>
        <w:rPr>
          <w:b/>
        </w:rPr>
        <w:t xml:space="preserve">10 </w:t>
      </w:r>
      <w:r>
        <w:t xml:space="preserve">Saying, Let us bind the righteous one, because he is inconvenient to us; therefore they will eat the produce of their works.</w:t>
      </w:r>
    </w:p>
    <w:p>
      <w:r>
        <w:rPr>
          <w:b/>
        </w:rPr>
        <w:t xml:space="preserve">11 </w:t>
      </w:r>
      <w:r>
        <w:t xml:space="preserve">Woe to the lawless one; evil will happen to him according to the works of his hands.</w:t>
      </w:r>
    </w:p>
    <w:p>
      <w:r>
        <w:rPr>
          <w:b/>
        </w:rPr>
        <w:t xml:space="preserve">12 </w:t>
      </w:r>
      <w:r>
        <w:t xml:space="preserve">My people, your exactors glean you, and those collecting dues lord over you. My people, those calling you blessed lead you astray and trouble the path of your feet.</w:t>
      </w:r>
    </w:p>
    <w:p>
      <w:r>
        <w:rPr>
          <w:b/>
        </w:rPr>
        <w:t xml:space="preserve">13 </w:t>
      </w:r>
      <w:r>
        <w:t xml:space="preserve">But now the Lord will stand for judgment and stand to judge his people.</w:t>
      </w:r>
    </w:p>
    <w:p>
      <w:r>
        <w:rPr>
          <w:b/>
        </w:rPr>
        <w:t xml:space="preserve">14 </w:t>
      </w:r>
      <w:r>
        <w:t xml:space="preserve">The Lord himself will come into judgment with the elders of his people and with their rulers: But you, why did you burn my vineyard, and the spoil of the poor in your houses?</w:t>
      </w:r>
    </w:p>
    <w:p>
      <w:r>
        <w:rPr>
          <w:b/>
        </w:rPr>
        <w:t xml:space="preserve">15 </w:t>
      </w:r>
      <w:r>
        <w:t xml:space="preserve">Why do you wrong my people and shame the face of the poor?</w:t>
      </w:r>
    </w:p>
    <w:p>
      <w:r>
        <w:rPr>
          <w:b/>
        </w:rPr>
        <w:t xml:space="preserve">16 </w:t>
      </w:r>
      <w:r>
        <w:t xml:space="preserve">Thus says the Lord: Because the daughters</w:t>
      </w:r>
      <w:r>
        <w:rPr>
          <w:rStyle w:val="FootnoteReference"/>
        </w:rPr>
        <w:footnoteReference w:id="11382"/>
      </w:r>
      <w:r>
        <w:t xml:space="preserve"> of Zion were lifted high and walked with a high neck and with winks of eyes and in the walking of feet, dragging tunics together and playing together with feet,</w:t>
      </w:r>
    </w:p>
    <w:p>
      <w:r>
        <w:rPr>
          <w:b/>
        </w:rPr>
        <w:t xml:space="preserve">17 </w:t>
      </w:r>
      <w:r>
        <w:t xml:space="preserve">God will humble the ruling daughters of Zion, and the Lord will uncover their form.</w:t>
      </w:r>
    </w:p>
    <w:p>
      <w:r>
        <w:rPr>
          <w:b/>
        </w:rPr>
        <w:t xml:space="preserve">18 </w:t>
      </w:r>
      <w:r>
        <w:t xml:space="preserve">In that day the Lord will take away the glory of their clothing and their ornaments and braids and hair-nets and crescent-moons,</w:t>
      </w:r>
    </w:p>
    <w:p>
      <w:r>
        <w:rPr>
          <w:b/>
        </w:rPr>
        <w:t xml:space="preserve">19 </w:t>
      </w:r>
      <w:r>
        <w:t xml:space="preserve">and the hangings and the ornament of their face,</w:t>
      </w:r>
    </w:p>
    <w:p>
      <w:r>
        <w:rPr>
          <w:b/>
        </w:rPr>
        <w:t xml:space="preserve">20 </w:t>
      </w:r>
      <w:r>
        <w:t xml:space="preserve">and the arrangement of the ornament of glory and bracelets and armlets and headdress and wrist-bands and rings and earrings,</w:t>
      </w:r>
    </w:p>
    <w:p>
      <w:r>
        <w:rPr>
          <w:b/>
        </w:rPr>
        <w:t xml:space="preserve">21 </w:t>
      </w:r>
      <w:r>
        <w:t xml:space="preserve">and purple garments and garments bordered in purple,</w:t>
      </w:r>
    </w:p>
    <w:p>
      <w:r>
        <w:rPr>
          <w:b/>
        </w:rPr>
        <w:t xml:space="preserve">22 </w:t>
      </w:r>
      <w:r>
        <w:t xml:space="preserve">and robes for the house and transparent Laconian cloths,</w:t>
      </w:r>
    </w:p>
    <w:p>
      <w:r>
        <w:rPr>
          <w:b/>
        </w:rPr>
        <w:t xml:space="preserve">23 </w:t>
      </w:r>
      <w:r>
        <w:t xml:space="preserve">and fine linen</w:t>
      </w:r>
      <w:r>
        <w:rPr>
          <w:rStyle w:val="FootnoteReference"/>
        </w:rPr>
        <w:footnoteReference w:id="11383"/>
      </w:r>
      <w:r>
        <w:t xml:space="preserve"> and blue and scarlet and linen woven together with gold and blue, and reclining veils.</w:t>
      </w:r>
    </w:p>
    <w:p>
      <w:r>
        <w:rPr>
          <w:b/>
        </w:rPr>
        <w:t xml:space="preserve">24 </w:t>
      </w:r>
      <w:r>
        <w:t xml:space="preserve">It will be, instead</w:t>
      </w:r>
      <w:r>
        <w:rPr>
          <w:rStyle w:val="FootnoteReference"/>
        </w:rPr>
        <w:footnoteReference w:id="11384"/>
      </w:r>
      <w:r>
        <w:t xml:space="preserve"> of a sweet smell there will be dust, and instead of a belt you will bind with rope, and instead of the golden ornament of the head you will have baldness because of your works, and instead of a tunic bordered in purple you will gird yourself with sackcloth.</w:t>
      </w:r>
    </w:p>
    <w:p>
      <w:r>
        <w:rPr>
          <w:b/>
        </w:rPr>
        <w:t xml:space="preserve">25 </w:t>
      </w:r>
      <w:r>
        <w:t xml:space="preserve">Your most beautiful son whom you love will fall by sword, and your mighty men will fall by sword.</w:t>
      </w:r>
    </w:p>
    <w:p>
      <w:r>
        <w:rPr>
          <w:b/>
        </w:rPr>
        <w:t xml:space="preserve">26 </w:t>
      </w:r>
      <w:r>
        <w:t xml:space="preserve">The cases of your ornament will be humbled and mourn, and you will be left alone and dashed to the ground.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Seven</w:t>
      </w:r>
      <w:r>
        <w:rPr>
          <w:rStyle w:val="FootnoteReference"/>
        </w:rPr>
        <w:footnoteReference w:id="11385"/>
      </w:r>
      <w:r>
        <w:t xml:space="preserve"> women will seize one man, saying, We will eat our bread and wear our clothes; only let your name be called upon us; take away our reproach.</w:t>
      </w:r>
    </w:p>
    <w:p>
      <w:r>
        <w:rPr>
          <w:b/>
        </w:rPr>
        <w:t xml:space="preserve">2 </w:t>
      </w:r>
      <w:r>
        <w:t xml:space="preserve">In that day God will shine forth in counsel with glory upon the earth, to lift up and glorify the remnant of Israel.</w:t>
      </w:r>
    </w:p>
    <w:p>
      <w:r>
        <w:rPr>
          <w:b/>
        </w:rPr>
        <w:t xml:space="preserve">3 </w:t>
      </w:r>
      <w:r>
        <w:t xml:space="preserve">It shall be</w:t>
      </w:r>
      <w:r>
        <w:rPr>
          <w:rStyle w:val="FootnoteReference"/>
        </w:rPr>
        <w:footnoteReference w:id="11386"/>
      </w:r>
      <w:r>
        <w:t xml:space="preserve"> that the one left in Zion and the one left in Jerusalem will be called holy, all who are written for life in Jerusalem.</w:t>
      </w:r>
    </w:p>
    <w:p>
      <w:r>
        <w:rPr>
          <w:b/>
        </w:rPr>
        <w:t xml:space="preserve">4 </w:t>
      </w:r>
      <w:r>
        <w:t xml:space="preserve">Because the Lord will wash the filth of the sons and daughters of Zion and cleanse the blood from their midst by the spirit</w:t>
      </w:r>
      <w:r>
        <w:rPr>
          <w:rStyle w:val="FootnoteReference"/>
        </w:rPr>
        <w:footnoteReference w:id="11387"/>
      </w:r>
      <w:r>
        <w:t xml:space="preserve"> of judgment and the spirit of burning.</w:t>
      </w:r>
    </w:p>
    <w:p>
      <w:r>
        <w:rPr>
          <w:b/>
        </w:rPr>
        <w:t xml:space="preserve">5 </w:t>
      </w:r>
      <w:r>
        <w:t xml:space="preserve">He will come, and over every place of Mount Zion and all around her, a cloud</w:t>
      </w:r>
      <w:r>
        <w:rPr>
          <w:rStyle w:val="FootnoteReference"/>
        </w:rPr>
        <w:footnoteReference w:id="11388"/>
      </w:r>
      <w:r>
        <w:t xml:space="preserve"> will overshadow by day, like smoke, and like light of burning fire by night. Over all the glory it will be covered.</w:t>
      </w:r>
    </w:p>
    <w:p>
      <w:r>
        <w:rPr>
          <w:b/>
        </w:rPr>
        <w:t xml:space="preserve">6 </w:t>
      </w:r>
      <w:r>
        <w:t xml:space="preserve">And it will be for shade from the heat and for shelter and hiding from harshness and rain.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Now I will sing to my beloved a song of my beloved concerning my vineyard. A vineyard came to my beloved on a hilltop in a fertile place.</w:t>
      </w:r>
    </w:p>
    <w:p>
      <w:r>
        <w:rPr>
          <w:b/>
        </w:rPr>
        <w:t xml:space="preserve">2 </w:t>
      </w:r>
      <w:r>
        <w:t xml:space="preserve">I put a fence around it and staked it and planted</w:t>
      </w:r>
      <w:r>
        <w:rPr>
          <w:rStyle w:val="FootnoteReference"/>
        </w:rPr>
        <w:footnoteReference w:id="11389"/>
      </w:r>
      <w:r>
        <w:t xml:space="preserve"> a chosen vine and built a tower in the midst of it and dug a wine-vat in it, and I waited for it to produce grapes, but it produced thorns.</w:t>
      </w:r>
    </w:p>
    <w:p>
      <w:r>
        <w:rPr>
          <w:b/>
        </w:rPr>
        <w:t xml:space="preserve">3 </w:t>
      </w:r>
      <w:r>
        <w:t xml:space="preserve">And now, man of Judah and dwellers in Jerusalem, judge</w:t>
      </w:r>
      <w:r>
        <w:rPr>
          <w:rStyle w:val="FootnoteReference"/>
        </w:rPr>
        <w:footnoteReference w:id="11390"/>
      </w:r>
      <w:r>
        <w:t xml:space="preserve"> between me and my vineyard.</w:t>
      </w:r>
    </w:p>
    <w:p>
      <w:r>
        <w:rPr>
          <w:b/>
        </w:rPr>
        <w:t xml:space="preserve">4 </w:t>
      </w:r>
      <w:r>
        <w:t xml:space="preserve">What shall I still do to my vineyard that I did not do to it? Because I waited for it to produce grapes, but it produced thorns.</w:t>
      </w:r>
    </w:p>
    <w:p>
      <w:r>
        <w:rPr>
          <w:b/>
        </w:rPr>
        <w:t xml:space="preserve">5 </w:t>
      </w:r>
      <w:r>
        <w:t xml:space="preserve">And now I will announce to you what I will do to my vineyard: I will remove its fence and it will be for plundering, and I will pull down its wall and it will be for trampling.</w:t>
      </w:r>
    </w:p>
    <w:p>
      <w:r>
        <w:rPr>
          <w:b/>
        </w:rPr>
        <w:t xml:space="preserve">6 </w:t>
      </w:r>
      <w:r>
        <w:t xml:space="preserve">And I will leave my vineyard, and it shall</w:t>
      </w:r>
      <w:r>
        <w:rPr>
          <w:rStyle w:val="FootnoteReference"/>
        </w:rPr>
        <w:footnoteReference w:id="11391"/>
      </w:r>
      <w:r>
        <w:t xml:space="preserve"> certainly not be pruned nor dug, and thorns will come up upon it as upon wasteland, and I will command the clouds not to send rain on it.</w:t>
      </w:r>
    </w:p>
    <w:p>
      <w:r>
        <w:rPr>
          <w:b/>
        </w:rPr>
        <w:t xml:space="preserve">7 </w:t>
      </w:r>
      <w:r>
        <w:t xml:space="preserve">For the vineyard</w:t>
      </w:r>
      <w:r>
        <w:rPr>
          <w:rStyle w:val="FootnoteReference"/>
        </w:rPr>
        <w:footnoteReference w:id="11392"/>
      </w:r>
      <w:r>
        <w:t xml:space="preserve"> of the Lord of hosts is the house of Israel, and the man of Judah is a beloved new planting. I waited for judgment, but it produced lawlessness, and not righteousness but a cry.</w:t>
      </w:r>
    </w:p>
    <w:p>
      <w:r>
        <w:rPr>
          <w:b/>
        </w:rPr>
        <w:t xml:space="preserve">8 </w:t>
      </w:r>
      <w:r>
        <w:t xml:space="preserve">Woe to those joining house to house and bringing field</w:t>
      </w:r>
      <w:r>
        <w:rPr>
          <w:rStyle w:val="FootnoteReference"/>
        </w:rPr>
        <w:footnoteReference w:id="11393"/>
      </w:r>
      <w:r>
        <w:t xml:space="preserve"> near to field, to take something away from the neighbor; will you not dwell alone on the land?</w:t>
      </w:r>
    </w:p>
    <w:p>
      <w:r>
        <w:rPr>
          <w:b/>
        </w:rPr>
        <w:t xml:space="preserve">9 </w:t>
      </w:r>
      <w:r>
        <w:t xml:space="preserve">For these things were heard in the ears of the Lord of hosts: if many houses shall become, they will be desolate, great and beautiful, and there will not be the ones dwelling in them.</w:t>
      </w:r>
    </w:p>
    <w:p>
      <w:r>
        <w:rPr>
          <w:b/>
        </w:rPr>
        <w:t xml:space="preserve">10 </w:t>
      </w:r>
      <w:r>
        <w:t xml:space="preserve">For ten yokes of oxen working will produce one jar, and one sowing six artabas will produce three measures.</w:t>
      </w:r>
    </w:p>
    <w:p>
      <w:r>
        <w:rPr>
          <w:b/>
        </w:rPr>
        <w:t xml:space="preserve">11 </w:t>
      </w:r>
      <w:r>
        <w:t xml:space="preserve">Woe to those rising early and pursuing strong drink, those remaining till late, for the wine will burn them together.</w:t>
      </w:r>
    </w:p>
    <w:p>
      <w:r>
        <w:rPr>
          <w:b/>
        </w:rPr>
        <w:t xml:space="preserve">12 </w:t>
      </w:r>
      <w:r>
        <w:t xml:space="preserve">For with lyre and psaltery and drums and flutes they drink wine, but the works of the Lord they do not look on, and the works of his hands they do not understand.</w:t>
      </w:r>
    </w:p>
    <w:p>
      <w:r>
        <w:rPr>
          <w:b/>
        </w:rPr>
        <w:t xml:space="preserve">13 </w:t>
      </w:r>
      <w:r>
        <w:t xml:space="preserve">Therefore my people</w:t>
      </w:r>
      <w:r>
        <w:rPr>
          <w:rStyle w:val="FootnoteReference"/>
        </w:rPr>
        <w:footnoteReference w:id="11394"/>
      </w:r>
      <w:r>
        <w:t xml:space="preserve"> became captive because they did not know the Lord, and a multitude became dead from famine and thirst of water.</w:t>
      </w:r>
    </w:p>
    <w:p>
      <w:r>
        <w:rPr>
          <w:b/>
        </w:rPr>
        <w:t xml:space="preserve">14 </w:t>
      </w:r>
      <w:r>
        <w:t xml:space="preserve">And Hades widened its soul and opened</w:t>
      </w:r>
      <w:r>
        <w:rPr>
          <w:rStyle w:val="FootnoteReference"/>
        </w:rPr>
        <w:footnoteReference w:id="11395"/>
      </w:r>
      <w:r>
        <w:t xml:space="preserve"> its mouth without ceasing, and her glorious ones and great ones and rich ones and her plague-struck ones will go down.</w:t>
      </w:r>
    </w:p>
    <w:p>
      <w:r>
        <w:rPr>
          <w:b/>
        </w:rPr>
        <w:t xml:space="preserve">15 </w:t>
      </w:r>
      <w:r>
        <w:t xml:space="preserve">And a man will be humbled and a male will be dishonored, and the lofty eyes will be humbled.</w:t>
      </w:r>
    </w:p>
    <w:p>
      <w:r>
        <w:rPr>
          <w:b/>
        </w:rPr>
        <w:t xml:space="preserve">16 </w:t>
      </w:r>
      <w:r>
        <w:t xml:space="preserve">And the Lord</w:t>
      </w:r>
      <w:r>
        <w:rPr>
          <w:rStyle w:val="FootnoteReference"/>
        </w:rPr>
        <w:footnoteReference w:id="11396"/>
      </w:r>
      <w:r>
        <w:t xml:space="preserve"> of hosts will be exalted in judgment, and the Holy God will be glorified in righteousness.</w:t>
      </w:r>
    </w:p>
    <w:p>
      <w:r>
        <w:rPr>
          <w:b/>
        </w:rPr>
        <w:t xml:space="preserve">17 </w:t>
      </w:r>
      <w:r>
        <w:t xml:space="preserve">And the plundered ones will be grazed as bulls, and lambs will eat the deserted places of those taken away.</w:t>
      </w:r>
    </w:p>
    <w:p>
      <w:r>
        <w:rPr>
          <w:b/>
        </w:rPr>
        <w:t xml:space="preserve">18 </w:t>
      </w:r>
      <w:r>
        <w:t xml:space="preserve">Woe to those drawing sins with a long rope and lawlessness as with the strap of a heifer's yoke,</w:t>
      </w:r>
    </w:p>
    <w:p>
      <w:r>
        <w:rPr>
          <w:b/>
        </w:rPr>
        <w:t xml:space="preserve">19 </w:t>
      </w:r>
      <w:r>
        <w:t xml:space="preserve">those saying, Let what he will do come quickly and draw near, that we may see; and let the counsel of the Holy One of Israel come, that we may know.</w:t>
      </w:r>
    </w:p>
    <w:p>
      <w:r>
        <w:rPr>
          <w:b/>
        </w:rPr>
        <w:t xml:space="preserve">20 </w:t>
      </w:r>
      <w:r>
        <w:t xml:space="preserve">Woe to those saying evil is good and good is evil, those putting darkness as light and light as darkness, those putting bitter as sweet and sweet as bitter.</w:t>
      </w:r>
    </w:p>
    <w:p>
      <w:r>
        <w:rPr>
          <w:b/>
        </w:rPr>
        <w:t xml:space="preserve">21 </w:t>
      </w:r>
      <w:r>
        <w:t xml:space="preserve">Woe to those understanding in themselves and knowledgeable before themselves.</w:t>
      </w:r>
    </w:p>
    <w:p>
      <w:r>
        <w:rPr>
          <w:b/>
        </w:rPr>
        <w:t xml:space="preserve">22 </w:t>
      </w:r>
      <w:r>
        <w:t xml:space="preserve">Woe to your mighty</w:t>
      </w:r>
      <w:r>
        <w:rPr>
          <w:rStyle w:val="FootnoteReference"/>
        </w:rPr>
        <w:footnoteReference w:id="11397"/>
      </w:r>
      <w:r>
        <w:t xml:space="preserve"> men, drinkers of wine, and rulers mixing strong drink,</w:t>
      </w:r>
    </w:p>
    <w:p>
      <w:r>
        <w:rPr>
          <w:b/>
        </w:rPr>
        <w:t xml:space="preserve">23 </w:t>
      </w:r>
      <w:r>
        <w:t xml:space="preserve">those justifying the ungodly for gifts and taking away the right of the righteous.</w:t>
      </w:r>
    </w:p>
    <w:p>
      <w:r>
        <w:rPr>
          <w:b/>
        </w:rPr>
        <w:t xml:space="preserve">24 </w:t>
      </w:r>
      <w:r>
        <w:t xml:space="preserve">Therefore as stubble will be burned under a coal of fire and be consumed under a loose flame, their root</w:t>
      </w:r>
      <w:r>
        <w:rPr>
          <w:rStyle w:val="FootnoteReference"/>
        </w:rPr>
        <w:footnoteReference w:id="11398"/>
      </w:r>
      <w:r>
        <w:t xml:space="preserve"> will be as down and their blossom will go up as dust, because they did not want the law of the Lord of hosts but provoked the oracle of the Holy One of Israel.</w:t>
      </w:r>
    </w:p>
    <w:p>
      <w:r>
        <w:rPr>
          <w:b/>
        </w:rPr>
        <w:t xml:space="preserve">25 </w:t>
      </w:r>
      <w:r>
        <w:t xml:space="preserve">And the Lord of hosts was enraged in anger against his people, and he laid his hand on them and struck them and the mountains were provoked, and their corpses became as dung in the midst of the road. In all these his anger did not turn away, but his hand is still high.</w:t>
      </w:r>
    </w:p>
    <w:p>
      <w:r>
        <w:rPr>
          <w:b/>
        </w:rPr>
        <w:t xml:space="preserve">26 </w:t>
      </w:r>
      <w:r>
        <w:t xml:space="preserve">Therefore he will raise a signal among the nations far off and whistle to them from the end of the earth, and look, swiftly lightly they come.</w:t>
      </w:r>
    </w:p>
    <w:p>
      <w:r>
        <w:rPr>
          <w:b/>
        </w:rPr>
        <w:t xml:space="preserve">27 </w:t>
      </w:r>
      <w:r>
        <w:t xml:space="preserve">They will neither hunger nor grow weary nor grow drowsy nor sleep, nor loosen their belts from their waist, nor will the straps of their sandals break.</w:t>
      </w:r>
    </w:p>
    <w:p>
      <w:r>
        <w:rPr>
          <w:b/>
        </w:rPr>
        <w:t xml:space="preserve">28 </w:t>
      </w:r>
      <w:r>
        <w:t xml:space="preserve">Whose arrows</w:t>
      </w:r>
      <w:r>
        <w:rPr>
          <w:rStyle w:val="FootnoteReference"/>
        </w:rPr>
        <w:footnoteReference w:id="11399"/>
      </w:r>
      <w:r>
        <w:t xml:space="preserve"> are sharp and their bows bent; the feet of their horses were reckoned as solid rock, the wheels of their chariots as a storm.</w:t>
      </w:r>
    </w:p>
    <w:p>
      <w:r>
        <w:rPr>
          <w:b/>
        </w:rPr>
        <w:t xml:space="preserve">29 </w:t>
      </w:r>
      <w:r>
        <w:t xml:space="preserve">They will rush as lions and stand by as a lion's whelp, and will seize and roar as a beast and cast out, and there will not be one rescuing them.</w:t>
      </w:r>
    </w:p>
    <w:p>
      <w:r>
        <w:rPr>
          <w:b/>
        </w:rPr>
        <w:t xml:space="preserve">30 </w:t>
      </w:r>
      <w:r>
        <w:t xml:space="preserve">And it will roar because of them in that day as the sound of a surging sea, and they will look to the land, and look, hard darkness is in their distress.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it happened in the year</w:t>
      </w:r>
      <w:r>
        <w:rPr>
          <w:rStyle w:val="FootnoteReference"/>
        </w:rPr>
        <w:footnoteReference w:id="11400"/>
      </w:r>
      <w:r>
        <w:t xml:space="preserve"> King Uzziah died, I saw the Lord sitting on a high and lifted throne, and the house was full of his glory.</w:t>
      </w:r>
    </w:p>
    <w:p>
      <w:r>
        <w:rPr>
          <w:b/>
        </w:rPr>
        <w:t xml:space="preserve">2 </w:t>
      </w:r>
      <w:r>
        <w:t xml:space="preserve">And seraphim stood</w:t>
      </w:r>
      <w:r>
        <w:rPr>
          <w:rStyle w:val="FootnoteReference"/>
        </w:rPr>
        <w:footnoteReference w:id="11401"/>
      </w:r>
      <w:r>
        <w:t xml:space="preserve"> around him; six wings to one and six wings to one; with two they covered the face, and with two they covered the feet, and with two they flew.</w:t>
      </w:r>
    </w:p>
    <w:p>
      <w:r>
        <w:rPr>
          <w:b/>
        </w:rPr>
        <w:t xml:space="preserve">3 </w:t>
      </w:r>
      <w:r>
        <w:t xml:space="preserve">And one cried to another and said, Holy</w:t>
      </w:r>
      <w:r>
        <w:rPr>
          <w:rStyle w:val="FootnoteReference"/>
        </w:rPr>
        <w:footnoteReference w:id="11402"/>
      </w:r>
      <w:r>
        <w:t xml:space="preserve">, holy, holy, the Lord of hosts; the whole earth is full of his glory.</w:t>
      </w:r>
    </w:p>
    <w:p>
      <w:r>
        <w:rPr>
          <w:b/>
        </w:rPr>
        <w:t xml:space="preserve">4 </w:t>
      </w:r>
      <w:r>
        <w:t xml:space="preserve">And the lintel was raised from the voice with which they cried, and the house</w:t>
      </w:r>
      <w:r>
        <w:rPr>
          <w:rStyle w:val="FootnoteReference"/>
        </w:rPr>
        <w:footnoteReference w:id="11403"/>
      </w:r>
      <w:r>
        <w:t xml:space="preserve"> was filled with smoke.</w:t>
      </w:r>
    </w:p>
    <w:p>
      <w:r>
        <w:rPr>
          <w:b/>
        </w:rPr>
        <w:t xml:space="preserve">5 </w:t>
      </w:r>
      <w:r>
        <w:t xml:space="preserve">And I said, O wretched me, because I am pierced to heart, because being a man</w:t>
      </w:r>
      <w:r>
        <w:rPr>
          <w:rStyle w:val="FootnoteReference"/>
        </w:rPr>
        <w:footnoteReference w:id="11404"/>
      </w:r>
      <w:r>
        <w:t xml:space="preserve"> and having unclean lips and dwelling in the midst of the people having unclean lips, I saw the King, the Lord of hosts, with my eyes.</w:t>
      </w:r>
    </w:p>
    <w:p>
      <w:r>
        <w:rPr>
          <w:b/>
        </w:rPr>
        <w:t xml:space="preserve">6 </w:t>
      </w:r>
      <w:r>
        <w:t xml:space="preserve">And one of the seraphim was sent to me, and in his hand he had a coal which he took with the tongs from the altar.</w:t>
      </w:r>
    </w:p>
    <w:p>
      <w:r>
        <w:rPr>
          <w:b/>
        </w:rPr>
        <w:t xml:space="preserve">7 </w:t>
      </w:r>
      <w:r>
        <w:t xml:space="preserve">And he touched my mouth and said, Behold, this touched your lips, and it will take away your lawlessness and cleanse your sins.</w:t>
      </w:r>
    </w:p>
    <w:p>
      <w:r>
        <w:rPr>
          <w:b/>
        </w:rPr>
        <w:t xml:space="preserve">8 </w:t>
      </w:r>
      <w:r>
        <w:t xml:space="preserve">And I heard</w:t>
      </w:r>
      <w:r>
        <w:rPr>
          <w:rStyle w:val="FootnoteReference"/>
        </w:rPr>
        <w:footnoteReference w:id="11405"/>
      </w:r>
      <w:r>
        <w:t xml:space="preserve"> the voice of the Lord saying, Whom shall I send, and who will go to this people? And I said, Behold, I am here; send me.</w:t>
      </w:r>
    </w:p>
    <w:p>
      <w:r>
        <w:rPr>
          <w:b/>
        </w:rPr>
        <w:t xml:space="preserve">9 </w:t>
      </w:r>
      <w:r>
        <w:t xml:space="preserve">And he said, Go and say to this people: hearing you will hear and certainly not understand, and looking you will look and certainly not see.</w:t>
      </w:r>
    </w:p>
    <w:p>
      <w:r>
        <w:rPr>
          <w:b/>
        </w:rPr>
        <w:t xml:space="preserve">10 </w:t>
      </w:r>
      <w:r>
        <w:t xml:space="preserve">For the heart</w:t>
      </w:r>
      <w:r>
        <w:rPr>
          <w:rStyle w:val="FootnoteReference"/>
        </w:rPr>
        <w:footnoteReference w:id="11406"/>
      </w:r>
      <w:r>
        <w:t xml:space="preserve"> of this people grew fat, and with their ears they heard heavily, and their eyes they closed, lest they see with the eyes and hear with the ears and understand with the heart and turn, and I heal them.</w:t>
      </w:r>
    </w:p>
    <w:p>
      <w:r>
        <w:rPr>
          <w:b/>
        </w:rPr>
        <w:t xml:space="preserve">11 </w:t>
      </w:r>
      <w:r>
        <w:t xml:space="preserve">And I said, Until when, Lord? And he said, Until the</w:t>
      </w:r>
      <w:r>
        <w:rPr>
          <w:rStyle w:val="FootnoteReference"/>
        </w:rPr>
        <w:footnoteReference w:id="11407"/>
      </w:r>
      <w:r>
        <w:t xml:space="preserve"> cities are made desolate from not being inhabited, and the houses from not having men, and the land will be left desolate.</w:t>
      </w:r>
    </w:p>
    <w:p>
      <w:r>
        <w:rPr>
          <w:b/>
        </w:rPr>
        <w:t xml:space="preserve">12 </w:t>
      </w:r>
      <w:r>
        <w:t xml:space="preserve">And after these things God will send men far away, and those left behind will multiply on the earth.</w:t>
      </w:r>
    </w:p>
    <w:p>
      <w:r>
        <w:rPr>
          <w:b/>
        </w:rPr>
        <w:t xml:space="preserve">13 </w:t>
      </w:r>
      <w:r>
        <w:t xml:space="preserve">And yet upon it still is the tenth, and again it will be for plundering, like a terebinth and like an oak whenever it falls from its casing.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it happened in the days</w:t>
      </w:r>
      <w:r>
        <w:rPr>
          <w:rStyle w:val="FootnoteReference"/>
        </w:rPr>
        <w:footnoteReference w:id="11408"/>
      </w:r>
      <w:r>
        <w:t xml:space="preserve"> of Ahaz son of Jotham son of Uzziah king of Judah, Rezin king of Aram and Pekah son of Remaliah king of Israel went up against Jerusalem to war against it, and they were not able to besiege it.</w:t>
      </w:r>
    </w:p>
    <w:p>
      <w:r>
        <w:rPr>
          <w:b/>
        </w:rPr>
        <w:t xml:space="preserve">2 </w:t>
      </w:r>
      <w:r>
        <w:t xml:space="preserve">And it was reported to the house</w:t>
      </w:r>
      <w:r>
        <w:rPr>
          <w:rStyle w:val="FootnoteReference"/>
        </w:rPr>
        <w:footnoteReference w:id="11409"/>
      </w:r>
      <w:r>
        <w:t xml:space="preserve"> of David, saying, Aram agreed with Ephraim, and his soul and the soul of his people were stirred as when a tree in the forest is shaken by wind.</w:t>
      </w:r>
    </w:p>
    <w:p>
      <w:r>
        <w:rPr>
          <w:b/>
        </w:rPr>
        <w:t xml:space="preserve">3 </w:t>
      </w:r>
      <w:r>
        <w:t xml:space="preserve">And the Lord said to Isaiah, Go out to meet Ahaz, you and Shear-jashub</w:t>
      </w:r>
      <w:r>
        <w:rPr>
          <w:rStyle w:val="FootnoteReference"/>
        </w:rPr>
        <w:footnoteReference w:id="11410"/>
      </w:r>
      <w:r>
        <w:t xml:space="preserve"> your son, to the pool of the upper road of the fuller's field.</w:t>
      </w:r>
    </w:p>
    <w:p>
      <w:r>
        <w:rPr>
          <w:b/>
        </w:rPr>
        <w:t xml:space="preserve">4 </w:t>
      </w:r>
      <w:r>
        <w:t xml:space="preserve">And you will say to him, Take care to be quiet and do not fear, nor let your soul weaken from these two pieces of smoking firebrands, for whenever the anger of my wrath comes, again I will heal.</w:t>
      </w:r>
    </w:p>
    <w:p>
      <w:r>
        <w:rPr>
          <w:b/>
        </w:rPr>
        <w:t xml:space="preserve">5 </w:t>
      </w:r>
      <w:r>
        <w:t xml:space="preserve">And the son of Aram and the son of Remaliah, because they counseled evil counsel about you, saying,</w:t>
      </w:r>
    </w:p>
    <w:p>
      <w:r>
        <w:rPr>
          <w:b/>
        </w:rPr>
        <w:t xml:space="preserve">6 </w:t>
      </w:r>
      <w:r>
        <w:t xml:space="preserve">We will go up into Judah and by speaking with them turn them toward us, and we will make the son of Tabeel king of it.</w:t>
      </w:r>
    </w:p>
    <w:p>
      <w:r>
        <w:rPr>
          <w:b/>
        </w:rPr>
        <w:t xml:space="preserve">7 </w:t>
      </w:r>
      <w:r>
        <w:t xml:space="preserve">Thus says the Lord of hosts: This counsel will certainly not remain, nor shall it be.</w:t>
      </w:r>
    </w:p>
    <w:p>
      <w:r>
        <w:rPr>
          <w:b/>
        </w:rPr>
        <w:t xml:space="preserve">8 </w:t>
      </w:r>
      <w:r>
        <w:t xml:space="preserve">But the head of Aram is Damascus; and yet within</w:t>
      </w:r>
      <w:r>
        <w:rPr>
          <w:rStyle w:val="FootnoteReference"/>
        </w:rPr>
        <w:footnoteReference w:id="11411"/>
      </w:r>
      <w:r>
        <w:t xml:space="preserve"> sixty-five years the kingdom of Ephraim will cease from being a people.</w:t>
      </w:r>
    </w:p>
    <w:p>
      <w:r>
        <w:rPr>
          <w:b/>
        </w:rPr>
        <w:t xml:space="preserve">9 </w:t>
      </w:r>
      <w:r>
        <w:t xml:space="preserve">And the head</w:t>
      </w:r>
      <w:r>
        <w:rPr>
          <w:rStyle w:val="FootnoteReference"/>
        </w:rPr>
        <w:footnoteReference w:id="11412"/>
      </w:r>
      <w:r>
        <w:t xml:space="preserve"> of Ephraim is Samaria, and the head of Samaria is the son of Remaliah. If you do not believe, neither will you understand.</w:t>
      </w:r>
    </w:p>
    <w:p>
      <w:r>
        <w:rPr>
          <w:b/>
        </w:rPr>
        <w:t xml:space="preserve">10 </w:t>
      </w:r>
      <w:r>
        <w:t xml:space="preserve">And the Lord added again to speak to Ahaz, saying,</w:t>
      </w:r>
    </w:p>
    <w:p>
      <w:r>
        <w:rPr>
          <w:b/>
        </w:rPr>
        <w:t xml:space="preserve">11 </w:t>
      </w:r>
      <w:r>
        <w:t xml:space="preserve">Ask for yourself a sign</w:t>
      </w:r>
      <w:r>
        <w:rPr>
          <w:rStyle w:val="FootnoteReference"/>
        </w:rPr>
        <w:footnoteReference w:id="11413"/>
      </w:r>
      <w:r>
        <w:t xml:space="preserve"> from the Lord your God, in depth or in height.</w:t>
      </w:r>
    </w:p>
    <w:p>
      <w:r>
        <w:rPr>
          <w:b/>
        </w:rPr>
        <w:t xml:space="preserve">12 </w:t>
      </w:r>
      <w:r>
        <w:t xml:space="preserve">And Ahaz said, I will certainly not ask, nor certainly will I test the Lord.</w:t>
      </w:r>
    </w:p>
    <w:p>
      <w:r>
        <w:rPr>
          <w:b/>
        </w:rPr>
        <w:t xml:space="preserve">13 </w:t>
      </w:r>
      <w:r>
        <w:t xml:space="preserve">And he said, Hear now, house of David. Is it a small</w:t>
      </w:r>
      <w:r>
        <w:rPr>
          <w:rStyle w:val="FootnoteReference"/>
        </w:rPr>
        <w:footnoteReference w:id="11414"/>
      </w:r>
      <w:r>
        <w:t xml:space="preserve"> thing for you to furnish struggle to men, and how do you furnish struggle to the Lord?</w:t>
      </w:r>
    </w:p>
    <w:p>
      <w:r>
        <w:rPr>
          <w:b/>
        </w:rPr>
        <w:t xml:space="preserve">14 </w:t>
      </w:r>
      <w:r>
        <w:t xml:space="preserve">Therefore the Lord himself will give you a sign: Behold</w:t>
      </w:r>
      <w:r>
        <w:rPr>
          <w:rStyle w:val="FootnoteReference"/>
        </w:rPr>
        <w:footnoteReference w:id="11415"/>
      </w:r>
      <w:r>
        <w:t xml:space="preserve">, the virgin will have a child in the womb and bear a son, and you will call his name Immanuel</w:t>
      </w:r>
      <w:r>
        <w:rPr>
          <w:rStyle w:val="FootnoteReference"/>
        </w:rPr>
        <w:footnoteReference w:id="11416"/>
      </w:r>
      <w:r>
        <w:t xml:space="preserve">.</w:t>
      </w:r>
      <w:r>
        <w:rPr>
          <w:rStyle w:val="FootnoteReference"/>
        </w:rPr>
        <w:footnoteReference w:id="11417"/>
      </w:r>
    </w:p>
    <w:p>
      <w:r>
        <w:rPr>
          <w:b/>
        </w:rPr>
        <w:t xml:space="preserve">15 </w:t>
      </w:r>
      <w:r>
        <w:t xml:space="preserve">Butter</w:t>
      </w:r>
      <w:r>
        <w:rPr>
          <w:rStyle w:val="FootnoteReference"/>
        </w:rPr>
        <w:footnoteReference w:id="11418"/>
      </w:r>
      <w:r>
        <w:t xml:space="preserve"> and honey he will eat; before he knows or chooses evil, he will choose the good.</w:t>
      </w:r>
    </w:p>
    <w:p>
      <w:r>
        <w:rPr>
          <w:b/>
        </w:rPr>
        <w:t xml:space="preserve">16 </w:t>
      </w:r>
      <w:r>
        <w:t xml:space="preserve">Because before the child knows good or evil, he rejects evil to choose the good, and the land which you fear from the face of the two kings will be forsaken.</w:t>
      </w:r>
    </w:p>
    <w:p>
      <w:r>
        <w:rPr>
          <w:b/>
        </w:rPr>
        <w:t xml:space="preserve">17 </w:t>
      </w:r>
      <w:r>
        <w:t xml:space="preserve">But God will bring upon</w:t>
      </w:r>
      <w:r>
        <w:rPr>
          <w:rStyle w:val="FootnoteReference"/>
        </w:rPr>
        <w:footnoteReference w:id="11419"/>
      </w:r>
      <w:r>
        <w:t xml:space="preserve"> you and upon your people and upon the house of your father days not yet come since the day Ephraim was taken away from Judah: the king of the Assyrians.</w:t>
      </w:r>
    </w:p>
    <w:p>
      <w:r>
        <w:rPr>
          <w:b/>
        </w:rPr>
        <w:t xml:space="preserve">18 </w:t>
      </w:r>
      <w:r>
        <w:t xml:space="preserve">And it will be in that day, the Lord will whistle for the flies that rule part of the river of Egypt and for the bee that is in the land of the Assyrians.</w:t>
      </w:r>
    </w:p>
    <w:p>
      <w:r>
        <w:rPr>
          <w:b/>
        </w:rPr>
        <w:t xml:space="preserve">19 </w:t>
      </w:r>
      <w:r>
        <w:t xml:space="preserve">And they will all come and rest in the ravines of the land and the holes of the rocks and the caves and every cleft and every tree.</w:t>
      </w:r>
    </w:p>
    <w:p>
      <w:r>
        <w:rPr>
          <w:b/>
        </w:rPr>
        <w:t xml:space="preserve">20 </w:t>
      </w:r>
      <w:r>
        <w:t xml:space="preserve">In that day the Lord will shave</w:t>
      </w:r>
      <w:r>
        <w:rPr>
          <w:rStyle w:val="FootnoteReference"/>
        </w:rPr>
        <w:footnoteReference w:id="11420"/>
      </w:r>
      <w:r>
        <w:t xml:space="preserve"> with a razor, the great and drunken one, which is beyond the river, by the king of the Assyrians, the head and the hairs of the feet, and the beard he will remove.</w:t>
      </w:r>
    </w:p>
    <w:p>
      <w:r>
        <w:rPr>
          <w:b/>
        </w:rPr>
        <w:t xml:space="preserve">21 </w:t>
      </w:r>
      <w:r>
        <w:t xml:space="preserve">And it will be in that day, a man</w:t>
      </w:r>
      <w:r>
        <w:rPr>
          <w:rStyle w:val="FootnoteReference"/>
        </w:rPr>
        <w:footnoteReference w:id="11421"/>
      </w:r>
      <w:r>
        <w:t xml:space="preserve"> will nourish a heifer of cattle and two sheep.</w:t>
      </w:r>
    </w:p>
    <w:p>
      <w:r>
        <w:rPr>
          <w:b/>
        </w:rPr>
        <w:t xml:space="preserve">22 </w:t>
      </w:r>
      <w:r>
        <w:t xml:space="preserve">And it will be, from the abundance of milk, everyone left on the land will eat butter and honey</w:t>
      </w:r>
      <w:r>
        <w:rPr>
          <w:rStyle w:val="FootnoteReference"/>
        </w:rPr>
        <w:footnoteReference w:id="11422"/>
      </w:r>
      <w:r>
        <w:t xml:space="preserve">.</w:t>
      </w:r>
    </w:p>
    <w:p>
      <w:r>
        <w:rPr>
          <w:b/>
        </w:rPr>
        <w:t xml:space="preserve">23 </w:t>
      </w:r>
      <w:r>
        <w:t xml:space="preserve">And it will be in that day every place where there are a thousand vines</w:t>
      </w:r>
      <w:r>
        <w:rPr>
          <w:rStyle w:val="FootnoteReference"/>
        </w:rPr>
        <w:footnoteReference w:id="11423"/>
      </w:r>
      <w:r>
        <w:t xml:space="preserve"> for a thousand shekels will become a wasteland and a thorn.</w:t>
      </w:r>
    </w:p>
    <w:p>
      <w:r>
        <w:rPr>
          <w:b/>
        </w:rPr>
        <w:t xml:space="preserve">24 </w:t>
      </w:r>
      <w:r>
        <w:t xml:space="preserve">With an arrow and bow they will enter there, because the whole land will be a wasteland and thorn.</w:t>
      </w:r>
    </w:p>
    <w:p>
      <w:r>
        <w:rPr>
          <w:b/>
        </w:rPr>
        <w:t xml:space="preserve">25 </w:t>
      </w:r>
      <w:r>
        <w:t xml:space="preserve">And every mountain being plowed will be plowed, and fear will certainly not come there, for from the wasteland and thorn it will be for the grazing of sheep and the trampling of ox.</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the Lord said to me, Take for yourself a new large scroll and write</w:t>
      </w:r>
      <w:r>
        <w:rPr>
          <w:rStyle w:val="FootnoteReference"/>
        </w:rPr>
        <w:footnoteReference w:id="11424"/>
      </w:r>
      <w:r>
        <w:t xml:space="preserve"> on it with a human stylus: Swiftly spoil, quickly plunder, for it is near.</w:t>
      </w:r>
    </w:p>
    <w:p>
      <w:r>
        <w:rPr>
          <w:b/>
        </w:rPr>
        <w:t xml:space="preserve">2 </w:t>
      </w:r>
      <w:r>
        <w:t xml:space="preserve">And make for me faithful human witnesses, Uriah</w:t>
      </w:r>
      <w:r>
        <w:rPr>
          <w:rStyle w:val="FootnoteReference"/>
        </w:rPr>
        <w:footnoteReference w:id="11425"/>
      </w:r>
      <w:r>
        <w:t xml:space="preserve"> and Zechariah son of Berechiah.</w:t>
      </w:r>
    </w:p>
    <w:p>
      <w:r>
        <w:rPr>
          <w:b/>
        </w:rPr>
        <w:t xml:space="preserve">3 </w:t>
      </w:r>
      <w:r>
        <w:t xml:space="preserve">And I approached the prophetess</w:t>
      </w:r>
      <w:r>
        <w:rPr>
          <w:rStyle w:val="FootnoteReference"/>
        </w:rPr>
        <w:footnoteReference w:id="11426"/>
      </w:r>
      <w:r>
        <w:t xml:space="preserve">, and she conceived and bore a son, and the Lord said to me, Call his name, Swiftly Spoil, Quickly Plunder.</w:t>
      </w:r>
    </w:p>
    <w:p>
      <w:r>
        <w:rPr>
          <w:b/>
        </w:rPr>
        <w:t xml:space="preserve">4 </w:t>
      </w:r>
      <w:r>
        <w:t xml:space="preserve">Because before the child knows to call father or mother, he will take the power of Damascus and the spoils of Samaria before the king of the Assyrians.</w:t>
      </w:r>
    </w:p>
    <w:p>
      <w:r>
        <w:rPr>
          <w:b/>
        </w:rPr>
        <w:t xml:space="preserve">5 </w:t>
      </w:r>
      <w:r>
        <w:t xml:space="preserve">And the Lord added to speak to me still,</w:t>
      </w:r>
    </w:p>
    <w:p>
      <w:r>
        <w:rPr>
          <w:b/>
        </w:rPr>
        <w:t xml:space="preserve">6 </w:t>
      </w:r>
      <w:r>
        <w:t xml:space="preserve">Because this people did not want the water of Siloam</w:t>
      </w:r>
      <w:r>
        <w:rPr>
          <w:rStyle w:val="FootnoteReference"/>
        </w:rPr>
        <w:footnoteReference w:id="11427"/>
      </w:r>
      <w:r>
        <w:t xml:space="preserve"> going quietly, but wanted to have Rezin and the son of Remaliah as king over you,</w:t>
      </w:r>
    </w:p>
    <w:p>
      <w:r>
        <w:rPr>
          <w:b/>
        </w:rPr>
        <w:t xml:space="preserve">7 </w:t>
      </w:r>
      <w:r>
        <w:t xml:space="preserve">because of this behold the Lord brings up upon you the water of the river, strong</w:t>
      </w:r>
      <w:r>
        <w:rPr>
          <w:rStyle w:val="FootnoteReference"/>
        </w:rPr>
        <w:footnoteReference w:id="11428"/>
      </w:r>
      <w:r>
        <w:t xml:space="preserve"> and abundant, the king of the Assyrians and his glory, and it will go up over all your valleys and walk over all your walls.</w:t>
      </w:r>
    </w:p>
    <w:p>
      <w:r>
        <w:rPr>
          <w:b/>
        </w:rPr>
        <w:t xml:space="preserve">8 </w:t>
      </w:r>
      <w:r>
        <w:t xml:space="preserve">And it will take away from Judah a man who can lift his head or be able to accomplish anything, and his camp will be so as to fill the width of your land, God-with-us.</w:t>
      </w:r>
    </w:p>
    <w:p>
      <w:r>
        <w:rPr>
          <w:b/>
        </w:rPr>
        <w:t xml:space="preserve">9 </w:t>
      </w:r>
      <w:r>
        <w:t xml:space="preserve">Know, nations, and be defeated; hear, to the end of the earth. Having grown strong, be defeated. If again you grow strong, again you will be defeated.</w:t>
      </w:r>
    </w:p>
    <w:p>
      <w:r>
        <w:rPr>
          <w:b/>
        </w:rPr>
        <w:t xml:space="preserve">10 </w:t>
      </w:r>
      <w:r>
        <w:t xml:space="preserve">And whatever counsel</w:t>
      </w:r>
      <w:r>
        <w:rPr>
          <w:rStyle w:val="FootnoteReference"/>
        </w:rPr>
        <w:footnoteReference w:id="11429"/>
      </w:r>
      <w:r>
        <w:t xml:space="preserve"> you counsel, the Lord will scatter; and whatever word you speak will certainly not remain for you, because with us is the Lord God.</w:t>
      </w:r>
    </w:p>
    <w:p>
      <w:r>
        <w:rPr>
          <w:b/>
        </w:rPr>
        <w:t xml:space="preserve">11 </w:t>
      </w:r>
      <w:r>
        <w:t xml:space="preserve">Thus says the Lord with a strong hand</w:t>
      </w:r>
      <w:r>
        <w:rPr>
          <w:rStyle w:val="FootnoteReference"/>
        </w:rPr>
        <w:footnoteReference w:id="11430"/>
      </w:r>
      <w:r>
        <w:t xml:space="preserve">; they disobey in the walking of the way of this people, saying,</w:t>
      </w:r>
    </w:p>
    <w:p>
      <w:r>
        <w:rPr>
          <w:b/>
        </w:rPr>
        <w:t xml:space="preserve">12 </w:t>
      </w:r>
      <w:r>
        <w:t xml:space="preserve">Never say hard whatever this people says is hard. The fear of it you certainly shall not fear, nor certainly be troubled.</w:t>
      </w:r>
    </w:p>
    <w:p>
      <w:r>
        <w:rPr>
          <w:b/>
        </w:rPr>
        <w:t xml:space="preserve">13 </w:t>
      </w:r>
      <w:r>
        <w:t xml:space="preserve">Sanctify</w:t>
      </w:r>
      <w:r>
        <w:rPr>
          <w:rStyle w:val="FootnoteReference"/>
        </w:rPr>
        <w:footnoteReference w:id="11431"/>
      </w:r>
      <w:r>
        <w:t xml:space="preserve"> the Lord himself, and he himself will be your fear.</w:t>
      </w:r>
    </w:p>
    <w:p>
      <w:r>
        <w:rPr>
          <w:b/>
        </w:rPr>
        <w:t xml:space="preserve">14 </w:t>
      </w:r>
      <w:r>
        <w:t xml:space="preserve">And if you are trusting in him, he will be for you into holiness, and not as a stumbling stone will you meet him, nor as a rock of falling; but the house of Jacob is in a snare</w:t>
      </w:r>
      <w:r>
        <w:rPr>
          <w:rStyle w:val="FootnoteReference"/>
        </w:rPr>
        <w:footnoteReference w:id="11432"/>
      </w:r>
      <w:r>
        <w:t xml:space="preserve"> and in a hollow, sitting in Jerusalem.</w:t>
      </w:r>
    </w:p>
    <w:p>
      <w:r>
        <w:rPr>
          <w:b/>
        </w:rPr>
        <w:t xml:space="preserve">15 </w:t>
      </w:r>
      <w:r>
        <w:t xml:space="preserve">Because of this many among them will be weak and fall and be crushed, and they will draw near and be captured while men are in safety.</w:t>
      </w:r>
    </w:p>
    <w:p>
      <w:r>
        <w:rPr>
          <w:b/>
        </w:rPr>
        <w:t xml:space="preserve">16 </w:t>
      </w:r>
      <w:r>
        <w:t xml:space="preserve">Then those sealing the law so as not to learn will be clear.</w:t>
      </w:r>
    </w:p>
    <w:p>
      <w:r>
        <w:rPr>
          <w:b/>
        </w:rPr>
        <w:t xml:space="preserve">17 </w:t>
      </w:r>
      <w:r>
        <w:t xml:space="preserve">And he will say, I will wait for God who turned his face from the house of Jacob, and I will trust in him.</w:t>
      </w:r>
    </w:p>
    <w:p>
      <w:r>
        <w:rPr>
          <w:b/>
        </w:rPr>
        <w:t xml:space="preserve">18 </w:t>
      </w:r>
      <w:r>
        <w:t xml:space="preserve">Behold, I and the</w:t>
      </w:r>
      <w:r>
        <w:rPr>
          <w:rStyle w:val="FootnoteReference"/>
        </w:rPr>
        <w:footnoteReference w:id="11433"/>
      </w:r>
      <w:r>
        <w:t xml:space="preserve"> children whom God gave me, and they will be for signs and wonders in the house of Israel from the Lord of hosts who dwells on Mount Zion.</w:t>
      </w:r>
    </w:p>
    <w:p>
      <w:r>
        <w:rPr>
          <w:b/>
        </w:rPr>
        <w:t xml:space="preserve">19 </w:t>
      </w:r>
      <w:r>
        <w:t xml:space="preserve">And if they say to you, Seek</w:t>
      </w:r>
      <w:r>
        <w:rPr>
          <w:rStyle w:val="FootnoteReference"/>
        </w:rPr>
        <w:footnoteReference w:id="11434"/>
      </w:r>
      <w:r>
        <w:t xml:space="preserve"> those from the earth who call and ventriloquists who speak emptiness, who speak from the belly, does not a nation seek to its God? Why do they seek the dead ones concerning the living ones?</w:t>
      </w:r>
    </w:p>
    <w:p>
      <w:r>
        <w:rPr>
          <w:b/>
        </w:rPr>
        <w:t xml:space="preserve">20 </w:t>
      </w:r>
      <w:r>
        <w:t xml:space="preserve">For he gave the law</w:t>
      </w:r>
      <w:r>
        <w:rPr>
          <w:rStyle w:val="FootnoteReference"/>
        </w:rPr>
        <w:footnoteReference w:id="11435"/>
      </w:r>
      <w:r>
        <w:t xml:space="preserve"> for help, so that they may say, not according to this word, concerning which there is no gift to give.</w:t>
      </w:r>
    </w:p>
    <w:p>
      <w:r>
        <w:rPr>
          <w:b/>
        </w:rPr>
        <w:t xml:space="preserve">21 </w:t>
      </w:r>
      <w:r>
        <w:t xml:space="preserve">And hard famine will come upon you, and it will be, whenever you hunger, you will be distressed, and you will speak evil of the ruler and ancestral things and will look upward to heaven.</w:t>
      </w:r>
    </w:p>
    <w:p>
      <w:r>
        <w:rPr>
          <w:b/>
        </w:rPr>
        <w:t xml:space="preserve">22 </w:t>
      </w:r>
      <w:r>
        <w:t xml:space="preserve">And down to the earth they will look</w:t>
      </w:r>
      <w:r>
        <w:rPr>
          <w:rStyle w:val="FootnoteReference"/>
        </w:rPr>
        <w:footnoteReference w:id="11436"/>
      </w:r>
      <w:r>
        <w:t xml:space="preserve">, and look, affliction and tightness and darkness, narrow distress and darkness so as not to see.</w:t>
      </w:r>
    </w:p>
    <w:p>
      <w:r>
        <w:rPr>
          <w:b/>
        </w:rPr>
        <w:t xml:space="preserve">23 </w:t>
      </w:r>
      <w:r>
        <w:t xml:space="preserve">And one being in distress will not be without escape until time. This first he does quickly: the land of Zebulun, the land of Naphtali, the way of the sea, and the rest who dwell by the coast and beyond Jordan, Galilee of nations, the regions of Judah.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The people walking in darkness, see a great light; you dwelling in the land and the shadow of death, a light will shine on you.</w:t>
      </w:r>
    </w:p>
    <w:p>
      <w:r>
        <w:rPr>
          <w:b/>
        </w:rPr>
        <w:t xml:space="preserve">2 </w:t>
      </w:r>
      <w:r>
        <w:t xml:space="preserve">Most of the people whom you brought down, in your gladness they will rejoice before you as those rejoicing in harvest and as those dividing spoils.</w:t>
      </w:r>
    </w:p>
    <w:p>
      <w:r>
        <w:rPr>
          <w:b/>
        </w:rPr>
        <w:t xml:space="preserve">3 </w:t>
      </w:r>
      <w:r>
        <w:t xml:space="preserve">Because the yoke lying on them and the rod on their neck, for the rod of those exacting the Lord scattered as on the day of Midian.</w:t>
      </w:r>
    </w:p>
    <w:p>
      <w:r>
        <w:rPr>
          <w:b/>
        </w:rPr>
        <w:t xml:space="preserve">4 </w:t>
      </w:r>
      <w:r>
        <w:t xml:space="preserve">Because every garment gathered by deceit and a garment from confiscation they will repay, and they will wish it had become burned with fire.</w:t>
      </w:r>
    </w:p>
    <w:p>
      <w:r>
        <w:rPr>
          <w:b/>
        </w:rPr>
        <w:t xml:space="preserve">5 </w:t>
      </w:r>
      <w:r>
        <w:t xml:space="preserve">Because a child was born to us, a son was given to us, whose rule became upon his shoulder, and his name is called Angel of Great Counsel</w:t>
      </w:r>
      <w:r>
        <w:rPr>
          <w:rStyle w:val="FootnoteReference"/>
        </w:rPr>
        <w:footnoteReference w:id="11437"/>
      </w:r>
      <w:r>
        <w:t xml:space="preserve">, for I will bring peace upon rulers, peace and health to him.</w:t>
      </w:r>
      <w:r>
        <w:rPr>
          <w:rStyle w:val="FootnoteReference"/>
        </w:rPr>
        <w:footnoteReference w:id="11438"/>
      </w:r>
    </w:p>
    <w:p>
      <w:r>
        <w:rPr>
          <w:b/>
        </w:rPr>
        <w:t xml:space="preserve">6 </w:t>
      </w:r>
      <w:r>
        <w:t xml:space="preserve">Great is his rule, and his peace has no boundary, upon the throne of David and his kingdom, to make it prosper and uphold it in righteousness and judgment from now and forever. The zeal of the Lord of hosts will do these things.</w:t>
      </w:r>
      <w:r>
        <w:rPr>
          <w:rStyle w:val="FootnoteReference"/>
        </w:rPr>
        <w:footnoteReference w:id="11439"/>
      </w:r>
      <w:r>
        <w:rPr>
          <w:rStyle w:val="FootnoteReference"/>
        </w:rPr>
        <w:footnoteReference w:id="11440"/>
      </w:r>
      <w:r>
        <w:rPr>
          <w:rStyle w:val="FootnoteReference"/>
        </w:rPr>
        <w:footnoteReference w:id="11441"/>
      </w:r>
      <w:r>
        <w:rPr>
          <w:rStyle w:val="FootnoteReference"/>
        </w:rPr>
        <w:footnoteReference w:id="11442"/>
      </w:r>
      <w:r>
        <w:rPr>
          <w:rStyle w:val="FootnoteReference"/>
        </w:rPr>
        <w:footnoteReference w:id="11443"/>
      </w:r>
    </w:p>
    <w:p>
      <w:r>
        <w:rPr>
          <w:b/>
        </w:rPr>
        <w:t xml:space="preserve">7 </w:t>
      </w:r>
      <w:r>
        <w:t xml:space="preserve">The Lord sent death upon Jacob, and it came upon Israel.</w:t>
      </w:r>
    </w:p>
    <w:p>
      <w:r>
        <w:rPr>
          <w:b/>
        </w:rPr>
        <w:t xml:space="preserve">8 </w:t>
      </w:r>
      <w:r>
        <w:t xml:space="preserve">And all the people of Ephraim and the dwellers in Samaria will know, in insolence and a lofty heart saying,</w:t>
      </w:r>
    </w:p>
    <w:p>
      <w:r>
        <w:rPr>
          <w:b/>
        </w:rPr>
        <w:t xml:space="preserve">9 </w:t>
      </w:r>
      <w:r>
        <w:t xml:space="preserve">Bricks have fallen, but come, let us hew stones, and cut down sycamores and cedars, and build a tower for ourselves.</w:t>
      </w:r>
    </w:p>
    <w:p>
      <w:r>
        <w:rPr>
          <w:b/>
        </w:rPr>
        <w:t xml:space="preserve">10 </w:t>
      </w:r>
      <w:r>
        <w:t xml:space="preserve">And God will dash down those rising on Mount Zion against them, and their enemies he will scatter.</w:t>
      </w:r>
    </w:p>
    <w:p>
      <w:r>
        <w:rPr>
          <w:b/>
        </w:rPr>
        <w:t xml:space="preserve">11 </w:t>
      </w:r>
      <w:r>
        <w:t xml:space="preserve">Syria from the east of the sun and Greeks</w:t>
      </w:r>
      <w:r>
        <w:rPr>
          <w:rStyle w:val="FootnoteReference"/>
        </w:rPr>
        <w:footnoteReference w:id="11444"/>
      </w:r>
      <w:r>
        <w:t xml:space="preserve"> from the west of the sun, devouring Israel with a whole mouth. In all these his anger did not turn away, but his hand is still high.</w:t>
      </w:r>
    </w:p>
    <w:p>
      <w:r>
        <w:rPr>
          <w:b/>
        </w:rPr>
        <w:t xml:space="preserve">12 </w:t>
      </w:r>
      <w:r>
        <w:t xml:space="preserve">And the people did not turn until it was struck, and the Lord they did not seek.</w:t>
      </w:r>
    </w:p>
    <w:p>
      <w:r>
        <w:rPr>
          <w:b/>
        </w:rPr>
        <w:t xml:space="preserve">13 </w:t>
      </w:r>
      <w:r>
        <w:t xml:space="preserve">And the Lord took away from Israel the head and tail, great and small, in one day.</w:t>
      </w:r>
    </w:p>
    <w:p>
      <w:r>
        <w:rPr>
          <w:b/>
        </w:rPr>
        <w:t xml:space="preserve">14 </w:t>
      </w:r>
      <w:r>
        <w:t xml:space="preserve">An elder and those admiring faces are the head, and a prophet teaching lawless things is the tail.</w:t>
      </w:r>
    </w:p>
    <w:p>
      <w:r>
        <w:rPr>
          <w:b/>
        </w:rPr>
        <w:t xml:space="preserve">15 </w:t>
      </w:r>
      <w:r>
        <w:t xml:space="preserve">And those blessing this people will mislead, and they mislead so as to swallow them.</w:t>
      </w:r>
    </w:p>
    <w:p>
      <w:r>
        <w:rPr>
          <w:b/>
        </w:rPr>
        <w:t xml:space="preserve">16 </w:t>
      </w:r>
      <w:r>
        <w:t xml:space="preserve">Because of this God will not rejoice over their young men, and their orphans and widows he will not pity, because all are lawless and evil, and every mouth speaks unjust things. In all these his anger did not turn away, but his hand is still high.</w:t>
      </w:r>
    </w:p>
    <w:p>
      <w:r>
        <w:rPr>
          <w:b/>
        </w:rPr>
        <w:t xml:space="preserve">17 </w:t>
      </w:r>
      <w:r>
        <w:t xml:space="preserve">And lawlessness will burn as a fire, and dry grass will be eaten by fire, and it will burn in the thickets of the forest and consume everything around the hills.</w:t>
      </w:r>
    </w:p>
    <w:p>
      <w:r>
        <w:rPr>
          <w:b/>
        </w:rPr>
        <w:t xml:space="preserve">18 </w:t>
      </w:r>
      <w:r>
        <w:t xml:space="preserve">By the wrath of the anger of the Lord the whole land has been burned together, and the people will be as ones burned by fire; a man will not pity his brother.</w:t>
      </w:r>
    </w:p>
    <w:p>
      <w:r>
        <w:rPr>
          <w:b/>
        </w:rPr>
        <w:t xml:space="preserve">19 </w:t>
      </w:r>
      <w:r>
        <w:t xml:space="preserve">He will turn aside to the right because he will hunger, and he will eat from the left and certainly not be filled; each man eating the flesh of his own arm.</w:t>
      </w:r>
    </w:p>
    <w:p>
      <w:r>
        <w:rPr>
          <w:b/>
        </w:rPr>
        <w:t xml:space="preserve">20 </w:t>
      </w:r>
      <w:r>
        <w:t xml:space="preserve">For Manasseh will eat Ephraim, and Ephraim Manasseh, because together they will besiege Judah. In all these his anger did not turn away, but his hand is still high.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Woe to those writing evil things, for writing they write evil,</w:t>
      </w:r>
    </w:p>
    <w:p>
      <w:r>
        <w:rPr>
          <w:b/>
        </w:rPr>
        <w:t xml:space="preserve">2 </w:t>
      </w:r>
      <w:r>
        <w:t xml:space="preserve">turning aside the judgment of the poor, stealing the right of the needy of my people, so that a widow becomes for them plunder and an orphan spoil.</w:t>
      </w:r>
    </w:p>
    <w:p>
      <w:r>
        <w:rPr>
          <w:b/>
        </w:rPr>
        <w:t xml:space="preserve">3 </w:t>
      </w:r>
      <w:r>
        <w:t xml:space="preserve">And what</w:t>
      </w:r>
      <w:r>
        <w:rPr>
          <w:rStyle w:val="FootnoteReference"/>
        </w:rPr>
        <w:footnoteReference w:id="11445"/>
      </w:r>
      <w:r>
        <w:t xml:space="preserve"> will they do in the day of visitation? For affliction will come to you from far off, and to whom will you flee to be helped, and where will you leave your glory?</w:t>
      </w:r>
    </w:p>
    <w:p>
      <w:r>
        <w:rPr>
          <w:b/>
        </w:rPr>
        <w:t xml:space="preserve">4 </w:t>
      </w:r>
      <w:r>
        <w:t xml:space="preserve">So as not to fall into captivity? In all these his anger did not turn away, but his hand is still high.</w:t>
      </w:r>
    </w:p>
    <w:p>
      <w:r>
        <w:rPr>
          <w:b/>
        </w:rPr>
        <w:t xml:space="preserve">5 </w:t>
      </w:r>
      <w:r>
        <w:t xml:space="preserve">Woe to the Assyrians; the rod</w:t>
      </w:r>
      <w:r>
        <w:rPr>
          <w:rStyle w:val="FootnoteReference"/>
        </w:rPr>
        <w:footnoteReference w:id="11446"/>
      </w:r>
      <w:r>
        <w:t xml:space="preserve"> of my anger, and wrath is in their hands.</w:t>
      </w:r>
    </w:p>
    <w:p>
      <w:r>
        <w:rPr>
          <w:b/>
        </w:rPr>
        <w:t xml:space="preserve">6 </w:t>
      </w:r>
      <w:r>
        <w:t xml:space="preserve">I will send my wrath against</w:t>
      </w:r>
      <w:r>
        <w:rPr>
          <w:rStyle w:val="FootnoteReference"/>
        </w:rPr>
        <w:footnoteReference w:id="11447"/>
      </w:r>
      <w:r>
        <w:t xml:space="preserve"> a lawless nation, and I will command against my people to make spoil and plunder and trample the cities and make them dust.</w:t>
      </w:r>
    </w:p>
    <w:p>
      <w:r>
        <w:rPr>
          <w:b/>
        </w:rPr>
        <w:t xml:space="preserve">7 </w:t>
      </w:r>
      <w:r>
        <w:t xml:space="preserve">But he did not think thus, and in his soul he did not reckon thus; but his mind will cast off, to destroy nations not a few.</w:t>
      </w:r>
    </w:p>
    <w:p>
      <w:r>
        <w:rPr>
          <w:b/>
        </w:rPr>
        <w:t xml:space="preserve">8 </w:t>
      </w:r>
      <w:r>
        <w:t xml:space="preserve">And if they say to him, You alone are the ruler?</w:t>
      </w:r>
    </w:p>
    <w:p>
      <w:r>
        <w:rPr>
          <w:b/>
        </w:rPr>
        <w:t xml:space="preserve">9 </w:t>
      </w:r>
      <w:r>
        <w:t xml:space="preserve">And he will say, Did I not take the region above Babylon and Calno</w:t>
      </w:r>
      <w:r>
        <w:rPr>
          <w:rStyle w:val="FootnoteReference"/>
        </w:rPr>
        <w:footnoteReference w:id="11448"/>
      </w:r>
      <w:r>
        <w:t xml:space="preserve"> where the tower was built, and take Arabia and Damascus and Samaria?</w:t>
      </w:r>
      <w:r>
        <w:rPr>
          <w:rStyle w:val="FootnoteReference"/>
        </w:rPr>
        <w:footnoteReference w:id="11449"/>
      </w:r>
    </w:p>
    <w:p>
      <w:r>
        <w:rPr>
          <w:b/>
        </w:rPr>
        <w:t xml:space="preserve">10 </w:t>
      </w:r>
      <w:r>
        <w:t xml:space="preserve">As I took these into my hand, so I will take all the realms. Howl, carved things in Jerusalem and in Samaria.</w:t>
      </w:r>
    </w:p>
    <w:p>
      <w:r>
        <w:rPr>
          <w:b/>
        </w:rPr>
        <w:t xml:space="preserve">11 </w:t>
      </w:r>
      <w:r>
        <w:t xml:space="preserve">For as I did to Samaria and to her handmade things, so I will do to Jerusalem and her idols.</w:t>
      </w:r>
    </w:p>
    <w:p>
      <w:r>
        <w:rPr>
          <w:b/>
        </w:rPr>
        <w:t xml:space="preserve">12 </w:t>
      </w:r>
      <w:r>
        <w:t xml:space="preserve">And it will be, when the Lord</w:t>
      </w:r>
      <w:r>
        <w:rPr>
          <w:rStyle w:val="FootnoteReference"/>
        </w:rPr>
        <w:footnoteReference w:id="11450"/>
      </w:r>
      <w:r>
        <w:t xml:space="preserve"> finishes doing all things on Mount Zion and in Jerusalem, he will bring upon the great mind of the ruler of the Assyrians and upon the loftiness of the glory of his eyes.</w:t>
      </w:r>
    </w:p>
    <w:p>
      <w:r>
        <w:rPr>
          <w:b/>
        </w:rPr>
        <w:t xml:space="preserve">13 </w:t>
      </w:r>
      <w:r>
        <w:t xml:space="preserve">For he said, By strength I will do it, and by the wisdom of understanding. I will remove boundaries of nations and plunder their strength, and shake inhabited cities.</w:t>
      </w:r>
    </w:p>
    <w:p>
      <w:r>
        <w:rPr>
          <w:b/>
        </w:rPr>
        <w:t xml:space="preserve">14 </w:t>
      </w:r>
      <w:r>
        <w:t xml:space="preserve">And the whole world I will seize with the hand as a nest, and as eggs left behind I will take, and there is none who will escape me or speak against me.</w:t>
      </w:r>
    </w:p>
    <w:p>
      <w:r>
        <w:rPr>
          <w:b/>
        </w:rPr>
        <w:t xml:space="preserve">15 </w:t>
      </w:r>
      <w:r>
        <w:t xml:space="preserve">Will an axe be glorified without the one chopping with it, or a saw be lifted up without the one pulling it? Likewise if someone lifts a rod or wood.</w:t>
      </w:r>
    </w:p>
    <w:p>
      <w:r>
        <w:rPr>
          <w:b/>
        </w:rPr>
        <w:t xml:space="preserve">16 </w:t>
      </w:r>
      <w:r>
        <w:t xml:space="preserve">And not thus, but the Lord of hosts</w:t>
      </w:r>
      <w:r>
        <w:rPr>
          <w:rStyle w:val="FootnoteReference"/>
        </w:rPr>
        <w:footnoteReference w:id="11451"/>
      </w:r>
      <w:r>
        <w:t xml:space="preserve"> will send dishonor into your honor, and under your glory a burning fire will be burned.</w:t>
      </w:r>
    </w:p>
    <w:p>
      <w:r>
        <w:rPr>
          <w:b/>
        </w:rPr>
        <w:t xml:space="preserve">17 </w:t>
      </w:r>
      <w:r>
        <w:t xml:space="preserve">And the light</w:t>
      </w:r>
      <w:r>
        <w:rPr>
          <w:rStyle w:val="FootnoteReference"/>
        </w:rPr>
        <w:footnoteReference w:id="11452"/>
      </w:r>
      <w:r>
        <w:t xml:space="preserve"> of Israel will be for a fire, and it will sanctify him in a burning fire, and it will devour the forest as grass in that day.</w:t>
      </w:r>
    </w:p>
    <w:p>
      <w:r>
        <w:rPr>
          <w:b/>
        </w:rPr>
        <w:t xml:space="preserve">18 </w:t>
      </w:r>
      <w:r>
        <w:t xml:space="preserve">Mountains and hills and forests will be extinguished, and it will be devoured from soul to flesh, and the fugitive will be as one fleeing from a burning flame.</w:t>
      </w:r>
    </w:p>
    <w:p>
      <w:r>
        <w:rPr>
          <w:b/>
        </w:rPr>
        <w:t xml:space="preserve">19 </w:t>
      </w:r>
      <w:r>
        <w:t xml:space="preserve">And those left from them will be a number, and a child will write them.</w:t>
      </w:r>
    </w:p>
    <w:p>
      <w:r>
        <w:rPr>
          <w:b/>
        </w:rPr>
        <w:t xml:space="preserve">20 </w:t>
      </w:r>
      <w:r>
        <w:t xml:space="preserve">And it will be in that day, the remnant</w:t>
      </w:r>
      <w:r>
        <w:rPr>
          <w:rStyle w:val="FootnoteReference"/>
        </w:rPr>
        <w:footnoteReference w:id="11453"/>
      </w:r>
      <w:r>
        <w:t xml:space="preserve"> of Israel will no longer continue, and those saved of Jacob will no longer keep trusting in those who wronged them, but they will be trusting in God, the Holy One of Israel, in truth.</w:t>
      </w:r>
    </w:p>
    <w:p>
      <w:r>
        <w:rPr>
          <w:b/>
        </w:rPr>
        <w:t xml:space="preserve">21 </w:t>
      </w:r>
      <w:r>
        <w:t xml:space="preserve">And the remnant of Jacob will be upon mighty God.</w:t>
      </w:r>
    </w:p>
    <w:p>
      <w:r>
        <w:rPr>
          <w:b/>
        </w:rPr>
        <w:t xml:space="preserve">22 </w:t>
      </w:r>
      <w:r>
        <w:t xml:space="preserve">And even if the people Israel become as the sand of the sea, the remnant of them will be saved, for a word finishing and cutting short in righteousness.</w:t>
      </w:r>
    </w:p>
    <w:p>
      <w:r>
        <w:rPr>
          <w:b/>
        </w:rPr>
        <w:t xml:space="preserve">23 </w:t>
      </w:r>
      <w:r>
        <w:t xml:space="preserve">Because God will make a cut-short word in the whole inhabited world.</w:t>
      </w:r>
    </w:p>
    <w:p>
      <w:r>
        <w:rPr>
          <w:b/>
        </w:rPr>
        <w:t xml:space="preserve">24 </w:t>
      </w:r>
      <w:r>
        <w:t xml:space="preserve">Therefore thus says the Lord of hosts, Do not fear, my people dwelling in Zion, from the Assyrians, because with a rod he will strike you, for I bring a stripe upon you to see the way of Egypt.</w:t>
      </w:r>
    </w:p>
    <w:p>
      <w:r>
        <w:rPr>
          <w:b/>
        </w:rPr>
        <w:t xml:space="preserve">25 </w:t>
      </w:r>
      <w:r>
        <w:t xml:space="preserve">For still a little, and the wrath will cease, but my anger will be upon their counsel.</w:t>
      </w:r>
    </w:p>
    <w:p>
      <w:r>
        <w:rPr>
          <w:b/>
        </w:rPr>
        <w:t xml:space="preserve">26 </w:t>
      </w:r>
      <w:r>
        <w:t xml:space="preserve">And God will stir against them according to the blow of Midian in the place of affliction, and his anger in the way by sea, in the way toward Egypt.</w:t>
      </w:r>
    </w:p>
    <w:p>
      <w:r>
        <w:rPr>
          <w:b/>
        </w:rPr>
        <w:t xml:space="preserve">27 </w:t>
      </w:r>
      <w:r>
        <w:t xml:space="preserve">And it will be in that day his fear will be removed from you and his yoke from your shoulder, and the yoke will be destroyed from your shoulders.</w:t>
      </w:r>
    </w:p>
    <w:p>
      <w:r>
        <w:rPr>
          <w:b/>
        </w:rPr>
        <w:t xml:space="preserve">28 </w:t>
      </w:r>
      <w:r>
        <w:t xml:space="preserve">For he will come to the city Aiath</w:t>
      </w:r>
      <w:r>
        <w:rPr>
          <w:rStyle w:val="FootnoteReference"/>
        </w:rPr>
        <w:footnoteReference w:id="11454"/>
      </w:r>
      <w:r>
        <w:t xml:space="preserve"> and pass to Megiddo and at Michmash he will place his gear.</w:t>
      </w:r>
      <w:r>
        <w:rPr>
          <w:rStyle w:val="FootnoteReference"/>
        </w:rPr>
        <w:footnoteReference w:id="11455"/>
      </w:r>
    </w:p>
    <w:p>
      <w:r>
        <w:rPr>
          <w:b/>
        </w:rPr>
        <w:t xml:space="preserve">29 </w:t>
      </w:r>
      <w:r>
        <w:t xml:space="preserve">He will pass a ravine and come to Aiath; fear will seize Ramah</w:t>
      </w:r>
      <w:r>
        <w:rPr>
          <w:rStyle w:val="FootnoteReference"/>
        </w:rPr>
        <w:footnoteReference w:id="11456"/>
      </w:r>
      <w:r>
        <w:t xml:space="preserve">; the city of Saul will flee.</w:t>
      </w:r>
    </w:p>
    <w:p>
      <w:r>
        <w:rPr>
          <w:b/>
        </w:rPr>
        <w:t xml:space="preserve">30 </w:t>
      </w:r>
      <w:r>
        <w:t xml:space="preserve">The daughter of Gallim</w:t>
      </w:r>
      <w:r>
        <w:rPr>
          <w:rStyle w:val="FootnoteReference"/>
        </w:rPr>
        <w:footnoteReference w:id="11457"/>
      </w:r>
      <w:r>
        <w:t xml:space="preserve"> will hear; Laish will hear; Anathoth.</w:t>
      </w:r>
      <w:r>
        <w:rPr>
          <w:rStyle w:val="FootnoteReference"/>
        </w:rPr>
        <w:footnoteReference w:id="11458"/>
      </w:r>
    </w:p>
    <w:p>
      <w:r>
        <w:rPr>
          <w:b/>
        </w:rPr>
        <w:t xml:space="preserve">31 </w:t>
      </w:r>
      <w:r>
        <w:t xml:space="preserve">Madmena staggered, and the dwellers of Gebim</w:t>
      </w:r>
      <w:r>
        <w:rPr>
          <w:rStyle w:val="FootnoteReference"/>
        </w:rPr>
        <w:footnoteReference w:id="11459"/>
      </w:r>
      <w:r>
        <w:t xml:space="preserve">, comfort yourselves.</w:t>
      </w:r>
    </w:p>
    <w:p>
      <w:r>
        <w:rPr>
          <w:b/>
        </w:rPr>
        <w:t xml:space="preserve">32 </w:t>
      </w:r>
      <w:r>
        <w:t xml:space="preserve">Today on the road to remain, with the hand he calls to the mountain, the daughter of Zion, and the hills in Jerusalem.</w:t>
      </w:r>
    </w:p>
    <w:p>
      <w:r>
        <w:rPr>
          <w:b/>
        </w:rPr>
        <w:t xml:space="preserve">33 </w:t>
      </w:r>
      <w:r>
        <w:t xml:space="preserve">For look, the Master, the Lord of hosts, shakes the glorious ones with might, and the lofty in insolence will be crushed, and the high ones</w:t>
      </w:r>
      <w:r>
        <w:rPr>
          <w:rStyle w:val="FootnoteReference"/>
        </w:rPr>
        <w:footnoteReference w:id="11460"/>
      </w:r>
      <w:r>
        <w:t xml:space="preserve"> will be humbled.</w:t>
      </w:r>
    </w:p>
    <w:p>
      <w:r>
        <w:rPr>
          <w:b/>
        </w:rPr>
        <w:t xml:space="preserve">34 </w:t>
      </w:r>
      <w:r>
        <w:t xml:space="preserve">And the high ones will fall by a sword, and Lebanon</w:t>
      </w:r>
      <w:r>
        <w:rPr>
          <w:rStyle w:val="FootnoteReference"/>
        </w:rPr>
        <w:footnoteReference w:id="11461"/>
      </w:r>
      <w:r>
        <w:t xml:space="preserve"> with the high ones will fall.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a rod will come out from the root of Jesse</w:t>
      </w:r>
      <w:r>
        <w:rPr>
          <w:rStyle w:val="FootnoteReference"/>
        </w:rPr>
        <w:footnoteReference w:id="11462"/>
      </w:r>
      <w:r>
        <w:t xml:space="preserve">, and a flower from the root will go up.</w:t>
      </w:r>
    </w:p>
    <w:p>
      <w:r>
        <w:rPr>
          <w:b/>
        </w:rPr>
        <w:t xml:space="preserve">2 </w:t>
      </w:r>
      <w:r>
        <w:t xml:space="preserve">And the Spirit</w:t>
      </w:r>
      <w:r>
        <w:rPr>
          <w:rStyle w:val="FootnoteReference"/>
        </w:rPr>
        <w:footnoteReference w:id="11463"/>
      </w:r>
      <w:r>
        <w:t xml:space="preserve"> of God will rest upon him, a spirit of wisdom and understanding, a spirit of counsel and strength, a spirit of knowledge and piety.</w:t>
      </w:r>
    </w:p>
    <w:p>
      <w:r>
        <w:rPr>
          <w:b/>
        </w:rPr>
        <w:t xml:space="preserve">3 </w:t>
      </w:r>
      <w:r>
        <w:t xml:space="preserve">The spirit of fear of God will fill him; not according to glory will he judge, nor according to speech will he reprove.</w:t>
      </w:r>
    </w:p>
    <w:p>
      <w:r>
        <w:rPr>
          <w:b/>
        </w:rPr>
        <w:t xml:space="preserve">4 </w:t>
      </w:r>
      <w:r>
        <w:t xml:space="preserve">But he will judge the humble in judgment and reprove</w:t>
      </w:r>
      <w:r>
        <w:rPr>
          <w:rStyle w:val="FootnoteReference"/>
        </w:rPr>
        <w:footnoteReference w:id="11464"/>
      </w:r>
      <w:r>
        <w:t xml:space="preserve"> the humble of the earth, and strike the earth with the word of his mouth, and by spirit through lips he will kill the ungodly.</w:t>
      </w:r>
    </w:p>
    <w:p>
      <w:r>
        <w:rPr>
          <w:b/>
        </w:rPr>
        <w:t xml:space="preserve">5 </w:t>
      </w:r>
      <w:r>
        <w:t xml:space="preserve">And righteousness</w:t>
      </w:r>
      <w:r>
        <w:rPr>
          <w:rStyle w:val="FootnoteReference"/>
        </w:rPr>
        <w:footnoteReference w:id="11465"/>
      </w:r>
      <w:r>
        <w:t xml:space="preserve"> will be girded about his loins and truth wrapped round his sides.</w:t>
      </w:r>
    </w:p>
    <w:p>
      <w:r>
        <w:rPr>
          <w:b/>
        </w:rPr>
        <w:t xml:space="preserve">6 </w:t>
      </w:r>
      <w:r>
        <w:t xml:space="preserve">And a wolf will graze together with a lamb, and a leopard will rest together with a kid, and a calf and a bull and a lion together will graze, and a little child will lead them.</w:t>
      </w:r>
    </w:p>
    <w:p>
      <w:r>
        <w:rPr>
          <w:b/>
        </w:rPr>
        <w:t xml:space="preserve">7 </w:t>
      </w:r>
      <w:r>
        <w:t xml:space="preserve">And an ox and a bear will graze together, and together their young will be, and a lion and an ox together will eat straw.</w:t>
      </w:r>
    </w:p>
    <w:p>
      <w:r>
        <w:rPr>
          <w:b/>
        </w:rPr>
        <w:t xml:space="preserve">8 </w:t>
      </w:r>
      <w:r>
        <w:t xml:space="preserve">And an infant child will lay his hand over a hole of asps and over a bed of offspring of asps.</w:t>
      </w:r>
    </w:p>
    <w:p>
      <w:r>
        <w:rPr>
          <w:b/>
        </w:rPr>
        <w:t xml:space="preserve">9 </w:t>
      </w:r>
      <w:r>
        <w:t xml:space="preserve">And they will certainly not do evil nor be able to destroy anyone upon my holy mountain, because the whole world was filled to know the Lord, as much water covers the seas.</w:t>
      </w:r>
    </w:p>
    <w:p>
      <w:r>
        <w:rPr>
          <w:b/>
        </w:rPr>
        <w:t xml:space="preserve">10 </w:t>
      </w:r>
      <w:r>
        <w:t xml:space="preserve">And it will be in that day</w:t>
      </w:r>
      <w:r>
        <w:rPr>
          <w:rStyle w:val="FootnoteReference"/>
        </w:rPr>
        <w:footnoteReference w:id="11466"/>
      </w:r>
      <w:r>
        <w:t xml:space="preserve">, the root of Jesse and the one rising to rule nations; on him nations will hope, and his rest will be honor.</w:t>
      </w:r>
    </w:p>
    <w:p>
      <w:r>
        <w:rPr>
          <w:b/>
        </w:rPr>
        <w:t xml:space="preserve">11 </w:t>
      </w:r>
      <w:r>
        <w:t xml:space="preserve">And it will be in that day, the Lord will add to show his hand, to be zealous for the remnant left of his people which might be left from the Assyrians and Egypt</w:t>
      </w:r>
      <w:r>
        <w:rPr>
          <w:rStyle w:val="FootnoteReference"/>
        </w:rPr>
        <w:footnoteReference w:id="11467"/>
      </w:r>
      <w:r>
        <w:t xml:space="preserve"> and Babylon and Ethiopia and from the Elamites and from the east of the sun and from Arabia.</w:t>
      </w:r>
    </w:p>
    <w:p>
      <w:r>
        <w:rPr>
          <w:b/>
        </w:rPr>
        <w:t xml:space="preserve">12 </w:t>
      </w:r>
      <w:r>
        <w:t xml:space="preserve">And he will raise a sign to the nations and gather the lost of Israel, and the dispersed of Judah he will gather from the four wings of the earth.</w:t>
      </w:r>
    </w:p>
    <w:p>
      <w:r>
        <w:rPr>
          <w:b/>
        </w:rPr>
        <w:t xml:space="preserve">13 </w:t>
      </w:r>
      <w:r>
        <w:t xml:space="preserve">And the zeal of Ephraim will be removed and the enemies of Judah will perish; Ephraim will not be jealous of Judah and Judah will not oppress Ephraim.</w:t>
      </w:r>
    </w:p>
    <w:p>
      <w:r>
        <w:rPr>
          <w:b/>
        </w:rPr>
        <w:t xml:space="preserve">14 </w:t>
      </w:r>
      <w:r>
        <w:t xml:space="preserve">And they will fly in ships of foreigners; the sea together they will plunder, and the easterners and Edom, and upon Moab first they will lay hands, and the sons of Ammon will obey first.</w:t>
      </w:r>
    </w:p>
    <w:p>
      <w:r>
        <w:rPr>
          <w:b/>
        </w:rPr>
        <w:t xml:space="preserve">15 </w:t>
      </w:r>
      <w:r>
        <w:t xml:space="preserve">And the Lord will make the sea of Egypt desolate and lay his hand upon the river with a violent spirit and strike seven ravines, so as to pass through it in sandals.</w:t>
      </w:r>
    </w:p>
    <w:p>
      <w:r>
        <w:rPr>
          <w:b/>
        </w:rPr>
        <w:t xml:space="preserve">16 </w:t>
      </w:r>
      <w:r>
        <w:t xml:space="preserve">And there will be a passage for my people left in Egypt, and it will be for Israel as the day when he came out from the land of Egypt.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you will say in that day, I will bless you, Lord, because you were angry with me and turned your wrath away and pitied me.</w:t>
      </w:r>
    </w:p>
    <w:p>
      <w:r>
        <w:rPr>
          <w:b/>
        </w:rPr>
        <w:t xml:space="preserve">2 </w:t>
      </w:r>
      <w:r>
        <w:t xml:space="preserve">Behold, my God is my savior. I will trust in the Lord</w:t>
      </w:r>
      <w:r>
        <w:rPr>
          <w:rStyle w:val="FootnoteReference"/>
        </w:rPr>
        <w:footnoteReference w:id="11468"/>
      </w:r>
      <w:r>
        <w:t xml:space="preserve"> and be saved in him, and I will not fear, because the Lord is my glory and my praise, and he became salvation to me.</w:t>
      </w:r>
      <w:r>
        <w:rPr>
          <w:rStyle w:val="FootnoteReference"/>
        </w:rPr>
        <w:footnoteReference w:id="11469"/>
      </w:r>
    </w:p>
    <w:p>
      <w:r>
        <w:rPr>
          <w:b/>
        </w:rPr>
        <w:t xml:space="preserve">3 </w:t>
      </w:r>
      <w:r>
        <w:t xml:space="preserve">And you will draw water with gladness from the springs of salvation.</w:t>
      </w:r>
    </w:p>
    <w:p>
      <w:r>
        <w:rPr>
          <w:b/>
        </w:rPr>
        <w:t xml:space="preserve">4 </w:t>
      </w:r>
      <w:r>
        <w:t xml:space="preserve">And you will say in that day</w:t>
      </w:r>
      <w:r>
        <w:rPr>
          <w:rStyle w:val="FootnoteReference"/>
        </w:rPr>
        <w:footnoteReference w:id="11470"/>
      </w:r>
      <w:r>
        <w:t xml:space="preserve">, sing a hymn to the Lord, cry his name, announce among the nations his glorious things, remember that his name was exalted.</w:t>
      </w:r>
    </w:p>
    <w:p>
      <w:r>
        <w:rPr>
          <w:b/>
        </w:rPr>
        <w:t xml:space="preserve">5 </w:t>
      </w:r>
      <w:r>
        <w:t xml:space="preserve">Sing</w:t>
      </w:r>
      <w:r>
        <w:rPr>
          <w:rStyle w:val="FootnoteReference"/>
        </w:rPr>
        <w:footnoteReference w:id="11471"/>
      </w:r>
      <w:r>
        <w:t xml:space="preserve"> a hymn to the name of the Lord, because he did high things; announce these in all the earth.</w:t>
      </w:r>
    </w:p>
    <w:p>
      <w:r>
        <w:rPr>
          <w:b/>
        </w:rPr>
        <w:t xml:space="preserve">6 </w:t>
      </w:r>
      <w:r>
        <w:t xml:space="preserve">Exult and rejoice, the dwellers of Zion, because the Holy One of Israel was exalted in her midst.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The vision which Isaiah</w:t>
      </w:r>
      <w:r>
        <w:rPr>
          <w:rStyle w:val="FootnoteReference"/>
        </w:rPr>
        <w:footnoteReference w:id="11472"/>
      </w:r>
      <w:r>
        <w:t xml:space="preserve"> son of Amoz saw against Babylon.</w:t>
      </w:r>
    </w:p>
    <w:p>
      <w:r>
        <w:rPr>
          <w:b/>
        </w:rPr>
        <w:t xml:space="preserve">2 </w:t>
      </w:r>
      <w:r>
        <w:t xml:space="preserve">Lift a signal on a plain mountain, raise the voice to them, do not fear, encourage with the hand, open, rulers.</w:t>
      </w:r>
    </w:p>
    <w:p>
      <w:r>
        <w:rPr>
          <w:b/>
        </w:rPr>
        <w:t xml:space="preserve">3 </w:t>
      </w:r>
      <w:r>
        <w:t xml:space="preserve">I command, and I bring them; they are sanctified, and I bring them. Giants come to fill my wrath, rejoicing together and insulting.</w:t>
      </w:r>
    </w:p>
    <w:p>
      <w:r>
        <w:rPr>
          <w:b/>
        </w:rPr>
        <w:t xml:space="preserve">4 </w:t>
      </w:r>
      <w:r>
        <w:t xml:space="preserve">The voice of many nations on the mountains, like many nations; the voice of kings and nations gathered together. The Lord</w:t>
      </w:r>
      <w:r>
        <w:rPr>
          <w:rStyle w:val="FootnoteReference"/>
        </w:rPr>
        <w:footnoteReference w:id="11473"/>
      </w:r>
      <w:r>
        <w:t xml:space="preserve"> of hosts has commanded a warlike nation</w:t>
      </w:r>
    </w:p>
    <w:p>
      <w:r>
        <w:rPr>
          <w:b/>
        </w:rPr>
        <w:t xml:space="preserve">5 </w:t>
      </w:r>
      <w:r>
        <w:t xml:space="preserve">to come from a far</w:t>
      </w:r>
      <w:r>
        <w:rPr>
          <w:rStyle w:val="FootnoteReference"/>
        </w:rPr>
        <w:footnoteReference w:id="11474"/>
      </w:r>
      <w:r>
        <w:t xml:space="preserve"> land, from the edge of the foundation of heaven, the Lord and his warriors, to destroy the whole inhabited world.</w:t>
      </w:r>
    </w:p>
    <w:p>
      <w:r>
        <w:rPr>
          <w:b/>
        </w:rPr>
        <w:t xml:space="preserve">6 </w:t>
      </w:r>
      <w:r>
        <w:t xml:space="preserve">Howl, for the day</w:t>
      </w:r>
      <w:r>
        <w:rPr>
          <w:rStyle w:val="FootnoteReference"/>
        </w:rPr>
        <w:footnoteReference w:id="11475"/>
      </w:r>
      <w:r>
        <w:t xml:space="preserve"> of the Lord is near, and crushing from God will come.</w:t>
      </w:r>
    </w:p>
    <w:p>
      <w:r>
        <w:rPr>
          <w:b/>
        </w:rPr>
        <w:t xml:space="preserve">7 </w:t>
      </w:r>
      <w:r>
        <w:t xml:space="preserve">Because of this every hand will grow weak and every soul of man will lose courage.</w:t>
      </w:r>
    </w:p>
    <w:p>
      <w:r>
        <w:rPr>
          <w:b/>
        </w:rPr>
        <w:t xml:space="preserve">8 </w:t>
      </w:r>
      <w:r>
        <w:t xml:space="preserve">And envoys will be troubled, and pains will seize them as a woman giving birth, and they will be confounded one at another, and will be amazed, and their faces will change as a flame.</w:t>
      </w:r>
    </w:p>
    <w:p>
      <w:r>
        <w:rPr>
          <w:b/>
        </w:rPr>
        <w:t xml:space="preserve">9 </w:t>
      </w:r>
      <w:r>
        <w:t xml:space="preserve">For look, the day of the Lord comes, incurable, of fury and anger, to make the whole inhabited world desolate and destroy the sinners out of it.</w:t>
      </w:r>
    </w:p>
    <w:p>
      <w:r>
        <w:rPr>
          <w:b/>
        </w:rPr>
        <w:t xml:space="preserve">10 </w:t>
      </w:r>
      <w:r>
        <w:t xml:space="preserve">For the stars of heaven and Orion and all the ornament of heaven will not give the light, and the sun rising will be darkened, and the moon will not give its light.</w:t>
      </w:r>
    </w:p>
    <w:p>
      <w:r>
        <w:rPr>
          <w:b/>
        </w:rPr>
        <w:t xml:space="preserve">11 </w:t>
      </w:r>
      <w:r>
        <w:t xml:space="preserve">And I will command evils upon the whole inhabited world and their sins upon the ungodly, and I will destroy the insolence of the lawless and humble the insolence of the proud.</w:t>
      </w:r>
    </w:p>
    <w:p>
      <w:r>
        <w:rPr>
          <w:b/>
        </w:rPr>
        <w:t xml:space="preserve">12 </w:t>
      </w:r>
      <w:r>
        <w:t xml:space="preserve">And those left behind will be more precious than untried gold, and a man will be more precious than a stone from Ophir.</w:t>
      </w:r>
    </w:p>
    <w:p>
      <w:r>
        <w:rPr>
          <w:b/>
        </w:rPr>
        <w:t xml:space="preserve">13 </w:t>
      </w:r>
      <w:r>
        <w:t xml:space="preserve">For the heaven will be enraged, and the earth</w:t>
      </w:r>
      <w:r>
        <w:rPr>
          <w:rStyle w:val="FootnoteReference"/>
        </w:rPr>
        <w:footnoteReference w:id="11476"/>
      </w:r>
      <w:r>
        <w:t xml:space="preserve"> will be shaken from its foundations, because of the wrath of the anger of the Lord of hosts on the day when his anger comes.</w:t>
      </w:r>
    </w:p>
    <w:p>
      <w:r>
        <w:rPr>
          <w:b/>
        </w:rPr>
        <w:t xml:space="preserve">14 </w:t>
      </w:r>
      <w:r>
        <w:t xml:space="preserve">And those left will be as a fleeing gazelle and as a wandering sheep, and there will be no one gathering, so that a man turns back to his people and a man pursues to his land.</w:t>
      </w:r>
    </w:p>
    <w:p>
      <w:r>
        <w:rPr>
          <w:b/>
        </w:rPr>
        <w:t xml:space="preserve">15 </w:t>
      </w:r>
      <w:r>
        <w:t xml:space="preserve">For whoever is caught will be defeated, and those gathered together will fall by a sword.</w:t>
      </w:r>
    </w:p>
    <w:p>
      <w:r>
        <w:rPr>
          <w:b/>
        </w:rPr>
        <w:t xml:space="preserve">16 </w:t>
      </w:r>
      <w:r>
        <w:t xml:space="preserve">And their</w:t>
      </w:r>
      <w:r>
        <w:rPr>
          <w:rStyle w:val="FootnoteReference"/>
        </w:rPr>
        <w:footnoteReference w:id="11477"/>
      </w:r>
      <w:r>
        <w:t xml:space="preserve"> children before them they will dash down, and their houses they will plunder, and their women they will have.</w:t>
      </w:r>
    </w:p>
    <w:p>
      <w:r>
        <w:rPr>
          <w:b/>
        </w:rPr>
        <w:t xml:space="preserve">17 </w:t>
      </w:r>
      <w:r>
        <w:t xml:space="preserve">Look, I stir up the Medes against you, who do not value silver nor have need of gold.</w:t>
      </w:r>
    </w:p>
    <w:p>
      <w:r>
        <w:rPr>
          <w:b/>
        </w:rPr>
        <w:t xml:space="preserve">18 </w:t>
      </w:r>
      <w:r>
        <w:t xml:space="preserve">Their bows will crush the young men, and your children they will certainly not pity, nor will their eyes spare the children.</w:t>
      </w:r>
    </w:p>
    <w:p>
      <w:r>
        <w:rPr>
          <w:b/>
        </w:rPr>
        <w:t xml:space="preserve">19 </w:t>
      </w:r>
      <w:r>
        <w:t xml:space="preserve">And Babylon</w:t>
      </w:r>
      <w:r>
        <w:rPr>
          <w:rStyle w:val="FootnoteReference"/>
        </w:rPr>
        <w:footnoteReference w:id="11478"/>
      </w:r>
      <w:r>
        <w:t xml:space="preserve">, called glorious by the king of Chaldeans, will be as when God overthrew Sodom and Gomorrah.</w:t>
      </w:r>
    </w:p>
    <w:p>
      <w:r>
        <w:rPr>
          <w:b/>
        </w:rPr>
        <w:t xml:space="preserve">20 </w:t>
      </w:r>
      <w:r>
        <w:t xml:space="preserve">It will not be inhabited forever, nor shall they enter into it for many generations, nor shall the Arabs pass through it, nor the shepherds rest in it.</w:t>
      </w:r>
    </w:p>
    <w:p>
      <w:r>
        <w:rPr>
          <w:b/>
        </w:rPr>
        <w:t xml:space="preserve">21 </w:t>
      </w:r>
      <w:r>
        <w:t xml:space="preserve">And the beasts will rest there, and the houses will be filled with sound, and the sirens will rest there and demons will dance there.</w:t>
      </w:r>
    </w:p>
    <w:p>
      <w:r>
        <w:rPr>
          <w:b/>
        </w:rPr>
        <w:t xml:space="preserve">22 </w:t>
      </w:r>
      <w:r>
        <w:t xml:space="preserve">And donkey-centaurs will dwell there, and hedgehogs will make nests in their houses. Quickly it comes and will not delay.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the Lord</w:t>
      </w:r>
      <w:r>
        <w:rPr>
          <w:rStyle w:val="FootnoteReference"/>
        </w:rPr>
        <w:footnoteReference w:id="11479"/>
      </w:r>
      <w:r>
        <w:t xml:space="preserve"> will have mercy on Jacob and will still choose Israel, and they will rest upon their land, and a resident alien will be added to them and added to the house of Jacob.</w:t>
      </w:r>
    </w:p>
    <w:p>
      <w:r>
        <w:rPr>
          <w:b/>
        </w:rPr>
        <w:t xml:space="preserve">2 </w:t>
      </w:r>
      <w:r>
        <w:t xml:space="preserve">And nations will take them and bring them into their place, and they will inherit and multiply on the land of God as male slaves and female slaves, and they will capture those who captured them and rule those who ruled them.</w:t>
      </w:r>
    </w:p>
    <w:p>
      <w:r>
        <w:rPr>
          <w:b/>
        </w:rPr>
        <w:t xml:space="preserve">3 </w:t>
      </w:r>
      <w:r>
        <w:t xml:space="preserve">And it will be in that day God will give you rest from your pain and your anger and your hard service with which you served them.</w:t>
      </w:r>
    </w:p>
    <w:p>
      <w:r>
        <w:rPr>
          <w:b/>
        </w:rPr>
        <w:t xml:space="preserve">4 </w:t>
      </w:r>
      <w:r>
        <w:t xml:space="preserve">And you will take up this lament over the king of Babylon and say in that day: How the exactor has rested, and how the zealot has rested.</w:t>
      </w:r>
    </w:p>
    <w:p>
      <w:r>
        <w:rPr>
          <w:b/>
        </w:rPr>
        <w:t xml:space="preserve">5 </w:t>
      </w:r>
      <w:r>
        <w:t xml:space="preserve">God shattered the yoke of sinners, the yoke of rulers,</w:t>
      </w:r>
    </w:p>
    <w:p>
      <w:r>
        <w:rPr>
          <w:b/>
        </w:rPr>
        <w:t xml:space="preserve">6 </w:t>
      </w:r>
      <w:r>
        <w:t xml:space="preserve">striking a nation in wrath with an incurable blow, striking a nation with a stroke of anger from which he did not spare.</w:t>
      </w:r>
    </w:p>
    <w:p>
      <w:r>
        <w:rPr>
          <w:b/>
        </w:rPr>
        <w:t xml:space="preserve">7 </w:t>
      </w:r>
      <w:r>
        <w:t xml:space="preserve">All the earth rested confidently; it cries out with gladness.</w:t>
      </w:r>
    </w:p>
    <w:p>
      <w:r>
        <w:rPr>
          <w:b/>
        </w:rPr>
        <w:t xml:space="preserve">8 </w:t>
      </w:r>
      <w:r>
        <w:t xml:space="preserve">And the trees of Lebanon rejoiced over you, and the cedar of Lebanon: Since you have fallen asleep, the one cutting us down did not come up.</w:t>
      </w:r>
    </w:p>
    <w:p>
      <w:r>
        <w:rPr>
          <w:b/>
        </w:rPr>
        <w:t xml:space="preserve">9 </w:t>
      </w:r>
      <w:r>
        <w:t xml:space="preserve">Hades below was embittered to meet you; all the giants who ruled the earth were raised up for you, who roused from their thrones all the kings of nations.</w:t>
      </w:r>
    </w:p>
    <w:p>
      <w:r>
        <w:rPr>
          <w:b/>
        </w:rPr>
        <w:t xml:space="preserve">10 </w:t>
      </w:r>
      <w:r>
        <w:t xml:space="preserve">All will answer and say to you, You too were taken as we were; among us you were reckoned.</w:t>
      </w:r>
    </w:p>
    <w:p>
      <w:r>
        <w:rPr>
          <w:b/>
        </w:rPr>
        <w:t xml:space="preserve">11 </w:t>
      </w:r>
      <w:r>
        <w:t xml:space="preserve">And your glory came down into Hades, your much gladness; decay they will spread under you, and a worm is your covering.</w:t>
      </w:r>
    </w:p>
    <w:p>
      <w:r>
        <w:rPr>
          <w:b/>
        </w:rPr>
        <w:t xml:space="preserve">12 </w:t>
      </w:r>
      <w:r>
        <w:t xml:space="preserve">How the morning-star fell from heaven, the one rising in the morning; the one sent out toward all nations was crushed to the earth.</w:t>
      </w:r>
    </w:p>
    <w:p>
      <w:r>
        <w:rPr>
          <w:b/>
        </w:rPr>
        <w:t xml:space="preserve">13 </w:t>
      </w:r>
      <w:r>
        <w:t xml:space="preserve">And you said in your mind, I will go up into heaven, above the stars of heaven I will place my throne; I will sit on a high mountain, on the high mountains toward the north.</w:t>
      </w:r>
    </w:p>
    <w:p>
      <w:r>
        <w:rPr>
          <w:b/>
        </w:rPr>
        <w:t xml:space="preserve">14 </w:t>
      </w:r>
      <w:r>
        <w:t xml:space="preserve">I will go up above the clouds; I will be</w:t>
      </w:r>
      <w:r>
        <w:rPr>
          <w:rStyle w:val="FootnoteReference"/>
        </w:rPr>
        <w:footnoteReference w:id="11480"/>
      </w:r>
      <w:r>
        <w:t xml:space="preserve"> like the Most High.</w:t>
      </w:r>
    </w:p>
    <w:p>
      <w:r>
        <w:rPr>
          <w:b/>
        </w:rPr>
        <w:t xml:space="preserve">15 </w:t>
      </w:r>
      <w:r>
        <w:t xml:space="preserve">But now you will go down into Hades and into the foundations of the earth.</w:t>
      </w:r>
    </w:p>
    <w:p>
      <w:r>
        <w:rPr>
          <w:b/>
        </w:rPr>
        <w:t xml:space="preserve">16 </w:t>
      </w:r>
      <w:r>
        <w:t xml:space="preserve">Those seeing you will marvel over you and say, This man provoking the earth, shaking kings,</w:t>
      </w:r>
    </w:p>
    <w:p>
      <w:r>
        <w:rPr>
          <w:b/>
        </w:rPr>
        <w:t xml:space="preserve">17 </w:t>
      </w:r>
      <w:r>
        <w:t xml:space="preserve">placing the whole inhabited world desolate and pulling down the cities, did not release those in captivity.</w:t>
      </w:r>
    </w:p>
    <w:p>
      <w:r>
        <w:rPr>
          <w:b/>
        </w:rPr>
        <w:t xml:space="preserve">18 </w:t>
      </w:r>
      <w:r>
        <w:t xml:space="preserve">All the kings of nations slept in honor, each man in his own house.</w:t>
      </w:r>
    </w:p>
    <w:p>
      <w:r>
        <w:rPr>
          <w:b/>
        </w:rPr>
        <w:t xml:space="preserve">19 </w:t>
      </w:r>
      <w:r>
        <w:t xml:space="preserve">But you will be cast on the mountains as a loathed corpse with many dead pierced by swords, going down into Hades, as a garment soaked in blood will not be clean.</w:t>
      </w:r>
    </w:p>
    <w:p>
      <w:r>
        <w:rPr>
          <w:b/>
        </w:rPr>
        <w:t xml:space="preserve">20 </w:t>
      </w:r>
      <w:r>
        <w:t xml:space="preserve">So neither will you be clean, because you destroyed my land and killed my people; an evil seed will certainly not remain forever.</w:t>
      </w:r>
    </w:p>
    <w:p>
      <w:r>
        <w:rPr>
          <w:b/>
        </w:rPr>
        <w:t xml:space="preserve">21 </w:t>
      </w:r>
      <w:r>
        <w:t xml:space="preserve">Prepare your children to be slaughtered for the sins of your father, so that they do not</w:t>
      </w:r>
      <w:r>
        <w:rPr>
          <w:rStyle w:val="FootnoteReference"/>
        </w:rPr>
        <w:footnoteReference w:id="11481"/>
      </w:r>
      <w:r>
        <w:t xml:space="preserve"> rise up and inherit the land and fill the land with cities.</w:t>
      </w:r>
    </w:p>
    <w:p>
      <w:r>
        <w:rPr>
          <w:b/>
        </w:rPr>
        <w:t xml:space="preserve">22 </w:t>
      </w:r>
      <w:r>
        <w:t xml:space="preserve">And I will rise against them, says the Lord of hosts, and I will destroy from them their name and remnant</w:t>
      </w:r>
      <w:r>
        <w:rPr>
          <w:rStyle w:val="FootnoteReference"/>
        </w:rPr>
        <w:footnoteReference w:id="11482"/>
      </w:r>
      <w:r>
        <w:t xml:space="preserve"> and seed, thus says the Lord.</w:t>
      </w:r>
    </w:p>
    <w:p>
      <w:r>
        <w:rPr>
          <w:b/>
        </w:rPr>
        <w:t xml:space="preserve">23 </w:t>
      </w:r>
      <w:r>
        <w:t xml:space="preserve">And I will make</w:t>
      </w:r>
      <w:r>
        <w:rPr>
          <w:rStyle w:val="FootnoteReference"/>
        </w:rPr>
        <w:footnoteReference w:id="11483"/>
      </w:r>
      <w:r>
        <w:t xml:space="preserve"> Babylon desolate for hedgehogs to dwell and it will be for nothing, and I will make it a muddy pit for destruction.</w:t>
      </w:r>
    </w:p>
    <w:p>
      <w:r>
        <w:rPr>
          <w:b/>
        </w:rPr>
        <w:t xml:space="preserve">24 </w:t>
      </w:r>
      <w:r>
        <w:t xml:space="preserve">Thus says the Lord of hosts: As I have spoken, so it will be, and as I have counseled, so it remains,</w:t>
      </w:r>
    </w:p>
    <w:p>
      <w:r>
        <w:rPr>
          <w:b/>
        </w:rPr>
        <w:t xml:space="preserve">25 </w:t>
      </w:r>
      <w:r>
        <w:t xml:space="preserve">to destroy the Assyrians from my land, and from my mountains, and they will be for trampling, and their yoke will be removed from them and their glory removed from the shoulders.</w:t>
      </w:r>
    </w:p>
    <w:p>
      <w:r>
        <w:rPr>
          <w:b/>
        </w:rPr>
        <w:t xml:space="preserve">26 </w:t>
      </w:r>
      <w:r>
        <w:t xml:space="preserve">This counsel which the Lord has counseled over the whole inhabited world, and this uplifted hand over all nations of the inhabited world.</w:t>
      </w:r>
    </w:p>
    <w:p>
      <w:r>
        <w:rPr>
          <w:b/>
        </w:rPr>
        <w:t xml:space="preserve">27 </w:t>
      </w:r>
      <w:r>
        <w:t xml:space="preserve">For what the Holy God has counseled, who will scatter? And the uplifted hand, who will turn back?</w:t>
      </w:r>
    </w:p>
    <w:p>
      <w:r>
        <w:rPr>
          <w:b/>
        </w:rPr>
        <w:t xml:space="preserve">28 </w:t>
      </w:r>
      <w:r>
        <w:t xml:space="preserve">In the year King Ahaz died this word came.</w:t>
      </w:r>
    </w:p>
    <w:p>
      <w:r>
        <w:rPr>
          <w:b/>
        </w:rPr>
        <w:t xml:space="preserve">29 </w:t>
      </w:r>
      <w:r>
        <w:t xml:space="preserve">Do not rejoice</w:t>
      </w:r>
      <w:r>
        <w:rPr>
          <w:rStyle w:val="FootnoteReference"/>
        </w:rPr>
        <w:footnoteReference w:id="11484"/>
      </w:r>
      <w:r>
        <w:t xml:space="preserve">, all you foreigners; for the yoke of the one striking you was broken, for from the seed of snakes offspring of asps will come out, and their offspring will come out as flying serpents.</w:t>
      </w:r>
    </w:p>
    <w:p>
      <w:r>
        <w:rPr>
          <w:b/>
        </w:rPr>
        <w:t xml:space="preserve">30 </w:t>
      </w:r>
      <w:r>
        <w:t xml:space="preserve">And the poor</w:t>
      </w:r>
      <w:r>
        <w:rPr>
          <w:rStyle w:val="FootnoteReference"/>
        </w:rPr>
        <w:footnoteReference w:id="11485"/>
      </w:r>
      <w:r>
        <w:t xml:space="preserve"> will be grazed through him, and poor men will rest in peace, but he will kill your seed with famine, and your remnant he will kill.</w:t>
      </w:r>
    </w:p>
    <w:p>
      <w:r>
        <w:rPr>
          <w:b/>
        </w:rPr>
        <w:t xml:space="preserve">31 </w:t>
      </w:r>
      <w:r>
        <w:t xml:space="preserve">Howl</w:t>
      </w:r>
      <w:r>
        <w:rPr>
          <w:rStyle w:val="FootnoteReference"/>
        </w:rPr>
        <w:footnoteReference w:id="11486"/>
      </w:r>
      <w:r>
        <w:t xml:space="preserve">, the gates of cities; let the cities cry out, all foreigners disturbed, because smoke from the north comes, and there is no one to be.</w:t>
      </w:r>
    </w:p>
    <w:p>
      <w:r>
        <w:rPr>
          <w:b/>
        </w:rPr>
        <w:t xml:space="preserve">32 </w:t>
      </w:r>
      <w:r>
        <w:t xml:space="preserve">And what will the kings of nations answer? That the Lord</w:t>
      </w:r>
      <w:r>
        <w:rPr>
          <w:rStyle w:val="FootnoteReference"/>
        </w:rPr>
        <w:footnoteReference w:id="11487"/>
      </w:r>
      <w:r>
        <w:t xml:space="preserve"> founded Zion, and through him the humble of the people will be saved.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The word against the Moabite land. By night the Moabite land is destroyed; by night the wall of the Moabite land is destroyed.</w:t>
      </w:r>
    </w:p>
    <w:p>
      <w:r>
        <w:rPr>
          <w:b/>
        </w:rPr>
        <w:t xml:space="preserve">2 </w:t>
      </w:r>
      <w:r>
        <w:t xml:space="preserve">Grieve over yourselves, for Dibon is destroyed, where your altar is. There you will go up to weep over Nebo of Moab</w:t>
      </w:r>
      <w:r>
        <w:rPr>
          <w:rStyle w:val="FootnoteReference"/>
        </w:rPr>
        <w:footnoteReference w:id="11488"/>
      </w:r>
      <w:r>
        <w:t xml:space="preserve">. Howl; on every head is baldness, all arms are cut.</w:t>
      </w:r>
    </w:p>
    <w:p>
      <w:r>
        <w:rPr>
          <w:b/>
        </w:rPr>
        <w:t xml:space="preserve">3 </w:t>
      </w:r>
      <w:r>
        <w:t xml:space="preserve">In her streets gird yourselves with sackcloths and lament on her housetops, and in her lanes all howl with weeping.</w:t>
      </w:r>
    </w:p>
    <w:p>
      <w:r>
        <w:rPr>
          <w:b/>
        </w:rPr>
        <w:t xml:space="preserve">4 </w:t>
      </w:r>
      <w:r>
        <w:t xml:space="preserve">Because Heshbon</w:t>
      </w:r>
      <w:r>
        <w:rPr>
          <w:rStyle w:val="FootnoteReference"/>
        </w:rPr>
        <w:footnoteReference w:id="11489"/>
      </w:r>
      <w:r>
        <w:t xml:space="preserve"> cried out and Elealeh, as far as Jahaz their voice was heard; therefore the loins of Moab cry out; her soul will know.</w:t>
      </w:r>
    </w:p>
    <w:p>
      <w:r>
        <w:rPr>
          <w:b/>
        </w:rPr>
        <w:t xml:space="preserve">5 </w:t>
      </w:r>
      <w:r>
        <w:t xml:space="preserve">The heart of Moab cries within her, as far as Zoar</w:t>
      </w:r>
      <w:r>
        <w:rPr>
          <w:rStyle w:val="FootnoteReference"/>
        </w:rPr>
        <w:footnoteReference w:id="11490"/>
      </w:r>
      <w:r>
        <w:t xml:space="preserve">, for a heifer is three years old. Upon the ascent of Luhith</w:t>
      </w:r>
      <w:r>
        <w:rPr>
          <w:rStyle w:val="FootnoteReference"/>
        </w:rPr>
        <w:footnoteReference w:id="11491"/>
      </w:r>
      <w:r>
        <w:t xml:space="preserve"> they will go up to you weeping; on the way of Horonaim</w:t>
      </w:r>
      <w:r>
        <w:rPr>
          <w:rStyle w:val="FootnoteReference"/>
        </w:rPr>
        <w:footnoteReference w:id="11492"/>
      </w:r>
      <w:r>
        <w:t xml:space="preserve"> they cry out, destruction and earthquake.</w:t>
      </w:r>
    </w:p>
    <w:p>
      <w:r>
        <w:rPr>
          <w:b/>
        </w:rPr>
        <w:t xml:space="preserve">6 </w:t>
      </w:r>
      <w:r>
        <w:t xml:space="preserve">The water of Nimrim</w:t>
      </w:r>
      <w:r>
        <w:rPr>
          <w:rStyle w:val="FootnoteReference"/>
        </w:rPr>
        <w:footnoteReference w:id="11493"/>
      </w:r>
      <w:r>
        <w:t xml:space="preserve"> will be desolate, and its grass will fail, for green grass will not exist.</w:t>
      </w:r>
      <w:r>
        <w:rPr>
          <w:rStyle w:val="FootnoteReference"/>
        </w:rPr>
        <w:footnoteReference w:id="11494"/>
      </w:r>
    </w:p>
    <w:p>
      <w:r>
        <w:rPr>
          <w:b/>
        </w:rPr>
        <w:t xml:space="preserve">7 </w:t>
      </w:r>
      <w:r>
        <w:t xml:space="preserve">Will it thus be saved? For I will bring upon the valley of Arabs, and they will take it.</w:t>
      </w:r>
    </w:p>
    <w:p>
      <w:r>
        <w:rPr>
          <w:b/>
        </w:rPr>
        <w:t xml:space="preserve">8 </w:t>
      </w:r>
      <w:r>
        <w:t xml:space="preserve">For a cry joined the border of Moabite land, its howl as far as the well of Elim.</w:t>
      </w:r>
    </w:p>
    <w:p>
      <w:r>
        <w:rPr>
          <w:b/>
        </w:rPr>
        <w:t xml:space="preserve">9 </w:t>
      </w:r>
      <w:r>
        <w:t xml:space="preserve">The water of Rimmon will be filled with blood, for I will bring Arabs upon Rimmon, and I will take the seed of Moab and Ariel and the remnant of Admah.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I will send as reptiles upon the land. Is not the rock a desert, the mountain of Zion?</w:t>
      </w:r>
    </w:p>
    <w:p>
      <w:r>
        <w:rPr>
          <w:b/>
        </w:rPr>
        <w:t xml:space="preserve">2 </w:t>
      </w:r>
      <w:r>
        <w:t xml:space="preserve">For you will be as a flying bird, a chick taken away, daughters of Moab, and then lambs.</w:t>
      </w:r>
    </w:p>
    <w:p>
      <w:r>
        <w:rPr>
          <w:b/>
        </w:rPr>
        <w:t xml:space="preserve">3 </w:t>
      </w:r>
      <w:r>
        <w:t xml:space="preserve">Counsel more; make</w:t>
      </w:r>
      <w:r>
        <w:rPr>
          <w:rStyle w:val="FootnoteReference"/>
        </w:rPr>
        <w:footnoteReference w:id="11495"/>
      </w:r>
      <w:r>
        <w:t xml:space="preserve"> a shelter of mourning for her always in noonday darkness. The fugitives are driven out; do not be taken away.</w:t>
      </w:r>
    </w:p>
    <w:p>
      <w:r>
        <w:rPr>
          <w:b/>
        </w:rPr>
        <w:t xml:space="preserve">4 </w:t>
      </w:r>
      <w:r>
        <w:t xml:space="preserve">The fugitives of Moab will dwell with you; they will be a shelter to you from the face of a pursuer, because your alliance was removed and the ruler perished, the one trampling on the earth.</w:t>
      </w:r>
    </w:p>
    <w:p>
      <w:r>
        <w:rPr>
          <w:b/>
        </w:rPr>
        <w:t xml:space="preserve">5 </w:t>
      </w:r>
      <w:r>
        <w:t xml:space="preserve">And a throne will be set right with mercy, and one will sit upon it with truth in the tent of David, judging</w:t>
      </w:r>
      <w:r>
        <w:rPr>
          <w:rStyle w:val="FootnoteReference"/>
        </w:rPr>
        <w:footnoteReference w:id="11496"/>
      </w:r>
      <w:r>
        <w:t xml:space="preserve"> and seeking judgment and hastening righteousness.</w:t>
      </w:r>
    </w:p>
    <w:p>
      <w:r>
        <w:rPr>
          <w:b/>
        </w:rPr>
        <w:t xml:space="preserve">6 </w:t>
      </w:r>
      <w:r>
        <w:t xml:space="preserve">We heard the insolence of Moab, very insolent, his pride was dried up; not thus your oracle.</w:t>
      </w:r>
    </w:p>
    <w:p>
      <w:r>
        <w:rPr>
          <w:b/>
        </w:rPr>
        <w:t xml:space="preserve">7 </w:t>
      </w:r>
      <w:r>
        <w:t xml:space="preserve">Not thus will Moab howl; for in the Moabite land all will howl. For the dwellers of Deseth you will meditate, and you will not be ashamed.</w:t>
      </w:r>
    </w:p>
    <w:p>
      <w:r>
        <w:rPr>
          <w:b/>
        </w:rPr>
        <w:t xml:space="preserve">8 </w:t>
      </w:r>
      <w:r>
        <w:t xml:space="preserve">The fields</w:t>
      </w:r>
      <w:r>
        <w:rPr>
          <w:rStyle w:val="FootnoteReference"/>
        </w:rPr>
        <w:footnoteReference w:id="11497"/>
      </w:r>
      <w:r>
        <w:t xml:space="preserve"> of Heshbon will mourn, the vine of Shebam. Swallowing the nations, you trampled its vines as far as Jaazer; do not join yourselves, wander in the wilderness. Those sent were abandoned, for they crossed the wilderness.</w:t>
      </w:r>
    </w:p>
    <w:p>
      <w:r>
        <w:rPr>
          <w:b/>
        </w:rPr>
        <w:t xml:space="preserve">9 </w:t>
      </w:r>
      <w:r>
        <w:t xml:space="preserve">Because of this I will weep as the weeping of Jaazer for the vine of Shebam. Your trees Heshbon and Elealeh cast down, because over your harvest and your vintage I will trample, and all things will fall.</w:t>
      </w:r>
    </w:p>
    <w:p>
      <w:r>
        <w:rPr>
          <w:b/>
        </w:rPr>
        <w:t xml:space="preserve">10 </w:t>
      </w:r>
      <w:r>
        <w:t xml:space="preserve">And gladness and rejoicing will be lifted from your vineyards, and in your vineyards they will certainly not rejoice, and they will certainly not tread wine into vats, for it has ceased.</w:t>
      </w:r>
    </w:p>
    <w:p>
      <w:r>
        <w:rPr>
          <w:b/>
        </w:rPr>
        <w:t xml:space="preserve">11 </w:t>
      </w:r>
      <w:r>
        <w:t xml:space="preserve">Because of this my inward parts for Moab will sound like a lyre, and my insides like a wall which you renewed.</w:t>
      </w:r>
    </w:p>
    <w:p>
      <w:r>
        <w:rPr>
          <w:b/>
        </w:rPr>
        <w:t xml:space="preserve">12 </w:t>
      </w:r>
      <w:r>
        <w:t xml:space="preserve">And it will be, when you are shamed, because Moab toiled upon the altars and enters into her handmade things to pray, he certainly will not be able to rescue himself.</w:t>
      </w:r>
    </w:p>
    <w:p>
      <w:r>
        <w:rPr>
          <w:b/>
        </w:rPr>
        <w:t xml:space="preserve">13 </w:t>
      </w:r>
      <w:r>
        <w:t xml:space="preserve">This word which the Lord spoke against Moab whenever he spoke.</w:t>
      </w:r>
    </w:p>
    <w:p>
      <w:r>
        <w:rPr>
          <w:b/>
        </w:rPr>
        <w:t xml:space="preserve">14 </w:t>
      </w:r>
      <w:r>
        <w:t xml:space="preserve">And now I say: in three</w:t>
      </w:r>
      <w:r>
        <w:rPr>
          <w:rStyle w:val="FootnoteReference"/>
        </w:rPr>
        <w:footnoteReference w:id="11498"/>
      </w:r>
      <w:r>
        <w:t xml:space="preserve"> years, years of a hired worker, the glory of Moab will be dishonored in all the much wealth, and a remnant will be few and not honored.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The word against Damascus</w:t>
      </w:r>
      <w:r>
        <w:rPr>
          <w:rStyle w:val="FootnoteReference"/>
        </w:rPr>
        <w:footnoteReference w:id="11499"/>
      </w:r>
      <w:r>
        <w:t xml:space="preserve">: Behold, Damascus will be removed from cities and will be for falling.</w:t>
      </w:r>
    </w:p>
    <w:p>
      <w:r>
        <w:rPr>
          <w:b/>
        </w:rPr>
        <w:t xml:space="preserve">2 </w:t>
      </w:r>
      <w:r>
        <w:t xml:space="preserve">It is left forever as a bed of flocks and a resting place, and there will not be one pursuing.</w:t>
      </w:r>
    </w:p>
    <w:p>
      <w:r>
        <w:rPr>
          <w:b/>
        </w:rPr>
        <w:t xml:space="preserve">3 </w:t>
      </w:r>
      <w:r>
        <w:t xml:space="preserve">And there will no longer be a fortress</w:t>
      </w:r>
      <w:r>
        <w:rPr>
          <w:rStyle w:val="FootnoteReference"/>
        </w:rPr>
        <w:footnoteReference w:id="11500"/>
      </w:r>
      <w:r>
        <w:t xml:space="preserve"> for Ephraim to flee into, and no longer a kingdom in Damascus, and the remnant of the Syrians will perish. For you are no better than the sons of Israel and their glory, thus says the Lord of hosts.</w:t>
      </w:r>
    </w:p>
    <w:p>
      <w:r>
        <w:rPr>
          <w:b/>
        </w:rPr>
        <w:t xml:space="preserve">4 </w:t>
      </w:r>
      <w:r>
        <w:t xml:space="preserve">It will be in that day, a fading of the glory</w:t>
      </w:r>
      <w:r>
        <w:rPr>
          <w:rStyle w:val="FootnoteReference"/>
        </w:rPr>
        <w:footnoteReference w:id="11501"/>
      </w:r>
      <w:r>
        <w:t xml:space="preserve"> of Jacob, and the fat things of his glory will be shaken.</w:t>
      </w:r>
    </w:p>
    <w:p>
      <w:r>
        <w:rPr>
          <w:b/>
        </w:rPr>
        <w:t xml:space="preserve">5 </w:t>
      </w:r>
      <w:r>
        <w:t xml:space="preserve">And it will be as if someone gathers a standing harvest and reaps seed of ears of grain with his arm, and it will be as if someone gathers an ear in a firm ravine.</w:t>
      </w:r>
    </w:p>
    <w:p>
      <w:r>
        <w:rPr>
          <w:b/>
        </w:rPr>
        <w:t xml:space="preserve">6 </w:t>
      </w:r>
      <w:r>
        <w:t xml:space="preserve">And stubble will be left in it, or as berries of an olive tree, two or three on a high tip, or four or five on their branches will be left, thus says the Lord God of Israel.</w:t>
      </w:r>
    </w:p>
    <w:p>
      <w:r>
        <w:rPr>
          <w:b/>
        </w:rPr>
        <w:t xml:space="preserve">7 </w:t>
      </w:r>
      <w:r>
        <w:t xml:space="preserve">In that day the man will be trusting in the one who made him, and his eyes will look to the Holy One of Israel.</w:t>
      </w:r>
    </w:p>
    <w:p>
      <w:r>
        <w:rPr>
          <w:b/>
        </w:rPr>
        <w:t xml:space="preserve">8 </w:t>
      </w:r>
      <w:r>
        <w:t xml:space="preserve">And they certainly will not be trusting in altars, nor in the works of their hands which their fingers made, and they will not see their trees nor their abominations.</w:t>
      </w:r>
    </w:p>
    <w:p>
      <w:r>
        <w:rPr>
          <w:b/>
        </w:rPr>
        <w:t xml:space="preserve">9 </w:t>
      </w:r>
      <w:r>
        <w:t xml:space="preserve">In that day your cities will be abandoned as the Amorites and the Hivites abandoned from the face of the sons of Israel, and they will be desolate.</w:t>
      </w:r>
    </w:p>
    <w:p>
      <w:r>
        <w:rPr>
          <w:b/>
        </w:rPr>
        <w:t xml:space="preserve">10 </w:t>
      </w:r>
      <w:r>
        <w:t xml:space="preserve">Because you abandoned God your savior and did not remember the Lord your helper. Therefore you will plant a faithless planting and faithless seed.</w:t>
      </w:r>
    </w:p>
    <w:p>
      <w:r>
        <w:rPr>
          <w:b/>
        </w:rPr>
        <w:t xml:space="preserve">11 </w:t>
      </w:r>
      <w:r>
        <w:t xml:space="preserve">And on the day when you plant, you will go astray, and in the morning if you sow, it will blossom for a harvest; on the day he gives lot, and as a father of man gives lot to your sons.</w:t>
      </w:r>
    </w:p>
    <w:p>
      <w:r>
        <w:rPr>
          <w:b/>
        </w:rPr>
        <w:t xml:space="preserve">12 </w:t>
      </w:r>
      <w:r>
        <w:t xml:space="preserve">Woe, a multitude</w:t>
      </w:r>
      <w:r>
        <w:rPr>
          <w:rStyle w:val="FootnoteReference"/>
        </w:rPr>
        <w:footnoteReference w:id="11502"/>
      </w:r>
      <w:r>
        <w:t xml:space="preserve"> of many nations; as the sea surges, so you will be troubled, and a rush of many nations will sound as water.</w:t>
      </w:r>
    </w:p>
    <w:p>
      <w:r>
        <w:rPr>
          <w:b/>
        </w:rPr>
        <w:t xml:space="preserve">13 </w:t>
      </w:r>
      <w:r>
        <w:t xml:space="preserve">As much water, so are many nations; as the force of much water rushing down, he will scare him away and chase him far, as dust of chaff of threshers before wind and as wheel-dust carried by a storm.</w:t>
      </w:r>
    </w:p>
    <w:p>
      <w:r>
        <w:rPr>
          <w:b/>
        </w:rPr>
        <w:t xml:space="preserve">14 </w:t>
      </w:r>
      <w:r>
        <w:t xml:space="preserve">Toward evening there will be grief; before morning and it will not be. This is the portion</w:t>
      </w:r>
      <w:r>
        <w:rPr>
          <w:rStyle w:val="FootnoteReference"/>
        </w:rPr>
        <w:footnoteReference w:id="11503"/>
      </w:r>
      <w:r>
        <w:t xml:space="preserve"> of those plundering you and the inheritance of those inheriting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Woe, land of winged ships beyond the rivers of Ethiopia,</w:t>
      </w:r>
    </w:p>
    <w:p>
      <w:r>
        <w:rPr>
          <w:b/>
        </w:rPr>
        <w:t xml:space="preserve">2 </w:t>
      </w:r>
      <w:r>
        <w:t xml:space="preserve">sending hostages by sea and papyrus letters on the water. For light messengers will go to a lofty and strange nation, a difficult people. What is theirs beyond? A nation without hope and trampled, whose land the rivers now divide.</w:t>
      </w:r>
    </w:p>
    <w:p>
      <w:r>
        <w:rPr>
          <w:b/>
        </w:rPr>
        <w:t xml:space="preserve">3 </w:t>
      </w:r>
      <w:r>
        <w:t xml:space="preserve">All as an inhabited land will inhabit; their land will be inhabited as a signal lifted from a mountain, and as a trumpet's voice it will be heard.</w:t>
      </w:r>
    </w:p>
    <w:p>
      <w:r>
        <w:rPr>
          <w:b/>
        </w:rPr>
        <w:t xml:space="preserve">4 </w:t>
      </w:r>
      <w:r>
        <w:t xml:space="preserve">Because thus the Lord said to me: Safety will be in my city as the light of noonday heat and as a cloud of dew in the day of harvest.</w:t>
      </w:r>
    </w:p>
    <w:p>
      <w:r>
        <w:rPr>
          <w:b/>
        </w:rPr>
        <w:t xml:space="preserve">5 </w:t>
      </w:r>
      <w:r>
        <w:t xml:space="preserve">Before the harvest, when a blossom is finished and a sour grape blossoms into a budding flower, he will remove the little clusters with sickles, and he will remove and cut down the branches.</w:t>
      </w:r>
    </w:p>
    <w:p>
      <w:r>
        <w:rPr>
          <w:b/>
        </w:rPr>
        <w:t xml:space="preserve">6 </w:t>
      </w:r>
      <w:r>
        <w:t xml:space="preserve">And he will leave them together to the birds of heaven and the beasts of the earth, and the birds of heaven will gather on them and all the beasts of the earth will come upon him.</w:t>
      </w:r>
    </w:p>
    <w:p>
      <w:r>
        <w:rPr>
          <w:b/>
        </w:rPr>
        <w:t xml:space="preserve">7 </w:t>
      </w:r>
      <w:r>
        <w:t xml:space="preserve">At that time gifts will be brought to the Lord of hosts from a people afflicted and plucked, and from a great people from now and forever, a nation hoping and trampled, which is in the region of the river of its land, to the place where the name of the Lord of hosts was invoked, Mount Zion.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 vision of Egypt</w:t>
      </w:r>
      <w:r>
        <w:rPr>
          <w:rStyle w:val="FootnoteReference"/>
        </w:rPr>
        <w:footnoteReference w:id="11504"/>
      </w:r>
      <w:r>
        <w:t xml:space="preserve">: Behold, the Lord sits on a swift cloud and will come into Egypt, and the handmade things of Egypt will be shaken from before him and their heart will be defeated within them.</w:t>
      </w:r>
    </w:p>
    <w:p>
      <w:r>
        <w:rPr>
          <w:b/>
        </w:rPr>
        <w:t xml:space="preserve">2 </w:t>
      </w:r>
      <w:r>
        <w:t xml:space="preserve">And the Egyptians will rise against Egyptians, and a man will war with his brother and a man with his neighbor, city against city and law against law.</w:t>
      </w:r>
    </w:p>
    <w:p>
      <w:r>
        <w:rPr>
          <w:b/>
        </w:rPr>
        <w:t xml:space="preserve">3 </w:t>
      </w:r>
      <w:r>
        <w:t xml:space="preserve">And the spirit</w:t>
      </w:r>
      <w:r>
        <w:rPr>
          <w:rStyle w:val="FootnoteReference"/>
        </w:rPr>
        <w:footnoteReference w:id="11505"/>
      </w:r>
      <w:r>
        <w:t xml:space="preserve"> of the Egyptians will be troubled within them, and I will scatter their counsel, and they will ask their gods and their carved images and those speaking from the earth and the ventriloquists.</w:t>
      </w:r>
    </w:p>
    <w:p>
      <w:r>
        <w:rPr>
          <w:b/>
        </w:rPr>
        <w:t xml:space="preserve">4 </w:t>
      </w:r>
      <w:r>
        <w:t xml:space="preserve">And I will hand over Egypt into the hands of harsh lords, and harsh kings will rule them, thus says the Lord of hosts.</w:t>
      </w:r>
    </w:p>
    <w:p>
      <w:r>
        <w:rPr>
          <w:b/>
        </w:rPr>
        <w:t xml:space="preserve">5 </w:t>
      </w:r>
      <w:r>
        <w:t xml:space="preserve">And the Egyptians will drink water from the sea, and the river will fail and dry up.</w:t>
      </w:r>
    </w:p>
    <w:p>
      <w:r>
        <w:rPr>
          <w:b/>
        </w:rPr>
        <w:t xml:space="preserve">6 </w:t>
      </w:r>
      <w:r>
        <w:t xml:space="preserve">And the rivers will fail, and the channels of the river, and every collection of water will dry up, and every marsh of reed and papyrus.</w:t>
      </w:r>
    </w:p>
    <w:p>
      <w:r>
        <w:rPr>
          <w:b/>
        </w:rPr>
        <w:t xml:space="preserve">7 </w:t>
      </w:r>
      <w:r>
        <w:t xml:space="preserve">And the green rush, all around the river, and everything sown by the river will dry up, wind-blasted.</w:t>
      </w:r>
    </w:p>
    <w:p>
      <w:r>
        <w:rPr>
          <w:b/>
        </w:rPr>
        <w:t xml:space="preserve">8 </w:t>
      </w:r>
      <w:r>
        <w:t xml:space="preserve">And the fishermen will groan, and all casting a hook into the river will groan, and those throwing drag-nets and casting nets will mourn.</w:t>
      </w:r>
    </w:p>
    <w:p>
      <w:r>
        <w:rPr>
          <w:b/>
        </w:rPr>
        <w:t xml:space="preserve">9 </w:t>
      </w:r>
      <w:r>
        <w:t xml:space="preserve">And shame will seize those working the split flax and those working the fine linen.</w:t>
      </w:r>
    </w:p>
    <w:p>
      <w:r>
        <w:rPr>
          <w:b/>
        </w:rPr>
        <w:t xml:space="preserve">10 </w:t>
      </w:r>
      <w:r>
        <w:t xml:space="preserve">And those weaving them will be in pain, and all making beer will grieve and pain their souls.</w:t>
      </w:r>
    </w:p>
    <w:p>
      <w:r>
        <w:rPr>
          <w:b/>
        </w:rPr>
        <w:t xml:space="preserve">11 </w:t>
      </w:r>
      <w:r>
        <w:t xml:space="preserve">And the princes</w:t>
      </w:r>
      <w:r>
        <w:rPr>
          <w:rStyle w:val="FootnoteReference"/>
        </w:rPr>
        <w:footnoteReference w:id="11506"/>
      </w:r>
      <w:r>
        <w:t xml:space="preserve"> of Zoan will be fools, the wise counselors of the king; their counsel will be made foolish. How will you say to the king, We are sons of wise men, sons of ancient kings?</w:t>
      </w:r>
    </w:p>
    <w:p>
      <w:r>
        <w:rPr>
          <w:b/>
        </w:rPr>
        <w:t xml:space="preserve">12 </w:t>
      </w:r>
      <w:r>
        <w:t xml:space="preserve">Where now are your wise men? Let them</w:t>
      </w:r>
      <w:r>
        <w:rPr>
          <w:rStyle w:val="FootnoteReference"/>
        </w:rPr>
        <w:footnoteReference w:id="11507"/>
      </w:r>
      <w:r>
        <w:t xml:space="preserve"> announce to you and tell what the Lord of hosts has counseled against Egypt.</w:t>
      </w:r>
    </w:p>
    <w:p>
      <w:r>
        <w:rPr>
          <w:b/>
        </w:rPr>
        <w:t xml:space="preserve">13 </w:t>
      </w:r>
      <w:r>
        <w:t xml:space="preserve">The princes of Zoan</w:t>
      </w:r>
      <w:r>
        <w:rPr>
          <w:rStyle w:val="FootnoteReference"/>
        </w:rPr>
        <w:footnoteReference w:id="11508"/>
      </w:r>
      <w:r>
        <w:t xml:space="preserve"> failed, and the princes of Memphis</w:t>
      </w:r>
      <w:r>
        <w:rPr>
          <w:rStyle w:val="FootnoteReference"/>
        </w:rPr>
        <w:footnoteReference w:id="11509"/>
      </w:r>
      <w:r>
        <w:t xml:space="preserve"> were exalted, and they will lead Egypt astray by tribes.</w:t>
      </w:r>
    </w:p>
    <w:p>
      <w:r>
        <w:rPr>
          <w:b/>
        </w:rPr>
        <w:t xml:space="preserve">14 </w:t>
      </w:r>
      <w:r>
        <w:t xml:space="preserve">For the Lord mixed in them a spirit of wandering, and they led Egypt astray in all their works, as a</w:t>
      </w:r>
      <w:r>
        <w:rPr>
          <w:rStyle w:val="FootnoteReference"/>
        </w:rPr>
        <w:footnoteReference w:id="11510"/>
      </w:r>
      <w:r>
        <w:t xml:space="preserve"> drunk man and a vomiting man wander together.</w:t>
      </w:r>
    </w:p>
    <w:p>
      <w:r>
        <w:rPr>
          <w:b/>
        </w:rPr>
        <w:t xml:space="preserve">15 </w:t>
      </w:r>
      <w:r>
        <w:t xml:space="preserve">And there will not be for the Egyptians a work which head and tail, beginning and end, will do.</w:t>
      </w:r>
    </w:p>
    <w:p>
      <w:r>
        <w:rPr>
          <w:b/>
        </w:rPr>
        <w:t xml:space="preserve">16 </w:t>
      </w:r>
      <w:r>
        <w:t xml:space="preserve">In that day the Egyptians will be as women, in fear and trembling from the face of the hand of the Lord of hosts which he himself lays upon them.</w:t>
      </w:r>
    </w:p>
    <w:p>
      <w:r>
        <w:rPr>
          <w:b/>
        </w:rPr>
        <w:t xml:space="preserve">17 </w:t>
      </w:r>
      <w:r>
        <w:t xml:space="preserve">And the land of the Jews will be a terror to the Egyptians; whoever names it to them, they will fear because of the counsel which the Lord has counseled against it.</w:t>
      </w:r>
    </w:p>
    <w:p>
      <w:r>
        <w:rPr>
          <w:b/>
        </w:rPr>
        <w:t xml:space="preserve">18 </w:t>
      </w:r>
      <w:r>
        <w:t xml:space="preserve">In that day</w:t>
      </w:r>
      <w:r>
        <w:rPr>
          <w:rStyle w:val="FootnoteReference"/>
        </w:rPr>
        <w:footnoteReference w:id="11511"/>
      </w:r>
      <w:r>
        <w:t xml:space="preserve"> there will be five cities in Egypt speaking the language of Canaan and swearing by the name of the Lord; one city will be called the City of Righteousness.</w:t>
      </w:r>
    </w:p>
    <w:p>
      <w:r>
        <w:rPr>
          <w:b/>
        </w:rPr>
        <w:t xml:space="preserve">19 </w:t>
      </w:r>
      <w:r>
        <w:t xml:space="preserve">In that day there will be an altar to the Lord in the land of the Egyptians and a pillar to the Lord by its border.</w:t>
      </w:r>
    </w:p>
    <w:p>
      <w:r>
        <w:rPr>
          <w:b/>
        </w:rPr>
        <w:t xml:space="preserve">20 </w:t>
      </w:r>
      <w:r>
        <w:t xml:space="preserve">And it will be for a</w:t>
      </w:r>
      <w:r>
        <w:rPr>
          <w:rStyle w:val="FootnoteReference"/>
        </w:rPr>
        <w:footnoteReference w:id="11512"/>
      </w:r>
      <w:r>
        <w:t xml:space="preserve"> sign forever to the Lord in the land of Egypt, because they will cry to the Lord because of those afflicting them, and the Lord will send them a man who will save them; by judging he will save them.</w:t>
      </w:r>
    </w:p>
    <w:p>
      <w:r>
        <w:rPr>
          <w:b/>
        </w:rPr>
        <w:t xml:space="preserve">21 </w:t>
      </w:r>
      <w:r>
        <w:t xml:space="preserve">And the Lord will be known to the Egyptians, and the Egyptians will know the Lord in that day, and they will make sacrifices and vow vows to the Lord and pay them.</w:t>
      </w:r>
    </w:p>
    <w:p>
      <w:r>
        <w:rPr>
          <w:b/>
        </w:rPr>
        <w:t xml:space="preserve">22 </w:t>
      </w:r>
      <w:r>
        <w:t xml:space="preserve">And the Lord will strike the Egyptians with a great blow and heal them; he will heal, and they will turn to the Lord, and he will hear them and heal them.</w:t>
      </w:r>
    </w:p>
    <w:p>
      <w:r>
        <w:rPr>
          <w:b/>
        </w:rPr>
        <w:t xml:space="preserve">23 </w:t>
      </w:r>
      <w:r>
        <w:t xml:space="preserve">In that day there will be a way from Egypt to the Assyrians, and the Assyrians will enter Egypt and the Egyptians will go to the Assyrians, and the Egyptians will serve the Assyrians.</w:t>
      </w:r>
    </w:p>
    <w:p>
      <w:r>
        <w:rPr>
          <w:b/>
        </w:rPr>
        <w:t xml:space="preserve">24 </w:t>
      </w:r>
      <w:r>
        <w:t xml:space="preserve">In that day Israel will be third among the Assyrians and the Egyptians, blessed in the land</w:t>
      </w:r>
    </w:p>
    <w:p>
      <w:r>
        <w:rPr>
          <w:b/>
        </w:rPr>
        <w:t xml:space="preserve">25 </w:t>
      </w:r>
      <w:r>
        <w:t xml:space="preserve">which the Lord</w:t>
      </w:r>
      <w:r>
        <w:rPr>
          <w:rStyle w:val="FootnoteReference"/>
        </w:rPr>
        <w:footnoteReference w:id="11513"/>
      </w:r>
      <w:r>
        <w:t xml:space="preserve"> of hosts blessed, saying, Blessed is my people in Egypt, and among the Assyrians, and my inheritance,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In the year Tartan</w:t>
      </w:r>
      <w:r>
        <w:rPr>
          <w:rStyle w:val="FootnoteReference"/>
        </w:rPr>
        <w:footnoteReference w:id="11514"/>
      </w:r>
      <w:r>
        <w:t xml:space="preserve"> entered into Ashdod, when he was sent by Sargon</w:t>
      </w:r>
      <w:r>
        <w:rPr>
          <w:rStyle w:val="FootnoteReference"/>
        </w:rPr>
        <w:footnoteReference w:id="11515"/>
      </w:r>
      <w:r>
        <w:t xml:space="preserve"> king of the Assyrians, and he warred against Ashdod and captured it,</w:t>
      </w:r>
    </w:p>
    <w:p>
      <w:r>
        <w:rPr>
          <w:b/>
        </w:rPr>
        <w:t xml:space="preserve">2 </w:t>
      </w:r>
      <w:r>
        <w:t xml:space="preserve">then the Lord spoke to Isaiah, saying, Go and take the sackcloth</w:t>
      </w:r>
      <w:r>
        <w:rPr>
          <w:rStyle w:val="FootnoteReference"/>
        </w:rPr>
        <w:footnoteReference w:id="11516"/>
      </w:r>
      <w:r>
        <w:t xml:space="preserve"> off your waist and loosen the sandals from your feet. And he did so, walking naked and barefoot.</w:t>
      </w:r>
    </w:p>
    <w:p>
      <w:r>
        <w:rPr>
          <w:b/>
        </w:rPr>
        <w:t xml:space="preserve">3 </w:t>
      </w:r>
      <w:r>
        <w:t xml:space="preserve">And the Lord said, As Isaiah my servant has walked naked and barefoot for three</w:t>
      </w:r>
      <w:r>
        <w:rPr>
          <w:rStyle w:val="FootnoteReference"/>
        </w:rPr>
        <w:footnoteReference w:id="11517"/>
      </w:r>
      <w:r>
        <w:t xml:space="preserve"> years, so signs and wonders will be to the Egyptians and Ethiopians.</w:t>
      </w:r>
    </w:p>
    <w:p>
      <w:r>
        <w:rPr>
          <w:b/>
        </w:rPr>
        <w:t xml:space="preserve">4 </w:t>
      </w:r>
      <w:r>
        <w:t xml:space="preserve">Because thus the king of the Assyrians will lead the captivity of Egypt and Ethiopians, young men and elders, naked and barefoot, with the shame</w:t>
      </w:r>
      <w:r>
        <w:rPr>
          <w:rStyle w:val="FootnoteReference"/>
        </w:rPr>
        <w:footnoteReference w:id="11518"/>
      </w:r>
      <w:r>
        <w:t xml:space="preserve"> of Egypt uncovered.</w:t>
      </w:r>
    </w:p>
    <w:p>
      <w:r>
        <w:rPr>
          <w:b/>
        </w:rPr>
        <w:t xml:space="preserve">5 </w:t>
      </w:r>
      <w:r>
        <w:t xml:space="preserve">And the Egyptians will be ashamed, defeated because of the Ethiopians on whom they were trusting; for the Egyptians were their glory</w:t>
      </w:r>
      <w:r>
        <w:rPr>
          <w:rStyle w:val="FootnoteReference"/>
        </w:rPr>
        <w:footnoteReference w:id="11519"/>
      </w:r>
      <w:r>
        <w:t xml:space="preserve">.</w:t>
      </w:r>
    </w:p>
    <w:p>
      <w:r>
        <w:rPr>
          <w:b/>
        </w:rPr>
        <w:t xml:space="preserve">6 </w:t>
      </w:r>
      <w:r>
        <w:t xml:space="preserve">And the dwellers in this island will say, Look, we were trusting to flee to them for help, who were not able to be saved from the king of the Assyrians; and how</w:t>
      </w:r>
      <w:r>
        <w:rPr>
          <w:rStyle w:val="FootnoteReference"/>
        </w:rPr>
        <w:footnoteReference w:id="11520"/>
      </w:r>
      <w:r>
        <w:t xml:space="preserve"> shall we be saved?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The vision of the wilderness: as a storm through a wilderness would pass through, coming from a fearful land.</w:t>
      </w:r>
    </w:p>
    <w:p>
      <w:r>
        <w:rPr>
          <w:b/>
        </w:rPr>
        <w:t xml:space="preserve">2 </w:t>
      </w:r>
      <w:r>
        <w:t xml:space="preserve">A hard vision was reported to me: a lawless one acts lawlessly, and an outlaw acts as an outlaw. Against me the Elamites and the envoys of the Persians come upon me. Now I will groan and comfort myself.</w:t>
      </w:r>
    </w:p>
    <w:p>
      <w:r>
        <w:rPr>
          <w:b/>
        </w:rPr>
        <w:t xml:space="preserve">3 </w:t>
      </w:r>
      <w:r>
        <w:t xml:space="preserve">Because of this my loins were filled with weakness, and pains seized me as one giving birth. I did wrong not to hear; I hurried not to see.</w:t>
      </w:r>
    </w:p>
    <w:p>
      <w:r>
        <w:rPr>
          <w:b/>
        </w:rPr>
        <w:t xml:space="preserve">4 </w:t>
      </w:r>
      <w:r>
        <w:t xml:space="preserve">My heart wanders and lawlessness baptizes me; my soul has stood into fear.</w:t>
      </w:r>
    </w:p>
    <w:p>
      <w:r>
        <w:rPr>
          <w:b/>
        </w:rPr>
        <w:t xml:space="preserve">5 </w:t>
      </w:r>
      <w:r>
        <w:t xml:space="preserve">Prepare the table; drink, eat. Rise up, rulers; prepare the shields.</w:t>
      </w:r>
    </w:p>
    <w:p>
      <w:r>
        <w:rPr>
          <w:b/>
        </w:rPr>
        <w:t xml:space="preserve">6 </w:t>
      </w:r>
      <w:r>
        <w:t xml:space="preserve">Because thus the Lord said to me: Having gone, set a watchman for yourself, and what you see, report.</w:t>
      </w:r>
    </w:p>
    <w:p>
      <w:r>
        <w:rPr>
          <w:b/>
        </w:rPr>
        <w:t xml:space="preserve">7 </w:t>
      </w:r>
      <w:r>
        <w:t xml:space="preserve">And I saw riders, two horsemen, a rider of a donkey and a rider of a camel. Listen with great listening.</w:t>
      </w:r>
    </w:p>
    <w:p>
      <w:r>
        <w:rPr>
          <w:b/>
        </w:rPr>
        <w:t xml:space="preserve">8 </w:t>
      </w:r>
      <w:r>
        <w:t xml:space="preserve">And call Uriah to the lookout of the Lord. And he said, I stood continually by day, and on the camp I stood the whole night.</w:t>
      </w:r>
    </w:p>
    <w:p>
      <w:r>
        <w:rPr>
          <w:b/>
        </w:rPr>
        <w:t xml:space="preserve">9 </w:t>
      </w:r>
      <w:r>
        <w:t xml:space="preserve">And look, he comes, a rider of a pair. And answering he said, Babylon</w:t>
      </w:r>
      <w:r>
        <w:rPr>
          <w:rStyle w:val="FootnoteReference"/>
        </w:rPr>
        <w:footnoteReference w:id="11521"/>
      </w:r>
      <w:r>
        <w:t xml:space="preserve"> has fallen, and all her carved images and handmade things have been shattered to the ground.</w:t>
      </w:r>
    </w:p>
    <w:p>
      <w:r>
        <w:rPr>
          <w:b/>
        </w:rPr>
        <w:t xml:space="preserve">10 </w:t>
      </w:r>
      <w:r>
        <w:t xml:space="preserve">Hear, you left behind and you being pained; hear what the Lord of hosts, God of Israel, announced to us.</w:t>
      </w:r>
    </w:p>
    <w:p>
      <w:r>
        <w:rPr>
          <w:b/>
        </w:rPr>
        <w:t xml:space="preserve">11 </w:t>
      </w:r>
      <w:r>
        <w:t xml:space="preserve">The vision of Edom: To me one calls from Seir, Guard the ramparts.</w:t>
      </w:r>
    </w:p>
    <w:p>
      <w:r>
        <w:rPr>
          <w:b/>
        </w:rPr>
        <w:t xml:space="preserve">12 </w:t>
      </w:r>
      <w:r>
        <w:t xml:space="preserve">I guard the morning</w:t>
      </w:r>
      <w:r>
        <w:rPr>
          <w:rStyle w:val="FootnoteReference"/>
        </w:rPr>
        <w:footnoteReference w:id="11522"/>
      </w:r>
      <w:r>
        <w:t xml:space="preserve"> and the night. If you seek, seek, and dwell with me.</w:t>
      </w:r>
    </w:p>
    <w:p>
      <w:r>
        <w:rPr>
          <w:b/>
        </w:rPr>
        <w:t xml:space="preserve">13 </w:t>
      </w:r>
      <w:r>
        <w:t xml:space="preserve">In the forest at evening you will sleep, on the road, Dedan.</w:t>
      </w:r>
    </w:p>
    <w:p>
      <w:r>
        <w:rPr>
          <w:b/>
        </w:rPr>
        <w:t xml:space="preserve">14 </w:t>
      </w:r>
      <w:r>
        <w:t xml:space="preserve">Bring water to the thirsty one; you dwelling in the land of Tema</w:t>
      </w:r>
      <w:r>
        <w:rPr>
          <w:rStyle w:val="FootnoteReference"/>
        </w:rPr>
        <w:footnoteReference w:id="11523"/>
      </w:r>
      <w:r>
        <w:t xml:space="preserve">, meet the fugitives with bread,</w:t>
      </w:r>
    </w:p>
    <w:p>
      <w:r>
        <w:rPr>
          <w:b/>
        </w:rPr>
        <w:t xml:space="preserve">15 </w:t>
      </w:r>
      <w:r>
        <w:t xml:space="preserve">because of the multitude of fugitives and the multitude of wanderers and the multitude of sword and the multitude of stretched bows and the multitude of fallen in the war.</w:t>
      </w:r>
    </w:p>
    <w:p>
      <w:r>
        <w:rPr>
          <w:b/>
        </w:rPr>
        <w:t xml:space="preserve">16 </w:t>
      </w:r>
      <w:r>
        <w:t xml:space="preserve">Because thus the Lord said to me: Yet one year, as a year of a hired worker, the glory of the sons of Kedar</w:t>
      </w:r>
      <w:r>
        <w:rPr>
          <w:rStyle w:val="FootnoteReference"/>
        </w:rPr>
        <w:footnoteReference w:id="11524"/>
      </w:r>
      <w:r>
        <w:t xml:space="preserve"> will fail.</w:t>
      </w:r>
    </w:p>
    <w:p>
      <w:r>
        <w:rPr>
          <w:b/>
        </w:rPr>
        <w:t xml:space="preserve">17 </w:t>
      </w:r>
      <w:r>
        <w:t xml:space="preserve">And the remnant of arrows of the mighty</w:t>
      </w:r>
      <w:r>
        <w:rPr>
          <w:rStyle w:val="FootnoteReference"/>
        </w:rPr>
        <w:footnoteReference w:id="11525"/>
      </w:r>
      <w:r>
        <w:t xml:space="preserve"> sons of Kedar will be few, because the Lord God of Israel spoke.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The word of the valley</w:t>
      </w:r>
      <w:r>
        <w:rPr>
          <w:rStyle w:val="FootnoteReference"/>
        </w:rPr>
        <w:footnoteReference w:id="11526"/>
      </w:r>
      <w:r>
        <w:t xml:space="preserve"> of Zion: What happened to you now that all of you went up to the housetops?</w:t>
      </w:r>
    </w:p>
    <w:p>
      <w:r>
        <w:rPr>
          <w:b/>
        </w:rPr>
        <w:t xml:space="preserve">2 </w:t>
      </w:r>
      <w:r>
        <w:t xml:space="preserve">The city is full of shouting, vanity; your wounded are not wounded by sword, nor are your dead from war.</w:t>
      </w:r>
    </w:p>
    <w:p>
      <w:r>
        <w:rPr>
          <w:b/>
        </w:rPr>
        <w:t xml:space="preserve">3 </w:t>
      </w:r>
      <w:r>
        <w:t xml:space="preserve">All your rulers have fled, and those captured are harshly bound, and mighty ones among you have fled far off.</w:t>
      </w:r>
    </w:p>
    <w:p>
      <w:r>
        <w:rPr>
          <w:b/>
        </w:rPr>
        <w:t xml:space="preserve">4 </w:t>
      </w:r>
      <w:r>
        <w:t xml:space="preserve">Because of this I said, Leave me; I will weep bitterly</w:t>
      </w:r>
      <w:r>
        <w:rPr>
          <w:rStyle w:val="FootnoteReference"/>
        </w:rPr>
        <w:footnoteReference w:id="11527"/>
      </w:r>
      <w:r>
        <w:t xml:space="preserve">. Do not insist to comfort me over the crushing of the daughter of my kin.</w:t>
      </w:r>
    </w:p>
    <w:p>
      <w:r>
        <w:rPr>
          <w:b/>
        </w:rPr>
        <w:t xml:space="preserve">5 </w:t>
      </w:r>
      <w:r>
        <w:t xml:space="preserve">Because there is a day</w:t>
      </w:r>
      <w:r>
        <w:rPr>
          <w:rStyle w:val="FootnoteReference"/>
        </w:rPr>
        <w:footnoteReference w:id="11528"/>
      </w:r>
      <w:r>
        <w:t xml:space="preserve"> of trouble and destruction and trampling and wandering from the Lord of hosts in the valley of Zion; they wander from small to great, they wander on the mountains.</w:t>
      </w:r>
    </w:p>
    <w:p>
      <w:r>
        <w:rPr>
          <w:b/>
        </w:rPr>
        <w:t xml:space="preserve">6 </w:t>
      </w:r>
      <w:r>
        <w:t xml:space="preserve">And the Elamites took quivers, riders, men on horses, and a gathering of battle-line.</w:t>
      </w:r>
    </w:p>
    <w:p>
      <w:r>
        <w:rPr>
          <w:b/>
        </w:rPr>
        <w:t xml:space="preserve">7 </w:t>
      </w:r>
      <w:r>
        <w:t xml:space="preserve">And your choice valleys will be filled with chariots, and the horsemen will shut your gates.</w:t>
      </w:r>
    </w:p>
    <w:p>
      <w:r>
        <w:rPr>
          <w:b/>
        </w:rPr>
        <w:t xml:space="preserve">8 </w:t>
      </w:r>
      <w:r>
        <w:t xml:space="preserve">And they will uncover the gates of Judah, and in that day they will look to the choice houses of the city.</w:t>
      </w:r>
    </w:p>
    <w:p>
      <w:r>
        <w:rPr>
          <w:b/>
        </w:rPr>
        <w:t xml:space="preserve">9 </w:t>
      </w:r>
      <w:r>
        <w:t xml:space="preserve">And they will uncover the hidden things of the houses of the citadel of David, and saw that they are many, and that they turned the water of the old pool into the city.</w:t>
      </w:r>
    </w:p>
    <w:p>
      <w:r>
        <w:rPr>
          <w:b/>
        </w:rPr>
        <w:t xml:space="preserve">10 </w:t>
      </w:r>
      <w:r>
        <w:t xml:space="preserve">And that they pulled down the houses of Jerusalem into a fortification for the wall of the city.</w:t>
      </w:r>
    </w:p>
    <w:p>
      <w:r>
        <w:rPr>
          <w:b/>
        </w:rPr>
        <w:t xml:space="preserve">11 </w:t>
      </w:r>
      <w:r>
        <w:t xml:space="preserve">And you made water for yourselves between the two walls inside the old pool, and you did not look to the one who made it from the beginning, and the one who built it you did not see.</w:t>
      </w:r>
    </w:p>
    <w:p>
      <w:r>
        <w:rPr>
          <w:b/>
        </w:rPr>
        <w:t xml:space="preserve">12 </w:t>
      </w:r>
      <w:r>
        <w:t xml:space="preserve">And the Lord of hosts called in that day for weeping and mourning and shaving and girding of sackcloth.</w:t>
      </w:r>
    </w:p>
    <w:p>
      <w:r>
        <w:rPr>
          <w:b/>
        </w:rPr>
        <w:t xml:space="preserve">13 </w:t>
      </w:r>
      <w:r>
        <w:t xml:space="preserve">But they made gladness and rejoicing, slaughtering calves and sacrificing sheep, so as to eat meat and drink wine, saying, Let us eat and drink, for tomorrow we die.</w:t>
      </w:r>
    </w:p>
    <w:p>
      <w:r>
        <w:rPr>
          <w:b/>
        </w:rPr>
        <w:t xml:space="preserve">14 </w:t>
      </w:r>
      <w:r>
        <w:t xml:space="preserve">And these things are uncovered in the ears of the Lord of hosts: this sin will certainly not be forgiven you until you die.</w:t>
      </w:r>
    </w:p>
    <w:p>
      <w:r>
        <w:rPr>
          <w:b/>
        </w:rPr>
        <w:t xml:space="preserve">15 </w:t>
      </w:r>
      <w:r>
        <w:t xml:space="preserve">Thus says the Lord of hosts: Go into the chamber to Shebna</w:t>
      </w:r>
      <w:r>
        <w:rPr>
          <w:rStyle w:val="FootnoteReference"/>
        </w:rPr>
        <w:footnoteReference w:id="11529"/>
      </w:r>
      <w:r>
        <w:t xml:space="preserve"> the steward and say to him,</w:t>
      </w:r>
    </w:p>
    <w:p>
      <w:r>
        <w:rPr>
          <w:b/>
        </w:rPr>
        <w:t xml:space="preserve">16 </w:t>
      </w:r>
      <w:r>
        <w:t xml:space="preserve">What do you have here, and what is here to you, that you cut out for yourself here a tomb and made for yourself a memorial in a high place and carved for yourself a dwelling in a rock?</w:t>
      </w:r>
    </w:p>
    <w:p>
      <w:r>
        <w:rPr>
          <w:b/>
        </w:rPr>
        <w:t xml:space="preserve">17 </w:t>
      </w:r>
      <w:r>
        <w:t xml:space="preserve">Look now, the Lord of hosts will throw out and pulverize a man and remove your robe.</w:t>
      </w:r>
    </w:p>
    <w:p>
      <w:r>
        <w:rPr>
          <w:b/>
        </w:rPr>
        <w:t xml:space="preserve">18 </w:t>
      </w:r>
      <w:r>
        <w:t xml:space="preserve">And your glorious crown, and he will throw you into a great and immeasurable land, and there you will die, and he will make your beautiful chariot into dishonor and your ruler's house into trampling.</w:t>
      </w:r>
    </w:p>
    <w:p>
      <w:r>
        <w:rPr>
          <w:b/>
        </w:rPr>
        <w:t xml:space="preserve">19 </w:t>
      </w:r>
      <w:r>
        <w:t xml:space="preserve">And you will be removed from your stewardship and from your station.</w:t>
      </w:r>
    </w:p>
    <w:p>
      <w:r>
        <w:rPr>
          <w:b/>
        </w:rPr>
        <w:t xml:space="preserve">20 </w:t>
      </w:r>
      <w:r>
        <w:t xml:space="preserve">And it will be in that day, I will call my servant Eliakim</w:t>
      </w:r>
      <w:r>
        <w:rPr>
          <w:rStyle w:val="FootnoteReference"/>
        </w:rPr>
        <w:footnoteReference w:id="11530"/>
      </w:r>
      <w:r>
        <w:t xml:space="preserve"> son of Hilkiah.</w:t>
      </w:r>
    </w:p>
    <w:p>
      <w:r>
        <w:rPr>
          <w:b/>
        </w:rPr>
        <w:t xml:space="preserve">21 </w:t>
      </w:r>
      <w:r>
        <w:t xml:space="preserve">And I will clothe</w:t>
      </w:r>
      <w:r>
        <w:rPr>
          <w:rStyle w:val="FootnoteReference"/>
        </w:rPr>
        <w:footnoteReference w:id="11531"/>
      </w:r>
      <w:r>
        <w:t xml:space="preserve"> him with your robe and give your crown to him, and your authority and your stewardship I will give into his hands, and he will be as a father to the dwellers in Jerusalem and the dwellers in Judah.</w:t>
      </w:r>
    </w:p>
    <w:p>
      <w:r>
        <w:rPr>
          <w:b/>
        </w:rPr>
        <w:t xml:space="preserve">22 </w:t>
      </w:r>
      <w:r>
        <w:t xml:space="preserve">And I will give the glory of David to him, and he will rule, and there will not be one contradicting.</w:t>
      </w:r>
    </w:p>
    <w:p>
      <w:r>
        <w:rPr>
          <w:b/>
        </w:rPr>
        <w:t xml:space="preserve">23 </w:t>
      </w:r>
      <w:r>
        <w:t xml:space="preserve">And I will set him as a ruler in a trustworthy place, and he will be for a throne of glory of the house of his father.</w:t>
      </w:r>
    </w:p>
    <w:p>
      <w:r>
        <w:rPr>
          <w:b/>
        </w:rPr>
        <w:t xml:space="preserve">24 </w:t>
      </w:r>
      <w:r>
        <w:t xml:space="preserve">And every glorious one in the house of his father will be trusting on him, from small to great, and they will be hanging from him.</w:t>
      </w:r>
    </w:p>
    <w:p>
      <w:r>
        <w:rPr>
          <w:b/>
        </w:rPr>
        <w:t xml:space="preserve">25 </w:t>
      </w:r>
      <w:r>
        <w:t xml:space="preserve">In that day, thus says the Lord of hosts, the man supported in a trustworthy place will be shaken, and he will fall, and the glory upon him will be removed, because the Lord spoke.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The vision of Tyre: Howl</w:t>
      </w:r>
      <w:r>
        <w:rPr>
          <w:rStyle w:val="FootnoteReference"/>
        </w:rPr>
        <w:footnoteReference w:id="11532"/>
      </w:r>
      <w:r>
        <w:t xml:space="preserve">, ships of Carthage, because it was destroyed and they no longer come from the land of Kittim; it was led captive.</w:t>
      </w:r>
    </w:p>
    <w:p>
      <w:r>
        <w:rPr>
          <w:b/>
        </w:rPr>
        <w:t xml:space="preserve">2 </w:t>
      </w:r>
      <w:r>
        <w:t xml:space="preserve">To what have the dwellers on the island become like, traders of Phoenicia crossing the sea?</w:t>
      </w:r>
    </w:p>
    <w:p>
      <w:r>
        <w:rPr>
          <w:b/>
        </w:rPr>
        <w:t xml:space="preserve">3 </w:t>
      </w:r>
      <w:r>
        <w:t xml:space="preserve">In much water, the seed of traders as a harvest brought in, the traders of nations.</w:t>
      </w:r>
    </w:p>
    <w:p>
      <w:r>
        <w:rPr>
          <w:b/>
        </w:rPr>
        <w:t xml:space="preserve">4 </w:t>
      </w:r>
      <w:r>
        <w:t xml:space="preserve">Be ashamed, Sidon, said the sea. And the strength of the sea said, I did not travail nor bear, nor nourish young men, nor raise virgins.</w:t>
      </w:r>
    </w:p>
    <w:p>
      <w:r>
        <w:rPr>
          <w:b/>
        </w:rPr>
        <w:t xml:space="preserve">5 </w:t>
      </w:r>
      <w:r>
        <w:t xml:space="preserve">And whenever it becomes heard in Egypt, a pain will seize them concerning Tyre.</w:t>
      </w:r>
    </w:p>
    <w:p>
      <w:r>
        <w:rPr>
          <w:b/>
        </w:rPr>
        <w:t xml:space="preserve">6 </w:t>
      </w:r>
      <w:r>
        <w:t xml:space="preserve">Go away to Carthage; howl</w:t>
      </w:r>
      <w:r>
        <w:rPr>
          <w:rStyle w:val="FootnoteReference"/>
        </w:rPr>
        <w:footnoteReference w:id="11533"/>
      </w:r>
      <w:r>
        <w:t xml:space="preserve">, you dwellers on this island.</w:t>
      </w:r>
    </w:p>
    <w:p>
      <w:r>
        <w:rPr>
          <w:b/>
        </w:rPr>
        <w:t xml:space="preserve">7 </w:t>
      </w:r>
      <w:r>
        <w:t xml:space="preserve">Was this your insolence from the beginning before it was handed over?</w:t>
      </w:r>
    </w:p>
    <w:p>
      <w:r>
        <w:rPr>
          <w:b/>
        </w:rPr>
        <w:t xml:space="preserve">8 </w:t>
      </w:r>
      <w:r>
        <w:t xml:space="preserve">Who planned these things against Tyre? Is she not lesser, or does she not prevail? Her merchants</w:t>
      </w:r>
      <w:r>
        <w:rPr>
          <w:rStyle w:val="FootnoteReference"/>
        </w:rPr>
        <w:footnoteReference w:id="11534"/>
      </w:r>
      <w:r>
        <w:t xml:space="preserve"> are glorious, rulers of the earth.</w:t>
      </w:r>
    </w:p>
    <w:p>
      <w:r>
        <w:rPr>
          <w:b/>
        </w:rPr>
        <w:t xml:space="preserve">9 </w:t>
      </w:r>
      <w:r>
        <w:t xml:space="preserve">The Lord</w:t>
      </w:r>
      <w:r>
        <w:rPr>
          <w:rStyle w:val="FootnoteReference"/>
        </w:rPr>
        <w:footnoteReference w:id="11535"/>
      </w:r>
      <w:r>
        <w:t xml:space="preserve"> of hosts counseled to paralyze all the insolence of glorious ones and dishonor every glorious thing on the earth.</w:t>
      </w:r>
    </w:p>
    <w:p>
      <w:r>
        <w:rPr>
          <w:b/>
        </w:rPr>
        <w:t xml:space="preserve">10 </w:t>
      </w:r>
      <w:r>
        <w:t xml:space="preserve">Work your land, for a ship no longer comes from Carthage.</w:t>
      </w:r>
    </w:p>
    <w:p>
      <w:r>
        <w:rPr>
          <w:b/>
        </w:rPr>
        <w:t xml:space="preserve">11 </w:t>
      </w:r>
      <w:r>
        <w:t xml:space="preserve">And your hand, the one provoking kings, no longer has strength over the sea. The Lord</w:t>
      </w:r>
      <w:r>
        <w:rPr>
          <w:rStyle w:val="FootnoteReference"/>
        </w:rPr>
        <w:footnoteReference w:id="11536"/>
      </w:r>
      <w:r>
        <w:t xml:space="preserve"> of hosts commanded concerning Canaan to destroy her strength.</w:t>
      </w:r>
    </w:p>
    <w:p>
      <w:r>
        <w:rPr>
          <w:b/>
        </w:rPr>
        <w:t xml:space="preserve">12 </w:t>
      </w:r>
      <w:r>
        <w:t xml:space="preserve">And they will say, You will no longer continue to act insolently and do wrong, daughter</w:t>
      </w:r>
      <w:r>
        <w:rPr>
          <w:rStyle w:val="FootnoteReference"/>
        </w:rPr>
        <w:footnoteReference w:id="11537"/>
      </w:r>
      <w:r>
        <w:t xml:space="preserve"> of Sidon; and if you go to Kittim, even there a rest will not be to you.</w:t>
      </w:r>
    </w:p>
    <w:p>
      <w:r>
        <w:rPr>
          <w:b/>
        </w:rPr>
        <w:t xml:space="preserve">13 </w:t>
      </w:r>
      <w:r>
        <w:t xml:space="preserve">And into the land</w:t>
      </w:r>
      <w:r>
        <w:rPr>
          <w:rStyle w:val="FootnoteReference"/>
        </w:rPr>
        <w:footnoteReference w:id="11538"/>
      </w:r>
      <w:r>
        <w:t xml:space="preserve"> of the Chaldeans, and this has been desolated by the Assyrians; even there a rest will not be to you, because its wall has fallen.</w:t>
      </w:r>
    </w:p>
    <w:p>
      <w:r>
        <w:rPr>
          <w:b/>
        </w:rPr>
        <w:t xml:space="preserve">14 </w:t>
      </w:r>
      <w:r>
        <w:t xml:space="preserve">Howl, ships of Carthage, because your stronghold was destroyed.</w:t>
      </w:r>
    </w:p>
    <w:p>
      <w:r>
        <w:rPr>
          <w:b/>
        </w:rPr>
        <w:t xml:space="preserve">15 </w:t>
      </w:r>
      <w:r>
        <w:t xml:space="preserve">And it will be in that day, Tyre will be left seventy years, as the time of the king, as the time of a man. And after seventy years Tyre will be as the song of a prostitute.</w:t>
      </w:r>
    </w:p>
    <w:p>
      <w:r>
        <w:rPr>
          <w:b/>
        </w:rPr>
        <w:t xml:space="preserve">16 </w:t>
      </w:r>
      <w:r>
        <w:t xml:space="preserve">Take a lyre, wander the cities, forgotten prostitute; play the lyre well, sing much, so that the memory of you may happen.</w:t>
      </w:r>
    </w:p>
    <w:p>
      <w:r>
        <w:rPr>
          <w:b/>
        </w:rPr>
        <w:t xml:space="preserve">17 </w:t>
      </w:r>
      <w:r>
        <w:t xml:space="preserve">And it will be after seventy years, God will make a visitation on Tyre, and again she will be restored to the ancient state and will be a marketplace for all the kingdoms of the inhabited world.</w:t>
      </w:r>
    </w:p>
    <w:p>
      <w:r>
        <w:rPr>
          <w:b/>
        </w:rPr>
        <w:t xml:space="preserve">18 </w:t>
      </w:r>
      <w:r>
        <w:t xml:space="preserve">And her trade and wage will be holy to the Lord; it will not be gathered for them</w:t>
      </w:r>
      <w:r>
        <w:rPr>
          <w:rStyle w:val="FootnoteReference"/>
        </w:rPr>
        <w:footnoteReference w:id="11539"/>
      </w:r>
      <w:r>
        <w:t xml:space="preserve">, but all her trade for those dwelling before the Lord, to eat and drink and be filled, into a token, a memorial before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Behold, the Lord destroys the inhabited world and will make it desolate and uncover its face and scatter those dwelling in it.</w:t>
      </w:r>
    </w:p>
    <w:p>
      <w:r>
        <w:rPr>
          <w:b/>
        </w:rPr>
        <w:t xml:space="preserve">2 </w:t>
      </w:r>
      <w:r>
        <w:t xml:space="preserve">And the people will be as the priest</w:t>
      </w:r>
      <w:r>
        <w:rPr>
          <w:rStyle w:val="FootnoteReference"/>
        </w:rPr>
        <w:footnoteReference w:id="11540"/>
      </w:r>
      <w:r>
        <w:t xml:space="preserve">, and the servant as the master, and the maid as the mistress; the buyer will be as the seller, the lender as the borrower, and the debtor as the one to whom debt is owed.</w:t>
      </w:r>
    </w:p>
    <w:p>
      <w:r>
        <w:rPr>
          <w:b/>
        </w:rPr>
        <w:t xml:space="preserve">3 </w:t>
      </w:r>
      <w:r>
        <w:t xml:space="preserve">The land will be ruined with ruin and plundered with plunder, for the mouth of the Lord</w:t>
      </w:r>
      <w:r>
        <w:rPr>
          <w:rStyle w:val="FootnoteReference"/>
        </w:rPr>
        <w:footnoteReference w:id="11541"/>
      </w:r>
      <w:r>
        <w:t xml:space="preserve"> spoke these things.</w:t>
      </w:r>
    </w:p>
    <w:p>
      <w:r>
        <w:rPr>
          <w:b/>
        </w:rPr>
        <w:t xml:space="preserve">4 </w:t>
      </w:r>
      <w:r>
        <w:t xml:space="preserve">The land mourned and the inhabited world was destroyed; the high ones of the earth mourned.</w:t>
      </w:r>
    </w:p>
    <w:p>
      <w:r>
        <w:rPr>
          <w:b/>
        </w:rPr>
        <w:t xml:space="preserve">5 </w:t>
      </w:r>
      <w:r>
        <w:t xml:space="preserve">And the land acted lawlessly because of those dwelling in it, because they transgressed the law and changed</w:t>
      </w:r>
      <w:r>
        <w:rPr>
          <w:rStyle w:val="FootnoteReference"/>
        </w:rPr>
        <w:footnoteReference w:id="11542"/>
      </w:r>
      <w:r>
        <w:t xml:space="preserve"> the ordinances, the everlasting covenant.</w:t>
      </w:r>
    </w:p>
    <w:p>
      <w:r>
        <w:rPr>
          <w:b/>
        </w:rPr>
        <w:t xml:space="preserve">6 </w:t>
      </w:r>
      <w:r>
        <w:t xml:space="preserve">Because of this a curse will eat the land, because those dwelling in it sinned; because of this the dwellers in the land will be poor and a few men will be left.</w:t>
      </w:r>
    </w:p>
    <w:p>
      <w:r>
        <w:rPr>
          <w:b/>
        </w:rPr>
        <w:t xml:space="preserve">7 </w:t>
      </w:r>
      <w:r>
        <w:t xml:space="preserve">The wine will mourn, the vine will mourn, all rejoicing in soul will groan.</w:t>
      </w:r>
    </w:p>
    <w:p>
      <w:r>
        <w:rPr>
          <w:b/>
        </w:rPr>
        <w:t xml:space="preserve">8 </w:t>
      </w:r>
      <w:r>
        <w:t xml:space="preserve">The gladness of drums ceased, insolence and the wealth of the ungodly ceased, the voice of the lyre ceased.</w:t>
      </w:r>
    </w:p>
    <w:p>
      <w:r>
        <w:rPr>
          <w:b/>
        </w:rPr>
        <w:t xml:space="preserve">9 </w:t>
      </w:r>
      <w:r>
        <w:t xml:space="preserve">They were put to shame; they did not drink wine; strong drink became bitter to the drinkers.</w:t>
      </w:r>
    </w:p>
    <w:p>
      <w:r>
        <w:rPr>
          <w:b/>
        </w:rPr>
        <w:t xml:space="preserve">10 </w:t>
      </w:r>
      <w:r>
        <w:t xml:space="preserve">Every city</w:t>
      </w:r>
      <w:r>
        <w:rPr>
          <w:rStyle w:val="FootnoteReference"/>
        </w:rPr>
        <w:footnoteReference w:id="11543"/>
      </w:r>
      <w:r>
        <w:t xml:space="preserve"> was made desolate; they will shut a house so as not to enter.</w:t>
      </w:r>
    </w:p>
    <w:p>
      <w:r>
        <w:rPr>
          <w:b/>
        </w:rPr>
        <w:t xml:space="preserve">11 </w:t>
      </w:r>
      <w:r>
        <w:t xml:space="preserve">Howl concerning the wine everywhere; all gladness of the land ceased.</w:t>
      </w:r>
    </w:p>
    <w:p>
      <w:r>
        <w:rPr>
          <w:b/>
        </w:rPr>
        <w:t xml:space="preserve">12 </w:t>
      </w:r>
      <w:r>
        <w:t xml:space="preserve">And cities will be left desolate, and abandoned houses will perish.</w:t>
      </w:r>
    </w:p>
    <w:p>
      <w:r>
        <w:rPr>
          <w:b/>
        </w:rPr>
        <w:t xml:space="preserve">13 </w:t>
      </w:r>
      <w:r>
        <w:t xml:space="preserve">All these will be in the land in the midst of the nations, as whenever one gleans an olive tree, thus they will glean them, and when the vintage ceases.</w:t>
      </w:r>
    </w:p>
    <w:p>
      <w:r>
        <w:rPr>
          <w:b/>
        </w:rPr>
        <w:t xml:space="preserve">14 </w:t>
      </w:r>
      <w:r>
        <w:t xml:space="preserve">These will cry out with a voice, and those left on the land will rejoice together in the glory of the Lord; the water of the sea will be troubled.</w:t>
      </w:r>
    </w:p>
    <w:p>
      <w:r>
        <w:rPr>
          <w:b/>
        </w:rPr>
        <w:t xml:space="preserve">15 </w:t>
      </w:r>
      <w:r>
        <w:t xml:space="preserve">Because of this the glory of the Lord will be in the islands of the sea; the name of the Lord will be glorious, O Lord, the God of Israel.</w:t>
      </w:r>
    </w:p>
    <w:p>
      <w:r>
        <w:rPr>
          <w:b/>
        </w:rPr>
        <w:t xml:space="preserve">16 </w:t>
      </w:r>
      <w:r>
        <w:t xml:space="preserve">From the wings of the earth we heard wonders, hope to the godly one. And they will say, Woe to those rejecting, those rejecting the law.</w:t>
      </w:r>
    </w:p>
    <w:p>
      <w:r>
        <w:rPr>
          <w:b/>
        </w:rPr>
        <w:t xml:space="preserve">17 </w:t>
      </w:r>
      <w:r>
        <w:t xml:space="preserve">Fear and pit and snare are upon you, dwellers on the earth.</w:t>
      </w:r>
    </w:p>
    <w:p>
      <w:r>
        <w:rPr>
          <w:b/>
        </w:rPr>
        <w:t xml:space="preserve">18 </w:t>
      </w:r>
      <w:r>
        <w:t xml:space="preserve">And it will be, the one fleeing the fear will fall into the pit, and the one coming up from the pit will be caught by the snare, because windows from heaven were opened and the foundations</w:t>
      </w:r>
      <w:r>
        <w:rPr>
          <w:rStyle w:val="FootnoteReference"/>
        </w:rPr>
        <w:footnoteReference w:id="11544"/>
      </w:r>
      <w:r>
        <w:t xml:space="preserve"> of the earth will be shaken.</w:t>
      </w:r>
    </w:p>
    <w:p>
      <w:r>
        <w:rPr>
          <w:b/>
        </w:rPr>
        <w:t xml:space="preserve">19 </w:t>
      </w:r>
      <w:r>
        <w:t xml:space="preserve">With turmoil the earth will be troubled and with perplexity the earth will be perplexed.</w:t>
      </w:r>
    </w:p>
    <w:p>
      <w:r>
        <w:rPr>
          <w:b/>
        </w:rPr>
        <w:t xml:space="preserve">20 </w:t>
      </w:r>
      <w:r>
        <w:t xml:space="preserve">The earth bent and will be shaken like a fruit-watch hut, like a drunken and hungover man, and it</w:t>
      </w:r>
      <w:r>
        <w:rPr>
          <w:rStyle w:val="FootnoteReference"/>
        </w:rPr>
        <w:footnoteReference w:id="11545"/>
      </w:r>
      <w:r>
        <w:t xml:space="preserve"> will fall and certainly not be able to rise, for lawlessness prevailed upon it.</w:t>
      </w:r>
    </w:p>
    <w:p>
      <w:r>
        <w:rPr>
          <w:b/>
        </w:rPr>
        <w:t xml:space="preserve">21 </w:t>
      </w:r>
      <w:r>
        <w:t xml:space="preserve">And God will bring his hand upon the host of heaven and upon the kings of the earth.</w:t>
      </w:r>
    </w:p>
    <w:p>
      <w:r>
        <w:rPr>
          <w:b/>
        </w:rPr>
        <w:t xml:space="preserve">22 </w:t>
      </w:r>
      <w:r>
        <w:t xml:space="preserve">And they will gather and shut them into a stronghold and into a prison, and after many generations there will be a visitation on them.</w:t>
      </w:r>
    </w:p>
    <w:p>
      <w:r>
        <w:rPr>
          <w:b/>
        </w:rPr>
        <w:t xml:space="preserve">23 </w:t>
      </w:r>
      <w:r>
        <w:t xml:space="preserve">And the brick will melt and the wall will fall, because the Lord will reign in Zion and in Jerusalem and before the elders be glorified.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O Lord my God, I will glorify you, I will hymn your name, because you did wondrous things, ancient counsel, true; let it be, O Lord.</w:t>
      </w:r>
    </w:p>
    <w:p>
      <w:r>
        <w:rPr>
          <w:b/>
        </w:rPr>
        <w:t xml:space="preserve">2 </w:t>
      </w:r>
      <w:r>
        <w:t xml:space="preserve">Because you made cities into a mound, strong cities so that their foundations fall; the city of the ungodly certainly will not be built forever.</w:t>
      </w:r>
    </w:p>
    <w:p>
      <w:r>
        <w:rPr>
          <w:b/>
        </w:rPr>
        <w:t xml:space="preserve">3 </w:t>
      </w:r>
      <w:r>
        <w:t xml:space="preserve">Because of this the poor people will bless you, and the cities of men being wronged will bless you.</w:t>
      </w:r>
    </w:p>
    <w:p>
      <w:r>
        <w:rPr>
          <w:b/>
        </w:rPr>
        <w:t xml:space="preserve">4 </w:t>
      </w:r>
      <w:r>
        <w:t xml:space="preserve">For you became a helper to every humble city and a shelter to those losing heart through want; from evil men you will rescue them, a shelter for the thirsty ones and a spirit of men being wronged.</w:t>
      </w:r>
    </w:p>
    <w:p>
      <w:r>
        <w:rPr>
          <w:b/>
        </w:rPr>
        <w:t xml:space="preserve">5 </w:t>
      </w:r>
      <w:r>
        <w:t xml:space="preserve">They will bless you as the faint-hearted thirsty men in Zion, from the ungodly men to whom you handed us over.</w:t>
      </w:r>
    </w:p>
    <w:p>
      <w:r>
        <w:rPr>
          <w:b/>
        </w:rPr>
        <w:t xml:space="preserve">6 </w:t>
      </w:r>
      <w:r>
        <w:t xml:space="preserve">And the Lord of hosts will make</w:t>
      </w:r>
      <w:r>
        <w:rPr>
          <w:rStyle w:val="FootnoteReference"/>
        </w:rPr>
        <w:footnoteReference w:id="11546"/>
      </w:r>
      <w:r>
        <w:t xml:space="preserve"> for all the nations on this mountain; they will drink gladness, they will drink wine, they will anoint themselves with perfume.</w:t>
      </w:r>
    </w:p>
    <w:p>
      <w:r>
        <w:rPr>
          <w:b/>
        </w:rPr>
        <w:t xml:space="preserve">7 </w:t>
      </w:r>
      <w:r>
        <w:t xml:space="preserve">On this mountain hand over all these things to the nations, for this counsel is upon all the nations.</w:t>
      </w:r>
    </w:p>
    <w:p>
      <w:r>
        <w:rPr>
          <w:b/>
        </w:rPr>
        <w:t xml:space="preserve">8 </w:t>
      </w:r>
      <w:r>
        <w:t xml:space="preserve">Death was swallowed after growing strong, and again God took away every tear from every face; the reproach of the people he took away from all the earth, for the mouth of the Lord spoke.</w:t>
      </w:r>
    </w:p>
    <w:p>
      <w:r>
        <w:rPr>
          <w:b/>
        </w:rPr>
        <w:t xml:space="preserve">9 </w:t>
      </w:r>
      <w:r>
        <w:t xml:space="preserve">And they will say in that day, Behold our God on whom we hoped, and we rejoiced and will be glad over our salvation.</w:t>
      </w:r>
    </w:p>
    <w:p>
      <w:r>
        <w:rPr>
          <w:b/>
        </w:rPr>
        <w:t xml:space="preserve">10 </w:t>
      </w:r>
      <w:r>
        <w:t xml:space="preserve">Because God will give a rest on this mountain, and the Moabite land will be trampled as they tread a threshing floor with wagons.</w:t>
      </w:r>
    </w:p>
    <w:p>
      <w:r>
        <w:rPr>
          <w:b/>
        </w:rPr>
        <w:t xml:space="preserve">11 </w:t>
      </w:r>
      <w:r>
        <w:t xml:space="preserve">And he will let down his hands, as he himself humbled to destroy, and he will humble his insolence over what he laid hands on.</w:t>
      </w:r>
    </w:p>
    <w:p>
      <w:r>
        <w:rPr>
          <w:b/>
        </w:rPr>
        <w:t xml:space="preserve">12 </w:t>
      </w:r>
      <w:r>
        <w:t xml:space="preserve">And the height of the refuge of your wall he will humble, and it will come down to the ground.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In that day</w:t>
      </w:r>
      <w:r>
        <w:rPr>
          <w:rStyle w:val="FootnoteReference"/>
        </w:rPr>
        <w:footnoteReference w:id="11547"/>
      </w:r>
      <w:r>
        <w:t xml:space="preserve"> they will sing this song in the land of Judah, saying, Behold, a strong city, and he will set salvation for us as a wall and outer wall.</w:t>
      </w:r>
    </w:p>
    <w:p>
      <w:r>
        <w:rPr>
          <w:b/>
        </w:rPr>
        <w:t xml:space="preserve">2 </w:t>
      </w:r>
      <w:r>
        <w:t xml:space="preserve">Open</w:t>
      </w:r>
      <w:r>
        <w:rPr>
          <w:rStyle w:val="FootnoteReference"/>
        </w:rPr>
        <w:footnoteReference w:id="11548"/>
      </w:r>
      <w:r>
        <w:t xml:space="preserve"> the gates; let a people enter, keeping righteousness and keeping truth,</w:t>
      </w:r>
    </w:p>
    <w:p>
      <w:r>
        <w:rPr>
          <w:b/>
        </w:rPr>
        <w:t xml:space="preserve">3 </w:t>
      </w:r>
      <w:r>
        <w:t xml:space="preserve">upholding truth and keeping peace, because upon you</w:t>
      </w:r>
    </w:p>
    <w:p>
      <w:r>
        <w:rPr>
          <w:b/>
        </w:rPr>
        <w:t xml:space="preserve">4 </w:t>
      </w:r>
      <w:r>
        <w:t xml:space="preserve">they hoped, O Lord, forever, the great eternal God.</w:t>
      </w:r>
    </w:p>
    <w:p>
      <w:r>
        <w:rPr>
          <w:b/>
        </w:rPr>
        <w:t xml:space="preserve">5 </w:t>
      </w:r>
      <w:r>
        <w:t xml:space="preserve">Who humbled and brought down those dwelling on the heights, the strong cities; you will throw down and bring to the ground,</w:t>
      </w:r>
    </w:p>
    <w:p>
      <w:r>
        <w:rPr>
          <w:b/>
        </w:rPr>
        <w:t xml:space="preserve">6 </w:t>
      </w:r>
      <w:r>
        <w:t xml:space="preserve">and the feet of the gentle and humble will tread them.</w:t>
      </w:r>
    </w:p>
    <w:p>
      <w:r>
        <w:rPr>
          <w:b/>
        </w:rPr>
        <w:t xml:space="preserve">7 </w:t>
      </w:r>
      <w:r>
        <w:t xml:space="preserve">The way of the godly became straight, and the way of the godly is prepared.</w:t>
      </w:r>
    </w:p>
    <w:p>
      <w:r>
        <w:rPr>
          <w:b/>
        </w:rPr>
        <w:t xml:space="preserve">8 </w:t>
      </w:r>
      <w:r>
        <w:t xml:space="preserve">For the way of the Lord is judgment; we hoped in your name and in remembrance.</w:t>
      </w:r>
    </w:p>
    <w:p>
      <w:r>
        <w:rPr>
          <w:b/>
        </w:rPr>
        <w:t xml:space="preserve">9 </w:t>
      </w:r>
      <w:r>
        <w:t xml:space="preserve">Our soul desires you by night; my spirit</w:t>
      </w:r>
      <w:r>
        <w:rPr>
          <w:rStyle w:val="FootnoteReference"/>
        </w:rPr>
        <w:footnoteReference w:id="11549"/>
      </w:r>
      <w:r>
        <w:t xml:space="preserve"> rises early toward you, O God, because your ordinances are light upon the earth. Learn righteousness, you dwellers on the earth.</w:t>
      </w:r>
    </w:p>
    <w:p>
      <w:r>
        <w:rPr>
          <w:b/>
        </w:rPr>
        <w:t xml:space="preserve">10 </w:t>
      </w:r>
      <w:r>
        <w:t xml:space="preserve">For the ungodly ceased; he certainly will not learn righteousness on the earth, he certainly will not do truth. Let the ungodly be taken away so that he not see the glory of the Lord.</w:t>
      </w:r>
    </w:p>
    <w:p>
      <w:r>
        <w:rPr>
          <w:b/>
        </w:rPr>
        <w:t xml:space="preserve">11 </w:t>
      </w:r>
      <w:r>
        <w:t xml:space="preserve">O Lord, your arm is high and they did not know; but knowing they will</w:t>
      </w:r>
      <w:r>
        <w:rPr>
          <w:rStyle w:val="FootnoteReference"/>
        </w:rPr>
        <w:footnoteReference w:id="11550"/>
      </w:r>
      <w:r>
        <w:t xml:space="preserve"> be ashamed. Zeal will seize an untrained people, and now fire will eat the opponents.</w:t>
      </w:r>
    </w:p>
    <w:p>
      <w:r>
        <w:rPr>
          <w:b/>
        </w:rPr>
        <w:t xml:space="preserve">12 </w:t>
      </w:r>
      <w:r>
        <w:t xml:space="preserve">O Lord our God, give us peace, for you gave all things to us.</w:t>
      </w:r>
    </w:p>
    <w:p>
      <w:r>
        <w:rPr>
          <w:b/>
        </w:rPr>
        <w:t xml:space="preserve">13 </w:t>
      </w:r>
      <w:r>
        <w:t xml:space="preserve">O Lord our God, acquire us; O Lord, apart from you we know no other</w:t>
      </w:r>
      <w:r>
        <w:rPr>
          <w:rStyle w:val="FootnoteReference"/>
        </w:rPr>
        <w:footnoteReference w:id="11551"/>
      </w:r>
      <w:r>
        <w:t xml:space="preserve">; we name your name.</w:t>
      </w:r>
    </w:p>
    <w:p>
      <w:r>
        <w:rPr>
          <w:b/>
        </w:rPr>
        <w:t xml:space="preserve">14 </w:t>
      </w:r>
      <w:r>
        <w:t xml:space="preserve">But the dead</w:t>
      </w:r>
      <w:r>
        <w:rPr>
          <w:rStyle w:val="FootnoteReference"/>
        </w:rPr>
        <w:footnoteReference w:id="11552"/>
      </w:r>
      <w:r>
        <w:t xml:space="preserve"> certainly will not see life, nor the physicians certainly raise them; because of this you brought and destroyed and took away every male of them.</w:t>
      </w:r>
    </w:p>
    <w:p>
      <w:r>
        <w:rPr>
          <w:b/>
        </w:rPr>
        <w:t xml:space="preserve">15 </w:t>
      </w:r>
      <w:r>
        <w:t xml:space="preserve">Add evils to them, O Lord; add evils to all the glorious ones of the earth.</w:t>
      </w:r>
    </w:p>
    <w:p>
      <w:r>
        <w:rPr>
          <w:b/>
        </w:rPr>
        <w:t xml:space="preserve">16 </w:t>
      </w:r>
      <w:r>
        <w:t xml:space="preserve">O Lord, in affliction we remembered you; in affliction your discipline was small to us.</w:t>
      </w:r>
    </w:p>
    <w:p>
      <w:r>
        <w:rPr>
          <w:b/>
        </w:rPr>
        <w:t xml:space="preserve">17 </w:t>
      </w:r>
      <w:r>
        <w:t xml:space="preserve">And as a woman in labor comes near to bearing and in her pain cried out, so we became to your beloved because of your fear, O Lord.</w:t>
      </w:r>
    </w:p>
    <w:p>
      <w:r>
        <w:rPr>
          <w:b/>
        </w:rPr>
        <w:t xml:space="preserve">18 </w:t>
      </w:r>
      <w:r>
        <w:t xml:space="preserve">In the womb we conceived and were in labor and gave birth to a spirit of your salvation. We worked on the earth, but the dwellers on the earth will fall.</w:t>
      </w:r>
    </w:p>
    <w:p>
      <w:r>
        <w:rPr>
          <w:b/>
        </w:rPr>
        <w:t xml:space="preserve">19 </w:t>
      </w:r>
      <w:r>
        <w:t xml:space="preserve">The dead will rise and those in the tombs will be raised, and those in the earth</w:t>
      </w:r>
      <w:r>
        <w:rPr>
          <w:rStyle w:val="FootnoteReference"/>
        </w:rPr>
        <w:footnoteReference w:id="11553"/>
      </w:r>
      <w:r>
        <w:t xml:space="preserve"> will rejoice, for the dew from you is healing to them, but the land of the ungodly will fall.</w:t>
      </w:r>
    </w:p>
    <w:p>
      <w:r>
        <w:rPr>
          <w:b/>
        </w:rPr>
        <w:t xml:space="preserve">20 </w:t>
      </w:r>
      <w:r>
        <w:t xml:space="preserve">Go, my people, enter</w:t>
      </w:r>
      <w:r>
        <w:rPr>
          <w:rStyle w:val="FootnoteReference"/>
        </w:rPr>
        <w:footnoteReference w:id="11554"/>
      </w:r>
      <w:r>
        <w:t xml:space="preserve"> your chambers, shut your door, hide yourself a little, as much as little, until the anger of the Lord passes.</w:t>
      </w:r>
    </w:p>
    <w:p>
      <w:r>
        <w:rPr>
          <w:b/>
        </w:rPr>
        <w:t xml:space="preserve">21 </w:t>
      </w:r>
      <w:r>
        <w:t xml:space="preserve">For behold, the Lord</w:t>
      </w:r>
      <w:r>
        <w:rPr>
          <w:rStyle w:val="FootnoteReference"/>
        </w:rPr>
        <w:footnoteReference w:id="11555"/>
      </w:r>
      <w:r>
        <w:t xml:space="preserve"> from the holy place brings wrath upon the dwellers on the earth, and the earth will uncover its blood and will not cover those killed.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In that day</w:t>
      </w:r>
      <w:r>
        <w:rPr>
          <w:rStyle w:val="FootnoteReference"/>
        </w:rPr>
        <w:footnoteReference w:id="11556"/>
      </w:r>
      <w:r>
        <w:t xml:space="preserve"> God will bring the holy and great and strong sword upon the dragon, the fleeing serpent, upon the dragon, the twisted serpent, and he will kill the dragon.</w:t>
      </w:r>
    </w:p>
    <w:p>
      <w:r>
        <w:rPr>
          <w:b/>
        </w:rPr>
        <w:t xml:space="preserve">2 </w:t>
      </w:r>
      <w:r>
        <w:t xml:space="preserve">In that day, a beautiful vineyard, a desire to begin against her.</w:t>
      </w:r>
    </w:p>
    <w:p>
      <w:r>
        <w:rPr>
          <w:b/>
        </w:rPr>
        <w:t xml:space="preserve">3 </w:t>
      </w:r>
      <w:r>
        <w:t xml:space="preserve">I, a strong city, a city under siege, water</w:t>
      </w:r>
      <w:r>
        <w:rPr>
          <w:rStyle w:val="FootnoteReference"/>
        </w:rPr>
        <w:footnoteReference w:id="11557"/>
      </w:r>
      <w:r>
        <w:t xml:space="preserve"> her in vain; for by night she will be captured, and by day the wall will fall.</w:t>
      </w:r>
    </w:p>
    <w:p>
      <w:r>
        <w:rPr>
          <w:b/>
        </w:rPr>
        <w:t xml:space="preserve">4 </w:t>
      </w:r>
      <w:r>
        <w:t xml:space="preserve">There is none who did not seize it. Who will set me to guard stubble in the field? For this war I rejected it; therefore the Lord God did all the things he ordered. I have been burned up.</w:t>
      </w:r>
    </w:p>
    <w:p>
      <w:r>
        <w:rPr>
          <w:b/>
        </w:rPr>
        <w:t xml:space="preserve">5 </w:t>
      </w:r>
      <w:r>
        <w:t xml:space="preserve">Those dwelling in it will cry, Let us make peace to him, let us make peace.</w:t>
      </w:r>
    </w:p>
    <w:p>
      <w:r>
        <w:rPr>
          <w:b/>
        </w:rPr>
        <w:t xml:space="preserve">6 </w:t>
      </w:r>
      <w:r>
        <w:t xml:space="preserve">Those coming, sons of Jacob; Israel will sprout and blossom, and the inhabited world will be filled with his fruit.</w:t>
      </w:r>
    </w:p>
    <w:p>
      <w:r>
        <w:rPr>
          <w:b/>
        </w:rPr>
        <w:t xml:space="preserve">7 </w:t>
      </w:r>
      <w:r>
        <w:t xml:space="preserve">Was he struck as he struck? And thus will he be struck? And as he killed, thus will he be killed?</w:t>
      </w:r>
    </w:p>
    <w:p>
      <w:r>
        <w:rPr>
          <w:b/>
        </w:rPr>
        <w:t xml:space="preserve">8 </w:t>
      </w:r>
      <w:r>
        <w:t xml:space="preserve">Warring and reproaching he will send them out. Were not you the one plotting with the harsh spirit to kill them with a spirit of anger?</w:t>
      </w:r>
    </w:p>
    <w:p>
      <w:r>
        <w:rPr>
          <w:b/>
        </w:rPr>
        <w:t xml:space="preserve">9 </w:t>
      </w:r>
      <w:r>
        <w:t xml:space="preserve">Because of this the lawlessness of Jacob will be removed, and this is his blessing whenever I take away his sin, whenever they set all the stones of the altars crushed like fine dust, and their trees and idols certainly will not remain, cut down like a distant forest.</w:t>
      </w:r>
    </w:p>
    <w:p>
      <w:r>
        <w:rPr>
          <w:b/>
        </w:rPr>
        <w:t xml:space="preserve">10 </w:t>
      </w:r>
      <w:r>
        <w:t xml:space="preserve">The inhabited flock will be left loose as an abandoned flock, and for much time it will be for a pasture, and there they will rest.</w:t>
      </w:r>
    </w:p>
    <w:p>
      <w:r>
        <w:rPr>
          <w:b/>
        </w:rPr>
        <w:t xml:space="preserve">11 </w:t>
      </w:r>
      <w:r>
        <w:t xml:space="preserve">And after a time there will be no green thing in it because it dried up. Women coming from spectacle, come. For it is</w:t>
      </w:r>
      <w:r>
        <w:rPr>
          <w:rStyle w:val="FootnoteReference"/>
        </w:rPr>
        <w:footnoteReference w:id="11558"/>
      </w:r>
      <w:r>
        <w:t xml:space="preserve"> not a people having understanding; because of this the one making them certainly will not pity, nor the one forming them show mercy.</w:t>
      </w:r>
    </w:p>
    <w:p>
      <w:r>
        <w:rPr>
          <w:b/>
        </w:rPr>
        <w:t xml:space="preserve">12 </w:t>
      </w:r>
      <w:r>
        <w:t xml:space="preserve">And it will be in that day, the Lord will fence off from the channel of the river as far as Rhinocolura, and you gather the sons of Israel one by one.</w:t>
      </w:r>
    </w:p>
    <w:p>
      <w:r>
        <w:rPr>
          <w:b/>
        </w:rPr>
        <w:t xml:space="preserve">13 </w:t>
      </w:r>
      <w:r>
        <w:t xml:space="preserve">And it</w:t>
      </w:r>
      <w:r>
        <w:rPr>
          <w:rStyle w:val="FootnoteReference"/>
        </w:rPr>
        <w:footnoteReference w:id="11559"/>
      </w:r>
      <w:r>
        <w:t xml:space="preserve"> will be in that day, they will trumpet with the great trumpet, and those lost in the land of the Assyrians and those lost in Egypt will come and bow to the Lord on the holy mountain in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Woe to the crown</w:t>
      </w:r>
      <w:r>
        <w:rPr>
          <w:rStyle w:val="FootnoteReference"/>
        </w:rPr>
        <w:footnoteReference w:id="11560"/>
      </w:r>
      <w:r>
        <w:t xml:space="preserve"> of insolence, the hired drinkers of Ephraim, the flower fallen from glory on the top of the fat mountain, the drunken ones without wine.</w:t>
      </w:r>
    </w:p>
    <w:p>
      <w:r>
        <w:rPr>
          <w:b/>
        </w:rPr>
        <w:t xml:space="preserve">2 </w:t>
      </w:r>
      <w:r>
        <w:t xml:space="preserve">Behold, strong and hard is the wrath of the Lord</w:t>
      </w:r>
      <w:r>
        <w:rPr>
          <w:rStyle w:val="FootnoteReference"/>
        </w:rPr>
        <w:footnoteReference w:id="11561"/>
      </w:r>
      <w:r>
        <w:t xml:space="preserve">, as hail rushing down without shelter, a force rushing down as much water dragging land; with hands he will make rest to the earth.</w:t>
      </w:r>
    </w:p>
    <w:p>
      <w:r>
        <w:rPr>
          <w:b/>
        </w:rPr>
        <w:t xml:space="preserve">3 </w:t>
      </w:r>
      <w:r>
        <w:t xml:space="preserve">And with feet the crown</w:t>
      </w:r>
      <w:r>
        <w:rPr>
          <w:rStyle w:val="FootnoteReference"/>
        </w:rPr>
        <w:footnoteReference w:id="11562"/>
      </w:r>
      <w:r>
        <w:t xml:space="preserve"> of insolence, the hired drinkers of Ephraim, will be trampled.</w:t>
      </w:r>
    </w:p>
    <w:p>
      <w:r>
        <w:rPr>
          <w:b/>
        </w:rPr>
        <w:t xml:space="preserve">4 </w:t>
      </w:r>
      <w:r>
        <w:t xml:space="preserve">And the fallen flower of hope of glory on the top of the high mountain will be like an early fig; the one seeing it before taking it in his hand will want to swallow it.</w:t>
      </w:r>
    </w:p>
    <w:p>
      <w:r>
        <w:rPr>
          <w:b/>
        </w:rPr>
        <w:t xml:space="preserve">5 </w:t>
      </w:r>
      <w:r>
        <w:t xml:space="preserve">In that day the Lord of hosts will be a crown of hope, a woven thing of glory, to the remnant of my people.</w:t>
      </w:r>
    </w:p>
    <w:p>
      <w:r>
        <w:rPr>
          <w:b/>
        </w:rPr>
        <w:t xml:space="preserve">6 </w:t>
      </w:r>
      <w:r>
        <w:t xml:space="preserve">They will be left upon a spirit of judgment for judgment and strength preventing slaughter.</w:t>
      </w:r>
    </w:p>
    <w:p>
      <w:r>
        <w:rPr>
          <w:b/>
        </w:rPr>
        <w:t xml:space="preserve">7 </w:t>
      </w:r>
      <w:r>
        <w:t xml:space="preserve">For these are misled with wine, they wandered because of strong drink; the priest and the prophet were astonished because of the wine, shaken from the drunkenness of strong drink, wandered. This is a vision.</w:t>
      </w:r>
    </w:p>
    <w:p>
      <w:r>
        <w:rPr>
          <w:b/>
        </w:rPr>
        <w:t xml:space="preserve">8 </w:t>
      </w:r>
      <w:r>
        <w:t xml:space="preserve">Will this one eat this counsel? For this is the counsel because of greed.</w:t>
      </w:r>
    </w:p>
    <w:p>
      <w:r>
        <w:rPr>
          <w:b/>
        </w:rPr>
        <w:t xml:space="preserve">9 </w:t>
      </w:r>
      <w:r>
        <w:t xml:space="preserve">To whom did we announce evils, and to whom did we announce a message? The ones weaned</w:t>
      </w:r>
      <w:r>
        <w:rPr>
          <w:rStyle w:val="FootnoteReference"/>
        </w:rPr>
        <w:footnoteReference w:id="11563"/>
      </w:r>
      <w:r>
        <w:t xml:space="preserve"> from milk, the ones pulled from the breast.</w:t>
      </w:r>
    </w:p>
    <w:p>
      <w:r>
        <w:rPr>
          <w:b/>
        </w:rPr>
        <w:t xml:space="preserve">10 </w:t>
      </w:r>
      <w:r>
        <w:t xml:space="preserve">Expect affliction upon affliction, hope upon hope, yet a little, yet a little.</w:t>
      </w:r>
    </w:p>
    <w:p>
      <w:r>
        <w:rPr>
          <w:b/>
        </w:rPr>
        <w:t xml:space="preserve">11 </w:t>
      </w:r>
      <w:r>
        <w:t xml:space="preserve">By contempt of lips, by another tongue, because they will speak to this people,</w:t>
      </w:r>
    </w:p>
    <w:p>
      <w:r>
        <w:rPr>
          <w:b/>
        </w:rPr>
        <w:t xml:space="preserve">12 </w:t>
      </w:r>
      <w:r>
        <w:t xml:space="preserve">saying to it, This rest to a hungry one, and this crushing; and they did not want to hear.</w:t>
      </w:r>
    </w:p>
    <w:p>
      <w:r>
        <w:rPr>
          <w:b/>
        </w:rPr>
        <w:t xml:space="preserve">13 </w:t>
      </w:r>
      <w:r>
        <w:t xml:space="preserve">And the oracle of the Lord God will be to them, affliction upon affliction, hope upon hope, yet a little, yet a little, so that they may go and fall backward and be in danger and be crushed and captured.</w:t>
      </w:r>
    </w:p>
    <w:p>
      <w:r>
        <w:rPr>
          <w:b/>
        </w:rPr>
        <w:t xml:space="preserve">14 </w:t>
      </w:r>
      <w:r>
        <w:t xml:space="preserve">Therefore hear the word of the Lord, you afflicted men and rulers of this people in Jerusalem,</w:t>
      </w:r>
    </w:p>
    <w:p>
      <w:r>
        <w:rPr>
          <w:b/>
        </w:rPr>
        <w:t xml:space="preserve">15 </w:t>
      </w:r>
      <w:r>
        <w:t xml:space="preserve">because you said, We made a covenant with Hades and agreements with death. A storm carried along, if it passes, certainly will not come upon us. We set falsehood as our hope, and by a lie we will be covered.</w:t>
      </w:r>
    </w:p>
    <w:p>
      <w:r>
        <w:rPr>
          <w:b/>
        </w:rPr>
        <w:t xml:space="preserve">16 </w:t>
      </w:r>
      <w:r>
        <w:t xml:space="preserve">Therefore thus says the Lord: Behold</w:t>
      </w:r>
      <w:r>
        <w:rPr>
          <w:rStyle w:val="FootnoteReference"/>
        </w:rPr>
        <w:footnoteReference w:id="11564"/>
      </w:r>
      <w:r>
        <w:t xml:space="preserve">, I cast into the foundations of Zion a costly, chosen, precious cornerstone into her foundations, and the one believing on him certainly will not be put to shame.</w:t>
      </w:r>
    </w:p>
    <w:p>
      <w:r>
        <w:rPr>
          <w:b/>
        </w:rPr>
        <w:t xml:space="preserve">17 </w:t>
      </w:r>
      <w:r>
        <w:t xml:space="preserve">And I will set judgment</w:t>
      </w:r>
      <w:r>
        <w:rPr>
          <w:rStyle w:val="FootnoteReference"/>
        </w:rPr>
        <w:footnoteReference w:id="11565"/>
      </w:r>
      <w:r>
        <w:t xml:space="preserve"> into hope, and my mercy into scales, and those trusting vainly in falsehood, a storm certainly will not pass you by.</w:t>
      </w:r>
    </w:p>
    <w:p>
      <w:r>
        <w:rPr>
          <w:b/>
        </w:rPr>
        <w:t xml:space="preserve">18 </w:t>
      </w:r>
      <w:r>
        <w:t xml:space="preserve">Will it not remove from you the covenant of death, and your hope toward Hades certainly will not remain? If a storm carried along comes upon, you will be for trampling to it.</w:t>
      </w:r>
    </w:p>
    <w:p>
      <w:r>
        <w:rPr>
          <w:b/>
        </w:rPr>
        <w:t xml:space="preserve">19 </w:t>
      </w:r>
      <w:r>
        <w:t xml:space="preserve">Whenever it passes, it will take you; morning by morning it will pass, by day and by night. The hope will be evil; learn to hear.</w:t>
      </w:r>
    </w:p>
    <w:p>
      <w:r>
        <w:rPr>
          <w:b/>
        </w:rPr>
        <w:t xml:space="preserve">20 </w:t>
      </w:r>
      <w:r>
        <w:t xml:space="preserve">Being cramped, we cannot fight; and they are weak for us to gather ourselves.</w:t>
      </w:r>
    </w:p>
    <w:p>
      <w:r>
        <w:rPr>
          <w:b/>
        </w:rPr>
        <w:t xml:space="preserve">21 </w:t>
      </w:r>
      <w:r>
        <w:t xml:space="preserve">As a mountain of the ungodly he will rise, and he will be in the valley</w:t>
      </w:r>
      <w:r>
        <w:rPr>
          <w:rStyle w:val="FootnoteReference"/>
        </w:rPr>
        <w:footnoteReference w:id="11566"/>
      </w:r>
      <w:r>
        <w:t xml:space="preserve"> of Gibeon with wrath. He will do his works, a work of bitterness; but his wrath will use a strange way, and his bitterness will be alien.</w:t>
      </w:r>
    </w:p>
    <w:p>
      <w:r>
        <w:rPr>
          <w:b/>
        </w:rPr>
        <w:t xml:space="preserve">22 </w:t>
      </w:r>
      <w:r>
        <w:t xml:space="preserve">And you, do not rejoice, nor let your bonds grow strong, because the completed and cut-short things I heard from the Lord of hosts are what he will do upon the whole earth.</w:t>
      </w:r>
    </w:p>
    <w:p>
      <w:r>
        <w:rPr>
          <w:b/>
        </w:rPr>
        <w:t xml:space="preserve">23 </w:t>
      </w:r>
      <w:r>
        <w:t xml:space="preserve">Give ear and hear my voice; pay attention and hear my words.</w:t>
      </w:r>
    </w:p>
    <w:p>
      <w:r>
        <w:rPr>
          <w:b/>
        </w:rPr>
        <w:t xml:space="preserve">24 </w:t>
      </w:r>
      <w:r>
        <w:t xml:space="preserve">Will the plowman plow the whole day, or prepare seed before working the ground?</w:t>
      </w:r>
    </w:p>
    <w:p>
      <w:r>
        <w:rPr>
          <w:b/>
        </w:rPr>
        <w:t xml:space="preserve">25 </w:t>
      </w:r>
      <w:r>
        <w:t xml:space="preserve">Is it not whenever he levels its surface, then he sows little black cumin and cumin, and again sows wheat and barley and spelt within your borders?</w:t>
      </w:r>
    </w:p>
    <w:p>
      <w:r>
        <w:rPr>
          <w:b/>
        </w:rPr>
        <w:t xml:space="preserve">26 </w:t>
      </w:r>
      <w:r>
        <w:t xml:space="preserve">And you will be disciplined with the judgment of your God and rejoice.</w:t>
      </w:r>
    </w:p>
    <w:p>
      <w:r>
        <w:rPr>
          <w:b/>
        </w:rPr>
        <w:t xml:space="preserve">27 </w:t>
      </w:r>
      <w:r>
        <w:t xml:space="preserve">For the black cumin is not threshed</w:t>
      </w:r>
      <w:r>
        <w:rPr>
          <w:rStyle w:val="FootnoteReference"/>
        </w:rPr>
        <w:footnoteReference w:id="11567"/>
      </w:r>
      <w:r>
        <w:t xml:space="preserve"> with harshness, nor a wheel of a wagon brought around on the cumin, but with a rod the black cumin is shaken out, and the cumin.</w:t>
      </w:r>
    </w:p>
    <w:p>
      <w:r>
        <w:rPr>
          <w:b/>
        </w:rPr>
        <w:t xml:space="preserve">28 </w:t>
      </w:r>
      <w:r>
        <w:t xml:space="preserve">With bread</w:t>
      </w:r>
      <w:r>
        <w:rPr>
          <w:rStyle w:val="FootnoteReference"/>
        </w:rPr>
        <w:footnoteReference w:id="11568"/>
      </w:r>
      <w:r>
        <w:t xml:space="preserve"> it will be eaten; for not forever will I be angry with you, nor the voice of my bitterness trample you.</w:t>
      </w:r>
    </w:p>
    <w:p>
      <w:r>
        <w:rPr>
          <w:b/>
        </w:rPr>
        <w:t xml:space="preserve">29 </w:t>
      </w:r>
      <w:r>
        <w:t xml:space="preserve">And these things came out from the Lord of hosts: the wonders; counsel, lift vain comfort high.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Woe, city Ariel, which David warred against. Gather produce, year upon year, for you will eat with Moab.</w:t>
      </w:r>
    </w:p>
    <w:p>
      <w:r>
        <w:rPr>
          <w:b/>
        </w:rPr>
        <w:t xml:space="preserve">2 </w:t>
      </w:r>
      <w:r>
        <w:t xml:space="preserve">For I will afflict Ariel, and its strength and its wealth will be mine.</w:t>
      </w:r>
    </w:p>
    <w:p>
      <w:r>
        <w:rPr>
          <w:b/>
        </w:rPr>
        <w:t xml:space="preserve">3 </w:t>
      </w:r>
      <w:r>
        <w:t xml:space="preserve">And I will circle around you as David and throw a palisade around you and set towers around you.</w:t>
      </w:r>
    </w:p>
    <w:p>
      <w:r>
        <w:rPr>
          <w:b/>
        </w:rPr>
        <w:t xml:space="preserve">4 </w:t>
      </w:r>
      <w:r>
        <w:t xml:space="preserve">And your words will be humbled to the earth, and your words will sink into the earth, and your voice will be as those calling from the earth, and to the ground your voice will grow weak.</w:t>
      </w:r>
    </w:p>
    <w:p>
      <w:r>
        <w:rPr>
          <w:b/>
        </w:rPr>
        <w:t xml:space="preserve">5 </w:t>
      </w:r>
      <w:r>
        <w:t xml:space="preserve">And the wealth of the ungodly will be as dust from a wheel and as carried chaff, and it will be as a moment suddenly.</w:t>
      </w:r>
    </w:p>
    <w:p>
      <w:r>
        <w:rPr>
          <w:b/>
        </w:rPr>
        <w:t xml:space="preserve">6 </w:t>
      </w:r>
      <w:r>
        <w:t xml:space="preserve">For from the Lord of hosts there will be a visitation with thunder and earthquake and a great voice, a storm carried along and a consuming flame of fire.</w:t>
      </w:r>
    </w:p>
    <w:p>
      <w:r>
        <w:rPr>
          <w:b/>
        </w:rPr>
        <w:t xml:space="preserve">7 </w:t>
      </w:r>
      <w:r>
        <w:t xml:space="preserve">And the wealth of all nations who campaigned against Ariel and all campaigning against Jerusalem and all gathered against her and afflicting her will be as one dreaming in sleep.</w:t>
      </w:r>
    </w:p>
    <w:p>
      <w:r>
        <w:rPr>
          <w:b/>
        </w:rPr>
        <w:t xml:space="preserve">8 </w:t>
      </w:r>
      <w:r>
        <w:t xml:space="preserve">And they will be as those in a sleep drinking and eating, and when they rise, their dream will be vain; and as a thirsty man dreams as if drinking, and rising still thirsts, and his soul hoped for emptiness. Thus the wealth of all nations who campaigned against Mount Zion will be.</w:t>
      </w:r>
    </w:p>
    <w:p>
      <w:r>
        <w:rPr>
          <w:b/>
        </w:rPr>
        <w:t xml:space="preserve">9 </w:t>
      </w:r>
      <w:r>
        <w:t xml:space="preserve">Grow weak and be stunned and carouse, not from strong drink nor from wine.</w:t>
      </w:r>
    </w:p>
    <w:p>
      <w:r>
        <w:rPr>
          <w:b/>
        </w:rPr>
        <w:t xml:space="preserve">10 </w:t>
      </w:r>
      <w:r>
        <w:t xml:space="preserve">Because the Lord</w:t>
      </w:r>
      <w:r>
        <w:rPr>
          <w:rStyle w:val="FootnoteReference"/>
        </w:rPr>
        <w:footnoteReference w:id="11569"/>
      </w:r>
      <w:r>
        <w:t xml:space="preserve"> has given you drink by a spirit of stupor and will shut their eyes, and their prophets and their rulers, those seeing the hidden things.</w:t>
      </w:r>
    </w:p>
    <w:p>
      <w:r>
        <w:rPr>
          <w:b/>
        </w:rPr>
        <w:t xml:space="preserve">11 </w:t>
      </w:r>
      <w:r>
        <w:t xml:space="preserve">And all these words will be to you as the words of this sealed book. If they give it to a man knowing letters, saying, Read these things, he will say, I cannot</w:t>
      </w:r>
      <w:r>
        <w:rPr>
          <w:rStyle w:val="FootnoteReference"/>
        </w:rPr>
        <w:footnoteReference w:id="11570"/>
      </w:r>
      <w:r>
        <w:t xml:space="preserve"> read, for it is sealed.</w:t>
      </w:r>
    </w:p>
    <w:p>
      <w:r>
        <w:rPr>
          <w:b/>
        </w:rPr>
        <w:t xml:space="preserve">12 </w:t>
      </w:r>
      <w:r>
        <w:t xml:space="preserve">And this book will be given into the hands of a man not knowing letters, and they will say to him, Read this, and he will say, I do not know letters.</w:t>
      </w:r>
    </w:p>
    <w:p>
      <w:r>
        <w:rPr>
          <w:b/>
        </w:rPr>
        <w:t xml:space="preserve">13 </w:t>
      </w:r>
      <w:r>
        <w:t xml:space="preserve">And the Lord said, This people draws near to me with their lips; with their lips they honor me, but their heart holds far from me. In vain they revere me, teaching commandments and teachings of men.</w:t>
      </w:r>
    </w:p>
    <w:p>
      <w:r>
        <w:rPr>
          <w:b/>
        </w:rPr>
        <w:t xml:space="preserve">14 </w:t>
      </w:r>
      <w:r>
        <w:t xml:space="preserve">Because of this, behold, I will add to move this people and will move them, and the wisdom of the wise I will destroy, and the understanding of the understanding ones I will hide.</w:t>
      </w:r>
    </w:p>
    <w:p>
      <w:r>
        <w:rPr>
          <w:b/>
        </w:rPr>
        <w:t xml:space="preserve">15 </w:t>
      </w:r>
      <w:r>
        <w:t xml:space="preserve">Woe to those making counsel deep, and not through the Lord. Woe to those making counsel in secret, and their works</w:t>
      </w:r>
      <w:r>
        <w:rPr>
          <w:rStyle w:val="FootnoteReference"/>
        </w:rPr>
        <w:footnoteReference w:id="11571"/>
      </w:r>
      <w:r>
        <w:t xml:space="preserve"> will be in darkness, and they will say, Who has seen us, and who will know us or what we do?</w:t>
      </w:r>
    </w:p>
    <w:p>
      <w:r>
        <w:rPr>
          <w:b/>
        </w:rPr>
        <w:t xml:space="preserve">16 </w:t>
      </w:r>
      <w:r>
        <w:t xml:space="preserve">Will you not be reckoned as the clay of the potter? Will the thing formed say to the one forming, You did not form me? Or the work to the one making, You did not make me intelligently?</w:t>
      </w:r>
    </w:p>
    <w:p>
      <w:r>
        <w:rPr>
          <w:b/>
        </w:rPr>
        <w:t xml:space="preserve">17 </w:t>
      </w:r>
      <w:r>
        <w:t xml:space="preserve">Yet a little, and Lebanon</w:t>
      </w:r>
      <w:r>
        <w:rPr>
          <w:rStyle w:val="FootnoteReference"/>
        </w:rPr>
        <w:footnoteReference w:id="11572"/>
      </w:r>
      <w:r>
        <w:t xml:space="preserve"> will be changed as the mountain of Carmel, and the mountain of Carmel will be reckoned as a forest.</w:t>
      </w:r>
    </w:p>
    <w:p>
      <w:r>
        <w:rPr>
          <w:b/>
        </w:rPr>
        <w:t xml:space="preserve">18 </w:t>
      </w:r>
      <w:r>
        <w:t xml:space="preserve">And in that day the deaf</w:t>
      </w:r>
      <w:r>
        <w:rPr>
          <w:rStyle w:val="FootnoteReference"/>
        </w:rPr>
        <w:footnoteReference w:id="11573"/>
      </w:r>
      <w:r>
        <w:t xml:space="preserve"> will hear words of a book, and the eyes of the blind in the darkness and the gloom will see.</w:t>
      </w:r>
    </w:p>
    <w:p>
      <w:r>
        <w:rPr>
          <w:b/>
        </w:rPr>
        <w:t xml:space="preserve">19 </w:t>
      </w:r>
      <w:r>
        <w:t xml:space="preserve">And the poor</w:t>
      </w:r>
      <w:r>
        <w:rPr>
          <w:rStyle w:val="FootnoteReference"/>
        </w:rPr>
        <w:footnoteReference w:id="11574"/>
      </w:r>
      <w:r>
        <w:t xml:space="preserve"> will exult through the Lord with gladness, and the hopeless among men will be filled with gladness.</w:t>
      </w:r>
    </w:p>
    <w:p>
      <w:r>
        <w:rPr>
          <w:b/>
        </w:rPr>
        <w:t xml:space="preserve">20 </w:t>
      </w:r>
      <w:r>
        <w:t xml:space="preserve">The lawless one failed and the proud one perished and those lawless unto evil were utterly destroyed,</w:t>
      </w:r>
    </w:p>
    <w:p>
      <w:r>
        <w:rPr>
          <w:b/>
        </w:rPr>
        <w:t xml:space="preserve">21 </w:t>
      </w:r>
      <w:r>
        <w:t xml:space="preserve">and those making men sin by a word and setting a stumbling block for all reproving in the gates and turning a righteous one aside among unjust ones.</w:t>
      </w:r>
    </w:p>
    <w:p>
      <w:r>
        <w:rPr>
          <w:b/>
        </w:rPr>
        <w:t xml:space="preserve">22 </w:t>
      </w:r>
      <w:r>
        <w:t xml:space="preserve">Therefore thus says the Lord upon the house of Jacob, whom he set apart from Abraham: Now Jacob will not be ashamed, nor now will Israel change the face.</w:t>
      </w:r>
    </w:p>
    <w:p>
      <w:r>
        <w:rPr>
          <w:b/>
        </w:rPr>
        <w:t xml:space="preserve">23 </w:t>
      </w:r>
      <w:r>
        <w:t xml:space="preserve">But when they see their children, my works because of me, they will sanctify</w:t>
      </w:r>
      <w:r>
        <w:rPr>
          <w:rStyle w:val="FootnoteReference"/>
        </w:rPr>
        <w:footnoteReference w:id="11575"/>
      </w:r>
      <w:r>
        <w:t xml:space="preserve"> my name and sanctify the Holy One of Jacob and fear the God of Israel.</w:t>
      </w:r>
    </w:p>
    <w:p>
      <w:r>
        <w:rPr>
          <w:b/>
        </w:rPr>
        <w:t xml:space="preserve">24 </w:t>
      </w:r>
      <w:r>
        <w:t xml:space="preserve">And those led astray in spirit will know understanding, and the grumblers will learn to obey, and the stammering tongues will learn to speak peace.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Woe, apostate children, thus says the Lord. You made counsel not through me and agreements not through my Spirit, to add sins upon sins,</w:t>
      </w:r>
    </w:p>
    <w:p>
      <w:r>
        <w:rPr>
          <w:b/>
        </w:rPr>
        <w:t xml:space="preserve">2 </w:t>
      </w:r>
      <w:r>
        <w:t xml:space="preserve">those going down into Egypt, but they did not ask me, to be helped under Pharaoh and sheltered under the Egyptians.</w:t>
      </w:r>
    </w:p>
    <w:p>
      <w:r>
        <w:rPr>
          <w:b/>
        </w:rPr>
        <w:t xml:space="preserve">3 </w:t>
      </w:r>
      <w:r>
        <w:t xml:space="preserve">For the shelter of Pharaoh will be to you into shame, and to those trusting in Egypt will be reproach.</w:t>
      </w:r>
    </w:p>
    <w:p>
      <w:r>
        <w:rPr>
          <w:b/>
        </w:rPr>
        <w:t xml:space="preserve">4 </w:t>
      </w:r>
      <w:r>
        <w:t xml:space="preserve">Because there are leaders in Zoan</w:t>
      </w:r>
      <w:r>
        <w:rPr>
          <w:rStyle w:val="FootnoteReference"/>
        </w:rPr>
        <w:footnoteReference w:id="11576"/>
      </w:r>
      <w:r>
        <w:t xml:space="preserve">, evil messengers; in vain they will toil.</w:t>
      </w:r>
    </w:p>
    <w:p>
      <w:r>
        <w:rPr>
          <w:b/>
        </w:rPr>
        <w:t xml:space="preserve">5 </w:t>
      </w:r>
      <w:r>
        <w:t xml:space="preserve">Toward a people who will not benefit them, neither for help nor profit, but for shame and reproach.</w:t>
      </w:r>
    </w:p>
    <w:p>
      <w:r>
        <w:rPr>
          <w:b/>
        </w:rPr>
        <w:t xml:space="preserve">6 </w:t>
      </w:r>
      <w:r>
        <w:t xml:space="preserve">The vision of four-footed beasts</w:t>
      </w:r>
      <w:r>
        <w:rPr>
          <w:rStyle w:val="FootnoteReference"/>
        </w:rPr>
        <w:footnoteReference w:id="11577"/>
      </w:r>
      <w:r>
        <w:t xml:space="preserve"> in the wilderness, in affliction and tightness: a lion and a lion's cub from there, and asps and offspring of flying asps, who carried on donkeys and camels their wealth to a nation that will not benefit them for help but for shame and reproach.</w:t>
      </w:r>
    </w:p>
    <w:p>
      <w:r>
        <w:rPr>
          <w:b/>
        </w:rPr>
        <w:t xml:space="preserve">7 </w:t>
      </w:r>
      <w:r>
        <w:t xml:space="preserve">The Egyptians</w:t>
      </w:r>
      <w:r>
        <w:rPr>
          <w:rStyle w:val="FootnoteReference"/>
        </w:rPr>
        <w:footnoteReference w:id="11578"/>
      </w:r>
      <w:r>
        <w:t xml:space="preserve"> will help you vainly and emptily. Report to them that your comfort is vanity.</w:t>
      </w:r>
    </w:p>
    <w:p>
      <w:r>
        <w:rPr>
          <w:b/>
        </w:rPr>
        <w:t xml:space="preserve">8 </w:t>
      </w:r>
      <w:r>
        <w:t xml:space="preserve">Now then sit down and write</w:t>
      </w:r>
      <w:r>
        <w:rPr>
          <w:rStyle w:val="FootnoteReference"/>
        </w:rPr>
        <w:footnoteReference w:id="11579"/>
      </w:r>
      <w:r>
        <w:t xml:space="preserve"> these things on boxwood and in a book, because these will be for the days of times and forever.</w:t>
      </w:r>
    </w:p>
    <w:p>
      <w:r>
        <w:rPr>
          <w:b/>
        </w:rPr>
        <w:t xml:space="preserve">9 </w:t>
      </w:r>
      <w:r>
        <w:t xml:space="preserve">Because this people is disobedient, lying</w:t>
      </w:r>
      <w:r>
        <w:rPr>
          <w:rStyle w:val="FootnoteReference"/>
        </w:rPr>
        <w:footnoteReference w:id="11580"/>
      </w:r>
      <w:r>
        <w:t xml:space="preserve"> sons, who did not want to hear the law of God,</w:t>
      </w:r>
    </w:p>
    <w:p>
      <w:r>
        <w:rPr>
          <w:b/>
        </w:rPr>
        <w:t xml:space="preserve">10 </w:t>
      </w:r>
      <w:r>
        <w:t xml:space="preserve">who say to the prophets, Do not announce to us, and to those seeing visions, Do not speak</w:t>
      </w:r>
      <w:r>
        <w:rPr>
          <w:rStyle w:val="FootnoteReference"/>
        </w:rPr>
        <w:footnoteReference w:id="11581"/>
      </w:r>
      <w:r>
        <w:t xml:space="preserve"> to us, but speak to us and announce to us another wandering.</w:t>
      </w:r>
    </w:p>
    <w:p>
      <w:r>
        <w:rPr>
          <w:b/>
        </w:rPr>
        <w:t xml:space="preserve">11 </w:t>
      </w:r>
      <w:r>
        <w:t xml:space="preserve">And turn us from this way, remove from us this path, and remove from us the Holy One of Israel.</w:t>
      </w:r>
    </w:p>
    <w:p>
      <w:r>
        <w:rPr>
          <w:b/>
        </w:rPr>
        <w:t xml:space="preserve">12 </w:t>
      </w:r>
      <w:r>
        <w:t xml:space="preserve">Because of this thus says the Lord, the Holy One of Israel: Because you disobeyed these words and hoped on falsehood and because you grumbled and became trusting on this word,</w:t>
      </w:r>
    </w:p>
    <w:p>
      <w:r>
        <w:rPr>
          <w:b/>
        </w:rPr>
        <w:t xml:space="preserve">13 </w:t>
      </w:r>
      <w:r>
        <w:t xml:space="preserve">because of this, this sin will be to you as a wall falling suddenly of a strong city captured, whose collapse is instantly near.</w:t>
      </w:r>
    </w:p>
    <w:p>
      <w:r>
        <w:rPr>
          <w:b/>
        </w:rPr>
        <w:t xml:space="preserve">14 </w:t>
      </w:r>
      <w:r>
        <w:t xml:space="preserve">And its fall will be as the shattering of an earthen vessel from pottery, crushed fine, so that</w:t>
      </w:r>
      <w:r>
        <w:rPr>
          <w:rStyle w:val="FootnoteReference"/>
        </w:rPr>
        <w:footnoteReference w:id="11582"/>
      </w:r>
      <w:r>
        <w:t xml:space="preserve"> one does not find a shard in them in which you may lift fire and in which draw a little water.</w:t>
      </w:r>
    </w:p>
    <w:p>
      <w:r>
        <w:rPr>
          <w:b/>
        </w:rPr>
        <w:t xml:space="preserve">15 </w:t>
      </w:r>
      <w:r>
        <w:t xml:space="preserve">Thus says the Lord, the Holy One</w:t>
      </w:r>
      <w:r>
        <w:rPr>
          <w:rStyle w:val="FootnoteReference"/>
        </w:rPr>
        <w:footnoteReference w:id="11583"/>
      </w:r>
      <w:r>
        <w:t xml:space="preserve"> of Israel: When you turn and groan, then you will be saved and know where you were whenever you trusted in vanities. Your strength became vanity, and you did not want to hear.</w:t>
      </w:r>
    </w:p>
    <w:p>
      <w:r>
        <w:rPr>
          <w:b/>
        </w:rPr>
        <w:t xml:space="preserve">16 </w:t>
      </w:r>
      <w:r>
        <w:t xml:space="preserve">But you said, We will flee on horses. Because of this you will flee. And you said, We will be riders on the swift ones. Because of this those pursuing you will be swift.</w:t>
      </w:r>
    </w:p>
    <w:p>
      <w:r>
        <w:rPr>
          <w:b/>
        </w:rPr>
        <w:t xml:space="preserve">17 </w:t>
      </w:r>
      <w:r>
        <w:t xml:space="preserve">At the voice of one, a thousand</w:t>
      </w:r>
      <w:r>
        <w:rPr>
          <w:rStyle w:val="FootnoteReference"/>
        </w:rPr>
        <w:footnoteReference w:id="11584"/>
      </w:r>
      <w:r>
        <w:t xml:space="preserve"> will flee, and at the voice of five, many will flee until you are left as a mast on a mountain and as a standard-bearer on a hill.</w:t>
      </w:r>
    </w:p>
    <w:p>
      <w:r>
        <w:rPr>
          <w:b/>
        </w:rPr>
        <w:t xml:space="preserve">18 </w:t>
      </w:r>
      <w:r>
        <w:t xml:space="preserve">And again God waits to pity you, and because of this he will be exalted to have mercy on you, because the Lord our God is judge. And where will you leave your glory? Blessed</w:t>
      </w:r>
      <w:r>
        <w:rPr>
          <w:rStyle w:val="FootnoteReference"/>
        </w:rPr>
        <w:footnoteReference w:id="11585"/>
      </w:r>
      <w:r>
        <w:t xml:space="preserve"> are the ones staying in him.</w:t>
      </w:r>
    </w:p>
    <w:p>
      <w:r>
        <w:rPr>
          <w:b/>
        </w:rPr>
        <w:t xml:space="preserve">19 </w:t>
      </w:r>
      <w:r>
        <w:t xml:space="preserve">Because a holy people will dwell</w:t>
      </w:r>
      <w:r>
        <w:rPr>
          <w:rStyle w:val="FootnoteReference"/>
        </w:rPr>
        <w:footnoteReference w:id="11586"/>
      </w:r>
      <w:r>
        <w:t xml:space="preserve"> in Zion and Jerusalem. With weeping he wept, Have mercy on me. He will pity you; at the voice of your cry, whenever he saw, he heard you.</w:t>
      </w:r>
    </w:p>
    <w:p>
      <w:r>
        <w:rPr>
          <w:b/>
        </w:rPr>
        <w:t xml:space="preserve">20 </w:t>
      </w:r>
      <w:r>
        <w:t xml:space="preserve">And the Lord will give you bread of affliction and narrow water, and those leading you astray will certainly no longer come near you, because your eyes will see the ones leading you astray.</w:t>
      </w:r>
    </w:p>
    <w:p>
      <w:r>
        <w:rPr>
          <w:b/>
        </w:rPr>
        <w:t xml:space="preserve">21 </w:t>
      </w:r>
      <w:r>
        <w:t xml:space="preserve">And your ears will hear the words of those behind you who led you astray, saying, This way, let us walk in it, whether right or left.</w:t>
      </w:r>
    </w:p>
    <w:p>
      <w:r>
        <w:rPr>
          <w:b/>
        </w:rPr>
        <w:t xml:space="preserve">22 </w:t>
      </w:r>
      <w:r>
        <w:t xml:space="preserve">And you will cast away silver-covered idols and gold-plated idols. You will make them small and winnow them like polluted water, and thrust them away as dung.</w:t>
      </w:r>
    </w:p>
    <w:p>
      <w:r>
        <w:rPr>
          <w:b/>
        </w:rPr>
        <w:t xml:space="preserve">23 </w:t>
      </w:r>
      <w:r>
        <w:t xml:space="preserve">Then there will be rain for the seed of your land, and bread from the produce of your land will be abundant and rich, and your cattle will be grazed in that day in a rich and spacious place.</w:t>
      </w:r>
    </w:p>
    <w:p>
      <w:r>
        <w:rPr>
          <w:b/>
        </w:rPr>
        <w:t xml:space="preserve">24 </w:t>
      </w:r>
      <w:r>
        <w:t xml:space="preserve">Your bulls and the oxen</w:t>
      </w:r>
      <w:r>
        <w:rPr>
          <w:rStyle w:val="FootnoteReference"/>
        </w:rPr>
        <w:footnoteReference w:id="11587"/>
      </w:r>
      <w:r>
        <w:t xml:space="preserve"> working the land will eat prepared straw mixed with barley.</w:t>
      </w:r>
    </w:p>
    <w:p>
      <w:r>
        <w:rPr>
          <w:b/>
        </w:rPr>
        <w:t xml:space="preserve">25 </w:t>
      </w:r>
      <w:r>
        <w:t xml:space="preserve">And on every high mountain and every lofty hill there will be water passing through in that day when many perish and towers fall.</w:t>
      </w:r>
    </w:p>
    <w:p>
      <w:r>
        <w:rPr>
          <w:b/>
        </w:rPr>
        <w:t xml:space="preserve">26 </w:t>
      </w:r>
      <w:r>
        <w:t xml:space="preserve">And the light of the moon</w:t>
      </w:r>
      <w:r>
        <w:rPr>
          <w:rStyle w:val="FootnoteReference"/>
        </w:rPr>
        <w:footnoteReference w:id="11588"/>
      </w:r>
      <w:r>
        <w:t xml:space="preserve"> will be as the light of the sun, and the light of the sun will be sevenfold in the day when the Lord heals the crushing of his people and will heal the pain of your blow.</w:t>
      </w:r>
    </w:p>
    <w:p>
      <w:r>
        <w:rPr>
          <w:b/>
        </w:rPr>
        <w:t xml:space="preserve">27 </w:t>
      </w:r>
      <w:r>
        <w:t xml:space="preserve">Behold, the name of the Lord comes after much time; his wrath is burning</w:t>
      </w:r>
      <w:r>
        <w:rPr>
          <w:rStyle w:val="FootnoteReference"/>
        </w:rPr>
        <w:footnoteReference w:id="11589"/>
      </w:r>
      <w:r>
        <w:t xml:space="preserve"> with glory. The oracle of his lips is an oracle full of wrath, and the anger of his wrath will eat like fire.</w:t>
      </w:r>
    </w:p>
    <w:p>
      <w:r>
        <w:rPr>
          <w:b/>
        </w:rPr>
        <w:t xml:space="preserve">28 </w:t>
      </w:r>
      <w:r>
        <w:t xml:space="preserve">And his spirit will come as water in a ravine dragging along up to the neck, and it will be divided to trouble the nations with vain wandering, and wandering will pursue them and seize them before their face.</w:t>
      </w:r>
    </w:p>
    <w:p>
      <w:r>
        <w:rPr>
          <w:b/>
        </w:rPr>
        <w:t xml:space="preserve">29 </w:t>
      </w:r>
      <w:r>
        <w:t xml:space="preserve">Must you not rejoice continually and go into my holy things continually, as those keeping feast and as those rejoicing to enter with a flute into the mountain</w:t>
      </w:r>
      <w:r>
        <w:rPr>
          <w:rStyle w:val="FootnoteReference"/>
        </w:rPr>
        <w:footnoteReference w:id="11590"/>
      </w:r>
      <w:r>
        <w:t xml:space="preserve"> of the Lord, to the God of Israel?</w:t>
      </w:r>
    </w:p>
    <w:p>
      <w:r>
        <w:rPr>
          <w:b/>
        </w:rPr>
        <w:t xml:space="preserve">30 </w:t>
      </w:r>
      <w:r>
        <w:t xml:space="preserve">And God will make the glory of his voice heard and show the wrath of his arm with fury and anger and a devouring flame; he will thunder violently, and like water and hail rushing down by force.</w:t>
      </w:r>
    </w:p>
    <w:p>
      <w:r>
        <w:rPr>
          <w:b/>
        </w:rPr>
        <w:t xml:space="preserve">31 </w:t>
      </w:r>
      <w:r>
        <w:t xml:space="preserve">For by the voice</w:t>
      </w:r>
      <w:r>
        <w:rPr>
          <w:rStyle w:val="FootnoteReference"/>
        </w:rPr>
        <w:footnoteReference w:id="11591"/>
      </w:r>
      <w:r>
        <w:t xml:space="preserve"> of the Lord the Assyrians will be defeated by the blow with which he strikes them.</w:t>
      </w:r>
    </w:p>
    <w:p>
      <w:r>
        <w:rPr>
          <w:b/>
        </w:rPr>
        <w:t xml:space="preserve">32 </w:t>
      </w:r>
      <w:r>
        <w:t xml:space="preserve">And around him there will be where there was the hope of help for him, on which he trusted. With flutes and lyres they will war against him by change of turns.</w:t>
      </w:r>
    </w:p>
    <w:p>
      <w:r>
        <w:rPr>
          <w:b/>
        </w:rPr>
        <w:t xml:space="preserve">33 </w:t>
      </w:r>
      <w:r>
        <w:t xml:space="preserve">For beforehand you will be demanded, lest perhaps a deep ravine was prepared also for you to reign, wood laid, fire and much wood; the wrath of the Lord is as a ravine burning with sulfur.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Woe to those going down to Egypt for help, those trusting in horses and in chariots, for they are many, and in horses, a very great multitude, and they were not trusting in the Holy One of Israel and did not seek God.</w:t>
      </w:r>
    </w:p>
    <w:p>
      <w:r>
        <w:rPr>
          <w:b/>
        </w:rPr>
        <w:t xml:space="preserve">2 </w:t>
      </w:r>
      <w:r>
        <w:t xml:space="preserve">And he himself, being wise, brought evils upon them, and his word certainly will not</w:t>
      </w:r>
      <w:r>
        <w:rPr>
          <w:rStyle w:val="FootnoteReference"/>
        </w:rPr>
        <w:footnoteReference w:id="11592"/>
      </w:r>
      <w:r>
        <w:t xml:space="preserve"> be nullified, and he will rise against the houses of evil men and against their vain hope.</w:t>
      </w:r>
    </w:p>
    <w:p>
      <w:r>
        <w:rPr>
          <w:b/>
        </w:rPr>
        <w:t xml:space="preserve">3 </w:t>
      </w:r>
      <w:r>
        <w:t xml:space="preserve">An Egyptian is a man and not God; horses are flesh, and there is no help. But the Lord will bring his hand upon them, and the helpers will tire and together all will perish.</w:t>
      </w:r>
    </w:p>
    <w:p>
      <w:r>
        <w:rPr>
          <w:b/>
        </w:rPr>
        <w:t xml:space="preserve">4 </w:t>
      </w:r>
      <w:r>
        <w:t xml:space="preserve">Because thus the Lord said to me: As a lion or a lion's cub roars over the prey it took and cries over it until the mountains are filled with its voice and they are defeated and the multitude of wrath is terrified, thus the Lord of hosts will come down to campaign against Mount Zion and her mountains.</w:t>
      </w:r>
    </w:p>
    <w:p>
      <w:r>
        <w:rPr>
          <w:b/>
        </w:rPr>
        <w:t xml:space="preserve">5 </w:t>
      </w:r>
      <w:r>
        <w:t xml:space="preserve">As flying birds</w:t>
      </w:r>
      <w:r>
        <w:rPr>
          <w:rStyle w:val="FootnoteReference"/>
        </w:rPr>
        <w:footnoteReference w:id="11593"/>
      </w:r>
      <w:r>
        <w:t xml:space="preserve">, thus the Lord will shield over Jerusalem and rescue and preserve and save.</w:t>
      </w:r>
    </w:p>
    <w:p>
      <w:r>
        <w:rPr>
          <w:b/>
        </w:rPr>
        <w:t xml:space="preserve">6 </w:t>
      </w:r>
      <w:r>
        <w:t xml:space="preserve">Turn</w:t>
      </w:r>
      <w:r>
        <w:rPr>
          <w:rStyle w:val="FootnoteReference"/>
        </w:rPr>
        <w:footnoteReference w:id="11594"/>
      </w:r>
      <w:r>
        <w:t xml:space="preserve"> back, you who are counseling deep and lawless counsel.</w:t>
      </w:r>
    </w:p>
    <w:p>
      <w:r>
        <w:rPr>
          <w:b/>
        </w:rPr>
        <w:t xml:space="preserve">7 </w:t>
      </w:r>
      <w:r>
        <w:t xml:space="preserve">Because in that</w:t>
      </w:r>
      <w:r>
        <w:rPr>
          <w:rStyle w:val="FootnoteReference"/>
        </w:rPr>
        <w:footnoteReference w:id="11595"/>
      </w:r>
      <w:r>
        <w:t xml:space="preserve"> day the men will reject their handmade things of silver and gold which their hands made.</w:t>
      </w:r>
    </w:p>
    <w:p>
      <w:r>
        <w:rPr>
          <w:b/>
        </w:rPr>
        <w:t xml:space="preserve">8 </w:t>
      </w:r>
      <w:r>
        <w:t xml:space="preserve">And Asshur will fall, not by the sword of man, nor will the sword of a human devour him; and he will flee, not from the face of the sword, and the young men will be for defeat.</w:t>
      </w:r>
    </w:p>
    <w:p>
      <w:r>
        <w:rPr>
          <w:b/>
        </w:rPr>
        <w:t xml:space="preserve">9 </w:t>
      </w:r>
      <w:r>
        <w:t xml:space="preserve">For they will be seized as by a trench around a rock and be defeated; but the one fleeing will be caught. Thus says the Lord: Blessed is the one having seed in Zion and a household in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t xml:space="preserve">For behold, a righteous king</w:t>
      </w:r>
      <w:r>
        <w:rPr>
          <w:rStyle w:val="FootnoteReference"/>
        </w:rPr>
        <w:footnoteReference w:id="11596"/>
      </w:r>
      <w:r>
        <w:t xml:space="preserve"> will reign, and rulers will rule with judgment.</w:t>
      </w:r>
    </w:p>
    <w:p>
      <w:r>
        <w:rPr>
          <w:b/>
        </w:rPr>
        <w:t xml:space="preserve">2 </w:t>
      </w:r>
      <w:r>
        <w:t xml:space="preserve">And the man will be hiding his words and will be hidden as from carried water, and will appear in Zion as a glorious flowing river in a thirsty land.</w:t>
      </w:r>
    </w:p>
    <w:p>
      <w:r>
        <w:rPr>
          <w:b/>
        </w:rPr>
        <w:t xml:space="preserve">3 </w:t>
      </w:r>
      <w:r>
        <w:t xml:space="preserve">And they will no longer be trusting in men, but will give their ears to hear.</w:t>
      </w:r>
    </w:p>
    <w:p>
      <w:r>
        <w:rPr>
          <w:b/>
        </w:rPr>
        <w:t xml:space="preserve">4 </w:t>
      </w:r>
      <w:r>
        <w:t xml:space="preserve">And the heart</w:t>
      </w:r>
      <w:r>
        <w:rPr>
          <w:rStyle w:val="FootnoteReference"/>
        </w:rPr>
        <w:footnoteReference w:id="11597"/>
      </w:r>
      <w:r>
        <w:t xml:space="preserve"> of the weak ones will attend to hear, and the stammering tongues will quickly learn to speak peace.</w:t>
      </w:r>
    </w:p>
    <w:p>
      <w:r>
        <w:rPr>
          <w:b/>
        </w:rPr>
        <w:t xml:space="preserve">5 </w:t>
      </w:r>
      <w:r>
        <w:t xml:space="preserve">And they will certainly no longer say to the fool, Rule; and they will certainly no longer say, Your servants, be silent.</w:t>
      </w:r>
    </w:p>
    <w:p>
      <w:r>
        <w:rPr>
          <w:b/>
        </w:rPr>
        <w:t xml:space="preserve">6 </w:t>
      </w:r>
      <w:r>
        <w:t xml:space="preserve">For the fool will speak foolish things, and his heart</w:t>
      </w:r>
      <w:r>
        <w:rPr>
          <w:rStyle w:val="FootnoteReference"/>
        </w:rPr>
        <w:footnoteReference w:id="11598"/>
      </w:r>
      <w:r>
        <w:t xml:space="preserve"> will think vain things, to finish lawless things and speak wandering against the Lord, to scatter hungry souls and make the thirsty souls empty.</w:t>
      </w:r>
    </w:p>
    <w:p>
      <w:r>
        <w:rPr>
          <w:b/>
        </w:rPr>
        <w:t xml:space="preserve">7 </w:t>
      </w:r>
      <w:r>
        <w:t xml:space="preserve">For the counsel of evil men will counsel lawless things, to destroy the humble with unjust words and scatter words of the humble in judgment.</w:t>
      </w:r>
    </w:p>
    <w:p>
      <w:r>
        <w:rPr>
          <w:b/>
        </w:rPr>
        <w:t xml:space="preserve">8 </w:t>
      </w:r>
      <w:r>
        <w:t xml:space="preserve">But the godly men counseled understanding things, and this counsel remains.</w:t>
      </w:r>
    </w:p>
    <w:p>
      <w:r>
        <w:rPr>
          <w:b/>
        </w:rPr>
        <w:t xml:space="preserve">9 </w:t>
      </w:r>
      <w:r>
        <w:t xml:space="preserve">Rich women, rise and hear my voice; daughters in hope, hear my words.</w:t>
      </w:r>
    </w:p>
    <w:p>
      <w:r>
        <w:rPr>
          <w:b/>
        </w:rPr>
        <w:t xml:space="preserve">10 </w:t>
      </w:r>
      <w:r>
        <w:t xml:space="preserve">Make remembrance days of a year in pain with hope; the vintage is spent, the seed ceased and will certainly no longer come.</w:t>
      </w:r>
    </w:p>
    <w:p>
      <w:r>
        <w:rPr>
          <w:b/>
        </w:rPr>
        <w:t xml:space="preserve">11 </w:t>
      </w:r>
      <w:r>
        <w:t xml:space="preserve">Be stunned, grieve, you trusting ones; strip</w:t>
      </w:r>
      <w:r>
        <w:rPr>
          <w:rStyle w:val="FootnoteReference"/>
        </w:rPr>
        <w:footnoteReference w:id="11599"/>
      </w:r>
      <w:r>
        <w:t xml:space="preserve">, become naked, gird your loins with sackcloths.</w:t>
      </w:r>
    </w:p>
    <w:p>
      <w:r>
        <w:rPr>
          <w:b/>
        </w:rPr>
        <w:t xml:space="preserve">12 </w:t>
      </w:r>
      <w:r>
        <w:t xml:space="preserve">And beat yourselves on your breasts for a desired field and a fruit-bearing vine.</w:t>
      </w:r>
    </w:p>
    <w:p>
      <w:r>
        <w:rPr>
          <w:b/>
        </w:rPr>
        <w:t xml:space="preserve">13 </w:t>
      </w:r>
      <w:r>
        <w:t xml:space="preserve">Thorn and grass will come up on the land of my people, and from every house gladness will be taken away, the rich city.</w:t>
      </w:r>
    </w:p>
    <w:p>
      <w:r>
        <w:rPr>
          <w:b/>
        </w:rPr>
        <w:t xml:space="preserve">14 </w:t>
      </w:r>
      <w:r>
        <w:t xml:space="preserve">The abandoned houses will leave the wealth of the city and desirable houses, and the villages will be caves forever, the joy of wild donkeys, pastures of shepherds,</w:t>
      </w:r>
    </w:p>
    <w:p>
      <w:r>
        <w:rPr>
          <w:b/>
        </w:rPr>
        <w:t xml:space="preserve">15 </w:t>
      </w:r>
      <w:r>
        <w:t xml:space="preserve">until a spirit from on high comes upon you, and Carmel will be wilderness</w:t>
      </w:r>
      <w:r>
        <w:rPr>
          <w:rStyle w:val="FootnoteReference"/>
        </w:rPr>
        <w:footnoteReference w:id="11600"/>
      </w:r>
      <w:r>
        <w:t xml:space="preserve"> and Carmel will be reckoned as a forest.</w:t>
      </w:r>
    </w:p>
    <w:p>
      <w:r>
        <w:rPr>
          <w:b/>
        </w:rPr>
        <w:t xml:space="preserve">16 </w:t>
      </w:r>
      <w:r>
        <w:t xml:space="preserve">And judgment will rest in the wilderness, and righteousness will dwell in Carmel.</w:t>
      </w:r>
    </w:p>
    <w:p>
      <w:r>
        <w:rPr>
          <w:b/>
        </w:rPr>
        <w:t xml:space="preserve">17 </w:t>
      </w:r>
      <w:r>
        <w:t xml:space="preserve">And the works of righteousness will be peace, and righteousness will hold rest and trust forever.</w:t>
      </w:r>
    </w:p>
    <w:p>
      <w:r>
        <w:rPr>
          <w:b/>
        </w:rPr>
        <w:t xml:space="preserve">18 </w:t>
      </w:r>
      <w:r>
        <w:t xml:space="preserve">And his people will dwell in the city of peace and settle trusting and rest with wealth.</w:t>
      </w:r>
    </w:p>
    <w:p>
      <w:r>
        <w:rPr>
          <w:b/>
        </w:rPr>
        <w:t xml:space="preserve">19 </w:t>
      </w:r>
      <w:r>
        <w:t xml:space="preserve">And if the hail comes down, it will not come upon you, and those dwelling in the forests will be trusting as those in the plain.</w:t>
      </w:r>
    </w:p>
    <w:p>
      <w:r>
        <w:rPr>
          <w:b/>
        </w:rPr>
        <w:t xml:space="preserve">20 </w:t>
      </w:r>
      <w:r>
        <w:t xml:space="preserve">Blessed</w:t>
      </w:r>
      <w:r>
        <w:rPr>
          <w:rStyle w:val="FootnoteReference"/>
        </w:rPr>
        <w:footnoteReference w:id="11601"/>
      </w:r>
      <w:r>
        <w:t xml:space="preserve"> are those sowing over every water, where an ox and a donkey do not tread.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Woe to those making you miserable, but no one makes you miserable; and one rejecting you does not reject. Those rejecting will be captured and handed over, and as a moth on a garment, thus they will be defeated.</w:t>
      </w:r>
    </w:p>
    <w:p>
      <w:r>
        <w:rPr>
          <w:b/>
        </w:rPr>
        <w:t xml:space="preserve">2 </w:t>
      </w:r>
      <w:r>
        <w:t xml:space="preserve">Lord, have mercy on us, for on you we have trusted. The seed of the disobedient became for destruction, but our salvation</w:t>
      </w:r>
      <w:r>
        <w:rPr>
          <w:rStyle w:val="FootnoteReference"/>
        </w:rPr>
        <w:footnoteReference w:id="11602"/>
      </w:r>
      <w:r>
        <w:t xml:space="preserve"> in the time of affliction.</w:t>
      </w:r>
    </w:p>
    <w:p>
      <w:r>
        <w:rPr>
          <w:b/>
        </w:rPr>
        <w:t xml:space="preserve">3 </w:t>
      </w:r>
      <w:r>
        <w:t xml:space="preserve">At the voice of your fear peoples were astonished; from your fear the nations were scattered.</w:t>
      </w:r>
    </w:p>
    <w:p>
      <w:r>
        <w:rPr>
          <w:b/>
        </w:rPr>
        <w:t xml:space="preserve">4 </w:t>
      </w:r>
      <w:r>
        <w:t xml:space="preserve">But now your spoils will be gathered, small and great; as if someone gathers locusts, thus they will mock you.</w:t>
      </w:r>
    </w:p>
    <w:p>
      <w:r>
        <w:rPr>
          <w:b/>
        </w:rPr>
        <w:t xml:space="preserve">5 </w:t>
      </w:r>
      <w:r>
        <w:t xml:space="preserve">The Holy One is God dwelling in the heights; Zion was filled with judgment and righteousness.</w:t>
      </w:r>
    </w:p>
    <w:p>
      <w:r>
        <w:rPr>
          <w:b/>
        </w:rPr>
        <w:t xml:space="preserve">6 </w:t>
      </w:r>
      <w:r>
        <w:t xml:space="preserve">By law they will be handed over; in treasures is our salvation. There are wisdom</w:t>
      </w:r>
      <w:r>
        <w:rPr>
          <w:rStyle w:val="FootnoteReference"/>
        </w:rPr>
        <w:footnoteReference w:id="11603"/>
      </w:r>
      <w:r>
        <w:t xml:space="preserve"> and knowledge and piety toward the Lord; these are treasures of righteousness.</w:t>
      </w:r>
    </w:p>
    <w:p>
      <w:r>
        <w:rPr>
          <w:b/>
        </w:rPr>
        <w:t xml:space="preserve">7 </w:t>
      </w:r>
      <w:r>
        <w:t xml:space="preserve">Look now, in your fear they themselves will fear; those you feared will fear from you, for messengers will be sent asking peace, weeping bitterly, imploring peace.</w:t>
      </w:r>
    </w:p>
    <w:p>
      <w:r>
        <w:rPr>
          <w:b/>
        </w:rPr>
        <w:t xml:space="preserve">8 </w:t>
      </w:r>
      <w:r>
        <w:t xml:space="preserve">For their roads will be made desolate, the fear of nations ceased, and the covenant with these is removed, and you shall certainly not reckon them as men.</w:t>
      </w:r>
    </w:p>
    <w:p>
      <w:r>
        <w:rPr>
          <w:b/>
        </w:rPr>
        <w:t xml:space="preserve">9 </w:t>
      </w:r>
      <w:r>
        <w:t xml:space="preserve">The land mourned, Lebanon</w:t>
      </w:r>
      <w:r>
        <w:rPr>
          <w:rStyle w:val="FootnoteReference"/>
        </w:rPr>
        <w:footnoteReference w:id="11604"/>
      </w:r>
      <w:r>
        <w:t xml:space="preserve"> was shamed, Sharon became a marsh; Galilee and Carmel will become visible.</w:t>
      </w:r>
    </w:p>
    <w:p>
      <w:r>
        <w:rPr>
          <w:b/>
        </w:rPr>
        <w:t xml:space="preserve">10 </w:t>
      </w:r>
      <w:r>
        <w:t xml:space="preserve">Now I will rise, says the Lord; now I will be glorified; now I will be exalted.</w:t>
      </w:r>
    </w:p>
    <w:p>
      <w:r>
        <w:rPr>
          <w:b/>
        </w:rPr>
        <w:t xml:space="preserve">11 </w:t>
      </w:r>
      <w:r>
        <w:t xml:space="preserve">Now you will see, now you will perceive. The strength of your spirit will be vanity; a fire will devour you.</w:t>
      </w:r>
    </w:p>
    <w:p>
      <w:r>
        <w:rPr>
          <w:b/>
        </w:rPr>
        <w:t xml:space="preserve">12 </w:t>
      </w:r>
      <w:r>
        <w:t xml:space="preserve">And the nations will be burned as a thorn in the field thrown aside and burned.</w:t>
      </w:r>
    </w:p>
    <w:p>
      <w:r>
        <w:rPr>
          <w:b/>
        </w:rPr>
        <w:t xml:space="preserve">13 </w:t>
      </w:r>
      <w:r>
        <w:t xml:space="preserve">The ones far away will hear</w:t>
      </w:r>
      <w:r>
        <w:rPr>
          <w:rStyle w:val="FootnoteReference"/>
        </w:rPr>
        <w:footnoteReference w:id="11605"/>
      </w:r>
      <w:r>
        <w:t xml:space="preserve"> what I did; the ones near will know my strength.</w:t>
      </w:r>
    </w:p>
    <w:p>
      <w:r>
        <w:rPr>
          <w:b/>
        </w:rPr>
        <w:t xml:space="preserve">14 </w:t>
      </w:r>
      <w:r>
        <w:t xml:space="preserve">The lawless in Zion departed; trembling will seize the ungodly. Who will report to you that a fire burns? Who will report to you the eternal place?</w:t>
      </w:r>
    </w:p>
    <w:p>
      <w:r>
        <w:rPr>
          <w:b/>
        </w:rPr>
        <w:t xml:space="preserve">15 </w:t>
      </w:r>
      <w:r>
        <w:t xml:space="preserve">One walking in righteousness, speaking a straight way, hating lawlessness and injustice, shaking his hands from gifts, stopping his ears not to hear a judgment of blood, shutting his eyes not to see injustice.</w:t>
      </w:r>
    </w:p>
    <w:p>
      <w:r>
        <w:rPr>
          <w:b/>
        </w:rPr>
        <w:t xml:space="preserve">16 </w:t>
      </w:r>
      <w:r>
        <w:t xml:space="preserve">This one will dwell on high in a cave of a strong rock; bread</w:t>
      </w:r>
      <w:r>
        <w:rPr>
          <w:rStyle w:val="FootnoteReference"/>
        </w:rPr>
        <w:footnoteReference w:id="11606"/>
      </w:r>
      <w:r>
        <w:t xml:space="preserve"> will be given to him and his water will be faithful.</w:t>
      </w:r>
    </w:p>
    <w:p>
      <w:r>
        <w:rPr>
          <w:b/>
        </w:rPr>
        <w:t xml:space="preserve">17 </w:t>
      </w:r>
      <w:r>
        <w:t xml:space="preserve">You will see a king with glory, and your eyes</w:t>
      </w:r>
      <w:r>
        <w:rPr>
          <w:rStyle w:val="FootnoteReference"/>
        </w:rPr>
        <w:footnoteReference w:id="11607"/>
      </w:r>
      <w:r>
        <w:t xml:space="preserve"> will see a land from far away.</w:t>
      </w:r>
    </w:p>
    <w:p>
      <w:r>
        <w:rPr>
          <w:b/>
        </w:rPr>
        <w:t xml:space="preserve">18 </w:t>
      </w:r>
      <w:r>
        <w:t xml:space="preserve">Your soul will meditate on fear: Where are the scribes? Where are the counselors? Where is the one counting those being fed?</w:t>
      </w:r>
    </w:p>
    <w:p>
      <w:r>
        <w:rPr>
          <w:b/>
        </w:rPr>
        <w:t xml:space="preserve">19 </w:t>
      </w:r>
      <w:r>
        <w:t xml:space="preserve">Small and great people to whom they did not counsel, nor knew deep-voiced speech so as not to hear; a people despised, and there is no understanding to the listener.</w:t>
      </w:r>
    </w:p>
    <w:p>
      <w:r>
        <w:rPr>
          <w:b/>
        </w:rPr>
        <w:t xml:space="preserve">20 </w:t>
      </w:r>
      <w:r>
        <w:t xml:space="preserve">Behold Zion, the city of our salvation. Your eyes will see Jerusalem, a rich city; tents that certainly will not be shaken, nor will the pegs of her tent move forever, nor will her ropes be torn.</w:t>
      </w:r>
    </w:p>
    <w:p>
      <w:r>
        <w:rPr>
          <w:b/>
        </w:rPr>
        <w:t xml:space="preserve">21 </w:t>
      </w:r>
      <w:r>
        <w:t xml:space="preserve">Because the name of the Lord is great to you; a place</w:t>
      </w:r>
      <w:r>
        <w:rPr>
          <w:rStyle w:val="FootnoteReference"/>
        </w:rPr>
        <w:footnoteReference w:id="11608"/>
      </w:r>
      <w:r>
        <w:t xml:space="preserve"> for you will be rivers and broad and spacious channels. A ship under oars will not travel this way, nor will a vessel go through.</w:t>
      </w:r>
    </w:p>
    <w:p>
      <w:r>
        <w:rPr>
          <w:b/>
        </w:rPr>
        <w:t xml:space="preserve">22 </w:t>
      </w:r>
      <w:r>
        <w:t xml:space="preserve">For my God is great; he will not pass me by. The Lord our judge, the Lord our ruler, the Lord our king, the Lord himself will save us.</w:t>
      </w:r>
    </w:p>
    <w:p>
      <w:r>
        <w:rPr>
          <w:b/>
        </w:rPr>
        <w:t xml:space="preserve">23 </w:t>
      </w:r>
      <w:r>
        <w:t xml:space="preserve">Your ropes were torn, because your mast was not strengthened; it bent, will not loosen the sails, will not lift a signal until it is handed over for plunder. Therefore many lame ones will make plunder.</w:t>
      </w:r>
    </w:p>
    <w:p>
      <w:r>
        <w:rPr>
          <w:b/>
        </w:rPr>
        <w:t xml:space="preserve">24 </w:t>
      </w:r>
      <w:r>
        <w:t xml:space="preserve">And the people dwelling in them will certainly not say, I am weary, for their sin has been forgiven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t xml:space="preserve">Come near, nations, and hear; rulers, hear. Let the earth and those in it hear, the inhabited world and the people in it.</w:t>
      </w:r>
    </w:p>
    <w:p>
      <w:r>
        <w:rPr>
          <w:b/>
        </w:rPr>
        <w:t xml:space="preserve">2 </w:t>
      </w:r>
      <w:r>
        <w:t xml:space="preserve">Because the wrath of the Lord is upon all the nations, and anger is upon their number, to destroy them and hand them over into slaughter.</w:t>
      </w:r>
    </w:p>
    <w:p>
      <w:r>
        <w:rPr>
          <w:b/>
        </w:rPr>
        <w:t xml:space="preserve">3 </w:t>
      </w:r>
      <w:r>
        <w:t xml:space="preserve">And their wounded will be thrown out, and their dead, and their smell will go up, and the mountains</w:t>
      </w:r>
      <w:r>
        <w:rPr>
          <w:rStyle w:val="FootnoteReference"/>
        </w:rPr>
        <w:footnoteReference w:id="11609"/>
      </w:r>
      <w:r>
        <w:t xml:space="preserve"> will be soaked from their blood.</w:t>
      </w:r>
    </w:p>
    <w:p>
      <w:r>
        <w:rPr>
          <w:b/>
        </w:rPr>
        <w:t xml:space="preserve">4 </w:t>
      </w:r>
      <w:r>
        <w:t xml:space="preserve">And heaven will be rolled like a book, and all the stars will fall as leaves from a vine and as a leaf falls from a fig tree.</w:t>
      </w:r>
    </w:p>
    <w:p>
      <w:r>
        <w:rPr>
          <w:b/>
        </w:rPr>
        <w:t xml:space="preserve">5 </w:t>
      </w:r>
      <w:r>
        <w:t xml:space="preserve">My sword</w:t>
      </w:r>
      <w:r>
        <w:rPr>
          <w:rStyle w:val="FootnoteReference"/>
        </w:rPr>
        <w:footnoteReference w:id="11610"/>
      </w:r>
      <w:r>
        <w:t xml:space="preserve"> became drunk in heaven; behold, upon Edom it will come down and upon the people of destruction with judgment.</w:t>
      </w:r>
    </w:p>
    <w:p>
      <w:r>
        <w:rPr>
          <w:b/>
        </w:rPr>
        <w:t xml:space="preserve">6 </w:t>
      </w:r>
      <w:r>
        <w:t xml:space="preserve">The sword of the Lord was filled</w:t>
      </w:r>
      <w:r>
        <w:rPr>
          <w:rStyle w:val="FootnoteReference"/>
        </w:rPr>
        <w:footnoteReference w:id="11611"/>
      </w:r>
      <w:r>
        <w:t xml:space="preserve"> with blood, fattened from the fat of lambs and from the fat of goats and rams, because there is a sacrifice to the Lord in Bozrah and a great slaughter in Edom.</w:t>
      </w:r>
    </w:p>
    <w:p>
      <w:r>
        <w:rPr>
          <w:b/>
        </w:rPr>
        <w:t xml:space="preserve">7 </w:t>
      </w:r>
      <w:r>
        <w:t xml:space="preserve">And the mighty ones will fall with them, and the rams and the bulls, and the land will be drunk from the blood, and from their fat it will be filled.</w:t>
      </w:r>
    </w:p>
    <w:p>
      <w:r>
        <w:rPr>
          <w:b/>
        </w:rPr>
        <w:t xml:space="preserve">8 </w:t>
      </w:r>
      <w:r>
        <w:t xml:space="preserve">For it is the day of judgment of the Lord and the year of repayment of judgment of Zion.</w:t>
      </w:r>
    </w:p>
    <w:p>
      <w:r>
        <w:rPr>
          <w:b/>
        </w:rPr>
        <w:t xml:space="preserve">9 </w:t>
      </w:r>
      <w:r>
        <w:t xml:space="preserve">And its ravines will be turned into pitch and its land into sulfur, and its land will be burning as pitch.</w:t>
      </w:r>
    </w:p>
    <w:p>
      <w:r>
        <w:rPr>
          <w:b/>
        </w:rPr>
        <w:t xml:space="preserve">10 </w:t>
      </w:r>
      <w:r>
        <w:t xml:space="preserve">Night and day it will not be quenched forever, and its smoke will go up forever; for generations it will be desolated and for much time.</w:t>
      </w:r>
    </w:p>
    <w:p>
      <w:r>
        <w:rPr>
          <w:b/>
        </w:rPr>
        <w:t xml:space="preserve">11 </w:t>
      </w:r>
      <w:r>
        <w:t xml:space="preserve">And birds and hedgehogs and ibises and ravens will dwell in it, and a measuring cord of desert will be cast upon it, and donkey-centaurs will dwell in it.</w:t>
      </w:r>
    </w:p>
    <w:p>
      <w:r>
        <w:rPr>
          <w:b/>
        </w:rPr>
        <w:t xml:space="preserve">12 </w:t>
      </w:r>
      <w:r>
        <w:t xml:space="preserve">Its rulers will not exist, for its kings and its rulers and its grandees will be for destruction.</w:t>
      </w:r>
    </w:p>
    <w:p>
      <w:r>
        <w:rPr>
          <w:b/>
        </w:rPr>
        <w:t xml:space="preserve">13 </w:t>
      </w:r>
      <w:r>
        <w:t xml:space="preserve">And thorny trees will spring up in their cities and in its fortresses, and it will be a camp of sirens and a courtyard of ostriches.</w:t>
      </w:r>
    </w:p>
    <w:p>
      <w:r>
        <w:rPr>
          <w:b/>
        </w:rPr>
        <w:t xml:space="preserve">14 </w:t>
      </w:r>
      <w:r>
        <w:t xml:space="preserve">And demons will meet donkey-centaurs, and one will cry to another. There donkey-centaurs will rest, for they found rest for themselves.</w:t>
      </w:r>
    </w:p>
    <w:p>
      <w:r>
        <w:rPr>
          <w:b/>
        </w:rPr>
        <w:t xml:space="preserve">15 </w:t>
      </w:r>
      <w:r>
        <w:t xml:space="preserve">There a hedgehog nested and the earth kept her children in safety. There deer met and saw each other's faces.</w:t>
      </w:r>
    </w:p>
    <w:p>
      <w:r>
        <w:rPr>
          <w:b/>
        </w:rPr>
        <w:t xml:space="preserve">16 </w:t>
      </w:r>
      <w:r>
        <w:t xml:space="preserve">By number they passed, and one of them did not perish; one did not seek</w:t>
      </w:r>
      <w:r>
        <w:rPr>
          <w:rStyle w:val="FootnoteReference"/>
        </w:rPr>
        <w:footnoteReference w:id="11612"/>
      </w:r>
      <w:r>
        <w:t xml:space="preserve"> the other, because the Lord commanded them and his spirit gathered them.</w:t>
      </w:r>
    </w:p>
    <w:p>
      <w:r>
        <w:rPr>
          <w:b/>
        </w:rPr>
        <w:t xml:space="preserve">17 </w:t>
      </w:r>
      <w:r>
        <w:t xml:space="preserve">And he himself will cast lots to them, and his hand divided to them to graze forever; you will inherit forever; through the generations of generations they will rest upon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t xml:space="preserve">Rejoice, thirsty wilderness</w:t>
      </w:r>
      <w:r>
        <w:rPr>
          <w:rStyle w:val="FootnoteReference"/>
        </w:rPr>
        <w:footnoteReference w:id="11613"/>
      </w:r>
      <w:r>
        <w:t xml:space="preserve">; let the wilderness exult and bloom as a lily.</w:t>
      </w:r>
    </w:p>
    <w:p>
      <w:r>
        <w:rPr>
          <w:b/>
        </w:rPr>
        <w:t xml:space="preserve">2 </w:t>
      </w:r>
      <w:r>
        <w:t xml:space="preserve">And the deserts of the Jordan will blossom and exult, and the glory</w:t>
      </w:r>
      <w:r>
        <w:rPr>
          <w:rStyle w:val="FootnoteReference"/>
        </w:rPr>
        <w:footnoteReference w:id="11614"/>
      </w:r>
      <w:r>
        <w:t xml:space="preserve"> of Lebanon was given to it, and the honor of Carmel, and my people will see the glory of the Lord and the height of God.</w:t>
      </w:r>
    </w:p>
    <w:p>
      <w:r>
        <w:rPr>
          <w:b/>
        </w:rPr>
        <w:t xml:space="preserve">3 </w:t>
      </w:r>
      <w:r>
        <w:t xml:space="preserve">Strengthen the loosened hands and disabled knees.</w:t>
      </w:r>
    </w:p>
    <w:p>
      <w:r>
        <w:rPr>
          <w:b/>
        </w:rPr>
        <w:t xml:space="preserve">4 </w:t>
      </w:r>
      <w:r>
        <w:t xml:space="preserve">Comfort the faint-hearted in mind; be strong</w:t>
      </w:r>
      <w:r>
        <w:rPr>
          <w:rStyle w:val="FootnoteReference"/>
        </w:rPr>
        <w:footnoteReference w:id="11615"/>
      </w:r>
      <w:r>
        <w:t xml:space="preserve">, do not fear. Behold, our God repays judgment and will himself repay; he will come and save us.</w:t>
      </w:r>
    </w:p>
    <w:p>
      <w:r>
        <w:rPr>
          <w:b/>
        </w:rPr>
        <w:t xml:space="preserve">5 </w:t>
      </w:r>
      <w:r>
        <w:t xml:space="preserve">Then the eyes</w:t>
      </w:r>
      <w:r>
        <w:rPr>
          <w:rStyle w:val="FootnoteReference"/>
        </w:rPr>
        <w:footnoteReference w:id="11616"/>
      </w:r>
      <w:r>
        <w:t xml:space="preserve"> of the blind will be opened and the ears of the deaf will hear.</w:t>
      </w:r>
    </w:p>
    <w:p>
      <w:r>
        <w:rPr>
          <w:b/>
        </w:rPr>
        <w:t xml:space="preserve">6 </w:t>
      </w:r>
      <w:r>
        <w:t xml:space="preserve">Then the lame one will leap as a deer and the tongue</w:t>
      </w:r>
      <w:r>
        <w:rPr>
          <w:rStyle w:val="FootnoteReference"/>
        </w:rPr>
        <w:footnoteReference w:id="11617"/>
      </w:r>
      <w:r>
        <w:t xml:space="preserve"> of stammerers will be clear, because water burst in the wilderness and a ravine in a thirsty land.</w:t>
      </w:r>
    </w:p>
    <w:p>
      <w:r>
        <w:rPr>
          <w:b/>
        </w:rPr>
        <w:t xml:space="preserve">7 </w:t>
      </w:r>
      <w:r>
        <w:t xml:space="preserve">And the dry place will be marshes, and in the thirsty land there will be a spring of water. There will be the joy of birds, a camp of reed and marsh.</w:t>
      </w:r>
    </w:p>
    <w:p>
      <w:r>
        <w:rPr>
          <w:b/>
        </w:rPr>
        <w:t xml:space="preserve">8 </w:t>
      </w:r>
      <w:r>
        <w:t xml:space="preserve">There will be a pure way, and it will be called a holy way, and an unclean one certainly will not pass there, nor will there be an unclean way there; but the scattered ones will walk on it and certainly will not wander.</w:t>
      </w:r>
    </w:p>
    <w:p>
      <w:r>
        <w:rPr>
          <w:b/>
        </w:rPr>
        <w:t xml:space="preserve">9 </w:t>
      </w:r>
      <w:r>
        <w:t xml:space="preserve">And a lion will not be there, nor will any of the evil beasts come up upon it, nor certainly be found there, but redeemed ones will walk in it.</w:t>
      </w:r>
    </w:p>
    <w:p>
      <w:r>
        <w:rPr>
          <w:b/>
        </w:rPr>
        <w:t xml:space="preserve">10 </w:t>
      </w:r>
      <w:r>
        <w:t xml:space="preserve">And those gathered for the Lord will return and come</w:t>
      </w:r>
      <w:r>
        <w:rPr>
          <w:rStyle w:val="FootnoteReference"/>
        </w:rPr>
        <w:footnoteReference w:id="11618"/>
      </w:r>
      <w:r>
        <w:t xml:space="preserve"> into Zion with gladness, and eternal gladness will be over their heads, for praise and exultation and gladness will seize them; pain and grief and groaning fled.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t xml:space="preserve">And it happened in the fourteenth year of the reign of Hezekiah, Sennacherib king of the Assyrians went up against the fortified cities of Judah and took them.</w:t>
      </w:r>
    </w:p>
    <w:p>
      <w:r>
        <w:rPr>
          <w:b/>
        </w:rPr>
        <w:t xml:space="preserve">2 </w:t>
      </w:r>
      <w:r>
        <w:t xml:space="preserve">And the king of the Assyrians sent</w:t>
      </w:r>
      <w:r>
        <w:rPr>
          <w:rStyle w:val="FootnoteReference"/>
        </w:rPr>
        <w:footnoteReference w:id="11619"/>
      </w:r>
      <w:r>
        <w:t xml:space="preserve"> Rabshakeh from Lachish into Jerusalem to King Hezekiah with a great force, and he stood by the conduit of the upper pool on the road of fuller's field.</w:t>
      </w:r>
    </w:p>
    <w:p>
      <w:r>
        <w:rPr>
          <w:b/>
        </w:rPr>
        <w:t xml:space="preserve">3 </w:t>
      </w:r>
      <w:r>
        <w:t xml:space="preserve">And Eliakim</w:t>
      </w:r>
      <w:r>
        <w:rPr>
          <w:rStyle w:val="FootnoteReference"/>
        </w:rPr>
        <w:footnoteReference w:id="11620"/>
      </w:r>
      <w:r>
        <w:t xml:space="preserve"> son of Hilkiah the steward went out to him, and Shebna the scribe, and Joah son of Asaph the recorder.</w:t>
      </w:r>
    </w:p>
    <w:p>
      <w:r>
        <w:rPr>
          <w:b/>
        </w:rPr>
        <w:t xml:space="preserve">4 </w:t>
      </w:r>
      <w:r>
        <w:t xml:space="preserve">And Rabshakeh said to them, Say to Hezekiah, Thus says the great king, king of the Assyrians, In what are you trusting?</w:t>
      </w:r>
    </w:p>
    <w:p>
      <w:r>
        <w:rPr>
          <w:b/>
        </w:rPr>
        <w:t xml:space="preserve">5 </w:t>
      </w:r>
      <w:r>
        <w:t xml:space="preserve">Is a battle-line made by counsel or words of lips? And now in what do you trust, that you disobey me?</w:t>
      </w:r>
    </w:p>
    <w:p>
      <w:r>
        <w:rPr>
          <w:b/>
        </w:rPr>
        <w:t xml:space="preserve">6 </w:t>
      </w:r>
      <w:r>
        <w:t xml:space="preserve">Behold, you trust in this broken reed-rod, in Egypt. Whoever leans on it, it will enter his hand. Thus is Pharaoh king of Egypt and all those trusting on him.</w:t>
      </w:r>
    </w:p>
    <w:p>
      <w:r>
        <w:rPr>
          <w:b/>
        </w:rPr>
        <w:t xml:space="preserve">7 </w:t>
      </w:r>
      <w:r>
        <w:t xml:space="preserve">But if you say, We have trusted in the Lord our God—</w:t>
      </w:r>
    </w:p>
    <w:p>
      <w:r>
        <w:rPr>
          <w:b/>
        </w:rPr>
        <w:t xml:space="preserve">8 </w:t>
      </w:r>
      <w:r>
        <w:t xml:space="preserve">now make a bargain with my lord, the king of the Assyrians, and I will give you two thousand horses, if you can give riders upon them.</w:t>
      </w:r>
    </w:p>
    <w:p>
      <w:r>
        <w:rPr>
          <w:b/>
        </w:rPr>
        <w:t xml:space="preserve">9 </w:t>
      </w:r>
      <w:r>
        <w:t xml:space="preserve">And how can you turn away the face of one governor? The ones trusting in the Egyptians are slaves for horse and rider.</w:t>
      </w:r>
    </w:p>
    <w:p>
      <w:r>
        <w:rPr>
          <w:b/>
        </w:rPr>
        <w:t xml:space="preserve">10 </w:t>
      </w:r>
      <w:r>
        <w:t xml:space="preserve">And now did we go up against this land without the Lord to war against it?</w:t>
      </w:r>
    </w:p>
    <w:p>
      <w:r>
        <w:rPr>
          <w:b/>
        </w:rPr>
        <w:t xml:space="preserve">11 </w:t>
      </w:r>
      <w:r>
        <w:t xml:space="preserve">And Eliakim and Shebna and Joah said to him, Speak to your servants in Syrian, for we hear, and do not speak to us in Judean. Why do you speak into the ears of the men on the wall?</w:t>
      </w:r>
    </w:p>
    <w:p>
      <w:r>
        <w:rPr>
          <w:b/>
        </w:rPr>
        <w:t xml:space="preserve">12 </w:t>
      </w:r>
      <w:r>
        <w:t xml:space="preserve">And Rabshakeh said to them, Was my lord not sent to speak these words to your lord or to you? Was it not rather to the men sitting on the wall, so that they may</w:t>
      </w:r>
      <w:r>
        <w:rPr>
          <w:rStyle w:val="FootnoteReference"/>
        </w:rPr>
        <w:footnoteReference w:id="11621"/>
      </w:r>
      <w:r>
        <w:t xml:space="preserve"> eat dung and drink urine with you together?</w:t>
      </w:r>
    </w:p>
    <w:p>
      <w:r>
        <w:rPr>
          <w:b/>
        </w:rPr>
        <w:t xml:space="preserve">13 </w:t>
      </w:r>
      <w:r>
        <w:t xml:space="preserve">And Rabshakeh stood and cried</w:t>
      </w:r>
      <w:r>
        <w:rPr>
          <w:rStyle w:val="FootnoteReference"/>
        </w:rPr>
        <w:footnoteReference w:id="11622"/>
      </w:r>
      <w:r>
        <w:t xml:space="preserve"> with a great voice in Judean and said, Hear the words of the great king, king of the Assyrians.</w:t>
      </w:r>
    </w:p>
    <w:p>
      <w:r>
        <w:rPr>
          <w:b/>
        </w:rPr>
        <w:t xml:space="preserve">14 </w:t>
      </w:r>
      <w:r>
        <w:t xml:space="preserve">Thus says the king: Do not let Hezekiah deceive you with words that will not be able to rescue you.</w:t>
      </w:r>
    </w:p>
    <w:p>
      <w:r>
        <w:rPr>
          <w:b/>
        </w:rPr>
        <w:t xml:space="preserve">15 </w:t>
      </w:r>
      <w:r>
        <w:t xml:space="preserve">And do not let Hezekiah say to you that God will rescue you and this city certainly will not be handed into the hand of the king of the Assyrians.</w:t>
      </w:r>
    </w:p>
    <w:p>
      <w:r>
        <w:rPr>
          <w:b/>
        </w:rPr>
        <w:t xml:space="preserve">16 </w:t>
      </w:r>
      <w:r>
        <w:t xml:space="preserve">Do not hear Hezekiah. Thus says the king of the Assyrians: If you want to be blessed, come out</w:t>
      </w:r>
      <w:r>
        <w:rPr>
          <w:rStyle w:val="FootnoteReference"/>
        </w:rPr>
        <w:footnoteReference w:id="11623"/>
      </w:r>
      <w:r>
        <w:t xml:space="preserve"> to me and eat each one his vine and his figs and drink water of your cisterns,</w:t>
      </w:r>
    </w:p>
    <w:p>
      <w:r>
        <w:rPr>
          <w:b/>
        </w:rPr>
        <w:t xml:space="preserve">17 </w:t>
      </w:r>
      <w:r>
        <w:t xml:space="preserve">until I come</w:t>
      </w:r>
      <w:r>
        <w:rPr>
          <w:rStyle w:val="FootnoteReference"/>
        </w:rPr>
        <w:footnoteReference w:id="11624"/>
      </w:r>
      <w:r>
        <w:t xml:space="preserve"> and take you into a land like your land, a land of grain and wine and breads and vineyards.</w:t>
      </w:r>
    </w:p>
    <w:p>
      <w:r>
        <w:rPr>
          <w:b/>
        </w:rPr>
        <w:t xml:space="preserve">18 </w:t>
      </w:r>
      <w:r>
        <w:t xml:space="preserve">Do not let Hezekiah deceive you, saying, Your God will rescue you. Did the gods of the nations each rescue its own land from the hand of the king of the Assyrians?</w:t>
      </w:r>
    </w:p>
    <w:p>
      <w:r>
        <w:rPr>
          <w:b/>
        </w:rPr>
        <w:t xml:space="preserve">19 </w:t>
      </w:r>
      <w:r>
        <w:t xml:space="preserve">Where is the god of Hamath</w:t>
      </w:r>
      <w:r>
        <w:rPr>
          <w:rStyle w:val="FootnoteReference"/>
        </w:rPr>
        <w:footnoteReference w:id="11625"/>
      </w:r>
      <w:r>
        <w:t xml:space="preserve"> and Arpad, and where is the god of the city of Sepharvaim? Were they able to rescue Samaria from my hand?</w:t>
      </w:r>
    </w:p>
    <w:p>
      <w:r>
        <w:rPr>
          <w:b/>
        </w:rPr>
        <w:t xml:space="preserve">20 </w:t>
      </w:r>
      <w:r>
        <w:t xml:space="preserve">Who of all the gods of these nations rescued its land from my hand, that the God of Jerusalem will rescue Jerusalem from my hand?</w:t>
      </w:r>
    </w:p>
    <w:p>
      <w:r>
        <w:rPr>
          <w:b/>
        </w:rPr>
        <w:t xml:space="preserve">21 </w:t>
      </w:r>
      <w:r>
        <w:t xml:space="preserve">And they were silent, and no one answered him a word, because the king commanded no one to answer.</w:t>
      </w:r>
    </w:p>
    <w:p>
      <w:r>
        <w:rPr>
          <w:b/>
        </w:rPr>
        <w:t xml:space="preserve">22 </w:t>
      </w:r>
      <w:r>
        <w:t xml:space="preserve">And Eliakim</w:t>
      </w:r>
      <w:r>
        <w:rPr>
          <w:rStyle w:val="FootnoteReference"/>
        </w:rPr>
        <w:footnoteReference w:id="11626"/>
      </w:r>
      <w:r>
        <w:t xml:space="preserve"> son of Hilkiah the steward and Shebna the scribe of force and Joah son of Asaph the recorder came to Hezekiah, tearing their tunics, and reported to him the words of Rabshakeh.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37</w:t>
      </w:r>
    </w:p>
    <w:p>
      <w:r>
        <w:rPr>
          <w:b/>
        </w:rPr>
        <w:t xml:space="preserve">1 </w:t>
      </w:r>
      <w:r>
        <w:t xml:space="preserve">And it happened when King Hezekiah heard, he tore his garments and put on sackcloth and went</w:t>
      </w:r>
      <w:r>
        <w:rPr>
          <w:rStyle w:val="FootnoteReference"/>
        </w:rPr>
        <w:footnoteReference w:id="11627"/>
      </w:r>
      <w:r>
        <w:t xml:space="preserve"> up into the house of the Lord.</w:t>
      </w:r>
    </w:p>
    <w:p>
      <w:r>
        <w:rPr>
          <w:b/>
        </w:rPr>
        <w:t xml:space="preserve">2 </w:t>
      </w:r>
      <w:r>
        <w:t xml:space="preserve">And he sent Eliakim the steward and Shebna the scribe and the elders of the priests clothed with sackcloths to Isaiah son of Amoz the prophet.</w:t>
      </w:r>
    </w:p>
    <w:p>
      <w:r>
        <w:rPr>
          <w:b/>
        </w:rPr>
        <w:t xml:space="preserve">3 </w:t>
      </w:r>
      <w:r>
        <w:t xml:space="preserve">And they said to him, Thus says Hezekiah: Today is a day of affliction and reproach and rebuke and anger, because labor came to one giving birth, but she has no strength to bear.</w:t>
      </w:r>
    </w:p>
    <w:p>
      <w:r>
        <w:rPr>
          <w:b/>
        </w:rPr>
        <w:t xml:space="preserve">4 </w:t>
      </w:r>
      <w:r>
        <w:t xml:space="preserve">May the Lord your God hear the words of Rabshakeh, whom the king of the Assyrians sent to reproach</w:t>
      </w:r>
      <w:r>
        <w:rPr>
          <w:rStyle w:val="FootnoteReference"/>
        </w:rPr>
        <w:footnoteReference w:id="11628"/>
      </w:r>
      <w:r>
        <w:t xml:space="preserve"> the living God and to reproach the words which the Lord your God heard, and you will pray to the Lord your God concerning these remnants.</w:t>
      </w:r>
    </w:p>
    <w:p>
      <w:r>
        <w:rPr>
          <w:b/>
        </w:rPr>
        <w:t xml:space="preserve">5 </w:t>
      </w:r>
      <w:r>
        <w:t xml:space="preserve">And the servants of the king came to Isaiah.</w:t>
      </w:r>
    </w:p>
    <w:p>
      <w:r>
        <w:rPr>
          <w:b/>
        </w:rPr>
        <w:t xml:space="preserve">6 </w:t>
      </w:r>
      <w:r>
        <w:t xml:space="preserve">And Isaiah said to them, Thus you will say to your lord: Thus says the Lord, Do not fear from the words which you heard, with which the envoys of the king of the Assyrians reproached me.</w:t>
      </w:r>
    </w:p>
    <w:p>
      <w:r>
        <w:rPr>
          <w:b/>
        </w:rPr>
        <w:t xml:space="preserve">7 </w:t>
      </w:r>
      <w:r>
        <w:t xml:space="preserve">Behold, I cast a spirit into him, and hearing a report he will turn back to his own land and fall by a sword in his own land.</w:t>
      </w:r>
    </w:p>
    <w:p>
      <w:r>
        <w:rPr>
          <w:b/>
        </w:rPr>
        <w:t xml:space="preserve">8 </w:t>
      </w:r>
      <w:r>
        <w:t xml:space="preserve">And Rabshakeh</w:t>
      </w:r>
      <w:r>
        <w:rPr>
          <w:rStyle w:val="FootnoteReference"/>
        </w:rPr>
        <w:footnoteReference w:id="11629"/>
      </w:r>
      <w:r>
        <w:t xml:space="preserve"> turned back and found the king besieging Libnah, and the king of the Assyrians heard that</w:t>
      </w:r>
    </w:p>
    <w:p>
      <w:r>
        <w:rPr>
          <w:b/>
        </w:rPr>
        <w:t xml:space="preserve">9 </w:t>
      </w:r>
      <w:r>
        <w:t xml:space="preserve">Tirhakah king of the Ethiopians went out to besiege him. And hearing, he turned back and sent messengers to Hezekiah, saying,</w:t>
      </w:r>
    </w:p>
    <w:p>
      <w:r>
        <w:rPr>
          <w:b/>
        </w:rPr>
        <w:t xml:space="preserve">10 </w:t>
      </w:r>
      <w:r>
        <w:t xml:space="preserve">Thus you will say to Hezekiah king of Judah: Do not let your God, on whom you trust, deceive you, saying, Jerusalem certainly will not be handed into the hands of the king of the Assyrians.</w:t>
      </w:r>
    </w:p>
    <w:p>
      <w:r>
        <w:rPr>
          <w:b/>
        </w:rPr>
        <w:t xml:space="preserve">11 </w:t>
      </w:r>
      <w:r>
        <w:t xml:space="preserve">Did you not hear what the kings of the Assyrians did to the whole earth, how they destroyed it?</w:t>
      </w:r>
    </w:p>
    <w:p>
      <w:r>
        <w:rPr>
          <w:b/>
        </w:rPr>
        <w:t xml:space="preserve">12 </w:t>
      </w:r>
      <w:r>
        <w:t xml:space="preserve">Did the gods</w:t>
      </w:r>
      <w:r>
        <w:rPr>
          <w:rStyle w:val="FootnoteReference"/>
        </w:rPr>
        <w:footnoteReference w:id="11630"/>
      </w:r>
      <w:r>
        <w:t xml:space="preserve"> of the nations rescue them, whom my fathers destroyed, Gozan and Haran and Rezeph which are in the land of Theemath?</w:t>
      </w:r>
    </w:p>
    <w:p>
      <w:r>
        <w:rPr>
          <w:b/>
        </w:rPr>
        <w:t xml:space="preserve">13 </w:t>
      </w:r>
      <w:r>
        <w:t xml:space="preserve">Where are the kings of Hamath</w:t>
      </w:r>
      <w:r>
        <w:rPr>
          <w:rStyle w:val="FootnoteReference"/>
        </w:rPr>
        <w:footnoteReference w:id="11631"/>
      </w:r>
      <w:r>
        <w:t xml:space="preserve"> and Arpad and the city of Sepharvaim, Hena</w:t>
      </w:r>
      <w:r>
        <w:rPr>
          <w:rStyle w:val="FootnoteReference"/>
        </w:rPr>
        <w:footnoteReference w:id="11632"/>
      </w:r>
      <w:r>
        <w:t xml:space="preserve">, Ivvah</w:t>
      </w:r>
      <w:r>
        <w:rPr>
          <w:rStyle w:val="FootnoteReference"/>
        </w:rPr>
        <w:footnoteReference w:id="11633"/>
      </w:r>
      <w:r>
        <w:t xml:space="preserve">?</w:t>
      </w:r>
    </w:p>
    <w:p>
      <w:r>
        <w:rPr>
          <w:b/>
        </w:rPr>
        <w:t xml:space="preserve">14 </w:t>
      </w:r>
      <w:r>
        <w:t xml:space="preserve">And Hezekiah took the book from the messengers and opened it before the Lord.</w:t>
      </w:r>
    </w:p>
    <w:p>
      <w:r>
        <w:rPr>
          <w:b/>
        </w:rPr>
        <w:t xml:space="preserve">15 </w:t>
      </w:r>
      <w:r>
        <w:t xml:space="preserve">And Hezekiah prayed to the Lord, saying,</w:t>
      </w:r>
    </w:p>
    <w:p>
      <w:r>
        <w:rPr>
          <w:b/>
        </w:rPr>
        <w:t xml:space="preserve">16 </w:t>
      </w:r>
      <w:r>
        <w:t xml:space="preserve">Lord</w:t>
      </w:r>
      <w:r>
        <w:rPr>
          <w:rStyle w:val="FootnoteReference"/>
        </w:rPr>
        <w:footnoteReference w:id="11634"/>
      </w:r>
      <w:r>
        <w:t xml:space="preserve"> of hosts, God of Israel, the one sitting upon the cherubim, you alone are God of every kingdom of the inhabited world; you made heaven and earth.</w:t>
      </w:r>
    </w:p>
    <w:p>
      <w:r>
        <w:rPr>
          <w:b/>
        </w:rPr>
        <w:t xml:space="preserve">17 </w:t>
      </w:r>
      <w:r>
        <w:t xml:space="preserve">Hear</w:t>
      </w:r>
      <w:r>
        <w:rPr>
          <w:rStyle w:val="FootnoteReference"/>
        </w:rPr>
        <w:footnoteReference w:id="11635"/>
      </w:r>
      <w:r>
        <w:t xml:space="preserve">, Lord; look, Lord; and see the words which Sennacherib sent to reproach the living God.</w:t>
      </w:r>
    </w:p>
    <w:p>
      <w:r>
        <w:rPr>
          <w:b/>
        </w:rPr>
        <w:t xml:space="preserve">18 </w:t>
      </w:r>
      <w:r>
        <w:t xml:space="preserve">For truly the kings</w:t>
      </w:r>
      <w:r>
        <w:rPr>
          <w:rStyle w:val="FootnoteReference"/>
        </w:rPr>
        <w:footnoteReference w:id="11636"/>
      </w:r>
      <w:r>
        <w:t xml:space="preserve"> of the Assyrians made the whole inhabited world and their land desolate</w:t>
      </w:r>
    </w:p>
    <w:p>
      <w:r>
        <w:rPr>
          <w:b/>
        </w:rPr>
        <w:t xml:space="preserve">19 </w:t>
      </w:r>
      <w:r>
        <w:t xml:space="preserve">and threw their idols into the fire, for they were not gods but works of the hands of men, wood and stones, and they destroyed them.</w:t>
      </w:r>
    </w:p>
    <w:p>
      <w:r>
        <w:rPr>
          <w:b/>
        </w:rPr>
        <w:t xml:space="preserve">20 </w:t>
      </w:r>
      <w:r>
        <w:t xml:space="preserve">But you, Lord our God, save us from their hand so that every kingdom of the earth may know that you alone are God.</w:t>
      </w:r>
    </w:p>
    <w:p>
      <w:r>
        <w:rPr>
          <w:b/>
        </w:rPr>
        <w:t xml:space="preserve">21 </w:t>
      </w:r>
      <w:r>
        <w:t xml:space="preserve">And Isaiah son of Amoz was sent to Hezekiah and said to him, Thus says the Lord God of Israel: I heard what you prayed to me concerning Sennacherib king of the Assyrians.</w:t>
      </w:r>
    </w:p>
    <w:p>
      <w:r>
        <w:rPr>
          <w:b/>
        </w:rPr>
        <w:t xml:space="preserve">22 </w:t>
      </w:r>
      <w:r>
        <w:t xml:space="preserve">This is the word which God spoke concerning him: The virgin</w:t>
      </w:r>
      <w:r>
        <w:rPr>
          <w:rStyle w:val="FootnoteReference"/>
        </w:rPr>
        <w:footnoteReference w:id="11637"/>
      </w:r>
      <w:r>
        <w:t xml:space="preserve"> daughter Zion despised you and mocked you; at you the daughter Jerusalem shook her head.</w:t>
      </w:r>
    </w:p>
    <w:p>
      <w:r>
        <w:rPr>
          <w:b/>
        </w:rPr>
        <w:t xml:space="preserve">23 </w:t>
      </w:r>
      <w:r>
        <w:t xml:space="preserve">Whom did you reproach and provoke? Against whom</w:t>
      </w:r>
      <w:r>
        <w:rPr>
          <w:rStyle w:val="FootnoteReference"/>
        </w:rPr>
        <w:footnoteReference w:id="11638"/>
      </w:r>
      <w:r>
        <w:t xml:space="preserve"> did you raise your voice and did not lift your eyes to height? Against the Holy One of Israel.</w:t>
      </w:r>
    </w:p>
    <w:p>
      <w:r>
        <w:rPr>
          <w:b/>
        </w:rPr>
        <w:t xml:space="preserve">24 </w:t>
      </w:r>
      <w:r>
        <w:t xml:space="preserve">Because through envoys you reproached the Lord. For you said, In the multitude of my chariots I went up into the height of mountains and into the far parts of Lebanon, and I cut down the height of its cedar and the beauty of cypress and entered the height of a region of the forest.</w:t>
      </w:r>
    </w:p>
    <w:p>
      <w:r>
        <w:rPr>
          <w:b/>
        </w:rPr>
        <w:t xml:space="preserve">25 </w:t>
      </w:r>
      <w:r>
        <w:t xml:space="preserve">And I set a bridge and made the waters desolate and every gathering of waters.</w:t>
      </w:r>
    </w:p>
    <w:p>
      <w:r>
        <w:rPr>
          <w:b/>
        </w:rPr>
        <w:t xml:space="preserve">26 </w:t>
      </w:r>
      <w:r>
        <w:t xml:space="preserve">Did you not hear long ago what I did? From ancient days I arranged them. But now I displayed it to lay the nations waste in strongholds and the dwellers in fortified cities.</w:t>
      </w:r>
    </w:p>
    <w:p>
      <w:r>
        <w:rPr>
          <w:b/>
        </w:rPr>
        <w:t xml:space="preserve">27 </w:t>
      </w:r>
      <w:r>
        <w:t xml:space="preserve">I let go the hands and they dried up and became as dry grass upon housetops and as field-grass.</w:t>
      </w:r>
    </w:p>
    <w:p>
      <w:r>
        <w:rPr>
          <w:b/>
        </w:rPr>
        <w:t xml:space="preserve">28 </w:t>
      </w:r>
      <w:r>
        <w:t xml:space="preserve">And now your resting and your going out and your coming in I know.</w:t>
      </w:r>
    </w:p>
    <w:p>
      <w:r>
        <w:rPr>
          <w:b/>
        </w:rPr>
        <w:t xml:space="preserve">29 </w:t>
      </w:r>
      <w:r>
        <w:t xml:space="preserve">And your anger, with which you raged, and your bitterness came up to me, and I will put a hook into your nose and a bridle on your lips and turn you back by the way in which you came.</w:t>
      </w:r>
    </w:p>
    <w:p>
      <w:r>
        <w:rPr>
          <w:b/>
        </w:rPr>
        <w:t xml:space="preserve">30 </w:t>
      </w:r>
      <w:r>
        <w:t xml:space="preserve">And this is the sign to you: Eat this year what you sowed, and in the second year the remnant, and in the third year sow and reap and plant vineyards and eat their fruit.</w:t>
      </w:r>
    </w:p>
    <w:p>
      <w:r>
        <w:rPr>
          <w:b/>
        </w:rPr>
        <w:t xml:space="preserve">31 </w:t>
      </w:r>
      <w:r>
        <w:t xml:space="preserve">And those left in Judah will put forth a root down and make seed upward.</w:t>
      </w:r>
    </w:p>
    <w:p>
      <w:r>
        <w:rPr>
          <w:b/>
        </w:rPr>
        <w:t xml:space="preserve">32 </w:t>
      </w:r>
      <w:r>
        <w:t xml:space="preserve">Because from Jerusalem the ones left will go out and the ones being saved from Mount Zion. The zeal</w:t>
      </w:r>
      <w:r>
        <w:rPr>
          <w:rStyle w:val="FootnoteReference"/>
        </w:rPr>
        <w:footnoteReference w:id="11639"/>
      </w:r>
      <w:r>
        <w:t xml:space="preserve"> of the Lord of hosts will do these things.</w:t>
      </w:r>
    </w:p>
    <w:p>
      <w:r>
        <w:rPr>
          <w:b/>
        </w:rPr>
        <w:t xml:space="preserve">33 </w:t>
      </w:r>
      <w:r>
        <w:t xml:space="preserve">Because of this thus says the Lord concerning the king of the Assyrians: He certainly will not enter this city, nor certainly cast</w:t>
      </w:r>
      <w:r>
        <w:rPr>
          <w:rStyle w:val="FootnoteReference"/>
        </w:rPr>
        <w:footnoteReference w:id="11640"/>
      </w:r>
      <w:r>
        <w:t xml:space="preserve"> an arrow on it, nor certainly bring a shield against it, nor certainly circle a palisade around it.</w:t>
      </w:r>
    </w:p>
    <w:p>
      <w:r>
        <w:rPr>
          <w:b/>
        </w:rPr>
        <w:t xml:space="preserve">34 </w:t>
      </w:r>
      <w:r>
        <w:t xml:space="preserve">But by the way he came, by it he will turn back, thus says the Lord.</w:t>
      </w:r>
    </w:p>
    <w:p>
      <w:r>
        <w:rPr>
          <w:b/>
        </w:rPr>
        <w:t xml:space="preserve">35 </w:t>
      </w:r>
      <w:r>
        <w:t xml:space="preserve">I will shield over this city to save it for my sake and for</w:t>
      </w:r>
      <w:r>
        <w:rPr>
          <w:rStyle w:val="FootnoteReference"/>
        </w:rPr>
        <w:footnoteReference w:id="11641"/>
      </w:r>
      <w:r>
        <w:t xml:space="preserve"> David my servant.</w:t>
      </w:r>
    </w:p>
    <w:p>
      <w:r>
        <w:rPr>
          <w:b/>
        </w:rPr>
        <w:t xml:space="preserve">36 </w:t>
      </w:r>
      <w:r>
        <w:t xml:space="preserve">And the angel</w:t>
      </w:r>
      <w:r>
        <w:rPr>
          <w:rStyle w:val="FootnoteReference"/>
        </w:rPr>
        <w:footnoteReference w:id="11642"/>
      </w:r>
      <w:r>
        <w:t xml:space="preserve"> of the Lord went out and killed from the camp of the Assyrians one hundred eighty-five thousand, and rising early in the morning they found all the bodies dead.</w:t>
      </w:r>
    </w:p>
    <w:p>
      <w:r>
        <w:rPr>
          <w:b/>
        </w:rPr>
        <w:t xml:space="preserve">37 </w:t>
      </w:r>
      <w:r>
        <w:t xml:space="preserve">And the king of the Assyrians turned back and departed and dwelt in Nineveh</w:t>
      </w:r>
      <w:r>
        <w:rPr>
          <w:rStyle w:val="FootnoteReference"/>
        </w:rPr>
        <w:footnoteReference w:id="11643"/>
      </w:r>
      <w:r>
        <w:t xml:space="preserve">.</w:t>
      </w:r>
    </w:p>
    <w:p>
      <w:r>
        <w:rPr>
          <w:b/>
        </w:rPr>
        <w:t xml:space="preserve">38 </w:t>
      </w:r>
      <w:r>
        <w:t xml:space="preserve">And while he was bowing in the house of Nisroch his ancestral god, Adrammelech and Sharezer his sons struck him with swords, but they escaped into Armenia</w:t>
      </w:r>
      <w:r>
        <w:rPr>
          <w:rStyle w:val="FootnoteReference"/>
        </w:rPr>
        <w:footnoteReference w:id="11644"/>
      </w:r>
      <w:r>
        <w:t xml:space="preserve">, and Esarhaddon his son reigned in his place.</w:t>
      </w:r>
      <w:r>
        <w:rPr>
          <w:rStyle w:val="FootnoteReference"/>
        </w:rPr>
        <w:footnoteReference w:id="11645"/>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38</w:t>
      </w:r>
    </w:p>
    <w:p>
      <w:r>
        <w:rPr>
          <w:b/>
        </w:rPr>
        <w:t xml:space="preserve">1 </w:t>
      </w:r>
      <w:r>
        <w:t xml:space="preserve">And it happened at that time Hezekiah grew weak unto death, and Isaiah</w:t>
      </w:r>
      <w:r>
        <w:rPr>
          <w:rStyle w:val="FootnoteReference"/>
        </w:rPr>
        <w:footnoteReference w:id="11646"/>
      </w:r>
      <w:r>
        <w:t xml:space="preserve"> son of Amoz the prophet came to him and said to him, Thus says the Lord: Arrange concerning your house, for you die and will not live.</w:t>
      </w:r>
    </w:p>
    <w:p>
      <w:r>
        <w:rPr>
          <w:b/>
        </w:rPr>
        <w:t xml:space="preserve">2 </w:t>
      </w:r>
      <w:r>
        <w:t xml:space="preserve">And Hezekiah turned</w:t>
      </w:r>
      <w:r>
        <w:rPr>
          <w:rStyle w:val="FootnoteReference"/>
        </w:rPr>
        <w:footnoteReference w:id="11647"/>
      </w:r>
      <w:r>
        <w:t xml:space="preserve"> his face toward the wall and prayed to the Lord,</w:t>
      </w:r>
    </w:p>
    <w:p>
      <w:r>
        <w:rPr>
          <w:b/>
        </w:rPr>
        <w:t xml:space="preserve">3 </w:t>
      </w:r>
      <w:r>
        <w:t xml:space="preserve">saying, Remember</w:t>
      </w:r>
      <w:r>
        <w:rPr>
          <w:rStyle w:val="FootnoteReference"/>
        </w:rPr>
        <w:footnoteReference w:id="11648"/>
      </w:r>
      <w:r>
        <w:t xml:space="preserve">, Lord, how I walked before you with truth in a true heart, and I did the pleasing things before you. And Hezekiah wept with great weeping.</w:t>
      </w:r>
    </w:p>
    <w:p>
      <w:r>
        <w:rPr>
          <w:b/>
        </w:rPr>
        <w:t xml:space="preserve">4 </w:t>
      </w:r>
      <w:r>
        <w:t xml:space="preserve">And the word of the Lord came to Isaiah, saying,</w:t>
      </w:r>
    </w:p>
    <w:p>
      <w:r>
        <w:rPr>
          <w:b/>
        </w:rPr>
        <w:t xml:space="preserve">5 </w:t>
      </w:r>
      <w:r>
        <w:t xml:space="preserve">Go and say</w:t>
      </w:r>
      <w:r>
        <w:rPr>
          <w:rStyle w:val="FootnoteReference"/>
        </w:rPr>
        <w:footnoteReference w:id="11649"/>
      </w:r>
      <w:r>
        <w:t xml:space="preserve"> to Hezekiah, Thus says the Lord God of David your father: I heard the voice of your prayer and saw your tears. Behold, I add fifteen years to your time,</w:t>
      </w:r>
    </w:p>
    <w:p>
      <w:r>
        <w:rPr>
          <w:b/>
        </w:rPr>
        <w:t xml:space="preserve">6 </w:t>
      </w:r>
      <w:r>
        <w:t xml:space="preserve">and from the hand of the king of the Assyrians I will save you and shield over this city.</w:t>
      </w:r>
    </w:p>
    <w:p>
      <w:r>
        <w:rPr>
          <w:b/>
        </w:rPr>
        <w:t xml:space="preserve">7 </w:t>
      </w:r>
      <w:r>
        <w:t xml:space="preserve">And this is the sign to you from the Lord that God will do this word:</w:t>
      </w:r>
    </w:p>
    <w:p>
      <w:r>
        <w:rPr>
          <w:b/>
        </w:rPr>
        <w:t xml:space="preserve">8 </w:t>
      </w:r>
      <w:r>
        <w:t xml:space="preserve">I will turn back the shadow of the stair-steps by which the sun went down, the ten steps of the house of your father; I will turn back the sun the ten steps. And the sun went up the ten steps by which the shadow had gone down.</w:t>
      </w:r>
    </w:p>
    <w:p>
      <w:r>
        <w:rPr>
          <w:b/>
        </w:rPr>
        <w:t xml:space="preserve">9 </w:t>
      </w:r>
      <w:r>
        <w:t xml:space="preserve">A prayer of Hezekiah king of Judah when he grew weak and rose from his weakness.</w:t>
      </w:r>
    </w:p>
    <w:p>
      <w:r>
        <w:rPr>
          <w:b/>
        </w:rPr>
        <w:t xml:space="preserve">10 </w:t>
      </w:r>
      <w:r>
        <w:t xml:space="preserve">I said, In the height of my days, in the gates of Hades I will leave the remaining years.</w:t>
      </w:r>
    </w:p>
    <w:p>
      <w:r>
        <w:rPr>
          <w:b/>
        </w:rPr>
        <w:t xml:space="preserve">11 </w:t>
      </w:r>
      <w:r>
        <w:t xml:space="preserve">I said, I will certainly no longer see the salvation of God on the earth; I will certainly no longer see a man.</w:t>
      </w:r>
    </w:p>
    <w:p>
      <w:r>
        <w:rPr>
          <w:b/>
        </w:rPr>
        <w:t xml:space="preserve">12 </w:t>
      </w:r>
      <w:r>
        <w:t xml:space="preserve">From my kin I left the remnant of my life; it went out and departed from me as one striking a tent. My spirit by me became as a</w:t>
      </w:r>
      <w:r>
        <w:rPr>
          <w:rStyle w:val="FootnoteReference"/>
        </w:rPr>
        <w:footnoteReference w:id="11650"/>
      </w:r>
      <w:r>
        <w:t xml:space="preserve"> weaver's web coming near to cut off; in that day I was handed over.</w:t>
      </w:r>
    </w:p>
    <w:p>
      <w:r>
        <w:rPr>
          <w:b/>
        </w:rPr>
        <w:t xml:space="preserve">13 </w:t>
      </w:r>
      <w:r>
        <w:t xml:space="preserve">Until morning, as a lion</w:t>
      </w:r>
      <w:r>
        <w:rPr>
          <w:rStyle w:val="FootnoteReference"/>
        </w:rPr>
        <w:footnoteReference w:id="11651"/>
      </w:r>
      <w:r>
        <w:t xml:space="preserve">, thus he crushed my bones. For from the day until the night I was handed over.</w:t>
      </w:r>
    </w:p>
    <w:p>
      <w:r>
        <w:rPr>
          <w:b/>
        </w:rPr>
        <w:t xml:space="preserve">14 </w:t>
      </w:r>
      <w:r>
        <w:t xml:space="preserve">As a swallow thus I will cry, and as a dove thus I will meditate, for my eyes failed from looking into the height of heaven, toward the Lord who delivered me.</w:t>
      </w:r>
    </w:p>
    <w:p>
      <w:r>
        <w:rPr>
          <w:b/>
        </w:rPr>
        <w:t xml:space="preserve">15 </w:t>
      </w:r>
      <w:r>
        <w:t xml:space="preserve">And he took away the pain of my soul.</w:t>
      </w:r>
    </w:p>
    <w:p>
      <w:r>
        <w:rPr>
          <w:b/>
        </w:rPr>
        <w:t xml:space="preserve">16 </w:t>
      </w:r>
      <w:r>
        <w:t xml:space="preserve">Lord, for concerning this it was announced to you, and you roused my breath, and having comforted, I lived.</w:t>
      </w:r>
    </w:p>
    <w:p>
      <w:r>
        <w:rPr>
          <w:b/>
        </w:rPr>
        <w:t xml:space="preserve">17 </w:t>
      </w:r>
      <w:r>
        <w:t xml:space="preserve">For you chose my soul so it might not perish, and you threw all my sins behind me.</w:t>
      </w:r>
    </w:p>
    <w:p>
      <w:r>
        <w:rPr>
          <w:b/>
        </w:rPr>
        <w:t xml:space="preserve">18 </w:t>
      </w:r>
      <w:r>
        <w:t xml:space="preserve">For those in Hades will not praise you, nor will the dead bless you, nor will those in Hades hope in your mercy.</w:t>
      </w:r>
    </w:p>
    <w:p>
      <w:r>
        <w:rPr>
          <w:b/>
        </w:rPr>
        <w:t xml:space="preserve">19 </w:t>
      </w:r>
      <w:r>
        <w:t xml:space="preserve">The living</w:t>
      </w:r>
      <w:r>
        <w:rPr>
          <w:rStyle w:val="FootnoteReference"/>
        </w:rPr>
        <w:footnoteReference w:id="11652"/>
      </w:r>
      <w:r>
        <w:t xml:space="preserve"> ones will bless you, as also I; for from today I will make children who will announce your righteousness.</w:t>
      </w:r>
    </w:p>
    <w:p>
      <w:r>
        <w:rPr>
          <w:b/>
        </w:rPr>
        <w:t xml:space="preserve">20 </w:t>
      </w:r>
      <w:r>
        <w:t xml:space="preserve">Lord of my salvation, and I will not stop blessing you with a psaltery all the days of my life before the house of God.</w:t>
      </w:r>
    </w:p>
    <w:p>
      <w:r>
        <w:rPr>
          <w:b/>
        </w:rPr>
        <w:t xml:space="preserve">21 </w:t>
      </w:r>
      <w:r>
        <w:t xml:space="preserve">And Isaiah said to Hezekiah, Take a cake of figs and rub and apply as poultice, and you will be healthy.</w:t>
      </w:r>
    </w:p>
    <w:p>
      <w:r>
        <w:rPr>
          <w:b/>
        </w:rPr>
        <w:t xml:space="preserve">22 </w:t>
      </w:r>
      <w:r>
        <w:t xml:space="preserve">And Hezekiah said, This is the sign that I will go up into the house of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39</w:t>
      </w:r>
    </w:p>
    <w:p>
      <w:r>
        <w:rPr>
          <w:b/>
        </w:rPr>
        <w:t xml:space="preserve">1 </w:t>
      </w:r>
      <w:r>
        <w:t xml:space="preserve">At that time Merodach</w:t>
      </w:r>
      <w:r>
        <w:rPr>
          <w:rStyle w:val="FootnoteReference"/>
        </w:rPr>
        <w:footnoteReference w:id="11653"/>
      </w:r>
      <w:r>
        <w:t xml:space="preserve"> son of Laadan, king</w:t>
      </w:r>
      <w:r>
        <w:rPr>
          <w:rStyle w:val="FootnoteReference"/>
        </w:rPr>
        <w:footnoteReference w:id="11654"/>
      </w:r>
      <w:r>
        <w:t xml:space="preserve"> of Babylon, sent letters and envoys and gifts to Hezekiah, for he heard that he grew weak unto death and rose.</w:t>
      </w:r>
    </w:p>
    <w:p>
      <w:r>
        <w:rPr>
          <w:b/>
        </w:rPr>
        <w:t xml:space="preserve">2 </w:t>
      </w:r>
      <w:r>
        <w:t xml:space="preserve">And Hezekiah rejoiced greatly over them and showed</w:t>
      </w:r>
      <w:r>
        <w:rPr>
          <w:rStyle w:val="FootnoteReference"/>
        </w:rPr>
        <w:footnoteReference w:id="11655"/>
      </w:r>
      <w:r>
        <w:t xml:space="preserve"> them the house of perfumes and myrrh and incenses and ointment and silver and gold and all the houses of the vessels of the treasury and all that was in his treasures, and there was nothing that Hezekiah did not show in his house.</w:t>
      </w:r>
    </w:p>
    <w:p>
      <w:r>
        <w:rPr>
          <w:b/>
        </w:rPr>
        <w:t xml:space="preserve">3 </w:t>
      </w:r>
      <w:r>
        <w:t xml:space="preserve">And Isaiah the prophet came to King Hezekiah and said to him, What do these men say, and from where did they come to you? And Hezekiah said, From a far land they came to me, from Babylon.</w:t>
      </w:r>
    </w:p>
    <w:p>
      <w:r>
        <w:rPr>
          <w:b/>
        </w:rPr>
        <w:t xml:space="preserve">4 </w:t>
      </w:r>
      <w:r>
        <w:t xml:space="preserve">And Isaiah said, What did they see in your house? And Hezekiah said, They saw all the things in my house, and there is nothing in my house which they did not see, and also the things in my treasures.</w:t>
      </w:r>
    </w:p>
    <w:p>
      <w:r>
        <w:rPr>
          <w:b/>
        </w:rPr>
        <w:t xml:space="preserve">5 </w:t>
      </w:r>
      <w:r>
        <w:t xml:space="preserve">And Isaiah said to him, Hear</w:t>
      </w:r>
      <w:r>
        <w:rPr>
          <w:rStyle w:val="FootnoteReference"/>
        </w:rPr>
        <w:footnoteReference w:id="11656"/>
      </w:r>
      <w:r>
        <w:t xml:space="preserve"> the word of the Lord of hosts.</w:t>
      </w:r>
    </w:p>
    <w:p>
      <w:r>
        <w:rPr>
          <w:b/>
        </w:rPr>
        <w:t xml:space="preserve">6 </w:t>
      </w:r>
      <w:r>
        <w:t xml:space="preserve">Behold, the days are coming, says the Lord, and they will take all the things in your house and whatever your fathers gathered until this day into Babylon, and they certainly will not leave anything, but God said,</w:t>
      </w:r>
    </w:p>
    <w:p>
      <w:r>
        <w:rPr>
          <w:b/>
        </w:rPr>
        <w:t xml:space="preserve">7 </w:t>
      </w:r>
      <w:r>
        <w:t xml:space="preserve">and from your children whom you begot they will take and make eunuchs in the house of the king of the Babylonians.</w:t>
      </w:r>
    </w:p>
    <w:p>
      <w:r>
        <w:rPr>
          <w:b/>
        </w:rPr>
        <w:t xml:space="preserve">8 </w:t>
      </w:r>
      <w:r>
        <w:t xml:space="preserve">And Hezekiah said to Isaiah, The word of the Lord which he spoke is good</w:t>
      </w:r>
      <w:r>
        <w:rPr>
          <w:rStyle w:val="FootnoteReference"/>
        </w:rPr>
        <w:footnoteReference w:id="11657"/>
      </w:r>
      <w:r>
        <w:t xml:space="preserve">. Let there be peace and righteousness in my days.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40</w:t>
      </w:r>
    </w:p>
    <w:p>
      <w:r>
        <w:rPr>
          <w:b/>
        </w:rPr>
        <w:t xml:space="preserve">1 </w:t>
      </w:r>
      <w:r>
        <w:t xml:space="preserve">Comfort</w:t>
      </w:r>
      <w:r>
        <w:rPr>
          <w:rStyle w:val="FootnoteReference"/>
        </w:rPr>
        <w:footnoteReference w:id="11658"/>
      </w:r>
      <w:r>
        <w:t xml:space="preserve">, comfort my people, says God.</w:t>
      </w:r>
    </w:p>
    <w:p>
      <w:r>
        <w:rPr>
          <w:b/>
        </w:rPr>
        <w:t xml:space="preserve">2 </w:t>
      </w:r>
      <w:r>
        <w:t xml:space="preserve">Priests, speak to the heart of Jerusalem; comfort her, because her humiliation is filled, her sin is loosed, because she received from the hand of the Lord double</w:t>
      </w:r>
      <w:r>
        <w:rPr>
          <w:rStyle w:val="FootnoteReference"/>
        </w:rPr>
        <w:footnoteReference w:id="11659"/>
      </w:r>
      <w:r>
        <w:t xml:space="preserve"> her sins.</w:t>
      </w:r>
    </w:p>
    <w:p>
      <w:r>
        <w:rPr>
          <w:b/>
        </w:rPr>
        <w:t xml:space="preserve">3 </w:t>
      </w:r>
      <w:r>
        <w:t xml:space="preserve">The voice</w:t>
      </w:r>
      <w:r>
        <w:rPr>
          <w:rStyle w:val="FootnoteReference"/>
        </w:rPr>
        <w:footnoteReference w:id="11660"/>
      </w:r>
      <w:r>
        <w:t xml:space="preserve"> of one crying in the wilderness, Prepare the way of the Lord, make straight the paths of our God.</w:t>
      </w:r>
    </w:p>
    <w:p>
      <w:r>
        <w:rPr>
          <w:b/>
        </w:rPr>
        <w:t xml:space="preserve">4 </w:t>
      </w:r>
      <w:r>
        <w:t xml:space="preserve">Every ravine will be filled, and every mountain</w:t>
      </w:r>
      <w:r>
        <w:rPr>
          <w:rStyle w:val="FootnoteReference"/>
        </w:rPr>
        <w:footnoteReference w:id="11661"/>
      </w:r>
      <w:r>
        <w:t xml:space="preserve"> and hill will be humbled, and all the crooked things will become straight, and the rough things into plains.</w:t>
      </w:r>
    </w:p>
    <w:p>
      <w:r>
        <w:rPr>
          <w:b/>
        </w:rPr>
        <w:t xml:space="preserve">5 </w:t>
      </w:r>
      <w:r>
        <w:t xml:space="preserve">And the glory</w:t>
      </w:r>
      <w:r>
        <w:rPr>
          <w:rStyle w:val="FootnoteReference"/>
        </w:rPr>
        <w:footnoteReference w:id="11662"/>
      </w:r>
      <w:r>
        <w:t xml:space="preserve"> of the Lord will be seen, and all flesh will see the salvation of God, because the Lord spoke.</w:t>
      </w:r>
    </w:p>
    <w:p>
      <w:r>
        <w:rPr>
          <w:b/>
        </w:rPr>
        <w:t xml:space="preserve">6 </w:t>
      </w:r>
      <w:r>
        <w:t xml:space="preserve">The voice of one saying, Cry out. And I said, What shall I cry? All flesh</w:t>
      </w:r>
      <w:r>
        <w:rPr>
          <w:rStyle w:val="FootnoteReference"/>
        </w:rPr>
        <w:footnoteReference w:id="11663"/>
      </w:r>
      <w:r>
        <w:t xml:space="preserve"> is grass, and all the glory of man is as a flower of grass.</w:t>
      </w:r>
    </w:p>
    <w:p>
      <w:r>
        <w:rPr>
          <w:b/>
        </w:rPr>
        <w:t xml:space="preserve">7 </w:t>
      </w:r>
      <w:r>
        <w:t xml:space="preserve">The grass dried up and the flower fell,</w:t>
      </w:r>
    </w:p>
    <w:p>
      <w:r>
        <w:rPr>
          <w:b/>
        </w:rPr>
        <w:t xml:space="preserve">8 </w:t>
      </w:r>
      <w:r>
        <w:t xml:space="preserve">but the word</w:t>
      </w:r>
      <w:r>
        <w:rPr>
          <w:rStyle w:val="FootnoteReference"/>
        </w:rPr>
        <w:footnoteReference w:id="11664"/>
      </w:r>
      <w:r>
        <w:t xml:space="preserve"> of our God remains forever.</w:t>
      </w:r>
    </w:p>
    <w:p>
      <w:r>
        <w:rPr>
          <w:b/>
        </w:rPr>
        <w:t xml:space="preserve">9 </w:t>
      </w:r>
      <w:r>
        <w:t xml:space="preserve">Go up on a high mountain, the one bringing good news to Zion. Lift your voice with strength, the one bringing good news to Jerusalem. Lift up</w:t>
      </w:r>
      <w:r>
        <w:rPr>
          <w:rStyle w:val="FootnoteReference"/>
        </w:rPr>
        <w:footnoteReference w:id="11665"/>
      </w:r>
      <w:r>
        <w:t xml:space="preserve">, do not fear; say to the cities of Judah, Behold your God.</w:t>
      </w:r>
    </w:p>
    <w:p>
      <w:r>
        <w:rPr>
          <w:b/>
        </w:rPr>
        <w:t xml:space="preserve">10 </w:t>
      </w:r>
      <w:r>
        <w:t xml:space="preserve">Behold, the Lord comes with strength, and his arm</w:t>
      </w:r>
      <w:r>
        <w:rPr>
          <w:rStyle w:val="FootnoteReference"/>
        </w:rPr>
        <w:footnoteReference w:id="11666"/>
      </w:r>
      <w:r>
        <w:t xml:space="preserve"> with lordship; behold, his wage is with him and his work before him.</w:t>
      </w:r>
    </w:p>
    <w:p>
      <w:r>
        <w:rPr>
          <w:b/>
        </w:rPr>
        <w:t xml:space="preserve">11 </w:t>
      </w:r>
      <w:r>
        <w:t xml:space="preserve">As a shepherd he will shepherd his flock, and with his arm gather lambs and comfort those carrying in the womb.</w:t>
      </w:r>
    </w:p>
    <w:p>
      <w:r>
        <w:rPr>
          <w:b/>
        </w:rPr>
        <w:t xml:space="preserve">12 </w:t>
      </w:r>
      <w:r>
        <w:t xml:space="preserve">Who measured</w:t>
      </w:r>
      <w:r>
        <w:rPr>
          <w:rStyle w:val="FootnoteReference"/>
        </w:rPr>
        <w:footnoteReference w:id="11667"/>
      </w:r>
      <w:r>
        <w:t xml:space="preserve"> the water with his hand and heaven with a span, and who set all the earth with a handful? Who set the mountains with a scale and the glens with a balance?</w:t>
      </w:r>
    </w:p>
    <w:p>
      <w:r>
        <w:rPr>
          <w:b/>
        </w:rPr>
        <w:t xml:space="preserve">13 </w:t>
      </w:r>
      <w:r>
        <w:t xml:space="preserve">Who knew the mind of the Lord, and who became his counselor, who instructs him?</w:t>
      </w:r>
    </w:p>
    <w:p>
      <w:r>
        <w:rPr>
          <w:b/>
        </w:rPr>
        <w:t xml:space="preserve">14 </w:t>
      </w:r>
      <w:r>
        <w:t xml:space="preserve">Or with whom did he take counsel and who instructed him? Or who showed him judgment? Or who showed him the way of understanding</w:t>
      </w:r>
      <w:r>
        <w:rPr>
          <w:rStyle w:val="FootnoteReference"/>
        </w:rPr>
        <w:footnoteReference w:id="11668"/>
      </w:r>
      <w:r>
        <w:t xml:space="preserve">?</w:t>
      </w:r>
    </w:p>
    <w:p>
      <w:r>
        <w:rPr>
          <w:b/>
        </w:rPr>
        <w:t xml:space="preserve">15 </w:t>
      </w:r>
      <w:r>
        <w:t xml:space="preserve">If all the nations</w:t>
      </w:r>
      <w:r>
        <w:rPr>
          <w:rStyle w:val="FootnoteReference"/>
        </w:rPr>
        <w:footnoteReference w:id="11669"/>
      </w:r>
      <w:r>
        <w:t xml:space="preserve"> were reckoned as a drop from a bucket and as the tilt of scales, then as spit they will be reckoned.</w:t>
      </w:r>
    </w:p>
    <w:p>
      <w:r>
        <w:rPr>
          <w:b/>
        </w:rPr>
        <w:t xml:space="preserve">16 </w:t>
      </w:r>
      <w:r>
        <w:t xml:space="preserve">Lebanon is not enough for burning, and all the four-footed animals are not enough for a whole burnt offering.</w:t>
      </w:r>
    </w:p>
    <w:p>
      <w:r>
        <w:rPr>
          <w:b/>
        </w:rPr>
        <w:t xml:space="preserve">17 </w:t>
      </w:r>
      <w:r>
        <w:t xml:space="preserve">And all the nations are as nothing</w:t>
      </w:r>
      <w:r>
        <w:rPr>
          <w:rStyle w:val="FootnoteReference"/>
        </w:rPr>
        <w:footnoteReference w:id="11670"/>
      </w:r>
      <w:r>
        <w:t xml:space="preserve"> and were reckoned into nothing.</w:t>
      </w:r>
    </w:p>
    <w:p>
      <w:r>
        <w:rPr>
          <w:b/>
        </w:rPr>
        <w:t xml:space="preserve">18 </w:t>
      </w:r>
      <w:r>
        <w:t xml:space="preserve">To whom did you liken the Lord, and to what likeness did you liken him?</w:t>
      </w:r>
    </w:p>
    <w:p>
      <w:r>
        <w:rPr>
          <w:b/>
        </w:rPr>
        <w:t xml:space="preserve">19 </w:t>
      </w:r>
      <w:r>
        <w:t xml:space="preserve">Did not a craftsman make an image, or a goldsmith having melted gold gilded it and construct a likeness?</w:t>
      </w:r>
    </w:p>
    <w:p>
      <w:r>
        <w:rPr>
          <w:b/>
        </w:rPr>
        <w:t xml:space="preserve">20 </w:t>
      </w:r>
      <w:r>
        <w:t xml:space="preserve">For incorrupt wood is chosen; a craftsman wisely seeks how to set his image so it not be shaken.</w:t>
      </w:r>
    </w:p>
    <w:p>
      <w:r>
        <w:rPr>
          <w:b/>
        </w:rPr>
        <w:t xml:space="preserve">21 </w:t>
      </w:r>
      <w:r>
        <w:t xml:space="preserve">Will you not know? Will you not hear? Was it not announced to you from the beginning? Did you not know the foundations of the earth?</w:t>
      </w:r>
    </w:p>
    <w:p>
      <w:r>
        <w:rPr>
          <w:b/>
        </w:rPr>
        <w:t xml:space="preserve">22 </w:t>
      </w:r>
      <w:r>
        <w:t xml:space="preserve">The one holding the circuit of the earth, and those dwelling in it as locusts, the one setting heaven as a vault and stretching it as a tent to dwell in,</w:t>
      </w:r>
    </w:p>
    <w:p>
      <w:r>
        <w:rPr>
          <w:b/>
        </w:rPr>
        <w:t xml:space="preserve">23 </w:t>
      </w:r>
      <w:r>
        <w:t xml:space="preserve">the one giving rulers to rule into nothing, and made the earth as nothing.</w:t>
      </w:r>
    </w:p>
    <w:p>
      <w:r>
        <w:rPr>
          <w:b/>
        </w:rPr>
        <w:t xml:space="preserve">24 </w:t>
      </w:r>
      <w:r>
        <w:t xml:space="preserve">For they certainly will not sow, nor plant, nor their root certainly take root in the earth; he breathed upon them and they dried up, and a storm will take them up as brushwood.</w:t>
      </w:r>
    </w:p>
    <w:p>
      <w:r>
        <w:rPr>
          <w:b/>
        </w:rPr>
        <w:t xml:space="preserve">25 </w:t>
      </w:r>
      <w:r>
        <w:t xml:space="preserve">Now then to whom did you liken me, that I shall be exalted, said the Holy One.</w:t>
      </w:r>
    </w:p>
    <w:p>
      <w:r>
        <w:rPr>
          <w:b/>
        </w:rPr>
        <w:t xml:space="preserve">26 </w:t>
      </w:r>
      <w:r>
        <w:t xml:space="preserve">Lift</w:t>
      </w:r>
      <w:r>
        <w:rPr>
          <w:rStyle w:val="FootnoteReference"/>
        </w:rPr>
        <w:footnoteReference w:id="11671"/>
      </w:r>
      <w:r>
        <w:t xml:space="preserve"> your eyes on high and see who showed all these, the one bringing out his array by number; he will call all by name. From much glory and strength of power nothing escaped you.</w:t>
      </w:r>
    </w:p>
    <w:p>
      <w:r>
        <w:rPr>
          <w:b/>
        </w:rPr>
        <w:t xml:space="preserve">27 </w:t>
      </w:r>
      <w:r>
        <w:t xml:space="preserve">So do not say, Jacob, and what did you speak, Israel? My way was hidden from God, and my God took away judgment and departed.</w:t>
      </w:r>
    </w:p>
    <w:p>
      <w:r>
        <w:rPr>
          <w:b/>
        </w:rPr>
        <w:t xml:space="preserve">28 </w:t>
      </w:r>
      <w:r>
        <w:t xml:space="preserve">And now did you not know? Did you not hear? The eternal God, the God who prepared the ends</w:t>
      </w:r>
      <w:r>
        <w:rPr>
          <w:rStyle w:val="FootnoteReference"/>
        </w:rPr>
        <w:footnoteReference w:id="11672"/>
      </w:r>
      <w:r>
        <w:t xml:space="preserve"> of the earth, will not hunger nor grow weary, nor is there finding out of his wisdom.</w:t>
      </w:r>
    </w:p>
    <w:p>
      <w:r>
        <w:rPr>
          <w:b/>
        </w:rPr>
        <w:t xml:space="preserve">29 </w:t>
      </w:r>
      <w:r>
        <w:t xml:space="preserve">Giving strength to the hungry ones and grief to those not pained.</w:t>
      </w:r>
    </w:p>
    <w:p>
      <w:r>
        <w:rPr>
          <w:b/>
        </w:rPr>
        <w:t xml:space="preserve">30 </w:t>
      </w:r>
      <w:r>
        <w:t xml:space="preserve">For the young men will hunger and grow weary, and the chosen youths will be weak.</w:t>
      </w:r>
    </w:p>
    <w:p>
      <w:r>
        <w:rPr>
          <w:b/>
        </w:rPr>
        <w:t xml:space="preserve">31 </w:t>
      </w:r>
      <w:r>
        <w:t xml:space="preserve">But those enduring for God will change strength, they will grow wings like eagles, they will run and not grow weary, they will walk and not hunger.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41</w:t>
      </w:r>
    </w:p>
    <w:p>
      <w:r>
        <w:rPr>
          <w:b/>
        </w:rPr>
        <w:t xml:space="preserve">1 </w:t>
      </w:r>
      <w:r>
        <w:t xml:space="preserve">Renew yourselves to me, islands, for the rulers will change strength. Let them come near and speak together; then let them announce judgment.</w:t>
      </w:r>
    </w:p>
    <w:p>
      <w:r>
        <w:rPr>
          <w:b/>
        </w:rPr>
        <w:t xml:space="preserve">2 </w:t>
      </w:r>
      <w:r>
        <w:t xml:space="preserve">Who raised</w:t>
      </w:r>
      <w:r>
        <w:rPr>
          <w:rStyle w:val="FootnoteReference"/>
        </w:rPr>
        <w:footnoteReference w:id="11673"/>
      </w:r>
      <w:r>
        <w:t xml:space="preserve"> righteousness from the east? He called it to his feet and it will go. He will give nations before him and astonish kings and give their swords into the earth and their bows as driven brushwood.</w:t>
      </w:r>
    </w:p>
    <w:p>
      <w:r>
        <w:rPr>
          <w:b/>
        </w:rPr>
        <w:t xml:space="preserve">3 </w:t>
      </w:r>
      <w:r>
        <w:t xml:space="preserve">And he will pursue them and pass through in peace, the way of his feet.</w:t>
      </w:r>
    </w:p>
    <w:p>
      <w:r>
        <w:rPr>
          <w:b/>
        </w:rPr>
        <w:t xml:space="preserve">4 </w:t>
      </w:r>
      <w:r>
        <w:t xml:space="preserve">Who worked and did these things? He called it from the generations of beginning. I am God, first, and in the things coming I am.</w:t>
      </w:r>
    </w:p>
    <w:p>
      <w:r>
        <w:rPr>
          <w:b/>
        </w:rPr>
        <w:t xml:space="preserve">5 </w:t>
      </w:r>
      <w:r>
        <w:t xml:space="preserve">The nations saw and feared; the ends</w:t>
      </w:r>
      <w:r>
        <w:rPr>
          <w:rStyle w:val="FootnoteReference"/>
        </w:rPr>
        <w:footnoteReference w:id="11674"/>
      </w:r>
      <w:r>
        <w:t xml:space="preserve"> of the earth drew near and came together.</w:t>
      </w:r>
    </w:p>
    <w:p>
      <w:r>
        <w:rPr>
          <w:b/>
        </w:rPr>
        <w:t xml:space="preserve">6 </w:t>
      </w:r>
      <w:r>
        <w:t xml:space="preserve">Each one judging for his neighbor and saying to his brother, Help.</w:t>
      </w:r>
    </w:p>
    <w:p>
      <w:r>
        <w:rPr>
          <w:b/>
        </w:rPr>
        <w:t xml:space="preserve">7 </w:t>
      </w:r>
      <w:r>
        <w:t xml:space="preserve">A craftsman strengthened, and a bronze-smith striking with a hammer while driving. At one time he says, The joint is good; they strengthened them with nails and they will not be moved.</w:t>
      </w:r>
    </w:p>
    <w:p>
      <w:r>
        <w:rPr>
          <w:b/>
        </w:rPr>
        <w:t xml:space="preserve">8 </w:t>
      </w:r>
      <w:r>
        <w:t xml:space="preserve">But you, Israel, my servant, Jacob whom I chose, the seed</w:t>
      </w:r>
      <w:r>
        <w:rPr>
          <w:rStyle w:val="FootnoteReference"/>
        </w:rPr>
        <w:footnoteReference w:id="11675"/>
      </w:r>
      <w:r>
        <w:t xml:space="preserve"> of Abraham whom I loved,</w:t>
      </w:r>
    </w:p>
    <w:p>
      <w:r>
        <w:rPr>
          <w:b/>
        </w:rPr>
        <w:t xml:space="preserve">9 </w:t>
      </w:r>
      <w:r>
        <w:t xml:space="preserve">whom I took hold from the edges of the earth and called</w:t>
      </w:r>
      <w:r>
        <w:rPr>
          <w:rStyle w:val="FootnoteReference"/>
        </w:rPr>
        <w:footnoteReference w:id="11676"/>
      </w:r>
      <w:r>
        <w:t xml:space="preserve"> from its watchpoints, and I said to you, You are my servant; I chose you and did not abandon you.</w:t>
      </w:r>
    </w:p>
    <w:p>
      <w:r>
        <w:rPr>
          <w:b/>
        </w:rPr>
        <w:t xml:space="preserve">10 </w:t>
      </w:r>
      <w:r>
        <w:t xml:space="preserve">Do not fear</w:t>
      </w:r>
      <w:r>
        <w:rPr>
          <w:rStyle w:val="FootnoteReference"/>
        </w:rPr>
        <w:footnoteReference w:id="11677"/>
      </w:r>
      <w:r>
        <w:t xml:space="preserve">, for I am with you; do not wander, for I am your God, the one strengthening you and helping you, and I secured you by my right righteous hand.</w:t>
      </w:r>
    </w:p>
    <w:p>
      <w:r>
        <w:rPr>
          <w:b/>
        </w:rPr>
        <w:t xml:space="preserve">11 </w:t>
      </w:r>
      <w:r>
        <w:t xml:space="preserve">Behold, all those opposing you will be ashamed and put to shame, for they will be as not existing, and all your adversaries will perish.</w:t>
      </w:r>
    </w:p>
    <w:p>
      <w:r>
        <w:rPr>
          <w:b/>
        </w:rPr>
        <w:t xml:space="preserve">12 </w:t>
      </w:r>
      <w:r>
        <w:t xml:space="preserve">You will seek them and certainly not find the men who rage against you, for the ones fighting against you will be as not existing and will not be.</w:t>
      </w:r>
    </w:p>
    <w:p>
      <w:r>
        <w:rPr>
          <w:b/>
        </w:rPr>
        <w:t xml:space="preserve">13 </w:t>
      </w:r>
      <w:r>
        <w:t xml:space="preserve">For I am your God, the one holding your right hand, saying to you, Do not fear</w:t>
      </w:r>
      <w:r>
        <w:rPr>
          <w:rStyle w:val="FootnoteReference"/>
        </w:rPr>
        <w:footnoteReference w:id="11678"/>
      </w:r>
      <w:r>
        <w:t xml:space="preserve">.</w:t>
      </w:r>
    </w:p>
    <w:p>
      <w:r>
        <w:rPr>
          <w:b/>
        </w:rPr>
        <w:t xml:space="preserve">14 </w:t>
      </w:r>
      <w:r>
        <w:t xml:space="preserve">Jacob, little one; Israel, I helped you, says God, one redeeming you, Israel.</w:t>
      </w:r>
    </w:p>
    <w:p>
      <w:r>
        <w:rPr>
          <w:b/>
        </w:rPr>
        <w:t xml:space="preserve">15 </w:t>
      </w:r>
      <w:r>
        <w:t xml:space="preserve">Behold, I made you as new threshing wheels of a wagon, saw-toothed, and you will thresh the mountains and make the hills fine and make them as dust.</w:t>
      </w:r>
    </w:p>
    <w:p>
      <w:r>
        <w:rPr>
          <w:b/>
        </w:rPr>
        <w:t xml:space="preserve">16 </w:t>
      </w:r>
      <w:r>
        <w:t xml:space="preserve">And you will winnow them, and a wind will take them and a storm scatter them. But you will rejoice in the holy things of Israel, and they will exult.</w:t>
      </w:r>
    </w:p>
    <w:p>
      <w:r>
        <w:rPr>
          <w:b/>
        </w:rPr>
        <w:t xml:space="preserve">17 </w:t>
      </w:r>
      <w:r>
        <w:t xml:space="preserve">For the poor</w:t>
      </w:r>
      <w:r>
        <w:rPr>
          <w:rStyle w:val="FootnoteReference"/>
        </w:rPr>
        <w:footnoteReference w:id="11679"/>
      </w:r>
      <w:r>
        <w:t xml:space="preserve"> and the needy will seek water, and there will be none; their tongue dried up from thirst. I, the Lord God, will hear; the God of Israel, I will not abandon them.</w:t>
      </w:r>
    </w:p>
    <w:p>
      <w:r>
        <w:rPr>
          <w:b/>
        </w:rPr>
        <w:t xml:space="preserve">18 </w:t>
      </w:r>
      <w:r>
        <w:t xml:space="preserve">But I will open rivers on the mountains and make springs in the midst of plains. I will make the wilderness into marshes and the thirsty land into aqueducts.</w:t>
      </w:r>
    </w:p>
    <w:p>
      <w:r>
        <w:rPr>
          <w:b/>
        </w:rPr>
        <w:t xml:space="preserve">19 </w:t>
      </w:r>
      <w:r>
        <w:t xml:space="preserve">I will put a cedar and a box tree and a myrtle and a cypress and a white poplar in the dry land,</w:t>
      </w:r>
    </w:p>
    <w:p>
      <w:r>
        <w:rPr>
          <w:b/>
        </w:rPr>
        <w:t xml:space="preserve">20 </w:t>
      </w:r>
      <w:r>
        <w:t xml:space="preserve">so that they may see and know and understand and know together that the hand of the Lord did all these things and the Holy One of Israel displayed them.</w:t>
      </w:r>
    </w:p>
    <w:p>
      <w:r>
        <w:rPr>
          <w:b/>
        </w:rPr>
        <w:t xml:space="preserve">21 </w:t>
      </w:r>
      <w:r>
        <w:t xml:space="preserve">Your judgment draws near, says the Lord God; your counsels drew near, says the king of Jacob.</w:t>
      </w:r>
    </w:p>
    <w:p>
      <w:r>
        <w:rPr>
          <w:b/>
        </w:rPr>
        <w:t xml:space="preserve">22 </w:t>
      </w:r>
      <w:r>
        <w:t xml:space="preserve">Let them come near and announce to you what will happen, or what the former things were; speak, and we will set our mind and know what the last things are, and tell us the things coming.</w:t>
      </w:r>
    </w:p>
    <w:p>
      <w:r>
        <w:rPr>
          <w:b/>
        </w:rPr>
        <w:t xml:space="preserve">23 </w:t>
      </w:r>
      <w:r>
        <w:t xml:space="preserve">Tell us the things coming at the end, and we will know that you are gods; do good</w:t>
      </w:r>
      <w:r>
        <w:rPr>
          <w:rStyle w:val="FootnoteReference"/>
        </w:rPr>
        <w:footnoteReference w:id="11680"/>
      </w:r>
      <w:r>
        <w:t xml:space="preserve"> and do evil, and we will marvel and see together.</w:t>
      </w:r>
    </w:p>
    <w:p>
      <w:r>
        <w:rPr>
          <w:b/>
        </w:rPr>
        <w:t xml:space="preserve">24 </w:t>
      </w:r>
      <w:r>
        <w:t xml:space="preserve">Because from where are you, and from where is your work? They chose you from the land as an abomination</w:t>
      </w:r>
      <w:r>
        <w:rPr>
          <w:rStyle w:val="FootnoteReference"/>
        </w:rPr>
        <w:footnoteReference w:id="11681"/>
      </w:r>
      <w:r>
        <w:t xml:space="preserve">.</w:t>
      </w:r>
    </w:p>
    <w:p>
      <w:r>
        <w:rPr>
          <w:b/>
        </w:rPr>
        <w:t xml:space="preserve">25 </w:t>
      </w:r>
      <w:r>
        <w:t xml:space="preserve">But I raised</w:t>
      </w:r>
      <w:r>
        <w:rPr>
          <w:rStyle w:val="FootnoteReference"/>
        </w:rPr>
        <w:footnoteReference w:id="11682"/>
      </w:r>
      <w:r>
        <w:t xml:space="preserve"> one from the north and one from the east of the sun; they will be called by my name. Let the rulers come, and as potter's clay and as a potter treading the clay, thus you will be trampled.</w:t>
      </w:r>
    </w:p>
    <w:p>
      <w:r>
        <w:rPr>
          <w:b/>
        </w:rPr>
        <w:t xml:space="preserve">26 </w:t>
      </w:r>
      <w:r>
        <w:t xml:space="preserve">For who will announce the things from the beginning so that we may know, and the things before, and we will say they are true? There is no one foretelling, nor one hearing your words.</w:t>
      </w:r>
    </w:p>
    <w:p>
      <w:r>
        <w:rPr>
          <w:b/>
        </w:rPr>
        <w:t xml:space="preserve">27 </w:t>
      </w:r>
      <w:r>
        <w:t xml:space="preserve">I will give</w:t>
      </w:r>
      <w:r>
        <w:rPr>
          <w:rStyle w:val="FootnoteReference"/>
        </w:rPr>
        <w:footnoteReference w:id="11683"/>
      </w:r>
      <w:r>
        <w:t xml:space="preserve"> a beginning to Zion and comfort Jerusalem for the way.</w:t>
      </w:r>
    </w:p>
    <w:p>
      <w:r>
        <w:rPr>
          <w:b/>
        </w:rPr>
        <w:t xml:space="preserve">28 </w:t>
      </w:r>
      <w:r>
        <w:t xml:space="preserve">For from the nations, behold, no one, and from their idols there was not one announcing; and if I ask them from where they are, they certainly will not answer me.</w:t>
      </w:r>
    </w:p>
    <w:p>
      <w:r>
        <w:rPr>
          <w:b/>
        </w:rPr>
        <w:t xml:space="preserve">29 </w:t>
      </w:r>
      <w:r>
        <w:t xml:space="preserve">For the ones making you and the ones leading you astray are vain.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42</w:t>
      </w:r>
    </w:p>
    <w:p>
      <w:r>
        <w:rPr>
          <w:b/>
        </w:rPr>
        <w:t xml:space="preserve">1 </w:t>
      </w:r>
      <w:r>
        <w:t xml:space="preserve">Jacob my servant</w:t>
      </w:r>
      <w:r>
        <w:rPr>
          <w:rStyle w:val="FootnoteReference"/>
        </w:rPr>
        <w:footnoteReference w:id="11684"/>
      </w:r>
      <w:r>
        <w:t xml:space="preserve">, I will help him; Israel my chosen one, my soul accepted him. I gave my Spirit upon him; he will bring judgment to the nations.</w:t>
      </w:r>
    </w:p>
    <w:p>
      <w:r>
        <w:rPr>
          <w:b/>
        </w:rPr>
        <w:t xml:space="preserve">2 </w:t>
      </w:r>
      <w:r>
        <w:t xml:space="preserve">He will not cry out nor raise up, nor will his voice be heard outside.</w:t>
      </w:r>
    </w:p>
    <w:p>
      <w:r>
        <w:rPr>
          <w:b/>
        </w:rPr>
        <w:t xml:space="preserve">3 </w:t>
      </w:r>
      <w:r>
        <w:t xml:space="preserve">A crushed reed he will not break, and smoking flax he will not quench, but in truth he will bring judgment.</w:t>
      </w:r>
    </w:p>
    <w:p>
      <w:r>
        <w:rPr>
          <w:b/>
        </w:rPr>
        <w:t xml:space="preserve">4 </w:t>
      </w:r>
      <w:r>
        <w:t xml:space="preserve">He will shine out and will not be broken until he sets judgment upon the earth, and the nations will hope in his name.</w:t>
      </w:r>
    </w:p>
    <w:p>
      <w:r>
        <w:rPr>
          <w:b/>
        </w:rPr>
        <w:t xml:space="preserve">5 </w:t>
      </w:r>
      <w:r>
        <w:t xml:space="preserve">Thus says the Lord God, the one making heaven and stretching it, the one establishing the earth and the things in it, and giving breath to the people on it and spirit to those walking on it.</w:t>
      </w:r>
    </w:p>
    <w:p>
      <w:r>
        <w:rPr>
          <w:b/>
        </w:rPr>
        <w:t xml:space="preserve">6 </w:t>
      </w:r>
      <w:r>
        <w:t xml:space="preserve">I, the Lord God, called</w:t>
      </w:r>
      <w:r>
        <w:rPr>
          <w:rStyle w:val="FootnoteReference"/>
        </w:rPr>
        <w:footnoteReference w:id="11685"/>
      </w:r>
      <w:r>
        <w:t xml:space="preserve"> you in righteousness and will hold your hand and strengthen you, and I gave you into a covenant of a race, into a light of nations,</w:t>
      </w:r>
    </w:p>
    <w:p>
      <w:r>
        <w:rPr>
          <w:b/>
        </w:rPr>
        <w:t xml:space="preserve">7 </w:t>
      </w:r>
      <w:r>
        <w:t xml:space="preserve">to open</w:t>
      </w:r>
      <w:r>
        <w:rPr>
          <w:rStyle w:val="FootnoteReference"/>
        </w:rPr>
        <w:footnoteReference w:id="11686"/>
      </w:r>
      <w:r>
        <w:t xml:space="preserve"> the eyes of the blind, bring bound ones out of bonds and those sitting in darkness out of a prison house.</w:t>
      </w:r>
    </w:p>
    <w:p>
      <w:r>
        <w:rPr>
          <w:b/>
        </w:rPr>
        <w:t xml:space="preserve">8 </w:t>
      </w:r>
      <w:r>
        <w:t xml:space="preserve">I, the Lord God, this is my name. My glory</w:t>
      </w:r>
      <w:r>
        <w:rPr>
          <w:rStyle w:val="FootnoteReference"/>
        </w:rPr>
        <w:footnoteReference w:id="11687"/>
      </w:r>
      <w:r>
        <w:t xml:space="preserve"> I will not give to another, nor my virtues to the carved things.</w:t>
      </w:r>
    </w:p>
    <w:p>
      <w:r>
        <w:rPr>
          <w:b/>
        </w:rPr>
        <w:t xml:space="preserve">9 </w:t>
      </w:r>
      <w:r>
        <w:t xml:space="preserve">Behold, the former</w:t>
      </w:r>
      <w:r>
        <w:rPr>
          <w:rStyle w:val="FootnoteReference"/>
        </w:rPr>
        <w:footnoteReference w:id="11688"/>
      </w:r>
      <w:r>
        <w:t xml:space="preserve"> things came, and the new things which I announce; before they spring up, they were made clear to you.</w:t>
      </w:r>
    </w:p>
    <w:p>
      <w:r>
        <w:rPr>
          <w:b/>
        </w:rPr>
        <w:t xml:space="preserve">10 </w:t>
      </w:r>
      <w:r>
        <w:t xml:space="preserve">Sing</w:t>
      </w:r>
      <w:r>
        <w:rPr>
          <w:rStyle w:val="FootnoteReference"/>
        </w:rPr>
        <w:footnoteReference w:id="11689"/>
      </w:r>
      <w:r>
        <w:t xml:space="preserve"> to the Lord a new hymn, his beginning; glorify his name from the end of the earth, those going down into the sea and sailing it, the islands and those dwelling in them.</w:t>
      </w:r>
    </w:p>
    <w:p>
      <w:r>
        <w:rPr>
          <w:b/>
        </w:rPr>
        <w:t xml:space="preserve">11 </w:t>
      </w:r>
      <w:r>
        <w:t xml:space="preserve">Rejoice, the wilderness and its villages, the camps and the dwellers in Kedar</w:t>
      </w:r>
      <w:r>
        <w:rPr>
          <w:rStyle w:val="FootnoteReference"/>
        </w:rPr>
        <w:footnoteReference w:id="11690"/>
      </w:r>
      <w:r>
        <w:t xml:space="preserve">. The dwellers of the rock will rejoice; from the tops of the mountains they will cry out.</w:t>
      </w:r>
    </w:p>
    <w:p>
      <w:r>
        <w:rPr>
          <w:b/>
        </w:rPr>
        <w:t xml:space="preserve">12 </w:t>
      </w:r>
      <w:r>
        <w:t xml:space="preserve">They will give glory to God, and in the islands announce his virtues.</w:t>
      </w:r>
    </w:p>
    <w:p>
      <w:r>
        <w:rPr>
          <w:b/>
        </w:rPr>
        <w:t xml:space="preserve">13 </w:t>
      </w:r>
      <w:r>
        <w:t xml:space="preserve">The Lord God of powers will go out and crush war, stir up zeal and shout against his enemies with strength.</w:t>
      </w:r>
    </w:p>
    <w:p>
      <w:r>
        <w:rPr>
          <w:b/>
        </w:rPr>
        <w:t xml:space="preserve">14 </w:t>
      </w:r>
      <w:r>
        <w:t xml:space="preserve">I was silent; will I also always be silent and endure? I held firm. As a woman giving birth I will be amazed and dry up together.</w:t>
      </w:r>
    </w:p>
    <w:p>
      <w:r>
        <w:rPr>
          <w:b/>
        </w:rPr>
        <w:t xml:space="preserve">15 </w:t>
      </w:r>
      <w:r>
        <w:t xml:space="preserve">And I will make rivers into islands and dry up marshes.</w:t>
      </w:r>
    </w:p>
    <w:p>
      <w:r>
        <w:rPr>
          <w:b/>
        </w:rPr>
        <w:t xml:space="preserve">16 </w:t>
      </w:r>
      <w:r>
        <w:t xml:space="preserve">And I will lead</w:t>
      </w:r>
      <w:r>
        <w:rPr>
          <w:rStyle w:val="FootnoteReference"/>
        </w:rPr>
        <w:footnoteReference w:id="11691"/>
      </w:r>
      <w:r>
        <w:t xml:space="preserve"> the blind in a way they did not know, and I will make paths for them that they did not know how to tread. I will make the darkness for them into light and the crooked things into straight things. These words I will do and not abandon them.</w:t>
      </w:r>
    </w:p>
    <w:p>
      <w:r>
        <w:rPr>
          <w:b/>
        </w:rPr>
        <w:t xml:space="preserve">17 </w:t>
      </w:r>
      <w:r>
        <w:t xml:space="preserve">But they turned backward. Be ashamed with shame, the ones trusting in the carved things, the ones saying to the molten images, You are our gods.</w:t>
      </w:r>
    </w:p>
    <w:p>
      <w:r>
        <w:rPr>
          <w:b/>
        </w:rPr>
        <w:t xml:space="preserve">18 </w:t>
      </w:r>
      <w:r>
        <w:t xml:space="preserve">The deaf ones, hear; the blind ones, look up to see.</w:t>
      </w:r>
    </w:p>
    <w:p>
      <w:r>
        <w:rPr>
          <w:b/>
        </w:rPr>
        <w:t xml:space="preserve">19 </w:t>
      </w:r>
      <w:r>
        <w:t xml:space="preserve">And who is blind</w:t>
      </w:r>
      <w:r>
        <w:rPr>
          <w:rStyle w:val="FootnoteReference"/>
        </w:rPr>
        <w:footnoteReference w:id="11692"/>
      </w:r>
      <w:r>
        <w:t xml:space="preserve"> except my servants, and deaf except the ones ruling them? And the servants of God were blinded.</w:t>
      </w:r>
    </w:p>
    <w:p>
      <w:r>
        <w:rPr>
          <w:b/>
        </w:rPr>
        <w:t xml:space="preserve">20 </w:t>
      </w:r>
      <w:r>
        <w:t xml:space="preserve">You saw many times and did not keep watch; the ears were opened and you did not hear.</w:t>
      </w:r>
    </w:p>
    <w:p>
      <w:r>
        <w:rPr>
          <w:b/>
        </w:rPr>
        <w:t xml:space="preserve">21 </w:t>
      </w:r>
      <w:r>
        <w:t xml:space="preserve">The Lord God wanted him to be justified and to magnify praise, and I saw.</w:t>
      </w:r>
    </w:p>
    <w:p>
      <w:r>
        <w:rPr>
          <w:b/>
        </w:rPr>
        <w:t xml:space="preserve">22 </w:t>
      </w:r>
      <w:r>
        <w:t xml:space="preserve">And the people became plundered and pillaged, for the snare was in the storerooms everywhere and in houses together where they hid them. They became for plunder, and there was no one rescuing, spoil and no one saying, Give back.</w:t>
      </w:r>
    </w:p>
    <w:p>
      <w:r>
        <w:rPr>
          <w:b/>
        </w:rPr>
        <w:t xml:space="preserve">23 </w:t>
      </w:r>
      <w:r>
        <w:t xml:space="preserve">Who among you will give</w:t>
      </w:r>
      <w:r>
        <w:rPr>
          <w:rStyle w:val="FootnoteReference"/>
        </w:rPr>
        <w:footnoteReference w:id="11693"/>
      </w:r>
      <w:r>
        <w:t xml:space="preserve"> ear to these things, will hear for the things coming?</w:t>
      </w:r>
    </w:p>
    <w:p>
      <w:r>
        <w:rPr>
          <w:b/>
        </w:rPr>
        <w:t xml:space="preserve">24 </w:t>
      </w:r>
      <w:r>
        <w:t xml:space="preserve">Who gave Jacob for plunder and Israel to the ones spoiling him? Was it not God against whom they sinned, and they did not want to walk in his ways nor hear his law?</w:t>
      </w:r>
    </w:p>
    <w:p>
      <w:r>
        <w:rPr>
          <w:b/>
        </w:rPr>
        <w:t xml:space="preserve">25 </w:t>
      </w:r>
      <w:r>
        <w:t xml:space="preserve">And he brought upon them the anger of his wrath and war prevailed over them, and the ones burning them around, each of them did not know nor set it on his soul.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43</w:t>
      </w:r>
    </w:p>
    <w:p>
      <w:r>
        <w:rPr>
          <w:b/>
        </w:rPr>
        <w:t xml:space="preserve">1 </w:t>
      </w:r>
      <w:r>
        <w:t xml:space="preserve">And now thus says the Lord God, the one making you, Jacob, the one forming you, Israel: Do not fear</w:t>
      </w:r>
      <w:r>
        <w:rPr>
          <w:rStyle w:val="FootnoteReference"/>
        </w:rPr>
        <w:footnoteReference w:id="11694"/>
      </w:r>
      <w:r>
        <w:t xml:space="preserve">, because I redeemed you; I called you by your name; you are mine.</w:t>
      </w:r>
    </w:p>
    <w:p>
      <w:r>
        <w:rPr>
          <w:b/>
        </w:rPr>
        <w:t xml:space="preserve">2 </w:t>
      </w:r>
      <w:r>
        <w:t xml:space="preserve">And if you pass through water, I am with you, and rivers will not flood you, and if you pass through fire, you certainly will not be burned; a flame will not burn you.</w:t>
      </w:r>
    </w:p>
    <w:p>
      <w:r>
        <w:rPr>
          <w:b/>
        </w:rPr>
        <w:t xml:space="preserve">3 </w:t>
      </w:r>
      <w:r>
        <w:t xml:space="preserve">Because I am the Lord your God, the Holy One</w:t>
      </w:r>
      <w:r>
        <w:rPr>
          <w:rStyle w:val="FootnoteReference"/>
        </w:rPr>
        <w:footnoteReference w:id="11695"/>
      </w:r>
      <w:r>
        <w:t xml:space="preserve"> of Israel, the one saving you. I made Egypt and Ethiopia and Syene</w:t>
      </w:r>
      <w:r>
        <w:rPr>
          <w:rStyle w:val="FootnoteReference"/>
        </w:rPr>
        <w:footnoteReference w:id="11696"/>
      </w:r>
      <w:r>
        <w:t xml:space="preserve"> your exchange.</w:t>
      </w:r>
    </w:p>
    <w:p>
      <w:r>
        <w:rPr>
          <w:b/>
        </w:rPr>
        <w:t xml:space="preserve">4 </w:t>
      </w:r>
      <w:r>
        <w:t xml:space="preserve">Since you became precious</w:t>
      </w:r>
      <w:r>
        <w:rPr>
          <w:rStyle w:val="FootnoteReference"/>
        </w:rPr>
        <w:footnoteReference w:id="11697"/>
      </w:r>
      <w:r>
        <w:t xml:space="preserve"> before me, you were glorified and I loved you, and I will give many men for you and rulers over your head.</w:t>
      </w:r>
    </w:p>
    <w:p>
      <w:r>
        <w:rPr>
          <w:b/>
        </w:rPr>
        <w:t xml:space="preserve">5 </w:t>
      </w:r>
      <w:r>
        <w:t xml:space="preserve">Do not fear, because I am with you. From the east I will bring your seed, and from the west I will gather you.</w:t>
      </w:r>
    </w:p>
    <w:p>
      <w:r>
        <w:rPr>
          <w:b/>
        </w:rPr>
        <w:t xml:space="preserve">6 </w:t>
      </w:r>
      <w:r>
        <w:t xml:space="preserve">I will say to the north, Bring</w:t>
      </w:r>
      <w:r>
        <w:rPr>
          <w:rStyle w:val="FootnoteReference"/>
        </w:rPr>
        <w:footnoteReference w:id="11698"/>
      </w:r>
      <w:r>
        <w:t xml:space="preserve">, and to the south, Do not hinder; bring my sons from a far land and my daughters from the ends of the earth,</w:t>
      </w:r>
    </w:p>
    <w:p>
      <w:r>
        <w:rPr>
          <w:b/>
        </w:rPr>
        <w:t xml:space="preserve">7 </w:t>
      </w:r>
      <w:r>
        <w:t xml:space="preserve">all as many as are called</w:t>
      </w:r>
      <w:r>
        <w:rPr>
          <w:rStyle w:val="FootnoteReference"/>
        </w:rPr>
        <w:footnoteReference w:id="11699"/>
      </w:r>
      <w:r>
        <w:t xml:space="preserve"> by my name, for in my glory I prepared him and formed and made him.</w:t>
      </w:r>
    </w:p>
    <w:p>
      <w:r>
        <w:rPr>
          <w:b/>
        </w:rPr>
        <w:t xml:space="preserve">8 </w:t>
      </w:r>
      <w:r>
        <w:t xml:space="preserve">And I brought out a blind people, and eyes exist yet equally blind, and deaf ones having ears.</w:t>
      </w:r>
    </w:p>
    <w:p>
      <w:r>
        <w:rPr>
          <w:b/>
        </w:rPr>
        <w:t xml:space="preserve">9 </w:t>
      </w:r>
      <w:r>
        <w:t xml:space="preserve">All the nations were gathered together, and rulers will gather. Who among</w:t>
      </w:r>
      <w:r>
        <w:rPr>
          <w:rStyle w:val="FootnoteReference"/>
        </w:rPr>
        <w:footnoteReference w:id="11700"/>
      </w:r>
      <w:r>
        <w:t xml:space="preserve"> them announces these things, or who from the things from the beginning will announce to you? Let them bring their witnesses and be justified and say true things.</w:t>
      </w:r>
    </w:p>
    <w:p>
      <w:r>
        <w:rPr>
          <w:b/>
        </w:rPr>
        <w:t xml:space="preserve">10 </w:t>
      </w:r>
      <w:r>
        <w:t xml:space="preserve">Become witnesses to me, and I witness, says the Lord God, and the servant whom I chose, so that you may know and believe and understand that I am. Before me no other god came to be, and after me there will not be.</w:t>
      </w:r>
    </w:p>
    <w:p>
      <w:r>
        <w:rPr>
          <w:b/>
        </w:rPr>
        <w:t xml:space="preserve">11 </w:t>
      </w:r>
      <w:r>
        <w:t xml:space="preserve">I am God, and apart from me there is no one saving.</w:t>
      </w:r>
    </w:p>
    <w:p>
      <w:r>
        <w:rPr>
          <w:b/>
        </w:rPr>
        <w:t xml:space="preserve">12 </w:t>
      </w:r>
      <w:r>
        <w:t xml:space="preserve">I announced and saved; I reproached, and there was no foreigner among you. You are my witnesses</w:t>
      </w:r>
      <w:r>
        <w:rPr>
          <w:rStyle w:val="FootnoteReference"/>
        </w:rPr>
        <w:footnoteReference w:id="11701"/>
      </w:r>
      <w:r>
        <w:t xml:space="preserve">, and I am a witness, says the Lord God.</w:t>
      </w:r>
    </w:p>
    <w:p>
      <w:r>
        <w:rPr>
          <w:b/>
        </w:rPr>
        <w:t xml:space="preserve">13 </w:t>
      </w:r>
      <w:r>
        <w:t xml:space="preserve">Still from the beginning, and there is no one rescuing from my hands. I will do, and who will turn it back?</w:t>
      </w:r>
    </w:p>
    <w:p>
      <w:r>
        <w:rPr>
          <w:b/>
        </w:rPr>
        <w:t xml:space="preserve">14 </w:t>
      </w:r>
      <w:r>
        <w:t xml:space="preserve">Thus says the Lord</w:t>
      </w:r>
      <w:r>
        <w:rPr>
          <w:rStyle w:val="FootnoteReference"/>
        </w:rPr>
        <w:footnoteReference w:id="11702"/>
      </w:r>
      <w:r>
        <w:t xml:space="preserve"> God, the one redeeming you, the Holy One of Israel: Because of you I will send into Babylon and stir up all the fugitives, and the Chaldeans will be bound in ships.</w:t>
      </w:r>
    </w:p>
    <w:p>
      <w:r>
        <w:rPr>
          <w:b/>
        </w:rPr>
        <w:t xml:space="preserve">15 </w:t>
      </w:r>
      <w:r>
        <w:t xml:space="preserve">I am the Lord</w:t>
      </w:r>
      <w:r>
        <w:rPr>
          <w:rStyle w:val="FootnoteReference"/>
        </w:rPr>
        <w:footnoteReference w:id="11703"/>
      </w:r>
      <w:r>
        <w:t xml:space="preserve"> God, your Holy One, the one showing Israel your king.</w:t>
      </w:r>
    </w:p>
    <w:p>
      <w:r>
        <w:rPr>
          <w:b/>
        </w:rPr>
        <w:t xml:space="preserve">16 </w:t>
      </w:r>
      <w:r>
        <w:t xml:space="preserve">Thus says the Lord, the one giving a way in the sea and a path in strong water,</w:t>
      </w:r>
    </w:p>
    <w:p>
      <w:r>
        <w:rPr>
          <w:b/>
        </w:rPr>
        <w:t xml:space="preserve">17 </w:t>
      </w:r>
      <w:r>
        <w:t xml:space="preserve">the one bringing out chariots and horse and a strong crowd. But they slept and will not rise; they were quenched as extinguished flax.</w:t>
      </w:r>
    </w:p>
    <w:p>
      <w:r>
        <w:rPr>
          <w:b/>
        </w:rPr>
        <w:t xml:space="preserve">18 </w:t>
      </w:r>
      <w:r>
        <w:t xml:space="preserve">Do not remember the former things and do not consider the ancient things.</w:t>
      </w:r>
    </w:p>
    <w:p>
      <w:r>
        <w:rPr>
          <w:b/>
        </w:rPr>
        <w:t xml:space="preserve">19 </w:t>
      </w:r>
      <w:r>
        <w:t xml:space="preserve">Behold, I make the new things which now will spring up, and you will know them, and I will make in the wilderness a way and in the dry land rivers</w:t>
      </w:r>
      <w:r>
        <w:rPr>
          <w:rStyle w:val="FootnoteReference"/>
        </w:rPr>
        <w:footnoteReference w:id="11704"/>
      </w:r>
      <w:r>
        <w:t xml:space="preserve">.</w:t>
      </w:r>
    </w:p>
    <w:p>
      <w:r>
        <w:rPr>
          <w:b/>
        </w:rPr>
        <w:t xml:space="preserve">20 </w:t>
      </w:r>
      <w:r>
        <w:t xml:space="preserve">The beasts of the field, sirens and daughters of ostriches, will bless me, because I gave water in the wilderness and rivers in the dry land to give</w:t>
      </w:r>
      <w:r>
        <w:rPr>
          <w:rStyle w:val="FootnoteReference"/>
        </w:rPr>
        <w:footnoteReference w:id="11705"/>
      </w:r>
      <w:r>
        <w:t xml:space="preserve"> drink to my chosen race,</w:t>
      </w:r>
    </w:p>
    <w:p>
      <w:r>
        <w:rPr>
          <w:b/>
        </w:rPr>
        <w:t xml:space="preserve">21 </w:t>
      </w:r>
      <w:r>
        <w:t xml:space="preserve">my people whom I acquired to recount my virtues.</w:t>
      </w:r>
    </w:p>
    <w:p>
      <w:r>
        <w:rPr>
          <w:b/>
        </w:rPr>
        <w:t xml:space="preserve">22 </w:t>
      </w:r>
      <w:r>
        <w:t xml:space="preserve">Not now did I call you, Jacob, nor did I make you weary, Israel.</w:t>
      </w:r>
    </w:p>
    <w:p>
      <w:r>
        <w:rPr>
          <w:b/>
        </w:rPr>
        <w:t xml:space="preserve">23 </w:t>
      </w:r>
      <w:r>
        <w:t xml:space="preserve">You did not bring me sheep of your burnt offering, nor glorify me in your sacrifices, nor make me toil with frankincense.</w:t>
      </w:r>
    </w:p>
    <w:p>
      <w:r>
        <w:rPr>
          <w:b/>
        </w:rPr>
        <w:t xml:space="preserve">24 </w:t>
      </w:r>
      <w:r>
        <w:t xml:space="preserve">Nor did you buy me incense with silver, nor did I desire the fat of your sacrifices, but in your sins and injustices I stood before you.</w:t>
      </w:r>
    </w:p>
    <w:p>
      <w:r>
        <w:rPr>
          <w:b/>
        </w:rPr>
        <w:t xml:space="preserve">25 </w:t>
      </w:r>
      <w:r>
        <w:t xml:space="preserve">I am, I am, the one wiping out your lawlessnesses, and certainly I will not</w:t>
      </w:r>
      <w:r>
        <w:rPr>
          <w:rStyle w:val="FootnoteReference"/>
        </w:rPr>
        <w:footnoteReference w:id="11706"/>
      </w:r>
      <w:r>
        <w:t xml:space="preserve"> remember.</w:t>
      </w:r>
    </w:p>
    <w:p>
      <w:r>
        <w:rPr>
          <w:b/>
        </w:rPr>
        <w:t xml:space="preserve">26 </w:t>
      </w:r>
      <w:r>
        <w:t xml:space="preserve">But you remember, and let us judge together; speak you your lawlessnesses first, so that you may be justified.</w:t>
      </w:r>
    </w:p>
    <w:p>
      <w:r>
        <w:rPr>
          <w:b/>
        </w:rPr>
        <w:t xml:space="preserve">27 </w:t>
      </w:r>
      <w:r>
        <w:t xml:space="preserve">Your first fathers and their rulers acted lawlessly against me.</w:t>
      </w:r>
    </w:p>
    <w:p>
      <w:r>
        <w:rPr>
          <w:b/>
        </w:rPr>
        <w:t xml:space="preserve">28 </w:t>
      </w:r>
      <w:r>
        <w:t xml:space="preserve">And the rulers defiled my holy things, and I gave Jacob to destruction and Israel to reproach.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44</w:t>
      </w:r>
    </w:p>
    <w:p>
      <w:r>
        <w:rPr>
          <w:b/>
        </w:rPr>
        <w:t xml:space="preserve">1 </w:t>
      </w:r>
      <w:r>
        <w:t xml:space="preserve">Now hear, my servant Jacob, and Israel whom I chose.</w:t>
      </w:r>
    </w:p>
    <w:p>
      <w:r>
        <w:rPr>
          <w:b/>
        </w:rPr>
        <w:t xml:space="preserve">2 </w:t>
      </w:r>
      <w:r>
        <w:t xml:space="preserve">Thus says the Lord God, the one making you and the one forming you from the womb</w:t>
      </w:r>
      <w:r>
        <w:rPr>
          <w:rStyle w:val="FootnoteReference"/>
        </w:rPr>
        <w:footnoteReference w:id="11707"/>
      </w:r>
      <w:r>
        <w:t xml:space="preserve">: You will still be helped. Do not fear</w:t>
      </w:r>
      <w:r>
        <w:rPr>
          <w:rStyle w:val="FootnoteReference"/>
        </w:rPr>
        <w:footnoteReference w:id="11708"/>
      </w:r>
      <w:r>
        <w:t xml:space="preserve">, my servant Jacob, beloved Israel whom I chose.</w:t>
      </w:r>
    </w:p>
    <w:p>
      <w:r>
        <w:rPr>
          <w:b/>
        </w:rPr>
        <w:t xml:space="preserve">3 </w:t>
      </w:r>
      <w:r>
        <w:t xml:space="preserve">Because I will give water in thirst to the ones going in dry land; I will put my Spirit on your seed and my blessings on your children.</w:t>
      </w:r>
    </w:p>
    <w:p>
      <w:r>
        <w:rPr>
          <w:b/>
        </w:rPr>
        <w:t xml:space="preserve">4 </w:t>
      </w:r>
      <w:r>
        <w:t xml:space="preserve">And they will spring</w:t>
      </w:r>
      <w:r>
        <w:rPr>
          <w:rStyle w:val="FootnoteReference"/>
        </w:rPr>
        <w:footnoteReference w:id="11709"/>
      </w:r>
      <w:r>
        <w:t xml:space="preserve"> up like grass among waters, and like a willow by flowing water.</w:t>
      </w:r>
    </w:p>
    <w:p>
      <w:r>
        <w:rPr>
          <w:b/>
        </w:rPr>
        <w:t xml:space="preserve">5 </w:t>
      </w:r>
      <w:r>
        <w:t xml:space="preserve">This one will say, I belong to God; and this one will cry out in the name</w:t>
      </w:r>
      <w:r>
        <w:rPr>
          <w:rStyle w:val="FootnoteReference"/>
        </w:rPr>
        <w:footnoteReference w:id="11710"/>
      </w:r>
      <w:r>
        <w:t xml:space="preserve"> of Jacob; and another will write, I belong to God, in the name of Israel.</w:t>
      </w:r>
    </w:p>
    <w:p>
      <w:r>
        <w:rPr>
          <w:b/>
        </w:rPr>
        <w:t xml:space="preserve">6 </w:t>
      </w:r>
      <w:r>
        <w:t xml:space="preserve">Thus says God, the king of Israel, the one rescuing him, God of hosts: I am first, and I am after these things; besides me no god exists.</w:t>
      </w:r>
    </w:p>
    <w:p>
      <w:r>
        <w:rPr>
          <w:b/>
        </w:rPr>
        <w:t xml:space="preserve">7 </w:t>
      </w:r>
      <w:r>
        <w:t xml:space="preserve">Who is like me? Let him stand, call out, and prepare it before me, from the time I made humankind for the age; and the things coming before they come, let them declare to you.</w:t>
      </w:r>
    </w:p>
    <w:p>
      <w:r>
        <w:rPr>
          <w:b/>
        </w:rPr>
        <w:t xml:space="preserve">8 </w:t>
      </w:r>
      <w:r>
        <w:t xml:space="preserve">Do not hide yourselves. Have you not heard from the beginning? I told you. You are my witnesses whether there is a god besides me; there were none then.</w:t>
      </w:r>
    </w:p>
    <w:p>
      <w:r>
        <w:rPr>
          <w:b/>
        </w:rPr>
        <w:t xml:space="preserve">9 </w:t>
      </w:r>
      <w:r>
        <w:t xml:space="preserve">The ones shaping and carving are all vain, making their cherished things, which will not profit them; instead they will be put to shame.</w:t>
      </w:r>
    </w:p>
    <w:p>
      <w:r>
        <w:rPr>
          <w:b/>
        </w:rPr>
        <w:t xml:space="preserve">10 </w:t>
      </w:r>
      <w:r>
        <w:t xml:space="preserve">All the ones who shape a god and carve useless things.</w:t>
      </w:r>
    </w:p>
    <w:p>
      <w:r>
        <w:rPr>
          <w:b/>
        </w:rPr>
        <w:t xml:space="preserve">11 </w:t>
      </w:r>
      <w:r>
        <w:t xml:space="preserve">And all from whom they came were dried up, and mute from among men. Let them all</w:t>
      </w:r>
      <w:r>
        <w:rPr>
          <w:rStyle w:val="FootnoteReference"/>
        </w:rPr>
        <w:footnoteReference w:id="11711"/>
      </w:r>
      <w:r>
        <w:t xml:space="preserve"> gather and stand together; let them together be shamed and disgraced.</w:t>
      </w:r>
    </w:p>
    <w:p>
      <w:r>
        <w:rPr>
          <w:b/>
        </w:rPr>
        <w:t xml:space="preserve">12 </w:t>
      </w:r>
      <w:r>
        <w:t xml:space="preserve">For a craftsman sharpened iron, worked it with an axe, pierced it with a drill, worked it with the strength of his arm; then he will hunger and grow weak, and by not drinking water, become faint.</w:t>
      </w:r>
    </w:p>
    <w:p>
      <w:r>
        <w:rPr>
          <w:b/>
        </w:rPr>
        <w:t xml:space="preserve">13 </w:t>
      </w:r>
      <w:r>
        <w:t xml:space="preserve">A carpenter set wood by measure and shaped it by a line. He made it as the form of a man and as the beauty of a human, to set it in a house.</w:t>
      </w:r>
    </w:p>
    <w:p>
      <w:r>
        <w:rPr>
          <w:b/>
        </w:rPr>
        <w:t xml:space="preserve">14 </w:t>
      </w:r>
      <w:r>
        <w:t xml:space="preserve">One cut wood from the forest, which the Lord planted, and rain made it grow.</w:t>
      </w:r>
    </w:p>
    <w:p>
      <w:r>
        <w:rPr>
          <w:b/>
        </w:rPr>
        <w:t xml:space="preserve">15 </w:t>
      </w:r>
      <w:r>
        <w:t xml:space="preserve">So it might be for humans as fuel; taking from it he warmed himself, and burning it they baked breads; with what remained they worked gods and worshiped them.</w:t>
      </w:r>
    </w:p>
    <w:p>
      <w:r>
        <w:rPr>
          <w:b/>
        </w:rPr>
        <w:t xml:space="preserve">16 </w:t>
      </w:r>
      <w:r>
        <w:t xml:space="preserve">Half of it they burned in a fire, and baking breads on it, and roasting meat on it, he ate and was filled; and being warmed he said, Pleasant to me, because I am warmed and saw a fire.</w:t>
      </w:r>
    </w:p>
    <w:p>
      <w:r>
        <w:rPr>
          <w:b/>
        </w:rPr>
        <w:t xml:space="preserve">17 </w:t>
      </w:r>
      <w:r>
        <w:t xml:space="preserve">But the remainder he made into a carved god and worships it and prays, saying, Deliver me</w:t>
      </w:r>
      <w:r>
        <w:rPr>
          <w:rStyle w:val="FootnoteReference"/>
        </w:rPr>
        <w:footnoteReference w:id="11712"/>
      </w:r>
      <w:r>
        <w:t xml:space="preserve">, because you are my god.</w:t>
      </w:r>
    </w:p>
    <w:p>
      <w:r>
        <w:rPr>
          <w:b/>
        </w:rPr>
        <w:t xml:space="preserve">18 </w:t>
      </w:r>
      <w:r>
        <w:t xml:space="preserve">They did not know how to understand, because they were darkened from seeing with their eyes and from perceiving with their heart.</w:t>
      </w:r>
    </w:p>
    <w:p>
      <w:r>
        <w:rPr>
          <w:b/>
        </w:rPr>
        <w:t xml:space="preserve">19 </w:t>
      </w:r>
      <w:r>
        <w:t xml:space="preserve">And he did not consider in his heart, nor reckon in his soul, nor know with understanding that he burned half of it in fire and baked breads on its coals and roasted meat and ate, and its remainder he made into an abomination</w:t>
      </w:r>
      <w:r>
        <w:rPr>
          <w:rStyle w:val="FootnoteReference"/>
        </w:rPr>
        <w:footnoteReference w:id="11713"/>
      </w:r>
      <w:r>
        <w:t xml:space="preserve"> and they worship it.</w:t>
      </w:r>
    </w:p>
    <w:p>
      <w:r>
        <w:rPr>
          <w:b/>
        </w:rPr>
        <w:t xml:space="preserve">20 </w:t>
      </w:r>
      <w:r>
        <w:t xml:space="preserve">Know that their heart is ash; they wander, and no one can rescue his soul. See, will you not say, A lie is in my right hand?</w:t>
      </w:r>
    </w:p>
    <w:p>
      <w:r>
        <w:rPr>
          <w:b/>
        </w:rPr>
        <w:t xml:space="preserve">21 </w:t>
      </w:r>
      <w:r>
        <w:t xml:space="preserve">Remember</w:t>
      </w:r>
      <w:r>
        <w:rPr>
          <w:rStyle w:val="FootnoteReference"/>
        </w:rPr>
        <w:footnoteReference w:id="11714"/>
      </w:r>
      <w:r>
        <w:t xml:space="preserve"> these things, Jacob and Israel, because you are my servant. I formed you my servant, and you, Israel, do not forget me.</w:t>
      </w:r>
    </w:p>
    <w:p>
      <w:r>
        <w:rPr>
          <w:b/>
        </w:rPr>
        <w:t xml:space="preserve">22 </w:t>
      </w:r>
      <w:r>
        <w:t xml:space="preserve">For see, I wiped away your lawless deeds like a cloud and your sins like gloom. Turn to me, and I will redeem you.</w:t>
      </w:r>
    </w:p>
    <w:p>
      <w:r>
        <w:rPr>
          <w:b/>
        </w:rPr>
        <w:t xml:space="preserve">23 </w:t>
      </w:r>
      <w:r>
        <w:t xml:space="preserve">Be glad, heavens, because God showed mercy to Israel. Trumpet, foundations of the earth. Cry out, mountains, with gladness, the hills and all the trees in them, because God redeemed Jacob, and Israel will be glorified</w:t>
      </w:r>
      <w:r>
        <w:rPr>
          <w:rStyle w:val="FootnoteReference"/>
        </w:rPr>
        <w:footnoteReference w:id="11715"/>
      </w:r>
      <w:r>
        <w:t xml:space="preserve">.</w:t>
      </w:r>
    </w:p>
    <w:p>
      <w:r>
        <w:rPr>
          <w:b/>
        </w:rPr>
        <w:t xml:space="preserve">24 </w:t>
      </w:r>
      <w:r>
        <w:t xml:space="preserve">Thus says the Lord, the one redeeming you and the one forming you from the womb: I am the Lord, the one completing all things. I stretched out heaven alone and founded the earth. Who else?</w:t>
      </w:r>
    </w:p>
    <w:p>
      <w:r>
        <w:rPr>
          <w:b/>
        </w:rPr>
        <w:t xml:space="preserve">25 </w:t>
      </w:r>
      <w:r>
        <w:t xml:space="preserve">He will scatter signs of ventriloquists and divinations from the heart, turning wise men backward and making their counsel foolish,</w:t>
      </w:r>
    </w:p>
    <w:p>
      <w:r>
        <w:rPr>
          <w:b/>
        </w:rPr>
        <w:t xml:space="preserve">26 </w:t>
      </w:r>
      <w:r>
        <w:t xml:space="preserve">He establishes the words of his servant and makes true the counsel of his messengers, the one saying, Jerusalem, You will be inhabited, and to the cities of Judah, You will be built, and her desolate places will spring up.</w:t>
      </w:r>
    </w:p>
    <w:p>
      <w:r>
        <w:rPr>
          <w:b/>
        </w:rPr>
        <w:t xml:space="preserve">27 </w:t>
      </w:r>
      <w:r>
        <w:t xml:space="preserve">the one saying to the deep, Be made desolate, and I will dry up your rivers.</w:t>
      </w:r>
    </w:p>
    <w:p>
      <w:r>
        <w:rPr>
          <w:b/>
        </w:rPr>
        <w:t xml:space="preserve">28 </w:t>
      </w:r>
      <w:r>
        <w:t xml:space="preserve">the one saying to Cyrus</w:t>
      </w:r>
      <w:r>
        <w:rPr>
          <w:rStyle w:val="FootnoteReference"/>
        </w:rPr>
        <w:footnoteReference w:id="11716"/>
      </w:r>
      <w:r>
        <w:t xml:space="preserve">, Think rightly, and he will do all my will, the one saying, Jerusalem, You will be built, and I will lay the foundation of my holy house.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45</w:t>
      </w:r>
    </w:p>
    <w:p>
      <w:r>
        <w:rPr>
          <w:b/>
        </w:rPr>
        <w:t xml:space="preserve">1 </w:t>
      </w:r>
      <w:r>
        <w:t xml:space="preserve">Thus says the Lord God to Cyrus, my anointed, whose right hand I grasped, to make nations obey before him. I will tear apart the strength of kings, open doors before him, and cities will not be shut.</w:t>
      </w:r>
    </w:p>
    <w:p>
      <w:r>
        <w:rPr>
          <w:b/>
        </w:rPr>
        <w:t xml:space="preserve">2 </w:t>
      </w:r>
      <w:r>
        <w:t xml:space="preserve">I will go before</w:t>
      </w:r>
      <w:r>
        <w:rPr>
          <w:rStyle w:val="FootnoteReference"/>
        </w:rPr>
        <w:footnoteReference w:id="11717"/>
      </w:r>
      <w:r>
        <w:t xml:space="preserve"> you and level mountains; I will crush bronze doors and break iron bars.</w:t>
      </w:r>
    </w:p>
    <w:p>
      <w:r>
        <w:rPr>
          <w:b/>
        </w:rPr>
        <w:t xml:space="preserve">3 </w:t>
      </w:r>
      <w:r>
        <w:t xml:space="preserve">And I will give</w:t>
      </w:r>
      <w:r>
        <w:rPr>
          <w:rStyle w:val="FootnoteReference"/>
        </w:rPr>
        <w:footnoteReference w:id="11718"/>
      </w:r>
      <w:r>
        <w:t xml:space="preserve"> you treasures of darkness; hidden unseen treasures I will open for you, so you may know that I am the Lord God, the one calling your name, the God of Israel.</w:t>
      </w:r>
    </w:p>
    <w:p>
      <w:r>
        <w:rPr>
          <w:b/>
        </w:rPr>
        <w:t xml:space="preserve">4 </w:t>
      </w:r>
      <w:r>
        <w:t xml:space="preserve">For the sake of Jacob</w:t>
      </w:r>
      <w:r>
        <w:rPr>
          <w:rStyle w:val="FootnoteReference"/>
        </w:rPr>
        <w:footnoteReference w:id="11719"/>
      </w:r>
      <w:r>
        <w:t xml:space="preserve"> my servant and Israel my chosen, I will call you by your name and accept you; but you did not know me.</w:t>
      </w:r>
    </w:p>
    <w:p>
      <w:r>
        <w:rPr>
          <w:b/>
        </w:rPr>
        <w:t xml:space="preserve">5 </w:t>
      </w:r>
      <w:r>
        <w:t xml:space="preserve">Because I am the Lord</w:t>
      </w:r>
      <w:r>
        <w:rPr>
          <w:rStyle w:val="FootnoteReference"/>
        </w:rPr>
        <w:footnoteReference w:id="11720"/>
      </w:r>
      <w:r>
        <w:t xml:space="preserve"> God, and there is no other; there is no god besides me, and you did not know me.</w:t>
      </w:r>
    </w:p>
    <w:p>
      <w:r>
        <w:rPr>
          <w:b/>
        </w:rPr>
        <w:t xml:space="preserve">6 </w:t>
      </w:r>
      <w:r>
        <w:t xml:space="preserve">so that those from the rising of the sun and those from the west may know that none exists besides me. I am the Lord God, and there is no other.</w:t>
      </w:r>
    </w:p>
    <w:p>
      <w:r>
        <w:rPr>
          <w:b/>
        </w:rPr>
        <w:t xml:space="preserve">7 </w:t>
      </w:r>
      <w:r>
        <w:t xml:space="preserve">I am the one preparing light and making darkness, making peace and creating evils; I am the Lord God, the one doing all these things.</w:t>
      </w:r>
    </w:p>
    <w:p>
      <w:r>
        <w:rPr>
          <w:b/>
        </w:rPr>
        <w:t xml:space="preserve">8 </w:t>
      </w:r>
      <w:r>
        <w:t xml:space="preserve">Let the heaven above rejoice, and let the clouds rain righteousness. Let the earth</w:t>
      </w:r>
      <w:r>
        <w:rPr>
          <w:rStyle w:val="FootnoteReference"/>
        </w:rPr>
        <w:footnoteReference w:id="11721"/>
      </w:r>
      <w:r>
        <w:t xml:space="preserve"> sprout mercy, and let righteousness spring up together. I am the Lord who created you.</w:t>
      </w:r>
    </w:p>
    <w:p>
      <w:r>
        <w:rPr>
          <w:b/>
        </w:rPr>
        <w:t xml:space="preserve">9 </w:t>
      </w:r>
      <w:r>
        <w:t xml:space="preserve">What better thing did I make than clay of a potter? Will the plowman plow the whole earth all day? Will the clay say to the potter, What are you doing, since you do not work, nor do you have hands?</w:t>
      </w:r>
    </w:p>
    <w:p>
      <w:r>
        <w:rPr>
          <w:b/>
        </w:rPr>
        <w:t xml:space="preserve">10 </w:t>
      </w:r>
      <w:r>
        <w:t xml:space="preserve">The one saying to the father, What will you beget? and to the mother, What are you laboring to bear?</w:t>
      </w:r>
    </w:p>
    <w:p>
      <w:r>
        <w:rPr>
          <w:b/>
        </w:rPr>
        <w:t xml:space="preserve">11 </w:t>
      </w:r>
      <w:r>
        <w:t xml:space="preserve">Because thus says the Lord God, the Holy One</w:t>
      </w:r>
      <w:r>
        <w:rPr>
          <w:rStyle w:val="FootnoteReference"/>
        </w:rPr>
        <w:footnoteReference w:id="11722"/>
      </w:r>
      <w:r>
        <w:t xml:space="preserve"> of Israel, the one making the things coming: Ask me concerning my sons and my daughters, and command me concerning the works of my hands.</w:t>
      </w:r>
    </w:p>
    <w:p>
      <w:r>
        <w:rPr>
          <w:b/>
        </w:rPr>
        <w:t xml:space="preserve">12 </w:t>
      </w:r>
      <w:r>
        <w:t xml:space="preserve">I made the earth</w:t>
      </w:r>
      <w:r>
        <w:rPr>
          <w:rStyle w:val="FootnoteReference"/>
        </w:rPr>
        <w:footnoteReference w:id="11723"/>
      </w:r>
      <w:r>
        <w:t xml:space="preserve"> and humankind on it. I fixed heaven with my hand; I commanded all the stars.</w:t>
      </w:r>
    </w:p>
    <w:p>
      <w:r>
        <w:rPr>
          <w:b/>
        </w:rPr>
        <w:t xml:space="preserve">13 </w:t>
      </w:r>
      <w:r>
        <w:t xml:space="preserve">I raised him</w:t>
      </w:r>
      <w:r>
        <w:rPr>
          <w:rStyle w:val="FootnoteReference"/>
        </w:rPr>
        <w:footnoteReference w:id="11724"/>
      </w:r>
      <w:r>
        <w:t xml:space="preserve"> up with righteousness as king, and all his ways are straight. He will build my city and turn back the captivity of my people, not with ransoms nor with gifts, says the Lord of hosts.</w:t>
      </w:r>
    </w:p>
    <w:p>
      <w:r>
        <w:rPr>
          <w:b/>
        </w:rPr>
        <w:t xml:space="preserve">14 </w:t>
      </w:r>
      <w:r>
        <w:t xml:space="preserve">Thus says the Lord of hosts: Egypt labored, and the trade of Ethiopians, and the Sabeans</w:t>
      </w:r>
      <w:r>
        <w:rPr>
          <w:rStyle w:val="FootnoteReference"/>
        </w:rPr>
        <w:footnoteReference w:id="11725"/>
      </w:r>
      <w:r>
        <w:t xml:space="preserve">, tall men, will pass over to you and be your slaves, and behind you they will follow, bound with fetters, and they will worship you and make supplication to you, because God is in you; and they will say, No god exists besides you.</w:t>
      </w:r>
      <w:r>
        <w:rPr>
          <w:rStyle w:val="FootnoteReference"/>
        </w:rPr>
        <w:footnoteReference w:id="11726"/>
      </w:r>
    </w:p>
    <w:p>
      <w:r>
        <w:rPr>
          <w:b/>
        </w:rPr>
        <w:t xml:space="preserve">15 </w:t>
      </w:r>
      <w:r>
        <w:t xml:space="preserve">For you are God, and we did not know it, the God of Israel, Savior.</w:t>
      </w:r>
    </w:p>
    <w:p>
      <w:r>
        <w:rPr>
          <w:b/>
        </w:rPr>
        <w:t xml:space="preserve">16 </w:t>
      </w:r>
      <w:r>
        <w:t xml:space="preserve">All those opposing him will be shamed and disgraced, and they will go in shame. Renew yourselves toward me, islands.</w:t>
      </w:r>
    </w:p>
    <w:p>
      <w:r>
        <w:rPr>
          <w:b/>
        </w:rPr>
        <w:t xml:space="preserve">17 </w:t>
      </w:r>
      <w:r>
        <w:t xml:space="preserve">Israel</w:t>
      </w:r>
      <w:r>
        <w:rPr>
          <w:rStyle w:val="FootnoteReference"/>
        </w:rPr>
        <w:footnoteReference w:id="11727"/>
      </w:r>
      <w:r>
        <w:t xml:space="preserve"> is saved by the Lord with everlasting salvation; they will not be ashamed nor disgraced forever.</w:t>
      </w:r>
    </w:p>
    <w:p>
      <w:r>
        <w:rPr>
          <w:b/>
        </w:rPr>
        <w:t xml:space="preserve">18 </w:t>
      </w:r>
      <w:r>
        <w:t xml:space="preserve">Thus says the Lord, the one making heaven: this God, the one bringing the earth to view and making it, he himself marked it out. He did not make it empty, but to be inhabited. I am, and there is no other.</w:t>
      </w:r>
    </w:p>
    <w:p>
      <w:r>
        <w:rPr>
          <w:b/>
        </w:rPr>
        <w:t xml:space="preserve">19 </w:t>
      </w:r>
      <w:r>
        <w:t xml:space="preserve">Not in secret have I spoken</w:t>
      </w:r>
      <w:r>
        <w:rPr>
          <w:rStyle w:val="FootnoteReference"/>
        </w:rPr>
        <w:footnoteReference w:id="11728"/>
      </w:r>
      <w:r>
        <w:t xml:space="preserve">, nor in a dark place of the earth. I did not say to the seed of Jacob, Seek me in vain. I am, I am the Lord, speaking righteousness and declaring truth.</w:t>
      </w:r>
    </w:p>
    <w:p>
      <w:r>
        <w:rPr>
          <w:b/>
        </w:rPr>
        <w:t xml:space="preserve">20 </w:t>
      </w:r>
      <w:r>
        <w:t xml:space="preserve">Gather yourselves</w:t>
      </w:r>
      <w:r>
        <w:rPr>
          <w:rStyle w:val="FootnoteReference"/>
        </w:rPr>
        <w:footnoteReference w:id="11729"/>
      </w:r>
      <w:r>
        <w:t xml:space="preserve"> and come; take counsel together, those being saved from the nations. They did not know, those carrying the wood of their carved image and praying as to gods who do not save.</w:t>
      </w:r>
    </w:p>
    <w:p>
      <w:r>
        <w:rPr>
          <w:b/>
        </w:rPr>
        <w:t xml:space="preserve">21 </w:t>
      </w:r>
      <w:r>
        <w:t xml:space="preserve">If they declare, let them come near, so they may know together. Who made these things heard from the beginning? Then it was declared to you. I am God, and there is</w:t>
      </w:r>
      <w:r>
        <w:rPr>
          <w:rStyle w:val="FootnoteReference"/>
        </w:rPr>
        <w:footnoteReference w:id="11730"/>
      </w:r>
      <w:r>
        <w:t xml:space="preserve"> no other besides me; righteous and Savior, there is none apart from me.</w:t>
      </w:r>
    </w:p>
    <w:p>
      <w:r>
        <w:rPr>
          <w:b/>
        </w:rPr>
        <w:t xml:space="preserve">22 </w:t>
      </w:r>
      <w:r>
        <w:t xml:space="preserve">Turn to me and be saved, those from the end of the earth. I am God, and there is no other.</w:t>
      </w:r>
    </w:p>
    <w:p>
      <w:r>
        <w:rPr>
          <w:b/>
        </w:rPr>
        <w:t xml:space="preserve">23 </w:t>
      </w:r>
      <w:r>
        <w:t xml:space="preserve">By myself I swear: surely righteousness will go out from my mouth; my words will not turn back, because to me every knee will bend and every tongue</w:t>
      </w:r>
      <w:r>
        <w:rPr>
          <w:rStyle w:val="FootnoteReference"/>
        </w:rPr>
        <w:footnoteReference w:id="11731"/>
      </w:r>
      <w:r>
        <w:t xml:space="preserve"> will confess to God.</w:t>
      </w:r>
    </w:p>
    <w:p>
      <w:r>
        <w:rPr>
          <w:b/>
        </w:rPr>
        <w:t xml:space="preserve">24 </w:t>
      </w:r>
      <w:r>
        <w:t xml:space="preserve">saying, Righteousness and glory will come to him, and all those separating themselves will be shamed.</w:t>
      </w:r>
    </w:p>
    <w:p>
      <w:r>
        <w:rPr>
          <w:b/>
        </w:rPr>
        <w:t xml:space="preserve">25 </w:t>
      </w:r>
      <w:r>
        <w:t xml:space="preserve">From the Lord</w:t>
      </w:r>
      <w:r>
        <w:rPr>
          <w:rStyle w:val="FootnoteReference"/>
        </w:rPr>
        <w:footnoteReference w:id="11732"/>
      </w:r>
      <w:r>
        <w:t xml:space="preserve"> all the seed of the sons of Israel will be justified, and in God they will be glorified.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46</w:t>
      </w:r>
    </w:p>
    <w:p>
      <w:r>
        <w:rPr>
          <w:b/>
        </w:rPr>
        <w:t xml:space="preserve">1 </w:t>
      </w:r>
      <w:r>
        <w:t xml:space="preserve">Bel</w:t>
      </w:r>
      <w:r>
        <w:rPr>
          <w:rStyle w:val="FootnoteReference"/>
        </w:rPr>
        <w:footnoteReference w:id="11733"/>
      </w:r>
      <w:r>
        <w:t xml:space="preserve"> fell; Dagon was shattered. Their carved images came to belong to wild animals and cattle. Carry them, bound, like a burden</w:t>
      </w:r>
      <w:r>
        <w:rPr>
          <w:rStyle w:val="FootnoteReference"/>
        </w:rPr>
        <w:footnoteReference w:id="11734"/>
      </w:r>
      <w:r>
        <w:t xml:space="preserve"> for a weary one.</w:t>
      </w:r>
    </w:p>
    <w:p>
      <w:r>
        <w:rPr>
          <w:b/>
        </w:rPr>
        <w:t xml:space="preserve">2 </w:t>
      </w:r>
      <w:r>
        <w:t xml:space="preserve">and for a hungry and exhausted one, one without strength. Together they will not be able to be saved from war, but they themselves were led away captive.</w:t>
      </w:r>
    </w:p>
    <w:p>
      <w:r>
        <w:rPr>
          <w:b/>
        </w:rPr>
        <w:t xml:space="preserve">3 </w:t>
      </w:r>
      <w:r>
        <w:t xml:space="preserve">Hear me, house of Jacob, and all the remnant</w:t>
      </w:r>
      <w:r>
        <w:rPr>
          <w:rStyle w:val="FootnoteReference"/>
        </w:rPr>
        <w:footnoteReference w:id="11735"/>
      </w:r>
      <w:r>
        <w:t xml:space="preserve"> of Israel, the ones being carried from the womb and being instructed from childhood.</w:t>
      </w:r>
    </w:p>
    <w:p>
      <w:r>
        <w:rPr>
          <w:b/>
        </w:rPr>
        <w:t xml:space="preserve">4 </w:t>
      </w:r>
      <w:r>
        <w:t xml:space="preserve">Until old age I am, and until you grow old I am. I bear with you; I made, and I will sustain; I will take up and save you.</w:t>
      </w:r>
    </w:p>
    <w:p>
      <w:r>
        <w:rPr>
          <w:b/>
        </w:rPr>
        <w:t xml:space="preserve">5 </w:t>
      </w:r>
      <w:r>
        <w:t xml:space="preserve">To whom have you compared me? Look. Devise it, you who wander.</w:t>
      </w:r>
    </w:p>
    <w:p>
      <w:r>
        <w:rPr>
          <w:b/>
        </w:rPr>
        <w:t xml:space="preserve">6 </w:t>
      </w:r>
      <w:r>
        <w:t xml:space="preserve">Those pouring out gold from a purse and silver in a balance, they set it by weight, and hiring a goldsmith, they made things made by hands, and bending down they worship them.</w:t>
      </w:r>
    </w:p>
    <w:p>
      <w:r>
        <w:rPr>
          <w:b/>
        </w:rPr>
        <w:t xml:space="preserve">7 </w:t>
      </w:r>
      <w:r>
        <w:t xml:space="preserve">They lift it on their shoulders and go. But if they set it in its place, it remains; it will certainly not move, and whoever cries out to it, it will certainly not hear; it will certainly not save him from evils.</w:t>
      </w:r>
    </w:p>
    <w:p>
      <w:r>
        <w:rPr>
          <w:b/>
        </w:rPr>
        <w:t xml:space="preserve">8 </w:t>
      </w:r>
      <w:r>
        <w:t xml:space="preserve">Remember</w:t>
      </w:r>
      <w:r>
        <w:rPr>
          <w:rStyle w:val="FootnoteReference"/>
        </w:rPr>
        <w:footnoteReference w:id="11736"/>
      </w:r>
      <w:r>
        <w:t xml:space="preserve"> these things and groan. Repent, you who have been led astray; turn back in the heart.</w:t>
      </w:r>
    </w:p>
    <w:p>
      <w:r>
        <w:rPr>
          <w:b/>
        </w:rPr>
        <w:t xml:space="preserve">9 </w:t>
      </w:r>
      <w:r>
        <w:t xml:space="preserve">And remember the former</w:t>
      </w:r>
      <w:r>
        <w:rPr>
          <w:rStyle w:val="FootnoteReference"/>
        </w:rPr>
        <w:footnoteReference w:id="11737"/>
      </w:r>
      <w:r>
        <w:t xml:space="preserve"> things from the age, because I am God, and there is no other besides me.</w:t>
      </w:r>
    </w:p>
    <w:p>
      <w:r>
        <w:rPr>
          <w:b/>
        </w:rPr>
        <w:t xml:space="preserve">10 </w:t>
      </w:r>
      <w:r>
        <w:t xml:space="preserve">Declaring beforehand the last things before they come to be, and at once they were completed. And I said, All my counsel</w:t>
      </w:r>
      <w:r>
        <w:rPr>
          <w:rStyle w:val="FootnoteReference"/>
        </w:rPr>
        <w:footnoteReference w:id="11738"/>
      </w:r>
      <w:r>
        <w:t xml:space="preserve"> will stand, and all the things I have planned I will do.</w:t>
      </w:r>
    </w:p>
    <w:p>
      <w:r>
        <w:rPr>
          <w:b/>
        </w:rPr>
        <w:t xml:space="preserve">11 </w:t>
      </w:r>
      <w:r>
        <w:t xml:space="preserve">Calling</w:t>
      </w:r>
      <w:r>
        <w:rPr>
          <w:rStyle w:val="FootnoteReference"/>
        </w:rPr>
        <w:footnoteReference w:id="11739"/>
      </w:r>
      <w:r>
        <w:t xml:space="preserve"> a bird from the east and from a far land the things concerning which I have planned. I spoke and brought it; I created and made it; I brought him and prospered his way.</w:t>
      </w:r>
    </w:p>
    <w:p>
      <w:r>
        <w:rPr>
          <w:b/>
        </w:rPr>
        <w:t xml:space="preserve">12 </w:t>
      </w:r>
      <w:r>
        <w:t xml:space="preserve">Hear me, you who have lost the heart, you who are far from righteousness.</w:t>
      </w:r>
    </w:p>
    <w:p>
      <w:r>
        <w:rPr>
          <w:b/>
        </w:rPr>
        <w:t xml:space="preserve">13 </w:t>
      </w:r>
      <w:r>
        <w:t xml:space="preserve">I brought near my righteousness and the salvation</w:t>
      </w:r>
      <w:r>
        <w:rPr>
          <w:rStyle w:val="FootnoteReference"/>
        </w:rPr>
        <w:footnoteReference w:id="11740"/>
      </w:r>
      <w:r>
        <w:t xml:space="preserve"> that is from me. I will not delay. I have given salvation in Zion to Israel for glory.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47</w:t>
      </w:r>
    </w:p>
    <w:p>
      <w:r>
        <w:rPr>
          <w:b/>
        </w:rPr>
        <w:t xml:space="preserve">1 </w:t>
      </w:r>
      <w:r>
        <w:t xml:space="preserve">Come down</w:t>
      </w:r>
      <w:r>
        <w:rPr>
          <w:rStyle w:val="FootnoteReference"/>
        </w:rPr>
        <w:footnoteReference w:id="11741"/>
      </w:r>
      <w:r>
        <w:t xml:space="preserve">. Sit upon the ground, virgin daughter of Babylon. Enter into darkness, daughter of the Chaldeans, because no longer will you be called tender and delicate.</w:t>
      </w:r>
    </w:p>
    <w:p>
      <w:r>
        <w:rPr>
          <w:b/>
        </w:rPr>
        <w:t xml:space="preserve">2 </w:t>
      </w:r>
      <w:r>
        <w:t xml:space="preserve">Take a millstone. Grind flour. Uncover your veil; uncover your gray hairs; draw up your legs; cross rivers.</w:t>
      </w:r>
    </w:p>
    <w:p>
      <w:r>
        <w:rPr>
          <w:b/>
        </w:rPr>
        <w:t xml:space="preserve">3 </w:t>
      </w:r>
      <w:r>
        <w:t xml:space="preserve">Your shame will be uncovered; your reproaches will be seen. From you I will take</w:t>
      </w:r>
      <w:r>
        <w:rPr>
          <w:rStyle w:val="FootnoteReference"/>
        </w:rPr>
        <w:footnoteReference w:id="11742"/>
      </w:r>
      <w:r>
        <w:t xml:space="preserve"> justice; I will no longer hand you over to people.</w:t>
      </w:r>
    </w:p>
    <w:p>
      <w:r>
        <w:rPr>
          <w:b/>
        </w:rPr>
        <w:t xml:space="preserve">4 </w:t>
      </w:r>
      <w:r>
        <w:t xml:space="preserve">The one who rescued you said: the Lord of hosts is his name, the Holy One of Israel.</w:t>
      </w:r>
    </w:p>
    <w:p>
      <w:r>
        <w:rPr>
          <w:b/>
        </w:rPr>
        <w:t xml:space="preserve">5 </w:t>
      </w:r>
      <w:r>
        <w:t xml:space="preserve">Sit pierced through. Enter into darkness, daughter of the Chaldeans, because no longer will you be called strength of a kingdom.</w:t>
      </w:r>
    </w:p>
    <w:p>
      <w:r>
        <w:rPr>
          <w:b/>
        </w:rPr>
        <w:t xml:space="preserve">6 </w:t>
      </w:r>
      <w:r>
        <w:t xml:space="preserve">I was provoked against my people. You defiled my inheritance. I gave them into your hand, but you gave them no mercy; upon</w:t>
      </w:r>
      <w:r>
        <w:rPr>
          <w:rStyle w:val="FootnoteReference"/>
        </w:rPr>
        <w:footnoteReference w:id="11743"/>
      </w:r>
      <w:r>
        <w:t xml:space="preserve"> the elder you made the yoke very heavy.</w:t>
      </w:r>
    </w:p>
    <w:p>
      <w:r>
        <w:rPr>
          <w:b/>
        </w:rPr>
        <w:t xml:space="preserve">7 </w:t>
      </w:r>
      <w:r>
        <w:t xml:space="preserve">And you said, Forever I will be ruler. You did not consider these things in your heart, nor remember the last things.</w:t>
      </w:r>
    </w:p>
    <w:p>
      <w:r>
        <w:rPr>
          <w:b/>
        </w:rPr>
        <w:t xml:space="preserve">8 </w:t>
      </w:r>
      <w:r>
        <w:t xml:space="preserve">Now hear these things, delicate one, the one sitting secure, the one saying in her heart, I am, and there is no other. I will not sit as a widow, nor know childlessness.</w:t>
      </w:r>
    </w:p>
    <w:p>
      <w:r>
        <w:rPr>
          <w:b/>
        </w:rPr>
        <w:t xml:space="preserve">9 </w:t>
      </w:r>
      <w:r>
        <w:t xml:space="preserve">But now these two</w:t>
      </w:r>
      <w:r>
        <w:rPr>
          <w:rStyle w:val="FootnoteReference"/>
        </w:rPr>
        <w:footnoteReference w:id="11744"/>
      </w:r>
      <w:r>
        <w:t xml:space="preserve"> things will come upon you suddenly in one day: widowhood and childlessness. They will come upon you suddenly in your sorcery, in the great strength of your spells, exceedingly.</w:t>
      </w:r>
    </w:p>
    <w:p>
      <w:r>
        <w:rPr>
          <w:b/>
        </w:rPr>
        <w:t xml:space="preserve">10 </w:t>
      </w:r>
      <w:r>
        <w:t xml:space="preserve">In the hope of your evil, for you said, I am, and there is no other. Know that the understanding of these things and your prostitution will be shame to you, and you said in your heart, I am, and there is no other.</w:t>
      </w:r>
    </w:p>
    <w:p>
      <w:r>
        <w:rPr>
          <w:b/>
        </w:rPr>
        <w:t xml:space="preserve">11 </w:t>
      </w:r>
      <w:r>
        <w:t xml:space="preserve">And ruin will come upon you, and you will certainly not know the pit, and you will fall into it. Misery will come upon you, and you will not be able to become clean. Sudden ruin will come upon you, and you will certainly not know it.</w:t>
      </w:r>
    </w:p>
    <w:p>
      <w:r>
        <w:rPr>
          <w:b/>
        </w:rPr>
        <w:t xml:space="preserve">12 </w:t>
      </w:r>
      <w:r>
        <w:t xml:space="preserve">Stand now in your spells and in your much sorcery, which you learned from your youth, if you will be able to be helped.</w:t>
      </w:r>
    </w:p>
    <w:p>
      <w:r>
        <w:rPr>
          <w:b/>
        </w:rPr>
        <w:t xml:space="preserve">13 </w:t>
      </w:r>
      <w:r>
        <w:t xml:space="preserve">You have grown weary in your counsels. Let the astrologers of heaven stand and save you, those seeing the stars; let them announce to you what is about to come upon you.</w:t>
      </w:r>
    </w:p>
    <w:p>
      <w:r>
        <w:rPr>
          <w:b/>
        </w:rPr>
        <w:t xml:space="preserve">14 </w:t>
      </w:r>
      <w:r>
        <w:t xml:space="preserve">See, all will be burned like brushwood in fire, and they will certainly not rescue their soul from flame, because you have coals of fire; sit upon them.</w:t>
      </w:r>
    </w:p>
    <w:p>
      <w:r>
        <w:rPr>
          <w:b/>
        </w:rPr>
        <w:t xml:space="preserve">15 </w:t>
      </w:r>
      <w:r>
        <w:t xml:space="preserve">These will be your help. You labored in your trafficking from youth. Each man wandered by himself, but for you there will be no salvation.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48</w:t>
      </w:r>
    </w:p>
    <w:p>
      <w:r>
        <w:rPr>
          <w:b/>
        </w:rPr>
        <w:t xml:space="preserve">1 </w:t>
      </w:r>
      <w:r>
        <w:t xml:space="preserve">Hear these things, house of Jacob, those called by the name Israel and those who came out from Judah, those swearing by the name of the Lord God of Israel, making mention not with truth nor with righteousness.</w:t>
      </w:r>
    </w:p>
    <w:p>
      <w:r>
        <w:rPr>
          <w:b/>
        </w:rPr>
        <w:t xml:space="preserve">2 </w:t>
      </w:r>
      <w:r>
        <w:t xml:space="preserve">and those holding fast to the name of the holy city and leaning on the God of Israel; the Lord</w:t>
      </w:r>
      <w:r>
        <w:rPr>
          <w:rStyle w:val="FootnoteReference"/>
        </w:rPr>
        <w:footnoteReference w:id="11745"/>
      </w:r>
      <w:r>
        <w:t xml:space="preserve"> of hosts is his name.</w:t>
      </w:r>
    </w:p>
    <w:p>
      <w:r>
        <w:rPr>
          <w:b/>
        </w:rPr>
        <w:t xml:space="preserve">3 </w:t>
      </w:r>
      <w:r>
        <w:t xml:space="preserve">The former things I declared</w:t>
      </w:r>
      <w:r>
        <w:rPr>
          <w:rStyle w:val="FootnoteReference"/>
        </w:rPr>
        <w:footnoteReference w:id="11746"/>
      </w:r>
      <w:r>
        <w:t xml:space="preserve"> even then, and from my mouth they went out and became heard. Suddenly I did them, and they came.</w:t>
      </w:r>
    </w:p>
    <w:p>
      <w:r>
        <w:rPr>
          <w:b/>
        </w:rPr>
        <w:t xml:space="preserve">4 </w:t>
      </w:r>
      <w:r>
        <w:t xml:space="preserve">I know that you are hard, and your neck is an iron sinew, and your forehead is bronze.</w:t>
      </w:r>
    </w:p>
    <w:p>
      <w:r>
        <w:rPr>
          <w:b/>
        </w:rPr>
        <w:t xml:space="preserve">5 </w:t>
      </w:r>
      <w:r>
        <w:t xml:space="preserve">And I declared to you of old; before it came upon you, I made it heard to you, lest you say, My idols did them, and lest you say, My carved and cast things commanded me.</w:t>
      </w:r>
    </w:p>
    <w:p>
      <w:r>
        <w:rPr>
          <w:b/>
        </w:rPr>
        <w:t xml:space="preserve">6 </w:t>
      </w:r>
      <w:r>
        <w:t xml:space="preserve">You heard all things, and you did not know. But I also made new things heard to you from now on, the things that are about to come to be, and you did not say.</w:t>
      </w:r>
    </w:p>
    <w:p>
      <w:r>
        <w:rPr>
          <w:b/>
        </w:rPr>
        <w:t xml:space="preserve">7 </w:t>
      </w:r>
      <w:r>
        <w:t xml:space="preserve">Now they come to be and not long ago, and in former days you did not hear them, lest you say, Yes, I know them.</w:t>
      </w:r>
    </w:p>
    <w:p>
      <w:r>
        <w:rPr>
          <w:b/>
        </w:rPr>
        <w:t xml:space="preserve">8 </w:t>
      </w:r>
      <w:r>
        <w:t xml:space="preserve">You neither knew nor understood, nor from the beginning did I open your ears, for I knew</w:t>
      </w:r>
      <w:r>
        <w:rPr>
          <w:rStyle w:val="FootnoteReference"/>
        </w:rPr>
        <w:footnoteReference w:id="11747"/>
      </w:r>
      <w:r>
        <w:t xml:space="preserve"> that in rejecting you would reject, and lawless from the womb you would be called.</w:t>
      </w:r>
    </w:p>
    <w:p>
      <w:r>
        <w:rPr>
          <w:b/>
        </w:rPr>
        <w:t xml:space="preserve">9 </w:t>
      </w:r>
      <w:r>
        <w:t xml:space="preserve">For the sake of my name I will show you my wrath, and my glorious things I will bring upon you, so that I do not destroy you.</w:t>
      </w:r>
    </w:p>
    <w:p>
      <w:r>
        <w:rPr>
          <w:b/>
        </w:rPr>
        <w:t xml:space="preserve">10 </w:t>
      </w:r>
      <w:r>
        <w:t xml:space="preserve">See, I have sold you, not for silver, but I rescued you from a furnace of poverty.</w:t>
      </w:r>
    </w:p>
    <w:p>
      <w:r>
        <w:rPr>
          <w:b/>
        </w:rPr>
        <w:t xml:space="preserve">11 </w:t>
      </w:r>
      <w:r>
        <w:t xml:space="preserve">For my own sake I will do this for you, because my name is being profaned, and my glory I will not</w:t>
      </w:r>
      <w:r>
        <w:rPr>
          <w:rStyle w:val="FootnoteReference"/>
        </w:rPr>
        <w:footnoteReference w:id="11748"/>
      </w:r>
      <w:r>
        <w:t xml:space="preserve"> give to another.</w:t>
      </w:r>
    </w:p>
    <w:p>
      <w:r>
        <w:rPr>
          <w:b/>
        </w:rPr>
        <w:t xml:space="preserve">12 </w:t>
      </w:r>
      <w:r>
        <w:t xml:space="preserve">Hear me, Jacob, and Israel whom I call. I am first, and I am forever.</w:t>
      </w:r>
    </w:p>
    <w:p>
      <w:r>
        <w:rPr>
          <w:b/>
        </w:rPr>
        <w:t xml:space="preserve">13 </w:t>
      </w:r>
      <w:r>
        <w:t xml:space="preserve">My hand</w:t>
      </w:r>
      <w:r>
        <w:rPr>
          <w:rStyle w:val="FootnoteReference"/>
        </w:rPr>
        <w:footnoteReference w:id="11749"/>
      </w:r>
      <w:r>
        <w:t xml:space="preserve"> founded the earth, and my right hand fixed heaven. I will call them, and they will stand together.</w:t>
      </w:r>
    </w:p>
    <w:p>
      <w:r>
        <w:rPr>
          <w:b/>
        </w:rPr>
        <w:t xml:space="preserve">14 </w:t>
      </w:r>
      <w:r>
        <w:t xml:space="preserve">And all will be gathered and will hear. Who declared these things to them? Loving you, I did your will against Babylon, to remove the seed of the Chaldeans.</w:t>
      </w:r>
    </w:p>
    <w:p>
      <w:r>
        <w:rPr>
          <w:b/>
        </w:rPr>
        <w:t xml:space="preserve">15 </w:t>
      </w:r>
      <w:r>
        <w:t xml:space="preserve">I spoke, I called, I brought him, and I prospered his way.</w:t>
      </w:r>
    </w:p>
    <w:p>
      <w:r>
        <w:rPr>
          <w:b/>
        </w:rPr>
        <w:t xml:space="preserve">16 </w:t>
      </w:r>
      <w:r>
        <w:t xml:space="preserve">Come near to me and hear these things. Not from the beginning did I speak in secret, nor in a dark place of the earth. When it came to be, I was there. And now the Lord has sent me, and his Spirit.</w:t>
      </w:r>
    </w:p>
    <w:p>
      <w:r>
        <w:rPr>
          <w:b/>
        </w:rPr>
        <w:t xml:space="preserve">17 </w:t>
      </w:r>
      <w:r>
        <w:t xml:space="preserve">Thus says the Lord</w:t>
      </w:r>
      <w:r>
        <w:rPr>
          <w:rStyle w:val="FootnoteReference"/>
        </w:rPr>
        <w:footnoteReference w:id="11750"/>
      </w:r>
      <w:r>
        <w:t xml:space="preserve">, the one rescuing you, the Holy One of Israel: I am your God. I have shown you to find the way in which you will walk.</w:t>
      </w:r>
    </w:p>
    <w:p>
      <w:r>
        <w:rPr>
          <w:b/>
        </w:rPr>
        <w:t xml:space="preserve">18 </w:t>
      </w:r>
      <w:r>
        <w:t xml:space="preserve">And if you had heard my commandments, your peace would have become like a river and your righteousness like a wave of the sea.</w:t>
      </w:r>
    </w:p>
    <w:p>
      <w:r>
        <w:rPr>
          <w:b/>
        </w:rPr>
        <w:t xml:space="preserve">19 </w:t>
      </w:r>
      <w:r>
        <w:t xml:space="preserve">And your seed</w:t>
      </w:r>
      <w:r>
        <w:rPr>
          <w:rStyle w:val="FootnoteReference"/>
        </w:rPr>
        <w:footnoteReference w:id="11751"/>
      </w:r>
      <w:r>
        <w:t xml:space="preserve"> would have become like the sand, and the offspring of your womb like the dust of the earth. Even now you would certainly not be destroyed, nor would your name perish before me.</w:t>
      </w:r>
    </w:p>
    <w:p>
      <w:r>
        <w:rPr>
          <w:b/>
        </w:rPr>
        <w:t xml:space="preserve">20 </w:t>
      </w:r>
      <w:r>
        <w:t xml:space="preserve">Go out from Babylon, fleeing from the Chaldeans. Declare a voice of gladness, and let this be heard. Proclaim it to the end of the earth. Say, The Lord rescued his servant Jacob.</w:t>
      </w:r>
    </w:p>
    <w:p>
      <w:r>
        <w:rPr>
          <w:b/>
        </w:rPr>
        <w:t xml:space="preserve">21 </w:t>
      </w:r>
      <w:r>
        <w:t xml:space="preserve">And if they thirst, through a wilderness he will lead them; he will bring out water for them from a rock. A rock will be split, and water will flow, and my people will drink.</w:t>
      </w:r>
    </w:p>
    <w:p>
      <w:r>
        <w:rPr>
          <w:b/>
        </w:rPr>
        <w:t xml:space="preserve">22 </w:t>
      </w:r>
      <w:r>
        <w:t xml:space="preserve">There is no rejoicing for the ungodly,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49</w:t>
      </w:r>
    </w:p>
    <w:p>
      <w:r>
        <w:rPr>
          <w:b/>
        </w:rPr>
        <w:t xml:space="preserve">1 </w:t>
      </w:r>
      <w:r>
        <w:t xml:space="preserve">Hear me, islands, and pay attention, nations. Through much time it will stand, says the Lord</w:t>
      </w:r>
      <w:r>
        <w:rPr>
          <w:rStyle w:val="FootnoteReference"/>
        </w:rPr>
        <w:footnoteReference w:id="11752"/>
      </w:r>
      <w:r>
        <w:t xml:space="preserve">. From my mother's womb he called my name.</w:t>
      </w:r>
    </w:p>
    <w:p>
      <w:r>
        <w:rPr>
          <w:b/>
        </w:rPr>
        <w:t xml:space="preserve">2 </w:t>
      </w:r>
      <w:r>
        <w:t xml:space="preserve">And he made my mouth like a sharp sword and hid me under the shelter of his hand. He made me</w:t>
      </w:r>
      <w:r>
        <w:rPr>
          <w:rStyle w:val="FootnoteReference"/>
        </w:rPr>
        <w:footnoteReference w:id="11753"/>
      </w:r>
      <w:r>
        <w:t xml:space="preserve"> like a chosen arrow and covered me in his quiver.</w:t>
      </w:r>
    </w:p>
    <w:p>
      <w:r>
        <w:rPr>
          <w:b/>
        </w:rPr>
        <w:t xml:space="preserve">3 </w:t>
      </w:r>
      <w:r>
        <w:t xml:space="preserve">And he said to me, You are my servant, Israel, and in you I will be glorified.</w:t>
      </w:r>
    </w:p>
    <w:p>
      <w:r>
        <w:rPr>
          <w:b/>
        </w:rPr>
        <w:t xml:space="preserve">4 </w:t>
      </w:r>
      <w:r>
        <w:t xml:space="preserve">But I said, In vain I labored, and for emptiness and for nothing I gave my strength. Therefore my judgment is with the Lord, and my toil is before my God.</w:t>
      </w:r>
    </w:p>
    <w:p>
      <w:r>
        <w:rPr>
          <w:b/>
        </w:rPr>
        <w:t xml:space="preserve">5 </w:t>
      </w:r>
      <w:r>
        <w:t xml:space="preserve">And now thus says the Lord, the one forming me from the womb as servant to himself, to gather Jacob and Israel</w:t>
      </w:r>
      <w:r>
        <w:rPr>
          <w:rStyle w:val="FootnoteReference"/>
        </w:rPr>
        <w:footnoteReference w:id="11754"/>
      </w:r>
      <w:r>
        <w:t xml:space="preserve"> to him. I will be gathered and glorified before the Lord, and my God will be my strength.</w:t>
      </w:r>
    </w:p>
    <w:p>
      <w:r>
        <w:rPr>
          <w:b/>
        </w:rPr>
        <w:t xml:space="preserve">6 </w:t>
      </w:r>
      <w:r>
        <w:t xml:space="preserve">And he said to me, It is a great thing for you to be called my servant, to establish the tribes of Jacob and turn back the dispersion of Israel. See, I have set you as a covenant of a race, as a light of nations, for you to be for salvation as far as the end of the earth.</w:t>
      </w:r>
    </w:p>
    <w:p>
      <w:r>
        <w:rPr>
          <w:b/>
        </w:rPr>
        <w:t xml:space="preserve">7 </w:t>
      </w:r>
      <w:r>
        <w:t xml:space="preserve">Thus says the Lord, the one rescuing you, the God of Israel: Sanctify the one despising his soul</w:t>
      </w:r>
      <w:r>
        <w:rPr>
          <w:rStyle w:val="FootnoteReference"/>
        </w:rPr>
        <w:footnoteReference w:id="11755"/>
      </w:r>
      <w:r>
        <w:t xml:space="preserve">, the one abhorred by the nations, the servant of rulers. Kings</w:t>
      </w:r>
      <w:r>
        <w:rPr>
          <w:rStyle w:val="FootnoteReference"/>
        </w:rPr>
        <w:footnoteReference w:id="11756"/>
      </w:r>
      <w:r>
        <w:t xml:space="preserve"> will see him and rise; rulers also will worship him, because of the Lord, because the Holy One of Israel is faithful, and he chose you.</w:t>
      </w:r>
    </w:p>
    <w:p>
      <w:r>
        <w:rPr>
          <w:b/>
        </w:rPr>
        <w:t xml:space="preserve">8 </w:t>
      </w:r>
      <w:r>
        <w:t xml:space="preserve">Thus says the Lord: In an</w:t>
      </w:r>
      <w:r>
        <w:rPr>
          <w:rStyle w:val="FootnoteReference"/>
        </w:rPr>
        <w:footnoteReference w:id="11757"/>
      </w:r>
      <w:r>
        <w:t xml:space="preserve"> acceptable time I heard you, and in a day of salvation I helped you, and I gave you as a covenant of nations, to establish the earth and inherit a deserted inheritance.</w:t>
      </w:r>
    </w:p>
    <w:p>
      <w:r>
        <w:rPr>
          <w:b/>
        </w:rPr>
        <w:t xml:space="preserve">9 </w:t>
      </w:r>
      <w:r>
        <w:t xml:space="preserve">saying to those in bonds, Come out, and to those in the darkness, Be revealed. On all their ways they will be pastured, and on all their paths will be their grazing.</w:t>
      </w:r>
    </w:p>
    <w:p>
      <w:r>
        <w:rPr>
          <w:b/>
        </w:rPr>
        <w:t xml:space="preserve">10 </w:t>
      </w:r>
      <w:r>
        <w:t xml:space="preserve">They will not hunger nor thirst, nor will burning heat strike them, nor the sun, but the one having mercy on them will comfort them and lead them by springs of waters.</w:t>
      </w:r>
    </w:p>
    <w:p>
      <w:r>
        <w:rPr>
          <w:b/>
        </w:rPr>
        <w:t xml:space="preserve">11 </w:t>
      </w:r>
      <w:r>
        <w:t xml:space="preserve">And I will make every mountain into a road and every path into pasture for them.</w:t>
      </w:r>
    </w:p>
    <w:p>
      <w:r>
        <w:rPr>
          <w:b/>
        </w:rPr>
        <w:t xml:space="preserve">12 </w:t>
      </w:r>
      <w:r>
        <w:t xml:space="preserve">See, these come from far away; these from the north, and these from the sea; and others from the land of the Persians.</w:t>
      </w:r>
    </w:p>
    <w:p>
      <w:r>
        <w:rPr>
          <w:b/>
        </w:rPr>
        <w:t xml:space="preserve">13 </w:t>
      </w:r>
      <w:r>
        <w:t xml:space="preserve">Rejoice, heavens, and let the earth exult. Let the mountains break out in gladness, and the hills in righteousness, because God had mercy on his people and comforted the humble ones of his people.</w:t>
      </w:r>
    </w:p>
    <w:p>
      <w:r>
        <w:rPr>
          <w:b/>
        </w:rPr>
        <w:t xml:space="preserve">14 </w:t>
      </w:r>
      <w:r>
        <w:t xml:space="preserve">But Zion said, The Lord</w:t>
      </w:r>
      <w:r>
        <w:rPr>
          <w:rStyle w:val="FootnoteReference"/>
        </w:rPr>
        <w:footnoteReference w:id="11758"/>
      </w:r>
      <w:r>
        <w:t xml:space="preserve"> abandoned me, and the Lord forgot me.</w:t>
      </w:r>
    </w:p>
    <w:p>
      <w:r>
        <w:rPr>
          <w:b/>
        </w:rPr>
        <w:t xml:space="preserve">15 </w:t>
      </w:r>
      <w:r>
        <w:t xml:space="preserve">Will a woman</w:t>
      </w:r>
      <w:r>
        <w:rPr>
          <w:rStyle w:val="FootnoteReference"/>
        </w:rPr>
        <w:footnoteReference w:id="11759"/>
      </w:r>
      <w:r>
        <w:t xml:space="preserve"> forget her child, so as not to have mercy on the offspring of her womb? But even if a woman forgets these, I will not forget you, said the Lord.</w:t>
      </w:r>
    </w:p>
    <w:p>
      <w:r>
        <w:rPr>
          <w:b/>
        </w:rPr>
        <w:t xml:space="preserve">16 </w:t>
      </w:r>
      <w:r>
        <w:t xml:space="preserve">See, on my hands I have drawn your walls, and you are always before me.</w:t>
      </w:r>
    </w:p>
    <w:p>
      <w:r>
        <w:rPr>
          <w:b/>
        </w:rPr>
        <w:t xml:space="preserve">17 </w:t>
      </w:r>
      <w:r>
        <w:t xml:space="preserve">And quickly you will be built by those by whom you were torn down, and those making you desolate will go out from you.</w:t>
      </w:r>
    </w:p>
    <w:p>
      <w:r>
        <w:rPr>
          <w:b/>
        </w:rPr>
        <w:t xml:space="preserve">18 </w:t>
      </w:r>
      <w:r>
        <w:t xml:space="preserve">Lift your eyes around and see. See, all have been gathered and have come to you. As I live</w:t>
      </w:r>
      <w:r>
        <w:rPr>
          <w:rStyle w:val="FootnoteReference"/>
        </w:rPr>
        <w:footnoteReference w:id="11760"/>
      </w:r>
      <w:r>
        <w:t xml:space="preserve">, says the Lord, you will clothe yourself with them all and put them on as an ornament of a bride.</w:t>
      </w:r>
    </w:p>
    <w:p>
      <w:r>
        <w:rPr>
          <w:b/>
        </w:rPr>
        <w:t xml:space="preserve">19 </w:t>
      </w:r>
      <w:r>
        <w:t xml:space="preserve">Because your desolate places and ruined and fallen places will now be made too narrow because of those dwelling there, and those swallowing you will be far from you.</w:t>
      </w:r>
    </w:p>
    <w:p>
      <w:r>
        <w:rPr>
          <w:b/>
        </w:rPr>
        <w:t xml:space="preserve">20 </w:t>
      </w:r>
      <w:r>
        <w:t xml:space="preserve">For your sons whom you lost will say in your ears, The place</w:t>
      </w:r>
      <w:r>
        <w:rPr>
          <w:rStyle w:val="FootnoteReference"/>
        </w:rPr>
        <w:footnoteReference w:id="11761"/>
      </w:r>
      <w:r>
        <w:t xml:space="preserve"> is too narrow for me; make room for me so that I may dwell.</w:t>
      </w:r>
    </w:p>
    <w:p>
      <w:r>
        <w:rPr>
          <w:b/>
        </w:rPr>
        <w:t xml:space="preserve">21 </w:t>
      </w:r>
      <w:r>
        <w:t xml:space="preserve">And you will say in your heart, Who bore these for me? But I was childless and a widow; who raised these for me? But I was left alone; where were these for me?</w:t>
      </w:r>
    </w:p>
    <w:p>
      <w:r>
        <w:rPr>
          <w:b/>
        </w:rPr>
        <w:t xml:space="preserve">22 </w:t>
      </w:r>
      <w:r>
        <w:t xml:space="preserve">Thus says the Lord: See, I lift my hand to the nations and raise my signal to the islands, and they will bring your sons in the bosom, and your daughters they will carry upon shoulders.</w:t>
      </w:r>
    </w:p>
    <w:p>
      <w:r>
        <w:rPr>
          <w:b/>
        </w:rPr>
        <w:t xml:space="preserve">23 </w:t>
      </w:r>
      <w:r>
        <w:t xml:space="preserve">And kings</w:t>
      </w:r>
      <w:r>
        <w:rPr>
          <w:rStyle w:val="FootnoteReference"/>
        </w:rPr>
        <w:footnoteReference w:id="11762"/>
      </w:r>
      <w:r>
        <w:t xml:space="preserve"> will be your foster fathers and rulers your nurses. With their faces to the ground they will worship you and lick the dust of your feet, and you will know that I am the Lord, and you will not be ashamed.</w:t>
      </w:r>
    </w:p>
    <w:p>
      <w:r>
        <w:rPr>
          <w:b/>
        </w:rPr>
        <w:t xml:space="preserve">24 </w:t>
      </w:r>
      <w:r>
        <w:t xml:space="preserve">Will anyone take spoils from a giant? And if someone takes captive unjustly, will he be saved?</w:t>
      </w:r>
    </w:p>
    <w:p>
      <w:r>
        <w:rPr>
          <w:b/>
        </w:rPr>
        <w:t xml:space="preserve">25 </w:t>
      </w:r>
      <w:r>
        <w:t xml:space="preserve">Thus says the Lord: If anyone takes captive a giant, he will take spoils; but one taking from a strong one will be saved. I will judge your judgment, and I will rescue your sons.</w:t>
      </w:r>
    </w:p>
    <w:p>
      <w:r>
        <w:rPr>
          <w:b/>
        </w:rPr>
        <w:t xml:space="preserve">26 </w:t>
      </w:r>
      <w:r>
        <w:t xml:space="preserve">And those afflicting you will eat their own flesh and drink their blood like new wine and be drunk. And all flesh will know that I am the Lord, the one rescuing you and upholding the strength of Jacob.</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50</w:t>
      </w:r>
    </w:p>
    <w:p>
      <w:r>
        <w:rPr>
          <w:b/>
        </w:rPr>
        <w:t xml:space="preserve">1 </w:t>
      </w:r>
      <w:r>
        <w:t xml:space="preserve">Thus says the Lord: What is the book of divorce of your mother, with which I sent her away? Or to which creditor have I sold you? See, by your sins you were sold, and by your lawless deeds I sent away your mother.</w:t>
      </w:r>
    </w:p>
    <w:p>
      <w:r>
        <w:rPr>
          <w:b/>
        </w:rPr>
        <w:t xml:space="preserve">2 </w:t>
      </w:r>
      <w:r>
        <w:t xml:space="preserve">Why was there no man when I came</w:t>
      </w:r>
      <w:r>
        <w:rPr>
          <w:rStyle w:val="FootnoteReference"/>
        </w:rPr>
        <w:footnoteReference w:id="11763"/>
      </w:r>
      <w:r>
        <w:t xml:space="preserve">? I called, and there was no one obeying. Is my hand not strong enough to rescue, or am I not strong enough to deliver? See, by my threat I will desolate the sea and make rivers deserts; their fish will dry up because there is no water and will die in thirst.</w:t>
      </w:r>
    </w:p>
    <w:p>
      <w:r>
        <w:rPr>
          <w:b/>
        </w:rPr>
        <w:t xml:space="preserve">3 </w:t>
      </w:r>
      <w:r>
        <w:t xml:space="preserve">And I will clothe heaven with darkness and make its covering like sackcloth.</w:t>
      </w:r>
    </w:p>
    <w:p>
      <w:r>
        <w:rPr>
          <w:b/>
        </w:rPr>
        <w:t xml:space="preserve">4 </w:t>
      </w:r>
      <w:r>
        <w:t xml:space="preserve">The Lord gives me a tongue of instruction, to know in season when it is necessary to speak a word</w:t>
      </w:r>
      <w:r>
        <w:rPr>
          <w:rStyle w:val="FootnoteReference"/>
        </w:rPr>
        <w:footnoteReference w:id="11764"/>
      </w:r>
      <w:r>
        <w:t xml:space="preserve">. He set it for me in the morning; he added an ear for me to hear.</w:t>
      </w:r>
    </w:p>
    <w:p>
      <w:r>
        <w:rPr>
          <w:b/>
        </w:rPr>
        <w:t xml:space="preserve">5 </w:t>
      </w:r>
      <w:r>
        <w:t xml:space="preserve">And the instruction of the Lord opens my ears, and I do not disobey nor speak against.</w:t>
      </w:r>
    </w:p>
    <w:p>
      <w:r>
        <w:rPr>
          <w:b/>
        </w:rPr>
        <w:t xml:space="preserve">6 </w:t>
      </w:r>
      <w:r>
        <w:t xml:space="preserve">I have given my back to whips and my cheeks</w:t>
      </w:r>
      <w:r>
        <w:rPr>
          <w:rStyle w:val="FootnoteReference"/>
        </w:rPr>
        <w:footnoteReference w:id="11765"/>
      </w:r>
      <w:r>
        <w:t xml:space="preserve"> to slaps. My face I did not turn away from the shame of spit.</w:t>
      </w:r>
    </w:p>
    <w:p>
      <w:r>
        <w:rPr>
          <w:b/>
        </w:rPr>
        <w:t xml:space="preserve">7 </w:t>
      </w:r>
      <w:r>
        <w:t xml:space="preserve">And the Lord</w:t>
      </w:r>
      <w:r>
        <w:rPr>
          <w:rStyle w:val="FootnoteReference"/>
        </w:rPr>
        <w:footnoteReference w:id="11766"/>
      </w:r>
      <w:r>
        <w:t xml:space="preserve"> became my helper. Therefore I was not ashamed, but I set my face like a solid rock and knew that I certainly would not be shamed.</w:t>
      </w:r>
    </w:p>
    <w:p>
      <w:r>
        <w:rPr>
          <w:b/>
        </w:rPr>
        <w:t xml:space="preserve">8 </w:t>
      </w:r>
      <w:r>
        <w:t xml:space="preserve">Because the one justifying me comes near. Who is contending with me? Let him stand against me together. And who is contending with me? Let him come near me.</w:t>
      </w:r>
    </w:p>
    <w:p>
      <w:r>
        <w:rPr>
          <w:b/>
        </w:rPr>
        <w:t xml:space="preserve">9 </w:t>
      </w:r>
      <w:r>
        <w:t xml:space="preserve">See, the Lord helps me. Who will harm me? See, all of you will grow old like a garment, and a moth will devour you.</w:t>
      </w:r>
    </w:p>
    <w:p>
      <w:r>
        <w:rPr>
          <w:b/>
        </w:rPr>
        <w:t xml:space="preserve">10 </w:t>
      </w:r>
      <w:r>
        <w:t xml:space="preserve">Who among you fears the Lord? Let him hear the voice of his servant. You who walk in darkness and have no light, trust in the name of the Lord and lean on God.</w:t>
      </w:r>
    </w:p>
    <w:p>
      <w:r>
        <w:rPr>
          <w:b/>
        </w:rPr>
        <w:t xml:space="preserve">11 </w:t>
      </w:r>
      <w:r>
        <w:t xml:space="preserve">See, all of you kindle fire and strengthen a flame. Walk</w:t>
      </w:r>
      <w:r>
        <w:rPr>
          <w:rStyle w:val="FootnoteReference"/>
        </w:rPr>
        <w:footnoteReference w:id="11767"/>
      </w:r>
      <w:r>
        <w:t xml:space="preserve"> by the light of your fire and by the flame that you kindled. Because of me these things came to you; in grief you will lie down.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51</w:t>
      </w:r>
    </w:p>
    <w:p>
      <w:r>
        <w:rPr>
          <w:b/>
        </w:rPr>
        <w:t xml:space="preserve">1 </w:t>
      </w:r>
      <w:r>
        <w:t xml:space="preserve">Hear me, you who pursue righteousness and seek the Lord. Look</w:t>
      </w:r>
      <w:r>
        <w:rPr>
          <w:rStyle w:val="FootnoteReference"/>
        </w:rPr>
        <w:footnoteReference w:id="11768"/>
      </w:r>
      <w:r>
        <w:t xml:space="preserve"> to the solid rock that you cut and to the pit of the cistern that you dug.</w:t>
      </w:r>
    </w:p>
    <w:p>
      <w:r>
        <w:rPr>
          <w:b/>
        </w:rPr>
        <w:t xml:space="preserve">2 </w:t>
      </w:r>
      <w:r>
        <w:t xml:space="preserve">Look to Abraham your father and to Sarah who labored with you, because he was one, and I called him and blessed him and loved him and multiplied him.</w:t>
      </w:r>
    </w:p>
    <w:p>
      <w:r>
        <w:rPr>
          <w:b/>
        </w:rPr>
        <w:t xml:space="preserve">3 </w:t>
      </w:r>
      <w:r>
        <w:t xml:space="preserve">And now I will comfort you, Zion, and have comforted all her desolate places, and I will make her desolate places like the paradise of the Lord</w:t>
      </w:r>
      <w:r>
        <w:rPr>
          <w:rStyle w:val="FootnoteReference"/>
        </w:rPr>
        <w:footnoteReference w:id="11769"/>
      </w:r>
      <w:r>
        <w:t xml:space="preserve">. They will find gladness and exultation in her, thanksgiving and a sound of praise.</w:t>
      </w:r>
    </w:p>
    <w:p>
      <w:r>
        <w:rPr>
          <w:b/>
        </w:rPr>
        <w:t xml:space="preserve">4 </w:t>
      </w:r>
      <w:r>
        <w:t xml:space="preserve">Hear me, hear me, my people, and you kings, give ear to me, because law will go out from me and my judgment as a light of nations.</w:t>
      </w:r>
    </w:p>
    <w:p>
      <w:r>
        <w:rPr>
          <w:b/>
        </w:rPr>
        <w:t xml:space="preserve">5 </w:t>
      </w:r>
      <w:r>
        <w:t xml:space="preserve">My righteousness</w:t>
      </w:r>
      <w:r>
        <w:rPr>
          <w:rStyle w:val="FootnoteReference"/>
        </w:rPr>
        <w:footnoteReference w:id="11770"/>
      </w:r>
      <w:r>
        <w:t xml:space="preserve"> draws near quickly, my salvation will go out like light, and nations will hope in my arm. Islands wait for me and hope in my arm.</w:t>
      </w:r>
    </w:p>
    <w:p>
      <w:r>
        <w:rPr>
          <w:b/>
        </w:rPr>
        <w:t xml:space="preserve">6 </w:t>
      </w:r>
      <w:r>
        <w:t xml:space="preserve">Lift your eyes to heaven and look at the earth below, because heaven was fixed like smoke and the earth will grow old like a garment, and those dwelling on the earth will die like these things. But my salvation</w:t>
      </w:r>
      <w:r>
        <w:rPr>
          <w:rStyle w:val="FootnoteReference"/>
        </w:rPr>
        <w:footnoteReference w:id="11771"/>
      </w:r>
      <w:r>
        <w:t xml:space="preserve"> will be forever and my righteousness will certainly not fail.</w:t>
      </w:r>
    </w:p>
    <w:p>
      <w:r>
        <w:rPr>
          <w:b/>
        </w:rPr>
        <w:t xml:space="preserve">7 </w:t>
      </w:r>
      <w:r>
        <w:t xml:space="preserve">Hear me, you who know judgment, my people, in whose</w:t>
      </w:r>
      <w:r>
        <w:rPr>
          <w:rStyle w:val="FootnoteReference"/>
        </w:rPr>
        <w:footnoteReference w:id="11772"/>
      </w:r>
      <w:r>
        <w:t xml:space="preserve"> heart is my law. Do not fear the reproach of men and do not be defeated by their contempt.</w:t>
      </w:r>
    </w:p>
    <w:p>
      <w:r>
        <w:rPr>
          <w:b/>
        </w:rPr>
        <w:t xml:space="preserve">8 </w:t>
      </w:r>
      <w:r>
        <w:t xml:space="preserve">For like a garment it will be eaten by time, and like wool it will be eaten by a moth. But my righteousness</w:t>
      </w:r>
      <w:r>
        <w:rPr>
          <w:rStyle w:val="FootnoteReference"/>
        </w:rPr>
        <w:footnoteReference w:id="11773"/>
      </w:r>
      <w:r>
        <w:t xml:space="preserve"> will be forever and my salvation will be to the generations of generations.</w:t>
      </w:r>
    </w:p>
    <w:p>
      <w:r>
        <w:rPr>
          <w:b/>
        </w:rPr>
        <w:t xml:space="preserve">9 </w:t>
      </w:r>
      <w:r>
        <w:t xml:space="preserve">Awake</w:t>
      </w:r>
      <w:r>
        <w:rPr>
          <w:rStyle w:val="FootnoteReference"/>
        </w:rPr>
        <w:footnoteReference w:id="11774"/>
      </w:r>
      <w:r>
        <w:t xml:space="preserve">, awake, Jerusalem, and put on the strength of your arm. Awake as in the beginning of days, as a generation of old. Are you not</w:t>
      </w:r>
    </w:p>
    <w:p>
      <w:r>
        <w:rPr>
          <w:b/>
        </w:rPr>
        <w:t xml:space="preserve">10 </w:t>
      </w:r>
      <w:r>
        <w:t xml:space="preserve">the one desolating the sea, the water, the abundance of the abyss, the one making the depths of the sea a way of passage for the rescued?</w:t>
      </w:r>
    </w:p>
    <w:p>
      <w:r>
        <w:rPr>
          <w:b/>
        </w:rPr>
        <w:t xml:space="preserve">11 </w:t>
      </w:r>
      <w:r>
        <w:t xml:space="preserve">For those redeemed by the Lord will return and come to Zion with gladness, and everlasting</w:t>
      </w:r>
      <w:r>
        <w:rPr>
          <w:rStyle w:val="FootnoteReference"/>
        </w:rPr>
        <w:footnoteReference w:id="11775"/>
      </w:r>
      <w:r>
        <w:t xml:space="preserve"> exultation will be upon their head. Exultation and praise and gladness will overtake them. Pain and grief and groaning have fled.</w:t>
      </w:r>
    </w:p>
    <w:p>
      <w:r>
        <w:rPr>
          <w:b/>
        </w:rPr>
        <w:t xml:space="preserve">12 </w:t>
      </w:r>
      <w:r>
        <w:t xml:space="preserve">I am, I am the one comforting you. Know whom you dreaded, whom you feared: mortal man and a son of man, who dried up like grass.</w:t>
      </w:r>
    </w:p>
    <w:p>
      <w:r>
        <w:rPr>
          <w:b/>
        </w:rPr>
        <w:t xml:space="preserve">13 </w:t>
      </w:r>
      <w:r>
        <w:t xml:space="preserve">And you forgot the God who made you, who made heaven and founded the earth, and you feared</w:t>
      </w:r>
      <w:r>
        <w:rPr>
          <w:rStyle w:val="FootnoteReference"/>
        </w:rPr>
        <w:footnoteReference w:id="11776"/>
      </w:r>
      <w:r>
        <w:t xml:space="preserve"> always, all the days, the face of the wrath of the one afflicting you, because he planned to remove you. And now where is the wrath of the one afflicting you?</w:t>
      </w:r>
    </w:p>
    <w:p>
      <w:r>
        <w:rPr>
          <w:b/>
        </w:rPr>
        <w:t xml:space="preserve">14 </w:t>
      </w:r>
      <w:r>
        <w:t xml:space="preserve">For when you are being saved you will not stand still nor delay.</w:t>
      </w:r>
    </w:p>
    <w:p>
      <w:r>
        <w:rPr>
          <w:b/>
        </w:rPr>
        <w:t xml:space="preserve">15 </w:t>
      </w:r>
      <w:r>
        <w:t xml:space="preserve">Because I am your God, the one stirring the sea and making its waves roar. The Lord</w:t>
      </w:r>
      <w:r>
        <w:rPr>
          <w:rStyle w:val="FootnoteReference"/>
        </w:rPr>
        <w:footnoteReference w:id="11777"/>
      </w:r>
      <w:r>
        <w:t xml:space="preserve"> of hosts is my name.</w:t>
      </w:r>
    </w:p>
    <w:p>
      <w:r>
        <w:rPr>
          <w:b/>
        </w:rPr>
        <w:t xml:space="preserve">16 </w:t>
      </w:r>
      <w:r>
        <w:t xml:space="preserve">I will put my words into your mouth, and under the shadow of my hand I will shelter you, by which I set heaven and founded the earth, and will say to Zion, You are my people.</w:t>
      </w:r>
    </w:p>
    <w:p>
      <w:r>
        <w:rPr>
          <w:b/>
        </w:rPr>
        <w:t xml:space="preserve">17 </w:t>
      </w:r>
      <w:r>
        <w:t xml:space="preserve">Awake</w:t>
      </w:r>
      <w:r>
        <w:rPr>
          <w:rStyle w:val="FootnoteReference"/>
        </w:rPr>
        <w:footnoteReference w:id="11778"/>
      </w:r>
      <w:r>
        <w:t xml:space="preserve">, awake. Rise, Jerusalem, you who drank the cup of wrath from the hand of the Lord, because the cup of falling, the bowl of wrath, you drank and drained.</w:t>
      </w:r>
    </w:p>
    <w:p>
      <w:r>
        <w:rPr>
          <w:b/>
        </w:rPr>
        <w:t xml:space="preserve">18 </w:t>
      </w:r>
      <w:r>
        <w:t xml:space="preserve">And there was no one to comfort you from among all your children whom you bore, and no one to take your hand from among all your sons whom you raised.</w:t>
      </w:r>
    </w:p>
    <w:p>
      <w:r>
        <w:rPr>
          <w:b/>
        </w:rPr>
        <w:t xml:space="preserve">19 </w:t>
      </w:r>
      <w:r>
        <w:t xml:space="preserve">These two things</w:t>
      </w:r>
      <w:r>
        <w:rPr>
          <w:rStyle w:val="FootnoteReference"/>
        </w:rPr>
        <w:footnoteReference w:id="11779"/>
      </w:r>
      <w:r>
        <w:t xml:space="preserve"> are set against you. Who will grieve with you? Ruin and crushing, famine and sword. Who will comfort you?</w:t>
      </w:r>
    </w:p>
    <w:p>
      <w:r>
        <w:rPr>
          <w:b/>
        </w:rPr>
        <w:t xml:space="preserve">20 </w:t>
      </w:r>
      <w:r>
        <w:t xml:space="preserve">Your sons</w:t>
      </w:r>
      <w:r>
        <w:rPr>
          <w:rStyle w:val="FootnoteReference"/>
        </w:rPr>
        <w:footnoteReference w:id="11780"/>
      </w:r>
      <w:r>
        <w:t xml:space="preserve"> are in distress, sleeping at the edge of every street, like a half-boiled beet, full of the wrath of the Lord, weakened by the Lord God.</w:t>
      </w:r>
    </w:p>
    <w:p>
      <w:r>
        <w:rPr>
          <w:b/>
        </w:rPr>
        <w:t xml:space="preserve">21 </w:t>
      </w:r>
      <w:r>
        <w:t xml:space="preserve">Therefore hear this, humbled one and drunken one, not from wine.</w:t>
      </w:r>
    </w:p>
    <w:p>
      <w:r>
        <w:rPr>
          <w:b/>
        </w:rPr>
        <w:t xml:space="preserve">22 </w:t>
      </w:r>
      <w:r>
        <w:t xml:space="preserve">Thus says the Lord God, the one judging his people: See, I have taken from your hand the cup of falling, the bowl of wrath, and you will no longer drink it.</w:t>
      </w:r>
    </w:p>
    <w:p>
      <w:r>
        <w:rPr>
          <w:b/>
        </w:rPr>
        <w:t xml:space="preserve">23 </w:t>
      </w:r>
      <w:r>
        <w:t xml:space="preserve">And I will put it into the hands of those who wronged you and humbled you, who said to your soul, Bend down so we may pass by. And you made your back level with the ground for those passing by outside.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52</w:t>
      </w:r>
    </w:p>
    <w:p>
      <w:r>
        <w:rPr>
          <w:b/>
        </w:rPr>
        <w:t xml:space="preserve">1 </w:t>
      </w:r>
      <w:r>
        <w:t xml:space="preserve">Awake</w:t>
      </w:r>
      <w:r>
        <w:rPr>
          <w:rStyle w:val="FootnoteReference"/>
        </w:rPr>
        <w:footnoteReference w:id="11781"/>
      </w:r>
      <w:r>
        <w:t xml:space="preserve">, awake, Zion. Put on your strength, Zion, and put on your glory, Jerusalem, the holy city, because the uncircumcised and unclean will no longer pass through you.</w:t>
      </w:r>
    </w:p>
    <w:p>
      <w:r>
        <w:rPr>
          <w:b/>
        </w:rPr>
        <w:t xml:space="preserve">2 </w:t>
      </w:r>
      <w:r>
        <w:t xml:space="preserve">Shake</w:t>
      </w:r>
      <w:r>
        <w:rPr>
          <w:rStyle w:val="FootnoteReference"/>
        </w:rPr>
        <w:footnoteReference w:id="11782"/>
      </w:r>
      <w:r>
        <w:t xml:space="preserve"> off the dust and rise. Sit, Jerusalem. Strip off the bond of your neck, captive daughter of Zion.</w:t>
      </w:r>
    </w:p>
    <w:p>
      <w:r>
        <w:rPr>
          <w:b/>
        </w:rPr>
        <w:t xml:space="preserve">3 </w:t>
      </w:r>
      <w:r>
        <w:t xml:space="preserve">Because thus says the Lord: You were sold for nothing, and not with silver will you be redeemed.</w:t>
      </w:r>
    </w:p>
    <w:p>
      <w:r>
        <w:rPr>
          <w:b/>
        </w:rPr>
        <w:t xml:space="preserve">4 </w:t>
      </w:r>
      <w:r>
        <w:t xml:space="preserve">Thus says the Lord: My people</w:t>
      </w:r>
      <w:r>
        <w:rPr>
          <w:rStyle w:val="FootnoteReference"/>
        </w:rPr>
        <w:footnoteReference w:id="11783"/>
      </w:r>
      <w:r>
        <w:t xml:space="preserve"> first went down to Egypt to dwell there, and to the Assyrians they were led by force.</w:t>
      </w:r>
    </w:p>
    <w:p>
      <w:r>
        <w:rPr>
          <w:b/>
        </w:rPr>
        <w:t xml:space="preserve">5 </w:t>
      </w:r>
      <w:r>
        <w:t xml:space="preserve">And now why are you here? says the Lord, because my people</w:t>
      </w:r>
      <w:r>
        <w:rPr>
          <w:rStyle w:val="FootnoteReference"/>
        </w:rPr>
        <w:footnoteReference w:id="11784"/>
      </w:r>
      <w:r>
        <w:t xml:space="preserve"> were taken for nothing. Be amazed and howl, says the Lord. Because of you continually my name is blasphemed among the nations.</w:t>
      </w:r>
    </w:p>
    <w:p>
      <w:r>
        <w:rPr>
          <w:b/>
        </w:rPr>
        <w:t xml:space="preserve">6 </w:t>
      </w:r>
      <w:r>
        <w:t xml:space="preserve">Therefore my people</w:t>
      </w:r>
      <w:r>
        <w:rPr>
          <w:rStyle w:val="FootnoteReference"/>
        </w:rPr>
        <w:footnoteReference w:id="11785"/>
      </w:r>
      <w:r>
        <w:t xml:space="preserve"> will know my name in that day, because I am he, the one speaking; I am present.</w:t>
      </w:r>
    </w:p>
    <w:p>
      <w:r>
        <w:rPr>
          <w:b/>
        </w:rPr>
        <w:t xml:space="preserve">7 </w:t>
      </w:r>
      <w:r>
        <w:t xml:space="preserve">How beautiful</w:t>
      </w:r>
      <w:r>
        <w:rPr>
          <w:rStyle w:val="FootnoteReference"/>
        </w:rPr>
        <w:footnoteReference w:id="11786"/>
      </w:r>
      <w:r>
        <w:t xml:space="preserve"> upon the mountains are the feet of one bringing good news, a report of peace, of one bringing good things as good news, because I will make your salvation heard, saying to Zion, Your God will reign.</w:t>
      </w:r>
    </w:p>
    <w:p>
      <w:r>
        <w:rPr>
          <w:b/>
        </w:rPr>
        <w:t xml:space="preserve">8 </w:t>
      </w:r>
      <w:r>
        <w:t xml:space="preserve">Because the voice of your watchmen was lifted up, and with one voice together they will rejoice, because eye to eye they will see when the Lord shows mercy to Zion.</w:t>
      </w:r>
    </w:p>
    <w:p>
      <w:r>
        <w:rPr>
          <w:b/>
        </w:rPr>
        <w:t xml:space="preserve">9 </w:t>
      </w:r>
      <w:r>
        <w:t xml:space="preserve">Let the desolate places of Jerusalem break</w:t>
      </w:r>
      <w:r>
        <w:rPr>
          <w:rStyle w:val="FootnoteReference"/>
        </w:rPr>
        <w:footnoteReference w:id="11787"/>
      </w:r>
      <w:r>
        <w:t xml:space="preserve"> out together in gladness, because the Lord had mercy on her and rescued Jerusalem.</w:t>
      </w:r>
    </w:p>
    <w:p>
      <w:r>
        <w:rPr>
          <w:b/>
        </w:rPr>
        <w:t xml:space="preserve">10 </w:t>
      </w:r>
      <w:r>
        <w:t xml:space="preserve">The Lord will uncover his holy arm before all the nations, and all the ends of the earth will see the salvation from God.</w:t>
      </w:r>
    </w:p>
    <w:p>
      <w:r>
        <w:rPr>
          <w:b/>
        </w:rPr>
        <w:t xml:space="preserve">11 </w:t>
      </w:r>
      <w:r>
        <w:t xml:space="preserve">Depart, depart. Go out from there, and touch</w:t>
      </w:r>
      <w:r>
        <w:rPr>
          <w:rStyle w:val="FootnoteReference"/>
        </w:rPr>
        <w:footnoteReference w:id="11788"/>
      </w:r>
      <w:r>
        <w:t xml:space="preserve"> nothing unclean. Go out from the midst of her. Be set apart, you who carry the vessels of the Lord.</w:t>
      </w:r>
    </w:p>
    <w:p>
      <w:r>
        <w:rPr>
          <w:b/>
        </w:rPr>
        <w:t xml:space="preserve">12 </w:t>
      </w:r>
      <w:r>
        <w:t xml:space="preserve">Because not with turmoil will you go out, nor will you go in flight, for the Lord will go before you, and the Lord God of Israel will gather you.</w:t>
      </w:r>
    </w:p>
    <w:p>
      <w:r>
        <w:rPr>
          <w:b/>
        </w:rPr>
        <w:t xml:space="preserve">13 </w:t>
      </w:r>
      <w:r>
        <w:t xml:space="preserve">See, my servant</w:t>
      </w:r>
      <w:r>
        <w:rPr>
          <w:rStyle w:val="FootnoteReference"/>
        </w:rPr>
        <w:footnoteReference w:id="11789"/>
      </w:r>
      <w:r>
        <w:t xml:space="preserve"> will understand and be exalted and glorified very greatly.</w:t>
      </w:r>
    </w:p>
    <w:p>
      <w:r>
        <w:rPr>
          <w:b/>
        </w:rPr>
        <w:t xml:space="preserve">14 </w:t>
      </w:r>
      <w:r>
        <w:t xml:space="preserve">Just as many will be astonished at you, so your appearance will be without glory before men, and your glory will be without honor before people.</w:t>
      </w:r>
      <w:r>
        <w:rPr>
          <w:rStyle w:val="FootnoteReference"/>
        </w:rPr>
        <w:footnoteReference w:id="11790"/>
      </w:r>
    </w:p>
    <w:p>
      <w:r>
        <w:rPr>
          <w:b/>
        </w:rPr>
        <w:t xml:space="preserve">15 </w:t>
      </w:r>
      <w:r>
        <w:t xml:space="preserve">So many nations will marvel at him, and kings</w:t>
      </w:r>
      <w:r>
        <w:rPr>
          <w:rStyle w:val="FootnoteReference"/>
        </w:rPr>
        <w:footnoteReference w:id="11791"/>
      </w:r>
      <w:r>
        <w:t xml:space="preserve"> will shut their mouth, because those to whom nothing was told concerning him will see, and those who did not hear will understand.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53</w:t>
      </w:r>
    </w:p>
    <w:p>
      <w:r>
        <w:rPr>
          <w:b/>
        </w:rPr>
        <w:t xml:space="preserve">1 </w:t>
      </w:r>
      <w:r>
        <w:t xml:space="preserve">O Lord, who believed our report? And to whom was the arm of the Lord revealed</w:t>
      </w:r>
      <w:r>
        <w:rPr>
          <w:rStyle w:val="FootnoteReference"/>
        </w:rPr>
        <w:footnoteReference w:id="11792"/>
      </w:r>
      <w:r>
        <w:t xml:space="preserve">?</w:t>
      </w:r>
    </w:p>
    <w:p>
      <w:r>
        <w:rPr>
          <w:b/>
        </w:rPr>
        <w:t xml:space="preserve">2 </w:t>
      </w:r>
      <w:r>
        <w:t xml:space="preserve">We announced before him like a child, like a root in a thirsty land. There is no form to him nor glory, and we saw him, and he had no form nor beauty.</w:t>
      </w:r>
    </w:p>
    <w:p>
      <w:r>
        <w:rPr>
          <w:b/>
        </w:rPr>
        <w:t xml:space="preserve">3 </w:t>
      </w:r>
      <w:r>
        <w:t xml:space="preserve">But his form was dishonored, failing beyond all men: a man</w:t>
      </w:r>
      <w:r>
        <w:rPr>
          <w:rStyle w:val="FootnoteReference"/>
        </w:rPr>
        <w:footnoteReference w:id="11793"/>
      </w:r>
      <w:r>
        <w:t xml:space="preserve"> in a wound and knowing how to bear sickness, because his face has turned away; he was dishonored and not counted.</w:t>
      </w:r>
    </w:p>
    <w:p>
      <w:r>
        <w:rPr>
          <w:b/>
        </w:rPr>
        <w:t xml:space="preserve">4 </w:t>
      </w:r>
      <w:r>
        <w:t xml:space="preserve">This one bears our sins</w:t>
      </w:r>
      <w:r>
        <w:rPr>
          <w:rStyle w:val="FootnoteReference"/>
        </w:rPr>
        <w:footnoteReference w:id="11794"/>
      </w:r>
      <w:r>
        <w:t xml:space="preserve"> and suffers pain for us, and we counted him to be in pain and in wound and in affliction.</w:t>
      </w:r>
    </w:p>
    <w:p>
      <w:r>
        <w:rPr>
          <w:b/>
        </w:rPr>
        <w:t xml:space="preserve">5 </w:t>
      </w:r>
      <w:r>
        <w:t xml:space="preserve">But he was</w:t>
      </w:r>
      <w:r>
        <w:rPr>
          <w:rStyle w:val="FootnoteReference"/>
        </w:rPr>
        <w:footnoteReference w:id="11795"/>
      </w:r>
      <w:r>
        <w:t xml:space="preserve"> wounded because of our lawless deeds and weakened because of our sins. The discipline of our peace was upon him; by his bruise we were healed.</w:t>
      </w:r>
    </w:p>
    <w:p>
      <w:r>
        <w:rPr>
          <w:b/>
        </w:rPr>
        <w:t xml:space="preserve">6 </w:t>
      </w:r>
      <w:r>
        <w:t xml:space="preserve">All we</w:t>
      </w:r>
      <w:r>
        <w:rPr>
          <w:rStyle w:val="FootnoteReference"/>
        </w:rPr>
        <w:footnoteReference w:id="11796"/>
      </w:r>
      <w:r>
        <w:t xml:space="preserve"> like sheep wandered. Each man wandered in his own way, and the Lord gave him over for our sins</w:t>
      </w:r>
      <w:r>
        <w:rPr>
          <w:rStyle w:val="FootnoteReference"/>
        </w:rPr>
        <w:footnoteReference w:id="11797"/>
      </w:r>
      <w:r>
        <w:t xml:space="preserve">.</w:t>
      </w:r>
    </w:p>
    <w:p>
      <w:r>
        <w:rPr>
          <w:b/>
        </w:rPr>
        <w:t xml:space="preserve">7 </w:t>
      </w:r>
      <w:r>
        <w:t xml:space="preserve">And he, because he was afflicted, does not open his mouth. As a sheep was led to slaughter and as a lamb is silent before the one shearing it, so he does not open his mouth.</w:t>
      </w:r>
    </w:p>
    <w:p>
      <w:r>
        <w:rPr>
          <w:b/>
        </w:rPr>
        <w:t xml:space="preserve">8 </w:t>
      </w:r>
      <w:r>
        <w:t xml:space="preserve">In his humiliation his judgment was taken away. Who will tell his generation? Because his life is taken from the earth; because of the lawless deeds of my people he was led to death.</w:t>
      </w:r>
    </w:p>
    <w:p>
      <w:r>
        <w:rPr>
          <w:b/>
        </w:rPr>
        <w:t xml:space="preserve">9 </w:t>
      </w:r>
      <w:r>
        <w:t xml:space="preserve">And I will give wicked ones for his burial and rich ones for his death, because he did no lawlessness, nor was deceit</w:t>
      </w:r>
      <w:r>
        <w:rPr>
          <w:rStyle w:val="FootnoteReference"/>
        </w:rPr>
        <w:footnoteReference w:id="11798"/>
      </w:r>
      <w:r>
        <w:t xml:space="preserve"> found in his mouth.</w:t>
      </w:r>
    </w:p>
    <w:p>
      <w:r>
        <w:rPr>
          <w:b/>
        </w:rPr>
        <w:t xml:space="preserve">10 </w:t>
      </w:r>
      <w:r>
        <w:t xml:space="preserve">And the Lord desires to cleanse him from the wound. If you give concerning sin, your soul will see long-lived seed, and the Lord desires to take away</w:t>
      </w:r>
    </w:p>
    <w:p>
      <w:r>
        <w:rPr>
          <w:b/>
        </w:rPr>
        <w:t xml:space="preserve">11 </w:t>
      </w:r>
      <w:r>
        <w:t xml:space="preserve">from the pain of his soul, to show him light</w:t>
      </w:r>
      <w:r>
        <w:rPr>
          <w:rStyle w:val="FootnoteReference"/>
        </w:rPr>
        <w:footnoteReference w:id="11799"/>
      </w:r>
      <w:r>
        <w:t xml:space="preserve"> and form with understanding, to justify</w:t>
      </w:r>
      <w:r>
        <w:rPr>
          <w:rStyle w:val="FootnoteReference"/>
        </w:rPr>
        <w:footnoteReference w:id="11800"/>
      </w:r>
      <w:r>
        <w:t xml:space="preserve"> a righteous one serving many well, and he himself will bear their sins.</w:t>
      </w:r>
      <w:r>
        <w:rPr>
          <w:rStyle w:val="FootnoteReference"/>
        </w:rPr>
        <w:footnoteReference w:id="11801"/>
      </w:r>
    </w:p>
    <w:p>
      <w:r>
        <w:rPr>
          <w:b/>
        </w:rPr>
        <w:t xml:space="preserve">12 </w:t>
      </w:r>
      <w:r>
        <w:t xml:space="preserve">Therefore he will inherit many and divide spoils of the strong, because his soul was given over to death and he was</w:t>
      </w:r>
      <w:r>
        <w:rPr>
          <w:rStyle w:val="FootnoteReference"/>
        </w:rPr>
        <w:footnoteReference w:id="11802"/>
      </w:r>
      <w:r>
        <w:t xml:space="preserve"> counted among lawless ones, and he bore sins of many and was given over because of their sins.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54</w:t>
      </w:r>
    </w:p>
    <w:p>
      <w:r>
        <w:rPr>
          <w:b/>
        </w:rPr>
        <w:t xml:space="preserve">1 </w:t>
      </w:r>
      <w:r>
        <w:t xml:space="preserve">Rejoice, barren one who does not bear. Break</w:t>
      </w:r>
      <w:r>
        <w:rPr>
          <w:rStyle w:val="FootnoteReference"/>
        </w:rPr>
        <w:footnoteReference w:id="11803"/>
      </w:r>
      <w:r>
        <w:t xml:space="preserve"> out and cry, you who are not in labor, because the children of the desolate one are more than those of the one having a husband, for the Lord has said.</w:t>
      </w:r>
    </w:p>
    <w:p>
      <w:r>
        <w:rPr>
          <w:b/>
        </w:rPr>
        <w:t xml:space="preserve">2 </w:t>
      </w:r>
      <w:r>
        <w:t xml:space="preserve">Enlarge the place of your tent, and fix your curtains. Do not spare. Lengthen your cords and strengthen your pegs.</w:t>
      </w:r>
    </w:p>
    <w:p>
      <w:r>
        <w:rPr>
          <w:b/>
        </w:rPr>
        <w:t xml:space="preserve">3 </w:t>
      </w:r>
      <w:r>
        <w:t xml:space="preserve">Still to the right and to the left spread out, and your seed will inherit nations and inhabit desolate cities.</w:t>
      </w:r>
    </w:p>
    <w:p>
      <w:r>
        <w:rPr>
          <w:b/>
        </w:rPr>
        <w:t xml:space="preserve">4 </w:t>
      </w:r>
      <w:r>
        <w:t xml:space="preserve">Do not fear, because you were put to shame; do not be disgraced, because you were reproached, because you will forget everlasting shame and no longer remember the reproach of your widowhood.</w:t>
      </w:r>
    </w:p>
    <w:p>
      <w:r>
        <w:rPr>
          <w:b/>
        </w:rPr>
        <w:t xml:space="preserve">5 </w:t>
      </w:r>
      <w:r>
        <w:t xml:space="preserve">Because the Lord</w:t>
      </w:r>
      <w:r>
        <w:rPr>
          <w:rStyle w:val="FootnoteReference"/>
        </w:rPr>
        <w:footnoteReference w:id="11804"/>
      </w:r>
      <w:r>
        <w:t xml:space="preserve"> is the one making you; the Lord of hosts is his name, and the one rescuing you, the God of Israel, will be called the God of all the earth.</w:t>
      </w:r>
    </w:p>
    <w:p>
      <w:r>
        <w:rPr>
          <w:b/>
        </w:rPr>
        <w:t xml:space="preserve">6 </w:t>
      </w:r>
      <w:r>
        <w:t xml:space="preserve">The Lord has not called you as a woman</w:t>
      </w:r>
      <w:r>
        <w:rPr>
          <w:rStyle w:val="FootnoteReference"/>
        </w:rPr>
        <w:footnoteReference w:id="11805"/>
      </w:r>
      <w:r>
        <w:t xml:space="preserve"> forsaken and fainthearted, nor as a woman hated from youth, said your God.</w:t>
      </w:r>
    </w:p>
    <w:p>
      <w:r>
        <w:rPr>
          <w:b/>
        </w:rPr>
        <w:t xml:space="preserve">7 </w:t>
      </w:r>
      <w:r>
        <w:t xml:space="preserve">For a small</w:t>
      </w:r>
      <w:r>
        <w:rPr>
          <w:rStyle w:val="FootnoteReference"/>
        </w:rPr>
        <w:footnoteReference w:id="11806"/>
      </w:r>
      <w:r>
        <w:t xml:space="preserve"> time I left you, and with great mercy I will have mercy on you.</w:t>
      </w:r>
    </w:p>
    <w:p>
      <w:r>
        <w:rPr>
          <w:b/>
        </w:rPr>
        <w:t xml:space="preserve">8 </w:t>
      </w:r>
      <w:r>
        <w:t xml:space="preserve">In a little</w:t>
      </w:r>
      <w:r>
        <w:rPr>
          <w:rStyle w:val="FootnoteReference"/>
        </w:rPr>
        <w:footnoteReference w:id="11807"/>
      </w:r>
      <w:r>
        <w:t xml:space="preserve"> wrath I turned my face from you, and with everlasting mercy I will have mercy on you, said the Lord, the one rescuing you.</w:t>
      </w:r>
    </w:p>
    <w:p>
      <w:r>
        <w:rPr>
          <w:b/>
        </w:rPr>
        <w:t xml:space="preserve">9 </w:t>
      </w:r>
      <w:r>
        <w:t xml:space="preserve">This is to me like the water in Noah's time, just as I swore to him at that time not to be angry with the earth. So neither will I be angry with you anymore nor threaten you.</w:t>
      </w:r>
    </w:p>
    <w:p>
      <w:r>
        <w:rPr>
          <w:b/>
        </w:rPr>
        <w:t xml:space="preserve">10 </w:t>
      </w:r>
      <w:r>
        <w:t xml:space="preserve">Mountains may be moved and your hills shaken, but my mercy for you will not fail, and the covenant</w:t>
      </w:r>
      <w:r>
        <w:rPr>
          <w:rStyle w:val="FootnoteReference"/>
        </w:rPr>
        <w:footnoteReference w:id="11808"/>
      </w:r>
      <w:r>
        <w:t xml:space="preserve"> of your peace will not be moved, says the Lord, being gracious to you</w:t>
      </w:r>
      <w:r>
        <w:rPr>
          <w:rStyle w:val="FootnoteReference"/>
        </w:rPr>
        <w:footnoteReference w:id="11809"/>
      </w:r>
      <w:r>
        <w:t xml:space="preserve">.</w:t>
      </w:r>
    </w:p>
    <w:p>
      <w:r>
        <w:rPr>
          <w:b/>
        </w:rPr>
        <w:t xml:space="preserve">11 </w:t>
      </w:r>
      <w:r>
        <w:t xml:space="preserve">Afflicted and unstable one, you were not comforted</w:t>
      </w:r>
      <w:r>
        <w:rPr>
          <w:rStyle w:val="FootnoteReference"/>
        </w:rPr>
        <w:footnoteReference w:id="11810"/>
      </w:r>
      <w:r>
        <w:t xml:space="preserve">. See, I prepare your stone as carbuncle and your foundations with sapphire.</w:t>
      </w:r>
    </w:p>
    <w:p>
      <w:r>
        <w:rPr>
          <w:b/>
        </w:rPr>
        <w:t xml:space="preserve">12 </w:t>
      </w:r>
      <w:r>
        <w:t xml:space="preserve">And I will make your battlements jasper and your gates stones of crystal and your enclosure chosen stones.</w:t>
      </w:r>
    </w:p>
    <w:p>
      <w:r>
        <w:rPr>
          <w:b/>
        </w:rPr>
        <w:t xml:space="preserve">13 </w:t>
      </w:r>
      <w:r>
        <w:t xml:space="preserve">And all your sons will be taught by God, and your children will be in much peace.</w:t>
      </w:r>
    </w:p>
    <w:p>
      <w:r>
        <w:rPr>
          <w:b/>
        </w:rPr>
        <w:t xml:space="preserve">14 </w:t>
      </w:r>
      <w:r>
        <w:t xml:space="preserve">And in righteousness</w:t>
      </w:r>
      <w:r>
        <w:rPr>
          <w:rStyle w:val="FootnoteReference"/>
        </w:rPr>
        <w:footnoteReference w:id="11811"/>
      </w:r>
      <w:r>
        <w:t xml:space="preserve"> you will be built. Keep far from injustice and you will not fear, and terror will not come near you.</w:t>
      </w:r>
    </w:p>
    <w:p>
      <w:r>
        <w:rPr>
          <w:b/>
        </w:rPr>
        <w:t xml:space="preserve">15 </w:t>
      </w:r>
      <w:r>
        <w:t xml:space="preserve">See, strangers will come to you through me and will flee for refuge to you.</w:t>
      </w:r>
    </w:p>
    <w:p>
      <w:r>
        <w:rPr>
          <w:b/>
        </w:rPr>
        <w:t xml:space="preserve">16 </w:t>
      </w:r>
      <w:r>
        <w:t xml:space="preserve">See, I create you, not as a smith blowing coals and bringing out a vessel for work; but I created you, not for destruction to ruin.</w:t>
      </w:r>
    </w:p>
    <w:p>
      <w:r>
        <w:rPr>
          <w:b/>
        </w:rPr>
        <w:t xml:space="preserve">17 </w:t>
      </w:r>
      <w:r>
        <w:t xml:space="preserve">Every harmful weapon</w:t>
      </w:r>
      <w:r>
        <w:rPr>
          <w:rStyle w:val="FootnoteReference"/>
        </w:rPr>
        <w:footnoteReference w:id="11812"/>
      </w:r>
      <w:r>
        <w:t xml:space="preserve"> against you I will not prosper, and every voice that rises against you in judgment you will defeat them all. But those guilty against you will be in it. This is the inheritance for those serving the Lord, and you will be righteous to me,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55</w:t>
      </w:r>
    </w:p>
    <w:p>
      <w:r>
        <w:rPr>
          <w:b/>
        </w:rPr>
        <w:t xml:space="preserve">1 </w:t>
      </w:r>
      <w:r>
        <w:t xml:space="preserve">You who thirst, go to water. And as many as do not have silver, go, buy, and drink wine and fat</w:t>
      </w:r>
      <w:r>
        <w:rPr>
          <w:rStyle w:val="FootnoteReference"/>
        </w:rPr>
        <w:footnoteReference w:id="11813"/>
      </w:r>
      <w:r>
        <w:t xml:space="preserve"> without silver and price.</w:t>
      </w:r>
    </w:p>
    <w:p>
      <w:r>
        <w:rPr>
          <w:b/>
        </w:rPr>
        <w:t xml:space="preserve">2 </w:t>
      </w:r>
      <w:r>
        <w:t xml:space="preserve">Why do you spend</w:t>
      </w:r>
      <w:r>
        <w:rPr>
          <w:rStyle w:val="FootnoteReference"/>
        </w:rPr>
        <w:footnoteReference w:id="11814"/>
      </w:r>
      <w:r>
        <w:t xml:space="preserve"> silver and your labor for what does not satisfy? Hear me and eat good things, and your soul will delight in good things.</w:t>
      </w:r>
    </w:p>
    <w:p>
      <w:r>
        <w:rPr>
          <w:b/>
        </w:rPr>
        <w:t xml:space="preserve">3 </w:t>
      </w:r>
      <w:r>
        <w:t xml:space="preserve">Pay attention with your ears and follow my ways. Hear</w:t>
      </w:r>
      <w:r>
        <w:rPr>
          <w:rStyle w:val="FootnoteReference"/>
        </w:rPr>
        <w:footnoteReference w:id="11815"/>
      </w:r>
      <w:r>
        <w:t xml:space="preserve"> me, and your soul will live in good things, and I will make an everlasting covenant with you, the faithful holy things of David.</w:t>
      </w:r>
    </w:p>
    <w:p>
      <w:r>
        <w:rPr>
          <w:b/>
        </w:rPr>
        <w:t xml:space="preserve">4 </w:t>
      </w:r>
      <w:r>
        <w:t xml:space="preserve">See, I have given him as a witness among nations, a ruler and commander to nations.</w:t>
      </w:r>
    </w:p>
    <w:p>
      <w:r>
        <w:rPr>
          <w:b/>
        </w:rPr>
        <w:t xml:space="preserve">5 </w:t>
      </w:r>
      <w:r>
        <w:t xml:space="preserve">Nations that did not know you will call upon you, and peoples that do not understand you will flee for refuge to you, because of your God, the Holy One of Israel, because he glorified you.</w:t>
      </w:r>
    </w:p>
    <w:p>
      <w:r>
        <w:rPr>
          <w:b/>
        </w:rPr>
        <w:t xml:space="preserve">6 </w:t>
      </w:r>
      <w:r>
        <w:t xml:space="preserve">Seek</w:t>
      </w:r>
      <w:r>
        <w:rPr>
          <w:rStyle w:val="FootnoteReference"/>
        </w:rPr>
        <w:footnoteReference w:id="11816"/>
      </w:r>
      <w:r>
        <w:t xml:space="preserve"> God, and when you find him, call upon him when he draws near to you.</w:t>
      </w:r>
    </w:p>
    <w:p>
      <w:r>
        <w:rPr>
          <w:b/>
        </w:rPr>
        <w:t xml:space="preserve">7 </w:t>
      </w:r>
      <w:r>
        <w:t xml:space="preserve">Let the ungodly man leave his ways and the lawless man his counsels, and let him turn to the Lord, and he will receive mercy, because he will abundantly forgive your sins.</w:t>
      </w:r>
      <w:r>
        <w:rPr>
          <w:rStyle w:val="FootnoteReference"/>
        </w:rPr>
        <w:footnoteReference w:id="11817"/>
      </w:r>
    </w:p>
    <w:p>
      <w:r>
        <w:rPr>
          <w:b/>
        </w:rPr>
        <w:t xml:space="preserve">8 </w:t>
      </w:r>
      <w:r>
        <w:t xml:space="preserve">For my counsels are not like your counsels, nor are my ways like your ways, says the Lord.</w:t>
      </w:r>
    </w:p>
    <w:p>
      <w:r>
        <w:rPr>
          <w:b/>
        </w:rPr>
        <w:t xml:space="preserve">9 </w:t>
      </w:r>
      <w:r>
        <w:t xml:space="preserve">But as heaven is far from the earth, so my way is far from your ways and your thoughts from my mind.</w:t>
      </w:r>
    </w:p>
    <w:p>
      <w:r>
        <w:rPr>
          <w:b/>
        </w:rPr>
        <w:t xml:space="preserve">10 </w:t>
      </w:r>
      <w:r>
        <w:t xml:space="preserve">For as rain or snow comes down from heaven and will not return until it drenches the earth and brings forth and sprouts and gives seed to the sower and bread for food,</w:t>
      </w:r>
    </w:p>
    <w:p>
      <w:r>
        <w:rPr>
          <w:b/>
        </w:rPr>
        <w:t xml:space="preserve">11 </w:t>
      </w:r>
      <w:r>
        <w:t xml:space="preserve">so will my word be, whatever goes out from my mouth: it will not return until all I desired is accomplished, and I will prosper your ways and my commandments</w:t>
      </w:r>
      <w:r>
        <w:rPr>
          <w:rStyle w:val="FootnoteReference"/>
        </w:rPr>
        <w:footnoteReference w:id="11818"/>
      </w:r>
      <w:r>
        <w:t xml:space="preserve">.</w:t>
      </w:r>
    </w:p>
    <w:p>
      <w:r>
        <w:rPr>
          <w:b/>
        </w:rPr>
        <w:t xml:space="preserve">12 </w:t>
      </w:r>
      <w:r>
        <w:t xml:space="preserve">For in gladness you will go out and in joy you will be taught</w:t>
      </w:r>
      <w:r>
        <w:rPr>
          <w:rStyle w:val="FootnoteReference"/>
        </w:rPr>
        <w:footnoteReference w:id="11819"/>
      </w:r>
      <w:r>
        <w:t xml:space="preserve">. For the mountains</w:t>
      </w:r>
      <w:r>
        <w:rPr>
          <w:rStyle w:val="FootnoteReference"/>
        </w:rPr>
        <w:footnoteReference w:id="11820"/>
      </w:r>
      <w:r>
        <w:t xml:space="preserve"> and hills will leap, awaiting you with joy, and all the trees of the field will clap with branches.</w:t>
      </w:r>
    </w:p>
    <w:p>
      <w:r>
        <w:rPr>
          <w:b/>
        </w:rPr>
        <w:t xml:space="preserve">13 </w:t>
      </w:r>
      <w:r>
        <w:t xml:space="preserve">And instead of stubble a cypress will come up, and instead of nettle a myrtle will come up, and the Lord will be for a</w:t>
      </w:r>
      <w:r>
        <w:rPr>
          <w:rStyle w:val="FootnoteReference"/>
        </w:rPr>
        <w:footnoteReference w:id="11821"/>
      </w:r>
      <w:r>
        <w:t xml:space="preserve"> name and for an everlasting sign and will not fail.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56</w:t>
      </w:r>
    </w:p>
    <w:p>
      <w:r>
        <w:rPr>
          <w:b/>
        </w:rPr>
        <w:t xml:space="preserve">1 </w:t>
      </w:r>
      <w:r>
        <w:t xml:space="preserve">Thus says the Lord: Keep</w:t>
      </w:r>
      <w:r>
        <w:rPr>
          <w:rStyle w:val="FootnoteReference"/>
        </w:rPr>
        <w:footnoteReference w:id="11822"/>
      </w:r>
      <w:r>
        <w:t xml:space="preserve"> judgment. Do righteousness, because my salvation has drawn near to come and my mercy to be revealed.</w:t>
      </w:r>
    </w:p>
    <w:p>
      <w:r>
        <w:rPr>
          <w:b/>
        </w:rPr>
        <w:t xml:space="preserve">2 </w:t>
      </w:r>
      <w:r>
        <w:t xml:space="preserve">Blessed</w:t>
      </w:r>
      <w:r>
        <w:rPr>
          <w:rStyle w:val="FootnoteReference"/>
        </w:rPr>
        <w:footnoteReference w:id="11823"/>
      </w:r>
      <w:r>
        <w:t xml:space="preserve"> is the man doing these things and the person holding them fast, keeping the Sabbaths and not profaning them, and keeping his hands from doing wrongdoing.</w:t>
      </w:r>
    </w:p>
    <w:p>
      <w:r>
        <w:rPr>
          <w:b/>
        </w:rPr>
        <w:t xml:space="preserve">3 </w:t>
      </w:r>
      <w:r>
        <w:t xml:space="preserve">Let not the foreigner joined</w:t>
      </w:r>
      <w:r>
        <w:rPr>
          <w:rStyle w:val="FootnoteReference"/>
        </w:rPr>
        <w:footnoteReference w:id="11824"/>
      </w:r>
      <w:r>
        <w:t xml:space="preserve"> to the Lord say, The Lord will surely separate me from his people. And let not the eunuch say, I am a dry tree.</w:t>
      </w:r>
    </w:p>
    <w:p>
      <w:r>
        <w:rPr>
          <w:b/>
        </w:rPr>
        <w:t xml:space="preserve">4 </w:t>
      </w:r>
      <w:r>
        <w:t xml:space="preserve">Thus says the Lord to the eunuchs: As many as keep my Sabbaths and choose</w:t>
      </w:r>
      <w:r>
        <w:rPr>
          <w:rStyle w:val="FootnoteReference"/>
        </w:rPr>
        <w:footnoteReference w:id="11825"/>
      </w:r>
      <w:r>
        <w:t xml:space="preserve"> what I want and hold fast my covenant,</w:t>
      </w:r>
    </w:p>
    <w:p>
      <w:r>
        <w:rPr>
          <w:b/>
        </w:rPr>
        <w:t xml:space="preserve">5 </w:t>
      </w:r>
      <w:r>
        <w:t xml:space="preserve">I will give them in my house and within my wall a notable place, better</w:t>
      </w:r>
      <w:r>
        <w:rPr>
          <w:rStyle w:val="FootnoteReference"/>
        </w:rPr>
        <w:footnoteReference w:id="11826"/>
      </w:r>
      <w:r>
        <w:t xml:space="preserve"> than sons and daughters. I will give them an everlasting name and it will not fail.</w:t>
      </w:r>
    </w:p>
    <w:p>
      <w:r>
        <w:rPr>
          <w:b/>
        </w:rPr>
        <w:t xml:space="preserve">6 </w:t>
      </w:r>
      <w:r>
        <w:t xml:space="preserve">And to the foreigners joined to the Lord to serve him and to love</w:t>
      </w:r>
      <w:r>
        <w:rPr>
          <w:rStyle w:val="FootnoteReference"/>
        </w:rPr>
        <w:footnoteReference w:id="11827"/>
      </w:r>
      <w:r>
        <w:t xml:space="preserve"> the name of the Lord, so as to be his male and female servants, and all those keeping my Sabbaths and not profaning them and holding fast my covenant,</w:t>
      </w:r>
    </w:p>
    <w:p>
      <w:r>
        <w:rPr>
          <w:b/>
        </w:rPr>
        <w:t xml:space="preserve">7 </w:t>
      </w:r>
      <w:r>
        <w:t xml:space="preserve">I will bring them to my holy mountain and gladden them in the house of my prayer. Their whole burnt offerings and sacrifices will be acceptable on my altar, for my house will be called a house of prayer for all nations.</w:t>
      </w:r>
    </w:p>
    <w:p>
      <w:r>
        <w:rPr>
          <w:b/>
        </w:rPr>
        <w:t xml:space="preserve">8 </w:t>
      </w:r>
      <w:r>
        <w:t xml:space="preserve">The Lord who gathers the scattered ones of Israel says, I will gather an assembly to him.</w:t>
      </w:r>
    </w:p>
    <w:p>
      <w:r>
        <w:rPr>
          <w:b/>
        </w:rPr>
        <w:t xml:space="preserve">9 </w:t>
      </w:r>
      <w:r>
        <w:t xml:space="preserve">All the wild beasts, come, eat; all the beasts of the forest.</w:t>
      </w:r>
    </w:p>
    <w:p>
      <w:r>
        <w:rPr>
          <w:b/>
        </w:rPr>
        <w:t xml:space="preserve">10 </w:t>
      </w:r>
      <w:r>
        <w:t xml:space="preserve">See that all have been blinded; they did not know how to understand. All are mute dogs, unable to bark, dreaming of a bed, loving</w:t>
      </w:r>
      <w:r>
        <w:rPr>
          <w:rStyle w:val="FootnoteReference"/>
        </w:rPr>
        <w:footnoteReference w:id="11828"/>
      </w:r>
      <w:r>
        <w:t xml:space="preserve"> to sleep.</w:t>
      </w:r>
    </w:p>
    <w:p>
      <w:r>
        <w:rPr>
          <w:b/>
        </w:rPr>
        <w:t xml:space="preserve">11 </w:t>
      </w:r>
      <w:r>
        <w:t xml:space="preserve">And the dogs are shameless in soul, not knowing fullness, and they are</w:t>
      </w:r>
      <w:r>
        <w:rPr>
          <w:rStyle w:val="FootnoteReference"/>
        </w:rPr>
        <w:footnoteReference w:id="11829"/>
      </w:r>
      <w:r>
        <w:t xml:space="preserve"> evil, not knowing understanding. All have followed their own ways, each according to his own.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57</w:t>
      </w:r>
    </w:p>
    <w:p>
      <w:r>
        <w:rPr>
          <w:b/>
        </w:rPr>
        <w:t xml:space="preserve">1 </w:t>
      </w:r>
      <w:r>
        <w:t xml:space="preserve">See how a righteous</w:t>
      </w:r>
      <w:r>
        <w:rPr>
          <w:rStyle w:val="FootnoteReference"/>
        </w:rPr>
        <w:footnoteReference w:id="11830"/>
      </w:r>
      <w:r>
        <w:t xml:space="preserve"> man perished and no one takes it to heart, and righteous men are taken away and no one understands, because from the face of injustice a righteous man is taken away.</w:t>
      </w:r>
    </w:p>
    <w:p>
      <w:r>
        <w:rPr>
          <w:b/>
        </w:rPr>
        <w:t xml:space="preserve">2 </w:t>
      </w:r>
      <w:r>
        <w:t xml:space="preserve">His burial will be in peace; he has been taken from the midst.</w:t>
      </w:r>
    </w:p>
    <w:p>
      <w:r>
        <w:rPr>
          <w:b/>
        </w:rPr>
        <w:t xml:space="preserve">3 </w:t>
      </w:r>
      <w:r>
        <w:t xml:space="preserve">But you, come here, lawless sons, seed of adulterers and a prostitute.</w:t>
      </w:r>
    </w:p>
    <w:p>
      <w:r>
        <w:rPr>
          <w:b/>
        </w:rPr>
        <w:t xml:space="preserve">4 </w:t>
      </w:r>
      <w:r>
        <w:t xml:space="preserve">In whom did you delight yourselves? Against</w:t>
      </w:r>
      <w:r>
        <w:rPr>
          <w:rStyle w:val="FootnoteReference"/>
        </w:rPr>
        <w:footnoteReference w:id="11831"/>
      </w:r>
      <w:r>
        <w:t xml:space="preserve"> whom did you open your mouth and let loose your tongue? Are you not children of destruction, lawless seed,</w:t>
      </w:r>
    </w:p>
    <w:p>
      <w:r>
        <w:rPr>
          <w:b/>
        </w:rPr>
        <w:t xml:space="preserve">5 </w:t>
      </w:r>
      <w:r>
        <w:t xml:space="preserve">calling upon idols</w:t>
      </w:r>
      <w:r>
        <w:rPr>
          <w:rStyle w:val="FootnoteReference"/>
        </w:rPr>
        <w:footnoteReference w:id="11832"/>
      </w:r>
      <w:r>
        <w:t xml:space="preserve"> under</w:t>
      </w:r>
      <w:r>
        <w:rPr>
          <w:rStyle w:val="FootnoteReference"/>
        </w:rPr>
        <w:footnoteReference w:id="11833"/>
      </w:r>
      <w:r>
        <w:t xml:space="preserve"> leafy trees, slaughtering your children in ravines between rocks?</w:t>
      </w:r>
    </w:p>
    <w:p>
      <w:r>
        <w:rPr>
          <w:b/>
        </w:rPr>
        <w:t xml:space="preserve">6 </w:t>
      </w:r>
      <w:r>
        <w:t xml:space="preserve">That is your portion. This is your lot. To them</w:t>
      </w:r>
      <w:r>
        <w:rPr>
          <w:rStyle w:val="FootnoteReference"/>
        </w:rPr>
        <w:footnoteReference w:id="11834"/>
      </w:r>
      <w:r>
        <w:t xml:space="preserve"> you poured drink offerings; to them you brought sacrifices. Shall I not be angry over these things?</w:t>
      </w:r>
    </w:p>
    <w:p>
      <w:r>
        <w:rPr>
          <w:b/>
        </w:rPr>
        <w:t xml:space="preserve">7 </w:t>
      </w:r>
      <w:r>
        <w:t xml:space="preserve">On a high and lofty mountain, there is your bed; there you brought up sacrifices.</w:t>
      </w:r>
    </w:p>
    <w:p>
      <w:r>
        <w:rPr>
          <w:b/>
        </w:rPr>
        <w:t xml:space="preserve">8 </w:t>
      </w:r>
      <w:r>
        <w:t xml:space="preserve">And behind the doorposts of your door you set your memorials. You thought that if you departed from me you would have something more. You loved those sleeping with you.</w:t>
      </w:r>
    </w:p>
    <w:p>
      <w:r>
        <w:rPr>
          <w:b/>
        </w:rPr>
        <w:t xml:space="preserve">9 </w:t>
      </w:r>
      <w:r>
        <w:t xml:space="preserve">And you multiplied your prostitution with them and made many far from you, and sent messengers beyond your borders and turned away and were humbled as far as Hades.</w:t>
      </w:r>
    </w:p>
    <w:p>
      <w:r>
        <w:rPr>
          <w:b/>
        </w:rPr>
        <w:t xml:space="preserve">10 </w:t>
      </w:r>
      <w:r>
        <w:t xml:space="preserve">In your many ways you labored and did not say, I will stop. Because you kept strengthening yourself, therefore</w:t>
      </w:r>
      <w:r>
        <w:rPr>
          <w:rStyle w:val="FootnoteReference"/>
        </w:rPr>
        <w:footnoteReference w:id="11835"/>
      </w:r>
      <w:r>
        <w:t xml:space="preserve"> you did not plead with me.</w:t>
      </w:r>
    </w:p>
    <w:p>
      <w:r>
        <w:rPr>
          <w:b/>
        </w:rPr>
        <w:t xml:space="preserve">11 </w:t>
      </w:r>
      <w:r>
        <w:t xml:space="preserve">Whom did you respect and fear and lie to me, and not remember me, nor take me into your mind or heart? And I, seeing you, overlooked it, and you did not fear me.</w:t>
      </w:r>
    </w:p>
    <w:p>
      <w:r>
        <w:rPr>
          <w:b/>
        </w:rPr>
        <w:t xml:space="preserve">12 </w:t>
      </w:r>
      <w:r>
        <w:t xml:space="preserve">But I will declare my righteousness and your evils, which will not profit you.</w:t>
      </w:r>
    </w:p>
    <w:p>
      <w:r>
        <w:rPr>
          <w:b/>
        </w:rPr>
        <w:t xml:space="preserve">13 </w:t>
      </w:r>
      <w:r>
        <w:t xml:space="preserve">When you cry out, let them deliver you in your distress; for wind will take all these and storm will carry them away. But those holding fast to me will possess land and inherit my holy</w:t>
      </w:r>
      <w:r>
        <w:rPr>
          <w:rStyle w:val="FootnoteReference"/>
        </w:rPr>
        <w:footnoteReference w:id="11836"/>
      </w:r>
      <w:r>
        <w:t xml:space="preserve"> mountain.</w:t>
      </w:r>
    </w:p>
    <w:p>
      <w:r>
        <w:rPr>
          <w:b/>
        </w:rPr>
        <w:t xml:space="preserve">14 </w:t>
      </w:r>
      <w:r>
        <w:t xml:space="preserve">And they will say, Clear the roads before him and remove obstacles from the way of my people.</w:t>
      </w:r>
    </w:p>
    <w:p>
      <w:r>
        <w:rPr>
          <w:b/>
        </w:rPr>
        <w:t xml:space="preserve">15 </w:t>
      </w:r>
      <w:r>
        <w:t xml:space="preserve">Thus says the Lord Most High, the one dwelling in the heights forever: Holy among holy ones is his name, the Lord Most High, resting among holy ones and giving patience to the fainthearted and giving life to those crushed in heart.</w:t>
      </w:r>
    </w:p>
    <w:p>
      <w:r>
        <w:rPr>
          <w:b/>
        </w:rPr>
        <w:t xml:space="preserve">16 </w:t>
      </w:r>
      <w:r>
        <w:t xml:space="preserve">Not forever will I avenge you, nor will I be angry with you always, for spirit from me will go out, and I made every breath.</w:t>
      </w:r>
    </w:p>
    <w:p>
      <w:r>
        <w:rPr>
          <w:b/>
        </w:rPr>
        <w:t xml:space="preserve">17 </w:t>
      </w:r>
      <w:r>
        <w:t xml:space="preserve">Because of sin I grieved him for a little while and struck him and turned my face away from him, and he was grieved and went gloomy in his ways.</w:t>
      </w:r>
    </w:p>
    <w:p>
      <w:r>
        <w:rPr>
          <w:b/>
        </w:rPr>
        <w:t xml:space="preserve">18 </w:t>
      </w:r>
      <w:r>
        <w:t xml:space="preserve">I have seen his ways and healed him and comforted him and gave him true comfort.</w:t>
      </w:r>
    </w:p>
    <w:p>
      <w:r>
        <w:rPr>
          <w:b/>
        </w:rPr>
        <w:t xml:space="preserve">19 </w:t>
      </w:r>
      <w:r>
        <w:t xml:space="preserve">Peace</w:t>
      </w:r>
      <w:r>
        <w:rPr>
          <w:rStyle w:val="FootnoteReference"/>
        </w:rPr>
        <w:footnoteReference w:id="11837"/>
      </w:r>
      <w:r>
        <w:t xml:space="preserve"> upon peace to those far and to those near, and the Lord said, I will heal them.</w:t>
      </w:r>
    </w:p>
    <w:p>
      <w:r>
        <w:rPr>
          <w:b/>
        </w:rPr>
        <w:t xml:space="preserve">20 </w:t>
      </w:r>
      <w:r>
        <w:t xml:space="preserve">But unrighteous ones will thus be shaken and will not be able to rest.</w:t>
      </w:r>
      <w:r>
        <w:rPr>
          <w:rStyle w:val="FootnoteReference"/>
        </w:rPr>
        <w:footnoteReference w:id="11838"/>
      </w:r>
    </w:p>
    <w:p>
      <w:r>
        <w:rPr>
          <w:b/>
        </w:rPr>
        <w:t xml:space="preserve">21 </w:t>
      </w:r>
      <w:r>
        <w:t xml:space="preserve">There is no rejoicing for the ungodly</w:t>
      </w:r>
      <w:r>
        <w:rPr>
          <w:rStyle w:val="FootnoteReference"/>
        </w:rPr>
        <w:footnoteReference w:id="11839"/>
      </w:r>
      <w:r>
        <w:t xml:space="preserve">, said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58</w:t>
      </w:r>
    </w:p>
    <w:p>
      <w:r>
        <w:rPr>
          <w:b/>
        </w:rPr>
        <w:t xml:space="preserve">1 </w:t>
      </w:r>
      <w:r>
        <w:t xml:space="preserve">Cry out with strength and do not spare</w:t>
      </w:r>
      <w:r>
        <w:rPr>
          <w:rStyle w:val="FootnoteReference"/>
        </w:rPr>
        <w:footnoteReference w:id="11840"/>
      </w:r>
      <w:r>
        <w:t xml:space="preserve">. Lift your voice like a trumpet and announce to my people their sins and to the house of Jacob their lawless deeds.</w:t>
      </w:r>
    </w:p>
    <w:p>
      <w:r>
        <w:rPr>
          <w:b/>
        </w:rPr>
        <w:t xml:space="preserve">2 </w:t>
      </w:r>
      <w:r>
        <w:t xml:space="preserve">They seek</w:t>
      </w:r>
      <w:r>
        <w:rPr>
          <w:rStyle w:val="FootnoteReference"/>
        </w:rPr>
        <w:footnoteReference w:id="11841"/>
      </w:r>
      <w:r>
        <w:t xml:space="preserve"> me day after day and want to know my ways, as a people that has done righteousness and not forsaken the judgment of their God. They ask me now for righteous judgment and desire to draw near to God.</w:t>
      </w:r>
    </w:p>
    <w:p>
      <w:r>
        <w:rPr>
          <w:b/>
        </w:rPr>
        <w:t xml:space="preserve">3 </w:t>
      </w:r>
      <w:r>
        <w:t xml:space="preserve">saying, Why did we fast and you did not see? We humbled our souls and you did not know. For in the days of your fasts you find your own desires and goad all those under your hands.</w:t>
      </w:r>
    </w:p>
    <w:p>
      <w:r>
        <w:rPr>
          <w:b/>
        </w:rPr>
        <w:t xml:space="preserve">4 </w:t>
      </w:r>
      <w:r>
        <w:t xml:space="preserve">If you fast for judgments and fights and strike the humble one with fists, why do you fast to me as today, so that your voice may be heard in a cry?</w:t>
      </w:r>
    </w:p>
    <w:p>
      <w:r>
        <w:rPr>
          <w:b/>
        </w:rPr>
        <w:t xml:space="preserve">5 </w:t>
      </w:r>
      <w:r>
        <w:t xml:space="preserve">I did not choose such a fast, nor a day for a man to humble his soul, nor if you bend your neck like a ring and spread sackcloth and ashes. You will not call such a fast acceptable.</w:t>
      </w:r>
    </w:p>
    <w:p>
      <w:r>
        <w:rPr>
          <w:b/>
        </w:rPr>
        <w:t xml:space="preserve">6 </w:t>
      </w:r>
      <w:r>
        <w:t xml:space="preserve">Is this not the fast I chose, says the Lord? Loose every bond of injustice, untie knots of violent agreements, send broken ones away in release, and tear up every unjust writing</w:t>
      </w:r>
      <w:r>
        <w:rPr>
          <w:rStyle w:val="FootnoteReference"/>
        </w:rPr>
        <w:footnoteReference w:id="11842"/>
      </w:r>
      <w:r>
        <w:t xml:space="preserve">.</w:t>
      </w:r>
    </w:p>
    <w:p>
      <w:r>
        <w:rPr>
          <w:b/>
        </w:rPr>
        <w:t xml:space="preserve">7 </w:t>
      </w:r>
      <w:r>
        <w:t xml:space="preserve">Break your bread for the hungry one and bring</w:t>
      </w:r>
      <w:r>
        <w:rPr>
          <w:rStyle w:val="FootnoteReference"/>
        </w:rPr>
        <w:footnoteReference w:id="11843"/>
      </w:r>
      <w:r>
        <w:t xml:space="preserve"> the poor homeless into your house. If you see a naked one, clothe him. And do not overlook those from your own seed.</w:t>
      </w:r>
    </w:p>
    <w:p>
      <w:r>
        <w:rPr>
          <w:b/>
        </w:rPr>
        <w:t xml:space="preserve">8 </w:t>
      </w:r>
      <w:r>
        <w:t xml:space="preserve">Then your light will burst forth early and your healings quickly rise, and your righteousness will go before you and the glory</w:t>
      </w:r>
      <w:r>
        <w:rPr>
          <w:rStyle w:val="FootnoteReference"/>
        </w:rPr>
        <w:footnoteReference w:id="11844"/>
      </w:r>
      <w:r>
        <w:t xml:space="preserve"> of God will surround you.</w:t>
      </w:r>
    </w:p>
    <w:p>
      <w:r>
        <w:rPr>
          <w:b/>
        </w:rPr>
        <w:t xml:space="preserve">9 </w:t>
      </w:r>
      <w:r>
        <w:t xml:space="preserve">Then you will cry, and God will hear you. While you are still speaking he will say, See, I am here</w:t>
      </w:r>
      <w:r>
        <w:rPr>
          <w:rStyle w:val="FootnoteReference"/>
        </w:rPr>
        <w:footnoteReference w:id="11845"/>
      </w:r>
      <w:r>
        <w:t xml:space="preserve">. If you remove from yourself a bond and pointing of the hand and word of grumbling,</w:t>
      </w:r>
    </w:p>
    <w:p>
      <w:r>
        <w:rPr>
          <w:b/>
        </w:rPr>
        <w:t xml:space="preserve">10 </w:t>
      </w:r>
      <w:r>
        <w:t xml:space="preserve">and give bread from your soul to the hungry one and fill the humbled soul, then your light will rise in darkness and your darkness as midday.</w:t>
      </w:r>
    </w:p>
    <w:p>
      <w:r>
        <w:rPr>
          <w:b/>
        </w:rPr>
        <w:t xml:space="preserve">11 </w:t>
      </w:r>
      <w:r>
        <w:t xml:space="preserve">And your God will be with you always, and you will be filled as your soul desires, and your bones will grow fat, and you will be like</w:t>
      </w:r>
      <w:r>
        <w:rPr>
          <w:rStyle w:val="FootnoteReference"/>
        </w:rPr>
        <w:footnoteReference w:id="11846"/>
      </w:r>
      <w:r>
        <w:t xml:space="preserve"> a well-watered garden and like a spring whose water does not fail, and your bones like grass will spring up and grow fat, and they will inherit generations of generations.</w:t>
      </w:r>
    </w:p>
    <w:p>
      <w:r>
        <w:rPr>
          <w:b/>
        </w:rPr>
        <w:t xml:space="preserve">12 </w:t>
      </w:r>
      <w:r>
        <w:t xml:space="preserve">And your everlasting desolations will be built, and your foundations will be everlasting to the generations of generations. And you will be called builder of fences</w:t>
      </w:r>
      <w:r>
        <w:rPr>
          <w:rStyle w:val="FootnoteReference"/>
        </w:rPr>
        <w:footnoteReference w:id="11847"/>
      </w:r>
      <w:r>
        <w:t xml:space="preserve">, and you will stop the paths between.</w:t>
      </w:r>
    </w:p>
    <w:p>
      <w:r>
        <w:rPr>
          <w:b/>
        </w:rPr>
        <w:t xml:space="preserve">13 </w:t>
      </w:r>
      <w:r>
        <w:t xml:space="preserve">If you turn</w:t>
      </w:r>
      <w:r>
        <w:rPr>
          <w:rStyle w:val="FootnoteReference"/>
        </w:rPr>
        <w:footnoteReference w:id="11848"/>
      </w:r>
      <w:r>
        <w:t xml:space="preserve"> your foot from the Sabbaths, not doing your wishes on the holy day, and call the Sabbaths delightful, holy to your God, you will not lift your foot for work nor speak a word in anger from your mouth.</w:t>
      </w:r>
    </w:p>
    <w:p>
      <w:r>
        <w:rPr>
          <w:b/>
        </w:rPr>
        <w:t xml:space="preserve">14 </w:t>
      </w:r>
      <w:r>
        <w:t xml:space="preserve">And you will be confident in the Lord, and he will bring you up on the good things of the earth and feed</w:t>
      </w:r>
      <w:r>
        <w:rPr>
          <w:rStyle w:val="FootnoteReference"/>
        </w:rPr>
        <w:footnoteReference w:id="11849"/>
      </w:r>
      <w:r>
        <w:t xml:space="preserve"> you with the inheritance of Jacob your father, for the mouth of the Lord spoke these things.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59</w:t>
      </w:r>
    </w:p>
    <w:p>
      <w:r>
        <w:rPr>
          <w:b/>
        </w:rPr>
        <w:t xml:space="preserve">1 </w:t>
      </w:r>
      <w:r>
        <w:t xml:space="preserve">Surely the hand of the Lord is not too weak to save, nor his ear</w:t>
      </w:r>
      <w:r>
        <w:rPr>
          <w:rStyle w:val="FootnoteReference"/>
        </w:rPr>
        <w:footnoteReference w:id="11850"/>
      </w:r>
      <w:r>
        <w:t xml:space="preserve"> made heavy so as not to hear.</w:t>
      </w:r>
    </w:p>
    <w:p>
      <w:r>
        <w:rPr>
          <w:b/>
        </w:rPr>
        <w:t xml:space="preserve">2 </w:t>
      </w:r>
      <w:r>
        <w:t xml:space="preserve">But your sins stand between you and God, and because of your sins he turned his face away from you so as not to have mercy.</w:t>
      </w:r>
    </w:p>
    <w:p>
      <w:r>
        <w:rPr>
          <w:b/>
        </w:rPr>
        <w:t xml:space="preserve">3 </w:t>
      </w:r>
      <w:r>
        <w:t xml:space="preserve">For your hands</w:t>
      </w:r>
      <w:r>
        <w:rPr>
          <w:rStyle w:val="FootnoteReference"/>
        </w:rPr>
        <w:footnoteReference w:id="11851"/>
      </w:r>
      <w:r>
        <w:t xml:space="preserve"> are polluted with blood and your fingers with sins. Your lips spoke lawlessness and your tongue studies injustice.</w:t>
      </w:r>
    </w:p>
    <w:p>
      <w:r>
        <w:rPr>
          <w:b/>
        </w:rPr>
        <w:t xml:space="preserve">4 </w:t>
      </w:r>
      <w:r>
        <w:t xml:space="preserve">No one speaks righteous things, nor is there true judgment. They trust</w:t>
      </w:r>
      <w:r>
        <w:rPr>
          <w:rStyle w:val="FootnoteReference"/>
        </w:rPr>
        <w:footnoteReference w:id="11852"/>
      </w:r>
      <w:r>
        <w:t xml:space="preserve"> in vanities and speak empty things, because they conceive pain and bear lawlessness.</w:t>
      </w:r>
    </w:p>
    <w:p>
      <w:r>
        <w:rPr>
          <w:b/>
        </w:rPr>
        <w:t xml:space="preserve">5 </w:t>
      </w:r>
      <w:r>
        <w:t xml:space="preserve">They hatch eggs of asps and weave spider's web, and the one who is about to eat their eggs, breaking one, finds a viper in it.</w:t>
      </w:r>
    </w:p>
    <w:p>
      <w:r>
        <w:rPr>
          <w:b/>
        </w:rPr>
        <w:t xml:space="preserve">6 </w:t>
      </w:r>
      <w:r>
        <w:t xml:space="preserve">Their web will not become a garment, nor will they clothe themselves from their works</w:t>
      </w:r>
      <w:r>
        <w:rPr>
          <w:rStyle w:val="FootnoteReference"/>
        </w:rPr>
        <w:footnoteReference w:id="11853"/>
      </w:r>
      <w:r>
        <w:t xml:space="preserve">, for their works are works of lawlessness.</w:t>
      </w:r>
    </w:p>
    <w:p>
      <w:r>
        <w:rPr>
          <w:b/>
        </w:rPr>
        <w:t xml:space="preserve">7 </w:t>
      </w:r>
      <w:r>
        <w:t xml:space="preserve">Their feet</w:t>
      </w:r>
      <w:r>
        <w:rPr>
          <w:rStyle w:val="FootnoteReference"/>
        </w:rPr>
        <w:footnoteReference w:id="11854"/>
      </w:r>
      <w:r>
        <w:t xml:space="preserve"> run to evil, quick to pour out blood, and their thoughts are thoughts of fools. Crushing and misery are in their ways.</w:t>
      </w:r>
    </w:p>
    <w:p>
      <w:r>
        <w:rPr>
          <w:b/>
        </w:rPr>
        <w:t xml:space="preserve">8 </w:t>
      </w:r>
      <w:r>
        <w:t xml:space="preserve">They do not know the way of peace, and there is no judgment</w:t>
      </w:r>
      <w:r>
        <w:rPr>
          <w:rStyle w:val="FootnoteReference"/>
        </w:rPr>
        <w:footnoteReference w:id="11855"/>
      </w:r>
      <w:r>
        <w:t xml:space="preserve"> in their ways, for their paths are twisted, which they travel, and they do not know peace.</w:t>
      </w:r>
    </w:p>
    <w:p>
      <w:r>
        <w:rPr>
          <w:b/>
        </w:rPr>
        <w:t xml:space="preserve">9 </w:t>
      </w:r>
      <w:r>
        <w:t xml:space="preserve">Therefore judgment withdrew from them, and righteousness will not overtake them. Though they waited for light, darkness came to them. While waiting for dawn, they walked in gloom.</w:t>
      </w:r>
    </w:p>
    <w:p>
      <w:r>
        <w:rPr>
          <w:b/>
        </w:rPr>
        <w:t xml:space="preserve">10 </w:t>
      </w:r>
      <w:r>
        <w:t xml:space="preserve">They will grope</w:t>
      </w:r>
      <w:r>
        <w:rPr>
          <w:rStyle w:val="FootnoteReference"/>
        </w:rPr>
        <w:footnoteReference w:id="11856"/>
      </w:r>
      <w:r>
        <w:t xml:space="preserve"> for a wall like blind men and as having no eyes they will grope, and they will fall at noon as at midnight. As dying men they will groan.</w:t>
      </w:r>
    </w:p>
    <w:p>
      <w:r>
        <w:rPr>
          <w:b/>
        </w:rPr>
        <w:t xml:space="preserve">11 </w:t>
      </w:r>
      <w:r>
        <w:t xml:space="preserve">Like a bear and like a dove together they will go. We waited for judgment, and there is none; salvation stood far from us.</w:t>
      </w:r>
      <w:r>
        <w:rPr>
          <w:rStyle w:val="FootnoteReference"/>
        </w:rPr>
        <w:footnoteReference w:id="11857"/>
      </w:r>
    </w:p>
    <w:p>
      <w:r>
        <w:rPr>
          <w:b/>
        </w:rPr>
        <w:t xml:space="preserve">12 </w:t>
      </w:r>
      <w:r>
        <w:t xml:space="preserve">For our lawlessness is great before you, and our sins</w:t>
      </w:r>
      <w:r>
        <w:rPr>
          <w:rStyle w:val="FootnoteReference"/>
        </w:rPr>
        <w:footnoteReference w:id="11858"/>
      </w:r>
      <w:r>
        <w:t xml:space="preserve"> stood against us. Our lawless deeds are in us, and our injustices we know:</w:t>
      </w:r>
    </w:p>
    <w:p>
      <w:r>
        <w:rPr>
          <w:b/>
        </w:rPr>
        <w:t xml:space="preserve">13 </w:t>
      </w:r>
      <w:r>
        <w:t xml:space="preserve">we acted ungodly and lied and turned away from behind our God. We spoke unjust things and disobeyed. We conceived and studied from our heart unjust words.</w:t>
      </w:r>
    </w:p>
    <w:p>
      <w:r>
        <w:rPr>
          <w:b/>
        </w:rPr>
        <w:t xml:space="preserve">14 </w:t>
      </w:r>
      <w:r>
        <w:t xml:space="preserve">And we turned judgment backward and righteousness stood far off, because truth was consumed in their ways and they could not pass by straight paths.</w:t>
      </w:r>
    </w:p>
    <w:p>
      <w:r>
        <w:rPr>
          <w:b/>
        </w:rPr>
        <w:t xml:space="preserve">15 </w:t>
      </w:r>
      <w:r>
        <w:t xml:space="preserve">And truth</w:t>
      </w:r>
      <w:r>
        <w:rPr>
          <w:rStyle w:val="FootnoteReference"/>
        </w:rPr>
        <w:footnoteReference w:id="11859"/>
      </w:r>
      <w:r>
        <w:t xml:space="preserve"> was taken away and they moved the mind away from understanding. And the Lord saw, and it did not please him, because there was no judgment.</w:t>
      </w:r>
    </w:p>
    <w:p>
      <w:r>
        <w:rPr>
          <w:b/>
        </w:rPr>
        <w:t xml:space="preserve">16 </w:t>
      </w:r>
      <w:r>
        <w:t xml:space="preserve">And he saw</w:t>
      </w:r>
      <w:r>
        <w:rPr>
          <w:rStyle w:val="FootnoteReference"/>
        </w:rPr>
        <w:footnoteReference w:id="11860"/>
      </w:r>
      <w:r>
        <w:t xml:space="preserve">, and there was no man, and he understood, and there was no one to help. So he defended them with his arm and established himself with mercy.</w:t>
      </w:r>
    </w:p>
    <w:p>
      <w:r>
        <w:rPr>
          <w:b/>
        </w:rPr>
        <w:t xml:space="preserve">17 </w:t>
      </w:r>
      <w:r>
        <w:t xml:space="preserve">And he put on righteousness</w:t>
      </w:r>
      <w:r>
        <w:rPr>
          <w:rStyle w:val="FootnoteReference"/>
        </w:rPr>
        <w:footnoteReference w:id="11861"/>
      </w:r>
      <w:r>
        <w:t xml:space="preserve"> as a breastplate and placed a helmet of salvation on his head and put on a garment of vengeance as a cloak.</w:t>
      </w:r>
    </w:p>
    <w:p>
      <w:r>
        <w:rPr>
          <w:b/>
        </w:rPr>
        <w:t xml:space="preserve">18 </w:t>
      </w:r>
      <w:r>
        <w:t xml:space="preserve">as one who will give repayment: reproach to the opponents.</w:t>
      </w:r>
    </w:p>
    <w:p>
      <w:r>
        <w:rPr>
          <w:b/>
        </w:rPr>
        <w:t xml:space="preserve">19 </w:t>
      </w:r>
      <w:r>
        <w:t xml:space="preserve">And those from the west will fear the name of the Lord, and those from the sunrise the glorious name. For wrath from the Lord will come like a violent river, coming with fury.</w:t>
      </w:r>
    </w:p>
    <w:p>
      <w:r>
        <w:rPr>
          <w:b/>
        </w:rPr>
        <w:t xml:space="preserve">20 </w:t>
      </w:r>
      <w:r>
        <w:t xml:space="preserve">And the rescuer will come for the sake of Zion and turn away ungodliness from Jacob.</w:t>
      </w:r>
    </w:p>
    <w:p>
      <w:r>
        <w:rPr>
          <w:b/>
        </w:rPr>
        <w:t xml:space="preserve">21 </w:t>
      </w:r>
      <w:r>
        <w:t xml:space="preserve">And this covenant from me with them, said the Lord: My Spirit which is on you</w:t>
      </w:r>
      <w:r>
        <w:rPr>
          <w:rStyle w:val="FootnoteReference"/>
        </w:rPr>
        <w:footnoteReference w:id="11862"/>
      </w:r>
      <w:r>
        <w:t xml:space="preserve"> and the words I put in your mouth will not fail from your mouth nor from the mouth of your seed, said the Lord, from now and forever.</w:t>
      </w:r>
      <w:r>
        <w:rPr>
          <w:rStyle w:val="FootnoteReference"/>
        </w:rPr>
        <w:footnoteReference w:id="11863"/>
      </w:r>
      <w:r>
        <w:rPr>
          <w:rStyle w:val="FootnoteReference"/>
        </w:rPr>
        <w:footnoteReference w:id="1186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60</w:t>
      </w:r>
    </w:p>
    <w:p>
      <w:r>
        <w:rPr>
          <w:b/>
        </w:rPr>
        <w:t xml:space="preserve">1 </w:t>
      </w:r>
      <w:r>
        <w:t xml:space="preserve">Shine, shine, Jerusalem, for your light has come and the glory</w:t>
      </w:r>
      <w:r>
        <w:rPr>
          <w:rStyle w:val="FootnoteReference"/>
        </w:rPr>
        <w:footnoteReference w:id="11865"/>
      </w:r>
      <w:r>
        <w:t xml:space="preserve"> of the Lord has risen on you.</w:t>
      </w:r>
    </w:p>
    <w:p>
      <w:r>
        <w:rPr>
          <w:b/>
        </w:rPr>
        <w:t xml:space="preserve">2 </w:t>
      </w:r>
      <w:r>
        <w:t xml:space="preserve">See, darkness and gloom will cover the earth over nations; but on you the Lord</w:t>
      </w:r>
      <w:r>
        <w:rPr>
          <w:rStyle w:val="FootnoteReference"/>
        </w:rPr>
        <w:footnoteReference w:id="11866"/>
      </w:r>
      <w:r>
        <w:t xml:space="preserve"> will appear and his glory will be seen on you.</w:t>
      </w:r>
    </w:p>
    <w:p>
      <w:r>
        <w:rPr>
          <w:b/>
        </w:rPr>
        <w:t xml:space="preserve">3 </w:t>
      </w:r>
      <w:r>
        <w:t xml:space="preserve">And kings</w:t>
      </w:r>
      <w:r>
        <w:rPr>
          <w:rStyle w:val="FootnoteReference"/>
        </w:rPr>
        <w:footnoteReference w:id="11867"/>
      </w:r>
      <w:r>
        <w:t xml:space="preserve"> will walk by your light and nations by your brightness.</w:t>
      </w:r>
    </w:p>
    <w:p>
      <w:r>
        <w:rPr>
          <w:b/>
        </w:rPr>
        <w:t xml:space="preserve">4 </w:t>
      </w:r>
      <w:r>
        <w:t xml:space="preserve">Lift</w:t>
      </w:r>
      <w:r>
        <w:rPr>
          <w:rStyle w:val="FootnoteReference"/>
        </w:rPr>
        <w:footnoteReference w:id="11868"/>
      </w:r>
      <w:r>
        <w:t xml:space="preserve"> your eyes around and see. Your children have been gathered; see, all your sons have come from far away and your daughters will be carried on shoulders.</w:t>
      </w:r>
    </w:p>
    <w:p>
      <w:r>
        <w:rPr>
          <w:b/>
        </w:rPr>
        <w:t xml:space="preserve">5 </w:t>
      </w:r>
      <w:r>
        <w:t xml:space="preserve">Then you will see and fear and your heart will be amazed, because the wealth of the sea and of nations and peoples will turn to you and come to you.</w:t>
      </w:r>
    </w:p>
    <w:p>
      <w:r>
        <w:rPr>
          <w:b/>
        </w:rPr>
        <w:t xml:space="preserve">6 </w:t>
      </w:r>
      <w:r>
        <w:t xml:space="preserve">Herds of camels will cover you, camels of Midian</w:t>
      </w:r>
      <w:r>
        <w:rPr>
          <w:rStyle w:val="FootnoteReference"/>
        </w:rPr>
        <w:footnoteReference w:id="11869"/>
      </w:r>
      <w:r>
        <w:t xml:space="preserve"> and Ephah. All from Sheba will come, carrying gold and frankincense, and proclaiming the salvation of the Lord.</w:t>
      </w:r>
    </w:p>
    <w:p>
      <w:r>
        <w:rPr>
          <w:b/>
        </w:rPr>
        <w:t xml:space="preserve">7 </w:t>
      </w:r>
      <w:r>
        <w:t xml:space="preserve">And all the sheep of Kedar will be gathered to you and rams of Nebaioth</w:t>
      </w:r>
      <w:r>
        <w:rPr>
          <w:rStyle w:val="FootnoteReference"/>
        </w:rPr>
        <w:footnoteReference w:id="11870"/>
      </w:r>
      <w:r>
        <w:t xml:space="preserve"> will come to you and be brought up acceptable on my altar, and my house of prayer will be glorified.</w:t>
      </w:r>
    </w:p>
    <w:p>
      <w:r>
        <w:rPr>
          <w:b/>
        </w:rPr>
        <w:t xml:space="preserve">8 </w:t>
      </w:r>
      <w:r>
        <w:t xml:space="preserve">Who are these flying like clouds and like doves with young?</w:t>
      </w:r>
    </w:p>
    <w:p>
      <w:r>
        <w:rPr>
          <w:b/>
        </w:rPr>
        <w:t xml:space="preserve">9 </w:t>
      </w:r>
      <w:r>
        <w:t xml:space="preserve">Islands waited for me and ships of Tarshish first, to bring your children from far away, and their silver and gold with them, because of the holy name of the Lord and because the Holy One of Israel is glorified.</w:t>
      </w:r>
    </w:p>
    <w:p>
      <w:r>
        <w:rPr>
          <w:b/>
        </w:rPr>
        <w:t xml:space="preserve">10 </w:t>
      </w:r>
      <w:r>
        <w:t xml:space="preserve">Foreigners will build your walls and their kings</w:t>
      </w:r>
      <w:r>
        <w:rPr>
          <w:rStyle w:val="FootnoteReference"/>
        </w:rPr>
        <w:footnoteReference w:id="11871"/>
      </w:r>
      <w:r>
        <w:t xml:space="preserve"> will stand beside you, because in my wrath I struck you and in mercy I loved you.</w:t>
      </w:r>
    </w:p>
    <w:p>
      <w:r>
        <w:rPr>
          <w:b/>
        </w:rPr>
        <w:t xml:space="preserve">11 </w:t>
      </w:r>
      <w:r>
        <w:t xml:space="preserve">Your gates will be opened continually; day and night they will not be shut, to bring to you the strength of nations and kings being led.</w:t>
      </w:r>
    </w:p>
    <w:p>
      <w:r>
        <w:rPr>
          <w:b/>
        </w:rPr>
        <w:t xml:space="preserve">12 </w:t>
      </w:r>
      <w:r>
        <w:t xml:space="preserve">For nations and kings that will not serve you will perish, and nations will be made utterly desolate.</w:t>
      </w:r>
    </w:p>
    <w:p>
      <w:r>
        <w:rPr>
          <w:b/>
        </w:rPr>
        <w:t xml:space="preserve">13 </w:t>
      </w:r>
      <w:r>
        <w:t xml:space="preserve">The glory</w:t>
      </w:r>
      <w:r>
        <w:rPr>
          <w:rStyle w:val="FootnoteReference"/>
        </w:rPr>
        <w:footnoteReference w:id="11872"/>
      </w:r>
      <w:r>
        <w:t xml:space="preserve"> of Lebanon will come to you with cypress and pine and cedar together, to glorify my holy place.</w:t>
      </w:r>
    </w:p>
    <w:p>
      <w:r>
        <w:rPr>
          <w:b/>
        </w:rPr>
        <w:t xml:space="preserve">14 </w:t>
      </w:r>
      <w:r>
        <w:t xml:space="preserve">Sons</w:t>
      </w:r>
      <w:r>
        <w:rPr>
          <w:rStyle w:val="FootnoteReference"/>
        </w:rPr>
        <w:footnoteReference w:id="11873"/>
      </w:r>
      <w:r>
        <w:t xml:space="preserve"> of those who humbled you and provoked you will come to you in fear, and you will be called the city of the Lord, Zion of the Holy One of Israel.</w:t>
      </w:r>
    </w:p>
    <w:p>
      <w:r>
        <w:rPr>
          <w:b/>
        </w:rPr>
        <w:t xml:space="preserve">15 </w:t>
      </w:r>
      <w:r>
        <w:t xml:space="preserve">Because you became forsaken and hated and there was none to help, I will make you everlasting exultation, joy of generation to generation.</w:t>
      </w:r>
    </w:p>
    <w:p>
      <w:r>
        <w:rPr>
          <w:b/>
        </w:rPr>
        <w:t xml:space="preserve">16 </w:t>
      </w:r>
      <w:r>
        <w:t xml:space="preserve">You will suck milk of nations and eat wealth of kings, and you will know that I, the Lord, am the one saving you and delivering you, the God of Israel.</w:t>
      </w:r>
    </w:p>
    <w:p>
      <w:r>
        <w:rPr>
          <w:b/>
        </w:rPr>
        <w:t xml:space="preserve">17 </w:t>
      </w:r>
      <w:r>
        <w:t xml:space="preserve">Instead of bronze I will bring you gold, and instead of iron I will bring you silver, and instead of wood bronze, and instead of stones iron. And I will give your rulers in peace and your overseers in righteousness.</w:t>
      </w:r>
    </w:p>
    <w:p>
      <w:r>
        <w:rPr>
          <w:b/>
        </w:rPr>
        <w:t xml:space="preserve">18 </w:t>
      </w:r>
      <w:r>
        <w:t xml:space="preserve">Injustice will no longer be heard in your land, nor crushing nor misery in your borders, but your walls will be called Salvation and your gates Carved Work</w:t>
      </w:r>
      <w:r>
        <w:rPr>
          <w:rStyle w:val="FootnoteReference"/>
        </w:rPr>
        <w:footnoteReference w:id="11874"/>
      </w:r>
      <w:r>
        <w:t xml:space="preserve">.</w:t>
      </w:r>
    </w:p>
    <w:p>
      <w:r>
        <w:rPr>
          <w:b/>
        </w:rPr>
        <w:t xml:space="preserve">19 </w:t>
      </w:r>
      <w:r>
        <w:t xml:space="preserve">The sun will not be for you light by day, nor will the rising of the moon light your night, but the Lord will be everlasting light for you and God your glory.</w:t>
      </w:r>
    </w:p>
    <w:p>
      <w:r>
        <w:rPr>
          <w:b/>
        </w:rPr>
        <w:t xml:space="preserve">20 </w:t>
      </w:r>
      <w:r>
        <w:t xml:space="preserve">Your sun will not set and your moon will not fail, for the Lord will be everlasting light for you and the days</w:t>
      </w:r>
      <w:r>
        <w:rPr>
          <w:rStyle w:val="FootnoteReference"/>
        </w:rPr>
        <w:footnoteReference w:id="11875"/>
      </w:r>
      <w:r>
        <w:t xml:space="preserve"> of your mourning will be fulfilled.</w:t>
      </w:r>
    </w:p>
    <w:p>
      <w:r>
        <w:rPr>
          <w:b/>
        </w:rPr>
        <w:t xml:space="preserve">21 </w:t>
      </w:r>
      <w:r>
        <w:t xml:space="preserve">All your people</w:t>
      </w:r>
      <w:r>
        <w:rPr>
          <w:rStyle w:val="FootnoteReference"/>
        </w:rPr>
        <w:footnoteReference w:id="11876"/>
      </w:r>
      <w:r>
        <w:t xml:space="preserve"> will be righteous, and forever they will inherit the land, keeping the plant, the work of his hands, for glory.</w:t>
      </w:r>
    </w:p>
    <w:p>
      <w:r>
        <w:rPr>
          <w:b/>
        </w:rPr>
        <w:t xml:space="preserve">22 </w:t>
      </w:r>
      <w:r>
        <w:t xml:space="preserve">The least one will become thousands and the smallest a great nation. I, the Lord, in due time will gather them.</w:t>
      </w:r>
      <w:r>
        <w:rPr>
          <w:rStyle w:val="FootnoteReference"/>
        </w:rPr>
        <w:footnoteReference w:id="11877"/>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61</w:t>
      </w:r>
    </w:p>
    <w:p>
      <w:r>
        <w:rPr>
          <w:b/>
        </w:rPr>
        <w:t xml:space="preserve">1 </w:t>
      </w:r>
      <w:r>
        <w:t xml:space="preserve">The Spirit</w:t>
      </w:r>
      <w:r>
        <w:rPr>
          <w:rStyle w:val="FootnoteReference"/>
        </w:rPr>
        <w:footnoteReference w:id="11878"/>
      </w:r>
      <w:r>
        <w:t xml:space="preserve"> of the Lord is on me, because he anointed me to bring good news to the poor. He sent me to heal those crushed in heart, proclaim release to captives and recovery of sight to the blind.</w:t>
      </w:r>
    </w:p>
    <w:p>
      <w:r>
        <w:rPr>
          <w:b/>
        </w:rPr>
        <w:t xml:space="preserve">2 </w:t>
      </w:r>
      <w:r>
        <w:t xml:space="preserve">to call the acceptable</w:t>
      </w:r>
      <w:r>
        <w:rPr>
          <w:rStyle w:val="FootnoteReference"/>
        </w:rPr>
        <w:footnoteReference w:id="11879"/>
      </w:r>
      <w:r>
        <w:t xml:space="preserve"> year of the Lord and the day of repayment</w:t>
      </w:r>
      <w:r>
        <w:rPr>
          <w:rStyle w:val="FootnoteReference"/>
        </w:rPr>
        <w:footnoteReference w:id="11880"/>
      </w:r>
      <w:r>
        <w:t xml:space="preserve">, to comfort all those mourning.</w:t>
      </w:r>
    </w:p>
    <w:p>
      <w:r>
        <w:rPr>
          <w:b/>
        </w:rPr>
        <w:t xml:space="preserve">3 </w:t>
      </w:r>
      <w:r>
        <w:t xml:space="preserve">to give to those mourning Zion glory instead of ashes, oil of gladness to those mourning, a garment of glory instead of a spirit of weariness, and they will be called</w:t>
      </w:r>
      <w:r>
        <w:rPr>
          <w:rStyle w:val="FootnoteReference"/>
        </w:rPr>
        <w:footnoteReference w:id="11881"/>
      </w:r>
      <w:r>
        <w:t xml:space="preserve"> generations of righteousness, planting of the Lord for glory.</w:t>
      </w:r>
    </w:p>
    <w:p>
      <w:r>
        <w:rPr>
          <w:b/>
        </w:rPr>
        <w:t xml:space="preserve">4 </w:t>
      </w:r>
      <w:r>
        <w:t xml:space="preserve">And they will build everlasting desolations, raise up places formerly deserted, and renew desolate cities, desolated through generations.</w:t>
      </w:r>
    </w:p>
    <w:p>
      <w:r>
        <w:rPr>
          <w:b/>
        </w:rPr>
        <w:t xml:space="preserve">5 </w:t>
      </w:r>
      <w:r>
        <w:t xml:space="preserve">Foreigners will come, shepherding your sheep, and aliens plowmen and vine-dressers.</w:t>
      </w:r>
    </w:p>
    <w:p>
      <w:r>
        <w:rPr>
          <w:b/>
        </w:rPr>
        <w:t xml:space="preserve">6 </w:t>
      </w:r>
      <w:r>
        <w:t xml:space="preserve">But you will be called priests of the Lord, ministers of God. You will eat the strength of nations and be marveled at in their wealth.</w:t>
      </w:r>
    </w:p>
    <w:p>
      <w:r>
        <w:rPr>
          <w:b/>
        </w:rPr>
        <w:t xml:space="preserve">7 </w:t>
      </w:r>
      <w:r>
        <w:t xml:space="preserve">So they will inherit the land for a second time and everlasting</w:t>
      </w:r>
      <w:r>
        <w:rPr>
          <w:rStyle w:val="FootnoteReference"/>
        </w:rPr>
        <w:footnoteReference w:id="11882"/>
      </w:r>
      <w:r>
        <w:t xml:space="preserve"> joy will be above their head.</w:t>
      </w:r>
    </w:p>
    <w:p>
      <w:r>
        <w:rPr>
          <w:b/>
        </w:rPr>
        <w:t xml:space="preserve">8 </w:t>
      </w:r>
      <w:r>
        <w:t xml:space="preserve">For I am the Lord loving righteousness and hating robberies from injustice, and I will give their toil to righteous ones and make an everlasting covenant with them.</w:t>
      </w:r>
    </w:p>
    <w:p>
      <w:r>
        <w:rPr>
          <w:b/>
        </w:rPr>
        <w:t xml:space="preserve">9 </w:t>
      </w:r>
      <w:r>
        <w:t xml:space="preserve">Their seed</w:t>
      </w:r>
      <w:r>
        <w:rPr>
          <w:rStyle w:val="FootnoteReference"/>
        </w:rPr>
        <w:footnoteReference w:id="11883"/>
      </w:r>
      <w:r>
        <w:t xml:space="preserve"> will be known among nations and their offspring in the midst of peoples. Everyone seeing them will know them, because these are seed blessed by God.</w:t>
      </w:r>
    </w:p>
    <w:p>
      <w:r>
        <w:rPr>
          <w:b/>
        </w:rPr>
        <w:t xml:space="preserve">10 </w:t>
      </w:r>
      <w:r>
        <w:t xml:space="preserve">They will rejoice with joy in the Lord; let my soul exult in the Lord, for he clothed me with a garment of salvation and a tunic of gladness. As a</w:t>
      </w:r>
      <w:r>
        <w:rPr>
          <w:rStyle w:val="FootnoteReference"/>
        </w:rPr>
        <w:footnoteReference w:id="11884"/>
      </w:r>
      <w:r>
        <w:t xml:space="preserve"> bridegroom he put a turban on me, and as a bride he adorned me with ornament.</w:t>
      </w:r>
    </w:p>
    <w:p>
      <w:r>
        <w:rPr>
          <w:b/>
        </w:rPr>
        <w:t xml:space="preserve">11 </w:t>
      </w:r>
      <w:r>
        <w:t xml:space="preserve">And as earth increases its flower and as a garden its seeds, so the Lord will make righteousness and exultation spring up before all nations.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62</w:t>
      </w:r>
    </w:p>
    <w:p>
      <w:r>
        <w:rPr>
          <w:b/>
        </w:rPr>
        <w:t xml:space="preserve">1 </w:t>
      </w:r>
      <w:r>
        <w:t xml:space="preserve">For Zion I will not be silent, and for Jerusalem I will not relent until my righteousness goes out like light and my salvation burns like a torch.</w:t>
      </w:r>
    </w:p>
    <w:p>
      <w:r>
        <w:rPr>
          <w:b/>
        </w:rPr>
        <w:t xml:space="preserve">2 </w:t>
      </w:r>
      <w:r>
        <w:t xml:space="preserve">Nations will see your righteousness and kings your glory, and you will be called by your new name, which the Lord will name.</w:t>
      </w:r>
    </w:p>
    <w:p>
      <w:r>
        <w:rPr>
          <w:b/>
        </w:rPr>
        <w:t xml:space="preserve">3 </w:t>
      </w:r>
      <w:r>
        <w:t xml:space="preserve">You will be a crown of beauty in the hand of the Lord and a diadem of kingship in the hand of your God.</w:t>
      </w:r>
    </w:p>
    <w:p>
      <w:r>
        <w:rPr>
          <w:b/>
        </w:rPr>
        <w:t xml:space="preserve">4 </w:t>
      </w:r>
      <w:r>
        <w:t xml:space="preserve">No longer will you be called Forsaken, and your land will no longer be called Desolate, for you will be called My Desire, and your land Inhabited.</w:t>
      </w:r>
      <w:r>
        <w:rPr>
          <w:rStyle w:val="FootnoteReference"/>
        </w:rPr>
        <w:footnoteReference w:id="11885"/>
      </w:r>
    </w:p>
    <w:p>
      <w:r>
        <w:rPr>
          <w:b/>
        </w:rPr>
        <w:t xml:space="preserve">5 </w:t>
      </w:r>
      <w:r>
        <w:t xml:space="preserve">And as a young man lives with a virgin, so your sons will dwell with you, and as a bridegroom rejoices over a bride, so the Lord will rejoice over you.</w:t>
      </w:r>
    </w:p>
    <w:p>
      <w:r>
        <w:rPr>
          <w:b/>
        </w:rPr>
        <w:t xml:space="preserve">6 </w:t>
      </w:r>
      <w:r>
        <w:t xml:space="preserve">On your walls, Jerusalem, I appointed watchmen all day and all night; continually they will not be silent, remembering the Lord.</w:t>
      </w:r>
    </w:p>
    <w:p>
      <w:r>
        <w:rPr>
          <w:b/>
        </w:rPr>
        <w:t xml:space="preserve">7 </w:t>
      </w:r>
      <w:r>
        <w:t xml:space="preserve">For there is no one like you when he restores and makes Jerusalem a boast upon the earth.</w:t>
      </w:r>
    </w:p>
    <w:p>
      <w:r>
        <w:rPr>
          <w:b/>
        </w:rPr>
        <w:t xml:space="preserve">8 </w:t>
      </w:r>
      <w:r>
        <w:t xml:space="preserve">The Lord swore by his right hand and by the strength of his arm: Surely I will no longer</w:t>
      </w:r>
      <w:r>
        <w:rPr>
          <w:rStyle w:val="FootnoteReference"/>
        </w:rPr>
        <w:footnoteReference w:id="11886"/>
      </w:r>
      <w:r>
        <w:t xml:space="preserve"> give your grain and your foods to your enemies, and sons of foreigners will no longer drink your wine for which you labored—</w:t>
      </w:r>
    </w:p>
    <w:p>
      <w:r>
        <w:rPr>
          <w:b/>
        </w:rPr>
        <w:t xml:space="preserve">9 </w:t>
      </w:r>
      <w:r>
        <w:t xml:space="preserve">rather those who gather them will eat them and praise the Lord, and those who gather them will drink them in my holy courts.</w:t>
      </w:r>
    </w:p>
    <w:p>
      <w:r>
        <w:rPr>
          <w:b/>
        </w:rPr>
        <w:t xml:space="preserve">10 </w:t>
      </w:r>
      <w:r>
        <w:t xml:space="preserve">Go through</w:t>
      </w:r>
      <w:r>
        <w:rPr>
          <w:rStyle w:val="FootnoteReference"/>
        </w:rPr>
        <w:footnoteReference w:id="11887"/>
      </w:r>
      <w:r>
        <w:t xml:space="preserve"> my gates and make a road for my people, and scatter the stones from the road. Lift a standard for the nations.</w:t>
      </w:r>
    </w:p>
    <w:p>
      <w:r>
        <w:rPr>
          <w:b/>
        </w:rPr>
        <w:t xml:space="preserve">11 </w:t>
      </w:r>
      <w:r>
        <w:t xml:space="preserve">For behold, the Lord</w:t>
      </w:r>
      <w:r>
        <w:rPr>
          <w:rStyle w:val="FootnoteReference"/>
        </w:rPr>
        <w:footnoteReference w:id="11888"/>
      </w:r>
      <w:r>
        <w:t xml:space="preserve"> made this heard to the end of the earth: Say to the daughter of Zion</w:t>
      </w:r>
      <w:r>
        <w:rPr>
          <w:rStyle w:val="FootnoteReference"/>
        </w:rPr>
        <w:footnoteReference w:id="11889"/>
      </w:r>
      <w:r>
        <w:t xml:space="preserve">, Behold, your Savior comes, holding his wage and his work before his face.</w:t>
      </w:r>
    </w:p>
    <w:p>
      <w:r>
        <w:rPr>
          <w:b/>
        </w:rPr>
        <w:t xml:space="preserve">12 </w:t>
      </w:r>
      <w:r>
        <w:t xml:space="preserve">And he will call them Holy People, Redeemed by the Lord. But you will be called Sought Out</w:t>
      </w:r>
      <w:r>
        <w:rPr>
          <w:rStyle w:val="FootnoteReference"/>
        </w:rPr>
        <w:footnoteReference w:id="11890"/>
      </w:r>
      <w:r>
        <w:t xml:space="preserve">, a City Not Forsaken.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63</w:t>
      </w:r>
    </w:p>
    <w:p>
      <w:r>
        <w:rPr>
          <w:b/>
        </w:rPr>
        <w:t xml:space="preserve">1 </w:t>
      </w:r>
      <w:r>
        <w:t xml:space="preserve">Who is this</w:t>
      </w:r>
      <w:r>
        <w:rPr>
          <w:rStyle w:val="FootnoteReference"/>
        </w:rPr>
        <w:footnoteReference w:id="11891"/>
      </w:r>
      <w:r>
        <w:t xml:space="preserve"> coming from Edom, with redness of garments from Bozrah</w:t>
      </w:r>
      <w:r>
        <w:rPr>
          <w:rStyle w:val="FootnoteReference"/>
        </w:rPr>
        <w:footnoteReference w:id="11892"/>
      </w:r>
      <w:r>
        <w:t xml:space="preserve">, so beautiful in his robe, with force and strength? I speak righteousness and a judgment of salvation.</w:t>
      </w:r>
    </w:p>
    <w:p>
      <w:r>
        <w:rPr>
          <w:b/>
        </w:rPr>
        <w:t xml:space="preserve">2 </w:t>
      </w:r>
      <w:r>
        <w:t xml:space="preserve">Why are your garments red and your clothes like those from a trodden winepress?</w:t>
      </w:r>
    </w:p>
    <w:p>
      <w:r>
        <w:rPr>
          <w:b/>
        </w:rPr>
        <w:t xml:space="preserve">3 </w:t>
      </w:r>
      <w:r>
        <w:t xml:space="preserve">I am full of what was trampled, and from the nations no man was with me; I trampled them in wrath and crushed them like earth and brought their blood down to the earth.</w:t>
      </w:r>
      <w:r>
        <w:rPr>
          <w:rStyle w:val="FootnoteReference"/>
        </w:rPr>
        <w:footnoteReference w:id="11893"/>
      </w:r>
    </w:p>
    <w:p>
      <w:r>
        <w:rPr>
          <w:b/>
        </w:rPr>
        <w:t xml:space="preserve">4 </w:t>
      </w:r>
      <w:r>
        <w:t xml:space="preserve">For the day of repayment came upon them, and the year of redemption is present.</w:t>
      </w:r>
    </w:p>
    <w:p>
      <w:r>
        <w:rPr>
          <w:b/>
        </w:rPr>
        <w:t xml:space="preserve">5 </w:t>
      </w:r>
      <w:r>
        <w:t xml:space="preserve">I looked</w:t>
      </w:r>
      <w:r>
        <w:rPr>
          <w:rStyle w:val="FootnoteReference"/>
        </w:rPr>
        <w:footnoteReference w:id="11894"/>
      </w:r>
      <w:r>
        <w:t xml:space="preserve"> and there was no helper; I considered and no one was taking hold. So my arm rescued them and my wrath came upon them.</w:t>
      </w:r>
    </w:p>
    <w:p>
      <w:r>
        <w:rPr>
          <w:b/>
        </w:rPr>
        <w:t xml:space="preserve">6 </w:t>
      </w:r>
      <w:r>
        <w:t xml:space="preserve">And I trampled them in my anger and brought their blood down to the earth.</w:t>
      </w:r>
    </w:p>
    <w:p>
      <w:r>
        <w:rPr>
          <w:b/>
        </w:rPr>
        <w:t xml:space="preserve">7 </w:t>
      </w:r>
      <w:r>
        <w:t xml:space="preserve">I remembered the mercy of the Lord, the virtues of the Lord in all things by which the Lord repays us—the Lord is a good judge to the house of Israel. He brings upon us according to his</w:t>
      </w:r>
      <w:r>
        <w:rPr>
          <w:rStyle w:val="FootnoteReference"/>
        </w:rPr>
        <w:footnoteReference w:id="11895"/>
      </w:r>
      <w:r>
        <w:t xml:space="preserve"> mercy and according to the abundance of his righteousness.</w:t>
      </w:r>
    </w:p>
    <w:p>
      <w:r>
        <w:rPr>
          <w:b/>
        </w:rPr>
        <w:t xml:space="preserve">8 </w:t>
      </w:r>
      <w:r>
        <w:t xml:space="preserve">And he said, Are they not my people, children</w:t>
      </w:r>
      <w:r>
        <w:rPr>
          <w:rStyle w:val="FootnoteReference"/>
        </w:rPr>
        <w:footnoteReference w:id="11896"/>
      </w:r>
      <w:r>
        <w:t xml:space="preserve"> who will certainly not reject? And he became salvation to them.</w:t>
      </w:r>
    </w:p>
    <w:p>
      <w:r>
        <w:rPr>
          <w:b/>
        </w:rPr>
        <w:t xml:space="preserve">9 </w:t>
      </w:r>
      <w:r>
        <w:t xml:space="preserve">In all their</w:t>
      </w:r>
      <w:r>
        <w:rPr>
          <w:rStyle w:val="FootnoteReference"/>
        </w:rPr>
        <w:footnoteReference w:id="11897"/>
      </w:r>
      <w:r>
        <w:t xml:space="preserve"> affliction, no elder nor angel</w:t>
      </w:r>
      <w:r>
        <w:rPr>
          <w:rStyle w:val="FootnoteReference"/>
        </w:rPr>
        <w:footnoteReference w:id="11898"/>
      </w:r>
      <w:r>
        <w:t xml:space="preserve">, but the Lord himself saved them. Because he loved them and spared them, he redeemed them and took them up and lifted them all the days of old.</w:t>
      </w:r>
    </w:p>
    <w:p>
      <w:r>
        <w:rPr>
          <w:b/>
        </w:rPr>
        <w:t xml:space="preserve">10 </w:t>
      </w:r>
      <w:r>
        <w:t xml:space="preserve">But they disobeyed and provoked his Holy Spirit, and he turned to them as an enemy and himself fought them.</w:t>
      </w:r>
    </w:p>
    <w:p>
      <w:r>
        <w:rPr>
          <w:b/>
        </w:rPr>
        <w:t xml:space="preserve">11 </w:t>
      </w:r>
      <w:r>
        <w:t xml:space="preserve">And he remembered</w:t>
      </w:r>
      <w:r>
        <w:rPr>
          <w:rStyle w:val="FootnoteReference"/>
        </w:rPr>
        <w:footnoteReference w:id="11899"/>
      </w:r>
      <w:r>
        <w:t xml:space="preserve"> the days of old, the one who brought up from the land the shepherd of the sheep. Where is the one who placed the Holy Spirit in them,</w:t>
      </w:r>
    </w:p>
    <w:p>
      <w:r>
        <w:rPr>
          <w:b/>
        </w:rPr>
        <w:t xml:space="preserve">12 </w:t>
      </w:r>
      <w:r>
        <w:t xml:space="preserve">the one who led Moses by the right hand? The arm of his glory strengthened the water before him, to make</w:t>
      </w:r>
      <w:r>
        <w:rPr>
          <w:rStyle w:val="FootnoteReference"/>
        </w:rPr>
        <w:footnoteReference w:id="11900"/>
      </w:r>
      <w:r>
        <w:t xml:space="preserve"> an everlasting name for himself.</w:t>
      </w:r>
    </w:p>
    <w:p>
      <w:r>
        <w:rPr>
          <w:b/>
        </w:rPr>
        <w:t xml:space="preserve">13 </w:t>
      </w:r>
      <w:r>
        <w:t xml:space="preserve">He led them through the abyss like a horse through a wilderness, and they did not tire.</w:t>
      </w:r>
    </w:p>
    <w:p>
      <w:r>
        <w:rPr>
          <w:b/>
        </w:rPr>
        <w:t xml:space="preserve">14 </w:t>
      </w:r>
      <w:r>
        <w:t xml:space="preserve">And like cattle through a plain, the Spirit</w:t>
      </w:r>
      <w:r>
        <w:rPr>
          <w:rStyle w:val="FootnoteReference"/>
        </w:rPr>
        <w:footnoteReference w:id="11901"/>
      </w:r>
      <w:r>
        <w:t xml:space="preserve"> from the Lord came down and guided them. So you led your people to make for yourself a name of glory.</w:t>
      </w:r>
    </w:p>
    <w:p>
      <w:r>
        <w:rPr>
          <w:b/>
        </w:rPr>
        <w:t xml:space="preserve">15 </w:t>
      </w:r>
      <w:r>
        <w:t xml:space="preserve">Turn back from heaven and look from your holy and glorious house. Where is your zeal and strength? Where is the multitude of your mercy and compassions, because you held back from us?</w:t>
      </w:r>
    </w:p>
    <w:p>
      <w:r>
        <w:rPr>
          <w:b/>
        </w:rPr>
        <w:t xml:space="preserve">16 </w:t>
      </w:r>
      <w:r>
        <w:t xml:space="preserve">For you are our father</w:t>
      </w:r>
      <w:r>
        <w:rPr>
          <w:rStyle w:val="FootnoteReference"/>
        </w:rPr>
        <w:footnoteReference w:id="11902"/>
      </w:r>
      <w:r>
        <w:t xml:space="preserve">, because Abraham did not know us and Israel did not acknowledge us; but you, Lord</w:t>
      </w:r>
      <w:r>
        <w:rPr>
          <w:rStyle w:val="FootnoteReference"/>
        </w:rPr>
        <w:footnoteReference w:id="11903"/>
      </w:r>
      <w:r>
        <w:t xml:space="preserve">, our father, rescue us. From the beginning your name is upon us.</w:t>
      </w:r>
    </w:p>
    <w:p>
      <w:r>
        <w:rPr>
          <w:b/>
        </w:rPr>
        <w:t xml:space="preserve">17 </w:t>
      </w:r>
      <w:r>
        <w:t xml:space="preserve">Why did you make us wander, Lord, from your way? You hardened our hearts so as not to fear you. Turn back for the sake of your servants, the tribes of your inheritance.</w:t>
      </w:r>
    </w:p>
    <w:p>
      <w:r>
        <w:rPr>
          <w:b/>
        </w:rPr>
        <w:t xml:space="preserve">18 </w:t>
      </w:r>
      <w:r>
        <w:t xml:space="preserve">So we may inherit a little of your holy mountain. Our opponents trampled your sanctuary.</w:t>
      </w:r>
    </w:p>
    <w:p>
      <w:r>
        <w:rPr>
          <w:b/>
        </w:rPr>
        <w:t xml:space="preserve">19 </w:t>
      </w:r>
      <w:r>
        <w:t xml:space="preserve">We became as from the beginning when you did not rule us nor was your name called on us. If you open heaven, trembling will seize the mountains from you, and they will melt.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64</w:t>
      </w:r>
    </w:p>
    <w:p>
      <w:r>
        <w:rPr>
          <w:b/>
        </w:rPr>
        <w:t xml:space="preserve">1 </w:t>
      </w:r>
      <w:r>
        <w:t xml:space="preserve">As wax melts from fire, and fire will burn the opponents, and the name of the Lord will be evident among the opponents; from your face nations will be shaken.</w:t>
      </w:r>
    </w:p>
    <w:p>
      <w:r>
        <w:rPr>
          <w:b/>
        </w:rPr>
        <w:t xml:space="preserve">2 </w:t>
      </w:r>
      <w:r>
        <w:t xml:space="preserve">When you do glorious things, trembling will seize the mountains from you.</w:t>
      </w:r>
    </w:p>
    <w:p>
      <w:r>
        <w:rPr>
          <w:b/>
        </w:rPr>
        <w:t xml:space="preserve">3 </w:t>
      </w:r>
      <w:r>
        <w:t xml:space="preserve">From the age we have not heard, nor have our eyes seen</w:t>
      </w:r>
      <w:r>
        <w:rPr>
          <w:rStyle w:val="FootnoteReference"/>
        </w:rPr>
        <w:footnoteReference w:id="11904"/>
      </w:r>
      <w:r>
        <w:t xml:space="preserve"> God besides you and your works which you will do for those waiting for mercy.</w:t>
      </w:r>
    </w:p>
    <w:p>
      <w:r>
        <w:rPr>
          <w:b/>
        </w:rPr>
        <w:t xml:space="preserve">4 </w:t>
      </w:r>
      <w:r>
        <w:t xml:space="preserve">For he will meet those who do righteousness, and they will remember your ways. Behold, you were angry and we sinned; because of this we wandered.</w:t>
      </w:r>
    </w:p>
    <w:p>
      <w:r>
        <w:rPr>
          <w:b/>
        </w:rPr>
        <w:t xml:space="preserve">5 </w:t>
      </w:r>
      <w:r>
        <w:t xml:space="preserve">And all of us became as unclean, and all our righteousness as a cloth of menstruation, and we fell away as leaves. Because of our lawless deeds, thus a wind will carry us away.</w:t>
      </w:r>
    </w:p>
    <w:p>
      <w:r>
        <w:rPr>
          <w:b/>
        </w:rPr>
        <w:t xml:space="preserve">6 </w:t>
      </w:r>
      <w:r>
        <w:t xml:space="preserve">And there is no one calling on your name and no one remembering to take hold of you, because you turned your face away from us and gave us over because of our sins.</w:t>
      </w:r>
    </w:p>
    <w:p>
      <w:r>
        <w:rPr>
          <w:b/>
        </w:rPr>
        <w:t xml:space="preserve">7 </w:t>
      </w:r>
      <w:r>
        <w:t xml:space="preserve">And now, Lord, you are our father; but we are clay, all of us the work of your hands.</w:t>
      </w:r>
    </w:p>
    <w:p>
      <w:r>
        <w:rPr>
          <w:b/>
        </w:rPr>
        <w:t xml:space="preserve">8 </w:t>
      </w:r>
      <w:r>
        <w:t xml:space="preserve">Do not be very angry with us, and do not remember our sins in season. And now look, because we are all your people.</w:t>
      </w:r>
    </w:p>
    <w:p>
      <w:r>
        <w:rPr>
          <w:b/>
        </w:rPr>
        <w:t xml:space="preserve">9 </w:t>
      </w:r>
      <w:r>
        <w:t xml:space="preserve">Your holy city became desolate. Zion became like a desert; Jerusalem became a curse.</w:t>
      </w:r>
    </w:p>
    <w:p>
      <w:r>
        <w:rPr>
          <w:b/>
        </w:rPr>
        <w:t xml:space="preserve">10 </w:t>
      </w:r>
      <w:r>
        <w:t xml:space="preserve">Our holy house and our glory, which our fathers blessed, was burned with fire, and all glorious things fell.</w:t>
      </w:r>
    </w:p>
    <w:p>
      <w:r>
        <w:rPr>
          <w:b/>
        </w:rPr>
        <w:t xml:space="preserve">11 </w:t>
      </w:r>
      <w:r>
        <w:t xml:space="preserve">And over all these things you held back, Lord, and kept silent and humbled us greatly.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65</w:t>
      </w:r>
    </w:p>
    <w:p>
      <w:r>
        <w:rPr>
          <w:b/>
        </w:rPr>
        <w:t xml:space="preserve">1 </w:t>
      </w:r>
      <w:r>
        <w:t xml:space="preserve">I became manifest to those not seeking me; I was found by those not asking after me. I said, Behold</w:t>
      </w:r>
      <w:r>
        <w:rPr>
          <w:rStyle w:val="FootnoteReference"/>
        </w:rPr>
        <w:footnoteReference w:id="11905"/>
      </w:r>
      <w:r>
        <w:t xml:space="preserve">, I am here, to a nation not calling my name.</w:t>
      </w:r>
    </w:p>
    <w:p>
      <w:r>
        <w:rPr>
          <w:b/>
        </w:rPr>
        <w:t xml:space="preserve">2 </w:t>
      </w:r>
      <w:r>
        <w:t xml:space="preserve">I stretched out my hands all day to a disobedient and contradicting people, who did not walk in a true way but after their sins.</w:t>
      </w:r>
    </w:p>
    <w:p>
      <w:r>
        <w:rPr>
          <w:b/>
        </w:rPr>
        <w:t xml:space="preserve">3 </w:t>
      </w:r>
      <w:r>
        <w:t xml:space="preserve">This is the people who provoke me continually to my face</w:t>
      </w:r>
      <w:r>
        <w:rPr>
          <w:rStyle w:val="FootnoteReference"/>
        </w:rPr>
        <w:footnoteReference w:id="11906"/>
      </w:r>
      <w:r>
        <w:t xml:space="preserve">, sacrificing in the gardens and burning incense on the bricks to demons that do not exist.</w:t>
      </w:r>
    </w:p>
    <w:p>
      <w:r>
        <w:rPr>
          <w:b/>
        </w:rPr>
        <w:t xml:space="preserve">4 </w:t>
      </w:r>
      <w:r>
        <w:t xml:space="preserve">And among the tombs and in the caves they sleep because of dreams, eating pig flesh and broth</w:t>
      </w:r>
      <w:r>
        <w:rPr>
          <w:rStyle w:val="FootnoteReference"/>
        </w:rPr>
        <w:footnoteReference w:id="11907"/>
      </w:r>
      <w:r>
        <w:t xml:space="preserve"> of polluted sacrifices; all their vessels are polluted.</w:t>
      </w:r>
    </w:p>
    <w:p>
      <w:r>
        <w:rPr>
          <w:b/>
        </w:rPr>
        <w:t xml:space="preserve">5 </w:t>
      </w:r>
      <w:r>
        <w:t xml:space="preserve">saying, Keep far from me; do not come near me, because I am clean. This is smoke of my wrath; a fire</w:t>
      </w:r>
      <w:r>
        <w:rPr>
          <w:rStyle w:val="FootnoteReference"/>
        </w:rPr>
        <w:footnoteReference w:id="11908"/>
      </w:r>
      <w:r>
        <w:t xml:space="preserve"> burns in it all the days.</w:t>
      </w:r>
    </w:p>
    <w:p>
      <w:r>
        <w:rPr>
          <w:b/>
        </w:rPr>
        <w:t xml:space="preserve">6 </w:t>
      </w:r>
      <w:r>
        <w:t xml:space="preserve">Behold, it is written before me. I will not keep silent until I repay into their bosom</w:t>
      </w:r>
    </w:p>
    <w:p>
      <w:r>
        <w:rPr>
          <w:b/>
        </w:rPr>
        <w:t xml:space="preserve">7 </w:t>
      </w:r>
      <w:r>
        <w:t xml:space="preserve">their sins and the sins of their fathers, says the Lord, who burned</w:t>
      </w:r>
      <w:r>
        <w:rPr>
          <w:rStyle w:val="FootnoteReference"/>
        </w:rPr>
        <w:footnoteReference w:id="11909"/>
      </w:r>
      <w:r>
        <w:t xml:space="preserve"> incense on the mountains and reproached me on the hills. I will repay their works into their bosom.</w:t>
      </w:r>
    </w:p>
    <w:p>
      <w:r>
        <w:rPr>
          <w:b/>
        </w:rPr>
        <w:t xml:space="preserve">8 </w:t>
      </w:r>
      <w:r>
        <w:t xml:space="preserve">Thus says the Lord: As a grape is found in the cluster and they say, Do not destroy it, because the blessing of the Lord is in it, so I will do for the sake of the one serving me. For his sake I will not destroy them all.</w:t>
      </w:r>
    </w:p>
    <w:p>
      <w:r>
        <w:rPr>
          <w:b/>
        </w:rPr>
        <w:t xml:space="preserve">9 </w:t>
      </w:r>
      <w:r>
        <w:t xml:space="preserve">And I will bring out the seed from Jacob and from Judah, and it will inherit my holy mountain, and my chosen will inherit it and my servants will dwell there.</w:t>
      </w:r>
    </w:p>
    <w:p>
      <w:r>
        <w:rPr>
          <w:b/>
        </w:rPr>
        <w:t xml:space="preserve">10 </w:t>
      </w:r>
      <w:r>
        <w:t xml:space="preserve">And in the forest there will be folds for flocks and the valley of Achor as a resting place for herds, for my people who sought me.</w:t>
      </w:r>
    </w:p>
    <w:p>
      <w:r>
        <w:rPr>
          <w:b/>
        </w:rPr>
        <w:t xml:space="preserve">11 </w:t>
      </w:r>
      <w:r>
        <w:t xml:space="preserve">But you who abandon me and forget my holy</w:t>
      </w:r>
      <w:r>
        <w:rPr>
          <w:rStyle w:val="FootnoteReference"/>
        </w:rPr>
        <w:footnoteReference w:id="11910"/>
      </w:r>
      <w:r>
        <w:t xml:space="preserve"> mountain and prepare a table for the demon and fill mixed drink for Fortune,</w:t>
      </w:r>
      <w:r>
        <w:rPr>
          <w:rStyle w:val="FootnoteReference"/>
        </w:rPr>
        <w:footnoteReference w:id="11911"/>
      </w:r>
    </w:p>
    <w:p>
      <w:r>
        <w:rPr>
          <w:b/>
        </w:rPr>
        <w:t xml:space="preserve">12 </w:t>
      </w:r>
      <w:r>
        <w:t xml:space="preserve">I will hand you over to the sword. All of you will fall by slaughter, because I called you and you did not obey; I spoke and you refused, and you did evil</w:t>
      </w:r>
      <w:r>
        <w:rPr>
          <w:rStyle w:val="FootnoteReference"/>
        </w:rPr>
        <w:footnoteReference w:id="11912"/>
      </w:r>
      <w:r>
        <w:t xml:space="preserve"> before me and chose what I did not desire.</w:t>
      </w:r>
    </w:p>
    <w:p>
      <w:r>
        <w:rPr>
          <w:b/>
        </w:rPr>
        <w:t xml:space="preserve">13 </w:t>
      </w:r>
      <w:r>
        <w:t xml:space="preserve">Therefore thus says the Lord: Behold, those who serve me will eat, but you will hunger. Behold, those who serve me will drink, but you will thirst. Behold, those who serve me will rejoice, but you will be shamed.</w:t>
      </w:r>
    </w:p>
    <w:p>
      <w:r>
        <w:rPr>
          <w:b/>
        </w:rPr>
        <w:t xml:space="preserve">14 </w:t>
      </w:r>
      <w:r>
        <w:t xml:space="preserve">Behold, those who serve me will exult in gladness, but you will cry out from the pain of your heart and howl from crushing of spirit.</w:t>
      </w:r>
    </w:p>
    <w:p>
      <w:r>
        <w:rPr>
          <w:b/>
        </w:rPr>
        <w:t xml:space="preserve">15 </w:t>
      </w:r>
      <w:r>
        <w:t xml:space="preserve">For you will leave your name for fullness</w:t>
      </w:r>
      <w:r>
        <w:rPr>
          <w:rStyle w:val="FootnoteReference"/>
        </w:rPr>
        <w:footnoteReference w:id="11913"/>
      </w:r>
      <w:r>
        <w:t xml:space="preserve"> to my chosen</w:t>
      </w:r>
      <w:r>
        <w:rPr>
          <w:rStyle w:val="FootnoteReference"/>
        </w:rPr>
        <w:footnoteReference w:id="11914"/>
      </w:r>
      <w:r>
        <w:t xml:space="preserve">; the Lord will kill you, but to those who serve him a new name will be called,</w:t>
      </w:r>
    </w:p>
    <w:p>
      <w:r>
        <w:rPr>
          <w:b/>
        </w:rPr>
        <w:t xml:space="preserve">16 </w:t>
      </w:r>
      <w:r>
        <w:t xml:space="preserve">by which one blessed on the earth will bless the true God, and those swearing on the earth will swear by the true God, because they will forget their former affliction and it will not come up on their heart.</w:t>
      </w:r>
    </w:p>
    <w:p>
      <w:r>
        <w:rPr>
          <w:b/>
        </w:rPr>
        <w:t xml:space="preserve">17 </w:t>
      </w:r>
      <w:r>
        <w:t xml:space="preserve">For there will be a new heaven and a new earth, and former things will not be remembered nor come up upon their heart.</w:t>
      </w:r>
    </w:p>
    <w:p>
      <w:r>
        <w:rPr>
          <w:b/>
        </w:rPr>
        <w:t xml:space="preserve">18 </w:t>
      </w:r>
      <w:r>
        <w:t xml:space="preserve">But they will find gladness and exultation in it, because behold, I make Jerusalem an exultation and my people gladness.</w:t>
      </w:r>
    </w:p>
    <w:p>
      <w:r>
        <w:rPr>
          <w:b/>
        </w:rPr>
        <w:t xml:space="preserve">19 </w:t>
      </w:r>
      <w:r>
        <w:t xml:space="preserve">And I will exult over Jerusalem and be glad over my people, and a voice of weeping and a voice of crying will no longer be heard in her.</w:t>
      </w:r>
    </w:p>
    <w:p>
      <w:r>
        <w:rPr>
          <w:b/>
        </w:rPr>
        <w:t xml:space="preserve">20 </w:t>
      </w:r>
      <w:r>
        <w:t xml:space="preserve">And there will no longer be an untimely child there nor an old man who does not fill his time, for the young one will be one hundred years old, but the sinner dying at one hundred years will be accursed.</w:t>
      </w:r>
    </w:p>
    <w:p>
      <w:r>
        <w:rPr>
          <w:b/>
        </w:rPr>
        <w:t xml:space="preserve">21 </w:t>
      </w:r>
      <w:r>
        <w:t xml:space="preserve">They will build houses and dwell in them, and plant vineyards and eat their produce.</w:t>
      </w:r>
    </w:p>
    <w:p>
      <w:r>
        <w:rPr>
          <w:b/>
        </w:rPr>
        <w:t xml:space="preserve">22 </w:t>
      </w:r>
      <w:r>
        <w:t xml:space="preserve">They will not build and others dwell, nor plant and others eat, for the days of my people will be like the days of the tree of life, and the works of their labors will grow old.</w:t>
      </w:r>
    </w:p>
    <w:p>
      <w:r>
        <w:rPr>
          <w:b/>
        </w:rPr>
        <w:t xml:space="preserve">23 </w:t>
      </w:r>
      <w:r>
        <w:t xml:space="preserve">My chosen will not labor in vain nor bear children for a curse, because seed blessed by God is with them and their offspring with them.</w:t>
      </w:r>
    </w:p>
    <w:p>
      <w:r>
        <w:rPr>
          <w:b/>
        </w:rPr>
        <w:t xml:space="preserve">24 </w:t>
      </w:r>
      <w:r>
        <w:t xml:space="preserve">And before they cry out, I will hear them. While they are still speaking, I will say, What is it?</w:t>
      </w:r>
    </w:p>
    <w:p>
      <w:r>
        <w:rPr>
          <w:b/>
        </w:rPr>
        <w:t xml:space="preserve">25 </w:t>
      </w:r>
      <w:r>
        <w:t xml:space="preserve">Then wolves and lambs will graze together</w:t>
      </w:r>
      <w:r>
        <w:rPr>
          <w:rStyle w:val="FootnoteReference"/>
        </w:rPr>
        <w:footnoteReference w:id="11915"/>
      </w:r>
      <w:r>
        <w:t xml:space="preserve">, and a lion like an ox will eat straw, and a serpent will eat earth like bread. They will not do injustice nor destroy on my holy mountain,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66</w:t>
      </w:r>
    </w:p>
    <w:p>
      <w:r>
        <w:rPr>
          <w:b/>
        </w:rPr>
        <w:t xml:space="preserve">1 </w:t>
      </w:r>
      <w:r>
        <w:t xml:space="preserve">Thus says the Lord: Heaven is my throne, and the earth is the footstool of my feet. What house will you build for me, or what is the place of my rest?</w:t>
      </w:r>
    </w:p>
    <w:p>
      <w:r>
        <w:rPr>
          <w:b/>
        </w:rPr>
        <w:t xml:space="preserve">2 </w:t>
      </w:r>
      <w:r>
        <w:t xml:space="preserve">For all these things my hand made, and all these things are mine, says the Lord. And upon whom will I look, except upon the humble and quiet one and the one trembling at my words?</w:t>
      </w:r>
    </w:p>
    <w:p>
      <w:r>
        <w:rPr>
          <w:b/>
        </w:rPr>
        <w:t xml:space="preserve">3 </w:t>
      </w:r>
      <w:r>
        <w:t xml:space="preserve">But the lawless one sacrificing a calf to me is like one killing a dog; the one offering fine flour is like pig's blood; the one giving frankincense for a memorial is like a blasphemer. These also chose their own ways, and their soul desired their abominations.</w:t>
      </w:r>
    </w:p>
    <w:p>
      <w:r>
        <w:rPr>
          <w:b/>
        </w:rPr>
        <w:t xml:space="preserve">4 </w:t>
      </w:r>
      <w:r>
        <w:t xml:space="preserve">So I will choose</w:t>
      </w:r>
      <w:r>
        <w:rPr>
          <w:rStyle w:val="FootnoteReference"/>
        </w:rPr>
        <w:footnoteReference w:id="11916"/>
      </w:r>
      <w:r>
        <w:t xml:space="preserve"> their mockeries and repay their sins to them, because I called them and they did not obey me. I spoke and they did not hear, and they did evil before me and chose what I did not desire.</w:t>
      </w:r>
    </w:p>
    <w:p>
      <w:r>
        <w:rPr>
          <w:b/>
        </w:rPr>
        <w:t xml:space="preserve">5 </w:t>
      </w:r>
      <w:r>
        <w:t xml:space="preserve">Hear the word of the Lord, you who tremble at his word: Say, Our brothers</w:t>
      </w:r>
      <w:r>
        <w:rPr>
          <w:rStyle w:val="FootnoteReference"/>
        </w:rPr>
        <w:footnoteReference w:id="11917"/>
      </w:r>
      <w:r>
        <w:t xml:space="preserve">, to those who hate us and abhor us, Let the name of the Lord be glorified and be seen in their gladness; but they will be shamed.</w:t>
      </w:r>
    </w:p>
    <w:p>
      <w:r>
        <w:rPr>
          <w:b/>
        </w:rPr>
        <w:t xml:space="preserve">6 </w:t>
      </w:r>
      <w:r>
        <w:t xml:space="preserve">The voice of a cry from the city, a voice from the temple, the voice of the Lord repaying recompense to those opposing him.</w:t>
      </w:r>
    </w:p>
    <w:p>
      <w:r>
        <w:rPr>
          <w:b/>
        </w:rPr>
        <w:t xml:space="preserve">7 </w:t>
      </w:r>
      <w:r>
        <w:t xml:space="preserve">Before the one in labor gave birth, before the pain of birth-pangs came, she escaped and bore a male.</w:t>
      </w:r>
    </w:p>
    <w:p>
      <w:r>
        <w:rPr>
          <w:b/>
        </w:rPr>
        <w:t xml:space="preserve">8 </w:t>
      </w:r>
      <w:r>
        <w:t xml:space="preserve">Who heard such a thing, and who saw thus? Did the earth labor in one day, or was a nation born at once? Because Zion labored and bore her children.</w:t>
      </w:r>
    </w:p>
    <w:p>
      <w:r>
        <w:rPr>
          <w:b/>
        </w:rPr>
        <w:t xml:space="preserve">9 </w:t>
      </w:r>
      <w:r>
        <w:t xml:space="preserve">But I gave this expectation and you did not remember me, said the Lord. See, did I make the one bearing and then make her barren? said God.</w:t>
      </w:r>
    </w:p>
    <w:p>
      <w:r>
        <w:rPr>
          <w:b/>
        </w:rPr>
        <w:t xml:space="preserve">10 </w:t>
      </w:r>
      <w:r>
        <w:t xml:space="preserve">Be glad, Jerusalem, and celebrate in her, all who love her. Rejoice with joy, all who mourn over her,</w:t>
      </w:r>
    </w:p>
    <w:p>
      <w:r>
        <w:rPr>
          <w:b/>
        </w:rPr>
        <w:t xml:space="preserve">11 </w:t>
      </w:r>
      <w:r>
        <w:t xml:space="preserve">so that you may nurse and be filled from the breast of her comfort, so that after nursing you may delight from the entrance of her glory.</w:t>
      </w:r>
    </w:p>
    <w:p>
      <w:r>
        <w:rPr>
          <w:b/>
        </w:rPr>
        <w:t xml:space="preserve">12 </w:t>
      </w:r>
      <w:r>
        <w:t xml:space="preserve">Because thus says the Lord: Behold, I turn to them like a river of peace and like a torrent flooding the glory</w:t>
      </w:r>
      <w:r>
        <w:rPr>
          <w:rStyle w:val="FootnoteReference"/>
        </w:rPr>
        <w:footnoteReference w:id="11918"/>
      </w:r>
      <w:r>
        <w:t xml:space="preserve"> of nations. Their children will be carried on shoulders and comforted on knees.</w:t>
      </w:r>
    </w:p>
    <w:p>
      <w:r>
        <w:rPr>
          <w:b/>
        </w:rPr>
        <w:t xml:space="preserve">13 </w:t>
      </w:r>
      <w:r>
        <w:t xml:space="preserve">As when a mother comforts someone, so I also will comfort you, and in Jerusalem you will be comforted.</w:t>
      </w:r>
    </w:p>
    <w:p>
      <w:r>
        <w:rPr>
          <w:b/>
        </w:rPr>
        <w:t xml:space="preserve">14 </w:t>
      </w:r>
      <w:r>
        <w:t xml:space="preserve">And you will see and your heart</w:t>
      </w:r>
      <w:r>
        <w:rPr>
          <w:rStyle w:val="FootnoteReference"/>
        </w:rPr>
        <w:footnoteReference w:id="11919"/>
      </w:r>
      <w:r>
        <w:t xml:space="preserve"> will rejoice and your bones will spring up like grass, and the hand of the Lord will be known to those revering him, and he will threaten the disobedient ones.</w:t>
      </w:r>
    </w:p>
    <w:p>
      <w:r>
        <w:rPr>
          <w:b/>
        </w:rPr>
        <w:t xml:space="preserve">15 </w:t>
      </w:r>
      <w:r>
        <w:t xml:space="preserve">For behold, the Lord</w:t>
      </w:r>
      <w:r>
        <w:rPr>
          <w:rStyle w:val="FootnoteReference"/>
        </w:rPr>
        <w:footnoteReference w:id="11920"/>
      </w:r>
      <w:r>
        <w:t xml:space="preserve"> will come as fire and his chariots like a storm, to render vengeance in wrath and rebuke in a flame of fire.</w:t>
      </w:r>
    </w:p>
    <w:p>
      <w:r>
        <w:rPr>
          <w:b/>
        </w:rPr>
        <w:t xml:space="preserve">16 </w:t>
      </w:r>
      <w:r>
        <w:t xml:space="preserve">For by the fire of the Lord all the earth will be judged, and by his sword all flesh; many will be wounded by the Lord.</w:t>
      </w:r>
    </w:p>
    <w:p>
      <w:r>
        <w:rPr>
          <w:b/>
        </w:rPr>
        <w:t xml:space="preserve">17 </w:t>
      </w:r>
      <w:r>
        <w:t xml:space="preserve">Those purifying and cleansing themselves in the gardens and in the porches, eating pig flesh and abominations and the mouse, together they will be consumed, said the Lord.</w:t>
      </w:r>
    </w:p>
    <w:p>
      <w:r>
        <w:rPr>
          <w:b/>
        </w:rPr>
        <w:t xml:space="preserve">18 </w:t>
      </w:r>
      <w:r>
        <w:t xml:space="preserve">And I know their works and their thought. I am coming to gather all nations and tongues, and they will come and see</w:t>
      </w:r>
      <w:r>
        <w:rPr>
          <w:rStyle w:val="FootnoteReference"/>
        </w:rPr>
        <w:footnoteReference w:id="11921"/>
      </w:r>
      <w:r>
        <w:t xml:space="preserve"> my glory.</w:t>
      </w:r>
    </w:p>
    <w:p>
      <w:r>
        <w:rPr>
          <w:b/>
        </w:rPr>
        <w:t xml:space="preserve">19 </w:t>
      </w:r>
      <w:r>
        <w:t xml:space="preserve">And I will leave signs on them and send from them saved ones to nations—to Tarshish</w:t>
      </w:r>
      <w:r>
        <w:rPr>
          <w:rStyle w:val="FootnoteReference"/>
        </w:rPr>
        <w:footnoteReference w:id="11922"/>
      </w:r>
      <w:r>
        <w:t xml:space="preserve"> and Pul and Lud</w:t>
      </w:r>
      <w:r>
        <w:rPr>
          <w:rStyle w:val="FootnoteReference"/>
        </w:rPr>
        <w:footnoteReference w:id="11923"/>
      </w:r>
      <w:r>
        <w:t xml:space="preserve"> and Meshech and Tubal and to Greece</w:t>
      </w:r>
      <w:r>
        <w:rPr>
          <w:rStyle w:val="FootnoteReference"/>
        </w:rPr>
        <w:footnoteReference w:id="11924"/>
      </w:r>
      <w:r>
        <w:t xml:space="preserve"> and to distant islands, who have not heard my name nor seen my glory—and they will declare my glory among nations.</w:t>
      </w:r>
    </w:p>
    <w:p>
      <w:r>
        <w:rPr>
          <w:b/>
        </w:rPr>
        <w:t xml:space="preserve">20 </w:t>
      </w:r>
      <w:r>
        <w:t xml:space="preserve">And they will bring your brothers from all nations as a gift to the Lord, with horses and chariots, in litters, mules, and with parasols, into the holy city Jerusalem, says the Lord, as the sons of Israel bring me their sacrifices with psalms into the house of the Lord.</w:t>
      </w:r>
    </w:p>
    <w:p>
      <w:r>
        <w:rPr>
          <w:b/>
        </w:rPr>
        <w:t xml:space="preserve">21 </w:t>
      </w:r>
      <w:r>
        <w:t xml:space="preserve">And from them I will take for myself priests and Levites, said the Lord.</w:t>
      </w:r>
    </w:p>
    <w:p>
      <w:r>
        <w:rPr>
          <w:b/>
        </w:rPr>
        <w:t xml:space="preserve">22 </w:t>
      </w:r>
      <w:r>
        <w:t xml:space="preserve">For as the new heaven and the new earth</w:t>
      </w:r>
      <w:r>
        <w:rPr>
          <w:rStyle w:val="FootnoteReference"/>
        </w:rPr>
        <w:footnoteReference w:id="11925"/>
      </w:r>
      <w:r>
        <w:t xml:space="preserve"> which I make remain before me, says the Lord, so your seed and your name will stand.</w:t>
      </w:r>
      <w:r>
        <w:rPr>
          <w:rStyle w:val="FootnoteReference"/>
        </w:rPr>
        <w:footnoteReference w:id="11926"/>
      </w:r>
    </w:p>
    <w:p>
      <w:r>
        <w:rPr>
          <w:b/>
        </w:rPr>
        <w:t xml:space="preserve">23 </w:t>
      </w:r>
      <w:r>
        <w:t xml:space="preserve">And it will be from month to month and Sabbath to Sabbath; all flesh will come before me to worship in Jerusalem, says the Lord.</w:t>
      </w:r>
    </w:p>
    <w:p>
      <w:r>
        <w:rPr>
          <w:b/>
        </w:rPr>
        <w:t xml:space="preserve">24 </w:t>
      </w:r>
      <w:r>
        <w:t xml:space="preserve">And they will go out and see the limbs of the men who transgressed against me, for their worm will not end and their fire will not be quenched</w:t>
      </w:r>
      <w:r>
        <w:rPr>
          <w:rStyle w:val="FootnoteReference"/>
        </w:rPr>
        <w:footnoteReference w:id="11927"/>
      </w:r>
      <w:r>
        <w:t xml:space="preserve">, and they will be a spectacle to all flesh.</w:t>
      </w:r>
      <w:r>
        <w:rPr>
          <w:rStyle w:val="FootnoteReference"/>
        </w:rPr>
        <w:footnoteReference w:id="11928"/>
      </w:r>
    </w:p>
    <w:p>
      <w:r>
        <w:br w:type="page"/>
      </w:r>
    </w:p>
    <w:p>
      <w:pPr>
        <w:pStyle w:val="Heading1"/>
      </w:pPr>
      <w:r>
        <w:t xml:space="preserve">Jeremiah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word of God that came upon Jeremiah son of Hilkiah, from the priests, who dwelt in Anathoth</w:t>
      </w:r>
      <w:r>
        <w:rPr>
          <w:rStyle w:val="FootnoteReference"/>
        </w:rPr>
        <w:footnoteReference w:id="11929"/>
      </w:r>
      <w:r>
        <w:t xml:space="preserve"> in the land of Benjamin,</w:t>
      </w:r>
    </w:p>
    <w:p>
      <w:r>
        <w:rPr>
          <w:b/>
        </w:rPr>
        <w:t xml:space="preserve">2 </w:t>
      </w:r>
      <w:r>
        <w:t xml:space="preserve">to whom the word</w:t>
      </w:r>
      <w:r>
        <w:rPr>
          <w:rStyle w:val="FootnoteReference"/>
        </w:rPr>
        <w:footnoteReference w:id="11930"/>
      </w:r>
      <w:r>
        <w:t xml:space="preserve"> of God came in the days of Josiah son of Amon, king of Judah, in the thirteenth year of his reign,</w:t>
      </w:r>
    </w:p>
    <w:p>
      <w:r>
        <w:rPr>
          <w:b/>
        </w:rPr>
        <w:t xml:space="preserve">3 </w:t>
      </w:r>
      <w:r>
        <w:t xml:space="preserve">and it came in the days of Jehoiakim son of Josiah, king of Judah, until the eleventh year of Zedekiah</w:t>
      </w:r>
      <w:r>
        <w:rPr>
          <w:rStyle w:val="FootnoteReference"/>
        </w:rPr>
        <w:footnoteReference w:id="11931"/>
      </w:r>
      <w:r>
        <w:t xml:space="preserve"> son of Josiah, king of Judah, until the captivity of Jerusalem in the fifth</w:t>
      </w:r>
      <w:r>
        <w:rPr>
          <w:rStyle w:val="FootnoteReference"/>
        </w:rPr>
        <w:footnoteReference w:id="11932"/>
      </w:r>
      <w:r>
        <w:t xml:space="preserve"> month.</w:t>
      </w:r>
    </w:p>
    <w:p>
      <w:r>
        <w:rPr>
          <w:b/>
        </w:rPr>
        <w:t xml:space="preserve">4 </w:t>
      </w:r>
      <w:r>
        <w:t xml:space="preserve">And the word</w:t>
      </w:r>
      <w:r>
        <w:rPr>
          <w:rStyle w:val="FootnoteReference"/>
        </w:rPr>
        <w:footnoteReference w:id="11933"/>
      </w:r>
      <w:r>
        <w:t xml:space="preserve"> of the Lord came to me, saying,</w:t>
      </w:r>
    </w:p>
    <w:p>
      <w:r>
        <w:rPr>
          <w:b/>
        </w:rPr>
        <w:t xml:space="preserve">5 </w:t>
      </w:r>
      <w:r>
        <w:t xml:space="preserve">Before I</w:t>
      </w:r>
      <w:r>
        <w:rPr>
          <w:rStyle w:val="FootnoteReference"/>
        </w:rPr>
        <w:footnoteReference w:id="11934"/>
      </w:r>
      <w:r>
        <w:t xml:space="preserve"> formed you in the womb I knew you, and before you came out from the womb I sanctified you; I set you as a prophet to nations.</w:t>
      </w:r>
    </w:p>
    <w:p>
      <w:r>
        <w:rPr>
          <w:b/>
        </w:rPr>
        <w:t xml:space="preserve">6 </w:t>
      </w:r>
      <w:r>
        <w:t xml:space="preserve">And I said, O Master Lord</w:t>
      </w:r>
      <w:r>
        <w:rPr>
          <w:rStyle w:val="FootnoteReference"/>
        </w:rPr>
        <w:footnoteReference w:id="11935"/>
      </w:r>
      <w:r>
        <w:t xml:space="preserve">, behold, I do not know how to speak, because I am too young.</w:t>
      </w:r>
      <w:r>
        <w:rPr>
          <w:rStyle w:val="FootnoteReference"/>
        </w:rPr>
        <w:footnoteReference w:id="11936"/>
      </w:r>
    </w:p>
    <w:p>
      <w:r>
        <w:rPr>
          <w:b/>
        </w:rPr>
        <w:t xml:space="preserve">7 </w:t>
      </w:r>
      <w:r>
        <w:t xml:space="preserve">And the Lord said to me, Do not say, I am too young, because to all to whom I send you, you will go, and all whatever I command you, you will speak.</w:t>
      </w:r>
    </w:p>
    <w:p>
      <w:r>
        <w:rPr>
          <w:b/>
        </w:rPr>
        <w:t xml:space="preserve">8 </w:t>
      </w:r>
      <w:r>
        <w:t xml:space="preserve">Do not fear before their face, because I am with you to deliver you, says the Lord.</w:t>
      </w:r>
    </w:p>
    <w:p>
      <w:r>
        <w:rPr>
          <w:b/>
        </w:rPr>
        <w:t xml:space="preserve">9 </w:t>
      </w:r>
      <w:r>
        <w:t xml:space="preserve">And the Lord stretched out his hand toward me and touched</w:t>
      </w:r>
      <w:r>
        <w:rPr>
          <w:rStyle w:val="FootnoteReference"/>
        </w:rPr>
        <w:footnoteReference w:id="11937"/>
      </w:r>
      <w:r>
        <w:t xml:space="preserve"> my mouth, and the Lord said to me, Behold, I have given my words into your mouth.</w:t>
      </w:r>
    </w:p>
    <w:p>
      <w:r>
        <w:rPr>
          <w:b/>
        </w:rPr>
        <w:t xml:space="preserve">10 </w:t>
      </w:r>
      <w:r>
        <w:t xml:space="preserve">Behold, I have set you today over nations and kingdoms, to root up and dig down and destroy and rebuild and plant.</w:t>
      </w:r>
    </w:p>
    <w:p>
      <w:r>
        <w:rPr>
          <w:b/>
        </w:rPr>
        <w:t xml:space="preserve">11 </w:t>
      </w:r>
      <w:r>
        <w:t xml:space="preserve">And the word of the Lord came to me, saying, What do you see, Jeremiah? And I said, A staff of almond wood.</w:t>
      </w:r>
    </w:p>
    <w:p>
      <w:r>
        <w:rPr>
          <w:b/>
        </w:rPr>
        <w:t xml:space="preserve">12 </w:t>
      </w:r>
      <w:r>
        <w:t xml:space="preserve">And the Lord said to me, You have seen well, because I have watched over my words to perform them.</w:t>
      </w:r>
    </w:p>
    <w:p>
      <w:r>
        <w:rPr>
          <w:b/>
        </w:rPr>
        <w:t xml:space="preserve">13 </w:t>
      </w:r>
      <w:r>
        <w:t xml:space="preserve">And the word of the Lord came to me a second time, saying, What do you see? And I said, A boiling cauldron, and its face from the face of the north.</w:t>
      </w:r>
    </w:p>
    <w:p>
      <w:r>
        <w:rPr>
          <w:b/>
        </w:rPr>
        <w:t xml:space="preserve">14 </w:t>
      </w:r>
      <w:r>
        <w:t xml:space="preserve">And the Lord said to me, From the face of the north evils will be kindled against all those dwelling in the land.</w:t>
      </w:r>
    </w:p>
    <w:p>
      <w:r>
        <w:rPr>
          <w:b/>
        </w:rPr>
        <w:t xml:space="preserve">15 </w:t>
      </w:r>
      <w:r>
        <w:t xml:space="preserve">Because behold, I call all the kingdoms from the north of the earth, says the Lord, and they will come, and each will place his throne at the entrances of the gates of Jerusalem and against</w:t>
      </w:r>
      <w:r>
        <w:rPr>
          <w:rStyle w:val="FootnoteReference"/>
        </w:rPr>
        <w:footnoteReference w:id="11938"/>
      </w:r>
      <w:r>
        <w:t xml:space="preserve"> all her surrounding walls and against all the cities of Judah.</w:t>
      </w:r>
    </w:p>
    <w:p>
      <w:r>
        <w:rPr>
          <w:b/>
        </w:rPr>
        <w:t xml:space="preserve">16 </w:t>
      </w:r>
      <w:r>
        <w:t xml:space="preserve">And I will speak judgment with them concerning all their wickedness, because they abandoned me and sacrificed to foreign gods and worshiped the works of their hands.</w:t>
      </w:r>
    </w:p>
    <w:p>
      <w:r>
        <w:rPr>
          <w:b/>
        </w:rPr>
        <w:t xml:space="preserve">17 </w:t>
      </w:r>
      <w:r>
        <w:t xml:space="preserve">And you, gird your waist and rise and say to them all whatever I command you. Do not fear before them nor be terrified before them, because I am with you to deliver you, says the Lord.</w:t>
      </w:r>
    </w:p>
    <w:p>
      <w:r>
        <w:rPr>
          <w:b/>
        </w:rPr>
        <w:t xml:space="preserve">18 </w:t>
      </w:r>
      <w:r>
        <w:t xml:space="preserve">Behold, I have made you this day as a fortified city and as a strong bronze wall</w:t>
      </w:r>
      <w:r>
        <w:rPr>
          <w:rStyle w:val="FootnoteReference"/>
        </w:rPr>
        <w:footnoteReference w:id="11939"/>
      </w:r>
      <w:r>
        <w:t xml:space="preserve"> against</w:t>
      </w:r>
      <w:r>
        <w:rPr>
          <w:rStyle w:val="FootnoteReference"/>
        </w:rPr>
        <w:footnoteReference w:id="11940"/>
      </w:r>
      <w:r>
        <w:t xml:space="preserve"> all the kings of Judah and its rulers and the people of the land.</w:t>
      </w:r>
    </w:p>
    <w:p>
      <w:r>
        <w:rPr>
          <w:b/>
        </w:rPr>
        <w:t xml:space="preserve">19 </w:t>
      </w:r>
      <w:r>
        <w:t xml:space="preserve">And they will fight against you and will certainly not prevail against you, because I am with you to deliver you, said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2 </w:t>
      </w:r>
      <w:r>
        <w:t xml:space="preserve">And he said, Thus says the Lord: I remembered the mercy of your youth and the love of your completion, when you followed the Holy One of Israel</w:t>
      </w:r>
      <w:r>
        <w:rPr>
          <w:rStyle w:val="FootnoteReference"/>
        </w:rPr>
        <w:footnoteReference w:id="11941"/>
      </w:r>
      <w:r>
        <w:t xml:space="preserve">, says the Lord.</w:t>
      </w:r>
    </w:p>
    <w:p>
      <w:r>
        <w:rPr>
          <w:b/>
        </w:rPr>
        <w:t xml:space="preserve">3 </w:t>
      </w:r>
      <w:r>
        <w:t xml:space="preserve">Israel was holy to the Lord, the firstfruits</w:t>
      </w:r>
      <w:r>
        <w:rPr>
          <w:rStyle w:val="FootnoteReference"/>
        </w:rPr>
        <w:footnoteReference w:id="11942"/>
      </w:r>
      <w:r>
        <w:t xml:space="preserve"> of his produce. All who eat him will be guilty; evils will come upon them, says the Lord.</w:t>
      </w:r>
    </w:p>
    <w:p>
      <w:r>
        <w:rPr>
          <w:b/>
        </w:rPr>
        <w:t xml:space="preserve">4 </w:t>
      </w:r>
      <w:r>
        <w:t xml:space="preserve">Hear the word of the Lord, house of Jacob and every family of the house of Israel.</w:t>
      </w:r>
    </w:p>
    <w:p>
      <w:r>
        <w:rPr>
          <w:b/>
        </w:rPr>
        <w:t xml:space="preserve">5 </w:t>
      </w:r>
      <w:r>
        <w:t xml:space="preserve">Thus says the Lord: What fault did your fathers find in me, that they withdrew far from me and went after worthless things and became worthless?</w:t>
      </w:r>
      <w:r>
        <w:rPr>
          <w:rStyle w:val="FootnoteReference"/>
        </w:rPr>
        <w:footnoteReference w:id="11943"/>
      </w:r>
    </w:p>
    <w:p>
      <w:r>
        <w:rPr>
          <w:b/>
        </w:rPr>
        <w:t xml:space="preserve">6 </w:t>
      </w:r>
      <w:r>
        <w:t xml:space="preserve">And they did not say, Where is the Lord who brought us up</w:t>
      </w:r>
      <w:r>
        <w:rPr>
          <w:rStyle w:val="FootnoteReference"/>
        </w:rPr>
        <w:footnoteReference w:id="11944"/>
      </w:r>
      <w:r>
        <w:t xml:space="preserve"> from the land of Egypt, who guided us in the wilderness, in an unbounded and untrodden land, in a waterless and fruitless land, in a land through which no one traveled and no son of man dwelt there?</w:t>
      </w:r>
    </w:p>
    <w:p>
      <w:r>
        <w:rPr>
          <w:b/>
        </w:rPr>
        <w:t xml:space="preserve">7 </w:t>
      </w:r>
      <w:r>
        <w:t xml:space="preserve">And I brought</w:t>
      </w:r>
      <w:r>
        <w:rPr>
          <w:rStyle w:val="FootnoteReference"/>
        </w:rPr>
        <w:footnoteReference w:id="11945"/>
      </w:r>
      <w:r>
        <w:t xml:space="preserve"> you into Carmel, for you to eat its fruits and its good things. And you entered and defiled my land and made my inheritance an abomination.</w:t>
      </w:r>
    </w:p>
    <w:p>
      <w:r>
        <w:rPr>
          <w:b/>
        </w:rPr>
        <w:t xml:space="preserve">8 </w:t>
      </w:r>
      <w:r>
        <w:t xml:space="preserve">The priests</w:t>
      </w:r>
      <w:r>
        <w:rPr>
          <w:rStyle w:val="FootnoteReference"/>
        </w:rPr>
        <w:footnoteReference w:id="11946"/>
      </w:r>
      <w:r>
        <w:t xml:space="preserve"> did not say, Where is the Lord? Those holding the law did not know me, the shepherds acted ungodly toward me, and the prophets prophesied by Baal and went after useless things.</w:t>
      </w:r>
    </w:p>
    <w:p>
      <w:r>
        <w:rPr>
          <w:b/>
        </w:rPr>
        <w:t xml:space="preserve">9 </w:t>
      </w:r>
      <w:r>
        <w:t xml:space="preserve">Therefore I will still enter judgment with you, says the Lord, and with the sons of your sons I will enter judgment.</w:t>
      </w:r>
    </w:p>
    <w:p>
      <w:r>
        <w:rPr>
          <w:b/>
        </w:rPr>
        <w:t xml:space="preserve">10 </w:t>
      </w:r>
      <w:r>
        <w:t xml:space="preserve">For pass over to the islands of Kittim and see, and send to Kedar</w:t>
      </w:r>
      <w:r>
        <w:rPr>
          <w:rStyle w:val="FootnoteReference"/>
        </w:rPr>
        <w:footnoteReference w:id="11947"/>
      </w:r>
      <w:r>
        <w:t xml:space="preserve">, and consider carefully, and see whether such things have happened.</w:t>
      </w:r>
    </w:p>
    <w:p>
      <w:r>
        <w:rPr>
          <w:b/>
        </w:rPr>
        <w:t xml:space="preserve">11 </w:t>
      </w:r>
      <w:r>
        <w:t xml:space="preserve">Will nations change their gods, though those are not gods? Yet my people exchanged its glory for that from which they will not profit.</w:t>
      </w:r>
    </w:p>
    <w:p>
      <w:r>
        <w:rPr>
          <w:b/>
        </w:rPr>
        <w:t xml:space="preserve">12 </w:t>
      </w:r>
      <w:r>
        <w:t xml:space="preserve">The heaven was astonished at this and shuddered very greatly, says the Lord.</w:t>
      </w:r>
    </w:p>
    <w:p>
      <w:r>
        <w:rPr>
          <w:b/>
        </w:rPr>
        <w:t xml:space="preserve">13 </w:t>
      </w:r>
      <w:r>
        <w:t xml:space="preserve">Because my people did two evils: they abandoned me, a fountain of living water, and dug for themselves broken cisterns</w:t>
      </w:r>
      <w:r>
        <w:rPr>
          <w:rStyle w:val="FootnoteReference"/>
        </w:rPr>
        <w:footnoteReference w:id="11948"/>
      </w:r>
      <w:r>
        <w:t xml:space="preserve"> that cannot hold water.</w:t>
      </w:r>
      <w:r>
        <w:rPr>
          <w:rStyle w:val="FootnoteReference"/>
        </w:rPr>
        <w:footnoteReference w:id="11949"/>
      </w:r>
    </w:p>
    <w:p>
      <w:r>
        <w:rPr>
          <w:b/>
        </w:rPr>
        <w:t xml:space="preserve">14 </w:t>
      </w:r>
      <w:r>
        <w:t xml:space="preserve">Is Israel</w:t>
      </w:r>
      <w:r>
        <w:rPr>
          <w:rStyle w:val="FootnoteReference"/>
        </w:rPr>
        <w:footnoteReference w:id="11950"/>
      </w:r>
      <w:r>
        <w:t xml:space="preserve"> a slave, or is he homeborn? Why has he become plunder?</w:t>
      </w:r>
    </w:p>
    <w:p>
      <w:r>
        <w:rPr>
          <w:b/>
        </w:rPr>
        <w:t xml:space="preserve">15 </w:t>
      </w:r>
      <w:r>
        <w:t xml:space="preserve">Lions roared against him and gave their voice, those who made his land a desert, and his cities</w:t>
      </w:r>
      <w:r>
        <w:rPr>
          <w:rStyle w:val="FootnoteReference"/>
        </w:rPr>
        <w:footnoteReference w:id="11951"/>
      </w:r>
      <w:r>
        <w:t xml:space="preserve"> were torn down so that they are not inhabited.</w:t>
      </w:r>
    </w:p>
    <w:p>
      <w:r>
        <w:rPr>
          <w:b/>
        </w:rPr>
        <w:t xml:space="preserve">16 </w:t>
      </w:r>
      <w:r>
        <w:t xml:space="preserve">And sons of Memphis and Tahpanhes</w:t>
      </w:r>
      <w:r>
        <w:rPr>
          <w:rStyle w:val="FootnoteReference"/>
        </w:rPr>
        <w:footnoteReference w:id="11952"/>
      </w:r>
      <w:r>
        <w:t xml:space="preserve"> knew you and mocked you.</w:t>
      </w:r>
    </w:p>
    <w:p>
      <w:r>
        <w:rPr>
          <w:b/>
        </w:rPr>
        <w:t xml:space="preserve">17 </w:t>
      </w:r>
      <w:r>
        <w:t xml:space="preserve">Did not your abandoning me do these things to you? says the Lord your God.</w:t>
      </w:r>
    </w:p>
    <w:p>
      <w:r>
        <w:rPr>
          <w:b/>
        </w:rPr>
        <w:t xml:space="preserve">18 </w:t>
      </w:r>
      <w:r>
        <w:t xml:space="preserve">And now what have you to do with the way of Egypt, to drink the water of Gihon</w:t>
      </w:r>
      <w:r>
        <w:rPr>
          <w:rStyle w:val="FootnoteReference"/>
        </w:rPr>
        <w:footnoteReference w:id="11953"/>
      </w:r>
      <w:r>
        <w:t xml:space="preserve">? And what have you to do with the way of the Assyrians, to drink the water of rivers?</w:t>
      </w:r>
    </w:p>
    <w:p>
      <w:r>
        <w:rPr>
          <w:b/>
        </w:rPr>
        <w:t xml:space="preserve">19 </w:t>
      </w:r>
      <w:r>
        <w:t xml:space="preserve">Your apostasy will discipline you and your evil will expose you. Know and see that your abandoning me is bitter</w:t>
      </w:r>
      <w:r>
        <w:rPr>
          <w:rStyle w:val="FootnoteReference"/>
        </w:rPr>
        <w:footnoteReference w:id="11954"/>
      </w:r>
      <w:r>
        <w:t xml:space="preserve"> to you, says the Lord your God, and I did not take pleasure in you, says the Lord your God.</w:t>
      </w:r>
    </w:p>
    <w:p>
      <w:r>
        <w:rPr>
          <w:b/>
        </w:rPr>
        <w:t xml:space="preserve">20 </w:t>
      </w:r>
      <w:r>
        <w:t xml:space="preserve">Because from of old you broke your yoke and tore your bonds and said, I will not serve. Rather, on every high hill and under every shady tree, there I will spread myself out in my prostitution.</w:t>
      </w:r>
    </w:p>
    <w:p>
      <w:r>
        <w:rPr>
          <w:b/>
        </w:rPr>
        <w:t xml:space="preserve">21 </w:t>
      </w:r>
      <w:r>
        <w:t xml:space="preserve">But I planted you as a fruitful vine, wholly</w:t>
      </w:r>
      <w:r>
        <w:rPr>
          <w:rStyle w:val="FootnoteReference"/>
        </w:rPr>
        <w:footnoteReference w:id="11955"/>
      </w:r>
      <w:r>
        <w:t xml:space="preserve"> true. How did you turn into bitterness, the foreign vine?</w:t>
      </w:r>
      <w:r>
        <w:rPr>
          <w:rStyle w:val="FootnoteReference"/>
        </w:rPr>
        <w:footnoteReference w:id="11956"/>
      </w:r>
    </w:p>
    <w:p>
      <w:r>
        <w:rPr>
          <w:b/>
        </w:rPr>
        <w:t xml:space="preserve">22 </w:t>
      </w:r>
      <w:r>
        <w:t xml:space="preserve">If you wash with niter</w:t>
      </w:r>
      <w:r>
        <w:rPr>
          <w:rStyle w:val="FootnoteReference"/>
        </w:rPr>
        <w:footnoteReference w:id="11957"/>
      </w:r>
      <w:r>
        <w:t xml:space="preserve"> and multiply soap for yourself, you are stained by your injustices before me, says the Lord.</w:t>
      </w:r>
    </w:p>
    <w:p>
      <w:r>
        <w:rPr>
          <w:b/>
        </w:rPr>
        <w:t xml:space="preserve">23 </w:t>
      </w:r>
      <w:r>
        <w:t xml:space="preserve">How will you say, I was not defiled and I did not go after Baal? See your ways in the burial ground</w:t>
      </w:r>
      <w:r>
        <w:rPr>
          <w:rStyle w:val="FootnoteReference"/>
        </w:rPr>
        <w:footnoteReference w:id="11958"/>
      </w:r>
      <w:r>
        <w:t xml:space="preserve"> and know what you did. At evening her voice wailed in her ways.</w:t>
      </w:r>
    </w:p>
    <w:p>
      <w:r>
        <w:rPr>
          <w:b/>
        </w:rPr>
        <w:t xml:space="preserve">24 </w:t>
      </w:r>
      <w:r>
        <w:t xml:space="preserve">She spread out over waters of the wilderness; in the desires of her soul she was wind-borne, given over. Who will turn her back? All seeking her will not grow weary; in her humiliation they will find her.</w:t>
      </w:r>
      <w:r>
        <w:rPr>
          <w:rStyle w:val="FootnoteReference"/>
        </w:rPr>
        <w:footnoteReference w:id="11959"/>
      </w:r>
    </w:p>
    <w:p>
      <w:r>
        <w:rPr>
          <w:b/>
        </w:rPr>
        <w:t xml:space="preserve">25 </w:t>
      </w:r>
      <w:r>
        <w:t xml:space="preserve">Turn your foot from a rough way and your throat from thirst. But she said, I will be strong, because she loved foreigners and went after them.</w:t>
      </w:r>
    </w:p>
    <w:p>
      <w:r>
        <w:rPr>
          <w:b/>
        </w:rPr>
        <w:t xml:space="preserve">26 </w:t>
      </w:r>
      <w:r>
        <w:t xml:space="preserve">As the shame of a thief when caught, so the sons of Israel will be shamed, they and their kings</w:t>
      </w:r>
      <w:r>
        <w:rPr>
          <w:rStyle w:val="FootnoteReference"/>
        </w:rPr>
        <w:footnoteReference w:id="11960"/>
      </w:r>
      <w:r>
        <w:t xml:space="preserve"> and their rulers and their priests and their prophets.</w:t>
      </w:r>
    </w:p>
    <w:p>
      <w:r>
        <w:rPr>
          <w:b/>
        </w:rPr>
        <w:t xml:space="preserve">27 </w:t>
      </w:r>
      <w:r>
        <w:t xml:space="preserve">To a tree they said, You are my father, and to a stone, You birthed me. And they turned their backs to me and not their faces, and at the time of their evils they will say, Rise and save us.</w:t>
      </w:r>
      <w:r>
        <w:rPr>
          <w:rStyle w:val="FootnoteReference"/>
        </w:rPr>
        <w:footnoteReference w:id="11961"/>
      </w:r>
    </w:p>
    <w:p>
      <w:r>
        <w:rPr>
          <w:b/>
        </w:rPr>
        <w:t xml:space="preserve">28 </w:t>
      </w:r>
      <w:r>
        <w:t xml:space="preserve">And where are your gods that you made for yourself? Let them rise, if they will save you at the time of your affliction, because according to the number</w:t>
      </w:r>
      <w:r>
        <w:rPr>
          <w:rStyle w:val="FootnoteReference"/>
        </w:rPr>
        <w:footnoteReference w:id="11962"/>
      </w:r>
      <w:r>
        <w:t xml:space="preserve"> of your cities were your gods, Judah, and according to the number of the streets of Jerusalem they sacrificed to Baal.</w:t>
      </w:r>
      <w:r>
        <w:rPr>
          <w:rStyle w:val="FootnoteReference"/>
        </w:rPr>
        <w:footnoteReference w:id="11963"/>
      </w:r>
    </w:p>
    <w:p>
      <w:r>
        <w:rPr>
          <w:b/>
        </w:rPr>
        <w:t xml:space="preserve">29 </w:t>
      </w:r>
      <w:r>
        <w:t xml:space="preserve">Why do you all speak against me? You all acted ungodly and lawlessly toward me, says the Lord.</w:t>
      </w:r>
    </w:p>
    <w:p>
      <w:r>
        <w:rPr>
          <w:b/>
        </w:rPr>
        <w:t xml:space="preserve">30 </w:t>
      </w:r>
      <w:r>
        <w:t xml:space="preserve">In vain</w:t>
      </w:r>
      <w:r>
        <w:rPr>
          <w:rStyle w:val="FootnoteReference"/>
        </w:rPr>
        <w:footnoteReference w:id="11964"/>
      </w:r>
      <w:r>
        <w:t xml:space="preserve"> I struck your children; they did not accept correction. A sword devoured your prophets like a destroying lion, and you did not fear.</w:t>
      </w:r>
    </w:p>
    <w:p>
      <w:r>
        <w:rPr>
          <w:b/>
        </w:rPr>
        <w:t xml:space="preserve">31 </w:t>
      </w:r>
      <w:r>
        <w:t xml:space="preserve">Hear the word of the Lord. Thus says the Lord: Did I become a wilderness to Israel or a land laid waste? Why did my people say, We will not be ruled and will not come to you any longer?</w:t>
      </w:r>
    </w:p>
    <w:p>
      <w:r>
        <w:rPr>
          <w:b/>
        </w:rPr>
        <w:t xml:space="preserve">32 </w:t>
      </w:r>
      <w:r>
        <w:t xml:space="preserve">Will a bride forget her ornament, or a virgin her breast-band</w:t>
      </w:r>
      <w:r>
        <w:rPr>
          <w:rStyle w:val="FootnoteReference"/>
        </w:rPr>
        <w:footnoteReference w:id="11965"/>
      </w:r>
      <w:r>
        <w:t xml:space="preserve">? But my people forgot me for days without number.</w:t>
      </w:r>
    </w:p>
    <w:p>
      <w:r>
        <w:rPr>
          <w:b/>
        </w:rPr>
        <w:t xml:space="preserve">33 </w:t>
      </w:r>
      <w:r>
        <w:t xml:space="preserve">Why do you still make your ways beautiful to seek love? Not so; but you also did evil, defiling your ways.</w:t>
      </w:r>
    </w:p>
    <w:p>
      <w:r>
        <w:rPr>
          <w:b/>
        </w:rPr>
        <w:t xml:space="preserve">34 </w:t>
      </w:r>
      <w:r>
        <w:t xml:space="preserve">And in your hands were found bloods of innocent souls. I did not find them in tunnels, but under every oak.</w:t>
      </w:r>
      <w:r>
        <w:rPr>
          <w:rStyle w:val="FootnoteReference"/>
        </w:rPr>
        <w:footnoteReference w:id="11966"/>
      </w:r>
    </w:p>
    <w:p>
      <w:r>
        <w:rPr>
          <w:b/>
        </w:rPr>
        <w:t xml:space="preserve">35 </w:t>
      </w:r>
      <w:r>
        <w:t xml:space="preserve">And you said, I am innocent; let his wrath be turned from me. Behold, I enter judgment with you in your saying, I did not sin.</w:t>
      </w:r>
    </w:p>
    <w:p>
      <w:r>
        <w:rPr>
          <w:b/>
        </w:rPr>
        <w:t xml:space="preserve">36 </w:t>
      </w:r>
      <w:r>
        <w:t xml:space="preserve">Why did you greatly despise repeating your ways? From Egypt you will be put to shame just as you were put to shame by Assyria.</w:t>
      </w:r>
    </w:p>
    <w:p>
      <w:r>
        <w:rPr>
          <w:b/>
        </w:rPr>
        <w:t xml:space="preserve">37 </w:t>
      </w:r>
      <w:r>
        <w:t xml:space="preserve">Because also from there you will go out with your hands upon your head</w:t>
      </w:r>
      <w:r>
        <w:rPr>
          <w:rStyle w:val="FootnoteReference"/>
        </w:rPr>
        <w:footnoteReference w:id="11967"/>
      </w:r>
      <w:r>
        <w:t xml:space="preserve">, because the Lord rejected your hope and you will not prosper by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If a husband sends away his wife, and she departs from him and becomes another man's, will she by returning return to him again? Will not that woman be utterly defiled? Yet you prostituted yourself with many shepherds</w:t>
      </w:r>
      <w:r>
        <w:rPr>
          <w:rStyle w:val="FootnoteReference"/>
        </w:rPr>
        <w:footnoteReference w:id="11968"/>
      </w:r>
      <w:r>
        <w:t xml:space="preserve"> and kept returning to me, says the Lord.</w:t>
      </w:r>
    </w:p>
    <w:p>
      <w:r>
        <w:rPr>
          <w:b/>
        </w:rPr>
        <w:t xml:space="preserve">2 </w:t>
      </w:r>
      <w:r>
        <w:t xml:space="preserve">Lift</w:t>
      </w:r>
      <w:r>
        <w:rPr>
          <w:rStyle w:val="FootnoteReference"/>
        </w:rPr>
        <w:footnoteReference w:id="11969"/>
      </w:r>
      <w:r>
        <w:t xml:space="preserve"> your eyes straight ahead and see where you were not defiled. By the roads you sat for them like a crow in desolation</w:t>
      </w:r>
      <w:r>
        <w:rPr>
          <w:rStyle w:val="FootnoteReference"/>
        </w:rPr>
        <w:footnoteReference w:id="11970"/>
      </w:r>
      <w:r>
        <w:t xml:space="preserve">, and you defiled the land with your prostitutions and your evils.</w:t>
      </w:r>
    </w:p>
    <w:p>
      <w:r>
        <w:rPr>
          <w:b/>
        </w:rPr>
        <w:t xml:space="preserve">3 </w:t>
      </w:r>
      <w:r>
        <w:t xml:space="preserve">And you had many shepherds as a stumbling-block for yourself. The face of a prostitute became yours; you became shameless toward all.</w:t>
      </w:r>
    </w:p>
    <w:p>
      <w:r>
        <w:rPr>
          <w:b/>
        </w:rPr>
        <w:t xml:space="preserve">4 </w:t>
      </w:r>
      <w:r>
        <w:t xml:space="preserve">Did you not call me house and father and leader of your virginity</w:t>
      </w:r>
      <w:r>
        <w:rPr>
          <w:rStyle w:val="FootnoteReference"/>
        </w:rPr>
        <w:footnoteReference w:id="11971"/>
      </w:r>
      <w:r>
        <w:t xml:space="preserve">?</w:t>
      </w:r>
    </w:p>
    <w:p>
      <w:r>
        <w:rPr>
          <w:b/>
        </w:rPr>
        <w:t xml:space="preserve">5 </w:t>
      </w:r>
      <w:r>
        <w:t xml:space="preserve">Will he remain forever or be kept for hostility? Behold, you spoke and did these evil things and prevailed.</w:t>
      </w:r>
    </w:p>
    <w:p>
      <w:r>
        <w:rPr>
          <w:b/>
        </w:rPr>
        <w:t xml:space="preserve">6 </w:t>
      </w:r>
      <w:r>
        <w:t xml:space="preserve">And the Lord said to me in the days of King Josiah, Did you see what the dwelling of Israel did to me? They went on every high mountain and under every leafy tree and prostituted themselves there.</w:t>
      </w:r>
    </w:p>
    <w:p>
      <w:r>
        <w:rPr>
          <w:b/>
        </w:rPr>
        <w:t xml:space="preserve">7 </w:t>
      </w:r>
      <w:r>
        <w:t xml:space="preserve">And I said after she did all these prostitutions, Return to me. And she did not return. And faithless Judah saw her faithlessness.</w:t>
      </w:r>
    </w:p>
    <w:p>
      <w:r>
        <w:rPr>
          <w:b/>
        </w:rPr>
        <w:t xml:space="preserve">8 </w:t>
      </w:r>
      <w:r>
        <w:t xml:space="preserve">And I saw that concerning all the things in which the dwelling of Israel was caught, with which she committed adultery, I sent her away and gave her a bill of divorce</w:t>
      </w:r>
      <w:r>
        <w:rPr>
          <w:rStyle w:val="FootnoteReference"/>
        </w:rPr>
        <w:footnoteReference w:id="11972"/>
      </w:r>
      <w:r>
        <w:t xml:space="preserve"> into her hands. Yet faithless Judah did not fear, but she also went and prostituted herself.</w:t>
      </w:r>
    </w:p>
    <w:p>
      <w:r>
        <w:rPr>
          <w:b/>
        </w:rPr>
        <w:t xml:space="preserve">9 </w:t>
      </w:r>
      <w:r>
        <w:t xml:space="preserve">And her prostitution became as nothing, and she committed</w:t>
      </w:r>
      <w:r>
        <w:rPr>
          <w:rStyle w:val="FootnoteReference"/>
        </w:rPr>
        <w:footnoteReference w:id="11973"/>
      </w:r>
      <w:r>
        <w:t xml:space="preserve"> adultery with the wood and the stone</w:t>
      </w:r>
      <w:r>
        <w:rPr>
          <w:rStyle w:val="FootnoteReference"/>
        </w:rPr>
        <w:footnoteReference w:id="11974"/>
      </w:r>
      <w:r>
        <w:t xml:space="preserve">.</w:t>
      </w:r>
    </w:p>
    <w:p>
      <w:r>
        <w:rPr>
          <w:b/>
        </w:rPr>
        <w:t xml:space="preserve">10 </w:t>
      </w:r>
      <w:r>
        <w:t xml:space="preserve">And in all these things faithless Judah</w:t>
      </w:r>
      <w:r>
        <w:rPr>
          <w:rStyle w:val="FootnoteReference"/>
        </w:rPr>
        <w:footnoteReference w:id="11975"/>
      </w:r>
      <w:r>
        <w:t xml:space="preserve"> did not return to me with all her heart</w:t>
      </w:r>
      <w:r>
        <w:rPr>
          <w:rStyle w:val="FootnoteReference"/>
        </w:rPr>
        <w:footnoteReference w:id="11976"/>
      </w:r>
      <w:r>
        <w:t xml:space="preserve">, but in falsehood.</w:t>
      </w:r>
    </w:p>
    <w:p>
      <w:r>
        <w:rPr>
          <w:b/>
        </w:rPr>
        <w:t xml:space="preserve">11 </w:t>
      </w:r>
      <w:r>
        <w:t xml:space="preserve">And the Lord said to me, Israel justified</w:t>
      </w:r>
      <w:r>
        <w:rPr>
          <w:rStyle w:val="FootnoteReference"/>
        </w:rPr>
        <w:footnoteReference w:id="11977"/>
      </w:r>
      <w:r>
        <w:t xml:space="preserve"> her own soul more than faithless Judah.</w:t>
      </w:r>
    </w:p>
    <w:p>
      <w:r>
        <w:rPr>
          <w:b/>
        </w:rPr>
        <w:t xml:space="preserve">12 </w:t>
      </w:r>
      <w:r>
        <w:t xml:space="preserve">Go and read these words toward the north</w:t>
      </w:r>
      <w:r>
        <w:rPr>
          <w:rStyle w:val="FootnoteReference"/>
        </w:rPr>
        <w:footnoteReference w:id="11978"/>
      </w:r>
      <w:r>
        <w:t xml:space="preserve"> and say, Return to me, dwelling of Israel, says the Lord, and I will not set my face against you</w:t>
      </w:r>
      <w:r>
        <w:rPr>
          <w:rStyle w:val="FootnoteReference"/>
        </w:rPr>
        <w:footnoteReference w:id="11979"/>
      </w:r>
      <w:r>
        <w:t xml:space="preserve">, because I am merciful, says the Lord, and I will not be angry with you forever.</w:t>
      </w:r>
    </w:p>
    <w:p>
      <w:r>
        <w:rPr>
          <w:b/>
        </w:rPr>
        <w:t xml:space="preserve">13 </w:t>
      </w:r>
      <w:r>
        <w:t xml:space="preserve">Only know your injustice, that you acted ungodly against the Lord your God and poured out your ways to foreigners</w:t>
      </w:r>
      <w:r>
        <w:rPr>
          <w:rStyle w:val="FootnoteReference"/>
        </w:rPr>
        <w:footnoteReference w:id="11980"/>
      </w:r>
      <w:r>
        <w:t xml:space="preserve"> under every</w:t>
      </w:r>
      <w:r>
        <w:rPr>
          <w:rStyle w:val="FootnoteReference"/>
        </w:rPr>
        <w:footnoteReference w:id="11981"/>
      </w:r>
      <w:r>
        <w:t xml:space="preserve"> leafy tree, and you did not obey my voice, says the Lord.</w:t>
      </w:r>
    </w:p>
    <w:p>
      <w:r>
        <w:rPr>
          <w:b/>
        </w:rPr>
        <w:t xml:space="preserve">14 </w:t>
      </w:r>
      <w:r>
        <w:t xml:space="preserve">Return, sons who have turned away</w:t>
      </w:r>
      <w:r>
        <w:rPr>
          <w:rStyle w:val="FootnoteReference"/>
        </w:rPr>
        <w:footnoteReference w:id="11982"/>
      </w:r>
      <w:r>
        <w:t xml:space="preserve">, says the Lord, because I will rule over you and take you, one from a city and two from a family, and bring you into Zion.</w:t>
      </w:r>
    </w:p>
    <w:p>
      <w:r>
        <w:rPr>
          <w:b/>
        </w:rPr>
        <w:t xml:space="preserve">15 </w:t>
      </w:r>
      <w:r>
        <w:t xml:space="preserve">And I will give you shepherds according to my heart</w:t>
      </w:r>
      <w:r>
        <w:rPr>
          <w:rStyle w:val="FootnoteReference"/>
        </w:rPr>
        <w:footnoteReference w:id="11983"/>
      </w:r>
      <w:r>
        <w:t xml:space="preserve">, and they will shepherd you with knowledge.</w:t>
      </w:r>
    </w:p>
    <w:p>
      <w:r>
        <w:rPr>
          <w:b/>
        </w:rPr>
        <w:t xml:space="preserve">16 </w:t>
      </w:r>
      <w:r>
        <w:t xml:space="preserve">And it will be, if you multiply and increase on the earth in those days, says the Lord, they will no longer say, the ark of the covenant of the Holy One of Israel</w:t>
      </w:r>
      <w:r>
        <w:rPr>
          <w:rStyle w:val="FootnoteReference"/>
        </w:rPr>
        <w:footnoteReference w:id="11984"/>
      </w:r>
      <w:r>
        <w:t xml:space="preserve">. It will not come up in the heart, nor be named nor visited, nor be made again.</w:t>
      </w:r>
      <w:r>
        <w:rPr>
          <w:rStyle w:val="FootnoteReference"/>
        </w:rPr>
        <w:footnoteReference w:id="11985"/>
      </w:r>
    </w:p>
    <w:p>
      <w:r>
        <w:rPr>
          <w:b/>
        </w:rPr>
        <w:t xml:space="preserve">17 </w:t>
      </w:r>
      <w:r>
        <w:t xml:space="preserve">In those days and at that time they will call Jerusalem the throne of the Lord</w:t>
      </w:r>
      <w:r>
        <w:rPr>
          <w:rStyle w:val="FootnoteReference"/>
        </w:rPr>
        <w:footnoteReference w:id="11986"/>
      </w:r>
      <w:r>
        <w:t xml:space="preserve">, and all nations will gather to it, and they will no longer walk after the thoughts of their evil heart.</w:t>
      </w:r>
      <w:r>
        <w:rPr>
          <w:rStyle w:val="FootnoteReference"/>
        </w:rPr>
        <w:footnoteReference w:id="11987"/>
      </w:r>
    </w:p>
    <w:p>
      <w:r>
        <w:rPr>
          <w:b/>
        </w:rPr>
        <w:t xml:space="preserve">18 </w:t>
      </w:r>
      <w:r>
        <w:t xml:space="preserve">In those days the house of Judah will come together with the house of Israel</w:t>
      </w:r>
      <w:r>
        <w:rPr>
          <w:rStyle w:val="FootnoteReference"/>
        </w:rPr>
        <w:footnoteReference w:id="11988"/>
      </w:r>
      <w:r>
        <w:t xml:space="preserve">, and they will come together from the land of the north and from all regions to the land that I caused their fathers to inherit.</w:t>
      </w:r>
    </w:p>
    <w:p>
      <w:r>
        <w:rPr>
          <w:b/>
        </w:rPr>
        <w:t xml:space="preserve">19 </w:t>
      </w:r>
      <w:r>
        <w:t xml:space="preserve">And I said, So be it, Lord, that I will appoint you among children and give you a chosen land, an inheritance of God Almighty of nations</w:t>
      </w:r>
      <w:r>
        <w:rPr>
          <w:rStyle w:val="FootnoteReference"/>
        </w:rPr>
        <w:footnoteReference w:id="11989"/>
      </w:r>
      <w:r>
        <w:t xml:space="preserve">. And I said, You will call me Father, and from me you will not turn away.</w:t>
      </w:r>
    </w:p>
    <w:p>
      <w:r>
        <w:rPr>
          <w:b/>
        </w:rPr>
        <w:t xml:space="preserve">20 </w:t>
      </w:r>
      <w:r>
        <w:t xml:space="preserve">But as a woman acts faithlessly toward the one living with her</w:t>
      </w:r>
      <w:r>
        <w:rPr>
          <w:rStyle w:val="FootnoteReference"/>
        </w:rPr>
        <w:footnoteReference w:id="11990"/>
      </w:r>
      <w:r>
        <w:t xml:space="preserve">, so the house of Israel acted faithlessly toward me, says the Lord.</w:t>
      </w:r>
    </w:p>
    <w:p>
      <w:r>
        <w:rPr>
          <w:b/>
        </w:rPr>
        <w:t xml:space="preserve">21 </w:t>
      </w:r>
      <w:r>
        <w:t xml:space="preserve">A voice</w:t>
      </w:r>
      <w:r>
        <w:rPr>
          <w:rStyle w:val="FootnoteReference"/>
        </w:rPr>
        <w:footnoteReference w:id="11991"/>
      </w:r>
      <w:r>
        <w:t xml:space="preserve"> was heard from lips: weeping and supplication of sons of Israel, because they did wrong in their ways and forgot their Holy God</w:t>
      </w:r>
      <w:r>
        <w:rPr>
          <w:rStyle w:val="FootnoteReference"/>
        </w:rPr>
        <w:footnoteReference w:id="11992"/>
      </w:r>
      <w:r>
        <w:t xml:space="preserve">.</w:t>
      </w:r>
    </w:p>
    <w:p>
      <w:r>
        <w:rPr>
          <w:b/>
        </w:rPr>
        <w:t xml:space="preserve">22 </w:t>
      </w:r>
      <w:r>
        <w:t xml:space="preserve">Return, returning sons</w:t>
      </w:r>
      <w:r>
        <w:rPr>
          <w:rStyle w:val="FootnoteReference"/>
        </w:rPr>
        <w:footnoteReference w:id="11993"/>
      </w:r>
      <w:r>
        <w:t xml:space="preserve">, and I will heal your fractures</w:t>
      </w:r>
      <w:r>
        <w:rPr>
          <w:rStyle w:val="FootnoteReference"/>
        </w:rPr>
        <w:footnoteReference w:id="11994"/>
      </w:r>
      <w:r>
        <w:t xml:space="preserve">. Behold, we will be your servants, because you are the Lord our God.</w:t>
      </w:r>
      <w:r>
        <w:rPr>
          <w:rStyle w:val="FootnoteReference"/>
        </w:rPr>
        <w:footnoteReference w:id="11995"/>
      </w:r>
    </w:p>
    <w:p>
      <w:r>
        <w:rPr>
          <w:b/>
        </w:rPr>
        <w:t xml:space="preserve">23 </w:t>
      </w:r>
      <w:r>
        <w:t xml:space="preserve">Truly the hills and the might of the mountains</w:t>
      </w:r>
      <w:r>
        <w:rPr>
          <w:rStyle w:val="FootnoteReference"/>
        </w:rPr>
        <w:footnoteReference w:id="11996"/>
      </w:r>
      <w:r>
        <w:t xml:space="preserve"> were for falsehood, but through the Lord our God is the salvation of Israel.</w:t>
      </w:r>
    </w:p>
    <w:p>
      <w:r>
        <w:rPr>
          <w:b/>
        </w:rPr>
        <w:t xml:space="preserve">24 </w:t>
      </w:r>
      <w:r>
        <w:t xml:space="preserve">And shame consumed the labors of our fathers</w:t>
      </w:r>
      <w:r>
        <w:rPr>
          <w:rStyle w:val="FootnoteReference"/>
        </w:rPr>
        <w:footnoteReference w:id="11997"/>
      </w:r>
      <w:r>
        <w:t xml:space="preserve"> from our youth, their sheep and their calves and their sons and their daughters.</w:t>
      </w:r>
    </w:p>
    <w:p>
      <w:r>
        <w:rPr>
          <w:b/>
        </w:rPr>
        <w:t xml:space="preserve">25 </w:t>
      </w:r>
      <w:r>
        <w:t xml:space="preserve">We lay down in our shame, and our dishonor covered us, because we sinned before our God, we and our</w:t>
      </w:r>
      <w:r>
        <w:rPr>
          <w:rStyle w:val="FootnoteReference"/>
        </w:rPr>
        <w:footnoteReference w:id="11998"/>
      </w:r>
      <w:r>
        <w:t xml:space="preserve"> fathers, from our youth until this day, and did not obey the voice of the Lord 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If Israel returns, says the Lord, he will return</w:t>
      </w:r>
      <w:r>
        <w:rPr>
          <w:rStyle w:val="FootnoteReference"/>
        </w:rPr>
        <w:footnoteReference w:id="11999"/>
      </w:r>
      <w:r>
        <w:t xml:space="preserve"> to me. If he removes his abominations from his mouth and is reverent before my face</w:t>
      </w:r>
      <w:r>
        <w:rPr>
          <w:rStyle w:val="FootnoteReference"/>
        </w:rPr>
        <w:footnoteReference w:id="12000"/>
      </w:r>
      <w:r>
        <w:t xml:space="preserve">,</w:t>
      </w:r>
    </w:p>
    <w:p>
      <w:r>
        <w:rPr>
          <w:b/>
        </w:rPr>
        <w:t xml:space="preserve">2 </w:t>
      </w:r>
      <w:r>
        <w:t xml:space="preserve">and one swears, As the Lord lives, with truth and in judgment and in righteousness</w:t>
      </w:r>
      <w:r>
        <w:rPr>
          <w:rStyle w:val="FootnoteReference"/>
        </w:rPr>
        <w:footnoteReference w:id="12001"/>
      </w:r>
      <w:r>
        <w:t xml:space="preserve">, then nations will bless in him, and in him</w:t>
      </w:r>
      <w:r>
        <w:rPr>
          <w:rStyle w:val="FootnoteReference"/>
        </w:rPr>
        <w:footnoteReference w:id="12002"/>
      </w:r>
      <w:r>
        <w:t xml:space="preserve"> they will praise God in Jerusalem.</w:t>
      </w:r>
    </w:p>
    <w:p>
      <w:r>
        <w:rPr>
          <w:b/>
        </w:rPr>
        <w:t xml:space="preserve">3 </w:t>
      </w:r>
      <w:r>
        <w:t xml:space="preserve">Because thus says the Lord to the men of Judah and the inhabitants of Jerusalem: Break up fresh ground</w:t>
      </w:r>
      <w:r>
        <w:rPr>
          <w:rStyle w:val="FootnoteReference"/>
        </w:rPr>
        <w:footnoteReference w:id="12003"/>
      </w:r>
      <w:r>
        <w:t xml:space="preserve"> for yourselves and do not sow among thorns.</w:t>
      </w:r>
      <w:r>
        <w:rPr>
          <w:rStyle w:val="FootnoteReference"/>
        </w:rPr>
        <w:footnoteReference w:id="12004"/>
      </w:r>
    </w:p>
    <w:p>
      <w:r>
        <w:rPr>
          <w:b/>
        </w:rPr>
        <w:t xml:space="preserve">4 </w:t>
      </w:r>
      <w:r>
        <w:t xml:space="preserve">Be circumcised to your God and circumcise your hardness of heart</w:t>
      </w:r>
      <w:r>
        <w:rPr>
          <w:rStyle w:val="FootnoteReference"/>
        </w:rPr>
        <w:footnoteReference w:id="12005"/>
      </w:r>
      <w:r>
        <w:t xml:space="preserve">, men of Judah and the inhabitants of Jerusalem, lest my wrath go out like fire and burn, and there be no one to quench it because of the evil of your practices.</w:t>
      </w:r>
    </w:p>
    <w:p>
      <w:r>
        <w:rPr>
          <w:b/>
        </w:rPr>
        <w:t xml:space="preserve">5 </w:t>
      </w:r>
      <w:r>
        <w:t xml:space="preserve">Declare in Judah and let it be heard in Jerusalem. Say, Sound a trumpet upon the land</w:t>
      </w:r>
      <w:r>
        <w:rPr>
          <w:rStyle w:val="FootnoteReference"/>
        </w:rPr>
        <w:footnoteReference w:id="12006"/>
      </w:r>
      <w:r>
        <w:t xml:space="preserve">, and cry out greatly, saying, Gather together and let us enter fortified cities.</w:t>
      </w:r>
    </w:p>
    <w:p>
      <w:r>
        <w:rPr>
          <w:b/>
        </w:rPr>
        <w:t xml:space="preserve">6 </w:t>
      </w:r>
      <w:r>
        <w:t xml:space="preserve">Take flight to Zion. Hurry, do not stand, because I am bringing evils from the north and a great crushing</w:t>
      </w:r>
      <w:r>
        <w:rPr>
          <w:rStyle w:val="FootnoteReference"/>
        </w:rPr>
        <w:footnoteReference w:id="12007"/>
      </w:r>
      <w:r>
        <w:t xml:space="preserve">.</w:t>
      </w:r>
      <w:r>
        <w:rPr>
          <w:rStyle w:val="FootnoteReference"/>
        </w:rPr>
        <w:footnoteReference w:id="12008"/>
      </w:r>
    </w:p>
    <w:p>
      <w:r>
        <w:rPr>
          <w:b/>
        </w:rPr>
        <w:t xml:space="preserve">7 </w:t>
      </w:r>
      <w:r>
        <w:t xml:space="preserve">A lion</w:t>
      </w:r>
      <w:r>
        <w:rPr>
          <w:rStyle w:val="FootnoteReference"/>
        </w:rPr>
        <w:footnoteReference w:id="12009"/>
      </w:r>
      <w:r>
        <w:t xml:space="preserve"> came up from his lair; a destroyer of nations rose and went out from his place to make the land a desolation, and cities will be demolished so as not to be inhabited.</w:t>
      </w:r>
      <w:r>
        <w:rPr>
          <w:rStyle w:val="FootnoteReference"/>
        </w:rPr>
        <w:footnoteReference w:id="12010"/>
      </w:r>
    </w:p>
    <w:p>
      <w:r>
        <w:rPr>
          <w:b/>
        </w:rPr>
        <w:t xml:space="preserve">8 </w:t>
      </w:r>
      <w:r>
        <w:t xml:space="preserve">For these things gird</w:t>
      </w:r>
      <w:r>
        <w:rPr>
          <w:rStyle w:val="FootnoteReference"/>
        </w:rPr>
        <w:footnoteReference w:id="12011"/>
      </w:r>
      <w:r>
        <w:t xml:space="preserve"> yourselves with sackcloth and beat yourselves and howl, because the anger of the Lord has not turned away from you.</w:t>
      </w:r>
    </w:p>
    <w:p>
      <w:r>
        <w:rPr>
          <w:b/>
        </w:rPr>
        <w:t xml:space="preserve">9 </w:t>
      </w:r>
      <w:r>
        <w:t xml:space="preserve">And it will be in that day, says the Lord, the heart of the king will perish</w:t>
      </w:r>
      <w:r>
        <w:rPr>
          <w:rStyle w:val="FootnoteReference"/>
        </w:rPr>
        <w:footnoteReference w:id="12012"/>
      </w:r>
      <w:r>
        <w:t xml:space="preserve"> and the heart of the rulers, and the priests</w:t>
      </w:r>
      <w:r>
        <w:rPr>
          <w:rStyle w:val="FootnoteReference"/>
        </w:rPr>
        <w:footnoteReference w:id="12013"/>
      </w:r>
      <w:r>
        <w:t xml:space="preserve"> will be amazed and the prophets will wonder.</w:t>
      </w:r>
    </w:p>
    <w:p>
      <w:r>
        <w:rPr>
          <w:b/>
        </w:rPr>
        <w:t xml:space="preserve">10 </w:t>
      </w:r>
      <w:r>
        <w:t xml:space="preserve">And I said, Ah, Master Lord, surely</w:t>
      </w:r>
      <w:r>
        <w:rPr>
          <w:rStyle w:val="FootnoteReference"/>
        </w:rPr>
        <w:footnoteReference w:id="12014"/>
      </w:r>
      <w:r>
        <w:t xml:space="preserve"> you deceived this people and Jerusalem by deception, saying, Peace will be to you. And behold, the sword touched even to their soul.</w:t>
      </w:r>
      <w:r>
        <w:rPr>
          <w:rStyle w:val="FootnoteReference"/>
        </w:rPr>
        <w:footnoteReference w:id="12015"/>
      </w:r>
    </w:p>
    <w:p>
      <w:r>
        <w:rPr>
          <w:b/>
        </w:rPr>
        <w:t xml:space="preserve">11 </w:t>
      </w:r>
      <w:r>
        <w:t xml:space="preserve">At that time they will say to this people and to Jerusalem: A spirit of wandering in the wilderness</w:t>
      </w:r>
      <w:r>
        <w:rPr>
          <w:rStyle w:val="FootnoteReference"/>
        </w:rPr>
        <w:footnoteReference w:id="12016"/>
      </w:r>
      <w:r>
        <w:t xml:space="preserve"> is the way of the daughter</w:t>
      </w:r>
      <w:r>
        <w:rPr>
          <w:rStyle w:val="FootnoteReference"/>
        </w:rPr>
        <w:footnoteReference w:id="12017"/>
      </w:r>
      <w:r>
        <w:t xml:space="preserve"> of my people, not for cleansing nor for holiness.</w:t>
      </w:r>
    </w:p>
    <w:p>
      <w:r>
        <w:rPr>
          <w:b/>
        </w:rPr>
        <w:t xml:space="preserve">12 </w:t>
      </w:r>
      <w:r>
        <w:t xml:space="preserve">A spirit of fullness</w:t>
      </w:r>
      <w:r>
        <w:rPr>
          <w:rStyle w:val="FootnoteReference"/>
        </w:rPr>
        <w:footnoteReference w:id="12018"/>
      </w:r>
      <w:r>
        <w:t xml:space="preserve"> will come to me. But now I myself speak judgments to them.</w:t>
      </w:r>
    </w:p>
    <w:p>
      <w:r>
        <w:rPr>
          <w:b/>
        </w:rPr>
        <w:t xml:space="preserve">13 </w:t>
      </w:r>
      <w:r>
        <w:t xml:space="preserve">Behold</w:t>
      </w:r>
      <w:r>
        <w:rPr>
          <w:rStyle w:val="FootnoteReference"/>
        </w:rPr>
        <w:footnoteReference w:id="12019"/>
      </w:r>
      <w:r>
        <w:t xml:space="preserve">, like a cloud he will come up, and his chariots like a storm; his horses are lighter than eagles. Woe to us, because we are made miserable.</w:t>
      </w:r>
      <w:r>
        <w:rPr>
          <w:rStyle w:val="FootnoteReference"/>
        </w:rPr>
        <w:footnoteReference w:id="12020"/>
      </w:r>
    </w:p>
    <w:p>
      <w:r>
        <w:rPr>
          <w:b/>
        </w:rPr>
        <w:t xml:space="preserve">14 </w:t>
      </w:r>
      <w:r>
        <w:t xml:space="preserve">Wash</w:t>
      </w:r>
      <w:r>
        <w:rPr>
          <w:rStyle w:val="FootnoteReference"/>
        </w:rPr>
        <w:footnoteReference w:id="12021"/>
      </w:r>
      <w:r>
        <w:t xml:space="preserve"> your heart from wickedness, Jerusalem, so that you may be saved. How long will the thoughts of your labors</w:t>
      </w:r>
      <w:r>
        <w:rPr>
          <w:rStyle w:val="FootnoteReference"/>
        </w:rPr>
        <w:footnoteReference w:id="12022"/>
      </w:r>
      <w:r>
        <w:t xml:space="preserve"> remain in you?</w:t>
      </w:r>
    </w:p>
    <w:p>
      <w:r>
        <w:rPr>
          <w:b/>
        </w:rPr>
        <w:t xml:space="preserve">15 </w:t>
      </w:r>
      <w:r>
        <w:t xml:space="preserve">Because a voice</w:t>
      </w:r>
      <w:r>
        <w:rPr>
          <w:rStyle w:val="FootnoteReference"/>
        </w:rPr>
        <w:footnoteReference w:id="12023"/>
      </w:r>
      <w:r>
        <w:t xml:space="preserve"> of one declaring will come from Dan, and pain will be heard from the mountain of Ephraim.</w:t>
      </w:r>
      <w:r>
        <w:rPr>
          <w:rStyle w:val="FootnoteReference"/>
        </w:rPr>
        <w:footnoteReference w:id="12024"/>
      </w:r>
    </w:p>
    <w:p>
      <w:r>
        <w:rPr>
          <w:b/>
        </w:rPr>
        <w:t xml:space="preserve">16 </w:t>
      </w:r>
      <w:r>
        <w:t xml:space="preserve">Remind the nations. Behold, they have come. Declare in Jerusalem: Crowds are coming from a far land</w:t>
      </w:r>
      <w:r>
        <w:rPr>
          <w:rStyle w:val="FootnoteReference"/>
        </w:rPr>
        <w:footnoteReference w:id="12025"/>
      </w:r>
      <w:r>
        <w:t xml:space="preserve">, and they gave their voice against the cities of Judah.</w:t>
      </w:r>
    </w:p>
    <w:p>
      <w:r>
        <w:rPr>
          <w:b/>
        </w:rPr>
        <w:t xml:space="preserve">17 </w:t>
      </w:r>
      <w:r>
        <w:t xml:space="preserve">Like keepers of a field</w:t>
      </w:r>
      <w:r>
        <w:rPr>
          <w:rStyle w:val="FootnoteReference"/>
        </w:rPr>
        <w:footnoteReference w:id="12026"/>
      </w:r>
      <w:r>
        <w:t xml:space="preserve"> they became against her all around, because you neglected me, says the Lord.</w:t>
      </w:r>
      <w:r>
        <w:rPr>
          <w:rStyle w:val="FootnoteReference"/>
        </w:rPr>
        <w:footnoteReference w:id="12027"/>
      </w:r>
    </w:p>
    <w:p>
      <w:r>
        <w:rPr>
          <w:b/>
        </w:rPr>
        <w:t xml:space="preserve">18 </w:t>
      </w:r>
      <w:r>
        <w:t xml:space="preserve">Your ways and your practices did these things to you. This is your evil, because it is bitter, because it touched your heart</w:t>
      </w:r>
      <w:r>
        <w:rPr>
          <w:rStyle w:val="FootnoteReference"/>
        </w:rPr>
        <w:footnoteReference w:id="12028"/>
      </w:r>
      <w:r>
        <w:t xml:space="preserve">.</w:t>
      </w:r>
    </w:p>
    <w:p>
      <w:r>
        <w:rPr>
          <w:b/>
        </w:rPr>
        <w:t xml:space="preserve">19 </w:t>
      </w:r>
      <w:r>
        <w:t xml:space="preserve">My belly, my belly</w:t>
      </w:r>
      <w:r>
        <w:rPr>
          <w:rStyle w:val="FootnoteReference"/>
        </w:rPr>
        <w:footnoteReference w:id="12029"/>
      </w:r>
      <w:r>
        <w:t xml:space="preserve">, I am in pain, and the feelings of my heart rage. My soul writhes. My heart is torn. I will not be silent, because my soul heard the voice of a trumpet, a cry of war.</w:t>
      </w:r>
    </w:p>
    <w:p>
      <w:r>
        <w:rPr>
          <w:b/>
        </w:rPr>
        <w:t xml:space="preserve">20 </w:t>
      </w:r>
      <w:r>
        <w:t xml:space="preserve">Affliction calls crushing</w:t>
      </w:r>
      <w:r>
        <w:rPr>
          <w:rStyle w:val="FootnoteReference"/>
        </w:rPr>
        <w:footnoteReference w:id="12030"/>
      </w:r>
      <w:r>
        <w:t xml:space="preserve">, because the whole land has been afflicted. Suddenly</w:t>
      </w:r>
      <w:r>
        <w:rPr>
          <w:rStyle w:val="FootnoteReference"/>
        </w:rPr>
        <w:footnoteReference w:id="12031"/>
      </w:r>
      <w:r>
        <w:t xml:space="preserve"> my tent was afflicted; my skins were torn apart.</w:t>
      </w:r>
    </w:p>
    <w:p>
      <w:r>
        <w:rPr>
          <w:b/>
        </w:rPr>
        <w:t xml:space="preserve">21 </w:t>
      </w:r>
      <w:r>
        <w:t xml:space="preserve">How long</w:t>
      </w:r>
      <w:r>
        <w:rPr>
          <w:rStyle w:val="FootnoteReference"/>
        </w:rPr>
        <w:footnoteReference w:id="12032"/>
      </w:r>
      <w:r>
        <w:t xml:space="preserve"> will I see fugitives and hear the sound of trumpets?</w:t>
      </w:r>
    </w:p>
    <w:p>
      <w:r>
        <w:rPr>
          <w:b/>
        </w:rPr>
        <w:t xml:space="preserve">22 </w:t>
      </w:r>
      <w:r>
        <w:t xml:space="preserve">Because the leaders of my people did not know me. They are foolish sons and without understanding, wise to do evil</w:t>
      </w:r>
      <w:r>
        <w:rPr>
          <w:rStyle w:val="FootnoteReference"/>
        </w:rPr>
        <w:footnoteReference w:id="12033"/>
      </w:r>
      <w:r>
        <w:t xml:space="preserve">, but they did not know how to do good.</w:t>
      </w:r>
    </w:p>
    <w:p>
      <w:r>
        <w:rPr>
          <w:b/>
        </w:rPr>
        <w:t xml:space="preserve">23 </w:t>
      </w:r>
      <w:r>
        <w:t xml:space="preserve">I looked upon the earth</w:t>
      </w:r>
      <w:r>
        <w:rPr>
          <w:rStyle w:val="FootnoteReference"/>
        </w:rPr>
        <w:footnoteReference w:id="12034"/>
      </w:r>
      <w:r>
        <w:t xml:space="preserve">, and behold, nothing, and to heaven, and its lights were not.</w:t>
      </w:r>
      <w:r>
        <w:rPr>
          <w:rStyle w:val="FootnoteReference"/>
        </w:rPr>
        <w:footnoteReference w:id="12035"/>
      </w:r>
    </w:p>
    <w:p>
      <w:r>
        <w:rPr>
          <w:b/>
        </w:rPr>
        <w:t xml:space="preserve">24 </w:t>
      </w:r>
      <w:r>
        <w:t xml:space="preserve">I saw the mountains</w:t>
      </w:r>
      <w:r>
        <w:rPr>
          <w:rStyle w:val="FootnoteReference"/>
        </w:rPr>
        <w:footnoteReference w:id="12036"/>
      </w:r>
      <w:r>
        <w:t xml:space="preserve">, and they were trembling, and all the hills were shaken.</w:t>
      </w:r>
      <w:r>
        <w:rPr>
          <w:rStyle w:val="FootnoteReference"/>
        </w:rPr>
        <w:footnoteReference w:id="12037"/>
      </w:r>
    </w:p>
    <w:p>
      <w:r>
        <w:rPr>
          <w:b/>
        </w:rPr>
        <w:t xml:space="preserve">25 </w:t>
      </w:r>
      <w:r>
        <w:t xml:space="preserve">I looked, and behold, there was no human</w:t>
      </w:r>
      <w:r>
        <w:rPr>
          <w:rStyle w:val="FootnoteReference"/>
        </w:rPr>
        <w:footnoteReference w:id="12038"/>
      </w:r>
      <w:r>
        <w:t xml:space="preserve">, and all the birds of heaven were terrified.</w:t>
      </w:r>
    </w:p>
    <w:p>
      <w:r>
        <w:rPr>
          <w:b/>
        </w:rPr>
        <w:t xml:space="preserve">26 </w:t>
      </w:r>
      <w:r>
        <w:t xml:space="preserve">I looked, and behold, Carmel was a desert</w:t>
      </w:r>
      <w:r>
        <w:rPr>
          <w:rStyle w:val="FootnoteReference"/>
        </w:rPr>
        <w:footnoteReference w:id="12039"/>
      </w:r>
      <w:r>
        <w:t xml:space="preserve">, and all the cities were burned with fire. From the face of the Lord and from the face of the anger of his wrath they vanished.</w:t>
      </w:r>
    </w:p>
    <w:p>
      <w:r>
        <w:rPr>
          <w:b/>
        </w:rPr>
        <w:t xml:space="preserve">27 </w:t>
      </w:r>
      <w:r>
        <w:t xml:space="preserve">Thus says the Lord: The whole land will be a desolation, yet I will not make a full end</w:t>
      </w:r>
      <w:r>
        <w:rPr>
          <w:rStyle w:val="FootnoteReference"/>
        </w:rPr>
        <w:footnoteReference w:id="12040"/>
      </w:r>
      <w:r>
        <w:t xml:space="preserve">.</w:t>
      </w:r>
    </w:p>
    <w:p>
      <w:r>
        <w:rPr>
          <w:b/>
        </w:rPr>
        <w:t xml:space="preserve">28 </w:t>
      </w:r>
      <w:r>
        <w:t xml:space="preserve">For these things let the earth</w:t>
      </w:r>
      <w:r>
        <w:rPr>
          <w:rStyle w:val="FootnoteReference"/>
        </w:rPr>
        <w:footnoteReference w:id="12041"/>
      </w:r>
      <w:r>
        <w:t xml:space="preserve"> mourn and heaven above be dark, because I spoke and will not change my mind; I set it in motion</w:t>
      </w:r>
      <w:r>
        <w:rPr>
          <w:rStyle w:val="FootnoteReference"/>
        </w:rPr>
        <w:footnoteReference w:id="12042"/>
      </w:r>
      <w:r>
        <w:t xml:space="preserve"> and will not turn back from it.</w:t>
      </w:r>
    </w:p>
    <w:p>
      <w:r>
        <w:rPr>
          <w:b/>
        </w:rPr>
        <w:t xml:space="preserve">29 </w:t>
      </w:r>
      <w:r>
        <w:t xml:space="preserve">From the sound of a horseman and a bent bow every region withdrew. They entered the caves and hid in the groves and climbed the rocks. Every city was abandoned; no human dwells in them.</w:t>
      </w:r>
    </w:p>
    <w:p>
      <w:r>
        <w:rPr>
          <w:b/>
        </w:rPr>
        <w:t xml:space="preserve">30 </w:t>
      </w:r>
      <w:r>
        <w:t xml:space="preserve">And you, what will you do? If you dress in scarlet and adorn yourself with gold ornaments and paint your eyes with antimony</w:t>
      </w:r>
      <w:r>
        <w:rPr>
          <w:rStyle w:val="FootnoteReference"/>
        </w:rPr>
        <w:footnoteReference w:id="12043"/>
      </w:r>
      <w:r>
        <w:t xml:space="preserve">, your beautifying is in vain</w:t>
      </w:r>
      <w:r>
        <w:rPr>
          <w:rStyle w:val="FootnoteReference"/>
        </w:rPr>
        <w:footnoteReference w:id="12044"/>
      </w:r>
      <w:r>
        <w:t xml:space="preserve">. Lovers rejected you; they seek your soul.</w:t>
      </w:r>
    </w:p>
    <w:p>
      <w:r>
        <w:rPr>
          <w:b/>
        </w:rPr>
        <w:t xml:space="preserve">31 </w:t>
      </w:r>
      <w:r>
        <w:t xml:space="preserve">Because I heard a voice as of a woman in labor, your groaning as of one giving birth for the first time. The voice</w:t>
      </w:r>
      <w:r>
        <w:rPr>
          <w:rStyle w:val="FootnoteReference"/>
        </w:rPr>
        <w:footnoteReference w:id="12045"/>
      </w:r>
      <w:r>
        <w:t xml:space="preserve"> of the daughter of Zion</w:t>
      </w:r>
      <w:r>
        <w:rPr>
          <w:rStyle w:val="FootnoteReference"/>
        </w:rPr>
        <w:footnoteReference w:id="12046"/>
      </w:r>
      <w:r>
        <w:t xml:space="preserve"> will grow weak and let down her hands: Woe to me, because my soul fails because of slain ones.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Run about in the streets of Jerusalem and see and know and seek</w:t>
      </w:r>
      <w:r>
        <w:rPr>
          <w:rStyle w:val="FootnoteReference"/>
        </w:rPr>
        <w:footnoteReference w:id="12047"/>
      </w:r>
      <w:r>
        <w:t xml:space="preserve"> in her broad places whether you find a man doing judgment and seeking faithfulness</w:t>
      </w:r>
      <w:r>
        <w:rPr>
          <w:rStyle w:val="FootnoteReference"/>
        </w:rPr>
        <w:footnoteReference w:id="12048"/>
      </w:r>
      <w:r>
        <w:t xml:space="preserve">, and I will be gracious to them, says the Lord.</w:t>
      </w:r>
    </w:p>
    <w:p>
      <w:r>
        <w:rPr>
          <w:b/>
        </w:rPr>
        <w:t xml:space="preserve">2 </w:t>
      </w:r>
      <w:r>
        <w:t xml:space="preserve">They say, As the Lord lives. Because of this, do they not swear by lies?</w:t>
      </w:r>
      <w:r>
        <w:rPr>
          <w:rStyle w:val="FootnoteReference"/>
        </w:rPr>
        <w:footnoteReference w:id="12049"/>
      </w:r>
      <w:r>
        <w:t xml:space="preserve"/>
      </w:r>
    </w:p>
    <w:p>
      <w:r>
        <w:rPr>
          <w:b/>
        </w:rPr>
        <w:t xml:space="preserve">3 </w:t>
      </w:r>
      <w:r>
        <w:t xml:space="preserve">Lord, are not your eyes for faithfulness? You struck them, and they were not pained</w:t>
      </w:r>
      <w:r>
        <w:rPr>
          <w:rStyle w:val="FootnoteReference"/>
        </w:rPr>
        <w:footnoteReference w:id="12050"/>
      </w:r>
      <w:r>
        <w:t xml:space="preserve">. You finished them, and they did not want to receive discipline. They made their faces harder than rock and did not want to turn back.</w:t>
      </w:r>
    </w:p>
    <w:p>
      <w:r>
        <w:rPr>
          <w:b/>
        </w:rPr>
        <w:t xml:space="preserve">4 </w:t>
      </w:r>
      <w:r>
        <w:t xml:space="preserve">And I said, Perhaps they are poor, because they were not able, because they did not know the way of the Lord and the judgment of God</w:t>
      </w:r>
      <w:r>
        <w:rPr>
          <w:rStyle w:val="FootnoteReference"/>
        </w:rPr>
        <w:footnoteReference w:id="12051"/>
      </w:r>
      <w:r>
        <w:t xml:space="preserve">.</w:t>
      </w:r>
    </w:p>
    <w:p>
      <w:r>
        <w:rPr>
          <w:b/>
        </w:rPr>
        <w:t xml:space="preserve">5 </w:t>
      </w:r>
      <w:r>
        <w:t xml:space="preserve">I will go to the great men</w:t>
      </w:r>
      <w:r>
        <w:rPr>
          <w:rStyle w:val="FootnoteReference"/>
        </w:rPr>
        <w:footnoteReference w:id="12052"/>
      </w:r>
      <w:r>
        <w:t xml:space="preserve"> and speak with them, because they knew the way of the Lord and the judgment of God. And behold, together they broke a yoke and tore bonds.</w:t>
      </w:r>
    </w:p>
    <w:p>
      <w:r>
        <w:rPr>
          <w:b/>
        </w:rPr>
        <w:t xml:space="preserve">6 </w:t>
      </w:r>
      <w:r>
        <w:t xml:space="preserve">Therefore a lion</w:t>
      </w:r>
      <w:r>
        <w:rPr>
          <w:rStyle w:val="FootnoteReference"/>
        </w:rPr>
        <w:footnoteReference w:id="12053"/>
      </w:r>
      <w:r>
        <w:t xml:space="preserve"> from the forest struck them, and a wolf up to houses destroyed them, and a leopard kept watch over their cities. All those going out from them will be hunted, because they multiplied their ungodliness and grew strong in their turnings away.</w:t>
      </w:r>
      <w:r>
        <w:rPr>
          <w:rStyle w:val="FootnoteReference"/>
        </w:rPr>
        <w:footnoteReference w:id="12054"/>
      </w:r>
    </w:p>
    <w:p>
      <w:r>
        <w:rPr>
          <w:b/>
        </w:rPr>
        <w:t xml:space="preserve">7 </w:t>
      </w:r>
      <w:r>
        <w:t xml:space="preserve">For which of these shall I be gracious to you? Your sons abandoned me and swore by the things that are not gods</w:t>
      </w:r>
      <w:r>
        <w:rPr>
          <w:rStyle w:val="FootnoteReference"/>
        </w:rPr>
        <w:footnoteReference w:id="12055"/>
      </w:r>
      <w:r>
        <w:t xml:space="preserve">. And I fed them, and they committed adultery, and they lodged in prostitutes' houses.</w:t>
      </w:r>
    </w:p>
    <w:p>
      <w:r>
        <w:rPr>
          <w:b/>
        </w:rPr>
        <w:t xml:space="preserve">8 </w:t>
      </w:r>
      <w:r>
        <w:t xml:space="preserve">They became lustful horses</w:t>
      </w:r>
      <w:r>
        <w:rPr>
          <w:rStyle w:val="FootnoteReference"/>
        </w:rPr>
        <w:footnoteReference w:id="12056"/>
      </w:r>
      <w:r>
        <w:t xml:space="preserve">; each one neighed after the wife of his neighbor.</w:t>
      </w:r>
    </w:p>
    <w:p>
      <w:r>
        <w:rPr>
          <w:b/>
        </w:rPr>
        <w:t xml:space="preserve">9 </w:t>
      </w:r>
      <w:r>
        <w:t xml:space="preserve">Shall I not visit for these things?</w:t>
      </w:r>
      <w:r>
        <w:rPr>
          <w:rStyle w:val="FootnoteReference"/>
        </w:rPr>
        <w:footnoteReference w:id="12057"/>
      </w:r>
      <w:r>
        <w:t xml:space="preserve"> says the Lord. Shall not my soul avenge on such a nation?</w:t>
      </w:r>
      <w:r>
        <w:rPr>
          <w:rStyle w:val="FootnoteReference"/>
        </w:rPr>
        <w:footnoteReference w:id="12058"/>
      </w:r>
    </w:p>
    <w:p>
      <w:r>
        <w:rPr>
          <w:b/>
        </w:rPr>
        <w:t xml:space="preserve">10 </w:t>
      </w:r>
      <w:r>
        <w:t xml:space="preserve">Go up on her battlements and tear down, but do not make a full end</w:t>
      </w:r>
      <w:r>
        <w:rPr>
          <w:rStyle w:val="FootnoteReference"/>
        </w:rPr>
        <w:footnoteReference w:id="12059"/>
      </w:r>
      <w:r>
        <w:t xml:space="preserve">. Leave her supports, because they are the Lord's.</w:t>
      </w:r>
    </w:p>
    <w:p>
      <w:r>
        <w:rPr>
          <w:b/>
        </w:rPr>
        <w:t xml:space="preserve">11 </w:t>
      </w:r>
      <w:r>
        <w:t xml:space="preserve">Because the house</w:t>
      </w:r>
      <w:r>
        <w:rPr>
          <w:rStyle w:val="FootnoteReference"/>
        </w:rPr>
        <w:footnoteReference w:id="12060"/>
      </w:r>
      <w:r>
        <w:t xml:space="preserve"> of Israel and the house of Judah acted faithlessly toward me with faithlessness</w:t>
      </w:r>
      <w:r>
        <w:rPr>
          <w:rStyle w:val="FootnoteReference"/>
        </w:rPr>
        <w:footnoteReference w:id="12061"/>
      </w:r>
      <w:r>
        <w:t xml:space="preserve">, says the Lord.</w:t>
      </w:r>
    </w:p>
    <w:p>
      <w:r>
        <w:rPr>
          <w:b/>
        </w:rPr>
        <w:t xml:space="preserve">12 </w:t>
      </w:r>
      <w:r>
        <w:t xml:space="preserve">They lied to their Lord and said, These things are not</w:t>
      </w:r>
      <w:r>
        <w:rPr>
          <w:rStyle w:val="FootnoteReference"/>
        </w:rPr>
        <w:footnoteReference w:id="12062"/>
      </w:r>
      <w:r>
        <w:t xml:space="preserve">; evils will not come upon us, and sword and famine we will not see.</w:t>
      </w:r>
    </w:p>
    <w:p>
      <w:r>
        <w:rPr>
          <w:b/>
        </w:rPr>
        <w:t xml:space="preserve">13 </w:t>
      </w:r>
      <w:r>
        <w:t xml:space="preserve">Our prophets were wind</w:t>
      </w:r>
      <w:r>
        <w:rPr>
          <w:rStyle w:val="FootnoteReference"/>
        </w:rPr>
        <w:footnoteReference w:id="12063"/>
      </w:r>
      <w:r>
        <w:t xml:space="preserve">, and the word of the Lord was not in them. So it will be to them.</w:t>
      </w:r>
    </w:p>
    <w:p>
      <w:r>
        <w:rPr>
          <w:b/>
        </w:rPr>
        <w:t xml:space="preserve">14 </w:t>
      </w:r>
      <w:r>
        <w:t xml:space="preserve">Therefore thus says the Lord Almighty: Because you spoke this word, behold, I have made my words in your mouth fire and this people as wood</w:t>
      </w:r>
      <w:r>
        <w:rPr>
          <w:rStyle w:val="FootnoteReference"/>
        </w:rPr>
        <w:footnoteReference w:id="12064"/>
      </w:r>
      <w:r>
        <w:t xml:space="preserve">, and it will devour them.</w:t>
      </w:r>
    </w:p>
    <w:p>
      <w:r>
        <w:rPr>
          <w:b/>
        </w:rPr>
        <w:t xml:space="preserve">15 </w:t>
      </w:r>
      <w:r>
        <w:t xml:space="preserve">Behold, I bring on you a nation</w:t>
      </w:r>
      <w:r>
        <w:rPr>
          <w:rStyle w:val="FootnoteReference"/>
        </w:rPr>
        <w:footnoteReference w:id="12065"/>
      </w:r>
      <w:r>
        <w:t xml:space="preserve"> from far away, house of Israel, says the Lord, a nation whose language's voice you will not hear</w:t>
      </w:r>
      <w:r>
        <w:rPr>
          <w:rStyle w:val="FootnoteReference"/>
        </w:rPr>
        <w:footnoteReference w:id="12066"/>
      </w:r>
      <w:r>
        <w:t xml:space="preserve">.</w:t>
      </w:r>
    </w:p>
    <w:p>
      <w:r>
        <w:rPr>
          <w:b/>
        </w:rPr>
        <w:t xml:space="preserve">16 </w:t>
      </w:r>
      <w:r>
        <w:t xml:space="preserve">All are mighty men</w:t>
      </w:r>
      <w:r>
        <w:rPr>
          <w:rStyle w:val="FootnoteReference"/>
        </w:rPr>
        <w:footnoteReference w:id="12067"/>
      </w:r>
      <w:r>
        <w:t xml:space="preserve">.</w:t>
      </w:r>
    </w:p>
    <w:p>
      <w:r>
        <w:rPr>
          <w:b/>
        </w:rPr>
        <w:t xml:space="preserve">17 </w:t>
      </w:r>
      <w:r>
        <w:t xml:space="preserve">And they will eat</w:t>
      </w:r>
      <w:r>
        <w:rPr>
          <w:rStyle w:val="FootnoteReference"/>
        </w:rPr>
        <w:footnoteReference w:id="12068"/>
      </w:r>
      <w:r>
        <w:t xml:space="preserve"> your harvest and your breads, and they will eat your sons and your daughters, and they will eat your sheep and your calves, and they will eat your vineyards and your fig trees and your olive groves, and thresh your fortified cities in which you trust by sword.</w:t>
      </w:r>
    </w:p>
    <w:p>
      <w:r>
        <w:rPr>
          <w:b/>
        </w:rPr>
        <w:t xml:space="preserve">18 </w:t>
      </w:r>
      <w:r>
        <w:t xml:space="preserve">And it will be in those days, says the Lord your God, I will not make a full end of you</w:t>
      </w:r>
      <w:r>
        <w:rPr>
          <w:rStyle w:val="FootnoteReference"/>
        </w:rPr>
        <w:footnoteReference w:id="12069"/>
      </w:r>
      <w:r>
        <w:t xml:space="preserve">.</w:t>
      </w:r>
      <w:r>
        <w:rPr>
          <w:rStyle w:val="FootnoteReference"/>
        </w:rPr>
        <w:footnoteReference w:id="12070"/>
      </w:r>
    </w:p>
    <w:p>
      <w:r>
        <w:rPr>
          <w:b/>
        </w:rPr>
        <w:t xml:space="preserve">19 </w:t>
      </w:r>
      <w:r>
        <w:t xml:space="preserve">And it will be when you say, For what reason did the Lord our God do all these things to us? you will say to them, Because you served foreign gods in your land, so you will serve foreigners in a land not yours.</w:t>
      </w:r>
      <w:r>
        <w:rPr>
          <w:rStyle w:val="FootnoteReference"/>
        </w:rPr>
        <w:footnoteReference w:id="12071"/>
      </w:r>
    </w:p>
    <w:p>
      <w:r>
        <w:rPr>
          <w:b/>
        </w:rPr>
        <w:t xml:space="preserve">20 </w:t>
      </w:r>
      <w:r>
        <w:t xml:space="preserve">Declare these things to the house of Jacob and let it be heard in Judah.</w:t>
      </w:r>
    </w:p>
    <w:p>
      <w:r>
        <w:rPr>
          <w:b/>
        </w:rPr>
        <w:t xml:space="preserve">21 </w:t>
      </w:r>
      <w:r>
        <w:t xml:space="preserve">Hear now these things, foolish and heartless people: they have eyes and do not see</w:t>
      </w:r>
      <w:r>
        <w:rPr>
          <w:rStyle w:val="FootnoteReference"/>
        </w:rPr>
        <w:footnoteReference w:id="12072"/>
      </w:r>
      <w:r>
        <w:t xml:space="preserve">, ears and do not hear.</w:t>
      </w:r>
    </w:p>
    <w:p>
      <w:r>
        <w:rPr>
          <w:b/>
        </w:rPr>
        <w:t xml:space="preserve">22 </w:t>
      </w:r>
      <w:r>
        <w:t xml:space="preserve">Will you not fear me? says the Lord. Will you not tremble</w:t>
      </w:r>
      <w:r>
        <w:rPr>
          <w:rStyle w:val="FootnoteReference"/>
        </w:rPr>
        <w:footnoteReference w:id="12073"/>
      </w:r>
      <w:r>
        <w:t xml:space="preserve"> before my face? I set sand as a boundary for the sea</w:t>
      </w:r>
      <w:r>
        <w:rPr>
          <w:rStyle w:val="FootnoteReference"/>
        </w:rPr>
        <w:footnoteReference w:id="12074"/>
      </w:r>
      <w:r>
        <w:t xml:space="preserve">, an everlasting command, and it will not pass it. It will be disturbed and not be able, and its waves will roar and not pass it.</w:t>
      </w:r>
    </w:p>
    <w:p>
      <w:r>
        <w:rPr>
          <w:b/>
        </w:rPr>
        <w:t xml:space="preserve">23 </w:t>
      </w:r>
      <w:r>
        <w:t xml:space="preserve">But for this people there came a disobedient and rebellious heart</w:t>
      </w:r>
      <w:r>
        <w:rPr>
          <w:rStyle w:val="FootnoteReference"/>
        </w:rPr>
        <w:footnoteReference w:id="12075"/>
      </w:r>
      <w:r>
        <w:t xml:space="preserve">, and they turned aside and went away.</w:t>
      </w:r>
    </w:p>
    <w:p>
      <w:r>
        <w:rPr>
          <w:b/>
        </w:rPr>
        <w:t xml:space="preserve">24 </w:t>
      </w:r>
      <w:r>
        <w:t xml:space="preserve">And they did not say in their heart, Let us now</w:t>
      </w:r>
      <w:r>
        <w:rPr>
          <w:rStyle w:val="FootnoteReference"/>
        </w:rPr>
        <w:footnoteReference w:id="12076"/>
      </w:r>
      <w:r>
        <w:t xml:space="preserve"> fear the Lord our God, the one giving us early and late rain</w:t>
      </w:r>
      <w:r>
        <w:rPr>
          <w:rStyle w:val="FootnoteReference"/>
        </w:rPr>
        <w:footnoteReference w:id="12077"/>
      </w:r>
      <w:r>
        <w:t xml:space="preserve"> in due season, the fullness of the appointed harvest, and he kept it for us.</w:t>
      </w:r>
    </w:p>
    <w:p>
      <w:r>
        <w:rPr>
          <w:b/>
        </w:rPr>
        <w:t xml:space="preserve">25 </w:t>
      </w:r>
      <w:r>
        <w:t xml:space="preserve">Your lawless deeds turned these things away, and your sins removed good things from you</w:t>
      </w:r>
      <w:r>
        <w:rPr>
          <w:rStyle w:val="FootnoteReference"/>
        </w:rPr>
        <w:footnoteReference w:id="12078"/>
      </w:r>
      <w:r>
        <w:t xml:space="preserve">.</w:t>
      </w:r>
    </w:p>
    <w:p>
      <w:r>
        <w:rPr>
          <w:b/>
        </w:rPr>
        <w:t xml:space="preserve">26 </w:t>
      </w:r>
      <w:r>
        <w:t xml:space="preserve">Because among my people ungodly men were found, and they set traps to destroy men</w:t>
      </w:r>
      <w:r>
        <w:rPr>
          <w:rStyle w:val="FootnoteReference"/>
        </w:rPr>
        <w:footnoteReference w:id="12079"/>
      </w:r>
      <w:r>
        <w:t xml:space="preserve">, and they captured them.</w:t>
      </w:r>
    </w:p>
    <w:p>
      <w:r>
        <w:rPr>
          <w:b/>
        </w:rPr>
        <w:t xml:space="preserve">27 </w:t>
      </w:r>
      <w:r>
        <w:t xml:space="preserve">As a snare set up full of birds</w:t>
      </w:r>
      <w:r>
        <w:rPr>
          <w:rStyle w:val="FootnoteReference"/>
        </w:rPr>
        <w:footnoteReference w:id="12080"/>
      </w:r>
      <w:r>
        <w:t xml:space="preserve">, so their houses are full of deceit. Because of this they grew great and rich.</w:t>
      </w:r>
    </w:p>
    <w:p>
      <w:r>
        <w:rPr>
          <w:b/>
        </w:rPr>
        <w:t xml:space="preserve">28 </w:t>
      </w:r>
      <w:r>
        <w:t xml:space="preserve">And they passed over judgment. They did not judge</w:t>
      </w:r>
      <w:r>
        <w:rPr>
          <w:rStyle w:val="FootnoteReference"/>
        </w:rPr>
        <w:footnoteReference w:id="12081"/>
      </w:r>
      <w:r>
        <w:t xml:space="preserve"> the cause of an orphan, and the cause of a widow they did not judge.</w:t>
      </w:r>
      <w:r>
        <w:rPr>
          <w:rStyle w:val="FootnoteReference"/>
        </w:rPr>
        <w:footnoteReference w:id="12082"/>
      </w:r>
    </w:p>
    <w:p>
      <w:r>
        <w:rPr>
          <w:b/>
        </w:rPr>
        <w:t xml:space="preserve">29 </w:t>
      </w:r>
      <w:r>
        <w:t xml:space="preserve">Shall I not visit for these things?</w:t>
      </w:r>
      <w:r>
        <w:rPr>
          <w:rStyle w:val="FootnoteReference"/>
        </w:rPr>
        <w:footnoteReference w:id="12083"/>
      </w:r>
      <w:r>
        <w:t xml:space="preserve"> says the Lord. Shall not my soul avenge on such a nation?</w:t>
      </w:r>
    </w:p>
    <w:p>
      <w:r>
        <w:rPr>
          <w:b/>
        </w:rPr>
        <w:t xml:space="preserve">30 </w:t>
      </w:r>
      <w:r>
        <w:t xml:space="preserve">Astonishment and horrors came upon the earth:</w:t>
      </w:r>
    </w:p>
    <w:p>
      <w:r>
        <w:rPr>
          <w:b/>
        </w:rPr>
        <w:t xml:space="preserve">31 </w:t>
      </w:r>
      <w:r>
        <w:t xml:space="preserve">Prophets prophesy unjust things</w:t>
      </w:r>
      <w:r>
        <w:rPr>
          <w:rStyle w:val="FootnoteReference"/>
        </w:rPr>
        <w:footnoteReference w:id="12084"/>
      </w:r>
      <w:r>
        <w:t xml:space="preserve">, and priests clapped their hands, and my people loved it so. And what will you do afterward?</w:t>
      </w:r>
      <w:r>
        <w:rPr>
          <w:rStyle w:val="FootnoteReference"/>
        </w:rPr>
        <w:footnoteReference w:id="12085"/>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Strengthen yourselves, sons of Benjamin, from the midst of Jerusalem, and in Tekoa</w:t>
      </w:r>
      <w:r>
        <w:rPr>
          <w:rStyle w:val="FootnoteReference"/>
        </w:rPr>
        <w:footnoteReference w:id="12086"/>
      </w:r>
      <w:r>
        <w:t xml:space="preserve"> sound a trumpet, and over Beth-haccherem</w:t>
      </w:r>
      <w:r>
        <w:rPr>
          <w:rStyle w:val="FootnoteReference"/>
        </w:rPr>
        <w:footnoteReference w:id="12087"/>
      </w:r>
      <w:r>
        <w:t xml:space="preserve"> lift a signal, because evils have leaned out from the north and great crushing is coming.</w:t>
      </w:r>
      <w:r>
        <w:rPr>
          <w:rStyle w:val="FootnoteReference"/>
        </w:rPr>
        <w:footnoteReference w:id="12088"/>
      </w:r>
    </w:p>
    <w:p>
      <w:r>
        <w:rPr>
          <w:b/>
        </w:rPr>
        <w:t xml:space="preserve">2 </w:t>
      </w:r>
      <w:r>
        <w:t xml:space="preserve">Your height will be taken away, O daughter of Zion</w:t>
      </w:r>
      <w:r>
        <w:rPr>
          <w:rStyle w:val="FootnoteReference"/>
        </w:rPr>
        <w:footnoteReference w:id="12089"/>
      </w:r>
      <w:r>
        <w:t xml:space="preserve">.</w:t>
      </w:r>
      <w:r>
        <w:rPr>
          <w:rStyle w:val="FootnoteReference"/>
        </w:rPr>
        <w:footnoteReference w:id="12090"/>
      </w:r>
    </w:p>
    <w:p>
      <w:r>
        <w:rPr>
          <w:b/>
        </w:rPr>
        <w:t xml:space="preserve">3 </w:t>
      </w:r>
      <w:r>
        <w:t xml:space="preserve">Shepherds and their flocks</w:t>
      </w:r>
      <w:r>
        <w:rPr>
          <w:rStyle w:val="FootnoteReference"/>
        </w:rPr>
        <w:footnoteReference w:id="12091"/>
      </w:r>
      <w:r>
        <w:t xml:space="preserve"> will come to her, and they will pitch tents against her all around, and each will shepherd by his own hand.</w:t>
      </w:r>
      <w:r>
        <w:rPr>
          <w:rStyle w:val="FootnoteReference"/>
        </w:rPr>
        <w:footnoteReference w:id="12092"/>
      </w:r>
    </w:p>
    <w:p>
      <w:r>
        <w:rPr>
          <w:b/>
        </w:rPr>
        <w:t xml:space="preserve">4 </w:t>
      </w:r>
      <w:r>
        <w:t xml:space="preserve">Prepare</w:t>
      </w:r>
      <w:r>
        <w:rPr>
          <w:rStyle w:val="FootnoteReference"/>
        </w:rPr>
        <w:footnoteReference w:id="12093"/>
      </w:r>
      <w:r>
        <w:t xml:space="preserve"> against her for war. Rise, and let us go up against her at noon</w:t>
      </w:r>
      <w:r>
        <w:rPr>
          <w:rStyle w:val="FootnoteReference"/>
        </w:rPr>
        <w:footnoteReference w:id="12094"/>
      </w:r>
      <w:r>
        <w:t xml:space="preserve">. Woe to us, because the day has declined, because the shadows of evening fail.</w:t>
      </w:r>
    </w:p>
    <w:p>
      <w:r>
        <w:rPr>
          <w:b/>
        </w:rPr>
        <w:t xml:space="preserve">5 </w:t>
      </w:r>
      <w:r>
        <w:t xml:space="preserve">Rise, and let us go up in the night</w:t>
      </w:r>
      <w:r>
        <w:rPr>
          <w:rStyle w:val="FootnoteReference"/>
        </w:rPr>
        <w:footnoteReference w:id="12095"/>
      </w:r>
      <w:r>
        <w:t xml:space="preserve"> and destroy her foundations.</w:t>
      </w:r>
    </w:p>
    <w:p>
      <w:r>
        <w:rPr>
          <w:b/>
        </w:rPr>
        <w:t xml:space="preserve">6 </w:t>
      </w:r>
      <w:r>
        <w:t xml:space="preserve">Because thus says the Lord: Cut down her trees, pour out strength against Jerusalem. O false city</w:t>
      </w:r>
      <w:r>
        <w:rPr>
          <w:rStyle w:val="FootnoteReference"/>
        </w:rPr>
        <w:footnoteReference w:id="12096"/>
      </w:r>
      <w:r>
        <w:t xml:space="preserve">, all oppression is in her.</w:t>
      </w:r>
    </w:p>
    <w:p>
      <w:r>
        <w:rPr>
          <w:b/>
        </w:rPr>
        <w:t xml:space="preserve">7 </w:t>
      </w:r>
      <w:r>
        <w:t xml:space="preserve">As a cistern cools its water</w:t>
      </w:r>
      <w:r>
        <w:rPr>
          <w:rStyle w:val="FootnoteReference"/>
        </w:rPr>
        <w:footnoteReference w:id="12097"/>
      </w:r>
      <w:r>
        <w:t xml:space="preserve">, so her evil cools. Ungodliness and misery will be heard in her; before her face continually are pain and scourge.</w:t>
      </w:r>
    </w:p>
    <w:p>
      <w:r>
        <w:rPr>
          <w:b/>
        </w:rPr>
        <w:t xml:space="preserve">8 </w:t>
      </w:r>
      <w:r>
        <w:t xml:space="preserve">Be disciplined, Jerusalem, lest my soul depart from you, lest I</w:t>
      </w:r>
      <w:r>
        <w:rPr>
          <w:rStyle w:val="FootnoteReference"/>
        </w:rPr>
        <w:footnoteReference w:id="12098"/>
      </w:r>
      <w:r>
        <w:t xml:space="preserve"> make you a pathless land that will not be inhabited</w:t>
      </w:r>
      <w:r>
        <w:rPr>
          <w:rStyle w:val="FootnoteReference"/>
        </w:rPr>
        <w:footnoteReference w:id="12099"/>
      </w:r>
      <w:r>
        <w:t xml:space="preserve">.</w:t>
      </w:r>
    </w:p>
    <w:p>
      <w:r>
        <w:rPr>
          <w:b/>
        </w:rPr>
        <w:t xml:space="preserve">9 </w:t>
      </w:r>
      <w:r>
        <w:t xml:space="preserve">Because thus says the Lord: Glean, glean as a vine the remnants of Israel</w:t>
      </w:r>
      <w:r>
        <w:rPr>
          <w:rStyle w:val="FootnoteReference"/>
        </w:rPr>
        <w:footnoteReference w:id="12100"/>
      </w:r>
      <w:r>
        <w:t xml:space="preserve">. Return like a grape-gatherer to his basket.</w:t>
      </w:r>
    </w:p>
    <w:p>
      <w:r>
        <w:rPr>
          <w:b/>
        </w:rPr>
        <w:t xml:space="preserve">10 </w:t>
      </w:r>
      <w:r>
        <w:t xml:space="preserve">To whom</w:t>
      </w:r>
      <w:r>
        <w:rPr>
          <w:rStyle w:val="FootnoteReference"/>
        </w:rPr>
        <w:footnoteReference w:id="12101"/>
      </w:r>
      <w:r>
        <w:t xml:space="preserve"> shall I speak and testify, and he will hear? Behold, their ears are uncircumcised</w:t>
      </w:r>
      <w:r>
        <w:rPr>
          <w:rStyle w:val="FootnoteReference"/>
        </w:rPr>
        <w:footnoteReference w:id="12102"/>
      </w:r>
      <w:r>
        <w:t xml:space="preserve"> and they cannot hear. Behold, the word of the Lord became a reproach to them. They will not want to hear it.</w:t>
      </w:r>
    </w:p>
    <w:p>
      <w:r>
        <w:rPr>
          <w:b/>
        </w:rPr>
        <w:t xml:space="preserve">11 </w:t>
      </w:r>
      <w:r>
        <w:t xml:space="preserve">And I was filled with my wrath and held it back</w:t>
      </w:r>
      <w:r>
        <w:rPr>
          <w:rStyle w:val="FootnoteReference"/>
        </w:rPr>
        <w:footnoteReference w:id="12103"/>
      </w:r>
      <w:r>
        <w:t xml:space="preserve">, and I did not finish them. I will pour it on infants outside and on a gathering of young men together, because a man and a woman will be taken, an elder together with one full of days.</w:t>
      </w:r>
    </w:p>
    <w:p>
      <w:r>
        <w:rPr>
          <w:b/>
        </w:rPr>
        <w:t xml:space="preserve">12 </w:t>
      </w:r>
      <w:r>
        <w:t xml:space="preserve">And their</w:t>
      </w:r>
      <w:r>
        <w:rPr>
          <w:rStyle w:val="FootnoteReference"/>
        </w:rPr>
        <w:footnoteReference w:id="12104"/>
      </w:r>
      <w:r>
        <w:t xml:space="preserve"> houses will be turned over to others</w:t>
      </w:r>
      <w:r>
        <w:rPr>
          <w:rStyle w:val="FootnoteReference"/>
        </w:rPr>
        <w:footnoteReference w:id="12105"/>
      </w:r>
      <w:r>
        <w:t xml:space="preserve">, their fields and their wives together, because I will stretch out my hand upon those inhabiting this land, says the Lord.</w:t>
      </w:r>
    </w:p>
    <w:p>
      <w:r>
        <w:rPr>
          <w:b/>
        </w:rPr>
        <w:t xml:space="preserve">13 </w:t>
      </w:r>
      <w:r>
        <w:t xml:space="preserve">Because from their small one even to their great one</w:t>
      </w:r>
      <w:r>
        <w:rPr>
          <w:rStyle w:val="FootnoteReference"/>
        </w:rPr>
        <w:footnoteReference w:id="12106"/>
      </w:r>
      <w:r>
        <w:t xml:space="preserve">, all together completed lawless things; from priest even to false prophet, all practiced lies.</w:t>
      </w:r>
    </w:p>
    <w:p>
      <w:r>
        <w:rPr>
          <w:b/>
        </w:rPr>
        <w:t xml:space="preserve">14 </w:t>
      </w:r>
      <w:r>
        <w:t xml:space="preserve">And they healed</w:t>
      </w:r>
      <w:r>
        <w:rPr>
          <w:rStyle w:val="FootnoteReference"/>
        </w:rPr>
        <w:footnoteReference w:id="12107"/>
      </w:r>
      <w:r>
        <w:t xml:space="preserve"> crushing of my people by treating it lightly and saying, Peace, peace, and where is peace?</w:t>
      </w:r>
      <w:r>
        <w:rPr>
          <w:rStyle w:val="FootnoteReference"/>
        </w:rPr>
        <w:footnoteReference w:id="12108"/>
      </w:r>
    </w:p>
    <w:p>
      <w:r>
        <w:rPr>
          <w:b/>
        </w:rPr>
        <w:t xml:space="preserve">15 </w:t>
      </w:r>
      <w:r>
        <w:t xml:space="preserve">They were ashamed because they failed, yet not even as ashamed were they ashamed, and they did not know their dishonor. Therefore</w:t>
      </w:r>
      <w:r>
        <w:rPr>
          <w:rStyle w:val="FootnoteReference"/>
        </w:rPr>
        <w:footnoteReference w:id="12109"/>
      </w:r>
      <w:r>
        <w:t xml:space="preserve"> they will fall in their falling</w:t>
      </w:r>
      <w:r>
        <w:rPr>
          <w:rStyle w:val="FootnoteReference"/>
        </w:rPr>
        <w:footnoteReference w:id="12110"/>
      </w:r>
      <w:r>
        <w:t xml:space="preserve">, and in the time of their visitation they will perish, said the Lord.</w:t>
      </w:r>
    </w:p>
    <w:p>
      <w:r>
        <w:rPr>
          <w:b/>
        </w:rPr>
        <w:t xml:space="preserve">16 </w:t>
      </w:r>
      <w:r>
        <w:t xml:space="preserve">Thus says the Lord: Stand</w:t>
      </w:r>
      <w:r>
        <w:rPr>
          <w:rStyle w:val="FootnoteReference"/>
        </w:rPr>
        <w:footnoteReference w:id="12111"/>
      </w:r>
      <w:r>
        <w:t xml:space="preserve"> on the roads and see and ask for the everlasting paths of the Lord</w:t>
      </w:r>
      <w:r>
        <w:rPr>
          <w:rStyle w:val="FootnoteReference"/>
        </w:rPr>
        <w:footnoteReference w:id="12112"/>
      </w:r>
      <w:r>
        <w:t xml:space="preserve">, and see what the good way is, and walk in it, and you will find cleansing for your souls. And they said, We will not walk.</w:t>
      </w:r>
    </w:p>
    <w:p>
      <w:r>
        <w:rPr>
          <w:b/>
        </w:rPr>
        <w:t xml:space="preserve">17 </w:t>
      </w:r>
      <w:r>
        <w:t xml:space="preserve">I set watchmen over you: Hear the sound of a trumpet</w:t>
      </w:r>
      <w:r>
        <w:rPr>
          <w:rStyle w:val="FootnoteReference"/>
        </w:rPr>
        <w:footnoteReference w:id="12113"/>
      </w:r>
      <w:r>
        <w:t xml:space="preserve">. And they said, We will not hear.</w:t>
      </w:r>
    </w:p>
    <w:p>
      <w:r>
        <w:rPr>
          <w:b/>
        </w:rPr>
        <w:t xml:space="preserve">18 </w:t>
      </w:r>
      <w:r>
        <w:t xml:space="preserve">Therefore the nations heard, and those shepherding their flocks.</w:t>
      </w:r>
    </w:p>
    <w:p>
      <w:r>
        <w:rPr>
          <w:b/>
        </w:rPr>
        <w:t xml:space="preserve">19 </w:t>
      </w:r>
      <w:r>
        <w:t xml:space="preserve">Hear, O earth</w:t>
      </w:r>
      <w:r>
        <w:rPr>
          <w:rStyle w:val="FootnoteReference"/>
        </w:rPr>
        <w:footnoteReference w:id="12114"/>
      </w:r>
      <w:r>
        <w:t xml:space="preserve">. Behold, I bring on this people evils, the fruit of their turning away</w:t>
      </w:r>
      <w:r>
        <w:rPr>
          <w:rStyle w:val="FootnoteReference"/>
        </w:rPr>
        <w:footnoteReference w:id="12115"/>
      </w:r>
      <w:r>
        <w:t xml:space="preserve">, because they paid no attention to my words and rejected my law.</w:t>
      </w:r>
    </w:p>
    <w:p>
      <w:r>
        <w:rPr>
          <w:b/>
        </w:rPr>
        <w:t xml:space="preserve">20 </w:t>
      </w:r>
      <w:r>
        <w:t xml:space="preserve">Why do you bring me frankincense from Sheba</w:t>
      </w:r>
      <w:r>
        <w:rPr>
          <w:rStyle w:val="FootnoteReference"/>
        </w:rPr>
        <w:footnoteReference w:id="12116"/>
      </w:r>
      <w:r>
        <w:t xml:space="preserve"> and cinnamon from a far land? Your whole burnt offerings are not acceptable and your sacrifices did not please me.</w:t>
      </w:r>
      <w:r>
        <w:rPr>
          <w:rStyle w:val="FootnoteReference"/>
        </w:rPr>
        <w:footnoteReference w:id="12117"/>
      </w:r>
    </w:p>
    <w:p>
      <w:r>
        <w:rPr>
          <w:b/>
        </w:rPr>
        <w:t xml:space="preserve">21 </w:t>
      </w:r>
      <w:r>
        <w:t xml:space="preserve">Therefore thus says the Lord: Behold, I give this people weakness</w:t>
      </w:r>
      <w:r>
        <w:rPr>
          <w:rStyle w:val="FootnoteReference"/>
        </w:rPr>
        <w:footnoteReference w:id="12118"/>
      </w:r>
      <w:r>
        <w:t xml:space="preserve">, and fathers</w:t>
      </w:r>
      <w:r>
        <w:rPr>
          <w:rStyle w:val="FootnoteReference"/>
        </w:rPr>
        <w:footnoteReference w:id="12119"/>
      </w:r>
      <w:r>
        <w:t xml:space="preserve"> and sons together will be weakened by it; a neighbor and his near one will perish.</w:t>
      </w:r>
    </w:p>
    <w:p>
      <w:r>
        <w:rPr>
          <w:b/>
        </w:rPr>
        <w:t xml:space="preserve">22 </w:t>
      </w:r>
      <w:r>
        <w:t xml:space="preserve">Thus says the Lord: Behold, a people comes from the north</w:t>
      </w:r>
      <w:r>
        <w:rPr>
          <w:rStyle w:val="FootnoteReference"/>
        </w:rPr>
        <w:footnoteReference w:id="12120"/>
      </w:r>
      <w:r>
        <w:t xml:space="preserve">, and a nation will be stirred from the end of the earth.</w:t>
      </w:r>
      <w:r>
        <w:rPr>
          <w:rStyle w:val="FootnoteReference"/>
        </w:rPr>
        <w:footnoteReference w:id="12121"/>
      </w:r>
    </w:p>
    <w:p>
      <w:r>
        <w:rPr>
          <w:b/>
        </w:rPr>
        <w:t xml:space="preserve">23 </w:t>
      </w:r>
      <w:r>
        <w:t xml:space="preserve">They will grasp bow and javelin. He is harsh and will not show mercy. His voice is like a waving sea</w:t>
      </w:r>
      <w:r>
        <w:rPr>
          <w:rStyle w:val="FootnoteReference"/>
        </w:rPr>
        <w:footnoteReference w:id="12122"/>
      </w:r>
      <w:r>
        <w:t xml:space="preserve">. On horses and chariots he will line up like fire for war against you, O daughter of Zion.</w:t>
      </w:r>
    </w:p>
    <w:p>
      <w:r>
        <w:rPr>
          <w:b/>
        </w:rPr>
        <w:t xml:space="preserve">24 </w:t>
      </w:r>
      <w:r>
        <w:t xml:space="preserve">We heard their report; our hands were paralyzed. Affliction seized us, birth-pangs as of a woman giving birth</w:t>
      </w:r>
      <w:r>
        <w:rPr>
          <w:rStyle w:val="FootnoteReference"/>
        </w:rPr>
        <w:footnoteReference w:id="12123"/>
      </w:r>
      <w:r>
        <w:t xml:space="preserve">.</w:t>
      </w:r>
    </w:p>
    <w:p>
      <w:r>
        <w:rPr>
          <w:b/>
        </w:rPr>
        <w:t xml:space="preserve">25 </w:t>
      </w:r>
      <w:r>
        <w:t xml:space="preserve">Do not go out into the field, and on the roads do not walk, because the sword of enemies lives all around</w:t>
      </w:r>
      <w:r>
        <w:rPr>
          <w:rStyle w:val="FootnoteReference"/>
        </w:rPr>
        <w:footnoteReference w:id="12124"/>
      </w:r>
      <w:r>
        <w:t xml:space="preserve">.</w:t>
      </w:r>
      <w:r>
        <w:rPr>
          <w:rStyle w:val="FootnoteReference"/>
        </w:rPr>
        <w:footnoteReference w:id="12125"/>
      </w:r>
    </w:p>
    <w:p>
      <w:r>
        <w:rPr>
          <w:b/>
        </w:rPr>
        <w:t xml:space="preserve">26 </w:t>
      </w:r>
      <w:r>
        <w:t xml:space="preserve">O daughter of my people</w:t>
      </w:r>
      <w:r>
        <w:rPr>
          <w:rStyle w:val="FootnoteReference"/>
        </w:rPr>
        <w:footnoteReference w:id="12126"/>
      </w:r>
      <w:r>
        <w:t xml:space="preserve">, gird sackcloth, roll in ashes, make for yourself mourning for a beloved one, bitter lament, because suddenly misery will come upon you.</w:t>
      </w:r>
      <w:r>
        <w:rPr>
          <w:rStyle w:val="FootnoteReference"/>
        </w:rPr>
        <w:footnoteReference w:id="12127"/>
      </w:r>
    </w:p>
    <w:p>
      <w:r>
        <w:rPr>
          <w:b/>
        </w:rPr>
        <w:t xml:space="preserve">27 </w:t>
      </w:r>
      <w:r>
        <w:t xml:space="preserve">I have given you as a tester among tested peoples</w:t>
      </w:r>
      <w:r>
        <w:rPr>
          <w:rStyle w:val="FootnoteReference"/>
        </w:rPr>
        <w:footnoteReference w:id="12128"/>
      </w:r>
      <w:r>
        <w:t xml:space="preserve">, and you will know me when I test their way.</w:t>
      </w:r>
    </w:p>
    <w:p>
      <w:r>
        <w:rPr>
          <w:b/>
        </w:rPr>
        <w:t xml:space="preserve">28 </w:t>
      </w:r>
      <w:r>
        <w:t xml:space="preserve">All are disobedient, walking</w:t>
      </w:r>
      <w:r>
        <w:rPr>
          <w:rStyle w:val="FootnoteReference"/>
        </w:rPr>
        <w:footnoteReference w:id="12129"/>
      </w:r>
      <w:r>
        <w:t xml:space="preserve"> crookedly; bronze and iron</w:t>
      </w:r>
      <w:r>
        <w:rPr>
          <w:rStyle w:val="FootnoteReference"/>
        </w:rPr>
        <w:footnoteReference w:id="12130"/>
      </w:r>
      <w:r>
        <w:t xml:space="preserve">, all are corrupted.</w:t>
      </w:r>
    </w:p>
    <w:p>
      <w:r>
        <w:rPr>
          <w:b/>
        </w:rPr>
        <w:t xml:space="preserve">29 </w:t>
      </w:r>
      <w:r>
        <w:t xml:space="preserve">Bellows failed from fire, lead failed; the silversmith works silver in vain</w:t>
      </w:r>
      <w:r>
        <w:rPr>
          <w:rStyle w:val="FootnoteReference"/>
        </w:rPr>
        <w:footnoteReference w:id="12131"/>
      </w:r>
      <w:r>
        <w:t xml:space="preserve">, their evil was not melted.</w:t>
      </w:r>
      <w:r>
        <w:rPr>
          <w:rStyle w:val="FootnoteReference"/>
        </w:rPr>
        <w:footnoteReference w:id="12132"/>
      </w:r>
    </w:p>
    <w:p>
      <w:r>
        <w:rPr>
          <w:b/>
        </w:rPr>
        <w:t xml:space="preserve">30 </w:t>
      </w:r>
      <w:r>
        <w:t xml:space="preserve">Call them rejected silver</w:t>
      </w:r>
      <w:r>
        <w:rPr>
          <w:rStyle w:val="FootnoteReference"/>
        </w:rPr>
        <w:footnoteReference w:id="12133"/>
      </w:r>
      <w:r>
        <w:t xml:space="preserve">, because the Lord</w:t>
      </w:r>
      <w:r>
        <w:rPr>
          <w:rStyle w:val="FootnoteReference"/>
        </w:rPr>
        <w:footnoteReference w:id="12134"/>
      </w:r>
      <w:r>
        <w:t xml:space="preserve"> rejected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2 </w:t>
      </w:r>
      <w:r>
        <w:t xml:space="preserve">Hear</w:t>
      </w:r>
      <w:r>
        <w:rPr>
          <w:rStyle w:val="FootnoteReference"/>
        </w:rPr>
        <w:footnoteReference w:id="12135"/>
      </w:r>
      <w:r>
        <w:t xml:space="preserve"> the word of the Lord, all Judah.</w:t>
      </w:r>
    </w:p>
    <w:p>
      <w:r>
        <w:rPr>
          <w:b/>
        </w:rPr>
        <w:t xml:space="preserve">3 </w:t>
      </w:r>
      <w:r>
        <w:t xml:space="preserve">Thus says the Lord God of Israel: Correct your ways and your practices, and I will settle you in this place.</w:t>
      </w:r>
    </w:p>
    <w:p>
      <w:r>
        <w:rPr>
          <w:b/>
        </w:rPr>
        <w:t xml:space="preserve">4 </w:t>
      </w:r>
      <w:r>
        <w:t xml:space="preserve">Do not trust</w:t>
      </w:r>
      <w:r>
        <w:rPr>
          <w:rStyle w:val="FootnoteReference"/>
        </w:rPr>
        <w:footnoteReference w:id="12136"/>
      </w:r>
      <w:r>
        <w:t xml:space="preserve"> in yourselves on false words that will surely not profit you, saying, Temple of the Lord</w:t>
      </w:r>
      <w:r>
        <w:rPr>
          <w:rStyle w:val="FootnoteReference"/>
        </w:rPr>
        <w:footnoteReference w:id="12137"/>
      </w:r>
      <w:r>
        <w:t xml:space="preserve">, temple of the Lord it is.</w:t>
      </w:r>
    </w:p>
    <w:p>
      <w:r>
        <w:rPr>
          <w:b/>
        </w:rPr>
        <w:t xml:space="preserve">5 </w:t>
      </w:r>
      <w:r>
        <w:t xml:space="preserve">Because if by correcting you truly correct</w:t>
      </w:r>
      <w:r>
        <w:rPr>
          <w:rStyle w:val="FootnoteReference"/>
        </w:rPr>
        <w:footnoteReference w:id="12138"/>
      </w:r>
      <w:r>
        <w:t xml:space="preserve"> your ways and your practices, and by doing you do judgment between a man and his neighbor,</w:t>
      </w:r>
    </w:p>
    <w:p>
      <w:r>
        <w:rPr>
          <w:b/>
        </w:rPr>
        <w:t xml:space="preserve">6 </w:t>
      </w:r>
      <w:r>
        <w:t xml:space="preserve">and do not oppress</w:t>
      </w:r>
      <w:r>
        <w:rPr>
          <w:rStyle w:val="FootnoteReference"/>
        </w:rPr>
        <w:footnoteReference w:id="12139"/>
      </w:r>
      <w:r>
        <w:t xml:space="preserve"> a sojourner and an orphan and a widow</w:t>
      </w:r>
      <w:r>
        <w:rPr>
          <w:rStyle w:val="FootnoteReference"/>
        </w:rPr>
        <w:footnoteReference w:id="12140"/>
      </w:r>
      <w:r>
        <w:t xml:space="preserve">, and do not pour out innocent blood in this place, and do not walk after foreign gods to your harm,</w:t>
      </w:r>
    </w:p>
    <w:p>
      <w:r>
        <w:rPr>
          <w:b/>
        </w:rPr>
        <w:t xml:space="preserve">7 </w:t>
      </w:r>
      <w:r>
        <w:t xml:space="preserve">then I will settle you in this place, in the land</w:t>
      </w:r>
      <w:r>
        <w:rPr>
          <w:rStyle w:val="FootnoteReference"/>
        </w:rPr>
        <w:footnoteReference w:id="12141"/>
      </w:r>
      <w:r>
        <w:t xml:space="preserve"> I gave to your fathers from age to age</w:t>
      </w:r>
      <w:r>
        <w:rPr>
          <w:rStyle w:val="FootnoteReference"/>
        </w:rPr>
        <w:footnoteReference w:id="12142"/>
      </w:r>
      <w:r>
        <w:t xml:space="preserve">.</w:t>
      </w:r>
    </w:p>
    <w:p>
      <w:r>
        <w:rPr>
          <w:b/>
        </w:rPr>
        <w:t xml:space="preserve">8 </w:t>
      </w:r>
      <w:r>
        <w:t xml:space="preserve">But if you trust in false words, from which you will not profit,</w:t>
      </w:r>
    </w:p>
    <w:p>
      <w:r>
        <w:rPr>
          <w:b/>
        </w:rPr>
        <w:t xml:space="preserve">9 </w:t>
      </w:r>
      <w:r>
        <w:t xml:space="preserve">and murder and commit adultery and steal</w:t>
      </w:r>
      <w:r>
        <w:rPr>
          <w:rStyle w:val="FootnoteReference"/>
        </w:rPr>
        <w:footnoteReference w:id="12143"/>
      </w:r>
      <w:r>
        <w:t xml:space="preserve"> and swear unrighteously and burn incense to Baal and walk after foreign gods whom you do not know, for your harm,</w:t>
      </w:r>
    </w:p>
    <w:p>
      <w:r>
        <w:rPr>
          <w:b/>
        </w:rPr>
        <w:t xml:space="preserve">10 </w:t>
      </w:r>
      <w:r>
        <w:t xml:space="preserve">and you came and stood before me in the house over which my name has been called and said, We have held back from doing all these abominations—</w:t>
      </w:r>
    </w:p>
    <w:p>
      <w:r>
        <w:rPr>
          <w:b/>
        </w:rPr>
        <w:t xml:space="preserve">11 </w:t>
      </w:r>
      <w:r>
        <w:t xml:space="preserve">Has my house over which my name has been called</w:t>
      </w:r>
      <w:r>
        <w:rPr>
          <w:rStyle w:val="FootnoteReference"/>
        </w:rPr>
        <w:footnoteReference w:id="12144"/>
      </w:r>
      <w:r>
        <w:t xml:space="preserve"> become a den of robbers</w:t>
      </w:r>
      <w:r>
        <w:rPr>
          <w:rStyle w:val="FootnoteReference"/>
        </w:rPr>
        <w:footnoteReference w:id="12145"/>
      </w:r>
      <w:r>
        <w:t xml:space="preserve"> there before you? And I, behold, have seen, says the Lord.</w:t>
      </w:r>
    </w:p>
    <w:p>
      <w:r>
        <w:rPr>
          <w:b/>
        </w:rPr>
        <w:t xml:space="preserve">12 </w:t>
      </w:r>
      <w:r>
        <w:t xml:space="preserve">For go to my place</w:t>
      </w:r>
      <w:r>
        <w:rPr>
          <w:rStyle w:val="FootnoteReference"/>
        </w:rPr>
        <w:footnoteReference w:id="12146"/>
      </w:r>
      <w:r>
        <w:t xml:space="preserve"> in Shiloh</w:t>
      </w:r>
      <w:r>
        <w:rPr>
          <w:rStyle w:val="FootnoteReference"/>
        </w:rPr>
        <w:footnoteReference w:id="12147"/>
      </w:r>
      <w:r>
        <w:t xml:space="preserve">, where I caused my name to dwell before, and see what I did to it because of the evil of my people Israel.</w:t>
      </w:r>
    </w:p>
    <w:p>
      <w:r>
        <w:rPr>
          <w:b/>
        </w:rPr>
        <w:t xml:space="preserve">13 </w:t>
      </w:r>
      <w:r>
        <w:t xml:space="preserve">And now because you did all these works and I spoke to you and you did not hear me, and I called</w:t>
      </w:r>
      <w:r>
        <w:rPr>
          <w:rStyle w:val="FootnoteReference"/>
        </w:rPr>
        <w:footnoteReference w:id="12148"/>
      </w:r>
      <w:r>
        <w:t xml:space="preserve"> you and you did not answer,</w:t>
      </w:r>
    </w:p>
    <w:p>
      <w:r>
        <w:rPr>
          <w:b/>
        </w:rPr>
        <w:t xml:space="preserve">14 </w:t>
      </w:r>
      <w:r>
        <w:t xml:space="preserve">I will do to this house over which my name has been called, on which you trust, and to the place I gave to you and to your fathers, just as I did to Shiloh</w:t>
      </w:r>
      <w:r>
        <w:rPr>
          <w:rStyle w:val="FootnoteReference"/>
        </w:rPr>
        <w:footnoteReference w:id="12149"/>
      </w:r>
      <w:r>
        <w:t xml:space="preserve">.</w:t>
      </w:r>
    </w:p>
    <w:p>
      <w:r>
        <w:rPr>
          <w:b/>
        </w:rPr>
        <w:t xml:space="preserve">15 </w:t>
      </w:r>
      <w:r>
        <w:t xml:space="preserve">And I will cast you out from my face, just as I cast out your brothers, all the seed of Ephraim.</w:t>
      </w:r>
    </w:p>
    <w:p>
      <w:r>
        <w:rPr>
          <w:b/>
        </w:rPr>
        <w:t xml:space="preserve">16 </w:t>
      </w:r>
      <w:r>
        <w:t xml:space="preserve">And you, do not pray concerning this people</w:t>
      </w:r>
      <w:r>
        <w:rPr>
          <w:rStyle w:val="FootnoteReference"/>
        </w:rPr>
        <w:footnoteReference w:id="12150"/>
      </w:r>
      <w:r>
        <w:t xml:space="preserve">, and do not ask that they be shown mercy, and do not vow, and do not come to me concerning them, because I will not hear.</w:t>
      </w:r>
      <w:r>
        <w:rPr>
          <w:rStyle w:val="FootnoteReference"/>
        </w:rPr>
        <w:footnoteReference w:id="12151"/>
      </w:r>
    </w:p>
    <w:p>
      <w:r>
        <w:rPr>
          <w:b/>
        </w:rPr>
        <w:t xml:space="preserve">17 </w:t>
      </w:r>
      <w:r>
        <w:t xml:space="preserve">Do you not see what they do in the cities of Judah and in the streets of Jerusalem?</w:t>
      </w:r>
    </w:p>
    <w:p>
      <w:r>
        <w:rPr>
          <w:b/>
        </w:rPr>
        <w:t xml:space="preserve">18 </w:t>
      </w:r>
      <w:r>
        <w:t xml:space="preserve">Their sons gather wood, and their fathers kindle fire, and their women knead dough to make cakes for the host of heaven</w:t>
      </w:r>
      <w:r>
        <w:rPr>
          <w:rStyle w:val="FootnoteReference"/>
        </w:rPr>
        <w:footnoteReference w:id="12152"/>
      </w:r>
      <w:r>
        <w:t xml:space="preserve">, and they poured drink offerings to foreign gods so as to provoke me.</w:t>
      </w:r>
    </w:p>
    <w:p>
      <w:r>
        <w:rPr>
          <w:b/>
        </w:rPr>
        <w:t xml:space="preserve">19 </w:t>
      </w:r>
      <w:r>
        <w:t xml:space="preserve">Do they provoke</w:t>
      </w:r>
      <w:r>
        <w:rPr>
          <w:rStyle w:val="FootnoteReference"/>
        </w:rPr>
        <w:footnoteReference w:id="12153"/>
      </w:r>
      <w:r>
        <w:t xml:space="preserve"> me? says the Lord. Is it not themselves, so that their faces may be ashamed?</w:t>
      </w:r>
    </w:p>
    <w:p>
      <w:r>
        <w:rPr>
          <w:b/>
        </w:rPr>
        <w:t xml:space="preserve">20 </w:t>
      </w:r>
      <w:r>
        <w:t xml:space="preserve">Therefore thus says the Lord: Behold</w:t>
      </w:r>
      <w:r>
        <w:rPr>
          <w:rStyle w:val="FootnoteReference"/>
        </w:rPr>
        <w:footnoteReference w:id="12154"/>
      </w:r>
      <w:r>
        <w:t xml:space="preserve">, my anger and wrath are poured out</w:t>
      </w:r>
      <w:r>
        <w:rPr>
          <w:rStyle w:val="FootnoteReference"/>
        </w:rPr>
        <w:footnoteReference w:id="12155"/>
      </w:r>
      <w:r>
        <w:t xml:space="preserve"> on this place and on men and on cattle and on every tree of their field and on all the produce of the earth, and it will burn and not be quenched.</w:t>
      </w:r>
    </w:p>
    <w:p>
      <w:r>
        <w:rPr>
          <w:b/>
        </w:rPr>
        <w:t xml:space="preserve">21 </w:t>
      </w:r>
      <w:r>
        <w:t xml:space="preserve">Thus says the Lord: Gather your whole burnt offerings with your sacrifices and eat flesh.</w:t>
      </w:r>
    </w:p>
    <w:p>
      <w:r>
        <w:rPr>
          <w:b/>
        </w:rPr>
        <w:t xml:space="preserve">22 </w:t>
      </w:r>
      <w:r>
        <w:t xml:space="preserve">Because I did not speak to your fathers and did not command them on the day I brought them up from the land of Egypt concerning whole burnt offerings and sacrifice</w:t>
      </w:r>
      <w:r>
        <w:rPr>
          <w:rStyle w:val="FootnoteReference"/>
        </w:rPr>
        <w:footnoteReference w:id="12156"/>
      </w:r>
      <w:r>
        <w:t xml:space="preserve">.</w:t>
      </w:r>
    </w:p>
    <w:p>
      <w:r>
        <w:rPr>
          <w:b/>
        </w:rPr>
        <w:t xml:space="preserve">23 </w:t>
      </w:r>
      <w:r>
        <w:t xml:space="preserve">But this word I commanded them, saying, Hear my voice</w:t>
      </w:r>
      <w:r>
        <w:rPr>
          <w:rStyle w:val="FootnoteReference"/>
        </w:rPr>
        <w:footnoteReference w:id="12157"/>
      </w:r>
      <w:r>
        <w:t xml:space="preserve"> and I will be to you as God and you will be to me as people, and walk in all my ways that I command you, so that it</w:t>
      </w:r>
      <w:r>
        <w:rPr>
          <w:rStyle w:val="FootnoteReference"/>
        </w:rPr>
        <w:footnoteReference w:id="12158"/>
      </w:r>
      <w:r>
        <w:t xml:space="preserve"> may be well for you.</w:t>
      </w:r>
    </w:p>
    <w:p>
      <w:r>
        <w:rPr>
          <w:b/>
        </w:rPr>
        <w:t xml:space="preserve">24 </w:t>
      </w:r>
      <w:r>
        <w:t xml:space="preserve">And they did not hear me and did not incline their ear, but walked</w:t>
      </w:r>
      <w:r>
        <w:rPr>
          <w:rStyle w:val="FootnoteReference"/>
        </w:rPr>
        <w:footnoteReference w:id="12159"/>
      </w:r>
      <w:r>
        <w:t xml:space="preserve"> in the thoughts of their evil heart and became backward and not forward</w:t>
      </w:r>
      <w:r>
        <w:rPr>
          <w:rStyle w:val="FootnoteReference"/>
        </w:rPr>
        <w:footnoteReference w:id="12160"/>
      </w:r>
      <w:r>
        <w:t xml:space="preserve">.</w:t>
      </w:r>
    </w:p>
    <w:p>
      <w:r>
        <w:rPr>
          <w:b/>
        </w:rPr>
        <w:t xml:space="preserve">25 </w:t>
      </w:r>
      <w:r>
        <w:t xml:space="preserve">From the day their fathers came out from the land of Egypt until this day, I sent</w:t>
      </w:r>
      <w:r>
        <w:rPr>
          <w:rStyle w:val="FootnoteReference"/>
        </w:rPr>
        <w:footnoteReference w:id="12161"/>
      </w:r>
      <w:r>
        <w:t xml:space="preserve"> to you all my servants the prophets; day by day and early morning</w:t>
      </w:r>
      <w:r>
        <w:rPr>
          <w:rStyle w:val="FootnoteReference"/>
        </w:rPr>
        <w:footnoteReference w:id="12162"/>
      </w:r>
      <w:r>
        <w:t xml:space="preserve"> I sent.</w:t>
      </w:r>
    </w:p>
    <w:p>
      <w:r>
        <w:rPr>
          <w:b/>
        </w:rPr>
        <w:t xml:space="preserve">26 </w:t>
      </w:r>
      <w:r>
        <w:t xml:space="preserve">And they did</w:t>
      </w:r>
      <w:r>
        <w:rPr>
          <w:rStyle w:val="FootnoteReference"/>
        </w:rPr>
        <w:footnoteReference w:id="12163"/>
      </w:r>
      <w:r>
        <w:t xml:space="preserve"> not hear me and did not incline their ear and hardened their neck more than their fathers.</w:t>
      </w:r>
    </w:p>
    <w:p>
      <w:r>
        <w:rPr>
          <w:b/>
        </w:rPr>
        <w:t xml:space="preserve">27 </w:t>
      </w:r>
      <w:r>
        <w:t xml:space="preserve">And you will say to them this word: This is the nation that did not hear the voice of the Lord and did not receive discipline. Faithfulness perished from their mouth.</w:t>
      </w:r>
    </w:p>
    <w:p>
      <w:r>
        <w:rPr>
          <w:b/>
        </w:rPr>
        <w:t xml:space="preserve">28 </w:t>
      </w:r>
      <w:r>
        <w:t xml:space="preserve">Faithfulness perished from their mouth.</w:t>
      </w:r>
      <w:r>
        <w:rPr>
          <w:rStyle w:val="FootnoteReference"/>
        </w:rPr>
        <w:footnoteReference w:id="12164"/>
      </w:r>
    </w:p>
    <w:p>
      <w:r>
        <w:rPr>
          <w:b/>
        </w:rPr>
        <w:t xml:space="preserve">29 </w:t>
      </w:r>
      <w:r>
        <w:t xml:space="preserve">Shear your head and cast it away, and raise lament upon lips, because the Lord rejected and thrust away the generation</w:t>
      </w:r>
      <w:r>
        <w:rPr>
          <w:rStyle w:val="FootnoteReference"/>
        </w:rPr>
        <w:footnoteReference w:id="12165"/>
      </w:r>
      <w:r>
        <w:t xml:space="preserve"> doing these things.</w:t>
      </w:r>
    </w:p>
    <w:p>
      <w:r>
        <w:rPr>
          <w:b/>
        </w:rPr>
        <w:t xml:space="preserve">30 </w:t>
      </w:r>
      <w:r>
        <w:t xml:space="preserve">Because the sons of Judah did evil before me, says the Lord. They set their abominations in the house over which my name has been called, to defile it.</w:t>
      </w:r>
    </w:p>
    <w:p>
      <w:r>
        <w:rPr>
          <w:b/>
        </w:rPr>
        <w:t xml:space="preserve">31 </w:t>
      </w:r>
      <w:r>
        <w:t xml:space="preserve">And they built the altar of Topheth</w:t>
      </w:r>
      <w:r>
        <w:rPr>
          <w:rStyle w:val="FootnoteReference"/>
        </w:rPr>
        <w:footnoteReference w:id="12166"/>
      </w:r>
      <w:r>
        <w:t xml:space="preserve">, which is in the valley</w:t>
      </w:r>
      <w:r>
        <w:rPr>
          <w:rStyle w:val="FootnoteReference"/>
        </w:rPr>
        <w:footnoteReference w:id="12167"/>
      </w:r>
      <w:r>
        <w:t xml:space="preserve"> of the son of Hinnom, to burn their sons and their daughters in the fire, which I did not command them, nor did I conceive it in my heart</w:t>
      </w:r>
      <w:r>
        <w:rPr>
          <w:rStyle w:val="FootnoteReference"/>
        </w:rPr>
        <w:footnoteReference w:id="12168"/>
      </w:r>
      <w:r>
        <w:t xml:space="preserve">.</w:t>
      </w:r>
    </w:p>
    <w:p>
      <w:r>
        <w:rPr>
          <w:b/>
        </w:rPr>
        <w:t xml:space="preserve">32 </w:t>
      </w:r>
      <w:r>
        <w:t xml:space="preserve">Therefore behold, days come, says the Lord, and they will no longer say the altar of Topheth and the valley of the son of Hinnom, but the valley of the slaughtered</w:t>
      </w:r>
      <w:r>
        <w:rPr>
          <w:rStyle w:val="FootnoteReference"/>
        </w:rPr>
        <w:footnoteReference w:id="12169"/>
      </w:r>
      <w:r>
        <w:t xml:space="preserve">, and they will bury in Topheth because no place remains.</w:t>
      </w:r>
    </w:p>
    <w:p>
      <w:r>
        <w:rPr>
          <w:b/>
        </w:rPr>
        <w:t xml:space="preserve">33 </w:t>
      </w:r>
      <w:r>
        <w:t xml:space="preserve">And the dead bodies of this people will be for food to the birds of heaven and the beasts of the earth, and none will frighten them away.</w:t>
      </w:r>
    </w:p>
    <w:p>
      <w:r>
        <w:rPr>
          <w:b/>
        </w:rPr>
        <w:t xml:space="preserve">34 </w:t>
      </w:r>
      <w:r>
        <w:t xml:space="preserve">And I will make cease from the cities of Judah and from the streets of Jerusalem the voice of rejoicing and the voice of gladness, the voice of the bridegroom and the voice of the bride</w:t>
      </w:r>
      <w:r>
        <w:rPr>
          <w:rStyle w:val="FootnoteReference"/>
        </w:rPr>
        <w:footnoteReference w:id="12170"/>
      </w:r>
      <w:r>
        <w:t xml:space="preserve">, because the whole land will become desolation.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At that time, says the Lord, they will bring out the bones of the kings of Judah</w:t>
      </w:r>
      <w:r>
        <w:rPr>
          <w:rStyle w:val="FootnoteReference"/>
        </w:rPr>
        <w:footnoteReference w:id="12171"/>
      </w:r>
      <w:r>
        <w:t xml:space="preserve"> and the bones of their rulers and the bones of priests and the bones of prophets and the bones of the inhabitants of Jerusalem from their tombs.</w:t>
      </w:r>
    </w:p>
    <w:p>
      <w:r>
        <w:rPr>
          <w:b/>
        </w:rPr>
        <w:t xml:space="preserve">2 </w:t>
      </w:r>
      <w:r>
        <w:t xml:space="preserve">And they will spread them out toward the sun and the moon and all the stars and all the host of heaven</w:t>
      </w:r>
      <w:r>
        <w:rPr>
          <w:rStyle w:val="FootnoteReference"/>
        </w:rPr>
        <w:footnoteReference w:id="12172"/>
      </w:r>
      <w:r>
        <w:t xml:space="preserve">, which they loved and served and went after and held fast and worshiped. They will not be mourned nor buried, and they will be an example upon the face of the earth.</w:t>
      </w:r>
    </w:p>
    <w:p>
      <w:r>
        <w:rPr>
          <w:b/>
        </w:rPr>
        <w:t xml:space="preserve">3 </w:t>
      </w:r>
      <w:r>
        <w:t xml:space="preserve">Because they chose death rather than life</w:t>
      </w:r>
      <w:r>
        <w:rPr>
          <w:rStyle w:val="FootnoteReference"/>
        </w:rPr>
        <w:footnoteReference w:id="12173"/>
      </w:r>
      <w:r>
        <w:t xml:space="preserve">, for all the remnant left from that generation in every place where I drive them out.</w:t>
      </w:r>
      <w:r>
        <w:rPr>
          <w:rStyle w:val="FootnoteReference"/>
        </w:rPr>
        <w:footnoteReference w:id="12174"/>
      </w:r>
    </w:p>
    <w:p>
      <w:r>
        <w:rPr>
          <w:b/>
        </w:rPr>
        <w:t xml:space="preserve">4 </w:t>
      </w:r>
      <w:r>
        <w:t xml:space="preserve">Because thus says the Lord: Will one falling not rise</w:t>
      </w:r>
      <w:r>
        <w:rPr>
          <w:rStyle w:val="FootnoteReference"/>
        </w:rPr>
        <w:footnoteReference w:id="12175"/>
      </w:r>
      <w:r>
        <w:t xml:space="preserve">? Or one turning away not turn</w:t>
      </w:r>
      <w:r>
        <w:rPr>
          <w:rStyle w:val="FootnoteReference"/>
        </w:rPr>
        <w:footnoteReference w:id="12176"/>
      </w:r>
      <w:r>
        <w:t xml:space="preserve"> back?</w:t>
      </w:r>
    </w:p>
    <w:p>
      <w:r>
        <w:rPr>
          <w:b/>
        </w:rPr>
        <w:t xml:space="preserve">5 </w:t>
      </w:r>
      <w:r>
        <w:t xml:space="preserve">Why did this people of mine</w:t>
      </w:r>
      <w:r>
        <w:rPr>
          <w:rStyle w:val="FootnoteReference"/>
        </w:rPr>
        <w:footnoteReference w:id="12177"/>
      </w:r>
      <w:r>
        <w:t xml:space="preserve"> turn away with a shameless turning away? They held fast in their own choice and did not want to return.</w:t>
      </w:r>
    </w:p>
    <w:p>
      <w:r>
        <w:rPr>
          <w:b/>
        </w:rPr>
        <w:t xml:space="preserve">6 </w:t>
      </w:r>
      <w:r>
        <w:t xml:space="preserve">Give ear now and hear: They will not speak thus. There is no one repenting from his evil, saying</w:t>
      </w:r>
      <w:r>
        <w:rPr>
          <w:rStyle w:val="FootnoteReference"/>
        </w:rPr>
        <w:footnoteReference w:id="12178"/>
      </w:r>
      <w:r>
        <w:t xml:space="preserve">, What have I done</w:t>
      </w:r>
      <w:r>
        <w:rPr>
          <w:rStyle w:val="FootnoteReference"/>
        </w:rPr>
        <w:footnoteReference w:id="12179"/>
      </w:r>
      <w:r>
        <w:t xml:space="preserve">? The one running from his course ceased, like a sweating horse in its neighing.</w:t>
      </w:r>
    </w:p>
    <w:p>
      <w:r>
        <w:rPr>
          <w:b/>
        </w:rPr>
        <w:t xml:space="preserve">7 </w:t>
      </w:r>
      <w:r>
        <w:t xml:space="preserve">And the stork</w:t>
      </w:r>
      <w:r>
        <w:rPr>
          <w:rStyle w:val="FootnoteReference"/>
        </w:rPr>
        <w:footnoteReference w:id="12180"/>
      </w:r>
      <w:r>
        <w:t xml:space="preserve"> in heaven knew its season; the turtledove and swallow of the field and sparrows kept the times of their comings. But my people did not know the judgments of the Lord</w:t>
      </w:r>
      <w:r>
        <w:rPr>
          <w:rStyle w:val="FootnoteReference"/>
        </w:rPr>
        <w:footnoteReference w:id="12181"/>
      </w:r>
      <w:r>
        <w:t xml:space="preserve">.</w:t>
      </w:r>
    </w:p>
    <w:p>
      <w:r>
        <w:rPr>
          <w:b/>
        </w:rPr>
        <w:t xml:space="preserve">8 </w:t>
      </w:r>
      <w:r>
        <w:t xml:space="preserve">How will you say, We are wise, and the law</w:t>
      </w:r>
      <w:r>
        <w:rPr>
          <w:rStyle w:val="FootnoteReference"/>
        </w:rPr>
        <w:footnoteReference w:id="12182"/>
      </w:r>
      <w:r>
        <w:t xml:space="preserve"> of the Lord is with us? In vain the false reed of scribes</w:t>
      </w:r>
      <w:r>
        <w:rPr>
          <w:rStyle w:val="FootnoteReference"/>
        </w:rPr>
        <w:footnoteReference w:id="12183"/>
      </w:r>
      <w:r>
        <w:t xml:space="preserve"> came to be.</w:t>
      </w:r>
    </w:p>
    <w:p>
      <w:r>
        <w:rPr>
          <w:b/>
        </w:rPr>
        <w:t xml:space="preserve">9 </w:t>
      </w:r>
      <w:r>
        <w:t xml:space="preserve">The wise men were ashamed and terrified and caught, because they rejected the word of the Lord</w:t>
      </w:r>
      <w:r>
        <w:rPr>
          <w:rStyle w:val="FootnoteReference"/>
        </w:rPr>
        <w:footnoteReference w:id="12184"/>
      </w:r>
      <w:r>
        <w:t xml:space="preserve">. What wisdom is in them?</w:t>
      </w:r>
    </w:p>
    <w:p>
      <w:r>
        <w:rPr>
          <w:b/>
        </w:rPr>
        <w:t xml:space="preserve">10 </w:t>
      </w:r>
      <w:r>
        <w:t xml:space="preserve">Therefore I will give their wives to others and their fields to heirs</w:t>
      </w:r>
      <w:r>
        <w:rPr>
          <w:rStyle w:val="FootnoteReference"/>
        </w:rPr>
        <w:footnoteReference w:id="12185"/>
      </w:r>
      <w:r>
        <w:t xml:space="preserve">.</w:t>
      </w:r>
    </w:p>
    <w:p>
      <w:r>
        <w:rPr>
          <w:b/>
        </w:rPr>
        <w:t xml:space="preserve">13 </w:t>
      </w:r>
      <w:r>
        <w:t xml:space="preserve">And they will gather their produce, says the Lord. There is no grape on the vines</w:t>
      </w:r>
      <w:r>
        <w:rPr>
          <w:rStyle w:val="FootnoteReference"/>
        </w:rPr>
        <w:footnoteReference w:id="12186"/>
      </w:r>
      <w:r>
        <w:t xml:space="preserve">, and no figs on the fig trees, and leaves have fallen.</w:t>
      </w:r>
      <w:r>
        <w:rPr>
          <w:rStyle w:val="FootnoteReference"/>
        </w:rPr>
        <w:footnoteReference w:id="12187"/>
      </w:r>
    </w:p>
    <w:p>
      <w:r>
        <w:rPr>
          <w:b/>
        </w:rPr>
        <w:t xml:space="preserve">14 </w:t>
      </w:r>
      <w:r>
        <w:t xml:space="preserve">Why do we sit? Gather and let us enter</w:t>
      </w:r>
      <w:r>
        <w:rPr>
          <w:rStyle w:val="FootnoteReference"/>
        </w:rPr>
        <w:footnoteReference w:id="12188"/>
      </w:r>
      <w:r>
        <w:t xml:space="preserve"> fortified cities and be cast away, because God cast us away and gave us water of gall</w:t>
      </w:r>
      <w:r>
        <w:rPr>
          <w:rStyle w:val="FootnoteReference"/>
        </w:rPr>
        <w:footnoteReference w:id="12189"/>
      </w:r>
      <w:r>
        <w:t xml:space="preserve"> to drink, because we sinned against him.</w:t>
      </w:r>
    </w:p>
    <w:p>
      <w:r>
        <w:rPr>
          <w:b/>
        </w:rPr>
        <w:t xml:space="preserve">15 </w:t>
      </w:r>
      <w:r>
        <w:t xml:space="preserve">We gathered for peace and there were no good things, for the time of healing and behold, haste.</w:t>
      </w:r>
    </w:p>
    <w:p>
      <w:r>
        <w:rPr>
          <w:b/>
        </w:rPr>
        <w:t xml:space="preserve">16 </w:t>
      </w:r>
      <w:r>
        <w:t xml:space="preserve">From Dan</w:t>
      </w:r>
      <w:r>
        <w:rPr>
          <w:rStyle w:val="FootnoteReference"/>
        </w:rPr>
        <w:footnoteReference w:id="12190"/>
      </w:r>
      <w:r>
        <w:t xml:space="preserve"> we will hear the sound of the swiftness of his horses. From the sound of neighing of his cavalry all the land shook, and he will come and devour the land and its fullness, the city and those dwelling in it.</w:t>
      </w:r>
    </w:p>
    <w:p>
      <w:r>
        <w:rPr>
          <w:b/>
        </w:rPr>
        <w:t xml:space="preserve">17 </w:t>
      </w:r>
      <w:r>
        <w:t xml:space="preserve">Because behold, I send against you deadly serpents for which there is no charming</w:t>
      </w:r>
      <w:r>
        <w:rPr>
          <w:rStyle w:val="FootnoteReference"/>
        </w:rPr>
        <w:footnoteReference w:id="12191"/>
      </w:r>
      <w:r>
        <w:t xml:space="preserve">, and they will bite you.</w:t>
      </w:r>
    </w:p>
    <w:p>
      <w:r>
        <w:rPr>
          <w:b/>
        </w:rPr>
        <w:t xml:space="preserve">18 </w:t>
      </w:r>
      <w:r>
        <w:t xml:space="preserve">Incurable things with pain; your heart is in distress.</w:t>
      </w:r>
    </w:p>
    <w:p>
      <w:r>
        <w:rPr>
          <w:b/>
        </w:rPr>
        <w:t xml:space="preserve">19 </w:t>
      </w:r>
      <w:r>
        <w:t xml:space="preserve">Behold, the voice</w:t>
      </w:r>
      <w:r>
        <w:rPr>
          <w:rStyle w:val="FootnoteReference"/>
        </w:rPr>
        <w:footnoteReference w:id="12192"/>
      </w:r>
      <w:r>
        <w:t xml:space="preserve"> of the cry of the daughter of my people from a far land: Is the Lord not in Zion? Is her king not there? Why did they provoke me with their carved images and foreign vanities</w:t>
      </w:r>
      <w:r>
        <w:rPr>
          <w:rStyle w:val="FootnoteReference"/>
        </w:rPr>
        <w:footnoteReference w:id="12193"/>
      </w:r>
      <w:r>
        <w:t xml:space="preserve">?</w:t>
      </w:r>
    </w:p>
    <w:p>
      <w:r>
        <w:rPr>
          <w:b/>
        </w:rPr>
        <w:t xml:space="preserve">20 </w:t>
      </w:r>
      <w:r>
        <w:t xml:space="preserve">Summer passed</w:t>
      </w:r>
      <w:r>
        <w:rPr>
          <w:rStyle w:val="FootnoteReference"/>
        </w:rPr>
        <w:footnoteReference w:id="12194"/>
      </w:r>
      <w:r>
        <w:t xml:space="preserve">, harvest ended, and we were not saved.</w:t>
      </w:r>
    </w:p>
    <w:p>
      <w:r>
        <w:rPr>
          <w:b/>
        </w:rPr>
        <w:t xml:space="preserve">21 </w:t>
      </w:r>
      <w:r>
        <w:t xml:space="preserve">Over the crushing of the daughter of my people I was darkened. Distress seized me, pangs as of a woman giving birth.</w:t>
      </w:r>
    </w:p>
    <w:p>
      <w:r>
        <w:rPr>
          <w:b/>
        </w:rPr>
        <w:t xml:space="preserve">22 </w:t>
      </w:r>
      <w:r>
        <w:t xml:space="preserve">Is there no resin in Gilead</w:t>
      </w:r>
      <w:r>
        <w:rPr>
          <w:rStyle w:val="FootnoteReference"/>
        </w:rPr>
        <w:footnoteReference w:id="12195"/>
      </w:r>
      <w:r>
        <w:t xml:space="preserve">? Is there no physician</w:t>
      </w:r>
      <w:r>
        <w:rPr>
          <w:rStyle w:val="FootnoteReference"/>
        </w:rPr>
        <w:footnoteReference w:id="12196"/>
      </w:r>
      <w:r>
        <w:t xml:space="preserve"> there? Why did healing of the daughter of my people not rise?</w:t>
      </w:r>
    </w:p>
    <w:p>
      <w:r>
        <w:rPr>
          <w:b/>
        </w:rPr>
        <w:t xml:space="preserve">23 </w:t>
      </w:r>
      <w:r>
        <w:t xml:space="preserve">Who will give my head water and my eyes a spring of tears</w:t>
      </w:r>
      <w:r>
        <w:rPr>
          <w:rStyle w:val="FootnoteReference"/>
        </w:rPr>
        <w:footnoteReference w:id="12197"/>
      </w:r>
      <w:r>
        <w:t xml:space="preserve">? And I will weep for this people day and night, for the wounded ones of the daughter of my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Who will give me a last lodging-place in the wilderness, that I may leave my people and go away from them? Because all commit adultery, a company of faithless ones</w:t>
      </w:r>
      <w:r>
        <w:rPr>
          <w:rStyle w:val="FootnoteReference"/>
        </w:rPr>
        <w:footnoteReference w:id="12198"/>
      </w:r>
      <w:r>
        <w:t xml:space="preserve">.</w:t>
      </w:r>
    </w:p>
    <w:p>
      <w:r>
        <w:rPr>
          <w:b/>
        </w:rPr>
        <w:t xml:space="preserve">2 </w:t>
      </w:r>
      <w:r>
        <w:t xml:space="preserve">And they bent their tongue like a bow</w:t>
      </w:r>
      <w:r>
        <w:rPr>
          <w:rStyle w:val="FootnoteReference"/>
        </w:rPr>
        <w:footnoteReference w:id="12199"/>
      </w:r>
      <w:r>
        <w:t xml:space="preserve">: falsehood, and not faithfulness, grew strong on the land, because from evils to evils they went out, and me they did not know.</w:t>
      </w:r>
    </w:p>
    <w:p>
      <w:r>
        <w:rPr>
          <w:b/>
        </w:rPr>
        <w:t xml:space="preserve">3 </w:t>
      </w:r>
      <w:r>
        <w:t xml:space="preserve">Each guard yourselves from your neighbor, and do not trust in your brothers, because every brother will trip by the heel</w:t>
      </w:r>
      <w:r>
        <w:rPr>
          <w:rStyle w:val="FootnoteReference"/>
        </w:rPr>
        <w:footnoteReference w:id="12200"/>
      </w:r>
      <w:r>
        <w:t xml:space="preserve">, and every friend will walk deceitfully.</w:t>
      </w:r>
    </w:p>
    <w:p>
      <w:r>
        <w:rPr>
          <w:b/>
        </w:rPr>
        <w:t xml:space="preserve">4 </w:t>
      </w:r>
      <w:r>
        <w:t xml:space="preserve">Each will mock his friend; they will certainly not speak truth. Their tongue has learned to speak lies. They did wrong and did not cease from turning back.</w:t>
      </w:r>
    </w:p>
    <w:p>
      <w:r>
        <w:rPr>
          <w:b/>
        </w:rPr>
        <w:t xml:space="preserve">5 </w:t>
      </w:r>
      <w:r>
        <w:t xml:space="preserve">Usury upon usury</w:t>
      </w:r>
      <w:r>
        <w:rPr>
          <w:rStyle w:val="FootnoteReference"/>
        </w:rPr>
        <w:footnoteReference w:id="12201"/>
      </w:r>
      <w:r>
        <w:t xml:space="preserve">, deceit upon deceit; they did not want to know me.</w:t>
      </w:r>
    </w:p>
    <w:p>
      <w:r>
        <w:rPr>
          <w:b/>
        </w:rPr>
        <w:t xml:space="preserve">6 </w:t>
      </w:r>
      <w:r>
        <w:t xml:space="preserve">Therefore thus says the Lord: Behold, I will refine them and test them, because what shall I do before the evil of the daughter of my people?</w:t>
      </w:r>
    </w:p>
    <w:p>
      <w:r>
        <w:rPr>
          <w:b/>
        </w:rPr>
        <w:t xml:space="preserve">7 </w:t>
      </w:r>
      <w:r>
        <w:t xml:space="preserve">Their tongue is a wounding arrow</w:t>
      </w:r>
      <w:r>
        <w:rPr>
          <w:rStyle w:val="FootnoteReference"/>
        </w:rPr>
        <w:footnoteReference w:id="12202"/>
      </w:r>
      <w:r>
        <w:t xml:space="preserve">; words of their mouth are deceitful. To his neighbor he speaks peaceful things, but within himself he holds enmity.</w:t>
      </w:r>
    </w:p>
    <w:p>
      <w:r>
        <w:rPr>
          <w:b/>
        </w:rPr>
        <w:t xml:space="preserve">8 </w:t>
      </w:r>
      <w:r>
        <w:t xml:space="preserve">Shall I not visit for these things? says the Lord. Shall not my soul take vengeance on such a people?</w:t>
      </w:r>
    </w:p>
    <w:p>
      <w:r>
        <w:rPr>
          <w:b/>
        </w:rPr>
        <w:t xml:space="preserve">9 </w:t>
      </w:r>
      <w:r>
        <w:t xml:space="preserve">Take up mourning over the mountains and lament over the paths of the wilderness, because they failed so that there are no men, and they did not hear the sound of life</w:t>
      </w:r>
      <w:r>
        <w:rPr>
          <w:rStyle w:val="FootnoteReference"/>
        </w:rPr>
        <w:footnoteReference w:id="12203"/>
      </w:r>
      <w:r>
        <w:t xml:space="preserve">; from the birds of heaven even to cattle, they were startled and went away.</w:t>
      </w:r>
    </w:p>
    <w:p>
      <w:r>
        <w:rPr>
          <w:b/>
        </w:rPr>
        <w:t xml:space="preserve">10 </w:t>
      </w:r>
      <w:r>
        <w:t xml:space="preserve">And I will give Jerusalem into exile and a dwelling-place of dragons</w:t>
      </w:r>
      <w:r>
        <w:rPr>
          <w:rStyle w:val="FootnoteReference"/>
        </w:rPr>
        <w:footnoteReference w:id="12204"/>
      </w:r>
      <w:r>
        <w:t xml:space="preserve">, and I will make the cities of Judah a desolation, so as not to be inhabited.</w:t>
      </w:r>
    </w:p>
    <w:p>
      <w:r>
        <w:rPr>
          <w:b/>
        </w:rPr>
        <w:t xml:space="preserve">11 </w:t>
      </w:r>
      <w:r>
        <w:t xml:space="preserve">Who is the wise man? Let him understand this. And to whom the word from the mouth of the Lord came, let him declare to you: Why did the land perish, burned like a wilderness, so as not to be passed through?</w:t>
      </w:r>
    </w:p>
    <w:p>
      <w:r>
        <w:rPr>
          <w:b/>
        </w:rPr>
        <w:t xml:space="preserve">12 </w:t>
      </w:r>
      <w:r>
        <w:t xml:space="preserve">And the Lord said to me: Because they abandoned my law which I gave before them and did not hear my voice,</w:t>
      </w:r>
    </w:p>
    <w:p>
      <w:r>
        <w:rPr>
          <w:b/>
        </w:rPr>
        <w:t xml:space="preserve">13 </w:t>
      </w:r>
      <w:r>
        <w:t xml:space="preserve">but went after the things pleasing to their evil heart</w:t>
      </w:r>
      <w:r>
        <w:rPr>
          <w:rStyle w:val="FootnoteReference"/>
        </w:rPr>
        <w:footnoteReference w:id="12205"/>
      </w:r>
      <w:r>
        <w:t xml:space="preserve"> and after idols which their fathers taught them,</w:t>
      </w:r>
    </w:p>
    <w:p>
      <w:r>
        <w:rPr>
          <w:b/>
        </w:rPr>
        <w:t xml:space="preserve">14 </w:t>
      </w:r>
      <w:r>
        <w:t xml:space="preserve">Therefore thus says the Lord God of Israel: Behold, I will feed them with hardships and give them water of gall</w:t>
      </w:r>
      <w:r>
        <w:rPr>
          <w:rStyle w:val="FootnoteReference"/>
        </w:rPr>
        <w:footnoteReference w:id="12206"/>
      </w:r>
      <w:r>
        <w:t xml:space="preserve"> to drink.</w:t>
      </w:r>
    </w:p>
    <w:p>
      <w:r>
        <w:rPr>
          <w:b/>
        </w:rPr>
        <w:t xml:space="preserve">15 </w:t>
      </w:r>
      <w:r>
        <w:t xml:space="preserve">And I will scatter them among nations which neither they nor their fathers knew, and I will send sword after them until I consume them by it.</w:t>
      </w:r>
    </w:p>
    <w:p>
      <w:r>
        <w:rPr>
          <w:b/>
        </w:rPr>
        <w:t xml:space="preserve">16 </w:t>
      </w:r>
      <w:r>
        <w:t xml:space="preserve">Thus says the Lord: Call the mourning women</w:t>
      </w:r>
      <w:r>
        <w:rPr>
          <w:rStyle w:val="FootnoteReference"/>
        </w:rPr>
        <w:footnoteReference w:id="12207"/>
      </w:r>
      <w:r>
        <w:t xml:space="preserve"> and let them come, and send to the wise women and let them speak,</w:t>
      </w:r>
    </w:p>
    <w:p>
      <w:r>
        <w:rPr>
          <w:b/>
        </w:rPr>
        <w:t xml:space="preserve">17 </w:t>
      </w:r>
      <w:r>
        <w:t xml:space="preserve">and let them take up lament over you, and let your eyes bring down tears and your eyelids flow with water.</w:t>
      </w:r>
    </w:p>
    <w:p>
      <w:r>
        <w:rPr>
          <w:b/>
        </w:rPr>
        <w:t xml:space="preserve">18 </w:t>
      </w:r>
      <w:r>
        <w:t xml:space="preserve">Because the voice of lament was heard in Zion: How we were made miserable! We were greatly ashamed, because we abandoned the land and threw away our tents.</w:t>
      </w:r>
    </w:p>
    <w:p>
      <w:r>
        <w:rPr>
          <w:b/>
        </w:rPr>
        <w:t xml:space="preserve">19 </w:t>
      </w:r>
      <w:r>
        <w:t xml:space="preserve">Hear now, women, the word of God, and let your ears receive words from his mouth. Teach your daughters lament and each woman her neighbor mourning.</w:t>
      </w:r>
    </w:p>
    <w:p>
      <w:r>
        <w:rPr>
          <w:b/>
        </w:rPr>
        <w:t xml:space="preserve">20 </w:t>
      </w:r>
      <w:r>
        <w:t xml:space="preserve">Because death came up through your windows</w:t>
      </w:r>
      <w:r>
        <w:rPr>
          <w:rStyle w:val="FootnoteReference"/>
        </w:rPr>
        <w:footnoteReference w:id="12208"/>
      </w:r>
      <w:r>
        <w:t xml:space="preserve">, entered your land, to destroy infants outside and young men from the broad places.</w:t>
      </w:r>
    </w:p>
    <w:p>
      <w:r>
        <w:rPr>
          <w:b/>
        </w:rPr>
        <w:t xml:space="preserve">21 </w:t>
      </w:r>
      <w:r>
        <w:t xml:space="preserve">And the dead bodies of men will be an example upon the face of the field of your land, and like grass behind the reaper, and none will gather.</w:t>
      </w:r>
    </w:p>
    <w:p>
      <w:r>
        <w:rPr>
          <w:b/>
        </w:rPr>
        <w:t xml:space="preserve">22 </w:t>
      </w:r>
      <w:r>
        <w:t xml:space="preserve">Thus says the Lord: Let not the wise man boast in his wisdom, and let not the strong man boast in his strength, and let not the rich man boast in his riches,</w:t>
      </w:r>
    </w:p>
    <w:p>
      <w:r>
        <w:rPr>
          <w:b/>
        </w:rPr>
        <w:t xml:space="preserve">23 </w:t>
      </w:r>
      <w:r>
        <w:t xml:space="preserve">but in this let the one boasting boast: to understand and know that I am the Lord</w:t>
      </w:r>
      <w:r>
        <w:rPr>
          <w:rStyle w:val="FootnoteReference"/>
        </w:rPr>
        <w:footnoteReference w:id="12209"/>
      </w:r>
      <w:r>
        <w:t xml:space="preserve">, doing mercy and judgment and righteousness on the earth, because in these is my will, says the Lord.</w:t>
      </w:r>
      <w:r>
        <w:rPr>
          <w:rStyle w:val="FootnoteReference"/>
        </w:rPr>
        <w:footnoteReference w:id="12210"/>
      </w:r>
    </w:p>
    <w:p>
      <w:r>
        <w:rPr>
          <w:b/>
        </w:rPr>
        <w:t xml:space="preserve">24 </w:t>
      </w:r>
      <w:r>
        <w:t xml:space="preserve">Behold, days come, says the Lord, and I will visit all circumcised in their foreskin:</w:t>
      </w:r>
    </w:p>
    <w:p>
      <w:r>
        <w:rPr>
          <w:b/>
        </w:rPr>
        <w:t xml:space="preserve">25 </w:t>
      </w:r>
      <w:r>
        <w:t xml:space="preserve">upon Egypt and upon Judah and upon Edom and upon the sons of Ammon and upon the sons of Moab and upon all those who clip the hair around the face</w:t>
      </w:r>
      <w:r>
        <w:rPr>
          <w:rStyle w:val="FootnoteReference"/>
        </w:rPr>
        <w:footnoteReference w:id="12211"/>
      </w:r>
      <w:r>
        <w:t xml:space="preserve">, those dwelling in the wilderness, because all nations are uncircumcised in flesh and all the house of Israel are uncircumcised in their hearts.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Hear the word of the Lord which he spoke concerning you, house of Israel.</w:t>
      </w:r>
    </w:p>
    <w:p>
      <w:r>
        <w:rPr>
          <w:b/>
        </w:rPr>
        <w:t xml:space="preserve">2 </w:t>
      </w:r>
      <w:r>
        <w:t xml:space="preserve">Thus says the Lord: Do not learn</w:t>
      </w:r>
      <w:r>
        <w:rPr>
          <w:rStyle w:val="FootnoteReference"/>
        </w:rPr>
        <w:footnoteReference w:id="12212"/>
      </w:r>
      <w:r>
        <w:t xml:space="preserve"> according to the ways of the nations</w:t>
      </w:r>
      <w:r>
        <w:rPr>
          <w:rStyle w:val="FootnoteReference"/>
        </w:rPr>
        <w:footnoteReference w:id="12213"/>
      </w:r>
      <w:r>
        <w:t xml:space="preserve">, and do not fear the signs of heaven, because they fear them before their faces.</w:t>
      </w:r>
    </w:p>
    <w:p>
      <w:r>
        <w:rPr>
          <w:b/>
        </w:rPr>
        <w:t xml:space="preserve">3 </w:t>
      </w:r>
      <w:r>
        <w:t xml:space="preserve">Because the customs</w:t>
      </w:r>
      <w:r>
        <w:rPr>
          <w:rStyle w:val="FootnoteReference"/>
        </w:rPr>
        <w:footnoteReference w:id="12214"/>
      </w:r>
      <w:r>
        <w:t xml:space="preserve"> of nations are vain. It is a tree cut out of the forest</w:t>
      </w:r>
      <w:r>
        <w:rPr>
          <w:rStyle w:val="FootnoteReference"/>
        </w:rPr>
        <w:footnoteReference w:id="12215"/>
      </w:r>
      <w:r>
        <w:t xml:space="preserve">, work of a carpenter and a casting.</w:t>
      </w:r>
    </w:p>
    <w:p>
      <w:r>
        <w:rPr>
          <w:b/>
        </w:rPr>
        <w:t xml:space="preserve">4 </w:t>
      </w:r>
      <w:r>
        <w:t xml:space="preserve">They are adorned with silver and gold. With hammers and nails they fastened them and they will not move.</w:t>
      </w:r>
    </w:p>
    <w:p>
      <w:r>
        <w:rPr>
          <w:b/>
        </w:rPr>
        <w:t xml:space="preserve">5 </w:t>
      </w:r>
      <w:r>
        <w:t xml:space="preserve">Carried, they will be carried, because they will not step</w:t>
      </w:r>
      <w:r>
        <w:rPr>
          <w:rStyle w:val="FootnoteReference"/>
        </w:rPr>
        <w:footnoteReference w:id="12216"/>
      </w:r>
      <w:r>
        <w:t xml:space="preserve">. Do not fear them, because they surely will not do evil</w:t>
      </w:r>
      <w:r>
        <w:rPr>
          <w:rStyle w:val="FootnoteReference"/>
        </w:rPr>
        <w:footnoteReference w:id="12217"/>
      </w:r>
      <w:r>
        <w:t xml:space="preserve">, and there is no good in them.</w:t>
      </w:r>
    </w:p>
    <w:p>
      <w:r>
        <w:rPr>
          <w:b/>
        </w:rPr>
        <w:t xml:space="preserve">9 </w:t>
      </w:r>
      <w:r>
        <w:t xml:space="preserve">There is beaten silver</w:t>
      </w:r>
      <w:r>
        <w:rPr>
          <w:rStyle w:val="FootnoteReference"/>
        </w:rPr>
        <w:footnoteReference w:id="12218"/>
      </w:r>
      <w:r>
        <w:t xml:space="preserve">; they will not walk. Refined silver will come from Tarshish, gold from Uphaz</w:t>
      </w:r>
      <w:r>
        <w:rPr>
          <w:rStyle w:val="FootnoteReference"/>
        </w:rPr>
        <w:footnoteReference w:id="12219"/>
      </w:r>
      <w:r>
        <w:t xml:space="preserve">, handwork of goldsmiths, works of craftsmen. They will clothe them in blue and purple.</w:t>
      </w:r>
    </w:p>
    <w:p>
      <w:r>
        <w:rPr>
          <w:b/>
        </w:rPr>
        <w:t xml:space="preserve">11 </w:t>
      </w:r>
      <w:r>
        <w:t xml:space="preserve">Thus</w:t>
      </w:r>
      <w:r>
        <w:rPr>
          <w:rStyle w:val="FootnoteReference"/>
        </w:rPr>
        <w:footnoteReference w:id="12220"/>
      </w:r>
      <w:r>
        <w:t xml:space="preserve"> you will say to them: The gods who did not make</w:t>
      </w:r>
      <w:r>
        <w:rPr>
          <w:rStyle w:val="FootnoteReference"/>
        </w:rPr>
        <w:footnoteReference w:id="12221"/>
      </w:r>
      <w:r>
        <w:t xml:space="preserve"> heaven and earth, let them perish from the earth and from under this heaven.</w:t>
      </w:r>
    </w:p>
    <w:p>
      <w:r>
        <w:rPr>
          <w:b/>
        </w:rPr>
        <w:t xml:space="preserve">12 </w:t>
      </w:r>
      <w:r>
        <w:t xml:space="preserve">The Lord is the one making the earth</w:t>
      </w:r>
      <w:r>
        <w:rPr>
          <w:rStyle w:val="FootnoteReference"/>
        </w:rPr>
        <w:footnoteReference w:id="12222"/>
      </w:r>
      <w:r>
        <w:t xml:space="preserve"> by his strength, the one setting upright the inhabited world by his wisdom, and by his understanding stretched</w:t>
      </w:r>
      <w:r>
        <w:rPr>
          <w:rStyle w:val="FootnoteReference"/>
        </w:rPr>
        <w:footnoteReference w:id="12223"/>
      </w:r>
      <w:r>
        <w:t xml:space="preserve"> out heaven.</w:t>
      </w:r>
    </w:p>
    <w:p>
      <w:r>
        <w:rPr>
          <w:b/>
        </w:rPr>
        <w:t xml:space="preserve">13 </w:t>
      </w:r>
      <w:r>
        <w:t xml:space="preserve">And there is abundance of water in heaven, and he brought up clouds from the end of the earth, made lightning for rain</w:t>
      </w:r>
      <w:r>
        <w:rPr>
          <w:rStyle w:val="FootnoteReference"/>
        </w:rPr>
        <w:footnoteReference w:id="12224"/>
      </w:r>
      <w:r>
        <w:t xml:space="preserve">, and brought out light from his treasuries.</w:t>
      </w:r>
    </w:p>
    <w:p>
      <w:r>
        <w:rPr>
          <w:b/>
        </w:rPr>
        <w:t xml:space="preserve">14 </w:t>
      </w:r>
      <w:r>
        <w:t xml:space="preserve">Every man was made foolish apart from knowledge. Every goldsmith was ashamed over his carved things, because they cast lies; there is no breath in them</w:t>
      </w:r>
      <w:r>
        <w:rPr>
          <w:rStyle w:val="FootnoteReference"/>
        </w:rPr>
        <w:footnoteReference w:id="12225"/>
      </w:r>
      <w:r>
        <w:t xml:space="preserve">.</w:t>
      </w:r>
    </w:p>
    <w:p>
      <w:r>
        <w:rPr>
          <w:b/>
        </w:rPr>
        <w:t xml:space="preserve">15 </w:t>
      </w:r>
      <w:r>
        <w:t xml:space="preserve">They are vanities, works made a mockery. In the time of their visitation they will perish.</w:t>
      </w:r>
    </w:p>
    <w:p>
      <w:r>
        <w:rPr>
          <w:b/>
        </w:rPr>
        <w:t xml:space="preserve">16 </w:t>
      </w:r>
      <w:r>
        <w:t xml:space="preserve">Not like these is the portion of Jacob</w:t>
      </w:r>
      <w:r>
        <w:rPr>
          <w:rStyle w:val="FootnoteReference"/>
        </w:rPr>
        <w:footnoteReference w:id="12226"/>
      </w:r>
      <w:r>
        <w:t xml:space="preserve">, because the one shaping all things, he is his inheritance. The Lord is his name.</w:t>
      </w:r>
      <w:r>
        <w:rPr>
          <w:rStyle w:val="FootnoteReference"/>
        </w:rPr>
        <w:footnoteReference w:id="12227"/>
      </w:r>
    </w:p>
    <w:p>
      <w:r>
        <w:rPr>
          <w:b/>
        </w:rPr>
        <w:t xml:space="preserve">17 </w:t>
      </w:r>
      <w:r>
        <w:t xml:space="preserve">Gather your substance from outside, you dwelling among chosen places.</w:t>
      </w:r>
    </w:p>
    <w:p>
      <w:r>
        <w:rPr>
          <w:b/>
        </w:rPr>
        <w:t xml:space="preserve">18 </w:t>
      </w:r>
      <w:r>
        <w:t xml:space="preserve">Because thus says the Lord: Behold, I sling out the inhabitants of this land in affliction, so that your wound may be found.</w:t>
      </w:r>
    </w:p>
    <w:p>
      <w:r>
        <w:rPr>
          <w:b/>
        </w:rPr>
        <w:t xml:space="preserve">19 </w:t>
      </w:r>
      <w:r>
        <w:t xml:space="preserve">Woe over your crushing; your wound is painful. And I said, Truly</w:t>
      </w:r>
      <w:r>
        <w:rPr>
          <w:rStyle w:val="FootnoteReference"/>
        </w:rPr>
        <w:footnoteReference w:id="12228"/>
      </w:r>
      <w:r>
        <w:t xml:space="preserve"> this is my blow, and it seized me.</w:t>
      </w:r>
    </w:p>
    <w:p>
      <w:r>
        <w:rPr>
          <w:b/>
        </w:rPr>
        <w:t xml:space="preserve">20 </w:t>
      </w:r>
      <w:r>
        <w:t xml:space="preserve">My tent was made miserable and perished, and all my skins were torn apart. My sons and my sheep are not. There is no longer a place for my tent, a place for my skins.</w:t>
      </w:r>
      <w:r>
        <w:rPr>
          <w:rStyle w:val="FootnoteReference"/>
        </w:rPr>
        <w:footnoteReference w:id="12229"/>
      </w:r>
    </w:p>
    <w:p>
      <w:r>
        <w:rPr>
          <w:b/>
        </w:rPr>
        <w:t xml:space="preserve">21 </w:t>
      </w:r>
      <w:r>
        <w:t xml:space="preserve">Because the shepherds acted foolishly</w:t>
      </w:r>
      <w:r>
        <w:rPr>
          <w:rStyle w:val="FootnoteReference"/>
        </w:rPr>
        <w:footnoteReference w:id="12230"/>
      </w:r>
      <w:r>
        <w:t xml:space="preserve"> and did not seek the Lord. Therefore the whole pasture did not understand, and they were scattered.</w:t>
      </w:r>
    </w:p>
    <w:p>
      <w:r>
        <w:rPr>
          <w:b/>
        </w:rPr>
        <w:t xml:space="preserve">22 </w:t>
      </w:r>
      <w:r>
        <w:t xml:space="preserve">The voice of report, behold, comes, and great shaking from the land of the north, to make the cities of Judah a desolation and a lodging-place of sparrows</w:t>
      </w:r>
      <w:r>
        <w:rPr>
          <w:rStyle w:val="FootnoteReference"/>
        </w:rPr>
        <w:footnoteReference w:id="12231"/>
      </w:r>
      <w:r>
        <w:t xml:space="preserve">.</w:t>
      </w:r>
    </w:p>
    <w:p>
      <w:r>
        <w:rPr>
          <w:b/>
        </w:rPr>
        <w:t xml:space="preserve">23 </w:t>
      </w:r>
      <w:r>
        <w:t xml:space="preserve">I know, Lord, that the way of man is not his own</w:t>
      </w:r>
      <w:r>
        <w:rPr>
          <w:rStyle w:val="FootnoteReference"/>
        </w:rPr>
        <w:footnoteReference w:id="12232"/>
      </w:r>
      <w:r>
        <w:t xml:space="preserve">, nor will a man walk and direct his path.</w:t>
      </w:r>
    </w:p>
    <w:p>
      <w:r>
        <w:rPr>
          <w:b/>
        </w:rPr>
        <w:t xml:space="preserve">24 </w:t>
      </w:r>
      <w:r>
        <w:t xml:space="preserve">Discipline us, Lord, but in judgment and not in wrath, lest you make us few.</w:t>
      </w:r>
    </w:p>
    <w:p>
      <w:r>
        <w:rPr>
          <w:b/>
        </w:rPr>
        <w:t xml:space="preserve">25 </w:t>
      </w:r>
      <w:r>
        <w:t xml:space="preserve">Pour</w:t>
      </w:r>
      <w:r>
        <w:rPr>
          <w:rStyle w:val="FootnoteReference"/>
        </w:rPr>
        <w:footnoteReference w:id="12233"/>
      </w:r>
      <w:r>
        <w:t xml:space="preserve"> out your wrath on the nations not knowing you and on families who did not call upon your name</w:t>
      </w:r>
      <w:r>
        <w:rPr>
          <w:rStyle w:val="FootnoteReference"/>
        </w:rPr>
        <w:footnoteReference w:id="12234"/>
      </w:r>
      <w:r>
        <w:t xml:space="preserve">, because they devoured Jacob and consumed him and made his pasture desolate.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The word that came from the Lord to Jeremiah, saying,</w:t>
      </w:r>
    </w:p>
    <w:p>
      <w:r>
        <w:rPr>
          <w:b/>
        </w:rPr>
        <w:t xml:space="preserve">2 </w:t>
      </w:r>
      <w:r>
        <w:t xml:space="preserve">Hear the words of this covenant</w:t>
      </w:r>
      <w:r>
        <w:rPr>
          <w:rStyle w:val="FootnoteReference"/>
        </w:rPr>
        <w:footnoteReference w:id="12235"/>
      </w:r>
      <w:r>
        <w:t xml:space="preserve"> and speak to the men of Judah and to the inhabitants of Jerusalem,</w:t>
      </w:r>
    </w:p>
    <w:p>
      <w:r>
        <w:rPr>
          <w:b/>
        </w:rPr>
        <w:t xml:space="preserve">3 </w:t>
      </w:r>
      <w:r>
        <w:t xml:space="preserve">and you will say to them, Thus says the Lord God of Israel: Cursed is the man who will not hear the words of this covenant,</w:t>
      </w:r>
    </w:p>
    <w:p>
      <w:r>
        <w:rPr>
          <w:b/>
        </w:rPr>
        <w:t xml:space="preserve">4 </w:t>
      </w:r>
      <w:r>
        <w:t xml:space="preserve">which I commanded</w:t>
      </w:r>
      <w:r>
        <w:rPr>
          <w:rStyle w:val="FootnoteReference"/>
        </w:rPr>
        <w:footnoteReference w:id="12236"/>
      </w:r>
      <w:r>
        <w:t xml:space="preserve"> your fathers on the day I brought them up from the land of Egypt, from an iron furnace</w:t>
      </w:r>
      <w:r>
        <w:rPr>
          <w:rStyle w:val="FootnoteReference"/>
        </w:rPr>
        <w:footnoteReference w:id="12237"/>
      </w:r>
      <w:r>
        <w:t xml:space="preserve">, saying, Hear my voice and do all whatever I command you, and you will be my people and I will be your God,</w:t>
      </w:r>
    </w:p>
    <w:p>
      <w:r>
        <w:rPr>
          <w:b/>
        </w:rPr>
        <w:t xml:space="preserve">5 </w:t>
      </w:r>
      <w:r>
        <w:t xml:space="preserve">so that I may establish my oath which I swore to your fathers, to give them a land flowing with milk and honey</w:t>
      </w:r>
      <w:r>
        <w:rPr>
          <w:rStyle w:val="FootnoteReference"/>
        </w:rPr>
        <w:footnoteReference w:id="12238"/>
      </w:r>
      <w:r>
        <w:t xml:space="preserve">, as it is this day. And I answered and said, So be it, Lord.</w:t>
      </w:r>
      <w:r>
        <w:rPr>
          <w:rStyle w:val="FootnoteReference"/>
        </w:rPr>
        <w:footnoteReference w:id="12239"/>
      </w:r>
    </w:p>
    <w:p>
      <w:r>
        <w:rPr>
          <w:b/>
        </w:rPr>
        <w:t xml:space="preserve">6 </w:t>
      </w:r>
      <w:r>
        <w:t xml:space="preserve">And the Lord said to me, Read these words in the cities of Judah and outside Jerusalem, saying, Hear</w:t>
      </w:r>
      <w:r>
        <w:rPr>
          <w:rStyle w:val="FootnoteReference"/>
        </w:rPr>
        <w:footnoteReference w:id="12240"/>
      </w:r>
      <w:r>
        <w:t xml:space="preserve"> the words of this covenant and do them.</w:t>
      </w:r>
    </w:p>
    <w:p>
      <w:r>
        <w:rPr>
          <w:b/>
        </w:rPr>
        <w:t xml:space="preserve">8 </w:t>
      </w:r>
      <w:r>
        <w:t xml:space="preserve">And they did not do them.</w:t>
      </w:r>
    </w:p>
    <w:p>
      <w:r>
        <w:rPr>
          <w:b/>
        </w:rPr>
        <w:t xml:space="preserve">9 </w:t>
      </w:r>
      <w:r>
        <w:t xml:space="preserve">And the Lord said to me, A conspiracy was found</w:t>
      </w:r>
      <w:r>
        <w:rPr>
          <w:rStyle w:val="FootnoteReference"/>
        </w:rPr>
        <w:footnoteReference w:id="12241"/>
      </w:r>
      <w:r>
        <w:t xml:space="preserve"> among the men of Judah and among the inhabitants of Jerusalem.</w:t>
      </w:r>
    </w:p>
    <w:p>
      <w:r>
        <w:rPr>
          <w:b/>
        </w:rPr>
        <w:t xml:space="preserve">10 </w:t>
      </w:r>
      <w:r>
        <w:t xml:space="preserve">They turned</w:t>
      </w:r>
      <w:r>
        <w:rPr>
          <w:rStyle w:val="FootnoteReference"/>
        </w:rPr>
        <w:footnoteReference w:id="12242"/>
      </w:r>
      <w:r>
        <w:t xml:space="preserve"> back to the injustices of their former fathers, who did not want to hear my words, and behold, they walk after foreign gods</w:t>
      </w:r>
      <w:r>
        <w:rPr>
          <w:rStyle w:val="FootnoteReference"/>
        </w:rPr>
        <w:footnoteReference w:id="12243"/>
      </w:r>
      <w:r>
        <w:t xml:space="preserve"> to serve them. The house of Israel and the house of Judah broke my covenant which I made with their fathers.</w:t>
      </w:r>
    </w:p>
    <w:p>
      <w:r>
        <w:rPr>
          <w:b/>
        </w:rPr>
        <w:t xml:space="preserve">11 </w:t>
      </w:r>
      <w:r>
        <w:t xml:space="preserve">Therefore thus says the Lord: Behold, I bring on this people evils from which they will not be able to go out, and they will cry to me and I will not hear them.</w:t>
      </w:r>
    </w:p>
    <w:p>
      <w:r>
        <w:rPr>
          <w:b/>
        </w:rPr>
        <w:t xml:space="preserve">12 </w:t>
      </w:r>
      <w:r>
        <w:t xml:space="preserve">And the cities of Judah and the inhabitants of Jerusalem will go and cry to the gods to whom they burn incense; they surely will not save them in the time of their evils.</w:t>
      </w:r>
    </w:p>
    <w:p>
      <w:r>
        <w:rPr>
          <w:b/>
        </w:rPr>
        <w:t xml:space="preserve">13 </w:t>
      </w:r>
      <w:r>
        <w:t xml:space="preserve">Because according to the number of your cities were your gods, Judah, and according to the number of streets of Jerusalem you set up altars</w:t>
      </w:r>
      <w:r>
        <w:rPr>
          <w:rStyle w:val="FootnoteReference"/>
        </w:rPr>
        <w:footnoteReference w:id="12244"/>
      </w:r>
      <w:r>
        <w:t xml:space="preserve"> to burn incense to Baal.</w:t>
      </w:r>
    </w:p>
    <w:p>
      <w:r>
        <w:rPr>
          <w:b/>
        </w:rPr>
        <w:t xml:space="preserve">14 </w:t>
      </w:r>
      <w:r>
        <w:t xml:space="preserve">And you, do not pray</w:t>
      </w:r>
      <w:r>
        <w:rPr>
          <w:rStyle w:val="FootnoteReference"/>
        </w:rPr>
        <w:footnoteReference w:id="12245"/>
      </w:r>
      <w:r>
        <w:t xml:space="preserve"> concerning this people and do not ask concerning them in supplication and prayer, because I will not hear when they call upon me</w:t>
      </w:r>
      <w:r>
        <w:rPr>
          <w:rStyle w:val="FootnoteReference"/>
        </w:rPr>
        <w:footnoteReference w:id="12246"/>
      </w:r>
      <w:r>
        <w:t xml:space="preserve"> in the time of their affliction.</w:t>
      </w:r>
    </w:p>
    <w:p>
      <w:r>
        <w:rPr>
          <w:b/>
        </w:rPr>
        <w:t xml:space="preserve">15 </w:t>
      </w:r>
      <w:r>
        <w:t xml:space="preserve">Why has my beloved done abomination in my house? Will vows and holy flesh</w:t>
      </w:r>
      <w:r>
        <w:rPr>
          <w:rStyle w:val="FootnoteReference"/>
        </w:rPr>
        <w:footnoteReference w:id="12247"/>
      </w:r>
      <w:r>
        <w:t xml:space="preserve"> remove your evils from you, or will you escape by these?</w:t>
      </w:r>
    </w:p>
    <w:p>
      <w:r>
        <w:rPr>
          <w:b/>
        </w:rPr>
        <w:t xml:space="preserve">16 </w:t>
      </w:r>
      <w:r>
        <w:t xml:space="preserve">A beautiful olive tree</w:t>
      </w:r>
      <w:r>
        <w:rPr>
          <w:rStyle w:val="FootnoteReference"/>
        </w:rPr>
        <w:footnoteReference w:id="12248"/>
      </w:r>
      <w:r>
        <w:t xml:space="preserve">, fair in appearance, the Lord called your name. At the sound of its pruning, fire was kindled on it. Great affliction came on you; its branches were made useless.</w:t>
      </w:r>
    </w:p>
    <w:p>
      <w:r>
        <w:rPr>
          <w:b/>
        </w:rPr>
        <w:t xml:space="preserve">17 </w:t>
      </w:r>
      <w:r>
        <w:t xml:space="preserve">And the Lord who planted you spoke evils against you because of the evil of the house of Israel and the house of Judah, because they did for themselves things to provoke me by their burning incense to Baal.</w:t>
      </w:r>
    </w:p>
    <w:p>
      <w:r>
        <w:rPr>
          <w:b/>
        </w:rPr>
        <w:t xml:space="preserve">18 </w:t>
      </w:r>
      <w:r>
        <w:t xml:space="preserve">Lord, make it known to me and I will know; then I saw their practices.</w:t>
      </w:r>
    </w:p>
    <w:p>
      <w:r>
        <w:rPr>
          <w:b/>
        </w:rPr>
        <w:t xml:space="preserve">19 </w:t>
      </w:r>
      <w:r>
        <w:t xml:space="preserve">And I was</w:t>
      </w:r>
      <w:r>
        <w:rPr>
          <w:rStyle w:val="FootnoteReference"/>
        </w:rPr>
        <w:footnoteReference w:id="12249"/>
      </w:r>
      <w:r>
        <w:t xml:space="preserve"> like an innocent lamb led to be sacrificed. I did not know they reasoned an evil thought against me, saying, Come and let us cast wood into his bread</w:t>
      </w:r>
      <w:r>
        <w:rPr>
          <w:rStyle w:val="FootnoteReference"/>
        </w:rPr>
        <w:footnoteReference w:id="12250"/>
      </w:r>
      <w:r>
        <w:t xml:space="preserve"> and wipe him out from the land of the living, and his name shall no longer be remembered.</w:t>
      </w:r>
    </w:p>
    <w:p>
      <w:r>
        <w:rPr>
          <w:b/>
        </w:rPr>
        <w:t xml:space="preserve">20 </w:t>
      </w:r>
      <w:r>
        <w:t xml:space="preserve">Lord, judging righteous things, testing kidneys and heart</w:t>
      </w:r>
      <w:r>
        <w:rPr>
          <w:rStyle w:val="FootnoteReference"/>
        </w:rPr>
        <w:footnoteReference w:id="12251"/>
      </w:r>
      <w:r>
        <w:t xml:space="preserve">, let me see your vengeance from them, because to you I revealed</w:t>
      </w:r>
      <w:r>
        <w:rPr>
          <w:rStyle w:val="FootnoteReference"/>
        </w:rPr>
        <w:footnoteReference w:id="12252"/>
      </w:r>
      <w:r>
        <w:t xml:space="preserve"> my case.</w:t>
      </w:r>
    </w:p>
    <w:p>
      <w:r>
        <w:rPr>
          <w:b/>
        </w:rPr>
        <w:t xml:space="preserve">21 </w:t>
      </w:r>
      <w:r>
        <w:t xml:space="preserve">Therefore thus says the Lord against the men of Anathoth</w:t>
      </w:r>
      <w:r>
        <w:rPr>
          <w:rStyle w:val="FootnoteReference"/>
        </w:rPr>
        <w:footnoteReference w:id="12253"/>
      </w:r>
      <w:r>
        <w:t xml:space="preserve"> who seek my life, saying, You shall not prophesy</w:t>
      </w:r>
      <w:r>
        <w:rPr>
          <w:rStyle w:val="FootnoteReference"/>
        </w:rPr>
        <w:footnoteReference w:id="12254"/>
      </w:r>
      <w:r>
        <w:t xml:space="preserve"> in the name of the Lord, or else you will die in our hands.</w:t>
      </w:r>
    </w:p>
    <w:p>
      <w:r>
        <w:rPr>
          <w:b/>
        </w:rPr>
        <w:t xml:space="preserve">22 </w:t>
      </w:r>
      <w:r>
        <w:t xml:space="preserve">Behold, I will visit upon them. Their young</w:t>
      </w:r>
      <w:r>
        <w:rPr>
          <w:rStyle w:val="FootnoteReference"/>
        </w:rPr>
        <w:footnoteReference w:id="12255"/>
      </w:r>
      <w:r>
        <w:t xml:space="preserve"> men will die by the sword, and their sons and daughters will die by famine.</w:t>
      </w:r>
    </w:p>
    <w:p>
      <w:r>
        <w:rPr>
          <w:b/>
        </w:rPr>
        <w:t xml:space="preserve">23 </w:t>
      </w:r>
      <w:r>
        <w:t xml:space="preserve">And no remnant of them will exist, because I will bring evils upon the inhabitants of Anathoth in the year</w:t>
      </w:r>
      <w:r>
        <w:rPr>
          <w:rStyle w:val="FootnoteReference"/>
        </w:rPr>
        <w:footnoteReference w:id="12256"/>
      </w:r>
      <w:r>
        <w:t xml:space="preserve"> of their visitation.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You are righteous</w:t>
      </w:r>
      <w:r>
        <w:rPr>
          <w:rStyle w:val="FootnoteReference"/>
        </w:rPr>
        <w:footnoteReference w:id="12257"/>
      </w:r>
      <w:r>
        <w:t xml:space="preserve">, Lord, because I will make my defense to you; yet I will speak judgments to you: Why does the way of the ungodly</w:t>
      </w:r>
      <w:r>
        <w:rPr>
          <w:rStyle w:val="FootnoteReference"/>
        </w:rPr>
        <w:footnoteReference w:id="12258"/>
      </w:r>
      <w:r>
        <w:t xml:space="preserve"> prosper? All who act faithlessly with faithless acts flourished.</w:t>
      </w:r>
    </w:p>
    <w:p>
      <w:r>
        <w:rPr>
          <w:b/>
        </w:rPr>
        <w:t xml:space="preserve">2 </w:t>
      </w:r>
      <w:r>
        <w:t xml:space="preserve">You planted them and they took root. They bore children and made fruit. You are near</w:t>
      </w:r>
      <w:r>
        <w:rPr>
          <w:rStyle w:val="FootnoteReference"/>
        </w:rPr>
        <w:footnoteReference w:id="12259"/>
      </w:r>
      <w:r>
        <w:t xml:space="preserve"> in their mouth and far from their kidneys</w:t>
      </w:r>
      <w:r>
        <w:rPr>
          <w:rStyle w:val="FootnoteReference"/>
        </w:rPr>
        <w:footnoteReference w:id="12260"/>
      </w:r>
      <w:r>
        <w:t xml:space="preserve">.</w:t>
      </w:r>
    </w:p>
    <w:p>
      <w:r>
        <w:rPr>
          <w:b/>
        </w:rPr>
        <w:t xml:space="preserve">3 </w:t>
      </w:r>
      <w:r>
        <w:t xml:space="preserve">And you, Lord, know me. You tested my heart before you. Set them apart for the day of their slaughter</w:t>
      </w:r>
      <w:r>
        <w:rPr>
          <w:rStyle w:val="FootnoteReference"/>
        </w:rPr>
        <w:footnoteReference w:id="12261"/>
      </w:r>
      <w:r>
        <w:t xml:space="preserve">.</w:t>
      </w:r>
    </w:p>
    <w:p>
      <w:r>
        <w:rPr>
          <w:b/>
        </w:rPr>
        <w:t xml:space="preserve">4 </w:t>
      </w:r>
      <w:r>
        <w:t xml:space="preserve">How long</w:t>
      </w:r>
      <w:r>
        <w:rPr>
          <w:rStyle w:val="FootnoteReference"/>
        </w:rPr>
        <w:footnoteReference w:id="12262"/>
      </w:r>
      <w:r>
        <w:t xml:space="preserve"> will the land mourn and every grass of the field dry up? Because of the evil of those dwelling in it, cattle and birds vanished, because they said, God will not see our ways.</w:t>
      </w:r>
    </w:p>
    <w:p>
      <w:r>
        <w:rPr>
          <w:b/>
        </w:rPr>
        <w:t xml:space="preserve">5 </w:t>
      </w:r>
      <w:r>
        <w:t xml:space="preserve">Your feet run and wear you out; how will you prepare to mount horses? And in the land of peace you trusted; how will you do in the thicket of the Jordan</w:t>
      </w:r>
      <w:r>
        <w:rPr>
          <w:rStyle w:val="FootnoteReference"/>
        </w:rPr>
        <w:footnoteReference w:id="12263"/>
      </w:r>
      <w:r>
        <w:t xml:space="preserve">?</w:t>
      </w:r>
    </w:p>
    <w:p>
      <w:r>
        <w:rPr>
          <w:b/>
        </w:rPr>
        <w:t xml:space="preserve">6 </w:t>
      </w:r>
      <w:r>
        <w:t xml:space="preserve">Because even your brothers and the house of your father, they also dealt faithlessly with you, and they cried out after you from behind. Do not believe them when they speak good things to you.</w:t>
      </w:r>
    </w:p>
    <w:p>
      <w:r>
        <w:rPr>
          <w:b/>
        </w:rPr>
        <w:t xml:space="preserve">7 </w:t>
      </w:r>
      <w:r>
        <w:t xml:space="preserve">I have abandoned my house, left my inheritance, given the beloved of my soul into the hands of her enemies.</w:t>
      </w:r>
    </w:p>
    <w:p>
      <w:r>
        <w:rPr>
          <w:b/>
        </w:rPr>
        <w:t xml:space="preserve">8 </w:t>
      </w:r>
      <w:r>
        <w:t xml:space="preserve">My inheritance became to me like a lion in the forest; it gave its voice against me; therefore</w:t>
      </w:r>
      <w:r>
        <w:rPr>
          <w:rStyle w:val="FootnoteReference"/>
        </w:rPr>
        <w:footnoteReference w:id="12264"/>
      </w:r>
      <w:r>
        <w:t xml:space="preserve"> I hated it.</w:t>
      </w:r>
    </w:p>
    <w:p>
      <w:r>
        <w:rPr>
          <w:b/>
        </w:rPr>
        <w:t xml:space="preserve">9 </w:t>
      </w:r>
      <w:r>
        <w:t xml:space="preserve">Is my inheritance a hyena's cave</w:t>
      </w:r>
      <w:r>
        <w:rPr>
          <w:rStyle w:val="FootnoteReference"/>
        </w:rPr>
        <w:footnoteReference w:id="12265"/>
      </w:r>
      <w:r>
        <w:t xml:space="preserve"> to me, a cave around her? Go, gather all the beasts of the field, and let them come to devour her.</w:t>
      </w:r>
    </w:p>
    <w:p>
      <w:r>
        <w:rPr>
          <w:b/>
        </w:rPr>
        <w:t xml:space="preserve">10 </w:t>
      </w:r>
      <w:r>
        <w:t xml:space="preserve">Many shepherds ruined my vineyard</w:t>
      </w:r>
      <w:r>
        <w:rPr>
          <w:rStyle w:val="FootnoteReference"/>
        </w:rPr>
        <w:footnoteReference w:id="12266"/>
      </w:r>
      <w:r>
        <w:t xml:space="preserve">, defiled my portion, gave my desirable portion into a pathless desert.</w:t>
      </w:r>
    </w:p>
    <w:p>
      <w:r>
        <w:rPr>
          <w:b/>
        </w:rPr>
        <w:t xml:space="preserve">11 </w:t>
      </w:r>
      <w:r>
        <w:t xml:space="preserve">It was made into destruction; for me in destruction the whole land was made desolate, because no one lays it to heart.</w:t>
      </w:r>
    </w:p>
    <w:p>
      <w:r>
        <w:rPr>
          <w:b/>
        </w:rPr>
        <w:t xml:space="preserve">12 </w:t>
      </w:r>
      <w:r>
        <w:t xml:space="preserve">Over every opening in the wilderness came destroyers, because the sword of the Lord</w:t>
      </w:r>
      <w:r>
        <w:rPr>
          <w:rStyle w:val="FootnoteReference"/>
        </w:rPr>
        <w:footnoteReference w:id="12267"/>
      </w:r>
      <w:r>
        <w:t xml:space="preserve"> will devour from one end of the earth to the other end; there is no peace for any flesh.</w:t>
      </w:r>
      <w:r>
        <w:rPr>
          <w:rStyle w:val="FootnoteReference"/>
        </w:rPr>
        <w:footnoteReference w:id="12268"/>
      </w:r>
    </w:p>
    <w:p>
      <w:r>
        <w:rPr>
          <w:b/>
        </w:rPr>
        <w:t xml:space="preserve">13 </w:t>
      </w:r>
      <w:r>
        <w:t xml:space="preserve">You sowed wheat and reaped thorns. Their allotments will not profit them. Be ashamed of your boastings, because of reproach before the Lord.</w:t>
      </w:r>
    </w:p>
    <w:p>
      <w:r>
        <w:rPr>
          <w:b/>
        </w:rPr>
        <w:t xml:space="preserve">14 </w:t>
      </w:r>
      <w:r>
        <w:t xml:space="preserve">Because thus says the Lord concerning all evil neighbors touching my inheritance which I portioned to my people Israel: Behold, I pull them away from their land and cast Judah out from their midst.</w:t>
      </w:r>
    </w:p>
    <w:p>
      <w:r>
        <w:rPr>
          <w:b/>
        </w:rPr>
        <w:t xml:space="preserve">15 </w:t>
      </w:r>
      <w:r>
        <w:t xml:space="preserve">And it will be after I cast them out, I will return and have mercy on them and settle each in his inheritance and each in his land.</w:t>
      </w:r>
    </w:p>
    <w:p>
      <w:r>
        <w:rPr>
          <w:b/>
        </w:rPr>
        <w:t xml:space="preserve">16 </w:t>
      </w:r>
      <w:r>
        <w:t xml:space="preserve">And it will be if in learning they learn the way of my people</w:t>
      </w:r>
      <w:r>
        <w:rPr>
          <w:rStyle w:val="FootnoteReference"/>
        </w:rPr>
        <w:footnoteReference w:id="12269"/>
      </w:r>
      <w:r>
        <w:t xml:space="preserve">, to swear by my name</w:t>
      </w:r>
      <w:r>
        <w:rPr>
          <w:rStyle w:val="FootnoteReference"/>
        </w:rPr>
        <w:footnoteReference w:id="12270"/>
      </w:r>
      <w:r>
        <w:t xml:space="preserve">, As the Lord lives, just as they taught my people to swear by Baal, then they will be built in the midst of my people.</w:t>
      </w:r>
    </w:p>
    <w:p>
      <w:r>
        <w:rPr>
          <w:b/>
        </w:rPr>
        <w:t xml:space="preserve">17 </w:t>
      </w:r>
      <w:r>
        <w:t xml:space="preserve">But if they do not return, then I will uproot that nation with uprooting and destruction.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Thus says the Lord: Go and buy for yourself a linen belt</w:t>
      </w:r>
      <w:r>
        <w:rPr>
          <w:rStyle w:val="FootnoteReference"/>
        </w:rPr>
        <w:footnoteReference w:id="12271"/>
      </w:r>
      <w:r>
        <w:t xml:space="preserve"> and put it around your waist, and it shall not pass through water.</w:t>
      </w:r>
    </w:p>
    <w:p>
      <w:r>
        <w:rPr>
          <w:b/>
        </w:rPr>
        <w:t xml:space="preserve">2 </w:t>
      </w:r>
      <w:r>
        <w:t xml:space="preserve">And I bought the belt according to the word of the Lord and put it around my waist.</w:t>
      </w:r>
    </w:p>
    <w:p>
      <w:r>
        <w:rPr>
          <w:b/>
        </w:rPr>
        <w:t xml:space="preserve">3 </w:t>
      </w:r>
      <w:r>
        <w:t xml:space="preserve">And the word</w:t>
      </w:r>
      <w:r>
        <w:rPr>
          <w:rStyle w:val="FootnoteReference"/>
        </w:rPr>
        <w:footnoteReference w:id="12272"/>
      </w:r>
      <w:r>
        <w:t xml:space="preserve"> of the Lord came to me, saying,</w:t>
      </w:r>
    </w:p>
    <w:p>
      <w:r>
        <w:rPr>
          <w:b/>
        </w:rPr>
        <w:t xml:space="preserve">4 </w:t>
      </w:r>
      <w:r>
        <w:t xml:space="preserve">Take the belt around your waist and rise and go to the Euphrates</w:t>
      </w:r>
      <w:r>
        <w:rPr>
          <w:rStyle w:val="FootnoteReference"/>
        </w:rPr>
        <w:footnoteReference w:id="12273"/>
      </w:r>
      <w:r>
        <w:t xml:space="preserve"> and hide it there in the hole of the rock.</w:t>
      </w:r>
    </w:p>
    <w:p>
      <w:r>
        <w:rPr>
          <w:b/>
        </w:rPr>
        <w:t xml:space="preserve">5 </w:t>
      </w:r>
      <w:r>
        <w:t xml:space="preserve">And I went and hid it by the Euphrates, just as the Lord commanded me.</w:t>
      </w:r>
    </w:p>
    <w:p>
      <w:r>
        <w:rPr>
          <w:b/>
        </w:rPr>
        <w:t xml:space="preserve">6 </w:t>
      </w:r>
      <w:r>
        <w:t xml:space="preserve">And it happened after many days, and the Lord said to me, Rise, go to the Euphrates and take from there the belt which I commanded you to hide there.</w:t>
      </w:r>
    </w:p>
    <w:p>
      <w:r>
        <w:rPr>
          <w:b/>
        </w:rPr>
        <w:t xml:space="preserve">7 </w:t>
      </w:r>
      <w:r>
        <w:t xml:space="preserve">And I went to the Euphrates River and dug and took the belt from the place where I buried it there, and behold, it was</w:t>
      </w:r>
      <w:r>
        <w:rPr>
          <w:rStyle w:val="FootnoteReference"/>
        </w:rPr>
        <w:footnoteReference w:id="12274"/>
      </w:r>
      <w:r>
        <w:t xml:space="preserve"> ruined, fit for nothing</w:t>
      </w:r>
      <w:r>
        <w:rPr>
          <w:rStyle w:val="FootnoteReference"/>
        </w:rPr>
        <w:footnoteReference w:id="12275"/>
      </w:r>
      <w:r>
        <w:t xml:space="preserve">.</w:t>
      </w:r>
    </w:p>
    <w:p>
      <w:r>
        <w:rPr>
          <w:b/>
        </w:rPr>
        <w:t xml:space="preserve">8 </w:t>
      </w:r>
      <w:r>
        <w:t xml:space="preserve">And the word of the Lord came to me, saying,</w:t>
      </w:r>
    </w:p>
    <w:p>
      <w:r>
        <w:rPr>
          <w:b/>
        </w:rPr>
        <w:t xml:space="preserve">9 </w:t>
      </w:r>
      <w:r>
        <w:t xml:space="preserve">Thus says the Lord: So I ruin the pride</w:t>
      </w:r>
      <w:r>
        <w:rPr>
          <w:rStyle w:val="FootnoteReference"/>
        </w:rPr>
        <w:footnoteReference w:id="12276"/>
      </w:r>
      <w:r>
        <w:t xml:space="preserve"> of Judah and the pride of Jerusalem,</w:t>
      </w:r>
    </w:p>
    <w:p>
      <w:r>
        <w:rPr>
          <w:b/>
        </w:rPr>
        <w:t xml:space="preserve">10 </w:t>
      </w:r>
      <w:r>
        <w:t xml:space="preserve">this great pride of those not wanting to hear my words and going after foreign gods to serve them and worship them. And they will become like this belt which is fit for nothing.</w:t>
      </w:r>
    </w:p>
    <w:p>
      <w:r>
        <w:rPr>
          <w:b/>
        </w:rPr>
        <w:t xml:space="preserve">11 </w:t>
      </w:r>
      <w:r>
        <w:t xml:space="preserve">Because just as the belt clings to the waist of a man</w:t>
      </w:r>
      <w:r>
        <w:rPr>
          <w:rStyle w:val="FootnoteReference"/>
        </w:rPr>
        <w:footnoteReference w:id="12277"/>
      </w:r>
      <w:r>
        <w:t xml:space="preserve">, so I made the whole house of Israel and the whole house of Judah cling to me, to become to me a notable people and praise and glory, and they did not hear me.</w:t>
      </w:r>
    </w:p>
    <w:p>
      <w:r>
        <w:rPr>
          <w:b/>
        </w:rPr>
        <w:t xml:space="preserve">12 </w:t>
      </w:r>
      <w:r>
        <w:t xml:space="preserve">And you will say to this people, Every wineskin will be filled with wine</w:t>
      </w:r>
      <w:r>
        <w:rPr>
          <w:rStyle w:val="FootnoteReference"/>
        </w:rPr>
        <w:footnoteReference w:id="12278"/>
      </w:r>
      <w:r>
        <w:t xml:space="preserve">. And it will be if they say to you, Do we not know that every wineskin will be filled with wine?</w:t>
      </w:r>
    </w:p>
    <w:p>
      <w:r>
        <w:rPr>
          <w:b/>
        </w:rPr>
        <w:t xml:space="preserve">13 </w:t>
      </w:r>
      <w:r>
        <w:t xml:space="preserve">And you will say to them, Thus says the Lord: Behold, I fill the inhabitants of this land and their kings, the sons of David seated upon his throne, and the priests and the prophets and Judah and all the inhabitants of Jerusalem with drunkenness</w:t>
      </w:r>
      <w:r>
        <w:rPr>
          <w:rStyle w:val="FootnoteReference"/>
        </w:rPr>
        <w:footnoteReference w:id="12279"/>
      </w:r>
      <w:r>
        <w:t xml:space="preserve">.</w:t>
      </w:r>
    </w:p>
    <w:p>
      <w:r>
        <w:rPr>
          <w:b/>
        </w:rPr>
        <w:t xml:space="preserve">14 </w:t>
      </w:r>
      <w:r>
        <w:t xml:space="preserve">And I will scatter them, a man and his brother and their fathers and their sons together. I will not</w:t>
      </w:r>
      <w:r>
        <w:rPr>
          <w:rStyle w:val="FootnoteReference"/>
        </w:rPr>
        <w:footnoteReference w:id="12280"/>
      </w:r>
      <w:r>
        <w:t xml:space="preserve"> pity, says the Lord, and I will not spare and I will not show mercy from their destruction.</w:t>
      </w:r>
    </w:p>
    <w:p>
      <w:r>
        <w:rPr>
          <w:b/>
        </w:rPr>
        <w:t xml:space="preserve">15 </w:t>
      </w:r>
      <w:r>
        <w:t xml:space="preserve">Hear and give ear and do not exalt yourselves, because the Lord spoke.</w:t>
      </w:r>
    </w:p>
    <w:p>
      <w:r>
        <w:rPr>
          <w:b/>
        </w:rPr>
        <w:t xml:space="preserve">16 </w:t>
      </w:r>
      <w:r>
        <w:t xml:space="preserve">Give glory to the Lord your God</w:t>
      </w:r>
      <w:r>
        <w:rPr>
          <w:rStyle w:val="FootnoteReference"/>
        </w:rPr>
        <w:footnoteReference w:id="12281"/>
      </w:r>
      <w:r>
        <w:t xml:space="preserve"> before he brings darkness, and before your feet stumble on dark mountains, and you wait for light and there is the shadow of death, and they will be set into darkness.</w:t>
      </w:r>
      <w:r>
        <w:rPr>
          <w:rStyle w:val="FootnoteReference"/>
        </w:rPr>
        <w:footnoteReference w:id="12282"/>
      </w:r>
    </w:p>
    <w:p>
      <w:r>
        <w:rPr>
          <w:b/>
        </w:rPr>
        <w:t xml:space="preserve">17 </w:t>
      </w:r>
      <w:r>
        <w:t xml:space="preserve">And if you do not hear, your soul will weep secretly because of pride, and your eyes will bring down tears because the flock of the Lord was crushed</w:t>
      </w:r>
      <w:r>
        <w:rPr>
          <w:rStyle w:val="FootnoteReference"/>
        </w:rPr>
        <w:footnoteReference w:id="12283"/>
      </w:r>
      <w:r>
        <w:t xml:space="preserve">.</w:t>
      </w:r>
    </w:p>
    <w:p>
      <w:r>
        <w:rPr>
          <w:b/>
        </w:rPr>
        <w:t xml:space="preserve">18 </w:t>
      </w:r>
      <w:r>
        <w:t xml:space="preserve">Say to the king and to the rulers, Be humbled and sit down, because the crown of your glory</w:t>
      </w:r>
      <w:r>
        <w:rPr>
          <w:rStyle w:val="FootnoteReference"/>
        </w:rPr>
        <w:footnoteReference w:id="12284"/>
      </w:r>
      <w:r>
        <w:t xml:space="preserve"> fell from your head.</w:t>
      </w:r>
    </w:p>
    <w:p>
      <w:r>
        <w:rPr>
          <w:b/>
        </w:rPr>
        <w:t xml:space="preserve">19 </w:t>
      </w:r>
      <w:r>
        <w:t xml:space="preserve">The cities</w:t>
      </w:r>
      <w:r>
        <w:rPr>
          <w:rStyle w:val="FootnoteReference"/>
        </w:rPr>
        <w:footnoteReference w:id="12285"/>
      </w:r>
      <w:r>
        <w:t xml:space="preserve"> toward the south were shut, and there was no one opening. Judah was carried away, a complete exile.</w:t>
      </w:r>
    </w:p>
    <w:p>
      <w:r>
        <w:rPr>
          <w:b/>
        </w:rPr>
        <w:t xml:space="preserve">20 </w:t>
      </w:r>
      <w:r>
        <w:t xml:space="preserve">Lift up your eyes, Jerusalem, and see those coming from the north. Where is the flock given to you</w:t>
      </w:r>
      <w:r>
        <w:rPr>
          <w:rStyle w:val="FootnoteReference"/>
        </w:rPr>
        <w:footnoteReference w:id="12286"/>
      </w:r>
      <w:r>
        <w:t xml:space="preserve">, the sheep of your glory?</w:t>
      </w:r>
    </w:p>
    <w:p>
      <w:r>
        <w:rPr>
          <w:b/>
        </w:rPr>
        <w:t xml:space="preserve">21 </w:t>
      </w:r>
      <w:r>
        <w:t xml:space="preserve">What will you say when they visit you, and you taught them lessons against yourself for rule? Will birth-pangs not seize you like a woman giving birth?</w:t>
      </w:r>
    </w:p>
    <w:p>
      <w:r>
        <w:rPr>
          <w:b/>
        </w:rPr>
        <w:t xml:space="preserve">22 </w:t>
      </w:r>
      <w:r>
        <w:t xml:space="preserve">And if you say in your heart, Why did these things meet me? Because of the multitude of your injustice your hind parts were uncovered, your heels exposed as an example</w:t>
      </w:r>
      <w:r>
        <w:rPr>
          <w:rStyle w:val="FootnoteReference"/>
        </w:rPr>
        <w:footnoteReference w:id="12287"/>
      </w:r>
      <w:r>
        <w:t xml:space="preserve">.</w:t>
      </w:r>
    </w:p>
    <w:p>
      <w:r>
        <w:rPr>
          <w:b/>
        </w:rPr>
        <w:t xml:space="preserve">23 </w:t>
      </w:r>
      <w:r>
        <w:t xml:space="preserve">If an Ethiopian can change his skin</w:t>
      </w:r>
      <w:r>
        <w:rPr>
          <w:rStyle w:val="FootnoteReference"/>
        </w:rPr>
        <w:footnoteReference w:id="12288"/>
      </w:r>
      <w:r>
        <w:t xml:space="preserve"> and a leopard her spots, then you also will be able to do good, having learned evil things.</w:t>
      </w:r>
      <w:r>
        <w:rPr>
          <w:rStyle w:val="FootnoteReference"/>
        </w:rPr>
        <w:footnoteReference w:id="12289"/>
      </w:r>
    </w:p>
    <w:p>
      <w:r>
        <w:rPr>
          <w:b/>
        </w:rPr>
        <w:t xml:space="preserve">24 </w:t>
      </w:r>
      <w:r>
        <w:t xml:space="preserve">And I scattered them like brushwood carried by the wind</w:t>
      </w:r>
      <w:r>
        <w:rPr>
          <w:rStyle w:val="FootnoteReference"/>
        </w:rPr>
        <w:footnoteReference w:id="12290"/>
      </w:r>
      <w:r>
        <w:t xml:space="preserve"> into the wilderness.</w:t>
      </w:r>
    </w:p>
    <w:p>
      <w:r>
        <w:rPr>
          <w:b/>
        </w:rPr>
        <w:t xml:space="preserve">25 </w:t>
      </w:r>
      <w:r>
        <w:t xml:space="preserve">This is your lot and the portion of your disobeying me, says the Lord, because you forgot me and hoped in lies.</w:t>
      </w:r>
    </w:p>
    <w:p>
      <w:r>
        <w:rPr>
          <w:b/>
        </w:rPr>
        <w:t xml:space="preserve">26 </w:t>
      </w:r>
      <w:r>
        <w:t xml:space="preserve">And I also will uncover your back parts over your face, and your dishonor will be seen.</w:t>
      </w:r>
    </w:p>
    <w:p>
      <w:r>
        <w:rPr>
          <w:b/>
        </w:rPr>
        <w:t xml:space="preserve">27 </w:t>
      </w:r>
      <w:r>
        <w:t xml:space="preserve">Your adultery and your neighing</w:t>
      </w:r>
      <w:r>
        <w:rPr>
          <w:rStyle w:val="FootnoteReference"/>
        </w:rPr>
        <w:footnoteReference w:id="12291"/>
      </w:r>
      <w:r>
        <w:t xml:space="preserve"> and alienation of your prostitution on the hills and in the fields--I saw your abominations</w:t>
      </w:r>
      <w:r>
        <w:rPr>
          <w:rStyle w:val="FootnoteReference"/>
        </w:rPr>
        <w:footnoteReference w:id="12292"/>
      </w:r>
      <w:r>
        <w:t xml:space="preserve">. Woe to you, Jerusalem, because you were not cleansed after me. How much longer?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the word of the Lord came to Jeremiah concerning the drought</w:t>
      </w:r>
      <w:r>
        <w:rPr>
          <w:rStyle w:val="FootnoteReference"/>
        </w:rPr>
        <w:footnoteReference w:id="12293"/>
      </w:r>
      <w:r>
        <w:t xml:space="preserve">.</w:t>
      </w:r>
    </w:p>
    <w:p>
      <w:r>
        <w:rPr>
          <w:b/>
        </w:rPr>
        <w:t xml:space="preserve">2 </w:t>
      </w:r>
      <w:r>
        <w:t xml:space="preserve">Judah mourned, and her gates were emptied and darkened upon the earth, and the cry</w:t>
      </w:r>
      <w:r>
        <w:rPr>
          <w:rStyle w:val="FootnoteReference"/>
        </w:rPr>
        <w:footnoteReference w:id="12294"/>
      </w:r>
      <w:r>
        <w:t xml:space="preserve"> of Jerusalem went up.</w:t>
      </w:r>
    </w:p>
    <w:p>
      <w:r>
        <w:rPr>
          <w:b/>
        </w:rPr>
        <w:t xml:space="preserve">3 </w:t>
      </w:r>
      <w:r>
        <w:t xml:space="preserve">And her nobles sent their younger ones for water. They came to the wells and found no water and returned their vessels empty.</w:t>
      </w:r>
    </w:p>
    <w:p>
      <w:r>
        <w:rPr>
          <w:b/>
        </w:rPr>
        <w:t xml:space="preserve">4 </w:t>
      </w:r>
      <w:r>
        <w:t xml:space="preserve">And the works of the earth failed</w:t>
      </w:r>
      <w:r>
        <w:rPr>
          <w:rStyle w:val="FootnoteReference"/>
        </w:rPr>
        <w:footnoteReference w:id="12295"/>
      </w:r>
      <w:r>
        <w:t xml:space="preserve"> because there was no rain. Farmers were ashamed; they covered their heads.</w:t>
      </w:r>
    </w:p>
    <w:p>
      <w:r>
        <w:rPr>
          <w:b/>
        </w:rPr>
        <w:t xml:space="preserve">5 </w:t>
      </w:r>
      <w:r>
        <w:t xml:space="preserve">And does in the field gave birth and abandoned them because there was no grass.</w:t>
      </w:r>
    </w:p>
    <w:p>
      <w:r>
        <w:rPr>
          <w:b/>
        </w:rPr>
        <w:t xml:space="preserve">6 </w:t>
      </w:r>
      <w:r>
        <w:t xml:space="preserve">Wild donkeys stood on hilltops</w:t>
      </w:r>
      <w:r>
        <w:rPr>
          <w:rStyle w:val="FootnoteReference"/>
        </w:rPr>
        <w:footnoteReference w:id="12296"/>
      </w:r>
      <w:r>
        <w:t xml:space="preserve"> and drew in wind. Their</w:t>
      </w:r>
      <w:r>
        <w:rPr>
          <w:rStyle w:val="FootnoteReference"/>
        </w:rPr>
        <w:footnoteReference w:id="12297"/>
      </w:r>
      <w:r>
        <w:t xml:space="preserve"> eyes failed because there was no grass because of the injustice of the people.</w:t>
      </w:r>
    </w:p>
    <w:p>
      <w:r>
        <w:rPr>
          <w:b/>
        </w:rPr>
        <w:t xml:space="preserve">7 </w:t>
      </w:r>
      <w:r>
        <w:t xml:space="preserve">If our sins stood against us, Lord, do for us for your sake, because many are our sins before you, because against you we sinned.</w:t>
      </w:r>
    </w:p>
    <w:p>
      <w:r>
        <w:rPr>
          <w:b/>
        </w:rPr>
        <w:t xml:space="preserve">8 </w:t>
      </w:r>
      <w:r>
        <w:t xml:space="preserve">Hope of Israel</w:t>
      </w:r>
      <w:r>
        <w:rPr>
          <w:rStyle w:val="FootnoteReference"/>
        </w:rPr>
        <w:footnoteReference w:id="12298"/>
      </w:r>
      <w:r>
        <w:t xml:space="preserve">, Lord, you save in the time of evils; why did you become like a resident alien upon the land and like a native one turning aside into lodging?</w:t>
      </w:r>
    </w:p>
    <w:p>
      <w:r>
        <w:rPr>
          <w:b/>
        </w:rPr>
        <w:t xml:space="preserve">9 </w:t>
      </w:r>
      <w:r>
        <w:t xml:space="preserve">Do not be like a sleeping man or like a man unable to save. And you are among us, Lord, and your name is called upon us</w:t>
      </w:r>
      <w:r>
        <w:rPr>
          <w:rStyle w:val="FootnoteReference"/>
        </w:rPr>
        <w:footnoteReference w:id="12299"/>
      </w:r>
      <w:r>
        <w:t xml:space="preserve">; do not forget us.</w:t>
      </w:r>
    </w:p>
    <w:p>
      <w:r>
        <w:rPr>
          <w:b/>
        </w:rPr>
        <w:t xml:space="preserve">10 </w:t>
      </w:r>
      <w:r>
        <w:t xml:space="preserve">Thus says the Lord</w:t>
      </w:r>
      <w:r>
        <w:rPr>
          <w:rStyle w:val="FootnoteReference"/>
        </w:rPr>
        <w:footnoteReference w:id="12300"/>
      </w:r>
      <w:r>
        <w:t xml:space="preserve"> to this people: They loved to move their feet and did not spare, and God took no pleasure in them. Now he will remember their injustices.</w:t>
      </w:r>
    </w:p>
    <w:p>
      <w:r>
        <w:rPr>
          <w:b/>
        </w:rPr>
        <w:t xml:space="preserve">11 </w:t>
      </w:r>
      <w:r>
        <w:t xml:space="preserve">And the Lord said to me, Do not pray concerning this people for good things.</w:t>
      </w:r>
    </w:p>
    <w:p>
      <w:r>
        <w:rPr>
          <w:b/>
        </w:rPr>
        <w:t xml:space="preserve">12 </w:t>
      </w:r>
      <w:r>
        <w:t xml:space="preserve">Because if they fast</w:t>
      </w:r>
      <w:r>
        <w:rPr>
          <w:rStyle w:val="FootnoteReference"/>
        </w:rPr>
        <w:footnoteReference w:id="12301"/>
      </w:r>
      <w:r>
        <w:t xml:space="preserve">, I will not hear their supplication, and if they offer whole burnt offerings and sacrifices, I will not take pleasure in them, because by the sword and by famine and by death</w:t>
      </w:r>
      <w:r>
        <w:rPr>
          <w:rStyle w:val="FootnoteReference"/>
        </w:rPr>
        <w:footnoteReference w:id="12302"/>
      </w:r>
      <w:r>
        <w:t xml:space="preserve"> I will consume them.</w:t>
      </w:r>
    </w:p>
    <w:p>
      <w:r>
        <w:rPr>
          <w:b/>
        </w:rPr>
        <w:t xml:space="preserve">13 </w:t>
      </w:r>
      <w:r>
        <w:t xml:space="preserve">And I said, O Lord, behold</w:t>
      </w:r>
      <w:r>
        <w:rPr>
          <w:rStyle w:val="FootnoteReference"/>
        </w:rPr>
        <w:footnoteReference w:id="12303"/>
      </w:r>
      <w:r>
        <w:t xml:space="preserve">, their prophets prophesy and say, You will not see the sword nor will there be famine among you, because I will give truth and peace on the land</w:t>
      </w:r>
      <w:r>
        <w:rPr>
          <w:rStyle w:val="FootnoteReference"/>
        </w:rPr>
        <w:footnoteReference w:id="12304"/>
      </w:r>
      <w:r>
        <w:t xml:space="preserve"> and in this place.</w:t>
      </w:r>
    </w:p>
    <w:p>
      <w:r>
        <w:rPr>
          <w:b/>
        </w:rPr>
        <w:t xml:space="preserve">14 </w:t>
      </w:r>
      <w:r>
        <w:t xml:space="preserve">And the Lord said to me, The prophets prophesy lies in my name</w:t>
      </w:r>
      <w:r>
        <w:rPr>
          <w:rStyle w:val="FootnoteReference"/>
        </w:rPr>
        <w:footnoteReference w:id="12305"/>
      </w:r>
      <w:r>
        <w:t xml:space="preserve">. I did not send them and did not command them and did not speak to them. False visions and divinations and omens and choices of their own hearts they prophesy to you.</w:t>
      </w:r>
      <w:r>
        <w:rPr>
          <w:rStyle w:val="FootnoteReference"/>
        </w:rPr>
        <w:footnoteReference w:id="12306"/>
      </w:r>
    </w:p>
    <w:p>
      <w:r>
        <w:rPr>
          <w:b/>
        </w:rPr>
        <w:t xml:space="preserve">15 </w:t>
      </w:r>
      <w:r>
        <w:t xml:space="preserve">Therefore thus says the Lord concerning the prophets prophesying lies in my name whom I did not send, those saying, The sword and famine will not be on this land: By diseased death they will die and by famine the prophets will be finished.</w:t>
      </w:r>
    </w:p>
    <w:p>
      <w:r>
        <w:rPr>
          <w:b/>
        </w:rPr>
        <w:t xml:space="preserve">16 </w:t>
      </w:r>
      <w:r>
        <w:t xml:space="preserve">And the people to whom they prophesy will lie thrown in the streets of Jerusalem from the face of the sword and the famine, and there will be no one burying them</w:t>
      </w:r>
      <w:r>
        <w:rPr>
          <w:rStyle w:val="FootnoteReference"/>
        </w:rPr>
        <w:footnoteReference w:id="12307"/>
      </w:r>
      <w:r>
        <w:t xml:space="preserve"> and their wives and their sons and their daughters, and I will pour out on them their evils.</w:t>
      </w:r>
    </w:p>
    <w:p>
      <w:r>
        <w:rPr>
          <w:b/>
        </w:rPr>
        <w:t xml:space="preserve">17 </w:t>
      </w:r>
      <w:r>
        <w:t xml:space="preserve">And you will say to them this word: Let your eyes bring down tears day and night</w:t>
      </w:r>
      <w:r>
        <w:rPr>
          <w:rStyle w:val="FootnoteReference"/>
        </w:rPr>
        <w:footnoteReference w:id="12308"/>
      </w:r>
      <w:r>
        <w:t xml:space="preserve"> and let them not cease, because the daughter of my people was crushed with crushing, a very grievous wound.</w:t>
      </w:r>
    </w:p>
    <w:p>
      <w:r>
        <w:rPr>
          <w:b/>
        </w:rPr>
        <w:t xml:space="preserve">18 </w:t>
      </w:r>
      <w:r>
        <w:t xml:space="preserve">If I go out into the field, behold, wounded by the sword</w:t>
      </w:r>
      <w:r>
        <w:rPr>
          <w:rStyle w:val="FootnoteReference"/>
        </w:rPr>
        <w:footnoteReference w:id="12309"/>
      </w:r>
      <w:r>
        <w:t xml:space="preserve">, and if I enter the city, behold, pain from famine, because priest and prophet went into the land which they did not know.</w:t>
      </w:r>
    </w:p>
    <w:p>
      <w:r>
        <w:rPr>
          <w:b/>
        </w:rPr>
        <w:t xml:space="preserve">19 </w:t>
      </w:r>
      <w:r>
        <w:t xml:space="preserve">Did you utterly</w:t>
      </w:r>
      <w:r>
        <w:rPr>
          <w:rStyle w:val="FootnoteReference"/>
        </w:rPr>
        <w:footnoteReference w:id="12310"/>
      </w:r>
      <w:r>
        <w:t xml:space="preserve"> reject Judah, and did your soul depart from Zion? Why did you strike us and there is no healing for us? We waited for peace and there were no good things, for the time of healing and behold, disturbance.</w:t>
      </w:r>
    </w:p>
    <w:p>
      <w:r>
        <w:rPr>
          <w:b/>
        </w:rPr>
        <w:t xml:space="preserve">20 </w:t>
      </w:r>
      <w:r>
        <w:t xml:space="preserve">We know, Lord, our sins and the injustices of our fathers</w:t>
      </w:r>
      <w:r>
        <w:rPr>
          <w:rStyle w:val="FootnoteReference"/>
        </w:rPr>
        <w:footnoteReference w:id="12311"/>
      </w:r>
      <w:r>
        <w:t xml:space="preserve">, because we sinned against you.</w:t>
      </w:r>
    </w:p>
    <w:p>
      <w:r>
        <w:rPr>
          <w:b/>
        </w:rPr>
        <w:t xml:space="preserve">21 </w:t>
      </w:r>
      <w:r>
        <w:t xml:space="preserve">Cease for your name's sake; do not destroy the throne of your glory</w:t>
      </w:r>
      <w:r>
        <w:rPr>
          <w:rStyle w:val="FootnoteReference"/>
        </w:rPr>
        <w:footnoteReference w:id="12312"/>
      </w:r>
      <w:r>
        <w:t xml:space="preserve">. Remember</w:t>
      </w:r>
      <w:r>
        <w:rPr>
          <w:rStyle w:val="FootnoteReference"/>
        </w:rPr>
        <w:footnoteReference w:id="12313"/>
      </w:r>
      <w:r>
        <w:t xml:space="preserve">; do not break your covenant with us.</w:t>
      </w:r>
    </w:p>
    <w:p>
      <w:r>
        <w:rPr>
          <w:b/>
        </w:rPr>
        <w:t xml:space="preserve">22 </w:t>
      </w:r>
      <w:r>
        <w:t xml:space="preserve">Is there among the idols of the nations one who gives rain</w:t>
      </w:r>
      <w:r>
        <w:rPr>
          <w:rStyle w:val="FootnoteReference"/>
        </w:rPr>
        <w:footnoteReference w:id="12314"/>
      </w:r>
      <w:r>
        <w:t xml:space="preserve">? Or will heaven give its fullness? Are you not he? And we will wait</w:t>
      </w:r>
      <w:r>
        <w:rPr>
          <w:rStyle w:val="FootnoteReference"/>
        </w:rPr>
        <w:footnoteReference w:id="12315"/>
      </w:r>
      <w:r>
        <w:t xml:space="preserve"> for you, because you made all these things.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the Lord said to me, If Moses and Samuel</w:t>
      </w:r>
      <w:r>
        <w:rPr>
          <w:rStyle w:val="FootnoteReference"/>
        </w:rPr>
        <w:footnoteReference w:id="12316"/>
      </w:r>
      <w:r>
        <w:t xml:space="preserve"> should stand before my face, my soul would not be toward them. Send out this people and let them go out.</w:t>
      </w:r>
      <w:r>
        <w:rPr>
          <w:rStyle w:val="FootnoteReference"/>
        </w:rPr>
        <w:footnoteReference w:id="12317"/>
      </w:r>
    </w:p>
    <w:p>
      <w:r>
        <w:rPr>
          <w:b/>
        </w:rPr>
        <w:t xml:space="preserve">2 </w:t>
      </w:r>
      <w:r>
        <w:t xml:space="preserve">And it will be if they say to you, Where will we go out? Then you will say to them, Thus says the Lord: Those for death</w:t>
      </w:r>
      <w:r>
        <w:rPr>
          <w:rStyle w:val="FootnoteReference"/>
        </w:rPr>
        <w:footnoteReference w:id="12318"/>
      </w:r>
      <w:r>
        <w:t xml:space="preserve">, to death; and those for the sword, to the sword; and those for famine, to famine; and those for captivity, to captivity.</w:t>
      </w:r>
      <w:r>
        <w:rPr>
          <w:rStyle w:val="FootnoteReference"/>
        </w:rPr>
        <w:footnoteReference w:id="12319"/>
      </w:r>
    </w:p>
    <w:p>
      <w:r>
        <w:rPr>
          <w:b/>
        </w:rPr>
        <w:t xml:space="preserve">3 </w:t>
      </w:r>
      <w:r>
        <w:t xml:space="preserve">And I will avenge on them with four kinds</w:t>
      </w:r>
      <w:r>
        <w:rPr>
          <w:rStyle w:val="FootnoteReference"/>
        </w:rPr>
        <w:footnoteReference w:id="12320"/>
      </w:r>
      <w:r>
        <w:t xml:space="preserve">, says the Lord: the sword for slaughter and the dogs for tearing and the beasts of the earth and the birds of heaven for food and ruin.</w:t>
      </w:r>
    </w:p>
    <w:p>
      <w:r>
        <w:rPr>
          <w:b/>
        </w:rPr>
        <w:t xml:space="preserve">4 </w:t>
      </w:r>
      <w:r>
        <w:t xml:space="preserve">And I will hand them over to troubles for all the kingdoms of the earth, because of Manasseh son of Hezekiah</w:t>
      </w:r>
      <w:r>
        <w:rPr>
          <w:rStyle w:val="FootnoteReference"/>
        </w:rPr>
        <w:footnoteReference w:id="12321"/>
      </w:r>
      <w:r>
        <w:t xml:space="preserve"> king of Judah, because of all he did in Jerusalem.</w:t>
      </w:r>
    </w:p>
    <w:p>
      <w:r>
        <w:rPr>
          <w:b/>
        </w:rPr>
        <w:t xml:space="preserve">5 </w:t>
      </w:r>
      <w:r>
        <w:t xml:space="preserve">Who will spare you, Jerusalem? And who will be timid over you? Or who will turn back for your peace?</w:t>
      </w:r>
    </w:p>
    <w:p>
      <w:r>
        <w:rPr>
          <w:b/>
        </w:rPr>
        <w:t xml:space="preserve">6 </w:t>
      </w:r>
      <w:r>
        <w:t xml:space="preserve">You turned away from me</w:t>
      </w:r>
      <w:r>
        <w:rPr>
          <w:rStyle w:val="FootnoteReference"/>
        </w:rPr>
        <w:footnoteReference w:id="12322"/>
      </w:r>
      <w:r>
        <w:t xml:space="preserve">, says the Lord; backward you will go. And I will stretch</w:t>
      </w:r>
      <w:r>
        <w:rPr>
          <w:rStyle w:val="FootnoteReference"/>
        </w:rPr>
        <w:footnoteReference w:id="12323"/>
      </w:r>
      <w:r>
        <w:t xml:space="preserve"> out my hand and destroy you, and I will no longer let them rest.</w:t>
      </w:r>
    </w:p>
    <w:p>
      <w:r>
        <w:rPr>
          <w:b/>
        </w:rPr>
        <w:t xml:space="preserve">7 </w:t>
      </w:r>
      <w:r>
        <w:t xml:space="preserve">And I will scatter them in dispersion in the gates of my people. They were made childless; they destroyed my people because of their evils.</w:t>
      </w:r>
    </w:p>
    <w:p>
      <w:r>
        <w:rPr>
          <w:b/>
        </w:rPr>
        <w:t xml:space="preserve">8 </w:t>
      </w:r>
      <w:r>
        <w:t xml:space="preserve">Their widows</w:t>
      </w:r>
      <w:r>
        <w:rPr>
          <w:rStyle w:val="FootnoteReference"/>
        </w:rPr>
        <w:footnoteReference w:id="12324"/>
      </w:r>
      <w:r>
        <w:t xml:space="preserve"> multiplied beyond the sand of the sea. I brought against the mother of a young man, misery at noon. I cast on her sudden terror and haste.</w:t>
      </w:r>
    </w:p>
    <w:p>
      <w:r>
        <w:rPr>
          <w:b/>
        </w:rPr>
        <w:t xml:space="preserve">9 </w:t>
      </w:r>
      <w:r>
        <w:t xml:space="preserve">She who bore seven</w:t>
      </w:r>
      <w:r>
        <w:rPr>
          <w:rStyle w:val="FootnoteReference"/>
        </w:rPr>
        <w:footnoteReference w:id="12325"/>
      </w:r>
      <w:r>
        <w:t xml:space="preserve"> was emptied; her soul grew faint. Her sun</w:t>
      </w:r>
      <w:r>
        <w:rPr>
          <w:rStyle w:val="FootnoteReference"/>
        </w:rPr>
        <w:footnoteReference w:id="12326"/>
      </w:r>
      <w:r>
        <w:t xml:space="preserve"> set while it was still the middle of the day. She was ashamed and reproached. Their remnant I will give to the sword before their enemies.</w:t>
      </w:r>
    </w:p>
    <w:p>
      <w:r>
        <w:rPr>
          <w:b/>
        </w:rPr>
        <w:t xml:space="preserve">10 </w:t>
      </w:r>
      <w:r>
        <w:t xml:space="preserve">Woe to me, mother, that you bore me, a man</w:t>
      </w:r>
      <w:r>
        <w:rPr>
          <w:rStyle w:val="FootnoteReference"/>
        </w:rPr>
        <w:footnoteReference w:id="12327"/>
      </w:r>
      <w:r>
        <w:t xml:space="preserve"> being judged and contending with the whole land. I neither profited nor did anyone profit me. My strength failed among those cursing me.</w:t>
      </w:r>
    </w:p>
    <w:p>
      <w:r>
        <w:rPr>
          <w:b/>
        </w:rPr>
        <w:t xml:space="preserve">11 </w:t>
      </w:r>
      <w:r>
        <w:t xml:space="preserve">Let it be, Master, as you straighten their way. Did I not stand before you in the time of their evils</w:t>
      </w:r>
      <w:r>
        <w:rPr>
          <w:rStyle w:val="FootnoteReference"/>
        </w:rPr>
        <w:footnoteReference w:id="12328"/>
      </w:r>
      <w:r>
        <w:t xml:space="preserve"> and in the time of their affliction for good things toward the enemy?</w:t>
      </w:r>
    </w:p>
    <w:p>
      <w:r>
        <w:rPr>
          <w:b/>
        </w:rPr>
        <w:t xml:space="preserve">12 </w:t>
      </w:r>
      <w:r>
        <w:t xml:space="preserve">Will iron and bronze armor be known?</w:t>
      </w:r>
    </w:p>
    <w:p>
      <w:r>
        <w:rPr>
          <w:b/>
        </w:rPr>
        <w:t xml:space="preserve">13 </w:t>
      </w:r>
      <w:r>
        <w:t xml:space="preserve">Your strength and your treasures I will give for plunder, as payment for all your sins and throughout all your borders.</w:t>
      </w:r>
    </w:p>
    <w:p>
      <w:r>
        <w:rPr>
          <w:b/>
        </w:rPr>
        <w:t xml:space="preserve">14 </w:t>
      </w:r>
      <w:r>
        <w:t xml:space="preserve">And I will enslave you to your enemies round about in a land you did not know, because fire has been kindled from my wrath</w:t>
      </w:r>
      <w:r>
        <w:rPr>
          <w:rStyle w:val="FootnoteReference"/>
        </w:rPr>
        <w:footnoteReference w:id="12329"/>
      </w:r>
      <w:r>
        <w:t xml:space="preserve">; upon you it will burn.</w:t>
      </w:r>
    </w:p>
    <w:p>
      <w:r>
        <w:rPr>
          <w:b/>
        </w:rPr>
        <w:t xml:space="preserve">15 </w:t>
      </w:r>
      <w:r>
        <w:t xml:space="preserve">Lord, remember</w:t>
      </w:r>
      <w:r>
        <w:rPr>
          <w:rStyle w:val="FootnoteReference"/>
        </w:rPr>
        <w:footnoteReference w:id="12330"/>
      </w:r>
      <w:r>
        <w:t xml:space="preserve"> me and visit me and vindicate me from those who persecute me. In your long-suffering know that I took reproach for your sake</w:t>
      </w:r>
      <w:r>
        <w:rPr>
          <w:rStyle w:val="FootnoteReference"/>
        </w:rPr>
        <w:footnoteReference w:id="12331"/>
      </w:r>
      <w:r>
        <w:t xml:space="preserve">.</w:t>
      </w:r>
    </w:p>
    <w:p>
      <w:r>
        <w:rPr>
          <w:b/>
        </w:rPr>
        <w:t xml:space="preserve">16 </w:t>
      </w:r>
      <w:r>
        <w:t xml:space="preserve">By those rejecting your words, consume them. And your word will be to me joy and gladness of my heart, because your name is called upon me</w:t>
      </w:r>
      <w:r>
        <w:rPr>
          <w:rStyle w:val="FootnoteReference"/>
        </w:rPr>
        <w:footnoteReference w:id="12332"/>
      </w:r>
      <w:r>
        <w:t xml:space="preserve">, O Lord Almighty.</w:t>
      </w:r>
    </w:p>
    <w:p>
      <w:r>
        <w:rPr>
          <w:b/>
        </w:rPr>
        <w:t xml:space="preserve">17 </w:t>
      </w:r>
      <w:r>
        <w:t xml:space="preserve">I did not sit in their gathering as they played, but I feared before your hand. I sat alone</w:t>
      </w:r>
      <w:r>
        <w:rPr>
          <w:rStyle w:val="FootnoteReference"/>
        </w:rPr>
        <w:footnoteReference w:id="12333"/>
      </w:r>
      <w:r>
        <w:t xml:space="preserve">, because I was filled with bitterness.</w:t>
      </w:r>
    </w:p>
    <w:p>
      <w:r>
        <w:rPr>
          <w:b/>
        </w:rPr>
        <w:t xml:space="preserve">18 </w:t>
      </w:r>
      <w:r>
        <w:t xml:space="preserve">Why do those grieving me prevail over me? My wound</w:t>
      </w:r>
      <w:r>
        <w:rPr>
          <w:rStyle w:val="FootnoteReference"/>
        </w:rPr>
        <w:footnoteReference w:id="12334"/>
      </w:r>
      <w:r>
        <w:t xml:space="preserve"> is severe; from where will I be healed? It became to me like false water</w:t>
      </w:r>
      <w:r>
        <w:rPr>
          <w:rStyle w:val="FootnoteReference"/>
        </w:rPr>
        <w:footnoteReference w:id="12335"/>
      </w:r>
      <w:r>
        <w:t xml:space="preserve">, having no faithfulness.</w:t>
      </w:r>
    </w:p>
    <w:p>
      <w:r>
        <w:rPr>
          <w:b/>
        </w:rPr>
        <w:t xml:space="preserve">19 </w:t>
      </w:r>
      <w:r>
        <w:t xml:space="preserve">Therefore thus says the Lord: If you return</w:t>
      </w:r>
      <w:r>
        <w:rPr>
          <w:rStyle w:val="FootnoteReference"/>
        </w:rPr>
        <w:footnoteReference w:id="12336"/>
      </w:r>
      <w:r>
        <w:t xml:space="preserve">, I will restore you and you will stand before my face. And if you bring out precious from the worthless</w:t>
      </w:r>
      <w:r>
        <w:rPr>
          <w:rStyle w:val="FootnoteReference"/>
        </w:rPr>
        <w:footnoteReference w:id="12337"/>
      </w:r>
      <w:r>
        <w:t xml:space="preserve">, you will be as my mouth. They will return to you, but you will not return to them.</w:t>
      </w:r>
    </w:p>
    <w:p>
      <w:r>
        <w:rPr>
          <w:b/>
        </w:rPr>
        <w:t xml:space="preserve">20 </w:t>
      </w:r>
      <w:r>
        <w:t xml:space="preserve">And I will make you for this people as a fortified bronze wall</w:t>
      </w:r>
      <w:r>
        <w:rPr>
          <w:rStyle w:val="FootnoteReference"/>
        </w:rPr>
        <w:footnoteReference w:id="12338"/>
      </w:r>
      <w:r>
        <w:t xml:space="preserve">, and they will fight against you and surely not prevail against you, because I am with you to save you</w:t>
      </w:r>
    </w:p>
    <w:p>
      <w:r>
        <w:rPr>
          <w:b/>
        </w:rPr>
        <w:t xml:space="preserve">21 </w:t>
      </w:r>
      <w:r>
        <w:t xml:space="preserve">and to deliver</w:t>
      </w:r>
      <w:r>
        <w:rPr>
          <w:rStyle w:val="FootnoteReference"/>
        </w:rPr>
        <w:footnoteReference w:id="12339"/>
      </w:r>
      <w:r>
        <w:t xml:space="preserve"> you from the hand of evil ones, and I will redeem you from the hand of pestilent 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you, do not take a wife</w:t>
      </w:r>
      <w:r>
        <w:rPr>
          <w:rStyle w:val="FootnoteReference"/>
        </w:rPr>
        <w:footnoteReference w:id="12340"/>
      </w:r>
      <w:r>
        <w:t xml:space="preserve">, says the Lord God of Israel.</w:t>
      </w:r>
    </w:p>
    <w:p>
      <w:r>
        <w:rPr>
          <w:b/>
        </w:rPr>
        <w:t xml:space="preserve">2 </w:t>
      </w:r>
      <w:r>
        <w:t xml:space="preserve">And no son or daughter will be born to you in this place.</w:t>
      </w:r>
    </w:p>
    <w:p>
      <w:r>
        <w:rPr>
          <w:b/>
        </w:rPr>
        <w:t xml:space="preserve">3 </w:t>
      </w:r>
      <w:r>
        <w:t xml:space="preserve">Because thus says the Lord concerning the sons and concerning the daughters born in this place, and concerning their mothers who bore them and their fathers who fathered them in this land:</w:t>
      </w:r>
    </w:p>
    <w:p>
      <w:r>
        <w:rPr>
          <w:b/>
        </w:rPr>
        <w:t xml:space="preserve">4 </w:t>
      </w:r>
      <w:r>
        <w:t xml:space="preserve">By diseased death they will die. They will not be mourned and not buried. They will be as an example upon the face of the earth</w:t>
      </w:r>
      <w:r>
        <w:rPr>
          <w:rStyle w:val="FootnoteReference"/>
        </w:rPr>
        <w:footnoteReference w:id="12341"/>
      </w:r>
      <w:r>
        <w:t xml:space="preserve">. By the sword they will fall and by famine be finished, and they will be food for the beasts of the earth and birds of heaven.</w:t>
      </w:r>
    </w:p>
    <w:p>
      <w:r>
        <w:rPr>
          <w:b/>
        </w:rPr>
        <w:t xml:space="preserve">5 </w:t>
      </w:r>
      <w:r>
        <w:t xml:space="preserve">Thus says the Lord: Do not enter</w:t>
      </w:r>
      <w:r>
        <w:rPr>
          <w:rStyle w:val="FootnoteReference"/>
        </w:rPr>
        <w:footnoteReference w:id="12342"/>
      </w:r>
      <w:r>
        <w:t xml:space="preserve"> into their drinking feast, and do not go to cut yourself and do not mourn them, because I have removed my peace</w:t>
      </w:r>
      <w:r>
        <w:rPr>
          <w:rStyle w:val="FootnoteReference"/>
        </w:rPr>
        <w:footnoteReference w:id="12343"/>
      </w:r>
      <w:r>
        <w:t xml:space="preserve"> from this people.</w:t>
      </w:r>
    </w:p>
    <w:p>
      <w:r>
        <w:rPr>
          <w:b/>
        </w:rPr>
        <w:t xml:space="preserve">6 </w:t>
      </w:r>
      <w:r>
        <w:t xml:space="preserve">They will not cut themselves for them, nor make gashes, nor shave themselves.</w:t>
      </w:r>
    </w:p>
    <w:p>
      <w:r>
        <w:rPr>
          <w:b/>
        </w:rPr>
        <w:t xml:space="preserve">7 </w:t>
      </w:r>
      <w:r>
        <w:t xml:space="preserve">And bread will surely not be broken in their mourning for comfort over a dead one, and he will not be given a cup for comfort over his father and mother.</w:t>
      </w:r>
      <w:r>
        <w:rPr>
          <w:rStyle w:val="FootnoteReference"/>
        </w:rPr>
        <w:footnoteReference w:id="12344"/>
      </w:r>
    </w:p>
    <w:p>
      <w:r>
        <w:rPr>
          <w:b/>
        </w:rPr>
        <w:t xml:space="preserve">8 </w:t>
      </w:r>
      <w:r>
        <w:t xml:space="preserve">Into the house of drinking you will not enter to sit with them to eat and drink.</w:t>
      </w:r>
    </w:p>
    <w:p>
      <w:r>
        <w:rPr>
          <w:b/>
        </w:rPr>
        <w:t xml:space="preserve">9 </w:t>
      </w:r>
      <w:r>
        <w:t xml:space="preserve">Because thus says the Lord God of Israel: Behold, I destroy from this place before your eyes and in your days the voice of joy and the voice of gladness</w:t>
      </w:r>
      <w:r>
        <w:rPr>
          <w:rStyle w:val="FootnoteReference"/>
        </w:rPr>
        <w:footnoteReference w:id="12345"/>
      </w:r>
      <w:r>
        <w:t xml:space="preserve">, the voice of a bridegroom and the voice of a bride.</w:t>
      </w:r>
    </w:p>
    <w:p>
      <w:r>
        <w:rPr>
          <w:b/>
        </w:rPr>
        <w:t xml:space="preserve">10 </w:t>
      </w:r>
      <w:r>
        <w:t xml:space="preserve">And it will be when you announce to this people all these words and they say to you, Why did the Lord speak on us all these evils? What is our injustice</w:t>
      </w:r>
      <w:r>
        <w:rPr>
          <w:rStyle w:val="FootnoteReference"/>
        </w:rPr>
        <w:footnoteReference w:id="12346"/>
      </w:r>
      <w:r>
        <w:t xml:space="preserve">, and what is our sin which we sinned against the Lord our God?</w:t>
      </w:r>
    </w:p>
    <w:p>
      <w:r>
        <w:rPr>
          <w:b/>
        </w:rPr>
        <w:t xml:space="preserve">11 </w:t>
      </w:r>
      <w:r>
        <w:t xml:space="preserve">Then you will say to them, Because your fathers abandoned me, says the Lord, and went after foreign gods and served them and worshiped them, and me they abandoned, and they did not keep my law.</w:t>
      </w:r>
    </w:p>
    <w:p>
      <w:r>
        <w:rPr>
          <w:b/>
        </w:rPr>
        <w:t xml:space="preserve">12 </w:t>
      </w:r>
      <w:r>
        <w:t xml:space="preserve">And you acted more evilly than your fathers, and behold, you each walk after the pleasures of your evil</w:t>
      </w:r>
      <w:r>
        <w:rPr>
          <w:rStyle w:val="FootnoteReference"/>
        </w:rPr>
        <w:footnoteReference w:id="12347"/>
      </w:r>
      <w:r>
        <w:t xml:space="preserve"> heart, so as not to obey me.</w:t>
      </w:r>
    </w:p>
    <w:p>
      <w:r>
        <w:rPr>
          <w:b/>
        </w:rPr>
        <w:t xml:space="preserve">13 </w:t>
      </w:r>
      <w:r>
        <w:t xml:space="preserve">And I will cast you away from this land into a</w:t>
      </w:r>
      <w:r>
        <w:rPr>
          <w:rStyle w:val="FootnoteReference"/>
        </w:rPr>
        <w:footnoteReference w:id="12348"/>
      </w:r>
      <w:r>
        <w:t xml:space="preserve"> land which you and your fathers did not know, and there you will serve other gods who will not give you mercy</w:t>
      </w:r>
      <w:r>
        <w:rPr>
          <w:rStyle w:val="FootnoteReference"/>
        </w:rPr>
        <w:footnoteReference w:id="12349"/>
      </w:r>
      <w:r>
        <w:t xml:space="preserve">.</w:t>
      </w:r>
    </w:p>
    <w:p>
      <w:r>
        <w:rPr>
          <w:b/>
        </w:rPr>
        <w:t xml:space="preserve">14 </w:t>
      </w:r>
      <w:r>
        <w:t xml:space="preserve">Therefore behold</w:t>
      </w:r>
      <w:r>
        <w:rPr>
          <w:rStyle w:val="FootnoteReference"/>
        </w:rPr>
        <w:footnoteReference w:id="12350"/>
      </w:r>
      <w:r>
        <w:t xml:space="preserve">, days are coming, says the Lord, and they will no longer say, As the Lord lives</w:t>
      </w:r>
      <w:r>
        <w:rPr>
          <w:rStyle w:val="FootnoteReference"/>
        </w:rPr>
        <w:footnoteReference w:id="12351"/>
      </w:r>
      <w:r>
        <w:t xml:space="preserve"> who brought up the sons of Israel from the land of Egypt,</w:t>
      </w:r>
    </w:p>
    <w:p>
      <w:r>
        <w:rPr>
          <w:b/>
        </w:rPr>
        <w:t xml:space="preserve">15 </w:t>
      </w:r>
      <w:r>
        <w:t xml:space="preserve">but, As the Lord lives who brought up the house of Israel from the land of the north and from all regions where they were driven there, and I will restore them to their land which I gave to their fathers.</w:t>
      </w:r>
    </w:p>
    <w:p>
      <w:r>
        <w:rPr>
          <w:b/>
        </w:rPr>
        <w:t xml:space="preserve">16 </w:t>
      </w:r>
      <w:r>
        <w:t xml:space="preserve">Behold, I send many fishers, says the Lord, and they will fish them, and after these I will send</w:t>
      </w:r>
      <w:r>
        <w:rPr>
          <w:rStyle w:val="FootnoteReference"/>
        </w:rPr>
        <w:footnoteReference w:id="12352"/>
      </w:r>
      <w:r>
        <w:t xml:space="preserve"> many hunters, and they will hunt them on every mountain and hill and from clefts of the rocks.</w:t>
      </w:r>
      <w:r>
        <w:rPr>
          <w:rStyle w:val="FootnoteReference"/>
        </w:rPr>
        <w:footnoteReference w:id="12353"/>
      </w:r>
    </w:p>
    <w:p>
      <w:r>
        <w:rPr>
          <w:b/>
        </w:rPr>
        <w:t xml:space="preserve">17 </w:t>
      </w:r>
      <w:r>
        <w:t xml:space="preserve">Because my eyes are on all their ways, and their injustices were not hidden from before my eyes.</w:t>
      </w:r>
    </w:p>
    <w:p>
      <w:r>
        <w:rPr>
          <w:b/>
        </w:rPr>
        <w:t xml:space="preserve">18 </w:t>
      </w:r>
      <w:r>
        <w:t xml:space="preserve">And I will repay their injustices and their sins double</w:t>
      </w:r>
      <w:r>
        <w:rPr>
          <w:rStyle w:val="FootnoteReference"/>
        </w:rPr>
        <w:footnoteReference w:id="12354"/>
      </w:r>
      <w:r>
        <w:t xml:space="preserve">, by which they profaned my land with corpses of their abominations and by their lawless deeds in which they offended my inheritance.</w:t>
      </w:r>
    </w:p>
    <w:p>
      <w:r>
        <w:rPr>
          <w:b/>
        </w:rPr>
        <w:t xml:space="preserve">19 </w:t>
      </w:r>
      <w:r>
        <w:t xml:space="preserve">Lord, my strength</w:t>
      </w:r>
      <w:r>
        <w:rPr>
          <w:rStyle w:val="FootnoteReference"/>
        </w:rPr>
        <w:footnoteReference w:id="12355"/>
      </w:r>
      <w:r>
        <w:t xml:space="preserve"> and my help and my refuge in the day of evils, to you the nations will come</w:t>
      </w:r>
      <w:r>
        <w:rPr>
          <w:rStyle w:val="FootnoteReference"/>
        </w:rPr>
        <w:footnoteReference w:id="12356"/>
      </w:r>
      <w:r>
        <w:t xml:space="preserve"> from the end of the earth and say, Our fathers truly possessed lies, idols, and there is no profit in them.</w:t>
      </w:r>
    </w:p>
    <w:p>
      <w:r>
        <w:rPr>
          <w:b/>
        </w:rPr>
        <w:t xml:space="preserve">20 </w:t>
      </w:r>
      <w:r>
        <w:t xml:space="preserve">Will a man make gods for himself, and these are not gods?</w:t>
      </w:r>
    </w:p>
    <w:p>
      <w:r>
        <w:rPr>
          <w:b/>
        </w:rPr>
        <w:t xml:space="preserve">21 </w:t>
      </w:r>
      <w:r>
        <w:t xml:space="preserve">Therefore behold, I will show them my hand at this time and make my power known to them, and they will know that my name is the Lord</w:t>
      </w:r>
      <w:r>
        <w:rPr>
          <w:rStyle w:val="FootnoteReference"/>
        </w:rPr>
        <w:footnoteReference w:id="12357"/>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5 </w:t>
      </w:r>
      <w:r>
        <w:t xml:space="preserve">Cursed is the man</w:t>
      </w:r>
      <w:r>
        <w:rPr>
          <w:rStyle w:val="FootnoteReference"/>
        </w:rPr>
        <w:footnoteReference w:id="12358"/>
      </w:r>
      <w:r>
        <w:t xml:space="preserve"> who has hope in man and will make flesh the support of his arm upon him, and whose heart departs from the Lord.</w:t>
      </w:r>
      <w:r>
        <w:rPr>
          <w:rStyle w:val="FootnoteReference"/>
        </w:rPr>
        <w:footnoteReference w:id="12359"/>
      </w:r>
    </w:p>
    <w:p>
      <w:r>
        <w:rPr>
          <w:b/>
        </w:rPr>
        <w:t xml:space="preserve">6 </w:t>
      </w:r>
      <w:r>
        <w:t xml:space="preserve">And he will be like the tamarisk in the wilderness and will not see when good things come, and he will dwell in barren places and in the wilderness, in a salty land which is not inhabited.</w:t>
      </w:r>
    </w:p>
    <w:p>
      <w:r>
        <w:rPr>
          <w:b/>
        </w:rPr>
        <w:t xml:space="preserve">7 </w:t>
      </w:r>
      <w:r>
        <w:t xml:space="preserve">And blessed is the man who trusts in the Lord, and the Lord will be his hope.</w:t>
      </w:r>
    </w:p>
    <w:p>
      <w:r>
        <w:rPr>
          <w:b/>
        </w:rPr>
        <w:t xml:space="preserve">8 </w:t>
      </w:r>
      <w:r>
        <w:t xml:space="preserve">And he will be like a flourishing tree by waters</w:t>
      </w:r>
      <w:r>
        <w:rPr>
          <w:rStyle w:val="FootnoteReference"/>
        </w:rPr>
        <w:footnoteReference w:id="12360"/>
      </w:r>
      <w:r>
        <w:t xml:space="preserve"> and will cast its roots toward moisture, and it will not fear when heat comes, and on it will be woodland shoots. In the year of drought</w:t>
      </w:r>
      <w:r>
        <w:rPr>
          <w:rStyle w:val="FootnoteReference"/>
        </w:rPr>
        <w:footnoteReference w:id="12361"/>
      </w:r>
      <w:r>
        <w:t xml:space="preserve"> it will not fear and will not cease making fruit.</w:t>
      </w:r>
    </w:p>
    <w:p>
      <w:r>
        <w:rPr>
          <w:b/>
        </w:rPr>
        <w:t xml:space="preserve">9 </w:t>
      </w:r>
      <w:r>
        <w:t xml:space="preserve">Deep is the heart beyond all things</w:t>
      </w:r>
      <w:r>
        <w:rPr>
          <w:rStyle w:val="FootnoteReference"/>
        </w:rPr>
        <w:footnoteReference w:id="12362"/>
      </w:r>
      <w:r>
        <w:t xml:space="preserve">, and it is man; and who will know him?</w:t>
      </w:r>
    </w:p>
    <w:p>
      <w:r>
        <w:rPr>
          <w:b/>
        </w:rPr>
        <w:t xml:space="preserve">10 </w:t>
      </w:r>
      <w:r>
        <w:t xml:space="preserve">I, the Lord</w:t>
      </w:r>
      <w:r>
        <w:rPr>
          <w:rStyle w:val="FootnoteReference"/>
        </w:rPr>
        <w:footnoteReference w:id="12363"/>
      </w:r>
      <w:r>
        <w:t xml:space="preserve">, search hearts and test kidneys</w:t>
      </w:r>
      <w:r>
        <w:rPr>
          <w:rStyle w:val="FootnoteReference"/>
        </w:rPr>
        <w:footnoteReference w:id="12364"/>
      </w:r>
      <w:r>
        <w:t xml:space="preserve">, to give to each according to his ways and according to the fruits of his practices.</w:t>
      </w:r>
    </w:p>
    <w:p>
      <w:r>
        <w:rPr>
          <w:b/>
        </w:rPr>
        <w:t xml:space="preserve">11 </w:t>
      </w:r>
      <w:r>
        <w:t xml:space="preserve">A partridge</w:t>
      </w:r>
      <w:r>
        <w:rPr>
          <w:rStyle w:val="FootnoteReference"/>
        </w:rPr>
        <w:footnoteReference w:id="12365"/>
      </w:r>
      <w:r>
        <w:t xml:space="preserve"> cried out, gathering what she did not bear. One making his wealth not with judgment, in the middle of his days they will leave him, and at his end he will be a fool</w:t>
      </w:r>
      <w:r>
        <w:rPr>
          <w:rStyle w:val="FootnoteReference"/>
        </w:rPr>
        <w:footnoteReference w:id="12366"/>
      </w:r>
      <w:r>
        <w:t xml:space="preserve">.</w:t>
      </w:r>
    </w:p>
    <w:p>
      <w:r>
        <w:rPr>
          <w:b/>
        </w:rPr>
        <w:t xml:space="preserve">12 </w:t>
      </w:r>
      <w:r>
        <w:t xml:space="preserve">An exalted throne of glory is our sanctuary</w:t>
      </w:r>
      <w:r>
        <w:rPr>
          <w:rStyle w:val="FootnoteReference"/>
        </w:rPr>
        <w:footnoteReference w:id="12367"/>
      </w:r>
      <w:r>
        <w:t xml:space="preserve">.</w:t>
      </w:r>
    </w:p>
    <w:p>
      <w:r>
        <w:rPr>
          <w:b/>
        </w:rPr>
        <w:t xml:space="preserve">13 </w:t>
      </w:r>
      <w:r>
        <w:t xml:space="preserve">Hope of Israel, Lord, let all who abandon you be ashamed. Let those departing be written</w:t>
      </w:r>
      <w:r>
        <w:rPr>
          <w:rStyle w:val="FootnoteReference"/>
        </w:rPr>
        <w:footnoteReference w:id="12368"/>
      </w:r>
      <w:r>
        <w:t xml:space="preserve"> upon the earth, because they abandoned the fountain of life</w:t>
      </w:r>
      <w:r>
        <w:rPr>
          <w:rStyle w:val="FootnoteReference"/>
        </w:rPr>
        <w:footnoteReference w:id="12369"/>
      </w:r>
      <w:r>
        <w:t xml:space="preserve">, the Lord.</w:t>
      </w:r>
    </w:p>
    <w:p>
      <w:r>
        <w:rPr>
          <w:b/>
        </w:rPr>
        <w:t xml:space="preserve">14 </w:t>
      </w:r>
      <w:r>
        <w:t xml:space="preserve">Heal</w:t>
      </w:r>
      <w:r>
        <w:rPr>
          <w:rStyle w:val="FootnoteReference"/>
        </w:rPr>
        <w:footnoteReference w:id="12370"/>
      </w:r>
      <w:r>
        <w:t xml:space="preserve"> me, Lord, and I will be healed. Save me, and I will be saved, because you are my boasting.</w:t>
      </w:r>
    </w:p>
    <w:p>
      <w:r>
        <w:rPr>
          <w:b/>
        </w:rPr>
        <w:t xml:space="preserve">15 </w:t>
      </w:r>
      <w:r>
        <w:t xml:space="preserve">Behold, they say to me, Where is the word of the Lord? Let it come.</w:t>
      </w:r>
    </w:p>
    <w:p>
      <w:r>
        <w:rPr>
          <w:b/>
        </w:rPr>
        <w:t xml:space="preserve">16 </w:t>
      </w:r>
      <w:r>
        <w:t xml:space="preserve">But I did not grow weary following after you, and a day of man</w:t>
      </w:r>
      <w:r>
        <w:rPr>
          <w:rStyle w:val="FootnoteReference"/>
        </w:rPr>
        <w:footnoteReference w:id="12371"/>
      </w:r>
      <w:r>
        <w:t xml:space="preserve"> I did not desire. You know what goes out through my lips; it is before your face.</w:t>
      </w:r>
    </w:p>
    <w:p>
      <w:r>
        <w:rPr>
          <w:b/>
        </w:rPr>
        <w:t xml:space="preserve">17 </w:t>
      </w:r>
      <w:r>
        <w:t xml:space="preserve">Do not become alienation to me, sparing me in an evil day.</w:t>
      </w:r>
    </w:p>
    <w:p>
      <w:r>
        <w:rPr>
          <w:b/>
        </w:rPr>
        <w:t xml:space="preserve">18 </w:t>
      </w:r>
      <w:r>
        <w:t xml:space="preserve">Let those persecuting me be ashamed, and let me not be ashamed. Let them be terrified, and let me not be terrified. Bring on them an evil day; crush them with double crushing</w:t>
      </w:r>
      <w:r>
        <w:rPr>
          <w:rStyle w:val="FootnoteReference"/>
        </w:rPr>
        <w:footnoteReference w:id="12372"/>
      </w:r>
      <w:r>
        <w:t xml:space="preserve">.</w:t>
      </w:r>
    </w:p>
    <w:p>
      <w:r>
        <w:rPr>
          <w:b/>
        </w:rPr>
        <w:t xml:space="preserve">19 </w:t>
      </w:r>
      <w:r>
        <w:t xml:space="preserve">Thus says the Lord: Go and stand in the gates of the sons of your people, in which the kings of Judah enter and go out, and in all the gates of Jerusalem,</w:t>
      </w:r>
    </w:p>
    <w:p>
      <w:r>
        <w:rPr>
          <w:b/>
        </w:rPr>
        <w:t xml:space="preserve">20 </w:t>
      </w:r>
      <w:r>
        <w:t xml:space="preserve">and say to them, Hear the word of the Lord, kings of Judah and all Judah and all Jerusalem, entering in these gates.</w:t>
      </w:r>
    </w:p>
    <w:p>
      <w:r>
        <w:rPr>
          <w:b/>
        </w:rPr>
        <w:t xml:space="preserve">21 </w:t>
      </w:r>
      <w:r>
        <w:t xml:space="preserve">Thus says the Lord: Guard your souls and do not carry burdens</w:t>
      </w:r>
      <w:r>
        <w:rPr>
          <w:rStyle w:val="FootnoteReference"/>
        </w:rPr>
        <w:footnoteReference w:id="12373"/>
      </w:r>
      <w:r>
        <w:t xml:space="preserve"> on the day of Sabbaths and do not go out by the gates of Jerusalem.</w:t>
      </w:r>
    </w:p>
    <w:p>
      <w:r>
        <w:rPr>
          <w:b/>
        </w:rPr>
        <w:t xml:space="preserve">22 </w:t>
      </w:r>
      <w:r>
        <w:t xml:space="preserve">And do not bring burdens out of your houses on the day of Sabbaths</w:t>
      </w:r>
      <w:r>
        <w:rPr>
          <w:rStyle w:val="FootnoteReference"/>
        </w:rPr>
        <w:footnoteReference w:id="12374"/>
      </w:r>
      <w:r>
        <w:t xml:space="preserve">, and do no work. Sanctify the day of Sabbaths, just as I commanded your fathers, and they did not hear and did not incline their ear.</w:t>
      </w:r>
    </w:p>
    <w:p>
      <w:r>
        <w:rPr>
          <w:b/>
        </w:rPr>
        <w:t xml:space="preserve">23 </w:t>
      </w:r>
      <w:r>
        <w:t xml:space="preserve">And they hardened their neck more than their fathers, not to hear me and not to receive discipline.</w:t>
      </w:r>
    </w:p>
    <w:p>
      <w:r>
        <w:rPr>
          <w:b/>
        </w:rPr>
        <w:t xml:space="preserve">24 </w:t>
      </w:r>
      <w:r>
        <w:t xml:space="preserve">And it will be if in hearing you hear me, says the Lord, not bringing burdens through the gates of this city on the day of Sabbaths and sanctifying the day of Sabbaths, so as not to do any work,</w:t>
      </w:r>
    </w:p>
    <w:p>
      <w:r>
        <w:rPr>
          <w:b/>
        </w:rPr>
        <w:t xml:space="preserve">25 </w:t>
      </w:r>
      <w:r>
        <w:t xml:space="preserve">then kings and rulers seated on the throne of David</w:t>
      </w:r>
      <w:r>
        <w:rPr>
          <w:rStyle w:val="FootnoteReference"/>
        </w:rPr>
        <w:footnoteReference w:id="12375"/>
      </w:r>
      <w:r>
        <w:t xml:space="preserve"> will enter through the gates of this city and mounted on their chariots and on their horses, they and their rulers, men of Judah and the inhabitants of Jerusalem, and this</w:t>
      </w:r>
      <w:r>
        <w:rPr>
          <w:rStyle w:val="FootnoteReference"/>
        </w:rPr>
        <w:footnoteReference w:id="12376"/>
      </w:r>
      <w:r>
        <w:t xml:space="preserve"> city will be inhabited forever.</w:t>
      </w:r>
    </w:p>
    <w:p>
      <w:r>
        <w:rPr>
          <w:b/>
        </w:rPr>
        <w:t xml:space="preserve">26 </w:t>
      </w:r>
      <w:r>
        <w:t xml:space="preserve">And they will come from the cities</w:t>
      </w:r>
      <w:r>
        <w:rPr>
          <w:rStyle w:val="FootnoteReference"/>
        </w:rPr>
        <w:footnoteReference w:id="12377"/>
      </w:r>
      <w:r>
        <w:t xml:space="preserve"> of Judah and from around Jerusalem and from the land of Benjamin and from the lowland and from the mountain and from the south, bringing whole burnt offerings and sacrifice and incense and grain offering</w:t>
      </w:r>
      <w:r>
        <w:rPr>
          <w:rStyle w:val="FootnoteReference"/>
        </w:rPr>
        <w:footnoteReference w:id="12378"/>
      </w:r>
      <w:r>
        <w:t xml:space="preserve"> and frankincense, bringing praise into the house of the Lord.</w:t>
      </w:r>
    </w:p>
    <w:p>
      <w:r>
        <w:rPr>
          <w:b/>
        </w:rPr>
        <w:t xml:space="preserve">27 </w:t>
      </w:r>
      <w:r>
        <w:t xml:space="preserve">And it will be if you do not hear me, to sanctify the day of Sabbaths, not to carry burdens and not to enter by the gates of Jerusalem on the day of Sabbaths, then I will kindle fire in her gates and it will devour the streets of Jerusalem and will not be quenched</w:t>
      </w:r>
      <w:r>
        <w:rPr>
          <w:rStyle w:val="FootnoteReference"/>
        </w:rPr>
        <w:footnoteReference w:id="12379"/>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The word that came from the Lord to Jeremiah, saying,</w:t>
      </w:r>
    </w:p>
    <w:p>
      <w:r>
        <w:rPr>
          <w:b/>
        </w:rPr>
        <w:t xml:space="preserve">2 </w:t>
      </w:r>
      <w:r>
        <w:t xml:space="preserve">Rise and go</w:t>
      </w:r>
      <w:r>
        <w:rPr>
          <w:rStyle w:val="FootnoteReference"/>
        </w:rPr>
        <w:footnoteReference w:id="12380"/>
      </w:r>
      <w:r>
        <w:t xml:space="preserve"> down into the house of the potter</w:t>
      </w:r>
      <w:r>
        <w:rPr>
          <w:rStyle w:val="FootnoteReference"/>
        </w:rPr>
        <w:footnoteReference w:id="12381"/>
      </w:r>
      <w:r>
        <w:t xml:space="preserve">, and there you will hear my words.</w:t>
      </w:r>
    </w:p>
    <w:p>
      <w:r>
        <w:rPr>
          <w:b/>
        </w:rPr>
        <w:t xml:space="preserve">3 </w:t>
      </w:r>
      <w:r>
        <w:t xml:space="preserve">And I went</w:t>
      </w:r>
      <w:r>
        <w:rPr>
          <w:rStyle w:val="FootnoteReference"/>
        </w:rPr>
        <w:footnoteReference w:id="12382"/>
      </w:r>
      <w:r>
        <w:t xml:space="preserve"> down into the house of the potter, and behold, he was doing work upon the stones</w:t>
      </w:r>
      <w:r>
        <w:rPr>
          <w:rStyle w:val="FootnoteReference"/>
        </w:rPr>
        <w:footnoteReference w:id="12383"/>
      </w:r>
      <w:r>
        <w:t xml:space="preserve">.</w:t>
      </w:r>
    </w:p>
    <w:p>
      <w:r>
        <w:rPr>
          <w:b/>
        </w:rPr>
        <w:t xml:space="preserve">4 </w:t>
      </w:r>
      <w:r>
        <w:t xml:space="preserve">And the vessel</w:t>
      </w:r>
      <w:r>
        <w:rPr>
          <w:rStyle w:val="FootnoteReference"/>
        </w:rPr>
        <w:footnoteReference w:id="12384"/>
      </w:r>
      <w:r>
        <w:t xml:space="preserve"> which he was making fell apart in his hands, and again he made it another vessel, just as it pleased him to make.</w:t>
      </w:r>
    </w:p>
    <w:p>
      <w:r>
        <w:rPr>
          <w:b/>
        </w:rPr>
        <w:t xml:space="preserve">5 </w:t>
      </w:r>
      <w:r>
        <w:t xml:space="preserve">And the word of the Lord came to me, saying,</w:t>
      </w:r>
    </w:p>
    <w:p>
      <w:r>
        <w:rPr>
          <w:b/>
        </w:rPr>
        <w:t xml:space="preserve">6 </w:t>
      </w:r>
      <w:r>
        <w:t xml:space="preserve">Will I not be able to make you as this potter does, house of Israel? Behold, as the clay of the potter</w:t>
      </w:r>
      <w:r>
        <w:rPr>
          <w:rStyle w:val="FootnoteReference"/>
        </w:rPr>
        <w:footnoteReference w:id="12385"/>
      </w:r>
      <w:r>
        <w:t xml:space="preserve">, you are in my hands.</w:t>
      </w:r>
    </w:p>
    <w:p>
      <w:r>
        <w:rPr>
          <w:b/>
        </w:rPr>
        <w:t xml:space="preserve">7 </w:t>
      </w:r>
      <w:r>
        <w:t xml:space="preserve">At one moment I will speak concerning a nation or concerning a kingdom</w:t>
      </w:r>
      <w:r>
        <w:rPr>
          <w:rStyle w:val="FootnoteReference"/>
        </w:rPr>
        <w:footnoteReference w:id="12386"/>
      </w:r>
      <w:r>
        <w:t xml:space="preserve">, to root them up and destroy.</w:t>
      </w:r>
    </w:p>
    <w:p>
      <w:r>
        <w:rPr>
          <w:b/>
        </w:rPr>
        <w:t xml:space="preserve">8 </w:t>
      </w:r>
      <w:r>
        <w:t xml:space="preserve">And if that nation</w:t>
      </w:r>
      <w:r>
        <w:rPr>
          <w:rStyle w:val="FootnoteReference"/>
        </w:rPr>
        <w:footnoteReference w:id="12387"/>
      </w:r>
      <w:r>
        <w:t xml:space="preserve"> turns from all its evils, then I will repent concerning the evils which I planned to do to them.</w:t>
      </w:r>
    </w:p>
    <w:p>
      <w:r>
        <w:rPr>
          <w:b/>
        </w:rPr>
        <w:t xml:space="preserve">9 </w:t>
      </w:r>
      <w:r>
        <w:t xml:space="preserve">And at another moment I will speak concerning a nation and concerning a kingdom, that it be built and planted.</w:t>
      </w:r>
    </w:p>
    <w:p>
      <w:r>
        <w:rPr>
          <w:b/>
        </w:rPr>
        <w:t xml:space="preserve">10 </w:t>
      </w:r>
      <w:r>
        <w:t xml:space="preserve">And if they do evil before me, not hearing my voice, then I will repent concerning the good things</w:t>
      </w:r>
      <w:r>
        <w:rPr>
          <w:rStyle w:val="FootnoteReference"/>
        </w:rPr>
        <w:footnoteReference w:id="12388"/>
      </w:r>
      <w:r>
        <w:t xml:space="preserve"> which I spoke to do for them.</w:t>
      </w:r>
    </w:p>
    <w:p>
      <w:r>
        <w:rPr>
          <w:b/>
        </w:rPr>
        <w:t xml:space="preserve">11 </w:t>
      </w:r>
      <w:r>
        <w:t xml:space="preserve">And now speak to the men of Judah and to the inhabitants of Jerusalem: Behold, I am forming evils against you and planning a plan against you</w:t>
      </w:r>
      <w:r>
        <w:rPr>
          <w:rStyle w:val="FootnoteReference"/>
        </w:rPr>
        <w:footnoteReference w:id="12389"/>
      </w:r>
      <w:r>
        <w:t xml:space="preserve">. Let each turn from his evil way, and you will make your practices better.</w:t>
      </w:r>
    </w:p>
    <w:p>
      <w:r>
        <w:rPr>
          <w:b/>
        </w:rPr>
        <w:t xml:space="preserve">12 </w:t>
      </w:r>
      <w:r>
        <w:t xml:space="preserve">And they said, We will be strong, because after our turnings away we will go, and each will do the pleasures of his own evil heart</w:t>
      </w:r>
      <w:r>
        <w:rPr>
          <w:rStyle w:val="FootnoteReference"/>
        </w:rPr>
        <w:footnoteReference w:id="12390"/>
      </w:r>
      <w:r>
        <w:t xml:space="preserve">.</w:t>
      </w:r>
    </w:p>
    <w:p>
      <w:r>
        <w:rPr>
          <w:b/>
        </w:rPr>
        <w:t xml:space="preserve">13 </w:t>
      </w:r>
      <w:r>
        <w:t xml:space="preserve">Therefore thus says the Lord: Ask now among the nations: who heard such fearful things which virgin Israel</w:t>
      </w:r>
      <w:r>
        <w:rPr>
          <w:rStyle w:val="FootnoteReference"/>
        </w:rPr>
        <w:footnoteReference w:id="12391"/>
      </w:r>
      <w:r>
        <w:t xml:space="preserve"> did exceedingly?</w:t>
      </w:r>
      <w:r>
        <w:rPr>
          <w:rStyle w:val="FootnoteReference"/>
        </w:rPr>
        <w:footnoteReference w:id="12392"/>
      </w:r>
    </w:p>
    <w:p>
      <w:r>
        <w:rPr>
          <w:b/>
        </w:rPr>
        <w:t xml:space="preserve">14 </w:t>
      </w:r>
      <w:r>
        <w:t xml:space="preserve">Will</w:t>
      </w:r>
      <w:r>
        <w:rPr>
          <w:rStyle w:val="FootnoteReference"/>
        </w:rPr>
        <w:footnoteReference w:id="12393"/>
      </w:r>
      <w:r>
        <w:t xml:space="preserve"> breasts fail from rock, or snow from Lebanon? Will water carried violently by wind turn aside?</w:t>
      </w:r>
      <w:r>
        <w:rPr>
          <w:rStyle w:val="FootnoteReference"/>
        </w:rPr>
        <w:footnoteReference w:id="12394"/>
      </w:r>
    </w:p>
    <w:p>
      <w:r>
        <w:rPr>
          <w:b/>
        </w:rPr>
        <w:t xml:space="preserve">15 </w:t>
      </w:r>
      <w:r>
        <w:t xml:space="preserve">Because my people</w:t>
      </w:r>
      <w:r>
        <w:rPr>
          <w:rStyle w:val="FootnoteReference"/>
        </w:rPr>
        <w:footnoteReference w:id="12395"/>
      </w:r>
      <w:r>
        <w:t xml:space="preserve"> forgot me. In vain they burned incense, and they will be weakened in their ways, everlasting tracks</w:t>
      </w:r>
      <w:r>
        <w:rPr>
          <w:rStyle w:val="FootnoteReference"/>
        </w:rPr>
        <w:footnoteReference w:id="12396"/>
      </w:r>
      <w:r>
        <w:t xml:space="preserve">, to step on paths having no road for walking,</w:t>
      </w:r>
    </w:p>
    <w:p>
      <w:r>
        <w:rPr>
          <w:b/>
        </w:rPr>
        <w:t xml:space="preserve">16 </w:t>
      </w:r>
      <w:r>
        <w:t xml:space="preserve">to set their land for destruction and everlasting hissing. All who pass through it will be astonished and shake their heads.</w:t>
      </w:r>
    </w:p>
    <w:p>
      <w:r>
        <w:rPr>
          <w:b/>
        </w:rPr>
        <w:t xml:space="preserve">17 </w:t>
      </w:r>
      <w:r>
        <w:t xml:space="preserve">Like a burning wind</w:t>
      </w:r>
      <w:r>
        <w:rPr>
          <w:rStyle w:val="FootnoteReference"/>
        </w:rPr>
        <w:footnoteReference w:id="12397"/>
      </w:r>
      <w:r>
        <w:t xml:space="preserve"> I will scatter</w:t>
      </w:r>
      <w:r>
        <w:rPr>
          <w:rStyle w:val="FootnoteReference"/>
        </w:rPr>
        <w:footnoteReference w:id="12398"/>
      </w:r>
      <w:r>
        <w:t xml:space="preserve"> them before the face of their enemies. I will show them the day of their destruction.</w:t>
      </w:r>
    </w:p>
    <w:p>
      <w:r>
        <w:rPr>
          <w:b/>
        </w:rPr>
        <w:t xml:space="preserve">18 </w:t>
      </w:r>
      <w:r>
        <w:t xml:space="preserve">And they said, Come, let us think a thought against Jeremiah, because law will not perish from a priest, and counsel</w:t>
      </w:r>
      <w:r>
        <w:rPr>
          <w:rStyle w:val="FootnoteReference"/>
        </w:rPr>
        <w:footnoteReference w:id="12399"/>
      </w:r>
      <w:r>
        <w:t xml:space="preserve"> from a wise man, and word from a prophet. Come, let us strike him with the tongue</w:t>
      </w:r>
      <w:r>
        <w:rPr>
          <w:rStyle w:val="FootnoteReference"/>
        </w:rPr>
        <w:footnoteReference w:id="12400"/>
      </w:r>
      <w:r>
        <w:t xml:space="preserve"> and hear all his words.</w:t>
      </w:r>
    </w:p>
    <w:p>
      <w:r>
        <w:rPr>
          <w:b/>
        </w:rPr>
        <w:t xml:space="preserve">19 </w:t>
      </w:r>
      <w:r>
        <w:t xml:space="preserve">Hear me, Lord, and hear the voice of my plea.</w:t>
      </w:r>
    </w:p>
    <w:p>
      <w:r>
        <w:rPr>
          <w:b/>
        </w:rPr>
        <w:t xml:space="preserve">20 </w:t>
      </w:r>
      <w:r>
        <w:t xml:space="preserve">Is evil repaid in place of good</w:t>
      </w:r>
      <w:r>
        <w:rPr>
          <w:rStyle w:val="FootnoteReference"/>
        </w:rPr>
        <w:footnoteReference w:id="12401"/>
      </w:r>
      <w:r>
        <w:t xml:space="preserve">? Because they spoke words against my soul and hid their punishment for me. Remember my standing before your face to speak good things for them, to turn your wrath away from them.</w:t>
      </w:r>
      <w:r>
        <w:rPr>
          <w:rStyle w:val="FootnoteReference"/>
        </w:rPr>
        <w:footnoteReference w:id="12402"/>
      </w:r>
    </w:p>
    <w:p>
      <w:r>
        <w:rPr>
          <w:b/>
        </w:rPr>
        <w:t xml:space="preserve">21 </w:t>
      </w:r>
      <w:r>
        <w:t xml:space="preserve">Therefore give their sons to famine</w:t>
      </w:r>
      <w:r>
        <w:rPr>
          <w:rStyle w:val="FootnoteReference"/>
        </w:rPr>
        <w:footnoteReference w:id="12403"/>
      </w:r>
      <w:r>
        <w:t xml:space="preserve"> and gather them into the hands of a sword. Let their wives</w:t>
      </w:r>
      <w:r>
        <w:rPr>
          <w:rStyle w:val="FootnoteReference"/>
        </w:rPr>
        <w:footnoteReference w:id="12404"/>
      </w:r>
      <w:r>
        <w:t xml:space="preserve"> become childless and widows, and let their men become killed by death, and their young men fallen by sword in war.</w:t>
      </w:r>
    </w:p>
    <w:p>
      <w:r>
        <w:rPr>
          <w:b/>
        </w:rPr>
        <w:t xml:space="preserve">22 </w:t>
      </w:r>
      <w:r>
        <w:t xml:space="preserve">Let a cry</w:t>
      </w:r>
      <w:r>
        <w:rPr>
          <w:rStyle w:val="FootnoteReference"/>
        </w:rPr>
        <w:footnoteReference w:id="12405"/>
      </w:r>
      <w:r>
        <w:t xml:space="preserve"> come in their houses, because you will bring robbers on them suddenly, because they laid a word for my capture and hid snares against me.</w:t>
      </w:r>
    </w:p>
    <w:p>
      <w:r>
        <w:rPr>
          <w:b/>
        </w:rPr>
        <w:t xml:space="preserve">23 </w:t>
      </w:r>
      <w:r>
        <w:t xml:space="preserve">And you, Lord, knew all their counsel against me for death. Do not acquit their injustices, and do not wipe away their sins</w:t>
      </w:r>
      <w:r>
        <w:rPr>
          <w:rStyle w:val="FootnoteReference"/>
        </w:rPr>
        <w:footnoteReference w:id="12406"/>
      </w:r>
      <w:r>
        <w:t xml:space="preserve"> from before your face. Let their weakness be before you; in the time of your wrath, do in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Then the Lord said to me, Go and buy a shaped earthen jar and bring some of the elders of the people and some of the elders of the priests,</w:t>
      </w:r>
    </w:p>
    <w:p>
      <w:r>
        <w:rPr>
          <w:b/>
        </w:rPr>
        <w:t xml:space="preserve">2 </w:t>
      </w:r>
      <w:r>
        <w:t xml:space="preserve">and you will go out to the burial place of the sons of their children, which is by the entrances of the Gate of Potsherd, and there read all the words which I speak to you,</w:t>
      </w:r>
    </w:p>
    <w:p>
      <w:r>
        <w:rPr>
          <w:b/>
        </w:rPr>
        <w:t xml:space="preserve">3 </w:t>
      </w:r>
      <w:r>
        <w:t xml:space="preserve">and say to them, Hear</w:t>
      </w:r>
      <w:r>
        <w:rPr>
          <w:rStyle w:val="FootnoteReference"/>
        </w:rPr>
        <w:footnoteReference w:id="12407"/>
      </w:r>
      <w:r>
        <w:t xml:space="preserve"> the word of the Lord, kings of Judah and men of Judah and the inhabitants of Jerusalem and those entering these gates. Thus says the Lord God of Israel: Behold, I bring evils on this place so that both ears of everyone hearing them will ring.</w:t>
      </w:r>
    </w:p>
    <w:p>
      <w:r>
        <w:rPr>
          <w:b/>
        </w:rPr>
        <w:t xml:space="preserve">4 </w:t>
      </w:r>
      <w:r>
        <w:t xml:space="preserve">Because they abandoned me and estranged</w:t>
      </w:r>
      <w:r>
        <w:rPr>
          <w:rStyle w:val="FootnoteReference"/>
        </w:rPr>
        <w:footnoteReference w:id="12408"/>
      </w:r>
      <w:r>
        <w:t xml:space="preserve"> this place and burned incense in it to foreign gods whom they and their fathers and kings of Judah did not know, and they filled this place with innocent bloods,</w:t>
      </w:r>
    </w:p>
    <w:p>
      <w:r>
        <w:rPr>
          <w:b/>
        </w:rPr>
        <w:t xml:space="preserve">5 </w:t>
      </w:r>
      <w:r>
        <w:t xml:space="preserve">and built high places to Baal to burn</w:t>
      </w:r>
      <w:r>
        <w:rPr>
          <w:rStyle w:val="FootnoteReference"/>
        </w:rPr>
        <w:footnoteReference w:id="12409"/>
      </w:r>
      <w:r>
        <w:t xml:space="preserve"> their sons in fire, which I did not command, nor speak, nor conceive in my heart.</w:t>
      </w:r>
    </w:p>
    <w:p>
      <w:r>
        <w:rPr>
          <w:b/>
        </w:rPr>
        <w:t xml:space="preserve">6 </w:t>
      </w:r>
      <w:r>
        <w:t xml:space="preserve">Therefore behold, days are coming, says the Lord, and this place will no longer be called Falling Away and burial place of the son of Hinnom, but burial place of slaughter.</w:t>
      </w:r>
    </w:p>
    <w:p>
      <w:r>
        <w:rPr>
          <w:b/>
        </w:rPr>
        <w:t xml:space="preserve">7 </w:t>
      </w:r>
      <w:r>
        <w:t xml:space="preserve">And I will slaughter the counsel of Judah and the counsel of Jerusalem in this place, and I will cast them down by the sword before their enemies and in the hands of those seeking their souls, and I will give their dead bodies for food to the birds of heaven and the beasts of the earth.</w:t>
      </w:r>
    </w:p>
    <w:p>
      <w:r>
        <w:rPr>
          <w:b/>
        </w:rPr>
        <w:t xml:space="preserve">8 </w:t>
      </w:r>
      <w:r>
        <w:t xml:space="preserve">And I will set this city for destruction and hissing. Everyone passing by it will look gloomy and hiss over every plague of it.</w:t>
      </w:r>
    </w:p>
    <w:p>
      <w:r>
        <w:rPr>
          <w:b/>
        </w:rPr>
        <w:t xml:space="preserve">9 </w:t>
      </w:r>
      <w:r>
        <w:t xml:space="preserve">And they will eat the</w:t>
      </w:r>
      <w:r>
        <w:rPr>
          <w:rStyle w:val="FootnoteReference"/>
        </w:rPr>
        <w:footnoteReference w:id="12410"/>
      </w:r>
      <w:r>
        <w:t xml:space="preserve"> flesh of their sons and the flesh of their daughters, and each will eat the flesh of his neighbor in the siege and in the straitness with which their enemies will besiege them.</w:t>
      </w:r>
    </w:p>
    <w:p>
      <w:r>
        <w:rPr>
          <w:b/>
        </w:rPr>
        <w:t xml:space="preserve">10 </w:t>
      </w:r>
      <w:r>
        <w:t xml:space="preserve">And you will crush the jar before the eyes of the men going out with you,</w:t>
      </w:r>
    </w:p>
    <w:p>
      <w:r>
        <w:rPr>
          <w:b/>
        </w:rPr>
        <w:t xml:space="preserve">11 </w:t>
      </w:r>
      <w:r>
        <w:t xml:space="preserve">and say, Thus says the Lord: So I will crush this people and this city just as an earthen vessel is crushed which can no longer be healed.</w:t>
      </w:r>
    </w:p>
    <w:p>
      <w:r>
        <w:rPr>
          <w:b/>
        </w:rPr>
        <w:t xml:space="preserve">12 </w:t>
      </w:r>
      <w:r>
        <w:t xml:space="preserve">Thus I will do, says the Lord, to this place and to those dwelling in it, to make</w:t>
      </w:r>
      <w:r>
        <w:rPr>
          <w:rStyle w:val="FootnoteReference"/>
        </w:rPr>
        <w:footnoteReference w:id="12411"/>
      </w:r>
      <w:r>
        <w:t xml:space="preserve"> this city like the fallen place.</w:t>
      </w:r>
    </w:p>
    <w:p>
      <w:r>
        <w:rPr>
          <w:b/>
        </w:rPr>
        <w:t xml:space="preserve">13 </w:t>
      </w:r>
      <w:r>
        <w:t xml:space="preserve">And the houses of Jerusalem and the houses of the kings of Judah will be as the place of falling away of uncleannesses, in all the houses in which they burned incense on their roofs to all the army of heaven and poured drink offerings to foreign gods.</w:t>
      </w:r>
    </w:p>
    <w:p>
      <w:r>
        <w:rPr>
          <w:b/>
        </w:rPr>
        <w:t xml:space="preserve">14 </w:t>
      </w:r>
      <w:r>
        <w:t xml:space="preserve">And Jeremiah came from the place of falling away where the Lord sent him to prophesy, and he stood</w:t>
      </w:r>
      <w:r>
        <w:rPr>
          <w:rStyle w:val="FootnoteReference"/>
        </w:rPr>
        <w:footnoteReference w:id="12412"/>
      </w:r>
      <w:r>
        <w:t xml:space="preserve"> in the court of the house of the Lord and said to all the people,</w:t>
      </w:r>
    </w:p>
    <w:p>
      <w:r>
        <w:rPr>
          <w:b/>
        </w:rPr>
        <w:t xml:space="preserve">15 </w:t>
      </w:r>
      <w:r>
        <w:t xml:space="preserve">Thus says the Lord: Behold, I bring on this city and on all her cities and on her villages all the evils which I spoke against her, because they hardened their neck so as not to hear my words.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Pashhur</w:t>
      </w:r>
      <w:r>
        <w:rPr>
          <w:rStyle w:val="FootnoteReference"/>
        </w:rPr>
        <w:footnoteReference w:id="12413"/>
      </w:r>
      <w:r>
        <w:t xml:space="preserve"> son of Immer</w:t>
      </w:r>
      <w:r>
        <w:rPr>
          <w:rStyle w:val="FootnoteReference"/>
        </w:rPr>
        <w:footnoteReference w:id="12414"/>
      </w:r>
      <w:r>
        <w:t xml:space="preserve">, the priest, who was appointed ruler of the house of the Lord, heard Jeremiah prophesying these words.</w:t>
      </w:r>
    </w:p>
    <w:p>
      <w:r>
        <w:rPr>
          <w:b/>
        </w:rPr>
        <w:t xml:space="preserve">2 </w:t>
      </w:r>
      <w:r>
        <w:t xml:space="preserve">And he struck him and threw him into the stocks</w:t>
      </w:r>
      <w:r>
        <w:rPr>
          <w:rStyle w:val="FootnoteReference"/>
        </w:rPr>
        <w:footnoteReference w:id="12415"/>
      </w:r>
      <w:r>
        <w:t xml:space="preserve">, which were at the gate of the appointed upper house, which was in the house of the Lord.</w:t>
      </w:r>
      <w:r>
        <w:rPr>
          <w:rStyle w:val="FootnoteReference"/>
        </w:rPr>
        <w:footnoteReference w:id="12416"/>
      </w:r>
    </w:p>
    <w:p>
      <w:r>
        <w:rPr>
          <w:b/>
        </w:rPr>
        <w:t xml:space="preserve">3 </w:t>
      </w:r>
      <w:r>
        <w:t xml:space="preserve">And Pashhur brought Jeremiah out from the stocks, and Jeremiah said to him, The Lord did not call your name Pashhur, but Exile</w:t>
      </w:r>
      <w:r>
        <w:rPr>
          <w:rStyle w:val="FootnoteReference"/>
        </w:rPr>
        <w:footnoteReference w:id="12417"/>
      </w:r>
      <w:r>
        <w:t xml:space="preserve">.</w:t>
      </w:r>
    </w:p>
    <w:p>
      <w:r>
        <w:rPr>
          <w:b/>
        </w:rPr>
        <w:t xml:space="preserve">4 </w:t>
      </w:r>
      <w:r>
        <w:t xml:space="preserve">Because thus says the Lord: Behold, I give you into exile with all your friends, and they will fall by the sword of their enemies and your eyes will see, and I will give</w:t>
      </w:r>
      <w:r>
        <w:rPr>
          <w:rStyle w:val="FootnoteReference"/>
        </w:rPr>
        <w:footnoteReference w:id="12418"/>
      </w:r>
      <w:r>
        <w:t xml:space="preserve"> you and all Judah into the hands of the king of Babylon</w:t>
      </w:r>
      <w:r>
        <w:rPr>
          <w:rStyle w:val="FootnoteReference"/>
        </w:rPr>
        <w:footnoteReference w:id="12419"/>
      </w:r>
      <w:r>
        <w:t xml:space="preserve">, and they will carry them away and cut them down with swords.</w:t>
      </w:r>
    </w:p>
    <w:p>
      <w:r>
        <w:rPr>
          <w:b/>
        </w:rPr>
        <w:t xml:space="preserve">5 </w:t>
      </w:r>
      <w:r>
        <w:t xml:space="preserve">And I will give all the strength of this city and all its toils and all the treasures of the king of Judah into the hands of his enemies, and they will carry them into Babylon.</w:t>
      </w:r>
    </w:p>
    <w:p>
      <w:r>
        <w:rPr>
          <w:b/>
        </w:rPr>
        <w:t xml:space="preserve">6 </w:t>
      </w:r>
      <w:r>
        <w:t xml:space="preserve">And you and all who dwell in your house will go into captivity, and in Babylon you will die, and there you will be buried, you and all your friends to whom you prophesied lies</w:t>
      </w:r>
      <w:r>
        <w:rPr>
          <w:rStyle w:val="FootnoteReference"/>
        </w:rPr>
        <w:footnoteReference w:id="12420"/>
      </w:r>
      <w:r>
        <w:t xml:space="preserve">.</w:t>
      </w:r>
    </w:p>
    <w:p>
      <w:r>
        <w:rPr>
          <w:b/>
        </w:rPr>
        <w:t xml:space="preserve">7 </w:t>
      </w:r>
      <w:r>
        <w:t xml:space="preserve">You deceived me</w:t>
      </w:r>
      <w:r>
        <w:rPr>
          <w:rStyle w:val="FootnoteReference"/>
        </w:rPr>
        <w:footnoteReference w:id="12421"/>
      </w:r>
      <w:r>
        <w:t xml:space="preserve">, Lord, and I was deceived. You overpowered me and prevailed. I became a laughingstock all day. I was continually mocked.</w:t>
      </w:r>
      <w:r>
        <w:rPr>
          <w:rStyle w:val="FootnoteReference"/>
        </w:rPr>
        <w:footnoteReference w:id="12422"/>
      </w:r>
    </w:p>
    <w:p>
      <w:r>
        <w:rPr>
          <w:b/>
        </w:rPr>
        <w:t xml:space="preserve">8 </w:t>
      </w:r>
      <w:r>
        <w:t xml:space="preserve">Because with my bitter word I will laugh. Lawlessness and misery I will call out, because the word</w:t>
      </w:r>
      <w:r>
        <w:rPr>
          <w:rStyle w:val="FootnoteReference"/>
        </w:rPr>
        <w:footnoteReference w:id="12423"/>
      </w:r>
      <w:r>
        <w:t xml:space="preserve"> of the Lord became to me for reproach and for mockery all my days.</w:t>
      </w:r>
    </w:p>
    <w:p>
      <w:r>
        <w:rPr>
          <w:b/>
        </w:rPr>
        <w:t xml:space="preserve">9 </w:t>
      </w:r>
      <w:r>
        <w:t xml:space="preserve">And I said, I will not name the name of the Lord and I will not speak any longer in his name. And it became like a burning fire flaming in my bones</w:t>
      </w:r>
      <w:r>
        <w:rPr>
          <w:rStyle w:val="FootnoteReference"/>
        </w:rPr>
        <w:footnoteReference w:id="12424"/>
      </w:r>
      <w:r>
        <w:t xml:space="preserve">, and I am weakened from every side and cannot bear it.</w:t>
      </w:r>
    </w:p>
    <w:p>
      <w:r>
        <w:rPr>
          <w:b/>
        </w:rPr>
        <w:t xml:space="preserve">10 </w:t>
      </w:r>
      <w:r>
        <w:t xml:space="preserve">Because I heard</w:t>
      </w:r>
      <w:r>
        <w:rPr>
          <w:rStyle w:val="FootnoteReference"/>
        </w:rPr>
        <w:footnoteReference w:id="12425"/>
      </w:r>
      <w:r>
        <w:t xml:space="preserve"> the blame of many gathering around: Assemble, and let us assemble against him. All men who are his friends, watch his thought</w:t>
      </w:r>
      <w:r>
        <w:rPr>
          <w:rStyle w:val="FootnoteReference"/>
        </w:rPr>
        <w:footnoteReference w:id="12426"/>
      </w:r>
      <w:r>
        <w:t xml:space="preserve">, if he will be deceived, and we will prevail against him and take our vengeance from him.</w:t>
      </w:r>
    </w:p>
    <w:p>
      <w:r>
        <w:rPr>
          <w:b/>
        </w:rPr>
        <w:t xml:space="preserve">11 </w:t>
      </w:r>
      <w:r>
        <w:t xml:space="preserve">And the Lord</w:t>
      </w:r>
      <w:r>
        <w:rPr>
          <w:rStyle w:val="FootnoteReference"/>
        </w:rPr>
        <w:footnoteReference w:id="12427"/>
      </w:r>
      <w:r>
        <w:t xml:space="preserve"> is with me like a mighty warrior</w:t>
      </w:r>
      <w:r>
        <w:rPr>
          <w:rStyle w:val="FootnoteReference"/>
        </w:rPr>
        <w:footnoteReference w:id="12428"/>
      </w:r>
      <w:r>
        <w:t xml:space="preserve">. Because of this they persecuted me and could not prevail. They were greatly ashamed, because they did not understand. Their eternal dishonors will not be forgotten.</w:t>
      </w:r>
    </w:p>
    <w:p>
      <w:r>
        <w:rPr>
          <w:b/>
        </w:rPr>
        <w:t xml:space="preserve">12 </w:t>
      </w:r>
      <w:r>
        <w:t xml:space="preserve">Lord, testing righteous things and understanding kidneys and hearts</w:t>
      </w:r>
      <w:r>
        <w:rPr>
          <w:rStyle w:val="FootnoteReference"/>
        </w:rPr>
        <w:footnoteReference w:id="12429"/>
      </w:r>
      <w:r>
        <w:t xml:space="preserve">, let me</w:t>
      </w:r>
      <w:r>
        <w:rPr>
          <w:rStyle w:val="FootnoteReference"/>
        </w:rPr>
        <w:footnoteReference w:id="12430"/>
      </w:r>
      <w:r>
        <w:t xml:space="preserve"> see from you vengeance on them, because to you I revealed my defense.</w:t>
      </w:r>
    </w:p>
    <w:p>
      <w:r>
        <w:rPr>
          <w:b/>
        </w:rPr>
        <w:t xml:space="preserve">13 </w:t>
      </w:r>
      <w:r>
        <w:t xml:space="preserve">Sing to the Lord. Praise him, because he rescued the soul of a poor man</w:t>
      </w:r>
      <w:r>
        <w:rPr>
          <w:rStyle w:val="FootnoteReference"/>
        </w:rPr>
        <w:footnoteReference w:id="12431"/>
      </w:r>
      <w:r>
        <w:t xml:space="preserve"> from the hand of evildoers.</w:t>
      </w:r>
      <w:r>
        <w:rPr>
          <w:rStyle w:val="FootnoteReference"/>
        </w:rPr>
        <w:footnoteReference w:id="12432"/>
      </w:r>
    </w:p>
    <w:p>
      <w:r>
        <w:rPr>
          <w:b/>
        </w:rPr>
        <w:t xml:space="preserve">14 </w:t>
      </w:r>
      <w:r>
        <w:t xml:space="preserve">Cursed be the day</w:t>
      </w:r>
      <w:r>
        <w:rPr>
          <w:rStyle w:val="FootnoteReference"/>
        </w:rPr>
        <w:footnoteReference w:id="12433"/>
      </w:r>
      <w:r>
        <w:t xml:space="preserve"> in which I was born. Let not the day in which my mother bore me be blessed.</w:t>
      </w:r>
    </w:p>
    <w:p>
      <w:r>
        <w:rPr>
          <w:b/>
        </w:rPr>
        <w:t xml:space="preserve">15 </w:t>
      </w:r>
      <w:r>
        <w:t xml:space="preserve">Cursed be the man who brought good news to my father, saying, A male was born to you</w:t>
      </w:r>
      <w:r>
        <w:rPr>
          <w:rStyle w:val="FootnoteReference"/>
        </w:rPr>
        <w:footnoteReference w:id="12434"/>
      </w:r>
      <w:r>
        <w:t xml:space="preserve">, rejoicing with joy.</w:t>
      </w:r>
    </w:p>
    <w:p>
      <w:r>
        <w:rPr>
          <w:b/>
        </w:rPr>
        <w:t xml:space="preserve">16 </w:t>
      </w:r>
      <w:r>
        <w:t xml:space="preserve">Let that man be like the cities which the Lord overthrew</w:t>
      </w:r>
      <w:r>
        <w:rPr>
          <w:rStyle w:val="FootnoteReference"/>
        </w:rPr>
        <w:footnoteReference w:id="12435"/>
      </w:r>
      <w:r>
        <w:t xml:space="preserve"> in anger and did not relent. Let him</w:t>
      </w:r>
      <w:r>
        <w:rPr>
          <w:rStyle w:val="FootnoteReference"/>
        </w:rPr>
        <w:footnoteReference w:id="12436"/>
      </w:r>
      <w:r>
        <w:t xml:space="preserve"> hear a cry in the morning and a battle-shout at midday,</w:t>
      </w:r>
    </w:p>
    <w:p>
      <w:r>
        <w:rPr>
          <w:b/>
        </w:rPr>
        <w:t xml:space="preserve">17 </w:t>
      </w:r>
      <w:r>
        <w:t xml:space="preserve">because he did not kill me in the womb of my mother, and my mother became my tomb</w:t>
      </w:r>
      <w:r>
        <w:rPr>
          <w:rStyle w:val="FootnoteReference"/>
        </w:rPr>
        <w:footnoteReference w:id="12437"/>
      </w:r>
      <w:r>
        <w:t xml:space="preserve"> and her womb a womb of eternal conception.</w:t>
      </w:r>
    </w:p>
    <w:p>
      <w:r>
        <w:rPr>
          <w:b/>
        </w:rPr>
        <w:t xml:space="preserve">18 </w:t>
      </w:r>
      <w:r>
        <w:t xml:space="preserve">Why was this? I came out from the womb to see</w:t>
      </w:r>
      <w:r>
        <w:rPr>
          <w:rStyle w:val="FootnoteReference"/>
        </w:rPr>
        <w:footnoteReference w:id="12438"/>
      </w:r>
      <w:r>
        <w:t xml:space="preserve"> toils and pains</w:t>
      </w:r>
      <w:r>
        <w:rPr>
          <w:rStyle w:val="FootnoteReference"/>
        </w:rPr>
        <w:footnoteReference w:id="12439"/>
      </w:r>
      <w:r>
        <w:t xml:space="preserve">, and my days passed in shame.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The word</w:t>
      </w:r>
      <w:r>
        <w:rPr>
          <w:rStyle w:val="FootnoteReference"/>
        </w:rPr>
        <w:footnoteReference w:id="12440"/>
      </w:r>
      <w:r>
        <w:t xml:space="preserve"> that came from the Lord to Jeremiah when King Zedekiah sent to him Pashhur son of Melchiah</w:t>
      </w:r>
      <w:r>
        <w:rPr>
          <w:rStyle w:val="FootnoteReference"/>
        </w:rPr>
        <w:footnoteReference w:id="12441"/>
      </w:r>
      <w:r>
        <w:t xml:space="preserve"> and Zephaniah son of Maaseiah the priest, saying,</w:t>
      </w:r>
    </w:p>
    <w:p>
      <w:r>
        <w:rPr>
          <w:b/>
        </w:rPr>
        <w:t xml:space="preserve">2 </w:t>
      </w:r>
      <w:r>
        <w:t xml:space="preserve">Ask the Lord concerning us, because the king of Babylon has risen against us, if the Lord will act according to all his wonders</w:t>
      </w:r>
      <w:r>
        <w:rPr>
          <w:rStyle w:val="FootnoteReference"/>
        </w:rPr>
        <w:footnoteReference w:id="12442"/>
      </w:r>
      <w:r>
        <w:t xml:space="preserve"> and depart from us.</w:t>
      </w:r>
    </w:p>
    <w:p>
      <w:r>
        <w:rPr>
          <w:b/>
        </w:rPr>
        <w:t xml:space="preserve">3 </w:t>
      </w:r>
      <w:r>
        <w:t xml:space="preserve">And Jeremiah said to them, Thus you will say to Zedekiah king of Judah,</w:t>
      </w:r>
    </w:p>
    <w:p>
      <w:r>
        <w:rPr>
          <w:b/>
        </w:rPr>
        <w:t xml:space="preserve">4 </w:t>
      </w:r>
      <w:r>
        <w:t xml:space="preserve">Thus says the Lord: Behold</w:t>
      </w:r>
      <w:r>
        <w:rPr>
          <w:rStyle w:val="FootnoteReference"/>
        </w:rPr>
        <w:footnoteReference w:id="12443"/>
      </w:r>
      <w:r>
        <w:t xml:space="preserve">, I turn back the weapons of war with which you fight against the Chaldeans who besiege you</w:t>
      </w:r>
      <w:r>
        <w:rPr>
          <w:rStyle w:val="FootnoteReference"/>
        </w:rPr>
        <w:footnoteReference w:id="12444"/>
      </w:r>
      <w:r>
        <w:t xml:space="preserve"> outside the wall, into the midst of this city.</w:t>
      </w:r>
    </w:p>
    <w:p>
      <w:r>
        <w:rPr>
          <w:b/>
        </w:rPr>
        <w:t xml:space="preserve">5 </w:t>
      </w:r>
      <w:r>
        <w:t xml:space="preserve">And I myself will fight you with an outstretched hand and with a strong arm</w:t>
      </w:r>
      <w:r>
        <w:rPr>
          <w:rStyle w:val="FootnoteReference"/>
        </w:rPr>
        <w:footnoteReference w:id="12445"/>
      </w:r>
      <w:r>
        <w:t xml:space="preserve">, with wrath and anger and great provocation.</w:t>
      </w:r>
      <w:r>
        <w:rPr>
          <w:rStyle w:val="FootnoteReference"/>
        </w:rPr>
        <w:footnoteReference w:id="12446"/>
      </w:r>
    </w:p>
    <w:p>
      <w:r>
        <w:rPr>
          <w:b/>
        </w:rPr>
        <w:t xml:space="preserve">6 </w:t>
      </w:r>
      <w:r>
        <w:t xml:space="preserve">And I will strike all who dwell in this city, men and cattle, with great death, and they will die.</w:t>
      </w:r>
    </w:p>
    <w:p>
      <w:r>
        <w:rPr>
          <w:b/>
        </w:rPr>
        <w:t xml:space="preserve">7 </w:t>
      </w:r>
      <w:r>
        <w:t xml:space="preserve">And after these things, thus says the Lord, I will give Zedekiah king of Judah and his servants and the people left in this city from death and from famine and from sword into the hands of their enemies seeking their lives, and they will cut them down with the edge of a sword. I will not spare them and I will not pity them.</w:t>
      </w:r>
    </w:p>
    <w:p>
      <w:r>
        <w:rPr>
          <w:b/>
        </w:rPr>
        <w:t xml:space="preserve">8 </w:t>
      </w:r>
      <w:r>
        <w:t xml:space="preserve">And to this people you will say, Thus says the Lord: Behold, I have given before your face the way of life and the way of death</w:t>
      </w:r>
      <w:r>
        <w:rPr>
          <w:rStyle w:val="FootnoteReference"/>
        </w:rPr>
        <w:footnoteReference w:id="12447"/>
      </w:r>
      <w:r>
        <w:t xml:space="preserve">.</w:t>
      </w:r>
    </w:p>
    <w:p>
      <w:r>
        <w:rPr>
          <w:b/>
        </w:rPr>
        <w:t xml:space="preserve">9 </w:t>
      </w:r>
      <w:r>
        <w:t xml:space="preserve">The one dwelling in this city will die by sword and by famine, but the one going out to join the Chaldeans besieging you will live, and his soul will be for spoil</w:t>
      </w:r>
      <w:r>
        <w:rPr>
          <w:rStyle w:val="FootnoteReference"/>
        </w:rPr>
        <w:footnoteReference w:id="12448"/>
      </w:r>
      <w:r>
        <w:t xml:space="preserve"> and he will live.</w:t>
      </w:r>
    </w:p>
    <w:p>
      <w:r>
        <w:rPr>
          <w:b/>
        </w:rPr>
        <w:t xml:space="preserve">10 </w:t>
      </w:r>
      <w:r>
        <w:t xml:space="preserve">Because I have set my face against this city for evils and not for good. It will be handed over into the hands of the king of Babylon, and he will burn it with fire.</w:t>
      </w:r>
    </w:p>
    <w:p>
      <w:r>
        <w:rPr>
          <w:b/>
        </w:rPr>
        <w:t xml:space="preserve">11 </w:t>
      </w:r>
      <w:r>
        <w:t xml:space="preserve">House of the king of Judah, hear the word of the Lord.</w:t>
      </w:r>
    </w:p>
    <w:p>
      <w:r>
        <w:rPr>
          <w:b/>
        </w:rPr>
        <w:t xml:space="preserve">12 </w:t>
      </w:r>
      <w:r>
        <w:t xml:space="preserve">House of David, thus says the Lord: Judge judgment in the morning</w:t>
      </w:r>
      <w:r>
        <w:rPr>
          <w:rStyle w:val="FootnoteReference"/>
        </w:rPr>
        <w:footnoteReference w:id="12449"/>
      </w:r>
      <w:r>
        <w:t xml:space="preserve">, and set right, and rescue the plundered one from the hand of one wronging him, so that my wrath not blaze like fire and burn, and there not be one quenching it.</w:t>
      </w:r>
      <w:r>
        <w:rPr>
          <w:rStyle w:val="FootnoteReference"/>
        </w:rPr>
        <w:footnoteReference w:id="12450"/>
      </w:r>
    </w:p>
    <w:p>
      <w:r>
        <w:rPr>
          <w:b/>
        </w:rPr>
        <w:t xml:space="preserve">13 </w:t>
      </w:r>
      <w:r>
        <w:t xml:space="preserve">Behold, I am against you, the one dwelling in the valley of Sor</w:t>
      </w:r>
      <w:r>
        <w:rPr>
          <w:rStyle w:val="FootnoteReference"/>
        </w:rPr>
        <w:footnoteReference w:id="12451"/>
      </w:r>
      <w:r>
        <w:t xml:space="preserve">, the plain one, those saying, Who will terrify us, and who will enter into our dwelling?</w:t>
      </w:r>
    </w:p>
    <w:p>
      <w:r>
        <w:rPr>
          <w:b/>
        </w:rPr>
        <w:t xml:space="preserve">14 </w:t>
      </w:r>
      <w:r>
        <w:t xml:space="preserve">And I will kindle fire in her forest</w:t>
      </w:r>
      <w:r>
        <w:rPr>
          <w:rStyle w:val="FootnoteReference"/>
        </w:rPr>
        <w:footnoteReference w:id="12452"/>
      </w:r>
      <w:r>
        <w:t xml:space="preserve">, and it will devour all around 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Thus says the Lord: Go and go down into the house of the king of Judah, and there you will speak this word,</w:t>
      </w:r>
    </w:p>
    <w:p>
      <w:r>
        <w:rPr>
          <w:b/>
        </w:rPr>
        <w:t xml:space="preserve">2 </w:t>
      </w:r>
      <w:r>
        <w:t xml:space="preserve">and say, Hear</w:t>
      </w:r>
      <w:r>
        <w:rPr>
          <w:rStyle w:val="FootnoteReference"/>
        </w:rPr>
        <w:footnoteReference w:id="12453"/>
      </w:r>
      <w:r>
        <w:t xml:space="preserve"> the word of the Lord, king of Judah seated on the throne of David, you and your house and your people and those entering by these gates.</w:t>
      </w:r>
    </w:p>
    <w:p>
      <w:r>
        <w:rPr>
          <w:b/>
        </w:rPr>
        <w:t xml:space="preserve">3 </w:t>
      </w:r>
      <w:r>
        <w:t xml:space="preserve">Thus says the Lord: Practice judgment and righteousness, and rescue the plundered one from the hand of the one wronging him; do not oppress the resident alien, orphan, or widow; do not act impiously, and do not pour out innocent blood in this place.</w:t>
      </w:r>
      <w:r>
        <w:rPr>
          <w:rStyle w:val="FootnoteReference"/>
        </w:rPr>
        <w:footnoteReference w:id="12454"/>
      </w:r>
      <w:r>
        <w:rPr>
          <w:rStyle w:val="FootnoteReference"/>
        </w:rPr>
        <w:footnoteReference w:id="12455"/>
      </w:r>
    </w:p>
    <w:p>
      <w:r>
        <w:rPr>
          <w:b/>
        </w:rPr>
        <w:t xml:space="preserve">4 </w:t>
      </w:r>
      <w:r>
        <w:t xml:space="preserve">Because if in doing you do this word, kings seated on the throne of David</w:t>
      </w:r>
      <w:r>
        <w:rPr>
          <w:rStyle w:val="FootnoteReference"/>
        </w:rPr>
        <w:footnoteReference w:id="12456"/>
      </w:r>
      <w:r>
        <w:t xml:space="preserve"> will enter through the gates of this house and mounted on chariots and horses, they and their servants and their people.</w:t>
      </w:r>
    </w:p>
    <w:p>
      <w:r>
        <w:rPr>
          <w:b/>
        </w:rPr>
        <w:t xml:space="preserve">5 </w:t>
      </w:r>
      <w:r>
        <w:t xml:space="preserve">But if you will not do these words, by myself I swore</w:t>
      </w:r>
      <w:r>
        <w:rPr>
          <w:rStyle w:val="FootnoteReference"/>
        </w:rPr>
        <w:footnoteReference w:id="12457"/>
      </w:r>
      <w:r>
        <w:t xml:space="preserve">, says the Lord, that this house will become a desolation.</w:t>
      </w:r>
    </w:p>
    <w:p>
      <w:r>
        <w:rPr>
          <w:b/>
        </w:rPr>
        <w:t xml:space="preserve">6 </w:t>
      </w:r>
      <w:r>
        <w:t xml:space="preserve">Because thus says the Lord against the house of the king of Judah: Gilead, you are to me, the head of Lebanon. I will surely</w:t>
      </w:r>
      <w:r>
        <w:rPr>
          <w:rStyle w:val="FootnoteReference"/>
        </w:rPr>
        <w:footnoteReference w:id="12458"/>
      </w:r>
      <w:r>
        <w:t xml:space="preserve"> set you as a wilderness, cities not to be inhabited.</w:t>
      </w:r>
      <w:r>
        <w:rPr>
          <w:rStyle w:val="FootnoteReference"/>
        </w:rPr>
        <w:footnoteReference w:id="12459"/>
      </w:r>
    </w:p>
    <w:p>
      <w:r>
        <w:rPr>
          <w:b/>
        </w:rPr>
        <w:t xml:space="preserve">7 </w:t>
      </w:r>
      <w:r>
        <w:t xml:space="preserve">And I will bring against you a destroying man and his axe, and they will cut down your choice cedars</w:t>
      </w:r>
      <w:r>
        <w:rPr>
          <w:rStyle w:val="FootnoteReference"/>
        </w:rPr>
        <w:footnoteReference w:id="12460"/>
      </w:r>
      <w:r>
        <w:t xml:space="preserve"> and throw them into the fire.</w:t>
      </w:r>
    </w:p>
    <w:p>
      <w:r>
        <w:rPr>
          <w:b/>
        </w:rPr>
        <w:t xml:space="preserve">8 </w:t>
      </w:r>
      <w:r>
        <w:t xml:space="preserve">And nations will pass through this city, and each will say to his neighbor, Why did the Lord do thus to this great city?</w:t>
      </w:r>
    </w:p>
    <w:p>
      <w:r>
        <w:rPr>
          <w:b/>
        </w:rPr>
        <w:t xml:space="preserve">9 </w:t>
      </w:r>
      <w:r>
        <w:t xml:space="preserve">And they will say, Because they abandoned the covenant of the Lord their God</w:t>
      </w:r>
      <w:r>
        <w:rPr>
          <w:rStyle w:val="FootnoteReference"/>
        </w:rPr>
        <w:footnoteReference w:id="12461"/>
      </w:r>
      <w:r>
        <w:t xml:space="preserve"> and bowed to foreign gods and served them.</w:t>
      </w:r>
    </w:p>
    <w:p>
      <w:r>
        <w:rPr>
          <w:b/>
        </w:rPr>
        <w:t xml:space="preserve">10 </w:t>
      </w:r>
      <w:r>
        <w:t xml:space="preserve">Do not weep for the dead one and do not lament him. Weep with weeping for the one going out</w:t>
      </w:r>
      <w:r>
        <w:rPr>
          <w:rStyle w:val="FootnoteReference"/>
        </w:rPr>
        <w:footnoteReference w:id="12462"/>
      </w:r>
      <w:r>
        <w:t xml:space="preserve">, because he will not return again and will not see the land of his homeland.</w:t>
      </w:r>
    </w:p>
    <w:p>
      <w:r>
        <w:rPr>
          <w:b/>
        </w:rPr>
        <w:t xml:space="preserve">11 </w:t>
      </w:r>
      <w:r>
        <w:t xml:space="preserve">Because thus says the Lord concerning Shallum</w:t>
      </w:r>
      <w:r>
        <w:rPr>
          <w:rStyle w:val="FootnoteReference"/>
        </w:rPr>
        <w:footnoteReference w:id="12463"/>
      </w:r>
      <w:r>
        <w:t xml:space="preserve"> son of Josiah, reigning instead of Josiah his father, who went out from this place: He will not return there any longer.</w:t>
      </w:r>
    </w:p>
    <w:p>
      <w:r>
        <w:rPr>
          <w:b/>
        </w:rPr>
        <w:t xml:space="preserve">12 </w:t>
      </w:r>
      <w:r>
        <w:t xml:space="preserve">But in the place where I carried him away, there he will die, and this land he will not see again.</w:t>
      </w:r>
    </w:p>
    <w:p>
      <w:r>
        <w:rPr>
          <w:b/>
        </w:rPr>
        <w:t xml:space="preserve">13 </w:t>
      </w:r>
      <w:r>
        <w:t xml:space="preserve">Woe to the one building his house not with righteousness and his upper rooms not in judgment, with his neighbor working for nothing</w:t>
      </w:r>
      <w:r>
        <w:rPr>
          <w:rStyle w:val="FootnoteReference"/>
        </w:rPr>
        <w:footnoteReference w:id="12464"/>
      </w:r>
      <w:r>
        <w:t xml:space="preserve">, and he will never pay him his wages.</w:t>
      </w:r>
    </w:p>
    <w:p>
      <w:r>
        <w:rPr>
          <w:b/>
        </w:rPr>
        <w:t xml:space="preserve">14 </w:t>
      </w:r>
      <w:r>
        <w:t xml:space="preserve">You built for yourself a well-proportioned house, airy upper rooms opened with windows and paneled with cedar and painted with red pigment</w:t>
      </w:r>
      <w:r>
        <w:rPr>
          <w:rStyle w:val="FootnoteReference"/>
        </w:rPr>
        <w:footnoteReference w:id="12465"/>
      </w:r>
      <w:r>
        <w:t xml:space="preserve">.</w:t>
      </w:r>
    </w:p>
    <w:p>
      <w:r>
        <w:rPr>
          <w:b/>
        </w:rPr>
        <w:t xml:space="preserve">15 </w:t>
      </w:r>
      <w:r>
        <w:t xml:space="preserve">Will you reign because you are inflamed against Ahaz your father</w:t>
      </w:r>
      <w:r>
        <w:rPr>
          <w:rStyle w:val="FootnoteReference"/>
        </w:rPr>
        <w:footnoteReference w:id="12466"/>
      </w:r>
      <w:r>
        <w:t xml:space="preserve">? Will they not eat and will they not drink? It was better for you to do judgment and good righteousness.</w:t>
      </w:r>
    </w:p>
    <w:p>
      <w:r>
        <w:rPr>
          <w:b/>
        </w:rPr>
        <w:t xml:space="preserve">16 </w:t>
      </w:r>
      <w:r>
        <w:t xml:space="preserve">They did not know; they did not judge the case of the lowly nor the case of the poor</w:t>
      </w:r>
      <w:r>
        <w:rPr>
          <w:rStyle w:val="FootnoteReference"/>
        </w:rPr>
        <w:footnoteReference w:id="12467"/>
      </w:r>
      <w:r>
        <w:t xml:space="preserve">. Is not this the same as not knowing me? says the Lord.</w:t>
      </w:r>
    </w:p>
    <w:p>
      <w:r>
        <w:rPr>
          <w:b/>
        </w:rPr>
        <w:t xml:space="preserve">17 </w:t>
      </w:r>
      <w:r>
        <w:t xml:space="preserve">Behold, your eyes and your heart are not good, but only for your greed</w:t>
      </w:r>
      <w:r>
        <w:rPr>
          <w:rStyle w:val="FootnoteReference"/>
        </w:rPr>
        <w:footnoteReference w:id="12468"/>
      </w:r>
      <w:r>
        <w:t xml:space="preserve"> and for pouring out innocent blood and for doing injustice and murder.</w:t>
      </w:r>
    </w:p>
    <w:p>
      <w:r>
        <w:rPr>
          <w:b/>
        </w:rPr>
        <w:t xml:space="preserve">18 </w:t>
      </w:r>
      <w:r>
        <w:t xml:space="preserve">Therefore thus says the Lord concerning Jehoiakim son of Josiah king of Judah: Woe for this man. They will not lament him, saying, Ah brother, and they will not weep for him, saying, Alas, Lord.</w:t>
      </w:r>
    </w:p>
    <w:p>
      <w:r>
        <w:rPr>
          <w:b/>
        </w:rPr>
        <w:t xml:space="preserve">19 </w:t>
      </w:r>
      <w:r>
        <w:t xml:space="preserve">With the burial of a donkey</w:t>
      </w:r>
      <w:r>
        <w:rPr>
          <w:rStyle w:val="FootnoteReference"/>
        </w:rPr>
        <w:footnoteReference w:id="12469"/>
      </w:r>
      <w:r>
        <w:t xml:space="preserve"> he will be buried, dragged away and thrown beyond the gate of Jerusalem.</w:t>
      </w:r>
    </w:p>
    <w:p>
      <w:r>
        <w:rPr>
          <w:b/>
        </w:rPr>
        <w:t xml:space="preserve">20 </w:t>
      </w:r>
      <w:r>
        <w:t xml:space="preserve">Go up to Lebanon and cry</w:t>
      </w:r>
      <w:r>
        <w:rPr>
          <w:rStyle w:val="FootnoteReference"/>
        </w:rPr>
        <w:footnoteReference w:id="12470"/>
      </w:r>
      <w:r>
        <w:t xml:space="preserve"> out, and in Bashan give your voice, and cry beyond the sea, because all your lovers</w:t>
      </w:r>
      <w:r>
        <w:rPr>
          <w:rStyle w:val="FootnoteReference"/>
        </w:rPr>
        <w:footnoteReference w:id="12471"/>
      </w:r>
      <w:r>
        <w:t xml:space="preserve"> were shattered.</w:t>
      </w:r>
    </w:p>
    <w:p>
      <w:r>
        <w:rPr>
          <w:b/>
        </w:rPr>
        <w:t xml:space="preserve">21 </w:t>
      </w:r>
      <w:r>
        <w:t xml:space="preserve">I spoke to you in your falling away, and you said, I will not hear. This was your way from your youth: you did not hear my voice.</w:t>
      </w:r>
    </w:p>
    <w:p>
      <w:r>
        <w:rPr>
          <w:b/>
        </w:rPr>
        <w:t xml:space="preserve">22 </w:t>
      </w:r>
      <w:r>
        <w:t xml:space="preserve">Wind will shepherd all your shepherds</w:t>
      </w:r>
      <w:r>
        <w:rPr>
          <w:rStyle w:val="FootnoteReference"/>
        </w:rPr>
        <w:footnoteReference w:id="12472"/>
      </w:r>
      <w:r>
        <w:t xml:space="preserve">, and your lovers will go out into captivity, because then you will be ashamed and dishonored by all those loving you.</w:t>
      </w:r>
      <w:r>
        <w:rPr>
          <w:rStyle w:val="FootnoteReference"/>
        </w:rPr>
        <w:footnoteReference w:id="12473"/>
      </w:r>
    </w:p>
    <w:p>
      <w:r>
        <w:rPr>
          <w:b/>
        </w:rPr>
        <w:t xml:space="preserve">23 </w:t>
      </w:r>
      <w:r>
        <w:t xml:space="preserve">You who dwell in Lebanon</w:t>
      </w:r>
      <w:r>
        <w:rPr>
          <w:rStyle w:val="FootnoteReference"/>
        </w:rPr>
        <w:footnoteReference w:id="12474"/>
      </w:r>
      <w:r>
        <w:t xml:space="preserve">, nesting in the cedars</w:t>
      </w:r>
      <w:r>
        <w:rPr>
          <w:rStyle w:val="FootnoteReference"/>
        </w:rPr>
        <w:footnoteReference w:id="12475"/>
      </w:r>
      <w:r>
        <w:t xml:space="preserve">, you will groan when birth-pains come on you, like one giving birth.</w:t>
      </w:r>
    </w:p>
    <w:p>
      <w:r>
        <w:rPr>
          <w:b/>
        </w:rPr>
        <w:t xml:space="preserve">24 </w:t>
      </w:r>
      <w:r>
        <w:t xml:space="preserve">As I live, says the Lord, if Jeconiah son of Jehoiakim king of Judah should become a signet on my right hand</w:t>
      </w:r>
      <w:r>
        <w:rPr>
          <w:rStyle w:val="FootnoteReference"/>
        </w:rPr>
        <w:footnoteReference w:id="12476"/>
      </w:r>
      <w:r>
        <w:t xml:space="preserve">, from there I will tear you away.</w:t>
      </w:r>
    </w:p>
    <w:p>
      <w:r>
        <w:rPr>
          <w:b/>
        </w:rPr>
        <w:t xml:space="preserve">25 </w:t>
      </w:r>
      <w:r>
        <w:t xml:space="preserve">And I will hand you over into the hands of those seeking your life, before whose face you are afraid, into the hands of the Chaldeans.</w:t>
      </w:r>
    </w:p>
    <w:p>
      <w:r>
        <w:rPr>
          <w:b/>
        </w:rPr>
        <w:t xml:space="preserve">26 </w:t>
      </w:r>
      <w:r>
        <w:t xml:space="preserve">And I will throw you and your mother who bore you into a land where you were not born, and there you will die.</w:t>
      </w:r>
    </w:p>
    <w:p>
      <w:r>
        <w:rPr>
          <w:b/>
        </w:rPr>
        <w:t xml:space="preserve">27 </w:t>
      </w:r>
      <w:r>
        <w:t xml:space="preserve">But to the land which they long for with their souls, they will never return.</w:t>
      </w:r>
    </w:p>
    <w:p>
      <w:r>
        <w:rPr>
          <w:b/>
        </w:rPr>
        <w:t xml:space="preserve">28 </w:t>
      </w:r>
      <w:r>
        <w:t xml:space="preserve">Was Jeconiah dishonored like a vessel of no use</w:t>
      </w:r>
      <w:r>
        <w:rPr>
          <w:rStyle w:val="FootnoteReference"/>
        </w:rPr>
        <w:footnoteReference w:id="12477"/>
      </w:r>
      <w:r>
        <w:t xml:space="preserve">? Because he was thrown out and cast into a land which he did not know.</w:t>
      </w:r>
    </w:p>
    <w:p>
      <w:r>
        <w:rPr>
          <w:b/>
        </w:rPr>
        <w:t xml:space="preserve">29 </w:t>
      </w:r>
      <w:r>
        <w:t xml:space="preserve">Earth, earth</w:t>
      </w:r>
      <w:r>
        <w:rPr>
          <w:rStyle w:val="FootnoteReference"/>
        </w:rPr>
        <w:footnoteReference w:id="12478"/>
      </w:r>
      <w:r>
        <w:t xml:space="preserve">, hear the word of the Lord.</w:t>
      </w:r>
    </w:p>
    <w:p>
      <w:r>
        <w:rPr>
          <w:b/>
        </w:rPr>
        <w:t xml:space="preserve">30 </w:t>
      </w:r>
      <w:r>
        <w:t xml:space="preserve">Write this man as rejected</w:t>
      </w:r>
      <w:r>
        <w:rPr>
          <w:rStyle w:val="FootnoteReference"/>
        </w:rPr>
        <w:footnoteReference w:id="12479"/>
      </w:r>
      <w:r>
        <w:t xml:space="preserve">, because no man from his seed will grow up to sit on the throne of David and rule any longer in Judah.</w:t>
      </w:r>
      <w:r>
        <w:rPr>
          <w:rStyle w:val="FootnoteReference"/>
        </w:rPr>
        <w:footnoteReference w:id="12480"/>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Woe to the shepherds who scatter</w:t>
      </w:r>
      <w:r>
        <w:rPr>
          <w:rStyle w:val="FootnoteReference"/>
        </w:rPr>
        <w:footnoteReference w:id="12481"/>
      </w:r>
      <w:r>
        <w:t xml:space="preserve"> and destroy the sheep of my pasture.</w:t>
      </w:r>
    </w:p>
    <w:p>
      <w:r>
        <w:rPr>
          <w:b/>
        </w:rPr>
        <w:t xml:space="preserve">2 </w:t>
      </w:r>
      <w:r>
        <w:t xml:space="preserve">Therefore thus says the Lord against those shepherding my people: You scattered my sheep and drove them out and did not attend to them</w:t>
      </w:r>
      <w:r>
        <w:rPr>
          <w:rStyle w:val="FootnoteReference"/>
        </w:rPr>
        <w:footnoteReference w:id="12482"/>
      </w:r>
      <w:r>
        <w:t xml:space="preserve">. Behold, I punish you according to your evil practices.</w:t>
      </w:r>
    </w:p>
    <w:p>
      <w:r>
        <w:rPr>
          <w:b/>
        </w:rPr>
        <w:t xml:space="preserve">3 </w:t>
      </w:r>
      <w:r>
        <w:t xml:space="preserve">And I will gather the remnant of my people</w:t>
      </w:r>
      <w:r>
        <w:rPr>
          <w:rStyle w:val="FootnoteReference"/>
        </w:rPr>
        <w:footnoteReference w:id="12483"/>
      </w:r>
      <w:r>
        <w:t xml:space="preserve"> from every land where I drove them, and I will restore them to their pasture, and they will increase and multiply.</w:t>
      </w:r>
    </w:p>
    <w:p>
      <w:r>
        <w:rPr>
          <w:b/>
        </w:rPr>
        <w:t xml:space="preserve">4 </w:t>
      </w:r>
      <w:r>
        <w:t xml:space="preserve">And I will raise up for them shepherds who will shepherd them, and they will not fear any longer and will not be terrified, says the Lord.</w:t>
      </w:r>
    </w:p>
    <w:p>
      <w:r>
        <w:rPr>
          <w:b/>
        </w:rPr>
        <w:t xml:space="preserve">5 </w:t>
      </w:r>
      <w:r>
        <w:t xml:space="preserve">Behold, days are coming, says the Lord, and I will raise up for David a righteous dawning</w:t>
      </w:r>
      <w:r>
        <w:rPr>
          <w:rStyle w:val="FootnoteReference"/>
        </w:rPr>
        <w:footnoteReference w:id="12484"/>
      </w:r>
      <w:r>
        <w:t xml:space="preserve">, and a king will reign</w:t>
      </w:r>
      <w:r>
        <w:rPr>
          <w:rStyle w:val="FootnoteReference"/>
        </w:rPr>
        <w:footnoteReference w:id="12485"/>
      </w:r>
      <w:r>
        <w:t xml:space="preserve"> and understand and do judgment and righteousness upon the earth.</w:t>
      </w:r>
      <w:r>
        <w:rPr>
          <w:rStyle w:val="FootnoteReference"/>
        </w:rPr>
        <w:footnoteReference w:id="12486"/>
      </w:r>
    </w:p>
    <w:p>
      <w:r>
        <w:rPr>
          <w:b/>
        </w:rPr>
        <w:t xml:space="preserve">6 </w:t>
      </w:r>
      <w:r>
        <w:t xml:space="preserve">In his days Judah</w:t>
      </w:r>
      <w:r>
        <w:rPr>
          <w:rStyle w:val="FootnoteReference"/>
        </w:rPr>
        <w:footnoteReference w:id="12487"/>
      </w:r>
      <w:r>
        <w:t xml:space="preserve"> will be saved and Israel will dwell in confidence, and this is his name which the Lord will call him: The Lord Is Righteous</w:t>
      </w:r>
      <w:r>
        <w:rPr>
          <w:rStyle w:val="FootnoteReference"/>
        </w:rPr>
        <w:footnoteReference w:id="12488"/>
      </w:r>
      <w:r>
        <w:t xml:space="preserve">.</w:t>
      </w:r>
      <w:r>
        <w:rPr>
          <w:rStyle w:val="FootnoteReference"/>
        </w:rPr>
        <w:footnoteReference w:id="12489"/>
      </w:r>
      <w:r>
        <w:rPr>
          <w:rStyle w:val="FootnoteReference"/>
        </w:rPr>
        <w:footnoteReference w:id="12490"/>
      </w:r>
    </w:p>
    <w:p>
      <w:r>
        <w:rPr>
          <w:b/>
        </w:rPr>
        <w:t xml:space="preserve">7 </w:t>
      </w:r>
      <w:r>
        <w:t xml:space="preserve">Therefore behold, days are coming, says the Lord, and they will no longer say, As the Lord lives</w:t>
      </w:r>
      <w:r>
        <w:rPr>
          <w:rStyle w:val="FootnoteReference"/>
        </w:rPr>
        <w:footnoteReference w:id="12491"/>
      </w:r>
      <w:r>
        <w:t xml:space="preserve">, who brought up the house of Israel from the land of Egypt,</w:t>
      </w:r>
    </w:p>
    <w:p>
      <w:r>
        <w:rPr>
          <w:b/>
        </w:rPr>
        <w:t xml:space="preserve">8 </w:t>
      </w:r>
      <w:r>
        <w:t xml:space="preserve">but, As the Lord lives, who gathered all the seed of Israel</w:t>
      </w:r>
      <w:r>
        <w:rPr>
          <w:rStyle w:val="FootnoteReference"/>
        </w:rPr>
        <w:footnoteReference w:id="12492"/>
      </w:r>
      <w:r>
        <w:t xml:space="preserve"> from the land of the north and from all the lands where he drove them and restored them to their land.</w:t>
      </w:r>
    </w:p>
    <w:p>
      <w:r>
        <w:rPr>
          <w:b/>
        </w:rPr>
        <w:t xml:space="preserve">9 </w:t>
      </w:r>
      <w:r>
        <w:t xml:space="preserve">Concerning the prophets</w:t>
      </w:r>
      <w:r>
        <w:rPr>
          <w:rStyle w:val="FootnoteReference"/>
        </w:rPr>
        <w:footnoteReference w:id="12493"/>
      </w:r>
      <w:r>
        <w:t xml:space="preserve">, my heart</w:t>
      </w:r>
      <w:r>
        <w:rPr>
          <w:rStyle w:val="FootnoteReference"/>
        </w:rPr>
        <w:footnoteReference w:id="12494"/>
      </w:r>
      <w:r>
        <w:t xml:space="preserve"> was crushed within me. All my bones were shaken. I became like a broken man and like a man overcome by wine, before the face of the Lord and before the face of the splendor of his glory.</w:t>
      </w:r>
    </w:p>
    <w:p>
      <w:r>
        <w:rPr>
          <w:b/>
        </w:rPr>
        <w:t xml:space="preserve">10 </w:t>
      </w:r>
      <w:r>
        <w:t xml:space="preserve">Because of these things the land mourned</w:t>
      </w:r>
      <w:r>
        <w:rPr>
          <w:rStyle w:val="FootnoteReference"/>
        </w:rPr>
        <w:footnoteReference w:id="12495"/>
      </w:r>
      <w:r>
        <w:t xml:space="preserve">. The pastures of the wilderness dried up, and their way became evil, and their strength was not right.</w:t>
      </w:r>
    </w:p>
    <w:p>
      <w:r>
        <w:rPr>
          <w:b/>
        </w:rPr>
        <w:t xml:space="preserve">11 </w:t>
      </w:r>
      <w:r>
        <w:t xml:space="preserve">Because priest and prophet were defiled</w:t>
      </w:r>
      <w:r>
        <w:rPr>
          <w:rStyle w:val="FootnoteReference"/>
        </w:rPr>
        <w:footnoteReference w:id="12496"/>
      </w:r>
      <w:r>
        <w:t xml:space="preserve">, and in my house I saw their evils.</w:t>
      </w:r>
    </w:p>
    <w:p>
      <w:r>
        <w:rPr>
          <w:b/>
        </w:rPr>
        <w:t xml:space="preserve">12 </w:t>
      </w:r>
      <w:r>
        <w:t xml:space="preserve">Therefore let their way become for them a slippery place in gloom</w:t>
      </w:r>
      <w:r>
        <w:rPr>
          <w:rStyle w:val="FootnoteReference"/>
        </w:rPr>
        <w:footnoteReference w:id="12497"/>
      </w:r>
      <w:r>
        <w:t xml:space="preserve">, and they will stumble and fall in it, because I will bring evils on them in the year</w:t>
      </w:r>
      <w:r>
        <w:rPr>
          <w:rStyle w:val="FootnoteReference"/>
        </w:rPr>
        <w:footnoteReference w:id="12498"/>
      </w:r>
      <w:r>
        <w:t xml:space="preserve"> of their visitation, says the Lord.</w:t>
      </w:r>
    </w:p>
    <w:p>
      <w:r>
        <w:rPr>
          <w:b/>
        </w:rPr>
        <w:t xml:space="preserve">13 </w:t>
      </w:r>
      <w:r>
        <w:t xml:space="preserve">And in the prophets</w:t>
      </w:r>
      <w:r>
        <w:rPr>
          <w:rStyle w:val="FootnoteReference"/>
        </w:rPr>
        <w:footnoteReference w:id="12499"/>
      </w:r>
      <w:r>
        <w:t xml:space="preserve"> of Samaria I saw lawless things. They prophesied by Baal and led my people Israel astray.</w:t>
      </w:r>
    </w:p>
    <w:p>
      <w:r>
        <w:rPr>
          <w:b/>
        </w:rPr>
        <w:t xml:space="preserve">14 </w:t>
      </w:r>
      <w:r>
        <w:t xml:space="preserve">And in the prophets of Jerusalem I saw horrible things: committing adultery and walking in lies and strengthening the hands of evildoers</w:t>
      </w:r>
      <w:r>
        <w:rPr>
          <w:rStyle w:val="FootnoteReference"/>
        </w:rPr>
        <w:footnoteReference w:id="12500"/>
      </w:r>
      <w:r>
        <w:t xml:space="preserve">, so that each one would not turn back from his evil way. They all became to me like Sodom</w:t>
      </w:r>
      <w:r>
        <w:rPr>
          <w:rStyle w:val="FootnoteReference"/>
        </w:rPr>
        <w:footnoteReference w:id="12501"/>
      </w:r>
      <w:r>
        <w:t xml:space="preserve">, and those dwelling in it like Gomorrah.</w:t>
      </w:r>
    </w:p>
    <w:p>
      <w:r>
        <w:rPr>
          <w:b/>
        </w:rPr>
        <w:t xml:space="preserve">15 </w:t>
      </w:r>
      <w:r>
        <w:t xml:space="preserve">Therefore thus says the Lord: Behold, I feed them pain</w:t>
      </w:r>
      <w:r>
        <w:rPr>
          <w:rStyle w:val="FootnoteReference"/>
        </w:rPr>
        <w:footnoteReference w:id="12502"/>
      </w:r>
      <w:r>
        <w:t xml:space="preserve"> and give them bitter water to drink, because from the prophets of Jerusalem</w:t>
      </w:r>
      <w:r>
        <w:rPr>
          <w:rStyle w:val="FootnoteReference"/>
        </w:rPr>
        <w:footnoteReference w:id="12503"/>
      </w:r>
      <w:r>
        <w:t xml:space="preserve"> pollution went out into all the land.</w:t>
      </w:r>
    </w:p>
    <w:p>
      <w:r>
        <w:rPr>
          <w:b/>
        </w:rPr>
        <w:t xml:space="preserve">16 </w:t>
      </w:r>
      <w:r>
        <w:t xml:space="preserve">Thus says the Lord Almighty: Do not hear the words of prophets, because they make</w:t>
      </w:r>
      <w:r>
        <w:rPr>
          <w:rStyle w:val="FootnoteReference"/>
        </w:rPr>
        <w:footnoteReference w:id="12504"/>
      </w:r>
      <w:r>
        <w:t xml:space="preserve"> vain things for themselves. They speak a vision from their own heart</w:t>
      </w:r>
      <w:r>
        <w:rPr>
          <w:rStyle w:val="FootnoteReference"/>
        </w:rPr>
        <w:footnoteReference w:id="12505"/>
      </w:r>
      <w:r>
        <w:t xml:space="preserve"> and not from the mouth of the Lord.</w:t>
      </w:r>
    </w:p>
    <w:p>
      <w:r>
        <w:rPr>
          <w:b/>
        </w:rPr>
        <w:t xml:space="preserve">17 </w:t>
      </w:r>
      <w:r>
        <w:t xml:space="preserve">They say to those rejecting the word of the Lord, Peace will be to you, and to all those walking after their own desires, to everyone walking in the wandering of his heart, they said, Evils will not come upon you</w:t>
      </w:r>
      <w:r>
        <w:rPr>
          <w:rStyle w:val="FootnoteReference"/>
        </w:rPr>
        <w:footnoteReference w:id="12506"/>
      </w:r>
      <w:r>
        <w:t xml:space="preserve">.</w:t>
      </w:r>
    </w:p>
    <w:p>
      <w:r>
        <w:rPr>
          <w:b/>
        </w:rPr>
        <w:t xml:space="preserve">18 </w:t>
      </w:r>
      <w:r>
        <w:t xml:space="preserve">Because who stood in the Lord's standing-place</w:t>
      </w:r>
      <w:r>
        <w:rPr>
          <w:rStyle w:val="FootnoteReference"/>
        </w:rPr>
        <w:footnoteReference w:id="12507"/>
      </w:r>
      <w:r>
        <w:t xml:space="preserve"> and saw his word? Who gave ear and heard?</w:t>
      </w:r>
    </w:p>
    <w:p>
      <w:r>
        <w:rPr>
          <w:b/>
        </w:rPr>
        <w:t xml:space="preserve">19 </w:t>
      </w:r>
      <w:r>
        <w:t xml:space="preserve">Behold, a shaking from the Lord, and wrath goes out into a whirling turmoil</w:t>
      </w:r>
      <w:r>
        <w:rPr>
          <w:rStyle w:val="FootnoteReference"/>
        </w:rPr>
        <w:footnoteReference w:id="12508"/>
      </w:r>
      <w:r>
        <w:t xml:space="preserve">. It will come upon the ungodly.</w:t>
      </w:r>
    </w:p>
    <w:p>
      <w:r>
        <w:rPr>
          <w:b/>
        </w:rPr>
        <w:t xml:space="preserve">20 </w:t>
      </w:r>
      <w:r>
        <w:t xml:space="preserve">And the anger of the Lord will not turn back until he does it and until he raises it up from the undertaking of his heart. At the last of days</w:t>
      </w:r>
      <w:r>
        <w:rPr>
          <w:rStyle w:val="FootnoteReference"/>
        </w:rPr>
        <w:footnoteReference w:id="12509"/>
      </w:r>
      <w:r>
        <w:t xml:space="preserve"> they will understand these things.</w:t>
      </w:r>
    </w:p>
    <w:p>
      <w:r>
        <w:rPr>
          <w:b/>
        </w:rPr>
        <w:t xml:space="preserve">21 </w:t>
      </w:r>
      <w:r>
        <w:t xml:space="preserve">I did not send the prophets</w:t>
      </w:r>
      <w:r>
        <w:rPr>
          <w:rStyle w:val="FootnoteReference"/>
        </w:rPr>
        <w:footnoteReference w:id="12510"/>
      </w:r>
      <w:r>
        <w:t xml:space="preserve">, and they ran. I did not speak to them, and they prophesied.</w:t>
      </w:r>
    </w:p>
    <w:p>
      <w:r>
        <w:rPr>
          <w:b/>
        </w:rPr>
        <w:t xml:space="preserve">22 </w:t>
      </w:r>
      <w:r>
        <w:t xml:space="preserve">And if they had stood in my standing-place</w:t>
      </w:r>
      <w:r>
        <w:rPr>
          <w:rStyle w:val="FootnoteReference"/>
        </w:rPr>
        <w:footnoteReference w:id="12511"/>
      </w:r>
      <w:r>
        <w:t xml:space="preserve"> and heard my words, they would have turned my people away from their evil practices.</w:t>
      </w:r>
    </w:p>
    <w:p>
      <w:r>
        <w:rPr>
          <w:b/>
        </w:rPr>
        <w:t xml:space="preserve">23 </w:t>
      </w:r>
      <w:r>
        <w:t xml:space="preserve">Am I a God near at hand</w:t>
      </w:r>
      <w:r>
        <w:rPr>
          <w:rStyle w:val="FootnoteReference"/>
        </w:rPr>
        <w:footnoteReference w:id="12512"/>
      </w:r>
      <w:r>
        <w:t xml:space="preserve">, says the Lord, and not a God from far away?</w:t>
      </w:r>
    </w:p>
    <w:p>
      <w:r>
        <w:rPr>
          <w:b/>
        </w:rPr>
        <w:t xml:space="preserve">24 </w:t>
      </w:r>
      <w:r>
        <w:t xml:space="preserve">If a man hides himself in hidden places, will I not see him? Do I not fill heaven and earth?</w:t>
      </w:r>
      <w:r>
        <w:rPr>
          <w:rStyle w:val="FootnoteReference"/>
        </w:rPr>
        <w:footnoteReference w:id="12513"/>
      </w:r>
      <w:r>
        <w:t xml:space="preserve"> says the Lord.</w:t>
      </w:r>
    </w:p>
    <w:p>
      <w:r>
        <w:rPr>
          <w:b/>
        </w:rPr>
        <w:t xml:space="preserve">25 </w:t>
      </w:r>
      <w:r>
        <w:t xml:space="preserve">I heard</w:t>
      </w:r>
      <w:r>
        <w:rPr>
          <w:rStyle w:val="FootnoteReference"/>
        </w:rPr>
        <w:footnoteReference w:id="12514"/>
      </w:r>
      <w:r>
        <w:t xml:space="preserve"> what the prophets say, those prophesying lies in my name, saying, I dreamed a dream</w:t>
      </w:r>
      <w:r>
        <w:rPr>
          <w:rStyle w:val="FootnoteReference"/>
        </w:rPr>
        <w:footnoteReference w:id="12515"/>
      </w:r>
      <w:r>
        <w:t xml:space="preserve">.</w:t>
      </w:r>
    </w:p>
    <w:p>
      <w:r>
        <w:rPr>
          <w:b/>
        </w:rPr>
        <w:t xml:space="preserve">26 </w:t>
      </w:r>
      <w:r>
        <w:t xml:space="preserve">How long will this be in the heart of the prophets prophesying lies and prophesying the desires of their own heart?</w:t>
      </w:r>
    </w:p>
    <w:p>
      <w:r>
        <w:rPr>
          <w:b/>
        </w:rPr>
        <w:t xml:space="preserve">27 </w:t>
      </w:r>
      <w:r>
        <w:t xml:space="preserve">They plan to make my law forgotten by their dreams</w:t>
      </w:r>
      <w:r>
        <w:rPr>
          <w:rStyle w:val="FootnoteReference"/>
        </w:rPr>
        <w:footnoteReference w:id="12516"/>
      </w:r>
      <w:r>
        <w:t xml:space="preserve"> which each recounts to his neighbor, just as their fathers forgot my name in Baal.</w:t>
      </w:r>
    </w:p>
    <w:p>
      <w:r>
        <w:rPr>
          <w:b/>
        </w:rPr>
        <w:t xml:space="preserve">28 </w:t>
      </w:r>
      <w:r>
        <w:t xml:space="preserve">The prophet in whom the dream is, let him recount his dream, and the one with whom my word is, let him recount my word in truth. What is straw compared to wheat?</w:t>
      </w:r>
      <w:r>
        <w:rPr>
          <w:rStyle w:val="FootnoteReference"/>
        </w:rPr>
        <w:footnoteReference w:id="12517"/>
      </w:r>
      <w:r>
        <w:t xml:space="preserve"> So are my words, says the Lord.</w:t>
      </w:r>
    </w:p>
    <w:p>
      <w:r>
        <w:rPr>
          <w:b/>
        </w:rPr>
        <w:t xml:space="preserve">29 </w:t>
      </w:r>
      <w:r>
        <w:t xml:space="preserve">Are not my words like flaming fire, says the Lord, and like a hammer breaking rock</w:t>
      </w:r>
      <w:r>
        <w:rPr>
          <w:rStyle w:val="FootnoteReference"/>
        </w:rPr>
        <w:footnoteReference w:id="12518"/>
      </w:r>
      <w:r>
        <w:t xml:space="preserve">?</w:t>
      </w:r>
    </w:p>
    <w:p>
      <w:r>
        <w:rPr>
          <w:b/>
        </w:rPr>
        <w:t xml:space="preserve">30 </w:t>
      </w:r>
      <w:r>
        <w:t xml:space="preserve">Therefore behold, I am against the prophets, says the Lord God, those stealing my words</w:t>
      </w:r>
      <w:r>
        <w:rPr>
          <w:rStyle w:val="FootnoteReference"/>
        </w:rPr>
        <w:footnoteReference w:id="12519"/>
      </w:r>
      <w:r>
        <w:t xml:space="preserve">, each from his neighbor.</w:t>
      </w:r>
    </w:p>
    <w:p>
      <w:r>
        <w:rPr>
          <w:b/>
        </w:rPr>
        <w:t xml:space="preserve">31 </w:t>
      </w:r>
      <w:r>
        <w:t xml:space="preserve">Behold, I am against the prophets throwing out prophecies of the tongue</w:t>
      </w:r>
      <w:r>
        <w:rPr>
          <w:rStyle w:val="FootnoteReference"/>
        </w:rPr>
        <w:footnoteReference w:id="12520"/>
      </w:r>
      <w:r>
        <w:t xml:space="preserve"> and dozing their own drowsiness.</w:t>
      </w:r>
    </w:p>
    <w:p>
      <w:r>
        <w:rPr>
          <w:b/>
        </w:rPr>
        <w:t xml:space="preserve">32 </w:t>
      </w:r>
      <w:r>
        <w:t xml:space="preserve">Behold, I am against the prophets prophesying lying dreams, and they recounted them and led my people astray in their lies and in their wanderings. And I did not send them and did not command them, and they will not benefit this people with any benefit</w:t>
      </w:r>
      <w:r>
        <w:rPr>
          <w:rStyle w:val="FootnoteReference"/>
        </w:rPr>
        <w:footnoteReference w:id="12521"/>
      </w:r>
      <w:r>
        <w:t xml:space="preserve">.</w:t>
      </w:r>
    </w:p>
    <w:p>
      <w:r>
        <w:rPr>
          <w:b/>
        </w:rPr>
        <w:t xml:space="preserve">33 </w:t>
      </w:r>
      <w:r>
        <w:t xml:space="preserve">And if this people or priest or prophet asks you, saying, What is the burden of the Lord?</w:t>
      </w:r>
      <w:r>
        <w:rPr>
          <w:rStyle w:val="FootnoteReference"/>
        </w:rPr>
        <w:footnoteReference w:id="12522"/>
      </w:r>
      <w:r>
        <w:t xml:space="preserve"> then you will say to them, You are the burden, and I will dash you down, says the Lord.</w:t>
      </w:r>
    </w:p>
    <w:p>
      <w:r>
        <w:rPr>
          <w:b/>
        </w:rPr>
        <w:t xml:space="preserve">34 </w:t>
      </w:r>
      <w:r>
        <w:t xml:space="preserve">And the prophet and the priest and the people, whoever says, Burden of the Lord</w:t>
      </w:r>
      <w:r>
        <w:rPr>
          <w:rStyle w:val="FootnoteReference"/>
        </w:rPr>
        <w:footnoteReference w:id="12523"/>
      </w:r>
      <w:r>
        <w:t xml:space="preserve">, I will punish</w:t>
      </w:r>
      <w:r>
        <w:rPr>
          <w:rStyle w:val="FootnoteReference"/>
        </w:rPr>
        <w:footnoteReference w:id="12524"/>
      </w:r>
      <w:r>
        <w:t xml:space="preserve"> that man and his house.</w:t>
      </w:r>
    </w:p>
    <w:p>
      <w:r>
        <w:rPr>
          <w:b/>
        </w:rPr>
        <w:t xml:space="preserve">35 </w:t>
      </w:r>
      <w:r>
        <w:t xml:space="preserve">Because thus each will say to his neighbor and each to his brother, What did the Lord answer, and what did the Lord speak?</w:t>
      </w:r>
      <w:r>
        <w:rPr>
          <w:rStyle w:val="FootnoteReference"/>
        </w:rPr>
        <w:footnoteReference w:id="12525"/>
      </w:r>
    </w:p>
    <w:p>
      <w:r>
        <w:rPr>
          <w:b/>
        </w:rPr>
        <w:t xml:space="preserve">36 </w:t>
      </w:r>
      <w:r>
        <w:t xml:space="preserve">And do not name Burden of the</w:t>
      </w:r>
      <w:r>
        <w:rPr>
          <w:rStyle w:val="FootnoteReference"/>
        </w:rPr>
        <w:footnoteReference w:id="12526"/>
      </w:r>
      <w:r>
        <w:t xml:space="preserve"> Lord any longer, because the burden will be each man's own word</w:t>
      </w:r>
      <w:r>
        <w:rPr>
          <w:rStyle w:val="FootnoteReference"/>
        </w:rPr>
        <w:footnoteReference w:id="12527"/>
      </w:r>
      <w:r>
        <w:t xml:space="preserve">.</w:t>
      </w:r>
    </w:p>
    <w:p>
      <w:r>
        <w:rPr>
          <w:b/>
        </w:rPr>
        <w:t xml:space="preserve">37 </w:t>
      </w:r>
      <w:r>
        <w:t xml:space="preserve">And why did the Lord our God speak?</w:t>
      </w:r>
    </w:p>
    <w:p>
      <w:r>
        <w:rPr>
          <w:b/>
        </w:rPr>
        <w:t xml:space="preserve">38 </w:t>
      </w:r>
      <w:r>
        <w:t xml:space="preserve">Therefore thus says the Lord God: Because you said this word, Burden of the Lord, though I sent to you saying, You shall not say, Burden of the Lord,</w:t>
      </w:r>
    </w:p>
    <w:p>
      <w:r>
        <w:rPr>
          <w:b/>
        </w:rPr>
        <w:t xml:space="preserve">39 </w:t>
      </w:r>
      <w:r>
        <w:t xml:space="preserve">therefore behold, I will take and dash you and the city which I gave to you</w:t>
      </w:r>
      <w:r>
        <w:rPr>
          <w:rStyle w:val="FootnoteReference"/>
        </w:rPr>
        <w:footnoteReference w:id="12528"/>
      </w:r>
      <w:r>
        <w:t xml:space="preserve"> and to your fathers.</w:t>
      </w:r>
    </w:p>
    <w:p>
      <w:r>
        <w:rPr>
          <w:b/>
        </w:rPr>
        <w:t xml:space="preserve">40 </w:t>
      </w:r>
      <w:r>
        <w:t xml:space="preserve">And I will put upon you eternal reproach and eternal dishonor</w:t>
      </w:r>
      <w:r>
        <w:rPr>
          <w:rStyle w:val="FootnoteReference"/>
        </w:rPr>
        <w:footnoteReference w:id="12529"/>
      </w:r>
      <w:r>
        <w:t xml:space="preserve"> which will not be forgotten.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The Lord showed me two baskets of figs</w:t>
      </w:r>
      <w:r>
        <w:rPr>
          <w:rStyle w:val="FootnoteReference"/>
        </w:rPr>
        <w:footnoteReference w:id="12530"/>
      </w:r>
      <w:r>
        <w:t xml:space="preserve"> set before the face of the temple of the Lord, after Nebuchadnezzar king of Babylon carried away Jeconiah son of Jehoiakim king of Judah and the rulers and the craftsmen and the prisoners and the rich men from Jerusalem and brought them to Babylon.</w:t>
      </w:r>
    </w:p>
    <w:p>
      <w:r>
        <w:rPr>
          <w:b/>
        </w:rPr>
        <w:t xml:space="preserve">2 </w:t>
      </w:r>
      <w:r>
        <w:t xml:space="preserve">One basket</w:t>
      </w:r>
      <w:r>
        <w:rPr>
          <w:rStyle w:val="FootnoteReference"/>
        </w:rPr>
        <w:footnoteReference w:id="12531"/>
      </w:r>
      <w:r>
        <w:t xml:space="preserve"> held very good figs, like the first-ripe figs</w:t>
      </w:r>
      <w:r>
        <w:rPr>
          <w:rStyle w:val="FootnoteReference"/>
        </w:rPr>
        <w:footnoteReference w:id="12532"/>
      </w:r>
      <w:r>
        <w:t xml:space="preserve">, and the other basket held very bad figs, which will not be eaten because of their badness.</w:t>
      </w:r>
    </w:p>
    <w:p>
      <w:r>
        <w:rPr>
          <w:b/>
        </w:rPr>
        <w:t xml:space="preserve">3 </w:t>
      </w:r>
      <w:r>
        <w:t xml:space="preserve">And the Lord said to me, What do you see, Jeremiah? And I said, Figs: the good ones are very good, and the bad ones are very bad, which will not be eaten because of their badness.</w:t>
      </w:r>
    </w:p>
    <w:p>
      <w:r>
        <w:rPr>
          <w:b/>
        </w:rPr>
        <w:t xml:space="preserve">4 </w:t>
      </w:r>
      <w:r>
        <w:t xml:space="preserve">And the word of the Lord came to me, saying,</w:t>
      </w:r>
    </w:p>
    <w:p>
      <w:r>
        <w:rPr>
          <w:b/>
        </w:rPr>
        <w:t xml:space="preserve">5 </w:t>
      </w:r>
      <w:r>
        <w:t xml:space="preserve">Thus says the Lord God of Israel: As these good figs, so I will recognize the exiles of Judah</w:t>
      </w:r>
      <w:r>
        <w:rPr>
          <w:rStyle w:val="FootnoteReference"/>
        </w:rPr>
        <w:footnoteReference w:id="12533"/>
      </w:r>
      <w:r>
        <w:t xml:space="preserve"> whom I sent away from this place into the land of the Chaldeans for good.</w:t>
      </w:r>
    </w:p>
    <w:p>
      <w:r>
        <w:rPr>
          <w:b/>
        </w:rPr>
        <w:t xml:space="preserve">6 </w:t>
      </w:r>
      <w:r>
        <w:t xml:space="preserve">And I will set my eyes on them for good and restore them to this land for good, and I will rebuild them and certainly not tear them down</w:t>
      </w:r>
      <w:r>
        <w:rPr>
          <w:rStyle w:val="FootnoteReference"/>
        </w:rPr>
        <w:footnoteReference w:id="12534"/>
      </w:r>
      <w:r>
        <w:t xml:space="preserve">, and I will plant them and certainly not pull them up.</w:t>
      </w:r>
    </w:p>
    <w:p>
      <w:r>
        <w:rPr>
          <w:b/>
        </w:rPr>
        <w:t xml:space="preserve">7 </w:t>
      </w:r>
      <w:r>
        <w:t xml:space="preserve">And I will give</w:t>
      </w:r>
      <w:r>
        <w:rPr>
          <w:rStyle w:val="FootnoteReference"/>
        </w:rPr>
        <w:footnoteReference w:id="12535"/>
      </w:r>
      <w:r>
        <w:t xml:space="preserve"> them a heart to know me</w:t>
      </w:r>
      <w:r>
        <w:rPr>
          <w:rStyle w:val="FootnoteReference"/>
        </w:rPr>
        <w:footnoteReference w:id="12536"/>
      </w:r>
      <w:r>
        <w:t xml:space="preserve">, that I am the Lord, and they will be to me for a people and I will be to them for God, because they will turn back to me with all their heart.</w:t>
      </w:r>
    </w:p>
    <w:p>
      <w:r>
        <w:rPr>
          <w:b/>
        </w:rPr>
        <w:t xml:space="preserve">8 </w:t>
      </w:r>
      <w:r>
        <w:t xml:space="preserve">And like the bad figs, which will not be eaten because of their badness, thus says the Lord, so I will hand over Zedekiah king of Judah and his nobles and the remnant of Jerusalem left in this land and those dwelling in Egypt.</w:t>
      </w:r>
    </w:p>
    <w:p>
      <w:r>
        <w:rPr>
          <w:b/>
        </w:rPr>
        <w:t xml:space="preserve">9 </w:t>
      </w:r>
      <w:r>
        <w:t xml:space="preserve">And I will give them for dispersion</w:t>
      </w:r>
      <w:r>
        <w:rPr>
          <w:rStyle w:val="FootnoteReference"/>
        </w:rPr>
        <w:footnoteReference w:id="12537"/>
      </w:r>
      <w:r>
        <w:t xml:space="preserve"> into all the kingdoms of the earth, and they will be for a reproach and for a proverb and for hatred and for a curse</w:t>
      </w:r>
      <w:r>
        <w:rPr>
          <w:rStyle w:val="FootnoteReference"/>
        </w:rPr>
        <w:footnoteReference w:id="12538"/>
      </w:r>
      <w:r>
        <w:t xml:space="preserve"> in every place where I drove them.</w:t>
      </w:r>
    </w:p>
    <w:p>
      <w:r>
        <w:rPr>
          <w:b/>
        </w:rPr>
        <w:t xml:space="preserve">10 </w:t>
      </w:r>
      <w:r>
        <w:t xml:space="preserve">And I will send upon them famine and death and sword</w:t>
      </w:r>
      <w:r>
        <w:rPr>
          <w:rStyle w:val="FootnoteReference"/>
        </w:rPr>
        <w:footnoteReference w:id="12539"/>
      </w:r>
      <w:r>
        <w:t xml:space="preserve"> until they are gone from the land which I gave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The word that came to Jeremiah</w:t>
      </w:r>
      <w:r>
        <w:rPr>
          <w:rStyle w:val="FootnoteReference"/>
        </w:rPr>
        <w:footnoteReference w:id="12540"/>
      </w:r>
      <w:r>
        <w:t xml:space="preserve"> concerning all the people of Judah in the fourth year of Jehoiakim son of Josiah king of Judah,</w:t>
      </w:r>
    </w:p>
    <w:p>
      <w:r>
        <w:rPr>
          <w:b/>
        </w:rPr>
        <w:t xml:space="preserve">2 </w:t>
      </w:r>
      <w:r>
        <w:t xml:space="preserve">which he spoke to all the people of Judah and to those dwelling in Jerusalem, saying,</w:t>
      </w:r>
    </w:p>
    <w:p>
      <w:r>
        <w:rPr>
          <w:b/>
        </w:rPr>
        <w:t xml:space="preserve">3 </w:t>
      </w:r>
      <w:r>
        <w:t xml:space="preserve">In the thirteenth</w:t>
      </w:r>
      <w:r>
        <w:rPr>
          <w:rStyle w:val="FootnoteReference"/>
        </w:rPr>
        <w:footnoteReference w:id="12541"/>
      </w:r>
      <w:r>
        <w:t xml:space="preserve"> year of Josiah son of Amon king of Judah and until this day, twenty-three years, I spoke to you, rising early and speaking.</w:t>
      </w:r>
    </w:p>
    <w:p>
      <w:r>
        <w:rPr>
          <w:b/>
        </w:rPr>
        <w:t xml:space="preserve">4 </w:t>
      </w:r>
      <w:r>
        <w:t xml:space="preserve">And I sent to you my servants the prophets, rising</w:t>
      </w:r>
      <w:r>
        <w:rPr>
          <w:rStyle w:val="FootnoteReference"/>
        </w:rPr>
        <w:footnoteReference w:id="12542"/>
      </w:r>
      <w:r>
        <w:t xml:space="preserve"> early and sending, and you did not listen and did not pay attention with your ears,</w:t>
      </w:r>
    </w:p>
    <w:p>
      <w:r>
        <w:rPr>
          <w:b/>
        </w:rPr>
        <w:t xml:space="preserve">5 </w:t>
      </w:r>
      <w:r>
        <w:t xml:space="preserve">saying, Let each one turn</w:t>
      </w:r>
      <w:r>
        <w:rPr>
          <w:rStyle w:val="FootnoteReference"/>
        </w:rPr>
        <w:footnoteReference w:id="12543"/>
      </w:r>
      <w:r>
        <w:t xml:space="preserve"> back from his evil way and from your evil practices, and you will dwell upon the land which I gave to you and to your fathers from age to age.</w:t>
      </w:r>
    </w:p>
    <w:p>
      <w:r>
        <w:rPr>
          <w:b/>
        </w:rPr>
        <w:t xml:space="preserve">6 </w:t>
      </w:r>
      <w:r>
        <w:t xml:space="preserve">Do not go after foreign gods</w:t>
      </w:r>
      <w:r>
        <w:rPr>
          <w:rStyle w:val="FootnoteReference"/>
        </w:rPr>
        <w:footnoteReference w:id="12544"/>
      </w:r>
      <w:r>
        <w:t xml:space="preserve">, to serve them and bow down to them, so that you do not provoke me by the works of your hands, to harm you.</w:t>
      </w:r>
    </w:p>
    <w:p>
      <w:r>
        <w:rPr>
          <w:b/>
        </w:rPr>
        <w:t xml:space="preserve">7 </w:t>
      </w:r>
      <w:r>
        <w:t xml:space="preserve">And you did not hear me.</w:t>
      </w:r>
    </w:p>
    <w:p>
      <w:r>
        <w:rPr>
          <w:b/>
        </w:rPr>
        <w:t xml:space="preserve">8 </w:t>
      </w:r>
      <w:r>
        <w:t xml:space="preserve">Therefore thus says the Lord: Because you did not believe my words,</w:t>
      </w:r>
    </w:p>
    <w:p>
      <w:r>
        <w:rPr>
          <w:b/>
        </w:rPr>
        <w:t xml:space="preserve">9 </w:t>
      </w:r>
      <w:r>
        <w:t xml:space="preserve">behold, I send and will take the family from the north</w:t>
      </w:r>
      <w:r>
        <w:rPr>
          <w:rStyle w:val="FootnoteReference"/>
        </w:rPr>
        <w:footnoteReference w:id="12545"/>
      </w:r>
      <w:r>
        <w:t xml:space="preserve"> and bring them upon this land and upon those dwelling in it and upon all the nations around it, and I will make them desolate and give them for disappearance and for hissing and for eternal reproach.</w:t>
      </w:r>
    </w:p>
    <w:p>
      <w:r>
        <w:rPr>
          <w:b/>
        </w:rPr>
        <w:t xml:space="preserve">10 </w:t>
      </w:r>
      <w:r>
        <w:t xml:space="preserve">And I will destroy from them the voice of joy and the voice of gladness, the voice of a bridegroom and the voice of a bride, the smell of perfume and the light of a lamp.</w:t>
      </w:r>
    </w:p>
    <w:p>
      <w:r>
        <w:rPr>
          <w:b/>
        </w:rPr>
        <w:t xml:space="preserve">11 </w:t>
      </w:r>
      <w:r>
        <w:t xml:space="preserve">And all the land will be for disappearance, and they will serve among the nations seventy years</w:t>
      </w:r>
      <w:r>
        <w:rPr>
          <w:rStyle w:val="FootnoteReference"/>
        </w:rPr>
        <w:footnoteReference w:id="12546"/>
      </w:r>
      <w:r>
        <w:t xml:space="preserve">.</w:t>
      </w:r>
      <w:r>
        <w:rPr>
          <w:rStyle w:val="FootnoteReference"/>
        </w:rPr>
        <w:footnoteReference w:id="12547"/>
      </w:r>
    </w:p>
    <w:p>
      <w:r>
        <w:rPr>
          <w:b/>
        </w:rPr>
        <w:t xml:space="preserve">12 </w:t>
      </w:r>
      <w:r>
        <w:t xml:space="preserve">And when the seventy years are fulfilled, I will punish</w:t>
      </w:r>
      <w:r>
        <w:rPr>
          <w:rStyle w:val="FootnoteReference"/>
        </w:rPr>
        <w:footnoteReference w:id="12548"/>
      </w:r>
      <w:r>
        <w:t xml:space="preserve"> that nation, says the Lord, and I will set them for eternal disappearance.</w:t>
      </w:r>
    </w:p>
    <w:p>
      <w:r>
        <w:rPr>
          <w:b/>
        </w:rPr>
        <w:t xml:space="preserve">13 </w:t>
      </w:r>
      <w:r>
        <w:t xml:space="preserve">And I will bring upon that land all my words which I spoke against it, all the things written in this book.</w:t>
      </w:r>
    </w:p>
    <w:p>
      <w:r>
        <w:rPr>
          <w:b/>
        </w:rPr>
        <w:t xml:space="preserve">14 </w:t>
      </w:r>
      <w:r>
        <w:t xml:space="preserve">The things which Jeremiah prophesied against the nations, against Elam</w:t>
      </w:r>
      <w:r>
        <w:rPr>
          <w:rStyle w:val="FootnoteReference"/>
        </w:rPr>
        <w:footnoteReference w:id="12549"/>
      </w:r>
      <w:r>
        <w:t xml:space="preserve">.</w:t>
      </w:r>
    </w:p>
    <w:p>
      <w:r>
        <w:rPr>
          <w:b/>
        </w:rPr>
        <w:t xml:space="preserve">15 </w:t>
      </w:r>
      <w:r>
        <w:t xml:space="preserve">Thus says the Lord: Let the bow of Elam</w:t>
      </w:r>
      <w:r>
        <w:rPr>
          <w:rStyle w:val="FootnoteReference"/>
        </w:rPr>
        <w:footnoteReference w:id="12550"/>
      </w:r>
      <w:r>
        <w:t xml:space="preserve"> be shattered, the beginning of their power.</w:t>
      </w:r>
    </w:p>
    <w:p>
      <w:r>
        <w:rPr>
          <w:b/>
        </w:rPr>
        <w:t xml:space="preserve">16 </w:t>
      </w:r>
      <w:r>
        <w:t xml:space="preserve">And I will bring upon Elam four winds from the four ends of heaven</w:t>
      </w:r>
      <w:r>
        <w:rPr>
          <w:rStyle w:val="FootnoteReference"/>
        </w:rPr>
        <w:footnoteReference w:id="12551"/>
      </w:r>
      <w:r>
        <w:t xml:space="preserve"> and will scatter them in all these winds, and there will not be a nation where the outcasts of Elam will not come.</w:t>
      </w:r>
    </w:p>
    <w:p>
      <w:r>
        <w:rPr>
          <w:b/>
        </w:rPr>
        <w:t xml:space="preserve">17 </w:t>
      </w:r>
      <w:r>
        <w:t xml:space="preserve">And I will terrify them before their enemies seeking their lives, and I will bring evils upon them according to the anger of my wrath, and I will send my sword after them until I consume them.</w:t>
      </w:r>
    </w:p>
    <w:p>
      <w:r>
        <w:rPr>
          <w:b/>
        </w:rPr>
        <w:t xml:space="preserve">18 </w:t>
      </w:r>
      <w:r>
        <w:t xml:space="preserve">And I will set my throne in Elam and send away from there the king and nobles.</w:t>
      </w:r>
    </w:p>
    <w:p>
      <w:r>
        <w:rPr>
          <w:b/>
        </w:rPr>
        <w:t xml:space="preserve">19 </w:t>
      </w:r>
      <w:r>
        <w:t xml:space="preserve">And it will be at the last of days: I will turn back the captivity of Elam</w:t>
      </w:r>
      <w:r>
        <w:rPr>
          <w:rStyle w:val="FootnoteReference"/>
        </w:rPr>
        <w:footnoteReference w:id="12552"/>
      </w:r>
      <w:r>
        <w:t xml:space="preserve">, says the Lord.</w:t>
      </w:r>
    </w:p>
    <w:p>
      <w:r>
        <w:rPr>
          <w:b/>
        </w:rPr>
        <w:t xml:space="preserve">20 </w:t>
      </w:r>
      <w:r>
        <w:t xml:space="preserve">At the beginning of the reign of King Zedekiah, this word came concerning Elam.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2 </w:t>
      </w:r>
      <w:r>
        <w:t xml:space="preserve">Concerning Egypt, against the army of Pharaoh Neco</w:t>
      </w:r>
      <w:r>
        <w:rPr>
          <w:rStyle w:val="FootnoteReference"/>
        </w:rPr>
        <w:footnoteReference w:id="12553"/>
      </w:r>
      <w:r>
        <w:t xml:space="preserve"> king of Egypt, which was by the river Euphrates at Carchemish</w:t>
      </w:r>
      <w:r>
        <w:rPr>
          <w:rStyle w:val="FootnoteReference"/>
        </w:rPr>
        <w:footnoteReference w:id="12554"/>
      </w:r>
      <w:r>
        <w:t xml:space="preserve">, whom Nebuchadnezzar king of Babylon struck in the fourth year of Jehoiakim king of Judah.</w:t>
      </w:r>
      <w:r>
        <w:rPr>
          <w:rStyle w:val="FootnoteReference"/>
        </w:rPr>
        <w:footnoteReference w:id="12555"/>
      </w:r>
    </w:p>
    <w:p>
      <w:r>
        <w:rPr>
          <w:b/>
        </w:rPr>
        <w:t xml:space="preserve">3 </w:t>
      </w:r>
      <w:r>
        <w:t xml:space="preserve">Take up weapons and shields, and draw near for war.</w:t>
      </w:r>
    </w:p>
    <w:p>
      <w:r>
        <w:rPr>
          <w:b/>
        </w:rPr>
        <w:t xml:space="preserve">4 </w:t>
      </w:r>
      <w:r>
        <w:t xml:space="preserve">Harness the horses; mount up, riders, and stand in your helmets. Advance the spears and put on your breastplates.</w:t>
      </w:r>
    </w:p>
    <w:p>
      <w:r>
        <w:rPr>
          <w:b/>
        </w:rPr>
        <w:t xml:space="preserve">5 </w:t>
      </w:r>
      <w:r>
        <w:t xml:space="preserve">Why are they terrified and withdrawing backward? Because their mighty ones will be cut down. They fled in flight and did not turn back, hemmed in all around, says the Lord.</w:t>
      </w:r>
    </w:p>
    <w:p>
      <w:r>
        <w:rPr>
          <w:b/>
        </w:rPr>
        <w:t xml:space="preserve">6 </w:t>
      </w:r>
      <w:r>
        <w:t xml:space="preserve">Let the swift one not flee, and let the mighty one not save himself. Toward the north, by the Euphrates, they weakened and fell.</w:t>
      </w:r>
    </w:p>
    <w:p>
      <w:r>
        <w:rPr>
          <w:b/>
        </w:rPr>
        <w:t xml:space="preserve">7 </w:t>
      </w:r>
      <w:r>
        <w:t xml:space="preserve">Who is this who will rise like a river, and whose waters surge like rivers?</w:t>
      </w:r>
    </w:p>
    <w:p>
      <w:r>
        <w:rPr>
          <w:b/>
        </w:rPr>
        <w:t xml:space="preserve">8 </w:t>
      </w:r>
      <w:r>
        <w:t xml:space="preserve">The waters of Egypt will rise like a river, and he said, I will go up and cover the earth and destroy those dwelling in it.</w:t>
      </w:r>
    </w:p>
    <w:p>
      <w:r>
        <w:rPr>
          <w:b/>
        </w:rPr>
        <w:t xml:space="preserve">9 </w:t>
      </w:r>
      <w:r>
        <w:t xml:space="preserve">Mount the horses. Prepare the chariots. Go out, warriors, Ethiopians and Libyans armed with weapons, and Lydians</w:t>
      </w:r>
      <w:r>
        <w:rPr>
          <w:rStyle w:val="FootnoteReference"/>
        </w:rPr>
        <w:footnoteReference w:id="12556"/>
      </w:r>
      <w:r>
        <w:t xml:space="preserve">, go up, bend the bow.</w:t>
      </w:r>
    </w:p>
    <w:p>
      <w:r>
        <w:rPr>
          <w:b/>
        </w:rPr>
        <w:t xml:space="preserve">10 </w:t>
      </w:r>
      <w:r>
        <w:t xml:space="preserve">And that day belongs to the Lord our God, a day of vengeance to avenge his enemies, and the sword of the Lord will devour and be filled and become drunk with their blood, because a sacrifice belongs to the Lord of hosts</w:t>
      </w:r>
      <w:r>
        <w:rPr>
          <w:rStyle w:val="FootnoteReference"/>
        </w:rPr>
        <w:footnoteReference w:id="12557"/>
      </w:r>
      <w:r>
        <w:t xml:space="preserve"> from the land of the north by the river Euphrates.</w:t>
      </w:r>
    </w:p>
    <w:p>
      <w:r>
        <w:rPr>
          <w:b/>
        </w:rPr>
        <w:t xml:space="preserve">11 </w:t>
      </w:r>
      <w:r>
        <w:t xml:space="preserve">Go up to Gilead and take resin</w:t>
      </w:r>
      <w:r>
        <w:rPr>
          <w:rStyle w:val="FootnoteReference"/>
        </w:rPr>
        <w:footnoteReference w:id="12558"/>
      </w:r>
      <w:r>
        <w:t xml:space="preserve">, virgin daughter of Egypt. In vain you multiplied your healings. There is no benefit for you.</w:t>
      </w:r>
    </w:p>
    <w:p>
      <w:r>
        <w:rPr>
          <w:b/>
        </w:rPr>
        <w:t xml:space="preserve">12 </w:t>
      </w:r>
      <w:r>
        <w:t xml:space="preserve">The nations heard your voice, and the earth was filled with your cry, because warrior weakened against warrior. Together both fell.</w:t>
      </w:r>
    </w:p>
    <w:p>
      <w:r>
        <w:rPr>
          <w:b/>
        </w:rPr>
        <w:t xml:space="preserve">13 </w:t>
      </w:r>
      <w:r>
        <w:t xml:space="preserve">The things which the Lord spoke by the hand of Jeremiah, for Nebuchadnezzar king of Babylon to come to strike the land of Egypt.</w:t>
      </w:r>
    </w:p>
    <w:p>
      <w:r>
        <w:rPr>
          <w:b/>
        </w:rPr>
        <w:t xml:space="preserve">14 </w:t>
      </w:r>
      <w:r>
        <w:t xml:space="preserve">Announce in Migdol and proclaim in Memphis. Say, Stand ready and prepare, because the sword devoured your smilax</w:t>
      </w:r>
      <w:r>
        <w:rPr>
          <w:rStyle w:val="FootnoteReference"/>
        </w:rPr>
        <w:footnoteReference w:id="12559"/>
      </w:r>
      <w:r>
        <w:t xml:space="preserve">.</w:t>
      </w:r>
    </w:p>
    <w:p>
      <w:r>
        <w:rPr>
          <w:b/>
        </w:rPr>
        <w:t xml:space="preserve">15 </w:t>
      </w:r>
      <w:r>
        <w:t xml:space="preserve">Why did Apis, your chosen calf, flee? He did not remain, because the Lord weakened him.</w:t>
      </w:r>
    </w:p>
    <w:p>
      <w:r>
        <w:rPr>
          <w:b/>
        </w:rPr>
        <w:t xml:space="preserve">16 </w:t>
      </w:r>
      <w:r>
        <w:t xml:space="preserve">And your multitude weakened and fell, and each said to his neighbor, Let us rise and return to our people and to our homeland from the face of a Greek sword</w:t>
      </w:r>
      <w:r>
        <w:rPr>
          <w:rStyle w:val="FootnoteReference"/>
        </w:rPr>
        <w:footnoteReference w:id="12560"/>
      </w:r>
      <w:r>
        <w:t xml:space="preserve">.</w:t>
      </w:r>
      <w:r>
        <w:rPr>
          <w:rStyle w:val="FootnoteReference"/>
        </w:rPr>
        <w:footnoteReference w:id="12561"/>
      </w:r>
    </w:p>
    <w:p>
      <w:r>
        <w:rPr>
          <w:b/>
        </w:rPr>
        <w:t xml:space="preserve">17 </w:t>
      </w:r>
      <w:r>
        <w:t xml:space="preserve">Call the name of Pharaoh Neco king of Egypt: Saon-esbi-emoed</w:t>
      </w:r>
      <w:r>
        <w:rPr>
          <w:rStyle w:val="FootnoteReference"/>
        </w:rPr>
        <w:footnoteReference w:id="12562"/>
      </w:r>
      <w:r>
        <w:t xml:space="preserve">.</w:t>
      </w:r>
    </w:p>
    <w:p>
      <w:r>
        <w:rPr>
          <w:b/>
        </w:rPr>
        <w:t xml:space="preserve">18 </w:t>
      </w:r>
      <w:r>
        <w:t xml:space="preserve">As I live, says the Lord God, as Tabor among the mountains and as Carmel by the sea, so he will come.</w:t>
      </w:r>
    </w:p>
    <w:p>
      <w:r>
        <w:rPr>
          <w:b/>
        </w:rPr>
        <w:t xml:space="preserve">19 </w:t>
      </w:r>
      <w:r>
        <w:t xml:space="preserve">Make for yourself gear for exile, you dwelling daughter of Egypt, because Memphis will become a disappearance and will be called Woe, because there are no inhabitants in her.</w:t>
      </w:r>
    </w:p>
    <w:p>
      <w:r>
        <w:rPr>
          <w:b/>
        </w:rPr>
        <w:t xml:space="preserve">20 </w:t>
      </w:r>
      <w:r>
        <w:t xml:space="preserve">Egypt is a beautified heifer</w:t>
      </w:r>
      <w:r>
        <w:rPr>
          <w:rStyle w:val="FootnoteReference"/>
        </w:rPr>
        <w:footnoteReference w:id="12563"/>
      </w:r>
      <w:r>
        <w:t xml:space="preserve">; a cutting off from the north has come upon her.</w:t>
      </w:r>
    </w:p>
    <w:p>
      <w:r>
        <w:rPr>
          <w:b/>
        </w:rPr>
        <w:t xml:space="preserve">21 </w:t>
      </w:r>
      <w:r>
        <w:t xml:space="preserve">And her hired men in her are like fattened calves raised in her, because they too turned back and fled together. They did not stand, because the day of their destruction came upon them and the time of their vengeance.</w:t>
      </w:r>
    </w:p>
    <w:p>
      <w:r>
        <w:rPr>
          <w:b/>
        </w:rPr>
        <w:t xml:space="preserve">22 </w:t>
      </w:r>
      <w:r>
        <w:t xml:space="preserve">Her voice will hiss like a serpent's</w:t>
      </w:r>
      <w:r>
        <w:rPr>
          <w:rStyle w:val="FootnoteReference"/>
        </w:rPr>
        <w:footnoteReference w:id="12564"/>
      </w:r>
      <w:r>
        <w:t xml:space="preserve">, because they will go in sand, and with axes they will come upon her like woodcutters.</w:t>
      </w:r>
    </w:p>
    <w:p>
      <w:r>
        <w:rPr>
          <w:b/>
        </w:rPr>
        <w:t xml:space="preserve">23 </w:t>
      </w:r>
      <w:r>
        <w:t xml:space="preserve">They will cut down her forest, says the Lord God, because it certainly will not be estimated. They are more numerous than locusts, and there is no number for them.</w:t>
      </w:r>
    </w:p>
    <w:p>
      <w:r>
        <w:rPr>
          <w:b/>
        </w:rPr>
        <w:t xml:space="preserve">24 </w:t>
      </w:r>
      <w:r>
        <w:t xml:space="preserve">The daughter of Egypt was put to shame. She was handed into the hands of the people from the north.</w:t>
      </w:r>
    </w:p>
    <w:p>
      <w:r>
        <w:rPr>
          <w:b/>
        </w:rPr>
        <w:t xml:space="preserve">25 </w:t>
      </w:r>
      <w:r>
        <w:t xml:space="preserve">Behold, I punish Amon her son, upon Pharaoh and upon those trusting in him.</w:t>
      </w:r>
    </w:p>
    <w:p>
      <w:r>
        <w:rPr>
          <w:b/>
        </w:rPr>
        <w:t xml:space="preserve">27 </w:t>
      </w:r>
      <w:r>
        <w:t xml:space="preserve">But do not fear, my servant Jacob, and do not be terrified, Israel, because behold, I save you from far away, and your seed from the land of their captivity, and Jacob will return and be quiet and sleep, and there will not be one harassing him.</w:t>
      </w:r>
    </w:p>
    <w:p>
      <w:r>
        <w:rPr>
          <w:b/>
        </w:rPr>
        <w:t xml:space="preserve">28 </w:t>
      </w:r>
      <w:r>
        <w:t xml:space="preserve">Do not fear, my servant Jacob, says the Lord, because I am with you. Because I will make an end in every nation where I drove you, but you I will certainly not make fail</w:t>
      </w:r>
      <w:r>
        <w:rPr>
          <w:rStyle w:val="FootnoteReference"/>
        </w:rPr>
        <w:footnoteReference w:id="12565"/>
      </w:r>
      <w:r>
        <w:t xml:space="preserve">, and I will discipline you in judgment, and by acquitting I will not acquit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The word of the Lord which he spoke concerning Babylon.</w:t>
      </w:r>
    </w:p>
    <w:p>
      <w:r>
        <w:rPr>
          <w:b/>
        </w:rPr>
        <w:t xml:space="preserve">2 </w:t>
      </w:r>
      <w:r>
        <w:t xml:space="preserve">Announce among the nations and make</w:t>
      </w:r>
      <w:r>
        <w:rPr>
          <w:rStyle w:val="FootnoteReference"/>
        </w:rPr>
        <w:footnoteReference w:id="12566"/>
      </w:r>
      <w:r>
        <w:t xml:space="preserve"> it heard, and do not hide it. Say, Babylon was taken. Bel was put to shame. Merodach was handed over, the fearless and delicate one.</w:t>
      </w:r>
    </w:p>
    <w:p>
      <w:r>
        <w:rPr>
          <w:b/>
        </w:rPr>
        <w:t xml:space="preserve">3 </w:t>
      </w:r>
      <w:r>
        <w:t xml:space="preserve">Because a nation came up upon her from the north. This one will make her land a disappearance, and there will be none dwelling in her, from man even to cattle.</w:t>
      </w:r>
    </w:p>
    <w:p>
      <w:r>
        <w:rPr>
          <w:b/>
        </w:rPr>
        <w:t xml:space="preserve">4 </w:t>
      </w:r>
      <w:r>
        <w:t xml:space="preserve">In those days and in that time, the sons of Israel will come, they and the sons of Judah together. Walking and weeping, they will go seeking the Lord their God.</w:t>
      </w:r>
    </w:p>
    <w:p>
      <w:r>
        <w:rPr>
          <w:b/>
        </w:rPr>
        <w:t xml:space="preserve">5 </w:t>
      </w:r>
      <w:r>
        <w:t xml:space="preserve">They will ask the way to Zion, because there they will set their faces, and they will come and flee for refuge to the Lord their God, because the everlasting covenant</w:t>
      </w:r>
      <w:r>
        <w:rPr>
          <w:rStyle w:val="FootnoteReference"/>
        </w:rPr>
        <w:footnoteReference w:id="12567"/>
      </w:r>
      <w:r>
        <w:t xml:space="preserve"> will not be forgotten.</w:t>
      </w:r>
    </w:p>
    <w:p>
      <w:r>
        <w:rPr>
          <w:b/>
        </w:rPr>
        <w:t xml:space="preserve">6 </w:t>
      </w:r>
      <w:r>
        <w:t xml:space="preserve">My people became lost sheep. Their shepherds drove them away upon the mountains. They led them astray from mountain to hill. They went away and forgot their resting-place.</w:t>
      </w:r>
    </w:p>
    <w:p>
      <w:r>
        <w:rPr>
          <w:b/>
        </w:rPr>
        <w:t xml:space="preserve">7 </w:t>
      </w:r>
      <w:r>
        <w:t xml:space="preserve">All finding them consumed them, and their enemies said, Let us not leave them guiltless, because they sinned against the Lord, the pasture of righteousness</w:t>
      </w:r>
      <w:r>
        <w:rPr>
          <w:rStyle w:val="FootnoteReference"/>
        </w:rPr>
        <w:footnoteReference w:id="12568"/>
      </w:r>
      <w:r>
        <w:t xml:space="preserve">, the one who gathered their fathers.</w:t>
      </w:r>
    </w:p>
    <w:p>
      <w:r>
        <w:rPr>
          <w:b/>
        </w:rPr>
        <w:t xml:space="preserve">8 </w:t>
      </w:r>
      <w:r>
        <w:t xml:space="preserve">Separate yourselves from the midst of Babylon, and go out from the land of the Chaldeans, and become like dragons before flocks.</w:t>
      </w:r>
    </w:p>
    <w:p>
      <w:r>
        <w:rPr>
          <w:b/>
        </w:rPr>
        <w:t xml:space="preserve">9 </w:t>
      </w:r>
      <w:r>
        <w:t xml:space="preserve">Because behold, I raise up against Babylon gatherings of nations from the land of the north, and they will array against her. From there she will be taken, like an arrow of wise warrior</w:t>
      </w:r>
      <w:r>
        <w:rPr>
          <w:rStyle w:val="FootnoteReference"/>
        </w:rPr>
        <w:footnoteReference w:id="12569"/>
      </w:r>
      <w:r>
        <w:t xml:space="preserve"> that will not return empty.</w:t>
      </w:r>
    </w:p>
    <w:p>
      <w:r>
        <w:rPr>
          <w:b/>
        </w:rPr>
        <w:t xml:space="preserve">10 </w:t>
      </w:r>
      <w:r>
        <w:t xml:space="preserve">And Chaldea</w:t>
      </w:r>
      <w:r>
        <w:rPr>
          <w:rStyle w:val="FootnoteReference"/>
        </w:rPr>
        <w:footnoteReference w:id="12570"/>
      </w:r>
      <w:r>
        <w:t xml:space="preserve"> will become plunder. All plundering her will be filled.</w:t>
      </w:r>
    </w:p>
    <w:p>
      <w:r>
        <w:rPr>
          <w:b/>
        </w:rPr>
        <w:t xml:space="preserve">11 </w:t>
      </w:r>
      <w:r>
        <w:t xml:space="preserve">Because you rejoiced and boasted while plundering my inheritance, because you leaped like little cattle in grass and gored like bulls.</w:t>
      </w:r>
    </w:p>
    <w:p>
      <w:r>
        <w:rPr>
          <w:b/>
        </w:rPr>
        <w:t xml:space="preserve">12 </w:t>
      </w:r>
      <w:r>
        <w:t xml:space="preserve">Your mother was greatly ashamed, mother of your good things, last of nations, a wilderness.</w:t>
      </w:r>
    </w:p>
    <w:p>
      <w:r>
        <w:rPr>
          <w:b/>
        </w:rPr>
        <w:t xml:space="preserve">13 </w:t>
      </w:r>
      <w:r>
        <w:t xml:space="preserve">From the anger of the Lord she will not be inhabited, and all will become a disappearance. Everyone passing through Babylon will darken and hiss over all her plague.</w:t>
      </w:r>
    </w:p>
    <w:p>
      <w:r>
        <w:rPr>
          <w:b/>
        </w:rPr>
        <w:t xml:space="preserve">14 </w:t>
      </w:r>
      <w:r>
        <w:t xml:space="preserve">Array yourselves against Babylon all around, all stretching the bow. Shoot at her. Do not spare your arrows.</w:t>
      </w:r>
    </w:p>
    <w:p>
      <w:r>
        <w:rPr>
          <w:b/>
        </w:rPr>
        <w:t xml:space="preserve">15 </w:t>
      </w:r>
      <w:r>
        <w:t xml:space="preserve">Raise a shout against her. Her hands were weakened. Her battlements fell, and her wall was torn down, because it is vengeance from God. Avenge against her. As she did, do to her.</w:t>
      </w:r>
    </w:p>
    <w:p>
      <w:r>
        <w:rPr>
          <w:b/>
        </w:rPr>
        <w:t xml:space="preserve">16 </w:t>
      </w:r>
      <w:r>
        <w:t xml:space="preserve">Destroy seed from Babylon and one holding the sickle in the time of harvest. From the face of a Greek sword</w:t>
      </w:r>
      <w:r>
        <w:rPr>
          <w:rStyle w:val="FootnoteReference"/>
        </w:rPr>
        <w:footnoteReference w:id="12571"/>
      </w:r>
      <w:r>
        <w:t xml:space="preserve"> each will turn to his people, and each will flee into his land.</w:t>
      </w:r>
    </w:p>
    <w:p>
      <w:r>
        <w:rPr>
          <w:b/>
        </w:rPr>
        <w:t xml:space="preserve">17 </w:t>
      </w:r>
      <w:r>
        <w:t xml:space="preserve">Israel is a wandering sheep</w:t>
      </w:r>
      <w:r>
        <w:rPr>
          <w:rStyle w:val="FootnoteReference"/>
        </w:rPr>
        <w:footnoteReference w:id="12572"/>
      </w:r>
      <w:r>
        <w:t xml:space="preserve">. Lions drove him out. First the king of Assyria devoured him, and later the king of Babylon broke his bones.</w:t>
      </w:r>
    </w:p>
    <w:p>
      <w:r>
        <w:rPr>
          <w:b/>
        </w:rPr>
        <w:t xml:space="preserve">18 </w:t>
      </w:r>
      <w:r>
        <w:t xml:space="preserve">Therefore thus says the Lord: Behold, I punish the king of Babylon and his land just as I punished the king of Assyria.</w:t>
      </w:r>
    </w:p>
    <w:p>
      <w:r>
        <w:rPr>
          <w:b/>
        </w:rPr>
        <w:t xml:space="preserve">19 </w:t>
      </w:r>
      <w:r>
        <w:t xml:space="preserve">And I will restore Israel to his pasture, and he will graze on Carmel and on the hill-country of Ephraim and on Gilead, and his soul will be filled.</w:t>
      </w:r>
    </w:p>
    <w:p>
      <w:r>
        <w:rPr>
          <w:b/>
        </w:rPr>
        <w:t xml:space="preserve">20 </w:t>
      </w:r>
      <w:r>
        <w:t xml:space="preserve">In those days and in that time they will seek the injustice of Israel and it will not exist, and the sins of Judah and they will certainly not be found</w:t>
      </w:r>
      <w:r>
        <w:rPr>
          <w:rStyle w:val="FootnoteReference"/>
        </w:rPr>
        <w:footnoteReference w:id="12573"/>
      </w:r>
      <w:r>
        <w:t xml:space="preserve">, because I will be merciful to the remnant upon the land, says the Lord.</w:t>
      </w:r>
    </w:p>
    <w:p>
      <w:r>
        <w:rPr>
          <w:b/>
        </w:rPr>
        <w:t xml:space="preserve">21 </w:t>
      </w:r>
      <w:r>
        <w:t xml:space="preserve">Go up bitterly against her and against those dwelling on her. Avenge with the sword and make her disappear, says the Lord, and do according to all I command you.</w:t>
      </w:r>
    </w:p>
    <w:p>
      <w:r>
        <w:rPr>
          <w:b/>
        </w:rPr>
        <w:t xml:space="preserve">22 </w:t>
      </w:r>
      <w:r>
        <w:t xml:space="preserve">The sound of war and great crushing in the land of the Chaldeans.</w:t>
      </w:r>
    </w:p>
    <w:p>
      <w:r>
        <w:rPr>
          <w:b/>
        </w:rPr>
        <w:t xml:space="preserve">23 </w:t>
      </w:r>
      <w:r>
        <w:t xml:space="preserve">How the hammer of all the earth</w:t>
      </w:r>
      <w:r>
        <w:rPr>
          <w:rStyle w:val="FootnoteReference"/>
        </w:rPr>
        <w:footnoteReference w:id="12574"/>
      </w:r>
      <w:r>
        <w:t xml:space="preserve"> was broken and shattered. How Babylon became a disappearance among the nations.</w:t>
      </w:r>
    </w:p>
    <w:p>
      <w:r>
        <w:rPr>
          <w:b/>
        </w:rPr>
        <w:t xml:space="preserve">24 </w:t>
      </w:r>
      <w:r>
        <w:t xml:space="preserve">They will set a trap for you, and you will be taken, O Babylon, and you will not know. You were found and taken, because you stood against the Lord.</w:t>
      </w:r>
    </w:p>
    <w:p>
      <w:r>
        <w:rPr>
          <w:b/>
        </w:rPr>
        <w:t xml:space="preserve">25 </w:t>
      </w:r>
      <w:r>
        <w:t xml:space="preserve">The Lord opened his treasury and brought out the vessels of his wrath</w:t>
      </w:r>
      <w:r>
        <w:rPr>
          <w:rStyle w:val="FootnoteReference"/>
        </w:rPr>
        <w:footnoteReference w:id="12575"/>
      </w:r>
      <w:r>
        <w:t xml:space="preserve">, because work belongs to the Lord God in the land of the Chaldeans.</w:t>
      </w:r>
    </w:p>
    <w:p>
      <w:r>
        <w:rPr>
          <w:b/>
        </w:rPr>
        <w:t xml:space="preserve">26 </w:t>
      </w:r>
      <w:r>
        <w:t xml:space="preserve">Because her times have come. Open her storehouses. Search her like a cave and utterly destroy her. Let no remnant of her come to be.</w:t>
      </w:r>
    </w:p>
    <w:p>
      <w:r>
        <w:rPr>
          <w:b/>
        </w:rPr>
        <w:t xml:space="preserve">27 </w:t>
      </w:r>
      <w:r>
        <w:t xml:space="preserve">Dry up all her fruits and let them go down to slaughter. Woe to them, because their day has come and the time of their vengeance.</w:t>
      </w:r>
    </w:p>
    <w:p>
      <w:r>
        <w:rPr>
          <w:b/>
        </w:rPr>
        <w:t xml:space="preserve">28 </w:t>
      </w:r>
      <w:r>
        <w:t xml:space="preserve">The voice of those fleeing and escaping from the land of Babylon, to announce in Zion vengeance from the Lord our God.</w:t>
      </w:r>
    </w:p>
    <w:p>
      <w:r>
        <w:rPr>
          <w:b/>
        </w:rPr>
        <w:t xml:space="preserve">29 </w:t>
      </w:r>
      <w:r>
        <w:t xml:space="preserve">Command many against Babylon, everyone stretching the bow. Encamp against her all around. Let there not be one escaping from her. Pay back to her according to her works. According to all she did, do to her, because she stood against the Lord, the Holy God of Israel</w:t>
      </w:r>
      <w:r>
        <w:rPr>
          <w:rStyle w:val="FootnoteReference"/>
        </w:rPr>
        <w:footnoteReference w:id="12576"/>
      </w:r>
      <w:r>
        <w:t xml:space="preserve">.</w:t>
      </w:r>
    </w:p>
    <w:p>
      <w:r>
        <w:rPr>
          <w:b/>
        </w:rPr>
        <w:t xml:space="preserve">30 </w:t>
      </w:r>
      <w:r>
        <w:t xml:space="preserve">Therefore her young men will fall in her squares, and all her men of war will be cast down, says the Lord.</w:t>
      </w:r>
    </w:p>
    <w:p>
      <w:r>
        <w:rPr>
          <w:b/>
        </w:rPr>
        <w:t xml:space="preserve">31 </w:t>
      </w:r>
      <w:r>
        <w:t xml:space="preserve">Behold, I am against you, the arrogant one, says the Lord, because your day has come and the time of your vengeance.</w:t>
      </w:r>
    </w:p>
    <w:p>
      <w:r>
        <w:rPr>
          <w:b/>
        </w:rPr>
        <w:t xml:space="preserve">32 </w:t>
      </w:r>
      <w:r>
        <w:t xml:space="preserve">And your arrogance will weaken and fall, and there will not be one raising her up. And I will kindle a fire in her forest, and it will devour all around her.</w:t>
      </w:r>
    </w:p>
    <w:p>
      <w:r>
        <w:rPr>
          <w:b/>
        </w:rPr>
        <w:t xml:space="preserve">33 </w:t>
      </w:r>
      <w:r>
        <w:t xml:space="preserve">Thus says the Lord: The sons of Israel and the sons of Judah together are oppressed, and all taking them captive oppressed them, because they were not willing to send them away.</w:t>
      </w:r>
    </w:p>
    <w:p>
      <w:r>
        <w:rPr>
          <w:b/>
        </w:rPr>
        <w:t xml:space="preserve">34 </w:t>
      </w:r>
      <w:r>
        <w:t xml:space="preserve">But the one redeeming them is strong. The Lord Almighty</w:t>
      </w:r>
      <w:r>
        <w:rPr>
          <w:rStyle w:val="FootnoteReference"/>
        </w:rPr>
        <w:footnoteReference w:id="12577"/>
      </w:r>
      <w:r>
        <w:t xml:space="preserve"> is his name. He will judge judgment against his adversaries so that he may lift up the land and provoke those dwelling in Babylon.</w:t>
      </w:r>
    </w:p>
    <w:p>
      <w:r>
        <w:rPr>
          <w:b/>
        </w:rPr>
        <w:t xml:space="preserve">35 </w:t>
      </w:r>
      <w:r>
        <w:t xml:space="preserve">A sword upon the Chaldeans and upon those dwelling in Babylon and upon her nobles and upon her wise men.</w:t>
      </w:r>
    </w:p>
    <w:p>
      <w:r>
        <w:rPr>
          <w:b/>
        </w:rPr>
        <w:t xml:space="preserve">36 </w:t>
      </w:r>
      <w:r>
        <w:t xml:space="preserve">A sword upon her warriors, and they will be paralyzed.</w:t>
      </w:r>
    </w:p>
    <w:p>
      <w:r>
        <w:rPr>
          <w:b/>
        </w:rPr>
        <w:t xml:space="preserve">37 </w:t>
      </w:r>
      <w:r>
        <w:t xml:space="preserve">A sword upon their horses and upon their chariots, a sword upon her mixed people in her midst, and they will become like women. A sword upon her treasures, and they will be scattered.</w:t>
      </w:r>
    </w:p>
    <w:p>
      <w:r>
        <w:rPr>
          <w:b/>
        </w:rPr>
        <w:t xml:space="preserve">38 </w:t>
      </w:r>
      <w:r>
        <w:t xml:space="preserve">Upon her water they trusted, and they will be put to shame, because it is a land of carved images</w:t>
      </w:r>
      <w:r>
        <w:rPr>
          <w:rStyle w:val="FootnoteReference"/>
        </w:rPr>
        <w:footnoteReference w:id="12578"/>
      </w:r>
      <w:r>
        <w:t xml:space="preserve">, and in islands they boasted.</w:t>
      </w:r>
    </w:p>
    <w:p>
      <w:r>
        <w:rPr>
          <w:b/>
        </w:rPr>
        <w:t xml:space="preserve">39 </w:t>
      </w:r>
      <w:r>
        <w:t xml:space="preserve">Therefore phantoms will dwell in the islands, and daughters of sirens</w:t>
      </w:r>
      <w:r>
        <w:rPr>
          <w:rStyle w:val="FootnoteReference"/>
        </w:rPr>
        <w:footnoteReference w:id="12579"/>
      </w:r>
      <w:r>
        <w:t xml:space="preserve"> will dwell in her. She will certainly no longer be inhabited forever.</w:t>
      </w:r>
    </w:p>
    <w:p>
      <w:r>
        <w:rPr>
          <w:b/>
        </w:rPr>
        <w:t xml:space="preserve">40 </w:t>
      </w:r>
      <w:r>
        <w:t xml:space="preserve">As God overthrew Sodom and Gomorrah and those neighboring them, says the Lord, no man will dwell there and no son of man will sojourn there.</w:t>
      </w:r>
    </w:p>
    <w:p>
      <w:r>
        <w:rPr>
          <w:b/>
        </w:rPr>
        <w:t xml:space="preserve">41 </w:t>
      </w:r>
      <w:r>
        <w:t xml:space="preserve">Behold, a people comes from the north, and a great nation and many kings will be roused from the end of the earth.</w:t>
      </w:r>
    </w:p>
    <w:p>
      <w:r>
        <w:rPr>
          <w:b/>
        </w:rPr>
        <w:t xml:space="preserve">42 </w:t>
      </w:r>
      <w:r>
        <w:t xml:space="preserve">Holding bow and short-sword, he is cruel and certainly will not show mercy. Their voice will sound like the sea. Upon horses they will ride, prepared like fire for war against you, daughter of Babylon.</w:t>
      </w:r>
    </w:p>
    <w:p>
      <w:r>
        <w:rPr>
          <w:b/>
        </w:rPr>
        <w:t xml:space="preserve">43 </w:t>
      </w:r>
      <w:r>
        <w:t xml:space="preserve">The king of Babylon heard their report, and his hands were weakened. Distress seized him, birth-pains like one giving birth.</w:t>
      </w:r>
    </w:p>
    <w:p>
      <w:r>
        <w:rPr>
          <w:b/>
        </w:rPr>
        <w:t xml:space="preserve">44 </w:t>
      </w:r>
      <w:r>
        <w:t xml:space="preserve">Behold, like a lion he will go up from the Jordan into Ethan place, because quickly I will drive them from her, and every young man I will appoint over her. Because who is like me, and who will oppose me, and who is this shepherd</w:t>
      </w:r>
      <w:r>
        <w:rPr>
          <w:rStyle w:val="FootnoteReference"/>
        </w:rPr>
        <w:footnoteReference w:id="12580"/>
      </w:r>
      <w:r>
        <w:t xml:space="preserve"> who will stand before my face?</w:t>
      </w:r>
    </w:p>
    <w:p>
      <w:r>
        <w:rPr>
          <w:b/>
        </w:rPr>
        <w:t xml:space="preserve">45 </w:t>
      </w:r>
      <w:r>
        <w:t xml:space="preserve">Therefore hear the counsel of the Lord which he counseled against Babylon and his thoughts which he thought against those dwelling in Chaldea: Unless the lambs of their sheep are destroyed, unless pasture is made a disappearance from them.</w:t>
      </w:r>
    </w:p>
    <w:p>
      <w:r>
        <w:rPr>
          <w:b/>
        </w:rPr>
        <w:t xml:space="preserve">46 </w:t>
      </w:r>
      <w:r>
        <w:t xml:space="preserve">Because from the sound of Babylon's capture</w:t>
      </w:r>
      <w:r>
        <w:rPr>
          <w:rStyle w:val="FootnoteReference"/>
        </w:rPr>
        <w:footnoteReference w:id="12581"/>
      </w:r>
      <w:r>
        <w:t xml:space="preserve"> the earth will be shaken and a cry will be heard among the nations.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Thus says the Lord: Behold, I raise against Babylon and against those dwelling in Chaldea a hot destroying wind.</w:t>
      </w:r>
    </w:p>
    <w:p>
      <w:r>
        <w:rPr>
          <w:b/>
        </w:rPr>
        <w:t xml:space="preserve">2 </w:t>
      </w:r>
      <w:r>
        <w:t xml:space="preserve">And I will send revilers into Babylon, and they will revile her and ruin her land. Woe upon Babylon all around in the day of her affliction.</w:t>
      </w:r>
    </w:p>
    <w:p>
      <w:r>
        <w:rPr>
          <w:b/>
        </w:rPr>
        <w:t xml:space="preserve">3 </w:t>
      </w:r>
      <w:r>
        <w:t xml:space="preserve">Against her let the one stretching his bow stretch it, and let the one who has armor gird himself, and do not spare her young men, and destroy all her power.</w:t>
      </w:r>
    </w:p>
    <w:p>
      <w:r>
        <w:rPr>
          <w:b/>
        </w:rPr>
        <w:t xml:space="preserve">4 </w:t>
      </w:r>
      <w:r>
        <w:t xml:space="preserve">And slain ones will fall in the land of the Chaldeans, and stabbed ones outside her.</w:t>
      </w:r>
    </w:p>
    <w:p>
      <w:r>
        <w:rPr>
          <w:b/>
        </w:rPr>
        <w:t xml:space="preserve">5 </w:t>
      </w:r>
      <w:r>
        <w:t xml:space="preserve">Because Israel and Judah were not widowed from their God, from the Lord Almighty</w:t>
      </w:r>
      <w:r>
        <w:rPr>
          <w:rStyle w:val="FootnoteReference"/>
        </w:rPr>
        <w:footnoteReference w:id="12582"/>
      </w:r>
      <w:r>
        <w:t xml:space="preserve">, because their land was filled with injustice from the Holy One of Israel</w:t>
      </w:r>
      <w:r>
        <w:rPr>
          <w:rStyle w:val="FootnoteReference"/>
        </w:rPr>
        <w:footnoteReference w:id="12583"/>
      </w:r>
      <w:r>
        <w:t xml:space="preserve">.</w:t>
      </w:r>
    </w:p>
    <w:p>
      <w:r>
        <w:rPr>
          <w:b/>
        </w:rPr>
        <w:t xml:space="preserve">6 </w:t>
      </w:r>
      <w:r>
        <w:t xml:space="preserve">Flee from the midst of Babylon and let each save his soul, and do not be cast away in her injustice, because the time of her vengeance is from the Lord. He repays repayment to her.</w:t>
      </w:r>
    </w:p>
    <w:p>
      <w:r>
        <w:rPr>
          <w:b/>
        </w:rPr>
        <w:t xml:space="preserve">7 </w:t>
      </w:r>
      <w:r>
        <w:t xml:space="preserve">Babylon was a golden cup</w:t>
      </w:r>
      <w:r>
        <w:rPr>
          <w:rStyle w:val="FootnoteReference"/>
        </w:rPr>
        <w:footnoteReference w:id="12584"/>
      </w:r>
      <w:r>
        <w:t xml:space="preserve"> in the hand of the Lord, making all the earth drunk. Nations drank from her wine. Because of this they were shaken.</w:t>
      </w:r>
    </w:p>
    <w:p>
      <w:r>
        <w:rPr>
          <w:b/>
        </w:rPr>
        <w:t xml:space="preserve">8 </w:t>
      </w:r>
      <w:r>
        <w:t xml:space="preserve">And suddenly Babylon fell and was shattered. Lament her. Take resin</w:t>
      </w:r>
      <w:r>
        <w:rPr>
          <w:rStyle w:val="FootnoteReference"/>
        </w:rPr>
        <w:footnoteReference w:id="12585"/>
      </w:r>
      <w:r>
        <w:t xml:space="preserve"> for her ruin, if perhaps she will be healed.</w:t>
      </w:r>
    </w:p>
    <w:p>
      <w:r>
        <w:rPr>
          <w:b/>
        </w:rPr>
        <w:t xml:space="preserve">9 </w:t>
      </w:r>
      <w:r>
        <w:t xml:space="preserve">We healed Babylon and she was not healed. Let us abandon her, and let each go away into his own land, because her judgment drew near to heaven and rose as far as the stars.</w:t>
      </w:r>
    </w:p>
    <w:p>
      <w:r>
        <w:rPr>
          <w:b/>
        </w:rPr>
        <w:t xml:space="preserve">10 </w:t>
      </w:r>
      <w:r>
        <w:t xml:space="preserve">The Lord brought out his judgment. Come, and let us announce in Zion the works of the Lord our God.</w:t>
      </w:r>
    </w:p>
    <w:p>
      <w:r>
        <w:rPr>
          <w:b/>
        </w:rPr>
        <w:t xml:space="preserve">11 </w:t>
      </w:r>
      <w:r>
        <w:t xml:space="preserve">Prepare arrows. Fill quivers. The Lord stirred the spirit of the king of Medes, because his wrath is against Babylon, to destroy her, because it is vengeance of the Lord, it is vengeance of his people.</w:t>
      </w:r>
    </w:p>
    <w:p>
      <w:r>
        <w:rPr>
          <w:b/>
        </w:rPr>
        <w:t xml:space="preserve">12 </w:t>
      </w:r>
      <w:r>
        <w:t xml:space="preserve">Upon the walls of Babylon raise a signal. Set quivers. Stir up guards. Prepare weapons, because the Lord undertook and will do what he spoke against those dwelling in Babylon.</w:t>
      </w:r>
    </w:p>
    <w:p>
      <w:r>
        <w:rPr>
          <w:b/>
        </w:rPr>
        <w:t xml:space="preserve">13 </w:t>
      </w:r>
      <w:r>
        <w:t xml:space="preserve">O you dwelling upon many waters</w:t>
      </w:r>
      <w:r>
        <w:rPr>
          <w:rStyle w:val="FootnoteReference"/>
        </w:rPr>
        <w:footnoteReference w:id="12586"/>
      </w:r>
      <w:r>
        <w:t xml:space="preserve"> and upon an abundance of treasures, your end has come, truly into your inward parts.</w:t>
      </w:r>
    </w:p>
    <w:p>
      <w:r>
        <w:rPr>
          <w:b/>
        </w:rPr>
        <w:t xml:space="preserve">14 </w:t>
      </w:r>
      <w:r>
        <w:t xml:space="preserve">Because the Lord swore by his arm: I will fill you with men like locusts, and those coming down will shout over you.</w:t>
      </w:r>
    </w:p>
    <w:p>
      <w:r>
        <w:rPr>
          <w:b/>
        </w:rPr>
        <w:t xml:space="preserve">15 </w:t>
      </w:r>
      <w:r>
        <w:t xml:space="preserve">He made the earth</w:t>
      </w:r>
      <w:r>
        <w:rPr>
          <w:rStyle w:val="FootnoteReference"/>
        </w:rPr>
        <w:footnoteReference w:id="12587"/>
      </w:r>
      <w:r>
        <w:t xml:space="preserve"> in his strength, preparing the world in his wisdom. In his understanding he stretched out heaven.</w:t>
      </w:r>
    </w:p>
    <w:p>
      <w:r>
        <w:rPr>
          <w:b/>
        </w:rPr>
        <w:t xml:space="preserve">16 </w:t>
      </w:r>
      <w:r>
        <w:t xml:space="preserve">At his voice he set the sound of waters</w:t>
      </w:r>
      <w:r>
        <w:rPr>
          <w:rStyle w:val="FootnoteReference"/>
        </w:rPr>
        <w:footnoteReference w:id="12588"/>
      </w:r>
      <w:r>
        <w:t xml:space="preserve"> in heaven and brought up clouds from the end of the earth. He made lightnings for rain and brought out light from his treasuries.</w:t>
      </w:r>
    </w:p>
    <w:p>
      <w:r>
        <w:rPr>
          <w:b/>
        </w:rPr>
        <w:t xml:space="preserve">17 </w:t>
      </w:r>
      <w:r>
        <w:t xml:space="preserve">Every man became foolish from knowledge. Every goldsmith was put to shame by his carved images, because what they cast were lies and there is no breath in them</w:t>
      </w:r>
      <w:r>
        <w:rPr>
          <w:rStyle w:val="FootnoteReference"/>
        </w:rPr>
        <w:footnoteReference w:id="12589"/>
      </w:r>
      <w:r>
        <w:t xml:space="preserve">.</w:t>
      </w:r>
    </w:p>
    <w:p>
      <w:r>
        <w:rPr>
          <w:b/>
        </w:rPr>
        <w:t xml:space="preserve">18 </w:t>
      </w:r>
      <w:r>
        <w:t xml:space="preserve">They are vain works, mocked things. In the time of their visitation they will perish.</w:t>
      </w:r>
    </w:p>
    <w:p>
      <w:r>
        <w:rPr>
          <w:b/>
        </w:rPr>
        <w:t xml:space="preserve">19 </w:t>
      </w:r>
      <w:r>
        <w:t xml:space="preserve">Not such is the portion for Jacob, because the one forming all things, he is his inheritance. The Lord is his name</w:t>
      </w:r>
      <w:r>
        <w:rPr>
          <w:rStyle w:val="FootnoteReference"/>
        </w:rPr>
        <w:footnoteReference w:id="12590"/>
      </w:r>
      <w:r>
        <w:t xml:space="preserve">.</w:t>
      </w:r>
    </w:p>
    <w:p>
      <w:r>
        <w:rPr>
          <w:b/>
        </w:rPr>
        <w:t xml:space="preserve">20 </w:t>
      </w:r>
      <w:r>
        <w:t xml:space="preserve">You are my war-vessels</w:t>
      </w:r>
      <w:r>
        <w:rPr>
          <w:rStyle w:val="FootnoteReference"/>
        </w:rPr>
        <w:footnoteReference w:id="12591"/>
      </w:r>
      <w:r>
        <w:t xml:space="preserve">, and with you I will scatter nations, and from you I will remove kings.</w:t>
      </w:r>
    </w:p>
    <w:p>
      <w:r>
        <w:rPr>
          <w:b/>
        </w:rPr>
        <w:t xml:space="preserve">21 </w:t>
      </w:r>
      <w:r>
        <w:t xml:space="preserve">And with you I will scatter horse and its rider, and with you I will scatter chariots and their riders.</w:t>
      </w:r>
    </w:p>
    <w:p>
      <w:r>
        <w:rPr>
          <w:b/>
        </w:rPr>
        <w:t xml:space="preserve">22 </w:t>
      </w:r>
      <w:r>
        <w:t xml:space="preserve">And with you I will scatter young man and virgin, and with you I will scatter man and woman.</w:t>
      </w:r>
    </w:p>
    <w:p>
      <w:r>
        <w:rPr>
          <w:b/>
        </w:rPr>
        <w:t xml:space="preserve">23 </w:t>
      </w:r>
      <w:r>
        <w:t xml:space="preserve">And with you I will scatter shepherd and his flock, and with you I will scatter farmer and his farm, and with you I will scatter your rulers and generals.</w:t>
      </w:r>
    </w:p>
    <w:p>
      <w:r>
        <w:rPr>
          <w:b/>
        </w:rPr>
        <w:t xml:space="preserve">24 </w:t>
      </w:r>
      <w:r>
        <w:t xml:space="preserve">And I will repay Babylon and all the Chaldeans dwelling there for all their evils which they did against Zion before your eyes, says the Lord.</w:t>
      </w:r>
    </w:p>
    <w:p>
      <w:r>
        <w:rPr>
          <w:b/>
        </w:rPr>
        <w:t xml:space="preserve">25 </w:t>
      </w:r>
      <w:r>
        <w:t xml:space="preserve">Behold, I am against you, corrupt mountain</w:t>
      </w:r>
      <w:r>
        <w:rPr>
          <w:rStyle w:val="FootnoteReference"/>
        </w:rPr>
        <w:footnoteReference w:id="12592"/>
      </w:r>
      <w:r>
        <w:t xml:space="preserve">, the one destroying all the earth, and I will stretch out my hand upon you and roll you down from the rocks and give you as a mountain set on fire.</w:t>
      </w:r>
    </w:p>
    <w:p>
      <w:r>
        <w:rPr>
          <w:b/>
        </w:rPr>
        <w:t xml:space="preserve">26 </w:t>
      </w:r>
      <w:r>
        <w:t xml:space="preserve">And they will certainly not take from you a stone for a corner or a stone for a foundation</w:t>
      </w:r>
      <w:r>
        <w:rPr>
          <w:rStyle w:val="FootnoteReference"/>
        </w:rPr>
        <w:footnoteReference w:id="12593"/>
      </w:r>
      <w:r>
        <w:t xml:space="preserve">, because you will be a disappearance forever, says the Lord.</w:t>
      </w:r>
    </w:p>
    <w:p>
      <w:r>
        <w:rPr>
          <w:b/>
        </w:rPr>
        <w:t xml:space="preserve">27 </w:t>
      </w:r>
      <w:r>
        <w:t xml:space="preserve">Raise a signal upon the earth. Sound a trumpet among the nations. Sanctify nations against her. Command against her the kingdoms of Ararat and Ashkenaz. Set missile-stations against her. Bring up a horse against her like a swarm of locusts.</w:t>
      </w:r>
    </w:p>
    <w:p>
      <w:r>
        <w:rPr>
          <w:b/>
        </w:rPr>
        <w:t xml:space="preserve">28 </w:t>
      </w:r>
      <w:r>
        <w:t xml:space="preserve">Sanctify nations against her, the king of Medes and the leaders of all his land and all his generals.</w:t>
      </w:r>
    </w:p>
    <w:p>
      <w:r>
        <w:rPr>
          <w:b/>
        </w:rPr>
        <w:t xml:space="preserve">29 </w:t>
      </w:r>
      <w:r>
        <w:t xml:space="preserve">The earth shook and was in pain, because the plan of the Lord rose against Babylon, to make the land of Babylon a disappearance</w:t>
      </w:r>
      <w:r>
        <w:rPr>
          <w:rStyle w:val="FootnoteReference"/>
        </w:rPr>
        <w:footnoteReference w:id="12594"/>
      </w:r>
      <w:r>
        <w:t xml:space="preserve"> and not inhabited.</w:t>
      </w:r>
    </w:p>
    <w:p>
      <w:r>
        <w:rPr>
          <w:b/>
        </w:rPr>
        <w:t xml:space="preserve">30 </w:t>
      </w:r>
      <w:r>
        <w:t xml:space="preserve">The warrior of Babylon failed from fighting. They will sit there in enclosure. Their power was broken. They became like women. Her dwellings were burned with fire. Her bars were shattered.</w:t>
      </w:r>
    </w:p>
    <w:p>
      <w:r>
        <w:rPr>
          <w:b/>
        </w:rPr>
        <w:t xml:space="preserve">31 </w:t>
      </w:r>
      <w:r>
        <w:t xml:space="preserve">Runner will run to meet runner, and announcer to meet announcer, to announce to the king of Babylon that his city was taken.</w:t>
      </w:r>
    </w:p>
    <w:p>
      <w:r>
        <w:rPr>
          <w:b/>
        </w:rPr>
        <w:t xml:space="preserve">32 </w:t>
      </w:r>
      <w:r>
        <w:t xml:space="preserve">From the end of its crossings they were seized, and their gathering-places were burned with fire, and their men of war go out.</w:t>
      </w:r>
    </w:p>
    <w:p>
      <w:r>
        <w:rPr>
          <w:b/>
        </w:rPr>
        <w:t xml:space="preserve">33 </w:t>
      </w:r>
      <w:r>
        <w:t xml:space="preserve">Because thus says the Lord, the house of the king of Babylon is like a ripe threshing-floor</w:t>
      </w:r>
      <w:r>
        <w:rPr>
          <w:rStyle w:val="FootnoteReference"/>
        </w:rPr>
        <w:footnoteReference w:id="12595"/>
      </w:r>
      <w:r>
        <w:t xml:space="preserve">. Yet a little while, and her harvest will come.</w:t>
      </w:r>
    </w:p>
    <w:p>
      <w:r>
        <w:rPr>
          <w:b/>
        </w:rPr>
        <w:t xml:space="preserve">34 </w:t>
      </w:r>
      <w:r>
        <w:t xml:space="preserve">Nebuchadnezzar king of Babylon devoured me, portioned me, took me as a delicate vessel, swallowed me like a dragon</w:t>
      </w:r>
      <w:r>
        <w:rPr>
          <w:rStyle w:val="FootnoteReference"/>
        </w:rPr>
        <w:footnoteReference w:id="12596"/>
      </w:r>
      <w:r>
        <w:t xml:space="preserve">, filled his belly from my luxury, and drove me out.</w:t>
      </w:r>
    </w:p>
    <w:p>
      <w:r>
        <w:rPr>
          <w:b/>
        </w:rPr>
        <w:t xml:space="preserve">35 </w:t>
      </w:r>
      <w:r>
        <w:t xml:space="preserve">My labors and my hardships are upon Babylon, says the one dwelling in Zion, and my blood upon those dwelling in Chaldea, says Jerusalem.</w:t>
      </w:r>
    </w:p>
    <w:p>
      <w:r>
        <w:rPr>
          <w:b/>
        </w:rPr>
        <w:t xml:space="preserve">36 </w:t>
      </w:r>
      <w:r>
        <w:t xml:space="preserve">Therefore thus says the Lord: Behold, I judge your case</w:t>
      </w:r>
      <w:r>
        <w:rPr>
          <w:rStyle w:val="FootnoteReference"/>
        </w:rPr>
        <w:footnoteReference w:id="12597"/>
      </w:r>
      <w:r>
        <w:t xml:space="preserve"> and will avenge your vengeance, and I will desolate her sea and dry up her spring.</w:t>
      </w:r>
    </w:p>
    <w:p>
      <w:r>
        <w:rPr>
          <w:b/>
        </w:rPr>
        <w:t xml:space="preserve">37 </w:t>
      </w:r>
      <w:r>
        <w:t xml:space="preserve">And Babylon will become a disappearance and will not be inhabited.</w:t>
      </w:r>
    </w:p>
    <w:p>
      <w:r>
        <w:rPr>
          <w:b/>
        </w:rPr>
        <w:t xml:space="preserve">38 </w:t>
      </w:r>
      <w:r>
        <w:t xml:space="preserve">Together they were roused like lions and like lion cubs.</w:t>
      </w:r>
    </w:p>
    <w:p>
      <w:r>
        <w:rPr>
          <w:b/>
        </w:rPr>
        <w:t xml:space="preserve">39 </w:t>
      </w:r>
      <w:r>
        <w:t xml:space="preserve">In their heat I will give them drink and make them drunk so that they become numb and sleep an eternal sleep</w:t>
      </w:r>
      <w:r>
        <w:rPr>
          <w:rStyle w:val="FootnoteReference"/>
        </w:rPr>
        <w:footnoteReference w:id="12598"/>
      </w:r>
      <w:r>
        <w:t xml:space="preserve"> and certainly not wake up, says the Lord.</w:t>
      </w:r>
    </w:p>
    <w:p>
      <w:r>
        <w:rPr>
          <w:b/>
        </w:rPr>
        <w:t xml:space="preserve">40 </w:t>
      </w:r>
      <w:r>
        <w:t xml:space="preserve">I will bring them down like lambs to slaughter and like rams with goats.</w:t>
      </w:r>
    </w:p>
    <w:p>
      <w:r>
        <w:rPr>
          <w:b/>
        </w:rPr>
        <w:t xml:space="preserve">41 </w:t>
      </w:r>
      <w:r>
        <w:t xml:space="preserve">How the praise of all the earth was taken and hunted down. How Babylon became a disappearance among the nations.</w:t>
      </w:r>
    </w:p>
    <w:p>
      <w:r>
        <w:rPr>
          <w:b/>
        </w:rPr>
        <w:t xml:space="preserve">42 </w:t>
      </w:r>
      <w:r>
        <w:t xml:space="preserve">The sea rose over Babylon. With the sound of its waves</w:t>
      </w:r>
      <w:r>
        <w:rPr>
          <w:rStyle w:val="FootnoteReference"/>
        </w:rPr>
        <w:footnoteReference w:id="12599"/>
      </w:r>
      <w:r>
        <w:t xml:space="preserve"> she was covered.</w:t>
      </w:r>
    </w:p>
    <w:p>
      <w:r>
        <w:rPr>
          <w:b/>
        </w:rPr>
        <w:t xml:space="preserve">43 </w:t>
      </w:r>
      <w:r>
        <w:t xml:space="preserve">Her cities became a waterless and impassable land. No one will dwell in her, and no son of man will lodge in her</w:t>
      </w:r>
      <w:r>
        <w:rPr>
          <w:rStyle w:val="FootnoteReference"/>
        </w:rPr>
        <w:footnoteReference w:id="12600"/>
      </w:r>
      <w:r>
        <w:t xml:space="preserve">.</w:t>
      </w:r>
    </w:p>
    <w:p>
      <w:r>
        <w:rPr>
          <w:b/>
        </w:rPr>
        <w:t xml:space="preserve">44 </w:t>
      </w:r>
      <w:r>
        <w:t xml:space="preserve">And I will punish Babylon and bring out from her mouth what she swallowed, and nations will certainly no longer be gathered to her.</w:t>
      </w:r>
    </w:p>
    <w:p>
      <w:r>
        <w:rPr>
          <w:b/>
        </w:rPr>
        <w:t xml:space="preserve">49 </w:t>
      </w:r>
      <w:r>
        <w:t xml:space="preserve">And in Babylon the slain ones of all the earth will fall.</w:t>
      </w:r>
      <w:r>
        <w:rPr>
          <w:rStyle w:val="FootnoteReference"/>
        </w:rPr>
        <w:footnoteReference w:id="12601"/>
      </w:r>
    </w:p>
    <w:p>
      <w:r>
        <w:rPr>
          <w:b/>
        </w:rPr>
        <w:t xml:space="preserve">50 </w:t>
      </w:r>
      <w:r>
        <w:t xml:space="preserve">You who are being saved from the land, go and do not stand still. You far-off ones, remember the Lord</w:t>
      </w:r>
      <w:r>
        <w:rPr>
          <w:rStyle w:val="FootnoteReference"/>
        </w:rPr>
        <w:footnoteReference w:id="12602"/>
      </w:r>
      <w:r>
        <w:t xml:space="preserve">, and let Jerusalem rise upon your heart.</w:t>
      </w:r>
    </w:p>
    <w:p>
      <w:r>
        <w:rPr>
          <w:b/>
        </w:rPr>
        <w:t xml:space="preserve">51 </w:t>
      </w:r>
      <w:r>
        <w:t xml:space="preserve">We were ashamed because we heard our reproach. Dishonor covered our face. Foreigners entered into our holy places, into the house of the Lord.</w:t>
      </w:r>
    </w:p>
    <w:p>
      <w:r>
        <w:rPr>
          <w:b/>
        </w:rPr>
        <w:t xml:space="preserve">52 </w:t>
      </w:r>
      <w:r>
        <w:t xml:space="preserve">Therefore behold, days are coming, says the Lord, and I will punish her carved images</w:t>
      </w:r>
      <w:r>
        <w:rPr>
          <w:rStyle w:val="FootnoteReference"/>
        </w:rPr>
        <w:footnoteReference w:id="12603"/>
      </w:r>
      <w:r>
        <w:t xml:space="preserve">, and in all her land slain ones will fall.</w:t>
      </w:r>
    </w:p>
    <w:p>
      <w:r>
        <w:rPr>
          <w:b/>
        </w:rPr>
        <w:t xml:space="preserve">53 </w:t>
      </w:r>
      <w:r>
        <w:t xml:space="preserve">Because if Babylon goes up like heaven, and if she fortifies the height of her strength, destroyers of her will come from me, says the Lord.</w:t>
      </w:r>
    </w:p>
    <w:p>
      <w:r>
        <w:rPr>
          <w:b/>
        </w:rPr>
        <w:t xml:space="preserve">54 </w:t>
      </w:r>
      <w:r>
        <w:t xml:space="preserve">The voice of a cry in Babylon and great crushing in the land of the Chaldeans.</w:t>
      </w:r>
    </w:p>
    <w:p>
      <w:r>
        <w:rPr>
          <w:b/>
        </w:rPr>
        <w:t xml:space="preserve">55 </w:t>
      </w:r>
      <w:r>
        <w:t xml:space="preserve">Because the Lord destroyed Babylon and destroyed from her the great voice sounding like many waters. He gave her voice for destruction.</w:t>
      </w:r>
    </w:p>
    <w:p>
      <w:r>
        <w:rPr>
          <w:b/>
        </w:rPr>
        <w:t xml:space="preserve">56 </w:t>
      </w:r>
      <w:r>
        <w:t xml:space="preserve">Because affliction came upon Babylon. Her warriors were taken. Their bow was terrified, because God repays them. The Lord repays her repayment.</w:t>
      </w:r>
    </w:p>
    <w:p>
      <w:r>
        <w:rPr>
          <w:b/>
        </w:rPr>
        <w:t xml:space="preserve">57 </w:t>
      </w:r>
      <w:r>
        <w:t xml:space="preserve">And he will make her rulers drunk with drunkenness and her wise men and her generals, says the King, the Lord Almighty</w:t>
      </w:r>
      <w:r>
        <w:rPr>
          <w:rStyle w:val="FootnoteReference"/>
        </w:rPr>
        <w:footnoteReference w:id="12604"/>
      </w:r>
      <w:r>
        <w:t xml:space="preserve"> is his name.</w:t>
      </w:r>
    </w:p>
    <w:p>
      <w:r>
        <w:rPr>
          <w:b/>
        </w:rPr>
        <w:t xml:space="preserve">58 </w:t>
      </w:r>
      <w:r>
        <w:t xml:space="preserve">Thus says the Lord: The wall of Babylon, broadened out, being dug down, will be torn down, and her high gates will be burned with fire, and peoples will not labor for emptiness, and nations at their beginning will fail.</w:t>
      </w:r>
    </w:p>
    <w:p>
      <w:r>
        <w:rPr>
          <w:b/>
        </w:rPr>
        <w:t xml:space="preserve">59 </w:t>
      </w:r>
      <w:r>
        <w:t xml:space="preserve">The word which the Lord commanded Jeremiah the prophet to tell Seraiah son of Neriah</w:t>
      </w:r>
      <w:r>
        <w:rPr>
          <w:rStyle w:val="FootnoteReference"/>
        </w:rPr>
        <w:footnoteReference w:id="12605"/>
      </w:r>
      <w:r>
        <w:t xml:space="preserve"> son of Maaseiah, when he went with Zedekiah king of Judah into Babylon in the fourth year of his reign, and Seraiah was ruler of gifts.</w:t>
      </w:r>
    </w:p>
    <w:p>
      <w:r>
        <w:rPr>
          <w:b/>
        </w:rPr>
        <w:t xml:space="preserve">60 </w:t>
      </w:r>
      <w:r>
        <w:t xml:space="preserve">And Jeremiah wrote in one scroll all the evils which will come upon Babylon, all these words written against Babylon.</w:t>
      </w:r>
    </w:p>
    <w:p>
      <w:r>
        <w:rPr>
          <w:b/>
        </w:rPr>
        <w:t xml:space="preserve">61 </w:t>
      </w:r>
      <w:r>
        <w:t xml:space="preserve">And Jeremiah said to Seraiah, When you come into Babylon and see and read all these words,</w:t>
      </w:r>
    </w:p>
    <w:p>
      <w:r>
        <w:rPr>
          <w:b/>
        </w:rPr>
        <w:t xml:space="preserve">62 </w:t>
      </w:r>
      <w:r>
        <w:t xml:space="preserve">then you will say, Lord, Lord, you spoke against this place, to destroy it and for there not to be in it one dwelling, from man to cattle, because it will be a disappearance forever.</w:t>
      </w:r>
    </w:p>
    <w:p>
      <w:r>
        <w:rPr>
          <w:b/>
        </w:rPr>
        <w:t xml:space="preserve">63 </w:t>
      </w:r>
      <w:r>
        <w:t xml:space="preserve">And it will be when you finish reading this scroll, you will tie a stone upon it and throw it into the midst of the Euphrates,</w:t>
      </w:r>
    </w:p>
    <w:p>
      <w:r>
        <w:rPr>
          <w:b/>
        </w:rPr>
        <w:t xml:space="preserve">64 </w:t>
      </w:r>
      <w:r>
        <w:t xml:space="preserve">and you will say, Thus Babylon will sink</w:t>
      </w:r>
      <w:r>
        <w:rPr>
          <w:rStyle w:val="FootnoteReference"/>
        </w:rPr>
        <w:footnoteReference w:id="12606"/>
      </w:r>
      <w:r>
        <w:t xml:space="preserve"> and will certainly not rise from the face of evils which I bring upon 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Against the foreigners</w:t>
      </w:r>
      <w:r>
        <w:rPr>
          <w:rStyle w:val="FootnoteReference"/>
        </w:rPr>
        <w:footnoteReference w:id="12607"/>
      </w:r>
      <w:r>
        <w:t xml:space="preserve">.</w:t>
      </w:r>
    </w:p>
    <w:p>
      <w:r>
        <w:rPr>
          <w:b/>
        </w:rPr>
        <w:t xml:space="preserve">2 </w:t>
      </w:r>
      <w:r>
        <w:t xml:space="preserve">Thus says the Lord: Behold, waters rise from the north, and they will become a flooding torrent</w:t>
      </w:r>
      <w:r>
        <w:rPr>
          <w:rStyle w:val="FootnoteReference"/>
        </w:rPr>
        <w:footnoteReference w:id="12608"/>
      </w:r>
      <w:r>
        <w:t xml:space="preserve"> and cover the land and its fullness, the city and those dwelling in it, and men will cry out and all those dwelling in the land will howl.</w:t>
      </w:r>
    </w:p>
    <w:p>
      <w:r>
        <w:rPr>
          <w:b/>
        </w:rPr>
        <w:t xml:space="preserve">3 </w:t>
      </w:r>
      <w:r>
        <w:t xml:space="preserve">At the sound of his rush, at the hooves of his feet and at the shaking of his chariots, the sound of his wheels</w:t>
      </w:r>
      <w:r>
        <w:rPr>
          <w:rStyle w:val="FootnoteReference"/>
        </w:rPr>
        <w:footnoteReference w:id="12609"/>
      </w:r>
      <w:r>
        <w:t xml:space="preserve">, fathers did not turn back toward their sons because of the slackening of their hands.</w:t>
      </w:r>
    </w:p>
    <w:p>
      <w:r>
        <w:rPr>
          <w:b/>
        </w:rPr>
        <w:t xml:space="preserve">4 </w:t>
      </w:r>
      <w:r>
        <w:t xml:space="preserve">In the day that is coming to destroy all the foreigners, and I will wipe out Tyre and Sidon and all the remnant of their help, because the Lord will destroy the remnant of the islands.</w:t>
      </w:r>
    </w:p>
    <w:p>
      <w:r>
        <w:rPr>
          <w:b/>
        </w:rPr>
        <w:t xml:space="preserve">5 </w:t>
      </w:r>
      <w:r>
        <w:t xml:space="preserve">Baldness has come upon Gaza. Ashkelon was cast away, and the remnant of Enakim. How long will you keep cutting yourself?</w:t>
      </w:r>
    </w:p>
    <w:p>
      <w:r>
        <w:rPr>
          <w:b/>
        </w:rPr>
        <w:t xml:space="preserve">6 </w:t>
      </w:r>
      <w:r>
        <w:t xml:space="preserve">Sword of the Lord</w:t>
      </w:r>
      <w:r>
        <w:rPr>
          <w:rStyle w:val="FootnoteReference"/>
        </w:rPr>
        <w:footnoteReference w:id="12610"/>
      </w:r>
      <w:r>
        <w:t xml:space="preserve">, how long will you not rest? Return into your sheath. Rest and be lifted up.</w:t>
      </w:r>
    </w:p>
    <w:p>
      <w:r>
        <w:rPr>
          <w:b/>
        </w:rPr>
        <w:t xml:space="preserve">7 </w:t>
      </w:r>
      <w:r>
        <w:t xml:space="preserve">How will it rest? The Lord commanded it against Ashkelon and against the seacoasts, against the remnant, to be stirred up.</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To Edom thus says the Lord: Is there no wisdom any longer in Teman? Counsel has perished from the prudent. Their wisdom went away.</w:t>
      </w:r>
    </w:p>
    <w:p>
      <w:r>
        <w:rPr>
          <w:b/>
        </w:rPr>
        <w:t xml:space="preserve">2 </w:t>
      </w:r>
      <w:r>
        <w:t xml:space="preserve">Their place was deceived. Go deep into dwelling, you dwelling in Dedan, because I made hard things against him. I brought them on him in the time when I visited him.</w:t>
      </w:r>
    </w:p>
    <w:p>
      <w:r>
        <w:rPr>
          <w:b/>
        </w:rPr>
        <w:t xml:space="preserve">3 </w:t>
      </w:r>
      <w:r>
        <w:t xml:space="preserve">Because grape-gatherers came to you, they will not leave gleanings to you. Like thieves in the night, they will lay their hand on them.</w:t>
      </w:r>
    </w:p>
    <w:p>
      <w:r>
        <w:rPr>
          <w:b/>
        </w:rPr>
        <w:t xml:space="preserve">4 </w:t>
      </w:r>
      <w:r>
        <w:t xml:space="preserve">Because I stripped Esau bare. I uncovered their hidden things. They will certainly not be able to hide. They were destroyed by the hand of his brother and his neighbor, and he is no more.</w:t>
      </w:r>
    </w:p>
    <w:p>
      <w:r>
        <w:rPr>
          <w:b/>
        </w:rPr>
        <w:t xml:space="preserve">5 </w:t>
      </w:r>
      <w:r>
        <w:t xml:space="preserve">Leave your orphan behind so that he may live, and I will keep him alive, and widows trusted in me.</w:t>
      </w:r>
    </w:p>
    <w:p>
      <w:r>
        <w:rPr>
          <w:b/>
        </w:rPr>
        <w:t xml:space="preserve">6 </w:t>
      </w:r>
      <w:r>
        <w:t xml:space="preserve">Because thus said the Lord: Those for whom it was not law to drink the cup</w:t>
      </w:r>
      <w:r>
        <w:rPr>
          <w:rStyle w:val="FootnoteReference"/>
        </w:rPr>
        <w:footnoteReference w:id="12611"/>
      </w:r>
      <w:r>
        <w:t xml:space="preserve"> drank, and you, by acquitting, will certainly not be acquitted, because drinking you will drink.</w:t>
      </w:r>
    </w:p>
    <w:p>
      <w:r>
        <w:rPr>
          <w:b/>
        </w:rPr>
        <w:t xml:space="preserve">7 </w:t>
      </w:r>
      <w:r>
        <w:t xml:space="preserve">Because by myself I swore, says the Lord, that you will become trackless waste and reproach and curse in the midst of her, and all her cities will become deserts forever.</w:t>
      </w:r>
    </w:p>
    <w:p>
      <w:r>
        <w:rPr>
          <w:b/>
        </w:rPr>
        <w:t xml:space="preserve">8 </w:t>
      </w:r>
      <w:r>
        <w:t xml:space="preserve">I heard a report from the Lord, and he sent messengers to nations: Gather yourselves and come against her. Rise for war.</w:t>
      </w:r>
    </w:p>
    <w:p>
      <w:r>
        <w:rPr>
          <w:b/>
        </w:rPr>
        <w:t xml:space="preserve">9 </w:t>
      </w:r>
      <w:r>
        <w:t xml:space="preserve">I made you small among nations, despised among men.</w:t>
      </w:r>
    </w:p>
    <w:p>
      <w:r>
        <w:rPr>
          <w:b/>
        </w:rPr>
        <w:t xml:space="preserve">10 </w:t>
      </w:r>
      <w:r>
        <w:t xml:space="preserve">Your plaything deceived you, the insolence of your heart, dwelling in holes of rocks, holding strength of high hill. Because he raised his nest like an eagle, from there I will bring you down.</w:t>
      </w:r>
    </w:p>
    <w:p>
      <w:r>
        <w:rPr>
          <w:b/>
        </w:rPr>
        <w:t xml:space="preserve">11 </w:t>
      </w:r>
      <w:r>
        <w:t xml:space="preserve">And Edom will become trackless waste. Everyone passing by her will hiss.</w:t>
      </w:r>
    </w:p>
    <w:p>
      <w:r>
        <w:rPr>
          <w:b/>
        </w:rPr>
        <w:t xml:space="preserve">12 </w:t>
      </w:r>
      <w:r>
        <w:t xml:space="preserve">As Sodom and Gomorrah and their neighboring places were overthrown, says the Lord Almighty</w:t>
      </w:r>
      <w:r>
        <w:rPr>
          <w:rStyle w:val="FootnoteReference"/>
        </w:rPr>
        <w:footnoteReference w:id="12612"/>
      </w:r>
      <w:r>
        <w:t xml:space="preserve">, so no man will sit there and no son of man will dwell there.</w:t>
      </w:r>
    </w:p>
    <w:p>
      <w:r>
        <w:rPr>
          <w:b/>
        </w:rPr>
        <w:t xml:space="preserve">13 </w:t>
      </w:r>
      <w:r>
        <w:t xml:space="preserve">Behold, like a lion he will go up from the midst of the Jordan into Ethan place, because quickly I will drive them from her, and appoint young men over her. Because who is like me, and who will oppose me, and who is this shepherd</w:t>
      </w:r>
      <w:r>
        <w:rPr>
          <w:rStyle w:val="FootnoteReference"/>
        </w:rPr>
        <w:footnoteReference w:id="12613"/>
      </w:r>
      <w:r>
        <w:t xml:space="preserve"> who will stand before my face?</w:t>
      </w:r>
    </w:p>
    <w:p>
      <w:r>
        <w:rPr>
          <w:b/>
        </w:rPr>
        <w:t xml:space="preserve">14 </w:t>
      </w:r>
      <w:r>
        <w:t xml:space="preserve">Therefore hear the counsel of the Lord which he counseled against Edom and his thought which he thought against those dwelling in Teman: Unless the least ones of the flock are consumed, unless their resting-place is made desolate upon her.</w:t>
      </w:r>
    </w:p>
    <w:p>
      <w:r>
        <w:rPr>
          <w:b/>
        </w:rPr>
        <w:t xml:space="preserve">15 </w:t>
      </w:r>
      <w:r>
        <w:t xml:space="preserve">Because from the sound of their fall, earth was shaken</w:t>
      </w:r>
      <w:r>
        <w:rPr>
          <w:rStyle w:val="FootnoteReference"/>
        </w:rPr>
        <w:footnoteReference w:id="12614"/>
      </w:r>
      <w:r>
        <w:t xml:space="preserve">, and your cry was heard in the sea.</w:t>
      </w:r>
    </w:p>
    <w:p>
      <w:r>
        <w:rPr>
          <w:b/>
        </w:rPr>
        <w:t xml:space="preserve">16 </w:t>
      </w:r>
      <w:r>
        <w:t xml:space="preserve">Behold, like an eagle</w:t>
      </w:r>
      <w:r>
        <w:rPr>
          <w:rStyle w:val="FootnoteReference"/>
        </w:rPr>
        <w:footnoteReference w:id="12615"/>
      </w:r>
      <w:r>
        <w:t xml:space="preserve"> he will appear and stretch his wings over her strongholds, and the heart of the mighty men of Edom in that day will be like the heart of a woman in labor.</w:t>
      </w:r>
    </w:p>
    <w:p>
      <w:r>
        <w:rPr>
          <w:b/>
        </w:rPr>
        <w:t xml:space="preserve">17 </w:t>
      </w:r>
      <w:r>
        <w:t xml:space="preserve">To the sons of Ammon thus said the Lord: Are there no sons in Israel, or is there no heir for them? Why did Milcom</w:t>
      </w:r>
      <w:r>
        <w:rPr>
          <w:rStyle w:val="FootnoteReference"/>
        </w:rPr>
        <w:footnoteReference w:id="12616"/>
      </w:r>
      <w:r>
        <w:t xml:space="preserve"> inherit Gad, and his people dwell in his cities?</w:t>
      </w:r>
    </w:p>
    <w:p>
      <w:r>
        <w:rPr>
          <w:b/>
        </w:rPr>
        <w:t xml:space="preserve">18 </w:t>
      </w:r>
      <w:r>
        <w:t xml:space="preserve">Therefore behold</w:t>
      </w:r>
      <w:r>
        <w:rPr>
          <w:rStyle w:val="FootnoteReference"/>
        </w:rPr>
        <w:footnoteReference w:id="12617"/>
      </w:r>
      <w:r>
        <w:t xml:space="preserve">, days are coming, says the Lord, and I will sound in Rabbah tumults of wars, and they will become trackless waste and destruction, and her altars will be burned with fire, and Israel will inherit his dominion</w:t>
      </w:r>
      <w:r>
        <w:rPr>
          <w:rStyle w:val="FootnoteReference"/>
        </w:rPr>
        <w:footnoteReference w:id="12618"/>
      </w:r>
      <w:r>
        <w:t xml:space="preserve">.</w:t>
      </w:r>
    </w:p>
    <w:p>
      <w:r>
        <w:rPr>
          <w:b/>
        </w:rPr>
        <w:t xml:space="preserve">19 </w:t>
      </w:r>
      <w:r>
        <w:t xml:space="preserve">Howl, Heshbon, because Ai was destroyed. Cry out, daughters of Rabbah. Gird on sackcloth and mourn and cut yourselves for Milcom, because he will go in exile, his priests and his rulers together.</w:t>
      </w:r>
    </w:p>
    <w:p>
      <w:r>
        <w:rPr>
          <w:b/>
        </w:rPr>
        <w:t xml:space="preserve">20 </w:t>
      </w:r>
      <w:r>
        <w:t xml:space="preserve">Why do you rejoice in the plains of Enakim, daughter of insolence, trusting in her treasures, saying, Who will enter against me?</w:t>
      </w:r>
    </w:p>
    <w:p>
      <w:r>
        <w:rPr>
          <w:b/>
        </w:rPr>
        <w:t xml:space="preserve">21 </w:t>
      </w:r>
      <w:r>
        <w:t xml:space="preserve">Behold, I bring fear upon you, says the Lord, from all around you, and you will each be scattered before his face, and there will not be one gathering.</w:t>
      </w:r>
    </w:p>
    <w:p>
      <w:r>
        <w:rPr>
          <w:b/>
        </w:rPr>
        <w:t xml:space="preserve">23 </w:t>
      </w:r>
      <w:r>
        <w:t xml:space="preserve">To Kedar, royal court</w:t>
      </w:r>
      <w:r>
        <w:rPr>
          <w:rStyle w:val="FootnoteReference"/>
        </w:rPr>
        <w:footnoteReference w:id="12619"/>
      </w:r>
      <w:r>
        <w:t xml:space="preserve">, which Nebuchadnezzar king of Babylon struck, thus said the Lord: Rise and go up against Kedar and fill yourselves with the sons of the east.</w:t>
      </w:r>
      <w:r>
        <w:rPr>
          <w:rStyle w:val="FootnoteReference"/>
        </w:rPr>
        <w:footnoteReference w:id="12620"/>
      </w:r>
    </w:p>
    <w:p>
      <w:r>
        <w:rPr>
          <w:b/>
        </w:rPr>
        <w:t xml:space="preserve">24 </w:t>
      </w:r>
      <w:r>
        <w:t xml:space="preserve">They will take their tents and their sheep, their garments and all their vessels, and their camels they will take for themselves, and call destruction all around upon them.</w:t>
      </w:r>
    </w:p>
    <w:p>
      <w:r>
        <w:rPr>
          <w:b/>
        </w:rPr>
        <w:t xml:space="preserve">25 </w:t>
      </w:r>
      <w:r>
        <w:t xml:space="preserve">Flee greatly. Go deep into dwelling, you dwelling in the court, because the king of Babylon planned a plan against you and devised a thought against you.</w:t>
      </w:r>
    </w:p>
    <w:p>
      <w:r>
        <w:rPr>
          <w:b/>
        </w:rPr>
        <w:t xml:space="preserve">26 </w:t>
      </w:r>
      <w:r>
        <w:t xml:space="preserve">Rise and go up against a nation at ease, dwelling in refreshment, for whom there are no doors, no bars, no bolts. They dwell alone.</w:t>
      </w:r>
    </w:p>
    <w:p>
      <w:r>
        <w:rPr>
          <w:b/>
        </w:rPr>
        <w:t xml:space="preserve">27 </w:t>
      </w:r>
      <w:r>
        <w:t xml:space="preserve">And their camels will become plunder and the multitude of their cattle destruction, and I will winnow them to every wind, those clipped around the face</w:t>
      </w:r>
      <w:r>
        <w:rPr>
          <w:rStyle w:val="FootnoteReference"/>
        </w:rPr>
        <w:footnoteReference w:id="12621"/>
      </w:r>
      <w:r>
        <w:t xml:space="preserve">, and from every side I will bring their downfall, says the Lord.</w:t>
      </w:r>
    </w:p>
    <w:p>
      <w:r>
        <w:rPr>
          <w:b/>
        </w:rPr>
        <w:t xml:space="preserve">28 </w:t>
      </w:r>
      <w:r>
        <w:t xml:space="preserve">And the court will become a dwelling-place of sparrows and trackless waste forever. No man will sit there, and no son of man will dwell there.</w:t>
      </w:r>
    </w:p>
    <w:p>
      <w:r>
        <w:rPr>
          <w:b/>
        </w:rPr>
        <w:t xml:space="preserve">29 </w:t>
      </w:r>
      <w:r>
        <w:t xml:space="preserve">To Damascus: Hamath and Arpad were put to shame, because they heard an evil report. They were confounded and troubled, and they certainly are not able to rest.</w:t>
      </w:r>
    </w:p>
    <w:p>
      <w:r>
        <w:rPr>
          <w:b/>
        </w:rPr>
        <w:t xml:space="preserve">30 </w:t>
      </w:r>
      <w:r>
        <w:t xml:space="preserve">Damascus melted away. She turned to flight. Terror seized her.</w:t>
      </w:r>
    </w:p>
    <w:p>
      <w:r>
        <w:rPr>
          <w:b/>
        </w:rPr>
        <w:t xml:space="preserve">31 </w:t>
      </w:r>
      <w:r>
        <w:t xml:space="preserve">How was my city not abandoned, the town they loved?</w:t>
      </w:r>
    </w:p>
    <w:p>
      <w:r>
        <w:rPr>
          <w:b/>
        </w:rPr>
        <w:t xml:space="preserve">32 </w:t>
      </w:r>
      <w:r>
        <w:t xml:space="preserve">Therefore your young men will fall in your squares, and all your men of war will fall, says the Lord.</w:t>
      </w:r>
    </w:p>
    <w:p>
      <w:r>
        <w:rPr>
          <w:b/>
        </w:rPr>
        <w:t xml:space="preserve">33 </w:t>
      </w:r>
      <w:r>
        <w:t xml:space="preserve">And I will kindle fire in the wall of Damascus, and it will devour streets of Ben-Hadad.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To Moab thus said the Lord: Woe to Nebo, because it was destroyed. Kiriathaim</w:t>
      </w:r>
      <w:r>
        <w:rPr>
          <w:rStyle w:val="FootnoteReference"/>
        </w:rPr>
        <w:footnoteReference w:id="12622"/>
      </w:r>
      <w:r>
        <w:t xml:space="preserve"> was taken. Amath was put to shame and defeated.</w:t>
      </w:r>
    </w:p>
    <w:p>
      <w:r>
        <w:rPr>
          <w:b/>
        </w:rPr>
        <w:t xml:space="preserve">2 </w:t>
      </w:r>
      <w:r>
        <w:t xml:space="preserve">There is no longer healing for Moab, nor boasting in Heshbon. They planned evils against her: We cut her off from a nation. Stop, a stopping-place. Behind you the sword will go.</w:t>
      </w:r>
    </w:p>
    <w:p>
      <w:r>
        <w:rPr>
          <w:b/>
        </w:rPr>
        <w:t xml:space="preserve">3 </w:t>
      </w:r>
      <w:r>
        <w:t xml:space="preserve">Because the voice of criers from Horonaim: destruction and great crushing.</w:t>
      </w:r>
    </w:p>
    <w:p>
      <w:r>
        <w:rPr>
          <w:b/>
        </w:rPr>
        <w:t xml:space="preserve">4 </w:t>
      </w:r>
      <w:r>
        <w:t xml:space="preserve">Moab was crushed. Announce it in Zoar.</w:t>
      </w:r>
    </w:p>
    <w:p>
      <w:r>
        <w:rPr>
          <w:b/>
        </w:rPr>
        <w:t xml:space="preserve">5 </w:t>
      </w:r>
      <w:r>
        <w:t xml:space="preserve">Because on the ascent of Aloth one will go up with weeping, weeping. On the road of Horonaim they heard a cry of crushing.</w:t>
      </w:r>
    </w:p>
    <w:p>
      <w:r>
        <w:rPr>
          <w:b/>
        </w:rPr>
        <w:t xml:space="preserve">6 </w:t>
      </w:r>
      <w:r>
        <w:t xml:space="preserve">Flee and save your souls, and you will be like a wild donkey in the desert.</w:t>
      </w:r>
    </w:p>
    <w:p>
      <w:r>
        <w:rPr>
          <w:b/>
        </w:rPr>
        <w:t xml:space="preserve">7 </w:t>
      </w:r>
      <w:r>
        <w:t xml:space="preserve">Because you trusted in your strongholds, you too will be taken, and Chemosh will go out into exile, his priests and his rulers together.</w:t>
      </w:r>
    </w:p>
    <w:p>
      <w:r>
        <w:rPr>
          <w:b/>
        </w:rPr>
        <w:t xml:space="preserve">8 </w:t>
      </w:r>
      <w:r>
        <w:t xml:space="preserve">And destruction will come upon every city, and no city will be saved, and the valley will perish and the plain will be destroyed, just as the Lord said.</w:t>
      </w:r>
    </w:p>
    <w:p>
      <w:r>
        <w:rPr>
          <w:b/>
        </w:rPr>
        <w:t xml:space="preserve">9 </w:t>
      </w:r>
      <w:r>
        <w:t xml:space="preserve">Give signs to Moab, because in flight she will fly out, and all her cities will become trackless waste. From where will there be one dwelling in her?</w:t>
      </w:r>
    </w:p>
    <w:p>
      <w:r>
        <w:rPr>
          <w:b/>
        </w:rPr>
        <w:t xml:space="preserve">10 </w:t>
      </w:r>
      <w:r>
        <w:t xml:space="preserve">Cursed is the one doing the works of the Lord negligently, withholding his sword from blood.</w:t>
      </w:r>
    </w:p>
    <w:p>
      <w:r>
        <w:rPr>
          <w:b/>
        </w:rPr>
        <w:t xml:space="preserve">11 </w:t>
      </w:r>
      <w:r>
        <w:t xml:space="preserve">Moab was at rest from childhood and was confident in his glory. He was not poured from vessel to vessel</w:t>
      </w:r>
      <w:r>
        <w:rPr>
          <w:rStyle w:val="FootnoteReference"/>
        </w:rPr>
        <w:footnoteReference w:id="12623"/>
      </w:r>
      <w:r>
        <w:t xml:space="preserve">, and into exile he did not go. Because of this his taste stood in him and his smell did not leave.</w:t>
      </w:r>
    </w:p>
    <w:p>
      <w:r>
        <w:rPr>
          <w:b/>
        </w:rPr>
        <w:t xml:space="preserve">12 </w:t>
      </w:r>
      <w:r>
        <w:t xml:space="preserve">Therefore</w:t>
      </w:r>
      <w:r>
        <w:rPr>
          <w:rStyle w:val="FootnoteReference"/>
        </w:rPr>
        <w:footnoteReference w:id="12624"/>
      </w:r>
      <w:r>
        <w:t xml:space="preserve"> behold, days are coming, says the Lord, and I will send him tippers</w:t>
      </w:r>
      <w:r>
        <w:rPr>
          <w:rStyle w:val="FootnoteReference"/>
        </w:rPr>
        <w:footnoteReference w:id="12625"/>
      </w:r>
      <w:r>
        <w:t xml:space="preserve">, and they will tip him, and they will thin his vessels and break his horns.</w:t>
      </w:r>
    </w:p>
    <w:p>
      <w:r>
        <w:rPr>
          <w:b/>
        </w:rPr>
        <w:t xml:space="preserve">13 </w:t>
      </w:r>
      <w:r>
        <w:t xml:space="preserve">And Moab will be ashamed of Chemosh</w:t>
      </w:r>
      <w:r>
        <w:rPr>
          <w:rStyle w:val="FootnoteReference"/>
        </w:rPr>
        <w:footnoteReference w:id="12626"/>
      </w:r>
      <w:r>
        <w:t xml:space="preserve">, just as the house of Israel was ashamed of Bethel, their hope, trusting in them.</w:t>
      </w:r>
    </w:p>
    <w:p>
      <w:r>
        <w:rPr>
          <w:b/>
        </w:rPr>
        <w:t xml:space="preserve">14 </w:t>
      </w:r>
      <w:r>
        <w:t xml:space="preserve">How will you say, We are strong and mighty men for wars?</w:t>
      </w:r>
    </w:p>
    <w:p>
      <w:r>
        <w:rPr>
          <w:b/>
        </w:rPr>
        <w:t xml:space="preserve">15 </w:t>
      </w:r>
      <w:r>
        <w:t xml:space="preserve">Moab was destroyed, his city, and his chosen young men went down to slaughter.</w:t>
      </w:r>
    </w:p>
    <w:p>
      <w:r>
        <w:rPr>
          <w:b/>
        </w:rPr>
        <w:t xml:space="preserve">16 </w:t>
      </w:r>
      <w:r>
        <w:t xml:space="preserve">Near is the day of Moab to come, and his evil is very swift.</w:t>
      </w:r>
    </w:p>
    <w:p>
      <w:r>
        <w:rPr>
          <w:b/>
        </w:rPr>
        <w:t xml:space="preserve">17 </w:t>
      </w:r>
      <w:r>
        <w:t xml:space="preserve">Shake for him, all around him, all knowing his name. Say, How the glorious staff was broken, the rod of greatness.</w:t>
      </w:r>
    </w:p>
    <w:p>
      <w:r>
        <w:rPr>
          <w:b/>
        </w:rPr>
        <w:t xml:space="preserve">18 </w:t>
      </w:r>
      <w:r>
        <w:t xml:space="preserve">Come down from glory and sit in dampness, you dwelling in Dibon, worn out, because the destroyer of Moab came up against you. He destroyed your stronghold.</w:t>
      </w:r>
    </w:p>
    <w:p>
      <w:r>
        <w:rPr>
          <w:b/>
        </w:rPr>
        <w:t xml:space="preserve">19 </w:t>
      </w:r>
      <w:r>
        <w:t xml:space="preserve">Stand by the road and watch, you dwelling in Aroer, and ask the one fleeing and being saved, and say, What happened?</w:t>
      </w:r>
    </w:p>
    <w:p>
      <w:r>
        <w:rPr>
          <w:b/>
        </w:rPr>
        <w:t xml:space="preserve">20 </w:t>
      </w:r>
      <w:r>
        <w:t xml:space="preserve">Moab was put to shame because he was broken. Howl and cry. Announce in Arnon that Moab was destroyed.</w:t>
      </w:r>
    </w:p>
    <w:p>
      <w:r>
        <w:rPr>
          <w:b/>
        </w:rPr>
        <w:t xml:space="preserve">21 </w:t>
      </w:r>
      <w:r>
        <w:t xml:space="preserve">And judgment comes upon the land of Mishor, upon Holon and upon Jahazah and upon Mephaath</w:t>
      </w:r>
      <w:r>
        <w:rPr>
          <w:rStyle w:val="FootnoteReference"/>
        </w:rPr>
        <w:footnoteReference w:id="12627"/>
      </w:r>
      <w:r>
        <w:t xml:space="preserve">,</w:t>
      </w:r>
    </w:p>
    <w:p>
      <w:r>
        <w:rPr>
          <w:b/>
        </w:rPr>
        <w:t xml:space="preserve">22 </w:t>
      </w:r>
      <w:r>
        <w:t xml:space="preserve">and upon Dibon and Nebo and upon Beth-diblathaim</w:t>
      </w:r>
      <w:r>
        <w:rPr>
          <w:rStyle w:val="FootnoteReference"/>
        </w:rPr>
        <w:footnoteReference w:id="12628"/>
      </w:r>
      <w:r>
        <w:t xml:space="preserve">,</w:t>
      </w:r>
    </w:p>
    <w:p>
      <w:r>
        <w:rPr>
          <w:b/>
        </w:rPr>
        <w:t xml:space="preserve">23 </w:t>
      </w:r>
      <w:r>
        <w:t xml:space="preserve">and upon Kiriathaim and upon Beth-gamul and upon Beth-meon</w:t>
      </w:r>
      <w:r>
        <w:rPr>
          <w:rStyle w:val="FootnoteReference"/>
        </w:rPr>
        <w:footnoteReference w:id="12629"/>
      </w:r>
      <w:r>
        <w:t xml:space="preserve">,</w:t>
      </w:r>
      <w:r>
        <w:rPr>
          <w:rStyle w:val="FootnoteReference"/>
        </w:rPr>
        <w:footnoteReference w:id="12630"/>
      </w:r>
      <w:r>
        <w:rPr>
          <w:rStyle w:val="FootnoteReference"/>
        </w:rPr>
        <w:footnoteReference w:id="12631"/>
      </w:r>
    </w:p>
    <w:p>
      <w:r>
        <w:rPr>
          <w:b/>
        </w:rPr>
        <w:t xml:space="preserve">24 </w:t>
      </w:r>
      <w:r>
        <w:t xml:space="preserve">and upon Kerioth and upon Bozrah</w:t>
      </w:r>
      <w:r>
        <w:rPr>
          <w:rStyle w:val="FootnoteReference"/>
        </w:rPr>
        <w:footnoteReference w:id="12632"/>
      </w:r>
      <w:r>
        <w:t xml:space="preserve"> and upon all cities of Moab, far and near.</w:t>
      </w:r>
      <w:r>
        <w:rPr>
          <w:rStyle w:val="FootnoteReference"/>
        </w:rPr>
        <w:footnoteReference w:id="12633"/>
      </w:r>
    </w:p>
    <w:p>
      <w:r>
        <w:rPr>
          <w:b/>
        </w:rPr>
        <w:t xml:space="preserve">25 </w:t>
      </w:r>
      <w:r>
        <w:t xml:space="preserve">The horn of Moab was broken, and his arm was shattered.</w:t>
      </w:r>
    </w:p>
    <w:p>
      <w:r>
        <w:rPr>
          <w:b/>
        </w:rPr>
        <w:t xml:space="preserve">26 </w:t>
      </w:r>
      <w:r>
        <w:t xml:space="preserve">Make him drunk, because he magnified himself against the Lord, and Moab will clap with his hand</w:t>
      </w:r>
      <w:r>
        <w:rPr>
          <w:rStyle w:val="FootnoteReference"/>
        </w:rPr>
        <w:footnoteReference w:id="12634"/>
      </w:r>
      <w:r>
        <w:t xml:space="preserve">, and he too will become a laughingstock.</w:t>
      </w:r>
    </w:p>
    <w:p>
      <w:r>
        <w:rPr>
          <w:b/>
        </w:rPr>
        <w:t xml:space="preserve">27 </w:t>
      </w:r>
      <w:r>
        <w:t xml:space="preserve">And if Israel was not for mockery to you, was he found among your thefts, because you were fighting against him?</w:t>
      </w:r>
    </w:p>
    <w:p>
      <w:r>
        <w:rPr>
          <w:b/>
        </w:rPr>
        <w:t xml:space="preserve">28 </w:t>
      </w:r>
      <w:r>
        <w:t xml:space="preserve">They left the cities and dwelt in rocks, those dwelling in Moab. They became like doves nesting in rocks at the mouth of pit.</w:t>
      </w:r>
    </w:p>
    <w:p>
      <w:r>
        <w:rPr>
          <w:b/>
        </w:rPr>
        <w:t xml:space="preserve">29 </w:t>
      </w:r>
      <w:r>
        <w:t xml:space="preserve">I heard the pride of Moab. He was very proud, his insult and his arrogance, and his heart was raised high.</w:t>
      </w:r>
    </w:p>
    <w:p>
      <w:r>
        <w:rPr>
          <w:b/>
        </w:rPr>
        <w:t xml:space="preserve">30 </w:t>
      </w:r>
      <w:r>
        <w:t xml:space="preserve">But I knew his works. Was it not enough for him? Did he not do thus?</w:t>
      </w:r>
    </w:p>
    <w:p>
      <w:r>
        <w:rPr>
          <w:b/>
        </w:rPr>
        <w:t xml:space="preserve">31 </w:t>
      </w:r>
      <w:r>
        <w:t xml:space="preserve">Therefore over Moab howl everywhere. Cry over the men of Kir-heres of drought.</w:t>
      </w:r>
    </w:p>
    <w:p>
      <w:r>
        <w:rPr>
          <w:b/>
        </w:rPr>
        <w:t xml:space="preserve">32 </w:t>
      </w:r>
      <w:r>
        <w:t xml:space="preserve">Like the weeping of Jazer</w:t>
      </w:r>
      <w:r>
        <w:rPr>
          <w:rStyle w:val="FootnoteReference"/>
        </w:rPr>
        <w:footnoteReference w:id="12635"/>
      </w:r>
      <w:r>
        <w:t xml:space="preserve"> I will weep for you, vine of Sibmah</w:t>
      </w:r>
      <w:r>
        <w:rPr>
          <w:rStyle w:val="FootnoteReference"/>
        </w:rPr>
        <w:footnoteReference w:id="12636"/>
      </w:r>
      <w:r>
        <w:t xml:space="preserve">. Your branches passed through the sea. They touched Jazer. Destruction fell upon your fruit and upon your vintage.</w:t>
      </w:r>
      <w:r>
        <w:rPr>
          <w:rStyle w:val="FootnoteReference"/>
        </w:rPr>
        <w:footnoteReference w:id="12637"/>
      </w:r>
    </w:p>
    <w:p>
      <w:r>
        <w:rPr>
          <w:b/>
        </w:rPr>
        <w:t xml:space="preserve">33 </w:t>
      </w:r>
      <w:r>
        <w:t xml:space="preserve">Joy and gladness were utterly swept from the land of Moab, and though wine was in your presses, in the morning they did not tread it, nor in the evening did they raise the cry of joy.</w:t>
      </w:r>
    </w:p>
    <w:p>
      <w:r>
        <w:rPr>
          <w:b/>
        </w:rPr>
        <w:t xml:space="preserve">34 </w:t>
      </w:r>
      <w:r>
        <w:t xml:space="preserve">From the cry of Heshbon as far as Elealeh their cities gave their voice, from Zoar as far as Horonaim and Aglath-salisia, because the waters of Nimrim will become a burning.</w:t>
      </w:r>
    </w:p>
    <w:p>
      <w:r>
        <w:rPr>
          <w:b/>
        </w:rPr>
        <w:t xml:space="preserve">35 </w:t>
      </w:r>
      <w:r>
        <w:t xml:space="preserve">And I will destroy from Moab, says the Lord</w:t>
      </w:r>
      <w:r>
        <w:rPr>
          <w:rStyle w:val="FootnoteReference"/>
        </w:rPr>
        <w:footnoteReference w:id="12638"/>
      </w:r>
      <w:r>
        <w:t xml:space="preserve">, the one going up upon the altar and burning incense to his gods.</w:t>
      </w:r>
    </w:p>
    <w:p>
      <w:r>
        <w:rPr>
          <w:b/>
        </w:rPr>
        <w:t xml:space="preserve">36 </w:t>
      </w:r>
      <w:r>
        <w:t xml:space="preserve">Therefore my heart for Moab will sound like flutes, and my heart over the men of Kir-heres will sound like a flute, because what he prepared perished from man.</w:t>
      </w:r>
    </w:p>
    <w:p>
      <w:r>
        <w:rPr>
          <w:b/>
        </w:rPr>
        <w:t xml:space="preserve">37 </w:t>
      </w:r>
      <w:r>
        <w:t xml:space="preserve">Every head in every place will be shaved, and every beard will be shaved, and all hands will beat</w:t>
      </w:r>
      <w:r>
        <w:rPr>
          <w:rStyle w:val="FootnoteReference"/>
        </w:rPr>
        <w:footnoteReference w:id="12639"/>
      </w:r>
      <w:r>
        <w:t xml:space="preserve">, and upon every waist will be sackcloth.</w:t>
      </w:r>
    </w:p>
    <w:p>
      <w:r>
        <w:rPr>
          <w:b/>
        </w:rPr>
        <w:t xml:space="preserve">38 </w:t>
      </w:r>
      <w:r>
        <w:t xml:space="preserve">And upon all roofs of Moab and in her squares, because I shattered Moab, says the Lord, like a vessel for which there is no use.</w:t>
      </w:r>
    </w:p>
    <w:p>
      <w:r>
        <w:rPr>
          <w:b/>
        </w:rPr>
        <w:t xml:space="preserve">39 </w:t>
      </w:r>
      <w:r>
        <w:t xml:space="preserve">How he changed! How Moab turned his back! He was ashamed and became a laughingstock and a vexation to all around him.</w:t>
      </w:r>
    </w:p>
    <w:p>
      <w:r>
        <w:rPr>
          <w:b/>
        </w:rPr>
        <w:t xml:space="preserve">40 </w:t>
      </w:r>
      <w:r>
        <w:t xml:space="preserve">Because thus said the Lord:</w:t>
      </w:r>
    </w:p>
    <w:p>
      <w:r>
        <w:rPr>
          <w:b/>
        </w:rPr>
        <w:t xml:space="preserve">41 </w:t>
      </w:r>
      <w:r>
        <w:t xml:space="preserve">Kerioth was taken</w:t>
      </w:r>
      <w:r>
        <w:rPr>
          <w:rStyle w:val="FootnoteReference"/>
        </w:rPr>
        <w:footnoteReference w:id="12640"/>
      </w:r>
      <w:r>
        <w:t xml:space="preserve"> and strongholds were seized.</w:t>
      </w:r>
    </w:p>
    <w:p>
      <w:r>
        <w:rPr>
          <w:b/>
        </w:rPr>
        <w:t xml:space="preserve">42 </w:t>
      </w:r>
      <w:r>
        <w:t xml:space="preserve">And Moab will perish from being a multitude, because against the Lord he magnified himself.</w:t>
      </w:r>
    </w:p>
    <w:p>
      <w:r>
        <w:rPr>
          <w:b/>
        </w:rPr>
        <w:t xml:space="preserve">43 </w:t>
      </w:r>
      <w:r>
        <w:t xml:space="preserve">A snare and fear and pit</w:t>
      </w:r>
      <w:r>
        <w:rPr>
          <w:rStyle w:val="FootnoteReference"/>
        </w:rPr>
        <w:footnoteReference w:id="12641"/>
      </w:r>
      <w:r>
        <w:t xml:space="preserve"> are upon you, one dwelling in Moab.</w:t>
      </w:r>
    </w:p>
    <w:p>
      <w:r>
        <w:rPr>
          <w:b/>
        </w:rPr>
        <w:t xml:space="preserve">44 </w:t>
      </w:r>
      <w:r>
        <w:t xml:space="preserve">One fleeing from the face of fear will fall into the pit, and one coming up from the pit will be caught in the snare, because I will bring these things upon Moab in the year of her visitation.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13 </w:t>
      </w:r>
      <w:r>
        <w:t xml:space="preserve">What Jeremiah prophesied against all nations.</w:t>
      </w:r>
    </w:p>
    <w:p>
      <w:r>
        <w:rPr>
          <w:b/>
        </w:rPr>
        <w:t xml:space="preserve">15 </w:t>
      </w:r>
      <w:r>
        <w:t xml:space="preserve">Thus said the Lord God of Israel: Take this cup of unmixed wine</w:t>
      </w:r>
      <w:r>
        <w:rPr>
          <w:rStyle w:val="FootnoteReference"/>
        </w:rPr>
        <w:footnoteReference w:id="12642"/>
      </w:r>
      <w:r>
        <w:t xml:space="preserve"> from my hand, and you will make all nations drink, to whom I send you.</w:t>
      </w:r>
    </w:p>
    <w:p>
      <w:r>
        <w:rPr>
          <w:b/>
        </w:rPr>
        <w:t xml:space="preserve">16 </w:t>
      </w:r>
      <w:r>
        <w:t xml:space="preserve">And they will drink and vomit and go mad from the face of the sword which I send among them.</w:t>
      </w:r>
    </w:p>
    <w:p>
      <w:r>
        <w:rPr>
          <w:b/>
        </w:rPr>
        <w:t xml:space="preserve">17 </w:t>
      </w:r>
      <w:r>
        <w:t xml:space="preserve">And I took the cup from the hand of the Lord and made the nations drink, to whom the Lord sent me against them:</w:t>
      </w:r>
    </w:p>
    <w:p>
      <w:r>
        <w:rPr>
          <w:b/>
        </w:rPr>
        <w:t xml:space="preserve">18 </w:t>
      </w:r>
      <w:r>
        <w:t xml:space="preserve">Jerusalem and the cities of Judah and kings of Judah and its rulers, to set them for desolation and for trackless waste and for hissing,</w:t>
      </w:r>
    </w:p>
    <w:p>
      <w:r>
        <w:rPr>
          <w:b/>
        </w:rPr>
        <w:t xml:space="preserve">19 </w:t>
      </w:r>
      <w:r>
        <w:t xml:space="preserve">and Pharaoh king of Egypt and his servants and his nobles and all his people,</w:t>
      </w:r>
    </w:p>
    <w:p>
      <w:r>
        <w:rPr>
          <w:b/>
        </w:rPr>
        <w:t xml:space="preserve">20 </w:t>
      </w:r>
      <w:r>
        <w:t xml:space="preserve">and all his mixed peoples and all kings of the Philistines</w:t>
      </w:r>
      <w:r>
        <w:rPr>
          <w:rStyle w:val="FootnoteReference"/>
        </w:rPr>
        <w:footnoteReference w:id="12643"/>
      </w:r>
      <w:r>
        <w:t xml:space="preserve">: Ashkelon and Gaza and Ekron and the remnant of Ashdod,</w:t>
      </w:r>
    </w:p>
    <w:p>
      <w:r>
        <w:rPr>
          <w:b/>
        </w:rPr>
        <w:t xml:space="preserve">21 </w:t>
      </w:r>
      <w:r>
        <w:t xml:space="preserve">and Edom and Moab and the sons of Ammon,</w:t>
      </w:r>
    </w:p>
    <w:p>
      <w:r>
        <w:rPr>
          <w:b/>
        </w:rPr>
        <w:t xml:space="preserve">22 </w:t>
      </w:r>
      <w:r>
        <w:t xml:space="preserve">and all kings of Tyre and kings of Sidon and kings beyond the sea,</w:t>
      </w:r>
    </w:p>
    <w:p>
      <w:r>
        <w:rPr>
          <w:b/>
        </w:rPr>
        <w:t xml:space="preserve">23 </w:t>
      </w:r>
      <w:r>
        <w:t xml:space="preserve">and Dedan and Teman and Rosh</w:t>
      </w:r>
      <w:r>
        <w:rPr>
          <w:rStyle w:val="FootnoteReference"/>
        </w:rPr>
        <w:footnoteReference w:id="12644"/>
      </w:r>
      <w:r>
        <w:t xml:space="preserve"> and every one shaved around his face,</w:t>
      </w:r>
    </w:p>
    <w:p>
      <w:r>
        <w:rPr>
          <w:b/>
        </w:rPr>
        <w:t xml:space="preserve">24 </w:t>
      </w:r>
      <w:r>
        <w:t xml:space="preserve">and all mixed peoples dwelling in the wilderness,</w:t>
      </w:r>
    </w:p>
    <w:p>
      <w:r>
        <w:rPr>
          <w:b/>
        </w:rPr>
        <w:t xml:space="preserve">25 </w:t>
      </w:r>
      <w:r>
        <w:t xml:space="preserve">and all kings of Elam and all kings of the Persians,</w:t>
      </w:r>
    </w:p>
    <w:p>
      <w:r>
        <w:rPr>
          <w:b/>
        </w:rPr>
        <w:t xml:space="preserve">26 </w:t>
      </w:r>
      <w:r>
        <w:t xml:space="preserve">and all kings from the east, far and near, each toward his brother, and all kingdoms upon the face of the earth.</w:t>
      </w:r>
    </w:p>
    <w:p>
      <w:r>
        <w:rPr>
          <w:b/>
        </w:rPr>
        <w:t xml:space="preserve">27 </w:t>
      </w:r>
      <w:r>
        <w:t xml:space="preserve">And you will say to them, Thus said the Lord Almighty: Drink and get drunk and vomit and fall and not rise from the face of the sword which I send among you.</w:t>
      </w:r>
    </w:p>
    <w:p>
      <w:r>
        <w:rPr>
          <w:b/>
        </w:rPr>
        <w:t xml:space="preserve">28 </w:t>
      </w:r>
      <w:r>
        <w:t xml:space="preserve">And it will be, when they do not want to receive the cup from your hand to drink, then you will say, Thus said the Lord: Drinking you will drink.</w:t>
      </w:r>
    </w:p>
    <w:p>
      <w:r>
        <w:rPr>
          <w:b/>
        </w:rPr>
        <w:t xml:space="preserve">29 </w:t>
      </w:r>
      <w:r>
        <w:t xml:space="preserve">Because in the city upon</w:t>
      </w:r>
      <w:r>
        <w:rPr>
          <w:rStyle w:val="FootnoteReference"/>
        </w:rPr>
        <w:footnoteReference w:id="12645"/>
      </w:r>
      <w:r>
        <w:t xml:space="preserve"> which my name was called, I begin to do evil, and you will certainly not be cleansed</w:t>
      </w:r>
      <w:r>
        <w:rPr>
          <w:rStyle w:val="FootnoteReference"/>
        </w:rPr>
        <w:footnoteReference w:id="12646"/>
      </w:r>
      <w:r>
        <w:t xml:space="preserve">, because I call a sword upon those dwelling on the earth.</w:t>
      </w:r>
    </w:p>
    <w:p>
      <w:r>
        <w:rPr>
          <w:b/>
        </w:rPr>
        <w:t xml:space="preserve">30 </w:t>
      </w:r>
      <w:r>
        <w:t xml:space="preserve">And you will prophesy against them these words and say: The Lord from on high will utter, and from his holy place he will give his voice. He will utter a word against his place, and shouting like grape-treaders</w:t>
      </w:r>
      <w:r>
        <w:rPr>
          <w:rStyle w:val="FootnoteReference"/>
        </w:rPr>
        <w:footnoteReference w:id="12647"/>
      </w:r>
      <w:r>
        <w:t xml:space="preserve">, they will answer against those dwelling on the earth.</w:t>
      </w:r>
    </w:p>
    <w:p>
      <w:r>
        <w:rPr>
          <w:b/>
        </w:rPr>
        <w:t xml:space="preserve">31 </w:t>
      </w:r>
      <w:r>
        <w:t xml:space="preserve">Destruction comes upon a part of the earth, because judgment belongs to the Lord among the nations. He himself enters judgment with all flesh</w:t>
      </w:r>
      <w:r>
        <w:rPr>
          <w:rStyle w:val="FootnoteReference"/>
        </w:rPr>
        <w:footnoteReference w:id="12648"/>
      </w:r>
      <w:r>
        <w:t xml:space="preserve">, but the ungodly were given to the sword, says the Lord.</w:t>
      </w:r>
    </w:p>
    <w:p>
      <w:r>
        <w:rPr>
          <w:b/>
        </w:rPr>
        <w:t xml:space="preserve">32 </w:t>
      </w:r>
      <w:r>
        <w:t xml:space="preserve">Thus said the Lord: Behold, evils come from nation upon nation, and great storm goes out from the ends of the earth.</w:t>
      </w:r>
    </w:p>
    <w:p>
      <w:r>
        <w:rPr>
          <w:b/>
        </w:rPr>
        <w:t xml:space="preserve">33 </w:t>
      </w:r>
      <w:r>
        <w:t xml:space="preserve">And slain by the Lord in the day of the Lord will be from one end of the earth even to the other end of the earth. They will never be buried. They will be like dung upon the face of the earth.</w:t>
      </w:r>
    </w:p>
    <w:p>
      <w:r>
        <w:rPr>
          <w:b/>
        </w:rPr>
        <w:t xml:space="preserve">34 </w:t>
      </w:r>
      <w:r>
        <w:t xml:space="preserve">Howl, shepherds, and cry out, and beat yourselves, rams of the sheep</w:t>
      </w:r>
      <w:r>
        <w:rPr>
          <w:rStyle w:val="FootnoteReference"/>
        </w:rPr>
        <w:footnoteReference w:id="12649"/>
      </w:r>
      <w:r>
        <w:t xml:space="preserve">, because your days were filled up for slaughter, and you will fall like choice rams.</w:t>
      </w:r>
    </w:p>
    <w:p>
      <w:r>
        <w:rPr>
          <w:b/>
        </w:rPr>
        <w:t xml:space="preserve">35 </w:t>
      </w:r>
      <w:r>
        <w:t xml:space="preserve">And flight will perish from shepherds and salvation from rams of the sheep.</w:t>
      </w:r>
    </w:p>
    <w:p>
      <w:r>
        <w:rPr>
          <w:b/>
        </w:rPr>
        <w:t xml:space="preserve">36 </w:t>
      </w:r>
      <w:r>
        <w:t xml:space="preserve">A voice of the cry of shepherds and a howl of sheep and rams, because the Lord destroyed their pastures.</w:t>
      </w:r>
    </w:p>
    <w:p>
      <w:r>
        <w:rPr>
          <w:b/>
        </w:rPr>
        <w:t xml:space="preserve">37 </w:t>
      </w:r>
      <w:r>
        <w:t xml:space="preserve">And the remnants of peace will cease from the face of my burning anger.</w:t>
      </w:r>
    </w:p>
    <w:p>
      <w:r>
        <w:rPr>
          <w:b/>
        </w:rPr>
        <w:t xml:space="preserve">38 </w:t>
      </w:r>
      <w:r>
        <w:t xml:space="preserve">He abandoned his lodging like a lion, because their land became trackless waste from the face of the great sword.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At the beginning of King Jehoiakim son of Josiah this word came from the Lord.</w:t>
      </w:r>
    </w:p>
    <w:p>
      <w:r>
        <w:rPr>
          <w:b/>
        </w:rPr>
        <w:t xml:space="preserve">2 </w:t>
      </w:r>
      <w:r>
        <w:t xml:space="preserve">Thus said the Lord</w:t>
      </w:r>
      <w:r>
        <w:rPr>
          <w:rStyle w:val="FootnoteReference"/>
        </w:rPr>
        <w:footnoteReference w:id="12650"/>
      </w:r>
      <w:r>
        <w:t xml:space="preserve">: Stand in the court of the house of the Lord and declare to all Judeans</w:t>
      </w:r>
      <w:r>
        <w:rPr>
          <w:rStyle w:val="FootnoteReference"/>
        </w:rPr>
        <w:footnoteReference w:id="12651"/>
      </w:r>
      <w:r>
        <w:t xml:space="preserve"> and to all those coming to worship in the house of the Lord all the words which I ordered you to declare to them. Do not leave out a word.</w:t>
      </w:r>
    </w:p>
    <w:p>
      <w:r>
        <w:rPr>
          <w:b/>
        </w:rPr>
        <w:t xml:space="preserve">3 </w:t>
      </w:r>
      <w:r>
        <w:t xml:space="preserve">Perhaps they will hear and each turn from his evil way, and I will relent from the evils</w:t>
      </w:r>
      <w:r>
        <w:rPr>
          <w:rStyle w:val="FootnoteReference"/>
        </w:rPr>
        <w:footnoteReference w:id="12652"/>
      </w:r>
      <w:r>
        <w:t xml:space="preserve"> which I plan to do to them because of their evil practices.</w:t>
      </w:r>
    </w:p>
    <w:p>
      <w:r>
        <w:rPr>
          <w:b/>
        </w:rPr>
        <w:t xml:space="preserve">4 </w:t>
      </w:r>
      <w:r>
        <w:t xml:space="preserve">And you will say, Thus said the Lord: If you do not listen to me, to walk in my statutes which I gave before your face,</w:t>
      </w:r>
    </w:p>
    <w:p>
      <w:r>
        <w:rPr>
          <w:b/>
        </w:rPr>
        <w:t xml:space="preserve">5 </w:t>
      </w:r>
      <w:r>
        <w:t xml:space="preserve">to listen to the words of my servants the prophets whom I send to you early, and I sent, and you did not listen to me,</w:t>
      </w:r>
    </w:p>
    <w:p>
      <w:r>
        <w:rPr>
          <w:b/>
        </w:rPr>
        <w:t xml:space="preserve">6 </w:t>
      </w:r>
      <w:r>
        <w:t xml:space="preserve">then I will make this house like Shiloh</w:t>
      </w:r>
      <w:r>
        <w:rPr>
          <w:rStyle w:val="FootnoteReference"/>
        </w:rPr>
        <w:footnoteReference w:id="12653"/>
      </w:r>
      <w:r>
        <w:t xml:space="preserve">, and this city I will give for a curse to all nations of all the earth.</w:t>
      </w:r>
    </w:p>
    <w:p>
      <w:r>
        <w:rPr>
          <w:b/>
        </w:rPr>
        <w:t xml:space="preserve">7 </w:t>
      </w:r>
      <w:r>
        <w:t xml:space="preserve">And the priests and the false prophets and all the people heard Jeremiah speaking these words in the house of the Lord.</w:t>
      </w:r>
    </w:p>
    <w:p>
      <w:r>
        <w:rPr>
          <w:b/>
        </w:rPr>
        <w:t xml:space="preserve">8 </w:t>
      </w:r>
      <w:r>
        <w:t xml:space="preserve">And it happened when Jeremiah ceased speaking all that the Lord ordered him to speak to all the people, the priests and the false prophets and all the people seized him, saying, You will surely die.</w:t>
      </w:r>
    </w:p>
    <w:p>
      <w:r>
        <w:rPr>
          <w:b/>
        </w:rPr>
        <w:t xml:space="preserve">9 </w:t>
      </w:r>
      <w:r>
        <w:t xml:space="preserve">Because you prophesied in the name of the Lord, saying, Like Shiloh this house will be, and this city will be made desolate, without dwellers. And all the people were gathered against Jeremiah in the house of the Lord.</w:t>
      </w:r>
    </w:p>
    <w:p>
      <w:r>
        <w:rPr>
          <w:b/>
        </w:rPr>
        <w:t xml:space="preserve">10 </w:t>
      </w:r>
      <w:r>
        <w:t xml:space="preserve">And the rulers of Judah heard this word and went up from the house of the king into the house of the Lord and sat in the entrance of the new gate of the Lord.</w:t>
      </w:r>
    </w:p>
    <w:p>
      <w:r>
        <w:rPr>
          <w:b/>
        </w:rPr>
        <w:t xml:space="preserve">11 </w:t>
      </w:r>
      <w:r>
        <w:t xml:space="preserve">And the priests and the false prophets said to the rulers and to all the people, A judgment of death for this man, because he prophesied against this city as you heard in your ears.</w:t>
      </w:r>
    </w:p>
    <w:p>
      <w:r>
        <w:rPr>
          <w:b/>
        </w:rPr>
        <w:t xml:space="preserve">12 </w:t>
      </w:r>
      <w:r>
        <w:t xml:space="preserve">And Jeremiah said to the rulers and to all the people, saying, The Lord sent me to prophesy against this house and against this city all these words which you heard.</w:t>
      </w:r>
    </w:p>
    <w:p>
      <w:r>
        <w:rPr>
          <w:b/>
        </w:rPr>
        <w:t xml:space="preserve">13 </w:t>
      </w:r>
      <w:r>
        <w:t xml:space="preserve">And now make your ways and your works better and hear the voice of the Lord, and the Lord will relent from the evils which he spoke against you.</w:t>
      </w:r>
    </w:p>
    <w:p>
      <w:r>
        <w:rPr>
          <w:b/>
        </w:rPr>
        <w:t xml:space="preserve">14 </w:t>
      </w:r>
      <w:r>
        <w:t xml:space="preserve">And behold, I am in your hands. Do to me as is beneficial and as seems better to you.</w:t>
      </w:r>
    </w:p>
    <w:p>
      <w:r>
        <w:rPr>
          <w:b/>
        </w:rPr>
        <w:t xml:space="preserve">15 </w:t>
      </w:r>
      <w:r>
        <w:t xml:space="preserve">Only know for certain that if you kill me, you place innocent blood upon yourselves and upon this city and upon those dwelling in it, because in truth the Lord sent me to you to speak all these words in your ears.</w:t>
      </w:r>
    </w:p>
    <w:p>
      <w:r>
        <w:rPr>
          <w:b/>
        </w:rPr>
        <w:t xml:space="preserve">16 </w:t>
      </w:r>
      <w:r>
        <w:t xml:space="preserve">And the rulers and all the people said to the priests and to the false prophets, There is no judgment of death for this man, because in the name of the Lord our God he spoke to us.</w:t>
      </w:r>
    </w:p>
    <w:p>
      <w:r>
        <w:rPr>
          <w:b/>
        </w:rPr>
        <w:t xml:space="preserve">17 </w:t>
      </w:r>
      <w:r>
        <w:t xml:space="preserve">And men from the elders of the land stood up and said to all the assembly of the people,</w:t>
      </w:r>
    </w:p>
    <w:p>
      <w:r>
        <w:rPr>
          <w:b/>
        </w:rPr>
        <w:t xml:space="preserve">18 </w:t>
      </w:r>
      <w:r>
        <w:t xml:space="preserve">Micah the Morasthite</w:t>
      </w:r>
      <w:r>
        <w:rPr>
          <w:rStyle w:val="FootnoteReference"/>
        </w:rPr>
        <w:footnoteReference w:id="12654"/>
      </w:r>
      <w:r>
        <w:t xml:space="preserve"> was in the days of Hezekiah king of Judah and said to all the people of Judah, Thus said the Lord: Zion will be plowed like a field, and Jerusalem will become trackless waste, and the mountain of the house will become a grove of the forest.</w:t>
      </w:r>
    </w:p>
    <w:p>
      <w:r>
        <w:rPr>
          <w:b/>
        </w:rPr>
        <w:t xml:space="preserve">19 </w:t>
      </w:r>
      <w:r>
        <w:t xml:space="preserve">Did Hezekiah and all Judah truly kill him? Was it not because they feared the Lord and sought the face of the Lord, and the Lord relented from the evils which he spoke against them? And we have done great evils against our souls.</w:t>
      </w:r>
    </w:p>
    <w:p>
      <w:r>
        <w:rPr>
          <w:b/>
        </w:rPr>
        <w:t xml:space="preserve">20 </w:t>
      </w:r>
      <w:r>
        <w:t xml:space="preserve">And there was a man prophesying in the name of the Lord, Uriah son of Shemaiah from Kiriath-jearim</w:t>
      </w:r>
      <w:r>
        <w:rPr>
          <w:rStyle w:val="FootnoteReference"/>
        </w:rPr>
        <w:footnoteReference w:id="12655"/>
      </w:r>
      <w:r>
        <w:t xml:space="preserve">, and he prophesied concerning this land according to all the words of Jeremiah.</w:t>
      </w:r>
      <w:r>
        <w:rPr>
          <w:rStyle w:val="FootnoteReference"/>
        </w:rPr>
        <w:footnoteReference w:id="12656"/>
      </w:r>
    </w:p>
    <w:p>
      <w:r>
        <w:rPr>
          <w:b/>
        </w:rPr>
        <w:t xml:space="preserve">21 </w:t>
      </w:r>
      <w:r>
        <w:t xml:space="preserve">And King Jehoiakim and all the rulers heard all his words, and they sought to kill him, and Uriah heard and entered Egypt.</w:t>
      </w:r>
    </w:p>
    <w:p>
      <w:r>
        <w:rPr>
          <w:b/>
        </w:rPr>
        <w:t xml:space="preserve">22 </w:t>
      </w:r>
      <w:r>
        <w:t xml:space="preserve">And the king sent men into Egypt,</w:t>
      </w:r>
    </w:p>
    <w:p>
      <w:r>
        <w:rPr>
          <w:b/>
        </w:rPr>
        <w:t xml:space="preserve">23 </w:t>
      </w:r>
      <w:r>
        <w:t xml:space="preserve">and they brought him out from there and led him to the king, and he struck him with the sword and threw him into the tomb of the sons of his people.</w:t>
      </w:r>
    </w:p>
    <w:p>
      <w:r>
        <w:rPr>
          <w:b/>
        </w:rPr>
        <w:t xml:space="preserve">24 </w:t>
      </w:r>
      <w:r>
        <w:t xml:space="preserve">But the hand of Ahikam son of Shaphan was with Jeremiah, so as not to hand him into the hands of the people, so they would not kill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2 </w:t>
      </w:r>
      <w:r>
        <w:t xml:space="preserve">Thus said the Lord: Make bonds and yokes</w:t>
      </w:r>
      <w:r>
        <w:rPr>
          <w:rStyle w:val="FootnoteReference"/>
        </w:rPr>
        <w:footnoteReference w:id="12657"/>
      </w:r>
      <w:r>
        <w:t xml:space="preserve"> and put them around your neck.</w:t>
      </w:r>
    </w:p>
    <w:p>
      <w:r>
        <w:rPr>
          <w:b/>
        </w:rPr>
        <w:t xml:space="preserve">3 </w:t>
      </w:r>
      <w:r>
        <w:t xml:space="preserve">And you will send them to the king of Edom and to the king of Moab and to the king of the sons of Ammon and to the king of Tyre and to the king of Sidon by the hand of their messengers who come to meet Zedekiah king of Judah in Jerusalem.</w:t>
      </w:r>
    </w:p>
    <w:p>
      <w:r>
        <w:rPr>
          <w:b/>
        </w:rPr>
        <w:t xml:space="preserve">4 </w:t>
      </w:r>
      <w:r>
        <w:t xml:space="preserve">And you will command them to say to their lords, Thus said the Lord God of Israel. Thus you will say to your lords:</w:t>
      </w:r>
    </w:p>
    <w:p>
      <w:r>
        <w:rPr>
          <w:b/>
        </w:rPr>
        <w:t xml:space="preserve">5 </w:t>
      </w:r>
      <w:r>
        <w:t xml:space="preserve">I made the earth in my great strength and in my high arm, and I will give it to whomever seems right in my eyes.</w:t>
      </w:r>
    </w:p>
    <w:p>
      <w:r>
        <w:rPr>
          <w:b/>
        </w:rPr>
        <w:t xml:space="preserve">6 </w:t>
      </w:r>
      <w:r>
        <w:t xml:space="preserve">I gave the land to Nebuchadnezzar king of Babylon, to serve him, and the beasts of the field to work for him.</w:t>
      </w:r>
    </w:p>
    <w:p>
      <w:r>
        <w:rPr>
          <w:b/>
        </w:rPr>
        <w:t xml:space="preserve">8 </w:t>
      </w:r>
      <w:r>
        <w:t xml:space="preserve">And the nation and the kingdom, as many as do not put their neck under the yoke of the king of Babylon</w:t>
      </w:r>
      <w:r>
        <w:rPr>
          <w:rStyle w:val="FootnoteReference"/>
        </w:rPr>
        <w:footnoteReference w:id="12658"/>
      </w:r>
      <w:r>
        <w:t xml:space="preserve">, with sword and famine I will visit them, said the Lord, until they fail by his hand.</w:t>
      </w:r>
    </w:p>
    <w:p>
      <w:r>
        <w:rPr>
          <w:b/>
        </w:rPr>
        <w:t xml:space="preserve">9 </w:t>
      </w:r>
      <w:r>
        <w:t xml:space="preserve">And do not listen to your false prophets and those divining to you and those dreaming to you and your omens and your sorceries, those saying, You will not serve</w:t>
      </w:r>
      <w:r>
        <w:rPr>
          <w:rStyle w:val="FootnoteReference"/>
        </w:rPr>
        <w:footnoteReference w:id="12659"/>
      </w:r>
      <w:r>
        <w:t xml:space="preserve"> the king of Babylon.</w:t>
      </w:r>
      <w:r>
        <w:rPr>
          <w:rStyle w:val="FootnoteReference"/>
        </w:rPr>
        <w:footnoteReference w:id="12660"/>
      </w:r>
    </w:p>
    <w:p>
      <w:r>
        <w:rPr>
          <w:b/>
        </w:rPr>
        <w:t xml:space="preserve">10 </w:t>
      </w:r>
      <w:r>
        <w:t xml:space="preserve">Because they prophesy lies to you, to remove you far from your land.</w:t>
      </w:r>
    </w:p>
    <w:p>
      <w:r>
        <w:rPr>
          <w:b/>
        </w:rPr>
        <w:t xml:space="preserve">11 </w:t>
      </w:r>
      <w:r>
        <w:t xml:space="preserve">And the nation that puts its neck under the yoke of the king of Babylon and serves him, I will leave upon its land, and it will work for him and dwell in it.</w:t>
      </w:r>
    </w:p>
    <w:p>
      <w:r>
        <w:rPr>
          <w:b/>
        </w:rPr>
        <w:t xml:space="preserve">12 </w:t>
      </w:r>
      <w:r>
        <w:t xml:space="preserve">And to Zedekiah king of Judah I spoke according to all these words, saying, Submit your neck,</w:t>
      </w:r>
    </w:p>
    <w:p>
      <w:r>
        <w:rPr>
          <w:b/>
        </w:rPr>
        <w:t xml:space="preserve">14 </w:t>
      </w:r>
      <w:r>
        <w:t xml:space="preserve">and serve the king of Babylon, because they prophesy unjust things to you.</w:t>
      </w:r>
    </w:p>
    <w:p>
      <w:r>
        <w:rPr>
          <w:b/>
        </w:rPr>
        <w:t xml:space="preserve">15 </w:t>
      </w:r>
      <w:r>
        <w:t xml:space="preserve">Because I did not send them, says the Lord, and they prophesy in my name unjustly, to destroy you, and you will perish, you and your prophets who prophesy lies to you unjustly.</w:t>
      </w:r>
    </w:p>
    <w:p>
      <w:r>
        <w:rPr>
          <w:b/>
        </w:rPr>
        <w:t xml:space="preserve">16 </w:t>
      </w:r>
      <w:r>
        <w:t xml:space="preserve">To you and to all this people and to the priests I spoke, saying, Thus said the Lord: Do not listen to the words of the prophets prophesying to you, saying, Behold, the vessels of the house of the Lord will return from Babylon, because they prophesy unjust things to you. I did not send them.</w:t>
      </w:r>
    </w:p>
    <w:p>
      <w:r>
        <w:rPr>
          <w:b/>
        </w:rPr>
        <w:t xml:space="preserve">18 </w:t>
      </w:r>
      <w:r>
        <w:t xml:space="preserve">If they are prophets and if the word of the Lord is in them, let them meet me</w:t>
      </w:r>
      <w:r>
        <w:rPr>
          <w:rStyle w:val="FootnoteReference"/>
        </w:rPr>
        <w:footnoteReference w:id="12661"/>
      </w:r>
      <w:r>
        <w:t xml:space="preserve">.</w:t>
      </w:r>
    </w:p>
    <w:p>
      <w:r>
        <w:rPr>
          <w:b/>
        </w:rPr>
        <w:t xml:space="preserve">19 </w:t>
      </w:r>
      <w:r>
        <w:t xml:space="preserve">Because thus said the Lord, even concerning the remaining vessels</w:t>
      </w:r>
      <w:r>
        <w:rPr>
          <w:rStyle w:val="FootnoteReference"/>
        </w:rPr>
        <w:footnoteReference w:id="12662"/>
      </w:r>
      <w:r>
        <w:t xml:space="preserve"/>
      </w:r>
    </w:p>
    <w:p>
      <w:r>
        <w:rPr>
          <w:b/>
        </w:rPr>
        <w:t xml:space="preserve">20 </w:t>
      </w:r>
      <w:r>
        <w:t xml:space="preserve">which the king of Babylon did not take when he carried away Jeconiah from Jerusalem,</w:t>
      </w:r>
    </w:p>
    <w:p>
      <w:r>
        <w:rPr>
          <w:b/>
        </w:rPr>
        <w:t xml:space="preserve">22 </w:t>
      </w:r>
      <w:r>
        <w:t xml:space="preserve">into Babylon they will enter,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t xml:space="preserve">And it happened in the fourth year of Zedekiah king of Judah, in the fifth month, Hananiah son of Azor, the false prophet from Gibeon, said to me in the house of the Lord before the eyes of the priests and all the people, saying,</w:t>
      </w:r>
    </w:p>
    <w:p>
      <w:r>
        <w:rPr>
          <w:b/>
        </w:rPr>
        <w:t xml:space="preserve">2 </w:t>
      </w:r>
      <w:r>
        <w:t xml:space="preserve">Thus said the Lord: I have broken the yoke of the king of Babylon.</w:t>
      </w:r>
    </w:p>
    <w:p>
      <w:r>
        <w:rPr>
          <w:b/>
        </w:rPr>
        <w:t xml:space="preserve">3 </w:t>
      </w:r>
      <w:r>
        <w:t xml:space="preserve">Still two full years</w:t>
      </w:r>
      <w:r>
        <w:rPr>
          <w:rStyle w:val="FootnoteReference"/>
        </w:rPr>
        <w:footnoteReference w:id="12663"/>
      </w:r>
      <w:r>
        <w:t xml:space="preserve">, and I will restore into this place the vessels of the house of the Lord,</w:t>
      </w:r>
    </w:p>
    <w:p>
      <w:r>
        <w:rPr>
          <w:b/>
        </w:rPr>
        <w:t xml:space="preserve">4 </w:t>
      </w:r>
      <w:r>
        <w:t xml:space="preserve">and Jeconiah and the exile of Judah, because I will break the yoke of the king of Babylon.</w:t>
      </w:r>
    </w:p>
    <w:p>
      <w:r>
        <w:rPr>
          <w:b/>
        </w:rPr>
        <w:t xml:space="preserve">5 </w:t>
      </w:r>
      <w:r>
        <w:t xml:space="preserve">And Jeremiah said to Hananiah before the eyes of all the people and before the eyes of the priests standing in the house of the Lord,</w:t>
      </w:r>
    </w:p>
    <w:p>
      <w:r>
        <w:rPr>
          <w:b/>
        </w:rPr>
        <w:t xml:space="preserve">6 </w:t>
      </w:r>
      <w:r>
        <w:t xml:space="preserve">and Jeremiah said, Truly, may the Lord do so. May the Lord establish your word which you prophesy, to return the vessels of the house of the Lord and all the exile from Babylon into this place.</w:t>
      </w:r>
    </w:p>
    <w:p>
      <w:r>
        <w:rPr>
          <w:b/>
        </w:rPr>
        <w:t xml:space="preserve">7 </w:t>
      </w:r>
      <w:r>
        <w:t xml:space="preserve">Only hear the word of the Lord which I speak into your ears and into the ears of all the people.</w:t>
      </w:r>
    </w:p>
    <w:p>
      <w:r>
        <w:rPr>
          <w:b/>
        </w:rPr>
        <w:t xml:space="preserve">8 </w:t>
      </w:r>
      <w:r>
        <w:t xml:space="preserve">The prophets who were before me and before you from ancient time prophesied against much land and against great kingdoms concerning war.</w:t>
      </w:r>
    </w:p>
    <w:p>
      <w:r>
        <w:rPr>
          <w:b/>
        </w:rPr>
        <w:t xml:space="preserve">9 </w:t>
      </w:r>
      <w:r>
        <w:t xml:space="preserve">The prophet prophesying for peace</w:t>
      </w:r>
      <w:r>
        <w:rPr>
          <w:rStyle w:val="FootnoteReference"/>
        </w:rPr>
        <w:footnoteReference w:id="12664"/>
      </w:r>
      <w:r>
        <w:t xml:space="preserve">, when his word comes, they will know the prophet whom the Lord sent in faithfulness.</w:t>
      </w:r>
    </w:p>
    <w:p>
      <w:r>
        <w:rPr>
          <w:b/>
        </w:rPr>
        <w:t xml:space="preserve">10 </w:t>
      </w:r>
      <w:r>
        <w:t xml:space="preserve">And Hananiah took before the eyes of all the people the yokes from Jeremiah's neck and broke them.</w:t>
      </w:r>
    </w:p>
    <w:p>
      <w:r>
        <w:rPr>
          <w:b/>
        </w:rPr>
        <w:t xml:space="preserve">11 </w:t>
      </w:r>
      <w:r>
        <w:t xml:space="preserve">And Hananiah said before the eyes of all the people, saying, Thus said the Lord: Thus I will break the yoke of the king of Babylon from the necks of all nations. And Jeremiah went on his way.</w:t>
      </w:r>
    </w:p>
    <w:p>
      <w:r>
        <w:rPr>
          <w:b/>
        </w:rPr>
        <w:t xml:space="preserve">12 </w:t>
      </w:r>
      <w:r>
        <w:t xml:space="preserve">And the word of the Lord came to Jeremiah after Hananiah broke the yokes from his neck, saying,</w:t>
      </w:r>
    </w:p>
    <w:p>
      <w:r>
        <w:rPr>
          <w:b/>
        </w:rPr>
        <w:t xml:space="preserve">13 </w:t>
      </w:r>
      <w:r>
        <w:t xml:space="preserve">Go and say to Hananiah, Thus said the Lord: You broke wooden yokes, and I will</w:t>
      </w:r>
      <w:r>
        <w:rPr>
          <w:rStyle w:val="FootnoteReference"/>
        </w:rPr>
        <w:footnoteReference w:id="12665"/>
      </w:r>
      <w:r>
        <w:t xml:space="preserve"> make iron yokes in their place.</w:t>
      </w:r>
      <w:r>
        <w:rPr>
          <w:rStyle w:val="FootnoteReference"/>
        </w:rPr>
        <w:footnoteReference w:id="12666"/>
      </w:r>
    </w:p>
    <w:p>
      <w:r>
        <w:rPr>
          <w:b/>
        </w:rPr>
        <w:t xml:space="preserve">14 </w:t>
      </w:r>
      <w:r>
        <w:t xml:space="preserve">Because thus said the Lord: I have set an iron yoke upon the neck of all nations, to serve the king of Babylon.</w:t>
      </w:r>
    </w:p>
    <w:p>
      <w:r>
        <w:rPr>
          <w:b/>
        </w:rPr>
        <w:t xml:space="preserve">15 </w:t>
      </w:r>
      <w:r>
        <w:t xml:space="preserve">And Jeremiah said to Hananiah, The Lord did not send you, and you made this people trust in an unjust thing</w:t>
      </w:r>
      <w:r>
        <w:rPr>
          <w:rStyle w:val="FootnoteReference"/>
        </w:rPr>
        <w:footnoteReference w:id="12667"/>
      </w:r>
      <w:r>
        <w:t xml:space="preserve">.</w:t>
      </w:r>
    </w:p>
    <w:p>
      <w:r>
        <w:rPr>
          <w:b/>
        </w:rPr>
        <w:t xml:space="preserve">16 </w:t>
      </w:r>
      <w:r>
        <w:t xml:space="preserve">Therefore thus said the Lord: Behold, I send you away from the face of the earth. In this year you will die.</w:t>
      </w:r>
    </w:p>
    <w:p>
      <w:r>
        <w:rPr>
          <w:b/>
        </w:rPr>
        <w:t xml:space="preserve">17 </w:t>
      </w:r>
      <w:r>
        <w:t xml:space="preserve">And he died in the seventh month.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t xml:space="preserve">And these are the words of the scroll which Jeremiah sent from Jerusalem to the elders of exile</w:t>
      </w:r>
      <w:r>
        <w:rPr>
          <w:rStyle w:val="FootnoteReference"/>
        </w:rPr>
        <w:footnoteReference w:id="12668"/>
      </w:r>
      <w:r>
        <w:t xml:space="preserve"> and to the priests and to the false prophets, a letter into Babylon to the exile and to all the people,</w:t>
      </w:r>
    </w:p>
    <w:p>
      <w:r>
        <w:rPr>
          <w:b/>
        </w:rPr>
        <w:t xml:space="preserve">2 </w:t>
      </w:r>
      <w:r>
        <w:t xml:space="preserve">after Jeconiah the king and the queen and the eunuchs and every freeman and prisoner and craftsman went out from Jerusalem,</w:t>
      </w:r>
    </w:p>
    <w:p>
      <w:r>
        <w:rPr>
          <w:b/>
        </w:rPr>
        <w:t xml:space="preserve">3 </w:t>
      </w:r>
      <w:r>
        <w:t xml:space="preserve">by the hand of Eleasah son of Shaphan and Gemariah</w:t>
      </w:r>
      <w:r>
        <w:rPr>
          <w:rStyle w:val="FootnoteReference"/>
        </w:rPr>
        <w:footnoteReference w:id="12669"/>
      </w:r>
      <w:r>
        <w:t xml:space="preserve"> son of Hilkiah, whom Zedekiah king of Judah sent to the king of Babylon in Babylon, saying,</w:t>
      </w:r>
    </w:p>
    <w:p>
      <w:r>
        <w:rPr>
          <w:b/>
        </w:rPr>
        <w:t xml:space="preserve">4 </w:t>
      </w:r>
      <w:r>
        <w:t xml:space="preserve">Thus said the Lord God of Israel concerning the exile which I exiled from Jerusalem:</w:t>
      </w:r>
    </w:p>
    <w:p>
      <w:r>
        <w:rPr>
          <w:b/>
        </w:rPr>
        <w:t xml:space="preserve">5 </w:t>
      </w:r>
      <w:r>
        <w:t xml:space="preserve">Build houses and dwell, and plant gardens and eat their fruits.</w:t>
      </w:r>
    </w:p>
    <w:p>
      <w:r>
        <w:rPr>
          <w:b/>
        </w:rPr>
        <w:t xml:space="preserve">6 </w:t>
      </w:r>
      <w:r>
        <w:t xml:space="preserve">And take wives and beget sons and daughters, and take wives for your sons and give your daughters to husbands, and multiply and do not become few.</w:t>
      </w:r>
    </w:p>
    <w:p>
      <w:r>
        <w:rPr>
          <w:b/>
        </w:rPr>
        <w:t xml:space="preserve">7 </w:t>
      </w:r>
      <w:r>
        <w:t xml:space="preserve">And seek the peace of the land</w:t>
      </w:r>
      <w:r>
        <w:rPr>
          <w:rStyle w:val="FootnoteReference"/>
        </w:rPr>
        <w:footnoteReference w:id="12670"/>
      </w:r>
      <w:r>
        <w:t xml:space="preserve"> into which I exiled you there, and pray concerning it to the Lord, because in its peace there will be peace for you.</w:t>
      </w:r>
    </w:p>
    <w:p>
      <w:r>
        <w:rPr>
          <w:b/>
        </w:rPr>
        <w:t xml:space="preserve">8 </w:t>
      </w:r>
      <w:r>
        <w:t xml:space="preserve">Because thus said the Lord: Do not let the false prophets among you persuade you, and do not let your diviners persuade you, and do not listen to your dreams which you yourselves dream,</w:t>
      </w:r>
    </w:p>
    <w:p>
      <w:r>
        <w:rPr>
          <w:b/>
        </w:rPr>
        <w:t xml:space="preserve">9 </w:t>
      </w:r>
      <w:r>
        <w:t xml:space="preserve">because they prophesy unjustly to you in my name, and I did not send them.</w:t>
      </w:r>
    </w:p>
    <w:p>
      <w:r>
        <w:rPr>
          <w:b/>
        </w:rPr>
        <w:t xml:space="preserve">10 </w:t>
      </w:r>
      <w:r>
        <w:t xml:space="preserve">Because thus said the Lord: When seventy years</w:t>
      </w:r>
      <w:r>
        <w:rPr>
          <w:rStyle w:val="FootnoteReference"/>
        </w:rPr>
        <w:footnoteReference w:id="12671"/>
      </w:r>
      <w:r>
        <w:t xml:space="preserve"> are about to be completed for Babylon, I will visit you and establish my words upon you, to restore your people into this place.</w:t>
      </w:r>
    </w:p>
    <w:p>
      <w:r>
        <w:rPr>
          <w:b/>
        </w:rPr>
        <w:t xml:space="preserve">11 </w:t>
      </w:r>
      <w:r>
        <w:t xml:space="preserve">And I plan for you a plan of peace</w:t>
      </w:r>
      <w:r>
        <w:rPr>
          <w:rStyle w:val="FootnoteReference"/>
        </w:rPr>
        <w:footnoteReference w:id="12672"/>
      </w:r>
      <w:r>
        <w:t xml:space="preserve"> and not evils, to give you these things.</w:t>
      </w:r>
    </w:p>
    <w:p>
      <w:r>
        <w:rPr>
          <w:b/>
        </w:rPr>
        <w:t xml:space="preserve">12 </w:t>
      </w:r>
      <w:r>
        <w:t xml:space="preserve">And pray to me, and I will hear you.</w:t>
      </w:r>
    </w:p>
    <w:p>
      <w:r>
        <w:rPr>
          <w:b/>
        </w:rPr>
        <w:t xml:space="preserve">13 </w:t>
      </w:r>
      <w:r>
        <w:t xml:space="preserve">And seek me, and you will find me, because you will seek me with all your heart.</w:t>
      </w:r>
    </w:p>
    <w:p>
      <w:r>
        <w:rPr>
          <w:b/>
        </w:rPr>
        <w:t xml:space="preserve">14 </w:t>
      </w:r>
      <w:r>
        <w:t xml:space="preserve">And I will appear to you.</w:t>
      </w:r>
    </w:p>
    <w:p>
      <w:r>
        <w:rPr>
          <w:b/>
        </w:rPr>
        <w:t xml:space="preserve">15 </w:t>
      </w:r>
      <w:r>
        <w:t xml:space="preserve">Because you said, The Lord appointed prophets for us in Babylon.</w:t>
      </w:r>
    </w:p>
    <w:p>
      <w:r>
        <w:rPr>
          <w:b/>
        </w:rPr>
        <w:t xml:space="preserve">21 </w:t>
      </w:r>
      <w:r>
        <w:t xml:space="preserve">Thus said the Lord concerning Ahab and concerning Zedekiah: Behold, I give them into the hands of the king of Babylon, and he will strike them before your eyes.</w:t>
      </w:r>
    </w:p>
    <w:p>
      <w:r>
        <w:rPr>
          <w:b/>
        </w:rPr>
        <w:t xml:space="preserve">22 </w:t>
      </w:r>
      <w:r>
        <w:t xml:space="preserve">And from them they will take a curse in all the exile of Judah in Babylon, saying, May the Lord make you like Zedekiah and like Ahab, whom the king of Babylon roasted in fire</w:t>
      </w:r>
      <w:r>
        <w:rPr>
          <w:rStyle w:val="FootnoteReference"/>
        </w:rPr>
        <w:footnoteReference w:id="12673"/>
      </w:r>
      <w:r>
        <w:t xml:space="preserve">,</w:t>
      </w:r>
    </w:p>
    <w:p>
      <w:r>
        <w:rPr>
          <w:b/>
        </w:rPr>
        <w:t xml:space="preserve">23 </w:t>
      </w:r>
      <w:r>
        <w:t xml:space="preserve">because they did lawlessness in Israel and committed adultery with the wives of their fellow citizens and spoke a word in my name which I did not command them, and I am witness, says the Lord.</w:t>
      </w:r>
    </w:p>
    <w:p>
      <w:r>
        <w:rPr>
          <w:b/>
        </w:rPr>
        <w:t xml:space="preserve">24 </w:t>
      </w:r>
      <w:r>
        <w:t xml:space="preserve">And to Shemaiah the Nehelamite</w:t>
      </w:r>
      <w:r>
        <w:rPr>
          <w:rStyle w:val="FootnoteReference"/>
        </w:rPr>
        <w:footnoteReference w:id="12674"/>
      </w:r>
      <w:r>
        <w:t xml:space="preserve"> you will say,</w:t>
      </w:r>
    </w:p>
    <w:p>
      <w:r>
        <w:rPr>
          <w:b/>
        </w:rPr>
        <w:t xml:space="preserve">25 </w:t>
      </w:r>
      <w:r>
        <w:t xml:space="preserve">I did not send you in my name. And to Zephaniah son of Maaseiah the priest he said,</w:t>
      </w:r>
    </w:p>
    <w:p>
      <w:r>
        <w:rPr>
          <w:b/>
        </w:rPr>
        <w:t xml:space="preserve">26 </w:t>
      </w:r>
      <w:r>
        <w:t xml:space="preserve">The Lord made you priest in place of Joiada the priest, to become overseer in the house of the Lord over every man prophesying and every madman, and you will put him into confinement and into stocks</w:t>
      </w:r>
      <w:r>
        <w:rPr>
          <w:rStyle w:val="FootnoteReference"/>
        </w:rPr>
        <w:footnoteReference w:id="12675"/>
      </w:r>
      <w:r>
        <w:t xml:space="preserve">.</w:t>
      </w:r>
    </w:p>
    <w:p>
      <w:r>
        <w:rPr>
          <w:b/>
        </w:rPr>
        <w:t xml:space="preserve">27 </w:t>
      </w:r>
      <w:r>
        <w:t xml:space="preserve">And now why did you revile Jeremiah from Anathoth, the one prophesying to you?</w:t>
      </w:r>
    </w:p>
    <w:p>
      <w:r>
        <w:rPr>
          <w:b/>
        </w:rPr>
        <w:t xml:space="preserve">28 </w:t>
      </w:r>
      <w:r>
        <w:t xml:space="preserve">Was it not because of this that he sent to you into Babylon, saying, It is long</w:t>
      </w:r>
      <w:r>
        <w:rPr>
          <w:rStyle w:val="FootnoteReference"/>
        </w:rPr>
        <w:footnoteReference w:id="12676"/>
      </w:r>
      <w:r>
        <w:t xml:space="preserve">. Build houses and dwell, and plant gardens and eat their fruit?</w:t>
      </w:r>
    </w:p>
    <w:p>
      <w:r>
        <w:rPr>
          <w:b/>
        </w:rPr>
        <w:t xml:space="preserve">29 </w:t>
      </w:r>
      <w:r>
        <w:t xml:space="preserve">And Zephaniah read the scroll into the ears of Jeremiah.</w:t>
      </w:r>
    </w:p>
    <w:p>
      <w:r>
        <w:rPr>
          <w:b/>
        </w:rPr>
        <w:t xml:space="preserve">30 </w:t>
      </w:r>
      <w:r>
        <w:t xml:space="preserve">And the word of the Lord came to Jeremiah, saying,</w:t>
      </w:r>
    </w:p>
    <w:p>
      <w:r>
        <w:rPr>
          <w:b/>
        </w:rPr>
        <w:t xml:space="preserve">31 </w:t>
      </w:r>
      <w:r>
        <w:t xml:space="preserve">Send to the exile, saying, Thus said the Lord concerning Shemaiah the Nehelamite: Because Shemaiah prophesied to you and I did not send him, and he made you trust in unjust things</w:t>
      </w:r>
      <w:r>
        <w:rPr>
          <w:rStyle w:val="FootnoteReference"/>
        </w:rPr>
        <w:footnoteReference w:id="12677"/>
      </w:r>
      <w:r>
        <w:t xml:space="preserve">,</w:t>
      </w:r>
    </w:p>
    <w:p>
      <w:r>
        <w:rPr>
          <w:b/>
        </w:rPr>
        <w:t xml:space="preserve">32 </w:t>
      </w:r>
      <w:r>
        <w:t xml:space="preserve">therefore thus said the Lord: Behold, I will visit Shemaiah and his seed, and there will not be a man from them in your midst to see the good things which I will do for you. They will not see.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37</w:t>
      </w:r>
    </w:p>
    <w:p>
      <w:r>
        <w:rPr>
          <w:b/>
        </w:rPr>
        <w:t xml:space="preserve">1 </w:t>
      </w:r>
      <w:r>
        <w:t xml:space="preserve">The word that came to Jeremiah from the Lord, saying,</w:t>
      </w:r>
    </w:p>
    <w:p>
      <w:r>
        <w:rPr>
          <w:b/>
        </w:rPr>
        <w:t xml:space="preserve">2 </w:t>
      </w:r>
      <w:r>
        <w:t xml:space="preserve">Thus said the Lord God of Israel, saying, Write in a scroll all the words which I declared to you,</w:t>
      </w:r>
    </w:p>
    <w:p>
      <w:r>
        <w:rPr>
          <w:b/>
        </w:rPr>
        <w:t xml:space="preserve">3 </w:t>
      </w:r>
      <w:r>
        <w:t xml:space="preserve">because behold, days are coming, says the Lord, and I will restore the exile of my people Israel and Judah, says the Lord, and I will restore them into the land which I gave to their fathers, and they will take possession of it.</w:t>
      </w:r>
    </w:p>
    <w:p>
      <w:r>
        <w:rPr>
          <w:b/>
        </w:rPr>
        <w:t xml:space="preserve">4 </w:t>
      </w:r>
      <w:r>
        <w:t xml:space="preserve">And these are the words which the Lord spoke concerning Israel and Judah.</w:t>
      </w:r>
    </w:p>
    <w:p>
      <w:r>
        <w:rPr>
          <w:b/>
        </w:rPr>
        <w:t xml:space="preserve">5 </w:t>
      </w:r>
      <w:r>
        <w:t xml:space="preserve">Thus said the Lord: A voice of fear you will hear: fear, and there is no peace.</w:t>
      </w:r>
    </w:p>
    <w:p>
      <w:r>
        <w:rPr>
          <w:b/>
        </w:rPr>
        <w:t xml:space="preserve">6 </w:t>
      </w:r>
      <w:r>
        <w:t xml:space="preserve">Ask and see whether a male gives birth</w:t>
      </w:r>
      <w:r>
        <w:rPr>
          <w:rStyle w:val="FootnoteReference"/>
        </w:rPr>
        <w:footnoteReference w:id="12678"/>
      </w:r>
      <w:r>
        <w:t xml:space="preserve">. Why, from fear, does every man hold his loins? Because I saw every man with his hands upon his loins; faces were turned to jaundice.</w:t>
      </w:r>
    </w:p>
    <w:p>
      <w:r>
        <w:rPr>
          <w:b/>
        </w:rPr>
        <w:t xml:space="preserve">7 </w:t>
      </w:r>
      <w:r>
        <w:t xml:space="preserve">For that day became great, and there is none like it, and it is a narrow time for Jacob</w:t>
      </w:r>
      <w:r>
        <w:rPr>
          <w:rStyle w:val="FootnoteReference"/>
        </w:rPr>
        <w:footnoteReference w:id="12679"/>
      </w:r>
      <w:r>
        <w:t xml:space="preserve">, and from this he will be saved.</w:t>
      </w:r>
    </w:p>
    <w:p>
      <w:r>
        <w:rPr>
          <w:b/>
        </w:rPr>
        <w:t xml:space="preserve">8 </w:t>
      </w:r>
      <w:r>
        <w:t xml:space="preserve">In that day, said the Lord, I will break the yoke from their neck and tear apart their bonds, and they will no longer serve foreigners.</w:t>
      </w:r>
    </w:p>
    <w:p>
      <w:r>
        <w:rPr>
          <w:b/>
        </w:rPr>
        <w:t xml:space="preserve">9 </w:t>
      </w:r>
      <w:r>
        <w:t xml:space="preserve">And they will serve the Lord their God, and I will raise up David their king for them</w:t>
      </w:r>
      <w:r>
        <w:rPr>
          <w:rStyle w:val="FootnoteReference"/>
        </w:rPr>
        <w:footnoteReference w:id="12680"/>
      </w:r>
      <w:r>
        <w:t xml:space="preserve">.</w:t>
      </w:r>
    </w:p>
    <w:p>
      <w:r>
        <w:rPr>
          <w:b/>
        </w:rPr>
        <w:t xml:space="preserve">12 </w:t>
      </w:r>
      <w:r>
        <w:t xml:space="preserve">Thus said the Lord: Your fracture rose up painfully; your wound is painful.</w:t>
      </w:r>
    </w:p>
    <w:p>
      <w:r>
        <w:rPr>
          <w:b/>
        </w:rPr>
        <w:t xml:space="preserve">13 </w:t>
      </w:r>
      <w:r>
        <w:t xml:space="preserve">There is none judging your case</w:t>
      </w:r>
      <w:r>
        <w:rPr>
          <w:rStyle w:val="FootnoteReference"/>
        </w:rPr>
        <w:footnoteReference w:id="12681"/>
      </w:r>
      <w:r>
        <w:t xml:space="preserve"> for the painful thing. You were treated, but there is no benefit for you.</w:t>
      </w:r>
    </w:p>
    <w:p>
      <w:r>
        <w:rPr>
          <w:b/>
        </w:rPr>
        <w:t xml:space="preserve">14 </w:t>
      </w:r>
      <w:r>
        <w:t xml:space="preserve">All your friends forgot you. They will never ask for you, because with the wound of an enemy I struck you, a stern discipline. Because of all your injustice, your sins were multiplied.</w:t>
      </w:r>
    </w:p>
    <w:p>
      <w:r>
        <w:rPr>
          <w:b/>
        </w:rPr>
        <w:t xml:space="preserve">16 </w:t>
      </w:r>
      <w:r>
        <w:t xml:space="preserve">Therefore all those eating you will be eaten, and all your enemies will eat their own flesh. Because your injustices multiplied, your sins multiplied, they did these things to you, and those carrying you off will become a carrying off, and all those plundering you I will give for plunder.</w:t>
      </w:r>
    </w:p>
    <w:p>
      <w:r>
        <w:rPr>
          <w:b/>
        </w:rPr>
        <w:t xml:space="preserve">17 </w:t>
      </w:r>
      <w:r>
        <w:t xml:space="preserve">Because I will bring up your healing. From a painful wound I will heal you, says the Lord, because they called you Scattered</w:t>
      </w:r>
      <w:r>
        <w:rPr>
          <w:rStyle w:val="FootnoteReference"/>
        </w:rPr>
        <w:footnoteReference w:id="12682"/>
      </w:r>
      <w:r>
        <w:t xml:space="preserve">: It is your prey, because there is no seeker for her.</w:t>
      </w:r>
    </w:p>
    <w:p>
      <w:r>
        <w:rPr>
          <w:b/>
        </w:rPr>
        <w:t xml:space="preserve">18 </w:t>
      </w:r>
      <w:r>
        <w:t xml:space="preserve">Thus said the Lord: Behold, I will restore the exile of Jacob, and his captivity I will pity, and the city will be built on its height, and the temple will sit according to its judgment</w:t>
      </w:r>
      <w:r>
        <w:rPr>
          <w:rStyle w:val="FootnoteReference"/>
        </w:rPr>
        <w:footnoteReference w:id="12683"/>
      </w:r>
      <w:r>
        <w:t xml:space="preserve">.</w:t>
      </w:r>
    </w:p>
    <w:p>
      <w:r>
        <w:rPr>
          <w:b/>
        </w:rPr>
        <w:t xml:space="preserve">19 </w:t>
      </w:r>
      <w:r>
        <w:t xml:space="preserve">And from them singers and a voice of those playing will come out, and I will multiply them and they will not be diminished.</w:t>
      </w:r>
    </w:p>
    <w:p>
      <w:r>
        <w:rPr>
          <w:b/>
        </w:rPr>
        <w:t xml:space="preserve">20 </w:t>
      </w:r>
      <w:r>
        <w:t xml:space="preserve">And their sons will enter as before, and their testimonies before my face will be set upright, and I will visit those afflicting them.</w:t>
      </w:r>
    </w:p>
    <w:p>
      <w:r>
        <w:rPr>
          <w:b/>
        </w:rPr>
        <w:t xml:space="preserve">21 </w:t>
      </w:r>
      <w:r>
        <w:t xml:space="preserve">And their mighty ones will be over them, and their ruler will come out from them</w:t>
      </w:r>
      <w:r>
        <w:rPr>
          <w:rStyle w:val="FootnoteReference"/>
        </w:rPr>
        <w:footnoteReference w:id="12684"/>
      </w:r>
      <w:r>
        <w:t xml:space="preserve">, and I will gather them and they will return to me. Because who is this who gave his heart to return to me? says the Lord.</w:t>
      </w:r>
    </w:p>
    <w:p>
      <w:r>
        <w:rPr>
          <w:b/>
        </w:rPr>
        <w:t xml:space="preserve">23 </w:t>
      </w:r>
      <w:r>
        <w:t xml:space="preserve">Because the wrath of the Lord went out furious. Turning wrath will come upon the ungodly.</w:t>
      </w:r>
    </w:p>
    <w:p>
      <w:r>
        <w:rPr>
          <w:b/>
        </w:rPr>
        <w:t xml:space="preserve">24 </w:t>
      </w:r>
      <w:r>
        <w:t xml:space="preserve">The wrath of the anger of the Lord will not turn back until he does and until he establishes the undertaking of his heart</w:t>
      </w:r>
      <w:r>
        <w:rPr>
          <w:rStyle w:val="FootnoteReference"/>
        </w:rPr>
        <w:footnoteReference w:id="12685"/>
      </w:r>
      <w:r>
        <w:t xml:space="preserve">. At the last of days you will know these things.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38</w:t>
      </w:r>
    </w:p>
    <w:p>
      <w:r>
        <w:rPr>
          <w:b/>
        </w:rPr>
        <w:t xml:space="preserve">1 </w:t>
      </w:r>
      <w:r>
        <w:t xml:space="preserve">In that time the Lord said, I will be God to the family of Israel, and they will be a people to me.</w:t>
      </w:r>
    </w:p>
    <w:p>
      <w:r>
        <w:rPr>
          <w:b/>
        </w:rPr>
        <w:t xml:space="preserve">2 </w:t>
      </w:r>
      <w:r>
        <w:t xml:space="preserve">Thus said the Lord: I found warmth in the wilderness</w:t>
      </w:r>
      <w:r>
        <w:rPr>
          <w:rStyle w:val="FootnoteReference"/>
        </w:rPr>
        <w:footnoteReference w:id="12686"/>
      </w:r>
      <w:r>
        <w:t xml:space="preserve"> with those destroyed by the sword. Go, and do not destroy Israel.</w:t>
      </w:r>
    </w:p>
    <w:p>
      <w:r>
        <w:rPr>
          <w:b/>
        </w:rPr>
        <w:t xml:space="preserve">3 </w:t>
      </w:r>
      <w:r>
        <w:t xml:space="preserve">The Lord appeared to him from far away: With eternal love I loved you, therefore I drew you into compassion.</w:t>
      </w:r>
    </w:p>
    <w:p>
      <w:r>
        <w:rPr>
          <w:b/>
        </w:rPr>
        <w:t xml:space="preserve">4 </w:t>
      </w:r>
      <w:r>
        <w:t xml:space="preserve">Still I will build you and you will be built, virgin Israel. Still you will take your tambourine and go out with the assembly of those playing.</w:t>
      </w:r>
    </w:p>
    <w:p>
      <w:r>
        <w:rPr>
          <w:b/>
        </w:rPr>
        <w:t xml:space="preserve">5 </w:t>
      </w:r>
      <w:r>
        <w:t xml:space="preserve">Still plant vineyards in the mountains of Samaria. Plant and praise.</w:t>
      </w:r>
    </w:p>
    <w:p>
      <w:r>
        <w:rPr>
          <w:b/>
        </w:rPr>
        <w:t xml:space="preserve">6 </w:t>
      </w:r>
      <w:r>
        <w:t xml:space="preserve">Because there is a day of calling of defenders in the mountains of Ephraim: Rise and go up to Zion, to the Lord our God.</w:t>
      </w:r>
    </w:p>
    <w:p>
      <w:r>
        <w:rPr>
          <w:b/>
        </w:rPr>
        <w:t xml:space="preserve">7 </w:t>
      </w:r>
      <w:r>
        <w:t xml:space="preserve">Because thus said the Lord to Jacob: Rejoice and neigh over the head of nations</w:t>
      </w:r>
      <w:r>
        <w:rPr>
          <w:rStyle w:val="FootnoteReference"/>
        </w:rPr>
        <w:footnoteReference w:id="12687"/>
      </w:r>
      <w:r>
        <w:t xml:space="preserve">. Make it heard and praise. Say, The Lord saved his people, the remnant of Israel.</w:t>
      </w:r>
    </w:p>
    <w:p>
      <w:r>
        <w:rPr>
          <w:b/>
        </w:rPr>
        <w:t xml:space="preserve">8 </w:t>
      </w:r>
      <w:r>
        <w:t xml:space="preserve">Behold, I bring them from the north and gather them from the ends of the earth at the feast of Passover</w:t>
      </w:r>
      <w:r>
        <w:rPr>
          <w:rStyle w:val="FootnoteReference"/>
        </w:rPr>
        <w:footnoteReference w:id="12688"/>
      </w:r>
      <w:r>
        <w:t xml:space="preserve">, and they will beget a great crowd and return here.</w:t>
      </w:r>
    </w:p>
    <w:p>
      <w:r>
        <w:rPr>
          <w:b/>
        </w:rPr>
        <w:t xml:space="preserve">9 </w:t>
      </w:r>
      <w:r>
        <w:t xml:space="preserve">With weeping they went out, and with comfort I will lead them, lodging them by channels of waters, in a straight way, and they will not wander in it, because I became a father to Israel, and Ephraim is my firstborn.</w:t>
      </w:r>
    </w:p>
    <w:p>
      <w:r>
        <w:rPr>
          <w:b/>
        </w:rPr>
        <w:t xml:space="preserve">10 </w:t>
      </w:r>
      <w:r>
        <w:t xml:space="preserve">Hear the word of the Lord, nations, and announce to islands far away. Say, The one who winnowed Israel will gather him</w:t>
      </w:r>
      <w:r>
        <w:rPr>
          <w:rStyle w:val="FootnoteReference"/>
        </w:rPr>
        <w:footnoteReference w:id="12689"/>
      </w:r>
      <w:r>
        <w:t xml:space="preserve"> and guard him like a shepherd his flock.</w:t>
      </w:r>
    </w:p>
    <w:p>
      <w:r>
        <w:rPr>
          <w:b/>
        </w:rPr>
        <w:t xml:space="preserve">11 </w:t>
      </w:r>
      <w:r>
        <w:t xml:space="preserve">Because the Lord ransomed Jacob, delivered him from the hand of those stronger than he.</w:t>
      </w:r>
    </w:p>
    <w:p>
      <w:r>
        <w:rPr>
          <w:b/>
        </w:rPr>
        <w:t xml:space="preserve">12 </w:t>
      </w:r>
      <w:r>
        <w:t xml:space="preserve">And they will come and rejoice on Mount Zion, and come upon the good things of the Lord, upon the land of grain and wine and fruits and cattle and sheep. And their soul will be like a fruitful tree, and they will hunger no longer.</w:t>
      </w:r>
    </w:p>
    <w:p>
      <w:r>
        <w:rPr>
          <w:b/>
        </w:rPr>
        <w:t xml:space="preserve">13 </w:t>
      </w:r>
      <w:r>
        <w:t xml:space="preserve">Then virgins will rejoice in the gathering of young men, and elders will rejoice, and I will turn their mourning into joy and make them glad.</w:t>
      </w:r>
    </w:p>
    <w:p>
      <w:r>
        <w:rPr>
          <w:b/>
        </w:rPr>
        <w:t xml:space="preserve">14 </w:t>
      </w:r>
      <w:r>
        <w:t xml:space="preserve">I will magnify and make drunk the soul of the priests</w:t>
      </w:r>
      <w:r>
        <w:rPr>
          <w:rStyle w:val="FootnoteReference"/>
        </w:rPr>
        <w:footnoteReference w:id="12690"/>
      </w:r>
      <w:r>
        <w:t xml:space="preserve">, sons of Levi, and my people will be filled with my good things.</w:t>
      </w:r>
    </w:p>
    <w:p>
      <w:r>
        <w:rPr>
          <w:b/>
        </w:rPr>
        <w:t xml:space="preserve">15 </w:t>
      </w:r>
      <w:r>
        <w:t xml:space="preserve">Thus said the Lord: A voice was heard in Ramah, lament and weeping and mourning, Rachel weeping for her sons. She was not willing to stop, because they are not.</w:t>
      </w:r>
      <w:r>
        <w:rPr>
          <w:rStyle w:val="FootnoteReference"/>
        </w:rPr>
        <w:footnoteReference w:id="12691"/>
      </w:r>
    </w:p>
    <w:p>
      <w:r>
        <w:rPr>
          <w:b/>
        </w:rPr>
        <w:t xml:space="preserve">16 </w:t>
      </w:r>
      <w:r>
        <w:t xml:space="preserve">Thus said the Lord: Let your voice cease from weeping and your eyes from your tears, because there is a wage for your works, and they will return from the land of enemies.</w:t>
      </w:r>
    </w:p>
    <w:p>
      <w:r>
        <w:rPr>
          <w:b/>
        </w:rPr>
        <w:t xml:space="preserve">17 </w:t>
      </w:r>
      <w:r>
        <w:t xml:space="preserve">There is permanence for your children</w:t>
      </w:r>
      <w:r>
        <w:rPr>
          <w:rStyle w:val="FootnoteReference"/>
        </w:rPr>
        <w:footnoteReference w:id="12692"/>
      </w:r>
      <w:r>
        <w:t xml:space="preserve">.</w:t>
      </w:r>
    </w:p>
    <w:p>
      <w:r>
        <w:rPr>
          <w:b/>
        </w:rPr>
        <w:t xml:space="preserve">18 </w:t>
      </w:r>
      <w:r>
        <w:t xml:space="preserve">Hearing, I heard Ephraim lamenting: You disciplined me and I was disciplined, like a calf not taught</w:t>
      </w:r>
      <w:r>
        <w:rPr>
          <w:rStyle w:val="FootnoteReference"/>
        </w:rPr>
        <w:footnoteReference w:id="12693"/>
      </w:r>
      <w:r>
        <w:t xml:space="preserve">. Turn me back and I will return, because you are the Lord my God.</w:t>
      </w:r>
    </w:p>
    <w:p>
      <w:r>
        <w:rPr>
          <w:b/>
        </w:rPr>
        <w:t xml:space="preserve">19 </w:t>
      </w:r>
      <w:r>
        <w:t xml:space="preserve">Because after my captivity I repented, and after I came to know, I groaned in the day of shame and showed you that I received reproach from my youth.</w:t>
      </w:r>
    </w:p>
    <w:p>
      <w:r>
        <w:rPr>
          <w:b/>
        </w:rPr>
        <w:t xml:space="preserve">20 </w:t>
      </w:r>
      <w:r>
        <w:t xml:space="preserve">Ephraim is a beloved son to me, a cherished child, because in return for my words in him I will surely remember him. Therefore I hastened over him; with mercy I will have mercy on him</w:t>
      </w:r>
      <w:r>
        <w:rPr>
          <w:rStyle w:val="FootnoteReference"/>
        </w:rPr>
        <w:footnoteReference w:id="12694"/>
      </w:r>
      <w:r>
        <w:t xml:space="preserve">, says the Lord.</w:t>
      </w:r>
    </w:p>
    <w:p>
      <w:r>
        <w:rPr>
          <w:b/>
        </w:rPr>
        <w:t xml:space="preserve">21 </w:t>
      </w:r>
      <w:r>
        <w:t xml:space="preserve">Set up for yourself, Zion. Make correction. Give your heart to the shoulders, to the road</w:t>
      </w:r>
      <w:r>
        <w:rPr>
          <w:rStyle w:val="FootnoteReference"/>
        </w:rPr>
        <w:footnoteReference w:id="12695"/>
      </w:r>
      <w:r>
        <w:t xml:space="preserve"> on which you went. Turn back, virgin Israel. Turn back to your cities, mourning.</w:t>
      </w:r>
    </w:p>
    <w:p>
      <w:r>
        <w:rPr>
          <w:b/>
        </w:rPr>
        <w:t xml:space="preserve">22 </w:t>
      </w:r>
      <w:r>
        <w:t xml:space="preserve">How long will you turn back, dishonored daughter? Because the Lord created salvation for a new planting</w:t>
      </w:r>
      <w:r>
        <w:rPr>
          <w:rStyle w:val="FootnoteReference"/>
        </w:rPr>
        <w:footnoteReference w:id="12696"/>
      </w:r>
      <w:r>
        <w:t xml:space="preserve">. Men will go about in salvation.</w:t>
      </w:r>
    </w:p>
    <w:p>
      <w:r>
        <w:rPr>
          <w:b/>
        </w:rPr>
        <w:t xml:space="preserve">23 </w:t>
      </w:r>
      <w:r>
        <w:t xml:space="preserve">Thus said the Lord: Still they will speak this word in the land of Judah and in its cities when I restore its captivity: Blessed is the Lord upon the righteous mountain, his holy one.</w:t>
      </w:r>
    </w:p>
    <w:p>
      <w:r>
        <w:rPr>
          <w:b/>
        </w:rPr>
        <w:t xml:space="preserve">24 </w:t>
      </w:r>
      <w:r>
        <w:t xml:space="preserve">And dwellers in the cities of Judah and in all its land together with the farmer, and one will be lifted in a flock.</w:t>
      </w:r>
    </w:p>
    <w:p>
      <w:r>
        <w:rPr>
          <w:b/>
        </w:rPr>
        <w:t xml:space="preserve">25 </w:t>
      </w:r>
      <w:r>
        <w:t xml:space="preserve">Because I made every thirsty soul drunk</w:t>
      </w:r>
      <w:r>
        <w:rPr>
          <w:rStyle w:val="FootnoteReference"/>
        </w:rPr>
        <w:footnoteReference w:id="12697"/>
      </w:r>
      <w:r>
        <w:t xml:space="preserve"> and filled every hungry soul.</w:t>
      </w:r>
    </w:p>
    <w:p>
      <w:r>
        <w:rPr>
          <w:b/>
        </w:rPr>
        <w:t xml:space="preserve">26 </w:t>
      </w:r>
      <w:r>
        <w:t xml:space="preserve">Therefore I woke up and saw, and my sleep became sweet to me.</w:t>
      </w:r>
    </w:p>
    <w:p>
      <w:r>
        <w:rPr>
          <w:b/>
        </w:rPr>
        <w:t xml:space="preserve">27 </w:t>
      </w:r>
      <w:r>
        <w:t xml:space="preserve">Therefore behold, days are coming, says the Lord, and I will sow Israel and Judah with seed of man and seed of cattle.</w:t>
      </w:r>
    </w:p>
    <w:p>
      <w:r>
        <w:rPr>
          <w:b/>
        </w:rPr>
        <w:t xml:space="preserve">28 </w:t>
      </w:r>
      <w:r>
        <w:t xml:space="preserve">And it will be, just as I watched over them to tear down and to do evil, so I will watch over them to build and to plant, says the Lord.</w:t>
      </w:r>
    </w:p>
    <w:p>
      <w:r>
        <w:rPr>
          <w:b/>
        </w:rPr>
        <w:t xml:space="preserve">29 </w:t>
      </w:r>
      <w:r>
        <w:t xml:space="preserve">In those days they will no longer say, The fathers ate a sour grape</w:t>
      </w:r>
      <w:r>
        <w:rPr>
          <w:rStyle w:val="FootnoteReference"/>
        </w:rPr>
        <w:footnoteReference w:id="12698"/>
      </w:r>
      <w:r>
        <w:t xml:space="preserve">, and the teeth of the children were set on edge.</w:t>
      </w:r>
    </w:p>
    <w:p>
      <w:r>
        <w:rPr>
          <w:b/>
        </w:rPr>
        <w:t xml:space="preserve">30 </w:t>
      </w:r>
      <w:r>
        <w:t xml:space="preserve">But each will die in his own sin, and the teeth of the one eating the sour grape</w:t>
      </w:r>
      <w:r>
        <w:rPr>
          <w:rStyle w:val="FootnoteReference"/>
        </w:rPr>
        <w:footnoteReference w:id="12699"/>
      </w:r>
      <w:r>
        <w:t xml:space="preserve"> will be set on edge.</w:t>
      </w:r>
    </w:p>
    <w:p>
      <w:r>
        <w:rPr>
          <w:b/>
        </w:rPr>
        <w:t xml:space="preserve">31 </w:t>
      </w:r>
      <w:r>
        <w:t xml:space="preserve">Behold, days are coming, says the Lord, and I will make with the house of Israel and the house of Judah a new covenant</w:t>
      </w:r>
      <w:r>
        <w:rPr>
          <w:rStyle w:val="FootnoteReference"/>
        </w:rPr>
        <w:footnoteReference w:id="12700"/>
      </w:r>
      <w:r>
        <w:t xml:space="preserve">,</w:t>
      </w:r>
      <w:r>
        <w:rPr>
          <w:rStyle w:val="FootnoteReference"/>
        </w:rPr>
        <w:footnoteReference w:id="12701"/>
      </w:r>
    </w:p>
    <w:p>
      <w:r>
        <w:rPr>
          <w:b/>
        </w:rPr>
        <w:t xml:space="preserve">32 </w:t>
      </w:r>
      <w:r>
        <w:t xml:space="preserve">not according to the covenant which I made with their fathers on the day when I took their hand to bring them out from the land of Egypt, because they did not remain in my covenant and I neglected them</w:t>
      </w:r>
      <w:r>
        <w:rPr>
          <w:rStyle w:val="FootnoteReference"/>
        </w:rPr>
        <w:footnoteReference w:id="12702"/>
      </w:r>
      <w:r>
        <w:t xml:space="preserve">, says the Lord.</w:t>
      </w:r>
    </w:p>
    <w:p>
      <w:r>
        <w:rPr>
          <w:b/>
        </w:rPr>
        <w:t xml:space="preserve">33 </w:t>
      </w:r>
      <w:r>
        <w:t xml:space="preserve">Because this is the covenant which I will make with the house of Israel after those days, says the Lord: Giving, I will give my laws into their mind</w:t>
      </w:r>
      <w:r>
        <w:rPr>
          <w:rStyle w:val="FootnoteReference"/>
        </w:rPr>
        <w:footnoteReference w:id="12703"/>
      </w:r>
      <w:r>
        <w:t xml:space="preserve">, and upon their hearts I will write them, and I will be God to them, and they will be a people to me.</w:t>
      </w:r>
    </w:p>
    <w:p>
      <w:r>
        <w:rPr>
          <w:b/>
        </w:rPr>
        <w:t xml:space="preserve">34 </w:t>
      </w:r>
      <w:r>
        <w:t xml:space="preserve">And they will certainly not teach each his fellow citizen and each his brother, saying, Know the Lord, because all will know me from their little one to their great one, because I will be merciful to their injustices and I will no longer remember their sins</w:t>
      </w:r>
      <w:r>
        <w:rPr>
          <w:rStyle w:val="FootnoteReference"/>
        </w:rPr>
        <w:footnoteReference w:id="12704"/>
      </w:r>
      <w:r>
        <w:t xml:space="preserve">.</w:t>
      </w:r>
    </w:p>
    <w:p>
      <w:r>
        <w:rPr>
          <w:b/>
        </w:rPr>
        <w:t xml:space="preserve">35 </w:t>
      </w:r>
      <w:r>
        <w:t xml:space="preserve">If heaven is lifted up high, says the Lord, and if the foundation of the earth is humbled below, I also will not reject the seed of Israel, says the Lord, concerning all they did.</w:t>
      </w:r>
    </w:p>
    <w:p>
      <w:r>
        <w:rPr>
          <w:b/>
        </w:rPr>
        <w:t xml:space="preserve">36 </w:t>
      </w:r>
      <w:r>
        <w:t xml:space="preserve">Thus said the Lord, who gave the sun for the light of day, the moon and stars for the light of night, and a roar in the sea, and its waves roared, the Lord Almighty is his name.</w:t>
      </w:r>
    </w:p>
    <w:p>
      <w:r>
        <w:rPr>
          <w:b/>
        </w:rPr>
        <w:t xml:space="preserve">37 </w:t>
      </w:r>
      <w:r>
        <w:t xml:space="preserve">If these laws cease</w:t>
      </w:r>
      <w:r>
        <w:rPr>
          <w:rStyle w:val="FootnoteReference"/>
        </w:rPr>
        <w:footnoteReference w:id="12705"/>
      </w:r>
      <w:r>
        <w:t xml:space="preserve"> from before my face, says the Lord, then the seed of Israel will cease from being a nation before my face all the days.</w:t>
      </w:r>
    </w:p>
    <w:p>
      <w:r>
        <w:rPr>
          <w:b/>
        </w:rPr>
        <w:t xml:space="preserve">38 </w:t>
      </w:r>
      <w:r>
        <w:t xml:space="preserve">Behold, days are coming, says the Lord, and the city will be built to the Lord from the tower of Hanameel to the corner gate.</w:t>
      </w:r>
    </w:p>
    <w:p>
      <w:r>
        <w:rPr>
          <w:b/>
        </w:rPr>
        <w:t xml:space="preserve">39 </w:t>
      </w:r>
      <w:r>
        <w:t xml:space="preserve">And its measuring-line will go out opposite them as far as the hills of Gareb and will be encircled round about with chosen stones.</w:t>
      </w:r>
    </w:p>
    <w:p>
      <w:r>
        <w:rPr>
          <w:b/>
        </w:rPr>
        <w:t xml:space="preserve">40 </w:t>
      </w:r>
      <w:r>
        <w:t xml:space="preserve">And all Asaeremoth as far as the valley of Kidron, as far as the corner of the horse gate toward the east, will be a holy thing to the Lord, and it will never fail or be torn down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39</w:t>
      </w:r>
    </w:p>
    <w:p>
      <w:r>
        <w:rPr>
          <w:b/>
        </w:rPr>
        <w:t xml:space="preserve">1 </w:t>
      </w:r>
      <w:r>
        <w:t xml:space="preserve">The word that came from the Lord to Jeremiah in the tenth</w:t>
      </w:r>
      <w:r>
        <w:rPr>
          <w:rStyle w:val="FootnoteReference"/>
        </w:rPr>
        <w:footnoteReference w:id="12706"/>
      </w:r>
      <w:r>
        <w:t xml:space="preserve"> year of the reign of Zedekiah; this was the eighteenth year of the reign of Nebuchadnezzar king of Babylon.</w:t>
      </w:r>
    </w:p>
    <w:p>
      <w:r>
        <w:rPr>
          <w:b/>
        </w:rPr>
        <w:t xml:space="preserve">2 </w:t>
      </w:r>
      <w:r>
        <w:t xml:space="preserve">And the force of the king of Babylon fenced against Jerusalem, and Jeremiah was guarded in the court of the prison, which is in the house of the king.</w:t>
      </w:r>
    </w:p>
    <w:p>
      <w:r>
        <w:rPr>
          <w:b/>
        </w:rPr>
        <w:t xml:space="preserve">3 </w:t>
      </w:r>
      <w:r>
        <w:t xml:space="preserve">In which King Zedekiah shut him up, saying, Why do you prophesy, saying, Thus said the Lord: Behold, I give this city into the hands of the king of Babylon, and he will take it.</w:t>
      </w:r>
    </w:p>
    <w:p>
      <w:r>
        <w:rPr>
          <w:b/>
        </w:rPr>
        <w:t xml:space="preserve">4 </w:t>
      </w:r>
      <w:r>
        <w:t xml:space="preserve">And Zedekiah will certainly not be saved from the hand of the Chaldeans, because in handing over he will be handed into the hands of the king of Babylon, and his mouth will speak to his mouth, and his eyes will see his eyes.</w:t>
      </w:r>
    </w:p>
    <w:p>
      <w:r>
        <w:rPr>
          <w:b/>
        </w:rPr>
        <w:t xml:space="preserve">5 </w:t>
      </w:r>
      <w:r>
        <w:t xml:space="preserve">And Zedekiah will enter Babylon, and there he will sit.</w:t>
      </w:r>
    </w:p>
    <w:p>
      <w:r>
        <w:rPr>
          <w:b/>
        </w:rPr>
        <w:t xml:space="preserve">6 </w:t>
      </w:r>
      <w:r>
        <w:t xml:space="preserve">And the word of the Lord came to Jeremiah, saying,</w:t>
      </w:r>
    </w:p>
    <w:p>
      <w:r>
        <w:rPr>
          <w:b/>
        </w:rPr>
        <w:t xml:space="preserve">7 </w:t>
      </w:r>
      <w:r>
        <w:t xml:space="preserve">Behold, Hanameel son of Shallum, your father's brother, comes to you, saying, Buy for yourself my field in Anathoth, because the right belongs to you to receive it for possession.</w:t>
      </w:r>
    </w:p>
    <w:p>
      <w:r>
        <w:rPr>
          <w:b/>
        </w:rPr>
        <w:t xml:space="preserve">8 </w:t>
      </w:r>
      <w:r>
        <w:t xml:space="preserve">And Hanameel son of Shallum, my father's brother, came to me into the court of the prison and said to me, Buy my field in the land of Benjamin, in Anathoth, because the right belongs to you to buy, and you are elder. And I knew that it is the word of the Lord.</w:t>
      </w:r>
    </w:p>
    <w:p>
      <w:r>
        <w:rPr>
          <w:b/>
        </w:rPr>
        <w:t xml:space="preserve">9 </w:t>
      </w:r>
      <w:r>
        <w:t xml:space="preserve">And I bought the field of Hanameel, son of my father's brother, and weighed out to him seventeen shekels of silver.</w:t>
      </w:r>
    </w:p>
    <w:p>
      <w:r>
        <w:rPr>
          <w:b/>
        </w:rPr>
        <w:t xml:space="preserve">10 </w:t>
      </w:r>
      <w:r>
        <w:t xml:space="preserve">And I wrote in a scroll and sealed it and called witnesses and weighed the silver in a balance.</w:t>
      </w:r>
    </w:p>
    <w:p>
      <w:r>
        <w:rPr>
          <w:b/>
        </w:rPr>
        <w:t xml:space="preserve">11 </w:t>
      </w:r>
      <w:r>
        <w:t xml:space="preserve">And I took the scroll of purchase, sealed and read.</w:t>
      </w:r>
    </w:p>
    <w:p>
      <w:r>
        <w:rPr>
          <w:b/>
        </w:rPr>
        <w:t xml:space="preserve">12 </w:t>
      </w:r>
      <w:r>
        <w:t xml:space="preserve">And I gave it to Baruch</w:t>
      </w:r>
      <w:r>
        <w:rPr>
          <w:rStyle w:val="FootnoteReference"/>
        </w:rPr>
        <w:footnoteReference w:id="12707"/>
      </w:r>
      <w:r>
        <w:t xml:space="preserve"> son of Neriah son of Maaseiah before the eyes of Hanameel son of my father's brother and before the eyes of those standing and writing in the scroll of purchase and before the eyes of the Judeans in the court of the prison.</w:t>
      </w:r>
    </w:p>
    <w:p>
      <w:r>
        <w:rPr>
          <w:b/>
        </w:rPr>
        <w:t xml:space="preserve">13 </w:t>
      </w:r>
      <w:r>
        <w:t xml:space="preserve">And I commanded Baruch before their eyes, saying,</w:t>
      </w:r>
    </w:p>
    <w:p>
      <w:r>
        <w:rPr>
          <w:b/>
        </w:rPr>
        <w:t xml:space="preserve">14 </w:t>
      </w:r>
      <w:r>
        <w:t xml:space="preserve">Thus said the Lord Almighty: Take this scroll of purchase and the scroll that was read and put it into an earthen vessel, so that it may remain many days.</w:t>
      </w:r>
    </w:p>
    <w:p>
      <w:r>
        <w:rPr>
          <w:b/>
        </w:rPr>
        <w:t xml:space="preserve">15 </w:t>
      </w:r>
      <w:r>
        <w:t xml:space="preserve">Because thus said the Lord: Still fields and houses and vineyards will be bought in this land.</w:t>
      </w:r>
    </w:p>
    <w:p>
      <w:r>
        <w:rPr>
          <w:b/>
        </w:rPr>
        <w:t xml:space="preserve">16 </w:t>
      </w:r>
      <w:r>
        <w:t xml:space="preserve">And I prayed to the Lord after my giving the scroll of purchase to Baruch son of Neriah, saying,</w:t>
      </w:r>
    </w:p>
    <w:p>
      <w:r>
        <w:rPr>
          <w:b/>
        </w:rPr>
        <w:t xml:space="preserve">17 </w:t>
      </w:r>
      <w:r>
        <w:t xml:space="preserve">Ah Lord, you made heaven and earth with your great strength and your high and lifted arm, and nothing will be hidden from you,</w:t>
      </w:r>
    </w:p>
    <w:p>
      <w:r>
        <w:rPr>
          <w:b/>
        </w:rPr>
        <w:t xml:space="preserve">18 </w:t>
      </w:r>
      <w:r>
        <w:t xml:space="preserve">doing mercy to thousands and repaying the sins of fathers into the bosom of their children after them, the great and mighty God,</w:t>
      </w:r>
    </w:p>
    <w:p>
      <w:r>
        <w:rPr>
          <w:b/>
        </w:rPr>
        <w:t xml:space="preserve">19 </w:t>
      </w:r>
      <w:r>
        <w:t xml:space="preserve">the Lord of great counsel and mighty in works, the great God, the Almighty and great in name, the Lord. Your eyes are upon the ways of the sons of men, to give to each according to his way,</w:t>
      </w:r>
    </w:p>
    <w:p>
      <w:r>
        <w:rPr>
          <w:b/>
        </w:rPr>
        <w:t xml:space="preserve">20 </w:t>
      </w:r>
      <w:r>
        <w:t xml:space="preserve">who made signs and wonders in the land of Egypt until this day, and in Israel and among earth-born people, and made a name for yourself as this day.</w:t>
      </w:r>
    </w:p>
    <w:p>
      <w:r>
        <w:rPr>
          <w:b/>
        </w:rPr>
        <w:t xml:space="preserve">21 </w:t>
      </w:r>
      <w:r>
        <w:t xml:space="preserve">And you brought your people Israel out from the land of Egypt with signs and with wonders and with a strong hand and with a high arm and with great visions.</w:t>
      </w:r>
    </w:p>
    <w:p>
      <w:r>
        <w:rPr>
          <w:b/>
        </w:rPr>
        <w:t xml:space="preserve">22 </w:t>
      </w:r>
      <w:r>
        <w:t xml:space="preserve">And you gave them this land which you swore to their fathers, a land flowing with milk and honey.</w:t>
      </w:r>
    </w:p>
    <w:p>
      <w:r>
        <w:rPr>
          <w:b/>
        </w:rPr>
        <w:t xml:space="preserve">23 </w:t>
      </w:r>
      <w:r>
        <w:t xml:space="preserve">And they entered and took it, and they did not hear your voice, and in your ordinances they did not walk. All that you commanded them they did not do, and you made all these evils happen to them.</w:t>
      </w:r>
    </w:p>
    <w:p>
      <w:r>
        <w:rPr>
          <w:b/>
        </w:rPr>
        <w:t xml:space="preserve">24 </w:t>
      </w:r>
      <w:r>
        <w:t xml:space="preserve">Behold, a crowd comes to this city to seize it, and the city was given into the hands of the Chaldeans fighting against it, from the face of the sword and famine. As you spoke, so it happened.</w:t>
      </w:r>
    </w:p>
    <w:p>
      <w:r>
        <w:rPr>
          <w:b/>
        </w:rPr>
        <w:t xml:space="preserve">25 </w:t>
      </w:r>
      <w:r>
        <w:t xml:space="preserve">And you say to me, Buy a field for yourself with silver, and I wrote a scroll and sealed it and brought witnesses, and the city was given into the hands of the Chaldeans.</w:t>
      </w:r>
    </w:p>
    <w:p>
      <w:r>
        <w:rPr>
          <w:b/>
        </w:rPr>
        <w:t xml:space="preserve">26 </w:t>
      </w:r>
      <w:r>
        <w:t xml:space="preserve">And the word of the Lord came to me, saying,</w:t>
      </w:r>
    </w:p>
    <w:p>
      <w:r>
        <w:rPr>
          <w:b/>
        </w:rPr>
        <w:t xml:space="preserve">27 </w:t>
      </w:r>
      <w:r>
        <w:t xml:space="preserve">I am the Lord, God of all flesh. Will anything be hidden from me?</w:t>
      </w:r>
    </w:p>
    <w:p>
      <w:r>
        <w:rPr>
          <w:b/>
        </w:rPr>
        <w:t xml:space="preserve">28 </w:t>
      </w:r>
      <w:r>
        <w:t xml:space="preserve">Therefore thus said the Lord God of Israel: This city in being given over will be handed into the hands of the king of Babylon, and he will take it.</w:t>
      </w:r>
    </w:p>
    <w:p>
      <w:r>
        <w:rPr>
          <w:b/>
        </w:rPr>
        <w:t xml:space="preserve">29 </w:t>
      </w:r>
      <w:r>
        <w:t xml:space="preserve">And the Chaldeans fighting against this city will come and burn this city with fire and burn the houses in which they burned incense on their roofs to Baal and poured libations to other gods to provoke me.</w:t>
      </w:r>
    </w:p>
    <w:p>
      <w:r>
        <w:rPr>
          <w:b/>
        </w:rPr>
        <w:t xml:space="preserve">30 </w:t>
      </w:r>
      <w:r>
        <w:t xml:space="preserve">Because the sons of Israel and the sons of Judah alone were doing evil before my eyes from their youth.</w:t>
      </w:r>
    </w:p>
    <w:p>
      <w:r>
        <w:rPr>
          <w:b/>
        </w:rPr>
        <w:t xml:space="preserve">31 </w:t>
      </w:r>
      <w:r>
        <w:t xml:space="preserve">Because this city has been for my anger and for my wrath from the day they built it even until this day, to remove it from before my face,</w:t>
      </w:r>
    </w:p>
    <w:p>
      <w:r>
        <w:rPr>
          <w:b/>
        </w:rPr>
        <w:t xml:space="preserve">32 </w:t>
      </w:r>
      <w:r>
        <w:t xml:space="preserve">because of all the evils of the sons of Israel and Judah which they did to provoke me, they and their kings and their rulers and their priests and their prophets, men of Judah and dwellers of Jerusalem.</w:t>
      </w:r>
    </w:p>
    <w:p>
      <w:r>
        <w:rPr>
          <w:b/>
        </w:rPr>
        <w:t xml:space="preserve">33 </w:t>
      </w:r>
      <w:r>
        <w:t xml:space="preserve">And they turned to me back and not face, and I taught them rising early and teaching, and they did not listen so as to receive discipline.</w:t>
      </w:r>
    </w:p>
    <w:p>
      <w:r>
        <w:rPr>
          <w:b/>
        </w:rPr>
        <w:t xml:space="preserve">34 </w:t>
      </w:r>
      <w:r>
        <w:t xml:space="preserve">And they set their defilements in the house on which my name was called, by their uncleannesses.</w:t>
      </w:r>
    </w:p>
    <w:p>
      <w:r>
        <w:rPr>
          <w:b/>
        </w:rPr>
        <w:t xml:space="preserve">35 </w:t>
      </w:r>
      <w:r>
        <w:t xml:space="preserve">And they built altars to Baal in the valley of the son of Hinnom, to offer up their sons and daughters to King Moloch, which I did not command them and it did not rise on my heart, to do this abomination, to make Judah sin.</w:t>
      </w:r>
    </w:p>
    <w:p>
      <w:r>
        <w:rPr>
          <w:b/>
        </w:rPr>
        <w:t xml:space="preserve">36 </w:t>
      </w:r>
      <w:r>
        <w:t xml:space="preserve">And now thus said the Lord God of Israel concerning this city which you say will be handed into the hands of the king of Babylon by sword and famine and by sending away:</w:t>
      </w:r>
    </w:p>
    <w:p>
      <w:r>
        <w:rPr>
          <w:b/>
        </w:rPr>
        <w:t xml:space="preserve">37 </w:t>
      </w:r>
      <w:r>
        <w:t xml:space="preserve">Behold, I gather them from all lands where I scattered them in my anger and in my wrath and in great provocation, and I will restore them to this place and settle them in confidence.</w:t>
      </w:r>
    </w:p>
    <w:p>
      <w:r>
        <w:rPr>
          <w:b/>
        </w:rPr>
        <w:t xml:space="preserve">38 </w:t>
      </w:r>
      <w:r>
        <w:t xml:space="preserve">And they will be a people to me, and I will be God to them.</w:t>
      </w:r>
    </w:p>
    <w:p>
      <w:r>
        <w:rPr>
          <w:b/>
        </w:rPr>
        <w:t xml:space="preserve">39 </w:t>
      </w:r>
      <w:r>
        <w:t xml:space="preserve">And I will give them another way and another heart, to fear me all the days, for good to them and to their children after them.</w:t>
      </w:r>
    </w:p>
    <w:p>
      <w:r>
        <w:rPr>
          <w:b/>
        </w:rPr>
        <w:t xml:space="preserve">40 </w:t>
      </w:r>
      <w:r>
        <w:t xml:space="preserve">And I will make with them an everlasting covenant, which I will certainly not turn away from behind them, and my fear I will give into their heart, so that they will not depart from me.</w:t>
      </w:r>
    </w:p>
    <w:p>
      <w:r>
        <w:rPr>
          <w:b/>
        </w:rPr>
        <w:t xml:space="preserve">41 </w:t>
      </w:r>
      <w:r>
        <w:t xml:space="preserve">And I will visit them to do good to them and plant them in this land in faithfulness and with all heart and with all soul.</w:t>
      </w:r>
    </w:p>
    <w:p>
      <w:r>
        <w:rPr>
          <w:b/>
        </w:rPr>
        <w:t xml:space="preserve">42 </w:t>
      </w:r>
      <w:r>
        <w:t xml:space="preserve">Because thus said the Lord: As I brought upon this people all these great evils, so I will bring upon them all the good things which I spoke upon them.</w:t>
      </w:r>
    </w:p>
    <w:p>
      <w:r>
        <w:rPr>
          <w:b/>
        </w:rPr>
        <w:t xml:space="preserve">43 </w:t>
      </w:r>
      <w:r>
        <w:t xml:space="preserve">And fields will still be bought in the land which you say is trackless waste, without men and cattle, and they were handed into the hands of the Chaldeans.</w:t>
      </w:r>
    </w:p>
    <w:p>
      <w:r>
        <w:rPr>
          <w:b/>
        </w:rPr>
        <w:t xml:space="preserve">44 </w:t>
      </w:r>
      <w:r>
        <w:t xml:space="preserve">And they will buy fields with silver and write a scroll and seal it and bring witnesses in the land of Benjamin and around Jerusalem and in the cities of Judah and in the cities of the hill country and in the cities of the lowland and in the cities of Negeb, because I will restore their exiles.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40</w:t>
      </w:r>
    </w:p>
    <w:p>
      <w:r>
        <w:rPr>
          <w:b/>
        </w:rPr>
        <w:t xml:space="preserve">1 </w:t>
      </w:r>
      <w:r>
        <w:t xml:space="preserve">And the word of the Lord came to Jeremiah a second time, while he was still bound</w:t>
      </w:r>
      <w:r>
        <w:rPr>
          <w:rStyle w:val="FootnoteReference"/>
        </w:rPr>
        <w:footnoteReference w:id="12708"/>
      </w:r>
      <w:r>
        <w:t xml:space="preserve"> in the court of the prison, saying,</w:t>
      </w:r>
    </w:p>
    <w:p>
      <w:r>
        <w:rPr>
          <w:b/>
        </w:rPr>
        <w:t xml:space="preserve">2 </w:t>
      </w:r>
      <w:r>
        <w:t xml:space="preserve">Thus said the Lord</w:t>
      </w:r>
      <w:r>
        <w:rPr>
          <w:rStyle w:val="FootnoteReference"/>
        </w:rPr>
        <w:footnoteReference w:id="12709"/>
      </w:r>
      <w:r>
        <w:t xml:space="preserve">, who makes earth and forms it to set it upright; the Lord is his name:</w:t>
      </w:r>
    </w:p>
    <w:p>
      <w:r>
        <w:rPr>
          <w:b/>
        </w:rPr>
        <w:t xml:space="preserve">3 </w:t>
      </w:r>
      <w:r>
        <w:t xml:space="preserve">Cry to me, and I will answer you and announce to you great and mighty things which you did not know.</w:t>
      </w:r>
    </w:p>
    <w:p>
      <w:r>
        <w:rPr>
          <w:b/>
        </w:rPr>
        <w:t xml:space="preserve">4 </w:t>
      </w:r>
      <w:r>
        <w:t xml:space="preserve">Because thus said the Lord God of Israel concerning the houses of this city and concerning the houses of the king of Judah, which were torn down into trenches and defenses,</w:t>
      </w:r>
    </w:p>
    <w:p>
      <w:r>
        <w:rPr>
          <w:b/>
        </w:rPr>
        <w:t xml:space="preserve">5 </w:t>
      </w:r>
      <w:r>
        <w:t xml:space="preserve">to fight against the Chaldeans and to fill it with dead men whom I struck in my anger and wrath, and I turned away my face from them because of all their evils.</w:t>
      </w:r>
    </w:p>
    <w:p>
      <w:r>
        <w:rPr>
          <w:b/>
        </w:rPr>
        <w:t xml:space="preserve">6 </w:t>
      </w:r>
      <w:r>
        <w:t xml:space="preserve">Behold, I bring up healing and remedy for her, and I will reveal to them a hearing; and I will heal her and make peace and faithfulness for them.</w:t>
      </w:r>
    </w:p>
    <w:p>
      <w:r>
        <w:rPr>
          <w:b/>
        </w:rPr>
        <w:t xml:space="preserve">7 </w:t>
      </w:r>
      <w:r>
        <w:t xml:space="preserve">And I will restore the exile of Judah and the exile of Israel and build them as before.</w:t>
      </w:r>
    </w:p>
    <w:p>
      <w:r>
        <w:rPr>
          <w:b/>
        </w:rPr>
        <w:t xml:space="preserve">8 </w:t>
      </w:r>
      <w:r>
        <w:t xml:space="preserve">And I will cleanse them from all their injustices with which they sinned against me, and I will no longer remember the sins with which they sinned against me and departed from me.</w:t>
      </w:r>
    </w:p>
    <w:p>
      <w:r>
        <w:rPr>
          <w:b/>
        </w:rPr>
        <w:t xml:space="preserve">9 </w:t>
      </w:r>
      <w:r>
        <w:t xml:space="preserve">And it will be for joy and for praise and for greatness to every people of the earth who hear all the good things which I will do. And they will fear</w:t>
      </w:r>
      <w:r>
        <w:rPr>
          <w:rStyle w:val="FootnoteReference"/>
        </w:rPr>
        <w:footnoteReference w:id="12710"/>
      </w:r>
      <w:r>
        <w:t xml:space="preserve"> and be embittered concerning all the good things and concerning all the peace which I will make for them.</w:t>
      </w:r>
    </w:p>
    <w:p>
      <w:r>
        <w:rPr>
          <w:b/>
        </w:rPr>
        <w:t xml:space="preserve">10 </w:t>
      </w:r>
      <w:r>
        <w:t xml:space="preserve">Thus said the Lord: Still it will be heard in this place, which you say is desolate from men and cattle, in the cities of Judah and outside Jerusalem, laid waste because there is no man and no cattle,</w:t>
      </w:r>
    </w:p>
    <w:p>
      <w:r>
        <w:rPr>
          <w:b/>
        </w:rPr>
        <w:t xml:space="preserve">11 </w:t>
      </w:r>
      <w:r>
        <w:t xml:space="preserve">The voice of gladness and the voice of joy, the voice of bridegroom and the voice of bride, the voice of those saying, Give thanks to the Lord Almighty, because the Lord is good, because his mercy is forever. And they will bring gifts into the house of the Lord, because I will restore all exile of that land as before, said the Lord.</w:t>
      </w:r>
    </w:p>
    <w:p>
      <w:r>
        <w:rPr>
          <w:b/>
        </w:rPr>
        <w:t xml:space="preserve">12 </w:t>
      </w:r>
      <w:r>
        <w:t xml:space="preserve">Thus said the Lord of hosts: There will still be in this place, this desolate one because there is no man and cattle, and in all its cities, dwellings of shepherds laying sheep down.</w:t>
      </w:r>
    </w:p>
    <w:p>
      <w:r>
        <w:rPr>
          <w:b/>
        </w:rPr>
        <w:t xml:space="preserve">13 </w:t>
      </w:r>
      <w:r>
        <w:t xml:space="preserve">In the cities of the hill country and in the cities of the lowland and in the cities of Negeb and in the land of Benjamin and around Jerusalem and in the cities of Judah, sheep will still pass under the hand of one counting, said the Lord.</w:t>
      </w:r>
    </w:p>
    <w:p>
      <w:r>
        <w:rPr>
          <w:b/>
        </w:rPr>
        <w:t xml:space="preserve">14 </w:t>
      </w:r>
      <w:r>
        <w:t xml:space="preserve">[Behold, the days come, says the LORD, that I will perform that good thing which I have promised unto the house of Israel and to the house of Judah.]</w:t>
      </w:r>
      <w:r>
        <w:rPr>
          <w:rStyle w:val="FootnoteReference"/>
        </w:rPr>
        <w:footnoteReference w:id="12711"/>
      </w:r>
    </w:p>
    <w:p>
      <w:r>
        <w:rPr>
          <w:b/>
        </w:rPr>
        <w:t xml:space="preserve">15 </w:t>
      </w:r>
      <w:r>
        <w:t xml:space="preserve">[In those days, and at that time, will I cause the Branch of righteousness to grow up unto David; and he shall execute judgment and righteousness in the land.]</w:t>
      </w:r>
    </w:p>
    <w:p>
      <w:r>
        <w:rPr>
          <w:b/>
        </w:rPr>
        <w:t xml:space="preserve">16 </w:t>
      </w:r>
      <w:r>
        <w:t xml:space="preserve">[In those days shall Judah be saved, and Jerusalem shall dwell safely: and this is the name wherewith she shall be called, The LORD our righteousness.]</w:t>
      </w:r>
    </w:p>
    <w:p>
      <w:r>
        <w:rPr>
          <w:b/>
        </w:rPr>
        <w:t xml:space="preserve">17 </w:t>
      </w:r>
      <w:r>
        <w:t xml:space="preserve">[For thus says the LORD; David shall never lack a man to sit upon the throne of the house of Israel;]</w:t>
      </w:r>
    </w:p>
    <w:p>
      <w:r>
        <w:rPr>
          <w:b/>
        </w:rPr>
        <w:t xml:space="preserve">18 </w:t>
      </w:r>
      <w:r>
        <w:t xml:space="preserve">[Neither shall the priests the Levites lack a man before me to offer burnt offerings, and to kindle food offerings, and to do sacrifice continually.]</w:t>
      </w:r>
    </w:p>
    <w:p>
      <w:r>
        <w:rPr>
          <w:b/>
        </w:rPr>
        <w:t xml:space="preserve">19 </w:t>
      </w:r>
      <w:r>
        <w:t xml:space="preserve">[And the word of the LORD came unto Jeremiah, saying,]</w:t>
      </w:r>
    </w:p>
    <w:p>
      <w:r>
        <w:rPr>
          <w:b/>
        </w:rPr>
        <w:t xml:space="preserve">20 </w:t>
      </w:r>
      <w:r>
        <w:t xml:space="preserve">[Thus says the LORD; If all of you can break my covenant of the day, and my covenant of the night, and that there should not be day and night in their season;]</w:t>
      </w:r>
    </w:p>
    <w:p>
      <w:r>
        <w:rPr>
          <w:b/>
        </w:rPr>
        <w:t xml:space="preserve">21 </w:t>
      </w:r>
      <w:r>
        <w:t xml:space="preserve">[Then may also my covenant be broken with David my servant, that he should not have a son to reign upon his throne; and with the Levites the priests, my ministers.]</w:t>
      </w:r>
    </w:p>
    <w:p>
      <w:r>
        <w:rPr>
          <w:b/>
        </w:rPr>
        <w:t xml:space="preserve">22 </w:t>
      </w:r>
      <w:r>
        <w:t xml:space="preserve">[As the host of heaven cannot be numbered, neither the sand of the sea measured: so will I multiply the seed of David my servant, and the Levites that minister unto me.]</w:t>
      </w:r>
    </w:p>
    <w:p>
      <w:r>
        <w:rPr>
          <w:b/>
        </w:rPr>
        <w:t xml:space="preserve">23 </w:t>
      </w:r>
      <w:r>
        <w:t xml:space="preserve">[Moreover the word of the LORD came to Jeremiah, saying,]</w:t>
      </w:r>
    </w:p>
    <w:p>
      <w:r>
        <w:rPr>
          <w:b/>
        </w:rPr>
        <w:t xml:space="preserve">24 </w:t>
      </w:r>
      <w:r>
        <w:t xml:space="preserve">[Consider you not what this people have spoken, saying, The two families which the LORD has chosen, he has even cast them off? thus they have despised my people, that they should be no more a nation before them.]</w:t>
      </w:r>
    </w:p>
    <w:p>
      <w:r>
        <w:rPr>
          <w:b/>
        </w:rPr>
        <w:t xml:space="preserve">25 </w:t>
      </w:r>
      <w:r>
        <w:t xml:space="preserve">[Thus says the LORD; If my covenant be not with day and night, and if I have not appointed the ordinances of heaven and earth;]</w:t>
      </w:r>
    </w:p>
    <w:p>
      <w:r>
        <w:rPr>
          <w:b/>
        </w:rPr>
        <w:t xml:space="preserve">26 </w:t>
      </w:r>
      <w:r>
        <w:t xml:space="preserve">[Then will I cast away the seed of Jacob and David my servant, so that I will not take any of his seed to be rulers over the seed of Abraham, Isaac, and Jacob: for I will cause their captivity to return, and have mercy on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41</w:t>
      </w:r>
    </w:p>
    <w:p>
      <w:r>
        <w:rPr>
          <w:b/>
        </w:rPr>
        <w:t xml:space="preserve">1 </w:t>
      </w:r>
      <w:r>
        <w:t xml:space="preserve">The word that came to Jeremiah from the Lord, when Nebuchadnezzar king of Babylon and all his camp and all the land under his rule were fighting against Jerusalem and against all the cities of Judah, saying,</w:t>
      </w:r>
    </w:p>
    <w:p>
      <w:r>
        <w:rPr>
          <w:b/>
        </w:rPr>
        <w:t xml:space="preserve">2 </w:t>
      </w:r>
      <w:r>
        <w:t xml:space="preserve">Thus said the Lord: Go to Zedekiah king of Judah and say to him, Thus said the Lord: This city, in being handed over, will be handed into the hands of the king of Babylon, and he will seize it and burn it with fire.</w:t>
      </w:r>
    </w:p>
    <w:p>
      <w:r>
        <w:rPr>
          <w:b/>
        </w:rPr>
        <w:t xml:space="preserve">3 </w:t>
      </w:r>
      <w:r>
        <w:t xml:space="preserve">And you will certainly not be saved from his hand, because in being seized you will be seized and into his hands you will be given; your eyes will see his eyes, and his mouth will speak with your mouth, and you will enter Babylon.</w:t>
      </w:r>
    </w:p>
    <w:p>
      <w:r>
        <w:rPr>
          <w:b/>
        </w:rPr>
        <w:t xml:space="preserve">4 </w:t>
      </w:r>
      <w:r>
        <w:t xml:space="preserve">But hear the word of the Lord, Zedekiah king of Judah. Thus says the Lord:</w:t>
      </w:r>
    </w:p>
    <w:p>
      <w:r>
        <w:rPr>
          <w:b/>
        </w:rPr>
        <w:t xml:space="preserve">5 </w:t>
      </w:r>
      <w:r>
        <w:t xml:space="preserve">In peace you will die, and as they lamented your fathers, the kings who ruled before you, they will lament you also, and saying, Ah, lord, they will beat themselves for you, because I have spoken a word, says the Lord.</w:t>
      </w:r>
    </w:p>
    <w:p>
      <w:r>
        <w:rPr>
          <w:b/>
        </w:rPr>
        <w:t xml:space="preserve">6 </w:t>
      </w:r>
      <w:r>
        <w:t xml:space="preserve">And Jeremiah spoke all these words to King Zedekiah in Jerusalem.</w:t>
      </w:r>
    </w:p>
    <w:p>
      <w:r>
        <w:rPr>
          <w:b/>
        </w:rPr>
        <w:t xml:space="preserve">7 </w:t>
      </w:r>
      <w:r>
        <w:t xml:space="preserve">And the force of the king of Babylon was fighting against Jerusalem and against the cities of Judah, against Lachish and against Azekah, because these fortified cities were left among the cities of Judah.</w:t>
      </w:r>
    </w:p>
    <w:p>
      <w:r>
        <w:rPr>
          <w:b/>
        </w:rPr>
        <w:t xml:space="preserve">8 </w:t>
      </w:r>
      <w:r>
        <w:t xml:space="preserve">The word that came to Jeremiah from the Lord after King Zedekiah completed a covenant with the people to proclaim release,</w:t>
      </w:r>
    </w:p>
    <w:p>
      <w:r>
        <w:rPr>
          <w:b/>
        </w:rPr>
        <w:t xml:space="preserve">9 </w:t>
      </w:r>
      <w:r>
        <w:t xml:space="preserve">to send out each one his male servant and each one his female servant, the Hebrew man and the Hebrew woman, free, so that no man from Judah would be enslaved.</w:t>
      </w:r>
    </w:p>
    <w:p>
      <w:r>
        <w:rPr>
          <w:b/>
        </w:rPr>
        <w:t xml:space="preserve">10 </w:t>
      </w:r>
      <w:r>
        <w:t xml:space="preserve">And all the nobles and all the people who entered the covenant to send out each one his male servant and each one his female servant turned back,</w:t>
      </w:r>
    </w:p>
    <w:p>
      <w:r>
        <w:rPr>
          <w:b/>
        </w:rPr>
        <w:t xml:space="preserve">11 </w:t>
      </w:r>
      <w:r>
        <w:t xml:space="preserve">and they forced them into male servants and female servants.</w:t>
      </w:r>
    </w:p>
    <w:p>
      <w:r>
        <w:rPr>
          <w:b/>
        </w:rPr>
        <w:t xml:space="preserve">12 </w:t>
      </w:r>
      <w:r>
        <w:t xml:space="preserve">And the word of the Lord came to Jeremiah, saying,</w:t>
      </w:r>
    </w:p>
    <w:p>
      <w:r>
        <w:rPr>
          <w:b/>
        </w:rPr>
        <w:t xml:space="preserve">13 </w:t>
      </w:r>
      <w:r>
        <w:t xml:space="preserve">Thus said the Lord God of Israel: I made a covenant with your fathers on the day when I brought them out from the land of Egypt, out of the house of slavery, saying,</w:t>
      </w:r>
    </w:p>
    <w:p>
      <w:r>
        <w:rPr>
          <w:b/>
        </w:rPr>
        <w:t xml:space="preserve">14 </w:t>
      </w:r>
      <w:r>
        <w:t xml:space="preserve">When six years are fulfilled, you shall send out your Hebrew brother who is sold to you, and he shall work for you six years, and you shall send him out free. But they did not hear me and did not incline their ear.</w:t>
      </w:r>
    </w:p>
    <w:p>
      <w:r>
        <w:rPr>
          <w:b/>
        </w:rPr>
        <w:t xml:space="preserve">15 </w:t>
      </w:r>
      <w:r>
        <w:t xml:space="preserve">And today you turned to do what is right before my eyes, to proclaim release each to his neighbor, and you completed a covenant before my face in the house on which my name has been called.</w:t>
      </w:r>
    </w:p>
    <w:p>
      <w:r>
        <w:rPr>
          <w:b/>
        </w:rPr>
        <w:t xml:space="preserve">16 </w:t>
      </w:r>
      <w:r>
        <w:t xml:space="preserve">And you turned back and profaned my name by bringing back each one his male servant and each one his female servant whom you had sent out free according to their own desire, to be for you male servants and female servants.</w:t>
      </w:r>
    </w:p>
    <w:p>
      <w:r>
        <w:rPr>
          <w:b/>
        </w:rPr>
        <w:t xml:space="preserve">17 </w:t>
      </w:r>
      <w:r>
        <w:t xml:space="preserve">Therefore thus said the Lord: You did not hear me to proclaim release, each to his neighbor. Behold, I proclaim release to you, to sword and to death and to famine, and I will give you for dispersion to all kingdoms of the earth.</w:t>
      </w:r>
    </w:p>
    <w:p>
      <w:r>
        <w:rPr>
          <w:b/>
        </w:rPr>
        <w:t xml:space="preserve">18 </w:t>
      </w:r>
      <w:r>
        <w:t xml:space="preserve">And I will give the men who passed over my covenant, those who did not uphold my covenant which they made before my face, the calf which they prepared to perform it with,</w:t>
      </w:r>
    </w:p>
    <w:p>
      <w:r>
        <w:rPr>
          <w:b/>
        </w:rPr>
        <w:t xml:space="preserve">19 </w:t>
      </w:r>
      <w:r>
        <w:t xml:space="preserve">namely the rulers of Judah and the mighty men and the priests and the people,</w:t>
      </w:r>
    </w:p>
    <w:p>
      <w:r>
        <w:rPr>
          <w:b/>
        </w:rPr>
        <w:t xml:space="preserve">20 </w:t>
      </w:r>
      <w:r>
        <w:t xml:space="preserve">and I will give them to their enemies, and their dead bodies will be food for the birds of heaven and for the beasts of the earth.</w:t>
      </w:r>
    </w:p>
    <w:p>
      <w:r>
        <w:rPr>
          <w:b/>
        </w:rPr>
        <w:t xml:space="preserve">21 </w:t>
      </w:r>
      <w:r>
        <w:t xml:space="preserve">And Zedekiah king of Judah and their rulers I will give into the hands of their enemies, and the force of the king of Babylon will come upon those fleeing from them.</w:t>
      </w:r>
    </w:p>
    <w:p>
      <w:r>
        <w:rPr>
          <w:b/>
        </w:rPr>
        <w:t xml:space="preserve">22 </w:t>
      </w:r>
      <w:r>
        <w:t xml:space="preserve">Behold, I command, says the Lord, and I will return them to this land. They will fight against it and take it and burn it with fire, and the cities of Judah I will give as desolate, without dwellers.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42</w:t>
      </w:r>
    </w:p>
    <w:p>
      <w:r>
        <w:rPr>
          <w:b/>
        </w:rPr>
        <w:t xml:space="preserve">1 </w:t>
      </w:r>
      <w:r>
        <w:t xml:space="preserve">The word that came to Jeremiah from the Lord in the days of Jehoiakim king of Judah, saying,</w:t>
      </w:r>
    </w:p>
    <w:p>
      <w:r>
        <w:rPr>
          <w:b/>
        </w:rPr>
        <w:t xml:space="preserve">2 </w:t>
      </w:r>
      <w:r>
        <w:t xml:space="preserve">Go to the house of the Rechabites</w:t>
      </w:r>
      <w:r>
        <w:rPr>
          <w:rStyle w:val="FootnoteReference"/>
        </w:rPr>
        <w:footnoteReference w:id="12712"/>
      </w:r>
      <w:r>
        <w:t xml:space="preserve"> and bring them into the house of the Lord, into one of the courts, and give them wine to drink.</w:t>
      </w:r>
    </w:p>
    <w:p>
      <w:r>
        <w:rPr>
          <w:b/>
        </w:rPr>
        <w:t xml:space="preserve">3 </w:t>
      </w:r>
      <w:r>
        <w:t xml:space="preserve">And I brought out Jaazaniah</w:t>
      </w:r>
      <w:r>
        <w:rPr>
          <w:rStyle w:val="FootnoteReference"/>
        </w:rPr>
        <w:footnoteReference w:id="12713"/>
      </w:r>
      <w:r>
        <w:t xml:space="preserve"> son of Jeremiah son of Habaziniah and his brothers and his sons and all the house of the Rechabites,</w:t>
      </w:r>
    </w:p>
    <w:p>
      <w:r>
        <w:rPr>
          <w:b/>
        </w:rPr>
        <w:t xml:space="preserve">4 </w:t>
      </w:r>
      <w:r>
        <w:t xml:space="preserve">and I brought them into the house of the Lord, into the chamber of the sons of Hanan son of Gedaliah, a man of God, which is near the house of the rulers, above the house of Maaseiah son of Shallum, keeper of the court.</w:t>
      </w:r>
    </w:p>
    <w:p>
      <w:r>
        <w:rPr>
          <w:b/>
        </w:rPr>
        <w:t xml:space="preserve">5 </w:t>
      </w:r>
      <w:r>
        <w:t xml:space="preserve">And I set before them a jar of wine and cups and said, Drink wine.</w:t>
      </w:r>
    </w:p>
    <w:p>
      <w:r>
        <w:rPr>
          <w:b/>
        </w:rPr>
        <w:t xml:space="preserve">6 </w:t>
      </w:r>
      <w:r>
        <w:t xml:space="preserve">And they said, We will certainly not drink wine, because Jonadab son of Rechab our father commanded us, saying, You and your sons shall certainly not drink wine forever.</w:t>
      </w:r>
    </w:p>
    <w:p>
      <w:r>
        <w:rPr>
          <w:b/>
        </w:rPr>
        <w:t xml:space="preserve">7 </w:t>
      </w:r>
      <w:r>
        <w:t xml:space="preserve">And you shall not build a house, and you shall not sow seed, and no vineyard shall be yours, because you shall dwell in tents all your days, so that you may live many days upon the land on which you sojourn.</w:t>
      </w:r>
    </w:p>
    <w:p>
      <w:r>
        <w:rPr>
          <w:b/>
        </w:rPr>
        <w:t xml:space="preserve">8 </w:t>
      </w:r>
      <w:r>
        <w:t xml:space="preserve">And we listened to the voice of Jonadab our father, so as not to drink wine all our days, we and our wives and our sons and our daughters,</w:t>
      </w:r>
    </w:p>
    <w:p>
      <w:r>
        <w:rPr>
          <w:b/>
        </w:rPr>
        <w:t xml:space="preserve">9 </w:t>
      </w:r>
      <w:r>
        <w:t xml:space="preserve">and so as not to build houses to dwell in, and there has not come to be for us vineyard or field or seed.</w:t>
      </w:r>
    </w:p>
    <w:p>
      <w:r>
        <w:rPr>
          <w:b/>
        </w:rPr>
        <w:t xml:space="preserve">10 </w:t>
      </w:r>
      <w:r>
        <w:t xml:space="preserve">And we dwelt in tents and listened and did according to all that Jonadab our father commanded us.</w:t>
      </w:r>
    </w:p>
    <w:p>
      <w:r>
        <w:rPr>
          <w:b/>
        </w:rPr>
        <w:t xml:space="preserve">11 </w:t>
      </w:r>
      <w:r>
        <w:t xml:space="preserve">And it happened when Nebuchadnezzar came up against the land, we said, Come, and let us enter Jerusalem from before the force of the Chaldeans and from before the force of the Assyrians, and we dwelt there.</w:t>
      </w:r>
    </w:p>
    <w:p>
      <w:r>
        <w:rPr>
          <w:b/>
        </w:rPr>
        <w:t xml:space="preserve">12 </w:t>
      </w:r>
      <w:r>
        <w:t xml:space="preserve">And the word of the Lord came to me, saying,</w:t>
      </w:r>
    </w:p>
    <w:p>
      <w:r>
        <w:rPr>
          <w:b/>
        </w:rPr>
        <w:t xml:space="preserve">13 </w:t>
      </w:r>
      <w:r>
        <w:t xml:space="preserve">Thus says the Lord: Go and say to the men of Judah and to those dwelling in Jerusalem, Will you not receive discipline, to listen to my words?</w:t>
      </w:r>
    </w:p>
    <w:p>
      <w:r>
        <w:rPr>
          <w:b/>
        </w:rPr>
        <w:t xml:space="preserve">14 </w:t>
      </w:r>
      <w:r>
        <w:t xml:space="preserve">The sons of Jonadab son of Rechab upheld the word which he commanded his children, not to drink wine, and they did not drink. But I spoke to you, rising early and speaking, and you did not hear.</w:t>
      </w:r>
    </w:p>
    <w:p>
      <w:r>
        <w:rPr>
          <w:b/>
        </w:rPr>
        <w:t xml:space="preserve">15 </w:t>
      </w:r>
      <w:r>
        <w:t xml:space="preserve">And I sent to you my servants the prophets, saying, Let each one turn back from his evil way and amend your practices, and do not go after other gods to serve them, and you will dwell upon the land which I gave to you and to your fathers. But you did not incline your ears and did not hear.</w:t>
      </w:r>
    </w:p>
    <w:p>
      <w:r>
        <w:rPr>
          <w:b/>
        </w:rPr>
        <w:t xml:space="preserve">16 </w:t>
      </w:r>
      <w:r>
        <w:t xml:space="preserve">And the sons of Jonadab son of Rechab kept the command of their father, but this people did not hear me.</w:t>
      </w:r>
    </w:p>
    <w:p>
      <w:r>
        <w:rPr>
          <w:b/>
        </w:rPr>
        <w:t xml:space="preserve">17 </w:t>
      </w:r>
      <w:r>
        <w:t xml:space="preserve">Therefore thus said the Lord: Behold, I bring upon Judah and upon those dwelling in Jerusalem all the evils which I spoke against them.</w:t>
      </w:r>
    </w:p>
    <w:p>
      <w:r>
        <w:rPr>
          <w:b/>
        </w:rPr>
        <w:t xml:space="preserve">18 </w:t>
      </w:r>
      <w:r>
        <w:t xml:space="preserve">Therefore thus said the Lord: Because the sons of Jonadab son of Rechab listened to the command of their father, doing just as their father commanded them,</w:t>
      </w:r>
    </w:p>
    <w:p>
      <w:r>
        <w:rPr>
          <w:b/>
        </w:rPr>
        <w:t xml:space="preserve">19 </w:t>
      </w:r>
      <w:r>
        <w:t xml:space="preserve">a man from the sons of Jonadab son of Rechab will certainly not fail to stand before my face all the days of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43</w:t>
      </w:r>
    </w:p>
    <w:p>
      <w:r>
        <w:rPr>
          <w:b/>
        </w:rPr>
        <w:t xml:space="preserve">1 </w:t>
      </w:r>
      <w:r>
        <w:t xml:space="preserve">And in the fourth year of Jehoiakim son of Josiah king of Judah, the word of the Lord came to me, saying,</w:t>
      </w:r>
    </w:p>
    <w:p>
      <w:r>
        <w:rPr>
          <w:b/>
        </w:rPr>
        <w:t xml:space="preserve">2 </w:t>
      </w:r>
      <w:r>
        <w:t xml:space="preserve">Take for yourself a scroll-sheet and write on it all the words which I declared to you concerning Jerusalem and Judah and all the nations, from the day when I spoke to you, from the days of Josiah king of Judah, even until this day.</w:t>
      </w:r>
    </w:p>
    <w:p>
      <w:r>
        <w:rPr>
          <w:b/>
        </w:rPr>
        <w:t xml:space="preserve">3 </w:t>
      </w:r>
      <w:r>
        <w:t xml:space="preserve">Perhaps the house of Judah will hear all the evils which I plan to do to them, so that they may turn back from their evil way, and I will be merciful concerning their injustices and their sins.</w:t>
      </w:r>
    </w:p>
    <w:p>
      <w:r>
        <w:rPr>
          <w:b/>
        </w:rPr>
        <w:t xml:space="preserve">4 </w:t>
      </w:r>
      <w:r>
        <w:t xml:space="preserve">And Jeremiah called Baruch son of Neriah, and Baruch wrote from the mouth of Jeremiah all the words of the Lord which he had declared to him, into a scroll-sheet.</w:t>
      </w:r>
    </w:p>
    <w:p>
      <w:r>
        <w:rPr>
          <w:b/>
        </w:rPr>
        <w:t xml:space="preserve">5 </w:t>
      </w:r>
      <w:r>
        <w:t xml:space="preserve">And Jeremiah commanded Baruch, saying, I am kept under guard. I cannot enter the house of the Lord.</w:t>
      </w:r>
    </w:p>
    <w:p>
      <w:r>
        <w:rPr>
          <w:b/>
        </w:rPr>
        <w:t xml:space="preserve">6 </w:t>
      </w:r>
      <w:r>
        <w:t xml:space="preserve">And you will read from this sheet into the ears of the people in the house of the Lord on the day of fasting, and in the ears of all Judah coming from their cities you will read to them.</w:t>
      </w:r>
    </w:p>
    <w:p>
      <w:r>
        <w:rPr>
          <w:b/>
        </w:rPr>
        <w:t xml:space="preserve">7 </w:t>
      </w:r>
      <w:r>
        <w:t xml:space="preserve">Perhaps their plea for mercy will fall before the face of the Lord, and they will turn back from their evil way, because great is the anger and the wrath of the Lord which he spoke against this people.</w:t>
      </w:r>
    </w:p>
    <w:p>
      <w:r>
        <w:rPr>
          <w:b/>
        </w:rPr>
        <w:t xml:space="preserve">8 </w:t>
      </w:r>
      <w:r>
        <w:t xml:space="preserve">And Baruch did according to all that Jeremiah commanded him, to read in the scroll the words of the Lord in the house of the Lord.</w:t>
      </w:r>
    </w:p>
    <w:p>
      <w:r>
        <w:rPr>
          <w:b/>
        </w:rPr>
        <w:t xml:space="preserve">9 </w:t>
      </w:r>
      <w:r>
        <w:t xml:space="preserve">And it happened in the eighth year of King Jehoiakim, in the ninth month, all the people in Jerusalem and the house of Judah proclaimed fast before the Lord.</w:t>
      </w:r>
    </w:p>
    <w:p>
      <w:r>
        <w:rPr>
          <w:b/>
        </w:rPr>
        <w:t xml:space="preserve">10 </w:t>
      </w:r>
      <w:r>
        <w:t xml:space="preserve">And Baruch read in the scroll the words of Jeremiah in the house of the Lord, in the house of Gemariah son of Shaphan the scribe, in the upper court, in the entrance of the new gate of the house of the Lord, in the ears of all the people.</w:t>
      </w:r>
    </w:p>
    <w:p>
      <w:r>
        <w:rPr>
          <w:b/>
        </w:rPr>
        <w:t xml:space="preserve">11 </w:t>
      </w:r>
      <w:r>
        <w:t xml:space="preserve">And Micaiah son of Gemariah son of Shaphan heard all the words of the Lord from the scroll,</w:t>
      </w:r>
    </w:p>
    <w:p>
      <w:r>
        <w:rPr>
          <w:b/>
        </w:rPr>
        <w:t xml:space="preserve">12 </w:t>
      </w:r>
      <w:r>
        <w:t xml:space="preserve">and he went down to the house of the king, to the house of the scribe, and behold, all the rulers were sitting there: Elishama the scribe and Delaiah son of Shelemiah and Elnathan son of Achbor and Gemariah son of Shaphan and Zedekiah son of Hananiah and all the rulers.</w:t>
      </w:r>
    </w:p>
    <w:p>
      <w:r>
        <w:rPr>
          <w:b/>
        </w:rPr>
        <w:t xml:space="preserve">13 </w:t>
      </w:r>
      <w:r>
        <w:t xml:space="preserve">And Micaiah announced to them all the words which he heard while Baruch read into the ears of the people.</w:t>
      </w:r>
    </w:p>
    <w:p>
      <w:r>
        <w:rPr>
          <w:b/>
        </w:rPr>
        <w:t xml:space="preserve">14 </w:t>
      </w:r>
      <w:r>
        <w:t xml:space="preserve">And all the rulers sent Jehudi</w:t>
      </w:r>
      <w:r>
        <w:rPr>
          <w:rStyle w:val="FootnoteReference"/>
        </w:rPr>
        <w:footnoteReference w:id="12714"/>
      </w:r>
      <w:r>
        <w:t xml:space="preserve"> son of Nethaniah son of Shelemiah son of Chusi</w:t>
      </w:r>
      <w:r>
        <w:rPr>
          <w:rStyle w:val="FootnoteReference"/>
        </w:rPr>
        <w:footnoteReference w:id="12715"/>
      </w:r>
      <w:r>
        <w:t xml:space="preserve"> to Baruch son of Neriah, saying, The sheet in which you are reading in the ears of the people, take it in your hand and come. And Baruch took the sheet and went down to them.</w:t>
      </w:r>
    </w:p>
    <w:p>
      <w:r>
        <w:rPr>
          <w:b/>
        </w:rPr>
        <w:t xml:space="preserve">15 </w:t>
      </w:r>
      <w:r>
        <w:t xml:space="preserve">And they said to him, Read it again into our ears. And Baruch read.</w:t>
      </w:r>
    </w:p>
    <w:p>
      <w:r>
        <w:rPr>
          <w:b/>
        </w:rPr>
        <w:t xml:space="preserve">16 </w:t>
      </w:r>
      <w:r>
        <w:t xml:space="preserve">And it happened when they heard all the words, each took counsel with his neighbor and said, We must surely announce to the king all these words.</w:t>
      </w:r>
    </w:p>
    <w:p>
      <w:r>
        <w:rPr>
          <w:b/>
        </w:rPr>
        <w:t xml:space="preserve">17 </w:t>
      </w:r>
      <w:r>
        <w:t xml:space="preserve">And they asked Baruch, saying, From where did you write all these words?</w:t>
      </w:r>
    </w:p>
    <w:p>
      <w:r>
        <w:rPr>
          <w:b/>
        </w:rPr>
        <w:t xml:space="preserve">18 </w:t>
      </w:r>
      <w:r>
        <w:t xml:space="preserve">And Baruch said, Jeremiah announced all these words to me from his mouth, and I wrote them in a scroll.</w:t>
      </w:r>
    </w:p>
    <w:p>
      <w:r>
        <w:rPr>
          <w:b/>
        </w:rPr>
        <w:t xml:space="preserve">19 </w:t>
      </w:r>
      <w:r>
        <w:t xml:space="preserve">And they said to Baruch, Go hide, you and Jeremiah. Let no man know where you are.</w:t>
      </w:r>
    </w:p>
    <w:p>
      <w:r>
        <w:rPr>
          <w:b/>
        </w:rPr>
        <w:t xml:space="preserve">20 </w:t>
      </w:r>
      <w:r>
        <w:t xml:space="preserve">And they entered to the king, into the court, and they gave the sheet for safekeeping in the house of Elishama, and they announced to the king all the words.</w:t>
      </w:r>
    </w:p>
    <w:p>
      <w:r>
        <w:rPr>
          <w:b/>
        </w:rPr>
        <w:t xml:space="preserve">21 </w:t>
      </w:r>
      <w:r>
        <w:t xml:space="preserve">And the king sent Jehudi to take the scroll-sheet, and he took it from the house of Elishama and read it into the ears of the king and into the ears of all the rulers standing around the king.</w:t>
      </w:r>
    </w:p>
    <w:p>
      <w:r>
        <w:rPr>
          <w:b/>
        </w:rPr>
        <w:t xml:space="preserve">22 </w:t>
      </w:r>
      <w:r>
        <w:t xml:space="preserve">And the king sat in the winter house, and a fire-hearth was before his face.</w:t>
      </w:r>
    </w:p>
    <w:p>
      <w:r>
        <w:rPr>
          <w:b/>
        </w:rPr>
        <w:t xml:space="preserve">23 </w:t>
      </w:r>
      <w:r>
        <w:t xml:space="preserve">And it happened while Jehudi read three columns or four, he cut them off with the scribe's knife and threw them into the fire on the hearth until the whole sheet was consumed in the fire on the hearth.</w:t>
      </w:r>
    </w:p>
    <w:p>
      <w:r>
        <w:rPr>
          <w:b/>
        </w:rPr>
        <w:t xml:space="preserve">24 </w:t>
      </w:r>
      <w:r>
        <w:t xml:space="preserve">And the king and his servants, hearing all these words, did not seek and did not tear their garments.</w:t>
      </w:r>
    </w:p>
    <w:p>
      <w:r>
        <w:rPr>
          <w:b/>
        </w:rPr>
        <w:t xml:space="preserve">25 </w:t>
      </w:r>
      <w:r>
        <w:t xml:space="preserve">And Elnathan and Gedaliah and Gemariah urged the king not to burn the sheet.</w:t>
      </w:r>
    </w:p>
    <w:p>
      <w:r>
        <w:rPr>
          <w:b/>
        </w:rPr>
        <w:t xml:space="preserve">26 </w:t>
      </w:r>
      <w:r>
        <w:t xml:space="preserve">And the king commanded Jerahmeel son of the king and Seraiah son of Esriel</w:t>
      </w:r>
      <w:r>
        <w:rPr>
          <w:rStyle w:val="FootnoteReference"/>
        </w:rPr>
        <w:footnoteReference w:id="12716"/>
      </w:r>
      <w:r>
        <w:t xml:space="preserve"> to seize Baruch and Jeremiah, but they were hidden.</w:t>
      </w:r>
    </w:p>
    <w:p>
      <w:r>
        <w:rPr>
          <w:b/>
        </w:rPr>
        <w:t xml:space="preserve">27 </w:t>
      </w:r>
      <w:r>
        <w:t xml:space="preserve">And the word of the Lord came to Jeremiah after the king burned the sheet with all the words which Baruch wrote from the mouth of Jeremiah, saying,</w:t>
      </w:r>
    </w:p>
    <w:p>
      <w:r>
        <w:rPr>
          <w:b/>
        </w:rPr>
        <w:t xml:space="preserve">28 </w:t>
      </w:r>
      <w:r>
        <w:t xml:space="preserve">Take for yourself again another sheet and write all the words that were on the former sheet which King Jehoiakim burned.</w:t>
      </w:r>
    </w:p>
    <w:p>
      <w:r>
        <w:rPr>
          <w:b/>
        </w:rPr>
        <w:t xml:space="preserve">29 </w:t>
      </w:r>
      <w:r>
        <w:t xml:space="preserve">And you will say, Thus said the Lord: You burned this sheet, saying, Why did you write on it, saying, In entering, the king of Babylon will enter and destroy this land, and man and cattle will fail from it?</w:t>
      </w:r>
    </w:p>
    <w:p>
      <w:r>
        <w:rPr>
          <w:b/>
        </w:rPr>
        <w:t xml:space="preserve">30 </w:t>
      </w:r>
      <w:r>
        <w:t xml:space="preserve">Therefore thus said the Lord concerning Jehoiakim king of Judah: There will not be for him one sitting on the throne of David, and his corpse will be thrown out in the heat of the day and in the frost of the night.</w:t>
      </w:r>
    </w:p>
    <w:p>
      <w:r>
        <w:rPr>
          <w:b/>
        </w:rPr>
        <w:t xml:space="preserve">31 </w:t>
      </w:r>
      <w:r>
        <w:t xml:space="preserve">And I will visit upon him and upon his seed and upon his servants, and I will bring upon them and upon those dwelling in Jerusalem and upon the land of Judah all the evils which I spoke to them, and they did not hear.</w:t>
      </w:r>
    </w:p>
    <w:p>
      <w:r>
        <w:rPr>
          <w:b/>
        </w:rPr>
        <w:t xml:space="preserve">32 </w:t>
      </w:r>
      <w:r>
        <w:t xml:space="preserve">And Baruch took another sheet and wrote on it from the mouth of Jeremiah all the words of the scroll which Jehoiakim burned, and still more words like these were added to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44</w:t>
      </w:r>
    </w:p>
    <w:p>
      <w:r>
        <w:rPr>
          <w:b/>
        </w:rPr>
        <w:t xml:space="preserve">1 </w:t>
      </w:r>
      <w:r>
        <w:t xml:space="preserve">And Zedekiah son of Josiah reigned instead of Jehoiakim, whom Nebuchadnezzar king of Babylon made king over Judah.</w:t>
      </w:r>
    </w:p>
    <w:p>
      <w:r>
        <w:rPr>
          <w:b/>
        </w:rPr>
        <w:t xml:space="preserve">2 </w:t>
      </w:r>
      <w:r>
        <w:t xml:space="preserve">And he and his servants and the people of the land did not hear the words of the Lord which he spoke by the hand of Jeremiah.</w:t>
      </w:r>
    </w:p>
    <w:p>
      <w:r>
        <w:rPr>
          <w:b/>
        </w:rPr>
        <w:t xml:space="preserve">3 </w:t>
      </w:r>
      <w:r>
        <w:t xml:space="preserve">And King Zedekiah sent Jucal son of Shelemiah and Zephaniah son of Maaseiah the priest to Jeremiah, saying, Pray now concerning us to the Lord.</w:t>
      </w:r>
    </w:p>
    <w:p>
      <w:r>
        <w:rPr>
          <w:b/>
        </w:rPr>
        <w:t xml:space="preserve">4 </w:t>
      </w:r>
      <w:r>
        <w:t xml:space="preserve">And Jeremiah came and went through the midst of the city, and they had not put him into the house of the prison.</w:t>
      </w:r>
    </w:p>
    <w:p>
      <w:r>
        <w:rPr>
          <w:b/>
        </w:rPr>
        <w:t xml:space="preserve">5 </w:t>
      </w:r>
      <w:r>
        <w:t xml:space="preserve">And the force of Pharaoh went out from Egypt, and the Chaldeans heard their report and went up from Jerusalem.</w:t>
      </w:r>
    </w:p>
    <w:p>
      <w:r>
        <w:rPr>
          <w:b/>
        </w:rPr>
        <w:t xml:space="preserve">6 </w:t>
      </w:r>
      <w:r>
        <w:t xml:space="preserve">And the word of the Lord came to Jeremiah, saying,</w:t>
      </w:r>
    </w:p>
    <w:p>
      <w:r>
        <w:rPr>
          <w:b/>
        </w:rPr>
        <w:t xml:space="preserve">7 </w:t>
      </w:r>
      <w:r>
        <w:t xml:space="preserve">Thus said the Lord: Thus you will say to the king of Judah who sent to you to seek me: Behold, the force of Pharaoh which came out to help you will return into the land of Egypt.</w:t>
      </w:r>
    </w:p>
    <w:p>
      <w:r>
        <w:rPr>
          <w:b/>
        </w:rPr>
        <w:t xml:space="preserve">8 </w:t>
      </w:r>
      <w:r>
        <w:t xml:space="preserve">And these Chaldeans will return and fight against this city and seize it and burn it with fire.</w:t>
      </w:r>
    </w:p>
    <w:p>
      <w:r>
        <w:rPr>
          <w:b/>
        </w:rPr>
        <w:t xml:space="preserve">9 </w:t>
      </w:r>
      <w:r>
        <w:t xml:space="preserve">Because thus said the Lord: Do not suppose in your souls, saying, In running away, the Chaldeans will depart from us, because they will certainly not go away.</w:t>
      </w:r>
    </w:p>
    <w:p>
      <w:r>
        <w:rPr>
          <w:b/>
        </w:rPr>
        <w:t xml:space="preserve">10 </w:t>
      </w:r>
      <w:r>
        <w:t xml:space="preserve">And if you strike every force of the Chaldeans fighting you and some wounded men remain, each in his place, these will rise up and burn this city with fire.</w:t>
      </w:r>
    </w:p>
    <w:p>
      <w:r>
        <w:rPr>
          <w:b/>
        </w:rPr>
        <w:t xml:space="preserve">11 </w:t>
      </w:r>
      <w:r>
        <w:t xml:space="preserve">And it happened when the force of the Chaldeans went up from Jerusalem from before the force of Pharaoh,</w:t>
      </w:r>
    </w:p>
    <w:p>
      <w:r>
        <w:rPr>
          <w:b/>
        </w:rPr>
        <w:t xml:space="preserve">12 </w:t>
      </w:r>
      <w:r>
        <w:t xml:space="preserve">Jeremiah went out from Jerusalem to go into the land of Benjamin to buy there in the midst of the people.</w:t>
      </w:r>
    </w:p>
    <w:p>
      <w:r>
        <w:rPr>
          <w:b/>
        </w:rPr>
        <w:t xml:space="preserve">13 </w:t>
      </w:r>
      <w:r>
        <w:t xml:space="preserve">And it happened that he was at the gate of Benjamin, and there was a man there with whom Seraiah son of Shelemiah son of Hananiah lodged, and he seized Jeremiah, saying, You are fleeing to the Chaldeans.</w:t>
      </w:r>
    </w:p>
    <w:p>
      <w:r>
        <w:rPr>
          <w:b/>
        </w:rPr>
        <w:t xml:space="preserve">14 </w:t>
      </w:r>
      <w:r>
        <w:t xml:space="preserve">And he said, False. I am not fleeing to the Chaldeans. But he did not hear him, and Seraiah seized Jeremiah and brought him to the rulers.</w:t>
      </w:r>
    </w:p>
    <w:p>
      <w:r>
        <w:rPr>
          <w:b/>
        </w:rPr>
        <w:t xml:space="preserve">15 </w:t>
      </w:r>
      <w:r>
        <w:t xml:space="preserve">And the rulers were embittered against Jeremiah and struck him and sent him into the house of Jonathan the scribe, because they had made this into a house of prison.</w:t>
      </w:r>
    </w:p>
    <w:p>
      <w:r>
        <w:rPr>
          <w:b/>
        </w:rPr>
        <w:t xml:space="preserve">16 </w:t>
      </w:r>
      <w:r>
        <w:t xml:space="preserve">And Jeremiah came into the house of the pit and into the cells and sat there many days.</w:t>
      </w:r>
    </w:p>
    <w:p>
      <w:r>
        <w:rPr>
          <w:b/>
        </w:rPr>
        <w:t xml:space="preserve">17 </w:t>
      </w:r>
      <w:r>
        <w:t xml:space="preserve">And Zedekiah sent and called him, and the king asked him secretly whether there was a word from the Lord. And he said, There is. Into the hands of the king of Babylon you will be handed over.</w:t>
      </w:r>
    </w:p>
    <w:p>
      <w:r>
        <w:rPr>
          <w:b/>
        </w:rPr>
        <w:t xml:space="preserve">18 </w:t>
      </w:r>
      <w:r>
        <w:t xml:space="preserve">And Jeremiah said to the king, What wrong did I do to you and to your servants and to this people, that you give me into the house of prison?</w:t>
      </w:r>
    </w:p>
    <w:p>
      <w:r>
        <w:rPr>
          <w:b/>
        </w:rPr>
        <w:t xml:space="preserve">19 </w:t>
      </w:r>
      <w:r>
        <w:t xml:space="preserve">And where are your prophets who prophesied to you, saying that the king of Babylon will certainly not come against this land?</w:t>
      </w:r>
    </w:p>
    <w:p>
      <w:r>
        <w:rPr>
          <w:b/>
        </w:rPr>
        <w:t xml:space="preserve">20 </w:t>
      </w:r>
      <w:r>
        <w:t xml:space="preserve">And now, lord king, let my plea for mercy fall before your face, and why do you turn me back into the house of Jonathan the scribe, so that I not die there?</w:t>
      </w:r>
    </w:p>
    <w:p>
      <w:r>
        <w:rPr>
          <w:b/>
        </w:rPr>
        <w:t xml:space="preserve">21 </w:t>
      </w:r>
      <w:r>
        <w:t xml:space="preserve">And the king commanded, and they put him into the house of the prison, and they gave him one loaf of bread each day from outside where they baked, until the bread failed from the city. And Jeremiah sat in the court of the prison.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45</w:t>
      </w:r>
    </w:p>
    <w:p>
      <w:r>
        <w:rPr>
          <w:b/>
        </w:rPr>
        <w:t xml:space="preserve">1 </w:t>
      </w:r>
      <w:r>
        <w:t xml:space="preserve">And Shephatiah son of Mattan</w:t>
      </w:r>
      <w:r>
        <w:rPr>
          <w:rStyle w:val="FootnoteReference"/>
        </w:rPr>
        <w:footnoteReference w:id="12717"/>
      </w:r>
      <w:r>
        <w:t xml:space="preserve"> and Gedaliah son of Pashhur and Jucal son of Shelemiah heard the words which Jeremiah spoke to the people, saying,</w:t>
      </w:r>
    </w:p>
    <w:p>
      <w:r>
        <w:rPr>
          <w:b/>
        </w:rPr>
        <w:t xml:space="preserve">2 </w:t>
      </w:r>
      <w:r>
        <w:t xml:space="preserve">Thus said the Lord: The one dwelling in this city will die by sword and by famine, and the one going out to the Chaldeans will live, and his soul will be for gain, and he will live.</w:t>
      </w:r>
    </w:p>
    <w:p>
      <w:r>
        <w:rPr>
          <w:b/>
        </w:rPr>
        <w:t xml:space="preserve">3 </w:t>
      </w:r>
      <w:r>
        <w:t xml:space="preserve">Because thus said the Lord: This city, in being handed over, will be handed into the hands of the force of the king of Babylon, and he will seize it.</w:t>
      </w:r>
    </w:p>
    <w:p>
      <w:r>
        <w:rPr>
          <w:b/>
        </w:rPr>
        <w:t xml:space="preserve">4 </w:t>
      </w:r>
      <w:r>
        <w:t xml:space="preserve">And they said to the king, Let that man be killed, because he weakens the hands of the fighting men remaining in the city and the hands of all the people, speaking to them according to these words, because this man does not prophesy peace for this people but evil things.</w:t>
      </w:r>
    </w:p>
    <w:p>
      <w:r>
        <w:rPr>
          <w:b/>
        </w:rPr>
        <w:t xml:space="preserve">5 </w:t>
      </w:r>
      <w:r>
        <w:t xml:space="preserve">And the king said, Behold, he is in your hands, because the king could not oppose them.</w:t>
      </w:r>
    </w:p>
    <w:p>
      <w:r>
        <w:rPr>
          <w:b/>
        </w:rPr>
        <w:t xml:space="preserve">6 </w:t>
      </w:r>
      <w:r>
        <w:t xml:space="preserve">And they threw him into the pit of Malchiah son of the king, which was in the court of the prison, and lowered him into the pit, and in the pit there was no water but mire, and he was in the mire.</w:t>
      </w:r>
    </w:p>
    <w:p>
      <w:r>
        <w:rPr>
          <w:b/>
        </w:rPr>
        <w:t xml:space="preserve">7 </w:t>
      </w:r>
      <w:r>
        <w:t xml:space="preserve">And Ebed-melech</w:t>
      </w:r>
      <w:r>
        <w:rPr>
          <w:rStyle w:val="FootnoteReference"/>
        </w:rPr>
        <w:footnoteReference w:id="12718"/>
      </w:r>
      <w:r>
        <w:t xml:space="preserve"> the Ethiopian heard, while he was in the house of the king, that they put Jeremiah into the pit, and the king was in the gate of Benjamin.</w:t>
      </w:r>
    </w:p>
    <w:p>
      <w:r>
        <w:rPr>
          <w:b/>
        </w:rPr>
        <w:t xml:space="preserve">8 </w:t>
      </w:r>
      <w:r>
        <w:t xml:space="preserve">And he went out to him and spoke to the king and said,</w:t>
      </w:r>
    </w:p>
    <w:p>
      <w:r>
        <w:rPr>
          <w:b/>
        </w:rPr>
        <w:t xml:space="preserve">9 </w:t>
      </w:r>
      <w:r>
        <w:t xml:space="preserve">You did evil in what you did, to kill this man because of famine, because there are no longer loaves in the city.</w:t>
      </w:r>
    </w:p>
    <w:p>
      <w:r>
        <w:rPr>
          <w:b/>
        </w:rPr>
        <w:t xml:space="preserve">10 </w:t>
      </w:r>
      <w:r>
        <w:t xml:space="preserve">And the king commanded Ebed-melech, saying, Take thirty men in your hands from here and bring him up out of the pit so that he not die.</w:t>
      </w:r>
    </w:p>
    <w:p>
      <w:r>
        <w:rPr>
          <w:b/>
        </w:rPr>
        <w:t xml:space="preserve">11 </w:t>
      </w:r>
      <w:r>
        <w:t xml:space="preserve">And Ebed-melech took the men and entered into the lower chamber of the house of the king and took from there old rags and old ropes and threw them to Jeremiah into the pit.</w:t>
      </w:r>
    </w:p>
    <w:p>
      <w:r>
        <w:rPr>
          <w:b/>
        </w:rPr>
        <w:t xml:space="preserve">12 </w:t>
      </w:r>
      <w:r>
        <w:t xml:space="preserve">And he said, Put these under the ropes. And Jeremiah did so.</w:t>
      </w:r>
    </w:p>
    <w:p>
      <w:r>
        <w:rPr>
          <w:b/>
        </w:rPr>
        <w:t xml:space="preserve">13 </w:t>
      </w:r>
      <w:r>
        <w:t xml:space="preserve">And they pulled him with the ropes and brought him up from the pit, and Jeremiah sat in the court of the prison.</w:t>
      </w:r>
    </w:p>
    <w:p>
      <w:r>
        <w:rPr>
          <w:b/>
        </w:rPr>
        <w:t xml:space="preserve">14 </w:t>
      </w:r>
      <w:r>
        <w:t xml:space="preserve">And the king sent and called him to himself into the house of Aselisi, which is in the house of the Lord, and the king said to him, I will ask you a word, and do not hide a thing from me.</w:t>
      </w:r>
    </w:p>
    <w:p>
      <w:r>
        <w:rPr>
          <w:b/>
        </w:rPr>
        <w:t xml:space="preserve">15 </w:t>
      </w:r>
      <w:r>
        <w:t xml:space="preserve">And Jeremiah said to the king, If I tell you, will you not surely kill me? And if I advise you, you will certainly not hear me.</w:t>
      </w:r>
    </w:p>
    <w:p>
      <w:r>
        <w:rPr>
          <w:b/>
        </w:rPr>
        <w:t xml:space="preserve">16 </w:t>
      </w:r>
      <w:r>
        <w:t xml:space="preserve">And the king swore to him, saying, As the Lord lives, who made this soul for us, I will not kill you, and I will not give you into the hands of these men.</w:t>
      </w:r>
    </w:p>
    <w:p>
      <w:r>
        <w:rPr>
          <w:b/>
        </w:rPr>
        <w:t xml:space="preserve">17 </w:t>
      </w:r>
      <w:r>
        <w:t xml:space="preserve">And Jeremiah said to him, Thus said the Lord: If in going out you go out to the rulers of the king of Babylon, your soul will live and this city will certainly not be burned with fire, and you and your house will live.</w:t>
      </w:r>
    </w:p>
    <w:p>
      <w:r>
        <w:rPr>
          <w:b/>
        </w:rPr>
        <w:t xml:space="preserve">18 </w:t>
      </w:r>
      <w:r>
        <w:t xml:space="preserve">And if you do not go out, this city will be given into the hands of the Chaldeans, and they will burn it with fire, and you will certainly not be saved.</w:t>
      </w:r>
    </w:p>
    <w:p>
      <w:r>
        <w:rPr>
          <w:b/>
        </w:rPr>
        <w:t xml:space="preserve">19 </w:t>
      </w:r>
      <w:r>
        <w:t xml:space="preserve">And the king said to Jeremiah, I have concern because of the Judeans who have fled to the Chaldeans, lest they give me into their hands and mock me.</w:t>
      </w:r>
    </w:p>
    <w:p>
      <w:r>
        <w:rPr>
          <w:b/>
        </w:rPr>
        <w:t xml:space="preserve">20 </w:t>
      </w:r>
      <w:r>
        <w:t xml:space="preserve">And Jeremiah said, They will certainly not hand you over. Hear the word of the Lord which I speak to you, and it will be better for you, and your soul will live.</w:t>
      </w:r>
    </w:p>
    <w:p>
      <w:r>
        <w:rPr>
          <w:b/>
        </w:rPr>
        <w:t xml:space="preserve">21 </w:t>
      </w:r>
      <w:r>
        <w:t xml:space="preserve">And if you do not want to go out, this is the word which the Lord showed me:</w:t>
      </w:r>
    </w:p>
    <w:p>
      <w:r>
        <w:rPr>
          <w:b/>
        </w:rPr>
        <w:t xml:space="preserve">22 </w:t>
      </w:r>
      <w:r>
        <w:t xml:space="preserve">And behold, all the women left in the house of the king of Judah were being brought out to the rulers of the king of Babylon, and they said, Your men of peace deceived you and will prevail against you; they will set your feet in slippery places; they turned away from you.</w:t>
      </w:r>
    </w:p>
    <w:p>
      <w:r>
        <w:rPr>
          <w:b/>
        </w:rPr>
        <w:t xml:space="preserve">23 </w:t>
      </w:r>
      <w:r>
        <w:t xml:space="preserve">And your wives and your children they will bring out to the Chaldeans, and you will certainly not be saved, because by the hand of the king of Babylon you will be seized, and this city will be burned.</w:t>
      </w:r>
    </w:p>
    <w:p>
      <w:r>
        <w:rPr>
          <w:b/>
        </w:rPr>
        <w:t xml:space="preserve">24 </w:t>
      </w:r>
      <w:r>
        <w:t xml:space="preserve">And the king said to him, Let no man know of these words, and you will certainly not die.</w:t>
      </w:r>
    </w:p>
    <w:p>
      <w:r>
        <w:rPr>
          <w:b/>
        </w:rPr>
        <w:t xml:space="preserve">25 </w:t>
      </w:r>
      <w:r>
        <w:t xml:space="preserve">And if the rulers hear that I spoke to you and come to you and say, Tell us what the king spoke to you. Do not hide it from us, and we will certainly not kill you. What did the king speak to you?</w:t>
      </w:r>
    </w:p>
    <w:p>
      <w:r>
        <w:rPr>
          <w:b/>
        </w:rPr>
        <w:t xml:space="preserve">26 </w:t>
      </w:r>
      <w:r>
        <w:t xml:space="preserve">then you will say to them, I cast my plea for mercy before the eyes of the king, so as not to turn me back to the house of Jonathan to die there.</w:t>
      </w:r>
    </w:p>
    <w:p>
      <w:r>
        <w:rPr>
          <w:b/>
        </w:rPr>
        <w:t xml:space="preserve">27 </w:t>
      </w:r>
      <w:r>
        <w:t xml:space="preserve">And all the rulers came to Jeremiah and questioned him, and he announced to them according to all these words which the king commanded him, and they were silent, because the lord's word was not heard.</w:t>
      </w:r>
    </w:p>
    <w:p>
      <w:r>
        <w:rPr>
          <w:b/>
        </w:rPr>
        <w:t xml:space="preserve">28 </w:t>
      </w:r>
      <w:r>
        <w:t xml:space="preserve">And Jeremiah sat in the court of the prison until the time when Jerusalem was taken.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46</w:t>
      </w:r>
    </w:p>
    <w:p>
      <w:r>
        <w:rPr>
          <w:b/>
        </w:rPr>
        <w:t xml:space="preserve">1 </w:t>
      </w:r>
      <w:r>
        <w:t xml:space="preserve">And it happened in the ninth year of Zedekiah king of Judah, in the tenth month, Nebuchadnezzar king of Babylon came, he and all his force, against</w:t>
      </w:r>
      <w:r>
        <w:rPr>
          <w:rStyle w:val="FootnoteReference"/>
        </w:rPr>
        <w:footnoteReference w:id="12719"/>
      </w:r>
      <w:r>
        <w:t xml:space="preserve"> Jerusalem and besieged it.</w:t>
      </w:r>
    </w:p>
    <w:p>
      <w:r>
        <w:rPr>
          <w:b/>
        </w:rPr>
        <w:t xml:space="preserve">2 </w:t>
      </w:r>
      <w:r>
        <w:t xml:space="preserve">And in the eleventh year of Zedekiah, in the fourth month, on the ninth of the month, the city was breached.</w:t>
      </w:r>
    </w:p>
    <w:p>
      <w:r>
        <w:rPr>
          <w:b/>
        </w:rPr>
        <w:t xml:space="preserve">3 </w:t>
      </w:r>
      <w:r>
        <w:t xml:space="preserve">And all the rulers of the king of Babylon entered and sat in the middle gate: Nergal-sareser and Samagoth and Nebusachar and Nebusaris and Nagargasnaser, Rabmag, and the rest of the rulers of the king of Babylon.</w:t>
      </w:r>
    </w:p>
    <w:p>
      <w:r>
        <w:rPr>
          <w:b/>
        </w:rPr>
        <w:t xml:space="preserve">14 </w:t>
      </w:r>
      <w:r>
        <w:t xml:space="preserve">And they sent and took Jeremiah from the court of the prison and gave him to Gedaliah son of Ahikam son of Shaphan, and they brought him out, and he sat in the midst of the people.</w:t>
      </w:r>
    </w:p>
    <w:p>
      <w:r>
        <w:rPr>
          <w:b/>
        </w:rPr>
        <w:t xml:space="preserve">15 </w:t>
      </w:r>
      <w:r>
        <w:t xml:space="preserve">And the word of the Lord</w:t>
      </w:r>
      <w:r>
        <w:rPr>
          <w:rStyle w:val="FootnoteReference"/>
        </w:rPr>
        <w:footnoteReference w:id="12720"/>
      </w:r>
      <w:r>
        <w:t xml:space="preserve"> came to Jeremiah in the court of the prison, saying,</w:t>
      </w:r>
    </w:p>
    <w:p>
      <w:r>
        <w:rPr>
          <w:b/>
        </w:rPr>
        <w:t xml:space="preserve">16 </w:t>
      </w:r>
      <w:r>
        <w:t xml:space="preserve">Go and say to Ebed-melech the Ethiopian, Thus said the Lord God of Israel: Behold, I bring my words upon this city for evil things and not for good things.</w:t>
      </w:r>
    </w:p>
    <w:p>
      <w:r>
        <w:rPr>
          <w:b/>
        </w:rPr>
        <w:t xml:space="preserve">17 </w:t>
      </w:r>
      <w:r>
        <w:t xml:space="preserve">And I will save you in that day, and I will certainly not give you into the hands of the men whose face you fear.</w:t>
      </w:r>
    </w:p>
    <w:p>
      <w:r>
        <w:rPr>
          <w:b/>
        </w:rPr>
        <w:t xml:space="preserve">18 </w:t>
      </w:r>
      <w:r>
        <w:t xml:space="preserve">Because in saving, I will save you, and by sword you will certainly not fall, and your soul will be for gain, because you trusted in me,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47</w:t>
      </w:r>
    </w:p>
    <w:p>
      <w:r>
        <w:rPr>
          <w:b/>
        </w:rPr>
        <w:t xml:space="preserve">1 </w:t>
      </w:r>
      <w:r>
        <w:t xml:space="preserve">The word that came from the Lord to Jeremiah later, after Nebuzaradan the chief cook sent him away from Ramah, when he took him in handcuffs in the midst of the exile of Judah being led to Babylon.</w:t>
      </w:r>
    </w:p>
    <w:p>
      <w:r>
        <w:rPr>
          <w:b/>
        </w:rPr>
        <w:t xml:space="preserve">2 </w:t>
      </w:r>
      <w:r>
        <w:t xml:space="preserve">And the chief cook took him and said to him, The Lord your God spoke these evils against this place.</w:t>
      </w:r>
    </w:p>
    <w:p>
      <w:r>
        <w:rPr>
          <w:b/>
        </w:rPr>
        <w:t xml:space="preserve">3 </w:t>
      </w:r>
      <w:r>
        <w:t xml:space="preserve">And the Lord did it because you sinned against him and did not hear his voice.</w:t>
      </w:r>
    </w:p>
    <w:p>
      <w:r>
        <w:rPr>
          <w:b/>
        </w:rPr>
        <w:t xml:space="preserve">4 </w:t>
      </w:r>
      <w:r>
        <w:t xml:space="preserve">Behold, I released you from the handcuffs on your hands. If it is good before you to come with me into Babylon, come, and I will set my eyes on you.</w:t>
      </w:r>
    </w:p>
    <w:p>
      <w:r>
        <w:rPr>
          <w:b/>
        </w:rPr>
        <w:t xml:space="preserve">5 </w:t>
      </w:r>
      <w:r>
        <w:t xml:space="preserve">And if not, run back and return to Gedaliah son of Ahikam son of Shaphan, whom the king of Babylon appointed in the land of Judah, and dwell with him in the midst of the people in the land of Judah. Go wherever it is good in your eyes to go. And the chief cook gave him provisions and gifts and sent him away.</w:t>
      </w:r>
    </w:p>
    <w:p>
      <w:r>
        <w:rPr>
          <w:b/>
        </w:rPr>
        <w:t xml:space="preserve">6 </w:t>
      </w:r>
      <w:r>
        <w:t xml:space="preserve">And he came to Gedaliah at Mizpah and sat in the midst of the people left in the land.</w:t>
      </w:r>
    </w:p>
    <w:p>
      <w:r>
        <w:rPr>
          <w:b/>
        </w:rPr>
        <w:t xml:space="preserve">7 </w:t>
      </w:r>
      <w:r>
        <w:t xml:space="preserve">And all the leaders of the force in the field, they and their men, heard that the king of Babylon appointed Gedaliah in the land and entrusted to him men and their women, those not exiled to Babylon.</w:t>
      </w:r>
    </w:p>
    <w:p>
      <w:r>
        <w:rPr>
          <w:b/>
        </w:rPr>
        <w:t xml:space="preserve">8 </w:t>
      </w:r>
      <w:r>
        <w:t xml:space="preserve">And Ishmael son of Nethaniah and Johanan son of Kareah</w:t>
      </w:r>
      <w:r>
        <w:rPr>
          <w:rStyle w:val="FootnoteReference"/>
        </w:rPr>
        <w:footnoteReference w:id="12721"/>
      </w:r>
      <w:r>
        <w:t xml:space="preserve"> and Seraiah son of Tanhumeth and sons of Ephai</w:t>
      </w:r>
      <w:r>
        <w:rPr>
          <w:rStyle w:val="FootnoteReference"/>
        </w:rPr>
        <w:footnoteReference w:id="12722"/>
      </w:r>
      <w:r>
        <w:t xml:space="preserve"> the Netophathite and Jezaniah son of the Maachathite came to Gedaliah at Mizpah, they and their men.</w:t>
      </w:r>
    </w:p>
    <w:p>
      <w:r>
        <w:rPr>
          <w:b/>
        </w:rPr>
        <w:t xml:space="preserve">9 </w:t>
      </w:r>
      <w:r>
        <w:t xml:space="preserve">And Gedaliah swore to them and to their men, saying, Do not fear from the face of the servants of the Chaldeans. Dwell in the land and serve the king of Babylon, and it will be better for you.</w:t>
      </w:r>
    </w:p>
    <w:p>
      <w:r>
        <w:rPr>
          <w:b/>
        </w:rPr>
        <w:t xml:space="preserve">10 </w:t>
      </w:r>
      <w:r>
        <w:t xml:space="preserve">And behold, I sit before you in Mizpah, to stand before the face of the Chaldeans who may come upon you. And you gather wine and summer fruit and oil and put them into your vessels and dwell in the cities which you seized.</w:t>
      </w:r>
    </w:p>
    <w:p>
      <w:r>
        <w:rPr>
          <w:b/>
        </w:rPr>
        <w:t xml:space="preserve">11 </w:t>
      </w:r>
      <w:r>
        <w:t xml:space="preserve">And all the Judeans in the land of Moab and among the sons of Ammon and in Edom and in all the land heard that the king of Babylon gave a remnant to Judah and appointed over them Gedaliah son of Ahikam.</w:t>
      </w:r>
    </w:p>
    <w:p>
      <w:r>
        <w:rPr>
          <w:b/>
        </w:rPr>
        <w:t xml:space="preserve">12 </w:t>
      </w:r>
      <w:r>
        <w:t xml:space="preserve">And they came to Gedaliah into the land of Judah, to Mizpah, and gathered wine and very much summer fruit and oil.</w:t>
      </w:r>
    </w:p>
    <w:p>
      <w:r>
        <w:rPr>
          <w:b/>
        </w:rPr>
        <w:t xml:space="preserve">13 </w:t>
      </w:r>
      <w:r>
        <w:t xml:space="preserve">And Johanan son of Kareah and all the leaders of the force in the fields came to Gedaliah at Mizpah</w:t>
      </w:r>
    </w:p>
    <w:p>
      <w:r>
        <w:rPr>
          <w:b/>
        </w:rPr>
        <w:t xml:space="preserve">14 </w:t>
      </w:r>
      <w:r>
        <w:t xml:space="preserve">and said to him, In knowledge do you know that Baalis</w:t>
      </w:r>
      <w:r>
        <w:rPr>
          <w:rStyle w:val="FootnoteReference"/>
        </w:rPr>
        <w:footnoteReference w:id="12723"/>
      </w:r>
      <w:r>
        <w:t xml:space="preserve"> king of the sons of Ammon sent Ishmael to strike your soul? And Gedaliah did not believe them.</w:t>
      </w:r>
    </w:p>
    <w:p>
      <w:r>
        <w:rPr>
          <w:b/>
        </w:rPr>
        <w:t xml:space="preserve">15 </w:t>
      </w:r>
      <w:r>
        <w:t xml:space="preserve">And Johanan said to Gedaliah secretly in Mizpah, I will go now and strike Ishmael and let no one know. Why should he strike your soul and all Judah gathered to you be scattered and the remnant of Judah perish?</w:t>
      </w:r>
    </w:p>
    <w:p>
      <w:r>
        <w:rPr>
          <w:b/>
        </w:rPr>
        <w:t xml:space="preserve">16 </w:t>
      </w:r>
      <w:r>
        <w:t xml:space="preserve">And Gedaliah said to Johanan, Do not do this thing, because you are speaking lies concerning Ishmael.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48</w:t>
      </w:r>
    </w:p>
    <w:p>
      <w:r>
        <w:rPr>
          <w:b/>
        </w:rPr>
        <w:t xml:space="preserve">1 </w:t>
      </w:r>
      <w:r>
        <w:t xml:space="preserve">And it happened in the seventh month, Ishmael son of Nethaniah son of Elasa</w:t>
      </w:r>
      <w:r>
        <w:rPr>
          <w:rStyle w:val="FootnoteReference"/>
        </w:rPr>
        <w:footnoteReference w:id="12724"/>
      </w:r>
      <w:r>
        <w:t xml:space="preserve">, from the seed of the king, and ten men with him came to Gedaliah at Mizpah, and they ate bread there together.</w:t>
      </w:r>
    </w:p>
    <w:p>
      <w:r>
        <w:rPr>
          <w:b/>
        </w:rPr>
        <w:t xml:space="preserve">2 </w:t>
      </w:r>
      <w:r>
        <w:t xml:space="preserve">And Ishmael rose up, and the ten men who were with him, and struck Gedaliah whom the king of Babylon had appointed over the land.</w:t>
      </w:r>
    </w:p>
    <w:p>
      <w:r>
        <w:rPr>
          <w:b/>
        </w:rPr>
        <w:t xml:space="preserve">3 </w:t>
      </w:r>
      <w:r>
        <w:t xml:space="preserve">and all the Judeans who were with him in Mizpah, and all the Chaldeans found there.</w:t>
      </w:r>
    </w:p>
    <w:p>
      <w:r>
        <w:rPr>
          <w:b/>
        </w:rPr>
        <w:t xml:space="preserve">4 </w:t>
      </w:r>
      <w:r>
        <w:t xml:space="preserve">And it happened on the second day after he struck Gedaliah, and no man knew,</w:t>
      </w:r>
    </w:p>
    <w:p>
      <w:r>
        <w:rPr>
          <w:b/>
        </w:rPr>
        <w:t xml:space="preserve">5 </w:t>
      </w:r>
      <w:r>
        <w:t xml:space="preserve">that men came from Shechem and from Shalem and from Samaria, eighty men with beards shaved, garments torn, and cutting themselves, with manna and frankincense in their hands to bring into the house of the Lord.</w:t>
      </w:r>
    </w:p>
    <w:p>
      <w:r>
        <w:rPr>
          <w:b/>
        </w:rPr>
        <w:t xml:space="preserve">6 </w:t>
      </w:r>
      <w:r>
        <w:t xml:space="preserve">And Ishmael went out to meet them. They were going and weeping, and he said to them, Enter to Gedaliah.</w:t>
      </w:r>
    </w:p>
    <w:p>
      <w:r>
        <w:rPr>
          <w:b/>
        </w:rPr>
        <w:t xml:space="preserve">7 </w:t>
      </w:r>
      <w:r>
        <w:t xml:space="preserve">And it happened when they entered into the midst of the city, he slaughtered them into the pit.</w:t>
      </w:r>
    </w:p>
    <w:p>
      <w:r>
        <w:rPr>
          <w:b/>
        </w:rPr>
        <w:t xml:space="preserve">8 </w:t>
      </w:r>
      <w:r>
        <w:t xml:space="preserve">And ten men were found there, and they said to Ishmael, Do not kill us, because we have treasures in the field: wheat and barley, honey and oil. And he passed by and did not kill them in the midst of their brothers.</w:t>
      </w:r>
    </w:p>
    <w:p>
      <w:r>
        <w:rPr>
          <w:b/>
        </w:rPr>
        <w:t xml:space="preserve">9 </w:t>
      </w:r>
      <w:r>
        <w:t xml:space="preserve">And the pit into which Ishmael threw all whom he struck was the great pit which King Asa made because of Baasha king of Israel. Ishmael filled it with wounded men.</w:t>
      </w:r>
    </w:p>
    <w:p>
      <w:r>
        <w:rPr>
          <w:b/>
        </w:rPr>
        <w:t xml:space="preserve">10 </w:t>
      </w:r>
      <w:r>
        <w:t xml:space="preserve">And Ishmael carried off all the people left in Mizpah, and the daughters of the king whom the chief cook entrusted to Gedaliah son of Ahikam, and he went away beyond the sons of Ammon.</w:t>
      </w:r>
    </w:p>
    <w:p>
      <w:r>
        <w:rPr>
          <w:b/>
        </w:rPr>
        <w:t xml:space="preserve">11 </w:t>
      </w:r>
      <w:r>
        <w:t xml:space="preserve">And Johanan son of Kareah and all the leaders of the force with him heard all the evils which Ishmael had done.</w:t>
      </w:r>
    </w:p>
    <w:p>
      <w:r>
        <w:rPr>
          <w:b/>
        </w:rPr>
        <w:t xml:space="preserve">12 </w:t>
      </w:r>
      <w:r>
        <w:t xml:space="preserve">And they brought all their camp and went to fight him and found him by the great water in Gibeon.</w:t>
      </w:r>
    </w:p>
    <w:p>
      <w:r>
        <w:rPr>
          <w:b/>
        </w:rPr>
        <w:t xml:space="preserve">13 </w:t>
      </w:r>
      <w:r>
        <w:t xml:space="preserve">And it happened when all the people with Ishmael saw Johanan and the leaders of the force with him,</w:t>
      </w:r>
    </w:p>
    <w:p>
      <w:r>
        <w:rPr>
          <w:b/>
        </w:rPr>
        <w:t xml:space="preserve">14 </w:t>
      </w:r>
      <w:r>
        <w:t xml:space="preserve">they turned back to Johanan.</w:t>
      </w:r>
    </w:p>
    <w:p>
      <w:r>
        <w:rPr>
          <w:b/>
        </w:rPr>
        <w:t xml:space="preserve">15 </w:t>
      </w:r>
      <w:r>
        <w:t xml:space="preserve">And Ishmael escaped with eight men and went to the sons of Ammon.</w:t>
      </w:r>
    </w:p>
    <w:p>
      <w:r>
        <w:rPr>
          <w:b/>
        </w:rPr>
        <w:t xml:space="preserve">16 </w:t>
      </w:r>
      <w:r>
        <w:t xml:space="preserve">And Johanan and all the leaders of the force with him took all the remnant of the people whom he turned back from Ishmael: mighty men in war, the women, the rest, and the eunuchs whom he turned back from Gibeon.</w:t>
      </w:r>
    </w:p>
    <w:p>
      <w:r>
        <w:rPr>
          <w:b/>
        </w:rPr>
        <w:t xml:space="preserve">17 </w:t>
      </w:r>
      <w:r>
        <w:t xml:space="preserve">And they went and sat in Gaberoth-chamaam near Bethlehem, to go enter Egypt</w:t>
      </w:r>
    </w:p>
    <w:p>
      <w:r>
        <w:rPr>
          <w:b/>
        </w:rPr>
        <w:t xml:space="preserve">18 </w:t>
      </w:r>
      <w:r>
        <w:t xml:space="preserve">from before the Chaldeans, because they feared before their face, because Ishmael struck Gedaliah whom the king of Babylon appointed in the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49</w:t>
      </w:r>
    </w:p>
    <w:p>
      <w:r>
        <w:rPr>
          <w:b/>
        </w:rPr>
        <w:t xml:space="preserve">1 </w:t>
      </w:r>
      <w:r>
        <w:t xml:space="preserve">And all the leaders of the force came near, and Johanan and Azariah son of Maaseiah and all the people from small to great,</w:t>
      </w:r>
    </w:p>
    <w:p>
      <w:r>
        <w:rPr>
          <w:b/>
        </w:rPr>
        <w:t xml:space="preserve">2 </w:t>
      </w:r>
      <w:r>
        <w:t xml:space="preserve">to Jeremiah the prophet and said to him, Let our plea for mercy now fall before your face, and pray to the Lord your God concerning these remnants, because we have been left few from many, as your eyes see.</w:t>
      </w:r>
    </w:p>
    <w:p>
      <w:r>
        <w:rPr>
          <w:b/>
        </w:rPr>
        <w:t xml:space="preserve">3 </w:t>
      </w:r>
      <w:r>
        <w:t xml:space="preserve">And let the Lord your God announce to us the way in which we should go and the word which we should do.</w:t>
      </w:r>
    </w:p>
    <w:p>
      <w:r>
        <w:rPr>
          <w:b/>
        </w:rPr>
        <w:t xml:space="preserve">4 </w:t>
      </w:r>
      <w:r>
        <w:t xml:space="preserve">And Jeremiah said to them, I have heard. Behold, I will pray to the Lord our God according to your words, and whatever word the Lord answers, I will announce to you. I will certainly not hide a word from you.</w:t>
      </w:r>
    </w:p>
    <w:p>
      <w:r>
        <w:rPr>
          <w:b/>
        </w:rPr>
        <w:t xml:space="preserve">5 </w:t>
      </w:r>
      <w:r>
        <w:t xml:space="preserve">And they said to Jeremiah, Let the Lord be among us as a righteous and faithful witness if we do not do so according to every word which the Lord sends you to us.</w:t>
      </w:r>
    </w:p>
    <w:p>
      <w:r>
        <w:rPr>
          <w:b/>
        </w:rPr>
        <w:t xml:space="preserve">6 </w:t>
      </w:r>
      <w:r>
        <w:t xml:space="preserve">Whether good or evil, the voice of the Lord our God, to whom we are sending you, we will hear, so that it may be better for us, because we will hear the voice of the Lord our God.</w:t>
      </w:r>
    </w:p>
    <w:p>
      <w:r>
        <w:rPr>
          <w:b/>
        </w:rPr>
        <w:t xml:space="preserve">7 </w:t>
      </w:r>
      <w:r>
        <w:t xml:space="preserve">And it happened after ten days, that the word of the Lord came to Jeremiah.</w:t>
      </w:r>
    </w:p>
    <w:p>
      <w:r>
        <w:rPr>
          <w:b/>
        </w:rPr>
        <w:t xml:space="preserve">8 </w:t>
      </w:r>
      <w:r>
        <w:t xml:space="preserve">And he called Johanan and the leaders of the force and all the people from small to great,</w:t>
      </w:r>
    </w:p>
    <w:p>
      <w:r>
        <w:rPr>
          <w:b/>
        </w:rPr>
        <w:t xml:space="preserve">9 </w:t>
      </w:r>
      <w:r>
        <w:t xml:space="preserve">and said to them, Thus said the Lord:</w:t>
      </w:r>
    </w:p>
    <w:p>
      <w:r>
        <w:rPr>
          <w:b/>
        </w:rPr>
        <w:t xml:space="preserve">10 </w:t>
      </w:r>
      <w:r>
        <w:t xml:space="preserve">If in settling you settle in this land, I will build you and certainly not tear down, and I will plant you and certainly not pull up, because I have ceased from the evils which I did to you.</w:t>
      </w:r>
    </w:p>
    <w:p>
      <w:r>
        <w:rPr>
          <w:b/>
        </w:rPr>
        <w:t xml:space="preserve">11 </w:t>
      </w:r>
      <w:r>
        <w:t xml:space="preserve">Do not fear before the face of the king of Babylon, whom you fear before his face. Do not fear, says the Lord, because I am with you to rescue you and save you from his hand.</w:t>
      </w:r>
    </w:p>
    <w:p>
      <w:r>
        <w:rPr>
          <w:b/>
        </w:rPr>
        <w:t xml:space="preserve">12 </w:t>
      </w:r>
      <w:r>
        <w:t xml:space="preserve">And I will give you mercy and have mercy on you and restore you to your land.</w:t>
      </w:r>
    </w:p>
    <w:p>
      <w:r>
        <w:rPr>
          <w:b/>
        </w:rPr>
        <w:t xml:space="preserve">13 </w:t>
      </w:r>
      <w:r>
        <w:t xml:space="preserve">And if you say, We will certainly not settle in this land, so as not to hear the voice of the Lord,</w:t>
      </w:r>
    </w:p>
    <w:p>
      <w:r>
        <w:rPr>
          <w:b/>
        </w:rPr>
        <w:t xml:space="preserve">14 </w:t>
      </w:r>
      <w:r>
        <w:t xml:space="preserve">because we will enter the land of Egypt and will certainly not see war and will certainly not hear the sound of a trumpet and will certainly not hunger for bread, and there we will dwell,</w:t>
      </w:r>
    </w:p>
    <w:p>
      <w:r>
        <w:rPr>
          <w:b/>
        </w:rPr>
        <w:t xml:space="preserve">15 </w:t>
      </w:r>
      <w:r>
        <w:t xml:space="preserve">therefore hear the word of the Lord. Thus said the Lord: If you set your face toward Egypt and enter there to dwell,</w:t>
      </w:r>
    </w:p>
    <w:p>
      <w:r>
        <w:rPr>
          <w:b/>
        </w:rPr>
        <w:t xml:space="preserve">16 </w:t>
      </w:r>
      <w:r>
        <w:t xml:space="preserve">then the sword which you fear before its face will find you in the land of Egypt, and the famine about which you have concern will overtake you behind you in Egypt, and there you will die.</w:t>
      </w:r>
    </w:p>
    <w:p>
      <w:r>
        <w:rPr>
          <w:b/>
        </w:rPr>
        <w:t xml:space="preserve">17 </w:t>
      </w:r>
      <w:r>
        <w:t xml:space="preserve">And all the men and all the foreigners who set their face toward the land of Egypt to dwell there will fail by the sword and by the famine. There will not be one of them saved from the evils which I bring on them.</w:t>
      </w:r>
    </w:p>
    <w:p>
      <w:r>
        <w:rPr>
          <w:b/>
        </w:rPr>
        <w:t xml:space="preserve">18 </w:t>
      </w:r>
      <w:r>
        <w:t xml:space="preserve">Because thus said the Lord: As my wrath dripped upon the dwellers of Jerusalem, so my wrath will drip on you when you enter Egypt, and you will become trackless waste and subject people, and for a curse and for reproach, and you will not see this place again.</w:t>
      </w:r>
    </w:p>
    <w:p>
      <w:r>
        <w:rPr>
          <w:b/>
        </w:rPr>
        <w:t xml:space="preserve">19 </w:t>
      </w:r>
      <w:r>
        <w:t xml:space="preserve">The Lord has spoken these things against you, remnants of Judah: Do not enter Egypt. And now in knowing, you will know,</w:t>
      </w:r>
    </w:p>
    <w:p>
      <w:r>
        <w:rPr>
          <w:b/>
        </w:rPr>
        <w:t xml:space="preserve">20 </w:t>
      </w:r>
      <w:r>
        <w:t xml:space="preserve">because you acted wickedly in your souls when you sent me, saying, Pray concerning us to the Lord, and according to everything the Lord speaks to you, we will do.</w:t>
      </w:r>
    </w:p>
    <w:p>
      <w:r>
        <w:rPr>
          <w:b/>
        </w:rPr>
        <w:t xml:space="preserve">21 </w:t>
      </w:r>
      <w:r>
        <w:t xml:space="preserve">And you did not hear the voice of the Lord, with which he sent me to you.</w:t>
      </w:r>
    </w:p>
    <w:p>
      <w:r>
        <w:rPr>
          <w:b/>
        </w:rPr>
        <w:t xml:space="preserve">22 </w:t>
      </w:r>
      <w:r>
        <w:t xml:space="preserve">And now by sword and by famine you will fail in the place where you want to enter and dwell there.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50</w:t>
      </w:r>
    </w:p>
    <w:p>
      <w:r>
        <w:rPr>
          <w:b/>
        </w:rPr>
        <w:t xml:space="preserve">1 </w:t>
      </w:r>
      <w:r>
        <w:t xml:space="preserve">And it happened when Jeremiah</w:t>
      </w:r>
      <w:r>
        <w:rPr>
          <w:rStyle w:val="FootnoteReference"/>
        </w:rPr>
        <w:footnoteReference w:id="12725"/>
      </w:r>
      <w:r>
        <w:t xml:space="preserve"> ceased speaking to the people all the words of the Lord, all these words with which the Lord had sent him to them,</w:t>
      </w:r>
    </w:p>
    <w:p>
      <w:r>
        <w:rPr>
          <w:b/>
        </w:rPr>
        <w:t xml:space="preserve">2 </w:t>
      </w:r>
      <w:r>
        <w:t xml:space="preserve">Azariah son of Maaseiah and Johanan son of Kareah and all the men said to Jeremiah, You are speaking lies. The Lord did not send you to us, saying, Do not enter Egypt to dwell there.</w:t>
      </w:r>
    </w:p>
    <w:p>
      <w:r>
        <w:rPr>
          <w:b/>
        </w:rPr>
        <w:t xml:space="preserve">3 </w:t>
      </w:r>
      <w:r>
        <w:t xml:space="preserve">But Baruch son of Neriah is setting you against us, so as to give us into the hands of the Chaldeans, to put us to death and deport us to Babylon.</w:t>
      </w:r>
    </w:p>
    <w:p>
      <w:r>
        <w:rPr>
          <w:b/>
        </w:rPr>
        <w:t xml:space="preserve">4 </w:t>
      </w:r>
      <w:r>
        <w:t xml:space="preserve">And Johanan and all the leaders of the force and all the people did not hear the voice of the Lord, to dwell in the land of Judah.</w:t>
      </w:r>
    </w:p>
    <w:p>
      <w:r>
        <w:rPr>
          <w:b/>
        </w:rPr>
        <w:t xml:space="preserve">5 </w:t>
      </w:r>
      <w:r>
        <w:t xml:space="preserve">And Johanan and all the leaders of the force took all the remnant of Judah who had returned to dwell in the land,</w:t>
      </w:r>
    </w:p>
    <w:p>
      <w:r>
        <w:rPr>
          <w:b/>
        </w:rPr>
        <w:t xml:space="preserve">6 </w:t>
      </w:r>
      <w:r>
        <w:t xml:space="preserve">the mighty men, the women, the infants, the daughters of the king, and the souls whom Nebuzaradan had left with Gedaliah son of Ahikam, and Jeremiah the prophet and Baruch son of Neriah,</w:t>
      </w:r>
    </w:p>
    <w:p>
      <w:r>
        <w:rPr>
          <w:b/>
        </w:rPr>
        <w:t xml:space="preserve">7 </w:t>
      </w:r>
      <w:r>
        <w:t xml:space="preserve">and they entered Egypt because they did not hear the voice of the Lord, and they entered Tahpanhes.</w:t>
      </w:r>
    </w:p>
    <w:p>
      <w:r>
        <w:rPr>
          <w:b/>
        </w:rPr>
        <w:t xml:space="preserve">8 </w:t>
      </w:r>
      <w:r>
        <w:t xml:space="preserve">And the word of the Lord came to Jeremiah in Tahpanhes, saying,</w:t>
      </w:r>
    </w:p>
    <w:p>
      <w:r>
        <w:rPr>
          <w:b/>
        </w:rPr>
        <w:t xml:space="preserve">9 </w:t>
      </w:r>
      <w:r>
        <w:t xml:space="preserve">Take great stones for yourself and hide them in the forecourt at the gate of the house of Pharaoh in Tahpanhes, before the eyes of the men of Judah.</w:t>
      </w:r>
    </w:p>
    <w:p>
      <w:r>
        <w:rPr>
          <w:b/>
        </w:rPr>
        <w:t xml:space="preserve">10 </w:t>
      </w:r>
      <w:r>
        <w:t xml:space="preserve">And you will say, Thus said the Lord: Behold, I send and will bring Nebuchadnezzar king of Babylon, and he will set his throne above these stones which you hid and will raise his weapons over them.</w:t>
      </w:r>
    </w:p>
    <w:p>
      <w:r>
        <w:rPr>
          <w:b/>
        </w:rPr>
        <w:t xml:space="preserve">11 </w:t>
      </w:r>
      <w:r>
        <w:t xml:space="preserve">And he will enter and strike the land of Egypt: those for death, to death; those for exile, to exile; and those for sword, to sword.</w:t>
      </w:r>
    </w:p>
    <w:p>
      <w:r>
        <w:rPr>
          <w:b/>
        </w:rPr>
        <w:t xml:space="preserve">12 </w:t>
      </w:r>
      <w:r>
        <w:t xml:space="preserve">And he will burn a fire in the houses of their gods, burn them, and carry them away, and he will delouse the land of Egypt as a shepherd delouses his garment, and he will go out in peace.</w:t>
      </w:r>
    </w:p>
    <w:p>
      <w:r>
        <w:rPr>
          <w:b/>
        </w:rPr>
        <w:t xml:space="preserve">13 </w:t>
      </w:r>
      <w:r>
        <w:t xml:space="preserve">And he will shatter the pillars of Sun-city, those in On, and their houses he will burn with fire.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51</w:t>
      </w:r>
    </w:p>
    <w:p>
      <w:r>
        <w:rPr>
          <w:b/>
        </w:rPr>
        <w:t xml:space="preserve">1 </w:t>
      </w:r>
      <w:r>
        <w:t xml:space="preserve">The word that came to Jeremiah for all the Judeans dwelling in the land of Egypt, and for those sitting in Migdol and in Tahpanhes and in the land of Pathros</w:t>
      </w:r>
      <w:r>
        <w:rPr>
          <w:rStyle w:val="FootnoteReference"/>
        </w:rPr>
        <w:footnoteReference w:id="12726"/>
      </w:r>
      <w:r>
        <w:t xml:space="preserve">, saying,</w:t>
      </w:r>
    </w:p>
    <w:p>
      <w:r>
        <w:rPr>
          <w:b/>
        </w:rPr>
        <w:t xml:space="preserve">2 </w:t>
      </w:r>
      <w:r>
        <w:t xml:space="preserve">Thus said the Lord God of Israel: You have seen all the evils which I brought upon Jerusalem and upon the cities of Judah, and behold, they are desolate, without dwellers,</w:t>
      </w:r>
    </w:p>
    <w:p>
      <w:r>
        <w:rPr>
          <w:b/>
        </w:rPr>
        <w:t xml:space="preserve">3 </w:t>
      </w:r>
      <w:r>
        <w:t xml:space="preserve">because of their evil things which they did to provoke me by going to burn incense to other gods whom you did not know.</w:t>
      </w:r>
    </w:p>
    <w:p>
      <w:r>
        <w:rPr>
          <w:b/>
        </w:rPr>
        <w:t xml:space="preserve">4 </w:t>
      </w:r>
      <w:r>
        <w:t xml:space="preserve">And I sent to you my servants the prophets, rising early and sending, saying, Do not do the deed of this pollution which I hated.</w:t>
      </w:r>
    </w:p>
    <w:p>
      <w:r>
        <w:rPr>
          <w:b/>
        </w:rPr>
        <w:t xml:space="preserve">5 </w:t>
      </w:r>
      <w:r>
        <w:t xml:space="preserve">And they did not hear me and did not incline their ear to turn back from their evils, so as not to burn incense to other gods.</w:t>
      </w:r>
    </w:p>
    <w:p>
      <w:r>
        <w:rPr>
          <w:b/>
        </w:rPr>
        <w:t xml:space="preserve">6 </w:t>
      </w:r>
      <w:r>
        <w:t xml:space="preserve">And my wrath and my anger dripped and burned in the cities of Judah and outside Jerusalem, and they became desolation and trackless waste, as on this day.</w:t>
      </w:r>
    </w:p>
    <w:p>
      <w:r>
        <w:rPr>
          <w:b/>
        </w:rPr>
        <w:t xml:space="preserve">7 </w:t>
      </w:r>
      <w:r>
        <w:t xml:space="preserve">And now thus said the Lord Almighty: Why are you doing great evils against your souls, to cut off from you man and woman, infant and nursing child from the midst of Judah, so that no one be left to you,</w:t>
      </w:r>
    </w:p>
    <w:p>
      <w:r>
        <w:rPr>
          <w:b/>
        </w:rPr>
        <w:t xml:space="preserve">8 </w:t>
      </w:r>
      <w:r>
        <w:t xml:space="preserve">provoking me by the works of your hands, burning incense to other gods in the land of Egypt into which you entered to dwell there, so that you may be cut off and become a curse and a reproach among all the nations of the earth?</w:t>
      </w:r>
    </w:p>
    <w:p>
      <w:r>
        <w:rPr>
          <w:b/>
        </w:rPr>
        <w:t xml:space="preserve">9 </w:t>
      </w:r>
      <w:r>
        <w:t xml:space="preserve">Have you forgotten the evils of your fathers and the evils of the kings of Judah and the evils of your rulers and the evils of your women, which they did in the land of Judah and outside Jerusalem?</w:t>
      </w:r>
    </w:p>
    <w:p>
      <w:r>
        <w:rPr>
          <w:b/>
        </w:rPr>
        <w:t xml:space="preserve">10 </w:t>
      </w:r>
      <w:r>
        <w:t xml:space="preserve">And they did not cease until this day and did not hold fast to my ordinances which I gave before the face of their fathers.</w:t>
      </w:r>
    </w:p>
    <w:p>
      <w:r>
        <w:rPr>
          <w:b/>
        </w:rPr>
        <w:t xml:space="preserve">11 </w:t>
      </w:r>
      <w:r>
        <w:t xml:space="preserve">Therefore thus said the Lord: Behold, I set my face</w:t>
      </w:r>
    </w:p>
    <w:p>
      <w:r>
        <w:rPr>
          <w:b/>
        </w:rPr>
        <w:t xml:space="preserve">12 </w:t>
      </w:r>
      <w:r>
        <w:t xml:space="preserve">to destroy all the remnant in Egypt, and they will fall by sword and by famine. They will fail from small to great, and they will be for reproach and destruction and curse.</w:t>
      </w:r>
    </w:p>
    <w:p>
      <w:r>
        <w:rPr>
          <w:b/>
        </w:rPr>
        <w:t xml:space="preserve">13 </w:t>
      </w:r>
      <w:r>
        <w:t xml:space="preserve">And I will visit upon those dwelling in the land of Egypt as I visited upon Jerusalem with sword and with famine and with death.</w:t>
      </w:r>
    </w:p>
    <w:p>
      <w:r>
        <w:rPr>
          <w:b/>
        </w:rPr>
        <w:t xml:space="preserve">14 </w:t>
      </w:r>
      <w:r>
        <w:t xml:space="preserve">And there will not be anyone saved among the remnant of Judah sojourning in the land of Egypt, to return to the land of Judah on which they hope in their souls to return there. They will certainly not return, except escaped ones.</w:t>
      </w:r>
    </w:p>
    <w:p>
      <w:r>
        <w:rPr>
          <w:b/>
        </w:rPr>
        <w:t xml:space="preserve">15 </w:t>
      </w:r>
      <w:r>
        <w:t xml:space="preserve">And all the men who knew that their wives were burning incense to other gods answered Jeremiah, and all the women, a great assembly, and all the people dwelling in the land of Egypt in Pathros, saying,</w:t>
      </w:r>
    </w:p>
    <w:p>
      <w:r>
        <w:rPr>
          <w:b/>
        </w:rPr>
        <w:t xml:space="preserve">16 </w:t>
      </w:r>
      <w:r>
        <w:t xml:space="preserve">The word which you spoke to us in the name of the Lord, we will not listen to you.</w:t>
      </w:r>
    </w:p>
    <w:p>
      <w:r>
        <w:rPr>
          <w:b/>
        </w:rPr>
        <w:t xml:space="preserve">17 </w:t>
      </w:r>
      <w:r>
        <w:t xml:space="preserve">Because in doing, we will do every word which goes out from our mouth: to burn incense to the queen of heaven and pour libations to her, just as we and our fathers and our kings and our rulers did in the cities of Judah and outside Jerusalem, and we were filled with bread and were well off and saw no evils.</w:t>
      </w:r>
    </w:p>
    <w:p>
      <w:r>
        <w:rPr>
          <w:b/>
        </w:rPr>
        <w:t xml:space="preserve">18 </w:t>
      </w:r>
      <w:r>
        <w:t xml:space="preserve">And when we stopped burning incense to the queen of heaven, we were all diminished and failed by sword and by famine.</w:t>
      </w:r>
    </w:p>
    <w:p>
      <w:r>
        <w:rPr>
          <w:b/>
        </w:rPr>
        <w:t xml:space="preserve">19 </w:t>
      </w:r>
      <w:r>
        <w:t xml:space="preserve">And when we burn incense to the queen of heaven and pour libations to her, was it without our husbands that we made cakes for her and poured libations to her?</w:t>
      </w:r>
    </w:p>
    <w:p>
      <w:r>
        <w:rPr>
          <w:b/>
        </w:rPr>
        <w:t xml:space="preserve">20 </w:t>
      </w:r>
      <w:r>
        <w:t xml:space="preserve">And Jeremiah said to all the people, to the mighty men and to the women and to all the people who answered him words, saying,</w:t>
      </w:r>
    </w:p>
    <w:p>
      <w:r>
        <w:rPr>
          <w:b/>
        </w:rPr>
        <w:t xml:space="preserve">21 </w:t>
      </w:r>
      <w:r>
        <w:t xml:space="preserve">Was it not the incense which you burned in the cities of Judah and outside Jerusalem, you and your fathers and your kings and your rulers and the people of the land, that the Lord remembered, and did it not rise upon his heart?</w:t>
      </w:r>
    </w:p>
    <w:p>
      <w:r>
        <w:rPr>
          <w:b/>
        </w:rPr>
        <w:t xml:space="preserve">22 </w:t>
      </w:r>
      <w:r>
        <w:t xml:space="preserve">And the Lord was no longer able to bear because of the evil of your deeds, because of the abominations which you did, and your land became desolation and trackless waste and a curse, as on this day,</w:t>
      </w:r>
    </w:p>
    <w:p>
      <w:r>
        <w:rPr>
          <w:b/>
        </w:rPr>
        <w:t xml:space="preserve">23 </w:t>
      </w:r>
      <w:r>
        <w:t xml:space="preserve">because you burned incense and sinned against the Lord and did not hear the voice of the Lord and did not walk in his ordinances and in his law and in his testimonies, and these evils seized you.</w:t>
      </w:r>
    </w:p>
    <w:p>
      <w:r>
        <w:rPr>
          <w:b/>
        </w:rPr>
        <w:t xml:space="preserve">24 </w:t>
      </w:r>
      <w:r>
        <w:t xml:space="preserve">And Jeremiah said to the people and to the women, Hear the word of the Lord.</w:t>
      </w:r>
    </w:p>
    <w:p>
      <w:r>
        <w:rPr>
          <w:b/>
        </w:rPr>
        <w:t xml:space="preserve">25 </w:t>
      </w:r>
      <w:r>
        <w:t xml:space="preserve">Thus said the Lord God of Israel: You women spoke with your mouth and fulfilled with your hands, saying, In doing we will do our vows which we vowed, to burn incense to the queen of heaven and pour libations to her. In abiding, you abided in your vows, and in doing, you did them.</w:t>
      </w:r>
    </w:p>
    <w:p>
      <w:r>
        <w:rPr>
          <w:b/>
        </w:rPr>
        <w:t xml:space="preserve">26 </w:t>
      </w:r>
      <w:r>
        <w:t xml:space="preserve">Therefore hear the word of the Lord, all Judah dwelling in the land of Egypt. Behold, I swore by my great name, said the Lord, that my name shall certainly no longer be in the mouth of any Judah in all the land of Egypt, to say, As the Lord lives, Lord.</w:t>
      </w:r>
    </w:p>
    <w:p>
      <w:r>
        <w:rPr>
          <w:b/>
        </w:rPr>
        <w:t xml:space="preserve">27 </w:t>
      </w:r>
      <w:r>
        <w:t xml:space="preserve">Because behold, I watched over them for evil and not for good, and all Judah dwelling in the land of Egypt will fail by sword and by famine until they disappear.</w:t>
      </w:r>
    </w:p>
    <w:p>
      <w:r>
        <w:rPr>
          <w:b/>
        </w:rPr>
        <w:t xml:space="preserve">28 </w:t>
      </w:r>
      <w:r>
        <w:t xml:space="preserve">And those saved from the sword will return to the land of Judah, few in number, and the remnant of Judah who settled in the land of Egypt to dwell there will know whose word stands.</w:t>
      </w:r>
    </w:p>
    <w:p>
      <w:r>
        <w:rPr>
          <w:b/>
        </w:rPr>
        <w:t xml:space="preserve">29 </w:t>
      </w:r>
      <w:r>
        <w:t xml:space="preserve">And this will be the sign to you that I will visit upon you for evil things.</w:t>
      </w:r>
    </w:p>
    <w:p>
      <w:r>
        <w:rPr>
          <w:b/>
        </w:rPr>
        <w:t xml:space="preserve">30 </w:t>
      </w:r>
      <w:r>
        <w:t xml:space="preserve">Thus said the Lord: Behold, I give Hophra</w:t>
      </w:r>
      <w:r>
        <w:rPr>
          <w:rStyle w:val="FootnoteReference"/>
        </w:rPr>
        <w:footnoteReference w:id="12727"/>
      </w:r>
      <w:r>
        <w:t xml:space="preserve"> king of Egypt into the hands of his enemy and into the hands of those seeking his soul, just as I gave Zedekiah king of Judah into the hands of Nebuchadnezzar king of Babylon, his enemy and one seeking his soul.</w:t>
      </w:r>
    </w:p>
    <w:p>
      <w:r>
        <w:rPr>
          <w:b/>
        </w:rPr>
        <w:t xml:space="preserve">31 </w:t>
      </w:r>
      <w:r>
        <w:t xml:space="preserve">The word which Jeremiah the prophet spoke to Baruch son of Neriah when he wrote these words in the scroll from the mouth of Jeremiah, in the fourth year of Jehoiakim son of Josiah king of Judah.</w:t>
      </w:r>
    </w:p>
    <w:p>
      <w:r>
        <w:rPr>
          <w:b/>
        </w:rPr>
        <w:t xml:space="preserve">32 </w:t>
      </w:r>
      <w:r>
        <w:t xml:space="preserve">Thus said the Lord concerning you, Baruch,</w:t>
      </w:r>
    </w:p>
    <w:p>
      <w:r>
        <w:rPr>
          <w:b/>
        </w:rPr>
        <w:t xml:space="preserve">33 </w:t>
      </w:r>
      <w:r>
        <w:t xml:space="preserve">Because you said, Alas, alas, because the Lord added toil upon pain to me. I slept in groanings and found no rest.</w:t>
      </w:r>
    </w:p>
    <w:p>
      <w:r>
        <w:rPr>
          <w:b/>
        </w:rPr>
        <w:t xml:space="preserve">34 </w:t>
      </w:r>
      <w:r>
        <w:t xml:space="preserve">Say to him, Thus said the Lord: Behold, what I built, I tear down, and what I planted, I pull up.</w:t>
      </w:r>
    </w:p>
    <w:p>
      <w:r>
        <w:rPr>
          <w:b/>
        </w:rPr>
        <w:t xml:space="preserve">35 </w:t>
      </w:r>
      <w:r>
        <w:t xml:space="preserve">And do you seek great things for yourself? Do not seek, because behold, I bring evil things upon all flesh, says the Lord, and I will give your soul for gain in every place where you go there.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52</w:t>
      </w:r>
    </w:p>
    <w:p>
      <w:r>
        <w:rPr>
          <w:b/>
        </w:rPr>
        <w:t xml:space="preserve">1 </w:t>
      </w:r>
      <w:r>
        <w:t xml:space="preserve">Zedekiah was twenty-one years old when he became king, and he reigned eleven years in Jerusalem, and the name of his mother was Hamutal daughter of Jeremiah from Libnah</w:t>
      </w:r>
      <w:r>
        <w:rPr>
          <w:rStyle w:val="FootnoteReference"/>
        </w:rPr>
        <w:footnoteReference w:id="12728"/>
      </w:r>
      <w:r>
        <w:t xml:space="preserve">.</w:t>
      </w:r>
    </w:p>
    <w:p>
      <w:r>
        <w:rPr>
          <w:b/>
        </w:rPr>
        <w:t xml:space="preserve">4 </w:t>
      </w:r>
      <w:r>
        <w:t xml:space="preserve">And it happened in the ninth year</w:t>
      </w:r>
      <w:r>
        <w:rPr>
          <w:rStyle w:val="FootnoteReference"/>
        </w:rPr>
        <w:footnoteReference w:id="12729"/>
      </w:r>
      <w:r>
        <w:t xml:space="preserve"> of his reign, in the tenth month, on the tenth of the month, Nebuchadnezzar king of Babylon came, and all his force, against Jerusalem, and they fenced it around and built around it with four-cornered stones.</w:t>
      </w:r>
    </w:p>
    <w:p>
      <w:r>
        <w:rPr>
          <w:b/>
        </w:rPr>
        <w:t xml:space="preserve">5 </w:t>
      </w:r>
      <w:r>
        <w:t xml:space="preserve">And the city came into siege until the eleventh year of King Zedekiah.</w:t>
      </w:r>
    </w:p>
    <w:p>
      <w:r>
        <w:rPr>
          <w:b/>
        </w:rPr>
        <w:t xml:space="preserve">6 </w:t>
      </w:r>
      <w:r>
        <w:t xml:space="preserve">On the ninth of the month, the famine</w:t>
      </w:r>
      <w:r>
        <w:rPr>
          <w:rStyle w:val="FootnoteReference"/>
        </w:rPr>
        <w:footnoteReference w:id="12730"/>
      </w:r>
      <w:r>
        <w:t xml:space="preserve"> became strong in the city, and there were no loaves for the people of the land.</w:t>
      </w:r>
    </w:p>
    <w:p>
      <w:r>
        <w:rPr>
          <w:b/>
        </w:rPr>
        <w:t xml:space="preserve">7 </w:t>
      </w:r>
      <w:r>
        <w:t xml:space="preserve">And the city was broken through, and all the men</w:t>
      </w:r>
      <w:r>
        <w:rPr>
          <w:rStyle w:val="FootnoteReference"/>
        </w:rPr>
        <w:footnoteReference w:id="12731"/>
      </w:r>
      <w:r>
        <w:t xml:space="preserve"> of war went out by night by way of the gate between the wall and the outer wall which was by the king's garden, while the Chaldeans were around the city, and they went the way toward Arabah.</w:t>
      </w:r>
    </w:p>
    <w:p>
      <w:r>
        <w:rPr>
          <w:b/>
        </w:rPr>
        <w:t xml:space="preserve">8 </w:t>
      </w:r>
      <w:r>
        <w:t xml:space="preserve">And the force of Chaldeans pursued after the king and overtook him beyond Jericho, and all his servants were scattered from him.</w:t>
      </w:r>
    </w:p>
    <w:p>
      <w:r>
        <w:rPr>
          <w:b/>
        </w:rPr>
        <w:t xml:space="preserve">9 </w:t>
      </w:r>
      <w:r>
        <w:t xml:space="preserve">And they seized the king and led him to the king of Babylon at Riblah</w:t>
      </w:r>
      <w:r>
        <w:rPr>
          <w:rStyle w:val="FootnoteReference"/>
        </w:rPr>
        <w:footnoteReference w:id="12732"/>
      </w:r>
      <w:r>
        <w:t xml:space="preserve">, and he spoke judgment with him.</w:t>
      </w:r>
    </w:p>
    <w:p>
      <w:r>
        <w:rPr>
          <w:b/>
        </w:rPr>
        <w:t xml:space="preserve">10 </w:t>
      </w:r>
      <w:r>
        <w:t xml:space="preserve">And the king of Babylon slaughtered the sons of Zedekiah before his eyes, and all the rulers of Judah he slaughtered in Riblah.</w:t>
      </w:r>
    </w:p>
    <w:p>
      <w:r>
        <w:rPr>
          <w:b/>
        </w:rPr>
        <w:t xml:space="preserve">11 </w:t>
      </w:r>
      <w:r>
        <w:t xml:space="preserve">And the eyes of Zedekiah he blinded, and he bound him in shackles, and the king of Babylon led him to Babylon and put him into the mill-house until the day he died.</w:t>
      </w:r>
    </w:p>
    <w:p>
      <w:r>
        <w:rPr>
          <w:b/>
        </w:rPr>
        <w:t xml:space="preserve">12 </w:t>
      </w:r>
      <w:r>
        <w:t xml:space="preserve">And in the fifth</w:t>
      </w:r>
      <w:r>
        <w:rPr>
          <w:rStyle w:val="FootnoteReference"/>
        </w:rPr>
        <w:footnoteReference w:id="12733"/>
      </w:r>
      <w:r>
        <w:t xml:space="preserve"> month, on the tenth of the month, Nebuzaradan the chief cook, who stood before the face of the king of Babylon, came into Jerusalem.</w:t>
      </w:r>
    </w:p>
    <w:p>
      <w:r>
        <w:rPr>
          <w:b/>
        </w:rPr>
        <w:t xml:space="preserve">13 </w:t>
      </w:r>
      <w:r>
        <w:t xml:space="preserve">And he burned</w:t>
      </w:r>
      <w:r>
        <w:rPr>
          <w:rStyle w:val="FootnoteReference"/>
        </w:rPr>
        <w:footnoteReference w:id="12734"/>
      </w:r>
      <w:r>
        <w:t xml:space="preserve"> the house of the Lord and the house of the king and all the houses of the city, and every great house he burned with fire.</w:t>
      </w:r>
    </w:p>
    <w:p>
      <w:r>
        <w:rPr>
          <w:b/>
        </w:rPr>
        <w:t xml:space="preserve">14 </w:t>
      </w:r>
      <w:r>
        <w:t xml:space="preserve">And the whole wall around Jerusalem the force of the Chaldeans with the chief cook tore down.</w:t>
      </w:r>
    </w:p>
    <w:p>
      <w:r>
        <w:rPr>
          <w:b/>
        </w:rPr>
        <w:t xml:space="preserve">16 </w:t>
      </w:r>
      <w:r>
        <w:t xml:space="preserve">And the chief cook left some of the remnant of the people as vine-dressers and farmers.</w:t>
      </w:r>
    </w:p>
    <w:p>
      <w:r>
        <w:rPr>
          <w:b/>
        </w:rPr>
        <w:t xml:space="preserve">17 </w:t>
      </w:r>
      <w:r>
        <w:t xml:space="preserve">And the bronze pillars</w:t>
      </w:r>
      <w:r>
        <w:rPr>
          <w:rStyle w:val="FootnoteReference"/>
        </w:rPr>
        <w:footnoteReference w:id="12735"/>
      </w:r>
      <w:r>
        <w:t xml:space="preserve"> in the house of the Lord, and the bases, and the bronze sea in the house of the Lord, the Chaldeans shattered, and they took their bronze and carried it to Babylon.</w:t>
      </w:r>
    </w:p>
    <w:p>
      <w:r>
        <w:rPr>
          <w:b/>
        </w:rPr>
        <w:t xml:space="preserve">18 </w:t>
      </w:r>
      <w:r>
        <w:t xml:space="preserve">And the crown and the bowls</w:t>
      </w:r>
      <w:r>
        <w:rPr>
          <w:rStyle w:val="FootnoteReference"/>
        </w:rPr>
        <w:footnoteReference w:id="12736"/>
      </w:r>
      <w:r>
        <w:t xml:space="preserve"> and the meat-hooks and all the bronze vessels with which they ministered,</w:t>
      </w:r>
    </w:p>
    <w:p>
      <w:r>
        <w:rPr>
          <w:b/>
        </w:rPr>
        <w:t xml:space="preserve">19 </w:t>
      </w:r>
      <w:r>
        <w:t xml:space="preserve">and the censers and the bowls and the pouring-vessels and the lampstands and the fire-pans and the cups, whatever was gold, gold, and whatever was silver, silver, the chief cook took.</w:t>
      </w:r>
    </w:p>
    <w:p>
      <w:r>
        <w:rPr>
          <w:b/>
        </w:rPr>
        <w:t xml:space="preserve">20 </w:t>
      </w:r>
      <w:r>
        <w:t xml:space="preserve">And the two pillars and the one sea and the twelve bronze oxen under the sea, which King Solomon made for the house of the Lord: there was no weighing of their bronze.</w:t>
      </w:r>
    </w:p>
    <w:p>
      <w:r>
        <w:rPr>
          <w:b/>
        </w:rPr>
        <w:t xml:space="preserve">21 </w:t>
      </w:r>
      <w:r>
        <w:t xml:space="preserve">And the pillars: thirty-five cubits was the height of one pillar, and a cord of twelve cubits encircled it, and its thickness was four fingers around.</w:t>
      </w:r>
    </w:p>
    <w:p>
      <w:r>
        <w:rPr>
          <w:b/>
        </w:rPr>
        <w:t xml:space="preserve">22 </w:t>
      </w:r>
      <w:r>
        <w:t xml:space="preserve">And a bronze capital was upon them, and the projection of the one capital was five cubits in length, and netting and pomegranates were upon the capital around, all bronze, and likewise for the second pillar: eight pomegranates to the cubit in twelve cubits.</w:t>
      </w:r>
    </w:p>
    <w:p>
      <w:r>
        <w:rPr>
          <w:b/>
        </w:rPr>
        <w:t xml:space="preserve">23 </w:t>
      </w:r>
      <w:r>
        <w:t xml:space="preserve">And the pomegranates were ninety-six on one side, and all the pomegranates upon the netting around were one hundred.</w:t>
      </w:r>
    </w:p>
    <w:p>
      <w:r>
        <w:rPr>
          <w:b/>
        </w:rPr>
        <w:t xml:space="preserve">24 </w:t>
      </w:r>
      <w:r>
        <w:t xml:space="preserve">And the chief cook took the first priest and the second priest and the three who kept the way.</w:t>
      </w:r>
    </w:p>
    <w:p>
      <w:r>
        <w:rPr>
          <w:b/>
        </w:rPr>
        <w:t xml:space="preserve">25 </w:t>
      </w:r>
      <w:r>
        <w:t xml:space="preserve">And one eunuch who was overseer over the men of war, and seven named men before the face of the king who were found in the city, and the secretary of the forces who wrote for the people of the land, and sixty men from the people of the land who were found in the midst of the city.</w:t>
      </w:r>
    </w:p>
    <w:p>
      <w:r>
        <w:rPr>
          <w:b/>
        </w:rPr>
        <w:t xml:space="preserve">26 </w:t>
      </w:r>
      <w:r>
        <w:t xml:space="preserve">And Nebuzaradan the chief cook took them and led them to the king of Babylon at Riblah.</w:t>
      </w:r>
    </w:p>
    <w:p>
      <w:r>
        <w:rPr>
          <w:b/>
        </w:rPr>
        <w:t xml:space="preserve">27 </w:t>
      </w:r>
      <w:r>
        <w:t xml:space="preserve">And the king of Babylon struck them at Riblah</w:t>
      </w:r>
      <w:r>
        <w:rPr>
          <w:rStyle w:val="FootnoteReference"/>
        </w:rPr>
        <w:footnoteReference w:id="12737"/>
      </w:r>
      <w:r>
        <w:t xml:space="preserve"> in the land of Hamath.</w:t>
      </w:r>
    </w:p>
    <w:p>
      <w:r>
        <w:rPr>
          <w:b/>
        </w:rPr>
        <w:t xml:space="preserve">31 </w:t>
      </w:r>
      <w:r>
        <w:t xml:space="preserve">And it happened in the thirty-seventh year after Jehoiakim king of Judah was exiled, in the twelfth month, on the twenty-fourth of the month, Evil-merodach</w:t>
      </w:r>
      <w:r>
        <w:rPr>
          <w:rStyle w:val="FootnoteReference"/>
        </w:rPr>
        <w:footnoteReference w:id="12738"/>
      </w:r>
      <w:r>
        <w:t xml:space="preserve"> king of Babylon</w:t>
      </w:r>
      <w:r>
        <w:rPr>
          <w:rStyle w:val="FootnoteReference"/>
        </w:rPr>
        <w:footnoteReference w:id="12739"/>
      </w:r>
      <w:r>
        <w:t xml:space="preserve">, in the year when he reigned, lifted up the head of Jehoiakim king of Judah and brought him out from the house in which he was kept.</w:t>
      </w:r>
    </w:p>
    <w:p>
      <w:r>
        <w:rPr>
          <w:b/>
        </w:rPr>
        <w:t xml:space="preserve">32 </w:t>
      </w:r>
      <w:r>
        <w:t xml:space="preserve">And he spoke good things to him and gave his throne above the thrones of the kings with him in Babylon.</w:t>
      </w:r>
    </w:p>
    <w:p>
      <w:r>
        <w:rPr>
          <w:b/>
        </w:rPr>
        <w:t xml:space="preserve">33 </w:t>
      </w:r>
      <w:r>
        <w:t xml:space="preserve">And he changed</w:t>
      </w:r>
      <w:r>
        <w:rPr>
          <w:rStyle w:val="FootnoteReference"/>
        </w:rPr>
        <w:footnoteReference w:id="12740"/>
      </w:r>
      <w:r>
        <w:t xml:space="preserve"> his prison garment, and he ate bread continually before his face all the days that he lived.</w:t>
      </w:r>
    </w:p>
    <w:p>
      <w:r>
        <w:rPr>
          <w:b/>
        </w:rPr>
        <w:t xml:space="preserve">34 </w:t>
      </w:r>
      <w:r>
        <w:t xml:space="preserve">And the ration for him was given continually from the king of Babylon, from day to day until the day he died.</w:t>
      </w:r>
    </w:p>
    <w:p>
      <w:r>
        <w:br w:type="page"/>
      </w:r>
    </w:p>
    <w:p>
      <w:pPr>
        <w:pStyle w:val="Heading1"/>
      </w:pPr>
      <w:r>
        <w:t xml:space="preserve">Lamentations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0 </w:t>
      </w:r>
      <w:r>
        <w:t xml:space="preserve">And it happened after Israel was taken captive and Jerusalem was made desolate, Jeremiah sat weeping and lamented this lament over Jerusalem and said,</w:t>
      </w:r>
    </w:p>
    <w:p>
      <w:r>
        <w:rPr>
          <w:b/>
        </w:rPr>
        <w:t xml:space="preserve">1 </w:t>
      </w:r>
      <w:r>
        <w:t xml:space="preserve">How the city sat alone, she who had been filled with peoples. She became like a widow, she who had been great among the nations; ruler among regions, she became subject to tribute.</w:t>
      </w:r>
    </w:p>
    <w:p>
      <w:r>
        <w:rPr>
          <w:b/>
        </w:rPr>
        <w:t xml:space="preserve">2 </w:t>
      </w:r>
      <w:r>
        <w:t xml:space="preserve">Weeping, she wept in the night, and her tears are on her cheeks; there is no one comforting her among</w:t>
      </w:r>
      <w:r>
        <w:rPr>
          <w:rStyle w:val="FootnoteReference"/>
        </w:rPr>
        <w:footnoteReference w:id="12741"/>
      </w:r>
      <w:r>
        <w:t xml:space="preserve"> all who love her. All her friends acted faithlessly toward her; they became enemies to her.</w:t>
      </w:r>
    </w:p>
    <w:p>
      <w:r>
        <w:rPr>
          <w:b/>
        </w:rPr>
        <w:t xml:space="preserve">3 </w:t>
      </w:r>
      <w:r>
        <w:t xml:space="preserve">Judah was exiled because of her affliction and because of the multitude of her slavery. She sat among nations and found no rest. All who pursued her overtook her in the midst of those afflicting her.</w:t>
      </w:r>
    </w:p>
    <w:p>
      <w:r>
        <w:rPr>
          <w:b/>
        </w:rPr>
        <w:t xml:space="preserve">4 </w:t>
      </w:r>
      <w:r>
        <w:t xml:space="preserve">The roads of Zion mourn because none come to the feast. All her gates</w:t>
      </w:r>
      <w:r>
        <w:rPr>
          <w:rStyle w:val="FootnoteReference"/>
        </w:rPr>
        <w:footnoteReference w:id="12742"/>
      </w:r>
      <w:r>
        <w:t xml:space="preserve"> are ruined. Her priests groan. Her virgins are led away, and she is embittered within herself.</w:t>
      </w:r>
    </w:p>
    <w:p>
      <w:r>
        <w:rPr>
          <w:b/>
        </w:rPr>
        <w:t xml:space="preserve">5 </w:t>
      </w:r>
      <w:r>
        <w:t xml:space="preserve">Those afflicting her became the head, and her enemies prospered, because the Lord humbled her for the multitude of her ungodlinesses. Her little ones went into captivity before the face of the afflicter.</w:t>
      </w:r>
    </w:p>
    <w:p>
      <w:r>
        <w:rPr>
          <w:b/>
        </w:rPr>
        <w:t xml:space="preserve">6 </w:t>
      </w:r>
      <w:r>
        <w:t xml:space="preserve">And all her beauty went out from daughter Zion. Her rulers became like rams finding no pasture, and they went in no strength before the face of the pursuer.</w:t>
      </w:r>
    </w:p>
    <w:p>
      <w:r>
        <w:rPr>
          <w:b/>
        </w:rPr>
        <w:t xml:space="preserve">7 </w:t>
      </w:r>
      <w:r>
        <w:t xml:space="preserve">Jerusalem remembered</w:t>
      </w:r>
      <w:r>
        <w:rPr>
          <w:rStyle w:val="FootnoteReference"/>
        </w:rPr>
        <w:footnoteReference w:id="12743"/>
      </w:r>
      <w:r>
        <w:t xml:space="preserve"> the days of her humiliation and her rejections, all her desirable things that were from ancient days, when her people fell into the hand of the afflicter and there was no helper for her. Her enemies saw her and laughed at her deportation.</w:t>
      </w:r>
    </w:p>
    <w:p>
      <w:r>
        <w:rPr>
          <w:b/>
        </w:rPr>
        <w:t xml:space="preserve">8 </w:t>
      </w:r>
      <w:r>
        <w:t xml:space="preserve">Jerusalem sinned a sin; therefore she became a shaking. All who glorified her humbled her, for they saw her shame, and she herself, groaning, turned backward.</w:t>
      </w:r>
    </w:p>
    <w:p>
      <w:r>
        <w:rPr>
          <w:b/>
        </w:rPr>
        <w:t xml:space="preserve">9 </w:t>
      </w:r>
      <w:r>
        <w:t xml:space="preserve">Her uncleanness is before her feet. She did not remember her end, and she lowered her boastful words. There is no one comforting her. See, Lord, my humiliation, because the enemy magnified himself.</w:t>
      </w:r>
    </w:p>
    <w:p>
      <w:r>
        <w:rPr>
          <w:b/>
        </w:rPr>
        <w:t xml:space="preserve">10 </w:t>
      </w:r>
      <w:r>
        <w:t xml:space="preserve">The afflicter spread</w:t>
      </w:r>
      <w:r>
        <w:rPr>
          <w:rStyle w:val="FootnoteReference"/>
        </w:rPr>
        <w:footnoteReference w:id="12744"/>
      </w:r>
      <w:r>
        <w:t xml:space="preserve"> out his hand upon all her desirable things, for she saw nations entering her sanctuary, whom you commanded not to enter into your assembly.</w:t>
      </w:r>
    </w:p>
    <w:p>
      <w:r>
        <w:rPr>
          <w:b/>
        </w:rPr>
        <w:t xml:space="preserve">11 </w:t>
      </w:r>
      <w:r>
        <w:t xml:space="preserve">All her people groan, seeking bread. They gave their desirable things for food, to restore life. See, Lord, and look, because I became dishonored.</w:t>
      </w:r>
    </w:p>
    <w:p>
      <w:r>
        <w:rPr>
          <w:b/>
        </w:rPr>
        <w:t xml:space="preserve">12 </w:t>
      </w:r>
      <w:r>
        <w:t xml:space="preserve">Is it nothing to you, all who pass along the road? Turn and see if there is pain like my pain, which happened to me. The Lord, who spoke in me, humbled me in the day of the anger of his wrath.</w:t>
      </w:r>
    </w:p>
    <w:p>
      <w:r>
        <w:rPr>
          <w:b/>
        </w:rPr>
        <w:t xml:space="preserve">13 </w:t>
      </w:r>
      <w:r>
        <w:t xml:space="preserve">From his height he sent fire into my bones and brought it down. He spread a net for my feet. He turned me back. He made me desolate</w:t>
      </w:r>
      <w:r>
        <w:rPr>
          <w:rStyle w:val="FootnoteReference"/>
        </w:rPr>
        <w:footnoteReference w:id="12745"/>
      </w:r>
      <w:r>
        <w:t xml:space="preserve">, pained all day.</w:t>
      </w:r>
    </w:p>
    <w:p>
      <w:r>
        <w:rPr>
          <w:b/>
        </w:rPr>
        <w:t xml:space="preserve">14 </w:t>
      </w:r>
      <w:r>
        <w:t xml:space="preserve">He kept watch over my ungodlinesses; they were woven together in my hands and went up upon my neck. My strength weakened, because the Lord gave pains into my hands. I cannot stand.</w:t>
      </w:r>
    </w:p>
    <w:p>
      <w:r>
        <w:rPr>
          <w:b/>
        </w:rPr>
        <w:t xml:space="preserve">15 </w:t>
      </w:r>
      <w:r>
        <w:t xml:space="preserve">The Lord removed all my mighty ones from the midst of me. He called a time against me to crush</w:t>
      </w:r>
      <w:r>
        <w:rPr>
          <w:rStyle w:val="FootnoteReference"/>
        </w:rPr>
        <w:footnoteReference w:id="12746"/>
      </w:r>
      <w:r>
        <w:t xml:space="preserve"> my chosen ones. The Lord trod a winepress for virgin daughter Judah</w:t>
      </w:r>
      <w:r>
        <w:rPr>
          <w:rStyle w:val="FootnoteReference"/>
        </w:rPr>
        <w:footnoteReference w:id="12747"/>
      </w:r>
      <w:r>
        <w:t xml:space="preserve">. Over these things I weep.</w:t>
      </w:r>
    </w:p>
    <w:p>
      <w:r>
        <w:rPr>
          <w:b/>
        </w:rPr>
        <w:t xml:space="preserve">16 </w:t>
      </w:r>
      <w:r>
        <w:t xml:space="preserve">My eye brought down water, because the comforter restoring my soul was far from me. My sons became desolate, because the enemy prevailed.</w:t>
      </w:r>
    </w:p>
    <w:p>
      <w:r>
        <w:rPr>
          <w:b/>
        </w:rPr>
        <w:t xml:space="preserve">17 </w:t>
      </w:r>
      <w:r>
        <w:t xml:space="preserve">Zion spread out her hands; there is no one comforting her. The Lord commanded</w:t>
      </w:r>
      <w:r>
        <w:rPr>
          <w:rStyle w:val="FootnoteReference"/>
        </w:rPr>
        <w:footnoteReference w:id="12748"/>
      </w:r>
      <w:r>
        <w:t xml:space="preserve"> those afflicting Jacob around him. Jerusalem became like one sitting apart among them.</w:t>
      </w:r>
    </w:p>
    <w:p>
      <w:r>
        <w:rPr>
          <w:b/>
        </w:rPr>
        <w:t xml:space="preserve">18 </w:t>
      </w:r>
      <w:r>
        <w:t xml:space="preserve">The Lord is righteous, because I provoked his mouth. Hear</w:t>
      </w:r>
      <w:r>
        <w:rPr>
          <w:rStyle w:val="FootnoteReference"/>
        </w:rPr>
        <w:footnoteReference w:id="12749"/>
      </w:r>
      <w:r>
        <w:t xml:space="preserve"> now, all peoples, and see my pain. My virgins and my young men went into captivity.</w:t>
      </w:r>
    </w:p>
    <w:p>
      <w:r>
        <w:rPr>
          <w:b/>
        </w:rPr>
        <w:t xml:space="preserve">19 </w:t>
      </w:r>
      <w:r>
        <w:t xml:space="preserve">I called my lovers, but they deceived me. My priests</w:t>
      </w:r>
      <w:r>
        <w:rPr>
          <w:rStyle w:val="FootnoteReference"/>
        </w:rPr>
        <w:footnoteReference w:id="12750"/>
      </w:r>
      <w:r>
        <w:t xml:space="preserve"> and my elders failed in the city, because they sought food for themselves to restore their souls and did not find it.</w:t>
      </w:r>
    </w:p>
    <w:p>
      <w:r>
        <w:rPr>
          <w:b/>
        </w:rPr>
        <w:t xml:space="preserve">20 </w:t>
      </w:r>
      <w:r>
        <w:t xml:space="preserve">See, Lord, because I am afflicted. My inward parts were disturbed, and my heart turned within me, because in embittering I embittered. Outside, a sword bereaved me; inside the house like death.</w:t>
      </w:r>
    </w:p>
    <w:p>
      <w:r>
        <w:rPr>
          <w:b/>
        </w:rPr>
        <w:t xml:space="preserve">21 </w:t>
      </w:r>
      <w:r>
        <w:t xml:space="preserve">Hear now, because I groan. There is no one comforting me. All my enemies heard my evils and rejoiced because you did it. You brought a day; you called a time, and they became like me.</w:t>
      </w:r>
    </w:p>
    <w:p>
      <w:r>
        <w:rPr>
          <w:b/>
        </w:rPr>
        <w:t xml:space="preserve">22 </w:t>
      </w:r>
      <w:r>
        <w:t xml:space="preserve">Let all their</w:t>
      </w:r>
      <w:r>
        <w:rPr>
          <w:rStyle w:val="FootnoteReference"/>
        </w:rPr>
        <w:footnoteReference w:id="12751"/>
      </w:r>
      <w:r>
        <w:t xml:space="preserve"> evil enter before your face, and glean them as they made a gleaning for all my sins, because my groans are many and my heart is grieved.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How the Lord darkened daughter Zion in his anger. He cast down from heaven to earth the glory of Israel</w:t>
      </w:r>
      <w:r>
        <w:rPr>
          <w:rStyle w:val="FootnoteReference"/>
        </w:rPr>
        <w:footnoteReference w:id="12752"/>
      </w:r>
      <w:r>
        <w:t xml:space="preserve"> and did not remember the footstool of his feet in the day of his anger.</w:t>
      </w:r>
    </w:p>
    <w:p>
      <w:r>
        <w:rPr>
          <w:b/>
        </w:rPr>
        <w:t xml:space="preserve">2 </w:t>
      </w:r>
      <w:r>
        <w:t xml:space="preserve">The Lord submerged all the beautiful things of Jacob without sparing. He pulled down in his wrath the strongholds of daughter Judah. He stuck them to the ground. He profaned her king and her rulers.</w:t>
      </w:r>
    </w:p>
    <w:p>
      <w:r>
        <w:rPr>
          <w:b/>
        </w:rPr>
        <w:t xml:space="preserve">3 </w:t>
      </w:r>
      <w:r>
        <w:t xml:space="preserve">He broke, in the anger of his wrath, every horn of Israel. He turned back his right hand from the face of the enemy, and he kindled in Jacob like a flame of fire that devoured all around.</w:t>
      </w:r>
    </w:p>
    <w:p>
      <w:r>
        <w:rPr>
          <w:b/>
        </w:rPr>
        <w:t xml:space="preserve">4 </w:t>
      </w:r>
      <w:r>
        <w:t xml:space="preserve">He bent</w:t>
      </w:r>
      <w:r>
        <w:rPr>
          <w:rStyle w:val="FootnoteReference"/>
        </w:rPr>
        <w:footnoteReference w:id="12753"/>
      </w:r>
      <w:r>
        <w:t xml:space="preserve"> his bow like an enemy; he fixed his right hand like an adversary and killed all the desirable things of my eyes. In the tent of daughter Zion he poured out his wrath like fire.</w:t>
      </w:r>
    </w:p>
    <w:p>
      <w:r>
        <w:rPr>
          <w:b/>
        </w:rPr>
        <w:t xml:space="preserve">5 </w:t>
      </w:r>
      <w:r>
        <w:t xml:space="preserve">The Lord became like an enemy. He submerged Israel. He submerged all her palaces. He destroyed his strongholds and multiplied humiliation and humbling for daughter Judah.</w:t>
      </w:r>
    </w:p>
    <w:p>
      <w:r>
        <w:rPr>
          <w:b/>
        </w:rPr>
        <w:t xml:space="preserve">6 </w:t>
      </w:r>
      <w:r>
        <w:t xml:space="preserve">He scattered his tent like a vine. He destroyed his feast. The Lord forgot feast and sabbath which he made in Zion</w:t>
      </w:r>
      <w:r>
        <w:rPr>
          <w:rStyle w:val="FootnoteReference"/>
        </w:rPr>
        <w:footnoteReference w:id="12754"/>
      </w:r>
      <w:r>
        <w:t xml:space="preserve">, and in the outburst of his anger he provoked king and priest and ruler.</w:t>
      </w:r>
    </w:p>
    <w:p>
      <w:r>
        <w:rPr>
          <w:b/>
        </w:rPr>
        <w:t xml:space="preserve">7 </w:t>
      </w:r>
      <w:r>
        <w:t xml:space="preserve">The Lord cast off</w:t>
      </w:r>
      <w:r>
        <w:rPr>
          <w:rStyle w:val="FootnoteReference"/>
        </w:rPr>
        <w:footnoteReference w:id="12755"/>
      </w:r>
      <w:r>
        <w:t xml:space="preserve"> his altar, shook off his sanctuary, and broke the wall of her palaces by the hand of the enemy. They gave voice in the house of the Lord as on a feast day.</w:t>
      </w:r>
    </w:p>
    <w:p>
      <w:r>
        <w:rPr>
          <w:b/>
        </w:rPr>
        <w:t xml:space="preserve">8 </w:t>
      </w:r>
      <w:r>
        <w:t xml:space="preserve">And the Lord turned to destroy the wall of daughter Zion. He stretched</w:t>
      </w:r>
      <w:r>
        <w:rPr>
          <w:rStyle w:val="FootnoteReference"/>
        </w:rPr>
        <w:footnoteReference w:id="12756"/>
      </w:r>
      <w:r>
        <w:t xml:space="preserve"> out a measuring line and did not turn back his hand from trampling. Rampart and wall mourned together; they weakened as one.</w:t>
      </w:r>
    </w:p>
    <w:p>
      <w:r>
        <w:rPr>
          <w:b/>
        </w:rPr>
        <w:t xml:space="preserve">9 </w:t>
      </w:r>
      <w:r>
        <w:t xml:space="preserve">Her gates</w:t>
      </w:r>
      <w:r>
        <w:rPr>
          <w:rStyle w:val="FootnoteReference"/>
        </w:rPr>
        <w:footnoteReference w:id="12757"/>
      </w:r>
      <w:r>
        <w:t xml:space="preserve"> sank into the ground. He destroyed and broke her bars. Her king and her rulers are among the nations. There is no law, and even her prophets did not see a vision from the Lord</w:t>
      </w:r>
      <w:r>
        <w:rPr>
          <w:rStyle w:val="FootnoteReference"/>
        </w:rPr>
        <w:footnoteReference w:id="12758"/>
      </w:r>
      <w:r>
        <w:t xml:space="preserve">.</w:t>
      </w:r>
    </w:p>
    <w:p>
      <w:r>
        <w:rPr>
          <w:b/>
        </w:rPr>
        <w:t xml:space="preserve">10 </w:t>
      </w:r>
      <w:r>
        <w:t xml:space="preserve">The elders</w:t>
      </w:r>
      <w:r>
        <w:rPr>
          <w:rStyle w:val="FootnoteReference"/>
        </w:rPr>
        <w:footnoteReference w:id="12759"/>
      </w:r>
      <w:r>
        <w:t xml:space="preserve"> of daughter Zion sat on the ground and kept silent. They raised dust on their heads and girded themselves with sackcloth. The chief virgins in Jerusalem brought themselves down to the ground.</w:t>
      </w:r>
    </w:p>
    <w:p>
      <w:r>
        <w:rPr>
          <w:b/>
        </w:rPr>
        <w:t xml:space="preserve">11 </w:t>
      </w:r>
      <w:r>
        <w:t xml:space="preserve">My eyes</w:t>
      </w:r>
      <w:r>
        <w:rPr>
          <w:rStyle w:val="FootnoteReference"/>
        </w:rPr>
        <w:footnoteReference w:id="12760"/>
      </w:r>
      <w:r>
        <w:t xml:space="preserve"> failed with tears. My heart was troubled. My glory poured out on the earth over the crushing of the daughter of my people, when infant and suckling failed in the streets of the city.</w:t>
      </w:r>
    </w:p>
    <w:p>
      <w:r>
        <w:rPr>
          <w:b/>
        </w:rPr>
        <w:t xml:space="preserve">12 </w:t>
      </w:r>
      <w:r>
        <w:t xml:space="preserve">To their mothers they said, Where are grain and wine? as they failed like wounded ones in the streets of the city, as their souls poured out into the bosom of their mothers.</w:t>
      </w:r>
    </w:p>
    <w:p>
      <w:r>
        <w:rPr>
          <w:b/>
        </w:rPr>
        <w:t xml:space="preserve">13 </w:t>
      </w:r>
      <w:r>
        <w:t xml:space="preserve">What shall I testify to you, or what shall I compare to you, daughter Jerusalem? Who will save and comfort you, virgin daughter Zion? For the cup of your crushing became great; who will heal you?</w:t>
      </w:r>
    </w:p>
    <w:p>
      <w:r>
        <w:rPr>
          <w:b/>
        </w:rPr>
        <w:t xml:space="preserve">14 </w:t>
      </w:r>
      <w:r>
        <w:t xml:space="preserve">Your prophets</w:t>
      </w:r>
      <w:r>
        <w:rPr>
          <w:rStyle w:val="FootnoteReference"/>
        </w:rPr>
        <w:footnoteReference w:id="12761"/>
      </w:r>
      <w:r>
        <w:t xml:space="preserve"> saw for you vain and foolish things, and they did not uncover your injustice to turn back your captivity, but they saw for you vain burdens and expulsions.</w:t>
      </w:r>
    </w:p>
    <w:p>
      <w:r>
        <w:rPr>
          <w:b/>
        </w:rPr>
        <w:t xml:space="preserve">15 </w:t>
      </w:r>
      <w:r>
        <w:t xml:space="preserve">All who pass along the road clapped hands over you. They hissed and shook their heads over daughter Jerusalem: Is this</w:t>
      </w:r>
      <w:r>
        <w:rPr>
          <w:rStyle w:val="FootnoteReference"/>
        </w:rPr>
        <w:footnoteReference w:id="12762"/>
      </w:r>
      <w:r>
        <w:t xml:space="preserve"> the city they called the crown of glory, joy of all the earth?</w:t>
      </w:r>
    </w:p>
    <w:p>
      <w:r>
        <w:rPr>
          <w:b/>
        </w:rPr>
        <w:t xml:space="preserve">16 </w:t>
      </w:r>
      <w:r>
        <w:t xml:space="preserve">All your enemies opened their mouth over you. They hissed and gnashed teeth. They said, We swallowed her up. Yet this is the day we expected; we found it; we saw it.</w:t>
      </w:r>
    </w:p>
    <w:p>
      <w:r>
        <w:rPr>
          <w:b/>
        </w:rPr>
        <w:t xml:space="preserve">17 </w:t>
      </w:r>
      <w:r>
        <w:t xml:space="preserve">The Lord did what he intended. He fulfilled his words which he commanded from ancient days. He pulled down and did not spare. He made the enemy rejoice over you. He raised the horn of the one afflicting you.</w:t>
      </w:r>
    </w:p>
    <w:p>
      <w:r>
        <w:rPr>
          <w:b/>
        </w:rPr>
        <w:t xml:space="preserve">18 </w:t>
      </w:r>
      <w:r>
        <w:t xml:space="preserve">Their heart cried to the Lord. Walls of Zion, bring down tears like torrents day and night. Give yourself no relief. Let your eye not be silent.</w:t>
      </w:r>
    </w:p>
    <w:p>
      <w:r>
        <w:rPr>
          <w:b/>
        </w:rPr>
        <w:t xml:space="preserve">19 </w:t>
      </w:r>
      <w:r>
        <w:t xml:space="preserve">Rise, cry out</w:t>
      </w:r>
      <w:r>
        <w:rPr>
          <w:rStyle w:val="FootnoteReference"/>
        </w:rPr>
        <w:footnoteReference w:id="12763"/>
      </w:r>
      <w:r>
        <w:t xml:space="preserve"> in the night, at the beginnings of your watch. Pour out your heart like water before the face of the Lord. Lift your hands to him for the life of your little ones, those failing from famine at the head of every street.</w:t>
      </w:r>
    </w:p>
    <w:p>
      <w:r>
        <w:rPr>
          <w:b/>
        </w:rPr>
        <w:t xml:space="preserve">20 </w:t>
      </w:r>
      <w:r>
        <w:t xml:space="preserve">See, Lord, and look: against whom have you gleaned thus? Will women eat the fruit of their womb? The cook made a gleaning. Will nursing infants be killed? Will you kill priest and prophet in the sanctuary of the Lord?</w:t>
      </w:r>
    </w:p>
    <w:p>
      <w:r>
        <w:rPr>
          <w:b/>
        </w:rPr>
        <w:t xml:space="preserve">21 </w:t>
      </w:r>
      <w:r>
        <w:t xml:space="preserve">Young</w:t>
      </w:r>
      <w:r>
        <w:rPr>
          <w:rStyle w:val="FootnoteReference"/>
        </w:rPr>
        <w:footnoteReference w:id="12764"/>
      </w:r>
      <w:r>
        <w:t xml:space="preserve"> boy and elder lay down in the street. My virgins and my young men went into captivity. By sword and famine you killed. In the day of your anger you butchered; you did not spare.</w:t>
      </w:r>
    </w:p>
    <w:p>
      <w:r>
        <w:rPr>
          <w:b/>
        </w:rPr>
        <w:t xml:space="preserve">22 </w:t>
      </w:r>
      <w:r>
        <w:t xml:space="preserve">You called my sojourners around as on a feast day, and in the day of the Lord's anger there was no one saved and left, though I had strengthened and multiplied all my enemies.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I am the man</w:t>
      </w:r>
      <w:r>
        <w:rPr>
          <w:rStyle w:val="FootnoteReference"/>
        </w:rPr>
        <w:footnoteReference w:id="12765"/>
      </w:r>
      <w:r>
        <w:t xml:space="preserve"> seeing poverty by the rod of his wrath upon me.</w:t>
      </w:r>
    </w:p>
    <w:p>
      <w:r>
        <w:rPr>
          <w:b/>
        </w:rPr>
        <w:t xml:space="preserve">2 </w:t>
      </w:r>
      <w:r>
        <w:t xml:space="preserve">He took me and led me into darkness, and not light.</w:t>
      </w:r>
    </w:p>
    <w:p>
      <w:r>
        <w:rPr>
          <w:b/>
        </w:rPr>
        <w:t xml:space="preserve">3 </w:t>
      </w:r>
      <w:r>
        <w:t xml:space="preserve">Only against me he turned his hand all day.</w:t>
      </w:r>
    </w:p>
    <w:p>
      <w:r>
        <w:rPr>
          <w:b/>
        </w:rPr>
        <w:t xml:space="preserve">4 </w:t>
      </w:r>
      <w:r>
        <w:t xml:space="preserve">He made my flesh</w:t>
      </w:r>
      <w:r>
        <w:rPr>
          <w:rStyle w:val="FootnoteReference"/>
        </w:rPr>
        <w:footnoteReference w:id="12766"/>
      </w:r>
      <w:r>
        <w:t xml:space="preserve"> and my skin old; he shattered my bones.</w:t>
      </w:r>
    </w:p>
    <w:p>
      <w:r>
        <w:rPr>
          <w:b/>
        </w:rPr>
        <w:t xml:space="preserve">5 </w:t>
      </w:r>
      <w:r>
        <w:t xml:space="preserve">He built against me and surrounded my head, and he brought toil upon me.</w:t>
      </w:r>
    </w:p>
    <w:p>
      <w:r>
        <w:rPr>
          <w:b/>
        </w:rPr>
        <w:t xml:space="preserve">6 </w:t>
      </w:r>
      <w:r>
        <w:t xml:space="preserve">In dark</w:t>
      </w:r>
      <w:r>
        <w:rPr>
          <w:rStyle w:val="FootnoteReference"/>
        </w:rPr>
        <w:footnoteReference w:id="12767"/>
      </w:r>
      <w:r>
        <w:t xml:space="preserve"> places he seated me like the dead of long ago.</w:t>
      </w:r>
    </w:p>
    <w:p>
      <w:r>
        <w:rPr>
          <w:b/>
        </w:rPr>
        <w:t xml:space="preserve">7 </w:t>
      </w:r>
      <w:r>
        <w:t xml:space="preserve">He built against me, and I will not go out. He made</w:t>
      </w:r>
      <w:r>
        <w:rPr>
          <w:rStyle w:val="FootnoteReference"/>
        </w:rPr>
        <w:footnoteReference w:id="12768"/>
      </w:r>
      <w:r>
        <w:t xml:space="preserve"> my bronze chain heavy.</w:t>
      </w:r>
    </w:p>
    <w:p>
      <w:r>
        <w:rPr>
          <w:b/>
        </w:rPr>
        <w:t xml:space="preserve">8 </w:t>
      </w:r>
      <w:r>
        <w:t xml:space="preserve">Even when I cry out and shout, he fenced off my prayer.</w:t>
      </w:r>
    </w:p>
    <w:p>
      <w:r>
        <w:rPr>
          <w:b/>
        </w:rPr>
        <w:t xml:space="preserve">9 </w:t>
      </w:r>
      <w:r>
        <w:t xml:space="preserve">He built up my ways, blocked my paths, and troubled me.</w:t>
      </w:r>
    </w:p>
    <w:p>
      <w:r>
        <w:rPr>
          <w:b/>
        </w:rPr>
        <w:t xml:space="preserve">10 </w:t>
      </w:r>
      <w:r>
        <w:t xml:space="preserve">He was a bear lying in wait for me, a lion in hidden places.</w:t>
      </w:r>
    </w:p>
    <w:p>
      <w:r>
        <w:rPr>
          <w:b/>
        </w:rPr>
        <w:t xml:space="preserve">11 </w:t>
      </w:r>
      <w:r>
        <w:t xml:space="preserve">He pursued me when I had turned aside and stopped me; he made me desolate.</w:t>
      </w:r>
    </w:p>
    <w:p>
      <w:r>
        <w:rPr>
          <w:b/>
        </w:rPr>
        <w:t xml:space="preserve">12 </w:t>
      </w:r>
      <w:r>
        <w:t xml:space="preserve">He bent</w:t>
      </w:r>
      <w:r>
        <w:rPr>
          <w:rStyle w:val="FootnoteReference"/>
        </w:rPr>
        <w:footnoteReference w:id="12769"/>
      </w:r>
      <w:r>
        <w:t xml:space="preserve"> his bow and set me as a target for an arrow.</w:t>
      </w:r>
    </w:p>
    <w:p>
      <w:r>
        <w:rPr>
          <w:b/>
        </w:rPr>
        <w:t xml:space="preserve">13 </w:t>
      </w:r>
      <w:r>
        <w:t xml:space="preserve">He brought into my kidneys the arrows</w:t>
      </w:r>
      <w:r>
        <w:rPr>
          <w:rStyle w:val="FootnoteReference"/>
        </w:rPr>
        <w:footnoteReference w:id="12770"/>
      </w:r>
      <w:r>
        <w:t xml:space="preserve"> of his quiver.</w:t>
      </w:r>
    </w:p>
    <w:p>
      <w:r>
        <w:rPr>
          <w:b/>
        </w:rPr>
        <w:t xml:space="preserve">14 </w:t>
      </w:r>
      <w:r>
        <w:t xml:space="preserve">I became a laughingstock to all my people, their song all day.</w:t>
      </w:r>
    </w:p>
    <w:p>
      <w:r>
        <w:rPr>
          <w:b/>
        </w:rPr>
        <w:t xml:space="preserve">15 </w:t>
      </w:r>
      <w:r>
        <w:t xml:space="preserve">He filled</w:t>
      </w:r>
      <w:r>
        <w:rPr>
          <w:rStyle w:val="FootnoteReference"/>
        </w:rPr>
        <w:footnoteReference w:id="12771"/>
      </w:r>
      <w:r>
        <w:t xml:space="preserve"> me with bitterness; he made me drunk with gall.</w:t>
      </w:r>
    </w:p>
    <w:p>
      <w:r>
        <w:rPr>
          <w:b/>
        </w:rPr>
        <w:t xml:space="preserve">16 </w:t>
      </w:r>
      <w:r>
        <w:t xml:space="preserve">And he dashed out my teeth with gravel</w:t>
      </w:r>
      <w:r>
        <w:rPr>
          <w:rStyle w:val="FootnoteReference"/>
        </w:rPr>
        <w:footnoteReference w:id="12772"/>
      </w:r>
      <w:r>
        <w:t xml:space="preserve">. He fed me ashes.</w:t>
      </w:r>
    </w:p>
    <w:p>
      <w:r>
        <w:rPr>
          <w:b/>
        </w:rPr>
        <w:t xml:space="preserve">17 </w:t>
      </w:r>
      <w:r>
        <w:t xml:space="preserve">And he thrust my soul away from peace; I forgot good things.</w:t>
      </w:r>
    </w:p>
    <w:p>
      <w:r>
        <w:rPr>
          <w:b/>
        </w:rPr>
        <w:t xml:space="preserve">18 </w:t>
      </w:r>
      <w:r>
        <w:t xml:space="preserve">And I said, My victory and my hope from the Lord have perished.</w:t>
      </w:r>
    </w:p>
    <w:p>
      <w:r>
        <w:rPr>
          <w:b/>
        </w:rPr>
        <w:t xml:space="preserve">19 </w:t>
      </w:r>
      <w:r>
        <w:t xml:space="preserve">I remembered, because of my poverty and because of my persecution, my bitterness and my gall.</w:t>
      </w:r>
    </w:p>
    <w:p>
      <w:r>
        <w:rPr>
          <w:b/>
        </w:rPr>
        <w:t xml:space="preserve">20 </w:t>
      </w:r>
      <w:r>
        <w:t xml:space="preserve">My soul will remember and meditate within me.</w:t>
      </w:r>
    </w:p>
    <w:p>
      <w:r>
        <w:rPr>
          <w:b/>
        </w:rPr>
        <w:t xml:space="preserve">21 </w:t>
      </w:r>
      <w:r>
        <w:t xml:space="preserve">This I will set in my heart; therefore</w:t>
      </w:r>
      <w:r>
        <w:rPr>
          <w:rStyle w:val="FootnoteReference"/>
        </w:rPr>
        <w:footnoteReference w:id="12773"/>
      </w:r>
      <w:r>
        <w:t xml:space="preserve"> I endure.</w:t>
      </w:r>
    </w:p>
    <w:p>
      <w:r>
        <w:rPr>
          <w:b/>
        </w:rPr>
        <w:t xml:space="preserve">25 </w:t>
      </w:r>
      <w:r>
        <w:t xml:space="preserve">The Lord is good to those waiting for him, good to the soul that seeks him</w:t>
      </w:r>
      <w:r>
        <w:rPr>
          <w:rStyle w:val="FootnoteReference"/>
        </w:rPr>
        <w:footnoteReference w:id="12774"/>
      </w:r>
      <w:r>
        <w:t xml:space="preserve">.</w:t>
      </w:r>
      <w:r>
        <w:rPr>
          <w:rStyle w:val="FootnoteReference"/>
        </w:rPr>
        <w:footnoteReference w:id="12775"/>
      </w:r>
    </w:p>
    <w:p>
      <w:r>
        <w:rPr>
          <w:b/>
        </w:rPr>
        <w:t xml:space="preserve">26 </w:t>
      </w:r>
      <w:r>
        <w:t xml:space="preserve">And one waits and keeps quiet for the salvation of the Lord</w:t>
      </w:r>
      <w:r>
        <w:rPr>
          <w:rStyle w:val="FootnoteReference"/>
        </w:rPr>
        <w:footnoteReference w:id="12776"/>
      </w:r>
      <w:r>
        <w:t xml:space="preserve">.</w:t>
      </w:r>
    </w:p>
    <w:p>
      <w:r>
        <w:rPr>
          <w:b/>
        </w:rPr>
        <w:t xml:space="preserve">27 </w:t>
      </w:r>
      <w:r>
        <w:t xml:space="preserve">It is good for a man when he bears a yoke in his youth.</w:t>
      </w:r>
    </w:p>
    <w:p>
      <w:r>
        <w:rPr>
          <w:b/>
        </w:rPr>
        <w:t xml:space="preserve">28 </w:t>
      </w:r>
      <w:r>
        <w:t xml:space="preserve">He will sit alone and be silent, because he took it upon himself.</w:t>
      </w:r>
    </w:p>
    <w:p>
      <w:r>
        <w:rPr>
          <w:b/>
        </w:rPr>
        <w:t xml:space="preserve">30 </w:t>
      </w:r>
      <w:r>
        <w:t xml:space="preserve">He will give his cheek to one striking him. He will be filled</w:t>
      </w:r>
      <w:r>
        <w:rPr>
          <w:rStyle w:val="FootnoteReference"/>
        </w:rPr>
        <w:footnoteReference w:id="12777"/>
      </w:r>
      <w:r>
        <w:t xml:space="preserve"> with reproaches.</w:t>
      </w:r>
    </w:p>
    <w:p>
      <w:r>
        <w:rPr>
          <w:b/>
        </w:rPr>
        <w:t xml:space="preserve">31 </w:t>
      </w:r>
      <w:r>
        <w:t xml:space="preserve">Because the Lord will not cast off forever.</w:t>
      </w:r>
    </w:p>
    <w:p>
      <w:r>
        <w:rPr>
          <w:b/>
        </w:rPr>
        <w:t xml:space="preserve">32 </w:t>
      </w:r>
      <w:r>
        <w:t xml:space="preserve">Because the one who humbled will have compassion according to the multitude of his mercy.</w:t>
      </w:r>
    </w:p>
    <w:p>
      <w:r>
        <w:rPr>
          <w:b/>
        </w:rPr>
        <w:t xml:space="preserve">33 </w:t>
      </w:r>
      <w:r>
        <w:t xml:space="preserve">Because he did not answer from his heart when he humbled sons of man.</w:t>
      </w:r>
    </w:p>
    <w:p>
      <w:r>
        <w:rPr>
          <w:b/>
        </w:rPr>
        <w:t xml:space="preserve">34 </w:t>
      </w:r>
      <w:r>
        <w:t xml:space="preserve">To humble under his feet all prisoners of the earth,</w:t>
      </w:r>
    </w:p>
    <w:p>
      <w:r>
        <w:rPr>
          <w:b/>
        </w:rPr>
        <w:t xml:space="preserve">35 </w:t>
      </w:r>
      <w:r>
        <w:t xml:space="preserve">to turn</w:t>
      </w:r>
      <w:r>
        <w:rPr>
          <w:rStyle w:val="FootnoteReference"/>
        </w:rPr>
        <w:footnoteReference w:id="12778"/>
      </w:r>
      <w:r>
        <w:t xml:space="preserve"> aside the judgment of a man before the face of the Most High,</w:t>
      </w:r>
    </w:p>
    <w:p>
      <w:r>
        <w:rPr>
          <w:b/>
        </w:rPr>
        <w:t xml:space="preserve">36 </w:t>
      </w:r>
      <w:r>
        <w:t xml:space="preserve">to condemn a man in his judging, the Lord</w:t>
      </w:r>
      <w:r>
        <w:rPr>
          <w:rStyle w:val="FootnoteReference"/>
        </w:rPr>
        <w:footnoteReference w:id="12779"/>
      </w:r>
      <w:r>
        <w:t xml:space="preserve"> did not say.</w:t>
      </w:r>
    </w:p>
    <w:p>
      <w:r>
        <w:rPr>
          <w:b/>
        </w:rPr>
        <w:t xml:space="preserve">37 </w:t>
      </w:r>
      <w:r>
        <w:t xml:space="preserve">Who thus spoke and it happened, if the Lord did not command?</w:t>
      </w:r>
    </w:p>
    <w:p>
      <w:r>
        <w:rPr>
          <w:b/>
        </w:rPr>
        <w:t xml:space="preserve">38 </w:t>
      </w:r>
      <w:r>
        <w:t xml:space="preserve">Will not evils and good come out from the mouth of the Most High?</w:t>
      </w:r>
    </w:p>
    <w:p>
      <w:r>
        <w:rPr>
          <w:b/>
        </w:rPr>
        <w:t xml:space="preserve">39 </w:t>
      </w:r>
      <w:r>
        <w:t xml:space="preserve">Why will a living man complain, a man</w:t>
      </w:r>
      <w:r>
        <w:rPr>
          <w:rStyle w:val="FootnoteReference"/>
        </w:rPr>
        <w:footnoteReference w:id="12780"/>
      </w:r>
      <w:r>
        <w:t xml:space="preserve"> about his sin?</w:t>
      </w:r>
    </w:p>
    <w:p>
      <w:r>
        <w:rPr>
          <w:b/>
        </w:rPr>
        <w:t xml:space="preserve">40 </w:t>
      </w:r>
      <w:r>
        <w:t xml:space="preserve">Our way was searched out and examined; let us turn</w:t>
      </w:r>
      <w:r>
        <w:rPr>
          <w:rStyle w:val="FootnoteReference"/>
        </w:rPr>
        <w:footnoteReference w:id="12781"/>
      </w:r>
      <w:r>
        <w:t xml:space="preserve"> back to the Lord.</w:t>
      </w:r>
    </w:p>
    <w:p>
      <w:r>
        <w:rPr>
          <w:b/>
        </w:rPr>
        <w:t xml:space="preserve">41 </w:t>
      </w:r>
      <w:r>
        <w:t xml:space="preserve">Let us lift</w:t>
      </w:r>
      <w:r>
        <w:rPr>
          <w:rStyle w:val="FootnoteReference"/>
        </w:rPr>
        <w:footnoteReference w:id="12782"/>
      </w:r>
      <w:r>
        <w:t xml:space="preserve"> our hearts with our hands to the Most High in heaven.</w:t>
      </w:r>
    </w:p>
    <w:p>
      <w:r>
        <w:rPr>
          <w:b/>
        </w:rPr>
        <w:t xml:space="preserve">42 </w:t>
      </w:r>
      <w:r>
        <w:t xml:space="preserve">We sinned; we acted ungodly, and you were not propitiated.</w:t>
      </w:r>
    </w:p>
    <w:p>
      <w:r>
        <w:rPr>
          <w:b/>
        </w:rPr>
        <w:t xml:space="preserve">43 </w:t>
      </w:r>
      <w:r>
        <w:t xml:space="preserve">You covered</w:t>
      </w:r>
      <w:r>
        <w:rPr>
          <w:rStyle w:val="FootnoteReference"/>
        </w:rPr>
        <w:footnoteReference w:id="12783"/>
      </w:r>
      <w:r>
        <w:t xml:space="preserve"> us in wrath and drove us away. You killed; you did not spare.</w:t>
      </w:r>
    </w:p>
    <w:p>
      <w:r>
        <w:rPr>
          <w:b/>
        </w:rPr>
        <w:t xml:space="preserve">44 </w:t>
      </w:r>
      <w:r>
        <w:t xml:space="preserve">You covered</w:t>
      </w:r>
      <w:r>
        <w:rPr>
          <w:rStyle w:val="FootnoteReference"/>
        </w:rPr>
        <w:footnoteReference w:id="12784"/>
      </w:r>
      <w:r>
        <w:t xml:space="preserve"> yourself with a cloud because of prayer.</w:t>
      </w:r>
    </w:p>
    <w:p>
      <w:r>
        <w:rPr>
          <w:b/>
        </w:rPr>
        <w:t xml:space="preserve">45 </w:t>
      </w:r>
      <w:r>
        <w:t xml:space="preserve">To close my eyes and be thrust away, you placed us in the midst of the peoples.</w:t>
      </w:r>
      <w:r>
        <w:rPr>
          <w:rStyle w:val="FootnoteReference"/>
        </w:rPr>
        <w:footnoteReference w:id="12785"/>
      </w:r>
      <w:r>
        <w:t xml:space="preserve"/>
      </w:r>
    </w:p>
    <w:p>
      <w:r>
        <w:rPr>
          <w:b/>
        </w:rPr>
        <w:t xml:space="preserve">46 </w:t>
      </w:r>
      <w:r>
        <w:t xml:space="preserve">All our enemies opened their mouth against us.</w:t>
      </w:r>
    </w:p>
    <w:p>
      <w:r>
        <w:rPr>
          <w:b/>
        </w:rPr>
        <w:t xml:space="preserve">47 </w:t>
      </w:r>
      <w:r>
        <w:t xml:space="preserve">Fear</w:t>
      </w:r>
      <w:r>
        <w:rPr>
          <w:rStyle w:val="FootnoteReference"/>
        </w:rPr>
        <w:footnoteReference w:id="12786"/>
      </w:r>
      <w:r>
        <w:t xml:space="preserve"> and anger came upon us, upheaval and crushing.</w:t>
      </w:r>
    </w:p>
    <w:p>
      <w:r>
        <w:rPr>
          <w:b/>
        </w:rPr>
        <w:t xml:space="preserve">48 </w:t>
      </w:r>
      <w:r>
        <w:t xml:space="preserve">My eye will bring down streams of waters over the crushing of the daughter of my people.</w:t>
      </w:r>
    </w:p>
    <w:p>
      <w:r>
        <w:rPr>
          <w:b/>
        </w:rPr>
        <w:t xml:space="preserve">49 </w:t>
      </w:r>
      <w:r>
        <w:t xml:space="preserve">My eye was consumed, and I will not be silent, so that there be no relief,</w:t>
      </w:r>
    </w:p>
    <w:p>
      <w:r>
        <w:rPr>
          <w:b/>
        </w:rPr>
        <w:t xml:space="preserve">50 </w:t>
      </w:r>
      <w:r>
        <w:t xml:space="preserve">until the Lord looks down and sees from heaven.</w:t>
      </w:r>
    </w:p>
    <w:p>
      <w:r>
        <w:rPr>
          <w:b/>
        </w:rPr>
        <w:t xml:space="preserve">51 </w:t>
      </w:r>
      <w:r>
        <w:t xml:space="preserve">My eye preys upon my soul because of all the daughters</w:t>
      </w:r>
      <w:r>
        <w:rPr>
          <w:rStyle w:val="FootnoteReference"/>
        </w:rPr>
        <w:footnoteReference w:id="12787"/>
      </w:r>
      <w:r>
        <w:t xml:space="preserve"> of the city.</w:t>
      </w:r>
    </w:p>
    <w:p>
      <w:r>
        <w:rPr>
          <w:b/>
        </w:rPr>
        <w:t xml:space="preserve">52 </w:t>
      </w:r>
      <w:r>
        <w:t xml:space="preserve">Hunting, they hunted me like a sparrow, my enemies without cause.</w:t>
      </w:r>
    </w:p>
    <w:p>
      <w:r>
        <w:rPr>
          <w:b/>
        </w:rPr>
        <w:t xml:space="preserve">53 </w:t>
      </w:r>
      <w:r>
        <w:t xml:space="preserve">They killed my life in a pit and put a stone upon me.</w:t>
      </w:r>
    </w:p>
    <w:p>
      <w:r>
        <w:rPr>
          <w:b/>
        </w:rPr>
        <w:t xml:space="preserve">54 </w:t>
      </w:r>
      <w:r>
        <w:t xml:space="preserve">Water overflowed over my head. I said</w:t>
      </w:r>
      <w:r>
        <w:rPr>
          <w:rStyle w:val="FootnoteReference"/>
        </w:rPr>
        <w:footnoteReference w:id="12788"/>
      </w:r>
      <w:r>
        <w:t xml:space="preserve">, I am thrust away.</w:t>
      </w:r>
    </w:p>
    <w:p>
      <w:r>
        <w:rPr>
          <w:b/>
        </w:rPr>
        <w:t xml:space="preserve">55 </w:t>
      </w:r>
      <w:r>
        <w:t xml:space="preserve">I called on your name, Lord, from the lowest pit.</w:t>
      </w:r>
    </w:p>
    <w:p>
      <w:r>
        <w:rPr>
          <w:b/>
        </w:rPr>
        <w:t xml:space="preserve">56 </w:t>
      </w:r>
      <w:r>
        <w:t xml:space="preserve">You heard my voice. Do not hide</w:t>
      </w:r>
      <w:r>
        <w:rPr>
          <w:rStyle w:val="FootnoteReference"/>
        </w:rPr>
        <w:footnoteReference w:id="12789"/>
      </w:r>
      <w:r>
        <w:t xml:space="preserve"> your ears from my petition.</w:t>
      </w:r>
    </w:p>
    <w:p>
      <w:r>
        <w:rPr>
          <w:b/>
        </w:rPr>
        <w:t xml:space="preserve">57 </w:t>
      </w:r>
      <w:r>
        <w:t xml:space="preserve">You came near for my help on the day when I called you. You said to me, Do not fear.</w:t>
      </w:r>
    </w:p>
    <w:p>
      <w:r>
        <w:rPr>
          <w:b/>
        </w:rPr>
        <w:t xml:space="preserve">58 </w:t>
      </w:r>
      <w:r>
        <w:t xml:space="preserve">You pleaded, Lord, the cases of my soul. You redeemed my life.</w:t>
      </w:r>
    </w:p>
    <w:p>
      <w:r>
        <w:rPr>
          <w:b/>
        </w:rPr>
        <w:t xml:space="preserve">59 </w:t>
      </w:r>
      <w:r>
        <w:t xml:space="preserve">You saw, Lord, my troubles. You judged my case.</w:t>
      </w:r>
    </w:p>
    <w:p>
      <w:r>
        <w:rPr>
          <w:b/>
        </w:rPr>
        <w:t xml:space="preserve">60 </w:t>
      </w:r>
      <w:r>
        <w:t xml:space="preserve">You saw all their vengeance, all their reasonings against me.</w:t>
      </w:r>
    </w:p>
    <w:p>
      <w:r>
        <w:rPr>
          <w:b/>
        </w:rPr>
        <w:t xml:space="preserve">61 </w:t>
      </w:r>
      <w:r>
        <w:t xml:space="preserve">You heard their reproach, all their reasonings against me.</w:t>
      </w:r>
    </w:p>
    <w:p>
      <w:r>
        <w:rPr>
          <w:b/>
        </w:rPr>
        <w:t xml:space="preserve">62 </w:t>
      </w:r>
      <w:r>
        <w:t xml:space="preserve">The lips</w:t>
      </w:r>
      <w:r>
        <w:rPr>
          <w:rStyle w:val="FootnoteReference"/>
        </w:rPr>
        <w:footnoteReference w:id="12790"/>
      </w:r>
      <w:r>
        <w:t xml:space="preserve"> of those rising against me and their meditations are against me all day.</w:t>
      </w:r>
    </w:p>
    <w:p>
      <w:r>
        <w:rPr>
          <w:b/>
        </w:rPr>
        <w:t xml:space="preserve">63 </w:t>
      </w:r>
      <w:r>
        <w:t xml:space="preserve">Their sitting</w:t>
      </w:r>
      <w:r>
        <w:rPr>
          <w:rStyle w:val="FootnoteReference"/>
        </w:rPr>
        <w:footnoteReference w:id="12791"/>
      </w:r>
      <w:r>
        <w:t xml:space="preserve"> and their rising, look upon their eyes.</w:t>
      </w:r>
    </w:p>
    <w:p>
      <w:r>
        <w:rPr>
          <w:b/>
        </w:rPr>
        <w:t xml:space="preserve">64 </w:t>
      </w:r>
      <w:r>
        <w:t xml:space="preserve">You will repay them recompense, Lord, according to the works of their hands.</w:t>
      </w:r>
    </w:p>
    <w:p>
      <w:r>
        <w:rPr>
          <w:b/>
        </w:rPr>
        <w:t xml:space="preserve">65 </w:t>
      </w:r>
      <w:r>
        <w:t xml:space="preserve">You will give them a shield of heart, your toil to them.</w:t>
      </w:r>
    </w:p>
    <w:p>
      <w:r>
        <w:rPr>
          <w:b/>
        </w:rPr>
        <w:t xml:space="preserve">66 </w:t>
      </w:r>
      <w:r>
        <w:t xml:space="preserve">You will pursue them in anger and consume them from under</w:t>
      </w:r>
      <w:r>
        <w:rPr>
          <w:rStyle w:val="FootnoteReference"/>
        </w:rPr>
        <w:footnoteReference w:id="12792"/>
      </w:r>
      <w:r>
        <w:t xml:space="preserve"> heaven,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How gold was dimmed; good silver changed. Holy stones were poured out at the head of every street.</w:t>
      </w:r>
    </w:p>
    <w:p>
      <w:r>
        <w:rPr>
          <w:b/>
        </w:rPr>
        <w:t xml:space="preserve">2 </w:t>
      </w:r>
      <w:r>
        <w:t xml:space="preserve">The sons of Zion, the precious ones raised up in gold, how they were reckoned as earthen vessels, works of a potter's hands.</w:t>
      </w:r>
    </w:p>
    <w:p>
      <w:r>
        <w:rPr>
          <w:b/>
        </w:rPr>
        <w:t xml:space="preserve">3 </w:t>
      </w:r>
      <w:r>
        <w:t xml:space="preserve">Even dragons drew out breasts and suckled their cubs. The daughters of my people became incurable like a sparrow in the wilderness.</w:t>
      </w:r>
    </w:p>
    <w:p>
      <w:r>
        <w:rPr>
          <w:b/>
        </w:rPr>
        <w:t xml:space="preserve">4 </w:t>
      </w:r>
      <w:r>
        <w:t xml:space="preserve">The tongue</w:t>
      </w:r>
      <w:r>
        <w:rPr>
          <w:rStyle w:val="FootnoteReference"/>
        </w:rPr>
        <w:footnoteReference w:id="12793"/>
      </w:r>
      <w:r>
        <w:t xml:space="preserve"> of a nursing child clung to his throat from thirst. Little ones asked for bread. There is no one breaking it for them.</w:t>
      </w:r>
    </w:p>
    <w:p>
      <w:r>
        <w:rPr>
          <w:b/>
        </w:rPr>
        <w:t xml:space="preserve">5 </w:t>
      </w:r>
      <w:r>
        <w:t xml:space="preserve">Those eating delicacies were made desolate in the streets. Those nourished on scarlet embraced dung-heaps.</w:t>
      </w:r>
    </w:p>
    <w:p>
      <w:r>
        <w:rPr>
          <w:b/>
        </w:rPr>
        <w:t xml:space="preserve">6 </w:t>
      </w:r>
      <w:r>
        <w:t xml:space="preserve">And the lawlessness of the daughter of my people grew beyond the lawlessness of Sodom, the overthrown one, as if suddenly, and no hands labored in her.</w:t>
      </w:r>
    </w:p>
    <w:p>
      <w:r>
        <w:rPr>
          <w:b/>
        </w:rPr>
        <w:t xml:space="preserve">7 </w:t>
      </w:r>
      <w:r>
        <w:t xml:space="preserve">Her Nazirites</w:t>
      </w:r>
      <w:r>
        <w:rPr>
          <w:rStyle w:val="FootnoteReference"/>
        </w:rPr>
        <w:footnoteReference w:id="12794"/>
      </w:r>
      <w:r>
        <w:t xml:space="preserve"> were purer</w:t>
      </w:r>
      <w:r>
        <w:rPr>
          <w:rStyle w:val="FootnoteReference"/>
        </w:rPr>
        <w:footnoteReference w:id="12795"/>
      </w:r>
      <w:r>
        <w:t xml:space="preserve"> than snow, brighter than milk; their appearance was redder than sapphire stones.</w:t>
      </w:r>
    </w:p>
    <w:p>
      <w:r>
        <w:rPr>
          <w:b/>
        </w:rPr>
        <w:t xml:space="preserve">8 </w:t>
      </w:r>
      <w:r>
        <w:t xml:space="preserve">Their appearance darkened more than soot. They were not recognized in the streets. Their skin</w:t>
      </w:r>
      <w:r>
        <w:rPr>
          <w:rStyle w:val="FootnoteReference"/>
        </w:rPr>
        <w:footnoteReference w:id="12796"/>
      </w:r>
      <w:r>
        <w:t xml:space="preserve"> stuck to their bones; they dried up and became like wood.</w:t>
      </w:r>
    </w:p>
    <w:p>
      <w:r>
        <w:rPr>
          <w:b/>
        </w:rPr>
        <w:t xml:space="preserve">9 </w:t>
      </w:r>
      <w:r>
        <w:t xml:space="preserve">Better were those wounded by the sword than those wounded by famine. They went pierced from lack of the produce of fields.</w:t>
      </w:r>
    </w:p>
    <w:p>
      <w:r>
        <w:rPr>
          <w:b/>
        </w:rPr>
        <w:t xml:space="preserve">10 </w:t>
      </w:r>
      <w:r>
        <w:t xml:space="preserve">The hands</w:t>
      </w:r>
      <w:r>
        <w:rPr>
          <w:rStyle w:val="FootnoteReference"/>
        </w:rPr>
        <w:footnoteReference w:id="12797"/>
      </w:r>
      <w:r>
        <w:t xml:space="preserve"> of compassionate women cooked their children. They became food for them in the crushing of the daughter of my people.</w:t>
      </w:r>
    </w:p>
    <w:p>
      <w:r>
        <w:rPr>
          <w:b/>
        </w:rPr>
        <w:t xml:space="preserve">11 </w:t>
      </w:r>
      <w:r>
        <w:t xml:space="preserve">The Lord</w:t>
      </w:r>
      <w:r>
        <w:rPr>
          <w:rStyle w:val="FootnoteReference"/>
        </w:rPr>
        <w:footnoteReference w:id="12798"/>
      </w:r>
      <w:r>
        <w:t xml:space="preserve"> completed his wrath, poured out the anger of his wrath, and kindled a fire in Zion, and it devoured her foundations.</w:t>
      </w:r>
    </w:p>
    <w:p>
      <w:r>
        <w:rPr>
          <w:b/>
        </w:rPr>
        <w:t xml:space="preserve">12 </w:t>
      </w:r>
      <w:r>
        <w:t xml:space="preserve">The kings of the earth did not believe, all dwellers of the world, that an enemy and oppressor would enter through the gates of Jerusalem,</w:t>
      </w:r>
    </w:p>
    <w:p>
      <w:r>
        <w:rPr>
          <w:b/>
        </w:rPr>
        <w:t xml:space="preserve">13 </w:t>
      </w:r>
      <w:r>
        <w:t xml:space="preserve">because of the sins</w:t>
      </w:r>
      <w:r>
        <w:rPr>
          <w:rStyle w:val="FootnoteReference"/>
        </w:rPr>
        <w:footnoteReference w:id="12799"/>
      </w:r>
      <w:r>
        <w:t xml:space="preserve"> of her prophets, the injustices of her priests, those pouring out righteous blood in her midst.</w:t>
      </w:r>
    </w:p>
    <w:p>
      <w:r>
        <w:rPr>
          <w:b/>
        </w:rPr>
        <w:t xml:space="preserve">14 </w:t>
      </w:r>
      <w:r>
        <w:t xml:space="preserve">Her watchmen staggered in the streets; they were polluted with blood. In their inability, they touched their garments.</w:t>
      </w:r>
    </w:p>
    <w:p>
      <w:r>
        <w:rPr>
          <w:b/>
        </w:rPr>
        <w:t xml:space="preserve">15 </w:t>
      </w:r>
      <w:r>
        <w:t xml:space="preserve">Depart from the unclean ones; call to them, Depart, depart, do not touch, because they were kindled. And indeed they staggered. They said among the nations, They will no longer sojourn.</w:t>
      </w:r>
    </w:p>
    <w:p>
      <w:r>
        <w:rPr>
          <w:b/>
        </w:rPr>
        <w:t xml:space="preserve">16 </w:t>
      </w:r>
      <w:r>
        <w:t xml:space="preserve">The face of the Lord is their portion. He will no longer look on them. They did not receive the faces of priests; elders they did not pity.</w:t>
      </w:r>
    </w:p>
    <w:p>
      <w:r>
        <w:rPr>
          <w:b/>
        </w:rPr>
        <w:t xml:space="preserve">17 </w:t>
      </w:r>
      <w:r>
        <w:t xml:space="preserve">While we were still alive, our eyes</w:t>
      </w:r>
      <w:r>
        <w:rPr>
          <w:rStyle w:val="FootnoteReference"/>
        </w:rPr>
        <w:footnoteReference w:id="12800"/>
      </w:r>
      <w:r>
        <w:t xml:space="preserve"> failed for our vain help. While watching, we watched for a nation not saving.</w:t>
      </w:r>
    </w:p>
    <w:p>
      <w:r>
        <w:rPr>
          <w:b/>
        </w:rPr>
        <w:t xml:space="preserve">18 </w:t>
      </w:r>
      <w:r>
        <w:t xml:space="preserve">We hunted our little ones so they would not walk in our streets. Our time drew near; our days were fulfilled; our time is present.</w:t>
      </w:r>
    </w:p>
    <w:p>
      <w:r>
        <w:rPr>
          <w:b/>
        </w:rPr>
        <w:t xml:space="preserve">19 </w:t>
      </w:r>
      <w:r>
        <w:t xml:space="preserve">Our pursuers became swifter than eagles of heaven. On the mountains they blazed. In the wilderness they lay in wait for us.</w:t>
      </w:r>
    </w:p>
    <w:p>
      <w:r>
        <w:rPr>
          <w:b/>
        </w:rPr>
        <w:t xml:space="preserve">20 </w:t>
      </w:r>
      <w:r>
        <w:t xml:space="preserve">The breath</w:t>
      </w:r>
      <w:r>
        <w:rPr>
          <w:rStyle w:val="FootnoteReference"/>
        </w:rPr>
        <w:footnoteReference w:id="12801"/>
      </w:r>
      <w:r>
        <w:t xml:space="preserve"> of our face, the anointed of the Lord, was seized in their destructions, of whom we said, In his shadow we will live among the nations.</w:t>
      </w:r>
    </w:p>
    <w:p>
      <w:r>
        <w:rPr>
          <w:b/>
        </w:rPr>
        <w:t xml:space="preserve">21 </w:t>
      </w:r>
      <w:r>
        <w:t xml:space="preserve">Rejoice and be glad</w:t>
      </w:r>
      <w:r>
        <w:rPr>
          <w:rStyle w:val="FootnoteReference"/>
        </w:rPr>
        <w:footnoteReference w:id="12802"/>
      </w:r>
      <w:r>
        <w:t xml:space="preserve">, daughter Edom dwelling on the land. Yet the cup of the Lord will also pass to you, and you will be drunk and pour out.</w:t>
      </w:r>
    </w:p>
    <w:p>
      <w:r>
        <w:rPr>
          <w:b/>
        </w:rPr>
        <w:t xml:space="preserve">22 </w:t>
      </w:r>
      <w:r>
        <w:t xml:space="preserve">Your lawlessness came to an end, daughter Zion. He will no</w:t>
      </w:r>
      <w:r>
        <w:rPr>
          <w:rStyle w:val="FootnoteReference"/>
        </w:rPr>
        <w:footnoteReference w:id="12803"/>
      </w:r>
      <w:r>
        <w:t xml:space="preserve"> longer exile you. He visited your lawlessnesses, daughter Edom; he uncovered your ungodlinesses.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Remember</w:t>
      </w:r>
      <w:r>
        <w:rPr>
          <w:rStyle w:val="FootnoteReference"/>
        </w:rPr>
        <w:footnoteReference w:id="12804"/>
      </w:r>
      <w:r>
        <w:t xml:space="preserve">, Lord, what happened to us. Look and see our reproach.</w:t>
      </w:r>
    </w:p>
    <w:p>
      <w:r>
        <w:rPr>
          <w:b/>
        </w:rPr>
        <w:t xml:space="preserve">2 </w:t>
      </w:r>
      <w:r>
        <w:t xml:space="preserve">Our inheritance was turned over to strangers, our houses to foreigners.</w:t>
      </w:r>
    </w:p>
    <w:p>
      <w:r>
        <w:rPr>
          <w:b/>
        </w:rPr>
        <w:t xml:space="preserve">3 </w:t>
      </w:r>
      <w:r>
        <w:t xml:space="preserve">We became orphans; there is no father. Our mothers are like widows.</w:t>
      </w:r>
    </w:p>
    <w:p>
      <w:r>
        <w:rPr>
          <w:b/>
        </w:rPr>
        <w:t xml:space="preserve">4 </w:t>
      </w:r>
      <w:r>
        <w:t xml:space="preserve">From our days, our wood came by exchange.</w:t>
      </w:r>
    </w:p>
    <w:p>
      <w:r>
        <w:rPr>
          <w:b/>
        </w:rPr>
        <w:t xml:space="preserve">5 </w:t>
      </w:r>
      <w:r>
        <w:t xml:space="preserve">Upon our neck we were pursued. We labored; we did not rest.</w:t>
      </w:r>
    </w:p>
    <w:p>
      <w:r>
        <w:rPr>
          <w:b/>
        </w:rPr>
        <w:t xml:space="preserve">6 </w:t>
      </w:r>
      <w:r>
        <w:t xml:space="preserve">Egypt gave a hand to Assyria for their fullness.</w:t>
      </w:r>
    </w:p>
    <w:p>
      <w:r>
        <w:rPr>
          <w:b/>
        </w:rPr>
        <w:t xml:space="preserve">7 </w:t>
      </w:r>
      <w:r>
        <w:t xml:space="preserve">Our fathers</w:t>
      </w:r>
      <w:r>
        <w:rPr>
          <w:rStyle w:val="FootnoteReference"/>
        </w:rPr>
        <w:footnoteReference w:id="12805"/>
      </w:r>
      <w:r>
        <w:t xml:space="preserve"> sinned and are not; we bore their lawless deeds.</w:t>
      </w:r>
    </w:p>
    <w:p>
      <w:r>
        <w:rPr>
          <w:b/>
        </w:rPr>
        <w:t xml:space="preserve">8 </w:t>
      </w:r>
      <w:r>
        <w:t xml:space="preserve">Slaves ruled over us. There is no one redeeming us from their hand.</w:t>
      </w:r>
    </w:p>
    <w:p>
      <w:r>
        <w:rPr>
          <w:b/>
        </w:rPr>
        <w:t xml:space="preserve">9 </w:t>
      </w:r>
      <w:r>
        <w:t xml:space="preserve">With our lives we bring our bread from the face of the sword of the wilderness.</w:t>
      </w:r>
    </w:p>
    <w:p>
      <w:r>
        <w:rPr>
          <w:b/>
        </w:rPr>
        <w:t xml:space="preserve">10 </w:t>
      </w:r>
      <w:r>
        <w:t xml:space="preserve">Our skin</w:t>
      </w:r>
      <w:r>
        <w:rPr>
          <w:rStyle w:val="FootnoteReference"/>
        </w:rPr>
        <w:footnoteReference w:id="12806"/>
      </w:r>
      <w:r>
        <w:t xml:space="preserve"> was shriveled like an oven, contracted before the storms of famine.</w:t>
      </w:r>
    </w:p>
    <w:p>
      <w:r>
        <w:rPr>
          <w:b/>
        </w:rPr>
        <w:t xml:space="preserve">11 </w:t>
      </w:r>
      <w:r>
        <w:t xml:space="preserve">They humbled women in Zion, virgins in the cities of Judah.</w:t>
      </w:r>
    </w:p>
    <w:p>
      <w:r>
        <w:rPr>
          <w:b/>
        </w:rPr>
        <w:t xml:space="preserve">12 </w:t>
      </w:r>
      <w:r>
        <w:t xml:space="preserve">Rulers were hung by their hands. Elders were not honored.</w:t>
      </w:r>
    </w:p>
    <w:p>
      <w:r>
        <w:rPr>
          <w:b/>
        </w:rPr>
        <w:t xml:space="preserve">13 </w:t>
      </w:r>
      <w:r>
        <w:t xml:space="preserve">Chosen ones took up weeping, and young men weakened under wood.</w:t>
      </w:r>
    </w:p>
    <w:p>
      <w:r>
        <w:rPr>
          <w:b/>
        </w:rPr>
        <w:t xml:space="preserve">14 </w:t>
      </w:r>
      <w:r>
        <w:t xml:space="preserve">Elders</w:t>
      </w:r>
      <w:r>
        <w:rPr>
          <w:rStyle w:val="FootnoteReference"/>
        </w:rPr>
        <w:footnoteReference w:id="12807"/>
      </w:r>
      <w:r>
        <w:t xml:space="preserve"> ceased from the gate. Chosen ones ceased from their songs.</w:t>
      </w:r>
    </w:p>
    <w:p>
      <w:r>
        <w:rPr>
          <w:b/>
        </w:rPr>
        <w:t xml:space="preserve">15 </w:t>
      </w:r>
      <w:r>
        <w:t xml:space="preserve">The joy of our heart ceased. Our dance</w:t>
      </w:r>
      <w:r>
        <w:rPr>
          <w:rStyle w:val="FootnoteReference"/>
        </w:rPr>
        <w:footnoteReference w:id="12808"/>
      </w:r>
      <w:r>
        <w:t xml:space="preserve"> turned into mourning.</w:t>
      </w:r>
    </w:p>
    <w:p>
      <w:r>
        <w:rPr>
          <w:b/>
        </w:rPr>
        <w:t xml:space="preserve">16 </w:t>
      </w:r>
      <w:r>
        <w:t xml:space="preserve">The crown</w:t>
      </w:r>
      <w:r>
        <w:rPr>
          <w:rStyle w:val="FootnoteReference"/>
        </w:rPr>
        <w:footnoteReference w:id="12809"/>
      </w:r>
      <w:r>
        <w:t xml:space="preserve"> of our head fell. Woe now to us, because we sinned.</w:t>
      </w:r>
    </w:p>
    <w:p>
      <w:r>
        <w:rPr>
          <w:b/>
        </w:rPr>
        <w:t xml:space="preserve">17 </w:t>
      </w:r>
      <w:r>
        <w:t xml:space="preserve">Because of this our heart</w:t>
      </w:r>
      <w:r>
        <w:rPr>
          <w:rStyle w:val="FootnoteReference"/>
        </w:rPr>
        <w:footnoteReference w:id="12810"/>
      </w:r>
      <w:r>
        <w:t xml:space="preserve"> became pained; because of this our eyes darkened,</w:t>
      </w:r>
    </w:p>
    <w:p>
      <w:r>
        <w:rPr>
          <w:b/>
        </w:rPr>
        <w:t xml:space="preserve">18 </w:t>
      </w:r>
      <w:r>
        <w:t xml:space="preserve">over Mount Zion, because it was ruined. Foxes passed through it.</w:t>
      </w:r>
    </w:p>
    <w:p>
      <w:r>
        <w:rPr>
          <w:b/>
        </w:rPr>
        <w:t xml:space="preserve">19 </w:t>
      </w:r>
      <w:r>
        <w:t xml:space="preserve">But you, Lord, will dwell forever; your throne is to generation and generation.</w:t>
      </w:r>
    </w:p>
    <w:p>
      <w:r>
        <w:rPr>
          <w:b/>
        </w:rPr>
        <w:t xml:space="preserve">20 </w:t>
      </w:r>
      <w:r>
        <w:t xml:space="preserve">Why will you forget us utterly and leave us for the length of days?</w:t>
      </w:r>
    </w:p>
    <w:p>
      <w:r>
        <w:rPr>
          <w:b/>
        </w:rPr>
        <w:t xml:space="preserve">21 </w:t>
      </w:r>
      <w:r>
        <w:t xml:space="preserve">Turn</w:t>
      </w:r>
      <w:r>
        <w:rPr>
          <w:rStyle w:val="FootnoteReference"/>
        </w:rPr>
        <w:footnoteReference w:id="12811"/>
      </w:r>
      <w:r>
        <w:t xml:space="preserve"> us back, Lord, to you, and we will return; renew our days as before,</w:t>
      </w:r>
    </w:p>
    <w:p>
      <w:r>
        <w:rPr>
          <w:b/>
        </w:rPr>
        <w:t xml:space="preserve">22 </w:t>
      </w:r>
      <w:r>
        <w:t xml:space="preserve">because in thrusting away you thrust us away. You were very angry against us.</w:t>
      </w:r>
    </w:p>
    <w:p>
      <w:r>
        <w:br w:type="page"/>
      </w:r>
    </w:p>
    <w:p>
      <w:pPr>
        <w:pStyle w:val="Heading1"/>
      </w:pPr>
      <w:r>
        <w:t xml:space="preserve">Ezekiel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it happened in the thirtieth</w:t>
      </w:r>
      <w:r>
        <w:rPr>
          <w:rStyle w:val="FootnoteReference"/>
        </w:rPr>
        <w:footnoteReference w:id="12812"/>
      </w:r>
      <w:r>
        <w:t xml:space="preserve"> year, in the fourth month, on the fifth of the month, and I was in the midst of captivity by the river Chebar</w:t>
      </w:r>
      <w:r>
        <w:rPr>
          <w:rStyle w:val="FootnoteReference"/>
        </w:rPr>
        <w:footnoteReference w:id="12813"/>
      </w:r>
      <w:r>
        <w:t xml:space="preserve">, and the heavens were opened and I saw visions of God.</w:t>
      </w:r>
    </w:p>
    <w:p>
      <w:r>
        <w:rPr>
          <w:b/>
        </w:rPr>
        <w:t xml:space="preserve">2 </w:t>
      </w:r>
      <w:r>
        <w:t xml:space="preserve">On the fifth of the month, this was the fifth year of the captivity of King Joakim,</w:t>
      </w:r>
    </w:p>
    <w:p>
      <w:r>
        <w:rPr>
          <w:b/>
        </w:rPr>
        <w:t xml:space="preserve">3 </w:t>
      </w:r>
      <w:r>
        <w:t xml:space="preserve">and the word of the Lord came to Ezekiel</w:t>
      </w:r>
      <w:r>
        <w:rPr>
          <w:rStyle w:val="FootnoteReference"/>
        </w:rPr>
        <w:footnoteReference w:id="12814"/>
      </w:r>
      <w:r>
        <w:t xml:space="preserve"> son of Buzi</w:t>
      </w:r>
      <w:r>
        <w:rPr>
          <w:rStyle w:val="FootnoteReference"/>
        </w:rPr>
        <w:footnoteReference w:id="12815"/>
      </w:r>
      <w:r>
        <w:t xml:space="preserve"> the priest in the land of the Chaldeans by the river Chebar, and the hand of the Lord came upon me.</w:t>
      </w:r>
    </w:p>
    <w:p>
      <w:r>
        <w:rPr>
          <w:b/>
        </w:rPr>
        <w:t xml:space="preserve">4 </w:t>
      </w:r>
      <w:r>
        <w:t xml:space="preserve">And I saw, and behold, a lifting wind came from the north, and a great</w:t>
      </w:r>
      <w:r>
        <w:rPr>
          <w:rStyle w:val="FootnoteReference"/>
        </w:rPr>
        <w:footnoteReference w:id="12816"/>
      </w:r>
      <w:r>
        <w:t xml:space="preserve"> cloud was in it, and brightness around it, and flashing fire; and in its midst was like the appearance of electrum in the midst of the fire, and brightness was in it.</w:t>
      </w:r>
    </w:p>
    <w:p>
      <w:r>
        <w:rPr>
          <w:b/>
        </w:rPr>
        <w:t xml:space="preserve">5 </w:t>
      </w:r>
      <w:r>
        <w:t xml:space="preserve">And in the midst was something like the likeness</w:t>
      </w:r>
      <w:r>
        <w:rPr>
          <w:rStyle w:val="FootnoteReference"/>
        </w:rPr>
        <w:footnoteReference w:id="12817"/>
      </w:r>
      <w:r>
        <w:t xml:space="preserve"> of four living beings, and this was their appearance: likeness of a man upon them.</w:t>
      </w:r>
    </w:p>
    <w:p>
      <w:r>
        <w:rPr>
          <w:b/>
        </w:rPr>
        <w:t xml:space="preserve">6 </w:t>
      </w:r>
      <w:r>
        <w:t xml:space="preserve">And there were four faces to each one and four wings to each one.</w:t>
      </w:r>
    </w:p>
    <w:p>
      <w:r>
        <w:rPr>
          <w:b/>
        </w:rPr>
        <w:t xml:space="preserve">7 </w:t>
      </w:r>
      <w:r>
        <w:t xml:space="preserve">And their legs were straight, and their feet were winged, with sparks like flashing bronze, and their wings were light.</w:t>
      </w:r>
    </w:p>
    <w:p>
      <w:r>
        <w:rPr>
          <w:b/>
        </w:rPr>
        <w:t xml:space="preserve">8 </w:t>
      </w:r>
      <w:r>
        <w:t xml:space="preserve">And the hand of man was beneath their wings on their four sides, and the faces of the four.</w:t>
      </w:r>
    </w:p>
    <w:p>
      <w:r>
        <w:rPr>
          <w:b/>
        </w:rPr>
        <w:t xml:space="preserve">9 </w:t>
      </w:r>
      <w:r>
        <w:t xml:space="preserve">They did not turn when walking; each went straight before its face.</w:t>
      </w:r>
    </w:p>
    <w:p>
      <w:r>
        <w:rPr>
          <w:b/>
        </w:rPr>
        <w:t xml:space="preserve">10 </w:t>
      </w:r>
      <w:r>
        <w:t xml:space="preserve">And the likeness of their faces: a face of a man, and a face of a lion on the right for the four, and a face of a calf on the left for the four, and a face of an eagle for the four.</w:t>
      </w:r>
    </w:p>
    <w:p>
      <w:r>
        <w:rPr>
          <w:b/>
        </w:rPr>
        <w:t xml:space="preserve">11 </w:t>
      </w:r>
      <w:r>
        <w:t xml:space="preserve">And their</w:t>
      </w:r>
      <w:r>
        <w:rPr>
          <w:rStyle w:val="FootnoteReference"/>
        </w:rPr>
        <w:footnoteReference w:id="12818"/>
      </w:r>
      <w:r>
        <w:t xml:space="preserve"> wings were stretched upward; for the four, two were joined to one another and two covered over their bodies.</w:t>
      </w:r>
    </w:p>
    <w:p>
      <w:r>
        <w:rPr>
          <w:b/>
        </w:rPr>
        <w:t xml:space="preserve">12 </w:t>
      </w:r>
      <w:r>
        <w:t xml:space="preserve">And each went straight before its face. Wherever the spirit was going, they went and did not turn.</w:t>
      </w:r>
    </w:p>
    <w:p>
      <w:r>
        <w:rPr>
          <w:b/>
        </w:rPr>
        <w:t xml:space="preserve">13 </w:t>
      </w:r>
      <w:r>
        <w:t xml:space="preserve">And in the midst of the living beings was an appearance like burning coals of fire, like the sight of lamps turning among the living beings, and brightness of fire, and from the fire lightning went out.</w:t>
      </w:r>
    </w:p>
    <w:p>
      <w:r>
        <w:rPr>
          <w:b/>
        </w:rPr>
        <w:t xml:space="preserve">15 </w:t>
      </w:r>
      <w:r>
        <w:t xml:space="preserve">And I saw, and behold, one wheel on the earth adjoining the living beings, for the four.</w:t>
      </w:r>
    </w:p>
    <w:p>
      <w:r>
        <w:rPr>
          <w:b/>
        </w:rPr>
        <w:t xml:space="preserve">16 </w:t>
      </w:r>
      <w:r>
        <w:t xml:space="preserve">And the appearance of the wheels was like the appearance of Tarshish, and one likeness was in the four, and their work was as a wheel</w:t>
      </w:r>
      <w:r>
        <w:rPr>
          <w:rStyle w:val="FootnoteReference"/>
        </w:rPr>
        <w:footnoteReference w:id="12819"/>
      </w:r>
      <w:r>
        <w:t xml:space="preserve"> within a wheel.</w:t>
      </w:r>
    </w:p>
    <w:p>
      <w:r>
        <w:rPr>
          <w:b/>
        </w:rPr>
        <w:t xml:space="preserve">17 </w:t>
      </w:r>
      <w:r>
        <w:t xml:space="preserve">They went upon their four sides; they did not turn while going.</w:t>
      </w:r>
    </w:p>
    <w:p>
      <w:r>
        <w:rPr>
          <w:b/>
        </w:rPr>
        <w:t xml:space="preserve">18 </w:t>
      </w:r>
      <w:r>
        <w:t xml:space="preserve">And indeed their backs: there was height to them, and I saw them, and their backs were full</w:t>
      </w:r>
      <w:r>
        <w:rPr>
          <w:rStyle w:val="FootnoteReference"/>
        </w:rPr>
        <w:footnoteReference w:id="12820"/>
      </w:r>
      <w:r>
        <w:t xml:space="preserve"> of eyes around, for the four.</w:t>
      </w:r>
    </w:p>
    <w:p>
      <w:r>
        <w:rPr>
          <w:b/>
        </w:rPr>
        <w:t xml:space="preserve">19 </w:t>
      </w:r>
      <w:r>
        <w:t xml:space="preserve">And when the living beings went, the wheels adjoining them went, and when the living beings were lifted from the earth, the wheels were lifted.</w:t>
      </w:r>
    </w:p>
    <w:p>
      <w:r>
        <w:rPr>
          <w:b/>
        </w:rPr>
        <w:t xml:space="preserve">20 </w:t>
      </w:r>
      <w:r>
        <w:t xml:space="preserve">Wherever the cloud was, there the spirit</w:t>
      </w:r>
      <w:r>
        <w:rPr>
          <w:rStyle w:val="FootnoteReference"/>
        </w:rPr>
        <w:footnoteReference w:id="12821"/>
      </w:r>
      <w:r>
        <w:t xml:space="preserve"> went. The living beings went, and the wheels were lifted with them, because the spirit of life was in the wheels.</w:t>
      </w:r>
    </w:p>
    <w:p>
      <w:r>
        <w:rPr>
          <w:b/>
        </w:rPr>
        <w:t xml:space="preserve">21 </w:t>
      </w:r>
      <w:r>
        <w:t xml:space="preserve">When they went, these went; when they stood, these stood; and when they were lifted from the earth, the wheels were lifted with them, because the spirit of life was in the wheels.</w:t>
      </w:r>
    </w:p>
    <w:p>
      <w:r>
        <w:rPr>
          <w:b/>
        </w:rPr>
        <w:t xml:space="preserve">22 </w:t>
      </w:r>
      <w:r>
        <w:t xml:space="preserve">And the likeness</w:t>
      </w:r>
      <w:r>
        <w:rPr>
          <w:rStyle w:val="FootnoteReference"/>
        </w:rPr>
        <w:footnoteReference w:id="12822"/>
      </w:r>
      <w:r>
        <w:t xml:space="preserve"> over the head of the living beings was like a firmament, as the appearance of crystal stretched over their wings above.</w:t>
      </w:r>
    </w:p>
    <w:p>
      <w:r>
        <w:rPr>
          <w:b/>
        </w:rPr>
        <w:t xml:space="preserve">23 </w:t>
      </w:r>
      <w:r>
        <w:t xml:space="preserve">And under the firmament their wings</w:t>
      </w:r>
      <w:r>
        <w:rPr>
          <w:rStyle w:val="FootnoteReference"/>
        </w:rPr>
        <w:footnoteReference w:id="12823"/>
      </w:r>
      <w:r>
        <w:t xml:space="preserve"> were stretched, winging one to the other, each with two joined, covering their bodies.</w:t>
      </w:r>
    </w:p>
    <w:p>
      <w:r>
        <w:rPr>
          <w:b/>
        </w:rPr>
        <w:t xml:space="preserve">24 </w:t>
      </w:r>
      <w:r>
        <w:t xml:space="preserve">And I heard the sound of their wings when they went, like the sound of much water, and when they stood, their wings rested.</w:t>
      </w:r>
    </w:p>
    <w:p>
      <w:r>
        <w:rPr>
          <w:b/>
        </w:rPr>
        <w:t xml:space="preserve">25 </w:t>
      </w:r>
      <w:r>
        <w:t xml:space="preserve">And behold, a voice came from above the firmament that was over their head.</w:t>
      </w:r>
    </w:p>
    <w:p>
      <w:r>
        <w:rPr>
          <w:b/>
        </w:rPr>
        <w:t xml:space="preserve">26 </w:t>
      </w:r>
      <w:r>
        <w:t xml:space="preserve">Like the appearance of a sapphire stone, likeness of a throne upon it, and upon the likeness of the throne, a likeness as the</w:t>
      </w:r>
      <w:r>
        <w:rPr>
          <w:rStyle w:val="FootnoteReference"/>
        </w:rPr>
        <w:footnoteReference w:id="12824"/>
      </w:r>
      <w:r>
        <w:t xml:space="preserve"> appearance of a man above.</w:t>
      </w:r>
    </w:p>
    <w:p>
      <w:r>
        <w:rPr>
          <w:b/>
        </w:rPr>
        <w:t xml:space="preserve">27 </w:t>
      </w:r>
      <w:r>
        <w:t xml:space="preserve">And I saw like the sight of electrum from the sight of loins and upward, and from the sight of loins and downward I saw like the appearance of fire</w:t>
      </w:r>
      <w:r>
        <w:rPr>
          <w:rStyle w:val="FootnoteReference"/>
        </w:rPr>
        <w:footnoteReference w:id="12825"/>
      </w:r>
      <w:r>
        <w:t xml:space="preserve"> and his brightness around.</w:t>
      </w:r>
    </w:p>
    <w:p>
      <w:r>
        <w:rPr>
          <w:b/>
        </w:rPr>
        <w:t xml:space="preserve">28 </w:t>
      </w:r>
      <w:r>
        <w:t xml:space="preserve">Like the appearance of a bow when it is in a cloud in the day of rain, so was the appearance of brightness around. This was the appearance of the likeness of the glory of the Lord, and I saw and fell on my face and heard a voice speaking.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he said to me, Son of man, stand</w:t>
      </w:r>
      <w:r>
        <w:rPr>
          <w:rStyle w:val="FootnoteReference"/>
        </w:rPr>
        <w:footnoteReference w:id="12826"/>
      </w:r>
      <w:r>
        <w:t xml:space="preserve"> upon your feet and I will speak to you.</w:t>
      </w:r>
    </w:p>
    <w:p>
      <w:r>
        <w:rPr>
          <w:b/>
        </w:rPr>
        <w:t xml:space="preserve">2 </w:t>
      </w:r>
      <w:r>
        <w:t xml:space="preserve">And spirit came upon me and took me up and lifted me and set me on my feet, and I heard him speaking to me.</w:t>
      </w:r>
    </w:p>
    <w:p>
      <w:r>
        <w:rPr>
          <w:b/>
        </w:rPr>
        <w:t xml:space="preserve">3 </w:t>
      </w:r>
      <w:r>
        <w:t xml:space="preserve">And he said to me, Son of man, I send</w:t>
      </w:r>
      <w:r>
        <w:rPr>
          <w:rStyle w:val="FootnoteReference"/>
        </w:rPr>
        <w:footnoteReference w:id="12827"/>
      </w:r>
      <w:r>
        <w:t xml:space="preserve"> you to the house of Israel, those provoking me, who provoked me, they and their fathers until this present day.</w:t>
      </w:r>
    </w:p>
    <w:p>
      <w:r>
        <w:rPr>
          <w:b/>
        </w:rPr>
        <w:t xml:space="preserve">4 </w:t>
      </w:r>
      <w:r>
        <w:t xml:space="preserve">And you will say to them, Thus</w:t>
      </w:r>
      <w:r>
        <w:rPr>
          <w:rStyle w:val="FootnoteReference"/>
        </w:rPr>
        <w:footnoteReference w:id="12828"/>
      </w:r>
      <w:r>
        <w:t xml:space="preserve"> says the Lord.</w:t>
      </w:r>
    </w:p>
    <w:p>
      <w:r>
        <w:rPr>
          <w:b/>
        </w:rPr>
        <w:t xml:space="preserve">5 </w:t>
      </w:r>
      <w:r>
        <w:t xml:space="preserve">Whether</w:t>
      </w:r>
      <w:r>
        <w:rPr>
          <w:rStyle w:val="FootnoteReference"/>
        </w:rPr>
        <w:footnoteReference w:id="12829"/>
      </w:r>
      <w:r>
        <w:t xml:space="preserve"> perhaps they hear or are afraid, because it is a provoking house, they will know that you are a prophet in the midst of them.</w:t>
      </w:r>
    </w:p>
    <w:p>
      <w:r>
        <w:rPr>
          <w:b/>
        </w:rPr>
        <w:t xml:space="preserve">6 </w:t>
      </w:r>
      <w:r>
        <w:t xml:space="preserve">And you, son of man, do not fear them nor be dismayed before their face, because they will rage and gather around against you, and you dwell in the midst of scorpions</w:t>
      </w:r>
      <w:r>
        <w:rPr>
          <w:rStyle w:val="FootnoteReference"/>
        </w:rPr>
        <w:footnoteReference w:id="12830"/>
      </w:r>
      <w:r>
        <w:t xml:space="preserve">. Do not fear their words, and do not be dismayed before their face, because it is a provoking house.</w:t>
      </w:r>
    </w:p>
    <w:p>
      <w:r>
        <w:rPr>
          <w:b/>
        </w:rPr>
        <w:t xml:space="preserve">7 </w:t>
      </w:r>
      <w:r>
        <w:t xml:space="preserve">And you will speak my words to them, whether</w:t>
      </w:r>
      <w:r>
        <w:rPr>
          <w:rStyle w:val="FootnoteReference"/>
        </w:rPr>
        <w:footnoteReference w:id="12831"/>
      </w:r>
      <w:r>
        <w:t xml:space="preserve"> perhaps they hear or are afraid, because it is a provoking house.</w:t>
      </w:r>
    </w:p>
    <w:p>
      <w:r>
        <w:rPr>
          <w:b/>
        </w:rPr>
        <w:t xml:space="preserve">8 </w:t>
      </w:r>
      <w:r>
        <w:t xml:space="preserve">And you, son of man, hear the one speaking to you. Do not become provoking like the provoking house. Open</w:t>
      </w:r>
      <w:r>
        <w:rPr>
          <w:rStyle w:val="FootnoteReference"/>
        </w:rPr>
        <w:footnoteReference w:id="12832"/>
      </w:r>
      <w:r>
        <w:t xml:space="preserve"> your mouth and eat what I give you.</w:t>
      </w:r>
    </w:p>
    <w:p>
      <w:r>
        <w:rPr>
          <w:b/>
        </w:rPr>
        <w:t xml:space="preserve">9 </w:t>
      </w:r>
      <w:r>
        <w:t xml:space="preserve">And I saw, and behold, a hand stretched out to me, and in it was a scroll of a book.</w:t>
      </w:r>
    </w:p>
    <w:p>
      <w:r>
        <w:rPr>
          <w:b/>
        </w:rPr>
        <w:t xml:space="preserve">10 </w:t>
      </w:r>
      <w:r>
        <w:t xml:space="preserve">And he unrolled it before me, and on it were writings on back and front, and written on it were lament and song and woe.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he said to me, Son of man, eat this scroll, and go and speak to the sons of Israel.</w:t>
      </w:r>
    </w:p>
    <w:p>
      <w:r>
        <w:rPr>
          <w:b/>
        </w:rPr>
        <w:t xml:space="preserve">2 </w:t>
      </w:r>
      <w:r>
        <w:t xml:space="preserve">And I opened my mouth, and he fed me the scroll.</w:t>
      </w:r>
    </w:p>
    <w:p>
      <w:r>
        <w:rPr>
          <w:b/>
        </w:rPr>
        <w:t xml:space="preserve">3 </w:t>
      </w:r>
      <w:r>
        <w:t xml:space="preserve">And he said to me, Son of man, your mouth will eat, and your belly will be filled with this scroll given to you. And I ate it, and it became in my mouth like sweet honey.</w:t>
      </w:r>
    </w:p>
    <w:p>
      <w:r>
        <w:rPr>
          <w:b/>
        </w:rPr>
        <w:t xml:space="preserve">4 </w:t>
      </w:r>
      <w:r>
        <w:t xml:space="preserve">And he said to me, Son of man, go, enter to the house of Israel, and speak my words to them.</w:t>
      </w:r>
    </w:p>
    <w:p>
      <w:r>
        <w:rPr>
          <w:b/>
        </w:rPr>
        <w:t xml:space="preserve">5 </w:t>
      </w:r>
      <w:r>
        <w:t xml:space="preserve">For you are not being sent to a deep-lipped and heavy-tongued people, but to the house of Israel,</w:t>
      </w:r>
    </w:p>
    <w:p>
      <w:r>
        <w:rPr>
          <w:b/>
        </w:rPr>
        <w:t xml:space="preserve">6 </w:t>
      </w:r>
      <w:r>
        <w:t xml:space="preserve">nor to many peoples foreign-speaking or foreign-tongued, nor heavy in tongue, whose words you would not understand. If I had sent you to such people, they would have listened to you.</w:t>
      </w:r>
    </w:p>
    <w:p>
      <w:r>
        <w:rPr>
          <w:b/>
        </w:rPr>
        <w:t xml:space="preserve">7 </w:t>
      </w:r>
      <w:r>
        <w:t xml:space="preserve">But the house of Israel will</w:t>
      </w:r>
      <w:r>
        <w:rPr>
          <w:rStyle w:val="FootnoteReference"/>
        </w:rPr>
        <w:footnoteReference w:id="12833"/>
      </w:r>
      <w:r>
        <w:t xml:space="preserve"> not want to listen to you, because they do not want to listen to me, because all the house of Israel are contentious and hard-hearted.</w:t>
      </w:r>
    </w:p>
    <w:p>
      <w:r>
        <w:rPr>
          <w:b/>
        </w:rPr>
        <w:t xml:space="preserve">8 </w:t>
      </w:r>
      <w:r>
        <w:t xml:space="preserve">And behold, I have made your face strong against their faces, and I will strengthen your strife against their strife.</w:t>
      </w:r>
    </w:p>
    <w:p>
      <w:r>
        <w:rPr>
          <w:b/>
        </w:rPr>
        <w:t xml:space="preserve">9 </w:t>
      </w:r>
      <w:r>
        <w:t xml:space="preserve">And it will always be stronger than rock. Do not fear</w:t>
      </w:r>
      <w:r>
        <w:rPr>
          <w:rStyle w:val="FootnoteReference"/>
        </w:rPr>
        <w:footnoteReference w:id="12834"/>
      </w:r>
      <w:r>
        <w:t xml:space="preserve"> them, nor be dismayed before their face, because it is a provoking house.</w:t>
      </w:r>
    </w:p>
    <w:p>
      <w:r>
        <w:rPr>
          <w:b/>
        </w:rPr>
        <w:t xml:space="preserve">10 </w:t>
      </w:r>
      <w:r>
        <w:t xml:space="preserve">And he said to me, Son of man, take into your heart all the words that I have spoken with you, and hear with your ears.</w:t>
      </w:r>
    </w:p>
    <w:p>
      <w:r>
        <w:rPr>
          <w:b/>
        </w:rPr>
        <w:t xml:space="preserve">11 </w:t>
      </w:r>
      <w:r>
        <w:t xml:space="preserve">And go, enter into the captivity, to the sons of your people, and speak</w:t>
      </w:r>
      <w:r>
        <w:rPr>
          <w:rStyle w:val="FootnoteReference"/>
        </w:rPr>
        <w:footnoteReference w:id="12835"/>
      </w:r>
      <w:r>
        <w:t xml:space="preserve"> to them and say to them, Thus says the Lord, whether perhaps they hear, whether perhaps they yield.</w:t>
      </w:r>
    </w:p>
    <w:p>
      <w:r>
        <w:rPr>
          <w:b/>
        </w:rPr>
        <w:t xml:space="preserve">12 </w:t>
      </w:r>
      <w:r>
        <w:t xml:space="preserve">And spirit</w:t>
      </w:r>
      <w:r>
        <w:rPr>
          <w:rStyle w:val="FootnoteReference"/>
        </w:rPr>
        <w:footnoteReference w:id="12836"/>
      </w:r>
      <w:r>
        <w:t xml:space="preserve"> took me up, and I heard behind me a voice of great shaking: Blessed be the glory of the Lord from his place.</w:t>
      </w:r>
    </w:p>
    <w:p>
      <w:r>
        <w:rPr>
          <w:b/>
        </w:rPr>
        <w:t xml:space="preserve">13 </w:t>
      </w:r>
      <w:r>
        <w:t xml:space="preserve">And I perceived the sound of wings of living beings beating one against another, and the sound of the wheels next to them, and the sound of the shaking.</w:t>
      </w:r>
    </w:p>
    <w:p>
      <w:r>
        <w:rPr>
          <w:b/>
        </w:rPr>
        <w:t xml:space="preserve">14 </w:t>
      </w:r>
      <w:r>
        <w:t xml:space="preserve">And spirit lifted me and took me up, and I went in the rush of my spirit, and the hand of the Lord became strong upon me.</w:t>
      </w:r>
    </w:p>
    <w:p>
      <w:r>
        <w:rPr>
          <w:b/>
        </w:rPr>
        <w:t xml:space="preserve">15 </w:t>
      </w:r>
      <w:r>
        <w:t xml:space="preserve">And I entered into the captivity, borne aloft, and went around those dwelling by the river Chebar, those who were there, and sat there seven days, staying in the midst of them.</w:t>
      </w:r>
    </w:p>
    <w:p>
      <w:r>
        <w:rPr>
          <w:b/>
        </w:rPr>
        <w:t xml:space="preserve">16 </w:t>
      </w:r>
      <w:r>
        <w:t xml:space="preserve">And it happened after the seven days, the word of the Lord came to me, saying,</w:t>
      </w:r>
    </w:p>
    <w:p>
      <w:r>
        <w:rPr>
          <w:b/>
        </w:rPr>
        <w:t xml:space="preserve">17 </w:t>
      </w:r>
      <w:r>
        <w:t xml:space="preserve">Son of man, I have given you as a watchman</w:t>
      </w:r>
      <w:r>
        <w:rPr>
          <w:rStyle w:val="FootnoteReference"/>
        </w:rPr>
        <w:footnoteReference w:id="12837"/>
      </w:r>
      <w:r>
        <w:t xml:space="preserve"> to the house of Israel, and you will hear a word from my mouth and warn them from me.</w:t>
      </w:r>
    </w:p>
    <w:p>
      <w:r>
        <w:rPr>
          <w:b/>
        </w:rPr>
        <w:t xml:space="preserve">18 </w:t>
      </w:r>
      <w:r>
        <w:t xml:space="preserve">When I say to the lawless one, By death you will be put to death, and you do not warn him nor speak to warn the lawless one to turn from his ways so that he may live, that lawless one will die in his injustice, and his blood I will seek from your hand.</w:t>
      </w:r>
    </w:p>
    <w:p>
      <w:r>
        <w:rPr>
          <w:b/>
        </w:rPr>
        <w:t xml:space="preserve">19 </w:t>
      </w:r>
      <w:r>
        <w:t xml:space="preserve">And you, if you warn the lawless one and he does not turn from his lawlessness and from his way, that lawless one will die in his injustice, and you will rescue your soul.</w:t>
      </w:r>
    </w:p>
    <w:p>
      <w:r>
        <w:rPr>
          <w:b/>
        </w:rPr>
        <w:t xml:space="preserve">20 </w:t>
      </w:r>
      <w:r>
        <w:t xml:space="preserve">And when a righteous one turns from his righteousnesses and commits a trespass, and I set torment before his face, he will die because you did not warn him, and in his sins he will die because his righteous deeds that he did will not be remembered, and his blood I will seek from your hand.</w:t>
      </w:r>
    </w:p>
    <w:p>
      <w:r>
        <w:rPr>
          <w:b/>
        </w:rPr>
        <w:t xml:space="preserve">21 </w:t>
      </w:r>
      <w:r>
        <w:t xml:space="preserve">But if you warn the righteous one not to sin and he does not sin, the righteous one will surely live because you warned him, and you will rescue your own soul.</w:t>
      </w:r>
    </w:p>
    <w:p>
      <w:r>
        <w:rPr>
          <w:b/>
        </w:rPr>
        <w:t xml:space="preserve">22 </w:t>
      </w:r>
      <w:r>
        <w:t xml:space="preserve">And the hand</w:t>
      </w:r>
      <w:r>
        <w:rPr>
          <w:rStyle w:val="FootnoteReference"/>
        </w:rPr>
        <w:footnoteReference w:id="12838"/>
      </w:r>
      <w:r>
        <w:t xml:space="preserve"> of the Lord came upon me and said to me, Rise and go out into the plain, and there it will be spoken to you.</w:t>
      </w:r>
    </w:p>
    <w:p>
      <w:r>
        <w:rPr>
          <w:b/>
        </w:rPr>
        <w:t xml:space="preserve">23 </w:t>
      </w:r>
      <w:r>
        <w:t xml:space="preserve">And I rose and went out into the plain, and behold, there the glory</w:t>
      </w:r>
      <w:r>
        <w:rPr>
          <w:rStyle w:val="FootnoteReference"/>
        </w:rPr>
        <w:footnoteReference w:id="12839"/>
      </w:r>
      <w:r>
        <w:t xml:space="preserve"> of the Lord stood, just as the vision and as the glory that I had seen by the river Chebar, and I fell on my face.</w:t>
      </w:r>
    </w:p>
    <w:p>
      <w:r>
        <w:rPr>
          <w:b/>
        </w:rPr>
        <w:t xml:space="preserve">24 </w:t>
      </w:r>
      <w:r>
        <w:t xml:space="preserve">And spirit came upon me and set me on my feet and spoke to me and said to me, Enter and shut yourself in the midst of your house.</w:t>
      </w:r>
    </w:p>
    <w:p>
      <w:r>
        <w:rPr>
          <w:b/>
        </w:rPr>
        <w:t xml:space="preserve">25 </w:t>
      </w:r>
      <w:r>
        <w:t xml:space="preserve">And you, son of man, behold, bonds have been given upon you, and they will bind you with them, and you will not go out from the midst of them.</w:t>
      </w:r>
    </w:p>
    <w:p>
      <w:r>
        <w:rPr>
          <w:b/>
        </w:rPr>
        <w:t xml:space="preserve">26 </w:t>
      </w:r>
      <w:r>
        <w:t xml:space="preserve">And I will bind your tongue, and you will be made mute, and you will not be to them a man who rebukes, because it is a provoking house.</w:t>
      </w:r>
    </w:p>
    <w:p>
      <w:r>
        <w:rPr>
          <w:b/>
        </w:rPr>
        <w:t xml:space="preserve">27 </w:t>
      </w:r>
      <w:r>
        <w:t xml:space="preserve">And when I speak to you, I will open your mouth, and you will say to them, Thus</w:t>
      </w:r>
      <w:r>
        <w:rPr>
          <w:rStyle w:val="FootnoteReference"/>
        </w:rPr>
        <w:footnoteReference w:id="12840"/>
      </w:r>
      <w:r>
        <w:t xml:space="preserve"> says the Lord. The one who hears, let him hear; and the one who disobeys, let him disobey, because it is a provoking house.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you, son of man, take</w:t>
      </w:r>
      <w:r>
        <w:rPr>
          <w:rStyle w:val="FootnoteReference"/>
        </w:rPr>
        <w:footnoteReference w:id="12841"/>
      </w:r>
      <w:r>
        <w:t xml:space="preserve"> for yourself a brick and set it before your face and draw on it a city, Jerusalem.</w:t>
      </w:r>
    </w:p>
    <w:p>
      <w:r>
        <w:rPr>
          <w:b/>
        </w:rPr>
        <w:t xml:space="preserve">2 </w:t>
      </w:r>
      <w:r>
        <w:t xml:space="preserve">And set a siege against it and build defenses against it, and cast a siege mound around it, and set camps against it, and place siege engines around it.</w:t>
      </w:r>
    </w:p>
    <w:p>
      <w:r>
        <w:rPr>
          <w:b/>
        </w:rPr>
        <w:t xml:space="preserve">3 </w:t>
      </w:r>
      <w:r>
        <w:t xml:space="preserve">And you, take for yourself an iron pan</w:t>
      </w:r>
      <w:r>
        <w:rPr>
          <w:rStyle w:val="FootnoteReference"/>
        </w:rPr>
        <w:footnoteReference w:id="12842"/>
      </w:r>
      <w:r>
        <w:t xml:space="preserve"> and set it as an iron wall between you and the city, and prepare your face against it, and it will be under siege and you will shut it in. This is a sign for the sons of Israel.</w:t>
      </w:r>
    </w:p>
    <w:p>
      <w:r>
        <w:rPr>
          <w:b/>
        </w:rPr>
        <w:t xml:space="preserve">4 </w:t>
      </w:r>
      <w:r>
        <w:t xml:space="preserve">And you will lie on your left side and set the injustices of the house of Israel upon</w:t>
      </w:r>
      <w:r>
        <w:rPr>
          <w:rStyle w:val="FootnoteReference"/>
        </w:rPr>
        <w:footnoteReference w:id="12843"/>
      </w:r>
      <w:r>
        <w:t xml:space="preserve"> it. According to the number of the days, one hundred fifty, during which you lie on it, you will bear their injustices.</w:t>
      </w:r>
    </w:p>
    <w:p>
      <w:r>
        <w:rPr>
          <w:b/>
        </w:rPr>
        <w:t xml:space="preserve">5 </w:t>
      </w:r>
      <w:r>
        <w:t xml:space="preserve">And I have given you their two injustices for the number of days, one hundred ninety days, and you will bear the injustices of the house of Israel.</w:t>
      </w:r>
    </w:p>
    <w:p>
      <w:r>
        <w:rPr>
          <w:b/>
        </w:rPr>
        <w:t xml:space="preserve">6 </w:t>
      </w:r>
      <w:r>
        <w:t xml:space="preserve">And you will finish all these things and lie on your right side and bear the injustices of the house of Judah forty days</w:t>
      </w:r>
      <w:r>
        <w:rPr>
          <w:rStyle w:val="FootnoteReference"/>
        </w:rPr>
        <w:footnoteReference w:id="12844"/>
      </w:r>
      <w:r>
        <w:t xml:space="preserve">. I have set for you a day for a year.</w:t>
      </w:r>
    </w:p>
    <w:p>
      <w:r>
        <w:rPr>
          <w:b/>
        </w:rPr>
        <w:t xml:space="preserve">7 </w:t>
      </w:r>
      <w:r>
        <w:t xml:space="preserve">And toward the siege of Jerusalem you will prepare your face, and you will strengthen your arm, and you will prophesy against it.</w:t>
      </w:r>
    </w:p>
    <w:p>
      <w:r>
        <w:rPr>
          <w:b/>
        </w:rPr>
        <w:t xml:space="preserve">8 </w:t>
      </w:r>
      <w:r>
        <w:t xml:space="preserve">And I, behold, have given bonds upon you, and you will not turn from one side to the other until the days of your siege are completed.</w:t>
      </w:r>
    </w:p>
    <w:p>
      <w:r>
        <w:rPr>
          <w:b/>
        </w:rPr>
        <w:t xml:space="preserve">9 </w:t>
      </w:r>
      <w:r>
        <w:t xml:space="preserve">And you, take for yourself wheat</w:t>
      </w:r>
      <w:r>
        <w:rPr>
          <w:rStyle w:val="FootnoteReference"/>
        </w:rPr>
        <w:footnoteReference w:id="12845"/>
      </w:r>
      <w:r>
        <w:t xml:space="preserve"> and barley and beans and lentils and millet and spelt and put them into an earthen vessel and make them for yourself into loaves, and according to the number of the days during which you sleep on your side, one hundred ninety days, you will eat them.</w:t>
      </w:r>
    </w:p>
    <w:p>
      <w:r>
        <w:rPr>
          <w:b/>
        </w:rPr>
        <w:t xml:space="preserve">10 </w:t>
      </w:r>
      <w:r>
        <w:t xml:space="preserve">And your food which you will eat will be by weight, twenty shekels a day. From time to time you will eat them.</w:t>
      </w:r>
    </w:p>
    <w:p>
      <w:r>
        <w:rPr>
          <w:b/>
        </w:rPr>
        <w:t xml:space="preserve">11 </w:t>
      </w:r>
      <w:r>
        <w:t xml:space="preserve">And you will drink water by measure, one-sixth of a hin. From time to time you will drink.</w:t>
      </w:r>
    </w:p>
    <w:p>
      <w:r>
        <w:rPr>
          <w:b/>
        </w:rPr>
        <w:t xml:space="preserve">12 </w:t>
      </w:r>
      <w:r>
        <w:t xml:space="preserve">And you will eat them as a barley cake. With human-dung fuel you will bake them before their eyes.</w:t>
      </w:r>
    </w:p>
    <w:p>
      <w:r>
        <w:rPr>
          <w:b/>
        </w:rPr>
        <w:t xml:space="preserve">13 </w:t>
      </w:r>
      <w:r>
        <w:t xml:space="preserve">And you will say, Thus says the Lord God of Israel: Thus the sons of Israel will eat unclean things among the nations.</w:t>
      </w:r>
    </w:p>
    <w:p>
      <w:r>
        <w:rPr>
          <w:b/>
        </w:rPr>
        <w:t xml:space="preserve">14 </w:t>
      </w:r>
      <w:r>
        <w:t xml:space="preserve">And I said, No indeed, Lord God of Israel. Behold, my soul</w:t>
      </w:r>
      <w:r>
        <w:rPr>
          <w:rStyle w:val="FootnoteReference"/>
        </w:rPr>
        <w:footnoteReference w:id="12846"/>
      </w:r>
      <w:r>
        <w:t xml:space="preserve"> has not been defiled with uncleanness, and I have not eaten what died of itself or was torn by beasts from my birth until now, nor has any stale flesh entered into my mouth.</w:t>
      </w:r>
    </w:p>
    <w:p>
      <w:r>
        <w:rPr>
          <w:b/>
        </w:rPr>
        <w:t xml:space="preserve">15 </w:t>
      </w:r>
      <w:r>
        <w:t xml:space="preserve">And he said to me, Behold, I have given you cow dung instead of human dung, and you will make your loaves upon it.</w:t>
      </w:r>
    </w:p>
    <w:p>
      <w:r>
        <w:rPr>
          <w:b/>
        </w:rPr>
        <w:t xml:space="preserve">16 </w:t>
      </w:r>
      <w:r>
        <w:t xml:space="preserve">And he said to me, Son of man, behold, I break the support of bread in Jerusalem, and they will eat bread by weight and in want, and they will drink water by measure and in ruin,</w:t>
      </w:r>
    </w:p>
    <w:p>
      <w:r>
        <w:rPr>
          <w:b/>
        </w:rPr>
        <w:t xml:space="preserve">17 </w:t>
      </w:r>
      <w:r>
        <w:t xml:space="preserve">so that they may be in want of bread and water, and a man and his brother will be brought to ruin and melt away in their injustices.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you, son of man, take</w:t>
      </w:r>
      <w:r>
        <w:rPr>
          <w:rStyle w:val="FootnoteReference"/>
        </w:rPr>
        <w:footnoteReference w:id="12847"/>
      </w:r>
      <w:r>
        <w:t xml:space="preserve"> for yourself a sharp sword, like a barber's razor. Acquire it for yourself and bring it over your head and over your beard, and you will take scales for weighing and divide the hairs.</w:t>
      </w:r>
    </w:p>
    <w:p>
      <w:r>
        <w:rPr>
          <w:b/>
        </w:rPr>
        <w:t xml:space="preserve">2 </w:t>
      </w:r>
      <w:r>
        <w:t xml:space="preserve">A quarter you will burn with fire in the midst of the city according to the completion of days of the siege. And you will take a quarter and burn it in the midst of her, and a quarter you will cut with a sword around her, and a quarter you will scatter to the wind, and I will draw</w:t>
      </w:r>
      <w:r>
        <w:rPr>
          <w:rStyle w:val="FootnoteReference"/>
        </w:rPr>
        <w:footnoteReference w:id="12848"/>
      </w:r>
      <w:r>
        <w:t xml:space="preserve"> out a sword behind them.</w:t>
      </w:r>
    </w:p>
    <w:p>
      <w:r>
        <w:rPr>
          <w:b/>
        </w:rPr>
        <w:t xml:space="preserve">3 </w:t>
      </w:r>
      <w:r>
        <w:t xml:space="preserve">And you will take from there a few</w:t>
      </w:r>
      <w:r>
        <w:rPr>
          <w:rStyle w:val="FootnoteReference"/>
        </w:rPr>
        <w:footnoteReference w:id="12849"/>
      </w:r>
      <w:r>
        <w:t xml:space="preserve"> in number and wrap them in your cloak.</w:t>
      </w:r>
    </w:p>
    <w:p>
      <w:r>
        <w:rPr>
          <w:b/>
        </w:rPr>
        <w:t xml:space="preserve">4 </w:t>
      </w:r>
      <w:r>
        <w:t xml:space="preserve">And from these you will take</w:t>
      </w:r>
      <w:r>
        <w:rPr>
          <w:rStyle w:val="FootnoteReference"/>
        </w:rPr>
        <w:footnoteReference w:id="12850"/>
      </w:r>
      <w:r>
        <w:t xml:space="preserve"> again and throw them into the midst of the fire and burn them with fire. From it fire will go out, and you will say to all the house of Israel,</w:t>
      </w:r>
    </w:p>
    <w:p>
      <w:r>
        <w:rPr>
          <w:b/>
        </w:rPr>
        <w:t xml:space="preserve">5 </w:t>
      </w:r>
      <w:r>
        <w:t xml:space="preserve">Thus says the Lord: This is Jerusalem. I have set her and the lands around her in the midst of the nations.</w:t>
      </w:r>
    </w:p>
    <w:p>
      <w:r>
        <w:rPr>
          <w:b/>
        </w:rPr>
        <w:t xml:space="preserve">6 </w:t>
      </w:r>
      <w:r>
        <w:t xml:space="preserve">And you will declare my ordinances to the lawless one from the nations and my statutes to the lands around her, because they rejected my ordinances and did not walk in my statutes.</w:t>
      </w:r>
    </w:p>
    <w:p>
      <w:r>
        <w:rPr>
          <w:b/>
        </w:rPr>
        <w:t xml:space="preserve">7 </w:t>
      </w:r>
      <w:r>
        <w:t xml:space="preserve">Therefore thus says the Lord: Because your occasion for sin was from the nations around you, and you did not walk in my statutes or do my ordinances, and you did not even do according to the ordinances of the nations around you.</w:t>
      </w:r>
    </w:p>
    <w:p>
      <w:r>
        <w:rPr>
          <w:b/>
        </w:rPr>
        <w:t xml:space="preserve">8 </w:t>
      </w:r>
      <w:r>
        <w:t xml:space="preserve">Therefore thus says the Lord: Behold, I am against you, and I will do judgment in your midst before the nations.</w:t>
      </w:r>
    </w:p>
    <w:p>
      <w:r>
        <w:rPr>
          <w:b/>
        </w:rPr>
        <w:t xml:space="preserve">9 </w:t>
      </w:r>
      <w:r>
        <w:t xml:space="preserve">And I will do among you things that I have not done, and things like these I will not do again, because of all your abominations.</w:t>
      </w:r>
    </w:p>
    <w:p>
      <w:r>
        <w:rPr>
          <w:b/>
        </w:rPr>
        <w:t xml:space="preserve">10 </w:t>
      </w:r>
      <w:r>
        <w:t xml:space="preserve">Therefore fathers will eat children in your midst and children will eat fathers, and I will execute judgments in you and scatter all your remnant to every wind.</w:t>
      </w:r>
    </w:p>
    <w:p>
      <w:r>
        <w:rPr>
          <w:b/>
        </w:rPr>
        <w:t xml:space="preserve">11 </w:t>
      </w:r>
      <w:r>
        <w:t xml:space="preserve">Therefore as I live</w:t>
      </w:r>
      <w:r>
        <w:rPr>
          <w:rStyle w:val="FootnoteReference"/>
        </w:rPr>
        <w:footnoteReference w:id="12851"/>
      </w:r>
      <w:r>
        <w:t xml:space="preserve">, says the Lord, because you defiled my holy things with all your abominations, I also will reject you. My eye will not spare, and I will not have mercy.</w:t>
      </w:r>
    </w:p>
    <w:p>
      <w:r>
        <w:rPr>
          <w:b/>
        </w:rPr>
        <w:t xml:space="preserve">12 </w:t>
      </w:r>
      <w:r>
        <w:t xml:space="preserve">A quarter of you will be consumed in death, and a quarter of you will be finished in famine in your midst, and a quarter of you I will scatter to every wind, and a quarter of you will fall by sword around you, and I will draw</w:t>
      </w:r>
      <w:r>
        <w:rPr>
          <w:rStyle w:val="FootnoteReference"/>
        </w:rPr>
        <w:footnoteReference w:id="12852"/>
      </w:r>
      <w:r>
        <w:t xml:space="preserve"> out a sword behind them.</w:t>
      </w:r>
    </w:p>
    <w:p>
      <w:r>
        <w:rPr>
          <w:b/>
        </w:rPr>
        <w:t xml:space="preserve">13 </w:t>
      </w:r>
      <w:r>
        <w:t xml:space="preserve">And my wrath and my anger will be completed upon them, and you will know that I, the Lord, have spoken</w:t>
      </w:r>
      <w:r>
        <w:rPr>
          <w:rStyle w:val="FootnoteReference"/>
        </w:rPr>
        <w:footnoteReference w:id="12853"/>
      </w:r>
      <w:r>
        <w:t xml:space="preserve"> in my zeal when I complete my anger upon them.</w:t>
      </w:r>
    </w:p>
    <w:p>
      <w:r>
        <w:rPr>
          <w:b/>
        </w:rPr>
        <w:t xml:space="preserve">14 </w:t>
      </w:r>
      <w:r>
        <w:t xml:space="preserve">And I will make you a wilderness, and your daughters around you, before everyone passing through.</w:t>
      </w:r>
    </w:p>
    <w:p>
      <w:r>
        <w:rPr>
          <w:b/>
        </w:rPr>
        <w:t xml:space="preserve">15 </w:t>
      </w:r>
      <w:r>
        <w:t xml:space="preserve">And you will be groaned over and miserable among the nations around you when I execute judgments in you in vengeance of my wrath. I, the Lord, have spoken.</w:t>
      </w:r>
    </w:p>
    <w:p>
      <w:r>
        <w:rPr>
          <w:b/>
        </w:rPr>
        <w:t xml:space="preserve">16 </w:t>
      </w:r>
      <w:r>
        <w:t xml:space="preserve">When I send my arrows of famine upon them and they will be for destruction, and I will break your support of bread,</w:t>
      </w:r>
    </w:p>
    <w:p>
      <w:r>
        <w:rPr>
          <w:b/>
        </w:rPr>
        <w:t xml:space="preserve">17 </w:t>
      </w:r>
      <w:r>
        <w:t xml:space="preserve">and I will send upon you famine and evil</w:t>
      </w:r>
      <w:r>
        <w:rPr>
          <w:rStyle w:val="FootnoteReference"/>
        </w:rPr>
        <w:footnoteReference w:id="12854"/>
      </w:r>
      <w:r>
        <w:t xml:space="preserve"> beasts and take vengeance on you, and death and blood will pass through upon you, and I will bring a sword upon you all around. I, the Lord, have spoken.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the word</w:t>
      </w:r>
      <w:r>
        <w:rPr>
          <w:rStyle w:val="FootnoteReference"/>
        </w:rPr>
        <w:footnoteReference w:id="12855"/>
      </w:r>
      <w:r>
        <w:t xml:space="preserve"> of the Lord came to me, saying,</w:t>
      </w:r>
    </w:p>
    <w:p>
      <w:r>
        <w:rPr>
          <w:b/>
        </w:rPr>
        <w:t xml:space="preserve">2 </w:t>
      </w:r>
      <w:r>
        <w:t xml:space="preserve">Son of man, set your face toward the mountains</w:t>
      </w:r>
      <w:r>
        <w:rPr>
          <w:rStyle w:val="FootnoteReference"/>
        </w:rPr>
        <w:footnoteReference w:id="12856"/>
      </w:r>
      <w:r>
        <w:t xml:space="preserve"> of Israel and prophesy against them,</w:t>
      </w:r>
    </w:p>
    <w:p>
      <w:r>
        <w:rPr>
          <w:b/>
        </w:rPr>
        <w:t xml:space="preserve">3 </w:t>
      </w:r>
      <w:r>
        <w:t xml:space="preserve">and say, Mountains of Israel, hear the word of the Lord. Thus says the Lord to the mountains</w:t>
      </w:r>
      <w:r>
        <w:rPr>
          <w:rStyle w:val="FootnoteReference"/>
        </w:rPr>
        <w:footnoteReference w:id="12857"/>
      </w:r>
      <w:r>
        <w:t xml:space="preserve"> and to the hills and to the ravines and to the valleys: Behold, I bring a sword upon you, and your high places will be destroyed.</w:t>
      </w:r>
    </w:p>
    <w:p>
      <w:r>
        <w:rPr>
          <w:b/>
        </w:rPr>
        <w:t xml:space="preserve">4 </w:t>
      </w:r>
      <w:r>
        <w:t xml:space="preserve">And your altars will be crushed and your shrines will be broken down, and I will cast down your slain before your idols.</w:t>
      </w:r>
    </w:p>
    <w:p>
      <w:r>
        <w:rPr>
          <w:b/>
        </w:rPr>
        <w:t xml:space="preserve">5 </w:t>
      </w:r>
      <w:r>
        <w:t xml:space="preserve">And I will scatter your bones around your altars.</w:t>
      </w:r>
    </w:p>
    <w:p>
      <w:r>
        <w:rPr>
          <w:b/>
        </w:rPr>
        <w:t xml:space="preserve">6 </w:t>
      </w:r>
      <w:r>
        <w:t xml:space="preserve">In all your</w:t>
      </w:r>
      <w:r>
        <w:rPr>
          <w:rStyle w:val="FootnoteReference"/>
        </w:rPr>
        <w:footnoteReference w:id="12858"/>
      </w:r>
      <w:r>
        <w:t xml:space="preserve"> dwelling places the cities will be laid waste and the high places will disappear, so that your altars may be destroyed and your idols crushed and your shrines removed.</w:t>
      </w:r>
    </w:p>
    <w:p>
      <w:r>
        <w:rPr>
          <w:b/>
        </w:rPr>
        <w:t xml:space="preserve">7 </w:t>
      </w:r>
      <w:r>
        <w:t xml:space="preserve">And the slain</w:t>
      </w:r>
      <w:r>
        <w:rPr>
          <w:rStyle w:val="FootnoteReference"/>
        </w:rPr>
        <w:footnoteReference w:id="12859"/>
      </w:r>
      <w:r>
        <w:t xml:space="preserve"> will fall in your midst, and you will know that I am the Lord.</w:t>
      </w:r>
    </w:p>
    <w:p>
      <w:r>
        <w:rPr>
          <w:b/>
        </w:rPr>
        <w:t xml:space="preserve">8 </w:t>
      </w:r>
      <w:r>
        <w:t xml:space="preserve">When there are survivors from you from the sword among the nations, and when you are scattered in the lands,</w:t>
      </w:r>
    </w:p>
    <w:p>
      <w:r>
        <w:rPr>
          <w:b/>
        </w:rPr>
        <w:t xml:space="preserve">9 </w:t>
      </w:r>
      <w:r>
        <w:t xml:space="preserve">then those of you who are rescued will remember</w:t>
      </w:r>
      <w:r>
        <w:rPr>
          <w:rStyle w:val="FootnoteReference"/>
        </w:rPr>
        <w:footnoteReference w:id="12860"/>
      </w:r>
      <w:r>
        <w:t xml:space="preserve"> me among the nations where they were taken captive, because I swore against their heart whoring away from me and against their eyes whoring after their practices, and they will beat their faces over all their abominations.</w:t>
      </w:r>
    </w:p>
    <w:p>
      <w:r>
        <w:rPr>
          <w:b/>
        </w:rPr>
        <w:t xml:space="preserve">10 </w:t>
      </w:r>
      <w:r>
        <w:t xml:space="preserve">And they will know that I, the Lord, have spoken.</w:t>
      </w:r>
    </w:p>
    <w:p>
      <w:r>
        <w:rPr>
          <w:b/>
        </w:rPr>
        <w:t xml:space="preserve">11 </w:t>
      </w:r>
      <w:r>
        <w:t xml:space="preserve">Thus says the Lord: Clap with your hand and stamp with your foot and say, Alas</w:t>
      </w:r>
      <w:r>
        <w:rPr>
          <w:rStyle w:val="FootnoteReference"/>
        </w:rPr>
        <w:footnoteReference w:id="12861"/>
      </w:r>
      <w:r>
        <w:t xml:space="preserve">, alas, over all the abominations of the house of Israel. By sword and by death and by famine they will fall.</w:t>
      </w:r>
    </w:p>
    <w:p>
      <w:r>
        <w:rPr>
          <w:b/>
        </w:rPr>
        <w:t xml:space="preserve">12 </w:t>
      </w:r>
      <w:r>
        <w:t xml:space="preserve">The one near will fall by sword, and the one far off</w:t>
      </w:r>
      <w:r>
        <w:rPr>
          <w:rStyle w:val="FootnoteReference"/>
        </w:rPr>
        <w:footnoteReference w:id="12862"/>
      </w:r>
      <w:r>
        <w:t xml:space="preserve"> will die by death, and the one hemmed in will be finished by famine, and I will complete my anger upon them.</w:t>
      </w:r>
    </w:p>
    <w:p>
      <w:r>
        <w:rPr>
          <w:b/>
        </w:rPr>
        <w:t xml:space="preserve">13 </w:t>
      </w:r>
      <w:r>
        <w:t xml:space="preserve">And you will know that I am the Lord when your slain are in the midst of your idols, around your altars, on every high hill and under every shady tree, where they offered a fragrant smell to all their idols.</w:t>
      </w:r>
    </w:p>
    <w:p>
      <w:r>
        <w:rPr>
          <w:b/>
        </w:rPr>
        <w:t xml:space="preserve">14 </w:t>
      </w:r>
      <w:r>
        <w:t xml:space="preserve">And I will stretch out my hand against them and make the land into desolation and ruin, from the wilderness to Diblath</w:t>
      </w:r>
      <w:r>
        <w:rPr>
          <w:rStyle w:val="FootnoteReference"/>
        </w:rPr>
        <w:footnoteReference w:id="12863"/>
      </w:r>
      <w:r>
        <w:t xml:space="preserve">, in all their dwelling places, and they will know that I am the Lord.</w:t>
      </w:r>
      <w:r>
        <w:rPr>
          <w:rStyle w:val="FootnoteReference"/>
        </w:rPr>
        <w:footnoteReference w:id="1286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the word of the Lord came to me, saying,</w:t>
      </w:r>
    </w:p>
    <w:p>
      <w:r>
        <w:rPr>
          <w:b/>
        </w:rPr>
        <w:t xml:space="preserve">2 </w:t>
      </w:r>
      <w:r>
        <w:t xml:space="preserve">And you, son of man, say, Thus says the Lord to the land of Israel: The end has come; the end has come upon the four wings of the land.</w:t>
      </w:r>
    </w:p>
    <w:p>
      <w:r>
        <w:rPr>
          <w:b/>
        </w:rPr>
        <w:t xml:space="preserve">3 </w:t>
      </w:r>
      <w:r>
        <w:t xml:space="preserve">The end has come.</w:t>
      </w:r>
    </w:p>
    <w:p>
      <w:r>
        <w:rPr>
          <w:b/>
        </w:rPr>
        <w:t xml:space="preserve">4 </w:t>
      </w:r>
      <w:r>
        <w:t xml:space="preserve">Upon you who dwell in the land, the time has come; the day has drawn near, not with tumults nor with birth pains.</w:t>
      </w:r>
    </w:p>
    <w:p>
      <w:r>
        <w:rPr>
          <w:b/>
        </w:rPr>
        <w:t xml:space="preserve">5 </w:t>
      </w:r>
      <w:r>
        <w:t xml:space="preserve">Now from nearby I will pour out my wrath upon you and complete my anger in you, and I will judge you according to your ways and bring all your abominations upon you.</w:t>
      </w:r>
    </w:p>
    <w:p>
      <w:r>
        <w:rPr>
          <w:b/>
        </w:rPr>
        <w:t xml:space="preserve">6 </w:t>
      </w:r>
      <w:r>
        <w:t xml:space="preserve">My eye will not spare, nor will I show mercy, because I will bring your ways upon you, and your abominations will be in your midst, and you will know that I am the Lord, the one who strikes.</w:t>
      </w:r>
    </w:p>
    <w:p>
      <w:r>
        <w:rPr>
          <w:b/>
        </w:rPr>
        <w:t xml:space="preserve">7 </w:t>
      </w:r>
      <w:r>
        <w:t xml:space="preserve">Now the end comes toward you, and I will send it upon you, and I will take vengeance on you according to your ways and bring all your abominations upon you.</w:t>
      </w:r>
    </w:p>
    <w:p>
      <w:r>
        <w:rPr>
          <w:b/>
        </w:rPr>
        <w:t xml:space="preserve">8 </w:t>
      </w:r>
      <w:r>
        <w:t xml:space="preserve">My eye will not spare you, nor will I show mercy, because I will bring your way upon you, and your abominations will be in your midst, and you will know that I am the Lord.</w:t>
      </w:r>
    </w:p>
    <w:p>
      <w:r>
        <w:rPr>
          <w:b/>
        </w:rPr>
        <w:t xml:space="preserve">9 </w:t>
      </w:r>
      <w:r>
        <w:t xml:space="preserve">For thus says the Lord</w:t>
      </w:r>
      <w:r>
        <w:rPr>
          <w:rStyle w:val="FootnoteReference"/>
        </w:rPr>
        <w:footnoteReference w:id="12865"/>
      </w:r>
      <w:r>
        <w:t xml:space="preserve">.</w:t>
      </w:r>
    </w:p>
    <w:p>
      <w:r>
        <w:rPr>
          <w:b/>
        </w:rPr>
        <w:t xml:space="preserve">10 </w:t>
      </w:r>
      <w:r>
        <w:t xml:space="preserve">Behold, the end has come. Behold, the day of the Lord. Though the rod</w:t>
      </w:r>
      <w:r>
        <w:rPr>
          <w:rStyle w:val="FootnoteReference"/>
        </w:rPr>
        <w:footnoteReference w:id="12866"/>
      </w:r>
      <w:r>
        <w:t xml:space="preserve"> has blossomed, insolence has sprung up.</w:t>
      </w:r>
    </w:p>
    <w:p>
      <w:r>
        <w:rPr>
          <w:b/>
        </w:rPr>
        <w:t xml:space="preserve">11 </w:t>
      </w:r>
      <w:r>
        <w:t xml:space="preserve">And it will shatter the staff of the lawless one, not with tumult nor with haste.</w:t>
      </w:r>
    </w:p>
    <w:p>
      <w:r>
        <w:rPr>
          <w:b/>
        </w:rPr>
        <w:t xml:space="preserve">12 </w:t>
      </w:r>
      <w:r>
        <w:t xml:space="preserve">The time</w:t>
      </w:r>
      <w:r>
        <w:rPr>
          <w:rStyle w:val="FootnoteReference"/>
        </w:rPr>
        <w:footnoteReference w:id="12867"/>
      </w:r>
      <w:r>
        <w:t xml:space="preserve"> has come; behold, the day. Let the buyer not rejoice, and let the seller not mourn.</w:t>
      </w:r>
    </w:p>
    <w:p>
      <w:r>
        <w:rPr>
          <w:b/>
        </w:rPr>
        <w:t xml:space="preserve">13 </w:t>
      </w:r>
      <w:r>
        <w:t xml:space="preserve">For the buyer will never return to the seller</w:t>
      </w:r>
      <w:r>
        <w:rPr>
          <w:rStyle w:val="FootnoteReference"/>
        </w:rPr>
        <w:footnoteReference w:id="12868"/>
      </w:r>
      <w:r>
        <w:t xml:space="preserve">, and no one, with the eye of his life, will hold firm.</w:t>
      </w:r>
    </w:p>
    <w:p>
      <w:r>
        <w:rPr>
          <w:b/>
        </w:rPr>
        <w:t xml:space="preserve">14 </w:t>
      </w:r>
      <w:r>
        <w:t xml:space="preserve">Sound the trumpet and judge everything.</w:t>
      </w:r>
    </w:p>
    <w:p>
      <w:r>
        <w:rPr>
          <w:b/>
        </w:rPr>
        <w:t xml:space="preserve">15 </w:t>
      </w:r>
      <w:r>
        <w:t xml:space="preserve">War with sword outside, and famine and death inside. The one in the field will die by sword, but famine and death will finish those in the city.</w:t>
      </w:r>
    </w:p>
    <w:p>
      <w:r>
        <w:rPr>
          <w:b/>
        </w:rPr>
        <w:t xml:space="preserve">16 </w:t>
      </w:r>
      <w:r>
        <w:t xml:space="preserve">And those rescued from them will be saved and be on the mountains. I will kill all of them, each in his injustices.</w:t>
      </w:r>
    </w:p>
    <w:p>
      <w:r>
        <w:rPr>
          <w:b/>
        </w:rPr>
        <w:t xml:space="preserve">17 </w:t>
      </w:r>
      <w:r>
        <w:t xml:space="preserve">All hands</w:t>
      </w:r>
      <w:r>
        <w:rPr>
          <w:rStyle w:val="FootnoteReference"/>
        </w:rPr>
        <w:footnoteReference w:id="12869"/>
      </w:r>
      <w:r>
        <w:t xml:space="preserve"> will grow weak, and all thighs will be defiled with wetness.</w:t>
      </w:r>
    </w:p>
    <w:p>
      <w:r>
        <w:rPr>
          <w:b/>
        </w:rPr>
        <w:t xml:space="preserve">18 </w:t>
      </w:r>
      <w:r>
        <w:t xml:space="preserve">And they will gird themselves with sackcloth, and dismay will cover them, and shame will be upon every face, and baldness upon every head.</w:t>
      </w:r>
    </w:p>
    <w:p>
      <w:r>
        <w:rPr>
          <w:b/>
        </w:rPr>
        <w:t xml:space="preserve">19 </w:t>
      </w:r>
      <w:r>
        <w:t xml:space="preserve">Their silver will be thrown in the streets and their gold will be despised. Their souls will not be filled, and their bellies will not be satisfied, because it became a torment of their injustices.</w:t>
      </w:r>
    </w:p>
    <w:p>
      <w:r>
        <w:rPr>
          <w:b/>
        </w:rPr>
        <w:t xml:space="preserve">20 </w:t>
      </w:r>
      <w:r>
        <w:t xml:space="preserve">Their chosen ornaments they set for pride, and images of their abominations they made from them; because of this I gave them over to uncleanness.</w:t>
      </w:r>
    </w:p>
    <w:p>
      <w:r>
        <w:rPr>
          <w:b/>
        </w:rPr>
        <w:t xml:space="preserve">21 </w:t>
      </w:r>
      <w:r>
        <w:t xml:space="preserve">And I will hand them over into the hands of strangers to plunder them, and to the pests of the earth for spoil, and they will profane them.</w:t>
      </w:r>
    </w:p>
    <w:p>
      <w:r>
        <w:rPr>
          <w:b/>
        </w:rPr>
        <w:t xml:space="preserve">22 </w:t>
      </w:r>
      <w:r>
        <w:t xml:space="preserve">And I will turn my face away from them, and they will defile my visitation, and they will enter them unguarded and profane them.</w:t>
      </w:r>
    </w:p>
    <w:p>
      <w:r>
        <w:rPr>
          <w:b/>
        </w:rPr>
        <w:t xml:space="preserve">23 </w:t>
      </w:r>
      <w:r>
        <w:t xml:space="preserve">And they will make confusion, because the land is full of peoples and the city is full of lawlessness.</w:t>
      </w:r>
    </w:p>
    <w:p>
      <w:r>
        <w:rPr>
          <w:b/>
        </w:rPr>
        <w:t xml:space="preserve">24 </w:t>
      </w:r>
      <w:r>
        <w:t xml:space="preserve">And I will turn away the arrogance of their strength, and their holy things will be defiled.</w:t>
      </w:r>
    </w:p>
    <w:p>
      <w:r>
        <w:rPr>
          <w:b/>
        </w:rPr>
        <w:t xml:space="preserve">25 </w:t>
      </w:r>
      <w:r>
        <w:t xml:space="preserve">Propitiation will come, and one will seek peace, and it will not be.</w:t>
      </w:r>
    </w:p>
    <w:p>
      <w:r>
        <w:rPr>
          <w:b/>
        </w:rPr>
        <w:t xml:space="preserve">26 </w:t>
      </w:r>
      <w:r>
        <w:t xml:space="preserve">Woe upon woe will be, and message upon message will be, and a vision will be sought from a prophet, and law will perish from a priest and counsel from elders.</w:t>
      </w:r>
    </w:p>
    <w:p>
      <w:r>
        <w:rPr>
          <w:b/>
        </w:rPr>
        <w:t xml:space="preserve">27 </w:t>
      </w:r>
      <w:r>
        <w:t xml:space="preserve">A ruler will clothe himself with desolation, and the hands of the people of the land will be paralyzed. According to their ways I will deal with them, and by their judgments I will take vengeance on them, and they will know that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it happened in the sixth year</w:t>
      </w:r>
      <w:r>
        <w:rPr>
          <w:rStyle w:val="FootnoteReference"/>
        </w:rPr>
        <w:footnoteReference w:id="12870"/>
      </w:r>
      <w:r>
        <w:t xml:space="preserve">, in the fifth month, on the fifth of the month, I was sitting in the house and the elders of Judah were sitting before me, and the hand of the Lord came upon me.</w:t>
      </w:r>
    </w:p>
    <w:p>
      <w:r>
        <w:rPr>
          <w:b/>
        </w:rPr>
        <w:t xml:space="preserve">2 </w:t>
      </w:r>
      <w:r>
        <w:t xml:space="preserve">And I saw, and behold, the likeness of a man: from his loins and downward, there was fire, and from his loins upward, like the appearance of electrum.</w:t>
      </w:r>
    </w:p>
    <w:p>
      <w:r>
        <w:rPr>
          <w:b/>
        </w:rPr>
        <w:t xml:space="preserve">3 </w:t>
      </w:r>
      <w:r>
        <w:t xml:space="preserve">And he stretched out the likeness of a hand and took me by the top of my head, and a spirit lifted me between the earth and heaven and brought me to Jerusalem in the vision of God, to the forecourt of the inner gate facing north, where the pillar of the Possessor was.</w:t>
      </w:r>
    </w:p>
    <w:p>
      <w:r>
        <w:rPr>
          <w:b/>
        </w:rPr>
        <w:t xml:space="preserve">4 </w:t>
      </w:r>
      <w:r>
        <w:t xml:space="preserve">And behold, there was the glory of the Lord God of Israel, according to the vision I saw in the plain.</w:t>
      </w:r>
    </w:p>
    <w:p>
      <w:r>
        <w:rPr>
          <w:b/>
        </w:rPr>
        <w:t xml:space="preserve">5 </w:t>
      </w:r>
      <w:r>
        <w:t xml:space="preserve">And he said to me, Son of man, lift</w:t>
      </w:r>
      <w:r>
        <w:rPr>
          <w:rStyle w:val="FootnoteReference"/>
        </w:rPr>
        <w:footnoteReference w:id="12871"/>
      </w:r>
      <w:r>
        <w:t xml:space="preserve"> your eyes toward the north. And I lifted my eyes toward the north, and behold, from the north, toward the gate that faces east.</w:t>
      </w:r>
    </w:p>
    <w:p>
      <w:r>
        <w:rPr>
          <w:b/>
        </w:rPr>
        <w:t xml:space="preserve">6 </w:t>
      </w:r>
      <w:r>
        <w:t xml:space="preserve">And he said to me, Son of man, have you seen what these are doing? Great lawless deeds they do here, so that I should withdraw from my holy things, and still you will see greater</w:t>
      </w:r>
      <w:r>
        <w:rPr>
          <w:rStyle w:val="FootnoteReference"/>
        </w:rPr>
        <w:footnoteReference w:id="12872"/>
      </w:r>
      <w:r>
        <w:t xml:space="preserve"> lawless deeds.</w:t>
      </w:r>
    </w:p>
    <w:p>
      <w:r>
        <w:rPr>
          <w:b/>
        </w:rPr>
        <w:t xml:space="preserve">7 </w:t>
      </w:r>
      <w:r>
        <w:t xml:space="preserve">And he brought me to the forecourt of the court.</w:t>
      </w:r>
    </w:p>
    <w:p>
      <w:r>
        <w:rPr>
          <w:b/>
        </w:rPr>
        <w:t xml:space="preserve">8 </w:t>
      </w:r>
      <w:r>
        <w:t xml:space="preserve">And he said to me, Son of man, dig. And I dug, and behold, one door.</w:t>
      </w:r>
    </w:p>
    <w:p>
      <w:r>
        <w:rPr>
          <w:b/>
        </w:rPr>
        <w:t xml:space="preserve">9 </w:t>
      </w:r>
      <w:r>
        <w:t xml:space="preserve">And he said to me, Enter and see the lawless deeds that these do here.</w:t>
      </w:r>
    </w:p>
    <w:p>
      <w:r>
        <w:rPr>
          <w:b/>
        </w:rPr>
        <w:t xml:space="preserve">10 </w:t>
      </w:r>
      <w:r>
        <w:t xml:space="preserve">And I entered and saw, and behold, vain abominations and all idols of the house of Israel engraved on it all around.</w:t>
      </w:r>
    </w:p>
    <w:p>
      <w:r>
        <w:rPr>
          <w:b/>
        </w:rPr>
        <w:t xml:space="preserve">11 </w:t>
      </w:r>
      <w:r>
        <w:t xml:space="preserve">And seventy</w:t>
      </w:r>
      <w:r>
        <w:rPr>
          <w:rStyle w:val="FootnoteReference"/>
        </w:rPr>
        <w:footnoteReference w:id="12873"/>
      </w:r>
      <w:r>
        <w:t xml:space="preserve"> men from the elders of the house of Israel stood before them, and Jaazaniah son of Shaphan was in the midst of them, and each had his censer in his hand, and the vapor of the incense was going up.</w:t>
      </w:r>
    </w:p>
    <w:p>
      <w:r>
        <w:rPr>
          <w:b/>
        </w:rPr>
        <w:t xml:space="preserve">12 </w:t>
      </w:r>
      <w:r>
        <w:t xml:space="preserve">And he said to me, Son of man, have you seen what the elders of the house of Israel do, each in his hidden chamber? For they said, The Lord does not see; the Lord has abandoned the land.</w:t>
      </w:r>
    </w:p>
    <w:p>
      <w:r>
        <w:rPr>
          <w:b/>
        </w:rPr>
        <w:t xml:space="preserve">13 </w:t>
      </w:r>
      <w:r>
        <w:t xml:space="preserve">And he said to me, You will still see greater</w:t>
      </w:r>
      <w:r>
        <w:rPr>
          <w:rStyle w:val="FootnoteReference"/>
        </w:rPr>
        <w:footnoteReference w:id="12874"/>
      </w:r>
      <w:r>
        <w:t xml:space="preserve"> lawless deeds that these do.</w:t>
      </w:r>
    </w:p>
    <w:p>
      <w:r>
        <w:rPr>
          <w:b/>
        </w:rPr>
        <w:t xml:space="preserve">14 </w:t>
      </w:r>
      <w:r>
        <w:t xml:space="preserve">And he brought me to the forecourt of the gate of the house of the Lord that faces north, and behold, women were sitting there lamenting Tammuz</w:t>
      </w:r>
      <w:r>
        <w:rPr>
          <w:rStyle w:val="FootnoteReference"/>
        </w:rPr>
        <w:footnoteReference w:id="12875"/>
      </w:r>
      <w:r>
        <w:t xml:space="preserve">.</w:t>
      </w:r>
    </w:p>
    <w:p>
      <w:r>
        <w:rPr>
          <w:b/>
        </w:rPr>
        <w:t xml:space="preserve">15 </w:t>
      </w:r>
      <w:r>
        <w:t xml:space="preserve">And he said to me, Son of man, have you seen? You will still see practices greater</w:t>
      </w:r>
      <w:r>
        <w:rPr>
          <w:rStyle w:val="FootnoteReference"/>
        </w:rPr>
        <w:footnoteReference w:id="12876"/>
      </w:r>
      <w:r>
        <w:t xml:space="preserve"> than these.</w:t>
      </w:r>
    </w:p>
    <w:p>
      <w:r>
        <w:rPr>
          <w:b/>
        </w:rPr>
        <w:t xml:space="preserve">16 </w:t>
      </w:r>
      <w:r>
        <w:t xml:space="preserve">And he brought me into the inner</w:t>
      </w:r>
      <w:r>
        <w:rPr>
          <w:rStyle w:val="FootnoteReference"/>
        </w:rPr>
        <w:footnoteReference w:id="12877"/>
      </w:r>
      <w:r>
        <w:t xml:space="preserve"> court of the house of the Lord, and behold, at the forecourt of the temple of the Lord, between the porch and the altar, about twenty men had their backs toward the temple of the Lord and their faces opposite, and these were bowing to the sun.</w:t>
      </w:r>
    </w:p>
    <w:p>
      <w:r>
        <w:rPr>
          <w:b/>
        </w:rPr>
        <w:t xml:space="preserve">17 </w:t>
      </w:r>
      <w:r>
        <w:t xml:space="preserve">And he said to me, Have you seen, son of man? Is it a small thing for the house of Judah to do the lawless deeds they have done here? For they filled the land with lawlessness, and behold, they are like mockers.</w:t>
      </w:r>
    </w:p>
    <w:p>
      <w:r>
        <w:rPr>
          <w:b/>
        </w:rPr>
        <w:t xml:space="preserve">18 </w:t>
      </w:r>
      <w:r>
        <w:t xml:space="preserve">And I also will deal with them in wrath. My eye will not spare, nor will I have mercy.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he cried</w:t>
      </w:r>
      <w:r>
        <w:rPr>
          <w:rStyle w:val="FootnoteReference"/>
        </w:rPr>
        <w:footnoteReference w:id="12878"/>
      </w:r>
      <w:r>
        <w:t xml:space="preserve"> into my ears with a loud voice, saying, The vengeance of the city has drawn near, and each had the instruments of destruction in his hand.</w:t>
      </w:r>
    </w:p>
    <w:p>
      <w:r>
        <w:rPr>
          <w:b/>
        </w:rPr>
        <w:t xml:space="preserve">2 </w:t>
      </w:r>
      <w:r>
        <w:t xml:space="preserve">And behold, six men came from the way of the upper gate that faces north, and each one's axe was in his hand, and one</w:t>
      </w:r>
      <w:r>
        <w:rPr>
          <w:rStyle w:val="FootnoteReference"/>
        </w:rPr>
        <w:footnoteReference w:id="12879"/>
      </w:r>
      <w:r>
        <w:t xml:space="preserve"> man was in the midst of them, clothed in a full-length robe, with a sapphire belt on his loins; and they entered and stood beside the bronze altar.</w:t>
      </w:r>
    </w:p>
    <w:p>
      <w:r>
        <w:rPr>
          <w:b/>
        </w:rPr>
        <w:t xml:space="preserve">3 </w:t>
      </w:r>
      <w:r>
        <w:t xml:space="preserve">And the glory of God of Israel went up from the cherubim that was upon them to the forecourt of the house, and he called the man clothed in the full-length robe, who had the belt upon his loins.</w:t>
      </w:r>
    </w:p>
    <w:p>
      <w:r>
        <w:rPr>
          <w:b/>
        </w:rPr>
        <w:t xml:space="preserve">4 </w:t>
      </w:r>
      <w:r>
        <w:t xml:space="preserve">And he said to him, Pass through the midst of Jerusalem and put the mark on the foreheads of the men who groan and grieve over all the lawless deeds being done in her midst.</w:t>
      </w:r>
    </w:p>
    <w:p>
      <w:r>
        <w:rPr>
          <w:b/>
        </w:rPr>
        <w:t xml:space="preserve">5 </w:t>
      </w:r>
      <w:r>
        <w:t xml:space="preserve">And to these he said in my hearing</w:t>
      </w:r>
      <w:r>
        <w:rPr>
          <w:rStyle w:val="FootnoteReference"/>
        </w:rPr>
        <w:footnoteReference w:id="12880"/>
      </w:r>
      <w:r>
        <w:t xml:space="preserve">, Go after him into the city and strike. Let not your eyes spare, and do not show mercy.</w:t>
      </w:r>
    </w:p>
    <w:p>
      <w:r>
        <w:rPr>
          <w:b/>
        </w:rPr>
        <w:t xml:space="preserve">6 </w:t>
      </w:r>
      <w:r>
        <w:t xml:space="preserve">Kill old man and young man and virgin and infants and women for wiping out, but do not come near anyone on whom the mark is, and begin</w:t>
      </w:r>
      <w:r>
        <w:rPr>
          <w:rStyle w:val="FootnoteReference"/>
        </w:rPr>
        <w:footnoteReference w:id="12881"/>
      </w:r>
      <w:r>
        <w:t xml:space="preserve"> from my holy things. And they began from the elder men who were inside the house.</w:t>
      </w:r>
    </w:p>
    <w:p>
      <w:r>
        <w:rPr>
          <w:b/>
        </w:rPr>
        <w:t xml:space="preserve">7 </w:t>
      </w:r>
      <w:r>
        <w:t xml:space="preserve">And he said to them, Defile the house and fill the ways with the dead. Go out and strike.</w:t>
      </w:r>
    </w:p>
    <w:p>
      <w:r>
        <w:rPr>
          <w:b/>
        </w:rPr>
        <w:t xml:space="preserve">8 </w:t>
      </w:r>
      <w:r>
        <w:t xml:space="preserve">And it happened while they were striking that I fell on my face and cried out and said, Alas, Lord, do you wipe out the remnant of Israel when you pour out your wrath upon Jerusalem?</w:t>
      </w:r>
    </w:p>
    <w:p>
      <w:r>
        <w:rPr>
          <w:b/>
        </w:rPr>
        <w:t xml:space="preserve">9 </w:t>
      </w:r>
      <w:r>
        <w:t xml:space="preserve">And he said to me, The injustice of the house of Israel and Judah has grown very, very great, because the land has been filled with many peoples and the city has been filled with injustice and uncleanness, because they said, The Lord has abandoned the land; the Lord does not look upon it.</w:t>
      </w:r>
    </w:p>
    <w:p>
      <w:r>
        <w:rPr>
          <w:b/>
        </w:rPr>
        <w:t xml:space="preserve">10 </w:t>
      </w:r>
      <w:r>
        <w:t xml:space="preserve">And my eye will not spare, nor will I show mercy. I have put their ways on their heads.</w:t>
      </w:r>
    </w:p>
    <w:p>
      <w:r>
        <w:rPr>
          <w:b/>
        </w:rPr>
        <w:t xml:space="preserve">11 </w:t>
      </w:r>
      <w:r>
        <w:t xml:space="preserve">And behold, the man clothed in the full-length robe, with the belt around his loins, answered, saying, I have done just as you commanded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I saw, and behold, above the firmament over the heads of the cherubim, like a sapphire stone, there was the likeness of a throne upon them.</w:t>
      </w:r>
    </w:p>
    <w:p>
      <w:r>
        <w:rPr>
          <w:b/>
        </w:rPr>
        <w:t xml:space="preserve">2 </w:t>
      </w:r>
      <w:r>
        <w:t xml:space="preserve">And he said to the man clothed in the robe, Enter into the midst of the wheels beneath the cherubim and fill your hands with coals</w:t>
      </w:r>
      <w:r>
        <w:rPr>
          <w:rStyle w:val="FootnoteReference"/>
        </w:rPr>
        <w:footnoteReference w:id="12882"/>
      </w:r>
      <w:r>
        <w:t xml:space="preserve"> of fire from the midst of the cherubim and scatter them over the city. And he entered before me.</w:t>
      </w:r>
    </w:p>
    <w:p>
      <w:r>
        <w:rPr>
          <w:b/>
        </w:rPr>
        <w:t xml:space="preserve">3 </w:t>
      </w:r>
      <w:r>
        <w:t xml:space="preserve">And the cherubim stood on the right of the house when the man went in, and the cloud filled the inner court.</w:t>
      </w:r>
    </w:p>
    <w:p>
      <w:r>
        <w:rPr>
          <w:b/>
        </w:rPr>
        <w:t xml:space="preserve">4 </w:t>
      </w:r>
      <w:r>
        <w:t xml:space="preserve">And the glory</w:t>
      </w:r>
      <w:r>
        <w:rPr>
          <w:rStyle w:val="FootnoteReference"/>
        </w:rPr>
        <w:footnoteReference w:id="12883"/>
      </w:r>
      <w:r>
        <w:t xml:space="preserve"> of the Lord went up from the cherubim to the forecourt of the house, and the cloud filled the house, and the court was filled with the brightness of the glory of the Lord.</w:t>
      </w:r>
    </w:p>
    <w:p>
      <w:r>
        <w:rPr>
          <w:b/>
        </w:rPr>
        <w:t xml:space="preserve">5 </w:t>
      </w:r>
      <w:r>
        <w:t xml:space="preserve">And the sound</w:t>
      </w:r>
      <w:r>
        <w:rPr>
          <w:rStyle w:val="FootnoteReference"/>
        </w:rPr>
        <w:footnoteReference w:id="12884"/>
      </w:r>
      <w:r>
        <w:t xml:space="preserve"> of wings of cherubim was heard as far as the outer court, like the voice of God Almighty</w:t>
      </w:r>
      <w:r>
        <w:rPr>
          <w:rStyle w:val="FootnoteReference"/>
        </w:rPr>
        <w:footnoteReference w:id="12885"/>
      </w:r>
      <w:r>
        <w:t xml:space="preserve"> speaking.</w:t>
      </w:r>
    </w:p>
    <w:p>
      <w:r>
        <w:rPr>
          <w:b/>
        </w:rPr>
        <w:t xml:space="preserve">6 </w:t>
      </w:r>
      <w:r>
        <w:t xml:space="preserve">And it happened when he commanded the man clothed in the holy robe, saying, Take fire from the midst of the wheels, from the midst of the cherubim, and he went in and stood beside the wheels.</w:t>
      </w:r>
    </w:p>
    <w:p>
      <w:r>
        <w:rPr>
          <w:b/>
        </w:rPr>
        <w:t xml:space="preserve">7 </w:t>
      </w:r>
      <w:r>
        <w:t xml:space="preserve">And he stretched out his hand into the midst of the fire that was in the midst of the cherubim and took it and gave it into the hands of the one clothed in the holy robe, and he took it and went</w:t>
      </w:r>
      <w:r>
        <w:rPr>
          <w:rStyle w:val="FootnoteReference"/>
        </w:rPr>
        <w:footnoteReference w:id="12886"/>
      </w:r>
      <w:r>
        <w:t xml:space="preserve"> out.</w:t>
      </w:r>
    </w:p>
    <w:p>
      <w:r>
        <w:rPr>
          <w:b/>
        </w:rPr>
        <w:t xml:space="preserve">8 </w:t>
      </w:r>
      <w:r>
        <w:t xml:space="preserve">And I saw on the cherubim the likeness of human hands beneath their wings.</w:t>
      </w:r>
    </w:p>
    <w:p>
      <w:r>
        <w:rPr>
          <w:b/>
        </w:rPr>
        <w:t xml:space="preserve">9 </w:t>
      </w:r>
      <w:r>
        <w:t xml:space="preserve">And I saw, and behold</w:t>
      </w:r>
      <w:r>
        <w:rPr>
          <w:rStyle w:val="FootnoteReference"/>
        </w:rPr>
        <w:footnoteReference w:id="12887"/>
      </w:r>
      <w:r>
        <w:t xml:space="preserve">, four wheels stood beside the cherubim, one wheel beside one cherub, and the appearance of the wheels was like the appearance of a carbuncle stone.</w:t>
      </w:r>
    </w:p>
    <w:p>
      <w:r>
        <w:rPr>
          <w:b/>
        </w:rPr>
        <w:t xml:space="preserve">10 </w:t>
      </w:r>
      <w:r>
        <w:t xml:space="preserve">And their appearance had one likeness in the four, like a wheel within a wheel.</w:t>
      </w:r>
    </w:p>
    <w:p>
      <w:r>
        <w:rPr>
          <w:b/>
        </w:rPr>
        <w:t xml:space="preserve">11 </w:t>
      </w:r>
      <w:r>
        <w:t xml:space="preserve">When they went, they went on their four sides; they did not turn when they went, because to whatever place the one head looked, they went, and they did not turn when they went.</w:t>
      </w:r>
    </w:p>
    <w:p>
      <w:r>
        <w:rPr>
          <w:b/>
        </w:rPr>
        <w:t xml:space="preserve">12 </w:t>
      </w:r>
      <w:r>
        <w:t xml:space="preserve">And their backs and their hands and their wings and the wheels were full of eyes all around the four wheels.</w:t>
      </w:r>
    </w:p>
    <w:p>
      <w:r>
        <w:rPr>
          <w:b/>
        </w:rPr>
        <w:t xml:space="preserve">13 </w:t>
      </w:r>
      <w:r>
        <w:t xml:space="preserve">And as for these wheels, they were called Whirling, as I heard.</w:t>
      </w:r>
    </w:p>
    <w:p>
      <w:r>
        <w:rPr>
          <w:b/>
        </w:rPr>
        <w:t xml:space="preserve">15 </w:t>
      </w:r>
      <w:r>
        <w:t xml:space="preserve">And the cherubim were lifted</w:t>
      </w:r>
      <w:r>
        <w:rPr>
          <w:rStyle w:val="FootnoteReference"/>
        </w:rPr>
        <w:footnoteReference w:id="12888"/>
      </w:r>
      <w:r>
        <w:t xml:space="preserve"> up. This was the living creature I saw by the river Chebar.</w:t>
      </w:r>
    </w:p>
    <w:p>
      <w:r>
        <w:rPr>
          <w:b/>
        </w:rPr>
        <w:t xml:space="preserve">16 </w:t>
      </w:r>
      <w:r>
        <w:t xml:space="preserve">And when the cherubim went, the wheels went beside them, and when the cherubim lifted their wings to rise from the earth, their wheels did not turn.</w:t>
      </w:r>
    </w:p>
    <w:p>
      <w:r>
        <w:rPr>
          <w:b/>
        </w:rPr>
        <w:t xml:space="preserve">17 </w:t>
      </w:r>
      <w:r>
        <w:t xml:space="preserve">When they stood, these stood, and when they were lifted up, these were lifted with them, because the spirit of life was in them.</w:t>
      </w:r>
    </w:p>
    <w:p>
      <w:r>
        <w:rPr>
          <w:b/>
        </w:rPr>
        <w:t xml:space="preserve">18 </w:t>
      </w:r>
      <w:r>
        <w:t xml:space="preserve">And the glory</w:t>
      </w:r>
      <w:r>
        <w:rPr>
          <w:rStyle w:val="FootnoteReference"/>
        </w:rPr>
        <w:footnoteReference w:id="12889"/>
      </w:r>
      <w:r>
        <w:t xml:space="preserve"> of the Lord went out from the house and settled on the cherubim.</w:t>
      </w:r>
    </w:p>
    <w:p>
      <w:r>
        <w:rPr>
          <w:b/>
        </w:rPr>
        <w:t xml:space="preserve">19 </w:t>
      </w:r>
      <w:r>
        <w:t xml:space="preserve">And the cherubim lifted their wings and were raised from the earth before me as they went out, and the wheels were beside them, and they stood at the forecourt of the opposite gate of the house of the Lord, and the glory</w:t>
      </w:r>
      <w:r>
        <w:rPr>
          <w:rStyle w:val="FootnoteReference"/>
        </w:rPr>
        <w:footnoteReference w:id="12890"/>
      </w:r>
      <w:r>
        <w:t xml:space="preserve"> of God of Israel was above them.</w:t>
      </w:r>
    </w:p>
    <w:p>
      <w:r>
        <w:rPr>
          <w:b/>
        </w:rPr>
        <w:t xml:space="preserve">20 </w:t>
      </w:r>
      <w:r>
        <w:t xml:space="preserve">This is the living</w:t>
      </w:r>
      <w:r>
        <w:rPr>
          <w:rStyle w:val="FootnoteReference"/>
        </w:rPr>
        <w:footnoteReference w:id="12891"/>
      </w:r>
      <w:r>
        <w:t xml:space="preserve"> creature I saw beneath God of Israel by the river Chebar, and I knew that they are cherubim.</w:t>
      </w:r>
    </w:p>
    <w:p>
      <w:r>
        <w:rPr>
          <w:b/>
        </w:rPr>
        <w:t xml:space="preserve">21 </w:t>
      </w:r>
      <w:r>
        <w:t xml:space="preserve">Four faces belonged to each one, and eight wings to each one, and the likeness of human hands was beneath their wings.</w:t>
      </w:r>
    </w:p>
    <w:p>
      <w:r>
        <w:rPr>
          <w:b/>
        </w:rPr>
        <w:t xml:space="preserve">22 </w:t>
      </w:r>
      <w:r>
        <w:t xml:space="preserve">And the likeness</w:t>
      </w:r>
      <w:r>
        <w:rPr>
          <w:rStyle w:val="FootnoteReference"/>
        </w:rPr>
        <w:footnoteReference w:id="12892"/>
      </w:r>
      <w:r>
        <w:t xml:space="preserve"> of their faces: these are the faces I saw beneath the glory of God of Israel by the river Chebar, and each went straight before its face.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a spirit took me up and brought me to the opposite gate of the house of the Lord that faces east, and behold</w:t>
      </w:r>
      <w:r>
        <w:rPr>
          <w:rStyle w:val="FootnoteReference"/>
        </w:rPr>
        <w:footnoteReference w:id="12893"/>
      </w:r>
      <w:r>
        <w:t xml:space="preserve">, at the forecourt of the gate were about twenty-five men. And I saw among them Jaazaniah son of Azzur and Pelatiah son of Benaiah, leaders of the people.</w:t>
      </w:r>
    </w:p>
    <w:p>
      <w:r>
        <w:rPr>
          <w:b/>
        </w:rPr>
        <w:t xml:space="preserve">2 </w:t>
      </w:r>
      <w:r>
        <w:t xml:space="preserve">And the Lord said to me, Son of man, these are the men thinking vain things and counseling evil counsel in this city,</w:t>
      </w:r>
    </w:p>
    <w:p>
      <w:r>
        <w:rPr>
          <w:b/>
        </w:rPr>
        <w:t xml:space="preserve">3 </w:t>
      </w:r>
      <w:r>
        <w:t xml:space="preserve">those saying, Have not the houses recently been built? This is the cooking pot, and we are the meat.</w:t>
      </w:r>
    </w:p>
    <w:p>
      <w:r>
        <w:rPr>
          <w:b/>
        </w:rPr>
        <w:t xml:space="preserve">4 </w:t>
      </w:r>
      <w:r>
        <w:t xml:space="preserve">Therefore prophesy against them; prophesy, son of man.</w:t>
      </w:r>
    </w:p>
    <w:p>
      <w:r>
        <w:rPr>
          <w:b/>
        </w:rPr>
        <w:t xml:space="preserve">5 </w:t>
      </w:r>
      <w:r>
        <w:t xml:space="preserve">And the Spirit</w:t>
      </w:r>
      <w:r>
        <w:rPr>
          <w:rStyle w:val="FootnoteReference"/>
        </w:rPr>
        <w:footnoteReference w:id="12894"/>
      </w:r>
      <w:r>
        <w:t xml:space="preserve"> of the Lord fell upon me and said to me, Say, Thus says the Lord: Thus you said, house of Israel, and the plans of your spirit I know.</w:t>
      </w:r>
    </w:p>
    <w:p>
      <w:r>
        <w:rPr>
          <w:b/>
        </w:rPr>
        <w:t xml:space="preserve">6 </w:t>
      </w:r>
      <w:r>
        <w:t xml:space="preserve">You multiplied your dead in this city and filled its streets with slain.</w:t>
      </w:r>
    </w:p>
    <w:p>
      <w:r>
        <w:rPr>
          <w:b/>
        </w:rPr>
        <w:t xml:space="preserve">7 </w:t>
      </w:r>
      <w:r>
        <w:t xml:space="preserve">Therefore thus says the Lord: Your dead, whom you struck in its midst, these are the meat and this is the cooking pot, but I will bring you out from its midst.</w:t>
      </w:r>
    </w:p>
    <w:p>
      <w:r>
        <w:rPr>
          <w:b/>
        </w:rPr>
        <w:t xml:space="preserve">8 </w:t>
      </w:r>
      <w:r>
        <w:t xml:space="preserve">You fear the sword, and a sword I will bring upon you, says the Lord.</w:t>
      </w:r>
    </w:p>
    <w:p>
      <w:r>
        <w:rPr>
          <w:b/>
        </w:rPr>
        <w:t xml:space="preserve">9 </w:t>
      </w:r>
      <w:r>
        <w:t xml:space="preserve">And I will bring you out from its midst and hand you over into the hands of strangers, and I will execute judgments among you.</w:t>
      </w:r>
    </w:p>
    <w:p>
      <w:r>
        <w:rPr>
          <w:b/>
        </w:rPr>
        <w:t xml:space="preserve">10 </w:t>
      </w:r>
      <w:r>
        <w:t xml:space="preserve">By a sword you will fall</w:t>
      </w:r>
      <w:r>
        <w:rPr>
          <w:rStyle w:val="FootnoteReference"/>
        </w:rPr>
        <w:footnoteReference w:id="12895"/>
      </w:r>
      <w:r>
        <w:t xml:space="preserve">. On the borders of Israel I will judge you, and you will know that I am the Lord.</w:t>
      </w:r>
    </w:p>
    <w:p>
      <w:r>
        <w:rPr>
          <w:b/>
        </w:rPr>
        <w:t xml:space="preserve">11 </w:t>
      </w:r>
      <w:r>
        <w:t xml:space="preserve">This will not be the cooking pot for you, and you will certainly not become meat in its midst. On the borders of Israel I will judge you,</w:t>
      </w:r>
    </w:p>
    <w:p>
      <w:r>
        <w:rPr>
          <w:b/>
        </w:rPr>
        <w:t xml:space="preserve">12 </w:t>
      </w:r>
      <w:r>
        <w:t xml:space="preserve">and you will know that I am the Lord.</w:t>
      </w:r>
    </w:p>
    <w:p>
      <w:r>
        <w:rPr>
          <w:b/>
        </w:rPr>
        <w:t xml:space="preserve">13 </w:t>
      </w:r>
      <w:r>
        <w:t xml:space="preserve">And it happened, while I prophesied, Pelatiah son of Benaiah died, and I fell on my face and cried out with a loud voice and said, Alas, alas, Lord, are you bringing the remnant of Israel to an end?</w:t>
      </w:r>
    </w:p>
    <w:p>
      <w:r>
        <w:rPr>
          <w:b/>
        </w:rPr>
        <w:t xml:space="preserve">14 </w:t>
      </w:r>
      <w:r>
        <w:t xml:space="preserve">And the word of the Lord came to me, saying,</w:t>
      </w:r>
    </w:p>
    <w:p>
      <w:r>
        <w:rPr>
          <w:b/>
        </w:rPr>
        <w:t xml:space="preserve">15 </w:t>
      </w:r>
      <w:r>
        <w:t xml:space="preserve">Son of man, your brothers and the men of your captivity and all the house of Israel have come to the full, to whom the inhabitants of Jerusalem said, Keep far from the Lord; to us the land was given for inheritance.</w:t>
      </w:r>
    </w:p>
    <w:p>
      <w:r>
        <w:rPr>
          <w:b/>
        </w:rPr>
        <w:t xml:space="preserve">16 </w:t>
      </w:r>
      <w:r>
        <w:t xml:space="preserve">Therefore say, Thus says the Lord: Though I thrust them away among the nations and scatter them into all the earth, yet I will be to them as a</w:t>
      </w:r>
      <w:r>
        <w:rPr>
          <w:rStyle w:val="FootnoteReference"/>
        </w:rPr>
        <w:footnoteReference w:id="12896"/>
      </w:r>
      <w:r>
        <w:t xml:space="preserve"> little sanctuary in the lands into which they enter.</w:t>
      </w:r>
    </w:p>
    <w:p>
      <w:r>
        <w:rPr>
          <w:b/>
        </w:rPr>
        <w:t xml:space="preserve">17 </w:t>
      </w:r>
      <w:r>
        <w:t xml:space="preserve">Therefore say, Thus says the Lord: I will welcome them from the nations and gather them from the lands where I scattered them, and I will give them the land of Israel.</w:t>
      </w:r>
    </w:p>
    <w:p>
      <w:r>
        <w:rPr>
          <w:b/>
        </w:rPr>
        <w:t xml:space="preserve">18 </w:t>
      </w:r>
      <w:r>
        <w:t xml:space="preserve">And they will enter there and remove all its abominations and all its lawless deeds from it.</w:t>
      </w:r>
    </w:p>
    <w:p>
      <w:r>
        <w:rPr>
          <w:b/>
        </w:rPr>
        <w:t xml:space="preserve">19 </w:t>
      </w:r>
      <w:r>
        <w:t xml:space="preserve">And I will give</w:t>
      </w:r>
      <w:r>
        <w:rPr>
          <w:rStyle w:val="FootnoteReference"/>
        </w:rPr>
        <w:footnoteReference w:id="12897"/>
      </w:r>
      <w:r>
        <w:t xml:space="preserve"> them another heart, and I will give a new spirit within them, and I will pull out the heart of stone from their flesh and give them a heart of flesh,</w:t>
      </w:r>
    </w:p>
    <w:p>
      <w:r>
        <w:rPr>
          <w:b/>
        </w:rPr>
        <w:t xml:space="preserve">20 </w:t>
      </w:r>
      <w:r>
        <w:t xml:space="preserve">so that they may</w:t>
      </w:r>
      <w:r>
        <w:rPr>
          <w:rStyle w:val="FootnoteReference"/>
        </w:rPr>
        <w:footnoteReference w:id="12898"/>
      </w:r>
      <w:r>
        <w:t xml:space="preserve"> walk in my ordinances and keep my judgments and do them, and they will be to me for a people and I will be to them for God.</w:t>
      </w:r>
    </w:p>
    <w:p>
      <w:r>
        <w:rPr>
          <w:b/>
        </w:rPr>
        <w:t xml:space="preserve">21 </w:t>
      </w:r>
      <w:r>
        <w:t xml:space="preserve">But as for the heart set on their abominations and their lawless deeds, as their heart went after them, I have put their ways on their heads, says the Lord.</w:t>
      </w:r>
    </w:p>
    <w:p>
      <w:r>
        <w:rPr>
          <w:b/>
        </w:rPr>
        <w:t xml:space="preserve">22 </w:t>
      </w:r>
      <w:r>
        <w:t xml:space="preserve">And the cherubim lifted their wings, and the wheels were beside them, and the glory of God of Israel was above them.</w:t>
      </w:r>
    </w:p>
    <w:p>
      <w:r>
        <w:rPr>
          <w:b/>
        </w:rPr>
        <w:t xml:space="preserve">23 </w:t>
      </w:r>
      <w:r>
        <w:t xml:space="preserve">And the glory</w:t>
      </w:r>
      <w:r>
        <w:rPr>
          <w:rStyle w:val="FootnoteReference"/>
        </w:rPr>
        <w:footnoteReference w:id="12899"/>
      </w:r>
      <w:r>
        <w:t xml:space="preserve"> of the Lord went up from the midst of the city and stood upon the mountain opposite the city.</w:t>
      </w:r>
    </w:p>
    <w:p>
      <w:r>
        <w:rPr>
          <w:b/>
        </w:rPr>
        <w:t xml:space="preserve">24 </w:t>
      </w:r>
      <w:r>
        <w:t xml:space="preserve">And a spirit took me up and brought me to the land of the Chaldeans, to the captivity, in a vision, in the Spirit</w:t>
      </w:r>
      <w:r>
        <w:rPr>
          <w:rStyle w:val="FootnoteReference"/>
        </w:rPr>
        <w:footnoteReference w:id="12900"/>
      </w:r>
      <w:r>
        <w:t xml:space="preserve"> of God, and I came up from the vision that I saw.</w:t>
      </w:r>
    </w:p>
    <w:p>
      <w:r>
        <w:rPr>
          <w:b/>
        </w:rPr>
        <w:t xml:space="preserve">25 </w:t>
      </w:r>
      <w:r>
        <w:t xml:space="preserve">And I spoke to the captivity all the words of the Lord that he showed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the word of the Lord came to me, saying,</w:t>
      </w:r>
    </w:p>
    <w:p>
      <w:r>
        <w:rPr>
          <w:b/>
        </w:rPr>
        <w:t xml:space="preserve">2 </w:t>
      </w:r>
      <w:r>
        <w:t xml:space="preserve">Son of man, you dwell in the midst of their injustices, those who have eyes to see and do not see, and ears to hear and do not hear, because it is a provoking house.</w:t>
      </w:r>
    </w:p>
    <w:p>
      <w:r>
        <w:rPr>
          <w:b/>
        </w:rPr>
        <w:t xml:space="preserve">3 </w:t>
      </w:r>
      <w:r>
        <w:t xml:space="preserve">And you, son of man, make for yourself baggage for captivity by day before them, and you will go into captivity from your place to another place before them, so that they may see, because it is a provoking house.</w:t>
      </w:r>
    </w:p>
    <w:p>
      <w:r>
        <w:rPr>
          <w:b/>
        </w:rPr>
        <w:t xml:space="preserve">4 </w:t>
      </w:r>
      <w:r>
        <w:t xml:space="preserve">And you will bring out your baggage, like baggage for captivity, by day in their sight, and you will go out in the evening, as a captive goes out.</w:t>
      </w:r>
    </w:p>
    <w:p>
      <w:r>
        <w:rPr>
          <w:b/>
        </w:rPr>
        <w:t xml:space="preserve">5 </w:t>
      </w:r>
      <w:r>
        <w:t xml:space="preserve">In their sight dig for yourself through the wall, and you will go out through it.</w:t>
      </w:r>
    </w:p>
    <w:p>
      <w:r>
        <w:rPr>
          <w:b/>
        </w:rPr>
        <w:t xml:space="preserve">6 </w:t>
      </w:r>
      <w:r>
        <w:t xml:space="preserve">In their sight you will be lifted on shoulders and go out hidden. You will cover</w:t>
      </w:r>
      <w:r>
        <w:rPr>
          <w:rStyle w:val="FootnoteReference"/>
        </w:rPr>
        <w:footnoteReference w:id="12901"/>
      </w:r>
      <w:r>
        <w:t xml:space="preserve"> your face so that you do not see the land, because I have given you as a wonder to the house of Israel.</w:t>
      </w:r>
    </w:p>
    <w:p>
      <w:r>
        <w:rPr>
          <w:b/>
        </w:rPr>
        <w:t xml:space="preserve">7 </w:t>
      </w:r>
      <w:r>
        <w:t xml:space="preserve">And I did so</w:t>
      </w:r>
      <w:r>
        <w:rPr>
          <w:rStyle w:val="FootnoteReference"/>
        </w:rPr>
        <w:footnoteReference w:id="12902"/>
      </w:r>
      <w:r>
        <w:t xml:space="preserve">, according to everything he commanded me, and I brought out baggage like baggage for captivity by day, and in the evening I dug through the wall for myself, and hidden I went out; I was lifted on shoulders in their sight.</w:t>
      </w:r>
    </w:p>
    <w:p>
      <w:r>
        <w:rPr>
          <w:b/>
        </w:rPr>
        <w:t xml:space="preserve">8 </w:t>
      </w:r>
      <w:r>
        <w:t xml:space="preserve">And the word of the Lord came to me in the morning, saying,</w:t>
      </w:r>
    </w:p>
    <w:p>
      <w:r>
        <w:rPr>
          <w:b/>
        </w:rPr>
        <w:t xml:space="preserve">9 </w:t>
      </w:r>
      <w:r>
        <w:t xml:space="preserve">Son of man, did not the house of Israel, the provoking house, say to you, What are you doing?</w:t>
      </w:r>
    </w:p>
    <w:p>
      <w:r>
        <w:rPr>
          <w:b/>
        </w:rPr>
        <w:t xml:space="preserve">10 </w:t>
      </w:r>
      <w:r>
        <w:t xml:space="preserve">Say to them, Thus says the Lord God concerning the ruler and the leader in Jerusalem and all the house of Israel who are in their midst.</w:t>
      </w:r>
    </w:p>
    <w:p>
      <w:r>
        <w:rPr>
          <w:b/>
        </w:rPr>
        <w:t xml:space="preserve">11 </w:t>
      </w:r>
      <w:r>
        <w:t xml:space="preserve">Say, I perform wonders in her midst. As I have done, so it will be to them; into exile and captivity they will go.</w:t>
      </w:r>
    </w:p>
    <w:p>
      <w:r>
        <w:rPr>
          <w:b/>
        </w:rPr>
        <w:t xml:space="preserve">12 </w:t>
      </w:r>
      <w:r>
        <w:t xml:space="preserve">And the ruler in their midst will be lifted on shoulders and will go out hidden. Through the wall he will dig to go out through it. He will cover his face so that he is not seen by any eye, and he will not see the land.</w:t>
      </w:r>
    </w:p>
    <w:p>
      <w:r>
        <w:rPr>
          <w:b/>
        </w:rPr>
        <w:t xml:space="preserve">13 </w:t>
      </w:r>
      <w:r>
        <w:t xml:space="preserve">And I will spread my net</w:t>
      </w:r>
      <w:r>
        <w:rPr>
          <w:rStyle w:val="FootnoteReference"/>
        </w:rPr>
        <w:footnoteReference w:id="12903"/>
      </w:r>
      <w:r>
        <w:t xml:space="preserve"> over him, and he will be caught in my enclosure, and I will bring him to Babylon, to the land of the Chaldeans, and yet he will not see it, and there he will die.</w:t>
      </w:r>
    </w:p>
    <w:p>
      <w:r>
        <w:rPr>
          <w:b/>
        </w:rPr>
        <w:t xml:space="preserve">14 </w:t>
      </w:r>
      <w:r>
        <w:t xml:space="preserve">And all those around him, his helpers and all those supporting him, I will scatter</w:t>
      </w:r>
      <w:r>
        <w:rPr>
          <w:rStyle w:val="FootnoteReference"/>
        </w:rPr>
        <w:footnoteReference w:id="12904"/>
      </w:r>
      <w:r>
        <w:t xml:space="preserve"> to every wind, and I will draw out a sword behind them.</w:t>
      </w:r>
    </w:p>
    <w:p>
      <w:r>
        <w:rPr>
          <w:b/>
        </w:rPr>
        <w:t xml:space="preserve">15 </w:t>
      </w:r>
      <w:r>
        <w:t xml:space="preserve">And they will know that I am the Lord, when I scatter them among the nations and disperse them in the lands.</w:t>
      </w:r>
    </w:p>
    <w:p>
      <w:r>
        <w:rPr>
          <w:b/>
        </w:rPr>
        <w:t xml:space="preserve">16 </w:t>
      </w:r>
      <w:r>
        <w:t xml:space="preserve">And I will leave from them a few men</w:t>
      </w:r>
      <w:r>
        <w:rPr>
          <w:rStyle w:val="FootnoteReference"/>
        </w:rPr>
        <w:footnoteReference w:id="12905"/>
      </w:r>
      <w:r>
        <w:t xml:space="preserve"> in number, from sword and famine and death, so that they may recount all their lawless deeds among the nations where they entered, and they will know that I am the Lord.</w:t>
      </w:r>
    </w:p>
    <w:p>
      <w:r>
        <w:rPr>
          <w:b/>
        </w:rPr>
        <w:t xml:space="preserve">17 </w:t>
      </w:r>
      <w:r>
        <w:t xml:space="preserve">And the word of the Lord came to me, saying,</w:t>
      </w:r>
    </w:p>
    <w:p>
      <w:r>
        <w:rPr>
          <w:b/>
        </w:rPr>
        <w:t xml:space="preserve">18 </w:t>
      </w:r>
      <w:r>
        <w:t xml:space="preserve">Son of man, you will eat your bread with pain, and you will drink your water with torment and distress.</w:t>
      </w:r>
    </w:p>
    <w:p>
      <w:r>
        <w:rPr>
          <w:b/>
        </w:rPr>
        <w:t xml:space="preserve">19 </w:t>
      </w:r>
      <w:r>
        <w:t xml:space="preserve">And you will say to the people of the land, Thus says the Lord to those dwelling in Jerusalem upon the land of Israel: They will eat their bread with scarcity and drink their water with desolation, so that the land may be desolated with its fullness, because of the impiety of all those dwelling in it.</w:t>
      </w:r>
    </w:p>
    <w:p>
      <w:r>
        <w:rPr>
          <w:b/>
        </w:rPr>
        <w:t xml:space="preserve">20 </w:t>
      </w:r>
      <w:r>
        <w:t xml:space="preserve">And their inhabited cities will be laid waste, and the land will become a desolation, and you will know that I am the Lord.</w:t>
      </w:r>
    </w:p>
    <w:p>
      <w:r>
        <w:rPr>
          <w:b/>
        </w:rPr>
        <w:t xml:space="preserve">21 </w:t>
      </w:r>
      <w:r>
        <w:t xml:space="preserve">And the word of the Lord came to me, saying,</w:t>
      </w:r>
    </w:p>
    <w:p>
      <w:r>
        <w:rPr>
          <w:b/>
        </w:rPr>
        <w:t xml:space="preserve">22 </w:t>
      </w:r>
      <w:r>
        <w:t xml:space="preserve">Son of man, what is this proverb among you on the land of Israel, saying, The days</w:t>
      </w:r>
      <w:r>
        <w:rPr>
          <w:rStyle w:val="FootnoteReference"/>
        </w:rPr>
        <w:footnoteReference w:id="12906"/>
      </w:r>
      <w:r>
        <w:t xml:space="preserve"> are far off; the vision has perished?</w:t>
      </w:r>
    </w:p>
    <w:p>
      <w:r>
        <w:rPr>
          <w:b/>
        </w:rPr>
        <w:t xml:space="preserve">23 </w:t>
      </w:r>
      <w:r>
        <w:t xml:space="preserve">Therefore say to them, Thus says the Lord: I will turn away this proverb, and the house of Israel will no longer speak this proverb. But speak to them, The days</w:t>
      </w:r>
      <w:r>
        <w:rPr>
          <w:rStyle w:val="FootnoteReference"/>
        </w:rPr>
        <w:footnoteReference w:id="12907"/>
      </w:r>
      <w:r>
        <w:t xml:space="preserve"> have drawn near, and the word of every vision.</w:t>
      </w:r>
    </w:p>
    <w:p>
      <w:r>
        <w:rPr>
          <w:b/>
        </w:rPr>
        <w:t xml:space="preserve">24 </w:t>
      </w:r>
      <w:r>
        <w:t xml:space="preserve">For there will no longer be any false vision and any flattering diviner in the midst of the sons of Israel.</w:t>
      </w:r>
    </w:p>
    <w:p>
      <w:r>
        <w:rPr>
          <w:b/>
        </w:rPr>
        <w:t xml:space="preserve">25 </w:t>
      </w:r>
      <w:r>
        <w:t xml:space="preserve">Because I am the Lord. I will speak my words; I will speak and do them, and I will delay no longer, because in your</w:t>
      </w:r>
      <w:r>
        <w:rPr>
          <w:rStyle w:val="FootnoteReference"/>
        </w:rPr>
        <w:footnoteReference w:id="12908"/>
      </w:r>
      <w:r>
        <w:t xml:space="preserve"> days, provoking house, I will speak the word and do it, says the Lord.</w:t>
      </w:r>
    </w:p>
    <w:p>
      <w:r>
        <w:rPr>
          <w:b/>
        </w:rPr>
        <w:t xml:space="preserve">26 </w:t>
      </w:r>
      <w:r>
        <w:t xml:space="preserve">And the word of the Lord came to me, saying,</w:t>
      </w:r>
    </w:p>
    <w:p>
      <w:r>
        <w:rPr>
          <w:b/>
        </w:rPr>
        <w:t xml:space="preserve">27 </w:t>
      </w:r>
      <w:r>
        <w:t xml:space="preserve">Son of man, behold, the provoking house of Israel says, The vision that this one sees is for many days, and for distant times this one prophesies.</w:t>
      </w:r>
    </w:p>
    <w:p>
      <w:r>
        <w:rPr>
          <w:b/>
        </w:rPr>
        <w:t xml:space="preserve">28 </w:t>
      </w:r>
      <w:r>
        <w:t xml:space="preserve">Therefore say to them, Thus says the Lord: None of my words will be delayed any longer. Whatever word I speak, I will speak and do,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the word of the Lord came to me, saying,</w:t>
      </w:r>
    </w:p>
    <w:p>
      <w:r>
        <w:rPr>
          <w:b/>
        </w:rPr>
        <w:t xml:space="preserve">2 </w:t>
      </w:r>
      <w:r>
        <w:t xml:space="preserve">Son of man, prophesy against</w:t>
      </w:r>
      <w:r>
        <w:rPr>
          <w:rStyle w:val="FootnoteReference"/>
        </w:rPr>
        <w:footnoteReference w:id="12909"/>
      </w:r>
      <w:r>
        <w:t xml:space="preserve"> the prophets of Israel, and you will prophesy and say to them, Hear the word of the Lord.</w:t>
      </w:r>
    </w:p>
    <w:p>
      <w:r>
        <w:rPr>
          <w:b/>
        </w:rPr>
        <w:t xml:space="preserve">3 </w:t>
      </w:r>
      <w:r>
        <w:t xml:space="preserve">Thus says the Lord: Woe to those prophesying from their own heart and seeing nothing at all.</w:t>
      </w:r>
    </w:p>
    <w:p>
      <w:r>
        <w:rPr>
          <w:b/>
        </w:rPr>
        <w:t xml:space="preserve">4 </w:t>
      </w:r>
      <w:r>
        <w:t xml:space="preserve">Your prophets, Israel, are like foxes in the deserts.</w:t>
      </w:r>
    </w:p>
    <w:p>
      <w:r>
        <w:rPr>
          <w:b/>
        </w:rPr>
        <w:t xml:space="preserve">5 </w:t>
      </w:r>
      <w:r>
        <w:t xml:space="preserve">They did not stand in firmness and gathered flocks against the house of Israel. Those speaking did not rise in the day of the Lord.</w:t>
      </w:r>
    </w:p>
    <w:p>
      <w:r>
        <w:rPr>
          <w:b/>
        </w:rPr>
        <w:t xml:space="preserve">6 </w:t>
      </w:r>
      <w:r>
        <w:t xml:space="preserve">Seeing false things and divining vain things, those saying</w:t>
      </w:r>
      <w:r>
        <w:rPr>
          <w:rStyle w:val="FootnoteReference"/>
        </w:rPr>
        <w:footnoteReference w:id="12910"/>
      </w:r>
      <w:r>
        <w:t xml:space="preserve">, The Lord says, though the Lord did not send them, and they began to establish a word.</w:t>
      </w:r>
    </w:p>
    <w:p>
      <w:r>
        <w:rPr>
          <w:b/>
        </w:rPr>
        <w:t xml:space="preserve">7 </w:t>
      </w:r>
      <w:r>
        <w:t xml:space="preserve">Did you not see a false vision and speak vain divinations?</w:t>
      </w:r>
    </w:p>
    <w:p>
      <w:r>
        <w:rPr>
          <w:b/>
        </w:rPr>
        <w:t xml:space="preserve">8 </w:t>
      </w:r>
      <w:r>
        <w:t xml:space="preserve">Therefore say, Thus says the Lord: Because your words are false and your divinations vain, therefore behold</w:t>
      </w:r>
      <w:r>
        <w:rPr>
          <w:rStyle w:val="FootnoteReference"/>
        </w:rPr>
        <w:footnoteReference w:id="12911"/>
      </w:r>
      <w:r>
        <w:t xml:space="preserve">, I am against you, says the Lord.</w:t>
      </w:r>
    </w:p>
    <w:p>
      <w:r>
        <w:rPr>
          <w:b/>
        </w:rPr>
        <w:t xml:space="preserve">9 </w:t>
      </w:r>
      <w:r>
        <w:t xml:space="preserve">And I will stretch out my hand against the prophets seeing false things and those uttering vanities. In the instruction of my people they will not be, nor will they be written in the writing of the house of Israel, nor will they enter into the land of Israel, and they will know that I am the Lord.</w:t>
      </w:r>
    </w:p>
    <w:p>
      <w:r>
        <w:rPr>
          <w:b/>
        </w:rPr>
        <w:t xml:space="preserve">10 </w:t>
      </w:r>
      <w:r>
        <w:t xml:space="preserve">Because they led my people astray, saying, Peace</w:t>
      </w:r>
      <w:r>
        <w:rPr>
          <w:rStyle w:val="FootnoteReference"/>
        </w:rPr>
        <w:footnoteReference w:id="12912"/>
      </w:r>
      <w:r>
        <w:t xml:space="preserve">, peace, and there was no peace, and one builds a wall, and they plaster it; it will fall.</w:t>
      </w:r>
    </w:p>
    <w:p>
      <w:r>
        <w:rPr>
          <w:b/>
        </w:rPr>
        <w:t xml:space="preserve">11 </w:t>
      </w:r>
      <w:r>
        <w:t xml:space="preserve">Say to those plastering it, It will fall, and there will be flooding rain, and I will give hailstones against their bindings, and they will fall, and there will be a storming wind, and it will be broken.</w:t>
      </w:r>
    </w:p>
    <w:p>
      <w:r>
        <w:rPr>
          <w:b/>
        </w:rPr>
        <w:t xml:space="preserve">12 </w:t>
      </w:r>
      <w:r>
        <w:t xml:space="preserve">And behold, the wall has fallen, and will they not say to you, Where is your plaster that you plastered?</w:t>
      </w:r>
    </w:p>
    <w:p>
      <w:r>
        <w:rPr>
          <w:b/>
        </w:rPr>
        <w:t xml:space="preserve">13 </w:t>
      </w:r>
      <w:r>
        <w:t xml:space="preserve">Therefore thus says the Lord: I will burst forth a storming blast with wrath, and flooding rain will come in my anger, and hailstones in wrath I will bring for complete destruction.</w:t>
      </w:r>
    </w:p>
    <w:p>
      <w:r>
        <w:rPr>
          <w:b/>
        </w:rPr>
        <w:t xml:space="preserve">14 </w:t>
      </w:r>
      <w:r>
        <w:t xml:space="preserve">And I will tear down the wall that you plastered, and it will fall, and I will lay it on the ground, and its foundations will be uncovered, and it will fall, and you will be finished with reproofs, and you will know that I am the Lord.</w:t>
      </w:r>
    </w:p>
    <w:p>
      <w:r>
        <w:rPr>
          <w:b/>
        </w:rPr>
        <w:t xml:space="preserve">15 </w:t>
      </w:r>
      <w:r>
        <w:t xml:space="preserve">And I will complete my wrath against the wall</w:t>
      </w:r>
      <w:r>
        <w:rPr>
          <w:rStyle w:val="FootnoteReference"/>
        </w:rPr>
        <w:footnoteReference w:id="12913"/>
      </w:r>
      <w:r>
        <w:t xml:space="preserve"> and against those plastering it, and it will fall, and I will say to you, The wall is not, nor are those plastering it,</w:t>
      </w:r>
    </w:p>
    <w:p>
      <w:r>
        <w:rPr>
          <w:b/>
        </w:rPr>
        <w:t xml:space="preserve">16 </w:t>
      </w:r>
      <w:r>
        <w:t xml:space="preserve">the prophets of Israel prophesying concerning Jerusalem and seeing peace for her, though there is no peace, says the Lord.</w:t>
      </w:r>
    </w:p>
    <w:p>
      <w:r>
        <w:rPr>
          <w:b/>
        </w:rPr>
        <w:t xml:space="preserve">17 </w:t>
      </w:r>
      <w:r>
        <w:t xml:space="preserve">And you, son of man, set your face against the daughters</w:t>
      </w:r>
      <w:r>
        <w:rPr>
          <w:rStyle w:val="FootnoteReference"/>
        </w:rPr>
        <w:footnoteReference w:id="12914"/>
      </w:r>
      <w:r>
        <w:t xml:space="preserve"> of your people who prophesy from their own heart, and prophesy against them,</w:t>
      </w:r>
    </w:p>
    <w:p>
      <w:r>
        <w:rPr>
          <w:b/>
        </w:rPr>
        <w:t xml:space="preserve">18 </w:t>
      </w:r>
      <w:r>
        <w:t xml:space="preserve">and say, Thus says the Lord: Woe to those stitching cushions on every elbow of the hand and making veils over every head of every stature, to twist souls. The souls of my people were twisted, and they kept souls alive for themselves.</w:t>
      </w:r>
    </w:p>
    <w:p>
      <w:r>
        <w:rPr>
          <w:b/>
        </w:rPr>
        <w:t xml:space="preserve">19 </w:t>
      </w:r>
      <w:r>
        <w:t xml:space="preserve">And they profaned me before my people for a handful of barley and for pieces of bread, to kill souls that should not die and to keep souls alive that should not live, when you utter vain utterances to a people listening.</w:t>
      </w:r>
    </w:p>
    <w:p>
      <w:r>
        <w:rPr>
          <w:b/>
        </w:rPr>
        <w:t xml:space="preserve">20 </w:t>
      </w:r>
      <w:r>
        <w:t xml:space="preserve">Therefore thus says the Lord God: Behold, I am against your cushions on which you twist souls there, and I will tear them from your arms and send away the souls that you twist, their souls into scattering.</w:t>
      </w:r>
    </w:p>
    <w:p>
      <w:r>
        <w:rPr>
          <w:b/>
        </w:rPr>
        <w:t xml:space="preserve">21 </w:t>
      </w:r>
      <w:r>
        <w:t xml:space="preserve">And I will tear your veils and rescue my people from your hand, and they will no longer be in your hands for twisting, and you will know that I am the Lord.</w:t>
      </w:r>
    </w:p>
    <w:p>
      <w:r>
        <w:rPr>
          <w:b/>
        </w:rPr>
        <w:t xml:space="preserve">22 </w:t>
      </w:r>
      <w:r>
        <w:t xml:space="preserve">Because you twisted the heart of a righteous one unjustly, and I did not twist him, and because you strengthened the hands of a lawless one so that he not turn at all from his evil way and live,</w:t>
      </w:r>
    </w:p>
    <w:p>
      <w:r>
        <w:rPr>
          <w:b/>
        </w:rPr>
        <w:t xml:space="preserve">23 </w:t>
      </w:r>
      <w:r>
        <w:t xml:space="preserve">therefore you will never see false things, and you will never divine divinations again, and I will rescue my people from your hand, and you will know that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men from the elders of Israel came to me and sat</w:t>
      </w:r>
      <w:r>
        <w:rPr>
          <w:rStyle w:val="FootnoteReference"/>
        </w:rPr>
        <w:footnoteReference w:id="12915"/>
      </w:r>
      <w:r>
        <w:t xml:space="preserve"> before me.</w:t>
      </w:r>
    </w:p>
    <w:p>
      <w:r>
        <w:rPr>
          <w:b/>
        </w:rPr>
        <w:t xml:space="preserve">2 </w:t>
      </w:r>
      <w:r>
        <w:t xml:space="preserve">And the word of the Lord came to me, saying,</w:t>
      </w:r>
    </w:p>
    <w:p>
      <w:r>
        <w:rPr>
          <w:b/>
        </w:rPr>
        <w:t xml:space="preserve">3 </w:t>
      </w:r>
      <w:r>
        <w:t xml:space="preserve">Son of man, these men</w:t>
      </w:r>
      <w:r>
        <w:rPr>
          <w:rStyle w:val="FootnoteReference"/>
        </w:rPr>
        <w:footnoteReference w:id="12916"/>
      </w:r>
      <w:r>
        <w:t xml:space="preserve"> set their thoughts upon their hearts and placed punishment of their injustices before their face. Shall I indeed answer them?</w:t>
      </w:r>
    </w:p>
    <w:p>
      <w:r>
        <w:rPr>
          <w:b/>
        </w:rPr>
        <w:t xml:space="preserve">4 </w:t>
      </w:r>
      <w:r>
        <w:t xml:space="preserve">Therefore speak</w:t>
      </w:r>
      <w:r>
        <w:rPr>
          <w:rStyle w:val="FootnoteReference"/>
        </w:rPr>
        <w:footnoteReference w:id="12917"/>
      </w:r>
      <w:r>
        <w:t xml:space="preserve"> to them and say to them, Thus says the Lord: Any man, any man from the house of Israel, who sets his thoughts upon his heart and places punishment of his injustice before his face and comes to the prophet, I, the Lord, will answer him in the things wherein his mind is entangled,</w:t>
      </w:r>
    </w:p>
    <w:p>
      <w:r>
        <w:rPr>
          <w:b/>
        </w:rPr>
        <w:t xml:space="preserve">5 </w:t>
      </w:r>
      <w:r>
        <w:t xml:space="preserve">so as to turn aside the house of Israel according to their hearts that are alienated from me in their thoughts.</w:t>
      </w:r>
    </w:p>
    <w:p>
      <w:r>
        <w:rPr>
          <w:b/>
        </w:rPr>
        <w:t xml:space="preserve">6 </w:t>
      </w:r>
      <w:r>
        <w:t xml:space="preserve">Therefore say to the house of Israel, Thus says the Lord God: Turn</w:t>
      </w:r>
      <w:r>
        <w:rPr>
          <w:rStyle w:val="FootnoteReference"/>
        </w:rPr>
        <w:footnoteReference w:id="12918"/>
      </w:r>
      <w:r>
        <w:t xml:space="preserve"> back and turn away from your practices and from all your impieties, and turn your faces back.</w:t>
      </w:r>
    </w:p>
    <w:p>
      <w:r>
        <w:rPr>
          <w:b/>
        </w:rPr>
        <w:t xml:space="preserve">7 </w:t>
      </w:r>
      <w:r>
        <w:t xml:space="preserve">Because any man, any man from the house of Israel and from the newcomers sojourning in Israel, who becomes alienated from me and sets his thoughts upon his heart and places punishment of his injustice before his face and comes to the prophet to inquire of him in me, I, the Lord, will answer him in that wherein he is entangled within himself.</w:t>
      </w:r>
    </w:p>
    <w:p>
      <w:r>
        <w:rPr>
          <w:b/>
        </w:rPr>
        <w:t xml:space="preserve">8 </w:t>
      </w:r>
      <w:r>
        <w:t xml:space="preserve">And I will set</w:t>
      </w:r>
      <w:r>
        <w:rPr>
          <w:rStyle w:val="FootnoteReference"/>
        </w:rPr>
        <w:footnoteReference w:id="12919"/>
      </w:r>
      <w:r>
        <w:t xml:space="preserve"> my face against that man and make him a desolation and a ruin, and I will remove him from the midst of my people, and you will know that I am the Lord.</w:t>
      </w:r>
    </w:p>
    <w:p>
      <w:r>
        <w:rPr>
          <w:b/>
        </w:rPr>
        <w:t xml:space="preserve">9 </w:t>
      </w:r>
      <w:r>
        <w:t xml:space="preserve">And if a prophet is led astray and speaks, I, the Lord, have led that prophet astray, and I will</w:t>
      </w:r>
      <w:r>
        <w:rPr>
          <w:rStyle w:val="FootnoteReference"/>
        </w:rPr>
        <w:footnoteReference w:id="12920"/>
      </w:r>
      <w:r>
        <w:t xml:space="preserve"> stretch out my hand against him and destroy him from the midst of my people Israel.</w:t>
      </w:r>
    </w:p>
    <w:p>
      <w:r>
        <w:rPr>
          <w:b/>
        </w:rPr>
        <w:t xml:space="preserve">10 </w:t>
      </w:r>
      <w:r>
        <w:t xml:space="preserve">And they will bear their injustice; like the offense of the one inquiring, so the offense of the prophet will be,</w:t>
      </w:r>
    </w:p>
    <w:p>
      <w:r>
        <w:rPr>
          <w:b/>
        </w:rPr>
        <w:t xml:space="preserve">11 </w:t>
      </w:r>
      <w:r>
        <w:t xml:space="preserve">so that the house</w:t>
      </w:r>
      <w:r>
        <w:rPr>
          <w:rStyle w:val="FootnoteReference"/>
        </w:rPr>
        <w:footnoteReference w:id="12921"/>
      </w:r>
      <w:r>
        <w:t xml:space="preserve"> of Israel may no longer wander from me, and so that they may no longer be defiled in all their trespasses, and they will be to me for a people and I will be to them for God, says the Lord.</w:t>
      </w:r>
    </w:p>
    <w:p>
      <w:r>
        <w:rPr>
          <w:b/>
        </w:rPr>
        <w:t xml:space="preserve">12 </w:t>
      </w:r>
      <w:r>
        <w:t xml:space="preserve">And the word of the Lord came to me, saying,</w:t>
      </w:r>
    </w:p>
    <w:p>
      <w:r>
        <w:rPr>
          <w:b/>
        </w:rPr>
        <w:t xml:space="preserve">13 </w:t>
      </w:r>
      <w:r>
        <w:t xml:space="preserve">Son of man, if a land sins against me by committing offense, and I stretch out my hand against it and break</w:t>
      </w:r>
      <w:r>
        <w:rPr>
          <w:rStyle w:val="FootnoteReference"/>
        </w:rPr>
        <w:footnoteReference w:id="12922"/>
      </w:r>
      <w:r>
        <w:t xml:space="preserve"> its support of bread and send famine upon it and remove from it man and cattle,</w:t>
      </w:r>
    </w:p>
    <w:p>
      <w:r>
        <w:rPr>
          <w:b/>
        </w:rPr>
        <w:t xml:space="preserve">14 </w:t>
      </w:r>
      <w:r>
        <w:t xml:space="preserve">and if these three men are in its midst, Noah</w:t>
      </w:r>
      <w:r>
        <w:rPr>
          <w:rStyle w:val="FootnoteReference"/>
        </w:rPr>
        <w:footnoteReference w:id="12923"/>
      </w:r>
      <w:r>
        <w:t xml:space="preserve"> and Daniel</w:t>
      </w:r>
      <w:r>
        <w:rPr>
          <w:rStyle w:val="FootnoteReference"/>
        </w:rPr>
        <w:footnoteReference w:id="12924"/>
      </w:r>
      <w:r>
        <w:t xml:space="preserve"> and Job, they themselves will be saved by their righteousness, says the Lord.</w:t>
      </w:r>
    </w:p>
    <w:p>
      <w:r>
        <w:rPr>
          <w:b/>
        </w:rPr>
        <w:t xml:space="preserve">15 </w:t>
      </w:r>
      <w:r>
        <w:t xml:space="preserve">And if I bring evil beasts upon the land and punish it, and it becomes a desolation and there is no passerby because of the beasts,</w:t>
      </w:r>
    </w:p>
    <w:p>
      <w:r>
        <w:rPr>
          <w:b/>
        </w:rPr>
        <w:t xml:space="preserve">16 </w:t>
      </w:r>
      <w:r>
        <w:t xml:space="preserve">and these three men are in its midst, as I live</w:t>
      </w:r>
      <w:r>
        <w:rPr>
          <w:rStyle w:val="FootnoteReference"/>
        </w:rPr>
        <w:footnoteReference w:id="12925"/>
      </w:r>
      <w:r>
        <w:t xml:space="preserve">, says the Lord, neither sons nor daughters will be saved; only they themselves will be saved, but the land will become a ruin.</w:t>
      </w:r>
    </w:p>
    <w:p>
      <w:r>
        <w:rPr>
          <w:b/>
        </w:rPr>
        <w:t xml:space="preserve">17 </w:t>
      </w:r>
      <w:r>
        <w:t xml:space="preserve">Or if I bring</w:t>
      </w:r>
      <w:r>
        <w:rPr>
          <w:rStyle w:val="FootnoteReference"/>
        </w:rPr>
        <w:footnoteReference w:id="12926"/>
      </w:r>
      <w:r>
        <w:t xml:space="preserve"> a sword upon that land and say, Let a sword pass through the land, and I remove from it man and cattle,</w:t>
      </w:r>
    </w:p>
    <w:p>
      <w:r>
        <w:rPr>
          <w:b/>
        </w:rPr>
        <w:t xml:space="preserve">18 </w:t>
      </w:r>
      <w:r>
        <w:t xml:space="preserve">and these three men are in its midst, as I live, says the Lord, they will never rescue sons or daughters; only they themselves will be saved.</w:t>
      </w:r>
    </w:p>
    <w:p>
      <w:r>
        <w:rPr>
          <w:b/>
        </w:rPr>
        <w:t xml:space="preserve">19 </w:t>
      </w:r>
      <w:r>
        <w:t xml:space="preserve">Or if I</w:t>
      </w:r>
      <w:r>
        <w:rPr>
          <w:rStyle w:val="FootnoteReference"/>
        </w:rPr>
        <w:footnoteReference w:id="12927"/>
      </w:r>
      <w:r>
        <w:t xml:space="preserve"> send death upon that land and pour out my wrath upon it in blood, to destroy from it man and cattle,</w:t>
      </w:r>
    </w:p>
    <w:p>
      <w:r>
        <w:rPr>
          <w:b/>
        </w:rPr>
        <w:t xml:space="preserve">20 </w:t>
      </w:r>
      <w:r>
        <w:t xml:space="preserve">and Noah</w:t>
      </w:r>
      <w:r>
        <w:rPr>
          <w:rStyle w:val="FootnoteReference"/>
        </w:rPr>
        <w:footnoteReference w:id="12928"/>
      </w:r>
      <w:r>
        <w:t xml:space="preserve"> and Daniel and Job are in its midst, as I live, says the Lord, neither sons nor daughters will be left behind; they themselves will rescue their own souls by their righteousness.</w:t>
      </w:r>
    </w:p>
    <w:p>
      <w:r>
        <w:rPr>
          <w:b/>
        </w:rPr>
        <w:t xml:space="preserve">21 </w:t>
      </w:r>
      <w:r>
        <w:t xml:space="preserve">Thus says the Lord: Even if I send my four</w:t>
      </w:r>
      <w:r>
        <w:rPr>
          <w:rStyle w:val="FootnoteReference"/>
        </w:rPr>
        <w:footnoteReference w:id="12929"/>
      </w:r>
      <w:r>
        <w:t xml:space="preserve"> evil punishments, sword and famine and evil beasts and death, upon Jerusalem, to destroy from it man and cattle,</w:t>
      </w:r>
    </w:p>
    <w:p>
      <w:r>
        <w:rPr>
          <w:b/>
        </w:rPr>
        <w:t xml:space="preserve">22 </w:t>
      </w:r>
      <w:r>
        <w:t xml:space="preserve">yet behold, survivors are left in it, its rescued ones, who bring out sons and daughters from it. Behold, they come out to you, and you will see their ways and their thoughts, and you will regret the evils that I brought upon Jerusalem, all the evils that I brought upon her.</w:t>
      </w:r>
    </w:p>
    <w:p>
      <w:r>
        <w:rPr>
          <w:b/>
        </w:rPr>
        <w:t xml:space="preserve">23 </w:t>
      </w:r>
      <w:r>
        <w:t xml:space="preserve">And they will comfort you, because you will see their ways and their thoughts, and you will know that I have not</w:t>
      </w:r>
      <w:r>
        <w:rPr>
          <w:rStyle w:val="FootnoteReference"/>
        </w:rPr>
        <w:footnoteReference w:id="12930"/>
      </w:r>
      <w:r>
        <w:t xml:space="preserve"> done in vain all that I did in her,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the word of the Lord came to me, saying,</w:t>
      </w:r>
    </w:p>
    <w:p>
      <w:r>
        <w:rPr>
          <w:b/>
        </w:rPr>
        <w:t xml:space="preserve">2 </w:t>
      </w:r>
      <w:r>
        <w:t xml:space="preserve">And you, son of man, what might become of the wood of the vine, from all the wood of the branches that are among</w:t>
      </w:r>
      <w:r>
        <w:rPr>
          <w:rStyle w:val="FootnoteReference"/>
        </w:rPr>
        <w:footnoteReference w:id="12931"/>
      </w:r>
      <w:r>
        <w:t xml:space="preserve"> the trees of the forest?</w:t>
      </w:r>
    </w:p>
    <w:p>
      <w:r>
        <w:rPr>
          <w:b/>
        </w:rPr>
        <w:t xml:space="preserve">3 </w:t>
      </w:r>
      <w:r>
        <w:t xml:space="preserve">Will wood be taken from it to make something for work? Will a peg be taken from it to hang any vessel on it?</w:t>
      </w:r>
    </w:p>
    <w:p>
      <w:r>
        <w:rPr>
          <w:b/>
        </w:rPr>
        <w:t xml:space="preserve">4 </w:t>
      </w:r>
      <w:r>
        <w:t xml:space="preserve">It is only given to the fire</w:t>
      </w:r>
      <w:r>
        <w:rPr>
          <w:rStyle w:val="FootnoteReference"/>
        </w:rPr>
        <w:footnoteReference w:id="12932"/>
      </w:r>
      <w:r>
        <w:t xml:space="preserve"> for consuming; the fire consumes the yearly pruning from it, and it fails completely. Will it be useful for any work?</w:t>
      </w:r>
    </w:p>
    <w:p>
      <w:r>
        <w:rPr>
          <w:b/>
        </w:rPr>
        <w:t xml:space="preserve">5 </w:t>
      </w:r>
      <w:r>
        <w:t xml:space="preserve">Not even while it is still whole will it be useful for any work; much less if fire consumes it completely, will it still be useful for work?</w:t>
      </w:r>
    </w:p>
    <w:p>
      <w:r>
        <w:rPr>
          <w:b/>
        </w:rPr>
        <w:t xml:space="preserve">6 </w:t>
      </w:r>
      <w:r>
        <w:t xml:space="preserve">Therefore say, Thus says the Lord: As the wood of the vine among the trees of the forest, which I gave to the fire for consuming, so I have given the inhabitants of Jerusalem.</w:t>
      </w:r>
    </w:p>
    <w:p>
      <w:r>
        <w:rPr>
          <w:b/>
        </w:rPr>
        <w:t xml:space="preserve">7 </w:t>
      </w:r>
      <w:r>
        <w:t xml:space="preserve">And I will set</w:t>
      </w:r>
      <w:r>
        <w:rPr>
          <w:rStyle w:val="FootnoteReference"/>
        </w:rPr>
        <w:footnoteReference w:id="12933"/>
      </w:r>
      <w:r>
        <w:t xml:space="preserve"> my face against them. From the fire they will go out, and fire will consume them, and they will know that I am the Lord when I set my face against them.</w:t>
      </w:r>
    </w:p>
    <w:p>
      <w:r>
        <w:rPr>
          <w:b/>
        </w:rPr>
        <w:t xml:space="preserve">8 </w:t>
      </w:r>
      <w:r>
        <w:t xml:space="preserve">And I will make the land a desolation, because they committed an offense,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the word of the Lord came to me, saying,</w:t>
      </w:r>
    </w:p>
    <w:p>
      <w:r>
        <w:rPr>
          <w:b/>
        </w:rPr>
        <w:t xml:space="preserve">2 </w:t>
      </w:r>
      <w:r>
        <w:t xml:space="preserve">Son of man, bear witness to Jerusalem concerning her lawless deeds,</w:t>
      </w:r>
    </w:p>
    <w:p>
      <w:r>
        <w:rPr>
          <w:b/>
        </w:rPr>
        <w:t xml:space="preserve">3 </w:t>
      </w:r>
      <w:r>
        <w:t xml:space="preserve">and say, Thus says the Lord to Jerusalem: Your root and your birth are from the land of Canaan; your father was Amorite</w:t>
      </w:r>
      <w:r>
        <w:rPr>
          <w:rStyle w:val="FootnoteReference"/>
        </w:rPr>
        <w:footnoteReference w:id="12934"/>
      </w:r>
      <w:r>
        <w:t xml:space="preserve"> and your mother Hittite.</w:t>
      </w:r>
    </w:p>
    <w:p>
      <w:r>
        <w:rPr>
          <w:b/>
        </w:rPr>
        <w:t xml:space="preserve">4 </w:t>
      </w:r>
      <w:r>
        <w:t xml:space="preserve">And as for your birth, on the day you were born they did not bind your breasts, and you were not washed in water, nor salted with salt, nor wrapped in swaddling-cloths.</w:t>
      </w:r>
    </w:p>
    <w:p>
      <w:r>
        <w:rPr>
          <w:b/>
        </w:rPr>
        <w:t xml:space="preserve">5 </w:t>
      </w:r>
      <w:r>
        <w:t xml:space="preserve">Nor did my eye spare you, to do one of all these things for you, to feel anything for you, and you were thrown on the face of the plain, because of the crookedness of your soul, on the day you were born.</w:t>
      </w:r>
    </w:p>
    <w:p>
      <w:r>
        <w:rPr>
          <w:b/>
        </w:rPr>
        <w:t xml:space="preserve">6 </w:t>
      </w:r>
      <w:r>
        <w:t xml:space="preserve">And I passed by you and saw</w:t>
      </w:r>
      <w:r>
        <w:rPr>
          <w:rStyle w:val="FootnoteReference"/>
        </w:rPr>
        <w:footnoteReference w:id="12935"/>
      </w:r>
      <w:r>
        <w:t xml:space="preserve"> you mixed in your blood, and I said to you, From your blood, life.</w:t>
      </w:r>
    </w:p>
    <w:p>
      <w:r>
        <w:rPr>
          <w:b/>
        </w:rPr>
        <w:t xml:space="preserve">7 </w:t>
      </w:r>
      <w:r>
        <w:t xml:space="preserve">Increase; I made you like the growth of the field, and you multiplied and grew great and entered into the cities of cities. Your breasts were raised and your hair sprang up, but you were naked and unseemly.</w:t>
      </w:r>
    </w:p>
    <w:p>
      <w:r>
        <w:rPr>
          <w:b/>
        </w:rPr>
        <w:t xml:space="preserve">8 </w:t>
      </w:r>
      <w:r>
        <w:t xml:space="preserve">And I passed by you and saw you, and behold, your time, a time of resting. And I spread my wings over you and covered your nakedness and swore to you and entered into covenant with you, says the Lord, and you became mine.</w:t>
      </w:r>
    </w:p>
    <w:p>
      <w:r>
        <w:rPr>
          <w:b/>
        </w:rPr>
        <w:t xml:space="preserve">9 </w:t>
      </w:r>
      <w:r>
        <w:t xml:space="preserve">And I washed</w:t>
      </w:r>
      <w:r>
        <w:rPr>
          <w:rStyle w:val="FootnoteReference"/>
        </w:rPr>
        <w:footnoteReference w:id="12936"/>
      </w:r>
      <w:r>
        <w:t xml:space="preserve"> you with water and washed away your blood from you and anointed you with oil.</w:t>
      </w:r>
    </w:p>
    <w:p>
      <w:r>
        <w:rPr>
          <w:b/>
        </w:rPr>
        <w:t xml:space="preserve">10 </w:t>
      </w:r>
      <w:r>
        <w:t xml:space="preserve">And I clothed</w:t>
      </w:r>
      <w:r>
        <w:rPr>
          <w:rStyle w:val="FootnoteReference"/>
        </w:rPr>
        <w:footnoteReference w:id="12937"/>
      </w:r>
      <w:r>
        <w:t xml:space="preserve"> you with embroidered things and shod you with hyacinth and girded you with fine linen and wrapped you with hair-woven cloth.</w:t>
      </w:r>
    </w:p>
    <w:p>
      <w:r>
        <w:rPr>
          <w:b/>
        </w:rPr>
        <w:t xml:space="preserve">11 </w:t>
      </w:r>
      <w:r>
        <w:t xml:space="preserve">And I adorned you with jewelry and put bracelets on your hands and a</w:t>
      </w:r>
      <w:r>
        <w:rPr>
          <w:rStyle w:val="FootnoteReference"/>
        </w:rPr>
        <w:footnoteReference w:id="12938"/>
      </w:r>
      <w:r>
        <w:t xml:space="preserve"> necklace around your neck.</w:t>
      </w:r>
    </w:p>
    <w:p>
      <w:r>
        <w:rPr>
          <w:b/>
        </w:rPr>
        <w:t xml:space="preserve">12 </w:t>
      </w:r>
      <w:r>
        <w:t xml:space="preserve">And I put a nose-ring on your nostril and rings on your ears and a crown of boasting on your head.</w:t>
      </w:r>
    </w:p>
    <w:p>
      <w:r>
        <w:rPr>
          <w:b/>
        </w:rPr>
        <w:t xml:space="preserve">13 </w:t>
      </w:r>
      <w:r>
        <w:t xml:space="preserve">And you were adorned with gold and silver, and your garments were fine linen and hair-woven and embroidered. You ate fine flour and oil and honey, and you became exceedingly beautiful.</w:t>
      </w:r>
    </w:p>
    <w:p>
      <w:r>
        <w:rPr>
          <w:b/>
        </w:rPr>
        <w:t xml:space="preserve">14 </w:t>
      </w:r>
      <w:r>
        <w:t xml:space="preserve">And your name went out among the nations because of your beauty, because it was completed in splendor, in the beauty that I set upon you, says the Lord.</w:t>
      </w:r>
    </w:p>
    <w:p>
      <w:r>
        <w:rPr>
          <w:b/>
        </w:rPr>
        <w:t xml:space="preserve">15 </w:t>
      </w:r>
      <w:r>
        <w:t xml:space="preserve">And you trusted in your beauty and whored because of your name and poured out your whoring on every passerby, which should not be.</w:t>
      </w:r>
    </w:p>
    <w:p>
      <w:r>
        <w:rPr>
          <w:b/>
        </w:rPr>
        <w:t xml:space="preserve">16 </w:t>
      </w:r>
      <w:r>
        <w:t xml:space="preserve">And you took from your garments and made for yourself stitched idols and whored on them, and you shall never enter, nor shall it happen.</w:t>
      </w:r>
    </w:p>
    <w:p>
      <w:r>
        <w:rPr>
          <w:b/>
        </w:rPr>
        <w:t xml:space="preserve">17 </w:t>
      </w:r>
      <w:r>
        <w:t xml:space="preserve">And you took vessels of your boasting from my gold and my silver, from what I gave you, and made for yourself male images and whored with them.</w:t>
      </w:r>
    </w:p>
    <w:p>
      <w:r>
        <w:rPr>
          <w:b/>
        </w:rPr>
        <w:t xml:space="preserve">18 </w:t>
      </w:r>
      <w:r>
        <w:t xml:space="preserve">And you took your embroidered garment and clothed them, and my oil and my incense you set before them.</w:t>
      </w:r>
    </w:p>
    <w:p>
      <w:r>
        <w:rPr>
          <w:b/>
        </w:rPr>
        <w:t xml:space="preserve">19 </w:t>
      </w:r>
      <w:r>
        <w:t xml:space="preserve">And my breads that I gave you, fine flour and oil and honey with which I fed you, you set before them for fragrant smell, and it happened, says the Lord.</w:t>
      </w:r>
    </w:p>
    <w:p>
      <w:r>
        <w:rPr>
          <w:b/>
        </w:rPr>
        <w:t xml:space="preserve">20 </w:t>
      </w:r>
      <w:r>
        <w:t xml:space="preserve">And you took your sons and your daughters whom you bore and sacrificed them to them for destruction. You whored as if it were a small thing.</w:t>
      </w:r>
    </w:p>
    <w:p>
      <w:r>
        <w:rPr>
          <w:b/>
        </w:rPr>
        <w:t xml:space="preserve">21 </w:t>
      </w:r>
      <w:r>
        <w:t xml:space="preserve">And you slaughtered your children and gave them up as you made expiation with them.</w:t>
      </w:r>
    </w:p>
    <w:p>
      <w:r>
        <w:rPr>
          <w:b/>
        </w:rPr>
        <w:t xml:space="preserve">22 </w:t>
      </w:r>
      <w:r>
        <w:t xml:space="preserve">This was beyond all your whoring, and you did not remember the days of your infancy, when you were naked and unseemly and lived while mixed in your blood.</w:t>
      </w:r>
    </w:p>
    <w:p>
      <w:r>
        <w:rPr>
          <w:b/>
        </w:rPr>
        <w:t xml:space="preserve">23 </w:t>
      </w:r>
      <w:r>
        <w:t xml:space="preserve">And it happened after all your evils, says the Lord,</w:t>
      </w:r>
    </w:p>
    <w:p>
      <w:r>
        <w:rPr>
          <w:b/>
        </w:rPr>
        <w:t xml:space="preserve">24 </w:t>
      </w:r>
      <w:r>
        <w:t xml:space="preserve">that you built for yourself a house of prostitution and made for yourself a display-place in every square.</w:t>
      </w:r>
    </w:p>
    <w:p>
      <w:r>
        <w:rPr>
          <w:b/>
        </w:rPr>
        <w:t xml:space="preserve">25 </w:t>
      </w:r>
      <w:r>
        <w:t xml:space="preserve">And at the head of every road you built your brothels and ruined your beauty and spread your legs to every passerby and multiplied your whoring.</w:t>
      </w:r>
    </w:p>
    <w:p>
      <w:r>
        <w:rPr>
          <w:b/>
        </w:rPr>
        <w:t xml:space="preserve">26 </w:t>
      </w:r>
      <w:r>
        <w:t xml:space="preserve">And you whored with the</w:t>
      </w:r>
      <w:r>
        <w:rPr>
          <w:rStyle w:val="FootnoteReference"/>
        </w:rPr>
        <w:footnoteReference w:id="12939"/>
      </w:r>
      <w:r>
        <w:t xml:space="preserve"> sons of Egypt, your neighbors, great of flesh, and you whored in many ways to provoke me.</w:t>
      </w:r>
    </w:p>
    <w:p>
      <w:r>
        <w:rPr>
          <w:b/>
        </w:rPr>
        <w:t xml:space="preserve">27 </w:t>
      </w:r>
      <w:r>
        <w:t xml:space="preserve">And if I stretch out my hand against you and remove your statutes and hand you over to the souls of those hating you, daughters of foreigners, who turned you aside from your way in which you acted impiously,</w:t>
      </w:r>
    </w:p>
    <w:p>
      <w:r>
        <w:rPr>
          <w:b/>
        </w:rPr>
        <w:t xml:space="preserve">28 </w:t>
      </w:r>
      <w:r>
        <w:t xml:space="preserve">then you whored with daughters of Assyria, and not even thus were you satisfied, and you whored, and still were not filled.</w:t>
      </w:r>
    </w:p>
    <w:p>
      <w:r>
        <w:rPr>
          <w:b/>
        </w:rPr>
        <w:t xml:space="preserve">29 </w:t>
      </w:r>
      <w:r>
        <w:t xml:space="preserve">And you multiplied your covenants toward the land of the Chaldeans, and not even with these were you satisfied.</w:t>
      </w:r>
    </w:p>
    <w:p>
      <w:r>
        <w:rPr>
          <w:b/>
        </w:rPr>
        <w:t xml:space="preserve">30 </w:t>
      </w:r>
      <w:r>
        <w:t xml:space="preserve">What shall I do with your daughter, says the Lord, when you do all these works of a prostitute woman, and you whored threefold?</w:t>
      </w:r>
    </w:p>
    <w:p>
      <w:r>
        <w:rPr>
          <w:b/>
        </w:rPr>
        <w:t xml:space="preserve">31 </w:t>
      </w:r>
      <w:r>
        <w:t xml:space="preserve">Among your daughters you built your brothel at the head of every road and made your base in every square, and you became like a prostitute gathering wages.</w:t>
      </w:r>
    </w:p>
    <w:p>
      <w:r>
        <w:rPr>
          <w:b/>
        </w:rPr>
        <w:t xml:space="preserve">32 </w:t>
      </w:r>
      <w:r>
        <w:t xml:space="preserve">The adulterous woman is like you, taking wages from her husband.</w:t>
      </w:r>
    </w:p>
    <w:p>
      <w:r>
        <w:rPr>
          <w:b/>
        </w:rPr>
        <w:t xml:space="preserve">33 </w:t>
      </w:r>
      <w:r>
        <w:t xml:space="preserve">She gave wages to all those who prostituted her, but you gave wages to all your lovers and loaded them down to come to you from all around in your whoring.</w:t>
      </w:r>
    </w:p>
    <w:p>
      <w:r>
        <w:rPr>
          <w:b/>
        </w:rPr>
        <w:t xml:space="preserve">34 </w:t>
      </w:r>
      <w:r>
        <w:t xml:space="preserve">And in you there came to be perversity beyond the women in your whoring: they whored with you when you gave wages, and wages were not given to you, and perverse things came to be in you.</w:t>
      </w:r>
    </w:p>
    <w:p>
      <w:r>
        <w:rPr>
          <w:b/>
        </w:rPr>
        <w:t xml:space="preserve">35 </w:t>
      </w:r>
      <w:r>
        <w:t xml:space="preserve">Therefore, whore, hear</w:t>
      </w:r>
      <w:r>
        <w:rPr>
          <w:rStyle w:val="FootnoteReference"/>
        </w:rPr>
        <w:footnoteReference w:id="12940"/>
      </w:r>
      <w:r>
        <w:t xml:space="preserve"> the word of the Lord.</w:t>
      </w:r>
    </w:p>
    <w:p>
      <w:r>
        <w:rPr>
          <w:b/>
        </w:rPr>
        <w:t xml:space="preserve">36 </w:t>
      </w:r>
      <w:r>
        <w:t xml:space="preserve">Thus says the Lord: Because you poured out your bronze, and your shame will be uncovered in your whoring toward your lovers and toward all the thoughts of your lawless deeds and in the blood of your children whom you gave to them,</w:t>
      </w:r>
    </w:p>
    <w:p>
      <w:r>
        <w:rPr>
          <w:b/>
        </w:rPr>
        <w:t xml:space="preserve">37 </w:t>
      </w:r>
      <w:r>
        <w:t xml:space="preserve">therefore behold, I gather all your lovers with whom you mixed, and all whom you loved, with all whom you hated, and I will gather them against you from all around and uncover your evils before them, and they will see all your shame.</w:t>
      </w:r>
    </w:p>
    <w:p>
      <w:r>
        <w:rPr>
          <w:b/>
        </w:rPr>
        <w:t xml:space="preserve">38 </w:t>
      </w:r>
      <w:r>
        <w:t xml:space="preserve">And I will avenge you with the vengeance of adulteress and one shedding blood, and I will set you in the blood of wrath and jealousy.</w:t>
      </w:r>
    </w:p>
    <w:p>
      <w:r>
        <w:rPr>
          <w:b/>
        </w:rPr>
        <w:t xml:space="preserve">39 </w:t>
      </w:r>
      <w:r>
        <w:t xml:space="preserve">And I will hand you over into their hands, and they will tear down your brothel and pull down your base and strip you of your garment and take vessels of your boasting and leave you naked and unseemly.</w:t>
      </w:r>
    </w:p>
    <w:p>
      <w:r>
        <w:rPr>
          <w:b/>
        </w:rPr>
        <w:t xml:space="preserve">40 </w:t>
      </w:r>
      <w:r>
        <w:t xml:space="preserve">And they will bring crowds against you and stone you with stones and butcher you with their swords.</w:t>
      </w:r>
    </w:p>
    <w:p>
      <w:r>
        <w:rPr>
          <w:b/>
        </w:rPr>
        <w:t xml:space="preserve">41 </w:t>
      </w:r>
      <w:r>
        <w:t xml:space="preserve">And they will burn</w:t>
      </w:r>
      <w:r>
        <w:rPr>
          <w:rStyle w:val="FootnoteReference"/>
        </w:rPr>
        <w:footnoteReference w:id="12941"/>
      </w:r>
      <w:r>
        <w:t xml:space="preserve"> your houses with fire and do vengeance on you before many women, and I will turn you from your whoring, and you will give wages no longer.</w:t>
      </w:r>
    </w:p>
    <w:p>
      <w:r>
        <w:rPr>
          <w:b/>
        </w:rPr>
        <w:t xml:space="preserve">42 </w:t>
      </w:r>
      <w:r>
        <w:t xml:space="preserve">And I will let my wrath rest on you and my jealousy will depart from you, and I will rest and no longer be troubled.</w:t>
      </w:r>
    </w:p>
    <w:p>
      <w:r>
        <w:rPr>
          <w:b/>
        </w:rPr>
        <w:t xml:space="preserve">43 </w:t>
      </w:r>
      <w:r>
        <w:t xml:space="preserve">Because you did not remember the day of your infancy and grieved me in all these things, behold, I also</w:t>
      </w:r>
      <w:r>
        <w:rPr>
          <w:rStyle w:val="FootnoteReference"/>
        </w:rPr>
        <w:footnoteReference w:id="12942"/>
      </w:r>
      <w:r>
        <w:t xml:space="preserve"> have put your ways on your head, says the Lord, and so you did impiety on top of all your lawless deeds.</w:t>
      </w:r>
    </w:p>
    <w:p>
      <w:r>
        <w:rPr>
          <w:b/>
        </w:rPr>
        <w:t xml:space="preserve">44 </w:t>
      </w:r>
      <w:r>
        <w:t xml:space="preserve">These are all the things they spoke against you in a proverb, saying, Like mother, like daughter.</w:t>
      </w:r>
    </w:p>
    <w:p>
      <w:r>
        <w:rPr>
          <w:b/>
        </w:rPr>
        <w:t xml:space="preserve">45 </w:t>
      </w:r>
      <w:r>
        <w:t xml:space="preserve">You are daughter of your mother</w:t>
      </w:r>
      <w:r>
        <w:rPr>
          <w:rStyle w:val="FootnoteReference"/>
        </w:rPr>
        <w:footnoteReference w:id="12943"/>
      </w:r>
      <w:r>
        <w:t xml:space="preserve">, who rejected her husband and her children, and sister of your sisters, who rejected their husbands and their children. Your mother was Hittite, and your father was Amorite.</w:t>
      </w:r>
    </w:p>
    <w:p>
      <w:r>
        <w:rPr>
          <w:b/>
        </w:rPr>
        <w:t xml:space="preserve">46 </w:t>
      </w:r>
      <w:r>
        <w:t xml:space="preserve">Your elder</w:t>
      </w:r>
      <w:r>
        <w:rPr>
          <w:rStyle w:val="FootnoteReference"/>
        </w:rPr>
        <w:footnoteReference w:id="12944"/>
      </w:r>
      <w:r>
        <w:t xml:space="preserve"> sister is Samaria, she and her daughters dwelling on your left, and your younger sister dwelling on your right is Sodom and her daughters.</w:t>
      </w:r>
    </w:p>
    <w:p>
      <w:r>
        <w:rPr>
          <w:b/>
        </w:rPr>
        <w:t xml:space="preserve">47 </w:t>
      </w:r>
      <w:r>
        <w:t xml:space="preserve">And not in their ways did you walk, nor did you act according to their lawless deeds. It was a small thing, and you surpassed them in all your ways.</w:t>
      </w:r>
    </w:p>
    <w:p>
      <w:r>
        <w:rPr>
          <w:b/>
        </w:rPr>
        <w:t xml:space="preserve">48 </w:t>
      </w:r>
      <w:r>
        <w:t xml:space="preserve">As I live, says the Lord, Sodom your sister and her daughters did not do as you and your daughters did.</w:t>
      </w:r>
    </w:p>
    <w:p>
      <w:r>
        <w:rPr>
          <w:b/>
        </w:rPr>
        <w:t xml:space="preserve">49 </w:t>
      </w:r>
      <w:r>
        <w:t xml:space="preserve">Except this was the lawlessness of Sodom your sister: pride</w:t>
      </w:r>
      <w:r>
        <w:rPr>
          <w:rStyle w:val="FootnoteReference"/>
        </w:rPr>
        <w:footnoteReference w:id="12945"/>
      </w:r>
      <w:r>
        <w:t xml:space="preserve">, fullness of bread, and abundance of wine belonged to her and her daughters, and they did not support the hand of the poor and needy.</w:t>
      </w:r>
    </w:p>
    <w:p>
      <w:r>
        <w:rPr>
          <w:b/>
        </w:rPr>
        <w:t xml:space="preserve">50 </w:t>
      </w:r>
      <w:r>
        <w:t xml:space="preserve">And they were boasting and did lawless things before me, and I removed them as I saw.</w:t>
      </w:r>
    </w:p>
    <w:p>
      <w:r>
        <w:rPr>
          <w:b/>
        </w:rPr>
        <w:t xml:space="preserve">51 </w:t>
      </w:r>
      <w:r>
        <w:t xml:space="preserve">And Samaria</w:t>
      </w:r>
      <w:r>
        <w:rPr>
          <w:rStyle w:val="FootnoteReference"/>
        </w:rPr>
        <w:footnoteReference w:id="12946"/>
      </w:r>
      <w:r>
        <w:t xml:space="preserve"> did not sin according to half of your sins, and you multiplied your lawless deeds beyond them and justified your sisters by all your lawless deeds that you did.</w:t>
      </w:r>
    </w:p>
    <w:p>
      <w:r>
        <w:rPr>
          <w:b/>
        </w:rPr>
        <w:t xml:space="preserve">52 </w:t>
      </w:r>
      <w:r>
        <w:t xml:space="preserve">And you bear your torment, because you corrupted your sisters with your sins by which you acted more lawlessly than they, and you justified them beyond yourself. And you, be ashamed and receive your dishonor in justifying your sisters.</w:t>
      </w:r>
    </w:p>
    <w:p>
      <w:r>
        <w:rPr>
          <w:b/>
        </w:rPr>
        <w:t xml:space="preserve">53 </w:t>
      </w:r>
      <w:r>
        <w:t xml:space="preserve">And I will turn back their turning back, the turning back of Sodom and her daughters, and I will turn back the turning back of Samaria and her daughters, and I will turn back your turning back in their midst,</w:t>
      </w:r>
    </w:p>
    <w:p>
      <w:r>
        <w:rPr>
          <w:b/>
        </w:rPr>
        <w:t xml:space="preserve">54 </w:t>
      </w:r>
      <w:r>
        <w:t xml:space="preserve">so that you bear your torment and be dishonored for everything you did in provoking me.</w:t>
      </w:r>
    </w:p>
    <w:p>
      <w:r>
        <w:rPr>
          <w:b/>
        </w:rPr>
        <w:t xml:space="preserve">55 </w:t>
      </w:r>
      <w:r>
        <w:t xml:space="preserve">And your sister Sodom and her daughters will be restored as they were from the beginning, and Samaria and her daughters will be restored as they were from the beginning, and you and your daughters will be restored as you were from the beginning.</w:t>
      </w:r>
    </w:p>
    <w:p>
      <w:r>
        <w:rPr>
          <w:b/>
        </w:rPr>
        <w:t xml:space="preserve">56 </w:t>
      </w:r>
      <w:r>
        <w:t xml:space="preserve">And Sodom your sister was not</w:t>
      </w:r>
      <w:r>
        <w:rPr>
          <w:rStyle w:val="FootnoteReference"/>
        </w:rPr>
        <w:footnoteReference w:id="12947"/>
      </w:r>
      <w:r>
        <w:t xml:space="preserve"> mentioned in your mouth in the days of your pride,</w:t>
      </w:r>
    </w:p>
    <w:p>
      <w:r>
        <w:rPr>
          <w:b/>
        </w:rPr>
        <w:t xml:space="preserve">57 </w:t>
      </w:r>
      <w:r>
        <w:t xml:space="preserve">before your evils were uncovered, as now you are a reproach</w:t>
      </w:r>
      <w:r>
        <w:rPr>
          <w:rStyle w:val="FootnoteReference"/>
        </w:rPr>
        <w:footnoteReference w:id="12948"/>
      </w:r>
      <w:r>
        <w:t xml:space="preserve"> of the daughters of Syria and of all those around her, daughters of foreigners encircling you around,</w:t>
      </w:r>
    </w:p>
    <w:p>
      <w:r>
        <w:rPr>
          <w:b/>
        </w:rPr>
        <w:t xml:space="preserve">58 </w:t>
      </w:r>
      <w:r>
        <w:t xml:space="preserve">your impieties and your lawless deeds, you yourself have borne them, says the Lord.</w:t>
      </w:r>
    </w:p>
    <w:p>
      <w:r>
        <w:rPr>
          <w:b/>
        </w:rPr>
        <w:t xml:space="preserve">59 </w:t>
      </w:r>
      <w:r>
        <w:t xml:space="preserve">Thus says the Lord: I will act in you as you acted, as you dishonored these things by transgressing my covenant.</w:t>
      </w:r>
    </w:p>
    <w:p>
      <w:r>
        <w:rPr>
          <w:b/>
        </w:rPr>
        <w:t xml:space="preserve">60 </w:t>
      </w:r>
      <w:r>
        <w:t xml:space="preserve">And I will remember</w:t>
      </w:r>
      <w:r>
        <w:rPr>
          <w:rStyle w:val="FootnoteReference"/>
        </w:rPr>
        <w:footnoteReference w:id="12949"/>
      </w:r>
      <w:r>
        <w:t xml:space="preserve"> my covenant with you in the days of your infancy and raise up for you an everlasting covenant.</w:t>
      </w:r>
    </w:p>
    <w:p>
      <w:r>
        <w:rPr>
          <w:b/>
        </w:rPr>
        <w:t xml:space="preserve">61 </w:t>
      </w:r>
      <w:r>
        <w:t xml:space="preserve">And you will remember</w:t>
      </w:r>
      <w:r>
        <w:rPr>
          <w:rStyle w:val="FootnoteReference"/>
        </w:rPr>
        <w:footnoteReference w:id="12950"/>
      </w:r>
      <w:r>
        <w:t xml:space="preserve"> your way and be utterly dishonored when you receive your older sisters with your younger ones, and I will give them to you for building, and not from your covenant.</w:t>
      </w:r>
    </w:p>
    <w:p>
      <w:r>
        <w:rPr>
          <w:b/>
        </w:rPr>
        <w:t xml:space="preserve">62 </w:t>
      </w:r>
      <w:r>
        <w:t xml:space="preserve">And I will raise my covenant with you, and you will know that I am the Lord,</w:t>
      </w:r>
    </w:p>
    <w:p>
      <w:r>
        <w:rPr>
          <w:b/>
        </w:rPr>
        <w:t xml:space="preserve">63 </w:t>
      </w:r>
      <w:r>
        <w:t xml:space="preserve">so that you remember</w:t>
      </w:r>
      <w:r>
        <w:rPr>
          <w:rStyle w:val="FootnoteReference"/>
        </w:rPr>
        <w:footnoteReference w:id="12951"/>
      </w:r>
      <w:r>
        <w:t xml:space="preserve"> and be ashamed and no longer have it in you to open your mouth because of your dishonor, when I make propitiation for you according to all that you did,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the word of the Lord came to me, saying,</w:t>
      </w:r>
    </w:p>
    <w:p>
      <w:r>
        <w:rPr>
          <w:b/>
        </w:rPr>
        <w:t xml:space="preserve">2 </w:t>
      </w:r>
      <w:r>
        <w:t xml:space="preserve">Son of man, tell a tale and speak a parable to the house of Israel,</w:t>
      </w:r>
    </w:p>
    <w:p>
      <w:r>
        <w:rPr>
          <w:b/>
        </w:rPr>
        <w:t xml:space="preserve">3 </w:t>
      </w:r>
      <w:r>
        <w:t xml:space="preserve">and say, Thus says the Lord: The great eagle, large-winged, long in spread, full of claws, having power to enter Lebanon, came and took the choice things of the cedar.</w:t>
      </w:r>
    </w:p>
    <w:p>
      <w:r>
        <w:rPr>
          <w:b/>
        </w:rPr>
        <w:t xml:space="preserve">4 </w:t>
      </w:r>
      <w:r>
        <w:t xml:space="preserve">He clipped off the tips of its tenderness and brought them into the land of Canaan; in a fortified city he set them.</w:t>
      </w:r>
    </w:p>
    <w:p>
      <w:r>
        <w:rPr>
          <w:b/>
        </w:rPr>
        <w:t xml:space="preserve">5 </w:t>
      </w:r>
      <w:r>
        <w:t xml:space="preserve">And he took from the seed</w:t>
      </w:r>
      <w:r>
        <w:rPr>
          <w:rStyle w:val="FootnoteReference"/>
        </w:rPr>
        <w:footnoteReference w:id="12952"/>
      </w:r>
      <w:r>
        <w:t xml:space="preserve"> of the land and put it in the open field, a plant by much water; under watch he set it.</w:t>
      </w:r>
    </w:p>
    <w:p>
      <w:r>
        <w:rPr>
          <w:b/>
        </w:rPr>
        <w:t xml:space="preserve">6 </w:t>
      </w:r>
      <w:r>
        <w:t xml:space="preserve">And it sprang up and became a vine, weak and small in size, with its branches appearing upon it and its roots beneath it, and it became a vine and made shoots and sent out its tendril-growth.</w:t>
      </w:r>
    </w:p>
    <w:p>
      <w:r>
        <w:rPr>
          <w:b/>
        </w:rPr>
        <w:t xml:space="preserve">7 </w:t>
      </w:r>
      <w:r>
        <w:t xml:space="preserve">And there was another</w:t>
      </w:r>
      <w:r>
        <w:rPr>
          <w:rStyle w:val="FootnoteReference"/>
        </w:rPr>
        <w:footnoteReference w:id="12953"/>
      </w:r>
      <w:r>
        <w:t xml:space="preserve"> great eagle, large-winged and many-clawed, and behold, this vine was entwined toward him, and its roots toward him, and its branches it sent out toward him so that he might water it with the clod of its planting.</w:t>
      </w:r>
    </w:p>
    <w:p>
      <w:r>
        <w:rPr>
          <w:b/>
        </w:rPr>
        <w:t xml:space="preserve">8 </w:t>
      </w:r>
      <w:r>
        <w:t xml:space="preserve">In a good field by much water it fattens, to make shoots and bear fruit, to become a great vine.</w:t>
      </w:r>
    </w:p>
    <w:p>
      <w:r>
        <w:rPr>
          <w:b/>
        </w:rPr>
        <w:t xml:space="preserve">9 </w:t>
      </w:r>
      <w:r>
        <w:t xml:space="preserve">Therefore say, Thus says the Lord: Will it prosper? Will not its tender roots and its fruit rot, and all its first sproutings dry up? Not with great arm, nor with many people, to pull it from its roots.</w:t>
      </w:r>
    </w:p>
    <w:p>
      <w:r>
        <w:rPr>
          <w:b/>
        </w:rPr>
        <w:t xml:space="preserve">10 </w:t>
      </w:r>
      <w:r>
        <w:t xml:space="preserve">And behold, it fattens. Will it prosper? Will it not dry in drought as soon as the scorching wind touches it? With the clod of its growth it will dry up.</w:t>
      </w:r>
    </w:p>
    <w:p>
      <w:r>
        <w:rPr>
          <w:b/>
        </w:rPr>
        <w:t xml:space="preserve">11 </w:t>
      </w:r>
      <w:r>
        <w:t xml:space="preserve">And the word of the Lord came to me, saying,</w:t>
      </w:r>
    </w:p>
    <w:p>
      <w:r>
        <w:rPr>
          <w:b/>
        </w:rPr>
        <w:t xml:space="preserve">12 </w:t>
      </w:r>
      <w:r>
        <w:t xml:space="preserve">Son of man, now say to the provoking house, Do you not understand what these things were? Say, When the king of Babylon comes against Jerusalem and takes its king and its rulers and brings them to himself in Babylon,</w:t>
      </w:r>
    </w:p>
    <w:p>
      <w:r>
        <w:rPr>
          <w:b/>
        </w:rPr>
        <w:t xml:space="preserve">13 </w:t>
      </w:r>
      <w:r>
        <w:t xml:space="preserve">then he will take from the seed of the kingdom and make a covenant with him and bring him under a curse, and he will take the leaders of the land,</w:t>
      </w:r>
    </w:p>
    <w:p>
      <w:r>
        <w:rPr>
          <w:b/>
        </w:rPr>
        <w:t xml:space="preserve">14 </w:t>
      </w:r>
      <w:r>
        <w:t xml:space="preserve">that the kingdom</w:t>
      </w:r>
      <w:r>
        <w:rPr>
          <w:rStyle w:val="FootnoteReference"/>
        </w:rPr>
        <w:footnoteReference w:id="12954"/>
      </w:r>
      <w:r>
        <w:t xml:space="preserve"> may become weak, not lifting itself up at all, but keeping his covenant and standing by it.</w:t>
      </w:r>
    </w:p>
    <w:p>
      <w:r>
        <w:rPr>
          <w:b/>
        </w:rPr>
        <w:t xml:space="preserve">15 </w:t>
      </w:r>
      <w:r>
        <w:t xml:space="preserve">But he will rebel against him by sending his own messengers into Egypt, so that it might give him horses and many people. Will he prosper? Will the one acting as an adversary and transgressing the covenant be saved?</w:t>
      </w:r>
    </w:p>
    <w:p>
      <w:r>
        <w:rPr>
          <w:b/>
        </w:rPr>
        <w:t xml:space="preserve">16 </w:t>
      </w:r>
      <w:r>
        <w:t xml:space="preserve">As I live, says the Lord, surely in the place of the king who made him king, who dishonored my oath and who transgressed my covenant with him, in the midst of Babylon he will die.</w:t>
      </w:r>
    </w:p>
    <w:p>
      <w:r>
        <w:rPr>
          <w:b/>
        </w:rPr>
        <w:t xml:space="preserve">17 </w:t>
      </w:r>
      <w:r>
        <w:t xml:space="preserve">And Pharaoh will not make war for him with great force nor with a great crowd, by casting up a trench and building missile-stations, to cut off lives.</w:t>
      </w:r>
    </w:p>
    <w:p>
      <w:r>
        <w:rPr>
          <w:b/>
        </w:rPr>
        <w:t xml:space="preserve">18 </w:t>
      </w:r>
      <w:r>
        <w:t xml:space="preserve">And he dishonored an oath by transgressing a covenant, and behold, he gave his hand and did all these things. He will not be saved.</w:t>
      </w:r>
    </w:p>
    <w:p>
      <w:r>
        <w:rPr>
          <w:b/>
        </w:rPr>
        <w:t xml:space="preserve">19 </w:t>
      </w:r>
      <w:r>
        <w:t xml:space="preserve">Therefore say, Thus says the Lord: As I live, surely</w:t>
      </w:r>
      <w:r>
        <w:rPr>
          <w:rStyle w:val="FootnoteReference"/>
        </w:rPr>
        <w:footnoteReference w:id="12955"/>
      </w:r>
      <w:r>
        <w:t xml:space="preserve"> my covenant that he transgressed and my oath that he dishonored, I will put them on his head.</w:t>
      </w:r>
    </w:p>
    <w:p>
      <w:r>
        <w:rPr>
          <w:b/>
        </w:rPr>
        <w:t xml:space="preserve">20 </w:t>
      </w:r>
      <w:r>
        <w:t xml:space="preserve">And I will spread</w:t>
      </w:r>
      <w:r>
        <w:rPr>
          <w:rStyle w:val="FootnoteReference"/>
        </w:rPr>
        <w:footnoteReference w:id="12956"/>
      </w:r>
      <w:r>
        <w:t xml:space="preserve"> my net over him, and he will be caught in its enclosure.</w:t>
      </w:r>
    </w:p>
    <w:p>
      <w:r>
        <w:rPr>
          <w:b/>
        </w:rPr>
        <w:t xml:space="preserve">21 </w:t>
      </w:r>
      <w:r>
        <w:t xml:space="preserve">In all his battle line they will fall by sword, and those left I will scatter to every wind, and you will know that I, the Lord, have spoken.</w:t>
      </w:r>
    </w:p>
    <w:p>
      <w:r>
        <w:rPr>
          <w:b/>
        </w:rPr>
        <w:t xml:space="preserve">22 </w:t>
      </w:r>
      <w:r>
        <w:t xml:space="preserve">Because thus says the Lord: I myself will take from the choice things of the cedar, from the top of their heart I will clip off and plant it upon</w:t>
      </w:r>
      <w:r>
        <w:rPr>
          <w:rStyle w:val="FootnoteReference"/>
        </w:rPr>
        <w:footnoteReference w:id="12957"/>
      </w:r>
      <w:r>
        <w:t xml:space="preserve"> a high mountain and hang it there.</w:t>
      </w:r>
    </w:p>
    <w:p>
      <w:r>
        <w:rPr>
          <w:b/>
        </w:rPr>
        <w:t xml:space="preserve">23 </w:t>
      </w:r>
      <w:r>
        <w:t xml:space="preserve">On a high mountain of Israel I will plant it, and it</w:t>
      </w:r>
      <w:r>
        <w:rPr>
          <w:rStyle w:val="FootnoteReference"/>
        </w:rPr>
        <w:footnoteReference w:id="12958"/>
      </w:r>
      <w:r>
        <w:t xml:space="preserve"> will bring forth a shoot and make fruit and become a great cedar, and every beast and every bird will rest beneath it; in its shade its branches will be restored.</w:t>
      </w:r>
    </w:p>
    <w:p>
      <w:r>
        <w:rPr>
          <w:b/>
        </w:rPr>
        <w:t xml:space="preserve">24 </w:t>
      </w:r>
      <w:r>
        <w:t xml:space="preserve">And all the trees</w:t>
      </w:r>
      <w:r>
        <w:rPr>
          <w:rStyle w:val="FootnoteReference"/>
        </w:rPr>
        <w:footnoteReference w:id="12959"/>
      </w:r>
      <w:r>
        <w:t xml:space="preserve"> of the field will know that I am the Lord, humbling the high tree and exalting the low tree and drying the green tree and making the dry tree flourish. I, the Lord, have spoken and will do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the word of the Lord came to me, saying,</w:t>
      </w:r>
    </w:p>
    <w:p>
      <w:r>
        <w:rPr>
          <w:b/>
        </w:rPr>
        <w:t xml:space="preserve">2 </w:t>
      </w:r>
      <w:r>
        <w:t xml:space="preserve">Son of man, what is this proverb for you among the sons of Israel, saying, The fathers</w:t>
      </w:r>
      <w:r>
        <w:rPr>
          <w:rStyle w:val="FootnoteReference"/>
        </w:rPr>
        <w:footnoteReference w:id="12960"/>
      </w:r>
      <w:r>
        <w:t xml:space="preserve"> ate an unripe grape, and the teeth of the children were set on edge?</w:t>
      </w:r>
    </w:p>
    <w:p>
      <w:r>
        <w:rPr>
          <w:b/>
        </w:rPr>
        <w:t xml:space="preserve">3 </w:t>
      </w:r>
      <w:r>
        <w:t xml:space="preserve">As I live, says the Lord, this proverb will no longer be spoken in Israel.</w:t>
      </w:r>
    </w:p>
    <w:p>
      <w:r>
        <w:rPr>
          <w:b/>
        </w:rPr>
        <w:t xml:space="preserve">4 </w:t>
      </w:r>
      <w:r>
        <w:t xml:space="preserve">Because all the souls are mine. As the soul of the father, so also the soul of the son, they are mine. The soul that</w:t>
      </w:r>
      <w:r>
        <w:rPr>
          <w:rStyle w:val="FootnoteReference"/>
        </w:rPr>
        <w:footnoteReference w:id="12961"/>
      </w:r>
      <w:r>
        <w:t xml:space="preserve"> sins, it will die.</w:t>
      </w:r>
    </w:p>
    <w:p>
      <w:r>
        <w:rPr>
          <w:b/>
        </w:rPr>
        <w:t xml:space="preserve">5 </w:t>
      </w:r>
      <w:r>
        <w:t xml:space="preserve">And the man who is righteous, who does judgment and righteousness,</w:t>
      </w:r>
    </w:p>
    <w:p>
      <w:r>
        <w:rPr>
          <w:b/>
        </w:rPr>
        <w:t xml:space="preserve">6 </w:t>
      </w:r>
      <w:r>
        <w:t xml:space="preserve">will not eat on the mountains and will not lift his eyes to the thoughts of the house of Israel, and will not defile the wife of his neighbor, and will not approach a woman in her monthly flow.</w:t>
      </w:r>
    </w:p>
    <w:p>
      <w:r>
        <w:rPr>
          <w:b/>
        </w:rPr>
        <w:t xml:space="preserve">7 </w:t>
      </w:r>
      <w:r>
        <w:t xml:space="preserve">And he will not oppress a man; he will return the pledge of a debtor and will not seize plunder; he will give his bread to the hungry one and clothe the naked one.</w:t>
      </w:r>
    </w:p>
    <w:p>
      <w:r>
        <w:rPr>
          <w:b/>
        </w:rPr>
        <w:t xml:space="preserve">8 </w:t>
      </w:r>
      <w:r>
        <w:t xml:space="preserve">And he will not give his money on interest, nor take excess, and he will turn his hand away from injustice; he will do righteous judgment between a man and his neighbor.</w:t>
      </w:r>
    </w:p>
    <w:p>
      <w:r>
        <w:rPr>
          <w:b/>
        </w:rPr>
        <w:t xml:space="preserve">9 </w:t>
      </w:r>
      <w:r>
        <w:t xml:space="preserve">And he has walked</w:t>
      </w:r>
      <w:r>
        <w:rPr>
          <w:rStyle w:val="FootnoteReference"/>
        </w:rPr>
        <w:footnoteReference w:id="12962"/>
      </w:r>
      <w:r>
        <w:t xml:space="preserve"> in my ordinances and kept my judgments to do them. This one is righteous; living he will live, says the Lord.</w:t>
      </w:r>
    </w:p>
    <w:p>
      <w:r>
        <w:rPr>
          <w:b/>
        </w:rPr>
        <w:t xml:space="preserve">10 </w:t>
      </w:r>
      <w:r>
        <w:t xml:space="preserve">And if he fathers a violent son, shedding blood and committing sins,</w:t>
      </w:r>
    </w:p>
    <w:p>
      <w:r>
        <w:rPr>
          <w:b/>
        </w:rPr>
        <w:t xml:space="preserve">11 </w:t>
      </w:r>
      <w:r>
        <w:t xml:space="preserve">who did not walk in the way of his righteous father, but also ate on the mountains and defiled the wife of his neighbor,</w:t>
      </w:r>
    </w:p>
    <w:p>
      <w:r>
        <w:rPr>
          <w:b/>
        </w:rPr>
        <w:t xml:space="preserve">12 </w:t>
      </w:r>
      <w:r>
        <w:t xml:space="preserve">and oppressed</w:t>
      </w:r>
      <w:r>
        <w:rPr>
          <w:rStyle w:val="FootnoteReference"/>
        </w:rPr>
        <w:footnoteReference w:id="12963"/>
      </w:r>
      <w:r>
        <w:t xml:space="preserve"> the poor and needy and seized plunder and did not return the pledge, and set his eyes on the idols and did lawlessness,</w:t>
      </w:r>
    </w:p>
    <w:p>
      <w:r>
        <w:rPr>
          <w:b/>
        </w:rPr>
        <w:t xml:space="preserve">13 </w:t>
      </w:r>
      <w:r>
        <w:t xml:space="preserve">and gave with interest and took excess. Will this one live? He will not live. He did all these lawless deeds; by death he will be put to death. His blood</w:t>
      </w:r>
      <w:r>
        <w:rPr>
          <w:rStyle w:val="FootnoteReference"/>
        </w:rPr>
        <w:footnoteReference w:id="12964"/>
      </w:r>
      <w:r>
        <w:t xml:space="preserve"> will be upon him.</w:t>
      </w:r>
    </w:p>
    <w:p>
      <w:r>
        <w:rPr>
          <w:b/>
        </w:rPr>
        <w:t xml:space="preserve">14 </w:t>
      </w:r>
      <w:r>
        <w:t xml:space="preserve">And if he</w:t>
      </w:r>
      <w:r>
        <w:rPr>
          <w:rStyle w:val="FootnoteReference"/>
        </w:rPr>
        <w:footnoteReference w:id="12965"/>
      </w:r>
      <w:r>
        <w:t xml:space="preserve"> fathers a son and he sees all the sins of his father that he did and fears and does not do according to them,</w:t>
      </w:r>
    </w:p>
    <w:p>
      <w:r>
        <w:rPr>
          <w:b/>
        </w:rPr>
        <w:t xml:space="preserve">15 </w:t>
      </w:r>
      <w:r>
        <w:t xml:space="preserve">he has not eaten on the mountains and has not set his eyes on the thoughts of the house of Israel and has not defiled the wife of his neighbor,</w:t>
      </w:r>
    </w:p>
    <w:p>
      <w:r>
        <w:rPr>
          <w:b/>
        </w:rPr>
        <w:t xml:space="preserve">16 </w:t>
      </w:r>
      <w:r>
        <w:t xml:space="preserve">and has not oppressed a man and has not taken a pledge and has not seized plunder; he gave his bread to the hungry one and clothed the naked one,</w:t>
      </w:r>
    </w:p>
    <w:p>
      <w:r>
        <w:rPr>
          <w:b/>
        </w:rPr>
        <w:t xml:space="preserve">17 </w:t>
      </w:r>
      <w:r>
        <w:t xml:space="preserve">and turned his hand away from injustice; he did not take interest or excess, and did righteousness and walked in my ordinances. This one will not die in the injustices of his father; living he will live.</w:t>
      </w:r>
    </w:p>
    <w:p>
      <w:r>
        <w:rPr>
          <w:b/>
        </w:rPr>
        <w:t xml:space="preserve">18 </w:t>
      </w:r>
      <w:r>
        <w:t xml:space="preserve">But his father, if he oppressed with oppression and seized plunder and did contrary things in the midst of my people, he will die in his injustice.</w:t>
      </w:r>
    </w:p>
    <w:p>
      <w:r>
        <w:rPr>
          <w:b/>
        </w:rPr>
        <w:t xml:space="preserve">19 </w:t>
      </w:r>
      <w:r>
        <w:t xml:space="preserve">And you will say, Why has the son not borne the injustice of his father? Because the son did righteousness and mercy and kept all my ordinances and did them; living he will live.</w:t>
      </w:r>
    </w:p>
    <w:p>
      <w:r>
        <w:rPr>
          <w:b/>
        </w:rPr>
        <w:t xml:space="preserve">20 </w:t>
      </w:r>
      <w:r>
        <w:t xml:space="preserve">And the soul sinning will die</w:t>
      </w:r>
      <w:r>
        <w:rPr>
          <w:rStyle w:val="FootnoteReference"/>
        </w:rPr>
        <w:footnoteReference w:id="12966"/>
      </w:r>
      <w:r>
        <w:t xml:space="preserve">, but a son will not bear</w:t>
      </w:r>
      <w:r>
        <w:rPr>
          <w:rStyle w:val="FootnoteReference"/>
        </w:rPr>
        <w:footnoteReference w:id="12967"/>
      </w:r>
      <w:r>
        <w:t xml:space="preserve"> the injustice of his father, nor will a father bear the injustice of his son. The righteousness of a righteous one will be upon him, and the lawlessness of a lawless one will be upon him.</w:t>
      </w:r>
    </w:p>
    <w:p>
      <w:r>
        <w:rPr>
          <w:b/>
        </w:rPr>
        <w:t xml:space="preserve">21 </w:t>
      </w:r>
      <w:r>
        <w:t xml:space="preserve">And if the</w:t>
      </w:r>
      <w:r>
        <w:rPr>
          <w:rStyle w:val="FootnoteReference"/>
        </w:rPr>
        <w:footnoteReference w:id="12968"/>
      </w:r>
      <w:r>
        <w:t xml:space="preserve"> lawless one turns from all his lawless deeds that he did and keeps all my commandments and does righteousness and mercy, living he will live; he will not die.</w:t>
      </w:r>
    </w:p>
    <w:p>
      <w:r>
        <w:rPr>
          <w:b/>
        </w:rPr>
        <w:t xml:space="preserve">22 </w:t>
      </w:r>
      <w:r>
        <w:t xml:space="preserve">None of all his trespasses that he did will be remembered; in his</w:t>
      </w:r>
      <w:r>
        <w:rPr>
          <w:rStyle w:val="FootnoteReference"/>
        </w:rPr>
        <w:footnoteReference w:id="12969"/>
      </w:r>
      <w:r>
        <w:t xml:space="preserve"> righteousness that he did he will live.</w:t>
      </w:r>
    </w:p>
    <w:p>
      <w:r>
        <w:rPr>
          <w:b/>
        </w:rPr>
        <w:t xml:space="preserve">23 </w:t>
      </w:r>
      <w:r>
        <w:t xml:space="preserve">Do I at all desire the death of the lawless one, says the Lord, rather than that he turn from the evil way and live?</w:t>
      </w:r>
    </w:p>
    <w:p>
      <w:r>
        <w:rPr>
          <w:b/>
        </w:rPr>
        <w:t xml:space="preserve">24 </w:t>
      </w:r>
      <w:r>
        <w:t xml:space="preserve">But when a righteous one turns from his righteousness and does injustice, according to all the lawless deeds that the lawless one did, none of his righteous deeds that he did will be remembered. In his</w:t>
      </w:r>
      <w:r>
        <w:rPr>
          <w:rStyle w:val="FootnoteReference"/>
        </w:rPr>
        <w:footnoteReference w:id="12970"/>
      </w:r>
      <w:r>
        <w:t xml:space="preserve"> trespass by which he trespassed and in his sins by which he sinned, in them he will die.</w:t>
      </w:r>
    </w:p>
    <w:p>
      <w:r>
        <w:rPr>
          <w:b/>
        </w:rPr>
        <w:t xml:space="preserve">25 </w:t>
      </w:r>
      <w:r>
        <w:t xml:space="preserve">And you said, The way of the Lord is not straight. Hear now, all the house of Israel: Is my way not straight? Is it not your way that is not straight?</w:t>
      </w:r>
    </w:p>
    <w:p>
      <w:r>
        <w:rPr>
          <w:b/>
        </w:rPr>
        <w:t xml:space="preserve">26 </w:t>
      </w:r>
      <w:r>
        <w:t xml:space="preserve">When the righteous one turns from his righteousness and does trespass and dies, in the trespass that he did, in it he will die.</w:t>
      </w:r>
    </w:p>
    <w:p>
      <w:r>
        <w:rPr>
          <w:b/>
        </w:rPr>
        <w:t xml:space="preserve">27 </w:t>
      </w:r>
      <w:r>
        <w:t xml:space="preserve">And when the lawless one turns from the lawlessness that he committed and does judgment and righteousness, this one has preserved his soul.</w:t>
      </w:r>
      <w:r>
        <w:rPr>
          <w:rStyle w:val="FootnoteReference"/>
        </w:rPr>
        <w:footnoteReference w:id="12971"/>
      </w:r>
    </w:p>
    <w:p>
      <w:r>
        <w:rPr>
          <w:b/>
        </w:rPr>
        <w:t xml:space="preserve">28 </w:t>
      </w:r>
      <w:r>
        <w:t xml:space="preserve">And he turned away from all his impieties that he did; living he will live; he will not die.</w:t>
      </w:r>
    </w:p>
    <w:p>
      <w:r>
        <w:rPr>
          <w:b/>
        </w:rPr>
        <w:t xml:space="preserve">29 </w:t>
      </w:r>
      <w:r>
        <w:t xml:space="preserve">And the house of Israel says, The way of the Lord is not right. Is my way not right, house of Israel? Is it not your way that is not right?</w:t>
      </w:r>
    </w:p>
    <w:p>
      <w:r>
        <w:rPr>
          <w:b/>
        </w:rPr>
        <w:t xml:space="preserve">30 </w:t>
      </w:r>
      <w:r>
        <w:t xml:space="preserve">I will judge each one of you according to his way, house of Israel, says the Lord. Turn back and turn away from all your impieties, and they will not become to you a punishment of injustice.</w:t>
      </w:r>
    </w:p>
    <w:p>
      <w:r>
        <w:rPr>
          <w:b/>
        </w:rPr>
        <w:t xml:space="preserve">31 </w:t>
      </w:r>
      <w:r>
        <w:t xml:space="preserve">Throw away from yourselves all your impieties by which you acted impiously against me, and make</w:t>
      </w:r>
      <w:r>
        <w:rPr>
          <w:rStyle w:val="FootnoteReference"/>
        </w:rPr>
        <w:footnoteReference w:id="12972"/>
      </w:r>
      <w:r>
        <w:t xml:space="preserve"> for yourselves a new heart and a new spirit. And why are you dying, house of Israel?</w:t>
      </w:r>
    </w:p>
    <w:p>
      <w:r>
        <w:rPr>
          <w:b/>
        </w:rPr>
        <w:t xml:space="preserve">32 </w:t>
      </w:r>
      <w:r>
        <w:t xml:space="preserve">Because I do not want the death of the one dying,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you, take</w:t>
      </w:r>
      <w:r>
        <w:rPr>
          <w:rStyle w:val="FootnoteReference"/>
        </w:rPr>
        <w:footnoteReference w:id="12973"/>
      </w:r>
      <w:r>
        <w:t xml:space="preserve"> lamentation for the ruler of Israel,</w:t>
      </w:r>
    </w:p>
    <w:p>
      <w:r>
        <w:rPr>
          <w:b/>
        </w:rPr>
        <w:t xml:space="preserve">2 </w:t>
      </w:r>
      <w:r>
        <w:t xml:space="preserve">and say, What was your mother? A lioness</w:t>
      </w:r>
      <w:r>
        <w:rPr>
          <w:rStyle w:val="FootnoteReference"/>
        </w:rPr>
        <w:footnoteReference w:id="12974"/>
      </w:r>
      <w:r>
        <w:t xml:space="preserve"> among lions she became; in the midst of lions she multiplied her cubs.</w:t>
      </w:r>
    </w:p>
    <w:p>
      <w:r>
        <w:rPr>
          <w:b/>
        </w:rPr>
        <w:t xml:space="preserve">3 </w:t>
      </w:r>
      <w:r>
        <w:t xml:space="preserve">And one of her cubs leapt up; he became a lion and learned to seize plunder; he ate men.</w:t>
      </w:r>
    </w:p>
    <w:p>
      <w:r>
        <w:rPr>
          <w:b/>
        </w:rPr>
        <w:t xml:space="preserve">4 </w:t>
      </w:r>
      <w:r>
        <w:t xml:space="preserve">And nations heard about him; in their corruption he was caught, and they brought him with a bridle into the land of Egypt.</w:t>
      </w:r>
    </w:p>
    <w:p>
      <w:r>
        <w:rPr>
          <w:b/>
        </w:rPr>
        <w:t xml:space="preserve">5 </w:t>
      </w:r>
      <w:r>
        <w:t xml:space="preserve">And she saw that he was driven from her and her expectation perished, and she took another</w:t>
      </w:r>
      <w:r>
        <w:rPr>
          <w:rStyle w:val="FootnoteReference"/>
        </w:rPr>
        <w:footnoteReference w:id="12975"/>
      </w:r>
      <w:r>
        <w:t xml:space="preserve"> from her cubs and appointed him as a lion.</w:t>
      </w:r>
    </w:p>
    <w:p>
      <w:r>
        <w:rPr>
          <w:b/>
        </w:rPr>
        <w:t xml:space="preserve">6 </w:t>
      </w:r>
      <w:r>
        <w:t xml:space="preserve">And he prowled in the midst of lions; he became</w:t>
      </w:r>
      <w:r>
        <w:rPr>
          <w:rStyle w:val="FootnoteReference"/>
        </w:rPr>
        <w:footnoteReference w:id="12976"/>
      </w:r>
      <w:r>
        <w:t xml:space="preserve"> a lion and learned to seize plunder; he ate men.</w:t>
      </w:r>
    </w:p>
    <w:p>
      <w:r>
        <w:rPr>
          <w:b/>
        </w:rPr>
        <w:t xml:space="preserve">7 </w:t>
      </w:r>
      <w:r>
        <w:t xml:space="preserve">And he prowled in his daring and laid waste their cities and desolated the land and its fullness by the sound of his roar.</w:t>
      </w:r>
    </w:p>
    <w:p>
      <w:r>
        <w:rPr>
          <w:b/>
        </w:rPr>
        <w:t xml:space="preserve">8 </w:t>
      </w:r>
      <w:r>
        <w:t xml:space="preserve">And nations from countries around set themselves against him and spread</w:t>
      </w:r>
      <w:r>
        <w:rPr>
          <w:rStyle w:val="FootnoteReference"/>
        </w:rPr>
        <w:footnoteReference w:id="12977"/>
      </w:r>
      <w:r>
        <w:t xml:space="preserve"> their nets over him; in their corruption he was caught.</w:t>
      </w:r>
    </w:p>
    <w:p>
      <w:r>
        <w:rPr>
          <w:b/>
        </w:rPr>
        <w:t xml:space="preserve">9 </w:t>
      </w:r>
      <w:r>
        <w:t xml:space="preserve">And they put him in a bridle and in a cage and brought</w:t>
      </w:r>
      <w:r>
        <w:rPr>
          <w:rStyle w:val="FootnoteReference"/>
        </w:rPr>
        <w:footnoteReference w:id="12978"/>
      </w:r>
      <w:r>
        <w:t xml:space="preserve"> him to the king of Babylon and led him into prison, so that his voice might no longer be heard on the mountains of Israel.</w:t>
      </w:r>
    </w:p>
    <w:p>
      <w:r>
        <w:rPr>
          <w:b/>
        </w:rPr>
        <w:t xml:space="preserve">10 </w:t>
      </w:r>
      <w:r>
        <w:t xml:space="preserve">Your mother</w:t>
      </w:r>
      <w:r>
        <w:rPr>
          <w:rStyle w:val="FootnoteReference"/>
        </w:rPr>
        <w:footnoteReference w:id="12979"/>
      </w:r>
      <w:r>
        <w:t xml:space="preserve"> was like a vine, like a blossom on a pomegranate, planted by water; her fruit and her shoot came from much water.</w:t>
      </w:r>
    </w:p>
    <w:p>
      <w:r>
        <w:rPr>
          <w:b/>
        </w:rPr>
        <w:t xml:space="preserve">11 </w:t>
      </w:r>
      <w:r>
        <w:t xml:space="preserve">And she had</w:t>
      </w:r>
      <w:r>
        <w:rPr>
          <w:rStyle w:val="FootnoteReference"/>
        </w:rPr>
        <w:footnoteReference w:id="12980"/>
      </w:r>
      <w:r>
        <w:t xml:space="preserve"> a rod of strength for a tribe of rulers, and she was exalted in her size in the midst of stems, and she saw her size in the multitude of her branches.</w:t>
      </w:r>
    </w:p>
    <w:p>
      <w:r>
        <w:rPr>
          <w:b/>
        </w:rPr>
        <w:t xml:space="preserve">12 </w:t>
      </w:r>
      <w:r>
        <w:t xml:space="preserve">And she was</w:t>
      </w:r>
      <w:r>
        <w:rPr>
          <w:rStyle w:val="FootnoteReference"/>
        </w:rPr>
        <w:footnoteReference w:id="12981"/>
      </w:r>
      <w:r>
        <w:t xml:space="preserve"> broken in wrath and cast onto the ground, and the scorching wind dried her chosen things; her rod of strength was avenged and dried up; fire consumed her.</w:t>
      </w:r>
    </w:p>
    <w:p>
      <w:r>
        <w:rPr>
          <w:b/>
        </w:rPr>
        <w:t xml:space="preserve">13 </w:t>
      </w:r>
      <w:r>
        <w:t xml:space="preserve">And now they have planted her in the wilderness, in a waterless land.</w:t>
      </w:r>
    </w:p>
    <w:p>
      <w:r>
        <w:rPr>
          <w:b/>
        </w:rPr>
        <w:t xml:space="preserve">14 </w:t>
      </w:r>
      <w:r>
        <w:t xml:space="preserve">And fire</w:t>
      </w:r>
      <w:r>
        <w:rPr>
          <w:rStyle w:val="FootnoteReference"/>
        </w:rPr>
        <w:footnoteReference w:id="12982"/>
      </w:r>
      <w:r>
        <w:t xml:space="preserve"> went out from a rod of her chosen ones and devoured her, and there was no rod of strength in her, a tribe for a parable of lamentation. It is lamentation and will be for lamentation.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it happened in the seventh</w:t>
      </w:r>
      <w:r>
        <w:rPr>
          <w:rStyle w:val="FootnoteReference"/>
        </w:rPr>
        <w:footnoteReference w:id="12983"/>
      </w:r>
      <w:r>
        <w:t xml:space="preserve"> year, in the fifth month, on the tenth of the month, men from the elders of the house of Israel came to inquire of the Lord and sat before me.</w:t>
      </w:r>
    </w:p>
    <w:p>
      <w:r>
        <w:rPr>
          <w:b/>
        </w:rPr>
        <w:t xml:space="preserve">2 </w:t>
      </w:r>
      <w:r>
        <w:t xml:space="preserve">And the word of the Lord came to me, saying,</w:t>
      </w:r>
    </w:p>
    <w:p>
      <w:r>
        <w:rPr>
          <w:b/>
        </w:rPr>
        <w:t xml:space="preserve">3 </w:t>
      </w:r>
      <w:r>
        <w:t xml:space="preserve">Son of man, speak to the elders of Israel and say to them, Thus says the Lord: Is it to inquire of me that you come? As I live, I will not answer you, says the Lord.</w:t>
      </w:r>
    </w:p>
    <w:p>
      <w:r>
        <w:rPr>
          <w:b/>
        </w:rPr>
        <w:t xml:space="preserve">4 </w:t>
      </w:r>
      <w:r>
        <w:t xml:space="preserve">Will I avenge them with vengeance, son of man? Bear witness to them concerning the lawless deeds of their fathers.</w:t>
      </w:r>
    </w:p>
    <w:p>
      <w:r>
        <w:rPr>
          <w:b/>
        </w:rPr>
        <w:t xml:space="preserve">5 </w:t>
      </w:r>
      <w:r>
        <w:t xml:space="preserve">And say to them, Thus says the Lord: From the day I chose the house of Israel and made</w:t>
      </w:r>
      <w:r>
        <w:rPr>
          <w:rStyle w:val="FootnoteReference"/>
        </w:rPr>
        <w:footnoteReference w:id="12984"/>
      </w:r>
      <w:r>
        <w:t xml:space="preserve"> myself known to the seed of the house of Jacob and was known to them in the land of Egypt and took hold of them with my hand, saying, I am the Lord your God,</w:t>
      </w:r>
    </w:p>
    <w:p>
      <w:r>
        <w:rPr>
          <w:b/>
        </w:rPr>
        <w:t xml:space="preserve">6 </w:t>
      </w:r>
      <w:r>
        <w:t xml:space="preserve">on that day I took hold of them with my hand to bring</w:t>
      </w:r>
      <w:r>
        <w:rPr>
          <w:rStyle w:val="FootnoteReference"/>
        </w:rPr>
        <w:footnoteReference w:id="12985"/>
      </w:r>
      <w:r>
        <w:t xml:space="preserve"> them out from the land of Egypt into the land that I prepared for them, a land flowing with milk and honey, a honeycomb beyond every land.</w:t>
      </w:r>
    </w:p>
    <w:p>
      <w:r>
        <w:rPr>
          <w:b/>
        </w:rPr>
        <w:t xml:space="preserve">7 </w:t>
      </w:r>
      <w:r>
        <w:t xml:space="preserve">And I said to them, Let each one cast</w:t>
      </w:r>
      <w:r>
        <w:rPr>
          <w:rStyle w:val="FootnoteReference"/>
        </w:rPr>
        <w:footnoteReference w:id="12986"/>
      </w:r>
      <w:r>
        <w:t xml:space="preserve"> away the abominations of his eyes, and do not defile yourselves with the practices of Egypt. I am the Lord your God.</w:t>
      </w:r>
    </w:p>
    <w:p>
      <w:r>
        <w:rPr>
          <w:b/>
        </w:rPr>
        <w:t xml:space="preserve">8 </w:t>
      </w:r>
      <w:r>
        <w:t xml:space="preserve">And they rebelled</w:t>
      </w:r>
      <w:r>
        <w:rPr>
          <w:rStyle w:val="FootnoteReference"/>
        </w:rPr>
        <w:footnoteReference w:id="12987"/>
      </w:r>
      <w:r>
        <w:t xml:space="preserve"> against me and did not want to listen to me. They did not cast away the abominations of their eyes, and they did not leave behind the practices of Egypt, and I said I would pour out my wrath upon them, to complete my anger in them in the midst of the land of Egypt.</w:t>
      </w:r>
    </w:p>
    <w:p>
      <w:r>
        <w:rPr>
          <w:b/>
        </w:rPr>
        <w:t xml:space="preserve">9 </w:t>
      </w:r>
      <w:r>
        <w:t xml:space="preserve">And I acted so that my name might not at all be profaned before the nations among whom they were, among whom I was made known to them before them, to bring them out from the land of Egypt.</w:t>
      </w:r>
    </w:p>
    <w:p>
      <w:r>
        <w:rPr>
          <w:b/>
        </w:rPr>
        <w:t xml:space="preserve">10 </w:t>
      </w:r>
      <w:r>
        <w:t xml:space="preserve">And I brought them out from the land of Egypt and led them into the wilderness.</w:t>
      </w:r>
    </w:p>
    <w:p>
      <w:r>
        <w:rPr>
          <w:b/>
        </w:rPr>
        <w:t xml:space="preserve">11 </w:t>
      </w:r>
      <w:r>
        <w:t xml:space="preserve">And I gave</w:t>
      </w:r>
      <w:r>
        <w:rPr>
          <w:rStyle w:val="FootnoteReference"/>
        </w:rPr>
        <w:footnoteReference w:id="12988"/>
      </w:r>
      <w:r>
        <w:t xml:space="preserve"> them my ordinances, and my judgments I made known to them, which if a man does them, he will live in them.</w:t>
      </w:r>
    </w:p>
    <w:p>
      <w:r>
        <w:rPr>
          <w:b/>
        </w:rPr>
        <w:t xml:space="preserve">12 </w:t>
      </w:r>
      <w:r>
        <w:t xml:space="preserve">And my Sabbaths I gave</w:t>
      </w:r>
      <w:r>
        <w:rPr>
          <w:rStyle w:val="FootnoteReference"/>
        </w:rPr>
        <w:footnoteReference w:id="12989"/>
      </w:r>
      <w:r>
        <w:t xml:space="preserve"> them, to be a sign between me and them, so that they might know that I am the Lord who sanctifies them.</w:t>
      </w:r>
    </w:p>
    <w:p>
      <w:r>
        <w:rPr>
          <w:b/>
        </w:rPr>
        <w:t xml:space="preserve">13 </w:t>
      </w:r>
      <w:r>
        <w:t xml:space="preserve">And I said</w:t>
      </w:r>
      <w:r>
        <w:rPr>
          <w:rStyle w:val="FootnoteReference"/>
        </w:rPr>
        <w:footnoteReference w:id="12990"/>
      </w:r>
      <w:r>
        <w:t xml:space="preserve"> to the house of Israel in the wilderness, Walk in my ordinances, yet they did not walk, and they rejected my judgments, which if a man does them, he will live in them, and they greatly profaned my Sabbaths, and I said I would pour out my wrath upon them in the wilderness to consume them.</w:t>
      </w:r>
    </w:p>
    <w:p>
      <w:r>
        <w:rPr>
          <w:b/>
        </w:rPr>
        <w:t xml:space="preserve">14 </w:t>
      </w:r>
      <w:r>
        <w:t xml:space="preserve">And I acted so that my name might not at all be profaned before the nations from whom I brought them out before their eyes.</w:t>
      </w:r>
    </w:p>
    <w:p>
      <w:r>
        <w:rPr>
          <w:b/>
        </w:rPr>
        <w:t xml:space="preserve">15 </w:t>
      </w:r>
      <w:r>
        <w:t xml:space="preserve">And I lifted</w:t>
      </w:r>
      <w:r>
        <w:rPr>
          <w:rStyle w:val="FootnoteReference"/>
        </w:rPr>
        <w:footnoteReference w:id="12991"/>
      </w:r>
      <w:r>
        <w:t xml:space="preserve"> my hand against them in the wilderness, not at all to bring them into the land that I gave them, a land flowing with milk and honey, a honeycomb beyond every land,</w:t>
      </w:r>
    </w:p>
    <w:p>
      <w:r>
        <w:rPr>
          <w:b/>
        </w:rPr>
        <w:t xml:space="preserve">16 </w:t>
      </w:r>
      <w:r>
        <w:t xml:space="preserve">because they rejected my judgments and did not walk in my ordinances and profaned my Sabbaths, and they went after the thoughts of their hearts.</w:t>
      </w:r>
    </w:p>
    <w:p>
      <w:r>
        <w:rPr>
          <w:b/>
        </w:rPr>
        <w:t xml:space="preserve">17 </w:t>
      </w:r>
      <w:r>
        <w:t xml:space="preserve">And my eye spared them so as not to wipe them out, and I did not make a full end of them in the wilderness.</w:t>
      </w:r>
    </w:p>
    <w:p>
      <w:r>
        <w:rPr>
          <w:b/>
        </w:rPr>
        <w:t xml:space="preserve">18 </w:t>
      </w:r>
      <w:r>
        <w:t xml:space="preserve">And I said</w:t>
      </w:r>
      <w:r>
        <w:rPr>
          <w:rStyle w:val="FootnoteReference"/>
        </w:rPr>
        <w:footnoteReference w:id="12992"/>
      </w:r>
      <w:r>
        <w:t xml:space="preserve"> to their children in the wilderness, Do not walk in the statutes of your fathers, and do not keep their judgments, and do not mix yourselves with their practices, and do not defile yourselves.</w:t>
      </w:r>
    </w:p>
    <w:p>
      <w:r>
        <w:rPr>
          <w:b/>
        </w:rPr>
        <w:t xml:space="preserve">19 </w:t>
      </w:r>
      <w:r>
        <w:t xml:space="preserve">I am the Lord</w:t>
      </w:r>
      <w:r>
        <w:rPr>
          <w:rStyle w:val="FootnoteReference"/>
        </w:rPr>
        <w:footnoteReference w:id="12993"/>
      </w:r>
      <w:r>
        <w:t xml:space="preserve"> your God. Walk in my ordinances, and keep my judgments and do them,</w:t>
      </w:r>
    </w:p>
    <w:p>
      <w:r>
        <w:rPr>
          <w:b/>
        </w:rPr>
        <w:t xml:space="preserve">20 </w:t>
      </w:r>
      <w:r>
        <w:t xml:space="preserve">and sanctify my Sabbaths, and let them be a sign between me and you, that you may know that I am the Lord your God.</w:t>
      </w:r>
    </w:p>
    <w:p>
      <w:r>
        <w:rPr>
          <w:b/>
        </w:rPr>
        <w:t xml:space="preserve">21 </w:t>
      </w:r>
      <w:r>
        <w:t xml:space="preserve">And their children provoked me. They did not walk in my ordinances, and they did not keep my judgments to do them, which if a man</w:t>
      </w:r>
      <w:r>
        <w:rPr>
          <w:rStyle w:val="FootnoteReference"/>
        </w:rPr>
        <w:footnoteReference w:id="12994"/>
      </w:r>
      <w:r>
        <w:t xml:space="preserve"> does them, he will live in them, and they profaned my Sabbaths, and I said I would pour out my wrath upon them in the wilderness to complete my anger upon them.</w:t>
      </w:r>
    </w:p>
    <w:p>
      <w:r>
        <w:rPr>
          <w:b/>
        </w:rPr>
        <w:t xml:space="preserve">22 </w:t>
      </w:r>
      <w:r>
        <w:t xml:space="preserve">And I acted so that my name might not at all be profaned before the nations from whom I brought them out before their eyes.</w:t>
      </w:r>
    </w:p>
    <w:p>
      <w:r>
        <w:rPr>
          <w:b/>
        </w:rPr>
        <w:t xml:space="preserve">23 </w:t>
      </w:r>
      <w:r>
        <w:t xml:space="preserve">And I lifted</w:t>
      </w:r>
      <w:r>
        <w:rPr>
          <w:rStyle w:val="FootnoteReference"/>
        </w:rPr>
        <w:footnoteReference w:id="12995"/>
      </w:r>
      <w:r>
        <w:t xml:space="preserve"> my hand against them in the wilderness, to scatter them among the nations and disperse them in the lands,</w:t>
      </w:r>
    </w:p>
    <w:p>
      <w:r>
        <w:rPr>
          <w:b/>
        </w:rPr>
        <w:t xml:space="preserve">24 </w:t>
      </w:r>
      <w:r>
        <w:t xml:space="preserve">because they did not do my judgments and rejected my ordinances and profaned my Sabbaths, and their eyes</w:t>
      </w:r>
      <w:r>
        <w:rPr>
          <w:rStyle w:val="FootnoteReference"/>
        </w:rPr>
        <w:footnoteReference w:id="12996"/>
      </w:r>
      <w:r>
        <w:t xml:space="preserve"> were after the thoughts of their fathers.</w:t>
      </w:r>
    </w:p>
    <w:p>
      <w:r>
        <w:rPr>
          <w:b/>
        </w:rPr>
        <w:t xml:space="preserve">25 </w:t>
      </w:r>
      <w:r>
        <w:t xml:space="preserve">And I also gave them ordinances that were not good and judgments in which they will not live.</w:t>
      </w:r>
    </w:p>
    <w:p>
      <w:r>
        <w:rPr>
          <w:b/>
        </w:rPr>
        <w:t xml:space="preserve">26 </w:t>
      </w:r>
      <w:r>
        <w:t xml:space="preserve">And I defiled them with their gifts, when I caused every opener of the womb to pass through, so that I might destroy them.</w:t>
      </w:r>
    </w:p>
    <w:p>
      <w:r>
        <w:rPr>
          <w:b/>
        </w:rPr>
        <w:t xml:space="preserve">27 </w:t>
      </w:r>
      <w:r>
        <w:t xml:space="preserve">Therefore speak</w:t>
      </w:r>
      <w:r>
        <w:rPr>
          <w:rStyle w:val="FootnoteReference"/>
        </w:rPr>
        <w:footnoteReference w:id="12997"/>
      </w:r>
      <w:r>
        <w:t xml:space="preserve"> to the house of Israel, son of man, and say to them, Thus says the Lord: Thus far your fathers provoked me in their trespasses by which they trespassed against me.</w:t>
      </w:r>
    </w:p>
    <w:p>
      <w:r>
        <w:rPr>
          <w:b/>
        </w:rPr>
        <w:t xml:space="preserve">28 </w:t>
      </w:r>
      <w:r>
        <w:t xml:space="preserve">And I brought them into the land about which I lifted my hand to give it to them, and they saw</w:t>
      </w:r>
      <w:r>
        <w:rPr>
          <w:rStyle w:val="FootnoteReference"/>
        </w:rPr>
        <w:footnoteReference w:id="12998"/>
      </w:r>
      <w:r>
        <w:t xml:space="preserve"> every high hill and every shady tree and there they sacrificed to their gods and set there a fragrant smell and poured out there their drink offerings.</w:t>
      </w:r>
    </w:p>
    <w:p>
      <w:r>
        <w:rPr>
          <w:b/>
        </w:rPr>
        <w:t xml:space="preserve">29 </w:t>
      </w:r>
      <w:r>
        <w:t xml:space="preserve">And I said</w:t>
      </w:r>
      <w:r>
        <w:rPr>
          <w:rStyle w:val="FootnoteReference"/>
        </w:rPr>
        <w:footnoteReference w:id="12999"/>
      </w:r>
      <w:r>
        <w:t xml:space="preserve"> to them, What is Bamah</w:t>
      </w:r>
      <w:r>
        <w:rPr>
          <w:rStyle w:val="FootnoteReference"/>
        </w:rPr>
        <w:footnoteReference w:id="13000"/>
      </w:r>
      <w:r>
        <w:t xml:space="preserve">, that you enter there? And its name was called Bamah until this day.</w:t>
      </w:r>
    </w:p>
    <w:p>
      <w:r>
        <w:rPr>
          <w:b/>
        </w:rPr>
        <w:t xml:space="preserve">30 </w:t>
      </w:r>
      <w:r>
        <w:t xml:space="preserve">Therefore say to the house of Israel, Thus says the Lord: Are you defiling yourselves in the lawless deeds of your fathers, and after their abominations are you whoring?</w:t>
      </w:r>
    </w:p>
    <w:p>
      <w:r>
        <w:rPr>
          <w:b/>
        </w:rPr>
        <w:t xml:space="preserve">31 </w:t>
      </w:r>
      <w:r>
        <w:t xml:space="preserve">And in the firstfruits of your gifts, in your separations, you are defiling yourselves in all your thoughts until this day, and shall</w:t>
      </w:r>
      <w:r>
        <w:rPr>
          <w:rStyle w:val="FootnoteReference"/>
        </w:rPr>
        <w:footnoteReference w:id="13001"/>
      </w:r>
      <w:r>
        <w:t xml:space="preserve"> I answer you, house of Israel? As I live, says the Lord, I will not answer you. And as for this that rises upon your spirit,</w:t>
      </w:r>
    </w:p>
    <w:p>
      <w:r>
        <w:rPr>
          <w:b/>
        </w:rPr>
        <w:t xml:space="preserve">32 </w:t>
      </w:r>
      <w:r>
        <w:t xml:space="preserve">it will not be in the way that you say, We will</w:t>
      </w:r>
      <w:r>
        <w:rPr>
          <w:rStyle w:val="FootnoteReference"/>
        </w:rPr>
        <w:footnoteReference w:id="13002"/>
      </w:r>
      <w:r>
        <w:t xml:space="preserve"> be like the nations and like the tribes of the earth, serving wood and stone.</w:t>
      </w:r>
    </w:p>
    <w:p>
      <w:r>
        <w:rPr>
          <w:b/>
        </w:rPr>
        <w:t xml:space="preserve">33 </w:t>
      </w:r>
      <w:r>
        <w:t xml:space="preserve">Therefore as I live, says the Lord, with a strong hand and an uplifted arm and wrath poured out I will reign over you.</w:t>
      </w:r>
    </w:p>
    <w:p>
      <w:r>
        <w:rPr>
          <w:b/>
        </w:rPr>
        <w:t xml:space="preserve">34 </w:t>
      </w:r>
      <w:r>
        <w:t xml:space="preserve">And I will bring you out from the peoples and receive you from the lands where you were scattered, with a strong hand and an uplifted arm and wrath poured out.</w:t>
      </w:r>
    </w:p>
    <w:p>
      <w:r>
        <w:rPr>
          <w:b/>
        </w:rPr>
        <w:t xml:space="preserve">35 </w:t>
      </w:r>
      <w:r>
        <w:t xml:space="preserve">And I will bring you into the wilderness of the peoples and judge with you there face to face.</w:t>
      </w:r>
    </w:p>
    <w:p>
      <w:r>
        <w:rPr>
          <w:b/>
        </w:rPr>
        <w:t xml:space="preserve">36 </w:t>
      </w:r>
      <w:r>
        <w:t xml:space="preserve">As I judged with your fathers in the wilderness of the land of Egypt, so I will judge you, says the Lord.</w:t>
      </w:r>
    </w:p>
    <w:p>
      <w:r>
        <w:rPr>
          <w:b/>
        </w:rPr>
        <w:t xml:space="preserve">37 </w:t>
      </w:r>
      <w:r>
        <w:t xml:space="preserve">And I will bring you under my rod and bring you in by number.</w:t>
      </w:r>
    </w:p>
    <w:p>
      <w:r>
        <w:rPr>
          <w:b/>
        </w:rPr>
        <w:t xml:space="preserve">38 </w:t>
      </w:r>
      <w:r>
        <w:t xml:space="preserve">And I will pick out from you the impious ones and the rebels, because I will bring them out from their sojourning, but into the land of Israel they will not enter, and you will know that I am the Lord.</w:t>
      </w:r>
    </w:p>
    <w:p>
      <w:r>
        <w:rPr>
          <w:b/>
        </w:rPr>
        <w:t xml:space="preserve">39 </w:t>
      </w:r>
      <w:r>
        <w:t xml:space="preserve">And you, house of Israel, thus says the Lord God: Each one, remove his practices, and after these things, if you do not listen to me, you will no longer profane my holy name</w:t>
      </w:r>
      <w:r>
        <w:rPr>
          <w:rStyle w:val="FootnoteReference"/>
        </w:rPr>
        <w:footnoteReference w:id="13003"/>
      </w:r>
      <w:r>
        <w:t xml:space="preserve"> with your gifts and with your practices.</w:t>
      </w:r>
    </w:p>
    <w:p>
      <w:r>
        <w:rPr>
          <w:b/>
        </w:rPr>
        <w:t xml:space="preserve">40 </w:t>
      </w:r>
      <w:r>
        <w:t xml:space="preserve">Because on my holy mountain, on a high mountain, says the Lord God, there all the house of Israel, to the end, will serve me, and there I will receive you, and there I will visit your firstfruits and the firstfruits of your separations in all your holy things.</w:t>
      </w:r>
    </w:p>
    <w:p>
      <w:r>
        <w:rPr>
          <w:b/>
        </w:rPr>
        <w:t xml:space="preserve">41 </w:t>
      </w:r>
      <w:r>
        <w:t xml:space="preserve">In a fragrant aroma I will receive you, when I bring</w:t>
      </w:r>
      <w:r>
        <w:rPr>
          <w:rStyle w:val="FootnoteReference"/>
        </w:rPr>
        <w:footnoteReference w:id="13004"/>
      </w:r>
      <w:r>
        <w:t xml:space="preserve"> you out from the peoples and receive you from the lands in which you were scattered, and I will be sanctified in you before the eyes of the peoples.</w:t>
      </w:r>
    </w:p>
    <w:p>
      <w:r>
        <w:rPr>
          <w:b/>
        </w:rPr>
        <w:t xml:space="preserve">42 </w:t>
      </w:r>
      <w:r>
        <w:t xml:space="preserve">And you will know that I am the Lord when I</w:t>
      </w:r>
      <w:r>
        <w:rPr>
          <w:rStyle w:val="FootnoteReference"/>
        </w:rPr>
        <w:footnoteReference w:id="13005"/>
      </w:r>
      <w:r>
        <w:t xml:space="preserve"> bring you into the land of Israel, into the land concerning which I lifted my hand to give it to your fathers.</w:t>
      </w:r>
    </w:p>
    <w:p>
      <w:r>
        <w:rPr>
          <w:b/>
        </w:rPr>
        <w:t xml:space="preserve">43 </w:t>
      </w:r>
      <w:r>
        <w:t xml:space="preserve">And there you will remember your ways and your practices by which you defiled yourselves, and you will strike your faces over all your evils.</w:t>
      </w:r>
    </w:p>
    <w:p>
      <w:r>
        <w:rPr>
          <w:b/>
        </w:rPr>
        <w:t xml:space="preserve">44 </w:t>
      </w:r>
      <w:r>
        <w:t xml:space="preserve">And you will know that I am the Lord when I</w:t>
      </w:r>
      <w:r>
        <w:rPr>
          <w:rStyle w:val="FootnoteReference"/>
        </w:rPr>
        <w:footnoteReference w:id="13006"/>
      </w:r>
      <w:r>
        <w:t xml:space="preserve"> act thus toward you, so that my name may not be profaned, not according to your evil ways and not according to your corrupt practices,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the word of the Lord came to me, saying,</w:t>
      </w:r>
    </w:p>
    <w:p>
      <w:r>
        <w:rPr>
          <w:b/>
        </w:rPr>
        <w:t xml:space="preserve">2 </w:t>
      </w:r>
      <w:r>
        <w:t xml:space="preserve">Son of man, set your face toward Teman and look toward Darom and prophesy against</w:t>
      </w:r>
      <w:r>
        <w:rPr>
          <w:rStyle w:val="FootnoteReference"/>
        </w:rPr>
        <w:footnoteReference w:id="13007"/>
      </w:r>
      <w:r>
        <w:t xml:space="preserve"> the leading forest of Negeb.</w:t>
      </w:r>
    </w:p>
    <w:p>
      <w:r>
        <w:rPr>
          <w:b/>
        </w:rPr>
        <w:t xml:space="preserve">3 </w:t>
      </w:r>
      <w:r>
        <w:t xml:space="preserve">And say to the forest of Negeb, Hear the word of the Lord. Thus says the Lord God: Behold</w:t>
      </w:r>
      <w:r>
        <w:rPr>
          <w:rStyle w:val="FootnoteReference"/>
        </w:rPr>
        <w:footnoteReference w:id="13008"/>
      </w:r>
      <w:r>
        <w:t xml:space="preserve">, I kindle fire in you, and it will devour in you every green tree and every dry tree. The kindled flame will not be quenched, and every face from the east to the north will be burned in it.</w:t>
      </w:r>
    </w:p>
    <w:p>
      <w:r>
        <w:rPr>
          <w:b/>
        </w:rPr>
        <w:t xml:space="preserve">4 </w:t>
      </w:r>
      <w:r>
        <w:t xml:space="preserve">And all flesh will know that I, the Lord, kindled it, and it will not be quenched.</w:t>
      </w:r>
    </w:p>
    <w:p>
      <w:r>
        <w:rPr>
          <w:b/>
        </w:rPr>
        <w:t xml:space="preserve">5 </w:t>
      </w:r>
      <w:r>
        <w:t xml:space="preserve">And I said, By no means, Lord, Lord. They say to me, Is this not a parable being spoken?</w:t>
      </w:r>
    </w:p>
    <w:p>
      <w:r>
        <w:rPr>
          <w:b/>
        </w:rPr>
        <w:t xml:space="preserve">6 </w:t>
      </w:r>
      <w:r>
        <w:t xml:space="preserve">And the word of the Lord came to me, saying,</w:t>
      </w:r>
    </w:p>
    <w:p>
      <w:r>
        <w:rPr>
          <w:b/>
        </w:rPr>
        <w:t xml:space="preserve">7 </w:t>
      </w:r>
      <w:r>
        <w:t xml:space="preserve">Therefore prophesy, son of man, and set your face toward Jerusalem and look toward their holy places, and you will prophesy against the land of Israel.</w:t>
      </w:r>
    </w:p>
    <w:p>
      <w:r>
        <w:rPr>
          <w:b/>
        </w:rPr>
        <w:t xml:space="preserve">8 </w:t>
      </w:r>
      <w:r>
        <w:t xml:space="preserve">And you will say to the land of Israel, Behold, I am against you, and I will draw my dagger from its sheath and destroy from you the unjust and the lawless.</w:t>
      </w:r>
    </w:p>
    <w:p>
      <w:r>
        <w:rPr>
          <w:b/>
        </w:rPr>
        <w:t xml:space="preserve">9 </w:t>
      </w:r>
      <w:r>
        <w:t xml:space="preserve">Because I will destroy from you the unjust and the lawless, so my dagger will go out from its sheath against all flesh from the east to the north.</w:t>
      </w:r>
    </w:p>
    <w:p>
      <w:r>
        <w:rPr>
          <w:b/>
        </w:rPr>
        <w:t xml:space="preserve">10 </w:t>
      </w:r>
      <w:r>
        <w:t xml:space="preserve">And all flesh will know that I, the Lord, have drawn my dagger from its sheath, and it will not turn back anymore.</w:t>
      </w:r>
    </w:p>
    <w:p>
      <w:r>
        <w:rPr>
          <w:b/>
        </w:rPr>
        <w:t xml:space="preserve">11 </w:t>
      </w:r>
      <w:r>
        <w:t xml:space="preserve">And you, son of man, groan with breaking of your loins, and with pains you will groan before their eyes.</w:t>
      </w:r>
    </w:p>
    <w:p>
      <w:r>
        <w:rPr>
          <w:b/>
        </w:rPr>
        <w:t xml:space="preserve">12 </w:t>
      </w:r>
      <w:r>
        <w:t xml:space="preserve">And it will be, if they say to you, Why do you groan? then you will say, Because of the report, for it is coming, and every heart will be broken, and all hands will be paralyzed, and all flesh and every spirit will faint, and all thighs will be defiled with wetness. Behold, it is coming and will happen, says the Lord God.</w:t>
      </w:r>
    </w:p>
    <w:p>
      <w:r>
        <w:rPr>
          <w:b/>
        </w:rPr>
        <w:t xml:space="preserve">13 </w:t>
      </w:r>
      <w:r>
        <w:t xml:space="preserve">And the word of the Lord came to me, saying,</w:t>
      </w:r>
    </w:p>
    <w:p>
      <w:r>
        <w:rPr>
          <w:b/>
        </w:rPr>
        <w:t xml:space="preserve">14 </w:t>
      </w:r>
      <w:r>
        <w:t xml:space="preserve">Son of man, prophesy and say, Thus says the Lord: Say, Sword, sword, be sharpened and be enraged.</w:t>
      </w:r>
    </w:p>
    <w:p>
      <w:r>
        <w:rPr>
          <w:b/>
        </w:rPr>
        <w:t xml:space="preserve">15 </w:t>
      </w:r>
      <w:r>
        <w:t xml:space="preserve">So that you may slaughter victims, be sharpened; so that you may become ready for gleaming, ready for paralysis. Slaughter; despise; push away every tree.</w:t>
      </w:r>
    </w:p>
    <w:p>
      <w:r>
        <w:rPr>
          <w:b/>
        </w:rPr>
        <w:t xml:space="preserve">16 </w:t>
      </w:r>
      <w:r>
        <w:t xml:space="preserve">And he gave it ready for his hand to seize. The sword has been honed; it is ready to be given into the hand of one piercing through.</w:t>
      </w:r>
    </w:p>
    <w:p>
      <w:r>
        <w:rPr>
          <w:b/>
        </w:rPr>
        <w:t xml:space="preserve">17 </w:t>
      </w:r>
      <w:r>
        <w:t xml:space="preserve">Cry out and howl, son of man, because it came among my people; it came among all the leaders of Israel. They will sojourn under sword; it came among my people. Therefore clap upon your hand.</w:t>
      </w:r>
    </w:p>
    <w:p>
      <w:r>
        <w:rPr>
          <w:b/>
        </w:rPr>
        <w:t xml:space="preserve">18 </w:t>
      </w:r>
      <w:r>
        <w:t xml:space="preserve">Because it has been justified. And what if a tribe has been rejected? It will not be, says the Lord God.</w:t>
      </w:r>
    </w:p>
    <w:p>
      <w:r>
        <w:rPr>
          <w:b/>
        </w:rPr>
        <w:t xml:space="preserve">19 </w:t>
      </w:r>
      <w:r>
        <w:t xml:space="preserve">And you, son of man, prophesy and strike hand upon hand and double the sword; the third sword is a sword of wounded ones, a great sword of wounded ones, and it will throw them into panic.</w:t>
      </w:r>
    </w:p>
    <w:p>
      <w:r>
        <w:rPr>
          <w:b/>
        </w:rPr>
        <w:t xml:space="preserve">20 </w:t>
      </w:r>
      <w:r>
        <w:t xml:space="preserve">So that the heart may be crushed and the weak ones may be multiplied, at all their gates they have been handed over to slaughter by sword. It has been well made for slaughter; it has been well made for gleaming.</w:t>
      </w:r>
    </w:p>
    <w:p>
      <w:r>
        <w:rPr>
          <w:b/>
        </w:rPr>
        <w:t xml:space="preserve">21 </w:t>
      </w:r>
      <w:r>
        <w:t xml:space="preserve">Pass through. Be sharpened on the right and on the left, wherever your face is raised.</w:t>
      </w:r>
    </w:p>
    <w:p>
      <w:r>
        <w:rPr>
          <w:b/>
        </w:rPr>
        <w:t xml:space="preserve">22 </w:t>
      </w:r>
      <w:r>
        <w:t xml:space="preserve">And I too will clap my hand to my hand and let my wrath rest. I, the Lord, have spoken.</w:t>
      </w:r>
    </w:p>
    <w:p>
      <w:r>
        <w:rPr>
          <w:b/>
        </w:rPr>
        <w:t xml:space="preserve">23 </w:t>
      </w:r>
      <w:r>
        <w:t xml:space="preserve">And the word of the Lord came to me, saying,</w:t>
      </w:r>
    </w:p>
    <w:p>
      <w:r>
        <w:rPr>
          <w:b/>
        </w:rPr>
        <w:t xml:space="preserve">24 </w:t>
      </w:r>
      <w:r>
        <w:t xml:space="preserve">And you, son of man, appoint for yourself two roads for the sword of the king of Babylon to enter. From one land the two will come out, and a hand will be at the beginning of the road, at the beginning of the city's road.</w:t>
      </w:r>
    </w:p>
    <w:p>
      <w:r>
        <w:rPr>
          <w:b/>
        </w:rPr>
        <w:t xml:space="preserve">25 </w:t>
      </w:r>
      <w:r>
        <w:t xml:space="preserve">You will appoint a road for the sword to enter upon Rabbah of the sons of Ammon and upon Judah and upon Jerusalem in her midst.</w:t>
      </w:r>
    </w:p>
    <w:p>
      <w:r>
        <w:rPr>
          <w:b/>
        </w:rPr>
        <w:t xml:space="preserve">26 </w:t>
      </w:r>
      <w:r>
        <w:t xml:space="preserve">Because the king of Babylon will stand on the ancient road, at the beginning of the two roads, to divine divination, to shake a rod, and inquire by the carved things and inspect a liver. On his right</w:t>
      </w:r>
    </w:p>
    <w:p>
      <w:r>
        <w:rPr>
          <w:b/>
        </w:rPr>
        <w:t xml:space="preserve">27 </w:t>
      </w:r>
      <w:r>
        <w:t xml:space="preserve">the oracle came against Jerusalem, to cast up a trench, to open mouth with a shout, to raise a voice with a cry, to cast up a trench against her gates and heap up earth and build missile-stations.</w:t>
      </w:r>
    </w:p>
    <w:p>
      <w:r>
        <w:rPr>
          <w:b/>
        </w:rPr>
        <w:t xml:space="preserve">28 </w:t>
      </w:r>
      <w:r>
        <w:t xml:space="preserve">And he will be to them like one divining divination before them, and he himself reminding them of his injustices, to be remembered.</w:t>
      </w:r>
    </w:p>
    <w:p>
      <w:r>
        <w:rPr>
          <w:b/>
        </w:rPr>
        <w:t xml:space="preserve">29 </w:t>
      </w:r>
      <w:r>
        <w:t xml:space="preserve">Therefore thus says the Lord: Because you brought your injustices to remembrance, when your impieties were uncovered, so that your sins were seen in all your impieties and in your practices, because you were remembered in these things, in them you will be captured.</w:t>
      </w:r>
    </w:p>
    <w:p>
      <w:r>
        <w:rPr>
          <w:b/>
        </w:rPr>
        <w:t xml:space="preserve">30 </w:t>
      </w:r>
      <w:r>
        <w:t xml:space="preserve">And you, profane, lawless leader of Israel, whose day has come, an end in a time of injustice,</w:t>
      </w:r>
    </w:p>
    <w:p>
      <w:r>
        <w:rPr>
          <w:b/>
        </w:rPr>
        <w:t xml:space="preserve">31 </w:t>
      </w:r>
      <w:r>
        <w:t xml:space="preserve">thus says the Lord: Remove the turban and put on the crown. This will not be like this. You humbled the high and exalted the low.</w:t>
      </w:r>
    </w:p>
    <w:p>
      <w:r>
        <w:rPr>
          <w:b/>
        </w:rPr>
        <w:t xml:space="preserve">32 </w:t>
      </w:r>
      <w:r>
        <w:t xml:space="preserve">Injustice, injustice, I will make it. Even this will not be until one comes whose right it is, and I will give it to him.</w:t>
      </w:r>
    </w:p>
    <w:p>
      <w:r>
        <w:rPr>
          <w:b/>
        </w:rPr>
        <w:t xml:space="preserve">33 </w:t>
      </w:r>
      <w:r>
        <w:t xml:space="preserve">And you, son of man, prophesy and say, Thus says the Lord concerning the sons of Ammon and concerning their reproach. And you will say, Sword, sword, drawn for slaughter and drawn for complete destruction. Rise up so that you may flash,</w:t>
      </w:r>
    </w:p>
    <w:p>
      <w:r>
        <w:rPr>
          <w:b/>
        </w:rPr>
        <w:t xml:space="preserve">34 </w:t>
      </w:r>
      <w:r>
        <w:t xml:space="preserve">while in your vain vision and your false divination, to hand you over upon the necks of wounded lawless ones whose day has come, an end in a time of injustice.</w:t>
      </w:r>
    </w:p>
    <w:p>
      <w:r>
        <w:rPr>
          <w:b/>
        </w:rPr>
        <w:t xml:space="preserve">35 </w:t>
      </w:r>
      <w:r>
        <w:t xml:space="preserve">Turn back. Do not lodge in this place where you were born; in your own land, I will judge you.</w:t>
      </w:r>
    </w:p>
    <w:p>
      <w:r>
        <w:rPr>
          <w:b/>
        </w:rPr>
        <w:t xml:space="preserve">36 </w:t>
      </w:r>
      <w:r>
        <w:t xml:space="preserve">And I will pour out my wrath upon you; in the fire of my wrath I will blow upon you and hand you over into the hands of barbarous men devising destruction.</w:t>
      </w:r>
    </w:p>
    <w:p>
      <w:r>
        <w:rPr>
          <w:b/>
        </w:rPr>
        <w:t xml:space="preserve">37 </w:t>
      </w:r>
      <w:r>
        <w:t xml:space="preserve">In fire you will be food; your blood will be in the midst of your land. There will be no remembrance of you, because I, the Lord, have spoken.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the word of the Lord came to me, saying,</w:t>
      </w:r>
    </w:p>
    <w:p>
      <w:r>
        <w:rPr>
          <w:b/>
        </w:rPr>
        <w:t xml:space="preserve">2 </w:t>
      </w:r>
      <w:r>
        <w:t xml:space="preserve">And you, son of man, will you judge</w:t>
      </w:r>
      <w:r>
        <w:rPr>
          <w:rStyle w:val="FootnoteReference"/>
        </w:rPr>
        <w:footnoteReference w:id="13009"/>
      </w:r>
      <w:r>
        <w:t xml:space="preserve"> the city of bloods? Then show her all her lawless deeds,</w:t>
      </w:r>
    </w:p>
    <w:p>
      <w:r>
        <w:rPr>
          <w:b/>
        </w:rPr>
        <w:t xml:space="preserve">3 </w:t>
      </w:r>
      <w:r>
        <w:t xml:space="preserve">and say, Thus says the Lord God: O city pouring out bloods in her midst, so that her</w:t>
      </w:r>
      <w:r>
        <w:rPr>
          <w:rStyle w:val="FootnoteReference"/>
        </w:rPr>
        <w:footnoteReference w:id="13010"/>
      </w:r>
      <w:r>
        <w:t xml:space="preserve"> time may come, and making thoughts against herself so as to defile herself,</w:t>
      </w:r>
    </w:p>
    <w:p>
      <w:r>
        <w:rPr>
          <w:b/>
        </w:rPr>
        <w:t xml:space="preserve">4 </w:t>
      </w:r>
      <w:r>
        <w:t xml:space="preserve">in their bloods that you poured out you have trespassed, and in your thoughts that you made you were defiled; you brought your days near and brought on the time of your years. Because of this I have given you for reproach to nations and for mockery to all lands,</w:t>
      </w:r>
    </w:p>
    <w:p>
      <w:r>
        <w:rPr>
          <w:b/>
        </w:rPr>
        <w:t xml:space="preserve">5 </w:t>
      </w:r>
      <w:r>
        <w:t xml:space="preserve">those near you and those far from you. They will mock you, unclean one, well-known and abundant in lawless deeds.</w:t>
      </w:r>
    </w:p>
    <w:p>
      <w:r>
        <w:rPr>
          <w:b/>
        </w:rPr>
        <w:t xml:space="preserve">6 </w:t>
      </w:r>
      <w:r>
        <w:t xml:space="preserve">Behold, the leaders of the house of Israel, each with his relatives, were mixed together in you so as to pour out blood.</w:t>
      </w:r>
    </w:p>
    <w:p>
      <w:r>
        <w:rPr>
          <w:b/>
        </w:rPr>
        <w:t xml:space="preserve">7 </w:t>
      </w:r>
      <w:r>
        <w:t xml:space="preserve">Father and mother they reviled in you, and toward the sojourner they behaved unjustly. In you they oppressed orphan and widow.</w:t>
      </w:r>
    </w:p>
    <w:p>
      <w:r>
        <w:rPr>
          <w:b/>
        </w:rPr>
        <w:t xml:space="preserve">8 </w:t>
      </w:r>
      <w:r>
        <w:t xml:space="preserve">And my holy things they despised, and my Sabbaths they profaned in you.</w:t>
      </w:r>
    </w:p>
    <w:p>
      <w:r>
        <w:rPr>
          <w:b/>
        </w:rPr>
        <w:t xml:space="preserve">9 </w:t>
      </w:r>
      <w:r>
        <w:t xml:space="preserve">Robber men were in you so as to pour out blood in you, and on mountains they ate in you; they did impious things in your midst.</w:t>
      </w:r>
    </w:p>
    <w:p>
      <w:r>
        <w:rPr>
          <w:b/>
        </w:rPr>
        <w:t xml:space="preserve">10 </w:t>
      </w:r>
      <w:r>
        <w:t xml:space="preserve">A father's shame they uncovered in you, and one set apart in uncleanness they humbled</w:t>
      </w:r>
      <w:r>
        <w:rPr>
          <w:rStyle w:val="FootnoteReference"/>
        </w:rPr>
        <w:footnoteReference w:id="13011"/>
      </w:r>
      <w:r>
        <w:t xml:space="preserve"> in you.</w:t>
      </w:r>
    </w:p>
    <w:p>
      <w:r>
        <w:rPr>
          <w:b/>
        </w:rPr>
        <w:t xml:space="preserve">11 </w:t>
      </w:r>
      <w:r>
        <w:t xml:space="preserve">Each one acted lawlessly with the wife of his neighbor, and each one defiled his daughter-in-law in impiety, and each one humbled his sister</w:t>
      </w:r>
      <w:r>
        <w:rPr>
          <w:rStyle w:val="FootnoteReference"/>
        </w:rPr>
        <w:footnoteReference w:id="13012"/>
      </w:r>
      <w:r>
        <w:t xml:space="preserve">, daughter of his father, in you.</w:t>
      </w:r>
    </w:p>
    <w:p>
      <w:r>
        <w:rPr>
          <w:b/>
        </w:rPr>
        <w:t xml:space="preserve">12 </w:t>
      </w:r>
      <w:r>
        <w:t xml:space="preserve">Gifts they took in you so as to pour out blood; interest and excess they took in you, and you brought your evil to completion by oppression. But me you forgot, says the Lord.</w:t>
      </w:r>
    </w:p>
    <w:p>
      <w:r>
        <w:rPr>
          <w:b/>
        </w:rPr>
        <w:t xml:space="preserve">13 </w:t>
      </w:r>
      <w:r>
        <w:t xml:space="preserve">And if I strike my hand to my hand over what you completed, what you did, and over your bloods that have come to be in your midst,</w:t>
      </w:r>
    </w:p>
    <w:p>
      <w:r>
        <w:rPr>
          <w:b/>
        </w:rPr>
        <w:t xml:space="preserve">14 </w:t>
      </w:r>
      <w:r>
        <w:t xml:space="preserve">will your heart stand? Will your hands be strong in the days when I act in you? I, the Lord, have spoken and will do it.</w:t>
      </w:r>
    </w:p>
    <w:p>
      <w:r>
        <w:rPr>
          <w:b/>
        </w:rPr>
        <w:t xml:space="preserve">15 </w:t>
      </w:r>
      <w:r>
        <w:t xml:space="preserve">And I will scatter</w:t>
      </w:r>
      <w:r>
        <w:rPr>
          <w:rStyle w:val="FootnoteReference"/>
        </w:rPr>
        <w:footnoteReference w:id="13013"/>
      </w:r>
      <w:r>
        <w:t xml:space="preserve"> you among nations and disperse you through lands, and your uncleanness will cease from you.</w:t>
      </w:r>
    </w:p>
    <w:p>
      <w:r>
        <w:rPr>
          <w:b/>
        </w:rPr>
        <w:t xml:space="preserve">16 </w:t>
      </w:r>
      <w:r>
        <w:t xml:space="preserve">And I will allot inheritances in you before the eyes of nations, and you will know that I am the Lord.</w:t>
      </w:r>
    </w:p>
    <w:p>
      <w:r>
        <w:rPr>
          <w:b/>
        </w:rPr>
        <w:t xml:space="preserve">17 </w:t>
      </w:r>
      <w:r>
        <w:t xml:space="preserve">And the word of the Lord came to me, saying,</w:t>
      </w:r>
    </w:p>
    <w:p>
      <w:r>
        <w:rPr>
          <w:b/>
        </w:rPr>
        <w:t xml:space="preserve">18 </w:t>
      </w:r>
      <w:r>
        <w:t xml:space="preserve">Son of man, behold, the house</w:t>
      </w:r>
      <w:r>
        <w:rPr>
          <w:rStyle w:val="FootnoteReference"/>
        </w:rPr>
        <w:footnoteReference w:id="13014"/>
      </w:r>
      <w:r>
        <w:t xml:space="preserve"> of Israel has become mixed to me, all of them with bronze and iron and tin and lead in the midst of silver; it is mixed.</w:t>
      </w:r>
    </w:p>
    <w:p>
      <w:r>
        <w:rPr>
          <w:b/>
        </w:rPr>
        <w:t xml:space="preserve">19 </w:t>
      </w:r>
      <w:r>
        <w:t xml:space="preserve">Therefore say, Thus says the Lord: Because you all became one mixture, therefore I receive you into the midst of Jerusalem.</w:t>
      </w:r>
    </w:p>
    <w:p>
      <w:r>
        <w:rPr>
          <w:b/>
        </w:rPr>
        <w:t xml:space="preserve">20 </w:t>
      </w:r>
      <w:r>
        <w:t xml:space="preserve">As silver and bronze and iron and tin and lead are received into the midst of a furnace, to blow</w:t>
      </w:r>
      <w:r>
        <w:rPr>
          <w:rStyle w:val="FootnoteReference"/>
        </w:rPr>
        <w:footnoteReference w:id="13015"/>
      </w:r>
      <w:r>
        <w:t xml:space="preserve"> fire into it so as to be melted, so I will receive you in my wrath and gather and melt you.</w:t>
      </w:r>
    </w:p>
    <w:p>
      <w:r>
        <w:rPr>
          <w:b/>
        </w:rPr>
        <w:t xml:space="preserve">21 </w:t>
      </w:r>
      <w:r>
        <w:t xml:space="preserve">And I will blow upon you in the fire of my wrath, and you will be melted in her midst.</w:t>
      </w:r>
    </w:p>
    <w:p>
      <w:r>
        <w:rPr>
          <w:b/>
        </w:rPr>
        <w:t xml:space="preserve">22 </w:t>
      </w:r>
      <w:r>
        <w:t xml:space="preserve">As silver is melted in the midst of a furnace, so you will be melted in her midst, and you will know that I, the Lord, poured out my wrath upon you.</w:t>
      </w:r>
    </w:p>
    <w:p>
      <w:r>
        <w:rPr>
          <w:b/>
        </w:rPr>
        <w:t xml:space="preserve">23 </w:t>
      </w:r>
      <w:r>
        <w:t xml:space="preserve">And the word of the Lord came to me, saying,</w:t>
      </w:r>
    </w:p>
    <w:p>
      <w:r>
        <w:rPr>
          <w:b/>
        </w:rPr>
        <w:t xml:space="preserve">24 </w:t>
      </w:r>
      <w:r>
        <w:t xml:space="preserve">Son of man, say to her, You are a land not rained on, nor did rain come upon you in the day of wrath.</w:t>
      </w:r>
    </w:p>
    <w:p>
      <w:r>
        <w:rPr>
          <w:b/>
        </w:rPr>
        <w:t xml:space="preserve">25 </w:t>
      </w:r>
      <w:r>
        <w:t xml:space="preserve">Whose rulers in her midst are like roaring lions seizing plunder, eating souls in oppression, taking payments in injustice, and your widows were multiplied in your midst.</w:t>
      </w:r>
    </w:p>
    <w:p>
      <w:r>
        <w:rPr>
          <w:b/>
        </w:rPr>
        <w:t xml:space="preserve">26 </w:t>
      </w:r>
      <w:r>
        <w:t xml:space="preserve">And her priests</w:t>
      </w:r>
      <w:r>
        <w:rPr>
          <w:rStyle w:val="FootnoteReference"/>
        </w:rPr>
        <w:footnoteReference w:id="13016"/>
      </w:r>
      <w:r>
        <w:t xml:space="preserve"> rejected my law and profaned my holy things; between the holy and the profane they did not distinguish, and between the unclean and the clean they did not distinguish, and from my Sabbaths they covered their eyes, and I was profaned in their midst.</w:t>
      </w:r>
    </w:p>
    <w:p>
      <w:r>
        <w:rPr>
          <w:b/>
        </w:rPr>
        <w:t xml:space="preserve">27 </w:t>
      </w:r>
      <w:r>
        <w:t xml:space="preserve">Her rulers in her midst are like wolves seizing plunder, to pour out blood, so that greedily they may gain greed.</w:t>
      </w:r>
    </w:p>
    <w:p>
      <w:r>
        <w:rPr>
          <w:b/>
        </w:rPr>
        <w:t xml:space="preserve">28 </w:t>
      </w:r>
      <w:r>
        <w:t xml:space="preserve">And her prophets</w:t>
      </w:r>
      <w:r>
        <w:rPr>
          <w:rStyle w:val="FootnoteReference"/>
        </w:rPr>
        <w:footnoteReference w:id="13017"/>
      </w:r>
      <w:r>
        <w:t xml:space="preserve"> who smear them over will fall, seeing vain things, divining falsehoods, saying, Thus says the Lord, and the Lord has not spoken.</w:t>
      </w:r>
    </w:p>
    <w:p>
      <w:r>
        <w:rPr>
          <w:b/>
        </w:rPr>
        <w:t xml:space="preserve">29 </w:t>
      </w:r>
      <w:r>
        <w:t xml:space="preserve">The people</w:t>
      </w:r>
      <w:r>
        <w:rPr>
          <w:rStyle w:val="FootnoteReference"/>
        </w:rPr>
        <w:footnoteReference w:id="13018"/>
      </w:r>
      <w:r>
        <w:t xml:space="preserve"> of the land were oppressing with injustice and plundering plunder, oppressing the poor and needy, and not behaving toward the sojourner with judgment.</w:t>
      </w:r>
    </w:p>
    <w:p>
      <w:r>
        <w:rPr>
          <w:b/>
        </w:rPr>
        <w:t xml:space="preserve">30 </w:t>
      </w:r>
      <w:r>
        <w:t xml:space="preserve">And I sought</w:t>
      </w:r>
      <w:r>
        <w:rPr>
          <w:rStyle w:val="FootnoteReference"/>
        </w:rPr>
        <w:footnoteReference w:id="13019"/>
      </w:r>
      <w:r>
        <w:t xml:space="preserve"> from them a man walking uprightly and standing wholly before me in the time of the land, so as not to wipe it out completely, and I did not find one.</w:t>
      </w:r>
    </w:p>
    <w:p>
      <w:r>
        <w:rPr>
          <w:b/>
        </w:rPr>
        <w:t xml:space="preserve">31 </w:t>
      </w:r>
      <w:r>
        <w:t xml:space="preserve">And I poured out my wrath upon her; in the fire of my wrath, to complete, I have put their ways on their heads, says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the word of the Lord came to me, saying,</w:t>
      </w:r>
    </w:p>
    <w:p>
      <w:r>
        <w:rPr>
          <w:b/>
        </w:rPr>
        <w:t xml:space="preserve">2 </w:t>
      </w:r>
      <w:r>
        <w:t xml:space="preserve">Son of man, there were two women, daughters of one mother.</w:t>
      </w:r>
    </w:p>
    <w:p>
      <w:r>
        <w:rPr>
          <w:b/>
        </w:rPr>
        <w:t xml:space="preserve">3 </w:t>
      </w:r>
      <w:r>
        <w:t xml:space="preserve">And they whored in Egypt</w:t>
      </w:r>
      <w:r>
        <w:rPr>
          <w:rStyle w:val="FootnoteReference"/>
        </w:rPr>
        <w:footnoteReference w:id="13020"/>
      </w:r>
      <w:r>
        <w:t xml:space="preserve">, in their youth. There their breasts fell, there they were deflowered.</w:t>
      </w:r>
    </w:p>
    <w:p>
      <w:r>
        <w:rPr>
          <w:b/>
        </w:rPr>
        <w:t xml:space="preserve">4 </w:t>
      </w:r>
      <w:r>
        <w:t xml:space="preserve">And their names were Oola</w:t>
      </w:r>
      <w:r>
        <w:rPr>
          <w:rStyle w:val="FootnoteReference"/>
        </w:rPr>
        <w:footnoteReference w:id="13021"/>
      </w:r>
      <w:r>
        <w:t xml:space="preserve"> the elder</w:t>
      </w:r>
      <w:r>
        <w:rPr>
          <w:rStyle w:val="FootnoteReference"/>
        </w:rPr>
        <w:footnoteReference w:id="13022"/>
      </w:r>
      <w:r>
        <w:t xml:space="preserve"> and Ooliba</w:t>
      </w:r>
      <w:r>
        <w:rPr>
          <w:rStyle w:val="FootnoteReference"/>
        </w:rPr>
        <w:footnoteReference w:id="13023"/>
      </w:r>
      <w:r>
        <w:t xml:space="preserve"> her sister, and they became mine and bore sons and daughters. And their names: Samaria was Oola and Jerusalem Ooliba.</w:t>
      </w:r>
    </w:p>
    <w:p>
      <w:r>
        <w:rPr>
          <w:b/>
        </w:rPr>
        <w:t xml:space="preserve">5 </w:t>
      </w:r>
      <w:r>
        <w:t xml:space="preserve">And Oola whored away from me and set herself on her lovers, on Assyrians near her,</w:t>
      </w:r>
    </w:p>
    <w:p>
      <w:r>
        <w:rPr>
          <w:b/>
        </w:rPr>
        <w:t xml:space="preserve">6 </w:t>
      </w:r>
      <w:r>
        <w:t xml:space="preserve">clothed in blue, leaders and generals, choice young men all, horsemen mounted on horses.</w:t>
      </w:r>
    </w:p>
    <w:p>
      <w:r>
        <w:rPr>
          <w:b/>
        </w:rPr>
        <w:t xml:space="preserve">7 </w:t>
      </w:r>
      <w:r>
        <w:t xml:space="preserve">And she gave her whoring to them, all choice sons of Assyria, and with all on whom she set herself, with all her thoughts, she was defiled.</w:t>
      </w:r>
    </w:p>
    <w:p>
      <w:r>
        <w:rPr>
          <w:b/>
        </w:rPr>
        <w:t xml:space="preserve">8 </w:t>
      </w:r>
      <w:r>
        <w:t xml:space="preserve">And her whoring from Egypt she did not leave, because they lay with her in her youth, and they also deflowered her and poured out their whoring upon her.</w:t>
      </w:r>
    </w:p>
    <w:p>
      <w:r>
        <w:rPr>
          <w:b/>
        </w:rPr>
        <w:t xml:space="preserve">9 </w:t>
      </w:r>
      <w:r>
        <w:t xml:space="preserve">Because of this I gave her into the hands of her lovers, into the hands of sons of Assyria on whom she set herself.</w:t>
      </w:r>
    </w:p>
    <w:p>
      <w:r>
        <w:rPr>
          <w:b/>
        </w:rPr>
        <w:t xml:space="preserve">10 </w:t>
      </w:r>
      <w:r>
        <w:t xml:space="preserve">They uncovered her shame; they took</w:t>
      </w:r>
      <w:r>
        <w:rPr>
          <w:rStyle w:val="FootnoteReference"/>
        </w:rPr>
        <w:footnoteReference w:id="13024"/>
      </w:r>
      <w:r>
        <w:t xml:space="preserve"> her sons and daughters, and her they killed with sword. And she became a byword among women, and they carried out acts of vengeance against her among the daughters.</w:t>
      </w:r>
    </w:p>
    <w:p>
      <w:r>
        <w:rPr>
          <w:b/>
        </w:rPr>
        <w:t xml:space="preserve">11 </w:t>
      </w:r>
      <w:r>
        <w:t xml:space="preserve">And her sister</w:t>
      </w:r>
      <w:r>
        <w:rPr>
          <w:rStyle w:val="FootnoteReference"/>
        </w:rPr>
        <w:footnoteReference w:id="13025"/>
      </w:r>
      <w:r>
        <w:t xml:space="preserve"> Ooliba saw and corrupted her desire beyond hers and her whoring beyond her sister's whoring.</w:t>
      </w:r>
    </w:p>
    <w:p>
      <w:r>
        <w:rPr>
          <w:b/>
        </w:rPr>
        <w:t xml:space="preserve">12 </w:t>
      </w:r>
      <w:r>
        <w:t xml:space="preserve">She set herself on sons of Assyria, leaders and generals near her, clothed in fine-bordered garments, horsemen riding on horses, choice young men all.</w:t>
      </w:r>
    </w:p>
    <w:p>
      <w:r>
        <w:rPr>
          <w:b/>
        </w:rPr>
        <w:t xml:space="preserve">13 </w:t>
      </w:r>
      <w:r>
        <w:t xml:space="preserve">And I saw that they were defiled; one way belonged to them both.</w:t>
      </w:r>
    </w:p>
    <w:p>
      <w:r>
        <w:rPr>
          <w:b/>
        </w:rPr>
        <w:t xml:space="preserve">14 </w:t>
      </w:r>
      <w:r>
        <w:t xml:space="preserve">And she added to her whoring, and saw men painted on a wall, images of Chaldeans drawn with stylus,</w:t>
      </w:r>
    </w:p>
    <w:p>
      <w:r>
        <w:rPr>
          <w:b/>
        </w:rPr>
        <w:t xml:space="preserve">15 </w:t>
      </w:r>
      <w:r>
        <w:t xml:space="preserve">girded with embroidered work on their loins and dyed tiaras on their heads, all with princely appearance, likeness of sons of Chaldea, their native land.</w:t>
      </w:r>
    </w:p>
    <w:p>
      <w:r>
        <w:rPr>
          <w:b/>
        </w:rPr>
        <w:t xml:space="preserve">16 </w:t>
      </w:r>
      <w:r>
        <w:t xml:space="preserve">And she set herself on them at the sight of her eyes and sent</w:t>
      </w:r>
      <w:r>
        <w:rPr>
          <w:rStyle w:val="FootnoteReference"/>
        </w:rPr>
        <w:footnoteReference w:id="13026"/>
      </w:r>
      <w:r>
        <w:t xml:space="preserve"> messengers to them into the land of Chaldeans.</w:t>
      </w:r>
    </w:p>
    <w:p>
      <w:r>
        <w:rPr>
          <w:b/>
        </w:rPr>
        <w:t xml:space="preserve">17 </w:t>
      </w:r>
      <w:r>
        <w:t xml:space="preserve">And sons of Babylon came to her into a lodging bed and defiled her in her whoring, and she was defiled by them, and her</w:t>
      </w:r>
      <w:r>
        <w:rPr>
          <w:rStyle w:val="FootnoteReference"/>
        </w:rPr>
        <w:footnoteReference w:id="13027"/>
      </w:r>
      <w:r>
        <w:t xml:space="preserve"> soul turned away from them.</w:t>
      </w:r>
    </w:p>
    <w:p>
      <w:r>
        <w:rPr>
          <w:b/>
        </w:rPr>
        <w:t xml:space="preserve">18 </w:t>
      </w:r>
      <w:r>
        <w:t xml:space="preserve">And she uncovered her whoring and uncovered her shame, and my soul turned away from her, as my soul turned away from her sister.</w:t>
      </w:r>
    </w:p>
    <w:p>
      <w:r>
        <w:rPr>
          <w:b/>
        </w:rPr>
        <w:t xml:space="preserve">19 </w:t>
      </w:r>
      <w:r>
        <w:t xml:space="preserve">And you multiplied</w:t>
      </w:r>
      <w:r>
        <w:rPr>
          <w:rStyle w:val="FootnoteReference"/>
        </w:rPr>
        <w:footnoteReference w:id="13028"/>
      </w:r>
      <w:r>
        <w:t xml:space="preserve"> your whoring so as to remember the days of your youth in which you whored in Egypt.</w:t>
      </w:r>
    </w:p>
    <w:p>
      <w:r>
        <w:rPr>
          <w:b/>
        </w:rPr>
        <w:t xml:space="preserve">20 </w:t>
      </w:r>
      <w:r>
        <w:t xml:space="preserve">And you longed for Chaldeans, whose flesh was like that of donkeys and whose genitals were genitals of horses.</w:t>
      </w:r>
    </w:p>
    <w:p>
      <w:r>
        <w:rPr>
          <w:b/>
        </w:rPr>
        <w:t xml:space="preserve">21 </w:t>
      </w:r>
      <w:r>
        <w:t xml:space="preserve">And you revisited the lawlessness of your youth, what you did in Egypt, in your lodging, where your youthful breasts were.</w:t>
      </w:r>
    </w:p>
    <w:p>
      <w:r>
        <w:rPr>
          <w:b/>
        </w:rPr>
        <w:t xml:space="preserve">22 </w:t>
      </w:r>
      <w:r>
        <w:t xml:space="preserve">Therefore, Ooliba, thus says the Lord: Behold, I stir up your lovers against you, those from whom your soul turned away, and I will bring them upon you from all around,</w:t>
      </w:r>
    </w:p>
    <w:p>
      <w:r>
        <w:rPr>
          <w:b/>
        </w:rPr>
        <w:t xml:space="preserve">23 </w:t>
      </w:r>
      <w:r>
        <w:t xml:space="preserve">sons of Babylon and all Chaldeans, Phakoud</w:t>
      </w:r>
      <w:r>
        <w:rPr>
          <w:rStyle w:val="FootnoteReference"/>
        </w:rPr>
        <w:footnoteReference w:id="13029"/>
      </w:r>
      <w:r>
        <w:t xml:space="preserve"> and Sue and Kue, and all sons of Assyria with them, choice young men, governors and generals, all nobles and men of name, riding on horses.</w:t>
      </w:r>
    </w:p>
    <w:p>
      <w:r>
        <w:rPr>
          <w:b/>
        </w:rPr>
        <w:t xml:space="preserve">24 </w:t>
      </w:r>
      <w:r>
        <w:t xml:space="preserve">And all will come against you from the north, chariots and wheels with a crowd of peoples; shields and bucklers, and they will set a guard against you all around. And I will set</w:t>
      </w:r>
      <w:r>
        <w:rPr>
          <w:rStyle w:val="FootnoteReference"/>
        </w:rPr>
        <w:footnoteReference w:id="13030"/>
      </w:r>
      <w:r>
        <w:t xml:space="preserve"> judgment before them, and they will take vengeance on you by their judgments.</w:t>
      </w:r>
    </w:p>
    <w:p>
      <w:r>
        <w:rPr>
          <w:b/>
        </w:rPr>
        <w:t xml:space="preserve">25 </w:t>
      </w:r>
      <w:r>
        <w:t xml:space="preserve">And I will set</w:t>
      </w:r>
      <w:r>
        <w:rPr>
          <w:rStyle w:val="FootnoteReference"/>
        </w:rPr>
        <w:footnoteReference w:id="13031"/>
      </w:r>
      <w:r>
        <w:t xml:space="preserve"> my jealousy against you, and they will deal with you in a fury of wrath. Your nose and your ears they will remove, and your remnant they will cast down by sword. They will take your sons and daughters, and fire will devour your remnant.</w:t>
      </w:r>
    </w:p>
    <w:p>
      <w:r>
        <w:rPr>
          <w:b/>
        </w:rPr>
        <w:t xml:space="preserve">26 </w:t>
      </w:r>
      <w:r>
        <w:t xml:space="preserve">And they will strip</w:t>
      </w:r>
      <w:r>
        <w:rPr>
          <w:rStyle w:val="FootnoteReference"/>
        </w:rPr>
        <w:footnoteReference w:id="13032"/>
      </w:r>
      <w:r>
        <w:t xml:space="preserve"> you of your garments and take vessels of your boasting.</w:t>
      </w:r>
    </w:p>
    <w:p>
      <w:r>
        <w:rPr>
          <w:b/>
        </w:rPr>
        <w:t xml:space="preserve">27 </w:t>
      </w:r>
      <w:r>
        <w:t xml:space="preserve">And I will turn your impieties away from you, and your whoring from the land of Egypt; and you will not lift your eyes to them, and Egypt you will remember no more.</w:t>
      </w:r>
    </w:p>
    <w:p>
      <w:r>
        <w:rPr>
          <w:b/>
        </w:rPr>
        <w:t xml:space="preserve">28 </w:t>
      </w:r>
      <w:r>
        <w:t xml:space="preserve">Because thus says the Lord God: Behold, I hand you over into the hands of those you hate, from whom your soul turned away,</w:t>
      </w:r>
    </w:p>
    <w:p>
      <w:r>
        <w:rPr>
          <w:b/>
        </w:rPr>
        <w:t xml:space="preserve">29 </w:t>
      </w:r>
      <w:r>
        <w:t xml:space="preserve">and they will deal</w:t>
      </w:r>
      <w:r>
        <w:rPr>
          <w:rStyle w:val="FootnoteReference"/>
        </w:rPr>
        <w:footnoteReference w:id="13033"/>
      </w:r>
      <w:r>
        <w:t xml:space="preserve"> with you in hatred and take all your labors and your toils, and you will be naked and disgraced, and the shame of your whoring, your impiety, and your whoring will be uncovered.</w:t>
      </w:r>
    </w:p>
    <w:p>
      <w:r>
        <w:rPr>
          <w:b/>
        </w:rPr>
        <w:t xml:space="preserve">30 </w:t>
      </w:r>
      <w:r>
        <w:t xml:space="preserve">These things were done to you because you whored after nations and were defiled in their thoughts.</w:t>
      </w:r>
    </w:p>
    <w:p>
      <w:r>
        <w:rPr>
          <w:b/>
        </w:rPr>
        <w:t xml:space="preserve">31 </w:t>
      </w:r>
      <w:r>
        <w:t xml:space="preserve">You walked</w:t>
      </w:r>
      <w:r>
        <w:rPr>
          <w:rStyle w:val="FootnoteReference"/>
        </w:rPr>
        <w:footnoteReference w:id="13034"/>
      </w:r>
      <w:r>
        <w:t xml:space="preserve"> in the way of your sister, and I will put her cup in your hands.</w:t>
      </w:r>
    </w:p>
    <w:p>
      <w:r>
        <w:rPr>
          <w:b/>
        </w:rPr>
        <w:t xml:space="preserve">32 </w:t>
      </w:r>
      <w:r>
        <w:t xml:space="preserve">Thus says the Lord: You will drink</w:t>
      </w:r>
      <w:r>
        <w:rPr>
          <w:rStyle w:val="FootnoteReference"/>
        </w:rPr>
        <w:footnoteReference w:id="13035"/>
      </w:r>
      <w:r>
        <w:t xml:space="preserve"> the cup of your sister, deep and broad, overflowing so as to make an end.</w:t>
      </w:r>
    </w:p>
    <w:p>
      <w:r>
        <w:rPr>
          <w:b/>
        </w:rPr>
        <w:t xml:space="preserve">33 </w:t>
      </w:r>
      <w:r>
        <w:t xml:space="preserve">You will be filled</w:t>
      </w:r>
      <w:r>
        <w:rPr>
          <w:rStyle w:val="FootnoteReference"/>
        </w:rPr>
        <w:footnoteReference w:id="13036"/>
      </w:r>
      <w:r>
        <w:t xml:space="preserve"> with drunkenness and collapse, a cup of desolation, the cup of your sister Samaria.</w:t>
      </w:r>
    </w:p>
    <w:p>
      <w:r>
        <w:rPr>
          <w:b/>
        </w:rPr>
        <w:t xml:space="preserve">34 </w:t>
      </w:r>
      <w:r>
        <w:t xml:space="preserve">And you will drink</w:t>
      </w:r>
      <w:r>
        <w:rPr>
          <w:rStyle w:val="FootnoteReference"/>
        </w:rPr>
        <w:footnoteReference w:id="13037"/>
      </w:r>
      <w:r>
        <w:t xml:space="preserve"> it, and her feasts and her new moons I will turn away, because I have spoken, says the Lord.</w:t>
      </w:r>
    </w:p>
    <w:p>
      <w:r>
        <w:rPr>
          <w:b/>
        </w:rPr>
        <w:t xml:space="preserve">35 </w:t>
      </w:r>
      <w:r>
        <w:t xml:space="preserve">Therefore thus says the Lord: Because you forgot me and cast</w:t>
      </w:r>
      <w:r>
        <w:rPr>
          <w:rStyle w:val="FootnoteReference"/>
        </w:rPr>
        <w:footnoteReference w:id="13038"/>
      </w:r>
      <w:r>
        <w:t xml:space="preserve"> me behind your body, you also receive your impiety and your whoring.</w:t>
      </w:r>
    </w:p>
    <w:p>
      <w:r>
        <w:rPr>
          <w:b/>
        </w:rPr>
        <w:t xml:space="preserve">36 </w:t>
      </w:r>
      <w:r>
        <w:t xml:space="preserve">And the Lord said to me, Son of man, will you not judge</w:t>
      </w:r>
      <w:r>
        <w:rPr>
          <w:rStyle w:val="FootnoteReference"/>
        </w:rPr>
        <w:footnoteReference w:id="13039"/>
      </w:r>
      <w:r>
        <w:t xml:space="preserve"> Oola and Ooliba and announce to them their lawless deeds?</w:t>
      </w:r>
    </w:p>
    <w:p>
      <w:r>
        <w:rPr>
          <w:b/>
        </w:rPr>
        <w:t xml:space="preserve">37 </w:t>
      </w:r>
      <w:r>
        <w:t xml:space="preserve">Because they committed adultery, and blood</w:t>
      </w:r>
      <w:r>
        <w:rPr>
          <w:rStyle w:val="FootnoteReference"/>
        </w:rPr>
        <w:footnoteReference w:id="13040"/>
      </w:r>
      <w:r>
        <w:t xml:space="preserve"> was in their hands. With their thoughts they committed adultery, and their children whom they bore to me they passed through fire for them.</w:t>
      </w:r>
    </w:p>
    <w:p>
      <w:r>
        <w:rPr>
          <w:b/>
        </w:rPr>
        <w:t xml:space="preserve">38 </w:t>
      </w:r>
      <w:r>
        <w:t xml:space="preserve">Even these things they did to me: my holy things they defiled and my Sabbaths they profaned.</w:t>
      </w:r>
    </w:p>
    <w:p>
      <w:r>
        <w:rPr>
          <w:b/>
        </w:rPr>
        <w:t xml:space="preserve">39 </w:t>
      </w:r>
      <w:r>
        <w:t xml:space="preserve">And when they slaughtered their children to their idols, they entered into my holy places to profane them, and so they acted in the midst of my house.</w:t>
      </w:r>
    </w:p>
    <w:p>
      <w:r>
        <w:rPr>
          <w:b/>
        </w:rPr>
        <w:t xml:space="preserve">40 </w:t>
      </w:r>
      <w:r>
        <w:t xml:space="preserve">And they sent messengers to men coming from far away, and as soon as they came you washed and painted your eyes with stibium and adorned yourself with ornament.</w:t>
      </w:r>
    </w:p>
    <w:p>
      <w:r>
        <w:rPr>
          <w:b/>
        </w:rPr>
        <w:t xml:space="preserve">41 </w:t>
      </w:r>
      <w:r>
        <w:t xml:space="preserve">And you sat on a spread bed, and an adorned table was before her, and my incense and my oil were enjoyed among them.</w:t>
      </w:r>
    </w:p>
    <w:p>
      <w:r>
        <w:rPr>
          <w:b/>
        </w:rPr>
        <w:t xml:space="preserve">42 </w:t>
      </w:r>
      <w:r>
        <w:t xml:space="preserve">And they struck up the sound of harmony, and to men from the multitude of the people coming from the wilderness they put bracelets</w:t>
      </w:r>
      <w:r>
        <w:rPr>
          <w:rStyle w:val="FootnoteReference"/>
        </w:rPr>
        <w:footnoteReference w:id="13041"/>
      </w:r>
      <w:r>
        <w:t xml:space="preserve"> on their hands and a crown of boasting on their heads.</w:t>
      </w:r>
    </w:p>
    <w:p>
      <w:r>
        <w:rPr>
          <w:b/>
        </w:rPr>
        <w:t xml:space="preserve">43 </w:t>
      </w:r>
      <w:r>
        <w:t xml:space="preserve">And I said, Are they not committing adultery in these things? Works of a prostitute, and she whored.</w:t>
      </w:r>
    </w:p>
    <w:p>
      <w:r>
        <w:rPr>
          <w:b/>
        </w:rPr>
        <w:t xml:space="preserve">44 </w:t>
      </w:r>
      <w:r>
        <w:t xml:space="preserve">And they went in to her as they go in to a prostitute woman; so they went in to Oola and to Ooliba, to do lawlessness.</w:t>
      </w:r>
    </w:p>
    <w:p>
      <w:r>
        <w:rPr>
          <w:b/>
        </w:rPr>
        <w:t xml:space="preserve">45 </w:t>
      </w:r>
      <w:r>
        <w:t xml:space="preserve">And righteous men, they will take vengeance on them with the vengeance of adulteress and vengeance of blood, because they are adulteresses and blood is in their hands.</w:t>
      </w:r>
    </w:p>
    <w:p>
      <w:r>
        <w:rPr>
          <w:b/>
        </w:rPr>
        <w:t xml:space="preserve">46 </w:t>
      </w:r>
      <w:r>
        <w:t xml:space="preserve">Thus says the Lord God: Bring up a crowd against them and give among them turmoil and plundering.</w:t>
      </w:r>
    </w:p>
    <w:p>
      <w:r>
        <w:rPr>
          <w:b/>
        </w:rPr>
        <w:t xml:space="preserve">47 </w:t>
      </w:r>
      <w:r>
        <w:t xml:space="preserve">And stone them with stones of crowds and pierce them with their swords. Their sons and their daughters they will kill, and their houses they will burn with fire.</w:t>
      </w:r>
    </w:p>
    <w:p>
      <w:r>
        <w:rPr>
          <w:b/>
        </w:rPr>
        <w:t xml:space="preserve">48 </w:t>
      </w:r>
      <w:r>
        <w:t xml:space="preserve">And I will turn impiety away from the land, and all women will be disciplined and will not act according to their impieties.</w:t>
      </w:r>
    </w:p>
    <w:p>
      <w:r>
        <w:rPr>
          <w:b/>
        </w:rPr>
        <w:t xml:space="preserve">49 </w:t>
      </w:r>
      <w:r>
        <w:t xml:space="preserve">And your impiety will be given upon you, and the sins of your thoughts you will receive, and you will know that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the word of the Lord came to me in the ninth year</w:t>
      </w:r>
      <w:r>
        <w:rPr>
          <w:rStyle w:val="FootnoteReference"/>
        </w:rPr>
        <w:footnoteReference w:id="13042"/>
      </w:r>
      <w:r>
        <w:t xml:space="preserve">, in the tenth month, on the tenth of the month, saying,</w:t>
      </w:r>
    </w:p>
    <w:p>
      <w:r>
        <w:rPr>
          <w:b/>
        </w:rPr>
        <w:t xml:space="preserve">2 </w:t>
      </w:r>
      <w:r>
        <w:t xml:space="preserve">Son of man, write</w:t>
      </w:r>
      <w:r>
        <w:rPr>
          <w:rStyle w:val="FootnoteReference"/>
        </w:rPr>
        <w:footnoteReference w:id="13043"/>
      </w:r>
      <w:r>
        <w:t xml:space="preserve"> for yourself this day, from this day on which the king of Babylon pressed hard against Jerusalem, from this very day.</w:t>
      </w:r>
    </w:p>
    <w:p>
      <w:r>
        <w:rPr>
          <w:b/>
        </w:rPr>
        <w:t xml:space="preserve">3 </w:t>
      </w:r>
      <w:r>
        <w:t xml:space="preserve">And speak a parable against the provoking house, and say to them, Thus says the Lord: Set on the cooking pot and pour water into it,</w:t>
      </w:r>
    </w:p>
    <w:p>
      <w:r>
        <w:rPr>
          <w:b/>
        </w:rPr>
        <w:t xml:space="preserve">4 </w:t>
      </w:r>
      <w:r>
        <w:t xml:space="preserve">and put into it the pieces, every good piece, leg and shoulder, stripped from the bones.</w:t>
      </w:r>
    </w:p>
    <w:p>
      <w:r>
        <w:rPr>
          <w:b/>
        </w:rPr>
        <w:t xml:space="preserve">5 </w:t>
      </w:r>
      <w:r>
        <w:t xml:space="preserve">taken from choice livestock, and kindle the bones under them. It boiled, boiled, and its bones were cooked in its midst.</w:t>
      </w:r>
    </w:p>
    <w:p>
      <w:r>
        <w:rPr>
          <w:b/>
        </w:rPr>
        <w:t xml:space="preserve">6 </w:t>
      </w:r>
      <w:r>
        <w:t xml:space="preserve">Therefore thus says the Lord: O city of bloods, a pot in which there is rust, and its rust did not go out from it. Piece by piece it was brought out; no lot fell on it.</w:t>
      </w:r>
    </w:p>
    <w:p>
      <w:r>
        <w:rPr>
          <w:b/>
        </w:rPr>
        <w:t xml:space="preserve">7 </w:t>
      </w:r>
      <w:r>
        <w:t xml:space="preserve">Because her blood</w:t>
      </w:r>
      <w:r>
        <w:rPr>
          <w:rStyle w:val="FootnoteReference"/>
        </w:rPr>
        <w:footnoteReference w:id="13044"/>
      </w:r>
      <w:r>
        <w:t xml:space="preserve"> is in her midst. Upon bare rock I placed it; I did not pour it on the ground so as to cover it with earth.</w:t>
      </w:r>
    </w:p>
    <w:p>
      <w:r>
        <w:rPr>
          <w:b/>
        </w:rPr>
        <w:t xml:space="preserve">8 </w:t>
      </w:r>
      <w:r>
        <w:t xml:space="preserve">So that wrath might rise for vengeance, to take vengeance, I gave her blood upon bare rock, so that it should not be covered.</w:t>
      </w:r>
    </w:p>
    <w:p>
      <w:r>
        <w:rPr>
          <w:b/>
        </w:rPr>
        <w:t xml:space="preserve">9 </w:t>
      </w:r>
      <w:r>
        <w:t xml:space="preserve">Therefore thus says the Lord: I too will enlarge the pile.</w:t>
      </w:r>
    </w:p>
    <w:p>
      <w:r>
        <w:rPr>
          <w:b/>
        </w:rPr>
        <w:t xml:space="preserve">10 </w:t>
      </w:r>
      <w:r>
        <w:t xml:space="preserve">And I will multiply the wood and kindle the fire so that the flesh may melt and the broth be diminished.</w:t>
      </w:r>
    </w:p>
    <w:p>
      <w:r>
        <w:rPr>
          <w:b/>
        </w:rPr>
        <w:t xml:space="preserve">11 </w:t>
      </w:r>
      <w:r>
        <w:t xml:space="preserve">And set it</w:t>
      </w:r>
      <w:r>
        <w:rPr>
          <w:rStyle w:val="FootnoteReference"/>
        </w:rPr>
        <w:footnoteReference w:id="13045"/>
      </w:r>
      <w:r>
        <w:t xml:space="preserve"> upon the coals so that its bronze may burn and become hot and its uncleanness may melt within it and its rust may disappear.</w:t>
      </w:r>
    </w:p>
    <w:p>
      <w:r>
        <w:rPr>
          <w:b/>
        </w:rPr>
        <w:t xml:space="preserve">12 </w:t>
      </w:r>
      <w:r>
        <w:t xml:space="preserve">And her abundant rust will not go out from her; her rust will be put to shame.</w:t>
      </w:r>
    </w:p>
    <w:p>
      <w:r>
        <w:rPr>
          <w:b/>
        </w:rPr>
        <w:t xml:space="preserve">13 </w:t>
      </w:r>
      <w:r>
        <w:t xml:space="preserve">Because you were defiling yourself, what if you are not cleansed any longer until I fill up my wrath?</w:t>
      </w:r>
    </w:p>
    <w:p>
      <w:r>
        <w:rPr>
          <w:b/>
        </w:rPr>
        <w:t xml:space="preserve">14 </w:t>
      </w:r>
      <w:r>
        <w:t xml:space="preserve">I, the Lord</w:t>
      </w:r>
      <w:r>
        <w:rPr>
          <w:rStyle w:val="FootnoteReference"/>
        </w:rPr>
        <w:footnoteReference w:id="13046"/>
      </w:r>
      <w:r>
        <w:t xml:space="preserve">, have spoken, and it will come, and I will act. I will not delay, nor will I show mercy. According to your ways and according to your thoughts I judge you, says the Lord. Therefore I judge you according to your bloods and according to your thoughts; I judge you, the unclean one, notorious and abundant in provoking.</w:t>
      </w:r>
    </w:p>
    <w:p>
      <w:r>
        <w:rPr>
          <w:b/>
        </w:rPr>
        <w:t xml:space="preserve">15 </w:t>
      </w:r>
      <w:r>
        <w:t xml:space="preserve">And the word of the Lord came to me, saying,</w:t>
      </w:r>
    </w:p>
    <w:p>
      <w:r>
        <w:rPr>
          <w:b/>
        </w:rPr>
        <w:t xml:space="preserve">16 </w:t>
      </w:r>
      <w:r>
        <w:t xml:space="preserve">Son of man, behold, I take from you the desire</w:t>
      </w:r>
      <w:r>
        <w:rPr>
          <w:rStyle w:val="FootnoteReference"/>
        </w:rPr>
        <w:footnoteReference w:id="13047"/>
      </w:r>
      <w:r>
        <w:t xml:space="preserve"> of your eyes by an ordered stroke. You must not mourn, nor must you weep.</w:t>
      </w:r>
    </w:p>
    <w:p>
      <w:r>
        <w:rPr>
          <w:b/>
        </w:rPr>
        <w:t xml:space="preserve">17 </w:t>
      </w:r>
      <w:r>
        <w:t xml:space="preserve">The groaning of blood of your loins is mourning; it will not be. Your hair will not be braided on you, and your sandals will be on your feet. You will not be comforted by their lips</w:t>
      </w:r>
      <w:r>
        <w:rPr>
          <w:rStyle w:val="FootnoteReference"/>
        </w:rPr>
        <w:footnoteReference w:id="13048"/>
      </w:r>
      <w:r>
        <w:t xml:space="preserve">, and bread of men you will not eat.</w:t>
      </w:r>
    </w:p>
    <w:p>
      <w:r>
        <w:rPr>
          <w:b/>
        </w:rPr>
        <w:t xml:space="preserve">18 </w:t>
      </w:r>
      <w:r>
        <w:t xml:space="preserve">And I spoke to the people in the morning as it was commanded me, and my wife died in the evening, and I did in the morning as it was ordered me.</w:t>
      </w:r>
    </w:p>
    <w:p>
      <w:r>
        <w:rPr>
          <w:b/>
        </w:rPr>
        <w:t xml:space="preserve">19 </w:t>
      </w:r>
      <w:r>
        <w:t xml:space="preserve">And the people said to me, Will you not tell us what these things are that you are doing?</w:t>
      </w:r>
    </w:p>
    <w:p>
      <w:r>
        <w:rPr>
          <w:b/>
        </w:rPr>
        <w:t xml:space="preserve">20 </w:t>
      </w:r>
      <w:r>
        <w:t xml:space="preserve">And I said to them, The word of the Lord came to me, saying,</w:t>
      </w:r>
    </w:p>
    <w:p>
      <w:r>
        <w:rPr>
          <w:b/>
        </w:rPr>
        <w:t xml:space="preserve">21 </w:t>
      </w:r>
      <w:r>
        <w:t xml:space="preserve">Say to the house of Israel, Thus says the Lord: Behold, I profane my holy things, the boasting of your strength, the desire</w:t>
      </w:r>
      <w:r>
        <w:rPr>
          <w:rStyle w:val="FootnoteReference"/>
        </w:rPr>
        <w:footnoteReference w:id="13049"/>
      </w:r>
      <w:r>
        <w:t xml:space="preserve"> of your eyes and what your souls spare, and your sons and your daughters whom you left behind will fall by sword.</w:t>
      </w:r>
    </w:p>
    <w:p>
      <w:r>
        <w:rPr>
          <w:b/>
        </w:rPr>
        <w:t xml:space="preserve">22 </w:t>
      </w:r>
      <w:r>
        <w:t xml:space="preserve">And you will do as I did. You will not be comforted by their mouth, and bread of men you will not eat.</w:t>
      </w:r>
    </w:p>
    <w:p>
      <w:r>
        <w:rPr>
          <w:b/>
        </w:rPr>
        <w:t xml:space="preserve">23 </w:t>
      </w:r>
      <w:r>
        <w:t xml:space="preserve">And your hair will be on your head and your sandals on your feet. You will neither mourn nor weep, and you will melt away in your injustices, and each of you will comfort his brother.</w:t>
      </w:r>
    </w:p>
    <w:p>
      <w:r>
        <w:rPr>
          <w:b/>
        </w:rPr>
        <w:t xml:space="preserve">24 </w:t>
      </w:r>
      <w:r>
        <w:t xml:space="preserve">And Ezekiel</w:t>
      </w:r>
      <w:r>
        <w:rPr>
          <w:rStyle w:val="FootnoteReference"/>
        </w:rPr>
        <w:footnoteReference w:id="13050"/>
      </w:r>
      <w:r>
        <w:t xml:space="preserve"> will be for you a sign; according to all that he did you will do when these things come, and you will know that I am the Lord.</w:t>
      </w:r>
    </w:p>
    <w:p>
      <w:r>
        <w:rPr>
          <w:b/>
        </w:rPr>
        <w:t xml:space="preserve">25 </w:t>
      </w:r>
      <w:r>
        <w:t xml:space="preserve">And you, son of man, will it not be on the day when I take from them their strength</w:t>
      </w:r>
      <w:r>
        <w:rPr>
          <w:rStyle w:val="FootnoteReference"/>
        </w:rPr>
        <w:footnoteReference w:id="13051"/>
      </w:r>
      <w:r>
        <w:t xml:space="preserve">, the exaltation of their boasting, the desire of their eyes and the exaltation of their soul, their sons and their daughters,</w:t>
      </w:r>
    </w:p>
    <w:p>
      <w:r>
        <w:rPr>
          <w:b/>
        </w:rPr>
        <w:t xml:space="preserve">26 </w:t>
      </w:r>
      <w:r>
        <w:t xml:space="preserve">on that day the one escaping will come to you to announce it in your ears?</w:t>
      </w:r>
    </w:p>
    <w:p>
      <w:r>
        <w:rPr>
          <w:b/>
        </w:rPr>
        <w:t xml:space="preserve">27 </w:t>
      </w:r>
      <w:r>
        <w:t xml:space="preserve">On that day your mouth will be opened to the one escaping, and you will speak and no longer be mute, and you will be to them as a sign, and they will know that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And the word of the Lord came to me, saying,</w:t>
      </w:r>
    </w:p>
    <w:p>
      <w:r>
        <w:rPr>
          <w:b/>
        </w:rPr>
        <w:t xml:space="preserve">2 </w:t>
      </w:r>
      <w:r>
        <w:t xml:space="preserve">Son of man, set your face toward the sons of Ammon and prophesy against them,</w:t>
      </w:r>
    </w:p>
    <w:p>
      <w:r>
        <w:rPr>
          <w:b/>
        </w:rPr>
        <w:t xml:space="preserve">3 </w:t>
      </w:r>
      <w:r>
        <w:t xml:space="preserve">and say to the sons of Ammon, Hear the word of the Lord. Thus says the Lord: Because you rejoiced over my holy things that they were profaned, and over the land of Israel that it was destroyed, and over the house of Judah that they went into captivity,</w:t>
      </w:r>
    </w:p>
    <w:p>
      <w:r>
        <w:rPr>
          <w:b/>
        </w:rPr>
        <w:t xml:space="preserve">4 </w:t>
      </w:r>
      <w:r>
        <w:t xml:space="preserve">therefore behold, I give you to the sons of the east</w:t>
      </w:r>
      <w:r>
        <w:rPr>
          <w:rStyle w:val="FootnoteReference"/>
        </w:rPr>
        <w:footnoteReference w:id="13052"/>
      </w:r>
      <w:r>
        <w:t xml:space="preserve"> for inheritance, and they will camp with their equipment in you and pitch their tents in you. They will eat your fruits, and they will drink your richness.</w:t>
      </w:r>
    </w:p>
    <w:p>
      <w:r>
        <w:rPr>
          <w:b/>
        </w:rPr>
        <w:t xml:space="preserve">5 </w:t>
      </w:r>
      <w:r>
        <w:t xml:space="preserve">And I will give the city of Ammon for a pasture for camels and the sons of Ammon for a pasture for sheep, and you will know that I am the Lord.</w:t>
      </w:r>
    </w:p>
    <w:p>
      <w:r>
        <w:rPr>
          <w:b/>
        </w:rPr>
        <w:t xml:space="preserve">6 </w:t>
      </w:r>
      <w:r>
        <w:t xml:space="preserve">Because thus says the Lord: Because you clapped your hand and stamped</w:t>
      </w:r>
      <w:r>
        <w:rPr>
          <w:rStyle w:val="FootnoteReference"/>
        </w:rPr>
        <w:footnoteReference w:id="13053"/>
      </w:r>
      <w:r>
        <w:t xml:space="preserve"> your foot and rejoiced with all your soul over the land of Israel,</w:t>
      </w:r>
    </w:p>
    <w:p>
      <w:r>
        <w:rPr>
          <w:b/>
        </w:rPr>
        <w:t xml:space="preserve">7 </w:t>
      </w:r>
      <w:r>
        <w:t xml:space="preserve">therefore I stretch out my hand against you and give you for plunder among the nations and destroy you from the peoples and make you perish from the lands with destruction, and you will know that I am the Lord.</w:t>
      </w:r>
    </w:p>
    <w:p>
      <w:r>
        <w:rPr>
          <w:b/>
        </w:rPr>
        <w:t xml:space="preserve">8 </w:t>
      </w:r>
      <w:r>
        <w:t xml:space="preserve">Thus says the Lord: Because Moab</w:t>
      </w:r>
      <w:r>
        <w:rPr>
          <w:rStyle w:val="FootnoteReference"/>
        </w:rPr>
        <w:footnoteReference w:id="13054"/>
      </w:r>
      <w:r>
        <w:t xml:space="preserve"> said, Behold, the house of Israel and Judah is like all the nations,</w:t>
      </w:r>
    </w:p>
    <w:p>
      <w:r>
        <w:rPr>
          <w:b/>
        </w:rPr>
        <w:t xml:space="preserve">9 </w:t>
      </w:r>
      <w:r>
        <w:t xml:space="preserve">therefore behold, I weaken the shoulder of Moab from its frontier cities, the choice land: Beth-Asimouth above the spring of the city by the sea,</w:t>
      </w:r>
    </w:p>
    <w:p>
      <w:r>
        <w:rPr>
          <w:b/>
        </w:rPr>
        <w:t xml:space="preserve">10 </w:t>
      </w:r>
      <w:r>
        <w:t xml:space="preserve">to the sons of the east, against the sons of Ammon, I have given them for inheritance, so that no remembrance of the sons of Ammon may come to be.</w:t>
      </w:r>
    </w:p>
    <w:p>
      <w:r>
        <w:rPr>
          <w:b/>
        </w:rPr>
        <w:t xml:space="preserve">11 </w:t>
      </w:r>
      <w:r>
        <w:t xml:space="preserve">And against Moab I will do vengeance, and they will know that I am the Lord.</w:t>
      </w:r>
    </w:p>
    <w:p>
      <w:r>
        <w:rPr>
          <w:b/>
        </w:rPr>
        <w:t xml:space="preserve">12 </w:t>
      </w:r>
      <w:r>
        <w:t xml:space="preserve">Thus says the Lord: Because Edom acted in taking vengeance</w:t>
      </w:r>
      <w:r>
        <w:rPr>
          <w:rStyle w:val="FootnoteReference"/>
        </w:rPr>
        <w:footnoteReference w:id="13055"/>
      </w:r>
      <w:r>
        <w:t xml:space="preserve"> with vengeance against the house of Judah, and they remembered wrongs and exacted a claim,</w:t>
      </w:r>
    </w:p>
    <w:p>
      <w:r>
        <w:rPr>
          <w:b/>
        </w:rPr>
        <w:t xml:space="preserve">13 </w:t>
      </w:r>
      <w:r>
        <w:t xml:space="preserve">therefore thus says the Lord: I will stretch out my hand against Edom and destroy from it man and cattle and make it a wilderness, and from Teman</w:t>
      </w:r>
      <w:r>
        <w:rPr>
          <w:rStyle w:val="FootnoteReference"/>
        </w:rPr>
        <w:footnoteReference w:id="13056"/>
      </w:r>
      <w:r>
        <w:t xml:space="preserve"> the pursued will fall by sword.</w:t>
      </w:r>
    </w:p>
    <w:p>
      <w:r>
        <w:rPr>
          <w:b/>
        </w:rPr>
        <w:t xml:space="preserve">14 </w:t>
      </w:r>
      <w:r>
        <w:t xml:space="preserve">And I will place my vengeance upon Edom by the hand</w:t>
      </w:r>
      <w:r>
        <w:rPr>
          <w:rStyle w:val="FootnoteReference"/>
        </w:rPr>
        <w:footnoteReference w:id="13057"/>
      </w:r>
      <w:r>
        <w:t xml:space="preserve"> of my people Israel, and they will act in Edom according to my anger and according to my wrath, and they will know my vengeance, says the Lord.</w:t>
      </w:r>
    </w:p>
    <w:p>
      <w:r>
        <w:rPr>
          <w:b/>
        </w:rPr>
        <w:t xml:space="preserve">15 </w:t>
      </w:r>
      <w:r>
        <w:t xml:space="preserve">Therefore thus says the Lord: Because the foreigners acted in vengeance and raised up vengeance, rejoicing from the soul to wipe out forever,</w:t>
      </w:r>
    </w:p>
    <w:p>
      <w:r>
        <w:rPr>
          <w:b/>
        </w:rPr>
        <w:t xml:space="preserve">16 </w:t>
      </w:r>
      <w:r>
        <w:t xml:space="preserve">therefore thus says the Lord: Behold, I stretch out my hand against the foreigners and destroy</w:t>
      </w:r>
      <w:r>
        <w:rPr>
          <w:rStyle w:val="FootnoteReference"/>
        </w:rPr>
        <w:footnoteReference w:id="13058"/>
      </w:r>
      <w:r>
        <w:t xml:space="preserve"> the Cretans</w:t>
      </w:r>
      <w:r>
        <w:rPr>
          <w:rStyle w:val="FootnoteReference"/>
        </w:rPr>
        <w:footnoteReference w:id="13059"/>
      </w:r>
      <w:r>
        <w:t xml:space="preserve"> and wipe out the remnant dwelling on the coast.</w:t>
      </w:r>
    </w:p>
    <w:p>
      <w:r>
        <w:rPr>
          <w:b/>
        </w:rPr>
        <w:t xml:space="preserve">17 </w:t>
      </w:r>
      <w:r>
        <w:t xml:space="preserve">And I will do great acts of vengeance among them, and they will know that I am the Lord when I give my vengeance upon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it happened in the eleventh year, on the first of the month, the word of the Lord came to me, saying,</w:t>
      </w:r>
    </w:p>
    <w:p>
      <w:r>
        <w:rPr>
          <w:b/>
        </w:rPr>
        <w:t xml:space="preserve">2 </w:t>
      </w:r>
      <w:r>
        <w:t xml:space="preserve">Son of man, because Tyre said against Jerusalem, Aha, she was crushed; the nations have perished; she has turned back to me; the full one has been laid waste,</w:t>
      </w:r>
    </w:p>
    <w:p>
      <w:r>
        <w:rPr>
          <w:b/>
        </w:rPr>
        <w:t xml:space="preserve">3 </w:t>
      </w:r>
      <w:r>
        <w:t xml:space="preserve">therefore thus says the Lord: Behold</w:t>
      </w:r>
      <w:r>
        <w:rPr>
          <w:rStyle w:val="FootnoteReference"/>
        </w:rPr>
        <w:footnoteReference w:id="13060"/>
      </w:r>
      <w:r>
        <w:t xml:space="preserve">, I am against you, Tyre, and I will bring up many nations against you as the sea brings up its waves.</w:t>
      </w:r>
    </w:p>
    <w:p>
      <w:r>
        <w:rPr>
          <w:b/>
        </w:rPr>
        <w:t xml:space="preserve">4 </w:t>
      </w:r>
      <w:r>
        <w:t xml:space="preserve">And they will throw down the walls of Tyre and throw down your towers, and I will winnow her dust from her and give her as bare rock.</w:t>
      </w:r>
    </w:p>
    <w:p>
      <w:r>
        <w:rPr>
          <w:b/>
        </w:rPr>
        <w:t xml:space="preserve">5 </w:t>
      </w:r>
      <w:r>
        <w:t xml:space="preserve">A drying place for nets she will be in the midst of the sea, because I have spoken, says the Lord, and she will be spoil for the nations.</w:t>
      </w:r>
    </w:p>
    <w:p>
      <w:r>
        <w:rPr>
          <w:b/>
        </w:rPr>
        <w:t xml:space="preserve">6 </w:t>
      </w:r>
      <w:r>
        <w:t xml:space="preserve">And her daughters</w:t>
      </w:r>
      <w:r>
        <w:rPr>
          <w:rStyle w:val="FootnoteReference"/>
        </w:rPr>
        <w:footnoteReference w:id="13061"/>
      </w:r>
      <w:r>
        <w:t xml:space="preserve"> in the field will be killed by sword, and they will know that I am the Lord.</w:t>
      </w:r>
    </w:p>
    <w:p>
      <w:r>
        <w:rPr>
          <w:b/>
        </w:rPr>
        <w:t xml:space="preserve">7 </w:t>
      </w:r>
      <w:r>
        <w:t xml:space="preserve">Because thus says the Lord: Behold, I bring against you, Tyre, Nebuchadnezzar king of Babylon from the north; he is king of kings, with horses</w:t>
      </w:r>
      <w:r>
        <w:rPr>
          <w:rStyle w:val="FootnoteReference"/>
        </w:rPr>
        <w:footnoteReference w:id="13062"/>
      </w:r>
      <w:r>
        <w:t xml:space="preserve"> and chariots and horsemen and a gathering of very many nations.</w:t>
      </w:r>
    </w:p>
    <w:p>
      <w:r>
        <w:rPr>
          <w:b/>
        </w:rPr>
        <w:t xml:space="preserve">8 </w:t>
      </w:r>
      <w:r>
        <w:t xml:space="preserve">He will kill your daughters in the field by sword, and he will set a guard against you and build siege-works; around you he will make a trench and an encirclement of weapons, and he will set his spears opposite you.</w:t>
      </w:r>
    </w:p>
    <w:p>
      <w:r>
        <w:rPr>
          <w:b/>
        </w:rPr>
        <w:t xml:space="preserve">9 </w:t>
      </w:r>
      <w:r>
        <w:t xml:space="preserve">Your walls and your towers he will throw down with his swords.</w:t>
      </w:r>
    </w:p>
    <w:p>
      <w:r>
        <w:rPr>
          <w:b/>
        </w:rPr>
        <w:t xml:space="preserve">10 </w:t>
      </w:r>
      <w:r>
        <w:t xml:space="preserve">From the multitude of his horses their dust will cover you, and from the sound of his horsemen and the wheels of his chariots your walls will shake</w:t>
      </w:r>
      <w:r>
        <w:rPr>
          <w:rStyle w:val="FootnoteReference"/>
        </w:rPr>
        <w:footnoteReference w:id="13063"/>
      </w:r>
      <w:r>
        <w:t xml:space="preserve"> when he enters your gates, as one entering city from the plain.</w:t>
      </w:r>
    </w:p>
    <w:p>
      <w:r>
        <w:rPr>
          <w:b/>
        </w:rPr>
        <w:t xml:space="preserve">11 </w:t>
      </w:r>
      <w:r>
        <w:t xml:space="preserve">With the hoofs</w:t>
      </w:r>
      <w:r>
        <w:rPr>
          <w:rStyle w:val="FootnoteReference"/>
        </w:rPr>
        <w:footnoteReference w:id="13064"/>
      </w:r>
      <w:r>
        <w:t xml:space="preserve"> of his horses they will trample all your streets; your people he will kill by sword, and the support of your strength he will bring down to the ground.</w:t>
      </w:r>
    </w:p>
    <w:p>
      <w:r>
        <w:rPr>
          <w:b/>
        </w:rPr>
        <w:t xml:space="preserve">12 </w:t>
      </w:r>
      <w:r>
        <w:t xml:space="preserve">And he will plunder your power and spoil your possessions, and he will throw down your walls and pull down your desirable houses; your stones and your timber and your dust he will throw into the midst of the sea.</w:t>
      </w:r>
    </w:p>
    <w:p>
      <w:r>
        <w:rPr>
          <w:b/>
        </w:rPr>
        <w:t xml:space="preserve">13 </w:t>
      </w:r>
      <w:r>
        <w:t xml:space="preserve">And he will end the multitude of your musicians, and the sound of your psalteries will never again be heard.</w:t>
      </w:r>
    </w:p>
    <w:p>
      <w:r>
        <w:rPr>
          <w:b/>
        </w:rPr>
        <w:t xml:space="preserve">14 </w:t>
      </w:r>
      <w:r>
        <w:t xml:space="preserve">And I will give you as bare rock; a drying place for nets you will be; you will never again be built</w:t>
      </w:r>
      <w:r>
        <w:rPr>
          <w:rStyle w:val="FootnoteReference"/>
        </w:rPr>
        <w:footnoteReference w:id="13065"/>
      </w:r>
      <w:r>
        <w:t xml:space="preserve">, because I have spoken, says the Lord.</w:t>
      </w:r>
    </w:p>
    <w:p>
      <w:r>
        <w:rPr>
          <w:b/>
        </w:rPr>
        <w:t xml:space="preserve">15 </w:t>
      </w:r>
      <w:r>
        <w:t xml:space="preserve">Because thus says the Lord God to Tyre: Will not the islands shake</w:t>
      </w:r>
      <w:r>
        <w:rPr>
          <w:rStyle w:val="FootnoteReference"/>
        </w:rPr>
        <w:footnoteReference w:id="13066"/>
      </w:r>
      <w:r>
        <w:t xml:space="preserve"> at the sound of your fall, when the wounded groan, when a sword is drawn in your midst?</w:t>
      </w:r>
    </w:p>
    <w:p>
      <w:r>
        <w:rPr>
          <w:b/>
        </w:rPr>
        <w:t xml:space="preserve">16 </w:t>
      </w:r>
      <w:r>
        <w:t xml:space="preserve">And all rulers from the nations of the sea will come down from their thrones and take off their turbans from their heads and strip off their embroidered clothing; in astonishment they will be astonished</w:t>
      </w:r>
      <w:r>
        <w:rPr>
          <w:rStyle w:val="FootnoteReference"/>
        </w:rPr>
        <w:footnoteReference w:id="13067"/>
      </w:r>
      <w:r>
        <w:t xml:space="preserve">, on the ground they will sit, and they will fear their destruction and groan over you.</w:t>
      </w:r>
    </w:p>
    <w:p>
      <w:r>
        <w:rPr>
          <w:b/>
        </w:rPr>
        <w:t xml:space="preserve">17 </w:t>
      </w:r>
      <w:r>
        <w:t xml:space="preserve">And they will take</w:t>
      </w:r>
      <w:r>
        <w:rPr>
          <w:rStyle w:val="FootnoteReference"/>
        </w:rPr>
        <w:footnoteReference w:id="13068"/>
      </w:r>
      <w:r>
        <w:t xml:space="preserve"> up lament over you and say to you, How were you destroyed from the sea, the praised city, giving her fear to all those dwelling in her?</w:t>
      </w:r>
    </w:p>
    <w:p>
      <w:r>
        <w:rPr>
          <w:b/>
        </w:rPr>
        <w:t xml:space="preserve">18 </w:t>
      </w:r>
      <w:r>
        <w:t xml:space="preserve">And the islands will fear from the day of your fall.</w:t>
      </w:r>
    </w:p>
    <w:p>
      <w:r>
        <w:rPr>
          <w:b/>
        </w:rPr>
        <w:t xml:space="preserve">19 </w:t>
      </w:r>
      <w:r>
        <w:t xml:space="preserve">Because thus says the Lord God: When I make you a city laid waste, like the cities that will not be inhabited, when I bring</w:t>
      </w:r>
      <w:r>
        <w:rPr>
          <w:rStyle w:val="FootnoteReference"/>
        </w:rPr>
        <w:footnoteReference w:id="13069"/>
      </w:r>
      <w:r>
        <w:t xml:space="preserve"> up the deep over you and much water covers you,</w:t>
      </w:r>
    </w:p>
    <w:p>
      <w:r>
        <w:rPr>
          <w:b/>
        </w:rPr>
        <w:t xml:space="preserve">20 </w:t>
      </w:r>
      <w:r>
        <w:t xml:space="preserve">then I will bring you down to those going down into a pit, to the people of old, and make you dwell in the depths of the earth like everlasting desolation with those going down into a pit, so that you will not be inhabited nor arise upon the land of the living.</w:t>
      </w:r>
    </w:p>
    <w:p>
      <w:r>
        <w:rPr>
          <w:b/>
        </w:rPr>
        <w:t xml:space="preserve">21 </w:t>
      </w:r>
      <w:r>
        <w:t xml:space="preserve">I will make you a destruction, and you will no longer exist forever, says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the word of the Lord came to me, saying,</w:t>
      </w:r>
    </w:p>
    <w:p>
      <w:r>
        <w:rPr>
          <w:b/>
        </w:rPr>
        <w:t xml:space="preserve">2 </w:t>
      </w:r>
      <w:r>
        <w:t xml:space="preserve">Son of man, take up lamentation over Tyre,</w:t>
      </w:r>
    </w:p>
    <w:p>
      <w:r>
        <w:rPr>
          <w:b/>
        </w:rPr>
        <w:t xml:space="preserve">3 </w:t>
      </w:r>
      <w:r>
        <w:t xml:space="preserve">and say to Tyre dwelling at the entrance of the sea, trading-place of peoples from many islands, Thus says the Lord to Tyre: You said, I have set my beauty around myself.</w:t>
      </w:r>
    </w:p>
    <w:p>
      <w:r>
        <w:rPr>
          <w:b/>
        </w:rPr>
        <w:t xml:space="preserve">4 </w:t>
      </w:r>
      <w:r>
        <w:t xml:space="preserve">In the heart of the sea, your sons set beauty around you for Beelim.</w:t>
      </w:r>
    </w:p>
    <w:p>
      <w:r>
        <w:rPr>
          <w:b/>
        </w:rPr>
        <w:t xml:space="preserve">5 </w:t>
      </w:r>
      <w:r>
        <w:t xml:space="preserve">Cedar from Senir was built for you; planks of cypress from Lebanon were taken to make fir masts for you.</w:t>
      </w:r>
    </w:p>
    <w:p>
      <w:r>
        <w:rPr>
          <w:b/>
        </w:rPr>
        <w:t xml:space="preserve">6 </w:t>
      </w:r>
      <w:r>
        <w:t xml:space="preserve">From Bashan they made your oars; your sacred things they made from ivory, wooded houses from the islands of Kittim.</w:t>
      </w:r>
    </w:p>
    <w:p>
      <w:r>
        <w:rPr>
          <w:b/>
        </w:rPr>
        <w:t xml:space="preserve">7 </w:t>
      </w:r>
      <w:r>
        <w:t xml:space="preserve">Fine linen</w:t>
      </w:r>
      <w:r>
        <w:rPr>
          <w:rStyle w:val="FootnoteReference"/>
        </w:rPr>
        <w:footnoteReference w:id="13070"/>
      </w:r>
      <w:r>
        <w:t xml:space="preserve"> with embroidery from Egypt became your bedding, to put glory around you and clothe you with blue and purple from the islands of Elishah; these became your coverings.</w:t>
      </w:r>
    </w:p>
    <w:p>
      <w:r>
        <w:rPr>
          <w:b/>
        </w:rPr>
        <w:t xml:space="preserve">8 </w:t>
      </w:r>
      <w:r>
        <w:t xml:space="preserve">And your rulers, those dwelling in Sidon, and Aradians</w:t>
      </w:r>
      <w:r>
        <w:rPr>
          <w:rStyle w:val="FootnoteReference"/>
        </w:rPr>
        <w:footnoteReference w:id="13071"/>
      </w:r>
      <w:r>
        <w:t xml:space="preserve"> became your rowers; your wise</w:t>
      </w:r>
      <w:r>
        <w:rPr>
          <w:rStyle w:val="FootnoteReference"/>
        </w:rPr>
        <w:footnoteReference w:id="13072"/>
      </w:r>
      <w:r>
        <w:t xml:space="preserve"> men, Tyre, who were in you, these were your pilots.</w:t>
      </w:r>
    </w:p>
    <w:p>
      <w:r>
        <w:rPr>
          <w:b/>
        </w:rPr>
        <w:t xml:space="preserve">9 </w:t>
      </w:r>
      <w:r>
        <w:t xml:space="preserve">Elders of Byblos and their wise men were in you; these strengthened your counsel, and all the ships of the sea and their rowers were for you toward the farthest west.</w:t>
      </w:r>
    </w:p>
    <w:p>
      <w:r>
        <w:rPr>
          <w:b/>
        </w:rPr>
        <w:t xml:space="preserve">10 </w:t>
      </w:r>
      <w:r>
        <w:t xml:space="preserve">Persians and Lydians and Libyans were in your force as your men of war; they hung shields and helmets in you; these gave you your glory.</w:t>
      </w:r>
    </w:p>
    <w:p>
      <w:r>
        <w:rPr>
          <w:b/>
        </w:rPr>
        <w:t xml:space="preserve">11 </w:t>
      </w:r>
      <w:r>
        <w:t xml:space="preserve">Sons of Aradians and your force were on your walls; guards were in your towers; their quivers they hung on your battlements all around; they completed your beauty.</w:t>
      </w:r>
    </w:p>
    <w:p>
      <w:r>
        <w:rPr>
          <w:b/>
        </w:rPr>
        <w:t xml:space="preserve">12 </w:t>
      </w:r>
      <w:r>
        <w:t xml:space="preserve">The Carthaginians were your merchants because of the abundance of all your strength; silver and gold and iron and tin and lead they gave to your market.</w:t>
      </w:r>
    </w:p>
    <w:p>
      <w:r>
        <w:rPr>
          <w:b/>
        </w:rPr>
        <w:t xml:space="preserve">13 </w:t>
      </w:r>
      <w:r>
        <w:t xml:space="preserve">Greece and all the land and the adjacent places traded with you in souls of men, and vessels of bronze they gave to your trade.</w:t>
      </w:r>
    </w:p>
    <w:p>
      <w:r>
        <w:rPr>
          <w:b/>
        </w:rPr>
        <w:t xml:space="preserve">14 </w:t>
      </w:r>
      <w:r>
        <w:t xml:space="preserve">From the house of Togarmah</w:t>
      </w:r>
      <w:r>
        <w:rPr>
          <w:rStyle w:val="FootnoteReference"/>
        </w:rPr>
        <w:footnoteReference w:id="13073"/>
      </w:r>
      <w:r>
        <w:t xml:space="preserve"> horses and horsemen they gave to your market.</w:t>
      </w:r>
    </w:p>
    <w:p>
      <w:r>
        <w:rPr>
          <w:b/>
        </w:rPr>
        <w:t xml:space="preserve">15 </w:t>
      </w:r>
      <w:r>
        <w:t xml:space="preserve">Sons of Rhodians</w:t>
      </w:r>
      <w:r>
        <w:rPr>
          <w:rStyle w:val="FootnoteReference"/>
        </w:rPr>
        <w:footnoteReference w:id="13074"/>
      </w:r>
      <w:r>
        <w:t xml:space="preserve"> were your merchants; from islands they multiplied your trade with ivory teeth, and for imports you paid back your wages.</w:t>
      </w:r>
      <w:r>
        <w:rPr>
          <w:rStyle w:val="FootnoteReference"/>
        </w:rPr>
        <w:footnoteReference w:id="13075"/>
      </w:r>
    </w:p>
    <w:p>
      <w:r>
        <w:rPr>
          <w:b/>
        </w:rPr>
        <w:t xml:space="preserve">16 </w:t>
      </w:r>
      <w:r>
        <w:t xml:space="preserve">Men were your merchandise from the abundance of your mixed trade; myrrh and embroidered works from Tarshish and Ramoth and Chorchor they gave to your market.</w:t>
      </w:r>
    </w:p>
    <w:p>
      <w:r>
        <w:rPr>
          <w:b/>
        </w:rPr>
        <w:t xml:space="preserve">17 </w:t>
      </w:r>
      <w:r>
        <w:t xml:space="preserve">Judah and the sons of Israel, these were your merchants. In the sale of wheat</w:t>
      </w:r>
      <w:r>
        <w:rPr>
          <w:rStyle w:val="FootnoteReference"/>
        </w:rPr>
        <w:footnoteReference w:id="13076"/>
      </w:r>
      <w:r>
        <w:t xml:space="preserve"> and perfumes and cassia and best honey and oil and resin they gave to your mixed trade.</w:t>
      </w:r>
    </w:p>
    <w:p>
      <w:r>
        <w:rPr>
          <w:b/>
        </w:rPr>
        <w:t xml:space="preserve">18 </w:t>
      </w:r>
      <w:r>
        <w:t xml:space="preserve">Damascus</w:t>
      </w:r>
      <w:r>
        <w:rPr>
          <w:rStyle w:val="FootnoteReference"/>
        </w:rPr>
        <w:footnoteReference w:id="13077"/>
      </w:r>
      <w:r>
        <w:t xml:space="preserve"> was your merchant because of the abundance of all your strength, wine from Helbon</w:t>
      </w:r>
      <w:r>
        <w:rPr>
          <w:rStyle w:val="FootnoteReference"/>
        </w:rPr>
        <w:footnoteReference w:id="13078"/>
      </w:r>
      <w:r>
        <w:t xml:space="preserve"> and wool from Miletus</w:t>
      </w:r>
      <w:r>
        <w:rPr>
          <w:rStyle w:val="FootnoteReference"/>
        </w:rPr>
        <w:footnoteReference w:id="13079"/>
      </w:r>
      <w:r>
        <w:t xml:space="preserve">.</w:t>
      </w:r>
    </w:p>
    <w:p>
      <w:r>
        <w:rPr>
          <w:b/>
        </w:rPr>
        <w:t xml:space="preserve">19 </w:t>
      </w:r>
      <w:r>
        <w:t xml:space="preserve">And they gave wine to your market from Asel; worked iron and a wheel are in your mixed trade.</w:t>
      </w:r>
    </w:p>
    <w:p>
      <w:r>
        <w:rPr>
          <w:b/>
        </w:rPr>
        <w:t xml:space="preserve">20 </w:t>
      </w:r>
      <w:r>
        <w:t xml:space="preserve">Dedan</w:t>
      </w:r>
      <w:r>
        <w:rPr>
          <w:rStyle w:val="FootnoteReference"/>
        </w:rPr>
        <w:footnoteReference w:id="13080"/>
      </w:r>
      <w:r>
        <w:t xml:space="preserve"> were your merchants with choice beasts for chariots.</w:t>
      </w:r>
    </w:p>
    <w:p>
      <w:r>
        <w:rPr>
          <w:b/>
        </w:rPr>
        <w:t xml:space="preserve">21 </w:t>
      </w:r>
      <w:r>
        <w:t xml:space="preserve">Arabia</w:t>
      </w:r>
      <w:r>
        <w:rPr>
          <w:rStyle w:val="FootnoteReference"/>
        </w:rPr>
        <w:footnoteReference w:id="13081"/>
      </w:r>
      <w:r>
        <w:t xml:space="preserve"> and all the rulers of Kedar, these were your merchants through your hand; in camels and rams and lambs they traded with you.</w:t>
      </w:r>
    </w:p>
    <w:p>
      <w:r>
        <w:rPr>
          <w:b/>
        </w:rPr>
        <w:t xml:space="preserve">22 </w:t>
      </w:r>
      <w:r>
        <w:t xml:space="preserve">Merchants of Sheba</w:t>
      </w:r>
      <w:r>
        <w:rPr>
          <w:rStyle w:val="FootnoteReference"/>
        </w:rPr>
        <w:footnoteReference w:id="13082"/>
      </w:r>
      <w:r>
        <w:t xml:space="preserve"> and Raamah, these were your merchants; with choice spices and precious stones and gold they gave to your market.</w:t>
      </w:r>
    </w:p>
    <w:p>
      <w:r>
        <w:rPr>
          <w:b/>
        </w:rPr>
        <w:t xml:space="preserve">23 </w:t>
      </w:r>
      <w:r>
        <w:t xml:space="preserve">Haran</w:t>
      </w:r>
      <w:r>
        <w:rPr>
          <w:rStyle w:val="FootnoteReference"/>
        </w:rPr>
        <w:footnoteReference w:id="13083"/>
      </w:r>
      <w:r>
        <w:t xml:space="preserve"> and Canneh</w:t>
      </w:r>
      <w:r>
        <w:rPr>
          <w:rStyle w:val="FootnoteReference"/>
        </w:rPr>
        <w:footnoteReference w:id="13084"/>
      </w:r>
      <w:r>
        <w:t xml:space="preserve">, these were your merchants; Asshur and Charman</w:t>
      </w:r>
      <w:r>
        <w:rPr>
          <w:rStyle w:val="FootnoteReference"/>
        </w:rPr>
        <w:footnoteReference w:id="13085"/>
      </w:r>
      <w:r>
        <w:t xml:space="preserve"> were your merchants,</w:t>
      </w:r>
    </w:p>
    <w:p>
      <w:r>
        <w:rPr>
          <w:b/>
        </w:rPr>
        <w:t xml:space="preserve">24 </w:t>
      </w:r>
      <w:r>
        <w:t xml:space="preserve">bringing merchandise, blue cloth and choice treasures tied with cords and cypress wood.</w:t>
      </w:r>
    </w:p>
    <w:p>
      <w:r>
        <w:rPr>
          <w:b/>
        </w:rPr>
        <w:t xml:space="preserve">25 </w:t>
      </w:r>
      <w:r>
        <w:t xml:space="preserve">Ships</w:t>
      </w:r>
      <w:r>
        <w:rPr>
          <w:rStyle w:val="FootnoteReference"/>
        </w:rPr>
        <w:footnoteReference w:id="13086"/>
      </w:r>
      <w:r>
        <w:t xml:space="preserve"> among them, Carthaginians, were your merchants in abundance in your mixed trade, and you were filled and loaded very heavily in the heart of the sea.</w:t>
      </w:r>
    </w:p>
    <w:p>
      <w:r>
        <w:rPr>
          <w:b/>
        </w:rPr>
        <w:t xml:space="preserve">26 </w:t>
      </w:r>
      <w:r>
        <w:t xml:space="preserve">In much water your rowers</w:t>
      </w:r>
      <w:r>
        <w:rPr>
          <w:rStyle w:val="FootnoteReference"/>
        </w:rPr>
        <w:footnoteReference w:id="13087"/>
      </w:r>
      <w:r>
        <w:t xml:space="preserve"> led you; the south wind shattered you in the heart of the sea.</w:t>
      </w:r>
    </w:p>
    <w:p>
      <w:r>
        <w:rPr>
          <w:b/>
        </w:rPr>
        <w:t xml:space="preserve">27 </w:t>
      </w:r>
      <w:r>
        <w:t xml:space="preserve">Your forces and your wages and your traders and your rowers and your pilots and your counselors and your dealers from among your dealers and all your men of war who are in you and all your gathering in your midst</w:t>
      </w:r>
      <w:r>
        <w:rPr>
          <w:rStyle w:val="FootnoteReference"/>
        </w:rPr>
        <w:footnoteReference w:id="13088"/>
      </w:r>
      <w:r>
        <w:t xml:space="preserve"> will fall in the heart of the sea on the day of your fall.</w:t>
      </w:r>
    </w:p>
    <w:p>
      <w:r>
        <w:rPr>
          <w:b/>
        </w:rPr>
        <w:t xml:space="preserve">28 </w:t>
      </w:r>
      <w:r>
        <w:t xml:space="preserve">At the sound of your cry your pilots will fear with fear.</w:t>
      </w:r>
    </w:p>
    <w:p>
      <w:r>
        <w:rPr>
          <w:b/>
        </w:rPr>
        <w:t xml:space="preserve">29 </w:t>
      </w:r>
      <w:r>
        <w:t xml:space="preserve">And all your rowers and passengers and helmsmen of the sea will come down from the ships and stand on the land.</w:t>
      </w:r>
    </w:p>
    <w:p>
      <w:r>
        <w:rPr>
          <w:b/>
        </w:rPr>
        <w:t xml:space="preserve">30 </w:t>
      </w:r>
      <w:r>
        <w:t xml:space="preserve">And they will howl over you with their voice and cry bitterly and put earth on their heads and spread ashes beneath themselves.</w:t>
      </w:r>
    </w:p>
    <w:p>
      <w:r>
        <w:rPr>
          <w:b/>
        </w:rPr>
        <w:t xml:space="preserve">32 </w:t>
      </w:r>
      <w:r>
        <w:t xml:space="preserve">And their sons will take up</w:t>
      </w:r>
      <w:r>
        <w:rPr>
          <w:rStyle w:val="FootnoteReference"/>
        </w:rPr>
        <w:footnoteReference w:id="13089"/>
      </w:r>
      <w:r>
        <w:t xml:space="preserve"> a lament over you and a lamentation for you:</w:t>
      </w:r>
    </w:p>
    <w:p>
      <w:r>
        <w:rPr>
          <w:b/>
        </w:rPr>
        <w:t xml:space="preserve">33 </w:t>
      </w:r>
      <w:r>
        <w:t xml:space="preserve">What kind of wages did you find from the sea? You filled nations from your abundance, and from your mixed trade you enriched all the kings of the earth.</w:t>
      </w:r>
    </w:p>
    <w:p>
      <w:r>
        <w:rPr>
          <w:b/>
        </w:rPr>
        <w:t xml:space="preserve">34 </w:t>
      </w:r>
      <w:r>
        <w:t xml:space="preserve">Now you were shattered in the sea, in the depth of water; your mixed trade and all your gathering in your midst fell; all your rowers fell.</w:t>
      </w:r>
    </w:p>
    <w:p>
      <w:r>
        <w:rPr>
          <w:b/>
        </w:rPr>
        <w:t xml:space="preserve">35 </w:t>
      </w:r>
      <w:r>
        <w:t xml:space="preserve">All those dwelling on the islands were appalled over you, and their kings</w:t>
      </w:r>
      <w:r>
        <w:rPr>
          <w:rStyle w:val="FootnoteReference"/>
        </w:rPr>
        <w:footnoteReference w:id="13090"/>
      </w:r>
      <w:r>
        <w:t xml:space="preserve"> stood in astonishment, and their faces wept.</w:t>
      </w:r>
    </w:p>
    <w:p>
      <w:r>
        <w:rPr>
          <w:b/>
        </w:rPr>
        <w:t xml:space="preserve">36 </w:t>
      </w:r>
      <w:r>
        <w:t xml:space="preserve">Merchants from the nations hissed at you; you became a destruction and will no longer exist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And the word of the Lord came to me, saying,</w:t>
      </w:r>
    </w:p>
    <w:p>
      <w:r>
        <w:rPr>
          <w:b/>
        </w:rPr>
        <w:t xml:space="preserve">2 </w:t>
      </w:r>
      <w:r>
        <w:t xml:space="preserve">And you, son of man, say to the ruler of Tyre, Thus says the Lord: Because your heart was exalted and you said, I am God; I have dwelt in the dwelling of God in the heart of the sea, but you are a man and not God, and you set your heart as the heart of God,</w:t>
      </w:r>
    </w:p>
    <w:p>
      <w:r>
        <w:rPr>
          <w:b/>
        </w:rPr>
        <w:t xml:space="preserve">3 </w:t>
      </w:r>
      <w:r>
        <w:t xml:space="preserve">Are you wiser than Daniel? Have wise men not instructed you in their knowledge?</w:t>
      </w:r>
    </w:p>
    <w:p>
      <w:r>
        <w:rPr>
          <w:b/>
        </w:rPr>
        <w:t xml:space="preserve">4 </w:t>
      </w:r>
      <w:r>
        <w:t xml:space="preserve">Was it not by your knowledge or by your understanding that you gained power for yourself, and gold and silver in your treasuries?</w:t>
      </w:r>
    </w:p>
    <w:p>
      <w:r>
        <w:rPr>
          <w:b/>
        </w:rPr>
        <w:t xml:space="preserve">5 </w:t>
      </w:r>
      <w:r>
        <w:t xml:space="preserve">In your abundant knowledge and your trade you multiplied your power; your heart was exalted in your power.</w:t>
      </w:r>
    </w:p>
    <w:p>
      <w:r>
        <w:rPr>
          <w:b/>
        </w:rPr>
        <w:t xml:space="preserve">6 </w:t>
      </w:r>
      <w:r>
        <w:t xml:space="preserve">Therefore thus says the Lord: Since you set your heart as the heart of God,</w:t>
      </w:r>
    </w:p>
    <w:p>
      <w:r>
        <w:rPr>
          <w:b/>
        </w:rPr>
        <w:t xml:space="preserve">7 </w:t>
      </w:r>
      <w:r>
        <w:t xml:space="preserve">because of this, behold, I bring against you foreign scourges from nations, and they will draw their swords against you and against the beauty of your knowledge, and they will lay your beauty down to destruction.</w:t>
      </w:r>
    </w:p>
    <w:p>
      <w:r>
        <w:rPr>
          <w:b/>
        </w:rPr>
        <w:t xml:space="preserve">8 </w:t>
      </w:r>
      <w:r>
        <w:t xml:space="preserve">And they will bring you down, and you will die the death of the wounded in the heart of the sea.</w:t>
      </w:r>
    </w:p>
    <w:p>
      <w:r>
        <w:rPr>
          <w:b/>
        </w:rPr>
        <w:t xml:space="preserve">9 </w:t>
      </w:r>
      <w:r>
        <w:t xml:space="preserve">Will you indeed say, I am God, before those killing you? But you are a man and not God among a multitude.</w:t>
      </w:r>
    </w:p>
    <w:p>
      <w:r>
        <w:rPr>
          <w:b/>
        </w:rPr>
        <w:t xml:space="preserve">10 </w:t>
      </w:r>
      <w:r>
        <w:t xml:space="preserve">You will die the death of the uncircumcised by the hands of foreigners, because I have spoken, says the Lord.</w:t>
      </w:r>
    </w:p>
    <w:p>
      <w:r>
        <w:rPr>
          <w:b/>
        </w:rPr>
        <w:t xml:space="preserve">11 </w:t>
      </w:r>
      <w:r>
        <w:t xml:space="preserve">And the word of the Lord came to me, saying,</w:t>
      </w:r>
    </w:p>
    <w:p>
      <w:r>
        <w:rPr>
          <w:b/>
        </w:rPr>
        <w:t xml:space="preserve">12 </w:t>
      </w:r>
      <w:r>
        <w:t xml:space="preserve">Son of man, take up</w:t>
      </w:r>
      <w:r>
        <w:rPr>
          <w:rStyle w:val="FootnoteReference"/>
        </w:rPr>
        <w:footnoteReference w:id="13091"/>
      </w:r>
      <w:r>
        <w:t xml:space="preserve"> a lamentation over the ruler of Tyre and say to him, Thus says the Lord God: You are a seal of likeness and a crown of beauty.</w:t>
      </w:r>
    </w:p>
    <w:p>
      <w:r>
        <w:rPr>
          <w:b/>
        </w:rPr>
        <w:t xml:space="preserve">13 </w:t>
      </w:r>
      <w:r>
        <w:t xml:space="preserve">You came to be in the delight of the paradise of God. You clothed yourself with every precious stone: sardius and topaz and emerald</w:t>
      </w:r>
      <w:r>
        <w:rPr>
          <w:rStyle w:val="FootnoteReference"/>
        </w:rPr>
        <w:footnoteReference w:id="13092"/>
      </w:r>
      <w:r>
        <w:t xml:space="preserve"> and carbuncle and sapphire and jasper and silver and gold and ligurion and agate and amethyst and chrysolite and beryl and onyx; and with gold you filled your treasures and your storehouses within you from the day you were created.</w:t>
      </w:r>
    </w:p>
    <w:p>
      <w:r>
        <w:rPr>
          <w:b/>
        </w:rPr>
        <w:t xml:space="preserve">14 </w:t>
      </w:r>
      <w:r>
        <w:t xml:space="preserve">With the cherub I placed you on the holy mountain of God; you came to be in the midst of fiery stones</w:t>
      </w:r>
      <w:r>
        <w:rPr>
          <w:rStyle w:val="FootnoteReference"/>
        </w:rPr>
        <w:footnoteReference w:id="13093"/>
      </w:r>
      <w:r>
        <w:t xml:space="preserve">.</w:t>
      </w:r>
    </w:p>
    <w:p>
      <w:r>
        <w:rPr>
          <w:b/>
        </w:rPr>
        <w:t xml:space="preserve">15 </w:t>
      </w:r>
      <w:r>
        <w:t xml:space="preserve">You were blameless in your days from the day you were created until injustices were found in you.</w:t>
      </w:r>
    </w:p>
    <w:p>
      <w:r>
        <w:rPr>
          <w:b/>
        </w:rPr>
        <w:t xml:space="preserve">16 </w:t>
      </w:r>
      <w:r>
        <w:t xml:space="preserve">From the abundance of your trade you filled</w:t>
      </w:r>
      <w:r>
        <w:rPr>
          <w:rStyle w:val="FootnoteReference"/>
        </w:rPr>
        <w:footnoteReference w:id="13094"/>
      </w:r>
      <w:r>
        <w:t xml:space="preserve"> your storehouses with lawlessness and sinned, and you were wounded from the mountain of God, and the cherub led you out from the midst of fiery stones.</w:t>
      </w:r>
    </w:p>
    <w:p>
      <w:r>
        <w:rPr>
          <w:b/>
        </w:rPr>
        <w:t xml:space="preserve">17 </w:t>
      </w:r>
      <w:r>
        <w:t xml:space="preserve">Your heart</w:t>
      </w:r>
      <w:r>
        <w:rPr>
          <w:rStyle w:val="FootnoteReference"/>
        </w:rPr>
        <w:footnoteReference w:id="13095"/>
      </w:r>
      <w:r>
        <w:t xml:space="preserve"> was exalted because of your beauty; your knowledge was corrupted with your beauty. Because of the multitude of your sins I cast you upon the ground; before kings I gave you to be made an example.</w:t>
      </w:r>
    </w:p>
    <w:p>
      <w:r>
        <w:rPr>
          <w:b/>
        </w:rPr>
        <w:t xml:space="preserve">18 </w:t>
      </w:r>
      <w:r>
        <w:t xml:space="preserve">Because of the multitude of your sins and the injustices of your trade you profaned your holy things, and I will bring</w:t>
      </w:r>
      <w:r>
        <w:rPr>
          <w:rStyle w:val="FootnoteReference"/>
        </w:rPr>
        <w:footnoteReference w:id="13096"/>
      </w:r>
      <w:r>
        <w:t xml:space="preserve"> out fire from your midst; this will devour you, and I will give you as ashes on your land before all those seeing you.</w:t>
      </w:r>
    </w:p>
    <w:p>
      <w:r>
        <w:rPr>
          <w:b/>
        </w:rPr>
        <w:t xml:space="preserve">19 </w:t>
      </w:r>
      <w:r>
        <w:t xml:space="preserve">And all those who know you among the nations will shudder over you; you became a destruction and will no longer exist forever.</w:t>
      </w:r>
    </w:p>
    <w:p>
      <w:r>
        <w:rPr>
          <w:b/>
        </w:rPr>
        <w:t xml:space="preserve">20 </w:t>
      </w:r>
      <w:r>
        <w:t xml:space="preserve">And the word of the Lord came to me, saying,</w:t>
      </w:r>
    </w:p>
    <w:p>
      <w:r>
        <w:rPr>
          <w:b/>
        </w:rPr>
        <w:t xml:space="preserve">21 </w:t>
      </w:r>
      <w:r>
        <w:t xml:space="preserve">Son of man, set your face toward Sidon and prophesy against her,</w:t>
      </w:r>
    </w:p>
    <w:p>
      <w:r>
        <w:rPr>
          <w:b/>
        </w:rPr>
        <w:t xml:space="preserve">22 </w:t>
      </w:r>
      <w:r>
        <w:t xml:space="preserve">and say, Thus says the Lord: Behold, I am against</w:t>
      </w:r>
      <w:r>
        <w:rPr>
          <w:rStyle w:val="FootnoteReference"/>
        </w:rPr>
        <w:footnoteReference w:id="13097"/>
      </w:r>
      <w:r>
        <w:t xml:space="preserve"> you, Sidon, and I will be glorified in you, and you will know that I am the Lord when I execute judgments in you and am sanctified in you.</w:t>
      </w:r>
    </w:p>
    <w:p>
      <w:r>
        <w:rPr>
          <w:b/>
        </w:rPr>
        <w:t xml:space="preserve">23 </w:t>
      </w:r>
      <w:r>
        <w:t xml:space="preserve">Blood and death will be in your streets, and wounded ones will fall by swords in you, all around you, and they will know that I am the Lord.</w:t>
      </w:r>
    </w:p>
    <w:p>
      <w:r>
        <w:rPr>
          <w:b/>
        </w:rPr>
        <w:t xml:space="preserve">24 </w:t>
      </w:r>
      <w:r>
        <w:t xml:space="preserve">And there will no longer be for the house of Israel a thorn of bitterness and a pricking</w:t>
      </w:r>
      <w:r>
        <w:rPr>
          <w:rStyle w:val="FootnoteReference"/>
        </w:rPr>
        <w:footnoteReference w:id="13098"/>
      </w:r>
      <w:r>
        <w:t xml:space="preserve"> briar of pain from all those around them who dishonored them, and they will know that I am the Lord.</w:t>
      </w:r>
    </w:p>
    <w:p>
      <w:r>
        <w:rPr>
          <w:b/>
        </w:rPr>
        <w:t xml:space="preserve">25 </w:t>
      </w:r>
      <w:r>
        <w:t xml:space="preserve">Thus says the Lord God: And I will gather Israel from the nations where they were scattered, and I will be sanctified</w:t>
      </w:r>
      <w:r>
        <w:rPr>
          <w:rStyle w:val="FootnoteReference"/>
        </w:rPr>
        <w:footnoteReference w:id="13099"/>
      </w:r>
      <w:r>
        <w:t xml:space="preserve"> in them before the peoples and the nations, and they will dwell on their land which I gave to my servant Jacob.</w:t>
      </w:r>
    </w:p>
    <w:p>
      <w:r>
        <w:rPr>
          <w:b/>
        </w:rPr>
        <w:t xml:space="preserve">26 </w:t>
      </w:r>
      <w:r>
        <w:t xml:space="preserve">And they will dwell on it in hope and build</w:t>
      </w:r>
      <w:r>
        <w:rPr>
          <w:rStyle w:val="FootnoteReference"/>
        </w:rPr>
        <w:footnoteReference w:id="13100"/>
      </w:r>
      <w:r>
        <w:t xml:space="preserve"> houses and plant vineyards and dwell in hope, when I execute judgment against all those dishonoring them around them, and they will know that I am the Lord their God and the God of their fathers.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29</w:t>
      </w:r>
    </w:p>
    <w:p>
      <w:r>
        <w:rPr>
          <w:b/>
        </w:rPr>
        <w:t xml:space="preserve">1 </w:t>
      </w:r>
      <w:r>
        <w:t xml:space="preserve">In the tenth year, in the tenth month, on the first day of the month, the word of the Lord came to me, saying,</w:t>
      </w:r>
    </w:p>
    <w:p>
      <w:r>
        <w:rPr>
          <w:b/>
        </w:rPr>
        <w:t xml:space="preserve">2 </w:t>
      </w:r>
      <w:r>
        <w:t xml:space="preserve">Son of man, set your face toward Pharaoh</w:t>
      </w:r>
      <w:r>
        <w:rPr>
          <w:rStyle w:val="FootnoteReference"/>
        </w:rPr>
        <w:footnoteReference w:id="13101"/>
      </w:r>
      <w:r>
        <w:t xml:space="preserve">, king of Egypt, and prophesy against him and against all Egypt,</w:t>
      </w:r>
    </w:p>
    <w:p>
      <w:r>
        <w:rPr>
          <w:b/>
        </w:rPr>
        <w:t xml:space="preserve">3 </w:t>
      </w:r>
      <w:r>
        <w:t xml:space="preserve">and say, Thus says the Lord: Behold, I am against Pharaoh, the great</w:t>
      </w:r>
      <w:r>
        <w:rPr>
          <w:rStyle w:val="FootnoteReference"/>
        </w:rPr>
        <w:footnoteReference w:id="13102"/>
      </w:r>
      <w:r>
        <w:t xml:space="preserve"> dragon sitting in the midst of his rivers, saying, The rivers are mine, and I made them.</w:t>
      </w:r>
    </w:p>
    <w:p>
      <w:r>
        <w:rPr>
          <w:b/>
        </w:rPr>
        <w:t xml:space="preserve">4 </w:t>
      </w:r>
      <w:r>
        <w:t xml:space="preserve">And I will put</w:t>
      </w:r>
      <w:r>
        <w:rPr>
          <w:rStyle w:val="FootnoteReference"/>
        </w:rPr>
        <w:footnoteReference w:id="13103"/>
      </w:r>
      <w:r>
        <w:t xml:space="preserve"> hooks in your jaws and fasten the fish of your river to your fins and bring you up from the midst of your river, and all the fish of your river,</w:t>
      </w:r>
    </w:p>
    <w:p>
      <w:r>
        <w:rPr>
          <w:b/>
        </w:rPr>
        <w:t xml:space="preserve">5 </w:t>
      </w:r>
      <w:r>
        <w:t xml:space="preserve">and I will quickly cast you down upon the face of the plain, along with all the fish of your river. You will fall and not be gathered or collected; I have given you for food to the beasts of the earth and the birds of heaven.</w:t>
      </w:r>
    </w:p>
    <w:p>
      <w:r>
        <w:rPr>
          <w:b/>
        </w:rPr>
        <w:t xml:space="preserve">6 </w:t>
      </w:r>
      <w:r>
        <w:t xml:space="preserve">And all those inhabiting Egypt will know</w:t>
      </w:r>
      <w:r>
        <w:rPr>
          <w:rStyle w:val="FootnoteReference"/>
        </w:rPr>
        <w:footnoteReference w:id="13104"/>
      </w:r>
      <w:r>
        <w:t xml:space="preserve"> that I am the Lord, because you became a reed-staff for the house of Israel.</w:t>
      </w:r>
    </w:p>
    <w:p>
      <w:r>
        <w:rPr>
          <w:b/>
        </w:rPr>
        <w:t xml:space="preserve">7 </w:t>
      </w:r>
      <w:r>
        <w:t xml:space="preserve">When they took</w:t>
      </w:r>
      <w:r>
        <w:rPr>
          <w:rStyle w:val="FootnoteReference"/>
        </w:rPr>
        <w:footnoteReference w:id="13105"/>
      </w:r>
      <w:r>
        <w:t xml:space="preserve"> hold of you with their hands, you were crushed, and when every hand seized hold on them and when they leaned on you, you were shattered and broke all their loins.</w:t>
      </w:r>
    </w:p>
    <w:p>
      <w:r>
        <w:rPr>
          <w:b/>
        </w:rPr>
        <w:t xml:space="preserve">8 </w:t>
      </w:r>
      <w:r>
        <w:t xml:space="preserve">Therefore thus says the Lord: Behold, I bring a sword upon you and will destroy men and cattle from you.</w:t>
      </w:r>
    </w:p>
    <w:p>
      <w:r>
        <w:rPr>
          <w:b/>
        </w:rPr>
        <w:t xml:space="preserve">9 </w:t>
      </w:r>
      <w:r>
        <w:t xml:space="preserve">And the land of Egypt will be a destruction and a wilderness, and they will know that I am the Lord, because you said, The rivers are mine, and I made them.</w:t>
      </w:r>
    </w:p>
    <w:p>
      <w:r>
        <w:rPr>
          <w:b/>
        </w:rPr>
        <w:t xml:space="preserve">10 </w:t>
      </w:r>
      <w:r>
        <w:t xml:space="preserve">Therefore behold, I am against you and against all your rivers, and I will make the land of Egypt a wilderness, a sword, and a destruction from Migdol and Syene and as far as the borders of the Ethiopians.</w:t>
      </w:r>
    </w:p>
    <w:p>
      <w:r>
        <w:rPr>
          <w:b/>
        </w:rPr>
        <w:t xml:space="preserve">11 </w:t>
      </w:r>
      <w:r>
        <w:t xml:space="preserve">The foot of a man will not pass through it, and the foot of a beast will not pass through it, and it will not be inhabited for forty</w:t>
      </w:r>
      <w:r>
        <w:rPr>
          <w:rStyle w:val="FootnoteReference"/>
        </w:rPr>
        <w:footnoteReference w:id="13106"/>
      </w:r>
      <w:r>
        <w:t xml:space="preserve"> years.</w:t>
      </w:r>
    </w:p>
    <w:p>
      <w:r>
        <w:rPr>
          <w:b/>
        </w:rPr>
        <w:t xml:space="preserve">12 </w:t>
      </w:r>
      <w:r>
        <w:t xml:space="preserve">And I will make its land a destruction in the midst of a desolated land, and its cities will be desolated forty years in the midst of desolated cities, and I will scatter</w:t>
      </w:r>
      <w:r>
        <w:rPr>
          <w:rStyle w:val="FootnoteReference"/>
        </w:rPr>
        <w:footnoteReference w:id="13107"/>
      </w:r>
      <w:r>
        <w:t xml:space="preserve"> Egypt among the nations and winnow them into the lands.</w:t>
      </w:r>
    </w:p>
    <w:p>
      <w:r>
        <w:rPr>
          <w:b/>
        </w:rPr>
        <w:t xml:space="preserve">13 </w:t>
      </w:r>
      <w:r>
        <w:t xml:space="preserve">Thus says the Lord: After forty years I will gather the Egyptians from the nations where they were scattered,</w:t>
      </w:r>
    </w:p>
    <w:p>
      <w:r>
        <w:rPr>
          <w:b/>
        </w:rPr>
        <w:t xml:space="preserve">14 </w:t>
      </w:r>
      <w:r>
        <w:t xml:space="preserve">and I will turn back the captivity of the Egyptians and settle them in the land of Pathros</w:t>
      </w:r>
      <w:r>
        <w:rPr>
          <w:rStyle w:val="FootnoteReference"/>
        </w:rPr>
        <w:footnoteReference w:id="13108"/>
      </w:r>
      <w:r>
        <w:t xml:space="preserve">, in the land from which they were taken, and it will be a humble dominion.</w:t>
      </w:r>
    </w:p>
    <w:p>
      <w:r>
        <w:rPr>
          <w:b/>
        </w:rPr>
        <w:t xml:space="preserve">15 </w:t>
      </w:r>
      <w:r>
        <w:t xml:space="preserve">Beyond all dominions it will no longer be exalted over the nations, and I will make them few, so that they will not be many among the nations.</w:t>
      </w:r>
    </w:p>
    <w:p>
      <w:r>
        <w:rPr>
          <w:b/>
        </w:rPr>
        <w:t xml:space="preserve">16 </w:t>
      </w:r>
      <w:r>
        <w:t xml:space="preserve">And they will no longer be for the house of Israel a hope recalling lawlessness when they follow after them, and they will know that I am the Lord.</w:t>
      </w:r>
    </w:p>
    <w:p>
      <w:r>
        <w:rPr>
          <w:b/>
        </w:rPr>
        <w:t xml:space="preserve">17 </w:t>
      </w:r>
      <w:r>
        <w:t xml:space="preserve">And it happened in the twenty-seventh year, on the first day of the first month, the word of the Lord came to me, saying,</w:t>
      </w:r>
    </w:p>
    <w:p>
      <w:r>
        <w:rPr>
          <w:b/>
        </w:rPr>
        <w:t xml:space="preserve">18 </w:t>
      </w:r>
      <w:r>
        <w:t xml:space="preserve">Son of man, Nebuchadnezzar, king of Babylon, made his force serve a great service against Tyre. Every head was bald and every shoulder peeled raw, and no wages came to him or to his force from Tyre for the service that they served against her.</w:t>
      </w:r>
    </w:p>
    <w:p>
      <w:r>
        <w:rPr>
          <w:b/>
        </w:rPr>
        <w:t xml:space="preserve">19 </w:t>
      </w:r>
      <w:r>
        <w:t xml:space="preserve">Thus says the Lord God: Behold, I give to Nebuchadnezzar, king of Babylon, the land of Egypt, and he will plunder its plunder and spoil its spoils, and it will be the wages for his force.</w:t>
      </w:r>
    </w:p>
    <w:p>
      <w:r>
        <w:rPr>
          <w:b/>
        </w:rPr>
        <w:t xml:space="preserve">20 </w:t>
      </w:r>
      <w:r>
        <w:t xml:space="preserve">In return for the service with which he served</w:t>
      </w:r>
      <w:r>
        <w:rPr>
          <w:rStyle w:val="FootnoteReference"/>
        </w:rPr>
        <w:footnoteReference w:id="13109"/>
      </w:r>
      <w:r>
        <w:t xml:space="preserve"> against Tyre, I have given him the land of Egypt, thus says the Lord God.</w:t>
      </w:r>
    </w:p>
    <w:p>
      <w:r>
        <w:rPr>
          <w:b/>
        </w:rPr>
        <w:t xml:space="preserve">21 </w:t>
      </w:r>
      <w:r>
        <w:t xml:space="preserve">On that day a horn will spring up for the whole house of Israel, and to you I will give an open mouth in their midst, and they will know that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30</w:t>
      </w:r>
    </w:p>
    <w:p>
      <w:r>
        <w:rPr>
          <w:b/>
        </w:rPr>
        <w:t xml:space="preserve">1 </w:t>
      </w:r>
      <w:r>
        <w:t xml:space="preserve">And the word of the Lord came to me, saying,</w:t>
      </w:r>
    </w:p>
    <w:p>
      <w:r>
        <w:rPr>
          <w:b/>
        </w:rPr>
        <w:t xml:space="preserve">2 </w:t>
      </w:r>
      <w:r>
        <w:t xml:space="preserve">Son of man, prophesy and say, Thus says the Lord: Woe, woe to the day,</w:t>
      </w:r>
    </w:p>
    <w:p>
      <w:r>
        <w:rPr>
          <w:b/>
        </w:rPr>
        <w:t xml:space="preserve">3 </w:t>
      </w:r>
      <w:r>
        <w:t xml:space="preserve">because the day of the Lord is near; it will be a day of the end of nations.</w:t>
      </w:r>
    </w:p>
    <w:p>
      <w:r>
        <w:rPr>
          <w:b/>
        </w:rPr>
        <w:t xml:space="preserve">4 </w:t>
      </w:r>
      <w:r>
        <w:t xml:space="preserve">And a sword will come upon the Egyptians, and there will be turmoil in Ethiopia, and wounded ones will fall in Egypt, and her</w:t>
      </w:r>
      <w:r>
        <w:rPr>
          <w:rStyle w:val="FootnoteReference"/>
        </w:rPr>
        <w:footnoteReference w:id="13110"/>
      </w:r>
      <w:r>
        <w:t xml:space="preserve"> foundations will collapse.</w:t>
      </w:r>
    </w:p>
    <w:p>
      <w:r>
        <w:rPr>
          <w:b/>
        </w:rPr>
        <w:t xml:space="preserve">5 </w:t>
      </w:r>
      <w:r>
        <w:t xml:space="preserve">Persians and Cretans and Lydians and Libyans and all the mixed peoples and the sons of my covenant will fall by the sword in it.</w:t>
      </w:r>
    </w:p>
    <w:p>
      <w:r>
        <w:rPr>
          <w:b/>
        </w:rPr>
        <w:t xml:space="preserve">6 </w:t>
      </w:r>
      <w:r>
        <w:t xml:space="preserve">And the supports of Egypt will fall, and the arrogance of her strength will go down. From Migdol to Syene they will fall by the sword in her, says the Lord.</w:t>
      </w:r>
    </w:p>
    <w:p>
      <w:r>
        <w:rPr>
          <w:b/>
        </w:rPr>
        <w:t xml:space="preserve">7 </w:t>
      </w:r>
      <w:r>
        <w:t xml:space="preserve">And it will be made desolate in the midst of desolated lands, and their cities will be desolated in the midst of desolated cities.</w:t>
      </w:r>
    </w:p>
    <w:p>
      <w:r>
        <w:rPr>
          <w:b/>
        </w:rPr>
        <w:t xml:space="preserve">8 </w:t>
      </w:r>
      <w:r>
        <w:t xml:space="preserve">And they will know that I am the Lord when I</w:t>
      </w:r>
      <w:r>
        <w:rPr>
          <w:rStyle w:val="FootnoteReference"/>
        </w:rPr>
        <w:footnoteReference w:id="13111"/>
      </w:r>
      <w:r>
        <w:t xml:space="preserve"> send fire upon Egypt and all those helping her are crushed.</w:t>
      </w:r>
    </w:p>
    <w:p>
      <w:r>
        <w:rPr>
          <w:b/>
        </w:rPr>
        <w:t xml:space="preserve">9 </w:t>
      </w:r>
      <w:r>
        <w:t xml:space="preserve">On that day messengers</w:t>
      </w:r>
      <w:r>
        <w:rPr>
          <w:rStyle w:val="FootnoteReference"/>
        </w:rPr>
        <w:footnoteReference w:id="13112"/>
      </w:r>
      <w:r>
        <w:t xml:space="preserve"> will go out hastening to destroy Ethiopia, and turmoil will be among them on the day of Egypt, because behold, it comes.</w:t>
      </w:r>
    </w:p>
    <w:p>
      <w:r>
        <w:rPr>
          <w:b/>
        </w:rPr>
        <w:t xml:space="preserve">10 </w:t>
      </w:r>
      <w:r>
        <w:t xml:space="preserve">Thus says the Lord God: And I will destroy the multitude of Egyptians by the hand of Nebuchadnezzar king of Babylon.</w:t>
      </w:r>
    </w:p>
    <w:p>
      <w:r>
        <w:rPr>
          <w:b/>
        </w:rPr>
        <w:t xml:space="preserve">11 </w:t>
      </w:r>
      <w:r>
        <w:t xml:space="preserve">By his hand and by the hand of his people, scourges from nations sent to destroy the land, they will all draw their swords against Egypt, and the land will be filled with the wounded.</w:t>
      </w:r>
    </w:p>
    <w:p>
      <w:r>
        <w:rPr>
          <w:b/>
        </w:rPr>
        <w:t xml:space="preserve">12 </w:t>
      </w:r>
      <w:r>
        <w:t xml:space="preserve">And I will make</w:t>
      </w:r>
      <w:r>
        <w:rPr>
          <w:rStyle w:val="FootnoteReference"/>
        </w:rPr>
        <w:footnoteReference w:id="13113"/>
      </w:r>
      <w:r>
        <w:t xml:space="preserve"> their rivers desolate and destroy the land and its fullness by the hands of foreigners. I, the Lord, have spoken.</w:t>
      </w:r>
    </w:p>
    <w:p>
      <w:r>
        <w:rPr>
          <w:b/>
        </w:rPr>
        <w:t xml:space="preserve">13 </w:t>
      </w:r>
      <w:r>
        <w:t xml:space="preserve">For thus says the Lord God: And I will destroy nobles from Memphis and rulers from the land of Egypt, and they will no longer be.</w:t>
      </w:r>
    </w:p>
    <w:p>
      <w:r>
        <w:rPr>
          <w:b/>
        </w:rPr>
        <w:t xml:space="preserve">14 </w:t>
      </w:r>
      <w:r>
        <w:t xml:space="preserve">And I will destroy the land of Pathros</w:t>
      </w:r>
      <w:r>
        <w:rPr>
          <w:rStyle w:val="FootnoteReference"/>
        </w:rPr>
        <w:footnoteReference w:id="13114"/>
      </w:r>
      <w:r>
        <w:t xml:space="preserve"> and send fire upon Zoan and execute vengeance in Diospolis.</w:t>
      </w:r>
    </w:p>
    <w:p>
      <w:r>
        <w:rPr>
          <w:b/>
        </w:rPr>
        <w:t xml:space="preserve">15 </w:t>
      </w:r>
      <w:r>
        <w:t xml:space="preserve">And I will pour</w:t>
      </w:r>
      <w:r>
        <w:rPr>
          <w:rStyle w:val="FootnoteReference"/>
        </w:rPr>
        <w:footnoteReference w:id="13115"/>
      </w:r>
      <w:r>
        <w:t xml:space="preserve"> out my wrath upon Sais</w:t>
      </w:r>
      <w:r>
        <w:rPr>
          <w:rStyle w:val="FootnoteReference"/>
        </w:rPr>
        <w:footnoteReference w:id="13116"/>
      </w:r>
      <w:r>
        <w:t xml:space="preserve">, the strength of Egypt, and destroy the multitude of Memphis.</w:t>
      </w:r>
    </w:p>
    <w:p>
      <w:r>
        <w:rPr>
          <w:b/>
        </w:rPr>
        <w:t xml:space="preserve">16 </w:t>
      </w:r>
      <w:r>
        <w:t xml:space="preserve">And I will send fire upon Egypt, and Syene will be troubled with turmoil, and there will be a breach in Diospolis, and waters will be poured out.</w:t>
      </w:r>
    </w:p>
    <w:p>
      <w:r>
        <w:rPr>
          <w:b/>
        </w:rPr>
        <w:t xml:space="preserve">17 </w:t>
      </w:r>
      <w:r>
        <w:t xml:space="preserve">Young men of Heliopolis and Bubastis will fall by the sword, and the women will go into captivity.</w:t>
      </w:r>
    </w:p>
    <w:p>
      <w:r>
        <w:rPr>
          <w:b/>
        </w:rPr>
        <w:t xml:space="preserve">18 </w:t>
      </w:r>
      <w:r>
        <w:t xml:space="preserve">And in Tahpanhes the day will grow dark when I break the scepters of Egypt there, and the arrogance of her strength will perish there, and a cloud</w:t>
      </w:r>
      <w:r>
        <w:rPr>
          <w:rStyle w:val="FootnoteReference"/>
        </w:rPr>
        <w:footnoteReference w:id="13117"/>
      </w:r>
      <w:r>
        <w:t xml:space="preserve"> will cover her, and her daughters will be led away captive.</w:t>
      </w:r>
    </w:p>
    <w:p>
      <w:r>
        <w:rPr>
          <w:b/>
        </w:rPr>
        <w:t xml:space="preserve">19 </w:t>
      </w:r>
      <w:r>
        <w:t xml:space="preserve">And I will execute judgment in Egypt, and they will know that I am the Lord.</w:t>
      </w:r>
    </w:p>
    <w:p>
      <w:r>
        <w:rPr>
          <w:b/>
        </w:rPr>
        <w:t xml:space="preserve">20 </w:t>
      </w:r>
      <w:r>
        <w:t xml:space="preserve">And it happened in the eleventh year, in the first month, on the seventh day of the month, the word of the Lord came to me, saying,</w:t>
      </w:r>
    </w:p>
    <w:p>
      <w:r>
        <w:rPr>
          <w:b/>
        </w:rPr>
        <w:t xml:space="preserve">21 </w:t>
      </w:r>
      <w:r>
        <w:t xml:space="preserve">Son of man, I broke the arms of Pharaoh, king of Egypt, and behold, it was not bound up for healing, to have salve put on it, to be given strength to seize a sword.</w:t>
      </w:r>
    </w:p>
    <w:p>
      <w:r>
        <w:rPr>
          <w:b/>
        </w:rPr>
        <w:t xml:space="preserve">22 </w:t>
      </w:r>
      <w:r>
        <w:t xml:space="preserve">Therefore thus says the Lord God: Behold, I am against Pharaoh, king of Egypt, and will break</w:t>
      </w:r>
      <w:r>
        <w:rPr>
          <w:rStyle w:val="FootnoteReference"/>
        </w:rPr>
        <w:footnoteReference w:id="13118"/>
      </w:r>
      <w:r>
        <w:t xml:space="preserve"> his strong and outstretched arms and cast his sword from his hand.</w:t>
      </w:r>
    </w:p>
    <w:p>
      <w:r>
        <w:rPr>
          <w:b/>
        </w:rPr>
        <w:t xml:space="preserve">23 </w:t>
      </w:r>
      <w:r>
        <w:t xml:space="preserve">And I will scatter Egypt among the nations and winnow them into the lands.</w:t>
      </w:r>
    </w:p>
    <w:p>
      <w:r>
        <w:rPr>
          <w:b/>
        </w:rPr>
        <w:t xml:space="preserve">24 </w:t>
      </w:r>
      <w:r>
        <w:t xml:space="preserve">And I will strengthen the arms of the king of Babylon and give my sword into his hand, and he will bring it against Egypt and plunder its plunder and spoil its spoils.</w:t>
      </w:r>
    </w:p>
    <w:p>
      <w:r>
        <w:rPr>
          <w:b/>
        </w:rPr>
        <w:t xml:space="preserve">25 </w:t>
      </w:r>
      <w:r>
        <w:t xml:space="preserve">And I will strengthen the arms of the king of Babylon, but the arms of Pharaoh will fall, and they will know that I am the Lord when I give my sword into the hands of the king of Babylon and he stretches it out over the land of Egypt.</w:t>
      </w:r>
    </w:p>
    <w:p>
      <w:r>
        <w:rPr>
          <w:b/>
        </w:rPr>
        <w:t xml:space="preserve">26 </w:t>
      </w:r>
      <w:r>
        <w:t xml:space="preserve">And I will scatter Egypt among the nations and winnow them into the lands, and they all will know that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31</w:t>
      </w:r>
    </w:p>
    <w:p>
      <w:r>
        <w:rPr>
          <w:b/>
        </w:rPr>
        <w:t xml:space="preserve">1 </w:t>
      </w:r>
      <w:r>
        <w:t xml:space="preserve">And it happened in the eleventh</w:t>
      </w:r>
      <w:r>
        <w:rPr>
          <w:rStyle w:val="FootnoteReference"/>
        </w:rPr>
        <w:footnoteReference w:id="13119"/>
      </w:r>
      <w:r>
        <w:t xml:space="preserve"> year, in the third month, on the first day of the month, the word of the Lord came to me, saying,</w:t>
      </w:r>
    </w:p>
    <w:p>
      <w:r>
        <w:rPr>
          <w:b/>
        </w:rPr>
        <w:t xml:space="preserve">2 </w:t>
      </w:r>
      <w:r>
        <w:t xml:space="preserve">Son of man, say to Pharaoh, king of Egypt, and to his</w:t>
      </w:r>
      <w:r>
        <w:rPr>
          <w:rStyle w:val="FootnoteReference"/>
        </w:rPr>
        <w:footnoteReference w:id="13120"/>
      </w:r>
      <w:r>
        <w:t xml:space="preserve"> multitude: To whom did you liken yourself in your height?</w:t>
      </w:r>
    </w:p>
    <w:p>
      <w:r>
        <w:rPr>
          <w:b/>
        </w:rPr>
        <w:t xml:space="preserve">3 </w:t>
      </w:r>
      <w:r>
        <w:t xml:space="preserve">Behold, Assyria was a cypress in Lebanon, beautiful in boughs and great in size; his top came to be in the midst of clouds.</w:t>
      </w:r>
    </w:p>
    <w:p>
      <w:r>
        <w:rPr>
          <w:b/>
        </w:rPr>
        <w:t xml:space="preserve">4 </w:t>
      </w:r>
      <w:r>
        <w:t xml:space="preserve">Water nourished him; the deep exalted him. It led its rivers around his plants and sent out its channels to all the trees of the field.</w:t>
      </w:r>
    </w:p>
    <w:p>
      <w:r>
        <w:rPr>
          <w:b/>
        </w:rPr>
        <w:t xml:space="preserve">5 </w:t>
      </w:r>
      <w:r>
        <w:t xml:space="preserve">Because of this his stature was exalted above all the trees of the field, and his branches spread wide because of much water.</w:t>
      </w:r>
    </w:p>
    <w:p>
      <w:r>
        <w:rPr>
          <w:b/>
        </w:rPr>
        <w:t xml:space="preserve">6 </w:t>
      </w:r>
      <w:r>
        <w:t xml:space="preserve">In his boughs all the birds of heaven nested, and under his branches all the beasts of the field gave birth; the whole multitude of nations dwelt in his shade.</w:t>
      </w:r>
    </w:p>
    <w:p>
      <w:r>
        <w:rPr>
          <w:b/>
        </w:rPr>
        <w:t xml:space="preserve">7 </w:t>
      </w:r>
      <w:r>
        <w:t xml:space="preserve">And he became beautiful in his height because of the multitude of his branches, because his roots reached much water.</w:t>
      </w:r>
    </w:p>
    <w:p>
      <w:r>
        <w:rPr>
          <w:b/>
        </w:rPr>
        <w:t xml:space="preserve">8 </w:t>
      </w:r>
      <w:r>
        <w:t xml:space="preserve">No cypresses like these were in the paradise of God, and pines were not like his boughs, and firs were not like his branches; no tree in the paradise of God was like him in his beauty.</w:t>
      </w:r>
    </w:p>
    <w:p>
      <w:r>
        <w:rPr>
          <w:b/>
        </w:rPr>
        <w:t xml:space="preserve">9 </w:t>
      </w:r>
      <w:r>
        <w:t xml:space="preserve">Because of the multitude of his branches, the trees of the paradise of God's delight envied</w:t>
      </w:r>
      <w:r>
        <w:rPr>
          <w:rStyle w:val="FootnoteReference"/>
        </w:rPr>
        <w:footnoteReference w:id="13121"/>
      </w:r>
      <w:r>
        <w:t xml:space="preserve"> him.</w:t>
      </w:r>
    </w:p>
    <w:p>
      <w:r>
        <w:rPr>
          <w:b/>
        </w:rPr>
        <w:t xml:space="preserve">10 </w:t>
      </w:r>
      <w:r>
        <w:t xml:space="preserve">Therefore thus says the Lord: Because you became great in stature and set your top into the midst of clouds, and I saw when he was exalted,</w:t>
      </w:r>
    </w:p>
    <w:p>
      <w:r>
        <w:rPr>
          <w:b/>
        </w:rPr>
        <w:t xml:space="preserve">11 </w:t>
      </w:r>
      <w:r>
        <w:t xml:space="preserve">I delivered</w:t>
      </w:r>
      <w:r>
        <w:rPr>
          <w:rStyle w:val="FootnoteReference"/>
        </w:rPr>
        <w:footnoteReference w:id="13122"/>
      </w:r>
      <w:r>
        <w:t xml:space="preserve"> him into the hands of a ruler of nations, and he brought about his destruction.</w:t>
      </w:r>
    </w:p>
    <w:p>
      <w:r>
        <w:rPr>
          <w:b/>
        </w:rPr>
        <w:t xml:space="preserve">12 </w:t>
      </w:r>
      <w:r>
        <w:t xml:space="preserve">And foreign scourges from nations destroyed him and cast him down upon</w:t>
      </w:r>
      <w:r>
        <w:rPr>
          <w:rStyle w:val="FootnoteReference"/>
        </w:rPr>
        <w:footnoteReference w:id="13123"/>
      </w:r>
      <w:r>
        <w:t xml:space="preserve"> the mountains; in all the ravines his branches fell, and his stems were broken in every plain of the land, and all the peoples of the nations came down from their shelter and laid him low.</w:t>
      </w:r>
    </w:p>
    <w:p>
      <w:r>
        <w:rPr>
          <w:b/>
        </w:rPr>
        <w:t xml:space="preserve">13 </w:t>
      </w:r>
      <w:r>
        <w:t xml:space="preserve">Upon his fall all the birds of heaven rested, and upon his stems all the beasts of the field came,</w:t>
      </w:r>
    </w:p>
    <w:p>
      <w:r>
        <w:rPr>
          <w:b/>
        </w:rPr>
        <w:t xml:space="preserve">14 </w:t>
      </w:r>
      <w:r>
        <w:t xml:space="preserve">so that all the trees by the water might not be exalted in their size; they did not set their top into the midst of clouds, and all those drinking water did not stand in their height before them. All were given to death, into the depth of the earth, in the midst of sons of men, with those going down into the pit.</w:t>
      </w:r>
    </w:p>
    <w:p>
      <w:r>
        <w:rPr>
          <w:b/>
        </w:rPr>
        <w:t xml:space="preserve">15 </w:t>
      </w:r>
      <w:r>
        <w:t xml:space="preserve">Thus says the Lord God: On the day he went down to Hades, the deep mourned for him, and I restrained its rivers and held back much water, and Lebanon grew dark over him; all the trees of the field fainted over him.</w:t>
      </w:r>
    </w:p>
    <w:p>
      <w:r>
        <w:rPr>
          <w:b/>
        </w:rPr>
        <w:t xml:space="preserve">16 </w:t>
      </w:r>
      <w:r>
        <w:t xml:space="preserve">At the sound of his fall the nations shook, when I</w:t>
      </w:r>
      <w:r>
        <w:rPr>
          <w:rStyle w:val="FootnoteReference"/>
        </w:rPr>
        <w:footnoteReference w:id="13124"/>
      </w:r>
      <w:r>
        <w:t xml:space="preserve"> brought him down to Hades with those going down into the pit, and all the trees of delight, the choice things of Lebanon, all drinking water, comforted him in the earth.</w:t>
      </w:r>
    </w:p>
    <w:p>
      <w:r>
        <w:rPr>
          <w:b/>
        </w:rPr>
        <w:t xml:space="preserve">17 </w:t>
      </w:r>
      <w:r>
        <w:t xml:space="preserve">For they also went</w:t>
      </w:r>
      <w:r>
        <w:rPr>
          <w:rStyle w:val="FootnoteReference"/>
        </w:rPr>
        <w:footnoteReference w:id="13125"/>
      </w:r>
      <w:r>
        <w:t xml:space="preserve"> down with him to Hades, among those wounded by the sword, and his seed, those dwelling under his shelter in the midst of their life, perished.</w:t>
      </w:r>
    </w:p>
    <w:p>
      <w:r>
        <w:rPr>
          <w:b/>
        </w:rPr>
        <w:t xml:space="preserve">18 </w:t>
      </w:r>
      <w:r>
        <w:t xml:space="preserve">To whom were you likened? Go down and be brought down with the</w:t>
      </w:r>
      <w:r>
        <w:rPr>
          <w:rStyle w:val="FootnoteReference"/>
        </w:rPr>
        <w:footnoteReference w:id="13126"/>
      </w:r>
      <w:r>
        <w:t xml:space="preserve"> trees of delight into the depth of the earth. In the midst of the uncircumcised you will lie with the wounded by the sword. Thus are Pharaoh and all the multitude of his strength, says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32</w:t>
      </w:r>
    </w:p>
    <w:p>
      <w:r>
        <w:rPr>
          <w:b/>
        </w:rPr>
        <w:t xml:space="preserve">1 </w:t>
      </w:r>
      <w:r>
        <w:t xml:space="preserve">And it happened in the eleventh year, in the twelfth</w:t>
      </w:r>
      <w:r>
        <w:rPr>
          <w:rStyle w:val="FootnoteReference"/>
        </w:rPr>
        <w:footnoteReference w:id="13127"/>
      </w:r>
      <w:r>
        <w:t xml:space="preserve"> month, on the first day of the month, the word of the Lord came to me, saying,</w:t>
      </w:r>
    </w:p>
    <w:p>
      <w:r>
        <w:rPr>
          <w:b/>
        </w:rPr>
        <w:t xml:space="preserve">2 </w:t>
      </w:r>
      <w:r>
        <w:t xml:space="preserve">Son of man, take up</w:t>
      </w:r>
      <w:r>
        <w:rPr>
          <w:rStyle w:val="FootnoteReference"/>
        </w:rPr>
        <w:footnoteReference w:id="13128"/>
      </w:r>
      <w:r>
        <w:t xml:space="preserve"> a lamentation over Pharaoh, king of Egypt, and say to him: You were likened to a lion of nations, and you were like a dragon in the sea, and you gored with your rivers and troubled water with your feet and trampled your rivers.</w:t>
      </w:r>
    </w:p>
    <w:p>
      <w:r>
        <w:rPr>
          <w:b/>
        </w:rPr>
        <w:t xml:space="preserve">3 </w:t>
      </w:r>
      <w:r>
        <w:t xml:space="preserve">Thus says the Lord: And I will spread over you nets of many peoples and bring you up with my hook.</w:t>
      </w:r>
    </w:p>
    <w:p>
      <w:r>
        <w:rPr>
          <w:b/>
        </w:rPr>
        <w:t xml:space="preserve">4 </w:t>
      </w:r>
      <w:r>
        <w:t xml:space="preserve">And I will stretch you out on the land; the plains will be filled with you, and I will make all the birds of heaven settle upon you, and from you I will fill all the beasts of the whole earth.</w:t>
      </w:r>
    </w:p>
    <w:p>
      <w:r>
        <w:rPr>
          <w:b/>
        </w:rPr>
        <w:t xml:space="preserve">5 </w:t>
      </w:r>
      <w:r>
        <w:t xml:space="preserve">And I will put your flesh upon the mountains and fill them with your blood.</w:t>
      </w:r>
    </w:p>
    <w:p>
      <w:r>
        <w:rPr>
          <w:b/>
        </w:rPr>
        <w:t xml:space="preserve">6 </w:t>
      </w:r>
      <w:r>
        <w:t xml:space="preserve">And the land will be watered from your dung, from your multitude upon the mountains; I will fill ravines from you.</w:t>
      </w:r>
    </w:p>
    <w:p>
      <w:r>
        <w:rPr>
          <w:b/>
        </w:rPr>
        <w:t xml:space="preserve">7 </w:t>
      </w:r>
      <w:r>
        <w:t xml:space="preserve">And when you are extinguished I will cover heaven and darken its stars; the sun I will cover with a cloud, and the moon will not show its light.</w:t>
      </w:r>
    </w:p>
    <w:p>
      <w:r>
        <w:rPr>
          <w:b/>
        </w:rPr>
        <w:t xml:space="preserve">8 </w:t>
      </w:r>
      <w:r>
        <w:t xml:space="preserve">All the shining lights in heaven will darken over you, and I will give darkness on your land, says the Lord God.</w:t>
      </w:r>
    </w:p>
    <w:p>
      <w:r>
        <w:rPr>
          <w:b/>
        </w:rPr>
        <w:t xml:space="preserve">9 </w:t>
      </w:r>
      <w:r>
        <w:t xml:space="preserve">And I will provoke the heart of many peoples when I lead your captivity among the nations to a land that you did not know.</w:t>
      </w:r>
    </w:p>
    <w:p>
      <w:r>
        <w:rPr>
          <w:b/>
        </w:rPr>
        <w:t xml:space="preserve">10 </w:t>
      </w:r>
      <w:r>
        <w:t xml:space="preserve">And many nations will shudder over you, and their kings will stand astonished when my sword</w:t>
      </w:r>
      <w:r>
        <w:rPr>
          <w:rStyle w:val="FootnoteReference"/>
        </w:rPr>
        <w:footnoteReference w:id="13129"/>
      </w:r>
      <w:r>
        <w:t xml:space="preserve"> flies before their faces, awaiting their fall from the day of your fall.</w:t>
      </w:r>
    </w:p>
    <w:p>
      <w:r>
        <w:rPr>
          <w:b/>
        </w:rPr>
        <w:t xml:space="preserve">11 </w:t>
      </w:r>
      <w:r>
        <w:t xml:space="preserve">Because thus says the Lord: The sword</w:t>
      </w:r>
      <w:r>
        <w:rPr>
          <w:rStyle w:val="FootnoteReference"/>
        </w:rPr>
        <w:footnoteReference w:id="13130"/>
      </w:r>
      <w:r>
        <w:t xml:space="preserve"> of the king of Babylon will come to you.</w:t>
      </w:r>
    </w:p>
    <w:p>
      <w:r>
        <w:rPr>
          <w:b/>
        </w:rPr>
        <w:t xml:space="preserve">12 </w:t>
      </w:r>
      <w:r>
        <w:t xml:space="preserve">With swords of giants I will bring down your strength; scourges from nations, all of them, will destroy the arrogance of Egypt, and all her strength will be crushed.</w:t>
      </w:r>
    </w:p>
    <w:p>
      <w:r>
        <w:rPr>
          <w:b/>
        </w:rPr>
        <w:t xml:space="preserve">13 </w:t>
      </w:r>
      <w:r>
        <w:t xml:space="preserve">And I will destroy</w:t>
      </w:r>
      <w:r>
        <w:rPr>
          <w:rStyle w:val="FootnoteReference"/>
        </w:rPr>
        <w:footnoteReference w:id="13131"/>
      </w:r>
      <w:r>
        <w:t xml:space="preserve"> all her cattle from beside much water, and a human foot will no longer trouble it, and the track of cattle will no longer trample it.</w:t>
      </w:r>
    </w:p>
    <w:p>
      <w:r>
        <w:rPr>
          <w:b/>
        </w:rPr>
        <w:t xml:space="preserve">14 </w:t>
      </w:r>
      <w:r>
        <w:t xml:space="preserve">Thus then their waters will become calm, and their rivers will flow like oil, says the Lord.</w:t>
      </w:r>
    </w:p>
    <w:p>
      <w:r>
        <w:rPr>
          <w:b/>
        </w:rPr>
        <w:t xml:space="preserve">15 </w:t>
      </w:r>
      <w:r>
        <w:t xml:space="preserve">When I make Egypt a destruction and the land is desolated with its fullness, when I scatter all those dwelling in it, then they will know that I am the Lord.</w:t>
      </w:r>
    </w:p>
    <w:p>
      <w:r>
        <w:rPr>
          <w:b/>
        </w:rPr>
        <w:t xml:space="preserve">16 </w:t>
      </w:r>
      <w:r>
        <w:t xml:space="preserve">It is a lamentation, and you will lament it; the daughters of the nations will lament it over Egypt, and over all her strength they will lament her, says the Lord God.</w:t>
      </w:r>
    </w:p>
    <w:p>
      <w:r>
        <w:rPr>
          <w:b/>
        </w:rPr>
        <w:t xml:space="preserve">17 </w:t>
      </w:r>
      <w:r>
        <w:t xml:space="preserve">And it happened in the twelfth</w:t>
      </w:r>
      <w:r>
        <w:rPr>
          <w:rStyle w:val="FootnoteReference"/>
        </w:rPr>
        <w:footnoteReference w:id="13132"/>
      </w:r>
      <w:r>
        <w:t xml:space="preserve"> year, in the first month, on the fifteenth of the month, the word of the Lord came to me, saying,</w:t>
      </w:r>
    </w:p>
    <w:p>
      <w:r>
        <w:rPr>
          <w:b/>
        </w:rPr>
        <w:t xml:space="preserve">18 </w:t>
      </w:r>
      <w:r>
        <w:t xml:space="preserve">Son of man, lament over the strength of Egypt, and the nations will bring down her daughters dead into the depth of the earth, to those going down into the pit.</w:t>
      </w:r>
    </w:p>
    <w:p>
      <w:r>
        <w:rPr>
          <w:b/>
        </w:rPr>
        <w:t xml:space="preserve">20 </w:t>
      </w:r>
      <w:r>
        <w:t xml:space="preserve">In the midst of those wounded by the sword they will fall</w:t>
      </w:r>
      <w:r>
        <w:rPr>
          <w:rStyle w:val="FootnoteReference"/>
        </w:rPr>
        <w:footnoteReference w:id="13133"/>
      </w:r>
      <w:r>
        <w:t xml:space="preserve"> with him, and all his strength will lie down.</w:t>
      </w:r>
    </w:p>
    <w:p>
      <w:r>
        <w:rPr>
          <w:b/>
        </w:rPr>
        <w:t xml:space="preserve">21 </w:t>
      </w:r>
      <w:r>
        <w:t xml:space="preserve">And the giants in the depth of the pit will say to you, Whom are you better than? Go down and lie with the uncircumcised in the midst of those wounded by the sword.</w:t>
      </w:r>
    </w:p>
    <w:p>
      <w:r>
        <w:rPr>
          <w:b/>
        </w:rPr>
        <w:t xml:space="preserve">22 </w:t>
      </w:r>
      <w:r>
        <w:t xml:space="preserve">There is Assyria and all his gathering, all the wounded. There they were given, and their burial is in the depth of the pit, and his gathering was around his tomb, all the wounded, those fallen by the sword,</w:t>
      </w:r>
    </w:p>
    <w:p>
      <w:r>
        <w:rPr>
          <w:b/>
        </w:rPr>
        <w:t xml:space="preserve">23 </w:t>
      </w:r>
      <w:r>
        <w:t xml:space="preserve">those who gave their fear upon the land of the living.</w:t>
      </w:r>
    </w:p>
    <w:p>
      <w:r>
        <w:rPr>
          <w:b/>
        </w:rPr>
        <w:t xml:space="preserve">24 </w:t>
      </w:r>
      <w:r>
        <w:t xml:space="preserve">There is Elam</w:t>
      </w:r>
      <w:r>
        <w:rPr>
          <w:rStyle w:val="FootnoteReference"/>
        </w:rPr>
        <w:footnoteReference w:id="13134"/>
      </w:r>
      <w:r>
        <w:t xml:space="preserve"> and all his force around his tomb, all the wounded, those fallen by the sword and going down uncircumcised into the depth of the earth, those who gave their fear upon the land of the living, and they bore their torment with those going down into the pit.</w:t>
      </w:r>
    </w:p>
    <w:p>
      <w:r>
        <w:rPr>
          <w:b/>
        </w:rPr>
        <w:t xml:space="preserve">25 </w:t>
      </w:r>
      <w:r>
        <w:t xml:space="preserve">In the midst of the wounded.</w:t>
      </w:r>
    </w:p>
    <w:p>
      <w:r>
        <w:rPr>
          <w:b/>
        </w:rPr>
        <w:t xml:space="preserve">26 </w:t>
      </w:r>
      <w:r>
        <w:t xml:space="preserve">There were given Meshech</w:t>
      </w:r>
      <w:r>
        <w:rPr>
          <w:rStyle w:val="FootnoteReference"/>
        </w:rPr>
        <w:footnoteReference w:id="13135"/>
      </w:r>
      <w:r>
        <w:t xml:space="preserve"> and Tubal and all their strength around his tomb, all his wounded, all uncircumcised, wounded by the sword, those who gave their fear upon the land of the living.</w:t>
      </w:r>
    </w:p>
    <w:p>
      <w:r>
        <w:rPr>
          <w:b/>
        </w:rPr>
        <w:t xml:space="preserve">27 </w:t>
      </w:r>
      <w:r>
        <w:t xml:space="preserve">And they lay with the giants fallen of old, who went down into Hades with the weapons of war, and they placed their swords under their heads, and their lawless deeds came upon their bones, because they terrified giants in the land of the living.</w:t>
      </w:r>
    </w:p>
    <w:p>
      <w:r>
        <w:rPr>
          <w:b/>
        </w:rPr>
        <w:t xml:space="preserve">28 </w:t>
      </w:r>
      <w:r>
        <w:t xml:space="preserve">And you will lie down in the midst of the uncircumcised with those wounded by the sword.</w:t>
      </w:r>
    </w:p>
    <w:p>
      <w:r>
        <w:rPr>
          <w:b/>
        </w:rPr>
        <w:t xml:space="preserve">29 </w:t>
      </w:r>
      <w:r>
        <w:t xml:space="preserve">There were given the rulers of Assyria, those giving his strength to a wound of the sword; these slept with the wounded, with those going down into the pit.</w:t>
      </w:r>
    </w:p>
    <w:p>
      <w:r>
        <w:rPr>
          <w:b/>
        </w:rPr>
        <w:t xml:space="preserve">30 </w:t>
      </w:r>
      <w:r>
        <w:t xml:space="preserve">There are the rulers of the north, all generals of Assyria, those going down wounded; with their fear and their strength they slept uncircumcised with those wounded by the sword, and they bore their torment with those going down into the pit.</w:t>
      </w:r>
    </w:p>
    <w:p>
      <w:r>
        <w:rPr>
          <w:b/>
        </w:rPr>
        <w:t xml:space="preserve">31 </w:t>
      </w:r>
      <w:r>
        <w:t xml:space="preserve">King Pharaoh will see those and be comforted over all their strength, says the Lord God.</w:t>
      </w:r>
    </w:p>
    <w:p>
      <w:r>
        <w:rPr>
          <w:b/>
        </w:rPr>
        <w:t xml:space="preserve">32 </w:t>
      </w:r>
      <w:r>
        <w:t xml:space="preserve">Because I have given his fear upon the land of the living, and Pharaoh and all his multitude will lie down in the midst of the uncircumcised with those wounded by the sword, says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33</w:t>
      </w:r>
    </w:p>
    <w:p>
      <w:r>
        <w:rPr>
          <w:b/>
        </w:rPr>
        <w:t xml:space="preserve">1 </w:t>
      </w:r>
      <w:r>
        <w:t xml:space="preserve">And the word of the Lord came to me, saying,</w:t>
      </w:r>
    </w:p>
    <w:p>
      <w:r>
        <w:rPr>
          <w:b/>
        </w:rPr>
        <w:t xml:space="preserve">2 </w:t>
      </w:r>
      <w:r>
        <w:t xml:space="preserve">Son of man, speak</w:t>
      </w:r>
      <w:r>
        <w:rPr>
          <w:rStyle w:val="FootnoteReference"/>
        </w:rPr>
        <w:footnoteReference w:id="13136"/>
      </w:r>
      <w:r>
        <w:t xml:space="preserve"> to the sons of your people and say to them: A land upon which I bring a sword, and the people of the land take one man from among them and give him to themselves as a watchman,</w:t>
      </w:r>
    </w:p>
    <w:p>
      <w:r>
        <w:rPr>
          <w:b/>
        </w:rPr>
        <w:t xml:space="preserve">3 </w:t>
      </w:r>
      <w:r>
        <w:t xml:space="preserve">and he sees the sword coming upon the land and sounds with the trumpet and signals the people,</w:t>
      </w:r>
    </w:p>
    <w:p>
      <w:r>
        <w:rPr>
          <w:b/>
        </w:rPr>
        <w:t xml:space="preserve">4 </w:t>
      </w:r>
      <w:r>
        <w:t xml:space="preserve">and the one hearing hears the sound of the trumpet and does not guard himself, and the sword comes and overtakes him, his blood</w:t>
      </w:r>
      <w:r>
        <w:rPr>
          <w:rStyle w:val="FootnoteReference"/>
        </w:rPr>
        <w:footnoteReference w:id="13137"/>
      </w:r>
      <w:r>
        <w:t xml:space="preserve"> will be on his own head.</w:t>
      </w:r>
    </w:p>
    <w:p>
      <w:r>
        <w:rPr>
          <w:b/>
        </w:rPr>
        <w:t xml:space="preserve">5 </w:t>
      </w:r>
      <w:r>
        <w:t xml:space="preserve">Because he heard</w:t>
      </w:r>
      <w:r>
        <w:rPr>
          <w:rStyle w:val="FootnoteReference"/>
        </w:rPr>
        <w:footnoteReference w:id="13138"/>
      </w:r>
      <w:r>
        <w:t xml:space="preserve"> the sound of the trumpet and did not guard himself, his blood will be on him. But this one, because he guarded himself, rescued his own life.</w:t>
      </w:r>
    </w:p>
    <w:p>
      <w:r>
        <w:rPr>
          <w:b/>
        </w:rPr>
        <w:t xml:space="preserve">6 </w:t>
      </w:r>
      <w:r>
        <w:t xml:space="preserve">And if the watchman sees the sword coming and does not signal with the trumpet, and the people do not guard themselves, and the sword comes and takes a life from them, that one was taken because of his own lawlessness, but his blood</w:t>
      </w:r>
      <w:r>
        <w:rPr>
          <w:rStyle w:val="FootnoteReference"/>
        </w:rPr>
        <w:footnoteReference w:id="13139"/>
      </w:r>
      <w:r>
        <w:t xml:space="preserve"> I will seek from the hand of the watchman.</w:t>
      </w:r>
    </w:p>
    <w:p>
      <w:r>
        <w:rPr>
          <w:b/>
        </w:rPr>
        <w:t xml:space="preserve">7 </w:t>
      </w:r>
      <w:r>
        <w:t xml:space="preserve">And you, son of man, I have given you as a watchman to the house of Israel, and you will hear a word from my mouth.</w:t>
      </w:r>
    </w:p>
    <w:p>
      <w:r>
        <w:rPr>
          <w:b/>
        </w:rPr>
        <w:t xml:space="preserve">8 </w:t>
      </w:r>
      <w:r>
        <w:t xml:space="preserve">When I say to the sinner, By death you will be put to death, and you do not speak to guard the impious one from his way, that lawless one will die in his lawlessness, but his blood I will seek from your hand.</w:t>
      </w:r>
    </w:p>
    <w:p>
      <w:r>
        <w:rPr>
          <w:b/>
        </w:rPr>
        <w:t xml:space="preserve">9 </w:t>
      </w:r>
      <w:r>
        <w:t xml:space="preserve">But if you warn the impious one about his way, to turn from it, and he does not turn from his way, this one will die in his impiety, but you have rescued your own life.</w:t>
      </w:r>
    </w:p>
    <w:p>
      <w:r>
        <w:rPr>
          <w:b/>
        </w:rPr>
        <w:t xml:space="preserve">10 </w:t>
      </w:r>
      <w:r>
        <w:t xml:space="preserve">And you, son of man, say to the house of Israel, Thus you have spoken, saying, Our wanderings and our lawless deeds are upon us, and in them we melt away, and how shall we live?</w:t>
      </w:r>
    </w:p>
    <w:p>
      <w:r>
        <w:rPr>
          <w:b/>
        </w:rPr>
        <w:t xml:space="preserve">11 </w:t>
      </w:r>
      <w:r>
        <w:t xml:space="preserve">Say to them, As I live</w:t>
      </w:r>
      <w:r>
        <w:rPr>
          <w:rStyle w:val="FootnoteReference"/>
        </w:rPr>
        <w:footnoteReference w:id="13140"/>
      </w:r>
      <w:r>
        <w:t xml:space="preserve">, thus says the Lord, I do not desire the death of the impious one, but rather that the impious one turn from his way and live. Turn back, turn back from your way, and why are you dying, house of Israel?</w:t>
      </w:r>
    </w:p>
    <w:p>
      <w:r>
        <w:rPr>
          <w:b/>
        </w:rPr>
        <w:t xml:space="preserve">12 </w:t>
      </w:r>
      <w:r>
        <w:t xml:space="preserve">Say to the sons of your people, The righteousness</w:t>
      </w:r>
      <w:r>
        <w:rPr>
          <w:rStyle w:val="FootnoteReference"/>
        </w:rPr>
        <w:footnoteReference w:id="13141"/>
      </w:r>
      <w:r>
        <w:t xml:space="preserve"> of a righteous one will not rescue him on the day when he wanders, and the lawlessness of an impious one will not hurt him on the day when he turns from his lawlessness, and a righteous one will not be able to be saved.</w:t>
      </w:r>
    </w:p>
    <w:p>
      <w:r>
        <w:rPr>
          <w:b/>
        </w:rPr>
        <w:t xml:space="preserve">13 </w:t>
      </w:r>
      <w:r>
        <w:t xml:space="preserve">When I say to the righteous one, "He will surely live," and he trusts in his righteousness and does lawlessness, all his righteous deeds will not be remembered; in the injustice that he did, in it he will die.</w:t>
      </w:r>
    </w:p>
    <w:p>
      <w:r>
        <w:rPr>
          <w:b/>
        </w:rPr>
        <w:t xml:space="preserve">14 </w:t>
      </w:r>
      <w:r>
        <w:t xml:space="preserve">And when I say to the impious one, "By death you will be put to death," and he turns from his sin and does judgment and righteousness,</w:t>
      </w:r>
      <w:r>
        <w:rPr>
          <w:rStyle w:val="FootnoteReference"/>
        </w:rPr>
        <w:footnoteReference w:id="13142"/>
      </w:r>
    </w:p>
    <w:p>
      <w:r>
        <w:rPr>
          <w:b/>
        </w:rPr>
        <w:t xml:space="preserve">15 </w:t>
      </w:r>
      <w:r>
        <w:t xml:space="preserve">and returns a pledge and repays plunder and walks in ordinances of life, so as not to do injustice, living he will live; he will not die.</w:t>
      </w:r>
    </w:p>
    <w:p>
      <w:r>
        <w:rPr>
          <w:b/>
        </w:rPr>
        <w:t xml:space="preserve">16 </w:t>
      </w:r>
      <w:r>
        <w:t xml:space="preserve">None of all his sins that he sinned will be remembered, because he did judgment and righteousness; in them he will live.</w:t>
      </w:r>
    </w:p>
    <w:p>
      <w:r>
        <w:rPr>
          <w:b/>
        </w:rPr>
        <w:t xml:space="preserve">17 </w:t>
      </w:r>
      <w:r>
        <w:t xml:space="preserve">And the sons of your people will say, The way of the Lord is not straight, but this way of theirs is not straight.</w:t>
      </w:r>
    </w:p>
    <w:p>
      <w:r>
        <w:rPr>
          <w:b/>
        </w:rPr>
        <w:t xml:space="preserve">18 </w:t>
      </w:r>
      <w:r>
        <w:t xml:space="preserve">When a righteous one turns from his righteousness and does lawless deeds, he will die in them.</w:t>
      </w:r>
    </w:p>
    <w:p>
      <w:r>
        <w:rPr>
          <w:b/>
        </w:rPr>
        <w:t xml:space="preserve">19 </w:t>
      </w:r>
      <w:r>
        <w:t xml:space="preserve">And when the sinner turns from his lawlessness and does judgment and righteousness, in them he himself will live.</w:t>
      </w:r>
    </w:p>
    <w:p>
      <w:r>
        <w:rPr>
          <w:b/>
        </w:rPr>
        <w:t xml:space="preserve">20 </w:t>
      </w:r>
      <w:r>
        <w:t xml:space="preserve">And this is what you said: The way of the Lord is not straight. I will judge each one of you according to his ways, house of Israel.</w:t>
      </w:r>
    </w:p>
    <w:p>
      <w:r>
        <w:rPr>
          <w:b/>
        </w:rPr>
        <w:t xml:space="preserve">21 </w:t>
      </w:r>
      <w:r>
        <w:t xml:space="preserve">And it happened in the twelfth</w:t>
      </w:r>
      <w:r>
        <w:rPr>
          <w:rStyle w:val="FootnoteReference"/>
        </w:rPr>
        <w:footnoteReference w:id="13143"/>
      </w:r>
      <w:r>
        <w:t xml:space="preserve"> year, in the twelfth month, on the fifth of the month of our captivity, the one who had escaped came to me from Jerusalem, saying, The city has been taken.</w:t>
      </w:r>
    </w:p>
    <w:p>
      <w:r>
        <w:rPr>
          <w:b/>
        </w:rPr>
        <w:t xml:space="preserve">22 </w:t>
      </w:r>
      <w:r>
        <w:t xml:space="preserve">And the hand</w:t>
      </w:r>
      <w:r>
        <w:rPr>
          <w:rStyle w:val="FootnoteReference"/>
        </w:rPr>
        <w:footnoteReference w:id="13144"/>
      </w:r>
      <w:r>
        <w:t xml:space="preserve"> of the Lord came upon me in the evening before he came, and he opened my mouth until he came to me in the morning, and my mouth, having been opened, was no longer restrained.</w:t>
      </w:r>
    </w:p>
    <w:p>
      <w:r>
        <w:rPr>
          <w:b/>
        </w:rPr>
        <w:t xml:space="preserve">23 </w:t>
      </w:r>
      <w:r>
        <w:t xml:space="preserve">And the word of the Lord came to me, saying,</w:t>
      </w:r>
    </w:p>
    <w:p>
      <w:r>
        <w:rPr>
          <w:b/>
        </w:rPr>
        <w:t xml:space="preserve">24 </w:t>
      </w:r>
      <w:r>
        <w:t xml:space="preserve">Son of man, those dwelling in the desolated places on the land of Israel say, Abraham</w:t>
      </w:r>
      <w:r>
        <w:rPr>
          <w:rStyle w:val="FootnoteReference"/>
        </w:rPr>
        <w:footnoteReference w:id="13145"/>
      </w:r>
      <w:r>
        <w:t xml:space="preserve"> was one and possessed the land, and we are more numerous; to us the land has been given as a possession.</w:t>
      </w:r>
    </w:p>
    <w:p>
      <w:r>
        <w:rPr>
          <w:b/>
        </w:rPr>
        <w:t xml:space="preserve">25 </w:t>
      </w:r>
      <w:r>
        <w:t xml:space="preserve">Therefore say to them, Thus says the Lord God.</w:t>
      </w:r>
    </w:p>
    <w:p>
      <w:r>
        <w:rPr>
          <w:b/>
        </w:rPr>
        <w:t xml:space="preserve">27 </w:t>
      </w:r>
      <w:r>
        <w:t xml:space="preserve">As I live, surely</w:t>
      </w:r>
      <w:r>
        <w:rPr>
          <w:rStyle w:val="FootnoteReference"/>
        </w:rPr>
        <w:footnoteReference w:id="13146"/>
      </w:r>
      <w:r>
        <w:t xml:space="preserve"> those in the desolated places will fall by the sword, and those on the face of the plain will be given to the beasts of the field for food, and those in the fortified places and those in the caves I will kill with death.</w:t>
      </w:r>
    </w:p>
    <w:p>
      <w:r>
        <w:rPr>
          <w:b/>
        </w:rPr>
        <w:t xml:space="preserve">28 </w:t>
      </w:r>
      <w:r>
        <w:t xml:space="preserve">And I will make the land a desolation, and the arrogance of its strength will perish, and the mountains</w:t>
      </w:r>
      <w:r>
        <w:rPr>
          <w:rStyle w:val="FootnoteReference"/>
        </w:rPr>
        <w:footnoteReference w:id="13147"/>
      </w:r>
      <w:r>
        <w:t xml:space="preserve"> of Israel will be desolated because there is no one passing through.</w:t>
      </w:r>
    </w:p>
    <w:p>
      <w:r>
        <w:rPr>
          <w:b/>
        </w:rPr>
        <w:t xml:space="preserve">29 </w:t>
      </w:r>
      <w:r>
        <w:t xml:space="preserve">And they will know that I am the Lord when I make their land a desolation, and it will be desolated because of all their abominations that they did.</w:t>
      </w:r>
    </w:p>
    <w:p>
      <w:r>
        <w:rPr>
          <w:b/>
        </w:rPr>
        <w:t xml:space="preserve">30 </w:t>
      </w:r>
      <w:r>
        <w:t xml:space="preserve">And you, son of man, the sons of your people are those speaking about you beside the walls and in the doorways of the houses, and they speak, each man to his brother, saying, Let us come together and hear the things going out from the Lord.</w:t>
      </w:r>
    </w:p>
    <w:p>
      <w:r>
        <w:rPr>
          <w:b/>
        </w:rPr>
        <w:t xml:space="preserve">31 </w:t>
      </w:r>
      <w:r>
        <w:t xml:space="preserve">They come to you as a people comes together and sit before you and hear your words, but they will not do them, because falsehood is in their mouth and their heart is behind their defilements.</w:t>
      </w:r>
    </w:p>
    <w:p>
      <w:r>
        <w:rPr>
          <w:b/>
        </w:rPr>
        <w:t xml:space="preserve">32 </w:t>
      </w:r>
      <w:r>
        <w:t xml:space="preserve">And you become to them like the sound of a sweet-sounding, well-harmonized psaltery, and they will hear your words but not do them.</w:t>
      </w:r>
    </w:p>
    <w:p>
      <w:r>
        <w:rPr>
          <w:b/>
        </w:rPr>
        <w:t xml:space="preserve">33 </w:t>
      </w:r>
      <w:r>
        <w:t xml:space="preserve">And whenever it comes, they will say, Behold, it has come, and they will know that a prophet was in their midst.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34</w:t>
      </w:r>
    </w:p>
    <w:p>
      <w:r>
        <w:rPr>
          <w:b/>
        </w:rPr>
        <w:t xml:space="preserve">1 </w:t>
      </w:r>
      <w:r>
        <w:t xml:space="preserve">And the word of the Lord came to me, saying,</w:t>
      </w:r>
    </w:p>
    <w:p>
      <w:r>
        <w:rPr>
          <w:b/>
        </w:rPr>
        <w:t xml:space="preserve">2 </w:t>
      </w:r>
      <w:r>
        <w:t xml:space="preserve">Son of man, prophesy against the shepherds</w:t>
      </w:r>
      <w:r>
        <w:rPr>
          <w:rStyle w:val="FootnoteReference"/>
        </w:rPr>
        <w:footnoteReference w:id="13148"/>
      </w:r>
      <w:r>
        <w:t xml:space="preserve"> of Israel, prophesy, and say to the shepherds, Thus says the Lord God: Woe, shepherds of Israel. Do the shepherds feed themselves? Do not the shepherds feed the sheep?</w:t>
      </w:r>
    </w:p>
    <w:p>
      <w:r>
        <w:rPr>
          <w:b/>
        </w:rPr>
        <w:t xml:space="preserve">3 </w:t>
      </w:r>
      <w:r>
        <w:t xml:space="preserve">Behold, you eat the milk and clothe yourselves with the wool and slaughter the fat one, but my sheep you do not feed.</w:t>
      </w:r>
    </w:p>
    <w:p>
      <w:r>
        <w:rPr>
          <w:b/>
        </w:rPr>
        <w:t xml:space="preserve">4 </w:t>
      </w:r>
      <w:r>
        <w:t xml:space="preserve">The weak one you did not strengthen, and the sick one you did not heal, and the broken one you did not bind up, and the straying one you did not turn back, and the lost one you did not seek, and the strong one you wore down with toil.</w:t>
      </w:r>
    </w:p>
    <w:p>
      <w:r>
        <w:rPr>
          <w:b/>
        </w:rPr>
        <w:t xml:space="preserve">5 </w:t>
      </w:r>
      <w:r>
        <w:t xml:space="preserve">And my sheep were scattered because there were no shepherds and became food for all the beasts of the field.</w:t>
      </w:r>
    </w:p>
    <w:p>
      <w:r>
        <w:rPr>
          <w:b/>
        </w:rPr>
        <w:t xml:space="preserve">6 </w:t>
      </w:r>
      <w:r>
        <w:t xml:space="preserve">And my sheep were scattered on every mountain and on every high hill, and over the face of all the earth they were scattered, and there was no one seeking them and no one turning them back.</w:t>
      </w:r>
    </w:p>
    <w:p>
      <w:r>
        <w:rPr>
          <w:b/>
        </w:rPr>
        <w:t xml:space="preserve">7 </w:t>
      </w:r>
      <w:r>
        <w:t xml:space="preserve">Therefore, shepherds, hear the word of the Lord.</w:t>
      </w:r>
    </w:p>
    <w:p>
      <w:r>
        <w:rPr>
          <w:b/>
        </w:rPr>
        <w:t xml:space="preserve">8 </w:t>
      </w:r>
      <w:r>
        <w:t xml:space="preserve">As I live, says the Lord God, surely because my sheep became plunder and my sheep became food for all the beasts of the field because there were no shepherds, and the shepherds</w:t>
      </w:r>
      <w:r>
        <w:rPr>
          <w:rStyle w:val="FootnoteReference"/>
        </w:rPr>
        <w:footnoteReference w:id="13149"/>
      </w:r>
      <w:r>
        <w:t xml:space="preserve"> did not seek out my sheep, and the shepherds fed themselves, but my sheep they did not feed,</w:t>
      </w:r>
    </w:p>
    <w:p>
      <w:r>
        <w:rPr>
          <w:b/>
        </w:rPr>
        <w:t xml:space="preserve">9 </w:t>
      </w:r>
      <w:r>
        <w:t xml:space="preserve">Because of this, shepherds,</w:t>
      </w:r>
    </w:p>
    <w:p>
      <w:r>
        <w:rPr>
          <w:b/>
        </w:rPr>
        <w:t xml:space="preserve">10 </w:t>
      </w:r>
      <w:r>
        <w:t xml:space="preserve">Thus says the Lord God: Behold, I am against the shepherds, and I will</w:t>
      </w:r>
      <w:r>
        <w:rPr>
          <w:rStyle w:val="FootnoteReference"/>
        </w:rPr>
        <w:footnoteReference w:id="13150"/>
      </w:r>
      <w:r>
        <w:t xml:space="preserve"> require my sheep from their hands and turn them away so that they do not shepherd my sheep, and the shepherds will no longer feed them; and I will rescue my sheep from their mouth, and they will no longer be food for them.</w:t>
      </w:r>
    </w:p>
    <w:p>
      <w:r>
        <w:rPr>
          <w:b/>
        </w:rPr>
        <w:t xml:space="preserve">11 </w:t>
      </w:r>
      <w:r>
        <w:t xml:space="preserve">Because thus says the Lord: Behold, I myself will seek out my sheep and attend to them.</w:t>
      </w:r>
    </w:p>
    <w:p>
      <w:r>
        <w:rPr>
          <w:b/>
        </w:rPr>
        <w:t xml:space="preserve">12 </w:t>
      </w:r>
      <w:r>
        <w:t xml:space="preserve">As the shepherd seeks his flock on a day when gloom and cloud are amid scattered sheep, so I will seek out my sheep and drive them out from every place where they were scattered, on a day of cloud and gloom.</w:t>
      </w:r>
    </w:p>
    <w:p>
      <w:r>
        <w:rPr>
          <w:b/>
        </w:rPr>
        <w:t xml:space="preserve">13 </w:t>
      </w:r>
      <w:r>
        <w:t xml:space="preserve">And I will bring</w:t>
      </w:r>
      <w:r>
        <w:rPr>
          <w:rStyle w:val="FootnoteReference"/>
        </w:rPr>
        <w:footnoteReference w:id="13151"/>
      </w:r>
      <w:r>
        <w:t xml:space="preserve"> them out from the nations and gather them from the lands and bring them into their land and feed them on the mountains of Israel and in the ravines and in every habitation of the land.</w:t>
      </w:r>
    </w:p>
    <w:p>
      <w:r>
        <w:rPr>
          <w:b/>
        </w:rPr>
        <w:t xml:space="preserve">14 </w:t>
      </w:r>
      <w:r>
        <w:t xml:space="preserve">In good pasture I will feed them</w:t>
      </w:r>
      <w:r>
        <w:rPr>
          <w:rStyle w:val="FootnoteReference"/>
        </w:rPr>
        <w:footnoteReference w:id="13152"/>
      </w:r>
      <w:r>
        <w:t xml:space="preserve">, and on the high mountain of Israel their folds will be there; there they will lie down, and there they will rest in good delight, and in rich pasture they will be fed on the mountains of Israel.</w:t>
      </w:r>
    </w:p>
    <w:p>
      <w:r>
        <w:rPr>
          <w:b/>
        </w:rPr>
        <w:t xml:space="preserve">15 </w:t>
      </w:r>
      <w:r>
        <w:t xml:space="preserve">I myself will feed my sheep, and I myself will give them rest, and they will know that I am the Lord. Thus says the Lord God.</w:t>
      </w:r>
    </w:p>
    <w:p>
      <w:r>
        <w:rPr>
          <w:b/>
        </w:rPr>
        <w:t xml:space="preserve">16 </w:t>
      </w:r>
      <w:r>
        <w:t xml:space="preserve">The lost one I will seek, and the straying one I will turn back, and the broken one I will bind up, and the fainting one I will strengthen, and the strong one I will guard, and I will feed</w:t>
      </w:r>
      <w:r>
        <w:rPr>
          <w:rStyle w:val="FootnoteReference"/>
        </w:rPr>
        <w:footnoteReference w:id="13153"/>
      </w:r>
      <w:r>
        <w:t xml:space="preserve"> them with judgment.</w:t>
      </w:r>
    </w:p>
    <w:p>
      <w:r>
        <w:rPr>
          <w:b/>
        </w:rPr>
        <w:t xml:space="preserve">17 </w:t>
      </w:r>
      <w:r>
        <w:t xml:space="preserve">And you, sheep, thus says the Lord God: Behold, I myself judge between sheep and sheep, between rams and he-goats.</w:t>
      </w:r>
    </w:p>
    <w:p>
      <w:r>
        <w:rPr>
          <w:b/>
        </w:rPr>
        <w:t xml:space="preserve">18 </w:t>
      </w:r>
      <w:r>
        <w:t xml:space="preserve">And is it not enough for you that you grazed the good pasture and trampled the rest of your pasture with your feet, and drank the settled water and troubled the rest with your feet?</w:t>
      </w:r>
    </w:p>
    <w:p>
      <w:r>
        <w:rPr>
          <w:b/>
        </w:rPr>
        <w:t xml:space="preserve">19 </w:t>
      </w:r>
      <w:r>
        <w:t xml:space="preserve">And my sheep fed on the tramplings of your feet and drank the water troubled under your feet.</w:t>
      </w:r>
    </w:p>
    <w:p>
      <w:r>
        <w:rPr>
          <w:b/>
        </w:rPr>
        <w:t xml:space="preserve">20 </w:t>
      </w:r>
      <w:r>
        <w:t xml:space="preserve">Therefore thus says the Lord God: Behold</w:t>
      </w:r>
      <w:r>
        <w:rPr>
          <w:rStyle w:val="FootnoteReference"/>
        </w:rPr>
        <w:footnoteReference w:id="13154"/>
      </w:r>
      <w:r>
        <w:t xml:space="preserve">, I judge between the strong sheep and the weak sheep.</w:t>
      </w:r>
    </w:p>
    <w:p>
      <w:r>
        <w:rPr>
          <w:b/>
        </w:rPr>
        <w:t xml:space="preserve">21 </w:t>
      </w:r>
      <w:r>
        <w:t xml:space="preserve">With your sides and with your shoulders you pushed</w:t>
      </w:r>
      <w:r>
        <w:rPr>
          <w:rStyle w:val="FootnoteReference"/>
        </w:rPr>
        <w:footnoteReference w:id="13155"/>
      </w:r>
      <w:r>
        <w:t xml:space="preserve">, and with your horns you gored, and every fainting one you pressed out.</w:t>
      </w:r>
    </w:p>
    <w:p>
      <w:r>
        <w:rPr>
          <w:b/>
        </w:rPr>
        <w:t xml:space="preserve">22 </w:t>
      </w:r>
      <w:r>
        <w:t xml:space="preserve">And I will save my sheep, and they will no longer be for plunder, and I will judge between ram and ram.</w:t>
      </w:r>
    </w:p>
    <w:p>
      <w:r>
        <w:rPr>
          <w:b/>
        </w:rPr>
        <w:t xml:space="preserve">23 </w:t>
      </w:r>
      <w:r>
        <w:t xml:space="preserve">And I will raise up over them one shepherd, my servant</w:t>
      </w:r>
      <w:r>
        <w:rPr>
          <w:rStyle w:val="FootnoteReference"/>
        </w:rPr>
        <w:footnoteReference w:id="13156"/>
      </w:r>
      <w:r>
        <w:t xml:space="preserve"> David, and he will shepherd them, and he will be their shepherd.</w:t>
      </w:r>
    </w:p>
    <w:p>
      <w:r>
        <w:rPr>
          <w:b/>
        </w:rPr>
        <w:t xml:space="preserve">24 </w:t>
      </w:r>
      <w:r>
        <w:t xml:space="preserve">And I, the Lord, will be to them for God, and David will be a ruler in their midst. I, the Lord, have spoken.</w:t>
      </w:r>
    </w:p>
    <w:p>
      <w:r>
        <w:rPr>
          <w:b/>
        </w:rPr>
        <w:t xml:space="preserve">25 </w:t>
      </w:r>
      <w:r>
        <w:t xml:space="preserve">And I will make</w:t>
      </w:r>
      <w:r>
        <w:rPr>
          <w:rStyle w:val="FootnoteReference"/>
        </w:rPr>
        <w:footnoteReference w:id="13157"/>
      </w:r>
      <w:r>
        <w:t xml:space="preserve"> with David a covenant of peace and destroy evil beasts from the land, and they will dwell in the wilderness and sleep in the forests.</w:t>
      </w:r>
    </w:p>
    <w:p>
      <w:r>
        <w:rPr>
          <w:b/>
        </w:rPr>
        <w:t xml:space="preserve">26 </w:t>
      </w:r>
      <w:r>
        <w:t xml:space="preserve">And I will place them around my mountain and give you the rain, a rain of blessing.</w:t>
      </w:r>
    </w:p>
    <w:p>
      <w:r>
        <w:rPr>
          <w:b/>
        </w:rPr>
        <w:t xml:space="preserve">27 </w:t>
      </w:r>
      <w:r>
        <w:t xml:space="preserve">And the trees in the field will give their fruit, and the land will give its strength, and they will dwell upon their land in hope of peace and know that</w:t>
      </w:r>
      <w:r>
        <w:rPr>
          <w:rStyle w:val="FootnoteReference"/>
        </w:rPr>
        <w:footnoteReference w:id="13158"/>
      </w:r>
      <w:r>
        <w:t xml:space="preserve"> I am the Lord when I break their yoke and rescue them from the hand of those enslaving them.</w:t>
      </w:r>
    </w:p>
    <w:p>
      <w:r>
        <w:rPr>
          <w:b/>
        </w:rPr>
        <w:t xml:space="preserve">28 </w:t>
      </w:r>
      <w:r>
        <w:t xml:space="preserve">And they will no longer be for plunder to the nations, and the beasts of the earth will never again eat them, and they will dwell in hope, and there will be no one frightening them.</w:t>
      </w:r>
    </w:p>
    <w:p>
      <w:r>
        <w:rPr>
          <w:b/>
        </w:rPr>
        <w:t xml:space="preserve">29 </w:t>
      </w:r>
      <w:r>
        <w:t xml:space="preserve">And I will raise up for them a plant of peace, and they will no longer perish by famine upon the land and will no longer bear the reproach of nations.</w:t>
      </w:r>
    </w:p>
    <w:p>
      <w:r>
        <w:rPr>
          <w:b/>
        </w:rPr>
        <w:t xml:space="preserve">30 </w:t>
      </w:r>
      <w:r>
        <w:t xml:space="preserve">And they will know that I am the Lord their God, and that they are my people, the house of Israel, says the Lord.</w:t>
      </w:r>
    </w:p>
    <w:p>
      <w:r>
        <w:rPr>
          <w:b/>
        </w:rPr>
        <w:t xml:space="preserve">31 </w:t>
      </w:r>
      <w:r>
        <w:t xml:space="preserve">You are my sheep, the sheep of my flock, and I am the Lord your God, says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35</w:t>
      </w:r>
    </w:p>
    <w:p>
      <w:r>
        <w:rPr>
          <w:b/>
        </w:rPr>
        <w:t xml:space="preserve">1 </w:t>
      </w:r>
      <w:r>
        <w:t xml:space="preserve">And the word of the Lord came to me, saying,</w:t>
      </w:r>
    </w:p>
    <w:p>
      <w:r>
        <w:rPr>
          <w:b/>
        </w:rPr>
        <w:t xml:space="preserve">2 </w:t>
      </w:r>
      <w:r>
        <w:t xml:space="preserve">Son of man, turn your face against Mount</w:t>
      </w:r>
      <w:r>
        <w:rPr>
          <w:rStyle w:val="FootnoteReference"/>
        </w:rPr>
        <w:footnoteReference w:id="13159"/>
      </w:r>
      <w:r>
        <w:t xml:space="preserve"> Seir and prophesy against it,</w:t>
      </w:r>
    </w:p>
    <w:p>
      <w:r>
        <w:rPr>
          <w:b/>
        </w:rPr>
        <w:t xml:space="preserve">3 </w:t>
      </w:r>
      <w:r>
        <w:t xml:space="preserve">and say, Thus says the Lord God: Behold, I am against you, Mount Seir, and I will stretch</w:t>
      </w:r>
      <w:r>
        <w:rPr>
          <w:rStyle w:val="FootnoteReference"/>
        </w:rPr>
        <w:footnoteReference w:id="13160"/>
      </w:r>
      <w:r>
        <w:t xml:space="preserve"> out my hand against you and give you as a wilderness, and you will be desolated.</w:t>
      </w:r>
    </w:p>
    <w:p>
      <w:r>
        <w:rPr>
          <w:b/>
        </w:rPr>
        <w:t xml:space="preserve">4 </w:t>
      </w:r>
      <w:r>
        <w:t xml:space="preserve">And I will make your cities a desolation, and you will be desolate and know that I am the Lord.</w:t>
      </w:r>
    </w:p>
    <w:p>
      <w:r>
        <w:rPr>
          <w:b/>
        </w:rPr>
        <w:t xml:space="preserve">5 </w:t>
      </w:r>
      <w:r>
        <w:t xml:space="preserve">Because you became a perpetual enemy and laid ambush against the house of Israel with deceit, by the hand of enemies with a sword, in the time of injustice, at the end,</w:t>
      </w:r>
    </w:p>
    <w:p>
      <w:r>
        <w:rPr>
          <w:b/>
        </w:rPr>
        <w:t xml:space="preserve">6 </w:t>
      </w:r>
      <w:r>
        <w:t xml:space="preserve">Therefore, as I live, says the Lord God, surely you sinned unto blood, and blood will pursue you.</w:t>
      </w:r>
    </w:p>
    <w:p>
      <w:r>
        <w:rPr>
          <w:b/>
        </w:rPr>
        <w:t xml:space="preserve">7 </w:t>
      </w:r>
      <w:r>
        <w:t xml:space="preserve">And I will make Mount Seir into a wilderness and a desolated place and destroy from it men and cattle.</w:t>
      </w:r>
    </w:p>
    <w:p>
      <w:r>
        <w:rPr>
          <w:b/>
        </w:rPr>
        <w:t xml:space="preserve">8 </w:t>
      </w:r>
      <w:r>
        <w:t xml:space="preserve">And I will fill your hills and your ravines with your wounded, and in all your plains those wounded by the sword will fall within you.</w:t>
      </w:r>
    </w:p>
    <w:p>
      <w:r>
        <w:rPr>
          <w:b/>
        </w:rPr>
        <w:t xml:space="preserve">9 </w:t>
      </w:r>
      <w:r>
        <w:t xml:space="preserve">I will make you an everlasting desolation, and your cities will never again be inhabited, and you will know that I am the Lord.</w:t>
      </w:r>
    </w:p>
    <w:p>
      <w:r>
        <w:rPr>
          <w:b/>
        </w:rPr>
        <w:t xml:space="preserve">10 </w:t>
      </w:r>
      <w:r>
        <w:t xml:space="preserve">Because you said, The two nations and the two lands will be mine, and I will inherit them, and the Lord is there,</w:t>
      </w:r>
    </w:p>
    <w:p>
      <w:r>
        <w:rPr>
          <w:b/>
        </w:rPr>
        <w:t xml:space="preserve">11 </w:t>
      </w:r>
      <w:r>
        <w:t xml:space="preserve">Therefore, as I live, says the Lord, I will do to you according to your enmity and will be made known to you when I judge you.</w:t>
      </w:r>
    </w:p>
    <w:p>
      <w:r>
        <w:rPr>
          <w:b/>
        </w:rPr>
        <w:t xml:space="preserve">12 </w:t>
      </w:r>
      <w:r>
        <w:t xml:space="preserve">And you will know that I am the Lord; I heard the voice of your blasphemies, because you said, The mountains of Israel are desolate; they have been given to us for food.</w:t>
      </w:r>
    </w:p>
    <w:p>
      <w:r>
        <w:rPr>
          <w:b/>
        </w:rPr>
        <w:t xml:space="preserve">13 </w:t>
      </w:r>
      <w:r>
        <w:t xml:space="preserve">And you spoke arrogantly against me with your mouth; I heard.</w:t>
      </w:r>
    </w:p>
    <w:p>
      <w:r>
        <w:rPr>
          <w:b/>
        </w:rPr>
        <w:t xml:space="preserve">14 </w:t>
      </w:r>
      <w:r>
        <w:t xml:space="preserve">Thus says the Lord: In the joy of the whole earth I will make you a desolation.</w:t>
      </w:r>
    </w:p>
    <w:p>
      <w:r>
        <w:rPr>
          <w:b/>
        </w:rPr>
        <w:t xml:space="preserve">15 </w:t>
      </w:r>
      <w:r>
        <w:t xml:space="preserve">You will be a desolation, Mount Seir, and all Edom will be utterly consumed, and you will know that I am the Lord their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36</w:t>
      </w:r>
    </w:p>
    <w:p>
      <w:r>
        <w:rPr>
          <w:b/>
        </w:rPr>
        <w:t xml:space="preserve">1 </w:t>
      </w:r>
      <w:r>
        <w:t xml:space="preserve">And you, son of man, prophesy over the mountains</w:t>
      </w:r>
      <w:r>
        <w:rPr>
          <w:rStyle w:val="FootnoteReference"/>
        </w:rPr>
        <w:footnoteReference w:id="13161"/>
      </w:r>
      <w:r>
        <w:t xml:space="preserve"> of Israel and say to the mountains of Israel, Hear the word of the Lord.</w:t>
      </w:r>
    </w:p>
    <w:p>
      <w:r>
        <w:rPr>
          <w:b/>
        </w:rPr>
        <w:t xml:space="preserve">2 </w:t>
      </w:r>
      <w:r>
        <w:t xml:space="preserve">Thus says the Lord God: Because the enemy said against you, Aha, everlasting desolations have become ours</w:t>
      </w:r>
      <w:r>
        <w:rPr>
          <w:rStyle w:val="FootnoteReference"/>
        </w:rPr>
        <w:footnoteReference w:id="13162"/>
      </w:r>
      <w:r>
        <w:t xml:space="preserve"> as a possession,</w:t>
      </w:r>
    </w:p>
    <w:p>
      <w:r>
        <w:rPr>
          <w:b/>
        </w:rPr>
        <w:t xml:space="preserve">3 </w:t>
      </w:r>
      <w:r>
        <w:t xml:space="preserve">Therefore prophesy and say, Thus says the Lord God: Because you were dishonored and hated by those around you, so that you were a possession to the remaining nations, and you rose as talk on the tongue and as a reproach among nations,</w:t>
      </w:r>
    </w:p>
    <w:p>
      <w:r>
        <w:rPr>
          <w:b/>
        </w:rPr>
        <w:t xml:space="preserve">4 </w:t>
      </w:r>
      <w:r>
        <w:t xml:space="preserve">Therefore, mountains</w:t>
      </w:r>
      <w:r>
        <w:rPr>
          <w:rStyle w:val="FootnoteReference"/>
        </w:rPr>
        <w:footnoteReference w:id="13163"/>
      </w:r>
      <w:r>
        <w:t xml:space="preserve"> of Israel, hear the word of the Lord. Thus says the Lord to the mountains and to the hills and to the ravines and to the torrents and to the desolated and ruined places and to the abandoned cities, which became for plunder and for trampling to the remaining nations around,</w:t>
      </w:r>
    </w:p>
    <w:p>
      <w:r>
        <w:rPr>
          <w:b/>
        </w:rPr>
        <w:t xml:space="preserve">5 </w:t>
      </w:r>
      <w:r>
        <w:t xml:space="preserve">Therefore thus says the Lord God: Surely</w:t>
      </w:r>
      <w:r>
        <w:rPr>
          <w:rStyle w:val="FootnoteReference"/>
        </w:rPr>
        <w:footnoteReference w:id="13164"/>
      </w:r>
      <w:r>
        <w:t xml:space="preserve"> in the fire of my wrath I spoke against the remaining nations and against all Edom, because they gave my land to themselves as a possession with joy, dishonoring souls, so as to destroy it for plunder.</w:t>
      </w:r>
    </w:p>
    <w:p>
      <w:r>
        <w:rPr>
          <w:b/>
        </w:rPr>
        <w:t xml:space="preserve">6 </w:t>
      </w:r>
      <w:r>
        <w:t xml:space="preserve">Therefore prophesy over the land of Israel and say to the mountains and to the hills and to the ravines and to the valleys, Thus says the Lord: Behold, in my zeal and in my wrath I spoke because you bore reproaches of nations.</w:t>
      </w:r>
    </w:p>
    <w:p>
      <w:r>
        <w:rPr>
          <w:b/>
        </w:rPr>
        <w:t xml:space="preserve">7 </w:t>
      </w:r>
      <w:r>
        <w:t xml:space="preserve">Therefore I myself lift up my hand against the nations around you; they themselves will bear their dishonor.</w:t>
      </w:r>
    </w:p>
    <w:p>
      <w:r>
        <w:rPr>
          <w:b/>
        </w:rPr>
        <w:t xml:space="preserve">8 </w:t>
      </w:r>
      <w:r>
        <w:t xml:space="preserve">But you, mountains of Israel, my people will eat your grapes and your fruit, because they are drawing near to come.</w:t>
      </w:r>
    </w:p>
    <w:p>
      <w:r>
        <w:rPr>
          <w:b/>
        </w:rPr>
        <w:t xml:space="preserve">9 </w:t>
      </w:r>
      <w:r>
        <w:t xml:space="preserve">Because behold, I am for you and will look upon you, and you will be worked and sown.</w:t>
      </w:r>
    </w:p>
    <w:p>
      <w:r>
        <w:rPr>
          <w:b/>
        </w:rPr>
        <w:t xml:space="preserve">10 </w:t>
      </w:r>
      <w:r>
        <w:t xml:space="preserve">And I will multiply upon you men, all the house of Israel to the end, and cities will be inhabited and the desolated land will be built.</w:t>
      </w:r>
    </w:p>
    <w:p>
      <w:r>
        <w:rPr>
          <w:b/>
        </w:rPr>
        <w:t xml:space="preserve">11 </w:t>
      </w:r>
      <w:r>
        <w:t xml:space="preserve">And I will multiply</w:t>
      </w:r>
      <w:r>
        <w:rPr>
          <w:rStyle w:val="FootnoteReference"/>
        </w:rPr>
        <w:footnoteReference w:id="13165"/>
      </w:r>
      <w:r>
        <w:t xml:space="preserve"> upon you men and cattle and settle you as at your beginning and do good to you like your former times, and you will know that I am the Lord.</w:t>
      </w:r>
    </w:p>
    <w:p>
      <w:r>
        <w:rPr>
          <w:b/>
        </w:rPr>
        <w:t xml:space="preserve">12 </w:t>
      </w:r>
      <w:r>
        <w:t xml:space="preserve">And I will cause men, my people Israel, to be born upon you, and they will inherit you, and you will be to them as a possession and will no longer again be bereaved of them.</w:t>
      </w:r>
    </w:p>
    <w:p>
      <w:r>
        <w:rPr>
          <w:b/>
        </w:rPr>
        <w:t xml:space="preserve">13 </w:t>
      </w:r>
      <w:r>
        <w:t xml:space="preserve">Thus says the Lord God: Because they said to you, You devour men and have become bereaved of your nation,</w:t>
      </w:r>
    </w:p>
    <w:p>
      <w:r>
        <w:rPr>
          <w:b/>
        </w:rPr>
        <w:t xml:space="preserve">14 </w:t>
      </w:r>
      <w:r>
        <w:t xml:space="preserve">therefore you will no longer devour men, and you will no longer bereave your nation, says the Lord God.</w:t>
      </w:r>
    </w:p>
    <w:p>
      <w:r>
        <w:rPr>
          <w:b/>
        </w:rPr>
        <w:t xml:space="preserve">15 </w:t>
      </w:r>
      <w:r>
        <w:t xml:space="preserve">And the reproach of nations will no longer be heard against you, and the reproaches of peoples you will no longer bear, says the Lord God.</w:t>
      </w:r>
    </w:p>
    <w:p>
      <w:r>
        <w:rPr>
          <w:b/>
        </w:rPr>
        <w:t xml:space="preserve">16 </w:t>
      </w:r>
      <w:r>
        <w:t xml:space="preserve">And the word of the Lord came to me, saying,</w:t>
      </w:r>
    </w:p>
    <w:p>
      <w:r>
        <w:rPr>
          <w:b/>
        </w:rPr>
        <w:t xml:space="preserve">17 </w:t>
      </w:r>
      <w:r>
        <w:t xml:space="preserve">Son of man, the house of Israel dwelt on their land and defiled it by their way and with their idols and with their uncleannesses; according to the uncleanness of a woman set apart, their way became before me.</w:t>
      </w:r>
    </w:p>
    <w:p>
      <w:r>
        <w:rPr>
          <w:b/>
        </w:rPr>
        <w:t xml:space="preserve">18 </w:t>
      </w:r>
      <w:r>
        <w:t xml:space="preserve">And I poured</w:t>
      </w:r>
      <w:r>
        <w:rPr>
          <w:rStyle w:val="FootnoteReference"/>
        </w:rPr>
        <w:footnoteReference w:id="13166"/>
      </w:r>
      <w:r>
        <w:t xml:space="preserve"> out my wrath upon them.</w:t>
      </w:r>
    </w:p>
    <w:p>
      <w:r>
        <w:rPr>
          <w:b/>
        </w:rPr>
        <w:t xml:space="preserve">19 </w:t>
      </w:r>
      <w:r>
        <w:t xml:space="preserve">And I scattered</w:t>
      </w:r>
      <w:r>
        <w:rPr>
          <w:rStyle w:val="FootnoteReference"/>
        </w:rPr>
        <w:footnoteReference w:id="13167"/>
      </w:r>
      <w:r>
        <w:t xml:space="preserve"> them among the nations and winnowed them into the lands; according to their way and according to their sin I judged them.</w:t>
      </w:r>
    </w:p>
    <w:p>
      <w:r>
        <w:rPr>
          <w:b/>
        </w:rPr>
        <w:t xml:space="preserve">20 </w:t>
      </w:r>
      <w:r>
        <w:t xml:space="preserve">And they entered into the nations, wherever they entered there, and profaned my holy name when it was said of them, These are the people of the Lord, and they came out of his land.</w:t>
      </w:r>
    </w:p>
    <w:p>
      <w:r>
        <w:rPr>
          <w:b/>
        </w:rPr>
        <w:t xml:space="preserve">21 </w:t>
      </w:r>
      <w:r>
        <w:t xml:space="preserve">And I spared them for the sake of my holy name, which the house of Israel profaned among the nations where they entered there.</w:t>
      </w:r>
    </w:p>
    <w:p>
      <w:r>
        <w:rPr>
          <w:b/>
        </w:rPr>
        <w:t xml:space="preserve">22 </w:t>
      </w:r>
      <w:r>
        <w:t xml:space="preserve">Therefore say to the house of Israel, Thus says the Lord: Not for your sake do I act, O house of Israel, but for the sake of my holy name, which you profaned among the nations where you entered there.</w:t>
      </w:r>
    </w:p>
    <w:p>
      <w:r>
        <w:rPr>
          <w:b/>
        </w:rPr>
        <w:t xml:space="preserve">23 </w:t>
      </w:r>
      <w:r>
        <w:t xml:space="preserve">And I will sanctify</w:t>
      </w:r>
      <w:r>
        <w:rPr>
          <w:rStyle w:val="FootnoteReference"/>
        </w:rPr>
        <w:footnoteReference w:id="13168"/>
      </w:r>
      <w:r>
        <w:t xml:space="preserve"> my great name, which was profaned among the nations, which you profaned in their midst, and the nations will know that I am the Lord when I am sanctified in you before their eyes.</w:t>
      </w:r>
    </w:p>
    <w:p>
      <w:r>
        <w:rPr>
          <w:b/>
        </w:rPr>
        <w:t xml:space="preserve">24 </w:t>
      </w:r>
      <w:r>
        <w:t xml:space="preserve">And I will take you from the nations and gather you from all the lands and bring you into your land.</w:t>
      </w:r>
    </w:p>
    <w:p>
      <w:r>
        <w:rPr>
          <w:b/>
        </w:rPr>
        <w:t xml:space="preserve">25 </w:t>
      </w:r>
      <w:r>
        <w:t xml:space="preserve">And I will sprinkle clean water upon you, and you will be cleansed from all your uncleannesses and from all your idols</w:t>
      </w:r>
      <w:r>
        <w:rPr>
          <w:rStyle w:val="FootnoteReference"/>
        </w:rPr>
        <w:footnoteReference w:id="13169"/>
      </w:r>
      <w:r>
        <w:t xml:space="preserve">, and I will cleanse you.</w:t>
      </w:r>
    </w:p>
    <w:p>
      <w:r>
        <w:rPr>
          <w:b/>
        </w:rPr>
        <w:t xml:space="preserve">26 </w:t>
      </w:r>
      <w:r>
        <w:t xml:space="preserve">And I will give you a new heart</w:t>
      </w:r>
      <w:r>
        <w:rPr>
          <w:rStyle w:val="FootnoteReference"/>
        </w:rPr>
        <w:footnoteReference w:id="13170"/>
      </w:r>
      <w:r>
        <w:t xml:space="preserve">, and a new spirit I will give within you, and I will remove the heart of stone from your flesh and give you a heart of flesh.</w:t>
      </w:r>
    </w:p>
    <w:p>
      <w:r>
        <w:rPr>
          <w:b/>
        </w:rPr>
        <w:t xml:space="preserve">27 </w:t>
      </w:r>
      <w:r>
        <w:t xml:space="preserve">And my Spirit I will give within you and make you walk in my ordinances and keep my judgments and do them.</w:t>
      </w:r>
    </w:p>
    <w:p>
      <w:r>
        <w:rPr>
          <w:b/>
        </w:rPr>
        <w:t xml:space="preserve">28 </w:t>
      </w:r>
      <w:r>
        <w:t xml:space="preserve">And you will dwell</w:t>
      </w:r>
      <w:r>
        <w:rPr>
          <w:rStyle w:val="FootnoteReference"/>
        </w:rPr>
        <w:footnoteReference w:id="13171"/>
      </w:r>
      <w:r>
        <w:t xml:space="preserve"> on the land that I gave to your fathers, and you will be to me for a people and I will be to you for God.</w:t>
      </w:r>
    </w:p>
    <w:p>
      <w:r>
        <w:rPr>
          <w:b/>
        </w:rPr>
        <w:t xml:space="preserve">29 </w:t>
      </w:r>
      <w:r>
        <w:t xml:space="preserve">And I will save</w:t>
      </w:r>
      <w:r>
        <w:rPr>
          <w:rStyle w:val="FootnoteReference"/>
        </w:rPr>
        <w:footnoteReference w:id="13172"/>
      </w:r>
      <w:r>
        <w:t xml:space="preserve"> you from all your uncleannesses and call for the grain and multiply it and I will not give famine upon you.</w:t>
      </w:r>
    </w:p>
    <w:p>
      <w:r>
        <w:rPr>
          <w:b/>
        </w:rPr>
        <w:t xml:space="preserve">30 </w:t>
      </w:r>
      <w:r>
        <w:t xml:space="preserve">And I will multiply the fruit of the tree and the produce of the field so that you no longer receive the reproach</w:t>
      </w:r>
      <w:r>
        <w:rPr>
          <w:rStyle w:val="FootnoteReference"/>
        </w:rPr>
        <w:footnoteReference w:id="13173"/>
      </w:r>
      <w:r>
        <w:t xml:space="preserve"> of famine among the nations.</w:t>
      </w:r>
    </w:p>
    <w:p>
      <w:r>
        <w:rPr>
          <w:b/>
        </w:rPr>
        <w:t xml:space="preserve">31 </w:t>
      </w:r>
      <w:r>
        <w:t xml:space="preserve">And you will remember your evil ways and your practices that were not good and loathe yourselves before your faces for your lawless deeds and for your abominations.</w:t>
      </w:r>
    </w:p>
    <w:p>
      <w:r>
        <w:rPr>
          <w:b/>
        </w:rPr>
        <w:t xml:space="preserve">32 </w:t>
      </w:r>
      <w:r>
        <w:t xml:space="preserve">Not for your</w:t>
      </w:r>
      <w:r>
        <w:rPr>
          <w:rStyle w:val="FootnoteReference"/>
        </w:rPr>
        <w:footnoteReference w:id="13174"/>
      </w:r>
      <w:r>
        <w:t xml:space="preserve"> sake do I act, says the Lord God; it will be made known to you. Be ashamed and be confounded from your ways, O house of Israel.</w:t>
      </w:r>
    </w:p>
    <w:p>
      <w:r>
        <w:rPr>
          <w:b/>
        </w:rPr>
        <w:t xml:space="preserve">33 </w:t>
      </w:r>
      <w:r>
        <w:t xml:space="preserve">Thus says the Lord: On the day when I cleanse you from all your lawless deeds and cause</w:t>
      </w:r>
      <w:r>
        <w:rPr>
          <w:rStyle w:val="FootnoteReference"/>
        </w:rPr>
        <w:footnoteReference w:id="13175"/>
      </w:r>
      <w:r>
        <w:t xml:space="preserve"> the cities to be inhabited, the desolate places will be built,</w:t>
      </w:r>
    </w:p>
    <w:p>
      <w:r>
        <w:rPr>
          <w:b/>
        </w:rPr>
        <w:t xml:space="preserve">34 </w:t>
      </w:r>
      <w:r>
        <w:t xml:space="preserve">and the land that was desolated will be worked, because it had become desolated before the eyes of every passerby.</w:t>
      </w:r>
    </w:p>
    <w:p>
      <w:r>
        <w:rPr>
          <w:b/>
        </w:rPr>
        <w:t xml:space="preserve">35 </w:t>
      </w:r>
      <w:r>
        <w:t xml:space="preserve">And they will say, That land which was desolated became like a garden of delight, and the desolate and ruined and torn-down cities sat fortified.</w:t>
      </w:r>
    </w:p>
    <w:p>
      <w:r>
        <w:rPr>
          <w:b/>
        </w:rPr>
        <w:t xml:space="preserve">36 </w:t>
      </w:r>
      <w:r>
        <w:t xml:space="preserve">And the nations that are left around you will know</w:t>
      </w:r>
      <w:r>
        <w:rPr>
          <w:rStyle w:val="FootnoteReference"/>
        </w:rPr>
        <w:footnoteReference w:id="13176"/>
      </w:r>
      <w:r>
        <w:t xml:space="preserve"> that I, the Lord, built the torn-down places and planted the desolated places. I, the Lord, have spoken and will do it.</w:t>
      </w:r>
    </w:p>
    <w:p>
      <w:r>
        <w:rPr>
          <w:b/>
        </w:rPr>
        <w:t xml:space="preserve">37 </w:t>
      </w:r>
      <w:r>
        <w:t xml:space="preserve">Thus says the Lord: Still for this I will be sought by the house of Israel, to do for them: I will multiply them like sheep, men.</w:t>
      </w:r>
    </w:p>
    <w:p>
      <w:r>
        <w:rPr>
          <w:b/>
        </w:rPr>
        <w:t xml:space="preserve">38 </w:t>
      </w:r>
      <w:r>
        <w:t xml:space="preserve">As holy sheep, as the sheep of Jerusalem in her feasts, so the desolate cities will be filled with flocks of men, and they will know that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37</w:t>
      </w:r>
    </w:p>
    <w:p>
      <w:r>
        <w:rPr>
          <w:b/>
        </w:rPr>
        <w:t xml:space="preserve">1 </w:t>
      </w:r>
      <w:r>
        <w:t xml:space="preserve">And the hand</w:t>
      </w:r>
      <w:r>
        <w:rPr>
          <w:rStyle w:val="FootnoteReference"/>
        </w:rPr>
        <w:footnoteReference w:id="13177"/>
      </w:r>
      <w:r>
        <w:t xml:space="preserve"> of the Lord came upon me, and the Lord brought me out in the Spirit and set me in the midst of the plain, and it was full of human bones.</w:t>
      </w:r>
    </w:p>
    <w:p>
      <w:r>
        <w:rPr>
          <w:b/>
        </w:rPr>
        <w:t xml:space="preserve">2 </w:t>
      </w:r>
      <w:r>
        <w:t xml:space="preserve">And he led me around over them, all around, and behold, they were</w:t>
      </w:r>
      <w:r>
        <w:rPr>
          <w:rStyle w:val="FootnoteReference"/>
        </w:rPr>
        <w:footnoteReference w:id="13178"/>
      </w:r>
      <w:r>
        <w:t xml:space="preserve"> very many on the face of the plain, very dry.</w:t>
      </w:r>
    </w:p>
    <w:p>
      <w:r>
        <w:rPr>
          <w:b/>
        </w:rPr>
        <w:t xml:space="preserve">3 </w:t>
      </w:r>
      <w:r>
        <w:t xml:space="preserve">And he said to me, Son of man, will these bones live? And I said, O Lord, you know these things.</w:t>
      </w:r>
    </w:p>
    <w:p>
      <w:r>
        <w:rPr>
          <w:b/>
        </w:rPr>
        <w:t xml:space="preserve">4 </w:t>
      </w:r>
      <w:r>
        <w:t xml:space="preserve">And he said to me, Prophesy</w:t>
      </w:r>
      <w:r>
        <w:rPr>
          <w:rStyle w:val="FootnoteReference"/>
        </w:rPr>
        <w:footnoteReference w:id="13179"/>
      </w:r>
      <w:r>
        <w:t xml:space="preserve"> over these bones, and you will say to them, Dry bones, hear the word of the Lord.</w:t>
      </w:r>
    </w:p>
    <w:p>
      <w:r>
        <w:rPr>
          <w:b/>
        </w:rPr>
        <w:t xml:space="preserve">5 </w:t>
      </w:r>
      <w:r>
        <w:t xml:space="preserve">Thus says the Lord to these bones: Behold, I am bringing the spirit of life into you.</w:t>
      </w:r>
    </w:p>
    <w:p>
      <w:r>
        <w:rPr>
          <w:b/>
        </w:rPr>
        <w:t xml:space="preserve">6 </w:t>
      </w:r>
      <w:r>
        <w:t xml:space="preserve">And I will put sinews on you and bring up flesh upon you and stretch skin over you and give my Spirit into you, and you will live, and you will know that I am the Lord.</w:t>
      </w:r>
    </w:p>
    <w:p>
      <w:r>
        <w:rPr>
          <w:b/>
        </w:rPr>
        <w:t xml:space="preserve">7 </w:t>
      </w:r>
      <w:r>
        <w:t xml:space="preserve">And I prophesied as</w:t>
      </w:r>
      <w:r>
        <w:rPr>
          <w:rStyle w:val="FootnoteReference"/>
        </w:rPr>
        <w:footnoteReference w:id="13180"/>
      </w:r>
      <w:r>
        <w:t xml:space="preserve"> he commanded me, and it happened, while I prophesied, and behold, there was a shaking, and the bones came together, each to its joint.</w:t>
      </w:r>
    </w:p>
    <w:p>
      <w:r>
        <w:rPr>
          <w:b/>
        </w:rPr>
        <w:t xml:space="preserve">8 </w:t>
      </w:r>
      <w:r>
        <w:t xml:space="preserve">And I saw, and behold, sinews and flesh were growing upon them, and skin was rising over them above, but there was no spirit in them.</w:t>
      </w:r>
    </w:p>
    <w:p>
      <w:r>
        <w:rPr>
          <w:b/>
        </w:rPr>
        <w:t xml:space="preserve">9 </w:t>
      </w:r>
      <w:r>
        <w:t xml:space="preserve">And he said to me, Prophesy, son of man, prophesy to the spirit, and say to the spirit, Thus says the Lord: Come from the four winds and breathe into these dead ones, and let them live.</w:t>
      </w:r>
    </w:p>
    <w:p>
      <w:r>
        <w:rPr>
          <w:b/>
        </w:rPr>
        <w:t xml:space="preserve">10 </w:t>
      </w:r>
      <w:r>
        <w:t xml:space="preserve">And I prophesied as he commanded me, and the spirit entered into them, and they lived and stood upon their feet, a very great gathering.</w:t>
      </w:r>
    </w:p>
    <w:p>
      <w:r>
        <w:rPr>
          <w:b/>
        </w:rPr>
        <w:t xml:space="preserve">11 </w:t>
      </w:r>
      <w:r>
        <w:t xml:space="preserve">And the Lord spoke to me, saying, Son of man, these bones are the whole house</w:t>
      </w:r>
      <w:r>
        <w:rPr>
          <w:rStyle w:val="FootnoteReference"/>
        </w:rPr>
        <w:footnoteReference w:id="13181"/>
      </w:r>
      <w:r>
        <w:t xml:space="preserve"> of Israel, and they say, Our bones have become dry, our hope has perished, we are cut off.</w:t>
      </w:r>
    </w:p>
    <w:p>
      <w:r>
        <w:rPr>
          <w:b/>
        </w:rPr>
        <w:t xml:space="preserve">12 </w:t>
      </w:r>
      <w:r>
        <w:t xml:space="preserve">Therefore</w:t>
      </w:r>
      <w:r>
        <w:rPr>
          <w:rStyle w:val="FootnoteReference"/>
        </w:rPr>
        <w:footnoteReference w:id="13182"/>
      </w:r>
      <w:r>
        <w:t xml:space="preserve"> prophesy and say, Thus says the Lord: Behold, I open your tombs and bring you up from your tombs and bring you into the land of Israel.</w:t>
      </w:r>
    </w:p>
    <w:p>
      <w:r>
        <w:rPr>
          <w:b/>
        </w:rPr>
        <w:t xml:space="preserve">13 </w:t>
      </w:r>
      <w:r>
        <w:t xml:space="preserve">And you will know that I am the Lord when I open your graves, when I bring my people up from the graves.</w:t>
      </w:r>
    </w:p>
    <w:p>
      <w:r>
        <w:rPr>
          <w:b/>
        </w:rPr>
        <w:t xml:space="preserve">14 </w:t>
      </w:r>
      <w:r>
        <w:t xml:space="preserve">And I will give my Spirit into you and you will live, and I will place you on your land, and you will know that I, the Lord, have spoken and will do it, says the Lord.</w:t>
      </w:r>
    </w:p>
    <w:p>
      <w:r>
        <w:rPr>
          <w:b/>
        </w:rPr>
        <w:t xml:space="preserve">15 </w:t>
      </w:r>
      <w:r>
        <w:t xml:space="preserve">And the word of the Lord came to me, saying,</w:t>
      </w:r>
    </w:p>
    <w:p>
      <w:r>
        <w:rPr>
          <w:b/>
        </w:rPr>
        <w:t xml:space="preserve">16 </w:t>
      </w:r>
      <w:r>
        <w:t xml:space="preserve">Son of man, take for yourself a rod and write on it, Judah and the sons of Israel attached to him, and take for yourself a second rod and write on it, Joseph, rod of Ephraim, and all the sons of Israel added to him.</w:t>
      </w:r>
    </w:p>
    <w:p>
      <w:r>
        <w:rPr>
          <w:b/>
        </w:rPr>
        <w:t xml:space="preserve">17 </w:t>
      </w:r>
      <w:r>
        <w:t xml:space="preserve">And join them to one another for yourself into one rod, to bind them, and they will be in your hand.</w:t>
      </w:r>
    </w:p>
    <w:p>
      <w:r>
        <w:rPr>
          <w:b/>
        </w:rPr>
        <w:t xml:space="preserve">18 </w:t>
      </w:r>
      <w:r>
        <w:t xml:space="preserve">And it will be when the sons of your people say to you, Will you not tell us what these things are to you?</w:t>
      </w:r>
    </w:p>
    <w:p>
      <w:r>
        <w:rPr>
          <w:b/>
        </w:rPr>
        <w:t xml:space="preserve">19 </w:t>
      </w:r>
      <w:r>
        <w:t xml:space="preserve">Then you will say to them, Thus says the Lord: Behold</w:t>
      </w:r>
      <w:r>
        <w:rPr>
          <w:rStyle w:val="FootnoteReference"/>
        </w:rPr>
        <w:footnoteReference w:id="13183"/>
      </w:r>
      <w:r>
        <w:t xml:space="preserve">, I take the tribe of Joseph from the hand of Ephraim and the tribes of Israel attached to him, and I will place them upon the tribe of Judah, and they will be one rod in the hand of Judah.</w:t>
      </w:r>
    </w:p>
    <w:p>
      <w:r>
        <w:rPr>
          <w:b/>
        </w:rPr>
        <w:t xml:space="preserve">20 </w:t>
      </w:r>
      <w:r>
        <w:t xml:space="preserve">And the rods on which you wrote will be in your hand before them.</w:t>
      </w:r>
    </w:p>
    <w:p>
      <w:r>
        <w:rPr>
          <w:b/>
        </w:rPr>
        <w:t xml:space="preserve">21 </w:t>
      </w:r>
      <w:r>
        <w:t xml:space="preserve">And you will say to them, Thus says the Lord God: Behold, I take the whole house of Israel from the midst of the nations where they entered there, and I will gather them from all those around them and bring them into the land of Israel.</w:t>
      </w:r>
    </w:p>
    <w:p>
      <w:r>
        <w:rPr>
          <w:b/>
        </w:rPr>
        <w:t xml:space="preserve">22 </w:t>
      </w:r>
      <w:r>
        <w:t xml:space="preserve">And I will make</w:t>
      </w:r>
      <w:r>
        <w:rPr>
          <w:rStyle w:val="FootnoteReference"/>
        </w:rPr>
        <w:footnoteReference w:id="13184"/>
      </w:r>
      <w:r>
        <w:t xml:space="preserve"> them one nation in my land and on the mountains of Israel, and one ruler will be over them, and they will no longer be two nations, nor be divided any longer into two kingdoms.</w:t>
      </w:r>
    </w:p>
    <w:p>
      <w:r>
        <w:rPr>
          <w:b/>
        </w:rPr>
        <w:t xml:space="preserve">23 </w:t>
      </w:r>
      <w:r>
        <w:t xml:space="preserve">So that they no longer may defile themselves with their idols, and I will rescue them from all their lawless deeds in which they sinned, and I will cleanse</w:t>
      </w:r>
      <w:r>
        <w:rPr>
          <w:rStyle w:val="FootnoteReference"/>
        </w:rPr>
        <w:footnoteReference w:id="13185"/>
      </w:r>
      <w:r>
        <w:t xml:space="preserve"> them, and they will be to me for a people, and I, the Lord, will be to them for God.</w:t>
      </w:r>
    </w:p>
    <w:p>
      <w:r>
        <w:rPr>
          <w:b/>
        </w:rPr>
        <w:t xml:space="preserve">24 </w:t>
      </w:r>
      <w:r>
        <w:t xml:space="preserve">And my servant David</w:t>
      </w:r>
      <w:r>
        <w:rPr>
          <w:rStyle w:val="FootnoteReference"/>
        </w:rPr>
        <w:footnoteReference w:id="13186"/>
      </w:r>
      <w:r>
        <w:t xml:space="preserve"> will be ruler in their midst, and one shepherd will be for all, because they will walk in my ordinances and keep my judgments and do them.</w:t>
      </w:r>
    </w:p>
    <w:p>
      <w:r>
        <w:rPr>
          <w:b/>
        </w:rPr>
        <w:t xml:space="preserve">25 </w:t>
      </w:r>
      <w:r>
        <w:t xml:space="preserve">And they will dwell on their land that I gave to my servant Jacob, where their fathers dwelt there, and they will dwell on it, they and David my servant, and he will be their ruler forever.</w:t>
      </w:r>
    </w:p>
    <w:p>
      <w:r>
        <w:rPr>
          <w:b/>
        </w:rPr>
        <w:t xml:space="preserve">26 </w:t>
      </w:r>
      <w:r>
        <w:t xml:space="preserve">And I will make</w:t>
      </w:r>
      <w:r>
        <w:rPr>
          <w:rStyle w:val="FootnoteReference"/>
        </w:rPr>
        <w:footnoteReference w:id="13187"/>
      </w:r>
      <w:r>
        <w:t xml:space="preserve"> with them a covenant of peace; an everlasting covenant will be with them, and I will put my holy things in their midst forever.</w:t>
      </w:r>
    </w:p>
    <w:p>
      <w:r>
        <w:rPr>
          <w:b/>
        </w:rPr>
        <w:t xml:space="preserve">27 </w:t>
      </w:r>
      <w:r>
        <w:t xml:space="preserve">And my dwelling will be among them, and I will be to them for God, and they will be to me for a people.</w:t>
      </w:r>
    </w:p>
    <w:p>
      <w:r>
        <w:rPr>
          <w:b/>
        </w:rPr>
        <w:t xml:space="preserve">28 </w:t>
      </w:r>
      <w:r>
        <w:t xml:space="preserve">And the nations will know that I am the Lord who sanctifies them, when my holy things are in their midst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38</w:t>
      </w:r>
    </w:p>
    <w:p>
      <w:r>
        <w:rPr>
          <w:b/>
        </w:rPr>
        <w:t xml:space="preserve">1 </w:t>
      </w:r>
      <w:r>
        <w:t xml:space="preserve">And the word of the Lord came to me, saying,</w:t>
      </w:r>
    </w:p>
    <w:p>
      <w:r>
        <w:rPr>
          <w:b/>
        </w:rPr>
        <w:t xml:space="preserve">2 </w:t>
      </w:r>
      <w:r>
        <w:t xml:space="preserve">Son of man, set your face toward Gog and the land of Magog</w:t>
      </w:r>
      <w:r>
        <w:rPr>
          <w:rStyle w:val="FootnoteReference"/>
        </w:rPr>
        <w:footnoteReference w:id="13188"/>
      </w:r>
      <w:r>
        <w:t xml:space="preserve">, ruler of Rosh, Meshech, and Tubal, and prophesy against him.</w:t>
      </w:r>
    </w:p>
    <w:p>
      <w:r>
        <w:rPr>
          <w:b/>
        </w:rPr>
        <w:t xml:space="preserve">3 </w:t>
      </w:r>
      <w:r>
        <w:t xml:space="preserve">And say to him, Thus says the Lord God: Behold, I am against you, Gog, ruler of Rosh, Meshech, and Tubal.</w:t>
      </w:r>
    </w:p>
    <w:p>
      <w:r>
        <w:rPr>
          <w:b/>
        </w:rPr>
        <w:t xml:space="preserve">4 </w:t>
      </w:r>
      <w:r>
        <w:t xml:space="preserve">And I will gather you and all your force, horses</w:t>
      </w:r>
      <w:r>
        <w:rPr>
          <w:rStyle w:val="FootnoteReference"/>
        </w:rPr>
        <w:footnoteReference w:id="13189"/>
      </w:r>
      <w:r>
        <w:t xml:space="preserve"> and horsemen clothed in breastplates, all of them a great gathering, shields and helmets and swords,</w:t>
      </w:r>
    </w:p>
    <w:p>
      <w:r>
        <w:rPr>
          <w:b/>
        </w:rPr>
        <w:t xml:space="preserve">5 </w:t>
      </w:r>
      <w:r>
        <w:t xml:space="preserve">Persians and Ethiopians and Libyans, all with helmets and shields,</w:t>
      </w:r>
    </w:p>
    <w:p>
      <w:r>
        <w:rPr>
          <w:b/>
        </w:rPr>
        <w:t xml:space="preserve">6 </w:t>
      </w:r>
      <w:r>
        <w:t xml:space="preserve">Gomer</w:t>
      </w:r>
      <w:r>
        <w:rPr>
          <w:rStyle w:val="FootnoteReference"/>
        </w:rPr>
        <w:footnoteReference w:id="13190"/>
      </w:r>
      <w:r>
        <w:t xml:space="preserve"> and all those around him, the house of Togarmah from the farthest north and all those around him, and many nations with you.</w:t>
      </w:r>
    </w:p>
    <w:p>
      <w:r>
        <w:rPr>
          <w:b/>
        </w:rPr>
        <w:t xml:space="preserve">7 </w:t>
      </w:r>
      <w:r>
        <w:t xml:space="preserve">Be prepared; prepare yourself, you and your whole assembly gathered with you, and you will be to me for a guard.</w:t>
      </w:r>
    </w:p>
    <w:p>
      <w:r>
        <w:rPr>
          <w:b/>
        </w:rPr>
        <w:t xml:space="preserve">8 </w:t>
      </w:r>
      <w:r>
        <w:t xml:space="preserve">After many days</w:t>
      </w:r>
      <w:r>
        <w:rPr>
          <w:rStyle w:val="FootnoteReference"/>
        </w:rPr>
        <w:footnoteReference w:id="13191"/>
      </w:r>
      <w:r>
        <w:t xml:space="preserve"> he will be prepared, and in latter years he will come and enter into the land brought back from the sword, with people gathered from many nations onto the land of Israel, which had become entirely desolate; and this people came out from nations, and they all will dwell in peace.</w:t>
      </w:r>
    </w:p>
    <w:p>
      <w:r>
        <w:rPr>
          <w:b/>
        </w:rPr>
        <w:t xml:space="preserve">9 </w:t>
      </w:r>
      <w:r>
        <w:t xml:space="preserve">And you will come up like rain and arrive like a cloud to cover the land, you and all those around you, and many nations with you.</w:t>
      </w:r>
    </w:p>
    <w:p>
      <w:r>
        <w:rPr>
          <w:b/>
        </w:rPr>
        <w:t xml:space="preserve">10 </w:t>
      </w:r>
      <w:r>
        <w:t xml:space="preserve">Thus says the Lord God: And it will be on that day, words will come up upon your heart, and you will devise evil plans,</w:t>
      </w:r>
    </w:p>
    <w:p>
      <w:r>
        <w:rPr>
          <w:b/>
        </w:rPr>
        <w:t xml:space="preserve">11 </w:t>
      </w:r>
      <w:r>
        <w:t xml:space="preserve">and say, I will go up</w:t>
      </w:r>
      <w:r>
        <w:rPr>
          <w:rStyle w:val="FootnoteReference"/>
        </w:rPr>
        <w:footnoteReference w:id="13192"/>
      </w:r>
      <w:r>
        <w:t xml:space="preserve"> against a land thrown open; I will come against those quiet in stillness and dwelling in peace, all dwelling in a land where there is no wall, and neither bars nor gates are theirs,</w:t>
      </w:r>
    </w:p>
    <w:p>
      <w:r>
        <w:rPr>
          <w:b/>
        </w:rPr>
        <w:t xml:space="preserve">12 </w:t>
      </w:r>
      <w:r>
        <w:t xml:space="preserve">to plunder plunder and seize spoils, to turn</w:t>
      </w:r>
      <w:r>
        <w:rPr>
          <w:rStyle w:val="FootnoteReference"/>
        </w:rPr>
        <w:footnoteReference w:id="13193"/>
      </w:r>
      <w:r>
        <w:t xml:space="preserve"> your hand against the desolated place that was resettled, and against a nation gathered from many nations, making possessions, dwelling on the navel of the earth.</w:t>
      </w:r>
    </w:p>
    <w:p>
      <w:r>
        <w:rPr>
          <w:b/>
        </w:rPr>
        <w:t xml:space="preserve">13 </w:t>
      </w:r>
      <w:r>
        <w:t xml:space="preserve">Sheba</w:t>
      </w:r>
      <w:r>
        <w:rPr>
          <w:rStyle w:val="FootnoteReference"/>
        </w:rPr>
        <w:footnoteReference w:id="13194"/>
      </w:r>
      <w:r>
        <w:t xml:space="preserve"> and Dedan and the merchants of Carthage and all their villages will say to you, Is it for plunder that you have come, and to spoil spoils? Have you gathered your assembly to take silver and gold, to carry off possessions, to spoil spoils?</w:t>
      </w:r>
    </w:p>
    <w:p>
      <w:r>
        <w:rPr>
          <w:b/>
        </w:rPr>
        <w:t xml:space="preserve">14 </w:t>
      </w:r>
      <w:r>
        <w:t xml:space="preserve">Therefore prophesy, son of man, and say to Gog, Thus says the Lord: Is it not on that day, when my people Israel are settled in peace, that you will rise up?</w:t>
      </w:r>
    </w:p>
    <w:p>
      <w:r>
        <w:rPr>
          <w:b/>
        </w:rPr>
        <w:t xml:space="preserve">15 </w:t>
      </w:r>
      <w:r>
        <w:t xml:space="preserve">And you will come from your place, from the farthest north, and many</w:t>
      </w:r>
      <w:r>
        <w:rPr>
          <w:rStyle w:val="FootnoteReference"/>
        </w:rPr>
        <w:footnoteReference w:id="13195"/>
      </w:r>
      <w:r>
        <w:t xml:space="preserve"> nations with you, all riding horses, a great assembly and much force.</w:t>
      </w:r>
    </w:p>
    <w:p>
      <w:r>
        <w:rPr>
          <w:b/>
        </w:rPr>
        <w:t xml:space="preserve">16 </w:t>
      </w:r>
      <w:r>
        <w:t xml:space="preserve">And you will come up against my people Israel like a cloud to cover the land; it will be in the last days, and I will bring you upon my land so that all the nations may know me when I am sanctified in you before them.</w:t>
      </w:r>
    </w:p>
    <w:p>
      <w:r>
        <w:rPr>
          <w:b/>
        </w:rPr>
        <w:t xml:space="preserve">17 </w:t>
      </w:r>
      <w:r>
        <w:t xml:space="preserve">Thus says the Lord God to Gog: Are you the one concerning whom I spoke in former days through the hand of my servants, the prophets of Israel, in those days and years, to bring you upon them?</w:t>
      </w:r>
    </w:p>
    <w:p>
      <w:r>
        <w:rPr>
          <w:b/>
        </w:rPr>
        <w:t xml:space="preserve">18 </w:t>
      </w:r>
      <w:r>
        <w:t xml:space="preserve">And it will be on that day, on the day when Gog comes upon the land of Israel, says the Lord God, my wrath will rise up.</w:t>
      </w:r>
    </w:p>
    <w:p>
      <w:r>
        <w:rPr>
          <w:b/>
        </w:rPr>
        <w:t xml:space="preserve">19 </w:t>
      </w:r>
      <w:r>
        <w:t xml:space="preserve">And in my</w:t>
      </w:r>
      <w:r>
        <w:rPr>
          <w:rStyle w:val="FootnoteReference"/>
        </w:rPr>
        <w:footnoteReference w:id="13196"/>
      </w:r>
      <w:r>
        <w:t xml:space="preserve"> zeal, in the fire of my anger, I spoke: Surely on that day there will be a great shaking upon the land of Israel.</w:t>
      </w:r>
    </w:p>
    <w:p>
      <w:r>
        <w:rPr>
          <w:b/>
        </w:rPr>
        <w:t xml:space="preserve">20 </w:t>
      </w:r>
      <w:r>
        <w:t xml:space="preserve">And the fish of the sea and the birds of heaven and the beasts of the field and all the creeping things creeping on the earth and all humans on the face of the earth will be shaken from the face of the Lord, and the mountains will be split and the ravines will fall, and every wall will fall to the ground.</w:t>
      </w:r>
    </w:p>
    <w:p>
      <w:r>
        <w:rPr>
          <w:b/>
        </w:rPr>
        <w:t xml:space="preserve">21 </w:t>
      </w:r>
      <w:r>
        <w:t xml:space="preserve">And I will call against him every fear, says the Lord; a man's sword will be against his brother.</w:t>
      </w:r>
    </w:p>
    <w:p>
      <w:r>
        <w:rPr>
          <w:b/>
        </w:rPr>
        <w:t xml:space="preserve">22 </w:t>
      </w:r>
      <w:r>
        <w:t xml:space="preserve">And I will judge him with death and blood and flooding rain and hailstones, and I will rain fire and sulfur upon him and upon all those with him and upon many nations with him.</w:t>
      </w:r>
    </w:p>
    <w:p>
      <w:r>
        <w:rPr>
          <w:b/>
        </w:rPr>
        <w:t xml:space="preserve">23 </w:t>
      </w:r>
      <w:r>
        <w:t xml:space="preserve">And I will be magnified and sanctified and glorified, and I will be known before many nations, and they will know that I am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39</w:t>
      </w:r>
    </w:p>
    <w:p>
      <w:r>
        <w:rPr>
          <w:b/>
        </w:rPr>
        <w:t xml:space="preserve">1 </w:t>
      </w:r>
      <w:r>
        <w:t xml:space="preserve">And you, son of man, prophesy against Gog and say, Thus says the Lord: Behold</w:t>
      </w:r>
      <w:r>
        <w:rPr>
          <w:rStyle w:val="FootnoteReference"/>
        </w:rPr>
        <w:footnoteReference w:id="13197"/>
      </w:r>
      <w:r>
        <w:t xml:space="preserve">, I am against you, Gog, ruler of Rosh, Meshech, and Tubal.</w:t>
      </w:r>
    </w:p>
    <w:p>
      <w:r>
        <w:rPr>
          <w:b/>
        </w:rPr>
        <w:t xml:space="preserve">2 </w:t>
      </w:r>
      <w:r>
        <w:t xml:space="preserve">And I will gather you and lead you and bring you up from the farthest north and bring you upon the mountains of Israel.</w:t>
      </w:r>
    </w:p>
    <w:p>
      <w:r>
        <w:rPr>
          <w:b/>
        </w:rPr>
        <w:t xml:space="preserve">3 </w:t>
      </w:r>
      <w:r>
        <w:t xml:space="preserve">And I will destroy your bow from your left hand and your arrows from your right hand and cast you down.</w:t>
      </w:r>
    </w:p>
    <w:p>
      <w:r>
        <w:rPr>
          <w:b/>
        </w:rPr>
        <w:t xml:space="preserve">4 </w:t>
      </w:r>
      <w:r>
        <w:t xml:space="preserve">Upon the mountains of Israel you will fall</w:t>
      </w:r>
      <w:r>
        <w:rPr>
          <w:rStyle w:val="FootnoteReference"/>
        </w:rPr>
        <w:footnoteReference w:id="13198"/>
      </w:r>
      <w:r>
        <w:t xml:space="preserve">, you and all those around you, and the nations that are with you will be given to multitudes of birds, to every bird; and I have given you to all the beasts of the field to be devoured.</w:t>
      </w:r>
    </w:p>
    <w:p>
      <w:r>
        <w:rPr>
          <w:b/>
        </w:rPr>
        <w:t xml:space="preserve">5 </w:t>
      </w:r>
      <w:r>
        <w:t xml:space="preserve">Upon the face of the plain you will fall, because I have spoken, says the Lord.</w:t>
      </w:r>
    </w:p>
    <w:p>
      <w:r>
        <w:rPr>
          <w:b/>
        </w:rPr>
        <w:t xml:space="preserve">6 </w:t>
      </w:r>
      <w:r>
        <w:t xml:space="preserve">And I will send fire upon Gog, and the islands will be inhabited in peace, and they will know that I am the Lord.</w:t>
      </w:r>
    </w:p>
    <w:p>
      <w:r>
        <w:rPr>
          <w:b/>
        </w:rPr>
        <w:t xml:space="preserve">7 </w:t>
      </w:r>
      <w:r>
        <w:t xml:space="preserve">And my holy name will be known in the midst of my people Israel, and my holy name will no longer be profaned, and the nations will know that I am the Lord, holy in Israel.</w:t>
      </w:r>
    </w:p>
    <w:p>
      <w:r>
        <w:rPr>
          <w:b/>
        </w:rPr>
        <w:t xml:space="preserve">8 </w:t>
      </w:r>
      <w:r>
        <w:t xml:space="preserve">Behold, it has come, and you will know that it will be, says the Lord God. This is the day in which I spoke.</w:t>
      </w:r>
    </w:p>
    <w:p>
      <w:r>
        <w:rPr>
          <w:b/>
        </w:rPr>
        <w:t xml:space="preserve">9 </w:t>
      </w:r>
      <w:r>
        <w:t xml:space="preserve">And the inhabitants of the cities of Israel will go out and burn the weapons, shields and spears and bows and arrows and hand-staves and lances, and they will keep fire burning with them for seven years.</w:t>
      </w:r>
    </w:p>
    <w:p>
      <w:r>
        <w:rPr>
          <w:b/>
        </w:rPr>
        <w:t xml:space="preserve">10 </w:t>
      </w:r>
      <w:r>
        <w:t xml:space="preserve">And they will not take wood from the field nor cut from the forests, but rather they will burn the weapons with fire and plunder those who plundered them and spoil those who spoiled them, says the Lord.</w:t>
      </w:r>
    </w:p>
    <w:p>
      <w:r>
        <w:rPr>
          <w:b/>
        </w:rPr>
        <w:t xml:space="preserve">11 </w:t>
      </w:r>
      <w:r>
        <w:t xml:space="preserve">And it will be on that day, I will give Gog a notable place, a tomb in Israel, the burial place of those coming toward the sea; and they will wall up the mouth of the ravine and bury Gog there and all his multitude, and it will be called the Valley, Gog's Burial Place.</w:t>
      </w:r>
    </w:p>
    <w:p>
      <w:r>
        <w:rPr>
          <w:b/>
        </w:rPr>
        <w:t xml:space="preserve">12 </w:t>
      </w:r>
      <w:r>
        <w:t xml:space="preserve">And the house of Israel will bury them so that the land may be cleansed in seven months.</w:t>
      </w:r>
    </w:p>
    <w:p>
      <w:r>
        <w:rPr>
          <w:b/>
        </w:rPr>
        <w:t xml:space="preserve">13 </w:t>
      </w:r>
      <w:r>
        <w:t xml:space="preserve">And all the people of the land will bury them, and it will be to them for renown on the day when I was glorified, says the Lord.</w:t>
      </w:r>
    </w:p>
    <w:p>
      <w:r>
        <w:rPr>
          <w:b/>
        </w:rPr>
        <w:t xml:space="preserve">14 </w:t>
      </w:r>
      <w:r>
        <w:t xml:space="preserve">And they will appoint men continually to pass through the land, to bury those left on the face of the land and cleanse it; after the seven months they will search.</w:t>
      </w:r>
    </w:p>
    <w:p>
      <w:r>
        <w:rPr>
          <w:b/>
        </w:rPr>
        <w:t xml:space="preserve">15 </w:t>
      </w:r>
      <w:r>
        <w:t xml:space="preserve">And everyone passing through the land and seeing a human bone will build beside it a marker until the buriers bury it in the Valley, Gog's Burial Place.</w:t>
      </w:r>
    </w:p>
    <w:p>
      <w:r>
        <w:rPr>
          <w:b/>
        </w:rPr>
        <w:t xml:space="preserve">16 </w:t>
      </w:r>
      <w:r>
        <w:t xml:space="preserve">And indeed the name of the city is Burial Place, and the land will be cleansed.</w:t>
      </w:r>
    </w:p>
    <w:p>
      <w:r>
        <w:rPr>
          <w:b/>
        </w:rPr>
        <w:t xml:space="preserve">17 </w:t>
      </w:r>
      <w:r>
        <w:t xml:space="preserve">And you, son of man, say, Thus says the Lord: Say to every bird and to all the beasts of the field, Gather and come; gather from all around to my</w:t>
      </w:r>
      <w:r>
        <w:rPr>
          <w:rStyle w:val="FootnoteReference"/>
        </w:rPr>
        <w:footnoteReference w:id="13199"/>
      </w:r>
      <w:r>
        <w:t xml:space="preserve"> sacrifice that I have sacrificed for you, a great sacrifice on the mountains of Israel, and eat flesh and drink blood.</w:t>
      </w:r>
    </w:p>
    <w:p>
      <w:r>
        <w:rPr>
          <w:b/>
        </w:rPr>
        <w:t xml:space="preserve">18 </w:t>
      </w:r>
      <w:r>
        <w:t xml:space="preserve">The flesh of giants you will eat and the blood of rulers of the earth you will drink, rams and calves and goats</w:t>
      </w:r>
      <w:r>
        <w:rPr>
          <w:rStyle w:val="FootnoteReference"/>
        </w:rPr>
        <w:footnoteReference w:id="13200"/>
      </w:r>
      <w:r>
        <w:t xml:space="preserve">, all fattened calves.</w:t>
      </w:r>
    </w:p>
    <w:p>
      <w:r>
        <w:rPr>
          <w:b/>
        </w:rPr>
        <w:t xml:space="preserve">19 </w:t>
      </w:r>
      <w:r>
        <w:t xml:space="preserve">And you will eat fat to fullness and drink blood to drunkenness from my sacrifice that I have sacrificed for you.</w:t>
      </w:r>
    </w:p>
    <w:p>
      <w:r>
        <w:rPr>
          <w:b/>
        </w:rPr>
        <w:t xml:space="preserve">20 </w:t>
      </w:r>
      <w:r>
        <w:t xml:space="preserve">And you will be filled at my table with horse and rider, a giant and every man of war, says the Lord.</w:t>
      </w:r>
    </w:p>
    <w:p>
      <w:r>
        <w:rPr>
          <w:b/>
        </w:rPr>
        <w:t xml:space="preserve">21 </w:t>
      </w:r>
      <w:r>
        <w:t xml:space="preserve">And I will give my glory among you, and all the nations will see my judgment that I carried out and my</w:t>
      </w:r>
      <w:r>
        <w:rPr>
          <w:rStyle w:val="FootnoteReference"/>
        </w:rPr>
        <w:footnoteReference w:id="13201"/>
      </w:r>
      <w:r>
        <w:t xml:space="preserve"> hand that I brought upon them.</w:t>
      </w:r>
    </w:p>
    <w:p>
      <w:r>
        <w:rPr>
          <w:b/>
        </w:rPr>
        <w:t xml:space="preserve">22 </w:t>
      </w:r>
      <w:r>
        <w:t xml:space="preserve">And the house of Israel will know</w:t>
      </w:r>
      <w:r>
        <w:rPr>
          <w:rStyle w:val="FootnoteReference"/>
        </w:rPr>
        <w:footnoteReference w:id="13202"/>
      </w:r>
      <w:r>
        <w:t xml:space="preserve"> that I am the Lord their God from this day and onward.</w:t>
      </w:r>
    </w:p>
    <w:p>
      <w:r>
        <w:rPr>
          <w:b/>
        </w:rPr>
        <w:t xml:space="preserve">23 </w:t>
      </w:r>
      <w:r>
        <w:t xml:space="preserve">And all the nations will know that because of their sins the house of Israel was taken captive, because they rejected me and I turned my face away from them and handed them over into the hands of their enemies, and they all fell by the sword.</w:t>
      </w:r>
    </w:p>
    <w:p>
      <w:r>
        <w:rPr>
          <w:b/>
        </w:rPr>
        <w:t xml:space="preserve">24 </w:t>
      </w:r>
      <w:r>
        <w:t xml:space="preserve">According to their uncleannesses and according to their lawless deeds I dealt with them, and I turned my face away from them.</w:t>
      </w:r>
    </w:p>
    <w:p>
      <w:r>
        <w:rPr>
          <w:b/>
        </w:rPr>
        <w:t xml:space="preserve">25 </w:t>
      </w:r>
      <w:r>
        <w:t xml:space="preserve">Therefore thus says the Lord God: Now I will turn back captivity of Jacob</w:t>
      </w:r>
      <w:r>
        <w:rPr>
          <w:rStyle w:val="FootnoteReference"/>
        </w:rPr>
        <w:footnoteReference w:id="13203"/>
      </w:r>
      <w:r>
        <w:t xml:space="preserve"> and have mercy on the house of Israel and be zealous for my holy name.</w:t>
      </w:r>
    </w:p>
    <w:p>
      <w:r>
        <w:rPr>
          <w:b/>
        </w:rPr>
        <w:t xml:space="preserve">26 </w:t>
      </w:r>
      <w:r>
        <w:t xml:space="preserve">And they will bear their own dishonor and the injustice by which they acted unjustly when they</w:t>
      </w:r>
      <w:r>
        <w:rPr>
          <w:rStyle w:val="FootnoteReference"/>
        </w:rPr>
        <w:footnoteReference w:id="13204"/>
      </w:r>
      <w:r>
        <w:t xml:space="preserve"> are settled on their land in peace and there is no one frightening them.</w:t>
      </w:r>
    </w:p>
    <w:p>
      <w:r>
        <w:rPr>
          <w:b/>
        </w:rPr>
        <w:t xml:space="preserve">27 </w:t>
      </w:r>
      <w:r>
        <w:t xml:space="preserve">When I turn them back from the nations and gather them from lands of the nations, I will be sanctified in them before the nations,</w:t>
      </w:r>
    </w:p>
    <w:p>
      <w:r>
        <w:rPr>
          <w:b/>
        </w:rPr>
        <w:t xml:space="preserve">28 </w:t>
      </w:r>
      <w:r>
        <w:t xml:space="preserve">then they will know that I am the Lord their God when I appear to them among the nations.</w:t>
      </w:r>
    </w:p>
    <w:p>
      <w:r>
        <w:rPr>
          <w:b/>
        </w:rPr>
        <w:t xml:space="preserve">29 </w:t>
      </w:r>
      <w:r>
        <w:t xml:space="preserve">And I will no longer turn my face away from them, because I poured out my wrath upon the house of Israel, says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40</w:t>
      </w:r>
    </w:p>
    <w:p>
      <w:r>
        <w:rPr>
          <w:b/>
        </w:rPr>
        <w:t xml:space="preserve">1 </w:t>
      </w:r>
      <w:r>
        <w:t xml:space="preserve">And it happened in the twenty-fifth year of our captivity, in the first month, on the tenth of the month, in the fourteenth year after the city was taken, on that day the hand</w:t>
      </w:r>
      <w:r>
        <w:rPr>
          <w:rStyle w:val="FootnoteReference"/>
        </w:rPr>
        <w:footnoteReference w:id="13205"/>
      </w:r>
      <w:r>
        <w:t xml:space="preserve"> of the Lord came upon me and led me,</w:t>
      </w:r>
    </w:p>
    <w:p>
      <w:r>
        <w:rPr>
          <w:b/>
        </w:rPr>
        <w:t xml:space="preserve">2 </w:t>
      </w:r>
      <w:r>
        <w:t xml:space="preserve">in a vision of God into the land of Israel, and he set me on a very</w:t>
      </w:r>
      <w:r>
        <w:rPr>
          <w:rStyle w:val="FootnoteReference"/>
        </w:rPr>
        <w:footnoteReference w:id="13206"/>
      </w:r>
      <w:r>
        <w:t xml:space="preserve"> high mountain, and upon it was something like the structure of a city opposite.</w:t>
      </w:r>
    </w:p>
    <w:p>
      <w:r>
        <w:rPr>
          <w:b/>
        </w:rPr>
        <w:t xml:space="preserve">3 </w:t>
      </w:r>
      <w:r>
        <w:t xml:space="preserve">And he brought me there, and behold, a man, and his appearance was like the appearance of gleaming bronze, and in his hand was a builder's cord and a measuring reed, and he stood at the gate.</w:t>
      </w:r>
    </w:p>
    <w:p>
      <w:r>
        <w:rPr>
          <w:b/>
        </w:rPr>
        <w:t xml:space="preserve">4 </w:t>
      </w:r>
      <w:r>
        <w:t xml:space="preserve">And the man said to me, Have you seen, son of man? See with your eyes and hear with your ears and set in your heart all that I show you, because for the sake of showing you, you have entered here. And you will show the house of Israel all that you see.</w:t>
      </w:r>
    </w:p>
    <w:p>
      <w:r>
        <w:rPr>
          <w:b/>
        </w:rPr>
        <w:t xml:space="preserve">5 </w:t>
      </w:r>
      <w:r>
        <w:t xml:space="preserve">And behold, an enclosure outside the house all around, and in the man's hand was a measuring reed of six cubits, each a cubit and a handbreadth, and he measured the outer wall: breadth one reed and its height one reed.</w:t>
      </w:r>
    </w:p>
    <w:p>
      <w:r>
        <w:rPr>
          <w:b/>
        </w:rPr>
        <w:t xml:space="preserve">6 </w:t>
      </w:r>
      <w:r>
        <w:t xml:space="preserve">And he entered into the gate facing east, by seven steps, and measured the porch of the gate: one reed</w:t>
      </w:r>
      <w:r>
        <w:rPr>
          <w:rStyle w:val="FootnoteReference"/>
        </w:rPr>
        <w:footnoteReference w:id="13207"/>
      </w:r>
      <w:r>
        <w:t xml:space="preserve">.</w:t>
      </w:r>
    </w:p>
    <w:p>
      <w:r>
        <w:rPr>
          <w:b/>
        </w:rPr>
        <w:t xml:space="preserve">7 </w:t>
      </w:r>
      <w:r>
        <w:t xml:space="preserve">And the chamber was one reed in length and one reed in width, and the porch between the chambers was six cubits, and the second chamber was one reed in width and one reed in length, and the porch five cubits.</w:t>
      </w:r>
    </w:p>
    <w:p>
      <w:r>
        <w:rPr>
          <w:b/>
        </w:rPr>
        <w:t xml:space="preserve">8 </w:t>
      </w:r>
      <w:r>
        <w:t xml:space="preserve">And the third chamber was one reed in width and one reed in length.</w:t>
      </w:r>
    </w:p>
    <w:p>
      <w:r>
        <w:rPr>
          <w:b/>
        </w:rPr>
        <w:t xml:space="preserve">9 </w:t>
      </w:r>
      <w:r>
        <w:t xml:space="preserve">And the porch of the gateway next to the porch of the gate was eight cubits, and the jambs two cubits, and the porch of the gate was inward.</w:t>
      </w:r>
    </w:p>
    <w:p>
      <w:r>
        <w:rPr>
          <w:b/>
        </w:rPr>
        <w:t xml:space="preserve">10 </w:t>
      </w:r>
      <w:r>
        <w:t xml:space="preserve">And the chambers of the gate were opposite chambers, three on one side and three on the other, and one measure was for the three, and one measure for the porches on this side and on that side.</w:t>
      </w:r>
    </w:p>
    <w:p>
      <w:r>
        <w:rPr>
          <w:b/>
        </w:rPr>
        <w:t xml:space="preserve">11 </w:t>
      </w:r>
      <w:r>
        <w:t xml:space="preserve">And he measured the width of the doorway of the gateway, ten cubits, and the breadth of the gateway, thirteen cubits.</w:t>
      </w:r>
    </w:p>
    <w:p>
      <w:r>
        <w:rPr>
          <w:b/>
        </w:rPr>
        <w:t xml:space="preserve">12 </w:t>
      </w:r>
      <w:r>
        <w:t xml:space="preserve">And a one-cubit projection was before the chambers on this side and on that side, and the chamber was six cubits on this side and six cubits on that side.</w:t>
      </w:r>
    </w:p>
    <w:p>
      <w:r>
        <w:rPr>
          <w:b/>
        </w:rPr>
        <w:t xml:space="preserve">13 </w:t>
      </w:r>
      <w:r>
        <w:t xml:space="preserve">And he measured the gate</w:t>
      </w:r>
      <w:r>
        <w:rPr>
          <w:rStyle w:val="FootnoteReference"/>
        </w:rPr>
        <w:footnoteReference w:id="13208"/>
      </w:r>
      <w:r>
        <w:t xml:space="preserve"> from the wall of one chamber to the wall of the other chamber, a breadth of twenty-five cubits, gate opposite gate.</w:t>
      </w:r>
    </w:p>
    <w:p>
      <w:r>
        <w:rPr>
          <w:b/>
        </w:rPr>
        <w:t xml:space="preserve">14 </w:t>
      </w:r>
      <w:r>
        <w:t xml:space="preserve">And the court</w:t>
      </w:r>
      <w:r>
        <w:rPr>
          <w:rStyle w:val="FootnoteReference"/>
        </w:rPr>
        <w:footnoteReference w:id="13209"/>
      </w:r>
      <w:r>
        <w:t xml:space="preserve"> of the porch of the gate was sixty cubits, with twenty chambers of the gate around.</w:t>
      </w:r>
    </w:p>
    <w:p>
      <w:r>
        <w:rPr>
          <w:b/>
        </w:rPr>
        <w:t xml:space="preserve">15 </w:t>
      </w:r>
      <w:r>
        <w:t xml:space="preserve">And from the court of the outer gate to the court of the inner porch of the gate was fifty cubits.</w:t>
      </w:r>
    </w:p>
    <w:p>
      <w:r>
        <w:rPr>
          <w:b/>
        </w:rPr>
        <w:t xml:space="preserve">16 </w:t>
      </w:r>
      <w:r>
        <w:t xml:space="preserve">And hidden windows were on the chambers and on the porches inside the gate of the court all around, and likewise the porches had windows all around inside, and on the porch were palms on this side and on that side.</w:t>
      </w:r>
    </w:p>
    <w:p>
      <w:r>
        <w:rPr>
          <w:b/>
        </w:rPr>
        <w:t xml:space="preserve">17 </w:t>
      </w:r>
      <w:r>
        <w:t xml:space="preserve">And he brought me into the inner court, and behold, side rooms and colonnades around the court, thirty</w:t>
      </w:r>
      <w:r>
        <w:rPr>
          <w:rStyle w:val="FootnoteReference"/>
        </w:rPr>
        <w:footnoteReference w:id="13210"/>
      </w:r>
      <w:r>
        <w:t xml:space="preserve"> side rooms on the colonnades.</w:t>
      </w:r>
    </w:p>
    <w:p>
      <w:r>
        <w:rPr>
          <w:b/>
        </w:rPr>
        <w:t xml:space="preserve">18 </w:t>
      </w:r>
      <w:r>
        <w:t xml:space="preserve">And the porticoes along the back of the gates, according to the length of the gates, the lower colonnade.</w:t>
      </w:r>
    </w:p>
    <w:p>
      <w:r>
        <w:rPr>
          <w:b/>
        </w:rPr>
        <w:t xml:space="preserve">19 </w:t>
      </w:r>
      <w:r>
        <w:t xml:space="preserve">And he measured the width of the court from the court of the outer gate inward to the court of the gate facing out, one hundred cubits, the one facing east, and he brought me northward.</w:t>
      </w:r>
    </w:p>
    <w:p>
      <w:r>
        <w:rPr>
          <w:b/>
        </w:rPr>
        <w:t xml:space="preserve">20 </w:t>
      </w:r>
      <w:r>
        <w:t xml:space="preserve">And behold, a gate facing north to the outer court, and he measured it, both its length and its breadth.</w:t>
      </w:r>
    </w:p>
    <w:p>
      <w:r>
        <w:rPr>
          <w:b/>
        </w:rPr>
        <w:t xml:space="preserve">21 </w:t>
      </w:r>
      <w:r>
        <w:t xml:space="preserve">And its chambers, three on this side and three on that side, and its jambs and its porches and its palms, and it was according to the measures of gate facing east: fifty cubits its length and twenty-five cubits its breadth.</w:t>
      </w:r>
    </w:p>
    <w:p>
      <w:r>
        <w:rPr>
          <w:b/>
        </w:rPr>
        <w:t xml:space="preserve">22 </w:t>
      </w:r>
      <w:r>
        <w:t xml:space="preserve">And its windows and its porches and its palms were like the gate facing east, and by seven steps they went up to it, and its porches were inward.</w:t>
      </w:r>
    </w:p>
    <w:p>
      <w:r>
        <w:rPr>
          <w:b/>
        </w:rPr>
        <w:t xml:space="preserve">23 </w:t>
      </w:r>
      <w:r>
        <w:t xml:space="preserve">And the gate of</w:t>
      </w:r>
      <w:r>
        <w:rPr>
          <w:rStyle w:val="FootnoteReference"/>
        </w:rPr>
        <w:footnoteReference w:id="13211"/>
      </w:r>
      <w:r>
        <w:t xml:space="preserve"> the inner court faced the gate of the north, like the gate facing east, and he measured the court from gate to gate, one hundred cubits.</w:t>
      </w:r>
    </w:p>
    <w:p>
      <w:r>
        <w:rPr>
          <w:b/>
        </w:rPr>
        <w:t xml:space="preserve">24 </w:t>
      </w:r>
      <w:r>
        <w:t xml:space="preserve">And he led me toward the south, and behold</w:t>
      </w:r>
      <w:r>
        <w:rPr>
          <w:rStyle w:val="FootnoteReference"/>
        </w:rPr>
        <w:footnoteReference w:id="13212"/>
      </w:r>
      <w:r>
        <w:t xml:space="preserve">, a gate facing south, and he measured it and its chambers and its jambs and its porches according to these measures.</w:t>
      </w:r>
    </w:p>
    <w:p>
      <w:r>
        <w:rPr>
          <w:b/>
        </w:rPr>
        <w:t xml:space="preserve">25 </w:t>
      </w:r>
      <w:r>
        <w:t xml:space="preserve">And its windows</w:t>
      </w:r>
      <w:r>
        <w:rPr>
          <w:rStyle w:val="FootnoteReference"/>
        </w:rPr>
        <w:footnoteReference w:id="13213"/>
      </w:r>
      <w:r>
        <w:t xml:space="preserve"> and its porches were around, like the windows of the porch: fifty cubits its length and twenty-five cubits its breadth.</w:t>
      </w:r>
    </w:p>
    <w:p>
      <w:r>
        <w:rPr>
          <w:b/>
        </w:rPr>
        <w:t xml:space="preserve">26 </w:t>
      </w:r>
      <w:r>
        <w:t xml:space="preserve">And seven</w:t>
      </w:r>
      <w:r>
        <w:rPr>
          <w:rStyle w:val="FootnoteReference"/>
        </w:rPr>
        <w:footnoteReference w:id="13214"/>
      </w:r>
      <w:r>
        <w:t xml:space="preserve"> steps led to it, and its porches were inward, and it had palms, one on this side and one on that side, on the jambs.</w:t>
      </w:r>
    </w:p>
    <w:p>
      <w:r>
        <w:rPr>
          <w:b/>
        </w:rPr>
        <w:t xml:space="preserve">27 </w:t>
      </w:r>
      <w:r>
        <w:t xml:space="preserve">And a gate was opposite a gate of the inner court toward south, and he measured the court from gate to gate, one hundred cubits in breadth toward south.</w:t>
      </w:r>
    </w:p>
    <w:p>
      <w:r>
        <w:rPr>
          <w:b/>
        </w:rPr>
        <w:t xml:space="preserve">28 </w:t>
      </w:r>
      <w:r>
        <w:t xml:space="preserve">And he brought me into the inner court by the south gate and measured the gate according to these measures.</w:t>
      </w:r>
    </w:p>
    <w:p>
      <w:r>
        <w:rPr>
          <w:b/>
        </w:rPr>
        <w:t xml:space="preserve">29 </w:t>
      </w:r>
      <w:r>
        <w:t xml:space="preserve">And its chambers and its jambs and its porches were according to these measures, and it and its porches had windows around: fifty cubits its length and twenty-five cubits its breadth.</w:t>
      </w:r>
    </w:p>
    <w:p>
      <w:r>
        <w:rPr>
          <w:b/>
        </w:rPr>
        <w:t xml:space="preserve">31 </w:t>
      </w:r>
      <w:r>
        <w:t xml:space="preserve">And its porches were to the outer court, and palms were on the jambs, and there were eight</w:t>
      </w:r>
      <w:r>
        <w:rPr>
          <w:rStyle w:val="FootnoteReference"/>
        </w:rPr>
        <w:footnoteReference w:id="13215"/>
      </w:r>
      <w:r>
        <w:t xml:space="preserve"> steps.</w:t>
      </w:r>
    </w:p>
    <w:p>
      <w:r>
        <w:rPr>
          <w:b/>
        </w:rPr>
        <w:t xml:space="preserve">32 </w:t>
      </w:r>
      <w:r>
        <w:t xml:space="preserve">And he brought me into the</w:t>
      </w:r>
      <w:r>
        <w:rPr>
          <w:rStyle w:val="FootnoteReference"/>
        </w:rPr>
        <w:footnoteReference w:id="13216"/>
      </w:r>
      <w:r>
        <w:t xml:space="preserve"> gate facing east and measured it according to these measures.</w:t>
      </w:r>
    </w:p>
    <w:p>
      <w:r>
        <w:rPr>
          <w:b/>
        </w:rPr>
        <w:t xml:space="preserve">33 </w:t>
      </w:r>
      <w:r>
        <w:t xml:space="preserve">And its chambers and its jambs and its porches were according to these measures, and it and its porches had windows around: fifty cubits its length and twenty-five cubits its breadth.</w:t>
      </w:r>
    </w:p>
    <w:p>
      <w:r>
        <w:rPr>
          <w:b/>
        </w:rPr>
        <w:t xml:space="preserve">34 </w:t>
      </w:r>
      <w:r>
        <w:t xml:space="preserve">And its porches were to the inner court, and palms were on the jambs on this side and on that side, and there were eight steps</w:t>
      </w:r>
      <w:r>
        <w:rPr>
          <w:rStyle w:val="FootnoteReference"/>
        </w:rPr>
        <w:footnoteReference w:id="13217"/>
      </w:r>
      <w:r>
        <w:t xml:space="preserve"> to it.</w:t>
      </w:r>
    </w:p>
    <w:p>
      <w:r>
        <w:rPr>
          <w:b/>
        </w:rPr>
        <w:t xml:space="preserve">35 </w:t>
      </w:r>
      <w:r>
        <w:t xml:space="preserve">And he brought me into the north gate and measured it according to these measures,</w:t>
      </w:r>
    </w:p>
    <w:p>
      <w:r>
        <w:rPr>
          <w:b/>
        </w:rPr>
        <w:t xml:space="preserve">36 </w:t>
      </w:r>
      <w:r>
        <w:t xml:space="preserve">and its chambers and its jambs and its porches, and it and its porches had windows around: fifty cubits its length and twenty-five cubits its breadth.</w:t>
      </w:r>
    </w:p>
    <w:p>
      <w:r>
        <w:rPr>
          <w:b/>
        </w:rPr>
        <w:t xml:space="preserve">37 </w:t>
      </w:r>
      <w:r>
        <w:t xml:space="preserve">And its porches were to the outer court, and palms were on the jambs on this side and on that side, and there were eight steps to it.</w:t>
      </w:r>
    </w:p>
    <w:p>
      <w:r>
        <w:rPr>
          <w:b/>
        </w:rPr>
        <w:t xml:space="preserve">38 </w:t>
      </w:r>
      <w:r>
        <w:t xml:space="preserve">Its side rooms and its doorways and its porches were at the gate.</w:t>
      </w:r>
    </w:p>
    <w:p>
      <w:r>
        <w:rPr>
          <w:b/>
        </w:rPr>
        <w:t xml:space="preserve">39 </w:t>
      </w:r>
      <w:r>
        <w:t xml:space="preserve">A second drain, so that they may slaughter in it the things for sin and the things for ignorance.</w:t>
      </w:r>
    </w:p>
    <w:p>
      <w:r>
        <w:rPr>
          <w:b/>
        </w:rPr>
        <w:t xml:space="preserve">40 </w:t>
      </w:r>
      <w:r>
        <w:t xml:space="preserve">And along the back of the runnel of whole burnt offerings facing north, two tables toward east, and along the back of the second and of the porch of the gate, two tables toward east.</w:t>
      </w:r>
    </w:p>
    <w:p>
      <w:r>
        <w:rPr>
          <w:b/>
        </w:rPr>
        <w:t xml:space="preserve">41 </w:t>
      </w:r>
      <w:r>
        <w:t xml:space="preserve">Four on this side and four on that side, along the side of the gate; on them they will slaughter the sacrifices, opposite the eight tables of the sacrifices.</w:t>
      </w:r>
    </w:p>
    <w:p>
      <w:r>
        <w:rPr>
          <w:b/>
        </w:rPr>
        <w:t xml:space="preserve">42 </w:t>
      </w:r>
      <w:r>
        <w:t xml:space="preserve">And four tables for whole burnt offerings, of cut stone, one and a half cubits broad and two and a half cubits long and one cubit high; upon them they will place the implements with which they slaughter there the whole burnt offerings and the sacrifices.</w:t>
      </w:r>
    </w:p>
    <w:p>
      <w:r>
        <w:rPr>
          <w:b/>
        </w:rPr>
        <w:t xml:space="preserve">43 </w:t>
      </w:r>
      <w:r>
        <w:t xml:space="preserve">And a handbreadth border was carved inward all around, and above the tables were awnings to shelter from rain and from heat.</w:t>
      </w:r>
    </w:p>
    <w:p>
      <w:r>
        <w:rPr>
          <w:b/>
        </w:rPr>
        <w:t xml:space="preserve">44 </w:t>
      </w:r>
      <w:r>
        <w:t xml:space="preserve">And he brought me into the inner</w:t>
      </w:r>
      <w:r>
        <w:rPr>
          <w:rStyle w:val="FootnoteReference"/>
        </w:rPr>
        <w:footnoteReference w:id="13218"/>
      </w:r>
      <w:r>
        <w:t xml:space="preserve"> court, and behold, two chambers in the inner court, one along the back of the gate facing north, looking south, and one along the back of the southward gate, looking north.</w:t>
      </w:r>
    </w:p>
    <w:p>
      <w:r>
        <w:rPr>
          <w:b/>
        </w:rPr>
        <w:t xml:space="preserve">45 </w:t>
      </w:r>
      <w:r>
        <w:t xml:space="preserve">And he said to me, This chamber looking south is for the priests keeping the charge</w:t>
      </w:r>
      <w:r>
        <w:rPr>
          <w:rStyle w:val="FootnoteReference"/>
        </w:rPr>
        <w:footnoteReference w:id="13219"/>
      </w:r>
      <w:r>
        <w:t xml:space="preserve"> of the house.</w:t>
      </w:r>
    </w:p>
    <w:p>
      <w:r>
        <w:rPr>
          <w:b/>
        </w:rPr>
        <w:t xml:space="preserve">46 </w:t>
      </w:r>
      <w:r>
        <w:t xml:space="preserve">And the chamber looking north is for the priests keeping the charge of the altar; these are the sons of Zadok who draw near from Levi to the Lord to minister to him.</w:t>
      </w:r>
    </w:p>
    <w:p>
      <w:r>
        <w:rPr>
          <w:b/>
        </w:rPr>
        <w:t xml:space="preserve">47 </w:t>
      </w:r>
      <w:r>
        <w:t xml:space="preserve">And he measured the court: length one hundred cubits and breadth one hundred cubits on its four sides, and the altar was opposite the house.</w:t>
      </w:r>
    </w:p>
    <w:p>
      <w:r>
        <w:rPr>
          <w:b/>
        </w:rPr>
        <w:t xml:space="preserve">48 </w:t>
      </w:r>
      <w:r>
        <w:t xml:space="preserve">And he brought me into the porch</w:t>
      </w:r>
      <w:r>
        <w:rPr>
          <w:rStyle w:val="FootnoteReference"/>
        </w:rPr>
        <w:footnoteReference w:id="13220"/>
      </w:r>
      <w:r>
        <w:t xml:space="preserve"> of the house and measured the jamb of the porch: five cubits in breadth on this side and five cubits on that side; and the breadth of the doorway was fourteen cubits, and the shoulders of the door of the porch were three cubits on this side and three cubits on that side.</w:t>
      </w:r>
    </w:p>
    <w:p>
      <w:r>
        <w:rPr>
          <w:b/>
        </w:rPr>
        <w:t xml:space="preserve">49 </w:t>
      </w:r>
      <w:r>
        <w:t xml:space="preserve">And the length of the porch was twenty cubits and the breadth twelve cubits, and they went up to it by ten steps, and pillars</w:t>
      </w:r>
      <w:r>
        <w:rPr>
          <w:rStyle w:val="FootnoteReference"/>
        </w:rPr>
        <w:footnoteReference w:id="13221"/>
      </w:r>
      <w:r>
        <w:t xml:space="preserve"> were at the porch, one on this side and one on that side.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41</w:t>
      </w:r>
    </w:p>
    <w:p>
      <w:r>
        <w:rPr>
          <w:b/>
        </w:rPr>
        <w:t xml:space="preserve">1 </w:t>
      </w:r>
      <w:r>
        <w:t xml:space="preserve">And he brought</w:t>
      </w:r>
      <w:r>
        <w:rPr>
          <w:rStyle w:val="FootnoteReference"/>
        </w:rPr>
        <w:footnoteReference w:id="13222"/>
      </w:r>
      <w:r>
        <w:t xml:space="preserve"> me into the temple, where he measured the porch: six cubits in breadth on this side and six cubits in breadth for the porch on that side.</w:t>
      </w:r>
    </w:p>
    <w:p>
      <w:r>
        <w:rPr>
          <w:b/>
        </w:rPr>
        <w:t xml:space="preserve">2 </w:t>
      </w:r>
      <w:r>
        <w:t xml:space="preserve">And the breadth of the gateway was ten cubits, and the shoulders of the gateway were five cubits on this side and five cubits on that side, and he measured its length, forty cubits, and its breadth, twenty cubits.</w:t>
      </w:r>
    </w:p>
    <w:p>
      <w:r>
        <w:rPr>
          <w:b/>
        </w:rPr>
        <w:t xml:space="preserve">3 </w:t>
      </w:r>
      <w:r>
        <w:t xml:space="preserve">And he entered into the inner court and measured the jamb of the doorway, two cubits</w:t>
      </w:r>
      <w:r>
        <w:rPr>
          <w:rStyle w:val="FootnoteReference"/>
        </w:rPr>
        <w:footnoteReference w:id="13223"/>
      </w:r>
      <w:r>
        <w:t xml:space="preserve">, and the doorway was six cubits, and the shoulders of the doorway were seven cubits on this side and seven cubits on that side.</w:t>
      </w:r>
    </w:p>
    <w:p>
      <w:r>
        <w:rPr>
          <w:b/>
        </w:rPr>
        <w:t xml:space="preserve">4 </w:t>
      </w:r>
      <w:r>
        <w:t xml:space="preserve">And he measured the length of the doors, forty cubits, and the breadth, twenty cubits</w:t>
      </w:r>
      <w:r>
        <w:rPr>
          <w:rStyle w:val="FootnoteReference"/>
        </w:rPr>
        <w:footnoteReference w:id="13224"/>
      </w:r>
      <w:r>
        <w:t xml:space="preserve"> before the temple, and he said, This is the holy of holies.</w:t>
      </w:r>
    </w:p>
    <w:p>
      <w:r>
        <w:rPr>
          <w:b/>
        </w:rPr>
        <w:t xml:space="preserve">5 </w:t>
      </w:r>
      <w:r>
        <w:t xml:space="preserve">And he measured the wall of the house, six cubits, and the breadth of the side room, four cubits all around.</w:t>
      </w:r>
    </w:p>
    <w:p>
      <w:r>
        <w:rPr>
          <w:b/>
        </w:rPr>
        <w:t xml:space="preserve">6 </w:t>
      </w:r>
      <w:r>
        <w:t xml:space="preserve">And the side rooms were side room upon side room, thirty-three twice, and there was an interval in the wall of the house among the side rooms around, for those taking hold to see, so that they would not touch the walls of the house at all.</w:t>
      </w:r>
    </w:p>
    <w:p>
      <w:r>
        <w:rPr>
          <w:b/>
        </w:rPr>
        <w:t xml:space="preserve">7 </w:t>
      </w:r>
      <w:r>
        <w:t xml:space="preserve">And the breadth of the upper side rooms was according to the addition from the wall toward the upper story around the house, so that it widened upward, and from the lower parts they would go up to the upper rooms, and from the middle to the third stories.</w:t>
      </w:r>
    </w:p>
    <w:p>
      <w:r>
        <w:rPr>
          <w:b/>
        </w:rPr>
        <w:t xml:space="preserve">8 </w:t>
      </w:r>
      <w:r>
        <w:t xml:space="preserve">And the foundation of the house had height all around; the interval of the side rooms was equal to the reed, six cubits, an interval.</w:t>
      </w:r>
    </w:p>
    <w:p>
      <w:r>
        <w:rPr>
          <w:b/>
        </w:rPr>
        <w:t xml:space="preserve">9 </w:t>
      </w:r>
      <w:r>
        <w:t xml:space="preserve">And the width of the wall of the side room outside was five</w:t>
      </w:r>
      <w:r>
        <w:rPr>
          <w:rStyle w:val="FootnoteReference"/>
        </w:rPr>
        <w:footnoteReference w:id="13225"/>
      </w:r>
      <w:r>
        <w:t xml:space="preserve"> cubits, and the remaining space was between the side rooms of the house.</w:t>
      </w:r>
    </w:p>
    <w:p>
      <w:r>
        <w:rPr>
          <w:b/>
        </w:rPr>
        <w:t xml:space="preserve">10 </w:t>
      </w:r>
      <w:r>
        <w:t xml:space="preserve">And between the chambers</w:t>
      </w:r>
      <w:r>
        <w:rPr>
          <w:rStyle w:val="FootnoteReference"/>
        </w:rPr>
        <w:footnoteReference w:id="13226"/>
      </w:r>
      <w:r>
        <w:t xml:space="preserve"> was a breadth of twenty cubits, encircling the house all around.</w:t>
      </w:r>
    </w:p>
    <w:p>
      <w:r>
        <w:rPr>
          <w:b/>
        </w:rPr>
        <w:t xml:space="preserve">11 </w:t>
      </w:r>
      <w:r>
        <w:t xml:space="preserve">And the doors of the chambers were toward the remaining open space, one door northward and one door southward, and the breadth</w:t>
      </w:r>
      <w:r>
        <w:rPr>
          <w:rStyle w:val="FootnoteReference"/>
        </w:rPr>
        <w:footnoteReference w:id="13227"/>
      </w:r>
      <w:r>
        <w:t xml:space="preserve"> of the opening of the remaining space was five cubits broad all around.</w:t>
      </w:r>
    </w:p>
    <w:p>
      <w:r>
        <w:rPr>
          <w:b/>
        </w:rPr>
        <w:t xml:space="preserve">12 </w:t>
      </w:r>
      <w:r>
        <w:t xml:space="preserve">And the dividing structure in front of the remaining area toward the sea was seventy cubits broad, and the wall of the dividing structure was five cubits in breadth all around, and its length was ninety cubits.</w:t>
      </w:r>
    </w:p>
    <w:p>
      <w:r>
        <w:rPr>
          <w:b/>
        </w:rPr>
        <w:t xml:space="preserve">13 </w:t>
      </w:r>
      <w:r>
        <w:t xml:space="preserve">And he measured</w:t>
      </w:r>
      <w:r>
        <w:rPr>
          <w:rStyle w:val="FootnoteReference"/>
        </w:rPr>
        <w:footnoteReference w:id="13228"/>
      </w:r>
      <w:r>
        <w:t xml:space="preserve"> opposite the house: a length of one hundred cubits; and the remaining spaces and the dividing structures and their walls were one hundred cubits in length.</w:t>
      </w:r>
    </w:p>
    <w:p>
      <w:r>
        <w:rPr>
          <w:b/>
        </w:rPr>
        <w:t xml:space="preserve">14 </w:t>
      </w:r>
      <w:r>
        <w:t xml:space="preserve">And the breadth in front of the house and the remaining spaces opposite was one hundred cubits.</w:t>
      </w:r>
    </w:p>
    <w:p>
      <w:r>
        <w:rPr>
          <w:b/>
        </w:rPr>
        <w:t xml:space="preserve">15 </w:t>
      </w:r>
      <w:r>
        <w:t xml:space="preserve">And he measured the length of the dividing structure in front of the remaining space behind that house, and the remaining spaces on this side and on that side, one hundred cubits in length; and the temple and the corners and the outer porch were</w:t>
      </w:r>
    </w:p>
    <w:p>
      <w:r>
        <w:rPr>
          <w:b/>
        </w:rPr>
        <w:t xml:space="preserve">16 </w:t>
      </w:r>
      <w:r>
        <w:t xml:space="preserve">paneled, with latticed windows and recessed openings around the three stories, so as to look through, and the house and its nearby parts and the floor were wood-paneled all around, and from the floor to the windows the windows were opening threefold for looking through,</w:t>
      </w:r>
    </w:p>
    <w:p>
      <w:r>
        <w:rPr>
          <w:b/>
        </w:rPr>
        <w:t xml:space="preserve">17 </w:t>
      </w:r>
      <w:r>
        <w:t xml:space="preserve">and up to near the inner part and up to the outer part, and over the whole wall all around, within and without.</w:t>
      </w:r>
    </w:p>
    <w:p>
      <w:r>
        <w:rPr>
          <w:b/>
        </w:rPr>
        <w:t xml:space="preserve">18 </w:t>
      </w:r>
      <w:r>
        <w:t xml:space="preserve">Cherubim and palms were carved between cherub and cherub, and each cherub had two faces.</w:t>
      </w:r>
    </w:p>
    <w:p>
      <w:r>
        <w:rPr>
          <w:b/>
        </w:rPr>
        <w:t xml:space="preserve">19 </w:t>
      </w:r>
      <w:r>
        <w:t xml:space="preserve">The face of a man was toward the palm on this side and on that side, and the face of a lion was toward the palm on this side and on that side; the whole house was carved all around.</w:t>
      </w:r>
    </w:p>
    <w:p>
      <w:r>
        <w:rPr>
          <w:b/>
        </w:rPr>
        <w:t xml:space="preserve">20 </w:t>
      </w:r>
      <w:r>
        <w:t xml:space="preserve">From the floor to the ceiling, cherubim and palms were carved.</w:t>
      </w:r>
    </w:p>
    <w:p>
      <w:r>
        <w:rPr>
          <w:b/>
        </w:rPr>
        <w:t xml:space="preserve">21 </w:t>
      </w:r>
      <w:r>
        <w:t xml:space="preserve">And the sanctuary and the temple opened in squares; before the holy things the appearance was like the appearance</w:t>
      </w:r>
    </w:p>
    <w:p>
      <w:r>
        <w:rPr>
          <w:b/>
        </w:rPr>
        <w:t xml:space="preserve">22 </w:t>
      </w:r>
      <w:r>
        <w:t xml:space="preserve">of a wooden altar</w:t>
      </w:r>
      <w:r>
        <w:rPr>
          <w:rStyle w:val="FootnoteReference"/>
        </w:rPr>
        <w:footnoteReference w:id="13229"/>
      </w:r>
      <w:r>
        <w:t xml:space="preserve">: three cubits was its height, and two cubits its length, and two cubits its breadth. It had horns, and its base and its walls were wooden. And he said to me, This is the table before the face of the Lord.</w:t>
      </w:r>
    </w:p>
    <w:p>
      <w:r>
        <w:rPr>
          <w:b/>
        </w:rPr>
        <w:t xml:space="preserve">23 </w:t>
      </w:r>
      <w:r>
        <w:t xml:space="preserve">And there were two doors to the temple and to the holy place.</w:t>
      </w:r>
    </w:p>
    <w:p>
      <w:r>
        <w:rPr>
          <w:b/>
        </w:rPr>
        <w:t xml:space="preserve">24 </w:t>
      </w:r>
      <w:r>
        <w:t xml:space="preserve">Two swinging leaves belonged to the two doors: two leaves to the one and two leaves to the second door.</w:t>
      </w:r>
    </w:p>
    <w:p>
      <w:r>
        <w:rPr>
          <w:b/>
        </w:rPr>
        <w:t xml:space="preserve">25 </w:t>
      </w:r>
      <w:r>
        <w:t xml:space="preserve">And carving was upon them and upon the doors of the temple, cherubim and palms according to the carving of the holy things, and heavy timbers were before the porch outside.</w:t>
      </w:r>
    </w:p>
    <w:p>
      <w:r>
        <w:rPr>
          <w:b/>
        </w:rPr>
        <w:t xml:space="preserve">26 </w:t>
      </w:r>
      <w:r>
        <w:t xml:space="preserve">And there were hidden windows; and he measured on this side and on that side to the upper rooms of the porch, and the sides of the house were balanced.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42</w:t>
      </w:r>
    </w:p>
    <w:p>
      <w:r>
        <w:rPr>
          <w:b/>
        </w:rPr>
        <w:t xml:space="preserve">1 </w:t>
      </w:r>
      <w:r>
        <w:t xml:space="preserve">And he led me out into the outer court eastward, opposite the north gate, and brought me, and behold, five chambers adjoining the remaining space and adjoining the dividing structure to the north.</w:t>
      </w:r>
    </w:p>
    <w:p>
      <w:r>
        <w:rPr>
          <w:b/>
        </w:rPr>
        <w:t xml:space="preserve">2 </w:t>
      </w:r>
      <w:r>
        <w:t xml:space="preserve">One hundred cubits in length toward the north and fifty cubits in breadth.</w:t>
      </w:r>
    </w:p>
    <w:p>
      <w:r>
        <w:rPr>
          <w:b/>
        </w:rPr>
        <w:t xml:space="preserve">3 </w:t>
      </w:r>
      <w:r>
        <w:t xml:space="preserve">They were laid out like the gates of the inner court and like the colonnades of the outer court, porticoes facing one another, threefold.</w:t>
      </w:r>
    </w:p>
    <w:p>
      <w:r>
        <w:rPr>
          <w:b/>
        </w:rPr>
        <w:t xml:space="preserve">4 </w:t>
      </w:r>
      <w:r>
        <w:t xml:space="preserve">And opposite the chambers was a walkway ten cubits in breadth and one hundred cubits in length, and their doors were northward.</w:t>
      </w:r>
    </w:p>
    <w:p>
      <w:r>
        <w:rPr>
          <w:b/>
        </w:rPr>
        <w:t xml:space="preserve">5 </w:t>
      </w:r>
      <w:r>
        <w:t xml:space="preserve">And the upper walkways were likewise, because the colonnade projected from it, from the lower colonnade and the interval; likewise a colonnade and an interval, and likewise porticoes.</w:t>
      </w:r>
    </w:p>
    <w:p>
      <w:r>
        <w:rPr>
          <w:b/>
        </w:rPr>
        <w:t xml:space="preserve">6 </w:t>
      </w:r>
      <w:r>
        <w:t xml:space="preserve">For they were triple and had no pillars like the pillars of the outer courts; because of this they projected beyond the lower and the middle from the ground.</w:t>
      </w:r>
    </w:p>
    <w:p>
      <w:r>
        <w:rPr>
          <w:b/>
        </w:rPr>
        <w:t xml:space="preserve">7 </w:t>
      </w:r>
      <w:r>
        <w:t xml:space="preserve">And there was an opening outside, like the chambers of the outer court, facing the chambers toward the north, fifty cubits in length.</w:t>
      </w:r>
    </w:p>
    <w:p>
      <w:r>
        <w:rPr>
          <w:b/>
        </w:rPr>
        <w:t xml:space="preserve">8 </w:t>
      </w:r>
      <w:r>
        <w:t xml:space="preserve">For the length of the chambers facing into the outer court was fifty cubits, and these were opposite those: the whole was one hundred cubits.</w:t>
      </w:r>
    </w:p>
    <w:p>
      <w:r>
        <w:rPr>
          <w:b/>
        </w:rPr>
        <w:t xml:space="preserve">9 </w:t>
      </w:r>
      <w:r>
        <w:t xml:space="preserve">And the doors of these chambers were at the eastward entrance, to enter through them from the outer court.</w:t>
      </w:r>
    </w:p>
    <w:p>
      <w:r>
        <w:rPr>
          <w:b/>
        </w:rPr>
        <w:t xml:space="preserve">10 </w:t>
      </w:r>
      <w:r>
        <w:t xml:space="preserve">At the opening at the beginning of the walkway and toward the south, opposite the south, opposite the remaining space and opposite the dividing structure, there were chambers.</w:t>
      </w:r>
    </w:p>
    <w:p>
      <w:r>
        <w:rPr>
          <w:b/>
        </w:rPr>
        <w:t xml:space="preserve">11 </w:t>
      </w:r>
      <w:r>
        <w:t xml:space="preserve">And the walkway before them was according to the measures of the chambers toward the north, and according to their length and breadth and all their exits and all their returns and their openings and their doors,</w:t>
      </w:r>
    </w:p>
    <w:p>
      <w:r>
        <w:rPr>
          <w:b/>
        </w:rPr>
        <w:t xml:space="preserve">12 </w:t>
      </w:r>
      <w:r>
        <w:t xml:space="preserve">of the chambers toward the south, and according to the doors from the beginning of the walkway, as at the opening of the measuring interval, and eastward to enter through them.</w:t>
      </w:r>
    </w:p>
    <w:p>
      <w:r>
        <w:rPr>
          <w:b/>
        </w:rPr>
        <w:t xml:space="preserve">13 </w:t>
      </w:r>
      <w:r>
        <w:t xml:space="preserve">And he said to me, The chambers toward the north and the chambers toward the south, which are opposite the intervals, these are the holy chambers in which the priests, sons of Zadok, who draw near to the Lord, will eat the holy of holies; and there they will place the holy of holies and the sacrifice and the things for sin and the things for ignorance, because the place is holy.</w:t>
      </w:r>
    </w:p>
    <w:p>
      <w:r>
        <w:rPr>
          <w:b/>
        </w:rPr>
        <w:t xml:space="preserve">14 </w:t>
      </w:r>
      <w:r>
        <w:t xml:space="preserve">None will enter there except the priests; they will not go out from the holy place into the outer court, so that those who draw near may be continually holy and may not touch their garments in which they minister, because they are holy; and they will put on other garments when they touch the people.</w:t>
      </w:r>
    </w:p>
    <w:p>
      <w:r>
        <w:rPr>
          <w:b/>
        </w:rPr>
        <w:t xml:space="preserve">15 </w:t>
      </w:r>
      <w:r>
        <w:t xml:space="preserve">And the measuring</w:t>
      </w:r>
      <w:r>
        <w:rPr>
          <w:rStyle w:val="FootnoteReference"/>
        </w:rPr>
        <w:footnoteReference w:id="13230"/>
      </w:r>
      <w:r>
        <w:t xml:space="preserve"> of the inner house was completed, and he led me out by way of the gate facing east, and measured the pattern of the house all around in order.</w:t>
      </w:r>
    </w:p>
    <w:p>
      <w:r>
        <w:rPr>
          <w:b/>
        </w:rPr>
        <w:t xml:space="preserve">16 </w:t>
      </w:r>
      <w:r>
        <w:t xml:space="preserve">And he stood behind the gate facing east and measured five hundred cubits with the measuring reed</w:t>
      </w:r>
      <w:r>
        <w:rPr>
          <w:rStyle w:val="FootnoteReference"/>
        </w:rPr>
        <w:footnoteReference w:id="13231"/>
      </w:r>
      <w:r>
        <w:t xml:space="preserve">.</w:t>
      </w:r>
    </w:p>
    <w:p>
      <w:r>
        <w:rPr>
          <w:b/>
        </w:rPr>
        <w:t xml:space="preserve">17 </w:t>
      </w:r>
      <w:r>
        <w:t xml:space="preserve">And he turned toward the north and measured the part facing the north, five hundred cubits with the measuring reed.</w:t>
      </w:r>
    </w:p>
    <w:p>
      <w:r>
        <w:rPr>
          <w:b/>
        </w:rPr>
        <w:t xml:space="preserve">18 </w:t>
      </w:r>
      <w:r>
        <w:t xml:space="preserve">And he turned toward the sea and measured the part facing the sea, five hundred cubits with the measuring reed.</w:t>
      </w:r>
    </w:p>
    <w:p>
      <w:r>
        <w:rPr>
          <w:b/>
        </w:rPr>
        <w:t xml:space="preserve">19 </w:t>
      </w:r>
      <w:r>
        <w:t xml:space="preserve">And he turned toward the south and measured opposite the south, five hundred cubits with the measuring reed.</w:t>
      </w:r>
    </w:p>
    <w:p>
      <w:r>
        <w:rPr>
          <w:b/>
        </w:rPr>
        <w:t xml:space="preserve">20 </w:t>
      </w:r>
      <w:r>
        <w:t xml:space="preserve">The four sides were measured with the same reed, and he laid it out with their boundary all around, five hundred</w:t>
      </w:r>
      <w:r>
        <w:rPr>
          <w:rStyle w:val="FootnoteReference"/>
        </w:rPr>
        <w:footnoteReference w:id="13232"/>
      </w:r>
      <w:r>
        <w:t xml:space="preserve"> toward the east and five hundred cubits in breadth, to separate between the holy things and the outer wall of the house set in order.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43</w:t>
      </w:r>
    </w:p>
    <w:p>
      <w:r>
        <w:rPr>
          <w:b/>
        </w:rPr>
        <w:t xml:space="preserve">1 </w:t>
      </w:r>
      <w:r>
        <w:t xml:space="preserve">And he brought me to the gate facing east and led me out.</w:t>
      </w:r>
    </w:p>
    <w:p>
      <w:r>
        <w:rPr>
          <w:b/>
        </w:rPr>
        <w:t xml:space="preserve">2 </w:t>
      </w:r>
      <w:r>
        <w:t xml:space="preserve">And behold, the glory</w:t>
      </w:r>
      <w:r>
        <w:rPr>
          <w:rStyle w:val="FootnoteReference"/>
        </w:rPr>
        <w:footnoteReference w:id="13233"/>
      </w:r>
      <w:r>
        <w:t xml:space="preserve"> of the God of Israel was coming by way of the gate facing east, and the sound of the host was like the sound of many doubling their shouts, and the earth shone like brightness from the glory all around.</w:t>
      </w:r>
    </w:p>
    <w:p>
      <w:r>
        <w:rPr>
          <w:b/>
        </w:rPr>
        <w:t xml:space="preserve">3 </w:t>
      </w:r>
      <w:r>
        <w:t xml:space="preserve">And the vision I saw was like the vision I had seen when I entered to anoint the city, and the vision of the chariot that I saw was like the vision I had seen by the river</w:t>
      </w:r>
      <w:r>
        <w:rPr>
          <w:rStyle w:val="FootnoteReference"/>
        </w:rPr>
        <w:footnoteReference w:id="13234"/>
      </w:r>
      <w:r>
        <w:t xml:space="preserve"> Chebar; and I fell on my face.</w:t>
      </w:r>
    </w:p>
    <w:p>
      <w:r>
        <w:rPr>
          <w:b/>
        </w:rPr>
        <w:t xml:space="preserve">4 </w:t>
      </w:r>
      <w:r>
        <w:t xml:space="preserve">And the glory</w:t>
      </w:r>
      <w:r>
        <w:rPr>
          <w:rStyle w:val="FootnoteReference"/>
        </w:rPr>
        <w:footnoteReference w:id="13235"/>
      </w:r>
      <w:r>
        <w:t xml:space="preserve"> of the Lord entered into the house by way of the gate facing east.</w:t>
      </w:r>
    </w:p>
    <w:p>
      <w:r>
        <w:rPr>
          <w:b/>
        </w:rPr>
        <w:t xml:space="preserve">5 </w:t>
      </w:r>
      <w:r>
        <w:t xml:space="preserve">And the Spirit</w:t>
      </w:r>
      <w:r>
        <w:rPr>
          <w:rStyle w:val="FootnoteReference"/>
        </w:rPr>
        <w:footnoteReference w:id="13236"/>
      </w:r>
      <w:r>
        <w:t xml:space="preserve"> lifted me and brought me into the inner court, and behold, the house was full of the glory of the Lord.</w:t>
      </w:r>
    </w:p>
    <w:p>
      <w:r>
        <w:rPr>
          <w:b/>
        </w:rPr>
        <w:t xml:space="preserve">6 </w:t>
      </w:r>
      <w:r>
        <w:t xml:space="preserve">And I stood, and behold, there was a voice from the house speaking to me, and the man</w:t>
      </w:r>
      <w:r>
        <w:rPr>
          <w:rStyle w:val="FootnoteReference"/>
        </w:rPr>
        <w:footnoteReference w:id="13237"/>
      </w:r>
      <w:r>
        <w:t xml:space="preserve"> stood beside me.</w:t>
      </w:r>
    </w:p>
    <w:p>
      <w:r>
        <w:rPr>
          <w:b/>
        </w:rPr>
        <w:t xml:space="preserve">7 </w:t>
      </w:r>
      <w:r>
        <w:t xml:space="preserve">And he said to me, You have seen, son of man, the place of my throne</w:t>
      </w:r>
      <w:r>
        <w:rPr>
          <w:rStyle w:val="FootnoteReference"/>
        </w:rPr>
        <w:footnoteReference w:id="13238"/>
      </w:r>
      <w:r>
        <w:t xml:space="preserve"> and the place of the soles of my feet, where my name will dwell in the midst of the house of Israel forever. And the house of Israel will no longer profane my holy name, they and their leaders, by their whoredom and by the murders of their leaders in their midst.</w:t>
      </w:r>
    </w:p>
    <w:p>
      <w:r>
        <w:rPr>
          <w:b/>
        </w:rPr>
        <w:t xml:space="preserve">8 </w:t>
      </w:r>
      <w:r>
        <w:t xml:space="preserve">When they set my threshold among their thresholds and my doorposts adjoining their doorposts, and made my wall as though joining me and them, they profaned my holy name by the lawless things they did, and I destroyed them in my wrath and with slaughter.</w:t>
      </w:r>
    </w:p>
    <w:p>
      <w:r>
        <w:rPr>
          <w:b/>
        </w:rPr>
        <w:t xml:space="preserve">9 </w:t>
      </w:r>
      <w:r>
        <w:t xml:space="preserve">And now let</w:t>
      </w:r>
      <w:r>
        <w:rPr>
          <w:rStyle w:val="FootnoteReference"/>
        </w:rPr>
        <w:footnoteReference w:id="13239"/>
      </w:r>
      <w:r>
        <w:t xml:space="preserve"> them put away their whoredom and the murders of their leaders away from me, and I will dwell in their midst forever.</w:t>
      </w:r>
    </w:p>
    <w:p>
      <w:r>
        <w:rPr>
          <w:b/>
        </w:rPr>
        <w:t xml:space="preserve">10 </w:t>
      </w:r>
      <w:r>
        <w:t xml:space="preserve">And you, son of man, show</w:t>
      </w:r>
      <w:r>
        <w:rPr>
          <w:rStyle w:val="FootnoteReference"/>
        </w:rPr>
        <w:footnoteReference w:id="13240"/>
      </w:r>
      <w:r>
        <w:t xml:space="preserve"> the house to the house of Israel, and they will cease from their sins; and show its appearance and its arrangement.</w:t>
      </w:r>
    </w:p>
    <w:p>
      <w:r>
        <w:rPr>
          <w:b/>
        </w:rPr>
        <w:t xml:space="preserve">11 </w:t>
      </w:r>
      <w:r>
        <w:t xml:space="preserve">And they will receive their correction for all they did; and you will describe the house and its exits and its structure and all its commands and all its statutes. Make them known to them, and describe them before them, and they will keep all my ordinances and all my commands and do</w:t>
      </w:r>
      <w:r>
        <w:rPr>
          <w:rStyle w:val="FootnoteReference"/>
        </w:rPr>
        <w:footnoteReference w:id="13241"/>
      </w:r>
      <w:r>
        <w:t xml:space="preserve"> them.</w:t>
      </w:r>
    </w:p>
    <w:p>
      <w:r>
        <w:rPr>
          <w:b/>
        </w:rPr>
        <w:t xml:space="preserve">12 </w:t>
      </w:r>
      <w:r>
        <w:t xml:space="preserve">And show the plan of the house on the summit of the mountain; all its boundaries all around are holy of holies.</w:t>
      </w:r>
    </w:p>
    <w:p>
      <w:r>
        <w:rPr>
          <w:b/>
        </w:rPr>
        <w:t xml:space="preserve">13 </w:t>
      </w:r>
      <w:r>
        <w:t xml:space="preserve">And these are the measures</w:t>
      </w:r>
      <w:r>
        <w:rPr>
          <w:rStyle w:val="FootnoteReference"/>
        </w:rPr>
        <w:footnoteReference w:id="13242"/>
      </w:r>
      <w:r>
        <w:t xml:space="preserve"> of the altar by a cubit of a cubit and a handbreadth: a trench one cubit deep and one cubit broad, and a rim around its lip, one span. This is the height of the altar.</w:t>
      </w:r>
    </w:p>
    <w:p>
      <w:r>
        <w:rPr>
          <w:b/>
        </w:rPr>
        <w:t xml:space="preserve">14 </w:t>
      </w:r>
      <w:r>
        <w:t xml:space="preserve">From the depth at the beginning of its hollow to the great lower ledge: two cubits, and the breadth one cubit; and from the small ledge to the great ledge: four cubits, and the breadth one cubit.</w:t>
      </w:r>
    </w:p>
    <w:p>
      <w:r>
        <w:rPr>
          <w:b/>
        </w:rPr>
        <w:t xml:space="preserve">15 </w:t>
      </w:r>
      <w:r>
        <w:t xml:space="preserve">And the Ariel was four cubits, and from the Ariel upward to the horns was one cubit.</w:t>
      </w:r>
    </w:p>
    <w:p>
      <w:r>
        <w:rPr>
          <w:b/>
        </w:rPr>
        <w:t xml:space="preserve">16 </w:t>
      </w:r>
      <w:r>
        <w:t xml:space="preserve">And the Ariel was twelve cubits</w:t>
      </w:r>
      <w:r>
        <w:rPr>
          <w:rStyle w:val="FootnoteReference"/>
        </w:rPr>
        <w:footnoteReference w:id="13243"/>
      </w:r>
      <w:r>
        <w:t xml:space="preserve"> in length by twelve cubits in breadth, square on its four sides.</w:t>
      </w:r>
    </w:p>
    <w:p>
      <w:r>
        <w:rPr>
          <w:b/>
        </w:rPr>
        <w:t xml:space="preserve">17 </w:t>
      </w:r>
      <w:r>
        <w:t xml:space="preserve">And the ledge was fourteen cubits in length by fourteen cubits in breadth on its four sides; and the rim around it encircled it, half a cubit, and its surrounding gutter was one cubit all around, and its steps faced east.</w:t>
      </w:r>
    </w:p>
    <w:p>
      <w:r>
        <w:rPr>
          <w:b/>
        </w:rPr>
        <w:t xml:space="preserve">18 </w:t>
      </w:r>
      <w:r>
        <w:t xml:space="preserve">And he said to me, Son of man, thus says the Lord God of Israel: These are the commands of the altar on the day it is made, to offer</w:t>
      </w:r>
      <w:r>
        <w:rPr>
          <w:rStyle w:val="FootnoteReference"/>
        </w:rPr>
        <w:footnoteReference w:id="13244"/>
      </w:r>
      <w:r>
        <w:t xml:space="preserve"> whole burnt offerings on it and to pour blood upon it.</w:t>
      </w:r>
      <w:r>
        <w:rPr>
          <w:rStyle w:val="FootnoteReference"/>
        </w:rPr>
        <w:footnoteReference w:id="13245"/>
      </w:r>
    </w:p>
    <w:p>
      <w:r>
        <w:rPr>
          <w:b/>
        </w:rPr>
        <w:t xml:space="preserve">19 </w:t>
      </w:r>
      <w:r>
        <w:t xml:space="preserve">And you will give to the Levitical priests from the seed of Zadok</w:t>
      </w:r>
      <w:r>
        <w:rPr>
          <w:rStyle w:val="FootnoteReference"/>
        </w:rPr>
        <w:footnoteReference w:id="13246"/>
      </w:r>
      <w:r>
        <w:t xml:space="preserve">, who draw near to me, says the Lord God, to minister to me, a young</w:t>
      </w:r>
      <w:r>
        <w:rPr>
          <w:rStyle w:val="FootnoteReference"/>
        </w:rPr>
        <w:footnoteReference w:id="13247"/>
      </w:r>
      <w:r>
        <w:t xml:space="preserve"> bull from the herd for sin.</w:t>
      </w:r>
    </w:p>
    <w:p>
      <w:r>
        <w:rPr>
          <w:b/>
        </w:rPr>
        <w:t xml:space="preserve">20 </w:t>
      </w:r>
      <w:r>
        <w:t xml:space="preserve">And they will take</w:t>
      </w:r>
      <w:r>
        <w:rPr>
          <w:rStyle w:val="FootnoteReference"/>
        </w:rPr>
        <w:footnoteReference w:id="13248"/>
      </w:r>
      <w:r>
        <w:t xml:space="preserve"> from its blood and put it on the four horns of the altar and on the four corners of the ledge and on the base all around, and they will make atonement for it.</w:t>
      </w:r>
    </w:p>
    <w:p>
      <w:r>
        <w:rPr>
          <w:b/>
        </w:rPr>
        <w:t xml:space="preserve">21 </w:t>
      </w:r>
      <w:r>
        <w:t xml:space="preserve">And they will take the young bull for sin, and it will be burned in the separated place of the house, outside the holy things.</w:t>
      </w:r>
    </w:p>
    <w:p>
      <w:r>
        <w:rPr>
          <w:b/>
        </w:rPr>
        <w:t xml:space="preserve">22 </w:t>
      </w:r>
      <w:r>
        <w:t xml:space="preserve">And on the second day they will take two flawless young goats for sin, and they will make atonement for the altar just as they made atonement with the young bull.</w:t>
      </w:r>
    </w:p>
    <w:p>
      <w:r>
        <w:rPr>
          <w:b/>
        </w:rPr>
        <w:t xml:space="preserve">23 </w:t>
      </w:r>
      <w:r>
        <w:t xml:space="preserve">And after you finish making atonement, they will bring a flawless young bull from the herd and a flawless ram from the flock.</w:t>
      </w:r>
    </w:p>
    <w:p>
      <w:r>
        <w:rPr>
          <w:b/>
        </w:rPr>
        <w:t xml:space="preserve">24 </w:t>
      </w:r>
      <w:r>
        <w:t xml:space="preserve">And you will bring them before the Lord, and the priests will throw salt on them and offer them as whole burnt offerings to the Lord.</w:t>
      </w:r>
    </w:p>
    <w:p>
      <w:r>
        <w:rPr>
          <w:b/>
        </w:rPr>
        <w:t xml:space="preserve">25 </w:t>
      </w:r>
      <w:r>
        <w:t xml:space="preserve">For seven days you will prepare a young goat for sin each day, and they will prepare a young bull from the herd and a ram from the flock, flawless.</w:t>
      </w:r>
    </w:p>
    <w:p>
      <w:r>
        <w:rPr>
          <w:b/>
        </w:rPr>
        <w:t xml:space="preserve">26 </w:t>
      </w:r>
      <w:r>
        <w:t xml:space="preserve">For seven days they will make atonement for the altar and cleanse it and fill their hands.</w:t>
      </w:r>
    </w:p>
    <w:p>
      <w:r>
        <w:rPr>
          <w:b/>
        </w:rPr>
        <w:t xml:space="preserve">27 </w:t>
      </w:r>
      <w:r>
        <w:t xml:space="preserve">And from the eighth day and beyond, the priests will offer on the altar your whole burnt offerings and your offerings of salvation, and I will accept</w:t>
      </w:r>
      <w:r>
        <w:rPr>
          <w:rStyle w:val="FootnoteReference"/>
        </w:rPr>
        <w:footnoteReference w:id="13249"/>
      </w:r>
      <w:r>
        <w:t xml:space="preserve"> you,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44</w:t>
      </w:r>
    </w:p>
    <w:p>
      <w:r>
        <w:rPr>
          <w:b/>
        </w:rPr>
        <w:t xml:space="preserve">1 </w:t>
      </w:r>
      <w:r>
        <w:t xml:space="preserve">And he brought me back by way of the outer gate of the sanctuary, the one facing east, and it was shut.</w:t>
      </w:r>
    </w:p>
    <w:p>
      <w:r>
        <w:rPr>
          <w:b/>
        </w:rPr>
        <w:t xml:space="preserve">2 </w:t>
      </w:r>
      <w:r>
        <w:t xml:space="preserve">And the Lord said to me, This gate will be shut; it will not be opened, and no one will pass through it, because the Lord God of Israel will enter through it, and it will be shut.</w:t>
      </w:r>
    </w:p>
    <w:p>
      <w:r>
        <w:rPr>
          <w:b/>
        </w:rPr>
        <w:t xml:space="preserve">3 </w:t>
      </w:r>
      <w:r>
        <w:t xml:space="preserve">For this ruler will sit in it to eat</w:t>
      </w:r>
      <w:r>
        <w:rPr>
          <w:rStyle w:val="FootnoteReference"/>
        </w:rPr>
        <w:footnoteReference w:id="13250"/>
      </w:r>
      <w:r>
        <w:t xml:space="preserve"> bread before the Lord; by way of the porch of the gate he will enter, and by that way he will go out.</w:t>
      </w:r>
    </w:p>
    <w:p>
      <w:r>
        <w:rPr>
          <w:b/>
        </w:rPr>
        <w:t xml:space="preserve">4 </w:t>
      </w:r>
      <w:r>
        <w:t xml:space="preserve">And he brought me by way of the north gate opposite the house, and I saw, and behold, the house of the Lord was full of glory, and I fell</w:t>
      </w:r>
      <w:r>
        <w:rPr>
          <w:rStyle w:val="FootnoteReference"/>
        </w:rPr>
        <w:footnoteReference w:id="13251"/>
      </w:r>
      <w:r>
        <w:t xml:space="preserve"> on my face.</w:t>
      </w:r>
    </w:p>
    <w:p>
      <w:r>
        <w:rPr>
          <w:b/>
        </w:rPr>
        <w:t xml:space="preserve">5 </w:t>
      </w:r>
      <w:r>
        <w:t xml:space="preserve">And the Lord said to me, Son of man, set your heart and see with your eyes and hear with your ears all that I speak with you according to all the commands of the house of the Lord and all its statutes; set your heart on the entrance of the house, according to all its exits in all the holy things.</w:t>
      </w:r>
    </w:p>
    <w:p>
      <w:r>
        <w:rPr>
          <w:b/>
        </w:rPr>
        <w:t xml:space="preserve">6 </w:t>
      </w:r>
      <w:r>
        <w:t xml:space="preserve">And you will say to the embittering house, to the house of Israel, Thus says the Lord God: Let it be enough for you from all your lawless acts, house of Israel,</w:t>
      </w:r>
    </w:p>
    <w:p>
      <w:r>
        <w:rPr>
          <w:b/>
        </w:rPr>
        <w:t xml:space="preserve">7 </w:t>
      </w:r>
      <w:r>
        <w:t xml:space="preserve">that you brought in foreign sons, uncircumcised in heart</w:t>
      </w:r>
      <w:r>
        <w:rPr>
          <w:rStyle w:val="FootnoteReference"/>
        </w:rPr>
        <w:footnoteReference w:id="13252"/>
      </w:r>
      <w:r>
        <w:t xml:space="preserve"> and uncircumcised in flesh, to be in my holy things, and they profaned them when you offered bread, fat, and blood, and you broke my covenant in all your lawless acts.</w:t>
      </w:r>
    </w:p>
    <w:p>
      <w:r>
        <w:rPr>
          <w:b/>
        </w:rPr>
        <w:t xml:space="preserve">8 </w:t>
      </w:r>
      <w:r>
        <w:t xml:space="preserve">And you appointed them to keep charges in my holy things.</w:t>
      </w:r>
    </w:p>
    <w:p>
      <w:r>
        <w:rPr>
          <w:b/>
        </w:rPr>
        <w:t xml:space="preserve">9 </w:t>
      </w:r>
      <w:r>
        <w:t xml:space="preserve">Therefore thus says the Lord God: No foreign son, uncircumcised in heart and uncircumcised in flesh, will enter my holy things, among all foreign sons who are in the midst of the house of Israel.</w:t>
      </w:r>
    </w:p>
    <w:p>
      <w:r>
        <w:rPr>
          <w:b/>
        </w:rPr>
        <w:t xml:space="preserve">10 </w:t>
      </w:r>
      <w:r>
        <w:t xml:space="preserve">But the Levites</w:t>
      </w:r>
      <w:r>
        <w:rPr>
          <w:rStyle w:val="FootnoteReference"/>
        </w:rPr>
        <w:footnoteReference w:id="13253"/>
      </w:r>
      <w:r>
        <w:t xml:space="preserve"> who departed far from me when Israel went astray from me after their thoughts, they will bear their injustice.</w:t>
      </w:r>
    </w:p>
    <w:p>
      <w:r>
        <w:rPr>
          <w:b/>
        </w:rPr>
        <w:t xml:space="preserve">11 </w:t>
      </w:r>
      <w:r>
        <w:t xml:space="preserve">And they will be in my holy things, serving as doorkeepers at the gates of the house and ministering to the house; they will slaughter the whole burnt offerings and the sacrifices for the people, and they will stand before the people to minister to them.</w:t>
      </w:r>
    </w:p>
    <w:p>
      <w:r>
        <w:rPr>
          <w:b/>
        </w:rPr>
        <w:t xml:space="preserve">12 </w:t>
      </w:r>
      <w:r>
        <w:t xml:space="preserve">Because they ministered</w:t>
      </w:r>
      <w:r>
        <w:rPr>
          <w:rStyle w:val="FootnoteReference"/>
        </w:rPr>
        <w:footnoteReference w:id="13254"/>
      </w:r>
      <w:r>
        <w:t xml:space="preserve"> to them before their idols and it became a punishment of injustice to the house of Israel, therefore I raised my hand against them, says the Lord God.</w:t>
      </w:r>
    </w:p>
    <w:p>
      <w:r>
        <w:rPr>
          <w:b/>
        </w:rPr>
        <w:t xml:space="preserve">13 </w:t>
      </w:r>
      <w:r>
        <w:t xml:space="preserve">And they will not come near me to serve as priests to me, nor to bring near the holy things of the sons of Israel, nor to my holy of holies, and they will bear</w:t>
      </w:r>
      <w:r>
        <w:rPr>
          <w:rStyle w:val="FootnoteReference"/>
        </w:rPr>
        <w:footnoteReference w:id="13255"/>
      </w:r>
      <w:r>
        <w:t xml:space="preserve"> their dishonor in the wandering by which they wandered.</w:t>
      </w:r>
    </w:p>
    <w:p>
      <w:r>
        <w:rPr>
          <w:b/>
        </w:rPr>
        <w:t xml:space="preserve">14 </w:t>
      </w:r>
      <w:r>
        <w:t xml:space="preserve">And they will appoint them to keep charges of the house, for all its works and for all that they may do.</w:t>
      </w:r>
    </w:p>
    <w:p>
      <w:r>
        <w:rPr>
          <w:b/>
        </w:rPr>
        <w:t xml:space="preserve">15 </w:t>
      </w:r>
      <w:r>
        <w:t xml:space="preserve">But the Levitical priests, the sons of Zadok</w:t>
      </w:r>
      <w:r>
        <w:rPr>
          <w:rStyle w:val="FootnoteReference"/>
        </w:rPr>
        <w:footnoteReference w:id="13256"/>
      </w:r>
      <w:r>
        <w:t xml:space="preserve">, who kept the charges of my holy things when the house of Israel went astray from me, these will come near me to minister to me and stand before my face to offer me sacrifice, fat, and blood, says the Lord God.</w:t>
      </w:r>
      <w:r>
        <w:rPr>
          <w:rStyle w:val="FootnoteReference"/>
        </w:rPr>
        <w:footnoteReference w:id="13257"/>
      </w:r>
    </w:p>
    <w:p>
      <w:r>
        <w:rPr>
          <w:b/>
        </w:rPr>
        <w:t xml:space="preserve">16 </w:t>
      </w:r>
      <w:r>
        <w:t xml:space="preserve">These will enter my holy things, and these will approach my table to minister to me, and they will keep</w:t>
      </w:r>
      <w:r>
        <w:rPr>
          <w:rStyle w:val="FootnoteReference"/>
        </w:rPr>
        <w:footnoteReference w:id="13258"/>
      </w:r>
      <w:r>
        <w:t xml:space="preserve"> my charges.</w:t>
      </w:r>
    </w:p>
    <w:p>
      <w:r>
        <w:rPr>
          <w:b/>
        </w:rPr>
        <w:t xml:space="preserve">17 </w:t>
      </w:r>
      <w:r>
        <w:t xml:space="preserve">And when they enter the gates of the inner court, they will put on linen garments; they will not wear wool when they minister from the gate of the inner court.</w:t>
      </w:r>
    </w:p>
    <w:p>
      <w:r>
        <w:rPr>
          <w:b/>
        </w:rPr>
        <w:t xml:space="preserve">18 </w:t>
      </w:r>
      <w:r>
        <w:t xml:space="preserve">They will have linen turbans on their heads and linen undergarments on their loins; they will not gird themselves tightly.</w:t>
      </w:r>
    </w:p>
    <w:p>
      <w:r>
        <w:rPr>
          <w:b/>
        </w:rPr>
        <w:t xml:space="preserve">19 </w:t>
      </w:r>
      <w:r>
        <w:t xml:space="preserve">And when they go out into the outer court to the people, they will take off the garments in which they minister and place them in the chambers of the holy things, and they will put on other garments, and they will not sanctify</w:t>
      </w:r>
      <w:r>
        <w:rPr>
          <w:rStyle w:val="FootnoteReference"/>
        </w:rPr>
        <w:footnoteReference w:id="13259"/>
      </w:r>
      <w:r>
        <w:t xml:space="preserve"> the people with their garments.</w:t>
      </w:r>
    </w:p>
    <w:p>
      <w:r>
        <w:rPr>
          <w:b/>
        </w:rPr>
        <w:t xml:space="preserve">20 </w:t>
      </w:r>
      <w:r>
        <w:t xml:space="preserve">They will not shave</w:t>
      </w:r>
      <w:r>
        <w:rPr>
          <w:rStyle w:val="FootnoteReference"/>
        </w:rPr>
        <w:footnoteReference w:id="13260"/>
      </w:r>
      <w:r>
        <w:t xml:space="preserve"> their heads and they will not strip their hair bare; they will surely cover their heads.</w:t>
      </w:r>
    </w:p>
    <w:p>
      <w:r>
        <w:rPr>
          <w:b/>
        </w:rPr>
        <w:t xml:space="preserve">21 </w:t>
      </w:r>
      <w:r>
        <w:t xml:space="preserve">No priest will drink any wine when they enter the inner court.</w:t>
      </w:r>
    </w:p>
    <w:p>
      <w:r>
        <w:rPr>
          <w:b/>
        </w:rPr>
        <w:t xml:space="preserve">22 </w:t>
      </w:r>
      <w:r>
        <w:t xml:space="preserve">They will not take a widow</w:t>
      </w:r>
      <w:r>
        <w:rPr>
          <w:rStyle w:val="FootnoteReference"/>
        </w:rPr>
        <w:footnoteReference w:id="13261"/>
      </w:r>
      <w:r>
        <w:t xml:space="preserve"> or a woman put away as a wife, except a virgin from the seed of Israel; but a widow, if she is from a priest, they may take.</w:t>
      </w:r>
    </w:p>
    <w:p>
      <w:r>
        <w:rPr>
          <w:b/>
        </w:rPr>
        <w:t xml:space="preserve">23 </w:t>
      </w:r>
      <w:r>
        <w:t xml:space="preserve">They will teach my people the difference between holy and profane, and between unclean and clean they will make known to them.</w:t>
      </w:r>
    </w:p>
    <w:p>
      <w:r>
        <w:rPr>
          <w:b/>
        </w:rPr>
        <w:t xml:space="preserve">24 </w:t>
      </w:r>
      <w:r>
        <w:t xml:space="preserve">And these will stand over a judgment of blood to decide; they will uphold my ordinances and judge my judgments, and they will keep my statutes and my commands in all</w:t>
      </w:r>
      <w:r>
        <w:rPr>
          <w:rStyle w:val="FootnoteReference"/>
        </w:rPr>
        <w:footnoteReference w:id="13262"/>
      </w:r>
      <w:r>
        <w:t xml:space="preserve"> my feasts, and my Sabbaths they will hallow.</w:t>
      </w:r>
    </w:p>
    <w:p>
      <w:r>
        <w:rPr>
          <w:b/>
        </w:rPr>
        <w:t xml:space="preserve">25 </w:t>
      </w:r>
      <w:r>
        <w:t xml:space="preserve">They will not go in to a dead body of a human to defile themselves, except for father or mother or son or daughter or brother or his sister who has had no husband; for these he may be defiled.</w:t>
      </w:r>
    </w:p>
    <w:p>
      <w:r>
        <w:rPr>
          <w:b/>
        </w:rPr>
        <w:t xml:space="preserve">26 </w:t>
      </w:r>
      <w:r>
        <w:t xml:space="preserve">And after he has been cleansed, he will count seven days for himself.</w:t>
      </w:r>
    </w:p>
    <w:p>
      <w:r>
        <w:rPr>
          <w:b/>
        </w:rPr>
        <w:t xml:space="preserve">27 </w:t>
      </w:r>
      <w:r>
        <w:t xml:space="preserve">And on whatever day they enter into the inner court to minister in the holy place, they will bring atonement, says the Lord God.</w:t>
      </w:r>
    </w:p>
    <w:p>
      <w:r>
        <w:rPr>
          <w:b/>
        </w:rPr>
        <w:t xml:space="preserve">28 </w:t>
      </w:r>
      <w:r>
        <w:t xml:space="preserve">And it will be to them for inheritance: I am their inheritance</w:t>
      </w:r>
      <w:r>
        <w:rPr>
          <w:rStyle w:val="FootnoteReference"/>
        </w:rPr>
        <w:footnoteReference w:id="13263"/>
      </w:r>
      <w:r>
        <w:t xml:space="preserve">; no possession will be given them among the sons of Israel, because I am their possession.</w:t>
      </w:r>
    </w:p>
    <w:p>
      <w:r>
        <w:rPr>
          <w:b/>
        </w:rPr>
        <w:t xml:space="preserve">29 </w:t>
      </w:r>
      <w:r>
        <w:t xml:space="preserve">These will eat the sacrifices and the things for sin and the things for ignorance, and every devoted thing in Israel will be theirs.</w:t>
      </w:r>
    </w:p>
    <w:p>
      <w:r>
        <w:rPr>
          <w:b/>
        </w:rPr>
        <w:t xml:space="preserve">30 </w:t>
      </w:r>
      <w:r>
        <w:t xml:space="preserve">Firstfruits of all things and firstborn of all things and every contribution from all your firstfruits will be the priests'. And your first produce you will give to the priest, to set your blessings on your houses.</w:t>
      </w:r>
    </w:p>
    <w:p>
      <w:r>
        <w:rPr>
          <w:b/>
        </w:rPr>
        <w:t xml:space="preserve">31 </w:t>
      </w:r>
      <w:r>
        <w:t xml:space="preserve">Anything that dies of itself or is caught by wild animals, from birds or from livestock, the priests will not eat.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45</w:t>
      </w:r>
    </w:p>
    <w:p>
      <w:r>
        <w:rPr>
          <w:b/>
        </w:rPr>
        <w:t xml:space="preserve">1 </w:t>
      </w:r>
      <w:r>
        <w:t xml:space="preserve">And when you measure out the land for inheritance, you will set apart a first portion to the Lord, a holy portion from the land, twenty-five thousand in length and twenty thousand in breadth; it will be holy in all its boundaries all around.</w:t>
      </w:r>
    </w:p>
    <w:p>
      <w:r>
        <w:rPr>
          <w:b/>
        </w:rPr>
        <w:t xml:space="preserve">2 </w:t>
      </w:r>
      <w:r>
        <w:t xml:space="preserve">And from this, five hundred by five hundred, square all around, will be for the sanctuary, with fifty cubits of open space all around it.</w:t>
      </w:r>
    </w:p>
    <w:p>
      <w:r>
        <w:rPr>
          <w:b/>
        </w:rPr>
        <w:t xml:space="preserve">3 </w:t>
      </w:r>
      <w:r>
        <w:t xml:space="preserve">And from this measured tract you will measure a length of twenty-five thousand and a breadth of ten thousand, and in it</w:t>
      </w:r>
      <w:r>
        <w:rPr>
          <w:rStyle w:val="FootnoteReference"/>
        </w:rPr>
        <w:footnoteReference w:id="13264"/>
      </w:r>
      <w:r>
        <w:t xml:space="preserve"> will be the sanctuary, holy of holies.</w:t>
      </w:r>
    </w:p>
    <w:p>
      <w:r>
        <w:rPr>
          <w:b/>
        </w:rPr>
        <w:t xml:space="preserve">4 </w:t>
      </w:r>
      <w:r>
        <w:t xml:space="preserve">This portion from the land will belong to the priests who minister in the holy place, and it will be for those who draw near to minister to the Lord; and it will be for them a place for houses, set apart for their sanctification.</w:t>
      </w:r>
    </w:p>
    <w:p>
      <w:r>
        <w:rPr>
          <w:b/>
        </w:rPr>
        <w:t xml:space="preserve">5 </w:t>
      </w:r>
      <w:r>
        <w:t xml:space="preserve">Twenty-five thousand in length and ten thousand in breadth will belong to the Levites who minister to the house, as their possession: cities to dwell in.</w:t>
      </w:r>
    </w:p>
    <w:p>
      <w:r>
        <w:rPr>
          <w:b/>
        </w:rPr>
        <w:t xml:space="preserve">6 </w:t>
      </w:r>
      <w:r>
        <w:t xml:space="preserve">And as the possession of the city you will give five thousand in breadth and twenty-five thousand in length, like the first portion of the holy things; it will belong to all the house of Israel.</w:t>
      </w:r>
    </w:p>
    <w:p>
      <w:r>
        <w:rPr>
          <w:b/>
        </w:rPr>
        <w:t xml:space="preserve">7 </w:t>
      </w:r>
      <w:r>
        <w:t xml:space="preserve">And for the ruler, on this side and on that side, beside the first portion of the holy things and the possession of the city, facing the first portion of the holy things and facing the possession of the city, from the west side westward and from the east side eastward; and the length will be like one of the tribal portions, from the west boundary to the east boundary of the land.</w:t>
      </w:r>
    </w:p>
    <w:p>
      <w:r>
        <w:rPr>
          <w:b/>
        </w:rPr>
        <w:t xml:space="preserve">8 </w:t>
      </w:r>
      <w:r>
        <w:t xml:space="preserve">It will be his possession in Israel, and the rulers of Israel will no longer oppress my people; and the house of Israel will inherit the land according to their tribes.</w:t>
      </w:r>
    </w:p>
    <w:p>
      <w:r>
        <w:rPr>
          <w:b/>
        </w:rPr>
        <w:t xml:space="preserve">9 </w:t>
      </w:r>
      <w:r>
        <w:t xml:space="preserve">Thus says the Lord God: Let it</w:t>
      </w:r>
      <w:r>
        <w:rPr>
          <w:rStyle w:val="FootnoteReference"/>
        </w:rPr>
        <w:footnoteReference w:id="13265"/>
      </w:r>
      <w:r>
        <w:t xml:space="preserve"> be enough for you, rulers of Israel. Remove injustice and misery; do judgment and righteousness; remove oppression from my people, says the Lord God.</w:t>
      </w:r>
      <w:r>
        <w:rPr>
          <w:rStyle w:val="FootnoteReference"/>
        </w:rPr>
        <w:footnoteReference w:id="13266"/>
      </w:r>
    </w:p>
    <w:p>
      <w:r>
        <w:rPr>
          <w:b/>
        </w:rPr>
        <w:t xml:space="preserve">10 </w:t>
      </w:r>
      <w:r>
        <w:t xml:space="preserve">Let there be for you a just scale, a just measure, and a just choenix.</w:t>
      </w:r>
    </w:p>
    <w:p>
      <w:r>
        <w:rPr>
          <w:b/>
        </w:rPr>
        <w:t xml:space="preserve">11 </w:t>
      </w:r>
      <w:r>
        <w:t xml:space="preserve">The measure and the choenix will be one alike: the choenix taking a tenth of the gomor, and the measure a tenth of the gomor; it will be equal according to the gomor.</w:t>
      </w:r>
    </w:p>
    <w:p>
      <w:r>
        <w:rPr>
          <w:b/>
        </w:rPr>
        <w:t xml:space="preserve">12 </w:t>
      </w:r>
      <w:r>
        <w:t xml:space="preserve">And the weight will be twenty obols. Five shekels will be five, and ten shekels will be ten, and fifty shekels will be your mina.</w:t>
      </w:r>
    </w:p>
    <w:p>
      <w:r>
        <w:rPr>
          <w:b/>
        </w:rPr>
        <w:t xml:space="preserve">13 </w:t>
      </w:r>
      <w:r>
        <w:t xml:space="preserve">And this is the first portion that you will set apart: a sixth of the measure from the gomor of wheat, and a sixth of the ephah from the kor of barley.</w:t>
      </w:r>
    </w:p>
    <w:p>
      <w:r>
        <w:rPr>
          <w:b/>
        </w:rPr>
        <w:t xml:space="preserve">14 </w:t>
      </w:r>
      <w:r>
        <w:t xml:space="preserve">And the ordinance of the oil: one cup of oil from ten cups, because ten cups are a gomor.</w:t>
      </w:r>
    </w:p>
    <w:p>
      <w:r>
        <w:rPr>
          <w:b/>
        </w:rPr>
        <w:t xml:space="preserve">15 </w:t>
      </w:r>
      <w:r>
        <w:t xml:space="preserve">And one sheep from every ten sheep, an offering from all families of Israel, for sacrifices and burnt offerings and offerings of salvation, to make</w:t>
      </w:r>
      <w:r>
        <w:rPr>
          <w:rStyle w:val="FootnoteReference"/>
        </w:rPr>
        <w:footnoteReference w:id="13267"/>
      </w:r>
      <w:r>
        <w:t xml:space="preserve"> atonement for you, says the Lord God.</w:t>
      </w:r>
    </w:p>
    <w:p>
      <w:r>
        <w:rPr>
          <w:b/>
        </w:rPr>
        <w:t xml:space="preserve">16 </w:t>
      </w:r>
      <w:r>
        <w:t xml:space="preserve">All the people will give this first portion to the ruler of Israel.</w:t>
      </w:r>
    </w:p>
    <w:p>
      <w:r>
        <w:rPr>
          <w:b/>
        </w:rPr>
        <w:t xml:space="preserve">17 </w:t>
      </w:r>
      <w:r>
        <w:t xml:space="preserve">And through the ruler will be the whole burnt offerings and the sacrifices and the libations at the feasts and at the new moons and on the Sabbaths and at all the feasts of the house of Israel; he will make the things for sin and the sacrifice and the whole burnt offerings and the offerings of salvation, to make atonement for the house of Israel.</w:t>
      </w:r>
    </w:p>
    <w:p>
      <w:r>
        <w:rPr>
          <w:b/>
        </w:rPr>
        <w:t xml:space="preserve">18 </w:t>
      </w:r>
      <w:r>
        <w:t xml:space="preserve">Thus says the Lord God: In the first month</w:t>
      </w:r>
      <w:r>
        <w:rPr>
          <w:rStyle w:val="FootnoteReference"/>
        </w:rPr>
        <w:footnoteReference w:id="13268"/>
      </w:r>
      <w:r>
        <w:t xml:space="preserve">, on the first of the month, you will take a flawless young bull from the herd to make atonement for the holy place.</w:t>
      </w:r>
    </w:p>
    <w:p>
      <w:r>
        <w:rPr>
          <w:b/>
        </w:rPr>
        <w:t xml:space="preserve">19 </w:t>
      </w:r>
      <w:r>
        <w:t xml:space="preserve">And the priest will take some of the blood of atonement and put it on the doorposts of the house and on the four corners of the sanctuary and on the altar and on the doorposts of the gate of the inner court.</w:t>
      </w:r>
    </w:p>
    <w:p>
      <w:r>
        <w:rPr>
          <w:b/>
        </w:rPr>
        <w:t xml:space="preserve">20 </w:t>
      </w:r>
      <w:r>
        <w:t xml:space="preserve">And thus you will do in the seventh month, on the first of the month; you will take a portion from each one and make atonement for the house.</w:t>
      </w:r>
    </w:p>
    <w:p>
      <w:r>
        <w:rPr>
          <w:b/>
        </w:rPr>
        <w:t xml:space="preserve">21 </w:t>
      </w:r>
      <w:r>
        <w:t xml:space="preserve">And in the first month, on the fourteenth of the month, you will have the Passover, a feast of seven days; unleavened bread you will eat.</w:t>
      </w:r>
    </w:p>
    <w:p>
      <w:r>
        <w:rPr>
          <w:b/>
        </w:rPr>
        <w:t xml:space="preserve">22 </w:t>
      </w:r>
      <w:r>
        <w:t xml:space="preserve">And the ruler will make on that day, for himself and for the house and for all the people of the land, a bull for sin.</w:t>
      </w:r>
    </w:p>
    <w:p>
      <w:r>
        <w:rPr>
          <w:b/>
        </w:rPr>
        <w:t xml:space="preserve">23 </w:t>
      </w:r>
      <w:r>
        <w:t xml:space="preserve">And during the seven days</w:t>
      </w:r>
      <w:r>
        <w:rPr>
          <w:rStyle w:val="FootnoteReference"/>
        </w:rPr>
        <w:footnoteReference w:id="13269"/>
      </w:r>
      <w:r>
        <w:t xml:space="preserve"> of the feast he will make whole burnt offerings to the Lord: seven bulls and seven rams, flawless, each day for seven days; and for sin, a male goat each day.</w:t>
      </w:r>
    </w:p>
    <w:p>
      <w:r>
        <w:rPr>
          <w:b/>
        </w:rPr>
        <w:t xml:space="preserve">24 </w:t>
      </w:r>
      <w:r>
        <w:t xml:space="preserve">And as a sacrifice, you will make a cake with the bull and a cake with the ram, and a hin of oil with the cake.</w:t>
      </w:r>
    </w:p>
    <w:p>
      <w:r>
        <w:rPr>
          <w:b/>
        </w:rPr>
        <w:t xml:space="preserve">25 </w:t>
      </w:r>
      <w:r>
        <w:t xml:space="preserve">And in the seventh</w:t>
      </w:r>
      <w:r>
        <w:rPr>
          <w:rStyle w:val="FootnoteReference"/>
        </w:rPr>
        <w:footnoteReference w:id="13270"/>
      </w:r>
      <w:r>
        <w:t xml:space="preserve"> month, on the fifteenth of the month, at the feast you will do the same for seven days, as for the things for sin and as for the whole burnt offerings and as for the grain offering and as for the oil.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46</w:t>
      </w:r>
    </w:p>
    <w:p>
      <w:r>
        <w:rPr>
          <w:b/>
        </w:rPr>
        <w:t xml:space="preserve">1 </w:t>
      </w:r>
      <w:r>
        <w:t xml:space="preserve">Thus says the Lord God: The gate in the inner court facing east will remain shut during the six working</w:t>
      </w:r>
      <w:r>
        <w:rPr>
          <w:rStyle w:val="FootnoteReference"/>
        </w:rPr>
        <w:footnoteReference w:id="13271"/>
      </w:r>
      <w:r>
        <w:t xml:space="preserve"> days, but on the day of the Sabbaths it will be opened, and on the day of the new moon it will be opened.</w:t>
      </w:r>
    </w:p>
    <w:p>
      <w:r>
        <w:rPr>
          <w:b/>
        </w:rPr>
        <w:t xml:space="preserve">2 </w:t>
      </w:r>
      <w:r>
        <w:t xml:space="preserve">And the ruler will enter by way of the porch</w:t>
      </w:r>
      <w:r>
        <w:rPr>
          <w:rStyle w:val="FootnoteReference"/>
        </w:rPr>
        <w:footnoteReference w:id="13272"/>
      </w:r>
      <w:r>
        <w:t xml:space="preserve"> of the outer gate and stand at the thresholds of the gate, and the priests will make his whole burnt offerings and his offerings of salvation, and he will worship at the threshold of the gate and go out, and the gate will not be shut until evening.</w:t>
      </w:r>
    </w:p>
    <w:p>
      <w:r>
        <w:rPr>
          <w:b/>
        </w:rPr>
        <w:t xml:space="preserve">3 </w:t>
      </w:r>
      <w:r>
        <w:t xml:space="preserve">And the people of the land will worship at the thresholds of that gate on the Sabbaths and on the new moons before the Lord.</w:t>
      </w:r>
    </w:p>
    <w:p>
      <w:r>
        <w:rPr>
          <w:b/>
        </w:rPr>
        <w:t xml:space="preserve">4 </w:t>
      </w:r>
      <w:r>
        <w:t xml:space="preserve">And the whole burnt offerings that the ruler will offer to the Lord on the day of the Sabbaths: six flawless lambs and a flawless ram.</w:t>
      </w:r>
    </w:p>
    <w:p>
      <w:r>
        <w:rPr>
          <w:b/>
        </w:rPr>
        <w:t xml:space="preserve">5 </w:t>
      </w:r>
      <w:r>
        <w:t xml:space="preserve">And the grain offering: a cake with the ram, and for the lambs a sacrifice, gift of his hand, and a hin of oil with the cake.</w:t>
      </w:r>
    </w:p>
    <w:p>
      <w:r>
        <w:rPr>
          <w:b/>
        </w:rPr>
        <w:t xml:space="preserve">6 </w:t>
      </w:r>
      <w:r>
        <w:t xml:space="preserve">And on the day of the new moon, a flawless bull and six lambs, and there will be a flawless ram.</w:t>
      </w:r>
    </w:p>
    <w:p>
      <w:r>
        <w:rPr>
          <w:b/>
        </w:rPr>
        <w:t xml:space="preserve">7 </w:t>
      </w:r>
      <w:r>
        <w:t xml:space="preserve">And a cake with the ram and a cake with the bull will be the grain offering, and for the lambs as his hand can afford, and a hin of oil with the cake.</w:t>
      </w:r>
    </w:p>
    <w:p>
      <w:r>
        <w:rPr>
          <w:b/>
        </w:rPr>
        <w:t xml:space="preserve">8 </w:t>
      </w:r>
      <w:r>
        <w:t xml:space="preserve">And when the ruler enters, by way of the porch of the gate he will enter, and by way of the gate he will go out.</w:t>
      </w:r>
    </w:p>
    <w:p>
      <w:r>
        <w:rPr>
          <w:b/>
        </w:rPr>
        <w:t xml:space="preserve">9 </w:t>
      </w:r>
      <w:r>
        <w:t xml:space="preserve">And when the people of the land enter before the Lord at the feasts, whoever enters by way of the north gate to worship will go out by way of the south gate, and whoever enters by way of the south gate will go out by way of the north gate; he will not return by the gate through which he entered, but he will go straight out opposite it.</w:t>
      </w:r>
    </w:p>
    <w:p>
      <w:r>
        <w:rPr>
          <w:b/>
        </w:rPr>
        <w:t xml:space="preserve">10 </w:t>
      </w:r>
      <w:r>
        <w:t xml:space="preserve">And the ruler in the midst of them, when they enter, he will enter with them, and when they go out, he will go out.</w:t>
      </w:r>
    </w:p>
    <w:p>
      <w:r>
        <w:rPr>
          <w:b/>
        </w:rPr>
        <w:t xml:space="preserve">11 </w:t>
      </w:r>
      <w:r>
        <w:t xml:space="preserve">And at the feasts and at the assemblies there will be the grain offering, a cake with the bull and a cake with the ram, and for the lambs as his hand can afford, and a hin of oil with the cake.</w:t>
      </w:r>
    </w:p>
    <w:p>
      <w:r>
        <w:rPr>
          <w:b/>
        </w:rPr>
        <w:t xml:space="preserve">12 </w:t>
      </w:r>
      <w:r>
        <w:t xml:space="preserve">And if the ruler makes a confession offering, a whole burnt offering of salvation to the Lord, and opens for himself the gate facing east, he will make his whole burnt offering and his offerings of salvation just as he does on the day of the Sabbaths, and he will go out, and he will shut the doors after he has gone out.</w:t>
      </w:r>
    </w:p>
    <w:p>
      <w:r>
        <w:rPr>
          <w:b/>
        </w:rPr>
        <w:t xml:space="preserve">13 </w:t>
      </w:r>
      <w:r>
        <w:t xml:space="preserve">And he will make a year-old flawless lamb as a whole burnt offering each day to the Lord; in the morning he will make it.</w:t>
      </w:r>
    </w:p>
    <w:p>
      <w:r>
        <w:rPr>
          <w:b/>
        </w:rPr>
        <w:t xml:space="preserve">14 </w:t>
      </w:r>
      <w:r>
        <w:t xml:space="preserve">And with it in the morning he will make a grain offering: a sixth of the measure and a third of a hin of oil, to mix the fine flour, a grain offering to the Lord, a continual ordinance.</w:t>
      </w:r>
    </w:p>
    <w:p>
      <w:r>
        <w:rPr>
          <w:b/>
        </w:rPr>
        <w:t xml:space="preserve">15 </w:t>
      </w:r>
      <w:r>
        <w:t xml:space="preserve">You will make the lamb and the grain offering and the oil in the morning, a continual</w:t>
      </w:r>
      <w:r>
        <w:rPr>
          <w:rStyle w:val="FootnoteReference"/>
        </w:rPr>
        <w:footnoteReference w:id="13273"/>
      </w:r>
      <w:r>
        <w:t xml:space="preserve"> whole burnt offering.</w:t>
      </w:r>
    </w:p>
    <w:p>
      <w:r>
        <w:rPr>
          <w:b/>
        </w:rPr>
        <w:t xml:space="preserve">16 </w:t>
      </w:r>
      <w:r>
        <w:t xml:space="preserve">Thus says the Lord God: If the ruler gives a gift to one of his sons from his inheritance, this will belong to his sons; it is their possession by inheritance.</w:t>
      </w:r>
    </w:p>
    <w:p>
      <w:r>
        <w:rPr>
          <w:b/>
        </w:rPr>
        <w:t xml:space="preserve">17 </w:t>
      </w:r>
      <w:r>
        <w:t xml:space="preserve">And if he gives a gift to one of his servants, it will be his until the year of release, and he will return it to the ruler; except for the inheritance of his sons, it will be theirs.</w:t>
      </w:r>
    </w:p>
    <w:p>
      <w:r>
        <w:rPr>
          <w:b/>
        </w:rPr>
        <w:t xml:space="preserve">18 </w:t>
      </w:r>
      <w:r>
        <w:t xml:space="preserve">And the ruler will certainly not take from the inheritance of the people to oppress them; from his own possession he will give inheritance to his sons, so that my people</w:t>
      </w:r>
      <w:r>
        <w:rPr>
          <w:rStyle w:val="FootnoteReference"/>
        </w:rPr>
        <w:footnoteReference w:id="13274"/>
      </w:r>
      <w:r>
        <w:t xml:space="preserve"> are not scattered, each from his possession.</w:t>
      </w:r>
    </w:p>
    <w:p>
      <w:r>
        <w:rPr>
          <w:b/>
        </w:rPr>
        <w:t xml:space="preserve">19 </w:t>
      </w:r>
      <w:r>
        <w:t xml:space="preserve">And he brought me into the entrance behind the gate, into the chamber of the holy things of the priests, the one facing north, and behold, a place was there set apart.</w:t>
      </w:r>
    </w:p>
    <w:p>
      <w:r>
        <w:rPr>
          <w:b/>
        </w:rPr>
        <w:t xml:space="preserve">20 </w:t>
      </w:r>
      <w:r>
        <w:t xml:space="preserve">And he said to me, This is the place where the priests will boil the things for ignorance and the things for sin, and there they will bake the grain offering, so as not to bring them out into the outer court to sanctify</w:t>
      </w:r>
      <w:r>
        <w:rPr>
          <w:rStyle w:val="FootnoteReference"/>
        </w:rPr>
        <w:footnoteReference w:id="13275"/>
      </w:r>
      <w:r>
        <w:t xml:space="preserve"> the people.</w:t>
      </w:r>
    </w:p>
    <w:p>
      <w:r>
        <w:rPr>
          <w:b/>
        </w:rPr>
        <w:t xml:space="preserve">21 </w:t>
      </w:r>
      <w:r>
        <w:t xml:space="preserve">And he brought me out into the outer court and led me around to the four sides of the court, and behold, a court at the side of the court, a court at the side of the court.</w:t>
      </w:r>
    </w:p>
    <w:p>
      <w:r>
        <w:rPr>
          <w:b/>
        </w:rPr>
        <w:t xml:space="preserve">22 </w:t>
      </w:r>
      <w:r>
        <w:t xml:space="preserve">At the four sides of the court were small courts, forty cubits in length and thirty cubits in breadth; one measure for all four.</w:t>
      </w:r>
    </w:p>
    <w:p>
      <w:r>
        <w:rPr>
          <w:b/>
        </w:rPr>
        <w:t xml:space="preserve">23 </w:t>
      </w:r>
      <w:r>
        <w:t xml:space="preserve">And chambers were around in them, around the four, and cooking places were made beneath the chambers around.</w:t>
      </w:r>
    </w:p>
    <w:p>
      <w:r>
        <w:rPr>
          <w:b/>
        </w:rPr>
        <w:t xml:space="preserve">24 </w:t>
      </w:r>
      <w:r>
        <w:t xml:space="preserve">And he said to me, These are the houses of the cooking places where those ministering to the house will boil the sacrifices of the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47</w:t>
      </w:r>
    </w:p>
    <w:p>
      <w:r>
        <w:rPr>
          <w:b/>
        </w:rPr>
        <w:t xml:space="preserve">1 </w:t>
      </w:r>
      <w:r>
        <w:t xml:space="preserve">And he brought me to the thresholds of the house, and behold, water was coming out from beneath the vestibule toward the east, because the face of the house faced east, and the water came down from the right side, from the south, toward the altar.</w:t>
      </w:r>
    </w:p>
    <w:p>
      <w:r>
        <w:rPr>
          <w:b/>
        </w:rPr>
        <w:t xml:space="preserve">2 </w:t>
      </w:r>
      <w:r>
        <w:t xml:space="preserve">And he led me out by way of the north gate and brought me around outside by way of the gate of the court facing east, and behold, the water was flowing down from the right side.</w:t>
      </w:r>
    </w:p>
    <w:p>
      <w:r>
        <w:rPr>
          <w:b/>
        </w:rPr>
        <w:t xml:space="preserve">3 </w:t>
      </w:r>
      <w:r>
        <w:t xml:space="preserve">As a man went out opposite, with a measuring line in his hand, he measured a thousand with the measure, and he passed through the water, water of release.</w:t>
      </w:r>
    </w:p>
    <w:p>
      <w:r>
        <w:rPr>
          <w:b/>
        </w:rPr>
        <w:t xml:space="preserve">4 </w:t>
      </w:r>
      <w:r>
        <w:t xml:space="preserve">And he measured a thousand and passed through the water, water up to the thighs; and he measured a thousand and passed through water up to the waist.</w:t>
      </w:r>
    </w:p>
    <w:p>
      <w:r>
        <w:rPr>
          <w:b/>
        </w:rPr>
        <w:t xml:space="preserve">5 </w:t>
      </w:r>
      <w:r>
        <w:t xml:space="preserve">And he measured a thousand, and he could not pass through, because the water was swelling like the roar of a torrent that they will not cross.</w:t>
      </w:r>
    </w:p>
    <w:p>
      <w:r>
        <w:rPr>
          <w:b/>
        </w:rPr>
        <w:t xml:space="preserve">6 </w:t>
      </w:r>
      <w:r>
        <w:t xml:space="preserve">And he said to me, Have you seen, son of man? And he led me to the bank of the river.</w:t>
      </w:r>
    </w:p>
    <w:p>
      <w:r>
        <w:rPr>
          <w:b/>
        </w:rPr>
        <w:t xml:space="preserve">7 </w:t>
      </w:r>
      <w:r>
        <w:t xml:space="preserve">As I turned back, behold, on the bank</w:t>
      </w:r>
      <w:r>
        <w:rPr>
          <w:rStyle w:val="FootnoteReference"/>
        </w:rPr>
        <w:footnoteReference w:id="13276"/>
      </w:r>
      <w:r>
        <w:t xml:space="preserve"> of the river were very many trees, on this side and on that side.</w:t>
      </w:r>
    </w:p>
    <w:p>
      <w:r>
        <w:rPr>
          <w:b/>
        </w:rPr>
        <w:t xml:space="preserve">8 </w:t>
      </w:r>
      <w:r>
        <w:t xml:space="preserve">And he said to me, This water that goes out into the Galilee toward the east and goes down into the Arabah and comes to the sea, to the water of the outlet, will heal the waters</w:t>
      </w:r>
      <w:r>
        <w:rPr>
          <w:rStyle w:val="FootnoteReference"/>
        </w:rPr>
        <w:footnoteReference w:id="13277"/>
      </w:r>
      <w:r>
        <w:t xml:space="preserve">.</w:t>
      </w:r>
    </w:p>
    <w:p>
      <w:r>
        <w:rPr>
          <w:b/>
        </w:rPr>
        <w:t xml:space="preserve">9 </w:t>
      </w:r>
      <w:r>
        <w:t xml:space="preserve">And every living soul of the living creatures that swarm, wherever the river comes, will live; and there will be very many fish there, because this water comes there and will heal, and everything wherever the river comes will live.</w:t>
      </w:r>
    </w:p>
    <w:p>
      <w:r>
        <w:rPr>
          <w:b/>
        </w:rPr>
        <w:t xml:space="preserve">10 </w:t>
      </w:r>
      <w:r>
        <w:t xml:space="preserve">And fishers</w:t>
      </w:r>
      <w:r>
        <w:rPr>
          <w:rStyle w:val="FootnoteReference"/>
        </w:rPr>
        <w:footnoteReference w:id="13278"/>
      </w:r>
      <w:r>
        <w:t xml:space="preserve"> will stand there from Engedi to Ainagalim; it will be a spreading-place of nets. And its fish will be like the fish of the great sea, a very great multitude.</w:t>
      </w:r>
    </w:p>
    <w:p>
      <w:r>
        <w:rPr>
          <w:b/>
        </w:rPr>
        <w:t xml:space="preserve">11 </w:t>
      </w:r>
      <w:r>
        <w:t xml:space="preserve">But in its outlet and in its return and in its overflow they will not be healed; they are given</w:t>
      </w:r>
      <w:r>
        <w:rPr>
          <w:rStyle w:val="FootnoteReference"/>
        </w:rPr>
        <w:footnoteReference w:id="13279"/>
      </w:r>
      <w:r>
        <w:t xml:space="preserve"> to salt.</w:t>
      </w:r>
    </w:p>
    <w:p>
      <w:r>
        <w:rPr>
          <w:b/>
        </w:rPr>
        <w:t xml:space="preserve">12 </w:t>
      </w:r>
      <w:r>
        <w:t xml:space="preserve">And by the river</w:t>
      </w:r>
      <w:r>
        <w:rPr>
          <w:rStyle w:val="FootnoteReference"/>
        </w:rPr>
        <w:footnoteReference w:id="13280"/>
      </w:r>
      <w:r>
        <w:t xml:space="preserve">, on its bank, on this side and on that side, every edible tree will spring up; its leaf will not grow old, nor will its fruit fail. In its freshness it will produce firstfruits, because their waters come out from the holy places, and their fruit will be for food and their growth for healing.</w:t>
      </w:r>
    </w:p>
    <w:p>
      <w:r>
        <w:rPr>
          <w:b/>
        </w:rPr>
        <w:t xml:space="preserve">13 </w:t>
      </w:r>
      <w:r>
        <w:t xml:space="preserve">Thus says the Lord God: These are the boundaries by which you will inherit the land for the twelve tribes of the sons of Israel, with an added measuring line.</w:t>
      </w:r>
    </w:p>
    <w:p>
      <w:r>
        <w:rPr>
          <w:b/>
        </w:rPr>
        <w:t xml:space="preserve">14 </w:t>
      </w:r>
      <w:r>
        <w:t xml:space="preserve">And you will inherit it, each as his brother, the land concerning which I lifted my hand to give it to their fathers, and this land will fall</w:t>
      </w:r>
      <w:r>
        <w:rPr>
          <w:rStyle w:val="FootnoteReference"/>
        </w:rPr>
        <w:footnoteReference w:id="13281"/>
      </w:r>
      <w:r>
        <w:t xml:space="preserve"> to you as inheritance.</w:t>
      </w:r>
    </w:p>
    <w:p>
      <w:r>
        <w:rPr>
          <w:b/>
        </w:rPr>
        <w:t xml:space="preserve">15 </w:t>
      </w:r>
      <w:r>
        <w:t xml:space="preserve">And these are the boundaries of the land toward the north: from the great sea that descends and skirts the entrance of Hamath, Zedad</w:t>
      </w:r>
      <w:r>
        <w:rPr>
          <w:rStyle w:val="FootnoteReference"/>
        </w:rPr>
        <w:footnoteReference w:id="13282"/>
      </w:r>
      <w:r>
        <w:t xml:space="preserve">,</w:t>
      </w:r>
      <w:r>
        <w:rPr>
          <w:rStyle w:val="FootnoteReference"/>
        </w:rPr>
        <w:footnoteReference w:id="13283"/>
      </w:r>
    </w:p>
    <w:p>
      <w:r>
        <w:rPr>
          <w:b/>
        </w:rPr>
        <w:t xml:space="preserve">16 </w:t>
      </w:r>
      <w:r>
        <w:t xml:space="preserve">Berotha, Sebraim, Elam, between the borders of Damascus and between the borders of Hamath</w:t>
      </w:r>
      <w:r>
        <w:rPr>
          <w:rStyle w:val="FootnoteReference"/>
        </w:rPr>
        <w:footnoteReference w:id="13284"/>
      </w:r>
      <w:r>
        <w:t xml:space="preserve">, court of Hauran</w:t>
      </w:r>
      <w:r>
        <w:rPr>
          <w:rStyle w:val="FootnoteReference"/>
        </w:rPr>
        <w:footnoteReference w:id="13285"/>
      </w:r>
      <w:r>
        <w:t xml:space="preserve">, which places are above the borders of Hauran.</w:t>
      </w:r>
    </w:p>
    <w:p>
      <w:r>
        <w:rPr>
          <w:b/>
        </w:rPr>
        <w:t xml:space="preserve">17 </w:t>
      </w:r>
      <w:r>
        <w:t xml:space="preserve">These are the boundaries from the sea, from the court of Hazar-enan</w:t>
      </w:r>
      <w:r>
        <w:rPr>
          <w:rStyle w:val="FootnoteReference"/>
        </w:rPr>
        <w:footnoteReference w:id="13286"/>
      </w:r>
      <w:r>
        <w:t xml:space="preserve">, the borders of Damascus, and the parts toward the north.</w:t>
      </w:r>
    </w:p>
    <w:p>
      <w:r>
        <w:rPr>
          <w:b/>
        </w:rPr>
        <w:t xml:space="preserve">18 </w:t>
      </w:r>
      <w:r>
        <w:t xml:space="preserve">And the parts toward the east are between Hauran and Damascus and between Gileaditis</w:t>
      </w:r>
      <w:r>
        <w:rPr>
          <w:rStyle w:val="FootnoteReference"/>
        </w:rPr>
        <w:footnoteReference w:id="13287"/>
      </w:r>
      <w:r>
        <w:t xml:space="preserve"> and the land of Israel; the Jordan</w:t>
      </w:r>
      <w:r>
        <w:rPr>
          <w:rStyle w:val="FootnoteReference"/>
        </w:rPr>
        <w:footnoteReference w:id="13288"/>
      </w:r>
      <w:r>
        <w:t xml:space="preserve"> marks the boundary to the sea east of the City of Palms. These are the parts toward the east.</w:t>
      </w:r>
    </w:p>
    <w:p>
      <w:r>
        <w:rPr>
          <w:b/>
        </w:rPr>
        <w:t xml:space="preserve">19 </w:t>
      </w:r>
      <w:r>
        <w:t xml:space="preserve">And the part toward the south and southwest runs from Teman and the City of Palms to the water of Meribah</w:t>
      </w:r>
      <w:r>
        <w:rPr>
          <w:rStyle w:val="FootnoteReference"/>
        </w:rPr>
        <w:footnoteReference w:id="13289"/>
      </w:r>
      <w:r>
        <w:t xml:space="preserve"> Kadesh, reaching to the great sea. This is the part toward the south and southwest.</w:t>
      </w:r>
    </w:p>
    <w:p>
      <w:r>
        <w:rPr>
          <w:b/>
        </w:rPr>
        <w:t xml:space="preserve">20 </w:t>
      </w:r>
      <w:r>
        <w:t xml:space="preserve">This part of the great sea marks the boundary as far as opposite the entrance of Hamath, as far as its entrance. These are the parts toward the sea at Hamath.</w:t>
      </w:r>
    </w:p>
    <w:p>
      <w:r>
        <w:rPr>
          <w:b/>
        </w:rPr>
        <w:t xml:space="preserve">21 </w:t>
      </w:r>
      <w:r>
        <w:t xml:space="preserve">And you will divide this land for them, by the tribes of Israel.</w:t>
      </w:r>
    </w:p>
    <w:p>
      <w:r>
        <w:rPr>
          <w:b/>
        </w:rPr>
        <w:t xml:space="preserve">22 </w:t>
      </w:r>
      <w:r>
        <w:t xml:space="preserve">You will cast it by lot for yourselves and for the resident aliens dwelling in the midst of you, who have begotten sons in the midst of you, and they will be to you as native-born among the sons of Israel; they will eat with you in inheritance in the midst of the tribes of Israel.</w:t>
      </w:r>
    </w:p>
    <w:p>
      <w:r>
        <w:rPr>
          <w:b/>
        </w:rPr>
        <w:t xml:space="preserve">23 </w:t>
      </w:r>
      <w:r>
        <w:t xml:space="preserve">And they will be in a tribe of resident aliens, among the resident aliens who are with them; there you will give them inheritance, says the Lord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48</w:t>
      </w:r>
    </w:p>
    <w:p>
      <w:r>
        <w:rPr>
          <w:b/>
        </w:rPr>
        <w:t xml:space="preserve">1 </w:t>
      </w:r>
      <w:r>
        <w:t xml:space="preserve">And these are the names</w:t>
      </w:r>
      <w:r>
        <w:rPr>
          <w:rStyle w:val="FootnoteReference"/>
        </w:rPr>
        <w:footnoteReference w:id="13290"/>
      </w:r>
      <w:r>
        <w:t xml:space="preserve"> of the tribes. From the north end, by the side of the descent that skirts the entrance of Hamath, the court of Hazar-enan, the border of Damascus northward, by the side of the court of Hamath, they will have the parts toward the east as far as the sea: Dan, one portion.</w:t>
      </w:r>
    </w:p>
    <w:p>
      <w:r>
        <w:rPr>
          <w:b/>
        </w:rPr>
        <w:t xml:space="preserve">2 </w:t>
      </w:r>
      <w:r>
        <w:t xml:space="preserve">And beside the border of Dan, from the east side to the side toward the sea, Asher</w:t>
      </w:r>
      <w:r>
        <w:rPr>
          <w:rStyle w:val="FootnoteReference"/>
        </w:rPr>
        <w:footnoteReference w:id="13291"/>
      </w:r>
      <w:r>
        <w:t xml:space="preserve">, one portion.</w:t>
      </w:r>
    </w:p>
    <w:p>
      <w:r>
        <w:rPr>
          <w:b/>
        </w:rPr>
        <w:t xml:space="preserve">3 </w:t>
      </w:r>
      <w:r>
        <w:t xml:space="preserve">And beside the border of Asher, from the east side to the side toward the sea, Naphtali</w:t>
      </w:r>
      <w:r>
        <w:rPr>
          <w:rStyle w:val="FootnoteReference"/>
        </w:rPr>
        <w:footnoteReference w:id="13292"/>
      </w:r>
      <w:r>
        <w:t xml:space="preserve">, one portion.</w:t>
      </w:r>
    </w:p>
    <w:p>
      <w:r>
        <w:rPr>
          <w:b/>
        </w:rPr>
        <w:t xml:space="preserve">4 </w:t>
      </w:r>
      <w:r>
        <w:t xml:space="preserve">And beside the border of Naphtali, from the east side to the side toward the sea, Manasseh</w:t>
      </w:r>
      <w:r>
        <w:rPr>
          <w:rStyle w:val="FootnoteReference"/>
        </w:rPr>
        <w:footnoteReference w:id="13293"/>
      </w:r>
      <w:r>
        <w:t xml:space="preserve">, one portion.</w:t>
      </w:r>
    </w:p>
    <w:p>
      <w:r>
        <w:rPr>
          <w:b/>
        </w:rPr>
        <w:t xml:space="preserve">5 </w:t>
      </w:r>
      <w:r>
        <w:t xml:space="preserve">And beside the border of Manasseh, from the east side to the side toward the sea, Ephraim</w:t>
      </w:r>
      <w:r>
        <w:rPr>
          <w:rStyle w:val="FootnoteReference"/>
        </w:rPr>
        <w:footnoteReference w:id="13294"/>
      </w:r>
      <w:r>
        <w:t xml:space="preserve">, one portion.</w:t>
      </w:r>
    </w:p>
    <w:p>
      <w:r>
        <w:rPr>
          <w:b/>
        </w:rPr>
        <w:t xml:space="preserve">6 </w:t>
      </w:r>
      <w:r>
        <w:t xml:space="preserve">And beside the border of Ephraim, from the east side to the side toward the sea, Reuben</w:t>
      </w:r>
      <w:r>
        <w:rPr>
          <w:rStyle w:val="FootnoteReference"/>
        </w:rPr>
        <w:footnoteReference w:id="13295"/>
      </w:r>
      <w:r>
        <w:t xml:space="preserve">, one portion.</w:t>
      </w:r>
    </w:p>
    <w:p>
      <w:r>
        <w:rPr>
          <w:b/>
        </w:rPr>
        <w:t xml:space="preserve">7 </w:t>
      </w:r>
      <w:r>
        <w:t xml:space="preserve">And beside the border of Reuben, from the east side to the side toward the sea, Judah</w:t>
      </w:r>
      <w:r>
        <w:rPr>
          <w:rStyle w:val="FootnoteReference"/>
        </w:rPr>
        <w:footnoteReference w:id="13296"/>
      </w:r>
      <w:r>
        <w:t xml:space="preserve">, one portion.</w:t>
      </w:r>
    </w:p>
    <w:p>
      <w:r>
        <w:rPr>
          <w:b/>
        </w:rPr>
        <w:t xml:space="preserve">8 </w:t>
      </w:r>
      <w:r>
        <w:t xml:space="preserve">And beside the border of Judah, from the east side to the side toward the sea, will be the first portion of the set-apart gift, twenty-five thousand in breadth and in length like one of the tribal portions, from the east side and as far as the side toward the sea, and the holy place will be in the midst of them.</w:t>
      </w:r>
    </w:p>
    <w:p>
      <w:r>
        <w:rPr>
          <w:b/>
        </w:rPr>
        <w:t xml:space="preserve">9 </w:t>
      </w:r>
      <w:r>
        <w:t xml:space="preserve">The first portion that they will set apart to the Lord: twenty-five thousand in length and twenty-five thousand in breadth.</w:t>
      </w:r>
    </w:p>
    <w:p>
      <w:r>
        <w:rPr>
          <w:b/>
        </w:rPr>
        <w:t xml:space="preserve">10 </w:t>
      </w:r>
      <w:r>
        <w:t xml:space="preserve">Of these will be the first portion of the holy things for the priests</w:t>
      </w:r>
      <w:r>
        <w:rPr>
          <w:rStyle w:val="FootnoteReference"/>
        </w:rPr>
        <w:footnoteReference w:id="13297"/>
      </w:r>
      <w:r>
        <w:t xml:space="preserve">: toward the north, twenty-five thousand; toward the sea, ten thousand in breadth; toward the east, ten thousand in breadth; and toward the south, twenty-five thousand in length; and the mountain of the holy things will be in the midst of it.</w:t>
      </w:r>
    </w:p>
    <w:p>
      <w:r>
        <w:rPr>
          <w:b/>
        </w:rPr>
        <w:t xml:space="preserve">11 </w:t>
      </w:r>
      <w:r>
        <w:t xml:space="preserve">It will belong to the consecrated priests, sons of Zadok, who keep the charges of the house, who did not go astray in the wandering of the sons</w:t>
      </w:r>
      <w:r>
        <w:rPr>
          <w:rStyle w:val="FootnoteReference"/>
        </w:rPr>
        <w:footnoteReference w:id="13298"/>
      </w:r>
      <w:r>
        <w:t xml:space="preserve"> of Israel, as the Levites went astray.</w:t>
      </w:r>
    </w:p>
    <w:p>
      <w:r>
        <w:rPr>
          <w:b/>
        </w:rPr>
        <w:t xml:space="preserve">12 </w:t>
      </w:r>
      <w:r>
        <w:t xml:space="preserve">And the first portion given to them from the first portions of the land will be holy of holies, from the borders of the Levites.</w:t>
      </w:r>
    </w:p>
    <w:p>
      <w:r>
        <w:rPr>
          <w:b/>
        </w:rPr>
        <w:t xml:space="preserve">13 </w:t>
      </w:r>
      <w:r>
        <w:t xml:space="preserve">And for the Levites, next to the borders of the priests, length twenty-five thousand and breadth ten thousand; the whole length twenty-five thousand and breadth twenty thousand.</w:t>
      </w:r>
    </w:p>
    <w:p>
      <w:r>
        <w:rPr>
          <w:b/>
        </w:rPr>
        <w:t xml:space="preserve">14 </w:t>
      </w:r>
      <w:r>
        <w:t xml:space="preserve">No part of it will be sold, nor measured out, nor will the firstfruits of the land be removed, because it is holy to the Lord.</w:t>
      </w:r>
    </w:p>
    <w:p>
      <w:r>
        <w:rPr>
          <w:b/>
        </w:rPr>
        <w:t xml:space="preserve">15 </w:t>
      </w:r>
      <w:r>
        <w:t xml:space="preserve">And the five thousand left over in breadth beside the twenty-five thousand will be a suburb for the city</w:t>
      </w:r>
      <w:r>
        <w:rPr>
          <w:rStyle w:val="FootnoteReference"/>
        </w:rPr>
        <w:footnoteReference w:id="13299"/>
      </w:r>
      <w:r>
        <w:t xml:space="preserve">, for dwelling and for its open space, and the city will be in the midst of it.</w:t>
      </w:r>
    </w:p>
    <w:p>
      <w:r>
        <w:rPr>
          <w:b/>
        </w:rPr>
        <w:t xml:space="preserve">16 </w:t>
      </w:r>
      <w:r>
        <w:t xml:space="preserve">And these are its measures: from the north side, four thousand five hundred; from the south side, four thousand five hundred; from the east side, four thousand five hundred; and from the side toward the sea, four thousand five hundred.</w:t>
      </w:r>
    </w:p>
    <w:p>
      <w:r>
        <w:rPr>
          <w:b/>
        </w:rPr>
        <w:t xml:space="preserve">17 </w:t>
      </w:r>
      <w:r>
        <w:t xml:space="preserve">And there will be open space for the city: toward the north, two hundred fifty; toward the south, two hundred fifty; toward the east, two hundred fifty; and toward the sea, two hundred fifty.</w:t>
      </w:r>
    </w:p>
    <w:p>
      <w:r>
        <w:rPr>
          <w:b/>
        </w:rPr>
        <w:t xml:space="preserve">18 </w:t>
      </w:r>
      <w:r>
        <w:t xml:space="preserve">And the remaining length beside the first portions of the holy things, ten thousand toward the east and ten thousand toward the sea, will be the first portions of the holy place, and its produce will be for bread for those working the city.</w:t>
      </w:r>
    </w:p>
    <w:p>
      <w:r>
        <w:rPr>
          <w:b/>
        </w:rPr>
        <w:t xml:space="preserve">19 </w:t>
      </w:r>
      <w:r>
        <w:t xml:space="preserve">And those working the city will work for it out of all the tribes of Israel.</w:t>
      </w:r>
    </w:p>
    <w:p>
      <w:r>
        <w:rPr>
          <w:b/>
        </w:rPr>
        <w:t xml:space="preserve">20 </w:t>
      </w:r>
      <w:r>
        <w:t xml:space="preserve">The whole first portion, twenty-five thousand by twenty-five thousand, square: from it you will set apart the first portion of the holy things from the possession of the city.</w:t>
      </w:r>
    </w:p>
    <w:p>
      <w:r>
        <w:rPr>
          <w:b/>
        </w:rPr>
        <w:t xml:space="preserve">21 </w:t>
      </w:r>
      <w:r>
        <w:t xml:space="preserve">And the remainder will belong to the ruler, on this side and on that side, from the first portions of the holy place and for the possession of the city, along the twenty-five thousand in length as far as the borders toward the east, and toward the sea along the twenty-five thousand as far as the borders toward the sea, next to the portions of the ruler; and the first portion of the holy things and the sanctuary of the house will be in the midst of it.</w:t>
      </w:r>
    </w:p>
    <w:p>
      <w:r>
        <w:rPr>
          <w:b/>
        </w:rPr>
        <w:t xml:space="preserve">22 </w:t>
      </w:r>
      <w:r>
        <w:t xml:space="preserve">And from the possession of the Levites and from the possession of the city, in the midst of what belongs to the rulers, between the borders of Judah and between the borders of Benjamin, it will belong to the rulers.</w:t>
      </w:r>
    </w:p>
    <w:p>
      <w:r>
        <w:rPr>
          <w:b/>
        </w:rPr>
        <w:t xml:space="preserve">23 </w:t>
      </w:r>
      <w:r>
        <w:t xml:space="preserve">And for the rest of the tribes, from the east side to the side toward the sea, Benjamin</w:t>
      </w:r>
      <w:r>
        <w:rPr>
          <w:rStyle w:val="FootnoteReference"/>
        </w:rPr>
        <w:footnoteReference w:id="13300"/>
      </w:r>
      <w:r>
        <w:t xml:space="preserve">, one portion.</w:t>
      </w:r>
    </w:p>
    <w:p>
      <w:r>
        <w:rPr>
          <w:b/>
        </w:rPr>
        <w:t xml:space="preserve">24 </w:t>
      </w:r>
      <w:r>
        <w:t xml:space="preserve">And beside the border of Benjamin, from the east side to the side toward the sea, Simeon</w:t>
      </w:r>
      <w:r>
        <w:rPr>
          <w:rStyle w:val="FootnoteReference"/>
        </w:rPr>
        <w:footnoteReference w:id="13301"/>
      </w:r>
      <w:r>
        <w:t xml:space="preserve">, one portion.</w:t>
      </w:r>
    </w:p>
    <w:p>
      <w:r>
        <w:rPr>
          <w:b/>
        </w:rPr>
        <w:t xml:space="preserve">25 </w:t>
      </w:r>
      <w:r>
        <w:t xml:space="preserve">And beside the border of Simeon, from the east side to the side toward the sea, Issachar</w:t>
      </w:r>
      <w:r>
        <w:rPr>
          <w:rStyle w:val="FootnoteReference"/>
        </w:rPr>
        <w:footnoteReference w:id="13302"/>
      </w:r>
      <w:r>
        <w:t xml:space="preserve">, one portion.</w:t>
      </w:r>
    </w:p>
    <w:p>
      <w:r>
        <w:rPr>
          <w:b/>
        </w:rPr>
        <w:t xml:space="preserve">26 </w:t>
      </w:r>
      <w:r>
        <w:t xml:space="preserve">And beside the border of Issachar, from the east side to the side toward the sea, Zebulun</w:t>
      </w:r>
      <w:r>
        <w:rPr>
          <w:rStyle w:val="FootnoteReference"/>
        </w:rPr>
        <w:footnoteReference w:id="13303"/>
      </w:r>
      <w:r>
        <w:t xml:space="preserve">, one portion.</w:t>
      </w:r>
    </w:p>
    <w:p>
      <w:r>
        <w:rPr>
          <w:b/>
        </w:rPr>
        <w:t xml:space="preserve">27 </w:t>
      </w:r>
      <w:r>
        <w:t xml:space="preserve">And beside the border of Zebulun, from the east side to the side toward the sea, Gad, one portion.</w:t>
      </w:r>
    </w:p>
    <w:p>
      <w:r>
        <w:rPr>
          <w:b/>
        </w:rPr>
        <w:t xml:space="preserve">28 </w:t>
      </w:r>
      <w:r>
        <w:t xml:space="preserve">And beside the border of Gad, as far as the parts toward the southwest, its boundaries will be from Teman and the water of Meribah Kadesh, for an inheritance, as far as the great sea</w:t>
      </w:r>
      <w:r>
        <w:rPr>
          <w:rStyle w:val="FootnoteReference"/>
        </w:rPr>
        <w:footnoteReference w:id="13304"/>
      </w:r>
      <w:r>
        <w:t xml:space="preserve">.</w:t>
      </w:r>
    </w:p>
    <w:p>
      <w:r>
        <w:rPr>
          <w:b/>
        </w:rPr>
        <w:t xml:space="preserve">29 </w:t>
      </w:r>
      <w:r>
        <w:t xml:space="preserve">This is the land that you will assign by lot to the tribes of Israel, and these are their allotments, says the Lord God.</w:t>
      </w:r>
    </w:p>
    <w:p>
      <w:r>
        <w:rPr>
          <w:b/>
        </w:rPr>
        <w:t xml:space="preserve">30 </w:t>
      </w:r>
      <w:r>
        <w:t xml:space="preserve">And these are the outlets of the city: those toward the north, four</w:t>
      </w:r>
      <w:r>
        <w:rPr>
          <w:rStyle w:val="FootnoteReference"/>
        </w:rPr>
        <w:footnoteReference w:id="13305"/>
      </w:r>
      <w:r>
        <w:t xml:space="preserve"> thousand five hundred by measure.</w:t>
      </w:r>
    </w:p>
    <w:p>
      <w:r>
        <w:rPr>
          <w:b/>
        </w:rPr>
        <w:t xml:space="preserve">31 </w:t>
      </w:r>
      <w:r>
        <w:t xml:space="preserve">And the gates of the city are named after the tribes of Israel: three gates toward the north, the Gate of Reuben, one, and the Gate of Judah, one, and the Gate of Levi, one.</w:t>
      </w:r>
    </w:p>
    <w:p>
      <w:r>
        <w:rPr>
          <w:b/>
        </w:rPr>
        <w:t xml:space="preserve">32 </w:t>
      </w:r>
      <w:r>
        <w:t xml:space="preserve">And toward the east, four thousand five hundred, and three gates: the Gate of Joseph, one, and the Gate of Benjamin, one, and the Gate of Dan, one.</w:t>
      </w:r>
    </w:p>
    <w:p>
      <w:r>
        <w:rPr>
          <w:b/>
        </w:rPr>
        <w:t xml:space="preserve">33 </w:t>
      </w:r>
      <w:r>
        <w:t xml:space="preserve">And toward the south, four thousand five hundred by measure, and three gates: the Gate of Simeon, one, and the Gate of Issachar, one, and the Gate of Zebulun, one.</w:t>
      </w:r>
    </w:p>
    <w:p>
      <w:r>
        <w:rPr>
          <w:b/>
        </w:rPr>
        <w:t xml:space="preserve">34 </w:t>
      </w:r>
      <w:r>
        <w:t xml:space="preserve">And toward the sea, four thousand five hundred by measure, and three gates: the Gate of Gad, one, and the Gate of Asher, one, and the Gate of Naphtali, one.</w:t>
      </w:r>
    </w:p>
    <w:p>
      <w:r>
        <w:rPr>
          <w:b/>
        </w:rPr>
        <w:t xml:space="preserve">35 </w:t>
      </w:r>
      <w:r>
        <w:t xml:space="preserve">A circuit of eighteen thousand, and the name</w:t>
      </w:r>
      <w:r>
        <w:rPr>
          <w:rStyle w:val="FootnoteReference"/>
        </w:rPr>
        <w:footnoteReference w:id="13306"/>
      </w:r>
      <w:r>
        <w:t xml:space="preserve"> of the city, from the day it comes to be, will be its name.</w:t>
      </w:r>
      <w:r>
        <w:rPr>
          <w:rStyle w:val="FootnoteReference"/>
        </w:rPr>
        <w:footnoteReference w:id="13307"/>
      </w:r>
      <w:r>
        <w:rPr>
          <w:rStyle w:val="FootnoteReference"/>
        </w:rPr>
        <w:footnoteReference w:id="13308"/>
      </w:r>
    </w:p>
    <w:p>
      <w:r>
        <w:br w:type="page"/>
      </w:r>
    </w:p>
    <w:p>
      <w:pPr>
        <w:pStyle w:val="Heading1"/>
      </w:pPr>
      <w:r>
        <w:t xml:space="preserve">Daniel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In the third year of Jehoiakim of Judah, Nebuchadnezzar king of Babylon came to Jerusalem and besieged it.</w:t>
      </w:r>
    </w:p>
    <w:p>
      <w:r>
        <w:rPr>
          <w:b/>
        </w:rPr>
        <w:t xml:space="preserve">2 </w:t>
      </w:r>
      <w:r>
        <w:t xml:space="preserve">And the Lord</w:t>
      </w:r>
      <w:r>
        <w:rPr>
          <w:rStyle w:val="FootnoteReference"/>
        </w:rPr>
        <w:footnoteReference w:id="13309"/>
      </w:r>
      <w:r>
        <w:t xml:space="preserve"> gave it into his hands: Jehoiakim king of Judah, and some of the holy vessels of the Lord; and he carried them to Babylon and placed them in his idol-house.</w:t>
      </w:r>
    </w:p>
    <w:p>
      <w:r>
        <w:rPr>
          <w:b/>
        </w:rPr>
        <w:t xml:space="preserve">3 </w:t>
      </w:r>
      <w:r>
        <w:t xml:space="preserve">And the king said to Ashpenaz</w:t>
      </w:r>
      <w:r>
        <w:rPr>
          <w:rStyle w:val="FootnoteReference"/>
        </w:rPr>
        <w:footnoteReference w:id="13310"/>
      </w:r>
      <w:r>
        <w:t xml:space="preserve">, his own chief eunuch, to bring him some from the sons of the leading men of Israel and from the royal line and from the chosen ones,</w:t>
      </w:r>
    </w:p>
    <w:p>
      <w:r>
        <w:rPr>
          <w:b/>
        </w:rPr>
        <w:t xml:space="preserve">4 </w:t>
      </w:r>
      <w:r>
        <w:t xml:space="preserve">young men without blemish and good in appearance, skilled in all wisdom and learned in letters and intelligent and wise, and strong enough to be in the house of the king, and to teach them letters and the Chaldean dialect.</w:t>
      </w:r>
    </w:p>
    <w:p>
      <w:r>
        <w:rPr>
          <w:b/>
        </w:rPr>
        <w:t xml:space="preserve">5 </w:t>
      </w:r>
      <w:r>
        <w:t xml:space="preserve">And to give them an assigned portion from the house of the king each day, and from the royal table, and from the wine that the king drinks, and to train them three years, and after these things to set them before the king.</w:t>
      </w:r>
    </w:p>
    <w:p>
      <w:r>
        <w:rPr>
          <w:b/>
        </w:rPr>
        <w:t xml:space="preserve">6 </w:t>
      </w:r>
      <w:r>
        <w:t xml:space="preserve">And among them from the line of the sons of Israel, those from Judah, were Daniel</w:t>
      </w:r>
      <w:r>
        <w:rPr>
          <w:rStyle w:val="FootnoteReference"/>
        </w:rPr>
        <w:footnoteReference w:id="13311"/>
      </w:r>
      <w:r>
        <w:t xml:space="preserve">, Hananiah, Mishael, and Azariah.</w:t>
      </w:r>
    </w:p>
    <w:p>
      <w:r>
        <w:rPr>
          <w:b/>
        </w:rPr>
        <w:t xml:space="preserve">7 </w:t>
      </w:r>
      <w:r>
        <w:t xml:space="preserve">And the chief eunuch assigned names to them: to Daniel, Belteshazzar</w:t>
      </w:r>
      <w:r>
        <w:rPr>
          <w:rStyle w:val="FootnoteReference"/>
        </w:rPr>
        <w:footnoteReference w:id="13312"/>
      </w:r>
      <w:r>
        <w:t xml:space="preserve">; to Hananiah</w:t>
      </w:r>
      <w:r>
        <w:rPr>
          <w:rStyle w:val="FootnoteReference"/>
        </w:rPr>
        <w:footnoteReference w:id="13313"/>
      </w:r>
      <w:r>
        <w:t xml:space="preserve">, Shadrach</w:t>
      </w:r>
      <w:r>
        <w:rPr>
          <w:rStyle w:val="FootnoteReference"/>
        </w:rPr>
        <w:footnoteReference w:id="13314"/>
      </w:r>
      <w:r>
        <w:t xml:space="preserve">; to Mishael, Meshach</w:t>
      </w:r>
      <w:r>
        <w:rPr>
          <w:rStyle w:val="FootnoteReference"/>
        </w:rPr>
        <w:footnoteReference w:id="13315"/>
      </w:r>
      <w:r>
        <w:t xml:space="preserve">; and to Azariah, Abednego</w:t>
      </w:r>
      <w:r>
        <w:rPr>
          <w:rStyle w:val="FootnoteReference"/>
        </w:rPr>
        <w:footnoteReference w:id="13316"/>
      </w:r>
      <w:r>
        <w:t xml:space="preserve">.</w:t>
      </w:r>
    </w:p>
    <w:p>
      <w:r>
        <w:rPr>
          <w:b/>
        </w:rPr>
        <w:t xml:space="preserve">8 </w:t>
      </w:r>
      <w:r>
        <w:t xml:space="preserve">And Daniel resolved in his heart not to be defiled by the king's dinner and by the wine that he drank, and he asked the chief eunuch that he might not be defiled.</w:t>
      </w:r>
    </w:p>
    <w:p>
      <w:r>
        <w:rPr>
          <w:b/>
        </w:rPr>
        <w:t xml:space="preserve">9 </w:t>
      </w:r>
      <w:r>
        <w:t xml:space="preserve">And the Lord gave Daniel honor and favor before the chief eunuch.</w:t>
      </w:r>
    </w:p>
    <w:p>
      <w:r>
        <w:rPr>
          <w:b/>
        </w:rPr>
        <w:t xml:space="preserve">10 </w:t>
      </w:r>
      <w:r>
        <w:t xml:space="preserve">And the chief eunuch said to Daniel, I fear</w:t>
      </w:r>
      <w:r>
        <w:rPr>
          <w:rStyle w:val="FootnoteReference"/>
        </w:rPr>
        <w:footnoteReference w:id="13317"/>
      </w:r>
      <w:r>
        <w:t xml:space="preserve"> my lord the king, the one who assigned your food and your drink, lest he see your faces more wasted and weak than the foreign youths fed with you, and I put my own neck in danger.</w:t>
      </w:r>
    </w:p>
    <w:p>
      <w:r>
        <w:rPr>
          <w:b/>
        </w:rPr>
        <w:t xml:space="preserve">11 </w:t>
      </w:r>
      <w:r>
        <w:t xml:space="preserve">And Daniel said to Melzar</w:t>
      </w:r>
      <w:r>
        <w:rPr>
          <w:rStyle w:val="FootnoteReference"/>
        </w:rPr>
        <w:footnoteReference w:id="13318"/>
      </w:r>
      <w:r>
        <w:t xml:space="preserve">, the appointed chief eunuch over Daniel, Hananiah, Mishael, and Azariah,</w:t>
      </w:r>
      <w:r>
        <w:rPr>
          <w:rStyle w:val="FootnoteReference"/>
        </w:rPr>
        <w:footnoteReference w:id="13319"/>
      </w:r>
    </w:p>
    <w:p>
      <w:r>
        <w:rPr>
          <w:b/>
        </w:rPr>
        <w:t xml:space="preserve">12 </w:t>
      </w:r>
      <w:r>
        <w:t xml:space="preserve">Test your servants for ten days, and let it be given us from the legumes of the earth to eat and water to drink.</w:t>
      </w:r>
    </w:p>
    <w:p>
      <w:r>
        <w:rPr>
          <w:b/>
        </w:rPr>
        <w:t xml:space="preserve">13 </w:t>
      </w:r>
      <w:r>
        <w:t xml:space="preserve">And if our appearance proves more worn than the other youths eating from the royal dinner, then do with your servants as you wish.</w:t>
      </w:r>
    </w:p>
    <w:p>
      <w:r>
        <w:rPr>
          <w:b/>
        </w:rPr>
        <w:t xml:space="preserve">14 </w:t>
      </w:r>
      <w:r>
        <w:t xml:space="preserve">And he dealt with them in this way and tested them for ten days.</w:t>
      </w:r>
    </w:p>
    <w:p>
      <w:r>
        <w:rPr>
          <w:b/>
        </w:rPr>
        <w:t xml:space="preserve">15 </w:t>
      </w:r>
      <w:r>
        <w:t xml:space="preserve">And after the ten days their</w:t>
      </w:r>
      <w:r>
        <w:rPr>
          <w:rStyle w:val="FootnoteReference"/>
        </w:rPr>
        <w:footnoteReference w:id="13320"/>
      </w:r>
      <w:r>
        <w:t xml:space="preserve"> appearance seemed good and their bodily condition stronger than all the other youths eating the royal dinner.</w:t>
      </w:r>
    </w:p>
    <w:p>
      <w:r>
        <w:rPr>
          <w:b/>
        </w:rPr>
        <w:t xml:space="preserve">16 </w:t>
      </w:r>
      <w:r>
        <w:t xml:space="preserve">And Melzar kept taking away their dinner and their wine and kept giving them the legumes.</w:t>
      </w:r>
    </w:p>
    <w:p>
      <w:r>
        <w:rPr>
          <w:b/>
        </w:rPr>
        <w:t xml:space="preserve">17 </w:t>
      </w:r>
      <w:r>
        <w:t xml:space="preserve">And to these young men the Lord gave learning and understanding and prudence in every literary art, and to Daniel he gave understanding in every word and vision and dreams and in all wisdom.</w:t>
      </w:r>
    </w:p>
    <w:p>
      <w:r>
        <w:rPr>
          <w:b/>
        </w:rPr>
        <w:t xml:space="preserve">18 </w:t>
      </w:r>
      <w:r>
        <w:t xml:space="preserve">And after these days the king commanded them to be brought in, and they were brought by the chief eunuch to King Nebuchadnezzar.</w:t>
      </w:r>
    </w:p>
    <w:p>
      <w:r>
        <w:rPr>
          <w:b/>
        </w:rPr>
        <w:t xml:space="preserve">19 </w:t>
      </w:r>
      <w:r>
        <w:t xml:space="preserve">And the king spoke with them, and among the wise none was found like Daniel and Hananiah and Mishael and Azariah, and they were before the king.</w:t>
      </w:r>
    </w:p>
    <w:p>
      <w:r>
        <w:rPr>
          <w:b/>
        </w:rPr>
        <w:t xml:space="preserve">20 </w:t>
      </w:r>
      <w:r>
        <w:t xml:space="preserve">And in every matter of speech and understanding and education that the king asked from them, he found them ten times wiser than the sophists and the philosophers in all</w:t>
      </w:r>
      <w:r>
        <w:rPr>
          <w:rStyle w:val="FootnoteReference"/>
        </w:rPr>
        <w:footnoteReference w:id="13321"/>
      </w:r>
      <w:r>
        <w:t xml:space="preserve"> his kingdom, and the king honored them and appointed them rulers and declared them wise beyond all his own in affairs throughout all his land and kingdom.</w:t>
      </w:r>
    </w:p>
    <w:p>
      <w:r>
        <w:rPr>
          <w:b/>
        </w:rPr>
        <w:t xml:space="preserve">21 </w:t>
      </w:r>
      <w:r>
        <w:t xml:space="preserve">And Daniel remained until the first year of the reign of Cyrus king of the Persians.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in the second</w:t>
      </w:r>
      <w:r>
        <w:rPr>
          <w:rStyle w:val="FootnoteReference"/>
        </w:rPr>
        <w:footnoteReference w:id="13322"/>
      </w:r>
      <w:r>
        <w:t xml:space="preserve"> year of the reign of Nebuchadnezzar it happened that the king fell into visions and dreams, and he was troubled in his dream, and his sleep departed from him.</w:t>
      </w:r>
    </w:p>
    <w:p>
      <w:r>
        <w:rPr>
          <w:b/>
        </w:rPr>
        <w:t xml:space="preserve">2 </w:t>
      </w:r>
      <w:r>
        <w:t xml:space="preserve">And the king commanded that the enchanters and the magi and the sorcerers of the Chaldeans be brought in to tell the king his dreams, and when they came they stood beside the king.</w:t>
      </w:r>
    </w:p>
    <w:p>
      <w:r>
        <w:rPr>
          <w:b/>
        </w:rPr>
        <w:t xml:space="preserve">3 </w:t>
      </w:r>
      <w:r>
        <w:t xml:space="preserve">And the king said to them, I have seen a dream, and my spirit is stirred up; therefore I want to know the dream.</w:t>
      </w:r>
    </w:p>
    <w:p>
      <w:r>
        <w:rPr>
          <w:b/>
        </w:rPr>
        <w:t xml:space="preserve">4 </w:t>
      </w:r>
      <w:r>
        <w:t xml:space="preserve">And the Chaldeans spoke to the king in Syriac, O lord king, live forever. Tell</w:t>
      </w:r>
      <w:r>
        <w:rPr>
          <w:rStyle w:val="FootnoteReference"/>
        </w:rPr>
        <w:footnoteReference w:id="13323"/>
      </w:r>
      <w:r>
        <w:t xml:space="preserve"> the dream to your servants, and we will tell its interpretation.</w:t>
      </w:r>
    </w:p>
    <w:p>
      <w:r>
        <w:rPr>
          <w:b/>
        </w:rPr>
        <w:t xml:space="preserve">5 </w:t>
      </w:r>
      <w:r>
        <w:t xml:space="preserve">And the king answered and said to the Chaldeans, If you do not tell me the dream in truth and make its interpretation clear to me, you will be made</w:t>
      </w:r>
      <w:r>
        <w:rPr>
          <w:rStyle w:val="FootnoteReference"/>
        </w:rPr>
        <w:footnoteReference w:id="13324"/>
      </w:r>
      <w:r>
        <w:t xml:space="preserve"> examples, and your possessions will be taken into the royal treasury.</w:t>
      </w:r>
    </w:p>
    <w:p>
      <w:r>
        <w:rPr>
          <w:b/>
        </w:rPr>
        <w:t xml:space="preserve">6 </w:t>
      </w:r>
      <w:r>
        <w:t xml:space="preserve">But if you make the dream plain to me and tell its interpretation, you will receive all kinds of gifts and be honored by me. So make the dream clear to me and judge it.</w:t>
      </w:r>
    </w:p>
    <w:p>
      <w:r>
        <w:rPr>
          <w:b/>
        </w:rPr>
        <w:t xml:space="preserve">7 </w:t>
      </w:r>
      <w:r>
        <w:t xml:space="preserve">And they answered a second time, saying, King, tell the vision, and your servants will judge these things.</w:t>
      </w:r>
    </w:p>
    <w:p>
      <w:r>
        <w:rPr>
          <w:b/>
        </w:rPr>
        <w:t xml:space="preserve">8 </w:t>
      </w:r>
      <w:r>
        <w:t xml:space="preserve">And the king said to them, Truly I know that you are buying time, since you have seen that the matter has departed from me. So as I have commanded, so it will be.</w:t>
      </w:r>
    </w:p>
    <w:p>
      <w:r>
        <w:rPr>
          <w:b/>
        </w:rPr>
        <w:t xml:space="preserve">9 </w:t>
      </w:r>
      <w:r>
        <w:t xml:space="preserve">If you do not tell me the dream in truth and make its interpretation clear, you will fall under death. For you agreed to devise false words against me until the time</w:t>
      </w:r>
      <w:r>
        <w:rPr>
          <w:rStyle w:val="FootnoteReference"/>
        </w:rPr>
        <w:footnoteReference w:id="13325"/>
      </w:r>
      <w:r>
        <w:t xml:space="preserve"> changes. So now if you tell me the word I saw in the night, I will know that you can also declare its judgment.</w:t>
      </w:r>
    </w:p>
    <w:p>
      <w:r>
        <w:rPr>
          <w:b/>
        </w:rPr>
        <w:t xml:space="preserve">10 </w:t>
      </w:r>
      <w:r>
        <w:t xml:space="preserve">And the Chaldeans answered the king, No one on earth can tell the king what he has seen, as you ask. No king or ruler has ever asked such a thing from any wise man or magus or Chaldean.</w:t>
      </w:r>
    </w:p>
    <w:p>
      <w:r>
        <w:rPr>
          <w:b/>
        </w:rPr>
        <w:t xml:space="preserve">11 </w:t>
      </w:r>
      <w:r>
        <w:t xml:space="preserve">And the word you seek, king, is heavy and notable, and no one can declare these things to the king, except perhaps an angel whose dwelling is not with all flesh. So it cannot happen as you think.</w:t>
      </w:r>
    </w:p>
    <w:p>
      <w:r>
        <w:rPr>
          <w:b/>
        </w:rPr>
        <w:t xml:space="preserve">12 </w:t>
      </w:r>
      <w:r>
        <w:t xml:space="preserve">Then the king became gloomy and deeply grieved and ordered that all the wise men of Babylon be brought out.</w:t>
      </w:r>
    </w:p>
    <w:p>
      <w:r>
        <w:rPr>
          <w:b/>
        </w:rPr>
        <w:t xml:space="preserve">13 </w:t>
      </w:r>
      <w:r>
        <w:t xml:space="preserve">And the decree</w:t>
      </w:r>
      <w:r>
        <w:rPr>
          <w:rStyle w:val="FootnoteReference"/>
        </w:rPr>
        <w:footnoteReference w:id="13326"/>
      </w:r>
      <w:r>
        <w:t xml:space="preserve"> went out to kill them all, and Daniel and all those with him were sought so that they might be destroyed together.</w:t>
      </w:r>
    </w:p>
    <w:p>
      <w:r>
        <w:rPr>
          <w:b/>
        </w:rPr>
        <w:t xml:space="preserve">14 </w:t>
      </w:r>
      <w:r>
        <w:t xml:space="preserve">Then Daniel spoke with counsel and judgment to Arioch, chief butcher of the king, the one appointed to bring out the sophists of Babylon.</w:t>
      </w:r>
    </w:p>
    <w:p>
      <w:r>
        <w:rPr>
          <w:b/>
        </w:rPr>
        <w:t xml:space="preserve">15 </w:t>
      </w:r>
      <w:r>
        <w:t xml:space="preserve">And he asked him, saying, For what reason is the decree issued so bitterly by the king? Then Arioch made</w:t>
      </w:r>
      <w:r>
        <w:rPr>
          <w:rStyle w:val="FootnoteReference"/>
        </w:rPr>
        <w:footnoteReference w:id="13327"/>
      </w:r>
      <w:r>
        <w:t xml:space="preserve"> the command known to Daniel.</w:t>
      </w:r>
    </w:p>
    <w:p>
      <w:r>
        <w:rPr>
          <w:b/>
        </w:rPr>
        <w:t xml:space="preserve">16 </w:t>
      </w:r>
      <w:r>
        <w:t xml:space="preserve">And Daniel quickly entered to the king and asked that time be given him by the king, and he would declare everything before the king.</w:t>
      </w:r>
    </w:p>
    <w:p>
      <w:r>
        <w:rPr>
          <w:b/>
        </w:rPr>
        <w:t xml:space="preserve">17 </w:t>
      </w:r>
      <w:r>
        <w:t xml:space="preserve">Then Daniel went away to his house and showed everything to Hananiah</w:t>
      </w:r>
      <w:r>
        <w:rPr>
          <w:rStyle w:val="FootnoteReference"/>
        </w:rPr>
        <w:footnoteReference w:id="13328"/>
      </w:r>
      <w:r>
        <w:t xml:space="preserve"> and Mishael and Azariah, his companions.</w:t>
      </w:r>
    </w:p>
    <w:p>
      <w:r>
        <w:rPr>
          <w:b/>
        </w:rPr>
        <w:t xml:space="preserve">18 </w:t>
      </w:r>
      <w:r>
        <w:t xml:space="preserve">And he ordered fasting and petition and help to be sought from the Lord Most High concerning this mystery, so that Daniel and those with him might not be given over to destruction together with the sophists of Babylon.</w:t>
      </w:r>
    </w:p>
    <w:p>
      <w:r>
        <w:rPr>
          <w:b/>
        </w:rPr>
        <w:t xml:space="preserve">19 </w:t>
      </w:r>
      <w:r>
        <w:t xml:space="preserve">Then the mystery of the king was clearly revealed to Daniel in a vision that night. Then Daniel blessed the Lord Most High.</w:t>
      </w:r>
    </w:p>
    <w:p>
      <w:r>
        <w:rPr>
          <w:b/>
        </w:rPr>
        <w:t xml:space="preserve">20 </w:t>
      </w:r>
      <w:r>
        <w:t xml:space="preserve">And crying aloud he said, Let the name of the great Lord be blessed</w:t>
      </w:r>
      <w:r>
        <w:rPr>
          <w:rStyle w:val="FootnoteReference"/>
        </w:rPr>
        <w:footnoteReference w:id="13329"/>
      </w:r>
      <w:r>
        <w:t xml:space="preserve"> forever, because wisdom and greatness are his.</w:t>
      </w:r>
    </w:p>
    <w:p>
      <w:r>
        <w:rPr>
          <w:b/>
        </w:rPr>
        <w:t xml:space="preserve">21 </w:t>
      </w:r>
      <w:r>
        <w:t xml:space="preserve">And he changes times and seasons, removing kings and setting them up, giving wisdom to wise men and understanding to those who are in knowledge.</w:t>
      </w:r>
    </w:p>
    <w:p>
      <w:r>
        <w:rPr>
          <w:b/>
        </w:rPr>
        <w:t xml:space="preserve">22 </w:t>
      </w:r>
      <w:r>
        <w:t xml:space="preserve">Revealing the deep and dark things, and knowing the things in the darkness and the things in the light; and with him is a dwelling place.</w:t>
      </w:r>
    </w:p>
    <w:p>
      <w:r>
        <w:rPr>
          <w:b/>
        </w:rPr>
        <w:t xml:space="preserve">23 </w:t>
      </w:r>
      <w:r>
        <w:t xml:space="preserve">To you, Lord of my fathers, I give thanks and praise, because you gave me wisdom and understanding, and now you made known to me what I asked, to declare these things to the king.</w:t>
      </w:r>
    </w:p>
    <w:p>
      <w:r>
        <w:rPr>
          <w:b/>
        </w:rPr>
        <w:t xml:space="preserve">24 </w:t>
      </w:r>
      <w:r>
        <w:t xml:space="preserve">Then Daniel entered to Arioch</w:t>
      </w:r>
      <w:r>
        <w:rPr>
          <w:rStyle w:val="FootnoteReference"/>
        </w:rPr>
        <w:footnoteReference w:id="13330"/>
      </w:r>
      <w:r>
        <w:t xml:space="preserve">, the one appointed by the king to kill all the sophists of Babylon, and said to him, Do not destroy the sophists of Babylon. Bring me in before the king, and I will declare each thing to the king.</w:t>
      </w:r>
    </w:p>
    <w:p>
      <w:r>
        <w:rPr>
          <w:b/>
        </w:rPr>
        <w:t xml:space="preserve">25 </w:t>
      </w:r>
      <w:r>
        <w:t xml:space="preserve">Then Arioch hurriedly brought</w:t>
      </w:r>
      <w:r>
        <w:rPr>
          <w:rStyle w:val="FootnoteReference"/>
        </w:rPr>
        <w:footnoteReference w:id="13331"/>
      </w:r>
      <w:r>
        <w:t xml:space="preserve"> Daniel to the king and said to him, I found a wise man from the captivity of the sons of Judah who will declare each thing to the king.</w:t>
      </w:r>
    </w:p>
    <w:p>
      <w:r>
        <w:rPr>
          <w:b/>
        </w:rPr>
        <w:t xml:space="preserve">26 </w:t>
      </w:r>
      <w:r>
        <w:t xml:space="preserve">And the king answered and said to Daniel</w:t>
      </w:r>
      <w:r>
        <w:rPr>
          <w:rStyle w:val="FootnoteReference"/>
        </w:rPr>
        <w:footnoteReference w:id="13332"/>
      </w:r>
      <w:r>
        <w:t xml:space="preserve">, called in Chaldean Belteshazzar, Are you able to declare to me the vision I saw and its interpretation?</w:t>
      </w:r>
    </w:p>
    <w:p>
      <w:r>
        <w:rPr>
          <w:b/>
        </w:rPr>
        <w:t xml:space="preserve">27 </w:t>
      </w:r>
      <w:r>
        <w:t xml:space="preserve">And Daniel cried out before the king and said, The mystery the king saw cannot</w:t>
      </w:r>
      <w:r>
        <w:rPr>
          <w:rStyle w:val="FootnoteReference"/>
        </w:rPr>
        <w:footnoteReference w:id="13333"/>
      </w:r>
      <w:r>
        <w:t xml:space="preserve"> be declared by wise men and sorcerers and enchanters and gazarenes.</w:t>
      </w:r>
    </w:p>
    <w:p>
      <w:r>
        <w:rPr>
          <w:b/>
        </w:rPr>
        <w:t xml:space="preserve">28 </w:t>
      </w:r>
      <w:r>
        <w:t xml:space="preserve">But there is a God</w:t>
      </w:r>
      <w:r>
        <w:rPr>
          <w:rStyle w:val="FootnoteReference"/>
        </w:rPr>
        <w:footnoteReference w:id="13334"/>
      </w:r>
      <w:r>
        <w:t xml:space="preserve"> in heaven revealing mysteries, who made known to King Nebuchadnezzar what must happen in the last days. King, live forever. The dream and vision of your head on your bed are these.</w:t>
      </w:r>
    </w:p>
    <w:p>
      <w:r>
        <w:rPr>
          <w:b/>
        </w:rPr>
        <w:t xml:space="preserve">29 </w:t>
      </w:r>
      <w:r>
        <w:t xml:space="preserve">You, king, lying on your bed, saw all the things that must happen in the last days, and the one revealing mysteries made known to you what must happen.</w:t>
      </w:r>
    </w:p>
    <w:p>
      <w:r>
        <w:rPr>
          <w:b/>
        </w:rPr>
        <w:t xml:space="preserve">30 </w:t>
      </w:r>
      <w:r>
        <w:t xml:space="preserve">And as for me, this mystery was revealed not because of wisdom in me above all men, but so that it might be declared to the king; it was made known to me what you took up in your heart with knowledge.</w:t>
      </w:r>
    </w:p>
    <w:p>
      <w:r>
        <w:rPr>
          <w:b/>
        </w:rPr>
        <w:t xml:space="preserve">31 </w:t>
      </w:r>
      <w:r>
        <w:t xml:space="preserve">And you, king, saw, and behold, one image. And that image was exceedingly great, and its appearance was surpassing; it stood before you, and the appearance of the image was fearsome.</w:t>
      </w:r>
    </w:p>
    <w:p>
      <w:r>
        <w:rPr>
          <w:b/>
        </w:rPr>
        <w:t xml:space="preserve">32 </w:t>
      </w:r>
      <w:r>
        <w:t xml:space="preserve">And its head</w:t>
      </w:r>
      <w:r>
        <w:rPr>
          <w:rStyle w:val="FootnoteReference"/>
        </w:rPr>
        <w:footnoteReference w:id="13335"/>
      </w:r>
      <w:r>
        <w:t xml:space="preserve"> was of fine gold, its chest and arms silver, its belly and thighs bronze,</w:t>
      </w:r>
    </w:p>
    <w:p>
      <w:r>
        <w:rPr>
          <w:b/>
        </w:rPr>
        <w:t xml:space="preserve">33 </w:t>
      </w:r>
      <w:r>
        <w:t xml:space="preserve">and its legs iron, and its feet partly iron and partly earthenware.</w:t>
      </w:r>
    </w:p>
    <w:p>
      <w:r>
        <w:rPr>
          <w:b/>
        </w:rPr>
        <w:t xml:space="preserve">34 </w:t>
      </w:r>
      <w:r>
        <w:t xml:space="preserve">You were looking until a stone</w:t>
      </w:r>
      <w:r>
        <w:rPr>
          <w:rStyle w:val="FootnoteReference"/>
        </w:rPr>
        <w:footnoteReference w:id="13336"/>
      </w:r>
      <w:r>
        <w:t xml:space="preserve"> was cut from a mountain without hands, and it struck the image on the iron and earthenware feet and crushed them.</w:t>
      </w:r>
    </w:p>
    <w:p>
      <w:r>
        <w:rPr>
          <w:b/>
        </w:rPr>
        <w:t xml:space="preserve">35 </w:t>
      </w:r>
      <w:r>
        <w:t xml:space="preserve">Then iron and earthenware and bronze and silver and gold alike became</w:t>
      </w:r>
      <w:r>
        <w:rPr>
          <w:rStyle w:val="FootnoteReference"/>
        </w:rPr>
        <w:footnoteReference w:id="13337"/>
      </w:r>
      <w:r>
        <w:t xml:space="preserve"> as fine as chaff on a threshing floor, and the wind scattered them so that nothing was left of them. And the stone that struck the image became a great mountain and struck all the earth.</w:t>
      </w:r>
    </w:p>
    <w:p>
      <w:r>
        <w:rPr>
          <w:b/>
        </w:rPr>
        <w:t xml:space="preserve">36 </w:t>
      </w:r>
      <w:r>
        <w:t xml:space="preserve">This is the vision, and we will tell its judgment before the king.</w:t>
      </w:r>
    </w:p>
    <w:p>
      <w:r>
        <w:rPr>
          <w:b/>
        </w:rPr>
        <w:t xml:space="preserve">37 </w:t>
      </w:r>
      <w:r>
        <w:t xml:space="preserve">You, king, are king of kings, and to you the Lord of heaven gave the rule and the kingdom and the strength and the honor and the glory.</w:t>
      </w:r>
    </w:p>
    <w:p>
      <w:r>
        <w:rPr>
          <w:b/>
        </w:rPr>
        <w:t xml:space="preserve">38 </w:t>
      </w:r>
      <w:r>
        <w:t xml:space="preserve">In all the inhabited world, from humans and wild beasts and birds of heaven and fish of the sea, he gave them under your hands to rule over all things. You are the golden head.</w:t>
      </w:r>
    </w:p>
    <w:p>
      <w:r>
        <w:rPr>
          <w:b/>
        </w:rPr>
        <w:t xml:space="preserve">39 </w:t>
      </w:r>
      <w:r>
        <w:t xml:space="preserve">And after you another kingdom</w:t>
      </w:r>
      <w:r>
        <w:rPr>
          <w:rStyle w:val="FootnoteReference"/>
        </w:rPr>
        <w:footnoteReference w:id="13338"/>
      </w:r>
      <w:r>
        <w:t xml:space="preserve"> will arise, less than yours, and a third kingdom, another, of bronze, which will rule all the earth.</w:t>
      </w:r>
    </w:p>
    <w:p>
      <w:r>
        <w:rPr>
          <w:b/>
        </w:rPr>
        <w:t xml:space="preserve">40 </w:t>
      </w:r>
      <w:r>
        <w:t xml:space="preserve">And a fourth kingdom, strong like iron, that subdues all things and cuts down every tree, and all the earth will be shaken.</w:t>
      </w:r>
    </w:p>
    <w:p>
      <w:r>
        <w:rPr>
          <w:b/>
        </w:rPr>
        <w:t xml:space="preserve">41 </w:t>
      </w:r>
      <w:r>
        <w:t xml:space="preserve">And as you saw its feet, partly pottery of clay and partly iron, another kingdom will be divided in it, just as you saw the iron mixed with clay pottery.</w:t>
      </w:r>
    </w:p>
    <w:p>
      <w:r>
        <w:rPr>
          <w:b/>
        </w:rPr>
        <w:t xml:space="preserve">42 </w:t>
      </w:r>
      <w:r>
        <w:t xml:space="preserve">And the toes</w:t>
      </w:r>
      <w:r>
        <w:rPr>
          <w:rStyle w:val="FootnoteReference"/>
        </w:rPr>
        <w:footnoteReference w:id="13339"/>
      </w:r>
      <w:r>
        <w:t xml:space="preserve"> of the feet, partly iron and partly earthenware: part of the kingdom will be strong, and part will be broken.</w:t>
      </w:r>
    </w:p>
    <w:p>
      <w:r>
        <w:rPr>
          <w:b/>
        </w:rPr>
        <w:t xml:space="preserve">43 </w:t>
      </w:r>
      <w:r>
        <w:t xml:space="preserve">And as you saw the iron mixed with clay pottery, they will be mixed into human generation, but they will not be of one mind nor favor one another, just as iron cannot be blended with pottery.</w:t>
      </w:r>
    </w:p>
    <w:p>
      <w:r>
        <w:rPr>
          <w:b/>
        </w:rPr>
        <w:t xml:space="preserve">44 </w:t>
      </w:r>
      <w:r>
        <w:t xml:space="preserve">And in the days</w:t>
      </w:r>
      <w:r>
        <w:rPr>
          <w:rStyle w:val="FootnoteReference"/>
        </w:rPr>
        <w:footnoteReference w:id="13340"/>
      </w:r>
      <w:r>
        <w:t xml:space="preserve"> of those kings the God of heaven will set up another kingdom that will last forever and will not be destroyed, and this kingdom will never be left to another nation. It will strike and destroy these kingdoms, and it will stand forever.</w:t>
      </w:r>
    </w:p>
    <w:p>
      <w:r>
        <w:rPr>
          <w:b/>
        </w:rPr>
        <w:t xml:space="preserve">45 </w:t>
      </w:r>
      <w:r>
        <w:t xml:space="preserve">Just as you saw a stone cut from a mountain without hands</w:t>
      </w:r>
      <w:r>
        <w:rPr>
          <w:rStyle w:val="FootnoteReference"/>
        </w:rPr>
        <w:footnoteReference w:id="13341"/>
      </w:r>
      <w:r>
        <w:t xml:space="preserve">, and it crushed the pottery, the iron, the bronze, the silver, and the gold, the great God made known to the king the things that will happen in the last days, and the vision is exact and its judgment is faithful.</w:t>
      </w:r>
    </w:p>
    <w:p>
      <w:r>
        <w:rPr>
          <w:b/>
        </w:rPr>
        <w:t xml:space="preserve">46 </w:t>
      </w:r>
      <w:r>
        <w:t xml:space="preserve">Then King Nebuchadnezzar fell</w:t>
      </w:r>
      <w:r>
        <w:rPr>
          <w:rStyle w:val="FootnoteReference"/>
        </w:rPr>
        <w:footnoteReference w:id="13342"/>
      </w:r>
      <w:r>
        <w:t xml:space="preserve"> on his face to the ground and worshiped Daniel, and ordered sacrifices and libations to be made to him.</w:t>
      </w:r>
    </w:p>
    <w:p>
      <w:r>
        <w:rPr>
          <w:b/>
        </w:rPr>
        <w:t xml:space="preserve">47 </w:t>
      </w:r>
      <w:r>
        <w:t xml:space="preserve">And the king cried out to Daniel and said, Truly your God is the God of gods and the Lord of kings, the one who alone reveals hidden mysteries, because you were able to declare this mystery.</w:t>
      </w:r>
    </w:p>
    <w:p>
      <w:r>
        <w:rPr>
          <w:b/>
        </w:rPr>
        <w:t xml:space="preserve">48 </w:t>
      </w:r>
      <w:r>
        <w:t xml:space="preserve">Then King Nebuchadnezzar magnified Daniel and gave great and many gifts, and appointed him over the affairs of Babylon and designated him ruler</w:t>
      </w:r>
      <w:r>
        <w:rPr>
          <w:rStyle w:val="FootnoteReference"/>
        </w:rPr>
        <w:footnoteReference w:id="13343"/>
      </w:r>
      <w:r>
        <w:t xml:space="preserve"> and leader of all the sophists of Babylon.</w:t>
      </w:r>
    </w:p>
    <w:p>
      <w:r>
        <w:rPr>
          <w:b/>
        </w:rPr>
        <w:t xml:space="preserve">49 </w:t>
      </w:r>
      <w:r>
        <w:t xml:space="preserve">And Daniel asked the king that Shadrach, Meshach, and Abednego be appointed over the affairs of Babylon, and Daniel remained in the royal court.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In the eighteenth year, Nebuchadnezzar the king, governing cities and lands and all those dwelling on the earth from India to Ethiopia, made</w:t>
      </w:r>
      <w:r>
        <w:rPr>
          <w:rStyle w:val="FootnoteReference"/>
        </w:rPr>
        <w:footnoteReference w:id="13344"/>
      </w:r>
      <w:r>
        <w:t xml:space="preserve"> a golden image, its height sixty cubits and its breadth six cubits, and set it in the plain of the enclosure in the land of Babylon.</w:t>
      </w:r>
    </w:p>
    <w:p>
      <w:r>
        <w:rPr>
          <w:b/>
        </w:rPr>
        <w:t xml:space="preserve">2 </w:t>
      </w:r>
      <w:r>
        <w:t xml:space="preserve">And Nebuchadnezzar, king of kings and ruler of the whole inhabited world, sent</w:t>
      </w:r>
      <w:r>
        <w:rPr>
          <w:rStyle w:val="FootnoteReference"/>
        </w:rPr>
        <w:footnoteReference w:id="13345"/>
      </w:r>
      <w:r>
        <w:t xml:space="preserve"> to gather all nations and tribes and languages, satraps, generals, governors, consuls, administrators, those in authority in each land, and all throughout the inhabited world, to come to the dedication of the golden image that Nebuchadnezzar the king had set up.</w:t>
      </w:r>
    </w:p>
    <w:p>
      <w:r>
        <w:rPr>
          <w:b/>
        </w:rPr>
        <w:t xml:space="preserve">3 </w:t>
      </w:r>
      <w:r>
        <w:t xml:space="preserve">And those previously listed stood opposite the image.</w:t>
      </w:r>
    </w:p>
    <w:p>
      <w:r>
        <w:rPr>
          <w:b/>
        </w:rPr>
        <w:t xml:space="preserve">4 </w:t>
      </w:r>
      <w:r>
        <w:t xml:space="preserve">And the herald proclaimed to the crowds, To you it is commanded</w:t>
      </w:r>
      <w:r>
        <w:rPr>
          <w:rStyle w:val="FootnoteReference"/>
        </w:rPr>
        <w:footnoteReference w:id="13346"/>
      </w:r>
      <w:r>
        <w:t xml:space="preserve">, nations and lands, peoples and languages:</w:t>
      </w:r>
    </w:p>
    <w:p>
      <w:r>
        <w:rPr>
          <w:b/>
        </w:rPr>
        <w:t xml:space="preserve">5 </w:t>
      </w:r>
      <w:r>
        <w:t xml:space="preserve">when you hear the sound of a trumpet, pipe, lyre, sambuca, psaltery, symphony, and every kind of musical instrument, fall down and worship the golden image that King Nebuchadnezzar set up.</w:t>
      </w:r>
    </w:p>
    <w:p>
      <w:r>
        <w:rPr>
          <w:b/>
        </w:rPr>
        <w:t xml:space="preserve">6 </w:t>
      </w:r>
      <w:r>
        <w:t xml:space="preserve">And whoever does not fall down and worship, they will throw him into the burning furnace of fire.</w:t>
      </w:r>
    </w:p>
    <w:p>
      <w:r>
        <w:rPr>
          <w:b/>
        </w:rPr>
        <w:t xml:space="preserve">7 </w:t>
      </w:r>
      <w:r>
        <w:t xml:space="preserve">And at that time, when all the nations heard the sound of a trumpet and every sound of musical instruments, all nations, tribes, and languages fell down before it and worshiped the golden image that Nebuchadnezzar had set up.</w:t>
      </w:r>
    </w:p>
    <w:p>
      <w:r>
        <w:rPr>
          <w:b/>
        </w:rPr>
        <w:t xml:space="preserve">8 </w:t>
      </w:r>
      <w:r>
        <w:t xml:space="preserve">At that time certain Chaldean men came forward and accused</w:t>
      </w:r>
      <w:r>
        <w:rPr>
          <w:rStyle w:val="FootnoteReference"/>
        </w:rPr>
        <w:footnoteReference w:id="13347"/>
      </w:r>
      <w:r>
        <w:t xml:space="preserve"> the Judeans.</w:t>
      </w:r>
    </w:p>
    <w:p>
      <w:r>
        <w:rPr>
          <w:b/>
        </w:rPr>
        <w:t xml:space="preserve">9 </w:t>
      </w:r>
      <w:r>
        <w:t xml:space="preserve">And taking up speech they said, O lord king</w:t>
      </w:r>
      <w:r>
        <w:rPr>
          <w:rStyle w:val="FootnoteReference"/>
        </w:rPr>
        <w:footnoteReference w:id="13348"/>
      </w:r>
      <w:r>
        <w:t xml:space="preserve">, live forever.</w:t>
      </w:r>
    </w:p>
    <w:p>
      <w:r>
        <w:rPr>
          <w:b/>
        </w:rPr>
        <w:t xml:space="preserve">10 </w:t>
      </w:r>
      <w:r>
        <w:t xml:space="preserve">You, king, commanded and decreed that every person who hears the sound of a trumpet and every sound of musical instruments should fall down and worship the golden image,</w:t>
      </w:r>
    </w:p>
    <w:p>
      <w:r>
        <w:rPr>
          <w:b/>
        </w:rPr>
        <w:t xml:space="preserve">11 </w:t>
      </w:r>
      <w:r>
        <w:t xml:space="preserve">and whoever does not fall down and worship will be thrown into the burning furnace of fire.</w:t>
      </w:r>
    </w:p>
    <w:p>
      <w:r>
        <w:rPr>
          <w:b/>
        </w:rPr>
        <w:t xml:space="preserve">12 </w:t>
      </w:r>
      <w:r>
        <w:t xml:space="preserve">But there are certain</w:t>
      </w:r>
      <w:r>
        <w:rPr>
          <w:rStyle w:val="FootnoteReference"/>
        </w:rPr>
        <w:footnoteReference w:id="13349"/>
      </w:r>
      <w:r>
        <w:t xml:space="preserve"> Judean men whom you appointed over the land of Babylon, Shadrach, Meshach, and Abednego. Those men did not fear your command, and they did not serve your idol, and they did not worship your golden image that you set up.</w:t>
      </w:r>
    </w:p>
    <w:p>
      <w:r>
        <w:rPr>
          <w:b/>
        </w:rPr>
        <w:t xml:space="preserve">13 </w:t>
      </w:r>
      <w:r>
        <w:t xml:space="preserve">Then Nebuchadnezzar in wrath and anger ordered that Shadrach, Meshach, and Abednego be brought. Then those men were brought before the king.</w:t>
      </w:r>
    </w:p>
    <w:p>
      <w:r>
        <w:rPr>
          <w:b/>
        </w:rPr>
        <w:t xml:space="preserve">14 </w:t>
      </w:r>
      <w:r>
        <w:t xml:space="preserve">And when King Nebuchadnezzar saw them he said to them, Why, Shadrach, Meshach, and Abednego, do you not serve my gods</w:t>
      </w:r>
      <w:r>
        <w:rPr>
          <w:rStyle w:val="FootnoteReference"/>
        </w:rPr>
        <w:footnoteReference w:id="13350"/>
      </w:r>
      <w:r>
        <w:t xml:space="preserve"> and do not worship the golden image that I set up?</w:t>
      </w:r>
    </w:p>
    <w:p>
      <w:r>
        <w:rPr>
          <w:b/>
        </w:rPr>
        <w:t xml:space="preserve">15 </w:t>
      </w:r>
      <w:r>
        <w:t xml:space="preserve">And now, if you are ready, when you hear the trumpet and every sound of musical instruments, to fall down and worship the golden image that I set up; but if not, know that if you do not worship, immediately you will be thrown into the burning furnace of fire, and what god will deliver you from my hands?</w:t>
      </w:r>
    </w:p>
    <w:p>
      <w:r>
        <w:rPr>
          <w:b/>
        </w:rPr>
        <w:t xml:space="preserve">16 </w:t>
      </w:r>
      <w:r>
        <w:t xml:space="preserve">And Shadrach, Meshach, and Abednego answered and said to King Nebuchadnezzar, O king, we have no need to answer you about this command.</w:t>
      </w:r>
    </w:p>
    <w:p>
      <w:r>
        <w:rPr>
          <w:b/>
        </w:rPr>
        <w:t xml:space="preserve">17 </w:t>
      </w:r>
      <w:r>
        <w:t xml:space="preserve">For there is God in the heavens, our one Lord whom we fear, and he is able to deliver us from the furnace of fire and from your hands, king; he will deliver us.</w:t>
      </w:r>
    </w:p>
    <w:p>
      <w:r>
        <w:rPr>
          <w:b/>
        </w:rPr>
        <w:t xml:space="preserve">18 </w:t>
      </w:r>
      <w:r>
        <w:t xml:space="preserve">And then it will be plain to you that we do not serve your idol and do not worship your golden image that you set up.</w:t>
      </w:r>
    </w:p>
    <w:p>
      <w:r>
        <w:rPr>
          <w:b/>
        </w:rPr>
        <w:t xml:space="preserve">19 </w:t>
      </w:r>
      <w:r>
        <w:t xml:space="preserve">Then Nebuchadnezzar was filled with fury, and the expression of his face changed, and he ordered the furnace to be heated seven times more than</w:t>
      </w:r>
      <w:r>
        <w:rPr>
          <w:rStyle w:val="FootnoteReference"/>
        </w:rPr>
        <w:footnoteReference w:id="13351"/>
      </w:r>
      <w:r>
        <w:t xml:space="preserve"> it needed to be heated.</w:t>
      </w:r>
    </w:p>
    <w:p>
      <w:r>
        <w:rPr>
          <w:b/>
        </w:rPr>
        <w:t xml:space="preserve">20 </w:t>
      </w:r>
      <w:r>
        <w:t xml:space="preserve">And he ordered the strongest men among his forces to bind</w:t>
      </w:r>
      <w:r>
        <w:rPr>
          <w:rStyle w:val="FootnoteReference"/>
        </w:rPr>
        <w:footnoteReference w:id="13352"/>
      </w:r>
      <w:r>
        <w:t xml:space="preserve"> Shadrach, Meshach, and Abednego and throw them into the burning furnace of fire.</w:t>
      </w:r>
    </w:p>
    <w:p>
      <w:r>
        <w:rPr>
          <w:b/>
        </w:rPr>
        <w:t xml:space="preserve">21 </w:t>
      </w:r>
      <w:r>
        <w:t xml:space="preserve">Then those men were bound with their shoes and their tiaras on their heads, together with their clothing, and were thrown into the furnace.</w:t>
      </w:r>
    </w:p>
    <w:p>
      <w:r>
        <w:rPr>
          <w:b/>
        </w:rPr>
        <w:t xml:space="preserve">22 </w:t>
      </w:r>
      <w:r>
        <w:t xml:space="preserve">Because the command of the king was urgent</w:t>
      </w:r>
      <w:r>
        <w:rPr>
          <w:rStyle w:val="FootnoteReference"/>
        </w:rPr>
        <w:footnoteReference w:id="13353"/>
      </w:r>
      <w:r>
        <w:t xml:space="preserve"> and the furnace was heated seven times beyond what it had been before, the men selected, after binding them and bringing them to the furnace, threw them into it.</w:t>
      </w:r>
    </w:p>
    <w:p>
      <w:r>
        <w:rPr>
          <w:b/>
        </w:rPr>
        <w:t xml:space="preserve">23 </w:t>
      </w:r>
      <w:r>
        <w:t xml:space="preserve">So the men who bound those around Azariah—the flame coming out from the furnace burned and killed them, but these were preserved.</w:t>
      </w:r>
    </w:p>
    <w:p>
      <w:r>
        <w:rPr>
          <w:b/>
        </w:rPr>
        <w:t xml:space="preserve">24 </w:t>
      </w:r>
      <w:r>
        <w:t xml:space="preserve">And it happened when the king heard them singing hymns and saw them standing alive that King Nebuchadnezzar marveled and rose quickly and said to his friends,</w:t>
      </w:r>
    </w:p>
    <w:p>
      <w:r>
        <w:rPr>
          <w:b/>
        </w:rPr>
        <w:t xml:space="preserve">25 </w:t>
      </w:r>
      <w:r>
        <w:t xml:space="preserve">Behold, I see four men loosed, walking</w:t>
      </w:r>
      <w:r>
        <w:rPr>
          <w:rStyle w:val="FootnoteReference"/>
        </w:rPr>
        <w:footnoteReference w:id="13354"/>
      </w:r>
      <w:r>
        <w:t xml:space="preserve"> in the fire, and no harm happened to them, and the appearance of the fourth is like the likeness of an angel of God.</w:t>
      </w:r>
    </w:p>
    <w:p>
      <w:r>
        <w:rPr>
          <w:b/>
        </w:rPr>
        <w:t xml:space="preserve">26 </w:t>
      </w:r>
      <w:r>
        <w:t xml:space="preserve">And the king came near to the door of the furnace that was burning with fire and called them by name, Shadrach, Meshach, and Abednego, servants of the God of gods, the Most</w:t>
      </w:r>
      <w:r>
        <w:rPr>
          <w:rStyle w:val="FootnoteReference"/>
        </w:rPr>
        <w:footnoteReference w:id="13355"/>
      </w:r>
      <w:r>
        <w:t xml:space="preserve"> High, come out from the fire. So the men came out from the midst of the fire.</w:t>
      </w:r>
    </w:p>
    <w:p>
      <w:r>
        <w:rPr>
          <w:b/>
        </w:rPr>
        <w:t xml:space="preserve">27 </w:t>
      </w:r>
      <w:r>
        <w:t xml:space="preserve">And the consuls and governors and leading men and friends of the king gathered and looked at those men, because fire had not touched their bodies, and their hair was not burned, and their garments were not changed, and the smell of fire was not on them.</w:t>
      </w:r>
    </w:p>
    <w:p>
      <w:r>
        <w:rPr>
          <w:b/>
        </w:rPr>
        <w:t xml:space="preserve">28 </w:t>
      </w:r>
      <w:r>
        <w:t xml:space="preserve">And King Nebuchadnezzar answered and said, Blessed</w:t>
      </w:r>
      <w:r>
        <w:rPr>
          <w:rStyle w:val="FootnoteReference"/>
        </w:rPr>
        <w:footnoteReference w:id="13356"/>
      </w:r>
      <w:r>
        <w:t xml:space="preserve"> is the Lord God of Shadrach, Meshach, and Abednego, who sent his angel</w:t>
      </w:r>
      <w:r>
        <w:rPr>
          <w:rStyle w:val="FootnoteReference"/>
        </w:rPr>
        <w:footnoteReference w:id="13357"/>
      </w:r>
      <w:r>
        <w:t xml:space="preserve"> and saved his servants who hoped in him. For they set aside the command of the king and gave their bodies over to burning so that they would not serve or worship another god except their own God.</w:t>
      </w:r>
    </w:p>
    <w:p>
      <w:r>
        <w:rPr>
          <w:b/>
        </w:rPr>
        <w:t xml:space="preserve">29 </w:t>
      </w:r>
      <w:r>
        <w:t xml:space="preserve">And now I decree that every nation and every tribe and every language that blasphemes against the Lord, God of Shadrach, Meshach, and Abednego, will be cut to pieces, and his house will be confiscated, because there is no other God who can deliver like this.</w:t>
      </w:r>
    </w:p>
    <w:p>
      <w:r>
        <w:rPr>
          <w:b/>
        </w:rPr>
        <w:t xml:space="preserve">30 </w:t>
      </w:r>
      <w:r>
        <w:t xml:space="preserve">So then the king gave authority to Shadrach, Meshach, and Abednego over all the land and appointed them rulers.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4 </w:t>
      </w:r>
      <w:r>
        <w:t xml:space="preserve">In the eighteenth year of the reign of Nebuchadnezzar, he said, I was at peace in my house and prospering on my throne.</w:t>
      </w:r>
    </w:p>
    <w:p>
      <w:r>
        <w:rPr>
          <w:b/>
        </w:rPr>
        <w:t xml:space="preserve">5 </w:t>
      </w:r>
      <w:r>
        <w:t xml:space="preserve">I saw a dream</w:t>
      </w:r>
      <w:r>
        <w:rPr>
          <w:rStyle w:val="FootnoteReference"/>
        </w:rPr>
        <w:footnoteReference w:id="13358"/>
      </w:r>
      <w:r>
        <w:t xml:space="preserve"> and became afraid, and fear fell upon me.</w:t>
      </w:r>
    </w:p>
    <w:p>
      <w:r>
        <w:rPr>
          <w:b/>
        </w:rPr>
        <w:t xml:space="preserve">10 </w:t>
      </w:r>
      <w:r>
        <w:t xml:space="preserve">I was sleeping, and behold, a tall tree was growing on the earth; its appearance was great, and there was no other like it.</w:t>
      </w:r>
    </w:p>
    <w:p>
      <w:r>
        <w:rPr>
          <w:b/>
        </w:rPr>
        <w:t xml:space="preserve">11 </w:t>
      </w:r>
      <w:r>
        <w:t xml:space="preserve">And its appearance was great; its top reached</w:t>
      </w:r>
      <w:r>
        <w:rPr>
          <w:rStyle w:val="FootnoteReference"/>
        </w:rPr>
        <w:footnoteReference w:id="13359"/>
      </w:r>
      <w:r>
        <w:t xml:space="preserve"> to heaven, and its trunk reached to the clouds, filling what is under heaven. The sun and the moon lived in it and gave light to all the earth.</w:t>
      </w:r>
    </w:p>
    <w:p>
      <w:r>
        <w:rPr>
          <w:b/>
        </w:rPr>
        <w:t xml:space="preserve">12 </w:t>
      </w:r>
      <w:r>
        <w:t xml:space="preserve">Its branches were about thirty stadia in length, and under it all beasts of the earth were shaded, and in it birds of heaven nested. Its fruit was abundant and good, and it provided for all living creatures.</w:t>
      </w:r>
    </w:p>
    <w:p>
      <w:r>
        <w:rPr>
          <w:b/>
        </w:rPr>
        <w:t xml:space="preserve">13 </w:t>
      </w:r>
      <w:r>
        <w:t xml:space="preserve">I was watching in my sleep, and behold, an angel was sent in power from heaven.</w:t>
      </w:r>
    </w:p>
    <w:p>
      <w:r>
        <w:rPr>
          <w:b/>
        </w:rPr>
        <w:t xml:space="preserve">14 </w:t>
      </w:r>
      <w:r>
        <w:t xml:space="preserve">And he cried out and said to it, Cut it down and destroy it, for it has been commanded by the Most High to root it out and make it useless.</w:t>
      </w:r>
    </w:p>
    <w:p>
      <w:r>
        <w:rPr>
          <w:b/>
        </w:rPr>
        <w:t xml:space="preserve">15 </w:t>
      </w:r>
      <w:r>
        <w:t xml:space="preserve">And thus he said, Leave</w:t>
      </w:r>
      <w:r>
        <w:rPr>
          <w:rStyle w:val="FootnoteReference"/>
        </w:rPr>
        <w:footnoteReference w:id="13360"/>
      </w:r>
      <w:r>
        <w:t xml:space="preserve"> one root of it in the earth, so that with the beasts of the earth on the mountains it may graze grass like an ox.</w:t>
      </w:r>
    </w:p>
    <w:p>
      <w:r>
        <w:rPr>
          <w:b/>
        </w:rPr>
        <w:t xml:space="preserve">16 </w:t>
      </w:r>
      <w:r>
        <w:t xml:space="preserve">And from the dew of heaven its body will be altered, and for seven years it will pasture with them.</w:t>
      </w:r>
    </w:p>
    <w:p>
      <w:r>
        <w:rPr>
          <w:b/>
        </w:rPr>
        <w:t xml:space="preserve">17 </w:t>
      </w:r>
      <w:r>
        <w:t xml:space="preserve">Until he knows that the Lord of heaven has authority over all things in heaven and on earth, and whatever he wills he does in them. Before me it was cut down in one day, and its destruction in one hour of the day, and its branches were given to every wind and dragged away and thrown down, and it ate the grass of the earth with the beasts of the earth, and it was handed over to prison, and in bronze fetters and handcuffs it was bound by them. I marveled greatly at all these things, and my sleep departed from my eyes.</w:t>
      </w:r>
    </w:p>
    <w:p>
      <w:r>
        <w:rPr>
          <w:b/>
        </w:rPr>
        <w:t xml:space="preserve">18 </w:t>
      </w:r>
      <w:r>
        <w:t xml:space="preserve">And rising in the morning from my bed I called Daniel, ruler of the sophists and leader of those judging dreams, and I recounted the dream to him, and he showed me all its interpretation.</w:t>
      </w:r>
    </w:p>
    <w:p>
      <w:r>
        <w:rPr>
          <w:b/>
        </w:rPr>
        <w:t xml:space="preserve">19 </w:t>
      </w:r>
      <w:r>
        <w:t xml:space="preserve">And Daniel</w:t>
      </w:r>
      <w:r>
        <w:rPr>
          <w:rStyle w:val="FootnoteReference"/>
        </w:rPr>
        <w:footnoteReference w:id="13361"/>
      </w:r>
      <w:r>
        <w:t xml:space="preserve"> marveled greatly, and anxious thought pressed him, and fear seized him with trembling, and the appearance of his face changed. Shaking his head, after being astonished for one hour, he answered me in a gentle voice, O king, may this dream come upon those hating you, and its interpretation upon your enemies.</w:t>
      </w:r>
    </w:p>
    <w:p>
      <w:r>
        <w:rPr>
          <w:b/>
        </w:rPr>
        <w:t xml:space="preserve">20 </w:t>
      </w:r>
      <w:r>
        <w:t xml:space="preserve">The tree planted in the earth whose appearance was great, that is you, king.</w:t>
      </w:r>
    </w:p>
    <w:p>
      <w:r>
        <w:rPr>
          <w:b/>
        </w:rPr>
        <w:t xml:space="preserve">21 </w:t>
      </w:r>
      <w:r>
        <w:t xml:space="preserve">And all the birds of heaven nesting in it are strength of the earth and of nations and of all languages to the ends of the earth, and all lands serve you.</w:t>
      </w:r>
    </w:p>
    <w:p>
      <w:r>
        <w:rPr>
          <w:b/>
        </w:rPr>
        <w:t xml:space="preserve">22 </w:t>
      </w:r>
      <w:r>
        <w:t xml:space="preserve">And as for that tree being lifted up and coming near heaven and its trunk touching clouds, you, king, were exalted above all humans on the face of the whole earth. Your heart was lifted up in pride, and in strength your works were shown against the Holy One and his angels</w:t>
      </w:r>
      <w:r>
        <w:rPr>
          <w:rStyle w:val="FootnoteReference"/>
        </w:rPr>
        <w:footnoteReference w:id="13362"/>
      </w:r>
      <w:r>
        <w:t xml:space="preserve">, because you laid waste the house of the living God because of the sins of his consecrated people.</w:t>
      </w:r>
    </w:p>
    <w:p>
      <w:r>
        <w:rPr>
          <w:b/>
        </w:rPr>
        <w:t xml:space="preserve">23 </w:t>
      </w:r>
      <w:r>
        <w:t xml:space="preserve">And the vision you saw, that an angel in power was sent from the Lord and said to remove the tree and cut it down, means the judgment of the great God will come upon you.</w:t>
      </w:r>
    </w:p>
    <w:p>
      <w:r>
        <w:rPr>
          <w:b/>
        </w:rPr>
        <w:t xml:space="preserve">24 </w:t>
      </w:r>
      <w:r>
        <w:t xml:space="preserve">And the Most High and his angels rush upon you.</w:t>
      </w:r>
    </w:p>
    <w:p>
      <w:r>
        <w:rPr>
          <w:b/>
        </w:rPr>
        <w:t xml:space="preserve">25 </w:t>
      </w:r>
      <w:r>
        <w:t xml:space="preserve">They will lead you away into prison and send you into a desolate place.</w:t>
      </w:r>
    </w:p>
    <w:p>
      <w:r>
        <w:rPr>
          <w:b/>
        </w:rPr>
        <w:t xml:space="preserve">26 </w:t>
      </w:r>
      <w:r>
        <w:t xml:space="preserve">And as for the root of the tree that was left, because it was not uprooted, the place of your throne will be preserved for you for time and hour. Behold, they prepare against you and will scourge you and bring the judgments upon you.</w:t>
      </w:r>
    </w:p>
    <w:p>
      <w:r>
        <w:rPr>
          <w:b/>
        </w:rPr>
        <w:t xml:space="preserve">27 </w:t>
      </w:r>
      <w:r>
        <w:t xml:space="preserve">The Lord lives in heaven, and his authority is over all the earth. Beg him concerning your sins, and redeem all your wrongs with acts of mercy, so that gentleness may be given you and you may be long-lived upon the throne of your kingdom, and he may not destroy you. Love these words, for my word is exact and your time is full.</w:t>
      </w:r>
    </w:p>
    <w:p>
      <w:r>
        <w:rPr>
          <w:b/>
        </w:rPr>
        <w:t xml:space="preserve">28 </w:t>
      </w:r>
      <w:r>
        <w:t xml:space="preserve">And at the completion of these words, when Nebuchadnezzar heard the judgment of the vision, he kept the words in his heart.</w:t>
      </w:r>
    </w:p>
    <w:p>
      <w:r>
        <w:rPr>
          <w:b/>
        </w:rPr>
        <w:t xml:space="preserve">29 </w:t>
      </w:r>
      <w:r>
        <w:t xml:space="preserve">And after twelve months the king was walking on the walls of the city with all his glory and passing along its towers.</w:t>
      </w:r>
    </w:p>
    <w:p>
      <w:r>
        <w:rPr>
          <w:b/>
        </w:rPr>
        <w:t xml:space="preserve">30 </w:t>
      </w:r>
      <w:r>
        <w:t xml:space="preserve">And answering he said, This is Babylon the great, which I built as the house of my kingdom by the strength of my might; it will be called for the honor of my glory.</w:t>
      </w:r>
    </w:p>
    <w:p>
      <w:r>
        <w:rPr>
          <w:b/>
        </w:rPr>
        <w:t xml:space="preserve">31 </w:t>
      </w:r>
      <w:r>
        <w:t xml:space="preserve">And at the completion of his word he heard a voice from heaven saying, To you it is said, King Nebuchadnezzar, the kingdom</w:t>
      </w:r>
      <w:r>
        <w:rPr>
          <w:rStyle w:val="FootnoteReference"/>
        </w:rPr>
        <w:footnoteReference w:id="13363"/>
      </w:r>
      <w:r>
        <w:t xml:space="preserve"> of Babylon is taken from you and given to another despised man in your house. Behold, I set him over your kingdom, and your authority and your glory and your luxury he will receive, so that you may know that the God of heaven has authority in the kingdom of men and gives it to whomever he wills. And until sunrise another king will rejoice in your house and hold your glory and your strength and your authority.</w:t>
      </w:r>
    </w:p>
    <w:p>
      <w:r>
        <w:rPr>
          <w:b/>
        </w:rPr>
        <w:t xml:space="preserve">32 </w:t>
      </w:r>
      <w:r>
        <w:t xml:space="preserve">And the angels will drive you away for seven years, and you will not be seen nor speak with any human. They will feed you grass like an ox, and the herbs of the earth will be your pasture. Behold, instead of your glory they will bind you, and another will possess the house of your luxury and your kingdom.</w:t>
      </w:r>
    </w:p>
    <w:p>
      <w:r>
        <w:rPr>
          <w:b/>
        </w:rPr>
        <w:t xml:space="preserve">33 </w:t>
      </w:r>
      <w:r>
        <w:t xml:space="preserve">By morning all these things will be completed upon you, Nebuchadnezzar king of Babylon, and none of them will fail. I, Nebuchadnezzar king of Babylon, was bound for seven years; they fed me grass like an ox, and I ate from the herbs of the earth. And after seven years I gave my soul to prayer</w:t>
      </w:r>
      <w:r>
        <w:rPr>
          <w:rStyle w:val="FootnoteReference"/>
        </w:rPr>
        <w:footnoteReference w:id="13364"/>
      </w:r>
      <w:r>
        <w:t xml:space="preserve"> and begged concerning my sins before the Lord God of heaven, and concerning my ignorances I prayed to the God of gods, the great one. And my hair became like eagle feathers, and my nails like those of a lion. My flesh and my heart were changed; I walked naked among the beasts of the earth. I saw a dream, and thoughts seized me, and after a time much sleep took me and drowsiness fell upon me.</w:t>
      </w:r>
    </w:p>
    <w:p>
      <w:r>
        <w:rPr>
          <w:b/>
        </w:rPr>
        <w:t xml:space="preserve">34 </w:t>
      </w:r>
      <w:r>
        <w:t xml:space="preserve">And at the completion of the seven years, the time of my release came, and my sins and my ignorances were filled up before the God of heaven, and I prayed concerning my ignorances to the God of gods, the great one, and behold, one angel called to me from heaven, saying, Nebuchadnezzar, serve the God of heaven the Holy One</w:t>
      </w:r>
      <w:r>
        <w:rPr>
          <w:rStyle w:val="FootnoteReference"/>
        </w:rPr>
        <w:footnoteReference w:id="13365"/>
      </w:r>
      <w:r>
        <w:t xml:space="preserve">, and give glory to the Most High</w:t>
      </w:r>
      <w:r>
        <w:rPr>
          <w:rStyle w:val="FootnoteReference"/>
        </w:rPr>
        <w:footnoteReference w:id="13366"/>
      </w:r>
      <w:r>
        <w:t xml:space="preserve">; the kingdom of your nation is restored to you.</w:t>
      </w:r>
    </w:p>
    <w:p>
      <w:r>
        <w:rPr>
          <w:b/>
        </w:rPr>
        <w:t xml:space="preserve">36 </w:t>
      </w:r>
      <w:r>
        <w:t xml:space="preserve">At that time my kingdom was restored to me, and my glory was given back to me.</w:t>
      </w:r>
    </w:p>
    <w:p>
      <w:r>
        <w:rPr>
          <w:b/>
        </w:rPr>
        <w:t xml:space="preserve">37 </w:t>
      </w:r>
      <w:r>
        <w:t xml:space="preserve">I confess and praise the Most High, the one who made heaven and earth and seas and rivers and all things in them. I confess and praise because he is the God of gods and the Lord of lords and King of kings, because he works signs and wonders and changes times and seasons, removing a kingdom from kings and setting others in their place. From now on I will serve him, and trembling from fear of him has seized me, and I praise all his holy ones. The gods of nations do not have power in themselves to turn the kingdom of a king to another king, or to kill and make alive, or to do great and fearsome signs and wonders, or to change exceedingly great things, as the God of heaven did in me and changed great things upon me. All the days of my kingdom I will offer sacrifices concerning my soul to the Most High as a sweet smell to the Lord, and I and my people and my nation and my lands under my authority will do what is pleasing before him. And whoever speaks against the God of heaven, and whoever is caught speaking anything, these I will condemn to death. King Nebuchadnezzar wrote a circular letter to all nations and lands and languages, all those dwelling in all lands, in generations and generations: Praise the Lord God of heaven and offer a sacrifice and an offering to him gloriously. I, king of kings, confess him gloriously, because this day he has done thus with me and seated me on my throne, and I held my authority and my kingdom among my people, and my greatness was restored to me. King Nebuchadnezzar, to all the nations and all the lands and all those dwelling in them: May peace be multiplied to you at every time. And now I will show you the deeds that the great God did with me. And it seemed good to me to show you and your sophists that there is a God and his wonders are great. His kingdom is a kingdom forever, his authority from generations to generations. And he sent letters concerning all things that happened to him in his kingdom to all nations under his kingdom.</w:t>
      </w:r>
      <w:r>
        <w:rPr>
          <w:rStyle w:val="FootnoteReference"/>
        </w:rPr>
        <w:footnoteReference w:id="13367"/>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0 </w:t>
      </w:r>
      <w:r>
        <w:t xml:space="preserve">Belshazzar</w:t>
      </w:r>
      <w:r>
        <w:rPr>
          <w:rStyle w:val="FootnoteReference"/>
        </w:rPr>
        <w:footnoteReference w:id="13368"/>
      </w:r>
      <w:r>
        <w:t xml:space="preserve"> the king made a great banquet on the day of dedication of his kingdom, and from his leading men he called two thousand men. On that day Belshazzar, exalted by wine and boasting, praised all gods of the nations, molten and carved, in his place; but to God Most High he gave no praise. In that night fingers like those of a human came out and wrote on the wall of his house, on the plaster opposite the lamp: Mene, Peres, Tekel. And this is their meaning: Mene, it has been numbered; Peres, it has been lifted away; Tekel, it will stand.</w:t>
      </w:r>
    </w:p>
    <w:p>
      <w:r>
        <w:rPr>
          <w:b/>
        </w:rPr>
        <w:t xml:space="preserve">1 </w:t>
      </w:r>
      <w:r>
        <w:t xml:space="preserve">Belshazzar the king made</w:t>
      </w:r>
      <w:r>
        <w:rPr>
          <w:rStyle w:val="FootnoteReference"/>
        </w:rPr>
        <w:footnoteReference w:id="13369"/>
      </w:r>
      <w:r>
        <w:t xml:space="preserve"> a great feast for his companions and drank wine.</w:t>
      </w:r>
    </w:p>
    <w:p>
      <w:r>
        <w:rPr>
          <w:b/>
        </w:rPr>
        <w:t xml:space="preserve">2 </w:t>
      </w:r>
      <w:r>
        <w:t xml:space="preserve">And his heart was lifted up, and he said to bring the gold and silver vessels of the house of God, which Nebuchadnezzar his father</w:t>
      </w:r>
      <w:r>
        <w:rPr>
          <w:rStyle w:val="FootnoteReference"/>
        </w:rPr>
        <w:footnoteReference w:id="13370"/>
      </w:r>
      <w:r>
        <w:t xml:space="preserve"> brought from Jerusalem, and to pour wine in them for his companions.</w:t>
      </w:r>
    </w:p>
    <w:p>
      <w:r>
        <w:rPr>
          <w:b/>
        </w:rPr>
        <w:t xml:space="preserve">3 </w:t>
      </w:r>
      <w:r>
        <w:t xml:space="preserve">And they were brought, and they drank from them.</w:t>
      </w:r>
    </w:p>
    <w:p>
      <w:r>
        <w:rPr>
          <w:b/>
        </w:rPr>
        <w:t xml:space="preserve">4 </w:t>
      </w:r>
      <w:r>
        <w:t xml:space="preserve">And they blessed their handmade idols, but they did not bless the eternal God, the one holding authority over their spirit.</w:t>
      </w:r>
    </w:p>
    <w:p>
      <w:r>
        <w:rPr>
          <w:b/>
        </w:rPr>
        <w:t xml:space="preserve">5 </w:t>
      </w:r>
      <w:r>
        <w:t xml:space="preserve">In that very hour fingers like a human hand came out and wrote</w:t>
      </w:r>
      <w:r>
        <w:rPr>
          <w:rStyle w:val="FootnoteReference"/>
        </w:rPr>
        <w:footnoteReference w:id="13371"/>
      </w:r>
      <w:r>
        <w:t xml:space="preserve"> on the wall of his house, on the plaster opposite the light before King Belshazzar, and he saw a hand writing.</w:t>
      </w:r>
    </w:p>
    <w:p>
      <w:r>
        <w:rPr>
          <w:b/>
        </w:rPr>
        <w:t xml:space="preserve">6 </w:t>
      </w:r>
      <w:r>
        <w:t xml:space="preserve">And his appearance changed, and fears and anxious thoughts pressed him. So the king hurried and rose and saw that writing, and companions around him were boasting.</w:t>
      </w:r>
    </w:p>
    <w:p>
      <w:r>
        <w:rPr>
          <w:b/>
        </w:rPr>
        <w:t xml:space="preserve">7 </w:t>
      </w:r>
      <w:r>
        <w:t xml:space="preserve">And the king cried with loud voice to call enchanters and sorcerers and Chaldeans and gazarenes to declare interpretation of the writing. And they came in to inspect and see the writing, and they were unable to interpret the writing for the king. Then the king issued decree, saying, Any man who shows interpretation of the writing will clothe him in purple and place a gold chain on him, and authority of third part of kingdom will be given him.</w:t>
      </w:r>
    </w:p>
    <w:p>
      <w:r>
        <w:rPr>
          <w:b/>
        </w:rPr>
        <w:t xml:space="preserve">8 </w:t>
      </w:r>
      <w:r>
        <w:t xml:space="preserve">And enchanters and sorcerers and gazarenes came in, and no one was able to tell interpretation of the writing.</w:t>
      </w:r>
    </w:p>
    <w:p>
      <w:r>
        <w:rPr>
          <w:b/>
        </w:rPr>
        <w:t xml:space="preserve">9 </w:t>
      </w:r>
      <w:r>
        <w:t xml:space="preserve">Then the king called the queen because of the sign and told her how great it was and that no man could tell the king interpretation of the writing.</w:t>
      </w:r>
    </w:p>
    <w:p>
      <w:r>
        <w:rPr>
          <w:b/>
        </w:rPr>
        <w:t xml:space="preserve">10 </w:t>
      </w:r>
      <w:r>
        <w:t xml:space="preserve">Then the queen reminded him about Daniel, the one from the captivity of Judah.</w:t>
      </w:r>
    </w:p>
    <w:p>
      <w:r>
        <w:rPr>
          <w:b/>
        </w:rPr>
        <w:t xml:space="preserve">11 </w:t>
      </w:r>
      <w:r>
        <w:t xml:space="preserve">And she said to the king, The man was learned and wise and surpassing all the wise men of Babylon.</w:t>
      </w:r>
    </w:p>
    <w:p>
      <w:r>
        <w:rPr>
          <w:b/>
        </w:rPr>
        <w:t xml:space="preserve">12 </w:t>
      </w:r>
      <w:r>
        <w:t xml:space="preserve">And holy spirit is in him, and in the days of your father the king he showed extraordinary interpretations to your father Nebuchadnezzar.</w:t>
      </w:r>
    </w:p>
    <w:p>
      <w:r>
        <w:rPr>
          <w:b/>
        </w:rPr>
        <w:t xml:space="preserve">13 </w:t>
      </w:r>
      <w:r>
        <w:t xml:space="preserve">Then Daniel was brought before the king, and the king answered and said to him,</w:t>
      </w:r>
    </w:p>
    <w:p>
      <w:r>
        <w:rPr>
          <w:b/>
        </w:rPr>
        <w:t xml:space="preserve">16 </w:t>
      </w:r>
      <w:r>
        <w:t xml:space="preserve">O Daniel, can you show me the interpretation of the writing? Then I will clothe you in purple and place a gold chain on you, and you will have authority over the third part of my kingdom.</w:t>
      </w:r>
    </w:p>
    <w:p>
      <w:r>
        <w:rPr>
          <w:b/>
        </w:rPr>
        <w:t xml:space="preserve">17 </w:t>
      </w:r>
      <w:r>
        <w:t xml:space="preserve">Then Daniel stood opposite the writing and read it, and thus answered the king: This is the writing: it has been numbered, it has been reckoned, it has been lifted away, and the hand that wrote has stood. And this is their interpretation.</w:t>
      </w:r>
    </w:p>
    <w:p>
      <w:r>
        <w:rPr>
          <w:b/>
        </w:rPr>
        <w:t xml:space="preserve">23 </w:t>
      </w:r>
      <w:r>
        <w:t xml:space="preserve">O king, you made a feast for your friends and drank wine, and the vessels of the house of the living God were brought to you, and you and your leading men drank from them. And you praised all handmade idols of men, but you did not bless the living God, though your spirit is in his hand and he himself gave you your kingdom. You did not bless him or praise him.</w:t>
      </w:r>
    </w:p>
    <w:p>
      <w:r>
        <w:rPr>
          <w:b/>
        </w:rPr>
        <w:t xml:space="preserve">26 </w:t>
      </w:r>
      <w:r>
        <w:t xml:space="preserve">This is the interpretation of the writing: your kingdom's time has been numbered; your kingdom is ending, cut short and completed, and your kingdom is given to the Medes and the Persians.</w:t>
      </w:r>
    </w:p>
    <w:p>
      <w:r>
        <w:rPr>
          <w:b/>
        </w:rPr>
        <w:t xml:space="preserve">27 </w:t>
      </w:r>
      <w:r>
        <w:t xml:space="preserve">This is continuation of the interpretation: your kingdom has been cut short and brought to completion.</w:t>
      </w:r>
    </w:p>
    <w:p>
      <w:r>
        <w:rPr>
          <w:b/>
        </w:rPr>
        <w:t xml:space="preserve">28 </w:t>
      </w:r>
      <w:r>
        <w:t xml:space="preserve">This is continuation of the interpretation: your kingdom is given to the Medes and the Persians.</w:t>
      </w:r>
    </w:p>
    <w:p>
      <w:r>
        <w:rPr>
          <w:b/>
        </w:rPr>
        <w:t xml:space="preserve">29 </w:t>
      </w:r>
      <w:r>
        <w:t xml:space="preserve">Then Belshazzar the king clothed Daniel in purple and put a gold chain on him and gave him authority over the third part of his kingdom.</w:t>
      </w:r>
    </w:p>
    <w:p>
      <w:r>
        <w:rPr>
          <w:b/>
        </w:rPr>
        <w:t xml:space="preserve">30 </w:t>
      </w:r>
      <w:r>
        <w:t xml:space="preserve">And the interpretation came upon King Belshazzar, and the kingdom was taken from the Chaldeans and given to the Medes and the Persians.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Artaxerxes of the Medes received the kingdom, and Darius</w:t>
      </w:r>
      <w:r>
        <w:rPr>
          <w:rStyle w:val="FootnoteReference"/>
        </w:rPr>
        <w:footnoteReference w:id="13372"/>
      </w:r>
      <w:r>
        <w:t xml:space="preserve"> was full of days and glorious in old age.</w:t>
      </w:r>
    </w:p>
    <w:p>
      <w:r>
        <w:rPr>
          <w:b/>
        </w:rPr>
        <w:t xml:space="preserve">2 </w:t>
      </w:r>
      <w:r>
        <w:t xml:space="preserve">And he appointed one hundred twenty-seven satraps over all his kingdom.</w:t>
      </w:r>
    </w:p>
    <w:p>
      <w:r>
        <w:rPr>
          <w:b/>
        </w:rPr>
        <w:t xml:space="preserve">3 </w:t>
      </w:r>
      <w:r>
        <w:t xml:space="preserve">And over them were three men as their leaders, and Daniel was one of the three men.</w:t>
      </w:r>
    </w:p>
    <w:p>
      <w:r>
        <w:rPr>
          <w:b/>
        </w:rPr>
        <w:t xml:space="preserve">4 </w:t>
      </w:r>
      <w:r>
        <w:t xml:space="preserve">Holding authority over everyone in the kingdom, Daniel was clothed in purple and was great and honored before King Darius, because he was honored and learned and intelligent, and holy spirit was in him, and he prospered in the king's affairs that he handled. Then the king determined to set Daniel over all his kingdom, together with the two men whom he appointed with him and the one hundred twenty-seven satraps.</w:t>
      </w:r>
    </w:p>
    <w:p>
      <w:r>
        <w:rPr>
          <w:b/>
        </w:rPr>
        <w:t xml:space="preserve">5 </w:t>
      </w:r>
      <w:r>
        <w:t xml:space="preserve">When the king determined to set Daniel over all his kingdom, the two young men consulted together, saying to one another, Since no sin or ignorance was found against Daniel by which they could accuse him before the king,</w:t>
      </w:r>
    </w:p>
    <w:p>
      <w:r>
        <w:rPr>
          <w:b/>
        </w:rPr>
        <w:t xml:space="preserve">6 </w:t>
      </w:r>
      <w:r>
        <w:t xml:space="preserve">and they said, Come, let us establish an ordinance among ourselves: any person shall not ask a petition or offer a prayer from any god for thirty days, except from Darius the king</w:t>
      </w:r>
      <w:r>
        <w:rPr>
          <w:rStyle w:val="FootnoteReference"/>
        </w:rPr>
        <w:footnoteReference w:id="13373"/>
      </w:r>
      <w:r>
        <w:t xml:space="preserve">; otherwise he shall die, so that they may defeat Daniel before the king and he may be thrown into the lions' den. For they knew that Daniel prays and entreats the Lord his God three times a day.</w:t>
      </w:r>
    </w:p>
    <w:p>
      <w:r>
        <w:rPr>
          <w:b/>
        </w:rPr>
        <w:t xml:space="preserve">7 </w:t>
      </w:r>
      <w:r>
        <w:t xml:space="preserve">Then those men came before the king and said,</w:t>
      </w:r>
    </w:p>
    <w:p>
      <w:r>
        <w:rPr>
          <w:b/>
        </w:rPr>
        <w:t xml:space="preserve">8 </w:t>
      </w:r>
      <w:r>
        <w:t xml:space="preserve">We established an ordinance and decree that any person who offers a prayer or asks any petition from any god for thirty days except from you, O king, will be thrown into the lions' den.</w:t>
      </w:r>
    </w:p>
    <w:p>
      <w:r>
        <w:rPr>
          <w:b/>
        </w:rPr>
        <w:t xml:space="preserve">9 </w:t>
      </w:r>
      <w:r>
        <w:t xml:space="preserve">And they asked the king to establish the ordinance and not alter it, because they knew that Daniel prays and entreats three times a day, so that he might be defeated through the king and thrown into the lions' den.</w:t>
      </w:r>
    </w:p>
    <w:p>
      <w:r>
        <w:rPr>
          <w:b/>
        </w:rPr>
        <w:t xml:space="preserve">10 </w:t>
      </w:r>
      <w:r>
        <w:t xml:space="preserve">And thus King Darius established and confirmed it.</w:t>
      </w:r>
    </w:p>
    <w:p>
      <w:r>
        <w:rPr>
          <w:b/>
        </w:rPr>
        <w:t xml:space="preserve">11 </w:t>
      </w:r>
      <w:r>
        <w:t xml:space="preserve">And Daniel, knowing the decree that was established against him, opened windows in his upper room toward Jerusalem and fell on his face three times a day, just as he had done before, and he entreated.</w:t>
      </w:r>
    </w:p>
    <w:p>
      <w:r>
        <w:rPr>
          <w:b/>
        </w:rPr>
        <w:t xml:space="preserve">12 </w:t>
      </w:r>
      <w:r>
        <w:t xml:space="preserve">And they watched Daniel and caught him praying three times each day.</w:t>
      </w:r>
    </w:p>
    <w:p>
      <w:r>
        <w:rPr>
          <w:b/>
        </w:rPr>
        <w:t xml:space="preserve">13 </w:t>
      </w:r>
      <w:r>
        <w:t xml:space="preserve">Then these men came upon the king and said, Darius, O king, did you not decree that any person should not offer prayer nor ask a petition from any god for thirty days except from you, O king, and if not, be thrown into the lions' den? And the king answered and said to them, The word is exact and the decree remains. They said to him, We adjure you by decrees of Medes and Persians not to alter the command nor show partiality to a person, and not to lessen anything spoken, but punish the man who did not remain in this decree. And he said, Thus I will do, as you say; this stands for me.</w:t>
      </w:r>
    </w:p>
    <w:p>
      <w:r>
        <w:rPr>
          <w:b/>
        </w:rPr>
        <w:t xml:space="preserve">14 </w:t>
      </w:r>
      <w:r>
        <w:t xml:space="preserve">And they said, Behold, we found Daniel, your friend, praying and entreating before his God three times a day.</w:t>
      </w:r>
    </w:p>
    <w:p>
      <w:r>
        <w:rPr>
          <w:b/>
        </w:rPr>
        <w:t xml:space="preserve">15 </w:t>
      </w:r>
      <w:r>
        <w:t xml:space="preserve">And the king, grieved, said Daniel should be thrown into the lions' den according to the decree established against him. Then the king was deeply grieved over Daniel and kept trying to deliver him until sunset from the hands of the satraps.</w:t>
      </w:r>
    </w:p>
    <w:p>
      <w:r>
        <w:rPr>
          <w:b/>
        </w:rPr>
        <w:t xml:space="preserve">16 </w:t>
      </w:r>
      <w:r>
        <w:t xml:space="preserve">And he was not able to deliver him from them.</w:t>
      </w:r>
    </w:p>
    <w:p>
      <w:r>
        <w:rPr>
          <w:b/>
        </w:rPr>
        <w:t xml:space="preserve">17 </w:t>
      </w:r>
      <w:r>
        <w:t xml:space="preserve">And crying aloud, King Darius said to Daniel, Your God, whom you serve continually three times a day, he himself will deliver you from the hand of the lions. Until morning, take courage.</w:t>
      </w:r>
    </w:p>
    <w:p>
      <w:r>
        <w:rPr>
          <w:b/>
        </w:rPr>
        <w:t xml:space="preserve">18 </w:t>
      </w:r>
      <w:r>
        <w:t xml:space="preserve">Then Daniel was thrown into the lions' den, and a stone was brought and placed on the mouth of the den, and the king sealed it with his own ring and with the rings of his leading men, so that Daniel might not be taken from them and so that the king might not pull him up from the den.</w:t>
      </w:r>
    </w:p>
    <w:p>
      <w:r>
        <w:rPr>
          <w:b/>
        </w:rPr>
        <w:t xml:space="preserve">19 </w:t>
      </w:r>
      <w:r>
        <w:t xml:space="preserve">Then the king returned to his palace and spent the night fasting, and he was grieved over Daniel. Then the God of Daniel, showing care for him, shut the mouths of the lions, and they did not trouble Daniel.</w:t>
      </w:r>
    </w:p>
    <w:p>
      <w:r>
        <w:rPr>
          <w:b/>
        </w:rPr>
        <w:t xml:space="preserve">20 </w:t>
      </w:r>
      <w:r>
        <w:t xml:space="preserve">And King Darius rose early in the morning and took the satraps with him, and he went and stood at the mouth of the lions' den.</w:t>
      </w:r>
    </w:p>
    <w:p>
      <w:r>
        <w:rPr>
          <w:b/>
        </w:rPr>
        <w:t xml:space="preserve">21 </w:t>
      </w:r>
      <w:r>
        <w:t xml:space="preserve">Then the king called Daniel with a loud voice and with weeping, saying, O Daniel, are you still alive? Has your God, whom you serve continually, saved you from the lions, and did they not injure you?</w:t>
      </w:r>
    </w:p>
    <w:p>
      <w:r>
        <w:rPr>
          <w:b/>
        </w:rPr>
        <w:t xml:space="preserve">22 </w:t>
      </w:r>
      <w:r>
        <w:t xml:space="preserve">Then Daniel answered with a loud voice and said, O king, I am still alive.</w:t>
      </w:r>
    </w:p>
    <w:p>
      <w:r>
        <w:rPr>
          <w:b/>
        </w:rPr>
        <w:t xml:space="preserve">23 </w:t>
      </w:r>
      <w:r>
        <w:t xml:space="preserve">And God saved me from the lions, because righteousness was found in me before him, and before you, O king, neither ignorance nor sin was found in me. But you listened to men who deceive kings and threw me into the lions' den for destruction.</w:t>
      </w:r>
    </w:p>
    <w:p>
      <w:r>
        <w:rPr>
          <w:b/>
        </w:rPr>
        <w:t xml:space="preserve">24 </w:t>
      </w:r>
      <w:r>
        <w:t xml:space="preserve">Then all the forces were gathered and saw Daniel, because the lions</w:t>
      </w:r>
      <w:r>
        <w:rPr>
          <w:rStyle w:val="FootnoteReference"/>
        </w:rPr>
        <w:footnoteReference w:id="13374"/>
      </w:r>
      <w:r>
        <w:t xml:space="preserve"> had not troubled him.</w:t>
      </w:r>
    </w:p>
    <w:p>
      <w:r>
        <w:rPr>
          <w:b/>
        </w:rPr>
        <w:t xml:space="preserve">25 </w:t>
      </w:r>
      <w:r>
        <w:t xml:space="preserve">Then those two men who testified against Daniel, they and their wives and their children, were thrown to the lions, and the lions killed them and shattered their bones.</w:t>
      </w:r>
    </w:p>
    <w:p>
      <w:r>
        <w:rPr>
          <w:b/>
        </w:rPr>
        <w:t xml:space="preserve">26 </w:t>
      </w:r>
      <w:r>
        <w:t xml:space="preserve">Then Darius wrote to all nations and lands and languages dwelling in all his earth, saying,</w:t>
      </w:r>
    </w:p>
    <w:p>
      <w:r>
        <w:rPr>
          <w:b/>
        </w:rPr>
        <w:t xml:space="preserve">27 </w:t>
      </w:r>
      <w:r>
        <w:t xml:space="preserve">Let all the people in my kingdom worship and serve the God of Daniel, because he is the living God, remaining from generation to generation forever.</w:t>
      </w:r>
    </w:p>
    <w:p>
      <w:r>
        <w:rPr>
          <w:b/>
        </w:rPr>
        <w:t xml:space="preserve">28 </w:t>
      </w:r>
      <w:r>
        <w:t xml:space="preserve">I, Darius, will worship and serve him all my days, because handmade idols cannot save as the God of Daniel delivered Daniel.</w:t>
      </w:r>
    </w:p>
    <w:p>
      <w:r>
        <w:rPr>
          <w:b/>
        </w:rPr>
        <w:t xml:space="preserve">29 </w:t>
      </w:r>
      <w:r>
        <w:t xml:space="preserve">And King Darius was added to his line, and Daniel was established in the kingdom of Darius, and Cyrus the Persian received his kingdom.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In the first year of Belshazzar</w:t>
      </w:r>
      <w:r>
        <w:rPr>
          <w:rStyle w:val="FootnoteReference"/>
        </w:rPr>
        <w:footnoteReference w:id="13375"/>
      </w:r>
      <w:r>
        <w:t xml:space="preserve"> ruling over the land of Babylonia</w:t>
      </w:r>
      <w:r>
        <w:rPr>
          <w:rStyle w:val="FootnoteReference"/>
        </w:rPr>
        <w:footnoteReference w:id="13376"/>
      </w:r>
      <w:r>
        <w:t xml:space="preserve">, Daniel saw a vision over his head on his bed. Then Daniel wrote the vision that he saw in headings of words.</w:t>
      </w:r>
    </w:p>
    <w:p>
      <w:r>
        <w:rPr>
          <w:b/>
        </w:rPr>
        <w:t xml:space="preserve">2 </w:t>
      </w:r>
      <w:r>
        <w:t xml:space="preserve">On my bed I was watching in night-dreams, and behold, four winds of heaven fell upon the great</w:t>
      </w:r>
      <w:r>
        <w:rPr>
          <w:rStyle w:val="FootnoteReference"/>
        </w:rPr>
        <w:footnoteReference w:id="13377"/>
      </w:r>
      <w:r>
        <w:t xml:space="preserve"> sea.</w:t>
      </w:r>
    </w:p>
    <w:p>
      <w:r>
        <w:rPr>
          <w:b/>
        </w:rPr>
        <w:t xml:space="preserve">3 </w:t>
      </w:r>
      <w:r>
        <w:t xml:space="preserve">And four</w:t>
      </w:r>
      <w:r>
        <w:rPr>
          <w:rStyle w:val="FootnoteReference"/>
        </w:rPr>
        <w:footnoteReference w:id="13378"/>
      </w:r>
      <w:r>
        <w:t xml:space="preserve"> beasts were coming up from the sea, differing from one another.</w:t>
      </w:r>
    </w:p>
    <w:p>
      <w:r>
        <w:rPr>
          <w:b/>
        </w:rPr>
        <w:t xml:space="preserve">4 </w:t>
      </w:r>
      <w:r>
        <w:t xml:space="preserve">The first was like a lioness, having wings like an eagle. I kept watching until its wings were plucked, and it was lifted</w:t>
      </w:r>
      <w:r>
        <w:rPr>
          <w:rStyle w:val="FootnoteReference"/>
        </w:rPr>
        <w:footnoteReference w:id="13379"/>
      </w:r>
      <w:r>
        <w:t xml:space="preserve"> from the earth and stood on human feet, and a human heart was given to it.</w:t>
      </w:r>
    </w:p>
    <w:p>
      <w:r>
        <w:rPr>
          <w:b/>
        </w:rPr>
        <w:t xml:space="preserve">5 </w:t>
      </w:r>
      <w:r>
        <w:t xml:space="preserve">And behold, after it another</w:t>
      </w:r>
      <w:r>
        <w:rPr>
          <w:rStyle w:val="FootnoteReference"/>
        </w:rPr>
        <w:footnoteReference w:id="13380"/>
      </w:r>
      <w:r>
        <w:t xml:space="preserve"> beast had a likeness of a bear, and it stood on one side, and three ribs were in its mouth. And thus it said, Rise, devour much flesh.</w:t>
      </w:r>
    </w:p>
    <w:p>
      <w:r>
        <w:rPr>
          <w:b/>
        </w:rPr>
        <w:t xml:space="preserve">6 </w:t>
      </w:r>
      <w:r>
        <w:t xml:space="preserve">And after this I was watching another beast, like a leopard, and four wings</w:t>
      </w:r>
      <w:r>
        <w:rPr>
          <w:rStyle w:val="FootnoteReference"/>
        </w:rPr>
        <w:footnoteReference w:id="13381"/>
      </w:r>
      <w:r>
        <w:t xml:space="preserve"> were extended over it, and the beast had four heads, and a tongue was given to it.</w:t>
      </w:r>
    </w:p>
    <w:p>
      <w:r>
        <w:rPr>
          <w:b/>
        </w:rPr>
        <w:t xml:space="preserve">7 </w:t>
      </w:r>
      <w:r>
        <w:t xml:space="preserve">After this I was watching in a vision of the night, and behold, a fourth</w:t>
      </w:r>
      <w:r>
        <w:rPr>
          <w:rStyle w:val="FootnoteReference"/>
        </w:rPr>
        <w:footnoteReference w:id="13382"/>
      </w:r>
      <w:r>
        <w:t xml:space="preserve"> beast, fearsome, and its terror surpassed in strength. It had great iron teeth, eating and crushing; with its feet it trampled around, behaving differently from all the beasts before it, and it had ten horns.</w:t>
      </w:r>
    </w:p>
    <w:p>
      <w:r>
        <w:rPr>
          <w:b/>
        </w:rPr>
        <w:t xml:space="preserve">8 </w:t>
      </w:r>
      <w:r>
        <w:t xml:space="preserve">And many counsels were in its horns, and behold, another</w:t>
      </w:r>
      <w:r>
        <w:rPr>
          <w:rStyle w:val="FootnoteReference"/>
        </w:rPr>
        <w:footnoteReference w:id="13383"/>
      </w:r>
      <w:r>
        <w:t xml:space="preserve"> horn, a small one, sprang up among them, among its horns, and three of the first horns were dried up because of it. And behold, eyes like human eyes were in this horn, and a mouth speaking great things, and it made war against the holy ones.</w:t>
      </w:r>
    </w:p>
    <w:p>
      <w:r>
        <w:rPr>
          <w:b/>
        </w:rPr>
        <w:t xml:space="preserve">9 </w:t>
      </w:r>
      <w:r>
        <w:t xml:space="preserve">I was watching until thrones were set, and the Ancient of Days</w:t>
      </w:r>
      <w:r>
        <w:rPr>
          <w:rStyle w:val="FootnoteReference"/>
        </w:rPr>
        <w:footnoteReference w:id="13384"/>
      </w:r>
      <w:r>
        <w:t xml:space="preserve"> sat, having a garment like snow and the hair of his head like clean white wool; his throne was like a flame of fire.</w:t>
      </w:r>
      <w:r>
        <w:rPr>
          <w:rStyle w:val="FootnoteReference"/>
        </w:rPr>
        <w:footnoteReference w:id="13385"/>
      </w:r>
      <w:r>
        <w:rPr>
          <w:rStyle w:val="FootnoteReference"/>
        </w:rPr>
        <w:footnoteReference w:id="13386"/>
      </w:r>
    </w:p>
    <w:p>
      <w:r>
        <w:rPr>
          <w:b/>
        </w:rPr>
        <w:t xml:space="preserve">10 </w:t>
      </w:r>
      <w:r>
        <w:t xml:space="preserve">And a river of fire was going out before him; thousands of thousands served him, and myriads of myriads stood before him, and the court sat, and books were opened.</w:t>
      </w:r>
    </w:p>
    <w:p>
      <w:r>
        <w:rPr>
          <w:b/>
        </w:rPr>
        <w:t xml:space="preserve">11 </w:t>
      </w:r>
      <w:r>
        <w:t xml:space="preserve">I was watching then because of the sound of great words that the horn was speaking, and the beast was struck down, and its body perished and was given to burning by fire.</w:t>
      </w:r>
    </w:p>
    <w:p>
      <w:r>
        <w:rPr>
          <w:b/>
        </w:rPr>
        <w:t xml:space="preserve">12 </w:t>
      </w:r>
      <w:r>
        <w:t xml:space="preserve">And he removed those around it from their authority, and a time of life was given to them until a time and a season.</w:t>
      </w:r>
    </w:p>
    <w:p>
      <w:r>
        <w:rPr>
          <w:b/>
        </w:rPr>
        <w:t xml:space="preserve">13 </w:t>
      </w:r>
      <w:r>
        <w:t xml:space="preserve">I was watching in the vision of the night, and behold, on clouds of heaven one like</w:t>
      </w:r>
      <w:r>
        <w:rPr>
          <w:rStyle w:val="FootnoteReference"/>
        </w:rPr>
        <w:footnoteReference w:id="13387"/>
      </w:r>
      <w:r>
        <w:t xml:space="preserve"> a son of man was coming, and he was present as Ancient of Days</w:t>
      </w:r>
      <w:r>
        <w:rPr>
          <w:rStyle w:val="FootnoteReference"/>
        </w:rPr>
        <w:footnoteReference w:id="13388"/>
      </w:r>
      <w:r>
        <w:t xml:space="preserve">, and those standing by were present with him.</w:t>
      </w:r>
    </w:p>
    <w:p>
      <w:r>
        <w:rPr>
          <w:b/>
        </w:rPr>
        <w:t xml:space="preserve">14 </w:t>
      </w:r>
      <w:r>
        <w:t xml:space="preserve">And authority was given</w:t>
      </w:r>
      <w:r>
        <w:rPr>
          <w:rStyle w:val="FootnoteReference"/>
        </w:rPr>
        <w:footnoteReference w:id="13389"/>
      </w:r>
      <w:r>
        <w:t xml:space="preserve"> to him, and all the nations of the earth according to their kinds, and every glory serving him; and his authority is eternal authority that will not be taken away, and his kingdom is one that will not be destroyed.</w:t>
      </w:r>
    </w:p>
    <w:p>
      <w:r>
        <w:rPr>
          <w:b/>
        </w:rPr>
        <w:t xml:space="preserve">15 </w:t>
      </w:r>
      <w:r>
        <w:t xml:space="preserve">And I, Daniel, grew weary in these things in the vision of the night.</w:t>
      </w:r>
    </w:p>
    <w:p>
      <w:r>
        <w:rPr>
          <w:b/>
        </w:rPr>
        <w:t xml:space="preserve">16 </w:t>
      </w:r>
      <w:r>
        <w:t xml:space="preserve">I came near one of those standing, and I sought exact truth from him concerning all these things. And he answered and spoke to me and made known to me the judgment of the words.</w:t>
      </w:r>
    </w:p>
    <w:p>
      <w:r>
        <w:rPr>
          <w:b/>
        </w:rPr>
        <w:t xml:space="preserve">17 </w:t>
      </w:r>
      <w:r>
        <w:t xml:space="preserve">These great</w:t>
      </w:r>
      <w:r>
        <w:rPr>
          <w:rStyle w:val="FootnoteReference"/>
        </w:rPr>
        <w:footnoteReference w:id="13390"/>
      </w:r>
      <w:r>
        <w:t xml:space="preserve"> beasts are four kingdoms that will perish from the earth.</w:t>
      </w:r>
    </w:p>
    <w:p>
      <w:r>
        <w:rPr>
          <w:b/>
        </w:rPr>
        <w:t xml:space="preserve">18 </w:t>
      </w:r>
      <w:r>
        <w:t xml:space="preserve">And holy ones of the Most High</w:t>
      </w:r>
      <w:r>
        <w:rPr>
          <w:rStyle w:val="FootnoteReference"/>
        </w:rPr>
        <w:footnoteReference w:id="13391"/>
      </w:r>
      <w:r>
        <w:t xml:space="preserve"> will receive the kingdom and possess the kingdom forever, even forever and ever.</w:t>
      </w:r>
    </w:p>
    <w:p>
      <w:r>
        <w:rPr>
          <w:b/>
        </w:rPr>
        <w:t xml:space="preserve">19 </w:t>
      </w:r>
      <w:r>
        <w:t xml:space="preserve">Then I wanted to know exactly about the fourth</w:t>
      </w:r>
      <w:r>
        <w:rPr>
          <w:rStyle w:val="FootnoteReference"/>
        </w:rPr>
        <w:footnoteReference w:id="13392"/>
      </w:r>
      <w:r>
        <w:t xml:space="preserve"> beast, the one destroying all things and exceedingly fearsome. And behold, its teeth were iron and its claws bronze, eating everything around and trampling with its feet.</w:t>
      </w:r>
    </w:p>
    <w:p>
      <w:r>
        <w:rPr>
          <w:b/>
        </w:rPr>
        <w:t xml:space="preserve">20 </w:t>
      </w:r>
      <w:r>
        <w:t xml:space="preserve">And concerning its ten horns on its head and the other one that sprang up, because of which three fell away: that horn had eyes and a mouth speaking great things, and its appearance surpassed the others.</w:t>
      </w:r>
    </w:p>
    <w:p>
      <w:r>
        <w:rPr>
          <w:b/>
        </w:rPr>
        <w:t xml:space="preserve">21 </w:t>
      </w:r>
      <w:r>
        <w:t xml:space="preserve">And I observed that horn making war against the holy ones and overcoming them,</w:t>
      </w:r>
    </w:p>
    <w:p>
      <w:r>
        <w:rPr>
          <w:b/>
        </w:rPr>
        <w:t xml:space="preserve">22 </w:t>
      </w:r>
      <w:r>
        <w:t xml:space="preserve">until the Ancient</w:t>
      </w:r>
      <w:r>
        <w:rPr>
          <w:rStyle w:val="FootnoteReference"/>
        </w:rPr>
        <w:footnoteReference w:id="13393"/>
      </w:r>
      <w:r>
        <w:t xml:space="preserve"> of Days came and gave judgment to the holy ones of the Most High, and the time was given, and the holy ones possessed the kingdom.</w:t>
      </w:r>
    </w:p>
    <w:p>
      <w:r>
        <w:rPr>
          <w:b/>
        </w:rPr>
        <w:t xml:space="preserve">23 </w:t>
      </w:r>
      <w:r>
        <w:t xml:space="preserve">And it was told me concerning the fourth</w:t>
      </w:r>
      <w:r>
        <w:rPr>
          <w:rStyle w:val="FootnoteReference"/>
        </w:rPr>
        <w:footnoteReference w:id="13394"/>
      </w:r>
      <w:r>
        <w:t xml:space="preserve"> beast that a fourth kingdom will be upon the earth, one that will differ from all the earth and throw it into confusion and crush it.</w:t>
      </w:r>
    </w:p>
    <w:p>
      <w:r>
        <w:rPr>
          <w:b/>
        </w:rPr>
        <w:t xml:space="preserve">24 </w:t>
      </w:r>
      <w:r>
        <w:t xml:space="preserve">And the ten</w:t>
      </w:r>
      <w:r>
        <w:rPr>
          <w:rStyle w:val="FootnoteReference"/>
        </w:rPr>
        <w:footnoteReference w:id="13395"/>
      </w:r>
      <w:r>
        <w:t xml:space="preserve"> horns of the kingdom are ten kings that will arise, and another king will arise after them, and he will differ in evils beyond the former ones and will humble three kings.</w:t>
      </w:r>
    </w:p>
    <w:p>
      <w:r>
        <w:rPr>
          <w:b/>
        </w:rPr>
        <w:t xml:space="preserve">25 </w:t>
      </w:r>
      <w:r>
        <w:t xml:space="preserve">And he will speak words against the Most High and wear down the holy ones of the Most High, and he will undertake to change times and law, and everything will be delivered into his hands until a time</w:t>
      </w:r>
      <w:r>
        <w:rPr>
          <w:rStyle w:val="FootnoteReference"/>
        </w:rPr>
        <w:footnoteReference w:id="13396"/>
      </w:r>
      <w:r>
        <w:t xml:space="preserve"> and times and half a time.</w:t>
      </w:r>
    </w:p>
    <w:p>
      <w:r>
        <w:rPr>
          <w:b/>
        </w:rPr>
        <w:t xml:space="preserve">26 </w:t>
      </w:r>
      <w:r>
        <w:t xml:space="preserve">And the court will sit, and they will destroy his authority and plan to defile and destroy to the end.</w:t>
      </w:r>
    </w:p>
    <w:p>
      <w:r>
        <w:rPr>
          <w:b/>
        </w:rPr>
        <w:t xml:space="preserve">27 </w:t>
      </w:r>
      <w:r>
        <w:t xml:space="preserve">And he gave the kingdom and</w:t>
      </w:r>
      <w:r>
        <w:rPr>
          <w:rStyle w:val="FootnoteReference"/>
        </w:rPr>
        <w:footnoteReference w:id="13397"/>
      </w:r>
      <w:r>
        <w:t xml:space="preserve"> the authority and their greatness and the rule of all the kingdoms under heaven to a holy people of the Most High, to reign over an eternal kingdom, and all authorities will submit to him and obey him.</w:t>
      </w:r>
    </w:p>
    <w:p>
      <w:r>
        <w:rPr>
          <w:b/>
        </w:rPr>
        <w:t xml:space="preserve">28 </w:t>
      </w:r>
      <w:r>
        <w:t xml:space="preserve">Until completion of the matter, I, Daniel, was greatly held by astonishment, and my appearance changed within me, and I kept the matter fixed in my heart.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In the third</w:t>
      </w:r>
      <w:r>
        <w:rPr>
          <w:rStyle w:val="FootnoteReference"/>
        </w:rPr>
        <w:footnoteReference w:id="13398"/>
      </w:r>
      <w:r>
        <w:t xml:space="preserve"> year of Belshazzar's reign, there was a vision that I, Daniel, saw after I saw the first one.</w:t>
      </w:r>
    </w:p>
    <w:p>
      <w:r>
        <w:rPr>
          <w:b/>
        </w:rPr>
        <w:t xml:space="preserve">2 </w:t>
      </w:r>
      <w:r>
        <w:t xml:space="preserve">And I saw in</w:t>
      </w:r>
      <w:r>
        <w:rPr>
          <w:rStyle w:val="FootnoteReference"/>
        </w:rPr>
        <w:footnoteReference w:id="13399"/>
      </w:r>
      <w:r>
        <w:t xml:space="preserve"> the vision of my dream, while I was in Shushan the city, which is in the land of Elam, while I was still by the Elam Gate.</w:t>
      </w:r>
    </w:p>
    <w:p>
      <w:r>
        <w:rPr>
          <w:b/>
        </w:rPr>
        <w:t xml:space="preserve">3 </w:t>
      </w:r>
      <w:r>
        <w:t xml:space="preserve">Lifting up my eyes, I saw one great ram standing opposite the gate, and it had horns; one was higher than the other, and the higher one was rising.</w:t>
      </w:r>
    </w:p>
    <w:p>
      <w:r>
        <w:rPr>
          <w:b/>
        </w:rPr>
        <w:t xml:space="preserve">4 </w:t>
      </w:r>
      <w:r>
        <w:t xml:space="preserve">After this I saw the ram butting toward the east and toward the north and toward the west and toward the south, and no beasts stood before it, and there was no one delivering from its hands, and it did as it wished and was exalted.</w:t>
      </w:r>
    </w:p>
    <w:p>
      <w:r>
        <w:rPr>
          <w:b/>
        </w:rPr>
        <w:t xml:space="preserve">5 </w:t>
      </w:r>
      <w:r>
        <w:t xml:space="preserve">And I was pondering, and behold, a male goat was coming from the west over the face of the earth and was not touching the earth, and the goat had a single horn between its eyes.</w:t>
      </w:r>
    </w:p>
    <w:p>
      <w:r>
        <w:rPr>
          <w:b/>
        </w:rPr>
        <w:t xml:space="preserve">6 </w:t>
      </w:r>
      <w:r>
        <w:t xml:space="preserve">And it came against the ram with the horns, which I saw standing by the gate, and ran at it in furious anger.</w:t>
      </w:r>
    </w:p>
    <w:p>
      <w:r>
        <w:rPr>
          <w:b/>
        </w:rPr>
        <w:t xml:space="preserve">7 </w:t>
      </w:r>
      <w:r>
        <w:t xml:space="preserve">And I saw it coming up to the ram, and it was enraged against it and struck and shattered its two horns, and there was no</w:t>
      </w:r>
      <w:r>
        <w:rPr>
          <w:rStyle w:val="FootnoteReference"/>
        </w:rPr>
        <w:footnoteReference w:id="13400"/>
      </w:r>
      <w:r>
        <w:t xml:space="preserve"> longer strength in the ram to stand before the goat. And it tore it down to the ground and crushed it, and there was no one delivering the ram from the goat.</w:t>
      </w:r>
    </w:p>
    <w:p>
      <w:r>
        <w:rPr>
          <w:b/>
        </w:rPr>
        <w:t xml:space="preserve">8 </w:t>
      </w:r>
      <w:r>
        <w:t xml:space="preserve">And the goat became exceedingly strong, and when it became strong its great horn was shattered, and four other horns rose up behind it toward</w:t>
      </w:r>
      <w:r>
        <w:rPr>
          <w:rStyle w:val="FootnoteReference"/>
        </w:rPr>
        <w:footnoteReference w:id="13401"/>
      </w:r>
      <w:r>
        <w:t xml:space="preserve"> the four winds of heaven.</w:t>
      </w:r>
    </w:p>
    <w:p>
      <w:r>
        <w:rPr>
          <w:b/>
        </w:rPr>
        <w:t xml:space="preserve">9 </w:t>
      </w:r>
      <w:r>
        <w:t xml:space="preserve">And from one of them a single strong horn sprang up, and it prevailed and struck toward the south and toward the east and toward the north.</w:t>
      </w:r>
    </w:p>
    <w:p>
      <w:r>
        <w:rPr>
          <w:b/>
        </w:rPr>
        <w:t xml:space="preserve">10 </w:t>
      </w:r>
      <w:r>
        <w:t xml:space="preserve">And it was lifted up as far as the stars of heaven, and some of the stars were dashed to the earth, and some of them were trampled.</w:t>
      </w:r>
    </w:p>
    <w:p>
      <w:r>
        <w:rPr>
          <w:b/>
        </w:rPr>
        <w:t xml:space="preserve">11 </w:t>
      </w:r>
      <w:r>
        <w:t xml:space="preserve">Until the commander-in-chief will rescue the captivity, and because of him the mountains from ages past were dashed down, and their place was removed, and he set sacrifice down to the ground, and it prospered and happened, and the holy place will be made desolate.</w:t>
      </w:r>
    </w:p>
    <w:p>
      <w:r>
        <w:rPr>
          <w:b/>
        </w:rPr>
        <w:t xml:space="preserve">12 </w:t>
      </w:r>
      <w:r>
        <w:t xml:space="preserve">And sins came upon the sacrifice, and righteousness was thrown to the ground, and it acted and prospered.</w:t>
      </w:r>
    </w:p>
    <w:p>
      <w:r>
        <w:rPr>
          <w:b/>
        </w:rPr>
        <w:t xml:space="preserve">13 </w:t>
      </w:r>
      <w:r>
        <w:t xml:space="preserve">And I heard another holy one speaking, and the other said to Phelmuni, the one speaking, How long will the vision</w:t>
      </w:r>
      <w:r>
        <w:rPr>
          <w:rStyle w:val="FootnoteReference"/>
        </w:rPr>
        <w:footnoteReference w:id="13402"/>
      </w:r>
      <w:r>
        <w:t xml:space="preserve"> stand, and the sacrifice that was removed, and the sin of desolation that was given, and the holy things will be made desolate for trampling?</w:t>
      </w:r>
    </w:p>
    <w:p>
      <w:r>
        <w:rPr>
          <w:b/>
        </w:rPr>
        <w:t xml:space="preserve">14 </w:t>
      </w:r>
      <w:r>
        <w:t xml:space="preserve">And he said to him, Until evening and morning, two thousand three hundred days</w:t>
      </w:r>
      <w:r>
        <w:rPr>
          <w:rStyle w:val="FootnoteReference"/>
        </w:rPr>
        <w:footnoteReference w:id="13403"/>
      </w:r>
      <w:r>
        <w:t xml:space="preserve">, and the holy place will be cleansed.</w:t>
      </w:r>
    </w:p>
    <w:p>
      <w:r>
        <w:rPr>
          <w:b/>
        </w:rPr>
        <w:t xml:space="preserve">15 </w:t>
      </w:r>
      <w:r>
        <w:t xml:space="preserve">And it happened, while I, Daniel, was beholding the vision, I sought</w:t>
      </w:r>
      <w:r>
        <w:rPr>
          <w:rStyle w:val="FootnoteReference"/>
        </w:rPr>
        <w:footnoteReference w:id="13404"/>
      </w:r>
      <w:r>
        <w:t xml:space="preserve"> to understand, and behold, there stood before me something like the appearance of a man.</w:t>
      </w:r>
    </w:p>
    <w:p>
      <w:r>
        <w:rPr>
          <w:b/>
        </w:rPr>
        <w:t xml:space="preserve">16 </w:t>
      </w:r>
      <w:r>
        <w:t xml:space="preserve">And I heard</w:t>
      </w:r>
      <w:r>
        <w:rPr>
          <w:rStyle w:val="FootnoteReference"/>
        </w:rPr>
        <w:footnoteReference w:id="13405"/>
      </w:r>
      <w:r>
        <w:t xml:space="preserve"> the voice of a man between the Ulai</w:t>
      </w:r>
      <w:r>
        <w:rPr>
          <w:rStyle w:val="FootnoteReference"/>
        </w:rPr>
        <w:footnoteReference w:id="13406"/>
      </w:r>
      <w:r>
        <w:t xml:space="preserve">, and he called and said, Gabriel</w:t>
      </w:r>
      <w:r>
        <w:rPr>
          <w:rStyle w:val="FootnoteReference"/>
        </w:rPr>
        <w:footnoteReference w:id="13407"/>
      </w:r>
      <w:r>
        <w:t xml:space="preserve">, make that one understand the vision. And crying out, the man spoke concerning that command, the vision.</w:t>
      </w:r>
    </w:p>
    <w:p>
      <w:r>
        <w:rPr>
          <w:b/>
        </w:rPr>
        <w:t xml:space="preserve">17 </w:t>
      </w:r>
      <w:r>
        <w:t xml:space="preserve">And he came and stood beside where I was</w:t>
      </w:r>
      <w:r>
        <w:rPr>
          <w:rStyle w:val="FootnoteReference"/>
        </w:rPr>
        <w:footnoteReference w:id="13408"/>
      </w:r>
      <w:r>
        <w:t xml:space="preserve"> standing, and when he came I was alarmed and fell on my face. And he said to me, Understand, son of man, for this vision is still for an hour of time.</w:t>
      </w:r>
    </w:p>
    <w:p>
      <w:r>
        <w:rPr>
          <w:b/>
        </w:rPr>
        <w:t xml:space="preserve">18 </w:t>
      </w:r>
      <w:r>
        <w:t xml:space="preserve">And while he was speaking with me, I fell asleep face down on the ground, and touching me he raised me up where I stood.</w:t>
      </w:r>
    </w:p>
    <w:p>
      <w:r>
        <w:rPr>
          <w:b/>
        </w:rPr>
        <w:t xml:space="preserve">19 </w:t>
      </w:r>
      <w:r>
        <w:t xml:space="preserve">And he said to me, Behold, I tell you what will be at the end of the wrath against the sons of your people, for it still awaits an hour of a time of completion.</w:t>
      </w:r>
    </w:p>
    <w:p>
      <w:r>
        <w:rPr>
          <w:b/>
        </w:rPr>
        <w:t xml:space="preserve">20 </w:t>
      </w:r>
      <w:r>
        <w:t xml:space="preserve">The ram that you saw with the horns is the king of Medes and Persians.</w:t>
      </w:r>
    </w:p>
    <w:p>
      <w:r>
        <w:rPr>
          <w:b/>
        </w:rPr>
        <w:t xml:space="preserve">21 </w:t>
      </w:r>
      <w:r>
        <w:t xml:space="preserve">And the male goat is the king of Greeks, and the great</w:t>
      </w:r>
      <w:r>
        <w:rPr>
          <w:rStyle w:val="FootnoteReference"/>
        </w:rPr>
        <w:footnoteReference w:id="13409"/>
      </w:r>
      <w:r>
        <w:t xml:space="preserve"> horn between its eyes is the first king.</w:t>
      </w:r>
    </w:p>
    <w:p>
      <w:r>
        <w:rPr>
          <w:b/>
        </w:rPr>
        <w:t xml:space="preserve">22 </w:t>
      </w:r>
      <w:r>
        <w:t xml:space="preserve">And the shattered horn and the four horns rising after it are four kings from his nation that will arise, but not with his strength.</w:t>
      </w:r>
    </w:p>
    <w:p>
      <w:r>
        <w:rPr>
          <w:b/>
        </w:rPr>
        <w:t xml:space="preserve">23 </w:t>
      </w:r>
      <w:r>
        <w:t xml:space="preserve">And at the end of their kingdom, when their sins are filled up, a king</w:t>
      </w:r>
      <w:r>
        <w:rPr>
          <w:rStyle w:val="FootnoteReference"/>
        </w:rPr>
        <w:footnoteReference w:id="13410"/>
      </w:r>
      <w:r>
        <w:t xml:space="preserve"> shameless in face, understanding riddles, will arise.</w:t>
      </w:r>
    </w:p>
    <w:p>
      <w:r>
        <w:rPr>
          <w:b/>
        </w:rPr>
        <w:t xml:space="preserve">24 </w:t>
      </w:r>
      <w:r>
        <w:t xml:space="preserve">And his strength will be made firm, but not by his own strength, and he will destroy astonishingly and prosper and act, and he will destroy rulers and a people of holy ones.</w:t>
      </w:r>
    </w:p>
    <w:p>
      <w:r>
        <w:rPr>
          <w:b/>
        </w:rPr>
        <w:t xml:space="preserve">25 </w:t>
      </w:r>
      <w:r>
        <w:t xml:space="preserve">And his design will be against the holy ones, and the falsehood will prosper in his hands, and his heart will be exalted, and by deceit he will destroy many, and he will stand</w:t>
      </w:r>
      <w:r>
        <w:rPr>
          <w:rStyle w:val="FootnoteReference"/>
        </w:rPr>
        <w:footnoteReference w:id="13411"/>
      </w:r>
      <w:r>
        <w:t xml:space="preserve"> for destruction of men and make a gathering of hand and will be repaid.</w:t>
      </w:r>
    </w:p>
    <w:p>
      <w:r>
        <w:rPr>
          <w:b/>
        </w:rPr>
        <w:t xml:space="preserve">26 </w:t>
      </w:r>
      <w:r>
        <w:t xml:space="preserve">The vision of</w:t>
      </w:r>
      <w:r>
        <w:rPr>
          <w:rStyle w:val="FootnoteReference"/>
        </w:rPr>
        <w:footnoteReference w:id="13412"/>
      </w:r>
      <w:r>
        <w:t xml:space="preserve"> evening and morning was found true, and now the vision has been sealed, for it is still for many days.</w:t>
      </w:r>
    </w:p>
    <w:p>
      <w:r>
        <w:rPr>
          <w:b/>
        </w:rPr>
        <w:t xml:space="preserve">27 </w:t>
      </w:r>
      <w:r>
        <w:t xml:space="preserve">And I, Daniel, became weak for many days, and rising up I again attended to royal matters, and I was exhausted by the vision, and there was no one who understood.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In the first year under Darius</w:t>
      </w:r>
      <w:r>
        <w:rPr>
          <w:rStyle w:val="FootnoteReference"/>
        </w:rPr>
        <w:footnoteReference w:id="13413"/>
      </w:r>
      <w:r>
        <w:t xml:space="preserve"> son of Xerxes</w:t>
      </w:r>
      <w:r>
        <w:rPr>
          <w:rStyle w:val="FootnoteReference"/>
        </w:rPr>
        <w:footnoteReference w:id="13414"/>
      </w:r>
      <w:r>
        <w:t xml:space="preserve">, from the line of the Medes, who reigned over the kingdom of the Chaldeans,</w:t>
      </w:r>
    </w:p>
    <w:p>
      <w:r>
        <w:rPr>
          <w:b/>
        </w:rPr>
        <w:t xml:space="preserve">2 </w:t>
      </w:r>
      <w:r>
        <w:t xml:space="preserve">in the first year of his reign I, Daniel, understood</w:t>
      </w:r>
      <w:r>
        <w:rPr>
          <w:rStyle w:val="FootnoteReference"/>
        </w:rPr>
        <w:footnoteReference w:id="13415"/>
      </w:r>
      <w:r>
        <w:t xml:space="preserve"> in the books the number of years, when a command came to the land through Jeremiah the prophet, to raise up for the completion of the reproach of Jerusalem: seventy years.</w:t>
      </w:r>
    </w:p>
    <w:p>
      <w:r>
        <w:rPr>
          <w:b/>
        </w:rPr>
        <w:t xml:space="preserve">3 </w:t>
      </w:r>
      <w:r>
        <w:t xml:space="preserve">And I set</w:t>
      </w:r>
      <w:r>
        <w:rPr>
          <w:rStyle w:val="FootnoteReference"/>
        </w:rPr>
        <w:footnoteReference w:id="13416"/>
      </w:r>
      <w:r>
        <w:t xml:space="preserve"> my face toward the Lord God to find prayer and mercy in fastings and sackcloth and ashes.</w:t>
      </w:r>
    </w:p>
    <w:p>
      <w:r>
        <w:rPr>
          <w:b/>
        </w:rPr>
        <w:t xml:space="preserve">4 </w:t>
      </w:r>
      <w:r>
        <w:t xml:space="preserve">And I prayed to the Lord God and confessed and said, Behold, Lord, you are the great</w:t>
      </w:r>
      <w:r>
        <w:rPr>
          <w:rStyle w:val="FootnoteReference"/>
        </w:rPr>
        <w:footnoteReference w:id="13417"/>
      </w:r>
      <w:r>
        <w:t xml:space="preserve"> and mighty and fearsome God, keeping covenant and mercy</w:t>
      </w:r>
      <w:r>
        <w:rPr>
          <w:rStyle w:val="FootnoteReference"/>
        </w:rPr>
        <w:footnoteReference w:id="13418"/>
      </w:r>
      <w:r>
        <w:t xml:space="preserve"> for those loving you and keeping your commands.</w:t>
      </w:r>
    </w:p>
    <w:p>
      <w:r>
        <w:rPr>
          <w:b/>
        </w:rPr>
        <w:t xml:space="preserve">5 </w:t>
      </w:r>
      <w:r>
        <w:t xml:space="preserve">We sinned, we acted unjustly, we acted impiously, and we departed and transgressed your commands and your judgments.</w:t>
      </w:r>
    </w:p>
    <w:p>
      <w:r>
        <w:rPr>
          <w:b/>
        </w:rPr>
        <w:t xml:space="preserve">6 </w:t>
      </w:r>
      <w:r>
        <w:t xml:space="preserve">And we did not listen to your servants the prophets, who spoke in your name to our kings</w:t>
      </w:r>
      <w:r>
        <w:rPr>
          <w:rStyle w:val="FootnoteReference"/>
        </w:rPr>
        <w:footnoteReference w:id="13419"/>
      </w:r>
      <w:r>
        <w:t xml:space="preserve"> and our rulers and our fathers and to every nation on the earth.</w:t>
      </w:r>
    </w:p>
    <w:p>
      <w:r>
        <w:rPr>
          <w:b/>
        </w:rPr>
        <w:t xml:space="preserve">7 </w:t>
      </w:r>
      <w:r>
        <w:t xml:space="preserve">To you, Lord, belongs righteousness</w:t>
      </w:r>
      <w:r>
        <w:rPr>
          <w:rStyle w:val="FootnoteReference"/>
        </w:rPr>
        <w:footnoteReference w:id="13420"/>
      </w:r>
      <w:r>
        <w:t xml:space="preserve">, and to us shame of face as on this day: to the men of Judah and those dwelling in Jerusalem and to all the people of Israel, those near and those far off in all the lands where you scattered them, in the unfaithfulness by which they were unfaithful before you.</w:t>
      </w:r>
    </w:p>
    <w:p>
      <w:r>
        <w:rPr>
          <w:b/>
        </w:rPr>
        <w:t xml:space="preserve">8 </w:t>
      </w:r>
      <w:r>
        <w:t xml:space="preserve">Master, to us</w:t>
      </w:r>
      <w:r>
        <w:rPr>
          <w:rStyle w:val="FootnoteReference"/>
        </w:rPr>
        <w:footnoteReference w:id="13421"/>
      </w:r>
      <w:r>
        <w:t xml:space="preserve"> belongs shame of face, and to our kings and rulers and our fathers, because we sinned against you.</w:t>
      </w:r>
    </w:p>
    <w:p>
      <w:r>
        <w:rPr>
          <w:b/>
        </w:rPr>
        <w:t xml:space="preserve">9 </w:t>
      </w:r>
      <w:r>
        <w:t xml:space="preserve">To the Lord</w:t>
      </w:r>
      <w:r>
        <w:rPr>
          <w:rStyle w:val="FootnoteReference"/>
        </w:rPr>
        <w:footnoteReference w:id="13422"/>
      </w:r>
      <w:r>
        <w:t xml:space="preserve"> belongs righteousness and mercy, because we departed from you.</w:t>
      </w:r>
    </w:p>
    <w:p>
      <w:r>
        <w:rPr>
          <w:b/>
        </w:rPr>
        <w:t xml:space="preserve">10 </w:t>
      </w:r>
      <w:r>
        <w:t xml:space="preserve">And we did not listen to the voice of the Lord our God to follow your law, which you gave before Moses and us through your servants the prophets.</w:t>
      </w:r>
    </w:p>
    <w:p>
      <w:r>
        <w:rPr>
          <w:b/>
        </w:rPr>
        <w:t xml:space="preserve">11 </w:t>
      </w:r>
      <w:r>
        <w:t xml:space="preserve">And all Israel abandoned your law and departed from listening to your voice, and the curse</w:t>
      </w:r>
      <w:r>
        <w:rPr>
          <w:rStyle w:val="FootnoteReference"/>
        </w:rPr>
        <w:footnoteReference w:id="13423"/>
      </w:r>
      <w:r>
        <w:t xml:space="preserve"> and the oath written in the law of Moses, servant of God, came upon us, because we sinned against him.</w:t>
      </w:r>
    </w:p>
    <w:p>
      <w:r>
        <w:rPr>
          <w:b/>
        </w:rPr>
        <w:t xml:space="preserve">12 </w:t>
      </w:r>
      <w:r>
        <w:t xml:space="preserve">And he established for us his commands, whatever he spoke against us and against our judges</w:t>
      </w:r>
      <w:r>
        <w:rPr>
          <w:rStyle w:val="FootnoteReference"/>
        </w:rPr>
        <w:footnoteReference w:id="13424"/>
      </w:r>
      <w:r>
        <w:t xml:space="preserve">, whatever you judged for us, to bring upon us great evils such as never happened under heaven as happened in Jerusalem.</w:t>
      </w:r>
    </w:p>
    <w:p>
      <w:r>
        <w:rPr>
          <w:b/>
        </w:rPr>
        <w:t xml:space="preserve">13 </w:t>
      </w:r>
      <w:r>
        <w:t xml:space="preserve">According to the things written in the covenant of Moses, all these evils came upon us, and we did not seek the face of the Lord our God to turn from our sins and consider your righteousness, Lord.</w:t>
      </w:r>
    </w:p>
    <w:p>
      <w:r>
        <w:rPr>
          <w:b/>
        </w:rPr>
        <w:t xml:space="preserve">14 </w:t>
      </w:r>
      <w:r>
        <w:t xml:space="preserve">And the Lord</w:t>
      </w:r>
      <w:r>
        <w:rPr>
          <w:rStyle w:val="FootnoteReference"/>
        </w:rPr>
        <w:footnoteReference w:id="13425"/>
      </w:r>
      <w:r>
        <w:t xml:space="preserve"> God kept watch over the evils and brought them upon us, because the Lord our God is righteous in all he does, and we did not listen to his voice.</w:t>
      </w:r>
    </w:p>
    <w:p>
      <w:r>
        <w:rPr>
          <w:b/>
        </w:rPr>
        <w:t xml:space="preserve">15 </w:t>
      </w:r>
      <w:r>
        <w:t xml:space="preserve">And now, Master, Lord our God, the one who brought out your people from Egypt by your uplifted arm and made for yourself a name as on this day, we sinned, we acted in ignorance.</w:t>
      </w:r>
    </w:p>
    <w:p>
      <w:r>
        <w:rPr>
          <w:b/>
        </w:rPr>
        <w:t xml:space="preserve">16 </w:t>
      </w:r>
      <w:r>
        <w:t xml:space="preserve">Master, according to your righteousness, let your wrath and your anger turn away from your city Jerusalem</w:t>
      </w:r>
      <w:r>
        <w:rPr>
          <w:rStyle w:val="FootnoteReference"/>
        </w:rPr>
        <w:footnoteReference w:id="13426"/>
      </w:r>
      <w:r>
        <w:t xml:space="preserve">, your holy mountain, because by our sins and by the ignorances of our fathers, Jerusalem and your people, Lord, are a reproach among all those around us.</w:t>
      </w:r>
    </w:p>
    <w:p>
      <w:r>
        <w:rPr>
          <w:b/>
        </w:rPr>
        <w:t xml:space="preserve">17 </w:t>
      </w:r>
      <w:r>
        <w:t xml:space="preserve">And now hear, Master, the prayer of your servant and my petitions, and let your face look upon your holy mountain, desolate, for the sake of your servants, Master.</w:t>
      </w:r>
    </w:p>
    <w:p>
      <w:r>
        <w:rPr>
          <w:b/>
        </w:rPr>
        <w:t xml:space="preserve">18 </w:t>
      </w:r>
      <w:r>
        <w:t xml:space="preserve">Incline</w:t>
      </w:r>
      <w:r>
        <w:rPr>
          <w:rStyle w:val="FootnoteReference"/>
        </w:rPr>
        <w:footnoteReference w:id="13427"/>
      </w:r>
      <w:r>
        <w:t xml:space="preserve">, Lord, your ear and hear me; open your eyes and see our desolation and your city upon which your name was called, for not on our righteous acts do we make our petitions before you, but because of your mercy.</w:t>
      </w:r>
    </w:p>
    <w:p>
      <w:r>
        <w:rPr>
          <w:b/>
        </w:rPr>
        <w:t xml:space="preserve">19 </w:t>
      </w:r>
      <w:r>
        <w:t xml:space="preserve">Lord, be reconciled. Lord, hear and act, and do not delay, for your own sake, Master, because your name was called on your city Zion and on your people Israel.</w:t>
      </w:r>
    </w:p>
    <w:p>
      <w:r>
        <w:rPr>
          <w:b/>
        </w:rPr>
        <w:t xml:space="preserve">20 </w:t>
      </w:r>
      <w:r>
        <w:t xml:space="preserve">And while I was still speaking, praying, confessing</w:t>
      </w:r>
      <w:r>
        <w:rPr>
          <w:rStyle w:val="FootnoteReference"/>
        </w:rPr>
        <w:footnoteReference w:id="13428"/>
      </w:r>
      <w:r>
        <w:t xml:space="preserve"> my sins and the sins of my people Israel, and making petitions before the Lord my God for the holy mountain of our God,</w:t>
      </w:r>
    </w:p>
    <w:p>
      <w:r>
        <w:rPr>
          <w:b/>
        </w:rPr>
        <w:t xml:space="preserve">21 </w:t>
      </w:r>
      <w:r>
        <w:t xml:space="preserve">and while I was still speaking in my prayer, behold, the man</w:t>
      </w:r>
      <w:r>
        <w:rPr>
          <w:rStyle w:val="FootnoteReference"/>
        </w:rPr>
        <w:footnoteReference w:id="13429"/>
      </w:r>
      <w:r>
        <w:t xml:space="preserve"> whom I saw at the beginning in my dream, Gabriel, swiftly carried along, came near me at the time of evening sacrifice.</w:t>
      </w:r>
    </w:p>
    <w:p>
      <w:r>
        <w:rPr>
          <w:b/>
        </w:rPr>
        <w:t xml:space="preserve">22 </w:t>
      </w:r>
      <w:r>
        <w:t xml:space="preserve">And he came and spoke with me and said, Daniel, now I came out to show you understanding.</w:t>
      </w:r>
    </w:p>
    <w:p>
      <w:r>
        <w:rPr>
          <w:b/>
        </w:rPr>
        <w:t xml:space="preserve">23 </w:t>
      </w:r>
      <w:r>
        <w:t xml:space="preserve">At the beginning</w:t>
      </w:r>
      <w:r>
        <w:rPr>
          <w:rStyle w:val="FootnoteReference"/>
        </w:rPr>
        <w:footnoteReference w:id="13430"/>
      </w:r>
      <w:r>
        <w:t xml:space="preserve"> of your petition a command went out from the Lord, and I came to show you because you are pitied; so understand the command.</w:t>
      </w:r>
    </w:p>
    <w:p>
      <w:r>
        <w:rPr>
          <w:b/>
        </w:rPr>
        <w:t xml:space="preserve">24 </w:t>
      </w:r>
      <w:r>
        <w:t xml:space="preserve">Seventy weeks</w:t>
      </w:r>
      <w:r>
        <w:rPr>
          <w:rStyle w:val="FootnoteReference"/>
        </w:rPr>
        <w:footnoteReference w:id="13431"/>
      </w:r>
      <w:r>
        <w:t xml:space="preserve"> were determined over your people and over the city Zion, to bring sin to completion and make injustices scarce and wipe out injustices and understand the vision and give eternal righteousness and bring the vision to completion and gladden holy of holies.</w:t>
      </w:r>
    </w:p>
    <w:p>
      <w:r>
        <w:rPr>
          <w:b/>
        </w:rPr>
        <w:t xml:space="preserve">25 </w:t>
      </w:r>
      <w:r>
        <w:t xml:space="preserve">And you will know and understand</w:t>
      </w:r>
      <w:r>
        <w:rPr>
          <w:rStyle w:val="FootnoteReference"/>
        </w:rPr>
        <w:footnoteReference w:id="13432"/>
      </w:r>
      <w:r>
        <w:t xml:space="preserve"> and rejoice and find commands in answer</w:t>
      </w:r>
      <w:r>
        <w:rPr>
          <w:rStyle w:val="FootnoteReference"/>
        </w:rPr>
        <w:footnoteReference w:id="13433"/>
      </w:r>
      <w:r>
        <w:t xml:space="preserve">, and you will build Jerusalem, a city to the Lord.</w:t>
      </w:r>
    </w:p>
    <w:p>
      <w:r>
        <w:rPr>
          <w:b/>
        </w:rPr>
        <w:t xml:space="preserve">26 </w:t>
      </w:r>
      <w:r>
        <w:t xml:space="preserve">And after seven and seventy and sixty-two, anointing will be removed and will not be, and a kingdom of nations will destroy the city and the holy place with the anointed one, and its end will come with wrath, and until the time of completion it will be warred by war.</w:t>
      </w:r>
    </w:p>
    <w:p>
      <w:r>
        <w:rPr>
          <w:b/>
        </w:rPr>
        <w:t xml:space="preserve">27 </w:t>
      </w:r>
      <w:r>
        <w:t xml:space="preserve">And the covenant will prevail over many, and again it will turn back, and it will be rebuilt in breadth and length and according to the completion of times. And after seven and seventy times and sixty-two years, until the time of the completion of war, desolation will be removed when the covenant prevails over many weeks, and at the end of the week the sacrifice and the drink offering will be taken away, and on the sanctuary there will be an abomination of desolations until completion, and completion will be given over the desolation.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In the first year of Cyrus</w:t>
      </w:r>
      <w:r>
        <w:rPr>
          <w:rStyle w:val="FootnoteReference"/>
        </w:rPr>
        <w:footnoteReference w:id="13434"/>
      </w:r>
      <w:r>
        <w:t xml:space="preserve"> king of the Persians, a command was shown to Daniel, whose name was called Belteshazzar, and the vision and the command and the mighty multitude were true. He will understand the command, and I understood it in the vision.</w:t>
      </w:r>
    </w:p>
    <w:p>
      <w:r>
        <w:rPr>
          <w:b/>
        </w:rPr>
        <w:t xml:space="preserve">2 </w:t>
      </w:r>
      <w:r>
        <w:t xml:space="preserve">In those days I, Daniel, was mourning three weeks.</w:t>
      </w:r>
    </w:p>
    <w:p>
      <w:r>
        <w:rPr>
          <w:b/>
        </w:rPr>
        <w:t xml:space="preserve">3 </w:t>
      </w:r>
      <w:r>
        <w:t xml:space="preserve">I ate</w:t>
      </w:r>
      <w:r>
        <w:rPr>
          <w:rStyle w:val="FootnoteReference"/>
        </w:rPr>
        <w:footnoteReference w:id="13435"/>
      </w:r>
      <w:r>
        <w:t xml:space="preserve"> no bread of desire, and meat and wine did not enter my mouth, and I did not anoint myself with oil until I completed the three weeks of days.</w:t>
      </w:r>
    </w:p>
    <w:p>
      <w:r>
        <w:rPr>
          <w:b/>
        </w:rPr>
        <w:t xml:space="preserve">4 </w:t>
      </w:r>
      <w:r>
        <w:t xml:space="preserve">And it happened on the twenty-fourth day of the first month, and I was on the bank of the great river, which is the Tigris.</w:t>
      </w:r>
    </w:p>
    <w:p>
      <w:r>
        <w:rPr>
          <w:b/>
        </w:rPr>
        <w:t xml:space="preserve">5 </w:t>
      </w:r>
      <w:r>
        <w:t xml:space="preserve">And I lifted my eyes and saw, and behold</w:t>
      </w:r>
      <w:r>
        <w:rPr>
          <w:rStyle w:val="FootnoteReference"/>
        </w:rPr>
        <w:footnoteReference w:id="13436"/>
      </w:r>
      <w:r>
        <w:t xml:space="preserve">, one man clothed in fine linen, and his loins girded with fine linen, and light from his midst.</w:t>
      </w:r>
    </w:p>
    <w:p>
      <w:r>
        <w:rPr>
          <w:b/>
        </w:rPr>
        <w:t xml:space="preserve">6 </w:t>
      </w:r>
      <w:r>
        <w:t xml:space="preserve">And his body was like tarshish, and his face</w:t>
      </w:r>
      <w:r>
        <w:rPr>
          <w:rStyle w:val="FootnoteReference"/>
        </w:rPr>
        <w:footnoteReference w:id="13437"/>
      </w:r>
      <w:r>
        <w:t xml:space="preserve"> like the appearance of lightning, and his eyes like lamps of fire, and his arms and feet like flashing bronze, and the voice of his speech was like the voice of a tumult.</w:t>
      </w:r>
    </w:p>
    <w:p>
      <w:r>
        <w:rPr>
          <w:b/>
        </w:rPr>
        <w:t xml:space="preserve">7 </w:t>
      </w:r>
      <w:r>
        <w:t xml:space="preserve">And I, Daniel, saw this great vision, and the men who were with me did not see this vision, and strong fear fell upon them, and they fled in haste.</w:t>
      </w:r>
    </w:p>
    <w:p>
      <w:r>
        <w:rPr>
          <w:b/>
        </w:rPr>
        <w:t xml:space="preserve">8 </w:t>
      </w:r>
      <w:r>
        <w:t xml:space="preserve">And I was</w:t>
      </w:r>
      <w:r>
        <w:rPr>
          <w:rStyle w:val="FootnoteReference"/>
        </w:rPr>
        <w:footnoteReference w:id="13438"/>
      </w:r>
      <w:r>
        <w:t xml:space="preserve"> left alone and saw this great vision, and no strength remained in me, and behold, my spirit turned upon me for ruin, and I did not prevail.</w:t>
      </w:r>
    </w:p>
    <w:p>
      <w:r>
        <w:rPr>
          <w:b/>
        </w:rPr>
        <w:t xml:space="preserve">9 </w:t>
      </w:r>
      <w:r>
        <w:t xml:space="preserve">And I did not hear the voice of his speech; I had fallen on my face upon the earth.</w:t>
      </w:r>
    </w:p>
    <w:p>
      <w:r>
        <w:rPr>
          <w:b/>
        </w:rPr>
        <w:t xml:space="preserve">10 </w:t>
      </w:r>
      <w:r>
        <w:t xml:space="preserve">And behold, a hand touched me and raised me onto my knees and onto the soles of my feet.</w:t>
      </w:r>
    </w:p>
    <w:p>
      <w:r>
        <w:rPr>
          <w:b/>
        </w:rPr>
        <w:t xml:space="preserve">11 </w:t>
      </w:r>
      <w:r>
        <w:t xml:space="preserve">And he said to me, Daniel, you are a pitied man. Understand</w:t>
      </w:r>
      <w:r>
        <w:rPr>
          <w:rStyle w:val="FootnoteReference"/>
        </w:rPr>
        <w:footnoteReference w:id="13439"/>
      </w:r>
      <w:r>
        <w:t xml:space="preserve"> the commands that I speak to you, and stand in your place, for I have now been sent to you. And when he spoke this command with me, I stood trembling.</w:t>
      </w:r>
    </w:p>
    <w:p>
      <w:r>
        <w:rPr>
          <w:b/>
        </w:rPr>
        <w:t xml:space="preserve">12 </w:t>
      </w:r>
      <w:r>
        <w:t xml:space="preserve">And he said to me, Do not fear, Daniel, because from the first day when you set your face to understand and to be humbled before the Lord your God, your word was heard, and I came at your word.</w:t>
      </w:r>
    </w:p>
    <w:p>
      <w:r>
        <w:rPr>
          <w:b/>
        </w:rPr>
        <w:t xml:space="preserve">13 </w:t>
      </w:r>
      <w:r>
        <w:t xml:space="preserve">And the commander of the king of the Persians stood against me twenty-one days, and behold, Michael</w:t>
      </w:r>
      <w:r>
        <w:rPr>
          <w:rStyle w:val="FootnoteReference"/>
        </w:rPr>
        <w:footnoteReference w:id="13440"/>
      </w:r>
      <w:r>
        <w:t xml:space="preserve">, one of the first rulers, came to help me, and I left him there with the commander of the king of the Persians.</w:t>
      </w:r>
    </w:p>
    <w:p>
      <w:r>
        <w:rPr>
          <w:b/>
        </w:rPr>
        <w:t xml:space="preserve">14 </w:t>
      </w:r>
      <w:r>
        <w:t xml:space="preserve">And he said to me, I came to show you what will meet your people in the last days, for the vision</w:t>
      </w:r>
      <w:r>
        <w:rPr>
          <w:rStyle w:val="FootnoteReference"/>
        </w:rPr>
        <w:footnoteReference w:id="13441"/>
      </w:r>
      <w:r>
        <w:t xml:space="preserve"> is still for days.</w:t>
      </w:r>
    </w:p>
    <w:p>
      <w:r>
        <w:rPr>
          <w:b/>
        </w:rPr>
        <w:t xml:space="preserve">15 </w:t>
      </w:r>
      <w:r>
        <w:t xml:space="preserve">And when he spoke these commands with me, I set</w:t>
      </w:r>
      <w:r>
        <w:rPr>
          <w:rStyle w:val="FootnoteReference"/>
        </w:rPr>
        <w:footnoteReference w:id="13442"/>
      </w:r>
      <w:r>
        <w:t xml:space="preserve"> my face to the ground and was silent.</w:t>
      </w:r>
    </w:p>
    <w:p>
      <w:r>
        <w:rPr>
          <w:b/>
        </w:rPr>
        <w:t xml:space="preserve">16 </w:t>
      </w:r>
      <w:r>
        <w:t xml:space="preserve">And behold, something like a human hand touched</w:t>
      </w:r>
      <w:r>
        <w:rPr>
          <w:rStyle w:val="FootnoteReference"/>
        </w:rPr>
        <w:footnoteReference w:id="13443"/>
      </w:r>
      <w:r>
        <w:t xml:space="preserve"> my lips, and I opened my mouth and spoke and said to the one standing opposite me, Lord, at the vision my side turned against me, and there was no strength in me.</w:t>
      </w:r>
    </w:p>
    <w:p>
      <w:r>
        <w:rPr>
          <w:b/>
        </w:rPr>
        <w:t xml:space="preserve">17 </w:t>
      </w:r>
      <w:r>
        <w:t xml:space="preserve">And how can the servant speak with his lord? For I grew weak, and there is no strength in me, and no breath remained in me.</w:t>
      </w:r>
    </w:p>
    <w:p>
      <w:r>
        <w:rPr>
          <w:b/>
        </w:rPr>
        <w:t xml:space="preserve">18 </w:t>
      </w:r>
      <w:r>
        <w:t xml:space="preserve">And he again</w:t>
      </w:r>
      <w:r>
        <w:rPr>
          <w:rStyle w:val="FootnoteReference"/>
        </w:rPr>
        <w:footnoteReference w:id="13444"/>
      </w:r>
      <w:r>
        <w:t xml:space="preserve"> touched me, like the appearance of a man, and strengthened me.</w:t>
      </w:r>
    </w:p>
    <w:p>
      <w:r>
        <w:rPr>
          <w:b/>
        </w:rPr>
        <w:t xml:space="preserve">19 </w:t>
      </w:r>
      <w:r>
        <w:t xml:space="preserve">And he said to me, You are a pitied man. Do not fear. Be well. Act like a man and be strong</w:t>
      </w:r>
      <w:r>
        <w:rPr>
          <w:rStyle w:val="FootnoteReference"/>
        </w:rPr>
        <w:footnoteReference w:id="13445"/>
      </w:r>
      <w:r>
        <w:t xml:space="preserve">. And when he spoke with me, I grew strong and said, Let my lord speak, because you strengthened me.</w:t>
      </w:r>
    </w:p>
    <w:p>
      <w:r>
        <w:rPr>
          <w:b/>
        </w:rPr>
        <w:t xml:space="preserve">20 </w:t>
      </w:r>
      <w:r>
        <w:t xml:space="preserve">And he said to me, Do you know why I came to you? And now I will return to fight</w:t>
      </w:r>
      <w:r>
        <w:rPr>
          <w:rStyle w:val="FootnoteReference"/>
        </w:rPr>
        <w:footnoteReference w:id="13446"/>
      </w:r>
      <w:r>
        <w:t xml:space="preserve"> with the commander of the king of the Persians, and as I was going out, behold, the commander of Greeks was coming in.</w:t>
      </w:r>
    </w:p>
    <w:p>
      <w:r>
        <w:rPr>
          <w:b/>
        </w:rPr>
        <w:t xml:space="preserve">21 </w:t>
      </w:r>
      <w:r>
        <w:t xml:space="preserve">But I will plainly show you first things in the writing of truth, and no one was helping with me concerning these things except Michael</w:t>
      </w:r>
      <w:r>
        <w:rPr>
          <w:rStyle w:val="FootnoteReference"/>
        </w:rPr>
        <w:footnoteReference w:id="13447"/>
      </w:r>
      <w:r>
        <w:t xml:space="preserve"> the angel.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in the first year of Cyrus the king he told me to be strengthened and to act like a man.</w:t>
      </w:r>
    </w:p>
    <w:p>
      <w:r>
        <w:rPr>
          <w:b/>
        </w:rPr>
        <w:t xml:space="preserve">2 </w:t>
      </w:r>
      <w:r>
        <w:t xml:space="preserve">And now I came to show you the truth. Behold, three</w:t>
      </w:r>
      <w:r>
        <w:rPr>
          <w:rStyle w:val="FootnoteReference"/>
        </w:rPr>
        <w:footnoteReference w:id="13448"/>
      </w:r>
      <w:r>
        <w:t xml:space="preserve"> kings have arisen in Persia, and the fourth will become rich with great wealth beyond all, and when he becomes strong in his wealth he will rise up against every king of Greeks.</w:t>
      </w:r>
    </w:p>
    <w:p>
      <w:r>
        <w:rPr>
          <w:b/>
        </w:rPr>
        <w:t xml:space="preserve">3 </w:t>
      </w:r>
      <w:r>
        <w:t xml:space="preserve">And a mighty</w:t>
      </w:r>
      <w:r>
        <w:rPr>
          <w:rStyle w:val="FootnoteReference"/>
        </w:rPr>
        <w:footnoteReference w:id="13449"/>
      </w:r>
      <w:r>
        <w:t xml:space="preserve"> king will arise and rule with great dominion and do as he wishes.</w:t>
      </w:r>
    </w:p>
    <w:p>
      <w:r>
        <w:rPr>
          <w:b/>
        </w:rPr>
        <w:t xml:space="preserve">4 </w:t>
      </w:r>
      <w:r>
        <w:t xml:space="preserve">And when he arises, his kingdom will be shattered and divided to the four winds of heaven, not according to his strength, nor according to his dominion with which he ruled, because his kingdom will be removed, and he will teach these things to others.</w:t>
      </w:r>
    </w:p>
    <w:p>
      <w:r>
        <w:rPr>
          <w:b/>
        </w:rPr>
        <w:t xml:space="preserve">5 </w:t>
      </w:r>
      <w:r>
        <w:t xml:space="preserve">And the kingdom of Egypt will grow strong, and one</w:t>
      </w:r>
      <w:r>
        <w:rPr>
          <w:rStyle w:val="FootnoteReference"/>
        </w:rPr>
        <w:footnoteReference w:id="13450"/>
      </w:r>
      <w:r>
        <w:t xml:space="preserve"> of the rulers will overpower him and exercise dominion, and his own dominion will be great.</w:t>
      </w:r>
    </w:p>
    <w:p>
      <w:r>
        <w:rPr>
          <w:b/>
        </w:rPr>
        <w:t xml:space="preserve">6 </w:t>
      </w:r>
      <w:r>
        <w:t xml:space="preserve">And at the end</w:t>
      </w:r>
      <w:r>
        <w:rPr>
          <w:rStyle w:val="FootnoteReference"/>
        </w:rPr>
        <w:footnoteReference w:id="13451"/>
      </w:r>
      <w:r>
        <w:t xml:space="preserve"> of years the king of Egypt will lead them and enter into the kingdom of the north to make treaties, and he will not prevail, because his arm will not maintain strength, and his arm, along with the arm of those traveling with him, will grow numb; and he will remain for an hour.</w:t>
      </w:r>
    </w:p>
    <w:p>
      <w:r>
        <w:rPr>
          <w:b/>
        </w:rPr>
        <w:t xml:space="preserve">7 </w:t>
      </w:r>
      <w:r>
        <w:t xml:space="preserve">And a shoot from his root will arise on his own, and the king of the north will come against his power with his own strength and make tumult and prevail.</w:t>
      </w:r>
    </w:p>
    <w:p>
      <w:r>
        <w:rPr>
          <w:b/>
        </w:rPr>
        <w:t xml:space="preserve">8 </w:t>
      </w:r>
      <w:r>
        <w:t xml:space="preserve">And he will destroy their gods</w:t>
      </w:r>
      <w:r>
        <w:rPr>
          <w:rStyle w:val="FootnoteReference"/>
        </w:rPr>
        <w:footnoteReference w:id="13452"/>
      </w:r>
      <w:r>
        <w:t xml:space="preserve"> along with their molten images and their crowds, together with vessels of their desire, silver and gold; they will carry them away into captivity to Egypt, and there will be a year for the king of the north.</w:t>
      </w:r>
    </w:p>
    <w:p>
      <w:r>
        <w:rPr>
          <w:b/>
        </w:rPr>
        <w:t xml:space="preserve">9 </w:t>
      </w:r>
      <w:r>
        <w:t xml:space="preserve">And he will enter into the kingdom of Egypt for days and return to his own land.</w:t>
      </w:r>
    </w:p>
    <w:p>
      <w:r>
        <w:rPr>
          <w:b/>
        </w:rPr>
        <w:t xml:space="preserve">10 </w:t>
      </w:r>
      <w:r>
        <w:t xml:space="preserve">And his son will be stirred up and gather an assembly of a great crowd and come sweeping through it; he will pass through and return and be greatly provoked.</w:t>
      </w:r>
    </w:p>
    <w:p>
      <w:r>
        <w:rPr>
          <w:b/>
        </w:rPr>
        <w:t xml:space="preserve">11 </w:t>
      </w:r>
      <w:r>
        <w:t xml:space="preserve">And the king of Egypt will be angered and fight with the king of the north, and the assembly will be delivered into his hands.</w:t>
      </w:r>
    </w:p>
    <w:p>
      <w:r>
        <w:rPr>
          <w:b/>
        </w:rPr>
        <w:t xml:space="preserve">12 </w:t>
      </w:r>
      <w:r>
        <w:t xml:space="preserve">And he will take the assembly, and his heart</w:t>
      </w:r>
      <w:r>
        <w:rPr>
          <w:rStyle w:val="FootnoteReference"/>
        </w:rPr>
        <w:footnoteReference w:id="13453"/>
      </w:r>
      <w:r>
        <w:t xml:space="preserve"> will be lifted up, and he will trouble many, and he will not fear.</w:t>
      </w:r>
    </w:p>
    <w:p>
      <w:r>
        <w:rPr>
          <w:b/>
        </w:rPr>
        <w:t xml:space="preserve">13 </w:t>
      </w:r>
      <w:r>
        <w:t xml:space="preserve">And the king of the north will return and gather a city assembly greater than the first, and at the completion of a year's time he will come against it with a great crowd and much wealth.</w:t>
      </w:r>
    </w:p>
    <w:p>
      <w:r>
        <w:rPr>
          <w:b/>
        </w:rPr>
        <w:t xml:space="preserve">14 </w:t>
      </w:r>
      <w:r>
        <w:t xml:space="preserve">And in those times plans will rise against the king of Egypt, and he will rebuild the fallen things of your nation and rise to establish the prophecy, and they will stumble.</w:t>
      </w:r>
    </w:p>
    <w:p>
      <w:r>
        <w:rPr>
          <w:b/>
        </w:rPr>
        <w:t xml:space="preserve">15 </w:t>
      </w:r>
      <w:r>
        <w:t xml:space="preserve">And the king of the north will come and turn his spears and take the fortified city, and the arms of the king of Egypt will stand with his rulers, and he will have no strength to withstand him.</w:t>
      </w:r>
    </w:p>
    <w:p>
      <w:r>
        <w:rPr>
          <w:b/>
        </w:rPr>
        <w:t xml:space="preserve">16 </w:t>
      </w:r>
      <w:r>
        <w:t xml:space="preserve">And the one coming against him will do according to his will, and there will be none standing against him, and he will stand in the land, and all things will be completed in his hands.</w:t>
      </w:r>
    </w:p>
    <w:p>
      <w:r>
        <w:rPr>
          <w:b/>
        </w:rPr>
        <w:t xml:space="preserve">17 </w:t>
      </w:r>
      <w:r>
        <w:t xml:space="preserve">And he will set his face to come by force with all his work, and he will make treaties with him and give him a daughter of man to destroy her, and she will not obey and will not be.</w:t>
      </w:r>
    </w:p>
    <w:p>
      <w:r>
        <w:rPr>
          <w:b/>
        </w:rPr>
        <w:t xml:space="preserve">18 </w:t>
      </w:r>
      <w:r>
        <w:t xml:space="preserve">And he will set his face toward the sea and take many, and he will turn back the wrath of their reproach with an oath according to his reproach.</w:t>
      </w:r>
    </w:p>
    <w:p>
      <w:r>
        <w:rPr>
          <w:b/>
        </w:rPr>
        <w:t xml:space="preserve">19 </w:t>
      </w:r>
      <w:r>
        <w:t xml:space="preserve">He will turn his face to overpower his own land, and he will stumble and fall and not be found.</w:t>
      </w:r>
    </w:p>
    <w:p>
      <w:r>
        <w:rPr>
          <w:b/>
        </w:rPr>
        <w:t xml:space="preserve">20 </w:t>
      </w:r>
      <w:r>
        <w:t xml:space="preserve">And from his root a shoot of kingdom will arise for a rising, a man striking the glory of the king, and in the last days he will be shattered, but not in anger</w:t>
      </w:r>
      <w:r>
        <w:rPr>
          <w:rStyle w:val="FootnoteReference"/>
        </w:rPr>
        <w:footnoteReference w:id="13454"/>
      </w:r>
      <w:r>
        <w:t xml:space="preserve"> nor in war.</w:t>
      </w:r>
    </w:p>
    <w:p>
      <w:r>
        <w:rPr>
          <w:b/>
        </w:rPr>
        <w:t xml:space="preserve">21 </w:t>
      </w:r>
      <w:r>
        <w:t xml:space="preserve">And in his place a contemptible one will arise, and royal glory will not be given to him, and he will come suddenly and prevail as king in his inheritance.</w:t>
      </w:r>
    </w:p>
    <w:p>
      <w:r>
        <w:rPr>
          <w:b/>
        </w:rPr>
        <w:t xml:space="preserve">22 </w:t>
      </w:r>
      <w:r>
        <w:t xml:space="preserve">And he will shatter the arms that were shattered before him.</w:t>
      </w:r>
    </w:p>
    <w:p>
      <w:r>
        <w:rPr>
          <w:b/>
        </w:rPr>
        <w:t xml:space="preserve">23 </w:t>
      </w:r>
      <w:r>
        <w:t xml:space="preserve">And after the covenant and the people have been joined with him, he will act falsely and go against a strong nation with a small nation.</w:t>
      </w:r>
    </w:p>
    <w:p>
      <w:r>
        <w:rPr>
          <w:b/>
        </w:rPr>
        <w:t xml:space="preserve">24 </w:t>
      </w:r>
      <w:r>
        <w:t xml:space="preserve">Suddenly he will desolate a city and do what neither his fathers nor the fathers of his fathers did. He will give them spoil and plunder and wealth, and he will devise against the strong city, and his schemes are for nothing.</w:t>
      </w:r>
    </w:p>
    <w:p>
      <w:r>
        <w:rPr>
          <w:b/>
        </w:rPr>
        <w:t xml:space="preserve">25 </w:t>
      </w:r>
      <w:r>
        <w:t xml:space="preserve">And his strength and his heart will be stirred against the king of Egypt with a great crowd, and the king of Egypt will be stirred to war with a very strong crowd, and he will not stand, because a scheme will be devised against him.</w:t>
      </w:r>
    </w:p>
    <w:p>
      <w:r>
        <w:rPr>
          <w:b/>
        </w:rPr>
        <w:t xml:space="preserve">26 </w:t>
      </w:r>
      <w:r>
        <w:t xml:space="preserve">And his anxieties will consume him and turn him away, and he will pass through and sweep away, and many wounded will fall.</w:t>
      </w:r>
    </w:p>
    <w:p>
      <w:r>
        <w:rPr>
          <w:b/>
        </w:rPr>
        <w:t xml:space="preserve">27 </w:t>
      </w:r>
      <w:r>
        <w:t xml:space="preserve">And two kings alone will dine together and eat at one table and lie, and they will not prosper, for completion is still for a time.</w:t>
      </w:r>
    </w:p>
    <w:p>
      <w:r>
        <w:rPr>
          <w:b/>
        </w:rPr>
        <w:t xml:space="preserve">28 </w:t>
      </w:r>
      <w:r>
        <w:t xml:space="preserve">And he will return to his land with much wealth, and his heart will be against the holy</w:t>
      </w:r>
      <w:r>
        <w:rPr>
          <w:rStyle w:val="FootnoteReference"/>
        </w:rPr>
        <w:footnoteReference w:id="13455"/>
      </w:r>
      <w:r>
        <w:t xml:space="preserve"> covenant, and he will act and return to his land.</w:t>
      </w:r>
    </w:p>
    <w:p>
      <w:r>
        <w:rPr>
          <w:b/>
        </w:rPr>
        <w:t xml:space="preserve">29 </w:t>
      </w:r>
      <w:r>
        <w:t xml:space="preserve">At the appointed time</w:t>
      </w:r>
      <w:r>
        <w:rPr>
          <w:rStyle w:val="FootnoteReference"/>
        </w:rPr>
        <w:footnoteReference w:id="13456"/>
      </w:r>
      <w:r>
        <w:t xml:space="preserve"> he will enter into Egypt, and it will not be as the first and the last.</w:t>
      </w:r>
    </w:p>
    <w:p>
      <w:r>
        <w:rPr>
          <w:b/>
        </w:rPr>
        <w:t xml:space="preserve">30 </w:t>
      </w:r>
      <w:r>
        <w:t xml:space="preserve">And Romans</w:t>
      </w:r>
      <w:r>
        <w:rPr>
          <w:rStyle w:val="FootnoteReference"/>
        </w:rPr>
        <w:footnoteReference w:id="13457"/>
      </w:r>
      <w:r>
        <w:t xml:space="preserve"> will come and drive him away and be indignant against him, and he will return and be angered against the holy covenant and act. He will return and think against those because they abandoned the holy covenant.</w:t>
      </w:r>
    </w:p>
    <w:p>
      <w:r>
        <w:rPr>
          <w:b/>
        </w:rPr>
        <w:t xml:space="preserve">31 </w:t>
      </w:r>
      <w:r>
        <w:t xml:space="preserve">And arms</w:t>
      </w:r>
      <w:r>
        <w:rPr>
          <w:rStyle w:val="FootnoteReference"/>
        </w:rPr>
        <w:footnoteReference w:id="13458"/>
      </w:r>
      <w:r>
        <w:t xml:space="preserve"> from him will arise and defile the sanctuary of fear and remove the sacrifice and set an abomination of desolation.</w:t>
      </w:r>
    </w:p>
    <w:p>
      <w:r>
        <w:rPr>
          <w:b/>
        </w:rPr>
        <w:t xml:space="preserve">32 </w:t>
      </w:r>
      <w:r>
        <w:t xml:space="preserve">And with sins of the covenant they will defile among a hard people, and the people knowing these things will prevail and act.</w:t>
      </w:r>
    </w:p>
    <w:p>
      <w:r>
        <w:rPr>
          <w:b/>
        </w:rPr>
        <w:t xml:space="preserve">33 </w:t>
      </w:r>
      <w:r>
        <w:t xml:space="preserve">And those of the nation who understand</w:t>
      </w:r>
      <w:r>
        <w:rPr>
          <w:rStyle w:val="FootnoteReference"/>
        </w:rPr>
        <w:footnoteReference w:id="13459"/>
      </w:r>
      <w:r>
        <w:t xml:space="preserve"> will instruct many, and they will stumble by sword and grow worn by it, and in captivity and in plunder for days they will be stained.</w:t>
      </w:r>
    </w:p>
    <w:p>
      <w:r>
        <w:rPr>
          <w:b/>
        </w:rPr>
        <w:t xml:space="preserve">34 </w:t>
      </w:r>
      <w:r>
        <w:t xml:space="preserve">And when they are being shattered they will gather a little strength, and many will be gathered to them by a city, and many as by inheritance.</w:t>
      </w:r>
    </w:p>
    <w:p>
      <w:r>
        <w:rPr>
          <w:b/>
        </w:rPr>
        <w:t xml:space="preserve">35 </w:t>
      </w:r>
      <w:r>
        <w:t xml:space="preserve">And from those understanding they will ponder to purify themselves and to be chosen and to be cleansed until the time of completion, for time is still for an hour.</w:t>
      </w:r>
    </w:p>
    <w:p>
      <w:r>
        <w:rPr>
          <w:b/>
        </w:rPr>
        <w:t xml:space="preserve">36 </w:t>
      </w:r>
      <w:r>
        <w:t xml:space="preserve">And the king will do according to his will, and he will be provoked and exalt</w:t>
      </w:r>
      <w:r>
        <w:rPr>
          <w:rStyle w:val="FootnoteReference"/>
        </w:rPr>
        <w:footnoteReference w:id="13460"/>
      </w:r>
      <w:r>
        <w:t xml:space="preserve"> himself over every god, and against the God of gods he will speak strange things and prosper until the wrath is completed, because completion is being made for him.</w:t>
      </w:r>
    </w:p>
    <w:p>
      <w:r>
        <w:rPr>
          <w:b/>
        </w:rPr>
        <w:t xml:space="preserve">37 </w:t>
      </w:r>
      <w:r>
        <w:t xml:space="preserve">And for the gods of his fathers he will show no concern, and for the desire</w:t>
      </w:r>
      <w:r>
        <w:rPr>
          <w:rStyle w:val="FootnoteReference"/>
        </w:rPr>
        <w:footnoteReference w:id="13461"/>
      </w:r>
      <w:r>
        <w:t xml:space="preserve"> of a woman he will show no concern, because he will be exalted in everything, and strong nations will be subjected to him.</w:t>
      </w:r>
    </w:p>
    <w:p>
      <w:r>
        <w:rPr>
          <w:b/>
        </w:rPr>
        <w:t xml:space="preserve">38 </w:t>
      </w:r>
      <w:r>
        <w:t xml:space="preserve">In his place he will set in motion and honor a god</w:t>
      </w:r>
      <w:r>
        <w:rPr>
          <w:rStyle w:val="FootnoteReference"/>
        </w:rPr>
        <w:footnoteReference w:id="13462"/>
      </w:r>
      <w:r>
        <w:t xml:space="preserve"> whom his fathers did not know with gold and silver and a precious stone and choice things.</w:t>
      </w:r>
    </w:p>
    <w:p>
      <w:r>
        <w:rPr>
          <w:b/>
        </w:rPr>
        <w:t xml:space="preserve">39 </w:t>
      </w:r>
      <w:r>
        <w:t xml:space="preserve">He will make cities and come into a strong fortress with a foreign god; if he recognizes him, he will increase in glory and rule over much and divide land as a gift.</w:t>
      </w:r>
    </w:p>
    <w:p>
      <w:r>
        <w:rPr>
          <w:b/>
        </w:rPr>
        <w:t xml:space="preserve">40 </w:t>
      </w:r>
      <w:r>
        <w:t xml:space="preserve">And at the</w:t>
      </w:r>
      <w:r>
        <w:rPr>
          <w:rStyle w:val="FootnoteReference"/>
        </w:rPr>
        <w:footnoteReference w:id="13463"/>
      </w:r>
      <w:r>
        <w:t xml:space="preserve"> time of completion the king of Egypt will butt against him, and the king of the north will be enraged against him with chariots and many horses and many ships, and he will enter into the land of Egypt.</w:t>
      </w:r>
    </w:p>
    <w:p>
      <w:r>
        <w:rPr>
          <w:b/>
        </w:rPr>
        <w:t xml:space="preserve">41 </w:t>
      </w:r>
      <w:r>
        <w:t xml:space="preserve">And he will come against my land.</w:t>
      </w:r>
    </w:p>
    <w:p>
      <w:r>
        <w:rPr>
          <w:b/>
        </w:rPr>
        <w:t xml:space="preserve">42 </w:t>
      </w:r>
      <w:r>
        <w:t xml:space="preserve">And in the land of Egypt there will be no one escaping in it.</w:t>
      </w:r>
    </w:p>
    <w:p>
      <w:r>
        <w:rPr>
          <w:b/>
        </w:rPr>
        <w:t xml:space="preserve">43 </w:t>
      </w:r>
      <w:r>
        <w:t xml:space="preserve">And he will seize the place of gold and the place of silver and every desirable thing of Egypt, and Libyans and Ethiopians will be in his crowd.</w:t>
      </w:r>
    </w:p>
    <w:p>
      <w:r>
        <w:rPr>
          <w:b/>
        </w:rPr>
        <w:t xml:space="preserve">44 </w:t>
      </w:r>
      <w:r>
        <w:t xml:space="preserve">And a report from the east</w:t>
      </w:r>
      <w:r>
        <w:rPr>
          <w:rStyle w:val="FootnoteReference"/>
        </w:rPr>
        <w:footnoteReference w:id="13464"/>
      </w:r>
      <w:r>
        <w:t xml:space="preserve"> and north will trouble him, and he will go out in strong wrath and with a sword to destroy and kill many.</w:t>
      </w:r>
    </w:p>
    <w:p>
      <w:r>
        <w:rPr>
          <w:b/>
        </w:rPr>
        <w:t xml:space="preserve">45 </w:t>
      </w:r>
      <w:r>
        <w:t xml:space="preserve">And then he will set his tent between</w:t>
      </w:r>
      <w:r>
        <w:rPr>
          <w:rStyle w:val="FootnoteReference"/>
        </w:rPr>
        <w:footnoteReference w:id="13465"/>
      </w:r>
      <w:r>
        <w:t xml:space="preserve"> the seas and the mountain of desire of the holy place, and the hour of his completion will come, and there will be no one helping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at that</w:t>
      </w:r>
      <w:r>
        <w:rPr>
          <w:rStyle w:val="FootnoteReference"/>
        </w:rPr>
        <w:footnoteReference w:id="13466"/>
      </w:r>
      <w:r>
        <w:t xml:space="preserve"> time Michael will come, the great angel standing over the sons of your people. That day will be a day of distress such as has not happened from time they came to be until that day, and in that day all the people found written in the book will be exalted.</w:t>
      </w:r>
    </w:p>
    <w:p>
      <w:r>
        <w:rPr>
          <w:b/>
        </w:rPr>
        <w:t xml:space="preserve">2 </w:t>
      </w:r>
      <w:r>
        <w:t xml:space="preserve">And many of those sleeping in the breadth of the earth will rise, some to eternal life, some to reproach, some to scattering and eternal shame.</w:t>
      </w:r>
    </w:p>
    <w:p>
      <w:r>
        <w:rPr>
          <w:b/>
        </w:rPr>
        <w:t xml:space="preserve">3 </w:t>
      </w:r>
      <w:r>
        <w:t xml:space="preserve">And those understanding will shine</w:t>
      </w:r>
      <w:r>
        <w:rPr>
          <w:rStyle w:val="FootnoteReference"/>
        </w:rPr>
        <w:footnoteReference w:id="13467"/>
      </w:r>
      <w:r>
        <w:t xml:space="preserve"> like the lights of heaven, and those prevailing in my words like the stars of heaven forever and ever.</w:t>
      </w:r>
    </w:p>
    <w:p>
      <w:r>
        <w:rPr>
          <w:b/>
        </w:rPr>
        <w:t xml:space="preserve">4 </w:t>
      </w:r>
      <w:r>
        <w:t xml:space="preserve">And you, Daniel, conceal the commands and seal the book until the time of completion, until many go mad and the earth is filled with injustice.</w:t>
      </w:r>
    </w:p>
    <w:p>
      <w:r>
        <w:rPr>
          <w:b/>
        </w:rPr>
        <w:t xml:space="preserve">5 </w:t>
      </w:r>
      <w:r>
        <w:t xml:space="preserve">And I, Daniel, saw, and behold, two others were standing, one on this side of the river</w:t>
      </w:r>
      <w:r>
        <w:rPr>
          <w:rStyle w:val="FootnoteReference"/>
        </w:rPr>
        <w:footnoteReference w:id="13468"/>
      </w:r>
      <w:r>
        <w:t xml:space="preserve"> and one on that side.</w:t>
      </w:r>
    </w:p>
    <w:p>
      <w:r>
        <w:rPr>
          <w:b/>
        </w:rPr>
        <w:t xml:space="preserve">6 </w:t>
      </w:r>
      <w:r>
        <w:t xml:space="preserve">And I said to the one clothed in fine linen above, When then is the completion of these wonders you told me, and the cleansing of these things?</w:t>
      </w:r>
    </w:p>
    <w:p>
      <w:r>
        <w:rPr>
          <w:b/>
        </w:rPr>
        <w:t xml:space="preserve">7 </w:t>
      </w:r>
      <w:r>
        <w:t xml:space="preserve">And I heard the one clothed in fine linen, who was above the water of the river, until the time of completion, and he lifted his right hand and his left hand to heaven and swore by the living God forever that for a time and times and half a time is the completion of release-hands of a holy people, and all these things will be completed.</w:t>
      </w:r>
    </w:p>
    <w:p>
      <w:r>
        <w:rPr>
          <w:b/>
        </w:rPr>
        <w:t xml:space="preserve">8 </w:t>
      </w:r>
      <w:r>
        <w:t xml:space="preserve">And I heard and did not understand from him the time, and I said, Lord, what is the solution of this word, and whose are these parables?</w:t>
      </w:r>
    </w:p>
    <w:p>
      <w:r>
        <w:rPr>
          <w:b/>
        </w:rPr>
        <w:t xml:space="preserve">9 </w:t>
      </w:r>
      <w:r>
        <w:t xml:space="preserve">And he said to me, Go away, Daniel, because the commands are hidden and sealed until</w:t>
      </w:r>
      <w:r>
        <w:rPr>
          <w:rStyle w:val="FootnoteReference"/>
        </w:rPr>
        <w:footnoteReference w:id="13469"/>
      </w:r>
      <w:r>
        <w:t xml:space="preserve"/>
      </w:r>
    </w:p>
    <w:p>
      <w:r>
        <w:rPr>
          <w:b/>
        </w:rPr>
        <w:t xml:space="preserve">10 </w:t>
      </w:r>
      <w:r>
        <w:t xml:space="preserve">Many will be tested and sanctified, and the sinners will sin, and all the sinners will not understand, but those understanding will pay attention.</w:t>
      </w:r>
    </w:p>
    <w:p>
      <w:r>
        <w:rPr>
          <w:b/>
        </w:rPr>
        <w:t xml:space="preserve">11 </w:t>
      </w:r>
      <w:r>
        <w:t xml:space="preserve">From the time</w:t>
      </w:r>
      <w:r>
        <w:rPr>
          <w:rStyle w:val="FootnoteReference"/>
        </w:rPr>
        <w:footnoteReference w:id="13470"/>
      </w:r>
      <w:r>
        <w:t xml:space="preserve"> the sacrifice is removed continually and the abomination of desolation is prepared to be given, there will be one thousand two hundred ninety days.</w:t>
      </w:r>
    </w:p>
    <w:p>
      <w:r>
        <w:rPr>
          <w:b/>
        </w:rPr>
        <w:t xml:space="preserve">12 </w:t>
      </w:r>
      <w:r>
        <w:t xml:space="preserve">Blessed is the one remaining and gathering to one thousand three hundred thirty-five days.</w:t>
      </w:r>
    </w:p>
    <w:p>
      <w:r>
        <w:rPr>
          <w:b/>
        </w:rPr>
        <w:t xml:space="preserve">13 </w:t>
      </w:r>
      <w:r>
        <w:t xml:space="preserve">And you, go, rest</w:t>
      </w:r>
      <w:r>
        <w:rPr>
          <w:rStyle w:val="FootnoteReference"/>
        </w:rPr>
        <w:footnoteReference w:id="13471"/>
      </w:r>
      <w:r>
        <w:t xml:space="preserve">, for there are still days and hours for the completion of the end, and you will rest and rise to your glory at the completion of days.</w:t>
      </w:r>
    </w:p>
    <w:p>
      <w:r>
        <w:br w:type="page"/>
      </w:r>
    </w:p>
    <w:p>
      <w:pPr>
        <w:pStyle w:val="Heading1"/>
      </w:pPr>
      <w:r>
        <w:t xml:space="preserve">Hosea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word of the Lord that came to Hosea</w:t>
      </w:r>
      <w:r>
        <w:rPr>
          <w:rStyle w:val="FootnoteReference"/>
        </w:rPr>
        <w:footnoteReference w:id="13472"/>
      </w:r>
      <w:r>
        <w:t xml:space="preserve"> son of Beeri in the days of Uzziah and Jotham and Ahaz and Hezekiah, kings of Judah, and in the days of Jeroboam son of Joash, king of Israel.</w:t>
      </w:r>
      <w:r>
        <w:rPr>
          <w:rStyle w:val="FootnoteReference"/>
        </w:rPr>
        <w:footnoteReference w:id="13473"/>
      </w:r>
    </w:p>
    <w:p>
      <w:r>
        <w:rPr>
          <w:b/>
        </w:rPr>
        <w:t xml:space="preserve">2 </w:t>
      </w:r>
      <w:r>
        <w:t xml:space="preserve">The beginning of the word of the Lord to Hosea. And the Lord said to Hosea, Go, take for yourself a wife of whoredom and children</w:t>
      </w:r>
      <w:r>
        <w:rPr>
          <w:rStyle w:val="FootnoteReference"/>
        </w:rPr>
        <w:footnoteReference w:id="13474"/>
      </w:r>
      <w:r>
        <w:t xml:space="preserve"> of whoredom, because the land, prostituting itself, will prostitute itself away from the Lord.</w:t>
      </w:r>
    </w:p>
    <w:p>
      <w:r>
        <w:rPr>
          <w:b/>
        </w:rPr>
        <w:t xml:space="preserve">3 </w:t>
      </w:r>
      <w:r>
        <w:t xml:space="preserve">And he went and took Gomer daughter of Diblaim</w:t>
      </w:r>
      <w:r>
        <w:rPr>
          <w:rStyle w:val="FootnoteReference"/>
        </w:rPr>
        <w:footnoteReference w:id="13475"/>
      </w:r>
      <w:r>
        <w:t xml:space="preserve">, and she conceived and bore him a son.</w:t>
      </w:r>
    </w:p>
    <w:p>
      <w:r>
        <w:rPr>
          <w:b/>
        </w:rPr>
        <w:t xml:space="preserve">4 </w:t>
      </w:r>
      <w:r>
        <w:t xml:space="preserve">And the Lord said to him, Call</w:t>
      </w:r>
      <w:r>
        <w:rPr>
          <w:rStyle w:val="FootnoteReference"/>
        </w:rPr>
        <w:footnoteReference w:id="13476"/>
      </w:r>
      <w:r>
        <w:t xml:space="preserve"> his name Jezreel, because a little while longer and I will avenge the blood of Jezreel upon the house of Jehu and make the kingdom of the house of Israel cease.</w:t>
      </w:r>
    </w:p>
    <w:p>
      <w:r>
        <w:rPr>
          <w:b/>
        </w:rPr>
        <w:t xml:space="preserve">5 </w:t>
      </w:r>
      <w:r>
        <w:t xml:space="preserve">And it will be in that day: I will shatter the bow of Israel in the valley of Jezreel.</w:t>
      </w:r>
    </w:p>
    <w:p>
      <w:r>
        <w:rPr>
          <w:b/>
        </w:rPr>
        <w:t xml:space="preserve">6 </w:t>
      </w:r>
      <w:r>
        <w:t xml:space="preserve">And she conceived again and bore a daughter. And he said to him, Call her name Not-Shown-Mercy, because I will no longer continue to show mercy to the house of Israel, but in opposing I will oppose them.</w:t>
      </w:r>
    </w:p>
    <w:p>
      <w:r>
        <w:rPr>
          <w:b/>
        </w:rPr>
        <w:t xml:space="preserve">7 </w:t>
      </w:r>
      <w:r>
        <w:t xml:space="preserve">But the sons of Judah I will show mercy to and save them in the Lord their God, and I will not save them by a bow nor by a sword nor by war nor by chariots nor by horses nor by horsemen.</w:t>
      </w:r>
    </w:p>
    <w:p>
      <w:r>
        <w:rPr>
          <w:b/>
        </w:rPr>
        <w:t xml:space="preserve">8 </w:t>
      </w:r>
      <w:r>
        <w:t xml:space="preserve">And she weaned Not-Shown-Mercy and conceived again and bore a son.</w:t>
      </w:r>
    </w:p>
    <w:p>
      <w:r>
        <w:rPr>
          <w:b/>
        </w:rPr>
        <w:t xml:space="preserve">9 </w:t>
      </w:r>
      <w:r>
        <w:t xml:space="preserve">And he said, Call his name Not-My-People, because you are not my people and I am not yours.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the number of the sons of Israel was like the sand of the sea, which will not be measured or numbered. And it will be in the place where it was said to them, You are not my people, there they will be called sons of the living God.</w:t>
      </w:r>
    </w:p>
    <w:p>
      <w:r>
        <w:rPr>
          <w:b/>
        </w:rPr>
        <w:t xml:space="preserve">2 </w:t>
      </w:r>
      <w:r>
        <w:t xml:space="preserve">And the sons of Judah and the sons of Israel will be gathered together, and they will appoint for themselves one head, and they will come up from the land, because great is the day of Jezreel.</w:t>
      </w:r>
    </w:p>
    <w:p>
      <w:r>
        <w:rPr>
          <w:b/>
        </w:rPr>
        <w:t xml:space="preserve">3 </w:t>
      </w:r>
      <w:r>
        <w:t xml:space="preserve">Say to your brother, My-People, and to your sister, Shown-Mercy.</w:t>
      </w:r>
    </w:p>
    <w:p>
      <w:r>
        <w:rPr>
          <w:b/>
        </w:rPr>
        <w:t xml:space="preserve">4 </w:t>
      </w:r>
      <w:r>
        <w:t xml:space="preserve">Contend with your mother, contend, because she is not my wife and I am not her husband; and I will remove her whoredom from my face and her adultery from between her breasts,</w:t>
      </w:r>
    </w:p>
    <w:p>
      <w:r>
        <w:rPr>
          <w:b/>
        </w:rPr>
        <w:t xml:space="preserve">5 </w:t>
      </w:r>
      <w:r>
        <w:t xml:space="preserve">lest I strip her naked and restore her as on the day of her birth and make her like a wilderness and appoint her like a waterless land and kill her with thirst.</w:t>
      </w:r>
    </w:p>
    <w:p>
      <w:r>
        <w:rPr>
          <w:b/>
        </w:rPr>
        <w:t xml:space="preserve">6 </w:t>
      </w:r>
      <w:r>
        <w:t xml:space="preserve">And on her children I will show no mercy, because they are children of whoredom.</w:t>
      </w:r>
    </w:p>
    <w:p>
      <w:r>
        <w:rPr>
          <w:b/>
        </w:rPr>
        <w:t xml:space="preserve">7 </w:t>
      </w:r>
      <w:r>
        <w:t xml:space="preserve">Because their mother prostituted herself; the one who bore them was put to shame, for she said, I will go after my lovers, the ones giving me my breads and my water and my garments and my linens and my oil and all things fitting for me.</w:t>
      </w:r>
    </w:p>
    <w:p>
      <w:r>
        <w:rPr>
          <w:b/>
        </w:rPr>
        <w:t xml:space="preserve">8 </w:t>
      </w:r>
      <w:r>
        <w:t xml:space="preserve">Therefore behold, I am fencing in her way with thorns and I will build up her ways, and she will not find her path.</w:t>
      </w:r>
    </w:p>
    <w:p>
      <w:r>
        <w:rPr>
          <w:b/>
        </w:rPr>
        <w:t xml:space="preserve">9 </w:t>
      </w:r>
      <w:r>
        <w:t xml:space="preserve">And she will pursue her lovers and will not catch them, and she will seek them and will not find them, and she will say, I will go and return to my former husband, because it was better for me then than now.</w:t>
      </w:r>
    </w:p>
    <w:p>
      <w:r>
        <w:rPr>
          <w:b/>
        </w:rPr>
        <w:t xml:space="preserve">10 </w:t>
      </w:r>
      <w:r>
        <w:t xml:space="preserve">And she did not know that I gave her grain and wine and oil, and I multiplied silver for her; but she made silver and gold for Baal.</w:t>
      </w:r>
    </w:p>
    <w:p>
      <w:r>
        <w:rPr>
          <w:b/>
        </w:rPr>
        <w:t xml:space="preserve">11 </w:t>
      </w:r>
      <w:r>
        <w:t xml:space="preserve">Therefore I will return and recover my grain in its season and my wine in its time, and I will take away my garments and my linens from covering her shame.</w:t>
      </w:r>
    </w:p>
    <w:p>
      <w:r>
        <w:rPr>
          <w:b/>
        </w:rPr>
        <w:t xml:space="preserve">12 </w:t>
      </w:r>
      <w:r>
        <w:t xml:space="preserve">And now I will uncover her uncleanness before her lovers, and no one will ever deliver her from my hand.</w:t>
      </w:r>
    </w:p>
    <w:p>
      <w:r>
        <w:rPr>
          <w:b/>
        </w:rPr>
        <w:t xml:space="preserve">13 </w:t>
      </w:r>
      <w:r>
        <w:t xml:space="preserve">And I will turn away all her gladness, her feasts and her new moons and her Sabbaths and all her festivals.</w:t>
      </w:r>
    </w:p>
    <w:p>
      <w:r>
        <w:rPr>
          <w:b/>
        </w:rPr>
        <w:t xml:space="preserve">14 </w:t>
      </w:r>
      <w:r>
        <w:t xml:space="preserve">And I will destroy her vine and her fig trees, of which she said, These are my wages that my lovers gave me, and I will turn them into a testimony, and the beasts of the field and the birds of heaven and the reptiles of the earth will devour them.</w:t>
      </w:r>
    </w:p>
    <w:p>
      <w:r>
        <w:rPr>
          <w:b/>
        </w:rPr>
        <w:t xml:space="preserve">15 </w:t>
      </w:r>
      <w:r>
        <w:t xml:space="preserve">And I will avenge on her for the days of the Baals in which she sacrificed to them and put on her earrings and her necklaces and went after her lovers, but forgot me, says the Lord.</w:t>
      </w:r>
    </w:p>
    <w:p>
      <w:r>
        <w:rPr>
          <w:b/>
        </w:rPr>
        <w:t xml:space="preserve">16 </w:t>
      </w:r>
      <w:r>
        <w:t xml:space="preserve">Therefore behold, I will lead her astray and appoint her to the wilderness and speak to her heart.</w:t>
      </w:r>
    </w:p>
    <w:p>
      <w:r>
        <w:rPr>
          <w:b/>
        </w:rPr>
        <w:t xml:space="preserve">17 </w:t>
      </w:r>
      <w:r>
        <w:t xml:space="preserve">And I will give her her possessions from there and the valley of Achor to open her understanding, and she will be humbled there as in the days of her childhood and as in the days of her coming up from the land of Egypt.</w:t>
      </w:r>
    </w:p>
    <w:p>
      <w:r>
        <w:rPr>
          <w:b/>
        </w:rPr>
        <w:t xml:space="preserve">18 </w:t>
      </w:r>
      <w:r>
        <w:t xml:space="preserve">And it will be in that day</w:t>
      </w:r>
      <w:r>
        <w:rPr>
          <w:rStyle w:val="FootnoteReference"/>
        </w:rPr>
        <w:footnoteReference w:id="13477"/>
      </w:r>
      <w:r>
        <w:t xml:space="preserve">, says the Lord, she will call me My-Husband and will no longer call me Baalim.</w:t>
      </w:r>
    </w:p>
    <w:p>
      <w:r>
        <w:rPr>
          <w:b/>
        </w:rPr>
        <w:t xml:space="preserve">19 </w:t>
      </w:r>
      <w:r>
        <w:t xml:space="preserve">And I will</w:t>
      </w:r>
      <w:r>
        <w:rPr>
          <w:rStyle w:val="FootnoteReference"/>
        </w:rPr>
        <w:footnoteReference w:id="13478"/>
      </w:r>
      <w:r>
        <w:t xml:space="preserve"> remove the names of the Baals from her mouth, and their names will no longer be remembered.</w:t>
      </w:r>
    </w:p>
    <w:p>
      <w:r>
        <w:rPr>
          <w:b/>
        </w:rPr>
        <w:t xml:space="preserve">20 </w:t>
      </w:r>
      <w:r>
        <w:t xml:space="preserve">And in that day I will make a covenant for them with the beasts of the field and the birds of heaven and the reptiles of the earth, and I will shatter bow and sword and war from the land and make you dwell in hope.</w:t>
      </w:r>
    </w:p>
    <w:p>
      <w:r>
        <w:rPr>
          <w:b/>
        </w:rPr>
        <w:t xml:space="preserve">21 </w:t>
      </w:r>
      <w:r>
        <w:t xml:space="preserve">And I will betroth you to myself forever, and I will betroth you to myself in righteousness and in judgment and in mercy and in compassions.</w:t>
      </w:r>
    </w:p>
    <w:p>
      <w:r>
        <w:rPr>
          <w:b/>
        </w:rPr>
        <w:t xml:space="preserve">22 </w:t>
      </w:r>
      <w:r>
        <w:t xml:space="preserve">And I will betroth you to myself in faithfulness, and you will know the Lord.</w:t>
      </w:r>
    </w:p>
    <w:p>
      <w:r>
        <w:rPr>
          <w:b/>
        </w:rPr>
        <w:t xml:space="preserve">23 </w:t>
      </w:r>
      <w:r>
        <w:t xml:space="preserve">And it will be in that day, says the Lord, I will hear the heaven, and the heaven will hear the earth,</w:t>
      </w:r>
    </w:p>
    <w:p>
      <w:r>
        <w:rPr>
          <w:b/>
        </w:rPr>
        <w:t xml:space="preserve">24 </w:t>
      </w:r>
      <w:r>
        <w:t xml:space="preserve">and the earth will hear the grain and the wine and the oil, and these will hear Jezreel.</w:t>
      </w:r>
    </w:p>
    <w:p>
      <w:r>
        <w:rPr>
          <w:b/>
        </w:rPr>
        <w:t xml:space="preserve">25 </w:t>
      </w:r>
      <w:r>
        <w:t xml:space="preserve">And I will sow her for myself upon the land, and I will show mercy to Not-Shown-Mercy, and I will say to Not-My-People, You are my people, and he himself will say, You are the Lord my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the Lord said to me, Go again, love a woman loving evil things and an adulteress, just as God loves the sons of Israel, and they look</w:t>
      </w:r>
      <w:r>
        <w:rPr>
          <w:rStyle w:val="FootnoteReference"/>
        </w:rPr>
        <w:footnoteReference w:id="13479"/>
      </w:r>
      <w:r>
        <w:t xml:space="preserve"> to foreign gods and love raisin cakes.</w:t>
      </w:r>
    </w:p>
    <w:p>
      <w:r>
        <w:rPr>
          <w:b/>
        </w:rPr>
        <w:t xml:space="preserve">2 </w:t>
      </w:r>
      <w:r>
        <w:t xml:space="preserve">And I hired her for myself for fifteen pieces of silver and a homer of barley and a jar of wine.</w:t>
      </w:r>
    </w:p>
    <w:p>
      <w:r>
        <w:rPr>
          <w:b/>
        </w:rPr>
        <w:t xml:space="preserve">3 </w:t>
      </w:r>
      <w:r>
        <w:t xml:space="preserve">And I said to her, Many days you will sit with me, and you will not prostitute yourself, nor will you become another man's; and I also will be toward you.</w:t>
      </w:r>
    </w:p>
    <w:p>
      <w:r>
        <w:rPr>
          <w:b/>
        </w:rPr>
        <w:t xml:space="preserve">4 </w:t>
      </w:r>
      <w:r>
        <w:t xml:space="preserve">Because many days the sons of Israel will sit without a king</w:t>
      </w:r>
      <w:r>
        <w:rPr>
          <w:rStyle w:val="FootnoteReference"/>
        </w:rPr>
        <w:footnoteReference w:id="13480"/>
      </w:r>
      <w:r>
        <w:t xml:space="preserve"> and without a ruler and without sacrifice and without an altar and without priesthood and without disclosures</w:t>
      </w:r>
      <w:r>
        <w:rPr>
          <w:rStyle w:val="FootnoteReference"/>
        </w:rPr>
        <w:footnoteReference w:id="13481"/>
      </w:r>
      <w:r>
        <w:t xml:space="preserve">.</w:t>
      </w:r>
    </w:p>
    <w:p>
      <w:r>
        <w:rPr>
          <w:b/>
        </w:rPr>
        <w:t xml:space="preserve">5 </w:t>
      </w:r>
      <w:r>
        <w:t xml:space="preserve">And after these things the sons of Israel will return and seek</w:t>
      </w:r>
      <w:r>
        <w:rPr>
          <w:rStyle w:val="FootnoteReference"/>
        </w:rPr>
        <w:footnoteReference w:id="13482"/>
      </w:r>
      <w:r>
        <w:t xml:space="preserve"> the Lord their God and David their king and stand amazed at the Lord and at his good things in the last days.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Hear</w:t>
      </w:r>
      <w:r>
        <w:rPr>
          <w:rStyle w:val="FootnoteReference"/>
        </w:rPr>
        <w:footnoteReference w:id="13483"/>
      </w:r>
      <w:r>
        <w:t xml:space="preserve"> the word of the Lord, sons of Israel, because the Lord has a case against the inhabitants of the land, because there is no truth nor mercy nor knowledge of God upon the land</w:t>
      </w:r>
      <w:r>
        <w:rPr>
          <w:rStyle w:val="FootnoteReference"/>
        </w:rPr>
        <w:footnoteReference w:id="13484"/>
      </w:r>
      <w:r>
        <w:t xml:space="preserve">.</w:t>
      </w:r>
    </w:p>
    <w:p>
      <w:r>
        <w:rPr>
          <w:b/>
        </w:rPr>
        <w:t xml:space="preserve">2 </w:t>
      </w:r>
      <w:r>
        <w:t xml:space="preserve">Curse and lie and murder and theft and adultery have been poured out upon the land, and bloods mix with bloods.</w:t>
      </w:r>
    </w:p>
    <w:p>
      <w:r>
        <w:rPr>
          <w:b/>
        </w:rPr>
        <w:t xml:space="preserve">3 </w:t>
      </w:r>
      <w:r>
        <w:t xml:space="preserve">Therefore the land will mourn and be diminished with all inhabiting it, with the beasts</w:t>
      </w:r>
      <w:r>
        <w:rPr>
          <w:rStyle w:val="FootnoteReference"/>
        </w:rPr>
        <w:footnoteReference w:id="13485"/>
      </w:r>
      <w:r>
        <w:t xml:space="preserve"> of the field and with the reptiles of the earth and with the birds of heaven, and the fish of the sea will fail.</w:t>
      </w:r>
    </w:p>
    <w:p>
      <w:r>
        <w:rPr>
          <w:b/>
        </w:rPr>
        <w:t xml:space="preserve">4 </w:t>
      </w:r>
      <w:r>
        <w:t xml:space="preserve">Let no one judge and let no one rebuke, for my people are like a priest being contradicted.</w:t>
      </w:r>
    </w:p>
    <w:p>
      <w:r>
        <w:rPr>
          <w:b/>
        </w:rPr>
        <w:t xml:space="preserve">5 </w:t>
      </w:r>
      <w:r>
        <w:t xml:space="preserve">And you will grow weak by day, and a prophet with you will also grow weak by night; I made your mother like you.</w:t>
      </w:r>
    </w:p>
    <w:p>
      <w:r>
        <w:rPr>
          <w:b/>
        </w:rPr>
        <w:t xml:space="preserve">6 </w:t>
      </w:r>
      <w:r>
        <w:t xml:space="preserve">My people</w:t>
      </w:r>
      <w:r>
        <w:rPr>
          <w:rStyle w:val="FootnoteReference"/>
        </w:rPr>
        <w:footnoteReference w:id="13486"/>
      </w:r>
      <w:r>
        <w:t xml:space="preserve"> became like those having no knowledge. Because you rejected knowledge, I also will reject you from serving as priest to me. And you forgot the law of your God; I also will forget your children.</w:t>
      </w:r>
      <w:r>
        <w:rPr>
          <w:rStyle w:val="FootnoteReference"/>
        </w:rPr>
        <w:footnoteReference w:id="13487"/>
      </w:r>
    </w:p>
    <w:p>
      <w:r>
        <w:rPr>
          <w:b/>
        </w:rPr>
        <w:t xml:space="preserve">7 </w:t>
      </w:r>
      <w:r>
        <w:t xml:space="preserve">According to their multitude, so they sinned against me; I will turn their glory into dishonor.</w:t>
      </w:r>
    </w:p>
    <w:p>
      <w:r>
        <w:rPr>
          <w:b/>
        </w:rPr>
        <w:t xml:space="preserve">8 </w:t>
      </w:r>
      <w:r>
        <w:t xml:space="preserve">They will eat the sins of my people, and in their injustices they will take their souls.</w:t>
      </w:r>
    </w:p>
    <w:p>
      <w:r>
        <w:rPr>
          <w:b/>
        </w:rPr>
        <w:t xml:space="preserve">9 </w:t>
      </w:r>
      <w:r>
        <w:t xml:space="preserve">And it will be, as the people, so also the priest; and I will avenge on him for his ways and repay him his counsels.</w:t>
      </w:r>
    </w:p>
    <w:p>
      <w:r>
        <w:rPr>
          <w:b/>
        </w:rPr>
        <w:t xml:space="preserve">10 </w:t>
      </w:r>
      <w:r>
        <w:t xml:space="preserve">And they will eat and will not be filled; they prostituted themselves and will not be made straight, because they abandoned the Lord so as not to keep him.</w:t>
      </w:r>
    </w:p>
    <w:p>
      <w:r>
        <w:rPr>
          <w:b/>
        </w:rPr>
        <w:t xml:space="preserve">11 </w:t>
      </w:r>
      <w:r>
        <w:t xml:space="preserve">Whoredom and wine and drunkenness took the heart of my people.</w:t>
      </w:r>
    </w:p>
    <w:p>
      <w:r>
        <w:rPr>
          <w:b/>
        </w:rPr>
        <w:t xml:space="preserve">12 </w:t>
      </w:r>
      <w:r>
        <w:t xml:space="preserve">They were asking by symbols, and by his rods they were reporting to him. They were led astray by the spirit of whoredom and prostituted themselves away from their God.</w:t>
      </w:r>
    </w:p>
    <w:p>
      <w:r>
        <w:rPr>
          <w:b/>
        </w:rPr>
        <w:t xml:space="preserve">13 </w:t>
      </w:r>
      <w:r>
        <w:t xml:space="preserve">On the tops of mountains they were sacrificing, and on the hills they were sacrificing under an oak and a white poplar and a shady tree, because shelter is good. Therefore</w:t>
      </w:r>
      <w:r>
        <w:rPr>
          <w:rStyle w:val="FootnoteReference"/>
        </w:rPr>
        <w:footnoteReference w:id="13488"/>
      </w:r>
      <w:r>
        <w:t xml:space="preserve"> your daughters will prostitute themselves and your brides will commit adultery.</w:t>
      </w:r>
    </w:p>
    <w:p>
      <w:r>
        <w:rPr>
          <w:b/>
        </w:rPr>
        <w:t xml:space="preserve">14 </w:t>
      </w:r>
      <w:r>
        <w:t xml:space="preserve">And I will not visit your daughters when they prostitute themselves, nor your brides when they commit adultery, because they themselves mingled with prostitutes and were sacrificing with those initiated, and the people with understanding were entwined with a prostitute.</w:t>
      </w:r>
    </w:p>
    <w:p>
      <w:r>
        <w:rPr>
          <w:b/>
        </w:rPr>
        <w:t xml:space="preserve">15 </w:t>
      </w:r>
      <w:r>
        <w:t xml:space="preserve">But you, Israel, do not be ignorant, and Judah, do not enter into Gilgal</w:t>
      </w:r>
      <w:r>
        <w:rPr>
          <w:rStyle w:val="FootnoteReference"/>
        </w:rPr>
        <w:footnoteReference w:id="13489"/>
      </w:r>
      <w:r>
        <w:t xml:space="preserve">, and do not go up to the house of On, and do not swear, As the Lord lives.</w:t>
      </w:r>
    </w:p>
    <w:p>
      <w:r>
        <w:rPr>
          <w:b/>
        </w:rPr>
        <w:t xml:space="preserve">16 </w:t>
      </w:r>
      <w:r>
        <w:t xml:space="preserve">Because like a maddened heifer Israel was maddened; now the Lord will pasture them like a lamb in a broad place.</w:t>
      </w:r>
    </w:p>
    <w:p>
      <w:r>
        <w:rPr>
          <w:b/>
        </w:rPr>
        <w:t xml:space="preserve">17 </w:t>
      </w:r>
      <w:r>
        <w:t xml:space="preserve">Ephraim</w:t>
      </w:r>
      <w:r>
        <w:rPr>
          <w:rStyle w:val="FootnoteReference"/>
        </w:rPr>
        <w:footnoteReference w:id="13490"/>
      </w:r>
      <w:r>
        <w:t xml:space="preserve">, partner of idols, set stumbling blocks for himself.</w:t>
      </w:r>
    </w:p>
    <w:p>
      <w:r>
        <w:rPr>
          <w:b/>
        </w:rPr>
        <w:t xml:space="preserve">18 </w:t>
      </w:r>
      <w:r>
        <w:t xml:space="preserve">He chose the Canaanites; in prostituting they prostituted themselves; they loved dishonor from their own boasting.</w:t>
      </w:r>
    </w:p>
    <w:p>
      <w:r>
        <w:rPr>
          <w:b/>
        </w:rPr>
        <w:t xml:space="preserve">19 </w:t>
      </w:r>
      <w:r>
        <w:t xml:space="preserve">You are a swirling wind</w:t>
      </w:r>
      <w:r>
        <w:rPr>
          <w:rStyle w:val="FootnoteReference"/>
        </w:rPr>
        <w:footnoteReference w:id="13491"/>
      </w:r>
      <w:r>
        <w:t xml:space="preserve"> in her wings, and they will be put to shame because of their altars.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Hear these things, priests, and pay attention, house of Israel, and the house of the king, listen closely, because the judgment is against you, because you became a snare at the lookout and like a net spread out on Tabor</w:t>
      </w:r>
      <w:r>
        <w:rPr>
          <w:rStyle w:val="FootnoteReference"/>
        </w:rPr>
        <w:footnoteReference w:id="13492"/>
      </w:r>
      <w:r>
        <w:t xml:space="preserve">.</w:t>
      </w:r>
    </w:p>
    <w:p>
      <w:r>
        <w:rPr>
          <w:b/>
        </w:rPr>
        <w:t xml:space="preserve">2 </w:t>
      </w:r>
      <w:r>
        <w:t xml:space="preserve">And those hunting the prey fixed it deep, but I am your disciplinarian.</w:t>
      </w:r>
    </w:p>
    <w:p>
      <w:r>
        <w:rPr>
          <w:b/>
        </w:rPr>
        <w:t xml:space="preserve">3 </w:t>
      </w:r>
      <w:r>
        <w:t xml:space="preserve">I know</w:t>
      </w:r>
      <w:r>
        <w:rPr>
          <w:rStyle w:val="FootnoteReference"/>
        </w:rPr>
        <w:footnoteReference w:id="13493"/>
      </w:r>
      <w:r>
        <w:t xml:space="preserve"> Ephraim, and Israel is not far from me, because now Ephraim prostituted itself and Israel was defiled.</w:t>
      </w:r>
    </w:p>
    <w:p>
      <w:r>
        <w:rPr>
          <w:b/>
        </w:rPr>
        <w:t xml:space="preserve">4 </w:t>
      </w:r>
      <w:r>
        <w:t xml:space="preserve">They did not set their counsels to return to their God, because a spirit of whoredom is in them</w:t>
      </w:r>
      <w:r>
        <w:rPr>
          <w:rStyle w:val="FootnoteReference"/>
        </w:rPr>
        <w:footnoteReference w:id="13494"/>
      </w:r>
      <w:r>
        <w:t xml:space="preserve">, and they did not know the Lord.</w:t>
      </w:r>
    </w:p>
    <w:p>
      <w:r>
        <w:rPr>
          <w:b/>
        </w:rPr>
        <w:t xml:space="preserve">5 </w:t>
      </w:r>
      <w:r>
        <w:t xml:space="preserve">And the arrogance of Israel will be humbled before his face, and Israel and Ephraim will grow weak in their injustices, and Judah</w:t>
      </w:r>
      <w:r>
        <w:rPr>
          <w:rStyle w:val="FootnoteReference"/>
        </w:rPr>
        <w:footnoteReference w:id="13495"/>
      </w:r>
      <w:r>
        <w:t xml:space="preserve"> will grow weak with them.</w:t>
      </w:r>
    </w:p>
    <w:p>
      <w:r>
        <w:rPr>
          <w:b/>
        </w:rPr>
        <w:t xml:space="preserve">6 </w:t>
      </w:r>
      <w:r>
        <w:t xml:space="preserve">With sheep and calves they will go to seek the Lord and will never find him, because he turned aside from them.</w:t>
      </w:r>
    </w:p>
    <w:p>
      <w:r>
        <w:rPr>
          <w:b/>
        </w:rPr>
        <w:t xml:space="preserve">7 </w:t>
      </w:r>
      <w:r>
        <w:t xml:space="preserve">Because they abandoned the Lord, because foreign children were born to them; now mildew will devour them and their allotments.</w:t>
      </w:r>
    </w:p>
    <w:p>
      <w:r>
        <w:rPr>
          <w:b/>
        </w:rPr>
        <w:t xml:space="preserve">8 </w:t>
      </w:r>
      <w:r>
        <w:t xml:space="preserve">Blow</w:t>
      </w:r>
      <w:r>
        <w:rPr>
          <w:rStyle w:val="FootnoteReference"/>
        </w:rPr>
        <w:footnoteReference w:id="13496"/>
      </w:r>
      <w:r>
        <w:t xml:space="preserve"> a trumpet on the hills, sound on the heights, proclaim in the house of On. Benjamin is amazed.</w:t>
      </w:r>
    </w:p>
    <w:p>
      <w:r>
        <w:rPr>
          <w:b/>
        </w:rPr>
        <w:t xml:space="preserve">9 </w:t>
      </w:r>
      <w:r>
        <w:t xml:space="preserve">Ephraim</w:t>
      </w:r>
      <w:r>
        <w:rPr>
          <w:rStyle w:val="FootnoteReference"/>
        </w:rPr>
        <w:footnoteReference w:id="13497"/>
      </w:r>
      <w:r>
        <w:t xml:space="preserve"> became for destruction in the days of rebuke; among the tribes of Israel I showed faithful things.</w:t>
      </w:r>
    </w:p>
    <w:p>
      <w:r>
        <w:rPr>
          <w:b/>
        </w:rPr>
        <w:t xml:space="preserve">10 </w:t>
      </w:r>
      <w:r>
        <w:t xml:space="preserve">The rulers of Judah became like those moving boundaries; on them I will pour out my rushing force like water.</w:t>
      </w:r>
    </w:p>
    <w:p>
      <w:r>
        <w:rPr>
          <w:b/>
        </w:rPr>
        <w:t xml:space="preserve">11 </w:t>
      </w:r>
      <w:r>
        <w:t xml:space="preserve">Ephraim oppressed</w:t>
      </w:r>
      <w:r>
        <w:rPr>
          <w:rStyle w:val="FootnoteReference"/>
        </w:rPr>
        <w:footnoteReference w:id="13498"/>
      </w:r>
      <w:r>
        <w:t xml:space="preserve"> his adversary and trampled judgment, because he began to go after empty things.</w:t>
      </w:r>
    </w:p>
    <w:p>
      <w:r>
        <w:rPr>
          <w:b/>
        </w:rPr>
        <w:t xml:space="preserve">12 </w:t>
      </w:r>
      <w:r>
        <w:t xml:space="preserve">And I am like turmoil to Ephraim and like a sting to the house of Judah.</w:t>
      </w:r>
    </w:p>
    <w:p>
      <w:r>
        <w:rPr>
          <w:b/>
        </w:rPr>
        <w:t xml:space="preserve">13 </w:t>
      </w:r>
      <w:r>
        <w:t xml:space="preserve">And Ephraim saw his sickness and Judah his pain, and Ephraim went</w:t>
      </w:r>
      <w:r>
        <w:rPr>
          <w:rStyle w:val="FootnoteReference"/>
        </w:rPr>
        <w:footnoteReference w:id="13499"/>
      </w:r>
      <w:r>
        <w:t xml:space="preserve"> to Assyrians and sent envoys to King Jareb</w:t>
      </w:r>
      <w:r>
        <w:rPr>
          <w:rStyle w:val="FootnoteReference"/>
        </w:rPr>
        <w:footnoteReference w:id="13500"/>
      </w:r>
      <w:r>
        <w:t xml:space="preserve">, but he was not able to heal you, nor will pain depart from you.</w:t>
      </w:r>
    </w:p>
    <w:p>
      <w:r>
        <w:rPr>
          <w:b/>
        </w:rPr>
        <w:t xml:space="preserve">14 </w:t>
      </w:r>
      <w:r>
        <w:t xml:space="preserve">Because I am like a panther to Ephraim and like a lion to the house of Judah, and I will snatch and go away and take, and there will be no one delivering.</w:t>
      </w:r>
    </w:p>
    <w:p>
      <w:r>
        <w:rPr>
          <w:b/>
        </w:rPr>
        <w:t xml:space="preserve">15 </w:t>
      </w:r>
      <w:r>
        <w:t xml:space="preserve">I will go and return</w:t>
      </w:r>
      <w:r>
        <w:rPr>
          <w:rStyle w:val="FootnoteReference"/>
        </w:rPr>
        <w:footnoteReference w:id="13501"/>
      </w:r>
      <w:r>
        <w:t xml:space="preserve"> to my place until they are destroyed and seek my face; in their affliction they will rise early toward me, saying,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Let us go and return to the Lord our God, because he has snatched and he will heal us; he will strike and bind us up.</w:t>
      </w:r>
    </w:p>
    <w:p>
      <w:r>
        <w:rPr>
          <w:b/>
        </w:rPr>
        <w:t xml:space="preserve">2 </w:t>
      </w:r>
      <w:r>
        <w:t xml:space="preserve">He will heal us after two days; on the third day we will rise and live before him.</w:t>
      </w:r>
    </w:p>
    <w:p>
      <w:r>
        <w:rPr>
          <w:b/>
        </w:rPr>
        <w:t xml:space="preserve">3 </w:t>
      </w:r>
      <w:r>
        <w:t xml:space="preserve">And we will know; we will pursue knowing the Lord. We will find him ready as dawn, and he will come to us like early and latter rain to the earth.</w:t>
      </w:r>
    </w:p>
    <w:p>
      <w:r>
        <w:rPr>
          <w:b/>
        </w:rPr>
        <w:t xml:space="preserve">4 </w:t>
      </w:r>
      <w:r>
        <w:t xml:space="preserve">What will I do to you, Ephraim? What will I do to you, Judah? Your mercy is like a morning cloud and like early dew going away.</w:t>
      </w:r>
    </w:p>
    <w:p>
      <w:r>
        <w:rPr>
          <w:b/>
        </w:rPr>
        <w:t xml:space="preserve">5 </w:t>
      </w:r>
      <w:r>
        <w:t xml:space="preserve">Because of this I cut down your prophets; I killed them by the words of my mouth, and my judgment will come out like light.</w:t>
      </w:r>
    </w:p>
    <w:p>
      <w:r>
        <w:rPr>
          <w:b/>
        </w:rPr>
        <w:t xml:space="preserve">6 </w:t>
      </w:r>
      <w:r>
        <w:t xml:space="preserve">Because I want mercy and not sacrifice</w:t>
      </w:r>
      <w:r>
        <w:rPr>
          <w:rStyle w:val="FootnoteReference"/>
        </w:rPr>
        <w:footnoteReference w:id="13502"/>
      </w:r>
      <w:r>
        <w:t xml:space="preserve">, and knowledge of God rather than whole burnt offerings.</w:t>
      </w:r>
    </w:p>
    <w:p>
      <w:r>
        <w:rPr>
          <w:b/>
        </w:rPr>
        <w:t xml:space="preserve">7 </w:t>
      </w:r>
      <w:r>
        <w:t xml:space="preserve">But they are like a man transgressing a covenant; there he despised me.</w:t>
      </w:r>
    </w:p>
    <w:p>
      <w:r>
        <w:rPr>
          <w:b/>
        </w:rPr>
        <w:t xml:space="preserve">8 </w:t>
      </w:r>
      <w:r>
        <w:t xml:space="preserve">Gilead</w:t>
      </w:r>
      <w:r>
        <w:rPr>
          <w:rStyle w:val="FootnoteReference"/>
        </w:rPr>
        <w:footnoteReference w:id="13503"/>
      </w:r>
      <w:r>
        <w:t xml:space="preserve"> is a city working vanity, stirring water.</w:t>
      </w:r>
    </w:p>
    <w:p>
      <w:r>
        <w:rPr>
          <w:b/>
        </w:rPr>
        <w:t xml:space="preserve">9 </w:t>
      </w:r>
      <w:r>
        <w:t xml:space="preserve">And your strength is that of a robber; priests hid the way of the Lord; they murdered at Shechem, because they worked lawlessness.</w:t>
      </w:r>
    </w:p>
    <w:p>
      <w:r>
        <w:rPr>
          <w:b/>
        </w:rPr>
        <w:t xml:space="preserve">10 </w:t>
      </w:r>
      <w:r>
        <w:t xml:space="preserve">In the house of Israel I saw a horrible thing; there is whoredom of Ephraim; Israel and Judah were defiled.</w:t>
      </w:r>
    </w:p>
    <w:p>
      <w:r>
        <w:rPr>
          <w:b/>
        </w:rPr>
        <w:t xml:space="preserve">11 </w:t>
      </w:r>
      <w:r>
        <w:t xml:space="preserve">Begin to gather grapes for yourself when I turn back captivity of my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When I heal Israel, injustice of Ephraim and evil of Samaria will be uncovered, because they worked lies, and a thief will enter to him, a robber stripping on his road.</w:t>
      </w:r>
    </w:p>
    <w:p>
      <w:r>
        <w:rPr>
          <w:b/>
        </w:rPr>
        <w:t xml:space="preserve">2 </w:t>
      </w:r>
      <w:r>
        <w:t xml:space="preserve">So that they may sing together as those singing in their heart; I remembered all their evils. Now their counsels surrounded them; they came to be before my face.</w:t>
      </w:r>
    </w:p>
    <w:p>
      <w:r>
        <w:rPr>
          <w:b/>
        </w:rPr>
        <w:t xml:space="preserve">3 </w:t>
      </w:r>
      <w:r>
        <w:t xml:space="preserve">By their evils they gladdened kings, and by their lies rulers.</w:t>
      </w:r>
    </w:p>
    <w:p>
      <w:r>
        <w:rPr>
          <w:b/>
        </w:rPr>
        <w:t xml:space="preserve">4 </w:t>
      </w:r>
      <w:r>
        <w:t xml:space="preserve">They are all</w:t>
      </w:r>
      <w:r>
        <w:rPr>
          <w:rStyle w:val="FootnoteReference"/>
        </w:rPr>
        <w:footnoteReference w:id="13504"/>
      </w:r>
      <w:r>
        <w:t xml:space="preserve"> adulterers, like an oven burning for baking of a heated loaf, from the flame, from kneading the fat until it is leavened.</w:t>
      </w:r>
    </w:p>
    <w:p>
      <w:r>
        <w:rPr>
          <w:b/>
        </w:rPr>
        <w:t xml:space="preserve">5 </w:t>
      </w:r>
      <w:r>
        <w:t xml:space="preserve">In the days of your kings the rulers began to be inflamed from wine; he stretched</w:t>
      </w:r>
      <w:r>
        <w:rPr>
          <w:rStyle w:val="FootnoteReference"/>
        </w:rPr>
        <w:footnoteReference w:id="13505"/>
      </w:r>
      <w:r>
        <w:t xml:space="preserve"> out his hand with pestilent ones.</w:t>
      </w:r>
    </w:p>
    <w:p>
      <w:r>
        <w:rPr>
          <w:b/>
        </w:rPr>
        <w:t xml:space="preserve">6 </w:t>
      </w:r>
      <w:r>
        <w:t xml:space="preserve">Because their hearts were kindled like an oven while they raged all night; Ephraim was filled with sleep. Morning came; it was kindled like a light of fire.</w:t>
      </w:r>
    </w:p>
    <w:p>
      <w:r>
        <w:rPr>
          <w:b/>
        </w:rPr>
        <w:t xml:space="preserve">7 </w:t>
      </w:r>
      <w:r>
        <w:t xml:space="preserve">All grew hot like an oven and devoured</w:t>
      </w:r>
      <w:r>
        <w:rPr>
          <w:rStyle w:val="FootnoteReference"/>
        </w:rPr>
        <w:footnoteReference w:id="13506"/>
      </w:r>
      <w:r>
        <w:t xml:space="preserve"> their judges; all their kings fell; there was none among them calling toward me.</w:t>
      </w:r>
    </w:p>
    <w:p>
      <w:r>
        <w:rPr>
          <w:b/>
        </w:rPr>
        <w:t xml:space="preserve">8 </w:t>
      </w:r>
      <w:r>
        <w:t xml:space="preserve">Ephraim mingled itself among his peoples; Ephraim became a cake</w:t>
      </w:r>
      <w:r>
        <w:rPr>
          <w:rStyle w:val="FootnoteReference"/>
        </w:rPr>
        <w:footnoteReference w:id="13507"/>
      </w:r>
      <w:r>
        <w:t xml:space="preserve"> not turned.</w:t>
      </w:r>
    </w:p>
    <w:p>
      <w:r>
        <w:rPr>
          <w:b/>
        </w:rPr>
        <w:t xml:space="preserve">9 </w:t>
      </w:r>
      <w:r>
        <w:t xml:space="preserve">Foreigners devoured</w:t>
      </w:r>
      <w:r>
        <w:rPr>
          <w:rStyle w:val="FootnoteReference"/>
        </w:rPr>
        <w:footnoteReference w:id="13508"/>
      </w:r>
      <w:r>
        <w:t xml:space="preserve"> his strength, but he did not know, and gray hairs blossomed on him, and he did not know.</w:t>
      </w:r>
    </w:p>
    <w:p>
      <w:r>
        <w:rPr>
          <w:b/>
        </w:rPr>
        <w:t xml:space="preserve">10 </w:t>
      </w:r>
      <w:r>
        <w:t xml:space="preserve">And the arrogance of Israel will be humbled before his face, and they did not return to the Lord their God, and they did not seek him in all these things.</w:t>
      </w:r>
    </w:p>
    <w:p>
      <w:r>
        <w:rPr>
          <w:b/>
        </w:rPr>
        <w:t xml:space="preserve">11 </w:t>
      </w:r>
      <w:r>
        <w:t xml:space="preserve">And Ephraim was like a foolish dove having no heart; he called on Egypt and they went to Assyrians.</w:t>
      </w:r>
    </w:p>
    <w:p>
      <w:r>
        <w:rPr>
          <w:b/>
        </w:rPr>
        <w:t xml:space="preserve">12 </w:t>
      </w:r>
      <w:r>
        <w:t xml:space="preserve">As they go, I will cast my net on them; like birds of heaven I will bring</w:t>
      </w:r>
      <w:r>
        <w:rPr>
          <w:rStyle w:val="FootnoteReference"/>
        </w:rPr>
        <w:footnoteReference w:id="13509"/>
      </w:r>
      <w:r>
        <w:t xml:space="preserve"> them down; I will discipline them with the report of their affliction.</w:t>
      </w:r>
    </w:p>
    <w:p>
      <w:r>
        <w:rPr>
          <w:b/>
        </w:rPr>
        <w:t xml:space="preserve">13 </w:t>
      </w:r>
      <w:r>
        <w:t xml:space="preserve">Woe to them, because they leaped away from me. They are cowardly because they acted impiously toward me. But I redeemed them, and they spoke lies against me.</w:t>
      </w:r>
    </w:p>
    <w:p>
      <w:r>
        <w:rPr>
          <w:b/>
        </w:rPr>
        <w:t xml:space="preserve">14 </w:t>
      </w:r>
      <w:r>
        <w:t xml:space="preserve">And their hearts did not cry to me, but they howled on their beds; for grain and wine they cut themselves; they were disciplined by me.</w:t>
      </w:r>
    </w:p>
    <w:p>
      <w:r>
        <w:rPr>
          <w:b/>
        </w:rPr>
        <w:t xml:space="preserve">15 </w:t>
      </w:r>
      <w:r>
        <w:t xml:space="preserve">And I strengthened their arms, but toward me they reckoned evil things.</w:t>
      </w:r>
    </w:p>
    <w:p>
      <w:r>
        <w:rPr>
          <w:b/>
        </w:rPr>
        <w:t xml:space="preserve">16 </w:t>
      </w:r>
      <w:r>
        <w:t xml:space="preserve">They turned aside to nothing; they became like a bent bow. Their rulers will fall by sword because of their undisciplined tongue. This is their scorn in the land of Egypt.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Into their bosom, like land, like an eagle against the house</w:t>
      </w:r>
      <w:r>
        <w:rPr>
          <w:rStyle w:val="FootnoteReference"/>
        </w:rPr>
        <w:footnoteReference w:id="13510"/>
      </w:r>
      <w:r>
        <w:t xml:space="preserve"> of the Lord, because they transgressed my covenant and acted impiously against my law.</w:t>
      </w:r>
    </w:p>
    <w:p>
      <w:r>
        <w:rPr>
          <w:b/>
        </w:rPr>
        <w:t xml:space="preserve">2 </w:t>
      </w:r>
      <w:r>
        <w:t xml:space="preserve">They will cry to me, O God, we have known you.</w:t>
      </w:r>
    </w:p>
    <w:p>
      <w:r>
        <w:rPr>
          <w:b/>
        </w:rPr>
        <w:t xml:space="preserve">3 </w:t>
      </w:r>
      <w:r>
        <w:t xml:space="preserve">Because Israel turned away from good things; they pursued an enemy.</w:t>
      </w:r>
    </w:p>
    <w:p>
      <w:r>
        <w:rPr>
          <w:b/>
        </w:rPr>
        <w:t xml:space="preserve">4 </w:t>
      </w:r>
      <w:r>
        <w:t xml:space="preserve">They reigned for themselves, and not through me. They ruled, and they did not make it known to me. Their silver and their gold they made into idols for themselves, so that they might be destroyed.</w:t>
      </w:r>
    </w:p>
    <w:p>
      <w:r>
        <w:rPr>
          <w:b/>
        </w:rPr>
        <w:t xml:space="preserve">5 </w:t>
      </w:r>
      <w:r>
        <w:t xml:space="preserve">Cast off your calf</w:t>
      </w:r>
      <w:r>
        <w:rPr>
          <w:rStyle w:val="FootnoteReference"/>
        </w:rPr>
        <w:footnoteReference w:id="13511"/>
      </w:r>
      <w:r>
        <w:t xml:space="preserve">, Samaria. My anger was provoked against them. How long will they be unable to be cleansed?</w:t>
      </w:r>
    </w:p>
    <w:p>
      <w:r>
        <w:rPr>
          <w:b/>
        </w:rPr>
        <w:t xml:space="preserve">6 </w:t>
      </w:r>
      <w:r>
        <w:t xml:space="preserve">For in Israel a craftsman made it, and it is not God, because your calf, Samaria, was leading astray.</w:t>
      </w:r>
    </w:p>
    <w:p>
      <w:r>
        <w:rPr>
          <w:b/>
        </w:rPr>
        <w:t xml:space="preserve">7 </w:t>
      </w:r>
      <w:r>
        <w:t xml:space="preserve">Because they sowed wind-blight, and their destruction will receive them. A handful has no strength to make flour; and if it does make it, foreigners will devour it.</w:t>
      </w:r>
    </w:p>
    <w:p>
      <w:r>
        <w:rPr>
          <w:b/>
        </w:rPr>
        <w:t xml:space="preserve">8 </w:t>
      </w:r>
      <w:r>
        <w:t xml:space="preserve">Israel was swallowed</w:t>
      </w:r>
      <w:r>
        <w:rPr>
          <w:rStyle w:val="FootnoteReference"/>
        </w:rPr>
        <w:footnoteReference w:id="13512"/>
      </w:r>
      <w:r>
        <w:t xml:space="preserve"> up; now it became among the nations like a useless vessel.</w:t>
      </w:r>
    </w:p>
    <w:p>
      <w:r>
        <w:rPr>
          <w:b/>
        </w:rPr>
        <w:t xml:space="preserve">9 </w:t>
      </w:r>
      <w:r>
        <w:t xml:space="preserve">Because they went up to Assyrians; Ephraim sprouted by itself; they loved gifts.</w:t>
      </w:r>
    </w:p>
    <w:p>
      <w:r>
        <w:rPr>
          <w:b/>
        </w:rPr>
        <w:t xml:space="preserve">10 </w:t>
      </w:r>
      <w:r>
        <w:t xml:space="preserve">Therefore they will be handed over among the nations. Now I will receive them, and they will cease a little from anointing a king and rulers.</w:t>
      </w:r>
    </w:p>
    <w:p>
      <w:r>
        <w:rPr>
          <w:b/>
        </w:rPr>
        <w:t xml:space="preserve">11 </w:t>
      </w:r>
      <w:r>
        <w:t xml:space="preserve">Because Ephraim multiplied altars</w:t>
      </w:r>
      <w:r>
        <w:rPr>
          <w:rStyle w:val="FootnoteReference"/>
        </w:rPr>
        <w:footnoteReference w:id="13513"/>
      </w:r>
      <w:r>
        <w:t xml:space="preserve">; beloved altars became sins to him.</w:t>
      </w:r>
    </w:p>
    <w:p>
      <w:r>
        <w:rPr>
          <w:b/>
        </w:rPr>
        <w:t xml:space="preserve">12 </w:t>
      </w:r>
      <w:r>
        <w:t xml:space="preserve">I will write down for him a multitude, and his statutes were reckoned as foreign things, beloved altars.</w:t>
      </w:r>
    </w:p>
    <w:p>
      <w:r>
        <w:rPr>
          <w:b/>
        </w:rPr>
        <w:t xml:space="preserve">13 </w:t>
      </w:r>
      <w:r>
        <w:t xml:space="preserve">Because if they sacrifice</w:t>
      </w:r>
      <w:r>
        <w:rPr>
          <w:rStyle w:val="FootnoteReference"/>
        </w:rPr>
        <w:footnoteReference w:id="13514"/>
      </w:r>
      <w:r>
        <w:t xml:space="preserve"> a sacrifice and eat meats, the Lord will not accept them. Now he will remember their injustices and avenge their sins. They returned to Egypt, and among Assyrians they will eat unclean things.</w:t>
      </w:r>
    </w:p>
    <w:p>
      <w:r>
        <w:rPr>
          <w:b/>
        </w:rPr>
        <w:t xml:space="preserve">14 </w:t>
      </w:r>
      <w:r>
        <w:t xml:space="preserve">And Israel forgot the one who made him, and they built shrines, and Judah</w:t>
      </w:r>
      <w:r>
        <w:rPr>
          <w:rStyle w:val="FootnoteReference"/>
        </w:rPr>
        <w:footnoteReference w:id="13515"/>
      </w:r>
      <w:r>
        <w:t xml:space="preserve"> multiplied fortified cities. And I will send fire into his cities, and it will devour their foundations.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Do not rejoice</w:t>
      </w:r>
      <w:r>
        <w:rPr>
          <w:rStyle w:val="FootnoteReference"/>
        </w:rPr>
        <w:footnoteReference w:id="13516"/>
      </w:r>
      <w:r>
        <w:t xml:space="preserve">, Israel, nor be glad like the peoples, because you prostituted yourself away from your God. You loved gifts on every threshing floor of grain.</w:t>
      </w:r>
    </w:p>
    <w:p>
      <w:r>
        <w:rPr>
          <w:b/>
        </w:rPr>
        <w:t xml:space="preserve">2 </w:t>
      </w:r>
      <w:r>
        <w:t xml:space="preserve">Threshing floor</w:t>
      </w:r>
      <w:r>
        <w:rPr>
          <w:rStyle w:val="FootnoteReference"/>
        </w:rPr>
        <w:footnoteReference w:id="13517"/>
      </w:r>
      <w:r>
        <w:t xml:space="preserve"> and winepress did not know them, and the wine deceived them.</w:t>
      </w:r>
    </w:p>
    <w:p>
      <w:r>
        <w:rPr>
          <w:b/>
        </w:rPr>
        <w:t xml:space="preserve">3 </w:t>
      </w:r>
      <w:r>
        <w:t xml:space="preserve">They did not dwell in the land of the Lord; Ephraim dwelt in Egypt, and among Assyrians they will eat unclean things.</w:t>
      </w:r>
    </w:p>
    <w:p>
      <w:r>
        <w:rPr>
          <w:b/>
        </w:rPr>
        <w:t xml:space="preserve">4 </w:t>
      </w:r>
      <w:r>
        <w:t xml:space="preserve">They did not pour out wine to the Lord, and their sacrifices did not please him. To them they are like bread of mourning; all eating them will be defiled, because their breads are for their souls; they will not enter into the house of the Lord.</w:t>
      </w:r>
    </w:p>
    <w:p>
      <w:r>
        <w:rPr>
          <w:b/>
        </w:rPr>
        <w:t xml:space="preserve">5 </w:t>
      </w:r>
      <w:r>
        <w:t xml:space="preserve">What will you do in the day of assembly and in the day of the feast of the Lord?</w:t>
      </w:r>
    </w:p>
    <w:p>
      <w:r>
        <w:rPr>
          <w:b/>
        </w:rPr>
        <w:t xml:space="preserve">6 </w:t>
      </w:r>
      <w:r>
        <w:t xml:space="preserve">Therefore behold, they will go from the misery of Egypt, and Memphis will receive them, and Michmash will bury them. Destruction</w:t>
      </w:r>
      <w:r>
        <w:rPr>
          <w:rStyle w:val="FootnoteReference"/>
        </w:rPr>
        <w:footnoteReference w:id="13518"/>
      </w:r>
      <w:r>
        <w:t xml:space="preserve"> will inherit their silver; thorns will be in their tents.</w:t>
      </w:r>
    </w:p>
    <w:p>
      <w:r>
        <w:rPr>
          <w:b/>
        </w:rPr>
        <w:t xml:space="preserve">7 </w:t>
      </w:r>
      <w:r>
        <w:t xml:space="preserve">The days of vengeance have come; the days of your repayment have come, and Israel</w:t>
      </w:r>
      <w:r>
        <w:rPr>
          <w:rStyle w:val="FootnoteReference"/>
        </w:rPr>
        <w:footnoteReference w:id="13519"/>
      </w:r>
      <w:r>
        <w:t xml:space="preserve"> will be afflicted like the prophet out of his mind, a spirit-bearing man. Because of the multitude of your injustices, your madness was multiplied.</w:t>
      </w:r>
    </w:p>
    <w:p>
      <w:r>
        <w:rPr>
          <w:b/>
        </w:rPr>
        <w:t xml:space="preserve">8 </w:t>
      </w:r>
      <w:r>
        <w:t xml:space="preserve">The watchman</w:t>
      </w:r>
      <w:r>
        <w:rPr>
          <w:rStyle w:val="FootnoteReference"/>
        </w:rPr>
        <w:footnoteReference w:id="13520"/>
      </w:r>
      <w:r>
        <w:t xml:space="preserve"> of Ephraim was with God; the prophet is a crooked snare on all his ways; they fixed madness deep in the house of the Lord.</w:t>
      </w:r>
    </w:p>
    <w:p>
      <w:r>
        <w:rPr>
          <w:b/>
        </w:rPr>
        <w:t xml:space="preserve">9 </w:t>
      </w:r>
      <w:r>
        <w:t xml:space="preserve">They were corrupted according to the days of the hill; he will remember his injustice; he will avenge his sins.</w:t>
      </w:r>
    </w:p>
    <w:p>
      <w:r>
        <w:rPr>
          <w:b/>
        </w:rPr>
        <w:t xml:space="preserve">10 </w:t>
      </w:r>
      <w:r>
        <w:t xml:space="preserve">Like a grape in the wilderness I found</w:t>
      </w:r>
      <w:r>
        <w:rPr>
          <w:rStyle w:val="FootnoteReference"/>
        </w:rPr>
        <w:footnoteReference w:id="13521"/>
      </w:r>
      <w:r>
        <w:t xml:space="preserve"> Israel, and like an early watchman in a fig tree I saw their fathers. They entered to Baal-peor and were estranged to shame, and beloved ones became like those abhorred.</w:t>
      </w:r>
    </w:p>
    <w:p>
      <w:r>
        <w:rPr>
          <w:b/>
        </w:rPr>
        <w:t xml:space="preserve">11 </w:t>
      </w:r>
      <w:r>
        <w:t xml:space="preserve">Ephraim, like a bird, their</w:t>
      </w:r>
      <w:r>
        <w:rPr>
          <w:rStyle w:val="FootnoteReference"/>
        </w:rPr>
        <w:footnoteReference w:id="13522"/>
      </w:r>
      <w:r>
        <w:t xml:space="preserve"> glories flew away from births and birth-pangs and conceptions.</w:t>
      </w:r>
    </w:p>
    <w:p>
      <w:r>
        <w:rPr>
          <w:b/>
        </w:rPr>
        <w:t xml:space="preserve">12 </w:t>
      </w:r>
      <w:r>
        <w:t xml:space="preserve">Because even if they rear their children, they will become childless from men, because woe is also to them; my flesh is from them.</w:t>
      </w:r>
    </w:p>
    <w:p>
      <w:r>
        <w:rPr>
          <w:b/>
        </w:rPr>
        <w:t xml:space="preserve">13 </w:t>
      </w:r>
      <w:r>
        <w:t xml:space="preserve">Ephraim, as I saw, they presented their children for hunting, and Ephraim is to bring out his children for piercing.</w:t>
      </w:r>
    </w:p>
    <w:p>
      <w:r>
        <w:rPr>
          <w:b/>
        </w:rPr>
        <w:t xml:space="preserve">14 </w:t>
      </w:r>
      <w:r>
        <w:t xml:space="preserve">Give to them, Lord. What will you give them? Give them a childless womb and dry breasts.</w:t>
      </w:r>
    </w:p>
    <w:p>
      <w:r>
        <w:rPr>
          <w:b/>
        </w:rPr>
        <w:t xml:space="preserve">15 </w:t>
      </w:r>
      <w:r>
        <w:t xml:space="preserve">All their evils are in Gilgal, because there I hated</w:t>
      </w:r>
      <w:r>
        <w:rPr>
          <w:rStyle w:val="FootnoteReference"/>
        </w:rPr>
        <w:footnoteReference w:id="13523"/>
      </w:r>
      <w:r>
        <w:t xml:space="preserve"> them. Because of the evils of their practices I will cast them out of my house. I will not continue to love them; all their rulers are disobedient.</w:t>
      </w:r>
    </w:p>
    <w:p>
      <w:r>
        <w:rPr>
          <w:b/>
        </w:rPr>
        <w:t xml:space="preserve">16 </w:t>
      </w:r>
      <w:r>
        <w:t xml:space="preserve">Ephraim suffered; his roots dried up; it will no longer bear fruit. Even if they bear children, I will kill the desires of their womb.</w:t>
      </w:r>
    </w:p>
    <w:p>
      <w:r>
        <w:rPr>
          <w:b/>
        </w:rPr>
        <w:t xml:space="preserve">17 </w:t>
      </w:r>
      <w:r>
        <w:t xml:space="preserve">God will reject them because they did not listen to him, and they will be wanderers among the nations.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Israel, a flourishing vine, her fruit prospered. According to the multitude</w:t>
      </w:r>
      <w:r>
        <w:rPr>
          <w:rStyle w:val="FootnoteReference"/>
        </w:rPr>
        <w:footnoteReference w:id="13524"/>
      </w:r>
      <w:r>
        <w:t xml:space="preserve"> of his fruits he multiplied the altars; according to the goodness of his land he built pillars.</w:t>
      </w:r>
    </w:p>
    <w:p>
      <w:r>
        <w:rPr>
          <w:b/>
        </w:rPr>
        <w:t xml:space="preserve">2 </w:t>
      </w:r>
      <w:r>
        <w:t xml:space="preserve">They divided their hearts; now they will be destroyed. He himself will dig down their altars; their pillars will suffer.</w:t>
      </w:r>
    </w:p>
    <w:p>
      <w:r>
        <w:rPr>
          <w:b/>
        </w:rPr>
        <w:t xml:space="preserve">3 </w:t>
      </w:r>
      <w:r>
        <w:t xml:space="preserve">Because now they will say, We have no king, because we did not fear the Lord. And the king, what will he do for us?</w:t>
      </w:r>
    </w:p>
    <w:p>
      <w:r>
        <w:rPr>
          <w:b/>
        </w:rPr>
        <w:t xml:space="preserve">4 </w:t>
      </w:r>
      <w:r>
        <w:t xml:space="preserve">Speaking words, false excuses, he will make a covenant; judgment will spring up like weed on the fallow ground of a field.</w:t>
      </w:r>
    </w:p>
    <w:p>
      <w:r>
        <w:rPr>
          <w:b/>
        </w:rPr>
        <w:t xml:space="preserve">5 </w:t>
      </w:r>
      <w:r>
        <w:t xml:space="preserve">The inhabitants of Samaria will dwell near the calf of the house of On, because his people mourned over it, and as they embittered him they will rejoice over his glory, because it was removed from him.</w:t>
      </w:r>
    </w:p>
    <w:p>
      <w:r>
        <w:rPr>
          <w:b/>
        </w:rPr>
        <w:t xml:space="preserve">6 </w:t>
      </w:r>
      <w:r>
        <w:t xml:space="preserve">And after binding it they carried</w:t>
      </w:r>
      <w:r>
        <w:rPr>
          <w:rStyle w:val="FootnoteReference"/>
        </w:rPr>
        <w:footnoteReference w:id="13525"/>
      </w:r>
      <w:r>
        <w:t xml:space="preserve"> it away to Assyrians as a guest-gift to King Jareb. Ephraim will receive it as a gift, and Israel will be ashamed in his counsel.</w:t>
      </w:r>
    </w:p>
    <w:p>
      <w:r>
        <w:rPr>
          <w:b/>
        </w:rPr>
        <w:t xml:space="preserve">7 </w:t>
      </w:r>
      <w:r>
        <w:t xml:space="preserve">Samaria</w:t>
      </w:r>
      <w:r>
        <w:rPr>
          <w:rStyle w:val="FootnoteReference"/>
        </w:rPr>
        <w:footnoteReference w:id="13526"/>
      </w:r>
      <w:r>
        <w:t xml:space="preserve"> threw away her king like a twig on the face of water.</w:t>
      </w:r>
    </w:p>
    <w:p>
      <w:r>
        <w:rPr>
          <w:b/>
        </w:rPr>
        <w:t xml:space="preserve">8 </w:t>
      </w:r>
      <w:r>
        <w:t xml:space="preserve">And altars of On, sins of Israel, will be removed; thorns and thistles will come up on their altars</w:t>
      </w:r>
      <w:r>
        <w:rPr>
          <w:rStyle w:val="FootnoteReference"/>
        </w:rPr>
        <w:footnoteReference w:id="13527"/>
      </w:r>
      <w:r>
        <w:t xml:space="preserve">, and they will say to mountains, Cover us, and to hills, Fall on us.</w:t>
      </w:r>
    </w:p>
    <w:p>
      <w:r>
        <w:rPr>
          <w:b/>
        </w:rPr>
        <w:t xml:space="preserve">9 </w:t>
      </w:r>
      <w:r>
        <w:t xml:space="preserve">From time of the hills Israel sinned; there they stood. War against children of injustice will not overtake them on the hill.</w:t>
      </w:r>
    </w:p>
    <w:p>
      <w:r>
        <w:rPr>
          <w:b/>
        </w:rPr>
        <w:t xml:space="preserve">10 </w:t>
      </w:r>
      <w:r>
        <w:t xml:space="preserve">It came to discipline them, and peoples will be gathered against them when they are disciplined in their two injustices.</w:t>
      </w:r>
    </w:p>
    <w:p>
      <w:r>
        <w:rPr>
          <w:b/>
        </w:rPr>
        <w:t xml:space="preserve">11 </w:t>
      </w:r>
      <w:r>
        <w:t xml:space="preserve">Ephraim is a heifer taught to love victory, but I will come upon the beauty of her neck. I will mount Ephraim and pass over Judah</w:t>
      </w:r>
      <w:r>
        <w:rPr>
          <w:rStyle w:val="FootnoteReference"/>
        </w:rPr>
        <w:footnoteReference w:id="13528"/>
      </w:r>
      <w:r>
        <w:t xml:space="preserve"> in silence; Jacob will prevail against him.</w:t>
      </w:r>
    </w:p>
    <w:p>
      <w:r>
        <w:rPr>
          <w:b/>
        </w:rPr>
        <w:t xml:space="preserve">12 </w:t>
      </w:r>
      <w:r>
        <w:t xml:space="preserve">Sow for yourselves into righteousness; reap into fruit of life. Light for yourselves light of knowledge. Seek the Lord until fruits of righteousness come to you.</w:t>
      </w:r>
    </w:p>
    <w:p>
      <w:r>
        <w:rPr>
          <w:b/>
        </w:rPr>
        <w:t xml:space="preserve">13 </w:t>
      </w:r>
      <w:r>
        <w:t xml:space="preserve">Why did you pass over impiety in silence and reap its injustices? You ate false fruit, because you hoped in your chariots and in the multitude of your strength.</w:t>
      </w:r>
    </w:p>
    <w:p>
      <w:r>
        <w:rPr>
          <w:b/>
        </w:rPr>
        <w:t xml:space="preserve">14 </w:t>
      </w:r>
      <w:r>
        <w:t xml:space="preserve">And destruction will rise up among your people, and all your fortified things will go away, as ruler Shalman</w:t>
      </w:r>
      <w:r>
        <w:rPr>
          <w:rStyle w:val="FootnoteReference"/>
        </w:rPr>
        <w:footnoteReference w:id="13529"/>
      </w:r>
      <w:r>
        <w:t xml:space="preserve"> from the house of Jerubbaal. In the days of war they leveled mother upon children.</w:t>
      </w:r>
    </w:p>
    <w:p>
      <w:r>
        <w:rPr>
          <w:b/>
        </w:rPr>
        <w:t xml:space="preserve">15 </w:t>
      </w:r>
      <w:r>
        <w:t xml:space="preserve">Thus I will do to you, house of Israel, because of the face of your evils. At dawn they were thrown away; the king of Israel was thrown away.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Because Israel</w:t>
      </w:r>
      <w:r>
        <w:rPr>
          <w:rStyle w:val="FootnoteReference"/>
        </w:rPr>
        <w:footnoteReference w:id="13530"/>
      </w:r>
      <w:r>
        <w:t xml:space="preserve"> was an infant, and I loved him, and from Egypt I called his children.</w:t>
      </w:r>
    </w:p>
    <w:p>
      <w:r>
        <w:rPr>
          <w:b/>
        </w:rPr>
        <w:t xml:space="preserve">2 </w:t>
      </w:r>
      <w:r>
        <w:t xml:space="preserve">As I called them, so they went away from my face; they themselves were sacrificing to the Baals and burning incense to carved things.</w:t>
      </w:r>
    </w:p>
    <w:p>
      <w:r>
        <w:rPr>
          <w:b/>
        </w:rPr>
        <w:t xml:space="preserve">3 </w:t>
      </w:r>
      <w:r>
        <w:t xml:space="preserve">And I bound Ephraim's feet together; I took him on my arm, and they did not know that I heal them.</w:t>
      </w:r>
    </w:p>
    <w:p>
      <w:r>
        <w:rPr>
          <w:b/>
        </w:rPr>
        <w:t xml:space="preserve">4 </w:t>
      </w:r>
      <w:r>
        <w:t xml:space="preserve">In ruin of men I stretched them out, in bonds of my love, and I will be to them like one striking a man on his jaws, and I will look toward him; I will prevail for him.</w:t>
      </w:r>
    </w:p>
    <w:p>
      <w:r>
        <w:rPr>
          <w:b/>
        </w:rPr>
        <w:t xml:space="preserve">5 </w:t>
      </w:r>
      <w:r>
        <w:t xml:space="preserve">Ephraim dwelt in Egypt, and Assyria itself is his king, because he was not willing to return.</w:t>
      </w:r>
    </w:p>
    <w:p>
      <w:r>
        <w:rPr>
          <w:b/>
        </w:rPr>
        <w:t xml:space="preserve">6 </w:t>
      </w:r>
      <w:r>
        <w:t xml:space="preserve">And the sword</w:t>
      </w:r>
      <w:r>
        <w:rPr>
          <w:rStyle w:val="FootnoteReference"/>
        </w:rPr>
        <w:footnoteReference w:id="13531"/>
      </w:r>
      <w:r>
        <w:t xml:space="preserve"> grew weak in his cities and ceased in his hands, and they will eat from their counsels.</w:t>
      </w:r>
    </w:p>
    <w:p>
      <w:r>
        <w:rPr>
          <w:b/>
        </w:rPr>
        <w:t xml:space="preserve">7 </w:t>
      </w:r>
      <w:r>
        <w:t xml:space="preserve">And his people were hanging suspended from his dwelling, and God will be angered over his precious things and will never exalt him.</w:t>
      </w:r>
    </w:p>
    <w:p>
      <w:r>
        <w:rPr>
          <w:b/>
        </w:rPr>
        <w:t xml:space="preserve">8 </w:t>
      </w:r>
      <w:r>
        <w:t xml:space="preserve">How shall I deal with you, Ephraim? Shall I shield you, Israel? How shall I deal with you? I will make you like Admah</w:t>
      </w:r>
      <w:r>
        <w:rPr>
          <w:rStyle w:val="FootnoteReference"/>
        </w:rPr>
        <w:footnoteReference w:id="13532"/>
      </w:r>
      <w:r>
        <w:t xml:space="preserve"> and set you like Zeboiim. My heart was turned within me; my repentance was stirred together.</w:t>
      </w:r>
    </w:p>
    <w:p>
      <w:r>
        <w:rPr>
          <w:b/>
        </w:rPr>
        <w:t xml:space="preserve">9 </w:t>
      </w:r>
      <w:r>
        <w:t xml:space="preserve">I will not act according to the anger of my wrath; I will not abandon Ephraim to be wiped out, because I am God and not man, a holy one in you, and I will not enter into a city.</w:t>
      </w:r>
    </w:p>
    <w:p>
      <w:r>
        <w:rPr>
          <w:b/>
        </w:rPr>
        <w:t xml:space="preserve">10 </w:t>
      </w:r>
      <w:r>
        <w:t xml:space="preserve">I will go after the Lord; like a lion he will roar, because he himself will roar, and children of the waters will stand amazed.</w:t>
      </w:r>
    </w:p>
    <w:p>
      <w:r>
        <w:rPr>
          <w:b/>
        </w:rPr>
        <w:t xml:space="preserve">11 </w:t>
      </w:r>
      <w:r>
        <w:t xml:space="preserve">And they will stand amazed like a bird out of Egypt and like a dove from the land of the Assyrians, and I will restore them to their houses,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Ephraim surrounded me with falsehood, and the house of Israel and Judah with impieties; but now God knows them, and they will be called God's holy people.</w:t>
      </w:r>
    </w:p>
    <w:p>
      <w:r>
        <w:rPr>
          <w:b/>
        </w:rPr>
        <w:t xml:space="preserve">2 </w:t>
      </w:r>
      <w:r>
        <w:t xml:space="preserve">But Ephraim pursued an evil wind, scorching heat all day. He multiplied empty and vain things, and made a covenant with the Assyrians, and oil was traded into Egypt.</w:t>
      </w:r>
    </w:p>
    <w:p>
      <w:r>
        <w:rPr>
          <w:b/>
        </w:rPr>
        <w:t xml:space="preserve">3 </w:t>
      </w:r>
      <w:r>
        <w:t xml:space="preserve">And the Lord has a case against Judah, to avenge Jacob according to his ways and repay him according to his practices.</w:t>
      </w:r>
    </w:p>
    <w:p>
      <w:r>
        <w:rPr>
          <w:b/>
        </w:rPr>
        <w:t xml:space="preserve">4 </w:t>
      </w:r>
      <w:r>
        <w:t xml:space="preserve">In the womb he grabbed the heel of his brother, and in his labors he grew strong toward God.</w:t>
      </w:r>
    </w:p>
    <w:p>
      <w:r>
        <w:rPr>
          <w:b/>
        </w:rPr>
        <w:t xml:space="preserve">5 </w:t>
      </w:r>
      <w:r>
        <w:t xml:space="preserve">And he grew strong with an angel and prevailed; they wept and begged me. In the house of On they found me, and there it was spoken toward him.</w:t>
      </w:r>
    </w:p>
    <w:p>
      <w:r>
        <w:rPr>
          <w:b/>
        </w:rPr>
        <w:t xml:space="preserve">6 </w:t>
      </w:r>
      <w:r>
        <w:t xml:space="preserve">But the Lord God Almighty will be his memorial.</w:t>
      </w:r>
    </w:p>
    <w:p>
      <w:r>
        <w:rPr>
          <w:b/>
        </w:rPr>
        <w:t xml:space="preserve">7 </w:t>
      </w:r>
      <w:r>
        <w:t xml:space="preserve">And you, in your God you will return; keep mercy and judgment and draw near to your God always.</w:t>
      </w:r>
    </w:p>
    <w:p>
      <w:r>
        <w:rPr>
          <w:b/>
        </w:rPr>
        <w:t xml:space="preserve">8 </w:t>
      </w:r>
      <w:r>
        <w:t xml:space="preserve">Canaan, in his hand is a scale of injustice; he loved to oppress.</w:t>
      </w:r>
    </w:p>
    <w:p>
      <w:r>
        <w:rPr>
          <w:b/>
        </w:rPr>
        <w:t xml:space="preserve">9 </w:t>
      </w:r>
      <w:r>
        <w:t xml:space="preserve">And Ephraim said, Yet I became rich; I found relief for myself. All his labors will not be found for him because of injustices by which he sinned.</w:t>
      </w:r>
    </w:p>
    <w:p>
      <w:r>
        <w:rPr>
          <w:b/>
        </w:rPr>
        <w:t xml:space="preserve">10 </w:t>
      </w:r>
      <w:r>
        <w:t xml:space="preserve">But I am the Lord your God who brought you up from the land of Egypt. I will still make you dwell in tents as on a day of feast.</w:t>
      </w:r>
    </w:p>
    <w:p>
      <w:r>
        <w:rPr>
          <w:b/>
        </w:rPr>
        <w:t xml:space="preserve">11 </w:t>
      </w:r>
      <w:r>
        <w:t xml:space="preserve">And I will speak to the prophets, and I multiplied visions, and by the hands of prophets I was likened.</w:t>
      </w:r>
    </w:p>
    <w:p>
      <w:r>
        <w:rPr>
          <w:b/>
        </w:rPr>
        <w:t xml:space="preserve">12 </w:t>
      </w:r>
      <w:r>
        <w:t xml:space="preserve">If Gilead does not exist, then surely they were false. In Gilgal rulers were sacrificing, and their altars were like tortoises on the fallow ground of a field.</w:t>
      </w:r>
    </w:p>
    <w:p>
      <w:r>
        <w:rPr>
          <w:b/>
        </w:rPr>
        <w:t xml:space="preserve">13 </w:t>
      </w:r>
      <w:r>
        <w:t xml:space="preserve">And Jacob withdrew into the plain of Syria, and Israel served for a wife, and for a wife he kept watch.</w:t>
      </w:r>
    </w:p>
    <w:p>
      <w:r>
        <w:rPr>
          <w:b/>
        </w:rPr>
        <w:t xml:space="preserve">14 </w:t>
      </w:r>
      <w:r>
        <w:t xml:space="preserve">And by a prophet the Lord brought Israel up out of Egypt, and by a prophet he was preserved.</w:t>
      </w:r>
    </w:p>
    <w:p>
      <w:r>
        <w:rPr>
          <w:b/>
        </w:rPr>
        <w:t xml:space="preserve">15 </w:t>
      </w:r>
      <w:r>
        <w:t xml:space="preserve">Ephraim was angry and provoked anger, and his blood will be poured upon him, and the Lord will repay his reproach to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According to the word of Ephraim</w:t>
      </w:r>
      <w:r>
        <w:rPr>
          <w:rStyle w:val="FootnoteReference"/>
        </w:rPr>
        <w:footnoteReference w:id="13533"/>
      </w:r>
      <w:r>
        <w:t xml:space="preserve">, he himself received ordinances in Israel, and he set them for Baal and died.</w:t>
      </w:r>
    </w:p>
    <w:p>
      <w:r>
        <w:rPr>
          <w:b/>
        </w:rPr>
        <w:t xml:space="preserve">2 </w:t>
      </w:r>
      <w:r>
        <w:t xml:space="preserve">And now they sinned increasingly and made for themselves a molten image from their silver according to the likeness of idols, works of craftsmen accomplished for them. They themselves say, Sacrifice humans, for the calves have failed.</w:t>
      </w:r>
    </w:p>
    <w:p>
      <w:r>
        <w:rPr>
          <w:b/>
        </w:rPr>
        <w:t xml:space="preserve">3 </w:t>
      </w:r>
      <w:r>
        <w:t xml:space="preserve">Therefore they will be like a morning cloud and like early dew going away, like chaff blown away from a threshing floor and like vapor from locusts.</w:t>
      </w:r>
    </w:p>
    <w:p>
      <w:r>
        <w:rPr>
          <w:b/>
        </w:rPr>
        <w:t xml:space="preserve">4 </w:t>
      </w:r>
      <w:r>
        <w:t xml:space="preserve">But I am the Lord your God, establishing heaven and creating earth, whose hands created all the army of heaven, and I did not show them to you for you to go after them. And I brought you up from the land of Egypt, and besides me you will know no god, and there is no savior except me</w:t>
      </w:r>
      <w:r>
        <w:rPr>
          <w:rStyle w:val="FootnoteReference"/>
        </w:rPr>
        <w:footnoteReference w:id="13534"/>
      </w:r>
      <w:r>
        <w:t xml:space="preserve">.</w:t>
      </w:r>
    </w:p>
    <w:p>
      <w:r>
        <w:rPr>
          <w:b/>
        </w:rPr>
        <w:t xml:space="preserve">5 </w:t>
      </w:r>
      <w:r>
        <w:t xml:space="preserve">I was shepherding you in the wilderness</w:t>
      </w:r>
      <w:r>
        <w:rPr>
          <w:rStyle w:val="FootnoteReference"/>
        </w:rPr>
        <w:footnoteReference w:id="13535"/>
      </w:r>
      <w:r>
        <w:t xml:space="preserve">, in an uninhabited land.</w:t>
      </w:r>
    </w:p>
    <w:p>
      <w:r>
        <w:rPr>
          <w:b/>
        </w:rPr>
        <w:t xml:space="preserve">6 </w:t>
      </w:r>
      <w:r>
        <w:t xml:space="preserve">According to their pastures they were filled to fullness, and their hearts were exalted; because of this they forgot me.</w:t>
      </w:r>
    </w:p>
    <w:p>
      <w:r>
        <w:rPr>
          <w:b/>
        </w:rPr>
        <w:t xml:space="preserve">7 </w:t>
      </w:r>
      <w:r>
        <w:t xml:space="preserve">And I will be to them like a panther and like a leopard on the road of the Assyrians.</w:t>
      </w:r>
    </w:p>
    <w:p>
      <w:r>
        <w:rPr>
          <w:b/>
        </w:rPr>
        <w:t xml:space="preserve">8 </w:t>
      </w:r>
      <w:r>
        <w:t xml:space="preserve">I will meet them like a bear in distress and tear open the enclosure of their heart, and cubs of the forest will devour them there; beasts of the field will tear them apart.</w:t>
      </w:r>
    </w:p>
    <w:p>
      <w:r>
        <w:rPr>
          <w:b/>
        </w:rPr>
        <w:t xml:space="preserve">9 </w:t>
      </w:r>
      <w:r>
        <w:t xml:space="preserve">At your destruction, Israel, who will help?</w:t>
      </w:r>
    </w:p>
    <w:p>
      <w:r>
        <w:rPr>
          <w:b/>
        </w:rPr>
        <w:t xml:space="preserve">10 </w:t>
      </w:r>
      <w:r>
        <w:t xml:space="preserve">Where is this king of yours? Let him save you in all your cities. Let him judge you, the one of whom you said, Give me a king and a ruler.</w:t>
      </w:r>
    </w:p>
    <w:p>
      <w:r>
        <w:rPr>
          <w:b/>
        </w:rPr>
        <w:t xml:space="preserve">11 </w:t>
      </w:r>
      <w:r>
        <w:t xml:space="preserve">And I gave you a king in my anger and withheld him in my wrath.</w:t>
      </w:r>
    </w:p>
    <w:p>
      <w:r>
        <w:rPr>
          <w:b/>
        </w:rPr>
        <w:t xml:space="preserve">12 </w:t>
      </w:r>
      <w:r>
        <w:t xml:space="preserve">Ephraim's conspiracy of injustice, his sin, has been hidden.</w:t>
      </w:r>
    </w:p>
    <w:p>
      <w:r>
        <w:rPr>
          <w:b/>
        </w:rPr>
        <w:t xml:space="preserve">13 </w:t>
      </w:r>
      <w:r>
        <w:t xml:space="preserve">Birth-pangs like those of a woman giving birth will come to him. This son of yours is not wise, because he will not stand in the breaking of children.</w:t>
      </w:r>
    </w:p>
    <w:p>
      <w:r>
        <w:rPr>
          <w:b/>
        </w:rPr>
        <w:t xml:space="preserve">14 </w:t>
      </w:r>
      <w:r>
        <w:t xml:space="preserve">From the hand of Hades I will rescue them, and from death I will ransom</w:t>
      </w:r>
      <w:r>
        <w:rPr>
          <w:rStyle w:val="FootnoteReference"/>
        </w:rPr>
        <w:footnoteReference w:id="13536"/>
      </w:r>
      <w:r>
        <w:t xml:space="preserve"> them. Where is your penalty, O death? Where is your sting, O Hades? Consolation is hidden from my eyes.</w:t>
      </w:r>
    </w:p>
    <w:p>
      <w:r>
        <w:rPr>
          <w:b/>
        </w:rPr>
        <w:t xml:space="preserve">15 </w:t>
      </w:r>
      <w:r>
        <w:t xml:space="preserve">Because he himself will make a separation among brothers, the Lord will bring an east</w:t>
      </w:r>
      <w:r>
        <w:rPr>
          <w:rStyle w:val="FootnoteReference"/>
        </w:rPr>
        <w:footnoteReference w:id="13537"/>
      </w:r>
      <w:r>
        <w:t xml:space="preserve"> wind, a scorching wind from the wilderness, upon him, and it will dry up his veins and lay waste his springs. It itself will dry up his land and all his desirable vessels.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Samaria will be destroyed, because she opposed her God. By sword they will fall, their nursing infants will be dashed down, and their pregnant women will be ripped open.</w:t>
      </w:r>
    </w:p>
    <w:p>
      <w:r>
        <w:rPr>
          <w:b/>
        </w:rPr>
        <w:t xml:space="preserve">2 </w:t>
      </w:r>
      <w:r>
        <w:t xml:space="preserve">Return, O Israel, to the Lord your God, because you grew weak in your injustices.</w:t>
      </w:r>
    </w:p>
    <w:p>
      <w:r>
        <w:rPr>
          <w:b/>
        </w:rPr>
        <w:t xml:space="preserve">3 </w:t>
      </w:r>
      <w:r>
        <w:t xml:space="preserve">Take words with you and return to the Lord your God. Say to him that you may not receive injustice and may receive good things, and we will repay the fruit of our lips.</w:t>
      </w:r>
    </w:p>
    <w:p>
      <w:r>
        <w:rPr>
          <w:b/>
        </w:rPr>
        <w:t xml:space="preserve">4 </w:t>
      </w:r>
      <w:r>
        <w:t xml:space="preserve">Assyria will never save us; we will not mount a horse, and we will no longer say to the works of our hands, Our gods. The one who is in you will have mercy on an orphan.</w:t>
      </w:r>
    </w:p>
    <w:p>
      <w:r>
        <w:rPr>
          <w:b/>
        </w:rPr>
        <w:t xml:space="preserve">5 </w:t>
      </w:r>
      <w:r>
        <w:t xml:space="preserve">I will heal their dwellings; I will love them openly, because my anger turned away from them.</w:t>
      </w:r>
    </w:p>
    <w:p>
      <w:r>
        <w:rPr>
          <w:b/>
        </w:rPr>
        <w:t xml:space="preserve">6 </w:t>
      </w:r>
      <w:r>
        <w:t xml:space="preserve">I will be like dew to Israel; he will blossom like a lily and cast forth his roots like Lebanon.</w:t>
      </w:r>
    </w:p>
    <w:p>
      <w:r>
        <w:rPr>
          <w:b/>
        </w:rPr>
        <w:t xml:space="preserve">7 </w:t>
      </w:r>
      <w:r>
        <w:t xml:space="preserve">His branches will go forth, and he will be like a fruitful olive, and his smell will be like Lebanon.</w:t>
      </w:r>
    </w:p>
    <w:p>
      <w:r>
        <w:rPr>
          <w:b/>
        </w:rPr>
        <w:t xml:space="preserve">8 </w:t>
      </w:r>
      <w:r>
        <w:t xml:space="preserve">They will return and sit under his shelter; they will live and be made drunk with grain, and he will blossom like a vine; his memorial will be like wine of Lebanon.</w:t>
      </w:r>
    </w:p>
    <w:p>
      <w:r>
        <w:rPr>
          <w:b/>
        </w:rPr>
        <w:t xml:space="preserve">9 </w:t>
      </w:r>
      <w:r>
        <w:t xml:space="preserve">What further has Ephraim to do with idols? I humbled him and I will strengthen him. I am like a thickly covered juniper; from me your fruit is found.</w:t>
      </w:r>
    </w:p>
    <w:p>
      <w:r>
        <w:rPr>
          <w:b/>
        </w:rPr>
        <w:t xml:space="preserve">10 </w:t>
      </w:r>
      <w:r>
        <w:t xml:space="preserve">Who is wise and will understand these things, or intelligent and will know them? Because the ways of the Lord are straight, and righteous ones will walk in them, but impious ones will grow weak in them.</w:t>
      </w:r>
    </w:p>
    <w:p>
      <w:r>
        <w:br w:type="page"/>
      </w:r>
    </w:p>
    <w:p>
      <w:pPr>
        <w:pStyle w:val="Heading1"/>
      </w:pPr>
      <w:r>
        <w:t xml:space="preserve">Joel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word of the Lord that came to Joel son of Pethuel</w:t>
      </w:r>
      <w:r>
        <w:rPr>
          <w:rStyle w:val="FootnoteReference"/>
        </w:rPr>
        <w:footnoteReference w:id="13538"/>
      </w:r>
      <w:r>
        <w:t xml:space="preserve">.</w:t>
      </w:r>
    </w:p>
    <w:p>
      <w:r>
        <w:rPr>
          <w:b/>
        </w:rPr>
        <w:t xml:space="preserve">2 </w:t>
      </w:r>
      <w:r>
        <w:t xml:space="preserve">Hear</w:t>
      </w:r>
      <w:r>
        <w:rPr>
          <w:rStyle w:val="FootnoteReference"/>
        </w:rPr>
        <w:footnoteReference w:id="13539"/>
      </w:r>
      <w:r>
        <w:t xml:space="preserve"> now these things, elders, and listen, all who inhabit the land. Have such things happened in your days or in the days of your fathers?</w:t>
      </w:r>
    </w:p>
    <w:p>
      <w:r>
        <w:rPr>
          <w:b/>
        </w:rPr>
        <w:t xml:space="preserve">3 </w:t>
      </w:r>
      <w:r>
        <w:t xml:space="preserve">Tell of these things to your children, and your children to their children, and their children to another generation.</w:t>
      </w:r>
    </w:p>
    <w:p>
      <w:r>
        <w:rPr>
          <w:b/>
        </w:rPr>
        <w:t xml:space="preserve">4 </w:t>
      </w:r>
      <w:r>
        <w:t xml:space="preserve">What remained of the caterpillar</w:t>
      </w:r>
      <w:r>
        <w:rPr>
          <w:rStyle w:val="FootnoteReference"/>
        </w:rPr>
        <w:footnoteReference w:id="13540"/>
      </w:r>
      <w:r>
        <w:t xml:space="preserve"> the locust ate, and what remained of the locust the hopper ate, and what remained of the hopper the blight ate.</w:t>
      </w:r>
    </w:p>
    <w:p>
      <w:r>
        <w:rPr>
          <w:b/>
        </w:rPr>
        <w:t xml:space="preserve">5 </w:t>
      </w:r>
      <w:r>
        <w:t xml:space="preserve">Wake up, drunkards, from your wine, and weep</w:t>
      </w:r>
      <w:r>
        <w:rPr>
          <w:rStyle w:val="FootnoteReference"/>
        </w:rPr>
        <w:footnoteReference w:id="13541"/>
      </w:r>
      <w:r>
        <w:t xml:space="preserve">; lament, all who drink wine to drunkenness, because gladness and joy have been removed from your mouth.</w:t>
      </w:r>
    </w:p>
    <w:p>
      <w:r>
        <w:rPr>
          <w:b/>
        </w:rPr>
        <w:t xml:space="preserve">6 </w:t>
      </w:r>
      <w:r>
        <w:t xml:space="preserve">Because a strong and numberless nation</w:t>
      </w:r>
      <w:r>
        <w:rPr>
          <w:rStyle w:val="FootnoteReference"/>
        </w:rPr>
        <w:footnoteReference w:id="13542"/>
      </w:r>
      <w:r>
        <w:t xml:space="preserve"> came up upon my land; its teeth are lion's teeth and its molars are those of a cub.</w:t>
      </w:r>
    </w:p>
    <w:p>
      <w:r>
        <w:rPr>
          <w:b/>
        </w:rPr>
        <w:t xml:space="preserve">7 </w:t>
      </w:r>
      <w:r>
        <w:t xml:space="preserve">It made my vine into ruin and my fig trees into splintering; searching, it searched it out and threw it down; its branches turned white.</w:t>
      </w:r>
    </w:p>
    <w:p>
      <w:r>
        <w:rPr>
          <w:b/>
        </w:rPr>
        <w:t xml:space="preserve">8 </w:t>
      </w:r>
      <w:r>
        <w:t xml:space="preserve">Lament</w:t>
      </w:r>
      <w:r>
        <w:rPr>
          <w:rStyle w:val="FootnoteReference"/>
        </w:rPr>
        <w:footnoteReference w:id="13543"/>
      </w:r>
      <w:r>
        <w:t xml:space="preserve"> to me like a bride girded with sackcloth for the husband of her youth.</w:t>
      </w:r>
    </w:p>
    <w:p>
      <w:r>
        <w:rPr>
          <w:b/>
        </w:rPr>
        <w:t xml:space="preserve">9 </w:t>
      </w:r>
      <w:r>
        <w:t xml:space="preserve">Sacrifice and drink offering have been removed from the house of the Lord. Mourn, priests who serve at the altar.</w:t>
      </w:r>
    </w:p>
    <w:p>
      <w:r>
        <w:rPr>
          <w:b/>
        </w:rPr>
        <w:t xml:space="preserve">10 </w:t>
      </w:r>
      <w:r>
        <w:t xml:space="preserve">Because the fields have suffered, let the land mourn, because grain has suffered; wine dried up, oil diminished.</w:t>
      </w:r>
    </w:p>
    <w:p>
      <w:r>
        <w:rPr>
          <w:b/>
        </w:rPr>
        <w:t xml:space="preserve">11 </w:t>
      </w:r>
      <w:r>
        <w:t xml:space="preserve">Farmers dried up. Lament, estates, for wheat and barley, because harvest from the field is lost.</w:t>
      </w:r>
    </w:p>
    <w:p>
      <w:r>
        <w:rPr>
          <w:b/>
        </w:rPr>
        <w:t xml:space="preserve">12 </w:t>
      </w:r>
      <w:r>
        <w:t xml:space="preserve">The vine</w:t>
      </w:r>
      <w:r>
        <w:rPr>
          <w:rStyle w:val="FootnoteReference"/>
        </w:rPr>
        <w:footnoteReference w:id="13544"/>
      </w:r>
      <w:r>
        <w:t xml:space="preserve"> dried up and the fig trees diminished; pomegranate and palm and apple and all the trees of the field dried up, because the sons of men put joy to shame.</w:t>
      </w:r>
    </w:p>
    <w:p>
      <w:r>
        <w:rPr>
          <w:b/>
        </w:rPr>
        <w:t xml:space="preserve">13 </w:t>
      </w:r>
      <w:r>
        <w:t xml:space="preserve">Gird</w:t>
      </w:r>
      <w:r>
        <w:rPr>
          <w:rStyle w:val="FootnoteReference"/>
        </w:rPr>
        <w:footnoteReference w:id="13545"/>
      </w:r>
      <w:r>
        <w:t xml:space="preserve"> yourselves and beat yourselves, priests; lament, those who serve at the altar. Enter, spend the night in sackcloth, those who serve God, because sacrifice and drink offering</w:t>
      </w:r>
      <w:r>
        <w:rPr>
          <w:rStyle w:val="FootnoteReference"/>
        </w:rPr>
        <w:footnoteReference w:id="13546"/>
      </w:r>
      <w:r>
        <w:t xml:space="preserve"> have been kept back from the house of your God.</w:t>
      </w:r>
    </w:p>
    <w:p>
      <w:r>
        <w:rPr>
          <w:b/>
        </w:rPr>
        <w:t xml:space="preserve">14 </w:t>
      </w:r>
      <w:r>
        <w:t xml:space="preserve">Sanctify</w:t>
      </w:r>
      <w:r>
        <w:rPr>
          <w:rStyle w:val="FootnoteReference"/>
        </w:rPr>
        <w:footnoteReference w:id="13547"/>
      </w:r>
      <w:r>
        <w:t xml:space="preserve"> a fast, proclaim a service, gather elders, all who inhabit the land, into the house of your God, and cry out intensely to the Lord.</w:t>
      </w:r>
    </w:p>
    <w:p>
      <w:r>
        <w:rPr>
          <w:b/>
        </w:rPr>
        <w:t xml:space="preserve">15 </w:t>
      </w:r>
      <w:r>
        <w:t xml:space="preserve">Alas</w:t>
      </w:r>
      <w:r>
        <w:rPr>
          <w:rStyle w:val="FootnoteReference"/>
        </w:rPr>
        <w:footnoteReference w:id="13548"/>
      </w:r>
      <w:r>
        <w:t xml:space="preserve">, alas, alas, for the day, because the day of the Lord is near, and like misery from misery it will come.</w:t>
      </w:r>
    </w:p>
    <w:p>
      <w:r>
        <w:rPr>
          <w:b/>
        </w:rPr>
        <w:t xml:space="preserve">16 </w:t>
      </w:r>
      <w:r>
        <w:t xml:space="preserve">Before your eyes food was destroyed, and gladness and joy from the house of your God.</w:t>
      </w:r>
    </w:p>
    <w:p>
      <w:r>
        <w:rPr>
          <w:b/>
        </w:rPr>
        <w:t xml:space="preserve">17 </w:t>
      </w:r>
      <w:r>
        <w:t xml:space="preserve">Heifers leaped at their mangers, storehouses vanished, winepresses were dug down, because grain dried up.</w:t>
      </w:r>
    </w:p>
    <w:p>
      <w:r>
        <w:rPr>
          <w:b/>
        </w:rPr>
        <w:t xml:space="preserve">18 </w:t>
      </w:r>
      <w:r>
        <w:t xml:space="preserve">What shall we store up for ourselves? Herds of cattle wept, because no pasture existed for them, and flocks of sheep vanished.</w:t>
      </w:r>
    </w:p>
    <w:p>
      <w:r>
        <w:rPr>
          <w:b/>
        </w:rPr>
        <w:t xml:space="preserve">19 </w:t>
      </w:r>
      <w:r>
        <w:t xml:space="preserve">To you, Lord, I will cry, because fire consumed the beauties of the wilderness and a flame kindled all the trees of the field.</w:t>
      </w:r>
    </w:p>
    <w:p>
      <w:r>
        <w:rPr>
          <w:b/>
        </w:rPr>
        <w:t xml:space="preserve">20 </w:t>
      </w:r>
      <w:r>
        <w:t xml:space="preserve">And the beasts of the plain looked up to you, because the streams of waters dried up and fire devoured the beauties of the wilderness.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Blow</w:t>
      </w:r>
      <w:r>
        <w:rPr>
          <w:rStyle w:val="FootnoteReference"/>
        </w:rPr>
        <w:footnoteReference w:id="13549"/>
      </w:r>
      <w:r>
        <w:t xml:space="preserve"> trumpet in Zion, proclaim on my holy mountain, and let all who inhabit the land be shaken, because the day of the Lord is present, because it is near:</w:t>
      </w:r>
    </w:p>
    <w:p>
      <w:r>
        <w:rPr>
          <w:b/>
        </w:rPr>
        <w:t xml:space="preserve">2 </w:t>
      </w:r>
      <w:r>
        <w:t xml:space="preserve">A day of darkness</w:t>
      </w:r>
      <w:r>
        <w:rPr>
          <w:rStyle w:val="FootnoteReference"/>
        </w:rPr>
        <w:footnoteReference w:id="13550"/>
      </w:r>
      <w:r>
        <w:t xml:space="preserve"> and gloom, a day of cloud and mist; like dawn a great and strong people will be poured out on the mountains. None like it has happened from the age, and after it none will be added, to years of generations.</w:t>
      </w:r>
    </w:p>
    <w:p>
      <w:r>
        <w:rPr>
          <w:b/>
        </w:rPr>
        <w:t xml:space="preserve">3 </w:t>
      </w:r>
      <w:r>
        <w:t xml:space="preserve">Before it fire</w:t>
      </w:r>
      <w:r>
        <w:rPr>
          <w:rStyle w:val="FootnoteReference"/>
        </w:rPr>
        <w:footnoteReference w:id="13551"/>
      </w:r>
      <w:r>
        <w:t xml:space="preserve"> consumes, and behind it kindled flame; before its face the land is a garden of delight, and behind it a plain of ruin, and there will be no one escaping it.</w:t>
      </w:r>
    </w:p>
    <w:p>
      <w:r>
        <w:rPr>
          <w:b/>
        </w:rPr>
        <w:t xml:space="preserve">4 </w:t>
      </w:r>
      <w:r>
        <w:t xml:space="preserve">Their appearance is like the appearance of horses, and like horsemen they will pursue.</w:t>
      </w:r>
    </w:p>
    <w:p>
      <w:r>
        <w:rPr>
          <w:b/>
        </w:rPr>
        <w:t xml:space="preserve">5 </w:t>
      </w:r>
      <w:r>
        <w:t xml:space="preserve">Like the sound of chariots on the tops of mountains they will leap, and like the sound of a flame of fire devouring stubble, and like a great and strong people arrayed for war.</w:t>
      </w:r>
    </w:p>
    <w:p>
      <w:r>
        <w:rPr>
          <w:b/>
        </w:rPr>
        <w:t xml:space="preserve">6 </w:t>
      </w:r>
      <w:r>
        <w:t xml:space="preserve">Before its face peoples will be crushed; every face will be like the scorching of a pot.</w:t>
      </w:r>
    </w:p>
    <w:p>
      <w:r>
        <w:rPr>
          <w:b/>
        </w:rPr>
        <w:t xml:space="preserve">7 </w:t>
      </w:r>
      <w:r>
        <w:t xml:space="preserve">Like warriors they will run, and like men of war they will climb</w:t>
      </w:r>
      <w:r>
        <w:rPr>
          <w:rStyle w:val="FootnoteReference"/>
        </w:rPr>
        <w:footnoteReference w:id="13552"/>
      </w:r>
      <w:r>
        <w:t xml:space="preserve"> the walls, and each will go in his own way, and they will never turn aside from their paths.</w:t>
      </w:r>
    </w:p>
    <w:p>
      <w:r>
        <w:rPr>
          <w:b/>
        </w:rPr>
        <w:t xml:space="preserve">8 </w:t>
      </w:r>
      <w:r>
        <w:t xml:space="preserve">And each will not stand aloof from his brother; weighed down in their weapons they will go, and by their missiles they will fall, and they will never be destroyed.</w:t>
      </w:r>
    </w:p>
    <w:p>
      <w:r>
        <w:rPr>
          <w:b/>
        </w:rPr>
        <w:t xml:space="preserve">9 </w:t>
      </w:r>
      <w:r>
        <w:t xml:space="preserve">They will seize the city and run on the walls and climb up on the houses and enter</w:t>
      </w:r>
      <w:r>
        <w:rPr>
          <w:rStyle w:val="FootnoteReference"/>
        </w:rPr>
        <w:footnoteReference w:id="13553"/>
      </w:r>
      <w:r>
        <w:t xml:space="preserve"> through windows like thieves.</w:t>
      </w:r>
    </w:p>
    <w:p>
      <w:r>
        <w:rPr>
          <w:b/>
        </w:rPr>
        <w:t xml:space="preserve">10 </w:t>
      </w:r>
      <w:r>
        <w:t xml:space="preserve">Before them the earth will be confounded, and heaven will be shaken; the sun</w:t>
      </w:r>
      <w:r>
        <w:rPr>
          <w:rStyle w:val="FootnoteReference"/>
        </w:rPr>
        <w:footnoteReference w:id="13554"/>
      </w:r>
      <w:r>
        <w:t xml:space="preserve"> and the moon will be darkened, and the stars will withdraw their light.</w:t>
      </w:r>
    </w:p>
    <w:p>
      <w:r>
        <w:rPr>
          <w:b/>
        </w:rPr>
        <w:t xml:space="preserve">11 </w:t>
      </w:r>
      <w:r>
        <w:t xml:space="preserve">And the Lord will give his voice before his host, because his camp is exceedingly great, because the works of his words are strong; because great is the day of the Lord, great and very conspicuous, and who will be sufficient for it?</w:t>
      </w:r>
    </w:p>
    <w:p>
      <w:r>
        <w:rPr>
          <w:b/>
        </w:rPr>
        <w:t xml:space="preserve">12 </w:t>
      </w:r>
      <w:r>
        <w:t xml:space="preserve">And now, says the Lord your God, return to me with all your heart and with fasting</w:t>
      </w:r>
      <w:r>
        <w:rPr>
          <w:rStyle w:val="FootnoteReference"/>
        </w:rPr>
        <w:footnoteReference w:id="13555"/>
      </w:r>
      <w:r>
        <w:t xml:space="preserve"> and with weeping and with mourning.</w:t>
      </w:r>
    </w:p>
    <w:p>
      <w:r>
        <w:rPr>
          <w:b/>
        </w:rPr>
        <w:t xml:space="preserve">13 </w:t>
      </w:r>
      <w:r>
        <w:t xml:space="preserve">And tear your hearts and not your garments</w:t>
      </w:r>
      <w:r>
        <w:rPr>
          <w:rStyle w:val="FootnoteReference"/>
        </w:rPr>
        <w:footnoteReference w:id="13556"/>
      </w:r>
      <w:r>
        <w:t xml:space="preserve">, and return to the Lord your God, because he is merciful and compassionate, long-suffering and rich in mercy and relenting over calamities.</w:t>
      </w:r>
      <w:r>
        <w:rPr>
          <w:rStyle w:val="FootnoteReference"/>
        </w:rPr>
        <w:footnoteReference w:id="13557"/>
      </w:r>
    </w:p>
    <w:p>
      <w:r>
        <w:rPr>
          <w:b/>
        </w:rPr>
        <w:t xml:space="preserve">14 </w:t>
      </w:r>
      <w:r>
        <w:t xml:space="preserve">Who knows whether he will turn and repent and leave</w:t>
      </w:r>
      <w:r>
        <w:rPr>
          <w:rStyle w:val="FootnoteReference"/>
        </w:rPr>
        <w:footnoteReference w:id="13558"/>
      </w:r>
      <w:r>
        <w:t xml:space="preserve"> behind him blessing, sacrifice, and drink offering to the Lord our God?</w:t>
      </w:r>
      <w:r>
        <w:rPr>
          <w:rStyle w:val="FootnoteReference"/>
        </w:rPr>
        <w:footnoteReference w:id="13559"/>
      </w:r>
    </w:p>
    <w:p>
      <w:r>
        <w:rPr>
          <w:b/>
        </w:rPr>
        <w:t xml:space="preserve">15 </w:t>
      </w:r>
      <w:r>
        <w:t xml:space="preserve">Blow</w:t>
      </w:r>
      <w:r>
        <w:rPr>
          <w:rStyle w:val="FootnoteReference"/>
        </w:rPr>
        <w:footnoteReference w:id="13560"/>
      </w:r>
      <w:r>
        <w:t xml:space="preserve"> trumpet in Zion, sanctify a fast, proclaim a service.</w:t>
      </w:r>
    </w:p>
    <w:p>
      <w:r>
        <w:rPr>
          <w:b/>
        </w:rPr>
        <w:t xml:space="preserve">16 </w:t>
      </w:r>
      <w:r>
        <w:t xml:space="preserve">Gather people, sanctify</w:t>
      </w:r>
      <w:r>
        <w:rPr>
          <w:rStyle w:val="FootnoteReference"/>
        </w:rPr>
        <w:footnoteReference w:id="13561"/>
      </w:r>
      <w:r>
        <w:t xml:space="preserve"> an assembly, choose elders, gather infants nursing breasts. Let the bridegroom go out from his chamber and the bride from her wedding-room.</w:t>
      </w:r>
    </w:p>
    <w:p>
      <w:r>
        <w:rPr>
          <w:b/>
        </w:rPr>
        <w:t xml:space="preserve">17 </w:t>
      </w:r>
      <w:r>
        <w:t xml:space="preserve">At the base of the altar, the priests</w:t>
      </w:r>
      <w:r>
        <w:rPr>
          <w:rStyle w:val="FootnoteReference"/>
        </w:rPr>
        <w:footnoteReference w:id="13562"/>
      </w:r>
      <w:r>
        <w:t xml:space="preserve"> who serve the Lord will weep and say, Spare, O Lord, your people, and do not give your inheritance as a reproach, that nations should rule them, so that they may not say among the nations, Where is their God?</w:t>
      </w:r>
      <w:r>
        <w:rPr>
          <w:rStyle w:val="FootnoteReference"/>
        </w:rPr>
        <w:footnoteReference w:id="13563"/>
      </w:r>
    </w:p>
    <w:p>
      <w:r>
        <w:rPr>
          <w:b/>
        </w:rPr>
        <w:t xml:space="preserve">18 </w:t>
      </w:r>
      <w:r>
        <w:t xml:space="preserve">And the Lord was jealous for his land and spared his people.</w:t>
      </w:r>
    </w:p>
    <w:p>
      <w:r>
        <w:rPr>
          <w:b/>
        </w:rPr>
        <w:t xml:space="preserve">19 </w:t>
      </w:r>
      <w:r>
        <w:t xml:space="preserve">And the Lord answered and said to his people, Behold, I am sending you grain and wine and oil, and you will be filled with them, and I will no longer give you as a reproach among the nations.</w:t>
      </w:r>
    </w:p>
    <w:p>
      <w:r>
        <w:rPr>
          <w:b/>
        </w:rPr>
        <w:t xml:space="preserve">20 </w:t>
      </w:r>
      <w:r>
        <w:t xml:space="preserve">And the one from the north I will drive away from you and thrust him into a waterless land, and I will make his face vanish into the former sea and his back into the last sea, and his rot will rise and his stench will rise, because he magnified his deeds.</w:t>
      </w:r>
    </w:p>
    <w:p>
      <w:r>
        <w:rPr>
          <w:b/>
        </w:rPr>
        <w:t xml:space="preserve">21 </w:t>
      </w:r>
      <w:r>
        <w:t xml:space="preserve">Take courage, land; rejoice and be glad</w:t>
      </w:r>
      <w:r>
        <w:rPr>
          <w:rStyle w:val="FootnoteReference"/>
        </w:rPr>
        <w:footnoteReference w:id="13564"/>
      </w:r>
      <w:r>
        <w:t xml:space="preserve">, because the Lord magnified what he did.</w:t>
      </w:r>
    </w:p>
    <w:p>
      <w:r>
        <w:rPr>
          <w:b/>
        </w:rPr>
        <w:t xml:space="preserve">22 </w:t>
      </w:r>
      <w:r>
        <w:t xml:space="preserve">Take courage, beasts of the plain, because plains of the wilderness have sprouted, because the tree bore its fruit, the vine and the fig tree gave their strength.</w:t>
      </w:r>
    </w:p>
    <w:p>
      <w:r>
        <w:rPr>
          <w:b/>
        </w:rPr>
        <w:t xml:space="preserve">23 </w:t>
      </w:r>
      <w:r>
        <w:t xml:space="preserve">And children of Zion, rejoice</w:t>
      </w:r>
      <w:r>
        <w:rPr>
          <w:rStyle w:val="FootnoteReference"/>
        </w:rPr>
        <w:footnoteReference w:id="13565"/>
      </w:r>
      <w:r>
        <w:t xml:space="preserve"> and be glad in the Lord your God, because he gave you foods in righteousness</w:t>
      </w:r>
      <w:r>
        <w:rPr>
          <w:rStyle w:val="FootnoteReference"/>
        </w:rPr>
        <w:footnoteReference w:id="13566"/>
      </w:r>
      <w:r>
        <w:t xml:space="preserve">, and he will rain on you the early and latter rain as before.</w:t>
      </w:r>
    </w:p>
    <w:p>
      <w:r>
        <w:rPr>
          <w:b/>
        </w:rPr>
        <w:t xml:space="preserve">24 </w:t>
      </w:r>
      <w:r>
        <w:t xml:space="preserve">And the threshing floors will be filled with grain, and the vats will overflow with wine and oil.</w:t>
      </w:r>
    </w:p>
    <w:p>
      <w:r>
        <w:rPr>
          <w:b/>
        </w:rPr>
        <w:t xml:space="preserve">25 </w:t>
      </w:r>
      <w:r>
        <w:t xml:space="preserve">And I will repay you for years that locust and hopper and blight and caterpillar ate, my great host that I sent against you.</w:t>
      </w:r>
    </w:p>
    <w:p>
      <w:r>
        <w:rPr>
          <w:b/>
        </w:rPr>
        <w:t xml:space="preserve">26 </w:t>
      </w:r>
      <w:r>
        <w:t xml:space="preserve">And eating, you will eat and be filled and praise the name of the Lord your God</w:t>
      </w:r>
      <w:r>
        <w:rPr>
          <w:rStyle w:val="FootnoteReference"/>
        </w:rPr>
        <w:footnoteReference w:id="13567"/>
      </w:r>
      <w:r>
        <w:t xml:space="preserve">, who did wonders with you, and my people will never be put to shame forever.</w:t>
      </w:r>
      <w:r>
        <w:rPr>
          <w:rStyle w:val="FootnoteReference"/>
        </w:rPr>
        <w:footnoteReference w:id="13568"/>
      </w:r>
    </w:p>
    <w:p>
      <w:r>
        <w:rPr>
          <w:b/>
        </w:rPr>
        <w:t xml:space="preserve">27 </w:t>
      </w:r>
      <w:r>
        <w:t xml:space="preserve">And you will know that I am in the midst of Israel, and I am the Lord your God and there is no other besides me, and all my people will no longer be put to shame forever.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it will be after these things: I will pour out from my Spirit upon all flesh, and your sons and your daughters will prophesy, and your elders will dream dreams, and your young men will see visions.</w:t>
      </w:r>
    </w:p>
    <w:p>
      <w:r>
        <w:rPr>
          <w:b/>
        </w:rPr>
        <w:t xml:space="preserve">2 </w:t>
      </w:r>
      <w:r>
        <w:t xml:space="preserve">And even on the male servants and on the female servants in those days I will pour out from my Spirit.</w:t>
      </w:r>
    </w:p>
    <w:p>
      <w:r>
        <w:rPr>
          <w:b/>
        </w:rPr>
        <w:t xml:space="preserve">3 </w:t>
      </w:r>
      <w:r>
        <w:t xml:space="preserve">And I will give wonders in heaven and on the earth, blood and fire and vapor of smoke.</w:t>
      </w:r>
    </w:p>
    <w:p>
      <w:r>
        <w:rPr>
          <w:b/>
        </w:rPr>
        <w:t xml:space="preserve">4 </w:t>
      </w:r>
      <w:r>
        <w:t xml:space="preserve">The sun will be turned into darkness and the moon into blood before the great and manifest day of the Lord comes.</w:t>
      </w:r>
    </w:p>
    <w:p>
      <w:r>
        <w:rPr>
          <w:b/>
        </w:rPr>
        <w:t xml:space="preserve">5 </w:t>
      </w:r>
      <w:r>
        <w:t xml:space="preserve">And it will be that everyone who calls on the name of the Lord will be saved</w:t>
      </w:r>
      <w:r>
        <w:rPr>
          <w:rStyle w:val="FootnoteReference"/>
        </w:rPr>
        <w:footnoteReference w:id="13569"/>
      </w:r>
      <w:r>
        <w:t xml:space="preserve">, because on Mount Zion and in Jerusalem there will be one who escapes, as the Lord said, and those receiving good news whom the Lord has called.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Because behold, in those days and in that time, when I turn back the captivity of Judah and Jerusalem,</w:t>
      </w:r>
    </w:p>
    <w:p>
      <w:r>
        <w:rPr>
          <w:b/>
        </w:rPr>
        <w:t xml:space="preserve">2 </w:t>
      </w:r>
      <w:r>
        <w:t xml:space="preserve">I will gather all the nations and bring them down into the valley of Jehoshaphat, and there I will judge with them concerning my people and my inheritance Israel, whom they scattered among the nations and divided my land.</w:t>
      </w:r>
    </w:p>
    <w:p>
      <w:r>
        <w:rPr>
          <w:b/>
        </w:rPr>
        <w:t xml:space="preserve">3 </w:t>
      </w:r>
      <w:r>
        <w:t xml:space="preserve">They cast lots over my people and gave boys to prostitutes and sold girls for wine, and drank.</w:t>
      </w:r>
    </w:p>
    <w:p>
      <w:r>
        <w:rPr>
          <w:b/>
        </w:rPr>
        <w:t xml:space="preserve">4 </w:t>
      </w:r>
      <w:r>
        <w:t xml:space="preserve">And what are you to me, Tyre and Sidon and all Galilee of foreigners? Are you repaying me with repayment, or bearing resentment against me? Swiftly and quickly I will repay your repayment on your own heads.</w:t>
      </w:r>
    </w:p>
    <w:p>
      <w:r>
        <w:rPr>
          <w:b/>
        </w:rPr>
        <w:t xml:space="preserve">5 </w:t>
      </w:r>
      <w:r>
        <w:t xml:space="preserve">Because you took my silver and my gold and carried my choice and good things into your temples.</w:t>
      </w:r>
    </w:p>
    <w:p>
      <w:r>
        <w:rPr>
          <w:b/>
        </w:rPr>
        <w:t xml:space="preserve">6 </w:t>
      </w:r>
      <w:r>
        <w:t xml:space="preserve">And you sold sons of Judah and sons of Jerusalem to the sons of the Greeks so that you might drive them out from their borders.</w:t>
      </w:r>
    </w:p>
    <w:p>
      <w:r>
        <w:rPr>
          <w:b/>
        </w:rPr>
        <w:t xml:space="preserve">7 </w:t>
      </w:r>
      <w:r>
        <w:t xml:space="preserve">Behold, I am raising them up from the place where you sold them, and I will repay your repayment on your own heads.</w:t>
      </w:r>
    </w:p>
    <w:p>
      <w:r>
        <w:rPr>
          <w:b/>
        </w:rPr>
        <w:t xml:space="preserve">8 </w:t>
      </w:r>
      <w:r>
        <w:t xml:space="preserve">And I will sell your sons and your daughters into the hands of sons of Judah, and they will sell them into captivity to a far distant nation, because the Lord spoke.</w:t>
      </w:r>
    </w:p>
    <w:p>
      <w:r>
        <w:rPr>
          <w:b/>
        </w:rPr>
        <w:t xml:space="preserve">9 </w:t>
      </w:r>
      <w:r>
        <w:t xml:space="preserve">Proclaim these things among the nations: sanctify war, rouse warriors, bring near and go up, all men of war.</w:t>
      </w:r>
    </w:p>
    <w:p>
      <w:r>
        <w:rPr>
          <w:b/>
        </w:rPr>
        <w:t xml:space="preserve">10 </w:t>
      </w:r>
      <w:r>
        <w:t xml:space="preserve">Beat your plows into swords and your sickles into spears. Let the weak one say, I am strong.</w:t>
      </w:r>
    </w:p>
    <w:p>
      <w:r>
        <w:rPr>
          <w:b/>
        </w:rPr>
        <w:t xml:space="preserve">11 </w:t>
      </w:r>
      <w:r>
        <w:t xml:space="preserve">Gather yourselves and enter, all the nations around, and assemble there. Let the gentle one be a warrior.</w:t>
      </w:r>
    </w:p>
    <w:p>
      <w:r>
        <w:rPr>
          <w:b/>
        </w:rPr>
        <w:t xml:space="preserve">12 </w:t>
      </w:r>
      <w:r>
        <w:t xml:space="preserve">Let all the nations be roused and go up into the valley of Jehoshaphat, because there I will sit to judge all the nations around.</w:t>
      </w:r>
    </w:p>
    <w:p>
      <w:r>
        <w:rPr>
          <w:b/>
        </w:rPr>
        <w:t xml:space="preserve">13 </w:t>
      </w:r>
      <w:r>
        <w:t xml:space="preserve">Send out sickles, because vintage stands ready. Enter, tread, because the vat is full; the troughs overflow, because their evils are multiplied.</w:t>
      </w:r>
    </w:p>
    <w:p>
      <w:r>
        <w:rPr>
          <w:b/>
        </w:rPr>
        <w:t xml:space="preserve">14 </w:t>
      </w:r>
      <w:r>
        <w:t xml:space="preserve">Sounds resounded in the valley of justice, because the day of the Lord is near in the valley of justice.</w:t>
      </w:r>
    </w:p>
    <w:p>
      <w:r>
        <w:rPr>
          <w:b/>
        </w:rPr>
        <w:t xml:space="preserve">15 </w:t>
      </w:r>
      <w:r>
        <w:t xml:space="preserve">The sun and the moon will be darkened, and the stars will withdraw their light.</w:t>
      </w:r>
    </w:p>
    <w:p>
      <w:r>
        <w:rPr>
          <w:b/>
        </w:rPr>
        <w:t xml:space="preserve">16 </w:t>
      </w:r>
      <w:r>
        <w:t xml:space="preserve">And the Lord will cry out from Zion and give his voice from Jerusalem, and the heaven and the earth will shake; but the Lord will spare his people, and the Lord will strengthen the sons of Israel.</w:t>
      </w:r>
    </w:p>
    <w:p>
      <w:r>
        <w:rPr>
          <w:b/>
        </w:rPr>
        <w:t xml:space="preserve">17 </w:t>
      </w:r>
      <w:r>
        <w:t xml:space="preserve">And you will know that I am the Lord your God dwelling in Zion, on my holy mountain, and Jerusalem will be a holy city, and foreigners will pass through her no longer.</w:t>
      </w:r>
    </w:p>
    <w:p>
      <w:r>
        <w:rPr>
          <w:b/>
        </w:rPr>
        <w:t xml:space="preserve">18 </w:t>
      </w:r>
      <w:r>
        <w:t xml:space="preserve">And it will be in that day: the mountains will drip sweetness and the hills will flow with milk and all the streams of Judah will flow with waters, and a spring from the house of the Lord will come out and water the torrent of reeds.</w:t>
      </w:r>
    </w:p>
    <w:p>
      <w:r>
        <w:rPr>
          <w:b/>
        </w:rPr>
        <w:t xml:space="preserve">19 </w:t>
      </w:r>
      <w:r>
        <w:t xml:space="preserve">Egypt will become ruin and Edom a plain of ruin because of injustices against the sons of Judah, because they poured out righteous blood in their land.</w:t>
      </w:r>
    </w:p>
    <w:p>
      <w:r>
        <w:rPr>
          <w:b/>
        </w:rPr>
        <w:t xml:space="preserve">20 </w:t>
      </w:r>
      <w:r>
        <w:t xml:space="preserve">But Judah will be inhabited forever, and Jerusalem for generations of generations.</w:t>
      </w:r>
    </w:p>
    <w:p>
      <w:r>
        <w:rPr>
          <w:b/>
        </w:rPr>
        <w:t xml:space="preserve">21 </w:t>
      </w:r>
      <w:r>
        <w:t xml:space="preserve">And I will avenge their blood and will by no means leave them unpunished, and the Lord will dwell in Zion.</w:t>
      </w:r>
    </w:p>
    <w:p>
      <w:r>
        <w:br w:type="page"/>
      </w:r>
    </w:p>
    <w:p>
      <w:pPr>
        <w:pStyle w:val="Heading1"/>
      </w:pPr>
      <w:r>
        <w:t xml:space="preserve">Amos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words</w:t>
      </w:r>
      <w:r>
        <w:rPr>
          <w:rStyle w:val="FootnoteReference"/>
        </w:rPr>
        <w:footnoteReference w:id="13570"/>
      </w:r>
      <w:r>
        <w:t xml:space="preserve"> of Amos</w:t>
      </w:r>
      <w:r>
        <w:rPr>
          <w:rStyle w:val="FootnoteReference"/>
        </w:rPr>
        <w:footnoteReference w:id="13571"/>
      </w:r>
      <w:r>
        <w:t xml:space="preserve">, which came in Nakkarim from Tekoa, which he saw concerning Jerusalem in the days of Uzziah king of Judah and in the days of Jeroboam son of Joash king of Israel, two years before the earthquake.</w:t>
      </w:r>
    </w:p>
    <w:p>
      <w:r>
        <w:rPr>
          <w:b/>
        </w:rPr>
        <w:t xml:space="preserve">2 </w:t>
      </w:r>
      <w:r>
        <w:t xml:space="preserve">And he said, The Lord</w:t>
      </w:r>
      <w:r>
        <w:rPr>
          <w:rStyle w:val="FootnoteReference"/>
        </w:rPr>
        <w:footnoteReference w:id="13572"/>
      </w:r>
      <w:r>
        <w:t xml:space="preserve"> spoke out from Zion and gave his voice from Jerusalem; the pastures of the shepherds mourned, and the top of Carmel dried up.</w:t>
      </w:r>
    </w:p>
    <w:p>
      <w:r>
        <w:rPr>
          <w:b/>
        </w:rPr>
        <w:t xml:space="preserve">3 </w:t>
      </w:r>
      <w:r>
        <w:t xml:space="preserve">And the Lord said, For three impieties of Damascus</w:t>
      </w:r>
      <w:r>
        <w:rPr>
          <w:rStyle w:val="FootnoteReference"/>
        </w:rPr>
        <w:footnoteReference w:id="13573"/>
      </w:r>
      <w:r>
        <w:t xml:space="preserve"> and for four I will not turn him away, because they sawed open with iron saws those pregnant among the Gileadites.</w:t>
      </w:r>
    </w:p>
    <w:p>
      <w:r>
        <w:rPr>
          <w:b/>
        </w:rPr>
        <w:t xml:space="preserve">4 </w:t>
      </w:r>
      <w:r>
        <w:t xml:space="preserve">And I will send fire into the house of Hazael</w:t>
      </w:r>
      <w:r>
        <w:rPr>
          <w:rStyle w:val="FootnoteReference"/>
        </w:rPr>
        <w:footnoteReference w:id="13574"/>
      </w:r>
      <w:r>
        <w:t xml:space="preserve">, and it will devour the foundations of Ben-hadad.</w:t>
      </w:r>
    </w:p>
    <w:p>
      <w:r>
        <w:rPr>
          <w:b/>
        </w:rPr>
        <w:t xml:space="preserve">5 </w:t>
      </w:r>
      <w:r>
        <w:t xml:space="preserve">And I will shatter the bars of Damascus and destroy the inhabitants from the plain of On and cut off a tribe from the men of Haran, and the people of Syria called by name will be led captive, says the Lord.</w:t>
      </w:r>
    </w:p>
    <w:p>
      <w:r>
        <w:rPr>
          <w:b/>
        </w:rPr>
        <w:t xml:space="preserve">6 </w:t>
      </w:r>
      <w:r>
        <w:t xml:space="preserve">Thus says the Lord: For three</w:t>
      </w:r>
      <w:r>
        <w:rPr>
          <w:rStyle w:val="FootnoteReference"/>
        </w:rPr>
        <w:footnoteReference w:id="13575"/>
      </w:r>
      <w:r>
        <w:t xml:space="preserve"> impieties of Gaza and for four I will not turn them away, because they took captive the captivity of Solomon to shut them up into Edom.</w:t>
      </w:r>
    </w:p>
    <w:p>
      <w:r>
        <w:rPr>
          <w:b/>
        </w:rPr>
        <w:t xml:space="preserve">7 </w:t>
      </w:r>
      <w:r>
        <w:t xml:space="preserve">And I will send fire on the walls of Gaza, and it will devour her foundations.</w:t>
      </w:r>
    </w:p>
    <w:p>
      <w:r>
        <w:rPr>
          <w:b/>
        </w:rPr>
        <w:t xml:space="preserve">8 </w:t>
      </w:r>
      <w:r>
        <w:t xml:space="preserve">And I will destroy the inhabitants from Ashdod, and a tribe will be removed from Ashkelon, and I will bring my hand upon Ekron, and the remnant of the foreigners will perish, says the Lord.</w:t>
      </w:r>
    </w:p>
    <w:p>
      <w:r>
        <w:rPr>
          <w:b/>
        </w:rPr>
        <w:t xml:space="preserve">9 </w:t>
      </w:r>
      <w:r>
        <w:t xml:space="preserve">Thus says the Lord: For three impieties of Tyre and for four I will not turn her away, because they shut up the captivity of Solomon into Edom and did not remember the covenant of brothers.</w:t>
      </w:r>
    </w:p>
    <w:p>
      <w:r>
        <w:rPr>
          <w:b/>
        </w:rPr>
        <w:t xml:space="preserve">10 </w:t>
      </w:r>
      <w:r>
        <w:t xml:space="preserve">And I will send fire on the walls of Tyre, and it will devour her foundations.</w:t>
      </w:r>
    </w:p>
    <w:p>
      <w:r>
        <w:rPr>
          <w:b/>
        </w:rPr>
        <w:t xml:space="preserve">11 </w:t>
      </w:r>
      <w:r>
        <w:t xml:space="preserve">Thus says the Lord: For three impieties of Edom</w:t>
      </w:r>
      <w:r>
        <w:rPr>
          <w:rStyle w:val="FootnoteReference"/>
        </w:rPr>
        <w:footnoteReference w:id="13576"/>
      </w:r>
      <w:r>
        <w:t xml:space="preserve"> and for four I will not turn them away, because they pursued their brother with a sword and ruined womb upon earth, and seized their horror as witness, and kept their rushing force for strife.</w:t>
      </w:r>
    </w:p>
    <w:p>
      <w:r>
        <w:rPr>
          <w:b/>
        </w:rPr>
        <w:t xml:space="preserve">12 </w:t>
      </w:r>
      <w:r>
        <w:t xml:space="preserve">And I will send fire into Teman</w:t>
      </w:r>
      <w:r>
        <w:rPr>
          <w:rStyle w:val="FootnoteReference"/>
        </w:rPr>
        <w:footnoteReference w:id="13577"/>
      </w:r>
      <w:r>
        <w:t xml:space="preserve">, and it will devour the foundations of her walls.</w:t>
      </w:r>
    </w:p>
    <w:p>
      <w:r>
        <w:rPr>
          <w:b/>
        </w:rPr>
        <w:t xml:space="preserve">13 </w:t>
      </w:r>
      <w:r>
        <w:t xml:space="preserve">Thus says the Lord: For three impieties of the sons of Ammon and for</w:t>
      </w:r>
      <w:r>
        <w:rPr>
          <w:rStyle w:val="FootnoteReference"/>
        </w:rPr>
        <w:footnoteReference w:id="13578"/>
      </w:r>
      <w:r>
        <w:t xml:space="preserve"> four I will not turn him away, because they ripped open pregnant women of the Gileadites in order to widen their borders.</w:t>
      </w:r>
    </w:p>
    <w:p>
      <w:r>
        <w:rPr>
          <w:b/>
        </w:rPr>
        <w:t xml:space="preserve">14 </w:t>
      </w:r>
      <w:r>
        <w:t xml:space="preserve">And I will kindle a fire on the walls of Rabbah</w:t>
      </w:r>
      <w:r>
        <w:rPr>
          <w:rStyle w:val="FootnoteReference"/>
        </w:rPr>
        <w:footnoteReference w:id="13579"/>
      </w:r>
      <w:r>
        <w:t xml:space="preserve">, and it will devour her foundations with shouting in the day of war, and she will be shaken in the day of her completion.</w:t>
      </w:r>
    </w:p>
    <w:p>
      <w:r>
        <w:rPr>
          <w:b/>
        </w:rPr>
        <w:t xml:space="preserve">15 </w:t>
      </w:r>
      <w:r>
        <w:t xml:space="preserve">And her kings will go into captivity, their priests and their rulers together,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Thus says the Lord: For three</w:t>
      </w:r>
      <w:r>
        <w:rPr>
          <w:rStyle w:val="FootnoteReference"/>
        </w:rPr>
        <w:footnoteReference w:id="13580"/>
      </w:r>
      <w:r>
        <w:t xml:space="preserve"> impieties of Moab and for four I will not turn him away, because they burned the bones of the king of Edom into lime.</w:t>
      </w:r>
    </w:p>
    <w:p>
      <w:r>
        <w:rPr>
          <w:b/>
        </w:rPr>
        <w:t xml:space="preserve">2 </w:t>
      </w:r>
      <w:r>
        <w:t xml:space="preserve">And I will send fire upon Moab, and it will devour the foundations of her cities, and Moab will die in weakness, with a shout and with the sound of a trumpet.</w:t>
      </w:r>
    </w:p>
    <w:p>
      <w:r>
        <w:rPr>
          <w:b/>
        </w:rPr>
        <w:t xml:space="preserve">3 </w:t>
      </w:r>
      <w:r>
        <w:t xml:space="preserve">And I will destroy the judge from her, and I will kill all her rulers with him, says the Lord.</w:t>
      </w:r>
    </w:p>
    <w:p>
      <w:r>
        <w:rPr>
          <w:b/>
        </w:rPr>
        <w:t xml:space="preserve">4 </w:t>
      </w:r>
      <w:r>
        <w:t xml:space="preserve">Thus says the Lord: For three impieties of the sons of Judah</w:t>
      </w:r>
      <w:r>
        <w:rPr>
          <w:rStyle w:val="FootnoteReference"/>
        </w:rPr>
        <w:footnoteReference w:id="13581"/>
      </w:r>
      <w:r>
        <w:t xml:space="preserve"> and for four I will not turn him away, because they rejected the law of the Lord and did not keep his commandments, and their vanities that they made led them astray, after which their fathers followed.</w:t>
      </w:r>
    </w:p>
    <w:p>
      <w:r>
        <w:rPr>
          <w:b/>
        </w:rPr>
        <w:t xml:space="preserve">5 </w:t>
      </w:r>
      <w:r>
        <w:t xml:space="preserve">And I will send fire upon Judah, and it will devour the foundations of Jerusalem.</w:t>
      </w:r>
    </w:p>
    <w:p>
      <w:r>
        <w:rPr>
          <w:b/>
        </w:rPr>
        <w:t xml:space="preserve">6 </w:t>
      </w:r>
      <w:r>
        <w:t xml:space="preserve">Thus says the Lord: For three</w:t>
      </w:r>
      <w:r>
        <w:rPr>
          <w:rStyle w:val="FootnoteReference"/>
        </w:rPr>
        <w:footnoteReference w:id="13582"/>
      </w:r>
      <w:r>
        <w:t xml:space="preserve"> impieties of Israel and for four I will not turn him away, because they sold a righteous one for silver and a poor one for sandals.</w:t>
      </w:r>
      <w:r>
        <w:rPr>
          <w:rStyle w:val="FootnoteReference"/>
        </w:rPr>
        <w:footnoteReference w:id="13583"/>
      </w:r>
    </w:p>
    <w:p>
      <w:r>
        <w:rPr>
          <w:b/>
        </w:rPr>
        <w:t xml:space="preserve">7 </w:t>
      </w:r>
      <w:r>
        <w:t xml:space="preserve">Those trampling upon the dust of the earth struck upon the heads of the poor and turned aside the way of the humble; and a</w:t>
      </w:r>
      <w:r>
        <w:rPr>
          <w:rStyle w:val="FootnoteReference"/>
        </w:rPr>
        <w:footnoteReference w:id="13584"/>
      </w:r>
      <w:r>
        <w:t xml:space="preserve"> son and his father went in to the same servant-girl, so as to profane the name of their God</w:t>
      </w:r>
      <w:r>
        <w:rPr>
          <w:rStyle w:val="FootnoteReference"/>
        </w:rPr>
        <w:footnoteReference w:id="13585"/>
      </w:r>
      <w:r>
        <w:t xml:space="preserve">.</w:t>
      </w:r>
    </w:p>
    <w:p>
      <w:r>
        <w:rPr>
          <w:b/>
        </w:rPr>
        <w:t xml:space="preserve">8 </w:t>
      </w:r>
      <w:r>
        <w:t xml:space="preserve">And binding their garments with cords, they were making curtains beside the altar, and they were drinking wine from extortions in the house of their God.</w:t>
      </w:r>
    </w:p>
    <w:p>
      <w:r>
        <w:rPr>
          <w:b/>
        </w:rPr>
        <w:t xml:space="preserve">9 </w:t>
      </w:r>
      <w:r>
        <w:t xml:space="preserve">But I removed the Amorite from before them, whose height was like the height of a cedar, and he was strong like an oak; and I dried up his fruit from above and his roots from beneath.</w:t>
      </w:r>
    </w:p>
    <w:p>
      <w:r>
        <w:rPr>
          <w:b/>
        </w:rPr>
        <w:t xml:space="preserve">10 </w:t>
      </w:r>
      <w:r>
        <w:t xml:space="preserve">And I brought</w:t>
      </w:r>
      <w:r>
        <w:rPr>
          <w:rStyle w:val="FootnoteReference"/>
        </w:rPr>
        <w:footnoteReference w:id="13586"/>
      </w:r>
      <w:r>
        <w:t xml:space="preserve"> you up from the land of Egypt and led you around in the wilderness forty years, to inherit the land of the Amorites.</w:t>
      </w:r>
    </w:p>
    <w:p>
      <w:r>
        <w:rPr>
          <w:b/>
        </w:rPr>
        <w:t xml:space="preserve">11 </w:t>
      </w:r>
      <w:r>
        <w:t xml:space="preserve">And I took some from your sons for prophets and some from your young men for consecration. Are these things not so, sons of Israel? says the Lord.</w:t>
      </w:r>
    </w:p>
    <w:p>
      <w:r>
        <w:rPr>
          <w:b/>
        </w:rPr>
        <w:t xml:space="preserve">12 </w:t>
      </w:r>
      <w:r>
        <w:t xml:space="preserve">And you were giving wine to the consecrated ones, and you commanded the prophets, saying, You must not prophesy.</w:t>
      </w:r>
    </w:p>
    <w:p>
      <w:r>
        <w:rPr>
          <w:b/>
        </w:rPr>
        <w:t xml:space="preserve">13 </w:t>
      </w:r>
      <w:r>
        <w:t xml:space="preserve">Therefore behold</w:t>
      </w:r>
      <w:r>
        <w:rPr>
          <w:rStyle w:val="FootnoteReference"/>
        </w:rPr>
        <w:footnoteReference w:id="13587"/>
      </w:r>
      <w:r>
        <w:t xml:space="preserve">, I am rolling beneath you, just as a cart full of stubble rolls.</w:t>
      </w:r>
    </w:p>
    <w:p>
      <w:r>
        <w:rPr>
          <w:b/>
        </w:rPr>
        <w:t xml:space="preserve">14 </w:t>
      </w:r>
      <w:r>
        <w:t xml:space="preserve">And flight will perish from the runner, and the strong man will not hold fast to his strength, and the warrior will not save his soul.</w:t>
      </w:r>
    </w:p>
    <w:p>
      <w:r>
        <w:rPr>
          <w:b/>
        </w:rPr>
        <w:t xml:space="preserve">15 </w:t>
      </w:r>
      <w:r>
        <w:t xml:space="preserve">And the archer will not stand, and the one swift in his feet will not escape, nor will the rider save his soul.</w:t>
      </w:r>
    </w:p>
    <w:p>
      <w:r>
        <w:rPr>
          <w:b/>
        </w:rPr>
        <w:t xml:space="preserve">16 </w:t>
      </w:r>
      <w:r>
        <w:t xml:space="preserve">And the naked one will find his heart among powers and flee</w:t>
      </w:r>
      <w:r>
        <w:rPr>
          <w:rStyle w:val="FootnoteReference"/>
        </w:rPr>
        <w:footnoteReference w:id="13588"/>
      </w:r>
      <w:r>
        <w:t xml:space="preserve"> in that day,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Hear</w:t>
      </w:r>
      <w:r>
        <w:rPr>
          <w:rStyle w:val="FootnoteReference"/>
        </w:rPr>
        <w:footnoteReference w:id="13589"/>
      </w:r>
      <w:r>
        <w:t xml:space="preserve"> this word that the Lord spoke against you, house of Israel, and against every tribe that I brought up from the land of Egypt, saying,</w:t>
      </w:r>
    </w:p>
    <w:p>
      <w:r>
        <w:rPr>
          <w:b/>
        </w:rPr>
        <w:t xml:space="preserve">2 </w:t>
      </w:r>
      <w:r>
        <w:t xml:space="preserve">Only</w:t>
      </w:r>
      <w:r>
        <w:rPr>
          <w:rStyle w:val="FootnoteReference"/>
        </w:rPr>
        <w:footnoteReference w:id="13590"/>
      </w:r>
      <w:r>
        <w:t xml:space="preserve"> you I knew out of all the tribes of the earth; therefore I will avenge upon you all your sins.</w:t>
      </w:r>
    </w:p>
    <w:p>
      <w:r>
        <w:rPr>
          <w:b/>
        </w:rPr>
        <w:t xml:space="preserve">3 </w:t>
      </w:r>
      <w:r>
        <w:t xml:space="preserve">Will two walk together at all unless they make themselves known to each other?</w:t>
      </w:r>
    </w:p>
    <w:p>
      <w:r>
        <w:rPr>
          <w:b/>
        </w:rPr>
        <w:t xml:space="preserve">4 </w:t>
      </w:r>
      <w:r>
        <w:t xml:space="preserve">Will a lion</w:t>
      </w:r>
      <w:r>
        <w:rPr>
          <w:rStyle w:val="FootnoteReference"/>
        </w:rPr>
        <w:footnoteReference w:id="13591"/>
      </w:r>
      <w:r>
        <w:t xml:space="preserve"> roar from his forest, having no prey? Will a cub give his voice from his den at all unless he seizes something?</w:t>
      </w:r>
    </w:p>
    <w:p>
      <w:r>
        <w:rPr>
          <w:b/>
        </w:rPr>
        <w:t xml:space="preserve">5 </w:t>
      </w:r>
      <w:r>
        <w:t xml:space="preserve">Will a bird fall upon the earth without a fowler? Will a snare spring up on the earth without catching something?</w:t>
      </w:r>
    </w:p>
    <w:p>
      <w:r>
        <w:rPr>
          <w:b/>
        </w:rPr>
        <w:t xml:space="preserve">6 </w:t>
      </w:r>
      <w:r>
        <w:t xml:space="preserve">Will a trumpet</w:t>
      </w:r>
      <w:r>
        <w:rPr>
          <w:rStyle w:val="FootnoteReference"/>
        </w:rPr>
        <w:footnoteReference w:id="13592"/>
      </w:r>
      <w:r>
        <w:t xml:space="preserve"> sound in a city and the people not be frightened? Will there be evil in a city that the Lord has not done?</w:t>
      </w:r>
    </w:p>
    <w:p>
      <w:r>
        <w:rPr>
          <w:b/>
        </w:rPr>
        <w:t xml:space="preserve">7 </w:t>
      </w:r>
      <w:r>
        <w:t xml:space="preserve">Because the Lord God will never do a thing unless he reveals his discipline</w:t>
      </w:r>
      <w:r>
        <w:rPr>
          <w:rStyle w:val="FootnoteReference"/>
        </w:rPr>
        <w:footnoteReference w:id="13593"/>
      </w:r>
      <w:r>
        <w:t xml:space="preserve"> to his servants the prophets.</w:t>
      </w:r>
    </w:p>
    <w:p>
      <w:r>
        <w:rPr>
          <w:b/>
        </w:rPr>
        <w:t xml:space="preserve">8 </w:t>
      </w:r>
      <w:r>
        <w:t xml:space="preserve">A lion</w:t>
      </w:r>
      <w:r>
        <w:rPr>
          <w:rStyle w:val="FootnoteReference"/>
        </w:rPr>
        <w:footnoteReference w:id="13594"/>
      </w:r>
      <w:r>
        <w:t xml:space="preserve"> will roar, and who will not fear? The Lord God has spoken, and who will not prophesy?</w:t>
      </w:r>
    </w:p>
    <w:p>
      <w:r>
        <w:rPr>
          <w:b/>
        </w:rPr>
        <w:t xml:space="preserve">9 </w:t>
      </w:r>
      <w:r>
        <w:t xml:space="preserve">Proclaim to the regions among the Assyrians and to the regions of Egypt, and say, Gather yourselves on the mountain of Samaria, and see many wonders in her midst and the oppression in her.</w:t>
      </w:r>
    </w:p>
    <w:p>
      <w:r>
        <w:rPr>
          <w:b/>
        </w:rPr>
        <w:t xml:space="preserve">10 </w:t>
      </w:r>
      <w:r>
        <w:t xml:space="preserve">And she did not know what will be before her, says the Lord: those storing up injustice and misery in their regions.</w:t>
      </w:r>
    </w:p>
    <w:p>
      <w:r>
        <w:rPr>
          <w:b/>
        </w:rPr>
        <w:t xml:space="preserve">11 </w:t>
      </w:r>
      <w:r>
        <w:t xml:space="preserve">Therefore thus says the Lord God: Tyre, your land all around will be made desolate, and he will bring down your strength from you, and your regions will be plundered.</w:t>
      </w:r>
    </w:p>
    <w:p>
      <w:r>
        <w:rPr>
          <w:b/>
        </w:rPr>
        <w:t xml:space="preserve">12 </w:t>
      </w:r>
      <w:r>
        <w:t xml:space="preserve">Thus says the Lord: Just as a shepherd snatches out from the mouth of the lion two legs or the tip of an ear, so the sons of Israel dwelling in Samaria will be snatched out before a tribe, and priests in Damascus.</w:t>
      </w:r>
    </w:p>
    <w:p>
      <w:r>
        <w:rPr>
          <w:b/>
        </w:rPr>
        <w:t xml:space="preserve">13 </w:t>
      </w:r>
      <w:r>
        <w:t xml:space="preserve">Hear and testify</w:t>
      </w:r>
      <w:r>
        <w:rPr>
          <w:rStyle w:val="FootnoteReference"/>
        </w:rPr>
        <w:footnoteReference w:id="13595"/>
      </w:r>
      <w:r>
        <w:t xml:space="preserve"> to the house of Jacob, says the Lord God Almighty.</w:t>
      </w:r>
    </w:p>
    <w:p>
      <w:r>
        <w:rPr>
          <w:b/>
        </w:rPr>
        <w:t xml:space="preserve">14 </w:t>
      </w:r>
      <w:r>
        <w:t xml:space="preserve">Because on the day when I avenge the impieties of Israel upon him, I will also avenge upon the altars of Bethel, and the horns of the altar will be dug down and will fall upon the earth.</w:t>
      </w:r>
    </w:p>
    <w:p>
      <w:r>
        <w:rPr>
          <w:b/>
        </w:rPr>
        <w:t xml:space="preserve">15 </w:t>
      </w:r>
      <w:r>
        <w:t xml:space="preserve">I will confound and strike the turreted house upon the summer</w:t>
      </w:r>
      <w:r>
        <w:rPr>
          <w:rStyle w:val="FootnoteReference"/>
        </w:rPr>
        <w:footnoteReference w:id="13596"/>
      </w:r>
      <w:r>
        <w:t xml:space="preserve"> house, and ivory houses will perish, and many other houses will be added,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Hear this word, heifers of Bashan, those on the mountain</w:t>
      </w:r>
      <w:r>
        <w:rPr>
          <w:rStyle w:val="FootnoteReference"/>
        </w:rPr>
        <w:footnoteReference w:id="13597"/>
      </w:r>
      <w:r>
        <w:t xml:space="preserve"> of Samaria, oppressing the poor and trampling the needy, saying to their lords, Give to us so that we may drink.</w:t>
      </w:r>
    </w:p>
    <w:p>
      <w:r>
        <w:rPr>
          <w:b/>
        </w:rPr>
        <w:t xml:space="preserve">2 </w:t>
      </w:r>
      <w:r>
        <w:t xml:space="preserve">The Lord swears by his holy things: behold, days are coming upon you, and they will take you with weapons, and fiery pestilences will throw those with you into kindled cauldrons.</w:t>
      </w:r>
    </w:p>
    <w:p>
      <w:r>
        <w:rPr>
          <w:b/>
        </w:rPr>
        <w:t xml:space="preserve">3 </w:t>
      </w:r>
      <w:r>
        <w:t xml:space="preserve">And you will be brought out naked, each opposite the other, and you will be thrown onto mount Rimmon, says the Lord God.</w:t>
      </w:r>
    </w:p>
    <w:p>
      <w:r>
        <w:rPr>
          <w:b/>
        </w:rPr>
        <w:t xml:space="preserve">4 </w:t>
      </w:r>
      <w:r>
        <w:t xml:space="preserve">You entered into Bethel and acted lawlessly, and in Gilgal you multiplied impiety, and you brought your sacrifices in the morning, your tithes every third day.</w:t>
      </w:r>
    </w:p>
    <w:p>
      <w:r>
        <w:rPr>
          <w:b/>
        </w:rPr>
        <w:t xml:space="preserve">5 </w:t>
      </w:r>
      <w:r>
        <w:t xml:space="preserve">And they read the law outside and called for confessions. Proclaim</w:t>
      </w:r>
      <w:r>
        <w:rPr>
          <w:rStyle w:val="FootnoteReference"/>
        </w:rPr>
        <w:footnoteReference w:id="13598"/>
      </w:r>
      <w:r>
        <w:t xml:space="preserve"> that the sons of Israel loved these things, says the Lord God.</w:t>
      </w:r>
    </w:p>
    <w:p>
      <w:r>
        <w:rPr>
          <w:b/>
        </w:rPr>
        <w:t xml:space="preserve">6 </w:t>
      </w:r>
      <w:r>
        <w:t xml:space="preserve">And I will give you teeth set on edge in all your cities and lack of bread in all your places, and you did not return to me, says the Lord.</w:t>
      </w:r>
    </w:p>
    <w:p>
      <w:r>
        <w:rPr>
          <w:b/>
        </w:rPr>
        <w:t xml:space="preserve">7 </w:t>
      </w:r>
      <w:r>
        <w:t xml:space="preserve">And I withheld the rain from you three months before the harvest, and I will rain on one city, but on another city I will not rain; one portion will be rained on, and the portion on which I do not rain will be dried up.</w:t>
      </w:r>
    </w:p>
    <w:p>
      <w:r>
        <w:rPr>
          <w:b/>
        </w:rPr>
        <w:t xml:space="preserve">8 </w:t>
      </w:r>
      <w:r>
        <w:t xml:space="preserve">And two or three cities will gather to one city to drink water and will not be filled, and you did not return to me, says the Lord.</w:t>
      </w:r>
    </w:p>
    <w:p>
      <w:r>
        <w:rPr>
          <w:b/>
        </w:rPr>
        <w:t xml:space="preserve">9 </w:t>
      </w:r>
      <w:r>
        <w:t xml:space="preserve">I struck you with burning and with jaundice; you multiplied your gardens, your vineyards, your fig orchards, and your olive groves; the caterpillar devoured them, and not even thus did you return to me, says the Lord.</w:t>
      </w:r>
    </w:p>
    <w:p>
      <w:r>
        <w:rPr>
          <w:b/>
        </w:rPr>
        <w:t xml:space="preserve">10 </w:t>
      </w:r>
      <w:r>
        <w:t xml:space="preserve">I sent death among you in the way of Egypt and killed your young</w:t>
      </w:r>
      <w:r>
        <w:rPr>
          <w:rStyle w:val="FootnoteReference"/>
        </w:rPr>
        <w:footnoteReference w:id="13599"/>
      </w:r>
      <w:r>
        <w:t xml:space="preserve"> men with a sword, with captivity of your horses, and I brought up your camps in fire in my wrath, and not even thus did you return to me, says the Lord.</w:t>
      </w:r>
    </w:p>
    <w:p>
      <w:r>
        <w:rPr>
          <w:b/>
        </w:rPr>
        <w:t xml:space="preserve">11 </w:t>
      </w:r>
      <w:r>
        <w:t xml:space="preserve">I overthrew you as God</w:t>
      </w:r>
      <w:r>
        <w:rPr>
          <w:rStyle w:val="FootnoteReference"/>
        </w:rPr>
        <w:footnoteReference w:id="13600"/>
      </w:r>
      <w:r>
        <w:t xml:space="preserve"> overthrew Sodom and Gomorrah, and you became like a brand snatched from fire, and not even thus did you return to me, says the Lord.</w:t>
      </w:r>
    </w:p>
    <w:p>
      <w:r>
        <w:rPr>
          <w:b/>
        </w:rPr>
        <w:t xml:space="preserve">12 </w:t>
      </w:r>
      <w:r>
        <w:t xml:space="preserve">Therefore thus</w:t>
      </w:r>
      <w:r>
        <w:rPr>
          <w:rStyle w:val="FootnoteReference"/>
        </w:rPr>
        <w:footnoteReference w:id="13601"/>
      </w:r>
      <w:r>
        <w:t xml:space="preserve"> I will do to you, Israel. Yet because I will do thus to you, prepare to call on your God, Israel.</w:t>
      </w:r>
    </w:p>
    <w:p>
      <w:r>
        <w:rPr>
          <w:b/>
        </w:rPr>
        <w:t xml:space="preserve">13 </w:t>
      </w:r>
      <w:r>
        <w:t xml:space="preserve">For, behold, I am he that</w:t>
      </w:r>
      <w:r>
        <w:rPr>
          <w:rStyle w:val="FootnoteReference"/>
        </w:rPr>
        <w:footnoteReference w:id="13602"/>
      </w:r>
      <w:r>
        <w:t xml:space="preserve"> strengthens the thunder and creates the wind and proclaims to humans his anointed one</w:t>
      </w:r>
      <w:r>
        <w:rPr>
          <w:rStyle w:val="FootnoteReference"/>
        </w:rPr>
        <w:footnoteReference w:id="13603"/>
      </w:r>
      <w:r>
        <w:t xml:space="preserve">, forming the morning and the darkness and mounting on the high places of the earth; the Lord God Almighty is his name.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Hear</w:t>
      </w:r>
      <w:r>
        <w:rPr>
          <w:rStyle w:val="FootnoteReference"/>
        </w:rPr>
        <w:footnoteReference w:id="13604"/>
      </w:r>
      <w:r>
        <w:t xml:space="preserve"> this word of the Lord, this lament that I take up over you, house of Israel.</w:t>
      </w:r>
    </w:p>
    <w:p>
      <w:r>
        <w:rPr>
          <w:b/>
        </w:rPr>
        <w:t xml:space="preserve">2 </w:t>
      </w:r>
      <w:r>
        <w:t xml:space="preserve">Virgin</w:t>
      </w:r>
      <w:r>
        <w:rPr>
          <w:rStyle w:val="FootnoteReference"/>
        </w:rPr>
        <w:footnoteReference w:id="13605"/>
      </w:r>
      <w:r>
        <w:t xml:space="preserve"> of Israel has fallen; she will no longer continue to rise. She slipped upon her own land; there is no one to raise her up.</w:t>
      </w:r>
    </w:p>
    <w:p>
      <w:r>
        <w:rPr>
          <w:b/>
        </w:rPr>
        <w:t xml:space="preserve">3 </w:t>
      </w:r>
      <w:r>
        <w:t xml:space="preserve">Because thus says the Lord God: The city from which a thousand went out will have a hundred left, and from which a hundred went out will have ten left for the house of Israel.</w:t>
      </w:r>
    </w:p>
    <w:p>
      <w:r>
        <w:rPr>
          <w:b/>
        </w:rPr>
        <w:t xml:space="preserve">4 </w:t>
      </w:r>
      <w:r>
        <w:t xml:space="preserve">Because thus says the Lord to the house of Israel: Seek</w:t>
      </w:r>
      <w:r>
        <w:rPr>
          <w:rStyle w:val="FootnoteReference"/>
        </w:rPr>
        <w:footnoteReference w:id="13606"/>
      </w:r>
      <w:r>
        <w:t xml:space="preserve"> me and live.</w:t>
      </w:r>
    </w:p>
    <w:p>
      <w:r>
        <w:rPr>
          <w:b/>
        </w:rPr>
        <w:t xml:space="preserve">5 </w:t>
      </w:r>
      <w:r>
        <w:t xml:space="preserve">And do not seek</w:t>
      </w:r>
      <w:r>
        <w:rPr>
          <w:rStyle w:val="FootnoteReference"/>
        </w:rPr>
        <w:footnoteReference w:id="13607"/>
      </w:r>
      <w:r>
        <w:t xml:space="preserve"> Bethel, and do not enter Gilgal, and do not cross over to the Well of Oath, because Gilgal, being led captive, will be led captive, and Bethel will be as though not existing.</w:t>
      </w:r>
    </w:p>
    <w:p>
      <w:r>
        <w:rPr>
          <w:b/>
        </w:rPr>
        <w:t xml:space="preserve">6 </w:t>
      </w:r>
      <w:r>
        <w:t xml:space="preserve">Seek</w:t>
      </w:r>
      <w:r>
        <w:rPr>
          <w:rStyle w:val="FootnoteReference"/>
        </w:rPr>
        <w:footnoteReference w:id="13608"/>
      </w:r>
      <w:r>
        <w:t xml:space="preserve"> the Lord and live, lest the house of Joseph blaze like fire and it devour him, and there will be no one to quench it for the house of Israel.</w:t>
      </w:r>
    </w:p>
    <w:p>
      <w:r>
        <w:rPr>
          <w:b/>
        </w:rPr>
        <w:t xml:space="preserve">7 </w:t>
      </w:r>
      <w:r>
        <w:t xml:space="preserve">The Lord is the one who establishes judgment on high and has set righteousness upon the earth,</w:t>
      </w:r>
      <w:r>
        <w:rPr>
          <w:rStyle w:val="FootnoteReference"/>
        </w:rPr>
        <w:footnoteReference w:id="13609"/>
      </w:r>
      <w:r>
        <w:t xml:space="preserve"/>
      </w:r>
    </w:p>
    <w:p>
      <w:r>
        <w:rPr>
          <w:b/>
        </w:rPr>
        <w:t xml:space="preserve">8 </w:t>
      </w:r>
      <w:r>
        <w:t xml:space="preserve">making all things and transforming, turning the shadow of death into morning and darkening day into night, calling the water of the sea and pouring it on the face of the earth; the Lord</w:t>
      </w:r>
      <w:r>
        <w:rPr>
          <w:rStyle w:val="FootnoteReference"/>
        </w:rPr>
        <w:footnoteReference w:id="13610"/>
      </w:r>
      <w:r>
        <w:t xml:space="preserve"> God Almighty is his name,</w:t>
      </w:r>
    </w:p>
    <w:p>
      <w:r>
        <w:rPr>
          <w:b/>
        </w:rPr>
        <w:t xml:space="preserve">9 </w:t>
      </w:r>
      <w:r>
        <w:t xml:space="preserve">the one dividing destruction upon strength and bringing misery upon fortress.</w:t>
      </w:r>
    </w:p>
    <w:p>
      <w:r>
        <w:rPr>
          <w:b/>
        </w:rPr>
        <w:t xml:space="preserve">10 </w:t>
      </w:r>
      <w:r>
        <w:t xml:space="preserve">They hated the one rebuking in the gates, and they abhorred holy speech.</w:t>
      </w:r>
    </w:p>
    <w:p>
      <w:r>
        <w:rPr>
          <w:b/>
        </w:rPr>
        <w:t xml:space="preserve">11 </w:t>
      </w:r>
      <w:r>
        <w:t xml:space="preserve">Therefore, because you beat down the poor and received choice gifts from them, you built polished houses and will certainly not dwell in them; you planted desirable vineyards and will certainly not drink wine from them.</w:t>
      </w:r>
    </w:p>
    <w:p>
      <w:r>
        <w:rPr>
          <w:b/>
        </w:rPr>
        <w:t xml:space="preserve">12 </w:t>
      </w:r>
      <w:r>
        <w:t xml:space="preserve">Because I knew your many impieties and your strong sins, trampling the righteous one, taking exchanges, and turning the poor aside in the gates.</w:t>
      </w:r>
    </w:p>
    <w:p>
      <w:r>
        <w:rPr>
          <w:b/>
        </w:rPr>
        <w:t xml:space="preserve">13 </w:t>
      </w:r>
      <w:r>
        <w:t xml:space="preserve">Therefore one understanding in that time will keep silent, because it is an evil</w:t>
      </w:r>
      <w:r>
        <w:rPr>
          <w:rStyle w:val="FootnoteReference"/>
        </w:rPr>
        <w:footnoteReference w:id="13611"/>
      </w:r>
      <w:r>
        <w:t xml:space="preserve"> time.</w:t>
      </w:r>
    </w:p>
    <w:p>
      <w:r>
        <w:rPr>
          <w:b/>
        </w:rPr>
        <w:t xml:space="preserve">14 </w:t>
      </w:r>
      <w:r>
        <w:t xml:space="preserve">Seek</w:t>
      </w:r>
      <w:r>
        <w:rPr>
          <w:rStyle w:val="FootnoteReference"/>
        </w:rPr>
        <w:footnoteReference w:id="13612"/>
      </w:r>
      <w:r>
        <w:t xml:space="preserve"> good and not evil, so that you may live, and thus the Lord God Almighty will be with you, as you said.</w:t>
      </w:r>
    </w:p>
    <w:p>
      <w:r>
        <w:rPr>
          <w:b/>
        </w:rPr>
        <w:t xml:space="preserve">15 </w:t>
      </w:r>
      <w:r>
        <w:t xml:space="preserve">We have hated evil things and loved good things, and restore judgment in the gates</w:t>
      </w:r>
      <w:r>
        <w:rPr>
          <w:rStyle w:val="FootnoteReference"/>
        </w:rPr>
        <w:footnoteReference w:id="13613"/>
      </w:r>
      <w:r>
        <w:t xml:space="preserve">, so that the Lord God Almighty may show mercy to the remnant</w:t>
      </w:r>
      <w:r>
        <w:rPr>
          <w:rStyle w:val="FootnoteReference"/>
        </w:rPr>
        <w:footnoteReference w:id="13614"/>
      </w:r>
      <w:r>
        <w:t xml:space="preserve"> of Joseph.</w:t>
      </w:r>
    </w:p>
    <w:p>
      <w:r>
        <w:rPr>
          <w:b/>
        </w:rPr>
        <w:t xml:space="preserve">16 </w:t>
      </w:r>
      <w:r>
        <w:t xml:space="preserve">Therefore thus says the Lord</w:t>
      </w:r>
      <w:r>
        <w:rPr>
          <w:rStyle w:val="FootnoteReference"/>
        </w:rPr>
        <w:footnoteReference w:id="13615"/>
      </w:r>
      <w:r>
        <w:t xml:space="preserve"> God Almighty: In all the squares there will be mourning, and in all the roads it will be said, Alas, alas; a farmer will be called to grief and mourning and to those knowing lamentation.</w:t>
      </w:r>
    </w:p>
    <w:p>
      <w:r>
        <w:rPr>
          <w:b/>
        </w:rPr>
        <w:t xml:space="preserve">17 </w:t>
      </w:r>
      <w:r>
        <w:t xml:space="preserve">And in all the roads there will be mourning, because I will pass through your midst, says the Lord.</w:t>
      </w:r>
    </w:p>
    <w:p>
      <w:r>
        <w:rPr>
          <w:b/>
        </w:rPr>
        <w:t xml:space="preserve">18 </w:t>
      </w:r>
      <w:r>
        <w:t xml:space="preserve">Woe to those desiring the day of the Lord. Why is this day of the Lord for you? It is darkness and not light,</w:t>
      </w:r>
    </w:p>
    <w:p>
      <w:r>
        <w:rPr>
          <w:b/>
        </w:rPr>
        <w:t xml:space="preserve">19 </w:t>
      </w:r>
      <w:r>
        <w:t xml:space="preserve">just as when a man flees from the face of a lion and a bear falls upon him, and he jumps into his house and presses his hands on the wall and a serpent bites him.</w:t>
      </w:r>
    </w:p>
    <w:p>
      <w:r>
        <w:rPr>
          <w:b/>
        </w:rPr>
        <w:t xml:space="preserve">20 </w:t>
      </w:r>
      <w:r>
        <w:t xml:space="preserve">Is not the day of the Lord darkness</w:t>
      </w:r>
      <w:r>
        <w:rPr>
          <w:rStyle w:val="FootnoteReference"/>
        </w:rPr>
        <w:footnoteReference w:id="13616"/>
      </w:r>
      <w:r>
        <w:t xml:space="preserve"> and not light, and gloom having no brightness?</w:t>
      </w:r>
    </w:p>
    <w:p>
      <w:r>
        <w:rPr>
          <w:b/>
        </w:rPr>
        <w:t xml:space="preserve">21 </w:t>
      </w:r>
      <w:r>
        <w:t xml:space="preserve">I have hated, I have rejected your feasts, and I will certainly not smell in your festivals.</w:t>
      </w:r>
    </w:p>
    <w:p>
      <w:r>
        <w:rPr>
          <w:b/>
        </w:rPr>
        <w:t xml:space="preserve">22 </w:t>
      </w:r>
      <w:r>
        <w:t xml:space="preserve">Because even if you bring me your burnt offerings and sacrifices, I will not accept them, and I will not look upon your prominent offerings of salvation.</w:t>
      </w:r>
    </w:p>
    <w:p>
      <w:r>
        <w:rPr>
          <w:b/>
        </w:rPr>
        <w:t xml:space="preserve">23 </w:t>
      </w:r>
      <w:r>
        <w:t xml:space="preserve">Remove from me the sound of your songs, and I will not hear the melody of your instruments.</w:t>
      </w:r>
    </w:p>
    <w:p>
      <w:r>
        <w:rPr>
          <w:b/>
        </w:rPr>
        <w:t xml:space="preserve">24 </w:t>
      </w:r>
      <w:r>
        <w:t xml:space="preserve">And judgment will roll like water, and righteousness like an impassable torrent.</w:t>
      </w:r>
    </w:p>
    <w:p>
      <w:r>
        <w:rPr>
          <w:b/>
        </w:rPr>
        <w:t xml:space="preserve">25 </w:t>
      </w:r>
      <w:r>
        <w:t xml:space="preserve">Did you bring me victims and sacrifices in the wilderness forty years, O house of Israel?</w:t>
      </w:r>
    </w:p>
    <w:p>
      <w:r>
        <w:rPr>
          <w:b/>
        </w:rPr>
        <w:t xml:space="preserve">26 </w:t>
      </w:r>
      <w:r>
        <w:t xml:space="preserve">And you took up the tent of Moloch and the star of your god Rhaiphan, their images that you made for yourselves.</w:t>
      </w:r>
    </w:p>
    <w:p>
      <w:r>
        <w:rPr>
          <w:b/>
        </w:rPr>
        <w:t xml:space="preserve">27 </w:t>
      </w:r>
      <w:r>
        <w:t xml:space="preserve">And I will deport you beyond</w:t>
      </w:r>
      <w:r>
        <w:rPr>
          <w:rStyle w:val="FootnoteReference"/>
        </w:rPr>
        <w:footnoteReference w:id="13617"/>
      </w:r>
      <w:r>
        <w:t xml:space="preserve"> Damascus, says the Lord God Almighty is his name.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Woe to those despising Zion and trusting in the mountain of Samaria. They gathered firstfruits of nations, and the house of Israel entered to them</w:t>
      </w:r>
      <w:r>
        <w:rPr>
          <w:rStyle w:val="FootnoteReference"/>
        </w:rPr>
        <w:footnoteReference w:id="13618"/>
      </w:r>
      <w:r>
        <w:t xml:space="preserve">.</w:t>
      </w:r>
    </w:p>
    <w:p>
      <w:r>
        <w:rPr>
          <w:b/>
        </w:rPr>
        <w:t xml:space="preserve">2 </w:t>
      </w:r>
      <w:r>
        <w:t xml:space="preserve">Pass</w:t>
      </w:r>
      <w:r>
        <w:rPr>
          <w:rStyle w:val="FootnoteReference"/>
        </w:rPr>
        <w:footnoteReference w:id="13619"/>
      </w:r>
      <w:r>
        <w:t xml:space="preserve"> through, all of you, and see, and go from there into Hamath Rabbah and go down from there into Gath of the foreigners, the strongest out of all these kingdoms. Are their borders greater than your borders?</w:t>
      </w:r>
    </w:p>
    <w:p>
      <w:r>
        <w:rPr>
          <w:b/>
        </w:rPr>
        <w:t xml:space="preserve">3 </w:t>
      </w:r>
      <w:r>
        <w:t xml:space="preserve">those coming into an evil day, those drawing near and touching false Sabbaths,</w:t>
      </w:r>
    </w:p>
    <w:p>
      <w:r>
        <w:rPr>
          <w:b/>
        </w:rPr>
        <w:t xml:space="preserve">4 </w:t>
      </w:r>
      <w:r>
        <w:t xml:space="preserve">those sleeping on ivory beds and living luxuriously on their couches and eating young goats from flocks and suckling calves from the midst of cattle-stalls,</w:t>
      </w:r>
    </w:p>
    <w:p>
      <w:r>
        <w:rPr>
          <w:b/>
        </w:rPr>
        <w:t xml:space="preserve">5 </w:t>
      </w:r>
      <w:r>
        <w:t xml:space="preserve">those clapping to the sound of instruments, they reckoned themselves as established and not as fleeing,</w:t>
      </w:r>
    </w:p>
    <w:p>
      <w:r>
        <w:rPr>
          <w:b/>
        </w:rPr>
        <w:t xml:space="preserve">6 </w:t>
      </w:r>
      <w:r>
        <w:t xml:space="preserve">those drinking strained wine and anointing with the first perfumes, and they suffered nothing over the crushing of Joseph.</w:t>
      </w:r>
    </w:p>
    <w:p>
      <w:r>
        <w:rPr>
          <w:b/>
        </w:rPr>
        <w:t xml:space="preserve">7 </w:t>
      </w:r>
      <w:r>
        <w:t xml:space="preserve">Therefore now they will be captives from the beginning of rulers, and neighing of horses from Ephraim will be removed.</w:t>
      </w:r>
    </w:p>
    <w:p>
      <w:r>
        <w:rPr>
          <w:b/>
        </w:rPr>
        <w:t xml:space="preserve">8 </w:t>
      </w:r>
      <w:r>
        <w:t xml:space="preserve">Because the Lord swore by himself: I abhor</w:t>
      </w:r>
      <w:r>
        <w:rPr>
          <w:rStyle w:val="FootnoteReference"/>
        </w:rPr>
        <w:footnoteReference w:id="13620"/>
      </w:r>
      <w:r>
        <w:t xml:space="preserve"> all the arrogance of Jacob, and I have hated his lands, and I will remove the city with all inhabiting it.</w:t>
      </w:r>
    </w:p>
    <w:p>
      <w:r>
        <w:rPr>
          <w:b/>
        </w:rPr>
        <w:t xml:space="preserve">9 </w:t>
      </w:r>
      <w:r>
        <w:t xml:space="preserve">And it will be if ten men are left in one house, they will die, and the remaining ones will be left behind.</w:t>
      </w:r>
    </w:p>
    <w:p>
      <w:r>
        <w:rPr>
          <w:b/>
        </w:rPr>
        <w:t xml:space="preserve">10 </w:t>
      </w:r>
      <w:r>
        <w:t xml:space="preserve">And their household members will take them and will strive to bring their bones out of the house, and he will say to those presiding over the house, Is there still anyone with you? And he will say, No longer. And he will say, Be silent, because the name of the Lord must not be named.</w:t>
      </w:r>
    </w:p>
    <w:p>
      <w:r>
        <w:rPr>
          <w:b/>
        </w:rPr>
        <w:t xml:space="preserve">11 </w:t>
      </w:r>
      <w:r>
        <w:t xml:space="preserve">Because behold, the Lord</w:t>
      </w:r>
      <w:r>
        <w:rPr>
          <w:rStyle w:val="FootnoteReference"/>
        </w:rPr>
        <w:footnoteReference w:id="13621"/>
      </w:r>
      <w:r>
        <w:t xml:space="preserve"> commands and will strike the great house with fractures and the small house with cracks.</w:t>
      </w:r>
    </w:p>
    <w:p>
      <w:r>
        <w:rPr>
          <w:b/>
        </w:rPr>
        <w:t xml:space="preserve">12 </w:t>
      </w:r>
      <w:r>
        <w:t xml:space="preserve">Will horses</w:t>
      </w:r>
      <w:r>
        <w:rPr>
          <w:rStyle w:val="FootnoteReference"/>
        </w:rPr>
        <w:footnoteReference w:id="13622"/>
      </w:r>
      <w:r>
        <w:t xml:space="preserve"> run upon rocks? Will they be silent among mares? Because you turned judgment into wrath and fruit of righteousness into bitterness.</w:t>
      </w:r>
    </w:p>
    <w:p>
      <w:r>
        <w:rPr>
          <w:b/>
        </w:rPr>
        <w:t xml:space="preserve">13 </w:t>
      </w:r>
      <w:r>
        <w:t xml:space="preserve">Those rejoicing over nothing, those saying, Did we not acquire horns by our own strength?</w:t>
      </w:r>
    </w:p>
    <w:p>
      <w:r>
        <w:rPr>
          <w:b/>
        </w:rPr>
        <w:t xml:space="preserve">14 </w:t>
      </w:r>
      <w:r>
        <w:t xml:space="preserve">Because behold, I am raising against you, O house of Israel, a nation, and they will afflict you from entering into Hamath and as far as the torrent of the west.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Thus the Lord showed</w:t>
      </w:r>
      <w:r>
        <w:rPr>
          <w:rStyle w:val="FootnoteReference"/>
        </w:rPr>
        <w:footnoteReference w:id="13623"/>
      </w:r>
      <w:r>
        <w:t xml:space="preserve"> me, and behold, brood of locusts coming in the morning, and behold, one hopper, Gog the king.</w:t>
      </w:r>
    </w:p>
    <w:p>
      <w:r>
        <w:rPr>
          <w:b/>
        </w:rPr>
        <w:t xml:space="preserve">2 </w:t>
      </w:r>
      <w:r>
        <w:t xml:space="preserve">And it will be, if it completes devouring the grass of the land, then I said, Lord, Lord, be merciful. Who will raise up Jacob, because he is very small?</w:t>
      </w:r>
    </w:p>
    <w:p>
      <w:r>
        <w:rPr>
          <w:b/>
        </w:rPr>
        <w:t xml:space="preserve">3 </w:t>
      </w:r>
      <w:r>
        <w:t xml:space="preserve">Repent, O Lord, over this, and this will not be, says the Lord.</w:t>
      </w:r>
    </w:p>
    <w:p>
      <w:r>
        <w:rPr>
          <w:b/>
        </w:rPr>
        <w:t xml:space="preserve">4 </w:t>
      </w:r>
      <w:r>
        <w:t xml:space="preserve">Thus the Lord showed</w:t>
      </w:r>
      <w:r>
        <w:rPr>
          <w:rStyle w:val="FootnoteReference"/>
        </w:rPr>
        <w:footnoteReference w:id="13624"/>
      </w:r>
      <w:r>
        <w:t xml:space="preserve"> me, and behold, the Lord called judgment in fire, and it devoured the great abyss and devoured the portion.</w:t>
      </w:r>
    </w:p>
    <w:p>
      <w:r>
        <w:rPr>
          <w:b/>
        </w:rPr>
        <w:t xml:space="preserve">5 </w:t>
      </w:r>
      <w:r>
        <w:t xml:space="preserve">And I said, Lord, Lord, cease</w:t>
      </w:r>
      <w:r>
        <w:rPr>
          <w:rStyle w:val="FootnoteReference"/>
        </w:rPr>
        <w:footnoteReference w:id="13625"/>
      </w:r>
      <w:r>
        <w:t xml:space="preserve"> now. Who will raise up Jacob, because he is very small?</w:t>
      </w:r>
    </w:p>
    <w:p>
      <w:r>
        <w:rPr>
          <w:b/>
        </w:rPr>
        <w:t xml:space="preserve">6 </w:t>
      </w:r>
      <w:r>
        <w:t xml:space="preserve">Repent, O Lord, over this, and this will certainly not happen, says the Lord.</w:t>
      </w:r>
    </w:p>
    <w:p>
      <w:r>
        <w:rPr>
          <w:b/>
        </w:rPr>
        <w:t xml:space="preserve">7 </w:t>
      </w:r>
      <w:r>
        <w:t xml:space="preserve">Thus the Lord showed me, and behold, a man was standing upon an adamant wall, and adamant was in his hand.</w:t>
      </w:r>
    </w:p>
    <w:p>
      <w:r>
        <w:rPr>
          <w:b/>
        </w:rPr>
        <w:t xml:space="preserve">8 </w:t>
      </w:r>
      <w:r>
        <w:t xml:space="preserve">And the Lord said to me, What do you see, Amos</w:t>
      </w:r>
      <w:r>
        <w:rPr>
          <w:rStyle w:val="FootnoteReference"/>
        </w:rPr>
        <w:footnoteReference w:id="13626"/>
      </w:r>
      <w:r>
        <w:t xml:space="preserve">? And I said, Adamant. And the Lord said to me, Behold, I am setting adamant in the midst of my people Israel; I will no longer continue to pass over him.</w:t>
      </w:r>
    </w:p>
    <w:p>
      <w:r>
        <w:rPr>
          <w:b/>
        </w:rPr>
        <w:t xml:space="preserve">9 </w:t>
      </w:r>
      <w:r>
        <w:t xml:space="preserve">And the altars of laughter will be destroyed, and the rites of Israel will be laid waste, and I will rise up against the house of Jeroboam with a sword.</w:t>
      </w:r>
    </w:p>
    <w:p>
      <w:r>
        <w:rPr>
          <w:b/>
        </w:rPr>
        <w:t xml:space="preserve">10 </w:t>
      </w:r>
      <w:r>
        <w:t xml:space="preserve">And Amaziah the priest</w:t>
      </w:r>
      <w:r>
        <w:rPr>
          <w:rStyle w:val="FootnoteReference"/>
        </w:rPr>
        <w:footnoteReference w:id="13627"/>
      </w:r>
      <w:r>
        <w:t xml:space="preserve"> of Bethel sent to Jeroboam the king of Israel, saying, Amos is making conspiracies against you in the midst of the house of Israel; the land will certainly not be able to bear all his words.</w:t>
      </w:r>
    </w:p>
    <w:p>
      <w:r>
        <w:rPr>
          <w:b/>
        </w:rPr>
        <w:t xml:space="preserve">11 </w:t>
      </w:r>
      <w:r>
        <w:t xml:space="preserve">Because thus</w:t>
      </w:r>
      <w:r>
        <w:rPr>
          <w:rStyle w:val="FootnoteReference"/>
        </w:rPr>
        <w:footnoteReference w:id="13628"/>
      </w:r>
      <w:r>
        <w:t xml:space="preserve"> Amos says: Jeroboam will die by a sword, and Israel will be led captive from his land.</w:t>
      </w:r>
    </w:p>
    <w:p>
      <w:r>
        <w:rPr>
          <w:b/>
        </w:rPr>
        <w:t xml:space="preserve">12 </w:t>
      </w:r>
      <w:r>
        <w:t xml:space="preserve">And Amaziah said to Amos, O seer, go, withdraw into the land of Judah, and live there, and there you will prophesy.</w:t>
      </w:r>
    </w:p>
    <w:p>
      <w:r>
        <w:rPr>
          <w:b/>
        </w:rPr>
        <w:t xml:space="preserve">13 </w:t>
      </w:r>
      <w:r>
        <w:t xml:space="preserve">But in Bethel you must no longer continue to prophesy</w:t>
      </w:r>
      <w:r>
        <w:rPr>
          <w:rStyle w:val="FootnoteReference"/>
        </w:rPr>
        <w:footnoteReference w:id="13629"/>
      </w:r>
      <w:r>
        <w:t xml:space="preserve">, because it is the sanctuary of the king and the house of the kingdom.</w:t>
      </w:r>
    </w:p>
    <w:p>
      <w:r>
        <w:rPr>
          <w:b/>
        </w:rPr>
        <w:t xml:space="preserve">14 </w:t>
      </w:r>
      <w:r>
        <w:t xml:space="preserve">And Amos answered and said to Amaziah, I was not a prophet nor a son of a prophet, but I was a goatherd and a pricker of sycamore figs.</w:t>
      </w:r>
    </w:p>
    <w:p>
      <w:r>
        <w:rPr>
          <w:b/>
        </w:rPr>
        <w:t xml:space="preserve">15 </w:t>
      </w:r>
      <w:r>
        <w:t xml:space="preserve">And the Lord took</w:t>
      </w:r>
      <w:r>
        <w:rPr>
          <w:rStyle w:val="FootnoteReference"/>
        </w:rPr>
        <w:footnoteReference w:id="13630"/>
      </w:r>
      <w:r>
        <w:t xml:space="preserve"> me from the sheep and said to me, Go, prophesy over my people Israel.</w:t>
      </w:r>
    </w:p>
    <w:p>
      <w:r>
        <w:rPr>
          <w:b/>
        </w:rPr>
        <w:t xml:space="preserve">16 </w:t>
      </w:r>
      <w:r>
        <w:t xml:space="preserve">And now hear</w:t>
      </w:r>
      <w:r>
        <w:rPr>
          <w:rStyle w:val="FootnoteReference"/>
        </w:rPr>
        <w:footnoteReference w:id="13631"/>
      </w:r>
      <w:r>
        <w:t xml:space="preserve"> the word of the Lord. You say, Do not prophesy against Israel, and you must certainly not raise tumult against the house of Jacob.</w:t>
      </w:r>
    </w:p>
    <w:p>
      <w:r>
        <w:rPr>
          <w:b/>
        </w:rPr>
        <w:t xml:space="preserve">17 </w:t>
      </w:r>
      <w:r>
        <w:t xml:space="preserve">Therefore thus says the Lord: Your wife will prostitute herself in the city, and your sons and your daughters will fall by a sword, and your land will be measured by line, and you will die in an unclean land, and Israel</w:t>
      </w:r>
      <w:r>
        <w:rPr>
          <w:rStyle w:val="FootnoteReference"/>
        </w:rPr>
        <w:footnoteReference w:id="13632"/>
      </w:r>
      <w:r>
        <w:t xml:space="preserve"> will be led captive from his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Thus the Lord showed me, and behold, a fowler's vessel.</w:t>
      </w:r>
    </w:p>
    <w:p>
      <w:r>
        <w:rPr>
          <w:b/>
        </w:rPr>
        <w:t xml:space="preserve">2 </w:t>
      </w:r>
      <w:r>
        <w:t xml:space="preserve">And he said, What do you see, Amos</w:t>
      </w:r>
      <w:r>
        <w:rPr>
          <w:rStyle w:val="FootnoteReference"/>
        </w:rPr>
        <w:footnoteReference w:id="13633"/>
      </w:r>
      <w:r>
        <w:t xml:space="preserve">? And I said, A fowler's vessel. And the Lord said to me, The end has come upon my people Israel; I will no longer continue to pass over him.</w:t>
      </w:r>
    </w:p>
    <w:p>
      <w:r>
        <w:rPr>
          <w:b/>
        </w:rPr>
        <w:t xml:space="preserve">3 </w:t>
      </w:r>
      <w:r>
        <w:t xml:space="preserve">And the ceilings of the temple will howl in that day, says the Lord. Many are the fallen in every place; I will cast silence.</w:t>
      </w:r>
    </w:p>
    <w:p>
      <w:r>
        <w:rPr>
          <w:b/>
        </w:rPr>
        <w:t xml:space="preserve">4 </w:t>
      </w:r>
      <w:r>
        <w:t xml:space="preserve">Hear</w:t>
      </w:r>
      <w:r>
        <w:rPr>
          <w:rStyle w:val="FootnoteReference"/>
        </w:rPr>
        <w:footnoteReference w:id="13634"/>
      </w:r>
      <w:r>
        <w:t xml:space="preserve"> now these things, you who crush a poor man into the morning and oppress needy ones from the land,</w:t>
      </w:r>
    </w:p>
    <w:p>
      <w:r>
        <w:rPr>
          <w:b/>
        </w:rPr>
        <w:t xml:space="preserve">5 </w:t>
      </w:r>
      <w:r>
        <w:t xml:space="preserve">saying, When will the month pass and we will trade, and the Sabbaths and we will open treasuries, making</w:t>
      </w:r>
      <w:r>
        <w:rPr>
          <w:rStyle w:val="FootnoteReference"/>
        </w:rPr>
        <w:footnoteReference w:id="13635"/>
      </w:r>
      <w:r>
        <w:t xml:space="preserve"> the measure small and the weights large and making unjust scales,</w:t>
      </w:r>
    </w:p>
    <w:p>
      <w:r>
        <w:rPr>
          <w:b/>
        </w:rPr>
        <w:t xml:space="preserve">6 </w:t>
      </w:r>
      <w:r>
        <w:t xml:space="preserve">to buy poor ones for silver and a humble one for sandals, and we will trade from every crop.</w:t>
      </w:r>
    </w:p>
    <w:p>
      <w:r>
        <w:rPr>
          <w:b/>
        </w:rPr>
        <w:t xml:space="preserve">7 </w:t>
      </w:r>
      <w:r>
        <w:t xml:space="preserve">The Lord swears by the arrogance of Jacob: Will he ever forget all your works for strife?</w:t>
      </w:r>
    </w:p>
    <w:p>
      <w:r>
        <w:rPr>
          <w:b/>
        </w:rPr>
        <w:t xml:space="preserve">8 </w:t>
      </w:r>
      <w:r>
        <w:t xml:space="preserve">And because of these things will not the land be shaken, and every inhabitant in it mourn, and the consummation rise</w:t>
      </w:r>
      <w:r>
        <w:rPr>
          <w:rStyle w:val="FootnoteReference"/>
        </w:rPr>
        <w:footnoteReference w:id="13636"/>
      </w:r>
      <w:r>
        <w:t xml:space="preserve"> like a river and descend like a river of Egypt?</w:t>
      </w:r>
    </w:p>
    <w:p>
      <w:r>
        <w:rPr>
          <w:b/>
        </w:rPr>
        <w:t xml:space="preserve">9 </w:t>
      </w:r>
      <w:r>
        <w:t xml:space="preserve">And it will be in that day, says the Lord God, the sun will go down at noon and he will darken the light upon the earth by day.</w:t>
      </w:r>
    </w:p>
    <w:p>
      <w:r>
        <w:rPr>
          <w:b/>
        </w:rPr>
        <w:t xml:space="preserve">10 </w:t>
      </w:r>
      <w:r>
        <w:t xml:space="preserve">And I will turn</w:t>
      </w:r>
      <w:r>
        <w:rPr>
          <w:rStyle w:val="FootnoteReference"/>
        </w:rPr>
        <w:footnoteReference w:id="13637"/>
      </w:r>
      <w:r>
        <w:t xml:space="preserve"> your feasts into mourning and all your songs into lament, and bring up sackcloth on every waist and baldness on every head and make it like mourning for a beloved one and those with him like a day of grief.</w:t>
      </w:r>
    </w:p>
    <w:p>
      <w:r>
        <w:rPr>
          <w:b/>
        </w:rPr>
        <w:t xml:space="preserve">11 </w:t>
      </w:r>
      <w:r>
        <w:t xml:space="preserve">Behold, days are coming, says the Lord, and I will send famine upon the land, not famine of bread nor thirst of water, but famine of hearing the word of the Lord.</w:t>
      </w:r>
    </w:p>
    <w:p>
      <w:r>
        <w:rPr>
          <w:b/>
        </w:rPr>
        <w:t xml:space="preserve">12 </w:t>
      </w:r>
      <w:r>
        <w:t xml:space="preserve">And waters will be shaken to sea, and from north to east they will run around seeking the word of the Lord and will certainly not find it.</w:t>
      </w:r>
    </w:p>
    <w:p>
      <w:r>
        <w:rPr>
          <w:b/>
        </w:rPr>
        <w:t xml:space="preserve">13 </w:t>
      </w:r>
      <w:r>
        <w:t xml:space="preserve">In that day the fair virgins and the young men will fail in thirst.</w:t>
      </w:r>
    </w:p>
    <w:p>
      <w:r>
        <w:rPr>
          <w:b/>
        </w:rPr>
        <w:t xml:space="preserve">14 </w:t>
      </w:r>
      <w:r>
        <w:t xml:space="preserve">Those swearing by the propitiation of Samaria and saying, Your god lives, O Dan, and your god lives, O Beersheba</w:t>
      </w:r>
      <w:r>
        <w:rPr>
          <w:rStyle w:val="FootnoteReference"/>
        </w:rPr>
        <w:footnoteReference w:id="13638"/>
      </w:r>
      <w:r>
        <w:t xml:space="preserve">, will fall and certainly not rise anymore.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I saw</w:t>
      </w:r>
      <w:r>
        <w:rPr>
          <w:rStyle w:val="FootnoteReference"/>
        </w:rPr>
        <w:footnoteReference w:id="13639"/>
      </w:r>
      <w:r>
        <w:t xml:space="preserve"> the Lord standing upon the altar, and he said, Strike upon the mercy-seat</w:t>
      </w:r>
      <w:r>
        <w:rPr>
          <w:rStyle w:val="FootnoteReference"/>
        </w:rPr>
        <w:footnoteReference w:id="13640"/>
      </w:r>
      <w:r>
        <w:t xml:space="preserve">, and the foregates will be shaken; cut through into heads of all, and the remnant of them I will kill with a sword. The one fleeing from them will certainly not escape, and the one being rescued from them will certainly not be saved.</w:t>
      </w:r>
    </w:p>
    <w:p>
      <w:r>
        <w:rPr>
          <w:b/>
        </w:rPr>
        <w:t xml:space="preserve">2 </w:t>
      </w:r>
      <w:r>
        <w:t xml:space="preserve">If they dig down into Hades, from there my hand will pull them up, and if they go up into heaven, from there I will bring them down.</w:t>
      </w:r>
    </w:p>
    <w:p>
      <w:r>
        <w:rPr>
          <w:b/>
        </w:rPr>
        <w:t xml:space="preserve">3 </w:t>
      </w:r>
      <w:r>
        <w:t xml:space="preserve">If they hide</w:t>
      </w:r>
      <w:r>
        <w:rPr>
          <w:rStyle w:val="FootnoteReference"/>
        </w:rPr>
        <w:footnoteReference w:id="13641"/>
      </w:r>
      <w:r>
        <w:t xml:space="preserve"> on the top of Carmel, from there I will search out and take them, and if they sink from before my eyes into the depths of the sea, there I will command the dragon and it will bite them.</w:t>
      </w:r>
    </w:p>
    <w:p>
      <w:r>
        <w:rPr>
          <w:b/>
        </w:rPr>
        <w:t xml:space="preserve">4 </w:t>
      </w:r>
      <w:r>
        <w:t xml:space="preserve">And if they go into captivity before the face of their enemies, there I will command the sword and it will kill them, and I will set my eyes upon them for evils and not for good things.</w:t>
      </w:r>
    </w:p>
    <w:p>
      <w:r>
        <w:rPr>
          <w:b/>
        </w:rPr>
        <w:t xml:space="preserve">5 </w:t>
      </w:r>
      <w:r>
        <w:t xml:space="preserve">And the Lord, the Lord God Almighty, touching the earth and shaking it, and all those inhabiting it will mourn, and its consummation will rise like a river and descend like a river of Egypt.</w:t>
      </w:r>
    </w:p>
    <w:p>
      <w:r>
        <w:rPr>
          <w:b/>
        </w:rPr>
        <w:t xml:space="preserve">6 </w:t>
      </w:r>
      <w:r>
        <w:t xml:space="preserve">The one building his ascent into heaven and founding his promise on the earth, calling the water of the sea and pouring it on the face of the earth, the Lord</w:t>
      </w:r>
      <w:r>
        <w:rPr>
          <w:rStyle w:val="FootnoteReference"/>
        </w:rPr>
        <w:footnoteReference w:id="13642"/>
      </w:r>
      <w:r>
        <w:t xml:space="preserve"> God Almighty is his name.</w:t>
      </w:r>
    </w:p>
    <w:p>
      <w:r>
        <w:rPr>
          <w:b/>
        </w:rPr>
        <w:t xml:space="preserve">7 </w:t>
      </w:r>
      <w:r>
        <w:t xml:space="preserve">Are you not to me like sons of Ethiopians, O sons of Israel? says the Lord. Did I not bring Israel up from the land of Egypt, and foreigners from Cappadocia, and Syrians from the pit?</w:t>
      </w:r>
    </w:p>
    <w:p>
      <w:r>
        <w:rPr>
          <w:b/>
        </w:rPr>
        <w:t xml:space="preserve">8 </w:t>
      </w:r>
      <w:r>
        <w:t xml:space="preserve">Behold, the eyes</w:t>
      </w:r>
      <w:r>
        <w:rPr>
          <w:rStyle w:val="FootnoteReference"/>
        </w:rPr>
        <w:footnoteReference w:id="13643"/>
      </w:r>
      <w:r>
        <w:t xml:space="preserve"> of the Lord God are upon the kingdom of sinners, and I will remove it from the face of the earth, except that I will not entirely remove the house of Jacob, says the Lord.</w:t>
      </w:r>
    </w:p>
    <w:p>
      <w:r>
        <w:rPr>
          <w:b/>
        </w:rPr>
        <w:t xml:space="preserve">9 </w:t>
      </w:r>
      <w:r>
        <w:t xml:space="preserve">Because behold, I command and will winnow the house of Israel among all nations just as it is winnowed in a sieve, and a fragment will certainly not fall on the earth.</w:t>
      </w:r>
    </w:p>
    <w:p>
      <w:r>
        <w:rPr>
          <w:b/>
        </w:rPr>
        <w:t xml:space="preserve">10 </w:t>
      </w:r>
      <w:r>
        <w:t xml:space="preserve">All sinners of my people will die by a sword, those saying, The evils will certainly not draw near nor happen upon us.</w:t>
      </w:r>
    </w:p>
    <w:p>
      <w:r>
        <w:rPr>
          <w:b/>
        </w:rPr>
        <w:t xml:space="preserve">11 </w:t>
      </w:r>
      <w:r>
        <w:t xml:space="preserve">In that day</w:t>
      </w:r>
      <w:r>
        <w:rPr>
          <w:rStyle w:val="FootnoteReference"/>
        </w:rPr>
        <w:footnoteReference w:id="13644"/>
      </w:r>
      <w:r>
        <w:t xml:space="preserve"> I will raise up the tent of David that has fallen and rebuild its fallen things and raise up its dug-down things and rebuild it as days of the age,</w:t>
      </w:r>
    </w:p>
    <w:p>
      <w:r>
        <w:rPr>
          <w:b/>
        </w:rPr>
        <w:t xml:space="preserve">12 </w:t>
      </w:r>
      <w:r>
        <w:t xml:space="preserve">so that the remnant of men and all nations upon whom my name has been called upon them</w:t>
      </w:r>
      <w:r>
        <w:rPr>
          <w:rStyle w:val="FootnoteReference"/>
        </w:rPr>
        <w:footnoteReference w:id="13645"/>
      </w:r>
      <w:r>
        <w:t xml:space="preserve"> may seek, says the Lord God who does these things.</w:t>
      </w:r>
    </w:p>
    <w:p>
      <w:r>
        <w:rPr>
          <w:b/>
        </w:rPr>
        <w:t xml:space="preserve">13 </w:t>
      </w:r>
      <w:r>
        <w:t xml:space="preserve">Behold, days are coming, says the Lord, and the threshing will overtake the vintage, and the grape will become dark in the sowing, and the mountains</w:t>
      </w:r>
      <w:r>
        <w:rPr>
          <w:rStyle w:val="FootnoteReference"/>
        </w:rPr>
        <w:footnoteReference w:id="13646"/>
      </w:r>
      <w:r>
        <w:t xml:space="preserve"> will drip sweetness and all the hills will be thickly planted together.</w:t>
      </w:r>
    </w:p>
    <w:p>
      <w:r>
        <w:rPr>
          <w:b/>
        </w:rPr>
        <w:t xml:space="preserve">14 </w:t>
      </w:r>
      <w:r>
        <w:t xml:space="preserve">And I will turn back the captivity of my people Israel, and they will rebuild the ruined cities and dwell in them and plant</w:t>
      </w:r>
      <w:r>
        <w:rPr>
          <w:rStyle w:val="FootnoteReference"/>
        </w:rPr>
        <w:footnoteReference w:id="13647"/>
      </w:r>
      <w:r>
        <w:t xml:space="preserve"> vineyards and drink their wine and plant gardens and eat their fruit.</w:t>
      </w:r>
    </w:p>
    <w:p>
      <w:r>
        <w:rPr>
          <w:b/>
        </w:rPr>
        <w:t xml:space="preserve">15 </w:t>
      </w:r>
      <w:r>
        <w:t xml:space="preserve">And I will plant them upon their land, and they will certainly no longer be pulled up from their land which I gave them, says the Lord God Almighty.</w:t>
      </w:r>
    </w:p>
    <w:p>
      <w:r>
        <w:br w:type="page"/>
      </w:r>
    </w:p>
    <w:p>
      <w:pPr>
        <w:pStyle w:val="Heading1"/>
      </w:pPr>
      <w:r>
        <w:t xml:space="preserve">Obadiah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vision of Obadiah. Thus says the Lord God to Idumea</w:t>
      </w:r>
      <w:r>
        <w:rPr>
          <w:rStyle w:val="FootnoteReference"/>
        </w:rPr>
        <w:footnoteReference w:id="13648"/>
      </w:r>
      <w:r>
        <w:t xml:space="preserve">: I heard a report from the Lord, and he sent out a message to the nations: Rise up, and let us rise up against her for war.</w:t>
      </w:r>
      <w:r>
        <w:rPr>
          <w:rStyle w:val="FootnoteReference"/>
        </w:rPr>
        <w:footnoteReference w:id="13649"/>
      </w:r>
    </w:p>
    <w:p>
      <w:r>
        <w:rPr>
          <w:b/>
        </w:rPr>
        <w:t xml:space="preserve">2 </w:t>
      </w:r>
      <w:r>
        <w:t xml:space="preserve">Behold, I have made you very few among the nations; you are greatly dishonored.</w:t>
      </w:r>
    </w:p>
    <w:p>
      <w:r>
        <w:rPr>
          <w:b/>
        </w:rPr>
        <w:t xml:space="preserve">3 </w:t>
      </w:r>
      <w:r>
        <w:t xml:space="preserve">The arrogance of your heart lifted you up, you dwelling in the holes of the rocks, raising his dwelling high, saying in his heart, Who will bring me down to the earth?</w:t>
      </w:r>
    </w:p>
    <w:p>
      <w:r>
        <w:rPr>
          <w:b/>
        </w:rPr>
        <w:t xml:space="preserve">4 </w:t>
      </w:r>
      <w:r>
        <w:t xml:space="preserve">If you soar high like an eagle and set your nest among</w:t>
      </w:r>
      <w:r>
        <w:rPr>
          <w:rStyle w:val="FootnoteReference"/>
        </w:rPr>
        <w:footnoteReference w:id="13650"/>
      </w:r>
      <w:r>
        <w:t xml:space="preserve"> the stars, from there I will bring you down, says the Lord.</w:t>
      </w:r>
    </w:p>
    <w:p>
      <w:r>
        <w:rPr>
          <w:b/>
        </w:rPr>
        <w:t xml:space="preserve">5 </w:t>
      </w:r>
      <w:r>
        <w:t xml:space="preserve">If thieves entered to you, or robbers by night, where would you have been cast away? Would they not have stolen enough for themselves? And if grape-gatherers entered to you, would they not have left a gleaning?</w:t>
      </w:r>
    </w:p>
    <w:p>
      <w:r>
        <w:rPr>
          <w:b/>
        </w:rPr>
        <w:t xml:space="preserve">6 </w:t>
      </w:r>
      <w:r>
        <w:t xml:space="preserve">How Esau was searched out and his hidden things were seized.</w:t>
      </w:r>
    </w:p>
    <w:p>
      <w:r>
        <w:rPr>
          <w:b/>
        </w:rPr>
        <w:t xml:space="preserve">7 </w:t>
      </w:r>
      <w:r>
        <w:t xml:space="preserve">As far as your borders they sent you away, all the men of</w:t>
      </w:r>
      <w:r>
        <w:rPr>
          <w:rStyle w:val="FootnoteReference"/>
        </w:rPr>
        <w:footnoteReference w:id="13651"/>
      </w:r>
      <w:r>
        <w:t xml:space="preserve"> your covenant. Your peaceful men</w:t>
      </w:r>
      <w:r>
        <w:rPr>
          <w:rStyle w:val="FootnoteReference"/>
        </w:rPr>
        <w:footnoteReference w:id="13652"/>
      </w:r>
      <w:r>
        <w:t xml:space="preserve"> opposed you and prevailed against you. They set an ambush under you; there is no understanding in them.</w:t>
      </w:r>
    </w:p>
    <w:p>
      <w:r>
        <w:rPr>
          <w:b/>
        </w:rPr>
        <w:t xml:space="preserve">8 </w:t>
      </w:r>
      <w:r>
        <w:t xml:space="preserve">In that day, says the Lord, I will destroy wise men from Idumea</w:t>
      </w:r>
      <w:r>
        <w:rPr>
          <w:rStyle w:val="FootnoteReference"/>
        </w:rPr>
        <w:footnoteReference w:id="13653"/>
      </w:r>
      <w:r>
        <w:t xml:space="preserve"> and understanding from the mount of Esau.</w:t>
      </w:r>
    </w:p>
    <w:p>
      <w:r>
        <w:rPr>
          <w:b/>
        </w:rPr>
        <w:t xml:space="preserve">9 </w:t>
      </w:r>
      <w:r>
        <w:t xml:space="preserve">Your warriors from Teman will be terrified, so that a man may be cut off from the mount</w:t>
      </w:r>
      <w:r>
        <w:rPr>
          <w:rStyle w:val="FootnoteReference"/>
        </w:rPr>
        <w:footnoteReference w:id="13654"/>
      </w:r>
      <w:r>
        <w:t xml:space="preserve"> of Esau.</w:t>
      </w:r>
    </w:p>
    <w:p>
      <w:r>
        <w:rPr>
          <w:b/>
        </w:rPr>
        <w:t xml:space="preserve">10 </w:t>
      </w:r>
      <w:r>
        <w:t xml:space="preserve">Because of the slaughter and impiety toward your brother Jacob, shame</w:t>
      </w:r>
      <w:r>
        <w:rPr>
          <w:rStyle w:val="FootnoteReference"/>
        </w:rPr>
        <w:footnoteReference w:id="13655"/>
      </w:r>
      <w:r>
        <w:t xml:space="preserve"> will cover you, and you will be cut off forever.</w:t>
      </w:r>
    </w:p>
    <w:p>
      <w:r>
        <w:rPr>
          <w:b/>
        </w:rPr>
        <w:t xml:space="preserve">11 </w:t>
      </w:r>
      <w:r>
        <w:t xml:space="preserve">From the day when you stood opposite, on the day when foreigners carried away his force and strangers entered his gates and cast</w:t>
      </w:r>
      <w:r>
        <w:rPr>
          <w:rStyle w:val="FootnoteReference"/>
        </w:rPr>
        <w:footnoteReference w:id="13656"/>
      </w:r>
      <w:r>
        <w:t xml:space="preserve"> lots over Jerusalem, you also were as one of them.</w:t>
      </w:r>
    </w:p>
    <w:p>
      <w:r>
        <w:rPr>
          <w:b/>
        </w:rPr>
        <w:t xml:space="preserve">12 </w:t>
      </w:r>
      <w:r>
        <w:t xml:space="preserve">Do not look on the day of your brother in the day of strangers, and do not rejoice over the sons of Judah in the day of their destruction, and do not speak proudly in the day of distress.</w:t>
      </w:r>
    </w:p>
    <w:p>
      <w:r>
        <w:rPr>
          <w:b/>
        </w:rPr>
        <w:t xml:space="preserve">13 </w:t>
      </w:r>
      <w:r>
        <w:t xml:space="preserve">Do not enter gates of peoples in the day of their pains, do not also look on their gathering in the day of their ruin, and do not also join attack upon their force in the day of their destruction.</w:t>
      </w:r>
    </w:p>
    <w:p>
      <w:r>
        <w:rPr>
          <w:b/>
        </w:rPr>
        <w:t xml:space="preserve">14 </w:t>
      </w:r>
      <w:r>
        <w:t xml:space="preserve">Do not stand at their outlets to destroy those being rescued from them, and do not imprison their fugitives in the day</w:t>
      </w:r>
      <w:r>
        <w:rPr>
          <w:rStyle w:val="FootnoteReference"/>
        </w:rPr>
        <w:footnoteReference w:id="13657"/>
      </w:r>
      <w:r>
        <w:t xml:space="preserve"> of distress.</w:t>
      </w:r>
    </w:p>
    <w:p>
      <w:r>
        <w:rPr>
          <w:b/>
        </w:rPr>
        <w:t xml:space="preserve">15 </w:t>
      </w:r>
      <w:r>
        <w:t xml:space="preserve">Because the day of the Lord is near upon all the nations</w:t>
      </w:r>
      <w:r>
        <w:rPr>
          <w:rStyle w:val="FootnoteReference"/>
        </w:rPr>
        <w:footnoteReference w:id="13658"/>
      </w:r>
      <w:r>
        <w:t xml:space="preserve">. As you did, so it will be to you; your repayment will be returned on your head.</w:t>
      </w:r>
    </w:p>
    <w:p>
      <w:r>
        <w:rPr>
          <w:b/>
        </w:rPr>
        <w:t xml:space="preserve">16 </w:t>
      </w:r>
      <w:r>
        <w:t xml:space="preserve">Because as you drank on my holy mountain</w:t>
      </w:r>
      <w:r>
        <w:rPr>
          <w:rStyle w:val="FootnoteReference"/>
        </w:rPr>
        <w:footnoteReference w:id="13659"/>
      </w:r>
      <w:r>
        <w:t xml:space="preserve">, all the nations will drink wine; they will drink and go down, and they will be as though not existing.</w:t>
      </w:r>
    </w:p>
    <w:p>
      <w:r>
        <w:rPr>
          <w:b/>
        </w:rPr>
        <w:t xml:space="preserve">17 </w:t>
      </w:r>
      <w:r>
        <w:t xml:space="preserve">But on Mount Zion there will be salvation</w:t>
      </w:r>
      <w:r>
        <w:rPr>
          <w:rStyle w:val="FootnoteReference"/>
        </w:rPr>
        <w:footnoteReference w:id="13660"/>
      </w:r>
      <w:r>
        <w:t xml:space="preserve">, and it will be holy, and the house of Jacob will inherit those who inherited them.</w:t>
      </w:r>
    </w:p>
    <w:p>
      <w:r>
        <w:rPr>
          <w:b/>
        </w:rPr>
        <w:t xml:space="preserve">18 </w:t>
      </w:r>
      <w:r>
        <w:t xml:space="preserve">And the house of Jacob will be fire, and the house of Joseph</w:t>
      </w:r>
      <w:r>
        <w:rPr>
          <w:rStyle w:val="FootnoteReference"/>
        </w:rPr>
        <w:footnoteReference w:id="13661"/>
      </w:r>
      <w:r>
        <w:t xml:space="preserve"> a flame, and the house of Esau for stubble; they will burn among them and devour them, and there will be no grain-bearer in the house of Esau, because the Lord spoke.</w:t>
      </w:r>
    </w:p>
    <w:p>
      <w:r>
        <w:rPr>
          <w:b/>
        </w:rPr>
        <w:t xml:space="preserve">19 </w:t>
      </w:r>
      <w:r>
        <w:t xml:space="preserve">Those in Negeb will inherit the mount of Esau, and those in Shephelah</w:t>
      </w:r>
      <w:r>
        <w:rPr>
          <w:rStyle w:val="FootnoteReference"/>
        </w:rPr>
        <w:footnoteReference w:id="13662"/>
      </w:r>
      <w:r>
        <w:t xml:space="preserve"> the foreigners; they will inherit the mount of Ephraim and the plain</w:t>
      </w:r>
      <w:r>
        <w:rPr>
          <w:rStyle w:val="FootnoteReference"/>
        </w:rPr>
        <w:footnoteReference w:id="13663"/>
      </w:r>
      <w:r>
        <w:t xml:space="preserve"> of Samaria, and Benjamin and Gilead.</w:t>
      </w:r>
    </w:p>
    <w:p>
      <w:r>
        <w:rPr>
          <w:b/>
        </w:rPr>
        <w:t xml:space="preserve">20 </w:t>
      </w:r>
      <w:r>
        <w:t xml:space="preserve">This beginning of exile belongs to the sons of Israel: land of the Canaanites as far as Sarepta, and exile of Jerusalem as far as Ephrathah; they will inherit the cities of Negeb.</w:t>
      </w:r>
    </w:p>
    <w:p>
      <w:r>
        <w:rPr>
          <w:b/>
        </w:rPr>
        <w:t xml:space="preserve">21 </w:t>
      </w:r>
      <w:r>
        <w:t xml:space="preserve">Rescued men will go up from Mount Zion to avenge the mount of Esau, and the kingdom will belong to the Lord.</w:t>
      </w:r>
    </w:p>
    <w:p>
      <w:r>
        <w:br w:type="page"/>
      </w:r>
    </w:p>
    <w:p>
      <w:pPr>
        <w:pStyle w:val="Heading1"/>
      </w:pPr>
      <w:r>
        <w:t xml:space="preserve">Jonah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word of the Lord came to Jonah</w:t>
      </w:r>
      <w:r>
        <w:rPr>
          <w:rStyle w:val="FootnoteReference"/>
        </w:rPr>
        <w:footnoteReference w:id="13664"/>
      </w:r>
      <w:r>
        <w:t xml:space="preserve"> son of Amathi</w:t>
      </w:r>
      <w:r>
        <w:rPr>
          <w:rStyle w:val="FootnoteReference"/>
        </w:rPr>
        <w:footnoteReference w:id="13665"/>
      </w:r>
      <w:r>
        <w:t xml:space="preserve">, saying,</w:t>
      </w:r>
    </w:p>
    <w:p>
      <w:r>
        <w:rPr>
          <w:b/>
        </w:rPr>
        <w:t xml:space="preserve">2 </w:t>
      </w:r>
      <w:r>
        <w:t xml:space="preserve">Rise up, go to Nineveh</w:t>
      </w:r>
      <w:r>
        <w:rPr>
          <w:rStyle w:val="FootnoteReference"/>
        </w:rPr>
        <w:footnoteReference w:id="13666"/>
      </w:r>
      <w:r>
        <w:t xml:space="preserve">, the great city, and proclaim in it, because the cry of its evil rose up to me.</w:t>
      </w:r>
    </w:p>
    <w:p>
      <w:r>
        <w:rPr>
          <w:b/>
        </w:rPr>
        <w:t xml:space="preserve">3 </w:t>
      </w:r>
      <w:r>
        <w:t xml:space="preserve">Jonah rose up to flee</w:t>
      </w:r>
      <w:r>
        <w:rPr>
          <w:rStyle w:val="FootnoteReference"/>
        </w:rPr>
        <w:footnoteReference w:id="13667"/>
      </w:r>
      <w:r>
        <w:t xml:space="preserve"> to Tarshish from the face of the Lord, went down to Joppa, found a ship going to Tarshish, paid its fare, and went up into it to sail with them to Tarshish from the face of the Lord.</w:t>
      </w:r>
    </w:p>
    <w:p>
      <w:r>
        <w:rPr>
          <w:b/>
        </w:rPr>
        <w:t xml:space="preserve">4 </w:t>
      </w:r>
      <w:r>
        <w:t xml:space="preserve">The Lord stirred up a wind on the sea</w:t>
      </w:r>
      <w:r>
        <w:rPr>
          <w:rStyle w:val="FootnoteReference"/>
        </w:rPr>
        <w:footnoteReference w:id="13668"/>
      </w:r>
      <w:r>
        <w:t xml:space="preserve">, and a great surge happened on the sea, and the ship was in danger of being broken.</w:t>
      </w:r>
      <w:r>
        <w:rPr>
          <w:rStyle w:val="FootnoteReference"/>
        </w:rPr>
        <w:footnoteReference w:id="13669"/>
      </w:r>
    </w:p>
    <w:p>
      <w:r>
        <w:rPr>
          <w:b/>
        </w:rPr>
        <w:t xml:space="preserve">5 </w:t>
      </w:r>
      <w:r>
        <w:t xml:space="preserve">The sailors feared, and each cried</w:t>
      </w:r>
      <w:r>
        <w:rPr>
          <w:rStyle w:val="FootnoteReference"/>
        </w:rPr>
        <w:footnoteReference w:id="13670"/>
      </w:r>
      <w:r>
        <w:t xml:space="preserve"> to his god, and they threw the ship's cargo into the sea to lighten it from them. But Jonah had gone down into the hold of the ship and slept and snored.</w:t>
      </w:r>
    </w:p>
    <w:p>
      <w:r>
        <w:rPr>
          <w:b/>
        </w:rPr>
        <w:t xml:space="preserve">6 </w:t>
      </w:r>
      <w:r>
        <w:t xml:space="preserve">The shipmaster came to him and said, Why are you snoring? Rise up, call on your god, so God may save us and we not perish.</w:t>
      </w:r>
    </w:p>
    <w:p>
      <w:r>
        <w:rPr>
          <w:b/>
        </w:rPr>
        <w:t xml:space="preserve">7 </w:t>
      </w:r>
      <w:r>
        <w:t xml:space="preserve">Each said to his neighbor, Come, let us cast lots and know for whose sake this evil is among us. They cast lots, and the lot fell on Jonah.</w:t>
      </w:r>
    </w:p>
    <w:p>
      <w:r>
        <w:rPr>
          <w:b/>
        </w:rPr>
        <w:t xml:space="preserve">8 </w:t>
      </w:r>
      <w:r>
        <w:t xml:space="preserve">They said to him, Tell</w:t>
      </w:r>
      <w:r>
        <w:rPr>
          <w:rStyle w:val="FootnoteReference"/>
        </w:rPr>
        <w:footnoteReference w:id="13671"/>
      </w:r>
      <w:r>
        <w:t xml:space="preserve"> us, for whose sake is this evil among us? What is your work? From where do you come? From what country and from what people are you?</w:t>
      </w:r>
    </w:p>
    <w:p>
      <w:r>
        <w:rPr>
          <w:b/>
        </w:rPr>
        <w:t xml:space="preserve">9 </w:t>
      </w:r>
      <w:r>
        <w:t xml:space="preserve">He said to them, I am a servant of the Lord, and I worship the Lord God of heaven</w:t>
      </w:r>
      <w:r>
        <w:rPr>
          <w:rStyle w:val="FootnoteReference"/>
        </w:rPr>
        <w:footnoteReference w:id="13672"/>
      </w:r>
      <w:r>
        <w:t xml:space="preserve">, who made the sea and the dry land.</w:t>
      </w:r>
    </w:p>
    <w:p>
      <w:r>
        <w:rPr>
          <w:b/>
        </w:rPr>
        <w:t xml:space="preserve">10 </w:t>
      </w:r>
      <w:r>
        <w:t xml:space="preserve">The men feared with a great fear and said to him, What is this you have done? For the men knew he was fleeing from the face of the Lord, because he told them.</w:t>
      </w:r>
    </w:p>
    <w:p>
      <w:r>
        <w:rPr>
          <w:b/>
        </w:rPr>
        <w:t xml:space="preserve">11 </w:t>
      </w:r>
      <w:r>
        <w:t xml:space="preserve">They said to him, What should we do to you, so the sea will quiet from us? Because the sea kept going and stirred up a greater surge.</w:t>
      </w:r>
    </w:p>
    <w:p>
      <w:r>
        <w:rPr>
          <w:b/>
        </w:rPr>
        <w:t xml:space="preserve">12 </w:t>
      </w:r>
      <w:r>
        <w:t xml:space="preserve">Jonah said to them, Lift me and throw me into the sea, and the sea will quiet from you, because I know this great surge is upon you because of me.</w:t>
      </w:r>
    </w:p>
    <w:p>
      <w:r>
        <w:rPr>
          <w:b/>
        </w:rPr>
        <w:t xml:space="preserve">13 </w:t>
      </w:r>
      <w:r>
        <w:t xml:space="preserve">The men strained to turn back to the land and were not able, because the sea kept going and surging more against them.</w:t>
      </w:r>
    </w:p>
    <w:p>
      <w:r>
        <w:rPr>
          <w:b/>
        </w:rPr>
        <w:t xml:space="preserve">14 </w:t>
      </w:r>
      <w:r>
        <w:t xml:space="preserve">They cried to the Lord and said, By no means, O Lord, let us not perish on account of the life of this man, and do not put righteous blood on us</w:t>
      </w:r>
      <w:r>
        <w:rPr>
          <w:rStyle w:val="FootnoteReference"/>
        </w:rPr>
        <w:footnoteReference w:id="13673"/>
      </w:r>
      <w:r>
        <w:t xml:space="preserve">, because you, O Lord, have done as you wished.</w:t>
      </w:r>
    </w:p>
    <w:p>
      <w:r>
        <w:rPr>
          <w:b/>
        </w:rPr>
        <w:t xml:space="preserve">15 </w:t>
      </w:r>
      <w:r>
        <w:t xml:space="preserve">They took Jonah and threw him into the sea, and the sea stood still from its tossing.</w:t>
      </w:r>
    </w:p>
    <w:p>
      <w:r>
        <w:rPr>
          <w:b/>
        </w:rPr>
        <w:t xml:space="preserve">16 </w:t>
      </w:r>
      <w:r>
        <w:t xml:space="preserve">The men feared</w:t>
      </w:r>
      <w:r>
        <w:rPr>
          <w:rStyle w:val="FootnoteReference"/>
        </w:rPr>
        <w:footnoteReference w:id="13674"/>
      </w:r>
      <w:r>
        <w:t xml:space="preserve"> the Lord with a great fear, sacrificed a sacrifice to the Lord, and vowed vows.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The Lord commanded a great sea-creature to swallow Jonah, and Jonah was in the belly of the sea-creature three days and three nights.</w:t>
      </w:r>
    </w:p>
    <w:p>
      <w:r>
        <w:rPr>
          <w:b/>
        </w:rPr>
        <w:t xml:space="preserve">2 </w:t>
      </w:r>
      <w:r>
        <w:t xml:space="preserve">Jonah prayed to the Lord his God from the belly of the sea-creature</w:t>
      </w:r>
      <w:r>
        <w:rPr>
          <w:rStyle w:val="FootnoteReference"/>
        </w:rPr>
        <w:footnoteReference w:id="13675"/>
      </w:r>
      <w:r>
        <w:t xml:space="preserve">.</w:t>
      </w:r>
    </w:p>
    <w:p>
      <w:r>
        <w:rPr>
          <w:b/>
        </w:rPr>
        <w:t xml:space="preserve">3 </w:t>
      </w:r>
      <w:r>
        <w:t xml:space="preserve">He said, I cried in my distress to the Lord my God, and he heard me. From the belly of Hades you heard the voice of my cry.</w:t>
      </w:r>
    </w:p>
    <w:p>
      <w:r>
        <w:rPr>
          <w:b/>
        </w:rPr>
        <w:t xml:space="preserve">4 </w:t>
      </w:r>
      <w:r>
        <w:t xml:space="preserve">You cast me into the depths, into the heart of the sea, and rivers encircled me. All your billows and your waves passed over me.</w:t>
      </w:r>
    </w:p>
    <w:p>
      <w:r>
        <w:rPr>
          <w:b/>
        </w:rPr>
        <w:t xml:space="preserve">5 </w:t>
      </w:r>
      <w:r>
        <w:t xml:space="preserve">I said, I have been thrust away from your eyes. Shall I again add to look toward your holy temple?</w:t>
      </w:r>
    </w:p>
    <w:p>
      <w:r>
        <w:rPr>
          <w:b/>
        </w:rPr>
        <w:t xml:space="preserve">6 </w:t>
      </w:r>
      <w:r>
        <w:t xml:space="preserve">Water poured around me up to my soul. Abyss encircled me utterly. My head went down into clefts of mountains</w:t>
      </w:r>
      <w:r>
        <w:rPr>
          <w:rStyle w:val="FootnoteReference"/>
        </w:rPr>
        <w:footnoteReference w:id="13676"/>
      </w:r>
      <w:r>
        <w:t xml:space="preserve">.</w:t>
      </w:r>
    </w:p>
    <w:p>
      <w:r>
        <w:rPr>
          <w:b/>
        </w:rPr>
        <w:t xml:space="preserve">7 </w:t>
      </w:r>
      <w:r>
        <w:t xml:space="preserve">I went down into a land whose bars are everlasting holds, yet may the corruption of my life come up, O Lord my God.</w:t>
      </w:r>
    </w:p>
    <w:p>
      <w:r>
        <w:rPr>
          <w:b/>
        </w:rPr>
        <w:t xml:space="preserve">8 </w:t>
      </w:r>
      <w:r>
        <w:t xml:space="preserve">When my soul was failing from me, I remembered the Lord, and may my prayer come to you, into your holy temple.</w:t>
      </w:r>
      <w:r>
        <w:rPr>
          <w:rStyle w:val="FootnoteReference"/>
        </w:rPr>
        <w:footnoteReference w:id="13677"/>
      </w:r>
    </w:p>
    <w:p>
      <w:r>
        <w:rPr>
          <w:b/>
        </w:rPr>
        <w:t xml:space="preserve">9 </w:t>
      </w:r>
      <w:r>
        <w:t xml:space="preserve">Those keeping worthless and false things abandoned their mercy.</w:t>
      </w:r>
    </w:p>
    <w:p>
      <w:r>
        <w:rPr>
          <w:b/>
        </w:rPr>
        <w:t xml:space="preserve">10 </w:t>
      </w:r>
      <w:r>
        <w:t xml:space="preserve">But I, with a voice of praise and confession, will sacrifice to you. Whatever I vowed I will repay to you. Salvation belongs to the Lord</w:t>
      </w:r>
      <w:r>
        <w:rPr>
          <w:rStyle w:val="FootnoteReference"/>
        </w:rPr>
        <w:footnoteReference w:id="13678"/>
      </w:r>
      <w:r>
        <w:t xml:space="preserve">.</w:t>
      </w:r>
    </w:p>
    <w:p>
      <w:r>
        <w:rPr>
          <w:b/>
        </w:rPr>
        <w:t xml:space="preserve">11 </w:t>
      </w:r>
      <w:r>
        <w:t xml:space="preserve">It was commanded to the sea-creature, and it threw Jonah out on the dry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The word</w:t>
      </w:r>
      <w:r>
        <w:rPr>
          <w:rStyle w:val="FootnoteReference"/>
        </w:rPr>
        <w:footnoteReference w:id="13679"/>
      </w:r>
      <w:r>
        <w:t xml:space="preserve"> of the Lord came to Jonah a second time, saying,</w:t>
      </w:r>
    </w:p>
    <w:p>
      <w:r>
        <w:rPr>
          <w:b/>
        </w:rPr>
        <w:t xml:space="preserve">2 </w:t>
      </w:r>
      <w:r>
        <w:t xml:space="preserve">Rise up, go to Nineveh</w:t>
      </w:r>
      <w:r>
        <w:rPr>
          <w:rStyle w:val="FootnoteReference"/>
        </w:rPr>
        <w:footnoteReference w:id="13680"/>
      </w:r>
      <w:r>
        <w:t xml:space="preserve">, the great city, and proclaim in it according to the former proclamation that I spoke to you.</w:t>
      </w:r>
    </w:p>
    <w:p>
      <w:r>
        <w:rPr>
          <w:b/>
        </w:rPr>
        <w:t xml:space="preserve">3 </w:t>
      </w:r>
      <w:r>
        <w:t xml:space="preserve">Jonah rose up and went to Nineveh, just as the Lord spoke. Nineveh was a great city to God, like a journey of a way of three days.</w:t>
      </w:r>
    </w:p>
    <w:p>
      <w:r>
        <w:rPr>
          <w:b/>
        </w:rPr>
        <w:t xml:space="preserve">4 </w:t>
      </w:r>
      <w:r>
        <w:t xml:space="preserve">Jonah began to enter the city, about a journey of one day, and proclaimed and said, Yet three days and Nineveh will be overthrown.</w:t>
      </w:r>
    </w:p>
    <w:p>
      <w:r>
        <w:rPr>
          <w:b/>
        </w:rPr>
        <w:t xml:space="preserve">5 </w:t>
      </w:r>
      <w:r>
        <w:t xml:space="preserve">Men of Nineveh believed</w:t>
      </w:r>
      <w:r>
        <w:rPr>
          <w:rStyle w:val="FootnoteReference"/>
        </w:rPr>
        <w:footnoteReference w:id="13681"/>
      </w:r>
      <w:r>
        <w:t xml:space="preserve"> God, proclaimed a fast, and put on sackcloths from their great one to their small one.</w:t>
      </w:r>
    </w:p>
    <w:p>
      <w:r>
        <w:rPr>
          <w:b/>
        </w:rPr>
        <w:t xml:space="preserve">6 </w:t>
      </w:r>
      <w:r>
        <w:t xml:space="preserve">The word reached the king of Nineveh, and he rose from his throne, removed his robe from himself, clothed himself in sackcloth, and sat on ashes.</w:t>
      </w:r>
    </w:p>
    <w:p>
      <w:r>
        <w:rPr>
          <w:b/>
        </w:rPr>
        <w:t xml:space="preserve">7 </w:t>
      </w:r>
      <w:r>
        <w:t xml:space="preserve">It was proclaimed and said in Nineveh by the king and his nobles: Let neither people nor cattle nor oxen nor sheep taste anything; let them not graze and let them not drink water.</w:t>
      </w:r>
    </w:p>
    <w:p>
      <w:r>
        <w:rPr>
          <w:b/>
        </w:rPr>
        <w:t xml:space="preserve">8 </w:t>
      </w:r>
      <w:r>
        <w:t xml:space="preserve">The people and the cattle clothed themselves with sackcloths and cried intensely to God, and each turned from his evil way and from the injustice that is in his hands, saying,</w:t>
      </w:r>
    </w:p>
    <w:p>
      <w:r>
        <w:rPr>
          <w:b/>
        </w:rPr>
        <w:t xml:space="preserve">9 </w:t>
      </w:r>
      <w:r>
        <w:t xml:space="preserve">Who knows if God will repent and turn from anger of his wrath, and we will certainly not perish?</w:t>
      </w:r>
    </w:p>
    <w:p>
      <w:r>
        <w:rPr>
          <w:b/>
        </w:rPr>
        <w:t xml:space="preserve">10 </w:t>
      </w:r>
      <w:r>
        <w:t xml:space="preserve">God saw</w:t>
      </w:r>
      <w:r>
        <w:rPr>
          <w:rStyle w:val="FootnoteReference"/>
        </w:rPr>
        <w:footnoteReference w:id="13682"/>
      </w:r>
      <w:r>
        <w:t xml:space="preserve"> their works, that they turned from their evil ways, and God repented over the evil that he had spoken to do to them, and he did not do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Jonah was grieved with great grief and was confounded.</w:t>
      </w:r>
    </w:p>
    <w:p>
      <w:r>
        <w:rPr>
          <w:b/>
        </w:rPr>
        <w:t xml:space="preserve">2 </w:t>
      </w:r>
      <w:r>
        <w:t xml:space="preserve">And he prayed</w:t>
      </w:r>
      <w:r>
        <w:rPr>
          <w:rStyle w:val="FootnoteReference"/>
        </w:rPr>
        <w:footnoteReference w:id="13683"/>
      </w:r>
      <w:r>
        <w:t xml:space="preserve"> to the Lord and said, O Lord, were not these my words while I was still in my land? Because of this I went ahead to flee to Tarshish, because I knew that you are merciful and compassionate, long-suffering and abundant in mercy, and repenting over the evils.</w:t>
      </w:r>
    </w:p>
    <w:p>
      <w:r>
        <w:rPr>
          <w:b/>
        </w:rPr>
        <w:t xml:space="preserve">3 </w:t>
      </w:r>
      <w:r>
        <w:t xml:space="preserve">And now, Master Lord, take</w:t>
      </w:r>
      <w:r>
        <w:rPr>
          <w:rStyle w:val="FootnoteReference"/>
        </w:rPr>
        <w:footnoteReference w:id="13684"/>
      </w:r>
      <w:r>
        <w:t xml:space="preserve"> my life from me, because it is better for me to die than to live.</w:t>
      </w:r>
    </w:p>
    <w:p>
      <w:r>
        <w:rPr>
          <w:b/>
        </w:rPr>
        <w:t xml:space="preserve">4 </w:t>
      </w:r>
      <w:r>
        <w:t xml:space="preserve">And the Lord said to Jonah, Are you greatly grieved?</w:t>
      </w:r>
    </w:p>
    <w:p>
      <w:r>
        <w:rPr>
          <w:b/>
        </w:rPr>
        <w:t xml:space="preserve">5 </w:t>
      </w:r>
      <w:r>
        <w:t xml:space="preserve">And Jonah</w:t>
      </w:r>
      <w:r>
        <w:rPr>
          <w:rStyle w:val="FootnoteReference"/>
        </w:rPr>
        <w:footnoteReference w:id="13685"/>
      </w:r>
      <w:r>
        <w:t xml:space="preserve"> went out from the city and sat opposite the city. He made himself a booth there and sat under it in shade until he might see what would become of the city.</w:t>
      </w:r>
    </w:p>
    <w:p>
      <w:r>
        <w:rPr>
          <w:b/>
        </w:rPr>
        <w:t xml:space="preserve">6 </w:t>
      </w:r>
      <w:r>
        <w:t xml:space="preserve">And the Lord</w:t>
      </w:r>
      <w:r>
        <w:rPr>
          <w:rStyle w:val="FootnoteReference"/>
        </w:rPr>
        <w:footnoteReference w:id="13686"/>
      </w:r>
      <w:r>
        <w:t xml:space="preserve"> God commanded a bottle-gourd, and it came up over the head of Jonah, that it might be a shade above his head, to shade him from his evils; and Jonah rejoiced over the bottle-gourd with great joy.</w:t>
      </w:r>
    </w:p>
    <w:p>
      <w:r>
        <w:rPr>
          <w:b/>
        </w:rPr>
        <w:t xml:space="preserve">7 </w:t>
      </w:r>
      <w:r>
        <w:t xml:space="preserve">And God commanded a worm early the next morning, and it struck the bottle-gourd, and it dried up.</w:t>
      </w:r>
    </w:p>
    <w:p>
      <w:r>
        <w:rPr>
          <w:b/>
        </w:rPr>
        <w:t xml:space="preserve">8 </w:t>
      </w:r>
      <w:r>
        <w:t xml:space="preserve">And it came to pass when the sun rose, that God</w:t>
      </w:r>
      <w:r>
        <w:rPr>
          <w:rStyle w:val="FootnoteReference"/>
        </w:rPr>
        <w:footnoteReference w:id="13687"/>
      </w:r>
      <w:r>
        <w:t xml:space="preserve"> commanded a scorching burning wind, and the sun struck upon the head of Jonah, and he grew fainthearted and gave up regarding his life and said, It is better for me to die than to live.</w:t>
      </w:r>
    </w:p>
    <w:p>
      <w:r>
        <w:rPr>
          <w:b/>
        </w:rPr>
        <w:t xml:space="preserve">9 </w:t>
      </w:r>
      <w:r>
        <w:t xml:space="preserve">And God said to Jonah, Are you greatly grieved over the bottle-gourd? And he said, I am greatly grieved, even unto death.</w:t>
      </w:r>
    </w:p>
    <w:p>
      <w:r>
        <w:rPr>
          <w:b/>
        </w:rPr>
        <w:t xml:space="preserve">10 </w:t>
      </w:r>
      <w:r>
        <w:t xml:space="preserve">And the Lord said, You spared the bottle-gourd, over which you did not suffer hardship and did not rear it, which came to be in a night and perished in a night.</w:t>
      </w:r>
    </w:p>
    <w:p>
      <w:r>
        <w:rPr>
          <w:b/>
        </w:rPr>
        <w:t xml:space="preserve">11 </w:t>
      </w:r>
      <w:r>
        <w:t xml:space="preserve">But shall not I spare Nineveh</w:t>
      </w:r>
      <w:r>
        <w:rPr>
          <w:rStyle w:val="FootnoteReference"/>
        </w:rPr>
        <w:footnoteReference w:id="13688"/>
      </w:r>
      <w:r>
        <w:t xml:space="preserve">, the great city, in which dwell more than twelve myriads of human beings who do not know their right hand or their left hand, and many cattle?</w:t>
      </w:r>
    </w:p>
    <w:p>
      <w:r>
        <w:br w:type="page"/>
      </w:r>
    </w:p>
    <w:p>
      <w:pPr>
        <w:pStyle w:val="Heading1"/>
      </w:pPr>
      <w:r>
        <w:t xml:space="preserve">Micah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And the word of the Lord came to Micah</w:t>
      </w:r>
      <w:r>
        <w:rPr>
          <w:rStyle w:val="FootnoteReference"/>
        </w:rPr>
        <w:footnoteReference w:id="13689"/>
      </w:r>
      <w:r>
        <w:t xml:space="preserve"> the Morasthite in the days of Jotham and Ahaz and Hezekiah, kings of Judah, concerning what he saw about Samaria and Jerusalem.</w:t>
      </w:r>
      <w:r>
        <w:rPr>
          <w:rStyle w:val="FootnoteReference"/>
        </w:rPr>
        <w:footnoteReference w:id="13690"/>
      </w:r>
    </w:p>
    <w:p>
      <w:r>
        <w:rPr>
          <w:b/>
        </w:rPr>
        <w:t xml:space="preserve">2 </w:t>
      </w:r>
      <w:r>
        <w:t xml:space="preserve">Hear words, O peoples, and let the earth and all those in it pay attention; and the Lord will be among you for a testimony, the Lord from</w:t>
      </w:r>
      <w:r>
        <w:rPr>
          <w:rStyle w:val="FootnoteReference"/>
        </w:rPr>
        <w:footnoteReference w:id="13691"/>
      </w:r>
      <w:r>
        <w:t xml:space="preserve"> his holy house.</w:t>
      </w:r>
      <w:r>
        <w:rPr>
          <w:rStyle w:val="FootnoteReference"/>
        </w:rPr>
        <w:footnoteReference w:id="13692"/>
      </w:r>
    </w:p>
    <w:p>
      <w:r>
        <w:rPr>
          <w:b/>
        </w:rPr>
        <w:t xml:space="preserve">3 </w:t>
      </w:r>
      <w:r>
        <w:t xml:space="preserve">For behold, the Lord goes forth out of his place</w:t>
      </w:r>
      <w:r>
        <w:rPr>
          <w:rStyle w:val="FootnoteReference"/>
        </w:rPr>
        <w:footnoteReference w:id="13693"/>
      </w:r>
      <w:r>
        <w:t xml:space="preserve"> and will come down and step upon the heights of the earth.</w:t>
      </w:r>
    </w:p>
    <w:p>
      <w:r>
        <w:rPr>
          <w:b/>
        </w:rPr>
        <w:t xml:space="preserve">4 </w:t>
      </w:r>
      <w:r>
        <w:t xml:space="preserve">And the mountains</w:t>
      </w:r>
      <w:r>
        <w:rPr>
          <w:rStyle w:val="FootnoteReference"/>
        </w:rPr>
        <w:footnoteReference w:id="13694"/>
      </w:r>
      <w:r>
        <w:t xml:space="preserve"> will be shaken beneath him, and the valleys will melt like wax before the face of fire and like water carried down in a descent.</w:t>
      </w:r>
    </w:p>
    <w:p>
      <w:r>
        <w:rPr>
          <w:b/>
        </w:rPr>
        <w:t xml:space="preserve">5 </w:t>
      </w:r>
      <w:r>
        <w:t xml:space="preserve">All these things are because of the impiety of Jacob and because of the sin of the house of Israel. What is the impiety of Jacob? Is it</w:t>
      </w:r>
      <w:r>
        <w:rPr>
          <w:rStyle w:val="FootnoteReference"/>
        </w:rPr>
        <w:footnoteReference w:id="13695"/>
      </w:r>
      <w:r>
        <w:t xml:space="preserve"> not Samaria? And what is the sin of the house of Judah? Is it not Jerusalem?</w:t>
      </w:r>
    </w:p>
    <w:p>
      <w:r>
        <w:rPr>
          <w:b/>
        </w:rPr>
        <w:t xml:space="preserve">6 </w:t>
      </w:r>
      <w:r>
        <w:t xml:space="preserve">And I will make</w:t>
      </w:r>
      <w:r>
        <w:rPr>
          <w:rStyle w:val="FootnoteReference"/>
        </w:rPr>
        <w:footnoteReference w:id="13696"/>
      </w:r>
      <w:r>
        <w:t xml:space="preserve"> Samaria into a field-watchman's hut and into a planting of a vineyard, and I will tear her stones down into a chasm and uncover her foundations.</w:t>
      </w:r>
    </w:p>
    <w:p>
      <w:r>
        <w:rPr>
          <w:b/>
        </w:rPr>
        <w:t xml:space="preserve">7 </w:t>
      </w:r>
      <w:r>
        <w:t xml:space="preserve">And all her carved images they will cut down, and all her wages they will burn with fire, and all her idols I will make into disappearance, because from the wages of prostitution she gathered them and from the wages of prostitution she brought them together.</w:t>
      </w:r>
    </w:p>
    <w:p>
      <w:r>
        <w:rPr>
          <w:b/>
        </w:rPr>
        <w:t xml:space="preserve">8 </w:t>
      </w:r>
      <w:r>
        <w:t xml:space="preserve">Because of this she will lament and mourn; she will go barefoot and naked; she will make lamentation like dragons and mourning like daughters of sirens.</w:t>
      </w:r>
    </w:p>
    <w:p>
      <w:r>
        <w:rPr>
          <w:b/>
        </w:rPr>
        <w:t xml:space="preserve">9 </w:t>
      </w:r>
      <w:r>
        <w:t xml:space="preserve">Because her plague prevailed, because it came as far as Judah and touched as far as the gate of my people, as far as Jerusalem.</w:t>
      </w:r>
    </w:p>
    <w:p>
      <w:r>
        <w:rPr>
          <w:b/>
        </w:rPr>
        <w:t xml:space="preserve">10 </w:t>
      </w:r>
      <w:r>
        <w:t xml:space="preserve">Those who are in Gath, do not magnify yourselves. Those who are in Akeim, do not rebuild. From a house for laughter, sprinkle earth over your laughter.</w:t>
      </w:r>
    </w:p>
    <w:p>
      <w:r>
        <w:rPr>
          <w:b/>
        </w:rPr>
        <w:t xml:space="preserve">11 </w:t>
      </w:r>
      <w:r>
        <w:t xml:space="preserve">She who dwells well in her cities did not come out, she who dwells in Sennaan, to lament. A house adjoining her will receive from you a wound of pain.</w:t>
      </w:r>
    </w:p>
    <w:p>
      <w:r>
        <w:rPr>
          <w:b/>
        </w:rPr>
        <w:t xml:space="preserve">12 </w:t>
      </w:r>
      <w:r>
        <w:t xml:space="preserve">Who began toward good things for her who dwells in pains? Because evils came down from the Lord upon the gates of Jerusalem.</w:t>
      </w:r>
    </w:p>
    <w:p>
      <w:r>
        <w:rPr>
          <w:b/>
        </w:rPr>
        <w:t xml:space="preserve">13 </w:t>
      </w:r>
      <w:r>
        <w:t xml:space="preserve">A sound of chariots and horsemen, O inhabitant of Lachish</w:t>
      </w:r>
      <w:r>
        <w:rPr>
          <w:rStyle w:val="FootnoteReference"/>
        </w:rPr>
        <w:footnoteReference w:id="13697"/>
      </w:r>
      <w:r>
        <w:t xml:space="preserve">. She is the leader of sin to the daughter of Zion, because in you were found the impieties of Israel.</w:t>
      </w:r>
    </w:p>
    <w:p>
      <w:r>
        <w:rPr>
          <w:b/>
        </w:rPr>
        <w:t xml:space="preserve">14 </w:t>
      </w:r>
      <w:r>
        <w:t xml:space="preserve">Therefore you will give</w:t>
      </w:r>
      <w:r>
        <w:rPr>
          <w:rStyle w:val="FootnoteReference"/>
        </w:rPr>
        <w:footnoteReference w:id="13698"/>
      </w:r>
      <w:r>
        <w:t xml:space="preserve"> those sent out as far as the inheritance of Gath. Vain houses became emptiness to the kings of Israel.</w:t>
      </w:r>
    </w:p>
    <w:p>
      <w:r>
        <w:rPr>
          <w:b/>
        </w:rPr>
        <w:t xml:space="preserve">15 </w:t>
      </w:r>
      <w:r>
        <w:t xml:space="preserve">Until I bring the heirs to you, O inhabitant of Lachish. An inheritance will</w:t>
      </w:r>
      <w:r>
        <w:rPr>
          <w:rStyle w:val="FootnoteReference"/>
        </w:rPr>
        <w:footnoteReference w:id="13699"/>
      </w:r>
      <w:r>
        <w:t xml:space="preserve"> come as far as Adullam, the glory of the daughter of Israel.</w:t>
      </w:r>
    </w:p>
    <w:p>
      <w:r>
        <w:rPr>
          <w:b/>
        </w:rPr>
        <w:t xml:space="preserve">16 </w:t>
      </w:r>
      <w:r>
        <w:t xml:space="preserve">Shave yourself and shear yourself for your tender children; widen your widowhood like an eagle, because they were taken captive from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They became ones devising troubles and working evils on their beds; at dawn they completed them, because they did not lift up their hands to God.</w:t>
      </w:r>
    </w:p>
    <w:p>
      <w:r>
        <w:rPr>
          <w:b/>
        </w:rPr>
        <w:t xml:space="preserve">2 </w:t>
      </w:r>
      <w:r>
        <w:t xml:space="preserve">And they coveted fields and plundered orphans and oppressed houses and plundered a man and his house, a man and his inheritance.</w:t>
      </w:r>
    </w:p>
    <w:p>
      <w:r>
        <w:rPr>
          <w:b/>
        </w:rPr>
        <w:t xml:space="preserve">3 </w:t>
      </w:r>
      <w:r>
        <w:t xml:space="preserve">Therefore thus says the Lord: Behold, I devise evils against this tribe, from which you will not lift up your necks</w:t>
      </w:r>
      <w:r>
        <w:rPr>
          <w:rStyle w:val="FootnoteReference"/>
        </w:rPr>
        <w:footnoteReference w:id="13700"/>
      </w:r>
      <w:r>
        <w:t xml:space="preserve">, and you will not walk upright suddenly, because the time is evil.</w:t>
      </w:r>
    </w:p>
    <w:p>
      <w:r>
        <w:rPr>
          <w:b/>
        </w:rPr>
        <w:t xml:space="preserve">4 </w:t>
      </w:r>
      <w:r>
        <w:t xml:space="preserve">In that day a parable will be taken up against you, and a lamentation will be lamented in song, saying, Misery, we were made miserable. The portion of my people was measured with a line, and there was no one to hinder him from turning it back; our fields were divided.</w:t>
      </w:r>
    </w:p>
    <w:p>
      <w:r>
        <w:rPr>
          <w:b/>
        </w:rPr>
        <w:t xml:space="preserve">5 </w:t>
      </w:r>
      <w:r>
        <w:t xml:space="preserve">Therefore there will not be for you one casting a line by lot in the assembly of the Lord.</w:t>
      </w:r>
    </w:p>
    <w:p>
      <w:r>
        <w:rPr>
          <w:b/>
        </w:rPr>
        <w:t xml:space="preserve">6 </w:t>
      </w:r>
      <w:r>
        <w:t xml:space="preserve">Do not weep with tears, neither let them weep over these things, because reproaches will not be put away.</w:t>
      </w:r>
    </w:p>
    <w:p>
      <w:r>
        <w:rPr>
          <w:b/>
        </w:rPr>
        <w:t xml:space="preserve">7 </w:t>
      </w:r>
      <w:r>
        <w:t xml:space="preserve">You who say, Has the house of Jacob provoked the spirit of the Lord? Are these his practices? Are not his words good with him, and have they walked uprightly?</w:t>
      </w:r>
    </w:p>
    <w:p>
      <w:r>
        <w:rPr>
          <w:b/>
        </w:rPr>
        <w:t xml:space="preserve">8 </w:t>
      </w:r>
      <w:r>
        <w:t xml:space="preserve">And before, my people stood up in enmity against his peace; they flayed his hide to remove hope in the shattering of war.</w:t>
      </w:r>
    </w:p>
    <w:p>
      <w:r>
        <w:rPr>
          <w:b/>
        </w:rPr>
        <w:t xml:space="preserve">9 </w:t>
      </w:r>
      <w:r>
        <w:t xml:space="preserve">Therefore leaders of my people will be cast</w:t>
      </w:r>
      <w:r>
        <w:rPr>
          <w:rStyle w:val="FootnoteReference"/>
        </w:rPr>
        <w:footnoteReference w:id="13701"/>
      </w:r>
      <w:r>
        <w:t xml:space="preserve"> out from their houses of luxury; because of their evil practices they were driven out. Draw near to everlasting mountains.</w:t>
      </w:r>
    </w:p>
    <w:p>
      <w:r>
        <w:rPr>
          <w:b/>
        </w:rPr>
        <w:t xml:space="preserve">10 </w:t>
      </w:r>
      <w:r>
        <w:t xml:space="preserve">Rise up and go, because this is not your rest. Because of uncleanness you were destroyed with destruction.</w:t>
      </w:r>
    </w:p>
    <w:p>
      <w:r>
        <w:rPr>
          <w:b/>
        </w:rPr>
        <w:t xml:space="preserve">11 </w:t>
      </w:r>
      <w:r>
        <w:t xml:space="preserve">You were pursued, with no one pursuing. A spirit set up falsehood and dropped to you for wine and strong drink, and it will be from the drop of this people.</w:t>
      </w:r>
    </w:p>
    <w:p>
      <w:r>
        <w:rPr>
          <w:b/>
        </w:rPr>
        <w:t xml:space="preserve">12 </w:t>
      </w:r>
      <w:r>
        <w:t xml:space="preserve">Jacob will surely be gathered with all; I will surely receive the remnant of Israel. I will set their return together like sheep in distress, like a flock in the midst of their fold; they will spring out from among humans.</w:t>
      </w:r>
    </w:p>
    <w:p>
      <w:r>
        <w:rPr>
          <w:b/>
        </w:rPr>
        <w:t xml:space="preserve">13 </w:t>
      </w:r>
      <w:r>
        <w:t xml:space="preserve">Through the breach before their</w:t>
      </w:r>
      <w:r>
        <w:rPr>
          <w:rStyle w:val="FootnoteReference"/>
        </w:rPr>
        <w:footnoteReference w:id="13702"/>
      </w:r>
      <w:r>
        <w:t xml:space="preserve"> face they broke through and passed through a gate and went out by it, and their king went out before their face, and the Lord will lead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he will say, Hear</w:t>
      </w:r>
      <w:r>
        <w:rPr>
          <w:rStyle w:val="FootnoteReference"/>
        </w:rPr>
        <w:footnoteReference w:id="13703"/>
      </w:r>
      <w:r>
        <w:t xml:space="preserve"> now these things, rulers of the house of Jacob and the remnant of the house of Israel. Is it not for you to know judgment?</w:t>
      </w:r>
    </w:p>
    <w:p>
      <w:r>
        <w:rPr>
          <w:b/>
        </w:rPr>
        <w:t xml:space="preserve">2 </w:t>
      </w:r>
      <w:r>
        <w:t xml:space="preserve">Hating the good things and seeking the evil things, snatching their skins from off them and their flesh from off their bones,</w:t>
      </w:r>
    </w:p>
    <w:p>
      <w:r>
        <w:rPr>
          <w:b/>
        </w:rPr>
        <w:t xml:space="preserve">3 </w:t>
      </w:r>
      <w:r>
        <w:t xml:space="preserve">just as they ate the flesh of my people and flayed their skins from off their bones and crushed their bones and cut them up like flesh for a kettle and like meat for a pot.</w:t>
      </w:r>
    </w:p>
    <w:p>
      <w:r>
        <w:rPr>
          <w:b/>
        </w:rPr>
        <w:t xml:space="preserve">4 </w:t>
      </w:r>
      <w:r>
        <w:t xml:space="preserve">Thus they will cry to the Lord and he will not hear them, and he will turn his face away from them at that time, because they acted wickedly in their practices against themselves.</w:t>
      </w:r>
    </w:p>
    <w:p>
      <w:r>
        <w:rPr>
          <w:b/>
        </w:rPr>
        <w:t xml:space="preserve">5 </w:t>
      </w:r>
      <w:r>
        <w:t xml:space="preserve">Thus says the Lord concerning</w:t>
      </w:r>
      <w:r>
        <w:rPr>
          <w:rStyle w:val="FootnoteReference"/>
        </w:rPr>
        <w:footnoteReference w:id="13704"/>
      </w:r>
      <w:r>
        <w:t xml:space="preserve"> the prophets leading my people astray, biting with their teeth and proclaiming peace over him; and when nothing was given into their mouth, they raised up war against him.</w:t>
      </w:r>
    </w:p>
    <w:p>
      <w:r>
        <w:rPr>
          <w:b/>
        </w:rPr>
        <w:t xml:space="preserve">6 </w:t>
      </w:r>
      <w:r>
        <w:t xml:space="preserve">Therefore night</w:t>
      </w:r>
      <w:r>
        <w:rPr>
          <w:rStyle w:val="FootnoteReference"/>
        </w:rPr>
        <w:footnoteReference w:id="13705"/>
      </w:r>
      <w:r>
        <w:t xml:space="preserve"> will be for you instead of vision, and darkness will be for you instead of divination, and the sun will go down upon the prophets and the day will grow dark over them.</w:t>
      </w:r>
    </w:p>
    <w:p>
      <w:r>
        <w:rPr>
          <w:b/>
        </w:rPr>
        <w:t xml:space="preserve">7 </w:t>
      </w:r>
      <w:r>
        <w:t xml:space="preserve">And the seers</w:t>
      </w:r>
      <w:r>
        <w:rPr>
          <w:rStyle w:val="FootnoteReference"/>
        </w:rPr>
        <w:footnoteReference w:id="13706"/>
      </w:r>
      <w:r>
        <w:t xml:space="preserve"> of dreams will be put to shame, and the diviners will be laughed to scorn, and all of them will speak against them, because there will be no one hearing them.</w:t>
      </w:r>
    </w:p>
    <w:p>
      <w:r>
        <w:rPr>
          <w:b/>
        </w:rPr>
        <w:t xml:space="preserve">8 </w:t>
      </w:r>
      <w:r>
        <w:t xml:space="preserve">But I am filled with strength by the Spirit of the Lord</w:t>
      </w:r>
      <w:r>
        <w:rPr>
          <w:rStyle w:val="FootnoteReference"/>
        </w:rPr>
        <w:footnoteReference w:id="13707"/>
      </w:r>
      <w:r>
        <w:t xml:space="preserve"> and with judgment and power, to declare</w:t>
      </w:r>
      <w:r>
        <w:rPr>
          <w:rStyle w:val="FootnoteReference"/>
        </w:rPr>
        <w:footnoteReference w:id="13708"/>
      </w:r>
      <w:r>
        <w:t xml:space="preserve"> to Jacob his impiety and to Israel his sins.</w:t>
      </w:r>
    </w:p>
    <w:p>
      <w:r>
        <w:rPr>
          <w:b/>
        </w:rPr>
        <w:t xml:space="preserve">9 </w:t>
      </w:r>
      <w:r>
        <w:t xml:space="preserve">Hear now these things, the leaders of the house of Jacob and the remnant of the house of Israel, abhorring judgment and twisting all the straight things,</w:t>
      </w:r>
    </w:p>
    <w:p>
      <w:r>
        <w:rPr>
          <w:b/>
        </w:rPr>
        <w:t xml:space="preserve">10 </w:t>
      </w:r>
      <w:r>
        <w:t xml:space="preserve">the ones building Zion with bloods and Jerusalem with injustices.</w:t>
      </w:r>
    </w:p>
    <w:p>
      <w:r>
        <w:rPr>
          <w:b/>
        </w:rPr>
        <w:t xml:space="preserve">11 </w:t>
      </w:r>
      <w:r>
        <w:t xml:space="preserve">Her leaders judged with gifts, her priests answered for wages, her prophets divined for silver, and they relied upon the Lord saying, Is not the Lord among us? Evils will certainly not come upon us.</w:t>
      </w:r>
    </w:p>
    <w:p>
      <w:r>
        <w:rPr>
          <w:b/>
        </w:rPr>
        <w:t xml:space="preserve">12 </w:t>
      </w:r>
      <w:r>
        <w:t xml:space="preserve">Therefore because of you Zion</w:t>
      </w:r>
      <w:r>
        <w:rPr>
          <w:rStyle w:val="FootnoteReference"/>
        </w:rPr>
        <w:footnoteReference w:id="13709"/>
      </w:r>
      <w:r>
        <w:t xml:space="preserve"> will be plowed like a field and Jerusalem will be as a field-watchman's hut and the mountain of the house as a grove of the forest.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it will be in the last</w:t>
      </w:r>
      <w:r>
        <w:rPr>
          <w:rStyle w:val="FootnoteReference"/>
        </w:rPr>
        <w:footnoteReference w:id="13710"/>
      </w:r>
      <w:r>
        <w:t xml:space="preserve"> days, the mountain of the Lord will be manifest, prepared on the tops of the mountains and lifted above the hills, and the peoples will hasten to it.</w:t>
      </w:r>
    </w:p>
    <w:p>
      <w:r>
        <w:rPr>
          <w:b/>
        </w:rPr>
        <w:t xml:space="preserve">2 </w:t>
      </w:r>
      <w:r>
        <w:t xml:space="preserve">And many nations will go and say</w:t>
      </w:r>
      <w:r>
        <w:rPr>
          <w:rStyle w:val="FootnoteReference"/>
        </w:rPr>
        <w:footnoteReference w:id="13711"/>
      </w:r>
      <w:r>
        <w:t xml:space="preserve">, Come, let us go up to the mountain of the Lord and to the house of the God of Jacob, and they will show us his way and we will walk in his paths, because law will go out from Zion and the word of the Lord from Jerusalem</w:t>
      </w:r>
      <w:r>
        <w:rPr>
          <w:rStyle w:val="FootnoteReference"/>
        </w:rPr>
        <w:footnoteReference w:id="13712"/>
      </w:r>
      <w:r>
        <w:t xml:space="preserve">.</w:t>
      </w:r>
    </w:p>
    <w:p>
      <w:r>
        <w:rPr>
          <w:b/>
        </w:rPr>
        <w:t xml:space="preserve">3 </w:t>
      </w:r>
      <w:r>
        <w:t xml:space="preserve">And he will judge among many peoples and reprove strong nations as far as a far land, and they will beat their swords into plows and their spears into sickles, and nation will no longer lift up sword against nation, and they will no longer learn to war.</w:t>
      </w:r>
    </w:p>
    <w:p>
      <w:r>
        <w:rPr>
          <w:b/>
        </w:rPr>
        <w:t xml:space="preserve">4 </w:t>
      </w:r>
      <w:r>
        <w:t xml:space="preserve">And each will rest under his vine and each under his fig tree, and there will be no one frightening them, because the mouth of the Lord Almighty</w:t>
      </w:r>
      <w:r>
        <w:rPr>
          <w:rStyle w:val="FootnoteReference"/>
        </w:rPr>
        <w:footnoteReference w:id="13713"/>
      </w:r>
      <w:r>
        <w:t xml:space="preserve"> spoke these things.</w:t>
      </w:r>
    </w:p>
    <w:p>
      <w:r>
        <w:rPr>
          <w:b/>
        </w:rPr>
        <w:t xml:space="preserve">5 </w:t>
      </w:r>
      <w:r>
        <w:t xml:space="preserve">Because all the peoples will walk, each in his own way, but we will walk in the name</w:t>
      </w:r>
      <w:r>
        <w:rPr>
          <w:rStyle w:val="FootnoteReference"/>
        </w:rPr>
        <w:footnoteReference w:id="13714"/>
      </w:r>
      <w:r>
        <w:t xml:space="preserve"> of the Lord our God forever and beyond.</w:t>
      </w:r>
    </w:p>
    <w:p>
      <w:r>
        <w:rPr>
          <w:b/>
        </w:rPr>
        <w:t xml:space="preserve">6 </w:t>
      </w:r>
      <w:r>
        <w:t xml:space="preserve">In that day, says the Lord, I will gather the crushed one and receive the driven-out and those whom I rejected.</w:t>
      </w:r>
    </w:p>
    <w:p>
      <w:r>
        <w:rPr>
          <w:b/>
        </w:rPr>
        <w:t xml:space="preserve">7 </w:t>
      </w:r>
      <w:r>
        <w:t xml:space="preserve">And I will make the crushed one a remnant and the driven-out a strong nation, and the Lord will reign over them on Mount Zion from now and forever.</w:t>
      </w:r>
    </w:p>
    <w:p>
      <w:r>
        <w:rPr>
          <w:b/>
        </w:rPr>
        <w:t xml:space="preserve">8 </w:t>
      </w:r>
      <w:r>
        <w:t xml:space="preserve">And you, dim tower of a flock, daughter of Zion, upon you it will come, and the first</w:t>
      </w:r>
      <w:r>
        <w:rPr>
          <w:rStyle w:val="FootnoteReference"/>
        </w:rPr>
        <w:footnoteReference w:id="13715"/>
      </w:r>
      <w:r>
        <w:t xml:space="preserve"> rule will enter, a kingdom from Babylon to the daughter of Jerusalem.</w:t>
      </w:r>
    </w:p>
    <w:p>
      <w:r>
        <w:rPr>
          <w:b/>
        </w:rPr>
        <w:t xml:space="preserve">9 </w:t>
      </w:r>
      <w:r>
        <w:t xml:space="preserve">And now why did you know evils? Was there no king for you, or has your counsel perished, because labor pains seized you like a woman giving birth?</w:t>
      </w:r>
    </w:p>
    <w:p>
      <w:r>
        <w:rPr>
          <w:b/>
        </w:rPr>
        <w:t xml:space="preserve">10 </w:t>
      </w:r>
      <w:r>
        <w:t xml:space="preserve">Be in labor and act like a man and draw near, O daughter of Zion, like a woman giving birth, because now you will go out from the city and camp in the plain and reach as far as Babylon. There the Lord your God will rescue you; there he will redeem</w:t>
      </w:r>
      <w:r>
        <w:rPr>
          <w:rStyle w:val="FootnoteReference"/>
        </w:rPr>
        <w:footnoteReference w:id="13716"/>
      </w:r>
      <w:r>
        <w:t xml:space="preserve"> you from the hand of your enemies.</w:t>
      </w:r>
    </w:p>
    <w:p>
      <w:r>
        <w:rPr>
          <w:b/>
        </w:rPr>
        <w:t xml:space="preserve">11 </w:t>
      </w:r>
      <w:r>
        <w:t xml:space="preserve">And now many nations were gathered against you, saying, We will rejoice, and our eyes will look upon Zion.</w:t>
      </w:r>
    </w:p>
    <w:p>
      <w:r>
        <w:rPr>
          <w:b/>
        </w:rPr>
        <w:t xml:space="preserve">12 </w:t>
      </w:r>
      <w:r>
        <w:t xml:space="preserve">But they did not know the thought of the Lord and did not understand his counsel, because he gathered them like sheaves of the threshing floor.</w:t>
      </w:r>
    </w:p>
    <w:p>
      <w:r>
        <w:rPr>
          <w:b/>
        </w:rPr>
        <w:t xml:space="preserve">13 </w:t>
      </w:r>
      <w:r>
        <w:t xml:space="preserve">Rise up and thresh</w:t>
      </w:r>
      <w:r>
        <w:rPr>
          <w:rStyle w:val="FootnoteReference"/>
        </w:rPr>
        <w:footnoteReference w:id="13717"/>
      </w:r>
      <w:r>
        <w:t xml:space="preserve"> them, O daughter of Zion, because I will make your horns iron and your hoofs bronze, and in them you will crush many nations and devote their multitude to the Lord and their strength to the Lord of all the earth.</w:t>
      </w:r>
    </w:p>
    <w:p>
      <w:r>
        <w:rPr>
          <w:b/>
        </w:rPr>
        <w:t xml:space="preserve">14 </w:t>
      </w:r>
      <w:r>
        <w:t xml:space="preserve">Now the daughter of Ephraim will be fenced in with a fence. He set distress upon us; with a rod they will strike the tribes of Israel on the jaw.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you, Bethlehem</w:t>
      </w:r>
      <w:r>
        <w:rPr>
          <w:rStyle w:val="FootnoteReference"/>
        </w:rPr>
        <w:footnoteReference w:id="13718"/>
      </w:r>
      <w:r>
        <w:t xml:space="preserve">, house of Ephrathah, few are you to be among thousands of Judah; from you one will go out to me to be ruler in Israel, and his goings out are from the beginning, from the days of age.</w:t>
      </w:r>
    </w:p>
    <w:p>
      <w:r>
        <w:rPr>
          <w:b/>
        </w:rPr>
        <w:t xml:space="preserve">2 </w:t>
      </w:r>
      <w:r>
        <w:t xml:space="preserve">Therefore he will give them until the time when she who gives birth gives birth, and the rest of their brothers will return upon the sons of Israel.</w:t>
      </w:r>
    </w:p>
    <w:p>
      <w:r>
        <w:rPr>
          <w:b/>
        </w:rPr>
        <w:t xml:space="preserve">3 </w:t>
      </w:r>
      <w:r>
        <w:t xml:space="preserve">And he will stand and see and shepherd his flock</w:t>
      </w:r>
      <w:r>
        <w:rPr>
          <w:rStyle w:val="FootnoteReference"/>
        </w:rPr>
        <w:footnoteReference w:id="13719"/>
      </w:r>
      <w:r>
        <w:t xml:space="preserve"> in the strength of the Lord and in the glory of the name of the Lord their God. They will remain, because now he will be made great to the ends of the earth.</w:t>
      </w:r>
    </w:p>
    <w:p>
      <w:r>
        <w:rPr>
          <w:b/>
        </w:rPr>
        <w:t xml:space="preserve">4 </w:t>
      </w:r>
      <w:r>
        <w:t xml:space="preserve">And this will be peace when Assyrian comes upon your land and steps upon your country. And seven shepherds and eight bites of men will be raised up against him.</w:t>
      </w:r>
    </w:p>
    <w:p>
      <w:r>
        <w:rPr>
          <w:b/>
        </w:rPr>
        <w:t xml:space="preserve">5 </w:t>
      </w:r>
      <w:r>
        <w:t xml:space="preserve">And they will shepherd Assyria with a sword and the land of Nimrod in its trench, and he will rescue from Assyria when he comes upon your land and steps upon your borders.</w:t>
      </w:r>
    </w:p>
    <w:p>
      <w:r>
        <w:rPr>
          <w:b/>
        </w:rPr>
        <w:t xml:space="preserve">6 </w:t>
      </w:r>
      <w:r>
        <w:t xml:space="preserve">And the remnant of Jacob among the nations, in the midst of many peoples, will be like dew from the Lord falling and like lambs upon grass, so that no one might be gathered and no one might stand among the sons of men.</w:t>
      </w:r>
    </w:p>
    <w:p>
      <w:r>
        <w:rPr>
          <w:b/>
        </w:rPr>
        <w:t xml:space="preserve">7 </w:t>
      </w:r>
      <w:r>
        <w:t xml:space="preserve">And the remnant</w:t>
      </w:r>
      <w:r>
        <w:rPr>
          <w:rStyle w:val="FootnoteReference"/>
        </w:rPr>
        <w:footnoteReference w:id="13720"/>
      </w:r>
      <w:r>
        <w:t xml:space="preserve"> of Jacob among the nations and in the midst of many peoples will be like a lion among beasts of the forest and like a lion-cub among flocks of sheep, which when he passes through and divides will seize, and there is no rescuer.</w:t>
      </w:r>
    </w:p>
    <w:p>
      <w:r>
        <w:rPr>
          <w:b/>
        </w:rPr>
        <w:t xml:space="preserve">8 </w:t>
      </w:r>
      <w:r>
        <w:t xml:space="preserve">Your hand will be lifted up upon those distressing you, and all your enemies will be destroyed.</w:t>
      </w:r>
    </w:p>
    <w:p>
      <w:r>
        <w:rPr>
          <w:b/>
        </w:rPr>
        <w:t xml:space="preserve">9 </w:t>
      </w:r>
      <w:r>
        <w:t xml:space="preserve">And it will be in that day, says the Lord, I will destroy your horses from your midst and destroy your chariots.</w:t>
      </w:r>
    </w:p>
    <w:p>
      <w:r>
        <w:rPr>
          <w:b/>
        </w:rPr>
        <w:t xml:space="preserve">10 </w:t>
      </w:r>
      <w:r>
        <w:t xml:space="preserve">And I will destroy the cities of your land and remove all your strongholds.</w:t>
      </w:r>
    </w:p>
    <w:p>
      <w:r>
        <w:rPr>
          <w:b/>
        </w:rPr>
        <w:t xml:space="preserve">11 </w:t>
      </w:r>
      <w:r>
        <w:t xml:space="preserve">And I will remove your sorceries from your hands, and there will be no omen-speakers in you.</w:t>
      </w:r>
    </w:p>
    <w:p>
      <w:r>
        <w:rPr>
          <w:b/>
        </w:rPr>
        <w:t xml:space="preserve">12 </w:t>
      </w:r>
      <w:r>
        <w:t xml:space="preserve">And I will destroy your carved images and your pillars from your midst, and you will no longer worship the works of your hands.</w:t>
      </w:r>
    </w:p>
    <w:p>
      <w:r>
        <w:rPr>
          <w:b/>
        </w:rPr>
        <w:t xml:space="preserve">13 </w:t>
      </w:r>
      <w:r>
        <w:t xml:space="preserve">And I will cut down your groves from your midst and make your cities disappear.</w:t>
      </w:r>
    </w:p>
    <w:p>
      <w:r>
        <w:rPr>
          <w:b/>
        </w:rPr>
        <w:t xml:space="preserve">14 </w:t>
      </w:r>
      <w:r>
        <w:t xml:space="preserve">And I will do vengeance in anger and in wrath among the nations because they did not hear.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Hear now the word of the Lord. The Lord said, Rise up, plead with the mountains, and let the hills hear your voice.</w:t>
      </w:r>
    </w:p>
    <w:p>
      <w:r>
        <w:rPr>
          <w:b/>
        </w:rPr>
        <w:t xml:space="preserve">2 </w:t>
      </w:r>
      <w:r>
        <w:t xml:space="preserve">Hear, O mountains, the judgment of the Lord, and the ravines, foundations</w:t>
      </w:r>
      <w:r>
        <w:rPr>
          <w:rStyle w:val="FootnoteReference"/>
        </w:rPr>
        <w:footnoteReference w:id="13721"/>
      </w:r>
      <w:r>
        <w:t xml:space="preserve"> of the earth, because the Lord has judgment with his people, and with Israel he will dispute.</w:t>
      </w:r>
    </w:p>
    <w:p>
      <w:r>
        <w:rPr>
          <w:b/>
        </w:rPr>
        <w:t xml:space="preserve">3 </w:t>
      </w:r>
      <w:r>
        <w:t xml:space="preserve">O my</w:t>
      </w:r>
      <w:r>
        <w:rPr>
          <w:rStyle w:val="FootnoteReference"/>
        </w:rPr>
        <w:footnoteReference w:id="13722"/>
      </w:r>
      <w:r>
        <w:t xml:space="preserve"> people, what did I do to you? Or how did I grieve you? Or how did I trouble you? Answer me.</w:t>
      </w:r>
    </w:p>
    <w:p>
      <w:r>
        <w:rPr>
          <w:b/>
        </w:rPr>
        <w:t xml:space="preserve">4 </w:t>
      </w:r>
      <w:r>
        <w:t xml:space="preserve">Because I brought</w:t>
      </w:r>
      <w:r>
        <w:rPr>
          <w:rStyle w:val="FootnoteReference"/>
        </w:rPr>
        <w:footnoteReference w:id="13723"/>
      </w:r>
      <w:r>
        <w:t xml:space="preserve"> you up from the land of Egypt and redeemed you from the house of slavery and sent before your face Moses and Aaron and Miriam.</w:t>
      </w:r>
    </w:p>
    <w:p>
      <w:r>
        <w:rPr>
          <w:b/>
        </w:rPr>
        <w:t xml:space="preserve">5 </w:t>
      </w:r>
      <w:r>
        <w:t xml:space="preserve">O my people, remember</w:t>
      </w:r>
      <w:r>
        <w:rPr>
          <w:rStyle w:val="FootnoteReference"/>
        </w:rPr>
        <w:footnoteReference w:id="13724"/>
      </w:r>
      <w:r>
        <w:t xml:space="preserve"> now what Balak king of Moab planned against you and what Balaam son of Beor answered him, from the reeds to Gilgal, so that the righteousness of the Lord may be known.</w:t>
      </w:r>
    </w:p>
    <w:p>
      <w:r>
        <w:rPr>
          <w:b/>
        </w:rPr>
        <w:t xml:space="preserve">6 </w:t>
      </w:r>
      <w:r>
        <w:t xml:space="preserve">In what shall I overtake the Lord? Shall I lay hold of my God Most High? Shall I lay hold of him with burnt offerings, with year-old calves?</w:t>
      </w:r>
    </w:p>
    <w:p>
      <w:r>
        <w:rPr>
          <w:b/>
        </w:rPr>
        <w:t xml:space="preserve">7 </w:t>
      </w:r>
      <w:r>
        <w:t xml:space="preserve">Will the Lord accept thousands of rams or tens of thousands of torrents of fat? Shall I give my firstborn for impiety, the fruit of my womb for the sin of my soul</w:t>
      </w:r>
      <w:r>
        <w:rPr>
          <w:rStyle w:val="FootnoteReference"/>
        </w:rPr>
        <w:footnoteReference w:id="13725"/>
      </w:r>
      <w:r>
        <w:t xml:space="preserve">?</w:t>
      </w:r>
    </w:p>
    <w:p>
      <w:r>
        <w:rPr>
          <w:b/>
        </w:rPr>
        <w:t xml:space="preserve">8 </w:t>
      </w:r>
      <w:r>
        <w:t xml:space="preserve">He told you, O human, what is</w:t>
      </w:r>
      <w:r>
        <w:rPr>
          <w:rStyle w:val="FootnoteReference"/>
        </w:rPr>
        <w:footnoteReference w:id="13726"/>
      </w:r>
      <w:r>
        <w:t xml:space="preserve"> good, or what the Lord seeks from you: but to do judgment and love mercy and be ready to walk with the Lord your God</w:t>
      </w:r>
      <w:r>
        <w:rPr>
          <w:rStyle w:val="FootnoteReference"/>
        </w:rPr>
        <w:footnoteReference w:id="13727"/>
      </w:r>
      <w:r>
        <w:t xml:space="preserve">.</w:t>
      </w:r>
    </w:p>
    <w:p>
      <w:r>
        <w:rPr>
          <w:b/>
        </w:rPr>
        <w:t xml:space="preserve">9 </w:t>
      </w:r>
      <w:r>
        <w:t xml:space="preserve">The voice of the Lord will be called to the city and will save those fearing his name. Hear</w:t>
      </w:r>
      <w:r>
        <w:rPr>
          <w:rStyle w:val="FootnoteReference"/>
        </w:rPr>
        <w:footnoteReference w:id="13728"/>
      </w:r>
      <w:r>
        <w:t xml:space="preserve">, O tribe, and who will adorn the city?</w:t>
      </w:r>
    </w:p>
    <w:p>
      <w:r>
        <w:rPr>
          <w:b/>
        </w:rPr>
        <w:t xml:space="preserve">10 </w:t>
      </w:r>
      <w:r>
        <w:t xml:space="preserve">Is there not fire and a house of a lawless one treasuring unlawful treasures and injustice with arrogance?</w:t>
      </w:r>
    </w:p>
    <w:p>
      <w:r>
        <w:rPr>
          <w:b/>
        </w:rPr>
        <w:t xml:space="preserve">11 </w:t>
      </w:r>
      <w:r>
        <w:t xml:space="preserve">Shall a lawless one be justified with a balance and with a bag of deceitful weights?</w:t>
      </w:r>
    </w:p>
    <w:p>
      <w:r>
        <w:rPr>
          <w:b/>
        </w:rPr>
        <w:t xml:space="preserve">12 </w:t>
      </w:r>
      <w:r>
        <w:t xml:space="preserve">From these they filled their wealth with impiety, and the ones inhabiting it spoke lies, and their tongue was exalted in their mouth.</w:t>
      </w:r>
    </w:p>
    <w:p>
      <w:r>
        <w:rPr>
          <w:b/>
        </w:rPr>
        <w:t xml:space="preserve">13 </w:t>
      </w:r>
      <w:r>
        <w:t xml:space="preserve">And I will begin to strike you; I will make you disappear for your sins.</w:t>
      </w:r>
    </w:p>
    <w:p>
      <w:r>
        <w:rPr>
          <w:b/>
        </w:rPr>
        <w:t xml:space="preserve">14 </w:t>
      </w:r>
      <w:r>
        <w:t xml:space="preserve">You will eat and certainly not be filled, and darkness will be in you, and you will move aside and certainly not be saved, and as many as are saved will be given to the sword.</w:t>
      </w:r>
    </w:p>
    <w:p>
      <w:r>
        <w:rPr>
          <w:b/>
        </w:rPr>
        <w:t xml:space="preserve">15 </w:t>
      </w:r>
      <w:r>
        <w:t xml:space="preserve">You will sow and certainly not reap; you will press olives and certainly not anoint with oil, and wine and certainly not drink. The statutes of my people will disappear.</w:t>
      </w:r>
    </w:p>
    <w:p>
      <w:r>
        <w:rPr>
          <w:b/>
        </w:rPr>
        <w:t xml:space="preserve">16 </w:t>
      </w:r>
      <w:r>
        <w:t xml:space="preserve">And you kept the ordinances of Zambri</w:t>
      </w:r>
      <w:r>
        <w:rPr>
          <w:rStyle w:val="FootnoteReference"/>
        </w:rPr>
        <w:footnoteReference w:id="13729"/>
      </w:r>
      <w:r>
        <w:t xml:space="preserve"> and all the works</w:t>
      </w:r>
      <w:r>
        <w:rPr>
          <w:rStyle w:val="FootnoteReference"/>
        </w:rPr>
        <w:footnoteReference w:id="13730"/>
      </w:r>
      <w:r>
        <w:t xml:space="preserve"> of the house of Ahab and walked in their counsels, so that I may give you to destruction and the ones inhabiting it to hissing, and you will receive reproaches of peoples.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Alas for me, because I became like one gathering stubble in harvest and like gleaning in vintage, there being no cluster for eating first-ripe fruit. Alas, my soul!</w:t>
      </w:r>
    </w:p>
    <w:p>
      <w:r>
        <w:rPr>
          <w:b/>
        </w:rPr>
        <w:t xml:space="preserve">2 </w:t>
      </w:r>
      <w:r>
        <w:t xml:space="preserve">Because a reverent one has perished from the earth, and an upright one among humans does not exist. All judge for bloods; each oppresses his neighbor with oppression.</w:t>
      </w:r>
    </w:p>
    <w:p>
      <w:r>
        <w:rPr>
          <w:b/>
        </w:rPr>
        <w:t xml:space="preserve">3 </w:t>
      </w:r>
      <w:r>
        <w:t xml:space="preserve">For evil they prepare their hands. The ruler asks, and the judge spoke peaceful words. The desire of his soul is there, and I will remove it.</w:t>
      </w:r>
    </w:p>
    <w:p>
      <w:r>
        <w:rPr>
          <w:b/>
        </w:rPr>
        <w:t xml:space="preserve">4 </w:t>
      </w:r>
      <w:r>
        <w:t xml:space="preserve">Their good things are like a moth devouring and like one walking upon a measuring line. In the day of your watch, woe, woe, your avengings have come; now their weepings will be.</w:t>
      </w:r>
    </w:p>
    <w:p>
      <w:r>
        <w:rPr>
          <w:b/>
        </w:rPr>
        <w:t xml:space="preserve">5 </w:t>
      </w:r>
      <w:r>
        <w:t xml:space="preserve">Do not trust in friends and do not hope in rulers. From the woman lying in your bosom, guard yourself from entrusting anything to her.</w:t>
      </w:r>
    </w:p>
    <w:p>
      <w:r>
        <w:rPr>
          <w:b/>
        </w:rPr>
        <w:t xml:space="preserve">6 </w:t>
      </w:r>
      <w:r>
        <w:t xml:space="preserve">Because a son dishonors his father, a daughter will rise against her mother, a bride against her mother-in-law, and the enemies of a man are all the men in his house.</w:t>
      </w:r>
    </w:p>
    <w:p>
      <w:r>
        <w:rPr>
          <w:b/>
        </w:rPr>
        <w:t xml:space="preserve">7 </w:t>
      </w:r>
      <w:r>
        <w:t xml:space="preserve">But I will look</w:t>
      </w:r>
      <w:r>
        <w:rPr>
          <w:rStyle w:val="FootnoteReference"/>
        </w:rPr>
        <w:footnoteReference w:id="13731"/>
      </w:r>
      <w:r>
        <w:t xml:space="preserve"> to the Lord; I will wait for God my savior</w:t>
      </w:r>
      <w:r>
        <w:rPr>
          <w:rStyle w:val="FootnoteReference"/>
        </w:rPr>
        <w:footnoteReference w:id="13732"/>
      </w:r>
      <w:r>
        <w:t xml:space="preserve">; my God will hear me.</w:t>
      </w:r>
    </w:p>
    <w:p>
      <w:r>
        <w:rPr>
          <w:b/>
        </w:rPr>
        <w:t xml:space="preserve">8 </w:t>
      </w:r>
      <w:r>
        <w:t xml:space="preserve">Do not rejoice</w:t>
      </w:r>
      <w:r>
        <w:rPr>
          <w:rStyle w:val="FootnoteReference"/>
        </w:rPr>
        <w:footnoteReference w:id="13733"/>
      </w:r>
      <w:r>
        <w:t xml:space="preserve"> over me, my enemy, because I have fallen and will rise. For if I sit in the darkness, the Lord will give light to me.</w:t>
      </w:r>
    </w:p>
    <w:p>
      <w:r>
        <w:rPr>
          <w:b/>
        </w:rPr>
        <w:t xml:space="preserve">9 </w:t>
      </w:r>
      <w:r>
        <w:t xml:space="preserve">I will bear</w:t>
      </w:r>
      <w:r>
        <w:rPr>
          <w:rStyle w:val="FootnoteReference"/>
        </w:rPr>
        <w:footnoteReference w:id="13734"/>
      </w:r>
      <w:r>
        <w:t xml:space="preserve"> the wrath of the Lord because I sinned against him, until he justifies my case and does my judgment, and he will bring me out into the light; I will see his righteousness.</w:t>
      </w:r>
    </w:p>
    <w:p>
      <w:r>
        <w:rPr>
          <w:b/>
        </w:rPr>
        <w:t xml:space="preserve">10 </w:t>
      </w:r>
      <w:r>
        <w:t xml:space="preserve">And my enemy will see and will clothe herself with shame</w:t>
      </w:r>
      <w:r>
        <w:rPr>
          <w:rStyle w:val="FootnoteReference"/>
        </w:rPr>
        <w:footnoteReference w:id="13735"/>
      </w:r>
      <w:r>
        <w:t xml:space="preserve">, she who says to me, Where is the Lord your God? My eyes will look upon her; now she will be for trampling like mud in the roads.</w:t>
      </w:r>
    </w:p>
    <w:p>
      <w:r>
        <w:rPr>
          <w:b/>
        </w:rPr>
        <w:t xml:space="preserve">11 </w:t>
      </w:r>
      <w:r>
        <w:t xml:space="preserve">A day of smearing brick is your wiping away; that is the day, and your statutes will be rubbed away.</w:t>
      </w:r>
    </w:p>
    <w:p>
      <w:r>
        <w:rPr>
          <w:b/>
        </w:rPr>
        <w:t xml:space="preserve">12 </w:t>
      </w:r>
      <w:r>
        <w:t xml:space="preserve">That day, your cities also</w:t>
      </w:r>
      <w:r>
        <w:rPr>
          <w:rStyle w:val="FootnoteReference"/>
        </w:rPr>
        <w:footnoteReference w:id="13736"/>
      </w:r>
      <w:r>
        <w:t xml:space="preserve"> will come to leveling and to a partition of Assyrians, and your fortified cities to a partition from Tyre to the river of Syria, a day of water and turmoil.</w:t>
      </w:r>
    </w:p>
    <w:p>
      <w:r>
        <w:rPr>
          <w:b/>
        </w:rPr>
        <w:t xml:space="preserve">13 </w:t>
      </w:r>
      <w:r>
        <w:t xml:space="preserve">And the earth will be for destruction with the ones inhabiting it, because of the fruits of their practices.</w:t>
      </w:r>
    </w:p>
    <w:p>
      <w:r>
        <w:rPr>
          <w:b/>
        </w:rPr>
        <w:t xml:space="preserve">14 </w:t>
      </w:r>
      <w:r>
        <w:t xml:space="preserve">Shepherd your people with your rod, the sheep of your inheritance, dwelling by themselves in the forest in the midst</w:t>
      </w:r>
      <w:r>
        <w:rPr>
          <w:rStyle w:val="FootnoteReference"/>
        </w:rPr>
        <w:footnoteReference w:id="13737"/>
      </w:r>
      <w:r>
        <w:t xml:space="preserve"> of Carmel; they will pasture Bashan and Gilead as days of age.</w:t>
      </w:r>
    </w:p>
    <w:p>
      <w:r>
        <w:rPr>
          <w:b/>
        </w:rPr>
        <w:t xml:space="preserve">15 </w:t>
      </w:r>
      <w:r>
        <w:t xml:space="preserve">According to the days of your departure from Egypt, you will see wonders.</w:t>
      </w:r>
    </w:p>
    <w:p>
      <w:r>
        <w:rPr>
          <w:b/>
        </w:rPr>
        <w:t xml:space="preserve">16 </w:t>
      </w:r>
      <w:r>
        <w:t xml:space="preserve">Nations</w:t>
      </w:r>
      <w:r>
        <w:rPr>
          <w:rStyle w:val="FootnoteReference"/>
        </w:rPr>
        <w:footnoteReference w:id="13738"/>
      </w:r>
      <w:r>
        <w:t xml:space="preserve"> will see and be ashamed from all their strength; they will put their hands on their mouth, and their ears will be deafened.</w:t>
      </w:r>
    </w:p>
    <w:p>
      <w:r>
        <w:rPr>
          <w:b/>
        </w:rPr>
        <w:t xml:space="preserve">17 </w:t>
      </w:r>
      <w:r>
        <w:t xml:space="preserve">They will lick</w:t>
      </w:r>
      <w:r>
        <w:rPr>
          <w:rStyle w:val="FootnoteReference"/>
        </w:rPr>
        <w:footnoteReference w:id="13739"/>
      </w:r>
      <w:r>
        <w:t xml:space="preserve"> dust like serpents dragging earth; they will be confounded in their confinement. At the Lord our God they will be amazed and fear because of you.</w:t>
      </w:r>
    </w:p>
    <w:p>
      <w:r>
        <w:rPr>
          <w:b/>
        </w:rPr>
        <w:t xml:space="preserve">18 </w:t>
      </w:r>
      <w:r>
        <w:t xml:space="preserve">Who is a God</w:t>
      </w:r>
      <w:r>
        <w:rPr>
          <w:rStyle w:val="FootnoteReference"/>
        </w:rPr>
        <w:footnoteReference w:id="13740"/>
      </w:r>
      <w:r>
        <w:t xml:space="preserve"> like you, removing injustices and passing over impiety for the remnant of his inheritance? He did not hold back his anger for witness, because he delights in mercy.</w:t>
      </w:r>
    </w:p>
    <w:p>
      <w:r>
        <w:rPr>
          <w:b/>
        </w:rPr>
        <w:t xml:space="preserve">19 </w:t>
      </w:r>
      <w:r>
        <w:t xml:space="preserve">He himself will turn</w:t>
      </w:r>
      <w:r>
        <w:rPr>
          <w:rStyle w:val="FootnoteReference"/>
        </w:rPr>
        <w:footnoteReference w:id="13741"/>
      </w:r>
      <w:r>
        <w:t xml:space="preserve"> and pity us; he will sink our injustices, and all our sins will be cast into the depths of the sea.</w:t>
      </w:r>
    </w:p>
    <w:p>
      <w:r>
        <w:rPr>
          <w:b/>
        </w:rPr>
        <w:t xml:space="preserve">20 </w:t>
      </w:r>
      <w:r>
        <w:t xml:space="preserve">You will give truth to Jacob and mercy to Abraham, just as you swore to our fathers in former days.</w:t>
      </w:r>
    </w:p>
    <w:p>
      <w:r>
        <w:br w:type="page"/>
      </w:r>
    </w:p>
    <w:p>
      <w:pPr>
        <w:pStyle w:val="Heading1"/>
      </w:pPr>
      <w:r>
        <w:t xml:space="preserve">Nahum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Oracle of Nineveh</w:t>
      </w:r>
      <w:r>
        <w:rPr>
          <w:rStyle w:val="FootnoteReference"/>
        </w:rPr>
        <w:footnoteReference w:id="13742"/>
      </w:r>
      <w:r>
        <w:t xml:space="preserve">. Book of the vision of Nahum</w:t>
      </w:r>
      <w:r>
        <w:rPr>
          <w:rStyle w:val="FootnoteReference"/>
        </w:rPr>
        <w:footnoteReference w:id="13743"/>
      </w:r>
      <w:r>
        <w:t xml:space="preserve"> the Elkoshite</w:t>
      </w:r>
      <w:r>
        <w:rPr>
          <w:rStyle w:val="FootnoteReference"/>
        </w:rPr>
        <w:footnoteReference w:id="13744"/>
      </w:r>
      <w:r>
        <w:t xml:space="preserve">.</w:t>
      </w:r>
    </w:p>
    <w:p>
      <w:r>
        <w:rPr>
          <w:b/>
        </w:rPr>
        <w:t xml:space="preserve">2 </w:t>
      </w:r>
      <w:r>
        <w:t xml:space="preserve">God is jealous and avenging</w:t>
      </w:r>
      <w:r>
        <w:rPr>
          <w:rStyle w:val="FootnoteReference"/>
        </w:rPr>
        <w:footnoteReference w:id="13745"/>
      </w:r>
      <w:r>
        <w:t xml:space="preserve">; the Lord avenges with wrath. The Lord avenges his adversaries, and he himself removes his enemies.</w:t>
      </w:r>
    </w:p>
    <w:p>
      <w:r>
        <w:rPr>
          <w:b/>
        </w:rPr>
        <w:t xml:space="preserve">3 </w:t>
      </w:r>
      <w:r>
        <w:t xml:space="preserve">The Lord is long-suffering, and great is his strength, and acquitting he will not acquit</w:t>
      </w:r>
      <w:r>
        <w:rPr>
          <w:rStyle w:val="FootnoteReference"/>
        </w:rPr>
        <w:footnoteReference w:id="13746"/>
      </w:r>
      <w:r>
        <w:t xml:space="preserve">. The Lord's way is in an end and in a shaking, and clouds are dust of his feet.</w:t>
      </w:r>
    </w:p>
    <w:p>
      <w:r>
        <w:rPr>
          <w:b/>
        </w:rPr>
        <w:t xml:space="preserve">4 </w:t>
      </w:r>
      <w:r>
        <w:t xml:space="preserve">Threatening the sea and drying it up, and making all the rivers desolate. Basanitis and Carmel were diminished, and the blossoming things of Lebanon failed.</w:t>
      </w:r>
    </w:p>
    <w:p>
      <w:r>
        <w:rPr>
          <w:b/>
        </w:rPr>
        <w:t xml:space="preserve">5 </w:t>
      </w:r>
      <w:r>
        <w:t xml:space="preserve">The mountains</w:t>
      </w:r>
      <w:r>
        <w:rPr>
          <w:rStyle w:val="FootnoteReference"/>
        </w:rPr>
        <w:footnoteReference w:id="13747"/>
      </w:r>
      <w:r>
        <w:t xml:space="preserve"> were shaken from him, and the hills were moved, and the earth was drawn back from before his face, the whole of it and all the ones dwelling in it.</w:t>
      </w:r>
    </w:p>
    <w:p>
      <w:r>
        <w:rPr>
          <w:b/>
        </w:rPr>
        <w:t xml:space="preserve">6 </w:t>
      </w:r>
      <w:r>
        <w:t xml:space="preserve">From before the face of his anger who will stand? And who will resist in the anger of his wrath? His wrath melts authorities, and the rocks were crushed from him.</w:t>
      </w:r>
    </w:p>
    <w:p>
      <w:r>
        <w:rPr>
          <w:b/>
        </w:rPr>
        <w:t xml:space="preserve">7 </w:t>
      </w:r>
      <w:r>
        <w:t xml:space="preserve">The Lord is good to those waiting for him in the day of distress</w:t>
      </w:r>
      <w:r>
        <w:rPr>
          <w:rStyle w:val="FootnoteReference"/>
        </w:rPr>
        <w:footnoteReference w:id="13748"/>
      </w:r>
      <w:r>
        <w:t xml:space="preserve">, and he knows those revering him.</w:t>
      </w:r>
    </w:p>
    <w:p>
      <w:r>
        <w:rPr>
          <w:b/>
        </w:rPr>
        <w:t xml:space="preserve">8 </w:t>
      </w:r>
      <w:r>
        <w:t xml:space="preserve">With overflowing flood he will make an end of the ones rising up, and darkness</w:t>
      </w:r>
      <w:r>
        <w:rPr>
          <w:rStyle w:val="FootnoteReference"/>
        </w:rPr>
        <w:footnoteReference w:id="13749"/>
      </w:r>
      <w:r>
        <w:t xml:space="preserve"> will pursue his enemies.</w:t>
      </w:r>
    </w:p>
    <w:p>
      <w:r>
        <w:rPr>
          <w:b/>
        </w:rPr>
        <w:t xml:space="preserve">9 </w:t>
      </w:r>
      <w:r>
        <w:t xml:space="preserve">What do you plot against the Lord? He himself will make an end; he will not take vengeance twice upon the same thing in distress</w:t>
      </w:r>
      <w:r>
        <w:rPr>
          <w:rStyle w:val="FootnoteReference"/>
        </w:rPr>
        <w:footnoteReference w:id="13750"/>
      </w:r>
      <w:r>
        <w:t xml:space="preserve">.</w:t>
      </w:r>
    </w:p>
    <w:p>
      <w:r>
        <w:rPr>
          <w:b/>
        </w:rPr>
        <w:t xml:space="preserve">10 </w:t>
      </w:r>
      <w:r>
        <w:t xml:space="preserve">Because as far as their foundation they will be made desolate, and like tangled bindweed they will be devoured, like stubble full of dryness.</w:t>
      </w:r>
    </w:p>
    <w:p>
      <w:r>
        <w:rPr>
          <w:b/>
        </w:rPr>
        <w:t xml:space="preserve">11 </w:t>
      </w:r>
      <w:r>
        <w:t xml:space="preserve">From you a plot against the Lord will come out, devising evil hostile things.</w:t>
      </w:r>
    </w:p>
    <w:p>
      <w:r>
        <w:rPr>
          <w:b/>
        </w:rPr>
        <w:t xml:space="preserve">12 </w:t>
      </w:r>
      <w:r>
        <w:t xml:space="preserve">Thus says the Lord, who rules over many waters: Even thus they will be sent away, and your report will no longer be heard.</w:t>
      </w:r>
    </w:p>
    <w:p>
      <w:r>
        <w:rPr>
          <w:b/>
        </w:rPr>
        <w:t xml:space="preserve">13 </w:t>
      </w:r>
      <w:r>
        <w:t xml:space="preserve">Now I will break his rod from upon you, and your bonds I will tear apart.</w:t>
      </w:r>
    </w:p>
    <w:p>
      <w:r>
        <w:rPr>
          <w:b/>
        </w:rPr>
        <w:t xml:space="preserve">14 </w:t>
      </w:r>
      <w:r>
        <w:t xml:space="preserve">And the Lord will command concerning you: your name will no longer be sown</w:t>
      </w:r>
      <w:r>
        <w:rPr>
          <w:rStyle w:val="FootnoteReference"/>
        </w:rPr>
        <w:footnoteReference w:id="13751"/>
      </w:r>
      <w:r>
        <w:t xml:space="preserve">. From the house of your god I will destroy carved and cast images. I will make</w:t>
      </w:r>
      <w:r>
        <w:rPr>
          <w:rStyle w:val="FootnoteReference"/>
        </w:rPr>
        <w:footnoteReference w:id="13752"/>
      </w:r>
      <w:r>
        <w:t xml:space="preserve"> your grave, because they are swift.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Behold, on the mountains are the feet of one bringing good news and announcing peace. Celebrate your feasts, Judah; pay your vows, because they will no longer continue to pass through you into decay. It has been completed; it has been removed.</w:t>
      </w:r>
    </w:p>
    <w:p>
      <w:r>
        <w:rPr>
          <w:b/>
        </w:rPr>
        <w:t xml:space="preserve">2 </w:t>
      </w:r>
      <w:r>
        <w:t xml:space="preserve">One breathing into your face, rescuing from distress, went up. Watch the road, strengthen the waist, act manfully with great strength.</w:t>
      </w:r>
    </w:p>
    <w:p>
      <w:r>
        <w:rPr>
          <w:b/>
        </w:rPr>
        <w:t xml:space="preserve">3 </w:t>
      </w:r>
      <w:r>
        <w:t xml:space="preserve">Because the Lord turned back the arrogance of Jacob, like the arrogance of Israel, because those shaking them out shook them out and ruined their branches.</w:t>
      </w:r>
    </w:p>
    <w:p>
      <w:r>
        <w:rPr>
          <w:b/>
        </w:rPr>
        <w:t xml:space="preserve">4 </w:t>
      </w:r>
      <w:r>
        <w:t xml:space="preserve">Weapons of their rule are from men, mighty men mocking in fire. The reins of their chariots</w:t>
      </w:r>
      <w:r>
        <w:rPr>
          <w:rStyle w:val="FootnoteReference"/>
        </w:rPr>
        <w:footnoteReference w:id="13753"/>
      </w:r>
      <w:r>
        <w:t xml:space="preserve"> are in the day of his preparation, and the horsemen will be thrown into confusion.</w:t>
      </w:r>
    </w:p>
    <w:p>
      <w:r>
        <w:rPr>
          <w:b/>
        </w:rPr>
        <w:t xml:space="preserve">5 </w:t>
      </w:r>
      <w:r>
        <w:t xml:space="preserve">In the roads the chariots will be thrown into confusion and entangled in the open places. Their appearance is as torches of fire and as lightnings running through.</w:t>
      </w:r>
    </w:p>
    <w:p>
      <w:r>
        <w:rPr>
          <w:b/>
        </w:rPr>
        <w:t xml:space="preserve">6 </w:t>
      </w:r>
      <w:r>
        <w:t xml:space="preserve">Their nobles will remember and flee by day and grow weak in their march, and they will hurry to the walls and prepare their watch-posts.</w:t>
      </w:r>
    </w:p>
    <w:p>
      <w:r>
        <w:rPr>
          <w:b/>
        </w:rPr>
        <w:t xml:space="preserve">7 </w:t>
      </w:r>
      <w:r>
        <w:t xml:space="preserve">The gates of the rivers were opened, and the palace fell.</w:t>
      </w:r>
    </w:p>
    <w:p>
      <w:r>
        <w:rPr>
          <w:b/>
        </w:rPr>
        <w:t xml:space="preserve">8 </w:t>
      </w:r>
      <w:r>
        <w:t xml:space="preserve">The foundation was laid bare, and she herself went up, and her slave-girls were led away like doves cooing in their hearts.</w:t>
      </w:r>
    </w:p>
    <w:p>
      <w:r>
        <w:rPr>
          <w:b/>
        </w:rPr>
        <w:t xml:space="preserve">9 </w:t>
      </w:r>
      <w:r>
        <w:t xml:space="preserve">And Nineveh was like a pool of water, her waters; and they were fleeing, they did not stand, and there was no one looking back.</w:t>
      </w:r>
    </w:p>
    <w:p>
      <w:r>
        <w:rPr>
          <w:b/>
        </w:rPr>
        <w:t xml:space="preserve">10 </w:t>
      </w:r>
      <w:r>
        <w:t xml:space="preserve">They kept plundering the silver, plundering the gold, and there was no end to her adornment. They have been weighed down beyond all her desirable vessels.</w:t>
      </w:r>
    </w:p>
    <w:p>
      <w:r>
        <w:rPr>
          <w:b/>
        </w:rPr>
        <w:t xml:space="preserve">11 </w:t>
      </w:r>
      <w:r>
        <w:t xml:space="preserve">Shaking-out and overturning and boiling-over, breaking of heart and loosening of knees, pains upon every waist, and the face of all is as scorching of a pot.</w:t>
      </w:r>
    </w:p>
    <w:p>
      <w:r>
        <w:rPr>
          <w:b/>
        </w:rPr>
        <w:t xml:space="preserve">12 </w:t>
      </w:r>
      <w:r>
        <w:t xml:space="preserve">Where is the dwelling of lions and the pasture-place that was for the cubs, where a lion went to enter there, a lion's cub, and there was no one frightening?</w:t>
      </w:r>
    </w:p>
    <w:p>
      <w:r>
        <w:rPr>
          <w:b/>
        </w:rPr>
        <w:t xml:space="preserve">13 </w:t>
      </w:r>
      <w:r>
        <w:t xml:space="preserve">A lion snatched enough for his cubs and strangled for his lions and filled his lair with prey and his dwelling with spoil.</w:t>
      </w:r>
    </w:p>
    <w:p>
      <w:r>
        <w:rPr>
          <w:b/>
        </w:rPr>
        <w:t xml:space="preserve">14 </w:t>
      </w:r>
      <w:r>
        <w:t xml:space="preserve">Behold, I am against you, says the Lord Almighty, and I will burn your multitude in smoke, and the sword will devour your lions, and I will destroy your prey from the earth, and your works will no longer be heard.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O city of bloods, wholly false, full</w:t>
      </w:r>
      <w:r>
        <w:rPr>
          <w:rStyle w:val="FootnoteReference"/>
        </w:rPr>
        <w:footnoteReference w:id="13754"/>
      </w:r>
      <w:r>
        <w:t xml:space="preserve"> of injustice. Prey will not be touched.</w:t>
      </w:r>
    </w:p>
    <w:p>
      <w:r>
        <w:rPr>
          <w:b/>
        </w:rPr>
        <w:t xml:space="preserve">2 </w:t>
      </w:r>
      <w:r>
        <w:t xml:space="preserve">The sound of whips and the sound of rattling wheels and a pursuing horse and a jolting chariot,</w:t>
      </w:r>
    </w:p>
    <w:p>
      <w:r>
        <w:rPr>
          <w:b/>
        </w:rPr>
        <w:t xml:space="preserve">3 </w:t>
      </w:r>
      <w:r>
        <w:t xml:space="preserve">and a charging horseman and a gleaming sword and flashing weapons and a multitude of wounded and a heavy fall. There was no end to her nations, and they will grow weak in their bodies.</w:t>
      </w:r>
    </w:p>
    <w:p>
      <w:r>
        <w:rPr>
          <w:b/>
        </w:rPr>
        <w:t xml:space="preserve">4 </w:t>
      </w:r>
      <w:r>
        <w:t xml:space="preserve">Because of the multitude of prostitutions of a prostitute, beautiful and pleasing, leading sorceries, selling nations by her prostitution and tribes by her sorceries.</w:t>
      </w:r>
    </w:p>
    <w:p>
      <w:r>
        <w:rPr>
          <w:b/>
        </w:rPr>
        <w:t xml:space="preserve">5 </w:t>
      </w:r>
      <w:r>
        <w:t xml:space="preserve">Behold, I am against you, says the Lord God Almighty</w:t>
      </w:r>
      <w:r>
        <w:rPr>
          <w:rStyle w:val="FootnoteReference"/>
        </w:rPr>
        <w:footnoteReference w:id="13755"/>
      </w:r>
      <w:r>
        <w:t xml:space="preserve">, and I will uncover your backside to your face and show nations your shame and kingdoms your dishonor.</w:t>
      </w:r>
    </w:p>
    <w:p>
      <w:r>
        <w:rPr>
          <w:b/>
        </w:rPr>
        <w:t xml:space="preserve">6 </w:t>
      </w:r>
      <w:r>
        <w:t xml:space="preserve">I will throw abomination on you according to your uncleannesses and make</w:t>
      </w:r>
      <w:r>
        <w:rPr>
          <w:rStyle w:val="FootnoteReference"/>
        </w:rPr>
        <w:footnoteReference w:id="13756"/>
      </w:r>
      <w:r>
        <w:t xml:space="preserve"> you an example.</w:t>
      </w:r>
    </w:p>
    <w:p>
      <w:r>
        <w:rPr>
          <w:b/>
        </w:rPr>
        <w:t xml:space="preserve">7 </w:t>
      </w:r>
      <w:r>
        <w:t xml:space="preserve">And everyone seeing you will spring away from you and say, Wretched Nineveh</w:t>
      </w:r>
      <w:r>
        <w:rPr>
          <w:rStyle w:val="FootnoteReference"/>
        </w:rPr>
        <w:footnoteReference w:id="13757"/>
      </w:r>
      <w:r>
        <w:t xml:space="preserve">, who will groan for her? From where will I seek comfort for her?</w:t>
      </w:r>
    </w:p>
    <w:p>
      <w:r>
        <w:rPr>
          <w:b/>
        </w:rPr>
        <w:t xml:space="preserve">8 </w:t>
      </w:r>
      <w:r>
        <w:t xml:space="preserve">Prepare your portion, fit the cord, prepare a portion for Ammon, the one dwelling among rivers, with water around her, whose beginning was sea and water was her walls.</w:t>
      </w:r>
    </w:p>
    <w:p>
      <w:r>
        <w:rPr>
          <w:b/>
        </w:rPr>
        <w:t xml:space="preserve">9 </w:t>
      </w:r>
      <w:r>
        <w:t xml:space="preserve">Ethiopia</w:t>
      </w:r>
      <w:r>
        <w:rPr>
          <w:rStyle w:val="FootnoteReference"/>
        </w:rPr>
        <w:footnoteReference w:id="13758"/>
      </w:r>
      <w:r>
        <w:t xml:space="preserve"> was her strength, and Egypt, and there was no limit to her flight, and Libyans became her helpers.</w:t>
      </w:r>
    </w:p>
    <w:p>
      <w:r>
        <w:rPr>
          <w:b/>
        </w:rPr>
        <w:t xml:space="preserve">10 </w:t>
      </w:r>
      <w:r>
        <w:t xml:space="preserve">Yet she herself will go into exile, captive, and her infants they will dash upon the heads of all her roads, and over all her honored ones they will cast</w:t>
      </w:r>
      <w:r>
        <w:rPr>
          <w:rStyle w:val="FootnoteReference"/>
        </w:rPr>
        <w:footnoteReference w:id="13759"/>
      </w:r>
      <w:r>
        <w:t xml:space="preserve"> lots, and all her nobles will be bound in fetters.</w:t>
      </w:r>
    </w:p>
    <w:p>
      <w:r>
        <w:rPr>
          <w:b/>
        </w:rPr>
        <w:t xml:space="preserve">11 </w:t>
      </w:r>
      <w:r>
        <w:t xml:space="preserve">You also will be drunk and overlooked, and you also will seek for yourself a stand against enemies.</w:t>
      </w:r>
    </w:p>
    <w:p>
      <w:r>
        <w:rPr>
          <w:b/>
        </w:rPr>
        <w:t xml:space="preserve">12 </w:t>
      </w:r>
      <w:r>
        <w:t xml:space="preserve">All your fortresses are fig trees with watchers; if they are shaken, they fall into the mouth of the eater.</w:t>
      </w:r>
    </w:p>
    <w:p>
      <w:r>
        <w:rPr>
          <w:b/>
        </w:rPr>
        <w:t xml:space="preserve">13 </w:t>
      </w:r>
      <w:r>
        <w:t xml:space="preserve">Behold, your people are as women in you. To your enemies the gates</w:t>
      </w:r>
      <w:r>
        <w:rPr>
          <w:rStyle w:val="FootnoteReference"/>
        </w:rPr>
        <w:footnoteReference w:id="13760"/>
      </w:r>
      <w:r>
        <w:t xml:space="preserve"> of your land will be opened wide; fire will devour your bars.</w:t>
      </w:r>
    </w:p>
    <w:p>
      <w:r>
        <w:rPr>
          <w:b/>
        </w:rPr>
        <w:t xml:space="preserve">14 </w:t>
      </w:r>
      <w:r>
        <w:t xml:space="preserve">Draw</w:t>
      </w:r>
      <w:r>
        <w:rPr>
          <w:rStyle w:val="FootnoteReference"/>
        </w:rPr>
        <w:footnoteReference w:id="13761"/>
      </w:r>
      <w:r>
        <w:t xml:space="preserve"> water for siege for yourself and seize your fortresses. Step into clay and be trampled in chaff; strengthen brickwork.</w:t>
      </w:r>
    </w:p>
    <w:p>
      <w:r>
        <w:rPr>
          <w:b/>
        </w:rPr>
        <w:t xml:space="preserve">15 </w:t>
      </w:r>
      <w:r>
        <w:t xml:space="preserve">There fire will devour you; the sword will destroy you; it will devour you as a locust; and you will be weighed down as a grasshopper.</w:t>
      </w:r>
    </w:p>
    <w:p>
      <w:r>
        <w:rPr>
          <w:b/>
        </w:rPr>
        <w:t xml:space="preserve">16 </w:t>
      </w:r>
      <w:r>
        <w:t xml:space="preserve">You multiplied your trading beyond the stars of heaven. A grasshopper rushed on and flew away.</w:t>
      </w:r>
    </w:p>
    <w:p>
      <w:r>
        <w:rPr>
          <w:b/>
        </w:rPr>
        <w:t xml:space="preserve">17 </w:t>
      </w:r>
      <w:r>
        <w:t xml:space="preserve">Your mixed multitude leaped as locust, as a grasshopper settled on a fence in the days of frost. The sun rose and it flew away, and it did not know its place. Woe to them.</w:t>
      </w:r>
    </w:p>
    <w:p>
      <w:r>
        <w:rPr>
          <w:b/>
        </w:rPr>
        <w:t xml:space="preserve">18 </w:t>
      </w:r>
      <w:r>
        <w:t xml:space="preserve">Your shepherds slumbered, O king</w:t>
      </w:r>
      <w:r>
        <w:rPr>
          <w:rStyle w:val="FootnoteReference"/>
        </w:rPr>
        <w:footnoteReference w:id="13762"/>
      </w:r>
      <w:r>
        <w:t xml:space="preserve"> of Assyria; your mighty men went to sleep. Your people departed upon the mountains, and there was no one receiving them.</w:t>
      </w:r>
    </w:p>
    <w:p>
      <w:r>
        <w:rPr>
          <w:b/>
        </w:rPr>
        <w:t xml:space="preserve">19 </w:t>
      </w:r>
      <w:r>
        <w:t xml:space="preserve">There is no healing for your crushing; your wound blazed up. All hearing your report will clap their hands over you, because upon</w:t>
      </w:r>
      <w:r>
        <w:rPr>
          <w:rStyle w:val="FootnoteReference"/>
        </w:rPr>
        <w:footnoteReference w:id="13763"/>
      </w:r>
      <w:r>
        <w:t xml:space="preserve"> whom has your evil not come continually?</w:t>
      </w:r>
    </w:p>
    <w:p>
      <w:r>
        <w:br w:type="page"/>
      </w:r>
    </w:p>
    <w:p>
      <w:pPr>
        <w:pStyle w:val="Heading1"/>
      </w:pPr>
      <w:r>
        <w:t xml:space="preserve">Habakkuk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Oracle that Habakkuk</w:t>
      </w:r>
      <w:r>
        <w:rPr>
          <w:rStyle w:val="FootnoteReference"/>
        </w:rPr>
        <w:footnoteReference w:id="13764"/>
      </w:r>
      <w:r>
        <w:t xml:space="preserve"> the prophet saw.</w:t>
      </w:r>
    </w:p>
    <w:p>
      <w:r>
        <w:rPr>
          <w:b/>
        </w:rPr>
        <w:t xml:space="preserve">2 </w:t>
      </w:r>
      <w:r>
        <w:t xml:space="preserve">How long, Lord, will I cry out and you not hear?</w:t>
      </w:r>
      <w:r>
        <w:rPr>
          <w:rStyle w:val="FootnoteReference"/>
        </w:rPr>
        <w:footnoteReference w:id="13765"/>
      </w:r>
      <w:r>
        <w:t xml:space="preserve"> I will shout to you while being wronged, and you will not save.</w:t>
      </w:r>
    </w:p>
    <w:p>
      <w:r>
        <w:rPr>
          <w:b/>
        </w:rPr>
        <w:t xml:space="preserve">3 </w:t>
      </w:r>
      <w:r>
        <w:t xml:space="preserve">Why did you show me troubles and pains, to look upon misery and impiety? Judgment has come opposite me, and the judge receives.</w:t>
      </w:r>
    </w:p>
    <w:p>
      <w:r>
        <w:rPr>
          <w:b/>
        </w:rPr>
        <w:t xml:space="preserve">4 </w:t>
      </w:r>
      <w:r>
        <w:t xml:space="preserve">Because of this the law</w:t>
      </w:r>
      <w:r>
        <w:rPr>
          <w:rStyle w:val="FootnoteReference"/>
        </w:rPr>
        <w:footnoteReference w:id="13766"/>
      </w:r>
      <w:r>
        <w:t xml:space="preserve"> has ceased, and judgment does not go forth to the end, because the impious one overpowers the righteous one; because of this the judgment will go forth perverted.</w:t>
      </w:r>
    </w:p>
    <w:p>
      <w:r>
        <w:rPr>
          <w:b/>
        </w:rPr>
        <w:t xml:space="preserve">5 </w:t>
      </w:r>
      <w:r>
        <w:t xml:space="preserve">Look, O despisers, and watch and marvel wondrously and disappear, because I work a work in your days that you will certainly not believe if one tells it.</w:t>
      </w:r>
    </w:p>
    <w:p>
      <w:r>
        <w:rPr>
          <w:b/>
        </w:rPr>
        <w:t xml:space="preserve">6 </w:t>
      </w:r>
      <w:r>
        <w:t xml:space="preserve">Because behold, I raise</w:t>
      </w:r>
      <w:r>
        <w:rPr>
          <w:rStyle w:val="FootnoteReference"/>
        </w:rPr>
        <w:footnoteReference w:id="13767"/>
      </w:r>
      <w:r>
        <w:t xml:space="preserve"> up against you the Chaldeans, the fighting nation, bitter and swift, going over the breadths of the earth to inherit tent-dwellings not its own.</w:t>
      </w:r>
    </w:p>
    <w:p>
      <w:r>
        <w:rPr>
          <w:b/>
        </w:rPr>
        <w:t xml:space="preserve">7 </w:t>
      </w:r>
      <w:r>
        <w:t xml:space="preserve">It is fearsome and prominent; its judgment will come from itself, and its burden will go out from itself.</w:t>
      </w:r>
    </w:p>
    <w:p>
      <w:r>
        <w:rPr>
          <w:b/>
        </w:rPr>
        <w:t xml:space="preserve">8 </w:t>
      </w:r>
      <w:r>
        <w:t xml:space="preserve">Its horses</w:t>
      </w:r>
      <w:r>
        <w:rPr>
          <w:rStyle w:val="FootnoteReference"/>
        </w:rPr>
        <w:footnoteReference w:id="13768"/>
      </w:r>
      <w:r>
        <w:t xml:space="preserve"> will leap beyond leopards and keener than the wolves of Arabia, and its horsemen will ride out and rush from far away and fly as an eagle eager to eat.</w:t>
      </w:r>
    </w:p>
    <w:p>
      <w:r>
        <w:rPr>
          <w:b/>
        </w:rPr>
        <w:t xml:space="preserve">9 </w:t>
      </w:r>
      <w:r>
        <w:t xml:space="preserve">An end will come for impious ones, opposing their faces from before, and it will gather captivity as sand.</w:t>
      </w:r>
    </w:p>
    <w:p>
      <w:r>
        <w:rPr>
          <w:b/>
        </w:rPr>
        <w:t xml:space="preserve">10 </w:t>
      </w:r>
      <w:r>
        <w:t xml:space="preserve">And it will make sport of kings, and tyrants are its plaything, and it will mock every fortress and cast up a mound and seize it.</w:t>
      </w:r>
    </w:p>
    <w:p>
      <w:r>
        <w:rPr>
          <w:b/>
        </w:rPr>
        <w:t xml:space="preserve">11 </w:t>
      </w:r>
      <w:r>
        <w:t xml:space="preserve">Then the spirit will change and pass through and make atonement. This strength belongs to my God.</w:t>
      </w:r>
    </w:p>
    <w:p>
      <w:r>
        <w:rPr>
          <w:b/>
        </w:rPr>
        <w:t xml:space="preserve">12 </w:t>
      </w:r>
      <w:r>
        <w:t xml:space="preserve">Are you not from the beginning, O Lord my God, my Holy One</w:t>
      </w:r>
      <w:r>
        <w:rPr>
          <w:rStyle w:val="FootnoteReference"/>
        </w:rPr>
        <w:footnoteReference w:id="13769"/>
      </w:r>
      <w:r>
        <w:t xml:space="preserve">? And surely we shall not die. O Lord, you appointed him for judgment, and he formed me to reprove his discipline.</w:t>
      </w:r>
    </w:p>
    <w:p>
      <w:r>
        <w:rPr>
          <w:b/>
        </w:rPr>
        <w:t xml:space="preserve">13 </w:t>
      </w:r>
      <w:r>
        <w:t xml:space="preserve">Your eye is clean from seeing evils, and you cannot look on hardships. Why do you look on those despising and keep silent when the impious one swallows the righteous one?</w:t>
      </w:r>
    </w:p>
    <w:p>
      <w:r>
        <w:rPr>
          <w:b/>
        </w:rPr>
        <w:t xml:space="preserve">14 </w:t>
      </w:r>
      <w:r>
        <w:t xml:space="preserve">And you will make the humans as the fish of the sea and as the creeping things that have no leader.</w:t>
      </w:r>
    </w:p>
    <w:p>
      <w:r>
        <w:rPr>
          <w:b/>
        </w:rPr>
        <w:t xml:space="preserve">15 </w:t>
      </w:r>
      <w:r>
        <w:t xml:space="preserve">He drew up an end with hook and dragged him in his net and gathered him in his seines. Because of this his heart will be glad and rejoice.</w:t>
      </w:r>
    </w:p>
    <w:p>
      <w:r>
        <w:rPr>
          <w:b/>
        </w:rPr>
        <w:t xml:space="preserve">16 </w:t>
      </w:r>
      <w:r>
        <w:t xml:space="preserve">Because of this he will sacrifice to his seine and burn incense to his net, because in them his portion was fattened and his foods are choice.</w:t>
      </w:r>
    </w:p>
    <w:p>
      <w:r>
        <w:rPr>
          <w:b/>
        </w:rPr>
        <w:t xml:space="preserve">17 </w:t>
      </w:r>
      <w:r>
        <w:t xml:space="preserve">Because of this he will cast his net, and continually to kill nations he will not spare.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I will stand</w:t>
      </w:r>
      <w:r>
        <w:rPr>
          <w:rStyle w:val="FootnoteReference"/>
        </w:rPr>
        <w:footnoteReference w:id="13770"/>
      </w:r>
      <w:r>
        <w:t xml:space="preserve"> upon my watch and step upon a rock and watch to see what he will speak in me and what I should answer concerning my reproof.</w:t>
      </w:r>
    </w:p>
    <w:p>
      <w:r>
        <w:rPr>
          <w:b/>
        </w:rPr>
        <w:t xml:space="preserve">2 </w:t>
      </w:r>
      <w:r>
        <w:t xml:space="preserve">And the Lord answered me and said, Write</w:t>
      </w:r>
      <w:r>
        <w:rPr>
          <w:rStyle w:val="FootnoteReference"/>
        </w:rPr>
        <w:footnoteReference w:id="13771"/>
      </w:r>
      <w:r>
        <w:t xml:space="preserve"> a vision clearly on a tablet, so that the one reading these things may run.</w:t>
      </w:r>
    </w:p>
    <w:p>
      <w:r>
        <w:rPr>
          <w:b/>
        </w:rPr>
        <w:t xml:space="preserve">3 </w:t>
      </w:r>
      <w:r>
        <w:t xml:space="preserve">Because vision is still for a time, and it will rise to completion and not for emptiness. If he delays, wait</w:t>
      </w:r>
      <w:r>
        <w:rPr>
          <w:rStyle w:val="FootnoteReference"/>
        </w:rPr>
        <w:footnoteReference w:id="13772"/>
      </w:r>
      <w:r>
        <w:t xml:space="preserve"> for him, because coming he will come and certainly not tarry.</w:t>
      </w:r>
    </w:p>
    <w:p>
      <w:r>
        <w:rPr>
          <w:b/>
        </w:rPr>
        <w:t xml:space="preserve">4 </w:t>
      </w:r>
      <w:r>
        <w:t xml:space="preserve">If he should draw back, my soul has no pleasure in him; but the righteous one will live by my faith</w:t>
      </w:r>
      <w:r>
        <w:rPr>
          <w:rStyle w:val="FootnoteReference"/>
        </w:rPr>
        <w:footnoteReference w:id="13773"/>
      </w:r>
      <w:r>
        <w:t xml:space="preserve">.</w:t>
      </w:r>
    </w:p>
    <w:p>
      <w:r>
        <w:rPr>
          <w:b/>
        </w:rPr>
        <w:t xml:space="preserve">5 </w:t>
      </w:r>
      <w:r>
        <w:t xml:space="preserve">But the wine-drinker and contemptuous man, a boaster, will certainly accomplish nothing. He widened his soul as Hades, and he, as death, is not filled, and he will gather to himself all the nations and receive to himself all the peoples.</w:t>
      </w:r>
    </w:p>
    <w:p>
      <w:r>
        <w:rPr>
          <w:b/>
        </w:rPr>
        <w:t xml:space="preserve">6 </w:t>
      </w:r>
      <w:r>
        <w:t xml:space="preserve">Will not all these take</w:t>
      </w:r>
      <w:r>
        <w:rPr>
          <w:rStyle w:val="FootnoteReference"/>
        </w:rPr>
        <w:footnoteReference w:id="13774"/>
      </w:r>
      <w:r>
        <w:t xml:space="preserve"> up a parable against him and a riddle for his tale and say, Woe to the one multiplying for himself the things that are not his! How long? And weighing down his yoke heavily.</w:t>
      </w:r>
    </w:p>
    <w:p>
      <w:r>
        <w:rPr>
          <w:b/>
        </w:rPr>
        <w:t xml:space="preserve">7 </w:t>
      </w:r>
      <w:r>
        <w:t xml:space="preserve">Because suddenly those biting him will rise, and your plotters will awake, and you will be for plunder to them.</w:t>
      </w:r>
    </w:p>
    <w:p>
      <w:r>
        <w:rPr>
          <w:b/>
        </w:rPr>
        <w:t xml:space="preserve">8 </w:t>
      </w:r>
      <w:r>
        <w:t xml:space="preserve">Because you plundered many nations, all the remaining peoples will plunder you, because of the blood</w:t>
      </w:r>
      <w:r>
        <w:rPr>
          <w:rStyle w:val="FootnoteReference"/>
        </w:rPr>
        <w:footnoteReference w:id="13775"/>
      </w:r>
      <w:r>
        <w:t xml:space="preserve"> of humans and impiety of land and city and all those dwelling in it.</w:t>
      </w:r>
    </w:p>
    <w:p>
      <w:r>
        <w:rPr>
          <w:b/>
        </w:rPr>
        <w:t xml:space="preserve">9 </w:t>
      </w:r>
      <w:r>
        <w:t xml:space="preserve">Woe to the one grasping evil gain for his house, to set his nest on high, to be torn away from the hand of evils.</w:t>
      </w:r>
    </w:p>
    <w:p>
      <w:r>
        <w:rPr>
          <w:b/>
        </w:rPr>
        <w:t xml:space="preserve">10 </w:t>
      </w:r>
      <w:r>
        <w:t xml:space="preserve">You planned shame for your house; you brought many peoples to an end, and your soul sinned</w:t>
      </w:r>
      <w:r>
        <w:rPr>
          <w:rStyle w:val="FootnoteReference"/>
        </w:rPr>
        <w:footnoteReference w:id="13776"/>
      </w:r>
      <w:r>
        <w:t xml:space="preserve">.</w:t>
      </w:r>
    </w:p>
    <w:p>
      <w:r>
        <w:rPr>
          <w:b/>
        </w:rPr>
        <w:t xml:space="preserve">11 </w:t>
      </w:r>
      <w:r>
        <w:t xml:space="preserve">Because a stone from wall will cry out, and a beetle from timber will speak these things.</w:t>
      </w:r>
    </w:p>
    <w:p>
      <w:r>
        <w:rPr>
          <w:b/>
        </w:rPr>
        <w:t xml:space="preserve">12 </w:t>
      </w:r>
      <w:r>
        <w:t xml:space="preserve">Woe to the one building a city in bloodshed and preparing a city in injustices.</w:t>
      </w:r>
      <w:r>
        <w:rPr>
          <w:rStyle w:val="FootnoteReference"/>
        </w:rPr>
        <w:footnoteReference w:id="13777"/>
      </w:r>
      <w:r>
        <w:t xml:space="preserve"/>
      </w:r>
    </w:p>
    <w:p>
      <w:r>
        <w:rPr>
          <w:b/>
        </w:rPr>
        <w:t xml:space="preserve">13 </w:t>
      </w:r>
      <w:r>
        <w:t xml:space="preserve">Are not these things from the Lord Almighty? Strong peoples failed in fire, and many nations grew fainthearted.</w:t>
      </w:r>
    </w:p>
    <w:p>
      <w:r>
        <w:rPr>
          <w:b/>
        </w:rPr>
        <w:t xml:space="preserve">14 </w:t>
      </w:r>
      <w:r>
        <w:t xml:space="preserve">Because earth will be filled to know the glory of the Lord</w:t>
      </w:r>
      <w:r>
        <w:rPr>
          <w:rStyle w:val="FootnoteReference"/>
        </w:rPr>
        <w:footnoteReference w:id="13778"/>
      </w:r>
      <w:r>
        <w:t xml:space="preserve"> as water will cover them.</w:t>
      </w:r>
    </w:p>
    <w:p>
      <w:r>
        <w:rPr>
          <w:b/>
        </w:rPr>
        <w:t xml:space="preserve">15 </w:t>
      </w:r>
      <w:r>
        <w:t xml:space="preserve">Woe to the one giving drink to his neighbor, a muddy overthrow, and making him drunk so that he may look on their caves.</w:t>
      </w:r>
    </w:p>
    <w:p>
      <w:r>
        <w:rPr>
          <w:b/>
        </w:rPr>
        <w:t xml:space="preserve">16 </w:t>
      </w:r>
      <w:r>
        <w:t xml:space="preserve">Drink</w:t>
      </w:r>
      <w:r>
        <w:rPr>
          <w:rStyle w:val="FootnoteReference"/>
        </w:rPr>
        <w:footnoteReference w:id="13779"/>
      </w:r>
      <w:r>
        <w:t xml:space="preserve"> a filling of dishonor instead of glory, you too, and be shaken and quake. The cup of the Lord's right hand has gone around to you, and dishonor gathered upon your glory.</w:t>
      </w:r>
    </w:p>
    <w:p>
      <w:r>
        <w:rPr>
          <w:b/>
        </w:rPr>
        <w:t xml:space="preserve">17 </w:t>
      </w:r>
      <w:r>
        <w:t xml:space="preserve">Because impiety of Lebanon will cover you, and misery of beasts will terrify you, because of the blood of humans and impiety of land and city and all those dwelling in it.</w:t>
      </w:r>
    </w:p>
    <w:p>
      <w:r>
        <w:rPr>
          <w:b/>
        </w:rPr>
        <w:t xml:space="preserve">18 </w:t>
      </w:r>
      <w:r>
        <w:t xml:space="preserve">What does a carved image profit, because they carved it? They formed it as a cast image, a false imagination, because the one who formed it trusted in his formation to make dumb</w:t>
      </w:r>
      <w:r>
        <w:rPr>
          <w:rStyle w:val="FootnoteReference"/>
        </w:rPr>
        <w:footnoteReference w:id="13780"/>
      </w:r>
      <w:r>
        <w:t xml:space="preserve"> idols.</w:t>
      </w:r>
    </w:p>
    <w:p>
      <w:r>
        <w:rPr>
          <w:b/>
        </w:rPr>
        <w:t xml:space="preserve">19 </w:t>
      </w:r>
      <w:r>
        <w:t xml:space="preserve">Woe to the one saying to the wood, Awake, rise up, and to the stone, Be lifted. And it is imagination, but this is a plating of gold and silver, and there</w:t>
      </w:r>
      <w:r>
        <w:rPr>
          <w:rStyle w:val="FootnoteReference"/>
        </w:rPr>
        <w:footnoteReference w:id="13781"/>
      </w:r>
      <w:r>
        <w:t xml:space="preserve"> is no breath in it.</w:t>
      </w:r>
    </w:p>
    <w:p>
      <w:r>
        <w:rPr>
          <w:b/>
        </w:rPr>
        <w:t xml:space="preserve">20 </w:t>
      </w:r>
      <w:r>
        <w:t xml:space="preserve">But the Lord</w:t>
      </w:r>
      <w:r>
        <w:rPr>
          <w:rStyle w:val="FootnoteReference"/>
        </w:rPr>
        <w:footnoteReference w:id="13782"/>
      </w:r>
      <w:r>
        <w:t xml:space="preserve"> is in his holy temple; let all the earth fear before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 prayer</w:t>
      </w:r>
      <w:r>
        <w:rPr>
          <w:rStyle w:val="FootnoteReference"/>
        </w:rPr>
        <w:footnoteReference w:id="13783"/>
      </w:r>
      <w:r>
        <w:t xml:space="preserve"> of Habakkuk the prophet, with song.</w:t>
      </w:r>
    </w:p>
    <w:p>
      <w:r>
        <w:rPr>
          <w:b/>
        </w:rPr>
        <w:t xml:space="preserve">2 </w:t>
      </w:r>
      <w:r>
        <w:t xml:space="preserve">O Lord</w:t>
      </w:r>
      <w:r>
        <w:rPr>
          <w:rStyle w:val="FootnoteReference"/>
        </w:rPr>
        <w:footnoteReference w:id="13784"/>
      </w:r>
      <w:r>
        <w:t xml:space="preserve">, I heard your report and feared. I considered your works and was astonished. You will be known between the two living creatures</w:t>
      </w:r>
      <w:r>
        <w:rPr>
          <w:rStyle w:val="FootnoteReference"/>
        </w:rPr>
        <w:footnoteReference w:id="13785"/>
      </w:r>
      <w:r>
        <w:t xml:space="preserve">; you will be acknowledged when the years draw near; you will be manifested when the time is come. When my soul is troubled, in wrath you will remember mercy.</w:t>
      </w:r>
    </w:p>
    <w:p>
      <w:r>
        <w:rPr>
          <w:b/>
        </w:rPr>
        <w:t xml:space="preserve">3 </w:t>
      </w:r>
      <w:r>
        <w:t xml:space="preserve">God will come from Teman, and the Holy One from a shaded wooded mountain. Pause. His excellence covered the heavens, and the earth</w:t>
      </w:r>
      <w:r>
        <w:rPr>
          <w:rStyle w:val="FootnoteReference"/>
        </w:rPr>
        <w:footnoteReference w:id="13786"/>
      </w:r>
      <w:r>
        <w:t xml:space="preserve"> was full of his praise.</w:t>
      </w:r>
    </w:p>
    <w:p>
      <w:r>
        <w:rPr>
          <w:b/>
        </w:rPr>
        <w:t xml:space="preserve">4 </w:t>
      </w:r>
      <w:r>
        <w:t xml:space="preserve">And his brightness</w:t>
      </w:r>
      <w:r>
        <w:rPr>
          <w:rStyle w:val="FootnoteReference"/>
        </w:rPr>
        <w:footnoteReference w:id="13787"/>
      </w:r>
      <w:r>
        <w:t xml:space="preserve"> will be as light; horns are in his hands, and there he set strong love of his might.</w:t>
      </w:r>
    </w:p>
    <w:p>
      <w:r>
        <w:rPr>
          <w:b/>
        </w:rPr>
        <w:t xml:space="preserve">5 </w:t>
      </w:r>
      <w:r>
        <w:t xml:space="preserve">Before his face a word will go, and his feet will go out in sandals.</w:t>
      </w:r>
    </w:p>
    <w:p>
      <w:r>
        <w:rPr>
          <w:b/>
        </w:rPr>
        <w:t xml:space="preserve">6 </w:t>
      </w:r>
      <w:r>
        <w:t xml:space="preserve">He stood and the earth was shaken; he looked and nations melted. The mountains were shattered by force; everlasting hills melted.</w:t>
      </w:r>
    </w:p>
    <w:p>
      <w:r>
        <w:rPr>
          <w:b/>
        </w:rPr>
        <w:t xml:space="preserve">7 </w:t>
      </w:r>
      <w:r>
        <w:t xml:space="preserve">I saw his everlasting ways instead of hardships; the tents of Ethiopians and the tents of the land of Midian</w:t>
      </w:r>
      <w:r>
        <w:rPr>
          <w:rStyle w:val="FootnoteReference"/>
        </w:rPr>
        <w:footnoteReference w:id="13788"/>
      </w:r>
      <w:r>
        <w:t xml:space="preserve"> will be terrified.</w:t>
      </w:r>
    </w:p>
    <w:p>
      <w:r>
        <w:rPr>
          <w:b/>
        </w:rPr>
        <w:t xml:space="preserve">8 </w:t>
      </w:r>
      <w:r>
        <w:t xml:space="preserve">Were you angry at rivers, O Lord? Or is your wrath in rivers? Or your charge in sea? Because you will ride</w:t>
      </w:r>
      <w:r>
        <w:rPr>
          <w:rStyle w:val="FootnoteReference"/>
        </w:rPr>
        <w:footnoteReference w:id="13789"/>
      </w:r>
      <w:r>
        <w:t xml:space="preserve"> on your horses, and your riding is salvation.</w:t>
      </w:r>
    </w:p>
    <w:p>
      <w:r>
        <w:rPr>
          <w:b/>
        </w:rPr>
        <w:t xml:space="preserve">9 </w:t>
      </w:r>
      <w:r>
        <w:t xml:space="preserve">Stretching you will stretch your bow upon the scepters, says the Lord. Pause. Earth will be split by rivers.</w:t>
      </w:r>
    </w:p>
    <w:p>
      <w:r>
        <w:rPr>
          <w:b/>
        </w:rPr>
        <w:t xml:space="preserve">10 </w:t>
      </w:r>
      <w:r>
        <w:t xml:space="preserve">Peoples will see you and writhe; scattering waters in his march, the abyss gave its voice, height of its form.</w:t>
      </w:r>
    </w:p>
    <w:p>
      <w:r>
        <w:rPr>
          <w:b/>
        </w:rPr>
        <w:t xml:space="preserve">11 </w:t>
      </w:r>
      <w:r>
        <w:t xml:space="preserve">The sun was lifted up, and the moon stood in its order. To light your missiles will go, to brightness of lightning of your weapons.</w:t>
      </w:r>
    </w:p>
    <w:p>
      <w:r>
        <w:rPr>
          <w:b/>
        </w:rPr>
        <w:t xml:space="preserve">12 </w:t>
      </w:r>
      <w:r>
        <w:t xml:space="preserve">In threat you will diminish earth, and in wrath break down nations.</w:t>
      </w:r>
    </w:p>
    <w:p>
      <w:r>
        <w:rPr>
          <w:b/>
        </w:rPr>
        <w:t xml:space="preserve">13 </w:t>
      </w:r>
      <w:r>
        <w:t xml:space="preserve">You went out for the salvation of your people, to save your anointed ones. You cast death upon the heads of lawless ones and raised bonds as far as the neck. Pause.</w:t>
      </w:r>
    </w:p>
    <w:p>
      <w:r>
        <w:rPr>
          <w:b/>
        </w:rPr>
        <w:t xml:space="preserve">14 </w:t>
      </w:r>
      <w:r>
        <w:t xml:space="preserve">You cut through in astonishment heads of rulers; they will be shaken in it. They will open their</w:t>
      </w:r>
      <w:r>
        <w:rPr>
          <w:rStyle w:val="FootnoteReference"/>
        </w:rPr>
        <w:footnoteReference w:id="13790"/>
      </w:r>
      <w:r>
        <w:t xml:space="preserve"> bridles as one eating a poor one</w:t>
      </w:r>
      <w:r>
        <w:rPr>
          <w:rStyle w:val="FootnoteReference"/>
        </w:rPr>
        <w:footnoteReference w:id="13791"/>
      </w:r>
      <w:r>
        <w:t xml:space="preserve"> secretly.</w:t>
      </w:r>
    </w:p>
    <w:p>
      <w:r>
        <w:rPr>
          <w:b/>
        </w:rPr>
        <w:t xml:space="preserve">15 </w:t>
      </w:r>
      <w:r>
        <w:t xml:space="preserve">And you mounted your horses into sea, troubling much water.</w:t>
      </w:r>
    </w:p>
    <w:p>
      <w:r>
        <w:rPr>
          <w:b/>
        </w:rPr>
        <w:t xml:space="preserve">16 </w:t>
      </w:r>
      <w:r>
        <w:t xml:space="preserve">I watched, and my belly</w:t>
      </w:r>
      <w:r>
        <w:rPr>
          <w:rStyle w:val="FootnoteReference"/>
        </w:rPr>
        <w:footnoteReference w:id="13792"/>
      </w:r>
      <w:r>
        <w:t xml:space="preserve"> was terrified at the sound of the prayer of my lips, and trembling entered my bones, and under me my condition was disturbed. I will rest in the day of distress, to go up to the people of my sojourning.</w:t>
      </w:r>
    </w:p>
    <w:p>
      <w:r>
        <w:rPr>
          <w:b/>
        </w:rPr>
        <w:t xml:space="preserve">17 </w:t>
      </w:r>
      <w:r>
        <w:t xml:space="preserve">Because fig tree will not bear fruit, and produce will not be in the vines; work of olive will fail, and the fields will make no food; sheep failed from fodder, and there are no oxen at mangers.</w:t>
      </w:r>
    </w:p>
    <w:p>
      <w:r>
        <w:rPr>
          <w:b/>
        </w:rPr>
        <w:t xml:space="preserve">18 </w:t>
      </w:r>
      <w:r>
        <w:t xml:space="preserve">But I will exult in the Lord; I will rejoice</w:t>
      </w:r>
      <w:r>
        <w:rPr>
          <w:rStyle w:val="FootnoteReference"/>
        </w:rPr>
        <w:footnoteReference w:id="13793"/>
      </w:r>
      <w:r>
        <w:t xml:space="preserve"> in God my savior</w:t>
      </w:r>
      <w:r>
        <w:rPr>
          <w:rStyle w:val="FootnoteReference"/>
        </w:rPr>
        <w:footnoteReference w:id="13794"/>
      </w:r>
      <w:r>
        <w:t xml:space="preserve">.</w:t>
      </w:r>
    </w:p>
    <w:p>
      <w:r>
        <w:rPr>
          <w:b/>
        </w:rPr>
        <w:t xml:space="preserve">19 </w:t>
      </w:r>
      <w:r>
        <w:t xml:space="preserve">The Lord God is my strength</w:t>
      </w:r>
      <w:r>
        <w:rPr>
          <w:rStyle w:val="FootnoteReference"/>
        </w:rPr>
        <w:footnoteReference w:id="13795"/>
      </w:r>
      <w:r>
        <w:t xml:space="preserve">, and he will set my feet to completion. He mounts me upon heights, to conquer in his song.</w:t>
      </w:r>
    </w:p>
    <w:p>
      <w:r>
        <w:br w:type="page"/>
      </w:r>
    </w:p>
    <w:p>
      <w:pPr>
        <w:pStyle w:val="Heading1"/>
      </w:pPr>
      <w:r>
        <w:t xml:space="preserve">Zephaniah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word of the Lord that came to Zephaniah</w:t>
      </w:r>
      <w:r>
        <w:rPr>
          <w:rStyle w:val="FootnoteReference"/>
        </w:rPr>
        <w:footnoteReference w:id="13796"/>
      </w:r>
      <w:r>
        <w:t xml:space="preserve"> son of Cushi, son of Gedaliah, son of Amariah, son of Hezekiah, in the days</w:t>
      </w:r>
      <w:r>
        <w:rPr>
          <w:rStyle w:val="FootnoteReference"/>
        </w:rPr>
        <w:footnoteReference w:id="13797"/>
      </w:r>
      <w:r>
        <w:t xml:space="preserve"> of Josiah son of Amon king of Judah.</w:t>
      </w:r>
    </w:p>
    <w:p>
      <w:r>
        <w:rPr>
          <w:b/>
        </w:rPr>
        <w:t xml:space="preserve">2 </w:t>
      </w:r>
      <w:r>
        <w:t xml:space="preserve">Let all things utterly fail from the face of the earth, says the Lord.</w:t>
      </w:r>
    </w:p>
    <w:p>
      <w:r>
        <w:rPr>
          <w:b/>
        </w:rPr>
        <w:t xml:space="preserve">3 </w:t>
      </w:r>
      <w:r>
        <w:t xml:space="preserve">Let human and cattle fail; let the birds of heaven and the fish of the sea fail, and I will take humans away from the face of the earth, says the Lord.</w:t>
      </w:r>
    </w:p>
    <w:p>
      <w:r>
        <w:rPr>
          <w:b/>
        </w:rPr>
        <w:t xml:space="preserve">4 </w:t>
      </w:r>
      <w:r>
        <w:t xml:space="preserve">And I will stretch</w:t>
      </w:r>
      <w:r>
        <w:rPr>
          <w:rStyle w:val="FootnoteReference"/>
        </w:rPr>
        <w:footnoteReference w:id="13798"/>
      </w:r>
      <w:r>
        <w:t xml:space="preserve"> out my hand upon Judah and upon all the inhabitants of Jerusalem, and I will remove from this place the names of Baal and the names of the priests,</w:t>
      </w:r>
    </w:p>
    <w:p>
      <w:r>
        <w:rPr>
          <w:b/>
        </w:rPr>
        <w:t xml:space="preserve">5 </w:t>
      </w:r>
      <w:r>
        <w:t xml:space="preserve">and those worshiping the army of heaven on the housetops, and those swearing by the Lord</w:t>
      </w:r>
      <w:r>
        <w:rPr>
          <w:rStyle w:val="FootnoteReference"/>
        </w:rPr>
        <w:footnoteReference w:id="13799"/>
      </w:r>
      <w:r>
        <w:t xml:space="preserve"> and those swearing by their king,</w:t>
      </w:r>
    </w:p>
    <w:p>
      <w:r>
        <w:rPr>
          <w:b/>
        </w:rPr>
        <w:t xml:space="preserve">6 </w:t>
      </w:r>
      <w:r>
        <w:t xml:space="preserve">and those</w:t>
      </w:r>
      <w:r>
        <w:rPr>
          <w:rStyle w:val="FootnoteReference"/>
        </w:rPr>
        <w:footnoteReference w:id="13800"/>
      </w:r>
      <w:r>
        <w:t xml:space="preserve"> turning aside from the Lord and those not seeking the Lord and those not clinging to the Lord.</w:t>
      </w:r>
    </w:p>
    <w:p>
      <w:r>
        <w:rPr>
          <w:b/>
        </w:rPr>
        <w:t xml:space="preserve">7 </w:t>
      </w:r>
      <w:r>
        <w:t xml:space="preserve">Stand in awe before the Lord God, because the day of the Lord is near, because the Lord prepared his sacrifice; he consecrated his called ones</w:t>
      </w:r>
      <w:r>
        <w:rPr>
          <w:rStyle w:val="FootnoteReference"/>
        </w:rPr>
        <w:footnoteReference w:id="13801"/>
      </w:r>
      <w:r>
        <w:t xml:space="preserve">.</w:t>
      </w:r>
    </w:p>
    <w:p>
      <w:r>
        <w:rPr>
          <w:b/>
        </w:rPr>
        <w:t xml:space="preserve">8 </w:t>
      </w:r>
      <w:r>
        <w:t xml:space="preserve">And it will be in the day of the Lord's sacrifice</w:t>
      </w:r>
      <w:r>
        <w:rPr>
          <w:rStyle w:val="FootnoteReference"/>
        </w:rPr>
        <w:footnoteReference w:id="13802"/>
      </w:r>
      <w:r>
        <w:t xml:space="preserve">: I will take vengeance on the rulers and on the king's house and on all those wearing foreign garments.</w:t>
      </w:r>
    </w:p>
    <w:p>
      <w:r>
        <w:rPr>
          <w:b/>
        </w:rPr>
        <w:t xml:space="preserve">9 </w:t>
      </w:r>
      <w:r>
        <w:t xml:space="preserve">And I will take vengeance in that day openly at the foregates on all those filling the house of the Lord their God with impiety and deceit.</w:t>
      </w:r>
    </w:p>
    <w:p>
      <w:r>
        <w:rPr>
          <w:b/>
        </w:rPr>
        <w:t xml:space="preserve">10 </w:t>
      </w:r>
      <w:r>
        <w:t xml:space="preserve">And it will be in that day, says the Lord, the sound of a cry from the gate of those piercing and wailing from the second</w:t>
      </w:r>
      <w:r>
        <w:rPr>
          <w:rStyle w:val="FootnoteReference"/>
        </w:rPr>
        <w:footnoteReference w:id="13803"/>
      </w:r>
      <w:r>
        <w:t xml:space="preserve"> gate and great crushing from the hills.</w:t>
      </w:r>
    </w:p>
    <w:p>
      <w:r>
        <w:rPr>
          <w:b/>
        </w:rPr>
        <w:t xml:space="preserve">11 </w:t>
      </w:r>
      <w:r>
        <w:t xml:space="preserve">Lament, inhabitants of the cut-down place, because all the people have been likened to Canaan; all those lifted up with silver were destroyed.</w:t>
      </w:r>
    </w:p>
    <w:p>
      <w:r>
        <w:rPr>
          <w:b/>
        </w:rPr>
        <w:t xml:space="preserve">12 </w:t>
      </w:r>
      <w:r>
        <w:t xml:space="preserve">And it will be in that day, I will search Jerusalem with a lamp and take vengeance on the men</w:t>
      </w:r>
      <w:r>
        <w:rPr>
          <w:rStyle w:val="FootnoteReference"/>
        </w:rPr>
        <w:footnoteReference w:id="13804"/>
      </w:r>
      <w:r>
        <w:t xml:space="preserve"> despising their charges, those saying in their hearts, The Lord will certainly not do good, nor will he certainly do harm.</w:t>
      </w:r>
    </w:p>
    <w:p>
      <w:r>
        <w:rPr>
          <w:b/>
        </w:rPr>
        <w:t xml:space="preserve">13 </w:t>
      </w:r>
      <w:r>
        <w:t xml:space="preserve">And their power will be for plunder and their houses for a disappearance, and they will build</w:t>
      </w:r>
      <w:r>
        <w:rPr>
          <w:rStyle w:val="FootnoteReference"/>
        </w:rPr>
        <w:footnoteReference w:id="13805"/>
      </w:r>
      <w:r>
        <w:t xml:space="preserve"> houses and certainly not dwell in them, and they will plant vineyards and certainly not drink their wine.</w:t>
      </w:r>
    </w:p>
    <w:p>
      <w:r>
        <w:rPr>
          <w:b/>
        </w:rPr>
        <w:t xml:space="preserve">14 </w:t>
      </w:r>
      <w:r>
        <w:t xml:space="preserve">Because the great</w:t>
      </w:r>
      <w:r>
        <w:rPr>
          <w:rStyle w:val="FootnoteReference"/>
        </w:rPr>
        <w:footnoteReference w:id="13806"/>
      </w:r>
      <w:r>
        <w:t xml:space="preserve"> day of the Lord is near, near and very swift. The mighty voice of the day of the Lord has been appointed bitter and hard.</w:t>
      </w:r>
    </w:p>
    <w:p>
      <w:r>
        <w:rPr>
          <w:b/>
        </w:rPr>
        <w:t xml:space="preserve">15 </w:t>
      </w:r>
      <w:r>
        <w:t xml:space="preserve">That day is a day of wrath, a day of distress and necessity, a day of untimeliness and disappearance, a day of darkness</w:t>
      </w:r>
      <w:r>
        <w:rPr>
          <w:rStyle w:val="FootnoteReference"/>
        </w:rPr>
        <w:footnoteReference w:id="13807"/>
      </w:r>
      <w:r>
        <w:t xml:space="preserve"> and gloom, a day of cloud and mist,</w:t>
      </w:r>
    </w:p>
    <w:p>
      <w:r>
        <w:rPr>
          <w:b/>
        </w:rPr>
        <w:t xml:space="preserve">16 </w:t>
      </w:r>
      <w:r>
        <w:t xml:space="preserve">a day of trumpet and cry against the fortified cities and against</w:t>
      </w:r>
      <w:r>
        <w:rPr>
          <w:rStyle w:val="FootnoteReference"/>
        </w:rPr>
        <w:footnoteReference w:id="13808"/>
      </w:r>
      <w:r>
        <w:t xml:space="preserve"> the lofty corners.</w:t>
      </w:r>
    </w:p>
    <w:p>
      <w:r>
        <w:rPr>
          <w:b/>
        </w:rPr>
        <w:t xml:space="preserve">17 </w:t>
      </w:r>
      <w:r>
        <w:t xml:space="preserve">And I will afflict humans, and they will walk like blind men, because they sinned against the Lord, and he will pour out their blood like dust and their flesh like dung.</w:t>
      </w:r>
    </w:p>
    <w:p>
      <w:r>
        <w:rPr>
          <w:b/>
        </w:rPr>
        <w:t xml:space="preserve">18 </w:t>
      </w:r>
      <w:r>
        <w:t xml:space="preserve">And their silver</w:t>
      </w:r>
      <w:r>
        <w:rPr>
          <w:rStyle w:val="FootnoteReference"/>
        </w:rPr>
        <w:footnoteReference w:id="13809"/>
      </w:r>
      <w:r>
        <w:t xml:space="preserve"> and their gold will certainly not be able to rescue them in the day of the Lord's wrath, and in the fire of his zeal all the earth will be consumed, because he will make completion and haste upon all those inhabiting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Gather together</w:t>
      </w:r>
      <w:r>
        <w:rPr>
          <w:rStyle w:val="FootnoteReference"/>
        </w:rPr>
        <w:footnoteReference w:id="13810"/>
      </w:r>
      <w:r>
        <w:t xml:space="preserve"> and be bound together, O undisciplined nation,</w:t>
      </w:r>
    </w:p>
    <w:p>
      <w:r>
        <w:rPr>
          <w:b/>
        </w:rPr>
        <w:t xml:space="preserve">2 </w:t>
      </w:r>
      <w:r>
        <w:t xml:space="preserve">before you come to be like a passing flower, before the Lord's wrath comes upon you, before the day of</w:t>
      </w:r>
      <w:r>
        <w:rPr>
          <w:rStyle w:val="FootnoteReference"/>
        </w:rPr>
        <w:footnoteReference w:id="13811"/>
      </w:r>
      <w:r>
        <w:t xml:space="preserve"> the Lord's anger comes upon you.</w:t>
      </w:r>
    </w:p>
    <w:p>
      <w:r>
        <w:rPr>
          <w:b/>
        </w:rPr>
        <w:t xml:space="preserve">3 </w:t>
      </w:r>
      <w:r>
        <w:t xml:space="preserve">Seek the Lord, all humble of earth; work judgment and seek righteousness, and answer these things</w:t>
      </w:r>
      <w:r>
        <w:rPr>
          <w:rStyle w:val="FootnoteReference"/>
        </w:rPr>
        <w:footnoteReference w:id="13812"/>
      </w:r>
      <w:r>
        <w:t xml:space="preserve">, so that you may be sheltered in the day of the Lord's wrath.</w:t>
      </w:r>
      <w:r>
        <w:rPr>
          <w:rStyle w:val="FootnoteReference"/>
        </w:rPr>
        <w:footnoteReference w:id="13813"/>
      </w:r>
    </w:p>
    <w:p>
      <w:r>
        <w:rPr>
          <w:b/>
        </w:rPr>
        <w:t xml:space="preserve">4 </w:t>
      </w:r>
      <w:r>
        <w:t xml:space="preserve">Because Gaza</w:t>
      </w:r>
      <w:r>
        <w:rPr>
          <w:rStyle w:val="FootnoteReference"/>
        </w:rPr>
        <w:footnoteReference w:id="13814"/>
      </w:r>
      <w:r>
        <w:t xml:space="preserve"> will be plundered, and Ashkelon will be for disappearance, and Ashdod will be cast out at noon, and Ekron will be uprooted.</w:t>
      </w:r>
    </w:p>
    <w:p>
      <w:r>
        <w:rPr>
          <w:b/>
        </w:rPr>
        <w:t xml:space="preserve">5 </w:t>
      </w:r>
      <w:r>
        <w:t xml:space="preserve">Woe, inhabitants of the measuring-line of the sea, resident Cretans. The word</w:t>
      </w:r>
      <w:r>
        <w:rPr>
          <w:rStyle w:val="FootnoteReference"/>
        </w:rPr>
        <w:footnoteReference w:id="13815"/>
      </w:r>
      <w:r>
        <w:t xml:space="preserve"> of the Lord is upon you, Canaan, land of foreigners, and I will destroy you from habitation.</w:t>
      </w:r>
    </w:p>
    <w:p>
      <w:r>
        <w:rPr>
          <w:b/>
        </w:rPr>
        <w:t xml:space="preserve">6 </w:t>
      </w:r>
      <w:r>
        <w:t xml:space="preserve">And Crete</w:t>
      </w:r>
      <w:r>
        <w:rPr>
          <w:rStyle w:val="FootnoteReference"/>
        </w:rPr>
        <w:footnoteReference w:id="13816"/>
      </w:r>
      <w:r>
        <w:t xml:space="preserve"> will be a pasture of flocks and a sheepfold of sheep.</w:t>
      </w:r>
    </w:p>
    <w:p>
      <w:r>
        <w:rPr>
          <w:b/>
        </w:rPr>
        <w:t xml:space="preserve">7 </w:t>
      </w:r>
      <w:r>
        <w:t xml:space="preserve">And the measuring-line of the sea will belong to the remnant</w:t>
      </w:r>
      <w:r>
        <w:rPr>
          <w:rStyle w:val="FootnoteReference"/>
        </w:rPr>
        <w:footnoteReference w:id="13817"/>
      </w:r>
      <w:r>
        <w:t xml:space="preserve"> of the house of Judah. Upon them they will pasture; in the houses of Ashkelon at evening they will lodge from before the sons of Judah, because the Lord their God has visited them and turned back their captivity.</w:t>
      </w:r>
    </w:p>
    <w:p>
      <w:r>
        <w:rPr>
          <w:b/>
        </w:rPr>
        <w:t xml:space="preserve">8 </w:t>
      </w:r>
      <w:r>
        <w:t xml:space="preserve">I heard</w:t>
      </w:r>
      <w:r>
        <w:rPr>
          <w:rStyle w:val="FootnoteReference"/>
        </w:rPr>
        <w:footnoteReference w:id="13818"/>
      </w:r>
      <w:r>
        <w:t xml:space="preserve"> reproaches of Moab and insults of sons of Ammon, with which they reproached my people and magnified themselves against my borders.</w:t>
      </w:r>
    </w:p>
    <w:p>
      <w:r>
        <w:rPr>
          <w:b/>
        </w:rPr>
        <w:t xml:space="preserve">9 </w:t>
      </w:r>
      <w:r>
        <w:t xml:space="preserve">Therefore, as I live, says the Lord of forces, God of Israel, Moab will be as Sodom and the sons of Ammon as Gomorrah</w:t>
      </w:r>
      <w:r>
        <w:rPr>
          <w:rStyle w:val="FootnoteReference"/>
        </w:rPr>
        <w:footnoteReference w:id="13819"/>
      </w:r>
      <w:r>
        <w:t xml:space="preserve">, and Damascus will be left behind like a heap of the threshing-floor and made desolate forever; the remnant of my people will plunder them, and the remnant of my nation will inherit them.</w:t>
      </w:r>
    </w:p>
    <w:p>
      <w:r>
        <w:rPr>
          <w:b/>
        </w:rPr>
        <w:t xml:space="preserve">10 </w:t>
      </w:r>
      <w:r>
        <w:t xml:space="preserve">This is to them in return for their arrogance, because they reproached and magnified</w:t>
      </w:r>
      <w:r>
        <w:rPr>
          <w:rStyle w:val="FootnoteReference"/>
        </w:rPr>
        <w:footnoteReference w:id="13820"/>
      </w:r>
      <w:r>
        <w:t xml:space="preserve"> themselves against the Lord Almighty.</w:t>
      </w:r>
    </w:p>
    <w:p>
      <w:r>
        <w:rPr>
          <w:b/>
        </w:rPr>
        <w:t xml:space="preserve">11 </w:t>
      </w:r>
      <w:r>
        <w:t xml:space="preserve">The Lord will appear against them and utterly destroy all the gods of the nations of the earth, and all the islands of nations will worship him, each from his place.</w:t>
      </w:r>
    </w:p>
    <w:p>
      <w:r>
        <w:rPr>
          <w:b/>
        </w:rPr>
        <w:t xml:space="preserve">12 </w:t>
      </w:r>
      <w:r>
        <w:t xml:space="preserve">And you Ethiopians</w:t>
      </w:r>
      <w:r>
        <w:rPr>
          <w:rStyle w:val="FootnoteReference"/>
        </w:rPr>
        <w:footnoteReference w:id="13821"/>
      </w:r>
      <w:r>
        <w:t xml:space="preserve"> are wounded ones of my sword.</w:t>
      </w:r>
    </w:p>
    <w:p>
      <w:r>
        <w:rPr>
          <w:b/>
        </w:rPr>
        <w:t xml:space="preserve">13 </w:t>
      </w:r>
      <w:r>
        <w:t xml:space="preserve">And he will stretch out his hand against the north and destroy the Assyrian and make Nineveh a disappearance, waterless as a desert.</w:t>
      </w:r>
    </w:p>
    <w:p>
      <w:r>
        <w:rPr>
          <w:b/>
        </w:rPr>
        <w:t xml:space="preserve">14 </w:t>
      </w:r>
      <w:r>
        <w:t xml:space="preserve">And flocks</w:t>
      </w:r>
      <w:r>
        <w:rPr>
          <w:rStyle w:val="FootnoteReference"/>
        </w:rPr>
        <w:footnoteReference w:id="13822"/>
      </w:r>
      <w:r>
        <w:t xml:space="preserve"> and all the beasts of the earth will pasture in her midst, and chameleons and hedgehogs will lie in her ceilings, and beasts will cry out in her breaches, ravens in her gateways, because her stature is cedar.</w:t>
      </w:r>
    </w:p>
    <w:p>
      <w:r>
        <w:rPr>
          <w:b/>
        </w:rPr>
        <w:t xml:space="preserve">15 </w:t>
      </w:r>
      <w:r>
        <w:t xml:space="preserve">This is the city that made light, dwelling in hope, saying in her heart, I am, and there is no one after me anymore. How she became for disappearance, a pasture of beasts. Everyone passing through her will hiss and wave his hands.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O conspicuous and redeemed city, the dove.</w:t>
      </w:r>
    </w:p>
    <w:p>
      <w:r>
        <w:rPr>
          <w:b/>
        </w:rPr>
        <w:t xml:space="preserve">2 </w:t>
      </w:r>
      <w:r>
        <w:t xml:space="preserve">She did not listen to a voice; she did not accept discipline; she did not trust in the Lord, and she did not draw near to her God.</w:t>
      </w:r>
    </w:p>
    <w:p>
      <w:r>
        <w:rPr>
          <w:b/>
        </w:rPr>
        <w:t xml:space="preserve">3 </w:t>
      </w:r>
      <w:r>
        <w:t xml:space="preserve">Her rulers within her are like roaring lions; her judges are like the wolves of Arabia; they did not leave anything for the morning.</w:t>
      </w:r>
    </w:p>
    <w:p>
      <w:r>
        <w:rPr>
          <w:b/>
        </w:rPr>
        <w:t xml:space="preserve">4 </w:t>
      </w:r>
      <w:r>
        <w:t xml:space="preserve">Her prophets are spirit-borne men, despisers</w:t>
      </w:r>
      <w:r>
        <w:rPr>
          <w:rStyle w:val="FootnoteReference"/>
        </w:rPr>
        <w:footnoteReference w:id="13823"/>
      </w:r>
      <w:r>
        <w:t xml:space="preserve">; her priests</w:t>
      </w:r>
      <w:r>
        <w:rPr>
          <w:rStyle w:val="FootnoteReference"/>
        </w:rPr>
        <w:footnoteReference w:id="13824"/>
      </w:r>
      <w:r>
        <w:t xml:space="preserve"> profane the holy things and act impiously against law.</w:t>
      </w:r>
    </w:p>
    <w:p>
      <w:r>
        <w:rPr>
          <w:b/>
        </w:rPr>
        <w:t xml:space="preserve">5 </w:t>
      </w:r>
      <w:r>
        <w:t xml:space="preserve">But the Lord is righteous in her midst and will certainly not do injustice. Morning by morning he will give his judgment to the light, and it was not hidden; and he did not know injustice in exaction nor injustice in strife</w:t>
      </w:r>
      <w:r>
        <w:rPr>
          <w:rStyle w:val="FootnoteReference"/>
        </w:rPr>
        <w:footnoteReference w:id="13825"/>
      </w:r>
      <w:r>
        <w:t xml:space="preserve">.</w:t>
      </w:r>
    </w:p>
    <w:p>
      <w:r>
        <w:rPr>
          <w:b/>
        </w:rPr>
        <w:t xml:space="preserve">6 </w:t>
      </w:r>
      <w:r>
        <w:t xml:space="preserve">With destruction I pulled down proud ones; their corners disappeared. I will make their roads desolate, so that no one passes through at all; their cities failed because no one existed nor dwelt.</w:t>
      </w:r>
    </w:p>
    <w:p>
      <w:r>
        <w:rPr>
          <w:b/>
        </w:rPr>
        <w:t xml:space="preserve">7 </w:t>
      </w:r>
      <w:r>
        <w:t xml:space="preserve">I said, Only fear me and receive discipline, and you will certainly not be destroyed from her eyes, all that I avenged upon her. Prepare yourself; rise early; all their gleaning has been corrupted</w:t>
      </w:r>
      <w:r>
        <w:rPr>
          <w:rStyle w:val="FootnoteReference"/>
        </w:rPr>
        <w:footnoteReference w:id="13826"/>
      </w:r>
      <w:r>
        <w:t xml:space="preserve">.</w:t>
      </w:r>
    </w:p>
    <w:p>
      <w:r>
        <w:rPr>
          <w:b/>
        </w:rPr>
        <w:t xml:space="preserve">8 </w:t>
      </w:r>
      <w:r>
        <w:t xml:space="preserve">Therefore wait</w:t>
      </w:r>
      <w:r>
        <w:rPr>
          <w:rStyle w:val="FootnoteReference"/>
        </w:rPr>
        <w:footnoteReference w:id="13827"/>
      </w:r>
      <w:r>
        <w:t xml:space="preserve"> for me, says the Lord, for the day of my rising for witness, because my judgment is for gatherings of nations, to receive kings, to pour out upon them all the anger of my wrath, because in the fire of my zeal all the earth will be consumed.</w:t>
      </w:r>
    </w:p>
    <w:p>
      <w:r>
        <w:rPr>
          <w:b/>
        </w:rPr>
        <w:t xml:space="preserve">9 </w:t>
      </w:r>
      <w:r>
        <w:t xml:space="preserve">Because then I will</w:t>
      </w:r>
      <w:r>
        <w:rPr>
          <w:rStyle w:val="FootnoteReference"/>
        </w:rPr>
        <w:footnoteReference w:id="13828"/>
      </w:r>
      <w:r>
        <w:t xml:space="preserve"> turn to peoples a tongue for its generation, for all to call on the name of the Lord, to serve him under one yoke.</w:t>
      </w:r>
    </w:p>
    <w:p>
      <w:r>
        <w:rPr>
          <w:b/>
        </w:rPr>
        <w:t xml:space="preserve">10 </w:t>
      </w:r>
      <w:r>
        <w:t xml:space="preserve">From the ends of the rivers of Ethiopia they will bring sacrifices to me.</w:t>
      </w:r>
    </w:p>
    <w:p>
      <w:r>
        <w:rPr>
          <w:b/>
        </w:rPr>
        <w:t xml:space="preserve">11 </w:t>
      </w:r>
      <w:r>
        <w:t xml:space="preserve">In that day you will certainly not be put to shame because of all your practices by which you acted impiously against me, because then I will remove from you scornings of your arrogance, and you will no longer add to boast greatly upon my holy mountain.</w:t>
      </w:r>
    </w:p>
    <w:p>
      <w:r>
        <w:rPr>
          <w:b/>
        </w:rPr>
        <w:t xml:space="preserve">12 </w:t>
      </w:r>
      <w:r>
        <w:t xml:space="preserve">And I will leave</w:t>
      </w:r>
      <w:r>
        <w:rPr>
          <w:rStyle w:val="FootnoteReference"/>
        </w:rPr>
        <w:footnoteReference w:id="13829"/>
      </w:r>
      <w:r>
        <w:t xml:space="preserve"> in you a people gentle and humble, and they will fear the name of the Lord.</w:t>
      </w:r>
    </w:p>
    <w:p>
      <w:r>
        <w:rPr>
          <w:b/>
        </w:rPr>
        <w:t xml:space="preserve">13 </w:t>
      </w:r>
      <w:r>
        <w:t xml:space="preserve">The remnant</w:t>
      </w:r>
      <w:r>
        <w:rPr>
          <w:rStyle w:val="FootnoteReference"/>
        </w:rPr>
        <w:footnoteReference w:id="13830"/>
      </w:r>
      <w:r>
        <w:t xml:space="preserve"> of Israel will not do injustice and will not speak vain things, and no deceitful tongue will be found in their mouth, because they will pasture and lie down and there will be no one frightening them.</w:t>
      </w:r>
    </w:p>
    <w:p>
      <w:r>
        <w:rPr>
          <w:b/>
        </w:rPr>
        <w:t xml:space="preserve">14 </w:t>
      </w:r>
      <w:r>
        <w:t xml:space="preserve">Rejoice greatly, daughter Zion; proclaim, daughter Jerusalem; be glad and delight with all your heart, daughter Jerusalem.</w:t>
      </w:r>
    </w:p>
    <w:p>
      <w:r>
        <w:rPr>
          <w:b/>
        </w:rPr>
        <w:t xml:space="preserve">15 </w:t>
      </w:r>
      <w:r>
        <w:t xml:space="preserve">The Lord has removed your injustices and has redeemed you from the hand of your enemies. The King of Israel, the Lord, is in</w:t>
      </w:r>
      <w:r>
        <w:rPr>
          <w:rStyle w:val="FootnoteReference"/>
        </w:rPr>
        <w:footnoteReference w:id="13831"/>
      </w:r>
      <w:r>
        <w:t xml:space="preserve"> your midst; you will no longer see evils.</w:t>
      </w:r>
    </w:p>
    <w:p>
      <w:r>
        <w:rPr>
          <w:b/>
        </w:rPr>
        <w:t xml:space="preserve">16 </w:t>
      </w:r>
      <w:r>
        <w:t xml:space="preserve">In that time the Lord will say to Jerusalem, Take courage, Zion; do not let your hands grow slack</w:t>
      </w:r>
      <w:r>
        <w:rPr>
          <w:rStyle w:val="FootnoteReference"/>
        </w:rPr>
        <w:footnoteReference w:id="13832"/>
      </w:r>
      <w:r>
        <w:t xml:space="preserve">.</w:t>
      </w:r>
    </w:p>
    <w:p>
      <w:r>
        <w:rPr>
          <w:b/>
        </w:rPr>
        <w:t xml:space="preserve">17 </w:t>
      </w:r>
      <w:r>
        <w:t xml:space="preserve">The Lord your God is in you, mighty; he will save you; he will bring joy upon you and renew you in his love</w:t>
      </w:r>
      <w:r>
        <w:rPr>
          <w:rStyle w:val="FootnoteReference"/>
        </w:rPr>
        <w:footnoteReference w:id="13833"/>
      </w:r>
      <w:r>
        <w:t xml:space="preserve"> and rejoice over you in delight as on a feast day.</w:t>
      </w:r>
    </w:p>
    <w:p>
      <w:r>
        <w:rPr>
          <w:b/>
        </w:rPr>
        <w:t xml:space="preserve">18 </w:t>
      </w:r>
      <w:r>
        <w:t xml:space="preserve">And I will gather</w:t>
      </w:r>
      <w:r>
        <w:rPr>
          <w:rStyle w:val="FootnoteReference"/>
        </w:rPr>
        <w:footnoteReference w:id="13834"/>
      </w:r>
      <w:r>
        <w:t xml:space="preserve"> the crushed ones. Woe, who took reproach upon her?</w:t>
      </w:r>
    </w:p>
    <w:p>
      <w:r>
        <w:rPr>
          <w:b/>
        </w:rPr>
        <w:t xml:space="preserve">19 </w:t>
      </w:r>
      <w:r>
        <w:t xml:space="preserve">Behold, I act in you for your sake in that time, says the Lord, and I will save</w:t>
      </w:r>
      <w:r>
        <w:rPr>
          <w:rStyle w:val="FootnoteReference"/>
        </w:rPr>
        <w:footnoteReference w:id="13835"/>
      </w:r>
      <w:r>
        <w:t xml:space="preserve"> the oppressed one and receive the driven-out one, and I will set them for a boast and as renowned ones in all the earth.</w:t>
      </w:r>
    </w:p>
    <w:p>
      <w:r>
        <w:rPr>
          <w:b/>
        </w:rPr>
        <w:t xml:space="preserve">20 </w:t>
      </w:r>
      <w:r>
        <w:t xml:space="preserve">And they will be put to shame in that time when I do well to you and when I receive you, because I will make you renowned and for a boast among all the peoples of the earth, when I turn</w:t>
      </w:r>
      <w:r>
        <w:rPr>
          <w:rStyle w:val="FootnoteReference"/>
        </w:rPr>
        <w:footnoteReference w:id="13836"/>
      </w:r>
      <w:r>
        <w:t xml:space="preserve"> back your captivity before you, says the Lord.</w:t>
      </w:r>
    </w:p>
    <w:p>
      <w:r>
        <w:br w:type="page"/>
      </w:r>
    </w:p>
    <w:p>
      <w:pPr>
        <w:pStyle w:val="Heading1"/>
      </w:pPr>
      <w:r>
        <w:t xml:space="preserve">Haggai</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In the second</w:t>
      </w:r>
      <w:r>
        <w:rPr>
          <w:rStyle w:val="FootnoteReference"/>
        </w:rPr>
        <w:footnoteReference w:id="13837"/>
      </w:r>
      <w:r>
        <w:t xml:space="preserve"> year of Darius the king, in the sixth month, on the first day of the month, the word of the Lord came by the hand of Haggai the prophet</w:t>
      </w:r>
      <w:r>
        <w:rPr>
          <w:rStyle w:val="FootnoteReference"/>
        </w:rPr>
        <w:footnoteReference w:id="13838"/>
      </w:r>
      <w:r>
        <w:t xml:space="preserve">, saying: Say now to Zerubbabel son of Shealtiel from the tribe of Judah, and to Joshua son of Josedech</w:t>
      </w:r>
      <w:r>
        <w:rPr>
          <w:rStyle w:val="FootnoteReference"/>
        </w:rPr>
        <w:footnoteReference w:id="13839"/>
      </w:r>
      <w:r>
        <w:t xml:space="preserve">, the high priest, saying,</w:t>
      </w:r>
    </w:p>
    <w:p>
      <w:r>
        <w:rPr>
          <w:b/>
        </w:rPr>
        <w:t xml:space="preserve">2 </w:t>
      </w:r>
      <w:r>
        <w:t xml:space="preserve">Thus says the Lord Almighty, saying: This people says, The time has not come to build the house of the Lord.</w:t>
      </w:r>
    </w:p>
    <w:p>
      <w:r>
        <w:rPr>
          <w:b/>
        </w:rPr>
        <w:t xml:space="preserve">3 </w:t>
      </w:r>
      <w:r>
        <w:t xml:space="preserve">And the word of the Lord came by the hand of Haggai the prophet, saying,</w:t>
      </w:r>
    </w:p>
    <w:p>
      <w:r>
        <w:rPr>
          <w:b/>
        </w:rPr>
        <w:t xml:space="preserve">4 </w:t>
      </w:r>
      <w:r>
        <w:t xml:space="preserve">Is it time for you to dwell in your paneled houses while this house has been desolated?</w:t>
      </w:r>
    </w:p>
    <w:p>
      <w:r>
        <w:rPr>
          <w:b/>
        </w:rPr>
        <w:t xml:space="preserve">5 </w:t>
      </w:r>
      <w:r>
        <w:t xml:space="preserve">And now thus</w:t>
      </w:r>
      <w:r>
        <w:rPr>
          <w:rStyle w:val="FootnoteReference"/>
        </w:rPr>
        <w:footnoteReference w:id="13840"/>
      </w:r>
      <w:r>
        <w:t xml:space="preserve"> says the Lord Almighty: Set your hearts on your ways.</w:t>
      </w:r>
    </w:p>
    <w:p>
      <w:r>
        <w:rPr>
          <w:b/>
        </w:rPr>
        <w:t xml:space="preserve">6 </w:t>
      </w:r>
      <w:r>
        <w:t xml:space="preserve">You sowed much and brought in little; you ate and not to fullness; you drank and not to drunkenness; you clothed yourselves and were not warmed in them; and the one gathering wages gathered into a pierced bag.</w:t>
      </w:r>
    </w:p>
    <w:p>
      <w:r>
        <w:rPr>
          <w:b/>
        </w:rPr>
        <w:t xml:space="preserve">7 </w:t>
      </w:r>
      <w:r>
        <w:t xml:space="preserve">Thus says the Lord Almighty: Set your hearts on your ways.</w:t>
      </w:r>
    </w:p>
    <w:p>
      <w:r>
        <w:rPr>
          <w:b/>
        </w:rPr>
        <w:t xml:space="preserve">8 </w:t>
      </w:r>
      <w:r>
        <w:t xml:space="preserve">Go up to the mountain, cut wood, and build</w:t>
      </w:r>
      <w:r>
        <w:rPr>
          <w:rStyle w:val="FootnoteReference"/>
        </w:rPr>
        <w:footnoteReference w:id="13841"/>
      </w:r>
      <w:r>
        <w:t xml:space="preserve"> the house, and I will take pleasure in it and be glorified, says the Lord.</w:t>
      </w:r>
    </w:p>
    <w:p>
      <w:r>
        <w:rPr>
          <w:b/>
        </w:rPr>
        <w:t xml:space="preserve">9 </w:t>
      </w:r>
      <w:r>
        <w:t xml:space="preserve">You looked for much, and it became little, and it was brought into the house, and I blew them away. Therefore thus says the Lord Almighty: Because my house is desolate, while you each hurry to your own house.</w:t>
      </w:r>
    </w:p>
    <w:p>
      <w:r>
        <w:rPr>
          <w:b/>
        </w:rPr>
        <w:t xml:space="preserve">10 </w:t>
      </w:r>
      <w:r>
        <w:t xml:space="preserve">Therefore the sky will hold back dew, and the land will hold back its produce.</w:t>
      </w:r>
    </w:p>
    <w:p>
      <w:r>
        <w:rPr>
          <w:b/>
        </w:rPr>
        <w:t xml:space="preserve">11 </w:t>
      </w:r>
      <w:r>
        <w:t xml:space="preserve">And I will bring a sword upon the land and upon mountains and upon grain and upon wine and upon oil and upon what the land brings forth and upon humans and cattle and upon all</w:t>
      </w:r>
      <w:r>
        <w:rPr>
          <w:rStyle w:val="FootnoteReference"/>
        </w:rPr>
        <w:footnoteReference w:id="13842"/>
      </w:r>
      <w:r>
        <w:t xml:space="preserve"> the labors of their hands.</w:t>
      </w:r>
    </w:p>
    <w:p>
      <w:r>
        <w:rPr>
          <w:b/>
        </w:rPr>
        <w:t xml:space="preserve">12 </w:t>
      </w:r>
      <w:r>
        <w:t xml:space="preserve">And Zerubbabel</w:t>
      </w:r>
      <w:r>
        <w:rPr>
          <w:rStyle w:val="FootnoteReference"/>
        </w:rPr>
        <w:footnoteReference w:id="13843"/>
      </w:r>
      <w:r>
        <w:t xml:space="preserve"> son of Shealtiel from the tribe of Judah, and Joshua son of Josedech the high priest, and all the remnant of the people, listened to the voice of the Lord their God and to the words of Haggai the prophet, just as the Lord their God sent him to them, and the people feared before the Lord</w:t>
      </w:r>
      <w:r>
        <w:rPr>
          <w:rStyle w:val="FootnoteReference"/>
        </w:rPr>
        <w:footnoteReference w:id="13844"/>
      </w:r>
      <w:r>
        <w:t xml:space="preserve">.</w:t>
      </w:r>
    </w:p>
    <w:p>
      <w:r>
        <w:rPr>
          <w:b/>
        </w:rPr>
        <w:t xml:space="preserve">13 </w:t>
      </w:r>
      <w:r>
        <w:t xml:space="preserve">And Haggai, messenger of the Lord</w:t>
      </w:r>
      <w:r>
        <w:rPr>
          <w:rStyle w:val="FootnoteReference"/>
        </w:rPr>
        <w:footnoteReference w:id="13845"/>
      </w:r>
      <w:r>
        <w:t xml:space="preserve">, said to the people, I am with you, says the Lord.</w:t>
      </w:r>
    </w:p>
    <w:p>
      <w:r>
        <w:rPr>
          <w:b/>
        </w:rPr>
        <w:t xml:space="preserve">14 </w:t>
      </w:r>
      <w:r>
        <w:t xml:space="preserve">And the Lord stirred</w:t>
      </w:r>
      <w:r>
        <w:rPr>
          <w:rStyle w:val="FootnoteReference"/>
        </w:rPr>
        <w:footnoteReference w:id="13846"/>
      </w:r>
      <w:r>
        <w:t xml:space="preserve"> up the spirit of Zerubbabel son of Shealtiel from the tribe of Judah, and the spirit of Joshua son of Josedech the high priest, and the spirit of the remnant of all the people</w:t>
      </w:r>
      <w:r>
        <w:rPr>
          <w:rStyle w:val="FootnoteReference"/>
        </w:rPr>
        <w:footnoteReference w:id="13847"/>
      </w:r>
      <w:r>
        <w:t xml:space="preserve">, and they entered and were doing work in the house of the Lord Almighty their God,</w:t>
      </w:r>
    </w:p>
    <w:p>
      <w:r>
        <w:rPr>
          <w:b/>
        </w:rPr>
        <w:t xml:space="preserve">15 </w:t>
      </w:r>
      <w:r>
        <w:t xml:space="preserve">on the twenty-fourth day of the sixth month, in the second year of Darius the king.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In the seventh</w:t>
      </w:r>
      <w:r>
        <w:rPr>
          <w:rStyle w:val="FootnoteReference"/>
        </w:rPr>
        <w:footnoteReference w:id="13848"/>
      </w:r>
      <w:r>
        <w:t xml:space="preserve"> month, on the twenty-first day of the month, the Lord spoke by the hand of Haggai the prophet, saying,</w:t>
      </w:r>
    </w:p>
    <w:p>
      <w:r>
        <w:rPr>
          <w:b/>
        </w:rPr>
        <w:t xml:space="preserve">2 </w:t>
      </w:r>
      <w:r>
        <w:t xml:space="preserve">Say now to Zerubbabel son of Shealtiel from the tribe of Judah, and to Joshua son of Josedech the high priest, and to all the remnant of the people, saying,</w:t>
      </w:r>
    </w:p>
    <w:p>
      <w:r>
        <w:rPr>
          <w:b/>
        </w:rPr>
        <w:t xml:space="preserve">3 </w:t>
      </w:r>
      <w:r>
        <w:t xml:space="preserve">Who among you saw this house in its former glory</w:t>
      </w:r>
      <w:r>
        <w:rPr>
          <w:rStyle w:val="FootnoteReference"/>
        </w:rPr>
        <w:footnoteReference w:id="13849"/>
      </w:r>
      <w:r>
        <w:t xml:space="preserve">? And how do you see it now? Is it not as though it did not exist before you?</w:t>
      </w:r>
    </w:p>
    <w:p>
      <w:r>
        <w:rPr>
          <w:b/>
        </w:rPr>
        <w:t xml:space="preserve">4 </w:t>
      </w:r>
      <w:r>
        <w:t xml:space="preserve">And now be strong, Zerubbabel, says the Lord, and be strong, Joshua son of Josedech, the high priest, and let all the people of the land be strong, says the Lord, and act, because I am with you, says the Lord Almighty</w:t>
      </w:r>
      <w:r>
        <w:rPr>
          <w:rStyle w:val="FootnoteReference"/>
        </w:rPr>
        <w:footnoteReference w:id="13850"/>
      </w:r>
      <w:r>
        <w:t xml:space="preserve">.</w:t>
      </w:r>
    </w:p>
    <w:p>
      <w:r>
        <w:rPr>
          <w:b/>
        </w:rPr>
        <w:t xml:space="preserve">5 </w:t>
      </w:r>
      <w:r>
        <w:t xml:space="preserve">And my spirit has stood in the midst of you; take courage.</w:t>
      </w:r>
    </w:p>
    <w:p>
      <w:r>
        <w:rPr>
          <w:b/>
        </w:rPr>
        <w:t xml:space="preserve">6 </w:t>
      </w:r>
      <w:r>
        <w:t xml:space="preserve">For thus says the Lord Almighty: Yet once I will shake heaven and earth and sea and dry land.</w:t>
      </w:r>
    </w:p>
    <w:p>
      <w:r>
        <w:rPr>
          <w:b/>
        </w:rPr>
        <w:t xml:space="preserve">7 </w:t>
      </w:r>
      <w:r>
        <w:t xml:space="preserve">And I will shake</w:t>
      </w:r>
      <w:r>
        <w:rPr>
          <w:rStyle w:val="FootnoteReference"/>
        </w:rPr>
        <w:footnoteReference w:id="13851"/>
      </w:r>
      <w:r>
        <w:t xml:space="preserve"> all the nations, and the chosen things of all the nations will come, and I will fill this house with glory, says the Lord Almighty.</w:t>
      </w:r>
    </w:p>
    <w:p>
      <w:r>
        <w:rPr>
          <w:b/>
        </w:rPr>
        <w:t xml:space="preserve">8 </w:t>
      </w:r>
      <w:r>
        <w:t xml:space="preserve">Mine is the silver, and mine is the gold, says the Lord Almighty.</w:t>
      </w:r>
    </w:p>
    <w:p>
      <w:r>
        <w:rPr>
          <w:b/>
        </w:rPr>
        <w:t xml:space="preserve">9 </w:t>
      </w:r>
      <w:r>
        <w:t xml:space="preserve">The latter glory</w:t>
      </w:r>
      <w:r>
        <w:rPr>
          <w:rStyle w:val="FootnoteReference"/>
        </w:rPr>
        <w:footnoteReference w:id="13852"/>
      </w:r>
      <w:r>
        <w:t xml:space="preserve"> of this house will be greater than the first, says the Lord Almighty, and in this place I will give peace, says the Lord Almighty, and peace of soul for preservation</w:t>
      </w:r>
      <w:r>
        <w:rPr>
          <w:rStyle w:val="FootnoteReference"/>
        </w:rPr>
        <w:footnoteReference w:id="13853"/>
      </w:r>
      <w:r>
        <w:t xml:space="preserve"> to everyone building, to raise up this temple.</w:t>
      </w:r>
    </w:p>
    <w:p>
      <w:r>
        <w:rPr>
          <w:b/>
        </w:rPr>
        <w:t xml:space="preserve">10 </w:t>
      </w:r>
      <w:r>
        <w:t xml:space="preserve">On the twenty-fourth day of the ninth month, in the second year of Darius, the word of the Lord came to Haggai the prophet, saying,</w:t>
      </w:r>
    </w:p>
    <w:p>
      <w:r>
        <w:rPr>
          <w:b/>
        </w:rPr>
        <w:t xml:space="preserve">11 </w:t>
      </w:r>
      <w:r>
        <w:t xml:space="preserve">Thus says the Lord Almighty: Ask the priests about the law, saying,</w:t>
      </w:r>
    </w:p>
    <w:p>
      <w:r>
        <w:rPr>
          <w:b/>
        </w:rPr>
        <w:t xml:space="preserve">12 </w:t>
      </w:r>
      <w:r>
        <w:t xml:space="preserve">If a man takes holy flesh in the fold of his garment and the edge of his garment touches bread or cooked food or wine or oil or any food, will it be made holy? And the priests answered and said, No.</w:t>
      </w:r>
    </w:p>
    <w:p>
      <w:r>
        <w:rPr>
          <w:b/>
        </w:rPr>
        <w:t xml:space="preserve">13 </w:t>
      </w:r>
      <w:r>
        <w:t xml:space="preserve">And Haggai said, If one defiled by a corpse touches any of these, will it be defiled? And the priests answered and said, It will be defiled.</w:t>
      </w:r>
    </w:p>
    <w:p>
      <w:r>
        <w:rPr>
          <w:b/>
        </w:rPr>
        <w:t xml:space="preserve">14 </w:t>
      </w:r>
      <w:r>
        <w:t xml:space="preserve">And Haggai answered and said, So is this people</w:t>
      </w:r>
      <w:r>
        <w:rPr>
          <w:rStyle w:val="FootnoteReference"/>
        </w:rPr>
        <w:footnoteReference w:id="13854"/>
      </w:r>
      <w:r>
        <w:t xml:space="preserve"> and so is this nation before me, says the Lord, and so are all the works of their hands, and whoever approaches there will be defiled. Because of their early gains they will be pained before their labors, and you hated those rebuking in the gates.</w:t>
      </w:r>
    </w:p>
    <w:p>
      <w:r>
        <w:rPr>
          <w:b/>
        </w:rPr>
        <w:t xml:space="preserve">15 </w:t>
      </w:r>
      <w:r>
        <w:t xml:space="preserve">And now set this in your hearts from this day and upward, before setting stone upon stone in the temple of the Lord.</w:t>
      </w:r>
    </w:p>
    <w:p>
      <w:r>
        <w:rPr>
          <w:b/>
        </w:rPr>
        <w:t xml:space="preserve">16 </w:t>
      </w:r>
      <w:r>
        <w:t xml:space="preserve">What were you when you put twenty seahs of barley into a grain-bin and it became ten seahs, and you went into the wine-vat to draw fifty measures and there became twenty?</w:t>
      </w:r>
    </w:p>
    <w:p>
      <w:r>
        <w:rPr>
          <w:b/>
        </w:rPr>
        <w:t xml:space="preserve">17 </w:t>
      </w:r>
      <w:r>
        <w:t xml:space="preserve">I struck you with barrenness and blight and hail in all</w:t>
      </w:r>
      <w:r>
        <w:rPr>
          <w:rStyle w:val="FootnoteReference"/>
        </w:rPr>
        <w:footnoteReference w:id="13855"/>
      </w:r>
      <w:r>
        <w:t xml:space="preserve"> the works of your hands, and you did not return to me, says the Lord.</w:t>
      </w:r>
    </w:p>
    <w:p>
      <w:r>
        <w:rPr>
          <w:b/>
        </w:rPr>
        <w:t xml:space="preserve">18 </w:t>
      </w:r>
      <w:r>
        <w:t xml:space="preserve">Submit your hearts now from this day and onward, from the twenty-fourth day of the ninth month and from the day when the temple of the Lord was founded; set it in your hearts.</w:t>
      </w:r>
    </w:p>
    <w:p>
      <w:r>
        <w:rPr>
          <w:b/>
        </w:rPr>
        <w:t xml:space="preserve">19 </w:t>
      </w:r>
      <w:r>
        <w:t xml:space="preserve">Is it still known on the threshing floor? And are the vine and the fig tree and the pomegranate and the olive trees still not bearing fruit? From this day I will bless.</w:t>
      </w:r>
    </w:p>
    <w:p>
      <w:r>
        <w:rPr>
          <w:b/>
        </w:rPr>
        <w:t xml:space="preserve">20 </w:t>
      </w:r>
      <w:r>
        <w:t xml:space="preserve">And the word of the Lord came a second time to Haggai the prophet on the twenty-fourth day of the month, saying,</w:t>
      </w:r>
    </w:p>
    <w:p>
      <w:r>
        <w:rPr>
          <w:b/>
        </w:rPr>
        <w:t xml:space="preserve">21 </w:t>
      </w:r>
      <w:r>
        <w:t xml:space="preserve">Say to Zerubbabel</w:t>
      </w:r>
      <w:r>
        <w:rPr>
          <w:rStyle w:val="FootnoteReference"/>
        </w:rPr>
        <w:footnoteReference w:id="13856"/>
      </w:r>
      <w:r>
        <w:t xml:space="preserve"> son of Shealtiel from the tribe of Judah, saying: I shake heaven and earth and sea and dry land,</w:t>
      </w:r>
    </w:p>
    <w:p>
      <w:r>
        <w:rPr>
          <w:b/>
        </w:rPr>
        <w:t xml:space="preserve">22 </w:t>
      </w:r>
      <w:r>
        <w:t xml:space="preserve">and I will overturn the thrones of kings and destroy the strength of kings of the nations and overturn chariots and riders, and horses and their riders will come down, each by the sword against his brother.</w:t>
      </w:r>
    </w:p>
    <w:p>
      <w:r>
        <w:rPr>
          <w:b/>
        </w:rPr>
        <w:t xml:space="preserve">23 </w:t>
      </w:r>
      <w:r>
        <w:t xml:space="preserve">In that day, says the Lord Almighty, I will take you, Zerubbabel son of Shealtiel, my servant, says the Lord, and place you like a seal, because I chose you, says the Lord Almighty.</w:t>
      </w:r>
    </w:p>
    <w:p>
      <w:r>
        <w:br w:type="page"/>
      </w:r>
    </w:p>
    <w:p>
      <w:pPr>
        <w:pStyle w:val="Heading1"/>
      </w:pPr>
      <w:r>
        <w:t xml:space="preserve">Zechariah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In the eighth</w:t>
      </w:r>
      <w:r>
        <w:rPr>
          <w:rStyle w:val="FootnoteReference"/>
        </w:rPr>
        <w:footnoteReference w:id="13857"/>
      </w:r>
      <w:r>
        <w:t xml:space="preserve"> month of the second year of Darius, the word of the Lord came to Zechariah son of Berechiah, son of Iddo, the prophet, saying,</w:t>
      </w:r>
    </w:p>
    <w:p>
      <w:r>
        <w:rPr>
          <w:b/>
        </w:rPr>
        <w:t xml:space="preserve">2 </w:t>
      </w:r>
      <w:r>
        <w:t xml:space="preserve">The Lord was angry with your fathers with great anger.</w:t>
      </w:r>
    </w:p>
    <w:p>
      <w:r>
        <w:rPr>
          <w:b/>
        </w:rPr>
        <w:t xml:space="preserve">3 </w:t>
      </w:r>
      <w:r>
        <w:t xml:space="preserve">And you will say to them, Thus says the Lord Almighty: Return to me, and I will return to you, says the Lord.</w:t>
      </w:r>
    </w:p>
    <w:p>
      <w:r>
        <w:rPr>
          <w:b/>
        </w:rPr>
        <w:t xml:space="preserve">4 </w:t>
      </w:r>
      <w:r>
        <w:t xml:space="preserve">And do not become like your fathers, to whom the former prophets called, saying, Thus says the Lord Almighty: Turn</w:t>
      </w:r>
      <w:r>
        <w:rPr>
          <w:rStyle w:val="FootnoteReference"/>
        </w:rPr>
        <w:footnoteReference w:id="13858"/>
      </w:r>
      <w:r>
        <w:t xml:space="preserve"> from your evil ways and from your evil practices. But they did not pay attention to listen to me, says the Lord.</w:t>
      </w:r>
    </w:p>
    <w:p>
      <w:r>
        <w:rPr>
          <w:b/>
        </w:rPr>
        <w:t xml:space="preserve">5 </w:t>
      </w:r>
      <w:r>
        <w:t xml:space="preserve">Where are your fathers? And will the prophets live forever?</w:t>
      </w:r>
    </w:p>
    <w:p>
      <w:r>
        <w:rPr>
          <w:b/>
        </w:rPr>
        <w:t xml:space="preserve">6 </w:t>
      </w:r>
      <w:r>
        <w:t xml:space="preserve">Yet receive my words</w:t>
      </w:r>
      <w:r>
        <w:rPr>
          <w:rStyle w:val="FootnoteReference"/>
        </w:rPr>
        <w:footnoteReference w:id="13859"/>
      </w:r>
      <w:r>
        <w:t xml:space="preserve"> and my statutes, whatever I command by my Spirit to my servants the prophets, which overtook your fathers. And they answered and said, Just as the Lord Almighty was set to do according to our ways and according to our practices, so he did to us.</w:t>
      </w:r>
    </w:p>
    <w:p>
      <w:r>
        <w:rPr>
          <w:b/>
        </w:rPr>
        <w:t xml:space="preserve">7 </w:t>
      </w:r>
      <w:r>
        <w:t xml:space="preserve">On the twenty-fourth day of the eleventh</w:t>
      </w:r>
      <w:r>
        <w:rPr>
          <w:rStyle w:val="FootnoteReference"/>
        </w:rPr>
        <w:footnoteReference w:id="13860"/>
      </w:r>
      <w:r>
        <w:t xml:space="preserve"> month, this is the month Sebat</w:t>
      </w:r>
      <w:r>
        <w:rPr>
          <w:rStyle w:val="FootnoteReference"/>
        </w:rPr>
        <w:footnoteReference w:id="13861"/>
      </w:r>
      <w:r>
        <w:t xml:space="preserve">, in the second year of Darius, the word of the Lord came to Zechariah son of Berechiah, son of Iddo, the prophet, saying,</w:t>
      </w:r>
    </w:p>
    <w:p>
      <w:r>
        <w:rPr>
          <w:b/>
        </w:rPr>
        <w:t xml:space="preserve">8 </w:t>
      </w:r>
      <w:r>
        <w:t xml:space="preserve">I saw by night</w:t>
      </w:r>
      <w:r>
        <w:rPr>
          <w:rStyle w:val="FootnoteReference"/>
        </w:rPr>
        <w:footnoteReference w:id="13862"/>
      </w:r>
      <w:r>
        <w:t xml:space="preserve">, and behold, a man mounted on a red horse, and he stood between the two shadowed mountains, and behind him were red, dappled, varied, and white horses.</w:t>
      </w:r>
    </w:p>
    <w:p>
      <w:r>
        <w:rPr>
          <w:b/>
        </w:rPr>
        <w:t xml:space="preserve">9 </w:t>
      </w:r>
      <w:r>
        <w:t xml:space="preserve">And I said, What are these, lord? And the angel speaking with me</w:t>
      </w:r>
      <w:r>
        <w:rPr>
          <w:rStyle w:val="FootnoteReference"/>
        </w:rPr>
        <w:footnoteReference w:id="13863"/>
      </w:r>
      <w:r>
        <w:t xml:space="preserve"> said to me, I will show you what these are.</w:t>
      </w:r>
      <w:r>
        <w:rPr>
          <w:rStyle w:val="FootnoteReference"/>
        </w:rPr>
        <w:footnoteReference w:id="13864"/>
      </w:r>
    </w:p>
    <w:p>
      <w:r>
        <w:rPr>
          <w:b/>
        </w:rPr>
        <w:t xml:space="preserve">10 </w:t>
      </w:r>
      <w:r>
        <w:t xml:space="preserve">And the man</w:t>
      </w:r>
      <w:r>
        <w:rPr>
          <w:rStyle w:val="FootnoteReference"/>
        </w:rPr>
        <w:footnoteReference w:id="13865"/>
      </w:r>
      <w:r>
        <w:t xml:space="preserve"> standing between the mountains answered and said to me, These are the ones the Lord sent to patrol the earth.</w:t>
      </w:r>
    </w:p>
    <w:p>
      <w:r>
        <w:rPr>
          <w:b/>
        </w:rPr>
        <w:t xml:space="preserve">11 </w:t>
      </w:r>
      <w:r>
        <w:t xml:space="preserve">And they answered</w:t>
      </w:r>
      <w:r>
        <w:rPr>
          <w:rStyle w:val="FootnoteReference"/>
        </w:rPr>
        <w:footnoteReference w:id="13866"/>
      </w:r>
      <w:r>
        <w:t xml:space="preserve"> the angel of the Lord standing between the mountains and said, We have patrolled all the earth, and behold, all the earth is inhabited and at rest.</w:t>
      </w:r>
    </w:p>
    <w:p>
      <w:r>
        <w:rPr>
          <w:b/>
        </w:rPr>
        <w:t xml:space="preserve">12 </w:t>
      </w:r>
      <w:r>
        <w:t xml:space="preserve">And the angel</w:t>
      </w:r>
      <w:r>
        <w:rPr>
          <w:rStyle w:val="FootnoteReference"/>
        </w:rPr>
        <w:footnoteReference w:id="13867"/>
      </w:r>
      <w:r>
        <w:t xml:space="preserve"> of the Lord answered and said, O Lord Almighty, how long will you not have mercy on Jerusalem and the cities of Judah, which you overlooked this seventieth year?</w:t>
      </w:r>
    </w:p>
    <w:p>
      <w:r>
        <w:rPr>
          <w:b/>
        </w:rPr>
        <w:t xml:space="preserve">13 </w:t>
      </w:r>
      <w:r>
        <w:t xml:space="preserve">And the Lord Almighty answered the angel speaking with me</w:t>
      </w:r>
      <w:r>
        <w:rPr>
          <w:rStyle w:val="FootnoteReference"/>
        </w:rPr>
        <w:footnoteReference w:id="13868"/>
      </w:r>
      <w:r>
        <w:t xml:space="preserve"> with good</w:t>
      </w:r>
      <w:r>
        <w:rPr>
          <w:rStyle w:val="FootnoteReference"/>
        </w:rPr>
        <w:footnoteReference w:id="13869"/>
      </w:r>
      <w:r>
        <w:t xml:space="preserve"> words and consoling sayings.</w:t>
      </w:r>
    </w:p>
    <w:p>
      <w:r>
        <w:rPr>
          <w:b/>
        </w:rPr>
        <w:t xml:space="preserve">14 </w:t>
      </w:r>
      <w:r>
        <w:t xml:space="preserve">And the angel speaking with me</w:t>
      </w:r>
      <w:r>
        <w:rPr>
          <w:rStyle w:val="FootnoteReference"/>
        </w:rPr>
        <w:footnoteReference w:id="13870"/>
      </w:r>
      <w:r>
        <w:t xml:space="preserve"> said to me, Cry out, saying, Thus says the Lord Almighty: I have been jealous for Jerusalem and for Zion with great jealousy,</w:t>
      </w:r>
      <w:r>
        <w:rPr>
          <w:rStyle w:val="FootnoteReference"/>
        </w:rPr>
        <w:footnoteReference w:id="13871"/>
      </w:r>
    </w:p>
    <w:p>
      <w:r>
        <w:rPr>
          <w:b/>
        </w:rPr>
        <w:t xml:space="preserve">15 </w:t>
      </w:r>
      <w:r>
        <w:t xml:space="preserve">and with great anger I am angry against the nations joining attack, because I was angry a little, but they joined in for evils.</w:t>
      </w:r>
    </w:p>
    <w:p>
      <w:r>
        <w:rPr>
          <w:b/>
        </w:rPr>
        <w:t xml:space="preserve">16 </w:t>
      </w:r>
      <w:r>
        <w:t xml:space="preserve">Therefore thus says the Lord: I will return to Jerusalem with compassion, and my house</w:t>
      </w:r>
      <w:r>
        <w:rPr>
          <w:rStyle w:val="FootnoteReference"/>
        </w:rPr>
        <w:footnoteReference w:id="13872"/>
      </w:r>
      <w:r>
        <w:t xml:space="preserve"> will be rebuilt in her, says the Lord Almighty, and a measuring line will still be stretched over Jerusalem.</w:t>
      </w:r>
    </w:p>
    <w:p>
      <w:r>
        <w:rPr>
          <w:b/>
        </w:rPr>
        <w:t xml:space="preserve">17 </w:t>
      </w:r>
      <w:r>
        <w:t xml:space="preserve">And the angel speaking with me said to me, Cry out, saying, Thus says the Lord Almighty: The cities will still overflow with good things, and the Lord will still have mercy on Zion and still choose</w:t>
      </w:r>
      <w:r>
        <w:rPr>
          <w:rStyle w:val="FootnoteReference"/>
        </w:rPr>
        <w:footnoteReference w:id="13873"/>
      </w:r>
      <w:r>
        <w:t xml:space="preserve"> Jerusalem.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 lifted</w:t>
      </w:r>
      <w:r>
        <w:rPr>
          <w:rStyle w:val="FootnoteReference"/>
        </w:rPr>
        <w:footnoteReference w:id="13874"/>
      </w:r>
      <w:r>
        <w:t xml:space="preserve"> my eyes and saw, and behold, four horns.</w:t>
      </w:r>
    </w:p>
    <w:p>
      <w:r>
        <w:rPr>
          <w:b/>
        </w:rPr>
        <w:t xml:space="preserve">2 </w:t>
      </w:r>
      <w:r>
        <w:t xml:space="preserve">And I said to the angel speaking with me</w:t>
      </w:r>
      <w:r>
        <w:rPr>
          <w:rStyle w:val="FootnoteReference"/>
        </w:rPr>
        <w:footnoteReference w:id="13875"/>
      </w:r>
      <w:r>
        <w:t xml:space="preserve">, What are these, lord? And he said to me, These are the horns that scattered Judah and Israel.</w:t>
      </w:r>
    </w:p>
    <w:p>
      <w:r>
        <w:rPr>
          <w:b/>
        </w:rPr>
        <w:t xml:space="preserve">3 </w:t>
      </w:r>
      <w:r>
        <w:t xml:space="preserve">And the Lord showed me four craftsmen.</w:t>
      </w:r>
    </w:p>
    <w:p>
      <w:r>
        <w:rPr>
          <w:b/>
        </w:rPr>
        <w:t xml:space="preserve">4 </w:t>
      </w:r>
      <w:r>
        <w:t xml:space="preserve">And I said, What are these coming to do? And he said to me, These are the horns that scattered Judah and Israel; they broke them down, and no one among them lifted a head. And these came to sharpen them for their hands, the four horns, the nations lifting a horn against the land of the Lord to scatter it.</w:t>
      </w:r>
    </w:p>
    <w:p>
      <w:r>
        <w:rPr>
          <w:b/>
        </w:rPr>
        <w:t xml:space="preserve">5 </w:t>
      </w:r>
      <w:r>
        <w:t xml:space="preserve">And I lifted my eyes and saw, and behold, a man, and in his hand a measuring line.</w:t>
      </w:r>
    </w:p>
    <w:p>
      <w:r>
        <w:rPr>
          <w:b/>
        </w:rPr>
        <w:t xml:space="preserve">6 </w:t>
      </w:r>
      <w:r>
        <w:t xml:space="preserve">And I said to him, Where are you going? And he said to me, To measure Jerusalem, to see how great its width is and how great its length.</w:t>
      </w:r>
    </w:p>
    <w:p>
      <w:r>
        <w:rPr>
          <w:b/>
        </w:rPr>
        <w:t xml:space="preserve">7 </w:t>
      </w:r>
      <w:r>
        <w:t xml:space="preserve">And behold, the angel speaking with me</w:t>
      </w:r>
      <w:r>
        <w:rPr>
          <w:rStyle w:val="FootnoteReference"/>
        </w:rPr>
        <w:footnoteReference w:id="13876"/>
      </w:r>
      <w:r>
        <w:t xml:space="preserve"> stood, and another angel went out to meet him,</w:t>
      </w:r>
    </w:p>
    <w:p>
      <w:r>
        <w:rPr>
          <w:b/>
        </w:rPr>
        <w:t xml:space="preserve">8 </w:t>
      </w:r>
      <w:r>
        <w:t xml:space="preserve">and said to him, Run, and speak to that young man, saying: Jerusalem will be inhabited fruitfully because of the multitude of humans and cattle in her midst.</w:t>
      </w:r>
    </w:p>
    <w:p>
      <w:r>
        <w:rPr>
          <w:b/>
        </w:rPr>
        <w:t xml:space="preserve">9 </w:t>
      </w:r>
      <w:r>
        <w:t xml:space="preserve">And I will be to her, says the Lord, a wall of fire all around, and I will be for glory in her midst.</w:t>
      </w:r>
    </w:p>
    <w:p>
      <w:r>
        <w:rPr>
          <w:b/>
        </w:rPr>
        <w:t xml:space="preserve">10 </w:t>
      </w:r>
      <w:r>
        <w:t xml:space="preserve">Ho, ho, flee from the land of the north, says the Lord, because from the four winds of heaven I will gather you, says the Lord.</w:t>
      </w:r>
    </w:p>
    <w:p>
      <w:r>
        <w:rPr>
          <w:b/>
        </w:rPr>
        <w:t xml:space="preserve">11 </w:t>
      </w:r>
      <w:r>
        <w:t xml:space="preserve">To Zion, be rescued, you who dwell with daughter Babylon.</w:t>
      </w:r>
    </w:p>
    <w:p>
      <w:r>
        <w:rPr>
          <w:b/>
        </w:rPr>
        <w:t xml:space="preserve">12 </w:t>
      </w:r>
      <w:r>
        <w:t xml:space="preserve">Because thus says the Lord Almighty: After glory he sent me against the nations that plundered you, because one touching you is like one touching the pupil of his eye</w:t>
      </w:r>
      <w:r>
        <w:rPr>
          <w:rStyle w:val="FootnoteReference"/>
        </w:rPr>
        <w:footnoteReference w:id="13877"/>
      </w:r>
      <w:r>
        <w:t xml:space="preserve">.</w:t>
      </w:r>
    </w:p>
    <w:p>
      <w:r>
        <w:rPr>
          <w:b/>
        </w:rPr>
        <w:t xml:space="preserve">13 </w:t>
      </w:r>
      <w:r>
        <w:t xml:space="preserve">Because behold, I bring my hand upon them, and they will be plunder to those serving them, and you will know that the Lord Almighty sent me.</w:t>
      </w:r>
    </w:p>
    <w:p>
      <w:r>
        <w:rPr>
          <w:b/>
        </w:rPr>
        <w:t xml:space="preserve">14 </w:t>
      </w:r>
      <w:r>
        <w:t xml:space="preserve">Delight and rejoice, daughter Zion, because behold, I come and will camp in your midst, says the Lord.</w:t>
      </w:r>
    </w:p>
    <w:p>
      <w:r>
        <w:rPr>
          <w:b/>
        </w:rPr>
        <w:t xml:space="preserve">15 </w:t>
      </w:r>
      <w:r>
        <w:t xml:space="preserve">And many nations will flee for refuge to the Lord in that day and will be for him a people, and they will camp in your midst, and you will know that the Lord Almighty sent me to you.</w:t>
      </w:r>
    </w:p>
    <w:p>
      <w:r>
        <w:rPr>
          <w:b/>
        </w:rPr>
        <w:t xml:space="preserve">16 </w:t>
      </w:r>
      <w:r>
        <w:t xml:space="preserve">And the Lord will inherit Judah, his portion, upon the holy land, and he will still choose Jerusalem.</w:t>
      </w:r>
    </w:p>
    <w:p>
      <w:r>
        <w:rPr>
          <w:b/>
        </w:rPr>
        <w:t xml:space="preserve">17 </w:t>
      </w:r>
      <w:r>
        <w:t xml:space="preserve">Let all flesh fear from the face of the Lord, because he has been roused from his holy clouds.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he showed me Joshua</w:t>
      </w:r>
      <w:r>
        <w:rPr>
          <w:rStyle w:val="FootnoteReference"/>
        </w:rPr>
        <w:footnoteReference w:id="13878"/>
      </w:r>
      <w:r>
        <w:t xml:space="preserve"> the high priest standing before the angel of the Lord, and the slanderer stood at his right hand to oppose him.</w:t>
      </w:r>
    </w:p>
    <w:p>
      <w:r>
        <w:rPr>
          <w:b/>
        </w:rPr>
        <w:t xml:space="preserve">2 </w:t>
      </w:r>
      <w:r>
        <w:t xml:space="preserve">And the Lord said</w:t>
      </w:r>
      <w:r>
        <w:rPr>
          <w:rStyle w:val="FootnoteReference"/>
        </w:rPr>
        <w:footnoteReference w:id="13879"/>
      </w:r>
      <w:r>
        <w:t xml:space="preserve"> to the slanderer, The Lord rebuke you, O slanderer; yes, the Lord rebuke you, he who chose Jerusalem. Is not this like a firebrand pulled from the fire?</w:t>
      </w:r>
    </w:p>
    <w:p>
      <w:r>
        <w:rPr>
          <w:b/>
        </w:rPr>
        <w:t xml:space="preserve">3 </w:t>
      </w:r>
      <w:r>
        <w:t xml:space="preserve">And Joshua was clothed in filthy garments and stood before the angel.</w:t>
      </w:r>
    </w:p>
    <w:p>
      <w:r>
        <w:rPr>
          <w:b/>
        </w:rPr>
        <w:t xml:space="preserve">4 </w:t>
      </w:r>
      <w:r>
        <w:t xml:space="preserve">And he answered and said to those</w:t>
      </w:r>
      <w:r>
        <w:rPr>
          <w:rStyle w:val="FootnoteReference"/>
        </w:rPr>
        <w:footnoteReference w:id="13880"/>
      </w:r>
      <w:r>
        <w:t xml:space="preserve"> standing before him, saying, Take away the filthy garments from him. And he said to him, Behold, I took away your lawless deeds, and clothe him in a full robe.</w:t>
      </w:r>
    </w:p>
    <w:p>
      <w:r>
        <w:rPr>
          <w:b/>
        </w:rPr>
        <w:t xml:space="preserve">5 </w:t>
      </w:r>
      <w:r>
        <w:t xml:space="preserve">And put a clean turban on his head. And they clothed him with garments and put a clean turban on his head, and the angel of the Lord stood by.</w:t>
      </w:r>
    </w:p>
    <w:p>
      <w:r>
        <w:rPr>
          <w:b/>
        </w:rPr>
        <w:t xml:space="preserve">6 </w:t>
      </w:r>
      <w:r>
        <w:t xml:space="preserve">And the angel of the Lord solemnly testified to Joshua, saying,</w:t>
      </w:r>
    </w:p>
    <w:p>
      <w:r>
        <w:rPr>
          <w:b/>
        </w:rPr>
        <w:t xml:space="preserve">7 </w:t>
      </w:r>
      <w:r>
        <w:t xml:space="preserve">Thus says the Lord Almighty: If you walk in my ways and keep my commands, then you also will judge</w:t>
      </w:r>
      <w:r>
        <w:rPr>
          <w:rStyle w:val="FootnoteReference"/>
        </w:rPr>
        <w:footnoteReference w:id="13881"/>
      </w:r>
      <w:r>
        <w:t xml:space="preserve"> my house, and if you guard my court, I will give you those walking about in the midst of these standing here.</w:t>
      </w:r>
    </w:p>
    <w:p>
      <w:r>
        <w:rPr>
          <w:b/>
        </w:rPr>
        <w:t xml:space="preserve">8 </w:t>
      </w:r>
      <w:r>
        <w:t xml:space="preserve">Hear now, Joshua the high priest, you and your companions sitting before you, because they are men who observe signs. Because behold, I bring my servant Dawn.</w:t>
      </w:r>
    </w:p>
    <w:p>
      <w:r>
        <w:rPr>
          <w:b/>
        </w:rPr>
        <w:t xml:space="preserve">9 </w:t>
      </w:r>
      <w:r>
        <w:t xml:space="preserve">Because the stone</w:t>
      </w:r>
      <w:r>
        <w:rPr>
          <w:rStyle w:val="FootnoteReference"/>
        </w:rPr>
        <w:footnoteReference w:id="13882"/>
      </w:r>
      <w:r>
        <w:t xml:space="preserve"> that I gave before the face of Joshua—upon the one stone are seven eyes. Behold, I dig a pit, says the Lord Almighty, and I will search out all the injustice of that land in one day.</w:t>
      </w:r>
    </w:p>
    <w:p>
      <w:r>
        <w:rPr>
          <w:b/>
        </w:rPr>
        <w:t xml:space="preserve">10 </w:t>
      </w:r>
      <w:r>
        <w:t xml:space="preserve">In that day, says the Lord Almighty, each will call his neighbor under the vine and under the fig tree.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the angel speaking with me</w:t>
      </w:r>
      <w:r>
        <w:rPr>
          <w:rStyle w:val="FootnoteReference"/>
        </w:rPr>
        <w:footnoteReference w:id="13883"/>
      </w:r>
      <w:r>
        <w:t xml:space="preserve"> returned and woke me, as when a man is awakened from his sleep.</w:t>
      </w:r>
      <w:r>
        <w:rPr>
          <w:rStyle w:val="FootnoteReference"/>
        </w:rPr>
        <w:footnoteReference w:id="13884"/>
      </w:r>
    </w:p>
    <w:p>
      <w:r>
        <w:rPr>
          <w:b/>
        </w:rPr>
        <w:t xml:space="preserve">2 </w:t>
      </w:r>
      <w:r>
        <w:t xml:space="preserve">And he said to me, What do you see? And I said, I have seen, and behold, a lampstand all of gold, and its lamp-bowl on top of it, and seven</w:t>
      </w:r>
      <w:r>
        <w:rPr>
          <w:rStyle w:val="FootnoteReference"/>
        </w:rPr>
        <w:footnoteReference w:id="13885"/>
      </w:r>
      <w:r>
        <w:t xml:space="preserve"> lamps upon it, and seven spouts for the lamps upon it.</w:t>
      </w:r>
    </w:p>
    <w:p>
      <w:r>
        <w:rPr>
          <w:b/>
        </w:rPr>
        <w:t xml:space="preserve">3 </w:t>
      </w:r>
      <w:r>
        <w:t xml:space="preserve">And two olive trees above it, one at the right of the lamp-bowl and one at the left.</w:t>
      </w:r>
    </w:p>
    <w:p>
      <w:r>
        <w:rPr>
          <w:b/>
        </w:rPr>
        <w:t xml:space="preserve">4 </w:t>
      </w:r>
      <w:r>
        <w:t xml:space="preserve">And I asked and said to the angel speaking with me</w:t>
      </w:r>
      <w:r>
        <w:rPr>
          <w:rStyle w:val="FootnoteReference"/>
        </w:rPr>
        <w:footnoteReference w:id="13886"/>
      </w:r>
      <w:r>
        <w:t xml:space="preserve">, saying, What are these, lord?</w:t>
      </w:r>
    </w:p>
    <w:p>
      <w:r>
        <w:rPr>
          <w:b/>
        </w:rPr>
        <w:t xml:space="preserve">5 </w:t>
      </w:r>
      <w:r>
        <w:t xml:space="preserve">And the angel speaking with me</w:t>
      </w:r>
      <w:r>
        <w:rPr>
          <w:rStyle w:val="FootnoteReference"/>
        </w:rPr>
        <w:footnoteReference w:id="13887"/>
      </w:r>
      <w:r>
        <w:t xml:space="preserve"> answered and said to me, Do you not know what these are? And I said, No, lord.</w:t>
      </w:r>
    </w:p>
    <w:p>
      <w:r>
        <w:rPr>
          <w:b/>
        </w:rPr>
        <w:t xml:space="preserve">6 </w:t>
      </w:r>
      <w:r>
        <w:t xml:space="preserve">And he answered and said to me: This is the word of the Lord to Zerubbabel, saying: Not by great power nor by might</w:t>
      </w:r>
      <w:r>
        <w:rPr>
          <w:rStyle w:val="FootnoteReference"/>
        </w:rPr>
        <w:footnoteReference w:id="13888"/>
      </w:r>
      <w:r>
        <w:t xml:space="preserve">, but by my Spirit</w:t>
      </w:r>
      <w:r>
        <w:rPr>
          <w:rStyle w:val="FootnoteReference"/>
        </w:rPr>
        <w:footnoteReference w:id="13889"/>
      </w:r>
      <w:r>
        <w:t xml:space="preserve">, says the Lord Almighty.</w:t>
      </w:r>
    </w:p>
    <w:p>
      <w:r>
        <w:rPr>
          <w:b/>
        </w:rPr>
        <w:t xml:space="preserve">7 </w:t>
      </w:r>
      <w:r>
        <w:t xml:space="preserve">Who are you, O great</w:t>
      </w:r>
      <w:r>
        <w:rPr>
          <w:rStyle w:val="FootnoteReference"/>
        </w:rPr>
        <w:footnoteReference w:id="13890"/>
      </w:r>
      <w:r>
        <w:t xml:space="preserve"> mountain before the face of Zerubbabel, that you should prosper? And I will bring out the stone of the inheritance: equality of grace, grace to it.</w:t>
      </w:r>
    </w:p>
    <w:p>
      <w:r>
        <w:rPr>
          <w:b/>
        </w:rPr>
        <w:t xml:space="preserve">8 </w:t>
      </w:r>
      <w:r>
        <w:t xml:space="preserve">And the word of the Lord came to me, saying,</w:t>
      </w:r>
    </w:p>
    <w:p>
      <w:r>
        <w:rPr>
          <w:b/>
        </w:rPr>
        <w:t xml:space="preserve">9 </w:t>
      </w:r>
      <w:r>
        <w:t xml:space="preserve">The hands of Zerubbabel founded this house, and his hands</w:t>
      </w:r>
      <w:r>
        <w:rPr>
          <w:rStyle w:val="FootnoteReference"/>
        </w:rPr>
        <w:footnoteReference w:id="13891"/>
      </w:r>
      <w:r>
        <w:t xml:space="preserve"> will complete it, and you will know that the Lord Almighty sent me to you.</w:t>
      </w:r>
    </w:p>
    <w:p>
      <w:r>
        <w:rPr>
          <w:b/>
        </w:rPr>
        <w:t xml:space="preserve">10 </w:t>
      </w:r>
      <w:r>
        <w:t xml:space="preserve">For who has despised</w:t>
      </w:r>
      <w:r>
        <w:rPr>
          <w:rStyle w:val="FootnoteReference"/>
        </w:rPr>
        <w:footnoteReference w:id="13892"/>
      </w:r>
      <w:r>
        <w:t xml:space="preserve"> the days of small things? And they will rejoice and see the tin-stone in the hand of Zerubbabel. These seven are the eyes of the Lord, looking over all the earth.</w:t>
      </w:r>
    </w:p>
    <w:p>
      <w:r>
        <w:rPr>
          <w:b/>
        </w:rPr>
        <w:t xml:space="preserve">11 </w:t>
      </w:r>
      <w:r>
        <w:t xml:space="preserve">And I answered and said to him, What are these two olive trees at the right of the lampstand and at the left?</w:t>
      </w:r>
    </w:p>
    <w:p>
      <w:r>
        <w:rPr>
          <w:b/>
        </w:rPr>
        <w:t xml:space="preserve">12 </w:t>
      </w:r>
      <w:r>
        <w:t xml:space="preserve">And I asked a second time and said to him, What are the two branches of the olive trees in the hands of the two golden nozzles that pour out and bring back the golden spouts?</w:t>
      </w:r>
    </w:p>
    <w:p>
      <w:r>
        <w:rPr>
          <w:b/>
        </w:rPr>
        <w:t xml:space="preserve">13 </w:t>
      </w:r>
      <w:r>
        <w:t xml:space="preserve">And he said to me, Do you not know what these are? And I said, No, lord.</w:t>
      </w:r>
    </w:p>
    <w:p>
      <w:r>
        <w:rPr>
          <w:b/>
        </w:rPr>
        <w:t xml:space="preserve">14 </w:t>
      </w:r>
      <w:r>
        <w:t xml:space="preserve">And he said, These are the two sons of richness, standing beside the Lord</w:t>
      </w:r>
      <w:r>
        <w:rPr>
          <w:rStyle w:val="FootnoteReference"/>
        </w:rPr>
        <w:footnoteReference w:id="13893"/>
      </w:r>
      <w:r>
        <w:t xml:space="preserve"> of all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I turned and lifted my eyes and saw, and behold, a flying sickle.</w:t>
      </w:r>
    </w:p>
    <w:p>
      <w:r>
        <w:rPr>
          <w:b/>
        </w:rPr>
        <w:t xml:space="preserve">2 </w:t>
      </w:r>
      <w:r>
        <w:t xml:space="preserve">And he said to me, What do you see? And I said, I see a flying</w:t>
      </w:r>
      <w:r>
        <w:rPr>
          <w:rStyle w:val="FootnoteReference"/>
        </w:rPr>
        <w:footnoteReference w:id="13894"/>
      </w:r>
      <w:r>
        <w:t xml:space="preserve"> sickle, its length twenty cubits and its width ten cubits.</w:t>
      </w:r>
    </w:p>
    <w:p>
      <w:r>
        <w:rPr>
          <w:b/>
        </w:rPr>
        <w:t xml:space="preserve">3 </w:t>
      </w:r>
      <w:r>
        <w:t xml:space="preserve">And he said to me, This is the curse</w:t>
      </w:r>
      <w:r>
        <w:rPr>
          <w:rStyle w:val="FootnoteReference"/>
        </w:rPr>
        <w:footnoteReference w:id="13895"/>
      </w:r>
      <w:r>
        <w:t xml:space="preserve"> going out over the face of all the earth, because every thief will be avenged from this unto death, and every perjurer will be avenged from this unto death.</w:t>
      </w:r>
    </w:p>
    <w:p>
      <w:r>
        <w:rPr>
          <w:b/>
        </w:rPr>
        <w:t xml:space="preserve">4 </w:t>
      </w:r>
      <w:r>
        <w:t xml:space="preserve">And I will bring it forth, says the Lord Almighty, and it will enter the house of the thief and the house of the one swearing falsely by my name, and it will lodge in the midst of his house and consume it, its timbers and its stones.</w:t>
      </w:r>
    </w:p>
    <w:p>
      <w:r>
        <w:rPr>
          <w:b/>
        </w:rPr>
        <w:t xml:space="preserve">5 </w:t>
      </w:r>
      <w:r>
        <w:t xml:space="preserve">And the angel speaking with me</w:t>
      </w:r>
      <w:r>
        <w:rPr>
          <w:rStyle w:val="FootnoteReference"/>
        </w:rPr>
        <w:footnoteReference w:id="13896"/>
      </w:r>
      <w:r>
        <w:t xml:space="preserve"> went out and said to me, Lift up your eyes and see what this thing is that goes out.</w:t>
      </w:r>
      <w:r>
        <w:rPr>
          <w:rStyle w:val="FootnoteReference"/>
        </w:rPr>
        <w:footnoteReference w:id="13897"/>
      </w:r>
    </w:p>
    <w:p>
      <w:r>
        <w:rPr>
          <w:b/>
        </w:rPr>
        <w:t xml:space="preserve">6 </w:t>
      </w:r>
      <w:r>
        <w:t xml:space="preserve">And I said, What is it? And he said, This is the measure that goes out. And he said, This is their injustice in all the earth.</w:t>
      </w:r>
    </w:p>
    <w:p>
      <w:r>
        <w:rPr>
          <w:b/>
        </w:rPr>
        <w:t xml:space="preserve">7 </w:t>
      </w:r>
      <w:r>
        <w:t xml:space="preserve">And behold, a talent</w:t>
      </w:r>
      <w:r>
        <w:rPr>
          <w:rStyle w:val="FootnoteReference"/>
        </w:rPr>
        <w:footnoteReference w:id="13898"/>
      </w:r>
      <w:r>
        <w:t xml:space="preserve"> of lead was being lifted, and behold, one woman was sitting in the midst of the measure.</w:t>
      </w:r>
    </w:p>
    <w:p>
      <w:r>
        <w:rPr>
          <w:b/>
        </w:rPr>
        <w:t xml:space="preserve">8 </w:t>
      </w:r>
      <w:r>
        <w:t xml:space="preserve">And he said, This is the lawlessness. And he threw her into the midst of the measure and threw the lead stone onto its mouth.</w:t>
      </w:r>
    </w:p>
    <w:p>
      <w:r>
        <w:rPr>
          <w:b/>
        </w:rPr>
        <w:t xml:space="preserve">9 </w:t>
      </w:r>
      <w:r>
        <w:t xml:space="preserve">And I lifted my eyes and saw, and behold, two women coming out, and wind was in their wings, and they had wings like wings of a hoopoe, and they lifted the measure between the earth and heaven.</w:t>
      </w:r>
    </w:p>
    <w:p>
      <w:r>
        <w:rPr>
          <w:b/>
        </w:rPr>
        <w:t xml:space="preserve">10 </w:t>
      </w:r>
      <w:r>
        <w:t xml:space="preserve">And I said to the angel speaking with me, Where are they carrying away the measure</w:t>
      </w:r>
      <w:r>
        <w:rPr>
          <w:rStyle w:val="FootnoteReference"/>
        </w:rPr>
        <w:footnoteReference w:id="13899"/>
      </w:r>
      <w:r>
        <w:t xml:space="preserve">?</w:t>
      </w:r>
    </w:p>
    <w:p>
      <w:r>
        <w:rPr>
          <w:b/>
        </w:rPr>
        <w:t xml:space="preserve">11 </w:t>
      </w:r>
      <w:r>
        <w:t xml:space="preserve">And he said to me, To build a house for it in the land of Babylon, and prepare it, and they will set it there on its prepared base.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I turned</w:t>
      </w:r>
      <w:r>
        <w:rPr>
          <w:rStyle w:val="FootnoteReference"/>
        </w:rPr>
        <w:footnoteReference w:id="13900"/>
      </w:r>
      <w:r>
        <w:t xml:space="preserve"> and lifted my eyes and saw, and behold, four chariots going out from between two mountains, and the mountains were bronze mountains.</w:t>
      </w:r>
    </w:p>
    <w:p>
      <w:r>
        <w:rPr>
          <w:b/>
        </w:rPr>
        <w:t xml:space="preserve">2 </w:t>
      </w:r>
      <w:r>
        <w:t xml:space="preserve">In the first chariot were red horses, and in the second chariot black</w:t>
      </w:r>
      <w:r>
        <w:rPr>
          <w:rStyle w:val="FootnoteReference"/>
        </w:rPr>
        <w:footnoteReference w:id="13901"/>
      </w:r>
      <w:r>
        <w:t xml:space="preserve"> horses,</w:t>
      </w:r>
    </w:p>
    <w:p>
      <w:r>
        <w:rPr>
          <w:b/>
        </w:rPr>
        <w:t xml:space="preserve">3 </w:t>
      </w:r>
      <w:r>
        <w:t xml:space="preserve">and in the third chariot white</w:t>
      </w:r>
      <w:r>
        <w:rPr>
          <w:rStyle w:val="FootnoteReference"/>
        </w:rPr>
        <w:footnoteReference w:id="13902"/>
      </w:r>
      <w:r>
        <w:t xml:space="preserve"> horses, and in the fourth chariot varied dappled horses.</w:t>
      </w:r>
    </w:p>
    <w:p>
      <w:r>
        <w:rPr>
          <w:b/>
        </w:rPr>
        <w:t xml:space="preserve">4 </w:t>
      </w:r>
      <w:r>
        <w:t xml:space="preserve">And I answered and said to the angel speaking with me</w:t>
      </w:r>
      <w:r>
        <w:rPr>
          <w:rStyle w:val="FootnoteReference"/>
        </w:rPr>
        <w:footnoteReference w:id="13903"/>
      </w:r>
      <w:r>
        <w:t xml:space="preserve">, What are these, lord?</w:t>
      </w:r>
    </w:p>
    <w:p>
      <w:r>
        <w:rPr>
          <w:b/>
        </w:rPr>
        <w:t xml:space="preserve">5 </w:t>
      </w:r>
      <w:r>
        <w:t xml:space="preserve">And the angel speaking with me</w:t>
      </w:r>
      <w:r>
        <w:rPr>
          <w:rStyle w:val="FootnoteReference"/>
        </w:rPr>
        <w:footnoteReference w:id="13904"/>
      </w:r>
      <w:r>
        <w:t xml:space="preserve"> answered and said, These are the four winds of heaven, going out to stand before the Lord</w:t>
      </w:r>
      <w:r>
        <w:rPr>
          <w:rStyle w:val="FootnoteReference"/>
        </w:rPr>
        <w:footnoteReference w:id="13905"/>
      </w:r>
      <w:r>
        <w:t xml:space="preserve"> of all the earth.</w:t>
      </w:r>
    </w:p>
    <w:p>
      <w:r>
        <w:rPr>
          <w:b/>
        </w:rPr>
        <w:t xml:space="preserve">6 </w:t>
      </w:r>
      <w:r>
        <w:t xml:space="preserve">The black horses went out to the land of the north</w:t>
      </w:r>
      <w:r>
        <w:rPr>
          <w:rStyle w:val="FootnoteReference"/>
        </w:rPr>
        <w:footnoteReference w:id="13906"/>
      </w:r>
      <w:r>
        <w:t xml:space="preserve">, and the white went out behind them, and the varied went out to the land of the south.</w:t>
      </w:r>
    </w:p>
    <w:p>
      <w:r>
        <w:rPr>
          <w:b/>
        </w:rPr>
        <w:t xml:space="preserve">7 </w:t>
      </w:r>
      <w:r>
        <w:t xml:space="preserve">And the dappled went out and looked to go, to patrol the earth. And he said, Go, patrol the earth. And they patrolled the earth.</w:t>
      </w:r>
    </w:p>
    <w:p>
      <w:r>
        <w:rPr>
          <w:b/>
        </w:rPr>
        <w:t xml:space="preserve">8 </w:t>
      </w:r>
      <w:r>
        <w:t xml:space="preserve">And he cried out and spoke to me, saying, Behold, those going out to the land of the north have given rest to my wrath in the land of the north.</w:t>
      </w:r>
    </w:p>
    <w:p>
      <w:r>
        <w:rPr>
          <w:b/>
        </w:rPr>
        <w:t xml:space="preserve">9 </w:t>
      </w:r>
      <w:r>
        <w:t xml:space="preserve">And the word of the Lord came to me, saying,</w:t>
      </w:r>
    </w:p>
    <w:p>
      <w:r>
        <w:rPr>
          <w:b/>
        </w:rPr>
        <w:t xml:space="preserve">10 </w:t>
      </w:r>
      <w:r>
        <w:t xml:space="preserve">Take the things from the captivity, from its rulers and from its useful men and from those who know it, and you shall enter on that day into the house of Josiah son of Zephaniah, who came from Babylon.</w:t>
      </w:r>
    </w:p>
    <w:p>
      <w:r>
        <w:rPr>
          <w:b/>
        </w:rPr>
        <w:t xml:space="preserve">11 </w:t>
      </w:r>
      <w:r>
        <w:t xml:space="preserve">And you shall take silver and gold and make</w:t>
      </w:r>
      <w:r>
        <w:rPr>
          <w:rStyle w:val="FootnoteReference"/>
        </w:rPr>
        <w:footnoteReference w:id="13907"/>
      </w:r>
      <w:r>
        <w:t xml:space="preserve"> crowns and place them on the head of Joshua son of Josedech, the high priest.</w:t>
      </w:r>
    </w:p>
    <w:p>
      <w:r>
        <w:rPr>
          <w:b/>
        </w:rPr>
        <w:t xml:space="preserve">12 </w:t>
      </w:r>
      <w:r>
        <w:t xml:space="preserve">And you shall say to him, Thus says the Lord Almighty: Behold</w:t>
      </w:r>
      <w:r>
        <w:rPr>
          <w:rStyle w:val="FootnoteReference"/>
        </w:rPr>
        <w:footnoteReference w:id="13908"/>
      </w:r>
      <w:r>
        <w:t xml:space="preserve">, a man—Dawn is his name—and from beneath him he will rise, and he will build the house of the Lord.</w:t>
      </w:r>
    </w:p>
    <w:p>
      <w:r>
        <w:rPr>
          <w:b/>
        </w:rPr>
        <w:t xml:space="preserve">13 </w:t>
      </w:r>
      <w:r>
        <w:t xml:space="preserve">And he will receive excellence and sit and rule on his throne, and the priest will be at his right, and peaceful counsel will be between them both.</w:t>
      </w:r>
    </w:p>
    <w:p>
      <w:r>
        <w:rPr>
          <w:b/>
        </w:rPr>
        <w:t xml:space="preserve">14 </w:t>
      </w:r>
      <w:r>
        <w:t xml:space="preserve">And the crown will belong to those waiting and to its useful ones and to those who know it and for favor of the son of Zephaniah and for a psalm in the house of the Lord.</w:t>
      </w:r>
    </w:p>
    <w:p>
      <w:r>
        <w:rPr>
          <w:b/>
        </w:rPr>
        <w:t xml:space="preserve">15 </w:t>
      </w:r>
      <w:r>
        <w:t xml:space="preserve">And those far from them will come and build in the house of the Lord, and you will know that the Lord Almighty sent me to you. And it will be, if hearing you hear the voice of the Lord your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it happened in the fourth</w:t>
      </w:r>
      <w:r>
        <w:rPr>
          <w:rStyle w:val="FootnoteReference"/>
        </w:rPr>
        <w:footnoteReference w:id="13909"/>
      </w:r>
      <w:r>
        <w:t xml:space="preserve"> year of Darius the king, the word of the Lord came to Zechariah on the fourth day of the ninth month, which is Chisleu.</w:t>
      </w:r>
    </w:p>
    <w:p>
      <w:r>
        <w:rPr>
          <w:b/>
        </w:rPr>
        <w:t xml:space="preserve">2 </w:t>
      </w:r>
      <w:r>
        <w:t xml:space="preserve">And Sarasar and Arbeseer the king and his men sent to Bethel to make atonement to the Lord,</w:t>
      </w:r>
    </w:p>
    <w:p>
      <w:r>
        <w:rPr>
          <w:b/>
        </w:rPr>
        <w:t xml:space="preserve">3 </w:t>
      </w:r>
      <w:r>
        <w:t xml:space="preserve">saying to the priests in the house of the Lord Almighty and to the prophets, saying, Has the sanctification entered here in the fifth</w:t>
      </w:r>
      <w:r>
        <w:rPr>
          <w:rStyle w:val="FootnoteReference"/>
        </w:rPr>
        <w:footnoteReference w:id="13910"/>
      </w:r>
      <w:r>
        <w:t xml:space="preserve"> month, as I have done already many years?</w:t>
      </w:r>
    </w:p>
    <w:p>
      <w:r>
        <w:rPr>
          <w:b/>
        </w:rPr>
        <w:t xml:space="preserve">4 </w:t>
      </w:r>
      <w:r>
        <w:t xml:space="preserve">And the word of the Lord of hosts</w:t>
      </w:r>
      <w:r>
        <w:rPr>
          <w:rStyle w:val="FootnoteReference"/>
        </w:rPr>
        <w:footnoteReference w:id="13911"/>
      </w:r>
      <w:r>
        <w:t xml:space="preserve"> came to me, saying,</w:t>
      </w:r>
    </w:p>
    <w:p>
      <w:r>
        <w:rPr>
          <w:b/>
        </w:rPr>
        <w:t xml:space="preserve">5 </w:t>
      </w:r>
      <w:r>
        <w:t xml:space="preserve">Say to all the people of the land and to the priests, saying: If you fasted or mourned in the fifth month or in the seventh</w:t>
      </w:r>
      <w:r>
        <w:rPr>
          <w:rStyle w:val="FootnoteReference"/>
        </w:rPr>
        <w:footnoteReference w:id="13912"/>
      </w:r>
      <w:r>
        <w:t xml:space="preserve"> month, behold, for seventy years, was it for me you fasted?</w:t>
      </w:r>
    </w:p>
    <w:p>
      <w:r>
        <w:rPr>
          <w:b/>
        </w:rPr>
        <w:t xml:space="preserve">6 </w:t>
      </w:r>
      <w:r>
        <w:t xml:space="preserve">And if you eat and if you drink, are you not eating and drinking for yourselves?</w:t>
      </w:r>
    </w:p>
    <w:p>
      <w:r>
        <w:rPr>
          <w:b/>
        </w:rPr>
        <w:t xml:space="preserve">7 </w:t>
      </w:r>
      <w:r>
        <w:t xml:space="preserve">Are these not the words that the Lord spoke by the hand of the former prophets, when Jerusalem was inhabited and prospering, and her cities round about, and the hill-country and the lowland were inhabited?</w:t>
      </w:r>
    </w:p>
    <w:p>
      <w:r>
        <w:rPr>
          <w:b/>
        </w:rPr>
        <w:t xml:space="preserve">8 </w:t>
      </w:r>
      <w:r>
        <w:t xml:space="preserve">And the word of the Lord came to Zechariah, saying,</w:t>
      </w:r>
    </w:p>
    <w:p>
      <w:r>
        <w:rPr>
          <w:b/>
        </w:rPr>
        <w:t xml:space="preserve">9 </w:t>
      </w:r>
      <w:r>
        <w:t xml:space="preserve">Thus says the Lord Almighty: Judge righteous judgment</w:t>
      </w:r>
      <w:r>
        <w:rPr>
          <w:rStyle w:val="FootnoteReference"/>
        </w:rPr>
        <w:footnoteReference w:id="13913"/>
      </w:r>
      <w:r>
        <w:t xml:space="preserve">, and do mercy and compassion, each toward his brother.</w:t>
      </w:r>
    </w:p>
    <w:p>
      <w:r>
        <w:rPr>
          <w:b/>
        </w:rPr>
        <w:t xml:space="preserve">10 </w:t>
      </w:r>
      <w:r>
        <w:t xml:space="preserve">And do not oppress</w:t>
      </w:r>
      <w:r>
        <w:rPr>
          <w:rStyle w:val="FootnoteReference"/>
        </w:rPr>
        <w:footnoteReference w:id="13914"/>
      </w:r>
      <w:r>
        <w:t xml:space="preserve"> widow and orphan and sojourner and poor, and let each not remember evil of his brother in your hearts.</w:t>
      </w:r>
    </w:p>
    <w:p>
      <w:r>
        <w:rPr>
          <w:b/>
        </w:rPr>
        <w:t xml:space="preserve">11 </w:t>
      </w:r>
      <w:r>
        <w:t xml:space="preserve">And they refused to pay attention</w:t>
      </w:r>
      <w:r>
        <w:rPr>
          <w:rStyle w:val="FootnoteReference"/>
        </w:rPr>
        <w:footnoteReference w:id="13915"/>
      </w:r>
      <w:r>
        <w:t xml:space="preserve"> and gave a rebellious back and made their ears heavy so as not to hear.</w:t>
      </w:r>
      <w:r>
        <w:rPr>
          <w:rStyle w:val="FootnoteReference"/>
        </w:rPr>
        <w:footnoteReference w:id="13916"/>
      </w:r>
    </w:p>
    <w:p>
      <w:r>
        <w:rPr>
          <w:b/>
        </w:rPr>
        <w:t xml:space="preserve">12 </w:t>
      </w:r>
      <w:r>
        <w:t xml:space="preserve">And they set their heart as disobedient so as not to hear my law and the words that the Lord Almighty sent</w:t>
      </w:r>
      <w:r>
        <w:rPr>
          <w:rStyle w:val="FootnoteReference"/>
        </w:rPr>
        <w:footnoteReference w:id="13917"/>
      </w:r>
      <w:r>
        <w:t xml:space="preserve"> by his Spirit through the former prophets</w:t>
      </w:r>
      <w:r>
        <w:rPr>
          <w:rStyle w:val="FootnoteReference"/>
        </w:rPr>
        <w:footnoteReference w:id="13918"/>
      </w:r>
      <w:r>
        <w:t xml:space="preserve">, and great wrath came from the Lord Almighty.</w:t>
      </w:r>
    </w:p>
    <w:p>
      <w:r>
        <w:rPr>
          <w:b/>
        </w:rPr>
        <w:t xml:space="preserve">13 </w:t>
      </w:r>
      <w:r>
        <w:t xml:space="preserve">And it will be: just as he spoke and they did not hear him, so they will cry out and I will not hear, says the Lord Almighty.</w:t>
      </w:r>
    </w:p>
    <w:p>
      <w:r>
        <w:rPr>
          <w:b/>
        </w:rPr>
        <w:t xml:space="preserve">14 </w:t>
      </w:r>
      <w:r>
        <w:t xml:space="preserve">And I will cast them out into all the nations which they did not know, and the land behind them will be made a disappearance, with no one passing through or returning, and they made the chosen land into disappearance</w:t>
      </w:r>
      <w:r>
        <w:rPr>
          <w:rStyle w:val="FootnoteReference"/>
        </w:rPr>
        <w:footnoteReference w:id="13919"/>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the word of the Lord Almighty came, saying,</w:t>
      </w:r>
    </w:p>
    <w:p>
      <w:r>
        <w:rPr>
          <w:b/>
        </w:rPr>
        <w:t xml:space="preserve">2 </w:t>
      </w:r>
      <w:r>
        <w:t xml:space="preserve">Thus says the Lord Almighty: I have been jealous for Jerusalem and for Zion</w:t>
      </w:r>
      <w:r>
        <w:rPr>
          <w:rStyle w:val="FootnoteReference"/>
        </w:rPr>
        <w:footnoteReference w:id="13920"/>
      </w:r>
      <w:r>
        <w:t xml:space="preserve"> with great jealousy, and with great wrath I was jealous</w:t>
      </w:r>
      <w:r>
        <w:rPr>
          <w:rStyle w:val="FootnoteReference"/>
        </w:rPr>
        <w:footnoteReference w:id="13921"/>
      </w:r>
      <w:r>
        <w:t xml:space="preserve"> for her.</w:t>
      </w:r>
    </w:p>
    <w:p>
      <w:r>
        <w:rPr>
          <w:b/>
        </w:rPr>
        <w:t xml:space="preserve">3 </w:t>
      </w:r>
      <w:r>
        <w:t xml:space="preserve">Thus says the Lord: I will return to Zion and dwell</w:t>
      </w:r>
      <w:r>
        <w:rPr>
          <w:rStyle w:val="FootnoteReference"/>
        </w:rPr>
        <w:footnoteReference w:id="13922"/>
      </w:r>
      <w:r>
        <w:t xml:space="preserve"> in the midst of Jerusalem, and Jerusalem will be called the city of truth and the mountain of the Lord Almighty, a holy mountain.</w:t>
      </w:r>
    </w:p>
    <w:p>
      <w:r>
        <w:rPr>
          <w:b/>
        </w:rPr>
        <w:t xml:space="preserve">4 </w:t>
      </w:r>
      <w:r>
        <w:t xml:space="preserve">Thus says the Lord Almighty: Old men and old women will again dwell in the streets of Jerusalem, each having his staff in his hand because of multitude of days.</w:t>
      </w:r>
    </w:p>
    <w:p>
      <w:r>
        <w:rPr>
          <w:b/>
        </w:rPr>
        <w:t xml:space="preserve">5 </w:t>
      </w:r>
      <w:r>
        <w:t xml:space="preserve">And the streets of the city will be filled with boys and girls playing</w:t>
      </w:r>
      <w:r>
        <w:rPr>
          <w:rStyle w:val="FootnoteReference"/>
        </w:rPr>
        <w:footnoteReference w:id="13923"/>
      </w:r>
      <w:r>
        <w:t xml:space="preserve"> in its streets.</w:t>
      </w:r>
    </w:p>
    <w:p>
      <w:r>
        <w:rPr>
          <w:b/>
        </w:rPr>
        <w:t xml:space="preserve">6 </w:t>
      </w:r>
      <w:r>
        <w:t xml:space="preserve">Thus says the Lord Almighty: If this is impossible before the remnant of this people in those days, will it also be impossible before me? says the Lord Almighty.</w:t>
      </w:r>
    </w:p>
    <w:p>
      <w:r>
        <w:rPr>
          <w:b/>
        </w:rPr>
        <w:t xml:space="preserve">7 </w:t>
      </w:r>
      <w:r>
        <w:t xml:space="preserve">Thus says the Lord Almighty: Behold, I save my people from the land of the east and from the land of the west,</w:t>
      </w:r>
    </w:p>
    <w:p>
      <w:r>
        <w:rPr>
          <w:b/>
        </w:rPr>
        <w:t xml:space="preserve">8 </w:t>
      </w:r>
      <w:r>
        <w:t xml:space="preserve">and I will bring them in, and I will dwell in the midst of Jerusalem</w:t>
      </w:r>
      <w:r>
        <w:rPr>
          <w:rStyle w:val="FootnoteReference"/>
        </w:rPr>
        <w:footnoteReference w:id="13924"/>
      </w:r>
      <w:r>
        <w:t xml:space="preserve">, and they will be my people, and I will be their God in truth</w:t>
      </w:r>
      <w:r>
        <w:rPr>
          <w:rStyle w:val="FootnoteReference"/>
        </w:rPr>
        <w:footnoteReference w:id="13925"/>
      </w:r>
      <w:r>
        <w:t xml:space="preserve"> and righteousness.</w:t>
      </w:r>
    </w:p>
    <w:p>
      <w:r>
        <w:rPr>
          <w:b/>
        </w:rPr>
        <w:t xml:space="preserve">9 </w:t>
      </w:r>
      <w:r>
        <w:t xml:space="preserve">Thus says the Lord Almighty: Let your hands be strengthened, you who hear in these days these words from the mouth of the prophets</w:t>
      </w:r>
      <w:r>
        <w:rPr>
          <w:rStyle w:val="FootnoteReference"/>
        </w:rPr>
        <w:footnoteReference w:id="13926"/>
      </w:r>
      <w:r>
        <w:t xml:space="preserve">, from the day when the house of the Lord Almighty was founded, and from when the temple was built</w:t>
      </w:r>
      <w:r>
        <w:rPr>
          <w:rStyle w:val="FootnoteReference"/>
        </w:rPr>
        <w:footnoteReference w:id="13927"/>
      </w:r>
      <w:r>
        <w:t xml:space="preserve">.</w:t>
      </w:r>
    </w:p>
    <w:p>
      <w:r>
        <w:rPr>
          <w:b/>
        </w:rPr>
        <w:t xml:space="preserve">10 </w:t>
      </w:r>
      <w:r>
        <w:t xml:space="preserve">Because before those days the wage of humans was not for profit, and the wage of cattle did not exist, and for the one going out and the one coming in there was no peace from the affliction</w:t>
      </w:r>
      <w:r>
        <w:rPr>
          <w:rStyle w:val="FootnoteReference"/>
        </w:rPr>
        <w:footnoteReference w:id="13928"/>
      </w:r>
      <w:r>
        <w:t xml:space="preserve">, and I will send out all humans, each against his neighbor.</w:t>
      </w:r>
    </w:p>
    <w:p>
      <w:r>
        <w:rPr>
          <w:b/>
        </w:rPr>
        <w:t xml:space="preserve">11 </w:t>
      </w:r>
      <w:r>
        <w:t xml:space="preserve">And now I will not be to the remnant of this people as in former days, says the Lord Almighty.</w:t>
      </w:r>
    </w:p>
    <w:p>
      <w:r>
        <w:rPr>
          <w:b/>
        </w:rPr>
        <w:t xml:space="preserve">12 </w:t>
      </w:r>
      <w:r>
        <w:t xml:space="preserve">But I will show peace: the vine will give its fruit, the land will give its produce, and the heaven will give its dew, and I will cause the remnant</w:t>
      </w:r>
      <w:r>
        <w:rPr>
          <w:rStyle w:val="FootnoteReference"/>
        </w:rPr>
        <w:footnoteReference w:id="13929"/>
      </w:r>
      <w:r>
        <w:t xml:space="preserve"> of my people to inherit all these things.</w:t>
      </w:r>
    </w:p>
    <w:p>
      <w:r>
        <w:rPr>
          <w:b/>
        </w:rPr>
        <w:t xml:space="preserve">13 </w:t>
      </w:r>
      <w:r>
        <w:t xml:space="preserve">And it will be, just as you were a curse</w:t>
      </w:r>
      <w:r>
        <w:rPr>
          <w:rStyle w:val="FootnoteReference"/>
        </w:rPr>
        <w:footnoteReference w:id="13930"/>
      </w:r>
      <w:r>
        <w:t xml:space="preserve"> among the nations, O house of Judah and house of Israel, so I will save you and you will be a blessing. Take courage, and let your hands be strengthened.</w:t>
      </w:r>
    </w:p>
    <w:p>
      <w:r>
        <w:rPr>
          <w:b/>
        </w:rPr>
        <w:t xml:space="preserve">14 </w:t>
      </w:r>
      <w:r>
        <w:t xml:space="preserve">Because thus says the Lord Almighty: Just as I purposed to afflict you when your fathers provoked me, says the Lord Almighty, and I did not repent,</w:t>
      </w:r>
    </w:p>
    <w:p>
      <w:r>
        <w:rPr>
          <w:b/>
        </w:rPr>
        <w:t xml:space="preserve">15 </w:t>
      </w:r>
      <w:r>
        <w:t xml:space="preserve">so I have set myself and purposed in these days to do good to Jerusalem and to the house of Judah. Take courage.</w:t>
      </w:r>
    </w:p>
    <w:p>
      <w:r>
        <w:rPr>
          <w:b/>
        </w:rPr>
        <w:t xml:space="preserve">16 </w:t>
      </w:r>
      <w:r>
        <w:t xml:space="preserve">These are the words you shall do: Speak</w:t>
      </w:r>
      <w:r>
        <w:rPr>
          <w:rStyle w:val="FootnoteReference"/>
        </w:rPr>
        <w:footnoteReference w:id="13931"/>
      </w:r>
      <w:r>
        <w:t xml:space="preserve"> truth, each to his neighbor, and judge peaceful judgment</w:t>
      </w:r>
      <w:r>
        <w:rPr>
          <w:rStyle w:val="FootnoteReference"/>
        </w:rPr>
        <w:footnoteReference w:id="13932"/>
      </w:r>
      <w:r>
        <w:t xml:space="preserve"> in your gates.</w:t>
      </w:r>
    </w:p>
    <w:p>
      <w:r>
        <w:rPr>
          <w:b/>
        </w:rPr>
        <w:t xml:space="preserve">17 </w:t>
      </w:r>
      <w:r>
        <w:t xml:space="preserve">And let each not reckon evil against his neighbor</w:t>
      </w:r>
      <w:r>
        <w:rPr>
          <w:rStyle w:val="FootnoteReference"/>
        </w:rPr>
        <w:footnoteReference w:id="13933"/>
      </w:r>
      <w:r>
        <w:t xml:space="preserve"> in your hearts, and do not love</w:t>
      </w:r>
      <w:r>
        <w:rPr>
          <w:rStyle w:val="FootnoteReference"/>
        </w:rPr>
        <w:footnoteReference w:id="13934"/>
      </w:r>
      <w:r>
        <w:t xml:space="preserve"> a false oath, because all these things I hated, says the Lord Almighty.</w:t>
      </w:r>
    </w:p>
    <w:p>
      <w:r>
        <w:rPr>
          <w:b/>
        </w:rPr>
        <w:t xml:space="preserve">18 </w:t>
      </w:r>
      <w:r>
        <w:t xml:space="preserve">And the word of the Lord Almighty came to me, saying,</w:t>
      </w:r>
    </w:p>
    <w:p>
      <w:r>
        <w:rPr>
          <w:b/>
        </w:rPr>
        <w:t xml:space="preserve">19 </w:t>
      </w:r>
      <w:r>
        <w:t xml:space="preserve">Thus says the Lord Almighty: The fast of the fourth</w:t>
      </w:r>
      <w:r>
        <w:rPr>
          <w:rStyle w:val="FootnoteReference"/>
        </w:rPr>
        <w:footnoteReference w:id="13935"/>
      </w:r>
      <w:r>
        <w:t xml:space="preserve"> and the fast of the fifth and the fast of the seventh and the fast of the tenth will be to the house of Judah for joy and gladness and good feasts, and you will rejoice</w:t>
      </w:r>
      <w:r>
        <w:rPr>
          <w:rStyle w:val="FootnoteReference"/>
        </w:rPr>
        <w:footnoteReference w:id="13936"/>
      </w:r>
      <w:r>
        <w:t xml:space="preserve">; and love truth and peace.</w:t>
      </w:r>
    </w:p>
    <w:p>
      <w:r>
        <w:rPr>
          <w:b/>
        </w:rPr>
        <w:t xml:space="preserve">20 </w:t>
      </w:r>
      <w:r>
        <w:t xml:space="preserve">Thus says the Lord Almighty: Many peoples will still come, and those inhabiting many cities.</w:t>
      </w:r>
    </w:p>
    <w:p>
      <w:r>
        <w:rPr>
          <w:b/>
        </w:rPr>
        <w:t xml:space="preserve">21 </w:t>
      </w:r>
      <w:r>
        <w:t xml:space="preserve">And inhabitants of five cities will come together to one city, saying, Let us go to make supplication before the Lord and seek the face of the Lord Almighty; I too will go.</w:t>
      </w:r>
    </w:p>
    <w:p>
      <w:r>
        <w:rPr>
          <w:b/>
        </w:rPr>
        <w:t xml:space="preserve">22 </w:t>
      </w:r>
      <w:r>
        <w:t xml:space="preserve">And many peoples and many nations will come to seek the face of the Lord Almighty in Jerusalem and to make atonement before the Lord</w:t>
      </w:r>
      <w:r>
        <w:rPr>
          <w:rStyle w:val="FootnoteReference"/>
        </w:rPr>
        <w:footnoteReference w:id="13937"/>
      </w:r>
      <w:r>
        <w:t xml:space="preserve">.</w:t>
      </w:r>
    </w:p>
    <w:p>
      <w:r>
        <w:rPr>
          <w:b/>
        </w:rPr>
        <w:t xml:space="preserve">23 </w:t>
      </w:r>
      <w:r>
        <w:t xml:space="preserve">Thus says the Lord Almighty: In those days, if ten men</w:t>
      </w:r>
      <w:r>
        <w:rPr>
          <w:rStyle w:val="FootnoteReference"/>
        </w:rPr>
        <w:footnoteReference w:id="13938"/>
      </w:r>
      <w:r>
        <w:t xml:space="preserve"> from all the languages of the nations take hold, they will take hold of the hem of a Jewish man</w:t>
      </w:r>
      <w:r>
        <w:rPr>
          <w:rStyle w:val="FootnoteReference"/>
        </w:rPr>
        <w:footnoteReference w:id="13939"/>
      </w:r>
      <w:r>
        <w:t xml:space="preserve">, saying, We will go with you, because we heard that God is with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Oracle of the word of the Lord in the land of Hadrach</w:t>
      </w:r>
      <w:r>
        <w:rPr>
          <w:rStyle w:val="FootnoteReference"/>
        </w:rPr>
        <w:footnoteReference w:id="13940"/>
      </w:r>
      <w:r>
        <w:t xml:space="preserve"> and Damascus</w:t>
      </w:r>
      <w:r>
        <w:rPr>
          <w:rStyle w:val="FootnoteReference"/>
        </w:rPr>
        <w:footnoteReference w:id="13941"/>
      </w:r>
      <w:r>
        <w:t xml:space="preserve"> his sacrifice, because the Lord looks upon humans and all tribes of Israel,</w:t>
      </w:r>
    </w:p>
    <w:p>
      <w:r>
        <w:rPr>
          <w:b/>
        </w:rPr>
        <w:t xml:space="preserve">2 </w:t>
      </w:r>
      <w:r>
        <w:t xml:space="preserve">and Hamath</w:t>
      </w:r>
      <w:r>
        <w:rPr>
          <w:rStyle w:val="FootnoteReference"/>
        </w:rPr>
        <w:footnoteReference w:id="13942"/>
      </w:r>
      <w:r>
        <w:t xml:space="preserve"> at its borders, Tyre and Sidon, because they were very wise.</w:t>
      </w:r>
    </w:p>
    <w:p>
      <w:r>
        <w:rPr>
          <w:b/>
        </w:rPr>
        <w:t xml:space="preserve">3 </w:t>
      </w:r>
      <w:r>
        <w:t xml:space="preserve">And Tyre built strongholds for herself and stored silver like dust and gathered gold like mud of the roads.</w:t>
      </w:r>
    </w:p>
    <w:p>
      <w:r>
        <w:rPr>
          <w:b/>
        </w:rPr>
        <w:t xml:space="preserve">4 </w:t>
      </w:r>
      <w:r>
        <w:t xml:space="preserve">Therefore the Lord</w:t>
      </w:r>
      <w:r>
        <w:rPr>
          <w:rStyle w:val="FootnoteReference"/>
        </w:rPr>
        <w:footnoteReference w:id="13943"/>
      </w:r>
      <w:r>
        <w:t xml:space="preserve"> will inherit her and strike her strength into the sea, and she will be consumed in fire.</w:t>
      </w:r>
    </w:p>
    <w:p>
      <w:r>
        <w:rPr>
          <w:b/>
        </w:rPr>
        <w:t xml:space="preserve">5 </w:t>
      </w:r>
      <w:r>
        <w:t xml:space="preserve">Ashkelon</w:t>
      </w:r>
      <w:r>
        <w:rPr>
          <w:rStyle w:val="FootnoteReference"/>
        </w:rPr>
        <w:footnoteReference w:id="13944"/>
      </w:r>
      <w:r>
        <w:t xml:space="preserve"> will see and fear, and Gaza will suffer greatly, and Ekron, because she was shamed by her trespass</w:t>
      </w:r>
      <w:r>
        <w:rPr>
          <w:rStyle w:val="FootnoteReference"/>
        </w:rPr>
        <w:footnoteReference w:id="13945"/>
      </w:r>
      <w:r>
        <w:t xml:space="preserve">, and the king will perish from Gaza, and Ashkelon will certainly not be inhabited.</w:t>
      </w:r>
    </w:p>
    <w:p>
      <w:r>
        <w:rPr>
          <w:b/>
        </w:rPr>
        <w:t xml:space="preserve">6 </w:t>
      </w:r>
      <w:r>
        <w:t xml:space="preserve">And foreigners will dwell in Ashdod, and I will pull down the arrogance of foreigners.</w:t>
      </w:r>
    </w:p>
    <w:p>
      <w:r>
        <w:rPr>
          <w:b/>
        </w:rPr>
        <w:t xml:space="preserve">7 </w:t>
      </w:r>
      <w:r>
        <w:t xml:space="preserve">And I will remove their blood from their mouth and their abominations from between their teeth, and he will be left also for our God, and they will be like a chiliarch in Judah, and Ekron like the Jebusite.</w:t>
      </w:r>
    </w:p>
    <w:p>
      <w:r>
        <w:rPr>
          <w:b/>
        </w:rPr>
        <w:t xml:space="preserve">8 </w:t>
      </w:r>
      <w:r>
        <w:t xml:space="preserve">And I will stand by my house as a guard, that no one may pass through or return, and one driving out will certainly not come upon them again</w:t>
      </w:r>
      <w:r>
        <w:rPr>
          <w:rStyle w:val="FootnoteReference"/>
        </w:rPr>
        <w:footnoteReference w:id="13946"/>
      </w:r>
      <w:r>
        <w:t xml:space="preserve">, because now I have seen with my eyes.</w:t>
      </w:r>
    </w:p>
    <w:p>
      <w:r>
        <w:rPr>
          <w:b/>
        </w:rPr>
        <w:t xml:space="preserve">9 </w:t>
      </w:r>
      <w:r>
        <w:t xml:space="preserve">Rejoice</w:t>
      </w:r>
      <w:r>
        <w:rPr>
          <w:rStyle w:val="FootnoteReference"/>
        </w:rPr>
        <w:footnoteReference w:id="13947"/>
      </w:r>
      <w:r>
        <w:t xml:space="preserve"> greatly, O daughter of Zion</w:t>
      </w:r>
      <w:r>
        <w:rPr>
          <w:rStyle w:val="FootnoteReference"/>
        </w:rPr>
        <w:footnoteReference w:id="13948"/>
      </w:r>
      <w:r>
        <w:t xml:space="preserve">; proclaim, O daughter of Jerusalem: behold, your king comes to you, righteous and saving, he himself meek and mounted upon a beast of burden and a young foal.</w:t>
      </w:r>
    </w:p>
    <w:p>
      <w:r>
        <w:rPr>
          <w:b/>
        </w:rPr>
        <w:t xml:space="preserve">10 </w:t>
      </w:r>
      <w:r>
        <w:t xml:space="preserve">And he will destroy chariots from Ephraim and horse from Jerusalem, and a war-bow will be destroyed, and there will be abundance and peace from nations, and he will rule over waters as far as sea and rivers to the outlets of earth.</w:t>
      </w:r>
    </w:p>
    <w:p>
      <w:r>
        <w:rPr>
          <w:b/>
        </w:rPr>
        <w:t xml:space="preserve">11 </w:t>
      </w:r>
      <w:r>
        <w:t xml:space="preserve">And you, by blood of a covenant</w:t>
      </w:r>
      <w:r>
        <w:rPr>
          <w:rStyle w:val="FootnoteReference"/>
        </w:rPr>
        <w:footnoteReference w:id="13949"/>
      </w:r>
      <w:r>
        <w:t xml:space="preserve">, sent out your prisoners from a pit having no water.</w:t>
      </w:r>
    </w:p>
    <w:p>
      <w:r>
        <w:rPr>
          <w:b/>
        </w:rPr>
        <w:t xml:space="preserve">12 </w:t>
      </w:r>
      <w:r>
        <w:t xml:space="preserve">You will sit in a stronghold, prisoners of the congregation, and in place of one day of your sojourning I will repay you double.</w:t>
      </w:r>
    </w:p>
    <w:p>
      <w:r>
        <w:rPr>
          <w:b/>
        </w:rPr>
        <w:t xml:space="preserve">13 </w:t>
      </w:r>
      <w:r>
        <w:t xml:space="preserve">Because I bent</w:t>
      </w:r>
      <w:r>
        <w:rPr>
          <w:rStyle w:val="FootnoteReference"/>
        </w:rPr>
        <w:footnoteReference w:id="13950"/>
      </w:r>
      <w:r>
        <w:t xml:space="preserve"> you, Judah, as a bow for myself; I filled Ephraim, and I will stir up your children, Zion, against the children of the Greeks</w:t>
      </w:r>
      <w:r>
        <w:rPr>
          <w:rStyle w:val="FootnoteReference"/>
        </w:rPr>
        <w:footnoteReference w:id="13951"/>
      </w:r>
      <w:r>
        <w:t xml:space="preserve">, and handle you like a warrior's sword.</w:t>
      </w:r>
    </w:p>
    <w:p>
      <w:r>
        <w:rPr>
          <w:b/>
        </w:rPr>
        <w:t xml:space="preserve">14 </w:t>
      </w:r>
      <w:r>
        <w:t xml:space="preserve">And the Lord will be over them, and his missile will go out like lightning, and the Lord Almighty will trumpet with a trumpet and go in a storm of his threat.</w:t>
      </w:r>
    </w:p>
    <w:p>
      <w:r>
        <w:rPr>
          <w:b/>
        </w:rPr>
        <w:t xml:space="preserve">15 </w:t>
      </w:r>
      <w:r>
        <w:t xml:space="preserve">The Lord Almighty will shield them, and they will consume them and overwhelm them with sling-stones, and they will drink them like wine and be filled like bowls</w:t>
      </w:r>
      <w:r>
        <w:rPr>
          <w:rStyle w:val="FootnoteReference"/>
        </w:rPr>
        <w:footnoteReference w:id="13952"/>
      </w:r>
      <w:r>
        <w:t xml:space="preserve"> of an altar.</w:t>
      </w:r>
    </w:p>
    <w:p>
      <w:r>
        <w:rPr>
          <w:b/>
        </w:rPr>
        <w:t xml:space="preserve">16 </w:t>
      </w:r>
      <w:r>
        <w:t xml:space="preserve">And the Lord will save them in that day as sheep, his people, because holy stones roll upon his land.</w:t>
      </w:r>
    </w:p>
    <w:p>
      <w:r>
        <w:rPr>
          <w:b/>
        </w:rPr>
        <w:t xml:space="preserve">17 </w:t>
      </w:r>
      <w:r>
        <w:t xml:space="preserve">Because whatever is good is his</w:t>
      </w:r>
      <w:r>
        <w:rPr>
          <w:rStyle w:val="FootnoteReference"/>
        </w:rPr>
        <w:footnoteReference w:id="13953"/>
      </w:r>
      <w:r>
        <w:t xml:space="preserve">, and whatever is beautiful is from him: grain for young men and fragrant wine for virgins.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Ask rain from the Lord in season, early and late. The Lord made apparitions and will give winter rain to them, to each one, herbage in a field</w:t>
      </w:r>
      <w:r>
        <w:rPr>
          <w:rStyle w:val="FootnoteReference"/>
        </w:rPr>
        <w:footnoteReference w:id="13954"/>
      </w:r>
      <w:r>
        <w:t xml:space="preserve">.</w:t>
      </w:r>
    </w:p>
    <w:p>
      <w:r>
        <w:rPr>
          <w:b/>
        </w:rPr>
        <w:t xml:space="preserve">2 </w:t>
      </w:r>
      <w:r>
        <w:t xml:space="preserve">Because omen-speakers spoke troubles, and diviners false visions, and dreams spoke false things, giving vain comfort. Therefore</w:t>
      </w:r>
      <w:r>
        <w:rPr>
          <w:rStyle w:val="FootnoteReference"/>
        </w:rPr>
        <w:footnoteReference w:id="13955"/>
      </w:r>
      <w:r>
        <w:t xml:space="preserve"> they were taken away like sheep and afflicted, because there was no healing.</w:t>
      </w:r>
    </w:p>
    <w:p>
      <w:r>
        <w:rPr>
          <w:b/>
        </w:rPr>
        <w:t xml:space="preserve">3 </w:t>
      </w:r>
      <w:r>
        <w:t xml:space="preserve">Against the shepherds my anger</w:t>
      </w:r>
      <w:r>
        <w:rPr>
          <w:rStyle w:val="FootnoteReference"/>
        </w:rPr>
        <w:footnoteReference w:id="13956"/>
      </w:r>
      <w:r>
        <w:t xml:space="preserve"> was provoked, and upon the lambs I will visit, and the Lord God Almighty will visit his flock, the house of Judah, and set them like his splendid horse in battle</w:t>
      </w:r>
      <w:r>
        <w:rPr>
          <w:rStyle w:val="FootnoteReference"/>
        </w:rPr>
        <w:footnoteReference w:id="13957"/>
      </w:r>
      <w:r>
        <w:t xml:space="preserve">.</w:t>
      </w:r>
    </w:p>
    <w:p>
      <w:r>
        <w:rPr>
          <w:b/>
        </w:rPr>
        <w:t xml:space="preserve">4 </w:t>
      </w:r>
      <w:r>
        <w:t xml:space="preserve">From him he looked out, and from him he set in order, and from him came a bow in wrath; from him every one driving out</w:t>
      </w:r>
      <w:r>
        <w:rPr>
          <w:rStyle w:val="FootnoteReference"/>
        </w:rPr>
        <w:footnoteReference w:id="13958"/>
      </w:r>
      <w:r>
        <w:t xml:space="preserve"> will go out together.</w:t>
      </w:r>
    </w:p>
    <w:p>
      <w:r>
        <w:rPr>
          <w:b/>
        </w:rPr>
        <w:t xml:space="preserve">5 </w:t>
      </w:r>
      <w:r>
        <w:t xml:space="preserve">And they will be like warriors trampling mud in the roads in battle, and they will line up, because the Lord is with them, and riders of horses will be put to shame.</w:t>
      </w:r>
    </w:p>
    <w:p>
      <w:r>
        <w:rPr>
          <w:b/>
        </w:rPr>
        <w:t xml:space="preserve">6 </w:t>
      </w:r>
      <w:r>
        <w:t xml:space="preserve">And I will strengthen</w:t>
      </w:r>
      <w:r>
        <w:rPr>
          <w:rStyle w:val="FootnoteReference"/>
        </w:rPr>
        <w:footnoteReference w:id="13959"/>
      </w:r>
      <w:r>
        <w:t xml:space="preserve"> the house of Judah, and the house of Joseph I will save and settle them, because I loved them, and they will be as though I had not rejected them, because I am the Lord their God and I will hear them.</w:t>
      </w:r>
    </w:p>
    <w:p>
      <w:r>
        <w:rPr>
          <w:b/>
        </w:rPr>
        <w:t xml:space="preserve">7 </w:t>
      </w:r>
      <w:r>
        <w:t xml:space="preserve">And they will be like warriors of Ephraim</w:t>
      </w:r>
      <w:r>
        <w:rPr>
          <w:rStyle w:val="FootnoteReference"/>
        </w:rPr>
        <w:footnoteReference w:id="13960"/>
      </w:r>
      <w:r>
        <w:t xml:space="preserve">, and their</w:t>
      </w:r>
      <w:r>
        <w:rPr>
          <w:rStyle w:val="FootnoteReference"/>
        </w:rPr>
        <w:footnoteReference w:id="13961"/>
      </w:r>
      <w:r>
        <w:t xml:space="preserve"> heart will rejoice as in wine, and their children will see and be glad, and their heart will rejoice in the Lord.</w:t>
      </w:r>
    </w:p>
    <w:p>
      <w:r>
        <w:rPr>
          <w:b/>
        </w:rPr>
        <w:t xml:space="preserve">8 </w:t>
      </w:r>
      <w:r>
        <w:t xml:space="preserve">I will signal to them and receive them, because I will redeem them, and they will be multiplied just as they were many.</w:t>
      </w:r>
    </w:p>
    <w:p>
      <w:r>
        <w:rPr>
          <w:b/>
        </w:rPr>
        <w:t xml:space="preserve">9 </w:t>
      </w:r>
      <w:r>
        <w:t xml:space="preserve">And I will sow them among peoples, and those far away will remember</w:t>
      </w:r>
      <w:r>
        <w:rPr>
          <w:rStyle w:val="FootnoteReference"/>
        </w:rPr>
        <w:footnoteReference w:id="13962"/>
      </w:r>
      <w:r>
        <w:t xml:space="preserve"> me; they will rear their children and return.</w:t>
      </w:r>
    </w:p>
    <w:p>
      <w:r>
        <w:rPr>
          <w:b/>
        </w:rPr>
        <w:t xml:space="preserve">10 </w:t>
      </w:r>
      <w:r>
        <w:t xml:space="preserve">And I will return them from the land of Egypt, and from Assyrians I will receive them, and into Gilead and Lebanon I will bring them in, and not even one of them will be left behind.</w:t>
      </w:r>
    </w:p>
    <w:p>
      <w:r>
        <w:rPr>
          <w:b/>
        </w:rPr>
        <w:t xml:space="preserve">11 </w:t>
      </w:r>
      <w:r>
        <w:t xml:space="preserve">And they will pass through a narrow sea and strike waves in a sea, and all the depths of rivers will dry up, and all arrogance of Assyrians will be removed, and the scepter of Egypt will be taken away</w:t>
      </w:r>
      <w:r>
        <w:rPr>
          <w:rStyle w:val="FootnoteReference"/>
        </w:rPr>
        <w:footnoteReference w:id="13963"/>
      </w:r>
      <w:r>
        <w:t xml:space="preserve">.</w:t>
      </w:r>
    </w:p>
    <w:p>
      <w:r>
        <w:rPr>
          <w:b/>
        </w:rPr>
        <w:t xml:space="preserve">12 </w:t>
      </w:r>
      <w:r>
        <w:t xml:space="preserve">And I will strengthen them in the Lord their God, and in his name they will boast, says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Open your doors, O Lebanon</w:t>
      </w:r>
      <w:r>
        <w:rPr>
          <w:rStyle w:val="FootnoteReference"/>
        </w:rPr>
        <w:footnoteReference w:id="13964"/>
      </w:r>
      <w:r>
        <w:t xml:space="preserve">, and let fire devour your cedars.</w:t>
      </w:r>
    </w:p>
    <w:p>
      <w:r>
        <w:rPr>
          <w:b/>
        </w:rPr>
        <w:t xml:space="preserve">2 </w:t>
      </w:r>
      <w:r>
        <w:t xml:space="preserve">Let the pine howl</w:t>
      </w:r>
      <w:r>
        <w:rPr>
          <w:rStyle w:val="FootnoteReference"/>
        </w:rPr>
        <w:footnoteReference w:id="13965"/>
      </w:r>
      <w:r>
        <w:t xml:space="preserve">, because the cedar has fallen, because nobles suffered greatly. Howl, oaks of Bashan, because the close-grown forest</w:t>
      </w:r>
      <w:r>
        <w:rPr>
          <w:rStyle w:val="FootnoteReference"/>
        </w:rPr>
        <w:footnoteReference w:id="13966"/>
      </w:r>
      <w:r>
        <w:t xml:space="preserve"> was torn down.</w:t>
      </w:r>
    </w:p>
    <w:p>
      <w:r>
        <w:rPr>
          <w:b/>
        </w:rPr>
        <w:t xml:space="preserve">3 </w:t>
      </w:r>
      <w:r>
        <w:t xml:space="preserve">The sound of shepherds mourning, because their greatness has suffered; the sound of lions roaring, because the pride of Jordan</w:t>
      </w:r>
      <w:r>
        <w:rPr>
          <w:rStyle w:val="FootnoteReference"/>
        </w:rPr>
        <w:footnoteReference w:id="13967"/>
      </w:r>
      <w:r>
        <w:t xml:space="preserve"> has suffered.</w:t>
      </w:r>
    </w:p>
    <w:p>
      <w:r>
        <w:rPr>
          <w:b/>
        </w:rPr>
        <w:t xml:space="preserve">4 </w:t>
      </w:r>
      <w:r>
        <w:t xml:space="preserve">Thus says the Lord</w:t>
      </w:r>
      <w:r>
        <w:rPr>
          <w:rStyle w:val="FootnoteReference"/>
        </w:rPr>
        <w:footnoteReference w:id="13968"/>
      </w:r>
      <w:r>
        <w:t xml:space="preserve"> Almighty: Shepherd the sheep of slaughter,</w:t>
      </w:r>
    </w:p>
    <w:p>
      <w:r>
        <w:rPr>
          <w:b/>
        </w:rPr>
        <w:t xml:space="preserve">5 </w:t>
      </w:r>
      <w:r>
        <w:t xml:space="preserve">which their buyers slaughtered and felt no remorse, and those selling them said, Blessed</w:t>
      </w:r>
      <w:r>
        <w:rPr>
          <w:rStyle w:val="FootnoteReference"/>
        </w:rPr>
        <w:footnoteReference w:id="13969"/>
      </w:r>
      <w:r>
        <w:t xml:space="preserve"> be the Lord, for we have grown rich, and their shepherds suffered nothing over them.</w:t>
      </w:r>
    </w:p>
    <w:p>
      <w:r>
        <w:rPr>
          <w:b/>
        </w:rPr>
        <w:t xml:space="preserve">6 </w:t>
      </w:r>
      <w:r>
        <w:t xml:space="preserve">Therefore I will no</w:t>
      </w:r>
      <w:r>
        <w:rPr>
          <w:rStyle w:val="FootnoteReference"/>
        </w:rPr>
        <w:footnoteReference w:id="13970"/>
      </w:r>
      <w:r>
        <w:t xml:space="preserve"> longer spare inhabitants of the land</w:t>
      </w:r>
      <w:r>
        <w:rPr>
          <w:rStyle w:val="FootnoteReference"/>
        </w:rPr>
        <w:footnoteReference w:id="13971"/>
      </w:r>
      <w:r>
        <w:t xml:space="preserve">, says the Lord, and behold, I hand over humans, each into the hands of his neighbor and into the hands of his king, and they will cut down the land, and I will certainly not rescue from their hand.</w:t>
      </w:r>
    </w:p>
    <w:p>
      <w:r>
        <w:rPr>
          <w:b/>
        </w:rPr>
        <w:t xml:space="preserve">7 </w:t>
      </w:r>
      <w:r>
        <w:t xml:space="preserve">And I will shepherd the sheep of slaughter in the Canaanite land</w:t>
      </w:r>
      <w:r>
        <w:rPr>
          <w:rStyle w:val="FootnoteReference"/>
        </w:rPr>
        <w:footnoteReference w:id="13972"/>
      </w:r>
      <w:r>
        <w:t xml:space="preserve">, and I will take for myself two staffs; one I called Beauty, and the other I called Measure-line; and I will shepherd the sheep.</w:t>
      </w:r>
    </w:p>
    <w:p>
      <w:r>
        <w:rPr>
          <w:b/>
        </w:rPr>
        <w:t xml:space="preserve">8 </w:t>
      </w:r>
      <w:r>
        <w:t xml:space="preserve">And I will remove the three shepherds</w:t>
      </w:r>
      <w:r>
        <w:rPr>
          <w:rStyle w:val="FootnoteReference"/>
        </w:rPr>
        <w:footnoteReference w:id="13973"/>
      </w:r>
      <w:r>
        <w:t xml:space="preserve"> in one month, and my</w:t>
      </w:r>
      <w:r>
        <w:rPr>
          <w:rStyle w:val="FootnoteReference"/>
        </w:rPr>
        <w:footnoteReference w:id="13974"/>
      </w:r>
      <w:r>
        <w:t xml:space="preserve"> soul will grow heavy upon them, for their souls kept roaring against me.</w:t>
      </w:r>
    </w:p>
    <w:p>
      <w:r>
        <w:rPr>
          <w:b/>
        </w:rPr>
        <w:t xml:space="preserve">9 </w:t>
      </w:r>
      <w:r>
        <w:t xml:space="preserve">And I said, I will not shepherd you. What is dying, let it die; what is failing, let it fail; and those left, let each eat the flesh of his neighbor.</w:t>
      </w:r>
    </w:p>
    <w:p>
      <w:r>
        <w:rPr>
          <w:b/>
        </w:rPr>
        <w:t xml:space="preserve">10 </w:t>
      </w:r>
      <w:r>
        <w:t xml:space="preserve">And I will take my staff</w:t>
      </w:r>
      <w:r>
        <w:rPr>
          <w:rStyle w:val="FootnoteReference"/>
        </w:rPr>
        <w:footnoteReference w:id="13975"/>
      </w:r>
      <w:r>
        <w:t xml:space="preserve">, the beautiful one, and throw it away to scatter my covenant that I arranged with all the peoples.</w:t>
      </w:r>
    </w:p>
    <w:p>
      <w:r>
        <w:rPr>
          <w:b/>
        </w:rPr>
        <w:t xml:space="preserve">11 </w:t>
      </w:r>
      <w:r>
        <w:t xml:space="preserve">And it will be scattered in that day, and the Canaanites, the sheep being kept</w:t>
      </w:r>
      <w:r>
        <w:rPr>
          <w:rStyle w:val="FootnoteReference"/>
        </w:rPr>
        <w:footnoteReference w:id="13976"/>
      </w:r>
      <w:r>
        <w:t xml:space="preserve">, will know that it is the word of the Lord.</w:t>
      </w:r>
    </w:p>
    <w:p>
      <w:r>
        <w:rPr>
          <w:b/>
        </w:rPr>
        <w:t xml:space="preserve">12 </w:t>
      </w:r>
      <w:r>
        <w:t xml:space="preserve">And I will say to them, If it is good before you, give</w:t>
      </w:r>
      <w:r>
        <w:rPr>
          <w:rStyle w:val="FootnoteReference"/>
        </w:rPr>
        <w:footnoteReference w:id="13977"/>
      </w:r>
      <w:r>
        <w:t xml:space="preserve">, setting my wage</w:t>
      </w:r>
      <w:r>
        <w:rPr>
          <w:rStyle w:val="FootnoteReference"/>
        </w:rPr>
        <w:footnoteReference w:id="13978"/>
      </w:r>
      <w:r>
        <w:t xml:space="preserve">; or refuse. And they set my wage at thirty silver pieces.</w:t>
      </w:r>
    </w:p>
    <w:p>
      <w:r>
        <w:rPr>
          <w:b/>
        </w:rPr>
        <w:t xml:space="preserve">13 </w:t>
      </w:r>
      <w:r>
        <w:t xml:space="preserve">And the Lord said to me, Put them into the smelting furnace</w:t>
      </w:r>
      <w:r>
        <w:rPr>
          <w:rStyle w:val="FootnoteReference"/>
        </w:rPr>
        <w:footnoteReference w:id="13979"/>
      </w:r>
      <w:r>
        <w:t xml:space="preserve">, and consider if it is approved, in the manner that I was tested for them. And I took the thirty silver pieces and threw them into the house of the Lord, into the smelting furnace.</w:t>
      </w:r>
    </w:p>
    <w:p>
      <w:r>
        <w:rPr>
          <w:b/>
        </w:rPr>
        <w:t xml:space="preserve">14 </w:t>
      </w:r>
      <w:r>
        <w:t xml:space="preserve">And I threw away the second staff, Measure-line, to scatter the possession between Judah and Israel.</w:t>
      </w:r>
    </w:p>
    <w:p>
      <w:r>
        <w:rPr>
          <w:b/>
        </w:rPr>
        <w:t xml:space="preserve">15 </w:t>
      </w:r>
      <w:r>
        <w:t xml:space="preserve">And the Lord said to me, Still take for yourself shepherding gear of an unskilled shepherd</w:t>
      </w:r>
      <w:r>
        <w:rPr>
          <w:rStyle w:val="FootnoteReference"/>
        </w:rPr>
        <w:footnoteReference w:id="13980"/>
      </w:r>
      <w:r>
        <w:t xml:space="preserve">,</w:t>
      </w:r>
    </w:p>
    <w:p>
      <w:r>
        <w:rPr>
          <w:b/>
        </w:rPr>
        <w:t xml:space="preserve">16 </w:t>
      </w:r>
      <w:r>
        <w:t xml:space="preserve">because behold, I raise up a shepherd against the land</w:t>
      </w:r>
      <w:r>
        <w:rPr>
          <w:rStyle w:val="FootnoteReference"/>
        </w:rPr>
        <w:footnoteReference w:id="13981"/>
      </w:r>
      <w:r>
        <w:t xml:space="preserve">: what is failing he will certainly not visit, what is scattered he will certainly not seek, what is broken he will certainly not heal, what is whole he will certainly not guide, and he will eat the flesh of the chosen ones and wrench out their ankles.</w:t>
      </w:r>
    </w:p>
    <w:p>
      <w:r>
        <w:rPr>
          <w:b/>
        </w:rPr>
        <w:t xml:space="preserve">17 </w:t>
      </w:r>
      <w:r>
        <w:t xml:space="preserve">Woe to those shepherding vain things</w:t>
      </w:r>
      <w:r>
        <w:rPr>
          <w:rStyle w:val="FootnoteReference"/>
        </w:rPr>
        <w:footnoteReference w:id="13982"/>
      </w:r>
      <w:r>
        <w:t xml:space="preserve"> and those having abandoned the sheep. A sword upon his arms and upon his right eye. His arm</w:t>
      </w:r>
      <w:r>
        <w:rPr>
          <w:rStyle w:val="FootnoteReference"/>
        </w:rPr>
        <w:footnoteReference w:id="13983"/>
      </w:r>
      <w:r>
        <w:t xml:space="preserve">, drying up, will dry up, and his right eye, being blinded, will be blinded.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Oracle of the word of the Lord upon Israel, says the Lord, stretching out heaven and founding earth and forming the spirit of a human within him.</w:t>
      </w:r>
    </w:p>
    <w:p>
      <w:r>
        <w:rPr>
          <w:b/>
        </w:rPr>
        <w:t xml:space="preserve">2 </w:t>
      </w:r>
      <w:r>
        <w:t xml:space="preserve">Behold, I make Jerusalem like shaken thresholds to all peoples round about, and in Judah there will be siege against Jerusalem.</w:t>
      </w:r>
    </w:p>
    <w:p>
      <w:r>
        <w:rPr>
          <w:b/>
        </w:rPr>
        <w:t xml:space="preserve">3 </w:t>
      </w:r>
      <w:r>
        <w:t xml:space="preserve">And it will be in that</w:t>
      </w:r>
      <w:r>
        <w:rPr>
          <w:rStyle w:val="FootnoteReference"/>
        </w:rPr>
        <w:footnoteReference w:id="13984"/>
      </w:r>
      <w:r>
        <w:t xml:space="preserve"> day, I will make Jerusalem a trampled stone to all the nations. Everyone trampling her will mock with mockery</w:t>
      </w:r>
      <w:r>
        <w:rPr>
          <w:rStyle w:val="FootnoteReference"/>
        </w:rPr>
        <w:footnoteReference w:id="13985"/>
      </w:r>
      <w:r>
        <w:t xml:space="preserve">, and all the nations of the earth will be gathered against her.</w:t>
      </w:r>
    </w:p>
    <w:p>
      <w:r>
        <w:rPr>
          <w:b/>
        </w:rPr>
        <w:t xml:space="preserve">4 </w:t>
      </w:r>
      <w:r>
        <w:t xml:space="preserve">In that day</w:t>
      </w:r>
      <w:r>
        <w:rPr>
          <w:rStyle w:val="FootnoteReference"/>
        </w:rPr>
        <w:footnoteReference w:id="13986"/>
      </w:r>
      <w:r>
        <w:t xml:space="preserve">, says the Lord Almighty, I will strike every horse with astonishment and its rider with madness, but upon the house of Judah I will open my eyes, and all the horses of the peoples</w:t>
      </w:r>
      <w:r>
        <w:rPr>
          <w:rStyle w:val="FootnoteReference"/>
        </w:rPr>
        <w:footnoteReference w:id="13987"/>
      </w:r>
      <w:r>
        <w:t xml:space="preserve"> I will strike with blindness.</w:t>
      </w:r>
    </w:p>
    <w:p>
      <w:r>
        <w:rPr>
          <w:b/>
        </w:rPr>
        <w:t xml:space="preserve">5 </w:t>
      </w:r>
      <w:r>
        <w:t xml:space="preserve">And the chiliarchs of Judah will say in their hearts, We will find for ourselves the inhabitants</w:t>
      </w:r>
      <w:r>
        <w:rPr>
          <w:rStyle w:val="FootnoteReference"/>
        </w:rPr>
        <w:footnoteReference w:id="13988"/>
      </w:r>
      <w:r>
        <w:t xml:space="preserve"> of Jerusalem in the Lord Almighty their God.</w:t>
      </w:r>
    </w:p>
    <w:p>
      <w:r>
        <w:rPr>
          <w:b/>
        </w:rPr>
        <w:t xml:space="preserve">6 </w:t>
      </w:r>
      <w:r>
        <w:t xml:space="preserve">In that day I will make the chiliarchs of Judah like a firebrand in wood and like a torch of fire in stubble, and they will devour on the right</w:t>
      </w:r>
      <w:r>
        <w:rPr>
          <w:rStyle w:val="FootnoteReference"/>
        </w:rPr>
        <w:footnoteReference w:id="13989"/>
      </w:r>
      <w:r>
        <w:t xml:space="preserve"> and on the left all the peoples round about, and Jerusalem will still dwell by herself.</w:t>
      </w:r>
    </w:p>
    <w:p>
      <w:r>
        <w:rPr>
          <w:b/>
        </w:rPr>
        <w:t xml:space="preserve">7 </w:t>
      </w:r>
      <w:r>
        <w:t xml:space="preserve">And the Lord will save</w:t>
      </w:r>
      <w:r>
        <w:rPr>
          <w:rStyle w:val="FootnoteReference"/>
        </w:rPr>
        <w:footnoteReference w:id="13990"/>
      </w:r>
      <w:r>
        <w:t xml:space="preserve"> the tents of Judah as from the beginning, so that the boast of the house of David and the pride of the inhabitants of Jerusalem</w:t>
      </w:r>
      <w:r>
        <w:rPr>
          <w:rStyle w:val="FootnoteReference"/>
        </w:rPr>
        <w:footnoteReference w:id="13991"/>
      </w:r>
      <w:r>
        <w:t xml:space="preserve"> may not be magnified against Judah.</w:t>
      </w:r>
    </w:p>
    <w:p>
      <w:r>
        <w:rPr>
          <w:b/>
        </w:rPr>
        <w:t xml:space="preserve">8 </w:t>
      </w:r>
      <w:r>
        <w:t xml:space="preserve">In that day the Lord will shield the inhabitants of Jerusalem, and the weak one</w:t>
      </w:r>
      <w:r>
        <w:rPr>
          <w:rStyle w:val="FootnoteReference"/>
        </w:rPr>
        <w:footnoteReference w:id="13992"/>
      </w:r>
      <w:r>
        <w:t xml:space="preserve"> among them in that day will be like the house</w:t>
      </w:r>
      <w:r>
        <w:rPr>
          <w:rStyle w:val="FootnoteReference"/>
        </w:rPr>
        <w:footnoteReference w:id="13993"/>
      </w:r>
      <w:r>
        <w:t xml:space="preserve"> of David, and the house of David like the house of God, like an angel of the Lord before them.</w:t>
      </w:r>
    </w:p>
    <w:p>
      <w:r>
        <w:rPr>
          <w:b/>
        </w:rPr>
        <w:t xml:space="preserve">9 </w:t>
      </w:r>
      <w:r>
        <w:t xml:space="preserve">And it will be in that day, I will seek to remove all the nations</w:t>
      </w:r>
      <w:r>
        <w:rPr>
          <w:rStyle w:val="FootnoteReference"/>
        </w:rPr>
        <w:footnoteReference w:id="13994"/>
      </w:r>
      <w:r>
        <w:t xml:space="preserve"> coming against Jerusalem.</w:t>
      </w:r>
    </w:p>
    <w:p>
      <w:r>
        <w:rPr>
          <w:b/>
        </w:rPr>
        <w:t xml:space="preserve">10 </w:t>
      </w:r>
      <w:r>
        <w:t xml:space="preserve">And I will pour</w:t>
      </w:r>
      <w:r>
        <w:rPr>
          <w:rStyle w:val="FootnoteReference"/>
        </w:rPr>
        <w:footnoteReference w:id="13995"/>
      </w:r>
      <w:r>
        <w:t xml:space="preserve"> out upon the house of David and upon the inhabitants of Jerusalem a spirit of grace and compassion, and they will look toward me because they mocked</w:t>
      </w:r>
      <w:r>
        <w:rPr>
          <w:rStyle w:val="FootnoteReference"/>
        </w:rPr>
        <w:footnoteReference w:id="13996"/>
      </w:r>
      <w:r>
        <w:t xml:space="preserve">, and they will mourn for him with mourning as for a beloved one and grieve over him as over a firstborn.</w:t>
      </w:r>
      <w:r>
        <w:rPr>
          <w:rStyle w:val="FootnoteReference"/>
        </w:rPr>
        <w:footnoteReference w:id="13997"/>
      </w:r>
    </w:p>
    <w:p>
      <w:r>
        <w:rPr>
          <w:b/>
        </w:rPr>
        <w:t xml:space="preserve">11 </w:t>
      </w:r>
      <w:r>
        <w:t xml:space="preserve">In that day the mourning in Jerusalem will be magnified, like the mourning of a pomegranate grove</w:t>
      </w:r>
      <w:r>
        <w:rPr>
          <w:rStyle w:val="FootnoteReference"/>
        </w:rPr>
        <w:footnoteReference w:id="13998"/>
      </w:r>
      <w:r>
        <w:t xml:space="preserve"> in the plain being cut down.</w:t>
      </w:r>
    </w:p>
    <w:p>
      <w:r>
        <w:rPr>
          <w:b/>
        </w:rPr>
        <w:t xml:space="preserve">12 </w:t>
      </w:r>
      <w:r>
        <w:t xml:space="preserve">And the land will mourn tribe by tribe, each tribe by itself</w:t>
      </w:r>
      <w:r>
        <w:rPr>
          <w:rStyle w:val="FootnoteReference"/>
        </w:rPr>
        <w:footnoteReference w:id="13999"/>
      </w:r>
      <w:r>
        <w:t xml:space="preserve"> and their</w:t>
      </w:r>
      <w:r>
        <w:rPr>
          <w:rStyle w:val="FootnoteReference"/>
        </w:rPr>
        <w:footnoteReference w:id="14000"/>
      </w:r>
      <w:r>
        <w:t xml:space="preserve"> women by themselves: the tribe of the house of David by itself and their women by themselves, the tribe of the house of Nathan by itself and their women by themselves,</w:t>
      </w:r>
    </w:p>
    <w:p>
      <w:r>
        <w:rPr>
          <w:b/>
        </w:rPr>
        <w:t xml:space="preserve">13 </w:t>
      </w:r>
      <w:r>
        <w:t xml:space="preserve">the tribe of the house of Levi</w:t>
      </w:r>
      <w:r>
        <w:rPr>
          <w:rStyle w:val="FootnoteReference"/>
        </w:rPr>
        <w:footnoteReference w:id="14001"/>
      </w:r>
      <w:r>
        <w:t xml:space="preserve"> by itself and their women by themselves, the tribe of Simeon</w:t>
      </w:r>
      <w:r>
        <w:rPr>
          <w:rStyle w:val="FootnoteReference"/>
        </w:rPr>
        <w:footnoteReference w:id="14002"/>
      </w:r>
      <w:r>
        <w:t xml:space="preserve"> by itself and their women by themselves,</w:t>
      </w:r>
    </w:p>
    <w:p>
      <w:r>
        <w:rPr>
          <w:b/>
        </w:rPr>
        <w:t xml:space="preserve">14 </w:t>
      </w:r>
      <w:r>
        <w:t xml:space="preserve">all the tribes left behind</w:t>
      </w:r>
      <w:r>
        <w:rPr>
          <w:rStyle w:val="FootnoteReference"/>
        </w:rPr>
        <w:footnoteReference w:id="14003"/>
      </w:r>
      <w:r>
        <w:t xml:space="preserve">, each tribe by itself and their women by themselves.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In that day every place will be opened in the house</w:t>
      </w:r>
      <w:r>
        <w:rPr>
          <w:rStyle w:val="FootnoteReference"/>
        </w:rPr>
        <w:footnoteReference w:id="14004"/>
      </w:r>
      <w:r>
        <w:t xml:space="preserve"> of David.</w:t>
      </w:r>
    </w:p>
    <w:p>
      <w:r>
        <w:rPr>
          <w:b/>
        </w:rPr>
        <w:t xml:space="preserve">2 </w:t>
      </w:r>
      <w:r>
        <w:t xml:space="preserve">And it will be in that day, says the Lord, I will destroy the names of the idols</w:t>
      </w:r>
      <w:r>
        <w:rPr>
          <w:rStyle w:val="FootnoteReference"/>
        </w:rPr>
        <w:footnoteReference w:id="14005"/>
      </w:r>
      <w:r>
        <w:t xml:space="preserve"> from the land, and there will no longer be remembrance of them, and the false prophets and the unclean</w:t>
      </w:r>
      <w:r>
        <w:rPr>
          <w:rStyle w:val="FootnoteReference"/>
        </w:rPr>
        <w:footnoteReference w:id="14006"/>
      </w:r>
      <w:r>
        <w:t xml:space="preserve"> spirit I will remove from the land.</w:t>
      </w:r>
    </w:p>
    <w:p>
      <w:r>
        <w:rPr>
          <w:b/>
        </w:rPr>
        <w:t xml:space="preserve">3 </w:t>
      </w:r>
      <w:r>
        <w:t xml:space="preserve">And it will be, if a man still prophesies, his father and his mother who begot him will say to him, You will not live, because you spoke lies in the name of the Lord, and his father and mother who begot him will bind his feet together when he prophesies.</w:t>
      </w:r>
    </w:p>
    <w:p>
      <w:r>
        <w:rPr>
          <w:b/>
        </w:rPr>
        <w:t xml:space="preserve">4 </w:t>
      </w:r>
      <w:r>
        <w:t xml:space="preserve">And it will be in that day, the prophets</w:t>
      </w:r>
      <w:r>
        <w:rPr>
          <w:rStyle w:val="FootnoteReference"/>
        </w:rPr>
        <w:footnoteReference w:id="14007"/>
      </w:r>
      <w:r>
        <w:t xml:space="preserve"> will each be put to shame by his vision when he prophesies, and they will put on a hairy skin because they lied.</w:t>
      </w:r>
    </w:p>
    <w:p>
      <w:r>
        <w:rPr>
          <w:b/>
        </w:rPr>
        <w:t xml:space="preserve">5 </w:t>
      </w:r>
      <w:r>
        <w:t xml:space="preserve">And he will say, I am not a prophet; I am a man working the land</w:t>
      </w:r>
      <w:r>
        <w:rPr>
          <w:rStyle w:val="FootnoteReference"/>
        </w:rPr>
        <w:footnoteReference w:id="14008"/>
      </w:r>
      <w:r>
        <w:t xml:space="preserve">, because a man begot me from my youth.</w:t>
      </w:r>
    </w:p>
    <w:p>
      <w:r>
        <w:rPr>
          <w:b/>
        </w:rPr>
        <w:t xml:space="preserve">6 </w:t>
      </w:r>
      <w:r>
        <w:t xml:space="preserve">And I will say to him, What are these wounds between your hands? And he will say, Those with which I was</w:t>
      </w:r>
      <w:r>
        <w:rPr>
          <w:rStyle w:val="FootnoteReference"/>
        </w:rPr>
        <w:footnoteReference w:id="14009"/>
      </w:r>
      <w:r>
        <w:t xml:space="preserve"> struck in my beloved house</w:t>
      </w:r>
      <w:r>
        <w:rPr>
          <w:rStyle w:val="FootnoteReference"/>
        </w:rPr>
        <w:footnoteReference w:id="14010"/>
      </w:r>
      <w:r>
        <w:t xml:space="preserve">.</w:t>
      </w:r>
    </w:p>
    <w:p>
      <w:r>
        <w:rPr>
          <w:b/>
        </w:rPr>
        <w:t xml:space="preserve">7 </w:t>
      </w:r>
      <w:r>
        <w:t xml:space="preserve">Sword, awake against my shepherds and against the man</w:t>
      </w:r>
      <w:r>
        <w:rPr>
          <w:rStyle w:val="FootnoteReference"/>
        </w:rPr>
        <w:footnoteReference w:id="14011"/>
      </w:r>
      <w:r>
        <w:t xml:space="preserve">, my fellow-citizen, says the Lord Almighty. Strike the shepherds, and draw out the sheep, and I will bring my hand upon the shepherds</w:t>
      </w:r>
      <w:r>
        <w:rPr>
          <w:rStyle w:val="FootnoteReference"/>
        </w:rPr>
        <w:footnoteReference w:id="14012"/>
      </w:r>
      <w:r>
        <w:t xml:space="preserve">.</w:t>
      </w:r>
    </w:p>
    <w:p>
      <w:r>
        <w:rPr>
          <w:b/>
        </w:rPr>
        <w:t xml:space="preserve">8 </w:t>
      </w:r>
      <w:r>
        <w:t xml:space="preserve">And it will be in all the land, says the Lord, the two parts will be destroyed and fail, but the third will be left in it.</w:t>
      </w:r>
      <w:r>
        <w:rPr>
          <w:rStyle w:val="FootnoteReference"/>
        </w:rPr>
        <w:footnoteReference w:id="14013"/>
      </w:r>
    </w:p>
    <w:p>
      <w:r>
        <w:rPr>
          <w:b/>
        </w:rPr>
        <w:t xml:space="preserve">9 </w:t>
      </w:r>
      <w:r>
        <w:t xml:space="preserve">And I will bring</w:t>
      </w:r>
      <w:r>
        <w:rPr>
          <w:rStyle w:val="FootnoteReference"/>
        </w:rPr>
        <w:footnoteReference w:id="14014"/>
      </w:r>
      <w:r>
        <w:t xml:space="preserve"> the third through fire and refine them as silver is refined and test them as gold is tested. He will call on my name</w:t>
      </w:r>
      <w:r>
        <w:rPr>
          <w:rStyle w:val="FootnoteReference"/>
        </w:rPr>
        <w:footnoteReference w:id="14015"/>
      </w:r>
      <w:r>
        <w:t xml:space="preserve">, and I will hear him, and I will say, This is my people, and he will say, The Lord is my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Behold, days of the Lord are coming, and your spoils will be divided in you.</w:t>
      </w:r>
    </w:p>
    <w:p>
      <w:r>
        <w:rPr>
          <w:b/>
        </w:rPr>
        <w:t xml:space="preserve">2 </w:t>
      </w:r>
      <w:r>
        <w:t xml:space="preserve">And I will gather</w:t>
      </w:r>
      <w:r>
        <w:rPr>
          <w:rStyle w:val="FootnoteReference"/>
        </w:rPr>
        <w:footnoteReference w:id="14016"/>
      </w:r>
      <w:r>
        <w:t xml:space="preserve"> all the nations against Jerusalem for war, and the city will be taken and the houses plundered and the women defiled, and half of the city will go out in captivity, but the rest of my people</w:t>
      </w:r>
      <w:r>
        <w:rPr>
          <w:rStyle w:val="FootnoteReference"/>
        </w:rPr>
        <w:footnoteReference w:id="14017"/>
      </w:r>
      <w:r>
        <w:t xml:space="preserve"> will certainly not be utterly destroyed from the city.</w:t>
      </w:r>
    </w:p>
    <w:p>
      <w:r>
        <w:rPr>
          <w:b/>
        </w:rPr>
        <w:t xml:space="preserve">3 </w:t>
      </w:r>
      <w:r>
        <w:t xml:space="preserve">And the Lord will go out and line up against those nations, as on a day of his battle in a day of war.</w:t>
      </w:r>
    </w:p>
    <w:p>
      <w:r>
        <w:rPr>
          <w:b/>
        </w:rPr>
        <w:t xml:space="preserve">4 </w:t>
      </w:r>
      <w:r>
        <w:t xml:space="preserve">And his feet</w:t>
      </w:r>
      <w:r>
        <w:rPr>
          <w:rStyle w:val="FootnoteReference"/>
        </w:rPr>
        <w:footnoteReference w:id="14018"/>
      </w:r>
      <w:r>
        <w:t xml:space="preserve"> will stand in that day on the Mount of Olives</w:t>
      </w:r>
      <w:r>
        <w:rPr>
          <w:rStyle w:val="FootnoteReference"/>
        </w:rPr>
        <w:footnoteReference w:id="14019"/>
      </w:r>
      <w:r>
        <w:t xml:space="preserve">, opposite Jerusalem on the east, and the Mount of Olives will be split in half: half of it eastward and half of it toward the sea, a very great chasm, and half of the mountain will slope northward and half of it southward.</w:t>
      </w:r>
    </w:p>
    <w:p>
      <w:r>
        <w:rPr>
          <w:b/>
        </w:rPr>
        <w:t xml:space="preserve">5 </w:t>
      </w:r>
      <w:r>
        <w:t xml:space="preserve">And the ravine of my mountains will be blocked up, and the ravine of mountains will be joined together as far as Jasol</w:t>
      </w:r>
      <w:r>
        <w:rPr>
          <w:rStyle w:val="FootnoteReference"/>
        </w:rPr>
        <w:footnoteReference w:id="14020"/>
      </w:r>
      <w:r>
        <w:t xml:space="preserve">, and it will be blocked as it was blocked in the days of the earthquake in the days of Uzziah king of Judah, and the Lord my God will come, and all the holy ones with him</w:t>
      </w:r>
      <w:r>
        <w:rPr>
          <w:rStyle w:val="FootnoteReference"/>
        </w:rPr>
        <w:footnoteReference w:id="14021"/>
      </w:r>
      <w:r>
        <w:t xml:space="preserve">.</w:t>
      </w:r>
      <w:r>
        <w:rPr>
          <w:rStyle w:val="FootnoteReference"/>
        </w:rPr>
        <w:footnoteReference w:id="14022"/>
      </w:r>
    </w:p>
    <w:p>
      <w:r>
        <w:rPr>
          <w:b/>
        </w:rPr>
        <w:t xml:space="preserve">6 </w:t>
      </w:r>
      <w:r>
        <w:t xml:space="preserve">In that day there will not be light, cold, and frost.</w:t>
      </w:r>
    </w:p>
    <w:p>
      <w:r>
        <w:rPr>
          <w:b/>
        </w:rPr>
        <w:t xml:space="preserve">7 </w:t>
      </w:r>
      <w:r>
        <w:t xml:space="preserve">It will be one day, and that day will be known to the Lord</w:t>
      </w:r>
      <w:r>
        <w:rPr>
          <w:rStyle w:val="FootnoteReference"/>
        </w:rPr>
        <w:footnoteReference w:id="14023"/>
      </w:r>
      <w:r>
        <w:t xml:space="preserve">, not day and not night, and toward evening there will be light.</w:t>
      </w:r>
    </w:p>
    <w:p>
      <w:r>
        <w:rPr>
          <w:b/>
        </w:rPr>
        <w:t xml:space="preserve">8 </w:t>
      </w:r>
      <w:r>
        <w:t xml:space="preserve">And in that day living</w:t>
      </w:r>
      <w:r>
        <w:rPr>
          <w:rStyle w:val="FootnoteReference"/>
        </w:rPr>
        <w:footnoteReference w:id="14024"/>
      </w:r>
      <w:r>
        <w:t xml:space="preserve"> water will go out from Jerusalem, half of it to the first sea and half of it to the last sea, and in summer and in spring it will be so.</w:t>
      </w:r>
      <w:r>
        <w:rPr>
          <w:rStyle w:val="FootnoteReference"/>
        </w:rPr>
        <w:footnoteReference w:id="14025"/>
      </w:r>
    </w:p>
    <w:p>
      <w:r>
        <w:rPr>
          <w:b/>
        </w:rPr>
        <w:t xml:space="preserve">9 </w:t>
      </w:r>
      <w:r>
        <w:t xml:space="preserve">And the Lord</w:t>
      </w:r>
      <w:r>
        <w:rPr>
          <w:rStyle w:val="FootnoteReference"/>
        </w:rPr>
        <w:footnoteReference w:id="14026"/>
      </w:r>
      <w:r>
        <w:t xml:space="preserve"> will be king over all the earth; in that day the Lord will be one, and his name one.</w:t>
      </w:r>
    </w:p>
    <w:p>
      <w:r>
        <w:rPr>
          <w:b/>
        </w:rPr>
        <w:t xml:space="preserve">10 </w:t>
      </w:r>
      <w:r>
        <w:t xml:space="preserve">Encircling all the land and the wilderness from Gabe to Rimmon</w:t>
      </w:r>
      <w:r>
        <w:rPr>
          <w:rStyle w:val="FootnoteReference"/>
        </w:rPr>
        <w:footnoteReference w:id="14027"/>
      </w:r>
      <w:r>
        <w:t xml:space="preserve"> south of Jerusalem; but Ramah will remain in its place, from the gate of Benjamin to the place of the first gate, to the gate of the corners, and to the tower of Hananeel, to the king's wine-vats.</w:t>
      </w:r>
      <w:r>
        <w:rPr>
          <w:rStyle w:val="FootnoteReference"/>
        </w:rPr>
        <w:footnoteReference w:id="14028"/>
      </w:r>
    </w:p>
    <w:p>
      <w:r>
        <w:rPr>
          <w:b/>
        </w:rPr>
        <w:t xml:space="preserve">11 </w:t>
      </w:r>
      <w:r>
        <w:t xml:space="preserve">And they will dwell in her, and there will no longer be a curse</w:t>
      </w:r>
      <w:r>
        <w:rPr>
          <w:rStyle w:val="FootnoteReference"/>
        </w:rPr>
        <w:footnoteReference w:id="14029"/>
      </w:r>
      <w:r>
        <w:t xml:space="preserve">, and Jerusalem will dwell in confidence.</w:t>
      </w:r>
    </w:p>
    <w:p>
      <w:r>
        <w:rPr>
          <w:b/>
        </w:rPr>
        <w:t xml:space="preserve">12 </w:t>
      </w:r>
      <w:r>
        <w:t xml:space="preserve">And this will be the downfall with which the Lord will strike all the peoples who campaigned against Jerusalem: their flesh</w:t>
      </w:r>
      <w:r>
        <w:rPr>
          <w:rStyle w:val="FootnoteReference"/>
        </w:rPr>
        <w:footnoteReference w:id="14030"/>
      </w:r>
      <w:r>
        <w:t xml:space="preserve"> will melt while they stand on their feet, and their eyes will flow from their sockets, and their tongue will melt in their mouth.</w:t>
      </w:r>
      <w:r>
        <w:rPr>
          <w:rStyle w:val="FootnoteReference"/>
        </w:rPr>
        <w:footnoteReference w:id="14031"/>
      </w:r>
    </w:p>
    <w:p>
      <w:r>
        <w:rPr>
          <w:b/>
        </w:rPr>
        <w:t xml:space="preserve">13 </w:t>
      </w:r>
      <w:r>
        <w:t xml:space="preserve">And it will be in that day: a great</w:t>
      </w:r>
      <w:r>
        <w:rPr>
          <w:rStyle w:val="FootnoteReference"/>
        </w:rPr>
        <w:footnoteReference w:id="14032"/>
      </w:r>
      <w:r>
        <w:t xml:space="preserve"> astonishment of the Lord will be upon them, and each will seize the hand of his neighbor</w:t>
      </w:r>
      <w:r>
        <w:rPr>
          <w:rStyle w:val="FootnoteReference"/>
        </w:rPr>
        <w:footnoteReference w:id="14033"/>
      </w:r>
      <w:r>
        <w:t xml:space="preserve">, and his hand will be tangled with the hand of his neighbor.</w:t>
      </w:r>
    </w:p>
    <w:p>
      <w:r>
        <w:rPr>
          <w:b/>
        </w:rPr>
        <w:t xml:space="preserve">14 </w:t>
      </w:r>
      <w:r>
        <w:t xml:space="preserve">And Judah will line up in Jerusalem and gather the strength of all the peoples</w:t>
      </w:r>
      <w:r>
        <w:rPr>
          <w:rStyle w:val="FootnoteReference"/>
        </w:rPr>
        <w:footnoteReference w:id="14034"/>
      </w:r>
      <w:r>
        <w:t xml:space="preserve"> round about: gold and silver and clothing in very great abundance.</w:t>
      </w:r>
    </w:p>
    <w:p>
      <w:r>
        <w:rPr>
          <w:b/>
        </w:rPr>
        <w:t xml:space="preserve">15 </w:t>
      </w:r>
      <w:r>
        <w:t xml:space="preserve">And this will be the downfall of the horses and the mules and the camels and the donkeys and all the cattle that are in those camps, according to this downfall.</w:t>
      </w:r>
      <w:r>
        <w:rPr>
          <w:rStyle w:val="FootnoteReference"/>
        </w:rPr>
        <w:footnoteReference w:id="14035"/>
      </w:r>
    </w:p>
    <w:p>
      <w:r>
        <w:rPr>
          <w:b/>
        </w:rPr>
        <w:t xml:space="preserve">16 </w:t>
      </w:r>
      <w:r>
        <w:t xml:space="preserve">And it will be, as many as are left from all the nations</w:t>
      </w:r>
      <w:r>
        <w:rPr>
          <w:rStyle w:val="FootnoteReference"/>
        </w:rPr>
        <w:footnoteReference w:id="14036"/>
      </w:r>
      <w:r>
        <w:t xml:space="preserve"> that came against Jerusalem, they will go up year by year to worship the King, the Lord Almighty, and to celebrate the feast of booths.</w:t>
      </w:r>
    </w:p>
    <w:p>
      <w:r>
        <w:rPr>
          <w:b/>
        </w:rPr>
        <w:t xml:space="preserve">17 </w:t>
      </w:r>
      <w:r>
        <w:t xml:space="preserve">And it will be, as many as do not go up from all the tribes of the earth to Jerusalem to worship the King, the Lord Almighty, these also will be added to those</w:t>
      </w:r>
      <w:r>
        <w:rPr>
          <w:rStyle w:val="FootnoteReference"/>
        </w:rPr>
        <w:footnoteReference w:id="14037"/>
      </w:r>
      <w:r>
        <w:t xml:space="preserve">.</w:t>
      </w:r>
    </w:p>
    <w:p>
      <w:r>
        <w:rPr>
          <w:b/>
        </w:rPr>
        <w:t xml:space="preserve">18 </w:t>
      </w:r>
      <w:r>
        <w:t xml:space="preserve">And if the tribe of Egypt does not go up nor come there, then upon these will be the downfall</w:t>
      </w:r>
      <w:r>
        <w:rPr>
          <w:rStyle w:val="FootnoteReference"/>
        </w:rPr>
        <w:footnoteReference w:id="14038"/>
      </w:r>
      <w:r>
        <w:t xml:space="preserve"> with which the Lord will strike all the nations, as many as do not go up to celebrate the feast of booths.</w:t>
      </w:r>
    </w:p>
    <w:p>
      <w:r>
        <w:rPr>
          <w:b/>
        </w:rPr>
        <w:t xml:space="preserve">19 </w:t>
      </w:r>
      <w:r>
        <w:t xml:space="preserve">This will be the sin of Egypt and the sin of all the nations</w:t>
      </w:r>
      <w:r>
        <w:rPr>
          <w:rStyle w:val="FootnoteReference"/>
        </w:rPr>
        <w:footnoteReference w:id="14039"/>
      </w:r>
      <w:r>
        <w:t xml:space="preserve">, as many as do not go up to celebrate the feast of booths.</w:t>
      </w:r>
    </w:p>
    <w:p>
      <w:r>
        <w:rPr>
          <w:b/>
        </w:rPr>
        <w:t xml:space="preserve">20 </w:t>
      </w:r>
      <w:r>
        <w:t xml:space="preserve">On that day, what is on the bridle of the horse</w:t>
      </w:r>
      <w:r>
        <w:rPr>
          <w:rStyle w:val="FootnoteReference"/>
        </w:rPr>
        <w:footnoteReference w:id="14040"/>
      </w:r>
      <w:r>
        <w:t xml:space="preserve"> will be holy to the Lord Almighty, and the pots that are in the house of the Lord will be like bowls before the face of the altar.</w:t>
      </w:r>
      <w:r>
        <w:rPr>
          <w:rStyle w:val="FootnoteReference"/>
        </w:rPr>
        <w:footnoteReference w:id="14041"/>
      </w:r>
    </w:p>
    <w:p>
      <w:r>
        <w:rPr>
          <w:b/>
        </w:rPr>
        <w:t xml:space="preserve">21 </w:t>
      </w:r>
      <w:r>
        <w:t xml:space="preserve">And every pot in Jerusalem and in Judah will be holy to the Lord Almighty, and all those who sacrifice</w:t>
      </w:r>
      <w:r>
        <w:rPr>
          <w:rStyle w:val="FootnoteReference"/>
        </w:rPr>
        <w:footnoteReference w:id="14042"/>
      </w:r>
      <w:r>
        <w:t xml:space="preserve"> will come and take from them and cook in them, and there will no longer be a Canaanite in the house of the Lord Almighty in that day.</w:t>
      </w:r>
    </w:p>
    <w:p>
      <w:r>
        <w:br w:type="page"/>
      </w:r>
    </w:p>
    <w:p>
      <w:pPr>
        <w:pStyle w:val="Heading1"/>
      </w:pPr>
      <w:r>
        <w:t xml:space="preserve">Malachi</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Oracle of the word of the Lord upon Israel by the hand of his messenger. Set this now upon your hearts</w:t>
      </w:r>
      <w:r>
        <w:rPr>
          <w:rStyle w:val="FootnoteReference"/>
        </w:rPr>
        <w:footnoteReference w:id="14043"/>
      </w:r>
      <w:r>
        <w:t xml:space="preserve">.</w:t>
      </w:r>
      <w:r>
        <w:rPr>
          <w:rStyle w:val="FootnoteReference"/>
        </w:rPr>
        <w:footnoteReference w:id="14044"/>
      </w:r>
    </w:p>
    <w:p>
      <w:r>
        <w:rPr>
          <w:b/>
        </w:rPr>
        <w:t xml:space="preserve">2 </w:t>
      </w:r>
      <w:r>
        <w:t xml:space="preserve">I loved you, says the Lord. And you said, In what way did you love us? Was not Esau brother of Jacob? says the Lord. Yet I</w:t>
      </w:r>
      <w:r>
        <w:rPr>
          <w:rStyle w:val="FootnoteReference"/>
        </w:rPr>
        <w:footnoteReference w:id="14045"/>
      </w:r>
      <w:r>
        <w:t xml:space="preserve"> loved Jacob,</w:t>
      </w:r>
    </w:p>
    <w:p>
      <w:r>
        <w:rPr>
          <w:b/>
        </w:rPr>
        <w:t xml:space="preserve">3 </w:t>
      </w:r>
      <w:r>
        <w:t xml:space="preserve">but Esau I hated</w:t>
      </w:r>
      <w:r>
        <w:rPr>
          <w:rStyle w:val="FootnoteReference"/>
        </w:rPr>
        <w:footnoteReference w:id="14046"/>
      </w:r>
      <w:r>
        <w:t xml:space="preserve">, and I appointed his borders for destruction and his inheritance for dwellings of the wilderness</w:t>
      </w:r>
      <w:r>
        <w:rPr>
          <w:rStyle w:val="FootnoteReference"/>
        </w:rPr>
        <w:footnoteReference w:id="14047"/>
      </w:r>
      <w:r>
        <w:t xml:space="preserve">.</w:t>
      </w:r>
    </w:p>
    <w:p>
      <w:r>
        <w:rPr>
          <w:b/>
        </w:rPr>
        <w:t xml:space="preserve">4 </w:t>
      </w:r>
      <w:r>
        <w:t xml:space="preserve">Because Idumea will say, It has been torn down, but let us return and rebuild the desolate places. Thus says the Lord Almighty: They will build, but I will tear down, and they will be called borders of lawlessness and a people against whom the Lord has been arrayed forever.</w:t>
      </w:r>
      <w:r>
        <w:rPr>
          <w:rStyle w:val="FootnoteReference"/>
        </w:rPr>
        <w:footnoteReference w:id="14048"/>
      </w:r>
    </w:p>
    <w:p>
      <w:r>
        <w:rPr>
          <w:b/>
        </w:rPr>
        <w:t xml:space="preserve">5 </w:t>
      </w:r>
      <w:r>
        <w:t xml:space="preserve">And your eyes will see, and you will say, The Lord</w:t>
      </w:r>
      <w:r>
        <w:rPr>
          <w:rStyle w:val="FootnoteReference"/>
        </w:rPr>
        <w:footnoteReference w:id="14049"/>
      </w:r>
      <w:r>
        <w:t xml:space="preserve"> has been magnified beyond the borders of Israel</w:t>
      </w:r>
      <w:r>
        <w:rPr>
          <w:rStyle w:val="FootnoteReference"/>
        </w:rPr>
        <w:footnoteReference w:id="14050"/>
      </w:r>
      <w:r>
        <w:t xml:space="preserve">.</w:t>
      </w:r>
    </w:p>
    <w:p>
      <w:r>
        <w:rPr>
          <w:b/>
        </w:rPr>
        <w:t xml:space="preserve">6 </w:t>
      </w:r>
      <w:r>
        <w:t xml:space="preserve">A son honors a father and a servant</w:t>
      </w:r>
      <w:r>
        <w:rPr>
          <w:rStyle w:val="FootnoteReference"/>
        </w:rPr>
        <w:footnoteReference w:id="14051"/>
      </w:r>
      <w:r>
        <w:t xml:space="preserve"> his master. If I am a father, where is my honor? And if I am a master, where is my fear? says the Lord Almighty to you, priests despising my name. And you said, In what have we despised your name?</w:t>
      </w:r>
      <w:r>
        <w:rPr>
          <w:rStyle w:val="FootnoteReference"/>
        </w:rPr>
        <w:footnoteReference w:id="14052"/>
      </w:r>
      <w:r>
        <w:rPr>
          <w:rStyle w:val="FootnoteReference"/>
        </w:rPr>
        <w:footnoteReference w:id="14053"/>
      </w:r>
    </w:p>
    <w:p>
      <w:r>
        <w:rPr>
          <w:b/>
        </w:rPr>
        <w:t xml:space="preserve">7 </w:t>
      </w:r>
      <w:r>
        <w:t xml:space="preserve">Bringing defiled loaves to my altar. And you said, In what have we defiled them? In your saying, The table</w:t>
      </w:r>
      <w:r>
        <w:rPr>
          <w:rStyle w:val="FootnoteReference"/>
        </w:rPr>
        <w:footnoteReference w:id="14054"/>
      </w:r>
      <w:r>
        <w:t xml:space="preserve"> of the Lord is despised, and the foods placed on it are despised.</w:t>
      </w:r>
      <w:r>
        <w:rPr>
          <w:rStyle w:val="FootnoteReference"/>
        </w:rPr>
        <w:footnoteReference w:id="14055"/>
      </w:r>
    </w:p>
    <w:p>
      <w:r>
        <w:rPr>
          <w:b/>
        </w:rPr>
        <w:t xml:space="preserve">8 </w:t>
      </w:r>
      <w:r>
        <w:t xml:space="preserve">If you bring a blind one for sacrifice, is it not evil? And if you bring a lame or sick one, is it not evil? Present it now to your ruler; will he accept it, or will he receive your face? says the Lord Almighty.</w:t>
      </w:r>
      <w:r>
        <w:rPr>
          <w:rStyle w:val="FootnoteReference"/>
        </w:rPr>
        <w:footnoteReference w:id="14056"/>
      </w:r>
    </w:p>
    <w:p>
      <w:r>
        <w:rPr>
          <w:b/>
        </w:rPr>
        <w:t xml:space="preserve">9 </w:t>
      </w:r>
      <w:r>
        <w:t xml:space="preserve">And now make atonement before the face of your God and plead with him. These things have happened by your hands</w:t>
      </w:r>
      <w:r>
        <w:rPr>
          <w:rStyle w:val="FootnoteReference"/>
        </w:rPr>
        <w:footnoteReference w:id="14057"/>
      </w:r>
      <w:r>
        <w:t xml:space="preserve">. Shall I receive your faces from you? says the Lord Almighty.</w:t>
      </w:r>
    </w:p>
    <w:p>
      <w:r>
        <w:rPr>
          <w:b/>
        </w:rPr>
        <w:t xml:space="preserve">10 </w:t>
      </w:r>
      <w:r>
        <w:t xml:space="preserve">Because even among you the doors will be shut</w:t>
      </w:r>
      <w:r>
        <w:rPr>
          <w:rStyle w:val="FootnoteReference"/>
        </w:rPr>
        <w:footnoteReference w:id="14058"/>
      </w:r>
      <w:r>
        <w:t xml:space="preserve">, and you will not kindle my altar for nothing. There is no delight of mine in you, says the Lord Almighty, and sacrifice I will not accept from your hands.</w:t>
      </w:r>
    </w:p>
    <w:p>
      <w:r>
        <w:rPr>
          <w:b/>
        </w:rPr>
        <w:t xml:space="preserve">11 </w:t>
      </w:r>
      <w:r>
        <w:t xml:space="preserve">Because from the rising of the sun to its setting</w:t>
      </w:r>
      <w:r>
        <w:rPr>
          <w:rStyle w:val="FootnoteReference"/>
        </w:rPr>
        <w:footnoteReference w:id="14059"/>
      </w:r>
      <w:r>
        <w:t xml:space="preserve">, my name</w:t>
      </w:r>
      <w:r>
        <w:rPr>
          <w:rStyle w:val="FootnoteReference"/>
        </w:rPr>
        <w:footnoteReference w:id="14060"/>
      </w:r>
      <w:r>
        <w:t xml:space="preserve"> has been glorified among the nations, and in every place incense is brought to my name and a pure sacrifice, because my name is great among the nations, says the Lord Almighty.</w:t>
      </w:r>
    </w:p>
    <w:p>
      <w:r>
        <w:rPr>
          <w:b/>
        </w:rPr>
        <w:t xml:space="preserve">12 </w:t>
      </w:r>
      <w:r>
        <w:t xml:space="preserve">But you profane it in your saying, The table of the Lord is defiled</w:t>
      </w:r>
      <w:r>
        <w:rPr>
          <w:rStyle w:val="FootnoteReference"/>
        </w:rPr>
        <w:footnoteReference w:id="14061"/>
      </w:r>
      <w:r>
        <w:t xml:space="preserve"> and the foods placed on it are despised.</w:t>
      </w:r>
      <w:r>
        <w:rPr>
          <w:rStyle w:val="FootnoteReference"/>
        </w:rPr>
        <w:footnoteReference w:id="14062"/>
      </w:r>
    </w:p>
    <w:p>
      <w:r>
        <w:rPr>
          <w:b/>
        </w:rPr>
        <w:t xml:space="preserve">13 </w:t>
      </w:r>
      <w:r>
        <w:t xml:space="preserve">And you said, These things are from hardship, and I blew them away</w:t>
      </w:r>
      <w:r>
        <w:rPr>
          <w:rStyle w:val="FootnoteReference"/>
        </w:rPr>
        <w:footnoteReference w:id="14063"/>
      </w:r>
      <w:r>
        <w:t xml:space="preserve">, says the Lord Almighty. You brought plunder and the lame and the afflicted, and if you bring the sacrifice, shall I accept them from your hands? says the Lord Almighty.</w:t>
      </w:r>
    </w:p>
    <w:p>
      <w:r>
        <w:rPr>
          <w:b/>
        </w:rPr>
        <w:t xml:space="preserve">14 </w:t>
      </w:r>
      <w:r>
        <w:t xml:space="preserve">Cursed</w:t>
      </w:r>
      <w:r>
        <w:rPr>
          <w:rStyle w:val="FootnoteReference"/>
        </w:rPr>
        <w:footnoteReference w:id="14064"/>
      </w:r>
      <w:r>
        <w:t xml:space="preserve"> is one who was able, and there was a male in his flock, and his vow was upon him, yet he sacrifices a corrupted thing to the Lord</w:t>
      </w:r>
      <w:r>
        <w:rPr>
          <w:rStyle w:val="FootnoteReference"/>
        </w:rPr>
        <w:footnoteReference w:id="14065"/>
      </w:r>
      <w:r>
        <w:t xml:space="preserve">. Because I am a great King, says the Lord Almighty, and my name is manifest among the nations</w:t>
      </w:r>
      <w:r>
        <w:rPr>
          <w:rStyle w:val="FootnoteReference"/>
        </w:rPr>
        <w:footnoteReference w:id="14066"/>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now this command is for you, priests.</w:t>
      </w:r>
    </w:p>
    <w:p>
      <w:r>
        <w:rPr>
          <w:b/>
        </w:rPr>
        <w:t xml:space="preserve">2 </w:t>
      </w:r>
      <w:r>
        <w:t xml:space="preserve">If you do not listen and do not set it in your heart to give</w:t>
      </w:r>
      <w:r>
        <w:rPr>
          <w:rStyle w:val="FootnoteReference"/>
        </w:rPr>
        <w:footnoteReference w:id="14067"/>
      </w:r>
      <w:r>
        <w:t xml:space="preserve"> glory to my name, says the Lord Almighty, I will send the curse upon you</w:t>
      </w:r>
      <w:r>
        <w:rPr>
          <w:rStyle w:val="FootnoteReference"/>
        </w:rPr>
        <w:footnoteReference w:id="14068"/>
      </w:r>
      <w:r>
        <w:t xml:space="preserve"> and curse your blessing and scatter your blessing, and it will not be among you, because you do not set it in your heart.</w:t>
      </w:r>
    </w:p>
    <w:p>
      <w:r>
        <w:rPr>
          <w:b/>
        </w:rPr>
        <w:t xml:space="preserve">3 </w:t>
      </w:r>
      <w:r>
        <w:t xml:space="preserve">Behold, I separate for you the shoulder, and I will scatter stomach content upon your faces</w:t>
      </w:r>
      <w:r>
        <w:rPr>
          <w:rStyle w:val="FootnoteReference"/>
        </w:rPr>
        <w:footnoteReference w:id="14069"/>
      </w:r>
      <w:r>
        <w:t xml:space="preserve">, the stomach content of your feasts, and I will take you along with it.</w:t>
      </w:r>
    </w:p>
    <w:p>
      <w:r>
        <w:rPr>
          <w:b/>
        </w:rPr>
        <w:t xml:space="preserve">4 </w:t>
      </w:r>
      <w:r>
        <w:t xml:space="preserve">And you will know that I have sent this command to you, so that my</w:t>
      </w:r>
      <w:r>
        <w:rPr>
          <w:rStyle w:val="FootnoteReference"/>
        </w:rPr>
        <w:footnoteReference w:id="14070"/>
      </w:r>
      <w:r>
        <w:t xml:space="preserve"> covenant may be with the Levites</w:t>
      </w:r>
      <w:r>
        <w:rPr>
          <w:rStyle w:val="FootnoteReference"/>
        </w:rPr>
        <w:footnoteReference w:id="14071"/>
      </w:r>
      <w:r>
        <w:t xml:space="preserve">, says the Lord Almighty.</w:t>
      </w:r>
    </w:p>
    <w:p>
      <w:r>
        <w:rPr>
          <w:b/>
        </w:rPr>
        <w:t xml:space="preserve">5 </w:t>
      </w:r>
      <w:r>
        <w:t xml:space="preserve">My covenant</w:t>
      </w:r>
      <w:r>
        <w:rPr>
          <w:rStyle w:val="FootnoteReference"/>
        </w:rPr>
        <w:footnoteReference w:id="14072"/>
      </w:r>
      <w:r>
        <w:t xml:space="preserve"> was with him, of life and of peace, and I gave it to him in fear, to fear me and to shrink from before the face of my name</w:t>
      </w:r>
      <w:r>
        <w:rPr>
          <w:rStyle w:val="FootnoteReference"/>
        </w:rPr>
        <w:footnoteReference w:id="14073"/>
      </w:r>
      <w:r>
        <w:t xml:space="preserve">.</w:t>
      </w:r>
    </w:p>
    <w:p>
      <w:r>
        <w:rPr>
          <w:b/>
        </w:rPr>
        <w:t xml:space="preserve">6 </w:t>
      </w:r>
      <w:r>
        <w:t xml:space="preserve">The law of truth was in his mouth</w:t>
      </w:r>
      <w:r>
        <w:rPr>
          <w:rStyle w:val="FootnoteReference"/>
        </w:rPr>
        <w:footnoteReference w:id="14074"/>
      </w:r>
      <w:r>
        <w:t xml:space="preserve">, and injustice was not found on his lips. In peace he walked</w:t>
      </w:r>
      <w:r>
        <w:rPr>
          <w:rStyle w:val="FootnoteReference"/>
        </w:rPr>
        <w:footnoteReference w:id="14075"/>
      </w:r>
      <w:r>
        <w:t xml:space="preserve"> straight with me and turned many from injustice.</w:t>
      </w:r>
    </w:p>
    <w:p>
      <w:r>
        <w:rPr>
          <w:b/>
        </w:rPr>
        <w:t xml:space="preserve">7 </w:t>
      </w:r>
      <w:r>
        <w:t xml:space="preserve">Because the lips of a priest will guard knowledge, and they will seek the law from his mouth</w:t>
      </w:r>
      <w:r>
        <w:rPr>
          <w:rStyle w:val="FootnoteReference"/>
        </w:rPr>
        <w:footnoteReference w:id="14076"/>
      </w:r>
      <w:r>
        <w:t xml:space="preserve">, because he is a messenger of the Lord Almighty</w:t>
      </w:r>
      <w:r>
        <w:rPr>
          <w:rStyle w:val="FootnoteReference"/>
        </w:rPr>
        <w:footnoteReference w:id="14077"/>
      </w:r>
      <w:r>
        <w:t xml:space="preserve">.</w:t>
      </w:r>
    </w:p>
    <w:p>
      <w:r>
        <w:rPr>
          <w:b/>
        </w:rPr>
        <w:t xml:space="preserve">8 </w:t>
      </w:r>
      <w:r>
        <w:t xml:space="preserve">But you turned aside from the way and made many weak in the law</w:t>
      </w:r>
      <w:r>
        <w:rPr>
          <w:rStyle w:val="FootnoteReference"/>
        </w:rPr>
        <w:footnoteReference w:id="14078"/>
      </w:r>
      <w:r>
        <w:t xml:space="preserve">. You corrupted the covenant of Levi, says the Lord Almighty.</w:t>
      </w:r>
    </w:p>
    <w:p>
      <w:r>
        <w:rPr>
          <w:b/>
        </w:rPr>
        <w:t xml:space="preserve">9 </w:t>
      </w:r>
      <w:r>
        <w:t xml:space="preserve">And I have made</w:t>
      </w:r>
      <w:r>
        <w:rPr>
          <w:rStyle w:val="FootnoteReference"/>
        </w:rPr>
        <w:footnoteReference w:id="14079"/>
      </w:r>
      <w:r>
        <w:t xml:space="preserve"> you despised and cast aside among all the nations</w:t>
      </w:r>
      <w:r>
        <w:rPr>
          <w:rStyle w:val="FootnoteReference"/>
        </w:rPr>
        <w:footnoteReference w:id="14080"/>
      </w:r>
      <w:r>
        <w:t xml:space="preserve">, because you did not guard my ways but received faces in the law.</w:t>
      </w:r>
    </w:p>
    <w:p>
      <w:r>
        <w:rPr>
          <w:b/>
        </w:rPr>
        <w:t xml:space="preserve">10 </w:t>
      </w:r>
      <w:r>
        <w:t xml:space="preserve">Did not one God create you</w:t>
      </w:r>
      <w:r>
        <w:rPr>
          <w:rStyle w:val="FootnoteReference"/>
        </w:rPr>
        <w:footnoteReference w:id="14081"/>
      </w:r>
      <w:r>
        <w:t xml:space="preserve">? Is not one father of you all?</w:t>
      </w:r>
      <w:r>
        <w:rPr>
          <w:rStyle w:val="FootnoteReference"/>
        </w:rPr>
        <w:footnoteReference w:id="14082"/>
      </w:r>
      <w:r>
        <w:t xml:space="preserve"> Why did each abandon his brother, to profane the covenant of your fathers?</w:t>
      </w:r>
    </w:p>
    <w:p>
      <w:r>
        <w:rPr>
          <w:b/>
        </w:rPr>
        <w:t xml:space="preserve">11 </w:t>
      </w:r>
      <w:r>
        <w:t xml:space="preserve">Judah was abandoned, and an</w:t>
      </w:r>
      <w:r>
        <w:rPr>
          <w:rStyle w:val="FootnoteReference"/>
        </w:rPr>
        <w:footnoteReference w:id="14083"/>
      </w:r>
      <w:r>
        <w:t xml:space="preserve"> abomination happened in Israel and in Jerusalem, because Judah profaned the holy things of the Lord</w:t>
      </w:r>
      <w:r>
        <w:rPr>
          <w:rStyle w:val="FootnoteReference"/>
        </w:rPr>
        <w:footnoteReference w:id="14084"/>
      </w:r>
      <w:r>
        <w:t xml:space="preserve"> which he loved, and he devoted himself to foreign gods.</w:t>
      </w:r>
    </w:p>
    <w:p>
      <w:r>
        <w:rPr>
          <w:b/>
        </w:rPr>
        <w:t xml:space="preserve">12 </w:t>
      </w:r>
      <w:r>
        <w:t xml:space="preserve">The Lord will destroy the man doing these things</w:t>
      </w:r>
      <w:r>
        <w:rPr>
          <w:rStyle w:val="FootnoteReference"/>
        </w:rPr>
        <w:footnoteReference w:id="14085"/>
      </w:r>
      <w:r>
        <w:t xml:space="preserve">, until he is humbled from the tents of Jacob and from those who bring sacrifice to the Lord Almighty.</w:t>
      </w:r>
    </w:p>
    <w:p>
      <w:r>
        <w:rPr>
          <w:b/>
        </w:rPr>
        <w:t xml:space="preserve">13 </w:t>
      </w:r>
      <w:r>
        <w:t xml:space="preserve">And these things which I hated</w:t>
      </w:r>
      <w:r>
        <w:rPr>
          <w:rStyle w:val="FootnoteReference"/>
        </w:rPr>
        <w:footnoteReference w:id="14086"/>
      </w:r>
      <w:r>
        <w:t xml:space="preserve">, you did: you covered the altar of the Lord with tears and with weeping and groaning from toil. Is it still worthy to look upon sacrifice or to receive what is acceptable from your hands?</w:t>
      </w:r>
    </w:p>
    <w:p>
      <w:r>
        <w:rPr>
          <w:b/>
        </w:rPr>
        <w:t xml:space="preserve">14 </w:t>
      </w:r>
      <w:r>
        <w:t xml:space="preserve">And you said, For what reason? Because the Lord</w:t>
      </w:r>
      <w:r>
        <w:rPr>
          <w:rStyle w:val="FootnoteReference"/>
        </w:rPr>
        <w:footnoteReference w:id="14087"/>
      </w:r>
      <w:r>
        <w:t xml:space="preserve"> testified between you and the wife of your youth whom you abandoned, and she is your companion and the wife of your covenant.</w:t>
      </w:r>
    </w:p>
    <w:p>
      <w:r>
        <w:rPr>
          <w:b/>
        </w:rPr>
        <w:t xml:space="preserve">15 </w:t>
      </w:r>
      <w:r>
        <w:t xml:space="preserve">And no other did this</w:t>
      </w:r>
      <w:r>
        <w:rPr>
          <w:rStyle w:val="FootnoteReference"/>
        </w:rPr>
        <w:footnoteReference w:id="14088"/>
      </w:r>
      <w:r>
        <w:t xml:space="preserve"> while a remnant of his spirit was his. And you said, What else does God seek but seed? Guard yourselves in your spirit, and do not abandon the wife of your youth.</w:t>
      </w:r>
    </w:p>
    <w:p>
      <w:r>
        <w:rPr>
          <w:b/>
        </w:rPr>
        <w:t xml:space="preserve">16 </w:t>
      </w:r>
      <w:r>
        <w:t xml:space="preserve">But if you hate and send away, says the Lord, the God of Israel</w:t>
      </w:r>
      <w:r>
        <w:rPr>
          <w:rStyle w:val="FootnoteReference"/>
        </w:rPr>
        <w:footnoteReference w:id="14089"/>
      </w:r>
      <w:r>
        <w:t xml:space="preserve">, impiety will cover your thoughts, says the Lord Almighty. Guard yourselves in your spirit, and do not abandon.</w:t>
      </w:r>
      <w:r>
        <w:rPr>
          <w:rStyle w:val="FootnoteReference"/>
        </w:rPr>
        <w:footnoteReference w:id="14090"/>
      </w:r>
    </w:p>
    <w:p>
      <w:r>
        <w:rPr>
          <w:b/>
        </w:rPr>
        <w:t xml:space="preserve">17 </w:t>
      </w:r>
      <w:r>
        <w:t xml:space="preserve">You provoke God in your words, and you said, In what have we provoked him? In your saying, Everyone doing evil is good before the Lord, and he himself took pleasure in them</w:t>
      </w:r>
      <w:r>
        <w:rPr>
          <w:rStyle w:val="FootnoteReference"/>
        </w:rPr>
        <w:footnoteReference w:id="14091"/>
      </w:r>
      <w:r>
        <w:t xml:space="preserve">; and, Where is the God of justice?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Behold, I send my messenger, and he will look upon a way before my face</w:t>
      </w:r>
      <w:r>
        <w:rPr>
          <w:rStyle w:val="FootnoteReference"/>
        </w:rPr>
        <w:footnoteReference w:id="14092"/>
      </w:r>
      <w:r>
        <w:t xml:space="preserve">, and suddenly the Lord whom you seek will come into his own temple, and the messenger of the covenant whom you desire. Behold, he comes, says the Lord Almighty.</w:t>
      </w:r>
    </w:p>
    <w:p>
      <w:r>
        <w:rPr>
          <w:b/>
        </w:rPr>
        <w:t xml:space="preserve">2 </w:t>
      </w:r>
      <w:r>
        <w:t xml:space="preserve">And who will endure the day of his coming? Or who will stand in his appearance? Because he enters like the fire of a smelting furnace and like the herb of washers</w:t>
      </w:r>
      <w:r>
        <w:rPr>
          <w:rStyle w:val="FootnoteReference"/>
        </w:rPr>
        <w:footnoteReference w:id="14093"/>
      </w:r>
      <w:r>
        <w:t xml:space="preserve">.</w:t>
      </w:r>
    </w:p>
    <w:p>
      <w:r>
        <w:rPr>
          <w:b/>
        </w:rPr>
        <w:t xml:space="preserve">3 </w:t>
      </w:r>
      <w:r>
        <w:t xml:space="preserve">And he will sit refining and cleansing like silver and like gold, and he will cleanse the sons of Levi</w:t>
      </w:r>
      <w:r>
        <w:rPr>
          <w:rStyle w:val="FootnoteReference"/>
        </w:rPr>
        <w:footnoteReference w:id="14094"/>
      </w:r>
      <w:r>
        <w:t xml:space="preserve"> and pour them out like gold and like silver, and they will be to the Lord, bringing sacrifice in righteousness.</w:t>
      </w:r>
      <w:r>
        <w:rPr>
          <w:rStyle w:val="FootnoteReference"/>
        </w:rPr>
        <w:footnoteReference w:id="14095"/>
      </w:r>
    </w:p>
    <w:p>
      <w:r>
        <w:rPr>
          <w:b/>
        </w:rPr>
        <w:t xml:space="preserve">4 </w:t>
      </w:r>
      <w:r>
        <w:t xml:space="preserve">And the sacrifice of Judah and Jerusalem will be pleasing to the Lord, as the days of old</w:t>
      </w:r>
      <w:r>
        <w:rPr>
          <w:rStyle w:val="FootnoteReference"/>
        </w:rPr>
        <w:footnoteReference w:id="14096"/>
      </w:r>
      <w:r>
        <w:t xml:space="preserve"> and as the former years.</w:t>
      </w:r>
    </w:p>
    <w:p>
      <w:r>
        <w:rPr>
          <w:b/>
        </w:rPr>
        <w:t xml:space="preserve">5 </w:t>
      </w:r>
      <w:r>
        <w:t xml:space="preserve">And I will come</w:t>
      </w:r>
      <w:r>
        <w:rPr>
          <w:rStyle w:val="FootnoteReference"/>
        </w:rPr>
        <w:footnoteReference w:id="14097"/>
      </w:r>
      <w:r>
        <w:t xml:space="preserve"> near to you in judgment, and I will be a swift witness</w:t>
      </w:r>
      <w:r>
        <w:rPr>
          <w:rStyle w:val="FootnoteReference"/>
        </w:rPr>
        <w:footnoteReference w:id="14098"/>
      </w:r>
      <w:r>
        <w:t xml:space="preserve"> against the sorceresses and against the adulteresses and against those swearing falsely by my name and against those withholding the wage of a hired worker</w:t>
      </w:r>
      <w:r>
        <w:rPr>
          <w:rStyle w:val="FootnoteReference"/>
        </w:rPr>
        <w:footnoteReference w:id="14099"/>
      </w:r>
      <w:r>
        <w:t xml:space="preserve">, and those oppressing a widow and those striking orphans and those turning aside the judgment of a sojourner, and those not fearing me, says the Lord Almighty.</w:t>
      </w:r>
    </w:p>
    <w:p>
      <w:r>
        <w:rPr>
          <w:b/>
        </w:rPr>
        <w:t xml:space="preserve">6 </w:t>
      </w:r>
      <w:r>
        <w:t xml:space="preserve">Because I am the Lord your God, and I have not changed</w:t>
      </w:r>
      <w:r>
        <w:rPr>
          <w:rStyle w:val="FootnoteReference"/>
        </w:rPr>
        <w:footnoteReference w:id="14100"/>
      </w:r>
      <w:r>
        <w:t xml:space="preserve">, and you sons of Jacob have not ceased.</w:t>
      </w:r>
    </w:p>
    <w:p>
      <w:r>
        <w:rPr>
          <w:b/>
        </w:rPr>
        <w:t xml:space="preserve">7 </w:t>
      </w:r>
      <w:r>
        <w:t xml:space="preserve">from the injustices of your fathers</w:t>
      </w:r>
      <w:r>
        <w:rPr>
          <w:rStyle w:val="FootnoteReference"/>
        </w:rPr>
        <w:footnoteReference w:id="14101"/>
      </w:r>
      <w:r>
        <w:t xml:space="preserve">. You turned aside my statutes and did not keep them. Return to me, and I will return to you, says the Lord Almighty. And you said, In what shall we return?</w:t>
      </w:r>
      <w:r>
        <w:rPr>
          <w:rStyle w:val="FootnoteReference"/>
        </w:rPr>
        <w:footnoteReference w:id="14102"/>
      </w:r>
    </w:p>
    <w:p>
      <w:r>
        <w:rPr>
          <w:b/>
        </w:rPr>
        <w:t xml:space="preserve">8 </w:t>
      </w:r>
      <w:r>
        <w:t xml:space="preserve">Will a human trick God? For you trick me. And you will say, In what have we tricked you? Because the tenths and the firstfruits</w:t>
      </w:r>
      <w:r>
        <w:rPr>
          <w:rStyle w:val="FootnoteReference"/>
        </w:rPr>
        <w:footnoteReference w:id="14103"/>
      </w:r>
      <w:r>
        <w:t xml:space="preserve"> are with you.</w:t>
      </w:r>
    </w:p>
    <w:p>
      <w:r>
        <w:rPr>
          <w:b/>
        </w:rPr>
        <w:t xml:space="preserve">9 </w:t>
      </w:r>
      <w:r>
        <w:t xml:space="preserve">Looking away, you keep looking away</w:t>
      </w:r>
      <w:r>
        <w:rPr>
          <w:rStyle w:val="FootnoteReference"/>
        </w:rPr>
        <w:footnoteReference w:id="14104"/>
      </w:r>
      <w:r>
        <w:t xml:space="preserve">, and you trick me; the nation has been brought to an end.</w:t>
      </w:r>
    </w:p>
    <w:p>
      <w:r>
        <w:rPr>
          <w:b/>
        </w:rPr>
        <w:t xml:space="preserve">10 </w:t>
      </w:r>
      <w:r>
        <w:t xml:space="preserve">Bring all the produce into the storehouses, and in his house there will be its plunder</w:t>
      </w:r>
      <w:r>
        <w:rPr>
          <w:rStyle w:val="FootnoteReference"/>
        </w:rPr>
        <w:footnoteReference w:id="14105"/>
      </w:r>
      <w:r>
        <w:t xml:space="preserve">. Test me now in this, says the Lord Almighty, if I do not open</w:t>
      </w:r>
      <w:r>
        <w:rPr>
          <w:rStyle w:val="FootnoteReference"/>
        </w:rPr>
        <w:footnoteReference w:id="14106"/>
      </w:r>
      <w:r>
        <w:t xml:space="preserve"> for you the cataracts of heaven and pour out my blessing for you until it is enough.</w:t>
      </w:r>
    </w:p>
    <w:p>
      <w:r>
        <w:rPr>
          <w:b/>
        </w:rPr>
        <w:t xml:space="preserve">11 </w:t>
      </w:r>
      <w:r>
        <w:t xml:space="preserve">And I will appoint food for you</w:t>
      </w:r>
      <w:r>
        <w:rPr>
          <w:rStyle w:val="FootnoteReference"/>
        </w:rPr>
        <w:footnoteReference w:id="14107"/>
      </w:r>
      <w:r>
        <w:t xml:space="preserve">, and I will not destroy the fruit of your land, and your vine in the field will not grow weak, says the Lord Almighty.</w:t>
      </w:r>
    </w:p>
    <w:p>
      <w:r>
        <w:rPr>
          <w:b/>
        </w:rPr>
        <w:t xml:space="preserve">12 </w:t>
      </w:r>
      <w:r>
        <w:t xml:space="preserve">And all the nations will call you blessed, because you will be a desired land</w:t>
      </w:r>
      <w:r>
        <w:rPr>
          <w:rStyle w:val="FootnoteReference"/>
        </w:rPr>
        <w:footnoteReference w:id="14108"/>
      </w:r>
      <w:r>
        <w:t xml:space="preserve">, says the Lord Almighty.</w:t>
      </w:r>
    </w:p>
    <w:p>
      <w:r>
        <w:rPr>
          <w:b/>
        </w:rPr>
        <w:t xml:space="preserve">13 </w:t>
      </w:r>
      <w:r>
        <w:t xml:space="preserve">You have made your words heavy against me</w:t>
      </w:r>
      <w:r>
        <w:rPr>
          <w:rStyle w:val="FootnoteReference"/>
        </w:rPr>
        <w:footnoteReference w:id="14109"/>
      </w:r>
      <w:r>
        <w:t xml:space="preserve">, says the Lord. And you said, In what have we spoken against you?</w:t>
      </w:r>
    </w:p>
    <w:p>
      <w:r>
        <w:rPr>
          <w:b/>
        </w:rPr>
        <w:t xml:space="preserve">14 </w:t>
      </w:r>
      <w:r>
        <w:t xml:space="preserve">You said, Vain is the one serving God. And what surplus is it that we kept his charges and that</w:t>
      </w:r>
      <w:r>
        <w:rPr>
          <w:rStyle w:val="FootnoteReference"/>
        </w:rPr>
        <w:footnoteReference w:id="14110"/>
      </w:r>
      <w:r>
        <w:t xml:space="preserve"> we walked as suppliants before the face of the Lord Almighty</w:t>
      </w:r>
      <w:r>
        <w:rPr>
          <w:rStyle w:val="FootnoteReference"/>
        </w:rPr>
        <w:footnoteReference w:id="14111"/>
      </w:r>
      <w:r>
        <w:t xml:space="preserve">?</w:t>
      </w:r>
    </w:p>
    <w:p>
      <w:r>
        <w:rPr>
          <w:b/>
        </w:rPr>
        <w:t xml:space="preserve">15 </w:t>
      </w:r>
      <w:r>
        <w:t xml:space="preserve">And now we call</w:t>
      </w:r>
      <w:r>
        <w:rPr>
          <w:rStyle w:val="FootnoteReference"/>
        </w:rPr>
        <w:footnoteReference w:id="14112"/>
      </w:r>
      <w:r>
        <w:t xml:space="preserve"> strangers blessed, and all those doing lawless things</w:t>
      </w:r>
      <w:r>
        <w:rPr>
          <w:rStyle w:val="FootnoteReference"/>
        </w:rPr>
        <w:footnoteReference w:id="14113"/>
      </w:r>
      <w:r>
        <w:t xml:space="preserve"> are built up, and they resisted God and were saved.</w:t>
      </w:r>
    </w:p>
    <w:p>
      <w:r>
        <w:rPr>
          <w:b/>
        </w:rPr>
        <w:t xml:space="preserve">16 </w:t>
      </w:r>
      <w:r>
        <w:t xml:space="preserve">These things those fearing the Lord spoke, each to his neighbor; and the Lord paid attention and listened, and he wrote a book of remembrance</w:t>
      </w:r>
      <w:r>
        <w:rPr>
          <w:rStyle w:val="FootnoteReference"/>
        </w:rPr>
        <w:footnoteReference w:id="14114"/>
      </w:r>
      <w:r>
        <w:t xml:space="preserve"> before him for those fearing the Lord and revering his name.</w:t>
      </w:r>
      <w:r>
        <w:rPr>
          <w:rStyle w:val="FootnoteReference"/>
        </w:rPr>
        <w:footnoteReference w:id="14115"/>
      </w:r>
    </w:p>
    <w:p>
      <w:r>
        <w:rPr>
          <w:b/>
        </w:rPr>
        <w:t xml:space="preserve">17 </w:t>
      </w:r>
      <w:r>
        <w:t xml:space="preserve">And they will be mine, says the Lord Almighty, on the day that I make for possession</w:t>
      </w:r>
      <w:r>
        <w:rPr>
          <w:rStyle w:val="FootnoteReference"/>
        </w:rPr>
        <w:footnoteReference w:id="14116"/>
      </w:r>
      <w:r>
        <w:t xml:space="preserve">, and I will choose them as a man chooses his son who serves him.</w:t>
      </w:r>
    </w:p>
    <w:p>
      <w:r>
        <w:rPr>
          <w:b/>
        </w:rPr>
        <w:t xml:space="preserve">18 </w:t>
      </w:r>
      <w:r>
        <w:t xml:space="preserve">And you will return and see between a righteous one and a lawless one</w:t>
      </w:r>
      <w:r>
        <w:rPr>
          <w:rStyle w:val="FootnoteReference"/>
        </w:rPr>
        <w:footnoteReference w:id="14117"/>
      </w:r>
      <w:r>
        <w:t xml:space="preserve">, and between the one serving God and the one not serving.</w:t>
      </w:r>
    </w:p>
    <w:p>
      <w:r>
        <w:rPr>
          <w:b/>
        </w:rPr>
        <w:t xml:space="preserve">19 </w:t>
      </w:r>
      <w:r>
        <w:t xml:space="preserve">Because behold, the day of the Lord comes, burning like a furnace, and it will burn them, and all the foreigners and all those doing lawless things</w:t>
      </w:r>
      <w:r>
        <w:rPr>
          <w:rStyle w:val="FootnoteReference"/>
        </w:rPr>
        <w:footnoteReference w:id="14118"/>
      </w:r>
      <w:r>
        <w:t xml:space="preserve"> will be stubble, and the coming day will kindle them, says the Lord Almighty, and neither root nor branch will be left from them.</w:t>
      </w:r>
    </w:p>
    <w:p>
      <w:r>
        <w:rPr>
          <w:b/>
        </w:rPr>
        <w:t xml:space="preserve">20 </w:t>
      </w:r>
      <w:r>
        <w:t xml:space="preserve">And for you who fear my name, a sun of righteousness</w:t>
      </w:r>
      <w:r>
        <w:rPr>
          <w:rStyle w:val="FootnoteReference"/>
        </w:rPr>
        <w:footnoteReference w:id="14119"/>
      </w:r>
      <w:r>
        <w:t xml:space="preserve"> will rise, and healing will be in its wings, and you will go out and skip like calves let loose from bonds.</w:t>
      </w:r>
    </w:p>
    <w:p>
      <w:r>
        <w:rPr>
          <w:b/>
        </w:rPr>
        <w:t xml:space="preserve">21 </w:t>
      </w:r>
      <w:r>
        <w:t xml:space="preserve">And you will trample lawless ones, because they will be ashes under your feet</w:t>
      </w:r>
      <w:r>
        <w:rPr>
          <w:rStyle w:val="FootnoteReference"/>
        </w:rPr>
        <w:footnoteReference w:id="14120"/>
      </w:r>
      <w:r>
        <w:t xml:space="preserve"> on the day that I make, says the Lord Almighty.</w:t>
      </w:r>
    </w:p>
    <w:p>
      <w:r>
        <w:rPr>
          <w:b/>
        </w:rPr>
        <w:t xml:space="preserve">22 </w:t>
      </w:r>
      <w:r>
        <w:t xml:space="preserve">And behold, I send Elijah</w:t>
      </w:r>
      <w:r>
        <w:rPr>
          <w:rStyle w:val="FootnoteReference"/>
        </w:rPr>
        <w:footnoteReference w:id="14121"/>
      </w:r>
      <w:r>
        <w:t xml:space="preserve"> the Tishbite to you before the great and manifest day of the Lord</w:t>
      </w:r>
      <w:r>
        <w:rPr>
          <w:rStyle w:val="FootnoteReference"/>
        </w:rPr>
        <w:footnoteReference w:id="14122"/>
      </w:r>
      <w:r>
        <w:t xml:space="preserve"> comes,</w:t>
      </w:r>
    </w:p>
    <w:p>
      <w:r>
        <w:rPr>
          <w:b/>
        </w:rPr>
        <w:t xml:space="preserve">23 </w:t>
      </w:r>
      <w:r>
        <w:t xml:space="preserve">who will restore the heart of a father to a son</w:t>
      </w:r>
      <w:r>
        <w:rPr>
          <w:rStyle w:val="FootnoteReference"/>
        </w:rPr>
        <w:footnoteReference w:id="14123"/>
      </w:r>
      <w:r>
        <w:t xml:space="preserve"> and the heart of a man to his neighbor, lest I come and strike the earth utterly.</w:t>
      </w:r>
    </w:p>
    <w:p>
      <w:r>
        <w:rPr>
          <w:b/>
        </w:rPr>
        <w:t xml:space="preserve">24 </w:t>
      </w:r>
      <w:r>
        <w:t xml:space="preserve">Remember the law of Moses my servant, as I commanded him in Horeb for all Israel, ordinances and judgments</w:t>
      </w:r>
      <w:r>
        <w:rPr>
          <w:rStyle w:val="FootnoteReference"/>
        </w:rPr>
        <w:footnoteReference w:id="14124"/>
      </w:r>
      <w:r>
        <w:t xml:space="preserve">.</w:t>
      </w:r>
    </w:p>
    <w:p>
      <w:r>
        <w:br w:type="page"/>
      </w:r>
    </w:p>
    <w:p>
      <w:pPr>
        <w:pStyle w:val="Heading1"/>
      </w:pPr>
      <w:r>
        <w:t xml:space="preserve">Matthew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Book of the origin</w:t>
      </w:r>
      <w:r>
        <w:rPr>
          <w:rStyle w:val="FootnoteReference"/>
        </w:rPr>
        <w:footnoteReference w:id="14125"/>
      </w:r>
      <w:r>
        <w:t xml:space="preserve"> of Jesus Christ</w:t>
      </w:r>
      <w:r>
        <w:rPr>
          <w:rStyle w:val="FootnoteReference"/>
        </w:rPr>
        <w:footnoteReference w:id="14126"/>
      </w:r>
      <w:r>
        <w:t xml:space="preserve">, son of David</w:t>
      </w:r>
      <w:r>
        <w:rPr>
          <w:rStyle w:val="FootnoteReference"/>
        </w:rPr>
        <w:footnoteReference w:id="14127"/>
      </w:r>
      <w:r>
        <w:t xml:space="preserve">, son of Abraham</w:t>
      </w:r>
      <w:r>
        <w:rPr>
          <w:rStyle w:val="FootnoteReference"/>
        </w:rPr>
        <w:footnoteReference w:id="14128"/>
      </w:r>
      <w:r>
        <w:t xml:space="preserve">.</w:t>
      </w:r>
    </w:p>
    <w:p>
      <w:r>
        <w:rPr>
          <w:b/>
        </w:rPr>
        <w:t xml:space="preserve">2 </w:t>
      </w:r>
      <w:r>
        <w:t xml:space="preserve">Abraham</w:t>
      </w:r>
      <w:r>
        <w:rPr>
          <w:rStyle w:val="FootnoteReference"/>
        </w:rPr>
        <w:footnoteReference w:id="14129"/>
      </w:r>
      <w:r>
        <w:t xml:space="preserve"> fathered Isaac</w:t>
      </w:r>
      <w:r>
        <w:rPr>
          <w:rStyle w:val="FootnoteReference"/>
        </w:rPr>
        <w:footnoteReference w:id="14130"/>
      </w:r>
      <w:r>
        <w:t xml:space="preserve">; and Isaac fathered Jacob</w:t>
      </w:r>
      <w:r>
        <w:rPr>
          <w:rStyle w:val="FootnoteReference"/>
        </w:rPr>
        <w:footnoteReference w:id="14131"/>
      </w:r>
      <w:r>
        <w:t xml:space="preserve">; and Jacob fathered Judah</w:t>
      </w:r>
      <w:r>
        <w:rPr>
          <w:rStyle w:val="FootnoteReference"/>
        </w:rPr>
        <w:footnoteReference w:id="14132"/>
      </w:r>
      <w:r>
        <w:t xml:space="preserve"> and his brothers;</w:t>
      </w:r>
      <w:r>
        <w:rPr>
          <w:rStyle w:val="FootnoteReference"/>
        </w:rPr>
        <w:footnoteReference w:id="14133"/>
      </w:r>
    </w:p>
    <w:p>
      <w:r>
        <w:rPr>
          <w:b/>
        </w:rPr>
        <w:t xml:space="preserve">3 </w:t>
      </w:r>
      <w:r>
        <w:t xml:space="preserve">And Judah fathered Perez</w:t>
      </w:r>
      <w:r>
        <w:rPr>
          <w:rStyle w:val="FootnoteReference"/>
        </w:rPr>
        <w:footnoteReference w:id="14134"/>
      </w:r>
      <w:r>
        <w:t xml:space="preserve"> and Zerah</w:t>
      </w:r>
      <w:r>
        <w:rPr>
          <w:rStyle w:val="FootnoteReference"/>
        </w:rPr>
        <w:footnoteReference w:id="14135"/>
      </w:r>
      <w:r>
        <w:t xml:space="preserve"> of Tamar</w:t>
      </w:r>
      <w:r>
        <w:rPr>
          <w:rStyle w:val="FootnoteReference"/>
        </w:rPr>
        <w:footnoteReference w:id="14136"/>
      </w:r>
      <w:r>
        <w:t xml:space="preserve">; and Perez fathered Hezron</w:t>
      </w:r>
      <w:r>
        <w:rPr>
          <w:rStyle w:val="FootnoteReference"/>
        </w:rPr>
        <w:footnoteReference w:id="14137"/>
      </w:r>
      <w:r>
        <w:t xml:space="preserve">; and Hezron fathered Aram</w:t>
      </w:r>
      <w:r>
        <w:rPr>
          <w:rStyle w:val="FootnoteReference"/>
        </w:rPr>
        <w:footnoteReference w:id="14138"/>
      </w:r>
      <w:r>
        <w:t xml:space="preserve">;</w:t>
      </w:r>
      <w:r>
        <w:rPr>
          <w:rStyle w:val="FootnoteReference"/>
        </w:rPr>
        <w:footnoteReference w:id="14139"/>
      </w:r>
      <w:r>
        <w:rPr>
          <w:rStyle w:val="FootnoteReference"/>
        </w:rPr>
        <w:footnoteReference w:id="14140"/>
      </w:r>
      <w:r>
        <w:rPr>
          <w:rStyle w:val="FootnoteReference"/>
        </w:rPr>
        <w:footnoteReference w:id="14141"/>
      </w:r>
    </w:p>
    <w:p>
      <w:r>
        <w:rPr>
          <w:b/>
        </w:rPr>
        <w:t xml:space="preserve">4 </w:t>
      </w:r>
      <w:r>
        <w:t xml:space="preserve">And Aram fathered Amminadab</w:t>
      </w:r>
      <w:r>
        <w:rPr>
          <w:rStyle w:val="FootnoteReference"/>
        </w:rPr>
        <w:footnoteReference w:id="14142"/>
      </w:r>
      <w:r>
        <w:t xml:space="preserve">; and Amminadab fathered Nahshon</w:t>
      </w:r>
      <w:r>
        <w:rPr>
          <w:rStyle w:val="FootnoteReference"/>
        </w:rPr>
        <w:footnoteReference w:id="14143"/>
      </w:r>
      <w:r>
        <w:t xml:space="preserve">; and Nahshon fathered Salmon</w:t>
      </w:r>
      <w:r>
        <w:rPr>
          <w:rStyle w:val="FootnoteReference"/>
        </w:rPr>
        <w:footnoteReference w:id="14144"/>
      </w:r>
      <w:r>
        <w:t xml:space="preserve">;</w:t>
      </w:r>
    </w:p>
    <w:p>
      <w:r>
        <w:rPr>
          <w:b/>
        </w:rPr>
        <w:t xml:space="preserve">5 </w:t>
      </w:r>
      <w:r>
        <w:t xml:space="preserve">And Salmon</w:t>
      </w:r>
      <w:r>
        <w:rPr>
          <w:rStyle w:val="FootnoteReference"/>
        </w:rPr>
        <w:footnoteReference w:id="14145"/>
      </w:r>
      <w:r>
        <w:t xml:space="preserve"> fathered Boaz</w:t>
      </w:r>
      <w:r>
        <w:rPr>
          <w:rStyle w:val="FootnoteReference"/>
        </w:rPr>
        <w:footnoteReference w:id="14146"/>
      </w:r>
      <w:r>
        <w:t xml:space="preserve"> of Rahab</w:t>
      </w:r>
      <w:r>
        <w:rPr>
          <w:rStyle w:val="FootnoteReference"/>
        </w:rPr>
        <w:footnoteReference w:id="14147"/>
      </w:r>
      <w:r>
        <w:t xml:space="preserve">; and Boaz fathered Obed</w:t>
      </w:r>
      <w:r>
        <w:rPr>
          <w:rStyle w:val="FootnoteReference"/>
        </w:rPr>
        <w:footnoteReference w:id="14148"/>
      </w:r>
      <w:r>
        <w:t xml:space="preserve"> of Ruth</w:t>
      </w:r>
      <w:r>
        <w:rPr>
          <w:rStyle w:val="FootnoteReference"/>
        </w:rPr>
        <w:footnoteReference w:id="14149"/>
      </w:r>
      <w:r>
        <w:t xml:space="preserve">; and Obed fathered Jesse</w:t>
      </w:r>
      <w:r>
        <w:rPr>
          <w:rStyle w:val="FootnoteReference"/>
        </w:rPr>
        <w:footnoteReference w:id="14150"/>
      </w:r>
      <w:r>
        <w:t xml:space="preserve">;</w:t>
      </w:r>
      <w:r>
        <w:rPr>
          <w:rStyle w:val="FootnoteReference"/>
        </w:rPr>
        <w:footnoteReference w:id="14151"/>
      </w:r>
    </w:p>
    <w:p>
      <w:r>
        <w:rPr>
          <w:b/>
        </w:rPr>
        <w:t xml:space="preserve">6 </w:t>
      </w:r>
      <w:r>
        <w:t xml:space="preserve">And Jesse</w:t>
      </w:r>
      <w:r>
        <w:rPr>
          <w:rStyle w:val="FootnoteReference"/>
        </w:rPr>
        <w:footnoteReference w:id="14152"/>
      </w:r>
      <w:r>
        <w:t xml:space="preserve"> fathered David the king; and David the king fathered Solomon</w:t>
      </w:r>
      <w:r>
        <w:rPr>
          <w:rStyle w:val="FootnoteReference"/>
        </w:rPr>
        <w:footnoteReference w:id="14153"/>
      </w:r>
      <w:r>
        <w:t xml:space="preserve"> of her that had been the wife of Uriah</w:t>
      </w:r>
      <w:r>
        <w:rPr>
          <w:rStyle w:val="FootnoteReference"/>
        </w:rPr>
        <w:footnoteReference w:id="14154"/>
      </w:r>
      <w:r>
        <w:t xml:space="preserve">;</w:t>
      </w:r>
    </w:p>
    <w:p>
      <w:r>
        <w:rPr>
          <w:b/>
        </w:rPr>
        <w:t xml:space="preserve">7 </w:t>
      </w:r>
      <w:r>
        <w:t xml:space="preserve">And Solomon fathered Rehoboam</w:t>
      </w:r>
      <w:r>
        <w:rPr>
          <w:rStyle w:val="FootnoteReference"/>
        </w:rPr>
        <w:footnoteReference w:id="14155"/>
      </w:r>
      <w:r>
        <w:t xml:space="preserve">; and Rehoboam fathered Abijah</w:t>
      </w:r>
      <w:r>
        <w:rPr>
          <w:rStyle w:val="FootnoteReference"/>
        </w:rPr>
        <w:footnoteReference w:id="14156"/>
      </w:r>
      <w:r>
        <w:t xml:space="preserve">; and Abijah fathered Asa</w:t>
      </w:r>
      <w:r>
        <w:rPr>
          <w:rStyle w:val="FootnoteReference"/>
        </w:rPr>
        <w:footnoteReference w:id="14157"/>
      </w:r>
      <w:r>
        <w:t xml:space="preserve">;</w:t>
      </w:r>
    </w:p>
    <w:p>
      <w:r>
        <w:rPr>
          <w:b/>
        </w:rPr>
        <w:t xml:space="preserve">8 </w:t>
      </w:r>
      <w:r>
        <w:t xml:space="preserve">And Asa fathered Jehoshaphat</w:t>
      </w:r>
      <w:r>
        <w:rPr>
          <w:rStyle w:val="FootnoteReference"/>
        </w:rPr>
        <w:footnoteReference w:id="14158"/>
      </w:r>
      <w:r>
        <w:t xml:space="preserve">; and Jehoshaphat fathered Joram</w:t>
      </w:r>
      <w:r>
        <w:rPr>
          <w:rStyle w:val="FootnoteReference"/>
        </w:rPr>
        <w:footnoteReference w:id="14159"/>
      </w:r>
      <w:r>
        <w:t xml:space="preserve">; and Joram fathered Uzziah</w:t>
      </w:r>
      <w:r>
        <w:rPr>
          <w:rStyle w:val="FootnoteReference"/>
        </w:rPr>
        <w:footnoteReference w:id="14160"/>
      </w:r>
      <w:r>
        <w:t xml:space="preserve">;</w:t>
      </w:r>
      <w:r>
        <w:rPr>
          <w:rStyle w:val="FootnoteReference"/>
        </w:rPr>
        <w:footnoteReference w:id="14161"/>
      </w:r>
    </w:p>
    <w:p>
      <w:r>
        <w:rPr>
          <w:b/>
        </w:rPr>
        <w:t xml:space="preserve">9 </w:t>
      </w:r>
      <w:r>
        <w:t xml:space="preserve">And Uzziah fathered Jotham</w:t>
      </w:r>
      <w:r>
        <w:rPr>
          <w:rStyle w:val="FootnoteReference"/>
        </w:rPr>
        <w:footnoteReference w:id="14162"/>
      </w:r>
      <w:r>
        <w:t xml:space="preserve">; and Jotham fathered Ahaz</w:t>
      </w:r>
      <w:r>
        <w:rPr>
          <w:rStyle w:val="FootnoteReference"/>
        </w:rPr>
        <w:footnoteReference w:id="14163"/>
      </w:r>
      <w:r>
        <w:t xml:space="preserve">; and Ahaz fathered Hezekiah</w:t>
      </w:r>
      <w:r>
        <w:rPr>
          <w:rStyle w:val="FootnoteReference"/>
        </w:rPr>
        <w:footnoteReference w:id="14164"/>
      </w:r>
      <w:r>
        <w:t xml:space="preserve">;</w:t>
      </w:r>
    </w:p>
    <w:p>
      <w:r>
        <w:rPr>
          <w:b/>
        </w:rPr>
        <w:t xml:space="preserve">10 </w:t>
      </w:r>
      <w:r>
        <w:t xml:space="preserve">And Hezekiah fathered Manasseh</w:t>
      </w:r>
      <w:r>
        <w:rPr>
          <w:rStyle w:val="FootnoteReference"/>
        </w:rPr>
        <w:footnoteReference w:id="14165"/>
      </w:r>
      <w:r>
        <w:t xml:space="preserve">; and Manasseh fathered Amon</w:t>
      </w:r>
      <w:r>
        <w:rPr>
          <w:rStyle w:val="FootnoteReference"/>
        </w:rPr>
        <w:footnoteReference w:id="14166"/>
      </w:r>
      <w:r>
        <w:t xml:space="preserve">; and Amon fathered Josiah</w:t>
      </w:r>
      <w:r>
        <w:rPr>
          <w:rStyle w:val="FootnoteReference"/>
        </w:rPr>
        <w:footnoteReference w:id="14167"/>
      </w:r>
      <w:r>
        <w:t xml:space="preserve">;</w:t>
      </w:r>
      <w:r>
        <w:rPr>
          <w:rStyle w:val="FootnoteReference"/>
        </w:rPr>
        <w:footnoteReference w:id="14168"/>
      </w:r>
      <w:r>
        <w:rPr>
          <w:rStyle w:val="FootnoteReference"/>
        </w:rPr>
        <w:footnoteReference w:id="14169"/>
      </w:r>
    </w:p>
    <w:p>
      <w:r>
        <w:rPr>
          <w:b/>
        </w:rPr>
        <w:t xml:space="preserve">11 </w:t>
      </w:r>
      <w:r>
        <w:t xml:space="preserve">And Josiah fathered Jeconiah</w:t>
      </w:r>
      <w:r>
        <w:rPr>
          <w:rStyle w:val="FootnoteReference"/>
        </w:rPr>
        <w:footnoteReference w:id="14170"/>
      </w:r>
      <w:r>
        <w:t xml:space="preserve"> and his brothers, about the time they were carried away to Babylon</w:t>
      </w:r>
      <w:r>
        <w:rPr>
          <w:rStyle w:val="FootnoteReference"/>
        </w:rPr>
        <w:footnoteReference w:id="14171"/>
      </w:r>
      <w:r>
        <w:t xml:space="preserve">:</w:t>
      </w:r>
    </w:p>
    <w:p>
      <w:r>
        <w:rPr>
          <w:b/>
        </w:rPr>
        <w:t xml:space="preserve">12 </w:t>
      </w:r>
      <w:r>
        <w:t xml:space="preserve">And after they were brought to Babylon, Jeconiah fathered Shealtiel</w:t>
      </w:r>
      <w:r>
        <w:rPr>
          <w:rStyle w:val="FootnoteReference"/>
        </w:rPr>
        <w:footnoteReference w:id="14172"/>
      </w:r>
      <w:r>
        <w:t xml:space="preserve">; and Shealtiel fathered Zerubbabel</w:t>
      </w:r>
      <w:r>
        <w:rPr>
          <w:rStyle w:val="FootnoteReference"/>
        </w:rPr>
        <w:footnoteReference w:id="14173"/>
      </w:r>
      <w:r>
        <w:t xml:space="preserve">;</w:t>
      </w:r>
    </w:p>
    <w:p>
      <w:r>
        <w:rPr>
          <w:b/>
        </w:rPr>
        <w:t xml:space="preserve">13 </w:t>
      </w:r>
      <w:r>
        <w:t xml:space="preserve">And Zerubbabel fathered Abiud</w:t>
      </w:r>
      <w:r>
        <w:rPr>
          <w:rStyle w:val="FootnoteReference"/>
        </w:rPr>
        <w:footnoteReference w:id="14174"/>
      </w:r>
      <w:r>
        <w:t xml:space="preserve">; and Abiud fathered Eliakim</w:t>
      </w:r>
      <w:r>
        <w:rPr>
          <w:rStyle w:val="FootnoteReference"/>
        </w:rPr>
        <w:footnoteReference w:id="14175"/>
      </w:r>
      <w:r>
        <w:t xml:space="preserve">; and Eliakim fathered Azor</w:t>
      </w:r>
      <w:r>
        <w:rPr>
          <w:rStyle w:val="FootnoteReference"/>
        </w:rPr>
        <w:footnoteReference w:id="14176"/>
      </w:r>
      <w:r>
        <w:t xml:space="preserve">;</w:t>
      </w:r>
    </w:p>
    <w:p>
      <w:r>
        <w:rPr>
          <w:b/>
        </w:rPr>
        <w:t xml:space="preserve">14 </w:t>
      </w:r>
      <w:r>
        <w:t xml:space="preserve">And Azor fathered Sadoc</w:t>
      </w:r>
      <w:r>
        <w:rPr>
          <w:rStyle w:val="FootnoteReference"/>
        </w:rPr>
        <w:footnoteReference w:id="14177"/>
      </w:r>
      <w:r>
        <w:t xml:space="preserve">; and Sadoc fathered Achim</w:t>
      </w:r>
      <w:r>
        <w:rPr>
          <w:rStyle w:val="FootnoteReference"/>
        </w:rPr>
        <w:footnoteReference w:id="14178"/>
      </w:r>
      <w:r>
        <w:t xml:space="preserve">; and Achim fathered Eliud</w:t>
      </w:r>
      <w:r>
        <w:rPr>
          <w:rStyle w:val="FootnoteReference"/>
        </w:rPr>
        <w:footnoteReference w:id="14179"/>
      </w:r>
      <w:r>
        <w:t xml:space="preserve">;</w:t>
      </w:r>
    </w:p>
    <w:p>
      <w:r>
        <w:rPr>
          <w:b/>
        </w:rPr>
        <w:t xml:space="preserve">15 </w:t>
      </w:r>
      <w:r>
        <w:t xml:space="preserve">And Eliud fathered Eleazar</w:t>
      </w:r>
      <w:r>
        <w:rPr>
          <w:rStyle w:val="FootnoteReference"/>
        </w:rPr>
        <w:footnoteReference w:id="14180"/>
      </w:r>
      <w:r>
        <w:t xml:space="preserve">; and Eleazar fathered Matthan</w:t>
      </w:r>
      <w:r>
        <w:rPr>
          <w:rStyle w:val="FootnoteReference"/>
        </w:rPr>
        <w:footnoteReference w:id="14181"/>
      </w:r>
      <w:r>
        <w:t xml:space="preserve">; and Matthan fathered Jacob;</w:t>
      </w:r>
    </w:p>
    <w:p>
      <w:r>
        <w:rPr>
          <w:b/>
        </w:rPr>
        <w:t xml:space="preserve">16 </w:t>
      </w:r>
      <w:r>
        <w:t xml:space="preserve">And Jacob fathered Joseph</w:t>
      </w:r>
      <w:r>
        <w:rPr>
          <w:rStyle w:val="FootnoteReference"/>
        </w:rPr>
        <w:footnoteReference w:id="14182"/>
      </w:r>
      <w:r>
        <w:t xml:space="preserve"> the husband of Mary</w:t>
      </w:r>
      <w:r>
        <w:rPr>
          <w:rStyle w:val="FootnoteReference"/>
        </w:rPr>
        <w:footnoteReference w:id="14183"/>
      </w:r>
      <w:r>
        <w:t xml:space="preserve">, of whom was born Jesus, who is called Christ.</w:t>
      </w:r>
      <w:r>
        <w:rPr>
          <w:rStyle w:val="FootnoteReference"/>
        </w:rPr>
        <w:footnoteReference w:id="14184"/>
      </w:r>
      <w:r>
        <w:rPr>
          <w:rStyle w:val="FootnoteReference"/>
        </w:rPr>
        <w:footnoteReference w:id="14185"/>
      </w:r>
    </w:p>
    <w:p>
      <w:r>
        <w:rPr>
          <w:b/>
        </w:rPr>
        <w:t xml:space="preserve">17 </w:t>
      </w:r>
      <w:r>
        <w:t xml:space="preserve">So all the generations from Abraham to David are fourteen generations; and from David until the carrying away into Babylon are fourteen generations; and from the carrying away into Babylon to Christ are fourteen generations.</w:t>
      </w:r>
    </w:p>
    <w:p>
      <w:r>
        <w:rPr>
          <w:b/>
        </w:rPr>
        <w:t xml:space="preserve">18 </w:t>
      </w:r>
      <w:r>
        <w:t xml:space="preserve">Now the birth</w:t>
      </w:r>
      <w:r>
        <w:rPr>
          <w:rStyle w:val="FootnoteReference"/>
        </w:rPr>
        <w:footnoteReference w:id="14186"/>
      </w:r>
      <w:r>
        <w:t xml:space="preserve"> of Jesus Christ was this way: after his mother Mary was betrothed to Joseph, before they came together, she was found having in womb from Holy Spirit.</w:t>
      </w:r>
    </w:p>
    <w:p>
      <w:r>
        <w:rPr>
          <w:b/>
        </w:rPr>
        <w:t xml:space="preserve">19 </w:t>
      </w:r>
      <w:r>
        <w:t xml:space="preserve">Then Joseph her husband</w:t>
      </w:r>
      <w:r>
        <w:rPr>
          <w:rStyle w:val="FootnoteReference"/>
        </w:rPr>
        <w:footnoteReference w:id="14187"/>
      </w:r>
      <w:r>
        <w:t xml:space="preserve">, being a just man, and not willing to make her a public example, resolved to release her privately.</w:t>
      </w:r>
    </w:p>
    <w:p>
      <w:r>
        <w:rPr>
          <w:b/>
        </w:rPr>
        <w:t xml:space="preserve">20 </w:t>
      </w:r>
      <w:r>
        <w:t xml:space="preserve">But while he thought on these things, look, the angel</w:t>
      </w:r>
      <w:r>
        <w:rPr>
          <w:rStyle w:val="FootnoteReference"/>
        </w:rPr>
        <w:footnoteReference w:id="14188"/>
      </w:r>
      <w:r>
        <w:t xml:space="preserve"> of the Lord</w:t>
      </w:r>
      <w:r>
        <w:rPr>
          <w:rStyle w:val="FootnoteReference"/>
        </w:rPr>
        <w:footnoteReference w:id="14189"/>
      </w:r>
      <w:r>
        <w:t xml:space="preserve"> appeared to him in a dream, saying, Joseph, you son of David, do not fear to take to you Mary your wife: for that which is conceived in her is of the Holy Spirit.</w:t>
      </w:r>
    </w:p>
    <w:p>
      <w:r>
        <w:rPr>
          <w:b/>
        </w:rPr>
        <w:t xml:space="preserve">21 </w:t>
      </w:r>
      <w:r>
        <w:t xml:space="preserve">And she shall bear a son, and you shall call his name JESUS</w:t>
      </w:r>
      <w:r>
        <w:rPr>
          <w:rStyle w:val="FootnoteReference"/>
        </w:rPr>
        <w:footnoteReference w:id="14190"/>
      </w:r>
      <w:r>
        <w:t xml:space="preserve">: for he shall save his people from their sins.</w:t>
      </w:r>
      <w:r>
        <w:rPr>
          <w:rStyle w:val="FootnoteReference"/>
        </w:rPr>
        <w:footnoteReference w:id="14191"/>
      </w:r>
    </w:p>
    <w:p>
      <w:r>
        <w:rPr>
          <w:b/>
        </w:rPr>
        <w:t xml:space="preserve">22 </w:t>
      </w:r>
      <w:r>
        <w:t xml:space="preserve">Now all this was done, that it might be fulfilled which was spoken of the Lord by the prophet, saying,</w:t>
      </w:r>
    </w:p>
    <w:p>
      <w:r>
        <w:rPr>
          <w:b/>
        </w:rPr>
        <w:t xml:space="preserve">23 </w:t>
      </w:r>
      <w:r>
        <w:t xml:space="preserve">Look, a virgin</w:t>
      </w:r>
      <w:r>
        <w:rPr>
          <w:rStyle w:val="FootnoteReference"/>
        </w:rPr>
        <w:footnoteReference w:id="14192"/>
      </w:r>
      <w:r>
        <w:t xml:space="preserve"> shall be with child, and shall bear a son, and they shall call his name Immanuel</w:t>
      </w:r>
      <w:r>
        <w:rPr>
          <w:rStyle w:val="FootnoteReference"/>
        </w:rPr>
        <w:footnoteReference w:id="14193"/>
      </w:r>
      <w:r>
        <w:t xml:space="preserve">, which being interpreted is, God</w:t>
      </w:r>
      <w:r>
        <w:rPr>
          <w:rStyle w:val="FootnoteReference"/>
        </w:rPr>
        <w:footnoteReference w:id="14194"/>
      </w:r>
      <w:r>
        <w:t xml:space="preserve"> with us.</w:t>
      </w:r>
      <w:r>
        <w:rPr>
          <w:rStyle w:val="FootnoteReference"/>
        </w:rPr>
        <w:footnoteReference w:id="14195"/>
      </w:r>
    </w:p>
    <w:p>
      <w:r>
        <w:rPr>
          <w:b/>
        </w:rPr>
        <w:t xml:space="preserve">24 </w:t>
      </w:r>
      <w:r>
        <w:t xml:space="preserve">Then Joseph being raised from sleep did as the angel of the Lord had bidden him, and took to him his wife:</w:t>
      </w:r>
    </w:p>
    <w:p>
      <w:r>
        <w:rPr>
          <w:b/>
        </w:rPr>
        <w:t xml:space="preserve">25 </w:t>
      </w:r>
      <w:r>
        <w:t xml:space="preserve">And did not know her until she had borne her firstborn son: and he called his name JESUS.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Now when Jesus</w:t>
      </w:r>
      <w:r>
        <w:rPr>
          <w:rStyle w:val="FootnoteReference"/>
        </w:rPr>
        <w:footnoteReference w:id="14196"/>
      </w:r>
      <w:r>
        <w:t xml:space="preserve"> was born in Bethlehem</w:t>
      </w:r>
      <w:r>
        <w:rPr>
          <w:rStyle w:val="FootnoteReference"/>
        </w:rPr>
        <w:footnoteReference w:id="14197"/>
      </w:r>
      <w:r>
        <w:t xml:space="preserve"> of Judea</w:t>
      </w:r>
      <w:r>
        <w:rPr>
          <w:rStyle w:val="FootnoteReference"/>
        </w:rPr>
        <w:footnoteReference w:id="14198"/>
      </w:r>
      <w:r>
        <w:t xml:space="preserve"> in the days of Herod</w:t>
      </w:r>
      <w:r>
        <w:rPr>
          <w:rStyle w:val="FootnoteReference"/>
        </w:rPr>
        <w:footnoteReference w:id="14199"/>
      </w:r>
      <w:r>
        <w:t xml:space="preserve"> the king, look, there came Magi</w:t>
      </w:r>
      <w:r>
        <w:rPr>
          <w:rStyle w:val="FootnoteReference"/>
        </w:rPr>
        <w:footnoteReference w:id="14200"/>
      </w:r>
      <w:r>
        <w:t xml:space="preserve"> from the east to Jerusalem</w:t>
      </w:r>
      <w:r>
        <w:rPr>
          <w:rStyle w:val="FootnoteReference"/>
        </w:rPr>
        <w:footnoteReference w:id="14201"/>
      </w:r>
      <w:r>
        <w:t xml:space="preserve">,</w:t>
      </w:r>
    </w:p>
    <w:p>
      <w:r>
        <w:rPr>
          <w:b/>
        </w:rPr>
        <w:t xml:space="preserve">2 </w:t>
      </w:r>
      <w:r>
        <w:t xml:space="preserve">Saying, Where is the one who is born</w:t>
      </w:r>
      <w:r>
        <w:rPr>
          <w:rStyle w:val="FootnoteReference"/>
        </w:rPr>
        <w:footnoteReference w:id="14202"/>
      </w:r>
      <w:r>
        <w:t xml:space="preserve"> King of the Jews</w:t>
      </w:r>
      <w:r>
        <w:rPr>
          <w:rStyle w:val="FootnoteReference"/>
        </w:rPr>
        <w:footnoteReference w:id="14203"/>
      </w:r>
      <w:r>
        <w:t xml:space="preserve">? for we have seen his star in the east, and have come to worship him.</w:t>
      </w:r>
    </w:p>
    <w:p>
      <w:r>
        <w:rPr>
          <w:b/>
        </w:rPr>
        <w:t xml:space="preserve">3 </w:t>
      </w:r>
      <w:r>
        <w:t xml:space="preserve">When Herod the king had heard these things, he was troubled, and all Jerusalem with him.</w:t>
      </w:r>
    </w:p>
    <w:p>
      <w:r>
        <w:rPr>
          <w:b/>
        </w:rPr>
        <w:t xml:space="preserve">4 </w:t>
      </w:r>
      <w:r>
        <w:t xml:space="preserve">And when he had gathered all the chief</w:t>
      </w:r>
      <w:r>
        <w:rPr>
          <w:rStyle w:val="FootnoteReference"/>
        </w:rPr>
        <w:footnoteReference w:id="14204"/>
      </w:r>
      <w:r>
        <w:t xml:space="preserve"> priests and scribes of the people together, he demanded of them where Christ should be born.</w:t>
      </w:r>
    </w:p>
    <w:p>
      <w:r>
        <w:rPr>
          <w:b/>
        </w:rPr>
        <w:t xml:space="preserve">5 </w:t>
      </w:r>
      <w:r>
        <w:t xml:space="preserve">And they said to him, In Bethlehem of Judea: for thus it is written by the prophet,</w:t>
      </w:r>
    </w:p>
    <w:p>
      <w:r>
        <w:rPr>
          <w:b/>
        </w:rPr>
        <w:t xml:space="preserve">6 </w:t>
      </w:r>
      <w:r>
        <w:t xml:space="preserve">And you Bethlehem, in the land of Judah</w:t>
      </w:r>
      <w:r>
        <w:rPr>
          <w:rStyle w:val="FootnoteReference"/>
        </w:rPr>
        <w:footnoteReference w:id="14205"/>
      </w:r>
      <w:r>
        <w:t xml:space="preserve">, are not the least among the princes of Judah: for out of you shall come a Governor</w:t>
      </w:r>
      <w:r>
        <w:rPr>
          <w:rStyle w:val="FootnoteReference"/>
        </w:rPr>
        <w:footnoteReference w:id="14206"/>
      </w:r>
      <w:r>
        <w:t xml:space="preserve">, that shall rule my people Israel</w:t>
      </w:r>
      <w:r>
        <w:rPr>
          <w:rStyle w:val="FootnoteReference"/>
        </w:rPr>
        <w:footnoteReference w:id="14207"/>
      </w:r>
      <w:r>
        <w:t xml:space="preserve">.</w:t>
      </w:r>
    </w:p>
    <w:p>
      <w:r>
        <w:rPr>
          <w:b/>
        </w:rPr>
        <w:t xml:space="preserve">7 </w:t>
      </w:r>
      <w:r>
        <w:t xml:space="preserve">Then Herod, when he had privately called the Magi</w:t>
      </w:r>
      <w:r>
        <w:rPr>
          <w:rStyle w:val="FootnoteReference"/>
        </w:rPr>
        <w:footnoteReference w:id="14208"/>
      </w:r>
      <w:r>
        <w:t xml:space="preserve">, inquired of them diligently what time the star appeared.</w:t>
      </w:r>
    </w:p>
    <w:p>
      <w:r>
        <w:rPr>
          <w:b/>
        </w:rPr>
        <w:t xml:space="preserve">8 </w:t>
      </w:r>
      <w:r>
        <w:t xml:space="preserve">And he sent them to Bethlehem, and said, Go and search diligently for the young child; and when you have found him, bring me word again, that I may come and worship him also.</w:t>
      </w:r>
    </w:p>
    <w:p>
      <w:r>
        <w:rPr>
          <w:b/>
        </w:rPr>
        <w:t xml:space="preserve">9 </w:t>
      </w:r>
      <w:r>
        <w:t xml:space="preserve">When they had heard the king, they departed; and, look, the star</w:t>
      </w:r>
      <w:r>
        <w:rPr>
          <w:rStyle w:val="FootnoteReference"/>
        </w:rPr>
        <w:footnoteReference w:id="14209"/>
      </w:r>
      <w:r>
        <w:t xml:space="preserve">, which they saw in the east, went before them, till it came and stood over where the young child was.</w:t>
      </w:r>
    </w:p>
    <w:p>
      <w:r>
        <w:rPr>
          <w:b/>
        </w:rPr>
        <w:t xml:space="preserve">10 </w:t>
      </w:r>
      <w:r>
        <w:t xml:space="preserve">When they saw the star, they rejoiced</w:t>
      </w:r>
      <w:r>
        <w:rPr>
          <w:rStyle w:val="FootnoteReference"/>
        </w:rPr>
        <w:footnoteReference w:id="14210"/>
      </w:r>
      <w:r>
        <w:t xml:space="preserve"> with very great joy.</w:t>
      </w:r>
    </w:p>
    <w:p>
      <w:r>
        <w:rPr>
          <w:b/>
        </w:rPr>
        <w:t xml:space="preserve">11 </w:t>
      </w:r>
      <w:r>
        <w:t xml:space="preserve">And when they had come into the house, they saw</w:t>
      </w:r>
      <w:r>
        <w:rPr>
          <w:rStyle w:val="FootnoteReference"/>
        </w:rPr>
        <w:footnoteReference w:id="14211"/>
      </w:r>
      <w:r>
        <w:t xml:space="preserve"> the young child with Mary his mother, and fell down, and worshiped him: and when they had opened their treasures, they presented to him gifts; gold, and frankincense and myrrh.</w:t>
      </w:r>
    </w:p>
    <w:p>
      <w:r>
        <w:rPr>
          <w:b/>
        </w:rPr>
        <w:t xml:space="preserve">12 </w:t>
      </w:r>
      <w:r>
        <w:t xml:space="preserve">And being warned</w:t>
      </w:r>
      <w:r>
        <w:rPr>
          <w:rStyle w:val="FootnoteReference"/>
        </w:rPr>
        <w:footnoteReference w:id="14212"/>
      </w:r>
      <w:r>
        <w:t xml:space="preserve"> of God in a dream that they should not return to Herod, they departed into their own country another way.</w:t>
      </w:r>
    </w:p>
    <w:p>
      <w:r>
        <w:rPr>
          <w:b/>
        </w:rPr>
        <w:t xml:space="preserve">13 </w:t>
      </w:r>
      <w:r>
        <w:t xml:space="preserve">And when they were departed, look, the angel</w:t>
      </w:r>
      <w:r>
        <w:rPr>
          <w:rStyle w:val="FootnoteReference"/>
        </w:rPr>
        <w:footnoteReference w:id="14213"/>
      </w:r>
      <w:r>
        <w:t xml:space="preserve"> of the Lord appears to Joseph in a dream, saying, Arise, and take the young child and his mother, and flee into Egypt</w:t>
      </w:r>
      <w:r>
        <w:rPr>
          <w:rStyle w:val="FootnoteReference"/>
        </w:rPr>
        <w:footnoteReference w:id="14214"/>
      </w:r>
      <w:r>
        <w:t xml:space="preserve">, and stay there until I bring you word: for Herod will seek the young child to destroy him.</w:t>
      </w:r>
    </w:p>
    <w:p>
      <w:r>
        <w:rPr>
          <w:b/>
        </w:rPr>
        <w:t xml:space="preserve">14 </w:t>
      </w:r>
      <w:r>
        <w:t xml:space="preserve">When he arose, he took the young child and his mother by night, and departed into Egypt:</w:t>
      </w:r>
    </w:p>
    <w:p>
      <w:r>
        <w:rPr>
          <w:b/>
        </w:rPr>
        <w:t xml:space="preserve">15 </w:t>
      </w:r>
      <w:r>
        <w:t xml:space="preserve">And was there until the death of Herod: that it might be fulfilled which was spoken of the Lord by the prophet, saying, Out of Egypt have I called my son.</w:t>
      </w:r>
    </w:p>
    <w:p>
      <w:r>
        <w:rPr>
          <w:b/>
        </w:rPr>
        <w:t xml:space="preserve">16 </w:t>
      </w:r>
      <w:r>
        <w:t xml:space="preserve">Then Herod, when he saw that he was mocked of the Magi, was exceedingly angry, and sent forth, and killed all the children that were in Bethlehem, and in all the borders of it, from two years old and under, according to the time which he had diligently inquired of the Magi.</w:t>
      </w:r>
    </w:p>
    <w:p>
      <w:r>
        <w:rPr>
          <w:b/>
        </w:rPr>
        <w:t xml:space="preserve">17 </w:t>
      </w:r>
      <w:r>
        <w:t xml:space="preserve">Then was fulfilled that which was spoken by Jeremiah</w:t>
      </w:r>
      <w:r>
        <w:rPr>
          <w:rStyle w:val="FootnoteReference"/>
        </w:rPr>
        <w:footnoteReference w:id="14215"/>
      </w:r>
      <w:r>
        <w:t xml:space="preserve"> the prophet, saying,</w:t>
      </w:r>
    </w:p>
    <w:p>
      <w:r>
        <w:rPr>
          <w:b/>
        </w:rPr>
        <w:t xml:space="preserve">18 </w:t>
      </w:r>
      <w:r>
        <w:t xml:space="preserve">In Ramah</w:t>
      </w:r>
      <w:r>
        <w:rPr>
          <w:rStyle w:val="FootnoteReference"/>
        </w:rPr>
        <w:footnoteReference w:id="14216"/>
      </w:r>
      <w:r>
        <w:t xml:space="preserve"> was there a voice heard, lamentation</w:t>
      </w:r>
      <w:r>
        <w:rPr>
          <w:rStyle w:val="FootnoteReference"/>
        </w:rPr>
        <w:footnoteReference w:id="14217"/>
      </w:r>
      <w:r>
        <w:t xml:space="preserve">, and weeping, and great mourning, Rachel</w:t>
      </w:r>
      <w:r>
        <w:rPr>
          <w:rStyle w:val="FootnoteReference"/>
        </w:rPr>
        <w:footnoteReference w:id="14218"/>
      </w:r>
      <w:r>
        <w:t xml:space="preserve"> weeping for her children, and would not be comforted, because they are not.</w:t>
      </w:r>
    </w:p>
    <w:p>
      <w:r>
        <w:rPr>
          <w:b/>
        </w:rPr>
        <w:t xml:space="preserve">19 </w:t>
      </w:r>
      <w:r>
        <w:t xml:space="preserve">But when Herod</w:t>
      </w:r>
      <w:r>
        <w:rPr>
          <w:rStyle w:val="FootnoteReference"/>
        </w:rPr>
        <w:footnoteReference w:id="14219"/>
      </w:r>
      <w:r>
        <w:t xml:space="preserve"> was dead, look, an angel of the Lord appears in a dream to Joseph in Egypt,</w:t>
      </w:r>
    </w:p>
    <w:p>
      <w:r>
        <w:rPr>
          <w:b/>
        </w:rPr>
        <w:t xml:space="preserve">20 </w:t>
      </w:r>
      <w:r>
        <w:t xml:space="preserve">Saying, Arise</w:t>
      </w:r>
      <w:r>
        <w:rPr>
          <w:rStyle w:val="FootnoteReference"/>
        </w:rPr>
        <w:footnoteReference w:id="14220"/>
      </w:r>
      <w:r>
        <w:t xml:space="preserve">, and take the young child and his mother, and go into the land of Israel: for they are dead who sought the young child's life.</w:t>
      </w:r>
    </w:p>
    <w:p>
      <w:r>
        <w:rPr>
          <w:b/>
        </w:rPr>
        <w:t xml:space="preserve">21 </w:t>
      </w:r>
      <w:r>
        <w:t xml:space="preserve">And he arose, and took the young child and his mother, and came into the land of Israel.</w:t>
      </w:r>
    </w:p>
    <w:p>
      <w:r>
        <w:rPr>
          <w:b/>
        </w:rPr>
        <w:t xml:space="preserve">22 </w:t>
      </w:r>
      <w:r>
        <w:t xml:space="preserve">But when he heard that Archelaus</w:t>
      </w:r>
      <w:r>
        <w:rPr>
          <w:rStyle w:val="FootnoteReference"/>
        </w:rPr>
        <w:footnoteReference w:id="14221"/>
      </w:r>
      <w:r>
        <w:t xml:space="preserve"> did reign in Judea in the room of his father Herod, he was afraid to go there: notwithstanding, being warned of God in a dream, he turned aside into the parts of Galilee</w:t>
      </w:r>
      <w:r>
        <w:rPr>
          <w:rStyle w:val="FootnoteReference"/>
        </w:rPr>
        <w:footnoteReference w:id="14222"/>
      </w:r>
      <w:r>
        <w:t xml:space="preserve">:</w:t>
      </w:r>
    </w:p>
    <w:p>
      <w:r>
        <w:rPr>
          <w:b/>
        </w:rPr>
        <w:t xml:space="preserve">23 </w:t>
      </w:r>
      <w:r>
        <w:t xml:space="preserve">And he came and dwelt in a city called Nazareth</w:t>
      </w:r>
      <w:r>
        <w:rPr>
          <w:rStyle w:val="FootnoteReference"/>
        </w:rPr>
        <w:footnoteReference w:id="14223"/>
      </w:r>
      <w:r>
        <w:t xml:space="preserve">: that it might be fulfilled which was spoken by the prophets, He shall be called a Nazarene.</w:t>
      </w:r>
      <w:r>
        <w:rPr>
          <w:rStyle w:val="FootnoteReference"/>
        </w:rPr>
        <w:footnoteReference w:id="1422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In those</w:t>
      </w:r>
      <w:r>
        <w:rPr>
          <w:rStyle w:val="FootnoteReference"/>
        </w:rPr>
        <w:footnoteReference w:id="14225"/>
      </w:r>
      <w:r>
        <w:t xml:space="preserve"> days came John</w:t>
      </w:r>
      <w:r>
        <w:rPr>
          <w:rStyle w:val="FootnoteReference"/>
        </w:rPr>
        <w:footnoteReference w:id="14226"/>
      </w:r>
      <w:r>
        <w:t xml:space="preserve"> the Baptist, preaching in the wilderness of Judea,</w:t>
      </w:r>
      <w:r>
        <w:rPr>
          <w:rStyle w:val="FootnoteReference"/>
        </w:rPr>
        <w:footnoteReference w:id="14227"/>
      </w:r>
    </w:p>
    <w:p>
      <w:r>
        <w:rPr>
          <w:b/>
        </w:rPr>
        <w:t xml:space="preserve">2 </w:t>
      </w:r>
      <w:r>
        <w:t xml:space="preserve">And saying, Repent</w:t>
      </w:r>
      <w:r>
        <w:rPr>
          <w:rStyle w:val="FootnoteReference"/>
        </w:rPr>
        <w:footnoteReference w:id="14228"/>
      </w:r>
      <w:r>
        <w:t xml:space="preserve"> you: for the kingdom of heaven is at hand.</w:t>
      </w:r>
    </w:p>
    <w:p>
      <w:r>
        <w:rPr>
          <w:b/>
        </w:rPr>
        <w:t xml:space="preserve">3 </w:t>
      </w:r>
      <w:r>
        <w:t xml:space="preserve">For this is the one who was spoken of by the prophet Isaiah</w:t>
      </w:r>
      <w:r>
        <w:rPr>
          <w:rStyle w:val="FootnoteReference"/>
        </w:rPr>
        <w:footnoteReference w:id="14229"/>
      </w:r>
      <w:r>
        <w:t xml:space="preserve">, saying, The voice of one crying in the wilderness, Prepare</w:t>
      </w:r>
      <w:r>
        <w:rPr>
          <w:rStyle w:val="FootnoteReference"/>
        </w:rPr>
        <w:footnoteReference w:id="14230"/>
      </w:r>
      <w:r>
        <w:t xml:space="preserve"> you the way of the Lord, make his paths straight.</w:t>
      </w:r>
    </w:p>
    <w:p>
      <w:r>
        <w:rPr>
          <w:b/>
        </w:rPr>
        <w:t xml:space="preserve">4 </w:t>
      </w:r>
      <w:r>
        <w:t xml:space="preserve">And the same John had his clothing of camel's hair, and a leathern girdle about his loins; and his food was locusts and wild</w:t>
      </w:r>
      <w:r>
        <w:rPr>
          <w:rStyle w:val="FootnoteReference"/>
        </w:rPr>
        <w:footnoteReference w:id="14231"/>
      </w:r>
      <w:r>
        <w:t xml:space="preserve"> honey.</w:t>
      </w:r>
    </w:p>
    <w:p>
      <w:r>
        <w:rPr>
          <w:b/>
        </w:rPr>
        <w:t xml:space="preserve">5 </w:t>
      </w:r>
      <w:r>
        <w:t xml:space="preserve">Then went out to him Jerusalem, and all Judea, and all the region round about Jordan</w:t>
      </w:r>
      <w:r>
        <w:rPr>
          <w:rStyle w:val="FootnoteReference"/>
        </w:rPr>
        <w:footnoteReference w:id="14232"/>
      </w:r>
      <w:r>
        <w:t xml:space="preserve">,</w:t>
      </w:r>
    </w:p>
    <w:p>
      <w:r>
        <w:rPr>
          <w:b/>
        </w:rPr>
        <w:t xml:space="preserve">6 </w:t>
      </w:r>
      <w:r>
        <w:t xml:space="preserve">And were baptized of him in Jordan, confessing</w:t>
      </w:r>
      <w:r>
        <w:rPr>
          <w:rStyle w:val="FootnoteReference"/>
        </w:rPr>
        <w:footnoteReference w:id="14233"/>
      </w:r>
      <w:r>
        <w:t xml:space="preserve"> their sins.</w:t>
      </w:r>
    </w:p>
    <w:p>
      <w:r>
        <w:rPr>
          <w:b/>
        </w:rPr>
        <w:t xml:space="preserve">7 </w:t>
      </w:r>
      <w:r>
        <w:t xml:space="preserve">But when he saw many of the Pharisees</w:t>
      </w:r>
      <w:r>
        <w:rPr>
          <w:rStyle w:val="FootnoteReference"/>
        </w:rPr>
        <w:footnoteReference w:id="14234"/>
      </w:r>
      <w:r>
        <w:t xml:space="preserve"> and Sadducees</w:t>
      </w:r>
      <w:r>
        <w:rPr>
          <w:rStyle w:val="FootnoteReference"/>
        </w:rPr>
        <w:footnoteReference w:id="14235"/>
      </w:r>
      <w:r>
        <w:t xml:space="preserve"> come to his baptism, he said to them, O generation of vipers, who has warned you to flee from the wrath to come?</w:t>
      </w:r>
      <w:r>
        <w:rPr>
          <w:rStyle w:val="FootnoteReference"/>
        </w:rPr>
        <w:footnoteReference w:id="14236"/>
      </w:r>
    </w:p>
    <w:p>
      <w:r>
        <w:rPr>
          <w:b/>
        </w:rPr>
        <w:t xml:space="preserve">8 </w:t>
      </w:r>
      <w:r>
        <w:t xml:space="preserve">Bring forth</w:t>
      </w:r>
      <w:r>
        <w:rPr>
          <w:rStyle w:val="FootnoteReference"/>
        </w:rPr>
        <w:footnoteReference w:id="14237"/>
      </w:r>
      <w:r>
        <w:t xml:space="preserve"> therefore fruits worthy of repentance</w:t>
      </w:r>
      <w:r>
        <w:rPr>
          <w:rStyle w:val="FootnoteReference"/>
        </w:rPr>
        <w:footnoteReference w:id="14238"/>
      </w:r>
      <w:r>
        <w:t xml:space="preserve">:</w:t>
      </w:r>
    </w:p>
    <w:p>
      <w:r>
        <w:rPr>
          <w:b/>
        </w:rPr>
        <w:t xml:space="preserve">9 </w:t>
      </w:r>
      <w:r>
        <w:t xml:space="preserve">And do not think</w:t>
      </w:r>
      <w:r>
        <w:rPr>
          <w:rStyle w:val="FootnoteReference"/>
        </w:rPr>
        <w:footnoteReference w:id="14239"/>
      </w:r>
      <w:r>
        <w:t xml:space="preserve"> to say within yourselves, We have Abraham to our father: for I say to you, that God is able of these stones to raise up children to Abraham.</w:t>
      </w:r>
    </w:p>
    <w:p>
      <w:r>
        <w:rPr>
          <w:b/>
        </w:rPr>
        <w:t xml:space="preserve">10 </w:t>
      </w:r>
      <w:r>
        <w:t xml:space="preserve">And now also the axe is laid to the root of the trees: therefore</w:t>
      </w:r>
      <w:r>
        <w:rPr>
          <w:rStyle w:val="FootnoteReference"/>
        </w:rPr>
        <w:footnoteReference w:id="14240"/>
      </w:r>
      <w:r>
        <w:t xml:space="preserve"> every tree which does not bring forth good fruit is cut down, and cast into the fire.</w:t>
      </w:r>
    </w:p>
    <w:p>
      <w:r>
        <w:rPr>
          <w:b/>
        </w:rPr>
        <w:t xml:space="preserve">11 </w:t>
      </w:r>
      <w:r>
        <w:t xml:space="preserve">I indeed baptize</w:t>
      </w:r>
      <w:r>
        <w:rPr>
          <w:rStyle w:val="FootnoteReference"/>
        </w:rPr>
        <w:footnoteReference w:id="14241"/>
      </w:r>
      <w:r>
        <w:t xml:space="preserve"> you with water to repentance; but the one who comes after me is mightier than I, whose shoes I am not worthy to bear: he shall baptize you with the Holy Spirit, and with fire:</w:t>
      </w:r>
    </w:p>
    <w:p>
      <w:r>
        <w:rPr>
          <w:b/>
        </w:rPr>
        <w:t xml:space="preserve">12 </w:t>
      </w:r>
      <w:r>
        <w:t xml:space="preserve">Whose winnowing fork</w:t>
      </w:r>
      <w:r>
        <w:rPr>
          <w:rStyle w:val="FootnoteReference"/>
        </w:rPr>
        <w:footnoteReference w:id="14242"/>
      </w:r>
      <w:r>
        <w:t xml:space="preserve"> is in his hand, and he will thoroughly</w:t>
      </w:r>
      <w:r>
        <w:rPr>
          <w:rStyle w:val="FootnoteReference"/>
        </w:rPr>
        <w:footnoteReference w:id="14243"/>
      </w:r>
      <w:r>
        <w:t xml:space="preserve"> cleanse his threshing floor</w:t>
      </w:r>
      <w:r>
        <w:rPr>
          <w:rStyle w:val="FootnoteReference"/>
        </w:rPr>
        <w:footnoteReference w:id="14244"/>
      </w:r>
      <w:r>
        <w:t xml:space="preserve">, and gather his wheat into the storehouse</w:t>
      </w:r>
      <w:r>
        <w:rPr>
          <w:rStyle w:val="FootnoteReference"/>
        </w:rPr>
        <w:footnoteReference w:id="14245"/>
      </w:r>
      <w:r>
        <w:t xml:space="preserve">; but he will burn up the chaff with unquenchable fire.</w:t>
      </w:r>
    </w:p>
    <w:p>
      <w:r>
        <w:rPr>
          <w:b/>
        </w:rPr>
        <w:t xml:space="preserve">13 </w:t>
      </w:r>
      <w:r>
        <w:t xml:space="preserve">Then comes Jesus from Galilee to Jordan to John, to be baptized of him.</w:t>
      </w:r>
    </w:p>
    <w:p>
      <w:r>
        <w:rPr>
          <w:b/>
        </w:rPr>
        <w:t xml:space="preserve">14 </w:t>
      </w:r>
      <w:r>
        <w:t xml:space="preserve">But John</w:t>
      </w:r>
      <w:r>
        <w:rPr>
          <w:rStyle w:val="FootnoteReference"/>
        </w:rPr>
        <w:footnoteReference w:id="14246"/>
      </w:r>
      <w:r>
        <w:t xml:space="preserve"> forbade him, saying, I have need to be baptized of you, and come you to me?</w:t>
      </w:r>
    </w:p>
    <w:p>
      <w:r>
        <w:rPr>
          <w:b/>
        </w:rPr>
        <w:t xml:space="preserve">15 </w:t>
      </w:r>
      <w:r>
        <w:t xml:space="preserve">And Jesus answering said to him, Allow it now: for thus it becomes us to fulfill all righteousness. Then he allowed him.</w:t>
      </w:r>
    </w:p>
    <w:p>
      <w:r>
        <w:rPr>
          <w:b/>
        </w:rPr>
        <w:t xml:space="preserve">16 </w:t>
      </w:r>
      <w:r>
        <w:t xml:space="preserve">And Jesus</w:t>
      </w:r>
      <w:r>
        <w:rPr>
          <w:rStyle w:val="FootnoteReference"/>
        </w:rPr>
        <w:footnoteReference w:id="14247"/>
      </w:r>
      <w:r>
        <w:t xml:space="preserve">, when he was baptized, went up immediately out of the water: and, look, the heavens were opened to him, and he saw the Spirit of God descending like a dove, and lighting upon him:</w:t>
      </w:r>
    </w:p>
    <w:p>
      <w:r>
        <w:rPr>
          <w:b/>
        </w:rPr>
        <w:t xml:space="preserve">17 </w:t>
      </w:r>
      <w:r>
        <w:t xml:space="preserve">And look, a voice from heaven, saying, This is my beloved Son, in whom I am well pleased.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Then was Jesus led up of the spirit</w:t>
      </w:r>
      <w:r>
        <w:rPr>
          <w:rStyle w:val="FootnoteReference"/>
        </w:rPr>
        <w:footnoteReference w:id="14248"/>
      </w:r>
      <w:r>
        <w:t xml:space="preserve"> into the wilderness to be tempted of the devil.</w:t>
      </w:r>
    </w:p>
    <w:p>
      <w:r>
        <w:rPr>
          <w:b/>
        </w:rPr>
        <w:t xml:space="preserve">2 </w:t>
      </w:r>
      <w:r>
        <w:t xml:space="preserve">And when he had fasted</w:t>
      </w:r>
      <w:r>
        <w:rPr>
          <w:rStyle w:val="FootnoteReference"/>
        </w:rPr>
        <w:footnoteReference w:id="14249"/>
      </w:r>
      <w:r>
        <w:t xml:space="preserve"> forty days and forty nights, he was afterward hungry.</w:t>
      </w:r>
    </w:p>
    <w:p>
      <w:r>
        <w:rPr>
          <w:b/>
        </w:rPr>
        <w:t xml:space="preserve">3 </w:t>
      </w:r>
      <w:r>
        <w:t xml:space="preserve">And when the tempter</w:t>
      </w:r>
      <w:r>
        <w:rPr>
          <w:rStyle w:val="FootnoteReference"/>
        </w:rPr>
        <w:footnoteReference w:id="14250"/>
      </w:r>
      <w:r>
        <w:t xml:space="preserve"> came to him, he said, If you are the Son of God, command that these stones be made bread.</w:t>
      </w:r>
    </w:p>
    <w:p>
      <w:r>
        <w:rPr>
          <w:b/>
        </w:rPr>
        <w:t xml:space="preserve">4 </w:t>
      </w:r>
      <w:r>
        <w:t xml:space="preserve">But he answered and said, It is written, Man shall not live by bread alone, but by every word that proceeds out of the mouth of God.</w:t>
      </w:r>
    </w:p>
    <w:p>
      <w:r>
        <w:rPr>
          <w:b/>
        </w:rPr>
        <w:t xml:space="preserve">5 </w:t>
      </w:r>
      <w:r>
        <w:t xml:space="preserve">Then the devil takes him up into the holy</w:t>
      </w:r>
      <w:r>
        <w:rPr>
          <w:rStyle w:val="FootnoteReference"/>
        </w:rPr>
        <w:footnoteReference w:id="14251"/>
      </w:r>
      <w:r>
        <w:t xml:space="preserve"> city, and sets him on a pinnacle of the temple,</w:t>
      </w:r>
    </w:p>
    <w:p>
      <w:r>
        <w:rPr>
          <w:b/>
        </w:rPr>
        <w:t xml:space="preserve">6 </w:t>
      </w:r>
      <w:r>
        <w:t xml:space="preserve">And says to him, If you are the Son of God, cast yourself down: for it is written, He shall</w:t>
      </w:r>
      <w:r>
        <w:rPr>
          <w:rStyle w:val="FootnoteReference"/>
        </w:rPr>
        <w:footnoteReference w:id="14252"/>
      </w:r>
      <w:r>
        <w:t xml:space="preserve"> give his angels charge concerning you: and in their hands they shall bear you up, lest at any time you dash your foot against a stone.</w:t>
      </w:r>
    </w:p>
    <w:p>
      <w:r>
        <w:rPr>
          <w:b/>
        </w:rPr>
        <w:t xml:space="preserve">7 </w:t>
      </w:r>
      <w:r>
        <w:t xml:space="preserve">Jesus said to him, It is written again, You shall not tempt the Lord your God.</w:t>
      </w:r>
    </w:p>
    <w:p>
      <w:r>
        <w:rPr>
          <w:b/>
        </w:rPr>
        <w:t xml:space="preserve">8 </w:t>
      </w:r>
      <w:r>
        <w:t xml:space="preserve">Again, the devil</w:t>
      </w:r>
      <w:r>
        <w:rPr>
          <w:rStyle w:val="FootnoteReference"/>
        </w:rPr>
        <w:footnoteReference w:id="14253"/>
      </w:r>
      <w:r>
        <w:t xml:space="preserve"> takes him up into an exceedingly high mountain, and shows him all the kingdoms of the world, and the glory of them;</w:t>
      </w:r>
    </w:p>
    <w:p>
      <w:r>
        <w:rPr>
          <w:b/>
        </w:rPr>
        <w:t xml:space="preserve">9 </w:t>
      </w:r>
      <w:r>
        <w:t xml:space="preserve">And says to him, All these things will I give</w:t>
      </w:r>
      <w:r>
        <w:rPr>
          <w:rStyle w:val="FootnoteReference"/>
        </w:rPr>
        <w:footnoteReference w:id="14254"/>
      </w:r>
      <w:r>
        <w:t xml:space="preserve"> you, if you will fall down and worship me.</w:t>
      </w:r>
    </w:p>
    <w:p>
      <w:r>
        <w:rPr>
          <w:b/>
        </w:rPr>
        <w:t xml:space="preserve">10 </w:t>
      </w:r>
      <w:r>
        <w:t xml:space="preserve">Then says Jesus to him, Get behind me, Satan</w:t>
      </w:r>
      <w:r>
        <w:rPr>
          <w:rStyle w:val="FootnoteReference"/>
        </w:rPr>
        <w:footnoteReference w:id="14255"/>
      </w:r>
      <w:r>
        <w:t xml:space="preserve">: for it is written, You shall worship the Lord your God, and him only shall you serve.</w:t>
      </w:r>
      <w:r>
        <w:rPr>
          <w:rStyle w:val="FootnoteReference"/>
        </w:rPr>
        <w:footnoteReference w:id="14256"/>
      </w:r>
    </w:p>
    <w:p>
      <w:r>
        <w:rPr>
          <w:b/>
        </w:rPr>
        <w:t xml:space="preserve">11 </w:t>
      </w:r>
      <w:r>
        <w:t xml:space="preserve">Then the devil</w:t>
      </w:r>
      <w:r>
        <w:rPr>
          <w:rStyle w:val="FootnoteReference"/>
        </w:rPr>
        <w:footnoteReference w:id="14257"/>
      </w:r>
      <w:r>
        <w:t xml:space="preserve"> left him, and, look, angels came and ministered to him.</w:t>
      </w:r>
    </w:p>
    <w:p>
      <w:r>
        <w:rPr>
          <w:b/>
        </w:rPr>
        <w:t xml:space="preserve">12 </w:t>
      </w:r>
      <w:r>
        <w:t xml:space="preserve">Now when Jesus had heard that John was cast into prison, he departed into Galilee;</w:t>
      </w:r>
    </w:p>
    <w:p>
      <w:r>
        <w:rPr>
          <w:b/>
        </w:rPr>
        <w:t xml:space="preserve">13 </w:t>
      </w:r>
      <w:r>
        <w:t xml:space="preserve">And leaving</w:t>
      </w:r>
      <w:r>
        <w:rPr>
          <w:rStyle w:val="FootnoteReference"/>
        </w:rPr>
        <w:footnoteReference w:id="14258"/>
      </w:r>
      <w:r>
        <w:t xml:space="preserve"> Nazareth, he came and dwelt in Capernaum</w:t>
      </w:r>
      <w:r>
        <w:rPr>
          <w:rStyle w:val="FootnoteReference"/>
        </w:rPr>
        <w:footnoteReference w:id="14259"/>
      </w:r>
      <w:r>
        <w:t xml:space="preserve">, which is upon the seashore, in the borders of Zebulun</w:t>
      </w:r>
      <w:r>
        <w:rPr>
          <w:rStyle w:val="FootnoteReference"/>
        </w:rPr>
        <w:footnoteReference w:id="14260"/>
      </w:r>
      <w:r>
        <w:t xml:space="preserve"> and Naphtali</w:t>
      </w:r>
      <w:r>
        <w:rPr>
          <w:rStyle w:val="FootnoteReference"/>
        </w:rPr>
        <w:footnoteReference w:id="14261"/>
      </w:r>
      <w:r>
        <w:t xml:space="preserve">:</w:t>
      </w:r>
      <w:r>
        <w:rPr>
          <w:rStyle w:val="FootnoteReference"/>
        </w:rPr>
        <w:footnoteReference w:id="14262"/>
      </w:r>
      <w:r>
        <w:rPr>
          <w:rStyle w:val="FootnoteReference"/>
        </w:rPr>
        <w:footnoteReference w:id="14263"/>
      </w:r>
    </w:p>
    <w:p>
      <w:r>
        <w:rPr>
          <w:b/>
        </w:rPr>
        <w:t xml:space="preserve">14 </w:t>
      </w:r>
      <w:r>
        <w:t xml:space="preserve">That it might be fulfilled which was spoken by Isaiah the prophet, saying</w:t>
      </w:r>
      <w:r>
        <w:rPr>
          <w:rStyle w:val="FootnoteReference"/>
        </w:rPr>
        <w:footnoteReference w:id="14264"/>
      </w:r>
      <w:r>
        <w:t xml:space="preserve">,</w:t>
      </w:r>
    </w:p>
    <w:p>
      <w:r>
        <w:rPr>
          <w:b/>
        </w:rPr>
        <w:t xml:space="preserve">15 </w:t>
      </w:r>
      <w:r>
        <w:t xml:space="preserve">The land of Zebulun, and the land of Naphtali, by the way of the sea, beyond Jordan, Galilee of the nations</w:t>
      </w:r>
      <w:r>
        <w:rPr>
          <w:rStyle w:val="FootnoteReference"/>
        </w:rPr>
        <w:footnoteReference w:id="14265"/>
      </w:r>
      <w:r>
        <w:t xml:space="preserve">;</w:t>
      </w:r>
      <w:r>
        <w:rPr>
          <w:rStyle w:val="FootnoteReference"/>
        </w:rPr>
        <w:footnoteReference w:id="14266"/>
      </w:r>
    </w:p>
    <w:p>
      <w:r>
        <w:rPr>
          <w:b/>
        </w:rPr>
        <w:t xml:space="preserve">16 </w:t>
      </w:r>
      <w:r>
        <w:t xml:space="preserve">The people who sat in darkness saw great light; and to those who sat in the region and shadow</w:t>
      </w:r>
      <w:r>
        <w:rPr>
          <w:rStyle w:val="FootnoteReference"/>
        </w:rPr>
        <w:footnoteReference w:id="14267"/>
      </w:r>
      <w:r>
        <w:t xml:space="preserve"> of death light is sprung up.</w:t>
      </w:r>
    </w:p>
    <w:p>
      <w:r>
        <w:rPr>
          <w:b/>
        </w:rPr>
        <w:t xml:space="preserve">17 </w:t>
      </w:r>
      <w:r>
        <w:t xml:space="preserve">From that time Jesus began to preach, and to say, Repent</w:t>
      </w:r>
      <w:r>
        <w:rPr>
          <w:rStyle w:val="FootnoteReference"/>
        </w:rPr>
        <w:footnoteReference w:id="14268"/>
      </w:r>
      <w:r>
        <w:t xml:space="preserve">: for the kingdom of heaven is at hand.</w:t>
      </w:r>
    </w:p>
    <w:p>
      <w:r>
        <w:rPr>
          <w:b/>
        </w:rPr>
        <w:t xml:space="preserve">18 </w:t>
      </w:r>
      <w:r>
        <w:t xml:space="preserve">And Jesus, walking</w:t>
      </w:r>
      <w:r>
        <w:rPr>
          <w:rStyle w:val="FootnoteReference"/>
        </w:rPr>
        <w:footnoteReference w:id="14269"/>
      </w:r>
      <w:r>
        <w:t xml:space="preserve"> by the sea of Galilee, saw two brothers, Simon</w:t>
      </w:r>
      <w:r>
        <w:rPr>
          <w:rStyle w:val="FootnoteReference"/>
        </w:rPr>
        <w:footnoteReference w:id="14270"/>
      </w:r>
      <w:r>
        <w:t xml:space="preserve"> called Peter</w:t>
      </w:r>
      <w:r>
        <w:rPr>
          <w:rStyle w:val="FootnoteReference"/>
        </w:rPr>
        <w:footnoteReference w:id="14271"/>
      </w:r>
      <w:r>
        <w:t xml:space="preserve">, and Andrew</w:t>
      </w:r>
      <w:r>
        <w:rPr>
          <w:rStyle w:val="FootnoteReference"/>
        </w:rPr>
        <w:footnoteReference w:id="14272"/>
      </w:r>
      <w:r>
        <w:t xml:space="preserve"> his brother, casting a net into the sea: for they were fishers.</w:t>
      </w:r>
    </w:p>
    <w:p>
      <w:r>
        <w:rPr>
          <w:b/>
        </w:rPr>
        <w:t xml:space="preserve">19 </w:t>
      </w:r>
      <w:r>
        <w:t xml:space="preserve">And he says to them, Follow</w:t>
      </w:r>
      <w:r>
        <w:rPr>
          <w:rStyle w:val="FootnoteReference"/>
        </w:rPr>
        <w:footnoteReference w:id="14273"/>
      </w:r>
      <w:r>
        <w:t xml:space="preserve"> me, and I will make you fishers of men.</w:t>
      </w:r>
    </w:p>
    <w:p>
      <w:r>
        <w:rPr>
          <w:b/>
        </w:rPr>
        <w:t xml:space="preserve">20 </w:t>
      </w:r>
      <w:r>
        <w:t xml:space="preserve">And they immediately left their nets, and followed him.</w:t>
      </w:r>
    </w:p>
    <w:p>
      <w:r>
        <w:rPr>
          <w:b/>
        </w:rPr>
        <w:t xml:space="preserve">21 </w:t>
      </w:r>
      <w:r>
        <w:t xml:space="preserve">And going on from there, he saw other</w:t>
      </w:r>
      <w:r>
        <w:rPr>
          <w:rStyle w:val="FootnoteReference"/>
        </w:rPr>
        <w:footnoteReference w:id="14274"/>
      </w:r>
      <w:r>
        <w:t xml:space="preserve"> two brothers, James</w:t>
      </w:r>
      <w:r>
        <w:rPr>
          <w:rStyle w:val="FootnoteReference"/>
        </w:rPr>
        <w:footnoteReference w:id="14275"/>
      </w:r>
      <w:r>
        <w:t xml:space="preserve"> the son of Zebedee</w:t>
      </w:r>
      <w:r>
        <w:rPr>
          <w:rStyle w:val="FootnoteReference"/>
        </w:rPr>
        <w:footnoteReference w:id="14276"/>
      </w:r>
      <w:r>
        <w:t xml:space="preserve">, and John his brother, in a ship with Zebedee their father, mending their nets; and he called them.</w:t>
      </w:r>
    </w:p>
    <w:p>
      <w:r>
        <w:rPr>
          <w:b/>
        </w:rPr>
        <w:t xml:space="preserve">22 </w:t>
      </w:r>
      <w:r>
        <w:t xml:space="preserve">And they immediately left the boat and their father, and followed him.</w:t>
      </w:r>
    </w:p>
    <w:p>
      <w:r>
        <w:rPr>
          <w:b/>
        </w:rPr>
        <w:t xml:space="preserve">23 </w:t>
      </w:r>
      <w:r>
        <w:t xml:space="preserve">And Jesus</w:t>
      </w:r>
      <w:r>
        <w:rPr>
          <w:rStyle w:val="FootnoteReference"/>
        </w:rPr>
        <w:footnoteReference w:id="14277"/>
      </w:r>
      <w:r>
        <w:t xml:space="preserve"> went about all Galilee, teaching in their synagogues, and preaching the good news of the kingdom, and healing all manner of sickness and all manner of disease among the people.</w:t>
      </w:r>
    </w:p>
    <w:p>
      <w:r>
        <w:rPr>
          <w:b/>
        </w:rPr>
        <w:t xml:space="preserve">24 </w:t>
      </w:r>
      <w:r>
        <w:t xml:space="preserve">And his fame</w:t>
      </w:r>
      <w:r>
        <w:rPr>
          <w:rStyle w:val="FootnoteReference"/>
        </w:rPr>
        <w:footnoteReference w:id="14278"/>
      </w:r>
      <w:r>
        <w:t xml:space="preserve"> went throughout all Syria</w:t>
      </w:r>
      <w:r>
        <w:rPr>
          <w:rStyle w:val="FootnoteReference"/>
        </w:rPr>
        <w:footnoteReference w:id="14279"/>
      </w:r>
      <w:r>
        <w:t xml:space="preserve">: and they brought to him all sick people that were taken with various diseases and torments, and those which were demonized, and those which were moonstruck, and those that had the paralysis; and he healed them.</w:t>
      </w:r>
    </w:p>
    <w:p>
      <w:r>
        <w:rPr>
          <w:b/>
        </w:rPr>
        <w:t xml:space="preserve">25 </w:t>
      </w:r>
      <w:r>
        <w:t xml:space="preserve">And there followed</w:t>
      </w:r>
      <w:r>
        <w:rPr>
          <w:rStyle w:val="FootnoteReference"/>
        </w:rPr>
        <w:footnoteReference w:id="14280"/>
      </w:r>
      <w:r>
        <w:t xml:space="preserve"> him great crowds of people from Galilee, and from Decapolis</w:t>
      </w:r>
      <w:r>
        <w:rPr>
          <w:rStyle w:val="FootnoteReference"/>
        </w:rPr>
        <w:footnoteReference w:id="14281"/>
      </w:r>
      <w:r>
        <w:t xml:space="preserve">, and from Jerusalem, and from Judea, and from beyond Jordan.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seeing</w:t>
      </w:r>
      <w:r>
        <w:rPr>
          <w:rStyle w:val="FootnoteReference"/>
        </w:rPr>
        <w:footnoteReference w:id="14282"/>
      </w:r>
      <w:r>
        <w:t xml:space="preserve"> the crowds, he went up into a mountain: and when he was set, his disciples came to him:</w:t>
      </w:r>
    </w:p>
    <w:p>
      <w:r>
        <w:rPr>
          <w:b/>
        </w:rPr>
        <w:t xml:space="preserve">2 </w:t>
      </w:r>
      <w:r>
        <w:t xml:space="preserve">And he opened his mouth, and taught them, saying,</w:t>
      </w:r>
    </w:p>
    <w:p>
      <w:r>
        <w:rPr>
          <w:b/>
        </w:rPr>
        <w:t xml:space="preserve">3 </w:t>
      </w:r>
      <w:r>
        <w:t xml:space="preserve">Blessed</w:t>
      </w:r>
      <w:r>
        <w:rPr>
          <w:rStyle w:val="FootnoteReference"/>
        </w:rPr>
        <w:footnoteReference w:id="14283"/>
      </w:r>
      <w:r>
        <w:t xml:space="preserve"> are the poor in spirit: for theirs is the kingdom of heaven.</w:t>
      </w:r>
    </w:p>
    <w:p>
      <w:r>
        <w:rPr>
          <w:b/>
        </w:rPr>
        <w:t xml:space="preserve">4 </w:t>
      </w:r>
      <w:r>
        <w:t xml:space="preserve">Blessed are those who mourn: for they shall be comforted.</w:t>
      </w:r>
    </w:p>
    <w:p>
      <w:r>
        <w:rPr>
          <w:b/>
        </w:rPr>
        <w:t xml:space="preserve">5 </w:t>
      </w:r>
      <w:r>
        <w:t xml:space="preserve">Blessed are the meek</w:t>
      </w:r>
      <w:r>
        <w:rPr>
          <w:rStyle w:val="FootnoteReference"/>
        </w:rPr>
        <w:footnoteReference w:id="14284"/>
      </w:r>
      <w:r>
        <w:t xml:space="preserve">: for they shall inherit the earth.</w:t>
      </w:r>
    </w:p>
    <w:p>
      <w:r>
        <w:rPr>
          <w:b/>
        </w:rPr>
        <w:t xml:space="preserve">6 </w:t>
      </w:r>
      <w:r>
        <w:t xml:space="preserve">Blessed are those who do hunger and thirst after righteousness: for they shall be filled.</w:t>
      </w:r>
    </w:p>
    <w:p>
      <w:r>
        <w:rPr>
          <w:b/>
        </w:rPr>
        <w:t xml:space="preserve">7 </w:t>
      </w:r>
      <w:r>
        <w:t xml:space="preserve">Blessed are the merciful: for they shall obtain mercy.</w:t>
      </w:r>
    </w:p>
    <w:p>
      <w:r>
        <w:rPr>
          <w:b/>
        </w:rPr>
        <w:t xml:space="preserve">8 </w:t>
      </w:r>
      <w:r>
        <w:t xml:space="preserve">Blessed are the pure in heart: for they shall see God.</w:t>
      </w:r>
    </w:p>
    <w:p>
      <w:r>
        <w:rPr>
          <w:b/>
        </w:rPr>
        <w:t xml:space="preserve">9 </w:t>
      </w:r>
      <w:r>
        <w:t xml:space="preserve">Blessed are the peacemakers: for they shall be called the sons of God.</w:t>
      </w:r>
    </w:p>
    <w:p>
      <w:r>
        <w:rPr>
          <w:b/>
        </w:rPr>
        <w:t xml:space="preserve">10 </w:t>
      </w:r>
      <w:r>
        <w:t xml:space="preserve">Blessed are those who are persecuted for righteousness' sake: for theirs is the kingdom of heaven.</w:t>
      </w:r>
    </w:p>
    <w:p>
      <w:r>
        <w:rPr>
          <w:b/>
        </w:rPr>
        <w:t xml:space="preserve">11 </w:t>
      </w:r>
      <w:r>
        <w:t xml:space="preserve">Blessed are you, when men shall revile you, and persecute you, and shall say all manner of evil against you falsely</w:t>
      </w:r>
      <w:r>
        <w:rPr>
          <w:rStyle w:val="FootnoteReference"/>
        </w:rPr>
        <w:footnoteReference w:id="14285"/>
      </w:r>
      <w:r>
        <w:t xml:space="preserve">, for my sake.</w:t>
      </w:r>
    </w:p>
    <w:p>
      <w:r>
        <w:rPr>
          <w:b/>
        </w:rPr>
        <w:t xml:space="preserve">12 </w:t>
      </w:r>
      <w:r>
        <w:t xml:space="preserve">Rejoice</w:t>
      </w:r>
      <w:r>
        <w:rPr>
          <w:rStyle w:val="FootnoteReference"/>
        </w:rPr>
        <w:footnoteReference w:id="14286"/>
      </w:r>
      <w:r>
        <w:t xml:space="preserve">, and be exceedingly glad: for great is your reward in heaven: for so persecuted they the prophets who were before you.</w:t>
      </w:r>
    </w:p>
    <w:p>
      <w:r>
        <w:rPr>
          <w:b/>
        </w:rPr>
        <w:t xml:space="preserve">13 </w:t>
      </w:r>
      <w:r>
        <w:t xml:space="preserve">You are the salt</w:t>
      </w:r>
      <w:r>
        <w:rPr>
          <w:rStyle w:val="FootnoteReference"/>
        </w:rPr>
        <w:footnoteReference w:id="14287"/>
      </w:r>
      <w:r>
        <w:t xml:space="preserve"> of the earth: but if the salt have lost his taste, with which shall it be salted? it is from then on good for nothing, but to be cast out, and to be trampled under foot of men.</w:t>
      </w:r>
    </w:p>
    <w:p>
      <w:r>
        <w:rPr>
          <w:b/>
        </w:rPr>
        <w:t xml:space="preserve">14 </w:t>
      </w:r>
      <w:r>
        <w:t xml:space="preserve">You are the light</w:t>
      </w:r>
      <w:r>
        <w:rPr>
          <w:rStyle w:val="FootnoteReference"/>
        </w:rPr>
        <w:footnoteReference w:id="14288"/>
      </w:r>
      <w:r>
        <w:t xml:space="preserve"> of the world. A city that is set on a hill cannot be hid.</w:t>
      </w:r>
    </w:p>
    <w:p>
      <w:r>
        <w:rPr>
          <w:b/>
        </w:rPr>
        <w:t xml:space="preserve">15 </w:t>
      </w:r>
      <w:r>
        <w:t xml:space="preserve">Neither do men light a candle, and put it under a bushel, but on a candlestick; and it gives light to all that are in the house.</w:t>
      </w:r>
    </w:p>
    <w:p>
      <w:r>
        <w:rPr>
          <w:b/>
        </w:rPr>
        <w:t xml:space="preserve">16 </w:t>
      </w:r>
      <w:r>
        <w:t xml:space="preserve">Let your light</w:t>
      </w:r>
      <w:r>
        <w:rPr>
          <w:rStyle w:val="FootnoteReference"/>
        </w:rPr>
        <w:footnoteReference w:id="14289"/>
      </w:r>
      <w:r>
        <w:t xml:space="preserve"> so shine before men, that they may see your good works, and glorify your Father</w:t>
      </w:r>
      <w:r>
        <w:rPr>
          <w:rStyle w:val="FootnoteReference"/>
        </w:rPr>
        <w:footnoteReference w:id="14290"/>
      </w:r>
      <w:r>
        <w:t xml:space="preserve"> who is in heaven.</w:t>
      </w:r>
    </w:p>
    <w:p>
      <w:r>
        <w:rPr>
          <w:b/>
        </w:rPr>
        <w:t xml:space="preserve">17 </w:t>
      </w:r>
      <w:r>
        <w:t xml:space="preserve">Do not think that I am come to destroy the law</w:t>
      </w:r>
      <w:r>
        <w:rPr>
          <w:rStyle w:val="FootnoteReference"/>
        </w:rPr>
        <w:footnoteReference w:id="14291"/>
      </w:r>
      <w:r>
        <w:t xml:space="preserve">, or the prophets: I am not come to destroy, but to fulfill.</w:t>
      </w:r>
    </w:p>
    <w:p>
      <w:r>
        <w:rPr>
          <w:b/>
        </w:rPr>
        <w:t xml:space="preserve">18 </w:t>
      </w:r>
      <w:r>
        <w:t xml:space="preserve">For truly I say to you, Till</w:t>
      </w:r>
      <w:r>
        <w:rPr>
          <w:rStyle w:val="FootnoteReference"/>
        </w:rPr>
        <w:footnoteReference w:id="14292"/>
      </w:r>
      <w:r>
        <w:t xml:space="preserve"> heaven and earth pass, one jot or one tittle shall by no means pass from the law, till all be fulfilled.</w:t>
      </w:r>
    </w:p>
    <w:p>
      <w:r>
        <w:rPr>
          <w:b/>
        </w:rPr>
        <w:t xml:space="preserve">19 </w:t>
      </w:r>
      <w:r>
        <w:t xml:space="preserve">Whoever therefore shall break</w:t>
      </w:r>
      <w:r>
        <w:rPr>
          <w:rStyle w:val="FootnoteReference"/>
        </w:rPr>
        <w:footnoteReference w:id="14293"/>
      </w:r>
      <w:r>
        <w:t xml:space="preserve"> one of these least commandments, and shall teach men so, he shall be called the least in the kingdom of heaven: but whoever shall do and teach them, the same shall be called great in the kingdom of heaven.</w:t>
      </w:r>
    </w:p>
    <w:p>
      <w:r>
        <w:rPr>
          <w:b/>
        </w:rPr>
        <w:t xml:space="preserve">20 </w:t>
      </w:r>
      <w:r>
        <w:t xml:space="preserve">For I say to you, That except your righteousness shall exceed</w:t>
      </w:r>
      <w:r>
        <w:rPr>
          <w:rStyle w:val="FootnoteReference"/>
        </w:rPr>
        <w:footnoteReference w:id="14294"/>
      </w:r>
      <w:r>
        <w:t xml:space="preserve"> the righteousness of the scribes and Pharisees, you shall in no case enter into the kingdom of heaven.</w:t>
      </w:r>
    </w:p>
    <w:p>
      <w:r>
        <w:rPr>
          <w:b/>
        </w:rPr>
        <w:t xml:space="preserve">21 </w:t>
      </w:r>
      <w:r>
        <w:t xml:space="preserve">You have heard that it was said of them of old time, You shall not kill; and whoever shall kill shall be in danger of the judgment:</w:t>
      </w:r>
    </w:p>
    <w:p>
      <w:r>
        <w:rPr>
          <w:b/>
        </w:rPr>
        <w:t xml:space="preserve">22 </w:t>
      </w:r>
      <w:r>
        <w:t xml:space="preserve">But I say to you, That whoever is angry with his brother</w:t>
      </w:r>
      <w:r>
        <w:rPr>
          <w:rStyle w:val="FootnoteReference"/>
        </w:rPr>
        <w:footnoteReference w:id="14295"/>
      </w:r>
      <w:r>
        <w:t xml:space="preserve"> without a cause shall be in danger of the judgment: and whoever shall say to his brother, Raca</w:t>
      </w:r>
      <w:r>
        <w:rPr>
          <w:rStyle w:val="FootnoteReference"/>
        </w:rPr>
        <w:footnoteReference w:id="14296"/>
      </w:r>
      <w:r>
        <w:t xml:space="preserve">, shall be in danger of the council: but whoever shall say, You fool, shall be in danger of Gehenna of fire</w:t>
      </w:r>
      <w:r>
        <w:rPr>
          <w:rStyle w:val="FootnoteReference"/>
        </w:rPr>
        <w:footnoteReference w:id="14297"/>
      </w:r>
      <w:r>
        <w:t xml:space="preserve">.</w:t>
      </w:r>
    </w:p>
    <w:p>
      <w:r>
        <w:rPr>
          <w:b/>
        </w:rPr>
        <w:t xml:space="preserve">23 </w:t>
      </w:r>
      <w:r>
        <w:t xml:space="preserve">Therefore if you bring your gift to the altar, and there remember that your brother has anything against you;</w:t>
      </w:r>
    </w:p>
    <w:p>
      <w:r>
        <w:rPr>
          <w:b/>
        </w:rPr>
        <w:t xml:space="preserve">24 </w:t>
      </w:r>
      <w:r>
        <w:t xml:space="preserve">Leave there your gift before the altar, and go your way; first be reconciled to your brother, and then</w:t>
      </w:r>
      <w:r>
        <w:rPr>
          <w:rStyle w:val="FootnoteReference"/>
        </w:rPr>
        <w:footnoteReference w:id="14298"/>
      </w:r>
      <w:r>
        <w:t xml:space="preserve"> come and offer your gift.</w:t>
      </w:r>
    </w:p>
    <w:p>
      <w:r>
        <w:rPr>
          <w:b/>
        </w:rPr>
        <w:t xml:space="preserve">25 </w:t>
      </w:r>
      <w:r>
        <w:t xml:space="preserve">Agree with your adversary quickly, while you are in the way with him; lest at any time the adversary deliver you to the judge, and the judge deliver you to the officer, and you may be cast into prison.</w:t>
      </w:r>
    </w:p>
    <w:p>
      <w:r>
        <w:rPr>
          <w:b/>
        </w:rPr>
        <w:t xml:space="preserve">26 </w:t>
      </w:r>
      <w:r>
        <w:t xml:space="preserve">Amen, I say to you, You shall by no means come out from there, till you have paid the uttermost quadrans.</w:t>
      </w:r>
    </w:p>
    <w:p>
      <w:r>
        <w:rPr>
          <w:b/>
        </w:rPr>
        <w:t xml:space="preserve">27 </w:t>
      </w:r>
      <w:r>
        <w:t xml:space="preserve">You have heard that it was said by them of old time, You shall not commit adultery:</w:t>
      </w:r>
    </w:p>
    <w:p>
      <w:r>
        <w:rPr>
          <w:b/>
        </w:rPr>
        <w:t xml:space="preserve">28 </w:t>
      </w:r>
      <w:r>
        <w:t xml:space="preserve">But I say to you, That whoever looks on a woman to lust after her has committed adultery with her already in his heart.</w:t>
      </w:r>
    </w:p>
    <w:p>
      <w:r>
        <w:rPr>
          <w:b/>
        </w:rPr>
        <w:t xml:space="preserve">29 </w:t>
      </w:r>
      <w:r>
        <w:t xml:space="preserve">And if your right eye cause you to stumble, pluck</w:t>
      </w:r>
      <w:r>
        <w:rPr>
          <w:rStyle w:val="FootnoteReference"/>
        </w:rPr>
        <w:footnoteReference w:id="14299"/>
      </w:r>
      <w:r>
        <w:t xml:space="preserve"> it out, and cast it from you: for it is profitable for you that one of your members should perish, and not that your whole body should be cast into Gehenna.</w:t>
      </w:r>
    </w:p>
    <w:p>
      <w:r>
        <w:rPr>
          <w:b/>
        </w:rPr>
        <w:t xml:space="preserve">30 </w:t>
      </w:r>
      <w:r>
        <w:t xml:space="preserve">And if your right hand cause you to stumble, cut it off, and cast</w:t>
      </w:r>
      <w:r>
        <w:rPr>
          <w:rStyle w:val="FootnoteReference"/>
        </w:rPr>
        <w:footnoteReference w:id="14300"/>
      </w:r>
      <w:r>
        <w:t xml:space="preserve"> it from you: for it is profitable for you that one of your members should perish, and not that your whole body should be cast into Gehenna.</w:t>
      </w:r>
    </w:p>
    <w:p>
      <w:r>
        <w:rPr>
          <w:b/>
        </w:rPr>
        <w:t xml:space="preserve">31 </w:t>
      </w:r>
      <w:r>
        <w:t xml:space="preserve">It has been said, Whoever shall release his wife, let him give her a writing of divorcement:</w:t>
      </w:r>
    </w:p>
    <w:p>
      <w:r>
        <w:rPr>
          <w:b/>
        </w:rPr>
        <w:t xml:space="preserve">32 </w:t>
      </w:r>
      <w:r>
        <w:t xml:space="preserve">But I say to you, That whoever shall release his wife, saving for the cause of sexual immorality, causes her to commit adultery: and whoever shall marry her that is divorced commits adultery.</w:t>
      </w:r>
    </w:p>
    <w:p>
      <w:r>
        <w:rPr>
          <w:b/>
        </w:rPr>
        <w:t xml:space="preserve">33 </w:t>
      </w:r>
      <w:r>
        <w:t xml:space="preserve">Again, you have heard that it has been said by them of old time, You shall not renounce swearing yourself, but shall perform to the Lord your oaths:</w:t>
      </w:r>
    </w:p>
    <w:p>
      <w:r>
        <w:rPr>
          <w:b/>
        </w:rPr>
        <w:t xml:space="preserve">34 </w:t>
      </w:r>
      <w:r>
        <w:t xml:space="preserve">But I say to you, do not swear</w:t>
      </w:r>
      <w:r>
        <w:rPr>
          <w:rStyle w:val="FootnoteReference"/>
        </w:rPr>
        <w:footnoteReference w:id="14301"/>
      </w:r>
      <w:r>
        <w:t xml:space="preserve"> at all; neither by heaven; for it is God's throne:</w:t>
      </w:r>
    </w:p>
    <w:p>
      <w:r>
        <w:rPr>
          <w:b/>
        </w:rPr>
        <w:t xml:space="preserve">35 </w:t>
      </w:r>
      <w:r>
        <w:t xml:space="preserve">Nor by the earth</w:t>
      </w:r>
      <w:r>
        <w:rPr>
          <w:rStyle w:val="FootnoteReference"/>
        </w:rPr>
        <w:footnoteReference w:id="14302"/>
      </w:r>
      <w:r>
        <w:t xml:space="preserve">; for it is his footstool: neither by Jerusalem; for it is the city of the great King.</w:t>
      </w:r>
    </w:p>
    <w:p>
      <w:r>
        <w:rPr>
          <w:b/>
        </w:rPr>
        <w:t xml:space="preserve">36 </w:t>
      </w:r>
      <w:r>
        <w:t xml:space="preserve">Neither shall you swear by your head, because you cannot make one hair white or black.</w:t>
      </w:r>
    </w:p>
    <w:p>
      <w:r>
        <w:rPr>
          <w:b/>
        </w:rPr>
        <w:t xml:space="preserve">37 </w:t>
      </w:r>
      <w:r>
        <w:t xml:space="preserve">But let your word be, Yes, yes; No, no: for whatever is more than these comes of evil.</w:t>
      </w:r>
    </w:p>
    <w:p>
      <w:r>
        <w:rPr>
          <w:b/>
        </w:rPr>
        <w:t xml:space="preserve">38 </w:t>
      </w:r>
      <w:r>
        <w:t xml:space="preserve">You have heard that it has been said, An eye</w:t>
      </w:r>
      <w:r>
        <w:rPr>
          <w:rStyle w:val="FootnoteReference"/>
        </w:rPr>
        <w:footnoteReference w:id="14303"/>
      </w:r>
      <w:r>
        <w:t xml:space="preserve"> for an eye, and a tooth for a tooth:</w:t>
      </w:r>
    </w:p>
    <w:p>
      <w:r>
        <w:rPr>
          <w:b/>
        </w:rPr>
        <w:t xml:space="preserve">39 </w:t>
      </w:r>
      <w:r>
        <w:t xml:space="preserve">But I say to you, That you do not resist evil: but whoever shall strike you on your right cheek, turn to him the other also.</w:t>
      </w:r>
    </w:p>
    <w:p>
      <w:r>
        <w:rPr>
          <w:b/>
        </w:rPr>
        <w:t xml:space="preserve">40 </w:t>
      </w:r>
      <w:r>
        <w:t xml:space="preserve">And if anyone will sue you at the law, and take away your tunic, let him have your cloak also.</w:t>
      </w:r>
    </w:p>
    <w:p>
      <w:r>
        <w:rPr>
          <w:b/>
        </w:rPr>
        <w:t xml:space="preserve">41 </w:t>
      </w:r>
      <w:r>
        <w:t xml:space="preserve">And whoever shall compel</w:t>
      </w:r>
      <w:r>
        <w:rPr>
          <w:rStyle w:val="FootnoteReference"/>
        </w:rPr>
        <w:footnoteReference w:id="14304"/>
      </w:r>
      <w:r>
        <w:t xml:space="preserve"> you to go a mile, go with him two.</w:t>
      </w:r>
    </w:p>
    <w:p>
      <w:r>
        <w:rPr>
          <w:b/>
        </w:rPr>
        <w:t xml:space="preserve">42 </w:t>
      </w:r>
      <w:r>
        <w:t xml:space="preserve">Give to him who asks you, and from him who would borrow of you do not turn away.</w:t>
      </w:r>
    </w:p>
    <w:p>
      <w:r>
        <w:rPr>
          <w:b/>
        </w:rPr>
        <w:t xml:space="preserve">43 </w:t>
      </w:r>
      <w:r>
        <w:t xml:space="preserve">You have heard that it has been said, You shall love your neighbor, and hate</w:t>
      </w:r>
      <w:r>
        <w:rPr>
          <w:rStyle w:val="FootnoteReference"/>
        </w:rPr>
        <w:footnoteReference w:id="14305"/>
      </w:r>
      <w:r>
        <w:t xml:space="preserve"> your enemy.</w:t>
      </w:r>
    </w:p>
    <w:p>
      <w:r>
        <w:rPr>
          <w:b/>
        </w:rPr>
        <w:t xml:space="preserve">44 </w:t>
      </w:r>
      <w:r>
        <w:t xml:space="preserve">But I say to you, Love your enemies, bless those who curse you, do good to those who hate you, and pray for those who despitefully use you, and persecute you;</w:t>
      </w:r>
    </w:p>
    <w:p>
      <w:r>
        <w:rPr>
          <w:b/>
        </w:rPr>
        <w:t xml:space="preserve">45 </w:t>
      </w:r>
      <w:r>
        <w:t xml:space="preserve">That you may be the children of your Father who is in heaven: for he makes his sun to rise on the evil and on the good, and sends rain on the just and on the unjust.</w:t>
      </w:r>
    </w:p>
    <w:p>
      <w:r>
        <w:rPr>
          <w:b/>
        </w:rPr>
        <w:t xml:space="preserve">46 </w:t>
      </w:r>
      <w:r>
        <w:t xml:space="preserve">For if you love those who love you, what reward have you? do not even the tax collectors the same?</w:t>
      </w:r>
    </w:p>
    <w:p>
      <w:r>
        <w:rPr>
          <w:b/>
        </w:rPr>
        <w:t xml:space="preserve">47 </w:t>
      </w:r>
      <w:r>
        <w:t xml:space="preserve">And if you salute</w:t>
      </w:r>
      <w:r>
        <w:rPr>
          <w:rStyle w:val="FootnoteReference"/>
        </w:rPr>
        <w:footnoteReference w:id="14306"/>
      </w:r>
      <w:r>
        <w:t xml:space="preserve"> your brothers only, what do you more than others? do not even the tax collectors so?</w:t>
      </w:r>
    </w:p>
    <w:p>
      <w:r>
        <w:rPr>
          <w:b/>
        </w:rPr>
        <w:t xml:space="preserve">48 </w:t>
      </w:r>
      <w:r>
        <w:t xml:space="preserve">Therefore be perfect, even as your Father who is in heaven is perfect.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Take heed</w:t>
      </w:r>
      <w:r>
        <w:rPr>
          <w:rStyle w:val="FootnoteReference"/>
        </w:rPr>
        <w:footnoteReference w:id="14307"/>
      </w:r>
      <w:r>
        <w:t xml:space="preserve"> that you do not do your charitable giving before men, to be seen of them: otherwise you have no reward of your Father who is in heaven.</w:t>
      </w:r>
    </w:p>
    <w:p>
      <w:r>
        <w:rPr>
          <w:b/>
        </w:rPr>
        <w:t xml:space="preserve">2 </w:t>
      </w:r>
      <w:r>
        <w:t xml:space="preserve">Therefore when you do your alms, do not sound a trumpet</w:t>
      </w:r>
      <w:r>
        <w:rPr>
          <w:rStyle w:val="FootnoteReference"/>
        </w:rPr>
        <w:footnoteReference w:id="14308"/>
      </w:r>
      <w:r>
        <w:t xml:space="preserve"> before you, as the hypocrites do in the synagogues and in the streets, that they may have glory of men. Amen, I say to you, They have their reward.</w:t>
      </w:r>
    </w:p>
    <w:p>
      <w:r>
        <w:rPr>
          <w:b/>
        </w:rPr>
        <w:t xml:space="preserve">3 </w:t>
      </w:r>
      <w:r>
        <w:t xml:space="preserve">But when you do charitable giving, let not your left hand know what your right hand does:</w:t>
      </w:r>
    </w:p>
    <w:p>
      <w:r>
        <w:rPr>
          <w:b/>
        </w:rPr>
        <w:t xml:space="preserve">4 </w:t>
      </w:r>
      <w:r>
        <w:t xml:space="preserve">That your alms may be in secret: and your Father who sees in secret himself shall reward</w:t>
      </w:r>
      <w:r>
        <w:rPr>
          <w:rStyle w:val="FootnoteReference"/>
        </w:rPr>
        <w:footnoteReference w:id="14309"/>
      </w:r>
      <w:r>
        <w:t xml:space="preserve"> you openly.</w:t>
      </w:r>
    </w:p>
    <w:p>
      <w:r>
        <w:rPr>
          <w:b/>
        </w:rPr>
        <w:t xml:space="preserve">5 </w:t>
      </w:r>
      <w:r>
        <w:t xml:space="preserve">And when you pray, you shall not be as the hypocrites are: for they love to pray standing in the synagogues and in the corners of the streets, that they may be seen of men. Amen, I say to you, They have their reward.</w:t>
      </w:r>
    </w:p>
    <w:p>
      <w:r>
        <w:rPr>
          <w:b/>
        </w:rPr>
        <w:t xml:space="preserve">6 </w:t>
      </w:r>
      <w:r>
        <w:t xml:space="preserve">But you, when you pray, enter</w:t>
      </w:r>
      <w:r>
        <w:rPr>
          <w:rStyle w:val="FootnoteReference"/>
        </w:rPr>
        <w:footnoteReference w:id="14310"/>
      </w:r>
      <w:r>
        <w:t xml:space="preserve"> into your closet, and when you have shut your door, pray to your Father who is in secret; and your Father who sees in secret shall reward you openly.</w:t>
      </w:r>
    </w:p>
    <w:p>
      <w:r>
        <w:rPr>
          <w:b/>
        </w:rPr>
        <w:t xml:space="preserve">7 </w:t>
      </w:r>
      <w:r>
        <w:t xml:space="preserve">But when you pray, use not vain repetitions</w:t>
      </w:r>
      <w:r>
        <w:rPr>
          <w:rStyle w:val="FootnoteReference"/>
        </w:rPr>
        <w:footnoteReference w:id="14311"/>
      </w:r>
      <w:r>
        <w:t xml:space="preserve">, as the nations do: for they think that they shall be heard for their much speaking.</w:t>
      </w:r>
    </w:p>
    <w:p>
      <w:r>
        <w:rPr>
          <w:b/>
        </w:rPr>
        <w:t xml:space="preserve">8 </w:t>
      </w:r>
      <w:r>
        <w:t xml:space="preserve">Do not therefore be like them: for your Father knows what things you have need of, before you ask him.</w:t>
      </w:r>
    </w:p>
    <w:p>
      <w:r>
        <w:rPr>
          <w:b/>
        </w:rPr>
        <w:t xml:space="preserve">9 </w:t>
      </w:r>
      <w:r>
        <w:t xml:space="preserve">Therefore pray this way: Our Father who is in heaven, Hallowed</w:t>
      </w:r>
      <w:r>
        <w:rPr>
          <w:rStyle w:val="FootnoteReference"/>
        </w:rPr>
        <w:footnoteReference w:id="14312"/>
      </w:r>
      <w:r>
        <w:t xml:space="preserve"> be your name.</w:t>
      </w:r>
    </w:p>
    <w:p>
      <w:r>
        <w:rPr>
          <w:b/>
        </w:rPr>
        <w:t xml:space="preserve">10 </w:t>
      </w:r>
      <w:r>
        <w:t xml:space="preserve">Your kingdom come, Your will be done on earth, as it is in heaven.</w:t>
      </w:r>
    </w:p>
    <w:p>
      <w:r>
        <w:rPr>
          <w:b/>
        </w:rPr>
        <w:t xml:space="preserve">11 </w:t>
      </w:r>
      <w:r>
        <w:t xml:space="preserve">Give us this day our daily bread.</w:t>
      </w:r>
    </w:p>
    <w:p>
      <w:r>
        <w:rPr>
          <w:b/>
        </w:rPr>
        <w:t xml:space="preserve">12 </w:t>
      </w:r>
      <w:r>
        <w:t xml:space="preserve">And forgive</w:t>
      </w:r>
      <w:r>
        <w:rPr>
          <w:rStyle w:val="FootnoteReference"/>
        </w:rPr>
        <w:footnoteReference w:id="14313"/>
      </w:r>
      <w:r>
        <w:t xml:space="preserve"> us our debts, as we forgive our debtors.</w:t>
      </w:r>
    </w:p>
    <w:p>
      <w:r>
        <w:rPr>
          <w:b/>
        </w:rPr>
        <w:t xml:space="preserve">13 </w:t>
      </w:r>
      <w:r>
        <w:t xml:space="preserve">And lead</w:t>
      </w:r>
      <w:r>
        <w:rPr>
          <w:rStyle w:val="FootnoteReference"/>
        </w:rPr>
        <w:footnoteReference w:id="14314"/>
      </w:r>
      <w:r>
        <w:t xml:space="preserve"> us not into temptation, but deliver us from evil: For yours is the kingdom, and the power, and the glory, forever. Amen.</w:t>
      </w:r>
    </w:p>
    <w:p>
      <w:r>
        <w:rPr>
          <w:b/>
        </w:rPr>
        <w:t xml:space="preserve">14 </w:t>
      </w:r>
      <w:r>
        <w:t xml:space="preserve">For if you forgive men their trespasses, your heavenly Father will also forgive you:</w:t>
      </w:r>
    </w:p>
    <w:p>
      <w:r>
        <w:rPr>
          <w:b/>
        </w:rPr>
        <w:t xml:space="preserve">15 </w:t>
      </w:r>
      <w:r>
        <w:t xml:space="preserve">But if you do not forgive men their trespasses, neither will your Father forgive your trespasses.</w:t>
      </w:r>
    </w:p>
    <w:p>
      <w:r>
        <w:rPr>
          <w:b/>
        </w:rPr>
        <w:t xml:space="preserve">16 </w:t>
      </w:r>
      <w:r>
        <w:t xml:space="preserve">Moreover when you fast, do not be, as the hypocrites, of a sad countenance: for they disfigure their faces, that they may appear to men to fast. Amen, I say to you, They have their reward.</w:t>
      </w:r>
    </w:p>
    <w:p>
      <w:r>
        <w:rPr>
          <w:b/>
        </w:rPr>
        <w:t xml:space="preserve">17 </w:t>
      </w:r>
      <w:r>
        <w:t xml:space="preserve">But you, when you fast, anoint</w:t>
      </w:r>
      <w:r>
        <w:rPr>
          <w:rStyle w:val="FootnoteReference"/>
        </w:rPr>
        <w:footnoteReference w:id="14315"/>
      </w:r>
      <w:r>
        <w:t xml:space="preserve"> your head, and wash your face;</w:t>
      </w:r>
    </w:p>
    <w:p>
      <w:r>
        <w:rPr>
          <w:b/>
        </w:rPr>
        <w:t xml:space="preserve">18 </w:t>
      </w:r>
      <w:r>
        <w:t xml:space="preserve">That you appear</w:t>
      </w:r>
      <w:r>
        <w:rPr>
          <w:rStyle w:val="FootnoteReference"/>
        </w:rPr>
        <w:footnoteReference w:id="14316"/>
      </w:r>
      <w:r>
        <w:t xml:space="preserve"> not to men to fast, but to your Father who is in secret: and your Father, who sees in secret, shall reward you openly.</w:t>
      </w:r>
    </w:p>
    <w:p>
      <w:r>
        <w:rPr>
          <w:b/>
        </w:rPr>
        <w:t xml:space="preserve">19 </w:t>
      </w:r>
      <w:r>
        <w:t xml:space="preserve">Lay not up for yourselves treasures upon earth, where moth and rust corrupt, and where thieves break through and steal:</w:t>
      </w:r>
    </w:p>
    <w:p>
      <w:r>
        <w:rPr>
          <w:b/>
        </w:rPr>
        <w:t xml:space="preserve">20 </w:t>
      </w:r>
      <w:r>
        <w:t xml:space="preserve">But lay up for yourselves treasures in heaven, where neither moth nor rust corrupt, and where thieves do not break through nor steal:</w:t>
      </w:r>
    </w:p>
    <w:p>
      <w:r>
        <w:rPr>
          <w:b/>
        </w:rPr>
        <w:t xml:space="preserve">21 </w:t>
      </w:r>
      <w:r>
        <w:t xml:space="preserve">For where your treasure is, there will your heart be also.</w:t>
      </w:r>
    </w:p>
    <w:p>
      <w:r>
        <w:rPr>
          <w:b/>
        </w:rPr>
        <w:t xml:space="preserve">22 </w:t>
      </w:r>
      <w:r>
        <w:t xml:space="preserve">The light of</w:t>
      </w:r>
      <w:r>
        <w:rPr>
          <w:rStyle w:val="FootnoteReference"/>
        </w:rPr>
        <w:footnoteReference w:id="14317"/>
      </w:r>
      <w:r>
        <w:t xml:space="preserve"> the body is the eye: if therefore your eye be single, your whole body shall be full of light.</w:t>
      </w:r>
    </w:p>
    <w:p>
      <w:r>
        <w:rPr>
          <w:b/>
        </w:rPr>
        <w:t xml:space="preserve">23 </w:t>
      </w:r>
      <w:r>
        <w:t xml:space="preserve">But if your eye is evil, your whole body shall be full of darkness. If therefore the light that is in you is darkness, how great is that darkness!</w:t>
      </w:r>
    </w:p>
    <w:p>
      <w:r>
        <w:rPr>
          <w:b/>
        </w:rPr>
        <w:t xml:space="preserve">24 </w:t>
      </w:r>
      <w:r>
        <w:t xml:space="preserve">No one can serve</w:t>
      </w:r>
      <w:r>
        <w:rPr>
          <w:rStyle w:val="FootnoteReference"/>
        </w:rPr>
        <w:footnoteReference w:id="14318"/>
      </w:r>
      <w:r>
        <w:t xml:space="preserve"> two masters: for either he will hate the one, and love the other; or else he will hold to the one, and despise the other. You cannot serve God and mammon.</w:t>
      </w:r>
    </w:p>
    <w:p>
      <w:r>
        <w:rPr>
          <w:b/>
        </w:rPr>
        <w:t xml:space="preserve">25 </w:t>
      </w:r>
      <w:r>
        <w:t xml:space="preserve">Therefore I say to you, Do not be anxious for your life, what you shall eat, or what you shall drink; nor yet for your body, what you shall put on. Is not the life more than food, and the body than clothing?</w:t>
      </w:r>
    </w:p>
    <w:p>
      <w:r>
        <w:rPr>
          <w:b/>
        </w:rPr>
        <w:t xml:space="preserve">26 </w:t>
      </w:r>
      <w:r>
        <w:t xml:space="preserve">Look the birds of the air: for they sow not, neither do they reap, nor gather into barns; yet your heavenly Father feeds them. Are you not much better than they?</w:t>
      </w:r>
    </w:p>
    <w:p>
      <w:r>
        <w:rPr>
          <w:b/>
        </w:rPr>
        <w:t xml:space="preserve">27 </w:t>
      </w:r>
      <w:r>
        <w:t xml:space="preserve">Which of you by being anxious can add one cubit to his stature?</w:t>
      </w:r>
    </w:p>
    <w:p>
      <w:r>
        <w:rPr>
          <w:b/>
        </w:rPr>
        <w:t xml:space="preserve">28 </w:t>
      </w:r>
      <w:r>
        <w:t xml:space="preserve">And why are you anxious for clothing? Consider the lilies</w:t>
      </w:r>
      <w:r>
        <w:rPr>
          <w:rStyle w:val="FootnoteReference"/>
        </w:rPr>
        <w:footnoteReference w:id="14319"/>
      </w:r>
      <w:r>
        <w:t xml:space="preserve"> of the field, how they grow; they do not toil, neither do they spin:</w:t>
      </w:r>
    </w:p>
    <w:p>
      <w:r>
        <w:rPr>
          <w:b/>
        </w:rPr>
        <w:t xml:space="preserve">29 </w:t>
      </w:r>
      <w:r>
        <w:t xml:space="preserve">And yet I say to you, That even Solomon in all his glory was not arrayed like one of these.</w:t>
      </w:r>
    </w:p>
    <w:p>
      <w:r>
        <w:rPr>
          <w:b/>
        </w:rPr>
        <w:t xml:space="preserve">30 </w:t>
      </w:r>
      <w:r>
        <w:t xml:space="preserve">Therefore, if God so clothe</w:t>
      </w:r>
      <w:r>
        <w:rPr>
          <w:rStyle w:val="FootnoteReference"/>
        </w:rPr>
        <w:footnoteReference w:id="14320"/>
      </w:r>
      <w:r>
        <w:t xml:space="preserve"> the grass of the field, which today is, and tomorrow is cast into the oven, shall he not much more clothe you, O you of little faith?</w:t>
      </w:r>
    </w:p>
    <w:p>
      <w:r>
        <w:rPr>
          <w:b/>
        </w:rPr>
        <w:t xml:space="preserve">31 </w:t>
      </w:r>
      <w:r>
        <w:t xml:space="preserve">Therefore do not be anxious, saying, What shall we eat</w:t>
      </w:r>
      <w:r>
        <w:rPr>
          <w:rStyle w:val="FootnoteReference"/>
        </w:rPr>
        <w:footnoteReference w:id="14321"/>
      </w:r>
      <w:r>
        <w:t xml:space="preserve">? or, What shall we drink? or, with what shall we be clothed?</w:t>
      </w:r>
    </w:p>
    <w:p>
      <w:r>
        <w:rPr>
          <w:b/>
        </w:rPr>
        <w:t xml:space="preserve">32 </w:t>
      </w:r>
      <w:r>
        <w:t xml:space="preserve">(For after all these things do the nations seek:) for your</w:t>
      </w:r>
      <w:r>
        <w:rPr>
          <w:rStyle w:val="FootnoteReference"/>
        </w:rPr>
        <w:footnoteReference w:id="14322"/>
      </w:r>
      <w:r>
        <w:t xml:space="preserve"> heavenly Father knows that you have need of all these things.</w:t>
      </w:r>
    </w:p>
    <w:p>
      <w:r>
        <w:rPr>
          <w:b/>
        </w:rPr>
        <w:t xml:space="preserve">33 </w:t>
      </w:r>
      <w:r>
        <w:t xml:space="preserve">But seek</w:t>
      </w:r>
      <w:r>
        <w:rPr>
          <w:rStyle w:val="FootnoteReference"/>
        </w:rPr>
        <w:footnoteReference w:id="14323"/>
      </w:r>
      <w:r>
        <w:t xml:space="preserve"> first the kingdom of God, and his righteousness; and all these things shall be added to you.</w:t>
      </w:r>
    </w:p>
    <w:p>
      <w:r>
        <w:rPr>
          <w:b/>
        </w:rPr>
        <w:t xml:space="preserve">34 </w:t>
      </w:r>
      <w:r>
        <w:t xml:space="preserve">Therefore do not be anxious for the next day: for the next day will be anxious for its own things. Sufficient</w:t>
      </w:r>
      <w:r>
        <w:rPr>
          <w:rStyle w:val="FootnoteReference"/>
        </w:rPr>
        <w:footnoteReference w:id="14324"/>
      </w:r>
      <w:r>
        <w:t xml:space="preserve"> to the day is the evil of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Do not judge, that you may not be judged.</w:t>
      </w:r>
    </w:p>
    <w:p>
      <w:r>
        <w:rPr>
          <w:b/>
        </w:rPr>
        <w:t xml:space="preserve">2 </w:t>
      </w:r>
      <w:r>
        <w:t xml:space="preserve">For with what judgment you judge, you shall be judged: and with what measure you mete, it shall be measured to you again.</w:t>
      </w:r>
    </w:p>
    <w:p>
      <w:r>
        <w:rPr>
          <w:b/>
        </w:rPr>
        <w:t xml:space="preserve">3 </w:t>
      </w:r>
      <w:r>
        <w:t xml:space="preserve">And why do you look at the splinter that is in your brother's eye, but consider not the beam that is in your own eye?</w:t>
      </w:r>
    </w:p>
    <w:p>
      <w:r>
        <w:rPr>
          <w:b/>
        </w:rPr>
        <w:t xml:space="preserve">4 </w:t>
      </w:r>
      <w:r>
        <w:t xml:space="preserve">Or how will you say to your brother, Let me pull out the splinter out of your eye; and, look, a beam is in your own eye?</w:t>
      </w:r>
    </w:p>
    <w:p>
      <w:r>
        <w:rPr>
          <w:b/>
        </w:rPr>
        <w:t xml:space="preserve">5 </w:t>
      </w:r>
      <w:r>
        <w:t xml:space="preserve">You hypocrite, first</w:t>
      </w:r>
      <w:r>
        <w:rPr>
          <w:rStyle w:val="FootnoteReference"/>
        </w:rPr>
        <w:footnoteReference w:id="14325"/>
      </w:r>
      <w:r>
        <w:t xml:space="preserve"> cast out the beam out of your own eye; and then shall you see clearly to cast out the splinter out of your brother's eye.</w:t>
      </w:r>
    </w:p>
    <w:p>
      <w:r>
        <w:rPr>
          <w:b/>
        </w:rPr>
        <w:t xml:space="preserve">6 </w:t>
      </w:r>
      <w:r>
        <w:t xml:space="preserve">Give not that which is holy to the dogs, neither cast</w:t>
      </w:r>
      <w:r>
        <w:rPr>
          <w:rStyle w:val="FootnoteReference"/>
        </w:rPr>
        <w:footnoteReference w:id="14326"/>
      </w:r>
      <w:r>
        <w:t xml:space="preserve"> your pearls before swine, lest they trample them under their feet, and return and rend you.</w:t>
      </w:r>
    </w:p>
    <w:p>
      <w:r>
        <w:rPr>
          <w:b/>
        </w:rPr>
        <w:t xml:space="preserve">7 </w:t>
      </w:r>
      <w:r>
        <w:t xml:space="preserve">Ask, and it</w:t>
      </w:r>
      <w:r>
        <w:rPr>
          <w:rStyle w:val="FootnoteReference"/>
        </w:rPr>
        <w:footnoteReference w:id="14327"/>
      </w:r>
      <w:r>
        <w:t xml:space="preserve"> shall be given you; seek, and you shall find; knock, and it shall be opened to you:</w:t>
      </w:r>
    </w:p>
    <w:p>
      <w:r>
        <w:rPr>
          <w:b/>
        </w:rPr>
        <w:t xml:space="preserve">8 </w:t>
      </w:r>
      <w:r>
        <w:t xml:space="preserve">For every one that asks receives; and the one who seeks finds; and to him who knocks it shall be opened.</w:t>
      </w:r>
    </w:p>
    <w:p>
      <w:r>
        <w:rPr>
          <w:b/>
        </w:rPr>
        <w:t xml:space="preserve">9 </w:t>
      </w:r>
      <w:r>
        <w:t xml:space="preserve">Or what man is there of you, whom if his son ask bread, will he give him a stone?</w:t>
      </w:r>
    </w:p>
    <w:p>
      <w:r>
        <w:rPr>
          <w:b/>
        </w:rPr>
        <w:t xml:space="preserve">10 </w:t>
      </w:r>
      <w:r>
        <w:t xml:space="preserve">Or if he ask a fish, will he give him a serpent?</w:t>
      </w:r>
    </w:p>
    <w:p>
      <w:r>
        <w:rPr>
          <w:b/>
        </w:rPr>
        <w:t xml:space="preserve">11 </w:t>
      </w:r>
      <w:r>
        <w:t xml:space="preserve">If you then, being evil, know how to give good</w:t>
      </w:r>
      <w:r>
        <w:rPr>
          <w:rStyle w:val="FootnoteReference"/>
        </w:rPr>
        <w:footnoteReference w:id="14328"/>
      </w:r>
      <w:r>
        <w:t xml:space="preserve"> gifts to your children, how much more shall your Father who is in heaven give good things to those who ask him?</w:t>
      </w:r>
    </w:p>
    <w:p>
      <w:r>
        <w:rPr>
          <w:b/>
        </w:rPr>
        <w:t xml:space="preserve">12 </w:t>
      </w:r>
      <w:r>
        <w:t xml:space="preserve">Therefore whatever you would that men should do to you, do even so to them: for this is the law and the prophets.</w:t>
      </w:r>
    </w:p>
    <w:p>
      <w:r>
        <w:rPr>
          <w:b/>
        </w:rPr>
        <w:t xml:space="preserve">13 </w:t>
      </w:r>
      <w:r>
        <w:t xml:space="preserve">Enter in through the narrow gate: for wide is the gate, and broad is the way, that leads to destruction, and many are those who enter through it:</w:t>
      </w:r>
    </w:p>
    <w:p>
      <w:r>
        <w:rPr>
          <w:b/>
        </w:rPr>
        <w:t xml:space="preserve">14 </w:t>
      </w:r>
      <w:r>
        <w:t xml:space="preserve">Because narrow</w:t>
      </w:r>
      <w:r>
        <w:rPr>
          <w:rStyle w:val="FootnoteReference"/>
        </w:rPr>
        <w:footnoteReference w:id="14329"/>
      </w:r>
      <w:r>
        <w:t xml:space="preserve"> is the gate, and narrow is the way, which leads to life, and few are those who find it.</w:t>
      </w:r>
    </w:p>
    <w:p>
      <w:r>
        <w:rPr>
          <w:b/>
        </w:rPr>
        <w:t xml:space="preserve">15 </w:t>
      </w:r>
      <w:r>
        <w:t xml:space="preserve">Beware</w:t>
      </w:r>
      <w:r>
        <w:rPr>
          <w:rStyle w:val="FootnoteReference"/>
        </w:rPr>
        <w:footnoteReference w:id="14330"/>
      </w:r>
      <w:r>
        <w:t xml:space="preserve"> of false prophets, who come to you in sheep's clothing, but inwardly they are ravening wolves.</w:t>
      </w:r>
    </w:p>
    <w:p>
      <w:r>
        <w:rPr>
          <w:b/>
        </w:rPr>
        <w:t xml:space="preserve">16 </w:t>
      </w:r>
      <w:r>
        <w:t xml:space="preserve">You shall know them by their fruits. Do men gather grapes of thorns, or figs of thistles?</w:t>
      </w:r>
    </w:p>
    <w:p>
      <w:r>
        <w:rPr>
          <w:b/>
        </w:rPr>
        <w:t xml:space="preserve">17 </w:t>
      </w:r>
      <w:r>
        <w:t xml:space="preserve">Even so every good tree produces good fruit; but a corrupt tree produces evil fruit.</w:t>
      </w:r>
    </w:p>
    <w:p>
      <w:r>
        <w:rPr>
          <w:b/>
        </w:rPr>
        <w:t xml:space="preserve">18 </w:t>
      </w:r>
      <w:r>
        <w:t xml:space="preserve">A good tree cannot</w:t>
      </w:r>
      <w:r>
        <w:rPr>
          <w:rStyle w:val="FootnoteReference"/>
        </w:rPr>
        <w:footnoteReference w:id="14331"/>
      </w:r>
      <w:r>
        <w:t xml:space="preserve"> bear evil fruit, neither can a corrupt tree bear good fruit.</w:t>
      </w:r>
    </w:p>
    <w:p>
      <w:r>
        <w:rPr>
          <w:b/>
        </w:rPr>
        <w:t xml:space="preserve">19 </w:t>
      </w:r>
      <w:r>
        <w:t xml:space="preserve">Every tree that does not bring forth good fruit is cut down, and cast into the fire.</w:t>
      </w:r>
    </w:p>
    <w:p>
      <w:r>
        <w:rPr>
          <w:b/>
        </w:rPr>
        <w:t xml:space="preserve">20 </w:t>
      </w:r>
      <w:r>
        <w:t xml:space="preserve">Therefore by their fruits you shall know them.</w:t>
      </w:r>
    </w:p>
    <w:p>
      <w:r>
        <w:rPr>
          <w:b/>
        </w:rPr>
        <w:t xml:space="preserve">21 </w:t>
      </w:r>
      <w:r>
        <w:t xml:space="preserve">Not every one that says to me, Lord, Lord, shall enter into the kingdom of heaven; but the one who does the will of my Father who is in heaven.</w:t>
      </w:r>
    </w:p>
    <w:p>
      <w:r>
        <w:rPr>
          <w:b/>
        </w:rPr>
        <w:t xml:space="preserve">22 </w:t>
      </w:r>
      <w:r>
        <w:t xml:space="preserve">Many will say to me</w:t>
      </w:r>
      <w:r>
        <w:rPr>
          <w:rStyle w:val="FootnoteReference"/>
        </w:rPr>
        <w:footnoteReference w:id="14332"/>
      </w:r>
      <w:r>
        <w:t xml:space="preserve"> in that day, Lord, Lord, have we not prophesied in your name? and in your name have cast out demons? and in your name done many wonderful works?</w:t>
      </w:r>
    </w:p>
    <w:p>
      <w:r>
        <w:rPr>
          <w:b/>
        </w:rPr>
        <w:t xml:space="preserve">23 </w:t>
      </w:r>
      <w:r>
        <w:t xml:space="preserve">And then will I profess to them, I never</w:t>
      </w:r>
      <w:r>
        <w:rPr>
          <w:rStyle w:val="FootnoteReference"/>
        </w:rPr>
        <w:footnoteReference w:id="14333"/>
      </w:r>
      <w:r>
        <w:t xml:space="preserve"> knew you: depart from me, you that work iniquity.</w:t>
      </w:r>
    </w:p>
    <w:p>
      <w:r>
        <w:rPr>
          <w:b/>
        </w:rPr>
        <w:t xml:space="preserve">24 </w:t>
      </w:r>
      <w:r>
        <w:t xml:space="preserve">Therefore whoever hears these sayings of mine, and does them, I will liken him to a wise</w:t>
      </w:r>
      <w:r>
        <w:rPr>
          <w:rStyle w:val="FootnoteReference"/>
        </w:rPr>
        <w:footnoteReference w:id="14334"/>
      </w:r>
      <w:r>
        <w:t xml:space="preserve"> man, who built his house upon a rock:</w:t>
      </w:r>
    </w:p>
    <w:p>
      <w:r>
        <w:rPr>
          <w:b/>
        </w:rPr>
        <w:t xml:space="preserve">25 </w:t>
      </w:r>
      <w:r>
        <w:t xml:space="preserve">And the rain</w:t>
      </w:r>
      <w:r>
        <w:rPr>
          <w:rStyle w:val="FootnoteReference"/>
        </w:rPr>
        <w:footnoteReference w:id="14335"/>
      </w:r>
      <w:r>
        <w:t xml:space="preserve"> descended, and the floods came, and the winds blew, and beat upon that house; and it did not fall: for it was founded upon a rock.</w:t>
      </w:r>
    </w:p>
    <w:p>
      <w:r>
        <w:rPr>
          <w:b/>
        </w:rPr>
        <w:t xml:space="preserve">26 </w:t>
      </w:r>
      <w:r>
        <w:t xml:space="preserve">And every one that hears these sayings of mine, and does them not, shall be likened to a foolish man, who built his house upon the sand:</w:t>
      </w:r>
    </w:p>
    <w:p>
      <w:r>
        <w:rPr>
          <w:b/>
        </w:rPr>
        <w:t xml:space="preserve">27 </w:t>
      </w:r>
      <w:r>
        <w:t xml:space="preserve">And the rain descended, and the floods came, and the winds blew, and beat upon that house; and it fell: and great was the fall of it.</w:t>
      </w:r>
    </w:p>
    <w:p>
      <w:r>
        <w:rPr>
          <w:b/>
        </w:rPr>
        <w:t xml:space="preserve">28 </w:t>
      </w:r>
      <w:r>
        <w:t xml:space="preserve">And it happened, when Jesus had ended these sayings, the people were astonished at his doctrine:</w:t>
      </w:r>
    </w:p>
    <w:p>
      <w:r>
        <w:rPr>
          <w:b/>
        </w:rPr>
        <w:t xml:space="preserve">29 </w:t>
      </w:r>
      <w:r>
        <w:t xml:space="preserve">For he taught them as one having authority, and not</w:t>
      </w:r>
      <w:r>
        <w:rPr>
          <w:rStyle w:val="FootnoteReference"/>
        </w:rPr>
        <w:footnoteReference w:id="14336"/>
      </w:r>
      <w:r>
        <w:t xml:space="preserve"> as the scribes.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When he had come down from the mountain, great</w:t>
      </w:r>
      <w:r>
        <w:rPr>
          <w:rStyle w:val="FootnoteReference"/>
        </w:rPr>
        <w:footnoteReference w:id="14337"/>
      </w:r>
      <w:r>
        <w:t xml:space="preserve"> crowds followed him.</w:t>
      </w:r>
    </w:p>
    <w:p>
      <w:r>
        <w:rPr>
          <w:b/>
        </w:rPr>
        <w:t xml:space="preserve">2 </w:t>
      </w:r>
      <w:r>
        <w:t xml:space="preserve">And, look, there came a leper</w:t>
      </w:r>
      <w:r>
        <w:rPr>
          <w:rStyle w:val="FootnoteReference"/>
        </w:rPr>
        <w:footnoteReference w:id="14338"/>
      </w:r>
      <w:r>
        <w:t xml:space="preserve"> and worshiped him, saying, Lord, if you will, you can make me clean.</w:t>
      </w:r>
    </w:p>
    <w:p>
      <w:r>
        <w:rPr>
          <w:b/>
        </w:rPr>
        <w:t xml:space="preserve">3 </w:t>
      </w:r>
      <w:r>
        <w:t xml:space="preserve">And Jesus put forth his hand, and touched him, saying, I will; be clean. And immediately</w:t>
      </w:r>
      <w:r>
        <w:rPr>
          <w:rStyle w:val="FootnoteReference"/>
        </w:rPr>
        <w:footnoteReference w:id="14339"/>
      </w:r>
      <w:r>
        <w:t xml:space="preserve"> his leprosy was cleansed.</w:t>
      </w:r>
    </w:p>
    <w:p>
      <w:r>
        <w:rPr>
          <w:b/>
        </w:rPr>
        <w:t xml:space="preserve">4 </w:t>
      </w:r>
      <w:r>
        <w:t xml:space="preserve">And Jesus says to him, See that you tell no one; but go your way, show</w:t>
      </w:r>
      <w:r>
        <w:rPr>
          <w:rStyle w:val="FootnoteReference"/>
        </w:rPr>
        <w:footnoteReference w:id="14340"/>
      </w:r>
      <w:r>
        <w:t xml:space="preserve"> yourself to the priest, and offer the gift that Moses</w:t>
      </w:r>
      <w:r>
        <w:rPr>
          <w:rStyle w:val="FootnoteReference"/>
        </w:rPr>
        <w:footnoteReference w:id="14341"/>
      </w:r>
      <w:r>
        <w:t xml:space="preserve"> commanded, for a testimony to them.</w:t>
      </w:r>
    </w:p>
    <w:p>
      <w:r>
        <w:rPr>
          <w:b/>
        </w:rPr>
        <w:t xml:space="preserve">5 </w:t>
      </w:r>
      <w:r>
        <w:t xml:space="preserve">And when Jesus was entered</w:t>
      </w:r>
      <w:r>
        <w:rPr>
          <w:rStyle w:val="FootnoteReference"/>
        </w:rPr>
        <w:footnoteReference w:id="14342"/>
      </w:r>
      <w:r>
        <w:t xml:space="preserve"> into Capernaum, there came to him a centurion, begging him,</w:t>
      </w:r>
    </w:p>
    <w:p>
      <w:r>
        <w:rPr>
          <w:b/>
        </w:rPr>
        <w:t xml:space="preserve">6 </w:t>
      </w:r>
      <w:r>
        <w:t xml:space="preserve">And saying, Lord, my servant lies at home sick with paralysis, grievously tormented.</w:t>
      </w:r>
    </w:p>
    <w:p>
      <w:r>
        <w:rPr>
          <w:b/>
        </w:rPr>
        <w:t xml:space="preserve">7 </w:t>
      </w:r>
      <w:r>
        <w:t xml:space="preserve">And Jesus says to him, I will come and heal him.</w:t>
      </w:r>
    </w:p>
    <w:p>
      <w:r>
        <w:rPr>
          <w:b/>
        </w:rPr>
        <w:t xml:space="preserve">8 </w:t>
      </w:r>
      <w:r>
        <w:t xml:space="preserve">The centurion answered and said, Lord, I am not worthy that you should come under my roof: but speak the word only, and my servant shall be healed.</w:t>
      </w:r>
    </w:p>
    <w:p>
      <w:r>
        <w:rPr>
          <w:b/>
        </w:rPr>
        <w:t xml:space="preserve">9 </w:t>
      </w:r>
      <w:r>
        <w:t xml:space="preserve">For I am a man under authority, having soldiers under me: and I say to this man, Go, and he goes; and to another, Come, and he comes; and to my slave, Do this, and he does it.</w:t>
      </w:r>
    </w:p>
    <w:p>
      <w:r>
        <w:rPr>
          <w:b/>
        </w:rPr>
        <w:t xml:space="preserve">10 </w:t>
      </w:r>
      <w:r>
        <w:t xml:space="preserve">When Jesus heard it, he marveled, and said to those who followed, Amen, I say to you, I have not found so great faith, no, not in Israel.</w:t>
      </w:r>
    </w:p>
    <w:p>
      <w:r>
        <w:rPr>
          <w:b/>
        </w:rPr>
        <w:t xml:space="preserve">11 </w:t>
      </w:r>
      <w:r>
        <w:t xml:space="preserve">And I say to you, That many shall come from the east and west, and shall sit</w:t>
      </w:r>
      <w:r>
        <w:rPr>
          <w:rStyle w:val="FootnoteReference"/>
        </w:rPr>
        <w:footnoteReference w:id="14343"/>
      </w:r>
      <w:r>
        <w:t xml:space="preserve"> down with Abraham, and Isaac, and Jacob, in the kingdom of heaven.</w:t>
      </w:r>
    </w:p>
    <w:p>
      <w:r>
        <w:rPr>
          <w:b/>
        </w:rPr>
        <w:t xml:space="preserve">12 </w:t>
      </w:r>
      <w:r>
        <w:t xml:space="preserve">But the children</w:t>
      </w:r>
      <w:r>
        <w:rPr>
          <w:rStyle w:val="FootnoteReference"/>
        </w:rPr>
        <w:footnoteReference w:id="14344"/>
      </w:r>
      <w:r>
        <w:t xml:space="preserve"> of the kingdom shall be cast out into outer darkness: there shall be weeping and gnashing of teeth.</w:t>
      </w:r>
    </w:p>
    <w:p>
      <w:r>
        <w:rPr>
          <w:b/>
        </w:rPr>
        <w:t xml:space="preserve">13 </w:t>
      </w:r>
      <w:r>
        <w:t xml:space="preserve">And Jesus said to the centurion, Go your way; and as</w:t>
      </w:r>
      <w:r>
        <w:rPr>
          <w:rStyle w:val="FootnoteReference"/>
        </w:rPr>
        <w:footnoteReference w:id="14345"/>
      </w:r>
      <w:r>
        <w:t xml:space="preserve"> you have believed, so be it done to you. And his servant was healed in the very same hour.</w:t>
      </w:r>
    </w:p>
    <w:p>
      <w:r>
        <w:rPr>
          <w:b/>
        </w:rPr>
        <w:t xml:space="preserve">14 </w:t>
      </w:r>
      <w:r>
        <w:t xml:space="preserve">And when Jesus had come into Peter's house, he saw his wife's</w:t>
      </w:r>
      <w:r>
        <w:rPr>
          <w:rStyle w:val="FootnoteReference"/>
        </w:rPr>
        <w:footnoteReference w:id="14346"/>
      </w:r>
      <w:r>
        <w:t xml:space="preserve"> mother lying sick with a fever.</w:t>
      </w:r>
    </w:p>
    <w:p>
      <w:r>
        <w:rPr>
          <w:b/>
        </w:rPr>
        <w:t xml:space="preserve">15 </w:t>
      </w:r>
      <w:r>
        <w:t xml:space="preserve">And he touched</w:t>
      </w:r>
      <w:r>
        <w:rPr>
          <w:rStyle w:val="FootnoteReference"/>
        </w:rPr>
        <w:footnoteReference w:id="14347"/>
      </w:r>
      <w:r>
        <w:t xml:space="preserve"> her hand, and the fever left her: and she arose, and ministered to them.</w:t>
      </w:r>
    </w:p>
    <w:p>
      <w:r>
        <w:rPr>
          <w:b/>
        </w:rPr>
        <w:t xml:space="preserve">16 </w:t>
      </w:r>
      <w:r>
        <w:t xml:space="preserve">When the even</w:t>
      </w:r>
      <w:r>
        <w:rPr>
          <w:rStyle w:val="FootnoteReference"/>
        </w:rPr>
        <w:footnoteReference w:id="14348"/>
      </w:r>
      <w:r>
        <w:t xml:space="preserve"> had come, they brought to him many that were demonized: and he cast out the spirits with his word, and healed all that were sick:</w:t>
      </w:r>
    </w:p>
    <w:p>
      <w:r>
        <w:rPr>
          <w:b/>
        </w:rPr>
        <w:t xml:space="preserve">17 </w:t>
      </w:r>
      <w:r>
        <w:t xml:space="preserve">That it might</w:t>
      </w:r>
      <w:r>
        <w:rPr>
          <w:rStyle w:val="FootnoteReference"/>
        </w:rPr>
        <w:footnoteReference w:id="14349"/>
      </w:r>
      <w:r>
        <w:t xml:space="preserve"> be fulfilled which was spoken by Isaiah the prophet, saying, Himself took our infirmities, and bore our sicknesses.</w:t>
      </w:r>
    </w:p>
    <w:p>
      <w:r>
        <w:rPr>
          <w:b/>
        </w:rPr>
        <w:t xml:space="preserve">18 </w:t>
      </w:r>
      <w:r>
        <w:t xml:space="preserve">Now when Jesus saw great crowds about him, he gave commandment to depart to the other side.</w:t>
      </w:r>
    </w:p>
    <w:p>
      <w:r>
        <w:rPr>
          <w:b/>
        </w:rPr>
        <w:t xml:space="preserve">19 </w:t>
      </w:r>
      <w:r>
        <w:t xml:space="preserve">And a certain</w:t>
      </w:r>
      <w:r>
        <w:rPr>
          <w:rStyle w:val="FootnoteReference"/>
        </w:rPr>
        <w:footnoteReference w:id="14350"/>
      </w:r>
      <w:r>
        <w:t xml:space="preserve"> scribe came, and said to him, Teacher, I will follow you anywhere you go.</w:t>
      </w:r>
    </w:p>
    <w:p>
      <w:r>
        <w:rPr>
          <w:b/>
        </w:rPr>
        <w:t xml:space="preserve">20 </w:t>
      </w:r>
      <w:r>
        <w:t xml:space="preserve">And Jesus says to him, The foxes have holes, and the birds of the air have nests; but the Son</w:t>
      </w:r>
      <w:r>
        <w:rPr>
          <w:rStyle w:val="FootnoteReference"/>
        </w:rPr>
        <w:footnoteReference w:id="14351"/>
      </w:r>
      <w:r>
        <w:t xml:space="preserve"> of man has nowhere to lay his head.</w:t>
      </w:r>
    </w:p>
    <w:p>
      <w:r>
        <w:rPr>
          <w:b/>
        </w:rPr>
        <w:t xml:space="preserve">21 </w:t>
      </w:r>
      <w:r>
        <w:t xml:space="preserve">And another</w:t>
      </w:r>
      <w:r>
        <w:rPr>
          <w:rStyle w:val="FootnoteReference"/>
        </w:rPr>
        <w:footnoteReference w:id="14352"/>
      </w:r>
      <w:r>
        <w:t xml:space="preserve"> of his disciples said to him, Lord, permit me first to go and bury my father.</w:t>
      </w:r>
    </w:p>
    <w:p>
      <w:r>
        <w:rPr>
          <w:b/>
        </w:rPr>
        <w:t xml:space="preserve">22 </w:t>
      </w:r>
      <w:r>
        <w:t xml:space="preserve">But Jesus said to him, Follow</w:t>
      </w:r>
      <w:r>
        <w:rPr>
          <w:rStyle w:val="FootnoteReference"/>
        </w:rPr>
        <w:footnoteReference w:id="14353"/>
      </w:r>
      <w:r>
        <w:t xml:space="preserve"> me; and let the dead bury their dead.</w:t>
      </w:r>
    </w:p>
    <w:p>
      <w:r>
        <w:rPr>
          <w:b/>
        </w:rPr>
        <w:t xml:space="preserve">23 </w:t>
      </w:r>
      <w:r>
        <w:t xml:space="preserve">And when he was entered into a boat, his disciples followed him.</w:t>
      </w:r>
    </w:p>
    <w:p>
      <w:r>
        <w:rPr>
          <w:b/>
        </w:rPr>
        <w:t xml:space="preserve">24 </w:t>
      </w:r>
      <w:r>
        <w:t xml:space="preserve">And, look, there arose a great tempest in the sea, so that the boat was covered with the waves: but he was asleep.</w:t>
      </w:r>
    </w:p>
    <w:p>
      <w:r>
        <w:rPr>
          <w:b/>
        </w:rPr>
        <w:t xml:space="preserve">25 </w:t>
      </w:r>
      <w:r>
        <w:t xml:space="preserve">And his disciples came to him, and awoke</w:t>
      </w:r>
      <w:r>
        <w:rPr>
          <w:rStyle w:val="FootnoteReference"/>
        </w:rPr>
        <w:footnoteReference w:id="14354"/>
      </w:r>
      <w:r>
        <w:t xml:space="preserve"> him, saying, Lord, save us: we perish.</w:t>
      </w:r>
    </w:p>
    <w:p>
      <w:r>
        <w:rPr>
          <w:b/>
        </w:rPr>
        <w:t xml:space="preserve">26 </w:t>
      </w:r>
      <w:r>
        <w:t xml:space="preserve">And he says to them, Why are you fearful, O you of little faith? Then he arose, and rebuked</w:t>
      </w:r>
      <w:r>
        <w:rPr>
          <w:rStyle w:val="FootnoteReference"/>
        </w:rPr>
        <w:footnoteReference w:id="14355"/>
      </w:r>
      <w:r>
        <w:t xml:space="preserve"> the winds and the sea; and there was a great calm.</w:t>
      </w:r>
    </w:p>
    <w:p>
      <w:r>
        <w:rPr>
          <w:b/>
        </w:rPr>
        <w:t xml:space="preserve">27 </w:t>
      </w:r>
      <w:r>
        <w:t xml:space="preserve">But the men marveled, saying, What manner of man is this, that even the winds and the sea obey him!</w:t>
      </w:r>
    </w:p>
    <w:p>
      <w:r>
        <w:rPr>
          <w:b/>
        </w:rPr>
        <w:t xml:space="preserve">28 </w:t>
      </w:r>
      <w:r>
        <w:t xml:space="preserve">And when he had come to the other side into the country of the Gergesenes</w:t>
      </w:r>
      <w:r>
        <w:rPr>
          <w:rStyle w:val="FootnoteReference"/>
        </w:rPr>
        <w:footnoteReference w:id="14356"/>
      </w:r>
      <w:r>
        <w:t xml:space="preserve">, there met him two demonized, coming out of the tombs, exceedingly fierce, so that no one might pass by that way.</w:t>
      </w:r>
      <w:r>
        <w:rPr>
          <w:rStyle w:val="FootnoteReference"/>
        </w:rPr>
        <w:footnoteReference w:id="14357"/>
      </w:r>
    </w:p>
    <w:p>
      <w:r>
        <w:rPr>
          <w:b/>
        </w:rPr>
        <w:t xml:space="preserve">29 </w:t>
      </w:r>
      <w:r>
        <w:t xml:space="preserve">And, look, they cried out, saying, What have we to do with you, Jesus, you Son of God? Have you come here to torment</w:t>
      </w:r>
      <w:r>
        <w:rPr>
          <w:rStyle w:val="FootnoteReference"/>
        </w:rPr>
        <w:footnoteReference w:id="14358"/>
      </w:r>
      <w:r>
        <w:t xml:space="preserve"> us before the time?</w:t>
      </w:r>
    </w:p>
    <w:p>
      <w:r>
        <w:rPr>
          <w:b/>
        </w:rPr>
        <w:t xml:space="preserve">30 </w:t>
      </w:r>
      <w:r>
        <w:t xml:space="preserve">And there was a good way off from them a herd of many swine feeding.</w:t>
      </w:r>
    </w:p>
    <w:p>
      <w:r>
        <w:rPr>
          <w:b/>
        </w:rPr>
        <w:t xml:space="preserve">31 </w:t>
      </w:r>
      <w:r>
        <w:t xml:space="preserve">So the demons begged him, saying, If you cast us out, permit us to go away into the herd of swine.</w:t>
      </w:r>
    </w:p>
    <w:p>
      <w:r>
        <w:rPr>
          <w:b/>
        </w:rPr>
        <w:t xml:space="preserve">32 </w:t>
      </w:r>
      <w:r>
        <w:t xml:space="preserve">And he said to them, Go. And when they had come out, they went into the herd of swine: and, look, the whole</w:t>
      </w:r>
      <w:r>
        <w:rPr>
          <w:rStyle w:val="FootnoteReference"/>
        </w:rPr>
        <w:footnoteReference w:id="14359"/>
      </w:r>
      <w:r>
        <w:t xml:space="preserve"> herd of swine ran violently down a steep place into the sea, and perished in the waters.</w:t>
      </w:r>
    </w:p>
    <w:p>
      <w:r>
        <w:rPr>
          <w:b/>
        </w:rPr>
        <w:t xml:space="preserve">33 </w:t>
      </w:r>
      <w:r>
        <w:t xml:space="preserve">And those who kept them fled, and went their ways into the city, and told everything, and what was befallen to the possessed of the demons.</w:t>
      </w:r>
    </w:p>
    <w:p>
      <w:r>
        <w:rPr>
          <w:b/>
        </w:rPr>
        <w:t xml:space="preserve">34 </w:t>
      </w:r>
      <w:r>
        <w:t xml:space="preserve">And, look, the whole city came out to meet Jesus: and when they saw him, they begged him that he would depart out of their borders.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he entered into a boat, and passed over, and came into his own city.</w:t>
      </w:r>
    </w:p>
    <w:p>
      <w:r>
        <w:rPr>
          <w:b/>
        </w:rPr>
        <w:t xml:space="preserve">2 </w:t>
      </w:r>
      <w:r>
        <w:t xml:space="preserve">And, look, they brought</w:t>
      </w:r>
      <w:r>
        <w:rPr>
          <w:rStyle w:val="FootnoteReference"/>
        </w:rPr>
        <w:footnoteReference w:id="14360"/>
      </w:r>
      <w:r>
        <w:t xml:space="preserve"> to him a paralyzed man, lying on a bed: and Jesus seeing their faith said to the paralyzed man, Son, take courage; your sins are forgiven you.</w:t>
      </w:r>
    </w:p>
    <w:p>
      <w:r>
        <w:rPr>
          <w:b/>
        </w:rPr>
        <w:t xml:space="preserve">3 </w:t>
      </w:r>
      <w:r>
        <w:t xml:space="preserve">And, look, certain</w:t>
      </w:r>
      <w:r>
        <w:rPr>
          <w:rStyle w:val="FootnoteReference"/>
        </w:rPr>
        <w:footnoteReference w:id="14361"/>
      </w:r>
      <w:r>
        <w:t xml:space="preserve"> of the scribes said within themselves, This man blasphemes.</w:t>
      </w:r>
    </w:p>
    <w:p>
      <w:r>
        <w:rPr>
          <w:b/>
        </w:rPr>
        <w:t xml:space="preserve">4 </w:t>
      </w:r>
      <w:r>
        <w:t xml:space="preserve">And Jesus knowing</w:t>
      </w:r>
      <w:r>
        <w:rPr>
          <w:rStyle w:val="FootnoteReference"/>
        </w:rPr>
        <w:footnoteReference w:id="14362"/>
      </w:r>
      <w:r>
        <w:t xml:space="preserve"> their thoughts said, Why do you think evil in your hearts?</w:t>
      </w:r>
    </w:p>
    <w:p>
      <w:r>
        <w:rPr>
          <w:b/>
        </w:rPr>
        <w:t xml:space="preserve">5 </w:t>
      </w:r>
      <w:r>
        <w:t xml:space="preserve">For whether</w:t>
      </w:r>
      <w:r>
        <w:rPr>
          <w:rStyle w:val="FootnoteReference"/>
        </w:rPr>
        <w:footnoteReference w:id="14363"/>
      </w:r>
      <w:r>
        <w:t xml:space="preserve"> is easier, to say, your sins are forgiven you; or to say, Arise, and walk?</w:t>
      </w:r>
    </w:p>
    <w:p>
      <w:r>
        <w:rPr>
          <w:b/>
        </w:rPr>
        <w:t xml:space="preserve">6 </w:t>
      </w:r>
      <w:r>
        <w:t xml:space="preserve">But that you may know that the Son of man has power on earth to forgive sins, (then says he to the sick with paralysis,) Arise</w:t>
      </w:r>
      <w:r>
        <w:rPr>
          <w:rStyle w:val="FootnoteReference"/>
        </w:rPr>
        <w:footnoteReference w:id="14364"/>
      </w:r>
      <w:r>
        <w:t xml:space="preserve">, take up your bed, and go to your house.</w:t>
      </w:r>
    </w:p>
    <w:p>
      <w:r>
        <w:rPr>
          <w:b/>
        </w:rPr>
        <w:t xml:space="preserve">7 </w:t>
      </w:r>
      <w:r>
        <w:t xml:space="preserve">And he arose, and departed to his house.</w:t>
      </w:r>
    </w:p>
    <w:p>
      <w:r>
        <w:rPr>
          <w:b/>
        </w:rPr>
        <w:t xml:space="preserve">8 </w:t>
      </w:r>
      <w:r>
        <w:t xml:space="preserve">But when the crowds saw it, they marveled, and glorified God, who had given such power to men.</w:t>
      </w:r>
    </w:p>
    <w:p>
      <w:r>
        <w:rPr>
          <w:b/>
        </w:rPr>
        <w:t xml:space="preserve">9 </w:t>
      </w:r>
      <w:r>
        <w:t xml:space="preserve">And as Jesus passed forth from there, he saw a man, named</w:t>
      </w:r>
      <w:r>
        <w:rPr>
          <w:rStyle w:val="FootnoteReference"/>
        </w:rPr>
        <w:footnoteReference w:id="14365"/>
      </w:r>
      <w:r>
        <w:t xml:space="preserve"> Matthew</w:t>
      </w:r>
      <w:r>
        <w:rPr>
          <w:rStyle w:val="FootnoteReference"/>
        </w:rPr>
        <w:footnoteReference w:id="14366"/>
      </w:r>
      <w:r>
        <w:t xml:space="preserve">, sitting at the tax booth: and he says to him, Follow me. And he arose, and followed him.</w:t>
      </w:r>
    </w:p>
    <w:p>
      <w:r>
        <w:rPr>
          <w:b/>
        </w:rPr>
        <w:t xml:space="preserve">10 </w:t>
      </w:r>
      <w:r>
        <w:t xml:space="preserve">And it happened, as Jesus reclined at table in the house, look, many tax collectors and sinners came and sat down with him and his disciples.</w:t>
      </w:r>
    </w:p>
    <w:p>
      <w:r>
        <w:rPr>
          <w:b/>
        </w:rPr>
        <w:t xml:space="preserve">11 </w:t>
      </w:r>
      <w:r>
        <w:t xml:space="preserve">And when the Pharisees saw it, they said</w:t>
      </w:r>
      <w:r>
        <w:rPr>
          <w:rStyle w:val="FootnoteReference"/>
        </w:rPr>
        <w:footnoteReference w:id="14367"/>
      </w:r>
      <w:r>
        <w:t xml:space="preserve"> to his disciples, Why eats your Teacher with tax collectors and sinners?</w:t>
      </w:r>
    </w:p>
    <w:p>
      <w:r>
        <w:rPr>
          <w:b/>
        </w:rPr>
        <w:t xml:space="preserve">12 </w:t>
      </w:r>
      <w:r>
        <w:t xml:space="preserve">But when Jesus heard that, he said to them, those who are whole need not a physician, but those who are sick.</w:t>
      </w:r>
    </w:p>
    <w:p>
      <w:r>
        <w:rPr>
          <w:b/>
        </w:rPr>
        <w:t xml:space="preserve">13 </w:t>
      </w:r>
      <w:r>
        <w:t xml:space="preserve">But go and learn what that means, I will have mercy, and not sacrifice: for I am not come to call</w:t>
      </w:r>
      <w:r>
        <w:rPr>
          <w:rStyle w:val="FootnoteReference"/>
        </w:rPr>
        <w:footnoteReference w:id="14368"/>
      </w:r>
      <w:r>
        <w:t xml:space="preserve"> the righteous, but sinners to repentance.</w:t>
      </w:r>
    </w:p>
    <w:p>
      <w:r>
        <w:rPr>
          <w:b/>
        </w:rPr>
        <w:t xml:space="preserve">14 </w:t>
      </w:r>
      <w:r>
        <w:t xml:space="preserve">Then came to him the disciples</w:t>
      </w:r>
      <w:r>
        <w:rPr>
          <w:rStyle w:val="FootnoteReference"/>
        </w:rPr>
        <w:footnoteReference w:id="14369"/>
      </w:r>
      <w:r>
        <w:t xml:space="preserve"> of John, saying, Why do we and the Pharisees fast often, but your disciples do not fast?</w:t>
      </w:r>
    </w:p>
    <w:p>
      <w:r>
        <w:rPr>
          <w:b/>
        </w:rPr>
        <w:t xml:space="preserve">15 </w:t>
      </w:r>
      <w:r>
        <w:t xml:space="preserve">And Jesus said to them, Can the children of the bride-chamber mourn, as long as the bridegroom is with them? but the days will come, when the bridegroom shall be taken from them, and then</w:t>
      </w:r>
      <w:r>
        <w:rPr>
          <w:rStyle w:val="FootnoteReference"/>
        </w:rPr>
        <w:footnoteReference w:id="14370"/>
      </w:r>
      <w:r>
        <w:t xml:space="preserve"> shall they fast.</w:t>
      </w:r>
    </w:p>
    <w:p>
      <w:r>
        <w:rPr>
          <w:b/>
        </w:rPr>
        <w:t xml:space="preserve">16 </w:t>
      </w:r>
      <w:r>
        <w:t xml:space="preserve">No one puts a piece of new cloth to an old garment, for that which is put in to fill it up takes from the clothing, and the rent is made worse.</w:t>
      </w:r>
    </w:p>
    <w:p>
      <w:r>
        <w:rPr>
          <w:b/>
        </w:rPr>
        <w:t xml:space="preserve">17 </w:t>
      </w:r>
      <w:r>
        <w:t xml:space="preserve">Neither do men put new wine into old wineskins: else the wineskins break, and the wine runs out, and the wineskins perish: but they put new wine into new wineskins, and both are preserved.</w:t>
      </w:r>
    </w:p>
    <w:p>
      <w:r>
        <w:rPr>
          <w:b/>
        </w:rPr>
        <w:t xml:space="preserve">18 </w:t>
      </w:r>
      <w:r>
        <w:t xml:space="preserve">While he spoke these things to them, look, there came a certain ruler</w:t>
      </w:r>
      <w:r>
        <w:rPr>
          <w:rStyle w:val="FootnoteReference"/>
        </w:rPr>
        <w:footnoteReference w:id="14371"/>
      </w:r>
      <w:r>
        <w:t xml:space="preserve">, and worshiped him, saying, My daughter is even now dead: but come and lay your hand upon her, and she shall live.</w:t>
      </w:r>
    </w:p>
    <w:p>
      <w:r>
        <w:rPr>
          <w:b/>
        </w:rPr>
        <w:t xml:space="preserve">19 </w:t>
      </w:r>
      <w:r>
        <w:t xml:space="preserve">And Jesus arose, and followed him, and so did his disciples.</w:t>
      </w:r>
    </w:p>
    <w:p>
      <w:r>
        <w:rPr>
          <w:b/>
        </w:rPr>
        <w:t xml:space="preserve">20 </w:t>
      </w:r>
      <w:r>
        <w:t xml:space="preserve">And, look, a woman, having an issue</w:t>
      </w:r>
      <w:r>
        <w:rPr>
          <w:rStyle w:val="FootnoteReference"/>
        </w:rPr>
        <w:footnoteReference w:id="14372"/>
      </w:r>
      <w:r>
        <w:t xml:space="preserve"> of blood twelve years, came behind him, and touched the hem of his clothing:</w:t>
      </w:r>
    </w:p>
    <w:p>
      <w:r>
        <w:rPr>
          <w:b/>
        </w:rPr>
        <w:t xml:space="preserve">21 </w:t>
      </w:r>
      <w:r>
        <w:t xml:space="preserve">For she said within herself, If I may but touch his clothing, I shall be whole.</w:t>
      </w:r>
    </w:p>
    <w:p>
      <w:r>
        <w:rPr>
          <w:b/>
        </w:rPr>
        <w:t xml:space="preserve">22 </w:t>
      </w:r>
      <w:r>
        <w:t xml:space="preserve">But Jesus turned about, and when he saw her, he said, Daughter</w:t>
      </w:r>
      <w:r>
        <w:rPr>
          <w:rStyle w:val="FootnoteReference"/>
        </w:rPr>
        <w:footnoteReference w:id="14373"/>
      </w:r>
      <w:r>
        <w:t xml:space="preserve">, be of good comfort; your faith has made you whole. And the woman was made whole from that hour.</w:t>
      </w:r>
    </w:p>
    <w:p>
      <w:r>
        <w:rPr>
          <w:b/>
        </w:rPr>
        <w:t xml:space="preserve">23 </w:t>
      </w:r>
      <w:r>
        <w:t xml:space="preserve">And when Jesus came into the ruler's house, and saw the flute players and the people making a noise,</w:t>
      </w:r>
    </w:p>
    <w:p>
      <w:r>
        <w:rPr>
          <w:b/>
        </w:rPr>
        <w:t xml:space="preserve">24 </w:t>
      </w:r>
      <w:r>
        <w:t xml:space="preserve">He said to them, Give</w:t>
      </w:r>
      <w:r>
        <w:rPr>
          <w:rStyle w:val="FootnoteReference"/>
        </w:rPr>
        <w:footnoteReference w:id="14374"/>
      </w:r>
      <w:r>
        <w:t xml:space="preserve"> place: for the girl is not dead, but sleeps. And they laughed him to scorn.</w:t>
      </w:r>
    </w:p>
    <w:p>
      <w:r>
        <w:rPr>
          <w:b/>
        </w:rPr>
        <w:t xml:space="preserve">25 </w:t>
      </w:r>
      <w:r>
        <w:t xml:space="preserve">But when the people were put forth, he went in, and took</w:t>
      </w:r>
      <w:r>
        <w:rPr>
          <w:rStyle w:val="FootnoteReference"/>
        </w:rPr>
        <w:footnoteReference w:id="14375"/>
      </w:r>
      <w:r>
        <w:t xml:space="preserve"> her by the hand, and the girl arose.</w:t>
      </w:r>
    </w:p>
    <w:p>
      <w:r>
        <w:rPr>
          <w:b/>
        </w:rPr>
        <w:t xml:space="preserve">26 </w:t>
      </w:r>
      <w:r>
        <w:t xml:space="preserve">And the report of this went out into all that land.</w:t>
      </w:r>
    </w:p>
    <w:p>
      <w:r>
        <w:rPr>
          <w:b/>
        </w:rPr>
        <w:t xml:space="preserve">27 </w:t>
      </w:r>
      <w:r>
        <w:t xml:space="preserve">And when Jesus departed from there, two blind men followed him, crying, and saying, You son of David, have mercy on us.</w:t>
      </w:r>
    </w:p>
    <w:p>
      <w:r>
        <w:rPr>
          <w:b/>
        </w:rPr>
        <w:t xml:space="preserve">28 </w:t>
      </w:r>
      <w:r>
        <w:t xml:space="preserve">And when he had come into the house, the blind men came to him: and Jesus says to them, Believe</w:t>
      </w:r>
      <w:r>
        <w:rPr>
          <w:rStyle w:val="FootnoteReference"/>
        </w:rPr>
        <w:footnoteReference w:id="14376"/>
      </w:r>
      <w:r>
        <w:t xml:space="preserve"> you that I am able to do this? They said to him, Yes, Lord.</w:t>
      </w:r>
    </w:p>
    <w:p>
      <w:r>
        <w:rPr>
          <w:b/>
        </w:rPr>
        <w:t xml:space="preserve">29 </w:t>
      </w:r>
      <w:r>
        <w:t xml:space="preserve">Then touched</w:t>
      </w:r>
      <w:r>
        <w:rPr>
          <w:rStyle w:val="FootnoteReference"/>
        </w:rPr>
        <w:footnoteReference w:id="14377"/>
      </w:r>
      <w:r>
        <w:t xml:space="preserve"> he their eyes, saying, According to your faith be it to you.</w:t>
      </w:r>
    </w:p>
    <w:p>
      <w:r>
        <w:rPr>
          <w:b/>
        </w:rPr>
        <w:t xml:space="preserve">30 </w:t>
      </w:r>
      <w:r>
        <w:t xml:space="preserve">And their</w:t>
      </w:r>
      <w:r>
        <w:rPr>
          <w:rStyle w:val="FootnoteReference"/>
        </w:rPr>
        <w:footnoteReference w:id="14378"/>
      </w:r>
      <w:r>
        <w:t xml:space="preserve"> eyes were opened; and Jesus strictly charged them, saying, See that no one knows it.</w:t>
      </w:r>
    </w:p>
    <w:p>
      <w:r>
        <w:rPr>
          <w:b/>
        </w:rPr>
        <w:t xml:space="preserve">31 </w:t>
      </w:r>
      <w:r>
        <w:t xml:space="preserve">But they, when they were departed, spread</w:t>
      </w:r>
      <w:r>
        <w:rPr>
          <w:rStyle w:val="FootnoteReference"/>
        </w:rPr>
        <w:footnoteReference w:id="14379"/>
      </w:r>
      <w:r>
        <w:t xml:space="preserve"> widely his fame in all that country.</w:t>
      </w:r>
    </w:p>
    <w:p>
      <w:r>
        <w:rPr>
          <w:b/>
        </w:rPr>
        <w:t xml:space="preserve">32 </w:t>
      </w:r>
      <w:r>
        <w:t xml:space="preserve">As they went out, look, they brought to him a mute man possessed with a demon.</w:t>
      </w:r>
    </w:p>
    <w:p>
      <w:r>
        <w:rPr>
          <w:b/>
        </w:rPr>
        <w:t xml:space="preserve">33 </w:t>
      </w:r>
      <w:r>
        <w:t xml:space="preserve">And when the demon was cast out, the mute spoke: and the crowds marveled, saying, It was never so seen in Israel.</w:t>
      </w:r>
    </w:p>
    <w:p>
      <w:r>
        <w:rPr>
          <w:b/>
        </w:rPr>
        <w:t xml:space="preserve">34 </w:t>
      </w:r>
      <w:r>
        <w:t xml:space="preserve">But the Pharisees said, He casts out demons through the prince of the demons.</w:t>
      </w:r>
    </w:p>
    <w:p>
      <w:r>
        <w:rPr>
          <w:b/>
        </w:rPr>
        <w:t xml:space="preserve">35 </w:t>
      </w:r>
      <w:r>
        <w:t xml:space="preserve">And Jesus went about all the cities and villages, teaching in their synagogues, and preaching the good news of the kingdom, and healing every sickness and every disease among the people.</w:t>
      </w:r>
    </w:p>
    <w:p>
      <w:r>
        <w:rPr>
          <w:b/>
        </w:rPr>
        <w:t xml:space="preserve">36 </w:t>
      </w:r>
      <w:r>
        <w:t xml:space="preserve">But when he saw the crowds, he was moved with compassion on them, because they fainted, and were scattered, as sheep having no shepherd.</w:t>
      </w:r>
    </w:p>
    <w:p>
      <w:r>
        <w:rPr>
          <w:b/>
        </w:rPr>
        <w:t xml:space="preserve">37 </w:t>
      </w:r>
      <w:r>
        <w:t xml:space="preserve">Then he says to his disciples, The harvest</w:t>
      </w:r>
      <w:r>
        <w:rPr>
          <w:rStyle w:val="FootnoteReference"/>
        </w:rPr>
        <w:footnoteReference w:id="14380"/>
      </w:r>
      <w:r>
        <w:t xml:space="preserve"> truly is abundant, but the laborers are few;</w:t>
      </w:r>
    </w:p>
    <w:p>
      <w:r>
        <w:rPr>
          <w:b/>
        </w:rPr>
        <w:t xml:space="preserve">38 </w:t>
      </w:r>
      <w:r>
        <w:t xml:space="preserve">Pray</w:t>
      </w:r>
      <w:r>
        <w:rPr>
          <w:rStyle w:val="FootnoteReference"/>
        </w:rPr>
        <w:footnoteReference w:id="14381"/>
      </w:r>
      <w:r>
        <w:t xml:space="preserve"> therefore to the Lord of the harvest, that he will send forth laborers into his harvest.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when he had called</w:t>
      </w:r>
      <w:r>
        <w:rPr>
          <w:rStyle w:val="FootnoteReference"/>
        </w:rPr>
        <w:footnoteReference w:id="14382"/>
      </w:r>
      <w:r>
        <w:t xml:space="preserve"> to him his twelve disciples, he gave them power against unclean spirits, to cast them out, and to heal all manner of sickness and all manner of disease.</w:t>
      </w:r>
    </w:p>
    <w:p>
      <w:r>
        <w:rPr>
          <w:b/>
        </w:rPr>
        <w:t xml:space="preserve">2 </w:t>
      </w:r>
      <w:r>
        <w:t xml:space="preserve">Now the names of the twelve apostles</w:t>
      </w:r>
      <w:r>
        <w:rPr>
          <w:rStyle w:val="FootnoteReference"/>
        </w:rPr>
        <w:footnoteReference w:id="14383"/>
      </w:r>
      <w:r>
        <w:t xml:space="preserve"> are these; The first, Simon, who is called Peter, and Andrew his brother; James the son of Zebedee, and John his brother;</w:t>
      </w:r>
    </w:p>
    <w:p>
      <w:r>
        <w:rPr>
          <w:b/>
        </w:rPr>
        <w:t xml:space="preserve">3 </w:t>
      </w:r>
      <w:r>
        <w:t xml:space="preserve">Philip</w:t>
      </w:r>
      <w:r>
        <w:rPr>
          <w:rStyle w:val="FootnoteReference"/>
        </w:rPr>
        <w:footnoteReference w:id="14384"/>
      </w:r>
      <w:r>
        <w:t xml:space="preserve">, and Bartholomew</w:t>
      </w:r>
      <w:r>
        <w:rPr>
          <w:rStyle w:val="FootnoteReference"/>
        </w:rPr>
        <w:footnoteReference w:id="14385"/>
      </w:r>
      <w:r>
        <w:t xml:space="preserve">; Thomas</w:t>
      </w:r>
      <w:r>
        <w:rPr>
          <w:rStyle w:val="FootnoteReference"/>
        </w:rPr>
        <w:footnoteReference w:id="14386"/>
      </w:r>
      <w:r>
        <w:t xml:space="preserve">, and Matthew the tax collector; James the son of Alphaeus</w:t>
      </w:r>
      <w:r>
        <w:rPr>
          <w:rStyle w:val="FootnoteReference"/>
        </w:rPr>
        <w:footnoteReference w:id="14387"/>
      </w:r>
      <w:r>
        <w:t xml:space="preserve">, and Lebbaeus, whose surname was Thaddaeus</w:t>
      </w:r>
      <w:r>
        <w:rPr>
          <w:rStyle w:val="FootnoteReference"/>
        </w:rPr>
        <w:footnoteReference w:id="14388"/>
      </w:r>
      <w:r>
        <w:t xml:space="preserve">;</w:t>
      </w:r>
      <w:r>
        <w:rPr>
          <w:rStyle w:val="FootnoteReference"/>
        </w:rPr>
        <w:footnoteReference w:id="14389"/>
      </w:r>
    </w:p>
    <w:p>
      <w:r>
        <w:rPr>
          <w:b/>
        </w:rPr>
        <w:t xml:space="preserve">4 </w:t>
      </w:r>
      <w:r>
        <w:t xml:space="preserve">Simon</w:t>
      </w:r>
      <w:r>
        <w:rPr>
          <w:rStyle w:val="FootnoteReference"/>
        </w:rPr>
        <w:footnoteReference w:id="14390"/>
      </w:r>
      <w:r>
        <w:t xml:space="preserve"> the Canaanite</w:t>
      </w:r>
      <w:r>
        <w:rPr>
          <w:rStyle w:val="FootnoteReference"/>
        </w:rPr>
        <w:footnoteReference w:id="14391"/>
      </w:r>
      <w:r>
        <w:t xml:space="preserve">, and Judas</w:t>
      </w:r>
      <w:r>
        <w:rPr>
          <w:rStyle w:val="FootnoteReference"/>
        </w:rPr>
        <w:footnoteReference w:id="14392"/>
      </w:r>
      <w:r>
        <w:t xml:space="preserve"> Iscariot</w:t>
      </w:r>
      <w:r>
        <w:rPr>
          <w:rStyle w:val="FootnoteReference"/>
        </w:rPr>
        <w:footnoteReference w:id="14393"/>
      </w:r>
      <w:r>
        <w:t xml:space="preserve">, who also betrayed him.</w:t>
      </w:r>
    </w:p>
    <w:p>
      <w:r>
        <w:rPr>
          <w:b/>
        </w:rPr>
        <w:t xml:space="preserve">5 </w:t>
      </w:r>
      <w:r>
        <w:t xml:space="preserve">These twelve Jesus sent</w:t>
      </w:r>
      <w:r>
        <w:rPr>
          <w:rStyle w:val="FootnoteReference"/>
        </w:rPr>
        <w:footnoteReference w:id="14394"/>
      </w:r>
      <w:r>
        <w:t xml:space="preserve"> forth, and commanded them, saying, Do not go into the way of the nations, and do not enter into any city of the Samaritans</w:t>
      </w:r>
      <w:r>
        <w:rPr>
          <w:rStyle w:val="FootnoteReference"/>
        </w:rPr>
        <w:footnoteReference w:id="14395"/>
      </w:r>
      <w:r>
        <w:t xml:space="preserve">:</w:t>
      </w:r>
    </w:p>
    <w:p>
      <w:r>
        <w:rPr>
          <w:b/>
        </w:rPr>
        <w:t xml:space="preserve">6 </w:t>
      </w:r>
      <w:r>
        <w:t xml:space="preserve">But go rather to the lost</w:t>
      </w:r>
      <w:r>
        <w:rPr>
          <w:rStyle w:val="FootnoteReference"/>
        </w:rPr>
        <w:footnoteReference w:id="14396"/>
      </w:r>
      <w:r>
        <w:t xml:space="preserve"> sheep of the house of Israel.</w:t>
      </w:r>
    </w:p>
    <w:p>
      <w:r>
        <w:rPr>
          <w:b/>
        </w:rPr>
        <w:t xml:space="preserve">7 </w:t>
      </w:r>
      <w:r>
        <w:t xml:space="preserve">And as you go, preach</w:t>
      </w:r>
      <w:r>
        <w:rPr>
          <w:rStyle w:val="FootnoteReference"/>
        </w:rPr>
        <w:footnoteReference w:id="14397"/>
      </w:r>
      <w:r>
        <w:t xml:space="preserve">, saying, The kingdom of heaven is at hand.</w:t>
      </w:r>
    </w:p>
    <w:p>
      <w:r>
        <w:rPr>
          <w:b/>
        </w:rPr>
        <w:t xml:space="preserve">8 </w:t>
      </w:r>
      <w:r>
        <w:t xml:space="preserve">Heal</w:t>
      </w:r>
      <w:r>
        <w:rPr>
          <w:rStyle w:val="FootnoteReference"/>
        </w:rPr>
        <w:footnoteReference w:id="14398"/>
      </w:r>
      <w:r>
        <w:t xml:space="preserve"> the sick, cleanse the lepers, raise the dead, cast out demons: freely you have received, freely give.</w:t>
      </w:r>
    </w:p>
    <w:p>
      <w:r>
        <w:rPr>
          <w:b/>
        </w:rPr>
        <w:t xml:space="preserve">9 </w:t>
      </w:r>
      <w:r>
        <w:t xml:space="preserve">Provide neither gold, nor silver, nor brass in your purses,</w:t>
      </w:r>
    </w:p>
    <w:p>
      <w:r>
        <w:rPr>
          <w:b/>
        </w:rPr>
        <w:t xml:space="preserve">10 </w:t>
      </w:r>
      <w:r>
        <w:t xml:space="preserve">Nor pouch for your journey, neither two tunics, neither shoes, nor yet staffs: for the workman is worthy of his food.</w:t>
      </w:r>
    </w:p>
    <w:p>
      <w:r>
        <w:rPr>
          <w:b/>
        </w:rPr>
        <w:t xml:space="preserve">11 </w:t>
      </w:r>
      <w:r>
        <w:t xml:space="preserve">And into whatever city or town you shall enter, inquire</w:t>
      </w:r>
      <w:r>
        <w:rPr>
          <w:rStyle w:val="FootnoteReference"/>
        </w:rPr>
        <w:footnoteReference w:id="14399"/>
      </w:r>
      <w:r>
        <w:t xml:space="preserve"> who in it is worthy; and there abide till you go from there.</w:t>
      </w:r>
    </w:p>
    <w:p>
      <w:r>
        <w:rPr>
          <w:b/>
        </w:rPr>
        <w:t xml:space="preserve">12 </w:t>
      </w:r>
      <w:r>
        <w:t xml:space="preserve">And when you come into a house, salute it</w:t>
      </w:r>
      <w:r>
        <w:rPr>
          <w:rStyle w:val="FootnoteReference"/>
        </w:rPr>
        <w:footnoteReference w:id="14400"/>
      </w:r>
      <w:r>
        <w:t xml:space="preserve">.</w:t>
      </w:r>
    </w:p>
    <w:p>
      <w:r>
        <w:rPr>
          <w:b/>
        </w:rPr>
        <w:t xml:space="preserve">13 </w:t>
      </w:r>
      <w:r>
        <w:t xml:space="preserve">And if the house is worthy, let your peace come upon it: but if it is not worthy, let your peace return to you.</w:t>
      </w:r>
    </w:p>
    <w:p>
      <w:r>
        <w:rPr>
          <w:b/>
        </w:rPr>
        <w:t xml:space="preserve">14 </w:t>
      </w:r>
      <w:r>
        <w:t xml:space="preserve">And whoever shall not receive you, nor hear your words, when you depart out of that house or city, shake</w:t>
      </w:r>
      <w:r>
        <w:rPr>
          <w:rStyle w:val="FootnoteReference"/>
        </w:rPr>
        <w:footnoteReference w:id="14401"/>
      </w:r>
      <w:r>
        <w:t xml:space="preserve"> off the dust of your feet.</w:t>
      </w:r>
    </w:p>
    <w:p>
      <w:r>
        <w:rPr>
          <w:b/>
        </w:rPr>
        <w:t xml:space="preserve">15 </w:t>
      </w:r>
      <w:r>
        <w:t xml:space="preserve">Amen, I say to you, It shall be more tolerable for the land of Sodom</w:t>
      </w:r>
      <w:r>
        <w:rPr>
          <w:rStyle w:val="FootnoteReference"/>
        </w:rPr>
        <w:footnoteReference w:id="14402"/>
      </w:r>
      <w:r>
        <w:t xml:space="preserve"> and Gomorrah</w:t>
      </w:r>
      <w:r>
        <w:rPr>
          <w:rStyle w:val="FootnoteReference"/>
        </w:rPr>
        <w:footnoteReference w:id="14403"/>
      </w:r>
      <w:r>
        <w:t xml:space="preserve"> in the day of judgment, than for that city.</w:t>
      </w:r>
    </w:p>
    <w:p>
      <w:r>
        <w:rPr>
          <w:b/>
        </w:rPr>
        <w:t xml:space="preserve">16 </w:t>
      </w:r>
      <w:r>
        <w:t xml:space="preserve">Look, I send you forth as sheep</w:t>
      </w:r>
      <w:r>
        <w:rPr>
          <w:rStyle w:val="FootnoteReference"/>
        </w:rPr>
        <w:footnoteReference w:id="14404"/>
      </w:r>
      <w:r>
        <w:t xml:space="preserve"> in the midst of wolves: Be therefore wise as serpents, and harmless as doves.</w:t>
      </w:r>
    </w:p>
    <w:p>
      <w:r>
        <w:rPr>
          <w:b/>
        </w:rPr>
        <w:t xml:space="preserve">17 </w:t>
      </w:r>
      <w:r>
        <w:t xml:space="preserve">But beware</w:t>
      </w:r>
      <w:r>
        <w:rPr>
          <w:rStyle w:val="FootnoteReference"/>
        </w:rPr>
        <w:footnoteReference w:id="14405"/>
      </w:r>
      <w:r>
        <w:t xml:space="preserve"> of men: for they will deliver you up to the councils, and they will scourge you in their synagogues;</w:t>
      </w:r>
    </w:p>
    <w:p>
      <w:r>
        <w:rPr>
          <w:b/>
        </w:rPr>
        <w:t xml:space="preserve">18 </w:t>
      </w:r>
      <w:r>
        <w:t xml:space="preserve">And you shall be brought before governors and kings for my sake, for a</w:t>
      </w:r>
      <w:r>
        <w:rPr>
          <w:rStyle w:val="FootnoteReference"/>
        </w:rPr>
        <w:footnoteReference w:id="14406"/>
      </w:r>
      <w:r>
        <w:t xml:space="preserve"> testimony against them and the nations.</w:t>
      </w:r>
    </w:p>
    <w:p>
      <w:r>
        <w:rPr>
          <w:b/>
        </w:rPr>
        <w:t xml:space="preserve">19 </w:t>
      </w:r>
      <w:r>
        <w:t xml:space="preserve">But when they deliver you up, do not be anxious how or what you shall speak: for it shall</w:t>
      </w:r>
      <w:r>
        <w:rPr>
          <w:rStyle w:val="FootnoteReference"/>
        </w:rPr>
        <w:footnoteReference w:id="14407"/>
      </w:r>
      <w:r>
        <w:t xml:space="preserve"> be given you in that same hour what you shall speak.</w:t>
      </w:r>
    </w:p>
    <w:p>
      <w:r>
        <w:rPr>
          <w:b/>
        </w:rPr>
        <w:t xml:space="preserve">20 </w:t>
      </w:r>
      <w:r>
        <w:t xml:space="preserve">For it is not you that speak, but the Spirit of your Father who speaks in you.</w:t>
      </w:r>
    </w:p>
    <w:p>
      <w:r>
        <w:rPr>
          <w:b/>
        </w:rPr>
        <w:t xml:space="preserve">21 </w:t>
      </w:r>
      <w:r>
        <w:t xml:space="preserve">And the brother shall</w:t>
      </w:r>
      <w:r>
        <w:rPr>
          <w:rStyle w:val="FootnoteReference"/>
        </w:rPr>
        <w:footnoteReference w:id="14408"/>
      </w:r>
      <w:r>
        <w:t xml:space="preserve"> deliver up the brother to death, and the father the child: and the children shall rise up against their parents, and cause them to be put to death.</w:t>
      </w:r>
    </w:p>
    <w:p>
      <w:r>
        <w:rPr>
          <w:b/>
        </w:rPr>
        <w:t xml:space="preserve">22 </w:t>
      </w:r>
      <w:r>
        <w:t xml:space="preserve">And you shall be hated</w:t>
      </w:r>
      <w:r>
        <w:rPr>
          <w:rStyle w:val="FootnoteReference"/>
        </w:rPr>
        <w:footnoteReference w:id="14409"/>
      </w:r>
      <w:r>
        <w:t xml:space="preserve"> of all men for my name's sake: but the one who endures to the end shall be saved.</w:t>
      </w:r>
    </w:p>
    <w:p>
      <w:r>
        <w:rPr>
          <w:b/>
        </w:rPr>
        <w:t xml:space="preserve">23 </w:t>
      </w:r>
      <w:r>
        <w:t xml:space="preserve">But when they persecute you in this city, flee you into another: for truly I say to you, You shall not have gone over the cities of Israel, till</w:t>
      </w:r>
      <w:r>
        <w:rPr>
          <w:rStyle w:val="FootnoteReference"/>
        </w:rPr>
        <w:footnoteReference w:id="14410"/>
      </w:r>
      <w:r>
        <w:t xml:space="preserve"> the Son of man be come.</w:t>
      </w:r>
    </w:p>
    <w:p>
      <w:r>
        <w:rPr>
          <w:b/>
        </w:rPr>
        <w:t xml:space="preserve">24 </w:t>
      </w:r>
      <w:r>
        <w:t xml:space="preserve">The disciple is not above his teacher, nor the slave above his Lord.</w:t>
      </w:r>
    </w:p>
    <w:p>
      <w:r>
        <w:rPr>
          <w:b/>
        </w:rPr>
        <w:t xml:space="preserve">25 </w:t>
      </w:r>
      <w:r>
        <w:t xml:space="preserve">It is enough for the disciple that he be as his teacher, and the slave as his Lord. If they have called the teacher of the house Beelzebub</w:t>
      </w:r>
      <w:r>
        <w:rPr>
          <w:rStyle w:val="FootnoteReference"/>
        </w:rPr>
        <w:footnoteReference w:id="14411"/>
      </w:r>
      <w:r>
        <w:t xml:space="preserve">, how much more shall they call them of his household?</w:t>
      </w:r>
    </w:p>
    <w:p>
      <w:r>
        <w:rPr>
          <w:b/>
        </w:rPr>
        <w:t xml:space="preserve">26 </w:t>
      </w:r>
      <w:r>
        <w:t xml:space="preserve">Do not fear</w:t>
      </w:r>
      <w:r>
        <w:rPr>
          <w:rStyle w:val="FootnoteReference"/>
        </w:rPr>
        <w:footnoteReference w:id="14412"/>
      </w:r>
      <w:r>
        <w:t xml:space="preserve"> them therefore: for there is nothing covered, that shall not be revealed; and hid, that shall not be known.</w:t>
      </w:r>
    </w:p>
    <w:p>
      <w:r>
        <w:rPr>
          <w:b/>
        </w:rPr>
        <w:t xml:space="preserve">27 </w:t>
      </w:r>
      <w:r>
        <w:t xml:space="preserve">What I tell</w:t>
      </w:r>
      <w:r>
        <w:rPr>
          <w:rStyle w:val="FootnoteReference"/>
        </w:rPr>
        <w:footnoteReference w:id="14413"/>
      </w:r>
      <w:r>
        <w:t xml:space="preserve"> you in darkness, speak in light: and what you hear in the ear, preach upon the housetops.</w:t>
      </w:r>
    </w:p>
    <w:p>
      <w:r>
        <w:rPr>
          <w:b/>
        </w:rPr>
        <w:t xml:space="preserve">28 </w:t>
      </w:r>
      <w:r>
        <w:t xml:space="preserve">And do not fear those who kill the body, but are not able</w:t>
      </w:r>
      <w:r>
        <w:rPr>
          <w:rStyle w:val="FootnoteReference"/>
        </w:rPr>
        <w:footnoteReference w:id="14414"/>
      </w:r>
      <w:r>
        <w:t xml:space="preserve"> to kill the soul: but rather fear him who is able to destroy both soul and body in Gehenna.</w:t>
      </w:r>
    </w:p>
    <w:p>
      <w:r>
        <w:rPr>
          <w:b/>
        </w:rPr>
        <w:t xml:space="preserve">29 </w:t>
      </w:r>
      <w:r>
        <w:t xml:space="preserve">Are not two sparrows sold for an assarion? and one</w:t>
      </w:r>
      <w:r>
        <w:rPr>
          <w:rStyle w:val="FootnoteReference"/>
        </w:rPr>
        <w:footnoteReference w:id="14415"/>
      </w:r>
      <w:r>
        <w:t xml:space="preserve"> of them shall not fall on the ground without your Father.</w:t>
      </w:r>
    </w:p>
    <w:p>
      <w:r>
        <w:rPr>
          <w:b/>
        </w:rPr>
        <w:t xml:space="preserve">30 </w:t>
      </w:r>
      <w:r>
        <w:t xml:space="preserve">But the very hairs of your head are all numbered.</w:t>
      </w:r>
    </w:p>
    <w:p>
      <w:r>
        <w:rPr>
          <w:b/>
        </w:rPr>
        <w:t xml:space="preserve">31 </w:t>
      </w:r>
      <w:r>
        <w:t xml:space="preserve">Do not fear therefore, you are of more value than many sparrows.</w:t>
      </w:r>
    </w:p>
    <w:p>
      <w:r>
        <w:rPr>
          <w:b/>
        </w:rPr>
        <w:t xml:space="preserve">32 </w:t>
      </w:r>
      <w:r>
        <w:t xml:space="preserve">Whoever therefore shall confess me</w:t>
      </w:r>
      <w:r>
        <w:rPr>
          <w:rStyle w:val="FootnoteReference"/>
        </w:rPr>
        <w:footnoteReference w:id="14416"/>
      </w:r>
      <w:r>
        <w:t xml:space="preserve"> before men, him will I confess also before my Father who is in heaven.</w:t>
      </w:r>
    </w:p>
    <w:p>
      <w:r>
        <w:rPr>
          <w:b/>
        </w:rPr>
        <w:t xml:space="preserve">33 </w:t>
      </w:r>
      <w:r>
        <w:t xml:space="preserve">But whoever shall deny me</w:t>
      </w:r>
      <w:r>
        <w:rPr>
          <w:rStyle w:val="FootnoteReference"/>
        </w:rPr>
        <w:footnoteReference w:id="14417"/>
      </w:r>
      <w:r>
        <w:t xml:space="preserve"> before men, him will I also deny before my Father who is in heaven.</w:t>
      </w:r>
    </w:p>
    <w:p>
      <w:r>
        <w:rPr>
          <w:b/>
        </w:rPr>
        <w:t xml:space="preserve">34 </w:t>
      </w:r>
      <w:r>
        <w:t xml:space="preserve">Do not think that I am come to send peace on earth: I came not to send peace, but a sword.</w:t>
      </w:r>
    </w:p>
    <w:p>
      <w:r>
        <w:rPr>
          <w:b/>
        </w:rPr>
        <w:t xml:space="preserve">35 </w:t>
      </w:r>
      <w:r>
        <w:t xml:space="preserve">For I am come to set a man against his father, and the daughter against her mother, and the daughter-in-law against her mother-in-law.</w:t>
      </w:r>
    </w:p>
    <w:p>
      <w:r>
        <w:rPr>
          <w:b/>
        </w:rPr>
        <w:t xml:space="preserve">36 </w:t>
      </w:r>
      <w:r>
        <w:t xml:space="preserve">And a man's enemies shall be they of his own household.</w:t>
      </w:r>
    </w:p>
    <w:p>
      <w:r>
        <w:rPr>
          <w:b/>
        </w:rPr>
        <w:t xml:space="preserve">37 </w:t>
      </w:r>
      <w:r>
        <w:t xml:space="preserve">the one who loves father or mother more than me is not worthy of me: and the one who loves son or daughter more than me is not worthy of me.</w:t>
      </w:r>
    </w:p>
    <w:p>
      <w:r>
        <w:rPr>
          <w:b/>
        </w:rPr>
        <w:t xml:space="preserve">38 </w:t>
      </w:r>
      <w:r>
        <w:t xml:space="preserve">And the one who does not take his cross, and follows after me, is not worthy of me.</w:t>
      </w:r>
    </w:p>
    <w:p>
      <w:r>
        <w:rPr>
          <w:b/>
        </w:rPr>
        <w:t xml:space="preserve">39 </w:t>
      </w:r>
      <w:r>
        <w:t xml:space="preserve">the one who finds his life shall lose it: and the one who loses his life for my sake shall find it.</w:t>
      </w:r>
    </w:p>
    <w:p>
      <w:r>
        <w:rPr>
          <w:b/>
        </w:rPr>
        <w:t xml:space="preserve">40 </w:t>
      </w:r>
      <w:r>
        <w:t xml:space="preserve">the one who receives you receives me, and the one who receives me receives him who sent me.</w:t>
      </w:r>
    </w:p>
    <w:p>
      <w:r>
        <w:rPr>
          <w:b/>
        </w:rPr>
        <w:t xml:space="preserve">41 </w:t>
      </w:r>
      <w:r>
        <w:t xml:space="preserve">the one who receives a prophet in the name of a prophet shall receive a prophet's reward; and the one who receives a righteous man in the name of a righteous man shall receive a righteous man's</w:t>
      </w:r>
      <w:r>
        <w:rPr>
          <w:rStyle w:val="FootnoteReference"/>
        </w:rPr>
        <w:footnoteReference w:id="14418"/>
      </w:r>
      <w:r>
        <w:t xml:space="preserve"> reward.</w:t>
      </w:r>
    </w:p>
    <w:p>
      <w:r>
        <w:rPr>
          <w:b/>
        </w:rPr>
        <w:t xml:space="preserve">42 </w:t>
      </w:r>
      <w:r>
        <w:t xml:space="preserve">And whoever shall give to drink to one of these little ones a cup</w:t>
      </w:r>
      <w:r>
        <w:rPr>
          <w:rStyle w:val="FootnoteReference"/>
        </w:rPr>
        <w:footnoteReference w:id="14419"/>
      </w:r>
      <w:r>
        <w:t xml:space="preserve"> of cold water only in the name of a disciple, Amen, I say to you, he shall by no means lose his reward.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it happened, when Jesus had made an end of commanding</w:t>
      </w:r>
      <w:r>
        <w:rPr>
          <w:rStyle w:val="FootnoteReference"/>
        </w:rPr>
        <w:footnoteReference w:id="14420"/>
      </w:r>
      <w:r>
        <w:t xml:space="preserve"> his twelve disciples, he departed from there to teach and to preach in their cities.</w:t>
      </w:r>
    </w:p>
    <w:p>
      <w:r>
        <w:rPr>
          <w:b/>
        </w:rPr>
        <w:t xml:space="preserve">2 </w:t>
      </w:r>
      <w:r>
        <w:t xml:space="preserve">Now when John had heard in the prison the works of Christ, he sent two of his disciples,</w:t>
      </w:r>
    </w:p>
    <w:p>
      <w:r>
        <w:rPr>
          <w:b/>
        </w:rPr>
        <w:t xml:space="preserve">3 </w:t>
      </w:r>
      <w:r>
        <w:t xml:space="preserve">And said to him, Are you the one who should come, or do we look for another?</w:t>
      </w:r>
    </w:p>
    <w:p>
      <w:r>
        <w:rPr>
          <w:b/>
        </w:rPr>
        <w:t xml:space="preserve">4 </w:t>
      </w:r>
      <w:r>
        <w:t xml:space="preserve">Jesus answered and said to them, Go and show John again those things which you do hear and see:</w:t>
      </w:r>
    </w:p>
    <w:p>
      <w:r>
        <w:rPr>
          <w:b/>
        </w:rPr>
        <w:t xml:space="preserve">5 </w:t>
      </w:r>
      <w:r>
        <w:t xml:space="preserve">The blind</w:t>
      </w:r>
      <w:r>
        <w:rPr>
          <w:rStyle w:val="FootnoteReference"/>
        </w:rPr>
        <w:footnoteReference w:id="14421"/>
      </w:r>
      <w:r>
        <w:t xml:space="preserve"> receive their sight, and the lame walk, the lepers are cleansed, and the deaf hear, the dead are raised up, and the poor have the good news preached to them.</w:t>
      </w:r>
    </w:p>
    <w:p>
      <w:r>
        <w:rPr>
          <w:b/>
        </w:rPr>
        <w:t xml:space="preserve">6 </w:t>
      </w:r>
      <w:r>
        <w:t xml:space="preserve">And blessed</w:t>
      </w:r>
      <w:r>
        <w:rPr>
          <w:rStyle w:val="FootnoteReference"/>
        </w:rPr>
        <w:footnoteReference w:id="14422"/>
      </w:r>
      <w:r>
        <w:t xml:space="preserve"> is he, whoever shall not be stumbled in me.</w:t>
      </w:r>
    </w:p>
    <w:p>
      <w:r>
        <w:rPr>
          <w:b/>
        </w:rPr>
        <w:t xml:space="preserve">7 </w:t>
      </w:r>
      <w:r>
        <w:t xml:space="preserve">And as they departed, Jesus</w:t>
      </w:r>
      <w:r>
        <w:rPr>
          <w:rStyle w:val="FootnoteReference"/>
        </w:rPr>
        <w:footnoteReference w:id="14423"/>
      </w:r>
      <w:r>
        <w:t xml:space="preserve"> began to say to the crowds concerning John, What did you go out into the wilderness to see? A reed shaken with the wind?</w:t>
      </w:r>
    </w:p>
    <w:p>
      <w:r>
        <w:rPr>
          <w:b/>
        </w:rPr>
        <w:t xml:space="preserve">8 </w:t>
      </w:r>
      <w:r>
        <w:t xml:space="preserve">But what did you go out to see? A man</w:t>
      </w:r>
      <w:r>
        <w:rPr>
          <w:rStyle w:val="FootnoteReference"/>
        </w:rPr>
        <w:footnoteReference w:id="14424"/>
      </w:r>
      <w:r>
        <w:t xml:space="preserve"> clothed in soft clothing? look, those who wear soft clothing are in kings' houses.</w:t>
      </w:r>
    </w:p>
    <w:p>
      <w:r>
        <w:rPr>
          <w:b/>
        </w:rPr>
        <w:t xml:space="preserve">9 </w:t>
      </w:r>
      <w:r>
        <w:t xml:space="preserve">But what did you go out to see? A prophet</w:t>
      </w:r>
      <w:r>
        <w:rPr>
          <w:rStyle w:val="FootnoteReference"/>
        </w:rPr>
        <w:footnoteReference w:id="14425"/>
      </w:r>
      <w:r>
        <w:t xml:space="preserve">? yes, I say to you, and more than a prophet.</w:t>
      </w:r>
    </w:p>
    <w:p>
      <w:r>
        <w:rPr>
          <w:b/>
        </w:rPr>
        <w:t xml:space="preserve">10 </w:t>
      </w:r>
      <w:r>
        <w:t xml:space="preserve">For this is he, of whom it is written, Look, I send my messenger before your face, who shall prepare your way before you.</w:t>
      </w:r>
    </w:p>
    <w:p>
      <w:r>
        <w:rPr>
          <w:b/>
        </w:rPr>
        <w:t xml:space="preserve">11 </w:t>
      </w:r>
      <w:r>
        <w:t xml:space="preserve">Amen, I say to you, Among those who are born</w:t>
      </w:r>
      <w:r>
        <w:rPr>
          <w:rStyle w:val="FootnoteReference"/>
        </w:rPr>
        <w:footnoteReference w:id="14426"/>
      </w:r>
      <w:r>
        <w:t xml:space="preserve"> of women there has not risen a greater than John the Baptist: notwithstanding the one who is least in the kingdom of heaven is greater than he.</w:t>
      </w:r>
    </w:p>
    <w:p>
      <w:r>
        <w:rPr>
          <w:b/>
        </w:rPr>
        <w:t xml:space="preserve">12 </w:t>
      </w:r>
      <w:r>
        <w:t xml:space="preserve">And from the days of John the Baptist until now the kingdom of heaven suffers violence, and the violent take it by force.</w:t>
      </w:r>
    </w:p>
    <w:p>
      <w:r>
        <w:rPr>
          <w:b/>
        </w:rPr>
        <w:t xml:space="preserve">13 </w:t>
      </w:r>
      <w:r>
        <w:t xml:space="preserve">For all the prophets and the law prophesied until John.</w:t>
      </w:r>
    </w:p>
    <w:p>
      <w:r>
        <w:rPr>
          <w:b/>
        </w:rPr>
        <w:t xml:space="preserve">14 </w:t>
      </w:r>
      <w:r>
        <w:t xml:space="preserve">And if you will receive it, this is Elijah</w:t>
      </w:r>
      <w:r>
        <w:rPr>
          <w:rStyle w:val="FootnoteReference"/>
        </w:rPr>
        <w:footnoteReference w:id="14427"/>
      </w:r>
      <w:r>
        <w:t xml:space="preserve">, who was to come.</w:t>
      </w:r>
    </w:p>
    <w:p>
      <w:r>
        <w:rPr>
          <w:b/>
        </w:rPr>
        <w:t xml:space="preserve">15 </w:t>
      </w:r>
      <w:r>
        <w:t xml:space="preserve">the one who has ears to hear, let him hear.</w:t>
      </w:r>
    </w:p>
    <w:p>
      <w:r>
        <w:rPr>
          <w:b/>
        </w:rPr>
        <w:t xml:space="preserve">16 </w:t>
      </w:r>
      <w:r>
        <w:t xml:space="preserve">But to what shall I liken this generation? It is like children sitting in the markets, and calling to their fellows,</w:t>
      </w:r>
    </w:p>
    <w:p>
      <w:r>
        <w:rPr>
          <w:b/>
        </w:rPr>
        <w:t xml:space="preserve">17 </w:t>
      </w:r>
      <w:r>
        <w:t xml:space="preserve">And saying, We have piped</w:t>
      </w:r>
      <w:r>
        <w:rPr>
          <w:rStyle w:val="FootnoteReference"/>
        </w:rPr>
        <w:footnoteReference w:id="14428"/>
      </w:r>
      <w:r>
        <w:t xml:space="preserve"> to you, and you have not danced; we have mourned to you, and you have not lamented.</w:t>
      </w:r>
    </w:p>
    <w:p>
      <w:r>
        <w:rPr>
          <w:b/>
        </w:rPr>
        <w:t xml:space="preserve">18 </w:t>
      </w:r>
      <w:r>
        <w:t xml:space="preserve">For John</w:t>
      </w:r>
      <w:r>
        <w:rPr>
          <w:rStyle w:val="FootnoteReference"/>
        </w:rPr>
        <w:footnoteReference w:id="14429"/>
      </w:r>
      <w:r>
        <w:t xml:space="preserve"> came neither eating nor drinking, and they say, He has a demon.</w:t>
      </w:r>
    </w:p>
    <w:p>
      <w:r>
        <w:rPr>
          <w:b/>
        </w:rPr>
        <w:t xml:space="preserve">19 </w:t>
      </w:r>
      <w:r>
        <w:t xml:space="preserve">The Son of man came eating and drinking, and they say, Look a man gluttonous, and a wine indulger, a friend</w:t>
      </w:r>
      <w:r>
        <w:rPr>
          <w:rStyle w:val="FootnoteReference"/>
        </w:rPr>
        <w:footnoteReference w:id="14430"/>
      </w:r>
      <w:r>
        <w:t xml:space="preserve"> of tax collectors and sinners. But wisdom is justified of her children.</w:t>
      </w:r>
    </w:p>
    <w:p>
      <w:r>
        <w:rPr>
          <w:b/>
        </w:rPr>
        <w:t xml:space="preserve">20 </w:t>
      </w:r>
      <w:r>
        <w:t xml:space="preserve">Then began</w:t>
      </w:r>
      <w:r>
        <w:rPr>
          <w:rStyle w:val="FootnoteReference"/>
        </w:rPr>
        <w:footnoteReference w:id="14431"/>
      </w:r>
      <w:r>
        <w:t xml:space="preserve"> he to reproach the cities in which most of his mighty works were done, because they did not repent:</w:t>
      </w:r>
    </w:p>
    <w:p>
      <w:r>
        <w:rPr>
          <w:b/>
        </w:rPr>
        <w:t xml:space="preserve">21 </w:t>
      </w:r>
      <w:r>
        <w:t xml:space="preserve">Woe to you, Chorazin</w:t>
      </w:r>
      <w:r>
        <w:rPr>
          <w:rStyle w:val="FootnoteReference"/>
        </w:rPr>
        <w:footnoteReference w:id="14432"/>
      </w:r>
      <w:r>
        <w:t xml:space="preserve">! woe to you, Bethsaida</w:t>
      </w:r>
      <w:r>
        <w:rPr>
          <w:rStyle w:val="FootnoteReference"/>
        </w:rPr>
        <w:footnoteReference w:id="14433"/>
      </w:r>
      <w:r>
        <w:t xml:space="preserve">! for if the mighty works, which were done in you, had been done in Tyre</w:t>
      </w:r>
      <w:r>
        <w:rPr>
          <w:rStyle w:val="FootnoteReference"/>
        </w:rPr>
        <w:footnoteReference w:id="14434"/>
      </w:r>
      <w:r>
        <w:t xml:space="preserve"> and Sidon</w:t>
      </w:r>
      <w:r>
        <w:rPr>
          <w:rStyle w:val="FootnoteReference"/>
        </w:rPr>
        <w:footnoteReference w:id="14435"/>
      </w:r>
      <w:r>
        <w:t xml:space="preserve">, they would have repented long ago in sackcloth and ashes.</w:t>
      </w:r>
      <w:r>
        <w:rPr>
          <w:rStyle w:val="FootnoteReference"/>
        </w:rPr>
        <w:footnoteReference w:id="14436"/>
      </w:r>
    </w:p>
    <w:p>
      <w:r>
        <w:rPr>
          <w:b/>
        </w:rPr>
        <w:t xml:space="preserve">22 </w:t>
      </w:r>
      <w:r>
        <w:t xml:space="preserve">But I say to you, It shall</w:t>
      </w:r>
      <w:r>
        <w:rPr>
          <w:rStyle w:val="FootnoteReference"/>
        </w:rPr>
        <w:footnoteReference w:id="14437"/>
      </w:r>
      <w:r>
        <w:t xml:space="preserve"> be more tolerable for Tyre and Sidon at the day of judgment, than for you.</w:t>
      </w:r>
    </w:p>
    <w:p>
      <w:r>
        <w:rPr>
          <w:b/>
        </w:rPr>
        <w:t xml:space="preserve">23 </w:t>
      </w:r>
      <w:r>
        <w:t xml:space="preserve">And you, Capernaum</w:t>
      </w:r>
      <w:r>
        <w:rPr>
          <w:rStyle w:val="FootnoteReference"/>
        </w:rPr>
        <w:footnoteReference w:id="14438"/>
      </w:r>
      <w:r>
        <w:t xml:space="preserve">, which are exalted to heaven, shall be brought down to Hades: for if the mighty works, which have been done in you, had been done in Sodom, it would have remained until this day.</w:t>
      </w:r>
    </w:p>
    <w:p>
      <w:r>
        <w:rPr>
          <w:b/>
        </w:rPr>
        <w:t xml:space="preserve">24 </w:t>
      </w:r>
      <w:r>
        <w:t xml:space="preserve">But I say to you, That it shall be more</w:t>
      </w:r>
      <w:r>
        <w:rPr>
          <w:rStyle w:val="FootnoteReference"/>
        </w:rPr>
        <w:footnoteReference w:id="14439"/>
      </w:r>
      <w:r>
        <w:t xml:space="preserve"> tolerable for the land of Sodom in the day of judgment, than for you.</w:t>
      </w:r>
    </w:p>
    <w:p>
      <w:r>
        <w:rPr>
          <w:b/>
        </w:rPr>
        <w:t xml:space="preserve">25 </w:t>
      </w:r>
      <w:r>
        <w:t xml:space="preserve">At that time Jesus</w:t>
      </w:r>
      <w:r>
        <w:rPr>
          <w:rStyle w:val="FootnoteReference"/>
        </w:rPr>
        <w:footnoteReference w:id="14440"/>
      </w:r>
      <w:r>
        <w:t xml:space="preserve"> answered and said, I thank you, O Father, Lord of heaven and earth, because you have hid these things from the wise and prudent, and have revealed them to babes.</w:t>
      </w:r>
    </w:p>
    <w:p>
      <w:r>
        <w:rPr>
          <w:b/>
        </w:rPr>
        <w:t xml:space="preserve">26 </w:t>
      </w:r>
      <w:r>
        <w:t xml:space="preserve">Even so, Father: for so it seemed good in your sight.</w:t>
      </w:r>
    </w:p>
    <w:p>
      <w:r>
        <w:rPr>
          <w:b/>
        </w:rPr>
        <w:t xml:space="preserve">27 </w:t>
      </w:r>
      <w:r>
        <w:t xml:space="preserve">All things are delivered to me by my Father: and no one knows the Son, but the Father; neither does anyone know the Father, save the Son, and the one to whomsoever the Son will reveal him.</w:t>
      </w:r>
    </w:p>
    <w:p>
      <w:r>
        <w:rPr>
          <w:b/>
        </w:rPr>
        <w:t xml:space="preserve">28 </w:t>
      </w:r>
      <w:r>
        <w:t xml:space="preserve">Come to me, all you that labor and are heavy laden, and I will give you rest.</w:t>
      </w:r>
    </w:p>
    <w:p>
      <w:r>
        <w:rPr>
          <w:b/>
        </w:rPr>
        <w:t xml:space="preserve">29 </w:t>
      </w:r>
      <w:r>
        <w:t xml:space="preserve">Take my yoke upon you, and learn</w:t>
      </w:r>
      <w:r>
        <w:rPr>
          <w:rStyle w:val="FootnoteReference"/>
        </w:rPr>
        <w:footnoteReference w:id="14441"/>
      </w:r>
      <w:r>
        <w:t xml:space="preserve"> of me; for I am meek and lowly in heart: and you shall find rest to your souls.</w:t>
      </w:r>
    </w:p>
    <w:p>
      <w:r>
        <w:rPr>
          <w:b/>
        </w:rPr>
        <w:t xml:space="preserve">30 </w:t>
      </w:r>
      <w:r>
        <w:t xml:space="preserve">For my yoke</w:t>
      </w:r>
      <w:r>
        <w:rPr>
          <w:rStyle w:val="FootnoteReference"/>
        </w:rPr>
        <w:footnoteReference w:id="14442"/>
      </w:r>
      <w:r>
        <w:t xml:space="preserve"> is easy, and my burden is light.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At that time Jesus went</w:t>
      </w:r>
      <w:r>
        <w:rPr>
          <w:rStyle w:val="FootnoteReference"/>
        </w:rPr>
        <w:footnoteReference w:id="14443"/>
      </w:r>
      <w:r>
        <w:t xml:space="preserve"> on the Sabbath through the grain; and his disciples were hungry, and began to pluck the ears of grain and to eat.</w:t>
      </w:r>
    </w:p>
    <w:p>
      <w:r>
        <w:rPr>
          <w:b/>
        </w:rPr>
        <w:t xml:space="preserve">2 </w:t>
      </w:r>
      <w:r>
        <w:t xml:space="preserve">But when the Pharisees saw it, they said to him, Look, your disciples do that which is not lawful to do upon the Sabbath.</w:t>
      </w:r>
    </w:p>
    <w:p>
      <w:r>
        <w:rPr>
          <w:b/>
        </w:rPr>
        <w:t xml:space="preserve">3 </w:t>
      </w:r>
      <w:r>
        <w:t xml:space="preserve">But he said to them, Have you not read what David did, when he was hungry, and those who were with him;</w:t>
      </w:r>
    </w:p>
    <w:p>
      <w:r>
        <w:rPr>
          <w:b/>
        </w:rPr>
        <w:t xml:space="preserve">4 </w:t>
      </w:r>
      <w:r>
        <w:t xml:space="preserve">How he entered into the house of God, and did eat the showbread, which was not lawful for him to eat, neither for those who were with him, but only for the priests?</w:t>
      </w:r>
    </w:p>
    <w:p>
      <w:r>
        <w:rPr>
          <w:b/>
        </w:rPr>
        <w:t xml:space="preserve">5 </w:t>
      </w:r>
      <w:r>
        <w:t xml:space="preserve">Or have you not read in the law, how that on the Sabbath the priests in the temple profane</w:t>
      </w:r>
      <w:r>
        <w:rPr>
          <w:rStyle w:val="FootnoteReference"/>
        </w:rPr>
        <w:footnoteReference w:id="14444"/>
      </w:r>
      <w:r>
        <w:t xml:space="preserve"> the sabbath, and are blameless?</w:t>
      </w:r>
    </w:p>
    <w:p>
      <w:r>
        <w:rPr>
          <w:b/>
        </w:rPr>
        <w:t xml:space="preserve">6 </w:t>
      </w:r>
      <w:r>
        <w:t xml:space="preserve">But I say to you, That in this place is one greater than the temple.</w:t>
      </w:r>
    </w:p>
    <w:p>
      <w:r>
        <w:rPr>
          <w:b/>
        </w:rPr>
        <w:t xml:space="preserve">7 </w:t>
      </w:r>
      <w:r>
        <w:t xml:space="preserve">But if you had known what this means, I will have mercy, and not sacrifice, you would not have condemned</w:t>
      </w:r>
      <w:r>
        <w:rPr>
          <w:rStyle w:val="FootnoteReference"/>
        </w:rPr>
        <w:footnoteReference w:id="14445"/>
      </w:r>
      <w:r>
        <w:t xml:space="preserve"> the guiltless.</w:t>
      </w:r>
    </w:p>
    <w:p>
      <w:r>
        <w:rPr>
          <w:b/>
        </w:rPr>
        <w:t xml:space="preserve">8 </w:t>
      </w:r>
      <w:r>
        <w:t xml:space="preserve">For the Son of man is Lord even of the Sabbath.</w:t>
      </w:r>
    </w:p>
    <w:p>
      <w:r>
        <w:rPr>
          <w:b/>
        </w:rPr>
        <w:t xml:space="preserve">9 </w:t>
      </w:r>
      <w:r>
        <w:t xml:space="preserve">And when he was departed from there, he went into their synagogue:</w:t>
      </w:r>
    </w:p>
    <w:p>
      <w:r>
        <w:rPr>
          <w:b/>
        </w:rPr>
        <w:t xml:space="preserve">10 </w:t>
      </w:r>
      <w:r>
        <w:t xml:space="preserve">And, look, there was a man who had his hand withered. And they asked him, saying, Is it</w:t>
      </w:r>
      <w:r>
        <w:rPr>
          <w:rStyle w:val="FootnoteReference"/>
        </w:rPr>
        <w:footnoteReference w:id="14446"/>
      </w:r>
      <w:r>
        <w:t xml:space="preserve"> lawful to heal on the Sabbath? that they might accuse him.</w:t>
      </w:r>
    </w:p>
    <w:p>
      <w:r>
        <w:rPr>
          <w:b/>
        </w:rPr>
        <w:t xml:space="preserve">11 </w:t>
      </w:r>
      <w:r>
        <w:t xml:space="preserve">And he said to them, What man shall there be among you, who shall have one sheep, and if</w:t>
      </w:r>
      <w:r>
        <w:rPr>
          <w:rStyle w:val="FootnoteReference"/>
        </w:rPr>
        <w:footnoteReference w:id="14447"/>
      </w:r>
      <w:r>
        <w:t xml:space="preserve"> it fall into a pit on the Sabbath, will he not lay hold on it, and lift it out?</w:t>
      </w:r>
    </w:p>
    <w:p>
      <w:r>
        <w:rPr>
          <w:b/>
        </w:rPr>
        <w:t xml:space="preserve">12 </w:t>
      </w:r>
      <w:r>
        <w:t xml:space="preserve">How much then is a</w:t>
      </w:r>
      <w:r>
        <w:rPr>
          <w:rStyle w:val="FootnoteReference"/>
        </w:rPr>
        <w:footnoteReference w:id="14448"/>
      </w:r>
      <w:r>
        <w:t xml:space="preserve"> man better than a sheep? Therefore it is lawful to do well on the Sabbath.</w:t>
      </w:r>
    </w:p>
    <w:p>
      <w:r>
        <w:rPr>
          <w:b/>
        </w:rPr>
        <w:t xml:space="preserve">13 </w:t>
      </w:r>
      <w:r>
        <w:t xml:space="preserve">Then says he to the man, Stretch forth your hand. And he stretched it forth; and it</w:t>
      </w:r>
      <w:r>
        <w:rPr>
          <w:rStyle w:val="FootnoteReference"/>
        </w:rPr>
        <w:footnoteReference w:id="14449"/>
      </w:r>
      <w:r>
        <w:t xml:space="preserve"> was restored whole, like the other.</w:t>
      </w:r>
    </w:p>
    <w:p>
      <w:r>
        <w:rPr>
          <w:b/>
        </w:rPr>
        <w:t xml:space="preserve">14 </w:t>
      </w:r>
      <w:r>
        <w:t xml:space="preserve">Then the Pharisees went</w:t>
      </w:r>
      <w:r>
        <w:rPr>
          <w:rStyle w:val="FootnoteReference"/>
        </w:rPr>
        <w:footnoteReference w:id="14450"/>
      </w:r>
      <w:r>
        <w:t xml:space="preserve"> out, and held a council against him, how they might destroy him.</w:t>
      </w:r>
    </w:p>
    <w:p>
      <w:r>
        <w:rPr>
          <w:b/>
        </w:rPr>
        <w:t xml:space="preserve">15 </w:t>
      </w:r>
      <w:r>
        <w:t xml:space="preserve">But when Jesus knew it, he withdrew</w:t>
      </w:r>
      <w:r>
        <w:rPr>
          <w:rStyle w:val="FootnoteReference"/>
        </w:rPr>
        <w:footnoteReference w:id="14451"/>
      </w:r>
      <w:r>
        <w:t xml:space="preserve"> himself from there: and great crowds followed him, and he healed them all;</w:t>
      </w:r>
    </w:p>
    <w:p>
      <w:r>
        <w:rPr>
          <w:b/>
        </w:rPr>
        <w:t xml:space="preserve">16 </w:t>
      </w:r>
      <w:r>
        <w:t xml:space="preserve">And charged them that they should not make him known:</w:t>
      </w:r>
    </w:p>
    <w:p>
      <w:r>
        <w:rPr>
          <w:b/>
        </w:rPr>
        <w:t xml:space="preserve">17 </w:t>
      </w:r>
      <w:r>
        <w:t xml:space="preserve">That it might be fulfilled which was spoken by Isaiah the prophet, saying</w:t>
      </w:r>
      <w:r>
        <w:rPr>
          <w:rStyle w:val="FootnoteReference"/>
        </w:rPr>
        <w:footnoteReference w:id="14452"/>
      </w:r>
      <w:r>
        <w:t xml:space="preserve">,</w:t>
      </w:r>
    </w:p>
    <w:p>
      <w:r>
        <w:rPr>
          <w:b/>
        </w:rPr>
        <w:t xml:space="preserve">18 </w:t>
      </w:r>
      <w:r>
        <w:t xml:space="preserve">Look my servant</w:t>
      </w:r>
      <w:r>
        <w:rPr>
          <w:rStyle w:val="FootnoteReference"/>
        </w:rPr>
        <w:footnoteReference w:id="14453"/>
      </w:r>
      <w:r>
        <w:t xml:space="preserve">, whom I have chosen; my beloved, in whom my soul is well pleased: I will put my spirit upon him, and he shall show judgment to the nations.</w:t>
      </w:r>
    </w:p>
    <w:p>
      <w:r>
        <w:rPr>
          <w:b/>
        </w:rPr>
        <w:t xml:space="preserve">19 </w:t>
      </w:r>
      <w:r>
        <w:t xml:space="preserve">He shall not strive, nor cry; neither shall anyone hear his voice in the streets.</w:t>
      </w:r>
    </w:p>
    <w:p>
      <w:r>
        <w:rPr>
          <w:b/>
        </w:rPr>
        <w:t xml:space="preserve">20 </w:t>
      </w:r>
      <w:r>
        <w:t xml:space="preserve">A bruised</w:t>
      </w:r>
      <w:r>
        <w:rPr>
          <w:rStyle w:val="FootnoteReference"/>
        </w:rPr>
        <w:footnoteReference w:id="14454"/>
      </w:r>
      <w:r>
        <w:t xml:space="preserve"> reed shall he not break, and smoking flax shall he not quench, till he send forth judgment to victory.</w:t>
      </w:r>
    </w:p>
    <w:p>
      <w:r>
        <w:rPr>
          <w:b/>
        </w:rPr>
        <w:t xml:space="preserve">21 </w:t>
      </w:r>
      <w:r>
        <w:t xml:space="preserve">And in his name shall the nations trust.</w:t>
      </w:r>
    </w:p>
    <w:p>
      <w:r>
        <w:rPr>
          <w:b/>
        </w:rPr>
        <w:t xml:space="preserve">22 </w:t>
      </w:r>
      <w:r>
        <w:t xml:space="preserve">Then was brought to him one possessed with a demon, blind, and mute: and he healed</w:t>
      </w:r>
      <w:r>
        <w:rPr>
          <w:rStyle w:val="FootnoteReference"/>
        </w:rPr>
        <w:footnoteReference w:id="14455"/>
      </w:r>
      <w:r>
        <w:t xml:space="preserve"> him, so that the blind and mute both spoke and saw.</w:t>
      </w:r>
    </w:p>
    <w:p>
      <w:r>
        <w:rPr>
          <w:b/>
        </w:rPr>
        <w:t xml:space="preserve">23 </w:t>
      </w:r>
      <w:r>
        <w:t xml:space="preserve">And all the people were amazed, and said, Is not this the son of David?</w:t>
      </w:r>
    </w:p>
    <w:p>
      <w:r>
        <w:rPr>
          <w:b/>
        </w:rPr>
        <w:t xml:space="preserve">24 </w:t>
      </w:r>
      <w:r>
        <w:t xml:space="preserve">But when the Pharisees heard it, they said, This fellow does not cast out demons, but by Beelzebub</w:t>
      </w:r>
      <w:r>
        <w:rPr>
          <w:rStyle w:val="FootnoteReference"/>
        </w:rPr>
        <w:footnoteReference w:id="14456"/>
      </w:r>
      <w:r>
        <w:t xml:space="preserve"> the prince of the demons.</w:t>
      </w:r>
    </w:p>
    <w:p>
      <w:r>
        <w:rPr>
          <w:b/>
        </w:rPr>
        <w:t xml:space="preserve">25 </w:t>
      </w:r>
      <w:r>
        <w:t xml:space="preserve">And Jesus</w:t>
      </w:r>
      <w:r>
        <w:rPr>
          <w:rStyle w:val="FootnoteReference"/>
        </w:rPr>
        <w:footnoteReference w:id="14457"/>
      </w:r>
      <w:r>
        <w:t xml:space="preserve"> knew their thoughts, and said to them, Every kingdom divided against itself is brought to desolation; and every city or house divided against itself shall not stand:</w:t>
      </w:r>
    </w:p>
    <w:p>
      <w:r>
        <w:rPr>
          <w:b/>
        </w:rPr>
        <w:t xml:space="preserve">26 </w:t>
      </w:r>
      <w:r>
        <w:t xml:space="preserve">And if Satan cast out Satan, he is divided against himself; how shall then his kingdom stand?</w:t>
      </w:r>
    </w:p>
    <w:p>
      <w:r>
        <w:rPr>
          <w:b/>
        </w:rPr>
        <w:t xml:space="preserve">27 </w:t>
      </w:r>
      <w:r>
        <w:t xml:space="preserve">And if I by Beelzebub</w:t>
      </w:r>
      <w:r>
        <w:rPr>
          <w:rStyle w:val="FootnoteReference"/>
        </w:rPr>
        <w:footnoteReference w:id="14458"/>
      </w:r>
      <w:r>
        <w:t xml:space="preserve"> cast out demons, by whom do your children cast them out? therefore they shall be your judges.</w:t>
      </w:r>
    </w:p>
    <w:p>
      <w:r>
        <w:rPr>
          <w:b/>
        </w:rPr>
        <w:t xml:space="preserve">28 </w:t>
      </w:r>
      <w:r>
        <w:t xml:space="preserve">But if I cast</w:t>
      </w:r>
      <w:r>
        <w:rPr>
          <w:rStyle w:val="FootnoteReference"/>
        </w:rPr>
        <w:footnoteReference w:id="14459"/>
      </w:r>
      <w:r>
        <w:t xml:space="preserve"> out demons by the Spirit of God, then the kingdom of God has come to you.</w:t>
      </w:r>
    </w:p>
    <w:p>
      <w:r>
        <w:rPr>
          <w:b/>
        </w:rPr>
        <w:t xml:space="preserve">29 </w:t>
      </w:r>
      <w:r>
        <w:t xml:space="preserve">Or else how can one enter into a strong man's house, and spoil his goods, except he first bind the strong man? and then he will spoil his house.</w:t>
      </w:r>
    </w:p>
    <w:p>
      <w:r>
        <w:rPr>
          <w:b/>
        </w:rPr>
        <w:t xml:space="preserve">30 </w:t>
      </w:r>
      <w:r>
        <w:t xml:space="preserve">the one who is not with me is against me; and the one who gathers not with me scatters.</w:t>
      </w:r>
    </w:p>
    <w:p>
      <w:r>
        <w:rPr>
          <w:b/>
        </w:rPr>
        <w:t xml:space="preserve">31 </w:t>
      </w:r>
      <w:r>
        <w:t xml:space="preserve">Therefore I say to you, All manner of sin and blasphemy shall be forgiven to men: but the blasphemy against the Holy Spirit shall not be forgiven to men.</w:t>
      </w:r>
    </w:p>
    <w:p>
      <w:r>
        <w:rPr>
          <w:b/>
        </w:rPr>
        <w:t xml:space="preserve">32 </w:t>
      </w:r>
      <w:r>
        <w:t xml:space="preserve">And whoever speaks a word against the Son of man, it shall be forgiven him: but whoever speaks against the Holy Spirit, it shall not</w:t>
      </w:r>
      <w:r>
        <w:rPr>
          <w:rStyle w:val="FootnoteReference"/>
        </w:rPr>
        <w:footnoteReference w:id="14460"/>
      </w:r>
      <w:r>
        <w:t xml:space="preserve"> be forgiven him, neither in this world, neither in the world to come.</w:t>
      </w:r>
    </w:p>
    <w:p>
      <w:r>
        <w:rPr>
          <w:b/>
        </w:rPr>
        <w:t xml:space="preserve">33 </w:t>
      </w:r>
      <w:r>
        <w:t xml:space="preserve">Either make the tree good, and its fruit good; or else make the tree corrupt, and its fruit corrupt: for the tree is known by its fruit.</w:t>
      </w:r>
    </w:p>
    <w:p>
      <w:r>
        <w:rPr>
          <w:b/>
        </w:rPr>
        <w:t xml:space="preserve">34 </w:t>
      </w:r>
      <w:r>
        <w:t xml:space="preserve">O generation</w:t>
      </w:r>
      <w:r>
        <w:rPr>
          <w:rStyle w:val="FootnoteReference"/>
        </w:rPr>
        <w:footnoteReference w:id="14461"/>
      </w:r>
      <w:r>
        <w:t xml:space="preserve"> of vipers, how can you, being evil, speak good things? for out of the abundance of the heart the mouth speaks.</w:t>
      </w:r>
    </w:p>
    <w:p>
      <w:r>
        <w:rPr>
          <w:b/>
        </w:rPr>
        <w:t xml:space="preserve">35 </w:t>
      </w:r>
      <w:r>
        <w:t xml:space="preserve">A good man</w:t>
      </w:r>
      <w:r>
        <w:rPr>
          <w:rStyle w:val="FootnoteReference"/>
        </w:rPr>
        <w:footnoteReference w:id="14462"/>
      </w:r>
      <w:r>
        <w:t xml:space="preserve"> out of the good treasure of the heart produces good things: and an evil man out of the evil treasure produces evil things.</w:t>
      </w:r>
    </w:p>
    <w:p>
      <w:r>
        <w:rPr>
          <w:b/>
        </w:rPr>
        <w:t xml:space="preserve">36 </w:t>
      </w:r>
      <w:r>
        <w:t xml:space="preserve">But I say to you, That every idle word that men shall speak, they shall give account of it in the day of judgment.</w:t>
      </w:r>
    </w:p>
    <w:p>
      <w:r>
        <w:rPr>
          <w:b/>
        </w:rPr>
        <w:t xml:space="preserve">37 </w:t>
      </w:r>
      <w:r>
        <w:t xml:space="preserve">For by</w:t>
      </w:r>
      <w:r>
        <w:rPr>
          <w:rStyle w:val="FootnoteReference"/>
        </w:rPr>
        <w:footnoteReference w:id="14463"/>
      </w:r>
      <w:r>
        <w:t xml:space="preserve"> your words you shall be justified, and by your words you shall be condemned.</w:t>
      </w:r>
    </w:p>
    <w:p>
      <w:r>
        <w:rPr>
          <w:b/>
        </w:rPr>
        <w:t xml:space="preserve">38 </w:t>
      </w:r>
      <w:r>
        <w:t xml:space="preserve">Then certain of the scribes and of the Pharisees answered, saying, Teacher, we would see a sign from you.</w:t>
      </w:r>
    </w:p>
    <w:p>
      <w:r>
        <w:rPr>
          <w:b/>
        </w:rPr>
        <w:t xml:space="preserve">39 </w:t>
      </w:r>
      <w:r>
        <w:t xml:space="preserve">But he answered and said to them, An evil and adulterous</w:t>
      </w:r>
      <w:r>
        <w:rPr>
          <w:rStyle w:val="FootnoteReference"/>
        </w:rPr>
        <w:footnoteReference w:id="14464"/>
      </w:r>
      <w:r>
        <w:t xml:space="preserve"> generation seeks after a sign; and there shall no sign be given to it, but the sign of the prophet Jonah</w:t>
      </w:r>
      <w:r>
        <w:rPr>
          <w:rStyle w:val="FootnoteReference"/>
        </w:rPr>
        <w:footnoteReference w:id="14465"/>
      </w:r>
      <w:r>
        <w:t xml:space="preserve">:</w:t>
      </w:r>
    </w:p>
    <w:p>
      <w:r>
        <w:rPr>
          <w:b/>
        </w:rPr>
        <w:t xml:space="preserve">40 </w:t>
      </w:r>
      <w:r>
        <w:t xml:space="preserve">For as Jonah was three days and three nights in the whale's belly; so shall the Son of man be three days and three nights in the heart</w:t>
      </w:r>
      <w:r>
        <w:rPr>
          <w:rStyle w:val="FootnoteReference"/>
        </w:rPr>
        <w:footnoteReference w:id="14466"/>
      </w:r>
      <w:r>
        <w:t xml:space="preserve"> of the earth.</w:t>
      </w:r>
    </w:p>
    <w:p>
      <w:r>
        <w:rPr>
          <w:b/>
        </w:rPr>
        <w:t xml:space="preserve">41 </w:t>
      </w:r>
      <w:r>
        <w:t xml:space="preserve">The men of Nineveh</w:t>
      </w:r>
      <w:r>
        <w:rPr>
          <w:rStyle w:val="FootnoteReference"/>
        </w:rPr>
        <w:footnoteReference w:id="14467"/>
      </w:r>
      <w:r>
        <w:t xml:space="preserve"> shall rise</w:t>
      </w:r>
      <w:r>
        <w:rPr>
          <w:rStyle w:val="FootnoteReference"/>
        </w:rPr>
        <w:footnoteReference w:id="14468"/>
      </w:r>
      <w:r>
        <w:t xml:space="preserve"> in judgment with this generation, and shall condemn it: because they repented at the preaching of Jonah; and, look, a greater than Jonah is here.</w:t>
      </w:r>
    </w:p>
    <w:p>
      <w:r>
        <w:rPr>
          <w:b/>
        </w:rPr>
        <w:t xml:space="preserve">42 </w:t>
      </w:r>
      <w:r>
        <w:t xml:space="preserve">The queen</w:t>
      </w:r>
      <w:r>
        <w:rPr>
          <w:rStyle w:val="FootnoteReference"/>
        </w:rPr>
        <w:footnoteReference w:id="14469"/>
      </w:r>
      <w:r>
        <w:t xml:space="preserve"> of the south shall rise up in the judgment with this generation, and shall condemn it: for she came from the uttermost parts of the earth to hear the wisdom of Solomon; and, look, a greater than Solomon is here.</w:t>
      </w:r>
    </w:p>
    <w:p>
      <w:r>
        <w:rPr>
          <w:b/>
        </w:rPr>
        <w:t xml:space="preserve">43 </w:t>
      </w:r>
      <w:r>
        <w:t xml:space="preserve">When the unclean</w:t>
      </w:r>
      <w:r>
        <w:rPr>
          <w:rStyle w:val="FootnoteReference"/>
        </w:rPr>
        <w:footnoteReference w:id="14470"/>
      </w:r>
      <w:r>
        <w:t xml:space="preserve"> spirit is gone out of a man, he walks through dry places, seeking rest, and finds none.</w:t>
      </w:r>
    </w:p>
    <w:p>
      <w:r>
        <w:rPr>
          <w:b/>
        </w:rPr>
        <w:t xml:space="preserve">44 </w:t>
      </w:r>
      <w:r>
        <w:t xml:space="preserve">Then he says, I will return into my house from where I came out; and when he has come, he finds it empty, swept, and garnished.</w:t>
      </w:r>
    </w:p>
    <w:p>
      <w:r>
        <w:rPr>
          <w:b/>
        </w:rPr>
        <w:t xml:space="preserve">45 </w:t>
      </w:r>
      <w:r>
        <w:t xml:space="preserve">Then he goes, and takes with himself seven</w:t>
      </w:r>
      <w:r>
        <w:rPr>
          <w:rStyle w:val="FootnoteReference"/>
        </w:rPr>
        <w:footnoteReference w:id="14471"/>
      </w:r>
      <w:r>
        <w:t xml:space="preserve"> other spirits more wicked than himself, and they enter in and dwell there: and the last state of that man is worse than the first. Even so shall it be also to this wicked generation.</w:t>
      </w:r>
    </w:p>
    <w:p>
      <w:r>
        <w:rPr>
          <w:b/>
        </w:rPr>
        <w:t xml:space="preserve">46 </w:t>
      </w:r>
      <w:r>
        <w:t xml:space="preserve">While he yet spoke to the people, look, his mother and his brothers stood outside, desiring to speak with him.</w:t>
      </w:r>
    </w:p>
    <w:p>
      <w:r>
        <w:rPr>
          <w:b/>
        </w:rPr>
        <w:t xml:space="preserve">47 </w:t>
      </w:r>
      <w:r>
        <w:t xml:space="preserve">Then one said to him, Look, your mother and your brothers stand outside, desiring to speak with you.</w:t>
      </w:r>
    </w:p>
    <w:p>
      <w:r>
        <w:rPr>
          <w:b/>
        </w:rPr>
        <w:t xml:space="preserve">48 </w:t>
      </w:r>
      <w:r>
        <w:t xml:space="preserve">But he answered and said to him who told him, Who is</w:t>
      </w:r>
      <w:r>
        <w:rPr>
          <w:rStyle w:val="FootnoteReference"/>
        </w:rPr>
        <w:footnoteReference w:id="14472"/>
      </w:r>
      <w:r>
        <w:t xml:space="preserve"> my mother? and who are my brothers?</w:t>
      </w:r>
    </w:p>
    <w:p>
      <w:r>
        <w:rPr>
          <w:b/>
        </w:rPr>
        <w:t xml:space="preserve">49 </w:t>
      </w:r>
      <w:r>
        <w:t xml:space="preserve">And he stretched forth his hand toward his disciples</w:t>
      </w:r>
      <w:r>
        <w:rPr>
          <w:rStyle w:val="FootnoteReference"/>
        </w:rPr>
        <w:footnoteReference w:id="14473"/>
      </w:r>
      <w:r>
        <w:t xml:space="preserve">, and said, Look, my mother and my brothers!</w:t>
      </w:r>
    </w:p>
    <w:p>
      <w:r>
        <w:rPr>
          <w:b/>
        </w:rPr>
        <w:t xml:space="preserve">50 </w:t>
      </w:r>
      <w:r>
        <w:t xml:space="preserve">For whoever shall do the will of my Father who is in heaven, the same is my brother, and sister</w:t>
      </w:r>
      <w:r>
        <w:rPr>
          <w:rStyle w:val="FootnoteReference"/>
        </w:rPr>
        <w:footnoteReference w:id="14474"/>
      </w:r>
      <w:r>
        <w:t xml:space="preserve">, and mother.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The same day Jesus went out of the house, and sat by the seaside.</w:t>
      </w:r>
    </w:p>
    <w:p>
      <w:r>
        <w:rPr>
          <w:b/>
        </w:rPr>
        <w:t xml:space="preserve">2 </w:t>
      </w:r>
      <w:r>
        <w:t xml:space="preserve">And great</w:t>
      </w:r>
      <w:r>
        <w:rPr>
          <w:rStyle w:val="FootnoteReference"/>
        </w:rPr>
        <w:footnoteReference w:id="14475"/>
      </w:r>
      <w:r>
        <w:t xml:space="preserve"> crowds were gathered together to him, so that he went into a boat, and sat; and the whole crowd stood on the shore.</w:t>
      </w:r>
    </w:p>
    <w:p>
      <w:r>
        <w:rPr>
          <w:b/>
        </w:rPr>
        <w:t xml:space="preserve">3 </w:t>
      </w:r>
      <w:r>
        <w:t xml:space="preserve">And he spoke many things to them in parables, saying, Look, a sower</w:t>
      </w:r>
      <w:r>
        <w:rPr>
          <w:rStyle w:val="FootnoteReference"/>
        </w:rPr>
        <w:footnoteReference w:id="14476"/>
      </w:r>
      <w:r>
        <w:t xml:space="preserve"> went forth to sow;</w:t>
      </w:r>
    </w:p>
    <w:p>
      <w:r>
        <w:rPr>
          <w:b/>
        </w:rPr>
        <w:t xml:space="preserve">4 </w:t>
      </w:r>
      <w:r>
        <w:t xml:space="preserve">And when he sowed, some seeds fell by the way</w:t>
      </w:r>
      <w:r>
        <w:rPr>
          <w:rStyle w:val="FootnoteReference"/>
        </w:rPr>
        <w:footnoteReference w:id="14477"/>
      </w:r>
      <w:r>
        <w:t xml:space="preserve"> side, and the birds came and devoured them up:</w:t>
      </w:r>
    </w:p>
    <w:p>
      <w:r>
        <w:rPr>
          <w:b/>
        </w:rPr>
        <w:t xml:space="preserve">5 </w:t>
      </w:r>
      <w:r>
        <w:t xml:space="preserve">Some fell upon stony places, where they had not much earth: and immediately they sprung up, because they had no deepness of earth:</w:t>
      </w:r>
    </w:p>
    <w:p>
      <w:r>
        <w:rPr>
          <w:b/>
        </w:rPr>
        <w:t xml:space="preserve">6 </w:t>
      </w:r>
      <w:r>
        <w:t xml:space="preserve">And when the sun was up, they were scorched; and because they had no root, they withered away.</w:t>
      </w:r>
    </w:p>
    <w:p>
      <w:r>
        <w:rPr>
          <w:b/>
        </w:rPr>
        <w:t xml:space="preserve">7 </w:t>
      </w:r>
      <w:r>
        <w:t xml:space="preserve">And some fell among thorns; and the thorns sprung up, and choked them:</w:t>
      </w:r>
    </w:p>
    <w:p>
      <w:r>
        <w:rPr>
          <w:b/>
        </w:rPr>
        <w:t xml:space="preserve">8 </w:t>
      </w:r>
      <w:r>
        <w:t xml:space="preserve">But other fell into good</w:t>
      </w:r>
      <w:r>
        <w:rPr>
          <w:rStyle w:val="FootnoteReference"/>
        </w:rPr>
        <w:footnoteReference w:id="14478"/>
      </w:r>
      <w:r>
        <w:t xml:space="preserve"> ground, and bore fruit, some a hundredfold, some sixtyfold, some thirtyfold.</w:t>
      </w:r>
    </w:p>
    <w:p>
      <w:r>
        <w:rPr>
          <w:b/>
        </w:rPr>
        <w:t xml:space="preserve">9 </w:t>
      </w:r>
      <w:r>
        <w:t xml:space="preserve">Who has ears to hear, let him hear.</w:t>
      </w:r>
    </w:p>
    <w:p>
      <w:r>
        <w:rPr>
          <w:b/>
        </w:rPr>
        <w:t xml:space="preserve">10 </w:t>
      </w:r>
      <w:r>
        <w:t xml:space="preserve">And the disciples came, and said to him, Why do you speak to them in parables?</w:t>
      </w:r>
    </w:p>
    <w:p>
      <w:r>
        <w:rPr>
          <w:b/>
        </w:rPr>
        <w:t xml:space="preserve">11 </w:t>
      </w:r>
      <w:r>
        <w:t xml:space="preserve">He answered and said to them, Because it is given to you to know the mysteries</w:t>
      </w:r>
      <w:r>
        <w:rPr>
          <w:rStyle w:val="FootnoteReference"/>
        </w:rPr>
        <w:footnoteReference w:id="14479"/>
      </w:r>
      <w:r>
        <w:t xml:space="preserve"> of the kingdom of heaven, but to them it is not given.</w:t>
      </w:r>
    </w:p>
    <w:p>
      <w:r>
        <w:rPr>
          <w:b/>
        </w:rPr>
        <w:t xml:space="preserve">12 </w:t>
      </w:r>
      <w:r>
        <w:t xml:space="preserve">For whoever has, to him shall be given, and he shall have more abundance: but whoever has not, from him shall be taken away even that he has.</w:t>
      </w:r>
    </w:p>
    <w:p>
      <w:r>
        <w:rPr>
          <w:b/>
        </w:rPr>
        <w:t xml:space="preserve">13 </w:t>
      </w:r>
      <w:r>
        <w:t xml:space="preserve">Therefore speak I to them in parables: because they seeing do not see; and hearing they do not hear, neither do they understand.</w:t>
      </w:r>
    </w:p>
    <w:p>
      <w:r>
        <w:rPr>
          <w:b/>
        </w:rPr>
        <w:t xml:space="preserve">14 </w:t>
      </w:r>
      <w:r>
        <w:t xml:space="preserve">And in them is fulfilled the prophecy</w:t>
      </w:r>
      <w:r>
        <w:rPr>
          <w:rStyle w:val="FootnoteReference"/>
        </w:rPr>
        <w:footnoteReference w:id="14480"/>
      </w:r>
      <w:r>
        <w:t xml:space="preserve"> of Isaiah, which says, By hearing you shall hear, and shall not understand; and seeing you shall see, and shall not perceive:</w:t>
      </w:r>
    </w:p>
    <w:p>
      <w:r>
        <w:rPr>
          <w:b/>
        </w:rPr>
        <w:t xml:space="preserve">15 </w:t>
      </w:r>
      <w:r>
        <w:t xml:space="preserve">For this people's heart has become dull, and their ears</w:t>
      </w:r>
      <w:r>
        <w:rPr>
          <w:rStyle w:val="FootnoteReference"/>
        </w:rPr>
        <w:footnoteReference w:id="14481"/>
      </w:r>
      <w:r>
        <w:t xml:space="preserve"> are dull of hearing, and their eyes they have closed; lest at any time they should see with their eyes and hear with their ears, and should understand with their heart, and should be converted, and I should heal them.</w:t>
      </w:r>
    </w:p>
    <w:p>
      <w:r>
        <w:rPr>
          <w:b/>
        </w:rPr>
        <w:t xml:space="preserve">16 </w:t>
      </w:r>
      <w:r>
        <w:t xml:space="preserve">But blessed are your eyes, for they see: and your ears, for they hear.</w:t>
      </w:r>
    </w:p>
    <w:p>
      <w:r>
        <w:rPr>
          <w:b/>
        </w:rPr>
        <w:t xml:space="preserve">17 </w:t>
      </w:r>
      <w:r>
        <w:t xml:space="preserve">For truly I say to you, That many</w:t>
      </w:r>
      <w:r>
        <w:rPr>
          <w:rStyle w:val="FootnoteReference"/>
        </w:rPr>
        <w:footnoteReference w:id="14482"/>
      </w:r>
      <w:r>
        <w:t xml:space="preserve"> prophets and righteous men have desired to see those things which you see, and have not seen them; and to hear those things which you hear, and have not heard them.</w:t>
      </w:r>
    </w:p>
    <w:p>
      <w:r>
        <w:rPr>
          <w:b/>
        </w:rPr>
        <w:t xml:space="preserve">18 </w:t>
      </w:r>
      <w:r>
        <w:t xml:space="preserve">Therefore hear the parable of the sower.</w:t>
      </w:r>
    </w:p>
    <w:p>
      <w:r>
        <w:rPr>
          <w:b/>
        </w:rPr>
        <w:t xml:space="preserve">19 </w:t>
      </w:r>
      <w:r>
        <w:t xml:space="preserve">When any one hears the word</w:t>
      </w:r>
      <w:r>
        <w:rPr>
          <w:rStyle w:val="FootnoteReference"/>
        </w:rPr>
        <w:footnoteReference w:id="14483"/>
      </w:r>
      <w:r>
        <w:t xml:space="preserve"> of the kingdom, and does not understand it, then comes the wicked one, and catches away that which was sown in his heart. This is the one who received seed by the wayside.</w:t>
      </w:r>
    </w:p>
    <w:p>
      <w:r>
        <w:rPr>
          <w:b/>
        </w:rPr>
        <w:t xml:space="preserve">20 </w:t>
      </w:r>
      <w:r>
        <w:t xml:space="preserve">But the one who received</w:t>
      </w:r>
      <w:r>
        <w:rPr>
          <w:rStyle w:val="FootnoteReference"/>
        </w:rPr>
        <w:footnoteReference w:id="14484"/>
      </w:r>
      <w:r>
        <w:t xml:space="preserve"> the seed into stony places, the same is the one who hears the word, and soon with joy receives it;</w:t>
      </w:r>
    </w:p>
    <w:p>
      <w:r>
        <w:rPr>
          <w:b/>
        </w:rPr>
        <w:t xml:space="preserve">21 </w:t>
      </w:r>
      <w:r>
        <w:t xml:space="preserve">Yet has he not root</w:t>
      </w:r>
      <w:r>
        <w:rPr>
          <w:rStyle w:val="FootnoteReference"/>
        </w:rPr>
        <w:footnoteReference w:id="14485"/>
      </w:r>
      <w:r>
        <w:t xml:space="preserve"> in himself, but endures for a while: for when tribulation or persecution arises because of the word, immediately he is stumbled.</w:t>
      </w:r>
    </w:p>
    <w:p>
      <w:r>
        <w:rPr>
          <w:b/>
        </w:rPr>
        <w:t xml:space="preserve">22 </w:t>
      </w:r>
      <w:r>
        <w:t xml:space="preserve">He also that received seed</w:t>
      </w:r>
      <w:r>
        <w:rPr>
          <w:rStyle w:val="FootnoteReference"/>
        </w:rPr>
        <w:footnoteReference w:id="14486"/>
      </w:r>
      <w:r>
        <w:t xml:space="preserve"> among the thorns is the one who hears the word; and the care of this age, and the deceitfulness of riches, choke the word, and he becomes unfruitful.</w:t>
      </w:r>
    </w:p>
    <w:p>
      <w:r>
        <w:rPr>
          <w:b/>
        </w:rPr>
        <w:t xml:space="preserve">23 </w:t>
      </w:r>
      <w:r>
        <w:t xml:space="preserve">But the one who received seed into the good</w:t>
      </w:r>
      <w:r>
        <w:rPr>
          <w:rStyle w:val="FootnoteReference"/>
        </w:rPr>
        <w:footnoteReference w:id="14487"/>
      </w:r>
      <w:r>
        <w:t xml:space="preserve"> ground is the one who hears the word, and understands it; who also bears fruit, and produces, some a hundredfold, some sixty, some thirty.</w:t>
      </w:r>
    </w:p>
    <w:p>
      <w:r>
        <w:rPr>
          <w:b/>
        </w:rPr>
        <w:t xml:space="preserve">24 </w:t>
      </w:r>
      <w:r>
        <w:t xml:space="preserve">Another parable he put forth to them, saying, The kingdom</w:t>
      </w:r>
      <w:r>
        <w:rPr>
          <w:rStyle w:val="FootnoteReference"/>
        </w:rPr>
        <w:footnoteReference w:id="14488"/>
      </w:r>
      <w:r>
        <w:t xml:space="preserve"> of heaven is likened to a man who sowed good seed in his field:</w:t>
      </w:r>
    </w:p>
    <w:p>
      <w:r>
        <w:rPr>
          <w:b/>
        </w:rPr>
        <w:t xml:space="preserve">25 </w:t>
      </w:r>
      <w:r>
        <w:t xml:space="preserve">But while men slept, his enemy</w:t>
      </w:r>
      <w:r>
        <w:rPr>
          <w:rStyle w:val="FootnoteReference"/>
        </w:rPr>
        <w:footnoteReference w:id="14489"/>
      </w:r>
      <w:r>
        <w:t xml:space="preserve"> came and sowed tares among the wheat, and went his way.</w:t>
      </w:r>
    </w:p>
    <w:p>
      <w:r>
        <w:rPr>
          <w:b/>
        </w:rPr>
        <w:t xml:space="preserve">26 </w:t>
      </w:r>
      <w:r>
        <w:t xml:space="preserve">But when the blade was sprung up, and bore fruit, then appeared the tares also.</w:t>
      </w:r>
    </w:p>
    <w:p>
      <w:r>
        <w:rPr>
          <w:b/>
        </w:rPr>
        <w:t xml:space="preserve">27 </w:t>
      </w:r>
      <w:r>
        <w:t xml:space="preserve">So the slaves of the householder came and said to him, Sir</w:t>
      </w:r>
      <w:r>
        <w:rPr>
          <w:rStyle w:val="FootnoteReference"/>
        </w:rPr>
        <w:footnoteReference w:id="14490"/>
      </w:r>
      <w:r>
        <w:t xml:space="preserve">, did you not sow good seed in your field? from where then has it tares?</w:t>
      </w:r>
    </w:p>
    <w:p>
      <w:r>
        <w:rPr>
          <w:b/>
        </w:rPr>
        <w:t xml:space="preserve">28 </w:t>
      </w:r>
      <w:r>
        <w:t xml:space="preserve">He said to them, An enemy has done this. The slaves said to him, Will you then that we go and gather them up?</w:t>
      </w:r>
    </w:p>
    <w:p>
      <w:r>
        <w:rPr>
          <w:b/>
        </w:rPr>
        <w:t xml:space="preserve">29 </w:t>
      </w:r>
      <w:r>
        <w:t xml:space="preserve">But he said, No; lest while you gather up the tares, you root up also the wheat with them.</w:t>
      </w:r>
    </w:p>
    <w:p>
      <w:r>
        <w:rPr>
          <w:b/>
        </w:rPr>
        <w:t xml:space="preserve">30 </w:t>
      </w:r>
      <w:r>
        <w:t xml:space="preserve">Let both</w:t>
      </w:r>
      <w:r>
        <w:rPr>
          <w:rStyle w:val="FootnoteReference"/>
        </w:rPr>
        <w:footnoteReference w:id="14491"/>
      </w:r>
      <w:r>
        <w:t xml:space="preserve"> grow together until the harvest: and in the time of harvest I will say to the reapers, First gather together the tares, and bind them in bundles to burn them: but gather the wheat into my barn.</w:t>
      </w:r>
    </w:p>
    <w:p>
      <w:r>
        <w:rPr>
          <w:b/>
        </w:rPr>
        <w:t xml:space="preserve">31 </w:t>
      </w:r>
      <w:r>
        <w:t xml:space="preserve">Another parable he put forth to them, saying, The kingdom</w:t>
      </w:r>
      <w:r>
        <w:rPr>
          <w:rStyle w:val="FootnoteReference"/>
        </w:rPr>
        <w:footnoteReference w:id="14492"/>
      </w:r>
      <w:r>
        <w:t xml:space="preserve"> of heaven is like a grain of mustard seed, which a man took, and sowed in his field:</w:t>
      </w:r>
    </w:p>
    <w:p>
      <w:r>
        <w:rPr>
          <w:b/>
        </w:rPr>
        <w:t xml:space="preserve">32 </w:t>
      </w:r>
      <w:r>
        <w:t xml:space="preserve">Which indeed is the least</w:t>
      </w:r>
      <w:r>
        <w:rPr>
          <w:rStyle w:val="FootnoteReference"/>
        </w:rPr>
        <w:footnoteReference w:id="14493"/>
      </w:r>
      <w:r>
        <w:t xml:space="preserve"> of all seeds: but when it is grown, it is the greatest among herbs, and becomes a tree, so that the birds of the air come and lodge in the branches of it.</w:t>
      </w:r>
    </w:p>
    <w:p>
      <w:r>
        <w:rPr>
          <w:b/>
        </w:rPr>
        <w:t xml:space="preserve">33 </w:t>
      </w:r>
      <w:r>
        <w:t xml:space="preserve">Another</w:t>
      </w:r>
      <w:r>
        <w:rPr>
          <w:rStyle w:val="FootnoteReference"/>
        </w:rPr>
        <w:footnoteReference w:id="14494"/>
      </w:r>
      <w:r>
        <w:t xml:space="preserve"> parable he spoke to them: The kingdom of heaven is like leaven, which a woman took, and hid in three measures of meal, till the whole was leavened.</w:t>
      </w:r>
    </w:p>
    <w:p>
      <w:r>
        <w:rPr>
          <w:b/>
        </w:rPr>
        <w:t xml:space="preserve">34 </w:t>
      </w:r>
      <w:r>
        <w:t xml:space="preserve">All these things Jesus spoke to the crowd in parables; and without a parable he did not speak to them:</w:t>
      </w:r>
    </w:p>
    <w:p>
      <w:r>
        <w:rPr>
          <w:b/>
        </w:rPr>
        <w:t xml:space="preserve">35 </w:t>
      </w:r>
      <w:r>
        <w:t xml:space="preserve">That it might be fulfilled which was spoken by the prophet, saying, I will open</w:t>
      </w:r>
      <w:r>
        <w:rPr>
          <w:rStyle w:val="FootnoteReference"/>
        </w:rPr>
        <w:footnoteReference w:id="14495"/>
      </w:r>
      <w:r>
        <w:t xml:space="preserve"> my mouth in parables; I will utter things which have been kept secret from the foundation of the world.</w:t>
      </w:r>
    </w:p>
    <w:p>
      <w:r>
        <w:rPr>
          <w:b/>
        </w:rPr>
        <w:t xml:space="preserve">36 </w:t>
      </w:r>
      <w:r>
        <w:t xml:space="preserve">Then Jesus</w:t>
      </w:r>
      <w:r>
        <w:rPr>
          <w:rStyle w:val="FootnoteReference"/>
        </w:rPr>
        <w:footnoteReference w:id="14496"/>
      </w:r>
      <w:r>
        <w:t xml:space="preserve"> sent the crowd away, and went into the house: and his disciples came to him, saying, Declare to us the parable of the tares of the field.</w:t>
      </w:r>
    </w:p>
    <w:p>
      <w:r>
        <w:rPr>
          <w:b/>
        </w:rPr>
        <w:t xml:space="preserve">37 </w:t>
      </w:r>
      <w:r>
        <w:t xml:space="preserve">He answered and said to them, The one who sows the good seed is the Son of man;</w:t>
      </w:r>
    </w:p>
    <w:p>
      <w:r>
        <w:rPr>
          <w:b/>
        </w:rPr>
        <w:t xml:space="preserve">38 </w:t>
      </w:r>
      <w:r>
        <w:t xml:space="preserve">The field</w:t>
      </w:r>
      <w:r>
        <w:rPr>
          <w:rStyle w:val="FootnoteReference"/>
        </w:rPr>
        <w:footnoteReference w:id="14497"/>
      </w:r>
      <w:r>
        <w:t xml:space="preserve"> is the world; the good seed are the children of the kingdom; but the tares are the children of the wicked one;</w:t>
      </w:r>
    </w:p>
    <w:p>
      <w:r>
        <w:rPr>
          <w:b/>
        </w:rPr>
        <w:t xml:space="preserve">39 </w:t>
      </w:r>
      <w:r>
        <w:t xml:space="preserve">The enemy</w:t>
      </w:r>
      <w:r>
        <w:rPr>
          <w:rStyle w:val="FootnoteReference"/>
        </w:rPr>
        <w:footnoteReference w:id="14498"/>
      </w:r>
      <w:r>
        <w:t xml:space="preserve"> that sowed them is the devil; the harvest is the completion of the age; and the reapers are the angels.</w:t>
      </w:r>
    </w:p>
    <w:p>
      <w:r>
        <w:rPr>
          <w:b/>
        </w:rPr>
        <w:t xml:space="preserve">40 </w:t>
      </w:r>
      <w:r>
        <w:t xml:space="preserve">As therefore the tares are gathered and burned in the fire; so shall it be in the end of this age.</w:t>
      </w:r>
    </w:p>
    <w:p>
      <w:r>
        <w:rPr>
          <w:b/>
        </w:rPr>
        <w:t xml:space="preserve">41 </w:t>
      </w:r>
      <w:r>
        <w:t xml:space="preserve">The Son</w:t>
      </w:r>
      <w:r>
        <w:rPr>
          <w:rStyle w:val="FootnoteReference"/>
        </w:rPr>
        <w:footnoteReference w:id="14499"/>
      </w:r>
      <w:r>
        <w:t xml:space="preserve"> of man shall send forth his angels, and they shall gather out of his kingdom all things that offend, and those who do iniquity;</w:t>
      </w:r>
    </w:p>
    <w:p>
      <w:r>
        <w:rPr>
          <w:b/>
        </w:rPr>
        <w:t xml:space="preserve">42 </w:t>
      </w:r>
      <w:r>
        <w:t xml:space="preserve">And shall cast</w:t>
      </w:r>
      <w:r>
        <w:rPr>
          <w:rStyle w:val="FootnoteReference"/>
        </w:rPr>
        <w:footnoteReference w:id="14500"/>
      </w:r>
      <w:r>
        <w:t xml:space="preserve"> them into a furnace of fire: there shall be wailing and gnashing of teeth.</w:t>
      </w:r>
    </w:p>
    <w:p>
      <w:r>
        <w:rPr>
          <w:b/>
        </w:rPr>
        <w:t xml:space="preserve">43 </w:t>
      </w:r>
      <w:r>
        <w:t xml:space="preserve">Then shall the righteous shine forth as the sun in the kingdom of their Father. Who has ears to hear, let him hear.</w:t>
      </w:r>
    </w:p>
    <w:p>
      <w:r>
        <w:rPr>
          <w:b/>
        </w:rPr>
        <w:t xml:space="preserve">44 </w:t>
      </w:r>
      <w:r>
        <w:t xml:space="preserve">Again, the kingdom of heaven is like treasure hidden in a field; which when a man has found, he hides, and for joy</w:t>
      </w:r>
      <w:r>
        <w:rPr>
          <w:rStyle w:val="FootnoteReference"/>
        </w:rPr>
        <w:footnoteReference w:id="14501"/>
      </w:r>
      <w:r>
        <w:t xml:space="preserve"> of it goes and sells all that he has, and buys that field.</w:t>
      </w:r>
    </w:p>
    <w:p>
      <w:r>
        <w:rPr>
          <w:b/>
        </w:rPr>
        <w:t xml:space="preserve">45 </w:t>
      </w:r>
      <w:r>
        <w:t xml:space="preserve">Again, the kingdom of heaven is like a merchant, seeking</w:t>
      </w:r>
      <w:r>
        <w:rPr>
          <w:rStyle w:val="FootnoteReference"/>
        </w:rPr>
        <w:footnoteReference w:id="14502"/>
      </w:r>
      <w:r>
        <w:t xml:space="preserve"> goodly pearls:</w:t>
      </w:r>
    </w:p>
    <w:p>
      <w:r>
        <w:rPr>
          <w:b/>
        </w:rPr>
        <w:t xml:space="preserve">46 </w:t>
      </w:r>
      <w:r>
        <w:t xml:space="preserve">Who, when he had found one pearl of great price, went</w:t>
      </w:r>
      <w:r>
        <w:rPr>
          <w:rStyle w:val="FootnoteReference"/>
        </w:rPr>
        <w:footnoteReference w:id="14503"/>
      </w:r>
      <w:r>
        <w:t xml:space="preserve"> and sold all that he had, and bought it.</w:t>
      </w:r>
    </w:p>
    <w:p>
      <w:r>
        <w:rPr>
          <w:b/>
        </w:rPr>
        <w:t xml:space="preserve">47 </w:t>
      </w:r>
      <w:r>
        <w:t xml:space="preserve">Again, the kingdom of heaven is like to a net</w:t>
      </w:r>
      <w:r>
        <w:rPr>
          <w:rStyle w:val="FootnoteReference"/>
        </w:rPr>
        <w:footnoteReference w:id="14504"/>
      </w:r>
      <w:r>
        <w:t xml:space="preserve">, that was cast into the sea, and gathered of every kind:</w:t>
      </w:r>
    </w:p>
    <w:p>
      <w:r>
        <w:rPr>
          <w:b/>
        </w:rPr>
        <w:t xml:space="preserve">48 </w:t>
      </w:r>
      <w:r>
        <w:t xml:space="preserve">Which, when it was full, they drew to shore, and sat down, and gathered</w:t>
      </w:r>
      <w:r>
        <w:rPr>
          <w:rStyle w:val="FootnoteReference"/>
        </w:rPr>
        <w:footnoteReference w:id="14505"/>
      </w:r>
      <w:r>
        <w:t xml:space="preserve"> the good into vessels, but cast the bad away.</w:t>
      </w:r>
    </w:p>
    <w:p>
      <w:r>
        <w:rPr>
          <w:b/>
        </w:rPr>
        <w:t xml:space="preserve">49 </w:t>
      </w:r>
      <w:r>
        <w:t xml:space="preserve">So shall it be at the completion of the age: the angels</w:t>
      </w:r>
      <w:r>
        <w:rPr>
          <w:rStyle w:val="FootnoteReference"/>
        </w:rPr>
        <w:footnoteReference w:id="14506"/>
      </w:r>
      <w:r>
        <w:t xml:space="preserve"> shall come forth, and sever the wicked from among the just,</w:t>
      </w:r>
    </w:p>
    <w:p>
      <w:r>
        <w:rPr>
          <w:b/>
        </w:rPr>
        <w:t xml:space="preserve">50 </w:t>
      </w:r>
      <w:r>
        <w:t xml:space="preserve">And shall cast</w:t>
      </w:r>
      <w:r>
        <w:rPr>
          <w:rStyle w:val="FootnoteReference"/>
        </w:rPr>
        <w:footnoteReference w:id="14507"/>
      </w:r>
      <w:r>
        <w:t xml:space="preserve"> them into the furnace of fire: there shall be wailing and gnashing of teeth.</w:t>
      </w:r>
    </w:p>
    <w:p>
      <w:r>
        <w:rPr>
          <w:b/>
        </w:rPr>
        <w:t xml:space="preserve">51 </w:t>
      </w:r>
      <w:r>
        <w:t xml:space="preserve">Jesus says to them, Have you understood all these things? They say to him, Yes, Lord.</w:t>
      </w:r>
    </w:p>
    <w:p>
      <w:r>
        <w:rPr>
          <w:b/>
        </w:rPr>
        <w:t xml:space="preserve">52 </w:t>
      </w:r>
      <w:r>
        <w:t xml:space="preserve">Then he said to them, Therefore every scribe</w:t>
      </w:r>
      <w:r>
        <w:rPr>
          <w:rStyle w:val="FootnoteReference"/>
        </w:rPr>
        <w:footnoteReference w:id="14508"/>
      </w:r>
      <w:r>
        <w:t xml:space="preserve"> who is instructed in the kingdom of heaven is like a man who is a householder, who produces out of his treasure things new and old.</w:t>
      </w:r>
    </w:p>
    <w:p>
      <w:r>
        <w:rPr>
          <w:b/>
        </w:rPr>
        <w:t xml:space="preserve">53 </w:t>
      </w:r>
      <w:r>
        <w:t xml:space="preserve">And it happened, that when Jesus had finished these parables, he departed from there.</w:t>
      </w:r>
    </w:p>
    <w:p>
      <w:r>
        <w:rPr>
          <w:b/>
        </w:rPr>
        <w:t xml:space="preserve">54 </w:t>
      </w:r>
      <w:r>
        <w:t xml:space="preserve">And when he had come into his own country, he taught</w:t>
      </w:r>
      <w:r>
        <w:rPr>
          <w:rStyle w:val="FootnoteReference"/>
        </w:rPr>
        <w:footnoteReference w:id="14509"/>
      </w:r>
      <w:r>
        <w:t xml:space="preserve"> them in their synagogue, so that they were astonished, and said, From where has this man this wisdom, and these mighty works?</w:t>
      </w:r>
    </w:p>
    <w:p>
      <w:r>
        <w:rPr>
          <w:b/>
        </w:rPr>
        <w:t xml:space="preserve">55 </w:t>
      </w:r>
      <w:r>
        <w:t xml:space="preserve">Is not this</w:t>
      </w:r>
      <w:r>
        <w:rPr>
          <w:rStyle w:val="FootnoteReference"/>
        </w:rPr>
        <w:footnoteReference w:id="14510"/>
      </w:r>
      <w:r>
        <w:t xml:space="preserve"> the carpenter's son? is not his mother called Mary? and his brothers, James, and Joses</w:t>
      </w:r>
      <w:r>
        <w:rPr>
          <w:rStyle w:val="FootnoteReference"/>
        </w:rPr>
        <w:footnoteReference w:id="14511"/>
      </w:r>
      <w:r>
        <w:t xml:space="preserve">, and Simon, and Judas?</w:t>
      </w:r>
    </w:p>
    <w:p>
      <w:r>
        <w:rPr>
          <w:b/>
        </w:rPr>
        <w:t xml:space="preserve">56 </w:t>
      </w:r>
      <w:r>
        <w:t xml:space="preserve">And his sisters, are they not all with us? From where then has this man all these things?</w:t>
      </w:r>
    </w:p>
    <w:p>
      <w:r>
        <w:rPr>
          <w:b/>
        </w:rPr>
        <w:t xml:space="preserve">57 </w:t>
      </w:r>
      <w:r>
        <w:t xml:space="preserve">And they were offended in him. But Jesus said to them, A prophet</w:t>
      </w:r>
      <w:r>
        <w:rPr>
          <w:rStyle w:val="FootnoteReference"/>
        </w:rPr>
        <w:footnoteReference w:id="14512"/>
      </w:r>
      <w:r>
        <w:t xml:space="preserve"> is not without honor, except in his own country, and in his own house.</w:t>
      </w:r>
    </w:p>
    <w:p>
      <w:r>
        <w:rPr>
          <w:b/>
        </w:rPr>
        <w:t xml:space="preserve">58 </w:t>
      </w:r>
      <w:r>
        <w:t xml:space="preserve">And he did not do many mighty works there because of their unbelief.</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At that time Herod</w:t>
      </w:r>
      <w:r>
        <w:rPr>
          <w:rStyle w:val="FootnoteReference"/>
        </w:rPr>
        <w:footnoteReference w:id="14513"/>
      </w:r>
      <w:r>
        <w:t xml:space="preserve"> the tetrarch heard of the fame of Jesus,</w:t>
      </w:r>
    </w:p>
    <w:p>
      <w:r>
        <w:rPr>
          <w:b/>
        </w:rPr>
        <w:t xml:space="preserve">2 </w:t>
      </w:r>
      <w:r>
        <w:t xml:space="preserve">And said to his servants, This is John the Baptist; he has risen from the dead; and therefore mighty works show themselves in him.</w:t>
      </w:r>
    </w:p>
    <w:p>
      <w:r>
        <w:rPr>
          <w:b/>
        </w:rPr>
        <w:t xml:space="preserve">3 </w:t>
      </w:r>
      <w:r>
        <w:t xml:space="preserve">For Herod</w:t>
      </w:r>
      <w:r>
        <w:rPr>
          <w:rStyle w:val="FootnoteReference"/>
        </w:rPr>
        <w:footnoteReference w:id="14514"/>
      </w:r>
      <w:r>
        <w:t xml:space="preserve"> had laid hold on John, and bound him, and put him in prison for Herodias</w:t>
      </w:r>
      <w:r>
        <w:rPr>
          <w:rStyle w:val="FootnoteReference"/>
        </w:rPr>
        <w:footnoteReference w:id="14515"/>
      </w:r>
      <w:r>
        <w:t xml:space="preserve">' sake, his brother Philip's wife.</w:t>
      </w:r>
    </w:p>
    <w:p>
      <w:r>
        <w:rPr>
          <w:b/>
        </w:rPr>
        <w:t xml:space="preserve">4 </w:t>
      </w:r>
      <w:r>
        <w:t xml:space="preserve">For John said to him, It is not lawful for you to have her.</w:t>
      </w:r>
    </w:p>
    <w:p>
      <w:r>
        <w:rPr>
          <w:b/>
        </w:rPr>
        <w:t xml:space="preserve">5 </w:t>
      </w:r>
      <w:r>
        <w:t xml:space="preserve">And when he would have put him to death, he feared the crowd, because they counted him as a prophet.</w:t>
      </w:r>
    </w:p>
    <w:p>
      <w:r>
        <w:rPr>
          <w:b/>
        </w:rPr>
        <w:t xml:space="preserve">6 </w:t>
      </w:r>
      <w:r>
        <w:t xml:space="preserve">But when Herod's birthday</w:t>
      </w:r>
      <w:r>
        <w:rPr>
          <w:rStyle w:val="FootnoteReference"/>
        </w:rPr>
        <w:footnoteReference w:id="14516"/>
      </w:r>
      <w:r>
        <w:t xml:space="preserve"> was kept, the daughter of Herodias danced before them, and pleased Herod.</w:t>
      </w:r>
    </w:p>
    <w:p>
      <w:r>
        <w:rPr>
          <w:b/>
        </w:rPr>
        <w:t xml:space="preserve">7 </w:t>
      </w:r>
      <w:r>
        <w:t xml:space="preserve">Whereupon he promised with an oath to give her whatever she would ask.</w:t>
      </w:r>
    </w:p>
    <w:p>
      <w:r>
        <w:rPr>
          <w:b/>
        </w:rPr>
        <w:t xml:space="preserve">8 </w:t>
      </w:r>
      <w:r>
        <w:t xml:space="preserve">And she, being instructed beforehand by her mother, said, Give</w:t>
      </w:r>
      <w:r>
        <w:rPr>
          <w:rStyle w:val="FootnoteReference"/>
        </w:rPr>
        <w:footnoteReference w:id="14517"/>
      </w:r>
      <w:r>
        <w:t xml:space="preserve"> me here John the Baptist's head on a platter.</w:t>
      </w:r>
    </w:p>
    <w:p>
      <w:r>
        <w:rPr>
          <w:b/>
        </w:rPr>
        <w:t xml:space="preserve">9 </w:t>
      </w:r>
      <w:r>
        <w:t xml:space="preserve">And the king was sorry</w:t>
      </w:r>
      <w:r>
        <w:rPr>
          <w:rStyle w:val="FootnoteReference"/>
        </w:rPr>
        <w:footnoteReference w:id="14518"/>
      </w:r>
      <w:r>
        <w:t xml:space="preserve">: nevertheless for the oath's sake, and those who reclined with him at table, he commanded it to be given her.</w:t>
      </w:r>
    </w:p>
    <w:p>
      <w:r>
        <w:rPr>
          <w:b/>
        </w:rPr>
        <w:t xml:space="preserve">10 </w:t>
      </w:r>
      <w:r>
        <w:t xml:space="preserve">And he sent, and beheaded</w:t>
      </w:r>
      <w:r>
        <w:rPr>
          <w:rStyle w:val="FootnoteReference"/>
        </w:rPr>
        <w:footnoteReference w:id="14519"/>
      </w:r>
      <w:r>
        <w:t xml:space="preserve"> John in the prison.</w:t>
      </w:r>
    </w:p>
    <w:p>
      <w:r>
        <w:rPr>
          <w:b/>
        </w:rPr>
        <w:t xml:space="preserve">11 </w:t>
      </w:r>
      <w:r>
        <w:t xml:space="preserve">And his head was brought in a platter, and given</w:t>
      </w:r>
      <w:r>
        <w:rPr>
          <w:rStyle w:val="FootnoteReference"/>
        </w:rPr>
        <w:footnoteReference w:id="14520"/>
      </w:r>
      <w:r>
        <w:t xml:space="preserve"> to the girl: and she brought it to her mother.</w:t>
      </w:r>
    </w:p>
    <w:p>
      <w:r>
        <w:rPr>
          <w:b/>
        </w:rPr>
        <w:t xml:space="preserve">12 </w:t>
      </w:r>
      <w:r>
        <w:t xml:space="preserve">And his disciples came, and took</w:t>
      </w:r>
      <w:r>
        <w:rPr>
          <w:rStyle w:val="FootnoteReference"/>
        </w:rPr>
        <w:footnoteReference w:id="14521"/>
      </w:r>
      <w:r>
        <w:t xml:space="preserve"> up the body, and buried it, and went and told Jesus.</w:t>
      </w:r>
    </w:p>
    <w:p>
      <w:r>
        <w:rPr>
          <w:b/>
        </w:rPr>
        <w:t xml:space="preserve">13 </w:t>
      </w:r>
      <w:r>
        <w:t xml:space="preserve">When Jesus heard of it, he departed from there by ship into a desert place apart: and when the people had heard of it, they followed him on foot out of the cities.</w:t>
      </w:r>
    </w:p>
    <w:p>
      <w:r>
        <w:rPr>
          <w:b/>
        </w:rPr>
        <w:t xml:space="preserve">14 </w:t>
      </w:r>
      <w:r>
        <w:t xml:space="preserve">And Jesus went forth, and saw a great crowd, and was moved with compassion toward them, and he healed their sick.</w:t>
      </w:r>
    </w:p>
    <w:p>
      <w:r>
        <w:rPr>
          <w:b/>
        </w:rPr>
        <w:t xml:space="preserve">15 </w:t>
      </w:r>
      <w:r>
        <w:t xml:space="preserve">And when it was evening, his disciples came to him, saying, This is a desert place, and the time is now past; send</w:t>
      </w:r>
      <w:r>
        <w:rPr>
          <w:rStyle w:val="FootnoteReference"/>
        </w:rPr>
        <w:footnoteReference w:id="14522"/>
      </w:r>
      <w:r>
        <w:t xml:space="preserve"> the crowd away, that they may go into the villages, and buy themselves food.</w:t>
      </w:r>
    </w:p>
    <w:p>
      <w:r>
        <w:rPr>
          <w:b/>
        </w:rPr>
        <w:t xml:space="preserve">16 </w:t>
      </w:r>
      <w:r>
        <w:t xml:space="preserve">But Jesus said to them, They need not depart; you give them to eat.</w:t>
      </w:r>
    </w:p>
    <w:p>
      <w:r>
        <w:rPr>
          <w:b/>
        </w:rPr>
        <w:t xml:space="preserve">17 </w:t>
      </w:r>
      <w:r>
        <w:t xml:space="preserve">And they say to him, We have here but five loaves, and two fish.</w:t>
      </w:r>
    </w:p>
    <w:p>
      <w:r>
        <w:rPr>
          <w:b/>
        </w:rPr>
        <w:t xml:space="preserve">18 </w:t>
      </w:r>
      <w:r>
        <w:t xml:space="preserve">He said, Bring them here to me.</w:t>
      </w:r>
    </w:p>
    <w:p>
      <w:r>
        <w:rPr>
          <w:b/>
        </w:rPr>
        <w:t xml:space="preserve">19 </w:t>
      </w:r>
      <w:r>
        <w:t xml:space="preserve">And he commanded</w:t>
      </w:r>
      <w:r>
        <w:rPr>
          <w:rStyle w:val="FootnoteReference"/>
        </w:rPr>
        <w:footnoteReference w:id="14523"/>
      </w:r>
      <w:r>
        <w:t xml:space="preserve"> the crowd to sit down on the grass, and took the five loaves, and the two fish, and looking up to heaven, he blessed, and broke, and gave the loaves to his disciples, and the disciples to the crowd.</w:t>
      </w:r>
    </w:p>
    <w:p>
      <w:r>
        <w:rPr>
          <w:b/>
        </w:rPr>
        <w:t xml:space="preserve">20 </w:t>
      </w:r>
      <w:r>
        <w:t xml:space="preserve">And they all ate, and were filled: and they took</w:t>
      </w:r>
      <w:r>
        <w:rPr>
          <w:rStyle w:val="FootnoteReference"/>
        </w:rPr>
        <w:footnoteReference w:id="14524"/>
      </w:r>
      <w:r>
        <w:t xml:space="preserve"> up of the fragments that remained twelve baskets full.</w:t>
      </w:r>
    </w:p>
    <w:p>
      <w:r>
        <w:rPr>
          <w:b/>
        </w:rPr>
        <w:t xml:space="preserve">21 </w:t>
      </w:r>
      <w:r>
        <w:t xml:space="preserve">And those who had eaten were about five thousand men, beside women and children.</w:t>
      </w:r>
    </w:p>
    <w:p>
      <w:r>
        <w:rPr>
          <w:b/>
        </w:rPr>
        <w:t xml:space="preserve">22 </w:t>
      </w:r>
      <w:r>
        <w:t xml:space="preserve">And immediately Jesus</w:t>
      </w:r>
      <w:r>
        <w:rPr>
          <w:rStyle w:val="FootnoteReference"/>
        </w:rPr>
        <w:footnoteReference w:id="14525"/>
      </w:r>
      <w:r>
        <w:t xml:space="preserve"> constrained his disciples to get into a boat, and to go before him to the other side, while he sent the crowds away.</w:t>
      </w:r>
    </w:p>
    <w:p>
      <w:r>
        <w:rPr>
          <w:b/>
        </w:rPr>
        <w:t xml:space="preserve">23 </w:t>
      </w:r>
      <w:r>
        <w:t xml:space="preserve">And when he had sent the crowds away, he went up into a mountain apart to pray: and when the evening had come, he was there alone.</w:t>
      </w:r>
    </w:p>
    <w:p>
      <w:r>
        <w:rPr>
          <w:b/>
        </w:rPr>
        <w:t xml:space="preserve">24 </w:t>
      </w:r>
      <w:r>
        <w:t xml:space="preserve">But the boat was now in the midst of the sea, tossed</w:t>
      </w:r>
      <w:r>
        <w:rPr>
          <w:rStyle w:val="FootnoteReference"/>
        </w:rPr>
        <w:footnoteReference w:id="14526"/>
      </w:r>
      <w:r>
        <w:t xml:space="preserve"> with waves: for the wind was contrary.</w:t>
      </w:r>
    </w:p>
    <w:p>
      <w:r>
        <w:rPr>
          <w:b/>
        </w:rPr>
        <w:t xml:space="preserve">25 </w:t>
      </w:r>
      <w:r>
        <w:t xml:space="preserve">And in the fourth watch</w:t>
      </w:r>
      <w:r>
        <w:rPr>
          <w:rStyle w:val="FootnoteReference"/>
        </w:rPr>
        <w:footnoteReference w:id="14527"/>
      </w:r>
      <w:r>
        <w:t xml:space="preserve"> of the night Jesus went to them, walking on the sea.</w:t>
      </w:r>
    </w:p>
    <w:p>
      <w:r>
        <w:rPr>
          <w:b/>
        </w:rPr>
        <w:t xml:space="preserve">26 </w:t>
      </w:r>
      <w:r>
        <w:t xml:space="preserve">And when the disciples saw him walking on the sea, they were</w:t>
      </w:r>
      <w:r>
        <w:rPr>
          <w:rStyle w:val="FootnoteReference"/>
        </w:rPr>
        <w:footnoteReference w:id="14528"/>
      </w:r>
      <w:r>
        <w:t xml:space="preserve"> troubled, saying, It is a spirit; and they cried out for fear.</w:t>
      </w:r>
    </w:p>
    <w:p>
      <w:r>
        <w:rPr>
          <w:b/>
        </w:rPr>
        <w:t xml:space="preserve">27 </w:t>
      </w:r>
      <w:r>
        <w:t xml:space="preserve">But immediately Jesus spoke to them, saying, take courage; it is I; do not be afraid.</w:t>
      </w:r>
    </w:p>
    <w:p>
      <w:r>
        <w:rPr>
          <w:b/>
        </w:rPr>
        <w:t xml:space="preserve">28 </w:t>
      </w:r>
      <w:r>
        <w:t xml:space="preserve">And Peter answered him and said, Lord, if it is you, bid me come to you on the water.</w:t>
      </w:r>
    </w:p>
    <w:p>
      <w:r>
        <w:rPr>
          <w:b/>
        </w:rPr>
        <w:t xml:space="preserve">29 </w:t>
      </w:r>
      <w:r>
        <w:t xml:space="preserve">And he said, Come. And when Peter had come down out of the boat, he walked</w:t>
      </w:r>
      <w:r>
        <w:rPr>
          <w:rStyle w:val="FootnoteReference"/>
        </w:rPr>
        <w:footnoteReference w:id="14529"/>
      </w:r>
      <w:r>
        <w:t xml:space="preserve"> on the water, to go to Jesus.</w:t>
      </w:r>
    </w:p>
    <w:p>
      <w:r>
        <w:rPr>
          <w:b/>
        </w:rPr>
        <w:t xml:space="preserve">30 </w:t>
      </w:r>
      <w:r>
        <w:t xml:space="preserve">But when he saw the wind boisterous, he was afraid; and beginning to sink, he cried, saying, Lord</w:t>
      </w:r>
      <w:r>
        <w:rPr>
          <w:rStyle w:val="FootnoteReference"/>
        </w:rPr>
        <w:footnoteReference w:id="14530"/>
      </w:r>
      <w:r>
        <w:t xml:space="preserve">, save me.</w:t>
      </w:r>
    </w:p>
    <w:p>
      <w:r>
        <w:rPr>
          <w:b/>
        </w:rPr>
        <w:t xml:space="preserve">31 </w:t>
      </w:r>
      <w:r>
        <w:t xml:space="preserve">And immediately Jesus stretched</w:t>
      </w:r>
      <w:r>
        <w:rPr>
          <w:rStyle w:val="FootnoteReference"/>
        </w:rPr>
        <w:footnoteReference w:id="14531"/>
      </w:r>
      <w:r>
        <w:t xml:space="preserve"> forth his hand, and caught him, and said to him, O you of little faith, why did you doubt?</w:t>
      </w:r>
    </w:p>
    <w:p>
      <w:r>
        <w:rPr>
          <w:b/>
        </w:rPr>
        <w:t xml:space="preserve">32 </w:t>
      </w:r>
      <w:r>
        <w:t xml:space="preserve">And when they had come into the boat, the wind ceased.</w:t>
      </w:r>
    </w:p>
    <w:p>
      <w:r>
        <w:rPr>
          <w:b/>
        </w:rPr>
        <w:t xml:space="preserve">33 </w:t>
      </w:r>
      <w:r>
        <w:t xml:space="preserve">Then those who were in the ship came and worshiped him, saying, Truthfully you are the Son of God.</w:t>
      </w:r>
    </w:p>
    <w:p>
      <w:r>
        <w:rPr>
          <w:b/>
        </w:rPr>
        <w:t xml:space="preserve">34 </w:t>
      </w:r>
      <w:r>
        <w:t xml:space="preserve">And when they were gone over, they came into the land of Gennesaret</w:t>
      </w:r>
      <w:r>
        <w:rPr>
          <w:rStyle w:val="FootnoteReference"/>
        </w:rPr>
        <w:footnoteReference w:id="14532"/>
      </w:r>
      <w:r>
        <w:t xml:space="preserve">.</w:t>
      </w:r>
      <w:r>
        <w:rPr>
          <w:rStyle w:val="FootnoteReference"/>
        </w:rPr>
        <w:footnoteReference w:id="14533"/>
      </w:r>
    </w:p>
    <w:p>
      <w:r>
        <w:rPr>
          <w:b/>
        </w:rPr>
        <w:t xml:space="preserve">35 </w:t>
      </w:r>
      <w:r>
        <w:t xml:space="preserve">And when the men of that place had knowledge of him, they sent out into all that country round about, and brought to him all that were diseased;</w:t>
      </w:r>
    </w:p>
    <w:p>
      <w:r>
        <w:rPr>
          <w:b/>
        </w:rPr>
        <w:t xml:space="preserve">36 </w:t>
      </w:r>
      <w:r>
        <w:t xml:space="preserve">And begged him that they might only</w:t>
      </w:r>
      <w:r>
        <w:rPr>
          <w:rStyle w:val="FootnoteReference"/>
        </w:rPr>
        <w:footnoteReference w:id="14534"/>
      </w:r>
      <w:r>
        <w:t xml:space="preserve"> touch the hem of his clothing: and as many as touched were made perfectly whole.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Then came to Jesus scribes</w:t>
      </w:r>
      <w:r>
        <w:rPr>
          <w:rStyle w:val="FootnoteReference"/>
        </w:rPr>
        <w:footnoteReference w:id="14535"/>
      </w:r>
      <w:r>
        <w:t xml:space="preserve"> and Pharisees, who were of Jerusalem, saying,</w:t>
      </w:r>
    </w:p>
    <w:p>
      <w:r>
        <w:rPr>
          <w:b/>
        </w:rPr>
        <w:t xml:space="preserve">2 </w:t>
      </w:r>
      <w:r>
        <w:t xml:space="preserve">Why do your disciples transgress</w:t>
      </w:r>
      <w:r>
        <w:rPr>
          <w:rStyle w:val="FootnoteReference"/>
        </w:rPr>
        <w:footnoteReference w:id="14536"/>
      </w:r>
      <w:r>
        <w:t xml:space="preserve"> the tradition of the elders? for they do not wash their hands when they eat bread.</w:t>
      </w:r>
    </w:p>
    <w:p>
      <w:r>
        <w:rPr>
          <w:b/>
        </w:rPr>
        <w:t xml:space="preserve">3 </w:t>
      </w:r>
      <w:r>
        <w:t xml:space="preserve">But he answered and said to them, Why do you also transgress the commandment of God by your tradition?</w:t>
      </w:r>
    </w:p>
    <w:p>
      <w:r>
        <w:rPr>
          <w:b/>
        </w:rPr>
        <w:t xml:space="preserve">4 </w:t>
      </w:r>
      <w:r>
        <w:t xml:space="preserve">For God commanded, saying, Honor your father and mother: and, the one who curses father or mother, let him die the death.</w:t>
      </w:r>
    </w:p>
    <w:p>
      <w:r>
        <w:rPr>
          <w:b/>
        </w:rPr>
        <w:t xml:space="preserve">5 </w:t>
      </w:r>
      <w:r>
        <w:t xml:space="preserve">But you say, Whoever shall say to his father or his mother, It is a gift, by whatever you might be profited by me;</w:t>
      </w:r>
    </w:p>
    <w:p>
      <w:r>
        <w:rPr>
          <w:b/>
        </w:rPr>
        <w:t xml:space="preserve">6 </w:t>
      </w:r>
      <w:r>
        <w:t xml:space="preserve">And honor not his father or his mother, he shall be free. Thus</w:t>
      </w:r>
      <w:r>
        <w:rPr>
          <w:rStyle w:val="FootnoteReference"/>
        </w:rPr>
        <w:footnoteReference w:id="14537"/>
      </w:r>
      <w:r>
        <w:t xml:space="preserve"> have you made the commandment of God of no effect by your tradition.</w:t>
      </w:r>
    </w:p>
    <w:p>
      <w:r>
        <w:rPr>
          <w:b/>
        </w:rPr>
        <w:t xml:space="preserve">7 </w:t>
      </w:r>
      <w:r>
        <w:t xml:space="preserve">You hypocrites</w:t>
      </w:r>
      <w:r>
        <w:rPr>
          <w:rStyle w:val="FootnoteReference"/>
        </w:rPr>
        <w:footnoteReference w:id="14538"/>
      </w:r>
      <w:r>
        <w:t xml:space="preserve">, well did Isaiah prophesy of you, saying,</w:t>
      </w:r>
    </w:p>
    <w:p>
      <w:r>
        <w:rPr>
          <w:b/>
        </w:rPr>
        <w:t xml:space="preserve">8 </w:t>
      </w:r>
      <w:r>
        <w:t xml:space="preserve">This people draws near to me with their mouth, and honors me with their lips; but their heart is far from me.</w:t>
      </w:r>
    </w:p>
    <w:p>
      <w:r>
        <w:rPr>
          <w:b/>
        </w:rPr>
        <w:t xml:space="preserve">9 </w:t>
      </w:r>
      <w:r>
        <w:t xml:space="preserve">But in vain they do worship me, teaching</w:t>
      </w:r>
      <w:r>
        <w:rPr>
          <w:rStyle w:val="FootnoteReference"/>
        </w:rPr>
        <w:footnoteReference w:id="14539"/>
      </w:r>
      <w:r>
        <w:t xml:space="preserve"> for doctrines the commandments of men.</w:t>
      </w:r>
    </w:p>
    <w:p>
      <w:r>
        <w:rPr>
          <w:b/>
        </w:rPr>
        <w:t xml:space="preserve">10 </w:t>
      </w:r>
      <w:r>
        <w:t xml:space="preserve">And he called the crowd, and said to them, Hear</w:t>
      </w:r>
      <w:r>
        <w:rPr>
          <w:rStyle w:val="FootnoteReference"/>
        </w:rPr>
        <w:footnoteReference w:id="14540"/>
      </w:r>
      <w:r>
        <w:t xml:space="preserve">, and understand:</w:t>
      </w:r>
    </w:p>
    <w:p>
      <w:r>
        <w:rPr>
          <w:b/>
        </w:rPr>
        <w:t xml:space="preserve">11 </w:t>
      </w:r>
      <w:r>
        <w:t xml:space="preserve">Not that which goes into the mouth defiles a man; but that which comes out of the mouth, this defiles a man.</w:t>
      </w:r>
    </w:p>
    <w:p>
      <w:r>
        <w:rPr>
          <w:b/>
        </w:rPr>
        <w:t xml:space="preserve">12 </w:t>
      </w:r>
      <w:r>
        <w:t xml:space="preserve">Then came his disciples, and said to him, Do you know that the Pharisees were offended, after they heard this saying?</w:t>
      </w:r>
    </w:p>
    <w:p>
      <w:r>
        <w:rPr>
          <w:b/>
        </w:rPr>
        <w:t xml:space="preserve">13 </w:t>
      </w:r>
      <w:r>
        <w:t xml:space="preserve">But he answered and said, Every plant, which my heavenly Father has not planted, shall be rooted up.</w:t>
      </w:r>
    </w:p>
    <w:p>
      <w:r>
        <w:rPr>
          <w:b/>
        </w:rPr>
        <w:t xml:space="preserve">14 </w:t>
      </w:r>
      <w:r>
        <w:t xml:space="preserve">Let them alone: they are blind leaders of the blind. And if</w:t>
      </w:r>
      <w:r>
        <w:rPr>
          <w:rStyle w:val="FootnoteReference"/>
        </w:rPr>
        <w:footnoteReference w:id="14541"/>
      </w:r>
      <w:r>
        <w:t xml:space="preserve"> the blind lead the blind, both shall fall into the ditch.</w:t>
      </w:r>
    </w:p>
    <w:p>
      <w:r>
        <w:rPr>
          <w:b/>
        </w:rPr>
        <w:t xml:space="preserve">15 </w:t>
      </w:r>
      <w:r>
        <w:t xml:space="preserve">Then answered Peter and said to him, Declare</w:t>
      </w:r>
      <w:r>
        <w:rPr>
          <w:rStyle w:val="FootnoteReference"/>
        </w:rPr>
        <w:footnoteReference w:id="14542"/>
      </w:r>
      <w:r>
        <w:t xml:space="preserve"> to us this parable.</w:t>
      </w:r>
    </w:p>
    <w:p>
      <w:r>
        <w:rPr>
          <w:b/>
        </w:rPr>
        <w:t xml:space="preserve">16 </w:t>
      </w:r>
      <w:r>
        <w:t xml:space="preserve">And Jesus said, Are you also yet without understanding?</w:t>
      </w:r>
    </w:p>
    <w:p>
      <w:r>
        <w:rPr>
          <w:b/>
        </w:rPr>
        <w:t xml:space="preserve">17 </w:t>
      </w:r>
      <w:r>
        <w:t xml:space="preserve">Do you not yet understand, that whatever enters in at the mouth goes into the belly, and is</w:t>
      </w:r>
      <w:r>
        <w:rPr>
          <w:rStyle w:val="FootnoteReference"/>
        </w:rPr>
        <w:footnoteReference w:id="14543"/>
      </w:r>
      <w:r>
        <w:t xml:space="preserve"> cast out into the latrine?</w:t>
      </w:r>
    </w:p>
    <w:p>
      <w:r>
        <w:rPr>
          <w:b/>
        </w:rPr>
        <w:t xml:space="preserve">18 </w:t>
      </w:r>
      <w:r>
        <w:t xml:space="preserve">But those things which proceed out of the mouth come forth from the heart; and they defile the man.</w:t>
      </w:r>
    </w:p>
    <w:p>
      <w:r>
        <w:rPr>
          <w:b/>
        </w:rPr>
        <w:t xml:space="preserve">19 </w:t>
      </w:r>
      <w:r>
        <w:t xml:space="preserve">For out of the heart proceed evil</w:t>
      </w:r>
      <w:r>
        <w:rPr>
          <w:rStyle w:val="FootnoteReference"/>
        </w:rPr>
        <w:footnoteReference w:id="14544"/>
      </w:r>
      <w:r>
        <w:t xml:space="preserve"> thoughts, murders, adulteries, sexual immoralities, thefts, false witness, blasphemies:</w:t>
      </w:r>
    </w:p>
    <w:p>
      <w:r>
        <w:rPr>
          <w:b/>
        </w:rPr>
        <w:t xml:space="preserve">20 </w:t>
      </w:r>
      <w:r>
        <w:t xml:space="preserve">These are the things which defile a man: but to eat with unwashed hands does not defile a man.</w:t>
      </w:r>
    </w:p>
    <w:p>
      <w:r>
        <w:rPr>
          <w:b/>
        </w:rPr>
        <w:t xml:space="preserve">21 </w:t>
      </w:r>
      <w:r>
        <w:t xml:space="preserve">Then Jesus went from there, and departed</w:t>
      </w:r>
      <w:r>
        <w:rPr>
          <w:rStyle w:val="FootnoteReference"/>
        </w:rPr>
        <w:footnoteReference w:id="14545"/>
      </w:r>
      <w:r>
        <w:t xml:space="preserve"> into the borders of Tyre and Sidon.</w:t>
      </w:r>
    </w:p>
    <w:p>
      <w:r>
        <w:rPr>
          <w:b/>
        </w:rPr>
        <w:t xml:space="preserve">22 </w:t>
      </w:r>
      <w:r>
        <w:t xml:space="preserve">And, look, a woman</w:t>
      </w:r>
      <w:r>
        <w:rPr>
          <w:rStyle w:val="FootnoteReference"/>
        </w:rPr>
        <w:footnoteReference w:id="14546"/>
      </w:r>
      <w:r>
        <w:t xml:space="preserve"> of Canaan</w:t>
      </w:r>
      <w:r>
        <w:rPr>
          <w:rStyle w:val="FootnoteReference"/>
        </w:rPr>
        <w:footnoteReference w:id="14547"/>
      </w:r>
      <w:r>
        <w:t xml:space="preserve"> came out of the same borders, and cried to him, saying, Have mercy on me, O Lord, you son of David; my daughter is grievously vexed with a demon.</w:t>
      </w:r>
    </w:p>
    <w:p>
      <w:r>
        <w:rPr>
          <w:b/>
        </w:rPr>
        <w:t xml:space="preserve">23 </w:t>
      </w:r>
      <w:r>
        <w:t xml:space="preserve">But he did not answer her a word. And his disciples came and begged him, saying, Send</w:t>
      </w:r>
      <w:r>
        <w:rPr>
          <w:rStyle w:val="FootnoteReference"/>
        </w:rPr>
        <w:footnoteReference w:id="14548"/>
      </w:r>
      <w:r>
        <w:t xml:space="preserve"> her away; for she cries after us.</w:t>
      </w:r>
    </w:p>
    <w:p>
      <w:r>
        <w:rPr>
          <w:b/>
        </w:rPr>
        <w:t xml:space="preserve">24 </w:t>
      </w:r>
      <w:r>
        <w:t xml:space="preserve">But he answered and said, I was not sent except to the lost sheep of the house of Israel.</w:t>
      </w:r>
    </w:p>
    <w:p>
      <w:r>
        <w:rPr>
          <w:b/>
        </w:rPr>
        <w:t xml:space="preserve">25 </w:t>
      </w:r>
      <w:r>
        <w:t xml:space="preserve">Then came she and worshiped him, saying, Lord, help me.</w:t>
      </w:r>
    </w:p>
    <w:p>
      <w:r>
        <w:rPr>
          <w:b/>
        </w:rPr>
        <w:t xml:space="preserve">26 </w:t>
      </w:r>
      <w:r>
        <w:t xml:space="preserve">But he answered and said, It is not</w:t>
      </w:r>
      <w:r>
        <w:rPr>
          <w:rStyle w:val="FootnoteReference"/>
        </w:rPr>
        <w:footnoteReference w:id="14549"/>
      </w:r>
      <w:r>
        <w:t xml:space="preserve"> fitting to take the children's bread, and to cast it to dogs.</w:t>
      </w:r>
    </w:p>
    <w:p>
      <w:r>
        <w:rPr>
          <w:b/>
        </w:rPr>
        <w:t xml:space="preserve">27 </w:t>
      </w:r>
      <w:r>
        <w:t xml:space="preserve">And she said, Yes, Lord: yet the dogs eat of the crumbs which fall from their masters' table.</w:t>
      </w:r>
    </w:p>
    <w:p>
      <w:r>
        <w:rPr>
          <w:b/>
        </w:rPr>
        <w:t xml:space="preserve">28 </w:t>
      </w:r>
      <w:r>
        <w:t xml:space="preserve">Then Jesus</w:t>
      </w:r>
      <w:r>
        <w:rPr>
          <w:rStyle w:val="FootnoteReference"/>
        </w:rPr>
        <w:footnoteReference w:id="14550"/>
      </w:r>
      <w:r>
        <w:t xml:space="preserve"> answered and said to her, O woman, great is your faith: be it to you even as you will. And her daughter was made whole from that very hour.</w:t>
      </w:r>
    </w:p>
    <w:p>
      <w:r>
        <w:rPr>
          <w:b/>
        </w:rPr>
        <w:t xml:space="preserve">29 </w:t>
      </w:r>
      <w:r>
        <w:t xml:space="preserve">And Jesus departed from there, and came</w:t>
      </w:r>
      <w:r>
        <w:rPr>
          <w:rStyle w:val="FootnoteReference"/>
        </w:rPr>
        <w:footnoteReference w:id="14551"/>
      </w:r>
      <w:r>
        <w:t xml:space="preserve"> near to the sea of Galilee; and went up into a mountain, and sat down there.</w:t>
      </w:r>
    </w:p>
    <w:p>
      <w:r>
        <w:rPr>
          <w:b/>
        </w:rPr>
        <w:t xml:space="preserve">30 </w:t>
      </w:r>
      <w:r>
        <w:t xml:space="preserve">And great</w:t>
      </w:r>
      <w:r>
        <w:rPr>
          <w:rStyle w:val="FootnoteReference"/>
        </w:rPr>
        <w:footnoteReference w:id="14552"/>
      </w:r>
      <w:r>
        <w:t xml:space="preserve"> crowds came to him, having with them those that were lame, blind, mute, physically disabled, and many others, and cast them down at Jesus' feet; and he healed them:</w:t>
      </w:r>
    </w:p>
    <w:p>
      <w:r>
        <w:rPr>
          <w:b/>
        </w:rPr>
        <w:t xml:space="preserve">31 </w:t>
      </w:r>
      <w:r>
        <w:t xml:space="preserve">so that the crowd wondered, when they saw the mute to speak, the physically disabled to be whole, the lame</w:t>
      </w:r>
      <w:r>
        <w:rPr>
          <w:rStyle w:val="FootnoteReference"/>
        </w:rPr>
        <w:footnoteReference w:id="14553"/>
      </w:r>
      <w:r>
        <w:t xml:space="preserve"> to walk, and the blind to see: and they glorified the God of Israel.</w:t>
      </w:r>
    </w:p>
    <w:p>
      <w:r>
        <w:rPr>
          <w:b/>
        </w:rPr>
        <w:t xml:space="preserve">32 </w:t>
      </w:r>
      <w:r>
        <w:t xml:space="preserve">Then Jesus</w:t>
      </w:r>
      <w:r>
        <w:rPr>
          <w:rStyle w:val="FootnoteReference"/>
        </w:rPr>
        <w:footnoteReference w:id="14554"/>
      </w:r>
      <w:r>
        <w:t xml:space="preserve"> called his disciples to him, and said, I have compassion on the crowd, because they continue with me now three days, and have nothing to eat: and I will not send them away fasting, lest they faint in the way.</w:t>
      </w:r>
    </w:p>
    <w:p>
      <w:r>
        <w:rPr>
          <w:b/>
        </w:rPr>
        <w:t xml:space="preserve">33 </w:t>
      </w:r>
      <w:r>
        <w:t xml:space="preserve">And his disciples say to him, From where should we have so much bread in the wilderness, as to fill</w:t>
      </w:r>
      <w:r>
        <w:rPr>
          <w:rStyle w:val="FootnoteReference"/>
        </w:rPr>
        <w:footnoteReference w:id="14555"/>
      </w:r>
      <w:r>
        <w:t xml:space="preserve"> so great a crowd?</w:t>
      </w:r>
    </w:p>
    <w:p>
      <w:r>
        <w:rPr>
          <w:b/>
        </w:rPr>
        <w:t xml:space="preserve">34 </w:t>
      </w:r>
      <w:r>
        <w:t xml:space="preserve">And Jesus says to them, How many loaves have you? And they said, Seven, and a few little fish.</w:t>
      </w:r>
    </w:p>
    <w:p>
      <w:r>
        <w:rPr>
          <w:b/>
        </w:rPr>
        <w:t xml:space="preserve">35 </w:t>
      </w:r>
      <w:r>
        <w:t xml:space="preserve">And he commanded the crowd to sit</w:t>
      </w:r>
      <w:r>
        <w:rPr>
          <w:rStyle w:val="FootnoteReference"/>
        </w:rPr>
        <w:footnoteReference w:id="14556"/>
      </w:r>
      <w:r>
        <w:t xml:space="preserve"> down on the ground.</w:t>
      </w:r>
    </w:p>
    <w:p>
      <w:r>
        <w:rPr>
          <w:b/>
        </w:rPr>
        <w:t xml:space="preserve">36 </w:t>
      </w:r>
      <w:r>
        <w:t xml:space="preserve">And he took the seven loaves and the fish, and gave thanks</w:t>
      </w:r>
      <w:r>
        <w:rPr>
          <w:rStyle w:val="FootnoteReference"/>
        </w:rPr>
        <w:footnoteReference w:id="14557"/>
      </w:r>
      <w:r>
        <w:t xml:space="preserve">, and broke them, and gave to his disciples, and the disciples to the crowd.</w:t>
      </w:r>
    </w:p>
    <w:p>
      <w:r>
        <w:rPr>
          <w:b/>
        </w:rPr>
        <w:t xml:space="preserve">37 </w:t>
      </w:r>
      <w:r>
        <w:t xml:space="preserve">And they all ate, and were filled: and they took up of the broken food that was left seven</w:t>
      </w:r>
      <w:r>
        <w:rPr>
          <w:rStyle w:val="FootnoteReference"/>
        </w:rPr>
        <w:footnoteReference w:id="14558"/>
      </w:r>
      <w:r>
        <w:t xml:space="preserve"> baskets full.</w:t>
      </w:r>
    </w:p>
    <w:p>
      <w:r>
        <w:rPr>
          <w:b/>
        </w:rPr>
        <w:t xml:space="preserve">38 </w:t>
      </w:r>
      <w:r>
        <w:t xml:space="preserve">And those who ate were four thousand men, beside women and children.</w:t>
      </w:r>
    </w:p>
    <w:p>
      <w:r>
        <w:rPr>
          <w:b/>
        </w:rPr>
        <w:t xml:space="preserve">39 </w:t>
      </w:r>
      <w:r>
        <w:t xml:space="preserve">And he sent</w:t>
      </w:r>
      <w:r>
        <w:rPr>
          <w:rStyle w:val="FootnoteReference"/>
        </w:rPr>
        <w:footnoteReference w:id="14559"/>
      </w:r>
      <w:r>
        <w:t xml:space="preserve"> away the crowd, and got into the boat, and came into the borders of Magdala</w:t>
      </w:r>
      <w:r>
        <w:rPr>
          <w:rStyle w:val="FootnoteReference"/>
        </w:rPr>
        <w:footnoteReference w:id="14560"/>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The Pharisees</w:t>
      </w:r>
      <w:r>
        <w:rPr>
          <w:rStyle w:val="FootnoteReference"/>
        </w:rPr>
        <w:footnoteReference w:id="14561"/>
      </w:r>
      <w:r>
        <w:t xml:space="preserve"> also with the Sadducees came, and tempting desired him that he would show them a sign from heaven.</w:t>
      </w:r>
    </w:p>
    <w:p>
      <w:r>
        <w:rPr>
          <w:b/>
        </w:rPr>
        <w:t xml:space="preserve">2 </w:t>
      </w:r>
      <w:r>
        <w:t xml:space="preserve">He answered and said to them, When it is evening, you say, It will be fair weather: for the sky is red.</w:t>
      </w:r>
    </w:p>
    <w:p>
      <w:r>
        <w:rPr>
          <w:b/>
        </w:rPr>
        <w:t xml:space="preserve">3 </w:t>
      </w:r>
      <w:r>
        <w:t xml:space="preserve">And in the morning, It will be foul weather today: for the sky is red and lowering. O you hypocrites, you can discern the face of the sky; but can you not discern the signs</w:t>
      </w:r>
      <w:r>
        <w:rPr>
          <w:rStyle w:val="FootnoteReference"/>
        </w:rPr>
        <w:footnoteReference w:id="14562"/>
      </w:r>
      <w:r>
        <w:t xml:space="preserve"> of the times?</w:t>
      </w:r>
    </w:p>
    <w:p>
      <w:r>
        <w:rPr>
          <w:b/>
        </w:rPr>
        <w:t xml:space="preserve">4 </w:t>
      </w:r>
      <w:r>
        <w:t xml:space="preserve">A wicked</w:t>
      </w:r>
      <w:r>
        <w:rPr>
          <w:rStyle w:val="FootnoteReference"/>
        </w:rPr>
        <w:footnoteReference w:id="14563"/>
      </w:r>
      <w:r>
        <w:t xml:space="preserve"> and adulterous generation seeks after a sign; and there shall no sign be given to it, but the sign of the prophet Jonah. And he left them, and departed.</w:t>
      </w:r>
    </w:p>
    <w:p>
      <w:r>
        <w:rPr>
          <w:b/>
        </w:rPr>
        <w:t xml:space="preserve">5 </w:t>
      </w:r>
      <w:r>
        <w:t xml:space="preserve">And when his disciples had come to the other side, they had forgotten to take bread.</w:t>
      </w:r>
    </w:p>
    <w:p>
      <w:r>
        <w:rPr>
          <w:b/>
        </w:rPr>
        <w:t xml:space="preserve">6 </w:t>
      </w:r>
      <w:r>
        <w:t xml:space="preserve">Then Jesus said to them, Take</w:t>
      </w:r>
      <w:r>
        <w:rPr>
          <w:rStyle w:val="FootnoteReference"/>
        </w:rPr>
        <w:footnoteReference w:id="14564"/>
      </w:r>
      <w:r>
        <w:t xml:space="preserve"> heed and beware of the leaven of the Pharisees and of the Sadducees.</w:t>
      </w:r>
    </w:p>
    <w:p>
      <w:r>
        <w:rPr>
          <w:b/>
        </w:rPr>
        <w:t xml:space="preserve">7 </w:t>
      </w:r>
      <w:r>
        <w:t xml:space="preserve">And they reasoned among themselves, saying, It is because we have taken no bread.</w:t>
      </w:r>
    </w:p>
    <w:p>
      <w:r>
        <w:rPr>
          <w:b/>
        </w:rPr>
        <w:t xml:space="preserve">8 </w:t>
      </w:r>
      <w:r>
        <w:t xml:space="preserve">When Jesus perceived this, he said to them, O you of little faith, why do you reason among yourselves, because you have brought no bread?</w:t>
      </w:r>
    </w:p>
    <w:p>
      <w:r>
        <w:rPr>
          <w:b/>
        </w:rPr>
        <w:t xml:space="preserve">9 </w:t>
      </w:r>
      <w:r>
        <w:t xml:space="preserve">Do you not yet understand, neither remember the five loaves</w:t>
      </w:r>
      <w:r>
        <w:rPr>
          <w:rStyle w:val="FootnoteReference"/>
        </w:rPr>
        <w:footnoteReference w:id="14565"/>
      </w:r>
      <w:r>
        <w:t xml:space="preserve"> of the five thousand, and how many baskets you took up?</w:t>
      </w:r>
    </w:p>
    <w:p>
      <w:r>
        <w:rPr>
          <w:b/>
        </w:rPr>
        <w:t xml:space="preserve">10 </w:t>
      </w:r>
      <w:r>
        <w:t xml:space="preserve">Neither the seven loaves of the four thousand, and how many baskets you took up?</w:t>
      </w:r>
    </w:p>
    <w:p>
      <w:r>
        <w:rPr>
          <w:b/>
        </w:rPr>
        <w:t xml:space="preserve">11 </w:t>
      </w:r>
      <w:r>
        <w:t xml:space="preserve">How is it that you do not understand that I spoke it not to you concerning bread, that you should beware of the leaven of the Pharisees and of the Sadducees?</w:t>
      </w:r>
    </w:p>
    <w:p>
      <w:r>
        <w:rPr>
          <w:b/>
        </w:rPr>
        <w:t xml:space="preserve">12 </w:t>
      </w:r>
      <w:r>
        <w:t xml:space="preserve">Then they understood that he did not say to beware of the leaven of bread, but of the doctrine of the Pharisees and of the Sadducees.</w:t>
      </w:r>
    </w:p>
    <w:p>
      <w:r>
        <w:rPr>
          <w:b/>
        </w:rPr>
        <w:t xml:space="preserve">13 </w:t>
      </w:r>
      <w:r>
        <w:t xml:space="preserve">When Jesus came into the borders of Caesarea</w:t>
      </w:r>
      <w:r>
        <w:rPr>
          <w:rStyle w:val="FootnoteReference"/>
        </w:rPr>
        <w:footnoteReference w:id="14566"/>
      </w:r>
      <w:r>
        <w:t xml:space="preserve"> Philippi</w:t>
      </w:r>
      <w:r>
        <w:rPr>
          <w:rStyle w:val="FootnoteReference"/>
        </w:rPr>
        <w:footnoteReference w:id="14567"/>
      </w:r>
      <w:r>
        <w:t xml:space="preserve">, he asked his disciples, saying, Who do men say that I, the Son of man, am?</w:t>
      </w:r>
      <w:r>
        <w:rPr>
          <w:rStyle w:val="FootnoteReference"/>
        </w:rPr>
        <w:footnoteReference w:id="14568"/>
      </w:r>
    </w:p>
    <w:p>
      <w:r>
        <w:rPr>
          <w:b/>
        </w:rPr>
        <w:t xml:space="preserve">14 </w:t>
      </w:r>
      <w:r>
        <w:t xml:space="preserve">And they said, Some say that you are John</w:t>
      </w:r>
      <w:r>
        <w:rPr>
          <w:rStyle w:val="FootnoteReference"/>
        </w:rPr>
        <w:footnoteReference w:id="14569"/>
      </w:r>
      <w:r>
        <w:t xml:space="preserve"> the Baptist: some, Elijah; and others, Jeremias, or one of the prophets.</w:t>
      </w:r>
    </w:p>
    <w:p>
      <w:r>
        <w:rPr>
          <w:b/>
        </w:rPr>
        <w:t xml:space="preserve">15 </w:t>
      </w:r>
      <w:r>
        <w:t xml:space="preserve">He says to them, But who do you say that I am?</w:t>
      </w:r>
    </w:p>
    <w:p>
      <w:r>
        <w:rPr>
          <w:b/>
        </w:rPr>
        <w:t xml:space="preserve">16 </w:t>
      </w:r>
      <w:r>
        <w:t xml:space="preserve">And Simon Peter answered and said, You are the Christ, the Son of the living</w:t>
      </w:r>
      <w:r>
        <w:rPr>
          <w:rStyle w:val="FootnoteReference"/>
        </w:rPr>
        <w:footnoteReference w:id="14570"/>
      </w:r>
      <w:r>
        <w:t xml:space="preserve"> God.</w:t>
      </w:r>
    </w:p>
    <w:p>
      <w:r>
        <w:rPr>
          <w:b/>
        </w:rPr>
        <w:t xml:space="preserve">17 </w:t>
      </w:r>
      <w:r>
        <w:t xml:space="preserve">And Jesus answered and said to him, Blessed</w:t>
      </w:r>
      <w:r>
        <w:rPr>
          <w:rStyle w:val="FootnoteReference"/>
        </w:rPr>
        <w:footnoteReference w:id="14571"/>
      </w:r>
      <w:r>
        <w:t xml:space="preserve"> are you, Simon Barjona</w:t>
      </w:r>
      <w:r>
        <w:rPr>
          <w:rStyle w:val="FootnoteReference"/>
        </w:rPr>
        <w:footnoteReference w:id="14572"/>
      </w:r>
      <w:r>
        <w:t xml:space="preserve">: for flesh and blood has not revealed it to you, but my Father who is in heaven.</w:t>
      </w:r>
    </w:p>
    <w:p>
      <w:r>
        <w:rPr>
          <w:b/>
        </w:rPr>
        <w:t xml:space="preserve">18 </w:t>
      </w:r>
      <w:r>
        <w:t xml:space="preserve">And I say also to you, That you are Peter, and upon</w:t>
      </w:r>
      <w:r>
        <w:rPr>
          <w:rStyle w:val="FootnoteReference"/>
        </w:rPr>
        <w:footnoteReference w:id="14573"/>
      </w:r>
      <w:r>
        <w:t xml:space="preserve"> this rock I will build my assembly</w:t>
      </w:r>
      <w:r>
        <w:rPr>
          <w:rStyle w:val="FootnoteReference"/>
        </w:rPr>
        <w:footnoteReference w:id="14574"/>
      </w:r>
      <w:r>
        <w:t xml:space="preserve">; and the gates of Hades</w:t>
      </w:r>
      <w:r>
        <w:rPr>
          <w:rStyle w:val="FootnoteReference"/>
        </w:rPr>
        <w:footnoteReference w:id="14575"/>
      </w:r>
      <w:r>
        <w:t xml:space="preserve"> shall not prevail against it.</w:t>
      </w:r>
    </w:p>
    <w:p>
      <w:r>
        <w:rPr>
          <w:b/>
        </w:rPr>
        <w:t xml:space="preserve">19 </w:t>
      </w:r>
      <w:r>
        <w:t xml:space="preserve">And I will give</w:t>
      </w:r>
      <w:r>
        <w:rPr>
          <w:rStyle w:val="FootnoteReference"/>
        </w:rPr>
        <w:footnoteReference w:id="14576"/>
      </w:r>
      <w:r>
        <w:t xml:space="preserve"> to you the keys of the kingdom of heaven: and whatever you shall bind on earth shall be bound in heaven: and whatever you shall loose on earth shall be loosed in heaven.</w:t>
      </w:r>
    </w:p>
    <w:p>
      <w:r>
        <w:rPr>
          <w:b/>
        </w:rPr>
        <w:t xml:space="preserve">20 </w:t>
      </w:r>
      <w:r>
        <w:t xml:space="preserve">Then he charged</w:t>
      </w:r>
      <w:r>
        <w:rPr>
          <w:rStyle w:val="FootnoteReference"/>
        </w:rPr>
        <w:footnoteReference w:id="14577"/>
      </w:r>
      <w:r>
        <w:t xml:space="preserve"> his disciples that they should tell no one that he was Jesus the Christ.</w:t>
      </w:r>
    </w:p>
    <w:p>
      <w:r>
        <w:rPr>
          <w:b/>
        </w:rPr>
        <w:t xml:space="preserve">21 </w:t>
      </w:r>
      <w:r>
        <w:t xml:space="preserve">From that time forth Jesus began</w:t>
      </w:r>
      <w:r>
        <w:rPr>
          <w:rStyle w:val="FootnoteReference"/>
        </w:rPr>
        <w:footnoteReference w:id="14578"/>
      </w:r>
      <w:r>
        <w:t xml:space="preserve"> to show to his disciples, that he must go to Jerusalem, and suffer many things of the elders and chief priests and scribes, and be killed, and be raised again the third day.</w:t>
      </w:r>
    </w:p>
    <w:p>
      <w:r>
        <w:rPr>
          <w:b/>
        </w:rPr>
        <w:t xml:space="preserve">22 </w:t>
      </w:r>
      <w:r>
        <w:t xml:space="preserve">Then Peter took him, and began</w:t>
      </w:r>
      <w:r>
        <w:rPr>
          <w:rStyle w:val="FootnoteReference"/>
        </w:rPr>
        <w:footnoteReference w:id="14579"/>
      </w:r>
      <w:r>
        <w:t xml:space="preserve"> to rebuke him, saying, Be it far from you, Lord: this shall not be to you.</w:t>
      </w:r>
    </w:p>
    <w:p>
      <w:r>
        <w:rPr>
          <w:b/>
        </w:rPr>
        <w:t xml:space="preserve">23 </w:t>
      </w:r>
      <w:r>
        <w:t xml:space="preserve">But he turned, and said to Peter, Get behind me, Satan</w:t>
      </w:r>
      <w:r>
        <w:rPr>
          <w:rStyle w:val="FootnoteReference"/>
        </w:rPr>
        <w:footnoteReference w:id="14580"/>
      </w:r>
      <w:r>
        <w:t xml:space="preserve">: you are a stumbling block to me: for you do not mind the things that are of God, but those that are of men.</w:t>
      </w:r>
    </w:p>
    <w:p>
      <w:r>
        <w:rPr>
          <w:b/>
        </w:rPr>
        <w:t xml:space="preserve">24 </w:t>
      </w:r>
      <w:r>
        <w:t xml:space="preserve">Then said Jesus to his disciples, If anyone will come after me, let him deny himself, and take</w:t>
      </w:r>
      <w:r>
        <w:rPr>
          <w:rStyle w:val="FootnoteReference"/>
        </w:rPr>
        <w:footnoteReference w:id="14581"/>
      </w:r>
      <w:r>
        <w:t xml:space="preserve"> up his cross, and follow me.</w:t>
      </w:r>
    </w:p>
    <w:p>
      <w:r>
        <w:rPr>
          <w:b/>
        </w:rPr>
        <w:t xml:space="preserve">25 </w:t>
      </w:r>
      <w:r>
        <w:t xml:space="preserve">For whoever will save his life shall lose it: and whoever will lose his life for my sake shall find it.</w:t>
      </w:r>
    </w:p>
    <w:p>
      <w:r>
        <w:rPr>
          <w:b/>
        </w:rPr>
        <w:t xml:space="preserve">26 </w:t>
      </w:r>
      <w:r>
        <w:t xml:space="preserve">For what is</w:t>
      </w:r>
      <w:r>
        <w:rPr>
          <w:rStyle w:val="FootnoteReference"/>
        </w:rPr>
        <w:footnoteReference w:id="14582"/>
      </w:r>
      <w:r>
        <w:t xml:space="preserve"> a man profited, if he shall gain the whole world, and lose his own soul? or what shall a man give in exchange for his soul?</w:t>
      </w:r>
    </w:p>
    <w:p>
      <w:r>
        <w:rPr>
          <w:b/>
        </w:rPr>
        <w:t xml:space="preserve">27 </w:t>
      </w:r>
      <w:r>
        <w:t xml:space="preserve">For the Son</w:t>
      </w:r>
      <w:r>
        <w:rPr>
          <w:rStyle w:val="FootnoteReference"/>
        </w:rPr>
        <w:footnoteReference w:id="14583"/>
      </w:r>
      <w:r>
        <w:t xml:space="preserve"> of man shall come in the glory of his Father with his angels; and then he shall reward every man according to his works.</w:t>
      </w:r>
    </w:p>
    <w:p>
      <w:r>
        <w:rPr>
          <w:b/>
        </w:rPr>
        <w:t xml:space="preserve">28 </w:t>
      </w:r>
      <w:r>
        <w:t xml:space="preserve">Amen, I say to you, there is some standing here, which shall not taste</w:t>
      </w:r>
      <w:r>
        <w:rPr>
          <w:rStyle w:val="FootnoteReference"/>
        </w:rPr>
        <w:footnoteReference w:id="14584"/>
      </w:r>
      <w:r>
        <w:t xml:space="preserve"> of death, till they see the Son of man coming in his kingdom.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after six days Jesus takes Peter</w:t>
      </w:r>
      <w:r>
        <w:rPr>
          <w:rStyle w:val="FootnoteReference"/>
        </w:rPr>
        <w:footnoteReference w:id="14585"/>
      </w:r>
      <w:r>
        <w:t xml:space="preserve">, James, and John his brother, and brings them up into a high mountain apart,</w:t>
      </w:r>
    </w:p>
    <w:p>
      <w:r>
        <w:rPr>
          <w:b/>
        </w:rPr>
        <w:t xml:space="preserve">2 </w:t>
      </w:r>
      <w:r>
        <w:t xml:space="preserve">And he was transfigured</w:t>
      </w:r>
      <w:r>
        <w:rPr>
          <w:rStyle w:val="FootnoteReference"/>
        </w:rPr>
        <w:footnoteReference w:id="14586"/>
      </w:r>
      <w:r>
        <w:t xml:space="preserve"> before them: and his face shone as the sun, and his clothing was white as the light.</w:t>
      </w:r>
    </w:p>
    <w:p>
      <w:r>
        <w:rPr>
          <w:b/>
        </w:rPr>
        <w:t xml:space="preserve">3 </w:t>
      </w:r>
      <w:r>
        <w:t xml:space="preserve">And, look, there appeared to them Moses</w:t>
      </w:r>
      <w:r>
        <w:rPr>
          <w:rStyle w:val="FootnoteReference"/>
        </w:rPr>
        <w:footnoteReference w:id="14587"/>
      </w:r>
      <w:r>
        <w:t xml:space="preserve"> and Elijah talking with him.</w:t>
      </w:r>
    </w:p>
    <w:p>
      <w:r>
        <w:rPr>
          <w:b/>
        </w:rPr>
        <w:t xml:space="preserve">4 </w:t>
      </w:r>
      <w:r>
        <w:t xml:space="preserve">Then answered</w:t>
      </w:r>
      <w:r>
        <w:rPr>
          <w:rStyle w:val="FootnoteReference"/>
        </w:rPr>
        <w:footnoteReference w:id="14588"/>
      </w:r>
      <w:r>
        <w:t xml:space="preserve"> Peter, and said to Jesus, Lord, it is good for us to be here: if you will, let us make here three tabernacles; one for you, and one for Moses, and one for Elijah.</w:t>
      </w:r>
    </w:p>
    <w:p>
      <w:r>
        <w:rPr>
          <w:b/>
        </w:rPr>
        <w:t xml:space="preserve">5 </w:t>
      </w:r>
      <w:r>
        <w:t xml:space="preserve">While he yet spoke, look, a bright cloud overshadowed them: and look, a voice</w:t>
      </w:r>
      <w:r>
        <w:rPr>
          <w:rStyle w:val="FootnoteReference"/>
        </w:rPr>
        <w:footnoteReference w:id="14589"/>
      </w:r>
      <w:r>
        <w:t xml:space="preserve"> out of the cloud, which said, This is my beloved Son, in whom I am well pleased; hear him.</w:t>
      </w:r>
    </w:p>
    <w:p>
      <w:r>
        <w:rPr>
          <w:b/>
        </w:rPr>
        <w:t xml:space="preserve">6 </w:t>
      </w:r>
      <w:r>
        <w:t xml:space="preserve">And when the disciples heard it, they fell on their face, and were greatly afraid.</w:t>
      </w:r>
    </w:p>
    <w:p>
      <w:r>
        <w:rPr>
          <w:b/>
        </w:rPr>
        <w:t xml:space="preserve">7 </w:t>
      </w:r>
      <w:r>
        <w:t xml:space="preserve">And Jesus came and touched</w:t>
      </w:r>
      <w:r>
        <w:rPr>
          <w:rStyle w:val="FootnoteReference"/>
        </w:rPr>
        <w:footnoteReference w:id="14590"/>
      </w:r>
      <w:r>
        <w:t xml:space="preserve"> them, and said, Arise, and do not be afraid.</w:t>
      </w:r>
    </w:p>
    <w:p>
      <w:r>
        <w:rPr>
          <w:b/>
        </w:rPr>
        <w:t xml:space="preserve">8 </w:t>
      </w:r>
      <w:r>
        <w:t xml:space="preserve">And when they had lifted up their eyes, they saw</w:t>
      </w:r>
      <w:r>
        <w:rPr>
          <w:rStyle w:val="FootnoteReference"/>
        </w:rPr>
        <w:footnoteReference w:id="14591"/>
      </w:r>
      <w:r>
        <w:t xml:space="preserve"> no one, except Jesus only.</w:t>
      </w:r>
    </w:p>
    <w:p>
      <w:r>
        <w:rPr>
          <w:b/>
        </w:rPr>
        <w:t xml:space="preserve">9 </w:t>
      </w:r>
      <w:r>
        <w:t xml:space="preserve">And as they came down from the mountain, Jesus</w:t>
      </w:r>
      <w:r>
        <w:rPr>
          <w:rStyle w:val="FootnoteReference"/>
        </w:rPr>
        <w:footnoteReference w:id="14592"/>
      </w:r>
      <w:r>
        <w:t xml:space="preserve"> charged them, saying, Tell the vision to no one, until the Son of man has risen again from the dead.</w:t>
      </w:r>
    </w:p>
    <w:p>
      <w:r>
        <w:rPr>
          <w:b/>
        </w:rPr>
        <w:t xml:space="preserve">10 </w:t>
      </w:r>
      <w:r>
        <w:t xml:space="preserve">And his disciples asked him, saying, Why then do the scribes say that Elijah must first come?</w:t>
      </w:r>
    </w:p>
    <w:p>
      <w:r>
        <w:rPr>
          <w:b/>
        </w:rPr>
        <w:t xml:space="preserve">11 </w:t>
      </w:r>
      <w:r>
        <w:t xml:space="preserve">And Jesus answered and said to them, Elijah truly shall first come, and restore</w:t>
      </w:r>
      <w:r>
        <w:rPr>
          <w:rStyle w:val="FootnoteReference"/>
        </w:rPr>
        <w:footnoteReference w:id="14593"/>
      </w:r>
      <w:r>
        <w:t xml:space="preserve"> all things.</w:t>
      </w:r>
    </w:p>
    <w:p>
      <w:r>
        <w:rPr>
          <w:b/>
        </w:rPr>
        <w:t xml:space="preserve">12 </w:t>
      </w:r>
      <w:r>
        <w:t xml:space="preserve">But I say to you, That Elijah has come already, and they did not know him, but have done to him whatever they wished. Likewise</w:t>
      </w:r>
      <w:r>
        <w:rPr>
          <w:rStyle w:val="FootnoteReference"/>
        </w:rPr>
        <w:footnoteReference w:id="14594"/>
      </w:r>
      <w:r>
        <w:t xml:space="preserve"> shall also the Son of man suffer by them.</w:t>
      </w:r>
    </w:p>
    <w:p>
      <w:r>
        <w:rPr>
          <w:b/>
        </w:rPr>
        <w:t xml:space="preserve">13 </w:t>
      </w:r>
      <w:r>
        <w:t xml:space="preserve">Then the disciples</w:t>
      </w:r>
      <w:r>
        <w:rPr>
          <w:rStyle w:val="FootnoteReference"/>
        </w:rPr>
        <w:footnoteReference w:id="14595"/>
      </w:r>
      <w:r>
        <w:t xml:space="preserve"> understood that he spoke to them of John the Baptist.</w:t>
      </w:r>
    </w:p>
    <w:p>
      <w:r>
        <w:rPr>
          <w:b/>
        </w:rPr>
        <w:t xml:space="preserve">14 </w:t>
      </w:r>
      <w:r>
        <w:t xml:space="preserve">And when they had come to the crowd, there came to him a certain man, kneeling</w:t>
      </w:r>
      <w:r>
        <w:rPr>
          <w:rStyle w:val="FootnoteReference"/>
        </w:rPr>
        <w:footnoteReference w:id="14596"/>
      </w:r>
      <w:r>
        <w:t xml:space="preserve"> down to him, and saying,</w:t>
      </w:r>
    </w:p>
    <w:p>
      <w:r>
        <w:rPr>
          <w:b/>
        </w:rPr>
        <w:t xml:space="preserve">15 </w:t>
      </w:r>
      <w:r>
        <w:t xml:space="preserve">Lord, have mercy on my son: for he is moonstruck, and severely afflicted: for frequently he falls into the fire, and often into the water.</w:t>
      </w:r>
    </w:p>
    <w:p>
      <w:r>
        <w:rPr>
          <w:b/>
        </w:rPr>
        <w:t xml:space="preserve">16 </w:t>
      </w:r>
      <w:r>
        <w:t xml:space="preserve">And I brought him to your disciples, and they could not cure him.</w:t>
      </w:r>
    </w:p>
    <w:p>
      <w:r>
        <w:rPr>
          <w:b/>
        </w:rPr>
        <w:t xml:space="preserve">17 </w:t>
      </w:r>
      <w:r>
        <w:t xml:space="preserve">Then Jesus answered and said, O faithless</w:t>
      </w:r>
      <w:r>
        <w:rPr>
          <w:rStyle w:val="FootnoteReference"/>
        </w:rPr>
        <w:footnoteReference w:id="14597"/>
      </w:r>
      <w:r>
        <w:t xml:space="preserve"> and perverse generation, how long shall I be with you? how long shall I bear with you? bring him here to me.</w:t>
      </w:r>
    </w:p>
    <w:p>
      <w:r>
        <w:rPr>
          <w:b/>
        </w:rPr>
        <w:t xml:space="preserve">18 </w:t>
      </w:r>
      <w:r>
        <w:t xml:space="preserve">And Jesus rebuked</w:t>
      </w:r>
      <w:r>
        <w:rPr>
          <w:rStyle w:val="FootnoteReference"/>
        </w:rPr>
        <w:footnoteReference w:id="14598"/>
      </w:r>
      <w:r>
        <w:t xml:space="preserve"> the demon; and he departed out of him: and the child was cured from that very hour.</w:t>
      </w:r>
    </w:p>
    <w:p>
      <w:r>
        <w:rPr>
          <w:b/>
        </w:rPr>
        <w:t xml:space="preserve">19 </w:t>
      </w:r>
      <w:r>
        <w:t xml:space="preserve">Then came the disciples to Jesus apart, and said, Why could we not cast him out?</w:t>
      </w:r>
    </w:p>
    <w:p>
      <w:r>
        <w:rPr>
          <w:b/>
        </w:rPr>
        <w:t xml:space="preserve">20 </w:t>
      </w:r>
      <w:r>
        <w:t xml:space="preserve">And Jesus said to them, Because of your unbelief: for truly I say to you, If you have faith as a grain</w:t>
      </w:r>
      <w:r>
        <w:rPr>
          <w:rStyle w:val="FootnoteReference"/>
        </w:rPr>
        <w:footnoteReference w:id="14599"/>
      </w:r>
      <w:r>
        <w:t xml:space="preserve"> of mustard seed, you shall say to this mountain, Remove behind to yonder place; and it shall remove; and nothing shall be impossible to you.</w:t>
      </w:r>
    </w:p>
    <w:p>
      <w:r>
        <w:rPr>
          <w:b/>
        </w:rPr>
        <w:t xml:space="preserve">21 </w:t>
      </w:r>
      <w:r>
        <w:t xml:space="preserve">Nevertheless this kind does not go out but by prayer and fasting.</w:t>
      </w:r>
    </w:p>
    <w:p>
      <w:r>
        <w:rPr>
          <w:b/>
        </w:rPr>
        <w:t xml:space="preserve">22 </w:t>
      </w:r>
      <w:r>
        <w:t xml:space="preserve">And while they remained in Galilee, Jesus said to them, The Son</w:t>
      </w:r>
      <w:r>
        <w:rPr>
          <w:rStyle w:val="FootnoteReference"/>
        </w:rPr>
        <w:footnoteReference w:id="14600"/>
      </w:r>
      <w:r>
        <w:t xml:space="preserve"> of man shall be betrayed into the hands of men:</w:t>
      </w:r>
    </w:p>
    <w:p>
      <w:r>
        <w:rPr>
          <w:b/>
        </w:rPr>
        <w:t xml:space="preserve">23 </w:t>
      </w:r>
      <w:r>
        <w:t xml:space="preserve">And they shall kill him, and the third</w:t>
      </w:r>
      <w:r>
        <w:rPr>
          <w:rStyle w:val="FootnoteReference"/>
        </w:rPr>
        <w:footnoteReference w:id="14601"/>
      </w:r>
      <w:r>
        <w:t xml:space="preserve"> day he shall be raised again. And they were exceedingly sorry.</w:t>
      </w:r>
    </w:p>
    <w:p>
      <w:r>
        <w:rPr>
          <w:b/>
        </w:rPr>
        <w:t xml:space="preserve">24 </w:t>
      </w:r>
      <w:r>
        <w:t xml:space="preserve">And when they had come to Capernaum, those who received tribute</w:t>
      </w:r>
      <w:r>
        <w:rPr>
          <w:rStyle w:val="FootnoteReference"/>
        </w:rPr>
        <w:footnoteReference w:id="14602"/>
      </w:r>
      <w:r>
        <w:t xml:space="preserve"> money came to Peter, and said, Does not your teacher pay tribute?</w:t>
      </w:r>
    </w:p>
    <w:p>
      <w:r>
        <w:rPr>
          <w:b/>
        </w:rPr>
        <w:t xml:space="preserve">25 </w:t>
      </w:r>
      <w:r>
        <w:t xml:space="preserve">He says, Yes. And when he had come into the house, Jesus anticipated him, saying, What do you think, Simon? of whom do the kings of the earth take custom or tribute? of their</w:t>
      </w:r>
      <w:r>
        <w:rPr>
          <w:rStyle w:val="FootnoteReference"/>
        </w:rPr>
        <w:footnoteReference w:id="14603"/>
      </w:r>
      <w:r>
        <w:t xml:space="preserve"> own children, or of strangers?</w:t>
      </w:r>
    </w:p>
    <w:p>
      <w:r>
        <w:rPr>
          <w:b/>
        </w:rPr>
        <w:t xml:space="preserve">26 </w:t>
      </w:r>
      <w:r>
        <w:t xml:space="preserve">Peter says to him, Of strangers. Jesus says to him, Then the children are free.</w:t>
      </w:r>
    </w:p>
    <w:p>
      <w:r>
        <w:rPr>
          <w:b/>
        </w:rPr>
        <w:t xml:space="preserve">27 </w:t>
      </w:r>
      <w:r>
        <w:t xml:space="preserve">Notwithstanding, lest we should cause them to stumble, go to the sea, and cast a hook, and take</w:t>
      </w:r>
      <w:r>
        <w:rPr>
          <w:rStyle w:val="FootnoteReference"/>
        </w:rPr>
        <w:footnoteReference w:id="14604"/>
      </w:r>
      <w:r>
        <w:t xml:space="preserve"> up the fish that first comes up; and when you have opened his mouth, you shall find a piece of money: that take, and give to them for me and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At the same time the disciples came to Jesus, saying, Who is the greatest in the kingdom of heaven?</w:t>
      </w:r>
    </w:p>
    <w:p>
      <w:r>
        <w:rPr>
          <w:b/>
        </w:rPr>
        <w:t xml:space="preserve">2 </w:t>
      </w:r>
      <w:r>
        <w:t xml:space="preserve">And Jesus called a little child to him, and set him in the midst of them,</w:t>
      </w:r>
    </w:p>
    <w:p>
      <w:r>
        <w:rPr>
          <w:b/>
        </w:rPr>
        <w:t xml:space="preserve">3 </w:t>
      </w:r>
      <w:r>
        <w:t xml:space="preserve">And said, Amen, I say to you, Except</w:t>
      </w:r>
      <w:r>
        <w:rPr>
          <w:rStyle w:val="FootnoteReference"/>
        </w:rPr>
        <w:footnoteReference w:id="14605"/>
      </w:r>
      <w:r>
        <w:t xml:space="preserve"> you be converted, and become as little children, you shall not enter into the kingdom of heaven.</w:t>
      </w:r>
    </w:p>
    <w:p>
      <w:r>
        <w:rPr>
          <w:b/>
        </w:rPr>
        <w:t xml:space="preserve">4 </w:t>
      </w:r>
      <w:r>
        <w:t xml:space="preserve">Whoever therefore shall humble</w:t>
      </w:r>
      <w:r>
        <w:rPr>
          <w:rStyle w:val="FootnoteReference"/>
        </w:rPr>
        <w:footnoteReference w:id="14606"/>
      </w:r>
      <w:r>
        <w:t xml:space="preserve"> himself as this little child, the same is greatest in the kingdom of heaven.</w:t>
      </w:r>
    </w:p>
    <w:p>
      <w:r>
        <w:rPr>
          <w:b/>
        </w:rPr>
        <w:t xml:space="preserve">5 </w:t>
      </w:r>
      <w:r>
        <w:t xml:space="preserve">And whoever shall receive</w:t>
      </w:r>
      <w:r>
        <w:rPr>
          <w:rStyle w:val="FootnoteReference"/>
        </w:rPr>
        <w:footnoteReference w:id="14607"/>
      </w:r>
      <w:r>
        <w:t xml:space="preserve"> one such little child in my name receives me.</w:t>
      </w:r>
    </w:p>
    <w:p>
      <w:r>
        <w:rPr>
          <w:b/>
        </w:rPr>
        <w:t xml:space="preserve">6 </w:t>
      </w:r>
      <w:r>
        <w:t xml:space="preserve">But whoever shall offend</w:t>
      </w:r>
      <w:r>
        <w:rPr>
          <w:rStyle w:val="FootnoteReference"/>
        </w:rPr>
        <w:footnoteReference w:id="14608"/>
      </w:r>
      <w:r>
        <w:t xml:space="preserve"> one of these little ones who believe in me, it would be better for him if a millstone were hung around his neck, and that he were drowned in the depth of the sea.</w:t>
      </w:r>
    </w:p>
    <w:p>
      <w:r>
        <w:rPr>
          <w:b/>
        </w:rPr>
        <w:t xml:space="preserve">7 </w:t>
      </w:r>
      <w:r>
        <w:t xml:space="preserve">Woe to the world because of offenses! for it must be that offenses come; but woe to that man by whom the stumbling block comes!</w:t>
      </w:r>
    </w:p>
    <w:p>
      <w:r>
        <w:rPr>
          <w:b/>
        </w:rPr>
        <w:t xml:space="preserve">8 </w:t>
      </w:r>
      <w:r>
        <w:t xml:space="preserve">Therefore if your hand or your foot cause you to stumble, cut them off, and cast</w:t>
      </w:r>
      <w:r>
        <w:rPr>
          <w:rStyle w:val="FootnoteReference"/>
        </w:rPr>
        <w:footnoteReference w:id="14609"/>
      </w:r>
      <w:r>
        <w:t xml:space="preserve"> them from you: it is better for you to enter into life halt or physically disabled, rather than having two hands or two feet to be cast into eternal fire.</w:t>
      </w:r>
    </w:p>
    <w:p>
      <w:r>
        <w:rPr>
          <w:b/>
        </w:rPr>
        <w:t xml:space="preserve">9 </w:t>
      </w:r>
      <w:r>
        <w:t xml:space="preserve">And if your eye cause you to stumble, pluck it out, and cast it from you: it is better for you to enter</w:t>
      </w:r>
      <w:r>
        <w:rPr>
          <w:rStyle w:val="FootnoteReference"/>
        </w:rPr>
        <w:footnoteReference w:id="14610"/>
      </w:r>
      <w:r>
        <w:t xml:space="preserve"> into life with one eye, rather than having two eyes to be cast into Gehenna of fire.</w:t>
      </w:r>
    </w:p>
    <w:p>
      <w:r>
        <w:rPr>
          <w:b/>
        </w:rPr>
        <w:t xml:space="preserve">10 </w:t>
      </w:r>
      <w:r>
        <w:t xml:space="preserve">Take heed</w:t>
      </w:r>
      <w:r>
        <w:rPr>
          <w:rStyle w:val="FootnoteReference"/>
        </w:rPr>
        <w:footnoteReference w:id="14611"/>
      </w:r>
      <w:r>
        <w:t xml:space="preserve"> that you despise not one of these little ones; for I say to you, That in heaven their angels always behold the face of my Father who is in heaven.</w:t>
      </w:r>
    </w:p>
    <w:p>
      <w:r>
        <w:rPr>
          <w:b/>
        </w:rPr>
        <w:t xml:space="preserve">11 </w:t>
      </w:r>
      <w:r>
        <w:t xml:space="preserve">For the Son of man has come to save that which was lost.</w:t>
      </w:r>
    </w:p>
    <w:p>
      <w:r>
        <w:rPr>
          <w:b/>
        </w:rPr>
        <w:t xml:space="preserve">12 </w:t>
      </w:r>
      <w:r>
        <w:t xml:space="preserve">What do you think? if a man has a hundred sheep, and one of them has gone astray, does he not leave the ninety-nine, and go into the mountains, and seek that which has gone astray?</w:t>
      </w:r>
    </w:p>
    <w:p>
      <w:r>
        <w:rPr>
          <w:b/>
        </w:rPr>
        <w:t xml:space="preserve">13 </w:t>
      </w:r>
      <w:r>
        <w:t xml:space="preserve">And if it happens that he finds it, Amen, I say to you, he rejoices more of that sheep, than of the ninety and nine that did not go astray.</w:t>
      </w:r>
    </w:p>
    <w:p>
      <w:r>
        <w:rPr>
          <w:b/>
        </w:rPr>
        <w:t xml:space="preserve">14 </w:t>
      </w:r>
      <w:r>
        <w:t xml:space="preserve">Even so it is not the will of your Father who is in heaven, that one of these little ones should perish.</w:t>
      </w:r>
    </w:p>
    <w:p>
      <w:r>
        <w:rPr>
          <w:b/>
        </w:rPr>
        <w:t xml:space="preserve">15 </w:t>
      </w:r>
      <w:r>
        <w:t xml:space="preserve">Moreover if your brother shall trespass against you, go and tell him his fault between you and him alone: if he shall hear you, you have gained your brother.</w:t>
      </w:r>
    </w:p>
    <w:p>
      <w:r>
        <w:rPr>
          <w:b/>
        </w:rPr>
        <w:t xml:space="preserve">16 </w:t>
      </w:r>
      <w:r>
        <w:t xml:space="preserve">But if he will not hear you, then take with you one or two more, that in</w:t>
      </w:r>
      <w:r>
        <w:rPr>
          <w:rStyle w:val="FootnoteReference"/>
        </w:rPr>
        <w:footnoteReference w:id="14612"/>
      </w:r>
      <w:r>
        <w:t xml:space="preserve"> the mouth of two or three witnesses every word may be established.</w:t>
      </w:r>
    </w:p>
    <w:p>
      <w:r>
        <w:rPr>
          <w:b/>
        </w:rPr>
        <w:t xml:space="preserve">17 </w:t>
      </w:r>
      <w:r>
        <w:t xml:space="preserve">And if he shall neglect to hear them, tell</w:t>
      </w:r>
      <w:r>
        <w:rPr>
          <w:rStyle w:val="FootnoteReference"/>
        </w:rPr>
        <w:footnoteReference w:id="14613"/>
      </w:r>
      <w:r>
        <w:t xml:space="preserve"> it to the assembly: but if he neglect to hear the assembly, let him be to you as a man of the nations and a tax collector.</w:t>
      </w:r>
    </w:p>
    <w:p>
      <w:r>
        <w:rPr>
          <w:b/>
        </w:rPr>
        <w:t xml:space="preserve">18 </w:t>
      </w:r>
      <w:r>
        <w:t xml:space="preserve">Amen, I say to you, Whatever you shall bind on earth shall be bound in heaven: and whatever you shall loose on earth shall be loosed in heaven.</w:t>
      </w:r>
    </w:p>
    <w:p>
      <w:r>
        <w:rPr>
          <w:b/>
        </w:rPr>
        <w:t xml:space="preserve">19 </w:t>
      </w:r>
      <w:r>
        <w:t xml:space="preserve">Again I say to you, That if</w:t>
      </w:r>
      <w:r>
        <w:rPr>
          <w:rStyle w:val="FootnoteReference"/>
        </w:rPr>
        <w:footnoteReference w:id="14614"/>
      </w:r>
      <w:r>
        <w:t xml:space="preserve"> two of you shall agree on earth as concerning anything that they shall ask, it shall be done for them of my Father who is in heaven.</w:t>
      </w:r>
    </w:p>
    <w:p>
      <w:r>
        <w:rPr>
          <w:b/>
        </w:rPr>
        <w:t xml:space="preserve">20 </w:t>
      </w:r>
      <w:r>
        <w:t xml:space="preserve">For where two or three are gathered together in my name, there I am in the midst of them.</w:t>
      </w:r>
    </w:p>
    <w:p>
      <w:r>
        <w:rPr>
          <w:b/>
        </w:rPr>
        <w:t xml:space="preserve">21 </w:t>
      </w:r>
      <w:r>
        <w:t xml:space="preserve">Then came Peter to him, and said, Lord, how often shall my brother sin against me, and I forgive him? till</w:t>
      </w:r>
      <w:r>
        <w:rPr>
          <w:rStyle w:val="FootnoteReference"/>
        </w:rPr>
        <w:footnoteReference w:id="14615"/>
      </w:r>
      <w:r>
        <w:t xml:space="preserve"> seven times?</w:t>
      </w:r>
    </w:p>
    <w:p>
      <w:r>
        <w:rPr>
          <w:b/>
        </w:rPr>
        <w:t xml:space="preserve">22 </w:t>
      </w:r>
      <w:r>
        <w:t xml:space="preserve">Jesus says to him, I say not to you, Until seven times: but, Until seventy times seven.</w:t>
      </w:r>
    </w:p>
    <w:p>
      <w:r>
        <w:rPr>
          <w:b/>
        </w:rPr>
        <w:t xml:space="preserve">23 </w:t>
      </w:r>
      <w:r>
        <w:t xml:space="preserve">Therefore is the kingdom of heaven likened to a certain king, which would take account of his slaves.</w:t>
      </w:r>
    </w:p>
    <w:p>
      <w:r>
        <w:rPr>
          <w:b/>
        </w:rPr>
        <w:t xml:space="preserve">24 </w:t>
      </w:r>
      <w:r>
        <w:t xml:space="preserve">And when he had begun to reckon, one was brought to him, who owed</w:t>
      </w:r>
      <w:r>
        <w:rPr>
          <w:rStyle w:val="FootnoteReference"/>
        </w:rPr>
        <w:footnoteReference w:id="14616"/>
      </w:r>
      <w:r>
        <w:t xml:space="preserve"> him ten thousand talents.</w:t>
      </w:r>
    </w:p>
    <w:p>
      <w:r>
        <w:rPr>
          <w:b/>
        </w:rPr>
        <w:t xml:space="preserve">25 </w:t>
      </w:r>
      <w:r>
        <w:t xml:space="preserve">But since he had not to pay, his Lord commanded</w:t>
      </w:r>
      <w:r>
        <w:rPr>
          <w:rStyle w:val="FootnoteReference"/>
        </w:rPr>
        <w:footnoteReference w:id="14617"/>
      </w:r>
      <w:r>
        <w:t xml:space="preserve"> him to be sold, and his wife, and children, and all that he had, and payment to be made.</w:t>
      </w:r>
    </w:p>
    <w:p>
      <w:r>
        <w:rPr>
          <w:b/>
        </w:rPr>
        <w:t xml:space="preserve">26 </w:t>
      </w:r>
      <w:r>
        <w:t xml:space="preserve">The slave therefore fell down, and worshiped him, saying, Lord, have patience with me, and I will pay you all.</w:t>
      </w:r>
    </w:p>
    <w:p>
      <w:r>
        <w:rPr>
          <w:b/>
        </w:rPr>
        <w:t xml:space="preserve">27 </w:t>
      </w:r>
      <w:r>
        <w:t xml:space="preserve">Then the Lord of that slave was moved</w:t>
      </w:r>
      <w:r>
        <w:rPr>
          <w:rStyle w:val="FootnoteReference"/>
        </w:rPr>
        <w:footnoteReference w:id="14618"/>
      </w:r>
      <w:r>
        <w:t xml:space="preserve"> with compassion, and loosed him, and forgave him the debt.</w:t>
      </w:r>
    </w:p>
    <w:p>
      <w:r>
        <w:rPr>
          <w:b/>
        </w:rPr>
        <w:t xml:space="preserve">28 </w:t>
      </w:r>
      <w:r>
        <w:t xml:space="preserve">But the same slave went out, and found one of his fellow slaves, which owed him a hundred denarii: and he laid hands on him, and took</w:t>
      </w:r>
      <w:r>
        <w:rPr>
          <w:rStyle w:val="FootnoteReference"/>
        </w:rPr>
        <w:footnoteReference w:id="14619"/>
      </w:r>
      <w:r>
        <w:t xml:space="preserve"> him by the throat, saying, Pay me that you owe.</w:t>
      </w:r>
    </w:p>
    <w:p>
      <w:r>
        <w:rPr>
          <w:b/>
        </w:rPr>
        <w:t xml:space="preserve">29 </w:t>
      </w:r>
      <w:r>
        <w:t xml:space="preserve">And his fellow slave fell down at his feet, and begged him, saying, Have patience with me, and I will pay you all.</w:t>
      </w:r>
    </w:p>
    <w:p>
      <w:r>
        <w:rPr>
          <w:b/>
        </w:rPr>
        <w:t xml:space="preserve">30 </w:t>
      </w:r>
      <w:r>
        <w:t xml:space="preserve">And he would not: but went and cast him into prison, till he should pay the debt.</w:t>
      </w:r>
    </w:p>
    <w:p>
      <w:r>
        <w:rPr>
          <w:b/>
        </w:rPr>
        <w:t xml:space="preserve">31 </w:t>
      </w:r>
      <w:r>
        <w:t xml:space="preserve">So when his fellow slaves saw what was done, they were very sorry, and came</w:t>
      </w:r>
      <w:r>
        <w:rPr>
          <w:rStyle w:val="FootnoteReference"/>
        </w:rPr>
        <w:footnoteReference w:id="14620"/>
      </w:r>
      <w:r>
        <w:t xml:space="preserve"> and told to their Lord all that was done.</w:t>
      </w:r>
    </w:p>
    <w:p>
      <w:r>
        <w:rPr>
          <w:b/>
        </w:rPr>
        <w:t xml:space="preserve">32 </w:t>
      </w:r>
      <w:r>
        <w:t xml:space="preserve">Then his Lord, after that he had called him, said to him, O you wicked slave, I forgave you all that debt, because you desired me:</w:t>
      </w:r>
    </w:p>
    <w:p>
      <w:r>
        <w:rPr>
          <w:b/>
        </w:rPr>
        <w:t xml:space="preserve">33 </w:t>
      </w:r>
      <w:r>
        <w:t xml:space="preserve">Should not you also have had compassion on your fellow slave, even as I had pity on you?</w:t>
      </w:r>
    </w:p>
    <w:p>
      <w:r>
        <w:rPr>
          <w:b/>
        </w:rPr>
        <w:t xml:space="preserve">34 </w:t>
      </w:r>
      <w:r>
        <w:t xml:space="preserve">And his Lord was angry, and delivered</w:t>
      </w:r>
      <w:r>
        <w:rPr>
          <w:rStyle w:val="FootnoteReference"/>
        </w:rPr>
        <w:footnoteReference w:id="14621"/>
      </w:r>
      <w:r>
        <w:t xml:space="preserve"> him to the tormentors, till he should pay all that was due to him.</w:t>
      </w:r>
    </w:p>
    <w:p>
      <w:r>
        <w:rPr>
          <w:b/>
        </w:rPr>
        <w:t xml:space="preserve">35 </w:t>
      </w:r>
      <w:r>
        <w:t xml:space="preserve">So likewise shall my heavenly Father do also to you, if you from your hearts do not forgive every one his brother their trespasses.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it happened, that when</w:t>
      </w:r>
      <w:r>
        <w:rPr>
          <w:rStyle w:val="FootnoteReference"/>
        </w:rPr>
        <w:footnoteReference w:id="14622"/>
      </w:r>
      <w:r>
        <w:t xml:space="preserve"> Jesus had finished these sayings, he departed from Galilee, and came into the borders of Judea beyond Jordan;</w:t>
      </w:r>
    </w:p>
    <w:p>
      <w:r>
        <w:rPr>
          <w:b/>
        </w:rPr>
        <w:t xml:space="preserve">2 </w:t>
      </w:r>
      <w:r>
        <w:t xml:space="preserve">And great crowds followed him; and he healed them there.</w:t>
      </w:r>
    </w:p>
    <w:p>
      <w:r>
        <w:rPr>
          <w:b/>
        </w:rPr>
        <w:t xml:space="preserve">3 </w:t>
      </w:r>
      <w:r>
        <w:t xml:space="preserve">The Pharisees also came to him, tempting</w:t>
      </w:r>
      <w:r>
        <w:rPr>
          <w:rStyle w:val="FootnoteReference"/>
        </w:rPr>
        <w:footnoteReference w:id="14623"/>
      </w:r>
      <w:r>
        <w:t xml:space="preserve"> him, and saying to him, Is it lawful for a man to release his wife for every cause?</w:t>
      </w:r>
    </w:p>
    <w:p>
      <w:r>
        <w:rPr>
          <w:b/>
        </w:rPr>
        <w:t xml:space="preserve">4 </w:t>
      </w:r>
      <w:r>
        <w:t xml:space="preserve">And he answered and said to them, Have you not read, that the one who made them at the beginning made them male and female,</w:t>
      </w:r>
    </w:p>
    <w:p>
      <w:r>
        <w:rPr>
          <w:b/>
        </w:rPr>
        <w:t xml:space="preserve">5 </w:t>
      </w:r>
      <w:r>
        <w:t xml:space="preserve">And said</w:t>
      </w:r>
      <w:r>
        <w:rPr>
          <w:rStyle w:val="FootnoteReference"/>
        </w:rPr>
        <w:footnoteReference w:id="14624"/>
      </w:r>
      <w:r>
        <w:t xml:space="preserve">, For this cause shall a man leave father and mother, and shall cling to his wife: and they two shall be one flesh?</w:t>
      </w:r>
    </w:p>
    <w:p>
      <w:r>
        <w:rPr>
          <w:b/>
        </w:rPr>
        <w:t xml:space="preserve">6 </w:t>
      </w:r>
      <w:r>
        <w:t xml:space="preserve">Therefore they are no more two, but one flesh. What therefore God has joined together, let not man put asunder.</w:t>
      </w:r>
    </w:p>
    <w:p>
      <w:r>
        <w:rPr>
          <w:b/>
        </w:rPr>
        <w:t xml:space="preserve">7 </w:t>
      </w:r>
      <w:r>
        <w:t xml:space="preserve">They say to him, Why did Moses then command to give a writing of divorcement, and to release her?</w:t>
      </w:r>
    </w:p>
    <w:p>
      <w:r>
        <w:rPr>
          <w:b/>
        </w:rPr>
        <w:t xml:space="preserve">8 </w:t>
      </w:r>
      <w:r>
        <w:t xml:space="preserve">He says to them, Moses because of the hardness of your hearts permitted you to release your wives: but from the beginning it was not so.</w:t>
      </w:r>
    </w:p>
    <w:p>
      <w:r>
        <w:rPr>
          <w:b/>
        </w:rPr>
        <w:t xml:space="preserve">9 </w:t>
      </w:r>
      <w:r>
        <w:t xml:space="preserve">And I say to you, Whoever shall release his wife, except</w:t>
      </w:r>
      <w:r>
        <w:rPr>
          <w:rStyle w:val="FootnoteReference"/>
        </w:rPr>
        <w:footnoteReference w:id="14625"/>
      </w:r>
      <w:r>
        <w:t xml:space="preserve"> it be for sexual immorality, and shall marry another, commits adultery: and whoever marries her who has been released does commit adultery.</w:t>
      </w:r>
    </w:p>
    <w:p>
      <w:r>
        <w:rPr>
          <w:b/>
        </w:rPr>
        <w:t xml:space="preserve">10 </w:t>
      </w:r>
      <w:r>
        <w:t xml:space="preserve">His disciples say to him, If the case of the man be so with his wife, it is not good to marry.</w:t>
      </w:r>
    </w:p>
    <w:p>
      <w:r>
        <w:rPr>
          <w:b/>
        </w:rPr>
        <w:t xml:space="preserve">11 </w:t>
      </w:r>
      <w:r>
        <w:t xml:space="preserve">But he said to them, Not all men can receive this saying, except those to whom it is given.</w:t>
      </w:r>
    </w:p>
    <w:p>
      <w:r>
        <w:rPr>
          <w:b/>
        </w:rPr>
        <w:t xml:space="preserve">12 </w:t>
      </w:r>
      <w:r>
        <w:t xml:space="preserve">For there are some eunuchs, who were so born from their mother's womb: and there are some eunuchs, who were made eunuchs by men: and there are eunuchs, who have made themselves eunuchs for the kingdom of heaven's sake. The one who is able to receive it, let him receive it.</w:t>
      </w:r>
    </w:p>
    <w:p>
      <w:r>
        <w:rPr>
          <w:b/>
        </w:rPr>
        <w:t xml:space="preserve">13 </w:t>
      </w:r>
      <w:r>
        <w:t xml:space="preserve">Then were there brought</w:t>
      </w:r>
      <w:r>
        <w:rPr>
          <w:rStyle w:val="FootnoteReference"/>
        </w:rPr>
        <w:footnoteReference w:id="14626"/>
      </w:r>
      <w:r>
        <w:t xml:space="preserve"> to him little children, that he should put his hands on them, and pray: and the disciples rebuked them.</w:t>
      </w:r>
    </w:p>
    <w:p>
      <w:r>
        <w:rPr>
          <w:b/>
        </w:rPr>
        <w:t xml:space="preserve">14 </w:t>
      </w:r>
      <w:r>
        <w:t xml:space="preserve">But Jesus said, allow little children, and forbid them not, to come to me: for of such is the kingdom of heaven.</w:t>
      </w:r>
    </w:p>
    <w:p>
      <w:r>
        <w:rPr>
          <w:b/>
        </w:rPr>
        <w:t xml:space="preserve">15 </w:t>
      </w:r>
      <w:r>
        <w:t xml:space="preserve">And he laid his hands on them, and departed from there.</w:t>
      </w:r>
    </w:p>
    <w:p>
      <w:r>
        <w:rPr>
          <w:b/>
        </w:rPr>
        <w:t xml:space="preserve">16 </w:t>
      </w:r>
      <w:r>
        <w:t xml:space="preserve">And, look, one came and said to him, Good Teacher, what good thing shall I do, that I may have eternal</w:t>
      </w:r>
      <w:r>
        <w:rPr>
          <w:rStyle w:val="FootnoteReference"/>
        </w:rPr>
        <w:footnoteReference w:id="14627"/>
      </w:r>
      <w:r>
        <w:t xml:space="preserve"> life?</w:t>
      </w:r>
    </w:p>
    <w:p>
      <w:r>
        <w:rPr>
          <w:b/>
        </w:rPr>
        <w:t xml:space="preserve">17 </w:t>
      </w:r>
      <w:r>
        <w:t xml:space="preserve">And he said to him, Why do you call me good? there is none good but one, that is, God: but if you will enter into life, keep the commandments.</w:t>
      </w:r>
    </w:p>
    <w:p>
      <w:r>
        <w:rPr>
          <w:b/>
        </w:rPr>
        <w:t xml:space="preserve">18 </w:t>
      </w:r>
      <w:r>
        <w:t xml:space="preserve">He says to him, Which? Jesus said, You shall do no murder, You shall not commit adultery, You shall not steal, You shall not bear false witness,</w:t>
      </w:r>
    </w:p>
    <w:p>
      <w:r>
        <w:rPr>
          <w:b/>
        </w:rPr>
        <w:t xml:space="preserve">19 </w:t>
      </w:r>
      <w:r>
        <w:t xml:space="preserve">Honor your father and your mother: and, You shall love your neighbor as yourself.</w:t>
      </w:r>
    </w:p>
    <w:p>
      <w:r>
        <w:rPr>
          <w:b/>
        </w:rPr>
        <w:t xml:space="preserve">20 </w:t>
      </w:r>
      <w:r>
        <w:t xml:space="preserve">The young man says to him, All these things have I kept from my youth up: what lack I yet?</w:t>
      </w:r>
    </w:p>
    <w:p>
      <w:r>
        <w:rPr>
          <w:b/>
        </w:rPr>
        <w:t xml:space="preserve">21 </w:t>
      </w:r>
      <w:r>
        <w:t xml:space="preserve">Jesus said to him, If you will be perfect, go and sell that you have, and give to the poor, and you shall have treasure in heaven: and come and follow me.</w:t>
      </w:r>
    </w:p>
    <w:p>
      <w:r>
        <w:rPr>
          <w:b/>
        </w:rPr>
        <w:t xml:space="preserve">22 </w:t>
      </w:r>
      <w:r>
        <w:t xml:space="preserve">But when the young man heard that saying, he went away sorrowful: for he had great possessions.</w:t>
      </w:r>
    </w:p>
    <w:p>
      <w:r>
        <w:rPr>
          <w:b/>
        </w:rPr>
        <w:t xml:space="preserve">23 </w:t>
      </w:r>
      <w:r>
        <w:t xml:space="preserve">Then said Jesus to his disciples, Amen, I say to you, That a rich man shall hardly enter</w:t>
      </w:r>
      <w:r>
        <w:rPr>
          <w:rStyle w:val="FootnoteReference"/>
        </w:rPr>
        <w:footnoteReference w:id="14628"/>
      </w:r>
      <w:r>
        <w:t xml:space="preserve"> into the kingdom of heaven.</w:t>
      </w:r>
    </w:p>
    <w:p>
      <w:r>
        <w:rPr>
          <w:b/>
        </w:rPr>
        <w:t xml:space="preserve">24 </w:t>
      </w:r>
      <w:r>
        <w:t xml:space="preserve">And again I say to you, It is easier for a camel to go through the eye of a needle, than for a rich man to enter into the kingdom of God.</w:t>
      </w:r>
    </w:p>
    <w:p>
      <w:r>
        <w:rPr>
          <w:b/>
        </w:rPr>
        <w:t xml:space="preserve">25 </w:t>
      </w:r>
      <w:r>
        <w:t xml:space="preserve">When his disciples heard it, they were exceedingly amazed, saying, Who then can be saved?</w:t>
      </w:r>
    </w:p>
    <w:p>
      <w:r>
        <w:rPr>
          <w:b/>
        </w:rPr>
        <w:t xml:space="preserve">26 </w:t>
      </w:r>
      <w:r>
        <w:t xml:space="preserve">But Jesus beheld them, and said to them, With men this is impossible; but with God all things are possible.</w:t>
      </w:r>
    </w:p>
    <w:p>
      <w:r>
        <w:rPr>
          <w:b/>
        </w:rPr>
        <w:t xml:space="preserve">27 </w:t>
      </w:r>
      <w:r>
        <w:t xml:space="preserve">Then Peter answered and said to him, Look, we have forsaken</w:t>
      </w:r>
      <w:r>
        <w:rPr>
          <w:rStyle w:val="FootnoteReference"/>
        </w:rPr>
        <w:footnoteReference w:id="14629"/>
      </w:r>
      <w:r>
        <w:t xml:space="preserve"> all, and followed you; what shall we have therefore?</w:t>
      </w:r>
    </w:p>
    <w:p>
      <w:r>
        <w:rPr>
          <w:b/>
        </w:rPr>
        <w:t xml:space="preserve">28 </w:t>
      </w:r>
      <w:r>
        <w:t xml:space="preserve">And Jesus said to them, Amen, I say to you, That you which have followed me, in the regeneration</w:t>
      </w:r>
      <w:r>
        <w:rPr>
          <w:rStyle w:val="FootnoteReference"/>
        </w:rPr>
        <w:footnoteReference w:id="14630"/>
      </w:r>
      <w:r>
        <w:t xml:space="preserve"> when the Son of man shall sit in the throne of his glory, you also shall sit upon twelve thrones, judging the twelve tribes of Israel.</w:t>
      </w:r>
    </w:p>
    <w:p>
      <w:r>
        <w:rPr>
          <w:b/>
        </w:rPr>
        <w:t xml:space="preserve">29 </w:t>
      </w:r>
      <w:r>
        <w:t xml:space="preserve">And every one that has forsaken houses, or brothers, or sisters, or father, or mother, or wife, or children, or lands, for my name's sake, shall receive a hundredfold, and shall inherit</w:t>
      </w:r>
      <w:r>
        <w:rPr>
          <w:rStyle w:val="FootnoteReference"/>
        </w:rPr>
        <w:footnoteReference w:id="14631"/>
      </w:r>
      <w:r>
        <w:t xml:space="preserve"> eternal life.</w:t>
      </w:r>
    </w:p>
    <w:p>
      <w:r>
        <w:rPr>
          <w:b/>
        </w:rPr>
        <w:t xml:space="preserve">30 </w:t>
      </w:r>
      <w:r>
        <w:t xml:space="preserve">But many that are first shall be last; and the last shall be first.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For the kingdom</w:t>
      </w:r>
      <w:r>
        <w:rPr>
          <w:rStyle w:val="FootnoteReference"/>
        </w:rPr>
        <w:footnoteReference w:id="14632"/>
      </w:r>
      <w:r>
        <w:t xml:space="preserve"> of heaven is like a man who was a householder, who went out early in the morning to hire laborers into his vineyard.</w:t>
      </w:r>
    </w:p>
    <w:p>
      <w:r>
        <w:rPr>
          <w:b/>
        </w:rPr>
        <w:t xml:space="preserve">2 </w:t>
      </w:r>
      <w:r>
        <w:t xml:space="preserve">And when he had</w:t>
      </w:r>
      <w:r>
        <w:rPr>
          <w:rStyle w:val="FootnoteReference"/>
        </w:rPr>
        <w:footnoteReference w:id="14633"/>
      </w:r>
      <w:r>
        <w:t xml:space="preserve"> agreed with the laborers for a denarius a day, he sent them into his vineyard.</w:t>
      </w:r>
    </w:p>
    <w:p>
      <w:r>
        <w:rPr>
          <w:b/>
        </w:rPr>
        <w:t xml:space="preserve">3 </w:t>
      </w:r>
      <w:r>
        <w:t xml:space="preserve">And he went out about the third</w:t>
      </w:r>
      <w:r>
        <w:rPr>
          <w:rStyle w:val="FootnoteReference"/>
        </w:rPr>
        <w:footnoteReference w:id="14634"/>
      </w:r>
      <w:r>
        <w:t xml:space="preserve"> hour, and saw others standing idle in the marketplace,</w:t>
      </w:r>
    </w:p>
    <w:p>
      <w:r>
        <w:rPr>
          <w:b/>
        </w:rPr>
        <w:t xml:space="preserve">4 </w:t>
      </w:r>
      <w:r>
        <w:t xml:space="preserve">And said to them, Go also into the vineyard, and whatever is right I will give you. And they went their way.</w:t>
      </w:r>
    </w:p>
    <w:p>
      <w:r>
        <w:rPr>
          <w:b/>
        </w:rPr>
        <w:t xml:space="preserve">5 </w:t>
      </w:r>
      <w:r>
        <w:t xml:space="preserve">Again he went out about the sixth</w:t>
      </w:r>
      <w:r>
        <w:rPr>
          <w:rStyle w:val="FootnoteReference"/>
        </w:rPr>
        <w:footnoteReference w:id="14635"/>
      </w:r>
      <w:r>
        <w:t xml:space="preserve"> and ninth hour, and did likewise.</w:t>
      </w:r>
    </w:p>
    <w:p>
      <w:r>
        <w:rPr>
          <w:b/>
        </w:rPr>
        <w:t xml:space="preserve">6 </w:t>
      </w:r>
      <w:r>
        <w:t xml:space="preserve">And about the eleventh</w:t>
      </w:r>
      <w:r>
        <w:rPr>
          <w:rStyle w:val="FootnoteReference"/>
        </w:rPr>
        <w:footnoteReference w:id="14636"/>
      </w:r>
      <w:r>
        <w:t xml:space="preserve"> hour he went out, and found others standing idle, and says to them, Why do you stand here all the day idle?</w:t>
      </w:r>
    </w:p>
    <w:p>
      <w:r>
        <w:rPr>
          <w:b/>
        </w:rPr>
        <w:t xml:space="preserve">7 </w:t>
      </w:r>
      <w:r>
        <w:t xml:space="preserve">They say to him, Because no one has hired us. He says to them, Go also into the vineyard; and whatever is right, that you shall receive.</w:t>
      </w:r>
    </w:p>
    <w:p>
      <w:r>
        <w:rPr>
          <w:b/>
        </w:rPr>
        <w:t xml:space="preserve">8 </w:t>
      </w:r>
      <w:r>
        <w:t xml:space="preserve">So when even had come, the Lord of the vineyard says to his steward, Call the laborers, and give them their hire, beginning from the last to the first.</w:t>
      </w:r>
    </w:p>
    <w:p>
      <w:r>
        <w:rPr>
          <w:b/>
        </w:rPr>
        <w:t xml:space="preserve">9 </w:t>
      </w:r>
      <w:r>
        <w:t xml:space="preserve">And when those hired about the eleventh hour came, each man received a denarius.</w:t>
      </w:r>
    </w:p>
    <w:p>
      <w:r>
        <w:rPr>
          <w:b/>
        </w:rPr>
        <w:t xml:space="preserve">10 </w:t>
      </w:r>
      <w:r>
        <w:t xml:space="preserve">But when the first came, they supposed that they should have received more; and they likewise received each man a denarius.</w:t>
      </w:r>
    </w:p>
    <w:p>
      <w:r>
        <w:rPr>
          <w:b/>
        </w:rPr>
        <w:t xml:space="preserve">11 </w:t>
      </w:r>
      <w:r>
        <w:t xml:space="preserve">And when they had received it, they murmured</w:t>
      </w:r>
      <w:r>
        <w:rPr>
          <w:rStyle w:val="FootnoteReference"/>
        </w:rPr>
        <w:footnoteReference w:id="14637"/>
      </w:r>
      <w:r>
        <w:t xml:space="preserve"> against the householder,</w:t>
      </w:r>
    </w:p>
    <w:p>
      <w:r>
        <w:rPr>
          <w:b/>
        </w:rPr>
        <w:t xml:space="preserve">12 </w:t>
      </w:r>
      <w:r>
        <w:t xml:space="preserve">Saying, These last have worked but one hour, and you have made them equal</w:t>
      </w:r>
      <w:r>
        <w:rPr>
          <w:rStyle w:val="FootnoteReference"/>
        </w:rPr>
        <w:footnoteReference w:id="14638"/>
      </w:r>
      <w:r>
        <w:t xml:space="preserve"> to us, who have borne the burden and heat of the day.</w:t>
      </w:r>
    </w:p>
    <w:p>
      <w:r>
        <w:rPr>
          <w:b/>
        </w:rPr>
        <w:t xml:space="preserve">13 </w:t>
      </w:r>
      <w:r>
        <w:t xml:space="preserve">But he answered one of them, and said, Friend</w:t>
      </w:r>
      <w:r>
        <w:rPr>
          <w:rStyle w:val="FootnoteReference"/>
        </w:rPr>
        <w:footnoteReference w:id="14639"/>
      </w:r>
      <w:r>
        <w:t xml:space="preserve">, I do you no wrong: Did you not agree with me for a denarius?</w:t>
      </w:r>
    </w:p>
    <w:p>
      <w:r>
        <w:rPr>
          <w:b/>
        </w:rPr>
        <w:t xml:space="preserve">14 </w:t>
      </w:r>
      <w:r>
        <w:t xml:space="preserve">Take what is yours, and go your way: I will give to this last, even as to you.</w:t>
      </w:r>
    </w:p>
    <w:p>
      <w:r>
        <w:rPr>
          <w:b/>
        </w:rPr>
        <w:t xml:space="preserve">15 </w:t>
      </w:r>
      <w:r>
        <w:t xml:space="preserve">Is it not lawful for me to do what I will with my own? Is your eye evil, because I am good?</w:t>
      </w:r>
    </w:p>
    <w:p>
      <w:r>
        <w:rPr>
          <w:b/>
        </w:rPr>
        <w:t xml:space="preserve">16 </w:t>
      </w:r>
      <w:r>
        <w:t xml:space="preserve">So the last</w:t>
      </w:r>
      <w:r>
        <w:rPr>
          <w:rStyle w:val="FootnoteReference"/>
        </w:rPr>
        <w:footnoteReference w:id="14640"/>
      </w:r>
      <w:r>
        <w:t xml:space="preserve"> shall be first, and the first last: for many are called, but few are chosen.</w:t>
      </w:r>
    </w:p>
    <w:p>
      <w:r>
        <w:rPr>
          <w:b/>
        </w:rPr>
        <w:t xml:space="preserve">17 </w:t>
      </w:r>
      <w:r>
        <w:t xml:space="preserve">And as Jesus</w:t>
      </w:r>
      <w:r>
        <w:rPr>
          <w:rStyle w:val="FootnoteReference"/>
        </w:rPr>
        <w:footnoteReference w:id="14641"/>
      </w:r>
      <w:r>
        <w:t xml:space="preserve"> was going up to Jerusalem, he took the twelve disciples apart in the way, and said to them,</w:t>
      </w:r>
    </w:p>
    <w:p>
      <w:r>
        <w:rPr>
          <w:b/>
        </w:rPr>
        <w:t xml:space="preserve">18 </w:t>
      </w:r>
      <w:r>
        <w:t xml:space="preserve">Look, we go up to Jerusalem; and the Son of man shall be betrayed to the chief priests and to the scribes, and they shall condemn him to death,</w:t>
      </w:r>
    </w:p>
    <w:p>
      <w:r>
        <w:rPr>
          <w:b/>
        </w:rPr>
        <w:t xml:space="preserve">19 </w:t>
      </w:r>
      <w:r>
        <w:t xml:space="preserve">And shall deliver</w:t>
      </w:r>
      <w:r>
        <w:rPr>
          <w:rStyle w:val="FootnoteReference"/>
        </w:rPr>
        <w:footnoteReference w:id="14642"/>
      </w:r>
      <w:r>
        <w:t xml:space="preserve"> him to the nations to mock, and to scourge, and to crucify him: and the third day he shall rise again.</w:t>
      </w:r>
    </w:p>
    <w:p>
      <w:r>
        <w:rPr>
          <w:b/>
        </w:rPr>
        <w:t xml:space="preserve">20 </w:t>
      </w:r>
      <w:r>
        <w:t xml:space="preserve">Then came to him the mother</w:t>
      </w:r>
      <w:r>
        <w:rPr>
          <w:rStyle w:val="FootnoteReference"/>
        </w:rPr>
        <w:footnoteReference w:id="14643"/>
      </w:r>
      <w:r>
        <w:t xml:space="preserve"> of Zebedees</w:t>
      </w:r>
      <w:r>
        <w:rPr>
          <w:rStyle w:val="FootnoteReference"/>
        </w:rPr>
        <w:footnoteReference w:id="14644"/>
      </w:r>
      <w:r>
        <w:t xml:space="preserve"> children with her sons, worshiping him, and desiring a certain thing of him.</w:t>
      </w:r>
    </w:p>
    <w:p>
      <w:r>
        <w:rPr>
          <w:b/>
        </w:rPr>
        <w:t xml:space="preserve">21 </w:t>
      </w:r>
      <w:r>
        <w:t xml:space="preserve">And he said to her, What do you want? She says to him, Grant</w:t>
      </w:r>
      <w:r>
        <w:rPr>
          <w:rStyle w:val="FootnoteReference"/>
        </w:rPr>
        <w:footnoteReference w:id="14645"/>
      </w:r>
      <w:r>
        <w:t xml:space="preserve"> that these my two sons may sit, the one on your right hand, and the other on the left, in your kingdom.</w:t>
      </w:r>
    </w:p>
    <w:p>
      <w:r>
        <w:rPr>
          <w:b/>
        </w:rPr>
        <w:t xml:space="preserve">22 </w:t>
      </w:r>
      <w:r>
        <w:t xml:space="preserve">But Jesus answered and said, You do not know what you ask. Are you able to drink of the cup</w:t>
      </w:r>
      <w:r>
        <w:rPr>
          <w:rStyle w:val="FootnoteReference"/>
        </w:rPr>
        <w:footnoteReference w:id="14646"/>
      </w:r>
      <w:r>
        <w:t xml:space="preserve"> that I shall drink of, and to be baptized with the baptism that I am baptized with? They say to him, We are able.</w:t>
      </w:r>
    </w:p>
    <w:p>
      <w:r>
        <w:rPr>
          <w:b/>
        </w:rPr>
        <w:t xml:space="preserve">23 </w:t>
      </w:r>
      <w:r>
        <w:t xml:space="preserve">And he says to them, You shall drink indeed of my cup, and be baptized with the baptism that I am baptized with: but to sit on my right hand, and on my left, is not mine to give, but it shall be given to them for whom it is prepared of my Father.</w:t>
      </w:r>
    </w:p>
    <w:p>
      <w:r>
        <w:rPr>
          <w:b/>
        </w:rPr>
        <w:t xml:space="preserve">24 </w:t>
      </w:r>
      <w:r>
        <w:t xml:space="preserve">And when the ten heard it, they were moved with indignation against the two brothers.</w:t>
      </w:r>
    </w:p>
    <w:p>
      <w:r>
        <w:rPr>
          <w:b/>
        </w:rPr>
        <w:t xml:space="preserve">25 </w:t>
      </w:r>
      <w:r>
        <w:t xml:space="preserve">But Jesus called</w:t>
      </w:r>
      <w:r>
        <w:rPr>
          <w:rStyle w:val="FootnoteReference"/>
        </w:rPr>
        <w:footnoteReference w:id="14647"/>
      </w:r>
      <w:r>
        <w:t xml:space="preserve"> them to him, and said, You know that the princes of the nations exercise dominion over them, and those who are great exercise authority upon them.</w:t>
      </w:r>
    </w:p>
    <w:p>
      <w:r>
        <w:rPr>
          <w:b/>
        </w:rPr>
        <w:t xml:space="preserve">26 </w:t>
      </w:r>
      <w:r>
        <w:t xml:space="preserve">But it shall not be so among you: but whoever will be great among you, let him be your minister</w:t>
      </w:r>
      <w:r>
        <w:rPr>
          <w:rStyle w:val="FootnoteReference"/>
        </w:rPr>
        <w:footnoteReference w:id="14648"/>
      </w:r>
      <w:r>
        <w:t xml:space="preserve">;</w:t>
      </w:r>
    </w:p>
    <w:p>
      <w:r>
        <w:rPr>
          <w:b/>
        </w:rPr>
        <w:t xml:space="preserve">27 </w:t>
      </w:r>
      <w:r>
        <w:t xml:space="preserve">And whoever will be chief among you, let him be your slave:</w:t>
      </w:r>
    </w:p>
    <w:p>
      <w:r>
        <w:rPr>
          <w:b/>
        </w:rPr>
        <w:t xml:space="preserve">28 </w:t>
      </w:r>
      <w:r>
        <w:t xml:space="preserve">Even as the Son of man came not to be ministered to, but to minister, and to give his life a ransom for many.</w:t>
      </w:r>
    </w:p>
    <w:p>
      <w:r>
        <w:rPr>
          <w:b/>
        </w:rPr>
        <w:t xml:space="preserve">29 </w:t>
      </w:r>
      <w:r>
        <w:t xml:space="preserve">And as they departed from Jericho</w:t>
      </w:r>
      <w:r>
        <w:rPr>
          <w:rStyle w:val="FootnoteReference"/>
        </w:rPr>
        <w:footnoteReference w:id="14649"/>
      </w:r>
      <w:r>
        <w:t xml:space="preserve">, a great crowd followed him.</w:t>
      </w:r>
    </w:p>
    <w:p>
      <w:r>
        <w:rPr>
          <w:b/>
        </w:rPr>
        <w:t xml:space="preserve">30 </w:t>
      </w:r>
      <w:r>
        <w:t xml:space="preserve">And, look, two blind men sitting by the way side, when they heard that Jesus passed by, cried out, saying, Have mercy on us, O Lord, you son of David.</w:t>
      </w:r>
    </w:p>
    <w:p>
      <w:r>
        <w:rPr>
          <w:b/>
        </w:rPr>
        <w:t xml:space="preserve">31 </w:t>
      </w:r>
      <w:r>
        <w:t xml:space="preserve">And the crowd rebuked</w:t>
      </w:r>
      <w:r>
        <w:rPr>
          <w:rStyle w:val="FootnoteReference"/>
        </w:rPr>
        <w:footnoteReference w:id="14650"/>
      </w:r>
      <w:r>
        <w:t xml:space="preserve"> them, because they should be silent: but they cried the more, saying, Have mercy on us, O Lord, you son of David.</w:t>
      </w:r>
    </w:p>
    <w:p>
      <w:r>
        <w:rPr>
          <w:b/>
        </w:rPr>
        <w:t xml:space="preserve">32 </w:t>
      </w:r>
      <w:r>
        <w:t xml:space="preserve">And Jesus stood still, and called them, and said, What do you want me to do for you?</w:t>
      </w:r>
    </w:p>
    <w:p>
      <w:r>
        <w:rPr>
          <w:b/>
        </w:rPr>
        <w:t xml:space="preserve">33 </w:t>
      </w:r>
      <w:r>
        <w:t xml:space="preserve">They say to him, Lord, that our eyes may be opened.</w:t>
      </w:r>
    </w:p>
    <w:p>
      <w:r>
        <w:rPr>
          <w:b/>
        </w:rPr>
        <w:t xml:space="preserve">34 </w:t>
      </w:r>
      <w:r>
        <w:t xml:space="preserve">So Jesus</w:t>
      </w:r>
      <w:r>
        <w:rPr>
          <w:rStyle w:val="FootnoteReference"/>
        </w:rPr>
        <w:footnoteReference w:id="14651"/>
      </w:r>
      <w:r>
        <w:t xml:space="preserve"> had compassion on them, and touched their eyes: and immediately their eyes received sight, and they followed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when they drew near to Jerusalem, and had come to Bethphage</w:t>
      </w:r>
      <w:r>
        <w:rPr>
          <w:rStyle w:val="FootnoteReference"/>
        </w:rPr>
        <w:footnoteReference w:id="14652"/>
      </w:r>
      <w:r>
        <w:t xml:space="preserve">, to the mount</w:t>
      </w:r>
      <w:r>
        <w:rPr>
          <w:rStyle w:val="FootnoteReference"/>
        </w:rPr>
        <w:footnoteReference w:id="14653"/>
      </w:r>
      <w:r>
        <w:t xml:space="preserve"> of Olives, then Jesus sent two disciples,</w:t>
      </w:r>
    </w:p>
    <w:p>
      <w:r>
        <w:rPr>
          <w:b/>
        </w:rPr>
        <w:t xml:space="preserve">2 </w:t>
      </w:r>
      <w:r>
        <w:t xml:space="preserve">Saying to them, Go into the village opposite to you, and immediately you shall find a donkey tied, and a colt with her: loose them, and bring them to me.</w:t>
      </w:r>
    </w:p>
    <w:p>
      <w:r>
        <w:rPr>
          <w:b/>
        </w:rPr>
        <w:t xml:space="preserve">3 </w:t>
      </w:r>
      <w:r>
        <w:t xml:space="preserve">And if anyone say anything to you, you shall say, The Lord</w:t>
      </w:r>
      <w:r>
        <w:rPr>
          <w:rStyle w:val="FootnoteReference"/>
        </w:rPr>
        <w:footnoteReference w:id="14654"/>
      </w:r>
      <w:r>
        <w:t xml:space="preserve"> has need of them; and immediately he will send them.</w:t>
      </w:r>
    </w:p>
    <w:p>
      <w:r>
        <w:rPr>
          <w:b/>
        </w:rPr>
        <w:t xml:space="preserve">4 </w:t>
      </w:r>
      <w:r>
        <w:t xml:space="preserve">All this was done, that it might be fulfilled which was spoken by the prophet, saying</w:t>
      </w:r>
      <w:r>
        <w:rPr>
          <w:rStyle w:val="FootnoteReference"/>
        </w:rPr>
        <w:footnoteReference w:id="14655"/>
      </w:r>
      <w:r>
        <w:t xml:space="preserve">,</w:t>
      </w:r>
    </w:p>
    <w:p>
      <w:r>
        <w:rPr>
          <w:b/>
        </w:rPr>
        <w:t xml:space="preserve">5 </w:t>
      </w:r>
      <w:r>
        <w:t xml:space="preserve">Tell the daughter</w:t>
      </w:r>
      <w:r>
        <w:rPr>
          <w:rStyle w:val="FootnoteReference"/>
        </w:rPr>
        <w:footnoteReference w:id="14656"/>
      </w:r>
      <w:r>
        <w:t xml:space="preserve"> of Zion</w:t>
      </w:r>
      <w:r>
        <w:rPr>
          <w:rStyle w:val="FootnoteReference"/>
        </w:rPr>
        <w:footnoteReference w:id="14657"/>
      </w:r>
      <w:r>
        <w:t xml:space="preserve">, Look, your King comes to you, meek, and sitting upon a donkey, and a colt the foal of a donkey.</w:t>
      </w:r>
    </w:p>
    <w:p>
      <w:r>
        <w:rPr>
          <w:b/>
        </w:rPr>
        <w:t xml:space="preserve">6 </w:t>
      </w:r>
      <w:r>
        <w:t xml:space="preserve">And the disciples went, and did</w:t>
      </w:r>
      <w:r>
        <w:rPr>
          <w:rStyle w:val="FootnoteReference"/>
        </w:rPr>
        <w:footnoteReference w:id="14658"/>
      </w:r>
      <w:r>
        <w:t xml:space="preserve"> as Jesus commanded them,</w:t>
      </w:r>
    </w:p>
    <w:p>
      <w:r>
        <w:rPr>
          <w:b/>
        </w:rPr>
        <w:t xml:space="preserve">7 </w:t>
      </w:r>
      <w:r>
        <w:t xml:space="preserve">And brought</w:t>
      </w:r>
      <w:r>
        <w:rPr>
          <w:rStyle w:val="FootnoteReference"/>
        </w:rPr>
        <w:footnoteReference w:id="14659"/>
      </w:r>
      <w:r>
        <w:t xml:space="preserve"> the donkey, and the colt, and put their clothes on them, and they set him on them.</w:t>
      </w:r>
    </w:p>
    <w:p>
      <w:r>
        <w:rPr>
          <w:b/>
        </w:rPr>
        <w:t xml:space="preserve">8 </w:t>
      </w:r>
      <w:r>
        <w:t xml:space="preserve">And a very great crowd spread their clothes in the way; others</w:t>
      </w:r>
      <w:r>
        <w:rPr>
          <w:rStyle w:val="FootnoteReference"/>
        </w:rPr>
        <w:footnoteReference w:id="14660"/>
      </w:r>
      <w:r>
        <w:t xml:space="preserve"> cut down branches from the trees, and scattered them in the way.</w:t>
      </w:r>
    </w:p>
    <w:p>
      <w:r>
        <w:rPr>
          <w:b/>
        </w:rPr>
        <w:t xml:space="preserve">9 </w:t>
      </w:r>
      <w:r>
        <w:t xml:space="preserve">And the crowds that went before, and that followed, cried, saying, Hosanna</w:t>
      </w:r>
      <w:r>
        <w:rPr>
          <w:rStyle w:val="FootnoteReference"/>
        </w:rPr>
        <w:footnoteReference w:id="14661"/>
      </w:r>
      <w:r>
        <w:t xml:space="preserve"> to the son of David: Blessed is the one who comes in the name of the Lord; Hosanna in the highest.</w:t>
      </w:r>
      <w:r>
        <w:rPr>
          <w:rStyle w:val="FootnoteReference"/>
        </w:rPr>
        <w:footnoteReference w:id="14662"/>
      </w:r>
    </w:p>
    <w:p>
      <w:r>
        <w:rPr>
          <w:b/>
        </w:rPr>
        <w:t xml:space="preserve">10 </w:t>
      </w:r>
      <w:r>
        <w:t xml:space="preserve">And when he had come into Jerusalem, all the city was moved, saying, Who is this?</w:t>
      </w:r>
    </w:p>
    <w:p>
      <w:r>
        <w:rPr>
          <w:b/>
        </w:rPr>
        <w:t xml:space="preserve">11 </w:t>
      </w:r>
      <w:r>
        <w:t xml:space="preserve">And the crowd said, This is Jesus the prophet of Nazareth</w:t>
      </w:r>
      <w:r>
        <w:rPr>
          <w:rStyle w:val="FootnoteReference"/>
        </w:rPr>
        <w:footnoteReference w:id="14663"/>
      </w:r>
      <w:r>
        <w:t xml:space="preserve"> of Galilee.</w:t>
      </w:r>
    </w:p>
    <w:p>
      <w:r>
        <w:rPr>
          <w:b/>
        </w:rPr>
        <w:t xml:space="preserve">12 </w:t>
      </w:r>
      <w:r>
        <w:t xml:space="preserve">And Jesus went</w:t>
      </w:r>
      <w:r>
        <w:rPr>
          <w:rStyle w:val="FootnoteReference"/>
        </w:rPr>
        <w:footnoteReference w:id="14664"/>
      </w:r>
      <w:r>
        <w:t xml:space="preserve"> into the temple of God, and cast out all those who sold and bought in the temple, and overthrew the tables of the moneychangers, and the seats of those who sold doves,</w:t>
      </w:r>
    </w:p>
    <w:p>
      <w:r>
        <w:rPr>
          <w:b/>
        </w:rPr>
        <w:t xml:space="preserve">13 </w:t>
      </w:r>
      <w:r>
        <w:t xml:space="preserve">And said to them, It is written, My house shall be called the house of prayer; but you have made it a den of thieves.</w:t>
      </w:r>
    </w:p>
    <w:p>
      <w:r>
        <w:rPr>
          <w:b/>
        </w:rPr>
        <w:t xml:space="preserve">14 </w:t>
      </w:r>
      <w:r>
        <w:t xml:space="preserve">And the blind and the lame came to him in the temple; and he healed them.</w:t>
      </w:r>
    </w:p>
    <w:p>
      <w:r>
        <w:rPr>
          <w:b/>
        </w:rPr>
        <w:t xml:space="preserve">15 </w:t>
      </w:r>
      <w:r>
        <w:t xml:space="preserve">And when the chief priests and scribes saw the wonderful things that he did, and the children crying in the temple, and saying, Hosanna</w:t>
      </w:r>
      <w:r>
        <w:rPr>
          <w:rStyle w:val="FootnoteReference"/>
        </w:rPr>
        <w:footnoteReference w:id="14665"/>
      </w:r>
      <w:r>
        <w:t xml:space="preserve"> to the son of David; they were greatly displeased,</w:t>
      </w:r>
    </w:p>
    <w:p>
      <w:r>
        <w:rPr>
          <w:b/>
        </w:rPr>
        <w:t xml:space="preserve">16 </w:t>
      </w:r>
      <w:r>
        <w:t xml:space="preserve">And said to him, Do you hear what these say? And Jesus says to them, Yes; have you never read, Out of the mouth of babes and infants you have perfected praise?</w:t>
      </w:r>
    </w:p>
    <w:p>
      <w:r>
        <w:rPr>
          <w:b/>
        </w:rPr>
        <w:t xml:space="preserve">17 </w:t>
      </w:r>
      <w:r>
        <w:t xml:space="preserve">And he left</w:t>
      </w:r>
      <w:r>
        <w:rPr>
          <w:rStyle w:val="FootnoteReference"/>
        </w:rPr>
        <w:footnoteReference w:id="14666"/>
      </w:r>
      <w:r>
        <w:t xml:space="preserve"> them, and went out of the city into Bethany</w:t>
      </w:r>
      <w:r>
        <w:rPr>
          <w:rStyle w:val="FootnoteReference"/>
        </w:rPr>
        <w:footnoteReference w:id="14667"/>
      </w:r>
      <w:r>
        <w:t xml:space="preserve">; and he lodged there.</w:t>
      </w:r>
    </w:p>
    <w:p>
      <w:r>
        <w:rPr>
          <w:b/>
        </w:rPr>
        <w:t xml:space="preserve">18 </w:t>
      </w:r>
      <w:r>
        <w:t xml:space="preserve">Now in the morning as he returned into the city, he was hungry.</w:t>
      </w:r>
    </w:p>
    <w:p>
      <w:r>
        <w:rPr>
          <w:b/>
        </w:rPr>
        <w:t xml:space="preserve">19 </w:t>
      </w:r>
      <w:r>
        <w:t xml:space="preserve">And when he saw a fig tree in the way, he came to it, and found</w:t>
      </w:r>
      <w:r>
        <w:rPr>
          <w:rStyle w:val="FootnoteReference"/>
        </w:rPr>
        <w:footnoteReference w:id="14668"/>
      </w:r>
      <w:r>
        <w:t xml:space="preserve"> nothing thereon, but leaves only, and said to it, Let no fruit grow on you henceforward forever. And immediately the fig tree withered away.</w:t>
      </w:r>
    </w:p>
    <w:p>
      <w:r>
        <w:rPr>
          <w:b/>
        </w:rPr>
        <w:t xml:space="preserve">20 </w:t>
      </w:r>
      <w:r>
        <w:t xml:space="preserve">And when the disciples saw it, they marveled, saying, How soon is the fig tree withered away!</w:t>
      </w:r>
    </w:p>
    <w:p>
      <w:r>
        <w:rPr>
          <w:b/>
        </w:rPr>
        <w:t xml:space="preserve">21 </w:t>
      </w:r>
      <w:r>
        <w:t xml:space="preserve">Jesus answered and said to them, Amen, I say to you, If you have faith, and doubt not, you shall not only do this which is done to the fig tree, but also if you shall say to this mountain, Be removed, and be cast into the sea; it shall be done.</w:t>
      </w:r>
    </w:p>
    <w:p>
      <w:r>
        <w:rPr>
          <w:b/>
        </w:rPr>
        <w:t xml:space="preserve">22 </w:t>
      </w:r>
      <w:r>
        <w:t xml:space="preserve">And all things, whatever you shall ask in prayer, believing, you shall receive.</w:t>
      </w:r>
    </w:p>
    <w:p>
      <w:r>
        <w:rPr>
          <w:b/>
        </w:rPr>
        <w:t xml:space="preserve">23 </w:t>
      </w:r>
      <w:r>
        <w:t xml:space="preserve">And when he had come into the temple, the chief priests</w:t>
      </w:r>
      <w:r>
        <w:rPr>
          <w:rStyle w:val="FootnoteReference"/>
        </w:rPr>
        <w:footnoteReference w:id="14669"/>
      </w:r>
      <w:r>
        <w:t xml:space="preserve"> and the elders of the people came to him as he was teaching, and said, By what authority do you do these things? and who gave you this authority?</w:t>
      </w:r>
    </w:p>
    <w:p>
      <w:r>
        <w:rPr>
          <w:b/>
        </w:rPr>
        <w:t xml:space="preserve">24 </w:t>
      </w:r>
      <w:r>
        <w:t xml:space="preserve">And Jesus answered and said to them, I also</w:t>
      </w:r>
      <w:r>
        <w:rPr>
          <w:rStyle w:val="FootnoteReference"/>
        </w:rPr>
        <w:footnoteReference w:id="14670"/>
      </w:r>
      <w:r>
        <w:t xml:space="preserve"> will ask you one thing, which if you tell me, I likewise will tell you by what authority I do these things.</w:t>
      </w:r>
    </w:p>
    <w:p>
      <w:r>
        <w:rPr>
          <w:b/>
        </w:rPr>
        <w:t xml:space="preserve">25 </w:t>
      </w:r>
      <w:r>
        <w:t xml:space="preserve">The baptism</w:t>
      </w:r>
      <w:r>
        <w:rPr>
          <w:rStyle w:val="FootnoteReference"/>
        </w:rPr>
        <w:footnoteReference w:id="14671"/>
      </w:r>
      <w:r>
        <w:t xml:space="preserve"> of John, From where was it? from heaven, or of men? And they reasoned with themselves, saying, If we shall say, From heaven; he will say to us, Why did you not then believe him?</w:t>
      </w:r>
    </w:p>
    <w:p>
      <w:r>
        <w:rPr>
          <w:b/>
        </w:rPr>
        <w:t xml:space="preserve">26 </w:t>
      </w:r>
      <w:r>
        <w:t xml:space="preserve">But if we shall say, Of men; we fear</w:t>
      </w:r>
      <w:r>
        <w:rPr>
          <w:rStyle w:val="FootnoteReference"/>
        </w:rPr>
        <w:footnoteReference w:id="14672"/>
      </w:r>
      <w:r>
        <w:t xml:space="preserve"> the people; for all hold John as a prophet.</w:t>
      </w:r>
    </w:p>
    <w:p>
      <w:r>
        <w:rPr>
          <w:b/>
        </w:rPr>
        <w:t xml:space="preserve">27 </w:t>
      </w:r>
      <w:r>
        <w:t xml:space="preserve">And they answered Jesus, and said, We cannot tell</w:t>
      </w:r>
      <w:r>
        <w:rPr>
          <w:rStyle w:val="FootnoteReference"/>
        </w:rPr>
        <w:footnoteReference w:id="14673"/>
      </w:r>
      <w:r>
        <w:t xml:space="preserve">. And he said to them, Neither do I tell you by what authority I do these things.</w:t>
      </w:r>
    </w:p>
    <w:p>
      <w:r>
        <w:rPr>
          <w:b/>
        </w:rPr>
        <w:t xml:space="preserve">28 </w:t>
      </w:r>
      <w:r>
        <w:t xml:space="preserve">But what do you think? A certain man had two sons</w:t>
      </w:r>
      <w:r>
        <w:rPr>
          <w:rStyle w:val="FootnoteReference"/>
        </w:rPr>
        <w:footnoteReference w:id="14674"/>
      </w:r>
      <w:r>
        <w:t xml:space="preserve">; and he came to the first, and said, Son, go work today in my vineyard.</w:t>
      </w:r>
    </w:p>
    <w:p>
      <w:r>
        <w:rPr>
          <w:b/>
        </w:rPr>
        <w:t xml:space="preserve">29 </w:t>
      </w:r>
      <w:r>
        <w:t xml:space="preserve">He answered and said, I will not</w:t>
      </w:r>
      <w:r>
        <w:rPr>
          <w:rStyle w:val="FootnoteReference"/>
        </w:rPr>
        <w:footnoteReference w:id="14675"/>
      </w:r>
      <w:r>
        <w:t xml:space="preserve">: but afterward he repented, and went.</w:t>
      </w:r>
    </w:p>
    <w:p>
      <w:r>
        <w:rPr>
          <w:b/>
        </w:rPr>
        <w:t xml:space="preserve">30 </w:t>
      </w:r>
      <w:r>
        <w:t xml:space="preserve">And he came to the second, and said likewise. And he answered and said, I go</w:t>
      </w:r>
      <w:r>
        <w:rPr>
          <w:rStyle w:val="FootnoteReference"/>
        </w:rPr>
        <w:footnoteReference w:id="14676"/>
      </w:r>
      <w:r>
        <w:t xml:space="preserve">, sir: and he did not go.</w:t>
      </w:r>
    </w:p>
    <w:p>
      <w:r>
        <w:rPr>
          <w:b/>
        </w:rPr>
        <w:t xml:space="preserve">31 </w:t>
      </w:r>
      <w:r>
        <w:t xml:space="preserve">Whether of them two did the will of his father? They say to him, The first</w:t>
      </w:r>
      <w:r>
        <w:rPr>
          <w:rStyle w:val="FootnoteReference"/>
        </w:rPr>
        <w:footnoteReference w:id="14677"/>
      </w:r>
      <w:r>
        <w:t xml:space="preserve">. Jesus says to them, Amen, I say to you, That the tax collectors and the prostitutes go into the kingdom of God before you.</w:t>
      </w:r>
    </w:p>
    <w:p>
      <w:r>
        <w:rPr>
          <w:b/>
        </w:rPr>
        <w:t xml:space="preserve">32 </w:t>
      </w:r>
      <w:r>
        <w:t xml:space="preserve">For John came to you in the way of righteousness, and you did not believe him: but the tax collectors and the prostitutes believed him: and you, when you had seen it, did not repent afterward, that you might believe him.</w:t>
      </w:r>
    </w:p>
    <w:p>
      <w:r>
        <w:rPr>
          <w:b/>
        </w:rPr>
        <w:t xml:space="preserve">33 </w:t>
      </w:r>
      <w:r>
        <w:t xml:space="preserve">Hear</w:t>
      </w:r>
      <w:r>
        <w:rPr>
          <w:rStyle w:val="FootnoteReference"/>
        </w:rPr>
        <w:footnoteReference w:id="14678"/>
      </w:r>
      <w:r>
        <w:t xml:space="preserve"> another parable: There was a certain householder, who planted a vineyard, and hedged it round about, and dug a winepress in it, and built a tower, and leased it to tenant farmers, and went into a far country:</w:t>
      </w:r>
    </w:p>
    <w:p>
      <w:r>
        <w:rPr>
          <w:b/>
        </w:rPr>
        <w:t xml:space="preserve">34 </w:t>
      </w:r>
      <w:r>
        <w:t xml:space="preserve">And when the time of the fruit drew near, he sent</w:t>
      </w:r>
      <w:r>
        <w:rPr>
          <w:rStyle w:val="FootnoteReference"/>
        </w:rPr>
        <w:footnoteReference w:id="14679"/>
      </w:r>
      <w:r>
        <w:t xml:space="preserve"> his slaves to the husbandmen, that they might receive the fruits of it.</w:t>
      </w:r>
    </w:p>
    <w:p>
      <w:r>
        <w:rPr>
          <w:b/>
        </w:rPr>
        <w:t xml:space="preserve">35 </w:t>
      </w:r>
      <w:r>
        <w:t xml:space="preserve">And the husbandmen took his slaves, and beat one, and killed another, and stoned another.</w:t>
      </w:r>
    </w:p>
    <w:p>
      <w:r>
        <w:rPr>
          <w:b/>
        </w:rPr>
        <w:t xml:space="preserve">36 </w:t>
      </w:r>
      <w:r>
        <w:t xml:space="preserve">Again, he sent other slaves more than the first: and they did to them likewise.</w:t>
      </w:r>
    </w:p>
    <w:p>
      <w:r>
        <w:rPr>
          <w:b/>
        </w:rPr>
        <w:t xml:space="preserve">37 </w:t>
      </w:r>
      <w:r>
        <w:t xml:space="preserve">But last</w:t>
      </w:r>
      <w:r>
        <w:rPr>
          <w:rStyle w:val="FootnoteReference"/>
        </w:rPr>
        <w:footnoteReference w:id="14680"/>
      </w:r>
      <w:r>
        <w:t xml:space="preserve"> of all he sent to them his son, saying, They will respect my son.</w:t>
      </w:r>
    </w:p>
    <w:p>
      <w:r>
        <w:rPr>
          <w:b/>
        </w:rPr>
        <w:t xml:space="preserve">38 </w:t>
      </w:r>
      <w:r>
        <w:t xml:space="preserve">But when the tenant farmers saw the son, they said among themselves, This is the heir; come, let us kill him, and let us seize his inheritance.</w:t>
      </w:r>
    </w:p>
    <w:p>
      <w:r>
        <w:rPr>
          <w:b/>
        </w:rPr>
        <w:t xml:space="preserve">39 </w:t>
      </w:r>
      <w:r>
        <w:t xml:space="preserve">And they caught</w:t>
      </w:r>
      <w:r>
        <w:rPr>
          <w:rStyle w:val="FootnoteReference"/>
        </w:rPr>
        <w:footnoteReference w:id="14681"/>
      </w:r>
      <w:r>
        <w:t xml:space="preserve"> him, and cast him out of the vineyard, and killed him.</w:t>
      </w:r>
    </w:p>
    <w:p>
      <w:r>
        <w:rPr>
          <w:b/>
        </w:rPr>
        <w:t xml:space="preserve">40 </w:t>
      </w:r>
      <w:r>
        <w:t xml:space="preserve">When therefore the lord of the vineyard comes, what will he do to those tenant farmers?</w:t>
      </w:r>
    </w:p>
    <w:p>
      <w:r>
        <w:rPr>
          <w:b/>
        </w:rPr>
        <w:t xml:space="preserve">41 </w:t>
      </w:r>
      <w:r>
        <w:t xml:space="preserve">They say to him, He will miserably destroy those wicked men, and will lease his vineyard to other tenant farmers, who shall render him the fruits in their seasons.</w:t>
      </w:r>
    </w:p>
    <w:p>
      <w:r>
        <w:rPr>
          <w:b/>
        </w:rPr>
        <w:t xml:space="preserve">42 </w:t>
      </w:r>
      <w:r>
        <w:t xml:space="preserve">Jesus says to them, Did you never read in the scriptures, The stone</w:t>
      </w:r>
      <w:r>
        <w:rPr>
          <w:rStyle w:val="FootnoteReference"/>
        </w:rPr>
        <w:footnoteReference w:id="14682"/>
      </w:r>
      <w:r>
        <w:t xml:space="preserve"> which the builders rejected, the same is become the head of the corner: this is the Lord's doing, and it is marvelous in our eyes?</w:t>
      </w:r>
    </w:p>
    <w:p>
      <w:r>
        <w:rPr>
          <w:b/>
        </w:rPr>
        <w:t xml:space="preserve">43 </w:t>
      </w:r>
      <w:r>
        <w:t xml:space="preserve">Therefore I say to you, The kingdom</w:t>
      </w:r>
      <w:r>
        <w:rPr>
          <w:rStyle w:val="FootnoteReference"/>
        </w:rPr>
        <w:footnoteReference w:id="14683"/>
      </w:r>
      <w:r>
        <w:t xml:space="preserve"> of God shall be taken from you, and given to a nation bringing forth the fruits of it.</w:t>
      </w:r>
    </w:p>
    <w:p>
      <w:r>
        <w:rPr>
          <w:b/>
        </w:rPr>
        <w:t xml:space="preserve">44 </w:t>
      </w:r>
      <w:r>
        <w:t xml:space="preserve">And whoever shall fall on this stone shall be broken: but on whomsoever it shall fall, it will grind him to powder.</w:t>
      </w:r>
    </w:p>
    <w:p>
      <w:r>
        <w:rPr>
          <w:b/>
        </w:rPr>
        <w:t xml:space="preserve">45 </w:t>
      </w:r>
      <w:r>
        <w:t xml:space="preserve">And when the chief priests and Pharisees had heard his parables, they perceived that he spoke of them.</w:t>
      </w:r>
    </w:p>
    <w:p>
      <w:r>
        <w:rPr>
          <w:b/>
        </w:rPr>
        <w:t xml:space="preserve">46 </w:t>
      </w:r>
      <w:r>
        <w:t xml:space="preserve">But when they sought</w:t>
      </w:r>
      <w:r>
        <w:rPr>
          <w:rStyle w:val="FootnoteReference"/>
        </w:rPr>
        <w:footnoteReference w:id="14684"/>
      </w:r>
      <w:r>
        <w:t xml:space="preserve"> to lay hands on him, they feared the crowd, because they took him for a prophet.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Jesus answered and spoke to them again by parables, and said,</w:t>
      </w:r>
    </w:p>
    <w:p>
      <w:r>
        <w:rPr>
          <w:b/>
        </w:rPr>
        <w:t xml:space="preserve">2 </w:t>
      </w:r>
      <w:r>
        <w:t xml:space="preserve">The kingdom</w:t>
      </w:r>
      <w:r>
        <w:rPr>
          <w:rStyle w:val="FootnoteReference"/>
        </w:rPr>
        <w:footnoteReference w:id="14685"/>
      </w:r>
      <w:r>
        <w:t xml:space="preserve"> of heaven is like a certain king, who made a wedding feast for his son,</w:t>
      </w:r>
    </w:p>
    <w:p>
      <w:r>
        <w:rPr>
          <w:b/>
        </w:rPr>
        <w:t xml:space="preserve">3 </w:t>
      </w:r>
      <w:r>
        <w:t xml:space="preserve">And sent</w:t>
      </w:r>
      <w:r>
        <w:rPr>
          <w:rStyle w:val="FootnoteReference"/>
        </w:rPr>
        <w:footnoteReference w:id="14686"/>
      </w:r>
      <w:r>
        <w:t xml:space="preserve"> forth his slaves to call those who were bidden to the wedding: and they would not come.</w:t>
      </w:r>
    </w:p>
    <w:p>
      <w:r>
        <w:rPr>
          <w:b/>
        </w:rPr>
        <w:t xml:space="preserve">4 </w:t>
      </w:r>
      <w:r>
        <w:t xml:space="preserve">Again, he sent forth other</w:t>
      </w:r>
      <w:r>
        <w:rPr>
          <w:rStyle w:val="FootnoteReference"/>
        </w:rPr>
        <w:footnoteReference w:id="14687"/>
      </w:r>
      <w:r>
        <w:t xml:space="preserve"> slaves, saying, Tell those who are bidden, Look, I have prepared my dinner: my oxen and my fatlings are killed, and all things are ready: come to the marriage.</w:t>
      </w:r>
    </w:p>
    <w:p>
      <w:r>
        <w:rPr>
          <w:b/>
        </w:rPr>
        <w:t xml:space="preserve">5 </w:t>
      </w:r>
      <w:r>
        <w:t xml:space="preserve">But they made light of it, and went their ways, one to his farm, another to his merchandise:</w:t>
      </w:r>
    </w:p>
    <w:p>
      <w:r>
        <w:rPr>
          <w:b/>
        </w:rPr>
        <w:t xml:space="preserve">6 </w:t>
      </w:r>
      <w:r>
        <w:t xml:space="preserve">And the remnant</w:t>
      </w:r>
      <w:r>
        <w:rPr>
          <w:rStyle w:val="FootnoteReference"/>
        </w:rPr>
        <w:footnoteReference w:id="14688"/>
      </w:r>
      <w:r>
        <w:t xml:space="preserve"> took his slaves, and mistreated them, and killed them.</w:t>
      </w:r>
    </w:p>
    <w:p>
      <w:r>
        <w:rPr>
          <w:b/>
        </w:rPr>
        <w:t xml:space="preserve">7 </w:t>
      </w:r>
      <w:r>
        <w:t xml:space="preserve">But when the king heard of it, he was angry: and he sent forth his armies, and destroyed those murderers, and burned up their city.</w:t>
      </w:r>
    </w:p>
    <w:p>
      <w:r>
        <w:rPr>
          <w:b/>
        </w:rPr>
        <w:t xml:space="preserve">8 </w:t>
      </w:r>
      <w:r>
        <w:t xml:space="preserve">Then says he to his slaves, The wedding</w:t>
      </w:r>
      <w:r>
        <w:rPr>
          <w:rStyle w:val="FootnoteReference"/>
        </w:rPr>
        <w:footnoteReference w:id="14689"/>
      </w:r>
      <w:r>
        <w:t xml:space="preserve"> is ready, but those who were bidden were not worthy.</w:t>
      </w:r>
    </w:p>
    <w:p>
      <w:r>
        <w:rPr>
          <w:b/>
        </w:rPr>
        <w:t xml:space="preserve">9 </w:t>
      </w:r>
      <w:r>
        <w:t xml:space="preserve">Go therefore into the highways, and as many as you shall find, invite to the wedding feast.</w:t>
      </w:r>
    </w:p>
    <w:p>
      <w:r>
        <w:rPr>
          <w:b/>
        </w:rPr>
        <w:t xml:space="preserve">10 </w:t>
      </w:r>
      <w:r>
        <w:t xml:space="preserve">So those slaves went out into the highways, and gathered together all as many as they found, both</w:t>
      </w:r>
      <w:r>
        <w:rPr>
          <w:rStyle w:val="FootnoteReference"/>
        </w:rPr>
        <w:footnoteReference w:id="14690"/>
      </w:r>
      <w:r>
        <w:t xml:space="preserve"> bad and good: and the wedding was furnished with guest.</w:t>
      </w:r>
    </w:p>
    <w:p>
      <w:r>
        <w:rPr>
          <w:b/>
        </w:rPr>
        <w:t xml:space="preserve">11 </w:t>
      </w:r>
      <w:r>
        <w:t xml:space="preserve">And when the king came in to see the guests, he saw there a man who did not have on a wedding garment:</w:t>
      </w:r>
    </w:p>
    <w:p>
      <w:r>
        <w:rPr>
          <w:b/>
        </w:rPr>
        <w:t xml:space="preserve">12 </w:t>
      </w:r>
      <w:r>
        <w:t xml:space="preserve">And he says to him, Friend</w:t>
      </w:r>
      <w:r>
        <w:rPr>
          <w:rStyle w:val="FootnoteReference"/>
        </w:rPr>
        <w:footnoteReference w:id="14691"/>
      </w:r>
      <w:r>
        <w:t xml:space="preserve">, how did you come in here not having a wedding garment? And he was speechless.</w:t>
      </w:r>
    </w:p>
    <w:p>
      <w:r>
        <w:rPr>
          <w:b/>
        </w:rPr>
        <w:t xml:space="preserve">13 </w:t>
      </w:r>
      <w:r>
        <w:t xml:space="preserve">Then the king said to the servants, Bind</w:t>
      </w:r>
      <w:r>
        <w:rPr>
          <w:rStyle w:val="FootnoteReference"/>
        </w:rPr>
        <w:footnoteReference w:id="14692"/>
      </w:r>
      <w:r>
        <w:t xml:space="preserve"> him hand and foot, and take him away, and cast him into outer darkness; there shall be weeping and gnashing of teeth.</w:t>
      </w:r>
    </w:p>
    <w:p>
      <w:r>
        <w:rPr>
          <w:b/>
        </w:rPr>
        <w:t xml:space="preserve">14 </w:t>
      </w:r>
      <w:r>
        <w:t xml:space="preserve">For many are called, but few are chosen.</w:t>
      </w:r>
    </w:p>
    <w:p>
      <w:r>
        <w:rPr>
          <w:b/>
        </w:rPr>
        <w:t xml:space="preserve">15 </w:t>
      </w:r>
      <w:r>
        <w:t xml:space="preserve">Then went</w:t>
      </w:r>
      <w:r>
        <w:rPr>
          <w:rStyle w:val="FootnoteReference"/>
        </w:rPr>
        <w:footnoteReference w:id="14693"/>
      </w:r>
      <w:r>
        <w:t xml:space="preserve"> the Pharisees, and took counsel how they might entangle him in his talk.</w:t>
      </w:r>
    </w:p>
    <w:p>
      <w:r>
        <w:rPr>
          <w:b/>
        </w:rPr>
        <w:t xml:space="preserve">16 </w:t>
      </w:r>
      <w:r>
        <w:t xml:space="preserve">And they sent out to him their disciples with the Herodians</w:t>
      </w:r>
      <w:r>
        <w:rPr>
          <w:rStyle w:val="FootnoteReference"/>
        </w:rPr>
        <w:footnoteReference w:id="14694"/>
      </w:r>
      <w:r>
        <w:t xml:space="preserve">, saying, Teacher, we know that you are true, and teach the way of God in truth, and you care for no one: for you do not regard the person of men.</w:t>
      </w:r>
      <w:r>
        <w:rPr>
          <w:rStyle w:val="FootnoteReference"/>
        </w:rPr>
        <w:footnoteReference w:id="14695"/>
      </w:r>
    </w:p>
    <w:p>
      <w:r>
        <w:rPr>
          <w:b/>
        </w:rPr>
        <w:t xml:space="preserve">17 </w:t>
      </w:r>
      <w:r>
        <w:t xml:space="preserve">Tell us therefore, What do you think? Is it lawful to give tribute to Caesar</w:t>
      </w:r>
      <w:r>
        <w:rPr>
          <w:rStyle w:val="FootnoteReference"/>
        </w:rPr>
        <w:footnoteReference w:id="14696"/>
      </w:r>
      <w:r>
        <w:t xml:space="preserve">, or not?</w:t>
      </w:r>
      <w:r>
        <w:rPr>
          <w:rStyle w:val="FootnoteReference"/>
        </w:rPr>
        <w:footnoteReference w:id="14697"/>
      </w:r>
    </w:p>
    <w:p>
      <w:r>
        <w:rPr>
          <w:b/>
        </w:rPr>
        <w:t xml:space="preserve">18 </w:t>
      </w:r>
      <w:r>
        <w:t xml:space="preserve">But Jesus perceived</w:t>
      </w:r>
      <w:r>
        <w:rPr>
          <w:rStyle w:val="FootnoteReference"/>
        </w:rPr>
        <w:footnoteReference w:id="14698"/>
      </w:r>
      <w:r>
        <w:t xml:space="preserve"> their wickedness, and said, Why do you tempt me, you hypocrites?</w:t>
      </w:r>
    </w:p>
    <w:p>
      <w:r>
        <w:rPr>
          <w:b/>
        </w:rPr>
        <w:t xml:space="preserve">19 </w:t>
      </w:r>
      <w:r>
        <w:t xml:space="preserve">Show me the tribute money. And they brought to him a denarius.</w:t>
      </w:r>
    </w:p>
    <w:p>
      <w:r>
        <w:rPr>
          <w:b/>
        </w:rPr>
        <w:t xml:space="preserve">20 </w:t>
      </w:r>
      <w:r>
        <w:t xml:space="preserve">And he says to them, Whose is this image and superscription</w:t>
      </w:r>
      <w:r>
        <w:rPr>
          <w:rStyle w:val="FootnoteReference"/>
        </w:rPr>
        <w:footnoteReference w:id="14699"/>
      </w:r>
      <w:r>
        <w:t xml:space="preserve">?</w:t>
      </w:r>
    </w:p>
    <w:p>
      <w:r>
        <w:rPr>
          <w:b/>
        </w:rPr>
        <w:t xml:space="preserve">21 </w:t>
      </w:r>
      <w:r>
        <w:t xml:space="preserve">They say to him, Caesar's. Then he says to them, Render</w:t>
      </w:r>
      <w:r>
        <w:rPr>
          <w:rStyle w:val="FootnoteReference"/>
        </w:rPr>
        <w:footnoteReference w:id="14700"/>
      </w:r>
      <w:r>
        <w:t xml:space="preserve"> therefore to Caesar the things that are Caesar's; and to God the things that are God's.</w:t>
      </w:r>
    </w:p>
    <w:p>
      <w:r>
        <w:rPr>
          <w:b/>
        </w:rPr>
        <w:t xml:space="preserve">22 </w:t>
      </w:r>
      <w:r>
        <w:t xml:space="preserve">When they had heard these words, they marveled, and left him, and went their way.</w:t>
      </w:r>
    </w:p>
    <w:p>
      <w:r>
        <w:rPr>
          <w:b/>
        </w:rPr>
        <w:t xml:space="preserve">23 </w:t>
      </w:r>
      <w:r>
        <w:t xml:space="preserve">The same</w:t>
      </w:r>
      <w:r>
        <w:rPr>
          <w:rStyle w:val="FootnoteReference"/>
        </w:rPr>
        <w:footnoteReference w:id="14701"/>
      </w:r>
      <w:r>
        <w:t xml:space="preserve"> day the Sadducees came to him, who say that there is no resurrection, and asked him,</w:t>
      </w:r>
    </w:p>
    <w:p>
      <w:r>
        <w:rPr>
          <w:b/>
        </w:rPr>
        <w:t xml:space="preserve">24 </w:t>
      </w:r>
      <w:r>
        <w:t xml:space="preserve">Saying, Teacher, Moses</w:t>
      </w:r>
      <w:r>
        <w:rPr>
          <w:rStyle w:val="FootnoteReference"/>
        </w:rPr>
        <w:footnoteReference w:id="14702"/>
      </w:r>
      <w:r>
        <w:t xml:space="preserve"> said, If a man dies, having no children, his brother shall marry his wife, and raise up seed to his brother.</w:t>
      </w:r>
    </w:p>
    <w:p>
      <w:r>
        <w:rPr>
          <w:b/>
        </w:rPr>
        <w:t xml:space="preserve">25 </w:t>
      </w:r>
      <w:r>
        <w:t xml:space="preserve">Now there were with us seven brothers: and the first, when he had married a wife, died, and, having no child, left his wife to his brother:</w:t>
      </w:r>
    </w:p>
    <w:p>
      <w:r>
        <w:rPr>
          <w:b/>
        </w:rPr>
        <w:t xml:space="preserve">26 </w:t>
      </w:r>
      <w:r>
        <w:t xml:space="preserve">Likewise the second also, and the third, to the seventh</w:t>
      </w:r>
      <w:r>
        <w:rPr>
          <w:rStyle w:val="FootnoteReference"/>
        </w:rPr>
        <w:footnoteReference w:id="14703"/>
      </w:r>
      <w:r>
        <w:t xml:space="preserve">.</w:t>
      </w:r>
    </w:p>
    <w:p>
      <w:r>
        <w:rPr>
          <w:b/>
        </w:rPr>
        <w:t xml:space="preserve">27 </w:t>
      </w:r>
      <w:r>
        <w:t xml:space="preserve">And last of all the woman died also.</w:t>
      </w:r>
    </w:p>
    <w:p>
      <w:r>
        <w:rPr>
          <w:b/>
        </w:rPr>
        <w:t xml:space="preserve">28 </w:t>
      </w:r>
      <w:r>
        <w:t xml:space="preserve">Therefore in the resurrection whose wife shall she be of the seven? for they all had her.</w:t>
      </w:r>
    </w:p>
    <w:p>
      <w:r>
        <w:rPr>
          <w:b/>
        </w:rPr>
        <w:t xml:space="preserve">29 </w:t>
      </w:r>
      <w:r>
        <w:t xml:space="preserve">Jesus answered and said to them, You go astray, not knowing the scriptures, nor the power of God.</w:t>
      </w:r>
    </w:p>
    <w:p>
      <w:r>
        <w:rPr>
          <w:b/>
        </w:rPr>
        <w:t xml:space="preserve">30 </w:t>
      </w:r>
      <w:r>
        <w:t xml:space="preserve">For in the resurrection they neither marry, nor are given in marriage, but are as the angels of God in heaven.</w:t>
      </w:r>
    </w:p>
    <w:p>
      <w:r>
        <w:rPr>
          <w:b/>
        </w:rPr>
        <w:t xml:space="preserve">31 </w:t>
      </w:r>
      <w:r>
        <w:t xml:space="preserve">But as concerning the resurrection of the dead, have you not read that which was spoken to you by God, saying,</w:t>
      </w:r>
    </w:p>
    <w:p>
      <w:r>
        <w:rPr>
          <w:b/>
        </w:rPr>
        <w:t xml:space="preserve">32 </w:t>
      </w:r>
      <w:r>
        <w:t xml:space="preserve">I am the God of Abraham, and the God of Isaac, and the God of Jacob? God is</w:t>
      </w:r>
      <w:r>
        <w:rPr>
          <w:rStyle w:val="FootnoteReference"/>
        </w:rPr>
        <w:footnoteReference w:id="14704"/>
      </w:r>
      <w:r>
        <w:t xml:space="preserve"> not the God of the dead, but of the living.</w:t>
      </w:r>
    </w:p>
    <w:p>
      <w:r>
        <w:rPr>
          <w:b/>
        </w:rPr>
        <w:t xml:space="preserve">33 </w:t>
      </w:r>
      <w:r>
        <w:t xml:space="preserve">And when the crowd heard this, they were astonished at his doctrine.</w:t>
      </w:r>
    </w:p>
    <w:p>
      <w:r>
        <w:rPr>
          <w:b/>
        </w:rPr>
        <w:t xml:space="preserve">34 </w:t>
      </w:r>
      <w:r>
        <w:t xml:space="preserve">But when the Pharisees had heard that he had put the Sadducees to silence, they were gathered together.</w:t>
      </w:r>
    </w:p>
    <w:p>
      <w:r>
        <w:rPr>
          <w:b/>
        </w:rPr>
        <w:t xml:space="preserve">35 </w:t>
      </w:r>
      <w:r>
        <w:t xml:space="preserve">Then one of them, who was a lawyer</w:t>
      </w:r>
      <w:r>
        <w:rPr>
          <w:rStyle w:val="FootnoteReference"/>
        </w:rPr>
        <w:footnoteReference w:id="14705"/>
      </w:r>
      <w:r>
        <w:t xml:space="preserve">, asked him a question, testing him, and saying,</w:t>
      </w:r>
    </w:p>
    <w:p>
      <w:r>
        <w:rPr>
          <w:b/>
        </w:rPr>
        <w:t xml:space="preserve">36 </w:t>
      </w:r>
      <w:r>
        <w:t xml:space="preserve">Teacher, which is the great commandment in the law?</w:t>
      </w:r>
    </w:p>
    <w:p>
      <w:r>
        <w:rPr>
          <w:b/>
        </w:rPr>
        <w:t xml:space="preserve">37 </w:t>
      </w:r>
      <w:r>
        <w:t xml:space="preserve">Jesus said to him, You shall love the Lord your God with all your heart, and with all your soul, and with all your mind.</w:t>
      </w:r>
    </w:p>
    <w:p>
      <w:r>
        <w:rPr>
          <w:b/>
        </w:rPr>
        <w:t xml:space="preserve">38 </w:t>
      </w:r>
      <w:r>
        <w:t xml:space="preserve">This is the first and great commandment.</w:t>
      </w:r>
    </w:p>
    <w:p>
      <w:r>
        <w:rPr>
          <w:b/>
        </w:rPr>
        <w:t xml:space="preserve">39 </w:t>
      </w:r>
      <w:r>
        <w:t xml:space="preserve">And the second is like it, You shall love your neighbor as yourself.</w:t>
      </w:r>
    </w:p>
    <w:p>
      <w:r>
        <w:rPr>
          <w:b/>
        </w:rPr>
        <w:t xml:space="preserve">40 </w:t>
      </w:r>
      <w:r>
        <w:t xml:space="preserve">On these two commandments hang all the law and the prophets.</w:t>
      </w:r>
    </w:p>
    <w:p>
      <w:r>
        <w:rPr>
          <w:b/>
        </w:rPr>
        <w:t xml:space="preserve">41 </w:t>
      </w:r>
      <w:r>
        <w:t xml:space="preserve">While the Pharisees were gathered together, Jesus asked them,</w:t>
      </w:r>
    </w:p>
    <w:p>
      <w:r>
        <w:rPr>
          <w:b/>
        </w:rPr>
        <w:t xml:space="preserve">42 </w:t>
      </w:r>
      <w:r>
        <w:t xml:space="preserve">Saying, What do you think of Christ? whose son is he? They say to him, The son</w:t>
      </w:r>
      <w:r>
        <w:rPr>
          <w:rStyle w:val="FootnoteReference"/>
        </w:rPr>
        <w:footnoteReference w:id="14706"/>
      </w:r>
      <w:r>
        <w:t xml:space="preserve"> of David.</w:t>
      </w:r>
    </w:p>
    <w:p>
      <w:r>
        <w:rPr>
          <w:b/>
        </w:rPr>
        <w:t xml:space="preserve">43 </w:t>
      </w:r>
      <w:r>
        <w:t xml:space="preserve">He says to them, How then does David in spirit call him Lord, saying,</w:t>
      </w:r>
    </w:p>
    <w:p>
      <w:r>
        <w:rPr>
          <w:b/>
        </w:rPr>
        <w:t xml:space="preserve">44 </w:t>
      </w:r>
      <w:r>
        <w:t xml:space="preserve">The Lord</w:t>
      </w:r>
      <w:r>
        <w:rPr>
          <w:rStyle w:val="FootnoteReference"/>
        </w:rPr>
        <w:footnoteReference w:id="14707"/>
      </w:r>
      <w:r>
        <w:t xml:space="preserve"> said to my Lord, Sit you on my right hand, till I make your enemies your footstool?</w:t>
      </w:r>
    </w:p>
    <w:p>
      <w:r>
        <w:rPr>
          <w:b/>
        </w:rPr>
        <w:t xml:space="preserve">45 </w:t>
      </w:r>
      <w:r>
        <w:t xml:space="preserve">If David then calls him Lord, how is he his son?</w:t>
      </w:r>
    </w:p>
    <w:p>
      <w:r>
        <w:rPr>
          <w:b/>
        </w:rPr>
        <w:t xml:space="preserve">46 </w:t>
      </w:r>
      <w:r>
        <w:t xml:space="preserve">And no one was able to answer him a word, neither dared anyone from that day forth ask him any more questions.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Then Jesus spoke to the crowd, and to his disciples,</w:t>
      </w:r>
    </w:p>
    <w:p>
      <w:r>
        <w:rPr>
          <w:b/>
        </w:rPr>
        <w:t xml:space="preserve">2 </w:t>
      </w:r>
      <w:r>
        <w:t xml:space="preserve">Saying, The scribes and the Pharisees sit in Moses' seat:</w:t>
      </w:r>
    </w:p>
    <w:p>
      <w:r>
        <w:rPr>
          <w:b/>
        </w:rPr>
        <w:t xml:space="preserve">3 </w:t>
      </w:r>
      <w:r>
        <w:t xml:space="preserve">All therefore whatever they bid you observe, that observe and do; but do not do according to their works: for they say, and do not.</w:t>
      </w:r>
    </w:p>
    <w:p>
      <w:r>
        <w:rPr>
          <w:b/>
        </w:rPr>
        <w:t xml:space="preserve">4 </w:t>
      </w:r>
      <w:r>
        <w:t xml:space="preserve">For they bind heavy and grievous burdens, and lay them on men's shoulders; but they themselves will not move them with one of their fingers.</w:t>
      </w:r>
    </w:p>
    <w:p>
      <w:r>
        <w:rPr>
          <w:b/>
        </w:rPr>
        <w:t xml:space="preserve">5 </w:t>
      </w:r>
      <w:r>
        <w:t xml:space="preserve">But all their works they do in order to be seen of men: they make</w:t>
      </w:r>
      <w:r>
        <w:rPr>
          <w:rStyle w:val="FootnoteReference"/>
        </w:rPr>
        <w:footnoteReference w:id="14708"/>
      </w:r>
      <w:r>
        <w:t xml:space="preserve"> broad their phylacteries, and enlarge the borders of their clothes,</w:t>
      </w:r>
    </w:p>
    <w:p>
      <w:r>
        <w:rPr>
          <w:b/>
        </w:rPr>
        <w:t xml:space="preserve">6 </w:t>
      </w:r>
      <w:r>
        <w:t xml:space="preserve">And love the chief places at feasts, and the chief seats in the synagogues,</w:t>
      </w:r>
    </w:p>
    <w:p>
      <w:r>
        <w:rPr>
          <w:b/>
        </w:rPr>
        <w:t xml:space="preserve">7 </w:t>
      </w:r>
      <w:r>
        <w:t xml:space="preserve">And greetings in the markets, and to be called by men, Rabbi</w:t>
      </w:r>
      <w:r>
        <w:rPr>
          <w:rStyle w:val="FootnoteReference"/>
        </w:rPr>
        <w:footnoteReference w:id="14709"/>
      </w:r>
      <w:r>
        <w:t xml:space="preserve">, Rabbi.</w:t>
      </w:r>
      <w:r>
        <w:rPr>
          <w:rStyle w:val="FootnoteReference"/>
        </w:rPr>
        <w:footnoteReference w:id="14710"/>
      </w:r>
    </w:p>
    <w:p>
      <w:r>
        <w:rPr>
          <w:b/>
        </w:rPr>
        <w:t xml:space="preserve">8 </w:t>
      </w:r>
      <w:r>
        <w:t xml:space="preserve">But do not be called Rabbi: for one is your Master, even Christ; and all you are brothers.</w:t>
      </w:r>
    </w:p>
    <w:p>
      <w:r>
        <w:rPr>
          <w:b/>
        </w:rPr>
        <w:t xml:space="preserve">9 </w:t>
      </w:r>
      <w:r>
        <w:t xml:space="preserve">And call</w:t>
      </w:r>
      <w:r>
        <w:rPr>
          <w:rStyle w:val="FootnoteReference"/>
        </w:rPr>
        <w:footnoteReference w:id="14711"/>
      </w:r>
      <w:r>
        <w:t xml:space="preserve"> no one your father upon the earth: for one is your Father, who is in heaven.</w:t>
      </w:r>
    </w:p>
    <w:p>
      <w:r>
        <w:rPr>
          <w:b/>
        </w:rPr>
        <w:t xml:space="preserve">10 </w:t>
      </w:r>
      <w:r>
        <w:t xml:space="preserve">Neither be called teachers: for one is your Teacher, even Christ.</w:t>
      </w:r>
    </w:p>
    <w:p>
      <w:r>
        <w:rPr>
          <w:b/>
        </w:rPr>
        <w:t xml:space="preserve">11 </w:t>
      </w:r>
      <w:r>
        <w:t xml:space="preserve">But the one who is greatest among you shall be your servant.</w:t>
      </w:r>
    </w:p>
    <w:p>
      <w:r>
        <w:rPr>
          <w:b/>
        </w:rPr>
        <w:t xml:space="preserve">12 </w:t>
      </w:r>
      <w:r>
        <w:t xml:space="preserve">And whoever shall exalt himself shall be brought low; and the one who shall humble himself shall be exalted.</w:t>
      </w:r>
    </w:p>
    <w:p>
      <w:r>
        <w:rPr>
          <w:b/>
        </w:rPr>
        <w:t xml:space="preserve">13 </w:t>
      </w:r>
      <w:r>
        <w:t xml:space="preserve">But woe to you, scribes and Pharisees, hypocrites! for you shut up the kingdom of heaven against men: for you neither go in yourselves, nor do you allow those who are entering to go in.</w:t>
      </w:r>
    </w:p>
    <w:p>
      <w:r>
        <w:rPr>
          <w:b/>
        </w:rPr>
        <w:t xml:space="preserve">14 </w:t>
      </w:r>
      <w:r>
        <w:t xml:space="preserve">Woe to you, scribes and Pharisees, hypocrites! for you devour widows' houses, and for a pretence make long prayer: therefore</w:t>
      </w:r>
      <w:r>
        <w:rPr>
          <w:rStyle w:val="FootnoteReference"/>
        </w:rPr>
        <w:footnoteReference w:id="14712"/>
      </w:r>
      <w:r>
        <w:t xml:space="preserve"> you shall receive the greater judgment.</w:t>
      </w:r>
    </w:p>
    <w:p>
      <w:r>
        <w:rPr>
          <w:b/>
        </w:rPr>
        <w:t xml:space="preserve">15 </w:t>
      </w:r>
      <w:r>
        <w:t xml:space="preserve">Woe to you, scribes and Pharisees, hypocrites! for you compass sea and land to make one proselyte</w:t>
      </w:r>
      <w:r>
        <w:rPr>
          <w:rStyle w:val="FootnoteReference"/>
        </w:rPr>
        <w:footnoteReference w:id="14713"/>
      </w:r>
      <w:r>
        <w:t xml:space="preserve">, and when he is made, you make him twofold more the child of Gehenna than yourselves.</w:t>
      </w:r>
    </w:p>
    <w:p>
      <w:r>
        <w:rPr>
          <w:b/>
        </w:rPr>
        <w:t xml:space="preserve">16 </w:t>
      </w:r>
      <w:r>
        <w:t xml:space="preserve">Woe to you, you blind guides, who say, Whoever shall swear by the temple, it is nothing; but whoever shall swear by the gold of the temple, he is a debtor!</w:t>
      </w:r>
    </w:p>
    <w:p>
      <w:r>
        <w:rPr>
          <w:b/>
        </w:rPr>
        <w:t xml:space="preserve">17 </w:t>
      </w:r>
      <w:r>
        <w:t xml:space="preserve">You fools and blind: for which is greater, the gold, or the temple that sanctifies the gold?</w:t>
      </w:r>
    </w:p>
    <w:p>
      <w:r>
        <w:rPr>
          <w:b/>
        </w:rPr>
        <w:t xml:space="preserve">18 </w:t>
      </w:r>
      <w:r>
        <w:t xml:space="preserve">And, Whoever shall swear by the altar, it is nothing; but whoever swears by the gift that is upon it, he is guilty</w:t>
      </w:r>
      <w:r>
        <w:rPr>
          <w:rStyle w:val="FootnoteReference"/>
        </w:rPr>
        <w:footnoteReference w:id="14714"/>
      </w:r>
      <w:r>
        <w:t xml:space="preserve">.</w:t>
      </w:r>
    </w:p>
    <w:p>
      <w:r>
        <w:rPr>
          <w:b/>
        </w:rPr>
        <w:t xml:space="preserve">19 </w:t>
      </w:r>
      <w:r>
        <w:t xml:space="preserve">You fools and blind: for which is greater, the gift, or the altar that sanctifies the gift?</w:t>
      </w:r>
    </w:p>
    <w:p>
      <w:r>
        <w:rPr>
          <w:b/>
        </w:rPr>
        <w:t xml:space="preserve">20 </w:t>
      </w:r>
      <w:r>
        <w:t xml:space="preserve">Whoever therefore shall swear by the altar, swears by it, and by all things on it.</w:t>
      </w:r>
    </w:p>
    <w:p>
      <w:r>
        <w:rPr>
          <w:b/>
        </w:rPr>
        <w:t xml:space="preserve">21 </w:t>
      </w:r>
      <w:r>
        <w:t xml:space="preserve">And whoever shall swear by the temple, swears by it, and by</w:t>
      </w:r>
      <w:r>
        <w:rPr>
          <w:rStyle w:val="FootnoteReference"/>
        </w:rPr>
        <w:footnoteReference w:id="14715"/>
      </w:r>
      <w:r>
        <w:t xml:space="preserve"> him who dwells in it.</w:t>
      </w:r>
    </w:p>
    <w:p>
      <w:r>
        <w:rPr>
          <w:b/>
        </w:rPr>
        <w:t xml:space="preserve">22 </w:t>
      </w:r>
      <w:r>
        <w:t xml:space="preserve">And the one who shall swear by heaven, swears by the throne of God, and by him who sits on it.</w:t>
      </w:r>
    </w:p>
    <w:p>
      <w:r>
        <w:rPr>
          <w:b/>
        </w:rPr>
        <w:t xml:space="preserve">23 </w:t>
      </w:r>
      <w:r>
        <w:t xml:space="preserve">Woe to you, scribes and Pharisees, hypocrites! for you pay tithe of mint and anise and cummin, and have omitted the weightier</w:t>
      </w:r>
      <w:r>
        <w:rPr>
          <w:rStyle w:val="FootnoteReference"/>
        </w:rPr>
        <w:footnoteReference w:id="14716"/>
      </w:r>
      <w:r>
        <w:t xml:space="preserve"> matters of the law, judgment, mercy, and faith: these you ought to have done, and not to leave the other undone.</w:t>
      </w:r>
    </w:p>
    <w:p>
      <w:r>
        <w:rPr>
          <w:b/>
        </w:rPr>
        <w:t xml:space="preserve">24 </w:t>
      </w:r>
      <w:r>
        <w:t xml:space="preserve">You blind guides, who strain out a gnat, and swallow a camel.</w:t>
      </w:r>
    </w:p>
    <w:p>
      <w:r>
        <w:rPr>
          <w:b/>
        </w:rPr>
        <w:t xml:space="preserve">25 </w:t>
      </w:r>
      <w:r>
        <w:t xml:space="preserve">Woe to you, scribes and Pharisees, hypocrites! for you clean the outside of the cup and of the platter, but within they are full</w:t>
      </w:r>
      <w:r>
        <w:rPr>
          <w:rStyle w:val="FootnoteReference"/>
        </w:rPr>
        <w:footnoteReference w:id="14717"/>
      </w:r>
      <w:r>
        <w:t xml:space="preserve"> of extortion and excess.</w:t>
      </w:r>
    </w:p>
    <w:p>
      <w:r>
        <w:rPr>
          <w:b/>
        </w:rPr>
        <w:t xml:space="preserve">26 </w:t>
      </w:r>
      <w:r>
        <w:t xml:space="preserve">You blind Pharisee</w:t>
      </w:r>
      <w:r>
        <w:rPr>
          <w:rStyle w:val="FootnoteReference"/>
        </w:rPr>
        <w:footnoteReference w:id="14718"/>
      </w:r>
      <w:r>
        <w:t xml:space="preserve">, cleanse</w:t>
      </w:r>
      <w:r>
        <w:rPr>
          <w:rStyle w:val="FootnoteReference"/>
        </w:rPr>
        <w:footnoteReference w:id="14719"/>
      </w:r>
      <w:r>
        <w:t xml:space="preserve"> first that which is within the cup and platter, that the outside of them may be clean also.</w:t>
      </w:r>
    </w:p>
    <w:p>
      <w:r>
        <w:rPr>
          <w:b/>
        </w:rPr>
        <w:t xml:space="preserve">27 </w:t>
      </w:r>
      <w:r>
        <w:t xml:space="preserve">Woe to you, scribes and Pharisees, hypocrites! for you are like whitewashed tombs, which indeed appear beautiful outward, but are within full of dead men's bones, and of all uncleanness.</w:t>
      </w:r>
    </w:p>
    <w:p>
      <w:r>
        <w:rPr>
          <w:b/>
        </w:rPr>
        <w:t xml:space="preserve">28 </w:t>
      </w:r>
      <w:r>
        <w:t xml:space="preserve">Even so you also outwardly appear righteous to men, but within you are full of hypocrisy and iniquity.</w:t>
      </w:r>
    </w:p>
    <w:p>
      <w:r>
        <w:rPr>
          <w:b/>
        </w:rPr>
        <w:t xml:space="preserve">29 </w:t>
      </w:r>
      <w:r>
        <w:t xml:space="preserve">Woe to you, scribes and Pharisees, hypocrites! because you build the tombs of the prophets, and adorn the tombs of the righteous,</w:t>
      </w:r>
    </w:p>
    <w:p>
      <w:r>
        <w:rPr>
          <w:b/>
        </w:rPr>
        <w:t xml:space="preserve">30 </w:t>
      </w:r>
      <w:r>
        <w:t xml:space="preserve">And say, If we had been in the days of our fathers, we would not have been partakers with them in the blood</w:t>
      </w:r>
      <w:r>
        <w:rPr>
          <w:rStyle w:val="FootnoteReference"/>
        </w:rPr>
        <w:footnoteReference w:id="14720"/>
      </w:r>
      <w:r>
        <w:t xml:space="preserve"> of the prophets.</w:t>
      </w:r>
    </w:p>
    <w:p>
      <w:r>
        <w:rPr>
          <w:b/>
        </w:rPr>
        <w:t xml:space="preserve">31 </w:t>
      </w:r>
      <w:r>
        <w:t xml:space="preserve">Therefore you are witnesses</w:t>
      </w:r>
      <w:r>
        <w:rPr>
          <w:rStyle w:val="FootnoteReference"/>
        </w:rPr>
        <w:footnoteReference w:id="14721"/>
      </w:r>
      <w:r>
        <w:t xml:space="preserve"> to yourselves, that you are the children of those who killed the prophets.</w:t>
      </w:r>
    </w:p>
    <w:p>
      <w:r>
        <w:rPr>
          <w:b/>
        </w:rPr>
        <w:t xml:space="preserve">32 </w:t>
      </w:r>
      <w:r>
        <w:t xml:space="preserve">Fill up then the measure</w:t>
      </w:r>
      <w:r>
        <w:rPr>
          <w:rStyle w:val="FootnoteReference"/>
        </w:rPr>
        <w:footnoteReference w:id="14722"/>
      </w:r>
      <w:r>
        <w:t xml:space="preserve"> of your fathers.</w:t>
      </w:r>
    </w:p>
    <w:p>
      <w:r>
        <w:rPr>
          <w:b/>
        </w:rPr>
        <w:t xml:space="preserve">33 </w:t>
      </w:r>
      <w:r>
        <w:t xml:space="preserve">You serpents</w:t>
      </w:r>
      <w:r>
        <w:rPr>
          <w:rStyle w:val="FootnoteReference"/>
        </w:rPr>
        <w:footnoteReference w:id="14723"/>
      </w:r>
      <w:r>
        <w:t xml:space="preserve">, you generation of vipers, how can you escape the judgment of Gehenna?</w:t>
      </w:r>
    </w:p>
    <w:p>
      <w:r>
        <w:rPr>
          <w:b/>
        </w:rPr>
        <w:t xml:space="preserve">34 </w:t>
      </w:r>
      <w:r>
        <w:t xml:space="preserve">Therefore, look, I send</w:t>
      </w:r>
      <w:r>
        <w:rPr>
          <w:rStyle w:val="FootnoteReference"/>
        </w:rPr>
        <w:footnoteReference w:id="14724"/>
      </w:r>
      <w:r>
        <w:t xml:space="preserve"> to you prophets, and wise men, and scribes: and some of them you shall kill and crucify; and some of them you shall scourge in your synagogues, and persecute them from city to city:</w:t>
      </w:r>
    </w:p>
    <w:p>
      <w:r>
        <w:rPr>
          <w:b/>
        </w:rPr>
        <w:t xml:space="preserve">35 </w:t>
      </w:r>
      <w:r>
        <w:t xml:space="preserve">That upon</w:t>
      </w:r>
      <w:r>
        <w:rPr>
          <w:rStyle w:val="FootnoteReference"/>
        </w:rPr>
        <w:footnoteReference w:id="14725"/>
      </w:r>
      <w:r>
        <w:t xml:space="preserve"> you may come all the righteous blood shed upon the earth, from the blood of righteous Abel</w:t>
      </w:r>
      <w:r>
        <w:rPr>
          <w:rStyle w:val="FootnoteReference"/>
        </w:rPr>
        <w:footnoteReference w:id="14726"/>
      </w:r>
      <w:r>
        <w:t xml:space="preserve"> to the blood of Zechariah</w:t>
      </w:r>
      <w:r>
        <w:rPr>
          <w:rStyle w:val="FootnoteReference"/>
        </w:rPr>
        <w:footnoteReference w:id="14727"/>
      </w:r>
      <w:r>
        <w:t xml:space="preserve"> son of Berechiah</w:t>
      </w:r>
      <w:r>
        <w:rPr>
          <w:rStyle w:val="FootnoteReference"/>
        </w:rPr>
        <w:footnoteReference w:id="14728"/>
      </w:r>
      <w:r>
        <w:t xml:space="preserve">, whom you killed between the temple and the altar.</w:t>
      </w:r>
    </w:p>
    <w:p>
      <w:r>
        <w:rPr>
          <w:b/>
        </w:rPr>
        <w:t xml:space="preserve">36 </w:t>
      </w:r>
      <w:r>
        <w:t xml:space="preserve">Amen, I say to you, All these things shall come upon this generation.</w:t>
      </w:r>
    </w:p>
    <w:p>
      <w:r>
        <w:rPr>
          <w:b/>
        </w:rPr>
        <w:t xml:space="preserve">37 </w:t>
      </w:r>
      <w:r>
        <w:t xml:space="preserve">O Jerusalem</w:t>
      </w:r>
      <w:r>
        <w:rPr>
          <w:rStyle w:val="FootnoteReference"/>
        </w:rPr>
        <w:footnoteReference w:id="14729"/>
      </w:r>
      <w:r>
        <w:t xml:space="preserve">, Jerusalem, you who kill the prophets, and stone those who are sent to you, how often would I have gathered your children together, even as a hen gathers her chicks under her wings, and you would not!</w:t>
      </w:r>
    </w:p>
    <w:p>
      <w:r>
        <w:rPr>
          <w:b/>
        </w:rPr>
        <w:t xml:space="preserve">38 </w:t>
      </w:r>
      <w:r>
        <w:t xml:space="preserve">Look, your house is left to you desolate.</w:t>
      </w:r>
    </w:p>
    <w:p>
      <w:r>
        <w:rPr>
          <w:b/>
        </w:rPr>
        <w:t xml:space="preserve">39 </w:t>
      </w:r>
      <w:r>
        <w:t xml:space="preserve">For I say to you, You shall not see me from now on, till you shall say, Blessed</w:t>
      </w:r>
      <w:r>
        <w:rPr>
          <w:rStyle w:val="FootnoteReference"/>
        </w:rPr>
        <w:footnoteReference w:id="14730"/>
      </w:r>
      <w:r>
        <w:t xml:space="preserve"> is the one who comes in the name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Jesus went out, and departed</w:t>
      </w:r>
      <w:r>
        <w:rPr>
          <w:rStyle w:val="FootnoteReference"/>
        </w:rPr>
        <w:footnoteReference w:id="14731"/>
      </w:r>
      <w:r>
        <w:t xml:space="preserve"> from the temple: and his disciples came to him in order to show him the buildings of the temple.</w:t>
      </w:r>
    </w:p>
    <w:p>
      <w:r>
        <w:rPr>
          <w:b/>
        </w:rPr>
        <w:t xml:space="preserve">2 </w:t>
      </w:r>
      <w:r>
        <w:t xml:space="preserve">And Jesus said to them, See you not all these things? Amen, I say to you, There shall not be left here one stone upon another, that shall not be thrown down.</w:t>
      </w:r>
    </w:p>
    <w:p>
      <w:r>
        <w:rPr>
          <w:b/>
        </w:rPr>
        <w:t xml:space="preserve">3 </w:t>
      </w:r>
      <w:r>
        <w:t xml:space="preserve">And as he sat</w:t>
      </w:r>
      <w:r>
        <w:rPr>
          <w:rStyle w:val="FootnoteReference"/>
        </w:rPr>
        <w:footnoteReference w:id="14732"/>
      </w:r>
      <w:r>
        <w:t xml:space="preserve"> upon the mount of Olives, the disciples came to him privately, saying, Tell us, when shall these things be? and what shall be the sign of your coming, and of the completion of the age?</w:t>
      </w:r>
    </w:p>
    <w:p>
      <w:r>
        <w:rPr>
          <w:b/>
        </w:rPr>
        <w:t xml:space="preserve">4 </w:t>
      </w:r>
      <w:r>
        <w:t xml:space="preserve">And Jesus answered and said to them, Take</w:t>
      </w:r>
      <w:r>
        <w:rPr>
          <w:rStyle w:val="FootnoteReference"/>
        </w:rPr>
        <w:footnoteReference w:id="14733"/>
      </w:r>
      <w:r>
        <w:t xml:space="preserve"> heed that no one deceive you.</w:t>
      </w:r>
    </w:p>
    <w:p>
      <w:r>
        <w:rPr>
          <w:b/>
        </w:rPr>
        <w:t xml:space="preserve">5 </w:t>
      </w:r>
      <w:r>
        <w:t xml:space="preserve">For many shall come in my name, saying, I am Christ; and shall deceive many.</w:t>
      </w:r>
    </w:p>
    <w:p>
      <w:r>
        <w:rPr>
          <w:b/>
        </w:rPr>
        <w:t xml:space="preserve">6 </w:t>
      </w:r>
      <w:r>
        <w:t xml:space="preserve">And you shall hear of wars and rumors of wars: see that you are not troubled: for all these things must</w:t>
      </w:r>
      <w:r>
        <w:rPr>
          <w:rStyle w:val="FootnoteReference"/>
        </w:rPr>
        <w:footnoteReference w:id="14734"/>
      </w:r>
      <w:r>
        <w:t xml:space="preserve"> come to pass, but the end is not yet.</w:t>
      </w:r>
    </w:p>
    <w:p>
      <w:r>
        <w:rPr>
          <w:b/>
        </w:rPr>
        <w:t xml:space="preserve">7 </w:t>
      </w:r>
      <w:r>
        <w:t xml:space="preserve">For nation shall</w:t>
      </w:r>
      <w:r>
        <w:rPr>
          <w:rStyle w:val="FootnoteReference"/>
        </w:rPr>
        <w:footnoteReference w:id="14735"/>
      </w:r>
      <w:r>
        <w:t xml:space="preserve"> rise against nation, and kingdom against kingdom: and there shall be famines, and pestilences, and earthquakes, in various places.</w:t>
      </w:r>
    </w:p>
    <w:p>
      <w:r>
        <w:rPr>
          <w:b/>
        </w:rPr>
        <w:t xml:space="preserve">8 </w:t>
      </w:r>
      <w:r>
        <w:t xml:space="preserve">All these are the beginning of sorrows.</w:t>
      </w:r>
    </w:p>
    <w:p>
      <w:r>
        <w:rPr>
          <w:b/>
        </w:rPr>
        <w:t xml:space="preserve">9 </w:t>
      </w:r>
      <w:r>
        <w:t xml:space="preserve">Then shall they</w:t>
      </w:r>
      <w:r>
        <w:rPr>
          <w:rStyle w:val="FootnoteReference"/>
        </w:rPr>
        <w:footnoteReference w:id="14736"/>
      </w:r>
      <w:r>
        <w:t xml:space="preserve"> deliver you up to be afflicted, and shall kill you: and you shall be hated of all nations for my name's sake.</w:t>
      </w:r>
    </w:p>
    <w:p>
      <w:r>
        <w:rPr>
          <w:b/>
        </w:rPr>
        <w:t xml:space="preserve">10 </w:t>
      </w:r>
      <w:r>
        <w:t xml:space="preserve">And then many shall be stumbled, and shall betray</w:t>
      </w:r>
      <w:r>
        <w:rPr>
          <w:rStyle w:val="FootnoteReference"/>
        </w:rPr>
        <w:footnoteReference w:id="14737"/>
      </w:r>
      <w:r>
        <w:t xml:space="preserve"> one another, and shall hate one another.</w:t>
      </w:r>
    </w:p>
    <w:p>
      <w:r>
        <w:rPr>
          <w:b/>
        </w:rPr>
        <w:t xml:space="preserve">11 </w:t>
      </w:r>
      <w:r>
        <w:t xml:space="preserve">And many false prophets shall rise, and shall deceive many.</w:t>
      </w:r>
    </w:p>
    <w:p>
      <w:r>
        <w:rPr>
          <w:b/>
        </w:rPr>
        <w:t xml:space="preserve">12 </w:t>
      </w:r>
      <w:r>
        <w:t xml:space="preserve">And because iniquity shall abound, the love</w:t>
      </w:r>
      <w:r>
        <w:rPr>
          <w:rStyle w:val="FootnoteReference"/>
        </w:rPr>
        <w:footnoteReference w:id="14738"/>
      </w:r>
      <w:r>
        <w:t xml:space="preserve"> of many shall grow cold.</w:t>
      </w:r>
    </w:p>
    <w:p>
      <w:r>
        <w:rPr>
          <w:b/>
        </w:rPr>
        <w:t xml:space="preserve">13 </w:t>
      </w:r>
      <w:r>
        <w:t xml:space="preserve">But the one who shall endure to the end, the same shall be saved.</w:t>
      </w:r>
    </w:p>
    <w:p>
      <w:r>
        <w:rPr>
          <w:b/>
        </w:rPr>
        <w:t xml:space="preserve">14 </w:t>
      </w:r>
      <w:r>
        <w:t xml:space="preserve">And this good news of the kingdom shall be</w:t>
      </w:r>
      <w:r>
        <w:rPr>
          <w:rStyle w:val="FootnoteReference"/>
        </w:rPr>
        <w:footnoteReference w:id="14739"/>
      </w:r>
      <w:r>
        <w:t xml:space="preserve"> preached in all the world for a witness to all nations; and then shall the end come.</w:t>
      </w:r>
    </w:p>
    <w:p>
      <w:r>
        <w:rPr>
          <w:b/>
        </w:rPr>
        <w:t xml:space="preserve">15 </w:t>
      </w:r>
      <w:r>
        <w:t xml:space="preserve">When you therefore shall see the abomination of desolation, spoken of by Daniel</w:t>
      </w:r>
      <w:r>
        <w:rPr>
          <w:rStyle w:val="FootnoteReference"/>
        </w:rPr>
        <w:footnoteReference w:id="14740"/>
      </w:r>
      <w:r>
        <w:t xml:space="preserve"> the prophet, stand in the holy place, (whoever reads, let him understand:)</w:t>
      </w:r>
    </w:p>
    <w:p>
      <w:r>
        <w:rPr>
          <w:b/>
        </w:rPr>
        <w:t xml:space="preserve">16 </w:t>
      </w:r>
      <w:r>
        <w:t xml:space="preserve">Then let those who are in Judea flee into the mountains:</w:t>
      </w:r>
    </w:p>
    <w:p>
      <w:r>
        <w:rPr>
          <w:b/>
        </w:rPr>
        <w:t xml:space="preserve">17 </w:t>
      </w:r>
      <w:r>
        <w:t xml:space="preserve">Let him who is on the housetop</w:t>
      </w:r>
      <w:r>
        <w:rPr>
          <w:rStyle w:val="FootnoteReference"/>
        </w:rPr>
        <w:footnoteReference w:id="14741"/>
      </w:r>
      <w:r>
        <w:t xml:space="preserve"> not come down to take anything out of his house:</w:t>
      </w:r>
    </w:p>
    <w:p>
      <w:r>
        <w:rPr>
          <w:b/>
        </w:rPr>
        <w:t xml:space="preserve">18 </w:t>
      </w:r>
      <w:r>
        <w:t xml:space="preserve">Neither let him who is in the field return to take his clothes.</w:t>
      </w:r>
    </w:p>
    <w:p>
      <w:r>
        <w:rPr>
          <w:b/>
        </w:rPr>
        <w:t xml:space="preserve">19 </w:t>
      </w:r>
      <w:r>
        <w:t xml:space="preserve">And woe to those who are with child, and to those who nurse in those days!</w:t>
      </w:r>
    </w:p>
    <w:p>
      <w:r>
        <w:rPr>
          <w:b/>
        </w:rPr>
        <w:t xml:space="preserve">20 </w:t>
      </w:r>
      <w:r>
        <w:t xml:space="preserve">But pray that your flight not be in the winter, neither on the Sabbath:</w:t>
      </w:r>
    </w:p>
    <w:p>
      <w:r>
        <w:rPr>
          <w:b/>
        </w:rPr>
        <w:t xml:space="preserve">21 </w:t>
      </w:r>
      <w:r>
        <w:t xml:space="preserve">For then shall be great tribulation, such as was not since the beginning of the world to this time, no, nor ever shall be.</w:t>
      </w:r>
    </w:p>
    <w:p>
      <w:r>
        <w:rPr>
          <w:b/>
        </w:rPr>
        <w:t xml:space="preserve">22 </w:t>
      </w:r>
      <w:r>
        <w:t xml:space="preserve">And except</w:t>
      </w:r>
      <w:r>
        <w:rPr>
          <w:rStyle w:val="FootnoteReference"/>
        </w:rPr>
        <w:footnoteReference w:id="14742"/>
      </w:r>
      <w:r>
        <w:t xml:space="preserve"> those days should be shortened, no flesh would be saved: but for the elect's sake those days shall be shortened.</w:t>
      </w:r>
    </w:p>
    <w:p>
      <w:r>
        <w:rPr>
          <w:b/>
        </w:rPr>
        <w:t xml:space="preserve">23 </w:t>
      </w:r>
      <w:r>
        <w:t xml:space="preserve">Then if anyone shall say to you, Look, here is Christ, or there; do not believe it.</w:t>
      </w:r>
    </w:p>
    <w:p>
      <w:r>
        <w:rPr>
          <w:b/>
        </w:rPr>
        <w:t xml:space="preserve">24 </w:t>
      </w:r>
      <w:r>
        <w:t xml:space="preserve">For there shall arise false Christs</w:t>
      </w:r>
      <w:r>
        <w:rPr>
          <w:rStyle w:val="FootnoteReference"/>
        </w:rPr>
        <w:footnoteReference w:id="14743"/>
      </w:r>
      <w:r>
        <w:t xml:space="preserve">, and false prophets, and shall</w:t>
      </w:r>
      <w:r>
        <w:rPr>
          <w:rStyle w:val="FootnoteReference"/>
        </w:rPr>
        <w:footnoteReference w:id="14744"/>
      </w:r>
      <w:r>
        <w:t xml:space="preserve"> show great signs and wonders; so that, if it were possible, they shall deceive the very elect.</w:t>
      </w:r>
    </w:p>
    <w:p>
      <w:r>
        <w:rPr>
          <w:b/>
        </w:rPr>
        <w:t xml:space="preserve">25 </w:t>
      </w:r>
      <w:r>
        <w:t xml:space="preserve">Look, I have told you before.</w:t>
      </w:r>
    </w:p>
    <w:p>
      <w:r>
        <w:rPr>
          <w:b/>
        </w:rPr>
        <w:t xml:space="preserve">26 </w:t>
      </w:r>
      <w:r>
        <w:t xml:space="preserve">Therefore if they shall say to you, Look, he is in the desert</w:t>
      </w:r>
      <w:r>
        <w:rPr>
          <w:rStyle w:val="FootnoteReference"/>
        </w:rPr>
        <w:footnoteReference w:id="14745"/>
      </w:r>
      <w:r>
        <w:t xml:space="preserve">; do not go forth: look, he is in the secret chambers; believe it not.</w:t>
      </w:r>
    </w:p>
    <w:p>
      <w:r>
        <w:rPr>
          <w:b/>
        </w:rPr>
        <w:t xml:space="preserve">27 </w:t>
      </w:r>
      <w:r>
        <w:t xml:space="preserve">For as the lightning comes out of the east, and shines even to the west; so shall also the coming</w:t>
      </w:r>
      <w:r>
        <w:rPr>
          <w:rStyle w:val="FootnoteReference"/>
        </w:rPr>
        <w:footnoteReference w:id="14746"/>
      </w:r>
      <w:r>
        <w:t xml:space="preserve"> of the Son of man be.</w:t>
      </w:r>
    </w:p>
    <w:p>
      <w:r>
        <w:rPr>
          <w:b/>
        </w:rPr>
        <w:t xml:space="preserve">28 </w:t>
      </w:r>
      <w:r>
        <w:t xml:space="preserve">For wherever the carcass is, there will the eagles be gathered together.</w:t>
      </w:r>
    </w:p>
    <w:p>
      <w:r>
        <w:rPr>
          <w:b/>
        </w:rPr>
        <w:t xml:space="preserve">29 </w:t>
      </w:r>
      <w:r>
        <w:t xml:space="preserve">Immediately</w:t>
      </w:r>
      <w:r>
        <w:rPr>
          <w:rStyle w:val="FootnoteReference"/>
        </w:rPr>
        <w:footnoteReference w:id="14747"/>
      </w:r>
      <w:r>
        <w:t xml:space="preserve"> after the tribulation of those days shall the sun be darkened, and the moon shall not give her light, and the stars shall fall from heaven, and the powers of the heavens shall be shaken:</w:t>
      </w:r>
    </w:p>
    <w:p>
      <w:r>
        <w:rPr>
          <w:b/>
        </w:rPr>
        <w:t xml:space="preserve">30 </w:t>
      </w:r>
      <w:r>
        <w:t xml:space="preserve">And then shall appear the sign</w:t>
      </w:r>
      <w:r>
        <w:rPr>
          <w:rStyle w:val="FootnoteReference"/>
        </w:rPr>
        <w:footnoteReference w:id="14748"/>
      </w:r>
      <w:r>
        <w:t xml:space="preserve"> of the Son of man in heaven: and then shall all the tribes of the earth mourn, and they shall see the Son of man coming in the clouds of heaven with power and great glory.</w:t>
      </w:r>
    </w:p>
    <w:p>
      <w:r>
        <w:rPr>
          <w:b/>
        </w:rPr>
        <w:t xml:space="preserve">31 </w:t>
      </w:r>
      <w:r>
        <w:t xml:space="preserve">And he shall send his angels</w:t>
      </w:r>
      <w:r>
        <w:rPr>
          <w:rStyle w:val="FootnoteReference"/>
        </w:rPr>
        <w:footnoteReference w:id="14749"/>
      </w:r>
      <w:r>
        <w:t xml:space="preserve"> with a great sound of a trumpet, and they shall gather together his elect from the four winds, from one end of heaven to the other.</w:t>
      </w:r>
    </w:p>
    <w:p>
      <w:r>
        <w:rPr>
          <w:b/>
        </w:rPr>
        <w:t xml:space="preserve">32 </w:t>
      </w:r>
      <w:r>
        <w:t xml:space="preserve">Now learn a parable of the fig tree; When its branch is yet tender, and puts forth leaves, you know that summer is near:</w:t>
      </w:r>
    </w:p>
    <w:p>
      <w:r>
        <w:rPr>
          <w:b/>
        </w:rPr>
        <w:t xml:space="preserve">33 </w:t>
      </w:r>
      <w:r>
        <w:t xml:space="preserve">So likewise you, when you shall see all these things, know</w:t>
      </w:r>
      <w:r>
        <w:rPr>
          <w:rStyle w:val="FootnoteReference"/>
        </w:rPr>
        <w:footnoteReference w:id="14750"/>
      </w:r>
      <w:r>
        <w:t xml:space="preserve"> that it is near, even at the doors.</w:t>
      </w:r>
    </w:p>
    <w:p>
      <w:r>
        <w:rPr>
          <w:b/>
        </w:rPr>
        <w:t xml:space="preserve">34 </w:t>
      </w:r>
      <w:r>
        <w:t xml:space="preserve">Amen, I say to you, This generation shall not pass, till all these things be fulfilled.</w:t>
      </w:r>
    </w:p>
    <w:p>
      <w:r>
        <w:rPr>
          <w:b/>
        </w:rPr>
        <w:t xml:space="preserve">35 </w:t>
      </w:r>
      <w:r>
        <w:t xml:space="preserve">Heaven</w:t>
      </w:r>
      <w:r>
        <w:rPr>
          <w:rStyle w:val="FootnoteReference"/>
        </w:rPr>
        <w:footnoteReference w:id="14751"/>
      </w:r>
      <w:r>
        <w:t xml:space="preserve"> and earth shall pass away, but my words shall not pass away.</w:t>
      </w:r>
    </w:p>
    <w:p>
      <w:r>
        <w:rPr>
          <w:b/>
        </w:rPr>
        <w:t xml:space="preserve">36 </w:t>
      </w:r>
      <w:r>
        <w:t xml:space="preserve">But of that day and hour no one knows, no, not the angels of heaven, but my Father only.</w:t>
      </w:r>
    </w:p>
    <w:p>
      <w:r>
        <w:rPr>
          <w:b/>
        </w:rPr>
        <w:t xml:space="preserve">37 </w:t>
      </w:r>
      <w:r>
        <w:t xml:space="preserve">But as the days of Noah</w:t>
      </w:r>
      <w:r>
        <w:rPr>
          <w:rStyle w:val="FootnoteReference"/>
        </w:rPr>
        <w:footnoteReference w:id="14752"/>
      </w:r>
      <w:r>
        <w:t xml:space="preserve"> were, so shall also the coming of the Son of man be.</w:t>
      </w:r>
    </w:p>
    <w:p>
      <w:r>
        <w:rPr>
          <w:b/>
        </w:rPr>
        <w:t xml:space="preserve">38 </w:t>
      </w:r>
      <w:r>
        <w:t xml:space="preserve">For as in the days that were before the flood they were eating and drinking, marrying and giving in marriage, until the day that Noah entered into the ark,</w:t>
      </w:r>
    </w:p>
    <w:p>
      <w:r>
        <w:rPr>
          <w:b/>
        </w:rPr>
        <w:t xml:space="preserve">39 </w:t>
      </w:r>
      <w:r>
        <w:t xml:space="preserve">And did not know until the flood came, and took them all away; so shall also the coming of the Son of man be.</w:t>
      </w:r>
    </w:p>
    <w:p>
      <w:r>
        <w:rPr>
          <w:b/>
        </w:rPr>
        <w:t xml:space="preserve">40 </w:t>
      </w:r>
      <w:r>
        <w:t xml:space="preserve">Then shall two be in the field; the one</w:t>
      </w:r>
      <w:r>
        <w:rPr>
          <w:rStyle w:val="FootnoteReference"/>
        </w:rPr>
        <w:footnoteReference w:id="14753"/>
      </w:r>
      <w:r>
        <w:t xml:space="preserve"> shall be taken, and the other left.</w:t>
      </w:r>
    </w:p>
    <w:p>
      <w:r>
        <w:rPr>
          <w:b/>
        </w:rPr>
        <w:t xml:space="preserve">41 </w:t>
      </w:r>
      <w:r>
        <w:t xml:space="preserve">Two women shall be grinding</w:t>
      </w:r>
      <w:r>
        <w:rPr>
          <w:rStyle w:val="FootnoteReference"/>
        </w:rPr>
        <w:footnoteReference w:id="14754"/>
      </w:r>
      <w:r>
        <w:t xml:space="preserve"> at the mill; the one shall be taken, and the other left.</w:t>
      </w:r>
    </w:p>
    <w:p>
      <w:r>
        <w:rPr>
          <w:b/>
        </w:rPr>
        <w:t xml:space="preserve">42 </w:t>
      </w:r>
      <w:r>
        <w:t xml:space="preserve">Watch</w:t>
      </w:r>
      <w:r>
        <w:rPr>
          <w:rStyle w:val="FootnoteReference"/>
        </w:rPr>
        <w:footnoteReference w:id="14755"/>
      </w:r>
      <w:r>
        <w:t xml:space="preserve"> therefore: for you do not know what hour your Lord comes.</w:t>
      </w:r>
    </w:p>
    <w:p>
      <w:r>
        <w:rPr>
          <w:b/>
        </w:rPr>
        <w:t xml:space="preserve">43 </w:t>
      </w:r>
      <w:r>
        <w:t xml:space="preserve">But know this, that if the householder had known in what watch the thief would come, he would have watched, and would not</w:t>
      </w:r>
      <w:r>
        <w:rPr>
          <w:rStyle w:val="FootnoteReference"/>
        </w:rPr>
        <w:footnoteReference w:id="14756"/>
      </w:r>
      <w:r>
        <w:t xml:space="preserve"> have allowed his house to be broken up.</w:t>
      </w:r>
    </w:p>
    <w:p>
      <w:r>
        <w:rPr>
          <w:b/>
        </w:rPr>
        <w:t xml:space="preserve">44 </w:t>
      </w:r>
      <w:r>
        <w:t xml:space="preserve">Therefore be also ready: for in an hour you do not expect, the Son of man comes.</w:t>
      </w:r>
    </w:p>
    <w:p>
      <w:r>
        <w:rPr>
          <w:b/>
        </w:rPr>
        <w:t xml:space="preserve">45 </w:t>
      </w:r>
      <w:r>
        <w:t xml:space="preserve">Who then is a faithful and wise slave, whom his Lord has made ruler over his household, to give</w:t>
      </w:r>
      <w:r>
        <w:rPr>
          <w:rStyle w:val="FootnoteReference"/>
        </w:rPr>
        <w:footnoteReference w:id="14757"/>
      </w:r>
      <w:r>
        <w:t xml:space="preserve"> them food in due season?</w:t>
      </w:r>
    </w:p>
    <w:p>
      <w:r>
        <w:rPr>
          <w:b/>
        </w:rPr>
        <w:t xml:space="preserve">46 </w:t>
      </w:r>
      <w:r>
        <w:t xml:space="preserve">Blessed is that slave, whom his Lord when he comes shall find so doing.</w:t>
      </w:r>
    </w:p>
    <w:p>
      <w:r>
        <w:rPr>
          <w:b/>
        </w:rPr>
        <w:t xml:space="preserve">47 </w:t>
      </w:r>
      <w:r>
        <w:t xml:space="preserve">Amen, I say to you, That he shall make him ruler over all his goods.</w:t>
      </w:r>
    </w:p>
    <w:p>
      <w:r>
        <w:rPr>
          <w:b/>
        </w:rPr>
        <w:t xml:space="preserve">48 </w:t>
      </w:r>
      <w:r>
        <w:t xml:space="preserve">But and if that evil slave shall say in his heart, My Lord delays his coming;</w:t>
      </w:r>
    </w:p>
    <w:p>
      <w:r>
        <w:rPr>
          <w:b/>
        </w:rPr>
        <w:t xml:space="preserve">49 </w:t>
      </w:r>
      <w:r>
        <w:t xml:space="preserve">And shall begin to strike his fellow slaves, and to eat and drink with the drunken;</w:t>
      </w:r>
    </w:p>
    <w:p>
      <w:r>
        <w:rPr>
          <w:b/>
        </w:rPr>
        <w:t xml:space="preserve">50 </w:t>
      </w:r>
      <w:r>
        <w:t xml:space="preserve">The Lord of that slave shall come in a day when he looks not for him, and in an hour that he is not aware of,</w:t>
      </w:r>
    </w:p>
    <w:p>
      <w:r>
        <w:rPr>
          <w:b/>
        </w:rPr>
        <w:t xml:space="preserve">51 </w:t>
      </w:r>
      <w:r>
        <w:t xml:space="preserve">And shall cut him in two, and appoint</w:t>
      </w:r>
      <w:r>
        <w:rPr>
          <w:rStyle w:val="FootnoteReference"/>
        </w:rPr>
        <w:footnoteReference w:id="14758"/>
      </w:r>
      <w:r>
        <w:t xml:space="preserve"> him his portion with the hypocrites: there shall be weeping and gnashing of teeth.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Then shall the kingdom</w:t>
      </w:r>
      <w:r>
        <w:rPr>
          <w:rStyle w:val="FootnoteReference"/>
        </w:rPr>
        <w:footnoteReference w:id="14759"/>
      </w:r>
      <w:r>
        <w:t xml:space="preserve"> of heaven be likened to ten virgins, who took their lamps, and went forth to meet the bridegroom.</w:t>
      </w:r>
    </w:p>
    <w:p>
      <w:r>
        <w:rPr>
          <w:b/>
        </w:rPr>
        <w:t xml:space="preserve">2 </w:t>
      </w:r>
      <w:r>
        <w:t xml:space="preserve">And five of them were wise, and five were foolish.</w:t>
      </w:r>
    </w:p>
    <w:p>
      <w:r>
        <w:rPr>
          <w:b/>
        </w:rPr>
        <w:t xml:space="preserve">3 </w:t>
      </w:r>
      <w:r>
        <w:t xml:space="preserve">Those who were foolish</w:t>
      </w:r>
      <w:r>
        <w:rPr>
          <w:rStyle w:val="FootnoteReference"/>
        </w:rPr>
        <w:footnoteReference w:id="14760"/>
      </w:r>
      <w:r>
        <w:t xml:space="preserve"> took their lamps, and took no oil with them:</w:t>
      </w:r>
    </w:p>
    <w:p>
      <w:r>
        <w:rPr>
          <w:b/>
        </w:rPr>
        <w:t xml:space="preserve">4 </w:t>
      </w:r>
      <w:r>
        <w:t xml:space="preserve">But the wise took oil in their vessels with their lamps.</w:t>
      </w:r>
    </w:p>
    <w:p>
      <w:r>
        <w:rPr>
          <w:b/>
        </w:rPr>
        <w:t xml:space="preserve">5 </w:t>
      </w:r>
      <w:r>
        <w:t xml:space="preserve">While the bridegroom delayed, they all slumbered and slept.</w:t>
      </w:r>
    </w:p>
    <w:p>
      <w:r>
        <w:rPr>
          <w:b/>
        </w:rPr>
        <w:t xml:space="preserve">6 </w:t>
      </w:r>
      <w:r>
        <w:t xml:space="preserve">And at midnight a cry</w:t>
      </w:r>
      <w:r>
        <w:rPr>
          <w:rStyle w:val="FootnoteReference"/>
        </w:rPr>
        <w:footnoteReference w:id="14761"/>
      </w:r>
      <w:r>
        <w:t xml:space="preserve"> was made, Look, the bridegroom comes; go out to meet him.</w:t>
      </w:r>
    </w:p>
    <w:p>
      <w:r>
        <w:rPr>
          <w:b/>
        </w:rPr>
        <w:t xml:space="preserve">7 </w:t>
      </w:r>
      <w:r>
        <w:t xml:space="preserve">Then all those virgins arose, and trimmed their lamps.</w:t>
      </w:r>
    </w:p>
    <w:p>
      <w:r>
        <w:rPr>
          <w:b/>
        </w:rPr>
        <w:t xml:space="preserve">8 </w:t>
      </w:r>
      <w:r>
        <w:t xml:space="preserve">And the foolish said to the wise, Give</w:t>
      </w:r>
      <w:r>
        <w:rPr>
          <w:rStyle w:val="FootnoteReference"/>
        </w:rPr>
        <w:footnoteReference w:id="14762"/>
      </w:r>
      <w:r>
        <w:t xml:space="preserve"> us of your oil; for our lamps are going out.</w:t>
      </w:r>
    </w:p>
    <w:p>
      <w:r>
        <w:rPr>
          <w:b/>
        </w:rPr>
        <w:t xml:space="preserve">9 </w:t>
      </w:r>
      <w:r>
        <w:t xml:space="preserve">But the wise answered, saying, Not so; lest there not be enough for us and you: but go rather to those who sell, and buy for yourselves.</w:t>
      </w:r>
    </w:p>
    <w:p>
      <w:r>
        <w:rPr>
          <w:b/>
        </w:rPr>
        <w:t xml:space="preserve">10 </w:t>
      </w:r>
      <w:r>
        <w:t xml:space="preserve">And while they went to buy, the bridegroom</w:t>
      </w:r>
      <w:r>
        <w:rPr>
          <w:rStyle w:val="FootnoteReference"/>
        </w:rPr>
        <w:footnoteReference w:id="14763"/>
      </w:r>
      <w:r>
        <w:t xml:space="preserve"> came; and those who were ready went in with him to the wedding feast: and the door was shut.</w:t>
      </w:r>
    </w:p>
    <w:p>
      <w:r>
        <w:rPr>
          <w:b/>
        </w:rPr>
        <w:t xml:space="preserve">11 </w:t>
      </w:r>
      <w:r>
        <w:t xml:space="preserve">Afterward came also the other virgins, saying</w:t>
      </w:r>
      <w:r>
        <w:rPr>
          <w:rStyle w:val="FootnoteReference"/>
        </w:rPr>
        <w:footnoteReference w:id="14764"/>
      </w:r>
      <w:r>
        <w:t xml:space="preserve">, Lord, Lord, open to us.</w:t>
      </w:r>
    </w:p>
    <w:p>
      <w:r>
        <w:rPr>
          <w:b/>
        </w:rPr>
        <w:t xml:space="preserve">12 </w:t>
      </w:r>
      <w:r>
        <w:t xml:space="preserve">But he answered and said, Amen, I say to you, I do not know you.</w:t>
      </w:r>
    </w:p>
    <w:p>
      <w:r>
        <w:rPr>
          <w:b/>
        </w:rPr>
        <w:t xml:space="preserve">13 </w:t>
      </w:r>
      <w:r>
        <w:t xml:space="preserve">Watch therefore, for you know neither the day nor the hour in which the Son of man comes.</w:t>
      </w:r>
    </w:p>
    <w:p>
      <w:r>
        <w:rPr>
          <w:b/>
        </w:rPr>
        <w:t xml:space="preserve">14 </w:t>
      </w:r>
      <w:r>
        <w:t xml:space="preserve">For the kingdom of heaven is as a man travelling into a far country, who called his own slaves, and delivered</w:t>
      </w:r>
      <w:r>
        <w:rPr>
          <w:rStyle w:val="FootnoteReference"/>
        </w:rPr>
        <w:footnoteReference w:id="14765"/>
      </w:r>
      <w:r>
        <w:t xml:space="preserve"> to them his goods.</w:t>
      </w:r>
    </w:p>
    <w:p>
      <w:r>
        <w:rPr>
          <w:b/>
        </w:rPr>
        <w:t xml:space="preserve">15 </w:t>
      </w:r>
      <w:r>
        <w:t xml:space="preserve">And to one he gave five talents</w:t>
      </w:r>
      <w:r>
        <w:rPr>
          <w:rStyle w:val="FootnoteReference"/>
        </w:rPr>
        <w:footnoteReference w:id="14766"/>
      </w:r>
      <w:r>
        <w:t xml:space="preserve">, to another two, and to another one; to every man according to his own ability; and immediately he took his journey.</w:t>
      </w:r>
    </w:p>
    <w:p>
      <w:r>
        <w:rPr>
          <w:b/>
        </w:rPr>
        <w:t xml:space="preserve">16 </w:t>
      </w:r>
      <w:r>
        <w:t xml:space="preserve">Then the one who had received the five talents went</w:t>
      </w:r>
      <w:r>
        <w:rPr>
          <w:rStyle w:val="FootnoteReference"/>
        </w:rPr>
        <w:footnoteReference w:id="14767"/>
      </w:r>
      <w:r>
        <w:t xml:space="preserve"> and traded with them, and made another five talents.</w:t>
      </w:r>
    </w:p>
    <w:p>
      <w:r>
        <w:rPr>
          <w:b/>
        </w:rPr>
        <w:t xml:space="preserve">17 </w:t>
      </w:r>
      <w:r>
        <w:t xml:space="preserve">And likewise the one who had received two, he also</w:t>
      </w:r>
      <w:r>
        <w:rPr>
          <w:rStyle w:val="FootnoteReference"/>
        </w:rPr>
        <w:footnoteReference w:id="14768"/>
      </w:r>
      <w:r>
        <w:t xml:space="preserve"> gained another two.</w:t>
      </w:r>
    </w:p>
    <w:p>
      <w:r>
        <w:rPr>
          <w:b/>
        </w:rPr>
        <w:t xml:space="preserve">18 </w:t>
      </w:r>
      <w:r>
        <w:t xml:space="preserve">But the one who had received one went and dug in the earth, and hid</w:t>
      </w:r>
      <w:r>
        <w:rPr>
          <w:rStyle w:val="FootnoteReference"/>
        </w:rPr>
        <w:footnoteReference w:id="14769"/>
      </w:r>
      <w:r>
        <w:t xml:space="preserve"> his lord's money.</w:t>
      </w:r>
    </w:p>
    <w:p>
      <w:r>
        <w:rPr>
          <w:b/>
        </w:rPr>
        <w:t xml:space="preserve">19 </w:t>
      </w:r>
      <w:r>
        <w:t xml:space="preserve">After a long</w:t>
      </w:r>
      <w:r>
        <w:rPr>
          <w:rStyle w:val="FootnoteReference"/>
        </w:rPr>
        <w:footnoteReference w:id="14770"/>
      </w:r>
      <w:r>
        <w:t xml:space="preserve"> time the Lord of those slaves comes, and reckons with them.</w:t>
      </w:r>
    </w:p>
    <w:p>
      <w:r>
        <w:rPr>
          <w:b/>
        </w:rPr>
        <w:t xml:space="preserve">20 </w:t>
      </w:r>
      <w:r>
        <w:t xml:space="preserve">And so the one who had received five talents came and brought other five talents, saying, Lord, you delivered to me five talents: look, I have gained beside them five talents more.</w:t>
      </w:r>
    </w:p>
    <w:p>
      <w:r>
        <w:rPr>
          <w:b/>
        </w:rPr>
        <w:t xml:space="preserve">21 </w:t>
      </w:r>
      <w:r>
        <w:t xml:space="preserve">His Lord said to him, Well</w:t>
      </w:r>
      <w:r>
        <w:rPr>
          <w:rStyle w:val="FootnoteReference"/>
        </w:rPr>
        <w:footnoteReference w:id="14771"/>
      </w:r>
      <w:r>
        <w:t xml:space="preserve"> done, you good and faithful slave: you have been faithful over a few things, I will make you ruler over many things: enter into the joy of your Lord.</w:t>
      </w:r>
    </w:p>
    <w:p>
      <w:r>
        <w:rPr>
          <w:b/>
        </w:rPr>
        <w:t xml:space="preserve">22 </w:t>
      </w:r>
      <w:r>
        <w:t xml:space="preserve">He also that had received two talents came and said, Lord, you delivered to me two talents: look, I have gained two other talents beside them.</w:t>
      </w:r>
    </w:p>
    <w:p>
      <w:r>
        <w:rPr>
          <w:b/>
        </w:rPr>
        <w:t xml:space="preserve">23 </w:t>
      </w:r>
      <w:r>
        <w:t xml:space="preserve">His Lord said to him, Well</w:t>
      </w:r>
      <w:r>
        <w:rPr>
          <w:rStyle w:val="FootnoteReference"/>
        </w:rPr>
        <w:footnoteReference w:id="14772"/>
      </w:r>
      <w:r>
        <w:t xml:space="preserve"> done, good and faithful slave; you have been faithful over a few things, I will make you ruler over many things: enter into the joy of your Lord.</w:t>
      </w:r>
    </w:p>
    <w:p>
      <w:r>
        <w:rPr>
          <w:b/>
        </w:rPr>
        <w:t xml:space="preserve">24 </w:t>
      </w:r>
      <w:r>
        <w:t xml:space="preserve">Then the one who had received the one talent came and said, Lord</w:t>
      </w:r>
      <w:r>
        <w:rPr>
          <w:rStyle w:val="FootnoteReference"/>
        </w:rPr>
        <w:footnoteReference w:id="14773"/>
      </w:r>
      <w:r>
        <w:t xml:space="preserve">, I knew you that you are a hard man, reaping where you have not sown, and gathering where you have not scattered:</w:t>
      </w:r>
    </w:p>
    <w:p>
      <w:r>
        <w:rPr>
          <w:b/>
        </w:rPr>
        <w:t xml:space="preserve">25 </w:t>
      </w:r>
      <w:r>
        <w:t xml:space="preserve">And I was afraid, and went and hid your talent in the earth: look, there you have what is yours.</w:t>
      </w:r>
    </w:p>
    <w:p>
      <w:r>
        <w:rPr>
          <w:b/>
        </w:rPr>
        <w:t xml:space="preserve">26 </w:t>
      </w:r>
      <w:r>
        <w:t xml:space="preserve">His Lord answered and said to him, You wicked and slothful slave, you knew that I reap where I sowed not, and gather where I have not scattered:</w:t>
      </w:r>
    </w:p>
    <w:p>
      <w:r>
        <w:rPr>
          <w:b/>
        </w:rPr>
        <w:t xml:space="preserve">27 </w:t>
      </w:r>
      <w:r>
        <w:t xml:space="preserve">You ought therefore to have put my money to the exchangers, and then at my coming I should have received my own with interest.</w:t>
      </w:r>
    </w:p>
    <w:p>
      <w:r>
        <w:rPr>
          <w:b/>
        </w:rPr>
        <w:t xml:space="preserve">28 </w:t>
      </w:r>
      <w:r>
        <w:t xml:space="preserve">Take therefore the talent from him, and give it to him who has ten talents.</w:t>
      </w:r>
    </w:p>
    <w:p>
      <w:r>
        <w:rPr>
          <w:b/>
        </w:rPr>
        <w:t xml:space="preserve">29 </w:t>
      </w:r>
      <w:r>
        <w:t xml:space="preserve">For to everyone who has, shall be given, and he shall have abundance: but from him who has not shall be taken</w:t>
      </w:r>
      <w:r>
        <w:rPr>
          <w:rStyle w:val="FootnoteReference"/>
        </w:rPr>
        <w:footnoteReference w:id="14774"/>
      </w:r>
      <w:r>
        <w:t xml:space="preserve"> away even that which he has.</w:t>
      </w:r>
    </w:p>
    <w:p>
      <w:r>
        <w:rPr>
          <w:b/>
        </w:rPr>
        <w:t xml:space="preserve">30 </w:t>
      </w:r>
      <w:r>
        <w:t xml:space="preserve">And cast</w:t>
      </w:r>
      <w:r>
        <w:rPr>
          <w:rStyle w:val="FootnoteReference"/>
        </w:rPr>
        <w:footnoteReference w:id="14775"/>
      </w:r>
      <w:r>
        <w:t xml:space="preserve"> you the useless slave into outer darkness: there shall be weeping and gnashing of teeth.</w:t>
      </w:r>
    </w:p>
    <w:p>
      <w:r>
        <w:rPr>
          <w:b/>
        </w:rPr>
        <w:t xml:space="preserve">31 </w:t>
      </w:r>
      <w:r>
        <w:t xml:space="preserve">When the Son</w:t>
      </w:r>
      <w:r>
        <w:rPr>
          <w:rStyle w:val="FootnoteReference"/>
        </w:rPr>
        <w:footnoteReference w:id="14776"/>
      </w:r>
      <w:r>
        <w:t xml:space="preserve"> of man shall come in his glory, and all the holy angels with him, then shall he sit upon the throne of his glory:</w:t>
      </w:r>
    </w:p>
    <w:p>
      <w:r>
        <w:rPr>
          <w:b/>
        </w:rPr>
        <w:t xml:space="preserve">32 </w:t>
      </w:r>
      <w:r>
        <w:t xml:space="preserve">And before him shall be gathered all nations: and he shall separate</w:t>
      </w:r>
      <w:r>
        <w:rPr>
          <w:rStyle w:val="FootnoteReference"/>
        </w:rPr>
        <w:footnoteReference w:id="14777"/>
      </w:r>
      <w:r>
        <w:t xml:space="preserve"> them one from another, as a shepherd divides his sheep from the goats:</w:t>
      </w:r>
    </w:p>
    <w:p>
      <w:r>
        <w:rPr>
          <w:b/>
        </w:rPr>
        <w:t xml:space="preserve">33 </w:t>
      </w:r>
      <w:r>
        <w:t xml:space="preserve">And he shall set the sheep</w:t>
      </w:r>
      <w:r>
        <w:rPr>
          <w:rStyle w:val="FootnoteReference"/>
        </w:rPr>
        <w:footnoteReference w:id="14778"/>
      </w:r>
      <w:r>
        <w:t xml:space="preserve"> on his right hand, but the goats on the left.</w:t>
      </w:r>
    </w:p>
    <w:p>
      <w:r>
        <w:rPr>
          <w:b/>
        </w:rPr>
        <w:t xml:space="preserve">34 </w:t>
      </w:r>
      <w:r>
        <w:t xml:space="preserve">Then shall the King say to them on his right hand, Come, you blessed of my Father, inherit</w:t>
      </w:r>
      <w:r>
        <w:rPr>
          <w:rStyle w:val="FootnoteReference"/>
        </w:rPr>
        <w:footnoteReference w:id="14779"/>
      </w:r>
      <w:r>
        <w:t xml:space="preserve"> the kingdom prepared for you from the foundation of the world:</w:t>
      </w:r>
    </w:p>
    <w:p>
      <w:r>
        <w:rPr>
          <w:b/>
        </w:rPr>
        <w:t xml:space="preserve">35 </w:t>
      </w:r>
      <w:r>
        <w:t xml:space="preserve">For I was hungry, and you gave me food: I was thirsty</w:t>
      </w:r>
      <w:r>
        <w:rPr>
          <w:rStyle w:val="FootnoteReference"/>
        </w:rPr>
        <w:footnoteReference w:id="14780"/>
      </w:r>
      <w:r>
        <w:t xml:space="preserve">, and you gave me drink: I was a stranger, and you took me in:</w:t>
      </w:r>
    </w:p>
    <w:p>
      <w:r>
        <w:rPr>
          <w:b/>
        </w:rPr>
        <w:t xml:space="preserve">36 </w:t>
      </w:r>
      <w:r>
        <w:t xml:space="preserve">Naked</w:t>
      </w:r>
      <w:r>
        <w:rPr>
          <w:rStyle w:val="FootnoteReference"/>
        </w:rPr>
        <w:footnoteReference w:id="14781"/>
      </w:r>
      <w:r>
        <w:t xml:space="preserve">, and you clothed me: I was sick, and you visited me: I was in prison, and you came to me.</w:t>
      </w:r>
    </w:p>
    <w:p>
      <w:r>
        <w:rPr>
          <w:b/>
        </w:rPr>
        <w:t xml:space="preserve">37 </w:t>
      </w:r>
      <w:r>
        <w:t xml:space="preserve">Then shall the righteous answer him, saying, Lord, when saw we you hungry, and fed you? or thirsty, and gave you drink?</w:t>
      </w:r>
    </w:p>
    <w:p>
      <w:r>
        <w:rPr>
          <w:b/>
        </w:rPr>
        <w:t xml:space="preserve">38 </w:t>
      </w:r>
      <w:r>
        <w:t xml:space="preserve">When did we see you a stranger, and take you in? or naked, and clothe you?</w:t>
      </w:r>
    </w:p>
    <w:p>
      <w:r>
        <w:rPr>
          <w:b/>
        </w:rPr>
        <w:t xml:space="preserve">39 </w:t>
      </w:r>
      <w:r>
        <w:t xml:space="preserve">Or when did we see you sick, or in prison, and come to you?</w:t>
      </w:r>
    </w:p>
    <w:p>
      <w:r>
        <w:rPr>
          <w:b/>
        </w:rPr>
        <w:t xml:space="preserve">40 </w:t>
      </w:r>
      <w:r>
        <w:t xml:space="preserve">And the King shall answer and say to them, Amen, I say to you, Inasmuch</w:t>
      </w:r>
      <w:r>
        <w:rPr>
          <w:rStyle w:val="FootnoteReference"/>
        </w:rPr>
        <w:footnoteReference w:id="14782"/>
      </w:r>
      <w:r>
        <w:t xml:space="preserve"> as you have done it to one of the least of these my brothers, you have done it to me.</w:t>
      </w:r>
    </w:p>
    <w:p>
      <w:r>
        <w:rPr>
          <w:b/>
        </w:rPr>
        <w:t xml:space="preserve">41 </w:t>
      </w:r>
      <w:r>
        <w:t xml:space="preserve">Then shall he say also to them</w:t>
      </w:r>
      <w:r>
        <w:rPr>
          <w:rStyle w:val="FootnoteReference"/>
        </w:rPr>
        <w:footnoteReference w:id="14783"/>
      </w:r>
      <w:r>
        <w:t xml:space="preserve"> on the left hand, Depart from me, you cursed, into eternal fire, prepared for the devil and his angels:</w:t>
      </w:r>
    </w:p>
    <w:p>
      <w:r>
        <w:rPr>
          <w:b/>
        </w:rPr>
        <w:t xml:space="preserve">42 </w:t>
      </w:r>
      <w:r>
        <w:t xml:space="preserve">For I was hungry, and you gave me no food: I was thirsty, and you gave me no drink:</w:t>
      </w:r>
    </w:p>
    <w:p>
      <w:r>
        <w:rPr>
          <w:b/>
        </w:rPr>
        <w:t xml:space="preserve">43 </w:t>
      </w:r>
      <w:r>
        <w:t xml:space="preserve">I was a stranger, and you did not take me in: naked, and you did not clothe me: sick, and in prison, and you did not visit me.</w:t>
      </w:r>
    </w:p>
    <w:p>
      <w:r>
        <w:rPr>
          <w:b/>
        </w:rPr>
        <w:t xml:space="preserve">44 </w:t>
      </w:r>
      <w:r>
        <w:t xml:space="preserve">Then shall they also answer him, saying, Lord, when saw we you hungry, or thirsty, or a stranger, or naked, or sick, or in prison, and did not minister to you?</w:t>
      </w:r>
    </w:p>
    <w:p>
      <w:r>
        <w:rPr>
          <w:b/>
        </w:rPr>
        <w:t xml:space="preserve">45 </w:t>
      </w:r>
      <w:r>
        <w:t xml:space="preserve">Then shall he answer them, saying, Amen, I say to you, Inasmuch</w:t>
      </w:r>
      <w:r>
        <w:rPr>
          <w:rStyle w:val="FootnoteReference"/>
        </w:rPr>
        <w:footnoteReference w:id="14784"/>
      </w:r>
      <w:r>
        <w:t xml:space="preserve"> as you did it not to one of the least of these, you did it not to me.</w:t>
      </w:r>
    </w:p>
    <w:p>
      <w:r>
        <w:rPr>
          <w:b/>
        </w:rPr>
        <w:t xml:space="preserve">46 </w:t>
      </w:r>
      <w:r>
        <w:t xml:space="preserve">And these shall go away into eternal punishment</w:t>
      </w:r>
      <w:r>
        <w:rPr>
          <w:rStyle w:val="FootnoteReference"/>
        </w:rPr>
        <w:footnoteReference w:id="14785"/>
      </w:r>
      <w:r>
        <w:t xml:space="preserve">: but the righteous</w:t>
      </w:r>
      <w:r>
        <w:rPr>
          <w:rStyle w:val="FootnoteReference"/>
        </w:rPr>
        <w:footnoteReference w:id="14786"/>
      </w:r>
      <w:r>
        <w:t xml:space="preserve"> into life eternal.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And it happened, when Jesus had finished all these sayings, he said to his disciples,</w:t>
      </w:r>
    </w:p>
    <w:p>
      <w:r>
        <w:rPr>
          <w:b/>
        </w:rPr>
        <w:t xml:space="preserve">2 </w:t>
      </w:r>
      <w:r>
        <w:t xml:space="preserve">You know</w:t>
      </w:r>
      <w:r>
        <w:rPr>
          <w:rStyle w:val="FootnoteReference"/>
        </w:rPr>
        <w:footnoteReference w:id="14787"/>
      </w:r>
      <w:r>
        <w:t xml:space="preserve"> that after two days is the feast of the Passover, and the Son of man is betrayed to be crucified.</w:t>
      </w:r>
    </w:p>
    <w:p>
      <w:r>
        <w:rPr>
          <w:b/>
        </w:rPr>
        <w:t xml:space="preserve">3 </w:t>
      </w:r>
      <w:r>
        <w:t xml:space="preserve">Then the chief priests, and the scribes, and the elders of the people assembled</w:t>
      </w:r>
      <w:r>
        <w:rPr>
          <w:rStyle w:val="FootnoteReference"/>
        </w:rPr>
        <w:footnoteReference w:id="14788"/>
      </w:r>
      <w:r>
        <w:t xml:space="preserve"> together to the palace of the high priest, who was called Caiaphas</w:t>
      </w:r>
      <w:r>
        <w:rPr>
          <w:rStyle w:val="FootnoteReference"/>
        </w:rPr>
        <w:footnoteReference w:id="14789"/>
      </w:r>
      <w:r>
        <w:t xml:space="preserve">,</w:t>
      </w:r>
    </w:p>
    <w:p>
      <w:r>
        <w:rPr>
          <w:b/>
        </w:rPr>
        <w:t xml:space="preserve">4 </w:t>
      </w:r>
      <w:r>
        <w:t xml:space="preserve">And consulted</w:t>
      </w:r>
      <w:r>
        <w:rPr>
          <w:rStyle w:val="FootnoteReference"/>
        </w:rPr>
        <w:footnoteReference w:id="14790"/>
      </w:r>
      <w:r>
        <w:t xml:space="preserve"> that they might take Jesus by deceit, and kill him.</w:t>
      </w:r>
    </w:p>
    <w:p>
      <w:r>
        <w:rPr>
          <w:b/>
        </w:rPr>
        <w:t xml:space="preserve">5 </w:t>
      </w:r>
      <w:r>
        <w:t xml:space="preserve">But they said, Not on the feast day, lest there be an uproar among the people.</w:t>
      </w:r>
    </w:p>
    <w:p>
      <w:r>
        <w:rPr>
          <w:b/>
        </w:rPr>
        <w:t xml:space="preserve">6 </w:t>
      </w:r>
      <w:r>
        <w:t xml:space="preserve">Now when Jesus was in Bethany</w:t>
      </w:r>
      <w:r>
        <w:rPr>
          <w:rStyle w:val="FootnoteReference"/>
        </w:rPr>
        <w:footnoteReference w:id="14791"/>
      </w:r>
      <w:r>
        <w:t xml:space="preserve">, in the house of Simon the leper,</w:t>
      </w:r>
    </w:p>
    <w:p>
      <w:r>
        <w:rPr>
          <w:b/>
        </w:rPr>
        <w:t xml:space="preserve">7 </w:t>
      </w:r>
      <w:r>
        <w:t xml:space="preserve">There came to him a woman having an alabaster box of very</w:t>
      </w:r>
      <w:r>
        <w:rPr>
          <w:rStyle w:val="FootnoteReference"/>
        </w:rPr>
        <w:footnoteReference w:id="14792"/>
      </w:r>
      <w:r>
        <w:t xml:space="preserve"> precious ointment, and poured it on his head, as he reclined at table.</w:t>
      </w:r>
    </w:p>
    <w:p>
      <w:r>
        <w:rPr>
          <w:b/>
        </w:rPr>
        <w:t xml:space="preserve">8 </w:t>
      </w:r>
      <w:r>
        <w:t xml:space="preserve">But when his disciples saw it, they had indignation, saying, To what purpose is this waste?</w:t>
      </w:r>
    </w:p>
    <w:p>
      <w:r>
        <w:rPr>
          <w:b/>
        </w:rPr>
        <w:t xml:space="preserve">9 </w:t>
      </w:r>
      <w:r>
        <w:t xml:space="preserve">For this ointment might have been sold for much, and given to the poor.</w:t>
      </w:r>
    </w:p>
    <w:p>
      <w:r>
        <w:rPr>
          <w:b/>
        </w:rPr>
        <w:t xml:space="preserve">10 </w:t>
      </w:r>
      <w:r>
        <w:t xml:space="preserve">When Jesus understood it, he said to them, Why do you trouble the woman? for she has worked a good</w:t>
      </w:r>
      <w:r>
        <w:rPr>
          <w:rStyle w:val="FootnoteReference"/>
        </w:rPr>
        <w:footnoteReference w:id="14793"/>
      </w:r>
      <w:r>
        <w:t xml:space="preserve"> work upon me.</w:t>
      </w:r>
    </w:p>
    <w:p>
      <w:r>
        <w:rPr>
          <w:b/>
        </w:rPr>
        <w:t xml:space="preserve">11 </w:t>
      </w:r>
      <w:r>
        <w:t xml:space="preserve">For you have the poor always with you; but me you have not always.</w:t>
      </w:r>
    </w:p>
    <w:p>
      <w:r>
        <w:rPr>
          <w:b/>
        </w:rPr>
        <w:t xml:space="preserve">12 </w:t>
      </w:r>
      <w:r>
        <w:t xml:space="preserve">For in that she has poured this ointment on my body, she did it for my burial.</w:t>
      </w:r>
    </w:p>
    <w:p>
      <w:r>
        <w:rPr>
          <w:b/>
        </w:rPr>
        <w:t xml:space="preserve">13 </w:t>
      </w:r>
      <w:r>
        <w:t xml:space="preserve">Amen, I say to you, wherever this good news shall be preached in the whole world, there shall also this, that this woman has done, be told for a memorial of her.</w:t>
      </w:r>
    </w:p>
    <w:p>
      <w:r>
        <w:rPr>
          <w:b/>
        </w:rPr>
        <w:t xml:space="preserve">14 </w:t>
      </w:r>
      <w:r>
        <w:t xml:space="preserve">Then one of the twelve, called Judas</w:t>
      </w:r>
      <w:r>
        <w:rPr>
          <w:rStyle w:val="FootnoteReference"/>
        </w:rPr>
        <w:footnoteReference w:id="14794"/>
      </w:r>
      <w:r>
        <w:t xml:space="preserve"> Iscariot, went to the chief priests,</w:t>
      </w:r>
    </w:p>
    <w:p>
      <w:r>
        <w:rPr>
          <w:b/>
        </w:rPr>
        <w:t xml:space="preserve">15 </w:t>
      </w:r>
      <w:r>
        <w:t xml:space="preserve">And said to them, What will you give me, and I will deliver him to you? And they covenanted with him for thirty</w:t>
      </w:r>
      <w:r>
        <w:rPr>
          <w:rStyle w:val="FootnoteReference"/>
        </w:rPr>
        <w:footnoteReference w:id="14795"/>
      </w:r>
      <w:r>
        <w:t xml:space="preserve"> pieces of silver.</w:t>
      </w:r>
    </w:p>
    <w:p>
      <w:r>
        <w:rPr>
          <w:b/>
        </w:rPr>
        <w:t xml:space="preserve">16 </w:t>
      </w:r>
      <w:r>
        <w:t xml:space="preserve">And from that time he sought opportunity to betray him.</w:t>
      </w:r>
    </w:p>
    <w:p>
      <w:r>
        <w:rPr>
          <w:b/>
        </w:rPr>
        <w:t xml:space="preserve">17 </w:t>
      </w:r>
      <w:r>
        <w:t xml:space="preserve">Now the first</w:t>
      </w:r>
      <w:r>
        <w:rPr>
          <w:rStyle w:val="FootnoteReference"/>
        </w:rPr>
        <w:footnoteReference w:id="14796"/>
      </w:r>
      <w:r>
        <w:t xml:space="preserve"> day of the feast of unleavened bread the disciples came to Jesus, saying to him, Where do you want us to prepare for you to eat the Passover?</w:t>
      </w:r>
    </w:p>
    <w:p>
      <w:r>
        <w:rPr>
          <w:b/>
        </w:rPr>
        <w:t xml:space="preserve">18 </w:t>
      </w:r>
      <w:r>
        <w:t xml:space="preserve">And he said, Go into the city to such a man, and say to him, The Teacher says, My time</w:t>
      </w:r>
      <w:r>
        <w:rPr>
          <w:rStyle w:val="FootnoteReference"/>
        </w:rPr>
        <w:footnoteReference w:id="14797"/>
      </w:r>
      <w:r>
        <w:t xml:space="preserve"> is at hand; I will keep the Passover at your house with my disciples.</w:t>
      </w:r>
    </w:p>
    <w:p>
      <w:r>
        <w:rPr>
          <w:b/>
        </w:rPr>
        <w:t xml:space="preserve">19 </w:t>
      </w:r>
      <w:r>
        <w:t xml:space="preserve">And the disciples</w:t>
      </w:r>
      <w:r>
        <w:rPr>
          <w:rStyle w:val="FootnoteReference"/>
        </w:rPr>
        <w:footnoteReference w:id="14798"/>
      </w:r>
      <w:r>
        <w:t xml:space="preserve"> did as Jesus had appointed them; and they made ready the Passover.</w:t>
      </w:r>
    </w:p>
    <w:p>
      <w:r>
        <w:rPr>
          <w:b/>
        </w:rPr>
        <w:t xml:space="preserve">20 </w:t>
      </w:r>
      <w:r>
        <w:t xml:space="preserve">Now when evening had come, he sat down with the twelve.</w:t>
      </w:r>
    </w:p>
    <w:p>
      <w:r>
        <w:rPr>
          <w:b/>
        </w:rPr>
        <w:t xml:space="preserve">21 </w:t>
      </w:r>
      <w:r>
        <w:t xml:space="preserve">And as they did eat, he said, Amen, I say to you, that one of you shall betray me.</w:t>
      </w:r>
    </w:p>
    <w:p>
      <w:r>
        <w:rPr>
          <w:b/>
        </w:rPr>
        <w:t xml:space="preserve">22 </w:t>
      </w:r>
      <w:r>
        <w:t xml:space="preserve">And they were exceedingly sorrowful, and began every one of them to say to him, Lord, is it I?</w:t>
      </w:r>
    </w:p>
    <w:p>
      <w:r>
        <w:rPr>
          <w:b/>
        </w:rPr>
        <w:t xml:space="preserve">23 </w:t>
      </w:r>
      <w:r>
        <w:t xml:space="preserve">And he answered and said, The one who dips his hand with me in the dish, the same shall betray me.</w:t>
      </w:r>
    </w:p>
    <w:p>
      <w:r>
        <w:rPr>
          <w:b/>
        </w:rPr>
        <w:t xml:space="preserve">24 </w:t>
      </w:r>
      <w:r>
        <w:t xml:space="preserve">The Son of man goes as it is written</w:t>
      </w:r>
      <w:r>
        <w:rPr>
          <w:rStyle w:val="FootnoteReference"/>
        </w:rPr>
        <w:footnoteReference w:id="14799"/>
      </w:r>
      <w:r>
        <w:t xml:space="preserve"> of him: but woe to that man by whom the Son of man is betrayed! it would have been good for that man if he had not been born.</w:t>
      </w:r>
    </w:p>
    <w:p>
      <w:r>
        <w:rPr>
          <w:b/>
        </w:rPr>
        <w:t xml:space="preserve">25 </w:t>
      </w:r>
      <w:r>
        <w:t xml:space="preserve">Then Judas</w:t>
      </w:r>
      <w:r>
        <w:rPr>
          <w:rStyle w:val="FootnoteReference"/>
        </w:rPr>
        <w:footnoteReference w:id="14800"/>
      </w:r>
      <w:r>
        <w:t xml:space="preserve">, who betrayed him, answered and said, Master, is it I? He said to him, You have said.</w:t>
      </w:r>
    </w:p>
    <w:p>
      <w:r>
        <w:rPr>
          <w:b/>
        </w:rPr>
        <w:t xml:space="preserve">26 </w:t>
      </w:r>
      <w:r>
        <w:t xml:space="preserve">And as they were eating, Jesus</w:t>
      </w:r>
      <w:r>
        <w:rPr>
          <w:rStyle w:val="FootnoteReference"/>
        </w:rPr>
        <w:footnoteReference w:id="14801"/>
      </w:r>
      <w:r>
        <w:t xml:space="preserve"> took bread, and blessed it, and broke it, and gave it to the disciples, and said, Take, eat; this is my body.</w:t>
      </w:r>
    </w:p>
    <w:p>
      <w:r>
        <w:rPr>
          <w:b/>
        </w:rPr>
        <w:t xml:space="preserve">27 </w:t>
      </w:r>
      <w:r>
        <w:t xml:space="preserve">And he took</w:t>
      </w:r>
      <w:r>
        <w:rPr>
          <w:rStyle w:val="FootnoteReference"/>
        </w:rPr>
        <w:footnoteReference w:id="14802"/>
      </w:r>
      <w:r>
        <w:t xml:space="preserve"> the cup, and gave thanks, and gave it to them, saying, Drink from it, all of you;</w:t>
      </w:r>
    </w:p>
    <w:p>
      <w:r>
        <w:rPr>
          <w:b/>
        </w:rPr>
        <w:t xml:space="preserve">28 </w:t>
      </w:r>
      <w:r>
        <w:t xml:space="preserve">For this is my blood of the new covenant</w:t>
      </w:r>
      <w:r>
        <w:rPr>
          <w:rStyle w:val="FootnoteReference"/>
        </w:rPr>
        <w:footnoteReference w:id="14803"/>
      </w:r>
      <w:r>
        <w:t xml:space="preserve">, which is shed</w:t>
      </w:r>
      <w:r>
        <w:rPr>
          <w:rStyle w:val="FootnoteReference"/>
        </w:rPr>
        <w:footnoteReference w:id="14804"/>
      </w:r>
      <w:r>
        <w:t xml:space="preserve"> for many for the forgiveness of sins</w:t>
      </w:r>
      <w:r>
        <w:rPr>
          <w:rStyle w:val="FootnoteReference"/>
        </w:rPr>
        <w:footnoteReference w:id="14805"/>
      </w:r>
      <w:r>
        <w:t xml:space="preserve">.</w:t>
      </w:r>
    </w:p>
    <w:p>
      <w:r>
        <w:rPr>
          <w:b/>
        </w:rPr>
        <w:t xml:space="preserve">29 </w:t>
      </w:r>
      <w:r>
        <w:t xml:space="preserve">But I say to you, I will not drink from now on of this fruit of the vine, until that day when I drink it new with you in my Father's kingdom.</w:t>
      </w:r>
    </w:p>
    <w:p>
      <w:r>
        <w:rPr>
          <w:b/>
        </w:rPr>
        <w:t xml:space="preserve">30 </w:t>
      </w:r>
      <w:r>
        <w:t xml:space="preserve">And when they had sung a hymn, they went</w:t>
      </w:r>
      <w:r>
        <w:rPr>
          <w:rStyle w:val="FootnoteReference"/>
        </w:rPr>
        <w:footnoteReference w:id="14806"/>
      </w:r>
      <w:r>
        <w:t xml:space="preserve"> out into the mount of Olives.</w:t>
      </w:r>
    </w:p>
    <w:p>
      <w:r>
        <w:rPr>
          <w:b/>
        </w:rPr>
        <w:t xml:space="preserve">31 </w:t>
      </w:r>
      <w:r>
        <w:t xml:space="preserve">Then says Jesus to them, All you shall be stumbled because of me this night: for it is written, I will strike the shepherd, and the sheep of the flock shall be scattered.</w:t>
      </w:r>
    </w:p>
    <w:p>
      <w:r>
        <w:rPr>
          <w:b/>
        </w:rPr>
        <w:t xml:space="preserve">32 </w:t>
      </w:r>
      <w:r>
        <w:t xml:space="preserve">But after I have risen again, I will go before you into Galilee.</w:t>
      </w:r>
    </w:p>
    <w:p>
      <w:r>
        <w:rPr>
          <w:b/>
        </w:rPr>
        <w:t xml:space="preserve">33 </w:t>
      </w:r>
      <w:r>
        <w:t xml:space="preserve">Peter answered and said to him, Though</w:t>
      </w:r>
      <w:r>
        <w:rPr>
          <w:rStyle w:val="FootnoteReference"/>
        </w:rPr>
        <w:footnoteReference w:id="14807"/>
      </w:r>
      <w:r>
        <w:t xml:space="preserve"> all men shall be stumbled because of you, yet will I never be stumbled.</w:t>
      </w:r>
    </w:p>
    <w:p>
      <w:r>
        <w:rPr>
          <w:b/>
        </w:rPr>
        <w:t xml:space="preserve">34 </w:t>
      </w:r>
      <w:r>
        <w:t xml:space="preserve">Jesus said to him, Amen, I say to you, That this night, before the cock crow, you shall deny me three times.</w:t>
      </w:r>
    </w:p>
    <w:p>
      <w:r>
        <w:rPr>
          <w:b/>
        </w:rPr>
        <w:t xml:space="preserve">35 </w:t>
      </w:r>
      <w:r>
        <w:t xml:space="preserve">Peter said to him, Though</w:t>
      </w:r>
      <w:r>
        <w:rPr>
          <w:rStyle w:val="FootnoteReference"/>
        </w:rPr>
        <w:footnoteReference w:id="14808"/>
      </w:r>
      <w:r>
        <w:t xml:space="preserve"> I should die with you, yet will I not deny you. Likewise also said all the disciples.</w:t>
      </w:r>
    </w:p>
    <w:p>
      <w:r>
        <w:rPr>
          <w:b/>
        </w:rPr>
        <w:t xml:space="preserve">36 </w:t>
      </w:r>
      <w:r>
        <w:t xml:space="preserve">Then comes Jesus with them to a place</w:t>
      </w:r>
      <w:r>
        <w:rPr>
          <w:rStyle w:val="FootnoteReference"/>
        </w:rPr>
        <w:footnoteReference w:id="14809"/>
      </w:r>
      <w:r>
        <w:t xml:space="preserve"> called Gethsemane</w:t>
      </w:r>
      <w:r>
        <w:rPr>
          <w:rStyle w:val="FootnoteReference"/>
        </w:rPr>
        <w:footnoteReference w:id="14810"/>
      </w:r>
      <w:r>
        <w:t xml:space="preserve">, and says to the disciples, Sit here, while I go and pray over there.</w:t>
      </w:r>
    </w:p>
    <w:p>
      <w:r>
        <w:rPr>
          <w:b/>
        </w:rPr>
        <w:t xml:space="preserve">37 </w:t>
      </w:r>
      <w:r>
        <w:t xml:space="preserve">And he took with him Peter</w:t>
      </w:r>
      <w:r>
        <w:rPr>
          <w:rStyle w:val="FootnoteReference"/>
        </w:rPr>
        <w:footnoteReference w:id="14811"/>
      </w:r>
      <w:r>
        <w:t xml:space="preserve"> and the two sons of Zebedee, and began to be sorrowful and deeply distressed.</w:t>
      </w:r>
    </w:p>
    <w:p>
      <w:r>
        <w:rPr>
          <w:b/>
        </w:rPr>
        <w:t xml:space="preserve">38 </w:t>
      </w:r>
      <w:r>
        <w:t xml:space="preserve">Then he says to them, My soul is exceedingly sorrowful, even to death: remain here, and watch with me.</w:t>
      </w:r>
    </w:p>
    <w:p>
      <w:r>
        <w:rPr>
          <w:b/>
        </w:rPr>
        <w:t xml:space="preserve">39 </w:t>
      </w:r>
      <w:r>
        <w:t xml:space="preserve">And he went a little farther, and fell</w:t>
      </w:r>
      <w:r>
        <w:rPr>
          <w:rStyle w:val="FootnoteReference"/>
        </w:rPr>
        <w:footnoteReference w:id="14812"/>
      </w:r>
      <w:r>
        <w:t xml:space="preserve"> on his face, and prayed, saying, O my Father, if it is possible, let this cup pass from me: nevertheless not as I will, but as you will.</w:t>
      </w:r>
    </w:p>
    <w:p>
      <w:r>
        <w:rPr>
          <w:b/>
        </w:rPr>
        <w:t xml:space="preserve">40 </w:t>
      </w:r>
      <w:r>
        <w:t xml:space="preserve">And he comes to the disciples, and finds them asleep, and says to Peter, Could you not watch with me one hour?</w:t>
      </w:r>
    </w:p>
    <w:p>
      <w:r>
        <w:rPr>
          <w:b/>
        </w:rPr>
        <w:t xml:space="preserve">41 </w:t>
      </w:r>
      <w:r>
        <w:t xml:space="preserve">Watch</w:t>
      </w:r>
      <w:r>
        <w:rPr>
          <w:rStyle w:val="FootnoteReference"/>
        </w:rPr>
        <w:footnoteReference w:id="14813"/>
      </w:r>
      <w:r>
        <w:t xml:space="preserve"> and pray, that you do not enter into temptation: the spirit indeed is willing, but the flesh is weak.</w:t>
      </w:r>
    </w:p>
    <w:p>
      <w:r>
        <w:rPr>
          <w:b/>
        </w:rPr>
        <w:t xml:space="preserve">42 </w:t>
      </w:r>
      <w:r>
        <w:t xml:space="preserve">He went away again the second</w:t>
      </w:r>
      <w:r>
        <w:rPr>
          <w:rStyle w:val="FootnoteReference"/>
        </w:rPr>
        <w:footnoteReference w:id="14814"/>
      </w:r>
      <w:r>
        <w:t xml:space="preserve"> time, and prayed, saying, O my Father, if this cup cannot pass away from me, unless I drink it, your will be done.</w:t>
      </w:r>
    </w:p>
    <w:p>
      <w:r>
        <w:rPr>
          <w:b/>
        </w:rPr>
        <w:t xml:space="preserve">43 </w:t>
      </w:r>
      <w:r>
        <w:t xml:space="preserve">And he came and found them asleep again: for their eyes were heavy.</w:t>
      </w:r>
    </w:p>
    <w:p>
      <w:r>
        <w:rPr>
          <w:b/>
        </w:rPr>
        <w:t xml:space="preserve">44 </w:t>
      </w:r>
      <w:r>
        <w:t xml:space="preserve">And he left them, and went away again, and prayed</w:t>
      </w:r>
      <w:r>
        <w:rPr>
          <w:rStyle w:val="FootnoteReference"/>
        </w:rPr>
        <w:footnoteReference w:id="14815"/>
      </w:r>
      <w:r>
        <w:t xml:space="preserve"> the third time, saying the same words.</w:t>
      </w:r>
    </w:p>
    <w:p>
      <w:r>
        <w:rPr>
          <w:b/>
        </w:rPr>
        <w:t xml:space="preserve">45 </w:t>
      </w:r>
      <w:r>
        <w:t xml:space="preserve">Then he comes to his disciples, and says to them, Sleep on</w:t>
      </w:r>
      <w:r>
        <w:rPr>
          <w:rStyle w:val="FootnoteReference"/>
        </w:rPr>
        <w:footnoteReference w:id="14816"/>
      </w:r>
      <w:r>
        <w:t xml:space="preserve"> now, and take your rest: look, the hour is at hand, and the Son of man is betrayed into the hands of sinners.</w:t>
      </w:r>
    </w:p>
    <w:p>
      <w:r>
        <w:rPr>
          <w:b/>
        </w:rPr>
        <w:t xml:space="preserve">46 </w:t>
      </w:r>
      <w:r>
        <w:t xml:space="preserve">Rise, let us be going: look, he who betrays me is at hand.</w:t>
      </w:r>
    </w:p>
    <w:p>
      <w:r>
        <w:rPr>
          <w:b/>
        </w:rPr>
        <w:t xml:space="preserve">47 </w:t>
      </w:r>
      <w:r>
        <w:t xml:space="preserve">And while he yet spoke, look, Judas, one of the twelve, came, and with him a great crowd with swords and staffs, from the chief priests and elders of the people.</w:t>
      </w:r>
    </w:p>
    <w:p>
      <w:r>
        <w:rPr>
          <w:b/>
        </w:rPr>
        <w:t xml:space="preserve">48 </w:t>
      </w:r>
      <w:r>
        <w:t xml:space="preserve">Now the one who betrayed him gave them a sign, saying, Whomever I shall kiss, that one is he: hold</w:t>
      </w:r>
      <w:r>
        <w:rPr>
          <w:rStyle w:val="FootnoteReference"/>
        </w:rPr>
        <w:footnoteReference w:id="14817"/>
      </w:r>
      <w:r>
        <w:t xml:space="preserve"> him fast.</w:t>
      </w:r>
    </w:p>
    <w:p>
      <w:r>
        <w:rPr>
          <w:b/>
        </w:rPr>
        <w:t xml:space="preserve">49 </w:t>
      </w:r>
      <w:r>
        <w:t xml:space="preserve">And immediately he came to Jesus, and said, Hail</w:t>
      </w:r>
      <w:r>
        <w:rPr>
          <w:rStyle w:val="FootnoteReference"/>
        </w:rPr>
        <w:footnoteReference w:id="14818"/>
      </w:r>
      <w:r>
        <w:t xml:space="preserve">, master; and kissed him.</w:t>
      </w:r>
    </w:p>
    <w:p>
      <w:r>
        <w:rPr>
          <w:b/>
        </w:rPr>
        <w:t xml:space="preserve">50 </w:t>
      </w:r>
      <w:r>
        <w:t xml:space="preserve">And Jesus said to him, Friend</w:t>
      </w:r>
      <w:r>
        <w:rPr>
          <w:rStyle w:val="FootnoteReference"/>
        </w:rPr>
        <w:footnoteReference w:id="14819"/>
      </w:r>
      <w:r>
        <w:t xml:space="preserve">, why have you come? Then they came, and laid hands on Jesus and took him.</w:t>
      </w:r>
    </w:p>
    <w:p>
      <w:r>
        <w:rPr>
          <w:b/>
        </w:rPr>
        <w:t xml:space="preserve">51 </w:t>
      </w:r>
      <w:r>
        <w:t xml:space="preserve">And, look, one of those who were with Jesus stretched out his hand, and drew his sword, and struck a slave of the high priest's, and stroke off his ear.</w:t>
      </w:r>
    </w:p>
    <w:p>
      <w:r>
        <w:rPr>
          <w:b/>
        </w:rPr>
        <w:t xml:space="preserve">52 </w:t>
      </w:r>
      <w:r>
        <w:t xml:space="preserve">Then Jesus said to him, Put your sword back into its place: for all those who take the sword shall perish with the sword.</w:t>
      </w:r>
    </w:p>
    <w:p>
      <w:r>
        <w:rPr>
          <w:b/>
        </w:rPr>
        <w:t xml:space="preserve">53 </w:t>
      </w:r>
      <w:r>
        <w:t xml:space="preserve">Do you think that I cannot now pray to my Father, and he shall immediately give me more than twelve</w:t>
      </w:r>
      <w:r>
        <w:rPr>
          <w:rStyle w:val="FootnoteReference"/>
        </w:rPr>
        <w:footnoteReference w:id="14820"/>
      </w:r>
      <w:r>
        <w:t xml:space="preserve"> legions of angels?</w:t>
      </w:r>
    </w:p>
    <w:p>
      <w:r>
        <w:rPr>
          <w:b/>
        </w:rPr>
        <w:t xml:space="preserve">54 </w:t>
      </w:r>
      <w:r>
        <w:t xml:space="preserve">But how then shall the scriptures be fulfilled, that thus it must be?</w:t>
      </w:r>
    </w:p>
    <w:p>
      <w:r>
        <w:rPr>
          <w:b/>
        </w:rPr>
        <w:t xml:space="preserve">55 </w:t>
      </w:r>
      <w:r>
        <w:t xml:space="preserve">In that same hour said Jesus to the crowds, Are you come out as against a thief with swords and staffs in order to take me? I sat</w:t>
      </w:r>
      <w:r>
        <w:rPr>
          <w:rStyle w:val="FootnoteReference"/>
        </w:rPr>
        <w:footnoteReference w:id="14821"/>
      </w:r>
      <w:r>
        <w:t xml:space="preserve"> daily with you teaching in the temple, and you laid no hold on me.</w:t>
      </w:r>
    </w:p>
    <w:p>
      <w:r>
        <w:rPr>
          <w:b/>
        </w:rPr>
        <w:t xml:space="preserve">56 </w:t>
      </w:r>
      <w:r>
        <w:t xml:space="preserve">But all this was done, that the scriptures of the prophets might be fulfilled. Then all the disciples forsook him, and fled.</w:t>
      </w:r>
    </w:p>
    <w:p>
      <w:r>
        <w:rPr>
          <w:b/>
        </w:rPr>
        <w:t xml:space="preserve">57 </w:t>
      </w:r>
      <w:r>
        <w:t xml:space="preserve">And those who had laid hold on Jesus led him away to Caiaphas the high priest, where the scribes and the elders were assembled.</w:t>
      </w:r>
    </w:p>
    <w:p>
      <w:r>
        <w:rPr>
          <w:b/>
        </w:rPr>
        <w:t xml:space="preserve">58 </w:t>
      </w:r>
      <w:r>
        <w:t xml:space="preserve">But Peter followed him far off to the high priest's palace, and went</w:t>
      </w:r>
      <w:r>
        <w:rPr>
          <w:rStyle w:val="FootnoteReference"/>
        </w:rPr>
        <w:footnoteReference w:id="14822"/>
      </w:r>
      <w:r>
        <w:t xml:space="preserve"> in, and sat with the servants, to see the end.</w:t>
      </w:r>
    </w:p>
    <w:p>
      <w:r>
        <w:rPr>
          <w:b/>
        </w:rPr>
        <w:t xml:space="preserve">59 </w:t>
      </w:r>
      <w:r>
        <w:t xml:space="preserve">Now the chief priests, and elders, and all the council, sought</w:t>
      </w:r>
      <w:r>
        <w:rPr>
          <w:rStyle w:val="FootnoteReference"/>
        </w:rPr>
        <w:footnoteReference w:id="14823"/>
      </w:r>
      <w:r>
        <w:t xml:space="preserve"> false witness against Jesus, to put him to death;</w:t>
      </w:r>
    </w:p>
    <w:p>
      <w:r>
        <w:rPr>
          <w:b/>
        </w:rPr>
        <w:t xml:space="preserve">60 </w:t>
      </w:r>
      <w:r>
        <w:t xml:space="preserve">But found none</w:t>
      </w:r>
      <w:r>
        <w:rPr>
          <w:rStyle w:val="FootnoteReference"/>
        </w:rPr>
        <w:footnoteReference w:id="14824"/>
      </w:r>
      <w:r>
        <w:t xml:space="preserve">: yes, though many false witnesses came, they found none. At the last came two false witnesses,</w:t>
      </w:r>
    </w:p>
    <w:p>
      <w:r>
        <w:rPr>
          <w:b/>
        </w:rPr>
        <w:t xml:space="preserve">61 </w:t>
      </w:r>
      <w:r>
        <w:t xml:space="preserve">And said, This fellow said, I am able to destroy the temple of God, and to build it in three days.</w:t>
      </w:r>
    </w:p>
    <w:p>
      <w:r>
        <w:rPr>
          <w:b/>
        </w:rPr>
        <w:t xml:space="preserve">62 </w:t>
      </w:r>
      <w:r>
        <w:t xml:space="preserve">And the high priest arose, and said to him, Do you answer nothing? what is it that these witness against you?</w:t>
      </w:r>
    </w:p>
    <w:p>
      <w:r>
        <w:rPr>
          <w:b/>
        </w:rPr>
        <w:t xml:space="preserve">63 </w:t>
      </w:r>
      <w:r>
        <w:t xml:space="preserve">But Jesus</w:t>
      </w:r>
      <w:r>
        <w:rPr>
          <w:rStyle w:val="FootnoteReference"/>
        </w:rPr>
        <w:footnoteReference w:id="14825"/>
      </w:r>
      <w:r>
        <w:t xml:space="preserve"> was silent. And the high priest answered and said to him, I adjure you by the living God, that you tell us whether you are the Christ, the Son of God.</w:t>
      </w:r>
    </w:p>
    <w:p>
      <w:r>
        <w:rPr>
          <w:b/>
        </w:rPr>
        <w:t xml:space="preserve">64 </w:t>
      </w:r>
      <w:r>
        <w:t xml:space="preserve">Jesus says to him, You have said: nevertheless I say to you, From now on you shall see the Son of man sitting on the right</w:t>
      </w:r>
      <w:r>
        <w:rPr>
          <w:rStyle w:val="FootnoteReference"/>
        </w:rPr>
        <w:footnoteReference w:id="14826"/>
      </w:r>
      <w:r>
        <w:t xml:space="preserve"> hand of power, and coming in the clouds of heaven.</w:t>
      </w:r>
    </w:p>
    <w:p>
      <w:r>
        <w:rPr>
          <w:b/>
        </w:rPr>
        <w:t xml:space="preserve">65 </w:t>
      </w:r>
      <w:r>
        <w:t xml:space="preserve">Then the high priest</w:t>
      </w:r>
      <w:r>
        <w:rPr>
          <w:rStyle w:val="FootnoteReference"/>
        </w:rPr>
        <w:footnoteReference w:id="14827"/>
      </w:r>
      <w:r>
        <w:t xml:space="preserve"> tore his clothes, saying, He has spoken blasphemy; what further need do we have of witnesses? look, now you have heard his blasphemy.</w:t>
      </w:r>
    </w:p>
    <w:p>
      <w:r>
        <w:rPr>
          <w:b/>
        </w:rPr>
        <w:t xml:space="preserve">66 </w:t>
      </w:r>
      <w:r>
        <w:t xml:space="preserve">What do you think? They answered and said, He is guilty of death.</w:t>
      </w:r>
    </w:p>
    <w:p>
      <w:r>
        <w:rPr>
          <w:b/>
        </w:rPr>
        <w:t xml:space="preserve">67 </w:t>
      </w:r>
      <w:r>
        <w:t xml:space="preserve">Then they spit in his face, and buffeted him; and others</w:t>
      </w:r>
      <w:r>
        <w:rPr>
          <w:rStyle w:val="FootnoteReference"/>
        </w:rPr>
        <w:footnoteReference w:id="14828"/>
      </w:r>
      <w:r>
        <w:t xml:space="preserve"> struck him with the palms of their hands,</w:t>
      </w:r>
    </w:p>
    <w:p>
      <w:r>
        <w:rPr>
          <w:b/>
        </w:rPr>
        <w:t xml:space="preserve">68 </w:t>
      </w:r>
      <w:r>
        <w:t xml:space="preserve">Saying, Prophesy</w:t>
      </w:r>
      <w:r>
        <w:rPr>
          <w:rStyle w:val="FootnoteReference"/>
        </w:rPr>
        <w:footnoteReference w:id="14829"/>
      </w:r>
      <w:r>
        <w:t xml:space="preserve"> to us, you Christ, Who is the one who struck you?</w:t>
      </w:r>
    </w:p>
    <w:p>
      <w:r>
        <w:rPr>
          <w:b/>
        </w:rPr>
        <w:t xml:space="preserve">69 </w:t>
      </w:r>
      <w:r>
        <w:t xml:space="preserve">Now Peter</w:t>
      </w:r>
      <w:r>
        <w:rPr>
          <w:rStyle w:val="FootnoteReference"/>
        </w:rPr>
        <w:footnoteReference w:id="14830"/>
      </w:r>
      <w:r>
        <w:t xml:space="preserve"> sat without in the palace: and a girl came to him, saying, You also were with Jesus of Galilee.</w:t>
      </w:r>
    </w:p>
    <w:p>
      <w:r>
        <w:rPr>
          <w:b/>
        </w:rPr>
        <w:t xml:space="preserve">70 </w:t>
      </w:r>
      <w:r>
        <w:t xml:space="preserve">But he denied before them all, saying, I do not know what you say.</w:t>
      </w:r>
    </w:p>
    <w:p>
      <w:r>
        <w:rPr>
          <w:b/>
        </w:rPr>
        <w:t xml:space="preserve">71 </w:t>
      </w:r>
      <w:r>
        <w:t xml:space="preserve">And when he was gone out into the porch, another girl saw him, and said to those who were there, This fellow was also with Jesus of Nazareth.</w:t>
      </w:r>
    </w:p>
    <w:p>
      <w:r>
        <w:rPr>
          <w:b/>
        </w:rPr>
        <w:t xml:space="preserve">72 </w:t>
      </w:r>
      <w:r>
        <w:t xml:space="preserve">And again he denied with an oath, I do not</w:t>
      </w:r>
      <w:r>
        <w:rPr>
          <w:rStyle w:val="FootnoteReference"/>
        </w:rPr>
        <w:footnoteReference w:id="14831"/>
      </w:r>
      <w:r>
        <w:t xml:space="preserve"> know the man.</w:t>
      </w:r>
    </w:p>
    <w:p>
      <w:r>
        <w:rPr>
          <w:b/>
        </w:rPr>
        <w:t xml:space="preserve">73 </w:t>
      </w:r>
      <w:r>
        <w:t xml:space="preserve">And after a while those who stood by came to him, and said to Peter, Surely</w:t>
      </w:r>
      <w:r>
        <w:rPr>
          <w:rStyle w:val="FootnoteReference"/>
        </w:rPr>
        <w:footnoteReference w:id="14832"/>
      </w:r>
      <w:r>
        <w:t xml:space="preserve"> you also are one of them; for your speech betrays you.</w:t>
      </w:r>
    </w:p>
    <w:p>
      <w:r>
        <w:rPr>
          <w:b/>
        </w:rPr>
        <w:t xml:space="preserve">74 </w:t>
      </w:r>
      <w:r>
        <w:t xml:space="preserve">Then he began</w:t>
      </w:r>
      <w:r>
        <w:rPr>
          <w:rStyle w:val="FootnoteReference"/>
        </w:rPr>
        <w:footnoteReference w:id="14833"/>
      </w:r>
      <w:r>
        <w:t xml:space="preserve"> to curse and to swear, saying, I do not know the man. And immediately the rooster crowed.</w:t>
      </w:r>
    </w:p>
    <w:p>
      <w:r>
        <w:rPr>
          <w:b/>
        </w:rPr>
        <w:t xml:space="preserve">75 </w:t>
      </w:r>
      <w:r>
        <w:t xml:space="preserve">And Peter remembered</w:t>
      </w:r>
      <w:r>
        <w:rPr>
          <w:rStyle w:val="FootnoteReference"/>
        </w:rPr>
        <w:footnoteReference w:id="14834"/>
      </w:r>
      <w:r>
        <w:t xml:space="preserve"> the word of Jesus, who said to him, Before the rooster crows, you shall deny me three times. And he went out, and wept bitterly.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When the morning</w:t>
      </w:r>
      <w:r>
        <w:rPr>
          <w:rStyle w:val="FootnoteReference"/>
        </w:rPr>
        <w:footnoteReference w:id="14835"/>
      </w:r>
      <w:r>
        <w:t xml:space="preserve"> had come, all the chief priests and elders of the people took counsel against Jesus to put him to death:</w:t>
      </w:r>
    </w:p>
    <w:p>
      <w:r>
        <w:rPr>
          <w:b/>
        </w:rPr>
        <w:t xml:space="preserve">2 </w:t>
      </w:r>
      <w:r>
        <w:t xml:space="preserve">And when they had bound</w:t>
      </w:r>
      <w:r>
        <w:rPr>
          <w:rStyle w:val="FootnoteReference"/>
        </w:rPr>
        <w:footnoteReference w:id="14836"/>
      </w:r>
      <w:r>
        <w:t xml:space="preserve"> him, they led him away, and delivered him to Pontius</w:t>
      </w:r>
      <w:r>
        <w:rPr>
          <w:rStyle w:val="FootnoteReference"/>
        </w:rPr>
        <w:footnoteReference w:id="14837"/>
      </w:r>
      <w:r>
        <w:t xml:space="preserve"> Pilate</w:t>
      </w:r>
      <w:r>
        <w:rPr>
          <w:rStyle w:val="FootnoteReference"/>
        </w:rPr>
        <w:footnoteReference w:id="14838"/>
      </w:r>
      <w:r>
        <w:t xml:space="preserve"> the governor.</w:t>
      </w:r>
    </w:p>
    <w:p>
      <w:r>
        <w:rPr>
          <w:b/>
        </w:rPr>
        <w:t xml:space="preserve">3 </w:t>
      </w:r>
      <w:r>
        <w:t xml:space="preserve">Then Judas</w:t>
      </w:r>
      <w:r>
        <w:rPr>
          <w:rStyle w:val="FootnoteReference"/>
        </w:rPr>
        <w:footnoteReference w:id="14839"/>
      </w:r>
      <w:r>
        <w:t xml:space="preserve">, who had betrayed him, when he saw that he was condemned, repented himself, and brought again the thirty pieces of silver to the chief priests and elders,</w:t>
      </w:r>
    </w:p>
    <w:p>
      <w:r>
        <w:rPr>
          <w:b/>
        </w:rPr>
        <w:t xml:space="preserve">4 </w:t>
      </w:r>
      <w:r>
        <w:t xml:space="preserve">Saying, I have sinned</w:t>
      </w:r>
      <w:r>
        <w:rPr>
          <w:rStyle w:val="FootnoteReference"/>
        </w:rPr>
        <w:footnoteReference w:id="14840"/>
      </w:r>
      <w:r>
        <w:t xml:space="preserve"> in that I have betrayed innocent blood. And they said, What is that to us? see to that yourself.</w:t>
      </w:r>
    </w:p>
    <w:p>
      <w:r>
        <w:rPr>
          <w:b/>
        </w:rPr>
        <w:t xml:space="preserve">5 </w:t>
      </w:r>
      <w:r>
        <w:t xml:space="preserve">And he cast down the pieces of silver in the temple, and departed</w:t>
      </w:r>
      <w:r>
        <w:rPr>
          <w:rStyle w:val="FootnoteReference"/>
        </w:rPr>
        <w:footnoteReference w:id="14841"/>
      </w:r>
      <w:r>
        <w:t xml:space="preserve">, and went and hanged himself.</w:t>
      </w:r>
    </w:p>
    <w:p>
      <w:r>
        <w:rPr>
          <w:b/>
        </w:rPr>
        <w:t xml:space="preserve">6 </w:t>
      </w:r>
      <w:r>
        <w:t xml:space="preserve">And the chief priests took the silver pieces, and said, It is not</w:t>
      </w:r>
      <w:r>
        <w:rPr>
          <w:rStyle w:val="FootnoteReference"/>
        </w:rPr>
        <w:footnoteReference w:id="14842"/>
      </w:r>
      <w:r>
        <w:t xml:space="preserve"> lawful to put them into the treasury, because it is the price of blood.</w:t>
      </w:r>
    </w:p>
    <w:p>
      <w:r>
        <w:rPr>
          <w:b/>
        </w:rPr>
        <w:t xml:space="preserve">7 </w:t>
      </w:r>
      <w:r>
        <w:t xml:space="preserve">And they took counsel, and bought with them the potter's field, in which to bury strangers.</w:t>
      </w:r>
    </w:p>
    <w:p>
      <w:r>
        <w:rPr>
          <w:b/>
        </w:rPr>
        <w:t xml:space="preserve">8 </w:t>
      </w:r>
      <w:r>
        <w:t xml:space="preserve">Therefore that field was called, The field of blood, to this day.</w:t>
      </w:r>
    </w:p>
    <w:p>
      <w:r>
        <w:rPr>
          <w:b/>
        </w:rPr>
        <w:t xml:space="preserve">9 </w:t>
      </w:r>
      <w:r>
        <w:t xml:space="preserve">Then was fulfilled that which was spoken by Jeremiah the prophet, saying, And they took the thirty</w:t>
      </w:r>
      <w:r>
        <w:rPr>
          <w:rStyle w:val="FootnoteReference"/>
        </w:rPr>
        <w:footnoteReference w:id="14843"/>
      </w:r>
      <w:r>
        <w:t xml:space="preserve"> pieces of silver, the price of him who was valued, whom they of the children of Israel valued;</w:t>
      </w:r>
    </w:p>
    <w:p>
      <w:r>
        <w:rPr>
          <w:b/>
        </w:rPr>
        <w:t xml:space="preserve">10 </w:t>
      </w:r>
      <w:r>
        <w:t xml:space="preserve">And gave them for the potter's field, as the Lord appointed me.</w:t>
      </w:r>
    </w:p>
    <w:p>
      <w:r>
        <w:rPr>
          <w:b/>
        </w:rPr>
        <w:t xml:space="preserve">11 </w:t>
      </w:r>
      <w:r>
        <w:t xml:space="preserve">And Jesus stood</w:t>
      </w:r>
      <w:r>
        <w:rPr>
          <w:rStyle w:val="FootnoteReference"/>
        </w:rPr>
        <w:footnoteReference w:id="14844"/>
      </w:r>
      <w:r>
        <w:t xml:space="preserve"> before the governor: and the governor asked him, saying, Are you the King of the Jews? And Jesus said to him, You say.</w:t>
      </w:r>
    </w:p>
    <w:p>
      <w:r>
        <w:rPr>
          <w:b/>
        </w:rPr>
        <w:t xml:space="preserve">12 </w:t>
      </w:r>
      <w:r>
        <w:t xml:space="preserve">And when he was accused of the chief priests and elders, he answered nothing.</w:t>
      </w:r>
    </w:p>
    <w:p>
      <w:r>
        <w:rPr>
          <w:b/>
        </w:rPr>
        <w:t xml:space="preserve">13 </w:t>
      </w:r>
      <w:r>
        <w:t xml:space="preserve">Then Pilate said to him, Do you not hear how many things they witness against you?</w:t>
      </w:r>
    </w:p>
    <w:p>
      <w:r>
        <w:rPr>
          <w:b/>
        </w:rPr>
        <w:t xml:space="preserve">14 </w:t>
      </w:r>
      <w:r>
        <w:t xml:space="preserve">And he answered him not one word; so that the governor marveled greatly.</w:t>
      </w:r>
    </w:p>
    <w:p>
      <w:r>
        <w:rPr>
          <w:b/>
        </w:rPr>
        <w:t xml:space="preserve">15 </w:t>
      </w:r>
      <w:r>
        <w:t xml:space="preserve">Now at that feast the governor was known to release to the people a prisoner, whom they wanted.</w:t>
      </w:r>
    </w:p>
    <w:p>
      <w:r>
        <w:rPr>
          <w:b/>
        </w:rPr>
        <w:t xml:space="preserve">16 </w:t>
      </w:r>
      <w:r>
        <w:t xml:space="preserve">And they had then a notable prisoner, called Barabbas</w:t>
      </w:r>
      <w:r>
        <w:rPr>
          <w:rStyle w:val="FootnoteReference"/>
        </w:rPr>
        <w:footnoteReference w:id="14845"/>
      </w:r>
      <w:r>
        <w:t xml:space="preserve">.</w:t>
      </w:r>
    </w:p>
    <w:p>
      <w:r>
        <w:rPr>
          <w:b/>
        </w:rPr>
        <w:t xml:space="preserve">17 </w:t>
      </w:r>
      <w:r>
        <w:t xml:space="preserve">Therefore when they were gathered together, Pilate said to them, Whom do you want me to release to you? Barabbas, or Jesus who is called Christ?</w:t>
      </w:r>
    </w:p>
    <w:p>
      <w:r>
        <w:rPr>
          <w:b/>
        </w:rPr>
        <w:t xml:space="preserve">18 </w:t>
      </w:r>
      <w:r>
        <w:t xml:space="preserve">For he knew that for envy</w:t>
      </w:r>
      <w:r>
        <w:rPr>
          <w:rStyle w:val="FootnoteReference"/>
        </w:rPr>
        <w:footnoteReference w:id="14846"/>
      </w:r>
      <w:r>
        <w:t xml:space="preserve"> they had delivered him.</w:t>
      </w:r>
    </w:p>
    <w:p>
      <w:r>
        <w:rPr>
          <w:b/>
        </w:rPr>
        <w:t xml:space="preserve">19 </w:t>
      </w:r>
      <w:r>
        <w:t xml:space="preserve">When he was sitting on the judgment seat, his wife sent to him, saying, Have you nothing to do with that righteous man: for I have suffered many things this day in a dream because of him.</w:t>
      </w:r>
    </w:p>
    <w:p>
      <w:r>
        <w:rPr>
          <w:b/>
        </w:rPr>
        <w:t xml:space="preserve">20 </w:t>
      </w:r>
      <w:r>
        <w:t xml:space="preserve">But the chief priests and elders persuaded</w:t>
      </w:r>
      <w:r>
        <w:rPr>
          <w:rStyle w:val="FootnoteReference"/>
        </w:rPr>
        <w:footnoteReference w:id="14847"/>
      </w:r>
      <w:r>
        <w:t xml:space="preserve"> the crowd that they should ask Barabbas, and destroy Jesus.</w:t>
      </w:r>
    </w:p>
    <w:p>
      <w:r>
        <w:rPr>
          <w:b/>
        </w:rPr>
        <w:t xml:space="preserve">21 </w:t>
      </w:r>
      <w:r>
        <w:t xml:space="preserve">The governor answered and said to them, Which of the two do you want me to release to you? They said, Barabbas.</w:t>
      </w:r>
    </w:p>
    <w:p>
      <w:r>
        <w:rPr>
          <w:b/>
        </w:rPr>
        <w:t xml:space="preserve">22 </w:t>
      </w:r>
      <w:r>
        <w:t xml:space="preserve">Pilate says to them, What shall I do then with Jesus who is called Christ? They all say to him, Let him be crucified.</w:t>
      </w:r>
    </w:p>
    <w:p>
      <w:r>
        <w:rPr>
          <w:b/>
        </w:rPr>
        <w:t xml:space="preserve">23 </w:t>
      </w:r>
      <w:r>
        <w:t xml:space="preserve">And the governor said, Why, what evil has he done? But they cried out the more, saying, Let him be crucified.</w:t>
      </w:r>
    </w:p>
    <w:p>
      <w:r>
        <w:rPr>
          <w:b/>
        </w:rPr>
        <w:t xml:space="preserve">24 </w:t>
      </w:r>
      <w:r>
        <w:t xml:space="preserve">When Pilate saw that he was accomplishing nothing, but that rather a tumult was arising, he took water, and washed</w:t>
      </w:r>
      <w:r>
        <w:rPr>
          <w:rStyle w:val="FootnoteReference"/>
        </w:rPr>
        <w:footnoteReference w:id="14848"/>
      </w:r>
      <w:r>
        <w:t xml:space="preserve"> his hands before the crowd, saying, I am innocent of the blood of this just person: see to it yourselves.</w:t>
      </w:r>
    </w:p>
    <w:p>
      <w:r>
        <w:rPr>
          <w:b/>
        </w:rPr>
        <w:t xml:space="preserve">25 </w:t>
      </w:r>
      <w:r>
        <w:t xml:space="preserve">Then answered all the people, and said, His blood be on us, and on our children.</w:t>
      </w:r>
    </w:p>
    <w:p>
      <w:r>
        <w:rPr>
          <w:b/>
        </w:rPr>
        <w:t xml:space="preserve">26 </w:t>
      </w:r>
      <w:r>
        <w:t xml:space="preserve">Then he released</w:t>
      </w:r>
      <w:r>
        <w:rPr>
          <w:rStyle w:val="FootnoteReference"/>
        </w:rPr>
        <w:footnoteReference w:id="14849"/>
      </w:r>
      <w:r>
        <w:t xml:space="preserve"> Barabbas to them: and when he had scourged Jesus, he delivered him to be crucified.</w:t>
      </w:r>
    </w:p>
    <w:p>
      <w:r>
        <w:rPr>
          <w:b/>
        </w:rPr>
        <w:t xml:space="preserve">27 </w:t>
      </w:r>
      <w:r>
        <w:t xml:space="preserve">Then the soldiers of the governor took Jesus into the common hall</w:t>
      </w:r>
      <w:r>
        <w:rPr>
          <w:rStyle w:val="FootnoteReference"/>
        </w:rPr>
        <w:footnoteReference w:id="14850"/>
      </w:r>
      <w:r>
        <w:t xml:space="preserve">, and gathered to him the whole band of soldiers.</w:t>
      </w:r>
    </w:p>
    <w:p>
      <w:r>
        <w:rPr>
          <w:b/>
        </w:rPr>
        <w:t xml:space="preserve">28 </w:t>
      </w:r>
      <w:r>
        <w:t xml:space="preserve">And they stripped</w:t>
      </w:r>
      <w:r>
        <w:rPr>
          <w:rStyle w:val="FootnoteReference"/>
        </w:rPr>
        <w:footnoteReference w:id="14851"/>
      </w:r>
      <w:r>
        <w:t xml:space="preserve"> him, and put on him a scarlet robe.</w:t>
      </w:r>
    </w:p>
    <w:p>
      <w:r>
        <w:rPr>
          <w:b/>
        </w:rPr>
        <w:t xml:space="preserve">29 </w:t>
      </w:r>
      <w:r>
        <w:t xml:space="preserve">And when they had intertwined a crown of thorns, they put it upon his head, and a reed in his right hand: and they bowed the knee before him, and mocked him, saying, Hail</w:t>
      </w:r>
      <w:r>
        <w:rPr>
          <w:rStyle w:val="FootnoteReference"/>
        </w:rPr>
        <w:footnoteReference w:id="14852"/>
      </w:r>
      <w:r>
        <w:t xml:space="preserve">, King of the Jews!</w:t>
      </w:r>
    </w:p>
    <w:p>
      <w:r>
        <w:rPr>
          <w:b/>
        </w:rPr>
        <w:t xml:space="preserve">30 </w:t>
      </w:r>
      <w:r>
        <w:t xml:space="preserve">And they spit upon him, and took the reed, and struck him on the head.</w:t>
      </w:r>
    </w:p>
    <w:p>
      <w:r>
        <w:rPr>
          <w:b/>
        </w:rPr>
        <w:t xml:space="preserve">31 </w:t>
      </w:r>
      <w:r>
        <w:t xml:space="preserve">And after that they had mocked him, they took the robe off from him, and put his own clothing on him, and led</w:t>
      </w:r>
      <w:r>
        <w:rPr>
          <w:rStyle w:val="FootnoteReference"/>
        </w:rPr>
        <w:footnoteReference w:id="14853"/>
      </w:r>
      <w:r>
        <w:t xml:space="preserve"> him away to crucify him.</w:t>
      </w:r>
    </w:p>
    <w:p>
      <w:r>
        <w:rPr>
          <w:b/>
        </w:rPr>
        <w:t xml:space="preserve">32 </w:t>
      </w:r>
      <w:r>
        <w:t xml:space="preserve">And as they came out, they found</w:t>
      </w:r>
      <w:r>
        <w:rPr>
          <w:rStyle w:val="FootnoteReference"/>
        </w:rPr>
        <w:footnoteReference w:id="14854"/>
      </w:r>
      <w:r>
        <w:t xml:space="preserve"> a man of Cyrene</w:t>
      </w:r>
      <w:r>
        <w:rPr>
          <w:rStyle w:val="FootnoteReference"/>
        </w:rPr>
        <w:footnoteReference w:id="14855"/>
      </w:r>
      <w:r>
        <w:t xml:space="preserve">, Simon by name: they compelled him to bear his cross.</w:t>
      </w:r>
    </w:p>
    <w:p>
      <w:r>
        <w:rPr>
          <w:b/>
        </w:rPr>
        <w:t xml:space="preserve">33 </w:t>
      </w:r>
      <w:r>
        <w:t xml:space="preserve">And when they had come to a place called Golgotha</w:t>
      </w:r>
      <w:r>
        <w:rPr>
          <w:rStyle w:val="FootnoteReference"/>
        </w:rPr>
        <w:footnoteReference w:id="14856"/>
      </w:r>
      <w:r>
        <w:t xml:space="preserve">, that is to say, a place of a skull,</w:t>
      </w:r>
      <w:r>
        <w:rPr>
          <w:rStyle w:val="FootnoteReference"/>
        </w:rPr>
        <w:footnoteReference w:id="14857"/>
      </w:r>
    </w:p>
    <w:p>
      <w:r>
        <w:rPr>
          <w:b/>
        </w:rPr>
        <w:t xml:space="preserve">34 </w:t>
      </w:r>
      <w:r>
        <w:t xml:space="preserve">They gave</w:t>
      </w:r>
      <w:r>
        <w:rPr>
          <w:rStyle w:val="FootnoteReference"/>
        </w:rPr>
        <w:footnoteReference w:id="14858"/>
      </w:r>
      <w:r>
        <w:t xml:space="preserve"> him vinegar to drink mingled with gall: and when he had tasted it, he would not drink.</w:t>
      </w:r>
    </w:p>
    <w:p>
      <w:r>
        <w:rPr>
          <w:b/>
        </w:rPr>
        <w:t xml:space="preserve">35 </w:t>
      </w:r>
      <w:r>
        <w:t xml:space="preserve">And they crucified</w:t>
      </w:r>
      <w:r>
        <w:rPr>
          <w:rStyle w:val="FootnoteReference"/>
        </w:rPr>
        <w:footnoteReference w:id="14859"/>
      </w:r>
      <w:r>
        <w:t xml:space="preserve"> him, and parted his clothes, casting lots: that it might be fulfilled which was spoken by the prophet, They parted my clothes among them, and upon my vesture did they cast lots.</w:t>
      </w:r>
    </w:p>
    <w:p>
      <w:r>
        <w:rPr>
          <w:b/>
        </w:rPr>
        <w:t xml:space="preserve">36 </w:t>
      </w:r>
      <w:r>
        <w:t xml:space="preserve">And sitting down they watched him there;</w:t>
      </w:r>
    </w:p>
    <w:p>
      <w:r>
        <w:rPr>
          <w:b/>
        </w:rPr>
        <w:t xml:space="preserve">37 </w:t>
      </w:r>
      <w:r>
        <w:t xml:space="preserve">And set up over his head his accusation</w:t>
      </w:r>
      <w:r>
        <w:rPr>
          <w:rStyle w:val="FootnoteReference"/>
        </w:rPr>
        <w:footnoteReference w:id="14860"/>
      </w:r>
      <w:r>
        <w:t xml:space="preserve"> written, THIS IS JESUS THE KING OF THE JEWS.</w:t>
      </w:r>
    </w:p>
    <w:p>
      <w:r>
        <w:rPr>
          <w:b/>
        </w:rPr>
        <w:t xml:space="preserve">38 </w:t>
      </w:r>
      <w:r>
        <w:t xml:space="preserve">Then there were two thieves crucified with him, one on the right hand, and another on the left.</w:t>
      </w:r>
    </w:p>
    <w:p>
      <w:r>
        <w:rPr>
          <w:b/>
        </w:rPr>
        <w:t xml:space="preserve">39 </w:t>
      </w:r>
      <w:r>
        <w:t xml:space="preserve">And those who passed by reviled</w:t>
      </w:r>
      <w:r>
        <w:rPr>
          <w:rStyle w:val="FootnoteReference"/>
        </w:rPr>
        <w:footnoteReference w:id="14861"/>
      </w:r>
      <w:r>
        <w:t xml:space="preserve"> him, wagging their heads,</w:t>
      </w:r>
    </w:p>
    <w:p>
      <w:r>
        <w:rPr>
          <w:b/>
        </w:rPr>
        <w:t xml:space="preserve">40 </w:t>
      </w:r>
      <w:r>
        <w:t xml:space="preserve">And saying</w:t>
      </w:r>
      <w:r>
        <w:rPr>
          <w:rStyle w:val="FootnoteReference"/>
        </w:rPr>
        <w:footnoteReference w:id="14862"/>
      </w:r>
      <w:r>
        <w:t xml:space="preserve">, You who destroy the temple, and build it in three days, save yourself. If you are the Son of God, come down from the cross.</w:t>
      </w:r>
    </w:p>
    <w:p>
      <w:r>
        <w:rPr>
          <w:b/>
        </w:rPr>
        <w:t xml:space="preserve">41 </w:t>
      </w:r>
      <w:r>
        <w:t xml:space="preserve">Likewise also the chief priests mocking him, with the scribes and elders, said,</w:t>
      </w:r>
    </w:p>
    <w:p>
      <w:r>
        <w:rPr>
          <w:b/>
        </w:rPr>
        <w:t xml:space="preserve">42 </w:t>
      </w:r>
      <w:r>
        <w:t xml:space="preserve">He saved</w:t>
      </w:r>
      <w:r>
        <w:rPr>
          <w:rStyle w:val="FootnoteReference"/>
        </w:rPr>
        <w:footnoteReference w:id="14863"/>
      </w:r>
      <w:r>
        <w:t xml:space="preserve"> others; himself he cannot save. if he is the King of Israel, let him now come down from the cross, and we will believe him.</w:t>
      </w:r>
    </w:p>
    <w:p>
      <w:r>
        <w:rPr>
          <w:b/>
        </w:rPr>
        <w:t xml:space="preserve">43 </w:t>
      </w:r>
      <w:r>
        <w:t xml:space="preserve">He trusted</w:t>
      </w:r>
      <w:r>
        <w:rPr>
          <w:rStyle w:val="FootnoteReference"/>
        </w:rPr>
        <w:footnoteReference w:id="14864"/>
      </w:r>
      <w:r>
        <w:t xml:space="preserve"> in God; let him deliver him now, if he will have him: for he said, I am the Son of God.</w:t>
      </w:r>
    </w:p>
    <w:p>
      <w:r>
        <w:rPr>
          <w:b/>
        </w:rPr>
        <w:t xml:space="preserve">44 </w:t>
      </w:r>
      <w:r>
        <w:t xml:space="preserve">The thieves also, who were crucified with him, reviled him in the same way.</w:t>
      </w:r>
    </w:p>
    <w:p>
      <w:r>
        <w:rPr>
          <w:b/>
        </w:rPr>
        <w:t xml:space="preserve">45 </w:t>
      </w:r>
      <w:r>
        <w:t xml:space="preserve">Now from the sixth hour there was darkness</w:t>
      </w:r>
      <w:r>
        <w:rPr>
          <w:rStyle w:val="FootnoteReference"/>
        </w:rPr>
        <w:footnoteReference w:id="14865"/>
      </w:r>
      <w:r>
        <w:t xml:space="preserve"> over all the land to the ninth hour.</w:t>
      </w:r>
    </w:p>
    <w:p>
      <w:r>
        <w:rPr>
          <w:b/>
        </w:rPr>
        <w:t xml:space="preserve">46 </w:t>
      </w:r>
      <w:r>
        <w:t xml:space="preserve">And about the ninth hour Jesus</w:t>
      </w:r>
      <w:r>
        <w:rPr>
          <w:rStyle w:val="FootnoteReference"/>
        </w:rPr>
        <w:footnoteReference w:id="14866"/>
      </w:r>
      <w:r>
        <w:t xml:space="preserve"> cried with a loud voice, saying, Eli</w:t>
      </w:r>
      <w:r>
        <w:rPr>
          <w:rStyle w:val="FootnoteReference"/>
        </w:rPr>
        <w:footnoteReference w:id="14867"/>
      </w:r>
      <w:r>
        <w:t xml:space="preserve">, Eli, lama sabachthani? that is to say, My God, my God, why have you forsaken me?</w:t>
      </w:r>
    </w:p>
    <w:p>
      <w:r>
        <w:rPr>
          <w:b/>
        </w:rPr>
        <w:t xml:space="preserve">47 </w:t>
      </w:r>
      <w:r>
        <w:t xml:space="preserve">Some of those who stood there, when they heard that, said, This man calls for Elijah.</w:t>
      </w:r>
    </w:p>
    <w:p>
      <w:r>
        <w:rPr>
          <w:b/>
        </w:rPr>
        <w:t xml:space="preserve">48 </w:t>
      </w:r>
      <w:r>
        <w:t xml:space="preserve">And immediately one of them ran, and took a sponge, and filled</w:t>
      </w:r>
      <w:r>
        <w:rPr>
          <w:rStyle w:val="FootnoteReference"/>
        </w:rPr>
        <w:footnoteReference w:id="14868"/>
      </w:r>
      <w:r>
        <w:t xml:space="preserve"> it with vinegar, and put it on a reed, and gave him to drink.</w:t>
      </w:r>
    </w:p>
    <w:p>
      <w:r>
        <w:rPr>
          <w:b/>
        </w:rPr>
        <w:t xml:space="preserve">49 </w:t>
      </w:r>
      <w:r>
        <w:t xml:space="preserve">The rest said, Let him be, let us</w:t>
      </w:r>
      <w:r>
        <w:rPr>
          <w:rStyle w:val="FootnoteReference"/>
        </w:rPr>
        <w:footnoteReference w:id="14869"/>
      </w:r>
      <w:r>
        <w:t xml:space="preserve"> see whether Elijah will come to save him.</w:t>
      </w:r>
    </w:p>
    <w:p>
      <w:r>
        <w:rPr>
          <w:b/>
        </w:rPr>
        <w:t xml:space="preserve">50 </w:t>
      </w:r>
      <w:r>
        <w:t xml:space="preserve">Jesus, when he had cried again with a loud voice, yielded</w:t>
      </w:r>
      <w:r>
        <w:rPr>
          <w:rStyle w:val="FootnoteReference"/>
        </w:rPr>
        <w:footnoteReference w:id="14870"/>
      </w:r>
      <w:r>
        <w:t xml:space="preserve"> up the spirit.</w:t>
      </w:r>
    </w:p>
    <w:p>
      <w:r>
        <w:rPr>
          <w:b/>
        </w:rPr>
        <w:t xml:space="preserve">51 </w:t>
      </w:r>
      <w:r>
        <w:t xml:space="preserve">And, look, the veil</w:t>
      </w:r>
      <w:r>
        <w:rPr>
          <w:rStyle w:val="FootnoteReference"/>
        </w:rPr>
        <w:footnoteReference w:id="14871"/>
      </w:r>
      <w:r>
        <w:t xml:space="preserve"> of the temple was torn in two from the top to the bottom; and the earth quaked, and the rocks were split;</w:t>
      </w:r>
    </w:p>
    <w:p>
      <w:r>
        <w:rPr>
          <w:b/>
        </w:rPr>
        <w:t xml:space="preserve">52 </w:t>
      </w:r>
      <w:r>
        <w:t xml:space="preserve">And the graves were opened; and many bodies of the holy ones who slept</w:t>
      </w:r>
      <w:r>
        <w:rPr>
          <w:rStyle w:val="FootnoteReference"/>
        </w:rPr>
        <w:footnoteReference w:id="14872"/>
      </w:r>
      <w:r>
        <w:t xml:space="preserve"> arose,</w:t>
      </w:r>
    </w:p>
    <w:p>
      <w:r>
        <w:rPr>
          <w:b/>
        </w:rPr>
        <w:t xml:space="preserve">53 </w:t>
      </w:r>
      <w:r>
        <w:t xml:space="preserve">And they came out of the graves after his resurrection, and went into the holy</w:t>
      </w:r>
      <w:r>
        <w:rPr>
          <w:rStyle w:val="FootnoteReference"/>
        </w:rPr>
        <w:footnoteReference w:id="14873"/>
      </w:r>
      <w:r>
        <w:t xml:space="preserve"> city, and appeared to many.</w:t>
      </w:r>
    </w:p>
    <w:p>
      <w:r>
        <w:rPr>
          <w:b/>
        </w:rPr>
        <w:t xml:space="preserve">54 </w:t>
      </w:r>
      <w:r>
        <w:t xml:space="preserve">Now when the centurion</w:t>
      </w:r>
      <w:r>
        <w:rPr>
          <w:rStyle w:val="FootnoteReference"/>
        </w:rPr>
        <w:footnoteReference w:id="14874"/>
      </w:r>
      <w:r>
        <w:t xml:space="preserve">, and those who were with him, watching Jesus, saw the earthquake, and those things that were done, they feared greatly, saying, Truly this was the Son of God.</w:t>
      </w:r>
    </w:p>
    <w:p>
      <w:r>
        <w:rPr>
          <w:b/>
        </w:rPr>
        <w:t xml:space="preserve">55 </w:t>
      </w:r>
      <w:r>
        <w:t xml:space="preserve">And many women were there beholding far off, who followed Jesus from Galilee, ministering</w:t>
      </w:r>
      <w:r>
        <w:rPr>
          <w:rStyle w:val="FootnoteReference"/>
        </w:rPr>
        <w:footnoteReference w:id="14875"/>
      </w:r>
      <w:r>
        <w:t xml:space="preserve"> to him:</w:t>
      </w:r>
    </w:p>
    <w:p>
      <w:r>
        <w:rPr>
          <w:b/>
        </w:rPr>
        <w:t xml:space="preserve">56 </w:t>
      </w:r>
      <w:r>
        <w:t xml:space="preserve">Among whom was Mary Magdalene</w:t>
      </w:r>
      <w:r>
        <w:rPr>
          <w:rStyle w:val="FootnoteReference"/>
        </w:rPr>
        <w:footnoteReference w:id="14876"/>
      </w:r>
      <w:r>
        <w:t xml:space="preserve">, and Mary the mother of James and Joses, and the mother of Zebedee's sons.</w:t>
      </w:r>
      <w:r>
        <w:rPr>
          <w:rStyle w:val="FootnoteReference"/>
        </w:rPr>
        <w:footnoteReference w:id="14877"/>
      </w:r>
      <w:r>
        <w:rPr>
          <w:rStyle w:val="FootnoteReference"/>
        </w:rPr>
        <w:footnoteReference w:id="14878"/>
      </w:r>
    </w:p>
    <w:p>
      <w:r>
        <w:rPr>
          <w:b/>
        </w:rPr>
        <w:t xml:space="preserve">57 </w:t>
      </w:r>
      <w:r>
        <w:t xml:space="preserve">When evening had come, there came a rich man of Arimathea</w:t>
      </w:r>
      <w:r>
        <w:rPr>
          <w:rStyle w:val="FootnoteReference"/>
        </w:rPr>
        <w:footnoteReference w:id="14879"/>
      </w:r>
      <w:r>
        <w:t xml:space="preserve">, named Joseph, who also himself was Jesus' disciple:</w:t>
      </w:r>
    </w:p>
    <w:p>
      <w:r>
        <w:rPr>
          <w:b/>
        </w:rPr>
        <w:t xml:space="preserve">58 </w:t>
      </w:r>
      <w:r>
        <w:t xml:space="preserve">He went to Pilate, and begged the body of Jesus. Then Pilate commanded the body to be delivered.</w:t>
      </w:r>
    </w:p>
    <w:p>
      <w:r>
        <w:rPr>
          <w:b/>
        </w:rPr>
        <w:t xml:space="preserve">59 </w:t>
      </w:r>
      <w:r>
        <w:t xml:space="preserve">And when Joseph had taken the body, he wrapped it in a clean linen cloth,</w:t>
      </w:r>
    </w:p>
    <w:p>
      <w:r>
        <w:rPr>
          <w:b/>
        </w:rPr>
        <w:t xml:space="preserve">60 </w:t>
      </w:r>
      <w:r>
        <w:t xml:space="preserve">And laid it in his</w:t>
      </w:r>
      <w:r>
        <w:rPr>
          <w:rStyle w:val="FootnoteReference"/>
        </w:rPr>
        <w:footnoteReference w:id="14880"/>
      </w:r>
      <w:r>
        <w:t xml:space="preserve"> own new tomb, which he had cut out in the rock: and he rolled a great stone to the door of the tomb, and departed.</w:t>
      </w:r>
    </w:p>
    <w:p>
      <w:r>
        <w:rPr>
          <w:b/>
        </w:rPr>
        <w:t xml:space="preserve">61 </w:t>
      </w:r>
      <w:r>
        <w:t xml:space="preserve">And there was Mary Magdalene</w:t>
      </w:r>
      <w:r>
        <w:rPr>
          <w:rStyle w:val="FootnoteReference"/>
        </w:rPr>
        <w:footnoteReference w:id="14881"/>
      </w:r>
      <w:r>
        <w:t xml:space="preserve">, and the other Mary, sitting opposite to the tomb.</w:t>
      </w:r>
    </w:p>
    <w:p>
      <w:r>
        <w:rPr>
          <w:b/>
        </w:rPr>
        <w:t xml:space="preserve">62 </w:t>
      </w:r>
      <w:r>
        <w:t xml:space="preserve">Now the next day, which followed the day of preparation, the chief priests</w:t>
      </w:r>
      <w:r>
        <w:rPr>
          <w:rStyle w:val="FootnoteReference"/>
        </w:rPr>
        <w:footnoteReference w:id="14882"/>
      </w:r>
      <w:r>
        <w:t xml:space="preserve"> and Pharisees came together to Pilate,</w:t>
      </w:r>
    </w:p>
    <w:p>
      <w:r>
        <w:rPr>
          <w:b/>
        </w:rPr>
        <w:t xml:space="preserve">63 </w:t>
      </w:r>
      <w:r>
        <w:t xml:space="preserve">Saying, Sir, we remember that this deceiver said, while he was yet alive, After three days I will rise again.</w:t>
      </w:r>
    </w:p>
    <w:p>
      <w:r>
        <w:rPr>
          <w:b/>
        </w:rPr>
        <w:t xml:space="preserve">64 </w:t>
      </w:r>
      <w:r>
        <w:t xml:space="preserve">Command therefore that the tomb be secured until the third day, lest his disciples come by night, and steal</w:t>
      </w:r>
      <w:r>
        <w:rPr>
          <w:rStyle w:val="FootnoteReference"/>
        </w:rPr>
        <w:footnoteReference w:id="14883"/>
      </w:r>
      <w:r>
        <w:t xml:space="preserve"> him away, and say to the people, He has risen from the dead: so the last deception shall be worse than the first.</w:t>
      </w:r>
    </w:p>
    <w:p>
      <w:r>
        <w:rPr>
          <w:b/>
        </w:rPr>
        <w:t xml:space="preserve">65 </w:t>
      </w:r>
      <w:r>
        <w:t xml:space="preserve">Pilate said to them, You have a guard: go your way, make</w:t>
      </w:r>
      <w:r>
        <w:rPr>
          <w:rStyle w:val="FootnoteReference"/>
        </w:rPr>
        <w:footnoteReference w:id="14884"/>
      </w:r>
      <w:r>
        <w:t xml:space="preserve"> it as secure as you can.</w:t>
      </w:r>
    </w:p>
    <w:p>
      <w:r>
        <w:rPr>
          <w:b/>
        </w:rPr>
        <w:t xml:space="preserve">66 </w:t>
      </w:r>
      <w:r>
        <w:t xml:space="preserve">So they went, and secured the tomb, sealing</w:t>
      </w:r>
      <w:r>
        <w:rPr>
          <w:rStyle w:val="FootnoteReference"/>
        </w:rPr>
        <w:footnoteReference w:id="14885"/>
      </w:r>
      <w:r>
        <w:t xml:space="preserve"> the stone, and setting a guard.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After the Sabbath, as it began to dawn toward the first day of the week, Mary Magdalene</w:t>
      </w:r>
      <w:r>
        <w:rPr>
          <w:rStyle w:val="FootnoteReference"/>
        </w:rPr>
        <w:footnoteReference w:id="14886"/>
      </w:r>
      <w:r>
        <w:t xml:space="preserve"> and the other Mary came to see the tomb.</w:t>
      </w:r>
    </w:p>
    <w:p>
      <w:r>
        <w:rPr>
          <w:b/>
        </w:rPr>
        <w:t xml:space="preserve">2 </w:t>
      </w:r>
      <w:r>
        <w:t xml:space="preserve">And, look, there was a great earthquake: for the angel of the Lord descended from heaven, and came and rolled back the stone from the door, and sat upon it.</w:t>
      </w:r>
    </w:p>
    <w:p>
      <w:r>
        <w:rPr>
          <w:b/>
        </w:rPr>
        <w:t xml:space="preserve">3 </w:t>
      </w:r>
      <w:r>
        <w:t xml:space="preserve">His countenance</w:t>
      </w:r>
      <w:r>
        <w:rPr>
          <w:rStyle w:val="FootnoteReference"/>
        </w:rPr>
        <w:footnoteReference w:id="14887"/>
      </w:r>
      <w:r>
        <w:t xml:space="preserve"> was like lightning, and his clothing white as snow:</w:t>
      </w:r>
    </w:p>
    <w:p>
      <w:r>
        <w:rPr>
          <w:b/>
        </w:rPr>
        <w:t xml:space="preserve">4 </w:t>
      </w:r>
      <w:r>
        <w:t xml:space="preserve">And for fear of him the guards shook, and became as dead men.</w:t>
      </w:r>
    </w:p>
    <w:p>
      <w:r>
        <w:rPr>
          <w:b/>
        </w:rPr>
        <w:t xml:space="preserve">5 </w:t>
      </w:r>
      <w:r>
        <w:t xml:space="preserve">And the angel answered and said to the women, Do not fear</w:t>
      </w:r>
      <w:r>
        <w:rPr>
          <w:rStyle w:val="FootnoteReference"/>
        </w:rPr>
        <w:footnoteReference w:id="14888"/>
      </w:r>
      <w:r>
        <w:t xml:space="preserve">: for I know that you seek Jesus, who was crucified.</w:t>
      </w:r>
    </w:p>
    <w:p>
      <w:r>
        <w:rPr>
          <w:b/>
        </w:rPr>
        <w:t xml:space="preserve">6 </w:t>
      </w:r>
      <w:r>
        <w:t xml:space="preserve">He is not here: for he has risen, as he said. Come, see the place where the Lord lay.</w:t>
      </w:r>
    </w:p>
    <w:p>
      <w:r>
        <w:rPr>
          <w:b/>
        </w:rPr>
        <w:t xml:space="preserve">7 </w:t>
      </w:r>
      <w:r>
        <w:t xml:space="preserve">And go quickly, and tell his disciples that he has risen from the dead; and, look, he goes before you into Galilee; there you shall see him: look, I have told you.</w:t>
      </w:r>
    </w:p>
    <w:p>
      <w:r>
        <w:rPr>
          <w:b/>
        </w:rPr>
        <w:t xml:space="preserve">8 </w:t>
      </w:r>
      <w:r>
        <w:t xml:space="preserve">And they departed quickly from the tomb with fear and great joy; and ran to bring word to his disciples.</w:t>
      </w:r>
    </w:p>
    <w:p>
      <w:r>
        <w:rPr>
          <w:b/>
        </w:rPr>
        <w:t xml:space="preserve">9 </w:t>
      </w:r>
      <w:r>
        <w:t xml:space="preserve">And as they went to tell his disciples, look, Jesus met them, saying, Greetings. And they came and held</w:t>
      </w:r>
      <w:r>
        <w:rPr>
          <w:rStyle w:val="FootnoteReference"/>
        </w:rPr>
        <w:footnoteReference w:id="14889"/>
      </w:r>
      <w:r>
        <w:t xml:space="preserve"> him by the feet, and worshiped him.</w:t>
      </w:r>
    </w:p>
    <w:p>
      <w:r>
        <w:rPr>
          <w:b/>
        </w:rPr>
        <w:t xml:space="preserve">10 </w:t>
      </w:r>
      <w:r>
        <w:t xml:space="preserve">Then Jesus said to them, Do not be afraid: go tell my brothers that they go into Galilee, and there they shall see me.</w:t>
      </w:r>
    </w:p>
    <w:p>
      <w:r>
        <w:rPr>
          <w:b/>
        </w:rPr>
        <w:t xml:space="preserve">11 </w:t>
      </w:r>
      <w:r>
        <w:t xml:space="preserve">Now when they were going, look, some of the guard came into the city, and reported to the chief priests all the things that were done.</w:t>
      </w:r>
    </w:p>
    <w:p>
      <w:r>
        <w:rPr>
          <w:b/>
        </w:rPr>
        <w:t xml:space="preserve">12 </w:t>
      </w:r>
      <w:r>
        <w:t xml:space="preserve">And when they were assembled with the elders, and had taken counsel, they gave a large sum of money to the soldiers,</w:t>
      </w:r>
    </w:p>
    <w:p>
      <w:r>
        <w:rPr>
          <w:b/>
        </w:rPr>
        <w:t xml:space="preserve">13 </w:t>
      </w:r>
      <w:r>
        <w:t xml:space="preserve">Saying, Say, His disciples came by night, and stole</w:t>
      </w:r>
      <w:r>
        <w:rPr>
          <w:rStyle w:val="FootnoteReference"/>
        </w:rPr>
        <w:footnoteReference w:id="14890"/>
      </w:r>
      <w:r>
        <w:t xml:space="preserve"> him away while we slept.</w:t>
      </w:r>
    </w:p>
    <w:p>
      <w:r>
        <w:rPr>
          <w:b/>
        </w:rPr>
        <w:t xml:space="preserve">14 </w:t>
      </w:r>
      <w:r>
        <w:t xml:space="preserve">And if this comes to the governor's ears, we will persuade him, and secure you.</w:t>
      </w:r>
    </w:p>
    <w:p>
      <w:r>
        <w:rPr>
          <w:b/>
        </w:rPr>
        <w:t xml:space="preserve">15 </w:t>
      </w:r>
      <w:r>
        <w:t xml:space="preserve">So they took</w:t>
      </w:r>
      <w:r>
        <w:rPr>
          <w:rStyle w:val="FootnoteReference"/>
        </w:rPr>
        <w:footnoteReference w:id="14891"/>
      </w:r>
      <w:r>
        <w:t xml:space="preserve"> the money, and did as they were taught: and this saying is commonly reported among the Jews until this day.</w:t>
      </w:r>
    </w:p>
    <w:p>
      <w:r>
        <w:rPr>
          <w:b/>
        </w:rPr>
        <w:t xml:space="preserve">16 </w:t>
      </w:r>
      <w:r>
        <w:t xml:space="preserve">Then the eleven</w:t>
      </w:r>
      <w:r>
        <w:rPr>
          <w:rStyle w:val="FootnoteReference"/>
        </w:rPr>
        <w:footnoteReference w:id="14892"/>
      </w:r>
      <w:r>
        <w:t xml:space="preserve"> disciples went away into Galilee, to a mountain where Jesus had appointed them.</w:t>
      </w:r>
    </w:p>
    <w:p>
      <w:r>
        <w:rPr>
          <w:b/>
        </w:rPr>
        <w:t xml:space="preserve">17 </w:t>
      </w:r>
      <w:r>
        <w:t xml:space="preserve">And when they saw him, they worshiped him: but some doubted.</w:t>
      </w:r>
    </w:p>
    <w:p>
      <w:r>
        <w:rPr>
          <w:b/>
        </w:rPr>
        <w:t xml:space="preserve">18 </w:t>
      </w:r>
      <w:r>
        <w:t xml:space="preserve">And Jesus came and spoke to them, saying, All authority is given to me in heaven and on earth.</w:t>
      </w:r>
    </w:p>
    <w:p>
      <w:r>
        <w:rPr>
          <w:b/>
        </w:rPr>
        <w:t xml:space="preserve">19 </w:t>
      </w:r>
      <w:r>
        <w:t xml:space="preserve">Go therefore, and make disciples of all nations, baptizing</w:t>
      </w:r>
      <w:r>
        <w:rPr>
          <w:rStyle w:val="FootnoteReference"/>
        </w:rPr>
        <w:footnoteReference w:id="14893"/>
      </w:r>
      <w:r>
        <w:t xml:space="preserve"> them in the name of the Father, and of the Son, and of the Holy Spirit:</w:t>
      </w:r>
    </w:p>
    <w:p>
      <w:r>
        <w:rPr>
          <w:b/>
        </w:rPr>
        <w:t xml:space="preserve">20 </w:t>
      </w:r>
      <w:r>
        <w:t xml:space="preserve">Teaching them</w:t>
      </w:r>
      <w:r>
        <w:rPr>
          <w:rStyle w:val="FootnoteReference"/>
        </w:rPr>
        <w:footnoteReference w:id="14894"/>
      </w:r>
      <w:r>
        <w:t xml:space="preserve"> to observe all things whatever I have commanded you: and, look, I am with you always, even to the completion of the age. Amen.</w:t>
      </w:r>
    </w:p>
    <w:p>
      <w:r>
        <w:br w:type="page"/>
      </w:r>
    </w:p>
    <w:p>
      <w:pPr>
        <w:pStyle w:val="Heading1"/>
      </w:pPr>
      <w:r>
        <w:t xml:space="preserve">Mark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Beginning of the good news</w:t>
      </w:r>
      <w:r>
        <w:rPr>
          <w:rStyle w:val="FootnoteReference"/>
        </w:rPr>
        <w:footnoteReference w:id="14895"/>
      </w:r>
      <w:r>
        <w:t xml:space="preserve"> of Jesus Christ</w:t>
      </w:r>
      <w:r>
        <w:rPr>
          <w:rStyle w:val="FootnoteReference"/>
        </w:rPr>
        <w:footnoteReference w:id="14896"/>
      </w:r>
      <w:r>
        <w:t xml:space="preserve">, Son of God.</w:t>
      </w:r>
    </w:p>
    <w:p>
      <w:r>
        <w:rPr>
          <w:b/>
        </w:rPr>
        <w:t xml:space="preserve">2 </w:t>
      </w:r>
      <w:r>
        <w:t xml:space="preserve">As it is written</w:t>
      </w:r>
      <w:r>
        <w:rPr>
          <w:rStyle w:val="FootnoteReference"/>
        </w:rPr>
        <w:footnoteReference w:id="14897"/>
      </w:r>
      <w:r>
        <w:t xml:space="preserve"> in the prophets, Look, I send my messenger before your face, who shall prepare your way before you.</w:t>
      </w:r>
    </w:p>
    <w:p>
      <w:r>
        <w:rPr>
          <w:b/>
        </w:rPr>
        <w:t xml:space="preserve">3 </w:t>
      </w:r>
      <w:r>
        <w:t xml:space="preserve">The voice of one crying in the wilderness, Prepare the way of the Lord, make his paths straight.</w:t>
      </w:r>
    </w:p>
    <w:p>
      <w:r>
        <w:rPr>
          <w:b/>
        </w:rPr>
        <w:t xml:space="preserve">4 </w:t>
      </w:r>
      <w:r>
        <w:t xml:space="preserve">John did baptize in the wilderness, and preach the baptism of repentance for the forgiveness of sins.</w:t>
      </w:r>
    </w:p>
    <w:p>
      <w:r>
        <w:rPr>
          <w:b/>
        </w:rPr>
        <w:t xml:space="preserve">5 </w:t>
      </w:r>
      <w:r>
        <w:t xml:space="preserve">And there went out to him all the land of Judea, and those of Jerusalem, and were all baptized</w:t>
      </w:r>
      <w:r>
        <w:rPr>
          <w:rStyle w:val="FootnoteReference"/>
        </w:rPr>
        <w:footnoteReference w:id="14898"/>
      </w:r>
      <w:r>
        <w:t xml:space="preserve"> by him in the river Jordan, confessing their sins.</w:t>
      </w:r>
    </w:p>
    <w:p>
      <w:r>
        <w:rPr>
          <w:b/>
        </w:rPr>
        <w:t xml:space="preserve">6 </w:t>
      </w:r>
      <w:r>
        <w:t xml:space="preserve">And John was clothed</w:t>
      </w:r>
      <w:r>
        <w:rPr>
          <w:rStyle w:val="FootnoteReference"/>
        </w:rPr>
        <w:footnoteReference w:id="14899"/>
      </w:r>
      <w:r>
        <w:t xml:space="preserve"> with camel's hair, and with a leather belt around his waist; and he ate locusts and wild honey;</w:t>
      </w:r>
    </w:p>
    <w:p>
      <w:r>
        <w:rPr>
          <w:b/>
        </w:rPr>
        <w:t xml:space="preserve">7 </w:t>
      </w:r>
      <w:r>
        <w:t xml:space="preserve">And preached, saying, There comes one mightier than I after me, the strap of whose sandals I am not worthy to stoop down and loosen.</w:t>
      </w:r>
    </w:p>
    <w:p>
      <w:r>
        <w:rPr>
          <w:b/>
        </w:rPr>
        <w:t xml:space="preserve">8 </w:t>
      </w:r>
      <w:r>
        <w:t xml:space="preserve">I indeed have baptized you with water: but he shall</w:t>
      </w:r>
      <w:r>
        <w:rPr>
          <w:rStyle w:val="FootnoteReference"/>
        </w:rPr>
        <w:footnoteReference w:id="14900"/>
      </w:r>
      <w:r>
        <w:t xml:space="preserve"> baptize you with the Holy Spirit.</w:t>
      </w:r>
    </w:p>
    <w:p>
      <w:r>
        <w:rPr>
          <w:b/>
        </w:rPr>
        <w:t xml:space="preserve">9 </w:t>
      </w:r>
      <w:r>
        <w:t xml:space="preserve">And it happened in those days, that Jesus came from Nazareth of Galilee, and was baptized by John in the Jordan.</w:t>
      </w:r>
    </w:p>
    <w:p>
      <w:r>
        <w:rPr>
          <w:b/>
        </w:rPr>
        <w:t xml:space="preserve">10 </w:t>
      </w:r>
      <w:r>
        <w:t xml:space="preserve">And immediately coming</w:t>
      </w:r>
      <w:r>
        <w:rPr>
          <w:rStyle w:val="FootnoteReference"/>
        </w:rPr>
        <w:footnoteReference w:id="14901"/>
      </w:r>
      <w:r>
        <w:t xml:space="preserve"> up out of the water, he saw the heavens opened, and the Spirit like a dove descending upon him:</w:t>
      </w:r>
    </w:p>
    <w:p>
      <w:r>
        <w:rPr>
          <w:b/>
        </w:rPr>
        <w:t xml:space="preserve">11 </w:t>
      </w:r>
      <w:r>
        <w:t xml:space="preserve">And there came a voice from heaven, saying, You are my beloved Son, in whom I am well pleased.</w:t>
      </w:r>
    </w:p>
    <w:p>
      <w:r>
        <w:rPr>
          <w:b/>
        </w:rPr>
        <w:t xml:space="preserve">12 </w:t>
      </w:r>
      <w:r>
        <w:t xml:space="preserve">And immediately the Spirit</w:t>
      </w:r>
      <w:r>
        <w:rPr>
          <w:rStyle w:val="FootnoteReference"/>
        </w:rPr>
        <w:footnoteReference w:id="14902"/>
      </w:r>
      <w:r>
        <w:t xml:space="preserve"> drives him into the wilderness.</w:t>
      </w:r>
    </w:p>
    <w:p>
      <w:r>
        <w:rPr>
          <w:b/>
        </w:rPr>
        <w:t xml:space="preserve">13 </w:t>
      </w:r>
      <w:r>
        <w:t xml:space="preserve">And he was there in the wilderness forty</w:t>
      </w:r>
      <w:r>
        <w:rPr>
          <w:rStyle w:val="FootnoteReference"/>
        </w:rPr>
        <w:footnoteReference w:id="14903"/>
      </w:r>
      <w:r>
        <w:t xml:space="preserve"> days, tempted by Satan; and was with the wild beasts; and the angels ministered to him.</w:t>
      </w:r>
    </w:p>
    <w:p>
      <w:r>
        <w:rPr>
          <w:b/>
        </w:rPr>
        <w:t xml:space="preserve">14 </w:t>
      </w:r>
      <w:r>
        <w:t xml:space="preserve">Now after that John was put in prison, Jesus came into Galilee, preaching</w:t>
      </w:r>
      <w:r>
        <w:rPr>
          <w:rStyle w:val="FootnoteReference"/>
        </w:rPr>
        <w:footnoteReference w:id="14904"/>
      </w:r>
      <w:r>
        <w:t xml:space="preserve"> the good news of the kingdom of God,</w:t>
      </w:r>
    </w:p>
    <w:p>
      <w:r>
        <w:rPr>
          <w:b/>
        </w:rPr>
        <w:t xml:space="preserve">15 </w:t>
      </w:r>
      <w:r>
        <w:t xml:space="preserve">And saying, The time</w:t>
      </w:r>
      <w:r>
        <w:rPr>
          <w:rStyle w:val="FootnoteReference"/>
        </w:rPr>
        <w:footnoteReference w:id="14905"/>
      </w:r>
      <w:r>
        <w:t xml:space="preserve"> is fulfilled, and the kingdom of God is at hand: repent you, and believe the good news.</w:t>
      </w:r>
    </w:p>
    <w:p>
      <w:r>
        <w:rPr>
          <w:b/>
        </w:rPr>
        <w:t xml:space="preserve">16 </w:t>
      </w:r>
      <w:r>
        <w:t xml:space="preserve">Now as he</w:t>
      </w:r>
      <w:r>
        <w:rPr>
          <w:rStyle w:val="FootnoteReference"/>
        </w:rPr>
        <w:footnoteReference w:id="14906"/>
      </w:r>
      <w:r>
        <w:t xml:space="preserve"> walked by the sea of Galilee, he saw Simon and Andrew his brother casting a net into the sea: for they were fishers.</w:t>
      </w:r>
    </w:p>
    <w:p>
      <w:r>
        <w:rPr>
          <w:b/>
        </w:rPr>
        <w:t xml:space="preserve">17 </w:t>
      </w:r>
      <w:r>
        <w:t xml:space="preserve">And Jesus said to them, Come after me, and I will make you to become fishers</w:t>
      </w:r>
      <w:r>
        <w:rPr>
          <w:rStyle w:val="FootnoteReference"/>
        </w:rPr>
        <w:footnoteReference w:id="14907"/>
      </w:r>
      <w:r>
        <w:t xml:space="preserve"> of men.</w:t>
      </w:r>
    </w:p>
    <w:p>
      <w:r>
        <w:rPr>
          <w:b/>
        </w:rPr>
        <w:t xml:space="preserve">18 </w:t>
      </w:r>
      <w:r>
        <w:t xml:space="preserve">And immediately they forsook</w:t>
      </w:r>
      <w:r>
        <w:rPr>
          <w:rStyle w:val="FootnoteReference"/>
        </w:rPr>
        <w:footnoteReference w:id="14908"/>
      </w:r>
      <w:r>
        <w:t xml:space="preserve"> their nets, and followed him.</w:t>
      </w:r>
    </w:p>
    <w:p>
      <w:r>
        <w:rPr>
          <w:b/>
        </w:rPr>
        <w:t xml:space="preserve">19 </w:t>
      </w:r>
      <w:r>
        <w:t xml:space="preserve">And when he had gone a little farther from there, he saw James</w:t>
      </w:r>
      <w:r>
        <w:rPr>
          <w:rStyle w:val="FootnoteReference"/>
        </w:rPr>
        <w:footnoteReference w:id="14909"/>
      </w:r>
      <w:r>
        <w:t xml:space="preserve"> the son of Zebedee, and John his brother, who also were in the ship mending their nets.</w:t>
      </w:r>
    </w:p>
    <w:p>
      <w:r>
        <w:rPr>
          <w:b/>
        </w:rPr>
        <w:t xml:space="preserve">20 </w:t>
      </w:r>
      <w:r>
        <w:t xml:space="preserve">And immediately he called them: and they left</w:t>
      </w:r>
      <w:r>
        <w:rPr>
          <w:rStyle w:val="FootnoteReference"/>
        </w:rPr>
        <w:footnoteReference w:id="14910"/>
      </w:r>
      <w:r>
        <w:t xml:space="preserve"> their father Zebedee in the ship with the hired servants, and went after him.</w:t>
      </w:r>
    </w:p>
    <w:p>
      <w:r>
        <w:rPr>
          <w:b/>
        </w:rPr>
        <w:t xml:space="preserve">21 </w:t>
      </w:r>
      <w:r>
        <w:t xml:space="preserve">And they went</w:t>
      </w:r>
      <w:r>
        <w:rPr>
          <w:rStyle w:val="FootnoteReference"/>
        </w:rPr>
        <w:footnoteReference w:id="14911"/>
      </w:r>
      <w:r>
        <w:t xml:space="preserve"> into Capernaum; and immediately on the Sabbath he entered into the synagogue, and taught.</w:t>
      </w:r>
    </w:p>
    <w:p>
      <w:r>
        <w:rPr>
          <w:b/>
        </w:rPr>
        <w:t xml:space="preserve">22 </w:t>
      </w:r>
      <w:r>
        <w:t xml:space="preserve">And they were</w:t>
      </w:r>
      <w:r>
        <w:rPr>
          <w:rStyle w:val="FootnoteReference"/>
        </w:rPr>
        <w:footnoteReference w:id="14912"/>
      </w:r>
      <w:r>
        <w:t xml:space="preserve"> astonished at his doctrine: for he taught them as one who had authority, and not as the scribes.</w:t>
      </w:r>
    </w:p>
    <w:p>
      <w:r>
        <w:rPr>
          <w:b/>
        </w:rPr>
        <w:t xml:space="preserve">23 </w:t>
      </w:r>
      <w:r>
        <w:t xml:space="preserve">And there was in their synagogue a man</w:t>
      </w:r>
      <w:r>
        <w:rPr>
          <w:rStyle w:val="FootnoteReference"/>
        </w:rPr>
        <w:footnoteReference w:id="14913"/>
      </w:r>
      <w:r>
        <w:t xml:space="preserve"> with an unclean spirit; and he cried out,</w:t>
      </w:r>
    </w:p>
    <w:p>
      <w:r>
        <w:rPr>
          <w:b/>
        </w:rPr>
        <w:t xml:space="preserve">24 </w:t>
      </w:r>
      <w:r>
        <w:t xml:space="preserve">Saying, Let us alone; what have we to do with you, Jesus of Nazareth? have you come to destroy us? I know who you are, the Holy One</w:t>
      </w:r>
      <w:r>
        <w:rPr>
          <w:rStyle w:val="FootnoteReference"/>
        </w:rPr>
        <w:footnoteReference w:id="14914"/>
      </w:r>
      <w:r>
        <w:t xml:space="preserve"> of God.</w:t>
      </w:r>
    </w:p>
    <w:p>
      <w:r>
        <w:rPr>
          <w:b/>
        </w:rPr>
        <w:t xml:space="preserve">25 </w:t>
      </w:r>
      <w:r>
        <w:t xml:space="preserve">And Jesus rebuked</w:t>
      </w:r>
      <w:r>
        <w:rPr>
          <w:rStyle w:val="FootnoteReference"/>
        </w:rPr>
        <w:footnoteReference w:id="14915"/>
      </w:r>
      <w:r>
        <w:t xml:space="preserve"> him, saying, Be silent, and come out of him.</w:t>
      </w:r>
    </w:p>
    <w:p>
      <w:r>
        <w:rPr>
          <w:b/>
        </w:rPr>
        <w:t xml:space="preserve">26 </w:t>
      </w:r>
      <w:r>
        <w:t xml:space="preserve">And when the unclean spirit had torn</w:t>
      </w:r>
      <w:r>
        <w:rPr>
          <w:rStyle w:val="FootnoteReference"/>
        </w:rPr>
        <w:footnoteReference w:id="14916"/>
      </w:r>
      <w:r>
        <w:t xml:space="preserve"> him, and cried with a loud voice, he came out of him.</w:t>
      </w:r>
    </w:p>
    <w:p>
      <w:r>
        <w:rPr>
          <w:b/>
        </w:rPr>
        <w:t xml:space="preserve">27 </w:t>
      </w:r>
      <w:r>
        <w:t xml:space="preserve">And they were</w:t>
      </w:r>
      <w:r>
        <w:rPr>
          <w:rStyle w:val="FootnoteReference"/>
        </w:rPr>
        <w:footnoteReference w:id="14917"/>
      </w:r>
      <w:r>
        <w:t xml:space="preserve"> all amazed, so that they questioned among themselves, saying, What thing is this? what new doctrine is this? for with authority commands he even the unclean spirits, and they do obey him.</w:t>
      </w:r>
    </w:p>
    <w:p>
      <w:r>
        <w:rPr>
          <w:b/>
        </w:rPr>
        <w:t xml:space="preserve">28 </w:t>
      </w:r>
      <w:r>
        <w:t xml:space="preserve">And immediately his fame spread widely throughout all the region round about Galilee.</w:t>
      </w:r>
    </w:p>
    <w:p>
      <w:r>
        <w:rPr>
          <w:b/>
        </w:rPr>
        <w:t xml:space="preserve">29 </w:t>
      </w:r>
      <w:r>
        <w:t xml:space="preserve">And immediately, when they had come out of the synagogue, they entered</w:t>
      </w:r>
      <w:r>
        <w:rPr>
          <w:rStyle w:val="FootnoteReference"/>
        </w:rPr>
        <w:footnoteReference w:id="14918"/>
      </w:r>
      <w:r>
        <w:t xml:space="preserve"> into the house of Simon and Andrew, with James and John.</w:t>
      </w:r>
    </w:p>
    <w:p>
      <w:r>
        <w:rPr>
          <w:b/>
        </w:rPr>
        <w:t xml:space="preserve">30 </w:t>
      </w:r>
      <w:r>
        <w:t xml:space="preserve">But Simon's wife's</w:t>
      </w:r>
      <w:r>
        <w:rPr>
          <w:rStyle w:val="FootnoteReference"/>
        </w:rPr>
        <w:footnoteReference w:id="14919"/>
      </w:r>
      <w:r>
        <w:t xml:space="preserve"> mother lay sick with a fever, and immediately they tell him of her.</w:t>
      </w:r>
    </w:p>
    <w:p>
      <w:r>
        <w:rPr>
          <w:b/>
        </w:rPr>
        <w:t xml:space="preserve">31 </w:t>
      </w:r>
      <w:r>
        <w:t xml:space="preserve">And he came and took</w:t>
      </w:r>
      <w:r>
        <w:rPr>
          <w:rStyle w:val="FootnoteReference"/>
        </w:rPr>
        <w:footnoteReference w:id="14920"/>
      </w:r>
      <w:r>
        <w:t xml:space="preserve"> her by the hand, and lifted her up; and immediately the fever left her, and she ministered to them.</w:t>
      </w:r>
    </w:p>
    <w:p>
      <w:r>
        <w:rPr>
          <w:b/>
        </w:rPr>
        <w:t xml:space="preserve">32 </w:t>
      </w:r>
      <w:r>
        <w:t xml:space="preserve">And at even</w:t>
      </w:r>
      <w:r>
        <w:rPr>
          <w:rStyle w:val="FootnoteReference"/>
        </w:rPr>
        <w:footnoteReference w:id="14921"/>
      </w:r>
      <w:r>
        <w:t xml:space="preserve">, when the sun did set, they brought to him all that were diseased, and those who were demonized.</w:t>
      </w:r>
    </w:p>
    <w:p>
      <w:r>
        <w:rPr>
          <w:b/>
        </w:rPr>
        <w:t xml:space="preserve">33 </w:t>
      </w:r>
      <w:r>
        <w:t xml:space="preserve">And all the city was gathered together at the door.</w:t>
      </w:r>
    </w:p>
    <w:p>
      <w:r>
        <w:rPr>
          <w:b/>
        </w:rPr>
        <w:t xml:space="preserve">34 </w:t>
      </w:r>
      <w:r>
        <w:t xml:space="preserve">And he healed many that were sick with various diseases, and cast out many demons; and did not allow the demons to speak, because they knew him.</w:t>
      </w:r>
    </w:p>
    <w:p>
      <w:r>
        <w:rPr>
          <w:b/>
        </w:rPr>
        <w:t xml:space="preserve">35 </w:t>
      </w:r>
      <w:r>
        <w:t xml:space="preserve">And in the morning, rising very early while it was still dark, he went out, and departed into a solitary place, and there prayed.</w:t>
      </w:r>
    </w:p>
    <w:p>
      <w:r>
        <w:rPr>
          <w:b/>
        </w:rPr>
        <w:t xml:space="preserve">36 </w:t>
      </w:r>
      <w:r>
        <w:t xml:space="preserve">And Simon and those who were with him followed after him.</w:t>
      </w:r>
    </w:p>
    <w:p>
      <w:r>
        <w:rPr>
          <w:b/>
        </w:rPr>
        <w:t xml:space="preserve">37 </w:t>
      </w:r>
      <w:r>
        <w:t xml:space="preserve">And when they had found him, they said to him, Everyone seeks you.</w:t>
      </w:r>
    </w:p>
    <w:p>
      <w:r>
        <w:rPr>
          <w:b/>
        </w:rPr>
        <w:t xml:space="preserve">38 </w:t>
      </w:r>
      <w:r>
        <w:t xml:space="preserve">And he said to them, Let us go into the next towns, that I may preach there also: for this reason I came forth.</w:t>
      </w:r>
    </w:p>
    <w:p>
      <w:r>
        <w:rPr>
          <w:b/>
        </w:rPr>
        <w:t xml:space="preserve">39 </w:t>
      </w:r>
      <w:r>
        <w:t xml:space="preserve">And he preached</w:t>
      </w:r>
      <w:r>
        <w:rPr>
          <w:rStyle w:val="FootnoteReference"/>
        </w:rPr>
        <w:footnoteReference w:id="14922"/>
      </w:r>
      <w:r>
        <w:t xml:space="preserve"> in their synagogues throughout all Galilee, and cast out demons.</w:t>
      </w:r>
    </w:p>
    <w:p>
      <w:r>
        <w:rPr>
          <w:b/>
        </w:rPr>
        <w:t xml:space="preserve">40 </w:t>
      </w:r>
      <w:r>
        <w:t xml:space="preserve">And there came a leper</w:t>
      </w:r>
      <w:r>
        <w:rPr>
          <w:rStyle w:val="FootnoteReference"/>
        </w:rPr>
        <w:footnoteReference w:id="14923"/>
      </w:r>
      <w:r>
        <w:t xml:space="preserve"> to him, begging him, and kneeling down to him, and saying to him, If you will, you can make me clean.</w:t>
      </w:r>
    </w:p>
    <w:p>
      <w:r>
        <w:rPr>
          <w:b/>
        </w:rPr>
        <w:t xml:space="preserve">41 </w:t>
      </w:r>
      <w:r>
        <w:t xml:space="preserve">And Jesus, moved</w:t>
      </w:r>
      <w:r>
        <w:rPr>
          <w:rStyle w:val="FootnoteReference"/>
        </w:rPr>
        <w:footnoteReference w:id="14924"/>
      </w:r>
      <w:r>
        <w:t xml:space="preserve"> with compassion, stretched out his hand, and touched him, and says to him, I will; be clean.</w:t>
      </w:r>
    </w:p>
    <w:p>
      <w:r>
        <w:rPr>
          <w:b/>
        </w:rPr>
        <w:t xml:space="preserve">42 </w:t>
      </w:r>
      <w:r>
        <w:t xml:space="preserve">And as soon as he had spoken, immediately</w:t>
      </w:r>
      <w:r>
        <w:rPr>
          <w:rStyle w:val="FootnoteReference"/>
        </w:rPr>
        <w:footnoteReference w:id="14925"/>
      </w:r>
      <w:r>
        <w:t xml:space="preserve"> the leprosy departed from him, and he was cleansed.</w:t>
      </w:r>
    </w:p>
    <w:p>
      <w:r>
        <w:rPr>
          <w:b/>
        </w:rPr>
        <w:t xml:space="preserve">43 </w:t>
      </w:r>
      <w:r>
        <w:t xml:space="preserve">And he strictly charged him, and immediately sent him away;</w:t>
      </w:r>
    </w:p>
    <w:p>
      <w:r>
        <w:rPr>
          <w:b/>
        </w:rPr>
        <w:t xml:space="preserve">44 </w:t>
      </w:r>
      <w:r>
        <w:t xml:space="preserve">And says to him, See that you say nothing to anyone: but go your way, show</w:t>
      </w:r>
      <w:r>
        <w:rPr>
          <w:rStyle w:val="FootnoteReference"/>
        </w:rPr>
        <w:footnoteReference w:id="14926"/>
      </w:r>
      <w:r>
        <w:t xml:space="preserve"> yourself to the priest, and offer for your cleansing those things that Moses commanded, for a testimony to them.</w:t>
      </w:r>
    </w:p>
    <w:p>
      <w:r>
        <w:rPr>
          <w:b/>
        </w:rPr>
        <w:t xml:space="preserve">45 </w:t>
      </w:r>
      <w:r>
        <w:t xml:space="preserve">But he went out, and began</w:t>
      </w:r>
      <w:r>
        <w:rPr>
          <w:rStyle w:val="FootnoteReference"/>
        </w:rPr>
        <w:footnoteReference w:id="14927"/>
      </w:r>
      <w:r>
        <w:t xml:space="preserve"> to publish it much, and to spread the matter widely, so that Jesus could no more openly enter into the city, but was without in desert places: and they came to him from every quarter.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again</w:t>
      </w:r>
      <w:r>
        <w:rPr>
          <w:rStyle w:val="FootnoteReference"/>
        </w:rPr>
        <w:footnoteReference w:id="14928"/>
      </w:r>
      <w:r>
        <w:t xml:space="preserve"> he entered into Capernaum after some days; and it was heard that he was in the house.</w:t>
      </w:r>
    </w:p>
    <w:p>
      <w:r>
        <w:rPr>
          <w:b/>
        </w:rPr>
        <w:t xml:space="preserve">2 </w:t>
      </w:r>
      <w:r>
        <w:t xml:space="preserve">And immediately many were gathered together, so that there was no room to receive them, no, not so much as about the door: and he preached the word to them.</w:t>
      </w:r>
    </w:p>
    <w:p>
      <w:r>
        <w:rPr>
          <w:b/>
        </w:rPr>
        <w:t xml:space="preserve">3 </w:t>
      </w:r>
      <w:r>
        <w:t xml:space="preserve">And they come to him, bringing</w:t>
      </w:r>
      <w:r>
        <w:rPr>
          <w:rStyle w:val="FootnoteReference"/>
        </w:rPr>
        <w:footnoteReference w:id="14929"/>
      </w:r>
      <w:r>
        <w:t xml:space="preserve"> one sick with paralysis, who was carried by four.</w:t>
      </w:r>
    </w:p>
    <w:p>
      <w:r>
        <w:rPr>
          <w:b/>
        </w:rPr>
        <w:t xml:space="preserve">4 </w:t>
      </w:r>
      <w:r>
        <w:t xml:space="preserve">And when they could not come near to him because of the crowd, they uncovered</w:t>
      </w:r>
      <w:r>
        <w:rPr>
          <w:rStyle w:val="FootnoteReference"/>
        </w:rPr>
        <w:footnoteReference w:id="14930"/>
      </w:r>
      <w:r>
        <w:t xml:space="preserve"> the roof where he was: and when they had broken through it, they let down the bed in which the one sick with paralysis lay.</w:t>
      </w:r>
    </w:p>
    <w:p>
      <w:r>
        <w:rPr>
          <w:b/>
        </w:rPr>
        <w:t xml:space="preserve">5 </w:t>
      </w:r>
      <w:r>
        <w:t xml:space="preserve">When Jesus saw their faith, he said</w:t>
      </w:r>
      <w:r>
        <w:rPr>
          <w:rStyle w:val="FootnoteReference"/>
        </w:rPr>
        <w:footnoteReference w:id="14931"/>
      </w:r>
      <w:r>
        <w:t xml:space="preserve"> to the sick with paralysis, Son, your sins are forgiven you.</w:t>
      </w:r>
    </w:p>
    <w:p>
      <w:r>
        <w:rPr>
          <w:b/>
        </w:rPr>
        <w:t xml:space="preserve">6 </w:t>
      </w:r>
      <w:r>
        <w:t xml:space="preserve">But there were certain of the scribes sitting there, and reasoning</w:t>
      </w:r>
      <w:r>
        <w:rPr>
          <w:rStyle w:val="FootnoteReference"/>
        </w:rPr>
        <w:footnoteReference w:id="14932"/>
      </w:r>
      <w:r>
        <w:t xml:space="preserve"> in their hearts,</w:t>
      </w:r>
    </w:p>
    <w:p>
      <w:r>
        <w:rPr>
          <w:b/>
        </w:rPr>
        <w:t xml:space="preserve">7 </w:t>
      </w:r>
      <w:r>
        <w:t xml:space="preserve">Why does this man thus speak</w:t>
      </w:r>
      <w:r>
        <w:rPr>
          <w:rStyle w:val="FootnoteReference"/>
        </w:rPr>
        <w:footnoteReference w:id="14933"/>
      </w:r>
      <w:r>
        <w:t xml:space="preserve"> blasphemies? who can forgive sins but God only?</w:t>
      </w:r>
    </w:p>
    <w:p>
      <w:r>
        <w:rPr>
          <w:b/>
        </w:rPr>
        <w:t xml:space="preserve">8 </w:t>
      </w:r>
      <w:r>
        <w:t xml:space="preserve">And immediately when Jesus perceived in his spirit that they so reasoned within themselves, he said to them, Why do you reason these things in your hearts?</w:t>
      </w:r>
    </w:p>
    <w:p>
      <w:r>
        <w:rPr>
          <w:b/>
        </w:rPr>
        <w:t xml:space="preserve">9 </w:t>
      </w:r>
      <w:r>
        <w:t xml:space="preserve">Which is easier to say to the one sick with paralysis, your sins are forgiven you; or to say, Arise, and take up your bed, and walk?</w:t>
      </w:r>
    </w:p>
    <w:p>
      <w:r>
        <w:rPr>
          <w:b/>
        </w:rPr>
        <w:t xml:space="preserve">10 </w:t>
      </w:r>
      <w:r>
        <w:t xml:space="preserve">But that you may know that the Son of man has authority on earth to forgive sins, (he says to the one sick with paralysis,)</w:t>
      </w:r>
    </w:p>
    <w:p>
      <w:r>
        <w:rPr>
          <w:b/>
        </w:rPr>
        <w:t xml:space="preserve">11 </w:t>
      </w:r>
      <w:r>
        <w:t xml:space="preserve">I say to you, Arise, and take up your bed, and go your way into your house.</w:t>
      </w:r>
    </w:p>
    <w:p>
      <w:r>
        <w:rPr>
          <w:b/>
        </w:rPr>
        <w:t xml:space="preserve">12 </w:t>
      </w:r>
      <w:r>
        <w:t xml:space="preserve">And immediately he arose, took up the bed, and went forth before them all; so that they were all amazed, and glorified</w:t>
      </w:r>
      <w:r>
        <w:rPr>
          <w:rStyle w:val="FootnoteReference"/>
        </w:rPr>
        <w:footnoteReference w:id="14934"/>
      </w:r>
      <w:r>
        <w:t xml:space="preserve"> God, saying, We never saw it on this fashion.</w:t>
      </w:r>
    </w:p>
    <w:p>
      <w:r>
        <w:rPr>
          <w:b/>
        </w:rPr>
        <w:t xml:space="preserve">13 </w:t>
      </w:r>
      <w:r>
        <w:t xml:space="preserve">And he went forth again by the seaside; and all the crowd came to him, and he taught them.</w:t>
      </w:r>
    </w:p>
    <w:p>
      <w:r>
        <w:rPr>
          <w:b/>
        </w:rPr>
        <w:t xml:space="preserve">14 </w:t>
      </w:r>
      <w:r>
        <w:t xml:space="preserve">And as he passed by, he saw</w:t>
      </w:r>
      <w:r>
        <w:rPr>
          <w:rStyle w:val="FootnoteReference"/>
        </w:rPr>
        <w:footnoteReference w:id="14935"/>
      </w:r>
      <w:r>
        <w:t xml:space="preserve"> Levi</w:t>
      </w:r>
      <w:r>
        <w:rPr>
          <w:rStyle w:val="FootnoteReference"/>
        </w:rPr>
        <w:footnoteReference w:id="14936"/>
      </w:r>
      <w:r>
        <w:t xml:space="preserve"> the son of Alphaeus sitting at the tax booth, and said to him, Follow me. And he arose and followed him.</w:t>
      </w:r>
    </w:p>
    <w:p>
      <w:r>
        <w:rPr>
          <w:b/>
        </w:rPr>
        <w:t xml:space="preserve">15 </w:t>
      </w:r>
      <w:r>
        <w:t xml:space="preserve">And it happened, that, as Jesus reclined at table in his house, many tax collectors and sinners sat also together with Jesus and his disciples: for there were many, and they followed him.</w:t>
      </w:r>
    </w:p>
    <w:p>
      <w:r>
        <w:rPr>
          <w:b/>
        </w:rPr>
        <w:t xml:space="preserve">16 </w:t>
      </w:r>
      <w:r>
        <w:t xml:space="preserve">And when the scribes and Pharisees saw him eat with tax collectors and sinners, they said to his disciples, How is it that he eats and drinks with tax collectors and sinners?</w:t>
      </w:r>
    </w:p>
    <w:p>
      <w:r>
        <w:rPr>
          <w:b/>
        </w:rPr>
        <w:t xml:space="preserve">17 </w:t>
      </w:r>
      <w:r>
        <w:t xml:space="preserve">When Jesus heard it, he says to them, Those who are whole have no need of the physician, but those who are sick: I came</w:t>
      </w:r>
      <w:r>
        <w:rPr>
          <w:rStyle w:val="FootnoteReference"/>
        </w:rPr>
        <w:footnoteReference w:id="14937"/>
      </w:r>
      <w:r>
        <w:t xml:space="preserve"> not to call the righteous, but sinners to repentance.</w:t>
      </w:r>
    </w:p>
    <w:p>
      <w:r>
        <w:rPr>
          <w:b/>
        </w:rPr>
        <w:t xml:space="preserve">18 </w:t>
      </w:r>
      <w:r>
        <w:t xml:space="preserve">And the disciples</w:t>
      </w:r>
      <w:r>
        <w:rPr>
          <w:rStyle w:val="FootnoteReference"/>
        </w:rPr>
        <w:footnoteReference w:id="14938"/>
      </w:r>
      <w:r>
        <w:t xml:space="preserve"> of John and of the Pharisees used to fast: and they come and say to him, Why do the disciples of John and of the Pharisees fast, but your disciples do not fast?</w:t>
      </w:r>
    </w:p>
    <w:p>
      <w:r>
        <w:rPr>
          <w:b/>
        </w:rPr>
        <w:t xml:space="preserve">19 </w:t>
      </w:r>
      <w:r>
        <w:t xml:space="preserve">And Jesus said to them, Can the wedding guests fast, while the bridegroom is with them? as long as they have the bridegroom with them, they cannot fast.</w:t>
      </w:r>
    </w:p>
    <w:p>
      <w:r>
        <w:rPr>
          <w:b/>
        </w:rPr>
        <w:t xml:space="preserve">20 </w:t>
      </w:r>
      <w:r>
        <w:t xml:space="preserve">But the days will come, when the bridegroom</w:t>
      </w:r>
      <w:r>
        <w:rPr>
          <w:rStyle w:val="FootnoteReference"/>
        </w:rPr>
        <w:footnoteReference w:id="14939"/>
      </w:r>
      <w:r>
        <w:t xml:space="preserve"> shall be taken away from them, and then shall they fast in those days.</w:t>
      </w:r>
    </w:p>
    <w:p>
      <w:r>
        <w:rPr>
          <w:b/>
        </w:rPr>
        <w:t xml:space="preserve">21 </w:t>
      </w:r>
      <w:r>
        <w:t xml:space="preserve">No one also sews a piece of new cloth on an old garment: else the new piece that filled it up takes away from the old, and the rent is made worse.</w:t>
      </w:r>
    </w:p>
    <w:p>
      <w:r>
        <w:rPr>
          <w:b/>
        </w:rPr>
        <w:t xml:space="preserve">22 </w:t>
      </w:r>
      <w:r>
        <w:t xml:space="preserve">And no one puts new wine into old wineskins: else the new wine does burst the wineskins, and the wine is spilled, and the wineskins will be ruined: but new wine must be put into new wineskins.</w:t>
      </w:r>
    </w:p>
    <w:p>
      <w:r>
        <w:rPr>
          <w:b/>
        </w:rPr>
        <w:t xml:space="preserve">23 </w:t>
      </w:r>
      <w:r>
        <w:t xml:space="preserve">And it happened, that he went through the grain fields on the Sabbath; and his disciples began, as they went, to pluck</w:t>
      </w:r>
      <w:r>
        <w:rPr>
          <w:rStyle w:val="FootnoteReference"/>
        </w:rPr>
        <w:footnoteReference w:id="14940"/>
      </w:r>
      <w:r>
        <w:t xml:space="preserve"> the ears of grain.</w:t>
      </w:r>
    </w:p>
    <w:p>
      <w:r>
        <w:rPr>
          <w:b/>
        </w:rPr>
        <w:t xml:space="preserve">24 </w:t>
      </w:r>
      <w:r>
        <w:t xml:space="preserve">And the Pharisees said to him, Look, why do they do on the Sabbath that which is not lawful?</w:t>
      </w:r>
    </w:p>
    <w:p>
      <w:r>
        <w:rPr>
          <w:b/>
        </w:rPr>
        <w:t xml:space="preserve">25 </w:t>
      </w:r>
      <w:r>
        <w:t xml:space="preserve">And he said to them, Have you never read what David did, when he had need, and was hungry, he, and those who were with him?</w:t>
      </w:r>
    </w:p>
    <w:p>
      <w:r>
        <w:rPr>
          <w:b/>
        </w:rPr>
        <w:t xml:space="preserve">26 </w:t>
      </w:r>
      <w:r>
        <w:t xml:space="preserve">How he went into the house of God in the days of Abiathar</w:t>
      </w:r>
      <w:r>
        <w:rPr>
          <w:rStyle w:val="FootnoteReference"/>
        </w:rPr>
        <w:footnoteReference w:id="14941"/>
      </w:r>
      <w:r>
        <w:t xml:space="preserve"> the high priest, and ate the showbread, which is not lawful to eat except for the priests, and gave also to those who were with him?</w:t>
      </w:r>
      <w:r>
        <w:rPr>
          <w:rStyle w:val="FootnoteReference"/>
        </w:rPr>
        <w:footnoteReference w:id="14942"/>
      </w:r>
    </w:p>
    <w:p>
      <w:r>
        <w:rPr>
          <w:b/>
        </w:rPr>
        <w:t xml:space="preserve">27 </w:t>
      </w:r>
      <w:r>
        <w:t xml:space="preserve">And he said to them, The sabbath was made for man, and not man for the sabbath:</w:t>
      </w:r>
    </w:p>
    <w:p>
      <w:r>
        <w:rPr>
          <w:b/>
        </w:rPr>
        <w:t xml:space="preserve">28 </w:t>
      </w:r>
      <w:r>
        <w:t xml:space="preserve">Therefore the Son of man is Lord also of the sabbath.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he entered</w:t>
      </w:r>
      <w:r>
        <w:rPr>
          <w:rStyle w:val="FootnoteReference"/>
        </w:rPr>
        <w:footnoteReference w:id="14943"/>
      </w:r>
      <w:r>
        <w:t xml:space="preserve"> again into the synagogue; and there was a man there who had a withered hand.</w:t>
      </w:r>
    </w:p>
    <w:p>
      <w:r>
        <w:rPr>
          <w:b/>
        </w:rPr>
        <w:t xml:space="preserve">2 </w:t>
      </w:r>
      <w:r>
        <w:t xml:space="preserve">And they watched him, whether he would heal him on the Sabbath; that they might accuse him.</w:t>
      </w:r>
    </w:p>
    <w:p>
      <w:r>
        <w:rPr>
          <w:b/>
        </w:rPr>
        <w:t xml:space="preserve">3 </w:t>
      </w:r>
      <w:r>
        <w:t xml:space="preserve">And he says to the man who had the withered hand, Stand up in the midst.</w:t>
      </w:r>
    </w:p>
    <w:p>
      <w:r>
        <w:rPr>
          <w:b/>
        </w:rPr>
        <w:t xml:space="preserve">4 </w:t>
      </w:r>
      <w:r>
        <w:t xml:space="preserve">And he says to them, Is it</w:t>
      </w:r>
      <w:r>
        <w:rPr>
          <w:rStyle w:val="FootnoteReference"/>
        </w:rPr>
        <w:footnoteReference w:id="14944"/>
      </w:r>
      <w:r>
        <w:t xml:space="preserve"> lawful to do good on the Sabbath, or to do evil? To save life, or to kill? But they were silent.</w:t>
      </w:r>
    </w:p>
    <w:p>
      <w:r>
        <w:rPr>
          <w:b/>
        </w:rPr>
        <w:t xml:space="preserve">5 </w:t>
      </w:r>
      <w:r>
        <w:t xml:space="preserve">And when he had looked around at them with anger</w:t>
      </w:r>
      <w:r>
        <w:rPr>
          <w:rStyle w:val="FootnoteReference"/>
        </w:rPr>
        <w:footnoteReference w:id="14945"/>
      </w:r>
      <w:r>
        <w:t xml:space="preserve">, being grieved for the hardness of their hearts, he says to the man, Stretch out your hand. And he stretched it out: and his hand was restored whole as the other.</w:t>
      </w:r>
    </w:p>
    <w:p>
      <w:r>
        <w:rPr>
          <w:b/>
        </w:rPr>
        <w:t xml:space="preserve">6 </w:t>
      </w:r>
      <w:r>
        <w:t xml:space="preserve">And the Pharisees</w:t>
      </w:r>
      <w:r>
        <w:rPr>
          <w:rStyle w:val="FootnoteReference"/>
        </w:rPr>
        <w:footnoteReference w:id="14946"/>
      </w:r>
      <w:r>
        <w:t xml:space="preserve"> went forth, and immediately took counsel with the Herodians against him, how they might destroy him.</w:t>
      </w:r>
    </w:p>
    <w:p>
      <w:r>
        <w:rPr>
          <w:b/>
        </w:rPr>
        <w:t xml:space="preserve">7 </w:t>
      </w:r>
      <w:r>
        <w:t xml:space="preserve">But Jesus</w:t>
      </w:r>
      <w:r>
        <w:rPr>
          <w:rStyle w:val="FootnoteReference"/>
        </w:rPr>
        <w:footnoteReference w:id="14947"/>
      </w:r>
      <w:r>
        <w:t xml:space="preserve"> withdrew himself with his disciples to the sea: and a great multitude from Galilee followed him, and from Judea,</w:t>
      </w:r>
    </w:p>
    <w:p>
      <w:r>
        <w:rPr>
          <w:b/>
        </w:rPr>
        <w:t xml:space="preserve">8 </w:t>
      </w:r>
      <w:r>
        <w:t xml:space="preserve">And from Jerusalem, and from Idumea</w:t>
      </w:r>
      <w:r>
        <w:rPr>
          <w:rStyle w:val="FootnoteReference"/>
        </w:rPr>
        <w:footnoteReference w:id="14948"/>
      </w:r>
      <w:r>
        <w:t xml:space="preserve">, and from beyond</w:t>
      </w:r>
      <w:r>
        <w:rPr>
          <w:rStyle w:val="FootnoteReference"/>
        </w:rPr>
        <w:footnoteReference w:id="14949"/>
      </w:r>
      <w:r>
        <w:t xml:space="preserve"> Jordan; and those around Tyre and Sidon, a great multitude, when they had heard what great things he did, came to him.</w:t>
      </w:r>
    </w:p>
    <w:p>
      <w:r>
        <w:rPr>
          <w:b/>
        </w:rPr>
        <w:t xml:space="preserve">9 </w:t>
      </w:r>
      <w:r>
        <w:t xml:space="preserve">And he spoke to his disciples, that a small boat should be ready for him because of the crowd, lest they should crush him.</w:t>
      </w:r>
    </w:p>
    <w:p>
      <w:r>
        <w:rPr>
          <w:b/>
        </w:rPr>
        <w:t xml:space="preserve">10 </w:t>
      </w:r>
      <w:r>
        <w:t xml:space="preserve">For he had</w:t>
      </w:r>
      <w:r>
        <w:rPr>
          <w:rStyle w:val="FootnoteReference"/>
        </w:rPr>
        <w:footnoteReference w:id="14950"/>
      </w:r>
      <w:r>
        <w:t xml:space="preserve"> healed many; so that they pressed upon him in order to touch him, as many as had plagues.</w:t>
      </w:r>
    </w:p>
    <w:p>
      <w:r>
        <w:rPr>
          <w:b/>
        </w:rPr>
        <w:t xml:space="preserve">11 </w:t>
      </w:r>
      <w:r>
        <w:t xml:space="preserve">And unclean</w:t>
      </w:r>
      <w:r>
        <w:rPr>
          <w:rStyle w:val="FootnoteReference"/>
        </w:rPr>
        <w:footnoteReference w:id="14951"/>
      </w:r>
      <w:r>
        <w:t xml:space="preserve"> spirits, when they saw him, fell down before him, and cried, saying, You are the Son of God.</w:t>
      </w:r>
    </w:p>
    <w:p>
      <w:r>
        <w:rPr>
          <w:b/>
        </w:rPr>
        <w:t xml:space="preserve">12 </w:t>
      </w:r>
      <w:r>
        <w:t xml:space="preserve">And he strictly charged them that they should not make him known.</w:t>
      </w:r>
    </w:p>
    <w:p>
      <w:r>
        <w:rPr>
          <w:b/>
        </w:rPr>
        <w:t xml:space="preserve">13 </w:t>
      </w:r>
      <w:r>
        <w:t xml:space="preserve">And he goes up onto a mountain, and calls to him whom he wanted: and they came to him.</w:t>
      </w:r>
    </w:p>
    <w:p>
      <w:r>
        <w:rPr>
          <w:b/>
        </w:rPr>
        <w:t xml:space="preserve">14 </w:t>
      </w:r>
      <w:r>
        <w:t xml:space="preserve">And he appointed twelve, that they should be with him, and that he might send them forth to preach,</w:t>
      </w:r>
    </w:p>
    <w:p>
      <w:r>
        <w:rPr>
          <w:b/>
        </w:rPr>
        <w:t xml:space="preserve">15 </w:t>
      </w:r>
      <w:r>
        <w:t xml:space="preserve">And to have power to heal sicknesses, and to cast out demons:</w:t>
      </w:r>
    </w:p>
    <w:p>
      <w:r>
        <w:rPr>
          <w:b/>
        </w:rPr>
        <w:t xml:space="preserve">16 </w:t>
      </w:r>
      <w:r>
        <w:t xml:space="preserve">And Simon</w:t>
      </w:r>
      <w:r>
        <w:rPr>
          <w:rStyle w:val="FootnoteReference"/>
        </w:rPr>
        <w:footnoteReference w:id="14952"/>
      </w:r>
      <w:r>
        <w:t xml:space="preserve">, whom he surnamed Peter;</w:t>
      </w:r>
    </w:p>
    <w:p>
      <w:r>
        <w:rPr>
          <w:b/>
        </w:rPr>
        <w:t xml:space="preserve">17 </w:t>
      </w:r>
      <w:r>
        <w:t xml:space="preserve">And James</w:t>
      </w:r>
      <w:r>
        <w:rPr>
          <w:rStyle w:val="FootnoteReference"/>
        </w:rPr>
        <w:footnoteReference w:id="14953"/>
      </w:r>
      <w:r>
        <w:t xml:space="preserve"> the son of Zebedee, and John the brother of James; and he surnamed them Boanerges</w:t>
      </w:r>
      <w:r>
        <w:rPr>
          <w:rStyle w:val="FootnoteReference"/>
        </w:rPr>
        <w:footnoteReference w:id="14954"/>
      </w:r>
      <w:r>
        <w:t xml:space="preserve">, which is, Sons of Thunder:</w:t>
      </w:r>
    </w:p>
    <w:p>
      <w:r>
        <w:rPr>
          <w:b/>
        </w:rPr>
        <w:t xml:space="preserve">18 </w:t>
      </w:r>
      <w:r>
        <w:t xml:space="preserve">And Andrew</w:t>
      </w:r>
      <w:r>
        <w:rPr>
          <w:rStyle w:val="FootnoteReference"/>
        </w:rPr>
        <w:footnoteReference w:id="14955"/>
      </w:r>
      <w:r>
        <w:t xml:space="preserve">, and Philip, and Bartholomew, and Matthew, and Thomas, and James the son of Alphaeus, and Thaddaeus, and Simon the Canaanite,</w:t>
      </w:r>
    </w:p>
    <w:p>
      <w:r>
        <w:rPr>
          <w:b/>
        </w:rPr>
        <w:t xml:space="preserve">19 </w:t>
      </w:r>
      <w:r>
        <w:t xml:space="preserve">And Judas</w:t>
      </w:r>
      <w:r>
        <w:rPr>
          <w:rStyle w:val="FootnoteReference"/>
        </w:rPr>
        <w:footnoteReference w:id="14956"/>
      </w:r>
      <w:r>
        <w:t xml:space="preserve"> Iscariot, who also betrayed him: and they went into a house.</w:t>
      </w:r>
    </w:p>
    <w:p>
      <w:r>
        <w:rPr>
          <w:b/>
        </w:rPr>
        <w:t xml:space="preserve">20 </w:t>
      </w:r>
      <w:r>
        <w:t xml:space="preserve">And the crowd comes together again, so that</w:t>
      </w:r>
      <w:r>
        <w:rPr>
          <w:rStyle w:val="FootnoteReference"/>
        </w:rPr>
        <w:footnoteReference w:id="14957"/>
      </w:r>
      <w:r>
        <w:t xml:space="preserve"> they could not so much as eat bread.</w:t>
      </w:r>
    </w:p>
    <w:p>
      <w:r>
        <w:rPr>
          <w:b/>
        </w:rPr>
        <w:t xml:space="preserve">21 </w:t>
      </w:r>
      <w:r>
        <w:t xml:space="preserve">And when his friends</w:t>
      </w:r>
      <w:r>
        <w:rPr>
          <w:rStyle w:val="FootnoteReference"/>
        </w:rPr>
        <w:footnoteReference w:id="14958"/>
      </w:r>
      <w:r>
        <w:t xml:space="preserve"> heard of it, they went out to lay hold on him: for they said, He is out of his mind.</w:t>
      </w:r>
    </w:p>
    <w:p>
      <w:r>
        <w:rPr>
          <w:b/>
        </w:rPr>
        <w:t xml:space="preserve">22 </w:t>
      </w:r>
      <w:r>
        <w:t xml:space="preserve">And the scribes who came down from Jerusalem said, He has Beelzebub, and by the prince of the demons casts he out demons.</w:t>
      </w:r>
    </w:p>
    <w:p>
      <w:r>
        <w:rPr>
          <w:b/>
        </w:rPr>
        <w:t xml:space="preserve">23 </w:t>
      </w:r>
      <w:r>
        <w:t xml:space="preserve">And he called them to him, and said to them in parables</w:t>
      </w:r>
      <w:r>
        <w:rPr>
          <w:rStyle w:val="FootnoteReference"/>
        </w:rPr>
        <w:footnoteReference w:id="14959"/>
      </w:r>
      <w:r>
        <w:t xml:space="preserve">, How can Satan cast out Satan?</w:t>
      </w:r>
    </w:p>
    <w:p>
      <w:r>
        <w:rPr>
          <w:b/>
        </w:rPr>
        <w:t xml:space="preserve">24 </w:t>
      </w:r>
      <w:r>
        <w:t xml:space="preserve">And if a kingdom is divided against itself, that kingdom cannot stand.</w:t>
      </w:r>
    </w:p>
    <w:p>
      <w:r>
        <w:rPr>
          <w:b/>
        </w:rPr>
        <w:t xml:space="preserve">25 </w:t>
      </w:r>
      <w:r>
        <w:t xml:space="preserve">And if a house is divided against itself, that house cannot stand.</w:t>
      </w:r>
    </w:p>
    <w:p>
      <w:r>
        <w:rPr>
          <w:b/>
        </w:rPr>
        <w:t xml:space="preserve">26 </w:t>
      </w:r>
      <w:r>
        <w:t xml:space="preserve">And if Satan rises up against himself, and is divided, he cannot stand, but has an end.</w:t>
      </w:r>
    </w:p>
    <w:p>
      <w:r>
        <w:rPr>
          <w:b/>
        </w:rPr>
        <w:t xml:space="preserve">27 </w:t>
      </w:r>
      <w:r>
        <w:t xml:space="preserve">No one can enter into a strong man's house, and plunder his goods, except he will first bind the strong man; and then he will plunder his house.</w:t>
      </w:r>
    </w:p>
    <w:p>
      <w:r>
        <w:rPr>
          <w:b/>
        </w:rPr>
        <w:t xml:space="preserve">28 </w:t>
      </w:r>
      <w:r>
        <w:t xml:space="preserve">Amen, I say to you, All sins shall be forgiven to the sons of men, and blasphemies with which whatever they shall blaspheme:</w:t>
      </w:r>
    </w:p>
    <w:p>
      <w:r>
        <w:rPr>
          <w:b/>
        </w:rPr>
        <w:t xml:space="preserve">29 </w:t>
      </w:r>
      <w:r>
        <w:t xml:space="preserve">But the one who shall blaspheme against the Holy Spirit has never forgiveness, but is</w:t>
      </w:r>
      <w:r>
        <w:rPr>
          <w:rStyle w:val="FootnoteReference"/>
        </w:rPr>
        <w:footnoteReference w:id="14960"/>
      </w:r>
      <w:r>
        <w:t xml:space="preserve"> in danger of eternal judgment.</w:t>
      </w:r>
    </w:p>
    <w:p>
      <w:r>
        <w:rPr>
          <w:b/>
        </w:rPr>
        <w:t xml:space="preserve">30 </w:t>
      </w:r>
      <w:r>
        <w:t xml:space="preserve">Because they said, He has an unclean spirit.</w:t>
      </w:r>
    </w:p>
    <w:p>
      <w:r>
        <w:rPr>
          <w:b/>
        </w:rPr>
        <w:t xml:space="preserve">31 </w:t>
      </w:r>
      <w:r>
        <w:t xml:space="preserve">Then his brothers and his mother came, and, standing outside, sent to him, calling him.</w:t>
      </w:r>
    </w:p>
    <w:p>
      <w:r>
        <w:rPr>
          <w:b/>
        </w:rPr>
        <w:t xml:space="preserve">32 </w:t>
      </w:r>
      <w:r>
        <w:t xml:space="preserve">And the crowd sat around him, and they said to him, Look, your mother and your brothers outside seek you.</w:t>
      </w:r>
    </w:p>
    <w:p>
      <w:r>
        <w:rPr>
          <w:b/>
        </w:rPr>
        <w:t xml:space="preserve">33 </w:t>
      </w:r>
      <w:r>
        <w:t xml:space="preserve">And he answered them, saying, Who is my mother, or my brothers?</w:t>
      </w:r>
    </w:p>
    <w:p>
      <w:r>
        <w:rPr>
          <w:b/>
        </w:rPr>
        <w:t xml:space="preserve">34 </w:t>
      </w:r>
      <w:r>
        <w:t xml:space="preserve">And he looked around at those who sat about him, and said, Look, my mother and my brothers!</w:t>
      </w:r>
    </w:p>
    <w:p>
      <w:r>
        <w:rPr>
          <w:b/>
        </w:rPr>
        <w:t xml:space="preserve">35 </w:t>
      </w:r>
      <w:r>
        <w:t xml:space="preserve">For whoever shall do the will of God, the same is my brother, and my sister, and mother.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he began</w:t>
      </w:r>
      <w:r>
        <w:rPr>
          <w:rStyle w:val="FootnoteReference"/>
        </w:rPr>
        <w:footnoteReference w:id="14961"/>
      </w:r>
      <w:r>
        <w:t xml:space="preserve"> again to teach by the sea side: and there was gathered to him a great crowd, so that he entered into a boat, and sat in the sea; and the whole crowd was by the sea on the land.</w:t>
      </w:r>
    </w:p>
    <w:p>
      <w:r>
        <w:rPr>
          <w:b/>
        </w:rPr>
        <w:t xml:space="preserve">2 </w:t>
      </w:r>
      <w:r>
        <w:t xml:space="preserve">And he taught them many things in parables, and said to them in his</w:t>
      </w:r>
      <w:r>
        <w:rPr>
          <w:rStyle w:val="FootnoteReference"/>
        </w:rPr>
        <w:footnoteReference w:id="14962"/>
      </w:r>
      <w:r>
        <w:t xml:space="preserve"> teaching,</w:t>
      </w:r>
    </w:p>
    <w:p>
      <w:r>
        <w:rPr>
          <w:b/>
        </w:rPr>
        <w:t xml:space="preserve">3 </w:t>
      </w:r>
      <w:r>
        <w:t xml:space="preserve">Listen; Look, a sower went out to sow:</w:t>
      </w:r>
    </w:p>
    <w:p>
      <w:r>
        <w:rPr>
          <w:b/>
        </w:rPr>
        <w:t xml:space="preserve">4 </w:t>
      </w:r>
      <w:r>
        <w:t xml:space="preserve">And it happened, as he sowed, some fell by the way side, and the birds of the air came and devoured it up.</w:t>
      </w:r>
    </w:p>
    <w:p>
      <w:r>
        <w:rPr>
          <w:b/>
        </w:rPr>
        <w:t xml:space="preserve">5 </w:t>
      </w:r>
      <w:r>
        <w:t xml:space="preserve">And some fell on stony ground, where it did not have much earth; and immediately it sprang up, because it had no depth of earth:</w:t>
      </w:r>
    </w:p>
    <w:p>
      <w:r>
        <w:rPr>
          <w:b/>
        </w:rPr>
        <w:t xml:space="preserve">6 </w:t>
      </w:r>
      <w:r>
        <w:t xml:space="preserve">But when the sun</w:t>
      </w:r>
      <w:r>
        <w:rPr>
          <w:rStyle w:val="FootnoteReference"/>
        </w:rPr>
        <w:footnoteReference w:id="14963"/>
      </w:r>
      <w:r>
        <w:t xml:space="preserve"> was up, it was scorched; and because it had no root, it withered away.</w:t>
      </w:r>
    </w:p>
    <w:p>
      <w:r>
        <w:rPr>
          <w:b/>
        </w:rPr>
        <w:t xml:space="preserve">7 </w:t>
      </w:r>
      <w:r>
        <w:t xml:space="preserve">And some fell among thorns, and the thorns grew up, and choked it, and it yielded no fruit.</w:t>
      </w:r>
    </w:p>
    <w:p>
      <w:r>
        <w:rPr>
          <w:b/>
        </w:rPr>
        <w:t xml:space="preserve">8 </w:t>
      </w:r>
      <w:r>
        <w:t xml:space="preserve">And other seed fell</w:t>
      </w:r>
      <w:r>
        <w:rPr>
          <w:rStyle w:val="FootnoteReference"/>
        </w:rPr>
        <w:footnoteReference w:id="14964"/>
      </w:r>
      <w:r>
        <w:t xml:space="preserve"> on good ground, and yielded fruit that sprang up and increased; and bore, some thirty, and some sixty, and some a hundred.</w:t>
      </w:r>
    </w:p>
    <w:p>
      <w:r>
        <w:rPr>
          <w:b/>
        </w:rPr>
        <w:t xml:space="preserve">9 </w:t>
      </w:r>
      <w:r>
        <w:t xml:space="preserve">And he said to them, The one who has ears to hear, let him hear.</w:t>
      </w:r>
    </w:p>
    <w:p>
      <w:r>
        <w:rPr>
          <w:b/>
        </w:rPr>
        <w:t xml:space="preserve">10 </w:t>
      </w:r>
      <w:r>
        <w:t xml:space="preserve">And when he was alone, those who were around him with the twelve asked him about the parable.</w:t>
      </w:r>
    </w:p>
    <w:p>
      <w:r>
        <w:rPr>
          <w:b/>
        </w:rPr>
        <w:t xml:space="preserve">11 </w:t>
      </w:r>
      <w:r>
        <w:t xml:space="preserve">And he said to them</w:t>
      </w:r>
      <w:r>
        <w:rPr>
          <w:rStyle w:val="FootnoteReference"/>
        </w:rPr>
        <w:footnoteReference w:id="14965"/>
      </w:r>
      <w:r>
        <w:t xml:space="preserve">, To you it is given to know the mystery of the kingdom of God: but to those who are outside, all these things are done in parables:</w:t>
      </w:r>
    </w:p>
    <w:p>
      <w:r>
        <w:rPr>
          <w:b/>
        </w:rPr>
        <w:t xml:space="preserve">12 </w:t>
      </w:r>
      <w:r>
        <w:t xml:space="preserve">That seeing</w:t>
      </w:r>
      <w:r>
        <w:rPr>
          <w:rStyle w:val="FootnoteReference"/>
        </w:rPr>
        <w:footnoteReference w:id="14966"/>
      </w:r>
      <w:r>
        <w:t xml:space="preserve"> they may see, and not perceive; and hearing they may hear, and not understand; lest at any time they should be converted, and their sins should be forgiven them.</w:t>
      </w:r>
    </w:p>
    <w:p>
      <w:r>
        <w:rPr>
          <w:b/>
        </w:rPr>
        <w:t xml:space="preserve">13 </w:t>
      </w:r>
      <w:r>
        <w:t xml:space="preserve">And he said to them, Do you not know</w:t>
      </w:r>
      <w:r>
        <w:rPr>
          <w:rStyle w:val="FootnoteReference"/>
        </w:rPr>
        <w:footnoteReference w:id="14967"/>
      </w:r>
      <w:r>
        <w:t xml:space="preserve"> this parable? and how then will you know all parables?</w:t>
      </w:r>
    </w:p>
    <w:p>
      <w:r>
        <w:rPr>
          <w:b/>
        </w:rPr>
        <w:t xml:space="preserve">14 </w:t>
      </w:r>
      <w:r>
        <w:t xml:space="preserve">The sower</w:t>
      </w:r>
      <w:r>
        <w:rPr>
          <w:rStyle w:val="FootnoteReference"/>
        </w:rPr>
        <w:footnoteReference w:id="14968"/>
      </w:r>
      <w:r>
        <w:t xml:space="preserve"> sows the word.</w:t>
      </w:r>
    </w:p>
    <w:p>
      <w:r>
        <w:rPr>
          <w:b/>
        </w:rPr>
        <w:t xml:space="preserve">15 </w:t>
      </w:r>
      <w:r>
        <w:t xml:space="preserve">And these are those by the wayside, where the word is sown; but when they have heard, Satan</w:t>
      </w:r>
      <w:r>
        <w:rPr>
          <w:rStyle w:val="FootnoteReference"/>
        </w:rPr>
        <w:footnoteReference w:id="14969"/>
      </w:r>
      <w:r>
        <w:t xml:space="preserve"> comes immediately, and takes away the word that was sown in their hearts.</w:t>
      </w:r>
    </w:p>
    <w:p>
      <w:r>
        <w:rPr>
          <w:b/>
        </w:rPr>
        <w:t xml:space="preserve">16 </w:t>
      </w:r>
      <w:r>
        <w:t xml:space="preserve">And these likewise are those who are sown on stony ground; who, when they have heard the word, immediately receive it with gladness;</w:t>
      </w:r>
    </w:p>
    <w:p>
      <w:r>
        <w:rPr>
          <w:b/>
        </w:rPr>
        <w:t xml:space="preserve">17 </w:t>
      </w:r>
      <w:r>
        <w:t xml:space="preserve">And have no root in themselves, and so endure but for a time: afterward, when affliction or persecution arises for the word's sake, immediately they are stumbled.</w:t>
      </w:r>
    </w:p>
    <w:p>
      <w:r>
        <w:rPr>
          <w:b/>
        </w:rPr>
        <w:t xml:space="preserve">18 </w:t>
      </w:r>
      <w:r>
        <w:t xml:space="preserve">And these are those who are sown among thorns; such as hear the word,</w:t>
      </w:r>
    </w:p>
    <w:p>
      <w:r>
        <w:rPr>
          <w:b/>
        </w:rPr>
        <w:t xml:space="preserve">19 </w:t>
      </w:r>
      <w:r>
        <w:t xml:space="preserve">And the cares</w:t>
      </w:r>
      <w:r>
        <w:rPr>
          <w:rStyle w:val="FootnoteReference"/>
        </w:rPr>
        <w:footnoteReference w:id="14970"/>
      </w:r>
      <w:r>
        <w:t xml:space="preserve"> of this age, and the deceitfulness of riches, and the lusts of other things entering in, choke the word, and it becomes unfruitful.</w:t>
      </w:r>
    </w:p>
    <w:p>
      <w:r>
        <w:rPr>
          <w:b/>
        </w:rPr>
        <w:t xml:space="preserve">20 </w:t>
      </w:r>
      <w:r>
        <w:t xml:space="preserve">And these are those who are sown on good ground; such as hear the word, and receive it, and bear fruit, some thirtyfold, some sixty, and some a hundred.</w:t>
      </w:r>
    </w:p>
    <w:p>
      <w:r>
        <w:rPr>
          <w:b/>
        </w:rPr>
        <w:t xml:space="preserve">21 </w:t>
      </w:r>
      <w:r>
        <w:t xml:space="preserve">And he said to them, Is a</w:t>
      </w:r>
      <w:r>
        <w:rPr>
          <w:rStyle w:val="FootnoteReference"/>
        </w:rPr>
        <w:footnoteReference w:id="14971"/>
      </w:r>
      <w:r>
        <w:t xml:space="preserve"> lamp brought to be put under a basket, or under a bed? and not to be set on a lampstand?</w:t>
      </w:r>
    </w:p>
    <w:p>
      <w:r>
        <w:rPr>
          <w:b/>
        </w:rPr>
        <w:t xml:space="preserve">22 </w:t>
      </w:r>
      <w:r>
        <w:t xml:space="preserve">For there is nothing hidden, which shall not be manifested; neither was anything kept secret, but that it should come out.</w:t>
      </w:r>
    </w:p>
    <w:p>
      <w:r>
        <w:rPr>
          <w:b/>
        </w:rPr>
        <w:t xml:space="preserve">23 </w:t>
      </w:r>
      <w:r>
        <w:t xml:space="preserve">If anyone has ears to hear, let him hear.</w:t>
      </w:r>
    </w:p>
    <w:p>
      <w:r>
        <w:rPr>
          <w:b/>
        </w:rPr>
        <w:t xml:space="preserve">24 </w:t>
      </w:r>
      <w:r>
        <w:t xml:space="preserve">And he said to them, Take</w:t>
      </w:r>
      <w:r>
        <w:rPr>
          <w:rStyle w:val="FootnoteReference"/>
        </w:rPr>
        <w:footnoteReference w:id="14972"/>
      </w:r>
      <w:r>
        <w:t xml:space="preserve"> heed what you hear: with what measure you mete, it shall be measured to you: and to you that hear shall more be given.</w:t>
      </w:r>
    </w:p>
    <w:p>
      <w:r>
        <w:rPr>
          <w:b/>
        </w:rPr>
        <w:t xml:space="preserve">25 </w:t>
      </w:r>
      <w:r>
        <w:t xml:space="preserve">For the one who has, to him shall be given: and the one who has not, from him shall be taken even that which he has.</w:t>
      </w:r>
    </w:p>
    <w:p>
      <w:r>
        <w:rPr>
          <w:b/>
        </w:rPr>
        <w:t xml:space="preserve">26 </w:t>
      </w:r>
      <w:r>
        <w:t xml:space="preserve">And he said, So is the kingdom of God, as if a man should cast seed into the ground;</w:t>
      </w:r>
    </w:p>
    <w:p>
      <w:r>
        <w:rPr>
          <w:b/>
        </w:rPr>
        <w:t xml:space="preserve">27 </w:t>
      </w:r>
      <w:r>
        <w:t xml:space="preserve">And should sleep, and rise night and day, and the seed should spring and grow</w:t>
      </w:r>
      <w:r>
        <w:rPr>
          <w:rStyle w:val="FootnoteReference"/>
        </w:rPr>
        <w:footnoteReference w:id="14973"/>
      </w:r>
      <w:r>
        <w:t xml:space="preserve"> up, he does not know how.</w:t>
      </w:r>
    </w:p>
    <w:p>
      <w:r>
        <w:rPr>
          <w:b/>
        </w:rPr>
        <w:t xml:space="preserve">28 </w:t>
      </w:r>
      <w:r>
        <w:t xml:space="preserve">For the earth</w:t>
      </w:r>
      <w:r>
        <w:rPr>
          <w:rStyle w:val="FootnoteReference"/>
        </w:rPr>
        <w:footnoteReference w:id="14974"/>
      </w:r>
      <w:r>
        <w:t xml:space="preserve"> produces fruit of herself; first the blade, then the ear, after that the full grain in the ear.</w:t>
      </w:r>
    </w:p>
    <w:p>
      <w:r>
        <w:rPr>
          <w:b/>
        </w:rPr>
        <w:t xml:space="preserve">29 </w:t>
      </w:r>
      <w:r>
        <w:t xml:space="preserve">But when the fruit is ripe, immediately he puts in the sickle, because the harvest has come.</w:t>
      </w:r>
    </w:p>
    <w:p>
      <w:r>
        <w:rPr>
          <w:b/>
        </w:rPr>
        <w:t xml:space="preserve">30 </w:t>
      </w:r>
      <w:r>
        <w:t xml:space="preserve">And he said, To which shall we liken the kingdom of God? or with what comparison shall we compare it?</w:t>
      </w:r>
    </w:p>
    <w:p>
      <w:r>
        <w:rPr>
          <w:b/>
        </w:rPr>
        <w:t xml:space="preserve">31 </w:t>
      </w:r>
      <w:r>
        <w:t xml:space="preserve">It is like a grain of mustard seed, which, when it is sown in the earth, is less than</w:t>
      </w:r>
      <w:r>
        <w:rPr>
          <w:rStyle w:val="FootnoteReference"/>
        </w:rPr>
        <w:footnoteReference w:id="14975"/>
      </w:r>
      <w:r>
        <w:t xml:space="preserve"> all the seeds that are in the earth:</w:t>
      </w:r>
    </w:p>
    <w:p>
      <w:r>
        <w:rPr>
          <w:b/>
        </w:rPr>
        <w:t xml:space="preserve">32 </w:t>
      </w:r>
      <w:r>
        <w:t xml:space="preserve">But when it is sown, it grows up, and becomes greater than all herbs, and shoots out great branches; so that the birds of the air may lodge</w:t>
      </w:r>
      <w:r>
        <w:rPr>
          <w:rStyle w:val="FootnoteReference"/>
        </w:rPr>
        <w:footnoteReference w:id="14976"/>
      </w:r>
      <w:r>
        <w:t xml:space="preserve"> under the shadow of it.</w:t>
      </w:r>
    </w:p>
    <w:p>
      <w:r>
        <w:rPr>
          <w:b/>
        </w:rPr>
        <w:t xml:space="preserve">33 </w:t>
      </w:r>
      <w:r>
        <w:t xml:space="preserve">And with many such parables he spoke the word to them, as they were able to hear it.</w:t>
      </w:r>
    </w:p>
    <w:p>
      <w:r>
        <w:rPr>
          <w:b/>
        </w:rPr>
        <w:t xml:space="preserve">34 </w:t>
      </w:r>
      <w:r>
        <w:t xml:space="preserve">But without a parable he did not speak to them: and when they were alone, he explained all things to his disciples.</w:t>
      </w:r>
    </w:p>
    <w:p>
      <w:r>
        <w:rPr>
          <w:b/>
        </w:rPr>
        <w:t xml:space="preserve">35 </w:t>
      </w:r>
      <w:r>
        <w:t xml:space="preserve">And the same day, when evening had come, he says to them, Let us pass over to the other side.</w:t>
      </w:r>
    </w:p>
    <w:p>
      <w:r>
        <w:rPr>
          <w:b/>
        </w:rPr>
        <w:t xml:space="preserve">36 </w:t>
      </w:r>
      <w:r>
        <w:t xml:space="preserve">And when they had sent away the crowd, they took him even as he was in the boat. And there were also with him other little boats.</w:t>
      </w:r>
    </w:p>
    <w:p>
      <w:r>
        <w:rPr>
          <w:b/>
        </w:rPr>
        <w:t xml:space="preserve">37 </w:t>
      </w:r>
      <w:r>
        <w:t xml:space="preserve">And there arose</w:t>
      </w:r>
      <w:r>
        <w:rPr>
          <w:rStyle w:val="FootnoteReference"/>
        </w:rPr>
        <w:footnoteReference w:id="14977"/>
      </w:r>
      <w:r>
        <w:t xml:space="preserve"> a great storm of wind, and the waves beat into the boat, so that it was now full.</w:t>
      </w:r>
    </w:p>
    <w:p>
      <w:r>
        <w:rPr>
          <w:b/>
        </w:rPr>
        <w:t xml:space="preserve">38 </w:t>
      </w:r>
      <w:r>
        <w:t xml:space="preserve">And he was in the stern of the boat, asleep on a pillow: and they awake him, and say to him, Teacher, do you not care that we perish?</w:t>
      </w:r>
    </w:p>
    <w:p>
      <w:r>
        <w:rPr>
          <w:b/>
        </w:rPr>
        <w:t xml:space="preserve">39 </w:t>
      </w:r>
      <w:r>
        <w:t xml:space="preserve">And he arose</w:t>
      </w:r>
      <w:r>
        <w:rPr>
          <w:rStyle w:val="FootnoteReference"/>
        </w:rPr>
        <w:footnoteReference w:id="14978"/>
      </w:r>
      <w:r>
        <w:t xml:space="preserve">, and rebuked the wind, and said to the sea, Peace, be still. And the wind ceased, and there was a great calm.</w:t>
      </w:r>
    </w:p>
    <w:p>
      <w:r>
        <w:rPr>
          <w:b/>
        </w:rPr>
        <w:t xml:space="preserve">40 </w:t>
      </w:r>
      <w:r>
        <w:t xml:space="preserve">And he said to them, Why are you so fearful? how is it that you have no faith</w:t>
      </w:r>
      <w:r>
        <w:rPr>
          <w:rStyle w:val="FootnoteReference"/>
        </w:rPr>
        <w:footnoteReference w:id="14979"/>
      </w:r>
      <w:r>
        <w:t xml:space="preserve">?</w:t>
      </w:r>
    </w:p>
    <w:p>
      <w:r>
        <w:rPr>
          <w:b/>
        </w:rPr>
        <w:t xml:space="preserve">41 </w:t>
      </w:r>
      <w:r>
        <w:t xml:space="preserve">And they feared</w:t>
      </w:r>
      <w:r>
        <w:rPr>
          <w:rStyle w:val="FootnoteReference"/>
        </w:rPr>
        <w:footnoteReference w:id="14980"/>
      </w:r>
      <w:r>
        <w:t xml:space="preserve"> exceedingly, and said one to another, What sort of man is this, that even the wind and the sea obey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they came over to the other side of the sea, into the country of the Gadarenes</w:t>
      </w:r>
      <w:r>
        <w:rPr>
          <w:rStyle w:val="FootnoteReference"/>
        </w:rPr>
        <w:footnoteReference w:id="14981"/>
      </w:r>
      <w:r>
        <w:t xml:space="preserve">.</w:t>
      </w:r>
    </w:p>
    <w:p>
      <w:r>
        <w:rPr>
          <w:b/>
        </w:rPr>
        <w:t xml:space="preserve">2 </w:t>
      </w:r>
      <w:r>
        <w:t xml:space="preserve">And when he had come out of the boat, immediately there met him out of the tombs a man with an unclean spirit,</w:t>
      </w:r>
    </w:p>
    <w:p>
      <w:r>
        <w:rPr>
          <w:b/>
        </w:rPr>
        <w:t xml:space="preserve">3 </w:t>
      </w:r>
      <w:r>
        <w:t xml:space="preserve">Who had his dwelling among the tombs; and no one could bind him, no, not with chains:</w:t>
      </w:r>
    </w:p>
    <w:p>
      <w:r>
        <w:rPr>
          <w:b/>
        </w:rPr>
        <w:t xml:space="preserve">4 </w:t>
      </w:r>
      <w:r>
        <w:t xml:space="preserve">because he had been often bound with fetters and chains, and the chains had been pulled apart by him, and the fetters broken in pieces: neither could anyone tame</w:t>
      </w:r>
      <w:r>
        <w:rPr>
          <w:rStyle w:val="FootnoteReference"/>
        </w:rPr>
        <w:footnoteReference w:id="14982"/>
      </w:r>
      <w:r>
        <w:t xml:space="preserve"> him.</w:t>
      </w:r>
    </w:p>
    <w:p>
      <w:r>
        <w:rPr>
          <w:b/>
        </w:rPr>
        <w:t xml:space="preserve">5 </w:t>
      </w:r>
      <w:r>
        <w:t xml:space="preserve">And always, night and day, he was in the mountains, and in the tombs, crying</w:t>
      </w:r>
      <w:r>
        <w:rPr>
          <w:rStyle w:val="FootnoteReference"/>
        </w:rPr>
        <w:footnoteReference w:id="14983"/>
      </w:r>
      <w:r>
        <w:t xml:space="preserve">, and cutting himself with stones.</w:t>
      </w:r>
    </w:p>
    <w:p>
      <w:r>
        <w:rPr>
          <w:b/>
        </w:rPr>
        <w:t xml:space="preserve">6 </w:t>
      </w:r>
      <w:r>
        <w:t xml:space="preserve">But when he saw Jesus far off, he ran</w:t>
      </w:r>
      <w:r>
        <w:rPr>
          <w:rStyle w:val="FootnoteReference"/>
        </w:rPr>
        <w:footnoteReference w:id="14984"/>
      </w:r>
      <w:r>
        <w:t xml:space="preserve"> and worshiped him,</w:t>
      </w:r>
    </w:p>
    <w:p>
      <w:r>
        <w:rPr>
          <w:b/>
        </w:rPr>
        <w:t xml:space="preserve">7 </w:t>
      </w:r>
      <w:r>
        <w:t xml:space="preserve">And cried with a loud voice, and said, What have I to do with you, Jesus, you Son of the Most High God? I adjure</w:t>
      </w:r>
      <w:r>
        <w:rPr>
          <w:rStyle w:val="FootnoteReference"/>
        </w:rPr>
        <w:footnoteReference w:id="14985"/>
      </w:r>
      <w:r>
        <w:t xml:space="preserve"> you by God, that you do not torment me.</w:t>
      </w:r>
    </w:p>
    <w:p>
      <w:r>
        <w:rPr>
          <w:b/>
        </w:rPr>
        <w:t xml:space="preserve">8 </w:t>
      </w:r>
      <w:r>
        <w:t xml:space="preserve">For he said to him, Come out of the man, you unclean spirit.</w:t>
      </w:r>
    </w:p>
    <w:p>
      <w:r>
        <w:rPr>
          <w:b/>
        </w:rPr>
        <w:t xml:space="preserve">9 </w:t>
      </w:r>
      <w:r>
        <w:t xml:space="preserve">And he asked him, What is your name? And he answered, saying, My name is Legion</w:t>
      </w:r>
      <w:r>
        <w:rPr>
          <w:rStyle w:val="FootnoteReference"/>
        </w:rPr>
        <w:footnoteReference w:id="14986"/>
      </w:r>
      <w:r>
        <w:t xml:space="preserve">: for we are many.</w:t>
      </w:r>
      <w:r>
        <w:rPr>
          <w:rStyle w:val="FootnoteReference"/>
        </w:rPr>
        <w:footnoteReference w:id="14987"/>
      </w:r>
    </w:p>
    <w:p>
      <w:r>
        <w:rPr>
          <w:b/>
        </w:rPr>
        <w:t xml:space="preserve">10 </w:t>
      </w:r>
      <w:r>
        <w:t xml:space="preserve">And he begged him much that he would not send them away out of the country.</w:t>
      </w:r>
    </w:p>
    <w:p>
      <w:r>
        <w:rPr>
          <w:b/>
        </w:rPr>
        <w:t xml:space="preserve">11 </w:t>
      </w:r>
      <w:r>
        <w:t xml:space="preserve">Now there was there near the mountains a great herd</w:t>
      </w:r>
      <w:r>
        <w:rPr>
          <w:rStyle w:val="FootnoteReference"/>
        </w:rPr>
        <w:footnoteReference w:id="14988"/>
      </w:r>
      <w:r>
        <w:t xml:space="preserve"> of swine feeding.</w:t>
      </w:r>
    </w:p>
    <w:p>
      <w:r>
        <w:rPr>
          <w:b/>
        </w:rPr>
        <w:t xml:space="preserve">12 </w:t>
      </w:r>
      <w:r>
        <w:t xml:space="preserve">And all the demons begged him, saying, Send us into the swine, that we may enter into them.</w:t>
      </w:r>
    </w:p>
    <w:p>
      <w:r>
        <w:rPr>
          <w:b/>
        </w:rPr>
        <w:t xml:space="preserve">13 </w:t>
      </w:r>
      <w:r>
        <w:t xml:space="preserve">And immediately Jesus gave</w:t>
      </w:r>
      <w:r>
        <w:rPr>
          <w:rStyle w:val="FootnoteReference"/>
        </w:rPr>
        <w:footnoteReference w:id="14989"/>
      </w:r>
      <w:r>
        <w:t xml:space="preserve"> them leave. And the unclean spirits went out, and entered into the swine: and the herd ran violently down a steep place into the sea, (they were about two thousand;) and were choked in the sea.</w:t>
      </w:r>
    </w:p>
    <w:p>
      <w:r>
        <w:rPr>
          <w:b/>
        </w:rPr>
        <w:t xml:space="preserve">14 </w:t>
      </w:r>
      <w:r>
        <w:t xml:space="preserve">And those who fed the swine fled, and told it in the city, and in the country. And they went out to see what it was that was done.</w:t>
      </w:r>
    </w:p>
    <w:p>
      <w:r>
        <w:rPr>
          <w:b/>
        </w:rPr>
        <w:t xml:space="preserve">15 </w:t>
      </w:r>
      <w:r>
        <w:t xml:space="preserve">And they come to Jesus, and see him who was possessed with the demon, and had the legion, sitting, and clothed, and in his right mind: and they were afraid.</w:t>
      </w:r>
    </w:p>
    <w:p>
      <w:r>
        <w:rPr>
          <w:b/>
        </w:rPr>
        <w:t xml:space="preserve">16 </w:t>
      </w:r>
      <w:r>
        <w:t xml:space="preserve">And those who saw it told them how it befell to him who was possessed with the demon, and also concerning the swine.</w:t>
      </w:r>
    </w:p>
    <w:p>
      <w:r>
        <w:rPr>
          <w:b/>
        </w:rPr>
        <w:t xml:space="preserve">17 </w:t>
      </w:r>
      <w:r>
        <w:t xml:space="preserve">And they began to pray him to depart out of their borders.</w:t>
      </w:r>
    </w:p>
    <w:p>
      <w:r>
        <w:rPr>
          <w:b/>
        </w:rPr>
        <w:t xml:space="preserve">18 </w:t>
      </w:r>
      <w:r>
        <w:t xml:space="preserve">And when he had come into the boat, the one who had been possessed with the demon asked him that he might be with him.</w:t>
      </w:r>
    </w:p>
    <w:p>
      <w:r>
        <w:rPr>
          <w:b/>
        </w:rPr>
        <w:t xml:space="preserve">19 </w:t>
      </w:r>
      <w:r>
        <w:t xml:space="preserve">Nevertheless Jesus did not allow him, but says to him, Go home</w:t>
      </w:r>
      <w:r>
        <w:rPr>
          <w:rStyle w:val="FootnoteReference"/>
        </w:rPr>
        <w:footnoteReference w:id="14990"/>
      </w:r>
      <w:r>
        <w:t xml:space="preserve"> to your friends, and tell them how great things the Lord has done for you, and has had compassion on you.</w:t>
      </w:r>
    </w:p>
    <w:p>
      <w:r>
        <w:rPr>
          <w:b/>
        </w:rPr>
        <w:t xml:space="preserve">20 </w:t>
      </w:r>
      <w:r>
        <w:t xml:space="preserve">And he departed, and began to publish in Decapolis</w:t>
      </w:r>
      <w:r>
        <w:rPr>
          <w:rStyle w:val="FootnoteReference"/>
        </w:rPr>
        <w:footnoteReference w:id="14991"/>
      </w:r>
      <w:r>
        <w:t xml:space="preserve"> how great things Jesus had done for him: and everyone marveled.</w:t>
      </w:r>
    </w:p>
    <w:p>
      <w:r>
        <w:rPr>
          <w:b/>
        </w:rPr>
        <w:t xml:space="preserve">21 </w:t>
      </w:r>
      <w:r>
        <w:t xml:space="preserve">And when Jesus had crossed over again by boat to the other side, many people gathered to him: and he was near the sea.</w:t>
      </w:r>
    </w:p>
    <w:p>
      <w:r>
        <w:rPr>
          <w:b/>
        </w:rPr>
        <w:t xml:space="preserve">22 </w:t>
      </w:r>
      <w:r>
        <w:t xml:space="preserve">And, look, there comes one of the rulers</w:t>
      </w:r>
      <w:r>
        <w:rPr>
          <w:rStyle w:val="FootnoteReference"/>
        </w:rPr>
        <w:footnoteReference w:id="14992"/>
      </w:r>
      <w:r>
        <w:t xml:space="preserve"> of the synagogue, Jairus</w:t>
      </w:r>
      <w:r>
        <w:rPr>
          <w:rStyle w:val="FootnoteReference"/>
        </w:rPr>
        <w:footnoteReference w:id="14993"/>
      </w:r>
      <w:r>
        <w:t xml:space="preserve"> by name; and when he saw him, he fell at his feet,</w:t>
      </w:r>
    </w:p>
    <w:p>
      <w:r>
        <w:rPr>
          <w:b/>
        </w:rPr>
        <w:t xml:space="preserve">23 </w:t>
      </w:r>
      <w:r>
        <w:t xml:space="preserve">And begged him greatly, saying, My little daughter lies at the point of death: I ask you, come and lay your hands on her, that she may be healed; and she shall live.</w:t>
      </w:r>
    </w:p>
    <w:p>
      <w:r>
        <w:rPr>
          <w:b/>
        </w:rPr>
        <w:t xml:space="preserve">24 </w:t>
      </w:r>
      <w:r>
        <w:t xml:space="preserve">And Jesus went</w:t>
      </w:r>
      <w:r>
        <w:rPr>
          <w:rStyle w:val="FootnoteReference"/>
        </w:rPr>
        <w:footnoteReference w:id="14994"/>
      </w:r>
      <w:r>
        <w:t xml:space="preserve"> with him; and many people followed him, and thronged him.</w:t>
      </w:r>
    </w:p>
    <w:p>
      <w:r>
        <w:rPr>
          <w:b/>
        </w:rPr>
        <w:t xml:space="preserve">25 </w:t>
      </w:r>
      <w:r>
        <w:t xml:space="preserve">And a certain woman, who had an issue</w:t>
      </w:r>
      <w:r>
        <w:rPr>
          <w:rStyle w:val="FootnoteReference"/>
        </w:rPr>
        <w:footnoteReference w:id="14995"/>
      </w:r>
      <w:r>
        <w:t xml:space="preserve"> of blood twelve years,</w:t>
      </w:r>
    </w:p>
    <w:p>
      <w:r>
        <w:rPr>
          <w:b/>
        </w:rPr>
        <w:t xml:space="preserve">26 </w:t>
      </w:r>
      <w:r>
        <w:t xml:space="preserve">And had suffered</w:t>
      </w:r>
      <w:r>
        <w:rPr>
          <w:rStyle w:val="FootnoteReference"/>
        </w:rPr>
        <w:footnoteReference w:id="14996"/>
      </w:r>
      <w:r>
        <w:t xml:space="preserve"> many things of many physicians, and had spent all that she had, and was not improved, but rather grew worse,</w:t>
      </w:r>
    </w:p>
    <w:p>
      <w:r>
        <w:rPr>
          <w:b/>
        </w:rPr>
        <w:t xml:space="preserve">27 </w:t>
      </w:r>
      <w:r>
        <w:t xml:space="preserve">When she had heard of Jesus, she came in the crowd behind, and touched</w:t>
      </w:r>
      <w:r>
        <w:rPr>
          <w:rStyle w:val="FootnoteReference"/>
        </w:rPr>
        <w:footnoteReference w:id="14997"/>
      </w:r>
      <w:r>
        <w:t xml:space="preserve"> his clothing.</w:t>
      </w:r>
    </w:p>
    <w:p>
      <w:r>
        <w:rPr>
          <w:b/>
        </w:rPr>
        <w:t xml:space="preserve">28 </w:t>
      </w:r>
      <w:r>
        <w:t xml:space="preserve">For she said, If I may touch even his clothes, I shall be made whole.</w:t>
      </w:r>
    </w:p>
    <w:p>
      <w:r>
        <w:rPr>
          <w:b/>
        </w:rPr>
        <w:t xml:space="preserve">29 </w:t>
      </w:r>
      <w:r>
        <w:t xml:space="preserve">And immediately the fountain</w:t>
      </w:r>
      <w:r>
        <w:rPr>
          <w:rStyle w:val="FootnoteReference"/>
        </w:rPr>
        <w:footnoteReference w:id="14998"/>
      </w:r>
      <w:r>
        <w:t xml:space="preserve"> of her blood was dried up; and she felt in her body that she was healed of that plague.</w:t>
      </w:r>
    </w:p>
    <w:p>
      <w:r>
        <w:rPr>
          <w:b/>
        </w:rPr>
        <w:t xml:space="preserve">30 </w:t>
      </w:r>
      <w:r>
        <w:t xml:space="preserve">And Jesus, immediately knowing in himself that power had gone out of him, turned around in the crowd, and said, Who touched my clothes?</w:t>
      </w:r>
    </w:p>
    <w:p>
      <w:r>
        <w:rPr>
          <w:b/>
        </w:rPr>
        <w:t xml:space="preserve">31 </w:t>
      </w:r>
      <w:r>
        <w:t xml:space="preserve">And his disciples said to him, You see the crowd thronging you, and you say, Who touched me?</w:t>
      </w:r>
    </w:p>
    <w:p>
      <w:r>
        <w:rPr>
          <w:b/>
        </w:rPr>
        <w:t xml:space="preserve">32 </w:t>
      </w:r>
      <w:r>
        <w:t xml:space="preserve">And he looked around to see her who had done this thing.</w:t>
      </w:r>
    </w:p>
    <w:p>
      <w:r>
        <w:rPr>
          <w:b/>
        </w:rPr>
        <w:t xml:space="preserve">33 </w:t>
      </w:r>
      <w:r>
        <w:t xml:space="preserve">But the woman</w:t>
      </w:r>
      <w:r>
        <w:rPr>
          <w:rStyle w:val="FootnoteReference"/>
        </w:rPr>
        <w:footnoteReference w:id="14999"/>
      </w:r>
      <w:r>
        <w:t xml:space="preserve"> fearing and trembling, knowing what was done in her, came and fell down before him, and told him all the truth.</w:t>
      </w:r>
    </w:p>
    <w:p>
      <w:r>
        <w:rPr>
          <w:b/>
        </w:rPr>
        <w:t xml:space="preserve">34 </w:t>
      </w:r>
      <w:r>
        <w:t xml:space="preserve">And he said to her, Daughter, your faith has made you whole; go in peace, and be healed of your plague.</w:t>
      </w:r>
    </w:p>
    <w:p>
      <w:r>
        <w:rPr>
          <w:b/>
        </w:rPr>
        <w:t xml:space="preserve">35 </w:t>
      </w:r>
      <w:r>
        <w:t xml:space="preserve">While he yet spoke, certain people came from the ruler of the synagogue's house who said, Your daughter is dead: why trouble the Teacher any further?</w:t>
      </w:r>
    </w:p>
    <w:p>
      <w:r>
        <w:rPr>
          <w:b/>
        </w:rPr>
        <w:t xml:space="preserve">36 </w:t>
      </w:r>
      <w:r>
        <w:t xml:space="preserve">As soon as Jesus heard the word that was spoken, he says to the ruler of the synagogue, Do not be afraid, only</w:t>
      </w:r>
      <w:r>
        <w:rPr>
          <w:rStyle w:val="FootnoteReference"/>
        </w:rPr>
        <w:footnoteReference w:id="15000"/>
      </w:r>
      <w:r>
        <w:t xml:space="preserve"> believe.</w:t>
      </w:r>
    </w:p>
    <w:p>
      <w:r>
        <w:rPr>
          <w:b/>
        </w:rPr>
        <w:t xml:space="preserve">37 </w:t>
      </w:r>
      <w:r>
        <w:t xml:space="preserve">And he allowed no one to follow him, except Peter, and James, and John the brother of James.</w:t>
      </w:r>
    </w:p>
    <w:p>
      <w:r>
        <w:rPr>
          <w:b/>
        </w:rPr>
        <w:t xml:space="preserve">38 </w:t>
      </w:r>
      <w:r>
        <w:t xml:space="preserve">And he comes to the house of the ruler of the synagogue, and sees the tumult, and those who wept and wailed greatly.</w:t>
      </w:r>
    </w:p>
    <w:p>
      <w:r>
        <w:rPr>
          <w:b/>
        </w:rPr>
        <w:t xml:space="preserve">39 </w:t>
      </w:r>
      <w:r>
        <w:t xml:space="preserve">And when he had come in, he says to them, Why make you this disturbance, and weep? the girl is not dead</w:t>
      </w:r>
      <w:r>
        <w:rPr>
          <w:rStyle w:val="FootnoteReference"/>
        </w:rPr>
        <w:footnoteReference w:id="15001"/>
      </w:r>
      <w:r>
        <w:t xml:space="preserve">, but sleeps.</w:t>
      </w:r>
    </w:p>
    <w:p>
      <w:r>
        <w:rPr>
          <w:b/>
        </w:rPr>
        <w:t xml:space="preserve">40 </w:t>
      </w:r>
      <w:r>
        <w:t xml:space="preserve">And they laughed him to scorn. But when he had put them all out, he takes the father and the mother of the girl, and those who were with him, and enters in where the girl was lying.</w:t>
      </w:r>
    </w:p>
    <w:p>
      <w:r>
        <w:rPr>
          <w:b/>
        </w:rPr>
        <w:t xml:space="preserve">41 </w:t>
      </w:r>
      <w:r>
        <w:t xml:space="preserve">And he took</w:t>
      </w:r>
      <w:r>
        <w:rPr>
          <w:rStyle w:val="FootnoteReference"/>
        </w:rPr>
        <w:footnoteReference w:id="15002"/>
      </w:r>
      <w:r>
        <w:t xml:space="preserve"> the girl by the hand, and said to her, Talitha cumi; which is, being interpreted, Girl, I say to you, arise.</w:t>
      </w:r>
    </w:p>
    <w:p>
      <w:r>
        <w:rPr>
          <w:b/>
        </w:rPr>
        <w:t xml:space="preserve">42 </w:t>
      </w:r>
      <w:r>
        <w:t xml:space="preserve">And immediately the girl arose, and walked; for she was of the age of twelve years. And they were astonished with a great astonishment.</w:t>
      </w:r>
    </w:p>
    <w:p>
      <w:r>
        <w:rPr>
          <w:b/>
        </w:rPr>
        <w:t xml:space="preserve">43 </w:t>
      </w:r>
      <w:r>
        <w:t xml:space="preserve">And he charged</w:t>
      </w:r>
      <w:r>
        <w:rPr>
          <w:rStyle w:val="FootnoteReference"/>
        </w:rPr>
        <w:footnoteReference w:id="15003"/>
      </w:r>
      <w:r>
        <w:t xml:space="preserve"> them strictly that no one should know it; and commanded that something should be given her to eat.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he went out from there, and came</w:t>
      </w:r>
      <w:r>
        <w:rPr>
          <w:rStyle w:val="FootnoteReference"/>
        </w:rPr>
        <w:footnoteReference w:id="15004"/>
      </w:r>
      <w:r>
        <w:t xml:space="preserve"> into his own country; and his disciples follow him.</w:t>
      </w:r>
    </w:p>
    <w:p>
      <w:r>
        <w:rPr>
          <w:b/>
        </w:rPr>
        <w:t xml:space="preserve">2 </w:t>
      </w:r>
      <w:r>
        <w:t xml:space="preserve">And when the Sabbath had come, he began</w:t>
      </w:r>
      <w:r>
        <w:rPr>
          <w:rStyle w:val="FootnoteReference"/>
        </w:rPr>
        <w:footnoteReference w:id="15005"/>
      </w:r>
      <w:r>
        <w:t xml:space="preserve"> to teach in the synagogue: and many hearing him were astonished, saying, from where has this man these things? and what wisdom is this which is given to him, that even such mighty works are worked by his hands?</w:t>
      </w:r>
    </w:p>
    <w:p>
      <w:r>
        <w:rPr>
          <w:b/>
        </w:rPr>
        <w:t xml:space="preserve">3 </w:t>
      </w:r>
      <w:r>
        <w:t xml:space="preserve">Is not this the carpenter</w:t>
      </w:r>
      <w:r>
        <w:rPr>
          <w:rStyle w:val="FootnoteReference"/>
        </w:rPr>
        <w:footnoteReference w:id="15006"/>
      </w:r>
      <w:r>
        <w:t xml:space="preserve">, the son of Mary, the brother of James, and Joses, and of Judas</w:t>
      </w:r>
      <w:r>
        <w:rPr>
          <w:rStyle w:val="FootnoteReference"/>
        </w:rPr>
        <w:footnoteReference w:id="15007"/>
      </w:r>
      <w:r>
        <w:t xml:space="preserve">, and Simon? and are not his sisters here with us? And they were offended at him.</w:t>
      </w:r>
    </w:p>
    <w:p>
      <w:r>
        <w:rPr>
          <w:b/>
        </w:rPr>
        <w:t xml:space="preserve">4 </w:t>
      </w:r>
      <w:r>
        <w:t xml:space="preserve">But Jesus said to them, A prophet is not without honor, except in his own country, and among his own kin, and in his own house.</w:t>
      </w:r>
    </w:p>
    <w:p>
      <w:r>
        <w:rPr>
          <w:b/>
        </w:rPr>
        <w:t xml:space="preserve">5 </w:t>
      </w:r>
      <w:r>
        <w:t xml:space="preserve">And he could do no mighty work there, except that he laid his hands upon a few sick folk, and healed them.</w:t>
      </w:r>
    </w:p>
    <w:p>
      <w:r>
        <w:rPr>
          <w:b/>
        </w:rPr>
        <w:t xml:space="preserve">6 </w:t>
      </w:r>
      <w:r>
        <w:t xml:space="preserve">And he marveled because of their unbelief. And he went</w:t>
      </w:r>
      <w:r>
        <w:rPr>
          <w:rStyle w:val="FootnoteReference"/>
        </w:rPr>
        <w:footnoteReference w:id="15008"/>
      </w:r>
      <w:r>
        <w:t xml:space="preserve"> round about the villages, teaching.</w:t>
      </w:r>
    </w:p>
    <w:p>
      <w:r>
        <w:rPr>
          <w:b/>
        </w:rPr>
        <w:t xml:space="preserve">7 </w:t>
      </w:r>
      <w:r>
        <w:t xml:space="preserve">And he called to him the twelve</w:t>
      </w:r>
      <w:r>
        <w:rPr>
          <w:rStyle w:val="FootnoteReference"/>
        </w:rPr>
        <w:footnoteReference w:id="15009"/>
      </w:r>
      <w:r>
        <w:t xml:space="preserve">, and began to send them forth two by two; and gave them authority over unclean spirits;</w:t>
      </w:r>
    </w:p>
    <w:p>
      <w:r>
        <w:rPr>
          <w:b/>
        </w:rPr>
        <w:t xml:space="preserve">8 </w:t>
      </w:r>
      <w:r>
        <w:t xml:space="preserve">And commanded them that they should take</w:t>
      </w:r>
      <w:r>
        <w:rPr>
          <w:rStyle w:val="FootnoteReference"/>
        </w:rPr>
        <w:footnoteReference w:id="15010"/>
      </w:r>
      <w:r>
        <w:t xml:space="preserve"> nothing for their journey, save a staff only; no pouch, no bread, no money in their purse:</w:t>
      </w:r>
    </w:p>
    <w:p>
      <w:r>
        <w:rPr>
          <w:b/>
        </w:rPr>
        <w:t xml:space="preserve">9 </w:t>
      </w:r>
      <w:r>
        <w:t xml:space="preserve">But be shod</w:t>
      </w:r>
      <w:r>
        <w:rPr>
          <w:rStyle w:val="FootnoteReference"/>
        </w:rPr>
        <w:footnoteReference w:id="15011"/>
      </w:r>
      <w:r>
        <w:t xml:space="preserve"> with sandals; and not put on two tunics.</w:t>
      </w:r>
    </w:p>
    <w:p>
      <w:r>
        <w:rPr>
          <w:b/>
        </w:rPr>
        <w:t xml:space="preserve">10 </w:t>
      </w:r>
      <w:r>
        <w:t xml:space="preserve">And he said to them, Whatever place you enter into a house, remain there till you depart from that place.</w:t>
      </w:r>
    </w:p>
    <w:p>
      <w:r>
        <w:rPr>
          <w:b/>
        </w:rPr>
        <w:t xml:space="preserve">11 </w:t>
      </w:r>
      <w:r>
        <w:t xml:space="preserve">And whoever shall not receive you, nor hear you, when you depart from there, shake off the dust under your feet for a testimony against them. Amen, I say to you, It shall</w:t>
      </w:r>
      <w:r>
        <w:rPr>
          <w:rStyle w:val="FootnoteReference"/>
        </w:rPr>
        <w:footnoteReference w:id="15012"/>
      </w:r>
      <w:r>
        <w:t xml:space="preserve"> be more tolerable for Sodom and Gomorrah in the day of judgment, than for that city.</w:t>
      </w:r>
    </w:p>
    <w:p>
      <w:r>
        <w:rPr>
          <w:b/>
        </w:rPr>
        <w:t xml:space="preserve">12 </w:t>
      </w:r>
      <w:r>
        <w:t xml:space="preserve">And they went out, and preached</w:t>
      </w:r>
      <w:r>
        <w:rPr>
          <w:rStyle w:val="FootnoteReference"/>
        </w:rPr>
        <w:footnoteReference w:id="15013"/>
      </w:r>
      <w:r>
        <w:t xml:space="preserve"> that men should repent.</w:t>
      </w:r>
    </w:p>
    <w:p>
      <w:r>
        <w:rPr>
          <w:b/>
        </w:rPr>
        <w:t xml:space="preserve">13 </w:t>
      </w:r>
      <w:r>
        <w:t xml:space="preserve">And they cast</w:t>
      </w:r>
      <w:r>
        <w:rPr>
          <w:rStyle w:val="FootnoteReference"/>
        </w:rPr>
        <w:footnoteReference w:id="15014"/>
      </w:r>
      <w:r>
        <w:t xml:space="preserve"> out many demons, and anointed with oil many that were sick, and healed them.</w:t>
      </w:r>
    </w:p>
    <w:p>
      <w:r>
        <w:rPr>
          <w:b/>
        </w:rPr>
        <w:t xml:space="preserve">14 </w:t>
      </w:r>
      <w:r>
        <w:t xml:space="preserve">And king Herod</w:t>
      </w:r>
      <w:r>
        <w:rPr>
          <w:rStyle w:val="FootnoteReference"/>
        </w:rPr>
        <w:footnoteReference w:id="15015"/>
      </w:r>
      <w:r>
        <w:t xml:space="preserve"> heard of him; (for his name was spread widely:) and he said, John the Baptist has risen from the dead, and therefore mighty works show themselves in him.</w:t>
      </w:r>
    </w:p>
    <w:p>
      <w:r>
        <w:rPr>
          <w:b/>
        </w:rPr>
        <w:t xml:space="preserve">15 </w:t>
      </w:r>
      <w:r>
        <w:t xml:space="preserve">Others said, That it is Elijah. And others said, That it is a prophet</w:t>
      </w:r>
      <w:r>
        <w:rPr>
          <w:rStyle w:val="FootnoteReference"/>
        </w:rPr>
        <w:footnoteReference w:id="15016"/>
      </w:r>
      <w:r>
        <w:t xml:space="preserve">, or as one of the prophets.</w:t>
      </w:r>
    </w:p>
    <w:p>
      <w:r>
        <w:rPr>
          <w:b/>
        </w:rPr>
        <w:t xml:space="preserve">16 </w:t>
      </w:r>
      <w:r>
        <w:t xml:space="preserve">But when Herod heard of it, he said, It is John, whom I beheaded: he has risen from the dead.</w:t>
      </w:r>
    </w:p>
    <w:p>
      <w:r>
        <w:rPr>
          <w:b/>
        </w:rPr>
        <w:t xml:space="preserve">17 </w:t>
      </w:r>
      <w:r>
        <w:t xml:space="preserve">For Herod</w:t>
      </w:r>
      <w:r>
        <w:rPr>
          <w:rStyle w:val="FootnoteReference"/>
        </w:rPr>
        <w:footnoteReference w:id="15017"/>
      </w:r>
      <w:r>
        <w:t xml:space="preserve"> himself had sent forth and laid hold upon John, and bound him in prison for Herodias' sake, his brother Philip's wife: because he had married her.</w:t>
      </w:r>
    </w:p>
    <w:p>
      <w:r>
        <w:rPr>
          <w:b/>
        </w:rPr>
        <w:t xml:space="preserve">18 </w:t>
      </w:r>
      <w:r>
        <w:t xml:space="preserve">For John had said to Herod, It is not lawful for you to have your brother's wife.</w:t>
      </w:r>
    </w:p>
    <w:p>
      <w:r>
        <w:rPr>
          <w:b/>
        </w:rPr>
        <w:t xml:space="preserve">19 </w:t>
      </w:r>
      <w:r>
        <w:t xml:space="preserve">Therefore Herodias</w:t>
      </w:r>
      <w:r>
        <w:rPr>
          <w:rStyle w:val="FootnoteReference"/>
        </w:rPr>
        <w:footnoteReference w:id="15018"/>
      </w:r>
      <w:r>
        <w:t xml:space="preserve"> held a grudge against him, and would have killed him; but she could not:</w:t>
      </w:r>
    </w:p>
    <w:p>
      <w:r>
        <w:rPr>
          <w:b/>
        </w:rPr>
        <w:t xml:space="preserve">20 </w:t>
      </w:r>
      <w:r>
        <w:t xml:space="preserve">For Herod feared</w:t>
      </w:r>
      <w:r>
        <w:rPr>
          <w:rStyle w:val="FootnoteReference"/>
        </w:rPr>
        <w:footnoteReference w:id="15019"/>
      </w:r>
      <w:r>
        <w:t xml:space="preserve"> John, knowing that he was a just and holy man, and observed him; and when he heard him, he did many things, and heard him gladly.</w:t>
      </w:r>
    </w:p>
    <w:p>
      <w:r>
        <w:rPr>
          <w:b/>
        </w:rPr>
        <w:t xml:space="preserve">21 </w:t>
      </w:r>
      <w:r>
        <w:t xml:space="preserve">And when a suitable day had come, Herod on his birthday</w:t>
      </w:r>
      <w:r>
        <w:rPr>
          <w:rStyle w:val="FootnoteReference"/>
        </w:rPr>
        <w:footnoteReference w:id="15020"/>
      </w:r>
      <w:r>
        <w:t xml:space="preserve"> made a supper to his lords, high captains, and chief men of Galilee;</w:t>
      </w:r>
    </w:p>
    <w:p>
      <w:r>
        <w:rPr>
          <w:b/>
        </w:rPr>
        <w:t xml:space="preserve">22 </w:t>
      </w:r>
      <w:r>
        <w:t xml:space="preserve">And when the daughter of the said Herodias came in, and danced, and pleased Herod and those who sat with him, the king said to the girl, Ask of me whatever you will, and I will give it you.</w:t>
      </w:r>
    </w:p>
    <w:p>
      <w:r>
        <w:rPr>
          <w:b/>
        </w:rPr>
        <w:t xml:space="preserve">23 </w:t>
      </w:r>
      <w:r>
        <w:t xml:space="preserve">And he swore to her, Whatever you shall ask of me, I will give it to you, up to the half of my kingdom.</w:t>
      </w:r>
    </w:p>
    <w:p>
      <w:r>
        <w:rPr>
          <w:b/>
        </w:rPr>
        <w:t xml:space="preserve">24 </w:t>
      </w:r>
      <w:r>
        <w:t xml:space="preserve">And she went forth, and said</w:t>
      </w:r>
      <w:r>
        <w:rPr>
          <w:rStyle w:val="FootnoteReference"/>
        </w:rPr>
        <w:footnoteReference w:id="15021"/>
      </w:r>
      <w:r>
        <w:t xml:space="preserve"> to her mother, What shall I ask? And she said, The head of John the Baptist.</w:t>
      </w:r>
    </w:p>
    <w:p>
      <w:r>
        <w:rPr>
          <w:b/>
        </w:rPr>
        <w:t xml:space="preserve">25 </w:t>
      </w:r>
      <w:r>
        <w:t xml:space="preserve">And she came in immediately with haste</w:t>
      </w:r>
      <w:r>
        <w:rPr>
          <w:rStyle w:val="FootnoteReference"/>
        </w:rPr>
        <w:footnoteReference w:id="15022"/>
      </w:r>
      <w:r>
        <w:t xml:space="preserve"> to the king, and asked, saying, I will that you give me immediately in a platter the head of John the Baptist.</w:t>
      </w:r>
    </w:p>
    <w:p>
      <w:r>
        <w:rPr>
          <w:b/>
        </w:rPr>
        <w:t xml:space="preserve">26 </w:t>
      </w:r>
      <w:r>
        <w:t xml:space="preserve">And the king was exceedingly sorry; yet for his oath's sake, and for their sakes who sat with him, he would not reject her.</w:t>
      </w:r>
    </w:p>
    <w:p>
      <w:r>
        <w:rPr>
          <w:b/>
        </w:rPr>
        <w:t xml:space="preserve">27 </w:t>
      </w:r>
      <w:r>
        <w:t xml:space="preserve">And immediately the king sent an executioner, and commanded his head to be brought: and he went and beheaded him in the prison,</w:t>
      </w:r>
    </w:p>
    <w:p>
      <w:r>
        <w:rPr>
          <w:b/>
        </w:rPr>
        <w:t xml:space="preserve">28 </w:t>
      </w:r>
      <w:r>
        <w:t xml:space="preserve">And brought his head in a platter, and gave it to the girl: and the girl gave it to her mother.</w:t>
      </w:r>
    </w:p>
    <w:p>
      <w:r>
        <w:rPr>
          <w:b/>
        </w:rPr>
        <w:t xml:space="preserve">29 </w:t>
      </w:r>
      <w:r>
        <w:t xml:space="preserve">And when his disciples heard of it, they came</w:t>
      </w:r>
      <w:r>
        <w:rPr>
          <w:rStyle w:val="FootnoteReference"/>
        </w:rPr>
        <w:footnoteReference w:id="15023"/>
      </w:r>
      <w:r>
        <w:t xml:space="preserve"> and took up his corpse, and laid it in a tomb.</w:t>
      </w:r>
    </w:p>
    <w:p>
      <w:r>
        <w:rPr>
          <w:b/>
        </w:rPr>
        <w:t xml:space="preserve">30 </w:t>
      </w:r>
      <w:r>
        <w:t xml:space="preserve">And the apostles</w:t>
      </w:r>
      <w:r>
        <w:rPr>
          <w:rStyle w:val="FootnoteReference"/>
        </w:rPr>
        <w:footnoteReference w:id="15024"/>
      </w:r>
      <w:r>
        <w:t xml:space="preserve"> gathered themselves together to Jesus, and told him all things, both what they had done, and what they had taught.</w:t>
      </w:r>
    </w:p>
    <w:p>
      <w:r>
        <w:rPr>
          <w:b/>
        </w:rPr>
        <w:t xml:space="preserve">31 </w:t>
      </w:r>
      <w:r>
        <w:t xml:space="preserve">And he said to them, Come yourselves apart into a desert place, and rest a while: for there were many coming and going, and they had no leisure even to eat.</w:t>
      </w:r>
    </w:p>
    <w:p>
      <w:r>
        <w:rPr>
          <w:b/>
        </w:rPr>
        <w:t xml:space="preserve">32 </w:t>
      </w:r>
      <w:r>
        <w:t xml:space="preserve">And they departed into a desert place by boat privately.</w:t>
      </w:r>
    </w:p>
    <w:p>
      <w:r>
        <w:rPr>
          <w:b/>
        </w:rPr>
        <w:t xml:space="preserve">33 </w:t>
      </w:r>
      <w:r>
        <w:t xml:space="preserve">And the people saw them departing, and many knew him, and ran on foot there out of all cities, and went before them, and came together to him.</w:t>
      </w:r>
    </w:p>
    <w:p>
      <w:r>
        <w:rPr>
          <w:b/>
        </w:rPr>
        <w:t xml:space="preserve">34 </w:t>
      </w:r>
      <w:r>
        <w:t xml:space="preserve">And Jesus, when he came out, saw many people, and was moved with compassion toward them, because they were as sheep not having a shepherd: and he began to teach them many things.</w:t>
      </w:r>
    </w:p>
    <w:p>
      <w:r>
        <w:rPr>
          <w:b/>
        </w:rPr>
        <w:t xml:space="preserve">35 </w:t>
      </w:r>
      <w:r>
        <w:t xml:space="preserve">And when the day was now far spent, his disciples came to him, and said, This is a desert place, and now the time is late:</w:t>
      </w:r>
    </w:p>
    <w:p>
      <w:r>
        <w:rPr>
          <w:b/>
        </w:rPr>
        <w:t xml:space="preserve">36 </w:t>
      </w:r>
      <w:r>
        <w:t xml:space="preserve">Send them away, that they may go into the country round about, and into the villages, and buy themselves bread: for they have nothing to eat.</w:t>
      </w:r>
    </w:p>
    <w:p>
      <w:r>
        <w:rPr>
          <w:b/>
        </w:rPr>
        <w:t xml:space="preserve">37 </w:t>
      </w:r>
      <w:r>
        <w:t xml:space="preserve">He answered and said to them, You give</w:t>
      </w:r>
      <w:r>
        <w:rPr>
          <w:rStyle w:val="FootnoteReference"/>
        </w:rPr>
        <w:footnoteReference w:id="15025"/>
      </w:r>
      <w:r>
        <w:t xml:space="preserve"> them to eat. And they say to him, Shall we go and buy two hundred denarii worth of bread, and give them to eat?</w:t>
      </w:r>
    </w:p>
    <w:p>
      <w:r>
        <w:rPr>
          <w:b/>
        </w:rPr>
        <w:t xml:space="preserve">38 </w:t>
      </w:r>
      <w:r>
        <w:t xml:space="preserve">He says to them, How many loaves have you? go and see. And when they knew, they say, Five, and two fish.</w:t>
      </w:r>
    </w:p>
    <w:p>
      <w:r>
        <w:rPr>
          <w:b/>
        </w:rPr>
        <w:t xml:space="preserve">39 </w:t>
      </w:r>
      <w:r>
        <w:t xml:space="preserve">And he commanded them to make all sit down in groups upon the green grass.</w:t>
      </w:r>
    </w:p>
    <w:p>
      <w:r>
        <w:rPr>
          <w:b/>
        </w:rPr>
        <w:t xml:space="preserve">40 </w:t>
      </w:r>
      <w:r>
        <w:t xml:space="preserve">And they sat down in ranks, by hundreds</w:t>
      </w:r>
      <w:r>
        <w:rPr>
          <w:rStyle w:val="FootnoteReference"/>
        </w:rPr>
        <w:footnoteReference w:id="15026"/>
      </w:r>
      <w:r>
        <w:t xml:space="preserve">, and by fifties.</w:t>
      </w:r>
    </w:p>
    <w:p>
      <w:r>
        <w:rPr>
          <w:b/>
        </w:rPr>
        <w:t xml:space="preserve">41 </w:t>
      </w:r>
      <w:r>
        <w:t xml:space="preserve">And when he had taken the five loaves and the two fish, he looked</w:t>
      </w:r>
      <w:r>
        <w:rPr>
          <w:rStyle w:val="FootnoteReference"/>
        </w:rPr>
        <w:footnoteReference w:id="15027"/>
      </w:r>
      <w:r>
        <w:t xml:space="preserve"> up to heaven, and blessed, and broke the loaves, and gave them to his disciples to set before them; and the two fish divided he among them all.</w:t>
      </w:r>
    </w:p>
    <w:p>
      <w:r>
        <w:rPr>
          <w:b/>
        </w:rPr>
        <w:t xml:space="preserve">42 </w:t>
      </w:r>
      <w:r>
        <w:t xml:space="preserve">And they all ate, and were filled.</w:t>
      </w:r>
    </w:p>
    <w:p>
      <w:r>
        <w:rPr>
          <w:b/>
        </w:rPr>
        <w:t xml:space="preserve">43 </w:t>
      </w:r>
      <w:r>
        <w:t xml:space="preserve">And they took up twelve baskets full of the fragments, and of the fish.</w:t>
      </w:r>
    </w:p>
    <w:p>
      <w:r>
        <w:rPr>
          <w:b/>
        </w:rPr>
        <w:t xml:space="preserve">44 </w:t>
      </w:r>
      <w:r>
        <w:t xml:space="preserve">And those who ate of the loaves were about five thousand men.</w:t>
      </w:r>
    </w:p>
    <w:p>
      <w:r>
        <w:rPr>
          <w:b/>
        </w:rPr>
        <w:t xml:space="preserve">45 </w:t>
      </w:r>
      <w:r>
        <w:t xml:space="preserve">And immediately he constrained his disciples to get into the boat, and to go to the other side before to Bethsaida, while he sent away the people.</w:t>
      </w:r>
    </w:p>
    <w:p>
      <w:r>
        <w:rPr>
          <w:b/>
        </w:rPr>
        <w:t xml:space="preserve">46 </w:t>
      </w:r>
      <w:r>
        <w:t xml:space="preserve">And when he had sent them away, he departed onto a mountain to pray.</w:t>
      </w:r>
    </w:p>
    <w:p>
      <w:r>
        <w:rPr>
          <w:b/>
        </w:rPr>
        <w:t xml:space="preserve">47 </w:t>
      </w:r>
      <w:r>
        <w:t xml:space="preserve">And when even had come, the boat was in the midst of the sea, and he alone on the land.</w:t>
      </w:r>
    </w:p>
    <w:p>
      <w:r>
        <w:rPr>
          <w:b/>
        </w:rPr>
        <w:t xml:space="preserve">48 </w:t>
      </w:r>
      <w:r>
        <w:t xml:space="preserve">And he saw</w:t>
      </w:r>
      <w:r>
        <w:rPr>
          <w:rStyle w:val="FootnoteReference"/>
        </w:rPr>
        <w:footnoteReference w:id="15028"/>
      </w:r>
      <w:r>
        <w:t xml:space="preserve"> them toiling in rowing; for the wind was contrary to them: and about the fourth watch of the night he comes to them, walking upon the sea, and would have passed by them.</w:t>
      </w:r>
    </w:p>
    <w:p>
      <w:r>
        <w:rPr>
          <w:b/>
        </w:rPr>
        <w:t xml:space="preserve">49 </w:t>
      </w:r>
      <w:r>
        <w:t xml:space="preserve">But when they saw</w:t>
      </w:r>
      <w:r>
        <w:rPr>
          <w:rStyle w:val="FootnoteReference"/>
        </w:rPr>
        <w:footnoteReference w:id="15029"/>
      </w:r>
      <w:r>
        <w:t xml:space="preserve"> him walking upon the sea, they supposed it was a spirit, and cried out:</w:t>
      </w:r>
    </w:p>
    <w:p>
      <w:r>
        <w:rPr>
          <w:b/>
        </w:rPr>
        <w:t xml:space="preserve">50 </w:t>
      </w:r>
      <w:r>
        <w:t xml:space="preserve">For they all saw him, and were troubled. And immediately he talked with them, and says to them, take courage: it is I</w:t>
      </w:r>
      <w:r>
        <w:rPr>
          <w:rStyle w:val="FootnoteReference"/>
        </w:rPr>
        <w:footnoteReference w:id="15030"/>
      </w:r>
      <w:r>
        <w:t xml:space="preserve">; do not be afraid.</w:t>
      </w:r>
    </w:p>
    <w:p>
      <w:r>
        <w:rPr>
          <w:b/>
        </w:rPr>
        <w:t xml:space="preserve">51 </w:t>
      </w:r>
      <w:r>
        <w:t xml:space="preserve">And he went up to them into the boat; and the wind ceased: and they were greatly amazed in themselves beyond measure, and wondered.</w:t>
      </w:r>
    </w:p>
    <w:p>
      <w:r>
        <w:rPr>
          <w:b/>
        </w:rPr>
        <w:t xml:space="preserve">52 </w:t>
      </w:r>
      <w:r>
        <w:t xml:space="preserve">For they did not consider the miracle of the loaves: for their</w:t>
      </w:r>
      <w:r>
        <w:rPr>
          <w:rStyle w:val="FootnoteReference"/>
        </w:rPr>
        <w:footnoteReference w:id="15031"/>
      </w:r>
      <w:r>
        <w:t xml:space="preserve"> heart was hardened.</w:t>
      </w:r>
    </w:p>
    <w:p>
      <w:r>
        <w:rPr>
          <w:b/>
        </w:rPr>
        <w:t xml:space="preserve">53 </w:t>
      </w:r>
      <w:r>
        <w:t xml:space="preserve">And when they had passed over, they came into the land of Gennesaret, and drew to the shore.</w:t>
      </w:r>
    </w:p>
    <w:p>
      <w:r>
        <w:rPr>
          <w:b/>
        </w:rPr>
        <w:t xml:space="preserve">54 </w:t>
      </w:r>
      <w:r>
        <w:t xml:space="preserve">And when they had come out of the boat, immediately they knew</w:t>
      </w:r>
      <w:r>
        <w:rPr>
          <w:rStyle w:val="FootnoteReference"/>
        </w:rPr>
        <w:footnoteReference w:id="15032"/>
      </w:r>
      <w:r>
        <w:t xml:space="preserve"> him,</w:t>
      </w:r>
    </w:p>
    <w:p>
      <w:r>
        <w:rPr>
          <w:b/>
        </w:rPr>
        <w:t xml:space="preserve">55 </w:t>
      </w:r>
      <w:r>
        <w:t xml:space="preserve">And ran through that whole region round about, and began to carry around in beds those who were sick, wherever they heard he was.</w:t>
      </w:r>
    </w:p>
    <w:p>
      <w:r>
        <w:rPr>
          <w:b/>
        </w:rPr>
        <w:t xml:space="preserve">56 </w:t>
      </w:r>
      <w:r>
        <w:t xml:space="preserve">And wherever he entered, into villages, or cities, or country, they laid</w:t>
      </w:r>
      <w:r>
        <w:rPr>
          <w:rStyle w:val="FootnoteReference"/>
        </w:rPr>
        <w:footnoteReference w:id="15033"/>
      </w:r>
      <w:r>
        <w:t xml:space="preserve"> the sick in the streets, and begged him that they might touch even the border of his clothing: and as many as touched him were made whole.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Then the Pharisees</w:t>
      </w:r>
      <w:r>
        <w:rPr>
          <w:rStyle w:val="FootnoteReference"/>
        </w:rPr>
        <w:footnoteReference w:id="15034"/>
      </w:r>
      <w:r>
        <w:t xml:space="preserve">, and certain of the scribes who came from Jerusalem, came together to him.</w:t>
      </w:r>
    </w:p>
    <w:p>
      <w:r>
        <w:rPr>
          <w:b/>
        </w:rPr>
        <w:t xml:space="preserve">2 </w:t>
      </w:r>
      <w:r>
        <w:t xml:space="preserve">And when they saw some of his disciples eat bread with defiled</w:t>
      </w:r>
      <w:r>
        <w:rPr>
          <w:rStyle w:val="FootnoteReference"/>
        </w:rPr>
        <w:footnoteReference w:id="15035"/>
      </w:r>
      <w:r>
        <w:t xml:space="preserve">, that is to say, with unwashed, hands, they found fault.</w:t>
      </w:r>
    </w:p>
    <w:p>
      <w:r>
        <w:rPr>
          <w:b/>
        </w:rPr>
        <w:t xml:space="preserve">3 </w:t>
      </w:r>
      <w:r>
        <w:t xml:space="preserve">For the Pharisees, and all the Jews, except they wash their hands often, do not eat, holding the tradition</w:t>
      </w:r>
      <w:r>
        <w:rPr>
          <w:rStyle w:val="FootnoteReference"/>
        </w:rPr>
        <w:footnoteReference w:id="15036"/>
      </w:r>
      <w:r>
        <w:t xml:space="preserve"> of the elders.</w:t>
      </w:r>
    </w:p>
    <w:p>
      <w:r>
        <w:rPr>
          <w:b/>
        </w:rPr>
        <w:t xml:space="preserve">4 </w:t>
      </w:r>
      <w:r>
        <w:t xml:space="preserve">And when they come from the market, except</w:t>
      </w:r>
      <w:r>
        <w:rPr>
          <w:rStyle w:val="FootnoteReference"/>
        </w:rPr>
        <w:footnoteReference w:id="15037"/>
      </w:r>
      <w:r>
        <w:t xml:space="preserve"> they wash, they do not eat. And many other things there are, which they have received to hold, as the washing of cups, and pots, bronze vessels, and tables.</w:t>
      </w:r>
    </w:p>
    <w:p>
      <w:r>
        <w:rPr>
          <w:b/>
        </w:rPr>
        <w:t xml:space="preserve">5 </w:t>
      </w:r>
      <w:r>
        <w:t xml:space="preserve">Then the Pharisees and scribes asked him, Why do your disciples not walk according to the tradition of the elders, but eat bread with unwashed hands?</w:t>
      </w:r>
    </w:p>
    <w:p>
      <w:r>
        <w:rPr>
          <w:b/>
        </w:rPr>
        <w:t xml:space="preserve">6 </w:t>
      </w:r>
      <w:r>
        <w:t xml:space="preserve">He answered and said to them, Well</w:t>
      </w:r>
      <w:r>
        <w:rPr>
          <w:rStyle w:val="FootnoteReference"/>
        </w:rPr>
        <w:footnoteReference w:id="15038"/>
      </w:r>
      <w:r>
        <w:t xml:space="preserve"> has Isaiah prophesied of you hypocrites, as it is written, This people honors me with their lips, but their heart is far from me.</w:t>
      </w:r>
    </w:p>
    <w:p>
      <w:r>
        <w:rPr>
          <w:b/>
        </w:rPr>
        <w:t xml:space="preserve">7 </w:t>
      </w:r>
      <w:r>
        <w:t xml:space="preserve">Nevertheless they worship me in vain</w:t>
      </w:r>
      <w:r>
        <w:rPr>
          <w:rStyle w:val="FootnoteReference"/>
        </w:rPr>
        <w:footnoteReference w:id="15039"/>
      </w:r>
      <w:r>
        <w:t xml:space="preserve">, teaching for doctrines the commandments of men.</w:t>
      </w:r>
    </w:p>
    <w:p>
      <w:r>
        <w:rPr>
          <w:b/>
        </w:rPr>
        <w:t xml:space="preserve">8 </w:t>
      </w:r>
      <w:r>
        <w:t xml:space="preserve">For laying</w:t>
      </w:r>
      <w:r>
        <w:rPr>
          <w:rStyle w:val="FootnoteReference"/>
        </w:rPr>
        <w:footnoteReference w:id="15040"/>
      </w:r>
      <w:r>
        <w:t xml:space="preserve"> aside the commandment of God, you hold the tradition of men, as the washing of pots and cups: and many other such things you do.</w:t>
      </w:r>
    </w:p>
    <w:p>
      <w:r>
        <w:rPr>
          <w:b/>
        </w:rPr>
        <w:t xml:space="preserve">9 </w:t>
      </w:r>
      <w:r>
        <w:t xml:space="preserve">And he said to them, You fully reject</w:t>
      </w:r>
      <w:r>
        <w:rPr>
          <w:rStyle w:val="FootnoteReference"/>
        </w:rPr>
        <w:footnoteReference w:id="15041"/>
      </w:r>
      <w:r>
        <w:t xml:space="preserve"> the commandment of God, that you may keep your own tradition.</w:t>
      </w:r>
    </w:p>
    <w:p>
      <w:r>
        <w:rPr>
          <w:b/>
        </w:rPr>
        <w:t xml:space="preserve">10 </w:t>
      </w:r>
      <w:r>
        <w:t xml:space="preserve">For Moses said, Honor your father and your mother; and, Whoever curses father or mother, let him surely die:</w:t>
      </w:r>
    </w:p>
    <w:p>
      <w:r>
        <w:rPr>
          <w:b/>
        </w:rPr>
        <w:t xml:space="preserve">11 </w:t>
      </w:r>
      <w:r>
        <w:t xml:space="preserve">But you say, If a man shall say to his father or mother, It is Corban</w:t>
      </w:r>
      <w:r>
        <w:rPr>
          <w:rStyle w:val="FootnoteReference"/>
        </w:rPr>
        <w:footnoteReference w:id="15042"/>
      </w:r>
      <w:r>
        <w:t xml:space="preserve">, that is to say, a gift, by whatever you might have been profited by me; he shall be free.</w:t>
      </w:r>
    </w:p>
    <w:p>
      <w:r>
        <w:rPr>
          <w:b/>
        </w:rPr>
        <w:t xml:space="preserve">12 </w:t>
      </w:r>
      <w:r>
        <w:t xml:space="preserve">And you no longer allow him to do anything for his father or his mother;</w:t>
      </w:r>
    </w:p>
    <w:p>
      <w:r>
        <w:rPr>
          <w:b/>
        </w:rPr>
        <w:t xml:space="preserve">13 </w:t>
      </w:r>
      <w:r>
        <w:t xml:space="preserve">Making the word</w:t>
      </w:r>
      <w:r>
        <w:rPr>
          <w:rStyle w:val="FootnoteReference"/>
        </w:rPr>
        <w:footnoteReference w:id="15043"/>
      </w:r>
      <w:r>
        <w:t xml:space="preserve"> of God of no effect through your tradition, which you have delivered: and many such things you do.</w:t>
      </w:r>
    </w:p>
    <w:p>
      <w:r>
        <w:rPr>
          <w:b/>
        </w:rPr>
        <w:t xml:space="preserve">14 </w:t>
      </w:r>
      <w:r>
        <w:t xml:space="preserve">And when he had called all the people to him, he said to them, Listen to me every one of you, and understand</w:t>
      </w:r>
      <w:r>
        <w:rPr>
          <w:rStyle w:val="FootnoteReference"/>
        </w:rPr>
        <w:footnoteReference w:id="15044"/>
      </w:r>
      <w:r>
        <w:t xml:space="preserve">:</w:t>
      </w:r>
    </w:p>
    <w:p>
      <w:r>
        <w:rPr>
          <w:b/>
        </w:rPr>
        <w:t xml:space="preserve">15 </w:t>
      </w:r>
      <w:r>
        <w:t xml:space="preserve">There is nothing</w:t>
      </w:r>
      <w:r>
        <w:rPr>
          <w:rStyle w:val="FootnoteReference"/>
        </w:rPr>
        <w:footnoteReference w:id="15045"/>
      </w:r>
      <w:r>
        <w:t xml:space="preserve"> from outside a man, that entering into him can defile him: but the things which come out of him, those are the things that defile the man.</w:t>
      </w:r>
    </w:p>
    <w:p>
      <w:r>
        <w:rPr>
          <w:b/>
        </w:rPr>
        <w:t xml:space="preserve">16 </w:t>
      </w:r>
      <w:r>
        <w:t xml:space="preserve">If anyone has ears to hear, let him hear.</w:t>
      </w:r>
    </w:p>
    <w:p>
      <w:r>
        <w:rPr>
          <w:b/>
        </w:rPr>
        <w:t xml:space="preserve">17 </w:t>
      </w:r>
      <w:r>
        <w:t xml:space="preserve">And when he had entered into the house away from the people, his disciples asked him concerning the parable.</w:t>
      </w:r>
    </w:p>
    <w:p>
      <w:r>
        <w:rPr>
          <w:b/>
        </w:rPr>
        <w:t xml:space="preserve">18 </w:t>
      </w:r>
      <w:r>
        <w:t xml:space="preserve">And he says to them, Are you also so without understanding? Do you not perceive, that whatever thing from outside enters into the man, it cannot defile him;</w:t>
      </w:r>
    </w:p>
    <w:p>
      <w:r>
        <w:rPr>
          <w:b/>
        </w:rPr>
        <w:t xml:space="preserve">19 </w:t>
      </w:r>
      <w:r>
        <w:t xml:space="preserve">Because it enters not into his heart, but into the belly, and goes out into the latrine, purging all foods?</w:t>
      </w:r>
    </w:p>
    <w:p>
      <w:r>
        <w:rPr>
          <w:b/>
        </w:rPr>
        <w:t xml:space="preserve">20 </w:t>
      </w:r>
      <w:r>
        <w:t xml:space="preserve">And he said, That which comes out of the man, that defiles the man.</w:t>
      </w:r>
    </w:p>
    <w:p>
      <w:r>
        <w:rPr>
          <w:b/>
        </w:rPr>
        <w:t xml:space="preserve">21 </w:t>
      </w:r>
      <w:r>
        <w:t xml:space="preserve">For from within, out of the heart of men, proceed evil</w:t>
      </w:r>
      <w:r>
        <w:rPr>
          <w:rStyle w:val="FootnoteReference"/>
        </w:rPr>
        <w:footnoteReference w:id="15046"/>
      </w:r>
      <w:r>
        <w:t xml:space="preserve"> thoughts, adulteries, sexual immoralities, murders,</w:t>
      </w:r>
    </w:p>
    <w:p>
      <w:r>
        <w:rPr>
          <w:b/>
        </w:rPr>
        <w:t xml:space="preserve">22 </w:t>
      </w:r>
      <w:r>
        <w:t xml:space="preserve">Thefts, covetousness, wickedness, deceit, licentiousness, an evil</w:t>
      </w:r>
      <w:r>
        <w:rPr>
          <w:rStyle w:val="FootnoteReference"/>
        </w:rPr>
        <w:footnoteReference w:id="15047"/>
      </w:r>
      <w:r>
        <w:t xml:space="preserve"> eye, blasphemy, pride, foolishness:</w:t>
      </w:r>
    </w:p>
    <w:p>
      <w:r>
        <w:rPr>
          <w:b/>
        </w:rPr>
        <w:t xml:space="preserve">23 </w:t>
      </w:r>
      <w:r>
        <w:t xml:space="preserve">All these evil things come from within, and defile</w:t>
      </w:r>
      <w:r>
        <w:rPr>
          <w:rStyle w:val="FootnoteReference"/>
        </w:rPr>
        <w:footnoteReference w:id="15048"/>
      </w:r>
      <w:r>
        <w:t xml:space="preserve"> the man.</w:t>
      </w:r>
    </w:p>
    <w:p>
      <w:r>
        <w:rPr>
          <w:b/>
        </w:rPr>
        <w:t xml:space="preserve">24 </w:t>
      </w:r>
      <w:r>
        <w:t xml:space="preserve">And from there he arose, and went into the borders of Tyre</w:t>
      </w:r>
      <w:r>
        <w:rPr>
          <w:rStyle w:val="FootnoteReference"/>
        </w:rPr>
        <w:footnoteReference w:id="15049"/>
      </w:r>
      <w:r>
        <w:t xml:space="preserve"> and Sidon, and entered into a house, and would have no one know it: but he could not be hidden.</w:t>
      </w:r>
    </w:p>
    <w:p>
      <w:r>
        <w:rPr>
          <w:b/>
        </w:rPr>
        <w:t xml:space="preserve">25 </w:t>
      </w:r>
      <w:r>
        <w:t xml:space="preserve">For a certain woman, whose young daughter had an unclean spirit, heard of him, and came and fell at his feet:</w:t>
      </w:r>
    </w:p>
    <w:p>
      <w:r>
        <w:rPr>
          <w:b/>
        </w:rPr>
        <w:t xml:space="preserve">26 </w:t>
      </w:r>
      <w:r>
        <w:t xml:space="preserve">The woman was a Greek</w:t>
      </w:r>
      <w:r>
        <w:rPr>
          <w:rStyle w:val="FootnoteReference"/>
        </w:rPr>
        <w:footnoteReference w:id="15050"/>
      </w:r>
      <w:r>
        <w:t xml:space="preserve">, a Syrophenician by nation; and she begged him that he would cast forth the demon out of her daughter.</w:t>
      </w:r>
      <w:r>
        <w:rPr>
          <w:rStyle w:val="FootnoteReference"/>
        </w:rPr>
        <w:footnoteReference w:id="15051"/>
      </w:r>
    </w:p>
    <w:p>
      <w:r>
        <w:rPr>
          <w:b/>
        </w:rPr>
        <w:t xml:space="preserve">27 </w:t>
      </w:r>
      <w:r>
        <w:t xml:space="preserve">But Jesus said to her, Let the children first be filled: for it is not fitting to take the children's bread, and to cast it to the dogs.</w:t>
      </w:r>
    </w:p>
    <w:p>
      <w:r>
        <w:rPr>
          <w:b/>
        </w:rPr>
        <w:t xml:space="preserve">28 </w:t>
      </w:r>
      <w:r>
        <w:t xml:space="preserve">And she answered and said to him, Yes, Lord: yet the dogs under the table eat of the children's crumbs.</w:t>
      </w:r>
    </w:p>
    <w:p>
      <w:r>
        <w:rPr>
          <w:b/>
        </w:rPr>
        <w:t xml:space="preserve">29 </w:t>
      </w:r>
      <w:r>
        <w:t xml:space="preserve">And he said to her, For this saying go your way; the demon is gone out of your daughter.</w:t>
      </w:r>
    </w:p>
    <w:p>
      <w:r>
        <w:rPr>
          <w:b/>
        </w:rPr>
        <w:t xml:space="preserve">30 </w:t>
      </w:r>
      <w:r>
        <w:t xml:space="preserve">And when she had come to her house, she found</w:t>
      </w:r>
      <w:r>
        <w:rPr>
          <w:rStyle w:val="FootnoteReference"/>
        </w:rPr>
        <w:footnoteReference w:id="15052"/>
      </w:r>
      <w:r>
        <w:t xml:space="preserve"> the demon gone out, and her daughter laid upon the bed.</w:t>
      </w:r>
    </w:p>
    <w:p>
      <w:r>
        <w:rPr>
          <w:b/>
        </w:rPr>
        <w:t xml:space="preserve">31 </w:t>
      </w:r>
      <w:r>
        <w:t xml:space="preserve">And again, departing from the borders of Tyre and Sidon, he came to the sea of Galilee, through the midst of the borders of Decapolis</w:t>
      </w:r>
      <w:r>
        <w:rPr>
          <w:rStyle w:val="FootnoteReference"/>
        </w:rPr>
        <w:footnoteReference w:id="15053"/>
      </w:r>
      <w:r>
        <w:t xml:space="preserve">.</w:t>
      </w:r>
    </w:p>
    <w:p>
      <w:r>
        <w:rPr>
          <w:b/>
        </w:rPr>
        <w:t xml:space="preserve">32 </w:t>
      </w:r>
      <w:r>
        <w:t xml:space="preserve">And they bring to him one that was deaf, and had a speech impediment; and they plead to him to put his hand upon him.</w:t>
      </w:r>
    </w:p>
    <w:p>
      <w:r>
        <w:rPr>
          <w:b/>
        </w:rPr>
        <w:t xml:space="preserve">33 </w:t>
      </w:r>
      <w:r>
        <w:t xml:space="preserve">And he took</w:t>
      </w:r>
      <w:r>
        <w:rPr>
          <w:rStyle w:val="FootnoteReference"/>
        </w:rPr>
        <w:footnoteReference w:id="15054"/>
      </w:r>
      <w:r>
        <w:t xml:space="preserve"> him aside from the crowd, and put his fingers into his ears, and he spit, and touched his tongue;</w:t>
      </w:r>
    </w:p>
    <w:p>
      <w:r>
        <w:rPr>
          <w:b/>
        </w:rPr>
        <w:t xml:space="preserve">34 </w:t>
      </w:r>
      <w:r>
        <w:t xml:space="preserve">And looking</w:t>
      </w:r>
      <w:r>
        <w:rPr>
          <w:rStyle w:val="FootnoteReference"/>
        </w:rPr>
        <w:footnoteReference w:id="15055"/>
      </w:r>
      <w:r>
        <w:t xml:space="preserve"> up to heaven, he sighed, and says to him, Ephphatha</w:t>
      </w:r>
      <w:r>
        <w:rPr>
          <w:rStyle w:val="FootnoteReference"/>
        </w:rPr>
        <w:footnoteReference w:id="15056"/>
      </w:r>
      <w:r>
        <w:t xml:space="preserve">, that is, Be opened.</w:t>
      </w:r>
    </w:p>
    <w:p>
      <w:r>
        <w:rPr>
          <w:b/>
        </w:rPr>
        <w:t xml:space="preserve">35 </w:t>
      </w:r>
      <w:r>
        <w:t xml:space="preserve">And immediately his ears were opened, and the bond of his tongue was loosed, and he spoke plainly.</w:t>
      </w:r>
    </w:p>
    <w:p>
      <w:r>
        <w:rPr>
          <w:b/>
        </w:rPr>
        <w:t xml:space="preserve">36 </w:t>
      </w:r>
      <w:r>
        <w:t xml:space="preserve">And he charged them that they should tell no one: but the more he charged them, so much the more a great deal they published it;</w:t>
      </w:r>
    </w:p>
    <w:p>
      <w:r>
        <w:rPr>
          <w:b/>
        </w:rPr>
        <w:t xml:space="preserve">37 </w:t>
      </w:r>
      <w:r>
        <w:t xml:space="preserve">And they were beyond measure astonished, saying, He has done all things well: he makes both the deaf to hear, and the mute to speak.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In those days, the crowd being very great, and having nothing to eat, Jesus called his disciples to him, and says to them,</w:t>
      </w:r>
    </w:p>
    <w:p>
      <w:r>
        <w:rPr>
          <w:b/>
        </w:rPr>
        <w:t xml:space="preserve">2 </w:t>
      </w:r>
      <w:r>
        <w:t xml:space="preserve">I have compassion</w:t>
      </w:r>
      <w:r>
        <w:rPr>
          <w:rStyle w:val="FootnoteReference"/>
        </w:rPr>
        <w:footnoteReference w:id="15057"/>
      </w:r>
      <w:r>
        <w:t xml:space="preserve"> on the crowd, because they have now been with me three days, and have nothing to eat:</w:t>
      </w:r>
    </w:p>
    <w:p>
      <w:r>
        <w:rPr>
          <w:b/>
        </w:rPr>
        <w:t xml:space="preserve">3 </w:t>
      </w:r>
      <w:r>
        <w:t xml:space="preserve">And if I send them away fasting to their own houses, they will faint by the way: for some of them came from far.</w:t>
      </w:r>
    </w:p>
    <w:p>
      <w:r>
        <w:rPr>
          <w:b/>
        </w:rPr>
        <w:t xml:space="preserve">4 </w:t>
      </w:r>
      <w:r>
        <w:t xml:space="preserve">And his disciples answered him, from where can a man satisfy these men with bread here in the wilderness?</w:t>
      </w:r>
    </w:p>
    <w:p>
      <w:r>
        <w:rPr>
          <w:b/>
        </w:rPr>
        <w:t xml:space="preserve">5 </w:t>
      </w:r>
      <w:r>
        <w:t xml:space="preserve">And he asked them, How many loaves have you? And they said, Seven.</w:t>
      </w:r>
    </w:p>
    <w:p>
      <w:r>
        <w:rPr>
          <w:b/>
        </w:rPr>
        <w:t xml:space="preserve">6 </w:t>
      </w:r>
      <w:r>
        <w:t xml:space="preserve">And he commanded the people to sit</w:t>
      </w:r>
      <w:r>
        <w:rPr>
          <w:rStyle w:val="FootnoteReference"/>
        </w:rPr>
        <w:footnoteReference w:id="15058"/>
      </w:r>
      <w:r>
        <w:t xml:space="preserve"> down on the ground: and he took the seven loaves, and gave thanks, and broke them, and gave them to his disciples to set before them; and they set them before the people.</w:t>
      </w:r>
    </w:p>
    <w:p>
      <w:r>
        <w:rPr>
          <w:b/>
        </w:rPr>
        <w:t xml:space="preserve">7 </w:t>
      </w:r>
      <w:r>
        <w:t xml:space="preserve">And they had a few small fish: and he blessed</w:t>
      </w:r>
      <w:r>
        <w:rPr>
          <w:rStyle w:val="FootnoteReference"/>
        </w:rPr>
        <w:footnoteReference w:id="15059"/>
      </w:r>
      <w:r>
        <w:t xml:space="preserve">, and commanded to set them also before them.</w:t>
      </w:r>
    </w:p>
    <w:p>
      <w:r>
        <w:rPr>
          <w:b/>
        </w:rPr>
        <w:t xml:space="preserve">8 </w:t>
      </w:r>
      <w:r>
        <w:t xml:space="preserve">So they all ate, and were</w:t>
      </w:r>
      <w:r>
        <w:rPr>
          <w:rStyle w:val="FootnoteReference"/>
        </w:rPr>
        <w:footnoteReference w:id="15060"/>
      </w:r>
      <w:r>
        <w:t xml:space="preserve"> filled: and they took up of the broken food that was left seven baskets.</w:t>
      </w:r>
    </w:p>
    <w:p>
      <w:r>
        <w:rPr>
          <w:b/>
        </w:rPr>
        <w:t xml:space="preserve">9 </w:t>
      </w:r>
      <w:r>
        <w:t xml:space="preserve">And those who had eaten were about four thousand: and he sent them away.</w:t>
      </w:r>
    </w:p>
    <w:p>
      <w:r>
        <w:rPr>
          <w:b/>
        </w:rPr>
        <w:t xml:space="preserve">10 </w:t>
      </w:r>
      <w:r>
        <w:t xml:space="preserve">And immediately he entered into a boat with his disciples, and came into the parts of Dalmanutha</w:t>
      </w:r>
      <w:r>
        <w:rPr>
          <w:rStyle w:val="FootnoteReference"/>
        </w:rPr>
        <w:footnoteReference w:id="15061"/>
      </w:r>
      <w:r>
        <w:t xml:space="preserve">.</w:t>
      </w:r>
    </w:p>
    <w:p>
      <w:r>
        <w:rPr>
          <w:b/>
        </w:rPr>
        <w:t xml:space="preserve">11 </w:t>
      </w:r>
      <w:r>
        <w:t xml:space="preserve">And the Pharisees</w:t>
      </w:r>
      <w:r>
        <w:rPr>
          <w:rStyle w:val="FootnoteReference"/>
        </w:rPr>
        <w:footnoteReference w:id="15062"/>
      </w:r>
      <w:r>
        <w:t xml:space="preserve"> came forth, and began to question with him, seeking from him a sign from heaven, testing him.</w:t>
      </w:r>
    </w:p>
    <w:p>
      <w:r>
        <w:rPr>
          <w:b/>
        </w:rPr>
        <w:t xml:space="preserve">12 </w:t>
      </w:r>
      <w:r>
        <w:t xml:space="preserve">And he sighed</w:t>
      </w:r>
      <w:r>
        <w:rPr>
          <w:rStyle w:val="FootnoteReference"/>
        </w:rPr>
        <w:footnoteReference w:id="15063"/>
      </w:r>
      <w:r>
        <w:t xml:space="preserve"> deeply in his spirit, and says, Why does this generation seek after a sign? Amen, I say to you, There shall no sign be given to this generation.</w:t>
      </w:r>
    </w:p>
    <w:p>
      <w:r>
        <w:rPr>
          <w:b/>
        </w:rPr>
        <w:t xml:space="preserve">13 </w:t>
      </w:r>
      <w:r>
        <w:t xml:space="preserve">And he left them, and entering into the boat again departed to the other side.</w:t>
      </w:r>
    </w:p>
    <w:p>
      <w:r>
        <w:rPr>
          <w:b/>
        </w:rPr>
        <w:t xml:space="preserve">14 </w:t>
      </w:r>
      <w:r>
        <w:t xml:space="preserve">Now the disciples had forgotten</w:t>
      </w:r>
      <w:r>
        <w:rPr>
          <w:rStyle w:val="FootnoteReference"/>
        </w:rPr>
        <w:footnoteReference w:id="15064"/>
      </w:r>
      <w:r>
        <w:t xml:space="preserve"> to take bread, neither had they in the boat with them more than one loaf.</w:t>
      </w:r>
    </w:p>
    <w:p>
      <w:r>
        <w:rPr>
          <w:b/>
        </w:rPr>
        <w:t xml:space="preserve">15 </w:t>
      </w:r>
      <w:r>
        <w:t xml:space="preserve">And he charged</w:t>
      </w:r>
      <w:r>
        <w:rPr>
          <w:rStyle w:val="FootnoteReference"/>
        </w:rPr>
        <w:footnoteReference w:id="15065"/>
      </w:r>
      <w:r>
        <w:t xml:space="preserve"> them, saying, Take heed, beware of the leaven of the Pharisees, and of the leaven of Herod.</w:t>
      </w:r>
    </w:p>
    <w:p>
      <w:r>
        <w:rPr>
          <w:b/>
        </w:rPr>
        <w:t xml:space="preserve">16 </w:t>
      </w:r>
      <w:r>
        <w:t xml:space="preserve">And they reasoned among themselves, saying, It is because we have no bread.</w:t>
      </w:r>
    </w:p>
    <w:p>
      <w:r>
        <w:rPr>
          <w:b/>
        </w:rPr>
        <w:t xml:space="preserve">17 </w:t>
      </w:r>
      <w:r>
        <w:t xml:space="preserve">And when Jesus knew</w:t>
      </w:r>
      <w:r>
        <w:rPr>
          <w:rStyle w:val="FootnoteReference"/>
        </w:rPr>
        <w:footnoteReference w:id="15066"/>
      </w:r>
      <w:r>
        <w:t xml:space="preserve"> it, he says to them, Why do you reason, because you have no bread? do you not yet perceive, nor understand? is your heart still hardened?</w:t>
      </w:r>
    </w:p>
    <w:p>
      <w:r>
        <w:rPr>
          <w:b/>
        </w:rPr>
        <w:t xml:space="preserve">18 </w:t>
      </w:r>
      <w:r>
        <w:t xml:space="preserve">Having eyes, do you not see? and having ears, do you not hear? and do you not remember?</w:t>
      </w:r>
    </w:p>
    <w:p>
      <w:r>
        <w:rPr>
          <w:b/>
        </w:rPr>
        <w:t xml:space="preserve">19 </w:t>
      </w:r>
      <w:r>
        <w:t xml:space="preserve">When I broke the five</w:t>
      </w:r>
      <w:r>
        <w:rPr>
          <w:rStyle w:val="FootnoteReference"/>
        </w:rPr>
        <w:footnoteReference w:id="15067"/>
      </w:r>
      <w:r>
        <w:t xml:space="preserve"> loaves among five thousand, how many baskets full of fragments did you take up? They say to him, Twelve.</w:t>
      </w:r>
    </w:p>
    <w:p>
      <w:r>
        <w:rPr>
          <w:b/>
        </w:rPr>
        <w:t xml:space="preserve">20 </w:t>
      </w:r>
      <w:r>
        <w:t xml:space="preserve">And when the seven among four thousand, how many baskets full of fragments did you take up? And they said, Seven.</w:t>
      </w:r>
    </w:p>
    <w:p>
      <w:r>
        <w:rPr>
          <w:b/>
        </w:rPr>
        <w:t xml:space="preserve">21 </w:t>
      </w:r>
      <w:r>
        <w:t xml:space="preserve">And he said to them, How is it that you do not understand?</w:t>
      </w:r>
    </w:p>
    <w:p>
      <w:r>
        <w:rPr>
          <w:b/>
        </w:rPr>
        <w:t xml:space="preserve">22 </w:t>
      </w:r>
      <w:r>
        <w:t xml:space="preserve">And he comes to Bethsaida</w:t>
      </w:r>
      <w:r>
        <w:rPr>
          <w:rStyle w:val="FootnoteReference"/>
        </w:rPr>
        <w:footnoteReference w:id="15068"/>
      </w:r>
      <w:r>
        <w:t xml:space="preserve">; and they bring a blind man to him, and begged him to touch him.</w:t>
      </w:r>
    </w:p>
    <w:p>
      <w:r>
        <w:rPr>
          <w:b/>
        </w:rPr>
        <w:t xml:space="preserve">23 </w:t>
      </w:r>
      <w:r>
        <w:t xml:space="preserve">And he took the blind man by the hand, and led him out of the town; and when he had spit</w:t>
      </w:r>
      <w:r>
        <w:rPr>
          <w:rStyle w:val="FootnoteReference"/>
        </w:rPr>
        <w:footnoteReference w:id="15069"/>
      </w:r>
      <w:r>
        <w:t xml:space="preserve"> on his eyes, and put his hands upon him, he asked him if he saw anything.</w:t>
      </w:r>
    </w:p>
    <w:p>
      <w:r>
        <w:rPr>
          <w:b/>
        </w:rPr>
        <w:t xml:space="preserve">24 </w:t>
      </w:r>
      <w:r>
        <w:t xml:space="preserve">And he looked up, and said, I see</w:t>
      </w:r>
      <w:r>
        <w:rPr>
          <w:rStyle w:val="FootnoteReference"/>
        </w:rPr>
        <w:footnoteReference w:id="15070"/>
      </w:r>
      <w:r>
        <w:t xml:space="preserve"> men as trees, walking.</w:t>
      </w:r>
    </w:p>
    <w:p>
      <w:r>
        <w:rPr>
          <w:b/>
        </w:rPr>
        <w:t xml:space="preserve">25 </w:t>
      </w:r>
      <w:r>
        <w:t xml:space="preserve">After that he put his hands again upon his eyes, and made him look up: and he was restored, and saw</w:t>
      </w:r>
      <w:r>
        <w:rPr>
          <w:rStyle w:val="FootnoteReference"/>
        </w:rPr>
        <w:footnoteReference w:id="15071"/>
      </w:r>
      <w:r>
        <w:t xml:space="preserve"> everyone clearly.</w:t>
      </w:r>
    </w:p>
    <w:p>
      <w:r>
        <w:rPr>
          <w:b/>
        </w:rPr>
        <w:t xml:space="preserve">26 </w:t>
      </w:r>
      <w:r>
        <w:t xml:space="preserve">And he sent him away to his house, saying, Do not go into the town, nor tell it to any in the town.</w:t>
      </w:r>
    </w:p>
    <w:p>
      <w:r>
        <w:rPr>
          <w:b/>
        </w:rPr>
        <w:t xml:space="preserve">27 </w:t>
      </w:r>
      <w:r>
        <w:t xml:space="preserve">And Jesus went out, and his disciples, into the towns</w:t>
      </w:r>
      <w:r>
        <w:rPr>
          <w:rStyle w:val="FootnoteReference"/>
        </w:rPr>
        <w:footnoteReference w:id="15072"/>
      </w:r>
      <w:r>
        <w:t xml:space="preserve"> of Caesarea Philippi: and on the way he asked his disciples, saying to them, Who do men say that I am?</w:t>
      </w:r>
    </w:p>
    <w:p>
      <w:r>
        <w:rPr>
          <w:b/>
        </w:rPr>
        <w:t xml:space="preserve">28 </w:t>
      </w:r>
      <w:r>
        <w:t xml:space="preserve">And they answered, John</w:t>
      </w:r>
      <w:r>
        <w:rPr>
          <w:rStyle w:val="FootnoteReference"/>
        </w:rPr>
        <w:footnoteReference w:id="15073"/>
      </w:r>
      <w:r>
        <w:t xml:space="preserve"> the Baptist; but some say, Elijah; and others, One of the prophets.</w:t>
      </w:r>
    </w:p>
    <w:p>
      <w:r>
        <w:rPr>
          <w:b/>
        </w:rPr>
        <w:t xml:space="preserve">29 </w:t>
      </w:r>
      <w:r>
        <w:t xml:space="preserve">And he says to them, But who do you say that I am? And Peter answers and says to him, You are the Christ.</w:t>
      </w:r>
    </w:p>
    <w:p>
      <w:r>
        <w:rPr>
          <w:b/>
        </w:rPr>
        <w:t xml:space="preserve">30 </w:t>
      </w:r>
      <w:r>
        <w:t xml:space="preserve">And he charged them that they should tell no one of him.</w:t>
      </w:r>
    </w:p>
    <w:p>
      <w:r>
        <w:rPr>
          <w:b/>
        </w:rPr>
        <w:t xml:space="preserve">31 </w:t>
      </w:r>
      <w:r>
        <w:t xml:space="preserve">And he began</w:t>
      </w:r>
      <w:r>
        <w:rPr>
          <w:rStyle w:val="FootnoteReference"/>
        </w:rPr>
        <w:footnoteReference w:id="15074"/>
      </w:r>
      <w:r>
        <w:t xml:space="preserve"> to teach them, that the Son of man must suffer many things, and be rejected by the elders, and by the chief priests, and scribes, and be killed, and after three days rise again.</w:t>
      </w:r>
    </w:p>
    <w:p>
      <w:r>
        <w:rPr>
          <w:b/>
        </w:rPr>
        <w:t xml:space="preserve">32 </w:t>
      </w:r>
      <w:r>
        <w:t xml:space="preserve">And he spoke that saying openly</w:t>
      </w:r>
      <w:r>
        <w:rPr>
          <w:rStyle w:val="FootnoteReference"/>
        </w:rPr>
        <w:footnoteReference w:id="15075"/>
      </w:r>
      <w:r>
        <w:t xml:space="preserve">. And Peter took him, and began to rebuke him.</w:t>
      </w:r>
    </w:p>
    <w:p>
      <w:r>
        <w:rPr>
          <w:b/>
        </w:rPr>
        <w:t xml:space="preserve">33 </w:t>
      </w:r>
      <w:r>
        <w:t xml:space="preserve">But when he had turned</w:t>
      </w:r>
      <w:r>
        <w:rPr>
          <w:rStyle w:val="FootnoteReference"/>
        </w:rPr>
        <w:footnoteReference w:id="15076"/>
      </w:r>
      <w:r>
        <w:t xml:space="preserve"> about and looked on his disciples, he rebuked Peter, saying, Get behind me, Satan: for you do not mind the things that are of God, but the things that are of men.</w:t>
      </w:r>
    </w:p>
    <w:p>
      <w:r>
        <w:rPr>
          <w:b/>
        </w:rPr>
        <w:t xml:space="preserve">34 </w:t>
      </w:r>
      <w:r>
        <w:t xml:space="preserve">And when he had called</w:t>
      </w:r>
      <w:r>
        <w:rPr>
          <w:rStyle w:val="FootnoteReference"/>
        </w:rPr>
        <w:footnoteReference w:id="15077"/>
      </w:r>
      <w:r>
        <w:t xml:space="preserve"> the people to him with his disciples also, he said to them, Whoever will come after me, let him deny himself, and take up his cross, and follow me.</w:t>
      </w:r>
    </w:p>
    <w:p>
      <w:r>
        <w:rPr>
          <w:b/>
        </w:rPr>
        <w:t xml:space="preserve">35 </w:t>
      </w:r>
      <w:r>
        <w:t xml:space="preserve">For whoever will save</w:t>
      </w:r>
      <w:r>
        <w:rPr>
          <w:rStyle w:val="FootnoteReference"/>
        </w:rPr>
        <w:footnoteReference w:id="15078"/>
      </w:r>
      <w:r>
        <w:t xml:space="preserve"> his life shall lose it; but whoever shall lose his life for my sake and the good news, the same shall save it.</w:t>
      </w:r>
    </w:p>
    <w:p>
      <w:r>
        <w:rPr>
          <w:b/>
        </w:rPr>
        <w:t xml:space="preserve">36 </w:t>
      </w:r>
      <w:r>
        <w:t xml:space="preserve">For what shall it profit</w:t>
      </w:r>
      <w:r>
        <w:rPr>
          <w:rStyle w:val="FootnoteReference"/>
        </w:rPr>
        <w:footnoteReference w:id="15079"/>
      </w:r>
      <w:r>
        <w:t xml:space="preserve"> a man, if he shall gain the whole world, and lose his own soul?</w:t>
      </w:r>
    </w:p>
    <w:p>
      <w:r>
        <w:rPr>
          <w:b/>
        </w:rPr>
        <w:t xml:space="preserve">37 </w:t>
      </w:r>
      <w:r>
        <w:t xml:space="preserve">Or what shall a man give in exchange for his soul?</w:t>
      </w:r>
    </w:p>
    <w:p>
      <w:r>
        <w:rPr>
          <w:b/>
        </w:rPr>
        <w:t xml:space="preserve">38 </w:t>
      </w:r>
      <w:r>
        <w:t xml:space="preserve">Whoever therefore shall be ashamed</w:t>
      </w:r>
      <w:r>
        <w:rPr>
          <w:rStyle w:val="FootnoteReference"/>
        </w:rPr>
        <w:footnoteReference w:id="15080"/>
      </w:r>
      <w:r>
        <w:t xml:space="preserve"> of me and of my words in this adulterous and sinful generation; of him also shall the Son of man be ashamed, when he comes in the glory of his Father with the holy angels.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he said to them, Amen, I say to you, That there is some of those who stand here, which shall not taste</w:t>
      </w:r>
      <w:r>
        <w:rPr>
          <w:rStyle w:val="FootnoteReference"/>
        </w:rPr>
        <w:footnoteReference w:id="15081"/>
      </w:r>
      <w:r>
        <w:t xml:space="preserve"> of death, till they have seen the kingdom of God come with power.</w:t>
      </w:r>
    </w:p>
    <w:p>
      <w:r>
        <w:rPr>
          <w:b/>
        </w:rPr>
        <w:t xml:space="preserve">2 </w:t>
      </w:r>
      <w:r>
        <w:t xml:space="preserve">And after six days Jesus takes with him Peter</w:t>
      </w:r>
      <w:r>
        <w:rPr>
          <w:rStyle w:val="FootnoteReference"/>
        </w:rPr>
        <w:footnoteReference w:id="15082"/>
      </w:r>
      <w:r>
        <w:t xml:space="preserve">, and James, and John, and leads them up into a high mountain apart by themselves: and he was transfigured before them.</w:t>
      </w:r>
    </w:p>
    <w:p>
      <w:r>
        <w:rPr>
          <w:b/>
        </w:rPr>
        <w:t xml:space="preserve">3 </w:t>
      </w:r>
      <w:r>
        <w:t xml:space="preserve">And his clothing became shining, exceedingly white as snow; such as no launderer on earth can whiten them.</w:t>
      </w:r>
    </w:p>
    <w:p>
      <w:r>
        <w:rPr>
          <w:b/>
        </w:rPr>
        <w:t xml:space="preserve">4 </w:t>
      </w:r>
      <w:r>
        <w:t xml:space="preserve">And there appeared</w:t>
      </w:r>
      <w:r>
        <w:rPr>
          <w:rStyle w:val="FootnoteReference"/>
        </w:rPr>
        <w:footnoteReference w:id="15083"/>
      </w:r>
      <w:r>
        <w:t xml:space="preserve"> to them Elijah with Moses: and they were talking with Jesus.</w:t>
      </w:r>
    </w:p>
    <w:p>
      <w:r>
        <w:rPr>
          <w:b/>
        </w:rPr>
        <w:t xml:space="preserve">5 </w:t>
      </w:r>
      <w:r>
        <w:t xml:space="preserve">And Peter answered and said to Jesus, Teacher, it is good for us to be here: and let us make three tabernacles; one for you, and one for Moses, and one for Elijah.</w:t>
      </w:r>
    </w:p>
    <w:p>
      <w:r>
        <w:rPr>
          <w:b/>
        </w:rPr>
        <w:t xml:space="preserve">6 </w:t>
      </w:r>
      <w:r>
        <w:t xml:space="preserve">For he does not know what to say; for they were greatly afraid.</w:t>
      </w:r>
    </w:p>
    <w:p>
      <w:r>
        <w:rPr>
          <w:b/>
        </w:rPr>
        <w:t xml:space="preserve">7 </w:t>
      </w:r>
      <w:r>
        <w:t xml:space="preserve">And there was a cloud</w:t>
      </w:r>
      <w:r>
        <w:rPr>
          <w:rStyle w:val="FootnoteReference"/>
        </w:rPr>
        <w:footnoteReference w:id="15084"/>
      </w:r>
      <w:r>
        <w:t xml:space="preserve"> that overshadowed them: and a voice came out of the cloud, saying, This is my beloved Son: hear him.</w:t>
      </w:r>
    </w:p>
    <w:p>
      <w:r>
        <w:rPr>
          <w:b/>
        </w:rPr>
        <w:t xml:space="preserve">8 </w:t>
      </w:r>
      <w:r>
        <w:t xml:space="preserve">And suddenly, when they had looked round about, they saw no one any more, except Jesus only with themselves.</w:t>
      </w:r>
    </w:p>
    <w:p>
      <w:r>
        <w:rPr>
          <w:b/>
        </w:rPr>
        <w:t xml:space="preserve">9 </w:t>
      </w:r>
      <w:r>
        <w:t xml:space="preserve">And as they came down from the mountain, he charged</w:t>
      </w:r>
      <w:r>
        <w:rPr>
          <w:rStyle w:val="FootnoteReference"/>
        </w:rPr>
        <w:footnoteReference w:id="15085"/>
      </w:r>
      <w:r>
        <w:t xml:space="preserve"> them that they should tell no one what things they had seen, till the Son of man were risen from the dead.</w:t>
      </w:r>
    </w:p>
    <w:p>
      <w:r>
        <w:rPr>
          <w:b/>
        </w:rPr>
        <w:t xml:space="preserve">10 </w:t>
      </w:r>
      <w:r>
        <w:t xml:space="preserve">And they kept that saying with themselves, questioning one with another what rising from the dead should mean.</w:t>
      </w:r>
    </w:p>
    <w:p>
      <w:r>
        <w:rPr>
          <w:b/>
        </w:rPr>
        <w:t xml:space="preserve">11 </w:t>
      </w:r>
      <w:r>
        <w:t xml:space="preserve">And they asked him, saying, Why do the scribes say that Elijah must first come?</w:t>
      </w:r>
    </w:p>
    <w:p>
      <w:r>
        <w:rPr>
          <w:b/>
        </w:rPr>
        <w:t xml:space="preserve">12 </w:t>
      </w:r>
      <w:r>
        <w:t xml:space="preserve">And he answered and told them, Elijah truly comes first, and restores all things; and how it is written of the Son of man, that he must</w:t>
      </w:r>
      <w:r>
        <w:rPr>
          <w:rStyle w:val="FootnoteReference"/>
        </w:rPr>
        <w:footnoteReference w:id="15086"/>
      </w:r>
      <w:r>
        <w:t xml:space="preserve"> suffer many things, and be treated with contempt.</w:t>
      </w:r>
    </w:p>
    <w:p>
      <w:r>
        <w:rPr>
          <w:b/>
        </w:rPr>
        <w:t xml:space="preserve">13 </w:t>
      </w:r>
      <w:r>
        <w:t xml:space="preserve">But I say to you, That Elijah has indeed come, and they have done to him whatever they wished, as it is written of him.</w:t>
      </w:r>
    </w:p>
    <w:p>
      <w:r>
        <w:rPr>
          <w:b/>
        </w:rPr>
        <w:t xml:space="preserve">14 </w:t>
      </w:r>
      <w:r>
        <w:t xml:space="preserve">And when he came to his disciples, he saw a great crowd about them, and the scribes</w:t>
      </w:r>
      <w:r>
        <w:rPr>
          <w:rStyle w:val="FootnoteReference"/>
        </w:rPr>
        <w:footnoteReference w:id="15087"/>
      </w:r>
      <w:r>
        <w:t xml:space="preserve"> questioning with them.</w:t>
      </w:r>
    </w:p>
    <w:p>
      <w:r>
        <w:rPr>
          <w:b/>
        </w:rPr>
        <w:t xml:space="preserve">15 </w:t>
      </w:r>
      <w:r>
        <w:t xml:space="preserve">And immediately all the people, when they beheld him, were greatly amazed, and running to him greeted him.</w:t>
      </w:r>
    </w:p>
    <w:p>
      <w:r>
        <w:rPr>
          <w:b/>
        </w:rPr>
        <w:t xml:space="preserve">16 </w:t>
      </w:r>
      <w:r>
        <w:t xml:space="preserve">And he asked the scribes, What do you question with them?</w:t>
      </w:r>
    </w:p>
    <w:p>
      <w:r>
        <w:rPr>
          <w:b/>
        </w:rPr>
        <w:t xml:space="preserve">17 </w:t>
      </w:r>
      <w:r>
        <w:t xml:space="preserve">And one of the crowd answered and said, Teacher, I have brought to you my son, who has a mute spirit;</w:t>
      </w:r>
    </w:p>
    <w:p>
      <w:r>
        <w:rPr>
          <w:b/>
        </w:rPr>
        <w:t xml:space="preserve">18 </w:t>
      </w:r>
      <w:r>
        <w:t xml:space="preserve">And wherever he takes him, he tears him: and he foams, and gnashes with his teeth, and pines away: and I spoke to your disciples that they should cast him out; and they could not.</w:t>
      </w:r>
    </w:p>
    <w:p>
      <w:r>
        <w:rPr>
          <w:b/>
        </w:rPr>
        <w:t xml:space="preserve">19 </w:t>
      </w:r>
      <w:r>
        <w:t xml:space="preserve">He answers him, and says, O faithless</w:t>
      </w:r>
      <w:r>
        <w:rPr>
          <w:rStyle w:val="FootnoteReference"/>
        </w:rPr>
        <w:footnoteReference w:id="15088"/>
      </w:r>
      <w:r>
        <w:t xml:space="preserve"> generation, how long shall I be with you? how long shall I bear with you? bring him to me.</w:t>
      </w:r>
    </w:p>
    <w:p>
      <w:r>
        <w:rPr>
          <w:b/>
        </w:rPr>
        <w:t xml:space="preserve">20 </w:t>
      </w:r>
      <w:r>
        <w:t xml:space="preserve">And they brought him to him: and when he saw him, immediately the spirit</w:t>
      </w:r>
      <w:r>
        <w:rPr>
          <w:rStyle w:val="FootnoteReference"/>
        </w:rPr>
        <w:footnoteReference w:id="15089"/>
      </w:r>
      <w:r>
        <w:t xml:space="preserve"> tore him; and he fell on the ground, and wallowed foaming.</w:t>
      </w:r>
    </w:p>
    <w:p>
      <w:r>
        <w:rPr>
          <w:b/>
        </w:rPr>
        <w:t xml:space="preserve">21 </w:t>
      </w:r>
      <w:r>
        <w:t xml:space="preserve">And he asked his father, How long has this been happening to him? And he said, From childhood.</w:t>
      </w:r>
    </w:p>
    <w:p>
      <w:r>
        <w:rPr>
          <w:b/>
        </w:rPr>
        <w:t xml:space="preserve">22 </w:t>
      </w:r>
      <w:r>
        <w:t xml:space="preserve">And frequently it has cast him into the fire, and into the waters, to destroy him: but if you can do anything, have compassion on us, and help us.</w:t>
      </w:r>
    </w:p>
    <w:p>
      <w:r>
        <w:rPr>
          <w:b/>
        </w:rPr>
        <w:t xml:space="preserve">23 </w:t>
      </w:r>
      <w:r>
        <w:t xml:space="preserve">Jesus said to him, If you can believe, all things are possible to him who believes.</w:t>
      </w:r>
    </w:p>
    <w:p>
      <w:r>
        <w:rPr>
          <w:b/>
        </w:rPr>
        <w:t xml:space="preserve">24 </w:t>
      </w:r>
      <w:r>
        <w:t xml:space="preserve">And immediately the father of the child cried out, and said with tears, Lord, I believe; help</w:t>
      </w:r>
      <w:r>
        <w:rPr>
          <w:rStyle w:val="FootnoteReference"/>
        </w:rPr>
        <w:footnoteReference w:id="15090"/>
      </w:r>
      <w:r>
        <w:t xml:space="preserve"> my unbelief.</w:t>
      </w:r>
    </w:p>
    <w:p>
      <w:r>
        <w:rPr>
          <w:b/>
        </w:rPr>
        <w:t xml:space="preserve">25 </w:t>
      </w:r>
      <w:r>
        <w:t xml:space="preserve">When Jesus saw that the people came running together, he rebuked</w:t>
      </w:r>
      <w:r>
        <w:rPr>
          <w:rStyle w:val="FootnoteReference"/>
        </w:rPr>
        <w:footnoteReference w:id="15091"/>
      </w:r>
      <w:r>
        <w:t xml:space="preserve"> the unclean spirit, saying to him, You mute and deaf spirit, I charge you, come out of him, and enter no more into him.</w:t>
      </w:r>
    </w:p>
    <w:p>
      <w:r>
        <w:rPr>
          <w:b/>
        </w:rPr>
        <w:t xml:space="preserve">26 </w:t>
      </w:r>
      <w:r>
        <w:t xml:space="preserve">And the spirit cried</w:t>
      </w:r>
      <w:r>
        <w:rPr>
          <w:rStyle w:val="FootnoteReference"/>
        </w:rPr>
        <w:footnoteReference w:id="15092"/>
      </w:r>
      <w:r>
        <w:t xml:space="preserve">, and convulsed him greatly, and came out of him: and he was as one dead; so that many said, He is dead.</w:t>
      </w:r>
    </w:p>
    <w:p>
      <w:r>
        <w:rPr>
          <w:b/>
        </w:rPr>
        <w:t xml:space="preserve">27 </w:t>
      </w:r>
      <w:r>
        <w:t xml:space="preserve">But Jesus took him by the hand, and lifted him up; and he arose.</w:t>
      </w:r>
    </w:p>
    <w:p>
      <w:r>
        <w:rPr>
          <w:b/>
        </w:rPr>
        <w:t xml:space="preserve">28 </w:t>
      </w:r>
      <w:r>
        <w:t xml:space="preserve">And when he had come into the house, his disciples asked</w:t>
      </w:r>
      <w:r>
        <w:rPr>
          <w:rStyle w:val="FootnoteReference"/>
        </w:rPr>
        <w:footnoteReference w:id="15093"/>
      </w:r>
      <w:r>
        <w:t xml:space="preserve"> him privately, Why could we not cast him out?</w:t>
      </w:r>
    </w:p>
    <w:p>
      <w:r>
        <w:rPr>
          <w:b/>
        </w:rPr>
        <w:t xml:space="preserve">29 </w:t>
      </w:r>
      <w:r>
        <w:t xml:space="preserve">And he said to them, This kind can come forth by nothing, but by prayer</w:t>
      </w:r>
      <w:r>
        <w:rPr>
          <w:rStyle w:val="FootnoteReference"/>
        </w:rPr>
        <w:footnoteReference w:id="15094"/>
      </w:r>
      <w:r>
        <w:t xml:space="preserve"> and fasting.</w:t>
      </w:r>
    </w:p>
    <w:p>
      <w:r>
        <w:rPr>
          <w:b/>
        </w:rPr>
        <w:t xml:space="preserve">30 </w:t>
      </w:r>
      <w:r>
        <w:t xml:space="preserve">And they departed from there, and passed through Galilee; and he did not want anyone to know it.</w:t>
      </w:r>
    </w:p>
    <w:p>
      <w:r>
        <w:rPr>
          <w:b/>
        </w:rPr>
        <w:t xml:space="preserve">31 </w:t>
      </w:r>
      <w:r>
        <w:t xml:space="preserve">For he taught his disciples, and said to them, The Son</w:t>
      </w:r>
      <w:r>
        <w:rPr>
          <w:rStyle w:val="FootnoteReference"/>
        </w:rPr>
        <w:footnoteReference w:id="15095"/>
      </w:r>
      <w:r>
        <w:t xml:space="preserve"> of man is delivered into the hands of men, and they shall kill him; and after he has been killed, he shall rise the third day.</w:t>
      </w:r>
    </w:p>
    <w:p>
      <w:r>
        <w:rPr>
          <w:b/>
        </w:rPr>
        <w:t xml:space="preserve">32 </w:t>
      </w:r>
      <w:r>
        <w:t xml:space="preserve">But they did not understand that saying, and were afraid to ask him.</w:t>
      </w:r>
    </w:p>
    <w:p>
      <w:r>
        <w:rPr>
          <w:b/>
        </w:rPr>
        <w:t xml:space="preserve">33 </w:t>
      </w:r>
      <w:r>
        <w:t xml:space="preserve">And he came</w:t>
      </w:r>
      <w:r>
        <w:rPr>
          <w:rStyle w:val="FootnoteReference"/>
        </w:rPr>
        <w:footnoteReference w:id="15096"/>
      </w:r>
      <w:r>
        <w:t xml:space="preserve"> to Capernaum: and being in the house he asked them, What was it that you disputed among yourselves on the way?</w:t>
      </w:r>
    </w:p>
    <w:p>
      <w:r>
        <w:rPr>
          <w:b/>
        </w:rPr>
        <w:t xml:space="preserve">34 </w:t>
      </w:r>
      <w:r>
        <w:t xml:space="preserve">But they were silent: for by the way they had</w:t>
      </w:r>
      <w:r>
        <w:rPr>
          <w:rStyle w:val="FootnoteReference"/>
        </w:rPr>
        <w:footnoteReference w:id="15097"/>
      </w:r>
      <w:r>
        <w:t xml:space="preserve"> disputed among themselves, who should be the greatest.</w:t>
      </w:r>
    </w:p>
    <w:p>
      <w:r>
        <w:rPr>
          <w:b/>
        </w:rPr>
        <w:t xml:space="preserve">35 </w:t>
      </w:r>
      <w:r>
        <w:t xml:space="preserve">And he sat down, and called the twelve, and says to them, If anyone desires to be first, the same shall be last of all, and servant of all.</w:t>
      </w:r>
    </w:p>
    <w:p>
      <w:r>
        <w:rPr>
          <w:b/>
        </w:rPr>
        <w:t xml:space="preserve">36 </w:t>
      </w:r>
      <w:r>
        <w:t xml:space="preserve">And he took a child, and set him in the midst of them: and when he had taken him in his arms, he said to them,</w:t>
      </w:r>
    </w:p>
    <w:p>
      <w:r>
        <w:rPr>
          <w:b/>
        </w:rPr>
        <w:t xml:space="preserve">37 </w:t>
      </w:r>
      <w:r>
        <w:t xml:space="preserve">Whoever shall receive one</w:t>
      </w:r>
      <w:r>
        <w:rPr>
          <w:rStyle w:val="FootnoteReference"/>
        </w:rPr>
        <w:footnoteReference w:id="15098"/>
      </w:r>
      <w:r>
        <w:t xml:space="preserve"> of such children in my name, receives me: and whoever shall receive me, does not receive me, but him who sent me.</w:t>
      </w:r>
    </w:p>
    <w:p>
      <w:r>
        <w:rPr>
          <w:b/>
        </w:rPr>
        <w:t xml:space="preserve">38 </w:t>
      </w:r>
      <w:r>
        <w:t xml:space="preserve">And John answered him, saying, Teacher, we saw one casting out demons in your name, and he follows not us: and we forbade him, because he follows not us.</w:t>
      </w:r>
    </w:p>
    <w:p>
      <w:r>
        <w:rPr>
          <w:b/>
        </w:rPr>
        <w:t xml:space="preserve">39 </w:t>
      </w:r>
      <w:r>
        <w:t xml:space="preserve">But Jesus said, Do not forbid</w:t>
      </w:r>
      <w:r>
        <w:rPr>
          <w:rStyle w:val="FootnoteReference"/>
        </w:rPr>
        <w:footnoteReference w:id="15099"/>
      </w:r>
      <w:r>
        <w:t xml:space="preserve"> him: for there is no one who shall do a miracle in my name, that can lightly speak evil of me.</w:t>
      </w:r>
    </w:p>
    <w:p>
      <w:r>
        <w:rPr>
          <w:b/>
        </w:rPr>
        <w:t xml:space="preserve">40 </w:t>
      </w:r>
      <w:r>
        <w:t xml:space="preserve">For the one who is not against us is for us.</w:t>
      </w:r>
    </w:p>
    <w:p>
      <w:r>
        <w:rPr>
          <w:b/>
        </w:rPr>
        <w:t xml:space="preserve">41 </w:t>
      </w:r>
      <w:r>
        <w:t xml:space="preserve">For whoever shall give you a cup of water to drink in my name, because you belong to Christ, Amen, I say to you, he shall not lose his reward.</w:t>
      </w:r>
    </w:p>
    <w:p>
      <w:r>
        <w:rPr>
          <w:b/>
        </w:rPr>
        <w:t xml:space="preserve">42 </w:t>
      </w:r>
      <w:r>
        <w:t xml:space="preserve">And whoever shall offend</w:t>
      </w:r>
      <w:r>
        <w:rPr>
          <w:rStyle w:val="FootnoteReference"/>
        </w:rPr>
        <w:footnoteReference w:id="15100"/>
      </w:r>
      <w:r>
        <w:t xml:space="preserve"> one of these little ones that believe in me, it is better for him if a millstone were hung around his neck, and he were cast into the sea.</w:t>
      </w:r>
    </w:p>
    <w:p>
      <w:r>
        <w:rPr>
          <w:b/>
        </w:rPr>
        <w:t xml:space="preserve">43 </w:t>
      </w:r>
      <w:r>
        <w:t xml:space="preserve">And if your hand cause you to stumble, cut it off: it is better for you to enter into life physically disabled, than having two hands to go into Gehenna, into the fire that never shall be quenched:</w:t>
      </w:r>
    </w:p>
    <w:p>
      <w:r>
        <w:rPr>
          <w:b/>
        </w:rPr>
        <w:t xml:space="preserve">44 </w:t>
      </w:r>
      <w:r>
        <w:t xml:space="preserve">Where their</w:t>
      </w:r>
      <w:r>
        <w:rPr>
          <w:rStyle w:val="FootnoteReference"/>
        </w:rPr>
        <w:footnoteReference w:id="15101"/>
      </w:r>
      <w:r>
        <w:t xml:space="preserve"> worm dies not, and the fire is not quenched.</w:t>
      </w:r>
    </w:p>
    <w:p>
      <w:r>
        <w:rPr>
          <w:b/>
        </w:rPr>
        <w:t xml:space="preserve">45 </w:t>
      </w:r>
      <w:r>
        <w:t xml:space="preserve">And if your foot cause you to stumble, cut it off: it is better for you to enter halt into life, than having two feet to be cast into Gehenna, into the fire that never shall be quenched:</w:t>
      </w:r>
    </w:p>
    <w:p>
      <w:r>
        <w:rPr>
          <w:b/>
        </w:rPr>
        <w:t xml:space="preserve">46 </w:t>
      </w:r>
      <w:r>
        <w:t xml:space="preserve">Where their worm dies not, and the fire is not quenched.</w:t>
      </w:r>
    </w:p>
    <w:p>
      <w:r>
        <w:rPr>
          <w:b/>
        </w:rPr>
        <w:t xml:space="preserve">47 </w:t>
      </w:r>
      <w:r>
        <w:t xml:space="preserve">And if your eye cause you to stumble, pluck it out: it is better for you to enter into the kingdom of God with one eye, than having two eyes to be cast into Gehenna of fire:</w:t>
      </w:r>
    </w:p>
    <w:p>
      <w:r>
        <w:rPr>
          <w:b/>
        </w:rPr>
        <w:t xml:space="preserve">48 </w:t>
      </w:r>
      <w:r>
        <w:t xml:space="preserve">Where their worm dies not, and the fire is not quenched.</w:t>
      </w:r>
    </w:p>
    <w:p>
      <w:r>
        <w:rPr>
          <w:b/>
        </w:rPr>
        <w:t xml:space="preserve">49 </w:t>
      </w:r>
      <w:r>
        <w:t xml:space="preserve">For every one shall be salted with fire, and every</w:t>
      </w:r>
      <w:r>
        <w:rPr>
          <w:rStyle w:val="FootnoteReference"/>
        </w:rPr>
        <w:footnoteReference w:id="15102"/>
      </w:r>
      <w:r>
        <w:t xml:space="preserve"> sacrifice shall be salted with salt.</w:t>
      </w:r>
    </w:p>
    <w:p>
      <w:r>
        <w:rPr>
          <w:b/>
        </w:rPr>
        <w:t xml:space="preserve">50 </w:t>
      </w:r>
      <w:r>
        <w:t xml:space="preserve">Salt is good</w:t>
      </w:r>
      <w:r>
        <w:rPr>
          <w:rStyle w:val="FootnoteReference"/>
        </w:rPr>
        <w:footnoteReference w:id="15103"/>
      </w:r>
      <w:r>
        <w:t xml:space="preserve">: but if the salt has lost its saltiness, with what will you season it? Have salt in yourselves, and have peace one with another.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he arose</w:t>
      </w:r>
      <w:r>
        <w:rPr>
          <w:rStyle w:val="FootnoteReference"/>
        </w:rPr>
        <w:footnoteReference w:id="15104"/>
      </w:r>
      <w:r>
        <w:t xml:space="preserve"> from there, and comes into the borders of Judea by the farther side of Jordan: and the people resort to him again; and, as he was accustomed, he taught them again.</w:t>
      </w:r>
    </w:p>
    <w:p>
      <w:r>
        <w:rPr>
          <w:b/>
        </w:rPr>
        <w:t xml:space="preserve">2 </w:t>
      </w:r>
      <w:r>
        <w:t xml:space="preserve">And the Pharisees</w:t>
      </w:r>
      <w:r>
        <w:rPr>
          <w:rStyle w:val="FootnoteReference"/>
        </w:rPr>
        <w:footnoteReference w:id="15105"/>
      </w:r>
      <w:r>
        <w:t xml:space="preserve"> came to him, and asked him, Is it lawful for a man to release his wife? tempting him.</w:t>
      </w:r>
    </w:p>
    <w:p>
      <w:r>
        <w:rPr>
          <w:b/>
        </w:rPr>
        <w:t xml:space="preserve">3 </w:t>
      </w:r>
      <w:r>
        <w:t xml:space="preserve">And he answered and said to them, What did Moses command you?</w:t>
      </w:r>
    </w:p>
    <w:p>
      <w:r>
        <w:rPr>
          <w:b/>
        </w:rPr>
        <w:t xml:space="preserve">4 </w:t>
      </w:r>
      <w:r>
        <w:t xml:space="preserve">And they said, Moses permitted writing a bill of divorce, and releasing her.</w:t>
      </w:r>
    </w:p>
    <w:p>
      <w:r>
        <w:rPr>
          <w:b/>
        </w:rPr>
        <w:t xml:space="preserve">5 </w:t>
      </w:r>
      <w:r>
        <w:t xml:space="preserve">And Jesus answered and said to them, For the hardness of your heart he wrote you this precept.</w:t>
      </w:r>
    </w:p>
    <w:p>
      <w:r>
        <w:rPr>
          <w:b/>
        </w:rPr>
        <w:t xml:space="preserve">6 </w:t>
      </w:r>
      <w:r>
        <w:t xml:space="preserve">But from the beginning</w:t>
      </w:r>
      <w:r>
        <w:rPr>
          <w:rStyle w:val="FootnoteReference"/>
        </w:rPr>
        <w:footnoteReference w:id="15106"/>
      </w:r>
      <w:r>
        <w:t xml:space="preserve"> of the creation God made them male and female.</w:t>
      </w:r>
    </w:p>
    <w:p>
      <w:r>
        <w:rPr>
          <w:b/>
        </w:rPr>
        <w:t xml:space="preserve">7 </w:t>
      </w:r>
      <w:r>
        <w:t xml:space="preserve">For this cause shall a man leave his father and mother, and cling to his wife;</w:t>
      </w:r>
    </w:p>
    <w:p>
      <w:r>
        <w:rPr>
          <w:b/>
        </w:rPr>
        <w:t xml:space="preserve">8 </w:t>
      </w:r>
      <w:r>
        <w:t xml:space="preserve">And they two shall be one flesh</w:t>
      </w:r>
      <w:r>
        <w:rPr>
          <w:rStyle w:val="FootnoteReference"/>
        </w:rPr>
        <w:footnoteReference w:id="15107"/>
      </w:r>
      <w:r>
        <w:t xml:space="preserve">: so then they are no more two, but one flesh.</w:t>
      </w:r>
    </w:p>
    <w:p>
      <w:r>
        <w:rPr>
          <w:b/>
        </w:rPr>
        <w:t xml:space="preserve">9 </w:t>
      </w:r>
      <w:r>
        <w:t xml:space="preserve">What therefore God has joined together, let not man separate.</w:t>
      </w:r>
    </w:p>
    <w:p>
      <w:r>
        <w:rPr>
          <w:b/>
        </w:rPr>
        <w:t xml:space="preserve">10 </w:t>
      </w:r>
      <w:r>
        <w:t xml:space="preserve">And in the house his disciples asked him again about the same matter.</w:t>
      </w:r>
    </w:p>
    <w:p>
      <w:r>
        <w:rPr>
          <w:b/>
        </w:rPr>
        <w:t xml:space="preserve">11 </w:t>
      </w:r>
      <w:r>
        <w:t xml:space="preserve">And he says to them, Whoever shall release his wife, and marry another, commits adultery against her.</w:t>
      </w:r>
    </w:p>
    <w:p>
      <w:r>
        <w:rPr>
          <w:b/>
        </w:rPr>
        <w:t xml:space="preserve">12 </w:t>
      </w:r>
      <w:r>
        <w:t xml:space="preserve">And if a woman shall release her husband, and be married to another, she commits adultery.</w:t>
      </w:r>
    </w:p>
    <w:p>
      <w:r>
        <w:rPr>
          <w:b/>
        </w:rPr>
        <w:t xml:space="preserve">13 </w:t>
      </w:r>
      <w:r>
        <w:t xml:space="preserve">And they brought young children to him, that he should touch them: and his disciples</w:t>
      </w:r>
      <w:r>
        <w:rPr>
          <w:rStyle w:val="FootnoteReference"/>
        </w:rPr>
        <w:footnoteReference w:id="15108"/>
      </w:r>
      <w:r>
        <w:t xml:space="preserve"> rebuked those who brought them.</w:t>
      </w:r>
    </w:p>
    <w:p>
      <w:r>
        <w:rPr>
          <w:b/>
        </w:rPr>
        <w:t xml:space="preserve">14 </w:t>
      </w:r>
      <w:r>
        <w:t xml:space="preserve">But when Jesus saw it, he was much displeased, and said to them, Allow the little children to come to me, and do not forbid them: for of such is the kingdom of God.</w:t>
      </w:r>
    </w:p>
    <w:p>
      <w:r>
        <w:rPr>
          <w:b/>
        </w:rPr>
        <w:t xml:space="preserve">15 </w:t>
      </w:r>
      <w:r>
        <w:t xml:space="preserve">Amen, I say to you, Whoever shall not receive the kingdom of God as a little child, he shall not enter in it.</w:t>
      </w:r>
    </w:p>
    <w:p>
      <w:r>
        <w:rPr>
          <w:b/>
        </w:rPr>
        <w:t xml:space="preserve">16 </w:t>
      </w:r>
      <w:r>
        <w:t xml:space="preserve">And he took them up in his arms, put his hands upon them, and blessed them.</w:t>
      </w:r>
    </w:p>
    <w:p>
      <w:r>
        <w:rPr>
          <w:b/>
        </w:rPr>
        <w:t xml:space="preserve">17 </w:t>
      </w:r>
      <w:r>
        <w:t xml:space="preserve">And when he had gone forth into the way, one came running</w:t>
      </w:r>
      <w:r>
        <w:rPr>
          <w:rStyle w:val="FootnoteReference"/>
        </w:rPr>
        <w:footnoteReference w:id="15109"/>
      </w:r>
      <w:r>
        <w:t xml:space="preserve">, and kneeled to him, and asked him, Good Teacher, what shall I do that I may inherit eternal life?</w:t>
      </w:r>
    </w:p>
    <w:p>
      <w:r>
        <w:rPr>
          <w:b/>
        </w:rPr>
        <w:t xml:space="preserve">18 </w:t>
      </w:r>
      <w:r>
        <w:t xml:space="preserve">And Jesus said to him, Why do you call me good? there is none good but one, that is</w:t>
      </w:r>
      <w:r>
        <w:rPr>
          <w:rStyle w:val="FootnoteReference"/>
        </w:rPr>
        <w:footnoteReference w:id="15110"/>
      </w:r>
      <w:r>
        <w:t xml:space="preserve">, God.</w:t>
      </w:r>
    </w:p>
    <w:p>
      <w:r>
        <w:rPr>
          <w:b/>
        </w:rPr>
        <w:t xml:space="preserve">19 </w:t>
      </w:r>
      <w:r>
        <w:t xml:space="preserve">You know the commandments, Do not commit</w:t>
      </w:r>
      <w:r>
        <w:rPr>
          <w:rStyle w:val="FootnoteReference"/>
        </w:rPr>
        <w:footnoteReference w:id="15111"/>
      </w:r>
      <w:r>
        <w:t xml:space="preserve"> adultery, Do not kill, Do not steal, Do not bear false witness, Do not defraud, Honor your father and mother.</w:t>
      </w:r>
    </w:p>
    <w:p>
      <w:r>
        <w:rPr>
          <w:b/>
        </w:rPr>
        <w:t xml:space="preserve">20 </w:t>
      </w:r>
      <w:r>
        <w:t xml:space="preserve">And he answered and said to him, Teacher, all these have I observed from my youth.</w:t>
      </w:r>
    </w:p>
    <w:p>
      <w:r>
        <w:rPr>
          <w:b/>
        </w:rPr>
        <w:t xml:space="preserve">21 </w:t>
      </w:r>
      <w:r>
        <w:t xml:space="preserve">Then Jesus, beholding him, loved</w:t>
      </w:r>
      <w:r>
        <w:rPr>
          <w:rStyle w:val="FootnoteReference"/>
        </w:rPr>
        <w:footnoteReference w:id="15112"/>
      </w:r>
      <w:r>
        <w:t xml:space="preserve"> him, and said to him, One thing you lack: go your way, sell whatever you have, and give to the poor, and you shall have treasure in heaven: and come, take up the cross, and follow me.</w:t>
      </w:r>
    </w:p>
    <w:p>
      <w:r>
        <w:rPr>
          <w:b/>
        </w:rPr>
        <w:t xml:space="preserve">22 </w:t>
      </w:r>
      <w:r>
        <w:t xml:space="preserve">And he was sad at that saying, and went away grieved: for he had great possessions.</w:t>
      </w:r>
    </w:p>
    <w:p>
      <w:r>
        <w:rPr>
          <w:b/>
        </w:rPr>
        <w:t xml:space="preserve">23 </w:t>
      </w:r>
      <w:r>
        <w:t xml:space="preserve">And Jesus looked</w:t>
      </w:r>
      <w:r>
        <w:rPr>
          <w:rStyle w:val="FootnoteReference"/>
        </w:rPr>
        <w:footnoteReference w:id="15113"/>
      </w:r>
      <w:r>
        <w:t xml:space="preserve"> around, and says to his disciples, How hard it is for those who have riches to enter into the kingdom of God!</w:t>
      </w:r>
    </w:p>
    <w:p>
      <w:r>
        <w:rPr>
          <w:b/>
        </w:rPr>
        <w:t xml:space="preserve">24 </w:t>
      </w:r>
      <w:r>
        <w:t xml:space="preserve">And the disciples were astonished</w:t>
      </w:r>
      <w:r>
        <w:rPr>
          <w:rStyle w:val="FootnoteReference"/>
        </w:rPr>
        <w:footnoteReference w:id="15114"/>
      </w:r>
      <w:r>
        <w:t xml:space="preserve"> at his words. But Jesus answers again, and says to them, Children, how hard is it for those who trust in riches to enter into the kingdom of God!</w:t>
      </w:r>
    </w:p>
    <w:p>
      <w:r>
        <w:rPr>
          <w:b/>
        </w:rPr>
        <w:t xml:space="preserve">25 </w:t>
      </w:r>
      <w:r>
        <w:t xml:space="preserve">It is easier for a camel to go through the eye of a needle, than for a rich man to enter into the kingdom of God.</w:t>
      </w:r>
    </w:p>
    <w:p>
      <w:r>
        <w:rPr>
          <w:b/>
        </w:rPr>
        <w:t xml:space="preserve">26 </w:t>
      </w:r>
      <w:r>
        <w:t xml:space="preserve">And they were astonished beyond measure, saying among themselves, Who then can be saved?</w:t>
      </w:r>
    </w:p>
    <w:p>
      <w:r>
        <w:rPr>
          <w:b/>
        </w:rPr>
        <w:t xml:space="preserve">27 </w:t>
      </w:r>
      <w:r>
        <w:t xml:space="preserve">And Jesus looking upon them says, With men</w:t>
      </w:r>
      <w:r>
        <w:rPr>
          <w:rStyle w:val="FootnoteReference"/>
        </w:rPr>
        <w:footnoteReference w:id="15115"/>
      </w:r>
      <w:r>
        <w:t xml:space="preserve"> it is impossible, but not with God: for with God all things are possible.</w:t>
      </w:r>
    </w:p>
    <w:p>
      <w:r>
        <w:rPr>
          <w:b/>
        </w:rPr>
        <w:t xml:space="preserve">28 </w:t>
      </w:r>
      <w:r>
        <w:t xml:space="preserve">Then Peter began to say to him, Look, we have left all, and have followed you.</w:t>
      </w:r>
    </w:p>
    <w:p>
      <w:r>
        <w:rPr>
          <w:b/>
        </w:rPr>
        <w:t xml:space="preserve">29 </w:t>
      </w:r>
      <w:r>
        <w:t xml:space="preserve">And Jesus answered and said, Amen, I say to you, There is no one that has left house, or brothers, or sisters, or father, or mother, or wife, or children, or lands, for my sake and the good news,</w:t>
      </w:r>
    </w:p>
    <w:p>
      <w:r>
        <w:rPr>
          <w:b/>
        </w:rPr>
        <w:t xml:space="preserve">30 </w:t>
      </w:r>
      <w:r>
        <w:t xml:space="preserve">But he shall receive a hundredfold now in this time, houses, and brothers, and sisters, and mothers, and children, and lands, with persecutions</w:t>
      </w:r>
      <w:r>
        <w:rPr>
          <w:rStyle w:val="FootnoteReference"/>
        </w:rPr>
        <w:footnoteReference w:id="15116"/>
      </w:r>
      <w:r>
        <w:t xml:space="preserve">; and in the age to come eternal life.</w:t>
      </w:r>
    </w:p>
    <w:p>
      <w:r>
        <w:rPr>
          <w:b/>
        </w:rPr>
        <w:t xml:space="preserve">31 </w:t>
      </w:r>
      <w:r>
        <w:t xml:space="preserve">But many that are first shall be last; and the last first.</w:t>
      </w:r>
    </w:p>
    <w:p>
      <w:r>
        <w:rPr>
          <w:b/>
        </w:rPr>
        <w:t xml:space="preserve">32 </w:t>
      </w:r>
      <w:r>
        <w:t xml:space="preserve">And they were on the way going up to Jerusalem; and Jesus went before them: and they were amazed</w:t>
      </w:r>
      <w:r>
        <w:rPr>
          <w:rStyle w:val="FootnoteReference"/>
        </w:rPr>
        <w:footnoteReference w:id="15117"/>
      </w:r>
      <w:r>
        <w:t xml:space="preserve">; and as they followed, they were afraid. And he took again the twelve, and began to tell them what things should happen to him,</w:t>
      </w:r>
    </w:p>
    <w:p>
      <w:r>
        <w:rPr>
          <w:b/>
        </w:rPr>
        <w:t xml:space="preserve">33 </w:t>
      </w:r>
      <w:r>
        <w:t xml:space="preserve">Saying, Look, we go</w:t>
      </w:r>
      <w:r>
        <w:rPr>
          <w:rStyle w:val="FootnoteReference"/>
        </w:rPr>
        <w:footnoteReference w:id="15118"/>
      </w:r>
      <w:r>
        <w:t xml:space="preserve"> up to Jerusalem; and the Son of man shall be delivered to the chief priests, and to the scribes; and they shall condemn him to death, and shall deliver him to the nations:</w:t>
      </w:r>
    </w:p>
    <w:p>
      <w:r>
        <w:rPr>
          <w:b/>
        </w:rPr>
        <w:t xml:space="preserve">34 </w:t>
      </w:r>
      <w:r>
        <w:t xml:space="preserve">And they shall mock</w:t>
      </w:r>
      <w:r>
        <w:rPr>
          <w:rStyle w:val="FootnoteReference"/>
        </w:rPr>
        <w:footnoteReference w:id="15119"/>
      </w:r>
      <w:r>
        <w:t xml:space="preserve"> him, and shall scourge him, and shall spit upon him, and shall kill him: and the third day he shall rise again.</w:t>
      </w:r>
    </w:p>
    <w:p>
      <w:r>
        <w:rPr>
          <w:b/>
        </w:rPr>
        <w:t xml:space="preserve">35 </w:t>
      </w:r>
      <w:r>
        <w:t xml:space="preserve">And James</w:t>
      </w:r>
      <w:r>
        <w:rPr>
          <w:rStyle w:val="FootnoteReference"/>
        </w:rPr>
        <w:footnoteReference w:id="15120"/>
      </w:r>
      <w:r>
        <w:t xml:space="preserve"> and John, the sons of Zebedee, come to him, saying, Teacher, we desire that you should do for us whatever we ask.</w:t>
      </w:r>
    </w:p>
    <w:p>
      <w:r>
        <w:rPr>
          <w:b/>
        </w:rPr>
        <w:t xml:space="preserve">36 </w:t>
      </w:r>
      <w:r>
        <w:t xml:space="preserve">And he said to them, What do you want me to do for you?</w:t>
      </w:r>
    </w:p>
    <w:p>
      <w:r>
        <w:rPr>
          <w:b/>
        </w:rPr>
        <w:t xml:space="preserve">37 </w:t>
      </w:r>
      <w:r>
        <w:t xml:space="preserve">They said to him, Grant to us that we may sit, one on your right hand, and the other on your left hand, in your glory.</w:t>
      </w:r>
    </w:p>
    <w:p>
      <w:r>
        <w:rPr>
          <w:b/>
        </w:rPr>
        <w:t xml:space="preserve">38 </w:t>
      </w:r>
      <w:r>
        <w:t xml:space="preserve">But Jesus said to them, You do not know what you ask: can you drink of the</w:t>
      </w:r>
      <w:r>
        <w:rPr>
          <w:rStyle w:val="FootnoteReference"/>
        </w:rPr>
        <w:footnoteReference w:id="15121"/>
      </w:r>
      <w:r>
        <w:t xml:space="preserve"> cup that I drink of? and be baptized with the baptism that I am baptized with?</w:t>
      </w:r>
    </w:p>
    <w:p>
      <w:r>
        <w:rPr>
          <w:b/>
        </w:rPr>
        <w:t xml:space="preserve">39 </w:t>
      </w:r>
      <w:r>
        <w:t xml:space="preserve">And they said to him, We can. And Jesus said to them, You shall indeed drink of the cup that I drink of; and with the baptism that I am baptized with, you shall be baptized likewise:</w:t>
      </w:r>
    </w:p>
    <w:p>
      <w:r>
        <w:rPr>
          <w:b/>
        </w:rPr>
        <w:t xml:space="preserve">40 </w:t>
      </w:r>
      <w:r>
        <w:t xml:space="preserve">But to sit on my right hand and on my left hand is not mine to give; but it shall be given to those for whom it is prepared.</w:t>
      </w:r>
    </w:p>
    <w:p>
      <w:r>
        <w:rPr>
          <w:b/>
        </w:rPr>
        <w:t xml:space="preserve">41 </w:t>
      </w:r>
      <w:r>
        <w:t xml:space="preserve">And when the ten heard it, they began to be greatly displeased with James and John.</w:t>
      </w:r>
    </w:p>
    <w:p>
      <w:r>
        <w:rPr>
          <w:b/>
        </w:rPr>
        <w:t xml:space="preserve">42 </w:t>
      </w:r>
      <w:r>
        <w:t xml:space="preserve">But Jesus called them to him, and says to them, You know that those who are accounted to rule over the nations exercise lordship over them; and their great ones exercise authority upon them.</w:t>
      </w:r>
    </w:p>
    <w:p>
      <w:r>
        <w:rPr>
          <w:b/>
        </w:rPr>
        <w:t xml:space="preserve">43 </w:t>
      </w:r>
      <w:r>
        <w:t xml:space="preserve">But it shall not be so among you: but whoever will be great among you, shall be your servant:</w:t>
      </w:r>
    </w:p>
    <w:p>
      <w:r>
        <w:rPr>
          <w:b/>
        </w:rPr>
        <w:t xml:space="preserve">44 </w:t>
      </w:r>
      <w:r>
        <w:t xml:space="preserve">And whoever of you will be the foremost, shall be slave of all.</w:t>
      </w:r>
    </w:p>
    <w:p>
      <w:r>
        <w:rPr>
          <w:b/>
        </w:rPr>
        <w:t xml:space="preserve">45 </w:t>
      </w:r>
      <w:r>
        <w:t xml:space="preserve">For even the Son of man came not to be served, but to serve, and to give his life a ransom for many.</w:t>
      </w:r>
    </w:p>
    <w:p>
      <w:r>
        <w:rPr>
          <w:b/>
        </w:rPr>
        <w:t xml:space="preserve">46 </w:t>
      </w:r>
      <w:r>
        <w:t xml:space="preserve">And they came</w:t>
      </w:r>
      <w:r>
        <w:rPr>
          <w:rStyle w:val="FootnoteReference"/>
        </w:rPr>
        <w:footnoteReference w:id="15122"/>
      </w:r>
      <w:r>
        <w:t xml:space="preserve"> to Jericho: and as he went out of Jericho with his disciples and a great crowd, blind Bartimaeus</w:t>
      </w:r>
      <w:r>
        <w:rPr>
          <w:rStyle w:val="FootnoteReference"/>
        </w:rPr>
        <w:footnoteReference w:id="15123"/>
      </w:r>
      <w:r>
        <w:t xml:space="preserve">, the son of Timaeus</w:t>
      </w:r>
      <w:r>
        <w:rPr>
          <w:rStyle w:val="FootnoteReference"/>
        </w:rPr>
        <w:footnoteReference w:id="15124"/>
      </w:r>
      <w:r>
        <w:t xml:space="preserve">, sat by the roadside begging.</w:t>
      </w:r>
    </w:p>
    <w:p>
      <w:r>
        <w:rPr>
          <w:b/>
        </w:rPr>
        <w:t xml:space="preserve">47 </w:t>
      </w:r>
      <w:r>
        <w:t xml:space="preserve">And when he heard that it was Jesus</w:t>
      </w:r>
      <w:r>
        <w:rPr>
          <w:rStyle w:val="FootnoteReference"/>
        </w:rPr>
        <w:footnoteReference w:id="15125"/>
      </w:r>
      <w:r>
        <w:t xml:space="preserve"> of Nazareth, he began to cry out, and say, Jesus, you son of David, have mercy on me.</w:t>
      </w:r>
    </w:p>
    <w:p>
      <w:r>
        <w:rPr>
          <w:b/>
        </w:rPr>
        <w:t xml:space="preserve">48 </w:t>
      </w:r>
      <w:r>
        <w:t xml:space="preserve">And many charged him that he should be silent: but he cried out much more, You son of David, have mercy on me.</w:t>
      </w:r>
    </w:p>
    <w:p>
      <w:r>
        <w:rPr>
          <w:b/>
        </w:rPr>
        <w:t xml:space="preserve">49 </w:t>
      </w:r>
      <w:r>
        <w:t xml:space="preserve">And Jesus stood</w:t>
      </w:r>
      <w:r>
        <w:rPr>
          <w:rStyle w:val="FootnoteReference"/>
        </w:rPr>
        <w:footnoteReference w:id="15126"/>
      </w:r>
      <w:r>
        <w:t xml:space="preserve"> still, and commanded him to be called. And they call the blind man, saying to him, Take courage, rise; he calls you.</w:t>
      </w:r>
    </w:p>
    <w:p>
      <w:r>
        <w:rPr>
          <w:b/>
        </w:rPr>
        <w:t xml:space="preserve">50 </w:t>
      </w:r>
      <w:r>
        <w:t xml:space="preserve">And he, casting away his garment, rose, and came to Jesus.</w:t>
      </w:r>
    </w:p>
    <w:p>
      <w:r>
        <w:rPr>
          <w:b/>
        </w:rPr>
        <w:t xml:space="preserve">51 </w:t>
      </w:r>
      <w:r>
        <w:t xml:space="preserve">And Jesus answered and said to him, What do you want me to do for you? The blind man said to him, Rabboni</w:t>
      </w:r>
      <w:r>
        <w:rPr>
          <w:rStyle w:val="FootnoteReference"/>
        </w:rPr>
        <w:footnoteReference w:id="15127"/>
      </w:r>
      <w:r>
        <w:t xml:space="preserve">, that I might receive my sight.</w:t>
      </w:r>
    </w:p>
    <w:p>
      <w:r>
        <w:rPr>
          <w:b/>
        </w:rPr>
        <w:t xml:space="preserve">52 </w:t>
      </w:r>
      <w:r>
        <w:t xml:space="preserve">And Jesus said to him, Go your way; your faith has made you whole. And immediately he received</w:t>
      </w:r>
      <w:r>
        <w:rPr>
          <w:rStyle w:val="FootnoteReference"/>
        </w:rPr>
        <w:footnoteReference w:id="15128"/>
      </w:r>
      <w:r>
        <w:t xml:space="preserve"> his sight, and followed Jesus on the way.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when they came near to Jerusalem, to Bethphage and Bethany, at the</w:t>
      </w:r>
      <w:r>
        <w:rPr>
          <w:rStyle w:val="FootnoteReference"/>
        </w:rPr>
        <w:footnoteReference w:id="15129"/>
      </w:r>
      <w:r>
        <w:t xml:space="preserve"> mount of Olives, he sends forth two of his disciples,</w:t>
      </w:r>
    </w:p>
    <w:p>
      <w:r>
        <w:rPr>
          <w:b/>
        </w:rPr>
        <w:t xml:space="preserve">2 </w:t>
      </w:r>
      <w:r>
        <w:t xml:space="preserve">And says to them, Go your way into the village opposite to you: and as soon as you enter into it, you shall find a colt tied, on which never man sat; loose him, and bring him.</w:t>
      </w:r>
    </w:p>
    <w:p>
      <w:r>
        <w:rPr>
          <w:b/>
        </w:rPr>
        <w:t xml:space="preserve">3 </w:t>
      </w:r>
      <w:r>
        <w:t xml:space="preserve">And if anyone say to you, Why do you this? say that the Lord has need of him; and immediately he will send him here.</w:t>
      </w:r>
    </w:p>
    <w:p>
      <w:r>
        <w:rPr>
          <w:b/>
        </w:rPr>
        <w:t xml:space="preserve">4 </w:t>
      </w:r>
      <w:r>
        <w:t xml:space="preserve">And they went their way, and found</w:t>
      </w:r>
      <w:r>
        <w:rPr>
          <w:rStyle w:val="FootnoteReference"/>
        </w:rPr>
        <w:footnoteReference w:id="15130"/>
      </w:r>
      <w:r>
        <w:t xml:space="preserve"> the colt tied by the door outside in the street; and they loose him.</w:t>
      </w:r>
    </w:p>
    <w:p>
      <w:r>
        <w:rPr>
          <w:b/>
        </w:rPr>
        <w:t xml:space="preserve">5 </w:t>
      </w:r>
      <w:r>
        <w:t xml:space="preserve">And certain of those who stood there said to them, What are you doing, loosing the colt?</w:t>
      </w:r>
    </w:p>
    <w:p>
      <w:r>
        <w:rPr>
          <w:b/>
        </w:rPr>
        <w:t xml:space="preserve">6 </w:t>
      </w:r>
      <w:r>
        <w:t xml:space="preserve">And they said to them even as Jesus had commanded: and they let them go.</w:t>
      </w:r>
    </w:p>
    <w:p>
      <w:r>
        <w:rPr>
          <w:b/>
        </w:rPr>
        <w:t xml:space="preserve">7 </w:t>
      </w:r>
      <w:r>
        <w:t xml:space="preserve">And they brought the colt</w:t>
      </w:r>
      <w:r>
        <w:rPr>
          <w:rStyle w:val="FootnoteReference"/>
        </w:rPr>
        <w:footnoteReference w:id="15131"/>
      </w:r>
      <w:r>
        <w:t xml:space="preserve"> to Jesus, and cast their clothes on him; and he sat upon him.</w:t>
      </w:r>
    </w:p>
    <w:p>
      <w:r>
        <w:rPr>
          <w:b/>
        </w:rPr>
        <w:t xml:space="preserve">8 </w:t>
      </w:r>
      <w:r>
        <w:t xml:space="preserve">And many spread their clothes in the way: and others cut down branches off the trees, and scattered them in the way.</w:t>
      </w:r>
    </w:p>
    <w:p>
      <w:r>
        <w:rPr>
          <w:b/>
        </w:rPr>
        <w:t xml:space="preserve">9 </w:t>
      </w:r>
      <w:r>
        <w:t xml:space="preserve">And those who went before, and those who followed, cried, saying, Hosanna</w:t>
      </w:r>
      <w:r>
        <w:rPr>
          <w:rStyle w:val="FootnoteReference"/>
        </w:rPr>
        <w:footnoteReference w:id="15132"/>
      </w:r>
      <w:r>
        <w:t xml:space="preserve">; Blessed is the one who comes in the name of the Lord:</w:t>
      </w:r>
    </w:p>
    <w:p>
      <w:r>
        <w:rPr>
          <w:b/>
        </w:rPr>
        <w:t xml:space="preserve">10 </w:t>
      </w:r>
      <w:r>
        <w:t xml:space="preserve">Blessed be the kingdom</w:t>
      </w:r>
      <w:r>
        <w:rPr>
          <w:rStyle w:val="FootnoteReference"/>
        </w:rPr>
        <w:footnoteReference w:id="15133"/>
      </w:r>
      <w:r>
        <w:t xml:space="preserve"> of our father David, that comes in the name of the Lord: Hosanna in the highest.</w:t>
      </w:r>
    </w:p>
    <w:p>
      <w:r>
        <w:rPr>
          <w:b/>
        </w:rPr>
        <w:t xml:space="preserve">11 </w:t>
      </w:r>
      <w:r>
        <w:t xml:space="preserve">And Jesus</w:t>
      </w:r>
      <w:r>
        <w:rPr>
          <w:rStyle w:val="FootnoteReference"/>
        </w:rPr>
        <w:footnoteReference w:id="15134"/>
      </w:r>
      <w:r>
        <w:t xml:space="preserve"> entered into Jerusalem, and into the temple: and when he had looked around upon all things, and now the evening had come, he went out to Bethany with the twelve.</w:t>
      </w:r>
    </w:p>
    <w:p>
      <w:r>
        <w:rPr>
          <w:b/>
        </w:rPr>
        <w:t xml:space="preserve">12 </w:t>
      </w:r>
      <w:r>
        <w:t xml:space="preserve">And on the next day, when they had come from Bethany, he was hungry:</w:t>
      </w:r>
    </w:p>
    <w:p>
      <w:r>
        <w:rPr>
          <w:b/>
        </w:rPr>
        <w:t xml:space="preserve">13 </w:t>
      </w:r>
      <w:r>
        <w:t xml:space="preserve">And seeing</w:t>
      </w:r>
      <w:r>
        <w:rPr>
          <w:rStyle w:val="FootnoteReference"/>
        </w:rPr>
        <w:footnoteReference w:id="15135"/>
      </w:r>
      <w:r>
        <w:t xml:space="preserve"> a fig tree far off having leaves, he came, if perhaps he might find anything thereon: and when he came to it, he found nothing but leaves; for the time of figs was not yet.</w:t>
      </w:r>
    </w:p>
    <w:p>
      <w:r>
        <w:rPr>
          <w:b/>
        </w:rPr>
        <w:t xml:space="preserve">14 </w:t>
      </w:r>
      <w:r>
        <w:t xml:space="preserve">And Jesus answered and said to it, May no one eat fruit from you hereafter forever. And his disciples heard it.</w:t>
      </w:r>
    </w:p>
    <w:p>
      <w:r>
        <w:rPr>
          <w:b/>
        </w:rPr>
        <w:t xml:space="preserve">15 </w:t>
      </w:r>
      <w:r>
        <w:t xml:space="preserve">And they come to Jerusalem: and Jesus</w:t>
      </w:r>
      <w:r>
        <w:rPr>
          <w:rStyle w:val="FootnoteReference"/>
        </w:rPr>
        <w:footnoteReference w:id="15136"/>
      </w:r>
      <w:r>
        <w:t xml:space="preserve"> went into the temple, and began to cast out those who sold and bought in the temple, and overthrew the tables of the moneychangers, and the seats of those who sold doves;</w:t>
      </w:r>
    </w:p>
    <w:p>
      <w:r>
        <w:rPr>
          <w:b/>
        </w:rPr>
        <w:t xml:space="preserve">16 </w:t>
      </w:r>
      <w:r>
        <w:t xml:space="preserve">And he would not allow anyone to carry any vessel through the temple.</w:t>
      </w:r>
    </w:p>
    <w:p>
      <w:r>
        <w:rPr>
          <w:b/>
        </w:rPr>
        <w:t xml:space="preserve">17 </w:t>
      </w:r>
      <w:r>
        <w:t xml:space="preserve">And he taught, saying to them, Is it</w:t>
      </w:r>
      <w:r>
        <w:rPr>
          <w:rStyle w:val="FootnoteReference"/>
        </w:rPr>
        <w:footnoteReference w:id="15137"/>
      </w:r>
      <w:r>
        <w:t xml:space="preserve"> not written, My house shall be called a house of prayer for all nations? but you have made it a den of thieves.</w:t>
      </w:r>
    </w:p>
    <w:p>
      <w:r>
        <w:rPr>
          <w:b/>
        </w:rPr>
        <w:t xml:space="preserve">18 </w:t>
      </w:r>
      <w:r>
        <w:t xml:space="preserve">And the scribes and chief priests heard it, and sought how they might destroy him: for they feared</w:t>
      </w:r>
      <w:r>
        <w:rPr>
          <w:rStyle w:val="FootnoteReference"/>
        </w:rPr>
        <w:footnoteReference w:id="15138"/>
      </w:r>
      <w:r>
        <w:t xml:space="preserve"> him, because all the people were astonished at his teaching.</w:t>
      </w:r>
    </w:p>
    <w:p>
      <w:r>
        <w:rPr>
          <w:b/>
        </w:rPr>
        <w:t xml:space="preserve">19 </w:t>
      </w:r>
      <w:r>
        <w:t xml:space="preserve">And when evening had come, he went out of the city.</w:t>
      </w:r>
    </w:p>
    <w:p>
      <w:r>
        <w:rPr>
          <w:b/>
        </w:rPr>
        <w:t xml:space="preserve">20 </w:t>
      </w:r>
      <w:r>
        <w:t xml:space="preserve">And in the morning, as they passed by, they saw the fig tree dried up from the roots.</w:t>
      </w:r>
    </w:p>
    <w:p>
      <w:r>
        <w:rPr>
          <w:b/>
        </w:rPr>
        <w:t xml:space="preserve">21 </w:t>
      </w:r>
      <w:r>
        <w:t xml:space="preserve">And Peter, calling to remembrance, says to him, Teacher, look, the fig tree which you cursed is withered away.</w:t>
      </w:r>
    </w:p>
    <w:p>
      <w:r>
        <w:rPr>
          <w:b/>
        </w:rPr>
        <w:t xml:space="preserve">22 </w:t>
      </w:r>
      <w:r>
        <w:t xml:space="preserve">And Jesus answering says to them, Have faith in God</w:t>
      </w:r>
      <w:r>
        <w:rPr>
          <w:rStyle w:val="FootnoteReference"/>
        </w:rPr>
        <w:footnoteReference w:id="15139"/>
      </w:r>
      <w:r>
        <w:t xml:space="preserve">.</w:t>
      </w:r>
    </w:p>
    <w:p>
      <w:r>
        <w:rPr>
          <w:b/>
        </w:rPr>
        <w:t xml:space="preserve">23 </w:t>
      </w:r>
      <w:r>
        <w:t xml:space="preserve">For truly I say to you, That whoever shall say to this mountain, Be removed, and be cast into the sea; and shall</w:t>
      </w:r>
      <w:r>
        <w:rPr>
          <w:rStyle w:val="FootnoteReference"/>
        </w:rPr>
        <w:footnoteReference w:id="15140"/>
      </w:r>
      <w:r>
        <w:t xml:space="preserve"> not doubt in his heart, but shall believe that those things which he says will happen; he shall have whatever he says.</w:t>
      </w:r>
    </w:p>
    <w:p>
      <w:r>
        <w:rPr>
          <w:b/>
        </w:rPr>
        <w:t xml:space="preserve">24 </w:t>
      </w:r>
      <w:r>
        <w:t xml:space="preserve">Therefore I say to you, Whatever things you desire, when you pray, believe that you receive them, and you shall have them.</w:t>
      </w:r>
    </w:p>
    <w:p>
      <w:r>
        <w:rPr>
          <w:b/>
        </w:rPr>
        <w:t xml:space="preserve">25 </w:t>
      </w:r>
      <w:r>
        <w:t xml:space="preserve">And when you stand</w:t>
      </w:r>
      <w:r>
        <w:rPr>
          <w:rStyle w:val="FootnoteReference"/>
        </w:rPr>
        <w:footnoteReference w:id="15141"/>
      </w:r>
      <w:r>
        <w:t xml:space="preserve"> praying, forgive, if you have anything against anyone: that your Father also who is in heaven may forgive you your trespasses.</w:t>
      </w:r>
    </w:p>
    <w:p>
      <w:r>
        <w:rPr>
          <w:b/>
        </w:rPr>
        <w:t xml:space="preserve">26 </w:t>
      </w:r>
      <w:r>
        <w:t xml:space="preserve">But if you do not forgive, neither will your Father who is in heaven forgive your trespasses.</w:t>
      </w:r>
    </w:p>
    <w:p>
      <w:r>
        <w:rPr>
          <w:b/>
        </w:rPr>
        <w:t xml:space="preserve">27 </w:t>
      </w:r>
      <w:r>
        <w:t xml:space="preserve">And they come again to Jerusalem: and as he</w:t>
      </w:r>
      <w:r>
        <w:rPr>
          <w:rStyle w:val="FootnoteReference"/>
        </w:rPr>
        <w:footnoteReference w:id="15142"/>
      </w:r>
      <w:r>
        <w:t xml:space="preserve"> was walking in the temple, there come to him the chief priests, and the scribes, and the elders,</w:t>
      </w:r>
    </w:p>
    <w:p>
      <w:r>
        <w:rPr>
          <w:b/>
        </w:rPr>
        <w:t xml:space="preserve">28 </w:t>
      </w:r>
      <w:r>
        <w:t xml:space="preserve">And say to him, By what authority do you do these things? and who gave you this authority to do these things?</w:t>
      </w:r>
    </w:p>
    <w:p>
      <w:r>
        <w:rPr>
          <w:b/>
        </w:rPr>
        <w:t xml:space="preserve">29 </w:t>
      </w:r>
      <w:r>
        <w:t xml:space="preserve">And Jesus answered and said to them, I will also ask you one question, and answer me, and I will tell you by what authority I do these things.</w:t>
      </w:r>
    </w:p>
    <w:p>
      <w:r>
        <w:rPr>
          <w:b/>
        </w:rPr>
        <w:t xml:space="preserve">30 </w:t>
      </w:r>
      <w:r>
        <w:t xml:space="preserve">The baptism of John, was it from heaven, or from men? answer me.</w:t>
      </w:r>
    </w:p>
    <w:p>
      <w:r>
        <w:rPr>
          <w:b/>
        </w:rPr>
        <w:t xml:space="preserve">31 </w:t>
      </w:r>
      <w:r>
        <w:t xml:space="preserve">And they reasoned with themselves, saying, If we shall say, From heaven; he will say, Why then did you not believe him?</w:t>
      </w:r>
    </w:p>
    <w:p>
      <w:r>
        <w:rPr>
          <w:b/>
        </w:rPr>
        <w:t xml:space="preserve">32 </w:t>
      </w:r>
      <w:r>
        <w:t xml:space="preserve">But if we shall say, From men; they feared the people: for all counted John to be a prophet indeed.</w:t>
      </w:r>
    </w:p>
    <w:p>
      <w:r>
        <w:rPr>
          <w:b/>
        </w:rPr>
        <w:t xml:space="preserve">33 </w:t>
      </w:r>
      <w:r>
        <w:t xml:space="preserve">And they answered and said to Jesus, We do not know. And Jesus answering says to them, Neither do I tell you by what authority I do these things.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he began</w:t>
      </w:r>
      <w:r>
        <w:rPr>
          <w:rStyle w:val="FootnoteReference"/>
        </w:rPr>
        <w:footnoteReference w:id="15143"/>
      </w:r>
      <w:r>
        <w:t xml:space="preserve"> to speak to them by parables. A certain man planted a vineyard, and set a hedge about it, and dug a place for the winepress, and built a tower, and let it out to tenant farmers, and went into a far country.</w:t>
      </w:r>
    </w:p>
    <w:p>
      <w:r>
        <w:rPr>
          <w:b/>
        </w:rPr>
        <w:t xml:space="preserve">2 </w:t>
      </w:r>
      <w:r>
        <w:t xml:space="preserve">And at the season he sent to the husbandmen a slave, that he might receive from the husbandmen of the fruit of the vineyard.</w:t>
      </w:r>
    </w:p>
    <w:p>
      <w:r>
        <w:rPr>
          <w:b/>
        </w:rPr>
        <w:t xml:space="preserve">3 </w:t>
      </w:r>
      <w:r>
        <w:t xml:space="preserve">And they caught him, and beat him, and sent</w:t>
      </w:r>
      <w:r>
        <w:rPr>
          <w:rStyle w:val="FootnoteReference"/>
        </w:rPr>
        <w:footnoteReference w:id="15144"/>
      </w:r>
      <w:r>
        <w:t xml:space="preserve"> him away empty.</w:t>
      </w:r>
    </w:p>
    <w:p>
      <w:r>
        <w:rPr>
          <w:b/>
        </w:rPr>
        <w:t xml:space="preserve">4 </w:t>
      </w:r>
      <w:r>
        <w:t xml:space="preserve">And again he sent to them another slave; and at him they cast stones, and wounded him in the head, and sent him away shamefully handled.</w:t>
      </w:r>
    </w:p>
    <w:p>
      <w:r>
        <w:rPr>
          <w:b/>
        </w:rPr>
        <w:t xml:space="preserve">5 </w:t>
      </w:r>
      <w:r>
        <w:t xml:space="preserve">And again he sent another; and him</w:t>
      </w:r>
      <w:r>
        <w:rPr>
          <w:rStyle w:val="FootnoteReference"/>
        </w:rPr>
        <w:footnoteReference w:id="15145"/>
      </w:r>
      <w:r>
        <w:t xml:space="preserve"> they killed, and many others; beating some, and killing some.</w:t>
      </w:r>
    </w:p>
    <w:p>
      <w:r>
        <w:rPr>
          <w:b/>
        </w:rPr>
        <w:t xml:space="preserve">6 </w:t>
      </w:r>
      <w:r>
        <w:t xml:space="preserve">Having yet therefore one son, his beloved, he sent him also last to them, saying, They will respect my son.</w:t>
      </w:r>
    </w:p>
    <w:p>
      <w:r>
        <w:rPr>
          <w:b/>
        </w:rPr>
        <w:t xml:space="preserve">7 </w:t>
      </w:r>
      <w:r>
        <w:t xml:space="preserve">But those tenant farmers said among themselves, This is the heir; come, let us kill him, and the inheritance shall be ours.</w:t>
      </w:r>
    </w:p>
    <w:p>
      <w:r>
        <w:rPr>
          <w:b/>
        </w:rPr>
        <w:t xml:space="preserve">8 </w:t>
      </w:r>
      <w:r>
        <w:t xml:space="preserve">And they took him, and killed him, and cast</w:t>
      </w:r>
      <w:r>
        <w:rPr>
          <w:rStyle w:val="FootnoteReference"/>
        </w:rPr>
        <w:footnoteReference w:id="15146"/>
      </w:r>
      <w:r>
        <w:t xml:space="preserve"> him out of the vineyard.</w:t>
      </w:r>
    </w:p>
    <w:p>
      <w:r>
        <w:rPr>
          <w:b/>
        </w:rPr>
        <w:t xml:space="preserve">9 </w:t>
      </w:r>
      <w:r>
        <w:t xml:space="preserve">What therefore shall the owner of the vineyard do? he will come and destroy the tenant farmers, and will</w:t>
      </w:r>
      <w:r>
        <w:rPr>
          <w:rStyle w:val="FootnoteReference"/>
        </w:rPr>
        <w:footnoteReference w:id="15147"/>
      </w:r>
      <w:r>
        <w:t xml:space="preserve"> give the vineyard to others.</w:t>
      </w:r>
    </w:p>
    <w:p>
      <w:r>
        <w:rPr>
          <w:b/>
        </w:rPr>
        <w:t xml:space="preserve">10 </w:t>
      </w:r>
      <w:r>
        <w:t xml:space="preserve">And have you not read this scripture; The stone</w:t>
      </w:r>
      <w:r>
        <w:rPr>
          <w:rStyle w:val="FootnoteReference"/>
        </w:rPr>
        <w:footnoteReference w:id="15148"/>
      </w:r>
      <w:r>
        <w:t xml:space="preserve"> which the builders rejected has become the head of the corner:</w:t>
      </w:r>
    </w:p>
    <w:p>
      <w:r>
        <w:rPr>
          <w:b/>
        </w:rPr>
        <w:t xml:space="preserve">11 </w:t>
      </w:r>
      <w:r>
        <w:t xml:space="preserve">This was the Lord's doing, and it is marvelous in our eyes?</w:t>
      </w:r>
    </w:p>
    <w:p>
      <w:r>
        <w:rPr>
          <w:b/>
        </w:rPr>
        <w:t xml:space="preserve">12 </w:t>
      </w:r>
      <w:r>
        <w:t xml:space="preserve">And they sought to lay hold on him, but feared</w:t>
      </w:r>
      <w:r>
        <w:rPr>
          <w:rStyle w:val="FootnoteReference"/>
        </w:rPr>
        <w:footnoteReference w:id="15149"/>
      </w:r>
      <w:r>
        <w:t xml:space="preserve"> the people: for they knew that he had spoken the parable against them: and they left him, and went their way.</w:t>
      </w:r>
    </w:p>
    <w:p>
      <w:r>
        <w:rPr>
          <w:b/>
        </w:rPr>
        <w:t xml:space="preserve">13 </w:t>
      </w:r>
      <w:r>
        <w:t xml:space="preserve">And they send</w:t>
      </w:r>
      <w:r>
        <w:rPr>
          <w:rStyle w:val="FootnoteReference"/>
        </w:rPr>
        <w:footnoteReference w:id="15150"/>
      </w:r>
      <w:r>
        <w:t xml:space="preserve"> to him certain of the Pharisees and of the Herodians, to trap him in his words.</w:t>
      </w:r>
    </w:p>
    <w:p>
      <w:r>
        <w:rPr>
          <w:b/>
        </w:rPr>
        <w:t xml:space="preserve">14 </w:t>
      </w:r>
      <w:r>
        <w:t xml:space="preserve">And when they had come, they say to him, Teacher, we know that you are true, and care for no one: for you do not regard the person of men, but teach the way of God in truth: Is it</w:t>
      </w:r>
      <w:r>
        <w:rPr>
          <w:rStyle w:val="FootnoteReference"/>
        </w:rPr>
        <w:footnoteReference w:id="15151"/>
      </w:r>
      <w:r>
        <w:t xml:space="preserve"> lawful to give tax to Caesar, or not?</w:t>
      </w:r>
    </w:p>
    <w:p>
      <w:r>
        <w:rPr>
          <w:b/>
        </w:rPr>
        <w:t xml:space="preserve">15 </w:t>
      </w:r>
      <w:r>
        <w:t xml:space="preserve">Shall we give, or shall we not give? But he, knowing</w:t>
      </w:r>
      <w:r>
        <w:rPr>
          <w:rStyle w:val="FootnoteReference"/>
        </w:rPr>
        <w:footnoteReference w:id="15152"/>
      </w:r>
      <w:r>
        <w:t xml:space="preserve"> their hypocrisy, said to them, Why do you test me? bring me a denarius, that I may see it.</w:t>
      </w:r>
    </w:p>
    <w:p>
      <w:r>
        <w:rPr>
          <w:b/>
        </w:rPr>
        <w:t xml:space="preserve">16 </w:t>
      </w:r>
      <w:r>
        <w:t xml:space="preserve">And they brought it. And he says to them, Whose is this image</w:t>
      </w:r>
      <w:r>
        <w:rPr>
          <w:rStyle w:val="FootnoteReference"/>
        </w:rPr>
        <w:footnoteReference w:id="15153"/>
      </w:r>
      <w:r>
        <w:t xml:space="preserve"> and inscription? And they said to him, Caesar's.</w:t>
      </w:r>
    </w:p>
    <w:p>
      <w:r>
        <w:rPr>
          <w:b/>
        </w:rPr>
        <w:t xml:space="preserve">17 </w:t>
      </w:r>
      <w:r>
        <w:t xml:space="preserve">And Jesus answering said to them, Render</w:t>
      </w:r>
      <w:r>
        <w:rPr>
          <w:rStyle w:val="FootnoteReference"/>
        </w:rPr>
        <w:footnoteReference w:id="15154"/>
      </w:r>
      <w:r>
        <w:t xml:space="preserve"> to Caesar the things that are Caesar's, and to God the things that are God's. And they marveled at him.</w:t>
      </w:r>
    </w:p>
    <w:p>
      <w:r>
        <w:rPr>
          <w:b/>
        </w:rPr>
        <w:t xml:space="preserve">18 </w:t>
      </w:r>
      <w:r>
        <w:t xml:space="preserve">Then come to him the Sadducees, who say there is no resurrection; and they asked him, saying,</w:t>
      </w:r>
    </w:p>
    <w:p>
      <w:r>
        <w:rPr>
          <w:b/>
        </w:rPr>
        <w:t xml:space="preserve">19 </w:t>
      </w:r>
      <w:r>
        <w:t xml:space="preserve">Teacher, Moses wrote to us, If a man's brother die, and leave his wife behind him, and leave no children, that his brother should take his wife, and raise up seed to his brother.</w:t>
      </w:r>
    </w:p>
    <w:p>
      <w:r>
        <w:rPr>
          <w:b/>
        </w:rPr>
        <w:t xml:space="preserve">20 </w:t>
      </w:r>
      <w:r>
        <w:t xml:space="preserve">Now there were seven brothers: and the first took a wife, and dying left no seed.</w:t>
      </w:r>
    </w:p>
    <w:p>
      <w:r>
        <w:rPr>
          <w:b/>
        </w:rPr>
        <w:t xml:space="preserve">21 </w:t>
      </w:r>
      <w:r>
        <w:t xml:space="preserve">And the second took her, and died, neither did he leave any seed: and the third likewise.</w:t>
      </w:r>
    </w:p>
    <w:p>
      <w:r>
        <w:rPr>
          <w:b/>
        </w:rPr>
        <w:t xml:space="preserve">22 </w:t>
      </w:r>
      <w:r>
        <w:t xml:space="preserve">And the seven had her, and left no seed: last of all the woman also died.</w:t>
      </w:r>
    </w:p>
    <w:p>
      <w:r>
        <w:rPr>
          <w:b/>
        </w:rPr>
        <w:t xml:space="preserve">23 </w:t>
      </w:r>
      <w:r>
        <w:t xml:space="preserve">In the resurrection therefore, when they shall rise, whose wife shall she be of them? for the seven had her as wife.</w:t>
      </w:r>
    </w:p>
    <w:p>
      <w:r>
        <w:rPr>
          <w:b/>
        </w:rPr>
        <w:t xml:space="preserve">24 </w:t>
      </w:r>
      <w:r>
        <w:t xml:space="preserve">And Jesus answering said to them, Do you not therefore err, because you do not know the scriptures, neither the power of God?</w:t>
      </w:r>
    </w:p>
    <w:p>
      <w:r>
        <w:rPr>
          <w:b/>
        </w:rPr>
        <w:t xml:space="preserve">25 </w:t>
      </w:r>
      <w:r>
        <w:t xml:space="preserve">For when they shall rise from the dead, they neither marry, nor are given in marriage; but are as the angels who are in heaven.</w:t>
      </w:r>
    </w:p>
    <w:p>
      <w:r>
        <w:rPr>
          <w:b/>
        </w:rPr>
        <w:t xml:space="preserve">26 </w:t>
      </w:r>
      <w:r>
        <w:t xml:space="preserve">And concerning the dead, that they rise: have you not read in the book</w:t>
      </w:r>
      <w:r>
        <w:rPr>
          <w:rStyle w:val="FootnoteReference"/>
        </w:rPr>
        <w:footnoteReference w:id="15155"/>
      </w:r>
      <w:r>
        <w:t xml:space="preserve"> of Moses, how at the bush God spoke to him, saying, I am the God of Abraham, and the God of Isaac, and the God of Jacob?</w:t>
      </w:r>
    </w:p>
    <w:p>
      <w:r>
        <w:rPr>
          <w:b/>
        </w:rPr>
        <w:t xml:space="preserve">27 </w:t>
      </w:r>
      <w:r>
        <w:t xml:space="preserve">He is not the God of the dead, but the God of the living: you therefore do greatly err.</w:t>
      </w:r>
    </w:p>
    <w:p>
      <w:r>
        <w:rPr>
          <w:b/>
        </w:rPr>
        <w:t xml:space="preserve">28 </w:t>
      </w:r>
      <w:r>
        <w:t xml:space="preserve">And one of the scribes came, and having heard them reasoning together, and perceiving that he had answered them well, asked him, Which is the first commandment of all?</w:t>
      </w:r>
    </w:p>
    <w:p>
      <w:r>
        <w:rPr>
          <w:b/>
        </w:rPr>
        <w:t xml:space="preserve">29 </w:t>
      </w:r>
      <w:r>
        <w:t xml:space="preserve">And Jesus answered him, The first of all the commandments is, Hear</w:t>
      </w:r>
      <w:r>
        <w:rPr>
          <w:rStyle w:val="FootnoteReference"/>
        </w:rPr>
        <w:footnoteReference w:id="15156"/>
      </w:r>
      <w:r>
        <w:t xml:space="preserve">, O Israel; The Lord our God is one Lord:</w:t>
      </w:r>
    </w:p>
    <w:p>
      <w:r>
        <w:rPr>
          <w:b/>
        </w:rPr>
        <w:t xml:space="preserve">30 </w:t>
      </w:r>
      <w:r>
        <w:t xml:space="preserve">And you shall love the Lord your God with all your heart, and with all your soul, and with all your mind, and with all your strength: this is the first commandment.</w:t>
      </w:r>
    </w:p>
    <w:p>
      <w:r>
        <w:rPr>
          <w:b/>
        </w:rPr>
        <w:t xml:space="preserve">31 </w:t>
      </w:r>
      <w:r>
        <w:t xml:space="preserve">And the second is like, namely this, You shall love your neighbor as yourself. There is no other commandment greater than these.</w:t>
      </w:r>
    </w:p>
    <w:p>
      <w:r>
        <w:rPr>
          <w:b/>
        </w:rPr>
        <w:t xml:space="preserve">32 </w:t>
      </w:r>
      <w:r>
        <w:t xml:space="preserve">And the scribe said to him, Well, Teacher, you have said the truth: for there is one God; and there is no other but he:</w:t>
      </w:r>
    </w:p>
    <w:p>
      <w:r>
        <w:rPr>
          <w:b/>
        </w:rPr>
        <w:t xml:space="preserve">33 </w:t>
      </w:r>
      <w:r>
        <w:t xml:space="preserve">And to love him with all the heart, and with all the understanding, and with all the soul, and with all the strength, and to love his neighbor as himself, is more</w:t>
      </w:r>
      <w:r>
        <w:rPr>
          <w:rStyle w:val="FootnoteReference"/>
        </w:rPr>
        <w:footnoteReference w:id="15157"/>
      </w:r>
      <w:r>
        <w:t xml:space="preserve"> than all whole burnt offerings and sacrifices.</w:t>
      </w:r>
    </w:p>
    <w:p>
      <w:r>
        <w:rPr>
          <w:b/>
        </w:rPr>
        <w:t xml:space="preserve">34 </w:t>
      </w:r>
      <w:r>
        <w:t xml:space="preserve">And when Jesus saw that he answered discreetly, he said to him, You are not far from the kingdom of God. And no</w:t>
      </w:r>
      <w:r>
        <w:rPr>
          <w:rStyle w:val="FootnoteReference"/>
        </w:rPr>
        <w:footnoteReference w:id="15158"/>
      </w:r>
      <w:r>
        <w:t xml:space="preserve"> one after that dared ask him any question.</w:t>
      </w:r>
    </w:p>
    <w:p>
      <w:r>
        <w:rPr>
          <w:b/>
        </w:rPr>
        <w:t xml:space="preserve">35 </w:t>
      </w:r>
      <w:r>
        <w:t xml:space="preserve">And Jesus answered and said, while he taught in the temple, How say the scribes that Christ is the son of David?</w:t>
      </w:r>
    </w:p>
    <w:p>
      <w:r>
        <w:rPr>
          <w:b/>
        </w:rPr>
        <w:t xml:space="preserve">36 </w:t>
      </w:r>
      <w:r>
        <w:t xml:space="preserve">For David himself said by the Holy Spirit, The Lord</w:t>
      </w:r>
      <w:r>
        <w:rPr>
          <w:rStyle w:val="FootnoteReference"/>
        </w:rPr>
        <w:footnoteReference w:id="15159"/>
      </w:r>
      <w:r>
        <w:t xml:space="preserve"> said to my Lord, Sit you on my right hand, till I make your enemies your footstool.</w:t>
      </w:r>
    </w:p>
    <w:p>
      <w:r>
        <w:rPr>
          <w:b/>
        </w:rPr>
        <w:t xml:space="preserve">37 </w:t>
      </w:r>
      <w:r>
        <w:t xml:space="preserve">David therefore himself calls him Lord; And from where is he then his son? And the common people heard him gladly.</w:t>
      </w:r>
    </w:p>
    <w:p>
      <w:r>
        <w:rPr>
          <w:b/>
        </w:rPr>
        <w:t xml:space="preserve">38 </w:t>
      </w:r>
      <w:r>
        <w:t xml:space="preserve">And he said</w:t>
      </w:r>
      <w:r>
        <w:rPr>
          <w:rStyle w:val="FootnoteReference"/>
        </w:rPr>
        <w:footnoteReference w:id="15160"/>
      </w:r>
      <w:r>
        <w:t xml:space="preserve"> to them in his teaching, Beware of the scribes, who love to go in long robes, and love greetings in the marketplaces,</w:t>
      </w:r>
    </w:p>
    <w:p>
      <w:r>
        <w:rPr>
          <w:b/>
        </w:rPr>
        <w:t xml:space="preserve">39 </w:t>
      </w:r>
      <w:r>
        <w:t xml:space="preserve">And the chief seats in the synagogues, and the chief places at feasts:</w:t>
      </w:r>
    </w:p>
    <w:p>
      <w:r>
        <w:rPr>
          <w:b/>
        </w:rPr>
        <w:t xml:space="preserve">40 </w:t>
      </w:r>
      <w:r>
        <w:t xml:space="preserve">Which devour</w:t>
      </w:r>
      <w:r>
        <w:rPr>
          <w:rStyle w:val="FootnoteReference"/>
        </w:rPr>
        <w:footnoteReference w:id="15161"/>
      </w:r>
      <w:r>
        <w:t xml:space="preserve"> widows' houses, and for a pretence make long prayers: these shall receive greater judgment.</w:t>
      </w:r>
    </w:p>
    <w:p>
      <w:r>
        <w:rPr>
          <w:b/>
        </w:rPr>
        <w:t xml:space="preserve">41 </w:t>
      </w:r>
      <w:r>
        <w:t xml:space="preserve">And Jesus sat opposite to the treasury, and watched how the people cast money</w:t>
      </w:r>
      <w:r>
        <w:rPr>
          <w:rStyle w:val="FootnoteReference"/>
        </w:rPr>
        <w:footnoteReference w:id="15162"/>
      </w:r>
      <w:r>
        <w:t xml:space="preserve"> into the treasury: and many that were rich cast in much.</w:t>
      </w:r>
    </w:p>
    <w:p>
      <w:r>
        <w:rPr>
          <w:b/>
        </w:rPr>
        <w:t xml:space="preserve">42 </w:t>
      </w:r>
      <w:r>
        <w:t xml:space="preserve">And there came a certain poor widow, and she threw in two lepta, which make a quadrans.</w:t>
      </w:r>
    </w:p>
    <w:p>
      <w:r>
        <w:rPr>
          <w:b/>
        </w:rPr>
        <w:t xml:space="preserve">43 </w:t>
      </w:r>
      <w:r>
        <w:t xml:space="preserve">And he called to him his disciples, and says to them, Amen, I say to you, That this poor widow has cast more in, than all those who have cast into the treasury:</w:t>
      </w:r>
    </w:p>
    <w:p>
      <w:r>
        <w:rPr>
          <w:b/>
        </w:rPr>
        <w:t xml:space="preserve">44 </w:t>
      </w:r>
      <w:r>
        <w:t xml:space="preserve">For all they cast in out of their abundance; but she out of her poverty cast in all that she had, even all her</w:t>
      </w:r>
      <w:r>
        <w:rPr>
          <w:rStyle w:val="FootnoteReference"/>
        </w:rPr>
        <w:footnoteReference w:id="15163"/>
      </w:r>
      <w:r>
        <w:t xml:space="preserve"> living.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as he</w:t>
      </w:r>
      <w:r>
        <w:rPr>
          <w:rStyle w:val="FootnoteReference"/>
        </w:rPr>
        <w:footnoteReference w:id="15164"/>
      </w:r>
      <w:r>
        <w:t xml:space="preserve"> went out of the temple, one of his disciples says to him, Teacher, see what manner of stones and what buildings are here!</w:t>
      </w:r>
    </w:p>
    <w:p>
      <w:r>
        <w:rPr>
          <w:b/>
        </w:rPr>
        <w:t xml:space="preserve">2 </w:t>
      </w:r>
      <w:r>
        <w:t xml:space="preserve">And Jesus answering said to him, Do you see these great buildings? there shall not be left one stone upon another, that shall not be thrown down.</w:t>
      </w:r>
    </w:p>
    <w:p>
      <w:r>
        <w:rPr>
          <w:b/>
        </w:rPr>
        <w:t xml:space="preserve">3 </w:t>
      </w:r>
      <w:r>
        <w:t xml:space="preserve">And as he sat upon the mount of Olives opposite to the temple, Peter</w:t>
      </w:r>
      <w:r>
        <w:rPr>
          <w:rStyle w:val="FootnoteReference"/>
        </w:rPr>
        <w:footnoteReference w:id="15165"/>
      </w:r>
      <w:r>
        <w:t xml:space="preserve"> and James and John and Andrew asked him privately,</w:t>
      </w:r>
    </w:p>
    <w:p>
      <w:r>
        <w:rPr>
          <w:b/>
        </w:rPr>
        <w:t xml:space="preserve">4 </w:t>
      </w:r>
      <w:r>
        <w:t xml:space="preserve">Tell us, when shall these things be? and what shall be the sign when all these things shall be fulfilled?</w:t>
      </w:r>
    </w:p>
    <w:p>
      <w:r>
        <w:rPr>
          <w:b/>
        </w:rPr>
        <w:t xml:space="preserve">5 </w:t>
      </w:r>
      <w:r>
        <w:t xml:space="preserve">And Jesus answering them began to say, Take</w:t>
      </w:r>
      <w:r>
        <w:rPr>
          <w:rStyle w:val="FootnoteReference"/>
        </w:rPr>
        <w:footnoteReference w:id="15166"/>
      </w:r>
      <w:r>
        <w:t xml:space="preserve"> heed lest anyone deceive you:</w:t>
      </w:r>
    </w:p>
    <w:p>
      <w:r>
        <w:rPr>
          <w:b/>
        </w:rPr>
        <w:t xml:space="preserve">6 </w:t>
      </w:r>
      <w:r>
        <w:t xml:space="preserve">For many shall come in my name, saying, I am Christ; and shall</w:t>
      </w:r>
      <w:r>
        <w:rPr>
          <w:rStyle w:val="FootnoteReference"/>
        </w:rPr>
        <w:footnoteReference w:id="15167"/>
      </w:r>
      <w:r>
        <w:t xml:space="preserve"> deceive many.</w:t>
      </w:r>
    </w:p>
    <w:p>
      <w:r>
        <w:rPr>
          <w:b/>
        </w:rPr>
        <w:t xml:space="preserve">7 </w:t>
      </w:r>
      <w:r>
        <w:t xml:space="preserve">And when you shall hear of wars and rumors of wars, do not be troubled: for such things must</w:t>
      </w:r>
      <w:r>
        <w:rPr>
          <w:rStyle w:val="FootnoteReference"/>
        </w:rPr>
        <w:footnoteReference w:id="15168"/>
      </w:r>
      <w:r>
        <w:t xml:space="preserve"> be; but the end shall not be yet.</w:t>
      </w:r>
    </w:p>
    <w:p>
      <w:r>
        <w:rPr>
          <w:b/>
        </w:rPr>
        <w:t xml:space="preserve">8 </w:t>
      </w:r>
      <w:r>
        <w:t xml:space="preserve">For nation shall</w:t>
      </w:r>
      <w:r>
        <w:rPr>
          <w:rStyle w:val="FootnoteReference"/>
        </w:rPr>
        <w:footnoteReference w:id="15169"/>
      </w:r>
      <w:r>
        <w:t xml:space="preserve"> rise against nation, and kingdom against kingdom: and there shall be earthquakes in various places, and there shall be famines and troubles: these are the beginnings of birth pains.</w:t>
      </w:r>
    </w:p>
    <w:p>
      <w:r>
        <w:rPr>
          <w:b/>
        </w:rPr>
        <w:t xml:space="preserve">9 </w:t>
      </w:r>
      <w:r>
        <w:t xml:space="preserve">But take</w:t>
      </w:r>
      <w:r>
        <w:rPr>
          <w:rStyle w:val="FootnoteReference"/>
        </w:rPr>
        <w:footnoteReference w:id="15170"/>
      </w:r>
      <w:r>
        <w:t xml:space="preserve"> heed to yourselves: for they shall deliver you up to councils; and in the synagogues you shall be beaten: and you shall be brought before rulers and kings for my sake, for a testimony against them.</w:t>
      </w:r>
    </w:p>
    <w:p>
      <w:r>
        <w:rPr>
          <w:b/>
        </w:rPr>
        <w:t xml:space="preserve">10 </w:t>
      </w:r>
      <w:r>
        <w:t xml:space="preserve">And the good news must first be published among all nations.</w:t>
      </w:r>
    </w:p>
    <w:p>
      <w:r>
        <w:rPr>
          <w:b/>
        </w:rPr>
        <w:t xml:space="preserve">11 </w:t>
      </w:r>
      <w:r>
        <w:t xml:space="preserve">But when they shall lead you, and deliver</w:t>
      </w:r>
      <w:r>
        <w:rPr>
          <w:rStyle w:val="FootnoteReference"/>
        </w:rPr>
        <w:footnoteReference w:id="15171"/>
      </w:r>
      <w:r>
        <w:t xml:space="preserve"> you up, do not worry beforehand what you shall speak, neither do you premeditate: but whatever shall be given you in that hour, that speak: for it is not you that speak, but the Holy Spirit.</w:t>
      </w:r>
    </w:p>
    <w:p>
      <w:r>
        <w:rPr>
          <w:b/>
        </w:rPr>
        <w:t xml:space="preserve">12 </w:t>
      </w:r>
      <w:r>
        <w:t xml:space="preserve">Now brother shall betray brother to death, and the father the son; and children shall rise up against their parents, and shall cause them to be put to death.</w:t>
      </w:r>
    </w:p>
    <w:p>
      <w:r>
        <w:rPr>
          <w:b/>
        </w:rPr>
        <w:t xml:space="preserve">13 </w:t>
      </w:r>
      <w:r>
        <w:t xml:space="preserve">And you shall be hated by all for my name's sake: but the one who shall endure to the end, the same shall be saved.</w:t>
      </w:r>
    </w:p>
    <w:p>
      <w:r>
        <w:rPr>
          <w:b/>
        </w:rPr>
        <w:t xml:space="preserve">14 </w:t>
      </w:r>
      <w:r>
        <w:t xml:space="preserve">But when you shall see the abomination</w:t>
      </w:r>
      <w:r>
        <w:rPr>
          <w:rStyle w:val="FootnoteReference"/>
        </w:rPr>
        <w:footnoteReference w:id="15172"/>
      </w:r>
      <w:r>
        <w:t xml:space="preserve"> of desolation, spoken of by Daniel the prophet, standing where it ought not, (let him who reads understand,) then let those who are in Judea flee to the mountains:</w:t>
      </w:r>
    </w:p>
    <w:p>
      <w:r>
        <w:rPr>
          <w:b/>
        </w:rPr>
        <w:t xml:space="preserve">15 </w:t>
      </w:r>
      <w:r>
        <w:t xml:space="preserve">And let him who is on the housetop not go down into the house, nor enter it, to take anything out of his house:</w:t>
      </w:r>
    </w:p>
    <w:p>
      <w:r>
        <w:rPr>
          <w:b/>
        </w:rPr>
        <w:t xml:space="preserve">16 </w:t>
      </w:r>
      <w:r>
        <w:t xml:space="preserve">And let him who is in the field not turn back again in order to take up his garment.</w:t>
      </w:r>
    </w:p>
    <w:p>
      <w:r>
        <w:rPr>
          <w:b/>
        </w:rPr>
        <w:t xml:space="preserve">17 </w:t>
      </w:r>
      <w:r>
        <w:t xml:space="preserve">But woe to those who are pregnant, and to those who are nursing in those days!</w:t>
      </w:r>
    </w:p>
    <w:p>
      <w:r>
        <w:rPr>
          <w:b/>
        </w:rPr>
        <w:t xml:space="preserve">18 </w:t>
      </w:r>
      <w:r>
        <w:t xml:space="preserve">And pray that your flight not be in the winter.</w:t>
      </w:r>
    </w:p>
    <w:p>
      <w:r>
        <w:rPr>
          <w:b/>
        </w:rPr>
        <w:t xml:space="preserve">19 </w:t>
      </w:r>
      <w:r>
        <w:t xml:space="preserve">For in those</w:t>
      </w:r>
      <w:r>
        <w:rPr>
          <w:rStyle w:val="FootnoteReference"/>
        </w:rPr>
        <w:footnoteReference w:id="15173"/>
      </w:r>
      <w:r>
        <w:t xml:space="preserve"> days shall be affliction, such as was not from the beginning of the creation which God created to this time, neither shall be.</w:t>
      </w:r>
    </w:p>
    <w:p>
      <w:r>
        <w:rPr>
          <w:b/>
        </w:rPr>
        <w:t xml:space="preserve">20 </w:t>
      </w:r>
      <w:r>
        <w:t xml:space="preserve">And except that the Lord had shortened those days, no flesh would be saved: but for the elect's sake, whom he has chosen, he has shortened the days.</w:t>
      </w:r>
    </w:p>
    <w:p>
      <w:r>
        <w:rPr>
          <w:b/>
        </w:rPr>
        <w:t xml:space="preserve">21 </w:t>
      </w:r>
      <w:r>
        <w:t xml:space="preserve">And then if anyone shall say to you, Look, here is Christ; or, look, he is there; do not believe him:</w:t>
      </w:r>
    </w:p>
    <w:p>
      <w:r>
        <w:rPr>
          <w:b/>
        </w:rPr>
        <w:t xml:space="preserve">22 </w:t>
      </w:r>
      <w:r>
        <w:t xml:space="preserve">For false Christs and false prophets shall rise, and shall show signs and wonders, to deceive, if it</w:t>
      </w:r>
      <w:r>
        <w:rPr>
          <w:rStyle w:val="FootnoteReference"/>
        </w:rPr>
        <w:footnoteReference w:id="15174"/>
      </w:r>
      <w:r>
        <w:t xml:space="preserve"> were possible, even the elect.</w:t>
      </w:r>
    </w:p>
    <w:p>
      <w:r>
        <w:rPr>
          <w:b/>
        </w:rPr>
        <w:t xml:space="preserve">23 </w:t>
      </w:r>
      <w:r>
        <w:t xml:space="preserve">But take</w:t>
      </w:r>
      <w:r>
        <w:rPr>
          <w:rStyle w:val="FootnoteReference"/>
        </w:rPr>
        <w:footnoteReference w:id="15175"/>
      </w:r>
      <w:r>
        <w:t xml:space="preserve"> heed: look, I have foretold you all things.</w:t>
      </w:r>
    </w:p>
    <w:p>
      <w:r>
        <w:rPr>
          <w:b/>
        </w:rPr>
        <w:t xml:space="preserve">24 </w:t>
      </w:r>
      <w:r>
        <w:t xml:space="preserve">But in those days, after that tribulation, the sun shall be darkened, and the moon shall not give its light,</w:t>
      </w:r>
    </w:p>
    <w:p>
      <w:r>
        <w:rPr>
          <w:b/>
        </w:rPr>
        <w:t xml:space="preserve">25 </w:t>
      </w:r>
      <w:r>
        <w:t xml:space="preserve">And the stars of heaven shall fall, and the powers that are in heaven shall be shaken.</w:t>
      </w:r>
    </w:p>
    <w:p>
      <w:r>
        <w:rPr>
          <w:b/>
        </w:rPr>
        <w:t xml:space="preserve">26 </w:t>
      </w:r>
      <w:r>
        <w:t xml:space="preserve">And then they shall see the Son of man coming in the clouds with great power and glory.</w:t>
      </w:r>
    </w:p>
    <w:p>
      <w:r>
        <w:rPr>
          <w:b/>
        </w:rPr>
        <w:t xml:space="preserve">27 </w:t>
      </w:r>
      <w:r>
        <w:t xml:space="preserve">And then he shall send his angels, and shall gather</w:t>
      </w:r>
      <w:r>
        <w:rPr>
          <w:rStyle w:val="FootnoteReference"/>
        </w:rPr>
        <w:footnoteReference w:id="15176"/>
      </w:r>
      <w:r>
        <w:t xml:space="preserve"> together his elect from the four winds, from the uttermost part of the earth to the uttermost part of heaven.</w:t>
      </w:r>
    </w:p>
    <w:p>
      <w:r>
        <w:rPr>
          <w:b/>
        </w:rPr>
        <w:t xml:space="preserve">28 </w:t>
      </w:r>
      <w:r>
        <w:t xml:space="preserve">Now learn a parable of the fig tree; When its branch is yet tender, and puts forth leaves, you know that summer is near:</w:t>
      </w:r>
    </w:p>
    <w:p>
      <w:r>
        <w:rPr>
          <w:b/>
        </w:rPr>
        <w:t xml:space="preserve">29 </w:t>
      </w:r>
      <w:r>
        <w:t xml:space="preserve">So you likewise, when you shall see these things come to pass, know</w:t>
      </w:r>
      <w:r>
        <w:rPr>
          <w:rStyle w:val="FootnoteReference"/>
        </w:rPr>
        <w:footnoteReference w:id="15177"/>
      </w:r>
      <w:r>
        <w:t xml:space="preserve"> that it is near, even at the doors.</w:t>
      </w:r>
    </w:p>
    <w:p>
      <w:r>
        <w:rPr>
          <w:b/>
        </w:rPr>
        <w:t xml:space="preserve">30 </w:t>
      </w:r>
      <w:r>
        <w:t xml:space="preserve">Amen, I say to you, that this generation shall not pass, till all these things be done.</w:t>
      </w:r>
    </w:p>
    <w:p>
      <w:r>
        <w:rPr>
          <w:b/>
        </w:rPr>
        <w:t xml:space="preserve">31 </w:t>
      </w:r>
      <w:r>
        <w:t xml:space="preserve">Heaven</w:t>
      </w:r>
      <w:r>
        <w:rPr>
          <w:rStyle w:val="FootnoteReference"/>
        </w:rPr>
        <w:footnoteReference w:id="15178"/>
      </w:r>
      <w:r>
        <w:t xml:space="preserve"> and earth shall pass away: but my words shall not pass away.</w:t>
      </w:r>
    </w:p>
    <w:p>
      <w:r>
        <w:rPr>
          <w:b/>
        </w:rPr>
        <w:t xml:space="preserve">32 </w:t>
      </w:r>
      <w:r>
        <w:t xml:space="preserve">But of that day and that hour knows no one, no, not the angels who are in heaven, neither the Son, but the Father.</w:t>
      </w:r>
    </w:p>
    <w:p>
      <w:r>
        <w:rPr>
          <w:b/>
        </w:rPr>
        <w:t xml:space="preserve">33 </w:t>
      </w:r>
      <w:r>
        <w:t xml:space="preserve">Take heed, watch and pray: for you do not know when the time is.</w:t>
      </w:r>
    </w:p>
    <w:p>
      <w:r>
        <w:rPr>
          <w:b/>
        </w:rPr>
        <w:t xml:space="preserve">34 </w:t>
      </w:r>
      <w:r>
        <w:t xml:space="preserve">For the Son of Man is as a</w:t>
      </w:r>
      <w:r>
        <w:rPr>
          <w:rStyle w:val="FootnoteReference"/>
        </w:rPr>
        <w:footnoteReference w:id="15179"/>
      </w:r>
      <w:r>
        <w:t xml:space="preserve"> man taking a far journey, who left his house, and gave authority to his slaves, and to every man his work, and commanded the gate keeper to watch.</w:t>
      </w:r>
    </w:p>
    <w:p>
      <w:r>
        <w:rPr>
          <w:b/>
        </w:rPr>
        <w:t xml:space="preserve">35 </w:t>
      </w:r>
      <w:r>
        <w:t xml:space="preserve">Watch therefore: for you do not know when the master of the house comes, at evening, or at midnight, or at rooster-crowing, or in the morning:</w:t>
      </w:r>
    </w:p>
    <w:p>
      <w:r>
        <w:rPr>
          <w:b/>
        </w:rPr>
        <w:t xml:space="preserve">36 </w:t>
      </w:r>
      <w:r>
        <w:t xml:space="preserve">Lest coming suddenly he find</w:t>
      </w:r>
      <w:r>
        <w:rPr>
          <w:rStyle w:val="FootnoteReference"/>
        </w:rPr>
        <w:footnoteReference w:id="15180"/>
      </w:r>
      <w:r>
        <w:t xml:space="preserve"> you sleeping.</w:t>
      </w:r>
    </w:p>
    <w:p>
      <w:r>
        <w:rPr>
          <w:b/>
        </w:rPr>
        <w:t xml:space="preserve">37 </w:t>
      </w:r>
      <w:r>
        <w:t xml:space="preserve">And what I say to you I say to all, Watch.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After two days was the feast of the Passover</w:t>
      </w:r>
      <w:r>
        <w:rPr>
          <w:rStyle w:val="FootnoteReference"/>
        </w:rPr>
        <w:footnoteReference w:id="15181"/>
      </w:r>
      <w:r>
        <w:t xml:space="preserve">, and of unleavened bread: and the chief priests and the scribes sought how they might take him by deceit, and put him to death.</w:t>
      </w:r>
    </w:p>
    <w:p>
      <w:r>
        <w:rPr>
          <w:b/>
        </w:rPr>
        <w:t xml:space="preserve">2 </w:t>
      </w:r>
      <w:r>
        <w:t xml:space="preserve">But they said, Not on the feast day, lest there be an uproar of the people.</w:t>
      </w:r>
    </w:p>
    <w:p>
      <w:r>
        <w:rPr>
          <w:b/>
        </w:rPr>
        <w:t xml:space="preserve">3 </w:t>
      </w:r>
      <w:r>
        <w:t xml:space="preserve">And being in Bethany in the house of Simon the leper, as he reclined at table, there came a woman having an alabaster box of ointment</w:t>
      </w:r>
      <w:r>
        <w:rPr>
          <w:rStyle w:val="FootnoteReference"/>
        </w:rPr>
        <w:footnoteReference w:id="15182"/>
      </w:r>
      <w:r>
        <w:t xml:space="preserve"> of very costly spikenard; and she broke the box, and poured it on his head.</w:t>
      </w:r>
    </w:p>
    <w:p>
      <w:r>
        <w:rPr>
          <w:b/>
        </w:rPr>
        <w:t xml:space="preserve">4 </w:t>
      </w:r>
      <w:r>
        <w:t xml:space="preserve">And there were some who were indignant within themselves, and said, Why was this waste of the ointment made?</w:t>
      </w:r>
    </w:p>
    <w:p>
      <w:r>
        <w:rPr>
          <w:b/>
        </w:rPr>
        <w:t xml:space="preserve">5 </w:t>
      </w:r>
      <w:r>
        <w:t xml:space="preserve">For it might have been sold for more than three hundred denarii, and have been given</w:t>
      </w:r>
      <w:r>
        <w:rPr>
          <w:rStyle w:val="FootnoteReference"/>
        </w:rPr>
        <w:footnoteReference w:id="15183"/>
      </w:r>
      <w:r>
        <w:t xml:space="preserve"> to the poor. And they grumbled against her.</w:t>
      </w:r>
    </w:p>
    <w:p>
      <w:r>
        <w:rPr>
          <w:b/>
        </w:rPr>
        <w:t xml:space="preserve">6 </w:t>
      </w:r>
      <w:r>
        <w:t xml:space="preserve">And Jesus said, Let her alone; why do you trouble her? she has done a good</w:t>
      </w:r>
      <w:r>
        <w:rPr>
          <w:rStyle w:val="FootnoteReference"/>
        </w:rPr>
        <w:footnoteReference w:id="15184"/>
      </w:r>
      <w:r>
        <w:t xml:space="preserve"> work for me.</w:t>
      </w:r>
    </w:p>
    <w:p>
      <w:r>
        <w:rPr>
          <w:b/>
        </w:rPr>
        <w:t xml:space="preserve">7 </w:t>
      </w:r>
      <w:r>
        <w:t xml:space="preserve">For you have the poor with you always, and whenever you desire you may do them good: but me you have not always.</w:t>
      </w:r>
    </w:p>
    <w:p>
      <w:r>
        <w:rPr>
          <w:b/>
        </w:rPr>
        <w:t xml:space="preserve">8 </w:t>
      </w:r>
      <w:r>
        <w:t xml:space="preserve">She has done what she could: she has come beforehand to anoint my body for burial.</w:t>
      </w:r>
    </w:p>
    <w:p>
      <w:r>
        <w:rPr>
          <w:b/>
        </w:rPr>
        <w:t xml:space="preserve">9 </w:t>
      </w:r>
      <w:r>
        <w:t xml:space="preserve">Amen, I say to you, wherever this good news shall be preached throughout the whole world, this also that she has done shall be spoken of for a memorial</w:t>
      </w:r>
      <w:r>
        <w:rPr>
          <w:rStyle w:val="FootnoteReference"/>
        </w:rPr>
        <w:footnoteReference w:id="15185"/>
      </w:r>
      <w:r>
        <w:t xml:space="preserve"> of her.</w:t>
      </w:r>
    </w:p>
    <w:p>
      <w:r>
        <w:rPr>
          <w:b/>
        </w:rPr>
        <w:t xml:space="preserve">10 </w:t>
      </w:r>
      <w:r>
        <w:t xml:space="preserve">And Judas</w:t>
      </w:r>
      <w:r>
        <w:rPr>
          <w:rStyle w:val="FootnoteReference"/>
        </w:rPr>
        <w:footnoteReference w:id="15186"/>
      </w:r>
      <w:r>
        <w:t xml:space="preserve"> Iscariot, one of the twelve, went to the chief priests, to betray him to them.</w:t>
      </w:r>
    </w:p>
    <w:p>
      <w:r>
        <w:rPr>
          <w:b/>
        </w:rPr>
        <w:t xml:space="preserve">11 </w:t>
      </w:r>
      <w:r>
        <w:t xml:space="preserve">And when they heard it, they were</w:t>
      </w:r>
      <w:r>
        <w:rPr>
          <w:rStyle w:val="FootnoteReference"/>
        </w:rPr>
        <w:footnoteReference w:id="15187"/>
      </w:r>
      <w:r>
        <w:t xml:space="preserve"> glad, and promised to give him money. And he sought how he might betray him conveniently.</w:t>
      </w:r>
    </w:p>
    <w:p>
      <w:r>
        <w:rPr>
          <w:b/>
        </w:rPr>
        <w:t xml:space="preserve">12 </w:t>
      </w:r>
      <w:r>
        <w:t xml:space="preserve">And the first</w:t>
      </w:r>
      <w:r>
        <w:rPr>
          <w:rStyle w:val="FootnoteReference"/>
        </w:rPr>
        <w:footnoteReference w:id="15188"/>
      </w:r>
      <w:r>
        <w:t xml:space="preserve"> day of unleavened bread, when they killed the Passover, his disciples said to him, Where do you want us to go and prepare that you may eat the Passover?</w:t>
      </w:r>
    </w:p>
    <w:p>
      <w:r>
        <w:rPr>
          <w:b/>
        </w:rPr>
        <w:t xml:space="preserve">13 </w:t>
      </w:r>
      <w:r>
        <w:t xml:space="preserve">And he sends forth two of his disciples, and says to them, Go into the city, and there shall meet you a man bearing a jar of water: follow him.</w:t>
      </w:r>
    </w:p>
    <w:p>
      <w:r>
        <w:rPr>
          <w:b/>
        </w:rPr>
        <w:t xml:space="preserve">14 </w:t>
      </w:r>
      <w:r>
        <w:t xml:space="preserve">And wherever he shall go in, say to the householder, The Teacher says, Where is the guest room, where I</w:t>
      </w:r>
      <w:r>
        <w:rPr>
          <w:rStyle w:val="FootnoteReference"/>
        </w:rPr>
        <w:footnoteReference w:id="15189"/>
      </w:r>
      <w:r>
        <w:t xml:space="preserve"> shall eat the Passover with my disciples?</w:t>
      </w:r>
    </w:p>
    <w:p>
      <w:r>
        <w:rPr>
          <w:b/>
        </w:rPr>
        <w:t xml:space="preserve">15 </w:t>
      </w:r>
      <w:r>
        <w:t xml:space="preserve">And he will show you a large upper</w:t>
      </w:r>
      <w:r>
        <w:rPr>
          <w:rStyle w:val="FootnoteReference"/>
        </w:rPr>
        <w:footnoteReference w:id="15190"/>
      </w:r>
      <w:r>
        <w:t xml:space="preserve"> room furnished and prepared: there prepare for us.</w:t>
      </w:r>
    </w:p>
    <w:p>
      <w:r>
        <w:rPr>
          <w:b/>
        </w:rPr>
        <w:t xml:space="preserve">16 </w:t>
      </w:r>
      <w:r>
        <w:t xml:space="preserve">And his disciples went out, and came into the city, and found</w:t>
      </w:r>
      <w:r>
        <w:rPr>
          <w:rStyle w:val="FootnoteReference"/>
        </w:rPr>
        <w:footnoteReference w:id="15191"/>
      </w:r>
      <w:r>
        <w:t xml:space="preserve"> as he had said to them: and they made ready the Passover.</w:t>
      </w:r>
    </w:p>
    <w:p>
      <w:r>
        <w:rPr>
          <w:b/>
        </w:rPr>
        <w:t xml:space="preserve">17 </w:t>
      </w:r>
      <w:r>
        <w:t xml:space="preserve">And in the evening he comes with the twelve.</w:t>
      </w:r>
    </w:p>
    <w:p>
      <w:r>
        <w:rPr>
          <w:b/>
        </w:rPr>
        <w:t xml:space="preserve">18 </w:t>
      </w:r>
      <w:r>
        <w:t xml:space="preserve">And as they sat and did eat, Jesus said, Amen, I say to you, One of you which eats with me shall betray me.</w:t>
      </w:r>
    </w:p>
    <w:p>
      <w:r>
        <w:rPr>
          <w:b/>
        </w:rPr>
        <w:t xml:space="preserve">19 </w:t>
      </w:r>
      <w:r>
        <w:t xml:space="preserve">And they began to be sorrowful, and to say to him one by one, Is it I? and another said, Is it I?</w:t>
      </w:r>
    </w:p>
    <w:p>
      <w:r>
        <w:rPr>
          <w:b/>
        </w:rPr>
        <w:t xml:space="preserve">20 </w:t>
      </w:r>
      <w:r>
        <w:t xml:space="preserve">And he answered and said to them, It is one of the twelve, who dips with me in the dish.</w:t>
      </w:r>
    </w:p>
    <w:p>
      <w:r>
        <w:rPr>
          <w:b/>
        </w:rPr>
        <w:t xml:space="preserve">21 </w:t>
      </w:r>
      <w:r>
        <w:t xml:space="preserve">The Son of man indeed goes, as it is written of him: but woe to that man by whom the Son of man is betrayed! it would have been good</w:t>
      </w:r>
      <w:r>
        <w:rPr>
          <w:rStyle w:val="FootnoteReference"/>
        </w:rPr>
        <w:footnoteReference w:id="15192"/>
      </w:r>
      <w:r>
        <w:t xml:space="preserve"> for that man if he had never been born.</w:t>
      </w:r>
    </w:p>
    <w:p>
      <w:r>
        <w:rPr>
          <w:b/>
        </w:rPr>
        <w:t xml:space="preserve">22 </w:t>
      </w:r>
      <w:r>
        <w:t xml:space="preserve">And as they ate, Jesus took bread, and blessed</w:t>
      </w:r>
      <w:r>
        <w:rPr>
          <w:rStyle w:val="FootnoteReference"/>
        </w:rPr>
        <w:footnoteReference w:id="15193"/>
      </w:r>
      <w:r>
        <w:t xml:space="preserve">, and broke it, and gave to them, and said, Take, eat: this is my body.</w:t>
      </w:r>
    </w:p>
    <w:p>
      <w:r>
        <w:rPr>
          <w:b/>
        </w:rPr>
        <w:t xml:space="preserve">23 </w:t>
      </w:r>
      <w:r>
        <w:t xml:space="preserve">And he took the cup, and when he had given thanks, he gave it to them: and they all drank of it.</w:t>
      </w:r>
    </w:p>
    <w:p>
      <w:r>
        <w:rPr>
          <w:b/>
        </w:rPr>
        <w:t xml:space="preserve">24 </w:t>
      </w:r>
      <w:r>
        <w:t xml:space="preserve">And he said to them, This is my blood of the new covenant, which is shed for many.</w:t>
      </w:r>
    </w:p>
    <w:p>
      <w:r>
        <w:rPr>
          <w:b/>
        </w:rPr>
        <w:t xml:space="preserve">25 </w:t>
      </w:r>
      <w:r>
        <w:t xml:space="preserve">Amen, I say to you, I will drink no more of the fruit of the vine, until that day that I drink it new in the kingdom of God.</w:t>
      </w:r>
    </w:p>
    <w:p>
      <w:r>
        <w:rPr>
          <w:b/>
        </w:rPr>
        <w:t xml:space="preserve">26 </w:t>
      </w:r>
      <w:r>
        <w:t xml:space="preserve">And when they had sung</w:t>
      </w:r>
      <w:r>
        <w:rPr>
          <w:rStyle w:val="FootnoteReference"/>
        </w:rPr>
        <w:footnoteReference w:id="15194"/>
      </w:r>
      <w:r>
        <w:t xml:space="preserve"> a hymn, they went out to the mount of Olives.</w:t>
      </w:r>
    </w:p>
    <w:p>
      <w:r>
        <w:rPr>
          <w:b/>
        </w:rPr>
        <w:t xml:space="preserve">27 </w:t>
      </w:r>
      <w:r>
        <w:t xml:space="preserve">And Jesus says to them, All you shall be stumbled because of me this night: for it is written, I will strike the shepherd, and the sheep shall be scattered.</w:t>
      </w:r>
    </w:p>
    <w:p>
      <w:r>
        <w:rPr>
          <w:b/>
        </w:rPr>
        <w:t xml:space="preserve">28 </w:t>
      </w:r>
      <w:r>
        <w:t xml:space="preserve">But after I have risen, I will go before you into Galilee.</w:t>
      </w:r>
    </w:p>
    <w:p>
      <w:r>
        <w:rPr>
          <w:b/>
        </w:rPr>
        <w:t xml:space="preserve">29 </w:t>
      </w:r>
      <w:r>
        <w:t xml:space="preserve">But Peter said to him, Although</w:t>
      </w:r>
      <w:r>
        <w:rPr>
          <w:rStyle w:val="FootnoteReference"/>
        </w:rPr>
        <w:footnoteReference w:id="15195"/>
      </w:r>
      <w:r>
        <w:t xml:space="preserve"> all shall be stumbled, yet will not I.</w:t>
      </w:r>
    </w:p>
    <w:p>
      <w:r>
        <w:rPr>
          <w:b/>
        </w:rPr>
        <w:t xml:space="preserve">30 </w:t>
      </w:r>
      <w:r>
        <w:t xml:space="preserve">And Jesus says to him, Amen, I say to you, That this day</w:t>
      </w:r>
      <w:r>
        <w:rPr>
          <w:rStyle w:val="FootnoteReference"/>
        </w:rPr>
        <w:footnoteReference w:id="15196"/>
      </w:r>
      <w:r>
        <w:t xml:space="preserve">, even in this night, before the cock crow twice, you shall deny me three times.</w:t>
      </w:r>
    </w:p>
    <w:p>
      <w:r>
        <w:rPr>
          <w:b/>
        </w:rPr>
        <w:t xml:space="preserve">31 </w:t>
      </w:r>
      <w:r>
        <w:t xml:space="preserve">But he spoke the more vehemently, If I should die with you, I will not deny you in any way. Likewise</w:t>
      </w:r>
      <w:r>
        <w:rPr>
          <w:rStyle w:val="FootnoteReference"/>
        </w:rPr>
        <w:footnoteReference w:id="15197"/>
      </w:r>
      <w:r>
        <w:t xml:space="preserve"> also they all said.</w:t>
      </w:r>
    </w:p>
    <w:p>
      <w:r>
        <w:rPr>
          <w:b/>
        </w:rPr>
        <w:t xml:space="preserve">32 </w:t>
      </w:r>
      <w:r>
        <w:t xml:space="preserve">And they came</w:t>
      </w:r>
      <w:r>
        <w:rPr>
          <w:rStyle w:val="FootnoteReference"/>
        </w:rPr>
        <w:footnoteReference w:id="15198"/>
      </w:r>
      <w:r>
        <w:t xml:space="preserve"> to a place which was named Gethsemane: and he says to his disciples, Sit here, while I shall pray.</w:t>
      </w:r>
    </w:p>
    <w:p>
      <w:r>
        <w:rPr>
          <w:b/>
        </w:rPr>
        <w:t xml:space="preserve">33 </w:t>
      </w:r>
      <w:r>
        <w:t xml:space="preserve">And he takes with him Peter</w:t>
      </w:r>
      <w:r>
        <w:rPr>
          <w:rStyle w:val="FootnoteReference"/>
        </w:rPr>
        <w:footnoteReference w:id="15199"/>
      </w:r>
      <w:r>
        <w:t xml:space="preserve"> and James and John, and began to be greatly amazed, and deeply distressed;</w:t>
      </w:r>
    </w:p>
    <w:p>
      <w:r>
        <w:rPr>
          <w:b/>
        </w:rPr>
        <w:t xml:space="preserve">34 </w:t>
      </w:r>
      <w:r>
        <w:t xml:space="preserve">And says to them, My soul</w:t>
      </w:r>
      <w:r>
        <w:rPr>
          <w:rStyle w:val="FootnoteReference"/>
        </w:rPr>
        <w:footnoteReference w:id="15200"/>
      </w:r>
      <w:r>
        <w:t xml:space="preserve"> is exceedingly sorrowful to death: remain here, and watch.</w:t>
      </w:r>
    </w:p>
    <w:p>
      <w:r>
        <w:rPr>
          <w:b/>
        </w:rPr>
        <w:t xml:space="preserve">35 </w:t>
      </w:r>
      <w:r>
        <w:t xml:space="preserve">And he went forward a little, and fell</w:t>
      </w:r>
      <w:r>
        <w:rPr>
          <w:rStyle w:val="FootnoteReference"/>
        </w:rPr>
        <w:footnoteReference w:id="15201"/>
      </w:r>
      <w:r>
        <w:t xml:space="preserve"> on the ground, and prayed that, if it were possible, the hour might pass from him.</w:t>
      </w:r>
    </w:p>
    <w:p>
      <w:r>
        <w:rPr>
          <w:b/>
        </w:rPr>
        <w:t xml:space="preserve">36 </w:t>
      </w:r>
      <w:r>
        <w:t xml:space="preserve">And he said, Abba</w:t>
      </w:r>
      <w:r>
        <w:rPr>
          <w:rStyle w:val="FootnoteReference"/>
        </w:rPr>
        <w:footnoteReference w:id="15202"/>
      </w:r>
      <w:r>
        <w:t xml:space="preserve">, Father, all things are possible to you; take away this cup from me: nevertheless not what I will, but what you will.</w:t>
      </w:r>
      <w:r>
        <w:rPr>
          <w:rStyle w:val="FootnoteReference"/>
        </w:rPr>
        <w:footnoteReference w:id="15203"/>
      </w:r>
    </w:p>
    <w:p>
      <w:r>
        <w:rPr>
          <w:b/>
        </w:rPr>
        <w:t xml:space="preserve">37 </w:t>
      </w:r>
      <w:r>
        <w:t xml:space="preserve">And he comes, and finds them sleeping, and says to Peter, Simon</w:t>
      </w:r>
      <w:r>
        <w:rPr>
          <w:rStyle w:val="FootnoteReference"/>
        </w:rPr>
        <w:footnoteReference w:id="15204"/>
      </w:r>
      <w:r>
        <w:t xml:space="preserve">, are you sleeping? could you not watch one hour?</w:t>
      </w:r>
    </w:p>
    <w:p>
      <w:r>
        <w:rPr>
          <w:b/>
        </w:rPr>
        <w:t xml:space="preserve">38 </w:t>
      </w:r>
      <w:r>
        <w:t xml:space="preserve">Watch</w:t>
      </w:r>
      <w:r>
        <w:rPr>
          <w:rStyle w:val="FootnoteReference"/>
        </w:rPr>
        <w:footnoteReference w:id="15205"/>
      </w:r>
      <w:r>
        <w:t xml:space="preserve"> and pray, lest you enter into temptation. The spirit truly is willing, but the flesh is weak.</w:t>
      </w:r>
    </w:p>
    <w:p>
      <w:r>
        <w:rPr>
          <w:b/>
        </w:rPr>
        <w:t xml:space="preserve">39 </w:t>
      </w:r>
      <w:r>
        <w:t xml:space="preserve">And again he went away, and prayed, and spoke the same words.</w:t>
      </w:r>
    </w:p>
    <w:p>
      <w:r>
        <w:rPr>
          <w:b/>
        </w:rPr>
        <w:t xml:space="preserve">40 </w:t>
      </w:r>
      <w:r>
        <w:t xml:space="preserve">And when he returned, he found them asleep again, (for their eyes were heavy,) and they did not know what to answer him.</w:t>
      </w:r>
    </w:p>
    <w:p>
      <w:r>
        <w:rPr>
          <w:b/>
        </w:rPr>
        <w:t xml:space="preserve">41 </w:t>
      </w:r>
      <w:r>
        <w:t xml:space="preserve">And he comes the third time, and says to them, Sleep</w:t>
      </w:r>
      <w:r>
        <w:rPr>
          <w:rStyle w:val="FootnoteReference"/>
        </w:rPr>
        <w:footnoteReference w:id="15206"/>
      </w:r>
      <w:r>
        <w:t xml:space="preserve"> on now, and take your rest: it is enough, the hour has come; look, the Son of man is betrayed into the hands of sinners.</w:t>
      </w:r>
    </w:p>
    <w:p>
      <w:r>
        <w:rPr>
          <w:b/>
        </w:rPr>
        <w:t xml:space="preserve">42 </w:t>
      </w:r>
      <w:r>
        <w:t xml:space="preserve">Rise up, let us go; look, the one who betrays me is at hand.</w:t>
      </w:r>
    </w:p>
    <w:p>
      <w:r>
        <w:rPr>
          <w:b/>
        </w:rPr>
        <w:t xml:space="preserve">43 </w:t>
      </w:r>
      <w:r>
        <w:t xml:space="preserve">And immediately, while he yet spoke, comes Judas, one of the twelve, and with</w:t>
      </w:r>
      <w:r>
        <w:rPr>
          <w:rStyle w:val="FootnoteReference"/>
        </w:rPr>
        <w:footnoteReference w:id="15207"/>
      </w:r>
      <w:r>
        <w:t xml:space="preserve"> him a great crowd with swords and staffs, from the chief priests and the scribes and the elders.</w:t>
      </w:r>
    </w:p>
    <w:p>
      <w:r>
        <w:rPr>
          <w:b/>
        </w:rPr>
        <w:t xml:space="preserve">44 </w:t>
      </w:r>
      <w:r>
        <w:t xml:space="preserve">And the one who betrayed him had given them a token</w:t>
      </w:r>
      <w:r>
        <w:rPr>
          <w:rStyle w:val="FootnoteReference"/>
        </w:rPr>
        <w:footnoteReference w:id="15208"/>
      </w:r>
      <w:r>
        <w:t xml:space="preserve">, saying, Whoever I shall kiss, that same is he; take him, and lead him away safely.</w:t>
      </w:r>
    </w:p>
    <w:p>
      <w:r>
        <w:rPr>
          <w:b/>
        </w:rPr>
        <w:t xml:space="preserve">45 </w:t>
      </w:r>
      <w:r>
        <w:t xml:space="preserve">And as soon as he had come, he goes immediately to him, and says, Rabbi, Rabbi; and kissed him.</w:t>
      </w:r>
    </w:p>
    <w:p>
      <w:r>
        <w:rPr>
          <w:b/>
        </w:rPr>
        <w:t xml:space="preserve">46 </w:t>
      </w:r>
      <w:r>
        <w:t xml:space="preserve">And they laid their hands on him, and took him.</w:t>
      </w:r>
    </w:p>
    <w:p>
      <w:r>
        <w:rPr>
          <w:b/>
        </w:rPr>
        <w:t xml:space="preserve">47 </w:t>
      </w:r>
      <w:r>
        <w:t xml:space="preserve">And one of those who stood by drew a sword, and stroke a slave of the high priest, and cut off his ear.</w:t>
      </w:r>
    </w:p>
    <w:p>
      <w:r>
        <w:rPr>
          <w:b/>
        </w:rPr>
        <w:t xml:space="preserve">48 </w:t>
      </w:r>
      <w:r>
        <w:t xml:space="preserve">And Jesus answered and said to them, Are you come out, as against a thief, with swords and with staffs to take me?</w:t>
      </w:r>
    </w:p>
    <w:p>
      <w:r>
        <w:rPr>
          <w:b/>
        </w:rPr>
        <w:t xml:space="preserve">49 </w:t>
      </w:r>
      <w:r>
        <w:t xml:space="preserve">I was daily with you in the temple teaching, and you did not take me: but the scriptures must be fulfilled.</w:t>
      </w:r>
    </w:p>
    <w:p>
      <w:r>
        <w:rPr>
          <w:b/>
        </w:rPr>
        <w:t xml:space="preserve">50 </w:t>
      </w:r>
      <w:r>
        <w:t xml:space="preserve">And they all left him, and fled.</w:t>
      </w:r>
    </w:p>
    <w:p>
      <w:r>
        <w:rPr>
          <w:b/>
        </w:rPr>
        <w:t xml:space="preserve">51 </w:t>
      </w:r>
      <w:r>
        <w:t xml:space="preserve">And there followed him a certain young man, having a linen cloth cast about his naked body; and the young men laid hold on him:</w:t>
      </w:r>
    </w:p>
    <w:p>
      <w:r>
        <w:rPr>
          <w:b/>
        </w:rPr>
        <w:t xml:space="preserve">52 </w:t>
      </w:r>
      <w:r>
        <w:t xml:space="preserve">And he left the linen cloth, and fled from them naked.</w:t>
      </w:r>
    </w:p>
    <w:p>
      <w:r>
        <w:rPr>
          <w:b/>
        </w:rPr>
        <w:t xml:space="preserve">53 </w:t>
      </w:r>
      <w:r>
        <w:t xml:space="preserve">And they led</w:t>
      </w:r>
      <w:r>
        <w:rPr>
          <w:rStyle w:val="FootnoteReference"/>
        </w:rPr>
        <w:footnoteReference w:id="15209"/>
      </w:r>
      <w:r>
        <w:t xml:space="preserve"> Jesus away to the high priest: and with him were assembled all the chief priests and the elders and the scribes.</w:t>
      </w:r>
    </w:p>
    <w:p>
      <w:r>
        <w:rPr>
          <w:b/>
        </w:rPr>
        <w:t xml:space="preserve">54 </w:t>
      </w:r>
      <w:r>
        <w:t xml:space="preserve">And Peter</w:t>
      </w:r>
      <w:r>
        <w:rPr>
          <w:rStyle w:val="FootnoteReference"/>
        </w:rPr>
        <w:footnoteReference w:id="15210"/>
      </w:r>
      <w:r>
        <w:t xml:space="preserve"> followed him far off, even into the courtyard of the high priest: and he sat with the servants, and warmed himself at the fire.</w:t>
      </w:r>
    </w:p>
    <w:p>
      <w:r>
        <w:rPr>
          <w:b/>
        </w:rPr>
        <w:t xml:space="preserve">55 </w:t>
      </w:r>
      <w:r>
        <w:t xml:space="preserve">And the chief priests and all the council sought</w:t>
      </w:r>
      <w:r>
        <w:rPr>
          <w:rStyle w:val="FootnoteReference"/>
        </w:rPr>
        <w:footnoteReference w:id="15211"/>
      </w:r>
      <w:r>
        <w:t xml:space="preserve"> testimony against Jesus to put him to death; and found none.</w:t>
      </w:r>
    </w:p>
    <w:p>
      <w:r>
        <w:rPr>
          <w:b/>
        </w:rPr>
        <w:t xml:space="preserve">56 </w:t>
      </w:r>
      <w:r>
        <w:t xml:space="preserve">For many bore false witness against him, but their witness did not agree.</w:t>
      </w:r>
    </w:p>
    <w:p>
      <w:r>
        <w:rPr>
          <w:b/>
        </w:rPr>
        <w:t xml:space="preserve">57 </w:t>
      </w:r>
      <w:r>
        <w:t xml:space="preserve">And there arose certain, and bore false witness against him, saying,</w:t>
      </w:r>
    </w:p>
    <w:p>
      <w:r>
        <w:rPr>
          <w:b/>
        </w:rPr>
        <w:t xml:space="preserve">58 </w:t>
      </w:r>
      <w:r>
        <w:t xml:space="preserve">We heard him say, I will destroy this temple that is made with hands, and within three days I will build another made without hands.</w:t>
      </w:r>
    </w:p>
    <w:p>
      <w:r>
        <w:rPr>
          <w:b/>
        </w:rPr>
        <w:t xml:space="preserve">59 </w:t>
      </w:r>
      <w:r>
        <w:t xml:space="preserve">But neither so did their witness agree.</w:t>
      </w:r>
    </w:p>
    <w:p>
      <w:r>
        <w:rPr>
          <w:b/>
        </w:rPr>
        <w:t xml:space="preserve">60 </w:t>
      </w:r>
      <w:r>
        <w:t xml:space="preserve">And the high priest stood up in the midst, and asked Jesus, saying, Do you answer nothing? what is it which these witness against you?</w:t>
      </w:r>
    </w:p>
    <w:p>
      <w:r>
        <w:rPr>
          <w:b/>
        </w:rPr>
        <w:t xml:space="preserve">61 </w:t>
      </w:r>
      <w:r>
        <w:t xml:space="preserve">But he was silent, and answered nothing. Again the high priest asked him, and said to him, Are you the Christ, the Son</w:t>
      </w:r>
      <w:r>
        <w:rPr>
          <w:rStyle w:val="FootnoteReference"/>
        </w:rPr>
        <w:footnoteReference w:id="15212"/>
      </w:r>
      <w:r>
        <w:t xml:space="preserve"> of the Blessed?</w:t>
      </w:r>
    </w:p>
    <w:p>
      <w:r>
        <w:rPr>
          <w:b/>
        </w:rPr>
        <w:t xml:space="preserve">62 </w:t>
      </w:r>
      <w:r>
        <w:t xml:space="preserve">And Jesus said, I am: and you shall see the Son</w:t>
      </w:r>
      <w:r>
        <w:rPr>
          <w:rStyle w:val="FootnoteReference"/>
        </w:rPr>
        <w:footnoteReference w:id="15213"/>
      </w:r>
      <w:r>
        <w:t xml:space="preserve"> of man sitting on the right hand of power, and coming in the clouds of heaven.</w:t>
      </w:r>
    </w:p>
    <w:p>
      <w:r>
        <w:rPr>
          <w:b/>
        </w:rPr>
        <w:t xml:space="preserve">63 </w:t>
      </w:r>
      <w:r>
        <w:t xml:space="preserve">Then the high priest tore his clothes, and says, What further need have we of witnesses?</w:t>
      </w:r>
    </w:p>
    <w:p>
      <w:r>
        <w:rPr>
          <w:b/>
        </w:rPr>
        <w:t xml:space="preserve">64 </w:t>
      </w:r>
      <w:r>
        <w:t xml:space="preserve">You have heard the blasphemy: What do you think? And they all condemned him to be guilty of death.</w:t>
      </w:r>
    </w:p>
    <w:p>
      <w:r>
        <w:rPr>
          <w:b/>
        </w:rPr>
        <w:t xml:space="preserve">65 </w:t>
      </w:r>
      <w:r>
        <w:t xml:space="preserve">And some began to spit on him, and to cover his face, and to strike him, and to say to him, Prophesy: and the servants struck him with the palms of their hands.</w:t>
      </w:r>
    </w:p>
    <w:p>
      <w:r>
        <w:rPr>
          <w:b/>
        </w:rPr>
        <w:t xml:space="preserve">66 </w:t>
      </w:r>
      <w:r>
        <w:t xml:space="preserve">And as Peter was beneath in the courtyard, there comes one of the maids of the high priest:</w:t>
      </w:r>
    </w:p>
    <w:p>
      <w:r>
        <w:rPr>
          <w:b/>
        </w:rPr>
        <w:t xml:space="preserve">67 </w:t>
      </w:r>
      <w:r>
        <w:t xml:space="preserve">And when she saw Peter warming himself, she looked upon him, and said, And you also were with Jesus</w:t>
      </w:r>
      <w:r>
        <w:rPr>
          <w:rStyle w:val="FootnoteReference"/>
        </w:rPr>
        <w:footnoteReference w:id="15214"/>
      </w:r>
      <w:r>
        <w:t xml:space="preserve"> of Nazareth.</w:t>
      </w:r>
    </w:p>
    <w:p>
      <w:r>
        <w:rPr>
          <w:b/>
        </w:rPr>
        <w:t xml:space="preserve">68 </w:t>
      </w:r>
      <w:r>
        <w:t xml:space="preserve">But he denied</w:t>
      </w:r>
      <w:r>
        <w:rPr>
          <w:rStyle w:val="FootnoteReference"/>
        </w:rPr>
        <w:footnoteReference w:id="15215"/>
      </w:r>
      <w:r>
        <w:t xml:space="preserve">, saying, I do not know, neither do I understand what you say. And he went out into the porch; and the rooster crowed.</w:t>
      </w:r>
    </w:p>
    <w:p>
      <w:r>
        <w:rPr>
          <w:b/>
        </w:rPr>
        <w:t xml:space="preserve">69 </w:t>
      </w:r>
      <w:r>
        <w:t xml:space="preserve">And a girl saw him again, and began</w:t>
      </w:r>
      <w:r>
        <w:rPr>
          <w:rStyle w:val="FootnoteReference"/>
        </w:rPr>
        <w:footnoteReference w:id="15216"/>
      </w:r>
      <w:r>
        <w:t xml:space="preserve"> to say to those who stood by, This is one of them.</w:t>
      </w:r>
    </w:p>
    <w:p>
      <w:r>
        <w:rPr>
          <w:b/>
        </w:rPr>
        <w:t xml:space="preserve">70 </w:t>
      </w:r>
      <w:r>
        <w:t xml:space="preserve">And he denied it again. And a little</w:t>
      </w:r>
      <w:r>
        <w:rPr>
          <w:rStyle w:val="FootnoteReference"/>
        </w:rPr>
        <w:footnoteReference w:id="15217"/>
      </w:r>
      <w:r>
        <w:t xml:space="preserve"> after, those who stood by said again to Peter, Surely you are one of them: for you are a Galilean, and your speech agrees.</w:t>
      </w:r>
    </w:p>
    <w:p>
      <w:r>
        <w:rPr>
          <w:b/>
        </w:rPr>
        <w:t xml:space="preserve">71 </w:t>
      </w:r>
      <w:r>
        <w:t xml:space="preserve">But he began to curse and to swear, saying, I do not know this man of whom you speak.</w:t>
      </w:r>
    </w:p>
    <w:p>
      <w:r>
        <w:rPr>
          <w:b/>
        </w:rPr>
        <w:t xml:space="preserve">72 </w:t>
      </w:r>
      <w:r>
        <w:t xml:space="preserve">And the second</w:t>
      </w:r>
      <w:r>
        <w:rPr>
          <w:rStyle w:val="FootnoteReference"/>
        </w:rPr>
        <w:footnoteReference w:id="15218"/>
      </w:r>
      <w:r>
        <w:t xml:space="preserve"> time the rooster crowed. And Peter called to mind the word that Jesus said to him, Before the rooster crows twice, you shall deny me three times. And when he considered it, he wept.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immediately in the morning the chief priests held a consultation with the elders and scribes and the whole council, and bound Jesus, and carried him away, and delivered</w:t>
      </w:r>
      <w:r>
        <w:rPr>
          <w:rStyle w:val="FootnoteReference"/>
        </w:rPr>
        <w:footnoteReference w:id="15219"/>
      </w:r>
      <w:r>
        <w:t xml:space="preserve"> him to Pilate.</w:t>
      </w:r>
    </w:p>
    <w:p>
      <w:r>
        <w:rPr>
          <w:b/>
        </w:rPr>
        <w:t xml:space="preserve">2 </w:t>
      </w:r>
      <w:r>
        <w:t xml:space="preserve">And Pilate asked him, Are you the King of the Jews? And he answering said to them, You say it.</w:t>
      </w:r>
    </w:p>
    <w:p>
      <w:r>
        <w:rPr>
          <w:b/>
        </w:rPr>
        <w:t xml:space="preserve">3 </w:t>
      </w:r>
      <w:r>
        <w:t xml:space="preserve">And the chief</w:t>
      </w:r>
      <w:r>
        <w:rPr>
          <w:rStyle w:val="FootnoteReference"/>
        </w:rPr>
        <w:footnoteReference w:id="15220"/>
      </w:r>
      <w:r>
        <w:t xml:space="preserve"> priests accused him of many things: but he answered nothing.</w:t>
      </w:r>
    </w:p>
    <w:p>
      <w:r>
        <w:rPr>
          <w:b/>
        </w:rPr>
        <w:t xml:space="preserve">4 </w:t>
      </w:r>
      <w:r>
        <w:t xml:space="preserve">And Pilate asked him again, saying, Do you answer nothing? look how many things they witness against you.</w:t>
      </w:r>
    </w:p>
    <w:p>
      <w:r>
        <w:rPr>
          <w:b/>
        </w:rPr>
        <w:t xml:space="preserve">5 </w:t>
      </w:r>
      <w:r>
        <w:t xml:space="preserve">But Jesus</w:t>
      </w:r>
      <w:r>
        <w:rPr>
          <w:rStyle w:val="FootnoteReference"/>
        </w:rPr>
        <w:footnoteReference w:id="15221"/>
      </w:r>
      <w:r>
        <w:t xml:space="preserve"> yet answered nothing; so that Pilate marveled.</w:t>
      </w:r>
    </w:p>
    <w:p>
      <w:r>
        <w:rPr>
          <w:b/>
        </w:rPr>
        <w:t xml:space="preserve">6 </w:t>
      </w:r>
      <w:r>
        <w:t xml:space="preserve">Now at that feast he released to them one prisoner, whoever they desired.</w:t>
      </w:r>
    </w:p>
    <w:p>
      <w:r>
        <w:rPr>
          <w:b/>
        </w:rPr>
        <w:t xml:space="preserve">7 </w:t>
      </w:r>
      <w:r>
        <w:t xml:space="preserve">And there was one named Barabbas, who lay bound with those who had made insurrection with him, who had committed murder in the insurrection.</w:t>
      </w:r>
    </w:p>
    <w:p>
      <w:r>
        <w:rPr>
          <w:b/>
        </w:rPr>
        <w:t xml:space="preserve">8 </w:t>
      </w:r>
      <w:r>
        <w:t xml:space="preserve">And the crowd crying aloud began to desire him to do as he had always done to them.</w:t>
      </w:r>
    </w:p>
    <w:p>
      <w:r>
        <w:rPr>
          <w:b/>
        </w:rPr>
        <w:t xml:space="preserve">9 </w:t>
      </w:r>
      <w:r>
        <w:t xml:space="preserve">But Pilate answered them, saying, Do you want me to release to you the King of the Jews?</w:t>
      </w:r>
    </w:p>
    <w:p>
      <w:r>
        <w:rPr>
          <w:b/>
        </w:rPr>
        <w:t xml:space="preserve">10 </w:t>
      </w:r>
      <w:r>
        <w:t xml:space="preserve">For he knew that the chief priests had delivered him because of envy.</w:t>
      </w:r>
    </w:p>
    <w:p>
      <w:r>
        <w:rPr>
          <w:b/>
        </w:rPr>
        <w:t xml:space="preserve">11 </w:t>
      </w:r>
      <w:r>
        <w:t xml:space="preserve">But the chief priests stirred up the people, that he should rather release Barabbas to them.</w:t>
      </w:r>
    </w:p>
    <w:p>
      <w:r>
        <w:rPr>
          <w:b/>
        </w:rPr>
        <w:t xml:space="preserve">12 </w:t>
      </w:r>
      <w:r>
        <w:t xml:space="preserve">And Pilate answered and said again to them, What then do you want me to do to him whom you call the King of the Jews?</w:t>
      </w:r>
    </w:p>
    <w:p>
      <w:r>
        <w:rPr>
          <w:b/>
        </w:rPr>
        <w:t xml:space="preserve">13 </w:t>
      </w:r>
      <w:r>
        <w:t xml:space="preserve">And they cried out again, Crucify him.</w:t>
      </w:r>
    </w:p>
    <w:p>
      <w:r>
        <w:rPr>
          <w:b/>
        </w:rPr>
        <w:t xml:space="preserve">14 </w:t>
      </w:r>
      <w:r>
        <w:t xml:space="preserve">Then Pilate said to them, Why, what evil has he done? And they cried out all the more, Crucify him.</w:t>
      </w:r>
    </w:p>
    <w:p>
      <w:r>
        <w:rPr>
          <w:b/>
        </w:rPr>
        <w:t xml:space="preserve">15 </w:t>
      </w:r>
      <w:r>
        <w:t xml:space="preserve">And so Pilate, wishing to satisfy the people, released Barabbas to them, and delivered Jesus, when he had scourged him, to be crucified.</w:t>
      </w:r>
    </w:p>
    <w:p>
      <w:r>
        <w:rPr>
          <w:b/>
        </w:rPr>
        <w:t xml:space="preserve">16 </w:t>
      </w:r>
      <w:r>
        <w:t xml:space="preserve">And the soldiers</w:t>
      </w:r>
      <w:r>
        <w:rPr>
          <w:rStyle w:val="FootnoteReference"/>
        </w:rPr>
        <w:footnoteReference w:id="15222"/>
      </w:r>
      <w:r>
        <w:t xml:space="preserve"> led him away into the hall, called Praetorium; and they call together the whole cohort.</w:t>
      </w:r>
    </w:p>
    <w:p>
      <w:r>
        <w:rPr>
          <w:b/>
        </w:rPr>
        <w:t xml:space="preserve">17 </w:t>
      </w:r>
      <w:r>
        <w:t xml:space="preserve">And they clothed him with purple, and twisted a crown of thorns, and put it about his head,</w:t>
      </w:r>
    </w:p>
    <w:p>
      <w:r>
        <w:rPr>
          <w:b/>
        </w:rPr>
        <w:t xml:space="preserve">18 </w:t>
      </w:r>
      <w:r>
        <w:t xml:space="preserve">And began to greet him, Hail</w:t>
      </w:r>
      <w:r>
        <w:rPr>
          <w:rStyle w:val="FootnoteReference"/>
        </w:rPr>
        <w:footnoteReference w:id="15223"/>
      </w:r>
      <w:r>
        <w:t xml:space="preserve">, King of the Jews!</w:t>
      </w:r>
    </w:p>
    <w:p>
      <w:r>
        <w:rPr>
          <w:b/>
        </w:rPr>
        <w:t xml:space="preserve">19 </w:t>
      </w:r>
      <w:r>
        <w:t xml:space="preserve">And they struck him on the head with a reed, and spit upon him, and bowing</w:t>
      </w:r>
      <w:r>
        <w:rPr>
          <w:rStyle w:val="FootnoteReference"/>
        </w:rPr>
        <w:footnoteReference w:id="15224"/>
      </w:r>
      <w:r>
        <w:t xml:space="preserve"> their knees worshiped him.</w:t>
      </w:r>
    </w:p>
    <w:p>
      <w:r>
        <w:rPr>
          <w:b/>
        </w:rPr>
        <w:t xml:space="preserve">20 </w:t>
      </w:r>
      <w:r>
        <w:t xml:space="preserve">And when they had mocked him, they took off the purple from him, and put his own clothes on him, and led</w:t>
      </w:r>
      <w:r>
        <w:rPr>
          <w:rStyle w:val="FootnoteReference"/>
        </w:rPr>
        <w:footnoteReference w:id="15225"/>
      </w:r>
      <w:r>
        <w:t xml:space="preserve"> him out to crucify him.</w:t>
      </w:r>
    </w:p>
    <w:p>
      <w:r>
        <w:rPr>
          <w:b/>
        </w:rPr>
        <w:t xml:space="preserve">21 </w:t>
      </w:r>
      <w:r>
        <w:t xml:space="preserve">And they compel</w:t>
      </w:r>
      <w:r>
        <w:rPr>
          <w:rStyle w:val="FootnoteReference"/>
        </w:rPr>
        <w:footnoteReference w:id="15226"/>
      </w:r>
      <w:r>
        <w:t xml:space="preserve"> one Simon, a Cyrenian, who passed by, coming out of the country, the father of Alexander and Rufus</w:t>
      </w:r>
      <w:r>
        <w:rPr>
          <w:rStyle w:val="FootnoteReference"/>
        </w:rPr>
        <w:footnoteReference w:id="15227"/>
      </w:r>
      <w:r>
        <w:t xml:space="preserve">, to bear his cross.</w:t>
      </w:r>
    </w:p>
    <w:p>
      <w:r>
        <w:rPr>
          <w:b/>
        </w:rPr>
        <w:t xml:space="preserve">22 </w:t>
      </w:r>
      <w:r>
        <w:t xml:space="preserve">And they bring him to the place Golgotha</w:t>
      </w:r>
      <w:r>
        <w:rPr>
          <w:rStyle w:val="FootnoteReference"/>
        </w:rPr>
        <w:footnoteReference w:id="15228"/>
      </w:r>
      <w:r>
        <w:t xml:space="preserve">, which is, being translated, The place of a skull.</w:t>
      </w:r>
    </w:p>
    <w:p>
      <w:r>
        <w:rPr>
          <w:b/>
        </w:rPr>
        <w:t xml:space="preserve">23 </w:t>
      </w:r>
      <w:r>
        <w:t xml:space="preserve">And they gave him to drink wine mingled with myrrh: but he did not receive it.</w:t>
      </w:r>
    </w:p>
    <w:p>
      <w:r>
        <w:rPr>
          <w:b/>
        </w:rPr>
        <w:t xml:space="preserve">24 </w:t>
      </w:r>
      <w:r>
        <w:t xml:space="preserve">And when they had crucified</w:t>
      </w:r>
      <w:r>
        <w:rPr>
          <w:rStyle w:val="FootnoteReference"/>
        </w:rPr>
        <w:footnoteReference w:id="15229"/>
      </w:r>
      <w:r>
        <w:t xml:space="preserve"> him, they parted his clothes, casting lots upon them, what every man should take.</w:t>
      </w:r>
    </w:p>
    <w:p>
      <w:r>
        <w:rPr>
          <w:b/>
        </w:rPr>
        <w:t xml:space="preserve">25 </w:t>
      </w:r>
      <w:r>
        <w:t xml:space="preserve">And it was the third hour, and they crucified him.</w:t>
      </w:r>
    </w:p>
    <w:p>
      <w:r>
        <w:rPr>
          <w:b/>
        </w:rPr>
        <w:t xml:space="preserve">26 </w:t>
      </w:r>
      <w:r>
        <w:t xml:space="preserve">And the inscription of his accusation was written over, THE KING OF THE JEWS</w:t>
      </w:r>
      <w:r>
        <w:rPr>
          <w:rStyle w:val="FootnoteReference"/>
        </w:rPr>
        <w:footnoteReference w:id="15230"/>
      </w:r>
      <w:r>
        <w:t xml:space="preserve">.</w:t>
      </w:r>
    </w:p>
    <w:p>
      <w:r>
        <w:rPr>
          <w:b/>
        </w:rPr>
        <w:t xml:space="preserve">27 </w:t>
      </w:r>
      <w:r>
        <w:t xml:space="preserve">And with him they crucify two robbers; the one on his right hand, and the other on his left.</w:t>
      </w:r>
    </w:p>
    <w:p>
      <w:r>
        <w:rPr>
          <w:b/>
        </w:rPr>
        <w:t xml:space="preserve">28 </w:t>
      </w:r>
      <w:r>
        <w:t xml:space="preserve">And the scripture was fulfilled, which says, And he was numbered with the transgressors.</w:t>
      </w:r>
    </w:p>
    <w:p>
      <w:r>
        <w:rPr>
          <w:b/>
        </w:rPr>
        <w:t xml:space="preserve">29 </w:t>
      </w:r>
      <w:r>
        <w:t xml:space="preserve">And those who passed by reviled him, wagging their heads, and saying, Ah, You who destroy the temple, and build it in three days,</w:t>
      </w:r>
    </w:p>
    <w:p>
      <w:r>
        <w:rPr>
          <w:b/>
        </w:rPr>
        <w:t xml:space="preserve">30 </w:t>
      </w:r>
      <w:r>
        <w:t xml:space="preserve">Save yourself, and come down from the cross.</w:t>
      </w:r>
    </w:p>
    <w:p>
      <w:r>
        <w:rPr>
          <w:b/>
        </w:rPr>
        <w:t xml:space="preserve">31 </w:t>
      </w:r>
      <w:r>
        <w:t xml:space="preserve">Likewise also</w:t>
      </w:r>
      <w:r>
        <w:rPr>
          <w:rStyle w:val="FootnoteReference"/>
        </w:rPr>
        <w:footnoteReference w:id="15231"/>
      </w:r>
      <w:r>
        <w:t xml:space="preserve"> the chief priests mocking said among themselves with the scribes, He saved others; himself he cannot save.</w:t>
      </w:r>
    </w:p>
    <w:p>
      <w:r>
        <w:rPr>
          <w:b/>
        </w:rPr>
        <w:t xml:space="preserve">32 </w:t>
      </w:r>
      <w:r>
        <w:t xml:space="preserve">Let the Christ</w:t>
      </w:r>
      <w:r>
        <w:rPr>
          <w:rStyle w:val="FootnoteReference"/>
        </w:rPr>
        <w:footnoteReference w:id="15232"/>
      </w:r>
      <w:r>
        <w:t xml:space="preserve">, the King of Israel, descend now from the cross, that we may see and believe. And those who were crucified with him reviled him.</w:t>
      </w:r>
    </w:p>
    <w:p>
      <w:r>
        <w:rPr>
          <w:b/>
        </w:rPr>
        <w:t xml:space="preserve">33 </w:t>
      </w:r>
      <w:r>
        <w:t xml:space="preserve">And when the sixth hour had come, there was darkness</w:t>
      </w:r>
      <w:r>
        <w:rPr>
          <w:rStyle w:val="FootnoteReference"/>
        </w:rPr>
        <w:footnoteReference w:id="15233"/>
      </w:r>
      <w:r>
        <w:t xml:space="preserve"> over the whole land until the ninth hour.</w:t>
      </w:r>
    </w:p>
    <w:p>
      <w:r>
        <w:rPr>
          <w:b/>
        </w:rPr>
        <w:t xml:space="preserve">34 </w:t>
      </w:r>
      <w:r>
        <w:t xml:space="preserve">And at the ninth hour Jesus cried with a loud voice, saying, Eloi</w:t>
      </w:r>
      <w:r>
        <w:rPr>
          <w:rStyle w:val="FootnoteReference"/>
        </w:rPr>
        <w:footnoteReference w:id="15234"/>
      </w:r>
      <w:r>
        <w:t xml:space="preserve">, Eloi, lama sabachthani? which is, being translated, My God, my God, why have you forsaken me?</w:t>
      </w:r>
    </w:p>
    <w:p>
      <w:r>
        <w:rPr>
          <w:b/>
        </w:rPr>
        <w:t xml:space="preserve">35 </w:t>
      </w:r>
      <w:r>
        <w:t xml:space="preserve">And some of those who stood by, when they heard it, said, Look, he calls Elijah.</w:t>
      </w:r>
    </w:p>
    <w:p>
      <w:r>
        <w:rPr>
          <w:b/>
        </w:rPr>
        <w:t xml:space="preserve">36 </w:t>
      </w:r>
      <w:r>
        <w:t xml:space="preserve">And one ran and filled a sponge full of sour wine, and put it on a reed, and gave him to drink, saying, Leave him alone; let us see whether Elijah will come to take him down.</w:t>
      </w:r>
    </w:p>
    <w:p>
      <w:r>
        <w:rPr>
          <w:b/>
        </w:rPr>
        <w:t xml:space="preserve">37 </w:t>
      </w:r>
      <w:r>
        <w:t xml:space="preserve">And Jesus cried with a loud voice, and gave up the spirit.</w:t>
      </w:r>
    </w:p>
    <w:p>
      <w:r>
        <w:rPr>
          <w:b/>
        </w:rPr>
        <w:t xml:space="preserve">38 </w:t>
      </w:r>
      <w:r>
        <w:t xml:space="preserve">And the veil of the temple was torn in two from the top to the bottom.</w:t>
      </w:r>
    </w:p>
    <w:p>
      <w:r>
        <w:rPr>
          <w:b/>
        </w:rPr>
        <w:t xml:space="preserve">39 </w:t>
      </w:r>
      <w:r>
        <w:t xml:space="preserve">And when the centurion</w:t>
      </w:r>
      <w:r>
        <w:rPr>
          <w:rStyle w:val="FootnoteReference"/>
        </w:rPr>
        <w:footnoteReference w:id="15235"/>
      </w:r>
      <w:r>
        <w:t xml:space="preserve">, which stood opposite to him, saw that he so cried out, and gave up the spirit, he said, Truly this man was the Son of God.</w:t>
      </w:r>
    </w:p>
    <w:p>
      <w:r>
        <w:rPr>
          <w:b/>
        </w:rPr>
        <w:t xml:space="preserve">40 </w:t>
      </w:r>
      <w:r>
        <w:t xml:space="preserve">There were also women</w:t>
      </w:r>
      <w:r>
        <w:rPr>
          <w:rStyle w:val="FootnoteReference"/>
        </w:rPr>
        <w:footnoteReference w:id="15236"/>
      </w:r>
      <w:r>
        <w:t xml:space="preserve"> looking on far off: among whom was Mary Magdalene, and Mary the mother of James the less and of Joses, and Salome</w:t>
      </w:r>
      <w:r>
        <w:rPr>
          <w:rStyle w:val="FootnoteReference"/>
        </w:rPr>
        <w:footnoteReference w:id="15237"/>
      </w:r>
      <w:r>
        <w:t xml:space="preserve">;</w:t>
      </w:r>
    </w:p>
    <w:p>
      <w:r>
        <w:rPr>
          <w:b/>
        </w:rPr>
        <w:t xml:space="preserve">41 </w:t>
      </w:r>
      <w:r>
        <w:t xml:space="preserve">(Who also, when he was in Galilee, followed him, and served him;) and many other women who came up with him to Jerusalem.</w:t>
      </w:r>
    </w:p>
    <w:p>
      <w:r>
        <w:rPr>
          <w:b/>
        </w:rPr>
        <w:t xml:space="preserve">42 </w:t>
      </w:r>
      <w:r>
        <w:t xml:space="preserve">And now when the evening had come, because it was the preparation, that is, the day before the sabbath,</w:t>
      </w:r>
    </w:p>
    <w:p>
      <w:r>
        <w:rPr>
          <w:b/>
        </w:rPr>
        <w:t xml:space="preserve">43 </w:t>
      </w:r>
      <w:r>
        <w:t xml:space="preserve">Joseph of Arimathea, an honorable council member, who also waited for the kingdom of God, came, and went</w:t>
      </w:r>
      <w:r>
        <w:rPr>
          <w:rStyle w:val="FootnoteReference"/>
        </w:rPr>
        <w:footnoteReference w:id="15238"/>
      </w:r>
      <w:r>
        <w:t xml:space="preserve"> in boldly to Pilate, and asked for the body of Jesus.</w:t>
      </w:r>
    </w:p>
    <w:p>
      <w:r>
        <w:rPr>
          <w:b/>
        </w:rPr>
        <w:t xml:space="preserve">44 </w:t>
      </w:r>
      <w:r>
        <w:t xml:space="preserve">And Pilate marveled if he were already dead: and calling to him the centurion, he asked him whether he had been any while dead.</w:t>
      </w:r>
    </w:p>
    <w:p>
      <w:r>
        <w:rPr>
          <w:b/>
        </w:rPr>
        <w:t xml:space="preserve">45 </w:t>
      </w:r>
      <w:r>
        <w:t xml:space="preserve">And when he learned it from the centurion, he gave</w:t>
      </w:r>
      <w:r>
        <w:rPr>
          <w:rStyle w:val="FootnoteReference"/>
        </w:rPr>
        <w:footnoteReference w:id="15239"/>
      </w:r>
      <w:r>
        <w:t xml:space="preserve"> the body to Joseph.</w:t>
      </w:r>
    </w:p>
    <w:p>
      <w:r>
        <w:rPr>
          <w:b/>
        </w:rPr>
        <w:t xml:space="preserve">46 </w:t>
      </w:r>
      <w:r>
        <w:t xml:space="preserve">And he bought fine linen, and took</w:t>
      </w:r>
      <w:r>
        <w:rPr>
          <w:rStyle w:val="FootnoteReference"/>
        </w:rPr>
        <w:footnoteReference w:id="15240"/>
      </w:r>
      <w:r>
        <w:t xml:space="preserve"> him down, and wrapped him in the linen, and laid him in a tomb which was cut out of a rock, and rolled a stone to the door of the tomb.</w:t>
      </w:r>
    </w:p>
    <w:p>
      <w:r>
        <w:rPr>
          <w:b/>
        </w:rPr>
        <w:t xml:space="preserve">47 </w:t>
      </w:r>
      <w:r>
        <w:t xml:space="preserve">And Mary Magdalene and Mary the mother of Joses saw where he was laid.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when the sabbath was past, Mary Magdalene</w:t>
      </w:r>
      <w:r>
        <w:rPr>
          <w:rStyle w:val="FootnoteReference"/>
        </w:rPr>
        <w:footnoteReference w:id="15241"/>
      </w:r>
      <w:r>
        <w:t xml:space="preserve">, and Mary the mother of James, and Salome, had bought spices, that they might come and anoint him.</w:t>
      </w:r>
    </w:p>
    <w:p>
      <w:r>
        <w:rPr>
          <w:b/>
        </w:rPr>
        <w:t xml:space="preserve">2 </w:t>
      </w:r>
      <w:r>
        <w:t xml:space="preserve">And very early in the morning the first day of the week, they came to the tomb at the rising of the sun.</w:t>
      </w:r>
    </w:p>
    <w:p>
      <w:r>
        <w:rPr>
          <w:b/>
        </w:rPr>
        <w:t xml:space="preserve">3 </w:t>
      </w:r>
      <w:r>
        <w:t xml:space="preserve">And they said among themselves, Who shall roll away the stone for us from the door of the tomb?</w:t>
      </w:r>
    </w:p>
    <w:p>
      <w:r>
        <w:rPr>
          <w:b/>
        </w:rPr>
        <w:t xml:space="preserve">4 </w:t>
      </w:r>
      <w:r>
        <w:t xml:space="preserve">And when they looked, they saw</w:t>
      </w:r>
      <w:r>
        <w:rPr>
          <w:rStyle w:val="FootnoteReference"/>
        </w:rPr>
        <w:footnoteReference w:id="15242"/>
      </w:r>
      <w:r>
        <w:t xml:space="preserve"> that the stone was rolled away: for it was very great.</w:t>
      </w:r>
    </w:p>
    <w:p>
      <w:r>
        <w:rPr>
          <w:b/>
        </w:rPr>
        <w:t xml:space="preserve">5 </w:t>
      </w:r>
      <w:r>
        <w:t xml:space="preserve">And entering</w:t>
      </w:r>
      <w:r>
        <w:rPr>
          <w:rStyle w:val="FootnoteReference"/>
        </w:rPr>
        <w:footnoteReference w:id="15243"/>
      </w:r>
      <w:r>
        <w:t xml:space="preserve"> into the tomb, they saw a young man sitting on the right side, clothed in a long white clothing; and they were frightened.</w:t>
      </w:r>
    </w:p>
    <w:p>
      <w:r>
        <w:rPr>
          <w:b/>
        </w:rPr>
        <w:t xml:space="preserve">6 </w:t>
      </w:r>
      <w:r>
        <w:t xml:space="preserve">And he says to them, Do not be frightened: You seek Jesus</w:t>
      </w:r>
      <w:r>
        <w:rPr>
          <w:rStyle w:val="FootnoteReference"/>
        </w:rPr>
        <w:footnoteReference w:id="15244"/>
      </w:r>
      <w:r>
        <w:t xml:space="preserve"> of Nazareth, who was crucified: he has risen; he is not here: look the place where they laid him.</w:t>
      </w:r>
    </w:p>
    <w:p>
      <w:r>
        <w:rPr>
          <w:b/>
        </w:rPr>
        <w:t xml:space="preserve">7 </w:t>
      </w:r>
      <w:r>
        <w:t xml:space="preserve">But go, tell</w:t>
      </w:r>
      <w:r>
        <w:rPr>
          <w:rStyle w:val="FootnoteReference"/>
        </w:rPr>
        <w:footnoteReference w:id="15245"/>
      </w:r>
      <w:r>
        <w:t xml:space="preserve"> his disciples and Peter that he goes before you into Galilee: there shall you see him, as he said to you.</w:t>
      </w:r>
    </w:p>
    <w:p>
      <w:r>
        <w:rPr>
          <w:b/>
        </w:rPr>
        <w:t xml:space="preserve">8 </w:t>
      </w:r>
      <w:r>
        <w:t xml:space="preserve">And they went</w:t>
      </w:r>
      <w:r>
        <w:rPr>
          <w:rStyle w:val="FootnoteReference"/>
        </w:rPr>
        <w:footnoteReference w:id="15246"/>
      </w:r>
      <w:r>
        <w:t xml:space="preserve"> out quickly, and fled from the tomb; for they trembled and were amazed: and they said nothing to anyone; for they were afraid.</w:t>
      </w:r>
    </w:p>
    <w:p>
      <w:r>
        <w:rPr>
          <w:b/>
        </w:rPr>
        <w:t xml:space="preserve">9 </w:t>
      </w:r>
      <w:r>
        <w:t xml:space="preserve">Now when Jesus was risen early the first</w:t>
      </w:r>
      <w:r>
        <w:rPr>
          <w:rStyle w:val="FootnoteReference"/>
        </w:rPr>
        <w:footnoteReference w:id="15247"/>
      </w:r>
      <w:r>
        <w:t xml:space="preserve"> day of the week, he appeared first to Mary Magdalene, out of whom he had cast seven demons.</w:t>
      </w:r>
    </w:p>
    <w:p>
      <w:r>
        <w:rPr>
          <w:b/>
        </w:rPr>
        <w:t xml:space="preserve">10 </w:t>
      </w:r>
      <w:r>
        <w:t xml:space="preserve">And she went and told those who had been with him, as they mourned and wept.</w:t>
      </w:r>
    </w:p>
    <w:p>
      <w:r>
        <w:rPr>
          <w:b/>
        </w:rPr>
        <w:t xml:space="preserve">11 </w:t>
      </w:r>
      <w:r>
        <w:t xml:space="preserve">And they, when they had heard that he was alive, and had been seen by her, did not believe.</w:t>
      </w:r>
    </w:p>
    <w:p>
      <w:r>
        <w:rPr>
          <w:b/>
        </w:rPr>
        <w:t xml:space="preserve">12 </w:t>
      </w:r>
      <w:r>
        <w:t xml:space="preserve">After that he appeared in another form to two of them, as they walked, and went into the country.</w:t>
      </w:r>
    </w:p>
    <w:p>
      <w:r>
        <w:rPr>
          <w:b/>
        </w:rPr>
        <w:t xml:space="preserve">13 </w:t>
      </w:r>
      <w:r>
        <w:t xml:space="preserve">And they went</w:t>
      </w:r>
      <w:r>
        <w:rPr>
          <w:rStyle w:val="FootnoteReference"/>
        </w:rPr>
        <w:footnoteReference w:id="15248"/>
      </w:r>
      <w:r>
        <w:t xml:space="preserve"> and told it to the rest: neither did they believe them.</w:t>
      </w:r>
    </w:p>
    <w:p>
      <w:r>
        <w:rPr>
          <w:b/>
        </w:rPr>
        <w:t xml:space="preserve">14 </w:t>
      </w:r>
      <w:r>
        <w:t xml:space="preserve">Afterward he appeared</w:t>
      </w:r>
      <w:r>
        <w:rPr>
          <w:rStyle w:val="FootnoteReference"/>
        </w:rPr>
        <w:footnoteReference w:id="15249"/>
      </w:r>
      <w:r>
        <w:t xml:space="preserve"> to the eleven as they reclined at table, and rebuked them with their unbelief and hardness of heart, because they did not believe those who had seen him after he had risen.</w:t>
      </w:r>
    </w:p>
    <w:p>
      <w:r>
        <w:rPr>
          <w:b/>
        </w:rPr>
        <w:t xml:space="preserve">15 </w:t>
      </w:r>
      <w:r>
        <w:t xml:space="preserve">And he said to them, Go into all the world, and preach the good news to every creature.</w:t>
      </w:r>
    </w:p>
    <w:p>
      <w:r>
        <w:rPr>
          <w:b/>
        </w:rPr>
        <w:t xml:space="preserve">16 </w:t>
      </w:r>
      <w:r>
        <w:t xml:space="preserve">The one who believes and is baptized shall be saved; but the one who does not believe shall be condemned.</w:t>
      </w:r>
    </w:p>
    <w:p>
      <w:r>
        <w:rPr>
          <w:b/>
        </w:rPr>
        <w:t xml:space="preserve">17 </w:t>
      </w:r>
      <w:r>
        <w:t xml:space="preserve">And these signs shall follow those who believe; In my name shall they cast out demons; they shall speak with new tongues;</w:t>
      </w:r>
    </w:p>
    <w:p>
      <w:r>
        <w:rPr>
          <w:b/>
        </w:rPr>
        <w:t xml:space="preserve">18 </w:t>
      </w:r>
      <w:r>
        <w:t xml:space="preserve">They shall take</w:t>
      </w:r>
      <w:r>
        <w:rPr>
          <w:rStyle w:val="FootnoteReference"/>
        </w:rPr>
        <w:footnoteReference w:id="15250"/>
      </w:r>
      <w:r>
        <w:t xml:space="preserve"> up serpents; and if they drink any deadly thing, it shall not hurt them; they shall lay hands on the sick, and they shall recover.</w:t>
      </w:r>
    </w:p>
    <w:p>
      <w:r>
        <w:rPr>
          <w:b/>
        </w:rPr>
        <w:t xml:space="preserve">19 </w:t>
      </w:r>
      <w:r>
        <w:t xml:space="preserve">So then after the Lord had spoken to them, he was received up into heaven, and sat</w:t>
      </w:r>
      <w:r>
        <w:rPr>
          <w:rStyle w:val="FootnoteReference"/>
        </w:rPr>
        <w:footnoteReference w:id="15251"/>
      </w:r>
      <w:r>
        <w:t xml:space="preserve"> on the right hand of God.</w:t>
      </w:r>
    </w:p>
    <w:p>
      <w:r>
        <w:rPr>
          <w:b/>
        </w:rPr>
        <w:t xml:space="preserve">20 </w:t>
      </w:r>
      <w:r>
        <w:t xml:space="preserve">And they went forth, and preached everywhere, the Lord</w:t>
      </w:r>
      <w:r>
        <w:rPr>
          <w:rStyle w:val="FootnoteReference"/>
        </w:rPr>
        <w:footnoteReference w:id="15252"/>
      </w:r>
      <w:r>
        <w:t xml:space="preserve"> working with them, and confirming the word with signs following. Amen.</w:t>
      </w:r>
    </w:p>
    <w:p>
      <w:r>
        <w:br w:type="page"/>
      </w:r>
    </w:p>
    <w:p>
      <w:pPr>
        <w:pStyle w:val="Heading1"/>
      </w:pPr>
      <w:r>
        <w:t xml:space="preserve">Luke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Since many took in hand to arrange an account concerning the matters fulfilled among us,</w:t>
      </w:r>
    </w:p>
    <w:p>
      <w:r>
        <w:rPr>
          <w:b/>
        </w:rPr>
        <w:t xml:space="preserve">2 </w:t>
      </w:r>
      <w:r>
        <w:t xml:space="preserve">Even as they delivered them to us, who from the beginning were eyewitnesses, and servants of the word;</w:t>
      </w:r>
    </w:p>
    <w:p>
      <w:r>
        <w:rPr>
          <w:b/>
        </w:rPr>
        <w:t xml:space="preserve">3 </w:t>
      </w:r>
      <w:r>
        <w:t xml:space="preserve">It seemed</w:t>
      </w:r>
      <w:r>
        <w:rPr>
          <w:rStyle w:val="FootnoteReference"/>
        </w:rPr>
        <w:footnoteReference w:id="15253"/>
      </w:r>
      <w:r>
        <w:t xml:space="preserve"> good to me also, having closely followed all things from the first, to write to you in order, most excellent Theophilus</w:t>
      </w:r>
      <w:r>
        <w:rPr>
          <w:rStyle w:val="FootnoteReference"/>
        </w:rPr>
        <w:footnoteReference w:id="15254"/>
      </w:r>
      <w:r>
        <w:t xml:space="preserve">,</w:t>
      </w:r>
    </w:p>
    <w:p>
      <w:r>
        <w:rPr>
          <w:b/>
        </w:rPr>
        <w:t xml:space="preserve">4 </w:t>
      </w:r>
      <w:r>
        <w:t xml:space="preserve">That you might know the certainty of those things, in which you have been instructed.</w:t>
      </w:r>
    </w:p>
    <w:p>
      <w:r>
        <w:rPr>
          <w:b/>
        </w:rPr>
        <w:t xml:space="preserve">5 </w:t>
      </w:r>
      <w:r>
        <w:t xml:space="preserve">There was in the days of Herod</w:t>
      </w:r>
      <w:r>
        <w:rPr>
          <w:rStyle w:val="FootnoteReference"/>
        </w:rPr>
        <w:footnoteReference w:id="15255"/>
      </w:r>
      <w:r>
        <w:t xml:space="preserve">, the king of Judea, a certain priest named Zacharias</w:t>
      </w:r>
      <w:r>
        <w:rPr>
          <w:rStyle w:val="FootnoteReference"/>
        </w:rPr>
        <w:footnoteReference w:id="15256"/>
      </w:r>
      <w:r>
        <w:t xml:space="preserve">, of the division of Abijah: and his wife was of the daughters of Aaron</w:t>
      </w:r>
      <w:r>
        <w:rPr>
          <w:rStyle w:val="FootnoteReference"/>
        </w:rPr>
        <w:footnoteReference w:id="15257"/>
      </w:r>
      <w:r>
        <w:t xml:space="preserve">, and her name was Elizabeth</w:t>
      </w:r>
      <w:r>
        <w:rPr>
          <w:rStyle w:val="FootnoteReference"/>
        </w:rPr>
        <w:footnoteReference w:id="15258"/>
      </w:r>
      <w:r>
        <w:t xml:space="preserve">.</w:t>
      </w:r>
      <w:r>
        <w:rPr>
          <w:rStyle w:val="FootnoteReference"/>
        </w:rPr>
        <w:footnoteReference w:id="15259"/>
      </w:r>
    </w:p>
    <w:p>
      <w:r>
        <w:rPr>
          <w:b/>
        </w:rPr>
        <w:t xml:space="preserve">6 </w:t>
      </w:r>
      <w:r>
        <w:t xml:space="preserve">And they were both righteous</w:t>
      </w:r>
      <w:r>
        <w:rPr>
          <w:rStyle w:val="FootnoteReference"/>
        </w:rPr>
        <w:footnoteReference w:id="15260"/>
      </w:r>
      <w:r>
        <w:t xml:space="preserve"> before God, walking in all the commandments and ordinances of the Lord blameless.</w:t>
      </w:r>
    </w:p>
    <w:p>
      <w:r>
        <w:rPr>
          <w:b/>
        </w:rPr>
        <w:t xml:space="preserve">7 </w:t>
      </w:r>
      <w:r>
        <w:t xml:space="preserve">And they had</w:t>
      </w:r>
      <w:r>
        <w:rPr>
          <w:rStyle w:val="FootnoteReference"/>
        </w:rPr>
        <w:footnoteReference w:id="15261"/>
      </w:r>
      <w:r>
        <w:t xml:space="preserve"> no child, because Elizabeth was barren, and they both were now advanced in years.</w:t>
      </w:r>
    </w:p>
    <w:p>
      <w:r>
        <w:rPr>
          <w:b/>
        </w:rPr>
        <w:t xml:space="preserve">8 </w:t>
      </w:r>
      <w:r>
        <w:t xml:space="preserve">And it happened, that while he served as priest before God in the order of his division,</w:t>
      </w:r>
    </w:p>
    <w:p>
      <w:r>
        <w:rPr>
          <w:b/>
        </w:rPr>
        <w:t xml:space="preserve">9 </w:t>
      </w:r>
      <w:r>
        <w:t xml:space="preserve">According to the custom of the priesthood, his lot was to burn incense when he went into the temple of the Lord.</w:t>
      </w:r>
    </w:p>
    <w:p>
      <w:r>
        <w:rPr>
          <w:b/>
        </w:rPr>
        <w:t xml:space="preserve">10 </w:t>
      </w:r>
      <w:r>
        <w:t xml:space="preserve">And the whole multitude of the people were praying outside at the time of incense.</w:t>
      </w:r>
    </w:p>
    <w:p>
      <w:r>
        <w:rPr>
          <w:b/>
        </w:rPr>
        <w:t xml:space="preserve">11 </w:t>
      </w:r>
      <w:r>
        <w:t xml:space="preserve">And there appeared</w:t>
      </w:r>
      <w:r>
        <w:rPr>
          <w:rStyle w:val="FootnoteReference"/>
        </w:rPr>
        <w:footnoteReference w:id="15262"/>
      </w:r>
      <w:r>
        <w:t xml:space="preserve"> to him an angel of the Lord standing on the right side of the altar of incense.</w:t>
      </w:r>
    </w:p>
    <w:p>
      <w:r>
        <w:rPr>
          <w:b/>
        </w:rPr>
        <w:t xml:space="preserve">12 </w:t>
      </w:r>
      <w:r>
        <w:t xml:space="preserve">And when Zacharias saw him, he was troubled, and fear fell upon him.</w:t>
      </w:r>
    </w:p>
    <w:p>
      <w:r>
        <w:rPr>
          <w:b/>
        </w:rPr>
        <w:t xml:space="preserve">13 </w:t>
      </w:r>
      <w:r>
        <w:t xml:space="preserve">But the angel said to him, Do not fear</w:t>
      </w:r>
      <w:r>
        <w:rPr>
          <w:rStyle w:val="FootnoteReference"/>
        </w:rPr>
        <w:footnoteReference w:id="15263"/>
      </w:r>
      <w:r>
        <w:t xml:space="preserve">, Zacharias: for your prayer is heard; and your wife Elizabeth shall bear you a son, and you shall call his name John.</w:t>
      </w:r>
    </w:p>
    <w:p>
      <w:r>
        <w:rPr>
          <w:b/>
        </w:rPr>
        <w:t xml:space="preserve">14 </w:t>
      </w:r>
      <w:r>
        <w:t xml:space="preserve">And you shall have joy and gladness; and many shall rejoice at his birth.</w:t>
      </w:r>
    </w:p>
    <w:p>
      <w:r>
        <w:rPr>
          <w:b/>
        </w:rPr>
        <w:t xml:space="preserve">15 </w:t>
      </w:r>
      <w:r>
        <w:t xml:space="preserve">For he shall be great</w:t>
      </w:r>
      <w:r>
        <w:rPr>
          <w:rStyle w:val="FootnoteReference"/>
        </w:rPr>
        <w:footnoteReference w:id="15264"/>
      </w:r>
      <w:r>
        <w:t xml:space="preserve"> in the sight of the Lord, and shall drink neither wine nor strong drink; and he shall be filled with the Holy Spirit, even from his mother's womb.</w:t>
      </w:r>
    </w:p>
    <w:p>
      <w:r>
        <w:rPr>
          <w:b/>
        </w:rPr>
        <w:t xml:space="preserve">16 </w:t>
      </w:r>
      <w:r>
        <w:t xml:space="preserve">And many of the children of Israel he shall turn to the Lord their God.</w:t>
      </w:r>
    </w:p>
    <w:p>
      <w:r>
        <w:rPr>
          <w:b/>
        </w:rPr>
        <w:t xml:space="preserve">17 </w:t>
      </w:r>
      <w:r>
        <w:t xml:space="preserve">And he shall go before him in the spirit and power</w:t>
      </w:r>
      <w:r>
        <w:rPr>
          <w:rStyle w:val="FootnoteReference"/>
        </w:rPr>
        <w:footnoteReference w:id="15265"/>
      </w:r>
      <w:r>
        <w:t xml:space="preserve"> of Elijah, to turn the hearts of the fathers to the children, and the disobedient to the wisdom of the righteous; to make ready a people prepared for the Lord.</w:t>
      </w:r>
    </w:p>
    <w:p>
      <w:r>
        <w:rPr>
          <w:b/>
        </w:rPr>
        <w:t xml:space="preserve">18 </w:t>
      </w:r>
      <w:r>
        <w:t xml:space="preserve">And Zacharias said to the angel, By what shall I know this? for I am an old man, and my wife advanced in years.</w:t>
      </w:r>
    </w:p>
    <w:p>
      <w:r>
        <w:rPr>
          <w:b/>
        </w:rPr>
        <w:t xml:space="preserve">19 </w:t>
      </w:r>
      <w:r>
        <w:t xml:space="preserve">And the angel answering said to him, I am Gabriel</w:t>
      </w:r>
      <w:r>
        <w:rPr>
          <w:rStyle w:val="FootnoteReference"/>
        </w:rPr>
        <w:footnoteReference w:id="15266"/>
      </w:r>
      <w:r>
        <w:t xml:space="preserve">, who stands in the presence of God; and am sent to speak to you, and to bring you these glad tidings.</w:t>
      </w:r>
    </w:p>
    <w:p>
      <w:r>
        <w:rPr>
          <w:b/>
        </w:rPr>
        <w:t xml:space="preserve">20 </w:t>
      </w:r>
      <w:r>
        <w:t xml:space="preserve">And, look, you shall be silent, and not able to speak, until the day that these things shall be performed, because you do not believe my words, which shall be fulfilled in their season.</w:t>
      </w:r>
    </w:p>
    <w:p>
      <w:r>
        <w:rPr>
          <w:b/>
        </w:rPr>
        <w:t xml:space="preserve">21 </w:t>
      </w:r>
      <w:r>
        <w:t xml:space="preserve">And the people waited for Zacharias, and marveled that he tarried so long in the temple.</w:t>
      </w:r>
    </w:p>
    <w:p>
      <w:r>
        <w:rPr>
          <w:b/>
        </w:rPr>
        <w:t xml:space="preserve">22 </w:t>
      </w:r>
      <w:r>
        <w:t xml:space="preserve">And when he came out, he could not speak to them: and they perceived that he had seen a vision in the temple: for he made signs to them, and remained speechless.</w:t>
      </w:r>
    </w:p>
    <w:p>
      <w:r>
        <w:rPr>
          <w:b/>
        </w:rPr>
        <w:t xml:space="preserve">23 </w:t>
      </w:r>
      <w:r>
        <w:t xml:space="preserve">And it happened, that, as soon as the days</w:t>
      </w:r>
      <w:r>
        <w:rPr>
          <w:rStyle w:val="FootnoteReference"/>
        </w:rPr>
        <w:footnoteReference w:id="15267"/>
      </w:r>
      <w:r>
        <w:t xml:space="preserve"> of his service were accomplished, he departed to his own house.</w:t>
      </w:r>
    </w:p>
    <w:p>
      <w:r>
        <w:rPr>
          <w:b/>
        </w:rPr>
        <w:t xml:space="preserve">24 </w:t>
      </w:r>
      <w:r>
        <w:t xml:space="preserve">And after those days his wife Elizabeth conceived, and kept herself hidden five months, saying,</w:t>
      </w:r>
    </w:p>
    <w:p>
      <w:r>
        <w:rPr>
          <w:b/>
        </w:rPr>
        <w:t xml:space="preserve">25 </w:t>
      </w:r>
      <w:r>
        <w:t xml:space="preserve">Thus has the Lord dealt with me in the days in which he looked on me, to take</w:t>
      </w:r>
      <w:r>
        <w:rPr>
          <w:rStyle w:val="FootnoteReference"/>
        </w:rPr>
        <w:footnoteReference w:id="15268"/>
      </w:r>
      <w:r>
        <w:t xml:space="preserve"> away my reproach among men.</w:t>
      </w:r>
    </w:p>
    <w:p>
      <w:r>
        <w:rPr>
          <w:b/>
        </w:rPr>
        <w:t xml:space="preserve">26 </w:t>
      </w:r>
      <w:r>
        <w:t xml:space="preserve">And in the sixth</w:t>
      </w:r>
      <w:r>
        <w:rPr>
          <w:rStyle w:val="FootnoteReference"/>
        </w:rPr>
        <w:footnoteReference w:id="15269"/>
      </w:r>
      <w:r>
        <w:t xml:space="preserve"> month the angel Gabriel was sent from God to a city of Galilee, named Nazareth,</w:t>
      </w:r>
    </w:p>
    <w:p>
      <w:r>
        <w:rPr>
          <w:b/>
        </w:rPr>
        <w:t xml:space="preserve">27 </w:t>
      </w:r>
      <w:r>
        <w:t xml:space="preserve">To a virgin betrothed to a man whose name was Joseph, of the house of David; and the virgin's name was Mary.</w:t>
      </w:r>
    </w:p>
    <w:p>
      <w:r>
        <w:rPr>
          <w:b/>
        </w:rPr>
        <w:t xml:space="preserve">28 </w:t>
      </w:r>
      <w:r>
        <w:t xml:space="preserve">And the angel came in to her, and said, Hail</w:t>
      </w:r>
      <w:r>
        <w:rPr>
          <w:rStyle w:val="FootnoteReference"/>
        </w:rPr>
        <w:footnoteReference w:id="15270"/>
      </w:r>
      <w:r>
        <w:t xml:space="preserve">, you that are highly favored, the Lord is with you: blessed are you among women.</w:t>
      </w:r>
    </w:p>
    <w:p>
      <w:r>
        <w:rPr>
          <w:b/>
        </w:rPr>
        <w:t xml:space="preserve">29 </w:t>
      </w:r>
      <w:r>
        <w:t xml:space="preserve">And when she saw him, she was</w:t>
      </w:r>
      <w:r>
        <w:rPr>
          <w:rStyle w:val="FootnoteReference"/>
        </w:rPr>
        <w:footnoteReference w:id="15271"/>
      </w:r>
      <w:r>
        <w:t xml:space="preserve"> troubled at his saying, and considered in her mind what manner of greeting this should be.</w:t>
      </w:r>
    </w:p>
    <w:p>
      <w:r>
        <w:rPr>
          <w:b/>
        </w:rPr>
        <w:t xml:space="preserve">30 </w:t>
      </w:r>
      <w:r>
        <w:t xml:space="preserve">And the angel said to her, do not fear, Mary: for you have found favor with God.</w:t>
      </w:r>
    </w:p>
    <w:p>
      <w:r>
        <w:rPr>
          <w:b/>
        </w:rPr>
        <w:t xml:space="preserve">31 </w:t>
      </w:r>
      <w:r>
        <w:t xml:space="preserve">And, look, you shall conceive in your womb, and bear a son, and shall call his name Jesus.</w:t>
      </w:r>
    </w:p>
    <w:p>
      <w:r>
        <w:rPr>
          <w:b/>
        </w:rPr>
        <w:t xml:space="preserve">32 </w:t>
      </w:r>
      <w:r>
        <w:t xml:space="preserve">He shall be great</w:t>
      </w:r>
      <w:r>
        <w:rPr>
          <w:rStyle w:val="FootnoteReference"/>
        </w:rPr>
        <w:footnoteReference w:id="15272"/>
      </w:r>
      <w:r>
        <w:t xml:space="preserve">, and shall be called the Son of the Most High: and the Lord God shall give to him the throne of his father David:</w:t>
      </w:r>
    </w:p>
    <w:p>
      <w:r>
        <w:rPr>
          <w:b/>
        </w:rPr>
        <w:t xml:space="preserve">33 </w:t>
      </w:r>
      <w:r>
        <w:t xml:space="preserve">And he shall reign over the house of Jacob forever; and of his kingdom there shall be no end.</w:t>
      </w:r>
    </w:p>
    <w:p>
      <w:r>
        <w:rPr>
          <w:b/>
        </w:rPr>
        <w:t xml:space="preserve">34 </w:t>
      </w:r>
      <w:r>
        <w:t xml:space="preserve">Then Mary said to the angel, How shall this be, seeing I do not know a man?</w:t>
      </w:r>
    </w:p>
    <w:p>
      <w:r>
        <w:rPr>
          <w:b/>
        </w:rPr>
        <w:t xml:space="preserve">35 </w:t>
      </w:r>
      <w:r>
        <w:t xml:space="preserve">And the angel answered and said to her, The Holy Spirit shall come upon you, and the power of the Most High shall overshadow you: therefore also that holy one who shall be born of you shall be called the Son of God</w:t>
      </w:r>
      <w:r>
        <w:rPr>
          <w:rStyle w:val="FootnoteReference"/>
        </w:rPr>
        <w:footnoteReference w:id="15273"/>
      </w:r>
      <w:r>
        <w:t xml:space="preserve">.</w:t>
      </w:r>
    </w:p>
    <w:p>
      <w:r>
        <w:rPr>
          <w:b/>
        </w:rPr>
        <w:t xml:space="preserve">36 </w:t>
      </w:r>
      <w:r>
        <w:t xml:space="preserve">And, look, your relative Elizabeth, she has also conceived a son in her old age: and this is the sixth month with her, who was called barren.</w:t>
      </w:r>
    </w:p>
    <w:p>
      <w:r>
        <w:rPr>
          <w:b/>
        </w:rPr>
        <w:t xml:space="preserve">37 </w:t>
      </w:r>
      <w:r>
        <w:t xml:space="preserve">For with God nothing shall be impossible.</w:t>
      </w:r>
    </w:p>
    <w:p>
      <w:r>
        <w:rPr>
          <w:b/>
        </w:rPr>
        <w:t xml:space="preserve">38 </w:t>
      </w:r>
      <w:r>
        <w:t xml:space="preserve">And Mary said, Look the handmaid of the Lord; be it to me according to your word. And the angel departed from her.</w:t>
      </w:r>
    </w:p>
    <w:p>
      <w:r>
        <w:rPr>
          <w:b/>
        </w:rPr>
        <w:t xml:space="preserve">39 </w:t>
      </w:r>
      <w:r>
        <w:t xml:space="preserve">And Mary arose in those days, and went into the hill country with haste, into a city of Judah;</w:t>
      </w:r>
    </w:p>
    <w:p>
      <w:r>
        <w:rPr>
          <w:b/>
        </w:rPr>
        <w:t xml:space="preserve">40 </w:t>
      </w:r>
      <w:r>
        <w:t xml:space="preserve">And entered into the house of Zacharias, and greeted Elizabeth.</w:t>
      </w:r>
    </w:p>
    <w:p>
      <w:r>
        <w:rPr>
          <w:b/>
        </w:rPr>
        <w:t xml:space="preserve">41 </w:t>
      </w:r>
      <w:r>
        <w:t xml:space="preserve">And it happened, that, when Elizabeth heard the greeting of Mary, the baby leaped in her womb; and Elizabeth was filled with the Holy Spirit:</w:t>
      </w:r>
    </w:p>
    <w:p>
      <w:r>
        <w:rPr>
          <w:b/>
        </w:rPr>
        <w:t xml:space="preserve">42 </w:t>
      </w:r>
      <w:r>
        <w:t xml:space="preserve">And she spoke out with a loud voice, and said, Blessed are you among women, and blessed is</w:t>
      </w:r>
      <w:r>
        <w:rPr>
          <w:rStyle w:val="FootnoteReference"/>
        </w:rPr>
        <w:footnoteReference w:id="15274"/>
      </w:r>
      <w:r>
        <w:t xml:space="preserve"> the fruit of your womb.</w:t>
      </w:r>
    </w:p>
    <w:p>
      <w:r>
        <w:rPr>
          <w:b/>
        </w:rPr>
        <w:t xml:space="preserve">43 </w:t>
      </w:r>
      <w:r>
        <w:t xml:space="preserve">And from where is this to me, that the mother of my Lord should come to me?</w:t>
      </w:r>
    </w:p>
    <w:p>
      <w:r>
        <w:rPr>
          <w:b/>
        </w:rPr>
        <w:t xml:space="preserve">44 </w:t>
      </w:r>
      <w:r>
        <w:t xml:space="preserve">For, look, as soon as the voice of your greeting sounded in my ears, the baby leaped in my womb for joy.</w:t>
      </w:r>
    </w:p>
    <w:p>
      <w:r>
        <w:rPr>
          <w:b/>
        </w:rPr>
        <w:t xml:space="preserve">45 </w:t>
      </w:r>
      <w:r>
        <w:t xml:space="preserve">And blessed</w:t>
      </w:r>
      <w:r>
        <w:rPr>
          <w:rStyle w:val="FootnoteReference"/>
        </w:rPr>
        <w:footnoteReference w:id="15275"/>
      </w:r>
      <w:r>
        <w:t xml:space="preserve"> is she who believed: for there shall be a fulfillment of those things which were told her from the Lord.</w:t>
      </w:r>
    </w:p>
    <w:p>
      <w:r>
        <w:rPr>
          <w:b/>
        </w:rPr>
        <w:t xml:space="preserve">46 </w:t>
      </w:r>
      <w:r>
        <w:t xml:space="preserve">And Mary said, My soul magnifies the Lord,</w:t>
      </w:r>
    </w:p>
    <w:p>
      <w:r>
        <w:rPr>
          <w:b/>
        </w:rPr>
        <w:t xml:space="preserve">47 </w:t>
      </w:r>
      <w:r>
        <w:t xml:space="preserve">And my spirit has rejoiced in God my Savior.</w:t>
      </w:r>
      <w:r>
        <w:rPr>
          <w:rStyle w:val="FootnoteReference"/>
        </w:rPr>
        <w:footnoteReference w:id="15276"/>
      </w:r>
    </w:p>
    <w:p>
      <w:r>
        <w:rPr>
          <w:b/>
        </w:rPr>
        <w:t xml:space="preserve">48 </w:t>
      </w:r>
      <w:r>
        <w:t xml:space="preserve">For he has regarded</w:t>
      </w:r>
      <w:r>
        <w:rPr>
          <w:rStyle w:val="FootnoteReference"/>
        </w:rPr>
        <w:footnoteReference w:id="15277"/>
      </w:r>
      <w:r>
        <w:t xml:space="preserve"> the low estate of his handmaiden: for, look, from now on all generations shall call me blessed.</w:t>
      </w:r>
    </w:p>
    <w:p>
      <w:r>
        <w:rPr>
          <w:b/>
        </w:rPr>
        <w:t xml:space="preserve">49 </w:t>
      </w:r>
      <w:r>
        <w:t xml:space="preserve">For the one who is mighty has done to me great things; and holy is his name.</w:t>
      </w:r>
    </w:p>
    <w:p>
      <w:r>
        <w:rPr>
          <w:b/>
        </w:rPr>
        <w:t xml:space="preserve">50 </w:t>
      </w:r>
      <w:r>
        <w:t xml:space="preserve">And his mercy is on those who fear him from generation to generation.</w:t>
      </w:r>
    </w:p>
    <w:p>
      <w:r>
        <w:rPr>
          <w:b/>
        </w:rPr>
        <w:t xml:space="preserve">51 </w:t>
      </w:r>
      <w:r>
        <w:t xml:space="preserve">He has shown strength with his arm; he has scattered the proud in the imagination</w:t>
      </w:r>
      <w:r>
        <w:rPr>
          <w:rStyle w:val="FootnoteReference"/>
        </w:rPr>
        <w:footnoteReference w:id="15278"/>
      </w:r>
      <w:r>
        <w:t xml:space="preserve"> of their hearts.</w:t>
      </w:r>
    </w:p>
    <w:p>
      <w:r>
        <w:rPr>
          <w:b/>
        </w:rPr>
        <w:t xml:space="preserve">52 </w:t>
      </w:r>
      <w:r>
        <w:t xml:space="preserve">He has put down the mighty from their thrones, and exalted those of low degree.</w:t>
      </w:r>
    </w:p>
    <w:p>
      <w:r>
        <w:rPr>
          <w:b/>
        </w:rPr>
        <w:t xml:space="preserve">53 </w:t>
      </w:r>
      <w:r>
        <w:t xml:space="preserve">He has filled</w:t>
      </w:r>
      <w:r>
        <w:rPr>
          <w:rStyle w:val="FootnoteReference"/>
        </w:rPr>
        <w:footnoteReference w:id="15279"/>
      </w:r>
      <w:r>
        <w:t xml:space="preserve"> the hungry with good things; and the rich he has sent away empty.</w:t>
      </w:r>
    </w:p>
    <w:p>
      <w:r>
        <w:rPr>
          <w:b/>
        </w:rPr>
        <w:t xml:space="preserve">54 </w:t>
      </w:r>
      <w:r>
        <w:t xml:space="preserve">He has helped his servant Israel, in remembrance of his mercy;</w:t>
      </w:r>
    </w:p>
    <w:p>
      <w:r>
        <w:rPr>
          <w:b/>
        </w:rPr>
        <w:t xml:space="preserve">55 </w:t>
      </w:r>
      <w:r>
        <w:t xml:space="preserve">As he spoke to our fathers, to Abraham, and to his seed forever.</w:t>
      </w:r>
    </w:p>
    <w:p>
      <w:r>
        <w:rPr>
          <w:b/>
        </w:rPr>
        <w:t xml:space="preserve">56 </w:t>
      </w:r>
      <w:r>
        <w:t xml:space="preserve">And Mary remained with her about three months, and returned to her own house.</w:t>
      </w:r>
    </w:p>
    <w:p>
      <w:r>
        <w:rPr>
          <w:b/>
        </w:rPr>
        <w:t xml:space="preserve">57 </w:t>
      </w:r>
      <w:r>
        <w:t xml:space="preserve">Now Elizabeth's full time came that she should give birth; and she bore a son.</w:t>
      </w:r>
    </w:p>
    <w:p>
      <w:r>
        <w:rPr>
          <w:b/>
        </w:rPr>
        <w:t xml:space="preserve">58 </w:t>
      </w:r>
      <w:r>
        <w:t xml:space="preserve">And her neighbors and her cousins heard how the Lord had showed great mercy upon her; and they rejoiced with her.</w:t>
      </w:r>
    </w:p>
    <w:p>
      <w:r>
        <w:rPr>
          <w:b/>
        </w:rPr>
        <w:t xml:space="preserve">59 </w:t>
      </w:r>
      <w:r>
        <w:t xml:space="preserve">And it happened, that on the eighth day they came to circumcise the child; and they called him Zacharias, after the name of his father.</w:t>
      </w:r>
    </w:p>
    <w:p>
      <w:r>
        <w:rPr>
          <w:b/>
        </w:rPr>
        <w:t xml:space="preserve">60 </w:t>
      </w:r>
      <w:r>
        <w:t xml:space="preserve">And his mother answered and said, Not so; but he shall be called John.</w:t>
      </w:r>
    </w:p>
    <w:p>
      <w:r>
        <w:rPr>
          <w:b/>
        </w:rPr>
        <w:t xml:space="preserve">61 </w:t>
      </w:r>
      <w:r>
        <w:t xml:space="preserve">And they said to her, There is none of your relatives that is called by this name.</w:t>
      </w:r>
    </w:p>
    <w:p>
      <w:r>
        <w:rPr>
          <w:b/>
        </w:rPr>
        <w:t xml:space="preserve">62 </w:t>
      </w:r>
      <w:r>
        <w:t xml:space="preserve">And they made signs to his father, what he would have him called.</w:t>
      </w:r>
    </w:p>
    <w:p>
      <w:r>
        <w:rPr>
          <w:b/>
        </w:rPr>
        <w:t xml:space="preserve">63 </w:t>
      </w:r>
      <w:r>
        <w:t xml:space="preserve">And he asked for a writing table, and wrote, saying, His name is John. And they marveled all.</w:t>
      </w:r>
    </w:p>
    <w:p>
      <w:r>
        <w:rPr>
          <w:b/>
        </w:rPr>
        <w:t xml:space="preserve">64 </w:t>
      </w:r>
      <w:r>
        <w:t xml:space="preserve">And his mouth</w:t>
      </w:r>
      <w:r>
        <w:rPr>
          <w:rStyle w:val="FootnoteReference"/>
        </w:rPr>
        <w:footnoteReference w:id="15280"/>
      </w:r>
      <w:r>
        <w:t xml:space="preserve"> was opened immediately, and his tongue was loosed, and he spoke, and praised God.</w:t>
      </w:r>
    </w:p>
    <w:p>
      <w:r>
        <w:rPr>
          <w:b/>
        </w:rPr>
        <w:t xml:space="preserve">65 </w:t>
      </w:r>
      <w:r>
        <w:t xml:space="preserve">And fear</w:t>
      </w:r>
      <w:r>
        <w:rPr>
          <w:rStyle w:val="FootnoteReference"/>
        </w:rPr>
        <w:footnoteReference w:id="15281"/>
      </w:r>
      <w:r>
        <w:t xml:space="preserve"> came on all that dwelt around them: and all these sayings were reported widely throughout all the hill country of Judea.</w:t>
      </w:r>
    </w:p>
    <w:p>
      <w:r>
        <w:rPr>
          <w:b/>
        </w:rPr>
        <w:t xml:space="preserve">66 </w:t>
      </w:r>
      <w:r>
        <w:t xml:space="preserve">And all those who heard them laid</w:t>
      </w:r>
      <w:r>
        <w:rPr>
          <w:rStyle w:val="FootnoteReference"/>
        </w:rPr>
        <w:footnoteReference w:id="15282"/>
      </w:r>
      <w:r>
        <w:t xml:space="preserve"> them up in their hearts, saying, What manner of child shall this be! And the hand of the Lord was with him.</w:t>
      </w:r>
    </w:p>
    <w:p>
      <w:r>
        <w:rPr>
          <w:b/>
        </w:rPr>
        <w:t xml:space="preserve">67 </w:t>
      </w:r>
      <w:r>
        <w:t xml:space="preserve">And his father Zacharias was filled</w:t>
      </w:r>
      <w:r>
        <w:rPr>
          <w:rStyle w:val="FootnoteReference"/>
        </w:rPr>
        <w:footnoteReference w:id="15283"/>
      </w:r>
      <w:r>
        <w:t xml:space="preserve"> with the Holy Spirit, and prophesied, saying,</w:t>
      </w:r>
    </w:p>
    <w:p>
      <w:r>
        <w:rPr>
          <w:b/>
        </w:rPr>
        <w:t xml:space="preserve">68 </w:t>
      </w:r>
      <w:r>
        <w:t xml:space="preserve">Blessed</w:t>
      </w:r>
      <w:r>
        <w:rPr>
          <w:rStyle w:val="FootnoteReference"/>
        </w:rPr>
        <w:footnoteReference w:id="15284"/>
      </w:r>
      <w:r>
        <w:t xml:space="preserve"> be the Lord God of Israel; for he has visited and redeemed his people,</w:t>
      </w:r>
    </w:p>
    <w:p>
      <w:r>
        <w:rPr>
          <w:b/>
        </w:rPr>
        <w:t xml:space="preserve">69 </w:t>
      </w:r>
      <w:r>
        <w:t xml:space="preserve">And has raised up a horn of salvation for us in the house of his servant David;</w:t>
      </w:r>
    </w:p>
    <w:p>
      <w:r>
        <w:rPr>
          <w:b/>
        </w:rPr>
        <w:t xml:space="preserve">70 </w:t>
      </w:r>
      <w:r>
        <w:t xml:space="preserve">As he spoke by the mouth of his holy prophets, who have been since the world began:</w:t>
      </w:r>
    </w:p>
    <w:p>
      <w:r>
        <w:rPr>
          <w:b/>
        </w:rPr>
        <w:t xml:space="preserve">71 </w:t>
      </w:r>
      <w:r>
        <w:t xml:space="preserve">That we should be saved from our enemies, and from the hand of all who hate us;</w:t>
      </w:r>
    </w:p>
    <w:p>
      <w:r>
        <w:rPr>
          <w:b/>
        </w:rPr>
        <w:t xml:space="preserve">72 </w:t>
      </w:r>
      <w:r>
        <w:t xml:space="preserve">To perform</w:t>
      </w:r>
      <w:r>
        <w:rPr>
          <w:rStyle w:val="FootnoteReference"/>
        </w:rPr>
        <w:footnoteReference w:id="15285"/>
      </w:r>
      <w:r>
        <w:t xml:space="preserve"> the mercy promised to our fathers, and to remember his holy covenant;</w:t>
      </w:r>
    </w:p>
    <w:p>
      <w:r>
        <w:rPr>
          <w:b/>
        </w:rPr>
        <w:t xml:space="preserve">73 </w:t>
      </w:r>
      <w:r>
        <w:t xml:space="preserve">The oath which he swore to our father Abraham,</w:t>
      </w:r>
    </w:p>
    <w:p>
      <w:r>
        <w:rPr>
          <w:b/>
        </w:rPr>
        <w:t xml:space="preserve">74 </w:t>
      </w:r>
      <w:r>
        <w:t xml:space="preserve">That he would grant to us, that we</w:t>
      </w:r>
      <w:r>
        <w:rPr>
          <w:rStyle w:val="FootnoteReference"/>
        </w:rPr>
        <w:footnoteReference w:id="15286"/>
      </w:r>
      <w:r>
        <w:t xml:space="preserve"> being delivered out of the hand of our enemies might serve him without fear,</w:t>
      </w:r>
    </w:p>
    <w:p>
      <w:r>
        <w:rPr>
          <w:b/>
        </w:rPr>
        <w:t xml:space="preserve">75 </w:t>
      </w:r>
      <w:r>
        <w:t xml:space="preserve">In holiness and righteousness before him, all the days of our life.</w:t>
      </w:r>
    </w:p>
    <w:p>
      <w:r>
        <w:rPr>
          <w:b/>
        </w:rPr>
        <w:t xml:space="preserve">76 </w:t>
      </w:r>
      <w:r>
        <w:t xml:space="preserve">And you, child, shall be called the prophet of the Most High: for you shall go before the face of the Lord to prepare his ways;</w:t>
      </w:r>
    </w:p>
    <w:p>
      <w:r>
        <w:rPr>
          <w:b/>
        </w:rPr>
        <w:t xml:space="preserve">77 </w:t>
      </w:r>
      <w:r>
        <w:t xml:space="preserve">To give</w:t>
      </w:r>
      <w:r>
        <w:rPr>
          <w:rStyle w:val="FootnoteReference"/>
        </w:rPr>
        <w:footnoteReference w:id="15287"/>
      </w:r>
      <w:r>
        <w:t xml:space="preserve"> knowledge of salvation to his people by the forgiveness of their sins,</w:t>
      </w:r>
    </w:p>
    <w:p>
      <w:r>
        <w:rPr>
          <w:b/>
        </w:rPr>
        <w:t xml:space="preserve">78 </w:t>
      </w:r>
      <w:r>
        <w:t xml:space="preserve">Through the tender</w:t>
      </w:r>
      <w:r>
        <w:rPr>
          <w:rStyle w:val="FootnoteReference"/>
        </w:rPr>
        <w:footnoteReference w:id="15288"/>
      </w:r>
      <w:r>
        <w:t xml:space="preserve"> mercy of our God; by which the dawn from on high has visited us,</w:t>
      </w:r>
    </w:p>
    <w:p>
      <w:r>
        <w:rPr>
          <w:b/>
        </w:rPr>
        <w:t xml:space="preserve">79 </w:t>
      </w:r>
      <w:r>
        <w:t xml:space="preserve">To give</w:t>
      </w:r>
      <w:r>
        <w:rPr>
          <w:rStyle w:val="FootnoteReference"/>
        </w:rPr>
        <w:footnoteReference w:id="15289"/>
      </w:r>
      <w:r>
        <w:t xml:space="preserve"> light to those who sit in darkness and in the shadow of death, to guide our feet into the way of peace.</w:t>
      </w:r>
    </w:p>
    <w:p>
      <w:r>
        <w:rPr>
          <w:b/>
        </w:rPr>
        <w:t xml:space="preserve">80 </w:t>
      </w:r>
      <w:r>
        <w:t xml:space="preserve">And the child</w:t>
      </w:r>
      <w:r>
        <w:rPr>
          <w:rStyle w:val="FootnoteReference"/>
        </w:rPr>
        <w:footnoteReference w:id="15290"/>
      </w:r>
      <w:r>
        <w:t xml:space="preserve"> grew, and grew strong in spirit, and was in the wildernesses till the day of his showing to Israel.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it happened in those days, that there went out a decree from Caesar</w:t>
      </w:r>
      <w:r>
        <w:rPr>
          <w:rStyle w:val="FootnoteReference"/>
        </w:rPr>
        <w:footnoteReference w:id="15291"/>
      </w:r>
      <w:r>
        <w:t xml:space="preserve"> Augustus</w:t>
      </w:r>
      <w:r>
        <w:rPr>
          <w:rStyle w:val="FootnoteReference"/>
        </w:rPr>
        <w:footnoteReference w:id="15292"/>
      </w:r>
      <w:r>
        <w:t xml:space="preserve"> that all the world should be registered.</w:t>
      </w:r>
    </w:p>
    <w:p>
      <w:r>
        <w:rPr>
          <w:b/>
        </w:rPr>
        <w:t xml:space="preserve">2 </w:t>
      </w:r>
      <w:r>
        <w:t xml:space="preserve">(This registration was first made when Cyrenius</w:t>
      </w:r>
      <w:r>
        <w:rPr>
          <w:rStyle w:val="FootnoteReference"/>
        </w:rPr>
        <w:footnoteReference w:id="15293"/>
      </w:r>
      <w:r>
        <w:t xml:space="preserve"> was governor</w:t>
      </w:r>
      <w:r>
        <w:rPr>
          <w:rStyle w:val="FootnoteReference"/>
        </w:rPr>
        <w:footnoteReference w:id="15294"/>
      </w:r>
      <w:r>
        <w:t xml:space="preserve"> of Syria.)</w:t>
      </w:r>
    </w:p>
    <w:p>
      <w:r>
        <w:rPr>
          <w:b/>
        </w:rPr>
        <w:t xml:space="preserve">3 </w:t>
      </w:r>
      <w:r>
        <w:t xml:space="preserve">And all went to be registered, every one into his own city.</w:t>
      </w:r>
    </w:p>
    <w:p>
      <w:r>
        <w:rPr>
          <w:b/>
        </w:rPr>
        <w:t xml:space="preserve">4 </w:t>
      </w:r>
      <w:r>
        <w:t xml:space="preserve">And Joseph</w:t>
      </w:r>
      <w:r>
        <w:rPr>
          <w:rStyle w:val="FootnoteReference"/>
        </w:rPr>
        <w:footnoteReference w:id="15295"/>
      </w:r>
      <w:r>
        <w:t xml:space="preserve"> also went up from Galilee, out of the city of Nazareth, into Judea, to the city of David, which is called Bethlehem; (because he was of the house and lineage of David:)</w:t>
      </w:r>
    </w:p>
    <w:p>
      <w:r>
        <w:rPr>
          <w:b/>
        </w:rPr>
        <w:t xml:space="preserve">5 </w:t>
      </w:r>
      <w:r>
        <w:t xml:space="preserve">To be registered with Mary his betrothed wife, being pregnant.</w:t>
      </w:r>
    </w:p>
    <w:p>
      <w:r>
        <w:rPr>
          <w:b/>
        </w:rPr>
        <w:t xml:space="preserve">6 </w:t>
      </w:r>
      <w:r>
        <w:t xml:space="preserve">And so it was, that, while they were there, the days</w:t>
      </w:r>
      <w:r>
        <w:rPr>
          <w:rStyle w:val="FootnoteReference"/>
        </w:rPr>
        <w:footnoteReference w:id="15296"/>
      </w:r>
      <w:r>
        <w:t xml:space="preserve"> were accomplished that she should give birth.</w:t>
      </w:r>
    </w:p>
    <w:p>
      <w:r>
        <w:rPr>
          <w:b/>
        </w:rPr>
        <w:t xml:space="preserve">7 </w:t>
      </w:r>
      <w:r>
        <w:t xml:space="preserve">And she bore her firstborn son, and wrapped</w:t>
      </w:r>
      <w:r>
        <w:rPr>
          <w:rStyle w:val="FootnoteReference"/>
        </w:rPr>
        <w:footnoteReference w:id="15297"/>
      </w:r>
      <w:r>
        <w:t xml:space="preserve"> him in swaddling clothes, and laid him in a manger; because there was no room for them in the inn.</w:t>
      </w:r>
    </w:p>
    <w:p>
      <w:r>
        <w:rPr>
          <w:b/>
        </w:rPr>
        <w:t xml:space="preserve">8 </w:t>
      </w:r>
      <w:r>
        <w:t xml:space="preserve">And there were in the same country shepherds abiding</w:t>
      </w:r>
      <w:r>
        <w:rPr>
          <w:rStyle w:val="FootnoteReference"/>
        </w:rPr>
        <w:footnoteReference w:id="15298"/>
      </w:r>
      <w:r>
        <w:t xml:space="preserve"> in the field, keeping watch over their flock by night.</w:t>
      </w:r>
    </w:p>
    <w:p>
      <w:r>
        <w:rPr>
          <w:b/>
        </w:rPr>
        <w:t xml:space="preserve">9 </w:t>
      </w:r>
      <w:r>
        <w:t xml:space="preserve">And, look, the angel of the Lord came upon them, and the glory of the Lord shone round about them: and they were greatly afraid.</w:t>
      </w:r>
    </w:p>
    <w:p>
      <w:r>
        <w:rPr>
          <w:b/>
        </w:rPr>
        <w:t xml:space="preserve">10 </w:t>
      </w:r>
      <w:r>
        <w:t xml:space="preserve">And the angel said to them, Do not fear: for, look, I bring</w:t>
      </w:r>
      <w:r>
        <w:rPr>
          <w:rStyle w:val="FootnoteReference"/>
        </w:rPr>
        <w:footnoteReference w:id="15299"/>
      </w:r>
      <w:r>
        <w:t xml:space="preserve"> you good tidings of great joy, which shall be to all people.</w:t>
      </w:r>
    </w:p>
    <w:p>
      <w:r>
        <w:rPr>
          <w:b/>
        </w:rPr>
        <w:t xml:space="preserve">11 </w:t>
      </w:r>
      <w:r>
        <w:t xml:space="preserve">For to you is born this day in the city of David a Savior, who is Christ the Lord</w:t>
      </w:r>
      <w:r>
        <w:rPr>
          <w:rStyle w:val="FootnoteReference"/>
        </w:rPr>
        <w:footnoteReference w:id="15300"/>
      </w:r>
      <w:r>
        <w:t xml:space="preserve">.</w:t>
      </w:r>
    </w:p>
    <w:p>
      <w:r>
        <w:rPr>
          <w:b/>
        </w:rPr>
        <w:t xml:space="preserve">12 </w:t>
      </w:r>
      <w:r>
        <w:t xml:space="preserve">And this shall be a sign to you; You shall find the baby wrapped in swaddling clothes, lying in a manger.</w:t>
      </w:r>
    </w:p>
    <w:p>
      <w:r>
        <w:rPr>
          <w:b/>
        </w:rPr>
        <w:t xml:space="preserve">13 </w:t>
      </w:r>
      <w:r>
        <w:t xml:space="preserve">And suddenly there was with the angel a multitude</w:t>
      </w:r>
      <w:r>
        <w:rPr>
          <w:rStyle w:val="FootnoteReference"/>
        </w:rPr>
        <w:footnoteReference w:id="15301"/>
      </w:r>
      <w:r>
        <w:t xml:space="preserve"> of the heavenly host praising God, and saying,</w:t>
      </w:r>
    </w:p>
    <w:p>
      <w:r>
        <w:rPr>
          <w:b/>
        </w:rPr>
        <w:t xml:space="preserve">14 </w:t>
      </w:r>
      <w:r>
        <w:t xml:space="preserve">Glory</w:t>
      </w:r>
      <w:r>
        <w:rPr>
          <w:rStyle w:val="FootnoteReference"/>
        </w:rPr>
        <w:footnoteReference w:id="15302"/>
      </w:r>
      <w:r>
        <w:t xml:space="preserve"> to God in the highest, and on earth peace, good will toward men.</w:t>
      </w:r>
    </w:p>
    <w:p>
      <w:r>
        <w:rPr>
          <w:b/>
        </w:rPr>
        <w:t xml:space="preserve">15 </w:t>
      </w:r>
      <w:r>
        <w:t xml:space="preserve">And it happened, as the angels were gone away from them into heaven, the shepherds said one to another, Let us now go even to Bethlehem, and see this thing which has come to pass, which the Lord has made known to us.</w:t>
      </w:r>
    </w:p>
    <w:p>
      <w:r>
        <w:rPr>
          <w:b/>
        </w:rPr>
        <w:t xml:space="preserve">16 </w:t>
      </w:r>
      <w:r>
        <w:t xml:space="preserve">And they came with haste, and found</w:t>
      </w:r>
      <w:r>
        <w:rPr>
          <w:rStyle w:val="FootnoteReference"/>
        </w:rPr>
        <w:footnoteReference w:id="15303"/>
      </w:r>
      <w:r>
        <w:t xml:space="preserve"> Mary, and Joseph, and the baby lying in a manger.</w:t>
      </w:r>
    </w:p>
    <w:p>
      <w:r>
        <w:rPr>
          <w:b/>
        </w:rPr>
        <w:t xml:space="preserve">17 </w:t>
      </w:r>
      <w:r>
        <w:t xml:space="preserve">And when they had seen it, they made known abroad the saying which was told them concerning this child.</w:t>
      </w:r>
    </w:p>
    <w:p>
      <w:r>
        <w:rPr>
          <w:b/>
        </w:rPr>
        <w:t xml:space="preserve">18 </w:t>
      </w:r>
      <w:r>
        <w:t xml:space="preserve">And all those who heard it wondered</w:t>
      </w:r>
      <w:r>
        <w:rPr>
          <w:rStyle w:val="FootnoteReference"/>
        </w:rPr>
        <w:footnoteReference w:id="15304"/>
      </w:r>
      <w:r>
        <w:t xml:space="preserve"> at those things which were told them by the shepherds.</w:t>
      </w:r>
    </w:p>
    <w:p>
      <w:r>
        <w:rPr>
          <w:b/>
        </w:rPr>
        <w:t xml:space="preserve">19 </w:t>
      </w:r>
      <w:r>
        <w:t xml:space="preserve">But Mary kept all these things, and pondered them in her heart.</w:t>
      </w:r>
    </w:p>
    <w:p>
      <w:r>
        <w:rPr>
          <w:b/>
        </w:rPr>
        <w:t xml:space="preserve">20 </w:t>
      </w:r>
      <w:r>
        <w:t xml:space="preserve">And the shepherds returned, glorifying and praising God for all the things that they had heard and seen, as it was told to them.</w:t>
      </w:r>
    </w:p>
    <w:p>
      <w:r>
        <w:rPr>
          <w:b/>
        </w:rPr>
        <w:t xml:space="preserve">21 </w:t>
      </w:r>
      <w:r>
        <w:t xml:space="preserve">And when eight</w:t>
      </w:r>
      <w:r>
        <w:rPr>
          <w:rStyle w:val="FootnoteReference"/>
        </w:rPr>
        <w:footnoteReference w:id="15305"/>
      </w:r>
      <w:r>
        <w:t xml:space="preserve"> days were accomplished for the circumcising of the child, his name was called Jesus, who was so named by the angel before he was conceived in the womb.</w:t>
      </w:r>
    </w:p>
    <w:p>
      <w:r>
        <w:rPr>
          <w:b/>
        </w:rPr>
        <w:t xml:space="preserve">22 </w:t>
      </w:r>
      <w:r>
        <w:t xml:space="preserve">And when the days of her purification according to the law of Moses were accomplished, they brought him to Jerusalem, to present him to the Lord;</w:t>
      </w:r>
    </w:p>
    <w:p>
      <w:r>
        <w:rPr>
          <w:b/>
        </w:rPr>
        <w:t xml:space="preserve">23 </w:t>
      </w:r>
      <w:r>
        <w:t xml:space="preserve">(As it is written in the law of the Lord, Every male that opens the womb shall be called holy to the Lord;)</w:t>
      </w:r>
    </w:p>
    <w:p>
      <w:r>
        <w:rPr>
          <w:b/>
        </w:rPr>
        <w:t xml:space="preserve">24 </w:t>
      </w:r>
      <w:r>
        <w:t xml:space="preserve">And to offer a sacrifice according to that which is said in the law of the Lord, A pair</w:t>
      </w:r>
      <w:r>
        <w:rPr>
          <w:rStyle w:val="FootnoteReference"/>
        </w:rPr>
        <w:footnoteReference w:id="15306"/>
      </w:r>
      <w:r>
        <w:t xml:space="preserve"> of turtledoves, or two young pigeons.</w:t>
      </w:r>
    </w:p>
    <w:p>
      <w:r>
        <w:rPr>
          <w:b/>
        </w:rPr>
        <w:t xml:space="preserve">25 </w:t>
      </w:r>
      <w:r>
        <w:t xml:space="preserve">And, look, there was a man in Jerusalem, whose name was Simeon</w:t>
      </w:r>
      <w:r>
        <w:rPr>
          <w:rStyle w:val="FootnoteReference"/>
        </w:rPr>
        <w:footnoteReference w:id="15307"/>
      </w:r>
      <w:r>
        <w:t xml:space="preserve">; and the same man was righteous and devout, waiting</w:t>
      </w:r>
      <w:r>
        <w:rPr>
          <w:rStyle w:val="FootnoteReference"/>
        </w:rPr>
        <w:footnoteReference w:id="15308"/>
      </w:r>
      <w:r>
        <w:t xml:space="preserve"> for the consolation of Israel: and the Holy Spirit was upon him.</w:t>
      </w:r>
      <w:r>
        <w:rPr>
          <w:rStyle w:val="FootnoteReference"/>
        </w:rPr>
        <w:footnoteReference w:id="15309"/>
      </w:r>
    </w:p>
    <w:p>
      <w:r>
        <w:rPr>
          <w:b/>
        </w:rPr>
        <w:t xml:space="preserve">26 </w:t>
      </w:r>
      <w:r>
        <w:t xml:space="preserve">And it was revealed to him by the Holy Spirit, that he should not see death</w:t>
      </w:r>
      <w:r>
        <w:rPr>
          <w:rStyle w:val="FootnoteReference"/>
        </w:rPr>
        <w:footnoteReference w:id="15310"/>
      </w:r>
      <w:r>
        <w:t xml:space="preserve">, before he had seen the Lord's Christ.</w:t>
      </w:r>
    </w:p>
    <w:p>
      <w:r>
        <w:rPr>
          <w:b/>
        </w:rPr>
        <w:t xml:space="preserve">27 </w:t>
      </w:r>
      <w:r>
        <w:t xml:space="preserve">And he came by the Spirit into the temple: and when the parents</w:t>
      </w:r>
      <w:r>
        <w:rPr>
          <w:rStyle w:val="FootnoteReference"/>
        </w:rPr>
        <w:footnoteReference w:id="15311"/>
      </w:r>
      <w:r>
        <w:t xml:space="preserve"> brought in the child Jesus, to do for him after the custom of the law,</w:t>
      </w:r>
    </w:p>
    <w:p>
      <w:r>
        <w:rPr>
          <w:b/>
        </w:rPr>
        <w:t xml:space="preserve">28 </w:t>
      </w:r>
      <w:r>
        <w:t xml:space="preserve">Then he took</w:t>
      </w:r>
      <w:r>
        <w:rPr>
          <w:rStyle w:val="FootnoteReference"/>
        </w:rPr>
        <w:footnoteReference w:id="15312"/>
      </w:r>
      <w:r>
        <w:t xml:space="preserve"> him up in his arms, and blessed God, and said,</w:t>
      </w:r>
    </w:p>
    <w:p>
      <w:r>
        <w:rPr>
          <w:b/>
        </w:rPr>
        <w:t xml:space="preserve">29 </w:t>
      </w:r>
      <w:r>
        <w:t xml:space="preserve">Lord</w:t>
      </w:r>
      <w:r>
        <w:rPr>
          <w:rStyle w:val="FootnoteReference"/>
        </w:rPr>
        <w:footnoteReference w:id="15313"/>
      </w:r>
      <w:r>
        <w:t xml:space="preserve">, now let you your slave depart in peace, according to your word:</w:t>
      </w:r>
    </w:p>
    <w:p>
      <w:r>
        <w:rPr>
          <w:b/>
        </w:rPr>
        <w:t xml:space="preserve">30 </w:t>
      </w:r>
      <w:r>
        <w:t xml:space="preserve">For my eyes have seen your salvation,</w:t>
      </w:r>
    </w:p>
    <w:p>
      <w:r>
        <w:rPr>
          <w:b/>
        </w:rPr>
        <w:t xml:space="preserve">31 </w:t>
      </w:r>
      <w:r>
        <w:t xml:space="preserve">Which you have prepared before the face of all peoples;</w:t>
      </w:r>
    </w:p>
    <w:p>
      <w:r>
        <w:rPr>
          <w:b/>
        </w:rPr>
        <w:t xml:space="preserve">32 </w:t>
      </w:r>
      <w:r>
        <w:t xml:space="preserve">A light</w:t>
      </w:r>
      <w:r>
        <w:rPr>
          <w:rStyle w:val="FootnoteReference"/>
        </w:rPr>
        <w:footnoteReference w:id="15314"/>
      </w:r>
      <w:r>
        <w:t xml:space="preserve"> to lighten the nations, and the glory of your people Israel.</w:t>
      </w:r>
    </w:p>
    <w:p>
      <w:r>
        <w:rPr>
          <w:b/>
        </w:rPr>
        <w:t xml:space="preserve">33 </w:t>
      </w:r>
      <w:r>
        <w:t xml:space="preserve">And Joseph and his mother marveled at those things which were spoken of him.</w:t>
      </w:r>
    </w:p>
    <w:p>
      <w:r>
        <w:rPr>
          <w:b/>
        </w:rPr>
        <w:t xml:space="preserve">34 </w:t>
      </w:r>
      <w:r>
        <w:t xml:space="preserve">And Simeon blessed</w:t>
      </w:r>
      <w:r>
        <w:rPr>
          <w:rStyle w:val="FootnoteReference"/>
        </w:rPr>
        <w:footnoteReference w:id="15315"/>
      </w:r>
      <w:r>
        <w:t xml:space="preserve"> them, and said to Mary his mother, Look, this child is set for the fall and rising again of many in Israel; and for a sign which shall be spoken against;</w:t>
      </w:r>
    </w:p>
    <w:p>
      <w:r>
        <w:rPr>
          <w:b/>
        </w:rPr>
        <w:t xml:space="preserve">35 </w:t>
      </w:r>
      <w:r>
        <w:t xml:space="preserve">(Yes, a sword</w:t>
      </w:r>
      <w:r>
        <w:rPr>
          <w:rStyle w:val="FootnoteReference"/>
        </w:rPr>
        <w:footnoteReference w:id="15316"/>
      </w:r>
      <w:r>
        <w:t xml:space="preserve"> shall pierce through your own soul also,) that the thoughts of many hearts may be revealed.</w:t>
      </w:r>
    </w:p>
    <w:p>
      <w:r>
        <w:rPr>
          <w:b/>
        </w:rPr>
        <w:t xml:space="preserve">36 </w:t>
      </w:r>
      <w:r>
        <w:t xml:space="preserve">And there was one Anna</w:t>
      </w:r>
      <w:r>
        <w:rPr>
          <w:rStyle w:val="FootnoteReference"/>
        </w:rPr>
        <w:footnoteReference w:id="15317"/>
      </w:r>
      <w:r>
        <w:t xml:space="preserve">, a prophetess</w:t>
      </w:r>
      <w:r>
        <w:rPr>
          <w:rStyle w:val="FootnoteReference"/>
        </w:rPr>
        <w:footnoteReference w:id="15318"/>
      </w:r>
      <w:r>
        <w:t xml:space="preserve">, the daughter of Phanuel</w:t>
      </w:r>
      <w:r>
        <w:rPr>
          <w:rStyle w:val="FootnoteReference"/>
        </w:rPr>
        <w:footnoteReference w:id="15319"/>
      </w:r>
      <w:r>
        <w:t xml:space="preserve">, of the tribe of Asher</w:t>
      </w:r>
      <w:r>
        <w:rPr>
          <w:rStyle w:val="FootnoteReference"/>
        </w:rPr>
        <w:footnoteReference w:id="15320"/>
      </w:r>
      <w:r>
        <w:t xml:space="preserve">: she was of great age, and had lived with a husband seven years from her virginity;</w:t>
      </w:r>
    </w:p>
    <w:p>
      <w:r>
        <w:rPr>
          <w:b/>
        </w:rPr>
        <w:t xml:space="preserve">37 </w:t>
      </w:r>
      <w:r>
        <w:t xml:space="preserve">And she was a widow of about eighty-four years, who did not depart from the temple, but served God with fastings and prayers night and day.</w:t>
      </w:r>
    </w:p>
    <w:p>
      <w:r>
        <w:rPr>
          <w:b/>
        </w:rPr>
        <w:t xml:space="preserve">38 </w:t>
      </w:r>
      <w:r>
        <w:t xml:space="preserve">And she coming</w:t>
      </w:r>
      <w:r>
        <w:rPr>
          <w:rStyle w:val="FootnoteReference"/>
        </w:rPr>
        <w:footnoteReference w:id="15321"/>
      </w:r>
      <w:r>
        <w:t xml:space="preserve"> in that instant gave thanks likewise to the Lord, and spoke of him to all those who looked for redemption in Jerusalem.</w:t>
      </w:r>
    </w:p>
    <w:p>
      <w:r>
        <w:rPr>
          <w:b/>
        </w:rPr>
        <w:t xml:space="preserve">39 </w:t>
      </w:r>
      <w:r>
        <w:t xml:space="preserve">And when they had performed</w:t>
      </w:r>
      <w:r>
        <w:rPr>
          <w:rStyle w:val="FootnoteReference"/>
        </w:rPr>
        <w:footnoteReference w:id="15322"/>
      </w:r>
      <w:r>
        <w:t xml:space="preserve"> all things according to the law of the Lord, they returned into Galilee, to their own city Nazareth.</w:t>
      </w:r>
    </w:p>
    <w:p>
      <w:r>
        <w:rPr>
          <w:b/>
        </w:rPr>
        <w:t xml:space="preserve">40 </w:t>
      </w:r>
      <w:r>
        <w:t xml:space="preserve">And the child</w:t>
      </w:r>
      <w:r>
        <w:rPr>
          <w:rStyle w:val="FootnoteReference"/>
        </w:rPr>
        <w:footnoteReference w:id="15323"/>
      </w:r>
      <w:r>
        <w:t xml:space="preserve"> grew, and grew strong in spirit, filled with wisdom: and the grace of God was upon him.</w:t>
      </w:r>
    </w:p>
    <w:p>
      <w:r>
        <w:rPr>
          <w:b/>
        </w:rPr>
        <w:t xml:space="preserve">41 </w:t>
      </w:r>
      <w:r>
        <w:t xml:space="preserve">Now his parents went</w:t>
      </w:r>
      <w:r>
        <w:rPr>
          <w:rStyle w:val="FootnoteReference"/>
        </w:rPr>
        <w:footnoteReference w:id="15324"/>
      </w:r>
      <w:r>
        <w:t xml:space="preserve"> to Jerusalem every year at the feast of the Passover.</w:t>
      </w:r>
    </w:p>
    <w:p>
      <w:r>
        <w:rPr>
          <w:b/>
        </w:rPr>
        <w:t xml:space="preserve">42 </w:t>
      </w:r>
      <w:r>
        <w:t xml:space="preserve">And when he was twelve years old, they went up to Jerusalem after the custom of the feast.</w:t>
      </w:r>
    </w:p>
    <w:p>
      <w:r>
        <w:rPr>
          <w:b/>
        </w:rPr>
        <w:t xml:space="preserve">43 </w:t>
      </w:r>
      <w:r>
        <w:t xml:space="preserve">And when they had completed the days, as they returned, the child Jesus remained behind in Jerusalem; and Joseph and his mother did not know it.</w:t>
      </w:r>
    </w:p>
    <w:p>
      <w:r>
        <w:rPr>
          <w:b/>
        </w:rPr>
        <w:t xml:space="preserve">44 </w:t>
      </w:r>
      <w:r>
        <w:t xml:space="preserve">But they, supposing him to have been in the company, went a day's journey; and they sought him among their relatives and acquaintance.</w:t>
      </w:r>
    </w:p>
    <w:p>
      <w:r>
        <w:rPr>
          <w:b/>
        </w:rPr>
        <w:t xml:space="preserve">45 </w:t>
      </w:r>
      <w:r>
        <w:t xml:space="preserve">And when they did not find him, they turned back again to Jerusalem, seeking him.</w:t>
      </w:r>
    </w:p>
    <w:p>
      <w:r>
        <w:rPr>
          <w:b/>
        </w:rPr>
        <w:t xml:space="preserve">46 </w:t>
      </w:r>
      <w:r>
        <w:t xml:space="preserve">And it happened, that after three days they found him in the temple, sitting in the midst of the teachers, both</w:t>
      </w:r>
      <w:r>
        <w:rPr>
          <w:rStyle w:val="FootnoteReference"/>
        </w:rPr>
        <w:footnoteReference w:id="15325"/>
      </w:r>
      <w:r>
        <w:t xml:space="preserve"> hearing them, and asking them questions.</w:t>
      </w:r>
    </w:p>
    <w:p>
      <w:r>
        <w:rPr>
          <w:b/>
        </w:rPr>
        <w:t xml:space="preserve">47 </w:t>
      </w:r>
      <w:r>
        <w:t xml:space="preserve">And all that heard him were astonished at his understanding and answers.</w:t>
      </w:r>
    </w:p>
    <w:p>
      <w:r>
        <w:rPr>
          <w:b/>
        </w:rPr>
        <w:t xml:space="preserve">48 </w:t>
      </w:r>
      <w:r>
        <w:t xml:space="preserve">And when they saw him, they were amazed: and his mother said to him, Son, why have you dealt with us thus? look, your father and I have sought you anxiously.</w:t>
      </w:r>
    </w:p>
    <w:p>
      <w:r>
        <w:rPr>
          <w:b/>
        </w:rPr>
        <w:t xml:space="preserve">49 </w:t>
      </w:r>
      <w:r>
        <w:t xml:space="preserve">And he said to them, How is it that you sought me? do you not know that I must be about my Father's business?</w:t>
      </w:r>
    </w:p>
    <w:p>
      <w:r>
        <w:rPr>
          <w:b/>
        </w:rPr>
        <w:t xml:space="preserve">50 </w:t>
      </w:r>
      <w:r>
        <w:t xml:space="preserve">And they did not understand the saying which he spoke to them.</w:t>
      </w:r>
    </w:p>
    <w:p>
      <w:r>
        <w:rPr>
          <w:b/>
        </w:rPr>
        <w:t xml:space="preserve">51 </w:t>
      </w:r>
      <w:r>
        <w:t xml:space="preserve">And he went down with them, and came to Nazareth, and was subject to them: but his mother kept</w:t>
      </w:r>
      <w:r>
        <w:rPr>
          <w:rStyle w:val="FootnoteReference"/>
        </w:rPr>
        <w:footnoteReference w:id="15326"/>
      </w:r>
      <w:r>
        <w:t xml:space="preserve"> all these sayings in her heart.</w:t>
      </w:r>
    </w:p>
    <w:p>
      <w:r>
        <w:rPr>
          <w:b/>
        </w:rPr>
        <w:t xml:space="preserve">52 </w:t>
      </w:r>
      <w:r>
        <w:t xml:space="preserve">And Jesus</w:t>
      </w:r>
      <w:r>
        <w:rPr>
          <w:rStyle w:val="FootnoteReference"/>
        </w:rPr>
        <w:footnoteReference w:id="15327"/>
      </w:r>
      <w:r>
        <w:t xml:space="preserve"> increased in wisdom and stature, and in favor with God and man.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Now in the fifteenth year of the reign of Tiberius</w:t>
      </w:r>
      <w:r>
        <w:rPr>
          <w:rStyle w:val="FootnoteReference"/>
        </w:rPr>
        <w:footnoteReference w:id="15328"/>
      </w:r>
      <w:r>
        <w:t xml:space="preserve"> Caesar, Pontius Pilate being governor of Judea, and Herod being tetrarch of Galilee, and his brother Philip tetrarch of Ituraea</w:t>
      </w:r>
      <w:r>
        <w:rPr>
          <w:rStyle w:val="FootnoteReference"/>
        </w:rPr>
        <w:footnoteReference w:id="15329"/>
      </w:r>
      <w:r>
        <w:t xml:space="preserve"> and of the region of Trachonitis</w:t>
      </w:r>
      <w:r>
        <w:rPr>
          <w:rStyle w:val="FootnoteReference"/>
        </w:rPr>
        <w:footnoteReference w:id="15330"/>
      </w:r>
      <w:r>
        <w:t xml:space="preserve">, and Lysanias</w:t>
      </w:r>
      <w:r>
        <w:rPr>
          <w:rStyle w:val="FootnoteReference"/>
        </w:rPr>
        <w:footnoteReference w:id="15331"/>
      </w:r>
      <w:r>
        <w:t xml:space="preserve"> the tetrarch of Abilene</w:t>
      </w:r>
      <w:r>
        <w:rPr>
          <w:rStyle w:val="FootnoteReference"/>
        </w:rPr>
        <w:footnoteReference w:id="15332"/>
      </w:r>
      <w:r>
        <w:t xml:space="preserve">,</w:t>
      </w:r>
      <w:r>
        <w:rPr>
          <w:rStyle w:val="FootnoteReference"/>
        </w:rPr>
        <w:footnoteReference w:id="15333"/>
      </w:r>
    </w:p>
    <w:p>
      <w:r>
        <w:rPr>
          <w:b/>
        </w:rPr>
        <w:t xml:space="preserve">2 </w:t>
      </w:r>
      <w:r>
        <w:t xml:space="preserve">Annas</w:t>
      </w:r>
      <w:r>
        <w:rPr>
          <w:rStyle w:val="FootnoteReference"/>
        </w:rPr>
        <w:footnoteReference w:id="15334"/>
      </w:r>
      <w:r>
        <w:t xml:space="preserve"> and Caiaphas being the high priests, the word of God came to John the son of Zacharias in the wilderness.</w:t>
      </w:r>
      <w:r>
        <w:rPr>
          <w:rStyle w:val="FootnoteReference"/>
        </w:rPr>
        <w:footnoteReference w:id="15335"/>
      </w:r>
    </w:p>
    <w:p>
      <w:r>
        <w:rPr>
          <w:b/>
        </w:rPr>
        <w:t xml:space="preserve">3 </w:t>
      </w:r>
      <w:r>
        <w:t xml:space="preserve">And he came into all the country</w:t>
      </w:r>
      <w:r>
        <w:rPr>
          <w:rStyle w:val="FootnoteReference"/>
        </w:rPr>
        <w:footnoteReference w:id="15336"/>
      </w:r>
      <w:r>
        <w:t xml:space="preserve"> about Jordan, preaching the baptism of repentance for the forgiveness of sins;</w:t>
      </w:r>
    </w:p>
    <w:p>
      <w:r>
        <w:rPr>
          <w:b/>
        </w:rPr>
        <w:t xml:space="preserve">4 </w:t>
      </w:r>
      <w:r>
        <w:t xml:space="preserve">As it is written in the book of the words of Isaiah the prophet, saying, The voice</w:t>
      </w:r>
      <w:r>
        <w:rPr>
          <w:rStyle w:val="FootnoteReference"/>
        </w:rPr>
        <w:footnoteReference w:id="15337"/>
      </w:r>
      <w:r>
        <w:t xml:space="preserve"> of one crying in the wilderness, Prepare the way of the Lord, make his paths straight.</w:t>
      </w:r>
    </w:p>
    <w:p>
      <w:r>
        <w:rPr>
          <w:b/>
        </w:rPr>
        <w:t xml:space="preserve">5 </w:t>
      </w:r>
      <w:r>
        <w:t xml:space="preserve">Every valley</w:t>
      </w:r>
      <w:r>
        <w:rPr>
          <w:rStyle w:val="FootnoteReference"/>
        </w:rPr>
        <w:footnoteReference w:id="15338"/>
      </w:r>
      <w:r>
        <w:t xml:space="preserve"> shall be filled, and every mountain and hill shall be brought low; and the crooked shall be made straight, and the rough ways shall be made smooth;</w:t>
      </w:r>
    </w:p>
    <w:p>
      <w:r>
        <w:rPr>
          <w:b/>
        </w:rPr>
        <w:t xml:space="preserve">6 </w:t>
      </w:r>
      <w:r>
        <w:t xml:space="preserve">And all flesh shall see the salvation of God.</w:t>
      </w:r>
    </w:p>
    <w:p>
      <w:r>
        <w:rPr>
          <w:b/>
        </w:rPr>
        <w:t xml:space="preserve">7 </w:t>
      </w:r>
      <w:r>
        <w:t xml:space="preserve">Then he said to the crowd that came forth to be baptized by him, O offspring of vipers, who has warned you to flee</w:t>
      </w:r>
      <w:r>
        <w:rPr>
          <w:rStyle w:val="FootnoteReference"/>
        </w:rPr>
        <w:footnoteReference w:id="15339"/>
      </w:r>
      <w:r>
        <w:t xml:space="preserve"> from the wrath to come?</w:t>
      </w:r>
    </w:p>
    <w:p>
      <w:r>
        <w:rPr>
          <w:b/>
        </w:rPr>
        <w:t xml:space="preserve">8 </w:t>
      </w:r>
      <w:r>
        <w:t xml:space="preserve">Bring forth therefore fruits</w:t>
      </w:r>
      <w:r>
        <w:rPr>
          <w:rStyle w:val="FootnoteReference"/>
        </w:rPr>
        <w:footnoteReference w:id="15340"/>
      </w:r>
      <w:r>
        <w:t xml:space="preserve"> worthy of repentance, and do not begin to say within yourselves, We have Abraham for our father: for I say to you, That God is able from these stones to raise up children to Abraham.</w:t>
      </w:r>
    </w:p>
    <w:p>
      <w:r>
        <w:rPr>
          <w:b/>
        </w:rPr>
        <w:t xml:space="preserve">9 </w:t>
      </w:r>
      <w:r>
        <w:t xml:space="preserve">And now also the axe is laid to the root of the trees: every tree therefore which does not bring forth good fruit is cut down, and cast into the fire.</w:t>
      </w:r>
    </w:p>
    <w:p>
      <w:r>
        <w:rPr>
          <w:b/>
        </w:rPr>
        <w:t xml:space="preserve">10 </w:t>
      </w:r>
      <w:r>
        <w:t xml:space="preserve">And the people asked him, saying, What shall we do then?</w:t>
      </w:r>
    </w:p>
    <w:p>
      <w:r>
        <w:rPr>
          <w:b/>
        </w:rPr>
        <w:t xml:space="preserve">11 </w:t>
      </w:r>
      <w:r>
        <w:t xml:space="preserve">He answers and says to them, the one who has two tunics, let him impart to him who has none; and the one who has food, let him do likewise.</w:t>
      </w:r>
    </w:p>
    <w:p>
      <w:r>
        <w:rPr>
          <w:b/>
        </w:rPr>
        <w:t xml:space="preserve">12 </w:t>
      </w:r>
      <w:r>
        <w:t xml:space="preserve">Then came also tax collectors to be baptized, and said to him, Teacher, what shall we do?</w:t>
      </w:r>
    </w:p>
    <w:p>
      <w:r>
        <w:rPr>
          <w:b/>
        </w:rPr>
        <w:t xml:space="preserve">13 </w:t>
      </w:r>
      <w:r>
        <w:t xml:space="preserve">And he said to them, Collect no more than that which is appointed you.</w:t>
      </w:r>
    </w:p>
    <w:p>
      <w:r>
        <w:rPr>
          <w:b/>
        </w:rPr>
        <w:t xml:space="preserve">14 </w:t>
      </w:r>
      <w:r>
        <w:t xml:space="preserve">And the soldiers</w:t>
      </w:r>
      <w:r>
        <w:rPr>
          <w:rStyle w:val="FootnoteReference"/>
        </w:rPr>
        <w:footnoteReference w:id="15341"/>
      </w:r>
      <w:r>
        <w:t xml:space="preserve"> likewise asked him, saying, And what shall we do? And he said to them, Do violence to no one, neither accuse anyone falsely; and be content with your wages.</w:t>
      </w:r>
    </w:p>
    <w:p>
      <w:r>
        <w:rPr>
          <w:b/>
        </w:rPr>
        <w:t xml:space="preserve">15 </w:t>
      </w:r>
      <w:r>
        <w:t xml:space="preserve">And as the people were in expectation</w:t>
      </w:r>
      <w:r>
        <w:rPr>
          <w:rStyle w:val="FootnoteReference"/>
        </w:rPr>
        <w:footnoteReference w:id="15342"/>
      </w:r>
      <w:r>
        <w:t xml:space="preserve">, and all reasoned in their hearts concerning John, whether he were the Christ, or not;</w:t>
      </w:r>
    </w:p>
    <w:p>
      <w:r>
        <w:rPr>
          <w:b/>
        </w:rPr>
        <w:t xml:space="preserve">16 </w:t>
      </w:r>
      <w:r>
        <w:t xml:space="preserve">John answered, saying to them all, I indeed</w:t>
      </w:r>
      <w:r>
        <w:rPr>
          <w:rStyle w:val="FootnoteReference"/>
        </w:rPr>
        <w:footnoteReference w:id="15343"/>
      </w:r>
      <w:r>
        <w:t xml:space="preserve"> baptize you with water; but one mightier than I comes, the strap of whose sandals I am not worthy to loose: he shall baptize you with the Holy Spirit and with fire:</w:t>
      </w:r>
    </w:p>
    <w:p>
      <w:r>
        <w:rPr>
          <w:b/>
        </w:rPr>
        <w:t xml:space="preserve">17 </w:t>
      </w:r>
      <w:r>
        <w:t xml:space="preserve">Whose winnowing fork</w:t>
      </w:r>
      <w:r>
        <w:rPr>
          <w:rStyle w:val="FootnoteReference"/>
        </w:rPr>
        <w:footnoteReference w:id="15344"/>
      </w:r>
      <w:r>
        <w:t xml:space="preserve"> is in his hand, and he will thoroughly cleanse his threshing floor</w:t>
      </w:r>
      <w:r>
        <w:rPr>
          <w:rStyle w:val="FootnoteReference"/>
        </w:rPr>
        <w:footnoteReference w:id="15345"/>
      </w:r>
      <w:r>
        <w:t xml:space="preserve">, and will</w:t>
      </w:r>
      <w:r>
        <w:rPr>
          <w:rStyle w:val="FootnoteReference"/>
        </w:rPr>
        <w:footnoteReference w:id="15346"/>
      </w:r>
      <w:r>
        <w:t xml:space="preserve"> gather the wheat into his storehouse</w:t>
      </w:r>
      <w:r>
        <w:rPr>
          <w:rStyle w:val="FootnoteReference"/>
        </w:rPr>
        <w:footnoteReference w:id="15347"/>
      </w:r>
      <w:r>
        <w:t xml:space="preserve">; but the chaff he will burn with fire unquenchable.</w:t>
      </w:r>
    </w:p>
    <w:p>
      <w:r>
        <w:rPr>
          <w:b/>
        </w:rPr>
        <w:t xml:space="preserve">18 </w:t>
      </w:r>
      <w:r>
        <w:t xml:space="preserve">And many other things in his exhortation he preached to the people.</w:t>
      </w:r>
    </w:p>
    <w:p>
      <w:r>
        <w:rPr>
          <w:b/>
        </w:rPr>
        <w:t xml:space="preserve">19 </w:t>
      </w:r>
      <w:r>
        <w:t xml:space="preserve">But Herod the tetrarch, being reproved by him for Herodias his brother Philip's wife, and for all the evils which Herod had done,</w:t>
      </w:r>
    </w:p>
    <w:p>
      <w:r>
        <w:rPr>
          <w:b/>
        </w:rPr>
        <w:t xml:space="preserve">20 </w:t>
      </w:r>
      <w:r>
        <w:t xml:space="preserve">Added yet this above all, that he shut John up in prison.</w:t>
      </w:r>
    </w:p>
    <w:p>
      <w:r>
        <w:rPr>
          <w:b/>
        </w:rPr>
        <w:t xml:space="preserve">21 </w:t>
      </w:r>
      <w:r>
        <w:t xml:space="preserve">Now when all the people were baptized, it happened, that Jesus also being baptized, and praying</w:t>
      </w:r>
      <w:r>
        <w:rPr>
          <w:rStyle w:val="FootnoteReference"/>
        </w:rPr>
        <w:footnoteReference w:id="15348"/>
      </w:r>
      <w:r>
        <w:t xml:space="preserve">, heaven was opened,</w:t>
      </w:r>
    </w:p>
    <w:p>
      <w:r>
        <w:rPr>
          <w:b/>
        </w:rPr>
        <w:t xml:space="preserve">22 </w:t>
      </w:r>
      <w:r>
        <w:t xml:space="preserve">And the Holy Spirit descended in a bodily shape like a dove upon him, and a voice came from heaven, which said, You are my beloved Son; in you I am well pleased.</w:t>
      </w:r>
    </w:p>
    <w:p>
      <w:r>
        <w:rPr>
          <w:b/>
        </w:rPr>
        <w:t xml:space="preserve">23 </w:t>
      </w:r>
      <w:r>
        <w:t xml:space="preserve">And Jesus himself began to be about thirty</w:t>
      </w:r>
      <w:r>
        <w:rPr>
          <w:rStyle w:val="FootnoteReference"/>
        </w:rPr>
        <w:footnoteReference w:id="15349"/>
      </w:r>
      <w:r>
        <w:t xml:space="preserve"> years of age, being (as was supposed) the son of Joseph, which was the son of Heli</w:t>
      </w:r>
      <w:r>
        <w:rPr>
          <w:rStyle w:val="FootnoteReference"/>
        </w:rPr>
        <w:footnoteReference w:id="15350"/>
      </w:r>
      <w:r>
        <w:t xml:space="preserve">,</w:t>
      </w:r>
    </w:p>
    <w:p>
      <w:r>
        <w:rPr>
          <w:b/>
        </w:rPr>
        <w:t xml:space="preserve">24 </w:t>
      </w:r>
      <w:r>
        <w:t xml:space="preserve">Which was the son of Matthat</w:t>
      </w:r>
      <w:r>
        <w:rPr>
          <w:rStyle w:val="FootnoteReference"/>
        </w:rPr>
        <w:footnoteReference w:id="15351"/>
      </w:r>
      <w:r>
        <w:t xml:space="preserve">, which was the son of Levi, which was the son of Melchi</w:t>
      </w:r>
      <w:r>
        <w:rPr>
          <w:rStyle w:val="FootnoteReference"/>
        </w:rPr>
        <w:footnoteReference w:id="15352"/>
      </w:r>
      <w:r>
        <w:t xml:space="preserve">, which was the son of Janna</w:t>
      </w:r>
      <w:r>
        <w:rPr>
          <w:rStyle w:val="FootnoteReference"/>
        </w:rPr>
        <w:footnoteReference w:id="15353"/>
      </w:r>
      <w:r>
        <w:t xml:space="preserve">, which was the son of Joseph,</w:t>
      </w:r>
    </w:p>
    <w:p>
      <w:r>
        <w:rPr>
          <w:b/>
        </w:rPr>
        <w:t xml:space="preserve">25 </w:t>
      </w:r>
      <w:r>
        <w:t xml:space="preserve">Which was the son of Mattathias</w:t>
      </w:r>
      <w:r>
        <w:rPr>
          <w:rStyle w:val="FootnoteReference"/>
        </w:rPr>
        <w:footnoteReference w:id="15354"/>
      </w:r>
      <w:r>
        <w:t xml:space="preserve">, which was the son of Amos</w:t>
      </w:r>
      <w:r>
        <w:rPr>
          <w:rStyle w:val="FootnoteReference"/>
        </w:rPr>
        <w:footnoteReference w:id="15355"/>
      </w:r>
      <w:r>
        <w:t xml:space="preserve">, which was the son of Naum</w:t>
      </w:r>
      <w:r>
        <w:rPr>
          <w:rStyle w:val="FootnoteReference"/>
        </w:rPr>
        <w:footnoteReference w:id="15356"/>
      </w:r>
      <w:r>
        <w:t xml:space="preserve">, which was the son of Esli</w:t>
      </w:r>
      <w:r>
        <w:rPr>
          <w:rStyle w:val="FootnoteReference"/>
        </w:rPr>
        <w:footnoteReference w:id="15357"/>
      </w:r>
      <w:r>
        <w:t xml:space="preserve">, which was the son of Nagge</w:t>
      </w:r>
      <w:r>
        <w:rPr>
          <w:rStyle w:val="FootnoteReference"/>
        </w:rPr>
        <w:footnoteReference w:id="15358"/>
      </w:r>
      <w:r>
        <w:t xml:space="preserve">,</w:t>
      </w:r>
    </w:p>
    <w:p>
      <w:r>
        <w:rPr>
          <w:b/>
        </w:rPr>
        <w:t xml:space="preserve">26 </w:t>
      </w:r>
      <w:r>
        <w:t xml:space="preserve">Which was the son of Maath</w:t>
      </w:r>
      <w:r>
        <w:rPr>
          <w:rStyle w:val="FootnoteReference"/>
        </w:rPr>
        <w:footnoteReference w:id="15359"/>
      </w:r>
      <w:r>
        <w:t xml:space="preserve">, which was the son of Mattathias, which was the son of Semei</w:t>
      </w:r>
      <w:r>
        <w:rPr>
          <w:rStyle w:val="FootnoteReference"/>
        </w:rPr>
        <w:footnoteReference w:id="15360"/>
      </w:r>
      <w:r>
        <w:t xml:space="preserve">, which was the son of Joseph, which was the son of Judah,</w:t>
      </w:r>
    </w:p>
    <w:p>
      <w:r>
        <w:rPr>
          <w:b/>
        </w:rPr>
        <w:t xml:space="preserve">27 </w:t>
      </w:r>
      <w:r>
        <w:t xml:space="preserve">Which was the son of Joanna</w:t>
      </w:r>
      <w:r>
        <w:rPr>
          <w:rStyle w:val="FootnoteReference"/>
        </w:rPr>
        <w:footnoteReference w:id="15361"/>
      </w:r>
      <w:r>
        <w:t xml:space="preserve">, which was the son of Rhesa</w:t>
      </w:r>
      <w:r>
        <w:rPr>
          <w:rStyle w:val="FootnoteReference"/>
        </w:rPr>
        <w:footnoteReference w:id="15362"/>
      </w:r>
      <w:r>
        <w:t xml:space="preserve">, which was the son of Zerubbabel, which was the son of Shealtiel, which was the son of Neri</w:t>
      </w:r>
      <w:r>
        <w:rPr>
          <w:rStyle w:val="FootnoteReference"/>
        </w:rPr>
        <w:footnoteReference w:id="15363"/>
      </w:r>
      <w:r>
        <w:t xml:space="preserve">,</w:t>
      </w:r>
    </w:p>
    <w:p>
      <w:r>
        <w:rPr>
          <w:b/>
        </w:rPr>
        <w:t xml:space="preserve">28 </w:t>
      </w:r>
      <w:r>
        <w:t xml:space="preserve">Which was the son of Melchi, which was the son of Addi</w:t>
      </w:r>
      <w:r>
        <w:rPr>
          <w:rStyle w:val="FootnoteReference"/>
        </w:rPr>
        <w:footnoteReference w:id="15364"/>
      </w:r>
      <w:r>
        <w:t xml:space="preserve">, which was the son of Cosam</w:t>
      </w:r>
      <w:r>
        <w:rPr>
          <w:rStyle w:val="FootnoteReference"/>
        </w:rPr>
        <w:footnoteReference w:id="15365"/>
      </w:r>
      <w:r>
        <w:t xml:space="preserve">, which was the son of Elmodam</w:t>
      </w:r>
      <w:r>
        <w:rPr>
          <w:rStyle w:val="FootnoteReference"/>
        </w:rPr>
        <w:footnoteReference w:id="15366"/>
      </w:r>
      <w:r>
        <w:t xml:space="preserve">, which was the son of Er</w:t>
      </w:r>
      <w:r>
        <w:rPr>
          <w:rStyle w:val="FootnoteReference"/>
        </w:rPr>
        <w:footnoteReference w:id="15367"/>
      </w:r>
      <w:r>
        <w:t xml:space="preserve">,</w:t>
      </w:r>
    </w:p>
    <w:p>
      <w:r>
        <w:rPr>
          <w:b/>
        </w:rPr>
        <w:t xml:space="preserve">29 </w:t>
      </w:r>
      <w:r>
        <w:t xml:space="preserve">Which was the son of Jose</w:t>
      </w:r>
      <w:r>
        <w:rPr>
          <w:rStyle w:val="FootnoteReference"/>
        </w:rPr>
        <w:footnoteReference w:id="15368"/>
      </w:r>
      <w:r>
        <w:t xml:space="preserve">, which was the son of Eliezer</w:t>
      </w:r>
      <w:r>
        <w:rPr>
          <w:rStyle w:val="FootnoteReference"/>
        </w:rPr>
        <w:footnoteReference w:id="15369"/>
      </w:r>
      <w:r>
        <w:t xml:space="preserve">, which was the son of Jorim</w:t>
      </w:r>
      <w:r>
        <w:rPr>
          <w:rStyle w:val="FootnoteReference"/>
        </w:rPr>
        <w:footnoteReference w:id="15370"/>
      </w:r>
      <w:r>
        <w:t xml:space="preserve">, which was the son of Matthat, which was the son of Levi,</w:t>
      </w:r>
    </w:p>
    <w:p>
      <w:r>
        <w:rPr>
          <w:b/>
        </w:rPr>
        <w:t xml:space="preserve">30 </w:t>
      </w:r>
      <w:r>
        <w:t xml:space="preserve">Which was the son of Simeon, which was the son of Judah, which was the son of Joseph, which was the son of Jonan</w:t>
      </w:r>
      <w:r>
        <w:rPr>
          <w:rStyle w:val="FootnoteReference"/>
        </w:rPr>
        <w:footnoteReference w:id="15371"/>
      </w:r>
      <w:r>
        <w:t xml:space="preserve">, which was the son of Eliakim,</w:t>
      </w:r>
    </w:p>
    <w:p>
      <w:r>
        <w:rPr>
          <w:b/>
        </w:rPr>
        <w:t xml:space="preserve">31 </w:t>
      </w:r>
      <w:r>
        <w:t xml:space="preserve">Which was the son of Melea</w:t>
      </w:r>
      <w:r>
        <w:rPr>
          <w:rStyle w:val="FootnoteReference"/>
        </w:rPr>
        <w:footnoteReference w:id="15372"/>
      </w:r>
      <w:r>
        <w:t xml:space="preserve">, which was the son of Menan</w:t>
      </w:r>
      <w:r>
        <w:rPr>
          <w:rStyle w:val="FootnoteReference"/>
        </w:rPr>
        <w:footnoteReference w:id="15373"/>
      </w:r>
      <w:r>
        <w:t xml:space="preserve">, which was the son of Mattatha</w:t>
      </w:r>
      <w:r>
        <w:rPr>
          <w:rStyle w:val="FootnoteReference"/>
        </w:rPr>
        <w:footnoteReference w:id="15374"/>
      </w:r>
      <w:r>
        <w:t xml:space="preserve">, which was the son of Nathan</w:t>
      </w:r>
      <w:r>
        <w:rPr>
          <w:rStyle w:val="FootnoteReference"/>
        </w:rPr>
        <w:footnoteReference w:id="15375"/>
      </w:r>
      <w:r>
        <w:t xml:space="preserve">, which was the son of David,</w:t>
      </w:r>
      <w:r>
        <w:rPr>
          <w:rStyle w:val="FootnoteReference"/>
        </w:rPr>
        <w:footnoteReference w:id="15376"/>
      </w:r>
    </w:p>
    <w:p>
      <w:r>
        <w:rPr>
          <w:b/>
        </w:rPr>
        <w:t xml:space="preserve">32 </w:t>
      </w:r>
      <w:r>
        <w:t xml:space="preserve">Which was the son of Jesse</w:t>
      </w:r>
      <w:r>
        <w:rPr>
          <w:rStyle w:val="FootnoteReference"/>
        </w:rPr>
        <w:footnoteReference w:id="15377"/>
      </w:r>
      <w:r>
        <w:t xml:space="preserve">, which was the son of Obed, which was the son of Boaz, which was the son of Salmon, which was the son of Nahshon,</w:t>
      </w:r>
    </w:p>
    <w:p>
      <w:r>
        <w:rPr>
          <w:b/>
        </w:rPr>
        <w:t xml:space="preserve">33 </w:t>
      </w:r>
      <w:r>
        <w:t xml:space="preserve">Which was the son of Amminadab, which was the son of Aram, which was the son of Hezron, which was the son of Perez, which was the son of Judah,</w:t>
      </w:r>
    </w:p>
    <w:p>
      <w:r>
        <w:rPr>
          <w:b/>
        </w:rPr>
        <w:t xml:space="preserve">34 </w:t>
      </w:r>
      <w:r>
        <w:t xml:space="preserve">Which was the son of Jacob, which was the son of Isaac</w:t>
      </w:r>
      <w:r>
        <w:rPr>
          <w:rStyle w:val="FootnoteReference"/>
        </w:rPr>
        <w:footnoteReference w:id="15378"/>
      </w:r>
      <w:r>
        <w:t xml:space="preserve">, which was the son of Abraham, which was the son of Terah</w:t>
      </w:r>
      <w:r>
        <w:rPr>
          <w:rStyle w:val="FootnoteReference"/>
        </w:rPr>
        <w:footnoteReference w:id="15379"/>
      </w:r>
      <w:r>
        <w:t xml:space="preserve">, which was the son of Nahor</w:t>
      </w:r>
      <w:r>
        <w:rPr>
          <w:rStyle w:val="FootnoteReference"/>
        </w:rPr>
        <w:footnoteReference w:id="15380"/>
      </w:r>
      <w:r>
        <w:t xml:space="preserve">,</w:t>
      </w:r>
      <w:r>
        <w:rPr>
          <w:rStyle w:val="FootnoteReference"/>
        </w:rPr>
        <w:footnoteReference w:id="15381"/>
      </w:r>
      <w:r>
        <w:rPr>
          <w:rStyle w:val="FootnoteReference"/>
        </w:rPr>
        <w:footnoteReference w:id="15382"/>
      </w:r>
    </w:p>
    <w:p>
      <w:r>
        <w:rPr>
          <w:b/>
        </w:rPr>
        <w:t xml:space="preserve">35 </w:t>
      </w:r>
      <w:r>
        <w:t xml:space="preserve">Which was the son of Serug</w:t>
      </w:r>
      <w:r>
        <w:rPr>
          <w:rStyle w:val="FootnoteReference"/>
        </w:rPr>
        <w:footnoteReference w:id="15383"/>
      </w:r>
      <w:r>
        <w:t xml:space="preserve">, which was the son of Reu</w:t>
      </w:r>
      <w:r>
        <w:rPr>
          <w:rStyle w:val="FootnoteReference"/>
        </w:rPr>
        <w:footnoteReference w:id="15384"/>
      </w:r>
      <w:r>
        <w:t xml:space="preserve">, which was the son of Peleg</w:t>
      </w:r>
      <w:r>
        <w:rPr>
          <w:rStyle w:val="FootnoteReference"/>
        </w:rPr>
        <w:footnoteReference w:id="15385"/>
      </w:r>
      <w:r>
        <w:t xml:space="preserve">, which was the son of Heber</w:t>
      </w:r>
      <w:r>
        <w:rPr>
          <w:rStyle w:val="FootnoteReference"/>
        </w:rPr>
        <w:footnoteReference w:id="15386"/>
      </w:r>
      <w:r>
        <w:t xml:space="preserve">, which was the son of Shelah</w:t>
      </w:r>
      <w:r>
        <w:rPr>
          <w:rStyle w:val="FootnoteReference"/>
        </w:rPr>
        <w:footnoteReference w:id="15387"/>
      </w:r>
      <w:r>
        <w:t xml:space="preserve">,</w:t>
      </w:r>
      <w:r>
        <w:rPr>
          <w:rStyle w:val="FootnoteReference"/>
        </w:rPr>
        <w:footnoteReference w:id="15388"/>
      </w:r>
    </w:p>
    <w:p>
      <w:r>
        <w:rPr>
          <w:b/>
        </w:rPr>
        <w:t xml:space="preserve">36 </w:t>
      </w:r>
      <w:r>
        <w:t xml:space="preserve">Which was the son of Cainan</w:t>
      </w:r>
      <w:r>
        <w:rPr>
          <w:rStyle w:val="FootnoteReference"/>
        </w:rPr>
        <w:footnoteReference w:id="15389"/>
      </w:r>
      <w:r>
        <w:t xml:space="preserve">, which was the son of Arphaxad</w:t>
      </w:r>
      <w:r>
        <w:rPr>
          <w:rStyle w:val="FootnoteReference"/>
        </w:rPr>
        <w:footnoteReference w:id="15390"/>
      </w:r>
      <w:r>
        <w:t xml:space="preserve">, which was the son of Shem</w:t>
      </w:r>
      <w:r>
        <w:rPr>
          <w:rStyle w:val="FootnoteReference"/>
        </w:rPr>
        <w:footnoteReference w:id="15391"/>
      </w:r>
      <w:r>
        <w:t xml:space="preserve">, which was the son of Noah, which was the son of Lamech</w:t>
      </w:r>
      <w:r>
        <w:rPr>
          <w:rStyle w:val="FootnoteReference"/>
        </w:rPr>
        <w:footnoteReference w:id="15392"/>
      </w:r>
      <w:r>
        <w:t xml:space="preserve">,</w:t>
      </w:r>
      <w:r>
        <w:rPr>
          <w:rStyle w:val="FootnoteReference"/>
        </w:rPr>
        <w:footnoteReference w:id="15393"/>
      </w:r>
    </w:p>
    <w:p>
      <w:r>
        <w:rPr>
          <w:b/>
        </w:rPr>
        <w:t xml:space="preserve">37 </w:t>
      </w:r>
      <w:r>
        <w:t xml:space="preserve">Which was the son of Methuselah</w:t>
      </w:r>
      <w:r>
        <w:rPr>
          <w:rStyle w:val="FootnoteReference"/>
        </w:rPr>
        <w:footnoteReference w:id="15394"/>
      </w:r>
      <w:r>
        <w:t xml:space="preserve">, which was the son of Enoch</w:t>
      </w:r>
      <w:r>
        <w:rPr>
          <w:rStyle w:val="FootnoteReference"/>
        </w:rPr>
        <w:footnoteReference w:id="15395"/>
      </w:r>
      <w:r>
        <w:t xml:space="preserve">, which was the son of Jared</w:t>
      </w:r>
      <w:r>
        <w:rPr>
          <w:rStyle w:val="FootnoteReference"/>
        </w:rPr>
        <w:footnoteReference w:id="15396"/>
      </w:r>
      <w:r>
        <w:t xml:space="preserve">, which was the son of Mahalaleel</w:t>
      </w:r>
      <w:r>
        <w:rPr>
          <w:rStyle w:val="FootnoteReference"/>
        </w:rPr>
        <w:footnoteReference w:id="15397"/>
      </w:r>
      <w:r>
        <w:t xml:space="preserve">, which was the son of Cainan,</w:t>
      </w:r>
    </w:p>
    <w:p>
      <w:r>
        <w:rPr>
          <w:b/>
        </w:rPr>
        <w:t xml:space="preserve">38 </w:t>
      </w:r>
      <w:r>
        <w:t xml:space="preserve">Which was the son of Enos</w:t>
      </w:r>
      <w:r>
        <w:rPr>
          <w:rStyle w:val="FootnoteReference"/>
        </w:rPr>
        <w:footnoteReference w:id="15398"/>
      </w:r>
      <w:r>
        <w:t xml:space="preserve">, which was the son of Seth</w:t>
      </w:r>
      <w:r>
        <w:rPr>
          <w:rStyle w:val="FootnoteReference"/>
        </w:rPr>
        <w:footnoteReference w:id="15399"/>
      </w:r>
      <w:r>
        <w:t xml:space="preserve">, which was the son of Adam</w:t>
      </w:r>
      <w:r>
        <w:rPr>
          <w:rStyle w:val="FootnoteReference"/>
        </w:rPr>
        <w:footnoteReference w:id="15400"/>
      </w:r>
      <w:r>
        <w:t xml:space="preserve">, which was the son of God.</w:t>
      </w:r>
      <w:r>
        <w:rPr>
          <w:rStyle w:val="FootnoteReference"/>
        </w:rPr>
        <w:footnoteReference w:id="15401"/>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Jesus</w:t>
      </w:r>
      <w:r>
        <w:rPr>
          <w:rStyle w:val="FootnoteReference"/>
        </w:rPr>
        <w:footnoteReference w:id="15402"/>
      </w:r>
      <w:r>
        <w:t xml:space="preserve">, being full of the Holy Spirit, returned from Jordan, and was led by the Spirit into the wilderness,</w:t>
      </w:r>
    </w:p>
    <w:p>
      <w:r>
        <w:rPr>
          <w:b/>
        </w:rPr>
        <w:t xml:space="preserve">2 </w:t>
      </w:r>
      <w:r>
        <w:t xml:space="preserve">Being forty</w:t>
      </w:r>
      <w:r>
        <w:rPr>
          <w:rStyle w:val="FootnoteReference"/>
        </w:rPr>
        <w:footnoteReference w:id="15403"/>
      </w:r>
      <w:r>
        <w:t xml:space="preserve"> days tempted of the devil. And in those days he did eat nothing: and when they were ended, he afterward was hungry.</w:t>
      </w:r>
    </w:p>
    <w:p>
      <w:r>
        <w:rPr>
          <w:b/>
        </w:rPr>
        <w:t xml:space="preserve">3 </w:t>
      </w:r>
      <w:r>
        <w:t xml:space="preserve">And the devil said to him, If you are the Son of God, command this stone that it be made bread.</w:t>
      </w:r>
    </w:p>
    <w:p>
      <w:r>
        <w:rPr>
          <w:b/>
        </w:rPr>
        <w:t xml:space="preserve">4 </w:t>
      </w:r>
      <w:r>
        <w:t xml:space="preserve">And Jesus answered him, saying, It is written, That man shall not live by bread alone, but by every word of God.</w:t>
      </w:r>
    </w:p>
    <w:p>
      <w:r>
        <w:rPr>
          <w:b/>
        </w:rPr>
        <w:t xml:space="preserve">5 </w:t>
      </w:r>
      <w:r>
        <w:t xml:space="preserve">And the devil, taking</w:t>
      </w:r>
      <w:r>
        <w:rPr>
          <w:rStyle w:val="FootnoteReference"/>
        </w:rPr>
        <w:footnoteReference w:id="15404"/>
      </w:r>
      <w:r>
        <w:t xml:space="preserve"> him up onto a high mountain, showed to him all the kingdoms of the world in a moment of time.</w:t>
      </w:r>
    </w:p>
    <w:p>
      <w:r>
        <w:rPr>
          <w:b/>
        </w:rPr>
        <w:t xml:space="preserve">6 </w:t>
      </w:r>
      <w:r>
        <w:t xml:space="preserve">And the devil said to him, All this authority will I give you, and the glory of them: for that is delivered to me; and to whomever I will I give it.</w:t>
      </w:r>
    </w:p>
    <w:p>
      <w:r>
        <w:rPr>
          <w:b/>
        </w:rPr>
        <w:t xml:space="preserve">7 </w:t>
      </w:r>
      <w:r>
        <w:t xml:space="preserve">If you therefore will worship before me, all shall be yours.</w:t>
      </w:r>
    </w:p>
    <w:p>
      <w:r>
        <w:rPr>
          <w:b/>
        </w:rPr>
        <w:t xml:space="preserve">8 </w:t>
      </w:r>
      <w:r>
        <w:t xml:space="preserve">And Jesus answered and said to him, Get behind me, Satan: for it is written, You shall worship the Lord your God, and him only</w:t>
      </w:r>
      <w:r>
        <w:rPr>
          <w:rStyle w:val="FootnoteReference"/>
        </w:rPr>
        <w:footnoteReference w:id="15405"/>
      </w:r>
      <w:r>
        <w:t xml:space="preserve"> shall you serve.</w:t>
      </w:r>
    </w:p>
    <w:p>
      <w:r>
        <w:rPr>
          <w:b/>
        </w:rPr>
        <w:t xml:space="preserve">9 </w:t>
      </w:r>
      <w:r>
        <w:t xml:space="preserve">And he brought</w:t>
      </w:r>
      <w:r>
        <w:rPr>
          <w:rStyle w:val="FootnoteReference"/>
        </w:rPr>
        <w:footnoteReference w:id="15406"/>
      </w:r>
      <w:r>
        <w:t xml:space="preserve"> him to Jerusalem, and set him on a pinnacle of the temple, and said to him, If you are the Son of God, cast yourself down from here:</w:t>
      </w:r>
    </w:p>
    <w:p>
      <w:r>
        <w:rPr>
          <w:b/>
        </w:rPr>
        <w:t xml:space="preserve">10 </w:t>
      </w:r>
      <w:r>
        <w:t xml:space="preserve">For it is written, He shall give his angels charge concerning you, to keep you:</w:t>
      </w:r>
    </w:p>
    <w:p>
      <w:r>
        <w:rPr>
          <w:b/>
        </w:rPr>
        <w:t xml:space="preserve">11 </w:t>
      </w:r>
      <w:r>
        <w:t xml:space="preserve">And in their hands they shall bear you up, lest at any time you dash your foot against a stone.</w:t>
      </w:r>
    </w:p>
    <w:p>
      <w:r>
        <w:rPr>
          <w:b/>
        </w:rPr>
        <w:t xml:space="preserve">12 </w:t>
      </w:r>
      <w:r>
        <w:t xml:space="preserve">And Jesus answering said to him, It is said, You shall not test the Lord your God.</w:t>
      </w:r>
    </w:p>
    <w:p>
      <w:r>
        <w:rPr>
          <w:b/>
        </w:rPr>
        <w:t xml:space="preserve">13 </w:t>
      </w:r>
      <w:r>
        <w:t xml:space="preserve">And when the devil had ended every temptation, he departed from him for a season.</w:t>
      </w:r>
    </w:p>
    <w:p>
      <w:r>
        <w:rPr>
          <w:b/>
        </w:rPr>
        <w:t xml:space="preserve">14 </w:t>
      </w:r>
      <w:r>
        <w:t xml:space="preserve">And Jesus returned</w:t>
      </w:r>
      <w:r>
        <w:rPr>
          <w:rStyle w:val="FootnoteReference"/>
        </w:rPr>
        <w:footnoteReference w:id="15407"/>
      </w:r>
      <w:r>
        <w:t xml:space="preserve"> in the power of the Spirit into Galilee: and a report about him went out through all the region around.</w:t>
      </w:r>
    </w:p>
    <w:p>
      <w:r>
        <w:rPr>
          <w:b/>
        </w:rPr>
        <w:t xml:space="preserve">15 </w:t>
      </w:r>
      <w:r>
        <w:t xml:space="preserve">And he taught in their synagogues, being glorified by all.</w:t>
      </w:r>
    </w:p>
    <w:p>
      <w:r>
        <w:rPr>
          <w:b/>
        </w:rPr>
        <w:t xml:space="preserve">16 </w:t>
      </w:r>
      <w:r>
        <w:t xml:space="preserve">And he came to Nazareth, where he had been brought up: and, as his custom was, he went into the synagogue on the Sabbath, and stood</w:t>
      </w:r>
      <w:r>
        <w:rPr>
          <w:rStyle w:val="FootnoteReference"/>
        </w:rPr>
        <w:footnoteReference w:id="15408"/>
      </w:r>
      <w:r>
        <w:t xml:space="preserve"> up in order to read.</w:t>
      </w:r>
    </w:p>
    <w:p>
      <w:r>
        <w:rPr>
          <w:b/>
        </w:rPr>
        <w:t xml:space="preserve">17 </w:t>
      </w:r>
      <w:r>
        <w:t xml:space="preserve">And there was delivered to him the book</w:t>
      </w:r>
      <w:r>
        <w:rPr>
          <w:rStyle w:val="FootnoteReference"/>
        </w:rPr>
        <w:footnoteReference w:id="15409"/>
      </w:r>
      <w:r>
        <w:t xml:space="preserve"> of the prophet Isaiah. And when he had opened the book, he found the place where it was written,</w:t>
      </w:r>
    </w:p>
    <w:p>
      <w:r>
        <w:rPr>
          <w:b/>
        </w:rPr>
        <w:t xml:space="preserve">18 </w:t>
      </w:r>
      <w:r>
        <w:t xml:space="preserve">The Spirit of the Lord is upon me, because he has anointed</w:t>
      </w:r>
      <w:r>
        <w:rPr>
          <w:rStyle w:val="FootnoteReference"/>
        </w:rPr>
        <w:footnoteReference w:id="15410"/>
      </w:r>
      <w:r>
        <w:t xml:space="preserve"> me to preach the good news to the poor; he has sent me to heal the brokenhearted, to preach deliverance to the captives, and recovering of sight to the blind, to set at liberty those who are bruised,</w:t>
      </w:r>
    </w:p>
    <w:p>
      <w:r>
        <w:rPr>
          <w:b/>
        </w:rPr>
        <w:t xml:space="preserve">19 </w:t>
      </w:r>
      <w:r>
        <w:t xml:space="preserve">To preach the acceptable year of the Lord.</w:t>
      </w:r>
    </w:p>
    <w:p>
      <w:r>
        <w:rPr>
          <w:b/>
        </w:rPr>
        <w:t xml:space="preserve">20 </w:t>
      </w:r>
      <w:r>
        <w:t xml:space="preserve">And he closed the book, and he gave it again to the attendant, and sat</w:t>
      </w:r>
      <w:r>
        <w:rPr>
          <w:rStyle w:val="FootnoteReference"/>
        </w:rPr>
        <w:footnoteReference w:id="15411"/>
      </w:r>
      <w:r>
        <w:t xml:space="preserve"> down. And the eyes of all those who were in the synagogue were fixed on him.</w:t>
      </w:r>
    </w:p>
    <w:p>
      <w:r>
        <w:rPr>
          <w:b/>
        </w:rPr>
        <w:t xml:space="preserve">21 </w:t>
      </w:r>
      <w:r>
        <w:t xml:space="preserve">And he began to say to them, Today this scripture is fulfilled in your ears.</w:t>
      </w:r>
    </w:p>
    <w:p>
      <w:r>
        <w:rPr>
          <w:b/>
        </w:rPr>
        <w:t xml:space="preserve">22 </w:t>
      </w:r>
      <w:r>
        <w:t xml:space="preserve">And all bore him witness, and wondered at the gracious</w:t>
      </w:r>
      <w:r>
        <w:rPr>
          <w:rStyle w:val="FootnoteReference"/>
        </w:rPr>
        <w:footnoteReference w:id="15412"/>
      </w:r>
      <w:r>
        <w:t xml:space="preserve"> words which proceeded out of his mouth. And they said, Is this not Joseph's son?</w:t>
      </w:r>
    </w:p>
    <w:p>
      <w:r>
        <w:rPr>
          <w:b/>
        </w:rPr>
        <w:t xml:space="preserve">23 </w:t>
      </w:r>
      <w:r>
        <w:t xml:space="preserve">And he said to them, You will surely say to me this proverb, Physician</w:t>
      </w:r>
      <w:r>
        <w:rPr>
          <w:rStyle w:val="FootnoteReference"/>
        </w:rPr>
        <w:footnoteReference w:id="15413"/>
      </w:r>
      <w:r>
        <w:t xml:space="preserve">, heal yourself: whatever we have heard done in Capernaum, do also here in your country.</w:t>
      </w:r>
    </w:p>
    <w:p>
      <w:r>
        <w:rPr>
          <w:b/>
        </w:rPr>
        <w:t xml:space="preserve">24 </w:t>
      </w:r>
      <w:r>
        <w:t xml:space="preserve">And he said, Amen, I say to you, No prophet is accepted in his own country.</w:t>
      </w:r>
    </w:p>
    <w:p>
      <w:r>
        <w:rPr>
          <w:b/>
        </w:rPr>
        <w:t xml:space="preserve">25 </w:t>
      </w:r>
      <w:r>
        <w:t xml:space="preserve">But I tell you truthfully, many widows were in Israel in the days of Elijah, when the</w:t>
      </w:r>
      <w:r>
        <w:rPr>
          <w:rStyle w:val="FootnoteReference"/>
        </w:rPr>
        <w:footnoteReference w:id="15414"/>
      </w:r>
      <w:r>
        <w:t xml:space="preserve"> heaven was shut up three years and six months, when great famine was throughout all the land;</w:t>
      </w:r>
    </w:p>
    <w:p>
      <w:r>
        <w:rPr>
          <w:b/>
        </w:rPr>
        <w:t xml:space="preserve">26 </w:t>
      </w:r>
      <w:r>
        <w:t xml:space="preserve">But to none of them was Elijah sent, except to Zarephath</w:t>
      </w:r>
      <w:r>
        <w:rPr>
          <w:rStyle w:val="FootnoteReference"/>
        </w:rPr>
        <w:footnoteReference w:id="15415"/>
      </w:r>
      <w:r>
        <w:t xml:space="preserve">, a city of Sidon, to a woman who was a widow.</w:t>
      </w:r>
    </w:p>
    <w:p>
      <w:r>
        <w:rPr>
          <w:b/>
        </w:rPr>
        <w:t xml:space="preserve">27 </w:t>
      </w:r>
      <w:r>
        <w:t xml:space="preserve">And many lepers were in Israel in the time of Elisha</w:t>
      </w:r>
      <w:r>
        <w:rPr>
          <w:rStyle w:val="FootnoteReference"/>
        </w:rPr>
        <w:footnoteReference w:id="15416"/>
      </w:r>
      <w:r>
        <w:t xml:space="preserve"> the prophet; and none of them was cleansed, except Naaman</w:t>
      </w:r>
      <w:r>
        <w:rPr>
          <w:rStyle w:val="FootnoteReference"/>
        </w:rPr>
        <w:footnoteReference w:id="15417"/>
      </w:r>
      <w:r>
        <w:t xml:space="preserve"> the Syrian</w:t>
      </w:r>
      <w:r>
        <w:rPr>
          <w:rStyle w:val="FootnoteReference"/>
        </w:rPr>
        <w:footnoteReference w:id="15418"/>
      </w:r>
      <w:r>
        <w:t xml:space="preserve">.</w:t>
      </w:r>
      <w:r>
        <w:rPr>
          <w:rStyle w:val="FootnoteReference"/>
        </w:rPr>
        <w:footnoteReference w:id="15419"/>
      </w:r>
    </w:p>
    <w:p>
      <w:r>
        <w:rPr>
          <w:b/>
        </w:rPr>
        <w:t xml:space="preserve">28 </w:t>
      </w:r>
      <w:r>
        <w:t xml:space="preserve">And all those in the synagogue, when they heard these things, were filled with wrath,</w:t>
      </w:r>
    </w:p>
    <w:p>
      <w:r>
        <w:rPr>
          <w:b/>
        </w:rPr>
        <w:t xml:space="preserve">29 </w:t>
      </w:r>
      <w:r>
        <w:t xml:space="preserve">And rose up, and thrust</w:t>
      </w:r>
      <w:r>
        <w:rPr>
          <w:rStyle w:val="FootnoteReference"/>
        </w:rPr>
        <w:footnoteReference w:id="15420"/>
      </w:r>
      <w:r>
        <w:t xml:space="preserve"> him out of the city, and led him to the brow of the hill on which their city was built, that they might cast him down headlong.</w:t>
      </w:r>
    </w:p>
    <w:p>
      <w:r>
        <w:rPr>
          <w:b/>
        </w:rPr>
        <w:t xml:space="preserve">30 </w:t>
      </w:r>
      <w:r>
        <w:t xml:space="preserve">But he, passing through the midst of them, went his way,</w:t>
      </w:r>
    </w:p>
    <w:p>
      <w:r>
        <w:rPr>
          <w:b/>
        </w:rPr>
        <w:t xml:space="preserve">31 </w:t>
      </w:r>
      <w:r>
        <w:t xml:space="preserve">And came down to Capernaum, a city of Galilee, and taught</w:t>
      </w:r>
      <w:r>
        <w:rPr>
          <w:rStyle w:val="FootnoteReference"/>
        </w:rPr>
        <w:footnoteReference w:id="15421"/>
      </w:r>
      <w:r>
        <w:t xml:space="preserve"> them on the Sabbath.</w:t>
      </w:r>
    </w:p>
    <w:p>
      <w:r>
        <w:rPr>
          <w:b/>
        </w:rPr>
        <w:t xml:space="preserve">32 </w:t>
      </w:r>
      <w:r>
        <w:t xml:space="preserve">And they were astonished at his teaching: for his word was with authority.</w:t>
      </w:r>
    </w:p>
    <w:p>
      <w:r>
        <w:rPr>
          <w:b/>
        </w:rPr>
        <w:t xml:space="preserve">33 </w:t>
      </w:r>
      <w:r>
        <w:t xml:space="preserve">And in the synagogue there was a man, who had a spirit of an unclean demon, and cried out with a loud voice,</w:t>
      </w:r>
    </w:p>
    <w:p>
      <w:r>
        <w:rPr>
          <w:b/>
        </w:rPr>
        <w:t xml:space="preserve">34 </w:t>
      </w:r>
      <w:r>
        <w:t xml:space="preserve">Saying, Let us alone</w:t>
      </w:r>
      <w:r>
        <w:rPr>
          <w:rStyle w:val="FootnoteReference"/>
        </w:rPr>
        <w:footnoteReference w:id="15422"/>
      </w:r>
      <w:r>
        <w:t xml:space="preserve">; what have we to do with you, Jesus of Nazareth? have you come to destroy us? I know who you are; the Holy One of God.</w:t>
      </w:r>
    </w:p>
    <w:p>
      <w:r>
        <w:rPr>
          <w:b/>
        </w:rPr>
        <w:t xml:space="preserve">35 </w:t>
      </w:r>
      <w:r>
        <w:t xml:space="preserve">And Jesus</w:t>
      </w:r>
      <w:r>
        <w:rPr>
          <w:rStyle w:val="FootnoteReference"/>
        </w:rPr>
        <w:footnoteReference w:id="15423"/>
      </w:r>
      <w:r>
        <w:t xml:space="preserve"> rebuked him, saying, Be silent, and come out of him. And when the demon had thrown him in the midst, he came out of him, and hurt him not.</w:t>
      </w:r>
    </w:p>
    <w:p>
      <w:r>
        <w:rPr>
          <w:b/>
        </w:rPr>
        <w:t xml:space="preserve">36 </w:t>
      </w:r>
      <w:r>
        <w:t xml:space="preserve">And they were</w:t>
      </w:r>
      <w:r>
        <w:rPr>
          <w:rStyle w:val="FootnoteReference"/>
        </w:rPr>
        <w:footnoteReference w:id="15424"/>
      </w:r>
      <w:r>
        <w:t xml:space="preserve"> all amazed, and spoke among themselves, saying, What a word is this! for with authority and power he commands the unclean spirits, and they come out.</w:t>
      </w:r>
    </w:p>
    <w:p>
      <w:r>
        <w:rPr>
          <w:b/>
        </w:rPr>
        <w:t xml:space="preserve">37 </w:t>
      </w:r>
      <w:r>
        <w:t xml:space="preserve">And the report about him went out into every place of the region around.</w:t>
      </w:r>
    </w:p>
    <w:p>
      <w:r>
        <w:rPr>
          <w:b/>
        </w:rPr>
        <w:t xml:space="preserve">38 </w:t>
      </w:r>
      <w:r>
        <w:t xml:space="preserve">And he arose out of the synagogue, and entered into Simon's house. And Simon's mother-in-law was taken with a great fever; and they begged him for her.</w:t>
      </w:r>
    </w:p>
    <w:p>
      <w:r>
        <w:rPr>
          <w:b/>
        </w:rPr>
        <w:t xml:space="preserve">39 </w:t>
      </w:r>
      <w:r>
        <w:t xml:space="preserve">And he stood over her, and rebuked</w:t>
      </w:r>
      <w:r>
        <w:rPr>
          <w:rStyle w:val="FootnoteReference"/>
        </w:rPr>
        <w:footnoteReference w:id="15425"/>
      </w:r>
      <w:r>
        <w:t xml:space="preserve"> the fever; and it left her: and immediately she arose and served them.</w:t>
      </w:r>
    </w:p>
    <w:p>
      <w:r>
        <w:rPr>
          <w:b/>
        </w:rPr>
        <w:t xml:space="preserve">40 </w:t>
      </w:r>
      <w:r>
        <w:t xml:space="preserve">Now when the sun was setting, all those who had any sick with various diseases brought them to him; and he laid his hands on every one of them, and healed them.</w:t>
      </w:r>
    </w:p>
    <w:p>
      <w:r>
        <w:rPr>
          <w:b/>
        </w:rPr>
        <w:t xml:space="preserve">41 </w:t>
      </w:r>
      <w:r>
        <w:t xml:space="preserve">And demons also came out of many, crying</w:t>
      </w:r>
      <w:r>
        <w:rPr>
          <w:rStyle w:val="FootnoteReference"/>
        </w:rPr>
        <w:footnoteReference w:id="15426"/>
      </w:r>
      <w:r>
        <w:t xml:space="preserve"> out, and saying, You are Christ the Son of God. And he rebuking them did not allow them to speak: for they knew that he was Christ.</w:t>
      </w:r>
    </w:p>
    <w:p>
      <w:r>
        <w:rPr>
          <w:b/>
        </w:rPr>
        <w:t xml:space="preserve">42 </w:t>
      </w:r>
      <w:r>
        <w:t xml:space="preserve">And when it was day, he departed and went into a deserted place: and the people sought him, and came to him, and tried to hold him back, that he should not depart from them.</w:t>
      </w:r>
    </w:p>
    <w:p>
      <w:r>
        <w:rPr>
          <w:b/>
        </w:rPr>
        <w:t xml:space="preserve">43 </w:t>
      </w:r>
      <w:r>
        <w:t xml:space="preserve">And he said to them, I must</w:t>
      </w:r>
      <w:r>
        <w:rPr>
          <w:rStyle w:val="FootnoteReference"/>
        </w:rPr>
        <w:footnoteReference w:id="15427"/>
      </w:r>
      <w:r>
        <w:t xml:space="preserve"> preach the kingdom of God to other cities also: for this reason I was sent.</w:t>
      </w:r>
    </w:p>
    <w:p>
      <w:r>
        <w:rPr>
          <w:b/>
        </w:rPr>
        <w:t xml:space="preserve">44 </w:t>
      </w:r>
      <w:r>
        <w:t xml:space="preserve">And he preached in the synagogues of Galilee</w:t>
      </w:r>
      <w:r>
        <w:rPr>
          <w:rStyle w:val="FootnoteReference"/>
        </w:rPr>
        <w:footnoteReference w:id="15428"/>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it happened, that, as the people pressed upon him to hear the word of God, he stood by the lake</w:t>
      </w:r>
      <w:r>
        <w:rPr>
          <w:rStyle w:val="FootnoteReference"/>
        </w:rPr>
        <w:footnoteReference w:id="15429"/>
      </w:r>
      <w:r>
        <w:t xml:space="preserve"> of Gennesaret,</w:t>
      </w:r>
    </w:p>
    <w:p>
      <w:r>
        <w:rPr>
          <w:b/>
        </w:rPr>
        <w:t xml:space="preserve">2 </w:t>
      </w:r>
      <w:r>
        <w:t xml:space="preserve">And saw two boats standing by the lake: but the fishermen were gone out of them, and were washing</w:t>
      </w:r>
      <w:r>
        <w:rPr>
          <w:rStyle w:val="FootnoteReference"/>
        </w:rPr>
        <w:footnoteReference w:id="15430"/>
      </w:r>
      <w:r>
        <w:t xml:space="preserve"> their nets.</w:t>
      </w:r>
    </w:p>
    <w:p>
      <w:r>
        <w:rPr>
          <w:b/>
        </w:rPr>
        <w:t xml:space="preserve">3 </w:t>
      </w:r>
      <w:r>
        <w:t xml:space="preserve">And he entered into one of the boats, which was Simon's, and asked him that he would thrust out a little from the land. And he sat</w:t>
      </w:r>
      <w:r>
        <w:rPr>
          <w:rStyle w:val="FootnoteReference"/>
        </w:rPr>
        <w:footnoteReference w:id="15431"/>
      </w:r>
      <w:r>
        <w:t xml:space="preserve"> down, and taught the people out of the boat.</w:t>
      </w:r>
    </w:p>
    <w:p>
      <w:r>
        <w:rPr>
          <w:b/>
        </w:rPr>
        <w:t xml:space="preserve">4 </w:t>
      </w:r>
      <w:r>
        <w:t xml:space="preserve">Now when he had left speaking, he said to Simon, Launch</w:t>
      </w:r>
      <w:r>
        <w:rPr>
          <w:rStyle w:val="FootnoteReference"/>
        </w:rPr>
        <w:footnoteReference w:id="15432"/>
      </w:r>
      <w:r>
        <w:t xml:space="preserve"> out into the deep, and let down your nets for a catch.</w:t>
      </w:r>
    </w:p>
    <w:p>
      <w:r>
        <w:rPr>
          <w:b/>
        </w:rPr>
        <w:t xml:space="preserve">5 </w:t>
      </w:r>
      <w:r>
        <w:t xml:space="preserve">And Simon answering said to him, Master, we have toiled all night, and have taken nothing: nevertheless</w:t>
      </w:r>
      <w:r>
        <w:rPr>
          <w:rStyle w:val="FootnoteReference"/>
        </w:rPr>
        <w:footnoteReference w:id="15433"/>
      </w:r>
      <w:r>
        <w:t xml:space="preserve"> at your word I will let down the net.</w:t>
      </w:r>
    </w:p>
    <w:p>
      <w:r>
        <w:rPr>
          <w:b/>
        </w:rPr>
        <w:t xml:space="preserve">6 </w:t>
      </w:r>
      <w:r>
        <w:t xml:space="preserve">And when they had this done, they enclosed</w:t>
      </w:r>
      <w:r>
        <w:rPr>
          <w:rStyle w:val="FootnoteReference"/>
        </w:rPr>
        <w:footnoteReference w:id="15434"/>
      </w:r>
      <w:r>
        <w:t xml:space="preserve"> a great multitude of fish: and their net broke.</w:t>
      </w:r>
    </w:p>
    <w:p>
      <w:r>
        <w:rPr>
          <w:b/>
        </w:rPr>
        <w:t xml:space="preserve">7 </w:t>
      </w:r>
      <w:r>
        <w:t xml:space="preserve">And they beckoned to their partners, who were in the other boat, that they should</w:t>
      </w:r>
      <w:r>
        <w:rPr>
          <w:rStyle w:val="FootnoteReference"/>
        </w:rPr>
        <w:footnoteReference w:id="15435"/>
      </w:r>
      <w:r>
        <w:t xml:space="preserve"> come and help them. And they came, and filled both the boats, so that they began to sink.</w:t>
      </w:r>
    </w:p>
    <w:p>
      <w:r>
        <w:rPr>
          <w:b/>
        </w:rPr>
        <w:t xml:space="preserve">8 </w:t>
      </w:r>
      <w:r>
        <w:t xml:space="preserve">When Simon Peter saw it, he fell down at Jesus' knees, saying, Depart</w:t>
      </w:r>
      <w:r>
        <w:rPr>
          <w:rStyle w:val="FootnoteReference"/>
        </w:rPr>
        <w:footnoteReference w:id="15436"/>
      </w:r>
      <w:r>
        <w:t xml:space="preserve"> from me; for I am a sinful man, O Lord.</w:t>
      </w:r>
    </w:p>
    <w:p>
      <w:r>
        <w:rPr>
          <w:b/>
        </w:rPr>
        <w:t xml:space="preserve">9 </w:t>
      </w:r>
      <w:r>
        <w:t xml:space="preserve">For he was astonished, and all that were with him, at the catch of fish which they had taken:</w:t>
      </w:r>
    </w:p>
    <w:p>
      <w:r>
        <w:rPr>
          <w:b/>
        </w:rPr>
        <w:t xml:space="preserve">10 </w:t>
      </w:r>
      <w:r>
        <w:t xml:space="preserve">And so was also James</w:t>
      </w:r>
      <w:r>
        <w:rPr>
          <w:rStyle w:val="FootnoteReference"/>
        </w:rPr>
        <w:footnoteReference w:id="15437"/>
      </w:r>
      <w:r>
        <w:t xml:space="preserve">, and John, the sons of Zebedee, which were partners with Simon. And Jesus said to Simon, do not fear; from now on you shall catch men.</w:t>
      </w:r>
    </w:p>
    <w:p>
      <w:r>
        <w:rPr>
          <w:b/>
        </w:rPr>
        <w:t xml:space="preserve">11 </w:t>
      </w:r>
      <w:r>
        <w:t xml:space="preserve">And when they had brought their boats to land, they left all, and followed him.</w:t>
      </w:r>
    </w:p>
    <w:p>
      <w:r>
        <w:rPr>
          <w:b/>
        </w:rPr>
        <w:t xml:space="preserve">12 </w:t>
      </w:r>
      <w:r>
        <w:t xml:space="preserve">And it happened, when he was in a certain city, look a man</w:t>
      </w:r>
      <w:r>
        <w:rPr>
          <w:rStyle w:val="FootnoteReference"/>
        </w:rPr>
        <w:footnoteReference w:id="15438"/>
      </w:r>
      <w:r>
        <w:t xml:space="preserve"> full of leprosy: who seeing Jesus fell on his face, and begged him, saying, Lord, if you will, you can make me clean.</w:t>
      </w:r>
    </w:p>
    <w:p>
      <w:r>
        <w:rPr>
          <w:b/>
        </w:rPr>
        <w:t xml:space="preserve">13 </w:t>
      </w:r>
      <w:r>
        <w:t xml:space="preserve">And he put forth his hand, and touched him, saying, I will: be clean. And immediately</w:t>
      </w:r>
      <w:r>
        <w:rPr>
          <w:rStyle w:val="FootnoteReference"/>
        </w:rPr>
        <w:footnoteReference w:id="15439"/>
      </w:r>
      <w:r>
        <w:t xml:space="preserve"> the leprosy departed from him.</w:t>
      </w:r>
    </w:p>
    <w:p>
      <w:r>
        <w:rPr>
          <w:b/>
        </w:rPr>
        <w:t xml:space="preserve">14 </w:t>
      </w:r>
      <w:r>
        <w:t xml:space="preserve">And he charged</w:t>
      </w:r>
      <w:r>
        <w:rPr>
          <w:rStyle w:val="FootnoteReference"/>
        </w:rPr>
        <w:footnoteReference w:id="15440"/>
      </w:r>
      <w:r>
        <w:t xml:space="preserve"> him to tell no one: but go, and show yourself to the priest, and offer for your cleansing, as Moses commanded, for a testimony to them.</w:t>
      </w:r>
    </w:p>
    <w:p>
      <w:r>
        <w:rPr>
          <w:b/>
        </w:rPr>
        <w:t xml:space="preserve">15 </w:t>
      </w:r>
      <w:r>
        <w:t xml:space="preserve">But so much the more a report of him went</w:t>
      </w:r>
      <w:r>
        <w:rPr>
          <w:rStyle w:val="FootnoteReference"/>
        </w:rPr>
        <w:footnoteReference w:id="15441"/>
      </w:r>
      <w:r>
        <w:t xml:space="preserve"> out: and great crowds came together to hear, and to be healed by him of their infirmities.</w:t>
      </w:r>
    </w:p>
    <w:p>
      <w:r>
        <w:rPr>
          <w:b/>
        </w:rPr>
        <w:t xml:space="preserve">16 </w:t>
      </w:r>
      <w:r>
        <w:t xml:space="preserve">And he withdrew himself into the wilderness, and prayed.</w:t>
      </w:r>
    </w:p>
    <w:p>
      <w:r>
        <w:rPr>
          <w:b/>
        </w:rPr>
        <w:t xml:space="preserve">17 </w:t>
      </w:r>
      <w:r>
        <w:t xml:space="preserve">And it happened on a certain day, as he was teaching, that there</w:t>
      </w:r>
      <w:r>
        <w:rPr>
          <w:rStyle w:val="FootnoteReference"/>
        </w:rPr>
        <w:footnoteReference w:id="15442"/>
      </w:r>
      <w:r>
        <w:t xml:space="preserve"> were Pharisees and doctors of the law sitting by, who had come out of every town of Galilee, and Judea, and Jerusalem: and the power of the Lord was present to heal them.</w:t>
      </w:r>
    </w:p>
    <w:p>
      <w:r>
        <w:rPr>
          <w:b/>
        </w:rPr>
        <w:t xml:space="preserve">18 </w:t>
      </w:r>
      <w:r>
        <w:t xml:space="preserve">And, look, men brought on a bed a man who was paralyzed: and they sought means to bring him in, and to lay him before him.</w:t>
      </w:r>
    </w:p>
    <w:p>
      <w:r>
        <w:rPr>
          <w:b/>
        </w:rPr>
        <w:t xml:space="preserve">19 </w:t>
      </w:r>
      <w:r>
        <w:t xml:space="preserve">And when they could not find by what way they might bring him in because of the crowd, they went</w:t>
      </w:r>
      <w:r>
        <w:rPr>
          <w:rStyle w:val="FootnoteReference"/>
        </w:rPr>
        <w:footnoteReference w:id="15443"/>
      </w:r>
      <w:r>
        <w:t xml:space="preserve"> upon the housetop, and let him down through the tiles with his couch into the midst before Jesus.</w:t>
      </w:r>
    </w:p>
    <w:p>
      <w:r>
        <w:rPr>
          <w:b/>
        </w:rPr>
        <w:t xml:space="preserve">20 </w:t>
      </w:r>
      <w:r>
        <w:t xml:space="preserve">And when he saw</w:t>
      </w:r>
      <w:r>
        <w:rPr>
          <w:rStyle w:val="FootnoteReference"/>
        </w:rPr>
        <w:footnoteReference w:id="15444"/>
      </w:r>
      <w:r>
        <w:t xml:space="preserve"> their faith, he said to him, Man, your sins are forgiven you.</w:t>
      </w:r>
    </w:p>
    <w:p>
      <w:r>
        <w:rPr>
          <w:b/>
        </w:rPr>
        <w:t xml:space="preserve">21 </w:t>
      </w:r>
      <w:r>
        <w:t xml:space="preserve">And the scribes</w:t>
      </w:r>
      <w:r>
        <w:rPr>
          <w:rStyle w:val="FootnoteReference"/>
        </w:rPr>
        <w:footnoteReference w:id="15445"/>
      </w:r>
      <w:r>
        <w:t xml:space="preserve"> and the Pharisees began to reason, saying, Who is this who speaks blasphemies? Who can forgive sins, but God alone?</w:t>
      </w:r>
    </w:p>
    <w:p>
      <w:r>
        <w:rPr>
          <w:b/>
        </w:rPr>
        <w:t xml:space="preserve">22 </w:t>
      </w:r>
      <w:r>
        <w:t xml:space="preserve">But when Jesus perceived</w:t>
      </w:r>
      <w:r>
        <w:rPr>
          <w:rStyle w:val="FootnoteReference"/>
        </w:rPr>
        <w:footnoteReference w:id="15446"/>
      </w:r>
      <w:r>
        <w:t xml:space="preserve"> their thoughts, he answering said to them, Why do you reason in your hearts?</w:t>
      </w:r>
    </w:p>
    <w:p>
      <w:r>
        <w:rPr>
          <w:b/>
        </w:rPr>
        <w:t xml:space="preserve">23 </w:t>
      </w:r>
      <w:r>
        <w:t xml:space="preserve">Which is easier, to say, Your sins are forgiven you; or to say, Rise up and walk?</w:t>
      </w:r>
    </w:p>
    <w:p>
      <w:r>
        <w:rPr>
          <w:b/>
        </w:rPr>
        <w:t xml:space="preserve">24 </w:t>
      </w:r>
      <w:r>
        <w:t xml:space="preserve">But that you may know that the Son of man has power</w:t>
      </w:r>
      <w:r>
        <w:rPr>
          <w:rStyle w:val="FootnoteReference"/>
        </w:rPr>
        <w:footnoteReference w:id="15447"/>
      </w:r>
      <w:r>
        <w:t xml:space="preserve"> upon earth to forgive sins, (he said to the sick with paralysis,) I say to you, Arise, and take up your couch, and go into your house.</w:t>
      </w:r>
    </w:p>
    <w:p>
      <w:r>
        <w:rPr>
          <w:b/>
        </w:rPr>
        <w:t xml:space="preserve">25 </w:t>
      </w:r>
      <w:r>
        <w:t xml:space="preserve">And immediately</w:t>
      </w:r>
      <w:r>
        <w:rPr>
          <w:rStyle w:val="FootnoteReference"/>
        </w:rPr>
        <w:footnoteReference w:id="15448"/>
      </w:r>
      <w:r>
        <w:t xml:space="preserve"> he rose up before them, and took up that on which he lay, and departed to his own house, glorifying God.</w:t>
      </w:r>
    </w:p>
    <w:p>
      <w:r>
        <w:rPr>
          <w:b/>
        </w:rPr>
        <w:t xml:space="preserve">26 </w:t>
      </w:r>
      <w:r>
        <w:t xml:space="preserve">And they were all amazed, and they glorified God, and were</w:t>
      </w:r>
      <w:r>
        <w:rPr>
          <w:rStyle w:val="FootnoteReference"/>
        </w:rPr>
        <w:footnoteReference w:id="15449"/>
      </w:r>
      <w:r>
        <w:t xml:space="preserve"> filled with fear, saying, We have seen remarkable things today.</w:t>
      </w:r>
    </w:p>
    <w:p>
      <w:r>
        <w:rPr>
          <w:b/>
        </w:rPr>
        <w:t xml:space="preserve">27 </w:t>
      </w:r>
      <w:r>
        <w:t xml:space="preserve">And after these things he went forth, and saw</w:t>
      </w:r>
      <w:r>
        <w:rPr>
          <w:rStyle w:val="FootnoteReference"/>
        </w:rPr>
        <w:footnoteReference w:id="15450"/>
      </w:r>
      <w:r>
        <w:t xml:space="preserve"> a tax collector, named Levi, sitting at the tax booth: and he said to him, Follow me.</w:t>
      </w:r>
    </w:p>
    <w:p>
      <w:r>
        <w:rPr>
          <w:b/>
        </w:rPr>
        <w:t xml:space="preserve">28 </w:t>
      </w:r>
      <w:r>
        <w:t xml:space="preserve">And he left all, rose up, and followed him.</w:t>
      </w:r>
    </w:p>
    <w:p>
      <w:r>
        <w:rPr>
          <w:b/>
        </w:rPr>
        <w:t xml:space="preserve">29 </w:t>
      </w:r>
      <w:r>
        <w:t xml:space="preserve">And Levi made</w:t>
      </w:r>
      <w:r>
        <w:rPr>
          <w:rStyle w:val="FootnoteReference"/>
        </w:rPr>
        <w:footnoteReference w:id="15451"/>
      </w:r>
      <w:r>
        <w:t xml:space="preserve"> him a great feast in his own house: and there was a great company of tax collectors and of others that sat down with them.</w:t>
      </w:r>
    </w:p>
    <w:p>
      <w:r>
        <w:rPr>
          <w:b/>
        </w:rPr>
        <w:t xml:space="preserve">30 </w:t>
      </w:r>
      <w:r>
        <w:t xml:space="preserve">But their scribes and Pharisees murmured against his disciples, saying, Why do you eat and drink with tax collectors and sinners?</w:t>
      </w:r>
    </w:p>
    <w:p>
      <w:r>
        <w:rPr>
          <w:b/>
        </w:rPr>
        <w:t xml:space="preserve">31 </w:t>
      </w:r>
      <w:r>
        <w:t xml:space="preserve">And Jesus answering said to them, Those who are well do not need a physician; but those who are sick.</w:t>
      </w:r>
    </w:p>
    <w:p>
      <w:r>
        <w:rPr>
          <w:b/>
        </w:rPr>
        <w:t xml:space="preserve">32 </w:t>
      </w:r>
      <w:r>
        <w:t xml:space="preserve">I did not come to call the righteous, but sinners to repentance.</w:t>
      </w:r>
    </w:p>
    <w:p>
      <w:r>
        <w:rPr>
          <w:b/>
        </w:rPr>
        <w:t xml:space="preserve">33 </w:t>
      </w:r>
      <w:r>
        <w:t xml:space="preserve">And they said to him, Why do the disciples of John fast often, and make</w:t>
      </w:r>
      <w:r>
        <w:rPr>
          <w:rStyle w:val="FootnoteReference"/>
        </w:rPr>
        <w:footnoteReference w:id="15452"/>
      </w:r>
      <w:r>
        <w:t xml:space="preserve"> prayers, and likewise the disciples of the Pharisees; but yours eat and drink?</w:t>
      </w:r>
    </w:p>
    <w:p>
      <w:r>
        <w:rPr>
          <w:b/>
        </w:rPr>
        <w:t xml:space="preserve">34 </w:t>
      </w:r>
      <w:r>
        <w:t xml:space="preserve">And he said to them, Can you make the children</w:t>
      </w:r>
      <w:r>
        <w:rPr>
          <w:rStyle w:val="FootnoteReference"/>
        </w:rPr>
        <w:footnoteReference w:id="15453"/>
      </w:r>
      <w:r>
        <w:t xml:space="preserve"> of the bride-chamber fast, while the bridegroom is with them?</w:t>
      </w:r>
    </w:p>
    <w:p>
      <w:r>
        <w:rPr>
          <w:b/>
        </w:rPr>
        <w:t xml:space="preserve">35 </w:t>
      </w:r>
      <w:r>
        <w:t xml:space="preserve">But the days will come, when the bridegroom shall be taken away from them, and then shall they fast in those days.</w:t>
      </w:r>
    </w:p>
    <w:p>
      <w:r>
        <w:rPr>
          <w:b/>
        </w:rPr>
        <w:t xml:space="preserve">36 </w:t>
      </w:r>
      <w:r>
        <w:t xml:space="preserve">And he spoke also a parable to them; No one puts a piece of a new garment upon an old; if otherwise, then both the new makes a rent, and the piece that was taken out of the new agrees not with the old.</w:t>
      </w:r>
    </w:p>
    <w:p>
      <w:r>
        <w:rPr>
          <w:b/>
        </w:rPr>
        <w:t xml:space="preserve">37 </w:t>
      </w:r>
      <w:r>
        <w:t xml:space="preserve">And no one puts new wine into old wineskins; else the new wine will burst the wineskins, and be spilled, and the wineskins shall perish.</w:t>
      </w:r>
    </w:p>
    <w:p>
      <w:r>
        <w:rPr>
          <w:b/>
        </w:rPr>
        <w:t xml:space="preserve">38 </w:t>
      </w:r>
      <w:r>
        <w:t xml:space="preserve">But new wine must be put into new wineskins; and both are preserved.</w:t>
      </w:r>
    </w:p>
    <w:p>
      <w:r>
        <w:rPr>
          <w:b/>
        </w:rPr>
        <w:t xml:space="preserve">39 </w:t>
      </w:r>
      <w:r>
        <w:t xml:space="preserve">No one also having drunk old wine immediately desires new: for he says, The old is better.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it happened on the second</w:t>
      </w:r>
      <w:r>
        <w:rPr>
          <w:rStyle w:val="FootnoteReference"/>
        </w:rPr>
        <w:footnoteReference w:id="15454"/>
      </w:r>
      <w:r>
        <w:t xml:space="preserve"> sabbath after the first, that he went through the grain fields; and his disciples plucked the ears of grain, and did eat, rubbing them in their hands.</w:t>
      </w:r>
    </w:p>
    <w:p>
      <w:r>
        <w:rPr>
          <w:b/>
        </w:rPr>
        <w:t xml:space="preserve">2 </w:t>
      </w:r>
      <w:r>
        <w:t xml:space="preserve">And certain of the Pharisees said to them, Why do you do that which is not lawful to do on the Sabbath?</w:t>
      </w:r>
    </w:p>
    <w:p>
      <w:r>
        <w:rPr>
          <w:b/>
        </w:rPr>
        <w:t xml:space="preserve">3 </w:t>
      </w:r>
      <w:r>
        <w:t xml:space="preserve">And Jesus answering them said, Have you not read so much as this, what David did, when himself was hungry, and those who were with him;</w:t>
      </w:r>
    </w:p>
    <w:p>
      <w:r>
        <w:rPr>
          <w:b/>
        </w:rPr>
        <w:t xml:space="preserve">4 </w:t>
      </w:r>
      <w:r>
        <w:t xml:space="preserve">How he went into the house of God, and did take and eat the showbread, and gave also to those who were with him; which it is not lawful to eat but for the priests alone?</w:t>
      </w:r>
    </w:p>
    <w:p>
      <w:r>
        <w:rPr>
          <w:b/>
        </w:rPr>
        <w:t xml:space="preserve">5 </w:t>
      </w:r>
      <w:r>
        <w:t xml:space="preserve">And he said to them, The Son of man is Lord also of the sabbath.</w:t>
      </w:r>
    </w:p>
    <w:p>
      <w:r>
        <w:rPr>
          <w:b/>
        </w:rPr>
        <w:t xml:space="preserve">6 </w:t>
      </w:r>
      <w:r>
        <w:t xml:space="preserve">And it happened also on another sabbath, that he entered into the synagogue and taught: and there was a man whose right hand was withered.</w:t>
      </w:r>
    </w:p>
    <w:p>
      <w:r>
        <w:rPr>
          <w:b/>
        </w:rPr>
        <w:t xml:space="preserve">7 </w:t>
      </w:r>
      <w:r>
        <w:t xml:space="preserve">And the scribes and Pharisees watched</w:t>
      </w:r>
      <w:r>
        <w:rPr>
          <w:rStyle w:val="FootnoteReference"/>
        </w:rPr>
        <w:footnoteReference w:id="15455"/>
      </w:r>
      <w:r>
        <w:t xml:space="preserve"> him, whether he would heal on the Sabbath; that they might find an accusation against him.</w:t>
      </w:r>
    </w:p>
    <w:p>
      <w:r>
        <w:rPr>
          <w:b/>
        </w:rPr>
        <w:t xml:space="preserve">8 </w:t>
      </w:r>
      <w:r>
        <w:t xml:space="preserve">But he knew their thoughts, and said to the man who had the withered hand, Rise</w:t>
      </w:r>
      <w:r>
        <w:rPr>
          <w:rStyle w:val="FootnoteReference"/>
        </w:rPr>
        <w:footnoteReference w:id="15456"/>
      </w:r>
      <w:r>
        <w:t xml:space="preserve"> up, and stand forth in the midst. And he arose and stood forth.</w:t>
      </w:r>
    </w:p>
    <w:p>
      <w:r>
        <w:rPr>
          <w:b/>
        </w:rPr>
        <w:t xml:space="preserve">9 </w:t>
      </w:r>
      <w:r>
        <w:t xml:space="preserve">Then Jesus said to them, I will ask you one thing; Is it</w:t>
      </w:r>
      <w:r>
        <w:rPr>
          <w:rStyle w:val="FootnoteReference"/>
        </w:rPr>
        <w:footnoteReference w:id="15457"/>
      </w:r>
      <w:r>
        <w:t xml:space="preserve"> lawful on the Sabbath to do good, or to do evil? To save life, or to destroy it?</w:t>
      </w:r>
    </w:p>
    <w:p>
      <w:r>
        <w:rPr>
          <w:b/>
        </w:rPr>
        <w:t xml:space="preserve">10 </w:t>
      </w:r>
      <w:r>
        <w:t xml:space="preserve">And looking</w:t>
      </w:r>
      <w:r>
        <w:rPr>
          <w:rStyle w:val="FootnoteReference"/>
        </w:rPr>
        <w:footnoteReference w:id="15458"/>
      </w:r>
      <w:r>
        <w:t xml:space="preserve"> around upon them all, he said to the man, Stretch forth your hand. And he did so: and his hand was restored whole as the other.</w:t>
      </w:r>
    </w:p>
    <w:p>
      <w:r>
        <w:rPr>
          <w:b/>
        </w:rPr>
        <w:t xml:space="preserve">11 </w:t>
      </w:r>
      <w:r>
        <w:t xml:space="preserve">And they were filled with fury; and discussed with one another what they might do to Jesus.</w:t>
      </w:r>
    </w:p>
    <w:p>
      <w:r>
        <w:rPr>
          <w:b/>
        </w:rPr>
        <w:t xml:space="preserve">12 </w:t>
      </w:r>
      <w:r>
        <w:t xml:space="preserve">And it happened in those days, that he went out onto a mountain to pray, and continued</w:t>
      </w:r>
      <w:r>
        <w:rPr>
          <w:rStyle w:val="FootnoteReference"/>
        </w:rPr>
        <w:footnoteReference w:id="15459"/>
      </w:r>
      <w:r>
        <w:t xml:space="preserve"> all night in prayer to God.</w:t>
      </w:r>
    </w:p>
    <w:p>
      <w:r>
        <w:rPr>
          <w:b/>
        </w:rPr>
        <w:t xml:space="preserve">13 </w:t>
      </w:r>
      <w:r>
        <w:t xml:space="preserve">And when it was day, he called to him his disciples: and of them he chose twelve</w:t>
      </w:r>
      <w:r>
        <w:rPr>
          <w:rStyle w:val="FootnoteReference"/>
        </w:rPr>
        <w:footnoteReference w:id="15460"/>
      </w:r>
      <w:r>
        <w:t xml:space="preserve">, whom also he named apostles;</w:t>
      </w:r>
    </w:p>
    <w:p>
      <w:r>
        <w:rPr>
          <w:b/>
        </w:rPr>
        <w:t xml:space="preserve">14 </w:t>
      </w:r>
      <w:r>
        <w:t xml:space="preserve">Simon</w:t>
      </w:r>
      <w:r>
        <w:rPr>
          <w:rStyle w:val="FootnoteReference"/>
        </w:rPr>
        <w:footnoteReference w:id="15461"/>
      </w:r>
      <w:r>
        <w:t xml:space="preserve">, (whom he also named Peter,) and Andrew his brother, James and John, Philip and Bartholomew,</w:t>
      </w:r>
    </w:p>
    <w:p>
      <w:r>
        <w:rPr>
          <w:b/>
        </w:rPr>
        <w:t xml:space="preserve">15 </w:t>
      </w:r>
      <w:r>
        <w:t xml:space="preserve">Matthew</w:t>
      </w:r>
      <w:r>
        <w:rPr>
          <w:rStyle w:val="FootnoteReference"/>
        </w:rPr>
        <w:footnoteReference w:id="15462"/>
      </w:r>
      <w:r>
        <w:t xml:space="preserve"> and Thomas, James the son of Alphaeus, and Simon called the Zealot</w:t>
      </w:r>
      <w:r>
        <w:rPr>
          <w:rStyle w:val="FootnoteReference"/>
        </w:rPr>
        <w:footnoteReference w:id="15463"/>
      </w:r>
      <w:r>
        <w:t xml:space="preserve">,</w:t>
      </w:r>
      <w:r>
        <w:rPr>
          <w:rStyle w:val="FootnoteReference"/>
        </w:rPr>
        <w:footnoteReference w:id="15464"/>
      </w:r>
    </w:p>
    <w:p>
      <w:r>
        <w:rPr>
          <w:b/>
        </w:rPr>
        <w:t xml:space="preserve">16 </w:t>
      </w:r>
      <w:r>
        <w:t xml:space="preserve">And Judas the</w:t>
      </w:r>
      <w:r>
        <w:rPr>
          <w:rStyle w:val="FootnoteReference"/>
        </w:rPr>
        <w:footnoteReference w:id="15465"/>
      </w:r>
      <w:r>
        <w:t xml:space="preserve"> brother of James, and Judas Iscariot, which also was the traitor.</w:t>
      </w:r>
      <w:r>
        <w:rPr>
          <w:rStyle w:val="FootnoteReference"/>
        </w:rPr>
        <w:footnoteReference w:id="15466"/>
      </w:r>
    </w:p>
    <w:p>
      <w:r>
        <w:rPr>
          <w:b/>
        </w:rPr>
        <w:t xml:space="preserve">17 </w:t>
      </w:r>
      <w:r>
        <w:t xml:space="preserve">And he came down with them, and stood in the plain, and the company of his disciples, and a</w:t>
      </w:r>
      <w:r>
        <w:rPr>
          <w:rStyle w:val="FootnoteReference"/>
        </w:rPr>
        <w:footnoteReference w:id="15467"/>
      </w:r>
      <w:r>
        <w:t xml:space="preserve"> great crowd of people out of all Judea and Jerusalem, and from the seashore of Tyre and Sidon, which came to hear him, and to be healed of their diseases;</w:t>
      </w:r>
    </w:p>
    <w:p>
      <w:r>
        <w:rPr>
          <w:b/>
        </w:rPr>
        <w:t xml:space="preserve">18 </w:t>
      </w:r>
      <w:r>
        <w:t xml:space="preserve">And those who were troubled with unclean spirits: and they were healed.</w:t>
      </w:r>
    </w:p>
    <w:p>
      <w:r>
        <w:rPr>
          <w:b/>
        </w:rPr>
        <w:t xml:space="preserve">19 </w:t>
      </w:r>
      <w:r>
        <w:t xml:space="preserve">And the whole crowd sought</w:t>
      </w:r>
      <w:r>
        <w:rPr>
          <w:rStyle w:val="FootnoteReference"/>
        </w:rPr>
        <w:footnoteReference w:id="15468"/>
      </w:r>
      <w:r>
        <w:t xml:space="preserve"> to touch him: for power went out of him, and healed them all.</w:t>
      </w:r>
    </w:p>
    <w:p>
      <w:r>
        <w:rPr>
          <w:b/>
        </w:rPr>
        <w:t xml:space="preserve">20 </w:t>
      </w:r>
      <w:r>
        <w:t xml:space="preserve">And he lifted</w:t>
      </w:r>
      <w:r>
        <w:rPr>
          <w:rStyle w:val="FootnoteReference"/>
        </w:rPr>
        <w:footnoteReference w:id="15469"/>
      </w:r>
      <w:r>
        <w:t xml:space="preserve"> up his eyes on his disciples, and said, Blessed are you poor: for yours is the kingdom of God.</w:t>
      </w:r>
    </w:p>
    <w:p>
      <w:r>
        <w:rPr>
          <w:b/>
        </w:rPr>
        <w:t xml:space="preserve">21 </w:t>
      </w:r>
      <w:r>
        <w:t xml:space="preserve">Blessed are you that hunger now: for you shall be filled. Blessed are you that weep now: for you shall laugh.</w:t>
      </w:r>
    </w:p>
    <w:p>
      <w:r>
        <w:rPr>
          <w:b/>
        </w:rPr>
        <w:t xml:space="preserve">22 </w:t>
      </w:r>
      <w:r>
        <w:t xml:space="preserve">Blessed are you, when people shall hate you, and when they shall separate</w:t>
      </w:r>
      <w:r>
        <w:rPr>
          <w:rStyle w:val="FootnoteReference"/>
        </w:rPr>
        <w:footnoteReference w:id="15470"/>
      </w:r>
      <w:r>
        <w:t xml:space="preserve"> you from their company, and shall reproach you, and cast out your name as evil, for the Son of man's sake.</w:t>
      </w:r>
    </w:p>
    <w:p>
      <w:r>
        <w:rPr>
          <w:b/>
        </w:rPr>
        <w:t xml:space="preserve">23 </w:t>
      </w:r>
      <w:r>
        <w:t xml:space="preserve">Rejoice</w:t>
      </w:r>
      <w:r>
        <w:rPr>
          <w:rStyle w:val="FootnoteReference"/>
        </w:rPr>
        <w:footnoteReference w:id="15471"/>
      </w:r>
      <w:r>
        <w:t xml:space="preserve"> in that day, and leap for joy: for, look, your reward is great in heaven: for in like manner did their fathers to the prophets.</w:t>
      </w:r>
    </w:p>
    <w:p>
      <w:r>
        <w:rPr>
          <w:b/>
        </w:rPr>
        <w:t xml:space="preserve">24 </w:t>
      </w:r>
      <w:r>
        <w:t xml:space="preserve">But woe to you that are rich! for you have received your consolation.</w:t>
      </w:r>
    </w:p>
    <w:p>
      <w:r>
        <w:rPr>
          <w:b/>
        </w:rPr>
        <w:t xml:space="preserve">25 </w:t>
      </w:r>
      <w:r>
        <w:t xml:space="preserve">Woe to you that are full</w:t>
      </w:r>
      <w:r>
        <w:rPr>
          <w:rStyle w:val="FootnoteReference"/>
        </w:rPr>
        <w:footnoteReference w:id="15472"/>
      </w:r>
      <w:r>
        <w:t xml:space="preserve">! for you shall hunger. Woe to you that laugh now! for you shall mourn and weep.</w:t>
      </w:r>
    </w:p>
    <w:p>
      <w:r>
        <w:rPr>
          <w:b/>
        </w:rPr>
        <w:t xml:space="preserve">26 </w:t>
      </w:r>
      <w:r>
        <w:t xml:space="preserve">Woe to you, when all people shall speak well of you! for so did their fathers to the false prophets.</w:t>
      </w:r>
    </w:p>
    <w:p>
      <w:r>
        <w:rPr>
          <w:b/>
        </w:rPr>
        <w:t xml:space="preserve">27 </w:t>
      </w:r>
      <w:r>
        <w:t xml:space="preserve">But I say to you who hear, Love</w:t>
      </w:r>
      <w:r>
        <w:rPr>
          <w:rStyle w:val="FootnoteReference"/>
        </w:rPr>
        <w:footnoteReference w:id="15473"/>
      </w:r>
      <w:r>
        <w:t xml:space="preserve"> your enemies, do good to those who hate you,</w:t>
      </w:r>
    </w:p>
    <w:p>
      <w:r>
        <w:rPr>
          <w:b/>
        </w:rPr>
        <w:t xml:space="preserve">28 </w:t>
      </w:r>
      <w:r>
        <w:t xml:space="preserve">Bless</w:t>
      </w:r>
      <w:r>
        <w:rPr>
          <w:rStyle w:val="FootnoteReference"/>
        </w:rPr>
        <w:footnoteReference w:id="15474"/>
      </w:r>
      <w:r>
        <w:t xml:space="preserve"> those who curse you, and pray for those who despitefully use you.</w:t>
      </w:r>
    </w:p>
    <w:p>
      <w:r>
        <w:rPr>
          <w:b/>
        </w:rPr>
        <w:t xml:space="preserve">29 </w:t>
      </w:r>
      <w:r>
        <w:t xml:space="preserve">And to him who strikes you on the one cheek offer also the other; and him</w:t>
      </w:r>
      <w:r>
        <w:rPr>
          <w:rStyle w:val="FootnoteReference"/>
        </w:rPr>
        <w:footnoteReference w:id="15475"/>
      </w:r>
      <w:r>
        <w:t xml:space="preserve"> who takes away your cloak forbid not to take your tunic also.</w:t>
      </w:r>
    </w:p>
    <w:p>
      <w:r>
        <w:rPr>
          <w:b/>
        </w:rPr>
        <w:t xml:space="preserve">30 </w:t>
      </w:r>
      <w:r>
        <w:t xml:space="preserve">Give</w:t>
      </w:r>
      <w:r>
        <w:rPr>
          <w:rStyle w:val="FootnoteReference"/>
        </w:rPr>
        <w:footnoteReference w:id="15476"/>
      </w:r>
      <w:r>
        <w:t xml:space="preserve"> to everyone who asks of you; and of him who takes away your goods do not ask them back.</w:t>
      </w:r>
    </w:p>
    <w:p>
      <w:r>
        <w:rPr>
          <w:b/>
        </w:rPr>
        <w:t xml:space="preserve">31 </w:t>
      </w:r>
      <w:r>
        <w:t xml:space="preserve">And as you would that men should do to you, do you also to them likewise.</w:t>
      </w:r>
    </w:p>
    <w:p>
      <w:r>
        <w:rPr>
          <w:b/>
        </w:rPr>
        <w:t xml:space="preserve">32 </w:t>
      </w:r>
      <w:r>
        <w:t xml:space="preserve">For if you love those who love you, what credit have you? for sinners also love those who love them.</w:t>
      </w:r>
    </w:p>
    <w:p>
      <w:r>
        <w:rPr>
          <w:b/>
        </w:rPr>
        <w:t xml:space="preserve">33 </w:t>
      </w:r>
      <w:r>
        <w:t xml:space="preserve">And if you do good to those who do good to you, what credit have you? for sinners also do the same.</w:t>
      </w:r>
    </w:p>
    <w:p>
      <w:r>
        <w:rPr>
          <w:b/>
        </w:rPr>
        <w:t xml:space="preserve">34 </w:t>
      </w:r>
      <w:r>
        <w:t xml:space="preserve">And if you lend to those from whom you hope to receive, what credit have you? for sinners also lend to sinners, to receive as much again.</w:t>
      </w:r>
    </w:p>
    <w:p>
      <w:r>
        <w:rPr>
          <w:b/>
        </w:rPr>
        <w:t xml:space="preserve">35 </w:t>
      </w:r>
      <w:r>
        <w:t xml:space="preserve">But love</w:t>
      </w:r>
      <w:r>
        <w:rPr>
          <w:rStyle w:val="FootnoteReference"/>
        </w:rPr>
        <w:footnoteReference w:id="15477"/>
      </w:r>
      <w:r>
        <w:t xml:space="preserve"> your enemies, and do good, and lend, hoping for nothing again; and your reward shall be great, and you shall be the children of the Most High: for he is kind to the unthankful and to the evil.</w:t>
      </w:r>
    </w:p>
    <w:p>
      <w:r>
        <w:rPr>
          <w:b/>
        </w:rPr>
        <w:t xml:space="preserve">36 </w:t>
      </w:r>
      <w:r>
        <w:t xml:space="preserve">Be therefore merciful, as your Father also is merciful.</w:t>
      </w:r>
    </w:p>
    <w:p>
      <w:r>
        <w:rPr>
          <w:b/>
        </w:rPr>
        <w:t xml:space="preserve">37 </w:t>
      </w:r>
      <w:r>
        <w:t xml:space="preserve">Do not judge</w:t>
      </w:r>
      <w:r>
        <w:rPr>
          <w:rStyle w:val="FootnoteReference"/>
        </w:rPr>
        <w:footnoteReference w:id="15478"/>
      </w:r>
      <w:r>
        <w:t xml:space="preserve">, and you shall not be judged: do not condemn, and you shall not be condemned: forgive, and you shall be forgiven:</w:t>
      </w:r>
    </w:p>
    <w:p>
      <w:r>
        <w:rPr>
          <w:b/>
        </w:rPr>
        <w:t xml:space="preserve">38 </w:t>
      </w:r>
      <w:r>
        <w:t xml:space="preserve">Give, and it</w:t>
      </w:r>
      <w:r>
        <w:rPr>
          <w:rStyle w:val="FootnoteReference"/>
        </w:rPr>
        <w:footnoteReference w:id="15479"/>
      </w:r>
      <w:r>
        <w:t xml:space="preserve"> shall be given to you; good measure, pressed down, and shaken together, and running over, shall they give into your bosom. For with the same measure that you measure, it shall be measured to you again.</w:t>
      </w:r>
    </w:p>
    <w:p>
      <w:r>
        <w:rPr>
          <w:b/>
        </w:rPr>
        <w:t xml:space="preserve">39 </w:t>
      </w:r>
      <w:r>
        <w:t xml:space="preserve">And he spoke a parable to them, Can the blind lead the blind? shall they not both fall into the pit?</w:t>
      </w:r>
    </w:p>
    <w:p>
      <w:r>
        <w:rPr>
          <w:b/>
        </w:rPr>
        <w:t xml:space="preserve">40 </w:t>
      </w:r>
      <w:r>
        <w:t xml:space="preserve">The disciple</w:t>
      </w:r>
      <w:r>
        <w:rPr>
          <w:rStyle w:val="FootnoteReference"/>
        </w:rPr>
        <w:footnoteReference w:id="15480"/>
      </w:r>
      <w:r>
        <w:t xml:space="preserve"> is not above his teacher: but every one who is perfected shall be as his teacher.</w:t>
      </w:r>
    </w:p>
    <w:p>
      <w:r>
        <w:rPr>
          <w:b/>
        </w:rPr>
        <w:t xml:space="preserve">41 </w:t>
      </w:r>
      <w:r>
        <w:t xml:space="preserve">And why do you look at the splinter that is in your brother's eye, but do not perceive the beam that is in your own eye?</w:t>
      </w:r>
    </w:p>
    <w:p>
      <w:r>
        <w:rPr>
          <w:b/>
        </w:rPr>
        <w:t xml:space="preserve">42 </w:t>
      </w:r>
      <w:r>
        <w:t xml:space="preserve">Or how can you say to your brother, Brother, let me pull out the splinter that is in your eye, when you yourself do not see the beam that is in your own eye? You hypocrite</w:t>
      </w:r>
      <w:r>
        <w:rPr>
          <w:rStyle w:val="FootnoteReference"/>
        </w:rPr>
        <w:footnoteReference w:id="15481"/>
      </w:r>
      <w:r>
        <w:t xml:space="preserve">, cast out first the beam out of your own eye, and then shall you see clearly to pull out the splinter that is in your brother's eye.</w:t>
      </w:r>
    </w:p>
    <w:p>
      <w:r>
        <w:rPr>
          <w:b/>
        </w:rPr>
        <w:t xml:space="preserve">43 </w:t>
      </w:r>
      <w:r>
        <w:t xml:space="preserve">For a good tree does not bring forth corrupt fruit; neither does a corrupt tree bear good fruit.</w:t>
      </w:r>
    </w:p>
    <w:p>
      <w:r>
        <w:rPr>
          <w:b/>
        </w:rPr>
        <w:t xml:space="preserve">44 </w:t>
      </w:r>
      <w:r>
        <w:t xml:space="preserve">For every tree is known by its own fruit. For from thorns people do not gather figs, nor from a bramble bush do they gather grapes.</w:t>
      </w:r>
    </w:p>
    <w:p>
      <w:r>
        <w:rPr>
          <w:b/>
        </w:rPr>
        <w:t xml:space="preserve">45 </w:t>
      </w:r>
      <w:r>
        <w:t xml:space="preserve">A good man</w:t>
      </w:r>
      <w:r>
        <w:rPr>
          <w:rStyle w:val="FootnoteReference"/>
        </w:rPr>
        <w:footnoteReference w:id="15482"/>
      </w:r>
      <w:r>
        <w:t xml:space="preserve"> out of the good treasure of his heart produces that which is good; and an evil man out of the evil treasure of his heart produces that which is evil: for out of the abundance of the heart his mouth speaks.</w:t>
      </w:r>
    </w:p>
    <w:p>
      <w:r>
        <w:rPr>
          <w:b/>
        </w:rPr>
        <w:t xml:space="preserve">46 </w:t>
      </w:r>
      <w:r>
        <w:t xml:space="preserve">And why do you call me, Lord, Lord, and do not the things which I say?</w:t>
      </w:r>
    </w:p>
    <w:p>
      <w:r>
        <w:rPr>
          <w:b/>
        </w:rPr>
        <w:t xml:space="preserve">47 </w:t>
      </w:r>
      <w:r>
        <w:t xml:space="preserve">Whoever comes to me, and hears my sayings, and does them, I will show you to whom he is like:</w:t>
      </w:r>
    </w:p>
    <w:p>
      <w:r>
        <w:rPr>
          <w:b/>
        </w:rPr>
        <w:t xml:space="preserve">48 </w:t>
      </w:r>
      <w:r>
        <w:t xml:space="preserve">He is like a man who built a house, and dug deep, and laid</w:t>
      </w:r>
      <w:r>
        <w:rPr>
          <w:rStyle w:val="FootnoteReference"/>
        </w:rPr>
        <w:footnoteReference w:id="15483"/>
      </w:r>
      <w:r>
        <w:t xml:space="preserve"> the foundation on a rock: and when the flood arose, the stream beat violently upon that house, and could not shake it: for it was founded upon a rock.</w:t>
      </w:r>
    </w:p>
    <w:p>
      <w:r>
        <w:rPr>
          <w:b/>
        </w:rPr>
        <w:t xml:space="preserve">49 </w:t>
      </w:r>
      <w:r>
        <w:t xml:space="preserve">But the one who hears, and does not, is like a man that without a foundation built a house upon the earth; against</w:t>
      </w:r>
      <w:r>
        <w:rPr>
          <w:rStyle w:val="FootnoteReference"/>
        </w:rPr>
        <w:footnoteReference w:id="15484"/>
      </w:r>
      <w:r>
        <w:t xml:space="preserve"> which the stream beat violently, and immediately it fell; and the ruin of that house was great.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Now when he had ended all his sayings in the hearing of the people, he entered</w:t>
      </w:r>
      <w:r>
        <w:rPr>
          <w:rStyle w:val="FootnoteReference"/>
        </w:rPr>
        <w:footnoteReference w:id="15485"/>
      </w:r>
      <w:r>
        <w:t xml:space="preserve"> into Capernaum.</w:t>
      </w:r>
    </w:p>
    <w:p>
      <w:r>
        <w:rPr>
          <w:b/>
        </w:rPr>
        <w:t xml:space="preserve">2 </w:t>
      </w:r>
      <w:r>
        <w:t xml:space="preserve">And a certain centurion's</w:t>
      </w:r>
      <w:r>
        <w:rPr>
          <w:rStyle w:val="FootnoteReference"/>
        </w:rPr>
        <w:footnoteReference w:id="15486"/>
      </w:r>
      <w:r>
        <w:t xml:space="preserve"> slave, who was dear to him, was sick, and ready to die.</w:t>
      </w:r>
    </w:p>
    <w:p>
      <w:r>
        <w:rPr>
          <w:b/>
        </w:rPr>
        <w:t xml:space="preserve">3 </w:t>
      </w:r>
      <w:r>
        <w:t xml:space="preserve">And when he heard of Jesus, he sent to him the elders of the Jews, begging him who he would come and heal his slave.</w:t>
      </w:r>
    </w:p>
    <w:p>
      <w:r>
        <w:rPr>
          <w:b/>
        </w:rPr>
        <w:t xml:space="preserve">4 </w:t>
      </w:r>
      <w:r>
        <w:t xml:space="preserve">And when they came to Jesus, they begged him earnestly, saying, That he was worthy</w:t>
      </w:r>
      <w:r>
        <w:rPr>
          <w:rStyle w:val="FootnoteReference"/>
        </w:rPr>
        <w:footnoteReference w:id="15487"/>
      </w:r>
      <w:r>
        <w:t xml:space="preserve"> for whom he should do this:</w:t>
      </w:r>
    </w:p>
    <w:p>
      <w:r>
        <w:rPr>
          <w:b/>
        </w:rPr>
        <w:t xml:space="preserve">5 </w:t>
      </w:r>
      <w:r>
        <w:t xml:space="preserve">For he loves our nation, and he has built us a synagogue.</w:t>
      </w:r>
    </w:p>
    <w:p>
      <w:r>
        <w:rPr>
          <w:b/>
        </w:rPr>
        <w:t xml:space="preserve">6 </w:t>
      </w:r>
      <w:r>
        <w:t xml:space="preserve">Then Jesus</w:t>
      </w:r>
      <w:r>
        <w:rPr>
          <w:rStyle w:val="FootnoteReference"/>
        </w:rPr>
        <w:footnoteReference w:id="15488"/>
      </w:r>
      <w:r>
        <w:t xml:space="preserve"> went with them. And when he was now not far from the house, the centurion sent friends to him, saying to him, Lord, do not trouble yourself: for I am not worthy that you should enter under my roof:</w:t>
      </w:r>
    </w:p>
    <w:p>
      <w:r>
        <w:rPr>
          <w:b/>
        </w:rPr>
        <w:t xml:space="preserve">7 </w:t>
      </w:r>
      <w:r>
        <w:t xml:space="preserve">Therefore neither did I think myself worthy to come to you: but say in a word, and my servant shall be healed.</w:t>
      </w:r>
    </w:p>
    <w:p>
      <w:r>
        <w:rPr>
          <w:b/>
        </w:rPr>
        <w:t xml:space="preserve">8 </w:t>
      </w:r>
      <w:r>
        <w:t xml:space="preserve">For I also am a man set under</w:t>
      </w:r>
      <w:r>
        <w:rPr>
          <w:rStyle w:val="FootnoteReference"/>
        </w:rPr>
        <w:footnoteReference w:id="15489"/>
      </w:r>
      <w:r>
        <w:t xml:space="preserve"> authority, having under me soldiers, and I say to one, Go, and he goes; and to another, Come, and he comes; and to my slave, Do this, and he does it.</w:t>
      </w:r>
    </w:p>
    <w:p>
      <w:r>
        <w:rPr>
          <w:b/>
        </w:rPr>
        <w:t xml:space="preserve">9 </w:t>
      </w:r>
      <w:r>
        <w:t xml:space="preserve">When Jesus heard these things, he marveled at him, and turned him about, and said to the people that followed him, I say to you, I have not found so great faith, no, not in</w:t>
      </w:r>
      <w:r>
        <w:rPr>
          <w:rStyle w:val="FootnoteReference"/>
        </w:rPr>
        <w:footnoteReference w:id="15490"/>
      </w:r>
      <w:r>
        <w:t xml:space="preserve"> Israel.</w:t>
      </w:r>
    </w:p>
    <w:p>
      <w:r>
        <w:rPr>
          <w:b/>
        </w:rPr>
        <w:t xml:space="preserve">10 </w:t>
      </w:r>
      <w:r>
        <w:t xml:space="preserve">And those who were sent, returning to the house, found the slave whole that had been sick.</w:t>
      </w:r>
    </w:p>
    <w:p>
      <w:r>
        <w:rPr>
          <w:b/>
        </w:rPr>
        <w:t xml:space="preserve">11 </w:t>
      </w:r>
      <w:r>
        <w:t xml:space="preserve">And it happened the day after, that he went into a city called Nain</w:t>
      </w:r>
      <w:r>
        <w:rPr>
          <w:rStyle w:val="FootnoteReference"/>
        </w:rPr>
        <w:footnoteReference w:id="15491"/>
      </w:r>
      <w:r>
        <w:t xml:space="preserve">; and many of his disciples went with him, and a great crowd.</w:t>
      </w:r>
    </w:p>
    <w:p>
      <w:r>
        <w:rPr>
          <w:b/>
        </w:rPr>
        <w:t xml:space="preserve">12 </w:t>
      </w:r>
      <w:r>
        <w:t xml:space="preserve">Now when he came near to the gate of the city, look, there was a dead man carried out, the only</w:t>
      </w:r>
      <w:r>
        <w:rPr>
          <w:rStyle w:val="FootnoteReference"/>
        </w:rPr>
        <w:footnoteReference w:id="15492"/>
      </w:r>
      <w:r>
        <w:t xml:space="preserve"> son of his mother, and she was a widow: and a great crowd of the city was with her.</w:t>
      </w:r>
    </w:p>
    <w:p>
      <w:r>
        <w:rPr>
          <w:b/>
        </w:rPr>
        <w:t xml:space="preserve">13 </w:t>
      </w:r>
      <w:r>
        <w:t xml:space="preserve">And when the Lord saw her, he had compassion on her, and said to her, Do not weep.</w:t>
      </w:r>
    </w:p>
    <w:p>
      <w:r>
        <w:rPr>
          <w:b/>
        </w:rPr>
        <w:t xml:space="preserve">14 </w:t>
      </w:r>
      <w:r>
        <w:t xml:space="preserve">And he came and touched the bier: and those who bore him stood still. And he said, Young</w:t>
      </w:r>
      <w:r>
        <w:rPr>
          <w:rStyle w:val="FootnoteReference"/>
        </w:rPr>
        <w:footnoteReference w:id="15493"/>
      </w:r>
      <w:r>
        <w:t xml:space="preserve"> man, I say to you, Rise.</w:t>
      </w:r>
    </w:p>
    <w:p>
      <w:r>
        <w:rPr>
          <w:b/>
        </w:rPr>
        <w:t xml:space="preserve">15 </w:t>
      </w:r>
      <w:r>
        <w:t xml:space="preserve">And the one who was dead sat up, and began to speak. And he delivered him to his mother.</w:t>
      </w:r>
    </w:p>
    <w:p>
      <w:r>
        <w:rPr>
          <w:b/>
        </w:rPr>
        <w:t xml:space="preserve">16 </w:t>
      </w:r>
      <w:r>
        <w:t xml:space="preserve">And fear came on all: and they glorified God, saying, A great</w:t>
      </w:r>
      <w:r>
        <w:rPr>
          <w:rStyle w:val="FootnoteReference"/>
        </w:rPr>
        <w:footnoteReference w:id="15494"/>
      </w:r>
      <w:r>
        <w:t xml:space="preserve"> prophet has risen up among us; and, God has visited his people.</w:t>
      </w:r>
    </w:p>
    <w:p>
      <w:r>
        <w:rPr>
          <w:b/>
        </w:rPr>
        <w:t xml:space="preserve">17 </w:t>
      </w:r>
      <w:r>
        <w:t xml:space="preserve">And this report of him went forth throughout all Judea, and throughout all the region around.</w:t>
      </w:r>
    </w:p>
    <w:p>
      <w:r>
        <w:rPr>
          <w:b/>
        </w:rPr>
        <w:t xml:space="preserve">18 </w:t>
      </w:r>
      <w:r>
        <w:t xml:space="preserve">And the disciples of John told him about all these things.</w:t>
      </w:r>
    </w:p>
    <w:p>
      <w:r>
        <w:rPr>
          <w:b/>
        </w:rPr>
        <w:t xml:space="preserve">19 </w:t>
      </w:r>
      <w:r>
        <w:t xml:space="preserve">And John calling to him two of his disciples sent them to Jesus, saying, Are you the one who should come? or should we look for another?</w:t>
      </w:r>
    </w:p>
    <w:p>
      <w:r>
        <w:rPr>
          <w:b/>
        </w:rPr>
        <w:t xml:space="preserve">20 </w:t>
      </w:r>
      <w:r>
        <w:t xml:space="preserve">When the men had come to him, they said, John the Baptist has sent us to you, saying, Are you the one who should come? or should we look for another?</w:t>
      </w:r>
    </w:p>
    <w:p>
      <w:r>
        <w:rPr>
          <w:b/>
        </w:rPr>
        <w:t xml:space="preserve">21 </w:t>
      </w:r>
      <w:r>
        <w:t xml:space="preserve">And in that same hour he cured many of their infirmities and plagues</w:t>
      </w:r>
      <w:r>
        <w:rPr>
          <w:rStyle w:val="FootnoteReference"/>
        </w:rPr>
        <w:footnoteReference w:id="15495"/>
      </w:r>
      <w:r>
        <w:t xml:space="preserve">, and of evil spirits; and to many that were blind he gave sight.</w:t>
      </w:r>
    </w:p>
    <w:p>
      <w:r>
        <w:rPr>
          <w:b/>
        </w:rPr>
        <w:t xml:space="preserve">22 </w:t>
      </w:r>
      <w:r>
        <w:t xml:space="preserve">Then Jesus answering said to them, Go your way, and tell John what things you have seen and heard; how that the blind see, the lame</w:t>
      </w:r>
      <w:r>
        <w:rPr>
          <w:rStyle w:val="FootnoteReference"/>
        </w:rPr>
        <w:footnoteReference w:id="15496"/>
      </w:r>
      <w:r>
        <w:t xml:space="preserve"> walk, the lepers are cleansed, the deaf hear, the dead are raised, to the poor the good news is preached.</w:t>
      </w:r>
    </w:p>
    <w:p>
      <w:r>
        <w:rPr>
          <w:b/>
        </w:rPr>
        <w:t xml:space="preserve">23 </w:t>
      </w:r>
      <w:r>
        <w:t xml:space="preserve">And blessed is he, whoever shall not be stumbled in me.</w:t>
      </w:r>
    </w:p>
    <w:p>
      <w:r>
        <w:rPr>
          <w:b/>
        </w:rPr>
        <w:t xml:space="preserve">24 </w:t>
      </w:r>
      <w:r>
        <w:t xml:space="preserve">And when the messengers of John had departed, he began to speak to the people concerning John, What did you go out into the wilderness</w:t>
      </w:r>
      <w:r>
        <w:rPr>
          <w:rStyle w:val="FootnoteReference"/>
        </w:rPr>
        <w:footnoteReference w:id="15497"/>
      </w:r>
      <w:r>
        <w:t xml:space="preserve"> to see? A reed shaken with the wind?</w:t>
      </w:r>
    </w:p>
    <w:p>
      <w:r>
        <w:rPr>
          <w:b/>
        </w:rPr>
        <w:t xml:space="preserve">25 </w:t>
      </w:r>
      <w:r>
        <w:t xml:space="preserve">But what did you go out to see? A man</w:t>
      </w:r>
      <w:r>
        <w:rPr>
          <w:rStyle w:val="FootnoteReference"/>
        </w:rPr>
        <w:footnoteReference w:id="15498"/>
      </w:r>
      <w:r>
        <w:t xml:space="preserve"> clothed in soft clothing? Look, those who are splendidly clothed, and live delicately, are in kings' courts.</w:t>
      </w:r>
    </w:p>
    <w:p>
      <w:r>
        <w:rPr>
          <w:b/>
        </w:rPr>
        <w:t xml:space="preserve">26 </w:t>
      </w:r>
      <w:r>
        <w:t xml:space="preserve">But what did you go out to see? A prophet</w:t>
      </w:r>
      <w:r>
        <w:rPr>
          <w:rStyle w:val="FootnoteReference"/>
        </w:rPr>
        <w:footnoteReference w:id="15499"/>
      </w:r>
      <w:r>
        <w:t xml:space="preserve">? Yes, I say to you, and much more than a prophet.</w:t>
      </w:r>
    </w:p>
    <w:p>
      <w:r>
        <w:rPr>
          <w:b/>
        </w:rPr>
        <w:t xml:space="preserve">27 </w:t>
      </w:r>
      <w:r>
        <w:t xml:space="preserve">This is he, of whom it is written, Look, I send my messenger before your face, who shall prepare your way before you.</w:t>
      </w:r>
    </w:p>
    <w:p>
      <w:r>
        <w:rPr>
          <w:b/>
        </w:rPr>
        <w:t xml:space="preserve">28 </w:t>
      </w:r>
      <w:r>
        <w:t xml:space="preserve">For I say to you, Among</w:t>
      </w:r>
      <w:r>
        <w:rPr>
          <w:rStyle w:val="FootnoteReference"/>
        </w:rPr>
        <w:footnoteReference w:id="15500"/>
      </w:r>
      <w:r>
        <w:t xml:space="preserve"> those that are born of women there is not a greater prophet than John the Baptist: but the one who is least in the kingdom of God is greater than he.</w:t>
      </w:r>
    </w:p>
    <w:p>
      <w:r>
        <w:rPr>
          <w:b/>
        </w:rPr>
        <w:t xml:space="preserve">29 </w:t>
      </w:r>
      <w:r>
        <w:t xml:space="preserve">And all the people that heard him, and the tax collectors, justified</w:t>
      </w:r>
      <w:r>
        <w:rPr>
          <w:rStyle w:val="FootnoteReference"/>
        </w:rPr>
        <w:footnoteReference w:id="15501"/>
      </w:r>
      <w:r>
        <w:t xml:space="preserve"> God, being baptized with the baptism of John.</w:t>
      </w:r>
    </w:p>
    <w:p>
      <w:r>
        <w:rPr>
          <w:b/>
        </w:rPr>
        <w:t xml:space="preserve">30 </w:t>
      </w:r>
      <w:r>
        <w:t xml:space="preserve">But the Pharisees and lawyers rejected</w:t>
      </w:r>
      <w:r>
        <w:rPr>
          <w:rStyle w:val="FootnoteReference"/>
        </w:rPr>
        <w:footnoteReference w:id="15502"/>
      </w:r>
      <w:r>
        <w:t xml:space="preserve"> the counsel of God for themselves, not being baptized by him.</w:t>
      </w:r>
    </w:p>
    <w:p>
      <w:r>
        <w:rPr>
          <w:b/>
        </w:rPr>
        <w:t xml:space="preserve">31 </w:t>
      </w:r>
      <w:r>
        <w:t xml:space="preserve">And the Lord said, To what then shall I liken the people of this generation? and to what are they like?</w:t>
      </w:r>
    </w:p>
    <w:p>
      <w:r>
        <w:rPr>
          <w:b/>
        </w:rPr>
        <w:t xml:space="preserve">32 </w:t>
      </w:r>
      <w:r>
        <w:t xml:space="preserve">They are like children sitting in the marketplace, and calling one to another, and saying, We have piped to you, and you have not danced; we have mourned to you, and you have not wept.</w:t>
      </w:r>
    </w:p>
    <w:p>
      <w:r>
        <w:rPr>
          <w:b/>
        </w:rPr>
        <w:t xml:space="preserve">33 </w:t>
      </w:r>
      <w:r>
        <w:t xml:space="preserve">For John the Baptist came neither eating bread nor drinking wine; and you say, He has a demon.</w:t>
      </w:r>
    </w:p>
    <w:p>
      <w:r>
        <w:rPr>
          <w:b/>
        </w:rPr>
        <w:t xml:space="preserve">34 </w:t>
      </w:r>
      <w:r>
        <w:t xml:space="preserve">The Son of man has come eating</w:t>
      </w:r>
      <w:r>
        <w:rPr>
          <w:rStyle w:val="FootnoteReference"/>
        </w:rPr>
        <w:footnoteReference w:id="15503"/>
      </w:r>
      <w:r>
        <w:t xml:space="preserve"> and drinking; and you say, Look a gluttonous man, and a wine indulger, a friend of tax collectors and sinners!</w:t>
      </w:r>
    </w:p>
    <w:p>
      <w:r>
        <w:rPr>
          <w:b/>
        </w:rPr>
        <w:t xml:space="preserve">35 </w:t>
      </w:r>
      <w:r>
        <w:t xml:space="preserve">But wisdom is justified by all her children.</w:t>
      </w:r>
    </w:p>
    <w:p>
      <w:r>
        <w:rPr>
          <w:b/>
        </w:rPr>
        <w:t xml:space="preserve">36 </w:t>
      </w:r>
      <w:r>
        <w:t xml:space="preserve">And one of the Pharisees desired him that he would eat with him. And he went into the Pharisee's house, and reclined at table.</w:t>
      </w:r>
    </w:p>
    <w:p>
      <w:r>
        <w:rPr>
          <w:b/>
        </w:rPr>
        <w:t xml:space="preserve">37 </w:t>
      </w:r>
      <w:r>
        <w:t xml:space="preserve">And, look, a woman in the city, who was a sinner, when she knew that Jesus reclined at table in the Pharisee's house, brought an alabaster box of ointment,</w:t>
      </w:r>
    </w:p>
    <w:p>
      <w:r>
        <w:rPr>
          <w:b/>
        </w:rPr>
        <w:t xml:space="preserve">38 </w:t>
      </w:r>
      <w:r>
        <w:t xml:space="preserve">And stood at his feet behind him weeping</w:t>
      </w:r>
      <w:r>
        <w:rPr>
          <w:rStyle w:val="FootnoteReference"/>
        </w:rPr>
        <w:footnoteReference w:id="15504"/>
      </w:r>
      <w:r>
        <w:t xml:space="preserve">, and began to wash his feet with tears, and wiped them with the hairs of her head, and kissed his feet, and anointed them with the ointment.</w:t>
      </w:r>
    </w:p>
    <w:p>
      <w:r>
        <w:rPr>
          <w:b/>
        </w:rPr>
        <w:t xml:space="preserve">39 </w:t>
      </w:r>
      <w:r>
        <w:t xml:space="preserve">Now when the Pharisee who had invited him saw it, he spoke within himself, saying, This man</w:t>
      </w:r>
      <w:r>
        <w:rPr>
          <w:rStyle w:val="FootnoteReference"/>
        </w:rPr>
        <w:footnoteReference w:id="15505"/>
      </w:r>
      <w:r>
        <w:t xml:space="preserve">, if he were a prophet, would have known who and what manner of woman this is that touches him: for she is a sinner.</w:t>
      </w:r>
    </w:p>
    <w:p>
      <w:r>
        <w:rPr>
          <w:b/>
        </w:rPr>
        <w:t xml:space="preserve">40 </w:t>
      </w:r>
      <w:r>
        <w:t xml:space="preserve">And Jesus answering</w:t>
      </w:r>
      <w:r>
        <w:rPr>
          <w:rStyle w:val="FootnoteReference"/>
        </w:rPr>
        <w:footnoteReference w:id="15506"/>
      </w:r>
      <w:r>
        <w:t xml:space="preserve"> said to him, Simon, I have something to say to you. And he says, Teacher, say it.</w:t>
      </w:r>
    </w:p>
    <w:p>
      <w:r>
        <w:rPr>
          <w:b/>
        </w:rPr>
        <w:t xml:space="preserve">41 </w:t>
      </w:r>
      <w:r>
        <w:t xml:space="preserve">There was a certain creditor who had two debtors: the one</w:t>
      </w:r>
      <w:r>
        <w:rPr>
          <w:rStyle w:val="FootnoteReference"/>
        </w:rPr>
        <w:footnoteReference w:id="15507"/>
      </w:r>
      <w:r>
        <w:t xml:space="preserve"> owed five hundred denarii, and the other fifty.</w:t>
      </w:r>
    </w:p>
    <w:p>
      <w:r>
        <w:rPr>
          <w:b/>
        </w:rPr>
        <w:t xml:space="preserve">42 </w:t>
      </w:r>
      <w:r>
        <w:t xml:space="preserve">And when they had nothing to pay, he freely forgave them both. Tell me therefore, which of them will love him most?</w:t>
      </w:r>
    </w:p>
    <w:p>
      <w:r>
        <w:rPr>
          <w:b/>
        </w:rPr>
        <w:t xml:space="preserve">43 </w:t>
      </w:r>
      <w:r>
        <w:t xml:space="preserve">Simon answered and said, I suppose that he, to whom he forgave most. And he said to him, You have rightly judged.</w:t>
      </w:r>
    </w:p>
    <w:p>
      <w:r>
        <w:rPr>
          <w:b/>
        </w:rPr>
        <w:t xml:space="preserve">44 </w:t>
      </w:r>
      <w:r>
        <w:t xml:space="preserve">And he turned to the woman, and said to Simon, Do you see this woman? I entered into your house, you gave me no water for my feet: but she has washed my feet with tears, and wiped them with the hairs of her head.</w:t>
      </w:r>
    </w:p>
    <w:p>
      <w:r>
        <w:rPr>
          <w:b/>
        </w:rPr>
        <w:t xml:space="preserve">45 </w:t>
      </w:r>
      <w:r>
        <w:t xml:space="preserve">You gave me no kiss: but this woman since the time I came in has not ceased to kiss my feet.</w:t>
      </w:r>
    </w:p>
    <w:p>
      <w:r>
        <w:rPr>
          <w:b/>
        </w:rPr>
        <w:t xml:space="preserve">46 </w:t>
      </w:r>
      <w:r>
        <w:t xml:space="preserve">My head with oil you did not anoint: but this woman has anointed my feet with ointment.</w:t>
      </w:r>
    </w:p>
    <w:p>
      <w:r>
        <w:rPr>
          <w:b/>
        </w:rPr>
        <w:t xml:space="preserve">47 </w:t>
      </w:r>
      <w:r>
        <w:t xml:space="preserve">Therefore I say to you, Her sins, which are many, are forgiven; for she loved much: but to whom little is forgiven, the same loves little.</w:t>
      </w:r>
    </w:p>
    <w:p>
      <w:r>
        <w:rPr>
          <w:b/>
        </w:rPr>
        <w:t xml:space="preserve">48 </w:t>
      </w:r>
      <w:r>
        <w:t xml:space="preserve">And he said to her, Your sins are forgiven.</w:t>
      </w:r>
    </w:p>
    <w:p>
      <w:r>
        <w:rPr>
          <w:b/>
        </w:rPr>
        <w:t xml:space="preserve">49 </w:t>
      </w:r>
      <w:r>
        <w:t xml:space="preserve">And those who reclined at table with him began to say within themselves, Who is this that forgives sins also?</w:t>
      </w:r>
    </w:p>
    <w:p>
      <w:r>
        <w:rPr>
          <w:b/>
        </w:rPr>
        <w:t xml:space="preserve">50 </w:t>
      </w:r>
      <w:r>
        <w:t xml:space="preserve">And he said to the woman, Your faith has saved you; go in peace.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it happened afterward, that he went throughout every city and village, preaching and proclaiming the glad</w:t>
      </w:r>
      <w:r>
        <w:rPr>
          <w:rStyle w:val="FootnoteReference"/>
        </w:rPr>
        <w:footnoteReference w:id="15508"/>
      </w:r>
      <w:r>
        <w:t xml:space="preserve"> tidings of the kingdom of God: and the twelve were with him,</w:t>
      </w:r>
    </w:p>
    <w:p>
      <w:r>
        <w:rPr>
          <w:b/>
        </w:rPr>
        <w:t xml:space="preserve">2 </w:t>
      </w:r>
      <w:r>
        <w:t xml:space="preserve">And certain</w:t>
      </w:r>
      <w:r>
        <w:rPr>
          <w:rStyle w:val="FootnoteReference"/>
        </w:rPr>
        <w:footnoteReference w:id="15509"/>
      </w:r>
      <w:r>
        <w:t xml:space="preserve"> women, who had been healed of evil spirits and infirmities, Mary called Magdalene, out of whom went seven demons,</w:t>
      </w:r>
    </w:p>
    <w:p>
      <w:r>
        <w:rPr>
          <w:b/>
        </w:rPr>
        <w:t xml:space="preserve">3 </w:t>
      </w:r>
      <w:r>
        <w:t xml:space="preserve">And Joanna</w:t>
      </w:r>
      <w:r>
        <w:rPr>
          <w:rStyle w:val="FootnoteReference"/>
        </w:rPr>
        <w:footnoteReference w:id="15510"/>
      </w:r>
      <w:r>
        <w:t xml:space="preserve"> the wife of Chuza</w:t>
      </w:r>
      <w:r>
        <w:rPr>
          <w:rStyle w:val="FootnoteReference"/>
        </w:rPr>
        <w:footnoteReference w:id="15511"/>
      </w:r>
      <w:r>
        <w:t xml:space="preserve"> Herod's steward, and Susanna</w:t>
      </w:r>
      <w:r>
        <w:rPr>
          <w:rStyle w:val="FootnoteReference"/>
        </w:rPr>
        <w:footnoteReference w:id="15512"/>
      </w:r>
      <w:r>
        <w:t xml:space="preserve">, and many others, who served him from their possessions.</w:t>
      </w:r>
    </w:p>
    <w:p>
      <w:r>
        <w:rPr>
          <w:b/>
        </w:rPr>
        <w:t xml:space="preserve">4 </w:t>
      </w:r>
      <w:r>
        <w:t xml:space="preserve">And when a great crowd was gathered together, and had come to him out of every city, he spoke by a parable:</w:t>
      </w:r>
    </w:p>
    <w:p>
      <w:r>
        <w:rPr>
          <w:b/>
        </w:rPr>
        <w:t xml:space="preserve">5 </w:t>
      </w:r>
      <w:r>
        <w:t xml:space="preserve">A sower</w:t>
      </w:r>
      <w:r>
        <w:rPr>
          <w:rStyle w:val="FootnoteReference"/>
        </w:rPr>
        <w:footnoteReference w:id="15513"/>
      </w:r>
      <w:r>
        <w:t xml:space="preserve"> went out to sow his seed: and as he sowed, some fell by the way side; and it was trampled down, and the birds of the air devoured it.</w:t>
      </w:r>
    </w:p>
    <w:p>
      <w:r>
        <w:rPr>
          <w:b/>
        </w:rPr>
        <w:t xml:space="preserve">6 </w:t>
      </w:r>
      <w:r>
        <w:t xml:space="preserve">And some fell upon a rock; and as soon as it sprang up, it withered away, because it lacked moisture.</w:t>
      </w:r>
    </w:p>
    <w:p>
      <w:r>
        <w:rPr>
          <w:b/>
        </w:rPr>
        <w:t xml:space="preserve">7 </w:t>
      </w:r>
      <w:r>
        <w:t xml:space="preserve">And some fell among thorns</w:t>
      </w:r>
      <w:r>
        <w:rPr>
          <w:rStyle w:val="FootnoteReference"/>
        </w:rPr>
        <w:footnoteReference w:id="15514"/>
      </w:r>
      <w:r>
        <w:t xml:space="preserve">; and the thorns sprang up with it, and choked it.</w:t>
      </w:r>
    </w:p>
    <w:p>
      <w:r>
        <w:rPr>
          <w:b/>
        </w:rPr>
        <w:t xml:space="preserve">8 </w:t>
      </w:r>
      <w:r>
        <w:t xml:space="preserve">And other</w:t>
      </w:r>
      <w:r>
        <w:rPr>
          <w:rStyle w:val="FootnoteReference"/>
        </w:rPr>
        <w:footnoteReference w:id="15515"/>
      </w:r>
      <w:r>
        <w:t xml:space="preserve"> fell on good ground, and sprang up, and bore fruit a hundredfold. And when he had said these things, he cried, The one who has ears to hear, let him hear.</w:t>
      </w:r>
    </w:p>
    <w:p>
      <w:r>
        <w:rPr>
          <w:b/>
        </w:rPr>
        <w:t xml:space="preserve">9 </w:t>
      </w:r>
      <w:r>
        <w:t xml:space="preserve">And his disciples asked him, saying, What might this parable mean?</w:t>
      </w:r>
    </w:p>
    <w:p>
      <w:r>
        <w:rPr>
          <w:b/>
        </w:rPr>
        <w:t xml:space="preserve">10 </w:t>
      </w:r>
      <w:r>
        <w:t xml:space="preserve">And he said, To you it is given to know the mysteries of the kingdom of God: but to others in parables; that seeing</w:t>
      </w:r>
      <w:r>
        <w:rPr>
          <w:rStyle w:val="FootnoteReference"/>
        </w:rPr>
        <w:footnoteReference w:id="15516"/>
      </w:r>
      <w:r>
        <w:t xml:space="preserve"> they might not see, and hearing they might not understand.</w:t>
      </w:r>
    </w:p>
    <w:p>
      <w:r>
        <w:rPr>
          <w:b/>
        </w:rPr>
        <w:t xml:space="preserve">11 </w:t>
      </w:r>
      <w:r>
        <w:t xml:space="preserve">Now the parable is this: The seed</w:t>
      </w:r>
      <w:r>
        <w:rPr>
          <w:rStyle w:val="FootnoteReference"/>
        </w:rPr>
        <w:footnoteReference w:id="15517"/>
      </w:r>
      <w:r>
        <w:t xml:space="preserve"> is the word of God.</w:t>
      </w:r>
    </w:p>
    <w:p>
      <w:r>
        <w:rPr>
          <w:b/>
        </w:rPr>
        <w:t xml:space="preserve">12 </w:t>
      </w:r>
      <w:r>
        <w:t xml:space="preserve">Those by the wayside are those who hear; then comes the devil, and takes away the word out of their hearts, lest they should believe and be saved.</w:t>
      </w:r>
    </w:p>
    <w:p>
      <w:r>
        <w:rPr>
          <w:b/>
        </w:rPr>
        <w:t xml:space="preserve">13 </w:t>
      </w:r>
      <w:r>
        <w:t xml:space="preserve">Those on the rock are they, who, when they hear, receive</w:t>
      </w:r>
      <w:r>
        <w:rPr>
          <w:rStyle w:val="FootnoteReference"/>
        </w:rPr>
        <w:footnoteReference w:id="15518"/>
      </w:r>
      <w:r>
        <w:t xml:space="preserve"> the word with joy; and these have no root, who for a while believe, and in time of temptation fall away.</w:t>
      </w:r>
    </w:p>
    <w:p>
      <w:r>
        <w:rPr>
          <w:b/>
        </w:rPr>
        <w:t xml:space="preserve">14 </w:t>
      </w:r>
      <w:r>
        <w:t xml:space="preserve">And that which fell among thorns are they, who, when they have heard, go forth, and are</w:t>
      </w:r>
      <w:r>
        <w:rPr>
          <w:rStyle w:val="FootnoteReference"/>
        </w:rPr>
        <w:footnoteReference w:id="15519"/>
      </w:r>
      <w:r>
        <w:t xml:space="preserve"> choked with cares and riches and pleasures of this life, and bring no fruit to perfection.</w:t>
      </w:r>
    </w:p>
    <w:p>
      <w:r>
        <w:rPr>
          <w:b/>
        </w:rPr>
        <w:t xml:space="preserve">15 </w:t>
      </w:r>
      <w:r>
        <w:t xml:space="preserve">But that on the good ground are they, who in an</w:t>
      </w:r>
      <w:r>
        <w:rPr>
          <w:rStyle w:val="FootnoteReference"/>
        </w:rPr>
        <w:footnoteReference w:id="15520"/>
      </w:r>
      <w:r>
        <w:t xml:space="preserve"> honest and good heart, having heard the word, keep it, and bear fruit with patience.</w:t>
      </w:r>
    </w:p>
    <w:p>
      <w:r>
        <w:rPr>
          <w:b/>
        </w:rPr>
        <w:t xml:space="preserve">16 </w:t>
      </w:r>
      <w:r>
        <w:t xml:space="preserve">No one, when he has lighted a lamp, covers it with a vessel, or puts it under a bed; but sets it on a lampstand, that those who enter in may see the light.</w:t>
      </w:r>
    </w:p>
    <w:p>
      <w:r>
        <w:rPr>
          <w:b/>
        </w:rPr>
        <w:t xml:space="preserve">17 </w:t>
      </w:r>
      <w:r>
        <w:t xml:space="preserve">For nothing</w:t>
      </w:r>
      <w:r>
        <w:rPr>
          <w:rStyle w:val="FootnoteReference"/>
        </w:rPr>
        <w:footnoteReference w:id="15521"/>
      </w:r>
      <w:r>
        <w:t xml:space="preserve"> is secret, that shall not be made manifest; neither anything hidden, that shall not be known and come out.</w:t>
      </w:r>
    </w:p>
    <w:p>
      <w:r>
        <w:rPr>
          <w:b/>
        </w:rPr>
        <w:t xml:space="preserve">18 </w:t>
      </w:r>
      <w:r>
        <w:t xml:space="preserve">Take heed</w:t>
      </w:r>
      <w:r>
        <w:rPr>
          <w:rStyle w:val="FootnoteReference"/>
        </w:rPr>
        <w:footnoteReference w:id="15522"/>
      </w:r>
      <w:r>
        <w:t xml:space="preserve"> therefore how you hear: for whoever has, to him shall be given; and whoever has not, from him shall be taken even that which he seems to have.</w:t>
      </w:r>
    </w:p>
    <w:p>
      <w:r>
        <w:rPr>
          <w:b/>
        </w:rPr>
        <w:t xml:space="preserve">19 </w:t>
      </w:r>
      <w:r>
        <w:t xml:space="preserve">Then came to him his mother and his brothers, and could not come near him because of the crowd.</w:t>
      </w:r>
    </w:p>
    <w:p>
      <w:r>
        <w:rPr>
          <w:b/>
        </w:rPr>
        <w:t xml:space="preserve">20 </w:t>
      </w:r>
      <w:r>
        <w:t xml:space="preserve">And it was told him by certain who said, Your mother and your brothers stand outside, desiring to see you.</w:t>
      </w:r>
    </w:p>
    <w:p>
      <w:r>
        <w:rPr>
          <w:b/>
        </w:rPr>
        <w:t xml:space="preserve">21 </w:t>
      </w:r>
      <w:r>
        <w:t xml:space="preserve">And he answered and said to them, My mother</w:t>
      </w:r>
      <w:r>
        <w:rPr>
          <w:rStyle w:val="FootnoteReference"/>
        </w:rPr>
        <w:footnoteReference w:id="15523"/>
      </w:r>
      <w:r>
        <w:t xml:space="preserve"> and my brothers are these who hear the word of God, and do it.</w:t>
      </w:r>
    </w:p>
    <w:p>
      <w:r>
        <w:rPr>
          <w:b/>
        </w:rPr>
        <w:t xml:space="preserve">22 </w:t>
      </w:r>
      <w:r>
        <w:t xml:space="preserve">Now it happened on a certain day, that he went into a boat with his disciples: and he said to them, Let us go over to the other side of the lake. And they launched forth.</w:t>
      </w:r>
    </w:p>
    <w:p>
      <w:r>
        <w:rPr>
          <w:b/>
        </w:rPr>
        <w:t xml:space="preserve">23 </w:t>
      </w:r>
      <w:r>
        <w:t xml:space="preserve">But as they sailed he fell</w:t>
      </w:r>
      <w:r>
        <w:rPr>
          <w:rStyle w:val="FootnoteReference"/>
        </w:rPr>
        <w:footnoteReference w:id="15524"/>
      </w:r>
      <w:r>
        <w:t xml:space="preserve"> asleep: and there came down a storm of wind on the lake; and they were filled with water, and were in danger.</w:t>
      </w:r>
    </w:p>
    <w:p>
      <w:r>
        <w:rPr>
          <w:b/>
        </w:rPr>
        <w:t xml:space="preserve">24 </w:t>
      </w:r>
      <w:r>
        <w:t xml:space="preserve">And they came to him, and awoke him, saying, Master</w:t>
      </w:r>
      <w:r>
        <w:rPr>
          <w:rStyle w:val="FootnoteReference"/>
        </w:rPr>
        <w:footnoteReference w:id="15525"/>
      </w:r>
      <w:r>
        <w:t xml:space="preserve">, master, we are perishing. Then he arose, and rebuked the wind and the raging of the water: and they ceased, and there was a calm.</w:t>
      </w:r>
    </w:p>
    <w:p>
      <w:r>
        <w:rPr>
          <w:b/>
        </w:rPr>
        <w:t xml:space="preserve">25 </w:t>
      </w:r>
      <w:r>
        <w:t xml:space="preserve">And he said to them, Where is your faith? And they, being afraid, wondered, saying one to another, Who then is this! for he commands even the winds and water, and they obey him.</w:t>
      </w:r>
    </w:p>
    <w:p>
      <w:r>
        <w:rPr>
          <w:b/>
        </w:rPr>
        <w:t xml:space="preserve">26 </w:t>
      </w:r>
      <w:r>
        <w:t xml:space="preserve">And they arrived at the country of the Gadarenes, which is opposite to Galilee.</w:t>
      </w:r>
    </w:p>
    <w:p>
      <w:r>
        <w:rPr>
          <w:b/>
        </w:rPr>
        <w:t xml:space="preserve">27 </w:t>
      </w:r>
      <w:r>
        <w:t xml:space="preserve">And when he went forth to land, there met him out of the city a certain man, who had demons long time, and wore no clothes, neither remained in any house, but in the tombs.</w:t>
      </w:r>
    </w:p>
    <w:p>
      <w:r>
        <w:rPr>
          <w:b/>
        </w:rPr>
        <w:t xml:space="preserve">28 </w:t>
      </w:r>
      <w:r>
        <w:t xml:space="preserve">When he saw Jesus, he cried</w:t>
      </w:r>
      <w:r>
        <w:rPr>
          <w:rStyle w:val="FootnoteReference"/>
        </w:rPr>
        <w:footnoteReference w:id="15526"/>
      </w:r>
      <w:r>
        <w:t xml:space="preserve"> out, and fell down before him, and with a loud voice said, What have I to do with you, Jesus, you Son of God most high? I plead to you, torment me not.</w:t>
      </w:r>
    </w:p>
    <w:p>
      <w:r>
        <w:rPr>
          <w:b/>
        </w:rPr>
        <w:t xml:space="preserve">29 </w:t>
      </w:r>
      <w:r>
        <w:t xml:space="preserve">(For he had commanded</w:t>
      </w:r>
      <w:r>
        <w:rPr>
          <w:rStyle w:val="FootnoteReference"/>
        </w:rPr>
        <w:footnoteReference w:id="15527"/>
      </w:r>
      <w:r>
        <w:t xml:space="preserve"> the unclean spirit to come out of the man. For oftentimes it had caught him: and he was kept bound with chains and in fetters; and he broke the bands, and was driven of the demon into the wilderness.)</w:t>
      </w:r>
    </w:p>
    <w:p>
      <w:r>
        <w:rPr>
          <w:b/>
        </w:rPr>
        <w:t xml:space="preserve">30 </w:t>
      </w:r>
      <w:r>
        <w:t xml:space="preserve">And Jesus asked him, saying, What is your name? And he said, Legion</w:t>
      </w:r>
      <w:r>
        <w:rPr>
          <w:rStyle w:val="FootnoteReference"/>
        </w:rPr>
        <w:footnoteReference w:id="15528"/>
      </w:r>
      <w:r>
        <w:t xml:space="preserve">: because many demons were entered into him.</w:t>
      </w:r>
    </w:p>
    <w:p>
      <w:r>
        <w:rPr>
          <w:b/>
        </w:rPr>
        <w:t xml:space="preserve">31 </w:t>
      </w:r>
      <w:r>
        <w:t xml:space="preserve">And they begged him that he would not command them to go out into the deep</w:t>
      </w:r>
      <w:r>
        <w:rPr>
          <w:rStyle w:val="FootnoteReference"/>
        </w:rPr>
        <w:footnoteReference w:id="15529"/>
      </w:r>
      <w:r>
        <w:t xml:space="preserve">.</w:t>
      </w:r>
    </w:p>
    <w:p>
      <w:r>
        <w:rPr>
          <w:b/>
        </w:rPr>
        <w:t xml:space="preserve">32 </w:t>
      </w:r>
      <w:r>
        <w:t xml:space="preserve">And there was there a herd of many swine feeding on the mountain: and they begged him that he would permit them to enter into them. And he permitted them.</w:t>
      </w:r>
    </w:p>
    <w:p>
      <w:r>
        <w:rPr>
          <w:b/>
        </w:rPr>
        <w:t xml:space="preserve">33 </w:t>
      </w:r>
      <w:r>
        <w:t xml:space="preserve">Then went the demons out of the man, and entered into the swine: and the herd</w:t>
      </w:r>
      <w:r>
        <w:rPr>
          <w:rStyle w:val="FootnoteReference"/>
        </w:rPr>
        <w:footnoteReference w:id="15530"/>
      </w:r>
      <w:r>
        <w:t xml:space="preserve"> ran violently down a steep place into the lake, and were choked.</w:t>
      </w:r>
    </w:p>
    <w:p>
      <w:r>
        <w:rPr>
          <w:b/>
        </w:rPr>
        <w:t xml:space="preserve">34 </w:t>
      </w:r>
      <w:r>
        <w:t xml:space="preserve">When those who fed them saw what was done, they fled</w:t>
      </w:r>
      <w:r>
        <w:rPr>
          <w:rStyle w:val="FootnoteReference"/>
        </w:rPr>
        <w:footnoteReference w:id="15531"/>
      </w:r>
      <w:r>
        <w:t xml:space="preserve">, and went and told it in the city and in the country.</w:t>
      </w:r>
    </w:p>
    <w:p>
      <w:r>
        <w:rPr>
          <w:b/>
        </w:rPr>
        <w:t xml:space="preserve">35 </w:t>
      </w:r>
      <w:r>
        <w:t xml:space="preserve">Then they went out to see what was done; and came to Jesus, and found</w:t>
      </w:r>
      <w:r>
        <w:rPr>
          <w:rStyle w:val="FootnoteReference"/>
        </w:rPr>
        <w:footnoteReference w:id="15532"/>
      </w:r>
      <w:r>
        <w:t xml:space="preserve"> the man, out of whom the demons were departed, sitting at the feet of Jesus, clothed, and in his right mind: and they were afraid.</w:t>
      </w:r>
    </w:p>
    <w:p>
      <w:r>
        <w:rPr>
          <w:b/>
        </w:rPr>
        <w:t xml:space="preserve">36 </w:t>
      </w:r>
      <w:r>
        <w:t xml:space="preserve">They also which saw it told them by what means the one who was possessed of the demons was healed.</w:t>
      </w:r>
    </w:p>
    <w:p>
      <w:r>
        <w:rPr>
          <w:b/>
        </w:rPr>
        <w:t xml:space="preserve">37 </w:t>
      </w:r>
      <w:r>
        <w:t xml:space="preserve">Then the whole multitude of the country of the Gadarenes round about begged him to depart from them; for they were taken with great fear: and he went up into the boat, and returned back again.</w:t>
      </w:r>
    </w:p>
    <w:p>
      <w:r>
        <w:rPr>
          <w:b/>
        </w:rPr>
        <w:t xml:space="preserve">38 </w:t>
      </w:r>
      <w:r>
        <w:t xml:space="preserve">Now the man out of whom the demons were departed begged him that he might be with him: but Jesus sent him away, saying</w:t>
      </w:r>
      <w:r>
        <w:rPr>
          <w:rStyle w:val="FootnoteReference"/>
        </w:rPr>
        <w:footnoteReference w:id="15533"/>
      </w:r>
      <w:r>
        <w:t xml:space="preserve">,</w:t>
      </w:r>
    </w:p>
    <w:p>
      <w:r>
        <w:rPr>
          <w:b/>
        </w:rPr>
        <w:t xml:space="preserve">39 </w:t>
      </w:r>
      <w:r>
        <w:t xml:space="preserve">Return</w:t>
      </w:r>
      <w:r>
        <w:rPr>
          <w:rStyle w:val="FootnoteReference"/>
        </w:rPr>
        <w:footnoteReference w:id="15534"/>
      </w:r>
      <w:r>
        <w:t xml:space="preserve"> to your own house, and declare how great things God has done to you. And he went his way, and proclaimed throughout the whole city how great things Jesus had done to him.</w:t>
      </w:r>
    </w:p>
    <w:p>
      <w:r>
        <w:rPr>
          <w:b/>
        </w:rPr>
        <w:t xml:space="preserve">40 </w:t>
      </w:r>
      <w:r>
        <w:t xml:space="preserve">And it happened, that, when Jesus returned, the people gladly received him: for they were all waiting</w:t>
      </w:r>
      <w:r>
        <w:rPr>
          <w:rStyle w:val="FootnoteReference"/>
        </w:rPr>
        <w:footnoteReference w:id="15535"/>
      </w:r>
      <w:r>
        <w:t xml:space="preserve"> for him.</w:t>
      </w:r>
    </w:p>
    <w:p>
      <w:r>
        <w:rPr>
          <w:b/>
        </w:rPr>
        <w:t xml:space="preserve">41 </w:t>
      </w:r>
      <w:r>
        <w:t xml:space="preserve">And, look, there came a man named Jairus, and he was a ruler</w:t>
      </w:r>
      <w:r>
        <w:rPr>
          <w:rStyle w:val="FootnoteReference"/>
        </w:rPr>
        <w:footnoteReference w:id="15536"/>
      </w:r>
      <w:r>
        <w:t xml:space="preserve"> of the synagogue: and he fell down at Jesus' feet, and begged him that he would come into his house:</w:t>
      </w:r>
    </w:p>
    <w:p>
      <w:r>
        <w:rPr>
          <w:b/>
        </w:rPr>
        <w:t xml:space="preserve">42 </w:t>
      </w:r>
      <w:r>
        <w:t xml:space="preserve">For he had one only daughter, about twelve years of age, and she</w:t>
      </w:r>
      <w:r>
        <w:rPr>
          <w:rStyle w:val="FootnoteReference"/>
        </w:rPr>
        <w:footnoteReference w:id="15537"/>
      </w:r>
      <w:r>
        <w:t xml:space="preserve"> lay dying. But as he went the people crowded him.</w:t>
      </w:r>
    </w:p>
    <w:p>
      <w:r>
        <w:rPr>
          <w:b/>
        </w:rPr>
        <w:t xml:space="preserve">43 </w:t>
      </w:r>
      <w:r>
        <w:t xml:space="preserve">And a woman having a flow of blood twelve</w:t>
      </w:r>
      <w:r>
        <w:rPr>
          <w:rStyle w:val="FootnoteReference"/>
        </w:rPr>
        <w:footnoteReference w:id="15538"/>
      </w:r>
      <w:r>
        <w:t xml:space="preserve"> years, who had spent all her living upon physicians, neither could be healed by any,</w:t>
      </w:r>
    </w:p>
    <w:p>
      <w:r>
        <w:rPr>
          <w:b/>
        </w:rPr>
        <w:t xml:space="preserve">44 </w:t>
      </w:r>
      <w:r>
        <w:t xml:space="preserve">Came behind</w:t>
      </w:r>
      <w:r>
        <w:rPr>
          <w:rStyle w:val="FootnoteReference"/>
        </w:rPr>
        <w:footnoteReference w:id="15539"/>
      </w:r>
      <w:r>
        <w:t xml:space="preserve"> him, and touched the border of his garment: and immediately her flow of blood stopped.</w:t>
      </w:r>
    </w:p>
    <w:p>
      <w:r>
        <w:rPr>
          <w:b/>
        </w:rPr>
        <w:t xml:space="preserve">45 </w:t>
      </w:r>
      <w:r>
        <w:t xml:space="preserve">And Jesus said, Who touched me? When all denied, Peter and those who were with him said, Master, the crowd throng you and press you, and you say, Who touched me?</w:t>
      </w:r>
    </w:p>
    <w:p>
      <w:r>
        <w:rPr>
          <w:b/>
        </w:rPr>
        <w:t xml:space="preserve">46 </w:t>
      </w:r>
      <w:r>
        <w:t xml:space="preserve">And Jesus said, Somebody has touched me: for I perceive that power has gone out of me.</w:t>
      </w:r>
    </w:p>
    <w:p>
      <w:r>
        <w:rPr>
          <w:b/>
        </w:rPr>
        <w:t xml:space="preserve">47 </w:t>
      </w:r>
      <w:r>
        <w:t xml:space="preserve">And when the woman saw that she was not hidden, she came</w:t>
      </w:r>
      <w:r>
        <w:rPr>
          <w:rStyle w:val="FootnoteReference"/>
        </w:rPr>
        <w:footnoteReference w:id="15540"/>
      </w:r>
      <w:r>
        <w:t xml:space="preserve"> trembling, and falling down before him, she declared to him before all the people for what reason she had touched him, and how she was healed immediately.</w:t>
      </w:r>
    </w:p>
    <w:p>
      <w:r>
        <w:rPr>
          <w:b/>
        </w:rPr>
        <w:t xml:space="preserve">48 </w:t>
      </w:r>
      <w:r>
        <w:t xml:space="preserve">And he said to her, Daughter, take courage: your faith has made you whole; go in peace.</w:t>
      </w:r>
    </w:p>
    <w:p>
      <w:r>
        <w:rPr>
          <w:b/>
        </w:rPr>
        <w:t xml:space="preserve">49 </w:t>
      </w:r>
      <w:r>
        <w:t xml:space="preserve">While he yet spoke, there comes one from the ruler of the synagogue's house, saying to him, Your daughter is dead; do not trouble</w:t>
      </w:r>
      <w:r>
        <w:rPr>
          <w:rStyle w:val="FootnoteReference"/>
        </w:rPr>
        <w:footnoteReference w:id="15541"/>
      </w:r>
      <w:r>
        <w:t xml:space="preserve"> the Teacher.</w:t>
      </w:r>
    </w:p>
    <w:p>
      <w:r>
        <w:rPr>
          <w:b/>
        </w:rPr>
        <w:t xml:space="preserve">50 </w:t>
      </w:r>
      <w:r>
        <w:t xml:space="preserve">But when Jesus heard it, he answered him, saying, Do not fear: only believe</w:t>
      </w:r>
      <w:r>
        <w:rPr>
          <w:rStyle w:val="FootnoteReference"/>
        </w:rPr>
        <w:footnoteReference w:id="15542"/>
      </w:r>
      <w:r>
        <w:t xml:space="preserve">, and she shall be made whole.</w:t>
      </w:r>
    </w:p>
    <w:p>
      <w:r>
        <w:rPr>
          <w:b/>
        </w:rPr>
        <w:t xml:space="preserve">51 </w:t>
      </w:r>
      <w:r>
        <w:t xml:space="preserve">And when he came into the house, he allowed no one to go in, except Peter, and James, and John, and the father and the mother of the maiden.</w:t>
      </w:r>
    </w:p>
    <w:p>
      <w:r>
        <w:rPr>
          <w:b/>
        </w:rPr>
        <w:t xml:space="preserve">52 </w:t>
      </w:r>
      <w:r>
        <w:t xml:space="preserve">And all wept, and mourned her: but he said, Do not weep; she is not dead, but sleeps.</w:t>
      </w:r>
    </w:p>
    <w:p>
      <w:r>
        <w:rPr>
          <w:b/>
        </w:rPr>
        <w:t xml:space="preserve">53 </w:t>
      </w:r>
      <w:r>
        <w:t xml:space="preserve">And they laughed</w:t>
      </w:r>
      <w:r>
        <w:rPr>
          <w:rStyle w:val="FootnoteReference"/>
        </w:rPr>
        <w:footnoteReference w:id="15543"/>
      </w:r>
      <w:r>
        <w:t xml:space="preserve"> at him, knowing that she was dead.</w:t>
      </w:r>
    </w:p>
    <w:p>
      <w:r>
        <w:rPr>
          <w:b/>
        </w:rPr>
        <w:t xml:space="preserve">54 </w:t>
      </w:r>
      <w:r>
        <w:t xml:space="preserve">And he put</w:t>
      </w:r>
      <w:r>
        <w:rPr>
          <w:rStyle w:val="FootnoteReference"/>
        </w:rPr>
        <w:footnoteReference w:id="15544"/>
      </w:r>
      <w:r>
        <w:t xml:space="preserve"> them all out, and took her by the hand, and called, saying, Girl, arise.</w:t>
      </w:r>
    </w:p>
    <w:p>
      <w:r>
        <w:rPr>
          <w:b/>
        </w:rPr>
        <w:t xml:space="preserve">55 </w:t>
      </w:r>
      <w:r>
        <w:t xml:space="preserve">And her spirit</w:t>
      </w:r>
      <w:r>
        <w:rPr>
          <w:rStyle w:val="FootnoteReference"/>
        </w:rPr>
        <w:footnoteReference w:id="15545"/>
      </w:r>
      <w:r>
        <w:t xml:space="preserve"> returned, and she arose immediately: and he commanded that food be given to her.</w:t>
      </w:r>
    </w:p>
    <w:p>
      <w:r>
        <w:rPr>
          <w:b/>
        </w:rPr>
        <w:t xml:space="preserve">56 </w:t>
      </w:r>
      <w:r>
        <w:t xml:space="preserve">And her parents were astonished: but he charged</w:t>
      </w:r>
      <w:r>
        <w:rPr>
          <w:rStyle w:val="FootnoteReference"/>
        </w:rPr>
        <w:footnoteReference w:id="15546"/>
      </w:r>
      <w:r>
        <w:t xml:space="preserve"> them that they should tell no one what was done.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Then he called his twelve disciples together, and gave</w:t>
      </w:r>
      <w:r>
        <w:rPr>
          <w:rStyle w:val="FootnoteReference"/>
        </w:rPr>
        <w:footnoteReference w:id="15547"/>
      </w:r>
      <w:r>
        <w:t xml:space="preserve"> them power and authority over all demons, and to cure diseases.</w:t>
      </w:r>
    </w:p>
    <w:p>
      <w:r>
        <w:rPr>
          <w:b/>
        </w:rPr>
        <w:t xml:space="preserve">2 </w:t>
      </w:r>
      <w:r>
        <w:t xml:space="preserve">And he sent them to preach the kingdom of God, and to heal the sick.</w:t>
      </w:r>
    </w:p>
    <w:p>
      <w:r>
        <w:rPr>
          <w:b/>
        </w:rPr>
        <w:t xml:space="preserve">3 </w:t>
      </w:r>
      <w:r>
        <w:t xml:space="preserve">And he said to them, Take</w:t>
      </w:r>
      <w:r>
        <w:rPr>
          <w:rStyle w:val="FootnoteReference"/>
        </w:rPr>
        <w:footnoteReference w:id="15548"/>
      </w:r>
      <w:r>
        <w:t xml:space="preserve"> nothing for your journey, neither staffs, nor pouch, neither bread, neither money; neither have two tunics apiece.</w:t>
      </w:r>
    </w:p>
    <w:p>
      <w:r>
        <w:rPr>
          <w:b/>
        </w:rPr>
        <w:t xml:space="preserve">4 </w:t>
      </w:r>
      <w:r>
        <w:t xml:space="preserve">And whatever house you enter into, there remain, and from there depart.</w:t>
      </w:r>
    </w:p>
    <w:p>
      <w:r>
        <w:rPr>
          <w:b/>
        </w:rPr>
        <w:t xml:space="preserve">5 </w:t>
      </w:r>
      <w:r>
        <w:t xml:space="preserve">And whoever will not receive you, when you go out of that city, shake</w:t>
      </w:r>
      <w:r>
        <w:rPr>
          <w:rStyle w:val="FootnoteReference"/>
        </w:rPr>
        <w:footnoteReference w:id="15549"/>
      </w:r>
      <w:r>
        <w:t xml:space="preserve"> off the very dust from your feet for a testimony against them.</w:t>
      </w:r>
    </w:p>
    <w:p>
      <w:r>
        <w:rPr>
          <w:b/>
        </w:rPr>
        <w:t xml:space="preserve">6 </w:t>
      </w:r>
      <w:r>
        <w:t xml:space="preserve">And they departed, and went through the towns, preaching the good news, and healing everywhere.</w:t>
      </w:r>
    </w:p>
    <w:p>
      <w:r>
        <w:rPr>
          <w:b/>
        </w:rPr>
        <w:t xml:space="preserve">7 </w:t>
      </w:r>
      <w:r>
        <w:t xml:space="preserve">Now Herod</w:t>
      </w:r>
      <w:r>
        <w:rPr>
          <w:rStyle w:val="FootnoteReference"/>
        </w:rPr>
        <w:footnoteReference w:id="15550"/>
      </w:r>
      <w:r>
        <w:t xml:space="preserve"> the tetrarch heard of all that was done by him: and he was perplexed, because it was said by some, that John had risen from the dead;</w:t>
      </w:r>
    </w:p>
    <w:p>
      <w:r>
        <w:rPr>
          <w:b/>
        </w:rPr>
        <w:t xml:space="preserve">8 </w:t>
      </w:r>
      <w:r>
        <w:t xml:space="preserve">And by some, that Elijah had appeared; and by others, that one of the old prophets had risen again.</w:t>
      </w:r>
    </w:p>
    <w:p>
      <w:r>
        <w:rPr>
          <w:b/>
        </w:rPr>
        <w:t xml:space="preserve">9 </w:t>
      </w:r>
      <w:r>
        <w:t xml:space="preserve">And Herod said, John</w:t>
      </w:r>
      <w:r>
        <w:rPr>
          <w:rStyle w:val="FootnoteReference"/>
        </w:rPr>
        <w:footnoteReference w:id="15551"/>
      </w:r>
      <w:r>
        <w:t xml:space="preserve"> I have beheaded: but who is this, of whom I hear such things? And he sought to see him.</w:t>
      </w:r>
    </w:p>
    <w:p>
      <w:r>
        <w:rPr>
          <w:b/>
        </w:rPr>
        <w:t xml:space="preserve">10 </w:t>
      </w:r>
      <w:r>
        <w:t xml:space="preserve">And the apostles</w:t>
      </w:r>
      <w:r>
        <w:rPr>
          <w:rStyle w:val="FootnoteReference"/>
        </w:rPr>
        <w:footnoteReference w:id="15552"/>
      </w:r>
      <w:r>
        <w:t xml:space="preserve">, when they had returned, told him all that they had done. And he took them, and went aside privately into a deserted place belonging to the city called Bethsaida.</w:t>
      </w:r>
    </w:p>
    <w:p>
      <w:r>
        <w:rPr>
          <w:b/>
        </w:rPr>
        <w:t xml:space="preserve">11 </w:t>
      </w:r>
      <w:r>
        <w:t xml:space="preserve">And the people, when they knew it, followed him: and he received them, and spoke to them of the kingdom</w:t>
      </w:r>
      <w:r>
        <w:rPr>
          <w:rStyle w:val="FootnoteReference"/>
        </w:rPr>
        <w:footnoteReference w:id="15553"/>
      </w:r>
      <w:r>
        <w:t xml:space="preserve"> of God, and healed those who had need of healing.</w:t>
      </w:r>
    </w:p>
    <w:p>
      <w:r>
        <w:rPr>
          <w:b/>
        </w:rPr>
        <w:t xml:space="preserve">12 </w:t>
      </w:r>
      <w:r>
        <w:t xml:space="preserve">And when the day began to wear away, then came the twelve, and said to him, Send</w:t>
      </w:r>
      <w:r>
        <w:rPr>
          <w:rStyle w:val="FootnoteReference"/>
        </w:rPr>
        <w:footnoteReference w:id="15554"/>
      </w:r>
      <w:r>
        <w:t xml:space="preserve"> the crowd away, that they may go into the towns and country round about, and lodge, and get food: for we are here in a desert place.</w:t>
      </w:r>
    </w:p>
    <w:p>
      <w:r>
        <w:rPr>
          <w:b/>
        </w:rPr>
        <w:t xml:space="preserve">13 </w:t>
      </w:r>
      <w:r>
        <w:t xml:space="preserve">But he said to them, Give</w:t>
      </w:r>
      <w:r>
        <w:rPr>
          <w:rStyle w:val="FootnoteReference"/>
        </w:rPr>
        <w:footnoteReference w:id="15555"/>
      </w:r>
      <w:r>
        <w:t xml:space="preserve"> you them to eat. And they said, We have no more but five loaves and two fish; except we should go and buy food for all this people.</w:t>
      </w:r>
    </w:p>
    <w:p>
      <w:r>
        <w:rPr>
          <w:b/>
        </w:rPr>
        <w:t xml:space="preserve">14 </w:t>
      </w:r>
      <w:r>
        <w:t xml:space="preserve">For they were about five thousand men. And he said to his disciples, Make</w:t>
      </w:r>
      <w:r>
        <w:rPr>
          <w:rStyle w:val="FootnoteReference"/>
        </w:rPr>
        <w:footnoteReference w:id="15556"/>
      </w:r>
      <w:r>
        <w:t xml:space="preserve"> them sit down by fifties in a group.</w:t>
      </w:r>
    </w:p>
    <w:p>
      <w:r>
        <w:rPr>
          <w:b/>
        </w:rPr>
        <w:t xml:space="preserve">15 </w:t>
      </w:r>
      <w:r>
        <w:t xml:space="preserve">And they did so, and made them all sit down.</w:t>
      </w:r>
    </w:p>
    <w:p>
      <w:r>
        <w:rPr>
          <w:b/>
        </w:rPr>
        <w:t xml:space="preserve">16 </w:t>
      </w:r>
      <w:r>
        <w:t xml:space="preserve">Then he took the five loaves and the two fish, and looking</w:t>
      </w:r>
      <w:r>
        <w:rPr>
          <w:rStyle w:val="FootnoteReference"/>
        </w:rPr>
        <w:footnoteReference w:id="15557"/>
      </w:r>
      <w:r>
        <w:t xml:space="preserve"> up to heaven, he blessed them, and broke, and gave to the disciples to set before the crowd.</w:t>
      </w:r>
    </w:p>
    <w:p>
      <w:r>
        <w:rPr>
          <w:b/>
        </w:rPr>
        <w:t xml:space="preserve">17 </w:t>
      </w:r>
      <w:r>
        <w:t xml:space="preserve">And they ate, and were all filled: and there</w:t>
      </w:r>
      <w:r>
        <w:rPr>
          <w:rStyle w:val="FootnoteReference"/>
        </w:rPr>
        <w:footnoteReference w:id="15558"/>
      </w:r>
      <w:r>
        <w:t xml:space="preserve"> was taken up of fragments that remained to them twelve baskets.</w:t>
      </w:r>
    </w:p>
    <w:p>
      <w:r>
        <w:rPr>
          <w:b/>
        </w:rPr>
        <w:t xml:space="preserve">18 </w:t>
      </w:r>
      <w:r>
        <w:t xml:space="preserve">And it happened, as he was alone praying, his disciples were with him: and he asked them, saying, Who do the people say that I am?</w:t>
      </w:r>
    </w:p>
    <w:p>
      <w:r>
        <w:rPr>
          <w:b/>
        </w:rPr>
        <w:t xml:space="preserve">19 </w:t>
      </w:r>
      <w:r>
        <w:t xml:space="preserve">They answering said, John</w:t>
      </w:r>
      <w:r>
        <w:rPr>
          <w:rStyle w:val="FootnoteReference"/>
        </w:rPr>
        <w:footnoteReference w:id="15559"/>
      </w:r>
      <w:r>
        <w:t xml:space="preserve"> the Baptist; but some say, Elijah; and others say, that one of the old prophets has risen again.</w:t>
      </w:r>
    </w:p>
    <w:p>
      <w:r>
        <w:rPr>
          <w:b/>
        </w:rPr>
        <w:t xml:space="preserve">20 </w:t>
      </w:r>
      <w:r>
        <w:t xml:space="preserve">He said to them, But who do you say that I am? Peter answering said, The Christ of God.</w:t>
      </w:r>
    </w:p>
    <w:p>
      <w:r>
        <w:rPr>
          <w:b/>
        </w:rPr>
        <w:t xml:space="preserve">21 </w:t>
      </w:r>
      <w:r>
        <w:t xml:space="preserve">And he strictly charged them, and commanded them to tell this to no one;</w:t>
      </w:r>
    </w:p>
    <w:p>
      <w:r>
        <w:rPr>
          <w:b/>
        </w:rPr>
        <w:t xml:space="preserve">22 </w:t>
      </w:r>
      <w:r>
        <w:t xml:space="preserve">Saying, The Son of man must suffer many things, and be rejected of the elders and chief priests and scribes, and be killed, and be raised the third day.</w:t>
      </w:r>
    </w:p>
    <w:p>
      <w:r>
        <w:rPr>
          <w:b/>
        </w:rPr>
        <w:t xml:space="preserve">23 </w:t>
      </w:r>
      <w:r>
        <w:t xml:space="preserve">And he said to them all, If anyone will come after me, let him deny</w:t>
      </w:r>
      <w:r>
        <w:rPr>
          <w:rStyle w:val="FootnoteReference"/>
        </w:rPr>
        <w:footnoteReference w:id="15560"/>
      </w:r>
      <w:r>
        <w:t xml:space="preserve"> himself, and take up his cross daily, and follow me.</w:t>
      </w:r>
    </w:p>
    <w:p>
      <w:r>
        <w:rPr>
          <w:b/>
        </w:rPr>
        <w:t xml:space="preserve">24 </w:t>
      </w:r>
      <w:r>
        <w:t xml:space="preserve">For whoever will save his life shall lose it: but whoever will lose his life for my sake, the same shall save it.</w:t>
      </w:r>
    </w:p>
    <w:p>
      <w:r>
        <w:rPr>
          <w:b/>
        </w:rPr>
        <w:t xml:space="preserve">25 </w:t>
      </w:r>
      <w:r>
        <w:t xml:space="preserve">For what is a man profited, if he gains the whole world, and loses himself, or is cast away?</w:t>
      </w:r>
    </w:p>
    <w:p>
      <w:r>
        <w:rPr>
          <w:b/>
        </w:rPr>
        <w:t xml:space="preserve">26 </w:t>
      </w:r>
      <w:r>
        <w:t xml:space="preserve">For whoever shall be ashamed of me and of my words, of him</w:t>
      </w:r>
      <w:r>
        <w:rPr>
          <w:rStyle w:val="FootnoteReference"/>
        </w:rPr>
        <w:footnoteReference w:id="15561"/>
      </w:r>
      <w:r>
        <w:t xml:space="preserve"> shall the Son of man be ashamed, when he shall come in his own glory, and in his Father's, and of the holy angels.</w:t>
      </w:r>
    </w:p>
    <w:p>
      <w:r>
        <w:rPr>
          <w:b/>
        </w:rPr>
        <w:t xml:space="preserve">27 </w:t>
      </w:r>
      <w:r>
        <w:t xml:space="preserve">But I tell</w:t>
      </w:r>
      <w:r>
        <w:rPr>
          <w:rStyle w:val="FootnoteReference"/>
        </w:rPr>
        <w:footnoteReference w:id="15562"/>
      </w:r>
      <w:r>
        <w:t xml:space="preserve"> you truthfully, there are some standing here, who shall not taste of death, till they see the kingdom of God.</w:t>
      </w:r>
    </w:p>
    <w:p>
      <w:r>
        <w:rPr>
          <w:b/>
        </w:rPr>
        <w:t xml:space="preserve">28 </w:t>
      </w:r>
      <w:r>
        <w:t xml:space="preserve">And it happened about eight days after these sayings, he took Peter and John and James, and went up onto a mountain to pray.</w:t>
      </w:r>
    </w:p>
    <w:p>
      <w:r>
        <w:rPr>
          <w:b/>
        </w:rPr>
        <w:t xml:space="preserve">29 </w:t>
      </w:r>
      <w:r>
        <w:t xml:space="preserve">And as he prayed, the appearance of his face was altered, and his clothing was white and flashing.</w:t>
      </w:r>
    </w:p>
    <w:p>
      <w:r>
        <w:rPr>
          <w:b/>
        </w:rPr>
        <w:t xml:space="preserve">30 </w:t>
      </w:r>
      <w:r>
        <w:t xml:space="preserve">And, look, there talked with him two men, who were Moses and Elijah:</w:t>
      </w:r>
    </w:p>
    <w:p>
      <w:r>
        <w:rPr>
          <w:b/>
        </w:rPr>
        <w:t xml:space="preserve">31 </w:t>
      </w:r>
      <w:r>
        <w:t xml:space="preserve">Who appeared</w:t>
      </w:r>
      <w:r>
        <w:rPr>
          <w:rStyle w:val="FootnoteReference"/>
        </w:rPr>
        <w:footnoteReference w:id="15563"/>
      </w:r>
      <w:r>
        <w:t xml:space="preserve"> in glory, and spoke of his departure which he should accomplish at Jerusalem.</w:t>
      </w:r>
    </w:p>
    <w:p>
      <w:r>
        <w:rPr>
          <w:b/>
        </w:rPr>
        <w:t xml:space="preserve">32 </w:t>
      </w:r>
      <w:r>
        <w:t xml:space="preserve">But Peter and those who were with him were heavy</w:t>
      </w:r>
      <w:r>
        <w:rPr>
          <w:rStyle w:val="FootnoteReference"/>
        </w:rPr>
        <w:footnoteReference w:id="15564"/>
      </w:r>
      <w:r>
        <w:t xml:space="preserve"> with sleep: and when they were fully awake, they saw his glory, and the two men that stood with him.</w:t>
      </w:r>
    </w:p>
    <w:p>
      <w:r>
        <w:rPr>
          <w:b/>
        </w:rPr>
        <w:t xml:space="preserve">33 </w:t>
      </w:r>
      <w:r>
        <w:t xml:space="preserve">And it happened, as they departed from him, Peter said to Jesus, Master, it is good for us to be here: and let</w:t>
      </w:r>
      <w:r>
        <w:rPr>
          <w:rStyle w:val="FootnoteReference"/>
        </w:rPr>
        <w:footnoteReference w:id="15565"/>
      </w:r>
      <w:r>
        <w:t xml:space="preserve"> us make three tabernacles; one for you, and one for Moses, and one for Elijah: not knowing what he said.</w:t>
      </w:r>
    </w:p>
    <w:p>
      <w:r>
        <w:rPr>
          <w:b/>
        </w:rPr>
        <w:t xml:space="preserve">34 </w:t>
      </w:r>
      <w:r>
        <w:t xml:space="preserve">While he thus spoke, there came a cloud, and overshadowed them: and they feared as they entered into the cloud.</w:t>
      </w:r>
    </w:p>
    <w:p>
      <w:r>
        <w:rPr>
          <w:b/>
        </w:rPr>
        <w:t xml:space="preserve">35 </w:t>
      </w:r>
      <w:r>
        <w:t xml:space="preserve">And there came a voice out of the cloud, saying, This is my beloved Son: hear</w:t>
      </w:r>
      <w:r>
        <w:rPr>
          <w:rStyle w:val="FootnoteReference"/>
        </w:rPr>
        <w:footnoteReference w:id="15566"/>
      </w:r>
      <w:r>
        <w:t xml:space="preserve"> him.</w:t>
      </w:r>
    </w:p>
    <w:p>
      <w:r>
        <w:rPr>
          <w:b/>
        </w:rPr>
        <w:t xml:space="preserve">36 </w:t>
      </w:r>
      <w:r>
        <w:t xml:space="preserve">And when the voice was past, Jesus was found alone. And they kept it secret, and told no one in those days any of those things which they had seen.</w:t>
      </w:r>
    </w:p>
    <w:p>
      <w:r>
        <w:rPr>
          <w:b/>
        </w:rPr>
        <w:t xml:space="preserve">37 </w:t>
      </w:r>
      <w:r>
        <w:t xml:space="preserve">And it happened, that on the next day, when they had come down from the hill, a great crowd met him.</w:t>
      </w:r>
    </w:p>
    <w:p>
      <w:r>
        <w:rPr>
          <w:b/>
        </w:rPr>
        <w:t xml:space="preserve">38 </w:t>
      </w:r>
      <w:r>
        <w:t xml:space="preserve">And, look</w:t>
      </w:r>
      <w:r>
        <w:rPr>
          <w:rStyle w:val="FootnoteReference"/>
        </w:rPr>
        <w:footnoteReference w:id="15567"/>
      </w:r>
      <w:r>
        <w:t xml:space="preserve">, a man of the crowd cried out, saying, Teacher, I beg you, look upon my son: for he is my only child.</w:t>
      </w:r>
    </w:p>
    <w:p>
      <w:r>
        <w:rPr>
          <w:b/>
        </w:rPr>
        <w:t xml:space="preserve">39 </w:t>
      </w:r>
      <w:r>
        <w:t xml:space="preserve">And, look, a spirit takes him, and he suddenly cries out; and it tears him so that he foams again, and with difficulty departs from him, bruising him.</w:t>
      </w:r>
    </w:p>
    <w:p>
      <w:r>
        <w:rPr>
          <w:b/>
        </w:rPr>
        <w:t xml:space="preserve">40 </w:t>
      </w:r>
      <w:r>
        <w:t xml:space="preserve">And I begged your disciples to cast him out; and they could not.</w:t>
      </w:r>
    </w:p>
    <w:p>
      <w:r>
        <w:rPr>
          <w:b/>
        </w:rPr>
        <w:t xml:space="preserve">41 </w:t>
      </w:r>
      <w:r>
        <w:t xml:space="preserve">And Jesus answering said, O faithless</w:t>
      </w:r>
      <w:r>
        <w:rPr>
          <w:rStyle w:val="FootnoteReference"/>
        </w:rPr>
        <w:footnoteReference w:id="15568"/>
      </w:r>
      <w:r>
        <w:t xml:space="preserve"> and perverse generation, how long shall I be with you, and bear with you? Bring your son here.</w:t>
      </w:r>
    </w:p>
    <w:p>
      <w:r>
        <w:rPr>
          <w:b/>
        </w:rPr>
        <w:t xml:space="preserve">42 </w:t>
      </w:r>
      <w:r>
        <w:t xml:space="preserve">And as he was yet a coming, the demon threw him down, and tare him. And Jesus rebuked the unclean spirit, and healed the child, and delivered</w:t>
      </w:r>
      <w:r>
        <w:rPr>
          <w:rStyle w:val="FootnoteReference"/>
        </w:rPr>
        <w:footnoteReference w:id="15569"/>
      </w:r>
      <w:r>
        <w:t xml:space="preserve"> him again to his father.</w:t>
      </w:r>
    </w:p>
    <w:p>
      <w:r>
        <w:rPr>
          <w:b/>
        </w:rPr>
        <w:t xml:space="preserve">43 </w:t>
      </w:r>
      <w:r>
        <w:t xml:space="preserve">And they were all amazed</w:t>
      </w:r>
      <w:r>
        <w:rPr>
          <w:rStyle w:val="FootnoteReference"/>
        </w:rPr>
        <w:footnoteReference w:id="15570"/>
      </w:r>
      <w:r>
        <w:t xml:space="preserve"> at the mighty power of God. But while every one wondered at all things which Jesus did, he said to his disciples,</w:t>
      </w:r>
    </w:p>
    <w:p>
      <w:r>
        <w:rPr>
          <w:b/>
        </w:rPr>
        <w:t xml:space="preserve">44 </w:t>
      </w:r>
      <w:r>
        <w:t xml:space="preserve">Let these sayings sink down into your ears: for the Son of man shall be delivered into the hands of men.</w:t>
      </w:r>
    </w:p>
    <w:p>
      <w:r>
        <w:rPr>
          <w:b/>
        </w:rPr>
        <w:t xml:space="preserve">45 </w:t>
      </w:r>
      <w:r>
        <w:t xml:space="preserve">But they did not understand this saying, and it was hidden from them, so that they did not perceive it: and they feared to ask him about that saying.</w:t>
      </w:r>
    </w:p>
    <w:p>
      <w:r>
        <w:rPr>
          <w:b/>
        </w:rPr>
        <w:t xml:space="preserve">46 </w:t>
      </w:r>
      <w:r>
        <w:t xml:space="preserve">Then there arose a reasoning among them, which of them should be greatest.</w:t>
      </w:r>
    </w:p>
    <w:p>
      <w:r>
        <w:rPr>
          <w:b/>
        </w:rPr>
        <w:t xml:space="preserve">47 </w:t>
      </w:r>
      <w:r>
        <w:t xml:space="preserve">And Jesus, perceiving</w:t>
      </w:r>
      <w:r>
        <w:rPr>
          <w:rStyle w:val="FootnoteReference"/>
        </w:rPr>
        <w:footnoteReference w:id="15571"/>
      </w:r>
      <w:r>
        <w:t xml:space="preserve"> the thought of their heart, took a child, and set him by him,</w:t>
      </w:r>
    </w:p>
    <w:p>
      <w:r>
        <w:rPr>
          <w:b/>
        </w:rPr>
        <w:t xml:space="preserve">48 </w:t>
      </w:r>
      <w:r>
        <w:t xml:space="preserve">And said to them, Whoever shall receive this child in my name receives me: and whoever shall receive me receives him who sent me: for the one who is least among you all, the same shall be great.</w:t>
      </w:r>
    </w:p>
    <w:p>
      <w:r>
        <w:rPr>
          <w:b/>
        </w:rPr>
        <w:t xml:space="preserve">49 </w:t>
      </w:r>
      <w:r>
        <w:t xml:space="preserve">And John answered and said, Master, we saw</w:t>
      </w:r>
      <w:r>
        <w:rPr>
          <w:rStyle w:val="FootnoteReference"/>
        </w:rPr>
        <w:footnoteReference w:id="15572"/>
      </w:r>
      <w:r>
        <w:t xml:space="preserve"> one casting out demons in your name; and we forbade him, because he follows not with us.</w:t>
      </w:r>
    </w:p>
    <w:p>
      <w:r>
        <w:rPr>
          <w:b/>
        </w:rPr>
        <w:t xml:space="preserve">50 </w:t>
      </w:r>
      <w:r>
        <w:t xml:space="preserve">And Jesus said to him, Do not forbid</w:t>
      </w:r>
      <w:r>
        <w:rPr>
          <w:rStyle w:val="FootnoteReference"/>
        </w:rPr>
        <w:footnoteReference w:id="15573"/>
      </w:r>
      <w:r>
        <w:t xml:space="preserve"> him: for the one who is not against us is for us.</w:t>
      </w:r>
    </w:p>
    <w:p>
      <w:r>
        <w:rPr>
          <w:b/>
        </w:rPr>
        <w:t xml:space="preserve">51 </w:t>
      </w:r>
      <w:r>
        <w:t xml:space="preserve">And it happened, when the time had come that he should be received up, he steadfastly set his face to go to Jerusalem,</w:t>
      </w:r>
    </w:p>
    <w:p>
      <w:r>
        <w:rPr>
          <w:b/>
        </w:rPr>
        <w:t xml:space="preserve">52 </w:t>
      </w:r>
      <w:r>
        <w:t xml:space="preserve">And sent</w:t>
      </w:r>
      <w:r>
        <w:rPr>
          <w:rStyle w:val="FootnoteReference"/>
        </w:rPr>
        <w:footnoteReference w:id="15574"/>
      </w:r>
      <w:r>
        <w:t xml:space="preserve"> messengers before his face: and they went, and entered into a village of the Samaritans, to make ready for him.</w:t>
      </w:r>
    </w:p>
    <w:p>
      <w:r>
        <w:rPr>
          <w:b/>
        </w:rPr>
        <w:t xml:space="preserve">53 </w:t>
      </w:r>
      <w:r>
        <w:t xml:space="preserve">And they did not receive him, because his face was as though he would go to Jerusalem.</w:t>
      </w:r>
    </w:p>
    <w:p>
      <w:r>
        <w:rPr>
          <w:b/>
        </w:rPr>
        <w:t xml:space="preserve">54 </w:t>
      </w:r>
      <w:r>
        <w:t xml:space="preserve">And when his disciples James and John saw this, they said, Lord, do you want us to command fire</w:t>
      </w:r>
      <w:r>
        <w:rPr>
          <w:rStyle w:val="FootnoteReference"/>
        </w:rPr>
        <w:footnoteReference w:id="15575"/>
      </w:r>
      <w:r>
        <w:t xml:space="preserve"> to come down from heaven, and consume them, even as Elijah did?</w:t>
      </w:r>
    </w:p>
    <w:p>
      <w:r>
        <w:rPr>
          <w:b/>
        </w:rPr>
        <w:t xml:space="preserve">55 </w:t>
      </w:r>
      <w:r>
        <w:t xml:space="preserve">But he turned, and rebuked</w:t>
      </w:r>
      <w:r>
        <w:rPr>
          <w:rStyle w:val="FootnoteReference"/>
        </w:rPr>
        <w:footnoteReference w:id="15576"/>
      </w:r>
      <w:r>
        <w:t xml:space="preserve"> them, and said, You do not know what manner of spirit you are of.</w:t>
      </w:r>
    </w:p>
    <w:p>
      <w:r>
        <w:rPr>
          <w:b/>
        </w:rPr>
        <w:t xml:space="preserve">56 </w:t>
      </w:r>
      <w:r>
        <w:t xml:space="preserve">For the Son</w:t>
      </w:r>
      <w:r>
        <w:rPr>
          <w:rStyle w:val="FootnoteReference"/>
        </w:rPr>
        <w:footnoteReference w:id="15577"/>
      </w:r>
      <w:r>
        <w:t xml:space="preserve"> of man is not come to destroy men's lives, but to save them. And they went to another village.</w:t>
      </w:r>
    </w:p>
    <w:p>
      <w:r>
        <w:rPr>
          <w:b/>
        </w:rPr>
        <w:t xml:space="preserve">57 </w:t>
      </w:r>
      <w:r>
        <w:t xml:space="preserve">And it happened, that, as they went in the way, a certain man said to him, Lord, I will follow you anywhere you go.</w:t>
      </w:r>
    </w:p>
    <w:p>
      <w:r>
        <w:rPr>
          <w:b/>
        </w:rPr>
        <w:t xml:space="preserve">58 </w:t>
      </w:r>
      <w:r>
        <w:t xml:space="preserve">And Jesus</w:t>
      </w:r>
      <w:r>
        <w:rPr>
          <w:rStyle w:val="FootnoteReference"/>
        </w:rPr>
        <w:footnoteReference w:id="15578"/>
      </w:r>
      <w:r>
        <w:t xml:space="preserve"> said to him, Foxes have holes, and birds of the air have nests; but the Son of man has nowhere to lay his head.</w:t>
      </w:r>
    </w:p>
    <w:p>
      <w:r>
        <w:rPr>
          <w:b/>
        </w:rPr>
        <w:t xml:space="preserve">59 </w:t>
      </w:r>
      <w:r>
        <w:t xml:space="preserve">And he said to another, Follow me</w:t>
      </w:r>
      <w:r>
        <w:rPr>
          <w:rStyle w:val="FootnoteReference"/>
        </w:rPr>
        <w:footnoteReference w:id="15579"/>
      </w:r>
      <w:r>
        <w:t xml:space="preserve">. But he said, Lord, allow me first to go and bury my father.</w:t>
      </w:r>
    </w:p>
    <w:p>
      <w:r>
        <w:rPr>
          <w:b/>
        </w:rPr>
        <w:t xml:space="preserve">60 </w:t>
      </w:r>
      <w:r>
        <w:t xml:space="preserve">Jesus said to him, Let the dead bury their dead: but go and preach the kingdom of God.</w:t>
      </w:r>
    </w:p>
    <w:p>
      <w:r>
        <w:rPr>
          <w:b/>
        </w:rPr>
        <w:t xml:space="preserve">61 </w:t>
      </w:r>
      <w:r>
        <w:t xml:space="preserve">And another also said, Lord, I will follow you; but let me first go bid farewell to those who are at home at my house.</w:t>
      </w:r>
    </w:p>
    <w:p>
      <w:r>
        <w:rPr>
          <w:b/>
        </w:rPr>
        <w:t xml:space="preserve">62 </w:t>
      </w:r>
      <w:r>
        <w:t xml:space="preserve">And Jesus said to him, No one, having put his hand to the plow, and looking back, is fit for the kingdom of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After these things the Lord appointed seventy others also, and sent them two by two before his face into every city and place, where he himself would come.</w:t>
      </w:r>
    </w:p>
    <w:p>
      <w:r>
        <w:rPr>
          <w:b/>
        </w:rPr>
        <w:t xml:space="preserve">2 </w:t>
      </w:r>
      <w:r>
        <w:t xml:space="preserve">Therefore said he to them, The harvest</w:t>
      </w:r>
      <w:r>
        <w:rPr>
          <w:rStyle w:val="FootnoteReference"/>
        </w:rPr>
        <w:footnoteReference w:id="15580"/>
      </w:r>
      <w:r>
        <w:t xml:space="preserve"> truly is great, but the laborers are few: Pray therefore to the Lord of the harvest, that he would send forth laborers into his harvest.</w:t>
      </w:r>
    </w:p>
    <w:p>
      <w:r>
        <w:rPr>
          <w:b/>
        </w:rPr>
        <w:t xml:space="preserve">3 </w:t>
      </w:r>
      <w:r>
        <w:t xml:space="preserve">Go your ways: look, I send</w:t>
      </w:r>
      <w:r>
        <w:rPr>
          <w:rStyle w:val="FootnoteReference"/>
        </w:rPr>
        <w:footnoteReference w:id="15581"/>
      </w:r>
      <w:r>
        <w:t xml:space="preserve"> you forth as lambs among wolves.</w:t>
      </w:r>
    </w:p>
    <w:p>
      <w:r>
        <w:rPr>
          <w:b/>
        </w:rPr>
        <w:t xml:space="preserve">4 </w:t>
      </w:r>
      <w:r>
        <w:t xml:space="preserve">Carry neither purse, nor pouch, nor shoes: and greet no one on the way.</w:t>
      </w:r>
    </w:p>
    <w:p>
      <w:r>
        <w:rPr>
          <w:b/>
        </w:rPr>
        <w:t xml:space="preserve">5 </w:t>
      </w:r>
      <w:r>
        <w:t xml:space="preserve">And into whatever house you enter, first say, Peace be to this house.</w:t>
      </w:r>
    </w:p>
    <w:p>
      <w:r>
        <w:rPr>
          <w:b/>
        </w:rPr>
        <w:t xml:space="preserve">6 </w:t>
      </w:r>
      <w:r>
        <w:t xml:space="preserve">And if the son</w:t>
      </w:r>
      <w:r>
        <w:rPr>
          <w:rStyle w:val="FootnoteReference"/>
        </w:rPr>
        <w:footnoteReference w:id="15582"/>
      </w:r>
      <w:r>
        <w:t xml:space="preserve"> of peace is there, your peace shall rest upon it: if not, it shall return to you again.</w:t>
      </w:r>
    </w:p>
    <w:p>
      <w:r>
        <w:rPr>
          <w:b/>
        </w:rPr>
        <w:t xml:space="preserve">7 </w:t>
      </w:r>
      <w:r>
        <w:t xml:space="preserve">And in the same house remain, eating and drinking such things as they give: for the laborer is worthy of his hire. Do not go from house to house.</w:t>
      </w:r>
    </w:p>
    <w:p>
      <w:r>
        <w:rPr>
          <w:b/>
        </w:rPr>
        <w:t xml:space="preserve">8 </w:t>
      </w:r>
      <w:r>
        <w:t xml:space="preserve">And into whatever city you enter, and they receive you, eat such things as are set before you:</w:t>
      </w:r>
    </w:p>
    <w:p>
      <w:r>
        <w:rPr>
          <w:b/>
        </w:rPr>
        <w:t xml:space="preserve">9 </w:t>
      </w:r>
      <w:r>
        <w:t xml:space="preserve">And heal</w:t>
      </w:r>
      <w:r>
        <w:rPr>
          <w:rStyle w:val="FootnoteReference"/>
        </w:rPr>
        <w:footnoteReference w:id="15583"/>
      </w:r>
      <w:r>
        <w:t xml:space="preserve"> the sick that are in it, and say to them, The kingdom of God has come near to you.</w:t>
      </w:r>
    </w:p>
    <w:p>
      <w:r>
        <w:rPr>
          <w:b/>
        </w:rPr>
        <w:t xml:space="preserve">10 </w:t>
      </w:r>
      <w:r>
        <w:t xml:space="preserve">But into whatever city you enter, and they do not receive you, go out into its streets, and say,</w:t>
      </w:r>
    </w:p>
    <w:p>
      <w:r>
        <w:rPr>
          <w:b/>
        </w:rPr>
        <w:t xml:space="preserve">11 </w:t>
      </w:r>
      <w:r>
        <w:t xml:space="preserve">Even the very dust of your city, which clings to us, we wipe off against you: nevertheless be sure of this, that the kingdom of God has come near to you.</w:t>
      </w:r>
    </w:p>
    <w:p>
      <w:r>
        <w:rPr>
          <w:b/>
        </w:rPr>
        <w:t xml:space="preserve">12 </w:t>
      </w:r>
      <w:r>
        <w:t xml:space="preserve">But I say to you, that it shall be more tolerable in that day for Sodom, than for that city.</w:t>
      </w:r>
    </w:p>
    <w:p>
      <w:r>
        <w:rPr>
          <w:b/>
        </w:rPr>
        <w:t xml:space="preserve">13 </w:t>
      </w:r>
      <w:r>
        <w:t xml:space="preserve">Woe to you, Chorazin! woe to you, Bethsaida! for if the mighty works had been done in Tyre</w:t>
      </w:r>
      <w:r>
        <w:rPr>
          <w:rStyle w:val="FootnoteReference"/>
        </w:rPr>
        <w:footnoteReference w:id="15584"/>
      </w:r>
      <w:r>
        <w:t xml:space="preserve"> and Sidon, which have been done in you, they would have repented a great while ago, sitting in sackcloth and ashes.</w:t>
      </w:r>
    </w:p>
    <w:p>
      <w:r>
        <w:rPr>
          <w:b/>
        </w:rPr>
        <w:t xml:space="preserve">14 </w:t>
      </w:r>
      <w:r>
        <w:t xml:space="preserve">But it shall be more tolerable for Tyre and Sidon at the judgment, than for you.</w:t>
      </w:r>
    </w:p>
    <w:p>
      <w:r>
        <w:rPr>
          <w:b/>
        </w:rPr>
        <w:t xml:space="preserve">15 </w:t>
      </w:r>
      <w:r>
        <w:t xml:space="preserve">And you, Capernaum</w:t>
      </w:r>
      <w:r>
        <w:rPr>
          <w:rStyle w:val="FootnoteReference"/>
        </w:rPr>
        <w:footnoteReference w:id="15585"/>
      </w:r>
      <w:r>
        <w:t xml:space="preserve">, which are exalted to heaven, shall be thrust down to Hades.</w:t>
      </w:r>
    </w:p>
    <w:p>
      <w:r>
        <w:rPr>
          <w:b/>
        </w:rPr>
        <w:t xml:space="preserve">16 </w:t>
      </w:r>
      <w:r>
        <w:t xml:space="preserve">The one who hears you hears me; and the one who despises you despises me; and the one who despises me despises him who sent me.</w:t>
      </w:r>
    </w:p>
    <w:p>
      <w:r>
        <w:rPr>
          <w:b/>
        </w:rPr>
        <w:t xml:space="preserve">17 </w:t>
      </w:r>
      <w:r>
        <w:t xml:space="preserve">And the seventy returned again with joy, saying, Lord, even the demons are subject to us through your name.</w:t>
      </w:r>
    </w:p>
    <w:p>
      <w:r>
        <w:rPr>
          <w:b/>
        </w:rPr>
        <w:t xml:space="preserve">18 </w:t>
      </w:r>
      <w:r>
        <w:t xml:space="preserve">And he said to them, I beheld Satan</w:t>
      </w:r>
      <w:r>
        <w:rPr>
          <w:rStyle w:val="FootnoteReference"/>
        </w:rPr>
        <w:footnoteReference w:id="15586"/>
      </w:r>
      <w:r>
        <w:t xml:space="preserve"> fall as lightning from heaven.</w:t>
      </w:r>
    </w:p>
    <w:p>
      <w:r>
        <w:rPr>
          <w:b/>
        </w:rPr>
        <w:t xml:space="preserve">19 </w:t>
      </w:r>
      <w:r>
        <w:t xml:space="preserve">Look, I give</w:t>
      </w:r>
      <w:r>
        <w:rPr>
          <w:rStyle w:val="FootnoteReference"/>
        </w:rPr>
        <w:footnoteReference w:id="15587"/>
      </w:r>
      <w:r>
        <w:t xml:space="preserve"> to you authority to tread on serpents and scorpions, and over all the power of the enemy: and nothing shall by any means hurt you.</w:t>
      </w:r>
    </w:p>
    <w:p>
      <w:r>
        <w:rPr>
          <w:b/>
        </w:rPr>
        <w:t xml:space="preserve">20 </w:t>
      </w:r>
      <w:r>
        <w:t xml:space="preserve">Nevertheless do not rejoice in this</w:t>
      </w:r>
      <w:r>
        <w:rPr>
          <w:rStyle w:val="FootnoteReference"/>
        </w:rPr>
        <w:footnoteReference w:id="15588"/>
      </w:r>
      <w:r>
        <w:t xml:space="preserve">, that the spirits are subject to you; but rather rejoice, because your names are written in heaven.</w:t>
      </w:r>
    </w:p>
    <w:p>
      <w:r>
        <w:rPr>
          <w:b/>
        </w:rPr>
        <w:t xml:space="preserve">21 </w:t>
      </w:r>
      <w:r>
        <w:t xml:space="preserve">In that hour Jesus</w:t>
      </w:r>
      <w:r>
        <w:rPr>
          <w:rStyle w:val="FootnoteReference"/>
        </w:rPr>
        <w:footnoteReference w:id="15589"/>
      </w:r>
      <w:r>
        <w:t xml:space="preserve"> rejoiced in spirit, and said, I thank you, O Father, Lord of heaven and earth, that you have hidden these things from the wise and prudent, and have revealed them to babes: even so, Father; for so it seemed good in your sight.</w:t>
      </w:r>
    </w:p>
    <w:p>
      <w:r>
        <w:rPr>
          <w:b/>
        </w:rPr>
        <w:t xml:space="preserve">22 </w:t>
      </w:r>
      <w:r>
        <w:t xml:space="preserve">All things</w:t>
      </w:r>
      <w:r>
        <w:rPr>
          <w:rStyle w:val="FootnoteReference"/>
        </w:rPr>
        <w:footnoteReference w:id="15590"/>
      </w:r>
      <w:r>
        <w:t xml:space="preserve"> are delivered to me by my Father: and no one knows who the Son is, but the Father; and who the Father is, but the Son, and he to whom the Son will reveal him.</w:t>
      </w:r>
    </w:p>
    <w:p>
      <w:r>
        <w:rPr>
          <w:b/>
        </w:rPr>
        <w:t xml:space="preserve">23 </w:t>
      </w:r>
      <w:r>
        <w:t xml:space="preserve">And he turned to his disciples, and said privately, Blessed</w:t>
      </w:r>
      <w:r>
        <w:rPr>
          <w:rStyle w:val="FootnoteReference"/>
        </w:rPr>
        <w:footnoteReference w:id="15591"/>
      </w:r>
      <w:r>
        <w:t xml:space="preserve"> are the eyes which see the things that you see:</w:t>
      </w:r>
    </w:p>
    <w:p>
      <w:r>
        <w:rPr>
          <w:b/>
        </w:rPr>
        <w:t xml:space="preserve">24 </w:t>
      </w:r>
      <w:r>
        <w:t xml:space="preserve">For I tell you, that many prophets and kings have desired to see those things which you see, and have not seen them; and to hear those things which you hear, and have not heard them.</w:t>
      </w:r>
    </w:p>
    <w:p>
      <w:r>
        <w:rPr>
          <w:b/>
        </w:rPr>
        <w:t xml:space="preserve">25 </w:t>
      </w:r>
      <w:r>
        <w:t xml:space="preserve">And, look, a certain lawyer stood up, and tested him, saying, Teacher, what shall I do to inherit eternal life?</w:t>
      </w:r>
    </w:p>
    <w:p>
      <w:r>
        <w:rPr>
          <w:b/>
        </w:rPr>
        <w:t xml:space="preserve">26 </w:t>
      </w:r>
      <w:r>
        <w:t xml:space="preserve">He said to him, What is written in the law? how do you read?</w:t>
      </w:r>
    </w:p>
    <w:p>
      <w:r>
        <w:rPr>
          <w:b/>
        </w:rPr>
        <w:t xml:space="preserve">27 </w:t>
      </w:r>
      <w:r>
        <w:t xml:space="preserve">And he answering said, You shall love the Lord your God with all your heart, and with all your soul, and with all your strength, and with all your mind; and your neighbor as yourself.</w:t>
      </w:r>
    </w:p>
    <w:p>
      <w:r>
        <w:rPr>
          <w:b/>
        </w:rPr>
        <w:t xml:space="preserve">28 </w:t>
      </w:r>
      <w:r>
        <w:t xml:space="preserve">And he said to him, You have answered rightly: do this, and you shall live.</w:t>
      </w:r>
    </w:p>
    <w:p>
      <w:r>
        <w:rPr>
          <w:b/>
        </w:rPr>
        <w:t xml:space="preserve">29 </w:t>
      </w:r>
      <w:r>
        <w:t xml:space="preserve">But he, willing</w:t>
      </w:r>
      <w:r>
        <w:rPr>
          <w:rStyle w:val="FootnoteReference"/>
        </w:rPr>
        <w:footnoteReference w:id="15592"/>
      </w:r>
      <w:r>
        <w:t xml:space="preserve"> to justify himself, said to Jesus, And who is my neighbor?</w:t>
      </w:r>
    </w:p>
    <w:p>
      <w:r>
        <w:rPr>
          <w:b/>
        </w:rPr>
        <w:t xml:space="preserve">30 </w:t>
      </w:r>
      <w:r>
        <w:t xml:space="preserve">And Jesus answering said, A certain man went down from Jerusalem to Jericho, and fell among robbers, who stripped him of his clothing, and wounded</w:t>
      </w:r>
      <w:r>
        <w:rPr>
          <w:rStyle w:val="FootnoteReference"/>
        </w:rPr>
        <w:footnoteReference w:id="15593"/>
      </w:r>
      <w:r>
        <w:t xml:space="preserve"> him, and departed, leaving him half dead.</w:t>
      </w:r>
    </w:p>
    <w:p>
      <w:r>
        <w:rPr>
          <w:b/>
        </w:rPr>
        <w:t xml:space="preserve">31 </w:t>
      </w:r>
      <w:r>
        <w:t xml:space="preserve">And by chance there came down a certain priest</w:t>
      </w:r>
      <w:r>
        <w:rPr>
          <w:rStyle w:val="FootnoteReference"/>
        </w:rPr>
        <w:footnoteReference w:id="15594"/>
      </w:r>
      <w:r>
        <w:t xml:space="preserve"> that way: and when he saw him, he passed by on the other side.</w:t>
      </w:r>
    </w:p>
    <w:p>
      <w:r>
        <w:rPr>
          <w:b/>
        </w:rPr>
        <w:t xml:space="preserve">32 </w:t>
      </w:r>
      <w:r>
        <w:t xml:space="preserve">And likewise a Levite</w:t>
      </w:r>
      <w:r>
        <w:rPr>
          <w:rStyle w:val="FootnoteReference"/>
        </w:rPr>
        <w:footnoteReference w:id="15595"/>
      </w:r>
      <w:r>
        <w:t xml:space="preserve">, when he was at the place, came and looked on him, and passed by on the other side.</w:t>
      </w:r>
    </w:p>
    <w:p>
      <w:r>
        <w:rPr>
          <w:b/>
        </w:rPr>
        <w:t xml:space="preserve">33 </w:t>
      </w:r>
      <w:r>
        <w:t xml:space="preserve">But a certain Samaritan</w:t>
      </w:r>
      <w:r>
        <w:rPr>
          <w:rStyle w:val="FootnoteReference"/>
        </w:rPr>
        <w:footnoteReference w:id="15596"/>
      </w:r>
      <w:r>
        <w:t xml:space="preserve">, as he journeyed, came where he was: and when he saw him, he had compassion on him,</w:t>
      </w:r>
      <w:r>
        <w:rPr>
          <w:rStyle w:val="FootnoteReference"/>
        </w:rPr>
        <w:footnoteReference w:id="15597"/>
      </w:r>
    </w:p>
    <w:p>
      <w:r>
        <w:rPr>
          <w:b/>
        </w:rPr>
        <w:t xml:space="preserve">34 </w:t>
      </w:r>
      <w:r>
        <w:t xml:space="preserve">And went</w:t>
      </w:r>
      <w:r>
        <w:rPr>
          <w:rStyle w:val="FootnoteReference"/>
        </w:rPr>
        <w:footnoteReference w:id="15598"/>
      </w:r>
      <w:r>
        <w:t xml:space="preserve"> to him, and bound up his wounds, pouring in oil and wine, and set him on his own animal, and brought him to an inn, and took care of him.</w:t>
      </w:r>
    </w:p>
    <w:p>
      <w:r>
        <w:rPr>
          <w:b/>
        </w:rPr>
        <w:t xml:space="preserve">35 </w:t>
      </w:r>
      <w:r>
        <w:t xml:space="preserve">And on the next day when he departed, he took out two denarii, and gave them to the innkeeper, and said to him, Take care of him; and whatever you spend more, when I come again, I will repay you.</w:t>
      </w:r>
    </w:p>
    <w:p>
      <w:r>
        <w:rPr>
          <w:b/>
        </w:rPr>
        <w:t xml:space="preserve">36 </w:t>
      </w:r>
      <w:r>
        <w:t xml:space="preserve">Which of these three, think you, was neighbor to him who fell among the thieves?</w:t>
      </w:r>
    </w:p>
    <w:p>
      <w:r>
        <w:rPr>
          <w:b/>
        </w:rPr>
        <w:t xml:space="preserve">37 </w:t>
      </w:r>
      <w:r>
        <w:t xml:space="preserve">And he said, The one who showed mercy on him. Then Jesus said to him, Go, and do likewise.</w:t>
      </w:r>
    </w:p>
    <w:p>
      <w:r>
        <w:rPr>
          <w:b/>
        </w:rPr>
        <w:t xml:space="preserve">38 </w:t>
      </w:r>
      <w:r>
        <w:t xml:space="preserve">Now it happened, as they went, that he entered into a certain village: and a certain woman named Martha</w:t>
      </w:r>
      <w:r>
        <w:rPr>
          <w:rStyle w:val="FootnoteReference"/>
        </w:rPr>
        <w:footnoteReference w:id="15599"/>
      </w:r>
      <w:r>
        <w:t xml:space="preserve"> received</w:t>
      </w:r>
      <w:r>
        <w:rPr>
          <w:rStyle w:val="FootnoteReference"/>
        </w:rPr>
        <w:footnoteReference w:id="15600"/>
      </w:r>
      <w:r>
        <w:t xml:space="preserve"> him into her house.</w:t>
      </w:r>
    </w:p>
    <w:p>
      <w:r>
        <w:rPr>
          <w:b/>
        </w:rPr>
        <w:t xml:space="preserve">39 </w:t>
      </w:r>
      <w:r>
        <w:t xml:space="preserve">And she had a sister called Mary, who also sat at Jesus' feet, and heard his word.</w:t>
      </w:r>
    </w:p>
    <w:p>
      <w:r>
        <w:rPr>
          <w:b/>
        </w:rPr>
        <w:t xml:space="preserve">40 </w:t>
      </w:r>
      <w:r>
        <w:t xml:space="preserve">But Martha was distracted with much serving, and came to him, and said, Lord, do you not care that my sister has left me to serve alone? tell her therefore that she help me.</w:t>
      </w:r>
    </w:p>
    <w:p>
      <w:r>
        <w:rPr>
          <w:b/>
        </w:rPr>
        <w:t xml:space="preserve">41 </w:t>
      </w:r>
      <w:r>
        <w:t xml:space="preserve">And Jesus answered and said to her, Martha, Martha, you are anxious and troubled about many things:</w:t>
      </w:r>
    </w:p>
    <w:p>
      <w:r>
        <w:rPr>
          <w:b/>
        </w:rPr>
        <w:t xml:space="preserve">42 </w:t>
      </w:r>
      <w:r>
        <w:t xml:space="preserve">But one thing is necessary: and Mary has chosen</w:t>
      </w:r>
      <w:r>
        <w:rPr>
          <w:rStyle w:val="FootnoteReference"/>
        </w:rPr>
        <w:footnoteReference w:id="15601"/>
      </w:r>
      <w:r>
        <w:t xml:space="preserve"> that good part, which shall not be taken away from 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it happened, that, as he was praying in a certain place, when he ceased, one of his disciples said to him, Lord, teach</w:t>
      </w:r>
      <w:r>
        <w:rPr>
          <w:rStyle w:val="FootnoteReference"/>
        </w:rPr>
        <w:footnoteReference w:id="15602"/>
      </w:r>
      <w:r>
        <w:t xml:space="preserve"> us to pray, as John also taught his disciples.</w:t>
      </w:r>
    </w:p>
    <w:p>
      <w:r>
        <w:rPr>
          <w:b/>
        </w:rPr>
        <w:t xml:space="preserve">2 </w:t>
      </w:r>
      <w:r>
        <w:t xml:space="preserve">And he said to them, When you pray, say, Our Father who is in heaven, Hallowed</w:t>
      </w:r>
      <w:r>
        <w:rPr>
          <w:rStyle w:val="FootnoteReference"/>
        </w:rPr>
        <w:footnoteReference w:id="15603"/>
      </w:r>
      <w:r>
        <w:t xml:space="preserve"> be your name. Your kingdom come. Your will be done, as in heaven, so on earth.</w:t>
      </w:r>
    </w:p>
    <w:p>
      <w:r>
        <w:rPr>
          <w:b/>
        </w:rPr>
        <w:t xml:space="preserve">3 </w:t>
      </w:r>
      <w:r>
        <w:t xml:space="preserve">Give</w:t>
      </w:r>
      <w:r>
        <w:rPr>
          <w:rStyle w:val="FootnoteReference"/>
        </w:rPr>
        <w:footnoteReference w:id="15604"/>
      </w:r>
      <w:r>
        <w:t xml:space="preserve"> us day by day our daily bread.</w:t>
      </w:r>
    </w:p>
    <w:p>
      <w:r>
        <w:rPr>
          <w:b/>
        </w:rPr>
        <w:t xml:space="preserve">4 </w:t>
      </w:r>
      <w:r>
        <w:t xml:space="preserve">And forgive us</w:t>
      </w:r>
      <w:r>
        <w:rPr>
          <w:rStyle w:val="FootnoteReference"/>
        </w:rPr>
        <w:footnoteReference w:id="15605"/>
      </w:r>
      <w:r>
        <w:t xml:space="preserve"> our sins; for we also forgive every one who is indebted to us. And lead us not into temptation; but deliver us from evil.</w:t>
      </w:r>
    </w:p>
    <w:p>
      <w:r>
        <w:rPr>
          <w:b/>
        </w:rPr>
        <w:t xml:space="preserve">5 </w:t>
      </w:r>
      <w:r>
        <w:t xml:space="preserve">And he said to them, Which of you shall have a friend, and shall go to him at midnight, and say to him, Friend, lend me three loaves;</w:t>
      </w:r>
    </w:p>
    <w:p>
      <w:r>
        <w:rPr>
          <w:b/>
        </w:rPr>
        <w:t xml:space="preserve">6 </w:t>
      </w:r>
      <w:r>
        <w:t xml:space="preserve">For a friend of mine in his journey</w:t>
      </w:r>
      <w:r>
        <w:rPr>
          <w:rStyle w:val="FootnoteReference"/>
        </w:rPr>
        <w:footnoteReference w:id="15606"/>
      </w:r>
      <w:r>
        <w:t xml:space="preserve"> has come to me, and I have nothing to set before him?</w:t>
      </w:r>
    </w:p>
    <w:p>
      <w:r>
        <w:rPr>
          <w:b/>
        </w:rPr>
        <w:t xml:space="preserve">7 </w:t>
      </w:r>
      <w:r>
        <w:t xml:space="preserve">And he from within shall answer and say, Do not trouble</w:t>
      </w:r>
      <w:r>
        <w:rPr>
          <w:rStyle w:val="FootnoteReference"/>
        </w:rPr>
        <w:footnoteReference w:id="15607"/>
      </w:r>
      <w:r>
        <w:t xml:space="preserve"> me: the door is now shut, and my children are with me in bed; I cannot rise and give you.</w:t>
      </w:r>
    </w:p>
    <w:p>
      <w:r>
        <w:rPr>
          <w:b/>
        </w:rPr>
        <w:t xml:space="preserve">8 </w:t>
      </w:r>
      <w:r>
        <w:t xml:space="preserve">I say to you, Though he will not rise and give him, because he is his friend, yet because of</w:t>
      </w:r>
      <w:r>
        <w:rPr>
          <w:rStyle w:val="FootnoteReference"/>
        </w:rPr>
        <w:footnoteReference w:id="15608"/>
      </w:r>
      <w:r>
        <w:t xml:space="preserve"> his persistence he will rise and give him as many as he needs.</w:t>
      </w:r>
    </w:p>
    <w:p>
      <w:r>
        <w:rPr>
          <w:b/>
        </w:rPr>
        <w:t xml:space="preserve">9 </w:t>
      </w:r>
      <w:r>
        <w:t xml:space="preserve">And I say to you, Ask, and it shall be given you; seek</w:t>
      </w:r>
      <w:r>
        <w:rPr>
          <w:rStyle w:val="FootnoteReference"/>
        </w:rPr>
        <w:footnoteReference w:id="15609"/>
      </w:r>
      <w:r>
        <w:t xml:space="preserve">, and you shall find; knock, and it shall be opened to you.</w:t>
      </w:r>
    </w:p>
    <w:p>
      <w:r>
        <w:rPr>
          <w:b/>
        </w:rPr>
        <w:t xml:space="preserve">10 </w:t>
      </w:r>
      <w:r>
        <w:t xml:space="preserve">For every one who asks receives; and the one who seeks finds; and to him who knocks it shall be opened.</w:t>
      </w:r>
    </w:p>
    <w:p>
      <w:r>
        <w:rPr>
          <w:b/>
        </w:rPr>
        <w:t xml:space="preserve">11 </w:t>
      </w:r>
      <w:r>
        <w:t xml:space="preserve">If a son</w:t>
      </w:r>
      <w:r>
        <w:rPr>
          <w:rStyle w:val="FootnoteReference"/>
        </w:rPr>
        <w:footnoteReference w:id="15610"/>
      </w:r>
      <w:r>
        <w:t xml:space="preserve"> shall ask bread of any of you who is a father, will he give him a stone? or if he asks a fish, will he for a fish give him a serpent?</w:t>
      </w:r>
    </w:p>
    <w:p>
      <w:r>
        <w:rPr>
          <w:b/>
        </w:rPr>
        <w:t xml:space="preserve">12 </w:t>
      </w:r>
      <w:r>
        <w:t xml:space="preserve">Or if he shall ask an egg, will he offer him a scorpion</w:t>
      </w:r>
      <w:r>
        <w:rPr>
          <w:rStyle w:val="FootnoteReference"/>
        </w:rPr>
        <w:footnoteReference w:id="15611"/>
      </w:r>
      <w:r>
        <w:t xml:space="preserve">?</w:t>
      </w:r>
    </w:p>
    <w:p>
      <w:r>
        <w:rPr>
          <w:b/>
        </w:rPr>
        <w:t xml:space="preserve">13 </w:t>
      </w:r>
      <w:r>
        <w:t xml:space="preserve">If you then, being evil, know</w:t>
      </w:r>
      <w:r>
        <w:rPr>
          <w:rStyle w:val="FootnoteReference"/>
        </w:rPr>
        <w:footnoteReference w:id="15612"/>
      </w:r>
      <w:r>
        <w:t xml:space="preserve"> how to give good gifts to your children: how much more shall your heavenly Father give the Holy Spirit to those who ask him?</w:t>
      </w:r>
    </w:p>
    <w:p>
      <w:r>
        <w:rPr>
          <w:b/>
        </w:rPr>
        <w:t xml:space="preserve">14 </w:t>
      </w:r>
      <w:r>
        <w:t xml:space="preserve">And he was casting out a demon, and it was mute. And it happened, when the demon was gone out, the mute spoke; and the people wondered.</w:t>
      </w:r>
    </w:p>
    <w:p>
      <w:r>
        <w:rPr>
          <w:b/>
        </w:rPr>
        <w:t xml:space="preserve">15 </w:t>
      </w:r>
      <w:r>
        <w:t xml:space="preserve">But some of them said, He casts out demons through Beelzebub</w:t>
      </w:r>
      <w:r>
        <w:rPr>
          <w:rStyle w:val="FootnoteReference"/>
        </w:rPr>
        <w:footnoteReference w:id="15613"/>
      </w:r>
      <w:r>
        <w:t xml:space="preserve"> the chief of the demons.</w:t>
      </w:r>
    </w:p>
    <w:p>
      <w:r>
        <w:rPr>
          <w:b/>
        </w:rPr>
        <w:t xml:space="preserve">16 </w:t>
      </w:r>
      <w:r>
        <w:t xml:space="preserve">And others, testing him, sought from him a sign from heaven.</w:t>
      </w:r>
    </w:p>
    <w:p>
      <w:r>
        <w:rPr>
          <w:b/>
        </w:rPr>
        <w:t xml:space="preserve">17 </w:t>
      </w:r>
      <w:r>
        <w:t xml:space="preserve">But he, knowing</w:t>
      </w:r>
      <w:r>
        <w:rPr>
          <w:rStyle w:val="FootnoteReference"/>
        </w:rPr>
        <w:footnoteReference w:id="15614"/>
      </w:r>
      <w:r>
        <w:t xml:space="preserve"> their thoughts, said to them, Every kingdom divided against itself is brought to desolation; and a house divided against a house falls.</w:t>
      </w:r>
    </w:p>
    <w:p>
      <w:r>
        <w:rPr>
          <w:b/>
        </w:rPr>
        <w:t xml:space="preserve">18 </w:t>
      </w:r>
      <w:r>
        <w:t xml:space="preserve">If Satan</w:t>
      </w:r>
      <w:r>
        <w:rPr>
          <w:rStyle w:val="FootnoteReference"/>
        </w:rPr>
        <w:footnoteReference w:id="15615"/>
      </w:r>
      <w:r>
        <w:t xml:space="preserve"> also be divided against himself, how shall his kingdom stand? because you say that I cast out demons through Beelzebub.</w:t>
      </w:r>
    </w:p>
    <w:p>
      <w:r>
        <w:rPr>
          <w:b/>
        </w:rPr>
        <w:t xml:space="preserve">19 </w:t>
      </w:r>
      <w:r>
        <w:t xml:space="preserve">And if I by Beelzebub cast out demons, by whom do your sons cast them out? therefore shall they be your judges.</w:t>
      </w:r>
    </w:p>
    <w:p>
      <w:r>
        <w:rPr>
          <w:b/>
        </w:rPr>
        <w:t xml:space="preserve">20 </w:t>
      </w:r>
      <w:r>
        <w:t xml:space="preserve">But if I with the finger</w:t>
      </w:r>
      <w:r>
        <w:rPr>
          <w:rStyle w:val="FootnoteReference"/>
        </w:rPr>
        <w:footnoteReference w:id="15616"/>
      </w:r>
      <w:r>
        <w:t xml:space="preserve"> of God cast out demons, Then the kingdom of God has come upon you.</w:t>
      </w:r>
    </w:p>
    <w:p>
      <w:r>
        <w:rPr>
          <w:b/>
        </w:rPr>
        <w:t xml:space="preserve">21 </w:t>
      </w:r>
      <w:r>
        <w:t xml:space="preserve">When a strong armed man keeps his palace, his goods are in peace:</w:t>
      </w:r>
    </w:p>
    <w:p>
      <w:r>
        <w:rPr>
          <w:b/>
        </w:rPr>
        <w:t xml:space="preserve">22 </w:t>
      </w:r>
      <w:r>
        <w:t xml:space="preserve">But when a stronger than he shall come upon him, and overcome him, he takes from him all his armor in which he trusted, and divides his spoils.</w:t>
      </w:r>
    </w:p>
    <w:p>
      <w:r>
        <w:rPr>
          <w:b/>
        </w:rPr>
        <w:t xml:space="preserve">23 </w:t>
      </w:r>
      <w:r>
        <w:t xml:space="preserve">The one who is not with me is against me: and the one who gathers not with me scatters.</w:t>
      </w:r>
    </w:p>
    <w:p>
      <w:r>
        <w:rPr>
          <w:b/>
        </w:rPr>
        <w:t xml:space="preserve">24 </w:t>
      </w:r>
      <w:r>
        <w:t xml:space="preserve">When the unclean</w:t>
      </w:r>
      <w:r>
        <w:rPr>
          <w:rStyle w:val="FootnoteReference"/>
        </w:rPr>
        <w:footnoteReference w:id="15617"/>
      </w:r>
      <w:r>
        <w:t xml:space="preserve"> spirit is gone out of a man, he walks through dry places, seeking rest; and finding none, he says, I will return to my house from where I came out.</w:t>
      </w:r>
    </w:p>
    <w:p>
      <w:r>
        <w:rPr>
          <w:b/>
        </w:rPr>
        <w:t xml:space="preserve">25 </w:t>
      </w:r>
      <w:r>
        <w:t xml:space="preserve">And when he comes, he finds it swept and put in order.</w:t>
      </w:r>
    </w:p>
    <w:p>
      <w:r>
        <w:rPr>
          <w:b/>
        </w:rPr>
        <w:t xml:space="preserve">26 </w:t>
      </w:r>
      <w:r>
        <w:t xml:space="preserve">Then he goes, and takes to him seven other spirits more</w:t>
      </w:r>
      <w:r>
        <w:rPr>
          <w:rStyle w:val="FootnoteReference"/>
        </w:rPr>
        <w:footnoteReference w:id="15618"/>
      </w:r>
      <w:r>
        <w:t xml:space="preserve"> wicked than himself; and they enter in, and dwell there: and the last state of that man is worse than the first.</w:t>
      </w:r>
    </w:p>
    <w:p>
      <w:r>
        <w:rPr>
          <w:b/>
        </w:rPr>
        <w:t xml:space="preserve">27 </w:t>
      </w:r>
      <w:r>
        <w:t xml:space="preserve">And it happened, as he spoke these things, a certain woman of the crowd lifted up her voice, and said to him, Blessed</w:t>
      </w:r>
      <w:r>
        <w:rPr>
          <w:rStyle w:val="FootnoteReference"/>
        </w:rPr>
        <w:footnoteReference w:id="15619"/>
      </w:r>
      <w:r>
        <w:t xml:space="preserve"> is the womb that bore you, and the breasts which you have nursed.</w:t>
      </w:r>
    </w:p>
    <w:p>
      <w:r>
        <w:rPr>
          <w:b/>
        </w:rPr>
        <w:t xml:space="preserve">28 </w:t>
      </w:r>
      <w:r>
        <w:t xml:space="preserve">But he said, Yes rather, blessed are those who hear the word of God, and keep it.</w:t>
      </w:r>
    </w:p>
    <w:p>
      <w:r>
        <w:rPr>
          <w:b/>
        </w:rPr>
        <w:t xml:space="preserve">29 </w:t>
      </w:r>
      <w:r>
        <w:t xml:space="preserve">And when the people were gathered thick together, he began to say, This is</w:t>
      </w:r>
      <w:r>
        <w:rPr>
          <w:rStyle w:val="FootnoteReference"/>
        </w:rPr>
        <w:footnoteReference w:id="15620"/>
      </w:r>
      <w:r>
        <w:t xml:space="preserve"> an evil generation: they seek a sign; and no sign shall be given it, but the sign of Jonah the prophet.</w:t>
      </w:r>
    </w:p>
    <w:p>
      <w:r>
        <w:rPr>
          <w:b/>
        </w:rPr>
        <w:t xml:space="preserve">30 </w:t>
      </w:r>
      <w:r>
        <w:t xml:space="preserve">For as Jonah was a sign to the Ninevites</w:t>
      </w:r>
      <w:r>
        <w:rPr>
          <w:rStyle w:val="FootnoteReference"/>
        </w:rPr>
        <w:footnoteReference w:id="15621"/>
      </w:r>
      <w:r>
        <w:t xml:space="preserve">, so shall also the Son of man be to this generation.</w:t>
      </w:r>
    </w:p>
    <w:p>
      <w:r>
        <w:rPr>
          <w:b/>
        </w:rPr>
        <w:t xml:space="preserve">31 </w:t>
      </w:r>
      <w:r>
        <w:t xml:space="preserve">The queen</w:t>
      </w:r>
      <w:r>
        <w:rPr>
          <w:rStyle w:val="FootnoteReference"/>
        </w:rPr>
        <w:footnoteReference w:id="15622"/>
      </w:r>
      <w:r>
        <w:t xml:space="preserve"> of the south shall rise up in the judgment with the people of this generation, and condemn them: for she came from the uttermost parts of the earth to hear the wisdom of Solomon; and, look, a greater than Solomon is here.</w:t>
      </w:r>
    </w:p>
    <w:p>
      <w:r>
        <w:rPr>
          <w:b/>
        </w:rPr>
        <w:t xml:space="preserve">32 </w:t>
      </w:r>
      <w:r>
        <w:t xml:space="preserve">The people of Nineveh shall rise up in the judgment with this generation, and shall condemn it: for they repented at the preaching of Jonah; and, look, a greater</w:t>
      </w:r>
      <w:r>
        <w:rPr>
          <w:rStyle w:val="FootnoteReference"/>
        </w:rPr>
        <w:footnoteReference w:id="15623"/>
      </w:r>
      <w:r>
        <w:t xml:space="preserve"> than Jonah is here.</w:t>
      </w:r>
    </w:p>
    <w:p>
      <w:r>
        <w:rPr>
          <w:b/>
        </w:rPr>
        <w:t xml:space="preserve">33 </w:t>
      </w:r>
      <w:r>
        <w:t xml:space="preserve">No one, when he has lighted a lamp, puts it in a secret place, neither under a basket, but on a lampstand, that those who come in may see</w:t>
      </w:r>
      <w:r>
        <w:rPr>
          <w:rStyle w:val="FootnoteReference"/>
        </w:rPr>
        <w:footnoteReference w:id="15624"/>
      </w:r>
      <w:r>
        <w:t xml:space="preserve"> the light.</w:t>
      </w:r>
    </w:p>
    <w:p>
      <w:r>
        <w:rPr>
          <w:b/>
        </w:rPr>
        <w:t xml:space="preserve">34 </w:t>
      </w:r>
      <w:r>
        <w:t xml:space="preserve">The light of</w:t>
      </w:r>
      <w:r>
        <w:rPr>
          <w:rStyle w:val="FootnoteReference"/>
        </w:rPr>
        <w:footnoteReference w:id="15625"/>
      </w:r>
      <w:r>
        <w:t xml:space="preserve"> the body is the eye: therefore when your eye is clear, your whole body also is full of light; but when your eye is evil, your body also is full of darkness.</w:t>
      </w:r>
    </w:p>
    <w:p>
      <w:r>
        <w:rPr>
          <w:b/>
        </w:rPr>
        <w:t xml:space="preserve">35 </w:t>
      </w:r>
      <w:r>
        <w:t xml:space="preserve">Take heed therefore that the light which is in you not be darkness.</w:t>
      </w:r>
    </w:p>
    <w:p>
      <w:r>
        <w:rPr>
          <w:b/>
        </w:rPr>
        <w:t xml:space="preserve">36 </w:t>
      </w:r>
      <w:r>
        <w:t xml:space="preserve">If your whole body therefore is full of light, having no part dark, the whole</w:t>
      </w:r>
      <w:r>
        <w:rPr>
          <w:rStyle w:val="FootnoteReference"/>
        </w:rPr>
        <w:footnoteReference w:id="15626"/>
      </w:r>
      <w:r>
        <w:t xml:space="preserve"> shall be full of light, as when the bright shining of a lamp gives you light.</w:t>
      </w:r>
    </w:p>
    <w:p>
      <w:r>
        <w:rPr>
          <w:b/>
        </w:rPr>
        <w:t xml:space="preserve">37 </w:t>
      </w:r>
      <w:r>
        <w:t xml:space="preserve">And as he spoke, a certain Pharisee begged him to dine with him: and he went in, and reclined at table.</w:t>
      </w:r>
    </w:p>
    <w:p>
      <w:r>
        <w:rPr>
          <w:b/>
        </w:rPr>
        <w:t xml:space="preserve">38 </w:t>
      </w:r>
      <w:r>
        <w:t xml:space="preserve">And when the Pharisee saw it, he marveled that he had not first washed before dinner.</w:t>
      </w:r>
    </w:p>
    <w:p>
      <w:r>
        <w:rPr>
          <w:b/>
        </w:rPr>
        <w:t xml:space="preserve">39 </w:t>
      </w:r>
      <w:r>
        <w:t xml:space="preserve">And the Lord said to him, Now you Pharisees make clean the outside of the cup and the platter; but your inward part is full of greed and wickedness.</w:t>
      </w:r>
    </w:p>
    <w:p>
      <w:r>
        <w:rPr>
          <w:b/>
        </w:rPr>
        <w:t xml:space="preserve">40 </w:t>
      </w:r>
      <w:r>
        <w:t xml:space="preserve">You fools</w:t>
      </w:r>
      <w:r>
        <w:rPr>
          <w:rStyle w:val="FootnoteReference"/>
        </w:rPr>
        <w:footnoteReference w:id="15627"/>
      </w:r>
      <w:r>
        <w:t xml:space="preserve">, did not the one who made that which is outside make that which is inside also?</w:t>
      </w:r>
    </w:p>
    <w:p>
      <w:r>
        <w:rPr>
          <w:b/>
        </w:rPr>
        <w:t xml:space="preserve">41 </w:t>
      </w:r>
      <w:r>
        <w:t xml:space="preserve">But rather</w:t>
      </w:r>
      <w:r>
        <w:rPr>
          <w:rStyle w:val="FootnoteReference"/>
        </w:rPr>
        <w:footnoteReference w:id="15628"/>
      </w:r>
      <w:r>
        <w:t xml:space="preserve"> give alms of such things as you have; and, look, all things are clean to you.</w:t>
      </w:r>
    </w:p>
    <w:p>
      <w:r>
        <w:rPr>
          <w:b/>
        </w:rPr>
        <w:t xml:space="preserve">42 </w:t>
      </w:r>
      <w:r>
        <w:t xml:space="preserve">But woe to you, Pharisees! for you tithe mint and rue and every herb, and pass</w:t>
      </w:r>
      <w:r>
        <w:rPr>
          <w:rStyle w:val="FootnoteReference"/>
        </w:rPr>
        <w:footnoteReference w:id="15629"/>
      </w:r>
      <w:r>
        <w:t xml:space="preserve"> over judgment and the love of God: these ought you to have done, and not to leave the other undone.</w:t>
      </w:r>
    </w:p>
    <w:p>
      <w:r>
        <w:rPr>
          <w:b/>
        </w:rPr>
        <w:t xml:space="preserve">43 </w:t>
      </w:r>
      <w:r>
        <w:t xml:space="preserve">Woe to you, Pharisees! for you love the chief seats in the synagogues, and greetings in the markets.</w:t>
      </w:r>
    </w:p>
    <w:p>
      <w:r>
        <w:rPr>
          <w:b/>
        </w:rPr>
        <w:t xml:space="preserve">44 </w:t>
      </w:r>
      <w:r>
        <w:t xml:space="preserve">Woe to you, scribes and Pharisees, hypocrites! for you are as unmarked graves, and the people that walk over them are not aware of them.</w:t>
      </w:r>
    </w:p>
    <w:p>
      <w:r>
        <w:rPr>
          <w:b/>
        </w:rPr>
        <w:t xml:space="preserve">45 </w:t>
      </w:r>
      <w:r>
        <w:t xml:space="preserve">Then answered one of the lawyers, and said to him, Teacher, by saying these things you reproach us also.</w:t>
      </w:r>
    </w:p>
    <w:p>
      <w:r>
        <w:rPr>
          <w:b/>
        </w:rPr>
        <w:t xml:space="preserve">46 </w:t>
      </w:r>
      <w:r>
        <w:t xml:space="preserve">And he said, Woe to you also, you lawyers! for you load men with burdens grievous to be borne, and you yourselves do not touch the burdens with one of your fingers.</w:t>
      </w:r>
    </w:p>
    <w:p>
      <w:r>
        <w:rPr>
          <w:b/>
        </w:rPr>
        <w:t xml:space="preserve">47 </w:t>
      </w:r>
      <w:r>
        <w:t xml:space="preserve">Woe to you! for you build the tombs of the prophets, and your fathers killed them.</w:t>
      </w:r>
    </w:p>
    <w:p>
      <w:r>
        <w:rPr>
          <w:b/>
        </w:rPr>
        <w:t xml:space="preserve">48 </w:t>
      </w:r>
      <w:r>
        <w:t xml:space="preserve">Truly you bear witness that you approve the deeds of your fathers: for they indeed killed them, and you build their tombs.</w:t>
      </w:r>
    </w:p>
    <w:p>
      <w:r>
        <w:rPr>
          <w:b/>
        </w:rPr>
        <w:t xml:space="preserve">49 </w:t>
      </w:r>
      <w:r>
        <w:t xml:space="preserve">Therefore also said the wisdom</w:t>
      </w:r>
      <w:r>
        <w:rPr>
          <w:rStyle w:val="FootnoteReference"/>
        </w:rPr>
        <w:footnoteReference w:id="15630"/>
      </w:r>
      <w:r>
        <w:t xml:space="preserve"> of God, I will send them prophets and apostles, and some of them they shall kill and persecute:</w:t>
      </w:r>
    </w:p>
    <w:p>
      <w:r>
        <w:rPr>
          <w:b/>
        </w:rPr>
        <w:t xml:space="preserve">50 </w:t>
      </w:r>
      <w:r>
        <w:t xml:space="preserve">That the blood</w:t>
      </w:r>
      <w:r>
        <w:rPr>
          <w:rStyle w:val="FootnoteReference"/>
        </w:rPr>
        <w:footnoteReference w:id="15631"/>
      </w:r>
      <w:r>
        <w:t xml:space="preserve"> of all the prophets, which was shed from the foundation of the world, may be required of this generation;</w:t>
      </w:r>
    </w:p>
    <w:p>
      <w:r>
        <w:rPr>
          <w:b/>
        </w:rPr>
        <w:t xml:space="preserve">51 </w:t>
      </w:r>
      <w:r>
        <w:t xml:space="preserve">From the blood of Abel</w:t>
      </w:r>
      <w:r>
        <w:rPr>
          <w:rStyle w:val="FootnoteReference"/>
        </w:rPr>
        <w:footnoteReference w:id="15632"/>
      </w:r>
      <w:r>
        <w:t xml:space="preserve"> to the blood of Zacharias who perished between the altar and the temple: truly I say to you, It shall be required of this generation.</w:t>
      </w:r>
    </w:p>
    <w:p>
      <w:r>
        <w:rPr>
          <w:b/>
        </w:rPr>
        <w:t xml:space="preserve">52 </w:t>
      </w:r>
      <w:r>
        <w:t xml:space="preserve">Woe to you, lawyers! for you have taken away the key of knowledge: you did not enter in yourselves, and those who were entering in you hindered.</w:t>
      </w:r>
    </w:p>
    <w:p>
      <w:r>
        <w:rPr>
          <w:b/>
        </w:rPr>
        <w:t xml:space="preserve">53 </w:t>
      </w:r>
      <w:r>
        <w:t xml:space="preserve">And as he said these things to them, the scribes and the Pharisees began to press him vehemently, and to provoke him to speak</w:t>
      </w:r>
      <w:r>
        <w:rPr>
          <w:rStyle w:val="FootnoteReference"/>
        </w:rPr>
        <w:footnoteReference w:id="15633"/>
      </w:r>
      <w:r>
        <w:t xml:space="preserve"> of many things:</w:t>
      </w:r>
    </w:p>
    <w:p>
      <w:r>
        <w:rPr>
          <w:b/>
        </w:rPr>
        <w:t xml:space="preserve">54 </w:t>
      </w:r>
      <w:r>
        <w:t xml:space="preserve">Lying in wait for him, and seeking</w:t>
      </w:r>
      <w:r>
        <w:rPr>
          <w:rStyle w:val="FootnoteReference"/>
        </w:rPr>
        <w:footnoteReference w:id="15634"/>
      </w:r>
      <w:r>
        <w:t xml:space="preserve"> to catch something out of his mouth, that they might accuse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In the mean time, when there were gathered together an innumerable crowd of people, so that they trode</w:t>
      </w:r>
      <w:r>
        <w:rPr>
          <w:rStyle w:val="FootnoteReference"/>
        </w:rPr>
        <w:footnoteReference w:id="15635"/>
      </w:r>
      <w:r>
        <w:t xml:space="preserve"> one upon another, he began to say to his disciples first of all, Beware you of the leaven of the Pharisees, who is hypocrisy.</w:t>
      </w:r>
    </w:p>
    <w:p>
      <w:r>
        <w:rPr>
          <w:b/>
        </w:rPr>
        <w:t xml:space="preserve">2 </w:t>
      </w:r>
      <w:r>
        <w:t xml:space="preserve">For there is nothing covered, that shall not be revealed; neither hidden, that shall not be known.</w:t>
      </w:r>
    </w:p>
    <w:p>
      <w:r>
        <w:rPr>
          <w:b/>
        </w:rPr>
        <w:t xml:space="preserve">3 </w:t>
      </w:r>
      <w:r>
        <w:t xml:space="preserve">Therefore whatever you have spoken in darkness shall be heard in the light; and that which you have spoken in the ear in private rooms shall be proclaimed upon the housetops</w:t>
      </w:r>
      <w:r>
        <w:rPr>
          <w:rStyle w:val="FootnoteReference"/>
        </w:rPr>
        <w:footnoteReference w:id="15636"/>
      </w:r>
      <w:r>
        <w:t xml:space="preserve">.</w:t>
      </w:r>
    </w:p>
    <w:p>
      <w:r>
        <w:rPr>
          <w:b/>
        </w:rPr>
        <w:t xml:space="preserve">4 </w:t>
      </w:r>
      <w:r>
        <w:t xml:space="preserve">And I say to you my friends, Do not be afraid of those who kill the body, and after that have no more that they can do.</w:t>
      </w:r>
    </w:p>
    <w:p>
      <w:r>
        <w:rPr>
          <w:b/>
        </w:rPr>
        <w:t xml:space="preserve">5 </w:t>
      </w:r>
      <w:r>
        <w:t xml:space="preserve">But I will forewarn</w:t>
      </w:r>
      <w:r>
        <w:rPr>
          <w:rStyle w:val="FootnoteReference"/>
        </w:rPr>
        <w:footnoteReference w:id="15637"/>
      </w:r>
      <w:r>
        <w:t xml:space="preserve"> you whom you shall fear: Fear him, which after he has killed has power to cast into Gehenna; yes, I say to you, Fear him.</w:t>
      </w:r>
    </w:p>
    <w:p>
      <w:r>
        <w:rPr>
          <w:b/>
        </w:rPr>
        <w:t xml:space="preserve">6 </w:t>
      </w:r>
      <w:r>
        <w:t xml:space="preserve">Are not five</w:t>
      </w:r>
      <w:r>
        <w:rPr>
          <w:rStyle w:val="FootnoteReference"/>
        </w:rPr>
        <w:footnoteReference w:id="15638"/>
      </w:r>
      <w:r>
        <w:t xml:space="preserve"> sparrows sold for two assaria, and not one of them is forgotten before God?</w:t>
      </w:r>
    </w:p>
    <w:p>
      <w:r>
        <w:rPr>
          <w:b/>
        </w:rPr>
        <w:t xml:space="preserve">7 </w:t>
      </w:r>
      <w:r>
        <w:t xml:space="preserve">But even the very hairs of your head are all numbered. Do not fear therefore: you are of more value than many sparrows.</w:t>
      </w:r>
    </w:p>
    <w:p>
      <w:r>
        <w:rPr>
          <w:b/>
        </w:rPr>
        <w:t xml:space="preserve">8 </w:t>
      </w:r>
      <w:r>
        <w:t xml:space="preserve">Also I say to you, Whoever shall confess</w:t>
      </w:r>
      <w:r>
        <w:rPr>
          <w:rStyle w:val="FootnoteReference"/>
        </w:rPr>
        <w:footnoteReference w:id="15639"/>
      </w:r>
      <w:r>
        <w:t xml:space="preserve"> me before people, him shall the Son of man also confess before the angels of God:</w:t>
      </w:r>
    </w:p>
    <w:p>
      <w:r>
        <w:rPr>
          <w:b/>
        </w:rPr>
        <w:t xml:space="preserve">9 </w:t>
      </w:r>
      <w:r>
        <w:t xml:space="preserve">But the one who denies me before people shall be denied before the angels of God.</w:t>
      </w:r>
    </w:p>
    <w:p>
      <w:r>
        <w:rPr>
          <w:b/>
        </w:rPr>
        <w:t xml:space="preserve">10 </w:t>
      </w:r>
      <w:r>
        <w:t xml:space="preserve">And whoever shall speak a word against the Son of man, it shall be forgiven him: but to him who blasphemes against the Holy Spirit it shall not be forgiven.</w:t>
      </w:r>
    </w:p>
    <w:p>
      <w:r>
        <w:rPr>
          <w:b/>
        </w:rPr>
        <w:t xml:space="preserve">11 </w:t>
      </w:r>
      <w:r>
        <w:t xml:space="preserve">And when they bring you to the synagogues, and to magistrates, and powers, do not be anxious how or what thing you shall answer, or what you shall say:</w:t>
      </w:r>
    </w:p>
    <w:p>
      <w:r>
        <w:rPr>
          <w:b/>
        </w:rPr>
        <w:t xml:space="preserve">12 </w:t>
      </w:r>
      <w:r>
        <w:t xml:space="preserve">For the Holy Spirit shall teach you in the same hour what you ought to say.</w:t>
      </w:r>
    </w:p>
    <w:p>
      <w:r>
        <w:rPr>
          <w:b/>
        </w:rPr>
        <w:t xml:space="preserve">13 </w:t>
      </w:r>
      <w:r>
        <w:t xml:space="preserve">And one of the crowd said to him, Teacher, speak to my brother, that he divide the inheritance with me.</w:t>
      </w:r>
    </w:p>
    <w:p>
      <w:r>
        <w:rPr>
          <w:b/>
        </w:rPr>
        <w:t xml:space="preserve">14 </w:t>
      </w:r>
      <w:r>
        <w:t xml:space="preserve">And he said to him, Man, who made me a judge or a divider over you?</w:t>
      </w:r>
    </w:p>
    <w:p>
      <w:r>
        <w:rPr>
          <w:b/>
        </w:rPr>
        <w:t xml:space="preserve">15 </w:t>
      </w:r>
      <w:r>
        <w:t xml:space="preserve">And he said to them, Take</w:t>
      </w:r>
      <w:r>
        <w:rPr>
          <w:rStyle w:val="FootnoteReference"/>
        </w:rPr>
        <w:footnoteReference w:id="15640"/>
      </w:r>
      <w:r>
        <w:t xml:space="preserve"> heed, and beware of covetousness: for a man's life does not consist in the abundance of the things which he possesses.</w:t>
      </w:r>
    </w:p>
    <w:p>
      <w:r>
        <w:rPr>
          <w:b/>
        </w:rPr>
        <w:t xml:space="preserve">16 </w:t>
      </w:r>
      <w:r>
        <w:t xml:space="preserve">And he spoke a parable to them, saying, The ground</w:t>
      </w:r>
      <w:r>
        <w:rPr>
          <w:rStyle w:val="FootnoteReference"/>
        </w:rPr>
        <w:footnoteReference w:id="15641"/>
      </w:r>
      <w:r>
        <w:t xml:space="preserve"> of a certain rich man bore plentifully:</w:t>
      </w:r>
    </w:p>
    <w:p>
      <w:r>
        <w:rPr>
          <w:b/>
        </w:rPr>
        <w:t xml:space="preserve">17 </w:t>
      </w:r>
      <w:r>
        <w:t xml:space="preserve">And he thought within himself, saying, What shall I do, because I have no room to store my fruits?</w:t>
      </w:r>
    </w:p>
    <w:p>
      <w:r>
        <w:rPr>
          <w:b/>
        </w:rPr>
        <w:t xml:space="preserve">18 </w:t>
      </w:r>
      <w:r>
        <w:t xml:space="preserve">And he said, This will I do: I will pull down my barns, and build greater; and there will I store all my fruits and my goods.</w:t>
      </w:r>
    </w:p>
    <w:p>
      <w:r>
        <w:rPr>
          <w:b/>
        </w:rPr>
        <w:t xml:space="preserve">19 </w:t>
      </w:r>
      <w:r>
        <w:t xml:space="preserve">And I will say to my soul, Soul, you have many goods laid up for many years; take</w:t>
      </w:r>
      <w:r>
        <w:rPr>
          <w:rStyle w:val="FootnoteReference"/>
        </w:rPr>
        <w:footnoteReference w:id="15642"/>
      </w:r>
      <w:r>
        <w:t xml:space="preserve"> your ease, eat, drink, and be merry.</w:t>
      </w:r>
    </w:p>
    <w:p>
      <w:r>
        <w:rPr>
          <w:b/>
        </w:rPr>
        <w:t xml:space="preserve">20 </w:t>
      </w:r>
      <w:r>
        <w:t xml:space="preserve">But God said to him, You fool, this night your soul shall be required of you: then whose shall those things be, which you have provided?</w:t>
      </w:r>
    </w:p>
    <w:p>
      <w:r>
        <w:rPr>
          <w:b/>
        </w:rPr>
        <w:t xml:space="preserve">21 </w:t>
      </w:r>
      <w:r>
        <w:t xml:space="preserve">So is the one who lays up treasure for himself, and is not rich</w:t>
      </w:r>
      <w:r>
        <w:rPr>
          <w:rStyle w:val="FootnoteReference"/>
        </w:rPr>
        <w:footnoteReference w:id="15643"/>
      </w:r>
      <w:r>
        <w:t xml:space="preserve"> toward God.</w:t>
      </w:r>
    </w:p>
    <w:p>
      <w:r>
        <w:rPr>
          <w:b/>
        </w:rPr>
        <w:t xml:space="preserve">22 </w:t>
      </w:r>
      <w:r>
        <w:t xml:space="preserve">And he said to his disciples, Therefore I say to you, Do not be anxious for your life, what you shall eat; neither for the body, what you shall put on.</w:t>
      </w:r>
    </w:p>
    <w:p>
      <w:r>
        <w:rPr>
          <w:b/>
        </w:rPr>
        <w:t xml:space="preserve">23 </w:t>
      </w:r>
      <w:r>
        <w:t xml:space="preserve">The life is more than food, and the body is more than clothing.</w:t>
      </w:r>
    </w:p>
    <w:p>
      <w:r>
        <w:rPr>
          <w:b/>
        </w:rPr>
        <w:t xml:space="preserve">24 </w:t>
      </w:r>
      <w:r>
        <w:t xml:space="preserve">Consider the ravens</w:t>
      </w:r>
      <w:r>
        <w:rPr>
          <w:rStyle w:val="FootnoteReference"/>
        </w:rPr>
        <w:footnoteReference w:id="15644"/>
      </w:r>
      <w:r>
        <w:t xml:space="preserve">: for they neither sow nor reap; which neither have storehouse nor barn; and God feeds them: how much more are you better than the birds?</w:t>
      </w:r>
    </w:p>
    <w:p>
      <w:r>
        <w:rPr>
          <w:b/>
        </w:rPr>
        <w:t xml:space="preserve">25 </w:t>
      </w:r>
      <w:r>
        <w:t xml:space="preserve">And which of you by being anxious can add to his stature one cubit?</w:t>
      </w:r>
    </w:p>
    <w:p>
      <w:r>
        <w:rPr>
          <w:b/>
        </w:rPr>
        <w:t xml:space="preserve">26 </w:t>
      </w:r>
      <w:r>
        <w:t xml:space="preserve">If then you are not able to do that thing which is least, why are you anxious for the rest?</w:t>
      </w:r>
    </w:p>
    <w:p>
      <w:r>
        <w:rPr>
          <w:b/>
        </w:rPr>
        <w:t xml:space="preserve">27 </w:t>
      </w:r>
      <w:r>
        <w:t xml:space="preserve">Consider the lilies</w:t>
      </w:r>
      <w:r>
        <w:rPr>
          <w:rStyle w:val="FootnoteReference"/>
        </w:rPr>
        <w:footnoteReference w:id="15645"/>
      </w:r>
      <w:r>
        <w:t xml:space="preserve"> how they grow: they do not toil, they do not spin; and yet I say to you, that Solomon in all his glory was not arrayed like one of these.</w:t>
      </w:r>
    </w:p>
    <w:p>
      <w:r>
        <w:rPr>
          <w:b/>
        </w:rPr>
        <w:t xml:space="preserve">28 </w:t>
      </w:r>
      <w:r>
        <w:t xml:space="preserve">If then God so clothes the grass, which is today in the field, and tomorrow is cast into the oven; how much more will he clothe you, O you of little faith?</w:t>
      </w:r>
    </w:p>
    <w:p>
      <w:r>
        <w:rPr>
          <w:b/>
        </w:rPr>
        <w:t xml:space="preserve">29 </w:t>
      </w:r>
      <w:r>
        <w:t xml:space="preserve">And do not seek</w:t>
      </w:r>
      <w:r>
        <w:rPr>
          <w:rStyle w:val="FootnoteReference"/>
        </w:rPr>
        <w:footnoteReference w:id="15646"/>
      </w:r>
      <w:r>
        <w:t xml:space="preserve"> what you shall eat, or what you shall drink, neither be of doubtful mind.</w:t>
      </w:r>
    </w:p>
    <w:p>
      <w:r>
        <w:rPr>
          <w:b/>
        </w:rPr>
        <w:t xml:space="preserve">30 </w:t>
      </w:r>
      <w:r>
        <w:t xml:space="preserve">For all these things the nations of the world seek after: and your Father knows that you have need of these things.</w:t>
      </w:r>
    </w:p>
    <w:p>
      <w:r>
        <w:rPr>
          <w:b/>
        </w:rPr>
        <w:t xml:space="preserve">31 </w:t>
      </w:r>
      <w:r>
        <w:t xml:space="preserve">But rather seek the kingdom of God; and all these things shall be added to you.</w:t>
      </w:r>
    </w:p>
    <w:p>
      <w:r>
        <w:rPr>
          <w:b/>
        </w:rPr>
        <w:t xml:space="preserve">32 </w:t>
      </w:r>
      <w:r>
        <w:t xml:space="preserve">Do not fear, little</w:t>
      </w:r>
      <w:r>
        <w:rPr>
          <w:rStyle w:val="FootnoteReference"/>
        </w:rPr>
        <w:footnoteReference w:id="15647"/>
      </w:r>
      <w:r>
        <w:t xml:space="preserve"> flock; for it is your Father's good pleasure to give you the kingdom.</w:t>
      </w:r>
    </w:p>
    <w:p>
      <w:r>
        <w:rPr>
          <w:b/>
        </w:rPr>
        <w:t xml:space="preserve">33 </w:t>
      </w:r>
      <w:r>
        <w:t xml:space="preserve">Sell</w:t>
      </w:r>
      <w:r>
        <w:rPr>
          <w:rStyle w:val="FootnoteReference"/>
        </w:rPr>
        <w:footnoteReference w:id="15648"/>
      </w:r>
      <w:r>
        <w:t xml:space="preserve"> what you have, and give alms; provide yourselves bags which do not grow old, a treasure in the heavens that fails not, where no thief approaches, neither moth destroys.</w:t>
      </w:r>
    </w:p>
    <w:p>
      <w:r>
        <w:rPr>
          <w:b/>
        </w:rPr>
        <w:t xml:space="preserve">34 </w:t>
      </w:r>
      <w:r>
        <w:t xml:space="preserve">For where your treasure is, there will your heart be also.</w:t>
      </w:r>
    </w:p>
    <w:p>
      <w:r>
        <w:rPr>
          <w:b/>
        </w:rPr>
        <w:t xml:space="preserve">35 </w:t>
      </w:r>
      <w:r>
        <w:t xml:space="preserve">Let your loins</w:t>
      </w:r>
      <w:r>
        <w:rPr>
          <w:rStyle w:val="FootnoteReference"/>
        </w:rPr>
        <w:footnoteReference w:id="15649"/>
      </w:r>
      <w:r>
        <w:t xml:space="preserve"> be girded, and your lamps burning;</w:t>
      </w:r>
    </w:p>
    <w:p>
      <w:r>
        <w:rPr>
          <w:b/>
        </w:rPr>
        <w:t xml:space="preserve">36 </w:t>
      </w:r>
      <w:r>
        <w:t xml:space="preserve">And you yourselves be like men that wait for their lord, when he will return</w:t>
      </w:r>
      <w:r>
        <w:rPr>
          <w:rStyle w:val="FootnoteReference"/>
        </w:rPr>
        <w:footnoteReference w:id="15650"/>
      </w:r>
      <w:r>
        <w:t xml:space="preserve"> from the wedding; that when he comes and knocks, they may open to him immediately.</w:t>
      </w:r>
    </w:p>
    <w:p>
      <w:r>
        <w:rPr>
          <w:b/>
        </w:rPr>
        <w:t xml:space="preserve">37 </w:t>
      </w:r>
      <w:r>
        <w:t xml:space="preserve">Blessed</w:t>
      </w:r>
      <w:r>
        <w:rPr>
          <w:rStyle w:val="FootnoteReference"/>
        </w:rPr>
        <w:footnoteReference w:id="15651"/>
      </w:r>
      <w:r>
        <w:t xml:space="preserve"> are those slaves, whom the Lord when he comes shall find watching: Amen, I say to you, that he shall gird himself, and make them to sit down to food, and will come forth and serve them.</w:t>
      </w:r>
    </w:p>
    <w:p>
      <w:r>
        <w:rPr>
          <w:b/>
        </w:rPr>
        <w:t xml:space="preserve">38 </w:t>
      </w:r>
      <w:r>
        <w:t xml:space="preserve">And if he shall come in the second watch, or come in the third watch, and find them so, blessed are those slaves.</w:t>
      </w:r>
    </w:p>
    <w:p>
      <w:r>
        <w:rPr>
          <w:b/>
        </w:rPr>
        <w:t xml:space="preserve">39 </w:t>
      </w:r>
      <w:r>
        <w:t xml:space="preserve">And this know, that if the householder had known what hour the thief would come, he would have watched, and not have allowed his house to be broken through.</w:t>
      </w:r>
    </w:p>
    <w:p>
      <w:r>
        <w:rPr>
          <w:b/>
        </w:rPr>
        <w:t xml:space="preserve">40 </w:t>
      </w:r>
      <w:r>
        <w:t xml:space="preserve">Be therefore ready also: for the Son of man comes at an hour when you do not expect.</w:t>
      </w:r>
    </w:p>
    <w:p>
      <w:r>
        <w:rPr>
          <w:b/>
        </w:rPr>
        <w:t xml:space="preserve">41 </w:t>
      </w:r>
      <w:r>
        <w:t xml:space="preserve">Then Peter said to him, Lord, do you speak this parable to us, or even to all?</w:t>
      </w:r>
    </w:p>
    <w:p>
      <w:r>
        <w:rPr>
          <w:b/>
        </w:rPr>
        <w:t xml:space="preserve">42 </w:t>
      </w:r>
      <w:r>
        <w:t xml:space="preserve">And the Lord said, Who then is that faithful and wise steward</w:t>
      </w:r>
      <w:r>
        <w:rPr>
          <w:rStyle w:val="FootnoteReference"/>
        </w:rPr>
        <w:footnoteReference w:id="15652"/>
      </w:r>
      <w:r>
        <w:t xml:space="preserve">, whom his lord shall make ruler over his household, to give them their portion of food in due season?</w:t>
      </w:r>
    </w:p>
    <w:p>
      <w:r>
        <w:rPr>
          <w:b/>
        </w:rPr>
        <w:t xml:space="preserve">43 </w:t>
      </w:r>
      <w:r>
        <w:t xml:space="preserve">Blessed is that slave, whom his Lord when he comes shall find so doing.</w:t>
      </w:r>
    </w:p>
    <w:p>
      <w:r>
        <w:rPr>
          <w:b/>
        </w:rPr>
        <w:t xml:space="preserve">44 </w:t>
      </w:r>
      <w:r>
        <w:t xml:space="preserve">Truthfully I say to you, that he will</w:t>
      </w:r>
      <w:r>
        <w:rPr>
          <w:rStyle w:val="FootnoteReference"/>
        </w:rPr>
        <w:footnoteReference w:id="15653"/>
      </w:r>
      <w:r>
        <w:t xml:space="preserve"> make him ruler over all that he has.</w:t>
      </w:r>
    </w:p>
    <w:p>
      <w:r>
        <w:rPr>
          <w:b/>
        </w:rPr>
        <w:t xml:space="preserve">45 </w:t>
      </w:r>
      <w:r>
        <w:t xml:space="preserve">But and if</w:t>
      </w:r>
      <w:r>
        <w:rPr>
          <w:rStyle w:val="FootnoteReference"/>
        </w:rPr>
        <w:footnoteReference w:id="15654"/>
      </w:r>
      <w:r>
        <w:t xml:space="preserve"> that slave say in his heart, My Lord delays his coming; and shall begin to beat the male slaves and maidens, and to eat and drink, and to be drunken;</w:t>
      </w:r>
    </w:p>
    <w:p>
      <w:r>
        <w:rPr>
          <w:b/>
        </w:rPr>
        <w:t xml:space="preserve">46 </w:t>
      </w:r>
      <w:r>
        <w:t xml:space="preserve">The Lord</w:t>
      </w:r>
      <w:r>
        <w:rPr>
          <w:rStyle w:val="FootnoteReference"/>
        </w:rPr>
        <w:footnoteReference w:id="15655"/>
      </w:r>
      <w:r>
        <w:t xml:space="preserve"> of that slave will come in a day when he looks not for him, and at an hour when he is not aware, and will cut him in two, and will appoint him his portion with the unbelievers.</w:t>
      </w:r>
    </w:p>
    <w:p>
      <w:r>
        <w:rPr>
          <w:b/>
        </w:rPr>
        <w:t xml:space="preserve">47 </w:t>
      </w:r>
      <w:r>
        <w:t xml:space="preserve">And that slave, which knew</w:t>
      </w:r>
      <w:r>
        <w:rPr>
          <w:rStyle w:val="FootnoteReference"/>
        </w:rPr>
        <w:footnoteReference w:id="15656"/>
      </w:r>
      <w:r>
        <w:t xml:space="preserve"> his Lord's will, and prepared not himself, neither did according to his will, shall be beaten with many stripes.</w:t>
      </w:r>
    </w:p>
    <w:p>
      <w:r>
        <w:rPr>
          <w:b/>
        </w:rPr>
        <w:t xml:space="preserve">48 </w:t>
      </w:r>
      <w:r>
        <w:t xml:space="preserve">But the one who did not know, and did commit things worthy of blows, shall be beaten with few blows. For to whomever much is given, of him shall be much required: and to whom people have committed much, of him they will ask the more.</w:t>
      </w:r>
    </w:p>
    <w:p>
      <w:r>
        <w:rPr>
          <w:b/>
        </w:rPr>
        <w:t xml:space="preserve">49 </w:t>
      </w:r>
      <w:r>
        <w:t xml:space="preserve">I have come to send fire on the earth; and what do I wish, if it is already kindled?</w:t>
      </w:r>
    </w:p>
    <w:p>
      <w:r>
        <w:rPr>
          <w:b/>
        </w:rPr>
        <w:t xml:space="preserve">50 </w:t>
      </w:r>
      <w:r>
        <w:t xml:space="preserve">But I have a baptism to be baptized with; and how am I constrained till it is accomplished!</w:t>
      </w:r>
    </w:p>
    <w:p>
      <w:r>
        <w:rPr>
          <w:b/>
        </w:rPr>
        <w:t xml:space="preserve">51 </w:t>
      </w:r>
      <w:r>
        <w:t xml:space="preserve">Do you suppose that I have come to give peace on earth? I tell you, No; but rather division:</w:t>
      </w:r>
    </w:p>
    <w:p>
      <w:r>
        <w:rPr>
          <w:b/>
        </w:rPr>
        <w:t xml:space="preserve">52 </w:t>
      </w:r>
      <w:r>
        <w:t xml:space="preserve">For from now on there shall be five in one house divided, three against two, and two against three.</w:t>
      </w:r>
    </w:p>
    <w:p>
      <w:r>
        <w:rPr>
          <w:b/>
        </w:rPr>
        <w:t xml:space="preserve">53 </w:t>
      </w:r>
      <w:r>
        <w:t xml:space="preserve">The father shall be divided against the son, and the son against the father; the mother against the daughter, and the daughter against the mother; the mother-in-law against her daughter-in-law, and the daughter-in-law against her mother-in-law.</w:t>
      </w:r>
    </w:p>
    <w:p>
      <w:r>
        <w:rPr>
          <w:b/>
        </w:rPr>
        <w:t xml:space="preserve">54 </w:t>
      </w:r>
      <w:r>
        <w:t xml:space="preserve">And he said also to the people, When you see a cloud rise out of the west, immediately you say, There comes a shower; and so it is.</w:t>
      </w:r>
    </w:p>
    <w:p>
      <w:r>
        <w:rPr>
          <w:b/>
        </w:rPr>
        <w:t xml:space="preserve">55 </w:t>
      </w:r>
      <w:r>
        <w:t xml:space="preserve">And when you see the south wind blow, you say, There will be heat; and it comes to pass.</w:t>
      </w:r>
    </w:p>
    <w:p>
      <w:r>
        <w:rPr>
          <w:b/>
        </w:rPr>
        <w:t xml:space="preserve">56 </w:t>
      </w:r>
      <w:r>
        <w:t xml:space="preserve">You hypocrites, you can discern the face of the sky and of the earth; but how is it that you do not discern this time?</w:t>
      </w:r>
    </w:p>
    <w:p>
      <w:r>
        <w:rPr>
          <w:b/>
        </w:rPr>
        <w:t xml:space="preserve">57 </w:t>
      </w:r>
      <w:r>
        <w:t xml:space="preserve">Yes, and why even of yourselves do you not judge what is right?</w:t>
      </w:r>
    </w:p>
    <w:p>
      <w:r>
        <w:rPr>
          <w:b/>
        </w:rPr>
        <w:t xml:space="preserve">58 </w:t>
      </w:r>
      <w:r>
        <w:t xml:space="preserve">When you go with your adversary to the magistrate, as you are on the way, give</w:t>
      </w:r>
      <w:r>
        <w:rPr>
          <w:rStyle w:val="FootnoteReference"/>
        </w:rPr>
        <w:footnoteReference w:id="15657"/>
      </w:r>
      <w:r>
        <w:t xml:space="preserve"> diligence that you may be delivered from him; lest he drag you to the judge, and the judge deliver you to the officer, and the officer cast you into prison.</w:t>
      </w:r>
    </w:p>
    <w:p>
      <w:r>
        <w:rPr>
          <w:b/>
        </w:rPr>
        <w:t xml:space="preserve">59 </w:t>
      </w:r>
      <w:r>
        <w:t xml:space="preserve">I tell you, you shall not depart from there, till you have paid the very last lepton.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There were present at that season some that told him of the Galileans</w:t>
      </w:r>
      <w:r>
        <w:rPr>
          <w:rStyle w:val="FootnoteReference"/>
        </w:rPr>
        <w:footnoteReference w:id="15658"/>
      </w:r>
      <w:r>
        <w:t xml:space="preserve">, whose blood Pilate had mingled</w:t>
      </w:r>
      <w:r>
        <w:rPr>
          <w:rStyle w:val="FootnoteReference"/>
        </w:rPr>
        <w:footnoteReference w:id="15659"/>
      </w:r>
      <w:r>
        <w:t xml:space="preserve"> with their sacrifices.</w:t>
      </w:r>
    </w:p>
    <w:p>
      <w:r>
        <w:rPr>
          <w:b/>
        </w:rPr>
        <w:t xml:space="preserve">2 </w:t>
      </w:r>
      <w:r>
        <w:t xml:space="preserve">And Jesus answering said to them, Do you suppose</w:t>
      </w:r>
      <w:r>
        <w:rPr>
          <w:rStyle w:val="FootnoteReference"/>
        </w:rPr>
        <w:footnoteReference w:id="15660"/>
      </w:r>
      <w:r>
        <w:t xml:space="preserve"> that these Galileans were sinners above all the Galileans, because they suffered such things?</w:t>
      </w:r>
    </w:p>
    <w:p>
      <w:r>
        <w:rPr>
          <w:b/>
        </w:rPr>
        <w:t xml:space="preserve">3 </w:t>
      </w:r>
      <w:r>
        <w:t xml:space="preserve">I tell you, No: but, unless you repent, you shall all likewise perish.</w:t>
      </w:r>
    </w:p>
    <w:p>
      <w:r>
        <w:rPr>
          <w:b/>
        </w:rPr>
        <w:t xml:space="preserve">4 </w:t>
      </w:r>
      <w:r>
        <w:t xml:space="preserve">Or those eighteen, upon whom the tower in Siloam</w:t>
      </w:r>
      <w:r>
        <w:rPr>
          <w:rStyle w:val="FootnoteReference"/>
        </w:rPr>
        <w:footnoteReference w:id="15661"/>
      </w:r>
      <w:r>
        <w:t xml:space="preserve"> fell, and killed them, do you think that they were sinners above all people who dwelt in Jerusalem?</w:t>
      </w:r>
      <w:r>
        <w:rPr>
          <w:rStyle w:val="FootnoteReference"/>
        </w:rPr>
        <w:footnoteReference w:id="15662"/>
      </w:r>
    </w:p>
    <w:p>
      <w:r>
        <w:rPr>
          <w:b/>
        </w:rPr>
        <w:t xml:space="preserve">5 </w:t>
      </w:r>
      <w:r>
        <w:t xml:space="preserve">I tell you, No: but, unless you repent, you shall all likewise perish.</w:t>
      </w:r>
    </w:p>
    <w:p>
      <w:r>
        <w:rPr>
          <w:b/>
        </w:rPr>
        <w:t xml:space="preserve">6 </w:t>
      </w:r>
      <w:r>
        <w:t xml:space="preserve">He spoke also this parable; A certain man had a fig tree</w:t>
      </w:r>
      <w:r>
        <w:rPr>
          <w:rStyle w:val="FootnoteReference"/>
        </w:rPr>
        <w:footnoteReference w:id="15663"/>
      </w:r>
      <w:r>
        <w:t xml:space="preserve"> planted in his vineyard; and he came and sought fruit on it, and found none.</w:t>
      </w:r>
    </w:p>
    <w:p>
      <w:r>
        <w:rPr>
          <w:b/>
        </w:rPr>
        <w:t xml:space="preserve">7 </w:t>
      </w:r>
      <w:r>
        <w:t xml:space="preserve">Then he said to the keeper of his vineyard, Look, these three</w:t>
      </w:r>
      <w:r>
        <w:rPr>
          <w:rStyle w:val="FootnoteReference"/>
        </w:rPr>
        <w:footnoteReference w:id="15664"/>
      </w:r>
      <w:r>
        <w:t xml:space="preserve"> years I come seeking fruit on this fig tree, and find none: cut it down; why does it occupy the ground uselessly?</w:t>
      </w:r>
    </w:p>
    <w:p>
      <w:r>
        <w:rPr>
          <w:b/>
        </w:rPr>
        <w:t xml:space="preserve">8 </w:t>
      </w:r>
      <w:r>
        <w:t xml:space="preserve">And he answering said to him, Lord, let it alone this year also, till I shall dig around it, and put manure on it:</w:t>
      </w:r>
    </w:p>
    <w:p>
      <w:r>
        <w:rPr>
          <w:b/>
        </w:rPr>
        <w:t xml:space="preserve">9 </w:t>
      </w:r>
      <w:r>
        <w:t xml:space="preserve">And if it bears fruit, well: and if not</w:t>
      </w:r>
      <w:r>
        <w:rPr>
          <w:rStyle w:val="FootnoteReference"/>
        </w:rPr>
        <w:footnoteReference w:id="15665"/>
      </w:r>
      <w:r>
        <w:t xml:space="preserve">, then after that you shall cut it down.</w:t>
      </w:r>
    </w:p>
    <w:p>
      <w:r>
        <w:rPr>
          <w:b/>
        </w:rPr>
        <w:t xml:space="preserve">10 </w:t>
      </w:r>
      <w:r>
        <w:t xml:space="preserve">And he was teaching in one of the synagogues on the sabbath.</w:t>
      </w:r>
    </w:p>
    <w:p>
      <w:r>
        <w:rPr>
          <w:b/>
        </w:rPr>
        <w:t xml:space="preserve">11 </w:t>
      </w:r>
      <w:r>
        <w:t xml:space="preserve">And, look, there was a woman who had a spirit</w:t>
      </w:r>
      <w:r>
        <w:rPr>
          <w:rStyle w:val="FootnoteReference"/>
        </w:rPr>
        <w:footnoteReference w:id="15666"/>
      </w:r>
      <w:r>
        <w:t xml:space="preserve"> of infirmity eighteen years, and was bowed together, and could by no means lift up herself.</w:t>
      </w:r>
    </w:p>
    <w:p>
      <w:r>
        <w:rPr>
          <w:b/>
        </w:rPr>
        <w:t xml:space="preserve">12 </w:t>
      </w:r>
      <w:r>
        <w:t xml:space="preserve">And when Jesus saw her, he called her to him, and said to her, Woman</w:t>
      </w:r>
      <w:r>
        <w:rPr>
          <w:rStyle w:val="FootnoteReference"/>
        </w:rPr>
        <w:footnoteReference w:id="15667"/>
      </w:r>
      <w:r>
        <w:t xml:space="preserve">, you are freed from your infirmity.</w:t>
      </w:r>
    </w:p>
    <w:p>
      <w:r>
        <w:rPr>
          <w:b/>
        </w:rPr>
        <w:t xml:space="preserve">13 </w:t>
      </w:r>
      <w:r>
        <w:t xml:space="preserve">And he laid</w:t>
      </w:r>
      <w:r>
        <w:rPr>
          <w:rStyle w:val="FootnoteReference"/>
        </w:rPr>
        <w:footnoteReference w:id="15668"/>
      </w:r>
      <w:r>
        <w:t xml:space="preserve"> his hands on her: and immediately she was made straight, and glorified God.</w:t>
      </w:r>
    </w:p>
    <w:p>
      <w:r>
        <w:rPr>
          <w:b/>
        </w:rPr>
        <w:t xml:space="preserve">14 </w:t>
      </w:r>
      <w:r>
        <w:t xml:space="preserve">And the ruler</w:t>
      </w:r>
      <w:r>
        <w:rPr>
          <w:rStyle w:val="FootnoteReference"/>
        </w:rPr>
        <w:footnoteReference w:id="15669"/>
      </w:r>
      <w:r>
        <w:t xml:space="preserve"> of the synagogue answered with indignation, because Jesus had healed on the Sabbath, and said to the people, There are six days in which people ought to work: in them therefore come and be healed, and not on the Sabbath.</w:t>
      </w:r>
    </w:p>
    <w:p>
      <w:r>
        <w:rPr>
          <w:b/>
        </w:rPr>
        <w:t xml:space="preserve">15 </w:t>
      </w:r>
      <w:r>
        <w:t xml:space="preserve">The Lord then answered him, and said, You hypocrite, does not each one of you on the sabbath loose his ox or his donkey from the stall, and lead him away to watering?</w:t>
      </w:r>
    </w:p>
    <w:p>
      <w:r>
        <w:rPr>
          <w:b/>
        </w:rPr>
        <w:t xml:space="preserve">16 </w:t>
      </w:r>
      <w:r>
        <w:t xml:space="preserve">And ought not this woman, being a daughter of Abraham, whom Satan has bound, look, these eighteen years, be loosed</w:t>
      </w:r>
      <w:r>
        <w:rPr>
          <w:rStyle w:val="FootnoteReference"/>
        </w:rPr>
        <w:footnoteReference w:id="15670"/>
      </w:r>
      <w:r>
        <w:t xml:space="preserve"> from this bond on the Sabbath?</w:t>
      </w:r>
    </w:p>
    <w:p>
      <w:r>
        <w:rPr>
          <w:b/>
        </w:rPr>
        <w:t xml:space="preserve">17 </w:t>
      </w:r>
      <w:r>
        <w:t xml:space="preserve">And when he had said these things, all his</w:t>
      </w:r>
      <w:r>
        <w:rPr>
          <w:rStyle w:val="FootnoteReference"/>
        </w:rPr>
        <w:footnoteReference w:id="15671"/>
      </w:r>
      <w:r>
        <w:t xml:space="preserve"> adversaries were ashamed: and all the people rejoiced for all the glorious things that were done by him.</w:t>
      </w:r>
    </w:p>
    <w:p>
      <w:r>
        <w:rPr>
          <w:b/>
        </w:rPr>
        <w:t xml:space="preserve">18 </w:t>
      </w:r>
      <w:r>
        <w:t xml:space="preserve">Then he said, What is the kingdom</w:t>
      </w:r>
      <w:r>
        <w:rPr>
          <w:rStyle w:val="FootnoteReference"/>
        </w:rPr>
        <w:footnoteReference w:id="15672"/>
      </w:r>
      <w:r>
        <w:t xml:space="preserve"> of God like? and to what shall I compare it?</w:t>
      </w:r>
    </w:p>
    <w:p>
      <w:r>
        <w:rPr>
          <w:b/>
        </w:rPr>
        <w:t xml:space="preserve">19 </w:t>
      </w:r>
      <w:r>
        <w:t xml:space="preserve">It is like a grain of mustard seed, which a man took, and cast</w:t>
      </w:r>
      <w:r>
        <w:rPr>
          <w:rStyle w:val="FootnoteReference"/>
        </w:rPr>
        <w:footnoteReference w:id="15673"/>
      </w:r>
      <w:r>
        <w:t xml:space="preserve"> into his garden; and it grew, and became a great tree; and the birds of the air lodged in the branches of it.</w:t>
      </w:r>
    </w:p>
    <w:p>
      <w:r>
        <w:rPr>
          <w:b/>
        </w:rPr>
        <w:t xml:space="preserve">20 </w:t>
      </w:r>
      <w:r>
        <w:t xml:space="preserve">And again he said, To what shall I liken the kingdom of God?</w:t>
      </w:r>
    </w:p>
    <w:p>
      <w:r>
        <w:rPr>
          <w:b/>
        </w:rPr>
        <w:t xml:space="preserve">21 </w:t>
      </w:r>
      <w:r>
        <w:t xml:space="preserve">It is like leaven, which a woman took and hid in three measures of flour, till</w:t>
      </w:r>
      <w:r>
        <w:rPr>
          <w:rStyle w:val="FootnoteReference"/>
        </w:rPr>
        <w:footnoteReference w:id="15674"/>
      </w:r>
      <w:r>
        <w:t xml:space="preserve"> the whole was leavened.</w:t>
      </w:r>
    </w:p>
    <w:p>
      <w:r>
        <w:rPr>
          <w:b/>
        </w:rPr>
        <w:t xml:space="preserve">22 </w:t>
      </w:r>
      <w:r>
        <w:t xml:space="preserve">And he went through the cities and villages, teaching, and journeying</w:t>
      </w:r>
      <w:r>
        <w:rPr>
          <w:rStyle w:val="FootnoteReference"/>
        </w:rPr>
        <w:footnoteReference w:id="15675"/>
      </w:r>
      <w:r>
        <w:t xml:space="preserve"> toward Jerusalem.</w:t>
      </w:r>
    </w:p>
    <w:p>
      <w:r>
        <w:rPr>
          <w:b/>
        </w:rPr>
        <w:t xml:space="preserve">23 </w:t>
      </w:r>
      <w:r>
        <w:t xml:space="preserve">Then one said to him, Lord, are there few who are saved? And he said to them,</w:t>
      </w:r>
    </w:p>
    <w:p>
      <w:r>
        <w:rPr>
          <w:b/>
        </w:rPr>
        <w:t xml:space="preserve">24 </w:t>
      </w:r>
      <w:r>
        <w:t xml:space="preserve">Strive</w:t>
      </w:r>
      <w:r>
        <w:rPr>
          <w:rStyle w:val="FootnoteReference"/>
        </w:rPr>
        <w:footnoteReference w:id="15676"/>
      </w:r>
      <w:r>
        <w:t xml:space="preserve"> to enter in at the narrow gate: for many, I say to you, will seek to enter in, and shall not be able.</w:t>
      </w:r>
    </w:p>
    <w:p>
      <w:r>
        <w:rPr>
          <w:b/>
        </w:rPr>
        <w:t xml:space="preserve">25 </w:t>
      </w:r>
      <w:r>
        <w:t xml:space="preserve">When once</w:t>
      </w:r>
      <w:r>
        <w:rPr>
          <w:rStyle w:val="FootnoteReference"/>
        </w:rPr>
        <w:footnoteReference w:id="15677"/>
      </w:r>
      <w:r>
        <w:t xml:space="preserve"> the master of the house has risen up, and has shut to the door, and you begin to stand without, and to knock at the door, saying, Lord, Lord, open to us; and he shall answer and say to you, I do not know where you are from:</w:t>
      </w:r>
    </w:p>
    <w:p>
      <w:r>
        <w:rPr>
          <w:b/>
        </w:rPr>
        <w:t xml:space="preserve">26 </w:t>
      </w:r>
      <w:r>
        <w:t xml:space="preserve">Then shall you begin to say, We have eaten and drunk in your presence, and you have taught in our streets.</w:t>
      </w:r>
    </w:p>
    <w:p>
      <w:r>
        <w:rPr>
          <w:b/>
        </w:rPr>
        <w:t xml:space="preserve">27 </w:t>
      </w:r>
      <w:r>
        <w:t xml:space="preserve">But he shall say, I tell</w:t>
      </w:r>
      <w:r>
        <w:rPr>
          <w:rStyle w:val="FootnoteReference"/>
        </w:rPr>
        <w:footnoteReference w:id="15678"/>
      </w:r>
      <w:r>
        <w:t xml:space="preserve"> you, I do not know where you are from; depart from me, all you workers of iniquity.</w:t>
      </w:r>
    </w:p>
    <w:p>
      <w:r>
        <w:rPr>
          <w:b/>
        </w:rPr>
        <w:t xml:space="preserve">28 </w:t>
      </w:r>
      <w:r>
        <w:t xml:space="preserve">There shall be weeping</w:t>
      </w:r>
      <w:r>
        <w:rPr>
          <w:rStyle w:val="FootnoteReference"/>
        </w:rPr>
        <w:footnoteReference w:id="15679"/>
      </w:r>
      <w:r>
        <w:t xml:space="preserve"> and gnashing of teeth, when you shall see Abraham, and Isaac, and Jacob, and all the prophets, in the kingdom of God, and you yourselves cast out.</w:t>
      </w:r>
    </w:p>
    <w:p>
      <w:r>
        <w:rPr>
          <w:b/>
        </w:rPr>
        <w:t xml:space="preserve">29 </w:t>
      </w:r>
      <w:r>
        <w:t xml:space="preserve">And they shall come from the east, and from the west, and from the north, and from the south, and shall sit down in the kingdom of God.</w:t>
      </w:r>
    </w:p>
    <w:p>
      <w:r>
        <w:rPr>
          <w:b/>
        </w:rPr>
        <w:t xml:space="preserve">30 </w:t>
      </w:r>
      <w:r>
        <w:t xml:space="preserve">And, look, there are last who shall be first, and there are first who shall be last.</w:t>
      </w:r>
    </w:p>
    <w:p>
      <w:r>
        <w:rPr>
          <w:b/>
        </w:rPr>
        <w:t xml:space="preserve">31 </w:t>
      </w:r>
      <w:r>
        <w:t xml:space="preserve">The same day there came certain of the Pharisees, saying to him, Get out, and depart from here: for Herod will kill you.</w:t>
      </w:r>
    </w:p>
    <w:p>
      <w:r>
        <w:rPr>
          <w:b/>
        </w:rPr>
        <w:t xml:space="preserve">32 </w:t>
      </w:r>
      <w:r>
        <w:t xml:space="preserve">And he said to them, Go you, and tell that fox</w:t>
      </w:r>
      <w:r>
        <w:rPr>
          <w:rStyle w:val="FootnoteReference"/>
        </w:rPr>
        <w:footnoteReference w:id="15680"/>
      </w:r>
      <w:r>
        <w:t xml:space="preserve">, Look, I cast out demons, and I do cures today and tomorrow, and the third day I shall be perfected.</w:t>
      </w:r>
    </w:p>
    <w:p>
      <w:r>
        <w:rPr>
          <w:b/>
        </w:rPr>
        <w:t xml:space="preserve">33 </w:t>
      </w:r>
      <w:r>
        <w:t xml:space="preserve">Nevertheless I must</w:t>
      </w:r>
      <w:r>
        <w:rPr>
          <w:rStyle w:val="FootnoteReference"/>
        </w:rPr>
        <w:footnoteReference w:id="15681"/>
      </w:r>
      <w:r>
        <w:t xml:space="preserve"> journey today, and tomorrow, and the day following: for it cannot be that a prophet perish outside Jerusalem.</w:t>
      </w:r>
    </w:p>
    <w:p>
      <w:r>
        <w:rPr>
          <w:b/>
        </w:rPr>
        <w:t xml:space="preserve">34 </w:t>
      </w:r>
      <w:r>
        <w:t xml:space="preserve">O Jerusalem</w:t>
      </w:r>
      <w:r>
        <w:rPr>
          <w:rStyle w:val="FootnoteReference"/>
        </w:rPr>
        <w:footnoteReference w:id="15682"/>
      </w:r>
      <w:r>
        <w:t xml:space="preserve">, Jerusalem, who kills the prophets, and stones those who are sent to you; how often would I have gathered your children together, as a hen gathers her brood under her wings, and you were not willing!</w:t>
      </w:r>
    </w:p>
    <w:p>
      <w:r>
        <w:rPr>
          <w:b/>
        </w:rPr>
        <w:t xml:space="preserve">35 </w:t>
      </w:r>
      <w:r>
        <w:t xml:space="preserve">Look, your house is left to you desolate: but truly I say to you, You shall not see me, until the time come when you shall say, Blessed</w:t>
      </w:r>
      <w:r>
        <w:rPr>
          <w:rStyle w:val="FootnoteReference"/>
        </w:rPr>
        <w:footnoteReference w:id="15683"/>
      </w:r>
      <w:r>
        <w:t xml:space="preserve"> is the one who comes in the name of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it happened, as he went into the house of one of the chief</w:t>
      </w:r>
      <w:r>
        <w:rPr>
          <w:rStyle w:val="FootnoteReference"/>
        </w:rPr>
        <w:footnoteReference w:id="15684"/>
      </w:r>
      <w:r>
        <w:t xml:space="preserve"> Pharisees to eat bread on the Sabbath, that they watched him.</w:t>
      </w:r>
    </w:p>
    <w:p>
      <w:r>
        <w:rPr>
          <w:b/>
        </w:rPr>
        <w:t xml:space="preserve">2 </w:t>
      </w:r>
      <w:r>
        <w:t xml:space="preserve">And, look, there was a certain man before him who had edema.</w:t>
      </w:r>
    </w:p>
    <w:p>
      <w:r>
        <w:rPr>
          <w:b/>
        </w:rPr>
        <w:t xml:space="preserve">3 </w:t>
      </w:r>
      <w:r>
        <w:t xml:space="preserve">And Jesus answering spoke to the lawyers</w:t>
      </w:r>
      <w:r>
        <w:rPr>
          <w:rStyle w:val="FootnoteReference"/>
        </w:rPr>
        <w:footnoteReference w:id="15685"/>
      </w:r>
      <w:r>
        <w:t xml:space="preserve"> and Pharisees, saying, Is it lawful to heal on the Sabbath?</w:t>
      </w:r>
    </w:p>
    <w:p>
      <w:r>
        <w:rPr>
          <w:b/>
        </w:rPr>
        <w:t xml:space="preserve">4 </w:t>
      </w:r>
      <w:r>
        <w:t xml:space="preserve">And they were silent. And he took him, and healed him, and let him go;</w:t>
      </w:r>
    </w:p>
    <w:p>
      <w:r>
        <w:rPr>
          <w:b/>
        </w:rPr>
        <w:t xml:space="preserve">5 </w:t>
      </w:r>
      <w:r>
        <w:t xml:space="preserve">And answered them, saying, Which of you shall have a donkey or an ox fallen into a pit, and will not immediately pull him out on the Sabbath?</w:t>
      </w:r>
    </w:p>
    <w:p>
      <w:r>
        <w:rPr>
          <w:b/>
        </w:rPr>
        <w:t xml:space="preserve">6 </w:t>
      </w:r>
      <w:r>
        <w:t xml:space="preserve">And they could not answer him again to these things.</w:t>
      </w:r>
    </w:p>
    <w:p>
      <w:r>
        <w:rPr>
          <w:b/>
        </w:rPr>
        <w:t xml:space="preserve">7 </w:t>
      </w:r>
      <w:r>
        <w:t xml:space="preserve">And he put forth a parable to those who were invited, when he noted how they chose out the chief seats; saying to them,</w:t>
      </w:r>
    </w:p>
    <w:p>
      <w:r>
        <w:rPr>
          <w:b/>
        </w:rPr>
        <w:t xml:space="preserve">8 </w:t>
      </w:r>
      <w:r>
        <w:t xml:space="preserve">When you are invited by anyone to a wedding, do not sit down in the highest place; lest a more honorable man than you be invited by him;</w:t>
      </w:r>
    </w:p>
    <w:p>
      <w:r>
        <w:rPr>
          <w:b/>
        </w:rPr>
        <w:t xml:space="preserve">9 </w:t>
      </w:r>
      <w:r>
        <w:t xml:space="preserve">And the one who invited you and him come and say to you, Give this man place; and you begin with shame to take the lowest place.</w:t>
      </w:r>
    </w:p>
    <w:p>
      <w:r>
        <w:rPr>
          <w:b/>
        </w:rPr>
        <w:t xml:space="preserve">10 </w:t>
      </w:r>
      <w:r>
        <w:t xml:space="preserve">But when you are invited, go and sit down in the lowest place; that when the one who invited you comes, he may say to you, Friend, go up higher: then shall you have honor in the presence of those who sit to eat with you.</w:t>
      </w:r>
    </w:p>
    <w:p>
      <w:r>
        <w:rPr>
          <w:b/>
        </w:rPr>
        <w:t xml:space="preserve">11 </w:t>
      </w:r>
      <w:r>
        <w:t xml:space="preserve">For whoever exalts himself shall be brought low; and the one who humbles himself shall be exalted.</w:t>
      </w:r>
    </w:p>
    <w:p>
      <w:r>
        <w:rPr>
          <w:b/>
        </w:rPr>
        <w:t xml:space="preserve">12 </w:t>
      </w:r>
      <w:r>
        <w:t xml:space="preserve">Then said he also to him who invited him, When you make a dinner or a supper, call not your friends, nor your brothers, neither your kinsmen, nor your rich neighbors; lest they also bid you again, and a</w:t>
      </w:r>
      <w:r>
        <w:rPr>
          <w:rStyle w:val="FootnoteReference"/>
        </w:rPr>
        <w:footnoteReference w:id="15686"/>
      </w:r>
      <w:r>
        <w:t xml:space="preserve"> recompense be made you.</w:t>
      </w:r>
    </w:p>
    <w:p>
      <w:r>
        <w:rPr>
          <w:b/>
        </w:rPr>
        <w:t xml:space="preserve">13 </w:t>
      </w:r>
      <w:r>
        <w:t xml:space="preserve">But when you make a feast, call</w:t>
      </w:r>
      <w:r>
        <w:rPr>
          <w:rStyle w:val="FootnoteReference"/>
        </w:rPr>
        <w:footnoteReference w:id="15687"/>
      </w:r>
      <w:r>
        <w:t xml:space="preserve"> the poor, the physically disabled, the lame, the blind:</w:t>
      </w:r>
    </w:p>
    <w:p>
      <w:r>
        <w:rPr>
          <w:b/>
        </w:rPr>
        <w:t xml:space="preserve">14 </w:t>
      </w:r>
      <w:r>
        <w:t xml:space="preserve">And you shall be blessed; for they cannot repay you: for you shall be repaid at the resurrection</w:t>
      </w:r>
      <w:r>
        <w:rPr>
          <w:rStyle w:val="FootnoteReference"/>
        </w:rPr>
        <w:footnoteReference w:id="15688"/>
      </w:r>
      <w:r>
        <w:t xml:space="preserve"> of the righteous.</w:t>
      </w:r>
    </w:p>
    <w:p>
      <w:r>
        <w:rPr>
          <w:b/>
        </w:rPr>
        <w:t xml:space="preserve">15 </w:t>
      </w:r>
      <w:r>
        <w:t xml:space="preserve">And when one of those who reclined at table with him heard these things, he said to him, Blessed</w:t>
      </w:r>
      <w:r>
        <w:rPr>
          <w:rStyle w:val="FootnoteReference"/>
        </w:rPr>
        <w:footnoteReference w:id="15689"/>
      </w:r>
      <w:r>
        <w:t xml:space="preserve"> is the one who shall eat bread in the kingdom of God.</w:t>
      </w:r>
    </w:p>
    <w:p>
      <w:r>
        <w:rPr>
          <w:b/>
        </w:rPr>
        <w:t xml:space="preserve">16 </w:t>
      </w:r>
      <w:r>
        <w:t xml:space="preserve">Then he said to him, A certain man made a great supper, and invited many:</w:t>
      </w:r>
    </w:p>
    <w:p>
      <w:r>
        <w:rPr>
          <w:b/>
        </w:rPr>
        <w:t xml:space="preserve">17 </w:t>
      </w:r>
      <w:r>
        <w:t xml:space="preserve">And sent his slave at supper time to say to those who were bidden, Come; for all things are now ready.</w:t>
      </w:r>
    </w:p>
    <w:p>
      <w:r>
        <w:rPr>
          <w:b/>
        </w:rPr>
        <w:t xml:space="preserve">18 </w:t>
      </w:r>
      <w:r>
        <w:t xml:space="preserve">And they all with one consent began to make excuse. The first said to him, I have bought a piece of ground, and I must go and see it: I ask you, have me excused.</w:t>
      </w:r>
    </w:p>
    <w:p>
      <w:r>
        <w:rPr>
          <w:b/>
        </w:rPr>
        <w:t xml:space="preserve">19 </w:t>
      </w:r>
      <w:r>
        <w:t xml:space="preserve">And another said, I have bought five yoke of oxen, and I go to prove them: I ask you, have me excused.</w:t>
      </w:r>
    </w:p>
    <w:p>
      <w:r>
        <w:rPr>
          <w:b/>
        </w:rPr>
        <w:t xml:space="preserve">20 </w:t>
      </w:r>
      <w:r>
        <w:t xml:space="preserve">And another said, I have married a wife, and therefore I cannot come.</w:t>
      </w:r>
    </w:p>
    <w:p>
      <w:r>
        <w:rPr>
          <w:b/>
        </w:rPr>
        <w:t xml:space="preserve">21 </w:t>
      </w:r>
      <w:r>
        <w:t xml:space="preserve">So that slave came, and showed</w:t>
      </w:r>
      <w:r>
        <w:rPr>
          <w:rStyle w:val="FootnoteReference"/>
        </w:rPr>
        <w:footnoteReference w:id="15690"/>
      </w:r>
      <w:r>
        <w:t xml:space="preserve"> his Lord these things. Then the master of the house being angry said to his slave, Go out quickly into the streets and lanes of the city, and bring in here the poor, and the physically disabled, and the halt, and the blind.</w:t>
      </w:r>
    </w:p>
    <w:p>
      <w:r>
        <w:rPr>
          <w:b/>
        </w:rPr>
        <w:t xml:space="preserve">22 </w:t>
      </w:r>
      <w:r>
        <w:t xml:space="preserve">And the slave said, Lord, it is done as you have commanded, and yet</w:t>
      </w:r>
      <w:r>
        <w:rPr>
          <w:rStyle w:val="FootnoteReference"/>
        </w:rPr>
        <w:footnoteReference w:id="15691"/>
      </w:r>
      <w:r>
        <w:t xml:space="preserve"> there is room.</w:t>
      </w:r>
    </w:p>
    <w:p>
      <w:r>
        <w:rPr>
          <w:b/>
        </w:rPr>
        <w:t xml:space="preserve">23 </w:t>
      </w:r>
      <w:r>
        <w:t xml:space="preserve">And the Lord said to the slave, Go out into the highways and hedges, and compel</w:t>
      </w:r>
      <w:r>
        <w:rPr>
          <w:rStyle w:val="FootnoteReference"/>
        </w:rPr>
        <w:footnoteReference w:id="15692"/>
      </w:r>
      <w:r>
        <w:t xml:space="preserve"> them to come in, that my house may be filled.</w:t>
      </w:r>
    </w:p>
    <w:p>
      <w:r>
        <w:rPr>
          <w:b/>
        </w:rPr>
        <w:t xml:space="preserve">24 </w:t>
      </w:r>
      <w:r>
        <w:t xml:space="preserve">For I say to you, That none of those men who were invited shall taste of my supper.</w:t>
      </w:r>
    </w:p>
    <w:p>
      <w:r>
        <w:rPr>
          <w:b/>
        </w:rPr>
        <w:t xml:space="preserve">25 </w:t>
      </w:r>
      <w:r>
        <w:t xml:space="preserve">And there went great crowds with him: and he turned, and said to them,</w:t>
      </w:r>
    </w:p>
    <w:p>
      <w:r>
        <w:rPr>
          <w:b/>
        </w:rPr>
        <w:t xml:space="preserve">26 </w:t>
      </w:r>
      <w:r>
        <w:t xml:space="preserve">If anyone comes to me, and does not hate</w:t>
      </w:r>
      <w:r>
        <w:rPr>
          <w:rStyle w:val="FootnoteReference"/>
        </w:rPr>
        <w:footnoteReference w:id="15693"/>
      </w:r>
      <w:r>
        <w:t xml:space="preserve"> his father, and mother, and wife, and children, and brothers, and sisters, yes, and his own life also, he cannot be my disciple.</w:t>
      </w:r>
    </w:p>
    <w:p>
      <w:r>
        <w:rPr>
          <w:b/>
        </w:rPr>
        <w:t xml:space="preserve">27 </w:t>
      </w:r>
      <w:r>
        <w:t xml:space="preserve">And whoever does not bear his cross, and come after me, cannot</w:t>
      </w:r>
      <w:r>
        <w:rPr>
          <w:rStyle w:val="FootnoteReference"/>
        </w:rPr>
        <w:footnoteReference w:id="15694"/>
      </w:r>
      <w:r>
        <w:t xml:space="preserve"> be my disciple.</w:t>
      </w:r>
    </w:p>
    <w:p>
      <w:r>
        <w:rPr>
          <w:b/>
        </w:rPr>
        <w:t xml:space="preserve">28 </w:t>
      </w:r>
      <w:r>
        <w:t xml:space="preserve">For which of you, intending</w:t>
      </w:r>
      <w:r>
        <w:rPr>
          <w:rStyle w:val="FootnoteReference"/>
        </w:rPr>
        <w:footnoteReference w:id="15695"/>
      </w:r>
      <w:r>
        <w:t xml:space="preserve"> to build a tower, does not sit down first, and count the cost, whether he has sufficient to finish it?</w:t>
      </w:r>
    </w:p>
    <w:p>
      <w:r>
        <w:rPr>
          <w:b/>
        </w:rPr>
        <w:t xml:space="preserve">29 </w:t>
      </w:r>
      <w:r>
        <w:t xml:space="preserve">Lest by any means, after he has laid the foundation, and cannot finish it, all who see it begin to mock him,</w:t>
      </w:r>
    </w:p>
    <w:p>
      <w:r>
        <w:rPr>
          <w:b/>
        </w:rPr>
        <w:t xml:space="preserve">30 </w:t>
      </w:r>
      <w:r>
        <w:t xml:space="preserve">Saying, This man began to build, and was not able to finish.</w:t>
      </w:r>
    </w:p>
    <w:p>
      <w:r>
        <w:rPr>
          <w:b/>
        </w:rPr>
        <w:t xml:space="preserve">31 </w:t>
      </w:r>
      <w:r>
        <w:t xml:space="preserve">Or what king, going to make war against another king, does not sit down first, and consult whether he is able with ten thousand to meet him who comes against him with twenty thousand?</w:t>
      </w:r>
    </w:p>
    <w:p>
      <w:r>
        <w:rPr>
          <w:b/>
        </w:rPr>
        <w:t xml:space="preserve">32 </w:t>
      </w:r>
      <w:r>
        <w:t xml:space="preserve">Or else, while the other is yet a great way off, he sends an embassy, and asks conditions of peace.</w:t>
      </w:r>
    </w:p>
    <w:p>
      <w:r>
        <w:rPr>
          <w:b/>
        </w:rPr>
        <w:t xml:space="preserve">33 </w:t>
      </w:r>
      <w:r>
        <w:t xml:space="preserve">So likewise, whoever he is of you that does not forsake all that he has, he cannot be my disciple.</w:t>
      </w:r>
    </w:p>
    <w:p>
      <w:r>
        <w:rPr>
          <w:b/>
        </w:rPr>
        <w:t xml:space="preserve">34 </w:t>
      </w:r>
      <w:r>
        <w:t xml:space="preserve">Salt</w:t>
      </w:r>
      <w:r>
        <w:rPr>
          <w:rStyle w:val="FootnoteReference"/>
        </w:rPr>
        <w:footnoteReference w:id="15696"/>
      </w:r>
      <w:r>
        <w:t xml:space="preserve"> is good: but if the salt has lost its taste, with what shall it be seasoned?</w:t>
      </w:r>
    </w:p>
    <w:p>
      <w:r>
        <w:rPr>
          <w:b/>
        </w:rPr>
        <w:t xml:space="preserve">35 </w:t>
      </w:r>
      <w:r>
        <w:t xml:space="preserve">It is neither fit for the land, nor yet for the dunghill; but people cast it out. The one who has ears to hear, let him hear.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Then drew near to him all the tax collectors and sinners in order to hear him.</w:t>
      </w:r>
    </w:p>
    <w:p>
      <w:r>
        <w:rPr>
          <w:b/>
        </w:rPr>
        <w:t xml:space="preserve">2 </w:t>
      </w:r>
      <w:r>
        <w:t xml:space="preserve">And the Pharisees and scribes grumbled, saying, This man receives sinners, and eats with them.</w:t>
      </w:r>
    </w:p>
    <w:p>
      <w:r>
        <w:rPr>
          <w:b/>
        </w:rPr>
        <w:t xml:space="preserve">3 </w:t>
      </w:r>
      <w:r>
        <w:t xml:space="preserve">And he spoke this parable to them, saying,</w:t>
      </w:r>
    </w:p>
    <w:p>
      <w:r>
        <w:rPr>
          <w:b/>
        </w:rPr>
        <w:t xml:space="preserve">4 </w:t>
      </w:r>
      <w:r>
        <w:t xml:space="preserve">What man of you, having a hundred sheep, if he loses one of them, does not leave the ninety-nine in the wilderness, and go after that which is lost, until he finds it?</w:t>
      </w:r>
    </w:p>
    <w:p>
      <w:r>
        <w:rPr>
          <w:b/>
        </w:rPr>
        <w:t xml:space="preserve">5 </w:t>
      </w:r>
      <w:r>
        <w:t xml:space="preserve">And when he has found it, he lays it on his shoulders, rejoicing</w:t>
      </w:r>
      <w:r>
        <w:rPr>
          <w:rStyle w:val="FootnoteReference"/>
        </w:rPr>
        <w:footnoteReference w:id="15697"/>
      </w:r>
      <w:r>
        <w:t xml:space="preserve">.</w:t>
      </w:r>
    </w:p>
    <w:p>
      <w:r>
        <w:rPr>
          <w:b/>
        </w:rPr>
        <w:t xml:space="preserve">6 </w:t>
      </w:r>
      <w:r>
        <w:t xml:space="preserve">And when he comes home, he calls together his friends and neighbors, saying to them, Rejoice with me; for I have found my sheep which was lost.</w:t>
      </w:r>
    </w:p>
    <w:p>
      <w:r>
        <w:rPr>
          <w:b/>
        </w:rPr>
        <w:t xml:space="preserve">7 </w:t>
      </w:r>
      <w:r>
        <w:t xml:space="preserve">I say to you, that likewise joy shall be in heaven over one sinner that repents, more than over ninety-nine righteous persons, who need no repentance.</w:t>
      </w:r>
    </w:p>
    <w:p>
      <w:r>
        <w:rPr>
          <w:b/>
        </w:rPr>
        <w:t xml:space="preserve">8 </w:t>
      </w:r>
      <w:r>
        <w:t xml:space="preserve">Or what woman having ten pieces</w:t>
      </w:r>
      <w:r>
        <w:rPr>
          <w:rStyle w:val="FootnoteReference"/>
        </w:rPr>
        <w:footnoteReference w:id="15698"/>
      </w:r>
      <w:r>
        <w:t xml:space="preserve"> of silver, if she loses one piece, does not light a lamp, and sweep the house, and seek diligently till she finds it?</w:t>
      </w:r>
    </w:p>
    <w:p>
      <w:r>
        <w:rPr>
          <w:b/>
        </w:rPr>
        <w:t xml:space="preserve">9 </w:t>
      </w:r>
      <w:r>
        <w:t xml:space="preserve">And when she has found it, she calls her friends and her neighbors together, saying, Rejoice</w:t>
      </w:r>
      <w:r>
        <w:rPr>
          <w:rStyle w:val="FootnoteReference"/>
        </w:rPr>
        <w:footnoteReference w:id="15699"/>
      </w:r>
      <w:r>
        <w:t xml:space="preserve"> with me; for I have found the piece which I had lost.</w:t>
      </w:r>
    </w:p>
    <w:p>
      <w:r>
        <w:rPr>
          <w:b/>
        </w:rPr>
        <w:t xml:space="preserve">10 </w:t>
      </w:r>
      <w:r>
        <w:t xml:space="preserve">Likewise, I say to you, there is joy in the presence of the angels of God over one sinner that repents.</w:t>
      </w:r>
    </w:p>
    <w:p>
      <w:r>
        <w:rPr>
          <w:b/>
        </w:rPr>
        <w:t xml:space="preserve">11 </w:t>
      </w:r>
      <w:r>
        <w:t xml:space="preserve">And he said, A certain man had two sons:</w:t>
      </w:r>
    </w:p>
    <w:p>
      <w:r>
        <w:rPr>
          <w:b/>
        </w:rPr>
        <w:t xml:space="preserve">12 </w:t>
      </w:r>
      <w:r>
        <w:t xml:space="preserve">And the younger of them said to his father, Father, give</w:t>
      </w:r>
      <w:r>
        <w:rPr>
          <w:rStyle w:val="FootnoteReference"/>
        </w:rPr>
        <w:footnoteReference w:id="15700"/>
      </w:r>
      <w:r>
        <w:t xml:space="preserve"> me the portion of goods that falls to me. And he divided to them his living.</w:t>
      </w:r>
    </w:p>
    <w:p>
      <w:r>
        <w:rPr>
          <w:b/>
        </w:rPr>
        <w:t xml:space="preserve">13 </w:t>
      </w:r>
      <w:r>
        <w:t xml:space="preserve">And not many days after the younger son gathered all together, and took</w:t>
      </w:r>
      <w:r>
        <w:rPr>
          <w:rStyle w:val="FootnoteReference"/>
        </w:rPr>
        <w:footnoteReference w:id="15701"/>
      </w:r>
      <w:r>
        <w:t xml:space="preserve"> his journey into a far country, and there wasted his possessions with riotous living.</w:t>
      </w:r>
    </w:p>
    <w:p>
      <w:r>
        <w:rPr>
          <w:b/>
        </w:rPr>
        <w:t xml:space="preserve">14 </w:t>
      </w:r>
      <w:r>
        <w:t xml:space="preserve">And when he had spent all, there arose</w:t>
      </w:r>
      <w:r>
        <w:rPr>
          <w:rStyle w:val="FootnoteReference"/>
        </w:rPr>
        <w:footnoteReference w:id="15702"/>
      </w:r>
      <w:r>
        <w:t xml:space="preserve"> a mighty famine in that land; and he began to be in lack.</w:t>
      </w:r>
    </w:p>
    <w:p>
      <w:r>
        <w:rPr>
          <w:b/>
        </w:rPr>
        <w:t xml:space="preserve">15 </w:t>
      </w:r>
      <w:r>
        <w:t xml:space="preserve">And he went and joined himself to a citizen of that country; and he sent him into his fields to feed</w:t>
      </w:r>
      <w:r>
        <w:rPr>
          <w:rStyle w:val="FootnoteReference"/>
        </w:rPr>
        <w:footnoteReference w:id="15703"/>
      </w:r>
      <w:r>
        <w:t xml:space="preserve"> swine.</w:t>
      </w:r>
    </w:p>
    <w:p>
      <w:r>
        <w:rPr>
          <w:b/>
        </w:rPr>
        <w:t xml:space="preserve">16 </w:t>
      </w:r>
      <w:r>
        <w:t xml:space="preserve">And he would</w:t>
      </w:r>
      <w:r>
        <w:rPr>
          <w:rStyle w:val="FootnoteReference"/>
        </w:rPr>
        <w:footnoteReference w:id="15704"/>
      </w:r>
      <w:r>
        <w:t xml:space="preserve"> gladly have filled his belly with the husks that the swine ate: and no one gave to him.</w:t>
      </w:r>
    </w:p>
    <w:p>
      <w:r>
        <w:rPr>
          <w:b/>
        </w:rPr>
        <w:t xml:space="preserve">17 </w:t>
      </w:r>
      <w:r>
        <w:t xml:space="preserve">And when he came to himself, he said, How many hired servants of my father's have bread enough and to spare, and I perish with hunger!</w:t>
      </w:r>
    </w:p>
    <w:p>
      <w:r>
        <w:rPr>
          <w:b/>
        </w:rPr>
        <w:t xml:space="preserve">18 </w:t>
      </w:r>
      <w:r>
        <w:t xml:space="preserve">I will arise</w:t>
      </w:r>
      <w:r>
        <w:rPr>
          <w:rStyle w:val="FootnoteReference"/>
        </w:rPr>
        <w:footnoteReference w:id="15705"/>
      </w:r>
      <w:r>
        <w:t xml:space="preserve"> and go to my father, and will say to him, Father, I have sinned against heaven, and before you,</w:t>
      </w:r>
    </w:p>
    <w:p>
      <w:r>
        <w:rPr>
          <w:b/>
        </w:rPr>
        <w:t xml:space="preserve">19 </w:t>
      </w:r>
      <w:r>
        <w:t xml:space="preserve">And am no longer worthy to be called your son: make</w:t>
      </w:r>
      <w:r>
        <w:rPr>
          <w:rStyle w:val="FootnoteReference"/>
        </w:rPr>
        <w:footnoteReference w:id="15706"/>
      </w:r>
      <w:r>
        <w:t xml:space="preserve"> me as one of your hired servants.</w:t>
      </w:r>
    </w:p>
    <w:p>
      <w:r>
        <w:rPr>
          <w:b/>
        </w:rPr>
        <w:t xml:space="preserve">20 </w:t>
      </w:r>
      <w:r>
        <w:t xml:space="preserve">And he arose, and came to his father. But when he was still a great way off, his father saw him, and had compassion, and ran, and fell</w:t>
      </w:r>
      <w:r>
        <w:rPr>
          <w:rStyle w:val="FootnoteReference"/>
        </w:rPr>
        <w:footnoteReference w:id="15707"/>
      </w:r>
      <w:r>
        <w:t xml:space="preserve"> on his neck, and kissed him.</w:t>
      </w:r>
    </w:p>
    <w:p>
      <w:r>
        <w:rPr>
          <w:b/>
        </w:rPr>
        <w:t xml:space="preserve">21 </w:t>
      </w:r>
      <w:r>
        <w:t xml:space="preserve">And the son said to him, Father</w:t>
      </w:r>
      <w:r>
        <w:rPr>
          <w:rStyle w:val="FootnoteReference"/>
        </w:rPr>
        <w:footnoteReference w:id="15708"/>
      </w:r>
      <w:r>
        <w:t xml:space="preserve">, I have sinned against heaven, and in your sight, and am no longer worthy to be called your son.</w:t>
      </w:r>
    </w:p>
    <w:p>
      <w:r>
        <w:rPr>
          <w:b/>
        </w:rPr>
        <w:t xml:space="preserve">22 </w:t>
      </w:r>
      <w:r>
        <w:t xml:space="preserve">But the father said to his slaves, Bring forth the best</w:t>
      </w:r>
      <w:r>
        <w:rPr>
          <w:rStyle w:val="FootnoteReference"/>
        </w:rPr>
        <w:footnoteReference w:id="15709"/>
      </w:r>
      <w:r>
        <w:t xml:space="preserve"> robe, and put it on him; and put a ring on his hand, and shoes on his feet:</w:t>
      </w:r>
    </w:p>
    <w:p>
      <w:r>
        <w:rPr>
          <w:b/>
        </w:rPr>
        <w:t xml:space="preserve">23 </w:t>
      </w:r>
      <w:r>
        <w:t xml:space="preserve">And bring here the fatted</w:t>
      </w:r>
      <w:r>
        <w:rPr>
          <w:rStyle w:val="FootnoteReference"/>
        </w:rPr>
        <w:footnoteReference w:id="15710"/>
      </w:r>
      <w:r>
        <w:t xml:space="preserve"> calf, and kill it; and let us eat, and be merry:</w:t>
      </w:r>
    </w:p>
    <w:p>
      <w:r>
        <w:rPr>
          <w:b/>
        </w:rPr>
        <w:t xml:space="preserve">24 </w:t>
      </w:r>
      <w:r>
        <w:t xml:space="preserve">For this my son was dead, and is alive again; he was lost, and is found. And they began to be merry.</w:t>
      </w:r>
    </w:p>
    <w:p>
      <w:r>
        <w:rPr>
          <w:b/>
        </w:rPr>
        <w:t xml:space="preserve">25 </w:t>
      </w:r>
      <w:r>
        <w:t xml:space="preserve">Now his elder son was in the field: and as he came and drew near to the house, he heard music and dancing.</w:t>
      </w:r>
    </w:p>
    <w:p>
      <w:r>
        <w:rPr>
          <w:b/>
        </w:rPr>
        <w:t xml:space="preserve">26 </w:t>
      </w:r>
      <w:r>
        <w:t xml:space="preserve">And he called one of the servants, and asked what these things meant.</w:t>
      </w:r>
    </w:p>
    <w:p>
      <w:r>
        <w:rPr>
          <w:b/>
        </w:rPr>
        <w:t xml:space="preserve">27 </w:t>
      </w:r>
      <w:r>
        <w:t xml:space="preserve">And he said to him, Your brother has come; and your father has killed the fatted calf, because he has received him safe and sound.</w:t>
      </w:r>
    </w:p>
    <w:p>
      <w:r>
        <w:rPr>
          <w:b/>
        </w:rPr>
        <w:t xml:space="preserve">28 </w:t>
      </w:r>
      <w:r>
        <w:t xml:space="preserve">And he was angry, and would not go in: therefore</w:t>
      </w:r>
      <w:r>
        <w:rPr>
          <w:rStyle w:val="FootnoteReference"/>
        </w:rPr>
        <w:footnoteReference w:id="15711"/>
      </w:r>
      <w:r>
        <w:t xml:space="preserve"> his father came out, and implored him.</w:t>
      </w:r>
    </w:p>
    <w:p>
      <w:r>
        <w:rPr>
          <w:b/>
        </w:rPr>
        <w:t xml:space="preserve">29 </w:t>
      </w:r>
      <w:r>
        <w:t xml:space="preserve">And he answering said to his father, Look, these many years I serve you, neither did I at any time transgress your commandment: and yet you never gave me a kid, that I might make merry with my friends:</w:t>
      </w:r>
    </w:p>
    <w:p>
      <w:r>
        <w:rPr>
          <w:b/>
        </w:rPr>
        <w:t xml:space="preserve">30 </w:t>
      </w:r>
      <w:r>
        <w:t xml:space="preserve">But as soon as this your son had come, which has devoured</w:t>
      </w:r>
      <w:r>
        <w:rPr>
          <w:rStyle w:val="FootnoteReference"/>
        </w:rPr>
        <w:footnoteReference w:id="15712"/>
      </w:r>
      <w:r>
        <w:t xml:space="preserve"> your living with prostitutes, you have killed for him the fatted calf.</w:t>
      </w:r>
    </w:p>
    <w:p>
      <w:r>
        <w:rPr>
          <w:b/>
        </w:rPr>
        <w:t xml:space="preserve">31 </w:t>
      </w:r>
      <w:r>
        <w:t xml:space="preserve">And he said to him, Son, you are always with me, and all that I have is yours.</w:t>
      </w:r>
    </w:p>
    <w:p>
      <w:r>
        <w:rPr>
          <w:b/>
        </w:rPr>
        <w:t xml:space="preserve">32 </w:t>
      </w:r>
      <w:r>
        <w:t xml:space="preserve">It was fitting that we should make merry, and be glad: for this your brother was dead, and is alive again; and was lost, and is found.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he said also to his disciples, There was a certain rich man, who had a steward</w:t>
      </w:r>
      <w:r>
        <w:rPr>
          <w:rStyle w:val="FootnoteReference"/>
        </w:rPr>
        <w:footnoteReference w:id="15713"/>
      </w:r>
      <w:r>
        <w:t xml:space="preserve">; and the same was accused to him that he had wasted his goods.</w:t>
      </w:r>
    </w:p>
    <w:p>
      <w:r>
        <w:rPr>
          <w:b/>
        </w:rPr>
        <w:t xml:space="preserve">2 </w:t>
      </w:r>
      <w:r>
        <w:t xml:space="preserve">And he called him, and said to him, What is this that I hear of you? give</w:t>
      </w:r>
      <w:r>
        <w:rPr>
          <w:rStyle w:val="FootnoteReference"/>
        </w:rPr>
        <w:footnoteReference w:id="15714"/>
      </w:r>
      <w:r>
        <w:t xml:space="preserve"> an account of your stewardship; for you may no longer be steward.</w:t>
      </w:r>
    </w:p>
    <w:p>
      <w:r>
        <w:rPr>
          <w:b/>
        </w:rPr>
        <w:t xml:space="preserve">3 </w:t>
      </w:r>
      <w:r>
        <w:t xml:space="preserve">Then the steward said</w:t>
      </w:r>
      <w:r>
        <w:rPr>
          <w:rStyle w:val="FootnoteReference"/>
        </w:rPr>
        <w:footnoteReference w:id="15715"/>
      </w:r>
      <w:r>
        <w:t xml:space="preserve"> within himself, What shall I do? for my lord takes away from me the stewardship: I cannot dig; to beg I am ashamed.</w:t>
      </w:r>
    </w:p>
    <w:p>
      <w:r>
        <w:rPr>
          <w:b/>
        </w:rPr>
        <w:t xml:space="preserve">4 </w:t>
      </w:r>
      <w:r>
        <w:t xml:space="preserve">I know what to do, that, when I am put out of the stewardship, they may receive me into their houses.</w:t>
      </w:r>
    </w:p>
    <w:p>
      <w:r>
        <w:rPr>
          <w:b/>
        </w:rPr>
        <w:t xml:space="preserve">5 </w:t>
      </w:r>
      <w:r>
        <w:t xml:space="preserve">So he called every one of his lord's debtors to him, and said to the first, How much do you owe my lord?</w:t>
      </w:r>
    </w:p>
    <w:p>
      <w:r>
        <w:rPr>
          <w:b/>
        </w:rPr>
        <w:t xml:space="preserve">6 </w:t>
      </w:r>
      <w:r>
        <w:t xml:space="preserve">And he said, A hundred measures</w:t>
      </w:r>
      <w:r>
        <w:rPr>
          <w:rStyle w:val="FootnoteReference"/>
        </w:rPr>
        <w:footnoteReference w:id="15716"/>
      </w:r>
      <w:r>
        <w:t xml:space="preserve"> of oil. And he said to him, Take your bill, and sit down quickly, and write fifty.</w:t>
      </w:r>
    </w:p>
    <w:p>
      <w:r>
        <w:rPr>
          <w:b/>
        </w:rPr>
        <w:t xml:space="preserve">7 </w:t>
      </w:r>
      <w:r>
        <w:t xml:space="preserve">Then he said to another, And how much do you owe? And he said, A hundred measures of wheat. And he said to him, Take your bill, and write eighty.</w:t>
      </w:r>
    </w:p>
    <w:p>
      <w:r>
        <w:rPr>
          <w:b/>
        </w:rPr>
        <w:t xml:space="preserve">8 </w:t>
      </w:r>
      <w:r>
        <w:t xml:space="preserve">And the Lord commended the unjust</w:t>
      </w:r>
      <w:r>
        <w:rPr>
          <w:rStyle w:val="FootnoteReference"/>
        </w:rPr>
        <w:footnoteReference w:id="15717"/>
      </w:r>
      <w:r>
        <w:t xml:space="preserve"> steward, because he had done wisely: for the children of this age are in their generation wiser than the children of light.</w:t>
      </w:r>
    </w:p>
    <w:p>
      <w:r>
        <w:rPr>
          <w:b/>
        </w:rPr>
        <w:t xml:space="preserve">9 </w:t>
      </w:r>
      <w:r>
        <w:t xml:space="preserve">And I say to you, Make</w:t>
      </w:r>
      <w:r>
        <w:rPr>
          <w:rStyle w:val="FootnoteReference"/>
        </w:rPr>
        <w:footnoteReference w:id="15718"/>
      </w:r>
      <w:r>
        <w:t xml:space="preserve"> to yourselves friends of the mammon of unrighteousness; that, when you fail, they may receive you into eternal habitations.</w:t>
      </w:r>
    </w:p>
    <w:p>
      <w:r>
        <w:rPr>
          <w:b/>
        </w:rPr>
        <w:t xml:space="preserve">10 </w:t>
      </w:r>
      <w:r>
        <w:t xml:space="preserve">The one who is faithful in</w:t>
      </w:r>
      <w:r>
        <w:rPr>
          <w:rStyle w:val="FootnoteReference"/>
        </w:rPr>
        <w:footnoteReference w:id="15719"/>
      </w:r>
      <w:r>
        <w:t xml:space="preserve"> that which is least is faithful also in much: and the one who is unjust in the least is unjust also in much.</w:t>
      </w:r>
    </w:p>
    <w:p>
      <w:r>
        <w:rPr>
          <w:b/>
        </w:rPr>
        <w:t xml:space="preserve">11 </w:t>
      </w:r>
      <w:r>
        <w:t xml:space="preserve">If therefore you have not been faithful in the unrighteous mammon, who will commit to your trust the true</w:t>
      </w:r>
      <w:r>
        <w:rPr>
          <w:rStyle w:val="FootnoteReference"/>
        </w:rPr>
        <w:footnoteReference w:id="15720"/>
      </w:r>
      <w:r>
        <w:t xml:space="preserve"> riches?</w:t>
      </w:r>
    </w:p>
    <w:p>
      <w:r>
        <w:rPr>
          <w:b/>
        </w:rPr>
        <w:t xml:space="preserve">12 </w:t>
      </w:r>
      <w:r>
        <w:t xml:space="preserve">And if you have not been faithful in that which is another's, who shall give you that which is your</w:t>
      </w:r>
      <w:r>
        <w:rPr>
          <w:rStyle w:val="FootnoteReference"/>
        </w:rPr>
        <w:footnoteReference w:id="15721"/>
      </w:r>
      <w:r>
        <w:t xml:space="preserve"> own?</w:t>
      </w:r>
    </w:p>
    <w:p>
      <w:r>
        <w:rPr>
          <w:b/>
        </w:rPr>
        <w:t xml:space="preserve">13 </w:t>
      </w:r>
      <w:r>
        <w:t xml:space="preserve">No slave can serve two masters: for either he will hate</w:t>
      </w:r>
      <w:r>
        <w:rPr>
          <w:rStyle w:val="FootnoteReference"/>
        </w:rPr>
        <w:footnoteReference w:id="15722"/>
      </w:r>
      <w:r>
        <w:t xml:space="preserve"> the one, and love the other; or else he will hold to the one, and despise the other. You cannot serve God and mammon.</w:t>
      </w:r>
    </w:p>
    <w:p>
      <w:r>
        <w:rPr>
          <w:b/>
        </w:rPr>
        <w:t xml:space="preserve">14 </w:t>
      </w:r>
      <w:r>
        <w:t xml:space="preserve">And the Pharisees also, who were lovers of money, heard all these things: and they derided</w:t>
      </w:r>
      <w:r>
        <w:rPr>
          <w:rStyle w:val="FootnoteReference"/>
        </w:rPr>
        <w:footnoteReference w:id="15723"/>
      </w:r>
      <w:r>
        <w:t xml:space="preserve"> him.</w:t>
      </w:r>
    </w:p>
    <w:p>
      <w:r>
        <w:rPr>
          <w:b/>
        </w:rPr>
        <w:t xml:space="preserve">15 </w:t>
      </w:r>
      <w:r>
        <w:t xml:space="preserve">And he said to them, You are those who justify yourselves before people; but God knows your hearts: for that which is highly esteemed among people is abomination in the sight of God.</w:t>
      </w:r>
    </w:p>
    <w:p>
      <w:r>
        <w:rPr>
          <w:b/>
        </w:rPr>
        <w:t xml:space="preserve">16 </w:t>
      </w:r>
      <w:r>
        <w:t xml:space="preserve">The law and the prophets were until John: since that time the kingdom</w:t>
      </w:r>
      <w:r>
        <w:rPr>
          <w:rStyle w:val="FootnoteReference"/>
        </w:rPr>
        <w:footnoteReference w:id="15724"/>
      </w:r>
      <w:r>
        <w:t xml:space="preserve"> of God is preached, and every one presses into it.</w:t>
      </w:r>
    </w:p>
    <w:p>
      <w:r>
        <w:rPr>
          <w:b/>
        </w:rPr>
        <w:t xml:space="preserve">17 </w:t>
      </w:r>
      <w:r>
        <w:t xml:space="preserve">And it is easier for heaven and earth to pass, than</w:t>
      </w:r>
      <w:r>
        <w:rPr>
          <w:rStyle w:val="FootnoteReference"/>
        </w:rPr>
        <w:footnoteReference w:id="15725"/>
      </w:r>
      <w:r>
        <w:t xml:space="preserve"> one tittle of the law to fail.</w:t>
      </w:r>
    </w:p>
    <w:p>
      <w:r>
        <w:rPr>
          <w:b/>
        </w:rPr>
        <w:t xml:space="preserve">18 </w:t>
      </w:r>
      <w:r>
        <w:t xml:space="preserve">Whoever releases his wife, and marries another, commits adultery: and whoever marries her who has been released from her husband commits adultery.</w:t>
      </w:r>
    </w:p>
    <w:p>
      <w:r>
        <w:rPr>
          <w:b/>
        </w:rPr>
        <w:t xml:space="preserve">19 </w:t>
      </w:r>
      <w:r>
        <w:t xml:space="preserve">There was a certain rich</w:t>
      </w:r>
      <w:r>
        <w:rPr>
          <w:rStyle w:val="FootnoteReference"/>
        </w:rPr>
        <w:footnoteReference w:id="15726"/>
      </w:r>
      <w:r>
        <w:t xml:space="preserve"> man, who was clothed in purple and fine linen, and lived splendidly every day:</w:t>
      </w:r>
    </w:p>
    <w:p>
      <w:r>
        <w:rPr>
          <w:b/>
        </w:rPr>
        <w:t xml:space="preserve">20 </w:t>
      </w:r>
      <w:r>
        <w:t xml:space="preserve">And there was a certain beggar named Lazarus</w:t>
      </w:r>
      <w:r>
        <w:rPr>
          <w:rStyle w:val="FootnoteReference"/>
        </w:rPr>
        <w:footnoteReference w:id="15727"/>
      </w:r>
      <w:r>
        <w:t xml:space="preserve">, who was laid at his gate, full of sores,</w:t>
      </w:r>
    </w:p>
    <w:p>
      <w:r>
        <w:rPr>
          <w:b/>
        </w:rPr>
        <w:t xml:space="preserve">21 </w:t>
      </w:r>
      <w:r>
        <w:t xml:space="preserve">And desiring</w:t>
      </w:r>
      <w:r>
        <w:rPr>
          <w:rStyle w:val="FootnoteReference"/>
        </w:rPr>
        <w:footnoteReference w:id="15728"/>
      </w:r>
      <w:r>
        <w:t xml:space="preserve"> to be fed with the crumbs which fell from the rich man's table: moreover the dogs came and licked his sores.</w:t>
      </w:r>
    </w:p>
    <w:p>
      <w:r>
        <w:rPr>
          <w:b/>
        </w:rPr>
        <w:t xml:space="preserve">22 </w:t>
      </w:r>
      <w:r>
        <w:t xml:space="preserve">And it happened, that the beggar died, and was carried</w:t>
      </w:r>
      <w:r>
        <w:rPr>
          <w:rStyle w:val="FootnoteReference"/>
        </w:rPr>
        <w:footnoteReference w:id="15729"/>
      </w:r>
      <w:r>
        <w:t xml:space="preserve"> by the angels into Abraham's bosom: the rich man also died, and was buried;</w:t>
      </w:r>
    </w:p>
    <w:p>
      <w:r>
        <w:rPr>
          <w:b/>
        </w:rPr>
        <w:t xml:space="preserve">23 </w:t>
      </w:r>
      <w:r>
        <w:t xml:space="preserve">And in Hades he lift up his eyes, being in torments, and sees Abraham far off, and Lazarus in his bosom.</w:t>
      </w:r>
    </w:p>
    <w:p>
      <w:r>
        <w:rPr>
          <w:b/>
        </w:rPr>
        <w:t xml:space="preserve">24 </w:t>
      </w:r>
      <w:r>
        <w:t xml:space="preserve">And he cried and said, Father</w:t>
      </w:r>
      <w:r>
        <w:rPr>
          <w:rStyle w:val="FootnoteReference"/>
        </w:rPr>
        <w:footnoteReference w:id="15730"/>
      </w:r>
      <w:r>
        <w:t xml:space="preserve"> Abraham, have mercy on me, and send Lazarus, that he may dip the tip of his finger in water, and cool my tongue; for I am tormented in this flame.</w:t>
      </w:r>
    </w:p>
    <w:p>
      <w:r>
        <w:rPr>
          <w:b/>
        </w:rPr>
        <w:t xml:space="preserve">25 </w:t>
      </w:r>
      <w:r>
        <w:t xml:space="preserve">But Abraham said, Son, remember</w:t>
      </w:r>
      <w:r>
        <w:rPr>
          <w:rStyle w:val="FootnoteReference"/>
        </w:rPr>
        <w:footnoteReference w:id="15731"/>
      </w:r>
      <w:r>
        <w:t xml:space="preserve"> that you in your lifetime received your good things, and likewise Lazarus bad things: but now he is comforted, and you are tormented.</w:t>
      </w:r>
    </w:p>
    <w:p>
      <w:r>
        <w:rPr>
          <w:b/>
        </w:rPr>
        <w:t xml:space="preserve">26 </w:t>
      </w:r>
      <w:r>
        <w:t xml:space="preserve">And besides all this, between</w:t>
      </w:r>
      <w:r>
        <w:rPr>
          <w:rStyle w:val="FootnoteReference"/>
        </w:rPr>
        <w:footnoteReference w:id="15732"/>
      </w:r>
      <w:r>
        <w:t xml:space="preserve"> us and you there is a great gulf fixed: so that those who would pass from here to you cannot; neither can they pass to us, that would come from there.</w:t>
      </w:r>
    </w:p>
    <w:p>
      <w:r>
        <w:rPr>
          <w:b/>
        </w:rPr>
        <w:t xml:space="preserve">27 </w:t>
      </w:r>
      <w:r>
        <w:t xml:space="preserve">Then he said, I ask you therefore, father, that you would send him to my father's house:</w:t>
      </w:r>
    </w:p>
    <w:p>
      <w:r>
        <w:rPr>
          <w:b/>
        </w:rPr>
        <w:t xml:space="preserve">28 </w:t>
      </w:r>
      <w:r>
        <w:t xml:space="preserve">For I have five brothers; that he may testify to them, lest they also come into this place of torment.</w:t>
      </w:r>
    </w:p>
    <w:p>
      <w:r>
        <w:rPr>
          <w:b/>
        </w:rPr>
        <w:t xml:space="preserve">29 </w:t>
      </w:r>
      <w:r>
        <w:t xml:space="preserve">Abraham says to him, They have Moses and the prophets; let them hear them.</w:t>
      </w:r>
    </w:p>
    <w:p>
      <w:r>
        <w:rPr>
          <w:b/>
        </w:rPr>
        <w:t xml:space="preserve">30 </w:t>
      </w:r>
      <w:r>
        <w:t xml:space="preserve">And he said, No, father Abraham: but if one went to them from the dead, they will repent</w:t>
      </w:r>
      <w:r>
        <w:rPr>
          <w:rStyle w:val="FootnoteReference"/>
        </w:rPr>
        <w:footnoteReference w:id="15733"/>
      </w:r>
      <w:r>
        <w:t xml:space="preserve">.</w:t>
      </w:r>
    </w:p>
    <w:p>
      <w:r>
        <w:rPr>
          <w:b/>
        </w:rPr>
        <w:t xml:space="preserve">31 </w:t>
      </w:r>
      <w:r>
        <w:t xml:space="preserve">And he said to him, If they do not hear Moses and the prophets, neither will they be persuaded</w:t>
      </w:r>
      <w:r>
        <w:rPr>
          <w:rStyle w:val="FootnoteReference"/>
        </w:rPr>
        <w:footnoteReference w:id="15734"/>
      </w:r>
      <w:r>
        <w:t xml:space="preserve">, though one rose from the dead.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Then he said to the disciples, It is impossible that offenses will not come: but woe to him, through whom they come!</w:t>
      </w:r>
    </w:p>
    <w:p>
      <w:r>
        <w:rPr>
          <w:b/>
        </w:rPr>
        <w:t xml:space="preserve">2 </w:t>
      </w:r>
      <w:r>
        <w:t xml:space="preserve">it would be better</w:t>
      </w:r>
      <w:r>
        <w:rPr>
          <w:rStyle w:val="FootnoteReference"/>
        </w:rPr>
        <w:footnoteReference w:id="15735"/>
      </w:r>
      <w:r>
        <w:t xml:space="preserve"> for him if a millstone were hung around his neck, and he cast into the sea, than that he should offend one of these little ones.</w:t>
      </w:r>
    </w:p>
    <w:p>
      <w:r>
        <w:rPr>
          <w:b/>
        </w:rPr>
        <w:t xml:space="preserve">3 </w:t>
      </w:r>
      <w:r>
        <w:t xml:space="preserve">Take heed</w:t>
      </w:r>
      <w:r>
        <w:rPr>
          <w:rStyle w:val="FootnoteReference"/>
        </w:rPr>
        <w:footnoteReference w:id="15736"/>
      </w:r>
      <w:r>
        <w:t xml:space="preserve"> to yourselves: If your brother sins against you, rebuke him; and if he repents, forgive him.</w:t>
      </w:r>
    </w:p>
    <w:p>
      <w:r>
        <w:rPr>
          <w:b/>
        </w:rPr>
        <w:t xml:space="preserve">4 </w:t>
      </w:r>
      <w:r>
        <w:t xml:space="preserve">And if he sins against you seven times in a day, and seven times in a day returns to you, saying, I repent</w:t>
      </w:r>
      <w:r>
        <w:rPr>
          <w:rStyle w:val="FootnoteReference"/>
        </w:rPr>
        <w:footnoteReference w:id="15737"/>
      </w:r>
      <w:r>
        <w:t xml:space="preserve">; you shall forgive him.</w:t>
      </w:r>
    </w:p>
    <w:p>
      <w:r>
        <w:rPr>
          <w:b/>
        </w:rPr>
        <w:t xml:space="preserve">5 </w:t>
      </w:r>
      <w:r>
        <w:t xml:space="preserve">And the apostles said to the Lord, Increase</w:t>
      </w:r>
      <w:r>
        <w:rPr>
          <w:rStyle w:val="FootnoteReference"/>
        </w:rPr>
        <w:footnoteReference w:id="15738"/>
      </w:r>
      <w:r>
        <w:t xml:space="preserve"> our faith.</w:t>
      </w:r>
    </w:p>
    <w:p>
      <w:r>
        <w:rPr>
          <w:b/>
        </w:rPr>
        <w:t xml:space="preserve">6 </w:t>
      </w:r>
      <w:r>
        <w:t xml:space="preserve">And the Lord said, If you had faith as a grain of mustard seed, you might say to this sycamine tree, Be plucked up by the root, and be planted in the sea; and it should obey you.</w:t>
      </w:r>
    </w:p>
    <w:p>
      <w:r>
        <w:rPr>
          <w:b/>
        </w:rPr>
        <w:t xml:space="preserve">7 </w:t>
      </w:r>
      <w:r>
        <w:t xml:space="preserve">But which of you, having a slave plowing or feeding cattle, will say to him immediately, when he has come from the field, Go and sit down to food?</w:t>
      </w:r>
    </w:p>
    <w:p>
      <w:r>
        <w:rPr>
          <w:b/>
        </w:rPr>
        <w:t xml:space="preserve">8 </w:t>
      </w:r>
      <w:r>
        <w:t xml:space="preserve">And will not rather say to him, Make</w:t>
      </w:r>
      <w:r>
        <w:rPr>
          <w:rStyle w:val="FootnoteReference"/>
        </w:rPr>
        <w:footnoteReference w:id="15739"/>
      </w:r>
      <w:r>
        <w:t xml:space="preserve"> ready what I may eat, and gird yourself, and serve me, till I have eaten and drunk; and afterward you shall eat and drink?</w:t>
      </w:r>
    </w:p>
    <w:p>
      <w:r>
        <w:rPr>
          <w:b/>
        </w:rPr>
        <w:t xml:space="preserve">9 </w:t>
      </w:r>
      <w:r>
        <w:t xml:space="preserve">Does he thank that slave because he did the things that were commanded him? I do not think so.</w:t>
      </w:r>
    </w:p>
    <w:p>
      <w:r>
        <w:rPr>
          <w:b/>
        </w:rPr>
        <w:t xml:space="preserve">10 </w:t>
      </w:r>
      <w:r>
        <w:t xml:space="preserve">So likewise you, when you shall have done all those things which are commanded you, say, We are useless slaves: we have done that which was our duty to do.</w:t>
      </w:r>
    </w:p>
    <w:p>
      <w:r>
        <w:rPr>
          <w:b/>
        </w:rPr>
        <w:t xml:space="preserve">11 </w:t>
      </w:r>
      <w:r>
        <w:t xml:space="preserve">And it happened, as he went to Jerusalem, that he passed through the midst of Samaria</w:t>
      </w:r>
      <w:r>
        <w:rPr>
          <w:rStyle w:val="FootnoteReference"/>
        </w:rPr>
        <w:footnoteReference w:id="15740"/>
      </w:r>
      <w:r>
        <w:t xml:space="preserve"> and Galilee.</w:t>
      </w:r>
    </w:p>
    <w:p>
      <w:r>
        <w:rPr>
          <w:b/>
        </w:rPr>
        <w:t xml:space="preserve">12 </w:t>
      </w:r>
      <w:r>
        <w:t xml:space="preserve">And as he entered into a certain village, there met him ten leprous men, who stood far off:</w:t>
      </w:r>
    </w:p>
    <w:p>
      <w:r>
        <w:rPr>
          <w:b/>
        </w:rPr>
        <w:t xml:space="preserve">13 </w:t>
      </w:r>
      <w:r>
        <w:t xml:space="preserve">And they lifted up their voices, and said, Jesus, Master, have mercy on us.</w:t>
      </w:r>
    </w:p>
    <w:p>
      <w:r>
        <w:rPr>
          <w:b/>
        </w:rPr>
        <w:t xml:space="preserve">14 </w:t>
      </w:r>
      <w:r>
        <w:t xml:space="preserve">And when he saw them, he said to them, Go show yourselves to the priests. And it happened, that, as they went, they were cleansed.</w:t>
      </w:r>
    </w:p>
    <w:p>
      <w:r>
        <w:rPr>
          <w:b/>
        </w:rPr>
        <w:t xml:space="preserve">15 </w:t>
      </w:r>
      <w:r>
        <w:t xml:space="preserve">And one of them, when he saw that he was healed, turned back, and with a loud voice glorified God,</w:t>
      </w:r>
    </w:p>
    <w:p>
      <w:r>
        <w:rPr>
          <w:b/>
        </w:rPr>
        <w:t xml:space="preserve">16 </w:t>
      </w:r>
      <w:r>
        <w:t xml:space="preserve">And fell</w:t>
      </w:r>
      <w:r>
        <w:rPr>
          <w:rStyle w:val="FootnoteReference"/>
        </w:rPr>
        <w:footnoteReference w:id="15741"/>
      </w:r>
      <w:r>
        <w:t xml:space="preserve"> down on his face at his feet, giving him thanks: and he was a Samaritan.</w:t>
      </w:r>
    </w:p>
    <w:p>
      <w:r>
        <w:rPr>
          <w:b/>
        </w:rPr>
        <w:t xml:space="preserve">17 </w:t>
      </w:r>
      <w:r>
        <w:t xml:space="preserve">And Jesus answering said, Were there not ten cleansed? but where are the nine?</w:t>
      </w:r>
    </w:p>
    <w:p>
      <w:r>
        <w:rPr>
          <w:b/>
        </w:rPr>
        <w:t xml:space="preserve">18 </w:t>
      </w:r>
      <w:r>
        <w:t xml:space="preserve">There are not found who returned to give</w:t>
      </w:r>
      <w:r>
        <w:rPr>
          <w:rStyle w:val="FootnoteReference"/>
        </w:rPr>
        <w:footnoteReference w:id="15742"/>
      </w:r>
      <w:r>
        <w:t xml:space="preserve"> glory to God, except this foreigner.</w:t>
      </w:r>
    </w:p>
    <w:p>
      <w:r>
        <w:rPr>
          <w:b/>
        </w:rPr>
        <w:t xml:space="preserve">19 </w:t>
      </w:r>
      <w:r>
        <w:t xml:space="preserve">And he said to him, Arise, go your way: your faith has made you whole.</w:t>
      </w:r>
    </w:p>
    <w:p>
      <w:r>
        <w:rPr>
          <w:b/>
        </w:rPr>
        <w:t xml:space="preserve">20 </w:t>
      </w:r>
      <w:r>
        <w:t xml:space="preserve">And when he was asked by the Pharisees, when the</w:t>
      </w:r>
      <w:r>
        <w:rPr>
          <w:rStyle w:val="FootnoteReference"/>
        </w:rPr>
        <w:footnoteReference w:id="15743"/>
      </w:r>
      <w:r>
        <w:t xml:space="preserve"> kingdom of God should come, he answered them and said, The kingdom of God does not come with observation:</w:t>
      </w:r>
    </w:p>
    <w:p>
      <w:r>
        <w:rPr>
          <w:b/>
        </w:rPr>
        <w:t xml:space="preserve">21 </w:t>
      </w:r>
      <w:r>
        <w:t xml:space="preserve">Neither shall they say, Look here! or, look there! for, look, the kingdom</w:t>
      </w:r>
      <w:r>
        <w:rPr>
          <w:rStyle w:val="FootnoteReference"/>
        </w:rPr>
        <w:footnoteReference w:id="15744"/>
      </w:r>
      <w:r>
        <w:t xml:space="preserve"> of God is within you.</w:t>
      </w:r>
    </w:p>
    <w:p>
      <w:r>
        <w:rPr>
          <w:b/>
        </w:rPr>
        <w:t xml:space="preserve">22 </w:t>
      </w:r>
      <w:r>
        <w:t xml:space="preserve">And he said to the disciples, The days will come, when you shall desire to see one of the days of the Son of man, and you shall not see it.</w:t>
      </w:r>
    </w:p>
    <w:p>
      <w:r>
        <w:rPr>
          <w:b/>
        </w:rPr>
        <w:t xml:space="preserve">23 </w:t>
      </w:r>
      <w:r>
        <w:t xml:space="preserve">And they shall say to you, See here; or, see there: do not go after them, nor follow them.</w:t>
      </w:r>
    </w:p>
    <w:p>
      <w:r>
        <w:rPr>
          <w:b/>
        </w:rPr>
        <w:t xml:space="preserve">24 </w:t>
      </w:r>
      <w:r>
        <w:t xml:space="preserve">For as the lightning, that flashes out of the one part under heaven, shines to the other part under heaven; so shall also the Son of man be in his day.</w:t>
      </w:r>
    </w:p>
    <w:p>
      <w:r>
        <w:rPr>
          <w:b/>
        </w:rPr>
        <w:t xml:space="preserve">25 </w:t>
      </w:r>
      <w:r>
        <w:t xml:space="preserve">But first he must</w:t>
      </w:r>
      <w:r>
        <w:rPr>
          <w:rStyle w:val="FootnoteReference"/>
        </w:rPr>
        <w:footnoteReference w:id="15745"/>
      </w:r>
      <w:r>
        <w:t xml:space="preserve"> suffer many things, and be rejected by this generation.</w:t>
      </w:r>
    </w:p>
    <w:p>
      <w:r>
        <w:rPr>
          <w:b/>
        </w:rPr>
        <w:t xml:space="preserve">26 </w:t>
      </w:r>
      <w:r>
        <w:t xml:space="preserve">And as it was in the days of Noah, so shall it be also in the days of the Son</w:t>
      </w:r>
      <w:r>
        <w:rPr>
          <w:rStyle w:val="FootnoteReference"/>
        </w:rPr>
        <w:footnoteReference w:id="15746"/>
      </w:r>
      <w:r>
        <w:t xml:space="preserve"> of man.</w:t>
      </w:r>
    </w:p>
    <w:p>
      <w:r>
        <w:rPr>
          <w:b/>
        </w:rPr>
        <w:t xml:space="preserve">27 </w:t>
      </w:r>
      <w:r>
        <w:t xml:space="preserve">They ate, they drank, they married wives, they were given in marriage, until the day that Noah entered into the ark, and the flood came, and destroyed them all.</w:t>
      </w:r>
    </w:p>
    <w:p>
      <w:r>
        <w:rPr>
          <w:b/>
        </w:rPr>
        <w:t xml:space="preserve">28 </w:t>
      </w:r>
      <w:r>
        <w:t xml:space="preserve">Likewise also as it was in the days of Lot</w:t>
      </w:r>
      <w:r>
        <w:rPr>
          <w:rStyle w:val="FootnoteReference"/>
        </w:rPr>
        <w:footnoteReference w:id="15747"/>
      </w:r>
      <w:r>
        <w:t xml:space="preserve">; they ate, they drank, they bought, they sold, they planted, they built;</w:t>
      </w:r>
    </w:p>
    <w:p>
      <w:r>
        <w:rPr>
          <w:b/>
        </w:rPr>
        <w:t xml:space="preserve">29 </w:t>
      </w:r>
      <w:r>
        <w:t xml:space="preserve">But the same day that Lot went out of Sodom it rained fire and sulfur from heaven, and destroyed them all.</w:t>
      </w:r>
    </w:p>
    <w:p>
      <w:r>
        <w:rPr>
          <w:b/>
        </w:rPr>
        <w:t xml:space="preserve">30 </w:t>
      </w:r>
      <w:r>
        <w:t xml:space="preserve">Even thus shall it be in the day when the Son of man is revealed.</w:t>
      </w:r>
    </w:p>
    <w:p>
      <w:r>
        <w:rPr>
          <w:b/>
        </w:rPr>
        <w:t xml:space="preserve">31 </w:t>
      </w:r>
      <w:r>
        <w:t xml:space="preserve">In that day, the one who shall be upon the housetop, and his goods in the house, let him not come down to take them away: and the one who is in the field, let him likewise not return back.</w:t>
      </w:r>
    </w:p>
    <w:p>
      <w:r>
        <w:rPr>
          <w:b/>
        </w:rPr>
        <w:t xml:space="preserve">32 </w:t>
      </w:r>
      <w:r>
        <w:t xml:space="preserve">Remember Lot's wife.</w:t>
      </w:r>
    </w:p>
    <w:p>
      <w:r>
        <w:rPr>
          <w:b/>
        </w:rPr>
        <w:t xml:space="preserve">33 </w:t>
      </w:r>
      <w:r>
        <w:t xml:space="preserve">Whoever shall seek to save his life shall lose it; and whoever shall lose his life shall preserve it.</w:t>
      </w:r>
    </w:p>
    <w:p>
      <w:r>
        <w:rPr>
          <w:b/>
        </w:rPr>
        <w:t xml:space="preserve">34 </w:t>
      </w:r>
      <w:r>
        <w:t xml:space="preserve">I tell</w:t>
      </w:r>
      <w:r>
        <w:rPr>
          <w:rStyle w:val="FootnoteReference"/>
        </w:rPr>
        <w:footnoteReference w:id="15748"/>
      </w:r>
      <w:r>
        <w:t xml:space="preserve"> you, in that night there shall be two in one bed; the one shall be taken, and the other shall be left.</w:t>
      </w:r>
    </w:p>
    <w:p>
      <w:r>
        <w:rPr>
          <w:b/>
        </w:rPr>
        <w:t xml:space="preserve">35 </w:t>
      </w:r>
      <w:r>
        <w:t xml:space="preserve">Two women shall be grinding</w:t>
      </w:r>
      <w:r>
        <w:rPr>
          <w:rStyle w:val="FootnoteReference"/>
        </w:rPr>
        <w:footnoteReference w:id="15749"/>
      </w:r>
      <w:r>
        <w:t xml:space="preserve"> together; the one shall be taken, and the other left.</w:t>
      </w:r>
    </w:p>
    <w:p>
      <w:r>
        <w:rPr>
          <w:b/>
        </w:rPr>
        <w:t xml:space="preserve">36 </w:t>
      </w:r>
      <w:r>
        <w:t xml:space="preserve">Two men shall be in the field; the one shall be taken, and the other left.</w:t>
      </w:r>
    </w:p>
    <w:p>
      <w:r>
        <w:rPr>
          <w:b/>
        </w:rPr>
        <w:t xml:space="preserve">37 </w:t>
      </w:r>
      <w:r>
        <w:t xml:space="preserve">And they answered and said to him, Where, Lord? And he said to them, wherever the body is, there will the eagles be gathered together.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he spoke a parable to them to this end, that people ought always to pray, and not</w:t>
      </w:r>
      <w:r>
        <w:rPr>
          <w:rStyle w:val="FootnoteReference"/>
        </w:rPr>
        <w:footnoteReference w:id="15750"/>
      </w:r>
      <w:r>
        <w:t xml:space="preserve"> to faint;</w:t>
      </w:r>
    </w:p>
    <w:p>
      <w:r>
        <w:rPr>
          <w:b/>
        </w:rPr>
        <w:t xml:space="preserve">2 </w:t>
      </w:r>
      <w:r>
        <w:t xml:space="preserve">Saying, There was in a city a judge, who did not fear God, neither regarded</w:t>
      </w:r>
      <w:r>
        <w:rPr>
          <w:rStyle w:val="FootnoteReference"/>
        </w:rPr>
        <w:footnoteReference w:id="15751"/>
      </w:r>
      <w:r>
        <w:t xml:space="preserve"> man:</w:t>
      </w:r>
    </w:p>
    <w:p>
      <w:r>
        <w:rPr>
          <w:b/>
        </w:rPr>
        <w:t xml:space="preserve">3 </w:t>
      </w:r>
      <w:r>
        <w:t xml:space="preserve">And there was a widow</w:t>
      </w:r>
      <w:r>
        <w:rPr>
          <w:rStyle w:val="FootnoteReference"/>
        </w:rPr>
        <w:footnoteReference w:id="15752"/>
      </w:r>
      <w:r>
        <w:t xml:space="preserve"> in that city; and she came to him, saying, Avenge me of my adversary.</w:t>
      </w:r>
    </w:p>
    <w:p>
      <w:r>
        <w:rPr>
          <w:b/>
        </w:rPr>
        <w:t xml:space="preserve">4 </w:t>
      </w:r>
      <w:r>
        <w:t xml:space="preserve">And he would not for a while: but afterward he said</w:t>
      </w:r>
      <w:r>
        <w:rPr>
          <w:rStyle w:val="FootnoteReference"/>
        </w:rPr>
        <w:footnoteReference w:id="15753"/>
      </w:r>
      <w:r>
        <w:t xml:space="preserve"> within himself, Though I do not fear God, nor regard man;</w:t>
      </w:r>
    </w:p>
    <w:p>
      <w:r>
        <w:rPr>
          <w:b/>
        </w:rPr>
        <w:t xml:space="preserve">5 </w:t>
      </w:r>
      <w:r>
        <w:t xml:space="preserve">Yet because this widow troubles me, I will avenge her, lest by her continual coming she weary</w:t>
      </w:r>
      <w:r>
        <w:rPr>
          <w:rStyle w:val="FootnoteReference"/>
        </w:rPr>
        <w:footnoteReference w:id="15754"/>
      </w:r>
      <w:r>
        <w:t xml:space="preserve"> me.</w:t>
      </w:r>
    </w:p>
    <w:p>
      <w:r>
        <w:rPr>
          <w:b/>
        </w:rPr>
        <w:t xml:space="preserve">6 </w:t>
      </w:r>
      <w:r>
        <w:t xml:space="preserve">And the Lord said, Hear what the unjust judge says.</w:t>
      </w:r>
    </w:p>
    <w:p>
      <w:r>
        <w:rPr>
          <w:b/>
        </w:rPr>
        <w:t xml:space="preserve">7 </w:t>
      </w:r>
      <w:r>
        <w:t xml:space="preserve">And shall not God avenge</w:t>
      </w:r>
      <w:r>
        <w:rPr>
          <w:rStyle w:val="FootnoteReference"/>
        </w:rPr>
        <w:footnoteReference w:id="15755"/>
      </w:r>
      <w:r>
        <w:t xml:space="preserve"> his own elect, who cry day and night to him, though he bear long with them?</w:t>
      </w:r>
    </w:p>
    <w:p>
      <w:r>
        <w:rPr>
          <w:b/>
        </w:rPr>
        <w:t xml:space="preserve">8 </w:t>
      </w:r>
      <w:r>
        <w:t xml:space="preserve">I tell you that he will avenge them speedily. Nevertheless when the Son of man comes, shall he find faith on the earth?</w:t>
      </w:r>
    </w:p>
    <w:p>
      <w:r>
        <w:rPr>
          <w:b/>
        </w:rPr>
        <w:t xml:space="preserve">9 </w:t>
      </w:r>
      <w:r>
        <w:t xml:space="preserve">And he spoke this parable to certain who trusted in themselves that they were righteous, and despised</w:t>
      </w:r>
      <w:r>
        <w:rPr>
          <w:rStyle w:val="FootnoteReference"/>
        </w:rPr>
        <w:footnoteReference w:id="15756"/>
      </w:r>
      <w:r>
        <w:t xml:space="preserve"> others:</w:t>
      </w:r>
    </w:p>
    <w:p>
      <w:r>
        <w:rPr>
          <w:b/>
        </w:rPr>
        <w:t xml:space="preserve">10 </w:t>
      </w:r>
      <w:r>
        <w:t xml:space="preserve">Two men went up into the temple to pray; the one a Pharisee</w:t>
      </w:r>
      <w:r>
        <w:rPr>
          <w:rStyle w:val="FootnoteReference"/>
        </w:rPr>
        <w:footnoteReference w:id="15757"/>
      </w:r>
      <w:r>
        <w:t xml:space="preserve">, and the other a tax collector.</w:t>
      </w:r>
    </w:p>
    <w:p>
      <w:r>
        <w:rPr>
          <w:b/>
        </w:rPr>
        <w:t xml:space="preserve">11 </w:t>
      </w:r>
      <w:r>
        <w:t xml:space="preserve">The Pharisee stood</w:t>
      </w:r>
      <w:r>
        <w:rPr>
          <w:rStyle w:val="FootnoteReference"/>
        </w:rPr>
        <w:footnoteReference w:id="15758"/>
      </w:r>
      <w:r>
        <w:t xml:space="preserve"> and prayed thus with himself, God, I thank you, that I am not as other men are, extortionists, unjust, adulterers, or even as this tax collector.</w:t>
      </w:r>
    </w:p>
    <w:p>
      <w:r>
        <w:rPr>
          <w:b/>
        </w:rPr>
        <w:t xml:space="preserve">12 </w:t>
      </w:r>
      <w:r>
        <w:t xml:space="preserve">I fast</w:t>
      </w:r>
      <w:r>
        <w:rPr>
          <w:rStyle w:val="FootnoteReference"/>
        </w:rPr>
        <w:footnoteReference w:id="15759"/>
      </w:r>
      <w:r>
        <w:t xml:space="preserve"> twice in the week, I give tithes of all that I possess.</w:t>
      </w:r>
    </w:p>
    <w:p>
      <w:r>
        <w:rPr>
          <w:b/>
        </w:rPr>
        <w:t xml:space="preserve">13 </w:t>
      </w:r>
      <w:r>
        <w:t xml:space="preserve">And the tax collector, standing</w:t>
      </w:r>
      <w:r>
        <w:rPr>
          <w:rStyle w:val="FootnoteReference"/>
        </w:rPr>
        <w:footnoteReference w:id="15760"/>
      </w:r>
      <w:r>
        <w:t xml:space="preserve"> far off, would not lift up so much as his eyes to heaven, but struck upon his breast, saying, God be merciful to me a sinner.</w:t>
      </w:r>
    </w:p>
    <w:p>
      <w:r>
        <w:rPr>
          <w:b/>
        </w:rPr>
        <w:t xml:space="preserve">14 </w:t>
      </w:r>
      <w:r>
        <w:t xml:space="preserve">I tell you, this man went</w:t>
      </w:r>
      <w:r>
        <w:rPr>
          <w:rStyle w:val="FootnoteReference"/>
        </w:rPr>
        <w:footnoteReference w:id="15761"/>
      </w:r>
      <w:r>
        <w:t xml:space="preserve"> down to his house justified rather than the other: for everyone who exalts himself shall be brought low; and the one who humbles himself shall be exalted.</w:t>
      </w:r>
    </w:p>
    <w:p>
      <w:r>
        <w:rPr>
          <w:b/>
        </w:rPr>
        <w:t xml:space="preserve">15 </w:t>
      </w:r>
      <w:r>
        <w:t xml:space="preserve">And they brought</w:t>
      </w:r>
      <w:r>
        <w:rPr>
          <w:rStyle w:val="FootnoteReference"/>
        </w:rPr>
        <w:footnoteReference w:id="15762"/>
      </w:r>
      <w:r>
        <w:t xml:space="preserve"> to him also infants, that he would touch them: but when his disciples saw it, they rebuked them.</w:t>
      </w:r>
    </w:p>
    <w:p>
      <w:r>
        <w:rPr>
          <w:b/>
        </w:rPr>
        <w:t xml:space="preserve">16 </w:t>
      </w:r>
      <w:r>
        <w:t xml:space="preserve">But Jesus called them to him, and said, allow little children to come to me, and forbid them not: for of such is the kingdom of God.</w:t>
      </w:r>
    </w:p>
    <w:p>
      <w:r>
        <w:rPr>
          <w:b/>
        </w:rPr>
        <w:t xml:space="preserve">17 </w:t>
      </w:r>
      <w:r>
        <w:t xml:space="preserve">Amen, I say to you, Whoever shall not receive the kingdom of God as a little child shall by no means enter in it.</w:t>
      </w:r>
    </w:p>
    <w:p>
      <w:r>
        <w:rPr>
          <w:b/>
        </w:rPr>
        <w:t xml:space="preserve">18 </w:t>
      </w:r>
      <w:r>
        <w:t xml:space="preserve">And a certain ruler asked him, saying, Good</w:t>
      </w:r>
      <w:r>
        <w:rPr>
          <w:rStyle w:val="FootnoteReference"/>
        </w:rPr>
        <w:footnoteReference w:id="15763"/>
      </w:r>
      <w:r>
        <w:t xml:space="preserve"> Teacher, what shall I do to inherit eternal life?</w:t>
      </w:r>
    </w:p>
    <w:p>
      <w:r>
        <w:rPr>
          <w:b/>
        </w:rPr>
        <w:t xml:space="preserve">19 </w:t>
      </w:r>
      <w:r>
        <w:t xml:space="preserve">And Jesus said to him, Why do you call me good? No one is good, except one, that is, God.</w:t>
      </w:r>
    </w:p>
    <w:p>
      <w:r>
        <w:rPr>
          <w:b/>
        </w:rPr>
        <w:t xml:space="preserve">20 </w:t>
      </w:r>
      <w:r>
        <w:t xml:space="preserve">You know the commandments, Do not commit</w:t>
      </w:r>
      <w:r>
        <w:rPr>
          <w:rStyle w:val="FootnoteReference"/>
        </w:rPr>
        <w:footnoteReference w:id="15764"/>
      </w:r>
      <w:r>
        <w:t xml:space="preserve"> adultery, Do not kill, Do not steal, Do not bear false witness, Honor your father and your mother.</w:t>
      </w:r>
    </w:p>
    <w:p>
      <w:r>
        <w:rPr>
          <w:b/>
        </w:rPr>
        <w:t xml:space="preserve">21 </w:t>
      </w:r>
      <w:r>
        <w:t xml:space="preserve">And he said, All these I have kept from my youth.</w:t>
      </w:r>
    </w:p>
    <w:p>
      <w:r>
        <w:rPr>
          <w:b/>
        </w:rPr>
        <w:t xml:space="preserve">22 </w:t>
      </w:r>
      <w:r>
        <w:t xml:space="preserve">Now when Jesus heard these things, he said to him, Yet you lack one thing: sell</w:t>
      </w:r>
      <w:r>
        <w:rPr>
          <w:rStyle w:val="FootnoteReference"/>
        </w:rPr>
        <w:footnoteReference w:id="15765"/>
      </w:r>
      <w:r>
        <w:t xml:space="preserve"> all that you have, and distribute to the poor, and you shall have treasure in heaven: and come, follow me.</w:t>
      </w:r>
    </w:p>
    <w:p>
      <w:r>
        <w:rPr>
          <w:b/>
        </w:rPr>
        <w:t xml:space="preserve">23 </w:t>
      </w:r>
      <w:r>
        <w:t xml:space="preserve">And when he heard this, he was very sorrowful</w:t>
      </w:r>
      <w:r>
        <w:rPr>
          <w:rStyle w:val="FootnoteReference"/>
        </w:rPr>
        <w:footnoteReference w:id="15766"/>
      </w:r>
      <w:r>
        <w:t xml:space="preserve">: for he was very rich.</w:t>
      </w:r>
    </w:p>
    <w:p>
      <w:r>
        <w:rPr>
          <w:b/>
        </w:rPr>
        <w:t xml:space="preserve">24 </w:t>
      </w:r>
      <w:r>
        <w:t xml:space="preserve">And when Jesus saw that he was very sorrowful, he said, How difficult it is for those who have riches to enter into the kingdom of God!</w:t>
      </w:r>
    </w:p>
    <w:p>
      <w:r>
        <w:rPr>
          <w:b/>
        </w:rPr>
        <w:t xml:space="preserve">25 </w:t>
      </w:r>
      <w:r>
        <w:t xml:space="preserve">For it is easier for a camel</w:t>
      </w:r>
      <w:r>
        <w:rPr>
          <w:rStyle w:val="FootnoteReference"/>
        </w:rPr>
        <w:footnoteReference w:id="15767"/>
      </w:r>
      <w:r>
        <w:t xml:space="preserve"> to go through a needle's eye, than for a rich man to enter into the kingdom of God.</w:t>
      </w:r>
    </w:p>
    <w:p>
      <w:r>
        <w:rPr>
          <w:b/>
        </w:rPr>
        <w:t xml:space="preserve">26 </w:t>
      </w:r>
      <w:r>
        <w:t xml:space="preserve">And those who heard it said, Who then can be saved?</w:t>
      </w:r>
    </w:p>
    <w:p>
      <w:r>
        <w:rPr>
          <w:b/>
        </w:rPr>
        <w:t xml:space="preserve">27 </w:t>
      </w:r>
      <w:r>
        <w:t xml:space="preserve">And he said, The things impossible with people are possible with God.</w:t>
      </w:r>
    </w:p>
    <w:p>
      <w:r>
        <w:rPr>
          <w:b/>
        </w:rPr>
        <w:t xml:space="preserve">28 </w:t>
      </w:r>
      <w:r>
        <w:t xml:space="preserve">Then Peter said, Look, we have left all, and followed you.</w:t>
      </w:r>
    </w:p>
    <w:p>
      <w:r>
        <w:rPr>
          <w:b/>
        </w:rPr>
        <w:t xml:space="preserve">29 </w:t>
      </w:r>
      <w:r>
        <w:t xml:space="preserve">And he said to them, Amen, I say to you, There is no one that has left house, or parents, or brothers, or wife, or children, for the kingdom of God's sake,</w:t>
      </w:r>
    </w:p>
    <w:p>
      <w:r>
        <w:rPr>
          <w:b/>
        </w:rPr>
        <w:t xml:space="preserve">30 </w:t>
      </w:r>
      <w:r>
        <w:t xml:space="preserve">Who shall not receive manifold more</w:t>
      </w:r>
      <w:r>
        <w:rPr>
          <w:rStyle w:val="FootnoteReference"/>
        </w:rPr>
        <w:footnoteReference w:id="15768"/>
      </w:r>
      <w:r>
        <w:t xml:space="preserve"> in this present time, and in the age to come life eternal.</w:t>
      </w:r>
    </w:p>
    <w:p>
      <w:r>
        <w:rPr>
          <w:b/>
        </w:rPr>
        <w:t xml:space="preserve">31 </w:t>
      </w:r>
      <w:r>
        <w:t xml:space="preserve">Then he took to him the twelve, and said to them, Look, we go up to Jerusalem, and all things that are written by the prophets concerning the Son of man shall be accomplished.</w:t>
      </w:r>
    </w:p>
    <w:p>
      <w:r>
        <w:rPr>
          <w:b/>
        </w:rPr>
        <w:t xml:space="preserve">32 </w:t>
      </w:r>
      <w:r>
        <w:t xml:space="preserve">For he shall be delivered</w:t>
      </w:r>
      <w:r>
        <w:rPr>
          <w:rStyle w:val="FootnoteReference"/>
        </w:rPr>
        <w:footnoteReference w:id="15769"/>
      </w:r>
      <w:r>
        <w:t xml:space="preserve"> to the nations, and shall be mocked, and spitefully entreated, and spitted on:</w:t>
      </w:r>
    </w:p>
    <w:p>
      <w:r>
        <w:rPr>
          <w:b/>
        </w:rPr>
        <w:t xml:space="preserve">33 </w:t>
      </w:r>
      <w:r>
        <w:t xml:space="preserve">And they shall scourge him, and put him to death: and the third day he shall rise again.</w:t>
      </w:r>
    </w:p>
    <w:p>
      <w:r>
        <w:rPr>
          <w:b/>
        </w:rPr>
        <w:t xml:space="preserve">34 </w:t>
      </w:r>
      <w:r>
        <w:t xml:space="preserve">And they understood none of these things: and this saying was hidden from them, neither did they know the things which were spoken.</w:t>
      </w:r>
    </w:p>
    <w:p>
      <w:r>
        <w:rPr>
          <w:b/>
        </w:rPr>
        <w:t xml:space="preserve">35 </w:t>
      </w:r>
      <w:r>
        <w:t xml:space="preserve">And it happened, that as he had come near to Jericho, a certain blind man sat by the wayside begging</w:t>
      </w:r>
      <w:r>
        <w:rPr>
          <w:rStyle w:val="FootnoteReference"/>
        </w:rPr>
        <w:footnoteReference w:id="15770"/>
      </w:r>
      <w:r>
        <w:t xml:space="preserve">:</w:t>
      </w:r>
    </w:p>
    <w:p>
      <w:r>
        <w:rPr>
          <w:b/>
        </w:rPr>
        <w:t xml:space="preserve">36 </w:t>
      </w:r>
      <w:r>
        <w:t xml:space="preserve">And hearing the crowd pass by, he asked what it meant.</w:t>
      </w:r>
    </w:p>
    <w:p>
      <w:r>
        <w:rPr>
          <w:b/>
        </w:rPr>
        <w:t xml:space="preserve">37 </w:t>
      </w:r>
      <w:r>
        <w:t xml:space="preserve">And they told him, that Jesus</w:t>
      </w:r>
      <w:r>
        <w:rPr>
          <w:rStyle w:val="FootnoteReference"/>
        </w:rPr>
        <w:footnoteReference w:id="15771"/>
      </w:r>
      <w:r>
        <w:t xml:space="preserve"> of Nazareth was passing by.</w:t>
      </w:r>
    </w:p>
    <w:p>
      <w:r>
        <w:rPr>
          <w:b/>
        </w:rPr>
        <w:t xml:space="preserve">38 </w:t>
      </w:r>
      <w:r>
        <w:t xml:space="preserve">And he cried, saying, Jesus</w:t>
      </w:r>
      <w:r>
        <w:rPr>
          <w:rStyle w:val="FootnoteReference"/>
        </w:rPr>
        <w:footnoteReference w:id="15772"/>
      </w:r>
      <w:r>
        <w:t xml:space="preserve">, you son of David, have mercy on me.</w:t>
      </w:r>
    </w:p>
    <w:p>
      <w:r>
        <w:rPr>
          <w:b/>
        </w:rPr>
        <w:t xml:space="preserve">39 </w:t>
      </w:r>
      <w:r>
        <w:t xml:space="preserve">And those who went before rebuked</w:t>
      </w:r>
      <w:r>
        <w:rPr>
          <w:rStyle w:val="FootnoteReference"/>
        </w:rPr>
        <w:footnoteReference w:id="15773"/>
      </w:r>
      <w:r>
        <w:t xml:space="preserve"> him, that he should be silent: but he cried so much the more, You son of David, have mercy on me.</w:t>
      </w:r>
    </w:p>
    <w:p>
      <w:r>
        <w:rPr>
          <w:b/>
        </w:rPr>
        <w:t xml:space="preserve">40 </w:t>
      </w:r>
      <w:r>
        <w:t xml:space="preserve">And Jesus stood, and commanded him to be brought to him: and when he had come near, he asked him,</w:t>
      </w:r>
    </w:p>
    <w:p>
      <w:r>
        <w:rPr>
          <w:b/>
        </w:rPr>
        <w:t xml:space="preserve">41 </w:t>
      </w:r>
      <w:r>
        <w:t xml:space="preserve">Saying, What do you want me to do for you? And he said, Lord, that I may receive my sight.</w:t>
      </w:r>
    </w:p>
    <w:p>
      <w:r>
        <w:rPr>
          <w:b/>
        </w:rPr>
        <w:t xml:space="preserve">42 </w:t>
      </w:r>
      <w:r>
        <w:t xml:space="preserve">And Jesus said to him, Receive</w:t>
      </w:r>
      <w:r>
        <w:rPr>
          <w:rStyle w:val="FootnoteReference"/>
        </w:rPr>
        <w:footnoteReference w:id="15774"/>
      </w:r>
      <w:r>
        <w:t xml:space="preserve"> your sight: your faith has saved you.</w:t>
      </w:r>
    </w:p>
    <w:p>
      <w:r>
        <w:rPr>
          <w:b/>
        </w:rPr>
        <w:t xml:space="preserve">43 </w:t>
      </w:r>
      <w:r>
        <w:t xml:space="preserve">And immediately he received his sight, and followed</w:t>
      </w:r>
      <w:r>
        <w:rPr>
          <w:rStyle w:val="FootnoteReference"/>
        </w:rPr>
        <w:footnoteReference w:id="15775"/>
      </w:r>
      <w:r>
        <w:t xml:space="preserve"> him, glorifying God: and all the people, when they saw it, gave praise to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Jesus entered and passed through Jericho</w:t>
      </w:r>
      <w:r>
        <w:rPr>
          <w:rStyle w:val="FootnoteReference"/>
        </w:rPr>
        <w:footnoteReference w:id="15776"/>
      </w:r>
      <w:r>
        <w:t xml:space="preserve">.</w:t>
      </w:r>
    </w:p>
    <w:p>
      <w:r>
        <w:rPr>
          <w:b/>
        </w:rPr>
        <w:t xml:space="preserve">2 </w:t>
      </w:r>
      <w:r>
        <w:t xml:space="preserve">And, look, there was a man named Zacchaeus</w:t>
      </w:r>
      <w:r>
        <w:rPr>
          <w:rStyle w:val="FootnoteReference"/>
        </w:rPr>
        <w:footnoteReference w:id="15777"/>
      </w:r>
      <w:r>
        <w:t xml:space="preserve">, which was the chief among the tax collectors, and he was rich.</w:t>
      </w:r>
    </w:p>
    <w:p>
      <w:r>
        <w:rPr>
          <w:b/>
        </w:rPr>
        <w:t xml:space="preserve">3 </w:t>
      </w:r>
      <w:r>
        <w:t xml:space="preserve">And he sought</w:t>
      </w:r>
      <w:r>
        <w:rPr>
          <w:rStyle w:val="FootnoteReference"/>
        </w:rPr>
        <w:footnoteReference w:id="15778"/>
      </w:r>
      <w:r>
        <w:t xml:space="preserve"> to see who Jesus was; and could not for the press, because he was little of stature.</w:t>
      </w:r>
    </w:p>
    <w:p>
      <w:r>
        <w:rPr>
          <w:b/>
        </w:rPr>
        <w:t xml:space="preserve">4 </w:t>
      </w:r>
      <w:r>
        <w:t xml:space="preserve">And he ran ahead, and climbed</w:t>
      </w:r>
      <w:r>
        <w:rPr>
          <w:rStyle w:val="FootnoteReference"/>
        </w:rPr>
        <w:footnoteReference w:id="15779"/>
      </w:r>
      <w:r>
        <w:t xml:space="preserve"> up into a sycamore tree to see him: for he was to pass that way.</w:t>
      </w:r>
    </w:p>
    <w:p>
      <w:r>
        <w:rPr>
          <w:b/>
        </w:rPr>
        <w:t xml:space="preserve">5 </w:t>
      </w:r>
      <w:r>
        <w:t xml:space="preserve">And when Jesus came to the place, he looked</w:t>
      </w:r>
      <w:r>
        <w:rPr>
          <w:rStyle w:val="FootnoteReference"/>
        </w:rPr>
        <w:footnoteReference w:id="15780"/>
      </w:r>
      <w:r>
        <w:t xml:space="preserve"> up, and saw him, and said to him, Zacchaeus, make haste, and come down; for today I must stay at your house.</w:t>
      </w:r>
    </w:p>
    <w:p>
      <w:r>
        <w:rPr>
          <w:b/>
        </w:rPr>
        <w:t xml:space="preserve">6 </w:t>
      </w:r>
      <w:r>
        <w:t xml:space="preserve">And he made haste, and came down, and received him joyfully</w:t>
      </w:r>
      <w:r>
        <w:rPr>
          <w:rStyle w:val="FootnoteReference"/>
        </w:rPr>
        <w:footnoteReference w:id="15781"/>
      </w:r>
      <w:r>
        <w:t xml:space="preserve">.</w:t>
      </w:r>
    </w:p>
    <w:p>
      <w:r>
        <w:rPr>
          <w:b/>
        </w:rPr>
        <w:t xml:space="preserve">7 </w:t>
      </w:r>
      <w:r>
        <w:t xml:space="preserve">And when they saw it, they all</w:t>
      </w:r>
      <w:r>
        <w:rPr>
          <w:rStyle w:val="FootnoteReference"/>
        </w:rPr>
        <w:footnoteReference w:id="15782"/>
      </w:r>
      <w:r>
        <w:t xml:space="preserve"> murmured, saying, He has gone in to lodge with a man who is a sinner.</w:t>
      </w:r>
    </w:p>
    <w:p>
      <w:r>
        <w:rPr>
          <w:b/>
        </w:rPr>
        <w:t xml:space="preserve">8 </w:t>
      </w:r>
      <w:r>
        <w:t xml:space="preserve">And Zacchaeus stood, and said to the Lord: Look, Lord, the half of my goods I give to the poor; and if I have taken anything from anyone by false</w:t>
      </w:r>
      <w:r>
        <w:rPr>
          <w:rStyle w:val="FootnoteReference"/>
        </w:rPr>
        <w:footnoteReference w:id="15783"/>
      </w:r>
      <w:r>
        <w:t xml:space="preserve"> accusation, I restore him fourfold.</w:t>
      </w:r>
    </w:p>
    <w:p>
      <w:r>
        <w:rPr>
          <w:b/>
        </w:rPr>
        <w:t xml:space="preserve">9 </w:t>
      </w:r>
      <w:r>
        <w:t xml:space="preserve">And Jesus said to him, Today salvation has come to this house, since he also is a son of Abraham.</w:t>
      </w:r>
    </w:p>
    <w:p>
      <w:r>
        <w:rPr>
          <w:b/>
        </w:rPr>
        <w:t xml:space="preserve">10 </w:t>
      </w:r>
      <w:r>
        <w:t xml:space="preserve">For the Son of man has come to seek and to save that which was lost.</w:t>
      </w:r>
    </w:p>
    <w:p>
      <w:r>
        <w:rPr>
          <w:b/>
        </w:rPr>
        <w:t xml:space="preserve">11 </w:t>
      </w:r>
      <w:r>
        <w:t xml:space="preserve">And as they heard these things, he added and spoke a parable, because he was near to Jerusalem, and because they thought</w:t>
      </w:r>
      <w:r>
        <w:rPr>
          <w:rStyle w:val="FootnoteReference"/>
        </w:rPr>
        <w:footnoteReference w:id="15784"/>
      </w:r>
      <w:r>
        <w:t xml:space="preserve"> that the kingdom of God should immediately appear.</w:t>
      </w:r>
    </w:p>
    <w:p>
      <w:r>
        <w:rPr>
          <w:b/>
        </w:rPr>
        <w:t xml:space="preserve">12 </w:t>
      </w:r>
      <w:r>
        <w:t xml:space="preserve">He said therefore, A certain nobleman went into a far</w:t>
      </w:r>
      <w:r>
        <w:rPr>
          <w:rStyle w:val="FootnoteReference"/>
        </w:rPr>
        <w:footnoteReference w:id="15785"/>
      </w:r>
      <w:r>
        <w:t xml:space="preserve"> country to receive for himself a kingdom, and to return.</w:t>
      </w:r>
    </w:p>
    <w:p>
      <w:r>
        <w:rPr>
          <w:b/>
        </w:rPr>
        <w:t xml:space="preserve">13 </w:t>
      </w:r>
      <w:r>
        <w:t xml:space="preserve">And he called his ten slaves, and delivered</w:t>
      </w:r>
      <w:r>
        <w:rPr>
          <w:rStyle w:val="FootnoteReference"/>
        </w:rPr>
        <w:footnoteReference w:id="15786"/>
      </w:r>
      <w:r>
        <w:t xml:space="preserve"> them ten pounds, and said to them, Occupy till I come.</w:t>
      </w:r>
    </w:p>
    <w:p>
      <w:r>
        <w:rPr>
          <w:b/>
        </w:rPr>
        <w:t xml:space="preserve">14 </w:t>
      </w:r>
      <w:r>
        <w:t xml:space="preserve">But his citizens hated him, and sent a message after him, saying, We do not want this man to reign over us.</w:t>
      </w:r>
    </w:p>
    <w:p>
      <w:r>
        <w:rPr>
          <w:b/>
        </w:rPr>
        <w:t xml:space="preserve">15 </w:t>
      </w:r>
      <w:r>
        <w:t xml:space="preserve">And it happened, that when he was returned, having received the kingdom, then he commanded these slaves to be called to him, to whom he had given the money</w:t>
      </w:r>
      <w:r>
        <w:rPr>
          <w:rStyle w:val="FootnoteReference"/>
        </w:rPr>
        <w:footnoteReference w:id="15787"/>
      </w:r>
      <w:r>
        <w:t xml:space="preserve">, that he might know how much every man had gained by trading.</w:t>
      </w:r>
    </w:p>
    <w:p>
      <w:r>
        <w:rPr>
          <w:b/>
        </w:rPr>
        <w:t xml:space="preserve">16 </w:t>
      </w:r>
      <w:r>
        <w:t xml:space="preserve">Then came the first, saying, lord, your pound has gained ten pounds.</w:t>
      </w:r>
    </w:p>
    <w:p>
      <w:r>
        <w:rPr>
          <w:b/>
        </w:rPr>
        <w:t xml:space="preserve">17 </w:t>
      </w:r>
      <w:r>
        <w:t xml:space="preserve">And he said to him, Well</w:t>
      </w:r>
      <w:r>
        <w:rPr>
          <w:rStyle w:val="FootnoteReference"/>
        </w:rPr>
        <w:footnoteReference w:id="15788"/>
      </w:r>
      <w:r>
        <w:t xml:space="preserve">, you good slave: because you have been faithful in a very little, have you authority over ten cities.</w:t>
      </w:r>
    </w:p>
    <w:p>
      <w:r>
        <w:rPr>
          <w:b/>
        </w:rPr>
        <w:t xml:space="preserve">18 </w:t>
      </w:r>
      <w:r>
        <w:t xml:space="preserve">And the second came, saying, lord, your pound has gained five pounds.</w:t>
      </w:r>
    </w:p>
    <w:p>
      <w:r>
        <w:rPr>
          <w:b/>
        </w:rPr>
        <w:t xml:space="preserve">19 </w:t>
      </w:r>
      <w:r>
        <w:t xml:space="preserve">And he said likewise to him, You also be over five cities.</w:t>
      </w:r>
    </w:p>
    <w:p>
      <w:r>
        <w:rPr>
          <w:b/>
        </w:rPr>
        <w:t xml:space="preserve">20 </w:t>
      </w:r>
      <w:r>
        <w:t xml:space="preserve">And another came, saying, Lord</w:t>
      </w:r>
      <w:r>
        <w:rPr>
          <w:rStyle w:val="FootnoteReference"/>
        </w:rPr>
        <w:footnoteReference w:id="15789"/>
      </w:r>
      <w:r>
        <w:t xml:space="preserve">, look, here is your pound, which I have kept laid up in a cloth:</w:t>
      </w:r>
    </w:p>
    <w:p>
      <w:r>
        <w:rPr>
          <w:b/>
        </w:rPr>
        <w:t xml:space="preserve">21 </w:t>
      </w:r>
      <w:r>
        <w:t xml:space="preserve">For I feared</w:t>
      </w:r>
      <w:r>
        <w:rPr>
          <w:rStyle w:val="FootnoteReference"/>
        </w:rPr>
        <w:footnoteReference w:id="15790"/>
      </w:r>
      <w:r>
        <w:t xml:space="preserve"> you, because you are an austere man: you take up what you did not lay down, and reap what you did not sow.</w:t>
      </w:r>
    </w:p>
    <w:p>
      <w:r>
        <w:rPr>
          <w:b/>
        </w:rPr>
        <w:t xml:space="preserve">22 </w:t>
      </w:r>
      <w:r>
        <w:t xml:space="preserve">And he says to him, Out of your own mouth will I judge you, you wicked slave. You knew that I was an austere man, taking up that I did not lay down, and reaping that I did not sow:</w:t>
      </w:r>
    </w:p>
    <w:p>
      <w:r>
        <w:rPr>
          <w:b/>
        </w:rPr>
        <w:t xml:space="preserve">23 </w:t>
      </w:r>
      <w:r>
        <w:t xml:space="preserve">Why then did you not put my money into the bank, that at my coming I might have required my own with interest?</w:t>
      </w:r>
    </w:p>
    <w:p>
      <w:r>
        <w:rPr>
          <w:b/>
        </w:rPr>
        <w:t xml:space="preserve">24 </w:t>
      </w:r>
      <w:r>
        <w:t xml:space="preserve">And he said to those who stood by, Take</w:t>
      </w:r>
      <w:r>
        <w:rPr>
          <w:rStyle w:val="FootnoteReference"/>
        </w:rPr>
        <w:footnoteReference w:id="15791"/>
      </w:r>
      <w:r>
        <w:t xml:space="preserve"> from him the pound, and give it to him who has ten pounds.</w:t>
      </w:r>
    </w:p>
    <w:p>
      <w:r>
        <w:rPr>
          <w:b/>
        </w:rPr>
        <w:t xml:space="preserve">25 </w:t>
      </w:r>
      <w:r>
        <w:t xml:space="preserve">(And they said to him, lord</w:t>
      </w:r>
      <w:r>
        <w:rPr>
          <w:rStyle w:val="FootnoteReference"/>
        </w:rPr>
        <w:footnoteReference w:id="15792"/>
      </w:r>
      <w:r>
        <w:t xml:space="preserve">, he has ten pounds.)</w:t>
      </w:r>
    </w:p>
    <w:p>
      <w:r>
        <w:rPr>
          <w:b/>
        </w:rPr>
        <w:t xml:space="preserve">26 </w:t>
      </w:r>
      <w:r>
        <w:t xml:space="preserve">For I say to you, That to everyone who has shall be given; and from</w:t>
      </w:r>
      <w:r>
        <w:rPr>
          <w:rStyle w:val="FootnoteReference"/>
        </w:rPr>
        <w:footnoteReference w:id="15793"/>
      </w:r>
      <w:r>
        <w:t xml:space="preserve"> him who has not, even that he has shall be taken away from him.</w:t>
      </w:r>
    </w:p>
    <w:p>
      <w:r>
        <w:rPr>
          <w:b/>
        </w:rPr>
        <w:t xml:space="preserve">27 </w:t>
      </w:r>
      <w:r>
        <w:t xml:space="preserve">But those enemies of mine, who did not want me to reign over them, bring here, and kill them before me.</w:t>
      </w:r>
    </w:p>
    <w:p>
      <w:r>
        <w:rPr>
          <w:b/>
        </w:rPr>
        <w:t xml:space="preserve">28 </w:t>
      </w:r>
      <w:r>
        <w:t xml:space="preserve">And when he had thus spoken, he went before, going up to Jerusalem.</w:t>
      </w:r>
    </w:p>
    <w:p>
      <w:r>
        <w:rPr>
          <w:b/>
        </w:rPr>
        <w:t xml:space="preserve">29 </w:t>
      </w:r>
      <w:r>
        <w:t xml:space="preserve">And it happened, when he had come near to Bethphage and Bethany</w:t>
      </w:r>
      <w:r>
        <w:rPr>
          <w:rStyle w:val="FootnoteReference"/>
        </w:rPr>
        <w:footnoteReference w:id="15794"/>
      </w:r>
      <w:r>
        <w:t xml:space="preserve">, at the mount called the mount of Olives, he sent two of his disciples,</w:t>
      </w:r>
    </w:p>
    <w:p>
      <w:r>
        <w:rPr>
          <w:b/>
        </w:rPr>
        <w:t xml:space="preserve">30 </w:t>
      </w:r>
      <w:r>
        <w:t xml:space="preserve">Saying, Go into the village opposite to you; in which at your entering you shall find a colt tied, on which yet never man sat: loose him, and bring him here.</w:t>
      </w:r>
    </w:p>
    <w:p>
      <w:r>
        <w:rPr>
          <w:b/>
        </w:rPr>
        <w:t xml:space="preserve">31 </w:t>
      </w:r>
      <w:r>
        <w:t xml:space="preserve">And if anyone ask you, Why do you loose him? thus shall you say to him, Because the Lord</w:t>
      </w:r>
      <w:r>
        <w:rPr>
          <w:rStyle w:val="FootnoteReference"/>
        </w:rPr>
        <w:footnoteReference w:id="15795"/>
      </w:r>
      <w:r>
        <w:t xml:space="preserve"> has need of him.</w:t>
      </w:r>
    </w:p>
    <w:p>
      <w:r>
        <w:rPr>
          <w:b/>
        </w:rPr>
        <w:t xml:space="preserve">32 </w:t>
      </w:r>
      <w:r>
        <w:t xml:space="preserve">And those who were sent went their way, and found even as he had said to them.</w:t>
      </w:r>
    </w:p>
    <w:p>
      <w:r>
        <w:rPr>
          <w:b/>
        </w:rPr>
        <w:t xml:space="preserve">33 </w:t>
      </w:r>
      <w:r>
        <w:t xml:space="preserve">And as they were loosing the colt, the owners of it said to them, Why loose you the colt?</w:t>
      </w:r>
    </w:p>
    <w:p>
      <w:r>
        <w:rPr>
          <w:b/>
        </w:rPr>
        <w:t xml:space="preserve">34 </w:t>
      </w:r>
      <w:r>
        <w:t xml:space="preserve">And they said, The Lord has need of him.</w:t>
      </w:r>
    </w:p>
    <w:p>
      <w:r>
        <w:rPr>
          <w:b/>
        </w:rPr>
        <w:t xml:space="preserve">35 </w:t>
      </w:r>
      <w:r>
        <w:t xml:space="preserve">And they brought him to Jesus: and they cast</w:t>
      </w:r>
      <w:r>
        <w:rPr>
          <w:rStyle w:val="FootnoteReference"/>
        </w:rPr>
        <w:footnoteReference w:id="15796"/>
      </w:r>
      <w:r>
        <w:t xml:space="preserve"> their clothes upon the colt, and they set Jesus thereon.</w:t>
      </w:r>
    </w:p>
    <w:p>
      <w:r>
        <w:rPr>
          <w:b/>
        </w:rPr>
        <w:t xml:space="preserve">36 </w:t>
      </w:r>
      <w:r>
        <w:t xml:space="preserve">And as he went, they spread their clothes in the way.</w:t>
      </w:r>
    </w:p>
    <w:p>
      <w:r>
        <w:rPr>
          <w:b/>
        </w:rPr>
        <w:t xml:space="preserve">37 </w:t>
      </w:r>
      <w:r>
        <w:t xml:space="preserve">And when he had come near, even now at the descent of the mount of Olives, the whole</w:t>
      </w:r>
      <w:r>
        <w:rPr>
          <w:rStyle w:val="FootnoteReference"/>
        </w:rPr>
        <w:footnoteReference w:id="15797"/>
      </w:r>
      <w:r>
        <w:t xml:space="preserve"> multitude of the disciples began to rejoice and praise God with a loud voice for all the mighty works that they had seen;</w:t>
      </w:r>
    </w:p>
    <w:p>
      <w:r>
        <w:rPr>
          <w:b/>
        </w:rPr>
        <w:t xml:space="preserve">38 </w:t>
      </w:r>
      <w:r>
        <w:t xml:space="preserve">Saying, Blessed</w:t>
      </w:r>
      <w:r>
        <w:rPr>
          <w:rStyle w:val="FootnoteReference"/>
        </w:rPr>
        <w:footnoteReference w:id="15798"/>
      </w:r>
      <w:r>
        <w:t xml:space="preserve"> be the King that comes in the name of the Lord: peace in heaven, and glory in the highest.</w:t>
      </w:r>
    </w:p>
    <w:p>
      <w:r>
        <w:rPr>
          <w:b/>
        </w:rPr>
        <w:t xml:space="preserve">39 </w:t>
      </w:r>
      <w:r>
        <w:t xml:space="preserve">And some of the Pharisees from among the crowd said to him, Teacher, rebuke</w:t>
      </w:r>
      <w:r>
        <w:rPr>
          <w:rStyle w:val="FootnoteReference"/>
        </w:rPr>
        <w:footnoteReference w:id="15799"/>
      </w:r>
      <w:r>
        <w:t xml:space="preserve"> your disciples.</w:t>
      </w:r>
    </w:p>
    <w:p>
      <w:r>
        <w:rPr>
          <w:b/>
        </w:rPr>
        <w:t xml:space="preserve">40 </w:t>
      </w:r>
      <w:r>
        <w:t xml:space="preserve">And he answered and said to them, I tell you that, if these should be silent, the stones would immediately cry out.</w:t>
      </w:r>
    </w:p>
    <w:p>
      <w:r>
        <w:rPr>
          <w:b/>
        </w:rPr>
        <w:t xml:space="preserve">41 </w:t>
      </w:r>
      <w:r>
        <w:t xml:space="preserve">And when he had come near, he beheld the city, and wept</w:t>
      </w:r>
      <w:r>
        <w:rPr>
          <w:rStyle w:val="FootnoteReference"/>
        </w:rPr>
        <w:footnoteReference w:id="15800"/>
      </w:r>
      <w:r>
        <w:t xml:space="preserve"> over it,</w:t>
      </w:r>
    </w:p>
    <w:p>
      <w:r>
        <w:rPr>
          <w:b/>
        </w:rPr>
        <w:t xml:space="preserve">42 </w:t>
      </w:r>
      <w:r>
        <w:t xml:space="preserve">Saying, If you had known, even you, at least in this</w:t>
      </w:r>
      <w:r>
        <w:rPr>
          <w:rStyle w:val="FootnoteReference"/>
        </w:rPr>
        <w:footnoteReference w:id="15801"/>
      </w:r>
      <w:r>
        <w:t xml:space="preserve"> your day, the things which belong to your peace! But now they are hidden from your eyes.</w:t>
      </w:r>
    </w:p>
    <w:p>
      <w:r>
        <w:rPr>
          <w:b/>
        </w:rPr>
        <w:t xml:space="preserve">43 </w:t>
      </w:r>
      <w:r>
        <w:t xml:space="preserve">For the days</w:t>
      </w:r>
      <w:r>
        <w:rPr>
          <w:rStyle w:val="FootnoteReference"/>
        </w:rPr>
        <w:footnoteReference w:id="15802"/>
      </w:r>
      <w:r>
        <w:t xml:space="preserve"> shall come upon you, that your enemies shall cast a trench about you, and compass you round, and keep you in on every side,</w:t>
      </w:r>
    </w:p>
    <w:p>
      <w:r>
        <w:rPr>
          <w:b/>
        </w:rPr>
        <w:t xml:space="preserve">44 </w:t>
      </w:r>
      <w:r>
        <w:t xml:space="preserve">And shall lay you even with the ground, and your children within you; and they shall not leave</w:t>
      </w:r>
      <w:r>
        <w:rPr>
          <w:rStyle w:val="FootnoteReference"/>
        </w:rPr>
        <w:footnoteReference w:id="15803"/>
      </w:r>
      <w:r>
        <w:t xml:space="preserve"> in you one stone upon another; because you did not know the time of your visitation.</w:t>
      </w:r>
    </w:p>
    <w:p>
      <w:r>
        <w:rPr>
          <w:b/>
        </w:rPr>
        <w:t xml:space="preserve">45 </w:t>
      </w:r>
      <w:r>
        <w:t xml:space="preserve">And he went</w:t>
      </w:r>
      <w:r>
        <w:rPr>
          <w:rStyle w:val="FootnoteReference"/>
        </w:rPr>
        <w:footnoteReference w:id="15804"/>
      </w:r>
      <w:r>
        <w:t xml:space="preserve"> into the temple, and began to cast out those who sold in it, and those who bought;</w:t>
      </w:r>
    </w:p>
    <w:p>
      <w:r>
        <w:rPr>
          <w:b/>
        </w:rPr>
        <w:t xml:space="preserve">46 </w:t>
      </w:r>
      <w:r>
        <w:t xml:space="preserve">Saying to them, It is written, My house is the house of prayer: but you have made it a den of thieves.</w:t>
      </w:r>
    </w:p>
    <w:p>
      <w:r>
        <w:rPr>
          <w:b/>
        </w:rPr>
        <w:t xml:space="preserve">47 </w:t>
      </w:r>
      <w:r>
        <w:t xml:space="preserve">And he taught</w:t>
      </w:r>
      <w:r>
        <w:rPr>
          <w:rStyle w:val="FootnoteReference"/>
        </w:rPr>
        <w:footnoteReference w:id="15805"/>
      </w:r>
      <w:r>
        <w:t xml:space="preserve"> daily in the temple. But the chief priests and the scribes and the chief of the people sought to destroy him,</w:t>
      </w:r>
    </w:p>
    <w:p>
      <w:r>
        <w:rPr>
          <w:b/>
        </w:rPr>
        <w:t xml:space="preserve">48 </w:t>
      </w:r>
      <w:r>
        <w:t xml:space="preserve">And could</w:t>
      </w:r>
      <w:r>
        <w:rPr>
          <w:rStyle w:val="FootnoteReference"/>
        </w:rPr>
        <w:footnoteReference w:id="15806"/>
      </w:r>
      <w:r>
        <w:t xml:space="preserve"> not find what they might do: for all the people were very attentive to hear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it happened, that on one of those days, as he taught the people in the temple, and preached the good news, the chief</w:t>
      </w:r>
      <w:r>
        <w:rPr>
          <w:rStyle w:val="FootnoteReference"/>
        </w:rPr>
        <w:footnoteReference w:id="15807"/>
      </w:r>
      <w:r>
        <w:t xml:space="preserve"> priests and the scribes came upon him with the elders,</w:t>
      </w:r>
    </w:p>
    <w:p>
      <w:r>
        <w:rPr>
          <w:b/>
        </w:rPr>
        <w:t xml:space="preserve">2 </w:t>
      </w:r>
      <w:r>
        <w:t xml:space="preserve">And spoke to him, saying, Tell</w:t>
      </w:r>
      <w:r>
        <w:rPr>
          <w:rStyle w:val="FootnoteReference"/>
        </w:rPr>
        <w:footnoteReference w:id="15808"/>
      </w:r>
      <w:r>
        <w:t xml:space="preserve"> us, by what authority do you these things? or who is the one who gave you this authority?</w:t>
      </w:r>
    </w:p>
    <w:p>
      <w:r>
        <w:rPr>
          <w:b/>
        </w:rPr>
        <w:t xml:space="preserve">3 </w:t>
      </w:r>
      <w:r>
        <w:t xml:space="preserve">And he answered and said to them, I will also ask you one thing; and answer me:</w:t>
      </w:r>
    </w:p>
    <w:p>
      <w:r>
        <w:rPr>
          <w:b/>
        </w:rPr>
        <w:t xml:space="preserve">4 </w:t>
      </w:r>
      <w:r>
        <w:t xml:space="preserve">The baptism</w:t>
      </w:r>
      <w:r>
        <w:rPr>
          <w:rStyle w:val="FootnoteReference"/>
        </w:rPr>
        <w:footnoteReference w:id="15809"/>
      </w:r>
      <w:r>
        <w:t xml:space="preserve"> of John, was it from heaven, or of men?</w:t>
      </w:r>
    </w:p>
    <w:p>
      <w:r>
        <w:rPr>
          <w:b/>
        </w:rPr>
        <w:t xml:space="preserve">5 </w:t>
      </w:r>
      <w:r>
        <w:t xml:space="preserve">And they reasoned with themselves, saying, If we shall say, From heaven; he will say, Why then did you not believe him?</w:t>
      </w:r>
    </w:p>
    <w:p>
      <w:r>
        <w:rPr>
          <w:b/>
        </w:rPr>
        <w:t xml:space="preserve">6 </w:t>
      </w:r>
      <w:r>
        <w:t xml:space="preserve">But if we say, Of men; all the people will stone us: for they are persuaded that John was a prophet.</w:t>
      </w:r>
    </w:p>
    <w:p>
      <w:r>
        <w:rPr>
          <w:b/>
        </w:rPr>
        <w:t xml:space="preserve">7 </w:t>
      </w:r>
      <w:r>
        <w:t xml:space="preserve">And they answered, that they could not tell from where it was.</w:t>
      </w:r>
    </w:p>
    <w:p>
      <w:r>
        <w:rPr>
          <w:b/>
        </w:rPr>
        <w:t xml:space="preserve">8 </w:t>
      </w:r>
      <w:r>
        <w:t xml:space="preserve">And Jesus said to them, Neither do I tell you by what authority I do these things.</w:t>
      </w:r>
    </w:p>
    <w:p>
      <w:r>
        <w:rPr>
          <w:b/>
        </w:rPr>
        <w:t xml:space="preserve">9 </w:t>
      </w:r>
      <w:r>
        <w:t xml:space="preserve">Then he began to speak to the people this parable; A certain man planted</w:t>
      </w:r>
      <w:r>
        <w:rPr>
          <w:rStyle w:val="FootnoteReference"/>
        </w:rPr>
        <w:footnoteReference w:id="15810"/>
      </w:r>
      <w:r>
        <w:t xml:space="preserve"> a vineyard, and leased it to farmers, and went into a far country for a long time.</w:t>
      </w:r>
    </w:p>
    <w:p>
      <w:r>
        <w:rPr>
          <w:b/>
        </w:rPr>
        <w:t xml:space="preserve">10 </w:t>
      </w:r>
      <w:r>
        <w:t xml:space="preserve">And at the season</w:t>
      </w:r>
      <w:r>
        <w:rPr>
          <w:rStyle w:val="FootnoteReference"/>
        </w:rPr>
        <w:footnoteReference w:id="15811"/>
      </w:r>
      <w:r>
        <w:t xml:space="preserve"> he sent a slave to the husbandmen, that they should give him of the fruit of the vineyard: but the husbandmen beat him, and sent him away empty.</w:t>
      </w:r>
    </w:p>
    <w:p>
      <w:r>
        <w:rPr>
          <w:b/>
        </w:rPr>
        <w:t xml:space="preserve">11 </w:t>
      </w:r>
      <w:r>
        <w:t xml:space="preserve">And again he sent another slave: and they beat him also, and entreated</w:t>
      </w:r>
      <w:r>
        <w:rPr>
          <w:rStyle w:val="FootnoteReference"/>
        </w:rPr>
        <w:footnoteReference w:id="15812"/>
      </w:r>
      <w:r>
        <w:t xml:space="preserve"> him shamefully, and sent him away empty.</w:t>
      </w:r>
    </w:p>
    <w:p>
      <w:r>
        <w:rPr>
          <w:b/>
        </w:rPr>
        <w:t xml:space="preserve">12 </w:t>
      </w:r>
      <w:r>
        <w:t xml:space="preserve">And again he sent a third: and they wounded him also, and cast him out.</w:t>
      </w:r>
    </w:p>
    <w:p>
      <w:r>
        <w:rPr>
          <w:b/>
        </w:rPr>
        <w:t xml:space="preserve">13 </w:t>
      </w:r>
      <w:r>
        <w:t xml:space="preserve">Then said the lord of the vineyard, What shall I do? I will send my beloved son: it may</w:t>
      </w:r>
      <w:r>
        <w:rPr>
          <w:rStyle w:val="FootnoteReference"/>
        </w:rPr>
        <w:footnoteReference w:id="15813"/>
      </w:r>
      <w:r>
        <w:t xml:space="preserve"> be they will respect him when they see him.</w:t>
      </w:r>
    </w:p>
    <w:p>
      <w:r>
        <w:rPr>
          <w:b/>
        </w:rPr>
        <w:t xml:space="preserve">14 </w:t>
      </w:r>
      <w:r>
        <w:t xml:space="preserve">But when the farmers saw him, they reasoned</w:t>
      </w:r>
      <w:r>
        <w:rPr>
          <w:rStyle w:val="FootnoteReference"/>
        </w:rPr>
        <w:footnoteReference w:id="15814"/>
      </w:r>
      <w:r>
        <w:t xml:space="preserve"> among themselves, saying, This is the heir: come, let us kill him, that the inheritance may be ours.</w:t>
      </w:r>
    </w:p>
    <w:p>
      <w:r>
        <w:rPr>
          <w:b/>
        </w:rPr>
        <w:t xml:space="preserve">15 </w:t>
      </w:r>
      <w:r>
        <w:t xml:space="preserve">So they cast him out of the vineyard, and killed him. What therefore shall the lord of the vineyard do to them?</w:t>
      </w:r>
    </w:p>
    <w:p>
      <w:r>
        <w:rPr>
          <w:b/>
        </w:rPr>
        <w:t xml:space="preserve">16 </w:t>
      </w:r>
      <w:r>
        <w:t xml:space="preserve">He shall come and destroy</w:t>
      </w:r>
      <w:r>
        <w:rPr>
          <w:rStyle w:val="FootnoteReference"/>
        </w:rPr>
        <w:footnoteReference w:id="15815"/>
      </w:r>
      <w:r>
        <w:t xml:space="preserve"> these husbandmen, and shall give the vineyard to others. And when they heard it, they said, may it not be.</w:t>
      </w:r>
    </w:p>
    <w:p>
      <w:r>
        <w:rPr>
          <w:b/>
        </w:rPr>
        <w:t xml:space="preserve">17 </w:t>
      </w:r>
      <w:r>
        <w:t xml:space="preserve">And he looked on them, and said, What is this then that is written, The stone</w:t>
      </w:r>
      <w:r>
        <w:rPr>
          <w:rStyle w:val="FootnoteReference"/>
        </w:rPr>
        <w:footnoteReference w:id="15816"/>
      </w:r>
      <w:r>
        <w:t xml:space="preserve"> which the builders rejected, the same has become the head of the corner?</w:t>
      </w:r>
    </w:p>
    <w:p>
      <w:r>
        <w:rPr>
          <w:b/>
        </w:rPr>
        <w:t xml:space="preserve">18 </w:t>
      </w:r>
      <w:r>
        <w:t xml:space="preserve">Whoever shall fall</w:t>
      </w:r>
      <w:r>
        <w:rPr>
          <w:rStyle w:val="FootnoteReference"/>
        </w:rPr>
        <w:footnoteReference w:id="15817"/>
      </w:r>
      <w:r>
        <w:t xml:space="preserve"> upon that stone shall be broken; but on whomsoever it shall fall, it will grind him to powder.</w:t>
      </w:r>
    </w:p>
    <w:p>
      <w:r>
        <w:rPr>
          <w:b/>
        </w:rPr>
        <w:t xml:space="preserve">19 </w:t>
      </w:r>
      <w:r>
        <w:t xml:space="preserve">And the chief priests and the scribes the same hour sought to lay hands on him; and they feared the people: for they perceived that he had spoken this parable against them.</w:t>
      </w:r>
    </w:p>
    <w:p>
      <w:r>
        <w:rPr>
          <w:b/>
        </w:rPr>
        <w:t xml:space="preserve">20 </w:t>
      </w:r>
      <w:r>
        <w:t xml:space="preserve">And they watched</w:t>
      </w:r>
      <w:r>
        <w:rPr>
          <w:rStyle w:val="FootnoteReference"/>
        </w:rPr>
        <w:footnoteReference w:id="15818"/>
      </w:r>
      <w:r>
        <w:t xml:space="preserve"> him, and sent forth spies, who pretended to be righteous, that they might take hold of his words, so that they might deliver him to the power and authority of the governor.</w:t>
      </w:r>
    </w:p>
    <w:p>
      <w:r>
        <w:rPr>
          <w:b/>
        </w:rPr>
        <w:t xml:space="preserve">21 </w:t>
      </w:r>
      <w:r>
        <w:t xml:space="preserve">And they asked him, saying, Teacher, we know that you speak and teach rightly, and do not show partiality to anyone, but teach the way of God truly:</w:t>
      </w:r>
    </w:p>
    <w:p>
      <w:r>
        <w:rPr>
          <w:b/>
        </w:rPr>
        <w:t xml:space="preserve">22 </w:t>
      </w:r>
      <w:r>
        <w:t xml:space="preserve">Is it lawful for us to give tribute to Caesar, or not?</w:t>
      </w:r>
    </w:p>
    <w:p>
      <w:r>
        <w:rPr>
          <w:b/>
        </w:rPr>
        <w:t xml:space="preserve">23 </w:t>
      </w:r>
      <w:r>
        <w:t xml:space="preserve">But he perceived their craftiness, and said to them, Why do you tempt me?</w:t>
      </w:r>
    </w:p>
    <w:p>
      <w:r>
        <w:rPr>
          <w:b/>
        </w:rPr>
        <w:t xml:space="preserve">24 </w:t>
      </w:r>
      <w:r>
        <w:t xml:space="preserve">Show me a denarius. Whose image and superscription has it? They answered and said, Caesar's</w:t>
      </w:r>
      <w:r>
        <w:rPr>
          <w:rStyle w:val="FootnoteReference"/>
        </w:rPr>
        <w:footnoteReference w:id="15819"/>
      </w:r>
      <w:r>
        <w:t xml:space="preserve">.</w:t>
      </w:r>
    </w:p>
    <w:p>
      <w:r>
        <w:rPr>
          <w:b/>
        </w:rPr>
        <w:t xml:space="preserve">25 </w:t>
      </w:r>
      <w:r>
        <w:t xml:space="preserve">And he said to them, Render</w:t>
      </w:r>
      <w:r>
        <w:rPr>
          <w:rStyle w:val="FootnoteReference"/>
        </w:rPr>
        <w:footnoteReference w:id="15820"/>
      </w:r>
      <w:r>
        <w:t xml:space="preserve"> therefore to Caesar the things which are Caesar's, and to God the things which are God's.</w:t>
      </w:r>
    </w:p>
    <w:p>
      <w:r>
        <w:rPr>
          <w:b/>
        </w:rPr>
        <w:t xml:space="preserve">26 </w:t>
      </w:r>
      <w:r>
        <w:t xml:space="preserve">And they could</w:t>
      </w:r>
      <w:r>
        <w:rPr>
          <w:rStyle w:val="FootnoteReference"/>
        </w:rPr>
        <w:footnoteReference w:id="15821"/>
      </w:r>
      <w:r>
        <w:t xml:space="preserve"> not take hold of his words before the people: and they marveled at his answer, and were silent.</w:t>
      </w:r>
    </w:p>
    <w:p>
      <w:r>
        <w:rPr>
          <w:b/>
        </w:rPr>
        <w:t xml:space="preserve">27 </w:t>
      </w:r>
      <w:r>
        <w:t xml:space="preserve">Then came to him certain of the Sadducees</w:t>
      </w:r>
      <w:r>
        <w:rPr>
          <w:rStyle w:val="FootnoteReference"/>
        </w:rPr>
        <w:footnoteReference w:id="15822"/>
      </w:r>
      <w:r>
        <w:t xml:space="preserve">, who deny that there is any resurrection; and they asked him,</w:t>
      </w:r>
    </w:p>
    <w:p>
      <w:r>
        <w:rPr>
          <w:b/>
        </w:rPr>
        <w:t xml:space="preserve">28 </w:t>
      </w:r>
      <w:r>
        <w:t xml:space="preserve">Saying, Teacher, Moses wrote to us, If anyone's brother dies, having a wife, and he dies childless, that his brother should take his wife, and raise up seed to his brother.</w:t>
      </w:r>
    </w:p>
    <w:p>
      <w:r>
        <w:rPr>
          <w:b/>
        </w:rPr>
        <w:t xml:space="preserve">29 </w:t>
      </w:r>
      <w:r>
        <w:t xml:space="preserve">There were therefore seven brothers: and the first took a wife, and died</w:t>
      </w:r>
      <w:r>
        <w:rPr>
          <w:rStyle w:val="FootnoteReference"/>
        </w:rPr>
        <w:footnoteReference w:id="15823"/>
      </w:r>
      <w:r>
        <w:t xml:space="preserve"> without children.</w:t>
      </w:r>
    </w:p>
    <w:p>
      <w:r>
        <w:rPr>
          <w:b/>
        </w:rPr>
        <w:t xml:space="preserve">30 </w:t>
      </w:r>
      <w:r>
        <w:t xml:space="preserve">And the second took her as wife, and he died childless.</w:t>
      </w:r>
    </w:p>
    <w:p>
      <w:r>
        <w:rPr>
          <w:b/>
        </w:rPr>
        <w:t xml:space="preserve">31 </w:t>
      </w:r>
      <w:r>
        <w:t xml:space="preserve">And the third took her; and likewise the seven also: and they left no children, and died.</w:t>
      </w:r>
    </w:p>
    <w:p>
      <w:r>
        <w:rPr>
          <w:b/>
        </w:rPr>
        <w:t xml:space="preserve">32 </w:t>
      </w:r>
      <w:r>
        <w:t xml:space="preserve">Last of all the woman died</w:t>
      </w:r>
      <w:r>
        <w:rPr>
          <w:rStyle w:val="FootnoteReference"/>
        </w:rPr>
        <w:footnoteReference w:id="15824"/>
      </w:r>
      <w:r>
        <w:t xml:space="preserve"> also.</w:t>
      </w:r>
    </w:p>
    <w:p>
      <w:r>
        <w:rPr>
          <w:b/>
        </w:rPr>
        <w:t xml:space="preserve">33 </w:t>
      </w:r>
      <w:r>
        <w:t xml:space="preserve">Therefore in the resurrection whose wife of them is she? for seven had her as wife.</w:t>
      </w:r>
    </w:p>
    <w:p>
      <w:r>
        <w:rPr>
          <w:b/>
        </w:rPr>
        <w:t xml:space="preserve">34 </w:t>
      </w:r>
      <w:r>
        <w:t xml:space="preserve">And Jesus answering said to them, The children</w:t>
      </w:r>
      <w:r>
        <w:rPr>
          <w:rStyle w:val="FootnoteReference"/>
        </w:rPr>
        <w:footnoteReference w:id="15825"/>
      </w:r>
      <w:r>
        <w:t xml:space="preserve"> of this age marry, and are given in marriage:</w:t>
      </w:r>
    </w:p>
    <w:p>
      <w:r>
        <w:rPr>
          <w:b/>
        </w:rPr>
        <w:t xml:space="preserve">35 </w:t>
      </w:r>
      <w:r>
        <w:t xml:space="preserve">But those who shall be accounted</w:t>
      </w:r>
      <w:r>
        <w:rPr>
          <w:rStyle w:val="FootnoteReference"/>
        </w:rPr>
        <w:footnoteReference w:id="15826"/>
      </w:r>
      <w:r>
        <w:t xml:space="preserve"> worthy to obtain that age, and the resurrection from the dead, neither marry, nor are given in marriage:</w:t>
      </w:r>
    </w:p>
    <w:p>
      <w:r>
        <w:rPr>
          <w:b/>
        </w:rPr>
        <w:t xml:space="preserve">36 </w:t>
      </w:r>
      <w:r>
        <w:t xml:space="preserve">Neither can they die anymore: for they are</w:t>
      </w:r>
      <w:r>
        <w:rPr>
          <w:rStyle w:val="FootnoteReference"/>
        </w:rPr>
        <w:footnoteReference w:id="15827"/>
      </w:r>
      <w:r>
        <w:t xml:space="preserve"> equal to the angels; and are sons of God, being sons of the resurrection.</w:t>
      </w:r>
    </w:p>
    <w:p>
      <w:r>
        <w:rPr>
          <w:b/>
        </w:rPr>
        <w:t xml:space="preserve">37 </w:t>
      </w:r>
      <w:r>
        <w:t xml:space="preserve">Now that the dead are raised, even Moses showed at the bush, when he calls the Lord the God of Abraham, and the God of Isaac, and the God of Jacob.</w:t>
      </w:r>
    </w:p>
    <w:p>
      <w:r>
        <w:rPr>
          <w:b/>
        </w:rPr>
        <w:t xml:space="preserve">38 </w:t>
      </w:r>
      <w:r>
        <w:t xml:space="preserve">For he is not God of the dead, but of the living: for all</w:t>
      </w:r>
      <w:r>
        <w:rPr>
          <w:rStyle w:val="FootnoteReference"/>
        </w:rPr>
        <w:footnoteReference w:id="15828"/>
      </w:r>
      <w:r>
        <w:t xml:space="preserve"> live to him.</w:t>
      </w:r>
    </w:p>
    <w:p>
      <w:r>
        <w:rPr>
          <w:b/>
        </w:rPr>
        <w:t xml:space="preserve">39 </w:t>
      </w:r>
      <w:r>
        <w:t xml:space="preserve">Then certain of the scribes answering said, Teacher, you have well said.</w:t>
      </w:r>
    </w:p>
    <w:p>
      <w:r>
        <w:rPr>
          <w:b/>
        </w:rPr>
        <w:t xml:space="preserve">40 </w:t>
      </w:r>
      <w:r>
        <w:t xml:space="preserve">And after that they dared not ask him any question at all.</w:t>
      </w:r>
    </w:p>
    <w:p>
      <w:r>
        <w:rPr>
          <w:b/>
        </w:rPr>
        <w:t xml:space="preserve">41 </w:t>
      </w:r>
      <w:r>
        <w:t xml:space="preserve">And he said to them, How do they say that Christ</w:t>
      </w:r>
      <w:r>
        <w:rPr>
          <w:rStyle w:val="FootnoteReference"/>
        </w:rPr>
        <w:footnoteReference w:id="15829"/>
      </w:r>
      <w:r>
        <w:t xml:space="preserve"> is David's son?</w:t>
      </w:r>
    </w:p>
    <w:p>
      <w:r>
        <w:rPr>
          <w:b/>
        </w:rPr>
        <w:t xml:space="preserve">42 </w:t>
      </w:r>
      <w:r>
        <w:t xml:space="preserve">And David himself</w:t>
      </w:r>
      <w:r>
        <w:rPr>
          <w:rStyle w:val="FootnoteReference"/>
        </w:rPr>
        <w:footnoteReference w:id="15830"/>
      </w:r>
      <w:r>
        <w:t xml:space="preserve"> says in the book of Psalms, The Lord said to my Lord, Sit at my right hand,</w:t>
      </w:r>
    </w:p>
    <w:p>
      <w:r>
        <w:rPr>
          <w:b/>
        </w:rPr>
        <w:t xml:space="preserve">43 </w:t>
      </w:r>
      <w:r>
        <w:t xml:space="preserve">Until I make your enemies your footstool.</w:t>
      </w:r>
    </w:p>
    <w:p>
      <w:r>
        <w:rPr>
          <w:b/>
        </w:rPr>
        <w:t xml:space="preserve">44 </w:t>
      </w:r>
      <w:r>
        <w:t xml:space="preserve">David therefore calls him Lord, so how is he then his son?</w:t>
      </w:r>
    </w:p>
    <w:p>
      <w:r>
        <w:rPr>
          <w:b/>
        </w:rPr>
        <w:t xml:space="preserve">45 </w:t>
      </w:r>
      <w:r>
        <w:t xml:space="preserve">Then in the hearing of all the people he said to his disciples,</w:t>
      </w:r>
    </w:p>
    <w:p>
      <w:r>
        <w:rPr>
          <w:b/>
        </w:rPr>
        <w:t xml:space="preserve">46 </w:t>
      </w:r>
      <w:r>
        <w:t xml:space="preserve">Beware</w:t>
      </w:r>
      <w:r>
        <w:rPr>
          <w:rStyle w:val="FootnoteReference"/>
        </w:rPr>
        <w:footnoteReference w:id="15831"/>
      </w:r>
      <w:r>
        <w:t xml:space="preserve"> of the scribes, who desire to walk in long robes, and love greetings in the markets, and the highest seats in the synagogues, and the chief seats at feasts;</w:t>
      </w:r>
    </w:p>
    <w:p>
      <w:r>
        <w:rPr>
          <w:b/>
        </w:rPr>
        <w:t xml:space="preserve">47 </w:t>
      </w:r>
      <w:r>
        <w:t xml:space="preserve">Which devour</w:t>
      </w:r>
      <w:r>
        <w:rPr>
          <w:rStyle w:val="FootnoteReference"/>
        </w:rPr>
        <w:footnoteReference w:id="15832"/>
      </w:r>
      <w:r>
        <w:t xml:space="preserve"> widows' houses, and for a show make long prayers: the same shall receive greater judgment.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he looked up, and saw</w:t>
      </w:r>
      <w:r>
        <w:rPr>
          <w:rStyle w:val="FootnoteReference"/>
        </w:rPr>
        <w:footnoteReference w:id="15833"/>
      </w:r>
      <w:r>
        <w:t xml:space="preserve"> the rich men casting their gifts into the treasury.</w:t>
      </w:r>
    </w:p>
    <w:p>
      <w:r>
        <w:rPr>
          <w:b/>
        </w:rPr>
        <w:t xml:space="preserve">2 </w:t>
      </w:r>
      <w:r>
        <w:t xml:space="preserve">And he saw also a certain poor widow casting in there two lepta.</w:t>
      </w:r>
    </w:p>
    <w:p>
      <w:r>
        <w:rPr>
          <w:b/>
        </w:rPr>
        <w:t xml:space="preserve">3 </w:t>
      </w:r>
      <w:r>
        <w:t xml:space="preserve">And he said, Truthfully I say to you, that this poor widow has cast in more</w:t>
      </w:r>
      <w:r>
        <w:rPr>
          <w:rStyle w:val="FootnoteReference"/>
        </w:rPr>
        <w:footnoteReference w:id="15834"/>
      </w:r>
      <w:r>
        <w:t xml:space="preserve"> than they all:</w:t>
      </w:r>
    </w:p>
    <w:p>
      <w:r>
        <w:rPr>
          <w:b/>
        </w:rPr>
        <w:t xml:space="preserve">4 </w:t>
      </w:r>
      <w:r>
        <w:t xml:space="preserve">For all these from their abundance cast into the offerings of God: but she from her destitution cast in all the livelihood that she had.</w:t>
      </w:r>
    </w:p>
    <w:p>
      <w:r>
        <w:rPr>
          <w:b/>
        </w:rPr>
        <w:t xml:space="preserve">5 </w:t>
      </w:r>
      <w:r>
        <w:t xml:space="preserve">And as some spoke of the temple, how it was adorned with goodly stones and gifts, he said,</w:t>
      </w:r>
    </w:p>
    <w:p>
      <w:r>
        <w:rPr>
          <w:b/>
        </w:rPr>
        <w:t xml:space="preserve">6 </w:t>
      </w:r>
      <w:r>
        <w:t xml:space="preserve">As for these things which you behold, the days will come, in which there shall not be left one stone upon another, that shall not be thrown down.</w:t>
      </w:r>
    </w:p>
    <w:p>
      <w:r>
        <w:rPr>
          <w:b/>
        </w:rPr>
        <w:t xml:space="preserve">7 </w:t>
      </w:r>
      <w:r>
        <w:t xml:space="preserve">And they asked him, saying, Teacher, but when shall these things be? and what sign will there be when these things will happen?</w:t>
      </w:r>
    </w:p>
    <w:p>
      <w:r>
        <w:rPr>
          <w:b/>
        </w:rPr>
        <w:t xml:space="preserve">8 </w:t>
      </w:r>
      <w:r>
        <w:t xml:space="preserve">And he said, Take</w:t>
      </w:r>
      <w:r>
        <w:rPr>
          <w:rStyle w:val="FootnoteReference"/>
        </w:rPr>
        <w:footnoteReference w:id="15835"/>
      </w:r>
      <w:r>
        <w:t xml:space="preserve"> heed that you be not deceived: for many shall come in my name, saying, I am Christ; and the time draws near: do not go therefore after them.</w:t>
      </w:r>
    </w:p>
    <w:p>
      <w:r>
        <w:rPr>
          <w:b/>
        </w:rPr>
        <w:t xml:space="preserve">9 </w:t>
      </w:r>
      <w:r>
        <w:t xml:space="preserve">But when you shall hear of wars and commotions, do not be terrified: for these things must first come to pass; but the end is not immediately.</w:t>
      </w:r>
    </w:p>
    <w:p>
      <w:r>
        <w:rPr>
          <w:b/>
        </w:rPr>
        <w:t xml:space="preserve">10 </w:t>
      </w:r>
      <w:r>
        <w:t xml:space="preserve">Then he said to them, Nation shall</w:t>
      </w:r>
      <w:r>
        <w:rPr>
          <w:rStyle w:val="FootnoteReference"/>
        </w:rPr>
        <w:footnoteReference w:id="15836"/>
      </w:r>
      <w:r>
        <w:t xml:space="preserve"> rise against nation, and kingdom against kingdom:</w:t>
      </w:r>
    </w:p>
    <w:p>
      <w:r>
        <w:rPr>
          <w:b/>
        </w:rPr>
        <w:t xml:space="preserve">11 </w:t>
      </w:r>
      <w:r>
        <w:t xml:space="preserve">And great earthquakes shall be in various places, and famines, and pestilences; and fearful sights and great signs</w:t>
      </w:r>
      <w:r>
        <w:rPr>
          <w:rStyle w:val="FootnoteReference"/>
        </w:rPr>
        <w:footnoteReference w:id="15837"/>
      </w:r>
      <w:r>
        <w:t xml:space="preserve"> shall there be from heaven.</w:t>
      </w:r>
    </w:p>
    <w:p>
      <w:r>
        <w:rPr>
          <w:b/>
        </w:rPr>
        <w:t xml:space="preserve">12 </w:t>
      </w:r>
      <w:r>
        <w:t xml:space="preserve">But before all these, they shall lay their hands on you, and persecute you, delivering you up to the synagogues, and into prisons, being brought before kings and rulers for my name's sake.</w:t>
      </w:r>
    </w:p>
    <w:p>
      <w:r>
        <w:rPr>
          <w:b/>
        </w:rPr>
        <w:t xml:space="preserve">13 </w:t>
      </w:r>
      <w:r>
        <w:t xml:space="preserve">And it shall turn out to you for a testimony.</w:t>
      </w:r>
    </w:p>
    <w:p>
      <w:r>
        <w:rPr>
          <w:b/>
        </w:rPr>
        <w:t xml:space="preserve">14 </w:t>
      </w:r>
      <w:r>
        <w:t xml:space="preserve">Settle it therefore in your hearts, not to meditate beforehand what you shall answer:</w:t>
      </w:r>
    </w:p>
    <w:p>
      <w:r>
        <w:rPr>
          <w:b/>
        </w:rPr>
        <w:t xml:space="preserve">15 </w:t>
      </w:r>
      <w:r>
        <w:t xml:space="preserve">For I will give you a mouth and wisdom, which all your adversaries shall not be able to contradict nor resist.</w:t>
      </w:r>
    </w:p>
    <w:p>
      <w:r>
        <w:rPr>
          <w:b/>
        </w:rPr>
        <w:t xml:space="preserve">16 </w:t>
      </w:r>
      <w:r>
        <w:t xml:space="preserve">And you shall be betrayed both by parents, and brothers, and kinsfolks, and friends; and they shall cause some of you to be put to death.</w:t>
      </w:r>
    </w:p>
    <w:p>
      <w:r>
        <w:rPr>
          <w:b/>
        </w:rPr>
        <w:t xml:space="preserve">17 </w:t>
      </w:r>
      <w:r>
        <w:t xml:space="preserve">And you shall be hated by all for my name's sake.</w:t>
      </w:r>
    </w:p>
    <w:p>
      <w:r>
        <w:rPr>
          <w:b/>
        </w:rPr>
        <w:t xml:space="preserve">18 </w:t>
      </w:r>
      <w:r>
        <w:t xml:space="preserve">But not a hair of your head shall perish.</w:t>
      </w:r>
    </w:p>
    <w:p>
      <w:r>
        <w:rPr>
          <w:b/>
        </w:rPr>
        <w:t xml:space="preserve">19 </w:t>
      </w:r>
      <w:r>
        <w:t xml:space="preserve">By your patience possess your souls.</w:t>
      </w:r>
    </w:p>
    <w:p>
      <w:r>
        <w:rPr>
          <w:b/>
        </w:rPr>
        <w:t xml:space="preserve">20 </w:t>
      </w:r>
      <w:r>
        <w:t xml:space="preserve">And when you shall see Jerusalem surrounded with armies, then know that its desolation is near.</w:t>
      </w:r>
    </w:p>
    <w:p>
      <w:r>
        <w:rPr>
          <w:b/>
        </w:rPr>
        <w:t xml:space="preserve">21 </w:t>
      </w:r>
      <w:r>
        <w:t xml:space="preserve">Then let those who are in Judea flee</w:t>
      </w:r>
      <w:r>
        <w:rPr>
          <w:rStyle w:val="FootnoteReference"/>
        </w:rPr>
        <w:footnoteReference w:id="15838"/>
      </w:r>
      <w:r>
        <w:t xml:space="preserve"> to the mountains; and let those who are in the midst of it depart out; and let not those who are in the fields enter into it.</w:t>
      </w:r>
    </w:p>
    <w:p>
      <w:r>
        <w:rPr>
          <w:b/>
        </w:rPr>
        <w:t xml:space="preserve">22 </w:t>
      </w:r>
      <w:r>
        <w:t xml:space="preserve">For these are the days</w:t>
      </w:r>
      <w:r>
        <w:rPr>
          <w:rStyle w:val="FootnoteReference"/>
        </w:rPr>
        <w:footnoteReference w:id="15839"/>
      </w:r>
      <w:r>
        <w:t xml:space="preserve"> of vengeance, that all things which are written may be fulfilled.</w:t>
      </w:r>
    </w:p>
    <w:p>
      <w:r>
        <w:rPr>
          <w:b/>
        </w:rPr>
        <w:t xml:space="preserve">23 </w:t>
      </w:r>
      <w:r>
        <w:t xml:space="preserve">But woe to those who are pregnant, and to those who nurse infants, in those days! for there shall be great</w:t>
      </w:r>
      <w:r>
        <w:rPr>
          <w:rStyle w:val="FootnoteReference"/>
        </w:rPr>
        <w:footnoteReference w:id="15840"/>
      </w:r>
      <w:r>
        <w:t xml:space="preserve"> distress in the land, and wrath upon this people.</w:t>
      </w:r>
    </w:p>
    <w:p>
      <w:r>
        <w:rPr>
          <w:b/>
        </w:rPr>
        <w:t xml:space="preserve">24 </w:t>
      </w:r>
      <w:r>
        <w:t xml:space="preserve">And they shall fall by the edge of the sword, and shall be led away captive into all nations: and Jerusalem</w:t>
      </w:r>
      <w:r>
        <w:rPr>
          <w:rStyle w:val="FootnoteReference"/>
        </w:rPr>
        <w:footnoteReference w:id="15841"/>
      </w:r>
      <w:r>
        <w:t xml:space="preserve"> shall be trampled down of the nations, until the times of the nations be fulfilled.</w:t>
      </w:r>
    </w:p>
    <w:p>
      <w:r>
        <w:rPr>
          <w:b/>
        </w:rPr>
        <w:t xml:space="preserve">25 </w:t>
      </w:r>
      <w:r>
        <w:t xml:space="preserve">And there shall be signs</w:t>
      </w:r>
      <w:r>
        <w:rPr>
          <w:rStyle w:val="FootnoteReference"/>
        </w:rPr>
        <w:footnoteReference w:id="15842"/>
      </w:r>
      <w:r>
        <w:t xml:space="preserve"> in the sun, and in the moon, and in the stars; and upon the earth distress of nations, with perplexity; the sea and the waves roaring;</w:t>
      </w:r>
    </w:p>
    <w:p>
      <w:r>
        <w:rPr>
          <w:b/>
        </w:rPr>
        <w:t xml:space="preserve">26 </w:t>
      </w:r>
      <w:r>
        <w:t xml:space="preserve">People fainting from fear, and from expectation of those things which are coming on the earth: for the powers of heaven shall be shaken.</w:t>
      </w:r>
    </w:p>
    <w:p>
      <w:r>
        <w:rPr>
          <w:b/>
        </w:rPr>
        <w:t xml:space="preserve">27 </w:t>
      </w:r>
      <w:r>
        <w:t xml:space="preserve">And then shall they see the Son of man coming in a cloud with power and great glory.</w:t>
      </w:r>
    </w:p>
    <w:p>
      <w:r>
        <w:rPr>
          <w:b/>
        </w:rPr>
        <w:t xml:space="preserve">28 </w:t>
      </w:r>
      <w:r>
        <w:t xml:space="preserve">And when these things begin to come to pass, then look</w:t>
      </w:r>
      <w:r>
        <w:rPr>
          <w:rStyle w:val="FootnoteReference"/>
        </w:rPr>
        <w:footnoteReference w:id="15843"/>
      </w:r>
      <w:r>
        <w:t xml:space="preserve"> up, and lift up your heads; for your redemption draws near.</w:t>
      </w:r>
    </w:p>
    <w:p>
      <w:r>
        <w:rPr>
          <w:b/>
        </w:rPr>
        <w:t xml:space="preserve">29 </w:t>
      </w:r>
      <w:r>
        <w:t xml:space="preserve">And he spoke to them a parable; Look at the fig tree, and all the trees;</w:t>
      </w:r>
    </w:p>
    <w:p>
      <w:r>
        <w:rPr>
          <w:b/>
        </w:rPr>
        <w:t xml:space="preserve">30 </w:t>
      </w:r>
      <w:r>
        <w:t xml:space="preserve">When they now shoot forth, you see and know for yourselves that summer is now near at hand.</w:t>
      </w:r>
    </w:p>
    <w:p>
      <w:r>
        <w:rPr>
          <w:b/>
        </w:rPr>
        <w:t xml:space="preserve">31 </w:t>
      </w:r>
      <w:r>
        <w:t xml:space="preserve">So likewise you, when you see these things happen, know that the kingdom</w:t>
      </w:r>
      <w:r>
        <w:rPr>
          <w:rStyle w:val="FootnoteReference"/>
        </w:rPr>
        <w:footnoteReference w:id="15844"/>
      </w:r>
      <w:r>
        <w:t xml:space="preserve"> of God is near at hand.</w:t>
      </w:r>
    </w:p>
    <w:p>
      <w:r>
        <w:rPr>
          <w:b/>
        </w:rPr>
        <w:t xml:space="preserve">32 </w:t>
      </w:r>
      <w:r>
        <w:t xml:space="preserve">Amen, I say to you, This generation shall not pass away, till all be fulfilled.</w:t>
      </w:r>
    </w:p>
    <w:p>
      <w:r>
        <w:rPr>
          <w:b/>
        </w:rPr>
        <w:t xml:space="preserve">33 </w:t>
      </w:r>
      <w:r>
        <w:t xml:space="preserve">Heaven and earth shall pass away: but my words shall not pass away.</w:t>
      </w:r>
    </w:p>
    <w:p>
      <w:r>
        <w:rPr>
          <w:b/>
        </w:rPr>
        <w:t xml:space="preserve">34 </w:t>
      </w:r>
      <w:r>
        <w:t xml:space="preserve">And take</w:t>
      </w:r>
      <w:r>
        <w:rPr>
          <w:rStyle w:val="FootnoteReference"/>
        </w:rPr>
        <w:footnoteReference w:id="15845"/>
      </w:r>
      <w:r>
        <w:t xml:space="preserve"> heed to yourselves, lest at any time your hearts be weighed down with dissipation, and drunkenness, and cares of this life, and so that day come upon you unexpectedly.</w:t>
      </w:r>
    </w:p>
    <w:p>
      <w:r>
        <w:rPr>
          <w:b/>
        </w:rPr>
        <w:t xml:space="preserve">35 </w:t>
      </w:r>
      <w:r>
        <w:t xml:space="preserve">For as a snare shall it come on all those who dwell</w:t>
      </w:r>
      <w:r>
        <w:rPr>
          <w:rStyle w:val="FootnoteReference"/>
        </w:rPr>
        <w:footnoteReference w:id="15846"/>
      </w:r>
      <w:r>
        <w:t xml:space="preserve"> on the face of the whole earth.</w:t>
      </w:r>
    </w:p>
    <w:p>
      <w:r>
        <w:rPr>
          <w:b/>
        </w:rPr>
        <w:t xml:space="preserve">36 </w:t>
      </w:r>
      <w:r>
        <w:t xml:space="preserve">Watch</w:t>
      </w:r>
      <w:r>
        <w:rPr>
          <w:rStyle w:val="FootnoteReference"/>
        </w:rPr>
        <w:footnoteReference w:id="15847"/>
      </w:r>
      <w:r>
        <w:t xml:space="preserve"> therefore, and pray always, that you may be accounted worthy to escape all these things that will happen, and to stand before the Son of man.</w:t>
      </w:r>
    </w:p>
    <w:p>
      <w:r>
        <w:rPr>
          <w:b/>
        </w:rPr>
        <w:t xml:space="preserve">37 </w:t>
      </w:r>
      <w:r>
        <w:t xml:space="preserve">And in the daytime he was teaching in the temple; and at night he went out, and stayed on the mountain that is called the mount</w:t>
      </w:r>
      <w:r>
        <w:rPr>
          <w:rStyle w:val="FootnoteReference"/>
        </w:rPr>
        <w:footnoteReference w:id="15848"/>
      </w:r>
      <w:r>
        <w:t xml:space="preserve"> of Olives.</w:t>
      </w:r>
    </w:p>
    <w:p>
      <w:r>
        <w:rPr>
          <w:b/>
        </w:rPr>
        <w:t xml:space="preserve">38 </w:t>
      </w:r>
      <w:r>
        <w:t xml:space="preserve">And all the people came early in the morning to him in the temple, in order to hear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Now the feast of unleavened bread drew near, which is called the Passover.</w:t>
      </w:r>
    </w:p>
    <w:p>
      <w:r>
        <w:rPr>
          <w:b/>
        </w:rPr>
        <w:t xml:space="preserve">2 </w:t>
      </w:r>
      <w:r>
        <w:t xml:space="preserve">And the chief priests and scribes sought how they might kill him; for they feared the people.</w:t>
      </w:r>
    </w:p>
    <w:p>
      <w:r>
        <w:rPr>
          <w:b/>
        </w:rPr>
        <w:t xml:space="preserve">3 </w:t>
      </w:r>
      <w:r>
        <w:t xml:space="preserve">Then entered</w:t>
      </w:r>
      <w:r>
        <w:rPr>
          <w:rStyle w:val="FootnoteReference"/>
        </w:rPr>
        <w:footnoteReference w:id="15849"/>
      </w:r>
      <w:r>
        <w:t xml:space="preserve"> Satan into Judas surnamed Iscariot, being of the number of the twelve.</w:t>
      </w:r>
    </w:p>
    <w:p>
      <w:r>
        <w:rPr>
          <w:b/>
        </w:rPr>
        <w:t xml:space="preserve">4 </w:t>
      </w:r>
      <w:r>
        <w:t xml:space="preserve">And he went</w:t>
      </w:r>
      <w:r>
        <w:rPr>
          <w:rStyle w:val="FootnoteReference"/>
        </w:rPr>
        <w:footnoteReference w:id="15850"/>
      </w:r>
      <w:r>
        <w:t xml:space="preserve">, and spoke with the chief priests and captains, how he might betray him to them.</w:t>
      </w:r>
    </w:p>
    <w:p>
      <w:r>
        <w:rPr>
          <w:b/>
        </w:rPr>
        <w:t xml:space="preserve">5 </w:t>
      </w:r>
      <w:r>
        <w:t xml:space="preserve">And they were glad, and agreed to give him money.</w:t>
      </w:r>
    </w:p>
    <w:p>
      <w:r>
        <w:rPr>
          <w:b/>
        </w:rPr>
        <w:t xml:space="preserve">6 </w:t>
      </w:r>
      <w:r>
        <w:t xml:space="preserve">And he promised, and sought opportunity to betray him to them in the absence of the crowd.</w:t>
      </w:r>
    </w:p>
    <w:p>
      <w:r>
        <w:rPr>
          <w:b/>
        </w:rPr>
        <w:t xml:space="preserve">7 </w:t>
      </w:r>
      <w:r>
        <w:t xml:space="preserve">Then came the day of unleavened bread, when the Passover must be sacrificed.</w:t>
      </w:r>
    </w:p>
    <w:p>
      <w:r>
        <w:rPr>
          <w:b/>
        </w:rPr>
        <w:t xml:space="preserve">8 </w:t>
      </w:r>
      <w:r>
        <w:t xml:space="preserve">And he sent Peter and John, saying, Go and prepare us the Passover, that we may eat.</w:t>
      </w:r>
    </w:p>
    <w:p>
      <w:r>
        <w:rPr>
          <w:b/>
        </w:rPr>
        <w:t xml:space="preserve">9 </w:t>
      </w:r>
      <w:r>
        <w:t xml:space="preserve">And they said to him, Where do you want us to prepare?</w:t>
      </w:r>
    </w:p>
    <w:p>
      <w:r>
        <w:rPr>
          <w:b/>
        </w:rPr>
        <w:t xml:space="preserve">10 </w:t>
      </w:r>
      <w:r>
        <w:t xml:space="preserve">And he said to them, Look, when you have entered into the city, a man shall meet you, bearing a pitcher of water; follow him into the house where he enters.</w:t>
      </w:r>
    </w:p>
    <w:p>
      <w:r>
        <w:rPr>
          <w:b/>
        </w:rPr>
        <w:t xml:space="preserve">11 </w:t>
      </w:r>
      <w:r>
        <w:t xml:space="preserve">And you shall say to the householder, The Teacher says to you, Where is</w:t>
      </w:r>
      <w:r>
        <w:rPr>
          <w:rStyle w:val="FootnoteReference"/>
        </w:rPr>
        <w:footnoteReference w:id="15851"/>
      </w:r>
      <w:r>
        <w:t xml:space="preserve"> the guest room, where I shall eat the Passover with my disciples?</w:t>
      </w:r>
    </w:p>
    <w:p>
      <w:r>
        <w:rPr>
          <w:b/>
        </w:rPr>
        <w:t xml:space="preserve">12 </w:t>
      </w:r>
      <w:r>
        <w:t xml:space="preserve">And he shall show you a large</w:t>
      </w:r>
      <w:r>
        <w:rPr>
          <w:rStyle w:val="FootnoteReference"/>
        </w:rPr>
        <w:footnoteReference w:id="15852"/>
      </w:r>
      <w:r>
        <w:t xml:space="preserve"> upper room furnished: there prepare.</w:t>
      </w:r>
    </w:p>
    <w:p>
      <w:r>
        <w:rPr>
          <w:b/>
        </w:rPr>
        <w:t xml:space="preserve">13 </w:t>
      </w:r>
      <w:r>
        <w:t xml:space="preserve">And they went, and found as he had said to them: and they made ready the Passover.</w:t>
      </w:r>
    </w:p>
    <w:p>
      <w:r>
        <w:rPr>
          <w:b/>
        </w:rPr>
        <w:t xml:space="preserve">14 </w:t>
      </w:r>
      <w:r>
        <w:t xml:space="preserve">And when the hour had come, he sat down, and the twelve apostles with him.</w:t>
      </w:r>
    </w:p>
    <w:p>
      <w:r>
        <w:rPr>
          <w:b/>
        </w:rPr>
        <w:t xml:space="preserve">15 </w:t>
      </w:r>
      <w:r>
        <w:t xml:space="preserve">And he said to them, With desire I have desired</w:t>
      </w:r>
      <w:r>
        <w:rPr>
          <w:rStyle w:val="FootnoteReference"/>
        </w:rPr>
        <w:footnoteReference w:id="15853"/>
      </w:r>
      <w:r>
        <w:t xml:space="preserve"> to eat this Passover with you before I suffer:</w:t>
      </w:r>
    </w:p>
    <w:p>
      <w:r>
        <w:rPr>
          <w:b/>
        </w:rPr>
        <w:t xml:space="preserve">16 </w:t>
      </w:r>
      <w:r>
        <w:t xml:space="preserve">For I say to you, I will not</w:t>
      </w:r>
      <w:r>
        <w:rPr>
          <w:rStyle w:val="FootnoteReference"/>
        </w:rPr>
        <w:footnoteReference w:id="15854"/>
      </w:r>
      <w:r>
        <w:t xml:space="preserve"> eat of it anymore, until it is fulfilled in the kingdom of God.</w:t>
      </w:r>
    </w:p>
    <w:p>
      <w:r>
        <w:rPr>
          <w:b/>
        </w:rPr>
        <w:t xml:space="preserve">17 </w:t>
      </w:r>
      <w:r>
        <w:t xml:space="preserve">And he took</w:t>
      </w:r>
      <w:r>
        <w:rPr>
          <w:rStyle w:val="FootnoteReference"/>
        </w:rPr>
        <w:footnoteReference w:id="15855"/>
      </w:r>
      <w:r>
        <w:t xml:space="preserve"> the cup, and gave thanks, and said, Take this, and divide it among yourselves:</w:t>
      </w:r>
    </w:p>
    <w:p>
      <w:r>
        <w:rPr>
          <w:b/>
        </w:rPr>
        <w:t xml:space="preserve">18 </w:t>
      </w:r>
      <w:r>
        <w:t xml:space="preserve">For I say to you, I will not</w:t>
      </w:r>
      <w:r>
        <w:rPr>
          <w:rStyle w:val="FootnoteReference"/>
        </w:rPr>
        <w:footnoteReference w:id="15856"/>
      </w:r>
      <w:r>
        <w:t xml:space="preserve"> drink of the fruit of the vine, until the kingdom of God shall come.</w:t>
      </w:r>
    </w:p>
    <w:p>
      <w:r>
        <w:rPr>
          <w:b/>
        </w:rPr>
        <w:t xml:space="preserve">19 </w:t>
      </w:r>
      <w:r>
        <w:t xml:space="preserve">And he took</w:t>
      </w:r>
      <w:r>
        <w:rPr>
          <w:rStyle w:val="FootnoteReference"/>
        </w:rPr>
        <w:footnoteReference w:id="15857"/>
      </w:r>
      <w:r>
        <w:t xml:space="preserve"> bread, and gave thanks, and broke it, and gave to them, saying, This is my body which is given for you: this do in remembrance of me.</w:t>
      </w:r>
    </w:p>
    <w:p>
      <w:r>
        <w:rPr>
          <w:b/>
        </w:rPr>
        <w:t xml:space="preserve">20 </w:t>
      </w:r>
      <w:r>
        <w:t xml:space="preserve">Likewise also the cup after supper, saying, This cup is the new covenant in my blood, which is shed for you.</w:t>
      </w:r>
    </w:p>
    <w:p>
      <w:r>
        <w:rPr>
          <w:b/>
        </w:rPr>
        <w:t xml:space="preserve">21 </w:t>
      </w:r>
      <w:r>
        <w:t xml:space="preserve">But, look, the hand of him who betrays me is with me on the table.</w:t>
      </w:r>
    </w:p>
    <w:p>
      <w:r>
        <w:rPr>
          <w:b/>
        </w:rPr>
        <w:t xml:space="preserve">22 </w:t>
      </w:r>
      <w:r>
        <w:t xml:space="preserve">And truly</w:t>
      </w:r>
      <w:r>
        <w:rPr>
          <w:rStyle w:val="FootnoteReference"/>
        </w:rPr>
        <w:footnoteReference w:id="15858"/>
      </w:r>
      <w:r>
        <w:t xml:space="preserve"> the Son of man goes, as it was determined: but woe to that man by whom he is betrayed!</w:t>
      </w:r>
    </w:p>
    <w:p>
      <w:r>
        <w:rPr>
          <w:b/>
        </w:rPr>
        <w:t xml:space="preserve">23 </w:t>
      </w:r>
      <w:r>
        <w:t xml:space="preserve">And they began to inquire among themselves, which of them it was that should do this thing.</w:t>
      </w:r>
    </w:p>
    <w:p>
      <w:r>
        <w:rPr>
          <w:b/>
        </w:rPr>
        <w:t xml:space="preserve">24 </w:t>
      </w:r>
      <w:r>
        <w:t xml:space="preserve">And there was also strife among them, which of them should be accounted the greatest.</w:t>
      </w:r>
    </w:p>
    <w:p>
      <w:r>
        <w:rPr>
          <w:b/>
        </w:rPr>
        <w:t xml:space="preserve">25 </w:t>
      </w:r>
      <w:r>
        <w:t xml:space="preserve">And he said to them, The kings of the nations exercise lordship over them; and those who exercise authority upon them are called benefactors.</w:t>
      </w:r>
    </w:p>
    <w:p>
      <w:r>
        <w:rPr>
          <w:b/>
        </w:rPr>
        <w:t xml:space="preserve">26 </w:t>
      </w:r>
      <w:r>
        <w:t xml:space="preserve">But you shall not be so: but the one who is greatest among you, let him be as the younger; and the one who leads, as the one who serves.</w:t>
      </w:r>
    </w:p>
    <w:p>
      <w:r>
        <w:rPr>
          <w:b/>
        </w:rPr>
        <w:t xml:space="preserve">27 </w:t>
      </w:r>
      <w:r>
        <w:t xml:space="preserve">For whether is greater, the one who sits at table, or the one who serves? is not the one who sits at table? but I am among you as the one who serves.</w:t>
      </w:r>
    </w:p>
    <w:p>
      <w:r>
        <w:rPr>
          <w:b/>
        </w:rPr>
        <w:t xml:space="preserve">28 </w:t>
      </w:r>
      <w:r>
        <w:t xml:space="preserve">You are those who have continued with me in my trials.</w:t>
      </w:r>
    </w:p>
    <w:p>
      <w:r>
        <w:rPr>
          <w:b/>
        </w:rPr>
        <w:t xml:space="preserve">29 </w:t>
      </w:r>
      <w:r>
        <w:t xml:space="preserve">And I appoint to you a kingdom, as my Father has appointed to me;</w:t>
      </w:r>
    </w:p>
    <w:p>
      <w:r>
        <w:rPr>
          <w:b/>
        </w:rPr>
        <w:t xml:space="preserve">30 </w:t>
      </w:r>
      <w:r>
        <w:t xml:space="preserve">That you may eat and drink at my table in my kingdom, and sit</w:t>
      </w:r>
      <w:r>
        <w:rPr>
          <w:rStyle w:val="FootnoteReference"/>
        </w:rPr>
        <w:footnoteReference w:id="15859"/>
      </w:r>
      <w:r>
        <w:t xml:space="preserve"> on thrones judging the twelve tribes of Israel.</w:t>
      </w:r>
    </w:p>
    <w:p>
      <w:r>
        <w:rPr>
          <w:b/>
        </w:rPr>
        <w:t xml:space="preserve">31 </w:t>
      </w:r>
      <w:r>
        <w:t xml:space="preserve">And the Lord said, Simon</w:t>
      </w:r>
      <w:r>
        <w:rPr>
          <w:rStyle w:val="FootnoteReference"/>
        </w:rPr>
        <w:footnoteReference w:id="15860"/>
      </w:r>
      <w:r>
        <w:t xml:space="preserve">, Simon, look, Satan has desired to have you, that he may sift you as wheat:</w:t>
      </w:r>
    </w:p>
    <w:p>
      <w:r>
        <w:rPr>
          <w:b/>
        </w:rPr>
        <w:t xml:space="preserve">32 </w:t>
      </w:r>
      <w:r>
        <w:t xml:space="preserve">But I have prayed for you, that your faith not fail: and when</w:t>
      </w:r>
      <w:r>
        <w:rPr>
          <w:rStyle w:val="FootnoteReference"/>
        </w:rPr>
        <w:footnoteReference w:id="15861"/>
      </w:r>
      <w:r>
        <w:t xml:space="preserve"> you have returned, strengthen your brothers.</w:t>
      </w:r>
    </w:p>
    <w:p>
      <w:r>
        <w:rPr>
          <w:b/>
        </w:rPr>
        <w:t xml:space="preserve">33 </w:t>
      </w:r>
      <w:r>
        <w:t xml:space="preserve">And he said to him, Lord, I am ready to go with you, both into prison, and to death.</w:t>
      </w:r>
    </w:p>
    <w:p>
      <w:r>
        <w:rPr>
          <w:b/>
        </w:rPr>
        <w:t xml:space="preserve">34 </w:t>
      </w:r>
      <w:r>
        <w:t xml:space="preserve">And he said, I tell you, Peter, the rooster shall not crow this day, before you deny three times that you know me.</w:t>
      </w:r>
    </w:p>
    <w:p>
      <w:r>
        <w:rPr>
          <w:b/>
        </w:rPr>
        <w:t xml:space="preserve">35 </w:t>
      </w:r>
      <w:r>
        <w:t xml:space="preserve">And he said to them, When I sent you without purse, and pouch, and shoes, did you lack anything? And they said, Nothing.</w:t>
      </w:r>
    </w:p>
    <w:p>
      <w:r>
        <w:rPr>
          <w:b/>
        </w:rPr>
        <w:t xml:space="preserve">36 </w:t>
      </w:r>
      <w:r>
        <w:t xml:space="preserve">Then said he to them, But now, the one who has a purse, let him take it, and likewise his pouch: and the one who has no sword, let him sell his clothing, and buy one.</w:t>
      </w:r>
    </w:p>
    <w:p>
      <w:r>
        <w:rPr>
          <w:b/>
        </w:rPr>
        <w:t xml:space="preserve">37 </w:t>
      </w:r>
      <w:r>
        <w:t xml:space="preserve">For I say to you, that this that is written must yet be accomplished in me, And he was reckoned among the transgressors: for the things concerning me have an end.</w:t>
      </w:r>
    </w:p>
    <w:p>
      <w:r>
        <w:rPr>
          <w:b/>
        </w:rPr>
        <w:t xml:space="preserve">38 </w:t>
      </w:r>
      <w:r>
        <w:t xml:space="preserve">And they said, Lord, look, here are two swords. And he said to them, It is enough.</w:t>
      </w:r>
    </w:p>
    <w:p>
      <w:r>
        <w:rPr>
          <w:b/>
        </w:rPr>
        <w:t xml:space="preserve">39 </w:t>
      </w:r>
      <w:r>
        <w:t xml:space="preserve">And he came</w:t>
      </w:r>
      <w:r>
        <w:rPr>
          <w:rStyle w:val="FootnoteReference"/>
        </w:rPr>
        <w:footnoteReference w:id="15862"/>
      </w:r>
      <w:r>
        <w:t xml:space="preserve"> out, and went, as was his custom, to the mount of Olives; and his disciples also followed him.</w:t>
      </w:r>
    </w:p>
    <w:p>
      <w:r>
        <w:rPr>
          <w:b/>
        </w:rPr>
        <w:t xml:space="preserve">40 </w:t>
      </w:r>
      <w:r>
        <w:t xml:space="preserve">And when he was at the place, he said to them, Pray</w:t>
      </w:r>
      <w:r>
        <w:rPr>
          <w:rStyle w:val="FootnoteReference"/>
        </w:rPr>
        <w:footnoteReference w:id="15863"/>
      </w:r>
      <w:r>
        <w:t xml:space="preserve"> that you not enter into temptation.</w:t>
      </w:r>
    </w:p>
    <w:p>
      <w:r>
        <w:rPr>
          <w:b/>
        </w:rPr>
        <w:t xml:space="preserve">41 </w:t>
      </w:r>
      <w:r>
        <w:t xml:space="preserve">And he withdrew from them about a stone's cast, and knelt down, and prayed,</w:t>
      </w:r>
    </w:p>
    <w:p>
      <w:r>
        <w:rPr>
          <w:b/>
        </w:rPr>
        <w:t xml:space="preserve">42 </w:t>
      </w:r>
      <w:r>
        <w:t xml:space="preserve">Saying, Father</w:t>
      </w:r>
      <w:r>
        <w:rPr>
          <w:rStyle w:val="FootnoteReference"/>
        </w:rPr>
        <w:footnoteReference w:id="15864"/>
      </w:r>
      <w:r>
        <w:t xml:space="preserve">, if you are willing, remove this cup from me: nevertheless not my will, but yours, be done.</w:t>
      </w:r>
    </w:p>
    <w:p>
      <w:r>
        <w:rPr>
          <w:b/>
        </w:rPr>
        <w:t xml:space="preserve">43 </w:t>
      </w:r>
      <w:r>
        <w:t xml:space="preserve">And there appeared an angel to him from heaven, strengthening</w:t>
      </w:r>
      <w:r>
        <w:rPr>
          <w:rStyle w:val="FootnoteReference"/>
        </w:rPr>
        <w:footnoteReference w:id="15865"/>
      </w:r>
      <w:r>
        <w:t xml:space="preserve"> him.</w:t>
      </w:r>
    </w:p>
    <w:p>
      <w:r>
        <w:rPr>
          <w:b/>
        </w:rPr>
        <w:t xml:space="preserve">44 </w:t>
      </w:r>
      <w:r>
        <w:t xml:space="preserve">And being in an agony he prayed more earnestly: and his sweat was as it were great drops of blood falling down to the ground.</w:t>
      </w:r>
    </w:p>
    <w:p>
      <w:r>
        <w:rPr>
          <w:b/>
        </w:rPr>
        <w:t xml:space="preserve">45 </w:t>
      </w:r>
      <w:r>
        <w:t xml:space="preserve">And when he rose up from prayer, and had come to his disciples, he found them sleeping</w:t>
      </w:r>
      <w:r>
        <w:rPr>
          <w:rStyle w:val="FootnoteReference"/>
        </w:rPr>
        <w:footnoteReference w:id="15866"/>
      </w:r>
      <w:r>
        <w:t xml:space="preserve"> for sorrow,</w:t>
      </w:r>
    </w:p>
    <w:p>
      <w:r>
        <w:rPr>
          <w:b/>
        </w:rPr>
        <w:t xml:space="preserve">46 </w:t>
      </w:r>
      <w:r>
        <w:t xml:space="preserve">And said to them, Why do you sleep? rise and pray, lest you enter into temptation.</w:t>
      </w:r>
    </w:p>
    <w:p>
      <w:r>
        <w:rPr>
          <w:b/>
        </w:rPr>
        <w:t xml:space="preserve">47 </w:t>
      </w:r>
      <w:r>
        <w:t xml:space="preserve">And while he was still speaking, look, a crowd, and the one who was called Judas</w:t>
      </w:r>
      <w:r>
        <w:rPr>
          <w:rStyle w:val="FootnoteReference"/>
        </w:rPr>
        <w:footnoteReference w:id="15867"/>
      </w:r>
      <w:r>
        <w:t xml:space="preserve">, one of the twelve, went before them, and drew near to Jesus to kiss him.</w:t>
      </w:r>
    </w:p>
    <w:p>
      <w:r>
        <w:rPr>
          <w:b/>
        </w:rPr>
        <w:t xml:space="preserve">48 </w:t>
      </w:r>
      <w:r>
        <w:t xml:space="preserve">But Jesus said to him, Judas, do you betray the Son of man with a kiss?</w:t>
      </w:r>
    </w:p>
    <w:p>
      <w:r>
        <w:rPr>
          <w:b/>
        </w:rPr>
        <w:t xml:space="preserve">49 </w:t>
      </w:r>
      <w:r>
        <w:t xml:space="preserve">When those who were about him saw what would follow, they said to him, Lord, shall we strike with the sword?</w:t>
      </w:r>
    </w:p>
    <w:p>
      <w:r>
        <w:rPr>
          <w:b/>
        </w:rPr>
        <w:t xml:space="preserve">50 </w:t>
      </w:r>
      <w:r>
        <w:t xml:space="preserve">And one of them stroke the slave of the high priest, and cut off his right ear.</w:t>
      </w:r>
    </w:p>
    <w:p>
      <w:r>
        <w:rPr>
          <w:b/>
        </w:rPr>
        <w:t xml:space="preserve">51 </w:t>
      </w:r>
      <w:r>
        <w:t xml:space="preserve">And Jesus answered and said, Allow even this. And he touched his ear, and healed him.</w:t>
      </w:r>
    </w:p>
    <w:p>
      <w:r>
        <w:rPr>
          <w:b/>
        </w:rPr>
        <w:t xml:space="preserve">52 </w:t>
      </w:r>
      <w:r>
        <w:t xml:space="preserve">Then Jesus</w:t>
      </w:r>
      <w:r>
        <w:rPr>
          <w:rStyle w:val="FootnoteReference"/>
        </w:rPr>
        <w:footnoteReference w:id="15868"/>
      </w:r>
      <w:r>
        <w:t xml:space="preserve"> said to the chief priests, and captains of the temple, and the elders, who had come to him, Have you come out, as against a thief, with swords and staffs?</w:t>
      </w:r>
    </w:p>
    <w:p>
      <w:r>
        <w:rPr>
          <w:b/>
        </w:rPr>
        <w:t xml:space="preserve">53 </w:t>
      </w:r>
      <w:r>
        <w:t xml:space="preserve">When I was</w:t>
      </w:r>
      <w:r>
        <w:rPr>
          <w:rStyle w:val="FootnoteReference"/>
        </w:rPr>
        <w:footnoteReference w:id="15869"/>
      </w:r>
      <w:r>
        <w:t xml:space="preserve"> daily with you in the temple, you stretched out no hands against me: but this is your hour, and the power of darkness.</w:t>
      </w:r>
    </w:p>
    <w:p>
      <w:r>
        <w:rPr>
          <w:b/>
        </w:rPr>
        <w:t xml:space="preserve">54 </w:t>
      </w:r>
      <w:r>
        <w:t xml:space="preserve">Then they took</w:t>
      </w:r>
      <w:r>
        <w:rPr>
          <w:rStyle w:val="FootnoteReference"/>
        </w:rPr>
        <w:footnoteReference w:id="15870"/>
      </w:r>
      <w:r>
        <w:t xml:space="preserve"> him, and led him, and brought him into the high priest's house. And Peter followed far off.</w:t>
      </w:r>
    </w:p>
    <w:p>
      <w:r>
        <w:rPr>
          <w:b/>
        </w:rPr>
        <w:t xml:space="preserve">55 </w:t>
      </w:r>
      <w:r>
        <w:t xml:space="preserve">And when they had kindled a fire in the midst of the courtyard, and sat down together, Peter</w:t>
      </w:r>
      <w:r>
        <w:rPr>
          <w:rStyle w:val="FootnoteReference"/>
        </w:rPr>
        <w:footnoteReference w:id="15871"/>
      </w:r>
      <w:r>
        <w:t xml:space="preserve"> sat down among them.</w:t>
      </w:r>
    </w:p>
    <w:p>
      <w:r>
        <w:rPr>
          <w:b/>
        </w:rPr>
        <w:t xml:space="preserve">56 </w:t>
      </w:r>
      <w:r>
        <w:t xml:space="preserve">But a certain girl beheld him as he sat by the fire, and earnestly looked upon him, and said, This man was also with him.</w:t>
      </w:r>
    </w:p>
    <w:p>
      <w:r>
        <w:rPr>
          <w:b/>
        </w:rPr>
        <w:t xml:space="preserve">57 </w:t>
      </w:r>
      <w:r>
        <w:t xml:space="preserve">And he denied</w:t>
      </w:r>
      <w:r>
        <w:rPr>
          <w:rStyle w:val="FootnoteReference"/>
        </w:rPr>
        <w:footnoteReference w:id="15872"/>
      </w:r>
      <w:r>
        <w:t xml:space="preserve"> him, saying, Woman, I do not know him.</w:t>
      </w:r>
    </w:p>
    <w:p>
      <w:r>
        <w:rPr>
          <w:b/>
        </w:rPr>
        <w:t xml:space="preserve">58 </w:t>
      </w:r>
      <w:r>
        <w:t xml:space="preserve">And after a little while another</w:t>
      </w:r>
      <w:r>
        <w:rPr>
          <w:rStyle w:val="FootnoteReference"/>
        </w:rPr>
        <w:footnoteReference w:id="15873"/>
      </w:r>
      <w:r>
        <w:t xml:space="preserve"> saw him, and said, You are also of them. And Peter said, Man, I am not.</w:t>
      </w:r>
    </w:p>
    <w:p>
      <w:r>
        <w:rPr>
          <w:b/>
        </w:rPr>
        <w:t xml:space="preserve">59 </w:t>
      </w:r>
      <w:r>
        <w:t xml:space="preserve">And about one hour later another confidently</w:t>
      </w:r>
      <w:r>
        <w:rPr>
          <w:rStyle w:val="FootnoteReference"/>
        </w:rPr>
        <w:footnoteReference w:id="15874"/>
      </w:r>
      <w:r>
        <w:t xml:space="preserve"> affirmed, saying, Truthfully this fellow also was with him: for he is a Galilean.</w:t>
      </w:r>
    </w:p>
    <w:p>
      <w:r>
        <w:rPr>
          <w:b/>
        </w:rPr>
        <w:t xml:space="preserve">60 </w:t>
      </w:r>
      <w:r>
        <w:t xml:space="preserve">And Peter said, Man, I do not know what you are saying. And immediately, while he was still speaking, the rooster crowed.</w:t>
      </w:r>
    </w:p>
    <w:p>
      <w:r>
        <w:rPr>
          <w:b/>
        </w:rPr>
        <w:t xml:space="preserve">61 </w:t>
      </w:r>
      <w:r>
        <w:t xml:space="preserve">And the Lord turned</w:t>
      </w:r>
      <w:r>
        <w:rPr>
          <w:rStyle w:val="FootnoteReference"/>
        </w:rPr>
        <w:footnoteReference w:id="15875"/>
      </w:r>
      <w:r>
        <w:t xml:space="preserve">, and looked upon Peter. And Peter remembered the word of the Lord, how he had said to him, Before the rooster crows, you shall deny me three times.</w:t>
      </w:r>
    </w:p>
    <w:p>
      <w:r>
        <w:rPr>
          <w:b/>
        </w:rPr>
        <w:t xml:space="preserve">62 </w:t>
      </w:r>
      <w:r>
        <w:t xml:space="preserve">And Peter went out, and wept</w:t>
      </w:r>
      <w:r>
        <w:rPr>
          <w:rStyle w:val="FootnoteReference"/>
        </w:rPr>
        <w:footnoteReference w:id="15876"/>
      </w:r>
      <w:r>
        <w:t xml:space="preserve"> bitterly.</w:t>
      </w:r>
    </w:p>
    <w:p>
      <w:r>
        <w:rPr>
          <w:b/>
        </w:rPr>
        <w:t xml:space="preserve">63 </w:t>
      </w:r>
      <w:r>
        <w:t xml:space="preserve">And the men</w:t>
      </w:r>
      <w:r>
        <w:rPr>
          <w:rStyle w:val="FootnoteReference"/>
        </w:rPr>
        <w:footnoteReference w:id="15877"/>
      </w:r>
      <w:r>
        <w:t xml:space="preserve"> that held Jesus mocked him, and beat him.</w:t>
      </w:r>
    </w:p>
    <w:p>
      <w:r>
        <w:rPr>
          <w:b/>
        </w:rPr>
        <w:t xml:space="preserve">64 </w:t>
      </w:r>
      <w:r>
        <w:t xml:space="preserve">And when they had blindfolded</w:t>
      </w:r>
      <w:r>
        <w:rPr>
          <w:rStyle w:val="FootnoteReference"/>
        </w:rPr>
        <w:footnoteReference w:id="15878"/>
      </w:r>
      <w:r>
        <w:t xml:space="preserve"> him, they struck him on the face, and asked him, saying, Prophesy, who is it that struck you?</w:t>
      </w:r>
    </w:p>
    <w:p>
      <w:r>
        <w:rPr>
          <w:b/>
        </w:rPr>
        <w:t xml:space="preserve">65 </w:t>
      </w:r>
      <w:r>
        <w:t xml:space="preserve">And they spoke many other things blasphemously</w:t>
      </w:r>
      <w:r>
        <w:rPr>
          <w:rStyle w:val="FootnoteReference"/>
        </w:rPr>
        <w:footnoteReference w:id="15879"/>
      </w:r>
      <w:r>
        <w:t xml:space="preserve"> against him.</w:t>
      </w:r>
    </w:p>
    <w:p>
      <w:r>
        <w:rPr>
          <w:b/>
        </w:rPr>
        <w:t xml:space="preserve">66 </w:t>
      </w:r>
      <w:r>
        <w:t xml:space="preserve">And as soon</w:t>
      </w:r>
      <w:r>
        <w:rPr>
          <w:rStyle w:val="FootnoteReference"/>
        </w:rPr>
        <w:footnoteReference w:id="15880"/>
      </w:r>
      <w:r>
        <w:t xml:space="preserve"> as it was day, the elders of the people and the chief priests and the scribes came together, and led him into their council, saying,</w:t>
      </w:r>
    </w:p>
    <w:p>
      <w:r>
        <w:rPr>
          <w:b/>
        </w:rPr>
        <w:t xml:space="preserve">67 </w:t>
      </w:r>
      <w:r>
        <w:t xml:space="preserve">Are you the Christ? Tell us. And he said to them, If I tell you, you will not believe:</w:t>
      </w:r>
    </w:p>
    <w:p>
      <w:r>
        <w:rPr>
          <w:b/>
        </w:rPr>
        <w:t xml:space="preserve">68 </w:t>
      </w:r>
      <w:r>
        <w:t xml:space="preserve">And if I also ask you, you will not answer me, nor let me go.</w:t>
      </w:r>
    </w:p>
    <w:p>
      <w:r>
        <w:rPr>
          <w:b/>
        </w:rPr>
        <w:t xml:space="preserve">69 </w:t>
      </w:r>
      <w:r>
        <w:t xml:space="preserve">From now on the Son of man shall sit at the right hand of the power of God.</w:t>
      </w:r>
    </w:p>
    <w:p>
      <w:r>
        <w:rPr>
          <w:b/>
        </w:rPr>
        <w:t xml:space="preserve">70 </w:t>
      </w:r>
      <w:r>
        <w:t xml:space="preserve">Then they all said, Are you then the Son</w:t>
      </w:r>
      <w:r>
        <w:rPr>
          <w:rStyle w:val="FootnoteReference"/>
        </w:rPr>
        <w:footnoteReference w:id="15881"/>
      </w:r>
      <w:r>
        <w:t xml:space="preserve"> of God? And he said to them, You say that I am.</w:t>
      </w:r>
    </w:p>
    <w:p>
      <w:r>
        <w:rPr>
          <w:b/>
        </w:rPr>
        <w:t xml:space="preserve">71 </w:t>
      </w:r>
      <w:r>
        <w:t xml:space="preserve">And they said, What further need do we have of witness? for we ourselves have heard from his own mouth.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the whole multitude of them arose, and led him to Pilate.</w:t>
      </w:r>
    </w:p>
    <w:p>
      <w:r>
        <w:rPr>
          <w:b/>
        </w:rPr>
        <w:t xml:space="preserve">2 </w:t>
      </w:r>
      <w:r>
        <w:t xml:space="preserve">And they began to accuse him, saying, We found this man perverting</w:t>
      </w:r>
      <w:r>
        <w:rPr>
          <w:rStyle w:val="FootnoteReference"/>
        </w:rPr>
        <w:footnoteReference w:id="15882"/>
      </w:r>
      <w:r>
        <w:t xml:space="preserve"> the nation, and forbidding to give tribute to Caesar, saying that he himself is Christ, a King.</w:t>
      </w:r>
    </w:p>
    <w:p>
      <w:r>
        <w:rPr>
          <w:b/>
        </w:rPr>
        <w:t xml:space="preserve">3 </w:t>
      </w:r>
      <w:r>
        <w:t xml:space="preserve">And Pilate</w:t>
      </w:r>
      <w:r>
        <w:rPr>
          <w:rStyle w:val="FootnoteReference"/>
        </w:rPr>
        <w:footnoteReference w:id="15883"/>
      </w:r>
      <w:r>
        <w:t xml:space="preserve"> asked him, saying, Are you the King of the Jews? And he answered him and said, You say it.</w:t>
      </w:r>
    </w:p>
    <w:p>
      <w:r>
        <w:rPr>
          <w:b/>
        </w:rPr>
        <w:t xml:space="preserve">4 </w:t>
      </w:r>
      <w:r>
        <w:t xml:space="preserve">Then Pilate said to the chief priests and to the people, I find</w:t>
      </w:r>
      <w:r>
        <w:rPr>
          <w:rStyle w:val="FootnoteReference"/>
        </w:rPr>
        <w:footnoteReference w:id="15884"/>
      </w:r>
      <w:r>
        <w:t xml:space="preserve"> no fault in this man.</w:t>
      </w:r>
    </w:p>
    <w:p>
      <w:r>
        <w:rPr>
          <w:b/>
        </w:rPr>
        <w:t xml:space="preserve">5 </w:t>
      </w:r>
      <w:r>
        <w:t xml:space="preserve">And they were the more urgent, saying, He stirs up the people, teaching throughout all Judea, beginning</w:t>
      </w:r>
      <w:r>
        <w:rPr>
          <w:rStyle w:val="FootnoteReference"/>
        </w:rPr>
        <w:footnoteReference w:id="15885"/>
      </w:r>
      <w:r>
        <w:t xml:space="preserve"> from Galilee to this place.</w:t>
      </w:r>
    </w:p>
    <w:p>
      <w:r>
        <w:rPr>
          <w:b/>
        </w:rPr>
        <w:t xml:space="preserve">6 </w:t>
      </w:r>
      <w:r>
        <w:t xml:space="preserve">When Pilate heard of Galilee, he asked whether the man was a Galilean.</w:t>
      </w:r>
    </w:p>
    <w:p>
      <w:r>
        <w:rPr>
          <w:b/>
        </w:rPr>
        <w:t xml:space="preserve">7 </w:t>
      </w:r>
      <w:r>
        <w:t xml:space="preserve">And as soon as he knew that he belonged to Herod's</w:t>
      </w:r>
      <w:r>
        <w:rPr>
          <w:rStyle w:val="FootnoteReference"/>
        </w:rPr>
        <w:footnoteReference w:id="15886"/>
      </w:r>
      <w:r>
        <w:t xml:space="preserve"> jurisdiction, he sent him to Herod, who himself also was at Jerusalem at that time.</w:t>
      </w:r>
    </w:p>
    <w:p>
      <w:r>
        <w:rPr>
          <w:b/>
        </w:rPr>
        <w:t xml:space="preserve">8 </w:t>
      </w:r>
      <w:r>
        <w:t xml:space="preserve">And when Herod saw Jesus, he was exceedingly glad: for he had desired to see him for a long time, because he had heard many things of him; and he hoped to see some sign done by him.</w:t>
      </w:r>
    </w:p>
    <w:p>
      <w:r>
        <w:rPr>
          <w:b/>
        </w:rPr>
        <w:t xml:space="preserve">9 </w:t>
      </w:r>
      <w:r>
        <w:t xml:space="preserve">Then he questioned him with many words; but he answered him nothing.</w:t>
      </w:r>
    </w:p>
    <w:p>
      <w:r>
        <w:rPr>
          <w:b/>
        </w:rPr>
        <w:t xml:space="preserve">10 </w:t>
      </w:r>
      <w:r>
        <w:t xml:space="preserve">And the chief priests and scribes stood and vehemently</w:t>
      </w:r>
      <w:r>
        <w:rPr>
          <w:rStyle w:val="FootnoteReference"/>
        </w:rPr>
        <w:footnoteReference w:id="15887"/>
      </w:r>
      <w:r>
        <w:t xml:space="preserve"> accused him.</w:t>
      </w:r>
    </w:p>
    <w:p>
      <w:r>
        <w:rPr>
          <w:b/>
        </w:rPr>
        <w:t xml:space="preserve">11 </w:t>
      </w:r>
      <w:r>
        <w:t xml:space="preserve">And Herod</w:t>
      </w:r>
      <w:r>
        <w:rPr>
          <w:rStyle w:val="FootnoteReference"/>
        </w:rPr>
        <w:footnoteReference w:id="15888"/>
      </w:r>
      <w:r>
        <w:t xml:space="preserve"> with his soldiers treated him with contempt, and mocked him, and arrayed him in a splendid robe, and sent him again to Pilate.</w:t>
      </w:r>
    </w:p>
    <w:p>
      <w:r>
        <w:rPr>
          <w:b/>
        </w:rPr>
        <w:t xml:space="preserve">12 </w:t>
      </w:r>
      <w:r>
        <w:t xml:space="preserve">And the same day Pilate and Herod became friends with each other: for before they were at enmity between themselves.</w:t>
      </w:r>
    </w:p>
    <w:p>
      <w:r>
        <w:rPr>
          <w:b/>
        </w:rPr>
        <w:t xml:space="preserve">13 </w:t>
      </w:r>
      <w:r>
        <w:t xml:space="preserve">And Pilate, when he had called together the chief priests and the rulers and the people,</w:t>
      </w:r>
    </w:p>
    <w:p>
      <w:r>
        <w:rPr>
          <w:b/>
        </w:rPr>
        <w:t xml:space="preserve">14 </w:t>
      </w:r>
      <w:r>
        <w:t xml:space="preserve">Said to them, You have brought this man to me, as one</w:t>
      </w:r>
      <w:r>
        <w:rPr>
          <w:rStyle w:val="FootnoteReference"/>
        </w:rPr>
        <w:footnoteReference w:id="15889"/>
      </w:r>
      <w:r>
        <w:t xml:space="preserve"> that perverts the people: and, look, I, having examined him before you, have found no fault in this man concerning those things of which you accuse him:</w:t>
      </w:r>
    </w:p>
    <w:p>
      <w:r>
        <w:rPr>
          <w:b/>
        </w:rPr>
        <w:t xml:space="preserve">15 </w:t>
      </w:r>
      <w:r>
        <w:t xml:space="preserve">No, nor yet Herod: for I sent you to him; and, look, nothing</w:t>
      </w:r>
      <w:r>
        <w:rPr>
          <w:rStyle w:val="FootnoteReference"/>
        </w:rPr>
        <w:footnoteReference w:id="15890"/>
      </w:r>
      <w:r>
        <w:t xml:space="preserve"> worthy of death has been done by him.</w:t>
      </w:r>
    </w:p>
    <w:p>
      <w:r>
        <w:rPr>
          <w:b/>
        </w:rPr>
        <w:t xml:space="preserve">16 </w:t>
      </w:r>
      <w:r>
        <w:t xml:space="preserve">I will therefore punish him, and release him.</w:t>
      </w:r>
    </w:p>
    <w:p>
      <w:r>
        <w:rPr>
          <w:b/>
        </w:rPr>
        <w:t xml:space="preserve">17 </w:t>
      </w:r>
      <w:r>
        <w:t xml:space="preserve">(For of necessity he must release one to them at the feast.)</w:t>
      </w:r>
    </w:p>
    <w:p>
      <w:r>
        <w:rPr>
          <w:b/>
        </w:rPr>
        <w:t xml:space="preserve">18 </w:t>
      </w:r>
      <w:r>
        <w:t xml:space="preserve">And they cried out all at once, saying, Away</w:t>
      </w:r>
      <w:r>
        <w:rPr>
          <w:rStyle w:val="FootnoteReference"/>
        </w:rPr>
        <w:footnoteReference w:id="15891"/>
      </w:r>
      <w:r>
        <w:t xml:space="preserve"> with this man, and release to us Barabbas:</w:t>
      </w:r>
    </w:p>
    <w:p>
      <w:r>
        <w:rPr>
          <w:b/>
        </w:rPr>
        <w:t xml:space="preserve">19 </w:t>
      </w:r>
      <w:r>
        <w:t xml:space="preserve">(Who for a certain insurrection made in the city, and for murder, was cast into prison.)</w:t>
      </w:r>
    </w:p>
    <w:p>
      <w:r>
        <w:rPr>
          <w:b/>
        </w:rPr>
        <w:t xml:space="preserve">20 </w:t>
      </w:r>
      <w:r>
        <w:t xml:space="preserve">Pilate therefore, willing to release Jesus, spoke again to them.</w:t>
      </w:r>
    </w:p>
    <w:p>
      <w:r>
        <w:rPr>
          <w:b/>
        </w:rPr>
        <w:t xml:space="preserve">21 </w:t>
      </w:r>
      <w:r>
        <w:t xml:space="preserve">But they cried, saying, Crucify him, crucify him.</w:t>
      </w:r>
    </w:p>
    <w:p>
      <w:r>
        <w:rPr>
          <w:b/>
        </w:rPr>
        <w:t xml:space="preserve">22 </w:t>
      </w:r>
      <w:r>
        <w:t xml:space="preserve">And he said to them the third time, Why, what evil has he done? I have found no cause of death in him: I will therefore punish him, and let him go.</w:t>
      </w:r>
    </w:p>
    <w:p>
      <w:r>
        <w:rPr>
          <w:b/>
        </w:rPr>
        <w:t xml:space="preserve">23 </w:t>
      </w:r>
      <w:r>
        <w:t xml:space="preserve">And they were insistent with loud voices, demanding that he might be crucified. And their voices and those of the chief priests prevailed.</w:t>
      </w:r>
    </w:p>
    <w:p>
      <w:r>
        <w:rPr>
          <w:b/>
        </w:rPr>
        <w:t xml:space="preserve">24 </w:t>
      </w:r>
      <w:r>
        <w:t xml:space="preserve">And Pilate</w:t>
      </w:r>
      <w:r>
        <w:rPr>
          <w:rStyle w:val="FootnoteReference"/>
        </w:rPr>
        <w:footnoteReference w:id="15892"/>
      </w:r>
      <w:r>
        <w:t xml:space="preserve"> gave sentence that it should be as they required.</w:t>
      </w:r>
    </w:p>
    <w:p>
      <w:r>
        <w:rPr>
          <w:b/>
        </w:rPr>
        <w:t xml:space="preserve">25 </w:t>
      </w:r>
      <w:r>
        <w:t xml:space="preserve">And he released to them him who for sedition and murder was cast into prison, whom they had desired; but he delivered Jesus to their will.</w:t>
      </w:r>
    </w:p>
    <w:p>
      <w:r>
        <w:rPr>
          <w:b/>
        </w:rPr>
        <w:t xml:space="preserve">26 </w:t>
      </w:r>
      <w:r>
        <w:t xml:space="preserve">And as they led him away, they seized one Simon, a Cyrenian, coming out of the country, and on him they laid</w:t>
      </w:r>
      <w:r>
        <w:rPr>
          <w:rStyle w:val="FootnoteReference"/>
        </w:rPr>
        <w:footnoteReference w:id="15893"/>
      </w:r>
      <w:r>
        <w:t xml:space="preserve"> the cross, that he might bear it behind Jesus.</w:t>
      </w:r>
    </w:p>
    <w:p>
      <w:r>
        <w:rPr>
          <w:b/>
        </w:rPr>
        <w:t xml:space="preserve">27 </w:t>
      </w:r>
      <w:r>
        <w:t xml:space="preserve">And there followed him a great multitude of people, and of</w:t>
      </w:r>
      <w:r>
        <w:rPr>
          <w:rStyle w:val="FootnoteReference"/>
        </w:rPr>
        <w:footnoteReference w:id="15894"/>
      </w:r>
      <w:r>
        <w:t xml:space="preserve"> women, who also mourned and lamented him.</w:t>
      </w:r>
    </w:p>
    <w:p>
      <w:r>
        <w:rPr>
          <w:b/>
        </w:rPr>
        <w:t xml:space="preserve">28 </w:t>
      </w:r>
      <w:r>
        <w:t xml:space="preserve">But Jesus turning to them said, Daughters of Jerusalem, do not weep for me, but weep for yourselves, and for your children.</w:t>
      </w:r>
    </w:p>
    <w:p>
      <w:r>
        <w:rPr>
          <w:b/>
        </w:rPr>
        <w:t xml:space="preserve">29 </w:t>
      </w:r>
      <w:r>
        <w:t xml:space="preserve">For, look, the days</w:t>
      </w:r>
      <w:r>
        <w:rPr>
          <w:rStyle w:val="FootnoteReference"/>
        </w:rPr>
        <w:footnoteReference w:id="15895"/>
      </w:r>
      <w:r>
        <w:t xml:space="preserve"> are coming, in which they shall say, Blessed are the barren, and the wombs that never bore, and the breasts which never nursed.</w:t>
      </w:r>
    </w:p>
    <w:p>
      <w:r>
        <w:rPr>
          <w:b/>
        </w:rPr>
        <w:t xml:space="preserve">30 </w:t>
      </w:r>
      <w:r>
        <w:t xml:space="preserve">Then shall they begin to say to the mountains, Fall on us; and to the hills, Cover us.</w:t>
      </w:r>
    </w:p>
    <w:p>
      <w:r>
        <w:rPr>
          <w:b/>
        </w:rPr>
        <w:t xml:space="preserve">31 </w:t>
      </w:r>
      <w:r>
        <w:t xml:space="preserve">For if they do these things in a green tree, what shall be done in the dry?</w:t>
      </w:r>
    </w:p>
    <w:p>
      <w:r>
        <w:rPr>
          <w:b/>
        </w:rPr>
        <w:t xml:space="preserve">32 </w:t>
      </w:r>
      <w:r>
        <w:t xml:space="preserve">And there were also two others, criminals, led with him to be put to death.</w:t>
      </w:r>
    </w:p>
    <w:p>
      <w:r>
        <w:rPr>
          <w:b/>
        </w:rPr>
        <w:t xml:space="preserve">33 </w:t>
      </w:r>
      <w:r>
        <w:t xml:space="preserve">And when they had come to the place, which is called Skull, there they crucified</w:t>
      </w:r>
      <w:r>
        <w:rPr>
          <w:rStyle w:val="FootnoteReference"/>
        </w:rPr>
        <w:footnoteReference w:id="15896"/>
      </w:r>
      <w:r>
        <w:t xml:space="preserve"> him, and the criminals, one on the right hand, and the other on the left.</w:t>
      </w:r>
    </w:p>
    <w:p>
      <w:r>
        <w:rPr>
          <w:b/>
        </w:rPr>
        <w:t xml:space="preserve">34 </w:t>
      </w:r>
      <w:r>
        <w:t xml:space="preserve">Then said Jesus, Father</w:t>
      </w:r>
      <w:r>
        <w:rPr>
          <w:rStyle w:val="FootnoteReference"/>
        </w:rPr>
        <w:footnoteReference w:id="15897"/>
      </w:r>
      <w:r>
        <w:t xml:space="preserve">, forgive them; for they do not know what they do. And they parted his clothing, and cast lots.</w:t>
      </w:r>
    </w:p>
    <w:p>
      <w:r>
        <w:rPr>
          <w:b/>
        </w:rPr>
        <w:t xml:space="preserve">35 </w:t>
      </w:r>
      <w:r>
        <w:t xml:space="preserve">And the people stood beholding. And the rulers also with them derided</w:t>
      </w:r>
      <w:r>
        <w:rPr>
          <w:rStyle w:val="FootnoteReference"/>
        </w:rPr>
        <w:footnoteReference w:id="15898"/>
      </w:r>
      <w:r>
        <w:t xml:space="preserve"> him, saying, He saved others; let him save himself, if he is Christ, the chosen of God.</w:t>
      </w:r>
    </w:p>
    <w:p>
      <w:r>
        <w:rPr>
          <w:b/>
        </w:rPr>
        <w:t xml:space="preserve">36 </w:t>
      </w:r>
      <w:r>
        <w:t xml:space="preserve">And the soldiers also mocked him, coming to him, and offering him sour wine,</w:t>
      </w:r>
    </w:p>
    <w:p>
      <w:r>
        <w:rPr>
          <w:b/>
        </w:rPr>
        <w:t xml:space="preserve">37 </w:t>
      </w:r>
      <w:r>
        <w:t xml:space="preserve">And saying, If you are the king of the Jews, save yourself.</w:t>
      </w:r>
    </w:p>
    <w:p>
      <w:r>
        <w:rPr>
          <w:b/>
        </w:rPr>
        <w:t xml:space="preserve">38 </w:t>
      </w:r>
      <w:r>
        <w:t xml:space="preserve">And a superscription also was written over him in letters of Greek, and Latin, and Hebrew</w:t>
      </w:r>
      <w:r>
        <w:rPr>
          <w:rStyle w:val="FootnoteReference"/>
        </w:rPr>
        <w:footnoteReference w:id="15899"/>
      </w:r>
      <w:r>
        <w:t xml:space="preserve">, THIS IS THE KING OF THE JEWS.</w:t>
      </w:r>
    </w:p>
    <w:p>
      <w:r>
        <w:rPr>
          <w:b/>
        </w:rPr>
        <w:t xml:space="preserve">39 </w:t>
      </w:r>
      <w:r>
        <w:t xml:space="preserve">And one of the criminals who were hanged reviled him, saying, If you are Christ, save yourself and us.</w:t>
      </w:r>
    </w:p>
    <w:p>
      <w:r>
        <w:rPr>
          <w:b/>
        </w:rPr>
        <w:t xml:space="preserve">40 </w:t>
      </w:r>
      <w:r>
        <w:t xml:space="preserve">But the other answering rebuked</w:t>
      </w:r>
      <w:r>
        <w:rPr>
          <w:rStyle w:val="FootnoteReference"/>
        </w:rPr>
        <w:footnoteReference w:id="15900"/>
      </w:r>
      <w:r>
        <w:t xml:space="preserve"> him, saying, Do you not fear God, seeing you are in the same condemnation?</w:t>
      </w:r>
    </w:p>
    <w:p>
      <w:r>
        <w:rPr>
          <w:b/>
        </w:rPr>
        <w:t xml:space="preserve">41 </w:t>
      </w:r>
      <w:r>
        <w:t xml:space="preserve">And we indeed</w:t>
      </w:r>
      <w:r>
        <w:rPr>
          <w:rStyle w:val="FootnoteReference"/>
        </w:rPr>
        <w:footnoteReference w:id="15901"/>
      </w:r>
      <w:r>
        <w:t xml:space="preserve"> justly; for we receive the due reward of our deeds: but this man has done nothing wrong.</w:t>
      </w:r>
    </w:p>
    <w:p>
      <w:r>
        <w:rPr>
          <w:b/>
        </w:rPr>
        <w:t xml:space="preserve">42 </w:t>
      </w:r>
      <w:r>
        <w:t xml:space="preserve">And he said to Jesus, Lord</w:t>
      </w:r>
      <w:r>
        <w:rPr>
          <w:rStyle w:val="FootnoteReference"/>
        </w:rPr>
        <w:footnoteReference w:id="15902"/>
      </w:r>
      <w:r>
        <w:t xml:space="preserve">, remember me when you come into your kingdom.</w:t>
      </w:r>
    </w:p>
    <w:p>
      <w:r>
        <w:rPr>
          <w:b/>
        </w:rPr>
        <w:t xml:space="preserve">43 </w:t>
      </w:r>
      <w:r>
        <w:t xml:space="preserve">And Jesus said to him, Amen, I say to you, today shall you be with me in paradise.</w:t>
      </w:r>
    </w:p>
    <w:p>
      <w:r>
        <w:rPr>
          <w:b/>
        </w:rPr>
        <w:t xml:space="preserve">44 </w:t>
      </w:r>
      <w:r>
        <w:t xml:space="preserve">And it was about the sixth hour, and there was a darkness over all the earth until the ninth hour.</w:t>
      </w:r>
    </w:p>
    <w:p>
      <w:r>
        <w:rPr>
          <w:b/>
        </w:rPr>
        <w:t xml:space="preserve">45 </w:t>
      </w:r>
      <w:r>
        <w:t xml:space="preserve">And the sun was darkened, and the veil</w:t>
      </w:r>
      <w:r>
        <w:rPr>
          <w:rStyle w:val="FootnoteReference"/>
        </w:rPr>
        <w:footnoteReference w:id="15903"/>
      </w:r>
      <w:r>
        <w:t xml:space="preserve"> of the temple was torn in the midst.</w:t>
      </w:r>
    </w:p>
    <w:p>
      <w:r>
        <w:rPr>
          <w:b/>
        </w:rPr>
        <w:t xml:space="preserve">46 </w:t>
      </w:r>
      <w:r>
        <w:t xml:space="preserve">And when Jesus had cried</w:t>
      </w:r>
      <w:r>
        <w:rPr>
          <w:rStyle w:val="FootnoteReference"/>
        </w:rPr>
        <w:footnoteReference w:id="15904"/>
      </w:r>
      <w:r>
        <w:t xml:space="preserve"> with a loud voice, he said, Father, into your hands I commend my spirit: and having said thus, he gave up the spirit.</w:t>
      </w:r>
    </w:p>
    <w:p>
      <w:r>
        <w:rPr>
          <w:b/>
        </w:rPr>
        <w:t xml:space="preserve">47 </w:t>
      </w:r>
      <w:r>
        <w:t xml:space="preserve">Now when the centurion saw what was done, he glorified God, saying, Certainly this was a righteous man.</w:t>
      </w:r>
    </w:p>
    <w:p>
      <w:r>
        <w:rPr>
          <w:b/>
        </w:rPr>
        <w:t xml:space="preserve">48 </w:t>
      </w:r>
      <w:r>
        <w:t xml:space="preserve">And all the people that came together to that sight, beholding the things which were done, beat their breasts, and returned.</w:t>
      </w:r>
    </w:p>
    <w:p>
      <w:r>
        <w:rPr>
          <w:b/>
        </w:rPr>
        <w:t xml:space="preserve">49 </w:t>
      </w:r>
      <w:r>
        <w:t xml:space="preserve">And all his acquaintance</w:t>
      </w:r>
      <w:r>
        <w:rPr>
          <w:rStyle w:val="FootnoteReference"/>
        </w:rPr>
        <w:footnoteReference w:id="15905"/>
      </w:r>
      <w:r>
        <w:t xml:space="preserve">, and the women that followed him from Galilee, stood far off, beholding these things.</w:t>
      </w:r>
    </w:p>
    <w:p>
      <w:r>
        <w:rPr>
          <w:b/>
        </w:rPr>
        <w:t xml:space="preserve">50 </w:t>
      </w:r>
      <w:r>
        <w:t xml:space="preserve">And, look, there was a man named Joseph, a council member; and he was a good</w:t>
      </w:r>
      <w:r>
        <w:rPr>
          <w:rStyle w:val="FootnoteReference"/>
        </w:rPr>
        <w:footnoteReference w:id="15906"/>
      </w:r>
      <w:r>
        <w:t xml:space="preserve"> and righteous man:</w:t>
      </w:r>
    </w:p>
    <w:p>
      <w:r>
        <w:rPr>
          <w:b/>
        </w:rPr>
        <w:t xml:space="preserve">51 </w:t>
      </w:r>
      <w:r>
        <w:t xml:space="preserve">(The same had not</w:t>
      </w:r>
      <w:r>
        <w:rPr>
          <w:rStyle w:val="FootnoteReference"/>
        </w:rPr>
        <w:footnoteReference w:id="15907"/>
      </w:r>
      <w:r>
        <w:t xml:space="preserve"> consented to their counsel and deed;) he was of Arimathea, a city of the Jews: who also himself waited for the kingdom of God.</w:t>
      </w:r>
    </w:p>
    <w:p>
      <w:r>
        <w:rPr>
          <w:b/>
        </w:rPr>
        <w:t xml:space="preserve">52 </w:t>
      </w:r>
      <w:r>
        <w:t xml:space="preserve">This man went to Pilate, and begged the body of Jesus.</w:t>
      </w:r>
    </w:p>
    <w:p>
      <w:r>
        <w:rPr>
          <w:b/>
        </w:rPr>
        <w:t xml:space="preserve">53 </w:t>
      </w:r>
      <w:r>
        <w:t xml:space="preserve">And he took it down, and wrapped it in linen, and laid it in a tomb that was cut in stone, in which never man before was laid.</w:t>
      </w:r>
    </w:p>
    <w:p>
      <w:r>
        <w:rPr>
          <w:b/>
        </w:rPr>
        <w:t xml:space="preserve">54 </w:t>
      </w:r>
      <w:r>
        <w:t xml:space="preserve">And that day was the preparation, and the Sabbath drew on.</w:t>
      </w:r>
    </w:p>
    <w:p>
      <w:r>
        <w:rPr>
          <w:b/>
        </w:rPr>
        <w:t xml:space="preserve">55 </w:t>
      </w:r>
      <w:r>
        <w:t xml:space="preserve">And the women also, who came with him from Galilee, followed after, and beheld the tomb, and how his body was laid.</w:t>
      </w:r>
    </w:p>
    <w:p>
      <w:r>
        <w:rPr>
          <w:b/>
        </w:rPr>
        <w:t xml:space="preserve">56 </w:t>
      </w:r>
      <w:r>
        <w:t xml:space="preserve">And they returned, and prepared</w:t>
      </w:r>
      <w:r>
        <w:rPr>
          <w:rStyle w:val="FootnoteReference"/>
        </w:rPr>
        <w:footnoteReference w:id="15908"/>
      </w:r>
      <w:r>
        <w:t xml:space="preserve"> spices and ointments; and rested the Sabbath according to the commandment.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Now upon</w:t>
      </w:r>
      <w:r>
        <w:rPr>
          <w:rStyle w:val="FootnoteReference"/>
        </w:rPr>
        <w:footnoteReference w:id="15909"/>
      </w:r>
      <w:r>
        <w:t xml:space="preserve"> the first day of the week, very early in the morning, they came to the tomb, bringing the spices which they had prepared, and certain others with them.</w:t>
      </w:r>
    </w:p>
    <w:p>
      <w:r>
        <w:rPr>
          <w:b/>
        </w:rPr>
        <w:t xml:space="preserve">2 </w:t>
      </w:r>
      <w:r>
        <w:t xml:space="preserve">And they found the stone rolled away from the tomb.</w:t>
      </w:r>
    </w:p>
    <w:p>
      <w:r>
        <w:rPr>
          <w:b/>
        </w:rPr>
        <w:t xml:space="preserve">3 </w:t>
      </w:r>
      <w:r>
        <w:t xml:space="preserve">And they entered in, and did not find the body of the Lord Jesus.</w:t>
      </w:r>
    </w:p>
    <w:p>
      <w:r>
        <w:rPr>
          <w:b/>
        </w:rPr>
        <w:t xml:space="preserve">4 </w:t>
      </w:r>
      <w:r>
        <w:t xml:space="preserve">And it happened, as they were much perplexed thereabout, look, two men</w:t>
      </w:r>
      <w:r>
        <w:rPr>
          <w:rStyle w:val="FootnoteReference"/>
        </w:rPr>
        <w:footnoteReference w:id="15910"/>
      </w:r>
      <w:r>
        <w:t xml:space="preserve"> stood by them in shining clothes:</w:t>
      </w:r>
    </w:p>
    <w:p>
      <w:r>
        <w:rPr>
          <w:b/>
        </w:rPr>
        <w:t xml:space="preserve">5 </w:t>
      </w:r>
      <w:r>
        <w:t xml:space="preserve">And as they were afraid, and bowed down their faces to the earth, they said to them, Why do you seek the living</w:t>
      </w:r>
      <w:r>
        <w:rPr>
          <w:rStyle w:val="FootnoteReference"/>
        </w:rPr>
        <w:footnoteReference w:id="15911"/>
      </w:r>
      <w:r>
        <w:t xml:space="preserve"> among the dead?</w:t>
      </w:r>
    </w:p>
    <w:p>
      <w:r>
        <w:rPr>
          <w:b/>
        </w:rPr>
        <w:t xml:space="preserve">6 </w:t>
      </w:r>
      <w:r>
        <w:t xml:space="preserve">He is not here, but has risen: remember</w:t>
      </w:r>
      <w:r>
        <w:rPr>
          <w:rStyle w:val="FootnoteReference"/>
        </w:rPr>
        <w:footnoteReference w:id="15912"/>
      </w:r>
      <w:r>
        <w:t xml:space="preserve"> how he spoke to you when he was yet in Galilee,</w:t>
      </w:r>
    </w:p>
    <w:p>
      <w:r>
        <w:rPr>
          <w:b/>
        </w:rPr>
        <w:t xml:space="preserve">7 </w:t>
      </w:r>
      <w:r>
        <w:t xml:space="preserve">Saying, The Son of man must be delivered into the hands of sinful men, and be crucified, and the third day rise again.</w:t>
      </w:r>
    </w:p>
    <w:p>
      <w:r>
        <w:rPr>
          <w:b/>
        </w:rPr>
        <w:t xml:space="preserve">8 </w:t>
      </w:r>
      <w:r>
        <w:t xml:space="preserve">And they remembered his words,</w:t>
      </w:r>
    </w:p>
    <w:p>
      <w:r>
        <w:rPr>
          <w:b/>
        </w:rPr>
        <w:t xml:space="preserve">9 </w:t>
      </w:r>
      <w:r>
        <w:t xml:space="preserve">And returned from the tomb, and told all these things to the eleven, and to all the rest.</w:t>
      </w:r>
    </w:p>
    <w:p>
      <w:r>
        <w:rPr>
          <w:b/>
        </w:rPr>
        <w:t xml:space="preserve">10 </w:t>
      </w:r>
      <w:r>
        <w:t xml:space="preserve">It was Mary Magdalene and Joanna, and Mary the mother of James, and other women that were with them, who told these things to the apostles.</w:t>
      </w:r>
    </w:p>
    <w:p>
      <w:r>
        <w:rPr>
          <w:b/>
        </w:rPr>
        <w:t xml:space="preserve">11 </w:t>
      </w:r>
      <w:r>
        <w:t xml:space="preserve">And their words seemed to them as idle</w:t>
      </w:r>
      <w:r>
        <w:rPr>
          <w:rStyle w:val="FootnoteReference"/>
        </w:rPr>
        <w:footnoteReference w:id="15913"/>
      </w:r>
      <w:r>
        <w:t xml:space="preserve"> tales, and they did not believe them.</w:t>
      </w:r>
    </w:p>
    <w:p>
      <w:r>
        <w:rPr>
          <w:b/>
        </w:rPr>
        <w:t xml:space="preserve">12 </w:t>
      </w:r>
      <w:r>
        <w:t xml:space="preserve">Then Peter arose, and ran to the tomb; and stooping down, he beheld the linen clothes laid by themselves, and departed, wondering in himself at that which had happened.</w:t>
      </w:r>
    </w:p>
    <w:p>
      <w:r>
        <w:rPr>
          <w:b/>
        </w:rPr>
        <w:t xml:space="preserve">13 </w:t>
      </w:r>
      <w:r>
        <w:t xml:space="preserve">And, look, two of them went that same day to a village called Emmaus</w:t>
      </w:r>
      <w:r>
        <w:rPr>
          <w:rStyle w:val="FootnoteReference"/>
        </w:rPr>
        <w:footnoteReference w:id="15914"/>
      </w:r>
      <w:r>
        <w:t xml:space="preserve">, which was from Jerusalem about sixty stadia.</w:t>
      </w:r>
    </w:p>
    <w:p>
      <w:r>
        <w:rPr>
          <w:b/>
        </w:rPr>
        <w:t xml:space="preserve">14 </w:t>
      </w:r>
      <w:r>
        <w:t xml:space="preserve">And they talked together of all these things which had happened.</w:t>
      </w:r>
    </w:p>
    <w:p>
      <w:r>
        <w:rPr>
          <w:b/>
        </w:rPr>
        <w:t xml:space="preserve">15 </w:t>
      </w:r>
      <w:r>
        <w:t xml:space="preserve">And it happened, that, while they talked together and reasoned, Jesus</w:t>
      </w:r>
      <w:r>
        <w:rPr>
          <w:rStyle w:val="FootnoteReference"/>
        </w:rPr>
        <w:footnoteReference w:id="15915"/>
      </w:r>
      <w:r>
        <w:t xml:space="preserve"> himself drew near, and went with them.</w:t>
      </w:r>
    </w:p>
    <w:p>
      <w:r>
        <w:rPr>
          <w:b/>
        </w:rPr>
        <w:t xml:space="preserve">16 </w:t>
      </w:r>
      <w:r>
        <w:t xml:space="preserve">But their eyes were restrained, so that they should not know him.</w:t>
      </w:r>
    </w:p>
    <w:p>
      <w:r>
        <w:rPr>
          <w:b/>
        </w:rPr>
        <w:t xml:space="preserve">17 </w:t>
      </w:r>
      <w:r>
        <w:t xml:space="preserve">And he said to them, What words are these that you exchange with one another, as you walk, and are</w:t>
      </w:r>
      <w:r>
        <w:rPr>
          <w:rStyle w:val="FootnoteReference"/>
        </w:rPr>
        <w:footnoteReference w:id="15916"/>
      </w:r>
      <w:r>
        <w:t xml:space="preserve"> sad?</w:t>
      </w:r>
    </w:p>
    <w:p>
      <w:r>
        <w:rPr>
          <w:b/>
        </w:rPr>
        <w:t xml:space="preserve">18 </w:t>
      </w:r>
      <w:r>
        <w:t xml:space="preserve">And the one of them, whose name was Cleopas</w:t>
      </w:r>
      <w:r>
        <w:rPr>
          <w:rStyle w:val="FootnoteReference"/>
        </w:rPr>
        <w:footnoteReference w:id="15917"/>
      </w:r>
      <w:r>
        <w:t xml:space="preserve">, answering said to him, Are you only a stranger in Jerusalem, and have not known the things which have come to pass there in these days?</w:t>
      </w:r>
      <w:r>
        <w:rPr>
          <w:rStyle w:val="FootnoteReference"/>
        </w:rPr>
        <w:footnoteReference w:id="15918"/>
      </w:r>
    </w:p>
    <w:p>
      <w:r>
        <w:rPr>
          <w:b/>
        </w:rPr>
        <w:t xml:space="preserve">19 </w:t>
      </w:r>
      <w:r>
        <w:t xml:space="preserve">And he said to them, What things? And they said to him, Concerning</w:t>
      </w:r>
      <w:r>
        <w:rPr>
          <w:rStyle w:val="FootnoteReference"/>
        </w:rPr>
        <w:footnoteReference w:id="15919"/>
      </w:r>
      <w:r>
        <w:t xml:space="preserve"> Jesus of Nazareth, who was a prophet mighty in deed and word before God and all the people:</w:t>
      </w:r>
    </w:p>
    <w:p>
      <w:r>
        <w:rPr>
          <w:b/>
        </w:rPr>
        <w:t xml:space="preserve">20 </w:t>
      </w:r>
      <w:r>
        <w:t xml:space="preserve">And how the chief priests and our rulers delivered him to be condemned to death, and have crucified him.</w:t>
      </w:r>
    </w:p>
    <w:p>
      <w:r>
        <w:rPr>
          <w:b/>
        </w:rPr>
        <w:t xml:space="preserve">21 </w:t>
      </w:r>
      <w:r>
        <w:t xml:space="preserve">But we trusted that it had been the one who should have redeemed Israel: and beside all this, today is the third day since these things were done.</w:t>
      </w:r>
    </w:p>
    <w:p>
      <w:r>
        <w:rPr>
          <w:b/>
        </w:rPr>
        <w:t xml:space="preserve">22 </w:t>
      </w:r>
      <w:r>
        <w:t xml:space="preserve">Yes, and certain women also of our company astonished us, who were early at the tomb;</w:t>
      </w:r>
    </w:p>
    <w:p>
      <w:r>
        <w:rPr>
          <w:b/>
        </w:rPr>
        <w:t xml:space="preserve">23 </w:t>
      </w:r>
      <w:r>
        <w:t xml:space="preserve">And when they did not find his body, they came, saying, that they had also seen a vision of angels, who said that he was alive.</w:t>
      </w:r>
    </w:p>
    <w:p>
      <w:r>
        <w:rPr>
          <w:b/>
        </w:rPr>
        <w:t xml:space="preserve">24 </w:t>
      </w:r>
      <w:r>
        <w:t xml:space="preserve">And certain of those who were with us went</w:t>
      </w:r>
      <w:r>
        <w:rPr>
          <w:rStyle w:val="FootnoteReference"/>
        </w:rPr>
        <w:footnoteReference w:id="15920"/>
      </w:r>
      <w:r>
        <w:t xml:space="preserve"> to the tomb, and found it even so as the women had said: but they did not see him.</w:t>
      </w:r>
    </w:p>
    <w:p>
      <w:r>
        <w:rPr>
          <w:b/>
        </w:rPr>
        <w:t xml:space="preserve">25 </w:t>
      </w:r>
      <w:r>
        <w:t xml:space="preserve">Then he said to them, O foolish ones, and slow of heart to believe all that the prophets have spoken:</w:t>
      </w:r>
    </w:p>
    <w:p>
      <w:r>
        <w:rPr>
          <w:b/>
        </w:rPr>
        <w:t xml:space="preserve">26 </w:t>
      </w:r>
      <w:r>
        <w:t xml:space="preserve">Was it not necessary for Christ to have suffered these things, and to enter into his glory?</w:t>
      </w:r>
    </w:p>
    <w:p>
      <w:r>
        <w:rPr>
          <w:b/>
        </w:rPr>
        <w:t xml:space="preserve">27 </w:t>
      </w:r>
      <w:r>
        <w:t xml:space="preserve">And beginning</w:t>
      </w:r>
      <w:r>
        <w:rPr>
          <w:rStyle w:val="FootnoteReference"/>
        </w:rPr>
        <w:footnoteReference w:id="15921"/>
      </w:r>
      <w:r>
        <w:t xml:space="preserve"> from Moses and all the prophets, he expounded to them in all the scriptures the things concerning himself.</w:t>
      </w:r>
    </w:p>
    <w:p>
      <w:r>
        <w:rPr>
          <w:b/>
        </w:rPr>
        <w:t xml:space="preserve">28 </w:t>
      </w:r>
      <w:r>
        <w:t xml:space="preserve">And they drew near to the village, where they were going: and he acted as though he would have gone further.</w:t>
      </w:r>
    </w:p>
    <w:p>
      <w:r>
        <w:rPr>
          <w:b/>
        </w:rPr>
        <w:t xml:space="preserve">29 </w:t>
      </w:r>
      <w:r>
        <w:t xml:space="preserve">But they constrained him, saying, Stay with us: for it is toward evening, and the day is far spent. And he went in to stay with them.</w:t>
      </w:r>
    </w:p>
    <w:p>
      <w:r>
        <w:rPr>
          <w:b/>
        </w:rPr>
        <w:t xml:space="preserve">30 </w:t>
      </w:r>
      <w:r>
        <w:t xml:space="preserve">And it happened, as he reclined at table with them, he took</w:t>
      </w:r>
      <w:r>
        <w:rPr>
          <w:rStyle w:val="FootnoteReference"/>
        </w:rPr>
        <w:footnoteReference w:id="15922"/>
      </w:r>
      <w:r>
        <w:t xml:space="preserve"> bread, and blessed it, and broke it, and gave to them.</w:t>
      </w:r>
    </w:p>
    <w:p>
      <w:r>
        <w:rPr>
          <w:b/>
        </w:rPr>
        <w:t xml:space="preserve">31 </w:t>
      </w:r>
      <w:r>
        <w:t xml:space="preserve">And their eyes</w:t>
      </w:r>
      <w:r>
        <w:rPr>
          <w:rStyle w:val="FootnoteReference"/>
        </w:rPr>
        <w:footnoteReference w:id="15923"/>
      </w:r>
      <w:r>
        <w:t xml:space="preserve"> were opened, and they knew him; and he vanished out of their sight.</w:t>
      </w:r>
    </w:p>
    <w:p>
      <w:r>
        <w:rPr>
          <w:b/>
        </w:rPr>
        <w:t xml:space="preserve">32 </w:t>
      </w:r>
      <w:r>
        <w:t xml:space="preserve">And they said one to another, Did not our heart burn within us, while he talked with us by the way, and while he opened</w:t>
      </w:r>
      <w:r>
        <w:rPr>
          <w:rStyle w:val="FootnoteReference"/>
        </w:rPr>
        <w:footnoteReference w:id="15924"/>
      </w:r>
      <w:r>
        <w:t xml:space="preserve"> to us the scriptures?</w:t>
      </w:r>
    </w:p>
    <w:p>
      <w:r>
        <w:rPr>
          <w:b/>
        </w:rPr>
        <w:t xml:space="preserve">33 </w:t>
      </w:r>
      <w:r>
        <w:t xml:space="preserve">And they rose up the same hour, and returned to Jerusalem, and found</w:t>
      </w:r>
      <w:r>
        <w:rPr>
          <w:rStyle w:val="FootnoteReference"/>
        </w:rPr>
        <w:footnoteReference w:id="15925"/>
      </w:r>
      <w:r>
        <w:t xml:space="preserve"> the eleven gathered together, and those who were with them,</w:t>
      </w:r>
    </w:p>
    <w:p>
      <w:r>
        <w:rPr>
          <w:b/>
        </w:rPr>
        <w:t xml:space="preserve">34 </w:t>
      </w:r>
      <w:r>
        <w:t xml:space="preserve">Saying</w:t>
      </w:r>
      <w:r>
        <w:rPr>
          <w:rStyle w:val="FootnoteReference"/>
        </w:rPr>
        <w:footnoteReference w:id="15926"/>
      </w:r>
      <w:r>
        <w:t xml:space="preserve">, The Lord has risen indeed, and has appeared to Simon.</w:t>
      </w:r>
    </w:p>
    <w:p>
      <w:r>
        <w:rPr>
          <w:b/>
        </w:rPr>
        <w:t xml:space="preserve">35 </w:t>
      </w:r>
      <w:r>
        <w:t xml:space="preserve">And they told what things were done in the way, and how he was known by them in breaking of bread.</w:t>
      </w:r>
    </w:p>
    <w:p>
      <w:r>
        <w:rPr>
          <w:b/>
        </w:rPr>
        <w:t xml:space="preserve">36 </w:t>
      </w:r>
      <w:r>
        <w:t xml:space="preserve">And as they thus spoke, Jesus</w:t>
      </w:r>
      <w:r>
        <w:rPr>
          <w:rStyle w:val="FootnoteReference"/>
        </w:rPr>
        <w:footnoteReference w:id="15927"/>
      </w:r>
      <w:r>
        <w:t xml:space="preserve"> himself stood in the midst of them, and said to them, Peace be to you.</w:t>
      </w:r>
    </w:p>
    <w:p>
      <w:r>
        <w:rPr>
          <w:b/>
        </w:rPr>
        <w:t xml:space="preserve">37 </w:t>
      </w:r>
      <w:r>
        <w:t xml:space="preserve">But they were terrified and frightened, and supposed that they had seen a spirit.</w:t>
      </w:r>
    </w:p>
    <w:p>
      <w:r>
        <w:rPr>
          <w:b/>
        </w:rPr>
        <w:t xml:space="preserve">38 </w:t>
      </w:r>
      <w:r>
        <w:t xml:space="preserve">And he said to them, Why are you troubled? and why</w:t>
      </w:r>
      <w:r>
        <w:rPr>
          <w:rStyle w:val="FootnoteReference"/>
        </w:rPr>
        <w:footnoteReference w:id="15928"/>
      </w:r>
      <w:r>
        <w:t xml:space="preserve"> do thoughts arise in your hearts?</w:t>
      </w:r>
    </w:p>
    <w:p>
      <w:r>
        <w:rPr>
          <w:b/>
        </w:rPr>
        <w:t xml:space="preserve">39 </w:t>
      </w:r>
      <w:r>
        <w:t xml:space="preserve">Look at my hands</w:t>
      </w:r>
      <w:r>
        <w:rPr>
          <w:rStyle w:val="FootnoteReference"/>
        </w:rPr>
        <w:footnoteReference w:id="15929"/>
      </w:r>
      <w:r>
        <w:t xml:space="preserve"> and my feet, that it is I myself: touch me, and see; for a spirit does not have flesh and bones, as you see me have.</w:t>
      </w:r>
    </w:p>
    <w:p>
      <w:r>
        <w:rPr>
          <w:b/>
        </w:rPr>
        <w:t xml:space="preserve">40 </w:t>
      </w:r>
      <w:r>
        <w:t xml:space="preserve">And when he had thus spoken, he showed them his hands and his feet.</w:t>
      </w:r>
    </w:p>
    <w:p>
      <w:r>
        <w:rPr>
          <w:b/>
        </w:rPr>
        <w:t xml:space="preserve">41 </w:t>
      </w:r>
      <w:r>
        <w:t xml:space="preserve">And while they yet did not believe for joy, and wondered, he said to them, Have you here any food?</w:t>
      </w:r>
    </w:p>
    <w:p>
      <w:r>
        <w:rPr>
          <w:b/>
        </w:rPr>
        <w:t xml:space="preserve">42 </w:t>
      </w:r>
      <w:r>
        <w:t xml:space="preserve">And they gave him a piece of a broiled fish, and of a honeycomb.</w:t>
      </w:r>
    </w:p>
    <w:p>
      <w:r>
        <w:rPr>
          <w:b/>
        </w:rPr>
        <w:t xml:space="preserve">43 </w:t>
      </w:r>
      <w:r>
        <w:t xml:space="preserve">And he took it, and ate before them.</w:t>
      </w:r>
    </w:p>
    <w:p>
      <w:r>
        <w:rPr>
          <w:b/>
        </w:rPr>
        <w:t xml:space="preserve">44 </w:t>
      </w:r>
      <w:r>
        <w:t xml:space="preserve">And he said to them, These are the words which I spoke to you, while I was yet with you, that all</w:t>
      </w:r>
      <w:r>
        <w:rPr>
          <w:rStyle w:val="FootnoteReference"/>
        </w:rPr>
        <w:footnoteReference w:id="15930"/>
      </w:r>
      <w:r>
        <w:t xml:space="preserve"> things must be fulfilled, which were written in the law of Moses, and in the prophets, and in the psalms, concerning me.</w:t>
      </w:r>
    </w:p>
    <w:p>
      <w:r>
        <w:rPr>
          <w:b/>
        </w:rPr>
        <w:t xml:space="preserve">45 </w:t>
      </w:r>
      <w:r>
        <w:t xml:space="preserve">Then he opened their understanding, that they might understand the scriptures,</w:t>
      </w:r>
    </w:p>
    <w:p>
      <w:r>
        <w:rPr>
          <w:b/>
        </w:rPr>
        <w:t xml:space="preserve">46 </w:t>
      </w:r>
      <w:r>
        <w:t xml:space="preserve">And said to them, Thus it is written, and thus it was necessary for Christ to suffer, and to rise from the dead the third day:</w:t>
      </w:r>
    </w:p>
    <w:p>
      <w:r>
        <w:rPr>
          <w:b/>
        </w:rPr>
        <w:t xml:space="preserve">47 </w:t>
      </w:r>
      <w:r>
        <w:t xml:space="preserve">And that repentance and forgiveness of sins should be preached in his name among</w:t>
      </w:r>
      <w:r>
        <w:rPr>
          <w:rStyle w:val="FootnoteReference"/>
        </w:rPr>
        <w:footnoteReference w:id="15931"/>
      </w:r>
      <w:r>
        <w:t xml:space="preserve"> all nations, beginning at Jerusalem.</w:t>
      </w:r>
    </w:p>
    <w:p>
      <w:r>
        <w:rPr>
          <w:b/>
        </w:rPr>
        <w:t xml:space="preserve">48 </w:t>
      </w:r>
      <w:r>
        <w:t xml:space="preserve">And you are witnesses of these things.</w:t>
      </w:r>
    </w:p>
    <w:p>
      <w:r>
        <w:rPr>
          <w:b/>
        </w:rPr>
        <w:t xml:space="preserve">49 </w:t>
      </w:r>
      <w:r>
        <w:t xml:space="preserve">And, look, I send</w:t>
      </w:r>
      <w:r>
        <w:rPr>
          <w:rStyle w:val="FootnoteReference"/>
        </w:rPr>
        <w:footnoteReference w:id="15932"/>
      </w:r>
      <w:r>
        <w:t xml:space="preserve"> the promise of my Father upon you: but stay in the city of Jerusalem, until you be clothed with power from on high.</w:t>
      </w:r>
    </w:p>
    <w:p>
      <w:r>
        <w:rPr>
          <w:b/>
        </w:rPr>
        <w:t xml:space="preserve">50 </w:t>
      </w:r>
      <w:r>
        <w:t xml:space="preserve">And he led them out as far</w:t>
      </w:r>
      <w:r>
        <w:rPr>
          <w:rStyle w:val="FootnoteReference"/>
        </w:rPr>
        <w:footnoteReference w:id="15933"/>
      </w:r>
      <w:r>
        <w:t xml:space="preserve"> as to Bethany, and he lifted up his hands, and blessed them.</w:t>
      </w:r>
    </w:p>
    <w:p>
      <w:r>
        <w:rPr>
          <w:b/>
        </w:rPr>
        <w:t xml:space="preserve">51 </w:t>
      </w:r>
      <w:r>
        <w:t xml:space="preserve">And it happened, while he blessed them, he was parted from them, and carried up into heaven.</w:t>
      </w:r>
    </w:p>
    <w:p>
      <w:r>
        <w:rPr>
          <w:b/>
        </w:rPr>
        <w:t xml:space="preserve">52 </w:t>
      </w:r>
      <w:r>
        <w:t xml:space="preserve">And they worshiped him, and returned to Jerusalem with great joy:</w:t>
      </w:r>
    </w:p>
    <w:p>
      <w:r>
        <w:rPr>
          <w:b/>
        </w:rPr>
        <w:t xml:space="preserve">53 </w:t>
      </w:r>
      <w:r>
        <w:t xml:space="preserve">And were continually in the temple, praising and blessing God. Amen</w:t>
      </w:r>
      <w:r>
        <w:rPr>
          <w:rStyle w:val="FootnoteReference"/>
        </w:rPr>
        <w:footnoteReference w:id="15934"/>
      </w:r>
      <w:r>
        <w:t xml:space="preserve">.</w:t>
      </w:r>
    </w:p>
    <w:p>
      <w:r>
        <w:br w:type="page"/>
      </w:r>
    </w:p>
    <w:p>
      <w:pPr>
        <w:pStyle w:val="Heading1"/>
      </w:pPr>
      <w:r>
        <w:t xml:space="preserve">John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In the beginning</w:t>
      </w:r>
      <w:r>
        <w:rPr>
          <w:rStyle w:val="FootnoteReference"/>
        </w:rPr>
        <w:footnoteReference w:id="15935"/>
      </w:r>
      <w:r>
        <w:t xml:space="preserve"> was the Word</w:t>
      </w:r>
      <w:r>
        <w:rPr>
          <w:rStyle w:val="FootnoteReference"/>
        </w:rPr>
        <w:footnoteReference w:id="15936"/>
      </w:r>
      <w:r>
        <w:t xml:space="preserve">, and the Word was with God, and the Word was God.</w:t>
      </w:r>
      <w:r>
        <w:rPr>
          <w:rStyle w:val="FootnoteReference"/>
        </w:rPr>
        <w:footnoteReference w:id="15937"/>
      </w:r>
    </w:p>
    <w:p>
      <w:r>
        <w:rPr>
          <w:b/>
        </w:rPr>
        <w:t xml:space="preserve">2 </w:t>
      </w:r>
      <w:r>
        <w:t xml:space="preserve">This one was in the beginning with God.</w:t>
      </w:r>
    </w:p>
    <w:p>
      <w:r>
        <w:rPr>
          <w:b/>
        </w:rPr>
        <w:t xml:space="preserve">3 </w:t>
      </w:r>
      <w:r>
        <w:t xml:space="preserve">All things came to be through him, and apart from him not even one thing came to be that has come to be.</w:t>
      </w:r>
    </w:p>
    <w:p>
      <w:r>
        <w:rPr>
          <w:b/>
        </w:rPr>
        <w:t xml:space="preserve">4 </w:t>
      </w:r>
      <w:r>
        <w:t xml:space="preserve">In him was life, and the life</w:t>
      </w:r>
      <w:r>
        <w:rPr>
          <w:rStyle w:val="FootnoteReference"/>
        </w:rPr>
        <w:footnoteReference w:id="15938"/>
      </w:r>
      <w:r>
        <w:t xml:space="preserve"> was the light of humans.</w:t>
      </w:r>
    </w:p>
    <w:p>
      <w:r>
        <w:rPr>
          <w:b/>
        </w:rPr>
        <w:t xml:space="preserve">5 </w:t>
      </w:r>
      <w:r>
        <w:t xml:space="preserve">And the light shines in the darkness, and the darkness did not grasp it.</w:t>
      </w:r>
    </w:p>
    <w:p>
      <w:r>
        <w:rPr>
          <w:b/>
        </w:rPr>
        <w:t xml:space="preserve">6 </w:t>
      </w:r>
      <w:r>
        <w:t xml:space="preserve">There was a man</w:t>
      </w:r>
      <w:r>
        <w:rPr>
          <w:rStyle w:val="FootnoteReference"/>
        </w:rPr>
        <w:footnoteReference w:id="15939"/>
      </w:r>
      <w:r>
        <w:t xml:space="preserve"> sent from God, whose name was John.</w:t>
      </w:r>
    </w:p>
    <w:p>
      <w:r>
        <w:rPr>
          <w:b/>
        </w:rPr>
        <w:t xml:space="preserve">7 </w:t>
      </w:r>
      <w:r>
        <w:t xml:space="preserve">The same came for a witness</w:t>
      </w:r>
      <w:r>
        <w:rPr>
          <w:rStyle w:val="FootnoteReference"/>
        </w:rPr>
        <w:footnoteReference w:id="15940"/>
      </w:r>
      <w:r>
        <w:t xml:space="preserve">, to bear witness of the Light, that all through him might believe.</w:t>
      </w:r>
    </w:p>
    <w:p>
      <w:r>
        <w:rPr>
          <w:b/>
        </w:rPr>
        <w:t xml:space="preserve">8 </w:t>
      </w:r>
      <w:r>
        <w:t xml:space="preserve">He was not that Light</w:t>
      </w:r>
      <w:r>
        <w:rPr>
          <w:rStyle w:val="FootnoteReference"/>
        </w:rPr>
        <w:footnoteReference w:id="15941"/>
      </w:r>
      <w:r>
        <w:t xml:space="preserve">, but was sent to bear witness of that Light.</w:t>
      </w:r>
    </w:p>
    <w:p>
      <w:r>
        <w:rPr>
          <w:b/>
        </w:rPr>
        <w:t xml:space="preserve">9 </w:t>
      </w:r>
      <w:r>
        <w:t xml:space="preserve">That was the true</w:t>
      </w:r>
      <w:r>
        <w:rPr>
          <w:rStyle w:val="FootnoteReference"/>
        </w:rPr>
        <w:footnoteReference w:id="15942"/>
      </w:r>
      <w:r>
        <w:t xml:space="preserve"> Light, which lights every man that comes into the world.</w:t>
      </w:r>
    </w:p>
    <w:p>
      <w:r>
        <w:rPr>
          <w:b/>
        </w:rPr>
        <w:t xml:space="preserve">10 </w:t>
      </w:r>
      <w:r>
        <w:t xml:space="preserve">He was in</w:t>
      </w:r>
      <w:r>
        <w:rPr>
          <w:rStyle w:val="FootnoteReference"/>
        </w:rPr>
        <w:footnoteReference w:id="15943"/>
      </w:r>
      <w:r>
        <w:t xml:space="preserve"> the world, and the world came to be through him, and the world did not know him.</w:t>
      </w:r>
    </w:p>
    <w:p>
      <w:r>
        <w:rPr>
          <w:b/>
        </w:rPr>
        <w:t xml:space="preserve">11 </w:t>
      </w:r>
      <w:r>
        <w:t xml:space="preserve">He came to his own, and his own did not receive him.</w:t>
      </w:r>
    </w:p>
    <w:p>
      <w:r>
        <w:rPr>
          <w:b/>
        </w:rPr>
        <w:t xml:space="preserve">12 </w:t>
      </w:r>
      <w:r>
        <w:t xml:space="preserve">But as many as received</w:t>
      </w:r>
      <w:r>
        <w:rPr>
          <w:rStyle w:val="FootnoteReference"/>
        </w:rPr>
        <w:footnoteReference w:id="15944"/>
      </w:r>
      <w:r>
        <w:t xml:space="preserve"> him, to them he gave authority to become the sons of God, even to those who believe in his name:</w:t>
      </w:r>
    </w:p>
    <w:p>
      <w:r>
        <w:rPr>
          <w:b/>
        </w:rPr>
        <w:t xml:space="preserve">13 </w:t>
      </w:r>
      <w:r>
        <w:t xml:space="preserve">Who were born, not of blood, nor of the will of the</w:t>
      </w:r>
      <w:r>
        <w:rPr>
          <w:rStyle w:val="FootnoteReference"/>
        </w:rPr>
        <w:footnoteReference w:id="15945"/>
      </w:r>
      <w:r>
        <w:t xml:space="preserve"> flesh, nor of the will of man, but of God.</w:t>
      </w:r>
    </w:p>
    <w:p>
      <w:r>
        <w:rPr>
          <w:b/>
        </w:rPr>
        <w:t xml:space="preserve">14 </w:t>
      </w:r>
      <w:r>
        <w:t xml:space="preserve">And the Word</w:t>
      </w:r>
      <w:r>
        <w:rPr>
          <w:rStyle w:val="FootnoteReference"/>
        </w:rPr>
        <w:footnoteReference w:id="15946"/>
      </w:r>
      <w:r>
        <w:t xml:space="preserve"> became flesh</w:t>
      </w:r>
      <w:r>
        <w:rPr>
          <w:rStyle w:val="FootnoteReference"/>
        </w:rPr>
        <w:footnoteReference w:id="15947"/>
      </w:r>
      <w:r>
        <w:t xml:space="preserve"> and tabernacled among us</w:t>
      </w:r>
      <w:r>
        <w:rPr>
          <w:rStyle w:val="FootnoteReference"/>
        </w:rPr>
        <w:footnoteReference w:id="15948"/>
      </w:r>
      <w:r>
        <w:t xml:space="preserve">, and we beheld his glory, glory as of an only-begotten from Father, full of grace and truth.</w:t>
      </w:r>
    </w:p>
    <w:p>
      <w:r>
        <w:rPr>
          <w:b/>
        </w:rPr>
        <w:t xml:space="preserve">15 </w:t>
      </w:r>
      <w:r>
        <w:t xml:space="preserve">John bore witness of him, and cried, saying, This was he of whom I spoke, the one who comes after me is preferred before me: for he was before me.</w:t>
      </w:r>
    </w:p>
    <w:p>
      <w:r>
        <w:rPr>
          <w:b/>
        </w:rPr>
        <w:t xml:space="preserve">16 </w:t>
      </w:r>
      <w:r>
        <w:t xml:space="preserve">And of his</w:t>
      </w:r>
      <w:r>
        <w:rPr>
          <w:rStyle w:val="FootnoteReference"/>
        </w:rPr>
        <w:footnoteReference w:id="15949"/>
      </w:r>
      <w:r>
        <w:t xml:space="preserve"> fullness we all received, and grace for grace.</w:t>
      </w:r>
    </w:p>
    <w:p>
      <w:r>
        <w:rPr>
          <w:b/>
        </w:rPr>
        <w:t xml:space="preserve">17 </w:t>
      </w:r>
      <w:r>
        <w:t xml:space="preserve">For the law</w:t>
      </w:r>
      <w:r>
        <w:rPr>
          <w:rStyle w:val="FootnoteReference"/>
        </w:rPr>
        <w:footnoteReference w:id="15950"/>
      </w:r>
      <w:r>
        <w:t xml:space="preserve"> was given by Moses, but grace and truth came by Jesus Christ.</w:t>
      </w:r>
    </w:p>
    <w:p>
      <w:r>
        <w:rPr>
          <w:b/>
        </w:rPr>
        <w:t xml:space="preserve">18 </w:t>
      </w:r>
      <w:r>
        <w:t xml:space="preserve">No one has seen</w:t>
      </w:r>
      <w:r>
        <w:rPr>
          <w:rStyle w:val="FootnoteReference"/>
        </w:rPr>
        <w:footnoteReference w:id="15951"/>
      </w:r>
      <w:r>
        <w:t xml:space="preserve"> God at any time, the only begotten Son</w:t>
      </w:r>
      <w:r>
        <w:rPr>
          <w:rStyle w:val="FootnoteReference"/>
        </w:rPr>
        <w:footnoteReference w:id="15952"/>
      </w:r>
      <w:r>
        <w:t xml:space="preserve">, who is in the bosom of the Father, he has declared him.</w:t>
      </w:r>
    </w:p>
    <w:p>
      <w:r>
        <w:rPr>
          <w:b/>
        </w:rPr>
        <w:t xml:space="preserve">19 </w:t>
      </w:r>
      <w:r>
        <w:t xml:space="preserve">And this is the testimony of John, when the Jews sent priests and Levites</w:t>
      </w:r>
      <w:r>
        <w:rPr>
          <w:rStyle w:val="FootnoteReference"/>
        </w:rPr>
        <w:footnoteReference w:id="15953"/>
      </w:r>
      <w:r>
        <w:t xml:space="preserve"> from Jerusalem to ask him, Who are you?</w:t>
      </w:r>
    </w:p>
    <w:p>
      <w:r>
        <w:rPr>
          <w:b/>
        </w:rPr>
        <w:t xml:space="preserve">20 </w:t>
      </w:r>
      <w:r>
        <w:t xml:space="preserve">And he confessed, and did not deny; but confessed, I am not the Christ.</w:t>
      </w:r>
    </w:p>
    <w:p>
      <w:r>
        <w:rPr>
          <w:b/>
        </w:rPr>
        <w:t xml:space="preserve">21 </w:t>
      </w:r>
      <w:r>
        <w:t xml:space="preserve">And they asked him, What then? Are you Elijah? And he said, I am not. Are you the prophet? And he answered, No.</w:t>
      </w:r>
    </w:p>
    <w:p>
      <w:r>
        <w:rPr>
          <w:b/>
        </w:rPr>
        <w:t xml:space="preserve">22 </w:t>
      </w:r>
      <w:r>
        <w:t xml:space="preserve">Then they said to him, Who are you? that we may give an answer to those who sent us. What do you say of yourself?</w:t>
      </w:r>
    </w:p>
    <w:p>
      <w:r>
        <w:rPr>
          <w:b/>
        </w:rPr>
        <w:t xml:space="preserve">23 </w:t>
      </w:r>
      <w:r>
        <w:t xml:space="preserve">He said, I am the voice of one crying in the wilderness, Make straight the way of the Lord, as the prophet Isaiah said.</w:t>
      </w:r>
    </w:p>
    <w:p>
      <w:r>
        <w:rPr>
          <w:b/>
        </w:rPr>
        <w:t xml:space="preserve">24 </w:t>
      </w:r>
      <w:r>
        <w:t xml:space="preserve">And those who were sent were of</w:t>
      </w:r>
      <w:r>
        <w:rPr>
          <w:rStyle w:val="FootnoteReference"/>
        </w:rPr>
        <w:footnoteReference w:id="15954"/>
      </w:r>
      <w:r>
        <w:t xml:space="preserve"> the Pharisees.</w:t>
      </w:r>
    </w:p>
    <w:p>
      <w:r>
        <w:rPr>
          <w:b/>
        </w:rPr>
        <w:t xml:space="preserve">25 </w:t>
      </w:r>
      <w:r>
        <w:t xml:space="preserve">And they asked him, and said to him, Why do you baptize then, if you are not the Christ, nor Elijah, neither the prophet?</w:t>
      </w:r>
    </w:p>
    <w:p>
      <w:r>
        <w:rPr>
          <w:b/>
        </w:rPr>
        <w:t xml:space="preserve">26 </w:t>
      </w:r>
      <w:r>
        <w:t xml:space="preserve">John answered them, saying, I baptize with water: but there stands one among you, whom you do not know;</w:t>
      </w:r>
    </w:p>
    <w:p>
      <w:r>
        <w:rPr>
          <w:b/>
        </w:rPr>
        <w:t xml:space="preserve">27 </w:t>
      </w:r>
      <w:r>
        <w:t xml:space="preserve">He is the one who comes after me, who came before me, whose sandal strap I am not worthy to untie.</w:t>
      </w:r>
    </w:p>
    <w:p>
      <w:r>
        <w:rPr>
          <w:b/>
        </w:rPr>
        <w:t xml:space="preserve">28 </w:t>
      </w:r>
      <w:r>
        <w:t xml:space="preserve">These things were done in Bethabara</w:t>
      </w:r>
      <w:r>
        <w:rPr>
          <w:rStyle w:val="FootnoteReference"/>
        </w:rPr>
        <w:footnoteReference w:id="15955"/>
      </w:r>
      <w:r>
        <w:t xml:space="preserve"> beyond Jordan, where John was baptizing.</w:t>
      </w:r>
      <w:r>
        <w:rPr>
          <w:rStyle w:val="FootnoteReference"/>
        </w:rPr>
        <w:footnoteReference w:id="15956"/>
      </w:r>
    </w:p>
    <w:p>
      <w:r>
        <w:rPr>
          <w:b/>
        </w:rPr>
        <w:t xml:space="preserve">29 </w:t>
      </w:r>
      <w:r>
        <w:t xml:space="preserve">The next day John sees Jesus coming to him, and says, Look, the Lamb of God, who takes away the sin of the world.</w:t>
      </w:r>
    </w:p>
    <w:p>
      <w:r>
        <w:rPr>
          <w:b/>
        </w:rPr>
        <w:t xml:space="preserve">30 </w:t>
      </w:r>
      <w:r>
        <w:t xml:space="preserve">This is he of whom I said, After me comes a man who is preferred before me: for he was before me.</w:t>
      </w:r>
    </w:p>
    <w:p>
      <w:r>
        <w:rPr>
          <w:b/>
        </w:rPr>
        <w:t xml:space="preserve">31 </w:t>
      </w:r>
      <w:r>
        <w:t xml:space="preserve">And I did not know him: but that he should be made manifest to Israel, therefore</w:t>
      </w:r>
      <w:r>
        <w:rPr>
          <w:rStyle w:val="FootnoteReference"/>
        </w:rPr>
        <w:footnoteReference w:id="15957"/>
      </w:r>
      <w:r>
        <w:t xml:space="preserve"> I came baptizing with water.</w:t>
      </w:r>
    </w:p>
    <w:p>
      <w:r>
        <w:rPr>
          <w:b/>
        </w:rPr>
        <w:t xml:space="preserve">32 </w:t>
      </w:r>
      <w:r>
        <w:t xml:space="preserve">And John bore witness, saying, I saw</w:t>
      </w:r>
      <w:r>
        <w:rPr>
          <w:rStyle w:val="FootnoteReference"/>
        </w:rPr>
        <w:footnoteReference w:id="15958"/>
      </w:r>
      <w:r>
        <w:t xml:space="preserve"> the Spirit descending from heaven like a dove, and it remained upon him.</w:t>
      </w:r>
    </w:p>
    <w:p>
      <w:r>
        <w:rPr>
          <w:b/>
        </w:rPr>
        <w:t xml:space="preserve">33 </w:t>
      </w:r>
      <w:r>
        <w:t xml:space="preserve">And I did not know him: but the one who sent me to baptize with water, the same said to me, Upon whom you shall see the Spirit descending, and remaining on him, the same is the one who baptizes with the Holy Spirit.</w:t>
      </w:r>
    </w:p>
    <w:p>
      <w:r>
        <w:rPr>
          <w:b/>
        </w:rPr>
        <w:t xml:space="preserve">34 </w:t>
      </w:r>
      <w:r>
        <w:t xml:space="preserve">And I saw, and bore witness that this is the Son of God.</w:t>
      </w:r>
    </w:p>
    <w:p>
      <w:r>
        <w:rPr>
          <w:b/>
        </w:rPr>
        <w:t xml:space="preserve">35 </w:t>
      </w:r>
      <w:r>
        <w:t xml:space="preserve">Again the next day John stood, and two</w:t>
      </w:r>
      <w:r>
        <w:rPr>
          <w:rStyle w:val="FootnoteReference"/>
        </w:rPr>
        <w:footnoteReference w:id="15959"/>
      </w:r>
      <w:r>
        <w:t xml:space="preserve"> of his disciples;</w:t>
      </w:r>
    </w:p>
    <w:p>
      <w:r>
        <w:rPr>
          <w:b/>
        </w:rPr>
        <w:t xml:space="preserve">36 </w:t>
      </w:r>
      <w:r>
        <w:t xml:space="preserve">And looking upon Jesus as he walked, he says, Look, the Lamb of God!</w:t>
      </w:r>
    </w:p>
    <w:p>
      <w:r>
        <w:rPr>
          <w:b/>
        </w:rPr>
        <w:t xml:space="preserve">37 </w:t>
      </w:r>
      <w:r>
        <w:t xml:space="preserve">And the two disciples heard him speak, and they followed Jesus.</w:t>
      </w:r>
    </w:p>
    <w:p>
      <w:r>
        <w:rPr>
          <w:b/>
        </w:rPr>
        <w:t xml:space="preserve">38 </w:t>
      </w:r>
      <w:r>
        <w:t xml:space="preserve">Then Jesus turned</w:t>
      </w:r>
      <w:r>
        <w:rPr>
          <w:rStyle w:val="FootnoteReference"/>
        </w:rPr>
        <w:footnoteReference w:id="15960"/>
      </w:r>
      <w:r>
        <w:t xml:space="preserve">, and saw them following, and says to them, What do you seek? They said to him, Rabbi, (which is to say, being interpreted, Teacher,) where do you dwell?</w:t>
      </w:r>
    </w:p>
    <w:p>
      <w:r>
        <w:rPr>
          <w:b/>
        </w:rPr>
        <w:t xml:space="preserve">39 </w:t>
      </w:r>
      <w:r>
        <w:t xml:space="preserve">He says to them, Come and see. They came and saw where he dwelt, and remained with him that day: for it was about the tenth hour.</w:t>
      </w:r>
    </w:p>
    <w:p>
      <w:r>
        <w:rPr>
          <w:b/>
        </w:rPr>
        <w:t xml:space="preserve">40 </w:t>
      </w:r>
      <w:r>
        <w:t xml:space="preserve">One of the two who heard John speak, and followed him, was Andrew</w:t>
      </w:r>
      <w:r>
        <w:rPr>
          <w:rStyle w:val="FootnoteReference"/>
        </w:rPr>
        <w:footnoteReference w:id="15961"/>
      </w:r>
      <w:r>
        <w:t xml:space="preserve">, Simon Peter's brother.</w:t>
      </w:r>
    </w:p>
    <w:p>
      <w:r>
        <w:rPr>
          <w:b/>
        </w:rPr>
        <w:t xml:space="preserve">41 </w:t>
      </w:r>
      <w:r>
        <w:t xml:space="preserve">He first</w:t>
      </w:r>
      <w:r>
        <w:rPr>
          <w:rStyle w:val="FootnoteReference"/>
        </w:rPr>
        <w:footnoteReference w:id="15962"/>
      </w:r>
      <w:r>
        <w:t xml:space="preserve"> finds his own brother Simon, and says to him, We have found the Messiah</w:t>
      </w:r>
      <w:r>
        <w:rPr>
          <w:rStyle w:val="FootnoteReference"/>
        </w:rPr>
        <w:footnoteReference w:id="15963"/>
      </w:r>
      <w:r>
        <w:t xml:space="preserve">, which is, being interpreted, the Christ.</w:t>
      </w:r>
    </w:p>
    <w:p>
      <w:r>
        <w:rPr>
          <w:b/>
        </w:rPr>
        <w:t xml:space="preserve">42 </w:t>
      </w:r>
      <w:r>
        <w:t xml:space="preserve">And he brought him to Jesus. And when Jesus beheld him, he said, You are Simon the son</w:t>
      </w:r>
      <w:r>
        <w:rPr>
          <w:rStyle w:val="FootnoteReference"/>
        </w:rPr>
        <w:footnoteReference w:id="15964"/>
      </w:r>
      <w:r>
        <w:t xml:space="preserve"> of Jonah: you shall be called Cephas</w:t>
      </w:r>
      <w:r>
        <w:rPr>
          <w:rStyle w:val="FootnoteReference"/>
        </w:rPr>
        <w:footnoteReference w:id="15965"/>
      </w:r>
      <w:r>
        <w:t xml:space="preserve">, which is by interpretation, A stone.</w:t>
      </w:r>
    </w:p>
    <w:p>
      <w:r>
        <w:rPr>
          <w:b/>
        </w:rPr>
        <w:t xml:space="preserve">43 </w:t>
      </w:r>
      <w:r>
        <w:t xml:space="preserve">The following day Jesus wanted to go forth into Galilee, and finds Philip, and says to him, Follow me.</w:t>
      </w:r>
    </w:p>
    <w:p>
      <w:r>
        <w:rPr>
          <w:b/>
        </w:rPr>
        <w:t xml:space="preserve">44 </w:t>
      </w:r>
      <w:r>
        <w:t xml:space="preserve">Now Philip</w:t>
      </w:r>
      <w:r>
        <w:rPr>
          <w:rStyle w:val="FootnoteReference"/>
        </w:rPr>
        <w:footnoteReference w:id="15966"/>
      </w:r>
      <w:r>
        <w:t xml:space="preserve"> was of Bethsaida, the city of Andrew and Peter.</w:t>
      </w:r>
    </w:p>
    <w:p>
      <w:r>
        <w:rPr>
          <w:b/>
        </w:rPr>
        <w:t xml:space="preserve">45 </w:t>
      </w:r>
      <w:r>
        <w:t xml:space="preserve">Philip finds Nathanael</w:t>
      </w:r>
      <w:r>
        <w:rPr>
          <w:rStyle w:val="FootnoteReference"/>
        </w:rPr>
        <w:footnoteReference w:id="15967"/>
      </w:r>
      <w:r>
        <w:t xml:space="preserve">, and says to him, We have found him, of whom Moses in the law, and the prophets, wrote, Jesus of Nazareth, the son of Joseph.</w:t>
      </w:r>
      <w:r>
        <w:rPr>
          <w:rStyle w:val="FootnoteReference"/>
        </w:rPr>
        <w:footnoteReference w:id="15968"/>
      </w:r>
    </w:p>
    <w:p>
      <w:r>
        <w:rPr>
          <w:b/>
        </w:rPr>
        <w:t xml:space="preserve">46 </w:t>
      </w:r>
      <w:r>
        <w:t xml:space="preserve">And Nathanael said to him, Can any good thing come out of Nazareth? Philip says to him, Come and see.</w:t>
      </w:r>
    </w:p>
    <w:p>
      <w:r>
        <w:rPr>
          <w:b/>
        </w:rPr>
        <w:t xml:space="preserve">47 </w:t>
      </w:r>
      <w:r>
        <w:t xml:space="preserve">Jesus saw Nathanael coming to him, and says of him, Look, an Israelite</w:t>
      </w:r>
      <w:r>
        <w:rPr>
          <w:rStyle w:val="FootnoteReference"/>
        </w:rPr>
        <w:footnoteReference w:id="15969"/>
      </w:r>
      <w:r>
        <w:t xml:space="preserve"> indeed, in whom is no deceit!</w:t>
      </w:r>
    </w:p>
    <w:p>
      <w:r>
        <w:rPr>
          <w:b/>
        </w:rPr>
        <w:t xml:space="preserve">48 </w:t>
      </w:r>
      <w:r>
        <w:t xml:space="preserve">Nathanael says to him, How do you know me? Jesus answered and said to him, Before that Philip called you, when you were under the fig tree, I saw you.</w:t>
      </w:r>
    </w:p>
    <w:p>
      <w:r>
        <w:rPr>
          <w:b/>
        </w:rPr>
        <w:t xml:space="preserve">49 </w:t>
      </w:r>
      <w:r>
        <w:t xml:space="preserve">Nathanael answered and says to him, Rabbi</w:t>
      </w:r>
      <w:r>
        <w:rPr>
          <w:rStyle w:val="FootnoteReference"/>
        </w:rPr>
        <w:footnoteReference w:id="15970"/>
      </w:r>
      <w:r>
        <w:t xml:space="preserve">, you are the Son of God; you are the King of Israel.</w:t>
      </w:r>
    </w:p>
    <w:p>
      <w:r>
        <w:rPr>
          <w:b/>
        </w:rPr>
        <w:t xml:space="preserve">50 </w:t>
      </w:r>
      <w:r>
        <w:t xml:space="preserve">Jesus answered and said to him, Because I said to you, I saw you under the fig tree, do you believe? you shall see greater things than these.</w:t>
      </w:r>
    </w:p>
    <w:p>
      <w:r>
        <w:rPr>
          <w:b/>
        </w:rPr>
        <w:t xml:space="preserve">51 </w:t>
      </w:r>
      <w:r>
        <w:t xml:space="preserve">And he says to him, Amen, amen, I say to you, Hereafter</w:t>
      </w:r>
      <w:r>
        <w:rPr>
          <w:rStyle w:val="FootnoteReference"/>
        </w:rPr>
        <w:footnoteReference w:id="15971"/>
      </w:r>
      <w:r>
        <w:t xml:space="preserve"> you shall see heaven open, and the angels of God ascending and descending upon the Son of man.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the third</w:t>
      </w:r>
      <w:r>
        <w:rPr>
          <w:rStyle w:val="FootnoteReference"/>
        </w:rPr>
        <w:footnoteReference w:id="15972"/>
      </w:r>
      <w:r>
        <w:t xml:space="preserve"> day there was a wedding in Cana</w:t>
      </w:r>
      <w:r>
        <w:rPr>
          <w:rStyle w:val="FootnoteReference"/>
        </w:rPr>
        <w:footnoteReference w:id="15973"/>
      </w:r>
      <w:r>
        <w:t xml:space="preserve"> of Galilee; and the mother of Jesus was there:</w:t>
      </w:r>
    </w:p>
    <w:p>
      <w:r>
        <w:rPr>
          <w:b/>
        </w:rPr>
        <w:t xml:space="preserve">2 </w:t>
      </w:r>
      <w:r>
        <w:t xml:space="preserve">And Jesus also was called, and his disciples, to the wedding.</w:t>
      </w:r>
    </w:p>
    <w:p>
      <w:r>
        <w:rPr>
          <w:b/>
        </w:rPr>
        <w:t xml:space="preserve">3 </w:t>
      </w:r>
      <w:r>
        <w:t xml:space="preserve">And when wine was lacking, the mother of Jesus says to him, They have</w:t>
      </w:r>
      <w:r>
        <w:rPr>
          <w:rStyle w:val="FootnoteReference"/>
        </w:rPr>
        <w:footnoteReference w:id="15974"/>
      </w:r>
      <w:r>
        <w:t xml:space="preserve"> no wine.</w:t>
      </w:r>
    </w:p>
    <w:p>
      <w:r>
        <w:rPr>
          <w:b/>
        </w:rPr>
        <w:t xml:space="preserve">4 </w:t>
      </w:r>
      <w:r>
        <w:t xml:space="preserve">Jesus says to her, Woman</w:t>
      </w:r>
      <w:r>
        <w:rPr>
          <w:rStyle w:val="FootnoteReference"/>
        </w:rPr>
        <w:footnoteReference w:id="15975"/>
      </w:r>
      <w:r>
        <w:t xml:space="preserve">, what is that to me and to you? My hour has not yet come.</w:t>
      </w:r>
    </w:p>
    <w:p>
      <w:r>
        <w:rPr>
          <w:b/>
        </w:rPr>
        <w:t xml:space="preserve">5 </w:t>
      </w:r>
      <w:r>
        <w:t xml:space="preserve">His mother says to the servants, Whatever he says to you, do it.</w:t>
      </w:r>
    </w:p>
    <w:p>
      <w:r>
        <w:rPr>
          <w:b/>
        </w:rPr>
        <w:t xml:space="preserve">6 </w:t>
      </w:r>
      <w:r>
        <w:t xml:space="preserve">And there were set there six waterpots of stone, after the manner of the purifying of the Jews, containing two or three measures apiece.</w:t>
      </w:r>
    </w:p>
    <w:p>
      <w:r>
        <w:rPr>
          <w:b/>
        </w:rPr>
        <w:t xml:space="preserve">7 </w:t>
      </w:r>
      <w:r>
        <w:t xml:space="preserve">Jesus says to them, Fill</w:t>
      </w:r>
      <w:r>
        <w:rPr>
          <w:rStyle w:val="FootnoteReference"/>
        </w:rPr>
        <w:footnoteReference w:id="15976"/>
      </w:r>
      <w:r>
        <w:t xml:space="preserve"> the waterpots with water. And they filled them up to the brim.</w:t>
      </w:r>
    </w:p>
    <w:p>
      <w:r>
        <w:rPr>
          <w:b/>
        </w:rPr>
        <w:t xml:space="preserve">8 </w:t>
      </w:r>
      <w:r>
        <w:t xml:space="preserve">And he says to them, Draw</w:t>
      </w:r>
      <w:r>
        <w:rPr>
          <w:rStyle w:val="FootnoteReference"/>
        </w:rPr>
        <w:footnoteReference w:id="15977"/>
      </w:r>
      <w:r>
        <w:t xml:space="preserve"> out now, and bear to the master of the feast. And they bore it.</w:t>
      </w:r>
    </w:p>
    <w:p>
      <w:r>
        <w:rPr>
          <w:b/>
        </w:rPr>
        <w:t xml:space="preserve">9 </w:t>
      </w:r>
      <w:r>
        <w:t xml:space="preserve">When the ruler of the feast had tasted the water that</w:t>
      </w:r>
      <w:r>
        <w:rPr>
          <w:rStyle w:val="FootnoteReference"/>
        </w:rPr>
        <w:footnoteReference w:id="15978"/>
      </w:r>
      <w:r>
        <w:t xml:space="preserve"> was made wine, and did not know from where it was: (but the servants who drew the water knew;) the governor of the feast called the bridegroom,</w:t>
      </w:r>
    </w:p>
    <w:p>
      <w:r>
        <w:rPr>
          <w:b/>
        </w:rPr>
        <w:t xml:space="preserve">10 </w:t>
      </w:r>
      <w:r>
        <w:t xml:space="preserve">And says to him, Every man at the beginning sets forth good wine; and when</w:t>
      </w:r>
      <w:r>
        <w:rPr>
          <w:rStyle w:val="FootnoteReference"/>
        </w:rPr>
        <w:footnoteReference w:id="15979"/>
      </w:r>
      <w:r>
        <w:t xml:space="preserve"> men have drunk well, then that which is worse: but you have kept the good wine until now.</w:t>
      </w:r>
    </w:p>
    <w:p>
      <w:r>
        <w:rPr>
          <w:b/>
        </w:rPr>
        <w:t xml:space="preserve">11 </w:t>
      </w:r>
      <w:r>
        <w:t xml:space="preserve">This beginning</w:t>
      </w:r>
      <w:r>
        <w:rPr>
          <w:rStyle w:val="FootnoteReference"/>
        </w:rPr>
        <w:footnoteReference w:id="15980"/>
      </w:r>
      <w:r>
        <w:t xml:space="preserve"> of signs Jesus did in Cana of Galilee, and manifested forth his glory; and his disciples believed in him.</w:t>
      </w:r>
    </w:p>
    <w:p>
      <w:r>
        <w:rPr>
          <w:b/>
        </w:rPr>
        <w:t xml:space="preserve">12 </w:t>
      </w:r>
      <w:r>
        <w:t xml:space="preserve">After this he went down to Capernaum</w:t>
      </w:r>
      <w:r>
        <w:rPr>
          <w:rStyle w:val="FootnoteReference"/>
        </w:rPr>
        <w:footnoteReference w:id="15981"/>
      </w:r>
      <w:r>
        <w:t xml:space="preserve">, he, and his mother, and his brothers, and his disciples: and they continued there not many days.</w:t>
      </w:r>
    </w:p>
    <w:p>
      <w:r>
        <w:rPr>
          <w:b/>
        </w:rPr>
        <w:t xml:space="preserve">13 </w:t>
      </w:r>
      <w:r>
        <w:t xml:space="preserve">And the Jews' Passover</w:t>
      </w:r>
      <w:r>
        <w:rPr>
          <w:rStyle w:val="FootnoteReference"/>
        </w:rPr>
        <w:footnoteReference w:id="15982"/>
      </w:r>
      <w:r>
        <w:t xml:space="preserve"> was at hand, and Jesus went up to Jerusalem.</w:t>
      </w:r>
    </w:p>
    <w:p>
      <w:r>
        <w:rPr>
          <w:b/>
        </w:rPr>
        <w:t xml:space="preserve">14 </w:t>
      </w:r>
      <w:r>
        <w:t xml:space="preserve">And found in the temple those that sold oxen and sheep and doves, and the changers of money sitting:</w:t>
      </w:r>
    </w:p>
    <w:p>
      <w:r>
        <w:rPr>
          <w:b/>
        </w:rPr>
        <w:t xml:space="preserve">15 </w:t>
      </w:r>
      <w:r>
        <w:t xml:space="preserve">And when he had made a scourge of small cords, he drove</w:t>
      </w:r>
      <w:r>
        <w:rPr>
          <w:rStyle w:val="FootnoteReference"/>
        </w:rPr>
        <w:footnoteReference w:id="15983"/>
      </w:r>
      <w:r>
        <w:t xml:space="preserve"> them all out of the temple, and the sheep, and the oxen; and poured out the changers' money, and overthrew the tables;</w:t>
      </w:r>
    </w:p>
    <w:p>
      <w:r>
        <w:rPr>
          <w:b/>
        </w:rPr>
        <w:t xml:space="preserve">16 </w:t>
      </w:r>
      <w:r>
        <w:t xml:space="preserve">And said to those who sold doves, Take these things from here; do not make</w:t>
      </w:r>
      <w:r>
        <w:rPr>
          <w:rStyle w:val="FootnoteReference"/>
        </w:rPr>
        <w:footnoteReference w:id="15984"/>
      </w:r>
      <w:r>
        <w:t xml:space="preserve"> my Father's house a house of merchandise.</w:t>
      </w:r>
    </w:p>
    <w:p>
      <w:r>
        <w:rPr>
          <w:b/>
        </w:rPr>
        <w:t xml:space="preserve">17 </w:t>
      </w:r>
      <w:r>
        <w:t xml:space="preserve">And his disciples remembered that it was written, The zeal</w:t>
      </w:r>
      <w:r>
        <w:rPr>
          <w:rStyle w:val="FootnoteReference"/>
        </w:rPr>
        <w:footnoteReference w:id="15985"/>
      </w:r>
      <w:r>
        <w:t xml:space="preserve"> of your house will consume me.</w:t>
      </w:r>
    </w:p>
    <w:p>
      <w:r>
        <w:rPr>
          <w:b/>
        </w:rPr>
        <w:t xml:space="preserve">18 </w:t>
      </w:r>
      <w:r>
        <w:t xml:space="preserve">Then the Jews answered and said to him, What sign do you show to us, seeing</w:t>
      </w:r>
      <w:r>
        <w:rPr>
          <w:rStyle w:val="FootnoteReference"/>
        </w:rPr>
        <w:footnoteReference w:id="15986"/>
      </w:r>
      <w:r>
        <w:t xml:space="preserve"> that you do these things?</w:t>
      </w:r>
    </w:p>
    <w:p>
      <w:r>
        <w:rPr>
          <w:b/>
        </w:rPr>
        <w:t xml:space="preserve">19 </w:t>
      </w:r>
      <w:r>
        <w:t xml:space="preserve">Jesus answered and said to them, Destroy</w:t>
      </w:r>
      <w:r>
        <w:rPr>
          <w:rStyle w:val="FootnoteReference"/>
        </w:rPr>
        <w:footnoteReference w:id="15987"/>
      </w:r>
      <w:r>
        <w:t xml:space="preserve"> this temple, and in three days I will raise it up.</w:t>
      </w:r>
    </w:p>
    <w:p>
      <w:r>
        <w:rPr>
          <w:b/>
        </w:rPr>
        <w:t xml:space="preserve">20 </w:t>
      </w:r>
      <w:r>
        <w:t xml:space="preserve">Then said the Jews, Forty-six years was this temple in building, and will you raise it up in three days?</w:t>
      </w:r>
    </w:p>
    <w:p>
      <w:r>
        <w:rPr>
          <w:b/>
        </w:rPr>
        <w:t xml:space="preserve">21 </w:t>
      </w:r>
      <w:r>
        <w:t xml:space="preserve">But he spoke of the temple</w:t>
      </w:r>
      <w:r>
        <w:rPr>
          <w:rStyle w:val="FootnoteReference"/>
        </w:rPr>
        <w:footnoteReference w:id="15988"/>
      </w:r>
      <w:r>
        <w:t xml:space="preserve"> of his body.</w:t>
      </w:r>
    </w:p>
    <w:p>
      <w:r>
        <w:rPr>
          <w:b/>
        </w:rPr>
        <w:t xml:space="preserve">22 </w:t>
      </w:r>
      <w:r>
        <w:t xml:space="preserve">When therefore he had risen from the dead, his disciples remembered that he had said this to them; and they believed the scripture, and the word which Jesus had said.</w:t>
      </w:r>
    </w:p>
    <w:p>
      <w:r>
        <w:rPr>
          <w:b/>
        </w:rPr>
        <w:t xml:space="preserve">23 </w:t>
      </w:r>
      <w:r>
        <w:t xml:space="preserve">Now when he was in Jerusalem at the Passover, in the feast, many believed in his name, when they saw the signs which he did.</w:t>
      </w:r>
    </w:p>
    <w:p>
      <w:r>
        <w:rPr>
          <w:b/>
        </w:rPr>
        <w:t xml:space="preserve">24 </w:t>
      </w:r>
      <w:r>
        <w:t xml:space="preserve">But Jesus did not commit himself to them, because he knew all,</w:t>
      </w:r>
    </w:p>
    <w:p>
      <w:r>
        <w:rPr>
          <w:b/>
        </w:rPr>
        <w:t xml:space="preserve">25 </w:t>
      </w:r>
      <w:r>
        <w:t xml:space="preserve">And did not need that any should testify of man: for he knew what was in man.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There was a man of the Pharisees, named Nicodemus</w:t>
      </w:r>
      <w:r>
        <w:rPr>
          <w:rStyle w:val="FootnoteReference"/>
        </w:rPr>
        <w:footnoteReference w:id="15989"/>
      </w:r>
      <w:r>
        <w:t xml:space="preserve">, a ruler of the Jews:</w:t>
      </w:r>
    </w:p>
    <w:p>
      <w:r>
        <w:rPr>
          <w:b/>
        </w:rPr>
        <w:t xml:space="preserve">2 </w:t>
      </w:r>
      <w:r>
        <w:t xml:space="preserve">The same came to Jesus by night, and said to him, Rabbi</w:t>
      </w:r>
      <w:r>
        <w:rPr>
          <w:rStyle w:val="FootnoteReference"/>
        </w:rPr>
        <w:footnoteReference w:id="15990"/>
      </w:r>
      <w:r>
        <w:t xml:space="preserve">, we know that you are a teacher come from God: for no one can do these signs that you do, except God be with him.</w:t>
      </w:r>
    </w:p>
    <w:p>
      <w:r>
        <w:rPr>
          <w:b/>
        </w:rPr>
        <w:t xml:space="preserve">3 </w:t>
      </w:r>
      <w:r>
        <w:t xml:space="preserve">Jesus answered and said to him, Amen, amen, I say to you, Except</w:t>
      </w:r>
      <w:r>
        <w:rPr>
          <w:rStyle w:val="FootnoteReference"/>
        </w:rPr>
        <w:footnoteReference w:id="15991"/>
      </w:r>
      <w:r>
        <w:t xml:space="preserve"> a man be born again, he cannot see the kingdom of God.</w:t>
      </w:r>
    </w:p>
    <w:p>
      <w:r>
        <w:rPr>
          <w:b/>
        </w:rPr>
        <w:t xml:space="preserve">4 </w:t>
      </w:r>
      <w:r>
        <w:t xml:space="preserve">Nicodemus says to him, How can a man be born when he is old? can he enter the second time into his mother's womb, and be born?</w:t>
      </w:r>
    </w:p>
    <w:p>
      <w:r>
        <w:rPr>
          <w:b/>
        </w:rPr>
        <w:t xml:space="preserve">5 </w:t>
      </w:r>
      <w:r>
        <w:t xml:space="preserve">Jesus answered, Amen, amen, I say to you, Except a man be born</w:t>
      </w:r>
      <w:r>
        <w:rPr>
          <w:rStyle w:val="FootnoteReference"/>
        </w:rPr>
        <w:footnoteReference w:id="15992"/>
      </w:r>
      <w:r>
        <w:t xml:space="preserve"> of water and of the Spirit, he cannot enter into the kingdom of God.</w:t>
      </w:r>
    </w:p>
    <w:p>
      <w:r>
        <w:rPr>
          <w:b/>
        </w:rPr>
        <w:t xml:space="preserve">6 </w:t>
      </w:r>
      <w:r>
        <w:t xml:space="preserve">That which is born of the flesh</w:t>
      </w:r>
      <w:r>
        <w:rPr>
          <w:rStyle w:val="FootnoteReference"/>
        </w:rPr>
        <w:footnoteReference w:id="15993"/>
      </w:r>
      <w:r>
        <w:t xml:space="preserve"> is flesh; and that which is born of the Spirit is spirit.</w:t>
      </w:r>
    </w:p>
    <w:p>
      <w:r>
        <w:rPr>
          <w:b/>
        </w:rPr>
        <w:t xml:space="preserve">7 </w:t>
      </w:r>
      <w:r>
        <w:t xml:space="preserve">Do not marvel</w:t>
      </w:r>
      <w:r>
        <w:rPr>
          <w:rStyle w:val="FootnoteReference"/>
        </w:rPr>
        <w:footnoteReference w:id="15994"/>
      </w:r>
      <w:r>
        <w:t xml:space="preserve"> that I said to you, You must be born again.</w:t>
      </w:r>
    </w:p>
    <w:p>
      <w:r>
        <w:rPr>
          <w:b/>
        </w:rPr>
        <w:t xml:space="preserve">8 </w:t>
      </w:r>
      <w:r>
        <w:t xml:space="preserve">The wind</w:t>
      </w:r>
      <w:r>
        <w:rPr>
          <w:rStyle w:val="FootnoteReference"/>
        </w:rPr>
        <w:footnoteReference w:id="15995"/>
      </w:r>
      <w:r>
        <w:t xml:space="preserve"> blows where it wills, and you hear the sound of it, but cannot tell from where it comes, and where it goes: so is every one that is born of the Spirit.</w:t>
      </w:r>
    </w:p>
    <w:p>
      <w:r>
        <w:rPr>
          <w:b/>
        </w:rPr>
        <w:t xml:space="preserve">9 </w:t>
      </w:r>
      <w:r>
        <w:t xml:space="preserve">Nicodemus answered and said to him, How can these things be?</w:t>
      </w:r>
    </w:p>
    <w:p>
      <w:r>
        <w:rPr>
          <w:b/>
        </w:rPr>
        <w:t xml:space="preserve">10 </w:t>
      </w:r>
      <w:r>
        <w:t xml:space="preserve">Jesus answered and said to him, Are you the teacher of Israel, and do not know these things?</w:t>
      </w:r>
    </w:p>
    <w:p>
      <w:r>
        <w:rPr>
          <w:b/>
        </w:rPr>
        <w:t xml:space="preserve">11 </w:t>
      </w:r>
      <w:r>
        <w:t xml:space="preserve">Amen, amen, I say to you, We speak</w:t>
      </w:r>
      <w:r>
        <w:rPr>
          <w:rStyle w:val="FootnoteReference"/>
        </w:rPr>
        <w:footnoteReference w:id="15996"/>
      </w:r>
      <w:r>
        <w:t xml:space="preserve"> that we do know, and testify that we have seen; and you receive not our witness.</w:t>
      </w:r>
    </w:p>
    <w:p>
      <w:r>
        <w:rPr>
          <w:b/>
        </w:rPr>
        <w:t xml:space="preserve">12 </w:t>
      </w:r>
      <w:r>
        <w:t xml:space="preserve">If I have told you earthly</w:t>
      </w:r>
      <w:r>
        <w:rPr>
          <w:rStyle w:val="FootnoteReference"/>
        </w:rPr>
        <w:footnoteReference w:id="15997"/>
      </w:r>
      <w:r>
        <w:t xml:space="preserve"> things, and you do not believe, how shall you believe, if I tell you of heavenly things?</w:t>
      </w:r>
    </w:p>
    <w:p>
      <w:r>
        <w:rPr>
          <w:b/>
        </w:rPr>
        <w:t xml:space="preserve">13 </w:t>
      </w:r>
      <w:r>
        <w:t xml:space="preserve">And no one has ascended to heaven, but the one who came down from heaven, even the Son of man who is in heaven.</w:t>
      </w:r>
    </w:p>
    <w:p>
      <w:r>
        <w:rPr>
          <w:b/>
        </w:rPr>
        <w:t xml:space="preserve">14 </w:t>
      </w:r>
      <w:r>
        <w:t xml:space="preserve">And as Moses lifted up the serpent in the wilderness, even so must the Son of man be lifted up:</w:t>
      </w:r>
    </w:p>
    <w:p>
      <w:r>
        <w:rPr>
          <w:b/>
        </w:rPr>
        <w:t xml:space="preserve">15 </w:t>
      </w:r>
      <w:r>
        <w:t xml:space="preserve">That whoever believes in him should not perish, but have eternal</w:t>
      </w:r>
      <w:r>
        <w:rPr>
          <w:rStyle w:val="FootnoteReference"/>
        </w:rPr>
        <w:footnoteReference w:id="15998"/>
      </w:r>
      <w:r>
        <w:t xml:space="preserve"> life.</w:t>
      </w:r>
    </w:p>
    <w:p>
      <w:r>
        <w:rPr>
          <w:b/>
        </w:rPr>
        <w:t xml:space="preserve">16 </w:t>
      </w:r>
      <w:r>
        <w:t xml:space="preserve">For God so loved the world, that he gave</w:t>
      </w:r>
      <w:r>
        <w:rPr>
          <w:rStyle w:val="FootnoteReference"/>
        </w:rPr>
        <w:footnoteReference w:id="15999"/>
      </w:r>
      <w:r>
        <w:t xml:space="preserve"> his only begotten Son, that whoever believes in him should not perish, but have eternal life.</w:t>
      </w:r>
    </w:p>
    <w:p>
      <w:r>
        <w:rPr>
          <w:b/>
        </w:rPr>
        <w:t xml:space="preserve">17 </w:t>
      </w:r>
      <w:r>
        <w:t xml:space="preserve">For God sent not his Son into the world to condemn the world; but that the world through him might be saved.</w:t>
      </w:r>
    </w:p>
    <w:p>
      <w:r>
        <w:rPr>
          <w:b/>
        </w:rPr>
        <w:t xml:space="preserve">18 </w:t>
      </w:r>
      <w:r>
        <w:t xml:space="preserve">the one who believes on him is not condemned: but the one who does not believe is condemned already, because he has not believed in the name of the only begotten Son of God.</w:t>
      </w:r>
    </w:p>
    <w:p>
      <w:r>
        <w:rPr>
          <w:b/>
        </w:rPr>
        <w:t xml:space="preserve">19 </w:t>
      </w:r>
      <w:r>
        <w:t xml:space="preserve">And this is the condemnation, that light has come into the world, and people loved darkness rather than light, because their deeds were evil.</w:t>
      </w:r>
    </w:p>
    <w:p>
      <w:r>
        <w:rPr>
          <w:b/>
        </w:rPr>
        <w:t xml:space="preserve">20 </w:t>
      </w:r>
      <w:r>
        <w:t xml:space="preserve">For everyone that does evil hates the light, neither comes to the light, lest his deeds should be exposed.</w:t>
      </w:r>
    </w:p>
    <w:p>
      <w:r>
        <w:rPr>
          <w:b/>
        </w:rPr>
        <w:t xml:space="preserve">21 </w:t>
      </w:r>
      <w:r>
        <w:t xml:space="preserve">But the one who does truth comes to the light, that his</w:t>
      </w:r>
      <w:r>
        <w:rPr>
          <w:rStyle w:val="FootnoteReference"/>
        </w:rPr>
        <w:footnoteReference w:id="16000"/>
      </w:r>
      <w:r>
        <w:t xml:space="preserve"> deeds may be made manifest, that they are worked in God.</w:t>
      </w:r>
    </w:p>
    <w:p>
      <w:r>
        <w:rPr>
          <w:b/>
        </w:rPr>
        <w:t xml:space="preserve">22 </w:t>
      </w:r>
      <w:r>
        <w:t xml:space="preserve">After these things came Jesus and his disciples into the land of Judea; and there he stayed with them, and baptized</w:t>
      </w:r>
      <w:r>
        <w:rPr>
          <w:rStyle w:val="FootnoteReference"/>
        </w:rPr>
        <w:footnoteReference w:id="16001"/>
      </w:r>
      <w:r>
        <w:t xml:space="preserve">.</w:t>
      </w:r>
    </w:p>
    <w:p>
      <w:r>
        <w:rPr>
          <w:b/>
        </w:rPr>
        <w:t xml:space="preserve">23 </w:t>
      </w:r>
      <w:r>
        <w:t xml:space="preserve">And John also was baptizing in Aenon</w:t>
      </w:r>
      <w:r>
        <w:rPr>
          <w:rStyle w:val="FootnoteReference"/>
        </w:rPr>
        <w:footnoteReference w:id="16002"/>
      </w:r>
      <w:r>
        <w:t xml:space="preserve"> near</w:t>
      </w:r>
      <w:r>
        <w:rPr>
          <w:rStyle w:val="FootnoteReference"/>
        </w:rPr>
        <w:footnoteReference w:id="16003"/>
      </w:r>
      <w:r>
        <w:t xml:space="preserve"> to Salim</w:t>
      </w:r>
      <w:r>
        <w:rPr>
          <w:rStyle w:val="FootnoteReference"/>
        </w:rPr>
        <w:footnoteReference w:id="16004"/>
      </w:r>
      <w:r>
        <w:t xml:space="preserve">, because there was much water there: and they came, and were baptized.</w:t>
      </w:r>
    </w:p>
    <w:p>
      <w:r>
        <w:rPr>
          <w:b/>
        </w:rPr>
        <w:t xml:space="preserve">24 </w:t>
      </w:r>
      <w:r>
        <w:t xml:space="preserve">For John was not yet thrown into prison.</w:t>
      </w:r>
    </w:p>
    <w:p>
      <w:r>
        <w:rPr>
          <w:b/>
        </w:rPr>
        <w:t xml:space="preserve">25 </w:t>
      </w:r>
      <w:r>
        <w:t xml:space="preserve">Then there arose a question between some of John's disciples and the Jews about purifying.</w:t>
      </w:r>
    </w:p>
    <w:p>
      <w:r>
        <w:rPr>
          <w:b/>
        </w:rPr>
        <w:t xml:space="preserve">26 </w:t>
      </w:r>
      <w:r>
        <w:t xml:space="preserve">And they came to John, and said to him, Rabbi, the one who was with you beyond Jordan, to whom</w:t>
      </w:r>
      <w:r>
        <w:rPr>
          <w:rStyle w:val="FootnoteReference"/>
        </w:rPr>
        <w:footnoteReference w:id="16005"/>
      </w:r>
      <w:r>
        <w:t xml:space="preserve"> you bore witness, look, the same baptizes, and all come to him.</w:t>
      </w:r>
    </w:p>
    <w:p>
      <w:r>
        <w:rPr>
          <w:b/>
        </w:rPr>
        <w:t xml:space="preserve">27 </w:t>
      </w:r>
      <w:r>
        <w:t xml:space="preserve">John answered and said, A man</w:t>
      </w:r>
      <w:r>
        <w:rPr>
          <w:rStyle w:val="FootnoteReference"/>
        </w:rPr>
        <w:footnoteReference w:id="16006"/>
      </w:r>
      <w:r>
        <w:t xml:space="preserve"> can receive nothing, unless it has been given him from heaven.</w:t>
      </w:r>
    </w:p>
    <w:p>
      <w:r>
        <w:rPr>
          <w:b/>
        </w:rPr>
        <w:t xml:space="preserve">28 </w:t>
      </w:r>
      <w:r>
        <w:t xml:space="preserve">You yourselves bear me witness, that I said</w:t>
      </w:r>
      <w:r>
        <w:rPr>
          <w:rStyle w:val="FootnoteReference"/>
        </w:rPr>
        <w:footnoteReference w:id="16007"/>
      </w:r>
      <w:r>
        <w:t xml:space="preserve">, I am not the Christ, but that I have been sent before him.</w:t>
      </w:r>
    </w:p>
    <w:p>
      <w:r>
        <w:rPr>
          <w:b/>
        </w:rPr>
        <w:t xml:space="preserve">29 </w:t>
      </w:r>
      <w:r>
        <w:t xml:space="preserve">The one who has the bride is the bridegroom: but the friend</w:t>
      </w:r>
      <w:r>
        <w:rPr>
          <w:rStyle w:val="FootnoteReference"/>
        </w:rPr>
        <w:footnoteReference w:id="16008"/>
      </w:r>
      <w:r>
        <w:t xml:space="preserve"> of the bridegroom, who stands and hears him, rejoices greatly because of the bridegroom's voice: this my joy therefore is fulfilled.</w:t>
      </w:r>
    </w:p>
    <w:p>
      <w:r>
        <w:rPr>
          <w:b/>
        </w:rPr>
        <w:t xml:space="preserve">30 </w:t>
      </w:r>
      <w:r>
        <w:t xml:space="preserve">He must increase</w:t>
      </w:r>
      <w:r>
        <w:rPr>
          <w:rStyle w:val="FootnoteReference"/>
        </w:rPr>
        <w:footnoteReference w:id="16009"/>
      </w:r>
      <w:r>
        <w:t xml:space="preserve">, but I must decrease.</w:t>
      </w:r>
    </w:p>
    <w:p>
      <w:r>
        <w:rPr>
          <w:b/>
        </w:rPr>
        <w:t xml:space="preserve">31 </w:t>
      </w:r>
      <w:r>
        <w:t xml:space="preserve">The one who comes from above is above</w:t>
      </w:r>
      <w:r>
        <w:rPr>
          <w:rStyle w:val="FootnoteReference"/>
        </w:rPr>
        <w:footnoteReference w:id="16010"/>
      </w:r>
      <w:r>
        <w:t xml:space="preserve"> all: the one who is of the earth is earthly, and speaks of the earth: the one who comes from heaven is above all.</w:t>
      </w:r>
    </w:p>
    <w:p>
      <w:r>
        <w:rPr>
          <w:b/>
        </w:rPr>
        <w:t xml:space="preserve">32 </w:t>
      </w:r>
      <w:r>
        <w:t xml:space="preserve">And what he has seen and heard, that he testifies; and no</w:t>
      </w:r>
      <w:r>
        <w:rPr>
          <w:rStyle w:val="FootnoteReference"/>
        </w:rPr>
        <w:footnoteReference w:id="16011"/>
      </w:r>
      <w:r>
        <w:t xml:space="preserve"> one receives his testimony.</w:t>
      </w:r>
    </w:p>
    <w:p>
      <w:r>
        <w:rPr>
          <w:b/>
        </w:rPr>
        <w:t xml:space="preserve">33 </w:t>
      </w:r>
      <w:r>
        <w:t xml:space="preserve">The one who has received his testimony has set his seal that God is true.</w:t>
      </w:r>
    </w:p>
    <w:p>
      <w:r>
        <w:rPr>
          <w:b/>
        </w:rPr>
        <w:t xml:space="preserve">34 </w:t>
      </w:r>
      <w:r>
        <w:t xml:space="preserve">For he whom God has sent speaks the words of God: for God</w:t>
      </w:r>
      <w:r>
        <w:rPr>
          <w:rStyle w:val="FootnoteReference"/>
        </w:rPr>
        <w:footnoteReference w:id="16012"/>
      </w:r>
      <w:r>
        <w:t xml:space="preserve"> does not give the Spirit by measure to him.</w:t>
      </w:r>
    </w:p>
    <w:p>
      <w:r>
        <w:rPr>
          <w:b/>
        </w:rPr>
        <w:t xml:space="preserve">35 </w:t>
      </w:r>
      <w:r>
        <w:t xml:space="preserve">The Father</w:t>
      </w:r>
      <w:r>
        <w:rPr>
          <w:rStyle w:val="FootnoteReference"/>
        </w:rPr>
        <w:footnoteReference w:id="16013"/>
      </w:r>
      <w:r>
        <w:t xml:space="preserve"> loves the Son, and has given all things into his hand.</w:t>
      </w:r>
    </w:p>
    <w:p>
      <w:r>
        <w:rPr>
          <w:b/>
        </w:rPr>
        <w:t xml:space="preserve">36 </w:t>
      </w:r>
      <w:r>
        <w:t xml:space="preserve">the one who believes on the Son has eternal life: and the one who does not believe the Son shall not see life; but the wrath of God abides on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When therefore the Lord</w:t>
      </w:r>
      <w:r>
        <w:rPr>
          <w:rStyle w:val="FootnoteReference"/>
        </w:rPr>
        <w:footnoteReference w:id="16014"/>
      </w:r>
      <w:r>
        <w:t xml:space="preserve"> knew that the Pharisees had heard that Jesus made and baptized more disciples than John,</w:t>
      </w:r>
    </w:p>
    <w:p>
      <w:r>
        <w:rPr>
          <w:b/>
        </w:rPr>
        <w:t xml:space="preserve">2 </w:t>
      </w:r>
      <w:r>
        <w:t xml:space="preserve">(Though Jesus himself did not baptize, but his disciples,)</w:t>
      </w:r>
    </w:p>
    <w:p>
      <w:r>
        <w:rPr>
          <w:b/>
        </w:rPr>
        <w:t xml:space="preserve">3 </w:t>
      </w:r>
      <w:r>
        <w:t xml:space="preserve">He left</w:t>
      </w:r>
      <w:r>
        <w:rPr>
          <w:rStyle w:val="FootnoteReference"/>
        </w:rPr>
        <w:footnoteReference w:id="16015"/>
      </w:r>
      <w:r>
        <w:t xml:space="preserve"> Judea, and departed again into Galilee.</w:t>
      </w:r>
    </w:p>
    <w:p>
      <w:r>
        <w:rPr>
          <w:b/>
        </w:rPr>
        <w:t xml:space="preserve">4 </w:t>
      </w:r>
      <w:r>
        <w:t xml:space="preserve">And he must go through Samaria.</w:t>
      </w:r>
    </w:p>
    <w:p>
      <w:r>
        <w:rPr>
          <w:b/>
        </w:rPr>
        <w:t xml:space="preserve">5 </w:t>
      </w:r>
      <w:r>
        <w:t xml:space="preserve">Then he comes to a city of Samaria, which is called Sychar</w:t>
      </w:r>
      <w:r>
        <w:rPr>
          <w:rStyle w:val="FootnoteReference"/>
        </w:rPr>
        <w:footnoteReference w:id="16016"/>
      </w:r>
      <w:r>
        <w:t xml:space="preserve">, near to the piece of ground that Jacob gave to his son Joseph.</w:t>
      </w:r>
    </w:p>
    <w:p>
      <w:r>
        <w:rPr>
          <w:b/>
        </w:rPr>
        <w:t xml:space="preserve">6 </w:t>
      </w:r>
      <w:r>
        <w:t xml:space="preserve">Now Jacob's well was there. Jesus therefore, being wearied with his journey, sat thus by the well: and it was about the sixth</w:t>
      </w:r>
      <w:r>
        <w:rPr>
          <w:rStyle w:val="FootnoteReference"/>
        </w:rPr>
        <w:footnoteReference w:id="16017"/>
      </w:r>
      <w:r>
        <w:t xml:space="preserve"> hour.</w:t>
      </w:r>
    </w:p>
    <w:p>
      <w:r>
        <w:rPr>
          <w:b/>
        </w:rPr>
        <w:t xml:space="preserve">7 </w:t>
      </w:r>
      <w:r>
        <w:t xml:space="preserve">A woman of Samaria comes to draw water: Jesus says to her, Give</w:t>
      </w:r>
      <w:r>
        <w:rPr>
          <w:rStyle w:val="FootnoteReference"/>
        </w:rPr>
        <w:footnoteReference w:id="16018"/>
      </w:r>
      <w:r>
        <w:t xml:space="preserve"> me a drink.</w:t>
      </w:r>
    </w:p>
    <w:p>
      <w:r>
        <w:rPr>
          <w:b/>
        </w:rPr>
        <w:t xml:space="preserve">8 </w:t>
      </w:r>
      <w:r>
        <w:t xml:space="preserve">(For his disciples were gone away to the city to buy</w:t>
      </w:r>
      <w:r>
        <w:rPr>
          <w:rStyle w:val="FootnoteReference"/>
        </w:rPr>
        <w:footnoteReference w:id="16019"/>
      </w:r>
      <w:r>
        <w:t xml:space="preserve"> food.)</w:t>
      </w:r>
    </w:p>
    <w:p>
      <w:r>
        <w:rPr>
          <w:b/>
        </w:rPr>
        <w:t xml:space="preserve">9 </w:t>
      </w:r>
      <w:r>
        <w:t xml:space="preserve">Then says the woman of Samaria to him, How is it that you, being a Jew</w:t>
      </w:r>
      <w:r>
        <w:rPr>
          <w:rStyle w:val="FootnoteReference"/>
        </w:rPr>
        <w:footnoteReference w:id="16020"/>
      </w:r>
      <w:r>
        <w:t xml:space="preserve">, ask drink of me, being a woman of Samaria? for the Jews have no dealings with the Samaritans.</w:t>
      </w:r>
    </w:p>
    <w:p>
      <w:r>
        <w:rPr>
          <w:b/>
        </w:rPr>
        <w:t xml:space="preserve">10 </w:t>
      </w:r>
      <w:r>
        <w:t xml:space="preserve">Jesus answered and said to her, If you knew the gift of God, and who</w:t>
      </w:r>
      <w:r>
        <w:rPr>
          <w:rStyle w:val="FootnoteReference"/>
        </w:rPr>
        <w:footnoteReference w:id="16021"/>
      </w:r>
      <w:r>
        <w:t xml:space="preserve"> it is that says to you, Give me to drink; you would have asked of him, and he would have given you living water.</w:t>
      </w:r>
    </w:p>
    <w:p>
      <w:r>
        <w:rPr>
          <w:b/>
        </w:rPr>
        <w:t xml:space="preserve">11 </w:t>
      </w:r>
      <w:r>
        <w:t xml:space="preserve">The woman says to him, Sir, you have nothing to draw with, and the well is deep: from where then have you that living water?</w:t>
      </w:r>
    </w:p>
    <w:p>
      <w:r>
        <w:rPr>
          <w:b/>
        </w:rPr>
        <w:t xml:space="preserve">12 </w:t>
      </w:r>
      <w:r>
        <w:t xml:space="preserve">Are you greater than our father Jacob, who gave us the well, and drank of it himself, and his children, and his livestock?</w:t>
      </w:r>
    </w:p>
    <w:p>
      <w:r>
        <w:rPr>
          <w:b/>
        </w:rPr>
        <w:t xml:space="preserve">13 </w:t>
      </w:r>
      <w:r>
        <w:t xml:space="preserve">Jesus answered and said to her, Whoever drinks of this water shall thirst again:</w:t>
      </w:r>
    </w:p>
    <w:p>
      <w:r>
        <w:rPr>
          <w:b/>
        </w:rPr>
        <w:t xml:space="preserve">14 </w:t>
      </w:r>
      <w:r>
        <w:t xml:space="preserve">But whoever drinks of the water that I shall give him shall never</w:t>
      </w:r>
      <w:r>
        <w:rPr>
          <w:rStyle w:val="FootnoteReference"/>
        </w:rPr>
        <w:footnoteReference w:id="16022"/>
      </w:r>
      <w:r>
        <w:t xml:space="preserve"> thirst; but the water that I shall give him shall be in him a well of water springing up into eternal life.</w:t>
      </w:r>
    </w:p>
    <w:p>
      <w:r>
        <w:rPr>
          <w:b/>
        </w:rPr>
        <w:t xml:space="preserve">15 </w:t>
      </w:r>
      <w:r>
        <w:t xml:space="preserve">The woman says to him, Sir, give</w:t>
      </w:r>
      <w:r>
        <w:rPr>
          <w:rStyle w:val="FootnoteReference"/>
        </w:rPr>
        <w:footnoteReference w:id="16023"/>
      </w:r>
      <w:r>
        <w:t xml:space="preserve"> me this water, that I do not thirst, neither come here to draw.</w:t>
      </w:r>
    </w:p>
    <w:p>
      <w:r>
        <w:rPr>
          <w:b/>
        </w:rPr>
        <w:t xml:space="preserve">16 </w:t>
      </w:r>
      <w:r>
        <w:t xml:space="preserve">Jesus says to her, Go, call your husband, and come here.</w:t>
      </w:r>
    </w:p>
    <w:p>
      <w:r>
        <w:rPr>
          <w:b/>
        </w:rPr>
        <w:t xml:space="preserve">17 </w:t>
      </w:r>
      <w:r>
        <w:t xml:space="preserve">The woman answered and said, I have no husband. Jesus said to her, You have well said, I have no husband:</w:t>
      </w:r>
    </w:p>
    <w:p>
      <w:r>
        <w:rPr>
          <w:b/>
        </w:rPr>
        <w:t xml:space="preserve">18 </w:t>
      </w:r>
      <w:r>
        <w:t xml:space="preserve">For you have had five husbands; and he whom you now have is not your husband: in that you said truly.</w:t>
      </w:r>
    </w:p>
    <w:p>
      <w:r>
        <w:rPr>
          <w:b/>
        </w:rPr>
        <w:t xml:space="preserve">19 </w:t>
      </w:r>
      <w:r>
        <w:t xml:space="preserve">The woman says to him, Sir, I perceive</w:t>
      </w:r>
      <w:r>
        <w:rPr>
          <w:rStyle w:val="FootnoteReference"/>
        </w:rPr>
        <w:footnoteReference w:id="16024"/>
      </w:r>
      <w:r>
        <w:t xml:space="preserve"> that you are a prophet.</w:t>
      </w:r>
    </w:p>
    <w:p>
      <w:r>
        <w:rPr>
          <w:b/>
        </w:rPr>
        <w:t xml:space="preserve">20 </w:t>
      </w:r>
      <w:r>
        <w:t xml:space="preserve">Our fathers</w:t>
      </w:r>
      <w:r>
        <w:rPr>
          <w:rStyle w:val="FootnoteReference"/>
        </w:rPr>
        <w:footnoteReference w:id="16025"/>
      </w:r>
      <w:r>
        <w:t xml:space="preserve"> worshiped in this mountain; and you say, that in Jerusalem is the place where one ought to worship.</w:t>
      </w:r>
    </w:p>
    <w:p>
      <w:r>
        <w:rPr>
          <w:b/>
        </w:rPr>
        <w:t xml:space="preserve">21 </w:t>
      </w:r>
      <w:r>
        <w:t xml:space="preserve">Jesus says to her, Woman, believe me, the hour comes, when you shall neither in this mountain, nor yet at Jerusalem, worship</w:t>
      </w:r>
      <w:r>
        <w:rPr>
          <w:rStyle w:val="FootnoteReference"/>
        </w:rPr>
        <w:footnoteReference w:id="16026"/>
      </w:r>
      <w:r>
        <w:t xml:space="preserve"> the Father.</w:t>
      </w:r>
    </w:p>
    <w:p>
      <w:r>
        <w:rPr>
          <w:b/>
        </w:rPr>
        <w:t xml:space="preserve">22 </w:t>
      </w:r>
      <w:r>
        <w:t xml:space="preserve">You worship what you do not know: we know what we worship</w:t>
      </w:r>
      <w:r>
        <w:rPr>
          <w:rStyle w:val="FootnoteReference"/>
        </w:rPr>
        <w:footnoteReference w:id="16027"/>
      </w:r>
      <w:r>
        <w:t xml:space="preserve">: for salvation is of the Jews.</w:t>
      </w:r>
    </w:p>
    <w:p>
      <w:r>
        <w:rPr>
          <w:b/>
        </w:rPr>
        <w:t xml:space="preserve">23 </w:t>
      </w:r>
      <w:r>
        <w:t xml:space="preserve">But the hour</w:t>
      </w:r>
      <w:r>
        <w:rPr>
          <w:rStyle w:val="FootnoteReference"/>
        </w:rPr>
        <w:footnoteReference w:id="16028"/>
      </w:r>
      <w:r>
        <w:t xml:space="preserve"> comes, and now is, when the true worshippers shall worship the Father in spirit and in truth: for the Father seeks such to worship him.</w:t>
      </w:r>
    </w:p>
    <w:p>
      <w:r>
        <w:rPr>
          <w:b/>
        </w:rPr>
        <w:t xml:space="preserve">24 </w:t>
      </w:r>
      <w:r>
        <w:t xml:space="preserve">God is Spirit: and those who worship him must</w:t>
      </w:r>
      <w:r>
        <w:rPr>
          <w:rStyle w:val="FootnoteReference"/>
        </w:rPr>
        <w:footnoteReference w:id="16029"/>
      </w:r>
      <w:r>
        <w:t xml:space="preserve"> worship him in spirit and in truth.</w:t>
      </w:r>
    </w:p>
    <w:p>
      <w:r>
        <w:rPr>
          <w:b/>
        </w:rPr>
        <w:t xml:space="preserve">25 </w:t>
      </w:r>
      <w:r>
        <w:t xml:space="preserve">The woman says to him, I know that Messiah comes, which is called Christ: when he has come, he will tell us all things.</w:t>
      </w:r>
    </w:p>
    <w:p>
      <w:r>
        <w:rPr>
          <w:b/>
        </w:rPr>
        <w:t xml:space="preserve">26 </w:t>
      </w:r>
      <w:r>
        <w:t xml:space="preserve">Jesus says to her, I who speak to you am he.</w:t>
      </w:r>
    </w:p>
    <w:p>
      <w:r>
        <w:rPr>
          <w:b/>
        </w:rPr>
        <w:t xml:space="preserve">27 </w:t>
      </w:r>
      <w:r>
        <w:t xml:space="preserve">And upon this came his disciples, and marveled that he talked with the woman: yet no one said, What seek you? or, Why talk you with her?</w:t>
      </w:r>
    </w:p>
    <w:p>
      <w:r>
        <w:rPr>
          <w:b/>
        </w:rPr>
        <w:t xml:space="preserve">28 </w:t>
      </w:r>
      <w:r>
        <w:t xml:space="preserve">The woman then left her waterpot, and went into the city, and says to the men,</w:t>
      </w:r>
    </w:p>
    <w:p>
      <w:r>
        <w:rPr>
          <w:b/>
        </w:rPr>
        <w:t xml:space="preserve">29 </w:t>
      </w:r>
      <w:r>
        <w:t xml:space="preserve">Come, see a man, who told me all things that ever I did: is not this the Christ?</w:t>
      </w:r>
    </w:p>
    <w:p>
      <w:r>
        <w:rPr>
          <w:b/>
        </w:rPr>
        <w:t xml:space="preserve">30 </w:t>
      </w:r>
      <w:r>
        <w:t xml:space="preserve">Then they went out of the city, and came to him.</w:t>
      </w:r>
    </w:p>
    <w:p>
      <w:r>
        <w:rPr>
          <w:b/>
        </w:rPr>
        <w:t xml:space="preserve">31 </w:t>
      </w:r>
      <w:r>
        <w:t xml:space="preserve">Meanwhile his disciples urged him, saying, Teacher, eat.</w:t>
      </w:r>
    </w:p>
    <w:p>
      <w:r>
        <w:rPr>
          <w:b/>
        </w:rPr>
        <w:t xml:space="preserve">32 </w:t>
      </w:r>
      <w:r>
        <w:t xml:space="preserve">But he said to them, I have food to eat that you do not know of.</w:t>
      </w:r>
    </w:p>
    <w:p>
      <w:r>
        <w:rPr>
          <w:b/>
        </w:rPr>
        <w:t xml:space="preserve">33 </w:t>
      </w:r>
      <w:r>
        <w:t xml:space="preserve">Therefore the disciples said one to another, Has anyone brought him anything to eat?</w:t>
      </w:r>
    </w:p>
    <w:p>
      <w:r>
        <w:rPr>
          <w:b/>
        </w:rPr>
        <w:t xml:space="preserve">34 </w:t>
      </w:r>
      <w:r>
        <w:t xml:space="preserve">Jesus says to them, My food is to do the will of him who sent me, and to finish his work.</w:t>
      </w:r>
    </w:p>
    <w:p>
      <w:r>
        <w:rPr>
          <w:b/>
        </w:rPr>
        <w:t xml:space="preserve">35 </w:t>
      </w:r>
      <w:r>
        <w:t xml:space="preserve">Do you not say, There are yet four months, and then comes harvest? Look, I say to you, Lift up your eyes, and look on the fields; for they are already white for harvest.</w:t>
      </w:r>
    </w:p>
    <w:p>
      <w:r>
        <w:rPr>
          <w:b/>
        </w:rPr>
        <w:t xml:space="preserve">36 </w:t>
      </w:r>
      <w:r>
        <w:t xml:space="preserve">And the one who reaps receives wages, and gathers fruit to life eternal: that both the one who sows and the one who reaps may rejoice together.</w:t>
      </w:r>
    </w:p>
    <w:p>
      <w:r>
        <w:rPr>
          <w:b/>
        </w:rPr>
        <w:t xml:space="preserve">37 </w:t>
      </w:r>
      <w:r>
        <w:t xml:space="preserve">And in this the saying is true, One sows, and another reaps.</w:t>
      </w:r>
    </w:p>
    <w:p>
      <w:r>
        <w:rPr>
          <w:b/>
        </w:rPr>
        <w:t xml:space="preserve">38 </w:t>
      </w:r>
      <w:r>
        <w:t xml:space="preserve">I sent</w:t>
      </w:r>
      <w:r>
        <w:rPr>
          <w:rStyle w:val="FootnoteReference"/>
        </w:rPr>
        <w:footnoteReference w:id="16030"/>
      </w:r>
      <w:r>
        <w:t xml:space="preserve"> you to reap that on which you bestowed no labor: other men labored, and you are entered into their labors.</w:t>
      </w:r>
    </w:p>
    <w:p>
      <w:r>
        <w:rPr>
          <w:b/>
        </w:rPr>
        <w:t xml:space="preserve">39 </w:t>
      </w:r>
      <w:r>
        <w:t xml:space="preserve">And many of the Samaritans of that city believed on him for the saying of the woman, who testified, He told me all that ever I did.</w:t>
      </w:r>
    </w:p>
    <w:p>
      <w:r>
        <w:rPr>
          <w:b/>
        </w:rPr>
        <w:t xml:space="preserve">40 </w:t>
      </w:r>
      <w:r>
        <w:t xml:space="preserve">So when the Samaritans had come to him, they begged him that he would tarry with them: and he remained there two days.</w:t>
      </w:r>
    </w:p>
    <w:p>
      <w:r>
        <w:rPr>
          <w:b/>
        </w:rPr>
        <w:t xml:space="preserve">41 </w:t>
      </w:r>
      <w:r>
        <w:t xml:space="preserve">And many more believed because of his own word;</w:t>
      </w:r>
    </w:p>
    <w:p>
      <w:r>
        <w:rPr>
          <w:b/>
        </w:rPr>
        <w:t xml:space="preserve">42 </w:t>
      </w:r>
      <w:r>
        <w:t xml:space="preserve">And said to the woman, Now we believe, not because of your saying: for we have heard him ourselves, and know</w:t>
      </w:r>
      <w:r>
        <w:rPr>
          <w:rStyle w:val="FootnoteReference"/>
        </w:rPr>
        <w:footnoteReference w:id="16031"/>
      </w:r>
      <w:r>
        <w:t xml:space="preserve"> that this is indeed the Christ, the Savior of the world.</w:t>
      </w:r>
    </w:p>
    <w:p>
      <w:r>
        <w:rPr>
          <w:b/>
        </w:rPr>
        <w:t xml:space="preserve">43 </w:t>
      </w:r>
      <w:r>
        <w:t xml:space="preserve">Now after two days he departed from there, and went into Galilee.</w:t>
      </w:r>
    </w:p>
    <w:p>
      <w:r>
        <w:rPr>
          <w:b/>
        </w:rPr>
        <w:t xml:space="preserve">44 </w:t>
      </w:r>
      <w:r>
        <w:t xml:space="preserve">For Jesus himself testified, that a prophet has no honor in his own country.</w:t>
      </w:r>
    </w:p>
    <w:p>
      <w:r>
        <w:rPr>
          <w:b/>
        </w:rPr>
        <w:t xml:space="preserve">45 </w:t>
      </w:r>
      <w:r>
        <w:t xml:space="preserve">Then when he had come into Galilee, the Galileans received him, having seen all the things that he did at Jerusalem at the feast: for they also went to the feast.</w:t>
      </w:r>
    </w:p>
    <w:p>
      <w:r>
        <w:rPr>
          <w:b/>
        </w:rPr>
        <w:t xml:space="preserve">46 </w:t>
      </w:r>
      <w:r>
        <w:t xml:space="preserve">So Jesus came again into Cana</w:t>
      </w:r>
      <w:r>
        <w:rPr>
          <w:rStyle w:val="FootnoteReference"/>
        </w:rPr>
        <w:footnoteReference w:id="16032"/>
      </w:r>
      <w:r>
        <w:t xml:space="preserve"> of Galilee, where he made the water wine. And there was a certain royal official, whose son was sick at Capernaum.</w:t>
      </w:r>
    </w:p>
    <w:p>
      <w:r>
        <w:rPr>
          <w:b/>
        </w:rPr>
        <w:t xml:space="preserve">47 </w:t>
      </w:r>
      <w:r>
        <w:t xml:space="preserve">When he heard</w:t>
      </w:r>
      <w:r>
        <w:rPr>
          <w:rStyle w:val="FootnoteReference"/>
        </w:rPr>
        <w:footnoteReference w:id="16033"/>
      </w:r>
      <w:r>
        <w:t xml:space="preserve"> that Jesus had come out of Judea into Galilee, he went to him, and begged him that he would come down, and heal his son: for he was at the point of death.</w:t>
      </w:r>
    </w:p>
    <w:p>
      <w:r>
        <w:rPr>
          <w:b/>
        </w:rPr>
        <w:t xml:space="preserve">48 </w:t>
      </w:r>
      <w:r>
        <w:t xml:space="preserve">Then said Jesus to him, Except</w:t>
      </w:r>
      <w:r>
        <w:rPr>
          <w:rStyle w:val="FootnoteReference"/>
        </w:rPr>
        <w:footnoteReference w:id="16034"/>
      </w:r>
      <w:r>
        <w:t xml:space="preserve"> you see signs and wonders, you will not believe.</w:t>
      </w:r>
    </w:p>
    <w:p>
      <w:r>
        <w:rPr>
          <w:b/>
        </w:rPr>
        <w:t xml:space="preserve">49 </w:t>
      </w:r>
      <w:r>
        <w:t xml:space="preserve">The royal official says to him, Sir, come down before my child dies.</w:t>
      </w:r>
    </w:p>
    <w:p>
      <w:r>
        <w:rPr>
          <w:b/>
        </w:rPr>
        <w:t xml:space="preserve">50 </w:t>
      </w:r>
      <w:r>
        <w:t xml:space="preserve">Jesus says to him, Go your way; your son lives. And the man believed the word that Jesus had spoken to him, and he went his way.</w:t>
      </w:r>
    </w:p>
    <w:p>
      <w:r>
        <w:rPr>
          <w:b/>
        </w:rPr>
        <w:t xml:space="preserve">51 </w:t>
      </w:r>
      <w:r>
        <w:t xml:space="preserve">And as he was now going down, his slaves met him, and told him, saying, Your son lives.</w:t>
      </w:r>
    </w:p>
    <w:p>
      <w:r>
        <w:rPr>
          <w:b/>
        </w:rPr>
        <w:t xml:space="preserve">52 </w:t>
      </w:r>
      <w:r>
        <w:t xml:space="preserve">Then he inquired of them the hour when he began to get better. And they said to him, Yesterday at the seventh hour the fever left him.</w:t>
      </w:r>
    </w:p>
    <w:p>
      <w:r>
        <w:rPr>
          <w:b/>
        </w:rPr>
        <w:t xml:space="preserve">53 </w:t>
      </w:r>
      <w:r>
        <w:t xml:space="preserve">So the father knew that it was at the</w:t>
      </w:r>
      <w:r>
        <w:rPr>
          <w:rStyle w:val="FootnoteReference"/>
        </w:rPr>
        <w:footnoteReference w:id="16035"/>
      </w:r>
      <w:r>
        <w:t xml:space="preserve"> same hour, in which Jesus said to him, Your son lives: and he himself believed, and his whole house.</w:t>
      </w:r>
    </w:p>
    <w:p>
      <w:r>
        <w:rPr>
          <w:b/>
        </w:rPr>
        <w:t xml:space="preserve">54 </w:t>
      </w:r>
      <w:r>
        <w:t xml:space="preserve">This is again the second sign that Jesus did, when he had come out of Judea into Galilee.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After this there was a feast of the Jews; and Jesus went up to Jerusalem.</w:t>
      </w:r>
    </w:p>
    <w:p>
      <w:r>
        <w:rPr>
          <w:b/>
        </w:rPr>
        <w:t xml:space="preserve">2 </w:t>
      </w:r>
      <w:r>
        <w:t xml:space="preserve">Now there is at Jerusalem by the sheep gate a pool</w:t>
      </w:r>
      <w:r>
        <w:rPr>
          <w:rStyle w:val="FootnoteReference"/>
        </w:rPr>
        <w:footnoteReference w:id="16036"/>
      </w:r>
      <w:r>
        <w:t xml:space="preserve">, which is called in the Hebrew tongue Bethesda</w:t>
      </w:r>
      <w:r>
        <w:rPr>
          <w:rStyle w:val="FootnoteReference"/>
        </w:rPr>
        <w:footnoteReference w:id="16037"/>
      </w:r>
      <w:r>
        <w:t xml:space="preserve">, having five porches.</w:t>
      </w:r>
    </w:p>
    <w:p>
      <w:r>
        <w:rPr>
          <w:b/>
        </w:rPr>
        <w:t xml:space="preserve">3 </w:t>
      </w:r>
      <w:r>
        <w:t xml:space="preserve">In these lay a great multitude of sick people, of blind</w:t>
      </w:r>
      <w:r>
        <w:rPr>
          <w:rStyle w:val="FootnoteReference"/>
        </w:rPr>
        <w:footnoteReference w:id="16038"/>
      </w:r>
      <w:r>
        <w:t xml:space="preserve">, lame, withered, waiting for the moving of the water.</w:t>
      </w:r>
    </w:p>
    <w:p>
      <w:r>
        <w:rPr>
          <w:b/>
        </w:rPr>
        <w:t xml:space="preserve">4 </w:t>
      </w:r>
      <w:r>
        <w:t xml:space="preserve">For an angel went down at a certain season into the pool, and stirred the water: whoever then first</w:t>
      </w:r>
      <w:r>
        <w:rPr>
          <w:rStyle w:val="FootnoteReference"/>
        </w:rPr>
        <w:footnoteReference w:id="16039"/>
      </w:r>
      <w:r>
        <w:t xml:space="preserve"> after the stirring of the water stepped in was made whole of whatever disease he had.</w:t>
      </w:r>
    </w:p>
    <w:p>
      <w:r>
        <w:rPr>
          <w:b/>
        </w:rPr>
        <w:t xml:space="preserve">5 </w:t>
      </w:r>
      <w:r>
        <w:t xml:space="preserve">And a certain man was there, who had an infirmity thirty</w:t>
      </w:r>
      <w:r>
        <w:rPr>
          <w:rStyle w:val="FootnoteReference"/>
        </w:rPr>
        <w:footnoteReference w:id="16040"/>
      </w:r>
      <w:r>
        <w:t xml:space="preserve">-eight years.</w:t>
      </w:r>
    </w:p>
    <w:p>
      <w:r>
        <w:rPr>
          <w:b/>
        </w:rPr>
        <w:t xml:space="preserve">6 </w:t>
      </w:r>
      <w:r>
        <w:t xml:space="preserve">When Jesus saw him lie, and knew</w:t>
      </w:r>
      <w:r>
        <w:rPr>
          <w:rStyle w:val="FootnoteReference"/>
        </w:rPr>
        <w:footnoteReference w:id="16041"/>
      </w:r>
      <w:r>
        <w:t xml:space="preserve"> that he had been now a long time in that case, he says to him, Do you want to be made whole?</w:t>
      </w:r>
    </w:p>
    <w:p>
      <w:r>
        <w:rPr>
          <w:b/>
        </w:rPr>
        <w:t xml:space="preserve">7 </w:t>
      </w:r>
      <w:r>
        <w:t xml:space="preserve">The sick man answered him, Sir, I have no one, when the water is stirred, to put me into the pool: but while I am coming, another steps down before me.</w:t>
      </w:r>
    </w:p>
    <w:p>
      <w:r>
        <w:rPr>
          <w:b/>
        </w:rPr>
        <w:t xml:space="preserve">8 </w:t>
      </w:r>
      <w:r>
        <w:t xml:space="preserve">Jesus says to him, Rise, take up your bed, and walk.</w:t>
      </w:r>
    </w:p>
    <w:p>
      <w:r>
        <w:rPr>
          <w:b/>
        </w:rPr>
        <w:t xml:space="preserve">9 </w:t>
      </w:r>
      <w:r>
        <w:t xml:space="preserve">And immediately</w:t>
      </w:r>
      <w:r>
        <w:rPr>
          <w:rStyle w:val="FootnoteReference"/>
        </w:rPr>
        <w:footnoteReference w:id="16042"/>
      </w:r>
      <w:r>
        <w:t xml:space="preserve"> the man was made whole, and took up his bed, and walked: and on the same day was the Sabbath.</w:t>
      </w:r>
    </w:p>
    <w:p>
      <w:r>
        <w:rPr>
          <w:b/>
        </w:rPr>
        <w:t xml:space="preserve">10 </w:t>
      </w:r>
      <w:r>
        <w:t xml:space="preserve">The Jews therefore said to him who was cured, It is the Sabbath: it is not</w:t>
      </w:r>
      <w:r>
        <w:rPr>
          <w:rStyle w:val="FootnoteReference"/>
        </w:rPr>
        <w:footnoteReference w:id="16043"/>
      </w:r>
      <w:r>
        <w:t xml:space="preserve"> lawful for you to carry your bed.</w:t>
      </w:r>
    </w:p>
    <w:p>
      <w:r>
        <w:rPr>
          <w:b/>
        </w:rPr>
        <w:t xml:space="preserve">11 </w:t>
      </w:r>
      <w:r>
        <w:t xml:space="preserve">He answered them, The one who made me whole, the same said to me, Take up your bed, and walk.</w:t>
      </w:r>
    </w:p>
    <w:p>
      <w:r>
        <w:rPr>
          <w:b/>
        </w:rPr>
        <w:t xml:space="preserve">12 </w:t>
      </w:r>
      <w:r>
        <w:t xml:space="preserve">Then they asked him, What man is that who said to you, Take up your bed, and walk?</w:t>
      </w:r>
    </w:p>
    <w:p>
      <w:r>
        <w:rPr>
          <w:b/>
        </w:rPr>
        <w:t xml:space="preserve">13 </w:t>
      </w:r>
      <w:r>
        <w:t xml:space="preserve">And the one who was healed did not know who it was: for Jesus had withdrawn, a crowd being in that place.</w:t>
      </w:r>
    </w:p>
    <w:p>
      <w:r>
        <w:rPr>
          <w:b/>
        </w:rPr>
        <w:t xml:space="preserve">14 </w:t>
      </w:r>
      <w:r>
        <w:t xml:space="preserve">Afterward Jesus finds him in the temple, and said to him, Look, you are made whole: sin no more, lest a worse thing come to you.</w:t>
      </w:r>
    </w:p>
    <w:p>
      <w:r>
        <w:rPr>
          <w:b/>
        </w:rPr>
        <w:t xml:space="preserve">15 </w:t>
      </w:r>
      <w:r>
        <w:t xml:space="preserve">The man departed, and told</w:t>
      </w:r>
      <w:r>
        <w:rPr>
          <w:rStyle w:val="FootnoteReference"/>
        </w:rPr>
        <w:footnoteReference w:id="16044"/>
      </w:r>
      <w:r>
        <w:t xml:space="preserve"> the Jews that it was Jesus, who had made him whole.</w:t>
      </w:r>
    </w:p>
    <w:p>
      <w:r>
        <w:rPr>
          <w:b/>
        </w:rPr>
        <w:t xml:space="preserve">16 </w:t>
      </w:r>
      <w:r>
        <w:t xml:space="preserve">And therefore the Jews persecuted Jesus, and sought</w:t>
      </w:r>
      <w:r>
        <w:rPr>
          <w:rStyle w:val="FootnoteReference"/>
        </w:rPr>
        <w:footnoteReference w:id="16045"/>
      </w:r>
      <w:r>
        <w:t xml:space="preserve"> to kill him, because he had done these things on the Sabbath.</w:t>
      </w:r>
    </w:p>
    <w:p>
      <w:r>
        <w:rPr>
          <w:b/>
        </w:rPr>
        <w:t xml:space="preserve">17 </w:t>
      </w:r>
      <w:r>
        <w:t xml:space="preserve">But Jesus answered them, My Father works until now, and I work.</w:t>
      </w:r>
    </w:p>
    <w:p>
      <w:r>
        <w:rPr>
          <w:b/>
        </w:rPr>
        <w:t xml:space="preserve">18 </w:t>
      </w:r>
      <w:r>
        <w:t xml:space="preserve">Therefore the Jews</w:t>
      </w:r>
      <w:r>
        <w:rPr>
          <w:rStyle w:val="FootnoteReference"/>
        </w:rPr>
        <w:footnoteReference w:id="16046"/>
      </w:r>
      <w:r>
        <w:t xml:space="preserve"> sought the more to kill him, because he not only had broken the Sabbath, but said also that God was his Father, making himself equal with God.</w:t>
      </w:r>
    </w:p>
    <w:p>
      <w:r>
        <w:rPr>
          <w:b/>
        </w:rPr>
        <w:t xml:space="preserve">19 </w:t>
      </w:r>
      <w:r>
        <w:t xml:space="preserve">Then answered Jesus and said to them, Amen, amen, I say to you, The Son</w:t>
      </w:r>
      <w:r>
        <w:rPr>
          <w:rStyle w:val="FootnoteReference"/>
        </w:rPr>
        <w:footnoteReference w:id="16047"/>
      </w:r>
      <w:r>
        <w:t xml:space="preserve"> can do nothing of himself, but what he sees the Father do: for what things whatever he does, these also does the Son likewise.</w:t>
      </w:r>
    </w:p>
    <w:p>
      <w:r>
        <w:rPr>
          <w:b/>
        </w:rPr>
        <w:t xml:space="preserve">20 </w:t>
      </w:r>
      <w:r>
        <w:t xml:space="preserve">For the Father</w:t>
      </w:r>
      <w:r>
        <w:rPr>
          <w:rStyle w:val="FootnoteReference"/>
        </w:rPr>
        <w:footnoteReference w:id="16048"/>
      </w:r>
      <w:r>
        <w:t xml:space="preserve"> loves the Son, and shows him all things that himself does: and he will show him greater works than these, that you may marvel.</w:t>
      </w:r>
    </w:p>
    <w:p>
      <w:r>
        <w:rPr>
          <w:b/>
        </w:rPr>
        <w:t xml:space="preserve">21 </w:t>
      </w:r>
      <w:r>
        <w:t xml:space="preserve">For as the Father raises up the dead, and gives life to them; even so the Son gives life to whom he will.</w:t>
      </w:r>
    </w:p>
    <w:p>
      <w:r>
        <w:rPr>
          <w:b/>
        </w:rPr>
        <w:t xml:space="preserve">22 </w:t>
      </w:r>
      <w:r>
        <w:t xml:space="preserve">For the Father judges no one, but has committed all judgment to the Son:</w:t>
      </w:r>
    </w:p>
    <w:p>
      <w:r>
        <w:rPr>
          <w:b/>
        </w:rPr>
        <w:t xml:space="preserve">23 </w:t>
      </w:r>
      <w:r>
        <w:t xml:space="preserve">That all should honor the Son, even as they honor the Father. The one who does not honor the Son does not honor the Father who has sent him.</w:t>
      </w:r>
    </w:p>
    <w:p>
      <w:r>
        <w:rPr>
          <w:b/>
        </w:rPr>
        <w:t xml:space="preserve">24 </w:t>
      </w:r>
      <w:r>
        <w:t xml:space="preserve">Amen, amen, I say to you, the one who hears my word, and believes on him who sent me, has eternal life, and shall not</w:t>
      </w:r>
      <w:r>
        <w:rPr>
          <w:rStyle w:val="FootnoteReference"/>
        </w:rPr>
        <w:footnoteReference w:id="16049"/>
      </w:r>
      <w:r>
        <w:t xml:space="preserve"> come into condemnation; but is passed from death to life.</w:t>
      </w:r>
    </w:p>
    <w:p>
      <w:r>
        <w:rPr>
          <w:b/>
        </w:rPr>
        <w:t xml:space="preserve">25 </w:t>
      </w:r>
      <w:r>
        <w:t xml:space="preserve">Amen, amen, I say to you, The hour</w:t>
      </w:r>
      <w:r>
        <w:rPr>
          <w:rStyle w:val="FootnoteReference"/>
        </w:rPr>
        <w:footnoteReference w:id="16050"/>
      </w:r>
      <w:r>
        <w:t xml:space="preserve"> is coming, and now is, when the dead shall hear the voice of the Son of God: and those who hear shall live.</w:t>
      </w:r>
    </w:p>
    <w:p>
      <w:r>
        <w:rPr>
          <w:b/>
        </w:rPr>
        <w:t xml:space="preserve">26 </w:t>
      </w:r>
      <w:r>
        <w:t xml:space="preserve">For as the Father has life in himself; so has he given to the Son to have life in himself;</w:t>
      </w:r>
    </w:p>
    <w:p>
      <w:r>
        <w:rPr>
          <w:b/>
        </w:rPr>
        <w:t xml:space="preserve">27 </w:t>
      </w:r>
      <w:r>
        <w:t xml:space="preserve">And has given him authority to execute judgment also, because he is the Son</w:t>
      </w:r>
      <w:r>
        <w:rPr>
          <w:rStyle w:val="FootnoteReference"/>
        </w:rPr>
        <w:footnoteReference w:id="16051"/>
      </w:r>
      <w:r>
        <w:t xml:space="preserve"> of man.</w:t>
      </w:r>
    </w:p>
    <w:p>
      <w:r>
        <w:rPr>
          <w:b/>
        </w:rPr>
        <w:t xml:space="preserve">28 </w:t>
      </w:r>
      <w:r>
        <w:t xml:space="preserve">Do not marvel</w:t>
      </w:r>
      <w:r>
        <w:rPr>
          <w:rStyle w:val="FootnoteReference"/>
        </w:rPr>
        <w:footnoteReference w:id="16052"/>
      </w:r>
      <w:r>
        <w:t xml:space="preserve"> at this: for the hour is coming, in which all that are in the graves shall hear his voice,</w:t>
      </w:r>
    </w:p>
    <w:p>
      <w:r>
        <w:rPr>
          <w:b/>
        </w:rPr>
        <w:t xml:space="preserve">29 </w:t>
      </w:r>
      <w:r>
        <w:t xml:space="preserve">And shall come forth; those who have done good</w:t>
      </w:r>
      <w:r>
        <w:rPr>
          <w:rStyle w:val="FootnoteReference"/>
        </w:rPr>
        <w:footnoteReference w:id="16053"/>
      </w:r>
      <w:r>
        <w:t xml:space="preserve">, to the resurrection of life; and those who have done evil, to the resurrection of judgment.</w:t>
      </w:r>
    </w:p>
    <w:p>
      <w:r>
        <w:rPr>
          <w:b/>
        </w:rPr>
        <w:t xml:space="preserve">30 </w:t>
      </w:r>
      <w:r>
        <w:t xml:space="preserve">I can of my own self do nothing: as I hear, I judge</w:t>
      </w:r>
      <w:r>
        <w:rPr>
          <w:rStyle w:val="FootnoteReference"/>
        </w:rPr>
        <w:footnoteReference w:id="16054"/>
      </w:r>
      <w:r>
        <w:t xml:space="preserve">: and my judgment is just; because I do not seek my own will, but the will of the Father who has sent me.</w:t>
      </w:r>
    </w:p>
    <w:p>
      <w:r>
        <w:rPr>
          <w:b/>
        </w:rPr>
        <w:t xml:space="preserve">31 </w:t>
      </w:r>
      <w:r>
        <w:t xml:space="preserve">If I bear witness of myself, my witness is not true.</w:t>
      </w:r>
    </w:p>
    <w:p>
      <w:r>
        <w:rPr>
          <w:b/>
        </w:rPr>
        <w:t xml:space="preserve">32 </w:t>
      </w:r>
      <w:r>
        <w:t xml:space="preserve">There is another</w:t>
      </w:r>
      <w:r>
        <w:rPr>
          <w:rStyle w:val="FootnoteReference"/>
        </w:rPr>
        <w:footnoteReference w:id="16055"/>
      </w:r>
      <w:r>
        <w:t xml:space="preserve"> that bears witness of me; and I know that the witness which he witnesses of me is true.</w:t>
      </w:r>
    </w:p>
    <w:p>
      <w:r>
        <w:rPr>
          <w:b/>
        </w:rPr>
        <w:t xml:space="preserve">33 </w:t>
      </w:r>
      <w:r>
        <w:t xml:space="preserve">You sent</w:t>
      </w:r>
      <w:r>
        <w:rPr>
          <w:rStyle w:val="FootnoteReference"/>
        </w:rPr>
        <w:footnoteReference w:id="16056"/>
      </w:r>
      <w:r>
        <w:t xml:space="preserve"> to John, and he bore witness to the truth.</w:t>
      </w:r>
    </w:p>
    <w:p>
      <w:r>
        <w:rPr>
          <w:b/>
        </w:rPr>
        <w:t xml:space="preserve">34 </w:t>
      </w:r>
      <w:r>
        <w:t xml:space="preserve">But I do not receive testimony from man: but these things I say, that you might be saved.</w:t>
      </w:r>
    </w:p>
    <w:p>
      <w:r>
        <w:rPr>
          <w:b/>
        </w:rPr>
        <w:t xml:space="preserve">35 </w:t>
      </w:r>
      <w:r>
        <w:t xml:space="preserve">He was a burning and a shining light: and you were willing for a season to rejoice in his light.</w:t>
      </w:r>
    </w:p>
    <w:p>
      <w:r>
        <w:rPr>
          <w:b/>
        </w:rPr>
        <w:t xml:space="preserve">36 </w:t>
      </w:r>
      <w:r>
        <w:t xml:space="preserve">But I have greater witness than that of John: for the works</w:t>
      </w:r>
      <w:r>
        <w:rPr>
          <w:rStyle w:val="FootnoteReference"/>
        </w:rPr>
        <w:footnoteReference w:id="16057"/>
      </w:r>
      <w:r>
        <w:t xml:space="preserve"> which the Father has given me to finish, the same works that I do, bear witness of me, that the Father has sent me.</w:t>
      </w:r>
    </w:p>
    <w:p>
      <w:r>
        <w:rPr>
          <w:b/>
        </w:rPr>
        <w:t xml:space="preserve">37 </w:t>
      </w:r>
      <w:r>
        <w:t xml:space="preserve">And the Father himself, who has sent me, has borne</w:t>
      </w:r>
      <w:r>
        <w:rPr>
          <w:rStyle w:val="FootnoteReference"/>
        </w:rPr>
        <w:footnoteReference w:id="16058"/>
      </w:r>
      <w:r>
        <w:t xml:space="preserve"> witness of me. You have neither heard his voice at any time, nor seen his shape.</w:t>
      </w:r>
    </w:p>
    <w:p>
      <w:r>
        <w:rPr>
          <w:b/>
        </w:rPr>
        <w:t xml:space="preserve">38 </w:t>
      </w:r>
      <w:r>
        <w:t xml:space="preserve">And you have not his word abiding in you: for whom he has sent, him you do not believe.</w:t>
      </w:r>
    </w:p>
    <w:p>
      <w:r>
        <w:rPr>
          <w:b/>
        </w:rPr>
        <w:t xml:space="preserve">39 </w:t>
      </w:r>
      <w:r>
        <w:t xml:space="preserve">Search</w:t>
      </w:r>
      <w:r>
        <w:rPr>
          <w:rStyle w:val="FootnoteReference"/>
        </w:rPr>
        <w:footnoteReference w:id="16059"/>
      </w:r>
      <w:r>
        <w:t xml:space="preserve"> the scriptures; for in them you think you have eternal life: and they are those who testify of me.</w:t>
      </w:r>
    </w:p>
    <w:p>
      <w:r>
        <w:rPr>
          <w:b/>
        </w:rPr>
        <w:t xml:space="preserve">40 </w:t>
      </w:r>
      <w:r>
        <w:t xml:space="preserve">And you will not come to me, that you might have life.</w:t>
      </w:r>
    </w:p>
    <w:p>
      <w:r>
        <w:rPr>
          <w:b/>
        </w:rPr>
        <w:t xml:space="preserve">41 </w:t>
      </w:r>
      <w:r>
        <w:t xml:space="preserve">I do not receive honor from men.</w:t>
      </w:r>
    </w:p>
    <w:p>
      <w:r>
        <w:rPr>
          <w:b/>
        </w:rPr>
        <w:t xml:space="preserve">42 </w:t>
      </w:r>
      <w:r>
        <w:t xml:space="preserve">But I know you, that you have not the love of God in you.</w:t>
      </w:r>
    </w:p>
    <w:p>
      <w:r>
        <w:rPr>
          <w:b/>
        </w:rPr>
        <w:t xml:space="preserve">43 </w:t>
      </w:r>
      <w:r>
        <w:t xml:space="preserve">I have come in my Father's name, and you do not receive me: if another shall come in his own name, him you will receive.</w:t>
      </w:r>
    </w:p>
    <w:p>
      <w:r>
        <w:rPr>
          <w:b/>
        </w:rPr>
        <w:t xml:space="preserve">44 </w:t>
      </w:r>
      <w:r>
        <w:t xml:space="preserve">How can you believe, who receive honor from one another, and do not seek the honor that comes from God only?</w:t>
      </w:r>
    </w:p>
    <w:p>
      <w:r>
        <w:rPr>
          <w:b/>
        </w:rPr>
        <w:t xml:space="preserve">45 </w:t>
      </w:r>
      <w:r>
        <w:t xml:space="preserve">Do not think that I will accuse you to the Father: there is one that accuses you, even Moses, in whom you trust.</w:t>
      </w:r>
    </w:p>
    <w:p>
      <w:r>
        <w:rPr>
          <w:b/>
        </w:rPr>
        <w:t xml:space="preserve">46 </w:t>
      </w:r>
      <w:r>
        <w:t xml:space="preserve">For had you believed Moses, you would have believed me; for he wrote of me.</w:t>
      </w:r>
    </w:p>
    <w:p>
      <w:r>
        <w:rPr>
          <w:b/>
        </w:rPr>
        <w:t xml:space="preserve">47 </w:t>
      </w:r>
      <w:r>
        <w:t xml:space="preserve">But if you do not believe his writings, how shall you believe my words?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After these things Jesus went over the sea</w:t>
      </w:r>
      <w:r>
        <w:rPr>
          <w:rStyle w:val="FootnoteReference"/>
        </w:rPr>
        <w:footnoteReference w:id="16060"/>
      </w:r>
      <w:r>
        <w:t xml:space="preserve"> of Galilee, which is the sea of Tiberias</w:t>
      </w:r>
      <w:r>
        <w:rPr>
          <w:rStyle w:val="FootnoteReference"/>
        </w:rPr>
        <w:footnoteReference w:id="16061"/>
      </w:r>
      <w:r>
        <w:t xml:space="preserve">.</w:t>
      </w:r>
    </w:p>
    <w:p>
      <w:r>
        <w:rPr>
          <w:b/>
        </w:rPr>
        <w:t xml:space="preserve">2 </w:t>
      </w:r>
      <w:r>
        <w:t xml:space="preserve">And a great crowd followed him, because they saw his signs which he did on those who were diseased.</w:t>
      </w:r>
    </w:p>
    <w:p>
      <w:r>
        <w:rPr>
          <w:b/>
        </w:rPr>
        <w:t xml:space="preserve">3 </w:t>
      </w:r>
      <w:r>
        <w:t xml:space="preserve">And Jesus went up into a mountain, and there he sat with his disciples.</w:t>
      </w:r>
    </w:p>
    <w:p>
      <w:r>
        <w:rPr>
          <w:b/>
        </w:rPr>
        <w:t xml:space="preserve">4 </w:t>
      </w:r>
      <w:r>
        <w:t xml:space="preserve">And the Passover, a feast of the Jews, was near.</w:t>
      </w:r>
    </w:p>
    <w:p>
      <w:r>
        <w:rPr>
          <w:b/>
        </w:rPr>
        <w:t xml:space="preserve">5 </w:t>
      </w:r>
      <w:r>
        <w:t xml:space="preserve">When Jesus then lifted up his eyes, and saw a great crowd come to him, he says to Philip, From where shall we buy bread, that these may eat?</w:t>
      </w:r>
    </w:p>
    <w:p>
      <w:r>
        <w:rPr>
          <w:b/>
        </w:rPr>
        <w:t xml:space="preserve">6 </w:t>
      </w:r>
      <w:r>
        <w:t xml:space="preserve">And this he said to test him: for he himself knew what he would do.</w:t>
      </w:r>
    </w:p>
    <w:p>
      <w:r>
        <w:rPr>
          <w:b/>
        </w:rPr>
        <w:t xml:space="preserve">7 </w:t>
      </w:r>
      <w:r>
        <w:t xml:space="preserve">Philip answered him, Two hundred denarii worth of bread is not sufficient for them, that every one of them may take a little.</w:t>
      </w:r>
    </w:p>
    <w:p>
      <w:r>
        <w:rPr>
          <w:b/>
        </w:rPr>
        <w:t xml:space="preserve">8 </w:t>
      </w:r>
      <w:r>
        <w:t xml:space="preserve">One of his disciples, Andrew</w:t>
      </w:r>
      <w:r>
        <w:rPr>
          <w:rStyle w:val="FootnoteReference"/>
        </w:rPr>
        <w:footnoteReference w:id="16062"/>
      </w:r>
      <w:r>
        <w:t xml:space="preserve">, Simon Peter's brother, says to him,</w:t>
      </w:r>
    </w:p>
    <w:p>
      <w:r>
        <w:rPr>
          <w:b/>
        </w:rPr>
        <w:t xml:space="preserve">9 </w:t>
      </w:r>
      <w:r>
        <w:t xml:space="preserve">There is a lad here, which has five barley</w:t>
      </w:r>
      <w:r>
        <w:rPr>
          <w:rStyle w:val="FootnoteReference"/>
        </w:rPr>
        <w:footnoteReference w:id="16063"/>
      </w:r>
      <w:r>
        <w:t xml:space="preserve"> loaves, and two small fish: but what are they among so many?</w:t>
      </w:r>
    </w:p>
    <w:p>
      <w:r>
        <w:rPr>
          <w:b/>
        </w:rPr>
        <w:t xml:space="preserve">10 </w:t>
      </w:r>
      <w:r>
        <w:t xml:space="preserve">And Jesus said, Make</w:t>
      </w:r>
      <w:r>
        <w:rPr>
          <w:rStyle w:val="FootnoteReference"/>
        </w:rPr>
        <w:footnoteReference w:id="16064"/>
      </w:r>
      <w:r>
        <w:t xml:space="preserve"> the men sit down. Now there was much grass in the place. So the men sat down, in number about five thousand.</w:t>
      </w:r>
    </w:p>
    <w:p>
      <w:r>
        <w:rPr>
          <w:b/>
        </w:rPr>
        <w:t xml:space="preserve">11 </w:t>
      </w:r>
      <w:r>
        <w:t xml:space="preserve">And Jesus took the loaves; and when he had given thanks, he distributed to the disciples, and the disciples to those who were set down; and likewise of the fish as much as they would.</w:t>
      </w:r>
    </w:p>
    <w:p>
      <w:r>
        <w:rPr>
          <w:b/>
        </w:rPr>
        <w:t xml:space="preserve">12 </w:t>
      </w:r>
      <w:r>
        <w:t xml:space="preserve">When they were filled, he said to his disciples, Gather up the fragments that remain, that nothing</w:t>
      </w:r>
      <w:r>
        <w:rPr>
          <w:rStyle w:val="FootnoteReference"/>
        </w:rPr>
        <w:footnoteReference w:id="16065"/>
      </w:r>
      <w:r>
        <w:t xml:space="preserve"> be lost.</w:t>
      </w:r>
    </w:p>
    <w:p>
      <w:r>
        <w:rPr>
          <w:b/>
        </w:rPr>
        <w:t xml:space="preserve">13 </w:t>
      </w:r>
      <w:r>
        <w:t xml:space="preserve">Therefore they gathered them together, and filled</w:t>
      </w:r>
      <w:r>
        <w:rPr>
          <w:rStyle w:val="FootnoteReference"/>
        </w:rPr>
        <w:footnoteReference w:id="16066"/>
      </w:r>
      <w:r>
        <w:t xml:space="preserve"> twelve baskets with the fragments of the five barley loaves, which remained over and above to those who had eaten.</w:t>
      </w:r>
    </w:p>
    <w:p>
      <w:r>
        <w:rPr>
          <w:b/>
        </w:rPr>
        <w:t xml:space="preserve">14 </w:t>
      </w:r>
      <w:r>
        <w:t xml:space="preserve">Then those men, when they had seen the sign that Jesus did, said, This is truthfully that prophet that should come into the world.</w:t>
      </w:r>
    </w:p>
    <w:p>
      <w:r>
        <w:rPr>
          <w:b/>
        </w:rPr>
        <w:t xml:space="preserve">15 </w:t>
      </w:r>
      <w:r>
        <w:t xml:space="preserve">When Jesus therefore perceived</w:t>
      </w:r>
      <w:r>
        <w:rPr>
          <w:rStyle w:val="FootnoteReference"/>
        </w:rPr>
        <w:footnoteReference w:id="16067"/>
      </w:r>
      <w:r>
        <w:t xml:space="preserve"> that they would come and take him by force, to make him a king, he departed again to the mountain himself alone.</w:t>
      </w:r>
    </w:p>
    <w:p>
      <w:r>
        <w:rPr>
          <w:b/>
        </w:rPr>
        <w:t xml:space="preserve">16 </w:t>
      </w:r>
      <w:r>
        <w:t xml:space="preserve">And when evening had now come, his disciples went down to the sea,</w:t>
      </w:r>
    </w:p>
    <w:p>
      <w:r>
        <w:rPr>
          <w:b/>
        </w:rPr>
        <w:t xml:space="preserve">17 </w:t>
      </w:r>
      <w:r>
        <w:t xml:space="preserve">And entered into a boat, and went</w:t>
      </w:r>
      <w:r>
        <w:rPr>
          <w:rStyle w:val="FootnoteReference"/>
        </w:rPr>
        <w:footnoteReference w:id="16068"/>
      </w:r>
      <w:r>
        <w:t xml:space="preserve"> over the sea toward Capernaum. And it was now dark, and Jesus was not come to them.</w:t>
      </w:r>
    </w:p>
    <w:p>
      <w:r>
        <w:rPr>
          <w:b/>
        </w:rPr>
        <w:t xml:space="preserve">18 </w:t>
      </w:r>
      <w:r>
        <w:t xml:space="preserve">And the sea arose by reason of a great wind that blew.</w:t>
      </w:r>
    </w:p>
    <w:p>
      <w:r>
        <w:rPr>
          <w:b/>
        </w:rPr>
        <w:t xml:space="preserve">19 </w:t>
      </w:r>
      <w:r>
        <w:t xml:space="preserve">So when they had rowed</w:t>
      </w:r>
      <w:r>
        <w:rPr>
          <w:rStyle w:val="FootnoteReference"/>
        </w:rPr>
        <w:footnoteReference w:id="16069"/>
      </w:r>
      <w:r>
        <w:t xml:space="preserve"> about five and twenty or thirty furlongs, they see Jesus walking on the sea, and drawing near to the boat: and they were afraid.</w:t>
      </w:r>
    </w:p>
    <w:p>
      <w:r>
        <w:rPr>
          <w:b/>
        </w:rPr>
        <w:t xml:space="preserve">20 </w:t>
      </w:r>
      <w:r>
        <w:t xml:space="preserve">But he says to them, It is I; do not be afraid.</w:t>
      </w:r>
    </w:p>
    <w:p>
      <w:r>
        <w:rPr>
          <w:b/>
        </w:rPr>
        <w:t xml:space="preserve">21 </w:t>
      </w:r>
      <w:r>
        <w:t xml:space="preserve">Then they willingly</w:t>
      </w:r>
      <w:r>
        <w:rPr>
          <w:rStyle w:val="FootnoteReference"/>
        </w:rPr>
        <w:footnoteReference w:id="16070"/>
      </w:r>
      <w:r>
        <w:t xml:space="preserve"> received him into the boat: and immediately the boat was at the land where they went.</w:t>
      </w:r>
    </w:p>
    <w:p>
      <w:r>
        <w:rPr>
          <w:b/>
        </w:rPr>
        <w:t xml:space="preserve">22 </w:t>
      </w:r>
      <w:r>
        <w:t xml:space="preserve">The next day, when the people who stood on the other side of the sea saw that there was no other boat there, except that one into which his disciples had entered, and that Jesus did not go with his disciples into the boat, but that his disciples went away alone;</w:t>
      </w:r>
    </w:p>
    <w:p>
      <w:r>
        <w:rPr>
          <w:b/>
        </w:rPr>
        <w:t xml:space="preserve">23 </w:t>
      </w:r>
      <w:r>
        <w:t xml:space="preserve">(nevertheless there came other boats from Tiberias</w:t>
      </w:r>
      <w:r>
        <w:rPr>
          <w:rStyle w:val="FootnoteReference"/>
        </w:rPr>
        <w:footnoteReference w:id="16071"/>
      </w:r>
      <w:r>
        <w:t xml:space="preserve"> near to the place where they did eat bread, after that the Lord had given thanks:)</w:t>
      </w:r>
    </w:p>
    <w:p>
      <w:r>
        <w:rPr>
          <w:b/>
        </w:rPr>
        <w:t xml:space="preserve">24 </w:t>
      </w:r>
      <w:r>
        <w:t xml:space="preserve">When the people therefore saw that Jesus was not there, neither his disciples, they also</w:t>
      </w:r>
      <w:r>
        <w:rPr>
          <w:rStyle w:val="FootnoteReference"/>
        </w:rPr>
        <w:footnoteReference w:id="16072"/>
      </w:r>
      <w:r>
        <w:t xml:space="preserve"> got into the boats, and came to Capernaum, seeking Jesus.</w:t>
      </w:r>
    </w:p>
    <w:p>
      <w:r>
        <w:rPr>
          <w:b/>
        </w:rPr>
        <w:t xml:space="preserve">25 </w:t>
      </w:r>
      <w:r>
        <w:t xml:space="preserve">And when they had found him on the other side of the sea, they said to him, Rabbi</w:t>
      </w:r>
      <w:r>
        <w:rPr>
          <w:rStyle w:val="FootnoteReference"/>
        </w:rPr>
        <w:footnoteReference w:id="16073"/>
      </w:r>
      <w:r>
        <w:t xml:space="preserve">, when did you come here?</w:t>
      </w:r>
    </w:p>
    <w:p>
      <w:r>
        <w:rPr>
          <w:b/>
        </w:rPr>
        <w:t xml:space="preserve">26 </w:t>
      </w:r>
      <w:r>
        <w:t xml:space="preserve">Jesus answered them and said, Amen, amen, I say to you, You seek me, not because you saw the miracles, but because you did eat of the loaves, and were filled.</w:t>
      </w:r>
    </w:p>
    <w:p>
      <w:r>
        <w:rPr>
          <w:b/>
        </w:rPr>
        <w:t xml:space="preserve">27 </w:t>
      </w:r>
      <w:r>
        <w:t xml:space="preserve">Labor not for the food which perishes, but for that food which endures to eternal life, which the</w:t>
      </w:r>
      <w:r>
        <w:rPr>
          <w:rStyle w:val="FootnoteReference"/>
        </w:rPr>
        <w:footnoteReference w:id="16074"/>
      </w:r>
      <w:r>
        <w:t xml:space="preserve"> Son of man shall give to you: for him has God the Father sealed.</w:t>
      </w:r>
    </w:p>
    <w:p>
      <w:r>
        <w:rPr>
          <w:b/>
        </w:rPr>
        <w:t xml:space="preserve">28 </w:t>
      </w:r>
      <w:r>
        <w:t xml:space="preserve">Then they said to him, What shall we do, that we might work the works of God?</w:t>
      </w:r>
    </w:p>
    <w:p>
      <w:r>
        <w:rPr>
          <w:b/>
        </w:rPr>
        <w:t xml:space="preserve">29 </w:t>
      </w:r>
      <w:r>
        <w:t xml:space="preserve">Jesus answered and said to them, This is the work of God, that you believe on him whom he has sent.</w:t>
      </w:r>
    </w:p>
    <w:p>
      <w:r>
        <w:rPr>
          <w:b/>
        </w:rPr>
        <w:t xml:space="preserve">30 </w:t>
      </w:r>
      <w:r>
        <w:t xml:space="preserve">They said therefore to him, What sign do you show then, that we may see, and believe you? what do you work?</w:t>
      </w:r>
    </w:p>
    <w:p>
      <w:r>
        <w:rPr>
          <w:b/>
        </w:rPr>
        <w:t xml:space="preserve">31 </w:t>
      </w:r>
      <w:r>
        <w:t xml:space="preserve">Our fathers</w:t>
      </w:r>
      <w:r>
        <w:rPr>
          <w:rStyle w:val="FootnoteReference"/>
        </w:rPr>
        <w:footnoteReference w:id="16075"/>
      </w:r>
      <w:r>
        <w:t xml:space="preserve"> ate manna in the wilderness; as it is written, He gave them bread from heaven to eat.</w:t>
      </w:r>
    </w:p>
    <w:p>
      <w:r>
        <w:rPr>
          <w:b/>
        </w:rPr>
        <w:t xml:space="preserve">32 </w:t>
      </w:r>
      <w:r>
        <w:t xml:space="preserve">Then Jesus said to them, Amen, amen, I say to you, Moses</w:t>
      </w:r>
      <w:r>
        <w:rPr>
          <w:rStyle w:val="FootnoteReference"/>
        </w:rPr>
        <w:footnoteReference w:id="16076"/>
      </w:r>
      <w:r>
        <w:t xml:space="preserve"> gave you not that bread from heaven; but my Father gives you the true bread from heaven.</w:t>
      </w:r>
    </w:p>
    <w:p>
      <w:r>
        <w:rPr>
          <w:b/>
        </w:rPr>
        <w:t xml:space="preserve">33 </w:t>
      </w:r>
      <w:r>
        <w:t xml:space="preserve">For the bread of God is the one who comes down from heaven, and gives life to the world.</w:t>
      </w:r>
    </w:p>
    <w:p>
      <w:r>
        <w:rPr>
          <w:b/>
        </w:rPr>
        <w:t xml:space="preserve">34 </w:t>
      </w:r>
      <w:r>
        <w:t xml:space="preserve">Then they said to him, Lord, always give us this bread.</w:t>
      </w:r>
    </w:p>
    <w:p>
      <w:r>
        <w:rPr>
          <w:b/>
        </w:rPr>
        <w:t xml:space="preserve">35 </w:t>
      </w:r>
      <w:r>
        <w:t xml:space="preserve">And Jesus said to them, I am the bread of life: the one who comes to me shall never hunger</w:t>
      </w:r>
      <w:r>
        <w:rPr>
          <w:rStyle w:val="FootnoteReference"/>
        </w:rPr>
        <w:footnoteReference w:id="16077"/>
      </w:r>
      <w:r>
        <w:t xml:space="preserve">; and the one who believes on me shall never thirst.</w:t>
      </w:r>
    </w:p>
    <w:p>
      <w:r>
        <w:rPr>
          <w:b/>
        </w:rPr>
        <w:t xml:space="preserve">36 </w:t>
      </w:r>
      <w:r>
        <w:t xml:space="preserve">But I said to you, That you also have seen me, and do not believe.</w:t>
      </w:r>
    </w:p>
    <w:p>
      <w:r>
        <w:rPr>
          <w:b/>
        </w:rPr>
        <w:t xml:space="preserve">37 </w:t>
      </w:r>
      <w:r>
        <w:t xml:space="preserve">All that the Father gives me shall come to me; and him who comes to me I will by no means cast out.</w:t>
      </w:r>
    </w:p>
    <w:p>
      <w:r>
        <w:rPr>
          <w:b/>
        </w:rPr>
        <w:t xml:space="preserve">38 </w:t>
      </w:r>
      <w:r>
        <w:t xml:space="preserve">For I came</w:t>
      </w:r>
      <w:r>
        <w:rPr>
          <w:rStyle w:val="FootnoteReference"/>
        </w:rPr>
        <w:footnoteReference w:id="16078"/>
      </w:r>
      <w:r>
        <w:t xml:space="preserve"> down from heaven, not to do my own will, but the will of him who sent me.</w:t>
      </w:r>
    </w:p>
    <w:p>
      <w:r>
        <w:rPr>
          <w:b/>
        </w:rPr>
        <w:t xml:space="preserve">39 </w:t>
      </w:r>
      <w:r>
        <w:t xml:space="preserve">And this is the will of the Father who sent me, that of all which he has given</w:t>
      </w:r>
      <w:r>
        <w:rPr>
          <w:rStyle w:val="FootnoteReference"/>
        </w:rPr>
        <w:footnoteReference w:id="16079"/>
      </w:r>
      <w:r>
        <w:t xml:space="preserve"> me I should lose nothing, but should raise it up again at the last day.</w:t>
      </w:r>
    </w:p>
    <w:p>
      <w:r>
        <w:rPr>
          <w:b/>
        </w:rPr>
        <w:t xml:space="preserve">40 </w:t>
      </w:r>
      <w:r>
        <w:t xml:space="preserve">And this is the will of him who sent me, that every one who sees the Son, and believes on him, may have eternal life: and I will raise him up at the last day.</w:t>
      </w:r>
    </w:p>
    <w:p>
      <w:r>
        <w:rPr>
          <w:b/>
        </w:rPr>
        <w:t xml:space="preserve">41 </w:t>
      </w:r>
      <w:r>
        <w:t xml:space="preserve">The Jews then grumbled at him, because he said, I am the bread which came down from heaven.</w:t>
      </w:r>
    </w:p>
    <w:p>
      <w:r>
        <w:rPr>
          <w:b/>
        </w:rPr>
        <w:t xml:space="preserve">42 </w:t>
      </w:r>
      <w:r>
        <w:t xml:space="preserve">And they said, Is not this Jesus, the son of Joseph, whose father and mother we know? how is it then that he says, I came down from heaven?</w:t>
      </w:r>
    </w:p>
    <w:p>
      <w:r>
        <w:rPr>
          <w:b/>
        </w:rPr>
        <w:t xml:space="preserve">43 </w:t>
      </w:r>
      <w:r>
        <w:t xml:space="preserve">Jesus therefore answered and said to them, Do not grumble among yourselves.</w:t>
      </w:r>
    </w:p>
    <w:p>
      <w:r>
        <w:rPr>
          <w:b/>
        </w:rPr>
        <w:t xml:space="preserve">44 </w:t>
      </w:r>
      <w:r>
        <w:t xml:space="preserve">No one can come to me, except</w:t>
      </w:r>
      <w:r>
        <w:rPr>
          <w:rStyle w:val="FootnoteReference"/>
        </w:rPr>
        <w:footnoteReference w:id="16080"/>
      </w:r>
      <w:r>
        <w:t xml:space="preserve"> the Father who has sent me draw him: and I will raise him up at the last day.</w:t>
      </w:r>
    </w:p>
    <w:p>
      <w:r>
        <w:rPr>
          <w:b/>
        </w:rPr>
        <w:t xml:space="preserve">45 </w:t>
      </w:r>
      <w:r>
        <w:t xml:space="preserve">It is written</w:t>
      </w:r>
      <w:r>
        <w:rPr>
          <w:rStyle w:val="FootnoteReference"/>
        </w:rPr>
        <w:footnoteReference w:id="16081"/>
      </w:r>
      <w:r>
        <w:t xml:space="preserve"> in the prophets, And they shall all be taught of God. Everyone therefore that has heard, and has learned of the Father, comes to me.</w:t>
      </w:r>
    </w:p>
    <w:p>
      <w:r>
        <w:rPr>
          <w:b/>
        </w:rPr>
        <w:t xml:space="preserve">46 </w:t>
      </w:r>
      <w:r>
        <w:t xml:space="preserve">Not that anyone has seen the Father, save the one who is of God, he has seen the Father.</w:t>
      </w:r>
    </w:p>
    <w:p>
      <w:r>
        <w:rPr>
          <w:b/>
        </w:rPr>
        <w:t xml:space="preserve">47 </w:t>
      </w:r>
      <w:r>
        <w:t xml:space="preserve">Amen, amen, I say to you, the one who believes on me has eternal life.</w:t>
      </w:r>
    </w:p>
    <w:p>
      <w:r>
        <w:rPr>
          <w:b/>
        </w:rPr>
        <w:t xml:space="preserve">48 </w:t>
      </w:r>
      <w:r>
        <w:t xml:space="preserve">I am the bread of life.</w:t>
      </w:r>
    </w:p>
    <w:p>
      <w:r>
        <w:rPr>
          <w:b/>
        </w:rPr>
        <w:t xml:space="preserve">49 </w:t>
      </w:r>
      <w:r>
        <w:t xml:space="preserve">Your fathers</w:t>
      </w:r>
      <w:r>
        <w:rPr>
          <w:rStyle w:val="FootnoteReference"/>
        </w:rPr>
        <w:footnoteReference w:id="16082"/>
      </w:r>
      <w:r>
        <w:t xml:space="preserve"> ate manna in the wilderness, and are dead.</w:t>
      </w:r>
    </w:p>
    <w:p>
      <w:r>
        <w:rPr>
          <w:b/>
        </w:rPr>
        <w:t xml:space="preserve">50 </w:t>
      </w:r>
      <w:r>
        <w:t xml:space="preserve">This is the bread</w:t>
      </w:r>
      <w:r>
        <w:rPr>
          <w:rStyle w:val="FootnoteReference"/>
        </w:rPr>
        <w:footnoteReference w:id="16083"/>
      </w:r>
      <w:r>
        <w:t xml:space="preserve"> which comes down from heaven, that one may eat of it, and not die.</w:t>
      </w:r>
    </w:p>
    <w:p>
      <w:r>
        <w:rPr>
          <w:b/>
        </w:rPr>
        <w:t xml:space="preserve">51 </w:t>
      </w:r>
      <w:r>
        <w:t xml:space="preserve">I am the living</w:t>
      </w:r>
      <w:r>
        <w:rPr>
          <w:rStyle w:val="FootnoteReference"/>
        </w:rPr>
        <w:footnoteReference w:id="16084"/>
      </w:r>
      <w:r>
        <w:t xml:space="preserve"> bread which came down from heaven: if anyone eats of this bread, he shall live forever: and the bread that I will give is my flesh, which I will give for the life of the world.</w:t>
      </w:r>
    </w:p>
    <w:p>
      <w:r>
        <w:rPr>
          <w:b/>
        </w:rPr>
        <w:t xml:space="preserve">52 </w:t>
      </w:r>
      <w:r>
        <w:t xml:space="preserve">The Jews therefore strove</w:t>
      </w:r>
      <w:r>
        <w:rPr>
          <w:rStyle w:val="FootnoteReference"/>
        </w:rPr>
        <w:footnoteReference w:id="16085"/>
      </w:r>
      <w:r>
        <w:t xml:space="preserve"> among themselves, saying, How can this man give us his flesh to eat?</w:t>
      </w:r>
    </w:p>
    <w:p>
      <w:r>
        <w:rPr>
          <w:b/>
        </w:rPr>
        <w:t xml:space="preserve">53 </w:t>
      </w:r>
      <w:r>
        <w:t xml:space="preserve">Then Jesus said to them, Amen, amen, I say to you, Except</w:t>
      </w:r>
      <w:r>
        <w:rPr>
          <w:rStyle w:val="FootnoteReference"/>
        </w:rPr>
        <w:footnoteReference w:id="16086"/>
      </w:r>
      <w:r>
        <w:t xml:space="preserve"> you eat the flesh of the Son of man, and drink his blood, you have no life in you.</w:t>
      </w:r>
    </w:p>
    <w:p>
      <w:r>
        <w:rPr>
          <w:b/>
        </w:rPr>
        <w:t xml:space="preserve">54 </w:t>
      </w:r>
      <w:r>
        <w:t xml:space="preserve">Whoever eats my flesh, and drinks my blood, has eternal life; and I will raise him up at the last day.</w:t>
      </w:r>
    </w:p>
    <w:p>
      <w:r>
        <w:rPr>
          <w:b/>
        </w:rPr>
        <w:t xml:space="preserve">55 </w:t>
      </w:r>
      <w:r>
        <w:t xml:space="preserve">For my flesh is food indeed, and my blood is drink indeed.</w:t>
      </w:r>
    </w:p>
    <w:p>
      <w:r>
        <w:rPr>
          <w:b/>
        </w:rPr>
        <w:t xml:space="preserve">56 </w:t>
      </w:r>
      <w:r>
        <w:t xml:space="preserve">The one who eats my flesh, and drinks my blood, dwells in me, and I in him.</w:t>
      </w:r>
    </w:p>
    <w:p>
      <w:r>
        <w:rPr>
          <w:b/>
        </w:rPr>
        <w:t xml:space="preserve">57 </w:t>
      </w:r>
      <w:r>
        <w:t xml:space="preserve">As the living</w:t>
      </w:r>
      <w:r>
        <w:rPr>
          <w:rStyle w:val="FootnoteReference"/>
        </w:rPr>
        <w:footnoteReference w:id="16087"/>
      </w:r>
      <w:r>
        <w:t xml:space="preserve"> Father has sent me, and I live by the Father: so the one who eats me, even he shall live by me.</w:t>
      </w:r>
    </w:p>
    <w:p>
      <w:r>
        <w:rPr>
          <w:b/>
        </w:rPr>
        <w:t xml:space="preserve">58 </w:t>
      </w:r>
      <w:r>
        <w:t xml:space="preserve">This is that bread which came down from heaven: not as your fathers ate manna, and are dead: the one who eats of this bread shall live forever.</w:t>
      </w:r>
    </w:p>
    <w:p>
      <w:r>
        <w:rPr>
          <w:b/>
        </w:rPr>
        <w:t xml:space="preserve">59 </w:t>
      </w:r>
      <w:r>
        <w:t xml:space="preserve">These things he said in the synagogue, as he taught in Capernaum.</w:t>
      </w:r>
    </w:p>
    <w:p>
      <w:r>
        <w:rPr>
          <w:b/>
        </w:rPr>
        <w:t xml:space="preserve">60 </w:t>
      </w:r>
      <w:r>
        <w:t xml:space="preserve">Many therefore of his</w:t>
      </w:r>
      <w:r>
        <w:rPr>
          <w:rStyle w:val="FootnoteReference"/>
        </w:rPr>
        <w:footnoteReference w:id="16088"/>
      </w:r>
      <w:r>
        <w:t xml:space="preserve"> disciples, when they had heard this, said, This is a hard saying; who can hear it?</w:t>
      </w:r>
    </w:p>
    <w:p>
      <w:r>
        <w:rPr>
          <w:b/>
        </w:rPr>
        <w:t xml:space="preserve">61 </w:t>
      </w:r>
      <w:r>
        <w:t xml:space="preserve">When Jesus knew in himself that his disciples murmured at it, he said to them, Does this cause you to stumble?</w:t>
      </w:r>
    </w:p>
    <w:p>
      <w:r>
        <w:rPr>
          <w:b/>
        </w:rPr>
        <w:t xml:space="preserve">62 </w:t>
      </w:r>
      <w:r>
        <w:t xml:space="preserve">What then if you shall see the Son of man ascend up where he was before?</w:t>
      </w:r>
    </w:p>
    <w:p>
      <w:r>
        <w:rPr>
          <w:b/>
        </w:rPr>
        <w:t xml:space="preserve">63 </w:t>
      </w:r>
      <w:r>
        <w:t xml:space="preserve">It is the Spirit</w:t>
      </w:r>
      <w:r>
        <w:rPr>
          <w:rStyle w:val="FootnoteReference"/>
        </w:rPr>
        <w:footnoteReference w:id="16089"/>
      </w:r>
      <w:r>
        <w:t xml:space="preserve"> that gives life; the flesh profits nothing: the words that I speak to you, they are spirit, and they are life.</w:t>
      </w:r>
    </w:p>
    <w:p>
      <w:r>
        <w:rPr>
          <w:b/>
        </w:rPr>
        <w:t xml:space="preserve">64 </w:t>
      </w:r>
      <w:r>
        <w:t xml:space="preserve">But there are some of you that do not believe. For Jesus knew from the beginning who they were that did not believe, and who should betray him.</w:t>
      </w:r>
    </w:p>
    <w:p>
      <w:r>
        <w:rPr>
          <w:b/>
        </w:rPr>
        <w:t xml:space="preserve">65 </w:t>
      </w:r>
      <w:r>
        <w:t xml:space="preserve">And he said, Therefore I said to you, that no</w:t>
      </w:r>
      <w:r>
        <w:rPr>
          <w:rStyle w:val="FootnoteReference"/>
        </w:rPr>
        <w:footnoteReference w:id="16090"/>
      </w:r>
      <w:r>
        <w:t xml:space="preserve"> one can come to me, unless it were given to him of my Father.</w:t>
      </w:r>
    </w:p>
    <w:p>
      <w:r>
        <w:rPr>
          <w:b/>
        </w:rPr>
        <w:t xml:space="preserve">66 </w:t>
      </w:r>
      <w:r>
        <w:t xml:space="preserve">From that time many of his</w:t>
      </w:r>
      <w:r>
        <w:rPr>
          <w:rStyle w:val="FootnoteReference"/>
        </w:rPr>
        <w:footnoteReference w:id="16091"/>
      </w:r>
      <w:r>
        <w:t xml:space="preserve"> disciples went back, and walked no longer with him.</w:t>
      </w:r>
    </w:p>
    <w:p>
      <w:r>
        <w:rPr>
          <w:b/>
        </w:rPr>
        <w:t xml:space="preserve">67 </w:t>
      </w:r>
      <w:r>
        <w:t xml:space="preserve">Then Jesus said to the twelve, Will</w:t>
      </w:r>
      <w:r>
        <w:rPr>
          <w:rStyle w:val="FootnoteReference"/>
        </w:rPr>
        <w:footnoteReference w:id="16092"/>
      </w:r>
      <w:r>
        <w:t xml:space="preserve"> you also go away?</w:t>
      </w:r>
    </w:p>
    <w:p>
      <w:r>
        <w:rPr>
          <w:b/>
        </w:rPr>
        <w:t xml:space="preserve">68 </w:t>
      </w:r>
      <w:r>
        <w:t xml:space="preserve">Then Simon Peter answered him, Lord, to whom</w:t>
      </w:r>
      <w:r>
        <w:rPr>
          <w:rStyle w:val="FootnoteReference"/>
        </w:rPr>
        <w:footnoteReference w:id="16093"/>
      </w:r>
      <w:r>
        <w:t xml:space="preserve"> shall we go? you have the words of eternal life.</w:t>
      </w:r>
    </w:p>
    <w:p>
      <w:r>
        <w:rPr>
          <w:b/>
        </w:rPr>
        <w:t xml:space="preserve">69 </w:t>
      </w:r>
      <w:r>
        <w:t xml:space="preserve">And we believe</w:t>
      </w:r>
      <w:r>
        <w:rPr>
          <w:rStyle w:val="FootnoteReference"/>
        </w:rPr>
        <w:footnoteReference w:id="16094"/>
      </w:r>
      <w:r>
        <w:t xml:space="preserve"> and are sure that you are that Christ, the Son of the living God.</w:t>
      </w:r>
    </w:p>
    <w:p>
      <w:r>
        <w:rPr>
          <w:b/>
        </w:rPr>
        <w:t xml:space="preserve">70 </w:t>
      </w:r>
      <w:r>
        <w:t xml:space="preserve">Jesus answered them, Did I not choose you twelve, and one</w:t>
      </w:r>
      <w:r>
        <w:rPr>
          <w:rStyle w:val="FootnoteReference"/>
        </w:rPr>
        <w:footnoteReference w:id="16095"/>
      </w:r>
      <w:r>
        <w:t xml:space="preserve"> of you is a devil?</w:t>
      </w:r>
    </w:p>
    <w:p>
      <w:r>
        <w:rPr>
          <w:b/>
        </w:rPr>
        <w:t xml:space="preserve">71 </w:t>
      </w:r>
      <w:r>
        <w:t xml:space="preserve">He spoke of Judas Iscariot the son of Simon: for he it was that should betray him, being one of the twelve.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After these things Jesus walked</w:t>
      </w:r>
      <w:r>
        <w:rPr>
          <w:rStyle w:val="FootnoteReference"/>
        </w:rPr>
        <w:footnoteReference w:id="16096"/>
      </w:r>
      <w:r>
        <w:t xml:space="preserve"> in Galilee: for he would not walk in Judea, because the Jews sought to kill him.</w:t>
      </w:r>
    </w:p>
    <w:p>
      <w:r>
        <w:rPr>
          <w:b/>
        </w:rPr>
        <w:t xml:space="preserve">2 </w:t>
      </w:r>
      <w:r>
        <w:t xml:space="preserve">Now the Jews' feast of tabernacles was at hand.</w:t>
      </w:r>
    </w:p>
    <w:p>
      <w:r>
        <w:rPr>
          <w:b/>
        </w:rPr>
        <w:t xml:space="preserve">3 </w:t>
      </w:r>
      <w:r>
        <w:t xml:space="preserve">His brothers therefore said to him, Depart</w:t>
      </w:r>
      <w:r>
        <w:rPr>
          <w:rStyle w:val="FootnoteReference"/>
        </w:rPr>
        <w:footnoteReference w:id="16097"/>
      </w:r>
      <w:r>
        <w:t xml:space="preserve"> from here, and go into Judea, that your disciples also may see the works that you do.</w:t>
      </w:r>
    </w:p>
    <w:p>
      <w:r>
        <w:rPr>
          <w:b/>
        </w:rPr>
        <w:t xml:space="preserve">4 </w:t>
      </w:r>
      <w:r>
        <w:t xml:space="preserve">For there is no one that does anything in secret, and he himself seeks to be known openly. If you do these things, show</w:t>
      </w:r>
      <w:r>
        <w:rPr>
          <w:rStyle w:val="FootnoteReference"/>
        </w:rPr>
        <w:footnoteReference w:id="16098"/>
      </w:r>
      <w:r>
        <w:t xml:space="preserve"> yourself to the world.</w:t>
      </w:r>
    </w:p>
    <w:p>
      <w:r>
        <w:rPr>
          <w:b/>
        </w:rPr>
        <w:t xml:space="preserve">5 </w:t>
      </w:r>
      <w:r>
        <w:t xml:space="preserve">For neither did his brothers believe in him.</w:t>
      </w:r>
    </w:p>
    <w:p>
      <w:r>
        <w:rPr>
          <w:b/>
        </w:rPr>
        <w:t xml:space="preserve">6 </w:t>
      </w:r>
      <w:r>
        <w:t xml:space="preserve">Then Jesus said to them, My time</w:t>
      </w:r>
      <w:r>
        <w:rPr>
          <w:rStyle w:val="FootnoteReference"/>
        </w:rPr>
        <w:footnoteReference w:id="16099"/>
      </w:r>
      <w:r>
        <w:t xml:space="preserve"> has not yet come: but your time is always ready.</w:t>
      </w:r>
    </w:p>
    <w:p>
      <w:r>
        <w:rPr>
          <w:b/>
        </w:rPr>
        <w:t xml:space="preserve">7 </w:t>
      </w:r>
      <w:r>
        <w:t xml:space="preserve">The world</w:t>
      </w:r>
      <w:r>
        <w:rPr>
          <w:rStyle w:val="FootnoteReference"/>
        </w:rPr>
        <w:footnoteReference w:id="16100"/>
      </w:r>
      <w:r>
        <w:t xml:space="preserve"> cannot hate you; but me it hates, because I testify of it, that the works of it are evil.</w:t>
      </w:r>
    </w:p>
    <w:p>
      <w:r>
        <w:rPr>
          <w:b/>
        </w:rPr>
        <w:t xml:space="preserve">8 </w:t>
      </w:r>
      <w:r>
        <w:t xml:space="preserve">Go you up to this feast: I do not go up yet to this feast: for my time is not yet fully come.</w:t>
      </w:r>
    </w:p>
    <w:p>
      <w:r>
        <w:rPr>
          <w:b/>
        </w:rPr>
        <w:t xml:space="preserve">9 </w:t>
      </w:r>
      <w:r>
        <w:t xml:space="preserve">When he had said these words to them, he remained in Galilee.</w:t>
      </w:r>
    </w:p>
    <w:p>
      <w:r>
        <w:rPr>
          <w:b/>
        </w:rPr>
        <w:t xml:space="preserve">10 </w:t>
      </w:r>
      <w:r>
        <w:t xml:space="preserve">But when his brothers had gone up, then he also went up to the feast, not openly, but as it were in secret.</w:t>
      </w:r>
    </w:p>
    <w:p>
      <w:r>
        <w:rPr>
          <w:b/>
        </w:rPr>
        <w:t xml:space="preserve">11 </w:t>
      </w:r>
      <w:r>
        <w:t xml:space="preserve">Then the Jews</w:t>
      </w:r>
      <w:r>
        <w:rPr>
          <w:rStyle w:val="FootnoteReference"/>
        </w:rPr>
        <w:footnoteReference w:id="16101"/>
      </w:r>
      <w:r>
        <w:t xml:space="preserve"> sought him at the feast, and said, Where is he?</w:t>
      </w:r>
    </w:p>
    <w:p>
      <w:r>
        <w:rPr>
          <w:b/>
        </w:rPr>
        <w:t xml:space="preserve">12 </w:t>
      </w:r>
      <w:r>
        <w:t xml:space="preserve">And there was much grumbling among the people concerning him: for some said, He is a</w:t>
      </w:r>
      <w:r>
        <w:rPr>
          <w:rStyle w:val="FootnoteReference"/>
        </w:rPr>
        <w:footnoteReference w:id="16102"/>
      </w:r>
      <w:r>
        <w:t xml:space="preserve"> good man: others said, No; but he deceives the people.</w:t>
      </w:r>
    </w:p>
    <w:p>
      <w:r>
        <w:rPr>
          <w:b/>
        </w:rPr>
        <w:t xml:space="preserve">13 </w:t>
      </w:r>
      <w:r>
        <w:t xml:space="preserve">Nevertheless no one spoke openly of him for fear of the Jews.</w:t>
      </w:r>
    </w:p>
    <w:p>
      <w:r>
        <w:rPr>
          <w:b/>
        </w:rPr>
        <w:t xml:space="preserve">14 </w:t>
      </w:r>
      <w:r>
        <w:t xml:space="preserve">Now about the midst</w:t>
      </w:r>
      <w:r>
        <w:rPr>
          <w:rStyle w:val="FootnoteReference"/>
        </w:rPr>
        <w:footnoteReference w:id="16103"/>
      </w:r>
      <w:r>
        <w:t xml:space="preserve"> of the feast Jesus went up into the temple, and taught.</w:t>
      </w:r>
    </w:p>
    <w:p>
      <w:r>
        <w:rPr>
          <w:b/>
        </w:rPr>
        <w:t xml:space="preserve">15 </w:t>
      </w:r>
      <w:r>
        <w:t xml:space="preserve">And the Jews marveled, saying, How knows this man letters</w:t>
      </w:r>
      <w:r>
        <w:rPr>
          <w:rStyle w:val="FootnoteReference"/>
        </w:rPr>
        <w:footnoteReference w:id="16104"/>
      </w:r>
      <w:r>
        <w:t xml:space="preserve">, having never learned?</w:t>
      </w:r>
    </w:p>
    <w:p>
      <w:r>
        <w:rPr>
          <w:b/>
        </w:rPr>
        <w:t xml:space="preserve">16 </w:t>
      </w:r>
      <w:r>
        <w:t xml:space="preserve">Jesus answered them, and said, My teaching is not mine, but his who sent me.</w:t>
      </w:r>
    </w:p>
    <w:p>
      <w:r>
        <w:rPr>
          <w:b/>
        </w:rPr>
        <w:t xml:space="preserve">17 </w:t>
      </w:r>
      <w:r>
        <w:t xml:space="preserve">If anyone wills to do his will, he shall know of the teaching, whether it is of God, or whether I speak of myself.</w:t>
      </w:r>
    </w:p>
    <w:p>
      <w:r>
        <w:rPr>
          <w:b/>
        </w:rPr>
        <w:t xml:space="preserve">18 </w:t>
      </w:r>
      <w:r>
        <w:t xml:space="preserve">The one who speaks of himself seeks his own glory: but the one who seeks his glory who sent him, the same is true, and no unrighteousness is in him.</w:t>
      </w:r>
    </w:p>
    <w:p>
      <w:r>
        <w:rPr>
          <w:b/>
        </w:rPr>
        <w:t xml:space="preserve">19 </w:t>
      </w:r>
      <w:r>
        <w:t xml:space="preserve">Did not Moses give you the law, and yet none of you keeps the law? Why do you seek to kill me?</w:t>
      </w:r>
    </w:p>
    <w:p>
      <w:r>
        <w:rPr>
          <w:b/>
        </w:rPr>
        <w:t xml:space="preserve">20 </w:t>
      </w:r>
      <w:r>
        <w:t xml:space="preserve">The people answered and said, You have a demon: who goes about to kill you?</w:t>
      </w:r>
    </w:p>
    <w:p>
      <w:r>
        <w:rPr>
          <w:b/>
        </w:rPr>
        <w:t xml:space="preserve">21 </w:t>
      </w:r>
      <w:r>
        <w:t xml:space="preserve">Jesus answered and said to them, I have done one work, and you all marvel.</w:t>
      </w:r>
    </w:p>
    <w:p>
      <w:r>
        <w:rPr>
          <w:b/>
        </w:rPr>
        <w:t xml:space="preserve">22 </w:t>
      </w:r>
      <w:r>
        <w:t xml:space="preserve">Moses therefore gave to you circumcision</w:t>
      </w:r>
      <w:r>
        <w:rPr>
          <w:rStyle w:val="FootnoteReference"/>
        </w:rPr>
        <w:footnoteReference w:id="16105"/>
      </w:r>
      <w:r>
        <w:t xml:space="preserve">; (not because it is of Moses, but of the fathers;) and you on the Sabbath circumcise a man.</w:t>
      </w:r>
    </w:p>
    <w:p>
      <w:r>
        <w:rPr>
          <w:b/>
        </w:rPr>
        <w:t xml:space="preserve">23 </w:t>
      </w:r>
      <w:r>
        <w:t xml:space="preserve">If a man on the Sabbath receives circumcision, that the law of Moses should not be broken</w:t>
      </w:r>
      <w:r>
        <w:rPr>
          <w:rStyle w:val="FootnoteReference"/>
        </w:rPr>
        <w:footnoteReference w:id="16106"/>
      </w:r>
      <w:r>
        <w:t xml:space="preserve">; are you angry at me, because I have made a man entirely whole on the Sabbath?</w:t>
      </w:r>
    </w:p>
    <w:p>
      <w:r>
        <w:rPr>
          <w:b/>
        </w:rPr>
        <w:t xml:space="preserve">24 </w:t>
      </w:r>
      <w:r>
        <w:t xml:space="preserve">Do not judge according to the appearance, but judge righteous judgment.</w:t>
      </w:r>
    </w:p>
    <w:p>
      <w:r>
        <w:rPr>
          <w:b/>
        </w:rPr>
        <w:t xml:space="preserve">25 </w:t>
      </w:r>
      <w:r>
        <w:t xml:space="preserve">Then said some of them of Jerusalem</w:t>
      </w:r>
      <w:r>
        <w:rPr>
          <w:rStyle w:val="FootnoteReference"/>
        </w:rPr>
        <w:footnoteReference w:id="16107"/>
      </w:r>
      <w:r>
        <w:t xml:space="preserve">, Is not this he, whom they seek to kill?</w:t>
      </w:r>
    </w:p>
    <w:p>
      <w:r>
        <w:rPr>
          <w:b/>
        </w:rPr>
        <w:t xml:space="preserve">26 </w:t>
      </w:r>
      <w:r>
        <w:t xml:space="preserve">But, look, he speaks boldly, and they say nothing to him. Do the rulers truly know that this is truly the Christ?</w:t>
      </w:r>
    </w:p>
    <w:p>
      <w:r>
        <w:rPr>
          <w:b/>
        </w:rPr>
        <w:t xml:space="preserve">27 </w:t>
      </w:r>
      <w:r>
        <w:t xml:space="preserve">Nevertheless we know this man from where he is: but when Christ comes, no one knows from where he is.</w:t>
      </w:r>
    </w:p>
    <w:p>
      <w:r>
        <w:rPr>
          <w:b/>
        </w:rPr>
        <w:t xml:space="preserve">28 </w:t>
      </w:r>
      <w:r>
        <w:t xml:space="preserve">Then cried Jesus in the temple as he taught, saying, You both know me, and you know from where I am: and I am not come of myself, but the one who sent me is true</w:t>
      </w:r>
      <w:r>
        <w:rPr>
          <w:rStyle w:val="FootnoteReference"/>
        </w:rPr>
        <w:footnoteReference w:id="16108"/>
      </w:r>
      <w:r>
        <w:t xml:space="preserve">, whom you do not know.</w:t>
      </w:r>
    </w:p>
    <w:p>
      <w:r>
        <w:rPr>
          <w:b/>
        </w:rPr>
        <w:t xml:space="preserve">29 </w:t>
      </w:r>
      <w:r>
        <w:t xml:space="preserve">But I know him: for I am from him, and he has sent me.</w:t>
      </w:r>
    </w:p>
    <w:p>
      <w:r>
        <w:rPr>
          <w:b/>
        </w:rPr>
        <w:t xml:space="preserve">30 </w:t>
      </w:r>
      <w:r>
        <w:t xml:space="preserve">Then they sought to take him: but no one laid hands on him, because his hour had not yet come.</w:t>
      </w:r>
    </w:p>
    <w:p>
      <w:r>
        <w:rPr>
          <w:b/>
        </w:rPr>
        <w:t xml:space="preserve">31 </w:t>
      </w:r>
      <w:r>
        <w:t xml:space="preserve">And many of the people believed</w:t>
      </w:r>
      <w:r>
        <w:rPr>
          <w:rStyle w:val="FootnoteReference"/>
        </w:rPr>
        <w:footnoteReference w:id="16109"/>
      </w:r>
      <w:r>
        <w:t xml:space="preserve"> on him, and said, When Christ comes, will he do more signs than these which this man has done?</w:t>
      </w:r>
    </w:p>
    <w:p>
      <w:r>
        <w:rPr>
          <w:b/>
        </w:rPr>
        <w:t xml:space="preserve">32 </w:t>
      </w:r>
      <w:r>
        <w:t xml:space="preserve">The Pharisees heard</w:t>
      </w:r>
      <w:r>
        <w:rPr>
          <w:rStyle w:val="FootnoteReference"/>
        </w:rPr>
        <w:footnoteReference w:id="16110"/>
      </w:r>
      <w:r>
        <w:t xml:space="preserve"> that the people murmured such things concerning him; and the Pharisees and the chief priests sent officers to take him.</w:t>
      </w:r>
    </w:p>
    <w:p>
      <w:r>
        <w:rPr>
          <w:b/>
        </w:rPr>
        <w:t xml:space="preserve">33 </w:t>
      </w:r>
      <w:r>
        <w:t xml:space="preserve">Then Jesus said to them, Yet a little while I am with you, and then I go to him who sent me.</w:t>
      </w:r>
    </w:p>
    <w:p>
      <w:r>
        <w:rPr>
          <w:b/>
        </w:rPr>
        <w:t xml:space="preserve">34 </w:t>
      </w:r>
      <w:r>
        <w:t xml:space="preserve">You shall seek me, and shall not find me: and where I am, there you cannot come.</w:t>
      </w:r>
    </w:p>
    <w:p>
      <w:r>
        <w:rPr>
          <w:b/>
        </w:rPr>
        <w:t xml:space="preserve">35 </w:t>
      </w:r>
      <w:r>
        <w:t xml:space="preserve">Then the Jews said among themselves, Where will he go, that we shall not find him? will he go to the dispersion among the Gentiles</w:t>
      </w:r>
      <w:r>
        <w:rPr>
          <w:rStyle w:val="FootnoteReference"/>
        </w:rPr>
        <w:footnoteReference w:id="16111"/>
      </w:r>
      <w:r>
        <w:t xml:space="preserve">, and teach</w:t>
      </w:r>
      <w:r>
        <w:rPr>
          <w:rStyle w:val="FootnoteReference"/>
        </w:rPr>
        <w:footnoteReference w:id="16112"/>
      </w:r>
      <w:r>
        <w:t xml:space="preserve"> the Gentiles?</w:t>
      </w:r>
    </w:p>
    <w:p>
      <w:r>
        <w:rPr>
          <w:b/>
        </w:rPr>
        <w:t xml:space="preserve">36 </w:t>
      </w:r>
      <w:r>
        <w:t xml:space="preserve">What saying is this that he said, You shall seek me, and shall not find me: and where I am, there you cannot come?</w:t>
      </w:r>
    </w:p>
    <w:p>
      <w:r>
        <w:rPr>
          <w:b/>
        </w:rPr>
        <w:t xml:space="preserve">37 </w:t>
      </w:r>
      <w:r>
        <w:t xml:space="preserve">In the last</w:t>
      </w:r>
      <w:r>
        <w:rPr>
          <w:rStyle w:val="FootnoteReference"/>
        </w:rPr>
        <w:footnoteReference w:id="16113"/>
      </w:r>
      <w:r>
        <w:t xml:space="preserve"> day, that great day of the feast, Jesus stood and cried, saying, If anyone thirst, let him come to me, and drink.</w:t>
      </w:r>
    </w:p>
    <w:p>
      <w:r>
        <w:rPr>
          <w:b/>
        </w:rPr>
        <w:t xml:space="preserve">38 </w:t>
      </w:r>
      <w:r>
        <w:t xml:space="preserve">The one who believes on me, as the scripture has said, out of his belly shall flow rivers of living water.</w:t>
      </w:r>
    </w:p>
    <w:p>
      <w:r>
        <w:rPr>
          <w:b/>
        </w:rPr>
        <w:t xml:space="preserve">39 </w:t>
      </w:r>
      <w:r>
        <w:t xml:space="preserve">(But this he spoke of the Spirit, which those who believe on him should receive: for the Holy Spirit was not yet given; because Jesus was not yet glorified</w:t>
      </w:r>
      <w:r>
        <w:rPr>
          <w:rStyle w:val="FootnoteReference"/>
        </w:rPr>
        <w:footnoteReference w:id="16114"/>
      </w:r>
      <w:r>
        <w:t xml:space="preserve">.)</w:t>
      </w:r>
    </w:p>
    <w:p>
      <w:r>
        <w:rPr>
          <w:b/>
        </w:rPr>
        <w:t xml:space="preserve">40 </w:t>
      </w:r>
      <w:r>
        <w:t xml:space="preserve">Many of the people therefore, when they heard this saying, said, Truthfully this is the Prophet.</w:t>
      </w:r>
    </w:p>
    <w:p>
      <w:r>
        <w:rPr>
          <w:b/>
        </w:rPr>
        <w:t xml:space="preserve">41 </w:t>
      </w:r>
      <w:r>
        <w:t xml:space="preserve">Others said, This is</w:t>
      </w:r>
      <w:r>
        <w:rPr>
          <w:rStyle w:val="FootnoteReference"/>
        </w:rPr>
        <w:footnoteReference w:id="16115"/>
      </w:r>
      <w:r>
        <w:t xml:space="preserve"> the Christ. But some said, Shall Christ come out of Galilee?</w:t>
      </w:r>
    </w:p>
    <w:p>
      <w:r>
        <w:rPr>
          <w:b/>
        </w:rPr>
        <w:t xml:space="preserve">42 </w:t>
      </w:r>
      <w:r>
        <w:t xml:space="preserve">Has not the scripture said, That Christ comes of the seed of David, and out of the town of Bethlehem, where David was?</w:t>
      </w:r>
    </w:p>
    <w:p>
      <w:r>
        <w:rPr>
          <w:b/>
        </w:rPr>
        <w:t xml:space="preserve">43 </w:t>
      </w:r>
      <w:r>
        <w:t xml:space="preserve">So there was a division among the people because of him.</w:t>
      </w:r>
    </w:p>
    <w:p>
      <w:r>
        <w:rPr>
          <w:b/>
        </w:rPr>
        <w:t xml:space="preserve">44 </w:t>
      </w:r>
      <w:r>
        <w:t xml:space="preserve">And some of them would have taken him; but no one laid hands on him.</w:t>
      </w:r>
    </w:p>
    <w:p>
      <w:r>
        <w:rPr>
          <w:b/>
        </w:rPr>
        <w:t xml:space="preserve">45 </w:t>
      </w:r>
      <w:r>
        <w:t xml:space="preserve">Then came the officers</w:t>
      </w:r>
      <w:r>
        <w:rPr>
          <w:rStyle w:val="FootnoteReference"/>
        </w:rPr>
        <w:footnoteReference w:id="16116"/>
      </w:r>
      <w:r>
        <w:t xml:space="preserve"> to the chief priests and Pharisees; and they said to them, Why have you not brought him?</w:t>
      </w:r>
    </w:p>
    <w:p>
      <w:r>
        <w:rPr>
          <w:b/>
        </w:rPr>
        <w:t xml:space="preserve">46 </w:t>
      </w:r>
      <w:r>
        <w:t xml:space="preserve">The officers answered, Never</w:t>
      </w:r>
      <w:r>
        <w:rPr>
          <w:rStyle w:val="FootnoteReference"/>
        </w:rPr>
        <w:footnoteReference w:id="16117"/>
      </w:r>
      <w:r>
        <w:t xml:space="preserve"> did a man speak like this man.</w:t>
      </w:r>
    </w:p>
    <w:p>
      <w:r>
        <w:rPr>
          <w:b/>
        </w:rPr>
        <w:t xml:space="preserve">47 </w:t>
      </w:r>
      <w:r>
        <w:t xml:space="preserve">Then the Pharisees answered them, Are you also deceived?</w:t>
      </w:r>
    </w:p>
    <w:p>
      <w:r>
        <w:rPr>
          <w:b/>
        </w:rPr>
        <w:t xml:space="preserve">48 </w:t>
      </w:r>
      <w:r>
        <w:t xml:space="preserve">Have any of the rulers or of the Pharisees believed on him?</w:t>
      </w:r>
    </w:p>
    <w:p>
      <w:r>
        <w:rPr>
          <w:b/>
        </w:rPr>
        <w:t xml:space="preserve">49 </w:t>
      </w:r>
      <w:r>
        <w:t xml:space="preserve">But this people who does not know the law are cursed.</w:t>
      </w:r>
    </w:p>
    <w:p>
      <w:r>
        <w:rPr>
          <w:b/>
        </w:rPr>
        <w:t xml:space="preserve">50 </w:t>
      </w:r>
      <w:r>
        <w:t xml:space="preserve">Nicodemus says to them, (the one who came to Jesus by night, being one of them,)</w:t>
      </w:r>
    </w:p>
    <w:p>
      <w:r>
        <w:rPr>
          <w:b/>
        </w:rPr>
        <w:t xml:space="preserve">51 </w:t>
      </w:r>
      <w:r>
        <w:t xml:space="preserve">Does our law judge anyone, before it hears him, and knows what he does?</w:t>
      </w:r>
    </w:p>
    <w:p>
      <w:r>
        <w:rPr>
          <w:b/>
        </w:rPr>
        <w:t xml:space="preserve">52 </w:t>
      </w:r>
      <w:r>
        <w:t xml:space="preserve">They answered and said to him, Are you also of Galilee? Search</w:t>
      </w:r>
      <w:r>
        <w:rPr>
          <w:rStyle w:val="FootnoteReference"/>
        </w:rPr>
        <w:footnoteReference w:id="16118"/>
      </w:r>
      <w:r>
        <w:t xml:space="preserve">, and look: for out of Galilee arises no prophet.</w:t>
      </w:r>
    </w:p>
    <w:p>
      <w:r>
        <w:rPr>
          <w:b/>
        </w:rPr>
        <w:t xml:space="preserve">53 </w:t>
      </w:r>
      <w:r>
        <w:t xml:space="preserve">And every man went to his own house.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Jesus went to the mount of Olives.</w:t>
      </w:r>
    </w:p>
    <w:p>
      <w:r>
        <w:rPr>
          <w:b/>
        </w:rPr>
        <w:t xml:space="preserve">2 </w:t>
      </w:r>
      <w:r>
        <w:t xml:space="preserve">And early</w:t>
      </w:r>
      <w:r>
        <w:rPr>
          <w:rStyle w:val="FootnoteReference"/>
        </w:rPr>
        <w:footnoteReference w:id="16119"/>
      </w:r>
      <w:r>
        <w:t xml:space="preserve"> in the morning he came again into the temple, and all the people came to him; and he sat down, and taught them.</w:t>
      </w:r>
    </w:p>
    <w:p>
      <w:r>
        <w:rPr>
          <w:b/>
        </w:rPr>
        <w:t xml:space="preserve">3 </w:t>
      </w:r>
      <w:r>
        <w:t xml:space="preserve">And the scribes and Pharisees brought to him a woman taken in adultery; and when they had set her in the midst,</w:t>
      </w:r>
    </w:p>
    <w:p>
      <w:r>
        <w:rPr>
          <w:b/>
        </w:rPr>
        <w:t xml:space="preserve">4 </w:t>
      </w:r>
      <w:r>
        <w:t xml:space="preserve">They say to him, Teacher, this woman was taken in adultery, in the very act.</w:t>
      </w:r>
    </w:p>
    <w:p>
      <w:r>
        <w:rPr>
          <w:b/>
        </w:rPr>
        <w:t xml:space="preserve">5 </w:t>
      </w:r>
      <w:r>
        <w:t xml:space="preserve">Now Moses</w:t>
      </w:r>
      <w:r>
        <w:rPr>
          <w:rStyle w:val="FootnoteReference"/>
        </w:rPr>
        <w:footnoteReference w:id="16120"/>
      </w:r>
      <w:r>
        <w:t xml:space="preserve"> in the law commanded us, that such should be stoned: but what do you say?</w:t>
      </w:r>
    </w:p>
    <w:p>
      <w:r>
        <w:rPr>
          <w:b/>
        </w:rPr>
        <w:t xml:space="preserve">6 </w:t>
      </w:r>
      <w:r>
        <w:t xml:space="preserve">This they said, tempting</w:t>
      </w:r>
      <w:r>
        <w:rPr>
          <w:rStyle w:val="FootnoteReference"/>
        </w:rPr>
        <w:footnoteReference w:id="16121"/>
      </w:r>
      <w:r>
        <w:t xml:space="preserve"> him, that they might have to accuse him. But Jesus stooped down, and with his finger wrote on the ground, as though he did not hear them.</w:t>
      </w:r>
    </w:p>
    <w:p>
      <w:r>
        <w:rPr>
          <w:b/>
        </w:rPr>
        <w:t xml:space="preserve">7 </w:t>
      </w:r>
      <w:r>
        <w:t xml:space="preserve">So when they continued asking him, he lifted up himself, and said</w:t>
      </w:r>
      <w:r>
        <w:rPr>
          <w:rStyle w:val="FootnoteReference"/>
        </w:rPr>
        <w:footnoteReference w:id="16122"/>
      </w:r>
      <w:r>
        <w:t xml:space="preserve"> to them, The one who is without sin among you, let him first cast a stone at her.</w:t>
      </w:r>
    </w:p>
    <w:p>
      <w:r>
        <w:rPr>
          <w:b/>
        </w:rPr>
        <w:t xml:space="preserve">8 </w:t>
      </w:r>
      <w:r>
        <w:t xml:space="preserve">And again he stooped down, and wrote on the ground.</w:t>
      </w:r>
    </w:p>
    <w:p>
      <w:r>
        <w:rPr>
          <w:b/>
        </w:rPr>
        <w:t xml:space="preserve">9 </w:t>
      </w:r>
      <w:r>
        <w:t xml:space="preserve">And those who heard it, being convicted by their own conscience, went out</w:t>
      </w:r>
      <w:r>
        <w:rPr>
          <w:rStyle w:val="FootnoteReference"/>
        </w:rPr>
        <w:footnoteReference w:id="16123"/>
      </w:r>
      <w:r>
        <w:t xml:space="preserve"> one by one, beginning at the eldest, even to the last: and Jesus was left alone, and the woman standing in the midst.</w:t>
      </w:r>
    </w:p>
    <w:p>
      <w:r>
        <w:rPr>
          <w:b/>
        </w:rPr>
        <w:t xml:space="preserve">10 </w:t>
      </w:r>
      <w:r>
        <w:t xml:space="preserve">When Jesus had lifted up himself, and saw none but the woman, he said to her, Woman, where are your accusers? has no one condemned you?</w:t>
      </w:r>
    </w:p>
    <w:p>
      <w:r>
        <w:rPr>
          <w:b/>
        </w:rPr>
        <w:t xml:space="preserve">11 </w:t>
      </w:r>
      <w:r>
        <w:t xml:space="preserve">She said, No one, Lord. And Jesus said to her, Neither do I condemn you: go, and sin no more.</w:t>
      </w:r>
    </w:p>
    <w:p>
      <w:r>
        <w:rPr>
          <w:b/>
        </w:rPr>
        <w:t xml:space="preserve">12 </w:t>
      </w:r>
      <w:r>
        <w:t xml:space="preserve">Then spoke Jesus again to them, saying, I am the light of the world: the one who follows me shall not</w:t>
      </w:r>
      <w:r>
        <w:rPr>
          <w:rStyle w:val="FootnoteReference"/>
        </w:rPr>
        <w:footnoteReference w:id="16124"/>
      </w:r>
      <w:r>
        <w:t xml:space="preserve"> walk in darkness, but shall have the light of life.</w:t>
      </w:r>
    </w:p>
    <w:p>
      <w:r>
        <w:rPr>
          <w:b/>
        </w:rPr>
        <w:t xml:space="preserve">13 </w:t>
      </w:r>
      <w:r>
        <w:t xml:space="preserve">The Pharisees therefore said to him, You bear witness of yourself; your witness is not true.</w:t>
      </w:r>
    </w:p>
    <w:p>
      <w:r>
        <w:rPr>
          <w:b/>
        </w:rPr>
        <w:t xml:space="preserve">14 </w:t>
      </w:r>
      <w:r>
        <w:t xml:space="preserve">Jesus answered and said to them, Though I bear record of myself, yet my record is true: for I know from where I came, and where I go; but you cannot tell from where I come, and where I go.</w:t>
      </w:r>
    </w:p>
    <w:p>
      <w:r>
        <w:rPr>
          <w:b/>
        </w:rPr>
        <w:t xml:space="preserve">15 </w:t>
      </w:r>
      <w:r>
        <w:t xml:space="preserve">You judge</w:t>
      </w:r>
      <w:r>
        <w:rPr>
          <w:rStyle w:val="FootnoteReference"/>
        </w:rPr>
        <w:footnoteReference w:id="16125"/>
      </w:r>
      <w:r>
        <w:t xml:space="preserve"> after the flesh; I judge no one.</w:t>
      </w:r>
    </w:p>
    <w:p>
      <w:r>
        <w:rPr>
          <w:b/>
        </w:rPr>
        <w:t xml:space="preserve">16 </w:t>
      </w:r>
      <w:r>
        <w:t xml:space="preserve">And yet if I judge, my judgment is true: for I am not alone, but I and the Father who sent me.</w:t>
      </w:r>
    </w:p>
    <w:p>
      <w:r>
        <w:rPr>
          <w:b/>
        </w:rPr>
        <w:t xml:space="preserve">17 </w:t>
      </w:r>
      <w:r>
        <w:t xml:space="preserve">It is also</w:t>
      </w:r>
      <w:r>
        <w:rPr>
          <w:rStyle w:val="FootnoteReference"/>
        </w:rPr>
        <w:footnoteReference w:id="16126"/>
      </w:r>
      <w:r>
        <w:t xml:space="preserve"> written in your law, that the testimony of two men is true.</w:t>
      </w:r>
    </w:p>
    <w:p>
      <w:r>
        <w:rPr>
          <w:b/>
        </w:rPr>
        <w:t xml:space="preserve">18 </w:t>
      </w:r>
      <w:r>
        <w:t xml:space="preserve">I am one who bears witness of myself, and the Father who sent me bears witness of me.</w:t>
      </w:r>
    </w:p>
    <w:p>
      <w:r>
        <w:rPr>
          <w:b/>
        </w:rPr>
        <w:t xml:space="preserve">19 </w:t>
      </w:r>
      <w:r>
        <w:t xml:space="preserve">Then they said to him, Where is your Father? Jesus answered, You neither know me, nor my Father: if you had known me, you would have known my Father also.</w:t>
      </w:r>
    </w:p>
    <w:p>
      <w:r>
        <w:rPr>
          <w:b/>
        </w:rPr>
        <w:t xml:space="preserve">20 </w:t>
      </w:r>
      <w:r>
        <w:t xml:space="preserve">These words Jesus spoke in the treasury</w:t>
      </w:r>
      <w:r>
        <w:rPr>
          <w:rStyle w:val="FootnoteReference"/>
        </w:rPr>
        <w:footnoteReference w:id="16127"/>
      </w:r>
      <w:r>
        <w:t xml:space="preserve">, as he taught in the temple: and no one laid hands on him; for his hour had not yet come.</w:t>
      </w:r>
    </w:p>
    <w:p>
      <w:r>
        <w:rPr>
          <w:b/>
        </w:rPr>
        <w:t xml:space="preserve">21 </w:t>
      </w:r>
      <w:r>
        <w:t xml:space="preserve">Then Jesus said again to them, I go</w:t>
      </w:r>
      <w:r>
        <w:rPr>
          <w:rStyle w:val="FootnoteReference"/>
        </w:rPr>
        <w:footnoteReference w:id="16128"/>
      </w:r>
      <w:r>
        <w:t xml:space="preserve"> my way, and you shall seek me, and shall die in your sins: where I go, you cannot come.</w:t>
      </w:r>
    </w:p>
    <w:p>
      <w:r>
        <w:rPr>
          <w:b/>
        </w:rPr>
        <w:t xml:space="preserve">22 </w:t>
      </w:r>
      <w:r>
        <w:t xml:space="preserve">Then said the Jews, Will</w:t>
      </w:r>
      <w:r>
        <w:rPr>
          <w:rStyle w:val="FootnoteReference"/>
        </w:rPr>
        <w:footnoteReference w:id="16129"/>
      </w:r>
      <w:r>
        <w:t xml:space="preserve"> he kill himself? because he says, Where I go, you cannot come.</w:t>
      </w:r>
    </w:p>
    <w:p>
      <w:r>
        <w:rPr>
          <w:b/>
        </w:rPr>
        <w:t xml:space="preserve">23 </w:t>
      </w:r>
      <w:r>
        <w:t xml:space="preserve">And he said to them, You are from beneath; I am from above: you are of this world; I am not of this world.</w:t>
      </w:r>
    </w:p>
    <w:p>
      <w:r>
        <w:rPr>
          <w:b/>
        </w:rPr>
        <w:t xml:space="preserve">24 </w:t>
      </w:r>
      <w:r>
        <w:t xml:space="preserve">I said</w:t>
      </w:r>
      <w:r>
        <w:rPr>
          <w:rStyle w:val="FootnoteReference"/>
        </w:rPr>
        <w:footnoteReference w:id="16130"/>
      </w:r>
      <w:r>
        <w:t xml:space="preserve"> therefore to you, that you shall die in your sins: for if you do not believe that I am he, you shall die in your sins.</w:t>
      </w:r>
    </w:p>
    <w:p>
      <w:r>
        <w:rPr>
          <w:b/>
        </w:rPr>
        <w:t xml:space="preserve">25 </w:t>
      </w:r>
      <w:r>
        <w:t xml:space="preserve">Then they said to him, Who are you? And Jesus says to them, Even the same that I said to you from the beginning.</w:t>
      </w:r>
    </w:p>
    <w:p>
      <w:r>
        <w:rPr>
          <w:b/>
        </w:rPr>
        <w:t xml:space="preserve">26 </w:t>
      </w:r>
      <w:r>
        <w:t xml:space="preserve">I have many</w:t>
      </w:r>
      <w:r>
        <w:rPr>
          <w:rStyle w:val="FootnoteReference"/>
        </w:rPr>
        <w:footnoteReference w:id="16131"/>
      </w:r>
      <w:r>
        <w:t xml:space="preserve"> things to say and to judge of you: but the one who sent me is true; and I speak to the world those things which I have heard of him.</w:t>
      </w:r>
    </w:p>
    <w:p>
      <w:r>
        <w:rPr>
          <w:b/>
        </w:rPr>
        <w:t xml:space="preserve">27 </w:t>
      </w:r>
      <w:r>
        <w:t xml:space="preserve">They did not understand that he spoke to them of the Father.</w:t>
      </w:r>
    </w:p>
    <w:p>
      <w:r>
        <w:rPr>
          <w:b/>
        </w:rPr>
        <w:t xml:space="preserve">28 </w:t>
      </w:r>
      <w:r>
        <w:t xml:space="preserve">Then Jesus said to them, When you have lifted up the Son of man, then shall you know that I am he, and that</w:t>
      </w:r>
      <w:r>
        <w:rPr>
          <w:rStyle w:val="FootnoteReference"/>
        </w:rPr>
        <w:footnoteReference w:id="16132"/>
      </w:r>
      <w:r>
        <w:t xml:space="preserve"> I do nothing of myself; but as my Father has taught me, I speak these things.</w:t>
      </w:r>
    </w:p>
    <w:p>
      <w:r>
        <w:rPr>
          <w:b/>
        </w:rPr>
        <w:t xml:space="preserve">29 </w:t>
      </w:r>
      <w:r>
        <w:t xml:space="preserve">And the one who sent me is with me: the Father has not left me alone; for I do always those things that please him.</w:t>
      </w:r>
    </w:p>
    <w:p>
      <w:r>
        <w:rPr>
          <w:b/>
        </w:rPr>
        <w:t xml:space="preserve">30 </w:t>
      </w:r>
      <w:r>
        <w:t xml:space="preserve">As he spoke these words, many believed on him.</w:t>
      </w:r>
    </w:p>
    <w:p>
      <w:r>
        <w:rPr>
          <w:b/>
        </w:rPr>
        <w:t xml:space="preserve">31 </w:t>
      </w:r>
      <w:r>
        <w:t xml:space="preserve">Then said Jesus to those Jews who believed on him, If you continue in my word, then are you my disciples</w:t>
      </w:r>
      <w:r>
        <w:rPr>
          <w:rStyle w:val="FootnoteReference"/>
        </w:rPr>
        <w:footnoteReference w:id="16133"/>
      </w:r>
      <w:r>
        <w:t xml:space="preserve"> indeed;</w:t>
      </w:r>
    </w:p>
    <w:p>
      <w:r>
        <w:rPr>
          <w:b/>
        </w:rPr>
        <w:t xml:space="preserve">32 </w:t>
      </w:r>
      <w:r>
        <w:t xml:space="preserve">And you shall know the truth, and the truth shall make you free.</w:t>
      </w:r>
    </w:p>
    <w:p>
      <w:r>
        <w:rPr>
          <w:b/>
        </w:rPr>
        <w:t xml:space="preserve">33 </w:t>
      </w:r>
      <w:r>
        <w:t xml:space="preserve">They answered him, We are Abraham's seed, and were</w:t>
      </w:r>
      <w:r>
        <w:rPr>
          <w:rStyle w:val="FootnoteReference"/>
        </w:rPr>
        <w:footnoteReference w:id="16134"/>
      </w:r>
      <w:r>
        <w:t xml:space="preserve"> never in bondage to anyone: how do you say, You shall be made free?</w:t>
      </w:r>
    </w:p>
    <w:p>
      <w:r>
        <w:rPr>
          <w:b/>
        </w:rPr>
        <w:t xml:space="preserve">34 </w:t>
      </w:r>
      <w:r>
        <w:t xml:space="preserve">Jesus answered them, Amen, amen, I say to you, Whoever commits sin is the slave of sin.</w:t>
      </w:r>
    </w:p>
    <w:p>
      <w:r>
        <w:rPr>
          <w:b/>
        </w:rPr>
        <w:t xml:space="preserve">35 </w:t>
      </w:r>
      <w:r>
        <w:t xml:space="preserve">And the slave does not abide in the house forever: but the Son abides ever.</w:t>
      </w:r>
    </w:p>
    <w:p>
      <w:r>
        <w:rPr>
          <w:b/>
        </w:rPr>
        <w:t xml:space="preserve">36 </w:t>
      </w:r>
      <w:r>
        <w:t xml:space="preserve">If the Son therefore shall make you free, you shall be free indeed.</w:t>
      </w:r>
    </w:p>
    <w:p>
      <w:r>
        <w:rPr>
          <w:b/>
        </w:rPr>
        <w:t xml:space="preserve">37 </w:t>
      </w:r>
      <w:r>
        <w:t xml:space="preserve">I know</w:t>
      </w:r>
      <w:r>
        <w:rPr>
          <w:rStyle w:val="FootnoteReference"/>
        </w:rPr>
        <w:footnoteReference w:id="16135"/>
      </w:r>
      <w:r>
        <w:t xml:space="preserve"> that you are Abraham's seed; but you seek to kill me, because my word has no place in you.</w:t>
      </w:r>
    </w:p>
    <w:p>
      <w:r>
        <w:rPr>
          <w:b/>
        </w:rPr>
        <w:t xml:space="preserve">38 </w:t>
      </w:r>
      <w:r>
        <w:t xml:space="preserve">I speak</w:t>
      </w:r>
      <w:r>
        <w:rPr>
          <w:rStyle w:val="FootnoteReference"/>
        </w:rPr>
        <w:footnoteReference w:id="16136"/>
      </w:r>
      <w:r>
        <w:t xml:space="preserve"> that which I have seen with my Father: and you do that which you have seen with your father.</w:t>
      </w:r>
    </w:p>
    <w:p>
      <w:r>
        <w:rPr>
          <w:b/>
        </w:rPr>
        <w:t xml:space="preserve">39 </w:t>
      </w:r>
      <w:r>
        <w:t xml:space="preserve">They answered and said to him, Abraham</w:t>
      </w:r>
      <w:r>
        <w:rPr>
          <w:rStyle w:val="FootnoteReference"/>
        </w:rPr>
        <w:footnoteReference w:id="16137"/>
      </w:r>
      <w:r>
        <w:t xml:space="preserve"> is our father. Jesus says to them, If you were Abraham's children, you would do the works of Abraham.</w:t>
      </w:r>
    </w:p>
    <w:p>
      <w:r>
        <w:rPr>
          <w:b/>
        </w:rPr>
        <w:t xml:space="preserve">40 </w:t>
      </w:r>
      <w:r>
        <w:t xml:space="preserve">But now you seek to kill me, a man</w:t>
      </w:r>
      <w:r>
        <w:rPr>
          <w:rStyle w:val="FootnoteReference"/>
        </w:rPr>
        <w:footnoteReference w:id="16138"/>
      </w:r>
      <w:r>
        <w:t xml:space="preserve"> that has told you the truth, which I have heard from God: Abraham did not do this.</w:t>
      </w:r>
    </w:p>
    <w:p>
      <w:r>
        <w:rPr>
          <w:b/>
        </w:rPr>
        <w:t xml:space="preserve">41 </w:t>
      </w:r>
      <w:r>
        <w:t xml:space="preserve">You do the deeds of your father. Then said they to him, We were not born of sexual immorality; we have one Father, even God.</w:t>
      </w:r>
    </w:p>
    <w:p>
      <w:r>
        <w:rPr>
          <w:b/>
        </w:rPr>
        <w:t xml:space="preserve">42 </w:t>
      </w:r>
      <w:r>
        <w:t xml:space="preserve">Jesus said to them, If God were your Father, you would love me: for I proceeded forth and came from God; neither did I come of myself, but he sent me.</w:t>
      </w:r>
    </w:p>
    <w:p>
      <w:r>
        <w:rPr>
          <w:b/>
        </w:rPr>
        <w:t xml:space="preserve">43 </w:t>
      </w:r>
      <w:r>
        <w:t xml:space="preserve">Why do you not understand my speech? even because you cannot hear my word.</w:t>
      </w:r>
    </w:p>
    <w:p>
      <w:r>
        <w:rPr>
          <w:b/>
        </w:rPr>
        <w:t xml:space="preserve">44 </w:t>
      </w:r>
      <w:r>
        <w:t xml:space="preserve">You are of your father the devil, and the desires of your father you will do. He was a murderer from the beginning, and did not remain in the truth, because there is no truth in him. When he speaks a lie, he speaks of his own: for he is a liar, and the father of it.</w:t>
      </w:r>
    </w:p>
    <w:p>
      <w:r>
        <w:rPr>
          <w:b/>
        </w:rPr>
        <w:t xml:space="preserve">45 </w:t>
      </w:r>
      <w:r>
        <w:t xml:space="preserve">And because I tell you the truth, you do not believe me.</w:t>
      </w:r>
    </w:p>
    <w:p>
      <w:r>
        <w:rPr>
          <w:b/>
        </w:rPr>
        <w:t xml:space="preserve">46 </w:t>
      </w:r>
      <w:r>
        <w:t xml:space="preserve">Which of you convicts me of sin? And if I say the truth, why do you not believe me?</w:t>
      </w:r>
    </w:p>
    <w:p>
      <w:r>
        <w:rPr>
          <w:b/>
        </w:rPr>
        <w:t xml:space="preserve">47 </w:t>
      </w:r>
      <w:r>
        <w:t xml:space="preserve">The one who is of God hears God's words: you therefore do not hear them, because you are not of God.</w:t>
      </w:r>
    </w:p>
    <w:p>
      <w:r>
        <w:rPr>
          <w:b/>
        </w:rPr>
        <w:t xml:space="preserve">48 </w:t>
      </w:r>
      <w:r>
        <w:t xml:space="preserve">Then answered the Jews, and said to him, Say we not well that you are a Samaritan, and have a demon?</w:t>
      </w:r>
    </w:p>
    <w:p>
      <w:r>
        <w:rPr>
          <w:b/>
        </w:rPr>
        <w:t xml:space="preserve">49 </w:t>
      </w:r>
      <w:r>
        <w:t xml:space="preserve">Jesus answered, I have not</w:t>
      </w:r>
      <w:r>
        <w:rPr>
          <w:rStyle w:val="FootnoteReference"/>
        </w:rPr>
        <w:footnoteReference w:id="16139"/>
      </w:r>
      <w:r>
        <w:t xml:space="preserve"> a demon; but I honor my Father, and you do dishonour me.</w:t>
      </w:r>
    </w:p>
    <w:p>
      <w:r>
        <w:rPr>
          <w:b/>
        </w:rPr>
        <w:t xml:space="preserve">50 </w:t>
      </w:r>
      <w:r>
        <w:t xml:space="preserve">And I do not seek my own glory: there is one that seeks and judges.</w:t>
      </w:r>
    </w:p>
    <w:p>
      <w:r>
        <w:rPr>
          <w:b/>
        </w:rPr>
        <w:t xml:space="preserve">51 </w:t>
      </w:r>
      <w:r>
        <w:t xml:space="preserve">Amen, amen, I say to you, If a man keep</w:t>
      </w:r>
      <w:r>
        <w:rPr>
          <w:rStyle w:val="FootnoteReference"/>
        </w:rPr>
        <w:footnoteReference w:id="16140"/>
      </w:r>
      <w:r>
        <w:t xml:space="preserve"> my saying, he shall never see death.</w:t>
      </w:r>
    </w:p>
    <w:p>
      <w:r>
        <w:rPr>
          <w:b/>
        </w:rPr>
        <w:t xml:space="preserve">52 </w:t>
      </w:r>
      <w:r>
        <w:t xml:space="preserve">Then said the Jews to him, Now we know that you have a demon. Abraham</w:t>
      </w:r>
      <w:r>
        <w:rPr>
          <w:rStyle w:val="FootnoteReference"/>
        </w:rPr>
        <w:footnoteReference w:id="16141"/>
      </w:r>
      <w:r>
        <w:t xml:space="preserve"> is dead, and the prophets; and you says, If a man keep my saying, he shall never taste of death.</w:t>
      </w:r>
    </w:p>
    <w:p>
      <w:r>
        <w:rPr>
          <w:b/>
        </w:rPr>
        <w:t xml:space="preserve">53 </w:t>
      </w:r>
      <w:r>
        <w:t xml:space="preserve">Are you greater than our father Abraham, who is dead? and the prophets are dead: whom do you make yourself?</w:t>
      </w:r>
    </w:p>
    <w:p>
      <w:r>
        <w:rPr>
          <w:b/>
        </w:rPr>
        <w:t xml:space="preserve">54 </w:t>
      </w:r>
      <w:r>
        <w:t xml:space="preserve">Jesus answered, If I honor myself, my honor is nothing: it is my Father that honors me; of whom you say, that he is your God:</w:t>
      </w:r>
    </w:p>
    <w:p>
      <w:r>
        <w:rPr>
          <w:b/>
        </w:rPr>
        <w:t xml:space="preserve">55 </w:t>
      </w:r>
      <w:r>
        <w:t xml:space="preserve">Yet you have not known him; but I know him: and if I should say, I do not know him, I shall be a liar like you: but I know him, and keep</w:t>
      </w:r>
      <w:r>
        <w:rPr>
          <w:rStyle w:val="FootnoteReference"/>
        </w:rPr>
        <w:footnoteReference w:id="16142"/>
      </w:r>
      <w:r>
        <w:t xml:space="preserve"> his saying.</w:t>
      </w:r>
    </w:p>
    <w:p>
      <w:r>
        <w:rPr>
          <w:b/>
        </w:rPr>
        <w:t xml:space="preserve">56 </w:t>
      </w:r>
      <w:r>
        <w:t xml:space="preserve">Your father Abraham rejoiced</w:t>
      </w:r>
      <w:r>
        <w:rPr>
          <w:rStyle w:val="FootnoteReference"/>
        </w:rPr>
        <w:footnoteReference w:id="16143"/>
      </w:r>
      <w:r>
        <w:t xml:space="preserve"> to see my day: and he saw it, and was glad.</w:t>
      </w:r>
    </w:p>
    <w:p>
      <w:r>
        <w:rPr>
          <w:b/>
        </w:rPr>
        <w:t xml:space="preserve">57 </w:t>
      </w:r>
      <w:r>
        <w:t xml:space="preserve">Then the Jews said to him, You are not yet fifty years old, and have you seen Abraham?</w:t>
      </w:r>
    </w:p>
    <w:p>
      <w:r>
        <w:rPr>
          <w:b/>
        </w:rPr>
        <w:t xml:space="preserve">58 </w:t>
      </w:r>
      <w:r>
        <w:t xml:space="preserve">Jesus said to them, Amen, amen, I say to you, Before Abraham was, I am</w:t>
      </w:r>
      <w:r>
        <w:rPr>
          <w:rStyle w:val="FootnoteReference"/>
        </w:rPr>
        <w:footnoteReference w:id="16144"/>
      </w:r>
      <w:r>
        <w:t xml:space="preserve">.</w:t>
      </w:r>
    </w:p>
    <w:p>
      <w:r>
        <w:rPr>
          <w:b/>
        </w:rPr>
        <w:t xml:space="preserve">59 </w:t>
      </w:r>
      <w:r>
        <w:t xml:space="preserve">Then they took</w:t>
      </w:r>
      <w:r>
        <w:rPr>
          <w:rStyle w:val="FootnoteReference"/>
        </w:rPr>
        <w:footnoteReference w:id="16145"/>
      </w:r>
      <w:r>
        <w:t xml:space="preserve"> up stones to cast at him: but Jesus hid himself, and went out of the temple, going through the midst of them, and so passed by.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as Jesus passed by, he saw</w:t>
      </w:r>
      <w:r>
        <w:rPr>
          <w:rStyle w:val="FootnoteReference"/>
        </w:rPr>
        <w:footnoteReference w:id="16146"/>
      </w:r>
      <w:r>
        <w:t xml:space="preserve"> a man who was blind from his birth.</w:t>
      </w:r>
    </w:p>
    <w:p>
      <w:r>
        <w:rPr>
          <w:b/>
        </w:rPr>
        <w:t xml:space="preserve">2 </w:t>
      </w:r>
      <w:r>
        <w:t xml:space="preserve">And his disciples asked him, saying, Teacher, who sinned, this man, or his parents, that he was born blind?</w:t>
      </w:r>
    </w:p>
    <w:p>
      <w:r>
        <w:rPr>
          <w:b/>
        </w:rPr>
        <w:t xml:space="preserve">3 </w:t>
      </w:r>
      <w:r>
        <w:t xml:space="preserve">Jesus answered, Neither has this man sinned, nor his parents: but that the works of God should be made manifest in him.</w:t>
      </w:r>
    </w:p>
    <w:p>
      <w:r>
        <w:rPr>
          <w:b/>
        </w:rPr>
        <w:t xml:space="preserve">4 </w:t>
      </w:r>
      <w:r>
        <w:t xml:space="preserve">I must</w:t>
      </w:r>
      <w:r>
        <w:rPr>
          <w:rStyle w:val="FootnoteReference"/>
        </w:rPr>
        <w:footnoteReference w:id="16147"/>
      </w:r>
      <w:r>
        <w:t xml:space="preserve"> work the works of him who sent me, while it is day: the night comes, when no one can work.</w:t>
      </w:r>
    </w:p>
    <w:p>
      <w:r>
        <w:rPr>
          <w:b/>
        </w:rPr>
        <w:t xml:space="preserve">5 </w:t>
      </w:r>
      <w:r>
        <w:t xml:space="preserve">As long</w:t>
      </w:r>
      <w:r>
        <w:rPr>
          <w:rStyle w:val="FootnoteReference"/>
        </w:rPr>
        <w:footnoteReference w:id="16148"/>
      </w:r>
      <w:r>
        <w:t xml:space="preserve"> as I am in the world, I am the light of the world.</w:t>
      </w:r>
    </w:p>
    <w:p>
      <w:r>
        <w:rPr>
          <w:b/>
        </w:rPr>
        <w:t xml:space="preserve">6 </w:t>
      </w:r>
      <w:r>
        <w:t xml:space="preserve">When he had thus spoken, he spat</w:t>
      </w:r>
      <w:r>
        <w:rPr>
          <w:rStyle w:val="FootnoteReference"/>
        </w:rPr>
        <w:footnoteReference w:id="16149"/>
      </w:r>
      <w:r>
        <w:t xml:space="preserve"> on the ground, and made clay of the spittle, and he anointed the eyes of the blind man with the clay,</w:t>
      </w:r>
    </w:p>
    <w:p>
      <w:r>
        <w:rPr>
          <w:b/>
        </w:rPr>
        <w:t xml:space="preserve">7 </w:t>
      </w:r>
      <w:r>
        <w:t xml:space="preserve">And said to him, Go, wash in the pool</w:t>
      </w:r>
      <w:r>
        <w:rPr>
          <w:rStyle w:val="FootnoteReference"/>
        </w:rPr>
        <w:footnoteReference w:id="16150"/>
      </w:r>
      <w:r>
        <w:t xml:space="preserve"> of Siloam, (which is by interpretation, Sent.) He went therefore, and washed, and came seeing.</w:t>
      </w:r>
    </w:p>
    <w:p>
      <w:r>
        <w:rPr>
          <w:b/>
        </w:rPr>
        <w:t xml:space="preserve">8 </w:t>
      </w:r>
      <w:r>
        <w:t xml:space="preserve">The neighbors therefore, and those who before had seen him when he was blind, said, Is not this the one who sat and begged?</w:t>
      </w:r>
    </w:p>
    <w:p>
      <w:r>
        <w:rPr>
          <w:b/>
        </w:rPr>
        <w:t xml:space="preserve">9 </w:t>
      </w:r>
      <w:r>
        <w:t xml:space="preserve">Some said, This is he: others said, He is like him: but he said, I am he.</w:t>
      </w:r>
    </w:p>
    <w:p>
      <w:r>
        <w:rPr>
          <w:b/>
        </w:rPr>
        <w:t xml:space="preserve">10 </w:t>
      </w:r>
      <w:r>
        <w:t xml:space="preserve">Therefore they said to him, How were your eyes opened?</w:t>
      </w:r>
    </w:p>
    <w:p>
      <w:r>
        <w:rPr>
          <w:b/>
        </w:rPr>
        <w:t xml:space="preserve">11 </w:t>
      </w:r>
      <w:r>
        <w:t xml:space="preserve">He answered and said, A man</w:t>
      </w:r>
      <w:r>
        <w:rPr>
          <w:rStyle w:val="FootnoteReference"/>
        </w:rPr>
        <w:footnoteReference w:id="16151"/>
      </w:r>
      <w:r>
        <w:t xml:space="preserve"> that is called Jesus made clay, and anointed my eyes, and said to me, Go to the pool of Siloam, and wash: and I went and washed, and I received sight.</w:t>
      </w:r>
    </w:p>
    <w:p>
      <w:r>
        <w:rPr>
          <w:b/>
        </w:rPr>
        <w:t xml:space="preserve">12 </w:t>
      </w:r>
      <w:r>
        <w:t xml:space="preserve">Then said they to him, Where is he? He said, I do not know.</w:t>
      </w:r>
    </w:p>
    <w:p>
      <w:r>
        <w:rPr>
          <w:b/>
        </w:rPr>
        <w:t xml:space="preserve">13 </w:t>
      </w:r>
      <w:r>
        <w:t xml:space="preserve">They brought to the Pharisees him who formerly was blind.</w:t>
      </w:r>
    </w:p>
    <w:p>
      <w:r>
        <w:rPr>
          <w:b/>
        </w:rPr>
        <w:t xml:space="preserve">14 </w:t>
      </w:r>
      <w:r>
        <w:t xml:space="preserve">And it was the Sabbath when Jesus made the clay, and opened his eyes.</w:t>
      </w:r>
    </w:p>
    <w:p>
      <w:r>
        <w:rPr>
          <w:b/>
        </w:rPr>
        <w:t xml:space="preserve">15 </w:t>
      </w:r>
      <w:r>
        <w:t xml:space="preserve">Then again the Pharisees</w:t>
      </w:r>
      <w:r>
        <w:rPr>
          <w:rStyle w:val="FootnoteReference"/>
        </w:rPr>
        <w:footnoteReference w:id="16152"/>
      </w:r>
      <w:r>
        <w:t xml:space="preserve"> also asked him how he had received his sight. He said to them, He put clay upon my eyes, and I washed, and do see.</w:t>
      </w:r>
    </w:p>
    <w:p>
      <w:r>
        <w:rPr>
          <w:b/>
        </w:rPr>
        <w:t xml:space="preserve">16 </w:t>
      </w:r>
      <w:r>
        <w:t xml:space="preserve">Therefore some of the Pharisees said, This man</w:t>
      </w:r>
      <w:r>
        <w:rPr>
          <w:rStyle w:val="FootnoteReference"/>
        </w:rPr>
        <w:footnoteReference w:id="16153"/>
      </w:r>
      <w:r>
        <w:t xml:space="preserve"> is not of God, because he does not keep the Sabbath. Others said, How can a man that is a sinner do such signs? And there was a division among them.</w:t>
      </w:r>
    </w:p>
    <w:p>
      <w:r>
        <w:rPr>
          <w:b/>
        </w:rPr>
        <w:t xml:space="preserve">17 </w:t>
      </w:r>
      <w:r>
        <w:t xml:space="preserve">They say to the blind man again, What do you say of him, that he has opened your eyes? He said, He is a prophet.</w:t>
      </w:r>
    </w:p>
    <w:p>
      <w:r>
        <w:rPr>
          <w:b/>
        </w:rPr>
        <w:t xml:space="preserve">18 </w:t>
      </w:r>
      <w:r>
        <w:t xml:space="preserve">But the Jews did not believe concerning him, that he had been blind, and received his sight, until they called the parents of him who had received his sight.</w:t>
      </w:r>
    </w:p>
    <w:p>
      <w:r>
        <w:rPr>
          <w:b/>
        </w:rPr>
        <w:t xml:space="preserve">19 </w:t>
      </w:r>
      <w:r>
        <w:t xml:space="preserve">And they asked them, saying, Is this</w:t>
      </w:r>
      <w:r>
        <w:rPr>
          <w:rStyle w:val="FootnoteReference"/>
        </w:rPr>
        <w:footnoteReference w:id="16154"/>
      </w:r>
      <w:r>
        <w:t xml:space="preserve"> your son, who you say was born blind? how then does he now see?</w:t>
      </w:r>
    </w:p>
    <w:p>
      <w:r>
        <w:rPr>
          <w:b/>
        </w:rPr>
        <w:t xml:space="preserve">20 </w:t>
      </w:r>
      <w:r>
        <w:t xml:space="preserve">His parents answered them and said, We know that this is our son, and that he was born blind:</w:t>
      </w:r>
    </w:p>
    <w:p>
      <w:r>
        <w:rPr>
          <w:b/>
        </w:rPr>
        <w:t xml:space="preserve">21 </w:t>
      </w:r>
      <w:r>
        <w:t xml:space="preserve">But by what means he now sees, we do not know; or who has opened his eyes, we do not know: he is of age; ask him: he shall speak for himself.</w:t>
      </w:r>
    </w:p>
    <w:p>
      <w:r>
        <w:rPr>
          <w:b/>
        </w:rPr>
        <w:t xml:space="preserve">22 </w:t>
      </w:r>
      <w:r>
        <w:t xml:space="preserve">These words his parents spoke, because they feared the Jews: for the Jews had agreed already, that if anyone did confess that he was Christ, he should</w:t>
      </w:r>
      <w:r>
        <w:rPr>
          <w:rStyle w:val="FootnoteReference"/>
        </w:rPr>
        <w:footnoteReference w:id="16155"/>
      </w:r>
      <w:r>
        <w:t xml:space="preserve"> be put out of the synagogue.</w:t>
      </w:r>
    </w:p>
    <w:p>
      <w:r>
        <w:rPr>
          <w:b/>
        </w:rPr>
        <w:t xml:space="preserve">23 </w:t>
      </w:r>
      <w:r>
        <w:t xml:space="preserve">Therefore his parents said, He is of age; ask him.</w:t>
      </w:r>
    </w:p>
    <w:p>
      <w:r>
        <w:rPr>
          <w:b/>
        </w:rPr>
        <w:t xml:space="preserve">24 </w:t>
      </w:r>
      <w:r>
        <w:t xml:space="preserve">Then again they called the man that was blind, and said to him, Give</w:t>
      </w:r>
      <w:r>
        <w:rPr>
          <w:rStyle w:val="FootnoteReference"/>
        </w:rPr>
        <w:footnoteReference w:id="16156"/>
      </w:r>
      <w:r>
        <w:t xml:space="preserve"> God the praise: we know that this man is a sinner.</w:t>
      </w:r>
    </w:p>
    <w:p>
      <w:r>
        <w:rPr>
          <w:b/>
        </w:rPr>
        <w:t xml:space="preserve">25 </w:t>
      </w:r>
      <w:r>
        <w:t xml:space="preserve">He answered and said, Whether he is a sinner or not, I do not know: one thing I know, that, whereas I was blind, now I see.</w:t>
      </w:r>
    </w:p>
    <w:p>
      <w:r>
        <w:rPr>
          <w:b/>
        </w:rPr>
        <w:t xml:space="preserve">26 </w:t>
      </w:r>
      <w:r>
        <w:t xml:space="preserve">Then they said to him again, What did he do to you? how did he open your eyes?</w:t>
      </w:r>
    </w:p>
    <w:p>
      <w:r>
        <w:rPr>
          <w:b/>
        </w:rPr>
        <w:t xml:space="preserve">27 </w:t>
      </w:r>
      <w:r>
        <w:t xml:space="preserve">He answered them, I have told you already, and you did not hear: therefore would you hear it again? will you also be his disciples?</w:t>
      </w:r>
    </w:p>
    <w:p>
      <w:r>
        <w:rPr>
          <w:b/>
        </w:rPr>
        <w:t xml:space="preserve">28 </w:t>
      </w:r>
      <w:r>
        <w:t xml:space="preserve">Then they reviled him, and said, You are his disciple; but we are Moses' disciples.</w:t>
      </w:r>
    </w:p>
    <w:p>
      <w:r>
        <w:rPr>
          <w:b/>
        </w:rPr>
        <w:t xml:space="preserve">29 </w:t>
      </w:r>
      <w:r>
        <w:t xml:space="preserve">We know</w:t>
      </w:r>
      <w:r>
        <w:rPr>
          <w:rStyle w:val="FootnoteReference"/>
        </w:rPr>
        <w:footnoteReference w:id="16157"/>
      </w:r>
      <w:r>
        <w:t xml:space="preserve"> that God spoke to Moses: as for this fellow, we do not know from where he is.</w:t>
      </w:r>
    </w:p>
    <w:p>
      <w:r>
        <w:rPr>
          <w:b/>
        </w:rPr>
        <w:t xml:space="preserve">30 </w:t>
      </w:r>
      <w:r>
        <w:t xml:space="preserve">The man answered and said to them, Why in this is a marvelous thing, that you do not know from where he is, and yet</w:t>
      </w:r>
      <w:r>
        <w:rPr>
          <w:rStyle w:val="FootnoteReference"/>
        </w:rPr>
        <w:footnoteReference w:id="16158"/>
      </w:r>
      <w:r>
        <w:t xml:space="preserve"> he has opened my eyes.</w:t>
      </w:r>
    </w:p>
    <w:p>
      <w:r>
        <w:rPr>
          <w:b/>
        </w:rPr>
        <w:t xml:space="preserve">31 </w:t>
      </w:r>
      <w:r>
        <w:t xml:space="preserve">Now we know that God does not hear sinners: but if anyone is a worshiper of God, and does his will, him he hears.</w:t>
      </w:r>
    </w:p>
    <w:p>
      <w:r>
        <w:rPr>
          <w:b/>
        </w:rPr>
        <w:t xml:space="preserve">32 </w:t>
      </w:r>
      <w:r>
        <w:t xml:space="preserve">Since the world</w:t>
      </w:r>
      <w:r>
        <w:rPr>
          <w:rStyle w:val="FootnoteReference"/>
        </w:rPr>
        <w:footnoteReference w:id="16159"/>
      </w:r>
      <w:r>
        <w:t xml:space="preserve"> began it was not heard that anyone opened the eyes of one that was born blind.</w:t>
      </w:r>
    </w:p>
    <w:p>
      <w:r>
        <w:rPr>
          <w:b/>
        </w:rPr>
        <w:t xml:space="preserve">33 </w:t>
      </w:r>
      <w:r>
        <w:t xml:space="preserve">If this man were not of God, he could do nothing.</w:t>
      </w:r>
    </w:p>
    <w:p>
      <w:r>
        <w:rPr>
          <w:b/>
        </w:rPr>
        <w:t xml:space="preserve">34 </w:t>
      </w:r>
      <w:r>
        <w:t xml:space="preserve">They answered and said to him, You were altogether born in sins, and do you teach us? And they cast him out</w:t>
      </w:r>
      <w:r>
        <w:rPr>
          <w:rStyle w:val="FootnoteReference"/>
        </w:rPr>
        <w:footnoteReference w:id="16160"/>
      </w:r>
      <w:r>
        <w:t xml:space="preserve">.</w:t>
      </w:r>
    </w:p>
    <w:p>
      <w:r>
        <w:rPr>
          <w:b/>
        </w:rPr>
        <w:t xml:space="preserve">35 </w:t>
      </w:r>
      <w:r>
        <w:t xml:space="preserve">Jesus heard that they had cast him out; and when</w:t>
      </w:r>
      <w:r>
        <w:rPr>
          <w:rStyle w:val="FootnoteReference"/>
        </w:rPr>
        <w:footnoteReference w:id="16161"/>
      </w:r>
      <w:r>
        <w:t xml:space="preserve"> he had found him, he said to him, Do you believe on the Son of God?</w:t>
      </w:r>
    </w:p>
    <w:p>
      <w:r>
        <w:rPr>
          <w:b/>
        </w:rPr>
        <w:t xml:space="preserve">36 </w:t>
      </w:r>
      <w:r>
        <w:t xml:space="preserve">He answered and said, Who is he, Lord, that I might believe on him?</w:t>
      </w:r>
    </w:p>
    <w:p>
      <w:r>
        <w:rPr>
          <w:b/>
        </w:rPr>
        <w:t xml:space="preserve">37 </w:t>
      </w:r>
      <w:r>
        <w:t xml:space="preserve">And Jesus said to him, You have both seen him, and it is the one who talks with you.</w:t>
      </w:r>
    </w:p>
    <w:p>
      <w:r>
        <w:rPr>
          <w:b/>
        </w:rPr>
        <w:t xml:space="preserve">38 </w:t>
      </w:r>
      <w:r>
        <w:t xml:space="preserve">And he said, Lord</w:t>
      </w:r>
      <w:r>
        <w:rPr>
          <w:rStyle w:val="FootnoteReference"/>
        </w:rPr>
        <w:footnoteReference w:id="16162"/>
      </w:r>
      <w:r>
        <w:t xml:space="preserve">, I believe. And he worshiped him.</w:t>
      </w:r>
    </w:p>
    <w:p>
      <w:r>
        <w:rPr>
          <w:b/>
        </w:rPr>
        <w:t xml:space="preserve">39 </w:t>
      </w:r>
      <w:r>
        <w:t xml:space="preserve">And Jesus said, For judgment I have come into this world, that those who do not see might see; and that those who see might be</w:t>
      </w:r>
      <w:r>
        <w:rPr>
          <w:rStyle w:val="FootnoteReference"/>
        </w:rPr>
        <w:footnoteReference w:id="16163"/>
      </w:r>
      <w:r>
        <w:t xml:space="preserve"> made blind.</w:t>
      </w:r>
    </w:p>
    <w:p>
      <w:r>
        <w:rPr>
          <w:b/>
        </w:rPr>
        <w:t xml:space="preserve">40 </w:t>
      </w:r>
      <w:r>
        <w:t xml:space="preserve">And some of the Pharisees who were with him heard these words, and said to him, Are we blind also?</w:t>
      </w:r>
    </w:p>
    <w:p>
      <w:r>
        <w:rPr>
          <w:b/>
        </w:rPr>
        <w:t xml:space="preserve">41 </w:t>
      </w:r>
      <w:r>
        <w:t xml:space="preserve">Jesus said to them, If you were blind, you should have no sin: but now you say, We see; therefore your sin remains.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Amen, amen, I say to you, the one who enters not by the door into the sheepfold, but climbs up some other way, the same is a thief and a robber.</w:t>
      </w:r>
    </w:p>
    <w:p>
      <w:r>
        <w:rPr>
          <w:b/>
        </w:rPr>
        <w:t xml:space="preserve">2 </w:t>
      </w:r>
      <w:r>
        <w:t xml:space="preserve">But the one who enters in by the door is the shepherd</w:t>
      </w:r>
      <w:r>
        <w:rPr>
          <w:rStyle w:val="FootnoteReference"/>
        </w:rPr>
        <w:footnoteReference w:id="16164"/>
      </w:r>
      <w:r>
        <w:t xml:space="preserve"> of the sheep.</w:t>
      </w:r>
    </w:p>
    <w:p>
      <w:r>
        <w:rPr>
          <w:b/>
        </w:rPr>
        <w:t xml:space="preserve">3 </w:t>
      </w:r>
      <w:r>
        <w:t xml:space="preserve">To him the gatekeeper opens; and the sheep</w:t>
      </w:r>
      <w:r>
        <w:rPr>
          <w:rStyle w:val="FootnoteReference"/>
        </w:rPr>
        <w:footnoteReference w:id="16165"/>
      </w:r>
      <w:r>
        <w:t xml:space="preserve"> hear his voice: and he calls his own sheep by name, and leads them out.</w:t>
      </w:r>
    </w:p>
    <w:p>
      <w:r>
        <w:rPr>
          <w:b/>
        </w:rPr>
        <w:t xml:space="preserve">4 </w:t>
      </w:r>
      <w:r>
        <w:t xml:space="preserve">And when he puts forth his own sheep, he goes before them, and the sheep follow him: for they know his voice.</w:t>
      </w:r>
    </w:p>
    <w:p>
      <w:r>
        <w:rPr>
          <w:b/>
        </w:rPr>
        <w:t xml:space="preserve">5 </w:t>
      </w:r>
      <w:r>
        <w:t xml:space="preserve">And they will not follow a stranger, but will flee from him: for they do not know the voice of strangers.</w:t>
      </w:r>
    </w:p>
    <w:p>
      <w:r>
        <w:rPr>
          <w:b/>
        </w:rPr>
        <w:t xml:space="preserve">6 </w:t>
      </w:r>
      <w:r>
        <w:t xml:space="preserve">This parable Jesus spoke to them: but they did not understand what things they were which he spoke to them.</w:t>
      </w:r>
    </w:p>
    <w:p>
      <w:r>
        <w:rPr>
          <w:b/>
        </w:rPr>
        <w:t xml:space="preserve">7 </w:t>
      </w:r>
      <w:r>
        <w:t xml:space="preserve">Then said Jesus to them again, Amen, amen, I say to you, I am the door of the sheep</w:t>
      </w:r>
      <w:r>
        <w:rPr>
          <w:rStyle w:val="FootnoteReference"/>
        </w:rPr>
        <w:footnoteReference w:id="16166"/>
      </w:r>
      <w:r>
        <w:t xml:space="preserve">.</w:t>
      </w:r>
    </w:p>
    <w:p>
      <w:r>
        <w:rPr>
          <w:b/>
        </w:rPr>
        <w:t xml:space="preserve">8 </w:t>
      </w:r>
      <w:r>
        <w:t xml:space="preserve">All that ever came before me are thieves and robbers: but the sheep did not hear them.</w:t>
      </w:r>
    </w:p>
    <w:p>
      <w:r>
        <w:rPr>
          <w:b/>
        </w:rPr>
        <w:t xml:space="preserve">9 </w:t>
      </w:r>
      <w:r>
        <w:t xml:space="preserve">I am the door</w:t>
      </w:r>
      <w:r>
        <w:rPr>
          <w:rStyle w:val="FootnoteReference"/>
        </w:rPr>
        <w:footnoteReference w:id="16167"/>
      </w:r>
      <w:r>
        <w:t xml:space="preserve">: by me if anyone enter in, he shall be saved, and shall go in and out, and find pasture.</w:t>
      </w:r>
    </w:p>
    <w:p>
      <w:r>
        <w:rPr>
          <w:b/>
        </w:rPr>
        <w:t xml:space="preserve">10 </w:t>
      </w:r>
      <w:r>
        <w:t xml:space="preserve">The thief</w:t>
      </w:r>
      <w:r>
        <w:rPr>
          <w:rStyle w:val="FootnoteReference"/>
        </w:rPr>
        <w:footnoteReference w:id="16168"/>
      </w:r>
      <w:r>
        <w:t xml:space="preserve"> does not come, except to steal, and to kill, and to destroy: I have come that they might have life, and that they might have it more abundantly.</w:t>
      </w:r>
    </w:p>
    <w:p>
      <w:r>
        <w:rPr>
          <w:b/>
        </w:rPr>
        <w:t xml:space="preserve">11 </w:t>
      </w:r>
      <w:r>
        <w:t xml:space="preserve">I am the good</w:t>
      </w:r>
      <w:r>
        <w:rPr>
          <w:rStyle w:val="FootnoteReference"/>
        </w:rPr>
        <w:footnoteReference w:id="16169"/>
      </w:r>
      <w:r>
        <w:t xml:space="preserve"> shepherd: the good shepherd gives his life for the sheep.</w:t>
      </w:r>
    </w:p>
    <w:p>
      <w:r>
        <w:rPr>
          <w:b/>
        </w:rPr>
        <w:t xml:space="preserve">12 </w:t>
      </w:r>
      <w:r>
        <w:t xml:space="preserve">But the one who is a hired servant, and not the shepherd, whose own the sheep are not, sees the wolf coming</w:t>
      </w:r>
      <w:r>
        <w:rPr>
          <w:rStyle w:val="FootnoteReference"/>
        </w:rPr>
        <w:footnoteReference w:id="16170"/>
      </w:r>
      <w:r>
        <w:t xml:space="preserve">, and leaves the sheep, and flees: and the wolf catches them, and scatters the sheep.</w:t>
      </w:r>
    </w:p>
    <w:p>
      <w:r>
        <w:rPr>
          <w:b/>
        </w:rPr>
        <w:t xml:space="preserve">13 </w:t>
      </w:r>
      <w:r>
        <w:t xml:space="preserve">The hired servant flees, because he is a hired servant, and does not care for the sheep.</w:t>
      </w:r>
    </w:p>
    <w:p>
      <w:r>
        <w:rPr>
          <w:b/>
        </w:rPr>
        <w:t xml:space="preserve">14 </w:t>
      </w:r>
      <w:r>
        <w:t xml:space="preserve">I am the good</w:t>
      </w:r>
      <w:r>
        <w:rPr>
          <w:rStyle w:val="FootnoteReference"/>
        </w:rPr>
        <w:footnoteReference w:id="16171"/>
      </w:r>
      <w:r>
        <w:t xml:space="preserve"> shepherd, and know my sheep, and am known by mine.</w:t>
      </w:r>
    </w:p>
    <w:p>
      <w:r>
        <w:rPr>
          <w:b/>
        </w:rPr>
        <w:t xml:space="preserve">15 </w:t>
      </w:r>
      <w:r>
        <w:t xml:space="preserve">As the Father knows me, even so I know the Father: and I lay down my life for the sheep.</w:t>
      </w:r>
    </w:p>
    <w:p>
      <w:r>
        <w:rPr>
          <w:b/>
        </w:rPr>
        <w:t xml:space="preserve">16 </w:t>
      </w:r>
      <w:r>
        <w:t xml:space="preserve">And other</w:t>
      </w:r>
      <w:r>
        <w:rPr>
          <w:rStyle w:val="FootnoteReference"/>
        </w:rPr>
        <w:footnoteReference w:id="16172"/>
      </w:r>
      <w:r>
        <w:t xml:space="preserve"> sheep I have, which are not of this fold: them also I must bring, and they shall hear my voice; and there shall be one flock, and one shepherd.</w:t>
      </w:r>
    </w:p>
    <w:p>
      <w:r>
        <w:rPr>
          <w:b/>
        </w:rPr>
        <w:t xml:space="preserve">17 </w:t>
      </w:r>
      <w:r>
        <w:t xml:space="preserve">Therefore my Father loves me, because I lay down my life, that I might take it again.</w:t>
      </w:r>
    </w:p>
    <w:p>
      <w:r>
        <w:rPr>
          <w:b/>
        </w:rPr>
        <w:t xml:space="preserve">18 </w:t>
      </w:r>
      <w:r>
        <w:t xml:space="preserve">No one takes it from me, but I lay it down of myself. I have authority to lay it down, and I have authority to take it again. This commandment I have received of my Father.</w:t>
      </w:r>
    </w:p>
    <w:p>
      <w:r>
        <w:rPr>
          <w:b/>
        </w:rPr>
        <w:t xml:space="preserve">19 </w:t>
      </w:r>
      <w:r>
        <w:t xml:space="preserve">There was a division therefore again among the Jews because of these sayings.</w:t>
      </w:r>
    </w:p>
    <w:p>
      <w:r>
        <w:rPr>
          <w:b/>
        </w:rPr>
        <w:t xml:space="preserve">20 </w:t>
      </w:r>
      <w:r>
        <w:t xml:space="preserve">And many of them said, He has a demon, and is mad; why hear you him?</w:t>
      </w:r>
    </w:p>
    <w:p>
      <w:r>
        <w:rPr>
          <w:b/>
        </w:rPr>
        <w:t xml:space="preserve">21 </w:t>
      </w:r>
      <w:r>
        <w:t xml:space="preserve">Others said, These are not the words of him who has a demon. Can a demon open the eyes of the blind?</w:t>
      </w:r>
    </w:p>
    <w:p>
      <w:r>
        <w:rPr>
          <w:b/>
        </w:rPr>
        <w:t xml:space="preserve">22 </w:t>
      </w:r>
      <w:r>
        <w:t xml:space="preserve">And it was at Jerusalem the feast of the dedication, and it was winter.</w:t>
      </w:r>
    </w:p>
    <w:p>
      <w:r>
        <w:rPr>
          <w:b/>
        </w:rPr>
        <w:t xml:space="preserve">23 </w:t>
      </w:r>
      <w:r>
        <w:t xml:space="preserve">And Jesus walked in the temple in Solomon's</w:t>
      </w:r>
      <w:r>
        <w:rPr>
          <w:rStyle w:val="FootnoteReference"/>
        </w:rPr>
        <w:footnoteReference w:id="16173"/>
      </w:r>
      <w:r>
        <w:t xml:space="preserve"> porch.</w:t>
      </w:r>
    </w:p>
    <w:p>
      <w:r>
        <w:rPr>
          <w:b/>
        </w:rPr>
        <w:t xml:space="preserve">24 </w:t>
      </w:r>
      <w:r>
        <w:t xml:space="preserve">Then the Jews came round about him, and said to him, How long do you hold us in suspense? If you are the Christ, tell us plainly.</w:t>
      </w:r>
    </w:p>
    <w:p>
      <w:r>
        <w:rPr>
          <w:b/>
        </w:rPr>
        <w:t xml:space="preserve">25 </w:t>
      </w:r>
      <w:r>
        <w:t xml:space="preserve">Jesus answered them, I told</w:t>
      </w:r>
      <w:r>
        <w:rPr>
          <w:rStyle w:val="FootnoteReference"/>
        </w:rPr>
        <w:footnoteReference w:id="16174"/>
      </w:r>
      <w:r>
        <w:t xml:space="preserve"> you, and you did not believe: the works that I do in my Father's name, they bear witness of me.</w:t>
      </w:r>
    </w:p>
    <w:p>
      <w:r>
        <w:rPr>
          <w:b/>
        </w:rPr>
        <w:t xml:space="preserve">26 </w:t>
      </w:r>
      <w:r>
        <w:t xml:space="preserve">But you do not believe, because you are not of my sheep, as I said to you.</w:t>
      </w:r>
    </w:p>
    <w:p>
      <w:r>
        <w:rPr>
          <w:b/>
        </w:rPr>
        <w:t xml:space="preserve">27 </w:t>
      </w:r>
      <w:r>
        <w:t xml:space="preserve">My sheep</w:t>
      </w:r>
      <w:r>
        <w:rPr>
          <w:rStyle w:val="FootnoteReference"/>
        </w:rPr>
        <w:footnoteReference w:id="16175"/>
      </w:r>
      <w:r>
        <w:t xml:space="preserve"> hear my voice, and I know them, and they follow me:</w:t>
      </w:r>
    </w:p>
    <w:p>
      <w:r>
        <w:rPr>
          <w:b/>
        </w:rPr>
        <w:t xml:space="preserve">28 </w:t>
      </w:r>
      <w:r>
        <w:t xml:space="preserve">And I give</w:t>
      </w:r>
      <w:r>
        <w:rPr>
          <w:rStyle w:val="FootnoteReference"/>
        </w:rPr>
        <w:footnoteReference w:id="16176"/>
      </w:r>
      <w:r>
        <w:t xml:space="preserve"> to them eternal life; and they shall never perish, neither shall anyone snatch them out of my hand.</w:t>
      </w:r>
    </w:p>
    <w:p>
      <w:r>
        <w:rPr>
          <w:b/>
        </w:rPr>
        <w:t xml:space="preserve">29 </w:t>
      </w:r>
      <w:r>
        <w:t xml:space="preserve">My Father, who gave them to me, is greater</w:t>
      </w:r>
      <w:r>
        <w:rPr>
          <w:rStyle w:val="FootnoteReference"/>
        </w:rPr>
        <w:footnoteReference w:id="16177"/>
      </w:r>
      <w:r>
        <w:t xml:space="preserve"> than all; and no one is able to snatch them out of my Father's hand.</w:t>
      </w:r>
    </w:p>
    <w:p>
      <w:r>
        <w:rPr>
          <w:b/>
        </w:rPr>
        <w:t xml:space="preserve">30 </w:t>
      </w:r>
      <w:r>
        <w:t xml:space="preserve">I and my Father are one.</w:t>
      </w:r>
    </w:p>
    <w:p>
      <w:r>
        <w:rPr>
          <w:b/>
        </w:rPr>
        <w:t xml:space="preserve">31 </w:t>
      </w:r>
      <w:r>
        <w:t xml:space="preserve">Then the Jews took up stones again to stone him.</w:t>
      </w:r>
    </w:p>
    <w:p>
      <w:r>
        <w:rPr>
          <w:b/>
        </w:rPr>
        <w:t xml:space="preserve">32 </w:t>
      </w:r>
      <w:r>
        <w:t xml:space="preserve">Jesus answered them, Many good works I have showed you from my Father; for which of those works do you stone me?</w:t>
      </w:r>
    </w:p>
    <w:p>
      <w:r>
        <w:rPr>
          <w:b/>
        </w:rPr>
        <w:t xml:space="preserve">33 </w:t>
      </w:r>
      <w:r>
        <w:t xml:space="preserve">The Jews answered him, saying, For a good work we do not stone you; but for blasphemy; and because you, being a man, make yourself God.</w:t>
      </w:r>
    </w:p>
    <w:p>
      <w:r>
        <w:rPr>
          <w:b/>
        </w:rPr>
        <w:t xml:space="preserve">34 </w:t>
      </w:r>
      <w:r>
        <w:t xml:space="preserve">Jesus answered them, Is it not written in your law, I said</w:t>
      </w:r>
      <w:r>
        <w:rPr>
          <w:rStyle w:val="FootnoteReference"/>
        </w:rPr>
        <w:footnoteReference w:id="16178"/>
      </w:r>
      <w:r>
        <w:t xml:space="preserve">, You are gods?</w:t>
      </w:r>
    </w:p>
    <w:p>
      <w:r>
        <w:rPr>
          <w:b/>
        </w:rPr>
        <w:t xml:space="preserve">35 </w:t>
      </w:r>
      <w:r>
        <w:t xml:space="preserve">If he called them gods, to whom the word of God came, and the scripture</w:t>
      </w:r>
      <w:r>
        <w:rPr>
          <w:rStyle w:val="FootnoteReference"/>
        </w:rPr>
        <w:footnoteReference w:id="16179"/>
      </w:r>
      <w:r>
        <w:t xml:space="preserve"> cannot be broken;</w:t>
      </w:r>
    </w:p>
    <w:p>
      <w:r>
        <w:rPr>
          <w:b/>
        </w:rPr>
        <w:t xml:space="preserve">36 </w:t>
      </w:r>
      <w:r>
        <w:t xml:space="preserve">Do you say of him, whom the Father has sanctified, and sent</w:t>
      </w:r>
      <w:r>
        <w:rPr>
          <w:rStyle w:val="FootnoteReference"/>
        </w:rPr>
        <w:footnoteReference w:id="16180"/>
      </w:r>
      <w:r>
        <w:t xml:space="preserve"> into the world, You blaspheme; because I said, I am the Son of God?</w:t>
      </w:r>
    </w:p>
    <w:p>
      <w:r>
        <w:rPr>
          <w:b/>
        </w:rPr>
        <w:t xml:space="preserve">37 </w:t>
      </w:r>
      <w:r>
        <w:t xml:space="preserve">If I do not do the works of my Father, do not believe me.</w:t>
      </w:r>
    </w:p>
    <w:p>
      <w:r>
        <w:rPr>
          <w:b/>
        </w:rPr>
        <w:t xml:space="preserve">38 </w:t>
      </w:r>
      <w:r>
        <w:t xml:space="preserve">But if I do, though you do not believe me, believe the</w:t>
      </w:r>
      <w:r>
        <w:rPr>
          <w:rStyle w:val="FootnoteReference"/>
        </w:rPr>
        <w:footnoteReference w:id="16181"/>
      </w:r>
      <w:r>
        <w:t xml:space="preserve"> works: that you may know, and believe, that the Father is in me, and I in him.</w:t>
      </w:r>
    </w:p>
    <w:p>
      <w:r>
        <w:rPr>
          <w:b/>
        </w:rPr>
        <w:t xml:space="preserve">39 </w:t>
      </w:r>
      <w:r>
        <w:t xml:space="preserve">Therefore they sought again to take him: but he escaped out of their hand,</w:t>
      </w:r>
    </w:p>
    <w:p>
      <w:r>
        <w:rPr>
          <w:b/>
        </w:rPr>
        <w:t xml:space="preserve">40 </w:t>
      </w:r>
      <w:r>
        <w:t xml:space="preserve">And went away again beyond Jordan into the place</w:t>
      </w:r>
      <w:r>
        <w:rPr>
          <w:rStyle w:val="FootnoteReference"/>
        </w:rPr>
        <w:footnoteReference w:id="16182"/>
      </w:r>
      <w:r>
        <w:t xml:space="preserve"> where John at first baptized; and there he remained.</w:t>
      </w:r>
    </w:p>
    <w:p>
      <w:r>
        <w:rPr>
          <w:b/>
        </w:rPr>
        <w:t xml:space="preserve">41 </w:t>
      </w:r>
      <w:r>
        <w:t xml:space="preserve">And many came to him, and said, John did</w:t>
      </w:r>
      <w:r>
        <w:rPr>
          <w:rStyle w:val="FootnoteReference"/>
        </w:rPr>
        <w:footnoteReference w:id="16183"/>
      </w:r>
      <w:r>
        <w:t xml:space="preserve"> no sign: but all things that John spoke of this man were true.</w:t>
      </w:r>
    </w:p>
    <w:p>
      <w:r>
        <w:rPr>
          <w:b/>
        </w:rPr>
        <w:t xml:space="preserve">42 </w:t>
      </w:r>
      <w:r>
        <w:t xml:space="preserve">And many believed on him there.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Now a certain man was sick</w:t>
      </w:r>
      <w:r>
        <w:rPr>
          <w:rStyle w:val="FootnoteReference"/>
        </w:rPr>
        <w:footnoteReference w:id="16184"/>
      </w:r>
      <w:r>
        <w:t xml:space="preserve">, named Lazarus</w:t>
      </w:r>
      <w:r>
        <w:rPr>
          <w:rStyle w:val="FootnoteReference"/>
        </w:rPr>
        <w:footnoteReference w:id="16185"/>
      </w:r>
      <w:r>
        <w:t xml:space="preserve">, of Bethany, the town of Mary and her sister Martha.</w:t>
      </w:r>
    </w:p>
    <w:p>
      <w:r>
        <w:rPr>
          <w:b/>
        </w:rPr>
        <w:t xml:space="preserve">2 </w:t>
      </w:r>
      <w:r>
        <w:t xml:space="preserve">(It was that Mary</w:t>
      </w:r>
      <w:r>
        <w:rPr>
          <w:rStyle w:val="FootnoteReference"/>
        </w:rPr>
        <w:footnoteReference w:id="16186"/>
      </w:r>
      <w:r>
        <w:t xml:space="preserve"> who anointed the Lord with ointment, and wiped his feet with her hair, whose brother Lazarus was sick.)</w:t>
      </w:r>
    </w:p>
    <w:p>
      <w:r>
        <w:rPr>
          <w:b/>
        </w:rPr>
        <w:t xml:space="preserve">3 </w:t>
      </w:r>
      <w:r>
        <w:t xml:space="preserve">Therefore his sisters sent to him, saying, Lord, look, he whom you love is sick.</w:t>
      </w:r>
    </w:p>
    <w:p>
      <w:r>
        <w:rPr>
          <w:b/>
        </w:rPr>
        <w:t xml:space="preserve">4 </w:t>
      </w:r>
      <w:r>
        <w:t xml:space="preserve">When Jesus heard that, he said, This sickness is not to death, but for the glory of God, that the Son of God might be glorified by it.</w:t>
      </w:r>
    </w:p>
    <w:p>
      <w:r>
        <w:rPr>
          <w:b/>
        </w:rPr>
        <w:t xml:space="preserve">5 </w:t>
      </w:r>
      <w:r>
        <w:t xml:space="preserve">Now Jesus loved</w:t>
      </w:r>
      <w:r>
        <w:rPr>
          <w:rStyle w:val="FootnoteReference"/>
        </w:rPr>
        <w:footnoteReference w:id="16187"/>
      </w:r>
      <w:r>
        <w:t xml:space="preserve"> Martha, and her sister, and Lazarus.</w:t>
      </w:r>
    </w:p>
    <w:p>
      <w:r>
        <w:rPr>
          <w:b/>
        </w:rPr>
        <w:t xml:space="preserve">6 </w:t>
      </w:r>
      <w:r>
        <w:t xml:space="preserve">When he had heard therefore that he was sick, he remained two days in the same place where he was.</w:t>
      </w:r>
    </w:p>
    <w:p>
      <w:r>
        <w:rPr>
          <w:b/>
        </w:rPr>
        <w:t xml:space="preserve">7 </w:t>
      </w:r>
      <w:r>
        <w:t xml:space="preserve">Then after that he says to his disciples, Let us go into Judea again.</w:t>
      </w:r>
    </w:p>
    <w:p>
      <w:r>
        <w:rPr>
          <w:b/>
        </w:rPr>
        <w:t xml:space="preserve">8 </w:t>
      </w:r>
      <w:r>
        <w:t xml:space="preserve">His disciples say to him, Teacher, the Jews</w:t>
      </w:r>
      <w:r>
        <w:rPr>
          <w:rStyle w:val="FootnoteReference"/>
        </w:rPr>
        <w:footnoteReference w:id="16188"/>
      </w:r>
      <w:r>
        <w:t xml:space="preserve"> of late sought to stone you; and are you going there again?</w:t>
      </w:r>
    </w:p>
    <w:p>
      <w:r>
        <w:rPr>
          <w:b/>
        </w:rPr>
        <w:t xml:space="preserve">9 </w:t>
      </w:r>
      <w:r>
        <w:t xml:space="preserve">Jesus answered, Are there not twelve hours in the day? If anyone walks in the day, he does not stumble, because he sees the light of this world.</w:t>
      </w:r>
    </w:p>
    <w:p>
      <w:r>
        <w:rPr>
          <w:b/>
        </w:rPr>
        <w:t xml:space="preserve">10 </w:t>
      </w:r>
      <w:r>
        <w:t xml:space="preserve">But if a man walks in the night, he stumbles, because there is no light in him.</w:t>
      </w:r>
    </w:p>
    <w:p>
      <w:r>
        <w:rPr>
          <w:b/>
        </w:rPr>
        <w:t xml:space="preserve">11 </w:t>
      </w:r>
      <w:r>
        <w:t xml:space="preserve">These things he said: and after that he says to them, Our friend Lazarus sleeps; but I go, that I may awake</w:t>
      </w:r>
      <w:r>
        <w:rPr>
          <w:rStyle w:val="FootnoteReference"/>
        </w:rPr>
        <w:footnoteReference w:id="16189"/>
      </w:r>
      <w:r>
        <w:t xml:space="preserve"> him out of sleep.</w:t>
      </w:r>
    </w:p>
    <w:p>
      <w:r>
        <w:rPr>
          <w:b/>
        </w:rPr>
        <w:t xml:space="preserve">12 </w:t>
      </w:r>
      <w:r>
        <w:t xml:space="preserve">Then his disciples said, Lord, if he sleeps, he shall recover.</w:t>
      </w:r>
    </w:p>
    <w:p>
      <w:r>
        <w:rPr>
          <w:b/>
        </w:rPr>
        <w:t xml:space="preserve">13 </w:t>
      </w:r>
      <w:r>
        <w:t xml:space="preserve">Nevertheless Jesus spoke of his death: but they thought that he had spoken of rest in sleep.</w:t>
      </w:r>
    </w:p>
    <w:p>
      <w:r>
        <w:rPr>
          <w:b/>
        </w:rPr>
        <w:t xml:space="preserve">14 </w:t>
      </w:r>
      <w:r>
        <w:t xml:space="preserve">Then Jesus said to them plainly</w:t>
      </w:r>
      <w:r>
        <w:rPr>
          <w:rStyle w:val="FootnoteReference"/>
        </w:rPr>
        <w:footnoteReference w:id="16190"/>
      </w:r>
      <w:r>
        <w:t xml:space="preserve">, Lazarus is dead.</w:t>
      </w:r>
    </w:p>
    <w:p>
      <w:r>
        <w:rPr>
          <w:b/>
        </w:rPr>
        <w:t xml:space="preserve">15 </w:t>
      </w:r>
      <w:r>
        <w:t xml:space="preserve">And I am glad</w:t>
      </w:r>
      <w:r>
        <w:rPr>
          <w:rStyle w:val="FootnoteReference"/>
        </w:rPr>
        <w:footnoteReference w:id="16191"/>
      </w:r>
      <w:r>
        <w:t xml:space="preserve"> for your sakes that I was not there, to the intent you may believe; nevertheless let us go to him.</w:t>
      </w:r>
    </w:p>
    <w:p>
      <w:r>
        <w:rPr>
          <w:b/>
        </w:rPr>
        <w:t xml:space="preserve">16 </w:t>
      </w:r>
      <w:r>
        <w:t xml:space="preserve">Then Thomas</w:t>
      </w:r>
      <w:r>
        <w:rPr>
          <w:rStyle w:val="FootnoteReference"/>
        </w:rPr>
        <w:footnoteReference w:id="16192"/>
      </w:r>
      <w:r>
        <w:t xml:space="preserve">, who is called Didymus</w:t>
      </w:r>
      <w:r>
        <w:rPr>
          <w:rStyle w:val="FootnoteReference"/>
        </w:rPr>
        <w:footnoteReference w:id="16193"/>
      </w:r>
      <w:r>
        <w:t xml:space="preserve">, said to his fellow disciples, Let us also go, that we may die with him.</w:t>
      </w:r>
    </w:p>
    <w:p>
      <w:r>
        <w:rPr>
          <w:b/>
        </w:rPr>
        <w:t xml:space="preserve">17 </w:t>
      </w:r>
      <w:r>
        <w:t xml:space="preserve">Then when Jesus came, he found that he had lain in the tomb four</w:t>
      </w:r>
      <w:r>
        <w:rPr>
          <w:rStyle w:val="FootnoteReference"/>
        </w:rPr>
        <w:footnoteReference w:id="16194"/>
      </w:r>
      <w:r>
        <w:t xml:space="preserve"> days already.</w:t>
      </w:r>
    </w:p>
    <w:p>
      <w:r>
        <w:rPr>
          <w:b/>
        </w:rPr>
        <w:t xml:space="preserve">18 </w:t>
      </w:r>
      <w:r>
        <w:t xml:space="preserve">Now Bethany was near to Jerusalem, about fifteen stadia off:</w:t>
      </w:r>
    </w:p>
    <w:p>
      <w:r>
        <w:rPr>
          <w:b/>
        </w:rPr>
        <w:t xml:space="preserve">19 </w:t>
      </w:r>
      <w:r>
        <w:t xml:space="preserve">And many of the Jews came to Martha and Mary, to comfort</w:t>
      </w:r>
      <w:r>
        <w:rPr>
          <w:rStyle w:val="FootnoteReference"/>
        </w:rPr>
        <w:footnoteReference w:id="16195"/>
      </w:r>
      <w:r>
        <w:t xml:space="preserve"> them concerning their brother.</w:t>
      </w:r>
    </w:p>
    <w:p>
      <w:r>
        <w:rPr>
          <w:b/>
        </w:rPr>
        <w:t xml:space="preserve">20 </w:t>
      </w:r>
      <w:r>
        <w:t xml:space="preserve">Then Martha, as soon</w:t>
      </w:r>
      <w:r>
        <w:rPr>
          <w:rStyle w:val="FootnoteReference"/>
        </w:rPr>
        <w:footnoteReference w:id="16196"/>
      </w:r>
      <w:r>
        <w:t xml:space="preserve"> as she heard that Jesus was coming, went and met him: but Mary sat still in the house.</w:t>
      </w:r>
    </w:p>
    <w:p>
      <w:r>
        <w:rPr>
          <w:b/>
        </w:rPr>
        <w:t xml:space="preserve">21 </w:t>
      </w:r>
      <w:r>
        <w:t xml:space="preserve">Then Martha said to Jesus, Lord, if you had been here, my brother would not have died.</w:t>
      </w:r>
    </w:p>
    <w:p>
      <w:r>
        <w:rPr>
          <w:b/>
        </w:rPr>
        <w:t xml:space="preserve">22 </w:t>
      </w:r>
      <w:r>
        <w:t xml:space="preserve">But I know, that even now, whatever you will ask of God, God will give it to you.</w:t>
      </w:r>
    </w:p>
    <w:p>
      <w:r>
        <w:rPr>
          <w:b/>
        </w:rPr>
        <w:t xml:space="preserve">23 </w:t>
      </w:r>
      <w:r>
        <w:t xml:space="preserve">Jesus says to her, Your brother shall rise again.</w:t>
      </w:r>
    </w:p>
    <w:p>
      <w:r>
        <w:rPr>
          <w:b/>
        </w:rPr>
        <w:t xml:space="preserve">24 </w:t>
      </w:r>
      <w:r>
        <w:t xml:space="preserve">Martha says to him, I know that he shall rise again in the resurrection at the last day.</w:t>
      </w:r>
    </w:p>
    <w:p>
      <w:r>
        <w:rPr>
          <w:b/>
        </w:rPr>
        <w:t xml:space="preserve">25 </w:t>
      </w:r>
      <w:r>
        <w:t xml:space="preserve">Jesus said to her, I am the resurrection, and the life</w:t>
      </w:r>
      <w:r>
        <w:rPr>
          <w:rStyle w:val="FootnoteReference"/>
        </w:rPr>
        <w:footnoteReference w:id="16197"/>
      </w:r>
      <w:r>
        <w:t xml:space="preserve">: the one who believes in me, though he die, yet shall he live:</w:t>
      </w:r>
    </w:p>
    <w:p>
      <w:r>
        <w:rPr>
          <w:b/>
        </w:rPr>
        <w:t xml:space="preserve">26 </w:t>
      </w:r>
      <w:r>
        <w:t xml:space="preserve">And whoever lives and believes in me shall never die. Do you believe this?</w:t>
      </w:r>
    </w:p>
    <w:p>
      <w:r>
        <w:rPr>
          <w:b/>
        </w:rPr>
        <w:t xml:space="preserve">27 </w:t>
      </w:r>
      <w:r>
        <w:t xml:space="preserve">She says to him, Yes, Lord: I believe that you are the Christ, the Son of God, who should come into the world.</w:t>
      </w:r>
    </w:p>
    <w:p>
      <w:r>
        <w:rPr>
          <w:b/>
        </w:rPr>
        <w:t xml:space="preserve">28 </w:t>
      </w:r>
      <w:r>
        <w:t xml:space="preserve">And when she had so said, she went her way, and called</w:t>
      </w:r>
      <w:r>
        <w:rPr>
          <w:rStyle w:val="FootnoteReference"/>
        </w:rPr>
        <w:footnoteReference w:id="16198"/>
      </w:r>
      <w:r>
        <w:t xml:space="preserve"> Mary her sister secretly, saying, The Teacher has come, and calls for you.</w:t>
      </w:r>
    </w:p>
    <w:p>
      <w:r>
        <w:rPr>
          <w:b/>
        </w:rPr>
        <w:t xml:space="preserve">29 </w:t>
      </w:r>
      <w:r>
        <w:t xml:space="preserve">As soon as she heard that, she arose quickly, and came to him.</w:t>
      </w:r>
    </w:p>
    <w:p>
      <w:r>
        <w:rPr>
          <w:b/>
        </w:rPr>
        <w:t xml:space="preserve">30 </w:t>
      </w:r>
      <w:r>
        <w:t xml:space="preserve">Now Jesus had not yet come into the town, but was in that place where Martha met him.</w:t>
      </w:r>
    </w:p>
    <w:p>
      <w:r>
        <w:rPr>
          <w:b/>
        </w:rPr>
        <w:t xml:space="preserve">31 </w:t>
      </w:r>
      <w:r>
        <w:t xml:space="preserve">The Jews</w:t>
      </w:r>
      <w:r>
        <w:rPr>
          <w:rStyle w:val="FootnoteReference"/>
        </w:rPr>
        <w:footnoteReference w:id="16199"/>
      </w:r>
      <w:r>
        <w:t xml:space="preserve"> then who were with her in the house, and comforted her, when they saw Mary, that she rose up hastily and went out, followed her, saying, She goes to the tomb to weep there.</w:t>
      </w:r>
    </w:p>
    <w:p>
      <w:r>
        <w:rPr>
          <w:b/>
        </w:rPr>
        <w:t xml:space="preserve">32 </w:t>
      </w:r>
      <w:r>
        <w:t xml:space="preserve">Then when Mary had come where Jesus was, and saw him, she fell</w:t>
      </w:r>
      <w:r>
        <w:rPr>
          <w:rStyle w:val="FootnoteReference"/>
        </w:rPr>
        <w:footnoteReference w:id="16200"/>
      </w:r>
      <w:r>
        <w:t xml:space="preserve"> down at his feet, saying to him, Lord, if you had been here, my brother had not died.</w:t>
      </w:r>
    </w:p>
    <w:p>
      <w:r>
        <w:rPr>
          <w:b/>
        </w:rPr>
        <w:t xml:space="preserve">33 </w:t>
      </w:r>
      <w:r>
        <w:t xml:space="preserve">When Jesus therefore saw her weeping, and the Jews</w:t>
      </w:r>
      <w:r>
        <w:rPr>
          <w:rStyle w:val="FootnoteReference"/>
        </w:rPr>
        <w:footnoteReference w:id="16201"/>
      </w:r>
      <w:r>
        <w:t xml:space="preserve"> also weeping who came with her, he groaned in the spirit, and was troubled.</w:t>
      </w:r>
    </w:p>
    <w:p>
      <w:r>
        <w:rPr>
          <w:b/>
        </w:rPr>
        <w:t xml:space="preserve">34 </w:t>
      </w:r>
      <w:r>
        <w:t xml:space="preserve">And said, Where have you laid him? They said to him, Lord, come and see.</w:t>
      </w:r>
    </w:p>
    <w:p>
      <w:r>
        <w:rPr>
          <w:b/>
        </w:rPr>
        <w:t xml:space="preserve">35 </w:t>
      </w:r>
      <w:r>
        <w:t xml:space="preserve">Jesus wept.</w:t>
      </w:r>
    </w:p>
    <w:p>
      <w:r>
        <w:rPr>
          <w:b/>
        </w:rPr>
        <w:t xml:space="preserve">36 </w:t>
      </w:r>
      <w:r>
        <w:t xml:space="preserve">Then said the Jews, Look how he loved him!</w:t>
      </w:r>
    </w:p>
    <w:p>
      <w:r>
        <w:rPr>
          <w:b/>
        </w:rPr>
        <w:t xml:space="preserve">37 </w:t>
      </w:r>
      <w:r>
        <w:t xml:space="preserve">And some of them said, Could</w:t>
      </w:r>
      <w:r>
        <w:rPr>
          <w:rStyle w:val="FootnoteReference"/>
        </w:rPr>
        <w:footnoteReference w:id="16202"/>
      </w:r>
      <w:r>
        <w:t xml:space="preserve"> not this man, who opened the eyes of the blind, have caused that even this man should not have died?</w:t>
      </w:r>
    </w:p>
    <w:p>
      <w:r>
        <w:rPr>
          <w:b/>
        </w:rPr>
        <w:t xml:space="preserve">38 </w:t>
      </w:r>
      <w:r>
        <w:t xml:space="preserve">Jesus therefore again groaning</w:t>
      </w:r>
      <w:r>
        <w:rPr>
          <w:rStyle w:val="FootnoteReference"/>
        </w:rPr>
        <w:footnoteReference w:id="16203"/>
      </w:r>
      <w:r>
        <w:t xml:space="preserve"> in himself comes to the tomb. It was a cave, and a stone lay upon it.</w:t>
      </w:r>
    </w:p>
    <w:p>
      <w:r>
        <w:rPr>
          <w:b/>
        </w:rPr>
        <w:t xml:space="preserve">39 </w:t>
      </w:r>
      <w:r>
        <w:t xml:space="preserve">Jesus said, Take</w:t>
      </w:r>
      <w:r>
        <w:rPr>
          <w:rStyle w:val="FootnoteReference"/>
        </w:rPr>
        <w:footnoteReference w:id="16204"/>
      </w:r>
      <w:r>
        <w:t xml:space="preserve"> you away the stone. Martha, the sister of him who was dead, says to him, Lord, by this time he stinks: for he has been dead four days.</w:t>
      </w:r>
    </w:p>
    <w:p>
      <w:r>
        <w:rPr>
          <w:b/>
        </w:rPr>
        <w:t xml:space="preserve">40 </w:t>
      </w:r>
      <w:r>
        <w:t xml:space="preserve">Jesus says to her, Did I not say to you, that, if you would believe, you should see the glory of God?</w:t>
      </w:r>
    </w:p>
    <w:p>
      <w:r>
        <w:rPr>
          <w:b/>
        </w:rPr>
        <w:t xml:space="preserve">41 </w:t>
      </w:r>
      <w:r>
        <w:t xml:space="preserve">Then they took away the stone from the place where the dead was laid. And Jesus</w:t>
      </w:r>
      <w:r>
        <w:rPr>
          <w:rStyle w:val="FootnoteReference"/>
        </w:rPr>
        <w:footnoteReference w:id="16205"/>
      </w:r>
      <w:r>
        <w:t xml:space="preserve"> lifted up his eyes, and said, Father, I thank you that you heard me.</w:t>
      </w:r>
    </w:p>
    <w:p>
      <w:r>
        <w:rPr>
          <w:b/>
        </w:rPr>
        <w:t xml:space="preserve">42 </w:t>
      </w:r>
      <w:r>
        <w:t xml:space="preserve">And I knew</w:t>
      </w:r>
      <w:r>
        <w:rPr>
          <w:rStyle w:val="FootnoteReference"/>
        </w:rPr>
        <w:footnoteReference w:id="16206"/>
      </w:r>
      <w:r>
        <w:t xml:space="preserve"> that you hear me always: but because of the people who stand by I said it, that they may believe that you have sent me.</w:t>
      </w:r>
    </w:p>
    <w:p>
      <w:r>
        <w:rPr>
          <w:b/>
        </w:rPr>
        <w:t xml:space="preserve">43 </w:t>
      </w:r>
      <w:r>
        <w:t xml:space="preserve">And when he had thus spoken, he cried with a loud voice, Lazarus</w:t>
      </w:r>
      <w:r>
        <w:rPr>
          <w:rStyle w:val="FootnoteReference"/>
        </w:rPr>
        <w:footnoteReference w:id="16207"/>
      </w:r>
      <w:r>
        <w:t xml:space="preserve">, come forth.</w:t>
      </w:r>
    </w:p>
    <w:p>
      <w:r>
        <w:rPr>
          <w:b/>
        </w:rPr>
        <w:t xml:space="preserve">44 </w:t>
      </w:r>
      <w:r>
        <w:t xml:space="preserve">And the one who was dead came forth, bound</w:t>
      </w:r>
      <w:r>
        <w:rPr>
          <w:rStyle w:val="FootnoteReference"/>
        </w:rPr>
        <w:footnoteReference w:id="16208"/>
      </w:r>
      <w:r>
        <w:t xml:space="preserve"> hand and foot with grave clothes: and his face was bound about with a cloth. Jesus says to them, Loose him, and let him go.</w:t>
      </w:r>
    </w:p>
    <w:p>
      <w:r>
        <w:rPr>
          <w:b/>
        </w:rPr>
        <w:t xml:space="preserve">45 </w:t>
      </w:r>
      <w:r>
        <w:t xml:space="preserve">Then many of the Jews</w:t>
      </w:r>
      <w:r>
        <w:rPr>
          <w:rStyle w:val="FootnoteReference"/>
        </w:rPr>
        <w:footnoteReference w:id="16209"/>
      </w:r>
      <w:r>
        <w:t xml:space="preserve"> who came to Mary, and had seen the things which Jesus did, believed on him.</w:t>
      </w:r>
    </w:p>
    <w:p>
      <w:r>
        <w:rPr>
          <w:b/>
        </w:rPr>
        <w:t xml:space="preserve">46 </w:t>
      </w:r>
      <w:r>
        <w:t xml:space="preserve">But some of them went away to the Pharisees, and told them what things Jesus had done.</w:t>
      </w:r>
    </w:p>
    <w:p>
      <w:r>
        <w:rPr>
          <w:b/>
        </w:rPr>
        <w:t xml:space="preserve">47 </w:t>
      </w:r>
      <w:r>
        <w:t xml:space="preserve">Then the chief priests and the Pharisees gathered</w:t>
      </w:r>
      <w:r>
        <w:rPr>
          <w:rStyle w:val="FootnoteReference"/>
        </w:rPr>
        <w:footnoteReference w:id="16210"/>
      </w:r>
      <w:r>
        <w:t xml:space="preserve"> a council, and said, What shall we do? for this man does many signs.</w:t>
      </w:r>
    </w:p>
    <w:p>
      <w:r>
        <w:rPr>
          <w:b/>
        </w:rPr>
        <w:t xml:space="preserve">48 </w:t>
      </w:r>
      <w:r>
        <w:t xml:space="preserve">If we let</w:t>
      </w:r>
      <w:r>
        <w:rPr>
          <w:rStyle w:val="FootnoteReference"/>
        </w:rPr>
        <w:footnoteReference w:id="16211"/>
      </w:r>
      <w:r>
        <w:t xml:space="preserve"> him thus alone, all will believe on him: and the Romans</w:t>
      </w:r>
      <w:r>
        <w:rPr>
          <w:rStyle w:val="FootnoteReference"/>
        </w:rPr>
        <w:footnoteReference w:id="16212"/>
      </w:r>
      <w:r>
        <w:t xml:space="preserve"> shall come and take away both our place and nation.</w:t>
      </w:r>
    </w:p>
    <w:p>
      <w:r>
        <w:rPr>
          <w:b/>
        </w:rPr>
        <w:t xml:space="preserve">49 </w:t>
      </w:r>
      <w:r>
        <w:t xml:space="preserve">And one of them, named Caiaphas</w:t>
      </w:r>
      <w:r>
        <w:rPr>
          <w:rStyle w:val="FootnoteReference"/>
        </w:rPr>
        <w:footnoteReference w:id="16213"/>
      </w:r>
      <w:r>
        <w:t xml:space="preserve">, being the high priest that same year, said to them, You know nothing at all,</w:t>
      </w:r>
    </w:p>
    <w:p>
      <w:r>
        <w:rPr>
          <w:b/>
        </w:rPr>
        <w:t xml:space="preserve">50 </w:t>
      </w:r>
      <w:r>
        <w:t xml:space="preserve">Nor consider that it is expedient for us, that one man should die for the people, and that the whole nation should not perish.</w:t>
      </w:r>
    </w:p>
    <w:p>
      <w:r>
        <w:rPr>
          <w:b/>
        </w:rPr>
        <w:t xml:space="preserve">51 </w:t>
      </w:r>
      <w:r>
        <w:t xml:space="preserve">And this he did not speak of himself: but being high priest that year, he prophesied</w:t>
      </w:r>
      <w:r>
        <w:rPr>
          <w:rStyle w:val="FootnoteReference"/>
        </w:rPr>
        <w:footnoteReference w:id="16214"/>
      </w:r>
      <w:r>
        <w:t xml:space="preserve"> that Jesus should die for that nation;</w:t>
      </w:r>
    </w:p>
    <w:p>
      <w:r>
        <w:rPr>
          <w:b/>
        </w:rPr>
        <w:t xml:space="preserve">52 </w:t>
      </w:r>
      <w:r>
        <w:t xml:space="preserve">And not for that nation only, but that also he should gather</w:t>
      </w:r>
      <w:r>
        <w:rPr>
          <w:rStyle w:val="FootnoteReference"/>
        </w:rPr>
        <w:footnoteReference w:id="16215"/>
      </w:r>
      <w:r>
        <w:t xml:space="preserve"> together in one the children of God that were scattered.</w:t>
      </w:r>
    </w:p>
    <w:p>
      <w:r>
        <w:rPr>
          <w:b/>
        </w:rPr>
        <w:t xml:space="preserve">53 </w:t>
      </w:r>
      <w:r>
        <w:t xml:space="preserve">Then from that day forth they took counsel together in order to put him to death.</w:t>
      </w:r>
    </w:p>
    <w:p>
      <w:r>
        <w:rPr>
          <w:b/>
        </w:rPr>
        <w:t xml:space="preserve">54 </w:t>
      </w:r>
      <w:r>
        <w:t xml:space="preserve">Jesus therefore walked</w:t>
      </w:r>
      <w:r>
        <w:rPr>
          <w:rStyle w:val="FootnoteReference"/>
        </w:rPr>
        <w:footnoteReference w:id="16216"/>
      </w:r>
      <w:r>
        <w:t xml:space="preserve"> no more openly among the Jews; but went from there to a country near to the wilderness, into a city called Ephraim</w:t>
      </w:r>
      <w:r>
        <w:rPr>
          <w:rStyle w:val="FootnoteReference"/>
        </w:rPr>
        <w:footnoteReference w:id="16217"/>
      </w:r>
      <w:r>
        <w:t xml:space="preserve">, and there continued with his disciples.</w:t>
      </w:r>
    </w:p>
    <w:p>
      <w:r>
        <w:rPr>
          <w:b/>
        </w:rPr>
        <w:t xml:space="preserve">55 </w:t>
      </w:r>
      <w:r>
        <w:t xml:space="preserve">And the Jews' Passover</w:t>
      </w:r>
      <w:r>
        <w:rPr>
          <w:rStyle w:val="FootnoteReference"/>
        </w:rPr>
        <w:footnoteReference w:id="16218"/>
      </w:r>
      <w:r>
        <w:t xml:space="preserve"> was near at hand: and many went out of the country up to Jerusalem before the Passover, to purify themselves.</w:t>
      </w:r>
    </w:p>
    <w:p>
      <w:r>
        <w:rPr>
          <w:b/>
        </w:rPr>
        <w:t xml:space="preserve">56 </w:t>
      </w:r>
      <w:r>
        <w:t xml:space="preserve">Then they sought for Jesus, and spoke among themselves, as they stood in the temple, What do you think, that he will not come to the feast?</w:t>
      </w:r>
    </w:p>
    <w:p>
      <w:r>
        <w:rPr>
          <w:b/>
        </w:rPr>
        <w:t xml:space="preserve">57 </w:t>
      </w:r>
      <w:r>
        <w:t xml:space="preserve">Now both the chief priests and the Pharisees had given a commandment, that, if anyone knew where he were, he should show it, that they might take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Then Jesus six days before the Passover came to Bethany</w:t>
      </w:r>
      <w:r>
        <w:rPr>
          <w:rStyle w:val="FootnoteReference"/>
        </w:rPr>
        <w:footnoteReference w:id="16219"/>
      </w:r>
      <w:r>
        <w:t xml:space="preserve">, where Lazarus was, who had been dead, whom he raised from the dead.</w:t>
      </w:r>
    </w:p>
    <w:p>
      <w:r>
        <w:rPr>
          <w:b/>
        </w:rPr>
        <w:t xml:space="preserve">2 </w:t>
      </w:r>
      <w:r>
        <w:t xml:space="preserve">There they made</w:t>
      </w:r>
      <w:r>
        <w:rPr>
          <w:rStyle w:val="FootnoteReference"/>
        </w:rPr>
        <w:footnoteReference w:id="16220"/>
      </w:r>
      <w:r>
        <w:t xml:space="preserve"> him a supper; and Martha served: but Lazarus was one of those who sat at the table with him.</w:t>
      </w:r>
    </w:p>
    <w:p>
      <w:r>
        <w:rPr>
          <w:b/>
        </w:rPr>
        <w:t xml:space="preserve">3 </w:t>
      </w:r>
      <w:r>
        <w:t xml:space="preserve">Then Mary took</w:t>
      </w:r>
      <w:r>
        <w:rPr>
          <w:rStyle w:val="FootnoteReference"/>
        </w:rPr>
        <w:footnoteReference w:id="16221"/>
      </w:r>
      <w:r>
        <w:t xml:space="preserve"> a pound of very costly ointment of spikenard, and anointed the feet of Jesus, and wiped his feet with her hair: and the house was filled with the odor of the ointment.</w:t>
      </w:r>
    </w:p>
    <w:p>
      <w:r>
        <w:rPr>
          <w:b/>
        </w:rPr>
        <w:t xml:space="preserve">4 </w:t>
      </w:r>
      <w:r>
        <w:t xml:space="preserve">Then says one of his disciples, Judas Iscariot</w:t>
      </w:r>
      <w:r>
        <w:rPr>
          <w:rStyle w:val="FootnoteReference"/>
        </w:rPr>
        <w:footnoteReference w:id="16222"/>
      </w:r>
      <w:r>
        <w:t xml:space="preserve">, Simon's son, who should betray him,</w:t>
      </w:r>
    </w:p>
    <w:p>
      <w:r>
        <w:rPr>
          <w:b/>
        </w:rPr>
        <w:t xml:space="preserve">5 </w:t>
      </w:r>
      <w:r>
        <w:t xml:space="preserve">Why was not this ointment sold for three hundred</w:t>
      </w:r>
      <w:r>
        <w:rPr>
          <w:rStyle w:val="FootnoteReference"/>
        </w:rPr>
        <w:footnoteReference w:id="16223"/>
      </w:r>
      <w:r>
        <w:t xml:space="preserve"> denarii, and given to the poor?</w:t>
      </w:r>
    </w:p>
    <w:p>
      <w:r>
        <w:rPr>
          <w:b/>
        </w:rPr>
        <w:t xml:space="preserve">6 </w:t>
      </w:r>
      <w:r>
        <w:t xml:space="preserve">This he said, not that he cared for the poor; but because he was a thief, and had the bag</w:t>
      </w:r>
      <w:r>
        <w:rPr>
          <w:rStyle w:val="FootnoteReference"/>
        </w:rPr>
        <w:footnoteReference w:id="16224"/>
      </w:r>
      <w:r>
        <w:t xml:space="preserve">, and bore what was put in it.</w:t>
      </w:r>
    </w:p>
    <w:p>
      <w:r>
        <w:rPr>
          <w:b/>
        </w:rPr>
        <w:t xml:space="preserve">7 </w:t>
      </w:r>
      <w:r>
        <w:t xml:space="preserve">Then Jesus said, Let her alone: she has kept this against</w:t>
      </w:r>
      <w:r>
        <w:rPr>
          <w:rStyle w:val="FootnoteReference"/>
        </w:rPr>
        <w:footnoteReference w:id="16225"/>
      </w:r>
      <w:r>
        <w:t xml:space="preserve"> the day of my burial.</w:t>
      </w:r>
    </w:p>
    <w:p>
      <w:r>
        <w:rPr>
          <w:b/>
        </w:rPr>
        <w:t xml:space="preserve">8 </w:t>
      </w:r>
      <w:r>
        <w:t xml:space="preserve">For the poor</w:t>
      </w:r>
      <w:r>
        <w:rPr>
          <w:rStyle w:val="FootnoteReference"/>
        </w:rPr>
        <w:footnoteReference w:id="16226"/>
      </w:r>
      <w:r>
        <w:t xml:space="preserve"> you always have with you; but me you do not always have.</w:t>
      </w:r>
    </w:p>
    <w:p>
      <w:r>
        <w:rPr>
          <w:b/>
        </w:rPr>
        <w:t xml:space="preserve">9 </w:t>
      </w:r>
      <w:r>
        <w:t xml:space="preserve">Many people of the Jews therefore knew that he was there: and they came not for Jesus' sake only, but that they might see Lazarus also, whom he had raised from the dead.</w:t>
      </w:r>
    </w:p>
    <w:p>
      <w:r>
        <w:rPr>
          <w:b/>
        </w:rPr>
        <w:t xml:space="preserve">10 </w:t>
      </w:r>
      <w:r>
        <w:t xml:space="preserve">But the chief priests consulted that they might put Lazarus also to death;</w:t>
      </w:r>
    </w:p>
    <w:p>
      <w:r>
        <w:rPr>
          <w:b/>
        </w:rPr>
        <w:t xml:space="preserve">11 </w:t>
      </w:r>
      <w:r>
        <w:t xml:space="preserve">Because by reason of him many of the Jews went away, and believed on Jesus.</w:t>
      </w:r>
    </w:p>
    <w:p>
      <w:r>
        <w:rPr>
          <w:b/>
        </w:rPr>
        <w:t xml:space="preserve">12 </w:t>
      </w:r>
      <w:r>
        <w:t xml:space="preserve">On the next day many people that had come to the feast, when they heard that Jesus was coming to Jerusalem,</w:t>
      </w:r>
    </w:p>
    <w:p>
      <w:r>
        <w:rPr>
          <w:b/>
        </w:rPr>
        <w:t xml:space="preserve">13 </w:t>
      </w:r>
      <w:r>
        <w:t xml:space="preserve">Took branches</w:t>
      </w:r>
      <w:r>
        <w:rPr>
          <w:rStyle w:val="FootnoteReference"/>
        </w:rPr>
        <w:footnoteReference w:id="16227"/>
      </w:r>
      <w:r>
        <w:t xml:space="preserve"> of palm trees, and went forth to meet him, and cried, Hosanna: Blessed is the King of Israel that comes in the name of the Lord.</w:t>
      </w:r>
    </w:p>
    <w:p>
      <w:r>
        <w:rPr>
          <w:b/>
        </w:rPr>
        <w:t xml:space="preserve">14 </w:t>
      </w:r>
      <w:r>
        <w:t xml:space="preserve">And Jesus</w:t>
      </w:r>
      <w:r>
        <w:rPr>
          <w:rStyle w:val="FootnoteReference"/>
        </w:rPr>
        <w:footnoteReference w:id="16228"/>
      </w:r>
      <w:r>
        <w:t xml:space="preserve">, when he had found a young donkey, sat upon it; as it is written,</w:t>
      </w:r>
    </w:p>
    <w:p>
      <w:r>
        <w:rPr>
          <w:b/>
        </w:rPr>
        <w:t xml:space="preserve">15 </w:t>
      </w:r>
      <w:r>
        <w:t xml:space="preserve">Do not fear</w:t>
      </w:r>
      <w:r>
        <w:rPr>
          <w:rStyle w:val="FootnoteReference"/>
        </w:rPr>
        <w:footnoteReference w:id="16229"/>
      </w:r>
      <w:r>
        <w:t xml:space="preserve">, daughter of Zion: look, your King comes, sitting on a donkey's colt.</w:t>
      </w:r>
    </w:p>
    <w:p>
      <w:r>
        <w:rPr>
          <w:b/>
        </w:rPr>
        <w:t xml:space="preserve">16 </w:t>
      </w:r>
      <w:r>
        <w:t xml:space="preserve">His disciples did not understand these things at first: but when Jesus was glorified, then they remembered that these things were written of him, and that they had done these things to him.</w:t>
      </w:r>
    </w:p>
    <w:p>
      <w:r>
        <w:rPr>
          <w:b/>
        </w:rPr>
        <w:t xml:space="preserve">17 </w:t>
      </w:r>
      <w:r>
        <w:t xml:space="preserve">The people</w:t>
      </w:r>
      <w:r>
        <w:rPr>
          <w:rStyle w:val="FootnoteReference"/>
        </w:rPr>
        <w:footnoteReference w:id="16230"/>
      </w:r>
      <w:r>
        <w:t xml:space="preserve"> therefore that was with him when he called Lazarus out of the tomb, and raised him from the dead, bore witness.</w:t>
      </w:r>
    </w:p>
    <w:p>
      <w:r>
        <w:rPr>
          <w:b/>
        </w:rPr>
        <w:t xml:space="preserve">18 </w:t>
      </w:r>
      <w:r>
        <w:t xml:space="preserve">For this cause the people also met him, because they heard that he had done this sign.</w:t>
      </w:r>
    </w:p>
    <w:p>
      <w:r>
        <w:rPr>
          <w:b/>
        </w:rPr>
        <w:t xml:space="preserve">19 </w:t>
      </w:r>
      <w:r>
        <w:t xml:space="preserve">The Pharisees therefore said among themselves, Do you perceive</w:t>
      </w:r>
      <w:r>
        <w:rPr>
          <w:rStyle w:val="FootnoteReference"/>
        </w:rPr>
        <w:footnoteReference w:id="16231"/>
      </w:r>
      <w:r>
        <w:t xml:space="preserve"> how you prevail nothing? look, the world has gone after him.</w:t>
      </w:r>
    </w:p>
    <w:p>
      <w:r>
        <w:rPr>
          <w:b/>
        </w:rPr>
        <w:t xml:space="preserve">20 </w:t>
      </w:r>
      <w:r>
        <w:t xml:space="preserve">And there were certain Greeks</w:t>
      </w:r>
      <w:r>
        <w:rPr>
          <w:rStyle w:val="FootnoteReference"/>
        </w:rPr>
        <w:footnoteReference w:id="16232"/>
      </w:r>
      <w:r>
        <w:t xml:space="preserve"> among those who came up to worship at the feast:</w:t>
      </w:r>
      <w:r>
        <w:rPr>
          <w:rStyle w:val="FootnoteReference"/>
        </w:rPr>
        <w:footnoteReference w:id="16233"/>
      </w:r>
    </w:p>
    <w:p>
      <w:r>
        <w:rPr>
          <w:b/>
        </w:rPr>
        <w:t xml:space="preserve">21 </w:t>
      </w:r>
      <w:r>
        <w:t xml:space="preserve">The same came therefore to Philip</w:t>
      </w:r>
      <w:r>
        <w:rPr>
          <w:rStyle w:val="FootnoteReference"/>
        </w:rPr>
        <w:footnoteReference w:id="16234"/>
      </w:r>
      <w:r>
        <w:t xml:space="preserve">, who was of Bethsaida of Galilee, and asked him, saying, Sir, we would see Jesus.</w:t>
      </w:r>
    </w:p>
    <w:p>
      <w:r>
        <w:rPr>
          <w:b/>
        </w:rPr>
        <w:t xml:space="preserve">22 </w:t>
      </w:r>
      <w:r>
        <w:t xml:space="preserve">Philip comes and tells Andrew</w:t>
      </w:r>
      <w:r>
        <w:rPr>
          <w:rStyle w:val="FootnoteReference"/>
        </w:rPr>
        <w:footnoteReference w:id="16235"/>
      </w:r>
      <w:r>
        <w:t xml:space="preserve">: and again Andrew and Philip tell Jesus.</w:t>
      </w:r>
    </w:p>
    <w:p>
      <w:r>
        <w:rPr>
          <w:b/>
        </w:rPr>
        <w:t xml:space="preserve">23 </w:t>
      </w:r>
      <w:r>
        <w:t xml:space="preserve">And Jesus answered them, saying, The hour</w:t>
      </w:r>
      <w:r>
        <w:rPr>
          <w:rStyle w:val="FootnoteReference"/>
        </w:rPr>
        <w:footnoteReference w:id="16236"/>
      </w:r>
      <w:r>
        <w:t xml:space="preserve"> has come, that the Son of man should be glorified.</w:t>
      </w:r>
    </w:p>
    <w:p>
      <w:r>
        <w:rPr>
          <w:b/>
        </w:rPr>
        <w:t xml:space="preserve">24 </w:t>
      </w:r>
      <w:r>
        <w:t xml:space="preserve">Amen, amen, I say to you, Except</w:t>
      </w:r>
      <w:r>
        <w:rPr>
          <w:rStyle w:val="FootnoteReference"/>
        </w:rPr>
        <w:footnoteReference w:id="16237"/>
      </w:r>
      <w:r>
        <w:t xml:space="preserve"> a grain of wheat fall into the ground and die, it abides alone: but if it die, it produces much fruit.</w:t>
      </w:r>
    </w:p>
    <w:p>
      <w:r>
        <w:rPr>
          <w:b/>
        </w:rPr>
        <w:t xml:space="preserve">25 </w:t>
      </w:r>
      <w:r>
        <w:t xml:space="preserve">The one who loves his life shall lose it; and the one who hates his life in this world shall keep it to eternal life.</w:t>
      </w:r>
    </w:p>
    <w:p>
      <w:r>
        <w:rPr>
          <w:b/>
        </w:rPr>
        <w:t xml:space="preserve">26 </w:t>
      </w:r>
      <w:r>
        <w:t xml:space="preserve">If anyone serves me, let him follow me; and where I am, there shall also my servant be: if anyone serves me, him will my Father honor.</w:t>
      </w:r>
    </w:p>
    <w:p>
      <w:r>
        <w:rPr>
          <w:b/>
        </w:rPr>
        <w:t xml:space="preserve">27 </w:t>
      </w:r>
      <w:r>
        <w:t xml:space="preserve">Now is my soul troubled; and what shall I say? Father</w:t>
      </w:r>
      <w:r>
        <w:rPr>
          <w:rStyle w:val="FootnoteReference"/>
        </w:rPr>
        <w:footnoteReference w:id="16238"/>
      </w:r>
      <w:r>
        <w:t xml:space="preserve">, save me from this hour: but for this cause I came to this hour.</w:t>
      </w:r>
    </w:p>
    <w:p>
      <w:r>
        <w:rPr>
          <w:b/>
        </w:rPr>
        <w:t xml:space="preserve">28 </w:t>
      </w:r>
      <w:r>
        <w:t xml:space="preserve">Father</w:t>
      </w:r>
      <w:r>
        <w:rPr>
          <w:rStyle w:val="FootnoteReference"/>
        </w:rPr>
        <w:footnoteReference w:id="16239"/>
      </w:r>
      <w:r>
        <w:t xml:space="preserve">, glorify your name. Then came there a voice from heaven, saying, I have both glorified it, and will glorify it again.</w:t>
      </w:r>
    </w:p>
    <w:p>
      <w:r>
        <w:rPr>
          <w:b/>
        </w:rPr>
        <w:t xml:space="preserve">29 </w:t>
      </w:r>
      <w:r>
        <w:t xml:space="preserve">The people therefore, that stood by, and heard it, said that it thundered</w:t>
      </w:r>
      <w:r>
        <w:rPr>
          <w:rStyle w:val="FootnoteReference"/>
        </w:rPr>
        <w:footnoteReference w:id="16240"/>
      </w:r>
      <w:r>
        <w:t xml:space="preserve">: others said, An angel spoke to him.</w:t>
      </w:r>
    </w:p>
    <w:p>
      <w:r>
        <w:rPr>
          <w:b/>
        </w:rPr>
        <w:t xml:space="preserve">30 </w:t>
      </w:r>
      <w:r>
        <w:t xml:space="preserve">Jesus answered and said, This voice did not come because of me, but for your sakes.</w:t>
      </w:r>
    </w:p>
    <w:p>
      <w:r>
        <w:rPr>
          <w:b/>
        </w:rPr>
        <w:t xml:space="preserve">31 </w:t>
      </w:r>
      <w:r>
        <w:t xml:space="preserve">Now is the judgment of this world: now shall the prince of this world be cast out.</w:t>
      </w:r>
    </w:p>
    <w:p>
      <w:r>
        <w:rPr>
          <w:b/>
        </w:rPr>
        <w:t xml:space="preserve">32 </w:t>
      </w:r>
      <w:r>
        <w:t xml:space="preserve">And I, if I am lifted up from the earth, will</w:t>
      </w:r>
      <w:r>
        <w:rPr>
          <w:rStyle w:val="FootnoteReference"/>
        </w:rPr>
        <w:footnoteReference w:id="16241"/>
      </w:r>
      <w:r>
        <w:t xml:space="preserve"> draw all to me.</w:t>
      </w:r>
    </w:p>
    <w:p>
      <w:r>
        <w:rPr>
          <w:b/>
        </w:rPr>
        <w:t xml:space="preserve">33 </w:t>
      </w:r>
      <w:r>
        <w:t xml:space="preserve">This he said, signifying</w:t>
      </w:r>
      <w:r>
        <w:rPr>
          <w:rStyle w:val="FootnoteReference"/>
        </w:rPr>
        <w:footnoteReference w:id="16242"/>
      </w:r>
      <w:r>
        <w:t xml:space="preserve"> what death he should die.</w:t>
      </w:r>
    </w:p>
    <w:p>
      <w:r>
        <w:rPr>
          <w:b/>
        </w:rPr>
        <w:t xml:space="preserve">34 </w:t>
      </w:r>
      <w:r>
        <w:t xml:space="preserve">The people answered him, We have heard out of the law</w:t>
      </w:r>
      <w:r>
        <w:rPr>
          <w:rStyle w:val="FootnoteReference"/>
        </w:rPr>
        <w:footnoteReference w:id="16243"/>
      </w:r>
      <w:r>
        <w:t xml:space="preserve"> that Christ abides forever: and how do you say, The Son of man must be lifted up? who is this Son of man?</w:t>
      </w:r>
    </w:p>
    <w:p>
      <w:r>
        <w:rPr>
          <w:b/>
        </w:rPr>
        <w:t xml:space="preserve">35 </w:t>
      </w:r>
      <w:r>
        <w:t xml:space="preserve">Then Jesus said to them, Yet a little while is the light with you. Walk</w:t>
      </w:r>
      <w:r>
        <w:rPr>
          <w:rStyle w:val="FootnoteReference"/>
        </w:rPr>
        <w:footnoteReference w:id="16244"/>
      </w:r>
      <w:r>
        <w:t xml:space="preserve"> while you have the light, lest darkness come upon you: for the one who walks in darkness does not know where he goes.</w:t>
      </w:r>
    </w:p>
    <w:p>
      <w:r>
        <w:rPr>
          <w:b/>
        </w:rPr>
        <w:t xml:space="preserve">36 </w:t>
      </w:r>
      <w:r>
        <w:t xml:space="preserve">While you have light, believe</w:t>
      </w:r>
      <w:r>
        <w:rPr>
          <w:rStyle w:val="FootnoteReference"/>
        </w:rPr>
        <w:footnoteReference w:id="16245"/>
      </w:r>
      <w:r>
        <w:t xml:space="preserve"> in the light, that you may be the children of light. These things Jesus spoke, and departed, and hid himself from them.</w:t>
      </w:r>
    </w:p>
    <w:p>
      <w:r>
        <w:rPr>
          <w:b/>
        </w:rPr>
        <w:t xml:space="preserve">37 </w:t>
      </w:r>
      <w:r>
        <w:t xml:space="preserve">But though he had done so many signs before them, yet they did not believe on him:</w:t>
      </w:r>
    </w:p>
    <w:p>
      <w:r>
        <w:rPr>
          <w:b/>
        </w:rPr>
        <w:t xml:space="preserve">38 </w:t>
      </w:r>
      <w:r>
        <w:t xml:space="preserve">That the saying of Isaiah the prophet might be fulfilled, which he spoke, Lord, who has believed our report? and to whom has the arm</w:t>
      </w:r>
      <w:r>
        <w:rPr>
          <w:rStyle w:val="FootnoteReference"/>
        </w:rPr>
        <w:footnoteReference w:id="16246"/>
      </w:r>
      <w:r>
        <w:t xml:space="preserve"> of the Lord been revealed?</w:t>
      </w:r>
    </w:p>
    <w:p>
      <w:r>
        <w:rPr>
          <w:b/>
        </w:rPr>
        <w:t xml:space="preserve">39 </w:t>
      </w:r>
      <w:r>
        <w:t xml:space="preserve">Therefore they could not believe, because Isaiah said again,</w:t>
      </w:r>
    </w:p>
    <w:p>
      <w:r>
        <w:rPr>
          <w:b/>
        </w:rPr>
        <w:t xml:space="preserve">40 </w:t>
      </w:r>
      <w:r>
        <w:t xml:space="preserve">He has blinded their eyes, and hardened</w:t>
      </w:r>
      <w:r>
        <w:rPr>
          <w:rStyle w:val="FootnoteReference"/>
        </w:rPr>
        <w:footnoteReference w:id="16247"/>
      </w:r>
      <w:r>
        <w:t xml:space="preserve"> their heart; that they should not see with their eyes, nor understand with their heart, and be converted, and I should heal them.</w:t>
      </w:r>
    </w:p>
    <w:p>
      <w:r>
        <w:rPr>
          <w:b/>
        </w:rPr>
        <w:t xml:space="preserve">41 </w:t>
      </w:r>
      <w:r>
        <w:t xml:space="preserve">These things Isaiah said, when he saw his glory, and spoke of him.</w:t>
      </w:r>
    </w:p>
    <w:p>
      <w:r>
        <w:rPr>
          <w:b/>
        </w:rPr>
        <w:t xml:space="preserve">42 </w:t>
      </w:r>
      <w:r>
        <w:t xml:space="preserve">Nevertheless among</w:t>
      </w:r>
      <w:r>
        <w:rPr>
          <w:rStyle w:val="FootnoteReference"/>
        </w:rPr>
        <w:footnoteReference w:id="16248"/>
      </w:r>
      <w:r>
        <w:t xml:space="preserve"> the chief rulers also many believed on him; but because of the Pharisees they did not confess him, lest they should be put out of the synagogue:</w:t>
      </w:r>
    </w:p>
    <w:p>
      <w:r>
        <w:rPr>
          <w:b/>
        </w:rPr>
        <w:t xml:space="preserve">43 </w:t>
      </w:r>
      <w:r>
        <w:t xml:space="preserve">For they loved the praise of people more than the praise of God</w:t>
      </w:r>
      <w:r>
        <w:rPr>
          <w:rStyle w:val="FootnoteReference"/>
        </w:rPr>
        <w:footnoteReference w:id="16249"/>
      </w:r>
      <w:r>
        <w:t xml:space="preserve">.</w:t>
      </w:r>
    </w:p>
    <w:p>
      <w:r>
        <w:rPr>
          <w:b/>
        </w:rPr>
        <w:t xml:space="preserve">44 </w:t>
      </w:r>
      <w:r>
        <w:t xml:space="preserve">Jesus cried</w:t>
      </w:r>
      <w:r>
        <w:rPr>
          <w:rStyle w:val="FootnoteReference"/>
        </w:rPr>
        <w:footnoteReference w:id="16250"/>
      </w:r>
      <w:r>
        <w:t xml:space="preserve"> and said, The one who believes on me, does not believe on me, but on him who sent me.</w:t>
      </w:r>
    </w:p>
    <w:p>
      <w:r>
        <w:rPr>
          <w:b/>
        </w:rPr>
        <w:t xml:space="preserve">45 </w:t>
      </w:r>
      <w:r>
        <w:t xml:space="preserve">And the one who sees me sees him who sent me.</w:t>
      </w:r>
    </w:p>
    <w:p>
      <w:r>
        <w:rPr>
          <w:b/>
        </w:rPr>
        <w:t xml:space="preserve">46 </w:t>
      </w:r>
      <w:r>
        <w:t xml:space="preserve">I have come as a light into the world, that whoever believes on me should not abide</w:t>
      </w:r>
      <w:r>
        <w:rPr>
          <w:rStyle w:val="FootnoteReference"/>
        </w:rPr>
        <w:footnoteReference w:id="16251"/>
      </w:r>
      <w:r>
        <w:t xml:space="preserve"> in darkness.</w:t>
      </w:r>
    </w:p>
    <w:p>
      <w:r>
        <w:rPr>
          <w:b/>
        </w:rPr>
        <w:t xml:space="preserve">47 </w:t>
      </w:r>
      <w:r>
        <w:t xml:space="preserve">And if anyone hear my words, and do not believe, I judge</w:t>
      </w:r>
      <w:r>
        <w:rPr>
          <w:rStyle w:val="FootnoteReference"/>
        </w:rPr>
        <w:footnoteReference w:id="16252"/>
      </w:r>
      <w:r>
        <w:t xml:space="preserve"> him not: for I came not to judge the world, but to save the world.</w:t>
      </w:r>
    </w:p>
    <w:p>
      <w:r>
        <w:rPr>
          <w:b/>
        </w:rPr>
        <w:t xml:space="preserve">48 </w:t>
      </w:r>
      <w:r>
        <w:t xml:space="preserve">The one who rejects me, and does not receive my words, has one that judges him: the word</w:t>
      </w:r>
      <w:r>
        <w:rPr>
          <w:rStyle w:val="FootnoteReference"/>
        </w:rPr>
        <w:footnoteReference w:id="16253"/>
      </w:r>
      <w:r>
        <w:t xml:space="preserve"> that I have spoken, the same shall judge him in the last day.</w:t>
      </w:r>
    </w:p>
    <w:p>
      <w:r>
        <w:rPr>
          <w:b/>
        </w:rPr>
        <w:t xml:space="preserve">49 </w:t>
      </w:r>
      <w:r>
        <w:t xml:space="preserve">For I have not spoken of myself; but the Father who sent me, he gave me a commandment, what I should say, and what I should speak.</w:t>
      </w:r>
    </w:p>
    <w:p>
      <w:r>
        <w:rPr>
          <w:b/>
        </w:rPr>
        <w:t xml:space="preserve">50 </w:t>
      </w:r>
      <w:r>
        <w:t xml:space="preserve">And I know that his commandment is life eternal: whatever I speak therefore, even as the Father said to me, so I speak.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Now before the feast</w:t>
      </w:r>
      <w:r>
        <w:rPr>
          <w:rStyle w:val="FootnoteReference"/>
        </w:rPr>
        <w:footnoteReference w:id="16254"/>
      </w:r>
      <w:r>
        <w:t xml:space="preserve"> of the Passover, when Jesus knew that his hour had come that he should depart out of this world to the Father, having loved his own who were in the world, he loved them to the end.</w:t>
      </w:r>
    </w:p>
    <w:p>
      <w:r>
        <w:rPr>
          <w:b/>
        </w:rPr>
        <w:t xml:space="preserve">2 </w:t>
      </w:r>
      <w:r>
        <w:t xml:space="preserve">And supper</w:t>
      </w:r>
      <w:r>
        <w:rPr>
          <w:rStyle w:val="FootnoteReference"/>
        </w:rPr>
        <w:footnoteReference w:id="16255"/>
      </w:r>
      <w:r>
        <w:t xml:space="preserve"> being ended, the devil having now put into the heart of Judas Iscariot, Simon's son, to betray him;</w:t>
      </w:r>
    </w:p>
    <w:p>
      <w:r>
        <w:rPr>
          <w:b/>
        </w:rPr>
        <w:t xml:space="preserve">3 </w:t>
      </w:r>
      <w:r>
        <w:t xml:space="preserve">Jesus knowing</w:t>
      </w:r>
      <w:r>
        <w:rPr>
          <w:rStyle w:val="FootnoteReference"/>
        </w:rPr>
        <w:footnoteReference w:id="16256"/>
      </w:r>
      <w:r>
        <w:t xml:space="preserve"> that the Father had given all things into his hands, and that he had come from God, and went to God;</w:t>
      </w:r>
    </w:p>
    <w:p>
      <w:r>
        <w:rPr>
          <w:b/>
        </w:rPr>
        <w:t xml:space="preserve">4 </w:t>
      </w:r>
      <w:r>
        <w:t xml:space="preserve">He rises from supper, and laid aside</w:t>
      </w:r>
      <w:r>
        <w:rPr>
          <w:rStyle w:val="FootnoteReference"/>
        </w:rPr>
        <w:footnoteReference w:id="16257"/>
      </w:r>
      <w:r>
        <w:t xml:space="preserve"> his clothes; and took a towel, and girded himself.</w:t>
      </w:r>
    </w:p>
    <w:p>
      <w:r>
        <w:rPr>
          <w:b/>
        </w:rPr>
        <w:t xml:space="preserve">5 </w:t>
      </w:r>
      <w:r>
        <w:t xml:space="preserve">After that he pours water into a basin, and began to wash</w:t>
      </w:r>
      <w:r>
        <w:rPr>
          <w:rStyle w:val="FootnoteReference"/>
        </w:rPr>
        <w:footnoteReference w:id="16258"/>
      </w:r>
      <w:r>
        <w:t xml:space="preserve"> the disciples' feet, and to wipe them with the towel with which he was girded.</w:t>
      </w:r>
    </w:p>
    <w:p>
      <w:r>
        <w:rPr>
          <w:b/>
        </w:rPr>
        <w:t xml:space="preserve">6 </w:t>
      </w:r>
      <w:r>
        <w:t xml:space="preserve">Then he comes to Simon Peter: and Peter says to him, Lord</w:t>
      </w:r>
      <w:r>
        <w:rPr>
          <w:rStyle w:val="FootnoteReference"/>
        </w:rPr>
        <w:footnoteReference w:id="16259"/>
      </w:r>
      <w:r>
        <w:t xml:space="preserve">, do you wash my feet?</w:t>
      </w:r>
    </w:p>
    <w:p>
      <w:r>
        <w:rPr>
          <w:b/>
        </w:rPr>
        <w:t xml:space="preserve">7 </w:t>
      </w:r>
      <w:r>
        <w:t xml:space="preserve">Jesus answered and said to him, What I do you do not know now; but you shall know hereafter.</w:t>
      </w:r>
    </w:p>
    <w:p>
      <w:r>
        <w:rPr>
          <w:b/>
        </w:rPr>
        <w:t xml:space="preserve">8 </w:t>
      </w:r>
      <w:r>
        <w:t xml:space="preserve">Peter says to him, You shall never wash my feet. Jesus answered him, If I do not wash you, you have no part with me.</w:t>
      </w:r>
    </w:p>
    <w:p>
      <w:r>
        <w:rPr>
          <w:b/>
        </w:rPr>
        <w:t xml:space="preserve">9 </w:t>
      </w:r>
      <w:r>
        <w:t xml:space="preserve">Simon Peter says to him, Lord, not my feet only, but also my hands and my head.</w:t>
      </w:r>
    </w:p>
    <w:p>
      <w:r>
        <w:rPr>
          <w:b/>
        </w:rPr>
        <w:t xml:space="preserve">10 </w:t>
      </w:r>
      <w:r>
        <w:t xml:space="preserve">Jesus says to him, The one who is washed needs only to wash his feet, but is clean altogether: and you are clean, but not all.</w:t>
      </w:r>
    </w:p>
    <w:p>
      <w:r>
        <w:rPr>
          <w:b/>
        </w:rPr>
        <w:t xml:space="preserve">11 </w:t>
      </w:r>
      <w:r>
        <w:t xml:space="preserve">For he knew who should betray him; therefore he said, You are not all clean.</w:t>
      </w:r>
    </w:p>
    <w:p>
      <w:r>
        <w:rPr>
          <w:b/>
        </w:rPr>
        <w:t xml:space="preserve">12 </w:t>
      </w:r>
      <w:r>
        <w:t xml:space="preserve">So after he had washed their feet, and had taken his clothes, and was set down again, he said to them, Know</w:t>
      </w:r>
      <w:r>
        <w:rPr>
          <w:rStyle w:val="FootnoteReference"/>
        </w:rPr>
        <w:footnoteReference w:id="16260"/>
      </w:r>
      <w:r>
        <w:t xml:space="preserve"> you what I have done to you?</w:t>
      </w:r>
    </w:p>
    <w:p>
      <w:r>
        <w:rPr>
          <w:b/>
        </w:rPr>
        <w:t xml:space="preserve">13 </w:t>
      </w:r>
      <w:r>
        <w:t xml:space="preserve">You call</w:t>
      </w:r>
      <w:r>
        <w:rPr>
          <w:rStyle w:val="FootnoteReference"/>
        </w:rPr>
        <w:footnoteReference w:id="16261"/>
      </w:r>
      <w:r>
        <w:t xml:space="preserve"> me Teacher and Lord: and you say well; for so I am.</w:t>
      </w:r>
    </w:p>
    <w:p>
      <w:r>
        <w:rPr>
          <w:b/>
        </w:rPr>
        <w:t xml:space="preserve">14 </w:t>
      </w:r>
      <w:r>
        <w:t xml:space="preserve">If I then</w:t>
      </w:r>
      <w:r>
        <w:rPr>
          <w:rStyle w:val="FootnoteReference"/>
        </w:rPr>
        <w:footnoteReference w:id="16262"/>
      </w:r>
      <w:r>
        <w:t xml:space="preserve">, your Lord and Teacher, have washed your feet; you also ought to wash one another's feet.</w:t>
      </w:r>
    </w:p>
    <w:p>
      <w:r>
        <w:rPr>
          <w:b/>
        </w:rPr>
        <w:t xml:space="preserve">15 </w:t>
      </w:r>
      <w:r>
        <w:t xml:space="preserve">For I have given</w:t>
      </w:r>
      <w:r>
        <w:rPr>
          <w:rStyle w:val="FootnoteReference"/>
        </w:rPr>
        <w:footnoteReference w:id="16263"/>
      </w:r>
      <w:r>
        <w:t xml:space="preserve"> you an example, that you should do as I have done to you.</w:t>
      </w:r>
    </w:p>
    <w:p>
      <w:r>
        <w:rPr>
          <w:b/>
        </w:rPr>
        <w:t xml:space="preserve">16 </w:t>
      </w:r>
      <w:r>
        <w:t xml:space="preserve">Amen, amen, I say to you, The slave is not greater than his Lord; neither the one who is sent greater than the one who sent him.</w:t>
      </w:r>
    </w:p>
    <w:p>
      <w:r>
        <w:rPr>
          <w:b/>
        </w:rPr>
        <w:t xml:space="preserve">17 </w:t>
      </w:r>
      <w:r>
        <w:t xml:space="preserve">If you know these things, blessed are you if you do them.</w:t>
      </w:r>
    </w:p>
    <w:p>
      <w:r>
        <w:rPr>
          <w:b/>
        </w:rPr>
        <w:t xml:space="preserve">18 </w:t>
      </w:r>
      <w:r>
        <w:t xml:space="preserve">I do not speak of you all: I know whom I have chosen: but that the scripture may be fulfilled, The one who eats bread with me has lifted up his heel against me.</w:t>
      </w:r>
    </w:p>
    <w:p>
      <w:r>
        <w:rPr>
          <w:b/>
        </w:rPr>
        <w:t xml:space="preserve">19 </w:t>
      </w:r>
      <w:r>
        <w:t xml:space="preserve">Now I tell</w:t>
      </w:r>
      <w:r>
        <w:rPr>
          <w:rStyle w:val="FootnoteReference"/>
        </w:rPr>
        <w:footnoteReference w:id="16264"/>
      </w:r>
      <w:r>
        <w:t xml:space="preserve"> you before it comes, that, when it has happened, you may believe that I am he.</w:t>
      </w:r>
    </w:p>
    <w:p>
      <w:r>
        <w:rPr>
          <w:b/>
        </w:rPr>
        <w:t xml:space="preserve">20 </w:t>
      </w:r>
      <w:r>
        <w:t xml:space="preserve">Amen, amen, I say to you, the one who receives whomsoever I send receives me; and the one who receives me receives him who sent me.</w:t>
      </w:r>
    </w:p>
    <w:p>
      <w:r>
        <w:rPr>
          <w:b/>
        </w:rPr>
        <w:t xml:space="preserve">21 </w:t>
      </w:r>
      <w:r>
        <w:t xml:space="preserve">When Jesus had thus said, he was troubled in spirit, and testified, and said, Amen, amen, I say to you, that one of you shall betray me.</w:t>
      </w:r>
    </w:p>
    <w:p>
      <w:r>
        <w:rPr>
          <w:b/>
        </w:rPr>
        <w:t xml:space="preserve">22 </w:t>
      </w:r>
      <w:r>
        <w:t xml:space="preserve">Then the disciples looked</w:t>
      </w:r>
      <w:r>
        <w:rPr>
          <w:rStyle w:val="FootnoteReference"/>
        </w:rPr>
        <w:footnoteReference w:id="16265"/>
      </w:r>
      <w:r>
        <w:t xml:space="preserve"> one on another, doubting of whom he spoke.</w:t>
      </w:r>
    </w:p>
    <w:p>
      <w:r>
        <w:rPr>
          <w:b/>
        </w:rPr>
        <w:t xml:space="preserve">23 </w:t>
      </w:r>
      <w:r>
        <w:t xml:space="preserve">Now there was leaning</w:t>
      </w:r>
      <w:r>
        <w:rPr>
          <w:rStyle w:val="FootnoteReference"/>
        </w:rPr>
        <w:footnoteReference w:id="16266"/>
      </w:r>
      <w:r>
        <w:t xml:space="preserve"> on Jesus' bosom one of his disciples, whom Jesus loved.</w:t>
      </w:r>
    </w:p>
    <w:p>
      <w:r>
        <w:rPr>
          <w:b/>
        </w:rPr>
        <w:t xml:space="preserve">24 </w:t>
      </w:r>
      <w:r>
        <w:t xml:space="preserve">Simon Peter therefore beckoned</w:t>
      </w:r>
      <w:r>
        <w:rPr>
          <w:rStyle w:val="FootnoteReference"/>
        </w:rPr>
        <w:footnoteReference w:id="16267"/>
      </w:r>
      <w:r>
        <w:t xml:space="preserve"> to him, that he should ask who it should be of whom he spoke.</w:t>
      </w:r>
    </w:p>
    <w:p>
      <w:r>
        <w:rPr>
          <w:b/>
        </w:rPr>
        <w:t xml:space="preserve">25 </w:t>
      </w:r>
      <w:r>
        <w:t xml:space="preserve">He then lying on Jesus' breast says to him, Lord, who is it?</w:t>
      </w:r>
    </w:p>
    <w:p>
      <w:r>
        <w:rPr>
          <w:b/>
        </w:rPr>
        <w:t xml:space="preserve">26 </w:t>
      </w:r>
      <w:r>
        <w:t xml:space="preserve">Jesus answered, It is he to whom I shall give a morsel, when I have dipped it. And when he had dipped the morsel, he gave it to Judas Iscariot</w:t>
      </w:r>
      <w:r>
        <w:rPr>
          <w:rStyle w:val="FootnoteReference"/>
        </w:rPr>
        <w:footnoteReference w:id="16268"/>
      </w:r>
      <w:r>
        <w:t xml:space="preserve">, the son of Simon.</w:t>
      </w:r>
    </w:p>
    <w:p>
      <w:r>
        <w:rPr>
          <w:b/>
        </w:rPr>
        <w:t xml:space="preserve">27 </w:t>
      </w:r>
      <w:r>
        <w:t xml:space="preserve">And after the morsel Satan</w:t>
      </w:r>
      <w:r>
        <w:rPr>
          <w:rStyle w:val="FootnoteReference"/>
        </w:rPr>
        <w:footnoteReference w:id="16269"/>
      </w:r>
      <w:r>
        <w:t xml:space="preserve"> entered into him. Then Jesus said to him, What you do, do quickly.</w:t>
      </w:r>
    </w:p>
    <w:p>
      <w:r>
        <w:rPr>
          <w:b/>
        </w:rPr>
        <w:t xml:space="preserve">28 </w:t>
      </w:r>
      <w:r>
        <w:t xml:space="preserve">Now no one at the table knew for what intent he spoke this to him.</w:t>
      </w:r>
    </w:p>
    <w:p>
      <w:r>
        <w:rPr>
          <w:b/>
        </w:rPr>
        <w:t xml:space="preserve">29 </w:t>
      </w:r>
      <w:r>
        <w:t xml:space="preserve">For some of them thought, because Judas had the bag, that Jesus had said to him, Buy those things that we have need of for the feast; or, that he should give something to the poor.</w:t>
      </w:r>
    </w:p>
    <w:p>
      <w:r>
        <w:rPr>
          <w:b/>
        </w:rPr>
        <w:t xml:space="preserve">30 </w:t>
      </w:r>
      <w:r>
        <w:t xml:space="preserve">He then having received the morsel went</w:t>
      </w:r>
      <w:r>
        <w:rPr>
          <w:rStyle w:val="FootnoteReference"/>
        </w:rPr>
        <w:footnoteReference w:id="16270"/>
      </w:r>
      <w:r>
        <w:t xml:space="preserve"> out immediately: and it was night.</w:t>
      </w:r>
    </w:p>
    <w:p>
      <w:r>
        <w:rPr>
          <w:b/>
        </w:rPr>
        <w:t xml:space="preserve">31 </w:t>
      </w:r>
      <w:r>
        <w:t xml:space="preserve">Therefore, when he was gone out, Jesus said, Now is the Son of man glorified, and God</w:t>
      </w:r>
      <w:r>
        <w:rPr>
          <w:rStyle w:val="FootnoteReference"/>
        </w:rPr>
        <w:footnoteReference w:id="16271"/>
      </w:r>
      <w:r>
        <w:t xml:space="preserve"> is glorified in him.</w:t>
      </w:r>
    </w:p>
    <w:p>
      <w:r>
        <w:rPr>
          <w:b/>
        </w:rPr>
        <w:t xml:space="preserve">32 </w:t>
      </w:r>
      <w:r>
        <w:t xml:space="preserve">If God is glorified in him, God shall also glorify him in himself, and shall immediately glorify him.</w:t>
      </w:r>
    </w:p>
    <w:p>
      <w:r>
        <w:rPr>
          <w:b/>
        </w:rPr>
        <w:t xml:space="preserve">33 </w:t>
      </w:r>
      <w:r>
        <w:t xml:space="preserve">Little</w:t>
      </w:r>
      <w:r>
        <w:rPr>
          <w:rStyle w:val="FootnoteReference"/>
        </w:rPr>
        <w:footnoteReference w:id="16272"/>
      </w:r>
      <w:r>
        <w:t xml:space="preserve"> children, yet a little while I am with you. You shall seek me: and as I said to the Jews, Where I go, you cannot come; so now I say to you.</w:t>
      </w:r>
    </w:p>
    <w:p>
      <w:r>
        <w:rPr>
          <w:b/>
        </w:rPr>
        <w:t xml:space="preserve">34 </w:t>
      </w:r>
      <w:r>
        <w:t xml:space="preserve">A new</w:t>
      </w:r>
      <w:r>
        <w:rPr>
          <w:rStyle w:val="FootnoteReference"/>
        </w:rPr>
        <w:footnoteReference w:id="16273"/>
      </w:r>
      <w:r>
        <w:t xml:space="preserve"> commandment I give to you, That you love one another; as I have loved you, that you also love one another.</w:t>
      </w:r>
    </w:p>
    <w:p>
      <w:r>
        <w:rPr>
          <w:b/>
        </w:rPr>
        <w:t xml:space="preserve">35 </w:t>
      </w:r>
      <w:r>
        <w:t xml:space="preserve">By this shall all know that you are my disciples, if you have love one to another.</w:t>
      </w:r>
    </w:p>
    <w:p>
      <w:r>
        <w:rPr>
          <w:b/>
        </w:rPr>
        <w:t xml:space="preserve">36 </w:t>
      </w:r>
      <w:r>
        <w:t xml:space="preserve">Simon Peter said to him, Lord, where go you? Jesus answered him, Where I go, you cannot follow me now; but you shall follow me afterwards.</w:t>
      </w:r>
    </w:p>
    <w:p>
      <w:r>
        <w:rPr>
          <w:b/>
        </w:rPr>
        <w:t xml:space="preserve">37 </w:t>
      </w:r>
      <w:r>
        <w:t xml:space="preserve">Peter said to him, Lord, why cannot I follow you now? I will lay down my life for your sake.</w:t>
      </w:r>
    </w:p>
    <w:p>
      <w:r>
        <w:rPr>
          <w:b/>
        </w:rPr>
        <w:t xml:space="preserve">38 </w:t>
      </w:r>
      <w:r>
        <w:t xml:space="preserve">Jesus answered him, Will you lay down your life for my sake? Amen, amen, I say to you, The cock</w:t>
      </w:r>
      <w:r>
        <w:rPr>
          <w:rStyle w:val="FootnoteReference"/>
        </w:rPr>
        <w:footnoteReference w:id="16274"/>
      </w:r>
      <w:r>
        <w:t xml:space="preserve"> shall not crow, till you have denied me three times.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Let not your heart be troubled: you believe in God, believe also in me.</w:t>
      </w:r>
    </w:p>
    <w:p>
      <w:r>
        <w:rPr>
          <w:b/>
        </w:rPr>
        <w:t xml:space="preserve">2 </w:t>
      </w:r>
      <w:r>
        <w:t xml:space="preserve">In my Father's house are many dwelling places: if it were not so, I would have told you. I go</w:t>
      </w:r>
      <w:r>
        <w:rPr>
          <w:rStyle w:val="FootnoteReference"/>
        </w:rPr>
        <w:footnoteReference w:id="16275"/>
      </w:r>
      <w:r>
        <w:t xml:space="preserve"> to prepare a place for you.</w:t>
      </w:r>
    </w:p>
    <w:p>
      <w:r>
        <w:rPr>
          <w:b/>
        </w:rPr>
        <w:t xml:space="preserve">3 </w:t>
      </w:r>
      <w:r>
        <w:t xml:space="preserve">And if I go and prepare a place for you, I will come again, and receive you to myself; that where I am, there you may be also.</w:t>
      </w:r>
    </w:p>
    <w:p>
      <w:r>
        <w:rPr>
          <w:b/>
        </w:rPr>
        <w:t xml:space="preserve">4 </w:t>
      </w:r>
      <w:r>
        <w:t xml:space="preserve">And where I go you know, and the way you know.</w:t>
      </w:r>
    </w:p>
    <w:p>
      <w:r>
        <w:rPr>
          <w:b/>
        </w:rPr>
        <w:t xml:space="preserve">5 </w:t>
      </w:r>
      <w:r>
        <w:t xml:space="preserve">Thomas</w:t>
      </w:r>
      <w:r>
        <w:rPr>
          <w:rStyle w:val="FootnoteReference"/>
        </w:rPr>
        <w:footnoteReference w:id="16276"/>
      </w:r>
      <w:r>
        <w:t xml:space="preserve"> says to him, Lord, we do not know where you go; and how can we know the way?</w:t>
      </w:r>
    </w:p>
    <w:p>
      <w:r>
        <w:rPr>
          <w:b/>
        </w:rPr>
        <w:t xml:space="preserve">6 </w:t>
      </w:r>
      <w:r>
        <w:t xml:space="preserve">Jesus says to him, I am the way, the truth</w:t>
      </w:r>
      <w:r>
        <w:rPr>
          <w:rStyle w:val="FootnoteReference"/>
        </w:rPr>
        <w:footnoteReference w:id="16277"/>
      </w:r>
      <w:r>
        <w:t xml:space="preserve">, and the life: no one comes to the Father, but by me.</w:t>
      </w:r>
    </w:p>
    <w:p>
      <w:r>
        <w:rPr>
          <w:b/>
        </w:rPr>
        <w:t xml:space="preserve">7 </w:t>
      </w:r>
      <w:r>
        <w:t xml:space="preserve">If you had known me, you should have known my Father also: and from now on you know him, and have seen him.</w:t>
      </w:r>
    </w:p>
    <w:p>
      <w:r>
        <w:rPr>
          <w:b/>
        </w:rPr>
        <w:t xml:space="preserve">8 </w:t>
      </w:r>
      <w:r>
        <w:t xml:space="preserve">Philip</w:t>
      </w:r>
      <w:r>
        <w:rPr>
          <w:rStyle w:val="FootnoteReference"/>
        </w:rPr>
        <w:footnoteReference w:id="16278"/>
      </w:r>
      <w:r>
        <w:t xml:space="preserve"> says to him, Lord, show us the Father, and it is enough for us.</w:t>
      </w:r>
    </w:p>
    <w:p>
      <w:r>
        <w:rPr>
          <w:b/>
        </w:rPr>
        <w:t xml:space="preserve">9 </w:t>
      </w:r>
      <w:r>
        <w:t xml:space="preserve">Jesus says to him, Have I been so long time with you, and yet have you not known me, Philip? The one who has seen me has seen the Father; and how do you say then, Show us the Father?</w:t>
      </w:r>
    </w:p>
    <w:p>
      <w:r>
        <w:rPr>
          <w:b/>
        </w:rPr>
        <w:t xml:space="preserve">10 </w:t>
      </w:r>
      <w:r>
        <w:t xml:space="preserve">Do you not believe that I am in the Father, and the Father in me? the words</w:t>
      </w:r>
      <w:r>
        <w:rPr>
          <w:rStyle w:val="FootnoteReference"/>
        </w:rPr>
        <w:footnoteReference w:id="16279"/>
      </w:r>
      <w:r>
        <w:t xml:space="preserve"> that I speak to you I do not speak of myself: but the Father that dwells in me, he does the works.</w:t>
      </w:r>
    </w:p>
    <w:p>
      <w:r>
        <w:rPr>
          <w:b/>
        </w:rPr>
        <w:t xml:space="preserve">11 </w:t>
      </w:r>
      <w:r>
        <w:t xml:space="preserve">Believe me that I am in the Father, and the Father in me: or else believe me for the very works' sake.</w:t>
      </w:r>
    </w:p>
    <w:p>
      <w:r>
        <w:rPr>
          <w:b/>
        </w:rPr>
        <w:t xml:space="preserve">12 </w:t>
      </w:r>
      <w:r>
        <w:t xml:space="preserve">Amen, amen, I say to you, the one who believes on me, the works that I do shall he do also; and greater</w:t>
      </w:r>
      <w:r>
        <w:rPr>
          <w:rStyle w:val="FootnoteReference"/>
        </w:rPr>
        <w:footnoteReference w:id="16280"/>
      </w:r>
      <w:r>
        <w:t xml:space="preserve"> works than these shall he do; because I go to my Father.</w:t>
      </w:r>
    </w:p>
    <w:p>
      <w:r>
        <w:rPr>
          <w:b/>
        </w:rPr>
        <w:t xml:space="preserve">13 </w:t>
      </w:r>
      <w:r>
        <w:t xml:space="preserve">And whatever you shall ask in my</w:t>
      </w:r>
      <w:r>
        <w:rPr>
          <w:rStyle w:val="FootnoteReference"/>
        </w:rPr>
        <w:footnoteReference w:id="16281"/>
      </w:r>
      <w:r>
        <w:t xml:space="preserve"> name, that will I do, that the Father may be glorified in the Son.</w:t>
      </w:r>
    </w:p>
    <w:p>
      <w:r>
        <w:rPr>
          <w:b/>
        </w:rPr>
        <w:t xml:space="preserve">14 </w:t>
      </w:r>
      <w:r>
        <w:t xml:space="preserve">If you shall ask anything in my name, I will do it.</w:t>
      </w:r>
    </w:p>
    <w:p>
      <w:r>
        <w:rPr>
          <w:b/>
        </w:rPr>
        <w:t xml:space="preserve">15 </w:t>
      </w:r>
      <w:r>
        <w:t xml:space="preserve">If you love me, keep my commandments.</w:t>
      </w:r>
    </w:p>
    <w:p>
      <w:r>
        <w:rPr>
          <w:b/>
        </w:rPr>
        <w:t xml:space="preserve">16 </w:t>
      </w:r>
      <w:r>
        <w:t xml:space="preserve">And I will pray the Father, and he shall give you another</w:t>
      </w:r>
      <w:r>
        <w:rPr>
          <w:rStyle w:val="FootnoteReference"/>
        </w:rPr>
        <w:footnoteReference w:id="16282"/>
      </w:r>
      <w:r>
        <w:t xml:space="preserve"> Comforter, that he may abide with you forever;</w:t>
      </w:r>
    </w:p>
    <w:p>
      <w:r>
        <w:rPr>
          <w:b/>
        </w:rPr>
        <w:t xml:space="preserve">17 </w:t>
      </w:r>
      <w:r>
        <w:t xml:space="preserve">Even the Spirit</w:t>
      </w:r>
      <w:r>
        <w:rPr>
          <w:rStyle w:val="FootnoteReference"/>
        </w:rPr>
        <w:footnoteReference w:id="16283"/>
      </w:r>
      <w:r>
        <w:t xml:space="preserve"> of truth; whom the world cannot receive, because it does not see him, neither knows him: but you know him; for he dwells with you, and shall be in you.</w:t>
      </w:r>
    </w:p>
    <w:p>
      <w:r>
        <w:rPr>
          <w:b/>
        </w:rPr>
        <w:t xml:space="preserve">18 </w:t>
      </w:r>
      <w:r>
        <w:t xml:space="preserve">I will not</w:t>
      </w:r>
      <w:r>
        <w:rPr>
          <w:rStyle w:val="FootnoteReference"/>
        </w:rPr>
        <w:footnoteReference w:id="16284"/>
      </w:r>
      <w:r>
        <w:t xml:space="preserve"> leave you comfortless: I will come to you.</w:t>
      </w:r>
    </w:p>
    <w:p>
      <w:r>
        <w:rPr>
          <w:b/>
        </w:rPr>
        <w:t xml:space="preserve">19 </w:t>
      </w:r>
      <w:r>
        <w:t xml:space="preserve">Yet a little</w:t>
      </w:r>
      <w:r>
        <w:rPr>
          <w:rStyle w:val="FootnoteReference"/>
        </w:rPr>
        <w:footnoteReference w:id="16285"/>
      </w:r>
      <w:r>
        <w:t xml:space="preserve"> while, and the world sees me no more; but you see me: because I live, you shall live also.</w:t>
      </w:r>
    </w:p>
    <w:p>
      <w:r>
        <w:rPr>
          <w:b/>
        </w:rPr>
        <w:t xml:space="preserve">20 </w:t>
      </w:r>
      <w:r>
        <w:t xml:space="preserve">At that day you shall know that I am in my Father, and you in me, and I in you.</w:t>
      </w:r>
    </w:p>
    <w:p>
      <w:r>
        <w:rPr>
          <w:b/>
        </w:rPr>
        <w:t xml:space="preserve">21 </w:t>
      </w:r>
      <w:r>
        <w:t xml:space="preserve">The one who has my commandments, and keeps them, he is the one who loves me: and the one who loves me will be loved by my Father, and I will love him, and will</w:t>
      </w:r>
      <w:r>
        <w:rPr>
          <w:rStyle w:val="FootnoteReference"/>
        </w:rPr>
        <w:footnoteReference w:id="16286"/>
      </w:r>
      <w:r>
        <w:t xml:space="preserve"> manifest myself to him.</w:t>
      </w:r>
    </w:p>
    <w:p>
      <w:r>
        <w:rPr>
          <w:b/>
        </w:rPr>
        <w:t xml:space="preserve">22 </w:t>
      </w:r>
      <w:r>
        <w:t xml:space="preserve">Judas</w:t>
      </w:r>
      <w:r>
        <w:rPr>
          <w:rStyle w:val="FootnoteReference"/>
        </w:rPr>
        <w:footnoteReference w:id="16287"/>
      </w:r>
      <w:r>
        <w:t xml:space="preserve"> says to him, not Iscariot, Lord, how is it that you will manifest yourself to us, and not to the world?</w:t>
      </w:r>
    </w:p>
    <w:p>
      <w:r>
        <w:rPr>
          <w:b/>
        </w:rPr>
        <w:t xml:space="preserve">23 </w:t>
      </w:r>
      <w:r>
        <w:t xml:space="preserve">Jesus answered and said to him, If a man loves me, he will keep my words: and my Father will love him, and we will come to him, and make</w:t>
      </w:r>
      <w:r>
        <w:rPr>
          <w:rStyle w:val="FootnoteReference"/>
        </w:rPr>
        <w:footnoteReference w:id="16288"/>
      </w:r>
      <w:r>
        <w:t xml:space="preserve"> our dwelling with him.</w:t>
      </w:r>
    </w:p>
    <w:p>
      <w:r>
        <w:rPr>
          <w:b/>
        </w:rPr>
        <w:t xml:space="preserve">24 </w:t>
      </w:r>
      <w:r>
        <w:t xml:space="preserve">The one who does not love me does not keep my sayings: and the word which you hear is not mine, but the Father's who sent me.</w:t>
      </w:r>
    </w:p>
    <w:p>
      <w:r>
        <w:rPr>
          <w:b/>
        </w:rPr>
        <w:t xml:space="preserve">25 </w:t>
      </w:r>
      <w:r>
        <w:t xml:space="preserve">These things have I spoken to you, being yet present with you.</w:t>
      </w:r>
    </w:p>
    <w:p>
      <w:r>
        <w:rPr>
          <w:b/>
        </w:rPr>
        <w:t xml:space="preserve">26 </w:t>
      </w:r>
      <w:r>
        <w:t xml:space="preserve">But the Comforter</w:t>
      </w:r>
      <w:r>
        <w:rPr>
          <w:rStyle w:val="FootnoteReference"/>
        </w:rPr>
        <w:footnoteReference w:id="16289"/>
      </w:r>
      <w:r>
        <w:t xml:space="preserve">, which is the Holy Spirit, whom the Father will send in my name, he shall teach you all things, and bring all things to your remembrance, whatever I have said to you.</w:t>
      </w:r>
    </w:p>
    <w:p>
      <w:r>
        <w:rPr>
          <w:b/>
        </w:rPr>
        <w:t xml:space="preserve">27 </w:t>
      </w:r>
      <w:r>
        <w:t xml:space="preserve">Peace I leave</w:t>
      </w:r>
      <w:r>
        <w:rPr>
          <w:rStyle w:val="FootnoteReference"/>
        </w:rPr>
        <w:footnoteReference w:id="16290"/>
      </w:r>
      <w:r>
        <w:t xml:space="preserve"> with you, my peace I give to you: not as the world gives, do I give to you. Let not your heart be troubled, neither let it be afraid.</w:t>
      </w:r>
    </w:p>
    <w:p>
      <w:r>
        <w:rPr>
          <w:b/>
        </w:rPr>
        <w:t xml:space="preserve">28 </w:t>
      </w:r>
      <w:r>
        <w:t xml:space="preserve">You have heard</w:t>
      </w:r>
      <w:r>
        <w:rPr>
          <w:rStyle w:val="FootnoteReference"/>
        </w:rPr>
        <w:footnoteReference w:id="16291"/>
      </w:r>
      <w:r>
        <w:t xml:space="preserve"> how I said to you, I go away, and come again to you. If you loved me, you would rejoice, because I said, I go to the Father: for my Father is greater than I.</w:t>
      </w:r>
    </w:p>
    <w:p>
      <w:r>
        <w:rPr>
          <w:b/>
        </w:rPr>
        <w:t xml:space="preserve">29 </w:t>
      </w:r>
      <w:r>
        <w:t xml:space="preserve">And now I have told you before it happens, that, when it has happened, you might believe.</w:t>
      </w:r>
    </w:p>
    <w:p>
      <w:r>
        <w:rPr>
          <w:b/>
        </w:rPr>
        <w:t xml:space="preserve">30 </w:t>
      </w:r>
      <w:r>
        <w:t xml:space="preserve">No longer will I talk much with you: for the prince of this world comes, and has nothing in me.</w:t>
      </w:r>
    </w:p>
    <w:p>
      <w:r>
        <w:rPr>
          <w:b/>
        </w:rPr>
        <w:t xml:space="preserve">31 </w:t>
      </w:r>
      <w:r>
        <w:t xml:space="preserve">But that the world may know that I love the Father; and as the Father gave me commandment, even so I do. Arise</w:t>
      </w:r>
      <w:r>
        <w:rPr>
          <w:rStyle w:val="FootnoteReference"/>
        </w:rPr>
        <w:footnoteReference w:id="16292"/>
      </w:r>
      <w:r>
        <w:t xml:space="preserve">, let us go from here.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I am the true</w:t>
      </w:r>
      <w:r>
        <w:rPr>
          <w:rStyle w:val="FootnoteReference"/>
        </w:rPr>
        <w:footnoteReference w:id="16293"/>
      </w:r>
      <w:r>
        <w:t xml:space="preserve"> vine, and my Father is the vinedresser.</w:t>
      </w:r>
    </w:p>
    <w:p>
      <w:r>
        <w:rPr>
          <w:b/>
        </w:rPr>
        <w:t xml:space="preserve">2 </w:t>
      </w:r>
      <w:r>
        <w:t xml:space="preserve">Every branch</w:t>
      </w:r>
      <w:r>
        <w:rPr>
          <w:rStyle w:val="FootnoteReference"/>
        </w:rPr>
        <w:footnoteReference w:id="16294"/>
      </w:r>
      <w:r>
        <w:t xml:space="preserve"> in me that does not bear fruit he takes away: and every branch that bears fruit, he prunes it, that it may bear more fruit.</w:t>
      </w:r>
    </w:p>
    <w:p>
      <w:r>
        <w:rPr>
          <w:b/>
        </w:rPr>
        <w:t xml:space="preserve">3 </w:t>
      </w:r>
      <w:r>
        <w:t xml:space="preserve">Now you are clean through the word which I have spoken to you.</w:t>
      </w:r>
    </w:p>
    <w:p>
      <w:r>
        <w:rPr>
          <w:b/>
        </w:rPr>
        <w:t xml:space="preserve">4 </w:t>
      </w:r>
      <w:r>
        <w:t xml:space="preserve">Abide</w:t>
      </w:r>
      <w:r>
        <w:rPr>
          <w:rStyle w:val="FootnoteReference"/>
        </w:rPr>
        <w:footnoteReference w:id="16295"/>
      </w:r>
      <w:r>
        <w:t xml:space="preserve"> in me, and I in you. As the branch cannot bear fruit of itself, except it abide in the vine; no more can you, except you abide in me.</w:t>
      </w:r>
    </w:p>
    <w:p>
      <w:r>
        <w:rPr>
          <w:b/>
        </w:rPr>
        <w:t xml:space="preserve">5 </w:t>
      </w:r>
      <w:r>
        <w:t xml:space="preserve">I am the vine</w:t>
      </w:r>
      <w:r>
        <w:rPr>
          <w:rStyle w:val="FootnoteReference"/>
        </w:rPr>
        <w:footnoteReference w:id="16296"/>
      </w:r>
      <w:r>
        <w:t xml:space="preserve">, you are the branches: the one who abides in me, and I in him, the same produces much fruit: for without me you can do nothing.</w:t>
      </w:r>
    </w:p>
    <w:p>
      <w:r>
        <w:rPr>
          <w:b/>
        </w:rPr>
        <w:t xml:space="preserve">6 </w:t>
      </w:r>
      <w:r>
        <w:t xml:space="preserve">If anyone does not abide in me, he is cast forth as a branch, and is withered; and they gather them, and cast them into the fire, and they are burned.</w:t>
      </w:r>
    </w:p>
    <w:p>
      <w:r>
        <w:rPr>
          <w:b/>
        </w:rPr>
        <w:t xml:space="preserve">7 </w:t>
      </w:r>
      <w:r>
        <w:t xml:space="preserve">If you abide in me, and my words abide in you, you shall ask what you will, and it shall be done to you.</w:t>
      </w:r>
    </w:p>
    <w:p>
      <w:r>
        <w:rPr>
          <w:b/>
        </w:rPr>
        <w:t xml:space="preserve">8 </w:t>
      </w:r>
      <w:r>
        <w:t xml:space="preserve">In this is my Father glorified, that you bear much fruit; so shall you be my disciples.</w:t>
      </w:r>
    </w:p>
    <w:p>
      <w:r>
        <w:rPr>
          <w:b/>
        </w:rPr>
        <w:t xml:space="preserve">9 </w:t>
      </w:r>
      <w:r>
        <w:t xml:space="preserve">As the Father</w:t>
      </w:r>
      <w:r>
        <w:rPr>
          <w:rStyle w:val="FootnoteReference"/>
        </w:rPr>
        <w:footnoteReference w:id="16297"/>
      </w:r>
      <w:r>
        <w:t xml:space="preserve"> has loved me, so have I loved you: abide in my love.</w:t>
      </w:r>
    </w:p>
    <w:p>
      <w:r>
        <w:rPr>
          <w:b/>
        </w:rPr>
        <w:t xml:space="preserve">10 </w:t>
      </w:r>
      <w:r>
        <w:t xml:space="preserve">If you keep my commandments, you shall abide in my love; even as I have kept my Father's commandments, and abide in his love.</w:t>
      </w:r>
    </w:p>
    <w:p>
      <w:r>
        <w:rPr>
          <w:b/>
        </w:rPr>
        <w:t xml:space="preserve">11 </w:t>
      </w:r>
      <w:r>
        <w:t xml:space="preserve">These things have I spoken to you, that my joy might remain in you, and that your joy might be full.</w:t>
      </w:r>
    </w:p>
    <w:p>
      <w:r>
        <w:rPr>
          <w:b/>
        </w:rPr>
        <w:t xml:space="preserve">12 </w:t>
      </w:r>
      <w:r>
        <w:t xml:space="preserve">This is my commandment, That you love one another, as I have loved you.</w:t>
      </w:r>
    </w:p>
    <w:p>
      <w:r>
        <w:rPr>
          <w:b/>
        </w:rPr>
        <w:t xml:space="preserve">13 </w:t>
      </w:r>
      <w:r>
        <w:t xml:space="preserve">Greater love has no one than this, that a man lay down his life for his friends.</w:t>
      </w:r>
    </w:p>
    <w:p>
      <w:r>
        <w:rPr>
          <w:b/>
        </w:rPr>
        <w:t xml:space="preserve">14 </w:t>
      </w:r>
      <w:r>
        <w:t xml:space="preserve">You are my friends, if you do whatever I command you.</w:t>
      </w:r>
    </w:p>
    <w:p>
      <w:r>
        <w:rPr>
          <w:b/>
        </w:rPr>
        <w:t xml:space="preserve">15 </w:t>
      </w:r>
      <w:r>
        <w:t xml:space="preserve">From now on I call</w:t>
      </w:r>
      <w:r>
        <w:rPr>
          <w:rStyle w:val="FootnoteReference"/>
        </w:rPr>
        <w:footnoteReference w:id="16298"/>
      </w:r>
      <w:r>
        <w:t xml:space="preserve"> you not slaves; for the slave does not know what his Lord does: but I have called you friends; for all things that I have heard of my Father I have made known to you.</w:t>
      </w:r>
    </w:p>
    <w:p>
      <w:r>
        <w:rPr>
          <w:b/>
        </w:rPr>
        <w:t xml:space="preserve">16 </w:t>
      </w:r>
      <w:r>
        <w:t xml:space="preserve">You have not</w:t>
      </w:r>
      <w:r>
        <w:rPr>
          <w:rStyle w:val="FootnoteReference"/>
        </w:rPr>
        <w:footnoteReference w:id="16299"/>
      </w:r>
      <w:r>
        <w:t xml:space="preserve"> chosen me, but I have chosen you, and appointed you, that you should go and bear fruit, and that your fruit should remain: that whatever you shall ask of the Father in my name, he may give it you.</w:t>
      </w:r>
    </w:p>
    <w:p>
      <w:r>
        <w:rPr>
          <w:b/>
        </w:rPr>
        <w:t xml:space="preserve">17 </w:t>
      </w:r>
      <w:r>
        <w:t xml:space="preserve">These things I command you, that you love one another.</w:t>
      </w:r>
    </w:p>
    <w:p>
      <w:r>
        <w:rPr>
          <w:b/>
        </w:rPr>
        <w:t xml:space="preserve">18 </w:t>
      </w:r>
      <w:r>
        <w:t xml:space="preserve">If the world hate you, you know that it hated me before it hated you.</w:t>
      </w:r>
    </w:p>
    <w:p>
      <w:r>
        <w:rPr>
          <w:b/>
        </w:rPr>
        <w:t xml:space="preserve">19 </w:t>
      </w:r>
      <w:r>
        <w:t xml:space="preserve">If you were of the world</w:t>
      </w:r>
      <w:r>
        <w:rPr>
          <w:rStyle w:val="FootnoteReference"/>
        </w:rPr>
        <w:footnoteReference w:id="16300"/>
      </w:r>
      <w:r>
        <w:t xml:space="preserve">, the world would love its own: but because you are not of the world, but I have chosen you out of the world, therefore the world hates you.</w:t>
      </w:r>
    </w:p>
    <w:p>
      <w:r>
        <w:rPr>
          <w:b/>
        </w:rPr>
        <w:t xml:space="preserve">20 </w:t>
      </w:r>
      <w:r>
        <w:t xml:space="preserve">Remember the word</w:t>
      </w:r>
      <w:r>
        <w:rPr>
          <w:rStyle w:val="FootnoteReference"/>
        </w:rPr>
        <w:footnoteReference w:id="16301"/>
      </w:r>
      <w:r>
        <w:t xml:space="preserve"> that I said to you, The slave is not greater than his Lord. If they have persecuted me, they will also persecute you; if they have kept my saying, they will keep yours also.</w:t>
      </w:r>
    </w:p>
    <w:p>
      <w:r>
        <w:rPr>
          <w:b/>
        </w:rPr>
        <w:t xml:space="preserve">21 </w:t>
      </w:r>
      <w:r>
        <w:t xml:space="preserve">But all these things will they do to you for my name's sake, because they do not know him who sent me.</w:t>
      </w:r>
    </w:p>
    <w:p>
      <w:r>
        <w:rPr>
          <w:b/>
        </w:rPr>
        <w:t xml:space="preserve">22 </w:t>
      </w:r>
      <w:r>
        <w:t xml:space="preserve">If I had not come and spoken to them, they had not had sin: but now they have no cloak</w:t>
      </w:r>
      <w:r>
        <w:rPr>
          <w:rStyle w:val="FootnoteReference"/>
        </w:rPr>
        <w:footnoteReference w:id="16302"/>
      </w:r>
      <w:r>
        <w:t xml:space="preserve"> for their sin.</w:t>
      </w:r>
    </w:p>
    <w:p>
      <w:r>
        <w:rPr>
          <w:b/>
        </w:rPr>
        <w:t xml:space="preserve">23 </w:t>
      </w:r>
      <w:r>
        <w:t xml:space="preserve">The one who hates me hates my Father also.</w:t>
      </w:r>
    </w:p>
    <w:p>
      <w:r>
        <w:rPr>
          <w:b/>
        </w:rPr>
        <w:t xml:space="preserve">24 </w:t>
      </w:r>
      <w:r>
        <w:t xml:space="preserve">If I had not done among them the works which no other man did, they had not had sin: but now they have both seen and hated</w:t>
      </w:r>
      <w:r>
        <w:rPr>
          <w:rStyle w:val="FootnoteReference"/>
        </w:rPr>
        <w:footnoteReference w:id="16303"/>
      </w:r>
      <w:r>
        <w:t xml:space="preserve"> both me and my Father.</w:t>
      </w:r>
    </w:p>
    <w:p>
      <w:r>
        <w:rPr>
          <w:b/>
        </w:rPr>
        <w:t xml:space="preserve">25 </w:t>
      </w:r>
      <w:r>
        <w:t xml:space="preserve">But this comes to pass, that the word might be fulfilled that is written in their law, They hated me without a cause.</w:t>
      </w:r>
    </w:p>
    <w:p>
      <w:r>
        <w:rPr>
          <w:b/>
        </w:rPr>
        <w:t xml:space="preserve">26 </w:t>
      </w:r>
      <w:r>
        <w:t xml:space="preserve">But when the Comforter has come, whom I will send to you from the Father, even the Spirit of truth, which proceeds from the Father, he shall testify of me:</w:t>
      </w:r>
    </w:p>
    <w:p>
      <w:r>
        <w:rPr>
          <w:b/>
        </w:rPr>
        <w:t xml:space="preserve">27 </w:t>
      </w:r>
      <w:r>
        <w:t xml:space="preserve">And you also shall bear witness, because you have been with me from the beginning.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These things have I spoken to you, that you should not be stumbled.</w:t>
      </w:r>
    </w:p>
    <w:p>
      <w:r>
        <w:rPr>
          <w:b/>
        </w:rPr>
        <w:t xml:space="preserve">2 </w:t>
      </w:r>
      <w:r>
        <w:t xml:space="preserve">They shall put you out of the synagogues: yes, the time</w:t>
      </w:r>
      <w:r>
        <w:rPr>
          <w:rStyle w:val="FootnoteReference"/>
        </w:rPr>
        <w:footnoteReference w:id="16304"/>
      </w:r>
      <w:r>
        <w:t xml:space="preserve"> comes, that whoever kills you will think that he offers service to God.</w:t>
      </w:r>
    </w:p>
    <w:p>
      <w:r>
        <w:rPr>
          <w:b/>
        </w:rPr>
        <w:t xml:space="preserve">3 </w:t>
      </w:r>
      <w:r>
        <w:t xml:space="preserve">And these things will they do to you, because they have not known the Father, nor me.</w:t>
      </w:r>
    </w:p>
    <w:p>
      <w:r>
        <w:rPr>
          <w:b/>
        </w:rPr>
        <w:t xml:space="preserve">4 </w:t>
      </w:r>
      <w:r>
        <w:t xml:space="preserve">But these things have I told you, that when</w:t>
      </w:r>
      <w:r>
        <w:rPr>
          <w:rStyle w:val="FootnoteReference"/>
        </w:rPr>
        <w:footnoteReference w:id="16305"/>
      </w:r>
      <w:r>
        <w:t xml:space="preserve"> the time shall come, you may remember that I told you of them. And these things I said not to you at the beginning, because I was with you.</w:t>
      </w:r>
    </w:p>
    <w:p>
      <w:r>
        <w:rPr>
          <w:b/>
        </w:rPr>
        <w:t xml:space="preserve">5 </w:t>
      </w:r>
      <w:r>
        <w:t xml:space="preserve">But now I go my way to him who sent me; and none of you asks me, Where are you going?</w:t>
      </w:r>
    </w:p>
    <w:p>
      <w:r>
        <w:rPr>
          <w:b/>
        </w:rPr>
        <w:t xml:space="preserve">6 </w:t>
      </w:r>
      <w:r>
        <w:t xml:space="preserve">But because I have said these things to you, sorrow has filled your heart.</w:t>
      </w:r>
    </w:p>
    <w:p>
      <w:r>
        <w:rPr>
          <w:b/>
        </w:rPr>
        <w:t xml:space="preserve">7 </w:t>
      </w:r>
      <w:r>
        <w:t xml:space="preserve">Nevertheless I tell</w:t>
      </w:r>
      <w:r>
        <w:rPr>
          <w:rStyle w:val="FootnoteReference"/>
        </w:rPr>
        <w:footnoteReference w:id="16306"/>
      </w:r>
      <w:r>
        <w:t xml:space="preserve"> you the truth; It is expedient for you that I go away: for if I do not go away, the Comforter will not come to you; but if I depart, I will send him to you.</w:t>
      </w:r>
    </w:p>
    <w:p>
      <w:r>
        <w:rPr>
          <w:b/>
        </w:rPr>
        <w:t xml:space="preserve">8 </w:t>
      </w:r>
      <w:r>
        <w:t xml:space="preserve">And when he has come, he will reprove</w:t>
      </w:r>
      <w:r>
        <w:rPr>
          <w:rStyle w:val="FootnoteReference"/>
        </w:rPr>
        <w:footnoteReference w:id="16307"/>
      </w:r>
      <w:r>
        <w:t xml:space="preserve"> the world of sin, and of righteousness, and of judgment:</w:t>
      </w:r>
    </w:p>
    <w:p>
      <w:r>
        <w:rPr>
          <w:b/>
        </w:rPr>
        <w:t xml:space="preserve">9 </w:t>
      </w:r>
      <w:r>
        <w:t xml:space="preserve">Of sin, because they do not believe on me;</w:t>
      </w:r>
    </w:p>
    <w:p>
      <w:r>
        <w:rPr>
          <w:b/>
        </w:rPr>
        <w:t xml:space="preserve">10 </w:t>
      </w:r>
      <w:r>
        <w:t xml:space="preserve">Of righteousness</w:t>
      </w:r>
      <w:r>
        <w:rPr>
          <w:rStyle w:val="FootnoteReference"/>
        </w:rPr>
        <w:footnoteReference w:id="16308"/>
      </w:r>
      <w:r>
        <w:t xml:space="preserve">, because I go to my Father, and you see me no more;</w:t>
      </w:r>
    </w:p>
    <w:p>
      <w:r>
        <w:rPr>
          <w:b/>
        </w:rPr>
        <w:t xml:space="preserve">11 </w:t>
      </w:r>
      <w:r>
        <w:t xml:space="preserve">Of judgment</w:t>
      </w:r>
      <w:r>
        <w:rPr>
          <w:rStyle w:val="FootnoteReference"/>
        </w:rPr>
        <w:footnoteReference w:id="16309"/>
      </w:r>
      <w:r>
        <w:t xml:space="preserve">, because the prince of this world is judged.</w:t>
      </w:r>
    </w:p>
    <w:p>
      <w:r>
        <w:rPr>
          <w:b/>
        </w:rPr>
        <w:t xml:space="preserve">12 </w:t>
      </w:r>
      <w:r>
        <w:t xml:space="preserve">I have yet many things to say to you, but you cannot bear them now.</w:t>
      </w:r>
    </w:p>
    <w:p>
      <w:r>
        <w:rPr>
          <w:b/>
        </w:rPr>
        <w:t xml:space="preserve">13 </w:t>
      </w:r>
      <w:r>
        <w:t xml:space="preserve">Nevertheless when he, the Spirit</w:t>
      </w:r>
      <w:r>
        <w:rPr>
          <w:rStyle w:val="FootnoteReference"/>
        </w:rPr>
        <w:footnoteReference w:id="16310"/>
      </w:r>
      <w:r>
        <w:t xml:space="preserve"> of truth, has come, he will guide you into all truth: for he shall not speak of himself; but whatever he shall hear, that shall he speak: and he will show you things to come.</w:t>
      </w:r>
    </w:p>
    <w:p>
      <w:r>
        <w:rPr>
          <w:b/>
        </w:rPr>
        <w:t xml:space="preserve">14 </w:t>
      </w:r>
      <w:r>
        <w:t xml:space="preserve">He shall glorify</w:t>
      </w:r>
      <w:r>
        <w:rPr>
          <w:rStyle w:val="FootnoteReference"/>
        </w:rPr>
        <w:footnoteReference w:id="16311"/>
      </w:r>
      <w:r>
        <w:t xml:space="preserve"> me: for he shall receive of mine, and shall show it to you.</w:t>
      </w:r>
    </w:p>
    <w:p>
      <w:r>
        <w:rPr>
          <w:b/>
        </w:rPr>
        <w:t xml:space="preserve">15 </w:t>
      </w:r>
      <w:r>
        <w:t xml:space="preserve">All things that the Father has are mine: therefore I said, that he shall take of mine, and shall show it to you.</w:t>
      </w:r>
    </w:p>
    <w:p>
      <w:r>
        <w:rPr>
          <w:b/>
        </w:rPr>
        <w:t xml:space="preserve">16 </w:t>
      </w:r>
      <w:r>
        <w:t xml:space="preserve">A little while</w:t>
      </w:r>
      <w:r>
        <w:rPr>
          <w:rStyle w:val="FootnoteReference"/>
        </w:rPr>
        <w:footnoteReference w:id="16312"/>
      </w:r>
      <w:r>
        <w:t xml:space="preserve">, and you shall not see me: and again, a little while, and you shall see me, because I go to the Father.</w:t>
      </w:r>
    </w:p>
    <w:p>
      <w:r>
        <w:rPr>
          <w:b/>
        </w:rPr>
        <w:t xml:space="preserve">17 </w:t>
      </w:r>
      <w:r>
        <w:t xml:space="preserve">Then some of his disciples said</w:t>
      </w:r>
      <w:r>
        <w:rPr>
          <w:rStyle w:val="FootnoteReference"/>
        </w:rPr>
        <w:footnoteReference w:id="16313"/>
      </w:r>
      <w:r>
        <w:t xml:space="preserve"> among themselves, What is this that he says to us, A little while, and you shall not see me: and again, a little while, and you shall see me: and, Because I go to the Father?</w:t>
      </w:r>
    </w:p>
    <w:p>
      <w:r>
        <w:rPr>
          <w:b/>
        </w:rPr>
        <w:t xml:space="preserve">18 </w:t>
      </w:r>
      <w:r>
        <w:t xml:space="preserve">They said therefore, What is this that he says, A little while? we cannot tell what he says.</w:t>
      </w:r>
    </w:p>
    <w:p>
      <w:r>
        <w:rPr>
          <w:b/>
        </w:rPr>
        <w:t xml:space="preserve">19 </w:t>
      </w:r>
      <w:r>
        <w:t xml:space="preserve">Now Jesus</w:t>
      </w:r>
      <w:r>
        <w:rPr>
          <w:rStyle w:val="FootnoteReference"/>
        </w:rPr>
        <w:footnoteReference w:id="16314"/>
      </w:r>
      <w:r>
        <w:t xml:space="preserve"> knew that they desired to ask him, and said to them, Do you inquire among yourselves concerning what I said, A little while, and you shall not see me: and again, a little while, and you shall see me?</w:t>
      </w:r>
    </w:p>
    <w:p>
      <w:r>
        <w:rPr>
          <w:b/>
        </w:rPr>
        <w:t xml:space="preserve">20 </w:t>
      </w:r>
      <w:r>
        <w:t xml:space="preserve">Amen, amen, I say to you, That you shall weep and lament, but the</w:t>
      </w:r>
      <w:r>
        <w:rPr>
          <w:rStyle w:val="FootnoteReference"/>
        </w:rPr>
        <w:footnoteReference w:id="16315"/>
      </w:r>
      <w:r>
        <w:t xml:space="preserve"> world shall rejoice: and you shall be sorrowful, but your sorrow shall be turned into joy.</w:t>
      </w:r>
    </w:p>
    <w:p>
      <w:r>
        <w:rPr>
          <w:b/>
        </w:rPr>
        <w:t xml:space="preserve">21 </w:t>
      </w:r>
      <w:r>
        <w:t xml:space="preserve">A woman</w:t>
      </w:r>
      <w:r>
        <w:rPr>
          <w:rStyle w:val="FootnoteReference"/>
        </w:rPr>
        <w:footnoteReference w:id="16316"/>
      </w:r>
      <w:r>
        <w:t xml:space="preserve"> when she is in travail has sorrow, because her hour has come: but as soon as she is delivered of the child, she remembers no more the anguish, for joy that a man is born into the world.</w:t>
      </w:r>
    </w:p>
    <w:p>
      <w:r>
        <w:rPr>
          <w:b/>
        </w:rPr>
        <w:t xml:space="preserve">22 </w:t>
      </w:r>
      <w:r>
        <w:t xml:space="preserve">And you now therefore have sorrow: but I will see you again, and your</w:t>
      </w:r>
      <w:r>
        <w:rPr>
          <w:rStyle w:val="FootnoteReference"/>
        </w:rPr>
        <w:footnoteReference w:id="16317"/>
      </w:r>
      <w:r>
        <w:t xml:space="preserve"> heart shall rejoice, and your joy no one takes from you.</w:t>
      </w:r>
    </w:p>
    <w:p>
      <w:r>
        <w:rPr>
          <w:b/>
        </w:rPr>
        <w:t xml:space="preserve">23 </w:t>
      </w:r>
      <w:r>
        <w:t xml:space="preserve">And in that day you shall ask me nothing. Amen, amen, I say to you, Whatever you shall ask the Father in my name, he will give it you.</w:t>
      </w:r>
    </w:p>
    <w:p>
      <w:r>
        <w:rPr>
          <w:b/>
        </w:rPr>
        <w:t xml:space="preserve">24 </w:t>
      </w:r>
      <w:r>
        <w:t xml:space="preserve">Until now you have asked nothing in my name: ask, and you shall receive, that your joy may be full.</w:t>
      </w:r>
    </w:p>
    <w:p>
      <w:r>
        <w:rPr>
          <w:b/>
        </w:rPr>
        <w:t xml:space="preserve">25 </w:t>
      </w:r>
      <w:r>
        <w:t xml:space="preserve">These things have I spoken to you in proverbs</w:t>
      </w:r>
      <w:r>
        <w:rPr>
          <w:rStyle w:val="FootnoteReference"/>
        </w:rPr>
        <w:footnoteReference w:id="16318"/>
      </w:r>
      <w:r>
        <w:t xml:space="preserve">: but the time comes, when I shall no more speak to you in proverbs, but I shall show you plainly of the Father.</w:t>
      </w:r>
    </w:p>
    <w:p>
      <w:r>
        <w:rPr>
          <w:b/>
        </w:rPr>
        <w:t xml:space="preserve">26 </w:t>
      </w:r>
      <w:r>
        <w:t xml:space="preserve">At that day you shall ask in my name: and I do not say to you, that I will pray the Father for you:</w:t>
      </w:r>
    </w:p>
    <w:p>
      <w:r>
        <w:rPr>
          <w:b/>
        </w:rPr>
        <w:t xml:space="preserve">27 </w:t>
      </w:r>
      <w:r>
        <w:t xml:space="preserve">For the Father</w:t>
      </w:r>
      <w:r>
        <w:rPr>
          <w:rStyle w:val="FootnoteReference"/>
        </w:rPr>
        <w:footnoteReference w:id="16319"/>
      </w:r>
      <w:r>
        <w:t xml:space="preserve"> himself loves you, because you have loved me, and have believed that I came out from God.</w:t>
      </w:r>
    </w:p>
    <w:p>
      <w:r>
        <w:rPr>
          <w:b/>
        </w:rPr>
        <w:t xml:space="preserve">28 </w:t>
      </w:r>
      <w:r>
        <w:t xml:space="preserve">I came forth from the Father, and am come into the world: again, I leave</w:t>
      </w:r>
      <w:r>
        <w:rPr>
          <w:rStyle w:val="FootnoteReference"/>
        </w:rPr>
        <w:footnoteReference w:id="16320"/>
      </w:r>
      <w:r>
        <w:t xml:space="preserve"> the world, and go to the Father.</w:t>
      </w:r>
    </w:p>
    <w:p>
      <w:r>
        <w:rPr>
          <w:b/>
        </w:rPr>
        <w:t xml:space="preserve">29 </w:t>
      </w:r>
      <w:r>
        <w:t xml:space="preserve">His disciples said to him, Look, now you speak plainly, and speak no proverb</w:t>
      </w:r>
      <w:r>
        <w:rPr>
          <w:rStyle w:val="FootnoteReference"/>
        </w:rPr>
        <w:footnoteReference w:id="16321"/>
      </w:r>
      <w:r>
        <w:t xml:space="preserve">.</w:t>
      </w:r>
    </w:p>
    <w:p>
      <w:r>
        <w:rPr>
          <w:b/>
        </w:rPr>
        <w:t xml:space="preserve">30 </w:t>
      </w:r>
      <w:r>
        <w:t xml:space="preserve">Now we know that you know all things, and do not need that anyone should ask you: by this we believe that you came forth from God.</w:t>
      </w:r>
    </w:p>
    <w:p>
      <w:r>
        <w:rPr>
          <w:b/>
        </w:rPr>
        <w:t xml:space="preserve">31 </w:t>
      </w:r>
      <w:r>
        <w:t xml:space="preserve">Jesus answered them, Do you now believe?</w:t>
      </w:r>
    </w:p>
    <w:p>
      <w:r>
        <w:rPr>
          <w:b/>
        </w:rPr>
        <w:t xml:space="preserve">32 </w:t>
      </w:r>
      <w:r>
        <w:t xml:space="preserve">Look, the hour</w:t>
      </w:r>
      <w:r>
        <w:rPr>
          <w:rStyle w:val="FootnoteReference"/>
        </w:rPr>
        <w:footnoteReference w:id="16322"/>
      </w:r>
      <w:r>
        <w:t xml:space="preserve"> comes, yes, has now come, that you shall be scattered, each to his own, and shall leave me alone: and yet I am not alone, because the Father is with me.</w:t>
      </w:r>
    </w:p>
    <w:p>
      <w:r>
        <w:rPr>
          <w:b/>
        </w:rPr>
        <w:t xml:space="preserve">33 </w:t>
      </w:r>
      <w:r>
        <w:t xml:space="preserve">These things I have spoken to you, that in me</w:t>
      </w:r>
      <w:r>
        <w:rPr>
          <w:rStyle w:val="FootnoteReference"/>
        </w:rPr>
        <w:footnoteReference w:id="16323"/>
      </w:r>
      <w:r>
        <w:t xml:space="preserve"> you might have peace. In the world you shall have tribulation: but take courage; I have overcome the world.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Jesus spoke these words, and lifted</w:t>
      </w:r>
      <w:r>
        <w:rPr>
          <w:rStyle w:val="FootnoteReference"/>
        </w:rPr>
        <w:footnoteReference w:id="16324"/>
      </w:r>
      <w:r>
        <w:t xml:space="preserve"> up his eyes to heaven, and said, Father, the hour has come; glorify your Son, that your Son also may glorify you:</w:t>
      </w:r>
    </w:p>
    <w:p>
      <w:r>
        <w:rPr>
          <w:b/>
        </w:rPr>
        <w:t xml:space="preserve">2 </w:t>
      </w:r>
      <w:r>
        <w:t xml:space="preserve">As you have given him authority over all flesh, that he should give</w:t>
      </w:r>
      <w:r>
        <w:rPr>
          <w:rStyle w:val="FootnoteReference"/>
        </w:rPr>
        <w:footnoteReference w:id="16325"/>
      </w:r>
      <w:r>
        <w:t xml:space="preserve"> eternal life to as many as you have given him.</w:t>
      </w:r>
    </w:p>
    <w:p>
      <w:r>
        <w:rPr>
          <w:b/>
        </w:rPr>
        <w:t xml:space="preserve">3 </w:t>
      </w:r>
      <w:r>
        <w:t xml:space="preserve">And this is life eternal, that they might know you the only</w:t>
      </w:r>
      <w:r>
        <w:rPr>
          <w:rStyle w:val="FootnoteReference"/>
        </w:rPr>
        <w:footnoteReference w:id="16326"/>
      </w:r>
      <w:r>
        <w:t xml:space="preserve"> true God, and Jesus Christ, whom you have sent.</w:t>
      </w:r>
    </w:p>
    <w:p>
      <w:r>
        <w:rPr>
          <w:b/>
        </w:rPr>
        <w:t xml:space="preserve">4 </w:t>
      </w:r>
      <w:r>
        <w:t xml:space="preserve">I have glorified</w:t>
      </w:r>
      <w:r>
        <w:rPr>
          <w:rStyle w:val="FootnoteReference"/>
        </w:rPr>
        <w:footnoteReference w:id="16327"/>
      </w:r>
      <w:r>
        <w:t xml:space="preserve"> you on the earth: I have finished the work which you gave me to do.</w:t>
      </w:r>
    </w:p>
    <w:p>
      <w:r>
        <w:rPr>
          <w:b/>
        </w:rPr>
        <w:t xml:space="preserve">5 </w:t>
      </w:r>
      <w:r>
        <w:t xml:space="preserve">And now, O Father, glorify</w:t>
      </w:r>
      <w:r>
        <w:rPr>
          <w:rStyle w:val="FootnoteReference"/>
        </w:rPr>
        <w:footnoteReference w:id="16328"/>
      </w:r>
      <w:r>
        <w:t xml:space="preserve"> me with yourself with the glory which I had with you before the world was.</w:t>
      </w:r>
    </w:p>
    <w:p>
      <w:r>
        <w:rPr>
          <w:b/>
        </w:rPr>
        <w:t xml:space="preserve">6 </w:t>
      </w:r>
      <w:r>
        <w:t xml:space="preserve">I have manifested</w:t>
      </w:r>
      <w:r>
        <w:rPr>
          <w:rStyle w:val="FootnoteReference"/>
        </w:rPr>
        <w:footnoteReference w:id="16329"/>
      </w:r>
      <w:r>
        <w:t xml:space="preserve"> your name to the people whom you gave me out of the world: yours they were, and you gave them to me; and they have kept your word.</w:t>
      </w:r>
    </w:p>
    <w:p>
      <w:r>
        <w:rPr>
          <w:b/>
        </w:rPr>
        <w:t xml:space="preserve">7 </w:t>
      </w:r>
      <w:r>
        <w:t xml:space="preserve">Now they have known that all things whatever you have given me are of you.</w:t>
      </w:r>
    </w:p>
    <w:p>
      <w:r>
        <w:rPr>
          <w:b/>
        </w:rPr>
        <w:t xml:space="preserve">8 </w:t>
      </w:r>
      <w:r>
        <w:t xml:space="preserve">For I have given to them the words which you gave me; and they have received</w:t>
      </w:r>
      <w:r>
        <w:rPr>
          <w:rStyle w:val="FootnoteReference"/>
        </w:rPr>
        <w:footnoteReference w:id="16330"/>
      </w:r>
      <w:r>
        <w:t xml:space="preserve"> them, and have known truly that I came out from you, and they have believed that you sent me.</w:t>
      </w:r>
    </w:p>
    <w:p>
      <w:r>
        <w:rPr>
          <w:b/>
        </w:rPr>
        <w:t xml:space="preserve">9 </w:t>
      </w:r>
      <w:r>
        <w:t xml:space="preserve">I pray for</w:t>
      </w:r>
      <w:r>
        <w:rPr>
          <w:rStyle w:val="FootnoteReference"/>
        </w:rPr>
        <w:footnoteReference w:id="16331"/>
      </w:r>
      <w:r>
        <w:t xml:space="preserve"> them: I do not pray for the world, but for those whom you have given me; for they are yours.</w:t>
      </w:r>
    </w:p>
    <w:p>
      <w:r>
        <w:rPr>
          <w:b/>
        </w:rPr>
        <w:t xml:space="preserve">10 </w:t>
      </w:r>
      <w:r>
        <w:t xml:space="preserve">And all mine are yours, and yours are mine; and I am glorified in them.</w:t>
      </w:r>
    </w:p>
    <w:p>
      <w:r>
        <w:rPr>
          <w:b/>
        </w:rPr>
        <w:t xml:space="preserve">11 </w:t>
      </w:r>
      <w:r>
        <w:t xml:space="preserve">And now I am no more in the world, but these are in the world, and I come to you. Holy</w:t>
      </w:r>
      <w:r>
        <w:rPr>
          <w:rStyle w:val="FootnoteReference"/>
        </w:rPr>
        <w:footnoteReference w:id="16332"/>
      </w:r>
      <w:r>
        <w:t xml:space="preserve"> Father, keep them in your name, those whom you have given me, that they may be one, as we are.</w:t>
      </w:r>
    </w:p>
    <w:p>
      <w:r>
        <w:rPr>
          <w:b/>
        </w:rPr>
        <w:t xml:space="preserve">12 </w:t>
      </w:r>
      <w:r>
        <w:t xml:space="preserve">While I was with them in the world, I kept</w:t>
      </w:r>
      <w:r>
        <w:rPr>
          <w:rStyle w:val="FootnoteReference"/>
        </w:rPr>
        <w:footnoteReference w:id="16333"/>
      </w:r>
      <w:r>
        <w:t xml:space="preserve"> them in your name: those that you gave me I have kept, and none of them is lost, but the son of destruction; that the scripture might be fulfilled.</w:t>
      </w:r>
    </w:p>
    <w:p>
      <w:r>
        <w:rPr>
          <w:b/>
        </w:rPr>
        <w:t xml:space="preserve">13 </w:t>
      </w:r>
      <w:r>
        <w:t xml:space="preserve">And now I come to you; and these things I speak in the world, that they might have my joy fulfilled in themselves.</w:t>
      </w:r>
    </w:p>
    <w:p>
      <w:r>
        <w:rPr>
          <w:b/>
        </w:rPr>
        <w:t xml:space="preserve">14 </w:t>
      </w:r>
      <w:r>
        <w:t xml:space="preserve">I have given</w:t>
      </w:r>
      <w:r>
        <w:rPr>
          <w:rStyle w:val="FootnoteReference"/>
        </w:rPr>
        <w:footnoteReference w:id="16334"/>
      </w:r>
      <w:r>
        <w:t xml:space="preserve"> them your word; and the world has hated them, because they are not of the world, even as I am not of the world.</w:t>
      </w:r>
    </w:p>
    <w:p>
      <w:r>
        <w:rPr>
          <w:b/>
        </w:rPr>
        <w:t xml:space="preserve">15 </w:t>
      </w:r>
      <w:r>
        <w:t xml:space="preserve">I pray not that you should take</w:t>
      </w:r>
      <w:r>
        <w:rPr>
          <w:rStyle w:val="FootnoteReference"/>
        </w:rPr>
        <w:footnoteReference w:id="16335"/>
      </w:r>
      <w:r>
        <w:t xml:space="preserve"> them out of the world, but that you should keep them from the evil.</w:t>
      </w:r>
    </w:p>
    <w:p>
      <w:r>
        <w:rPr>
          <w:b/>
        </w:rPr>
        <w:t xml:space="preserve">16 </w:t>
      </w:r>
      <w:r>
        <w:t xml:space="preserve">They are not of the world, even as I am not of the world.</w:t>
      </w:r>
    </w:p>
    <w:p>
      <w:r>
        <w:rPr>
          <w:b/>
        </w:rPr>
        <w:t xml:space="preserve">17 </w:t>
      </w:r>
      <w:r>
        <w:t xml:space="preserve">Sanctify</w:t>
      </w:r>
      <w:r>
        <w:rPr>
          <w:rStyle w:val="FootnoteReference"/>
        </w:rPr>
        <w:footnoteReference w:id="16336"/>
      </w:r>
      <w:r>
        <w:t xml:space="preserve"> them through your truth: your word is truth.</w:t>
      </w:r>
    </w:p>
    <w:p>
      <w:r>
        <w:rPr>
          <w:b/>
        </w:rPr>
        <w:t xml:space="preserve">18 </w:t>
      </w:r>
      <w:r>
        <w:t xml:space="preserve">As you have sent me into the world, even so have I also sent them into the world.</w:t>
      </w:r>
    </w:p>
    <w:p>
      <w:r>
        <w:rPr>
          <w:b/>
        </w:rPr>
        <w:t xml:space="preserve">19 </w:t>
      </w:r>
      <w:r>
        <w:t xml:space="preserve">And for their sakes I sanctify</w:t>
      </w:r>
      <w:r>
        <w:rPr>
          <w:rStyle w:val="FootnoteReference"/>
        </w:rPr>
        <w:footnoteReference w:id="16337"/>
      </w:r>
      <w:r>
        <w:t xml:space="preserve"> myself, that they also might be sanctified through the truth.</w:t>
      </w:r>
    </w:p>
    <w:p>
      <w:r>
        <w:rPr>
          <w:b/>
        </w:rPr>
        <w:t xml:space="preserve">20 </w:t>
      </w:r>
      <w:r>
        <w:t xml:space="preserve">Neither do I pray</w:t>
      </w:r>
      <w:r>
        <w:rPr>
          <w:rStyle w:val="FootnoteReference"/>
        </w:rPr>
        <w:footnoteReference w:id="16338"/>
      </w:r>
      <w:r>
        <w:t xml:space="preserve"> for these alone, but for them also who shall believe on me through their word;</w:t>
      </w:r>
    </w:p>
    <w:p>
      <w:r>
        <w:rPr>
          <w:b/>
        </w:rPr>
        <w:t xml:space="preserve">21 </w:t>
      </w:r>
      <w:r>
        <w:t xml:space="preserve">That they all</w:t>
      </w:r>
      <w:r>
        <w:rPr>
          <w:rStyle w:val="FootnoteReference"/>
        </w:rPr>
        <w:footnoteReference w:id="16339"/>
      </w:r>
      <w:r>
        <w:t xml:space="preserve"> may be one; as you, Father, are in me, and I in you, that they also may be one in us: that the world may believe that you have sent me.</w:t>
      </w:r>
    </w:p>
    <w:p>
      <w:r>
        <w:rPr>
          <w:b/>
        </w:rPr>
        <w:t xml:space="preserve">22 </w:t>
      </w:r>
      <w:r>
        <w:t xml:space="preserve">And the glory</w:t>
      </w:r>
      <w:r>
        <w:rPr>
          <w:rStyle w:val="FootnoteReference"/>
        </w:rPr>
        <w:footnoteReference w:id="16340"/>
      </w:r>
      <w:r>
        <w:t xml:space="preserve"> which you gave me I have given them; that they may be one, even as we are one:</w:t>
      </w:r>
    </w:p>
    <w:p>
      <w:r>
        <w:rPr>
          <w:b/>
        </w:rPr>
        <w:t xml:space="preserve">23 </w:t>
      </w:r>
      <w:r>
        <w:t xml:space="preserve">I in them, and you in me, that they may be made</w:t>
      </w:r>
      <w:r>
        <w:rPr>
          <w:rStyle w:val="FootnoteReference"/>
        </w:rPr>
        <w:footnoteReference w:id="16341"/>
      </w:r>
      <w:r>
        <w:t xml:space="preserve"> perfect in one; and that the world may know that you have sent me, and have loved them, as you have loved me.</w:t>
      </w:r>
    </w:p>
    <w:p>
      <w:r>
        <w:rPr>
          <w:b/>
        </w:rPr>
        <w:t xml:space="preserve">24 </w:t>
      </w:r>
      <w:r>
        <w:t xml:space="preserve">Father, I will that they also, whom you have given me, be with me where I am; that they may behold my glory, which you have given me: for you loved me before the foundation of the world.</w:t>
      </w:r>
    </w:p>
    <w:p>
      <w:r>
        <w:rPr>
          <w:b/>
        </w:rPr>
        <w:t xml:space="preserve">25 </w:t>
      </w:r>
      <w:r>
        <w:t xml:space="preserve">O righteous</w:t>
      </w:r>
      <w:r>
        <w:rPr>
          <w:rStyle w:val="FootnoteReference"/>
        </w:rPr>
        <w:footnoteReference w:id="16342"/>
      </w:r>
      <w:r>
        <w:t xml:space="preserve"> Father, the world has not known you: but I have known you, and these have known that you have sent me.</w:t>
      </w:r>
    </w:p>
    <w:p>
      <w:r>
        <w:rPr>
          <w:b/>
        </w:rPr>
        <w:t xml:space="preserve">26 </w:t>
      </w:r>
      <w:r>
        <w:t xml:space="preserve">And I have declared to them your name, and will declare it: that the love with which you have loved me may be in them, and I in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When Jesus had spoken</w:t>
      </w:r>
      <w:r>
        <w:rPr>
          <w:rStyle w:val="FootnoteReference"/>
        </w:rPr>
        <w:footnoteReference w:id="16343"/>
      </w:r>
      <w:r>
        <w:t xml:space="preserve"> these words, he went forth with his disciples over the brook Kidron</w:t>
      </w:r>
      <w:r>
        <w:rPr>
          <w:rStyle w:val="FootnoteReference"/>
        </w:rPr>
        <w:footnoteReference w:id="16344"/>
      </w:r>
      <w:r>
        <w:t xml:space="preserve">, where there was a garden, into which he entered, and his disciples.</w:t>
      </w:r>
    </w:p>
    <w:p>
      <w:r>
        <w:rPr>
          <w:b/>
        </w:rPr>
        <w:t xml:space="preserve">2 </w:t>
      </w:r>
      <w:r>
        <w:t xml:space="preserve">And Judas also, who betrayed him, knew the place: for Jesus often gathered there with his disciples.</w:t>
      </w:r>
    </w:p>
    <w:p>
      <w:r>
        <w:rPr>
          <w:b/>
        </w:rPr>
        <w:t xml:space="preserve">3 </w:t>
      </w:r>
      <w:r>
        <w:t xml:space="preserve">Judas</w:t>
      </w:r>
      <w:r>
        <w:rPr>
          <w:rStyle w:val="FootnoteReference"/>
        </w:rPr>
        <w:footnoteReference w:id="16345"/>
      </w:r>
      <w:r>
        <w:t xml:space="preserve"> then, having received a band of men and officers from the chief priests and Pharisees, comes there with lanterns and torches and weapons.</w:t>
      </w:r>
    </w:p>
    <w:p>
      <w:r>
        <w:rPr>
          <w:b/>
        </w:rPr>
        <w:t xml:space="preserve">4 </w:t>
      </w:r>
      <w:r>
        <w:t xml:space="preserve">Jesus therefore, knowing</w:t>
      </w:r>
      <w:r>
        <w:rPr>
          <w:rStyle w:val="FootnoteReference"/>
        </w:rPr>
        <w:footnoteReference w:id="16346"/>
      </w:r>
      <w:r>
        <w:t xml:space="preserve"> all things that should come upon him, went forth, and said to them, Whom do you seek?</w:t>
      </w:r>
    </w:p>
    <w:p>
      <w:r>
        <w:rPr>
          <w:b/>
        </w:rPr>
        <w:t xml:space="preserve">5 </w:t>
      </w:r>
      <w:r>
        <w:t xml:space="preserve">They answered him, Jesus</w:t>
      </w:r>
      <w:r>
        <w:rPr>
          <w:rStyle w:val="FootnoteReference"/>
        </w:rPr>
        <w:footnoteReference w:id="16347"/>
      </w:r>
      <w:r>
        <w:t xml:space="preserve"> of Nazareth. Jesus says to them, I am he. And Judas also, who betrayed him, stood with them.</w:t>
      </w:r>
    </w:p>
    <w:p>
      <w:r>
        <w:rPr>
          <w:b/>
        </w:rPr>
        <w:t xml:space="preserve">6 </w:t>
      </w:r>
      <w:r>
        <w:t xml:space="preserve">As soon then as he had said to them, I am he, they went</w:t>
      </w:r>
      <w:r>
        <w:rPr>
          <w:rStyle w:val="FootnoteReference"/>
        </w:rPr>
        <w:footnoteReference w:id="16348"/>
      </w:r>
      <w:r>
        <w:t xml:space="preserve"> backward, and fell to the ground.</w:t>
      </w:r>
    </w:p>
    <w:p>
      <w:r>
        <w:rPr>
          <w:b/>
        </w:rPr>
        <w:t xml:space="preserve">7 </w:t>
      </w:r>
      <w:r>
        <w:t xml:space="preserve">Then he asked them again, Whom do you seek? And they said, Jesus of Nazareth.</w:t>
      </w:r>
    </w:p>
    <w:p>
      <w:r>
        <w:rPr>
          <w:b/>
        </w:rPr>
        <w:t xml:space="preserve">8 </w:t>
      </w:r>
      <w:r>
        <w:t xml:space="preserve">Jesus answered, I have told you that I am he: if therefore you seek me, let these go their way:</w:t>
      </w:r>
    </w:p>
    <w:p>
      <w:r>
        <w:rPr>
          <w:b/>
        </w:rPr>
        <w:t xml:space="preserve">9 </w:t>
      </w:r>
      <w:r>
        <w:t xml:space="preserve">That the saying might be fulfilled, which he spoke, Of those whom you gave me I have lost none.</w:t>
      </w:r>
    </w:p>
    <w:p>
      <w:r>
        <w:rPr>
          <w:b/>
        </w:rPr>
        <w:t xml:space="preserve">10 </w:t>
      </w:r>
      <w:r>
        <w:t xml:space="preserve">Then Simon Peter having a sword drew it, and stroke the high priest's slave, and cut off his right ear. The slave's name was Malchus</w:t>
      </w:r>
      <w:r>
        <w:rPr>
          <w:rStyle w:val="FootnoteReference"/>
        </w:rPr>
        <w:footnoteReference w:id="16349"/>
      </w:r>
      <w:r>
        <w:t xml:space="preserve">.</w:t>
      </w:r>
    </w:p>
    <w:p>
      <w:r>
        <w:rPr>
          <w:b/>
        </w:rPr>
        <w:t xml:space="preserve">11 </w:t>
      </w:r>
      <w:r>
        <w:t xml:space="preserve">Then Jesus said to Peter, Put up your sword into the sheath: the cup</w:t>
      </w:r>
      <w:r>
        <w:rPr>
          <w:rStyle w:val="FootnoteReference"/>
        </w:rPr>
        <w:footnoteReference w:id="16350"/>
      </w:r>
      <w:r>
        <w:t xml:space="preserve"> which my Father has given me, shall I not drink it?</w:t>
      </w:r>
    </w:p>
    <w:p>
      <w:r>
        <w:rPr>
          <w:b/>
        </w:rPr>
        <w:t xml:space="preserve">12 </w:t>
      </w:r>
      <w:r>
        <w:t xml:space="preserve">Then the band</w:t>
      </w:r>
      <w:r>
        <w:rPr>
          <w:rStyle w:val="FootnoteReference"/>
        </w:rPr>
        <w:footnoteReference w:id="16351"/>
      </w:r>
      <w:r>
        <w:t xml:space="preserve"> and the captain and officers of the Jews took Jesus, and bound him,</w:t>
      </w:r>
    </w:p>
    <w:p>
      <w:r>
        <w:rPr>
          <w:b/>
        </w:rPr>
        <w:t xml:space="preserve">13 </w:t>
      </w:r>
      <w:r>
        <w:t xml:space="preserve">And led him away to Annas</w:t>
      </w:r>
      <w:r>
        <w:rPr>
          <w:rStyle w:val="FootnoteReference"/>
        </w:rPr>
        <w:footnoteReference w:id="16352"/>
      </w:r>
      <w:r>
        <w:t xml:space="preserve"> first; for he was father-in-law to Caiaphas, who was the high priest that same year.</w:t>
      </w:r>
    </w:p>
    <w:p>
      <w:r>
        <w:rPr>
          <w:b/>
        </w:rPr>
        <w:t xml:space="preserve">14 </w:t>
      </w:r>
      <w:r>
        <w:t xml:space="preserve">Now Caiaphas</w:t>
      </w:r>
      <w:r>
        <w:rPr>
          <w:rStyle w:val="FootnoteReference"/>
        </w:rPr>
        <w:footnoteReference w:id="16353"/>
      </w:r>
      <w:r>
        <w:t xml:space="preserve"> was the one who gave counsel to the Jews, that it was expedient that one man should die for the people.</w:t>
      </w:r>
    </w:p>
    <w:p>
      <w:r>
        <w:rPr>
          <w:b/>
        </w:rPr>
        <w:t xml:space="preserve">15 </w:t>
      </w:r>
      <w:r>
        <w:t xml:space="preserve">And Simon</w:t>
      </w:r>
      <w:r>
        <w:rPr>
          <w:rStyle w:val="FootnoteReference"/>
        </w:rPr>
        <w:footnoteReference w:id="16354"/>
      </w:r>
      <w:r>
        <w:t xml:space="preserve"> Peter followed Jesus, and so did another disciple: that disciple was known to the high priest, and went in with Jesus into the courtyard of the high priest.</w:t>
      </w:r>
    </w:p>
    <w:p>
      <w:r>
        <w:rPr>
          <w:b/>
        </w:rPr>
        <w:t xml:space="preserve">16 </w:t>
      </w:r>
      <w:r>
        <w:t xml:space="preserve">But Peter stood at the door outside. Then that other disciple, who was known to the high priest, went out, and spoke to her who kept the door, and brought in Peter.</w:t>
      </w:r>
    </w:p>
    <w:p>
      <w:r>
        <w:rPr>
          <w:b/>
        </w:rPr>
        <w:t xml:space="preserve">17 </w:t>
      </w:r>
      <w:r>
        <w:t xml:space="preserve">Then says the girl that kept the door to Peter, Are not you also one of this man's disciples? He says, I am not</w:t>
      </w:r>
      <w:r>
        <w:rPr>
          <w:rStyle w:val="FootnoteReference"/>
        </w:rPr>
        <w:footnoteReference w:id="16355"/>
      </w:r>
      <w:r>
        <w:t xml:space="preserve">.</w:t>
      </w:r>
    </w:p>
    <w:p>
      <w:r>
        <w:rPr>
          <w:b/>
        </w:rPr>
        <w:t xml:space="preserve">18 </w:t>
      </w:r>
      <w:r>
        <w:t xml:space="preserve">And the slaves and officers stood there, who had made a fire of coals; for it was cold: and they warmed themselves: and Peter</w:t>
      </w:r>
      <w:r>
        <w:rPr>
          <w:rStyle w:val="FootnoteReference"/>
        </w:rPr>
        <w:footnoteReference w:id="16356"/>
      </w:r>
      <w:r>
        <w:t xml:space="preserve"> stood with them, and warmed himself.</w:t>
      </w:r>
    </w:p>
    <w:p>
      <w:r>
        <w:rPr>
          <w:b/>
        </w:rPr>
        <w:t xml:space="preserve">19 </w:t>
      </w:r>
      <w:r>
        <w:t xml:space="preserve">The high priest then asked</w:t>
      </w:r>
      <w:r>
        <w:rPr>
          <w:rStyle w:val="FootnoteReference"/>
        </w:rPr>
        <w:footnoteReference w:id="16357"/>
      </w:r>
      <w:r>
        <w:t xml:space="preserve"> Jesus about his disciples, and about his doctrine.</w:t>
      </w:r>
    </w:p>
    <w:p>
      <w:r>
        <w:rPr>
          <w:b/>
        </w:rPr>
        <w:t xml:space="preserve">20 </w:t>
      </w:r>
      <w:r>
        <w:t xml:space="preserve">Jesus answered him, I spoke openly to the world; I always taught in the synagogue, and in</w:t>
      </w:r>
      <w:r>
        <w:rPr>
          <w:rStyle w:val="FootnoteReference"/>
        </w:rPr>
        <w:footnoteReference w:id="16358"/>
      </w:r>
      <w:r>
        <w:t xml:space="preserve"> the temple, where the Jews always come together; and in secret I said nothing.</w:t>
      </w:r>
    </w:p>
    <w:p>
      <w:r>
        <w:rPr>
          <w:b/>
        </w:rPr>
        <w:t xml:space="preserve">21 </w:t>
      </w:r>
      <w:r>
        <w:t xml:space="preserve">Why do you ask me? ask those who heard me what I have said to them: look, they know what I said.</w:t>
      </w:r>
    </w:p>
    <w:p>
      <w:r>
        <w:rPr>
          <w:b/>
        </w:rPr>
        <w:t xml:space="preserve">22 </w:t>
      </w:r>
      <w:r>
        <w:t xml:space="preserve">And when he had thus spoken, one of the officers who stood by struck</w:t>
      </w:r>
      <w:r>
        <w:rPr>
          <w:rStyle w:val="FootnoteReference"/>
        </w:rPr>
        <w:footnoteReference w:id="16359"/>
      </w:r>
      <w:r>
        <w:t xml:space="preserve"> Jesus with the palm of his hand, saying, Do you answer the high priest so?</w:t>
      </w:r>
    </w:p>
    <w:p>
      <w:r>
        <w:rPr>
          <w:b/>
        </w:rPr>
        <w:t xml:space="preserve">23 </w:t>
      </w:r>
      <w:r>
        <w:t xml:space="preserve">Jesus answered him, If I have spoken evil, bear witness of the evil: but if well, why do you strike me?</w:t>
      </w:r>
    </w:p>
    <w:p>
      <w:r>
        <w:rPr>
          <w:b/>
        </w:rPr>
        <w:t xml:space="preserve">24 </w:t>
      </w:r>
      <w:r>
        <w:t xml:space="preserve">Now Annas</w:t>
      </w:r>
      <w:r>
        <w:rPr>
          <w:rStyle w:val="FootnoteReference"/>
        </w:rPr>
        <w:footnoteReference w:id="16360"/>
      </w:r>
      <w:r>
        <w:t xml:space="preserve"> had sent him bound to Caiaphas the high priest.</w:t>
      </w:r>
    </w:p>
    <w:p>
      <w:r>
        <w:rPr>
          <w:b/>
        </w:rPr>
        <w:t xml:space="preserve">25 </w:t>
      </w:r>
      <w:r>
        <w:t xml:space="preserve">And Simon Peter stood</w:t>
      </w:r>
      <w:r>
        <w:rPr>
          <w:rStyle w:val="FootnoteReference"/>
        </w:rPr>
        <w:footnoteReference w:id="16361"/>
      </w:r>
      <w:r>
        <w:t xml:space="preserve"> and warmed himself. They said therefore to him, Are not you also one of his disciples? He denied it, and said, I am not.</w:t>
      </w:r>
    </w:p>
    <w:p>
      <w:r>
        <w:rPr>
          <w:b/>
        </w:rPr>
        <w:t xml:space="preserve">26 </w:t>
      </w:r>
      <w:r>
        <w:t xml:space="preserve">One of the slaves of the high priest, being his relative whose ear Peter cut off, says, Did not I see you in the garden with him?</w:t>
      </w:r>
    </w:p>
    <w:p>
      <w:r>
        <w:rPr>
          <w:b/>
        </w:rPr>
        <w:t xml:space="preserve">27 </w:t>
      </w:r>
      <w:r>
        <w:t xml:space="preserve">Peter then denied again: and immediately the rooster crowed.</w:t>
      </w:r>
    </w:p>
    <w:p>
      <w:r>
        <w:rPr>
          <w:b/>
        </w:rPr>
        <w:t xml:space="preserve">28 </w:t>
      </w:r>
      <w:r>
        <w:t xml:space="preserve">Then they led Jesus from Caiaphas to the judgment hall: and it was early</w:t>
      </w:r>
      <w:r>
        <w:rPr>
          <w:rStyle w:val="FootnoteReference"/>
        </w:rPr>
        <w:footnoteReference w:id="16362"/>
      </w:r>
      <w:r>
        <w:t xml:space="preserve">; and they themselves did not go into the judgment hall, lest they should be defiled; but that they might eat the Passover.</w:t>
      </w:r>
    </w:p>
    <w:p>
      <w:r>
        <w:rPr>
          <w:b/>
        </w:rPr>
        <w:t xml:space="preserve">29 </w:t>
      </w:r>
      <w:r>
        <w:t xml:space="preserve">Pilate then went out to them, and said, What accusation do you bring against this man?</w:t>
      </w:r>
    </w:p>
    <w:p>
      <w:r>
        <w:rPr>
          <w:b/>
        </w:rPr>
        <w:t xml:space="preserve">30 </w:t>
      </w:r>
      <w:r>
        <w:t xml:space="preserve">They answered and said to him, If he were not an evildoer, we would not have delivered</w:t>
      </w:r>
      <w:r>
        <w:rPr>
          <w:rStyle w:val="FootnoteReference"/>
        </w:rPr>
        <w:footnoteReference w:id="16363"/>
      </w:r>
      <w:r>
        <w:t xml:space="preserve"> him up to you.</w:t>
      </w:r>
    </w:p>
    <w:p>
      <w:r>
        <w:rPr>
          <w:b/>
        </w:rPr>
        <w:t xml:space="preserve">31 </w:t>
      </w:r>
      <w:r>
        <w:t xml:space="preserve">Then said Pilate to them, Take</w:t>
      </w:r>
      <w:r>
        <w:rPr>
          <w:rStyle w:val="FootnoteReference"/>
        </w:rPr>
        <w:footnoteReference w:id="16364"/>
      </w:r>
      <w:r>
        <w:t xml:space="preserve"> him yourselves, and judge him according to your law. The Jews therefore said to him, It is not lawful for us to put anyone to death:</w:t>
      </w:r>
    </w:p>
    <w:p>
      <w:r>
        <w:rPr>
          <w:b/>
        </w:rPr>
        <w:t xml:space="preserve">32 </w:t>
      </w:r>
      <w:r>
        <w:t xml:space="preserve">That the saying</w:t>
      </w:r>
      <w:r>
        <w:rPr>
          <w:rStyle w:val="FootnoteReference"/>
        </w:rPr>
        <w:footnoteReference w:id="16365"/>
      </w:r>
      <w:r>
        <w:t xml:space="preserve"> of Jesus might be fulfilled, which he spoke, signifying what death he should die.</w:t>
      </w:r>
    </w:p>
    <w:p>
      <w:r>
        <w:rPr>
          <w:b/>
        </w:rPr>
        <w:t xml:space="preserve">33 </w:t>
      </w:r>
      <w:r>
        <w:t xml:space="preserve">Then Pilate entered into the judgment hall again, and called Jesus, and said</w:t>
      </w:r>
      <w:r>
        <w:rPr>
          <w:rStyle w:val="FootnoteReference"/>
        </w:rPr>
        <w:footnoteReference w:id="16366"/>
      </w:r>
      <w:r>
        <w:t xml:space="preserve"> to him, Are you the King of the Jews?</w:t>
      </w:r>
    </w:p>
    <w:p>
      <w:r>
        <w:rPr>
          <w:b/>
        </w:rPr>
        <w:t xml:space="preserve">34 </w:t>
      </w:r>
      <w:r>
        <w:t xml:space="preserve">Jesus answered him, Do you say this thing of yourself, or did others tell it to you of me?</w:t>
      </w:r>
    </w:p>
    <w:p>
      <w:r>
        <w:rPr>
          <w:b/>
        </w:rPr>
        <w:t xml:space="preserve">35 </w:t>
      </w:r>
      <w:r>
        <w:t xml:space="preserve">Pilate answered, Am I a Jew? your own nation and the chief priests have delivered you to me: what have you done?</w:t>
      </w:r>
    </w:p>
    <w:p>
      <w:r>
        <w:rPr>
          <w:b/>
        </w:rPr>
        <w:t xml:space="preserve">36 </w:t>
      </w:r>
      <w:r>
        <w:t xml:space="preserve">Jesus</w:t>
      </w:r>
      <w:r>
        <w:rPr>
          <w:rStyle w:val="FootnoteReference"/>
        </w:rPr>
        <w:footnoteReference w:id="16367"/>
      </w:r>
      <w:r>
        <w:t xml:space="preserve"> answered, My kingdom is not of this world: if my kingdom were of this world, then would my servants fight, that I should not be delivered to the Jews: but now my kingdom is not from here.</w:t>
      </w:r>
    </w:p>
    <w:p>
      <w:r>
        <w:rPr>
          <w:b/>
        </w:rPr>
        <w:t xml:space="preserve">37 </w:t>
      </w:r>
      <w:r>
        <w:t xml:space="preserve">Pilate therefore said to him, Are you a king then? Jesus answered, You say that I am a king. To this end I was born, and for this cause I came into the world, that I should</w:t>
      </w:r>
      <w:r>
        <w:rPr>
          <w:rStyle w:val="FootnoteReference"/>
        </w:rPr>
        <w:footnoteReference w:id="16368"/>
      </w:r>
      <w:r>
        <w:t xml:space="preserve"> bear witness to the truth. Everyone that is of the truth hears my voice.</w:t>
      </w:r>
    </w:p>
    <w:p>
      <w:r>
        <w:rPr>
          <w:b/>
        </w:rPr>
        <w:t xml:space="preserve">38 </w:t>
      </w:r>
      <w:r>
        <w:t xml:space="preserve">Pilate says to him, What is truth? And when he had said this, he went out again to the Jews, and says to them, I find</w:t>
      </w:r>
      <w:r>
        <w:rPr>
          <w:rStyle w:val="FootnoteReference"/>
        </w:rPr>
        <w:footnoteReference w:id="16369"/>
      </w:r>
      <w:r>
        <w:t xml:space="preserve"> in him no fault at all.</w:t>
      </w:r>
    </w:p>
    <w:p>
      <w:r>
        <w:rPr>
          <w:b/>
        </w:rPr>
        <w:t xml:space="preserve">39 </w:t>
      </w:r>
      <w:r>
        <w:t xml:space="preserve">But you have a custom, that I should release to you one at the Passover: do you therefore want me to release to you the King of the Jews?</w:t>
      </w:r>
    </w:p>
    <w:p>
      <w:r>
        <w:rPr>
          <w:b/>
        </w:rPr>
        <w:t xml:space="preserve">40 </w:t>
      </w:r>
      <w:r>
        <w:t xml:space="preserve">Then they all cried again, saying, Not this man, but Barabbas. Now Barabbas was a robber.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Then Pilate</w:t>
      </w:r>
      <w:r>
        <w:rPr>
          <w:rStyle w:val="FootnoteReference"/>
        </w:rPr>
        <w:footnoteReference w:id="16370"/>
      </w:r>
      <w:r>
        <w:t xml:space="preserve"> therefore took Jesus, and scourged him.</w:t>
      </w:r>
    </w:p>
    <w:p>
      <w:r>
        <w:rPr>
          <w:b/>
        </w:rPr>
        <w:t xml:space="preserve">2 </w:t>
      </w:r>
      <w:r>
        <w:t xml:space="preserve">And the soldiers</w:t>
      </w:r>
      <w:r>
        <w:rPr>
          <w:rStyle w:val="FootnoteReference"/>
        </w:rPr>
        <w:footnoteReference w:id="16371"/>
      </w:r>
      <w:r>
        <w:t xml:space="preserve"> twisted together a crown of thorns, and put it on his head, and they put on him a purple robe,</w:t>
      </w:r>
    </w:p>
    <w:p>
      <w:r>
        <w:rPr>
          <w:b/>
        </w:rPr>
        <w:t xml:space="preserve">3 </w:t>
      </w:r>
      <w:r>
        <w:t xml:space="preserve">And said, Hail</w:t>
      </w:r>
      <w:r>
        <w:rPr>
          <w:rStyle w:val="FootnoteReference"/>
        </w:rPr>
        <w:footnoteReference w:id="16372"/>
      </w:r>
      <w:r>
        <w:t xml:space="preserve">, King of the Jews! and they struck him with their hands.</w:t>
      </w:r>
    </w:p>
    <w:p>
      <w:r>
        <w:rPr>
          <w:b/>
        </w:rPr>
        <w:t xml:space="preserve">4 </w:t>
      </w:r>
      <w:r>
        <w:t xml:space="preserve">Pilate therefore went forth again, and says to them, Look, I bring him forth to you, that you may know that I find no fault in him.</w:t>
      </w:r>
    </w:p>
    <w:p>
      <w:r>
        <w:rPr>
          <w:b/>
        </w:rPr>
        <w:t xml:space="preserve">5 </w:t>
      </w:r>
      <w:r>
        <w:t xml:space="preserve">Then Jesus came forth, wearing the crown of thorns, and the purple robe. And Pilate says to them, Look, the man!</w:t>
      </w:r>
    </w:p>
    <w:p>
      <w:r>
        <w:rPr>
          <w:b/>
        </w:rPr>
        <w:t xml:space="preserve">6 </w:t>
      </w:r>
      <w:r>
        <w:t xml:space="preserve">When the chief priests</w:t>
      </w:r>
      <w:r>
        <w:rPr>
          <w:rStyle w:val="FootnoteReference"/>
        </w:rPr>
        <w:footnoteReference w:id="16373"/>
      </w:r>
      <w:r>
        <w:t xml:space="preserve"> therefore and officers saw him, they cried out, saying, Crucify him, crucify him. Pilate says to them, Take him yourselves, and crucify him: for I find no fault in him.</w:t>
      </w:r>
    </w:p>
    <w:p>
      <w:r>
        <w:rPr>
          <w:b/>
        </w:rPr>
        <w:t xml:space="preserve">7 </w:t>
      </w:r>
      <w:r>
        <w:t xml:space="preserve">The Jews answered him, We have a law, and by our law he ought to die, because he made himself the Son of God.</w:t>
      </w:r>
    </w:p>
    <w:p>
      <w:r>
        <w:rPr>
          <w:b/>
        </w:rPr>
        <w:t xml:space="preserve">8 </w:t>
      </w:r>
      <w:r>
        <w:t xml:space="preserve">When Pilate therefore heard</w:t>
      </w:r>
      <w:r>
        <w:rPr>
          <w:rStyle w:val="FootnoteReference"/>
        </w:rPr>
        <w:footnoteReference w:id="16374"/>
      </w:r>
      <w:r>
        <w:t xml:space="preserve"> that saying, he was the more afraid;</w:t>
      </w:r>
    </w:p>
    <w:p>
      <w:r>
        <w:rPr>
          <w:b/>
        </w:rPr>
        <w:t xml:space="preserve">9 </w:t>
      </w:r>
      <w:r>
        <w:t xml:space="preserve">And went again into the judgment hall, and says to Jesus, From where are you? But Jesus gave him no answer.</w:t>
      </w:r>
    </w:p>
    <w:p>
      <w:r>
        <w:rPr>
          <w:b/>
        </w:rPr>
        <w:t xml:space="preserve">10 </w:t>
      </w:r>
      <w:r>
        <w:t xml:space="preserve">Then says Pilate to him, Do you not speak to me? do you not know that I have power to crucify you, and have power to release you?</w:t>
      </w:r>
    </w:p>
    <w:p>
      <w:r>
        <w:rPr>
          <w:b/>
        </w:rPr>
        <w:t xml:space="preserve">11 </w:t>
      </w:r>
      <w:r>
        <w:t xml:space="preserve">Jesus answered, You could have no authority at all against me, except it were given you from above: therefore the one who delivered me to you has the greater</w:t>
      </w:r>
      <w:r>
        <w:rPr>
          <w:rStyle w:val="FootnoteReference"/>
        </w:rPr>
        <w:footnoteReference w:id="16375"/>
      </w:r>
      <w:r>
        <w:t xml:space="preserve"> sin.</w:t>
      </w:r>
    </w:p>
    <w:p>
      <w:r>
        <w:rPr>
          <w:b/>
        </w:rPr>
        <w:t xml:space="preserve">12 </w:t>
      </w:r>
      <w:r>
        <w:t xml:space="preserve">And from then on Pilate sought to release him: but the Jews cried out, saying, If you let this man go, you are not Caesar's friend: whoever makes himself a king speaks against Caesar.</w:t>
      </w:r>
    </w:p>
    <w:p>
      <w:r>
        <w:rPr>
          <w:b/>
        </w:rPr>
        <w:t xml:space="preserve">13 </w:t>
      </w:r>
      <w:r>
        <w:t xml:space="preserve">When Pilate therefore heard</w:t>
      </w:r>
      <w:r>
        <w:rPr>
          <w:rStyle w:val="FootnoteReference"/>
        </w:rPr>
        <w:footnoteReference w:id="16376"/>
      </w:r>
      <w:r>
        <w:t xml:space="preserve"> this saying, he brought Jesus forth, and sat down in the judgment seat in a place that is called the Pavement, but in the Hebrew, Gabbatha</w:t>
      </w:r>
      <w:r>
        <w:rPr>
          <w:rStyle w:val="FootnoteReference"/>
        </w:rPr>
        <w:footnoteReference w:id="16377"/>
      </w:r>
      <w:r>
        <w:t xml:space="preserve">.</w:t>
      </w:r>
    </w:p>
    <w:p>
      <w:r>
        <w:rPr>
          <w:b/>
        </w:rPr>
        <w:t xml:space="preserve">14 </w:t>
      </w:r>
      <w:r>
        <w:t xml:space="preserve">And it was the preparation</w:t>
      </w:r>
      <w:r>
        <w:rPr>
          <w:rStyle w:val="FootnoteReference"/>
        </w:rPr>
        <w:footnoteReference w:id="16378"/>
      </w:r>
      <w:r>
        <w:t xml:space="preserve"> of the Passover, and about the sixth hour: and he says to the Jews, Look, your King!</w:t>
      </w:r>
    </w:p>
    <w:p>
      <w:r>
        <w:rPr>
          <w:b/>
        </w:rPr>
        <w:t xml:space="preserve">15 </w:t>
      </w:r>
      <w:r>
        <w:t xml:space="preserve">But they cried out, Away</w:t>
      </w:r>
      <w:r>
        <w:rPr>
          <w:rStyle w:val="FootnoteReference"/>
        </w:rPr>
        <w:footnoteReference w:id="16379"/>
      </w:r>
      <w:r>
        <w:t xml:space="preserve"> with him, away with him, crucify him. Pilate says to them, Shall I crucify your King? The chief priests answered, We have no king but Caesar.</w:t>
      </w:r>
    </w:p>
    <w:p>
      <w:r>
        <w:rPr>
          <w:b/>
        </w:rPr>
        <w:t xml:space="preserve">16 </w:t>
      </w:r>
      <w:r>
        <w:t xml:space="preserve">Then he delivered him therefore to them to be crucified. And they took Jesus, and led him away.</w:t>
      </w:r>
    </w:p>
    <w:p>
      <w:r>
        <w:rPr>
          <w:b/>
        </w:rPr>
        <w:t xml:space="preserve">17 </w:t>
      </w:r>
      <w:r>
        <w:t xml:space="preserve">And he bearing his cross went</w:t>
      </w:r>
      <w:r>
        <w:rPr>
          <w:rStyle w:val="FootnoteReference"/>
        </w:rPr>
        <w:footnoteReference w:id="16380"/>
      </w:r>
      <w:r>
        <w:t xml:space="preserve"> forth into a place called the place of a skull, which is called in the Hebrew Golgotha:</w:t>
      </w:r>
    </w:p>
    <w:p>
      <w:r>
        <w:rPr>
          <w:b/>
        </w:rPr>
        <w:t xml:space="preserve">18 </w:t>
      </w:r>
      <w:r>
        <w:t xml:space="preserve">Where they crucified him, and two others with him, on either side one, and Jesus in the midst.</w:t>
      </w:r>
    </w:p>
    <w:p>
      <w:r>
        <w:rPr>
          <w:b/>
        </w:rPr>
        <w:t xml:space="preserve">19 </w:t>
      </w:r>
      <w:r>
        <w:t xml:space="preserve">And Pilate wrote</w:t>
      </w:r>
      <w:r>
        <w:rPr>
          <w:rStyle w:val="FootnoteReference"/>
        </w:rPr>
        <w:footnoteReference w:id="16381"/>
      </w:r>
      <w:r>
        <w:t xml:space="preserve"> a title, and put it on the cross. And the writing was JESUS OF NAZARETH</w:t>
      </w:r>
      <w:r>
        <w:rPr>
          <w:rStyle w:val="FootnoteReference"/>
        </w:rPr>
        <w:footnoteReference w:id="16382"/>
      </w:r>
      <w:r>
        <w:t xml:space="preserve"> THE KING OF THE JEWS.</w:t>
      </w:r>
    </w:p>
    <w:p>
      <w:r>
        <w:rPr>
          <w:b/>
        </w:rPr>
        <w:t xml:space="preserve">20 </w:t>
      </w:r>
      <w:r>
        <w:t xml:space="preserve">Many of the Jews then read this title: for the place where Jesus was crucified was near to the city: and it was written in Hebrew, and Greek</w:t>
      </w:r>
      <w:r>
        <w:rPr>
          <w:rStyle w:val="FootnoteReference"/>
        </w:rPr>
        <w:footnoteReference w:id="16383"/>
      </w:r>
      <w:r>
        <w:t xml:space="preserve">, and Latin.</w:t>
      </w:r>
    </w:p>
    <w:p>
      <w:r>
        <w:rPr>
          <w:b/>
        </w:rPr>
        <w:t xml:space="preserve">21 </w:t>
      </w:r>
      <w:r>
        <w:t xml:space="preserve">Then the chief priests of the Jews said to Pilate, Do not write, The King of the Jews; but that he said, I am King of the Jews.</w:t>
      </w:r>
    </w:p>
    <w:p>
      <w:r>
        <w:rPr>
          <w:b/>
        </w:rPr>
        <w:t xml:space="preserve">22 </w:t>
      </w:r>
      <w:r>
        <w:t xml:space="preserve">Pilate answered, What I have written I have written.</w:t>
      </w:r>
    </w:p>
    <w:p>
      <w:r>
        <w:rPr>
          <w:b/>
        </w:rPr>
        <w:t xml:space="preserve">23 </w:t>
      </w:r>
      <w:r>
        <w:t xml:space="preserve">Then the soldiers</w:t>
      </w:r>
      <w:r>
        <w:rPr>
          <w:rStyle w:val="FootnoteReference"/>
        </w:rPr>
        <w:footnoteReference w:id="16384"/>
      </w:r>
      <w:r>
        <w:t xml:space="preserve">, when they had crucified Jesus, took his clothes, and made four parts, to every soldier a part; and also his tunic: now the tunic was without seam, woven from the top throughout.</w:t>
      </w:r>
    </w:p>
    <w:p>
      <w:r>
        <w:rPr>
          <w:b/>
        </w:rPr>
        <w:t xml:space="preserve">24 </w:t>
      </w:r>
      <w:r>
        <w:t xml:space="preserve">They said therefore among themselves, Let us not tear it, but cast lots for it, whose it shall be: that the scripture might be fulfilled, which says, They divided my clothing among them, and for my garment they cast lots. These things therefore the soldiers did.</w:t>
      </w:r>
    </w:p>
    <w:p>
      <w:r>
        <w:rPr>
          <w:b/>
        </w:rPr>
        <w:t xml:space="preserve">25 </w:t>
      </w:r>
      <w:r>
        <w:t xml:space="preserve">Now there stood by the cross of Jesus his mother</w:t>
      </w:r>
      <w:r>
        <w:rPr>
          <w:rStyle w:val="FootnoteReference"/>
        </w:rPr>
        <w:footnoteReference w:id="16385"/>
      </w:r>
      <w:r>
        <w:t xml:space="preserve">, and his mother's sister, Mary the wife of Cleophas</w:t>
      </w:r>
      <w:r>
        <w:rPr>
          <w:rStyle w:val="FootnoteReference"/>
        </w:rPr>
        <w:footnoteReference w:id="16386"/>
      </w:r>
      <w:r>
        <w:t xml:space="preserve">, and Mary Magdalene.</w:t>
      </w:r>
    </w:p>
    <w:p>
      <w:r>
        <w:rPr>
          <w:b/>
        </w:rPr>
        <w:t xml:space="preserve">26 </w:t>
      </w:r>
      <w:r>
        <w:t xml:space="preserve">When Jesus therefore saw his mother, and the disciple standing by, whom he loved, he says to his mother, Woman</w:t>
      </w:r>
      <w:r>
        <w:rPr>
          <w:rStyle w:val="FootnoteReference"/>
        </w:rPr>
        <w:footnoteReference w:id="16387"/>
      </w:r>
      <w:r>
        <w:t xml:space="preserve">, look, your son!</w:t>
      </w:r>
    </w:p>
    <w:p>
      <w:r>
        <w:rPr>
          <w:b/>
        </w:rPr>
        <w:t xml:space="preserve">27 </w:t>
      </w:r>
      <w:r>
        <w:t xml:space="preserve">Then he says to the disciple, Look, your mother! And from that hour that disciple took</w:t>
      </w:r>
      <w:r>
        <w:rPr>
          <w:rStyle w:val="FootnoteReference"/>
        </w:rPr>
        <w:footnoteReference w:id="16388"/>
      </w:r>
      <w:r>
        <w:t xml:space="preserve"> her to his own home.</w:t>
      </w:r>
    </w:p>
    <w:p>
      <w:r>
        <w:rPr>
          <w:b/>
        </w:rPr>
        <w:t xml:space="preserve">28 </w:t>
      </w:r>
      <w:r>
        <w:t xml:space="preserve">After this, Jesus</w:t>
      </w:r>
      <w:r>
        <w:rPr>
          <w:rStyle w:val="FootnoteReference"/>
        </w:rPr>
        <w:footnoteReference w:id="16389"/>
      </w:r>
      <w:r>
        <w:t xml:space="preserve"> knowing that all things were now accomplished, that the scripture might be fulfilled, says, I thirst.</w:t>
      </w:r>
    </w:p>
    <w:p>
      <w:r>
        <w:rPr>
          <w:b/>
        </w:rPr>
        <w:t xml:space="preserve">29 </w:t>
      </w:r>
      <w:r>
        <w:t xml:space="preserve">Now there was set</w:t>
      </w:r>
      <w:r>
        <w:rPr>
          <w:rStyle w:val="FootnoteReference"/>
        </w:rPr>
        <w:footnoteReference w:id="16390"/>
      </w:r>
      <w:r>
        <w:t xml:space="preserve"> a vessel full of vinegar: and they filled a sponge with vinegar, and put it upon hyssop, and put it to his mouth.</w:t>
      </w:r>
    </w:p>
    <w:p>
      <w:r>
        <w:rPr>
          <w:b/>
        </w:rPr>
        <w:t xml:space="preserve">30 </w:t>
      </w:r>
      <w:r>
        <w:t xml:space="preserve">When Jesus therefore had received the vinegar, he said, It is finished: and he bowed his head, and gave up the spirit.</w:t>
      </w:r>
    </w:p>
    <w:p>
      <w:r>
        <w:rPr>
          <w:b/>
        </w:rPr>
        <w:t xml:space="preserve">31 </w:t>
      </w:r>
      <w:r>
        <w:t xml:space="preserve">The Jews therefore, because it was the preparation, that the bodies should not remain upon the cross on the Sabbath, (for that Sabbath</w:t>
      </w:r>
      <w:r>
        <w:rPr>
          <w:rStyle w:val="FootnoteReference"/>
        </w:rPr>
        <w:footnoteReference w:id="16391"/>
      </w:r>
      <w:r>
        <w:t xml:space="preserve"> was a high day,) begged Pilate that their legs might be broken, and that they might be taken away.</w:t>
      </w:r>
    </w:p>
    <w:p>
      <w:r>
        <w:rPr>
          <w:b/>
        </w:rPr>
        <w:t xml:space="preserve">32 </w:t>
      </w:r>
      <w:r>
        <w:t xml:space="preserve">Then came the soldiers, and broke the legs of the first</w:t>
      </w:r>
      <w:r>
        <w:rPr>
          <w:rStyle w:val="FootnoteReference"/>
        </w:rPr>
        <w:footnoteReference w:id="16392"/>
      </w:r>
      <w:r>
        <w:t xml:space="preserve">, and of the other who was crucified with him.</w:t>
      </w:r>
    </w:p>
    <w:p>
      <w:r>
        <w:rPr>
          <w:b/>
        </w:rPr>
        <w:t xml:space="preserve">33 </w:t>
      </w:r>
      <w:r>
        <w:t xml:space="preserve">But when they came to Jesus, and saw that he was dead already, they did not break his legs:</w:t>
      </w:r>
    </w:p>
    <w:p>
      <w:r>
        <w:rPr>
          <w:b/>
        </w:rPr>
        <w:t xml:space="preserve">34 </w:t>
      </w:r>
      <w:r>
        <w:t xml:space="preserve">But one of the soldiers with a spear pierced his side, and immediately came there out blood and water.</w:t>
      </w:r>
    </w:p>
    <w:p>
      <w:r>
        <w:rPr>
          <w:b/>
        </w:rPr>
        <w:t xml:space="preserve">35 </w:t>
      </w:r>
      <w:r>
        <w:t xml:space="preserve">And the one who saw it bore witness, and his witness is true: and he knows that he says true things, that you might believe.</w:t>
      </w:r>
    </w:p>
    <w:p>
      <w:r>
        <w:rPr>
          <w:b/>
        </w:rPr>
        <w:t xml:space="preserve">36 </w:t>
      </w:r>
      <w:r>
        <w:t xml:space="preserve">For these things were done, that the scripture should be fulfilled, A bone of him shall not be broken.</w:t>
      </w:r>
    </w:p>
    <w:p>
      <w:r>
        <w:rPr>
          <w:b/>
        </w:rPr>
        <w:t xml:space="preserve">37 </w:t>
      </w:r>
      <w:r>
        <w:t xml:space="preserve">And again another scripture says, They shall look on him whom they pierced</w:t>
      </w:r>
      <w:r>
        <w:rPr>
          <w:rStyle w:val="FootnoteReference"/>
        </w:rPr>
        <w:footnoteReference w:id="16393"/>
      </w:r>
      <w:r>
        <w:t xml:space="preserve">.</w:t>
      </w:r>
    </w:p>
    <w:p>
      <w:r>
        <w:rPr>
          <w:b/>
        </w:rPr>
        <w:t xml:space="preserve">38 </w:t>
      </w:r>
      <w:r>
        <w:t xml:space="preserve">And after this Joseph</w:t>
      </w:r>
      <w:r>
        <w:rPr>
          <w:rStyle w:val="FootnoteReference"/>
        </w:rPr>
        <w:footnoteReference w:id="16394"/>
      </w:r>
      <w:r>
        <w:t xml:space="preserve"> of Arimathea, being a disciple of Jesus, but secretly for fear of the Jews, asked Pilate that he might take away the body of Jesus: and Pilate gave permission. He came therefore, and took the body of Jesus.</w:t>
      </w:r>
    </w:p>
    <w:p>
      <w:r>
        <w:rPr>
          <w:b/>
        </w:rPr>
        <w:t xml:space="preserve">39 </w:t>
      </w:r>
      <w:r>
        <w:t xml:space="preserve">And there came also Nicodemus</w:t>
      </w:r>
      <w:r>
        <w:rPr>
          <w:rStyle w:val="FootnoteReference"/>
        </w:rPr>
        <w:footnoteReference w:id="16395"/>
      </w:r>
      <w:r>
        <w:t xml:space="preserve">, who at first came to Jesus by night, and brought a mixture of myrrh and aloes, about a hundred pounds.</w:t>
      </w:r>
    </w:p>
    <w:p>
      <w:r>
        <w:rPr>
          <w:b/>
        </w:rPr>
        <w:t xml:space="preserve">40 </w:t>
      </w:r>
      <w:r>
        <w:t xml:space="preserve">Then they took the body of Jesus, and wrapped it in linen clothes with the spices, as the manner of the Jews is to bury.</w:t>
      </w:r>
    </w:p>
    <w:p>
      <w:r>
        <w:rPr>
          <w:b/>
        </w:rPr>
        <w:t xml:space="preserve">41 </w:t>
      </w:r>
      <w:r>
        <w:t xml:space="preserve">Now in the place where he was crucified there was a garden; and in</w:t>
      </w:r>
      <w:r>
        <w:rPr>
          <w:rStyle w:val="FootnoteReference"/>
        </w:rPr>
        <w:footnoteReference w:id="16396"/>
      </w:r>
      <w:r>
        <w:t xml:space="preserve"> the garden a new tomb, in which no one had yet been laid.</w:t>
      </w:r>
    </w:p>
    <w:p>
      <w:r>
        <w:rPr>
          <w:b/>
        </w:rPr>
        <w:t xml:space="preserve">42 </w:t>
      </w:r>
      <w:r>
        <w:t xml:space="preserve">There therefore they laid</w:t>
      </w:r>
      <w:r>
        <w:rPr>
          <w:rStyle w:val="FootnoteReference"/>
        </w:rPr>
        <w:footnoteReference w:id="16397"/>
      </w:r>
      <w:r>
        <w:t xml:space="preserve"> Jesus because of the Jews' preparation day; for the tomb was near at hand.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On the first</w:t>
      </w:r>
      <w:r>
        <w:rPr>
          <w:rStyle w:val="FootnoteReference"/>
        </w:rPr>
        <w:footnoteReference w:id="16398"/>
      </w:r>
      <w:r>
        <w:t xml:space="preserve"> day of the week Mary Magdalene comes early, when it was yet dark, to the tomb, and sees the stone taken away from the tomb.</w:t>
      </w:r>
    </w:p>
    <w:p>
      <w:r>
        <w:rPr>
          <w:b/>
        </w:rPr>
        <w:t xml:space="preserve">2 </w:t>
      </w:r>
      <w:r>
        <w:t xml:space="preserve">Then she runs, and comes to Simon Peter, and to the other disciple, whom Jesus loved, and says to them, They have taken</w:t>
      </w:r>
      <w:r>
        <w:rPr>
          <w:rStyle w:val="FootnoteReference"/>
        </w:rPr>
        <w:footnoteReference w:id="16399"/>
      </w:r>
      <w:r>
        <w:t xml:space="preserve"> away the Lord out of the tomb, and we do not know where they have laid him.</w:t>
      </w:r>
    </w:p>
    <w:p>
      <w:r>
        <w:rPr>
          <w:b/>
        </w:rPr>
        <w:t xml:space="preserve">3 </w:t>
      </w:r>
      <w:r>
        <w:t xml:space="preserve">Peter therefore went forth, and that other disciple, and came to the tomb.</w:t>
      </w:r>
    </w:p>
    <w:p>
      <w:r>
        <w:rPr>
          <w:b/>
        </w:rPr>
        <w:t xml:space="preserve">4 </w:t>
      </w:r>
      <w:r>
        <w:t xml:space="preserve">So they both ran together: and the other disciple outran Peter, and came first to the tomb.</w:t>
      </w:r>
    </w:p>
    <w:p>
      <w:r>
        <w:rPr>
          <w:b/>
        </w:rPr>
        <w:t xml:space="preserve">5 </w:t>
      </w:r>
      <w:r>
        <w:t xml:space="preserve">And he stooping down, and looking in, saw the linen clothes lying; yet he did not go in.</w:t>
      </w:r>
    </w:p>
    <w:p>
      <w:r>
        <w:rPr>
          <w:b/>
        </w:rPr>
        <w:t xml:space="preserve">6 </w:t>
      </w:r>
      <w:r>
        <w:t xml:space="preserve">Then Simon Peter comes following him, and went into the tomb, and sees the linen clothes lying,</w:t>
      </w:r>
    </w:p>
    <w:p>
      <w:r>
        <w:rPr>
          <w:b/>
        </w:rPr>
        <w:t xml:space="preserve">7 </w:t>
      </w:r>
      <w:r>
        <w:t xml:space="preserve">And the cloth, that was about his head, not lying with the linen clothes, but wrapped together in a place by itself.</w:t>
      </w:r>
    </w:p>
    <w:p>
      <w:r>
        <w:rPr>
          <w:b/>
        </w:rPr>
        <w:t xml:space="preserve">8 </w:t>
      </w:r>
      <w:r>
        <w:t xml:space="preserve">Then went in also that other disciple, who came first to the tomb, and he saw, and believed.</w:t>
      </w:r>
    </w:p>
    <w:p>
      <w:r>
        <w:rPr>
          <w:b/>
        </w:rPr>
        <w:t xml:space="preserve">9 </w:t>
      </w:r>
      <w:r>
        <w:t xml:space="preserve">For as yet they did not know the scripture, that he must rise again from the dead.</w:t>
      </w:r>
    </w:p>
    <w:p>
      <w:r>
        <w:rPr>
          <w:b/>
        </w:rPr>
        <w:t xml:space="preserve">10 </w:t>
      </w:r>
      <w:r>
        <w:t xml:space="preserve">Then the disciples went</w:t>
      </w:r>
      <w:r>
        <w:rPr>
          <w:rStyle w:val="FootnoteReference"/>
        </w:rPr>
        <w:footnoteReference w:id="16400"/>
      </w:r>
      <w:r>
        <w:t xml:space="preserve"> away again to their own home.</w:t>
      </w:r>
    </w:p>
    <w:p>
      <w:r>
        <w:rPr>
          <w:b/>
        </w:rPr>
        <w:t xml:space="preserve">11 </w:t>
      </w:r>
      <w:r>
        <w:t xml:space="preserve">But Mary stood outside at the tomb weeping: and as she wept, she stooped down, and looked into the tomb,</w:t>
      </w:r>
    </w:p>
    <w:p>
      <w:r>
        <w:rPr>
          <w:b/>
        </w:rPr>
        <w:t xml:space="preserve">12 </w:t>
      </w:r>
      <w:r>
        <w:t xml:space="preserve">And sees two angels in white sitting, the one at the head, and the other at the feet, where the body of Jesus had lain.</w:t>
      </w:r>
    </w:p>
    <w:p>
      <w:r>
        <w:rPr>
          <w:b/>
        </w:rPr>
        <w:t xml:space="preserve">13 </w:t>
      </w:r>
      <w:r>
        <w:t xml:space="preserve">And they say to her, Woman</w:t>
      </w:r>
      <w:r>
        <w:rPr>
          <w:rStyle w:val="FootnoteReference"/>
        </w:rPr>
        <w:footnoteReference w:id="16401"/>
      </w:r>
      <w:r>
        <w:t xml:space="preserve">, why weep you? She says to them, Because they have taken away my Lord, and I do not know where they have laid him.</w:t>
      </w:r>
    </w:p>
    <w:p>
      <w:r>
        <w:rPr>
          <w:b/>
        </w:rPr>
        <w:t xml:space="preserve">14 </w:t>
      </w:r>
      <w:r>
        <w:t xml:space="preserve">And when she had thus said, she turned herself back, and saw</w:t>
      </w:r>
      <w:r>
        <w:rPr>
          <w:rStyle w:val="FootnoteReference"/>
        </w:rPr>
        <w:footnoteReference w:id="16402"/>
      </w:r>
      <w:r>
        <w:t xml:space="preserve"> Jesus standing, and did not know that it was Jesus.</w:t>
      </w:r>
    </w:p>
    <w:p>
      <w:r>
        <w:rPr>
          <w:b/>
        </w:rPr>
        <w:t xml:space="preserve">15 </w:t>
      </w:r>
      <w:r>
        <w:t xml:space="preserve">Jesus says to her, Woman, why do you weep? whom do you seek? She, supposing him to be the gardener, says to him, Sir, if you have carried him away, tell me where you have laid him, and I will take him away.</w:t>
      </w:r>
    </w:p>
    <w:p>
      <w:r>
        <w:rPr>
          <w:b/>
        </w:rPr>
        <w:t xml:space="preserve">16 </w:t>
      </w:r>
      <w:r>
        <w:t xml:space="preserve">Jesus says to her, Mary</w:t>
      </w:r>
      <w:r>
        <w:rPr>
          <w:rStyle w:val="FootnoteReference"/>
        </w:rPr>
        <w:footnoteReference w:id="16403"/>
      </w:r>
      <w:r>
        <w:t xml:space="preserve">. She turned around, and says to him, Rabboni; which is to say, Teacher.</w:t>
      </w:r>
    </w:p>
    <w:p>
      <w:r>
        <w:rPr>
          <w:b/>
        </w:rPr>
        <w:t xml:space="preserve">17 </w:t>
      </w:r>
      <w:r>
        <w:t xml:space="preserve">Jesus says to her, Do not touch</w:t>
      </w:r>
      <w:r>
        <w:rPr>
          <w:rStyle w:val="FootnoteReference"/>
        </w:rPr>
        <w:footnoteReference w:id="16404"/>
      </w:r>
      <w:r>
        <w:t xml:space="preserve"> me; for I have not yet ascended to my Father: but go to my brothers, and say to them, I ascend to my Father, and your Father; and to my God, and your God.</w:t>
      </w:r>
    </w:p>
    <w:p>
      <w:r>
        <w:rPr>
          <w:b/>
        </w:rPr>
        <w:t xml:space="preserve">18 </w:t>
      </w:r>
      <w:r>
        <w:t xml:space="preserve">Mary Magdalene came and told the disciples that she had seen the Lord, and that he had spoken these things to her.</w:t>
      </w:r>
    </w:p>
    <w:p>
      <w:r>
        <w:rPr>
          <w:b/>
        </w:rPr>
        <w:t xml:space="preserve">19 </w:t>
      </w:r>
      <w:r>
        <w:t xml:space="preserve">Then the same day at evening, being the first day of the week, when the doors were shut where the disciples were assembled for fear of the Jews, Jesus came and stood in the midst, and says to them, Peace</w:t>
      </w:r>
      <w:r>
        <w:rPr>
          <w:rStyle w:val="FootnoteReference"/>
        </w:rPr>
        <w:footnoteReference w:id="16405"/>
      </w:r>
      <w:r>
        <w:t xml:space="preserve"> be to you.</w:t>
      </w:r>
    </w:p>
    <w:p>
      <w:r>
        <w:rPr>
          <w:b/>
        </w:rPr>
        <w:t xml:space="preserve">20 </w:t>
      </w:r>
      <w:r>
        <w:t xml:space="preserve">And when he had so said, he showed</w:t>
      </w:r>
      <w:r>
        <w:rPr>
          <w:rStyle w:val="FootnoteReference"/>
        </w:rPr>
        <w:footnoteReference w:id="16406"/>
      </w:r>
      <w:r>
        <w:t xml:space="preserve"> them his hands and his side. Then the disciples were glad, when they saw the Lord.</w:t>
      </w:r>
    </w:p>
    <w:p>
      <w:r>
        <w:rPr>
          <w:b/>
        </w:rPr>
        <w:t xml:space="preserve">21 </w:t>
      </w:r>
      <w:r>
        <w:t xml:space="preserve">Then Jesus said to them again, Peace</w:t>
      </w:r>
      <w:r>
        <w:rPr>
          <w:rStyle w:val="FootnoteReference"/>
        </w:rPr>
        <w:footnoteReference w:id="16407"/>
      </w:r>
      <w:r>
        <w:t xml:space="preserve"> be to you: as my Father has sent me, even so I send you.</w:t>
      </w:r>
    </w:p>
    <w:p>
      <w:r>
        <w:rPr>
          <w:b/>
        </w:rPr>
        <w:t xml:space="preserve">22 </w:t>
      </w:r>
      <w:r>
        <w:t xml:space="preserve">And when he had said this, he breathed</w:t>
      </w:r>
      <w:r>
        <w:rPr>
          <w:rStyle w:val="FootnoteReference"/>
        </w:rPr>
        <w:footnoteReference w:id="16408"/>
      </w:r>
      <w:r>
        <w:t xml:space="preserve"> on them, and says to them, Receive the Holy Spirit:</w:t>
      </w:r>
    </w:p>
    <w:p>
      <w:r>
        <w:rPr>
          <w:b/>
        </w:rPr>
        <w:t xml:space="preserve">23 </w:t>
      </w:r>
      <w:r>
        <w:t xml:space="preserve">If you remit the sins of any, they are remitted to them; if you retain the sins of any, they are retained.</w:t>
      </w:r>
    </w:p>
    <w:p>
      <w:r>
        <w:rPr>
          <w:b/>
        </w:rPr>
        <w:t xml:space="preserve">24 </w:t>
      </w:r>
      <w:r>
        <w:t xml:space="preserve">But Thomas</w:t>
      </w:r>
      <w:r>
        <w:rPr>
          <w:rStyle w:val="FootnoteReference"/>
        </w:rPr>
        <w:footnoteReference w:id="16409"/>
      </w:r>
      <w:r>
        <w:t xml:space="preserve">, one of the twelve, called Didymus, was not with them when Jesus came.</w:t>
      </w:r>
    </w:p>
    <w:p>
      <w:r>
        <w:rPr>
          <w:b/>
        </w:rPr>
        <w:t xml:space="preserve">25 </w:t>
      </w:r>
      <w:r>
        <w:t xml:space="preserve">The other disciples therefore said to him, We have seen the Lord. But he said to them, Except</w:t>
      </w:r>
      <w:r>
        <w:rPr>
          <w:rStyle w:val="FootnoteReference"/>
        </w:rPr>
        <w:footnoteReference w:id="16410"/>
      </w:r>
      <w:r>
        <w:t xml:space="preserve"> I shall see in his hands the print of the nails, and put my finger into the print of the nails, and thrust my hand into his side, I will not believe.</w:t>
      </w:r>
    </w:p>
    <w:p>
      <w:r>
        <w:rPr>
          <w:b/>
        </w:rPr>
        <w:t xml:space="preserve">26 </w:t>
      </w:r>
      <w:r>
        <w:t xml:space="preserve">And after eight</w:t>
      </w:r>
      <w:r>
        <w:rPr>
          <w:rStyle w:val="FootnoteReference"/>
        </w:rPr>
        <w:footnoteReference w:id="16411"/>
      </w:r>
      <w:r>
        <w:t xml:space="preserve"> days again his disciples were within, and Thomas with them: then came Jesus, the doors being shut, and stood in the midst, and said, Peace be to you.</w:t>
      </w:r>
    </w:p>
    <w:p>
      <w:r>
        <w:rPr>
          <w:b/>
        </w:rPr>
        <w:t xml:space="preserve">27 </w:t>
      </w:r>
      <w:r>
        <w:t xml:space="preserve">Then he says to Thomas, Reach here your finger, and look at my hands; and reach here your hand, and thrust it into my side: and do not be faithless, but believing.</w:t>
      </w:r>
    </w:p>
    <w:p>
      <w:r>
        <w:rPr>
          <w:b/>
        </w:rPr>
        <w:t xml:space="preserve">28 </w:t>
      </w:r>
      <w:r>
        <w:t xml:space="preserve">And Thomas answered and said to him, My Lord</w:t>
      </w:r>
      <w:r>
        <w:rPr>
          <w:rStyle w:val="FootnoteReference"/>
        </w:rPr>
        <w:footnoteReference w:id="16412"/>
      </w:r>
      <w:r>
        <w:t xml:space="preserve"> and my God.</w:t>
      </w:r>
    </w:p>
    <w:p>
      <w:r>
        <w:rPr>
          <w:b/>
        </w:rPr>
        <w:t xml:space="preserve">29 </w:t>
      </w:r>
      <w:r>
        <w:t xml:space="preserve">Jesus says to him, Thomas, because you have seen me, you have believed: blessed</w:t>
      </w:r>
      <w:r>
        <w:rPr>
          <w:rStyle w:val="FootnoteReference"/>
        </w:rPr>
        <w:footnoteReference w:id="16413"/>
      </w:r>
      <w:r>
        <w:t xml:space="preserve"> are those who have not seen, and yet have believed.</w:t>
      </w:r>
    </w:p>
    <w:p>
      <w:r>
        <w:rPr>
          <w:b/>
        </w:rPr>
        <w:t xml:space="preserve">30 </w:t>
      </w:r>
      <w:r>
        <w:t xml:space="preserve">And truly Jesus did many other signs in the presence of his disciples, which are not written in this book:</w:t>
      </w:r>
    </w:p>
    <w:p>
      <w:r>
        <w:rPr>
          <w:b/>
        </w:rPr>
        <w:t xml:space="preserve">31 </w:t>
      </w:r>
      <w:r>
        <w:t xml:space="preserve">But these are written, that you might believe that Jesus is the Christ, the Son of God; and that believing</w:t>
      </w:r>
      <w:r>
        <w:rPr>
          <w:rStyle w:val="FootnoteReference"/>
        </w:rPr>
        <w:footnoteReference w:id="16414"/>
      </w:r>
      <w:r>
        <w:t xml:space="preserve"> you might have life through his name.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After these things Jesus</w:t>
      </w:r>
      <w:r>
        <w:rPr>
          <w:rStyle w:val="FootnoteReference"/>
        </w:rPr>
        <w:footnoteReference w:id="16415"/>
      </w:r>
      <w:r>
        <w:t xml:space="preserve"> showed himself again to the disciples at the sea of Tiberias; and he showed himself this way.</w:t>
      </w:r>
    </w:p>
    <w:p>
      <w:r>
        <w:rPr>
          <w:b/>
        </w:rPr>
        <w:t xml:space="preserve">2 </w:t>
      </w:r>
      <w:r>
        <w:t xml:space="preserve">There were together Simon Peter, and Thomas</w:t>
      </w:r>
      <w:r>
        <w:rPr>
          <w:rStyle w:val="FootnoteReference"/>
        </w:rPr>
        <w:footnoteReference w:id="16416"/>
      </w:r>
      <w:r>
        <w:t xml:space="preserve"> called Didymus, and Nathanael of Cana in Galilee, and the sons of Zebedee, and two others of his disciples.</w:t>
      </w:r>
    </w:p>
    <w:p>
      <w:r>
        <w:rPr>
          <w:b/>
        </w:rPr>
        <w:t xml:space="preserve">3 </w:t>
      </w:r>
      <w:r>
        <w:t xml:space="preserve">Simon Peter says to them, I go</w:t>
      </w:r>
      <w:r>
        <w:rPr>
          <w:rStyle w:val="FootnoteReference"/>
        </w:rPr>
        <w:footnoteReference w:id="16417"/>
      </w:r>
      <w:r>
        <w:t xml:space="preserve"> a fishing. They say to him, We also go with you. They went forth, and entered into a boat immediately; and that night they caught nothing.</w:t>
      </w:r>
    </w:p>
    <w:p>
      <w:r>
        <w:rPr>
          <w:b/>
        </w:rPr>
        <w:t xml:space="preserve">4 </w:t>
      </w:r>
      <w:r>
        <w:t xml:space="preserve">But when the morning was now come, Jesus stood on the shore: but the disciples did not know that it was Jesus.</w:t>
      </w:r>
    </w:p>
    <w:p>
      <w:r>
        <w:rPr>
          <w:b/>
        </w:rPr>
        <w:t xml:space="preserve">5 </w:t>
      </w:r>
      <w:r>
        <w:t xml:space="preserve">Then Jesus says to them, Children, have you any food? They answered him, No.</w:t>
      </w:r>
    </w:p>
    <w:p>
      <w:r>
        <w:rPr>
          <w:b/>
        </w:rPr>
        <w:t xml:space="preserve">6 </w:t>
      </w:r>
      <w:r>
        <w:t xml:space="preserve">And he said to them, Cast</w:t>
      </w:r>
      <w:r>
        <w:rPr>
          <w:rStyle w:val="FootnoteReference"/>
        </w:rPr>
        <w:footnoteReference w:id="16418"/>
      </w:r>
      <w:r>
        <w:t xml:space="preserve"> the net on the right side of the boat, and you shall find. They cast therefore, and now they were not able to draw it for the multitude of fish.</w:t>
      </w:r>
    </w:p>
    <w:p>
      <w:r>
        <w:rPr>
          <w:b/>
        </w:rPr>
        <w:t xml:space="preserve">7 </w:t>
      </w:r>
      <w:r>
        <w:t xml:space="preserve">Therefore that disciple</w:t>
      </w:r>
      <w:r>
        <w:rPr>
          <w:rStyle w:val="FootnoteReference"/>
        </w:rPr>
        <w:footnoteReference w:id="16419"/>
      </w:r>
      <w:r>
        <w:t xml:space="preserve"> whom Jesus loved says to Peter, It is the Lord. Now when Simon Peter heard that it was the Lord, he girt his fisher's tunic to him, (for he was naked,) and did cast himself into the sea.</w:t>
      </w:r>
    </w:p>
    <w:p>
      <w:r>
        <w:rPr>
          <w:b/>
        </w:rPr>
        <w:t xml:space="preserve">8 </w:t>
      </w:r>
      <w:r>
        <w:t xml:space="preserve">And the other disciples came in a little ship; (for they were not far from land, but as it were two hundred cubits</w:t>
      </w:r>
      <w:r>
        <w:rPr>
          <w:rStyle w:val="FootnoteReference"/>
        </w:rPr>
        <w:footnoteReference w:id="16420"/>
      </w:r>
      <w:r>
        <w:t xml:space="preserve">,) dragging the net with fish.</w:t>
      </w:r>
    </w:p>
    <w:p>
      <w:r>
        <w:rPr>
          <w:b/>
        </w:rPr>
        <w:t xml:space="preserve">9 </w:t>
      </w:r>
      <w:r>
        <w:t xml:space="preserve">As soon then as they had come to land, they saw</w:t>
      </w:r>
      <w:r>
        <w:rPr>
          <w:rStyle w:val="FootnoteReference"/>
        </w:rPr>
        <w:footnoteReference w:id="16421"/>
      </w:r>
      <w:r>
        <w:t xml:space="preserve"> a fire of coals there, and fish laid on it, and bread.</w:t>
      </w:r>
    </w:p>
    <w:p>
      <w:r>
        <w:rPr>
          <w:b/>
        </w:rPr>
        <w:t xml:space="preserve">10 </w:t>
      </w:r>
      <w:r>
        <w:t xml:space="preserve">Jesus says to them, Bring of the fish which you have now caught.</w:t>
      </w:r>
    </w:p>
    <w:p>
      <w:r>
        <w:rPr>
          <w:b/>
        </w:rPr>
        <w:t xml:space="preserve">11 </w:t>
      </w:r>
      <w:r>
        <w:t xml:space="preserve">Simon Peter went up, and drew the net to land full of great fish, a hundred and fifty and three: and for</w:t>
      </w:r>
      <w:r>
        <w:rPr>
          <w:rStyle w:val="FootnoteReference"/>
        </w:rPr>
        <w:footnoteReference w:id="16422"/>
      </w:r>
      <w:r>
        <w:t xml:space="preserve"> all there were so many, yet was not the net broken.</w:t>
      </w:r>
    </w:p>
    <w:p>
      <w:r>
        <w:rPr>
          <w:b/>
        </w:rPr>
        <w:t xml:space="preserve">12 </w:t>
      </w:r>
      <w:r>
        <w:t xml:space="preserve">Jesus says to them, Come and dine. And none of the disciples dared ask him, Who are you? knowing that it was the Lord.</w:t>
      </w:r>
    </w:p>
    <w:p>
      <w:r>
        <w:rPr>
          <w:b/>
        </w:rPr>
        <w:t xml:space="preserve">13 </w:t>
      </w:r>
      <w:r>
        <w:t xml:space="preserve">Jesus then comes, and takes bread, and gives it to them, and fish likewise.</w:t>
      </w:r>
    </w:p>
    <w:p>
      <w:r>
        <w:rPr>
          <w:b/>
        </w:rPr>
        <w:t xml:space="preserve">14 </w:t>
      </w:r>
      <w:r>
        <w:t xml:space="preserve">This is now the third time</w:t>
      </w:r>
      <w:r>
        <w:rPr>
          <w:rStyle w:val="FootnoteReference"/>
        </w:rPr>
        <w:footnoteReference w:id="16423"/>
      </w:r>
      <w:r>
        <w:t xml:space="preserve"> that Jesus showed himself to his disciples, after that he was risen from the dead.</w:t>
      </w:r>
    </w:p>
    <w:p>
      <w:r>
        <w:rPr>
          <w:b/>
        </w:rPr>
        <w:t xml:space="preserve">15 </w:t>
      </w:r>
      <w:r>
        <w:t xml:space="preserve">So when they had dined, Jesus says to Simon Peter, Simon, son of Jonah, love you me more</w:t>
      </w:r>
      <w:r>
        <w:rPr>
          <w:rStyle w:val="FootnoteReference"/>
        </w:rPr>
        <w:footnoteReference w:id="16424"/>
      </w:r>
      <w:r>
        <w:t xml:space="preserve"> than these? He says to him, Yes, Lord; you know that I love you. He says to him, Feed my lambs.</w:t>
      </w:r>
    </w:p>
    <w:p>
      <w:r>
        <w:rPr>
          <w:b/>
        </w:rPr>
        <w:t xml:space="preserve">16 </w:t>
      </w:r>
      <w:r>
        <w:t xml:space="preserve">He says to him again the second</w:t>
      </w:r>
      <w:r>
        <w:rPr>
          <w:rStyle w:val="FootnoteReference"/>
        </w:rPr>
        <w:footnoteReference w:id="16425"/>
      </w:r>
      <w:r>
        <w:t xml:space="preserve"> time, Simon, son of Jonah, love you me? He says to him, Yes, Lord; you know that I love you. He says to him, Feed my sheep.</w:t>
      </w:r>
    </w:p>
    <w:p>
      <w:r>
        <w:rPr>
          <w:b/>
        </w:rPr>
        <w:t xml:space="preserve">17 </w:t>
      </w:r>
      <w:r>
        <w:t xml:space="preserve">He says to him the third</w:t>
      </w:r>
      <w:r>
        <w:rPr>
          <w:rStyle w:val="FootnoteReference"/>
        </w:rPr>
        <w:footnoteReference w:id="16426"/>
      </w:r>
      <w:r>
        <w:t xml:space="preserve"> time, Simon, son of Jonah, love you me? Peter was grieved because he said to him the third time, Love you me? And he said to him, Lord, you know all things; you know that I love you. Jesus says to him, Feed my sheep.</w:t>
      </w:r>
    </w:p>
    <w:p>
      <w:r>
        <w:rPr>
          <w:b/>
        </w:rPr>
        <w:t xml:space="preserve">18 </w:t>
      </w:r>
      <w:r>
        <w:t xml:space="preserve">Amen, amen, I say to you, When you were young, you gird yourself, and walked where you would: but when you shall be old, you shall stretch forth your hands, and another</w:t>
      </w:r>
      <w:r>
        <w:rPr>
          <w:rStyle w:val="FootnoteReference"/>
        </w:rPr>
        <w:footnoteReference w:id="16427"/>
      </w:r>
      <w:r>
        <w:t xml:space="preserve"> shall gird you, and carry you where you would not.</w:t>
      </w:r>
    </w:p>
    <w:p>
      <w:r>
        <w:rPr>
          <w:b/>
        </w:rPr>
        <w:t xml:space="preserve">19 </w:t>
      </w:r>
      <w:r>
        <w:t xml:space="preserve">This he spoke, signifying by what death he should glorify God. And when he had spoken this, he says to him, Follow</w:t>
      </w:r>
      <w:r>
        <w:rPr>
          <w:rStyle w:val="FootnoteReference"/>
        </w:rPr>
        <w:footnoteReference w:id="16428"/>
      </w:r>
      <w:r>
        <w:t xml:space="preserve"> me.</w:t>
      </w:r>
    </w:p>
    <w:p>
      <w:r>
        <w:rPr>
          <w:b/>
        </w:rPr>
        <w:t xml:space="preserve">20 </w:t>
      </w:r>
      <w:r>
        <w:t xml:space="preserve">Then Peter, turning about, sees the disciple whom Jesus loved following; who also leaned on his breast at supper, and said, Lord, who is the one who betrays you?</w:t>
      </w:r>
    </w:p>
    <w:p>
      <w:r>
        <w:rPr>
          <w:b/>
        </w:rPr>
        <w:t xml:space="preserve">21 </w:t>
      </w:r>
      <w:r>
        <w:t xml:space="preserve">Peter seeing him says to Jesus, Lord, and what about this man?</w:t>
      </w:r>
    </w:p>
    <w:p>
      <w:r>
        <w:rPr>
          <w:b/>
        </w:rPr>
        <w:t xml:space="preserve">22 </w:t>
      </w:r>
      <w:r>
        <w:t xml:space="preserve">Jesus says to him, If I will that he remain till I come, what is that to you? you follow</w:t>
      </w:r>
      <w:r>
        <w:rPr>
          <w:rStyle w:val="FootnoteReference"/>
        </w:rPr>
        <w:footnoteReference w:id="16429"/>
      </w:r>
      <w:r>
        <w:t xml:space="preserve"> me.</w:t>
      </w:r>
    </w:p>
    <w:p>
      <w:r>
        <w:rPr>
          <w:b/>
        </w:rPr>
        <w:t xml:space="preserve">23 </w:t>
      </w:r>
      <w:r>
        <w:t xml:space="preserve">Then this saying went out among the brothers, that that disciple would not die: yet Jesus did not say to him, He shall not die; but, If I will that he remain till I come, what is that to you?</w:t>
      </w:r>
    </w:p>
    <w:p>
      <w:r>
        <w:rPr>
          <w:b/>
        </w:rPr>
        <w:t xml:space="preserve">24 </w:t>
      </w:r>
      <w:r>
        <w:t xml:space="preserve">This is the disciple who testifies of these things, and wrote these things: and we know that his testimony is true.</w:t>
      </w:r>
    </w:p>
    <w:p>
      <w:r>
        <w:rPr>
          <w:b/>
        </w:rPr>
        <w:t xml:space="preserve">25 </w:t>
      </w:r>
      <w:r>
        <w:t xml:space="preserve">And there are also many other things which Jesus did, which, if they should be written every one, I suppose that even</w:t>
      </w:r>
      <w:r>
        <w:rPr>
          <w:rStyle w:val="FootnoteReference"/>
        </w:rPr>
        <w:footnoteReference w:id="16430"/>
      </w:r>
      <w:r>
        <w:t xml:space="preserve"> the world itself could not contain the books that should be written. Amen.</w:t>
      </w:r>
    </w:p>
    <w:p>
      <w:r>
        <w:br w:type="page"/>
      </w:r>
    </w:p>
    <w:p>
      <w:pPr>
        <w:pStyle w:val="Heading1"/>
      </w:pPr>
      <w:r>
        <w:t xml:space="preserve">Acts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I made the former</w:t>
      </w:r>
      <w:r>
        <w:rPr>
          <w:rStyle w:val="FootnoteReference"/>
        </w:rPr>
        <w:footnoteReference w:id="16431"/>
      </w:r>
      <w:r>
        <w:t xml:space="preserve"> treatise, O Theophilus, of all that Jesus began both to do and teach,</w:t>
      </w:r>
    </w:p>
    <w:p>
      <w:r>
        <w:rPr>
          <w:b/>
        </w:rPr>
        <w:t xml:space="preserve">2 </w:t>
      </w:r>
      <w:r>
        <w:t xml:space="preserve">Until the day in which he was taken up, after that he through the Holy Spirit had given</w:t>
      </w:r>
      <w:r>
        <w:rPr>
          <w:rStyle w:val="FootnoteReference"/>
        </w:rPr>
        <w:footnoteReference w:id="16432"/>
      </w:r>
      <w:r>
        <w:t xml:space="preserve"> commandments to the apostles whom he had chosen:</w:t>
      </w:r>
    </w:p>
    <w:p>
      <w:r>
        <w:rPr>
          <w:b/>
        </w:rPr>
        <w:t xml:space="preserve">3 </w:t>
      </w:r>
      <w:r>
        <w:t xml:space="preserve">To whom also he showed</w:t>
      </w:r>
      <w:r>
        <w:rPr>
          <w:rStyle w:val="FootnoteReference"/>
        </w:rPr>
        <w:footnoteReference w:id="16433"/>
      </w:r>
      <w:r>
        <w:t xml:space="preserve"> himself alive after his suffering by many proofs, being seen of them forty days, and speaking of the things pertaining to the kingdom of God:</w:t>
      </w:r>
    </w:p>
    <w:p>
      <w:r>
        <w:rPr>
          <w:b/>
        </w:rPr>
        <w:t xml:space="preserve">4 </w:t>
      </w:r>
      <w:r>
        <w:t xml:space="preserve">And, being assembled together</w:t>
      </w:r>
      <w:r>
        <w:rPr>
          <w:rStyle w:val="FootnoteReference"/>
        </w:rPr>
        <w:footnoteReference w:id="16434"/>
      </w:r>
      <w:r>
        <w:t xml:space="preserve"> with them, commanded them that they should not depart from Jerusalem, but wait for the promise of the Father, who, says he, you have heard of me.</w:t>
      </w:r>
    </w:p>
    <w:p>
      <w:r>
        <w:rPr>
          <w:b/>
        </w:rPr>
        <w:t xml:space="preserve">5 </w:t>
      </w:r>
      <w:r>
        <w:t xml:space="preserve">For John</w:t>
      </w:r>
      <w:r>
        <w:rPr>
          <w:rStyle w:val="FootnoteReference"/>
        </w:rPr>
        <w:footnoteReference w:id="16435"/>
      </w:r>
      <w:r>
        <w:t xml:space="preserve"> truly baptized with water; but you shall be baptized with the Holy Spirit not many days from now.</w:t>
      </w:r>
    </w:p>
    <w:p>
      <w:r>
        <w:rPr>
          <w:b/>
        </w:rPr>
        <w:t xml:space="preserve">6 </w:t>
      </w:r>
      <w:r>
        <w:t xml:space="preserve">When they therefore had come together, they asked of him, saying, Lord, will you at this time restore</w:t>
      </w:r>
      <w:r>
        <w:rPr>
          <w:rStyle w:val="FootnoteReference"/>
        </w:rPr>
        <w:footnoteReference w:id="16436"/>
      </w:r>
      <w:r>
        <w:t xml:space="preserve"> again the kingdom to Israel?</w:t>
      </w:r>
    </w:p>
    <w:p>
      <w:r>
        <w:rPr>
          <w:b/>
        </w:rPr>
        <w:t xml:space="preserve">7 </w:t>
      </w:r>
      <w:r>
        <w:t xml:space="preserve">And he said to them, It is not for you to know the times or the seasons, which the Father has put in his own authority.</w:t>
      </w:r>
    </w:p>
    <w:p>
      <w:r>
        <w:rPr>
          <w:b/>
        </w:rPr>
        <w:t xml:space="preserve">8 </w:t>
      </w:r>
      <w:r>
        <w:t xml:space="preserve">But you shall receive power</w:t>
      </w:r>
      <w:r>
        <w:rPr>
          <w:rStyle w:val="FootnoteReference"/>
        </w:rPr>
        <w:footnoteReference w:id="16437"/>
      </w:r>
      <w:r>
        <w:t xml:space="preserve">, after that the Holy Spirit has come upon you: and you shall be witnesses to me both in Jerusalem, and in all Judea, and in Samaria, and to the uttermost part of the earth.</w:t>
      </w:r>
    </w:p>
    <w:p>
      <w:r>
        <w:rPr>
          <w:b/>
        </w:rPr>
        <w:t xml:space="preserve">9 </w:t>
      </w:r>
      <w:r>
        <w:t xml:space="preserve">And when he had spoken these things, while they beheld, he was taken up; and a cloud</w:t>
      </w:r>
      <w:r>
        <w:rPr>
          <w:rStyle w:val="FootnoteReference"/>
        </w:rPr>
        <w:footnoteReference w:id="16438"/>
      </w:r>
      <w:r>
        <w:t xml:space="preserve"> received him out of their sight.</w:t>
      </w:r>
    </w:p>
    <w:p>
      <w:r>
        <w:rPr>
          <w:b/>
        </w:rPr>
        <w:t xml:space="preserve">10 </w:t>
      </w:r>
      <w:r>
        <w:t xml:space="preserve">And while they looked steadfastly toward heaven as he went up, look, two men stood by them in white apparel;</w:t>
      </w:r>
    </w:p>
    <w:p>
      <w:r>
        <w:rPr>
          <w:b/>
        </w:rPr>
        <w:t xml:space="preserve">11 </w:t>
      </w:r>
      <w:r>
        <w:t xml:space="preserve">Which also said, You men of Galilee, why stand you gazing up into heaven? this same Jesus, who is taken up from you into heaven, shall so come likewise as you have seen him go into heaven.</w:t>
      </w:r>
    </w:p>
    <w:p>
      <w:r>
        <w:rPr>
          <w:b/>
        </w:rPr>
        <w:t xml:space="preserve">12 </w:t>
      </w:r>
      <w:r>
        <w:t xml:space="preserve">Then they returned to Jerusalem from the mount called Olivet, which is from Jerusalem a Sabbath</w:t>
      </w:r>
      <w:r>
        <w:rPr>
          <w:rStyle w:val="FootnoteReference"/>
        </w:rPr>
        <w:footnoteReference w:id="16439"/>
      </w:r>
      <w:r>
        <w:t xml:space="preserve">'s journey.</w:t>
      </w:r>
    </w:p>
    <w:p>
      <w:r>
        <w:rPr>
          <w:b/>
        </w:rPr>
        <w:t xml:space="preserve">13 </w:t>
      </w:r>
      <w:r>
        <w:t xml:space="preserve">And when they had come in, they went up into an upper room, where Peter</w:t>
      </w:r>
      <w:r>
        <w:rPr>
          <w:rStyle w:val="FootnoteReference"/>
        </w:rPr>
        <w:footnoteReference w:id="16440"/>
      </w:r>
      <w:r>
        <w:t xml:space="preserve">, and James, and John, and Andrew, Philip, and Thomas, Bartholomew, and Matthew, James the son of Alphaeus, and Simon the Zealot, and Judas son of James were staying.</w:t>
      </w:r>
    </w:p>
    <w:p>
      <w:r>
        <w:rPr>
          <w:b/>
        </w:rPr>
        <w:t xml:space="preserve">14 </w:t>
      </w:r>
      <w:r>
        <w:t xml:space="preserve">These all continued with one accord in prayer and supplication, with the</w:t>
      </w:r>
      <w:r>
        <w:rPr>
          <w:rStyle w:val="FootnoteReference"/>
        </w:rPr>
        <w:footnoteReference w:id="16441"/>
      </w:r>
      <w:r>
        <w:t xml:space="preserve"> women, and Mary the mother of Jesus, and with his brothers.</w:t>
      </w:r>
    </w:p>
    <w:p>
      <w:r>
        <w:rPr>
          <w:b/>
        </w:rPr>
        <w:t xml:space="preserve">15 </w:t>
      </w:r>
      <w:r>
        <w:t xml:space="preserve">And in those days Peter</w:t>
      </w:r>
      <w:r>
        <w:rPr>
          <w:rStyle w:val="FootnoteReference"/>
        </w:rPr>
        <w:footnoteReference w:id="16442"/>
      </w:r>
      <w:r>
        <w:t xml:space="preserve"> stood up in the midst of the disciples, and said, (the number of names together were about a hundred and twenty,)</w:t>
      </w:r>
    </w:p>
    <w:p>
      <w:r>
        <w:rPr>
          <w:b/>
        </w:rPr>
        <w:t xml:space="preserve">16 </w:t>
      </w:r>
      <w:r>
        <w:t xml:space="preserve">Men and brothers, this scripture must have been fulfilled, which the</w:t>
      </w:r>
      <w:r>
        <w:rPr>
          <w:rStyle w:val="FootnoteReference"/>
        </w:rPr>
        <w:footnoteReference w:id="16443"/>
      </w:r>
      <w:r>
        <w:t xml:space="preserve"> Holy Spirit by the mouth of David spoke before concerning Judas, who became guide to those who took Jesus.</w:t>
      </w:r>
    </w:p>
    <w:p>
      <w:r>
        <w:rPr>
          <w:b/>
        </w:rPr>
        <w:t xml:space="preserve">17 </w:t>
      </w:r>
      <w:r>
        <w:t xml:space="preserve">For he was numbered with us, and had obtained part of this ministry.</w:t>
      </w:r>
    </w:p>
    <w:p>
      <w:r>
        <w:rPr>
          <w:b/>
        </w:rPr>
        <w:t xml:space="preserve">18 </w:t>
      </w:r>
      <w:r>
        <w:t xml:space="preserve">Now this man purchased a field with the reward of iniquity; and falling</w:t>
      </w:r>
      <w:r>
        <w:rPr>
          <w:rStyle w:val="FootnoteReference"/>
        </w:rPr>
        <w:footnoteReference w:id="16444"/>
      </w:r>
      <w:r>
        <w:t xml:space="preserve"> headlong, he burst asunder in the midst, and all his inward parts gushed out.</w:t>
      </w:r>
    </w:p>
    <w:p>
      <w:r>
        <w:rPr>
          <w:b/>
        </w:rPr>
        <w:t xml:space="preserve">19 </w:t>
      </w:r>
      <w:r>
        <w:t xml:space="preserve">And it was known to all the dwellers at Jerusalem; so that field is called in their proper tongue, Aceldama</w:t>
      </w:r>
      <w:r>
        <w:rPr>
          <w:rStyle w:val="FootnoteReference"/>
        </w:rPr>
        <w:footnoteReference w:id="16445"/>
      </w:r>
      <w:r>
        <w:t xml:space="preserve">, that is to say, The field of blood.</w:t>
      </w:r>
      <w:r>
        <w:rPr>
          <w:rStyle w:val="FootnoteReference"/>
        </w:rPr>
        <w:footnoteReference w:id="16446"/>
      </w:r>
    </w:p>
    <w:p>
      <w:r>
        <w:rPr>
          <w:b/>
        </w:rPr>
        <w:t xml:space="preserve">20 </w:t>
      </w:r>
      <w:r>
        <w:t xml:space="preserve">For it is written in the book of Psalms, Let his</w:t>
      </w:r>
      <w:r>
        <w:rPr>
          <w:rStyle w:val="FootnoteReference"/>
        </w:rPr>
        <w:footnoteReference w:id="16447"/>
      </w:r>
      <w:r>
        <w:t xml:space="preserve"> habitation be desolate, and let no one dwell in it: and his oversight let another take.</w:t>
      </w:r>
    </w:p>
    <w:p>
      <w:r>
        <w:rPr>
          <w:b/>
        </w:rPr>
        <w:t xml:space="preserve">21 </w:t>
      </w:r>
      <w:r>
        <w:t xml:space="preserve">Therefore of these men who have companied with us all the time that the Lord Jesus went</w:t>
      </w:r>
      <w:r>
        <w:rPr>
          <w:rStyle w:val="FootnoteReference"/>
        </w:rPr>
        <w:footnoteReference w:id="16448"/>
      </w:r>
      <w:r>
        <w:t xml:space="preserve"> in and out among us,</w:t>
      </w:r>
    </w:p>
    <w:p>
      <w:r>
        <w:rPr>
          <w:b/>
        </w:rPr>
        <w:t xml:space="preserve">22 </w:t>
      </w:r>
      <w:r>
        <w:t xml:space="preserve">Beginning</w:t>
      </w:r>
      <w:r>
        <w:rPr>
          <w:rStyle w:val="FootnoteReference"/>
        </w:rPr>
        <w:footnoteReference w:id="16449"/>
      </w:r>
      <w:r>
        <w:t xml:space="preserve"> from the baptism of John, to that same day that he was taken up from us, one must be appointed to be a witness with us of his resurrection.</w:t>
      </w:r>
    </w:p>
    <w:p>
      <w:r>
        <w:rPr>
          <w:b/>
        </w:rPr>
        <w:t xml:space="preserve">23 </w:t>
      </w:r>
      <w:r>
        <w:t xml:space="preserve">And they appointed two, Joseph called Barsabas</w:t>
      </w:r>
      <w:r>
        <w:rPr>
          <w:rStyle w:val="FootnoteReference"/>
        </w:rPr>
        <w:footnoteReference w:id="16450"/>
      </w:r>
      <w:r>
        <w:t xml:space="preserve">, who was surnamed Justus</w:t>
      </w:r>
      <w:r>
        <w:rPr>
          <w:rStyle w:val="FootnoteReference"/>
        </w:rPr>
        <w:footnoteReference w:id="16451"/>
      </w:r>
      <w:r>
        <w:t xml:space="preserve">, and Matthias</w:t>
      </w:r>
      <w:r>
        <w:rPr>
          <w:rStyle w:val="FootnoteReference"/>
        </w:rPr>
        <w:footnoteReference w:id="16452"/>
      </w:r>
      <w:r>
        <w:t xml:space="preserve">.</w:t>
      </w:r>
      <w:r>
        <w:rPr>
          <w:rStyle w:val="FootnoteReference"/>
        </w:rPr>
        <w:footnoteReference w:id="16453"/>
      </w:r>
    </w:p>
    <w:p>
      <w:r>
        <w:rPr>
          <w:b/>
        </w:rPr>
        <w:t xml:space="preserve">24 </w:t>
      </w:r>
      <w:r>
        <w:t xml:space="preserve">And they prayed, and said, You, Lord</w:t>
      </w:r>
      <w:r>
        <w:rPr>
          <w:rStyle w:val="FootnoteReference"/>
        </w:rPr>
        <w:footnoteReference w:id="16454"/>
      </w:r>
      <w:r>
        <w:t xml:space="preserve">, who know the hearts of all men, show whether of these two you have chosen,</w:t>
      </w:r>
    </w:p>
    <w:p>
      <w:r>
        <w:rPr>
          <w:b/>
        </w:rPr>
        <w:t xml:space="preserve">25 </w:t>
      </w:r>
      <w:r>
        <w:t xml:space="preserve">That he may</w:t>
      </w:r>
      <w:r>
        <w:rPr>
          <w:rStyle w:val="FootnoteReference"/>
        </w:rPr>
        <w:footnoteReference w:id="16455"/>
      </w:r>
      <w:r>
        <w:t xml:space="preserve"> take part of this ministry and apostleship, from which Judas by transgression fell, that he might go to his own place.</w:t>
      </w:r>
    </w:p>
    <w:p>
      <w:r>
        <w:rPr>
          <w:b/>
        </w:rPr>
        <w:t xml:space="preserve">26 </w:t>
      </w:r>
      <w:r>
        <w:t xml:space="preserve">And they cast their lots; and the lot fell upon Matthias</w:t>
      </w:r>
      <w:r>
        <w:rPr>
          <w:rStyle w:val="FootnoteReference"/>
        </w:rPr>
        <w:footnoteReference w:id="16456"/>
      </w:r>
      <w:r>
        <w:t xml:space="preserve">; and he was numbered with the eleven apostles.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when the day of Pentecost</w:t>
      </w:r>
      <w:r>
        <w:rPr>
          <w:rStyle w:val="FootnoteReference"/>
        </w:rPr>
        <w:footnoteReference w:id="16457"/>
      </w:r>
      <w:r>
        <w:t xml:space="preserve"> was fully come, they were all with one accord in one place.</w:t>
      </w:r>
    </w:p>
    <w:p>
      <w:r>
        <w:rPr>
          <w:b/>
        </w:rPr>
        <w:t xml:space="preserve">2 </w:t>
      </w:r>
      <w:r>
        <w:t xml:space="preserve">And suddenly</w:t>
      </w:r>
      <w:r>
        <w:rPr>
          <w:rStyle w:val="FootnoteReference"/>
        </w:rPr>
        <w:footnoteReference w:id="16458"/>
      </w:r>
      <w:r>
        <w:t xml:space="preserve"> there came a sound from heaven as of a rushing mighty wind, and it filled all the house where they were sitting.</w:t>
      </w:r>
    </w:p>
    <w:p>
      <w:r>
        <w:rPr>
          <w:b/>
        </w:rPr>
        <w:t xml:space="preserve">3 </w:t>
      </w:r>
      <w:r>
        <w:t xml:space="preserve">And there appeared to them divided tongues as of fire, and one sat upon each of them.</w:t>
      </w:r>
    </w:p>
    <w:p>
      <w:r>
        <w:rPr>
          <w:b/>
        </w:rPr>
        <w:t xml:space="preserve">4 </w:t>
      </w:r>
      <w:r>
        <w:t xml:space="preserve">And they were all filled</w:t>
      </w:r>
      <w:r>
        <w:rPr>
          <w:rStyle w:val="FootnoteReference"/>
        </w:rPr>
        <w:footnoteReference w:id="16459"/>
      </w:r>
      <w:r>
        <w:t xml:space="preserve"> with the Holy Spirit, and began to speak with other tongues, as the Spirit gave them utterance.</w:t>
      </w:r>
    </w:p>
    <w:p>
      <w:r>
        <w:rPr>
          <w:b/>
        </w:rPr>
        <w:t xml:space="preserve">5 </w:t>
      </w:r>
      <w:r>
        <w:t xml:space="preserve">And there were dwelling at Jerusalem Jews, devout</w:t>
      </w:r>
      <w:r>
        <w:rPr>
          <w:rStyle w:val="FootnoteReference"/>
        </w:rPr>
        <w:footnoteReference w:id="16460"/>
      </w:r>
      <w:r>
        <w:t xml:space="preserve"> men, out of every nation under heaven.</w:t>
      </w:r>
    </w:p>
    <w:p>
      <w:r>
        <w:rPr>
          <w:b/>
        </w:rPr>
        <w:t xml:space="preserve">6 </w:t>
      </w:r>
      <w:r>
        <w:t xml:space="preserve">Now when this sound happened, the multitude</w:t>
      </w:r>
      <w:r>
        <w:rPr>
          <w:rStyle w:val="FootnoteReference"/>
        </w:rPr>
        <w:footnoteReference w:id="16461"/>
      </w:r>
      <w:r>
        <w:t xml:space="preserve"> came together, and were confounded, because every man heard them speak in his own language.</w:t>
      </w:r>
    </w:p>
    <w:p>
      <w:r>
        <w:rPr>
          <w:b/>
        </w:rPr>
        <w:t xml:space="preserve">7 </w:t>
      </w:r>
      <w:r>
        <w:t xml:space="preserve">And they were all amazed</w:t>
      </w:r>
      <w:r>
        <w:rPr>
          <w:rStyle w:val="FootnoteReference"/>
        </w:rPr>
        <w:footnoteReference w:id="16462"/>
      </w:r>
      <w:r>
        <w:t xml:space="preserve"> and marveled, saying one to another, Look, are not all these which speak Galilaeans?</w:t>
      </w:r>
    </w:p>
    <w:p>
      <w:r>
        <w:rPr>
          <w:b/>
        </w:rPr>
        <w:t xml:space="preserve">8 </w:t>
      </w:r>
      <w:r>
        <w:t xml:space="preserve">And how do we hear every man in our own tongue, in which we were born?</w:t>
      </w:r>
    </w:p>
    <w:p>
      <w:r>
        <w:rPr>
          <w:b/>
        </w:rPr>
        <w:t xml:space="preserve">9 </w:t>
      </w:r>
      <w:r>
        <w:t xml:space="preserve">Parthians</w:t>
      </w:r>
      <w:r>
        <w:rPr>
          <w:rStyle w:val="FootnoteReference"/>
        </w:rPr>
        <w:footnoteReference w:id="16463"/>
      </w:r>
      <w:r>
        <w:t xml:space="preserve">, and Medes</w:t>
      </w:r>
      <w:r>
        <w:rPr>
          <w:rStyle w:val="FootnoteReference"/>
        </w:rPr>
        <w:footnoteReference w:id="16464"/>
      </w:r>
      <w:r>
        <w:t xml:space="preserve">, and Elamites</w:t>
      </w:r>
      <w:r>
        <w:rPr>
          <w:rStyle w:val="FootnoteReference"/>
        </w:rPr>
        <w:footnoteReference w:id="16465"/>
      </w:r>
      <w:r>
        <w:t xml:space="preserve">, and the dwellers in Mesopotamia</w:t>
      </w:r>
      <w:r>
        <w:rPr>
          <w:rStyle w:val="FootnoteReference"/>
        </w:rPr>
        <w:footnoteReference w:id="16466"/>
      </w:r>
      <w:r>
        <w:t xml:space="preserve">, and in Judea, and Cappadocia</w:t>
      </w:r>
      <w:r>
        <w:rPr>
          <w:rStyle w:val="FootnoteReference"/>
        </w:rPr>
        <w:footnoteReference w:id="16467"/>
      </w:r>
      <w:r>
        <w:t xml:space="preserve">, in Pontus</w:t>
      </w:r>
      <w:r>
        <w:rPr>
          <w:rStyle w:val="FootnoteReference"/>
        </w:rPr>
        <w:footnoteReference w:id="16468"/>
      </w:r>
      <w:r>
        <w:t xml:space="preserve">, and Asia</w:t>
      </w:r>
      <w:r>
        <w:rPr>
          <w:rStyle w:val="FootnoteReference"/>
        </w:rPr>
        <w:footnoteReference w:id="16469"/>
      </w:r>
      <w:r>
        <w:t xml:space="preserve">,</w:t>
      </w:r>
      <w:r>
        <w:rPr>
          <w:rStyle w:val="FootnoteReference"/>
        </w:rPr>
        <w:footnoteReference w:id="16470"/>
      </w:r>
    </w:p>
    <w:p>
      <w:r>
        <w:rPr>
          <w:b/>
        </w:rPr>
        <w:t xml:space="preserve">10 </w:t>
      </w:r>
      <w:r>
        <w:t xml:space="preserve">Phrygia</w:t>
      </w:r>
      <w:r>
        <w:rPr>
          <w:rStyle w:val="FootnoteReference"/>
        </w:rPr>
        <w:footnoteReference w:id="16471"/>
      </w:r>
      <w:r>
        <w:t xml:space="preserve">, and Pamphylia</w:t>
      </w:r>
      <w:r>
        <w:rPr>
          <w:rStyle w:val="FootnoteReference"/>
        </w:rPr>
        <w:footnoteReference w:id="16472"/>
      </w:r>
      <w:r>
        <w:t xml:space="preserve">, in Egypt, and in the parts of Libya</w:t>
      </w:r>
      <w:r>
        <w:rPr>
          <w:rStyle w:val="FootnoteReference"/>
        </w:rPr>
        <w:footnoteReference w:id="16473"/>
      </w:r>
      <w:r>
        <w:t xml:space="preserve"> about Cyrene, and strangers of Rome</w:t>
      </w:r>
      <w:r>
        <w:rPr>
          <w:rStyle w:val="FootnoteReference"/>
        </w:rPr>
        <w:footnoteReference w:id="16474"/>
      </w:r>
      <w:r>
        <w:t xml:space="preserve">, Jews and proselytes,</w:t>
      </w:r>
      <w:r>
        <w:rPr>
          <w:rStyle w:val="FootnoteReference"/>
        </w:rPr>
        <w:footnoteReference w:id="16475"/>
      </w:r>
    </w:p>
    <w:p>
      <w:r>
        <w:rPr>
          <w:b/>
        </w:rPr>
        <w:t xml:space="preserve">11 </w:t>
      </w:r>
      <w:r>
        <w:t xml:space="preserve">Cretans</w:t>
      </w:r>
      <w:r>
        <w:rPr>
          <w:rStyle w:val="FootnoteReference"/>
        </w:rPr>
        <w:footnoteReference w:id="16476"/>
      </w:r>
      <w:r>
        <w:t xml:space="preserve"> and Arabians</w:t>
      </w:r>
      <w:r>
        <w:rPr>
          <w:rStyle w:val="FootnoteReference"/>
        </w:rPr>
        <w:footnoteReference w:id="16477"/>
      </w:r>
      <w:r>
        <w:t xml:space="preserve">, we hear them speak in our tongues the wonderful works of God.</w:t>
      </w:r>
      <w:r>
        <w:rPr>
          <w:rStyle w:val="FootnoteReference"/>
        </w:rPr>
        <w:footnoteReference w:id="16478"/>
      </w:r>
    </w:p>
    <w:p>
      <w:r>
        <w:rPr>
          <w:b/>
        </w:rPr>
        <w:t xml:space="preserve">12 </w:t>
      </w:r>
      <w:r>
        <w:t xml:space="preserve">And they were all amazed, and were in doubt, saying one to another, What does this mean?</w:t>
      </w:r>
    </w:p>
    <w:p>
      <w:r>
        <w:rPr>
          <w:b/>
        </w:rPr>
        <w:t xml:space="preserve">13 </w:t>
      </w:r>
      <w:r>
        <w:t xml:space="preserve">Others mocking said, These men are full of new wine.</w:t>
      </w:r>
    </w:p>
    <w:p>
      <w:r>
        <w:rPr>
          <w:b/>
        </w:rPr>
        <w:t xml:space="preserve">14 </w:t>
      </w:r>
      <w:r>
        <w:t xml:space="preserve">But Peter, standing up with the eleven, lifted</w:t>
      </w:r>
      <w:r>
        <w:rPr>
          <w:rStyle w:val="FootnoteReference"/>
        </w:rPr>
        <w:footnoteReference w:id="16479"/>
      </w:r>
      <w:r>
        <w:t xml:space="preserve"> up his voice, and said to them, You men of Judea, and all you that dwell at Jerusalem, be this known to you, and listen to my words:</w:t>
      </w:r>
    </w:p>
    <w:p>
      <w:r>
        <w:rPr>
          <w:b/>
        </w:rPr>
        <w:t xml:space="preserve">15 </w:t>
      </w:r>
      <w:r>
        <w:t xml:space="preserve">For these are not drunk, as you suppose, seeing</w:t>
      </w:r>
      <w:r>
        <w:rPr>
          <w:rStyle w:val="FootnoteReference"/>
        </w:rPr>
        <w:footnoteReference w:id="16480"/>
      </w:r>
      <w:r>
        <w:t xml:space="preserve"> it is but the third hour of the day.</w:t>
      </w:r>
    </w:p>
    <w:p>
      <w:r>
        <w:rPr>
          <w:b/>
        </w:rPr>
        <w:t xml:space="preserve">16 </w:t>
      </w:r>
      <w:r>
        <w:t xml:space="preserve">But this is that which was spoken by the prophet</w:t>
      </w:r>
      <w:r>
        <w:rPr>
          <w:rStyle w:val="FootnoteReference"/>
        </w:rPr>
        <w:footnoteReference w:id="16481"/>
      </w:r>
      <w:r>
        <w:t xml:space="preserve"> Joel</w:t>
      </w:r>
      <w:r>
        <w:rPr>
          <w:rStyle w:val="FootnoteReference"/>
        </w:rPr>
        <w:footnoteReference w:id="16482"/>
      </w:r>
      <w:r>
        <w:t xml:space="preserve">;</w:t>
      </w:r>
    </w:p>
    <w:p>
      <w:r>
        <w:rPr>
          <w:b/>
        </w:rPr>
        <w:t xml:space="preserve">17 </w:t>
      </w:r>
      <w:r>
        <w:t xml:space="preserve">And it will happen in the last days, says God, I will pour out of my Spirit upon all flesh: and your sons</w:t>
      </w:r>
      <w:r>
        <w:rPr>
          <w:rStyle w:val="FootnoteReference"/>
        </w:rPr>
        <w:footnoteReference w:id="16483"/>
      </w:r>
      <w:r>
        <w:t xml:space="preserve"> and your daughters shall prophesy, and your young men shall see visions, and your old men shall dream dreams:</w:t>
      </w:r>
    </w:p>
    <w:p>
      <w:r>
        <w:rPr>
          <w:b/>
        </w:rPr>
        <w:t xml:space="preserve">18 </w:t>
      </w:r>
      <w:r>
        <w:t xml:space="preserve">And on my slaves and on my handmaidens I will pour out in those days of my Spirit; and they shall prophesy:</w:t>
      </w:r>
    </w:p>
    <w:p>
      <w:r>
        <w:rPr>
          <w:b/>
        </w:rPr>
        <w:t xml:space="preserve">19 </w:t>
      </w:r>
      <w:r>
        <w:t xml:space="preserve">And I will show wonders in heaven above, and signs in the earth beneath; blood, and fire, and vapor of smoke:</w:t>
      </w:r>
    </w:p>
    <w:p>
      <w:r>
        <w:rPr>
          <w:b/>
        </w:rPr>
        <w:t xml:space="preserve">20 </w:t>
      </w:r>
      <w:r>
        <w:t xml:space="preserve">The sun shall be turned into darkness, and the moon into blood, before the great and notable day of the Lord come:</w:t>
      </w:r>
    </w:p>
    <w:p>
      <w:r>
        <w:rPr>
          <w:b/>
        </w:rPr>
        <w:t xml:space="preserve">21 </w:t>
      </w:r>
      <w:r>
        <w:t xml:space="preserve">And it will happen, that whoever shall call on the name of the Lord shall be saved.</w:t>
      </w:r>
    </w:p>
    <w:p>
      <w:r>
        <w:rPr>
          <w:b/>
        </w:rPr>
        <w:t xml:space="preserve">22 </w:t>
      </w:r>
      <w:r>
        <w:t xml:space="preserve">You men of Israel, hear these words; Jesus</w:t>
      </w:r>
      <w:r>
        <w:rPr>
          <w:rStyle w:val="FootnoteReference"/>
        </w:rPr>
        <w:footnoteReference w:id="16484"/>
      </w:r>
      <w:r>
        <w:t xml:space="preserve"> of Nazareth, a man approved of God among you by mighty works and wonders and signs, which God did by him in the midst of you, as you yourselves also know:</w:t>
      </w:r>
    </w:p>
    <w:p>
      <w:r>
        <w:rPr>
          <w:b/>
        </w:rPr>
        <w:t xml:space="preserve">23 </w:t>
      </w:r>
      <w:r>
        <w:t xml:space="preserve">Him, being delivered by the determined counsel and foreknowledge of God, you have taken, and by lawless hands have crucified and killed:</w:t>
      </w:r>
    </w:p>
    <w:p>
      <w:r>
        <w:rPr>
          <w:b/>
        </w:rPr>
        <w:t xml:space="preserve">24 </w:t>
      </w:r>
      <w:r>
        <w:t xml:space="preserve">Whom God has raised up, having loosed</w:t>
      </w:r>
      <w:r>
        <w:rPr>
          <w:rStyle w:val="FootnoteReference"/>
        </w:rPr>
        <w:footnoteReference w:id="16485"/>
      </w:r>
      <w:r>
        <w:t xml:space="preserve"> the pains of death: because it was not possible that he should be held of it.</w:t>
      </w:r>
    </w:p>
    <w:p>
      <w:r>
        <w:rPr>
          <w:b/>
        </w:rPr>
        <w:t xml:space="preserve">25 </w:t>
      </w:r>
      <w:r>
        <w:t xml:space="preserve">For David</w:t>
      </w:r>
      <w:r>
        <w:rPr>
          <w:rStyle w:val="FootnoteReference"/>
        </w:rPr>
        <w:footnoteReference w:id="16486"/>
      </w:r>
      <w:r>
        <w:t xml:space="preserve"> speaks concerning him, I foresaw the Lord always before my face, for he is on my right hand, that I should not be moved:</w:t>
      </w:r>
    </w:p>
    <w:p>
      <w:r>
        <w:rPr>
          <w:b/>
        </w:rPr>
        <w:t xml:space="preserve">26 </w:t>
      </w:r>
      <w:r>
        <w:t xml:space="preserve">Therefore did my heart rejoice, and my tongue</w:t>
      </w:r>
      <w:r>
        <w:rPr>
          <w:rStyle w:val="FootnoteReference"/>
        </w:rPr>
        <w:footnoteReference w:id="16487"/>
      </w:r>
      <w:r>
        <w:t xml:space="preserve"> was glad; moreover also my flesh shall rest in hope:</w:t>
      </w:r>
    </w:p>
    <w:p>
      <w:r>
        <w:rPr>
          <w:b/>
        </w:rPr>
        <w:t xml:space="preserve">27 </w:t>
      </w:r>
      <w:r>
        <w:t xml:space="preserve">Because you will not leave</w:t>
      </w:r>
      <w:r>
        <w:rPr>
          <w:rStyle w:val="FootnoteReference"/>
        </w:rPr>
        <w:footnoteReference w:id="16488"/>
      </w:r>
      <w:r>
        <w:t xml:space="preserve"> my soul in Hades, neither will you allow your Holy One to see corruption.</w:t>
      </w:r>
    </w:p>
    <w:p>
      <w:r>
        <w:rPr>
          <w:b/>
        </w:rPr>
        <w:t xml:space="preserve">28 </w:t>
      </w:r>
      <w:r>
        <w:t xml:space="preserve">You have made</w:t>
      </w:r>
      <w:r>
        <w:rPr>
          <w:rStyle w:val="FootnoteReference"/>
        </w:rPr>
        <w:footnoteReference w:id="16489"/>
      </w:r>
      <w:r>
        <w:t xml:space="preserve"> known to me the ways of life; you shall make me full of joy with your face.</w:t>
      </w:r>
    </w:p>
    <w:p>
      <w:r>
        <w:rPr>
          <w:b/>
        </w:rPr>
        <w:t xml:space="preserve">29 </w:t>
      </w:r>
      <w:r>
        <w:t xml:space="preserve">Men and brothers, let me freely</w:t>
      </w:r>
      <w:r>
        <w:rPr>
          <w:rStyle w:val="FootnoteReference"/>
        </w:rPr>
        <w:footnoteReference w:id="16490"/>
      </w:r>
      <w:r>
        <w:t xml:space="preserve"> speak to you of the patriarch David, that he is both dead and buried, and his tomb is with us to this day.</w:t>
      </w:r>
    </w:p>
    <w:p>
      <w:r>
        <w:rPr>
          <w:b/>
        </w:rPr>
        <w:t xml:space="preserve">30 </w:t>
      </w:r>
      <w:r>
        <w:t xml:space="preserve">Therefore being a prophet, and knowing</w:t>
      </w:r>
      <w:r>
        <w:rPr>
          <w:rStyle w:val="FootnoteReference"/>
        </w:rPr>
        <w:footnoteReference w:id="16491"/>
      </w:r>
      <w:r>
        <w:t xml:space="preserve"> that God had sworn with an oath to him, that of the fruit of his loins, according to the flesh, he would raise up Christ to sit on his throne;</w:t>
      </w:r>
    </w:p>
    <w:p>
      <w:r>
        <w:rPr>
          <w:b/>
        </w:rPr>
        <w:t xml:space="preserve">31 </w:t>
      </w:r>
      <w:r>
        <w:t xml:space="preserve">He seeing</w:t>
      </w:r>
      <w:r>
        <w:rPr>
          <w:rStyle w:val="FootnoteReference"/>
        </w:rPr>
        <w:footnoteReference w:id="16492"/>
      </w:r>
      <w:r>
        <w:t xml:space="preserve"> this before spoke of the resurrection of Christ, that his soul was not left in Hades</w:t>
      </w:r>
      <w:r>
        <w:rPr>
          <w:rStyle w:val="FootnoteReference"/>
        </w:rPr>
        <w:footnoteReference w:id="16493"/>
      </w:r>
      <w:r>
        <w:t xml:space="preserve">, neither his flesh did see corruption.</w:t>
      </w:r>
    </w:p>
    <w:p>
      <w:r>
        <w:rPr>
          <w:b/>
        </w:rPr>
        <w:t xml:space="preserve">32 </w:t>
      </w:r>
      <w:r>
        <w:t xml:space="preserve">This Jesus God has raised up, of which we all are witnesses.</w:t>
      </w:r>
    </w:p>
    <w:p>
      <w:r>
        <w:rPr>
          <w:b/>
        </w:rPr>
        <w:t xml:space="preserve">33 </w:t>
      </w:r>
      <w:r>
        <w:t xml:space="preserve">Therefore having been exalted to the right hand of God, and having received of the Father the promise of the Holy Spirit, he has poured forth this, which you now see and hear.</w:t>
      </w:r>
    </w:p>
    <w:p>
      <w:r>
        <w:rPr>
          <w:b/>
        </w:rPr>
        <w:t xml:space="preserve">34 </w:t>
      </w:r>
      <w:r>
        <w:t xml:space="preserve">For David is not ascended into the heavens: but he says himself, The Lord</w:t>
      </w:r>
      <w:r>
        <w:rPr>
          <w:rStyle w:val="FootnoteReference"/>
        </w:rPr>
        <w:footnoteReference w:id="16494"/>
      </w:r>
      <w:r>
        <w:t xml:space="preserve"> said to my Lord, Sit at my right hand,</w:t>
      </w:r>
    </w:p>
    <w:p>
      <w:r>
        <w:rPr>
          <w:b/>
        </w:rPr>
        <w:t xml:space="preserve">35 </w:t>
      </w:r>
      <w:r>
        <w:t xml:space="preserve">Until I make your enemies your footstool.</w:t>
      </w:r>
    </w:p>
    <w:p>
      <w:r>
        <w:rPr>
          <w:b/>
        </w:rPr>
        <w:t xml:space="preserve">36 </w:t>
      </w:r>
      <w:r>
        <w:t xml:space="preserve">Therefore let all the house of Israel know assuredly, that God has made the same Jesus, whom you have crucified, both Lord and Christ.</w:t>
      </w:r>
    </w:p>
    <w:p>
      <w:r>
        <w:rPr>
          <w:b/>
        </w:rPr>
        <w:t xml:space="preserve">37 </w:t>
      </w:r>
      <w:r>
        <w:t xml:space="preserve">Now when they heard this, they were pricked in their heart, and said to Peter and to the rest of the apostles, Men and brothers, what shall we do?</w:t>
      </w:r>
    </w:p>
    <w:p>
      <w:r>
        <w:rPr>
          <w:b/>
        </w:rPr>
        <w:t xml:space="preserve">38 </w:t>
      </w:r>
      <w:r>
        <w:t xml:space="preserve">Then Peter said to them, Repent</w:t>
      </w:r>
      <w:r>
        <w:rPr>
          <w:rStyle w:val="FootnoteReference"/>
        </w:rPr>
        <w:footnoteReference w:id="16495"/>
      </w:r>
      <w:r>
        <w:t xml:space="preserve">, and be baptized every one of you in the name of Jesus Christ for the forgiveness of sins, and you shall receive the gift of the Holy Spirit.</w:t>
      </w:r>
    </w:p>
    <w:p>
      <w:r>
        <w:rPr>
          <w:b/>
        </w:rPr>
        <w:t xml:space="preserve">39 </w:t>
      </w:r>
      <w:r>
        <w:t xml:space="preserve">For the promise</w:t>
      </w:r>
      <w:r>
        <w:rPr>
          <w:rStyle w:val="FootnoteReference"/>
        </w:rPr>
        <w:footnoteReference w:id="16496"/>
      </w:r>
      <w:r>
        <w:t xml:space="preserve"> is to you, and to your children, and to all that are far off, even as many as the Lord our God shall call.</w:t>
      </w:r>
    </w:p>
    <w:p>
      <w:r>
        <w:rPr>
          <w:b/>
        </w:rPr>
        <w:t xml:space="preserve">40 </w:t>
      </w:r>
      <w:r>
        <w:t xml:space="preserve">And with many other words he testified and exhorted, saying, Save</w:t>
      </w:r>
      <w:r>
        <w:rPr>
          <w:rStyle w:val="FootnoteReference"/>
        </w:rPr>
        <w:footnoteReference w:id="16497"/>
      </w:r>
      <w:r>
        <w:t xml:space="preserve"> yourselves from this crooked generation.</w:t>
      </w:r>
    </w:p>
    <w:p>
      <w:r>
        <w:rPr>
          <w:b/>
        </w:rPr>
        <w:t xml:space="preserve">41 </w:t>
      </w:r>
      <w:r>
        <w:t xml:space="preserve">Then those who gladly</w:t>
      </w:r>
      <w:r>
        <w:rPr>
          <w:rStyle w:val="FootnoteReference"/>
        </w:rPr>
        <w:footnoteReference w:id="16498"/>
      </w:r>
      <w:r>
        <w:t xml:space="preserve"> received his word were baptized: and the same day there were added to them about three thousand souls.</w:t>
      </w:r>
    </w:p>
    <w:p>
      <w:r>
        <w:rPr>
          <w:b/>
        </w:rPr>
        <w:t xml:space="preserve">42 </w:t>
      </w:r>
      <w:r>
        <w:t xml:space="preserve">And they continued steadfastly in the apostles' doctrine and fellowship</w:t>
      </w:r>
      <w:r>
        <w:rPr>
          <w:rStyle w:val="FootnoteReference"/>
        </w:rPr>
        <w:footnoteReference w:id="16499"/>
      </w:r>
      <w:r>
        <w:t xml:space="preserve">, and in breaking of bread, and in prayers.</w:t>
      </w:r>
    </w:p>
    <w:p>
      <w:r>
        <w:rPr>
          <w:b/>
        </w:rPr>
        <w:t xml:space="preserve">43 </w:t>
      </w:r>
      <w:r>
        <w:t xml:space="preserve">And fear</w:t>
      </w:r>
      <w:r>
        <w:rPr>
          <w:rStyle w:val="FootnoteReference"/>
        </w:rPr>
        <w:footnoteReference w:id="16500"/>
      </w:r>
      <w:r>
        <w:t xml:space="preserve"> came upon every soul: and many wonders and signs were done by the apostles.</w:t>
      </w:r>
    </w:p>
    <w:p>
      <w:r>
        <w:rPr>
          <w:b/>
        </w:rPr>
        <w:t xml:space="preserve">44 </w:t>
      </w:r>
      <w:r>
        <w:t xml:space="preserve">And all that believed were together, and had all things common;</w:t>
      </w:r>
    </w:p>
    <w:p>
      <w:r>
        <w:rPr>
          <w:b/>
        </w:rPr>
        <w:t xml:space="preserve">45 </w:t>
      </w:r>
      <w:r>
        <w:t xml:space="preserve">And sold</w:t>
      </w:r>
      <w:r>
        <w:rPr>
          <w:rStyle w:val="FootnoteReference"/>
        </w:rPr>
        <w:footnoteReference w:id="16501"/>
      </w:r>
      <w:r>
        <w:t xml:space="preserve"> their possessions and goods, and distributed them to all, as anyone had need.</w:t>
      </w:r>
    </w:p>
    <w:p>
      <w:r>
        <w:rPr>
          <w:b/>
        </w:rPr>
        <w:t xml:space="preserve">46 </w:t>
      </w:r>
      <w:r>
        <w:t xml:space="preserve">And they, continuing daily</w:t>
      </w:r>
      <w:r>
        <w:rPr>
          <w:rStyle w:val="FootnoteReference"/>
        </w:rPr>
        <w:footnoteReference w:id="16502"/>
      </w:r>
      <w:r>
        <w:t xml:space="preserve"> with one accord in the temple, and breaking bread from house to house, did eat their food with gladness and singleness of heart,</w:t>
      </w:r>
    </w:p>
    <w:p>
      <w:r>
        <w:rPr>
          <w:b/>
        </w:rPr>
        <w:t xml:space="preserve">47 </w:t>
      </w:r>
      <w:r>
        <w:t xml:space="preserve">Praising God, and having favor with all the people. And the Lord</w:t>
      </w:r>
      <w:r>
        <w:rPr>
          <w:rStyle w:val="FootnoteReference"/>
        </w:rPr>
        <w:footnoteReference w:id="16503"/>
      </w:r>
      <w:r>
        <w:t xml:space="preserve"> added to the assembly daily such as should be saved.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Now Peter</w:t>
      </w:r>
      <w:r>
        <w:rPr>
          <w:rStyle w:val="FootnoteReference"/>
        </w:rPr>
        <w:footnoteReference w:id="16504"/>
      </w:r>
      <w:r>
        <w:t xml:space="preserve"> and John went up together into the temple at the hour of prayer, being the ninth hour.</w:t>
      </w:r>
    </w:p>
    <w:p>
      <w:r>
        <w:rPr>
          <w:b/>
        </w:rPr>
        <w:t xml:space="preserve">2 </w:t>
      </w:r>
      <w:r>
        <w:t xml:space="preserve">And a certain man lame</w:t>
      </w:r>
      <w:r>
        <w:rPr>
          <w:rStyle w:val="FootnoteReference"/>
        </w:rPr>
        <w:footnoteReference w:id="16505"/>
      </w:r>
      <w:r>
        <w:t xml:space="preserve"> from his mother's womb was carried, whom they laid daily at the gate of the temple which is called Beautiful, to ask alms of those who entered into the temple;</w:t>
      </w:r>
    </w:p>
    <w:p>
      <w:r>
        <w:rPr>
          <w:b/>
        </w:rPr>
        <w:t xml:space="preserve">3 </w:t>
      </w:r>
      <w:r>
        <w:t xml:space="preserve">Who seeing Peter and John about to go into the temple asked for alms.</w:t>
      </w:r>
    </w:p>
    <w:p>
      <w:r>
        <w:rPr>
          <w:b/>
        </w:rPr>
        <w:t xml:space="preserve">4 </w:t>
      </w:r>
      <w:r>
        <w:t xml:space="preserve">And Peter, fastening</w:t>
      </w:r>
      <w:r>
        <w:rPr>
          <w:rStyle w:val="FootnoteReference"/>
        </w:rPr>
        <w:footnoteReference w:id="16506"/>
      </w:r>
      <w:r>
        <w:t xml:space="preserve"> his eyes upon him with John, said, Look on us.</w:t>
      </w:r>
    </w:p>
    <w:p>
      <w:r>
        <w:rPr>
          <w:b/>
        </w:rPr>
        <w:t xml:space="preserve">5 </w:t>
      </w:r>
      <w:r>
        <w:t xml:space="preserve">And he gave heed to them, expecting to receive something of them.</w:t>
      </w:r>
    </w:p>
    <w:p>
      <w:r>
        <w:rPr>
          <w:b/>
        </w:rPr>
        <w:t xml:space="preserve">6 </w:t>
      </w:r>
      <w:r>
        <w:t xml:space="preserve">Then Peter said, Silver</w:t>
      </w:r>
      <w:r>
        <w:rPr>
          <w:rStyle w:val="FootnoteReference"/>
        </w:rPr>
        <w:footnoteReference w:id="16507"/>
      </w:r>
      <w:r>
        <w:t xml:space="preserve"> and gold I have none; but what I have I give you: In the name of Jesus Christ of Nazareth rise up and walk.</w:t>
      </w:r>
    </w:p>
    <w:p>
      <w:r>
        <w:rPr>
          <w:b/>
        </w:rPr>
        <w:t xml:space="preserve">7 </w:t>
      </w:r>
      <w:r>
        <w:t xml:space="preserve">And he took him by the right hand, and lifted him up: and immediately his feet and ankle bones received strength.</w:t>
      </w:r>
    </w:p>
    <w:p>
      <w:r>
        <w:rPr>
          <w:b/>
        </w:rPr>
        <w:t xml:space="preserve">8 </w:t>
      </w:r>
      <w:r>
        <w:t xml:space="preserve">And leaping up, he stood, and walked, and entered with them into the temple, walking, and leaping, and praising</w:t>
      </w:r>
      <w:r>
        <w:rPr>
          <w:rStyle w:val="FootnoteReference"/>
        </w:rPr>
        <w:footnoteReference w:id="16508"/>
      </w:r>
      <w:r>
        <w:t xml:space="preserve"> God.</w:t>
      </w:r>
    </w:p>
    <w:p>
      <w:r>
        <w:rPr>
          <w:b/>
        </w:rPr>
        <w:t xml:space="preserve">9 </w:t>
      </w:r>
      <w:r>
        <w:t xml:space="preserve">And all the people saw him walking and praising God:</w:t>
      </w:r>
    </w:p>
    <w:p>
      <w:r>
        <w:rPr>
          <w:b/>
        </w:rPr>
        <w:t xml:space="preserve">10 </w:t>
      </w:r>
      <w:r>
        <w:t xml:space="preserve">And they knew</w:t>
      </w:r>
      <w:r>
        <w:rPr>
          <w:rStyle w:val="FootnoteReference"/>
        </w:rPr>
        <w:footnoteReference w:id="16509"/>
      </w:r>
      <w:r>
        <w:t xml:space="preserve"> that it was the one who sat for alms at the Beautiful gate of the temple: and they were filled with wonder and amazement at that which had happened to him.</w:t>
      </w:r>
    </w:p>
    <w:p>
      <w:r>
        <w:rPr>
          <w:b/>
        </w:rPr>
        <w:t xml:space="preserve">11 </w:t>
      </w:r>
      <w:r>
        <w:t xml:space="preserve">And as the lame man who was healed held</w:t>
      </w:r>
      <w:r>
        <w:rPr>
          <w:rStyle w:val="FootnoteReference"/>
        </w:rPr>
        <w:footnoteReference w:id="16510"/>
      </w:r>
      <w:r>
        <w:t xml:space="preserve"> Peter and John, all the people ran together to them in the porch that is called Solomon's, greatly wondering.</w:t>
      </w:r>
    </w:p>
    <w:p>
      <w:r>
        <w:rPr>
          <w:b/>
        </w:rPr>
        <w:t xml:space="preserve">12 </w:t>
      </w:r>
      <w:r>
        <w:t xml:space="preserve">And when Peter saw it, he answered to the people, You men of Israel, why do you marvel at this? or why do you look so earnestly on us, as though by our own power or holiness we had made this man to walk?</w:t>
      </w:r>
    </w:p>
    <w:p>
      <w:r>
        <w:rPr>
          <w:b/>
        </w:rPr>
        <w:t xml:space="preserve">13 </w:t>
      </w:r>
      <w:r>
        <w:t xml:space="preserve">The God of Abraham</w:t>
      </w:r>
      <w:r>
        <w:rPr>
          <w:rStyle w:val="FootnoteReference"/>
        </w:rPr>
        <w:footnoteReference w:id="16511"/>
      </w:r>
      <w:r>
        <w:t xml:space="preserve">, and of Isaac, and of Jacob, the God of our fathers, has glorified his Servant Jesus; whom you delivered up, and denied him in the presence of Pilate, when he was determined to let him go.</w:t>
      </w:r>
    </w:p>
    <w:p>
      <w:r>
        <w:rPr>
          <w:b/>
        </w:rPr>
        <w:t xml:space="preserve">14 </w:t>
      </w:r>
      <w:r>
        <w:t xml:space="preserve">But you denied the Holy One</w:t>
      </w:r>
      <w:r>
        <w:rPr>
          <w:rStyle w:val="FootnoteReference"/>
        </w:rPr>
        <w:footnoteReference w:id="16512"/>
      </w:r>
      <w:r>
        <w:t xml:space="preserve"> and the Just, and desired a murderer to be granted to you;</w:t>
      </w:r>
    </w:p>
    <w:p>
      <w:r>
        <w:rPr>
          <w:b/>
        </w:rPr>
        <w:t xml:space="preserve">15 </w:t>
      </w:r>
      <w:r>
        <w:t xml:space="preserve">And killed the Author of life, whom God has raised from the dead; of which we are witnesses.</w:t>
      </w:r>
    </w:p>
    <w:p>
      <w:r>
        <w:rPr>
          <w:b/>
        </w:rPr>
        <w:t xml:space="preserve">16 </w:t>
      </w:r>
      <w:r>
        <w:t xml:space="preserve">And his name through faith in his name has made this man strong, whom you see and know: yes, the faith which is by him has given him this perfect</w:t>
      </w:r>
      <w:r>
        <w:rPr>
          <w:rStyle w:val="FootnoteReference"/>
        </w:rPr>
        <w:footnoteReference w:id="16513"/>
      </w:r>
      <w:r>
        <w:t xml:space="preserve"> soundness in the presence of you all.</w:t>
      </w:r>
    </w:p>
    <w:p>
      <w:r>
        <w:rPr>
          <w:b/>
        </w:rPr>
        <w:t xml:space="preserve">17 </w:t>
      </w:r>
      <w:r>
        <w:t xml:space="preserve">And now, brothers, I know that through ignorance you did it, as did also your rulers.</w:t>
      </w:r>
    </w:p>
    <w:p>
      <w:r>
        <w:rPr>
          <w:b/>
        </w:rPr>
        <w:t xml:space="preserve">18 </w:t>
      </w:r>
      <w:r>
        <w:t xml:space="preserve">But those</w:t>
      </w:r>
      <w:r>
        <w:rPr>
          <w:rStyle w:val="FootnoteReference"/>
        </w:rPr>
        <w:footnoteReference w:id="16514"/>
      </w:r>
      <w:r>
        <w:t xml:space="preserve"> things, which God before had showed by the mouth of all his prophets, that Christ should suffer, he has so fulfilled.</w:t>
      </w:r>
    </w:p>
    <w:p>
      <w:r>
        <w:rPr>
          <w:b/>
        </w:rPr>
        <w:t xml:space="preserve">19 </w:t>
      </w:r>
      <w:r>
        <w:t xml:space="preserve">Repent</w:t>
      </w:r>
      <w:r>
        <w:rPr>
          <w:rStyle w:val="FootnoteReference"/>
        </w:rPr>
        <w:footnoteReference w:id="16515"/>
      </w:r>
      <w:r>
        <w:t xml:space="preserve"> you therefore, and be converted, that your sins may be blotted out, when the times of refreshing shall come from the presence of the Lord.</w:t>
      </w:r>
    </w:p>
    <w:p>
      <w:r>
        <w:rPr>
          <w:b/>
        </w:rPr>
        <w:t xml:space="preserve">20 </w:t>
      </w:r>
      <w:r>
        <w:t xml:space="preserve">And he shall send Jesus Christ, who before was preached to you:</w:t>
      </w:r>
    </w:p>
    <w:p>
      <w:r>
        <w:rPr>
          <w:b/>
        </w:rPr>
        <w:t xml:space="preserve">21 </w:t>
      </w:r>
      <w:r>
        <w:t xml:space="preserve">Whom the heaven</w:t>
      </w:r>
      <w:r>
        <w:rPr>
          <w:rStyle w:val="FootnoteReference"/>
        </w:rPr>
        <w:footnoteReference w:id="16516"/>
      </w:r>
      <w:r>
        <w:t xml:space="preserve"> must receive until the times of restitution of all things, which God has spoken by the mouth of all his holy prophets since the world began.</w:t>
      </w:r>
    </w:p>
    <w:p>
      <w:r>
        <w:rPr>
          <w:b/>
        </w:rPr>
        <w:t xml:space="preserve">22 </w:t>
      </w:r>
      <w:r>
        <w:t xml:space="preserve">For Moses</w:t>
      </w:r>
      <w:r>
        <w:rPr>
          <w:rStyle w:val="FootnoteReference"/>
        </w:rPr>
        <w:footnoteReference w:id="16517"/>
      </w:r>
      <w:r>
        <w:t xml:space="preserve"> truly said to the fathers, A prophet shall the Lord your God raise up to you of your brothers, like to me; him shall you hear in all things whatever he shall say to you.</w:t>
      </w:r>
    </w:p>
    <w:p>
      <w:r>
        <w:rPr>
          <w:b/>
        </w:rPr>
        <w:t xml:space="preserve">23 </w:t>
      </w:r>
      <w:r>
        <w:t xml:space="preserve">And it will happen, that every</w:t>
      </w:r>
      <w:r>
        <w:rPr>
          <w:rStyle w:val="FootnoteReference"/>
        </w:rPr>
        <w:footnoteReference w:id="16518"/>
      </w:r>
      <w:r>
        <w:t xml:space="preserve"> soul, which will not hear that prophet, shall be destroyed from among the people.</w:t>
      </w:r>
    </w:p>
    <w:p>
      <w:r>
        <w:rPr>
          <w:b/>
        </w:rPr>
        <w:t xml:space="preserve">24 </w:t>
      </w:r>
      <w:r>
        <w:t xml:space="preserve">Yes, and all the prophets from Samuel</w:t>
      </w:r>
      <w:r>
        <w:rPr>
          <w:rStyle w:val="FootnoteReference"/>
        </w:rPr>
        <w:footnoteReference w:id="16519"/>
      </w:r>
      <w:r>
        <w:t xml:space="preserve"> and those that follow after, as many as have spoken, have likewise foretold of these days.</w:t>
      </w:r>
      <w:r>
        <w:rPr>
          <w:rStyle w:val="FootnoteReference"/>
        </w:rPr>
        <w:footnoteReference w:id="16520"/>
      </w:r>
    </w:p>
    <w:p>
      <w:r>
        <w:rPr>
          <w:b/>
        </w:rPr>
        <w:t xml:space="preserve">25 </w:t>
      </w:r>
      <w:r>
        <w:t xml:space="preserve">You are the children</w:t>
      </w:r>
      <w:r>
        <w:rPr>
          <w:rStyle w:val="FootnoteReference"/>
        </w:rPr>
        <w:footnoteReference w:id="16521"/>
      </w:r>
      <w:r>
        <w:t xml:space="preserve"> of the prophets, and of the covenant which God made with our fathers, saying to Abraham, And in your seed shall all the families of the earth be blessed.</w:t>
      </w:r>
    </w:p>
    <w:p>
      <w:r>
        <w:rPr>
          <w:b/>
        </w:rPr>
        <w:t xml:space="preserve">26 </w:t>
      </w:r>
      <w:r>
        <w:t xml:space="preserve">To you first</w:t>
      </w:r>
      <w:r>
        <w:rPr>
          <w:rStyle w:val="FootnoteReference"/>
        </w:rPr>
        <w:footnoteReference w:id="16522"/>
      </w:r>
      <w:r>
        <w:t xml:space="preserve"> God, having raised up his Servant Jesus, sent him to bless you, in turning away every one of you from his iniquities.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And as they spoke to the people, the priests</w:t>
      </w:r>
      <w:r>
        <w:rPr>
          <w:rStyle w:val="FootnoteReference"/>
        </w:rPr>
        <w:footnoteReference w:id="16523"/>
      </w:r>
      <w:r>
        <w:t xml:space="preserve">, and the captain of the temple, and the Sadducees, came upon them,</w:t>
      </w:r>
    </w:p>
    <w:p>
      <w:r>
        <w:rPr>
          <w:b/>
        </w:rPr>
        <w:t xml:space="preserve">2 </w:t>
      </w:r>
      <w:r>
        <w:t xml:space="preserve">Being grieved</w:t>
      </w:r>
      <w:r>
        <w:rPr>
          <w:rStyle w:val="FootnoteReference"/>
        </w:rPr>
        <w:footnoteReference w:id="16524"/>
      </w:r>
      <w:r>
        <w:t xml:space="preserve"> that they taught the people, and proclaimed in Jesus the resurrection from the dead.</w:t>
      </w:r>
    </w:p>
    <w:p>
      <w:r>
        <w:rPr>
          <w:b/>
        </w:rPr>
        <w:t xml:space="preserve">3 </w:t>
      </w:r>
      <w:r>
        <w:t xml:space="preserve">And they laid</w:t>
      </w:r>
      <w:r>
        <w:rPr>
          <w:rStyle w:val="FootnoteReference"/>
        </w:rPr>
        <w:footnoteReference w:id="16525"/>
      </w:r>
      <w:r>
        <w:t xml:space="preserve"> hands on them, and put them in custody to the next day: for it was now evening.</w:t>
      </w:r>
    </w:p>
    <w:p>
      <w:r>
        <w:rPr>
          <w:b/>
        </w:rPr>
        <w:t xml:space="preserve">4 </w:t>
      </w:r>
      <w:r>
        <w:t xml:space="preserve">Nevertheless many of those who heard the word believed; and the number</w:t>
      </w:r>
      <w:r>
        <w:rPr>
          <w:rStyle w:val="FootnoteReference"/>
        </w:rPr>
        <w:footnoteReference w:id="16526"/>
      </w:r>
      <w:r>
        <w:t xml:space="preserve"> of the men was about five thousand.</w:t>
      </w:r>
    </w:p>
    <w:p>
      <w:r>
        <w:rPr>
          <w:b/>
        </w:rPr>
        <w:t xml:space="preserve">5 </w:t>
      </w:r>
      <w:r>
        <w:t xml:space="preserve">And it happened on the next day, that their rulers</w:t>
      </w:r>
      <w:r>
        <w:rPr>
          <w:rStyle w:val="FootnoteReference"/>
        </w:rPr>
        <w:footnoteReference w:id="16527"/>
      </w:r>
      <w:r>
        <w:t xml:space="preserve">, and elders, and scribes,</w:t>
      </w:r>
    </w:p>
    <w:p>
      <w:r>
        <w:rPr>
          <w:b/>
        </w:rPr>
        <w:t xml:space="preserve">6 </w:t>
      </w:r>
      <w:r>
        <w:t xml:space="preserve">And Annas</w:t>
      </w:r>
      <w:r>
        <w:rPr>
          <w:rStyle w:val="FootnoteReference"/>
        </w:rPr>
        <w:footnoteReference w:id="16528"/>
      </w:r>
      <w:r>
        <w:t xml:space="preserve"> the high priest, and Caiaphas, and John, and Alexander, and as many as were of the kindred of the high priest, were gathered together at Jerusalem.</w:t>
      </w:r>
    </w:p>
    <w:p>
      <w:r>
        <w:rPr>
          <w:b/>
        </w:rPr>
        <w:t xml:space="preserve">7 </w:t>
      </w:r>
      <w:r>
        <w:t xml:space="preserve">And when they had set them in the midst, they asked, By what power</w:t>
      </w:r>
      <w:r>
        <w:rPr>
          <w:rStyle w:val="FootnoteReference"/>
        </w:rPr>
        <w:footnoteReference w:id="16529"/>
      </w:r>
      <w:r>
        <w:t xml:space="preserve">, or by what name, have you done this?</w:t>
      </w:r>
    </w:p>
    <w:p>
      <w:r>
        <w:rPr>
          <w:b/>
        </w:rPr>
        <w:t xml:space="preserve">8 </w:t>
      </w:r>
      <w:r>
        <w:t xml:space="preserve">Then Peter, filled</w:t>
      </w:r>
      <w:r>
        <w:rPr>
          <w:rStyle w:val="FootnoteReference"/>
        </w:rPr>
        <w:footnoteReference w:id="16530"/>
      </w:r>
      <w:r>
        <w:t xml:space="preserve"> with the Holy Spirit, said to them, You rulers of the people, and elders of Israel,</w:t>
      </w:r>
    </w:p>
    <w:p>
      <w:r>
        <w:rPr>
          <w:b/>
        </w:rPr>
        <w:t xml:space="preserve">9 </w:t>
      </w:r>
      <w:r>
        <w:t xml:space="preserve">If we this day are examined of the good</w:t>
      </w:r>
      <w:r>
        <w:rPr>
          <w:rStyle w:val="FootnoteReference"/>
        </w:rPr>
        <w:footnoteReference w:id="16531"/>
      </w:r>
      <w:r>
        <w:t xml:space="preserve"> deed done to the sick man, by what means he is made whole;</w:t>
      </w:r>
    </w:p>
    <w:p>
      <w:r>
        <w:rPr>
          <w:b/>
        </w:rPr>
        <w:t xml:space="preserve">10 </w:t>
      </w:r>
      <w:r>
        <w:t xml:space="preserve">Be it known</w:t>
      </w:r>
      <w:r>
        <w:rPr>
          <w:rStyle w:val="FootnoteReference"/>
        </w:rPr>
        <w:footnoteReference w:id="16532"/>
      </w:r>
      <w:r>
        <w:t xml:space="preserve"> to you all, and to all the people of Israel, that by the name of Jesus Christ of Nazareth, whom you crucified, whom God raised from the dead, even by him does this man stand here before you whole.</w:t>
      </w:r>
    </w:p>
    <w:p>
      <w:r>
        <w:rPr>
          <w:b/>
        </w:rPr>
        <w:t xml:space="preserve">11 </w:t>
      </w:r>
      <w:r>
        <w:t xml:space="preserve">This is the stone</w:t>
      </w:r>
      <w:r>
        <w:rPr>
          <w:rStyle w:val="FootnoteReference"/>
        </w:rPr>
        <w:footnoteReference w:id="16533"/>
      </w:r>
      <w:r>
        <w:t xml:space="preserve"> which was rejected by you builders, which has become the head of the corner.</w:t>
      </w:r>
    </w:p>
    <w:p>
      <w:r>
        <w:rPr>
          <w:b/>
        </w:rPr>
        <w:t xml:space="preserve">12 </w:t>
      </w:r>
      <w:r>
        <w:t xml:space="preserve">Neither is there</w:t>
      </w:r>
      <w:r>
        <w:rPr>
          <w:rStyle w:val="FootnoteReference"/>
        </w:rPr>
        <w:footnoteReference w:id="16534"/>
      </w:r>
      <w:r>
        <w:t xml:space="preserve"> salvation in any other: for there is no other name under heaven given among men, by which we must be saved.</w:t>
      </w:r>
    </w:p>
    <w:p>
      <w:r>
        <w:rPr>
          <w:b/>
        </w:rPr>
        <w:t xml:space="preserve">13 </w:t>
      </w:r>
      <w:r>
        <w:t xml:space="preserve">Now when they saw the boldness of Peter and John, and perceived that they were unlearned and ignorant men, they marveled; and they took</w:t>
      </w:r>
      <w:r>
        <w:rPr>
          <w:rStyle w:val="FootnoteReference"/>
        </w:rPr>
        <w:footnoteReference w:id="16535"/>
      </w:r>
      <w:r>
        <w:t xml:space="preserve"> knowledge of them, that they had been with Jesus.</w:t>
      </w:r>
    </w:p>
    <w:p>
      <w:r>
        <w:rPr>
          <w:b/>
        </w:rPr>
        <w:t xml:space="preserve">14 </w:t>
      </w:r>
      <w:r>
        <w:t xml:space="preserve">And beholding</w:t>
      </w:r>
      <w:r>
        <w:rPr>
          <w:rStyle w:val="FootnoteReference"/>
        </w:rPr>
        <w:footnoteReference w:id="16536"/>
      </w:r>
      <w:r>
        <w:t xml:space="preserve"> the man who was healed standing with them, they could say nothing against it.</w:t>
      </w:r>
    </w:p>
    <w:p>
      <w:r>
        <w:rPr>
          <w:b/>
        </w:rPr>
        <w:t xml:space="preserve">15 </w:t>
      </w:r>
      <w:r>
        <w:t xml:space="preserve">But when they had commanded them to go</w:t>
      </w:r>
      <w:r>
        <w:rPr>
          <w:rStyle w:val="FootnoteReference"/>
        </w:rPr>
        <w:footnoteReference w:id="16537"/>
      </w:r>
      <w:r>
        <w:t xml:space="preserve"> aside out of the council, they conferred among themselves,</w:t>
      </w:r>
    </w:p>
    <w:p>
      <w:r>
        <w:rPr>
          <w:b/>
        </w:rPr>
        <w:t xml:space="preserve">16 </w:t>
      </w:r>
      <w:r>
        <w:t xml:space="preserve">Saying, What shall we do to these men? for that indeed a notable</w:t>
      </w:r>
      <w:r>
        <w:rPr>
          <w:rStyle w:val="FootnoteReference"/>
        </w:rPr>
        <w:footnoteReference w:id="16538"/>
      </w:r>
      <w:r>
        <w:t xml:space="preserve"> sign has been done by them is manifest to all those who dwell in Jerusalem; and we cannot deny it.</w:t>
      </w:r>
    </w:p>
    <w:p>
      <w:r>
        <w:rPr>
          <w:b/>
        </w:rPr>
        <w:t xml:space="preserve">17 </w:t>
      </w:r>
      <w:r>
        <w:t xml:space="preserve">But that it</w:t>
      </w:r>
      <w:r>
        <w:rPr>
          <w:rStyle w:val="FootnoteReference"/>
        </w:rPr>
        <w:footnoteReference w:id="16539"/>
      </w:r>
      <w:r>
        <w:t xml:space="preserve"> spread no further among the people, let us strictly threaten them, that they speak from now on to no one in this name.</w:t>
      </w:r>
    </w:p>
    <w:p>
      <w:r>
        <w:rPr>
          <w:b/>
        </w:rPr>
        <w:t xml:space="preserve">18 </w:t>
      </w:r>
      <w:r>
        <w:t xml:space="preserve">And they called them, and commanded them not to speak</w:t>
      </w:r>
      <w:r>
        <w:rPr>
          <w:rStyle w:val="FootnoteReference"/>
        </w:rPr>
        <w:footnoteReference w:id="16540"/>
      </w:r>
      <w:r>
        <w:t xml:space="preserve"> at all nor teach in the name of Jesus.</w:t>
      </w:r>
    </w:p>
    <w:p>
      <w:r>
        <w:rPr>
          <w:b/>
        </w:rPr>
        <w:t xml:space="preserve">19 </w:t>
      </w:r>
      <w:r>
        <w:t xml:space="preserve">But Peter and John answered and said to them, Whether</w:t>
      </w:r>
      <w:r>
        <w:rPr>
          <w:rStyle w:val="FootnoteReference"/>
        </w:rPr>
        <w:footnoteReference w:id="16541"/>
      </w:r>
      <w:r>
        <w:t xml:space="preserve"> it is right in the sight of God to listen to you more than to God, you judge.</w:t>
      </w:r>
    </w:p>
    <w:p>
      <w:r>
        <w:rPr>
          <w:b/>
        </w:rPr>
        <w:t xml:space="preserve">20 </w:t>
      </w:r>
      <w:r>
        <w:t xml:space="preserve">For we cannot</w:t>
      </w:r>
      <w:r>
        <w:rPr>
          <w:rStyle w:val="FootnoteReference"/>
        </w:rPr>
        <w:footnoteReference w:id="16542"/>
      </w:r>
      <w:r>
        <w:t xml:space="preserve"> but speak the things which we have seen and heard.</w:t>
      </w:r>
    </w:p>
    <w:p>
      <w:r>
        <w:rPr>
          <w:b/>
        </w:rPr>
        <w:t xml:space="preserve">21 </w:t>
      </w:r>
      <w:r>
        <w:t xml:space="preserve">So when they had further threatened them, they let them go, finding nothing how they might punish them, because of the people: for all</w:t>
      </w:r>
      <w:r>
        <w:rPr>
          <w:rStyle w:val="FootnoteReference"/>
        </w:rPr>
        <w:footnoteReference w:id="16543"/>
      </w:r>
      <w:r>
        <w:t xml:space="preserve"> men glorified God for that which was done.</w:t>
      </w:r>
    </w:p>
    <w:p>
      <w:r>
        <w:rPr>
          <w:b/>
        </w:rPr>
        <w:t xml:space="preserve">22 </w:t>
      </w:r>
      <w:r>
        <w:t xml:space="preserve">For the man was above forty</w:t>
      </w:r>
      <w:r>
        <w:rPr>
          <w:rStyle w:val="FootnoteReference"/>
        </w:rPr>
        <w:footnoteReference w:id="16544"/>
      </w:r>
      <w:r>
        <w:t xml:space="preserve"> years old, on whom this sign of healing was shown.</w:t>
      </w:r>
    </w:p>
    <w:p>
      <w:r>
        <w:rPr>
          <w:b/>
        </w:rPr>
        <w:t xml:space="preserve">23 </w:t>
      </w:r>
      <w:r>
        <w:t xml:space="preserve">And being let go, they went to their own company, and reported all that the chief priests and elders had said to them.</w:t>
      </w:r>
    </w:p>
    <w:p>
      <w:r>
        <w:rPr>
          <w:b/>
        </w:rPr>
        <w:t xml:space="preserve">24 </w:t>
      </w:r>
      <w:r>
        <w:t xml:space="preserve">And when they heard that, they lifted up their voice to God with one accord, and said, Sovereign Lord, you are God, who have made heaven, and earth, and the sea, and all that is in them:</w:t>
      </w:r>
    </w:p>
    <w:p>
      <w:r>
        <w:rPr>
          <w:b/>
        </w:rPr>
        <w:t xml:space="preserve">25 </w:t>
      </w:r>
      <w:r>
        <w:t xml:space="preserve">Who by the mouth of your servant David have said, Why did the nations rage, and the people imagine vain things?</w:t>
      </w:r>
    </w:p>
    <w:p>
      <w:r>
        <w:rPr>
          <w:b/>
        </w:rPr>
        <w:t xml:space="preserve">26 </w:t>
      </w:r>
      <w:r>
        <w:t xml:space="preserve">The kings</w:t>
      </w:r>
      <w:r>
        <w:rPr>
          <w:rStyle w:val="FootnoteReference"/>
        </w:rPr>
        <w:footnoteReference w:id="16545"/>
      </w:r>
      <w:r>
        <w:t xml:space="preserve"> of the earth stood up, and the rulers were gathered together against the Lord, and against his Christ.</w:t>
      </w:r>
    </w:p>
    <w:p>
      <w:r>
        <w:rPr>
          <w:b/>
        </w:rPr>
        <w:t xml:space="preserve">27 </w:t>
      </w:r>
      <w:r>
        <w:t xml:space="preserve">For truthfully against your holy Servant Jesus, whom you have anointed, both</w:t>
      </w:r>
      <w:r>
        <w:rPr>
          <w:rStyle w:val="FootnoteReference"/>
        </w:rPr>
        <w:footnoteReference w:id="16546"/>
      </w:r>
      <w:r>
        <w:t xml:space="preserve"> Herod, and Pontius Pilate, with the nations, and the people of Israel, were gathered together,</w:t>
      </w:r>
    </w:p>
    <w:p>
      <w:r>
        <w:rPr>
          <w:b/>
        </w:rPr>
        <w:t xml:space="preserve">28 </w:t>
      </w:r>
      <w:r>
        <w:t xml:space="preserve">In order to do</w:t>
      </w:r>
      <w:r>
        <w:rPr>
          <w:rStyle w:val="FootnoteReference"/>
        </w:rPr>
        <w:footnoteReference w:id="16547"/>
      </w:r>
      <w:r>
        <w:t xml:space="preserve"> whatever your hand and your counsel determined before to be done.</w:t>
      </w:r>
    </w:p>
    <w:p>
      <w:r>
        <w:rPr>
          <w:b/>
        </w:rPr>
        <w:t xml:space="preserve">29 </w:t>
      </w:r>
      <w:r>
        <w:t xml:space="preserve">And now, Lord, look their threatenings: and grant to your slaves, that with all boldness they may speak your word,</w:t>
      </w:r>
    </w:p>
    <w:p>
      <w:r>
        <w:rPr>
          <w:b/>
        </w:rPr>
        <w:t xml:space="preserve">30 </w:t>
      </w:r>
      <w:r>
        <w:t xml:space="preserve">By stretching</w:t>
      </w:r>
      <w:r>
        <w:rPr>
          <w:rStyle w:val="FootnoteReference"/>
        </w:rPr>
        <w:footnoteReference w:id="16548"/>
      </w:r>
      <w:r>
        <w:t xml:space="preserve"> forth your hand to heal; and that signs and wonders may be done by the name of your holy Servant Jesus.</w:t>
      </w:r>
    </w:p>
    <w:p>
      <w:r>
        <w:rPr>
          <w:b/>
        </w:rPr>
        <w:t xml:space="preserve">31 </w:t>
      </w:r>
      <w:r>
        <w:t xml:space="preserve">And when they had prayed, the place</w:t>
      </w:r>
      <w:r>
        <w:rPr>
          <w:rStyle w:val="FootnoteReference"/>
        </w:rPr>
        <w:footnoteReference w:id="16549"/>
      </w:r>
      <w:r>
        <w:t xml:space="preserve"> was shaken where they were assembled together; and they were all filled with the Holy Spirit, and they spoke the word of God with boldness.</w:t>
      </w:r>
    </w:p>
    <w:p>
      <w:r>
        <w:rPr>
          <w:b/>
        </w:rPr>
        <w:t xml:space="preserve">32 </w:t>
      </w:r>
      <w:r>
        <w:t xml:space="preserve">And the multitude</w:t>
      </w:r>
      <w:r>
        <w:rPr>
          <w:rStyle w:val="FootnoteReference"/>
        </w:rPr>
        <w:footnoteReference w:id="16550"/>
      </w:r>
      <w:r>
        <w:t xml:space="preserve"> of those who believed were of one heart and of one soul: neither did any of them say that anything of the things which he possessed was his own; but they had all things common.</w:t>
      </w:r>
    </w:p>
    <w:p>
      <w:r>
        <w:rPr>
          <w:b/>
        </w:rPr>
        <w:t xml:space="preserve">33 </w:t>
      </w:r>
      <w:r>
        <w:t xml:space="preserve">And with great power gave the apostles witness of the resurrection of the Lord Jesus: and great grace</w:t>
      </w:r>
      <w:r>
        <w:rPr>
          <w:rStyle w:val="FootnoteReference"/>
        </w:rPr>
        <w:footnoteReference w:id="16551"/>
      </w:r>
      <w:r>
        <w:t xml:space="preserve"> was upon them all.</w:t>
      </w:r>
    </w:p>
    <w:p>
      <w:r>
        <w:rPr>
          <w:b/>
        </w:rPr>
        <w:t xml:space="preserve">34 </w:t>
      </w:r>
      <w:r>
        <w:t xml:space="preserve">Neither was there any among those who lacked: for as many as were possessors of lands or houses sold them, and brought the prices of the things that were sold,</w:t>
      </w:r>
    </w:p>
    <w:p>
      <w:r>
        <w:rPr>
          <w:b/>
        </w:rPr>
        <w:t xml:space="preserve">35 </w:t>
      </w:r>
      <w:r>
        <w:t xml:space="preserve">And laid them down at the apostles' feet: and distribution</w:t>
      </w:r>
      <w:r>
        <w:rPr>
          <w:rStyle w:val="FootnoteReference"/>
        </w:rPr>
        <w:footnoteReference w:id="16552"/>
      </w:r>
      <w:r>
        <w:t xml:space="preserve"> was made to each according as anyone had need.</w:t>
      </w:r>
    </w:p>
    <w:p>
      <w:r>
        <w:rPr>
          <w:b/>
        </w:rPr>
        <w:t xml:space="preserve">36 </w:t>
      </w:r>
      <w:r>
        <w:t xml:space="preserve">And Joseph, who by the apostles was surnamed Barnabas</w:t>
      </w:r>
      <w:r>
        <w:rPr>
          <w:rStyle w:val="FootnoteReference"/>
        </w:rPr>
        <w:footnoteReference w:id="16553"/>
      </w:r>
      <w:r>
        <w:t xml:space="preserve">, (which is, being interpreted, The son of encouragement,) a Levite, and of the country of Cyprus</w:t>
      </w:r>
      <w:r>
        <w:rPr>
          <w:rStyle w:val="FootnoteReference"/>
        </w:rPr>
        <w:footnoteReference w:id="16554"/>
      </w:r>
      <w:r>
        <w:t xml:space="preserve">,</w:t>
      </w:r>
      <w:r>
        <w:rPr>
          <w:rStyle w:val="FootnoteReference"/>
        </w:rPr>
        <w:footnoteReference w:id="16555"/>
      </w:r>
    </w:p>
    <w:p>
      <w:r>
        <w:rPr>
          <w:b/>
        </w:rPr>
        <w:t xml:space="preserve">37 </w:t>
      </w:r>
      <w:r>
        <w:t xml:space="preserve">Having land, sold</w:t>
      </w:r>
      <w:r>
        <w:rPr>
          <w:rStyle w:val="FootnoteReference"/>
        </w:rPr>
        <w:footnoteReference w:id="16556"/>
      </w:r>
      <w:r>
        <w:t xml:space="preserve"> it, and brought the money, and laid it at the apostles' feet.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But a certain man named Ananias</w:t>
      </w:r>
      <w:r>
        <w:rPr>
          <w:rStyle w:val="FootnoteReference"/>
        </w:rPr>
        <w:footnoteReference w:id="16557"/>
      </w:r>
      <w:r>
        <w:t xml:space="preserve">, with Sapphira</w:t>
      </w:r>
      <w:r>
        <w:rPr>
          <w:rStyle w:val="FootnoteReference"/>
        </w:rPr>
        <w:footnoteReference w:id="16558"/>
      </w:r>
      <w:r>
        <w:t xml:space="preserve"> his wife, sold a possession,</w:t>
      </w:r>
    </w:p>
    <w:p>
      <w:r>
        <w:rPr>
          <w:b/>
        </w:rPr>
        <w:t xml:space="preserve">2 </w:t>
      </w:r>
      <w:r>
        <w:t xml:space="preserve">And kept</w:t>
      </w:r>
      <w:r>
        <w:rPr>
          <w:rStyle w:val="FootnoteReference"/>
        </w:rPr>
        <w:footnoteReference w:id="16559"/>
      </w:r>
      <w:r>
        <w:t xml:space="preserve"> back part of the price, his wife also being aware of it, and brought a certain part, and laid it at the apostles' feet.</w:t>
      </w:r>
    </w:p>
    <w:p>
      <w:r>
        <w:rPr>
          <w:b/>
        </w:rPr>
        <w:t xml:space="preserve">3 </w:t>
      </w:r>
      <w:r>
        <w:t xml:space="preserve">But Peter said, Ananias, why has Satan filled your heart to lie to</w:t>
      </w:r>
      <w:r>
        <w:rPr>
          <w:rStyle w:val="FootnoteReference"/>
        </w:rPr>
        <w:footnoteReference w:id="16560"/>
      </w:r>
      <w:r>
        <w:t xml:space="preserve"> the Holy Spirit, and to keep back part of the price of the land?</w:t>
      </w:r>
    </w:p>
    <w:p>
      <w:r>
        <w:rPr>
          <w:b/>
        </w:rPr>
        <w:t xml:space="preserve">4 </w:t>
      </w:r>
      <w:r>
        <w:t xml:space="preserve">While it remained, was it not your own? and after it was sold, was it not in your own authority? why have you conceived this thing in your heart? you have not lied to men, but to God.</w:t>
      </w:r>
    </w:p>
    <w:p>
      <w:r>
        <w:rPr>
          <w:b/>
        </w:rPr>
        <w:t xml:space="preserve">5 </w:t>
      </w:r>
      <w:r>
        <w:t xml:space="preserve">And Ananias hearing</w:t>
      </w:r>
      <w:r>
        <w:rPr>
          <w:rStyle w:val="FootnoteReference"/>
        </w:rPr>
        <w:footnoteReference w:id="16561"/>
      </w:r>
      <w:r>
        <w:t xml:space="preserve"> these words fell down, and gave up the spirit: and great fear came on all those who heard these things.</w:t>
      </w:r>
    </w:p>
    <w:p>
      <w:r>
        <w:rPr>
          <w:b/>
        </w:rPr>
        <w:t xml:space="preserve">6 </w:t>
      </w:r>
      <w:r>
        <w:t xml:space="preserve">And the young men arose, wrapped him up, and carried him out, and buried him.</w:t>
      </w:r>
    </w:p>
    <w:p>
      <w:r>
        <w:rPr>
          <w:b/>
        </w:rPr>
        <w:t xml:space="preserve">7 </w:t>
      </w:r>
      <w:r>
        <w:t xml:space="preserve">And it was about the space of three hours after, when his wife, not knowing what was done, came in.</w:t>
      </w:r>
    </w:p>
    <w:p>
      <w:r>
        <w:rPr>
          <w:b/>
        </w:rPr>
        <w:t xml:space="preserve">8 </w:t>
      </w:r>
      <w:r>
        <w:t xml:space="preserve">And Peter answered to her, Tell me whether you sold the land for so much? And she said, Yes, for so much.</w:t>
      </w:r>
    </w:p>
    <w:p>
      <w:r>
        <w:rPr>
          <w:b/>
        </w:rPr>
        <w:t xml:space="preserve">9 </w:t>
      </w:r>
      <w:r>
        <w:t xml:space="preserve">Then Peter said to her, How is it that you have agreed together to tempt</w:t>
      </w:r>
      <w:r>
        <w:rPr>
          <w:rStyle w:val="FootnoteReference"/>
        </w:rPr>
        <w:footnoteReference w:id="16562"/>
      </w:r>
      <w:r>
        <w:t xml:space="preserve"> the Spirit of the Lord? look, the feet of those who have buried your husband are at the door, and shall carry you out.</w:t>
      </w:r>
    </w:p>
    <w:p>
      <w:r>
        <w:rPr>
          <w:b/>
        </w:rPr>
        <w:t xml:space="preserve">10 </w:t>
      </w:r>
      <w:r>
        <w:t xml:space="preserve">Then she fell</w:t>
      </w:r>
      <w:r>
        <w:rPr>
          <w:rStyle w:val="FootnoteReference"/>
        </w:rPr>
        <w:footnoteReference w:id="16563"/>
      </w:r>
      <w:r>
        <w:t xml:space="preserve"> down immediately at his feet, and yielded up the spirit: and the young men came in, and found her dead, and, carrying her forth, buried her by her husband.</w:t>
      </w:r>
    </w:p>
    <w:p>
      <w:r>
        <w:rPr>
          <w:b/>
        </w:rPr>
        <w:t xml:space="preserve">11 </w:t>
      </w:r>
      <w:r>
        <w:t xml:space="preserve">And great fear came upon all the assembly, and upon as many as heard these things.</w:t>
      </w:r>
    </w:p>
    <w:p>
      <w:r>
        <w:rPr>
          <w:b/>
        </w:rPr>
        <w:t xml:space="preserve">12 </w:t>
      </w:r>
      <w:r>
        <w:t xml:space="preserve">And by the hands of the apostles many signs and wonders were worked among the people; and they were all with one accord in Solomon's porch.</w:t>
      </w:r>
    </w:p>
    <w:p>
      <w:r>
        <w:rPr>
          <w:b/>
        </w:rPr>
        <w:t xml:space="preserve">13 </w:t>
      </w:r>
      <w:r>
        <w:t xml:space="preserve">And of the rest dared no one join himself to them: but the people magnified them.</w:t>
      </w:r>
    </w:p>
    <w:p>
      <w:r>
        <w:rPr>
          <w:b/>
        </w:rPr>
        <w:t xml:space="preserve">14 </w:t>
      </w:r>
      <w:r>
        <w:t xml:space="preserve">And believers</w:t>
      </w:r>
      <w:r>
        <w:rPr>
          <w:rStyle w:val="FootnoteReference"/>
        </w:rPr>
        <w:footnoteReference w:id="16564"/>
      </w:r>
      <w:r>
        <w:t xml:space="preserve"> were increasingly added to the Lord, multitudes both of men and women.</w:t>
      </w:r>
    </w:p>
    <w:p>
      <w:r>
        <w:rPr>
          <w:b/>
        </w:rPr>
        <w:t xml:space="preserve">15 </w:t>
      </w:r>
      <w:r>
        <w:t xml:space="preserve">so that they bore the sick into the streets, and laid them on beds and couches, that at the least the shadow of Peter passing by might overshadow some of them.</w:t>
      </w:r>
    </w:p>
    <w:p>
      <w:r>
        <w:rPr>
          <w:b/>
        </w:rPr>
        <w:t xml:space="preserve">16 </w:t>
      </w:r>
      <w:r>
        <w:t xml:space="preserve">There came also a crowd out of the cities round about to Jerusalem, bringing</w:t>
      </w:r>
      <w:r>
        <w:rPr>
          <w:rStyle w:val="FootnoteReference"/>
        </w:rPr>
        <w:footnoteReference w:id="16565"/>
      </w:r>
      <w:r>
        <w:t xml:space="preserve"> the sick, and those who were troubled with unclean spirits: and they were healed every one.</w:t>
      </w:r>
    </w:p>
    <w:p>
      <w:r>
        <w:rPr>
          <w:b/>
        </w:rPr>
        <w:t xml:space="preserve">17 </w:t>
      </w:r>
      <w:r>
        <w:t xml:space="preserve">Then the high</w:t>
      </w:r>
      <w:r>
        <w:rPr>
          <w:rStyle w:val="FootnoteReference"/>
        </w:rPr>
        <w:footnoteReference w:id="16566"/>
      </w:r>
      <w:r>
        <w:t xml:space="preserve"> priest rose up, and all those who were with him, (which is the sect of the Sadducees,) and were filled with indignation,</w:t>
      </w:r>
    </w:p>
    <w:p>
      <w:r>
        <w:rPr>
          <w:b/>
        </w:rPr>
        <w:t xml:space="preserve">18 </w:t>
      </w:r>
      <w:r>
        <w:t xml:space="preserve">And laid their hands on the apostles, and put them in the common prison.</w:t>
      </w:r>
    </w:p>
    <w:p>
      <w:r>
        <w:rPr>
          <w:b/>
        </w:rPr>
        <w:t xml:space="preserve">19 </w:t>
      </w:r>
      <w:r>
        <w:t xml:space="preserve">But the angel of the Lord by night opened the prison doors, and brought them forth, and said,</w:t>
      </w:r>
    </w:p>
    <w:p>
      <w:r>
        <w:rPr>
          <w:b/>
        </w:rPr>
        <w:t xml:space="preserve">20 </w:t>
      </w:r>
      <w:r>
        <w:t xml:space="preserve">Go, stand</w:t>
      </w:r>
      <w:r>
        <w:rPr>
          <w:rStyle w:val="FootnoteReference"/>
        </w:rPr>
        <w:footnoteReference w:id="16567"/>
      </w:r>
      <w:r>
        <w:t xml:space="preserve"> and speak in the temple to the people all the words of this life.</w:t>
      </w:r>
    </w:p>
    <w:p>
      <w:r>
        <w:rPr>
          <w:b/>
        </w:rPr>
        <w:t xml:space="preserve">21 </w:t>
      </w:r>
      <w:r>
        <w:t xml:space="preserve">And when they heard that, they entered</w:t>
      </w:r>
      <w:r>
        <w:rPr>
          <w:rStyle w:val="FootnoteReference"/>
        </w:rPr>
        <w:footnoteReference w:id="16568"/>
      </w:r>
      <w:r>
        <w:t xml:space="preserve"> into the temple early in the morning, and taught. But the high priest came, and those who were with him, and called the council together, and all the senate of the children of Israel, and sent to the prison to have them brought.</w:t>
      </w:r>
    </w:p>
    <w:p>
      <w:r>
        <w:rPr>
          <w:b/>
        </w:rPr>
        <w:t xml:space="preserve">22 </w:t>
      </w:r>
      <w:r>
        <w:t xml:space="preserve">But when the officers came, and found them not in the prison, they returned and told,</w:t>
      </w:r>
    </w:p>
    <w:p>
      <w:r>
        <w:rPr>
          <w:b/>
        </w:rPr>
        <w:t xml:space="preserve">23 </w:t>
      </w:r>
      <w:r>
        <w:t xml:space="preserve">Saying, The prison</w:t>
      </w:r>
      <w:r>
        <w:rPr>
          <w:rStyle w:val="FootnoteReference"/>
        </w:rPr>
        <w:footnoteReference w:id="16569"/>
      </w:r>
      <w:r>
        <w:t xml:space="preserve"> truly we found shut with all safety, and the keepers standing outside before the doors: but when we had opened, we found no one within.</w:t>
      </w:r>
    </w:p>
    <w:p>
      <w:r>
        <w:rPr>
          <w:b/>
        </w:rPr>
        <w:t xml:space="preserve">24 </w:t>
      </w:r>
      <w:r>
        <w:t xml:space="preserve">Now when the high priest and the captain</w:t>
      </w:r>
      <w:r>
        <w:rPr>
          <w:rStyle w:val="FootnoteReference"/>
        </w:rPr>
        <w:footnoteReference w:id="16570"/>
      </w:r>
      <w:r>
        <w:t xml:space="preserve"> of the temple and the chief priests heard these things, they were perplexed concerning them, what this would become.</w:t>
      </w:r>
    </w:p>
    <w:p>
      <w:r>
        <w:rPr>
          <w:b/>
        </w:rPr>
        <w:t xml:space="preserve">25 </w:t>
      </w:r>
      <w:r>
        <w:t xml:space="preserve">Then came one and told them, saying, Look, the men whom you put in prison are standing in the temple, and teaching the people.</w:t>
      </w:r>
    </w:p>
    <w:p>
      <w:r>
        <w:rPr>
          <w:b/>
        </w:rPr>
        <w:t xml:space="preserve">26 </w:t>
      </w:r>
      <w:r>
        <w:t xml:space="preserve">Then the captain went with the officers, and brought them without violence: for they feared the people, lest they should have been stoned.</w:t>
      </w:r>
    </w:p>
    <w:p>
      <w:r>
        <w:rPr>
          <w:b/>
        </w:rPr>
        <w:t xml:space="preserve">27 </w:t>
      </w:r>
      <w:r>
        <w:t xml:space="preserve">And when they had brought them, they set them before the council: and the high priest asked them,</w:t>
      </w:r>
    </w:p>
    <w:p>
      <w:r>
        <w:rPr>
          <w:b/>
        </w:rPr>
        <w:t xml:space="preserve">28 </w:t>
      </w:r>
      <w:r>
        <w:t xml:space="preserve">Saying, Did we not strictly command you that you should not teach in this name? and, look, you have filled Jerusalem with your doctrine, and intend</w:t>
      </w:r>
      <w:r>
        <w:rPr>
          <w:rStyle w:val="FootnoteReference"/>
        </w:rPr>
        <w:footnoteReference w:id="16571"/>
      </w:r>
      <w:r>
        <w:t xml:space="preserve"> to bring this man's blood upon us.</w:t>
      </w:r>
    </w:p>
    <w:p>
      <w:r>
        <w:rPr>
          <w:b/>
        </w:rPr>
        <w:t xml:space="preserve">29 </w:t>
      </w:r>
      <w:r>
        <w:t xml:space="preserve">Then Peter and the other apostles answered and said, We ought to obey God rather than men.</w:t>
      </w:r>
    </w:p>
    <w:p>
      <w:r>
        <w:rPr>
          <w:b/>
        </w:rPr>
        <w:t xml:space="preserve">30 </w:t>
      </w:r>
      <w:r>
        <w:t xml:space="preserve">The God of our fathers raised</w:t>
      </w:r>
      <w:r>
        <w:rPr>
          <w:rStyle w:val="FootnoteReference"/>
        </w:rPr>
        <w:footnoteReference w:id="16572"/>
      </w:r>
      <w:r>
        <w:t xml:space="preserve"> up Jesus, whom you killed and hanged on a tree.</w:t>
      </w:r>
    </w:p>
    <w:p>
      <w:r>
        <w:rPr>
          <w:b/>
        </w:rPr>
        <w:t xml:space="preserve">31 </w:t>
      </w:r>
      <w:r>
        <w:t xml:space="preserve">Him has God exalted with his right hand to be a Prince</w:t>
      </w:r>
      <w:r>
        <w:rPr>
          <w:rStyle w:val="FootnoteReference"/>
        </w:rPr>
        <w:footnoteReference w:id="16573"/>
      </w:r>
      <w:r>
        <w:t xml:space="preserve"> and a Savior, in order to give repentance to Israel, and forgiveness of sins.</w:t>
      </w:r>
    </w:p>
    <w:p>
      <w:r>
        <w:rPr>
          <w:b/>
        </w:rPr>
        <w:t xml:space="preserve">32 </w:t>
      </w:r>
      <w:r>
        <w:t xml:space="preserve">And we are his witnesses of these things; and so</w:t>
      </w:r>
      <w:r>
        <w:rPr>
          <w:rStyle w:val="FootnoteReference"/>
        </w:rPr>
        <w:footnoteReference w:id="16574"/>
      </w:r>
      <w:r>
        <w:t xml:space="preserve"> is also the Holy Spirit, whom God has given to those who obey him.</w:t>
      </w:r>
    </w:p>
    <w:p>
      <w:r>
        <w:rPr>
          <w:b/>
        </w:rPr>
        <w:t xml:space="preserve">33 </w:t>
      </w:r>
      <w:r>
        <w:t xml:space="preserve">When they heard that, they were cut to the heart, and took</w:t>
      </w:r>
      <w:r>
        <w:rPr>
          <w:rStyle w:val="FootnoteReference"/>
        </w:rPr>
        <w:footnoteReference w:id="16575"/>
      </w:r>
      <w:r>
        <w:t xml:space="preserve"> counsel to kill them.</w:t>
      </w:r>
    </w:p>
    <w:p>
      <w:r>
        <w:rPr>
          <w:b/>
        </w:rPr>
        <w:t xml:space="preserve">34 </w:t>
      </w:r>
      <w:r>
        <w:t xml:space="preserve">Then one stood</w:t>
      </w:r>
      <w:r>
        <w:rPr>
          <w:rStyle w:val="FootnoteReference"/>
        </w:rPr>
        <w:footnoteReference w:id="16576"/>
      </w:r>
      <w:r>
        <w:t xml:space="preserve"> up in the council, a Pharisee, named Gamaliel</w:t>
      </w:r>
      <w:r>
        <w:rPr>
          <w:rStyle w:val="FootnoteReference"/>
        </w:rPr>
        <w:footnoteReference w:id="16577"/>
      </w:r>
      <w:r>
        <w:t xml:space="preserve">, a doctor of the law, held in reputation among all the people, and commanded to put the apostles forth a little space;</w:t>
      </w:r>
    </w:p>
    <w:p>
      <w:r>
        <w:rPr>
          <w:b/>
        </w:rPr>
        <w:t xml:space="preserve">35 </w:t>
      </w:r>
      <w:r>
        <w:t xml:space="preserve">And said to them, You men of Israel, take</w:t>
      </w:r>
      <w:r>
        <w:rPr>
          <w:rStyle w:val="FootnoteReference"/>
        </w:rPr>
        <w:footnoteReference w:id="16578"/>
      </w:r>
      <w:r>
        <w:t xml:space="preserve"> heed to yourselves what you intend to do as concerning these men.</w:t>
      </w:r>
    </w:p>
    <w:p>
      <w:r>
        <w:rPr>
          <w:b/>
        </w:rPr>
        <w:t xml:space="preserve">36 </w:t>
      </w:r>
      <w:r>
        <w:t xml:space="preserve">For before these days rose up Theudas</w:t>
      </w:r>
      <w:r>
        <w:rPr>
          <w:rStyle w:val="FootnoteReference"/>
        </w:rPr>
        <w:footnoteReference w:id="16579"/>
      </w:r>
      <w:r>
        <w:t xml:space="preserve">, boasting</w:t>
      </w:r>
      <w:r>
        <w:rPr>
          <w:rStyle w:val="FootnoteReference"/>
        </w:rPr>
        <w:footnoteReference w:id="16580"/>
      </w:r>
      <w:r>
        <w:t xml:space="preserve"> himself to be somebody; to whom a number of men, about four hundred, joined themselves: who was killed; and all, as many as obeyed him, were scattered, and brought to nothing.</w:t>
      </w:r>
    </w:p>
    <w:p>
      <w:r>
        <w:rPr>
          <w:b/>
        </w:rPr>
        <w:t xml:space="preserve">37 </w:t>
      </w:r>
      <w:r>
        <w:t xml:space="preserve">After this man rose up Judas</w:t>
      </w:r>
      <w:r>
        <w:rPr>
          <w:rStyle w:val="FootnoteReference"/>
        </w:rPr>
        <w:footnoteReference w:id="16581"/>
      </w:r>
      <w:r>
        <w:t xml:space="preserve"> of Galilee in the days of the census, and drew away many people after him: he also perished; and all, even as many as obeyed him, were dispersed.</w:t>
      </w:r>
    </w:p>
    <w:p>
      <w:r>
        <w:rPr>
          <w:b/>
        </w:rPr>
        <w:t xml:space="preserve">38 </w:t>
      </w:r>
      <w:r>
        <w:t xml:space="preserve">And now I say to you, Refrain</w:t>
      </w:r>
      <w:r>
        <w:rPr>
          <w:rStyle w:val="FootnoteReference"/>
        </w:rPr>
        <w:footnoteReference w:id="16582"/>
      </w:r>
      <w:r>
        <w:t xml:space="preserve"> from these men, and let them alone: for if this counsel or this work be of men, it will come to nothing:</w:t>
      </w:r>
    </w:p>
    <w:p>
      <w:r>
        <w:rPr>
          <w:b/>
        </w:rPr>
        <w:t xml:space="preserve">39 </w:t>
      </w:r>
      <w:r>
        <w:t xml:space="preserve">But if it is of God, you cannot overthrow it; lest by any means you be found even to fight</w:t>
      </w:r>
      <w:r>
        <w:rPr>
          <w:rStyle w:val="FootnoteReference"/>
        </w:rPr>
        <w:footnoteReference w:id="16583"/>
      </w:r>
      <w:r>
        <w:t xml:space="preserve"> against God.</w:t>
      </w:r>
    </w:p>
    <w:p>
      <w:r>
        <w:rPr>
          <w:b/>
        </w:rPr>
        <w:t xml:space="preserve">40 </w:t>
      </w:r>
      <w:r>
        <w:t xml:space="preserve">And they agreed with him: and when they had called the apostles, and beaten</w:t>
      </w:r>
      <w:r>
        <w:rPr>
          <w:rStyle w:val="FootnoteReference"/>
        </w:rPr>
        <w:footnoteReference w:id="16584"/>
      </w:r>
      <w:r>
        <w:t xml:space="preserve"> them, they commanded that they should not speak in the name of Jesus, and let them go.</w:t>
      </w:r>
    </w:p>
    <w:p>
      <w:r>
        <w:rPr>
          <w:b/>
        </w:rPr>
        <w:t xml:space="preserve">41 </w:t>
      </w:r>
      <w:r>
        <w:t xml:space="preserve">And they departed from the presence of the council, rejoicing</w:t>
      </w:r>
      <w:r>
        <w:rPr>
          <w:rStyle w:val="FootnoteReference"/>
        </w:rPr>
        <w:footnoteReference w:id="16585"/>
      </w:r>
      <w:r>
        <w:t xml:space="preserve"> that they were counted worthy to suffer shame for his name.</w:t>
      </w:r>
    </w:p>
    <w:p>
      <w:r>
        <w:rPr>
          <w:b/>
        </w:rPr>
        <w:t xml:space="preserve">42 </w:t>
      </w:r>
      <w:r>
        <w:t xml:space="preserve">And daily</w:t>
      </w:r>
      <w:r>
        <w:rPr>
          <w:rStyle w:val="FootnoteReference"/>
        </w:rPr>
        <w:footnoteReference w:id="16586"/>
      </w:r>
      <w:r>
        <w:t xml:space="preserve"> in the temple, and in every house, they did not cease to teach and preach Jesus Christ.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in those days, when the number of the disciples was multiplied, there arose a murmuring of the Hellenists</w:t>
      </w:r>
      <w:r>
        <w:rPr>
          <w:rStyle w:val="FootnoteReference"/>
        </w:rPr>
        <w:footnoteReference w:id="16587"/>
      </w:r>
      <w:r>
        <w:t xml:space="preserve"> against the Hebrews</w:t>
      </w:r>
      <w:r>
        <w:rPr>
          <w:rStyle w:val="FootnoteReference"/>
        </w:rPr>
        <w:footnoteReference w:id="16588"/>
      </w:r>
      <w:r>
        <w:t xml:space="preserve">, because their widows were neglected in the daily service.</w:t>
      </w:r>
      <w:r>
        <w:rPr>
          <w:rStyle w:val="FootnoteReference"/>
        </w:rPr>
        <w:footnoteReference w:id="16589"/>
      </w:r>
    </w:p>
    <w:p>
      <w:r>
        <w:rPr>
          <w:b/>
        </w:rPr>
        <w:t xml:space="preserve">2 </w:t>
      </w:r>
      <w:r>
        <w:t xml:space="preserve">Then the twelve</w:t>
      </w:r>
      <w:r>
        <w:rPr>
          <w:rStyle w:val="FootnoteReference"/>
        </w:rPr>
        <w:footnoteReference w:id="16590"/>
      </w:r>
      <w:r>
        <w:t xml:space="preserve"> called the multitude of the disciples to them, and said, It is not right that we should leave the word of God, and serve tables.</w:t>
      </w:r>
    </w:p>
    <w:p>
      <w:r>
        <w:rPr>
          <w:b/>
        </w:rPr>
        <w:t xml:space="preserve">3 </w:t>
      </w:r>
      <w:r>
        <w:t xml:space="preserve">Therefore, brothers, select from among you seven men of honest</w:t>
      </w:r>
      <w:r>
        <w:rPr>
          <w:rStyle w:val="FootnoteReference"/>
        </w:rPr>
        <w:footnoteReference w:id="16591"/>
      </w:r>
      <w:r>
        <w:t xml:space="preserve"> report, full of the Holy Spirit and wisdom, whom we may appoint over this business.</w:t>
      </w:r>
    </w:p>
    <w:p>
      <w:r>
        <w:rPr>
          <w:b/>
        </w:rPr>
        <w:t xml:space="preserve">4 </w:t>
      </w:r>
      <w:r>
        <w:t xml:space="preserve">But we will give</w:t>
      </w:r>
      <w:r>
        <w:rPr>
          <w:rStyle w:val="FootnoteReference"/>
        </w:rPr>
        <w:footnoteReference w:id="16592"/>
      </w:r>
      <w:r>
        <w:t xml:space="preserve"> ourselves continually to prayer, and to the ministry of the word.</w:t>
      </w:r>
    </w:p>
    <w:p>
      <w:r>
        <w:rPr>
          <w:b/>
        </w:rPr>
        <w:t xml:space="preserve">5 </w:t>
      </w:r>
      <w:r>
        <w:t xml:space="preserve">And the saying</w:t>
      </w:r>
      <w:r>
        <w:rPr>
          <w:rStyle w:val="FootnoteReference"/>
        </w:rPr>
        <w:footnoteReference w:id="16593"/>
      </w:r>
      <w:r>
        <w:t xml:space="preserve"> pleased the whole multitude: and they chose Stephen</w:t>
      </w:r>
      <w:r>
        <w:rPr>
          <w:rStyle w:val="FootnoteReference"/>
        </w:rPr>
        <w:footnoteReference w:id="16594"/>
      </w:r>
      <w:r>
        <w:t xml:space="preserve">, a man full of faith and of the Holy Spirit, and Philip, and Prochorus</w:t>
      </w:r>
      <w:r>
        <w:rPr>
          <w:rStyle w:val="FootnoteReference"/>
        </w:rPr>
        <w:footnoteReference w:id="16595"/>
      </w:r>
      <w:r>
        <w:t xml:space="preserve">, and Nicanor</w:t>
      </w:r>
      <w:r>
        <w:rPr>
          <w:rStyle w:val="FootnoteReference"/>
        </w:rPr>
        <w:footnoteReference w:id="16596"/>
      </w:r>
      <w:r>
        <w:t xml:space="preserve">, and Timon</w:t>
      </w:r>
      <w:r>
        <w:rPr>
          <w:rStyle w:val="FootnoteReference"/>
        </w:rPr>
        <w:footnoteReference w:id="16597"/>
      </w:r>
      <w:r>
        <w:t xml:space="preserve">, and Parmenas</w:t>
      </w:r>
      <w:r>
        <w:rPr>
          <w:rStyle w:val="FootnoteReference"/>
        </w:rPr>
        <w:footnoteReference w:id="16598"/>
      </w:r>
      <w:r>
        <w:t xml:space="preserve">, and Nicolas</w:t>
      </w:r>
      <w:r>
        <w:rPr>
          <w:rStyle w:val="FootnoteReference"/>
        </w:rPr>
        <w:footnoteReference w:id="16599"/>
      </w:r>
      <w:r>
        <w:t xml:space="preserve"> a proselyte of Antioch</w:t>
      </w:r>
      <w:r>
        <w:rPr>
          <w:rStyle w:val="FootnoteReference"/>
        </w:rPr>
        <w:footnoteReference w:id="16600"/>
      </w:r>
      <w:r>
        <w:t xml:space="preserve">:</w:t>
      </w:r>
      <w:r>
        <w:rPr>
          <w:rStyle w:val="FootnoteReference"/>
        </w:rPr>
        <w:footnoteReference w:id="16601"/>
      </w:r>
    </w:p>
    <w:p>
      <w:r>
        <w:rPr>
          <w:b/>
        </w:rPr>
        <w:t xml:space="preserve">6 </w:t>
      </w:r>
      <w:r>
        <w:t xml:space="preserve">Whom they set before the apostles: and when they had prayed, they laid their hands on them.</w:t>
      </w:r>
    </w:p>
    <w:p>
      <w:r>
        <w:rPr>
          <w:b/>
        </w:rPr>
        <w:t xml:space="preserve">7 </w:t>
      </w:r>
      <w:r>
        <w:t xml:space="preserve">And the word</w:t>
      </w:r>
      <w:r>
        <w:rPr>
          <w:rStyle w:val="FootnoteReference"/>
        </w:rPr>
        <w:footnoteReference w:id="16602"/>
      </w:r>
      <w:r>
        <w:t xml:space="preserve"> of God increased; and the number of the disciples multiplied in Jerusalem greatly; and a great company of the priests were obedient to the faith.</w:t>
      </w:r>
    </w:p>
    <w:p>
      <w:r>
        <w:rPr>
          <w:b/>
        </w:rPr>
        <w:t xml:space="preserve">8 </w:t>
      </w:r>
      <w:r>
        <w:t xml:space="preserve">And Stephen, full</w:t>
      </w:r>
      <w:r>
        <w:rPr>
          <w:rStyle w:val="FootnoteReference"/>
        </w:rPr>
        <w:footnoteReference w:id="16603"/>
      </w:r>
      <w:r>
        <w:t xml:space="preserve"> of faith and power, did great wonders and signs among the people.</w:t>
      </w:r>
    </w:p>
    <w:p>
      <w:r>
        <w:rPr>
          <w:b/>
        </w:rPr>
        <w:t xml:space="preserve">9 </w:t>
      </w:r>
      <w:r>
        <w:t xml:space="preserve">Then there arose certain of the synagogue</w:t>
      </w:r>
      <w:r>
        <w:rPr>
          <w:rStyle w:val="FootnoteReference"/>
        </w:rPr>
        <w:footnoteReference w:id="16604"/>
      </w:r>
      <w:r>
        <w:t xml:space="preserve">, which is called the synagogue of the Freedmen</w:t>
      </w:r>
      <w:r>
        <w:rPr>
          <w:rStyle w:val="FootnoteReference"/>
        </w:rPr>
        <w:footnoteReference w:id="16605"/>
      </w:r>
      <w:r>
        <w:t xml:space="preserve">, and Cyrenians</w:t>
      </w:r>
      <w:r>
        <w:rPr>
          <w:rStyle w:val="FootnoteReference"/>
        </w:rPr>
        <w:footnoteReference w:id="16606"/>
      </w:r>
      <w:r>
        <w:t xml:space="preserve">, and Alexandrians</w:t>
      </w:r>
      <w:r>
        <w:rPr>
          <w:rStyle w:val="FootnoteReference"/>
        </w:rPr>
        <w:footnoteReference w:id="16607"/>
      </w:r>
      <w:r>
        <w:t xml:space="preserve">, and of them of Cilicia</w:t>
      </w:r>
      <w:r>
        <w:rPr>
          <w:rStyle w:val="FootnoteReference"/>
        </w:rPr>
        <w:footnoteReference w:id="16608"/>
      </w:r>
      <w:r>
        <w:t xml:space="preserve"> and of Asia, disputing with Stephen.</w:t>
      </w:r>
    </w:p>
    <w:p>
      <w:r>
        <w:rPr>
          <w:b/>
        </w:rPr>
        <w:t xml:space="preserve">10 </w:t>
      </w:r>
      <w:r>
        <w:t xml:space="preserve">And they were not able</w:t>
      </w:r>
      <w:r>
        <w:rPr>
          <w:rStyle w:val="FootnoteReference"/>
        </w:rPr>
        <w:footnoteReference w:id="16609"/>
      </w:r>
      <w:r>
        <w:t xml:space="preserve"> to resist the wisdom and the spirit by which he spoke.</w:t>
      </w:r>
    </w:p>
    <w:p>
      <w:r>
        <w:rPr>
          <w:b/>
        </w:rPr>
        <w:t xml:space="preserve">11 </w:t>
      </w:r>
      <w:r>
        <w:t xml:space="preserve">Then they induced men, who said, We have heard him speak blasphemous</w:t>
      </w:r>
      <w:r>
        <w:rPr>
          <w:rStyle w:val="FootnoteReference"/>
        </w:rPr>
        <w:footnoteReference w:id="16610"/>
      </w:r>
      <w:r>
        <w:t xml:space="preserve"> words against Moses, and against God.</w:t>
      </w:r>
    </w:p>
    <w:p>
      <w:r>
        <w:rPr>
          <w:b/>
        </w:rPr>
        <w:t xml:space="preserve">12 </w:t>
      </w:r>
      <w:r>
        <w:t xml:space="preserve">And they stirred</w:t>
      </w:r>
      <w:r>
        <w:rPr>
          <w:rStyle w:val="FootnoteReference"/>
        </w:rPr>
        <w:footnoteReference w:id="16611"/>
      </w:r>
      <w:r>
        <w:t xml:space="preserve"> up the people, and the elders, and the scribes, and came upon him, and caught him, and brought him to the council,</w:t>
      </w:r>
    </w:p>
    <w:p>
      <w:r>
        <w:rPr>
          <w:b/>
        </w:rPr>
        <w:t xml:space="preserve">13 </w:t>
      </w:r>
      <w:r>
        <w:t xml:space="preserve">And set up false witnesses, who said, This man does not cease to speak blasphemous words against this holy place, and the law:</w:t>
      </w:r>
    </w:p>
    <w:p>
      <w:r>
        <w:rPr>
          <w:b/>
        </w:rPr>
        <w:t xml:space="preserve">14 </w:t>
      </w:r>
      <w:r>
        <w:t xml:space="preserve">For we have heard him say, that this Jesus of Nazareth shall destroy this place, and shall change</w:t>
      </w:r>
      <w:r>
        <w:rPr>
          <w:rStyle w:val="FootnoteReference"/>
        </w:rPr>
        <w:footnoteReference w:id="16612"/>
      </w:r>
      <w:r>
        <w:t xml:space="preserve"> the customs which Moses delivered us.</w:t>
      </w:r>
    </w:p>
    <w:p>
      <w:r>
        <w:rPr>
          <w:b/>
        </w:rPr>
        <w:t xml:space="preserve">15 </w:t>
      </w:r>
      <w:r>
        <w:t xml:space="preserve">And all that sat in the council, looking steadfastly on him, saw his face like the face of an angel.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Then the high priest said, Are these things so?</w:t>
      </w:r>
    </w:p>
    <w:p>
      <w:r>
        <w:rPr>
          <w:b/>
        </w:rPr>
        <w:t xml:space="preserve">2 </w:t>
      </w:r>
      <w:r>
        <w:t xml:space="preserve">And he said, Men, brothers, and fathers, listen: The God</w:t>
      </w:r>
      <w:r>
        <w:rPr>
          <w:rStyle w:val="FootnoteReference"/>
        </w:rPr>
        <w:footnoteReference w:id="16613"/>
      </w:r>
      <w:r>
        <w:t xml:space="preserve"> of glory appeared to our father Abraham, when he was in Mesopotamia, before he dwelt in Haran</w:t>
      </w:r>
      <w:r>
        <w:rPr>
          <w:rStyle w:val="FootnoteReference"/>
        </w:rPr>
        <w:footnoteReference w:id="16614"/>
      </w:r>
      <w:r>
        <w:t xml:space="preserve">,</w:t>
      </w:r>
      <w:r>
        <w:rPr>
          <w:rStyle w:val="FootnoteReference"/>
        </w:rPr>
        <w:footnoteReference w:id="16615"/>
      </w:r>
    </w:p>
    <w:p>
      <w:r>
        <w:rPr>
          <w:b/>
        </w:rPr>
        <w:t xml:space="preserve">3 </w:t>
      </w:r>
      <w:r>
        <w:t xml:space="preserve">And said to him, Get you out of your country, and from your kindred, and come into the land which I shall show you.</w:t>
      </w:r>
    </w:p>
    <w:p>
      <w:r>
        <w:rPr>
          <w:b/>
        </w:rPr>
        <w:t xml:space="preserve">4 </w:t>
      </w:r>
      <w:r>
        <w:t xml:space="preserve">Then he came out of the land of the Chaldeans</w:t>
      </w:r>
      <w:r>
        <w:rPr>
          <w:rStyle w:val="FootnoteReference"/>
        </w:rPr>
        <w:footnoteReference w:id="16616"/>
      </w:r>
      <w:r>
        <w:t xml:space="preserve">, and dwelt in Haran: and from there, when his father was dead, he moved him into this land, in which you now dwell.</w:t>
      </w:r>
    </w:p>
    <w:p>
      <w:r>
        <w:rPr>
          <w:b/>
        </w:rPr>
        <w:t xml:space="preserve">5 </w:t>
      </w:r>
      <w:r>
        <w:t xml:space="preserve">And he gave</w:t>
      </w:r>
      <w:r>
        <w:rPr>
          <w:rStyle w:val="FootnoteReference"/>
        </w:rPr>
        <w:footnoteReference w:id="16617"/>
      </w:r>
      <w:r>
        <w:t xml:space="preserve"> him no inheritance in it, no, not so much as to set his foot on: yet he promised that he would give it to him for a possession, and to his seed after him, when as yet he had no child.</w:t>
      </w:r>
    </w:p>
    <w:p>
      <w:r>
        <w:rPr>
          <w:b/>
        </w:rPr>
        <w:t xml:space="preserve">6 </w:t>
      </w:r>
      <w:r>
        <w:t xml:space="preserve">And God spoke likewise, That his seed should sojourn in a strange land; and that they should bring them into bondage, and afflict them four</w:t>
      </w:r>
      <w:r>
        <w:rPr>
          <w:rStyle w:val="FootnoteReference"/>
        </w:rPr>
        <w:footnoteReference w:id="16618"/>
      </w:r>
      <w:r>
        <w:t xml:space="preserve"> hundred years.</w:t>
      </w:r>
    </w:p>
    <w:p>
      <w:r>
        <w:rPr>
          <w:b/>
        </w:rPr>
        <w:t xml:space="preserve">7 </w:t>
      </w:r>
      <w:r>
        <w:t xml:space="preserve">And the nation</w:t>
      </w:r>
      <w:r>
        <w:rPr>
          <w:rStyle w:val="FootnoteReference"/>
        </w:rPr>
        <w:footnoteReference w:id="16619"/>
      </w:r>
      <w:r>
        <w:t xml:space="preserve"> to whom they shall be in bondage I will judge, said God: and after that shall they come forth, and serve me in this place.</w:t>
      </w:r>
    </w:p>
    <w:p>
      <w:r>
        <w:rPr>
          <w:b/>
        </w:rPr>
        <w:t xml:space="preserve">8 </w:t>
      </w:r>
      <w:r>
        <w:t xml:space="preserve">And he gave him the covenant</w:t>
      </w:r>
      <w:r>
        <w:rPr>
          <w:rStyle w:val="FootnoteReference"/>
        </w:rPr>
        <w:footnoteReference w:id="16620"/>
      </w:r>
      <w:r>
        <w:t xml:space="preserve"> of circumcision: and so Abraham fathered Isaac, and circumcised him the eighth day; and Isaac fathered Jacob; and Jacob fathered the twelve patriarchs.</w:t>
      </w:r>
    </w:p>
    <w:p>
      <w:r>
        <w:rPr>
          <w:b/>
        </w:rPr>
        <w:t xml:space="preserve">9 </w:t>
      </w:r>
      <w:r>
        <w:t xml:space="preserve">And the patriarchs, moved</w:t>
      </w:r>
      <w:r>
        <w:rPr>
          <w:rStyle w:val="FootnoteReference"/>
        </w:rPr>
        <w:footnoteReference w:id="16621"/>
      </w:r>
      <w:r>
        <w:t xml:space="preserve"> with envy, sold Joseph into Egypt: but God was with him,</w:t>
      </w:r>
    </w:p>
    <w:p>
      <w:r>
        <w:rPr>
          <w:b/>
        </w:rPr>
        <w:t xml:space="preserve">10 </w:t>
      </w:r>
      <w:r>
        <w:t xml:space="preserve">And delivered</w:t>
      </w:r>
      <w:r>
        <w:rPr>
          <w:rStyle w:val="FootnoteReference"/>
        </w:rPr>
        <w:footnoteReference w:id="16622"/>
      </w:r>
      <w:r>
        <w:t xml:space="preserve"> him out of all his afflictions, and gave him favor and wisdom in the sight of Pharaoh</w:t>
      </w:r>
      <w:r>
        <w:rPr>
          <w:rStyle w:val="FootnoteReference"/>
        </w:rPr>
        <w:footnoteReference w:id="16623"/>
      </w:r>
      <w:r>
        <w:t xml:space="preserve"> king of Egypt; and he made him governor over Egypt and all his house.</w:t>
      </w:r>
    </w:p>
    <w:p>
      <w:r>
        <w:rPr>
          <w:b/>
        </w:rPr>
        <w:t xml:space="preserve">11 </w:t>
      </w:r>
      <w:r>
        <w:t xml:space="preserve">Now there came a famine over all the land of Egypt and Canaan, and great affliction: and our fathers found no food.</w:t>
      </w:r>
    </w:p>
    <w:p>
      <w:r>
        <w:rPr>
          <w:b/>
        </w:rPr>
        <w:t xml:space="preserve">12 </w:t>
      </w:r>
      <w:r>
        <w:t xml:space="preserve">But when Jacob heard that there was grain in Egypt, he sent out our fathers first.</w:t>
      </w:r>
    </w:p>
    <w:p>
      <w:r>
        <w:rPr>
          <w:b/>
        </w:rPr>
        <w:t xml:space="preserve">13 </w:t>
      </w:r>
      <w:r>
        <w:t xml:space="preserve">And at the second time Joseph</w:t>
      </w:r>
      <w:r>
        <w:rPr>
          <w:rStyle w:val="FootnoteReference"/>
        </w:rPr>
        <w:footnoteReference w:id="16624"/>
      </w:r>
      <w:r>
        <w:t xml:space="preserve"> was made known to his brothers; and Joseph's kindred was made known to Pharaoh.</w:t>
      </w:r>
    </w:p>
    <w:p>
      <w:r>
        <w:rPr>
          <w:b/>
        </w:rPr>
        <w:t xml:space="preserve">14 </w:t>
      </w:r>
      <w:r>
        <w:t xml:space="preserve">Then Joseph sent</w:t>
      </w:r>
      <w:r>
        <w:rPr>
          <w:rStyle w:val="FootnoteReference"/>
        </w:rPr>
        <w:footnoteReference w:id="16625"/>
      </w:r>
      <w:r>
        <w:t xml:space="preserve">, and called his father Jacob to him, and all his kindred, seventy-five souls.</w:t>
      </w:r>
    </w:p>
    <w:p>
      <w:r>
        <w:rPr>
          <w:b/>
        </w:rPr>
        <w:t xml:space="preserve">15 </w:t>
      </w:r>
      <w:r>
        <w:t xml:space="preserve">So Jacob</w:t>
      </w:r>
      <w:r>
        <w:rPr>
          <w:rStyle w:val="FootnoteReference"/>
        </w:rPr>
        <w:footnoteReference w:id="16626"/>
      </w:r>
      <w:r>
        <w:t xml:space="preserve"> went down into Egypt, and died, he, and our fathers,</w:t>
      </w:r>
    </w:p>
    <w:p>
      <w:r>
        <w:rPr>
          <w:b/>
        </w:rPr>
        <w:t xml:space="preserve">16 </w:t>
      </w:r>
      <w:r>
        <w:t xml:space="preserve">And were carried over into Shechem</w:t>
      </w:r>
      <w:r>
        <w:rPr>
          <w:rStyle w:val="FootnoteReference"/>
        </w:rPr>
        <w:footnoteReference w:id="16627"/>
      </w:r>
      <w:r>
        <w:t xml:space="preserve">, and laid in the tomb that Abraham bought for a sum of money of the sons of Hamor</w:t>
      </w:r>
      <w:r>
        <w:rPr>
          <w:rStyle w:val="FootnoteReference"/>
        </w:rPr>
        <w:footnoteReference w:id="16628"/>
      </w:r>
      <w:r>
        <w:t xml:space="preserve"> the father of Shechem.</w:t>
      </w:r>
      <w:r>
        <w:rPr>
          <w:rStyle w:val="FootnoteReference"/>
        </w:rPr>
        <w:footnoteReference w:id="16629"/>
      </w:r>
    </w:p>
    <w:p>
      <w:r>
        <w:rPr>
          <w:b/>
        </w:rPr>
        <w:t xml:space="preserve">17 </w:t>
      </w:r>
      <w:r>
        <w:t xml:space="preserve">But when the time of the promise drew near, which God had sworn to Abraham, the people grew and multiplied in Egypt,</w:t>
      </w:r>
    </w:p>
    <w:p>
      <w:r>
        <w:rPr>
          <w:b/>
        </w:rPr>
        <w:t xml:space="preserve">18 </w:t>
      </w:r>
      <w:r>
        <w:t xml:space="preserve">Till another king arose, which did not know Joseph.</w:t>
      </w:r>
    </w:p>
    <w:p>
      <w:r>
        <w:rPr>
          <w:b/>
        </w:rPr>
        <w:t xml:space="preserve">19 </w:t>
      </w:r>
      <w:r>
        <w:t xml:space="preserve">This one dealt craftily with our kindred, and mistreated our fathers, by making them expose their infants, so that they might not be kept alive.</w:t>
      </w:r>
    </w:p>
    <w:p>
      <w:r>
        <w:rPr>
          <w:b/>
        </w:rPr>
        <w:t xml:space="preserve">20 </w:t>
      </w:r>
      <w:r>
        <w:t xml:space="preserve">In which time Moses</w:t>
      </w:r>
      <w:r>
        <w:rPr>
          <w:rStyle w:val="FootnoteReference"/>
        </w:rPr>
        <w:footnoteReference w:id="16630"/>
      </w:r>
      <w:r>
        <w:t xml:space="preserve"> was born, and was exceedingly fair, and nourished up in his father's house three months:</w:t>
      </w:r>
    </w:p>
    <w:p>
      <w:r>
        <w:rPr>
          <w:b/>
        </w:rPr>
        <w:t xml:space="preserve">21 </w:t>
      </w:r>
      <w:r>
        <w:t xml:space="preserve">And when he was cast out, Pharaoh's daughter took him up, and nourished him for her own son.</w:t>
      </w:r>
    </w:p>
    <w:p>
      <w:r>
        <w:rPr>
          <w:b/>
        </w:rPr>
        <w:t xml:space="preserve">22 </w:t>
      </w:r>
      <w:r>
        <w:t xml:space="preserve">And Moses was learned</w:t>
      </w:r>
      <w:r>
        <w:rPr>
          <w:rStyle w:val="FootnoteReference"/>
        </w:rPr>
        <w:footnoteReference w:id="16631"/>
      </w:r>
      <w:r>
        <w:t xml:space="preserve"> in all the wisdom of the Egyptians</w:t>
      </w:r>
      <w:r>
        <w:rPr>
          <w:rStyle w:val="FootnoteReference"/>
        </w:rPr>
        <w:footnoteReference w:id="16632"/>
      </w:r>
      <w:r>
        <w:t xml:space="preserve">, and was mighty in words and in deeds.</w:t>
      </w:r>
    </w:p>
    <w:p>
      <w:r>
        <w:rPr>
          <w:b/>
        </w:rPr>
        <w:t xml:space="preserve">23 </w:t>
      </w:r>
      <w:r>
        <w:t xml:space="preserve">And when he was full forty years old, it came</w:t>
      </w:r>
      <w:r>
        <w:rPr>
          <w:rStyle w:val="FootnoteReference"/>
        </w:rPr>
        <w:footnoteReference w:id="16633"/>
      </w:r>
      <w:r>
        <w:t xml:space="preserve"> into his heart to visit his brothers the children of Israel.</w:t>
      </w:r>
    </w:p>
    <w:p>
      <w:r>
        <w:rPr>
          <w:b/>
        </w:rPr>
        <w:t xml:space="preserve">24 </w:t>
      </w:r>
      <w:r>
        <w:t xml:space="preserve">And seeing one of them suffer wrong, he defended him, and avenged him who was oppressed, and struck the Egyptian</w:t>
      </w:r>
      <w:r>
        <w:rPr>
          <w:rStyle w:val="FootnoteReference"/>
        </w:rPr>
        <w:footnoteReference w:id="16634"/>
      </w:r>
      <w:r>
        <w:t xml:space="preserve">:</w:t>
      </w:r>
    </w:p>
    <w:p>
      <w:r>
        <w:rPr>
          <w:b/>
        </w:rPr>
        <w:t xml:space="preserve">25 </w:t>
      </w:r>
      <w:r>
        <w:t xml:space="preserve">For he supposed his brothers would have understood how that God by his hand would deliver them: but they did not understand.</w:t>
      </w:r>
    </w:p>
    <w:p>
      <w:r>
        <w:rPr>
          <w:b/>
        </w:rPr>
        <w:t xml:space="preserve">26 </w:t>
      </w:r>
      <w:r>
        <w:t xml:space="preserve">And the next</w:t>
      </w:r>
      <w:r>
        <w:rPr>
          <w:rStyle w:val="FootnoteReference"/>
        </w:rPr>
        <w:footnoteReference w:id="16635"/>
      </w:r>
      <w:r>
        <w:t xml:space="preserve"> day he showed himself to them as they strove, and tried to reconcile them, saying, Men, you are brothers; why do you wrong one another?</w:t>
      </w:r>
    </w:p>
    <w:p>
      <w:r>
        <w:rPr>
          <w:b/>
        </w:rPr>
        <w:t xml:space="preserve">27 </w:t>
      </w:r>
      <w:r>
        <w:t xml:space="preserve">But the one who did his neighbor wrong thrust him away, saying, Who made you a ruler and a judge over us?</w:t>
      </w:r>
    </w:p>
    <w:p>
      <w:r>
        <w:rPr>
          <w:b/>
        </w:rPr>
        <w:t xml:space="preserve">28 </w:t>
      </w:r>
      <w:r>
        <w:t xml:space="preserve">Will you kill me, as you did the Egyptian yesterday?</w:t>
      </w:r>
    </w:p>
    <w:p>
      <w:r>
        <w:rPr>
          <w:b/>
        </w:rPr>
        <w:t xml:space="preserve">29 </w:t>
      </w:r>
      <w:r>
        <w:t xml:space="preserve">Then fled Moses at this saying, and was a stranger in the land of Midian</w:t>
      </w:r>
      <w:r>
        <w:rPr>
          <w:rStyle w:val="FootnoteReference"/>
        </w:rPr>
        <w:footnoteReference w:id="16636"/>
      </w:r>
      <w:r>
        <w:t xml:space="preserve">, where he fathered two sons.</w:t>
      </w:r>
      <w:r>
        <w:rPr>
          <w:rStyle w:val="FootnoteReference"/>
        </w:rPr>
        <w:footnoteReference w:id="16637"/>
      </w:r>
    </w:p>
    <w:p>
      <w:r>
        <w:rPr>
          <w:b/>
        </w:rPr>
        <w:t xml:space="preserve">30 </w:t>
      </w:r>
      <w:r>
        <w:t xml:space="preserve">And when forty years were expired, there appeared to him in the wilderness of Mount Sinai</w:t>
      </w:r>
      <w:r>
        <w:rPr>
          <w:rStyle w:val="FootnoteReference"/>
        </w:rPr>
        <w:footnoteReference w:id="16638"/>
      </w:r>
      <w:r>
        <w:t xml:space="preserve"> an angel of the Lord in a flame</w:t>
      </w:r>
      <w:r>
        <w:rPr>
          <w:rStyle w:val="FootnoteReference"/>
        </w:rPr>
        <w:footnoteReference w:id="16639"/>
      </w:r>
      <w:r>
        <w:t xml:space="preserve"> of fire in a bush.</w:t>
      </w:r>
    </w:p>
    <w:p>
      <w:r>
        <w:rPr>
          <w:b/>
        </w:rPr>
        <w:t xml:space="preserve">31 </w:t>
      </w:r>
      <w:r>
        <w:t xml:space="preserve">When Moses saw it, he wondered at the sight: and as</w:t>
      </w:r>
      <w:r>
        <w:rPr>
          <w:rStyle w:val="FootnoteReference"/>
        </w:rPr>
        <w:footnoteReference w:id="16640"/>
      </w:r>
      <w:r>
        <w:t xml:space="preserve"> he drew near to look it, the voice of the Lord came to him,</w:t>
      </w:r>
    </w:p>
    <w:p>
      <w:r>
        <w:rPr>
          <w:b/>
        </w:rPr>
        <w:t xml:space="preserve">32 </w:t>
      </w:r>
      <w:r>
        <w:t xml:space="preserve">Saying, I am the God of your fathers, the God of Abraham, and the God of Isaac, and the God of Jacob. Then Moses trembled, and dared not look.</w:t>
      </w:r>
    </w:p>
    <w:p>
      <w:r>
        <w:rPr>
          <w:b/>
        </w:rPr>
        <w:t xml:space="preserve">33 </w:t>
      </w:r>
      <w:r>
        <w:t xml:space="preserve">Then said the Lord to him, Put off your shoes from your feet: for the place where you stand is holy ground.</w:t>
      </w:r>
    </w:p>
    <w:p>
      <w:r>
        <w:rPr>
          <w:b/>
        </w:rPr>
        <w:t xml:space="preserve">34 </w:t>
      </w:r>
      <w:r>
        <w:t xml:space="preserve">I have seen</w:t>
      </w:r>
      <w:r>
        <w:rPr>
          <w:rStyle w:val="FootnoteReference"/>
        </w:rPr>
        <w:footnoteReference w:id="16641"/>
      </w:r>
      <w:r>
        <w:t xml:space="preserve">, I have seen the affliction of my people who are in Egypt, and I have heard their groaning, and have come down to deliver them. And now come, I will send you into Egypt.</w:t>
      </w:r>
    </w:p>
    <w:p>
      <w:r>
        <w:rPr>
          <w:b/>
        </w:rPr>
        <w:t xml:space="preserve">35 </w:t>
      </w:r>
      <w:r>
        <w:t xml:space="preserve">This Moses</w:t>
      </w:r>
      <w:r>
        <w:rPr>
          <w:rStyle w:val="FootnoteReference"/>
        </w:rPr>
        <w:footnoteReference w:id="16642"/>
      </w:r>
      <w:r>
        <w:t xml:space="preserve"> whom they refused, saying, Who made you a ruler and a judge? this one God sent to be a ruler and a deliverer by the hand of the angel who appeared to him in the bush.</w:t>
      </w:r>
    </w:p>
    <w:p>
      <w:r>
        <w:rPr>
          <w:b/>
        </w:rPr>
        <w:t xml:space="preserve">36 </w:t>
      </w:r>
      <w:r>
        <w:t xml:space="preserve">He brought</w:t>
      </w:r>
      <w:r>
        <w:rPr>
          <w:rStyle w:val="FootnoteReference"/>
        </w:rPr>
        <w:footnoteReference w:id="16643"/>
      </w:r>
      <w:r>
        <w:t xml:space="preserve"> them out, after he had worked wonders and signs in the land of Egypt, and in the Red Sea, and in the wilderness forty years.</w:t>
      </w:r>
    </w:p>
    <w:p>
      <w:r>
        <w:rPr>
          <w:b/>
        </w:rPr>
        <w:t xml:space="preserve">37 </w:t>
      </w:r>
      <w:r>
        <w:t xml:space="preserve">This is that Moses, which said to the children of Israel, A prophet</w:t>
      </w:r>
      <w:r>
        <w:rPr>
          <w:rStyle w:val="FootnoteReference"/>
        </w:rPr>
        <w:footnoteReference w:id="16644"/>
      </w:r>
      <w:r>
        <w:t xml:space="preserve"> shall the Lord your God raise up to you of your brothers, like to me; him shall you hear.</w:t>
      </w:r>
    </w:p>
    <w:p>
      <w:r>
        <w:rPr>
          <w:b/>
        </w:rPr>
        <w:t xml:space="preserve">38 </w:t>
      </w:r>
      <w:r>
        <w:t xml:space="preserve">This is he, that was in the assembly in the wilderness with the</w:t>
      </w:r>
      <w:r>
        <w:rPr>
          <w:rStyle w:val="FootnoteReference"/>
        </w:rPr>
        <w:footnoteReference w:id="16645"/>
      </w:r>
      <w:r>
        <w:t xml:space="preserve"> angel who spoke to him in the mount Sina, and with our fathers: who received the lively oracles to give to us:</w:t>
      </w:r>
    </w:p>
    <w:p>
      <w:r>
        <w:rPr>
          <w:b/>
        </w:rPr>
        <w:t xml:space="preserve">39 </w:t>
      </w:r>
      <w:r>
        <w:t xml:space="preserve">To whom our fathers would not obey, but thrust him from them, and in</w:t>
      </w:r>
      <w:r>
        <w:rPr>
          <w:rStyle w:val="FootnoteReference"/>
        </w:rPr>
        <w:footnoteReference w:id="16646"/>
      </w:r>
      <w:r>
        <w:t xml:space="preserve"> their hearts turned back again into Egypt,</w:t>
      </w:r>
    </w:p>
    <w:p>
      <w:r>
        <w:rPr>
          <w:b/>
        </w:rPr>
        <w:t xml:space="preserve">40 </w:t>
      </w:r>
      <w:r>
        <w:t xml:space="preserve">Saying to Aaron, Make us gods to go before us: for as for this Moses, who brought us out of the land of Egypt, we do not know what has become of him.</w:t>
      </w:r>
    </w:p>
    <w:p>
      <w:r>
        <w:rPr>
          <w:b/>
        </w:rPr>
        <w:t xml:space="preserve">41 </w:t>
      </w:r>
      <w:r>
        <w:t xml:space="preserve">And they made a calf in those days, and offered sacrifice to the idol, and rejoiced</w:t>
      </w:r>
      <w:r>
        <w:rPr>
          <w:rStyle w:val="FootnoteReference"/>
        </w:rPr>
        <w:footnoteReference w:id="16647"/>
      </w:r>
      <w:r>
        <w:t xml:space="preserve"> in the works of their own hands.</w:t>
      </w:r>
    </w:p>
    <w:p>
      <w:r>
        <w:rPr>
          <w:b/>
        </w:rPr>
        <w:t xml:space="preserve">42 </w:t>
      </w:r>
      <w:r>
        <w:t xml:space="preserve">Then God turned, and gave</w:t>
      </w:r>
      <w:r>
        <w:rPr>
          <w:rStyle w:val="FootnoteReference"/>
        </w:rPr>
        <w:footnoteReference w:id="16648"/>
      </w:r>
      <w:r>
        <w:t xml:space="preserve"> them up to worship the host of heaven; as it is written in the book of the prophets, O you house of Israel, did you offer to me slain beasts and sacrifices for forty years in the wilderness?</w:t>
      </w:r>
    </w:p>
    <w:p>
      <w:r>
        <w:rPr>
          <w:b/>
        </w:rPr>
        <w:t xml:space="preserve">43 </w:t>
      </w:r>
      <w:r>
        <w:t xml:space="preserve">Yes, you took up the tabernacle of Moloch</w:t>
      </w:r>
      <w:r>
        <w:rPr>
          <w:rStyle w:val="FootnoteReference"/>
        </w:rPr>
        <w:footnoteReference w:id="16649"/>
      </w:r>
      <w:r>
        <w:t xml:space="preserve">, and the star of your god Remphan</w:t>
      </w:r>
      <w:r>
        <w:rPr>
          <w:rStyle w:val="FootnoteReference"/>
        </w:rPr>
        <w:footnoteReference w:id="16650"/>
      </w:r>
      <w:r>
        <w:t xml:space="preserve">, figures</w:t>
      </w:r>
      <w:r>
        <w:rPr>
          <w:rStyle w:val="FootnoteReference"/>
        </w:rPr>
        <w:footnoteReference w:id="16651"/>
      </w:r>
      <w:r>
        <w:t xml:space="preserve"> which you made to worship them: and I will carry you away beyond Babylon.</w:t>
      </w:r>
    </w:p>
    <w:p>
      <w:r>
        <w:rPr>
          <w:b/>
        </w:rPr>
        <w:t xml:space="preserve">44 </w:t>
      </w:r>
      <w:r>
        <w:t xml:space="preserve">Our fathers had the tabernacle</w:t>
      </w:r>
      <w:r>
        <w:rPr>
          <w:rStyle w:val="FootnoteReference"/>
        </w:rPr>
        <w:footnoteReference w:id="16652"/>
      </w:r>
      <w:r>
        <w:t xml:space="preserve"> of witness in the wilderness, as he had appointed, speaking to Moses, that he should make it according to the fashion that he had seen.</w:t>
      </w:r>
    </w:p>
    <w:p>
      <w:r>
        <w:rPr>
          <w:b/>
        </w:rPr>
        <w:t xml:space="preserve">45 </w:t>
      </w:r>
      <w:r>
        <w:t xml:space="preserve">Which also our fathers that came after brought in with Jesus</w:t>
      </w:r>
      <w:r>
        <w:rPr>
          <w:rStyle w:val="FootnoteReference"/>
        </w:rPr>
        <w:footnoteReference w:id="16653"/>
      </w:r>
      <w:r>
        <w:t xml:space="preserve"> into the possession of the nations, whom God drove out before the face of our fathers, to the days of David;</w:t>
      </w:r>
    </w:p>
    <w:p>
      <w:r>
        <w:rPr>
          <w:b/>
        </w:rPr>
        <w:t xml:space="preserve">46 </w:t>
      </w:r>
      <w:r>
        <w:t xml:space="preserve">Who found</w:t>
      </w:r>
      <w:r>
        <w:rPr>
          <w:rStyle w:val="FootnoteReference"/>
        </w:rPr>
        <w:footnoteReference w:id="16654"/>
      </w:r>
      <w:r>
        <w:t xml:space="preserve"> favor before God, and desired to find a tabernacle for the God of Jacob.</w:t>
      </w:r>
    </w:p>
    <w:p>
      <w:r>
        <w:rPr>
          <w:b/>
        </w:rPr>
        <w:t xml:space="preserve">47 </w:t>
      </w:r>
      <w:r>
        <w:t xml:space="preserve">But Solomon built him a house.</w:t>
      </w:r>
    </w:p>
    <w:p>
      <w:r>
        <w:rPr>
          <w:b/>
        </w:rPr>
        <w:t xml:space="preserve">48 </w:t>
      </w:r>
      <w:r>
        <w:t xml:space="preserve">Nevertheless the Most High</w:t>
      </w:r>
      <w:r>
        <w:rPr>
          <w:rStyle w:val="FootnoteReference"/>
        </w:rPr>
        <w:footnoteReference w:id="16655"/>
      </w:r>
      <w:r>
        <w:t xml:space="preserve"> does not dwell in temples made with hands; as says the prophet,</w:t>
      </w:r>
    </w:p>
    <w:p>
      <w:r>
        <w:rPr>
          <w:b/>
        </w:rPr>
        <w:t xml:space="preserve">49 </w:t>
      </w:r>
      <w:r>
        <w:t xml:space="preserve">Heaven</w:t>
      </w:r>
      <w:r>
        <w:rPr>
          <w:rStyle w:val="FootnoteReference"/>
        </w:rPr>
        <w:footnoteReference w:id="16656"/>
      </w:r>
      <w:r>
        <w:t xml:space="preserve"> is my throne, and earth is my footstool: what house will you build me? says the Lord: or what is the place of my rest?</w:t>
      </w:r>
    </w:p>
    <w:p>
      <w:r>
        <w:rPr>
          <w:b/>
        </w:rPr>
        <w:t xml:space="preserve">50 </w:t>
      </w:r>
      <w:r>
        <w:t xml:space="preserve">Has not my hand made all these things?</w:t>
      </w:r>
    </w:p>
    <w:p>
      <w:r>
        <w:rPr>
          <w:b/>
        </w:rPr>
        <w:t xml:space="preserve">51 </w:t>
      </w:r>
      <w:r>
        <w:t xml:space="preserve">You stiff-necked and uncircumcised</w:t>
      </w:r>
      <w:r>
        <w:rPr>
          <w:rStyle w:val="FootnoteReference"/>
        </w:rPr>
        <w:footnoteReference w:id="16657"/>
      </w:r>
      <w:r>
        <w:t xml:space="preserve"> in heart and ears, you always resist the Holy Spirit: as your fathers did, so do you.</w:t>
      </w:r>
    </w:p>
    <w:p>
      <w:r>
        <w:rPr>
          <w:b/>
        </w:rPr>
        <w:t xml:space="preserve">52 </w:t>
      </w:r>
      <w:r>
        <w:t xml:space="preserve">Which of</w:t>
      </w:r>
      <w:r>
        <w:rPr>
          <w:rStyle w:val="FootnoteReference"/>
        </w:rPr>
        <w:footnoteReference w:id="16658"/>
      </w:r>
      <w:r>
        <w:t xml:space="preserve"> the prophets have not your fathers persecuted? and they have killed those who showed before of the coming of the Righteous One; of whom you have now been the betrayers and murderers:</w:t>
      </w:r>
    </w:p>
    <w:p>
      <w:r>
        <w:rPr>
          <w:b/>
        </w:rPr>
        <w:t xml:space="preserve">53 </w:t>
      </w:r>
      <w:r>
        <w:t xml:space="preserve">Who have received</w:t>
      </w:r>
      <w:r>
        <w:rPr>
          <w:rStyle w:val="FootnoteReference"/>
        </w:rPr>
        <w:footnoteReference w:id="16659"/>
      </w:r>
      <w:r>
        <w:t xml:space="preserve"> the law by the ordinances of angels, and have not kept it.</w:t>
      </w:r>
    </w:p>
    <w:p>
      <w:r>
        <w:rPr>
          <w:b/>
        </w:rPr>
        <w:t xml:space="preserve">54 </w:t>
      </w:r>
      <w:r>
        <w:t xml:space="preserve">When they heard these things, they were</w:t>
      </w:r>
      <w:r>
        <w:rPr>
          <w:rStyle w:val="FootnoteReference"/>
        </w:rPr>
        <w:footnoteReference w:id="16660"/>
      </w:r>
      <w:r>
        <w:t xml:space="preserve"> cut to the heart, and they gnashed at him with their teeth.</w:t>
      </w:r>
    </w:p>
    <w:p>
      <w:r>
        <w:rPr>
          <w:b/>
        </w:rPr>
        <w:t xml:space="preserve">55 </w:t>
      </w:r>
      <w:r>
        <w:t xml:space="preserve">But he, being full</w:t>
      </w:r>
      <w:r>
        <w:rPr>
          <w:rStyle w:val="FootnoteReference"/>
        </w:rPr>
        <w:footnoteReference w:id="16661"/>
      </w:r>
      <w:r>
        <w:t xml:space="preserve"> of the Holy Spirit, looked up steadfastly into heaven, and saw the glory of God, and Jesus standing at the right hand of God,</w:t>
      </w:r>
    </w:p>
    <w:p>
      <w:r>
        <w:rPr>
          <w:b/>
        </w:rPr>
        <w:t xml:space="preserve">56 </w:t>
      </w:r>
      <w:r>
        <w:t xml:space="preserve">And said, Look, I see</w:t>
      </w:r>
      <w:r>
        <w:rPr>
          <w:rStyle w:val="FootnoteReference"/>
        </w:rPr>
        <w:footnoteReference w:id="16662"/>
      </w:r>
      <w:r>
        <w:t xml:space="preserve"> the heavens opened, and the Son of man standing at the right hand of God.</w:t>
      </w:r>
    </w:p>
    <w:p>
      <w:r>
        <w:rPr>
          <w:b/>
        </w:rPr>
        <w:t xml:space="preserve">57 </w:t>
      </w:r>
      <w:r>
        <w:t xml:space="preserve">Then they cried</w:t>
      </w:r>
      <w:r>
        <w:rPr>
          <w:rStyle w:val="FootnoteReference"/>
        </w:rPr>
        <w:footnoteReference w:id="16663"/>
      </w:r>
      <w:r>
        <w:t xml:space="preserve"> out with a loud voice, and stopped their ears, and ran upon him with one accord,</w:t>
      </w:r>
    </w:p>
    <w:p>
      <w:r>
        <w:rPr>
          <w:b/>
        </w:rPr>
        <w:t xml:space="preserve">58 </w:t>
      </w:r>
      <w:r>
        <w:t xml:space="preserve">And cast</w:t>
      </w:r>
      <w:r>
        <w:rPr>
          <w:rStyle w:val="FootnoteReference"/>
        </w:rPr>
        <w:footnoteReference w:id="16664"/>
      </w:r>
      <w:r>
        <w:t xml:space="preserve"> him out of the city, and stoned him: and the witnesses laid down their clothes at a young man's feet, whose name was Saul</w:t>
      </w:r>
      <w:r>
        <w:rPr>
          <w:rStyle w:val="FootnoteReference"/>
        </w:rPr>
        <w:footnoteReference w:id="16665"/>
      </w:r>
      <w:r>
        <w:t xml:space="preserve">.</w:t>
      </w:r>
    </w:p>
    <w:p>
      <w:r>
        <w:rPr>
          <w:b/>
        </w:rPr>
        <w:t xml:space="preserve">59 </w:t>
      </w:r>
      <w:r>
        <w:t xml:space="preserve">And they stoned Stephen, invoking and saying, Lord Jesus, receive my spirit.</w:t>
      </w:r>
    </w:p>
    <w:p>
      <w:r>
        <w:rPr>
          <w:b/>
        </w:rPr>
        <w:t xml:space="preserve">60 </w:t>
      </w:r>
      <w:r>
        <w:t xml:space="preserve">And he kneeled</w:t>
      </w:r>
      <w:r>
        <w:rPr>
          <w:rStyle w:val="FootnoteReference"/>
        </w:rPr>
        <w:footnoteReference w:id="16666"/>
      </w:r>
      <w:r>
        <w:t xml:space="preserve"> down, and cried with a loud voice, Lord, do not lay this sin to their charge. And when he had said this, he fell asleep.</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Saul</w:t>
      </w:r>
      <w:r>
        <w:rPr>
          <w:rStyle w:val="FootnoteReference"/>
        </w:rPr>
        <w:footnoteReference w:id="16667"/>
      </w:r>
      <w:r>
        <w:t xml:space="preserve"> was consenting to his death. And at that time there was a great persecution against the assembly which was at Jerusalem; and they were all scattered throughout the regions of Judea and Samaria, except the apostles.</w:t>
      </w:r>
    </w:p>
    <w:p>
      <w:r>
        <w:rPr>
          <w:b/>
        </w:rPr>
        <w:t xml:space="preserve">2 </w:t>
      </w:r>
      <w:r>
        <w:t xml:space="preserve">And devout</w:t>
      </w:r>
      <w:r>
        <w:rPr>
          <w:rStyle w:val="FootnoteReference"/>
        </w:rPr>
        <w:footnoteReference w:id="16668"/>
      </w:r>
      <w:r>
        <w:t xml:space="preserve"> men carried Stephen to his burial, and made great lamentation over him.</w:t>
      </w:r>
    </w:p>
    <w:p>
      <w:r>
        <w:rPr>
          <w:b/>
        </w:rPr>
        <w:t xml:space="preserve">3 </w:t>
      </w:r>
      <w:r>
        <w:t xml:space="preserve">As for Saul, he made havoc of the assembly, entering into every house, and haling men and women committed them to prison.</w:t>
      </w:r>
    </w:p>
    <w:p>
      <w:r>
        <w:rPr>
          <w:b/>
        </w:rPr>
        <w:t xml:space="preserve">4 </w:t>
      </w:r>
      <w:r>
        <w:t xml:space="preserve">Therefore those who were scattered went everywhere preaching the word.</w:t>
      </w:r>
    </w:p>
    <w:p>
      <w:r>
        <w:rPr>
          <w:b/>
        </w:rPr>
        <w:t xml:space="preserve">5 </w:t>
      </w:r>
      <w:r>
        <w:t xml:space="preserve">Then Philip</w:t>
      </w:r>
      <w:r>
        <w:rPr>
          <w:rStyle w:val="FootnoteReference"/>
        </w:rPr>
        <w:footnoteReference w:id="16669"/>
      </w:r>
      <w:r>
        <w:t xml:space="preserve"> went down to the city of Samaria, and preached Christ to them.</w:t>
      </w:r>
    </w:p>
    <w:p>
      <w:r>
        <w:rPr>
          <w:b/>
        </w:rPr>
        <w:t xml:space="preserve">6 </w:t>
      </w:r>
      <w:r>
        <w:t xml:space="preserve">And the people with one</w:t>
      </w:r>
      <w:r>
        <w:rPr>
          <w:rStyle w:val="FootnoteReference"/>
        </w:rPr>
        <w:footnoteReference w:id="16670"/>
      </w:r>
      <w:r>
        <w:t xml:space="preserve"> accord gave heed to those things which Philip spoke, hearing and seeing the signs which he did.</w:t>
      </w:r>
    </w:p>
    <w:p>
      <w:r>
        <w:rPr>
          <w:b/>
        </w:rPr>
        <w:t xml:space="preserve">7 </w:t>
      </w:r>
      <w:r>
        <w:t xml:space="preserve">For unclean</w:t>
      </w:r>
      <w:r>
        <w:rPr>
          <w:rStyle w:val="FootnoteReference"/>
        </w:rPr>
        <w:footnoteReference w:id="16671"/>
      </w:r>
      <w:r>
        <w:t xml:space="preserve"> spirits, crying with loud voice, came out of many that had them: and many paralytics, and those who were lame, were healed.</w:t>
      </w:r>
    </w:p>
    <w:p>
      <w:r>
        <w:rPr>
          <w:b/>
        </w:rPr>
        <w:t xml:space="preserve">8 </w:t>
      </w:r>
      <w:r>
        <w:t xml:space="preserve">And there was great joy in that city.</w:t>
      </w:r>
    </w:p>
    <w:p>
      <w:r>
        <w:rPr>
          <w:b/>
        </w:rPr>
        <w:t xml:space="preserve">9 </w:t>
      </w:r>
      <w:r>
        <w:t xml:space="preserve">But there was a certain man, called Simon, who formerly in the same city practiced sorcery, and astonished the people of Samaria, saying that he himself was some great one:</w:t>
      </w:r>
      <w:r>
        <w:rPr>
          <w:rStyle w:val="FootnoteReference"/>
        </w:rPr>
        <w:footnoteReference w:id="16672"/>
      </w:r>
    </w:p>
    <w:p>
      <w:r>
        <w:rPr>
          <w:b/>
        </w:rPr>
        <w:t xml:space="preserve">10 </w:t>
      </w:r>
      <w:r>
        <w:t xml:space="preserve">To whom they all gave heed, from the least to the greatest, saying, This man is the great power</w:t>
      </w:r>
      <w:r>
        <w:rPr>
          <w:rStyle w:val="FootnoteReference"/>
        </w:rPr>
        <w:footnoteReference w:id="16673"/>
      </w:r>
      <w:r>
        <w:t xml:space="preserve"> of God.</w:t>
      </w:r>
    </w:p>
    <w:p>
      <w:r>
        <w:rPr>
          <w:b/>
        </w:rPr>
        <w:t xml:space="preserve">11 </w:t>
      </w:r>
      <w:r>
        <w:t xml:space="preserve">And to him they had regard, because for a long time he had</w:t>
      </w:r>
      <w:r>
        <w:rPr>
          <w:rStyle w:val="FootnoteReference"/>
        </w:rPr>
        <w:footnoteReference w:id="16674"/>
      </w:r>
      <w:r>
        <w:t xml:space="preserve"> astonished them with sorceries.</w:t>
      </w:r>
    </w:p>
    <w:p>
      <w:r>
        <w:rPr>
          <w:b/>
        </w:rPr>
        <w:t xml:space="preserve">12 </w:t>
      </w:r>
      <w:r>
        <w:t xml:space="preserve">But when they believed</w:t>
      </w:r>
      <w:r>
        <w:rPr>
          <w:rStyle w:val="FootnoteReference"/>
        </w:rPr>
        <w:footnoteReference w:id="16675"/>
      </w:r>
      <w:r>
        <w:t xml:space="preserve"> Philip preaching the things concerning the kingdom of God, and the name of Jesus Christ, they were baptized, both men and women.</w:t>
      </w:r>
    </w:p>
    <w:p>
      <w:r>
        <w:rPr>
          <w:b/>
        </w:rPr>
        <w:t xml:space="preserve">13 </w:t>
      </w:r>
      <w:r>
        <w:t xml:space="preserve">Then Simon himself believed</w:t>
      </w:r>
      <w:r>
        <w:rPr>
          <w:rStyle w:val="FootnoteReference"/>
        </w:rPr>
        <w:footnoteReference w:id="16676"/>
      </w:r>
      <w:r>
        <w:t xml:space="preserve"> also: and when he was baptized, he continued with Philip, and wondered, beholding the mighty works and signs which were done.</w:t>
      </w:r>
    </w:p>
    <w:p>
      <w:r>
        <w:rPr>
          <w:b/>
        </w:rPr>
        <w:t xml:space="preserve">14 </w:t>
      </w:r>
      <w:r>
        <w:t xml:space="preserve">Now when the apostles who were at Jerusalem heard that Samaria had received</w:t>
      </w:r>
      <w:r>
        <w:rPr>
          <w:rStyle w:val="FootnoteReference"/>
        </w:rPr>
        <w:footnoteReference w:id="16677"/>
      </w:r>
      <w:r>
        <w:t xml:space="preserve"> the word of God, they sent to them Peter and John:</w:t>
      </w:r>
    </w:p>
    <w:p>
      <w:r>
        <w:rPr>
          <w:b/>
        </w:rPr>
        <w:t xml:space="preserve">15 </w:t>
      </w:r>
      <w:r>
        <w:t xml:space="preserve">Who, when they had come down, prayed</w:t>
      </w:r>
      <w:r>
        <w:rPr>
          <w:rStyle w:val="FootnoteReference"/>
        </w:rPr>
        <w:footnoteReference w:id="16678"/>
      </w:r>
      <w:r>
        <w:t xml:space="preserve"> for them, that they might receive the Holy Spirit:</w:t>
      </w:r>
    </w:p>
    <w:p>
      <w:r>
        <w:rPr>
          <w:b/>
        </w:rPr>
        <w:t xml:space="preserve">16 </w:t>
      </w:r>
      <w:r>
        <w:t xml:space="preserve">(For as yet he was fallen upon none of them: only</w:t>
      </w:r>
      <w:r>
        <w:rPr>
          <w:rStyle w:val="FootnoteReference"/>
        </w:rPr>
        <w:footnoteReference w:id="16679"/>
      </w:r>
      <w:r>
        <w:t xml:space="preserve"> they were baptized in the name of the Lord Jesus.)</w:t>
      </w:r>
    </w:p>
    <w:p>
      <w:r>
        <w:rPr>
          <w:b/>
        </w:rPr>
        <w:t xml:space="preserve">17 </w:t>
      </w:r>
      <w:r>
        <w:t xml:space="preserve">Then they laid</w:t>
      </w:r>
      <w:r>
        <w:rPr>
          <w:rStyle w:val="FootnoteReference"/>
        </w:rPr>
        <w:footnoteReference w:id="16680"/>
      </w:r>
      <w:r>
        <w:t xml:space="preserve"> their hands on them, and they received the Holy Spirit.</w:t>
      </w:r>
    </w:p>
    <w:p>
      <w:r>
        <w:rPr>
          <w:b/>
        </w:rPr>
        <w:t xml:space="preserve">18 </w:t>
      </w:r>
      <w:r>
        <w:t xml:space="preserve">And when Simon saw that through laying on of the apostles' hands the Holy Spirit was given, he offered</w:t>
      </w:r>
      <w:r>
        <w:rPr>
          <w:rStyle w:val="FootnoteReference"/>
        </w:rPr>
        <w:footnoteReference w:id="16681"/>
      </w:r>
      <w:r>
        <w:t xml:space="preserve"> them money,</w:t>
      </w:r>
    </w:p>
    <w:p>
      <w:r>
        <w:rPr>
          <w:b/>
        </w:rPr>
        <w:t xml:space="preserve">19 </w:t>
      </w:r>
      <w:r>
        <w:t xml:space="preserve">Saying, Give me also this power, that on whomsoever I lay hands, he may receive the Holy Spirit.</w:t>
      </w:r>
    </w:p>
    <w:p>
      <w:r>
        <w:rPr>
          <w:b/>
        </w:rPr>
        <w:t xml:space="preserve">20 </w:t>
      </w:r>
      <w:r>
        <w:t xml:space="preserve">But Peter said to him, Your money perish with you, because you have thought that the gift</w:t>
      </w:r>
      <w:r>
        <w:rPr>
          <w:rStyle w:val="FootnoteReference"/>
        </w:rPr>
        <w:footnoteReference w:id="16682"/>
      </w:r>
      <w:r>
        <w:t xml:space="preserve"> of God may be purchased with money.</w:t>
      </w:r>
    </w:p>
    <w:p>
      <w:r>
        <w:rPr>
          <w:b/>
        </w:rPr>
        <w:t xml:space="preserve">21 </w:t>
      </w:r>
      <w:r>
        <w:t xml:space="preserve">You have neither part nor lot in this matter: for your heart is not right in the sight of God.</w:t>
      </w:r>
    </w:p>
    <w:p>
      <w:r>
        <w:rPr>
          <w:b/>
        </w:rPr>
        <w:t xml:space="preserve">22 </w:t>
      </w:r>
      <w:r>
        <w:t xml:space="preserve">Repent</w:t>
      </w:r>
      <w:r>
        <w:rPr>
          <w:rStyle w:val="FootnoteReference"/>
        </w:rPr>
        <w:footnoteReference w:id="16683"/>
      </w:r>
      <w:r>
        <w:t xml:space="preserve"> therefore of this your wickedness, and pray to God, if perhaps the thought of your heart may be forgiven you.</w:t>
      </w:r>
    </w:p>
    <w:p>
      <w:r>
        <w:rPr>
          <w:b/>
        </w:rPr>
        <w:t xml:space="preserve">23 </w:t>
      </w:r>
      <w:r>
        <w:t xml:space="preserve">For I perceive that you are in the gall</w:t>
      </w:r>
      <w:r>
        <w:rPr>
          <w:rStyle w:val="FootnoteReference"/>
        </w:rPr>
        <w:footnoteReference w:id="16684"/>
      </w:r>
      <w:r>
        <w:t xml:space="preserve"> of bitterness, and in the bond of iniquity.</w:t>
      </w:r>
    </w:p>
    <w:p>
      <w:r>
        <w:rPr>
          <w:b/>
        </w:rPr>
        <w:t xml:space="preserve">24 </w:t>
      </w:r>
      <w:r>
        <w:t xml:space="preserve">Then answered Simon, and said, Pray</w:t>
      </w:r>
      <w:r>
        <w:rPr>
          <w:rStyle w:val="FootnoteReference"/>
        </w:rPr>
        <w:footnoteReference w:id="16685"/>
      </w:r>
      <w:r>
        <w:t xml:space="preserve"> to the Lord for me, that none of these things which you have spoken come upon me.</w:t>
      </w:r>
    </w:p>
    <w:p>
      <w:r>
        <w:rPr>
          <w:b/>
        </w:rPr>
        <w:t xml:space="preserve">25 </w:t>
      </w:r>
      <w:r>
        <w:t xml:space="preserve">And they, when they had</w:t>
      </w:r>
      <w:r>
        <w:rPr>
          <w:rStyle w:val="FootnoteReference"/>
        </w:rPr>
        <w:footnoteReference w:id="16686"/>
      </w:r>
      <w:r>
        <w:t xml:space="preserve"> testified and preached the word of the Lord, returned to Jerusalem, and preached the good news in many villages of the Samaritans.</w:t>
      </w:r>
    </w:p>
    <w:p>
      <w:r>
        <w:rPr>
          <w:b/>
        </w:rPr>
        <w:t xml:space="preserve">26 </w:t>
      </w:r>
      <w:r>
        <w:t xml:space="preserve">And the angel</w:t>
      </w:r>
      <w:r>
        <w:rPr>
          <w:rStyle w:val="FootnoteReference"/>
        </w:rPr>
        <w:footnoteReference w:id="16687"/>
      </w:r>
      <w:r>
        <w:t xml:space="preserve"> of the Lord spoke to Philip, saying, Arise, and go toward the south to the way that goes down from Jerusalem to Gaza</w:t>
      </w:r>
      <w:r>
        <w:rPr>
          <w:rStyle w:val="FootnoteReference"/>
        </w:rPr>
        <w:footnoteReference w:id="16688"/>
      </w:r>
      <w:r>
        <w:t xml:space="preserve">, which is desert.</w:t>
      </w:r>
    </w:p>
    <w:p>
      <w:r>
        <w:rPr>
          <w:b/>
        </w:rPr>
        <w:t xml:space="preserve">27 </w:t>
      </w:r>
      <w:r>
        <w:t xml:space="preserve">And he arose</w:t>
      </w:r>
      <w:r>
        <w:rPr>
          <w:rStyle w:val="FootnoteReference"/>
        </w:rPr>
        <w:footnoteReference w:id="16689"/>
      </w:r>
      <w:r>
        <w:t xml:space="preserve"> and went: and, look, an Ethiopian</w:t>
      </w:r>
      <w:r>
        <w:rPr>
          <w:rStyle w:val="FootnoteReference"/>
        </w:rPr>
        <w:footnoteReference w:id="16690"/>
      </w:r>
      <w:r>
        <w:t xml:space="preserve"> man, a eunuch of great authority under Candace</w:t>
      </w:r>
      <w:r>
        <w:rPr>
          <w:rStyle w:val="FootnoteReference"/>
        </w:rPr>
        <w:footnoteReference w:id="16691"/>
      </w:r>
      <w:r>
        <w:t xml:space="preserve"> queen of the Ethiopians</w:t>
      </w:r>
      <w:r>
        <w:rPr>
          <w:rStyle w:val="FootnoteReference"/>
        </w:rPr>
        <w:footnoteReference w:id="16692"/>
      </w:r>
      <w:r>
        <w:t xml:space="preserve">, who had charge of all her treasure, and had come to Jerusalem in order to worship,</w:t>
      </w:r>
    </w:p>
    <w:p>
      <w:r>
        <w:rPr>
          <w:b/>
        </w:rPr>
        <w:t xml:space="preserve">28 </w:t>
      </w:r>
      <w:r>
        <w:t xml:space="preserve">He was returning, and sitting</w:t>
      </w:r>
      <w:r>
        <w:rPr>
          <w:rStyle w:val="FootnoteReference"/>
        </w:rPr>
        <w:footnoteReference w:id="16693"/>
      </w:r>
      <w:r>
        <w:t xml:space="preserve"> in his chariot, reading Isaiah the prophet.</w:t>
      </w:r>
    </w:p>
    <w:p>
      <w:r>
        <w:rPr>
          <w:b/>
        </w:rPr>
        <w:t xml:space="preserve">29 </w:t>
      </w:r>
      <w:r>
        <w:t xml:space="preserve">Then the Spirit said to Philip, Go near, and join yourself to this chariot.</w:t>
      </w:r>
    </w:p>
    <w:p>
      <w:r>
        <w:rPr>
          <w:b/>
        </w:rPr>
        <w:t xml:space="preserve">30 </w:t>
      </w:r>
      <w:r>
        <w:t xml:space="preserve">And Philip ran there to him, and heard him read the prophet Isaiah, and said, Do you understand what you read?</w:t>
      </w:r>
    </w:p>
    <w:p>
      <w:r>
        <w:rPr>
          <w:b/>
        </w:rPr>
        <w:t xml:space="preserve">31 </w:t>
      </w:r>
      <w:r>
        <w:t xml:space="preserve">And he said, How can I, unless someone should guide me? And he desired Philip that he would come up and sit with him.</w:t>
      </w:r>
    </w:p>
    <w:p>
      <w:r>
        <w:rPr>
          <w:b/>
        </w:rPr>
        <w:t xml:space="preserve">32 </w:t>
      </w:r>
      <w:r>
        <w:t xml:space="preserve">The place of the scripture which he read was this, He was led as a</w:t>
      </w:r>
      <w:r>
        <w:rPr>
          <w:rStyle w:val="FootnoteReference"/>
        </w:rPr>
        <w:footnoteReference w:id="16694"/>
      </w:r>
      <w:r>
        <w:t xml:space="preserve"> sheep to the slaughter; and like a lamb voiceless before his shearer, so opened he not his mouth:</w:t>
      </w:r>
    </w:p>
    <w:p>
      <w:r>
        <w:rPr>
          <w:b/>
        </w:rPr>
        <w:t xml:space="preserve">33 </w:t>
      </w:r>
      <w:r>
        <w:t xml:space="preserve">In his humiliation</w:t>
      </w:r>
      <w:r>
        <w:rPr>
          <w:rStyle w:val="FootnoteReference"/>
        </w:rPr>
        <w:footnoteReference w:id="16695"/>
      </w:r>
      <w:r>
        <w:t xml:space="preserve"> his judgment was taken away: and who shall declare his generation? for his life is taken from the earth.</w:t>
      </w:r>
    </w:p>
    <w:p>
      <w:r>
        <w:rPr>
          <w:b/>
        </w:rPr>
        <w:t xml:space="preserve">34 </w:t>
      </w:r>
      <w:r>
        <w:t xml:space="preserve">And the eunuch answered Philip, and said, I ask you, of whom speaks the prophet this? of himself, or of some other man?</w:t>
      </w:r>
    </w:p>
    <w:p>
      <w:r>
        <w:rPr>
          <w:b/>
        </w:rPr>
        <w:t xml:space="preserve">35 </w:t>
      </w:r>
      <w:r>
        <w:t xml:space="preserve">Then Philip opened</w:t>
      </w:r>
      <w:r>
        <w:rPr>
          <w:rStyle w:val="FootnoteReference"/>
        </w:rPr>
        <w:footnoteReference w:id="16696"/>
      </w:r>
      <w:r>
        <w:t xml:space="preserve"> his mouth, and began at the same scripture, and preached to him Jesus.</w:t>
      </w:r>
    </w:p>
    <w:p>
      <w:r>
        <w:rPr>
          <w:b/>
        </w:rPr>
        <w:t xml:space="preserve">36 </w:t>
      </w:r>
      <w:r>
        <w:t xml:space="preserve">And as they went on their way, they came to a certain water: and the eunuch said, See, here is water; what hinders me from being baptized?</w:t>
      </w:r>
    </w:p>
    <w:p>
      <w:r>
        <w:rPr>
          <w:b/>
        </w:rPr>
        <w:t xml:space="preserve">37 </w:t>
      </w:r>
      <w:r>
        <w:t xml:space="preserve">And Philip said, If you believe with all your heart, you may. And he answered</w:t>
      </w:r>
      <w:r>
        <w:rPr>
          <w:rStyle w:val="FootnoteReference"/>
        </w:rPr>
        <w:footnoteReference w:id="16697"/>
      </w:r>
      <w:r>
        <w:t xml:space="preserve"> and said, I believe that Jesus Christ is the Son of God.</w:t>
      </w:r>
    </w:p>
    <w:p>
      <w:r>
        <w:rPr>
          <w:b/>
        </w:rPr>
        <w:t xml:space="preserve">38 </w:t>
      </w:r>
      <w:r>
        <w:t xml:space="preserve">And he commanded the chariot to stand still: and they went down both into the water, both Philip and the eunuch; and he baptized</w:t>
      </w:r>
      <w:r>
        <w:rPr>
          <w:rStyle w:val="FootnoteReference"/>
        </w:rPr>
        <w:footnoteReference w:id="16698"/>
      </w:r>
      <w:r>
        <w:t xml:space="preserve"> him.</w:t>
      </w:r>
    </w:p>
    <w:p>
      <w:r>
        <w:rPr>
          <w:b/>
        </w:rPr>
        <w:t xml:space="preserve">39 </w:t>
      </w:r>
      <w:r>
        <w:t xml:space="preserve">And when they had come up out of the water, the Spirit</w:t>
      </w:r>
      <w:r>
        <w:rPr>
          <w:rStyle w:val="FootnoteReference"/>
        </w:rPr>
        <w:footnoteReference w:id="16699"/>
      </w:r>
      <w:r>
        <w:t xml:space="preserve"> of the Lord caught away Philip, that the eunuch saw him no more: and he went on his way rejoicing.</w:t>
      </w:r>
    </w:p>
    <w:p>
      <w:r>
        <w:rPr>
          <w:b/>
        </w:rPr>
        <w:t xml:space="preserve">40 </w:t>
      </w:r>
      <w:r>
        <w:t xml:space="preserve">But Philip was found at Ashdod</w:t>
      </w:r>
      <w:r>
        <w:rPr>
          <w:rStyle w:val="FootnoteReference"/>
        </w:rPr>
        <w:footnoteReference w:id="16700"/>
      </w:r>
      <w:r>
        <w:t xml:space="preserve">: and passing through he preached</w:t>
      </w:r>
      <w:r>
        <w:rPr>
          <w:rStyle w:val="FootnoteReference"/>
        </w:rPr>
        <w:footnoteReference w:id="16701"/>
      </w:r>
      <w:r>
        <w:t xml:space="preserve"> in all the cities, till he came to Caesarea.</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Saul</w:t>
      </w:r>
      <w:r>
        <w:rPr>
          <w:rStyle w:val="FootnoteReference"/>
        </w:rPr>
        <w:footnoteReference w:id="16702"/>
      </w:r>
      <w:r>
        <w:t xml:space="preserve">, yet breathing out threats and slaughter against the disciples of the Lord, went to the high priest,</w:t>
      </w:r>
    </w:p>
    <w:p>
      <w:r>
        <w:rPr>
          <w:b/>
        </w:rPr>
        <w:t xml:space="preserve">2 </w:t>
      </w:r>
      <w:r>
        <w:t xml:space="preserve">And asked of him letters to Damascus</w:t>
      </w:r>
      <w:r>
        <w:rPr>
          <w:rStyle w:val="FootnoteReference"/>
        </w:rPr>
        <w:footnoteReference w:id="16703"/>
      </w:r>
      <w:r>
        <w:t xml:space="preserve"> to the synagogues</w:t>
      </w:r>
      <w:r>
        <w:rPr>
          <w:rStyle w:val="FootnoteReference"/>
        </w:rPr>
        <w:footnoteReference w:id="16704"/>
      </w:r>
      <w:r>
        <w:t xml:space="preserve">, that if he found any of this Way, whether they were men or women, he might bring them bound to Jerusalem.</w:t>
      </w:r>
    </w:p>
    <w:p>
      <w:r>
        <w:rPr>
          <w:b/>
        </w:rPr>
        <w:t xml:space="preserve">3 </w:t>
      </w:r>
      <w:r>
        <w:t xml:space="preserve">And as he journeyed, he came near Damascus: and suddenly a light</w:t>
      </w:r>
      <w:r>
        <w:rPr>
          <w:rStyle w:val="FootnoteReference"/>
        </w:rPr>
        <w:footnoteReference w:id="16705"/>
      </w:r>
      <w:r>
        <w:t xml:space="preserve"> from heaven shone around him:</w:t>
      </w:r>
    </w:p>
    <w:p>
      <w:r>
        <w:rPr>
          <w:b/>
        </w:rPr>
        <w:t xml:space="preserve">4 </w:t>
      </w:r>
      <w:r>
        <w:t xml:space="preserve">And he fell</w:t>
      </w:r>
      <w:r>
        <w:rPr>
          <w:rStyle w:val="FootnoteReference"/>
        </w:rPr>
        <w:footnoteReference w:id="16706"/>
      </w:r>
      <w:r>
        <w:t xml:space="preserve"> to the earth, and heard a voice saying to him, Saul, Saul, why do you persecute me?</w:t>
      </w:r>
    </w:p>
    <w:p>
      <w:r>
        <w:rPr>
          <w:b/>
        </w:rPr>
        <w:t xml:space="preserve">5 </w:t>
      </w:r>
      <w:r>
        <w:t xml:space="preserve">And he said, Who are you, Lord? And the Lord said, I am Jesus whom you persecute: it is hard for you to kick against the goads.</w:t>
      </w:r>
    </w:p>
    <w:p>
      <w:r>
        <w:rPr>
          <w:b/>
        </w:rPr>
        <w:t xml:space="preserve">6 </w:t>
      </w:r>
      <w:r>
        <w:t xml:space="preserve">And he trembling</w:t>
      </w:r>
      <w:r>
        <w:rPr>
          <w:rStyle w:val="FootnoteReference"/>
        </w:rPr>
        <w:footnoteReference w:id="16707"/>
      </w:r>
      <w:r>
        <w:t xml:space="preserve"> and astonished said, Lord, what do you want me to do? And the Lord said to him, Arise, and go into the city, and it shall be told you what you must do.</w:t>
      </w:r>
    </w:p>
    <w:p>
      <w:r>
        <w:rPr>
          <w:b/>
        </w:rPr>
        <w:t xml:space="preserve">7 </w:t>
      </w:r>
      <w:r>
        <w:t xml:space="preserve">And the men who journeyed with him stood speechless, hearing a voice, but seeing no one.</w:t>
      </w:r>
    </w:p>
    <w:p>
      <w:r>
        <w:rPr>
          <w:b/>
        </w:rPr>
        <w:t xml:space="preserve">8 </w:t>
      </w:r>
      <w:r>
        <w:t xml:space="preserve">And Saul arose from the earth; and when his eyes were opened, he saw</w:t>
      </w:r>
      <w:r>
        <w:rPr>
          <w:rStyle w:val="FootnoteReference"/>
        </w:rPr>
        <w:footnoteReference w:id="16708"/>
      </w:r>
      <w:r>
        <w:t xml:space="preserve"> no one: but they led him by the hand, and brought him into Damascus.</w:t>
      </w:r>
    </w:p>
    <w:p>
      <w:r>
        <w:rPr>
          <w:b/>
        </w:rPr>
        <w:t xml:space="preserve">9 </w:t>
      </w:r>
      <w:r>
        <w:t xml:space="preserve">And he was three days without sight, and neither ate nor drank.</w:t>
      </w:r>
    </w:p>
    <w:p>
      <w:r>
        <w:rPr>
          <w:b/>
        </w:rPr>
        <w:t xml:space="preserve">10 </w:t>
      </w:r>
      <w:r>
        <w:t xml:space="preserve">And there was a certain disciple at Damascus, named Ananias</w:t>
      </w:r>
      <w:r>
        <w:rPr>
          <w:rStyle w:val="FootnoteReference"/>
        </w:rPr>
        <w:footnoteReference w:id="16709"/>
      </w:r>
      <w:r>
        <w:t xml:space="preserve">; and to him said the Lord in a vision, Ananias. And he said, Look, I am here, Lord.</w:t>
      </w:r>
    </w:p>
    <w:p>
      <w:r>
        <w:rPr>
          <w:b/>
        </w:rPr>
        <w:t xml:space="preserve">11 </w:t>
      </w:r>
      <w:r>
        <w:t xml:space="preserve">And the Lord said to him, Arise</w:t>
      </w:r>
      <w:r>
        <w:rPr>
          <w:rStyle w:val="FootnoteReference"/>
        </w:rPr>
        <w:footnoteReference w:id="16710"/>
      </w:r>
      <w:r>
        <w:t xml:space="preserve">, and go into the street which is called Straight, and inquire in the house of Judas for one called Saul, of Tarsus</w:t>
      </w:r>
      <w:r>
        <w:rPr>
          <w:rStyle w:val="FootnoteReference"/>
        </w:rPr>
        <w:footnoteReference w:id="16711"/>
      </w:r>
      <w:r>
        <w:t xml:space="preserve">: for, look, he prays,</w:t>
      </w:r>
    </w:p>
    <w:p>
      <w:r>
        <w:rPr>
          <w:b/>
        </w:rPr>
        <w:t xml:space="preserve">12 </w:t>
      </w:r>
      <w:r>
        <w:t xml:space="preserve">And he has seen in a vision a man named Ananias coming in, and putting his hand on him, that he might receive his sight.</w:t>
      </w:r>
    </w:p>
    <w:p>
      <w:r>
        <w:rPr>
          <w:b/>
        </w:rPr>
        <w:t xml:space="preserve">13 </w:t>
      </w:r>
      <w:r>
        <w:t xml:space="preserve">Then Ananias answered, Lord, I have heard by many of this man, how much evil he has done to your holy ones at Jerusalem:</w:t>
      </w:r>
    </w:p>
    <w:p>
      <w:r>
        <w:rPr>
          <w:b/>
        </w:rPr>
        <w:t xml:space="preserve">14 </w:t>
      </w:r>
      <w:r>
        <w:t xml:space="preserve">And here</w:t>
      </w:r>
      <w:r>
        <w:rPr>
          <w:rStyle w:val="FootnoteReference"/>
        </w:rPr>
        <w:footnoteReference w:id="16712"/>
      </w:r>
      <w:r>
        <w:t xml:space="preserve"> he has authority from the chief priests to bind all that call on your name.</w:t>
      </w:r>
    </w:p>
    <w:p>
      <w:r>
        <w:rPr>
          <w:b/>
        </w:rPr>
        <w:t xml:space="preserve">15 </w:t>
      </w:r>
      <w:r>
        <w:t xml:space="preserve">But the Lord said to him, Go your way: for he is a chosen</w:t>
      </w:r>
      <w:r>
        <w:rPr>
          <w:rStyle w:val="FootnoteReference"/>
        </w:rPr>
        <w:footnoteReference w:id="16713"/>
      </w:r>
      <w:r>
        <w:t xml:space="preserve"> vessel to me, to bear my name before the nations, and kings, and the children of Israel:</w:t>
      </w:r>
    </w:p>
    <w:p>
      <w:r>
        <w:rPr>
          <w:b/>
        </w:rPr>
        <w:t xml:space="preserve">16 </w:t>
      </w:r>
      <w:r>
        <w:t xml:space="preserve">For I will show him what great things he must suffer for my name's sake.</w:t>
      </w:r>
    </w:p>
    <w:p>
      <w:r>
        <w:rPr>
          <w:b/>
        </w:rPr>
        <w:t xml:space="preserve">17 </w:t>
      </w:r>
      <w:r>
        <w:t xml:space="preserve">And Ananias</w:t>
      </w:r>
      <w:r>
        <w:rPr>
          <w:rStyle w:val="FootnoteReference"/>
        </w:rPr>
        <w:footnoteReference w:id="16714"/>
      </w:r>
      <w:r>
        <w:t xml:space="preserve"> went his way, and entered into the house; and putting his hands on him said, Brother Saul, the Lord, even Jesus, that appeared to you in the way as you came, has sent me, that you might receive your sight, and be filled with the Holy Spirit.</w:t>
      </w:r>
    </w:p>
    <w:p>
      <w:r>
        <w:rPr>
          <w:b/>
        </w:rPr>
        <w:t xml:space="preserve">18 </w:t>
      </w:r>
      <w:r>
        <w:t xml:space="preserve">And immediately</w:t>
      </w:r>
      <w:r>
        <w:rPr>
          <w:rStyle w:val="FootnoteReference"/>
        </w:rPr>
        <w:footnoteReference w:id="16715"/>
      </w:r>
      <w:r>
        <w:t xml:space="preserve"> there fell from his eyes as it had been scales: and he received sight immediately, and arose, and was baptized.</w:t>
      </w:r>
    </w:p>
    <w:p>
      <w:r>
        <w:rPr>
          <w:b/>
        </w:rPr>
        <w:t xml:space="preserve">19 </w:t>
      </w:r>
      <w:r>
        <w:t xml:space="preserve">And when he had received food, he was strengthened. Then Saul was certain days with the disciples who were at Damascus.</w:t>
      </w:r>
    </w:p>
    <w:p>
      <w:r>
        <w:rPr>
          <w:b/>
        </w:rPr>
        <w:t xml:space="preserve">20 </w:t>
      </w:r>
      <w:r>
        <w:t xml:space="preserve">And immediately he preached Christ in the synagogues, that he is the Son of God.</w:t>
      </w:r>
    </w:p>
    <w:p>
      <w:r>
        <w:rPr>
          <w:b/>
        </w:rPr>
        <w:t xml:space="preserve">21 </w:t>
      </w:r>
      <w:r>
        <w:t xml:space="preserve">But all that heard him were amazed</w:t>
      </w:r>
      <w:r>
        <w:rPr>
          <w:rStyle w:val="FootnoteReference"/>
        </w:rPr>
        <w:footnoteReference w:id="16716"/>
      </w:r>
      <w:r>
        <w:t xml:space="preserve">, and said, Is not this the one who destroyed those who called on this name in Jerusalem, and came here for that intent, that he might bring them bound to the chief priests?</w:t>
      </w:r>
    </w:p>
    <w:p>
      <w:r>
        <w:rPr>
          <w:b/>
        </w:rPr>
        <w:t xml:space="preserve">22 </w:t>
      </w:r>
      <w:r>
        <w:t xml:space="preserve">But Saul increased</w:t>
      </w:r>
      <w:r>
        <w:rPr>
          <w:rStyle w:val="FootnoteReference"/>
        </w:rPr>
        <w:footnoteReference w:id="16717"/>
      </w:r>
      <w:r>
        <w:t xml:space="preserve"> the more in strength, and confounded the Jews who dwelt at Damascus, proving that this is the Christ.</w:t>
      </w:r>
    </w:p>
    <w:p>
      <w:r>
        <w:rPr>
          <w:b/>
        </w:rPr>
        <w:t xml:space="preserve">23 </w:t>
      </w:r>
      <w:r>
        <w:t xml:space="preserve">And after that many days were fulfilled, the Jews</w:t>
      </w:r>
      <w:r>
        <w:rPr>
          <w:rStyle w:val="FootnoteReference"/>
        </w:rPr>
        <w:footnoteReference w:id="16718"/>
      </w:r>
      <w:r>
        <w:t xml:space="preserve"> took counsel to kill him:</w:t>
      </w:r>
    </w:p>
    <w:p>
      <w:r>
        <w:rPr>
          <w:b/>
        </w:rPr>
        <w:t xml:space="preserve">24 </w:t>
      </w:r>
      <w:r>
        <w:t xml:space="preserve">But their</w:t>
      </w:r>
      <w:r>
        <w:rPr>
          <w:rStyle w:val="FootnoteReference"/>
        </w:rPr>
        <w:footnoteReference w:id="16719"/>
      </w:r>
      <w:r>
        <w:t xml:space="preserve"> plot was known to Saul. And they watched the gates day and night to kill him.</w:t>
      </w:r>
    </w:p>
    <w:p>
      <w:r>
        <w:rPr>
          <w:b/>
        </w:rPr>
        <w:t xml:space="preserve">25 </w:t>
      </w:r>
      <w:r>
        <w:t xml:space="preserve">Then the disciples took him by night, and let him down by the wall in a basket.</w:t>
      </w:r>
    </w:p>
    <w:p>
      <w:r>
        <w:rPr>
          <w:b/>
        </w:rPr>
        <w:t xml:space="preserve">26 </w:t>
      </w:r>
      <w:r>
        <w:t xml:space="preserve">And when Saul had come to Jerusalem, he attempted to join himself to the disciples: but they were all afraid of him, and did not believe that he was a disciple.</w:t>
      </w:r>
    </w:p>
    <w:p>
      <w:r>
        <w:rPr>
          <w:b/>
        </w:rPr>
        <w:t xml:space="preserve">27 </w:t>
      </w:r>
      <w:r>
        <w:t xml:space="preserve">But Barnabas</w:t>
      </w:r>
      <w:r>
        <w:rPr>
          <w:rStyle w:val="FootnoteReference"/>
        </w:rPr>
        <w:footnoteReference w:id="16720"/>
      </w:r>
      <w:r>
        <w:t xml:space="preserve"> took him, and brought him to the apostles, and declared to them how he had seen the Lord in the way, and that he had spoken to him, and how he had preached boldly at Damascus in the name of Jesus.</w:t>
      </w:r>
    </w:p>
    <w:p>
      <w:r>
        <w:rPr>
          <w:b/>
        </w:rPr>
        <w:t xml:space="preserve">28 </w:t>
      </w:r>
      <w:r>
        <w:t xml:space="preserve">And he was with them coming</w:t>
      </w:r>
      <w:r>
        <w:rPr>
          <w:rStyle w:val="FootnoteReference"/>
        </w:rPr>
        <w:footnoteReference w:id="16721"/>
      </w:r>
      <w:r>
        <w:t xml:space="preserve"> in and going out at Jerusalem.</w:t>
      </w:r>
    </w:p>
    <w:p>
      <w:r>
        <w:rPr>
          <w:b/>
        </w:rPr>
        <w:t xml:space="preserve">29 </w:t>
      </w:r>
      <w:r>
        <w:t xml:space="preserve">And he spoke boldly in the name of the Lord Jesus, and disputed</w:t>
      </w:r>
      <w:r>
        <w:rPr>
          <w:rStyle w:val="FootnoteReference"/>
        </w:rPr>
        <w:footnoteReference w:id="16722"/>
      </w:r>
      <w:r>
        <w:t xml:space="preserve"> against the Hellenists: but they sought to kill him.</w:t>
      </w:r>
    </w:p>
    <w:p>
      <w:r>
        <w:rPr>
          <w:b/>
        </w:rPr>
        <w:t xml:space="preserve">30 </w:t>
      </w:r>
      <w:r>
        <w:t xml:space="preserve">Which when the brothers knew, they brought him down to Caesarea</w:t>
      </w:r>
      <w:r>
        <w:rPr>
          <w:rStyle w:val="FootnoteReference"/>
        </w:rPr>
        <w:footnoteReference w:id="16723"/>
      </w:r>
      <w:r>
        <w:t xml:space="preserve">, and sent him forth to Tarsus.</w:t>
      </w:r>
    </w:p>
    <w:p>
      <w:r>
        <w:rPr>
          <w:b/>
        </w:rPr>
        <w:t xml:space="preserve">31 </w:t>
      </w:r>
      <w:r>
        <w:t xml:space="preserve">Then had the assemblies rest throughout all Judea and Galilee and Samaria, and were edified</w:t>
      </w:r>
      <w:r>
        <w:rPr>
          <w:rStyle w:val="FootnoteReference"/>
        </w:rPr>
        <w:footnoteReference w:id="16724"/>
      </w:r>
      <w:r>
        <w:t xml:space="preserve">; and walking in the fear of the Lord, and in the comfort of the Holy Spirit, were multiplied.</w:t>
      </w:r>
    </w:p>
    <w:p>
      <w:r>
        <w:rPr>
          <w:b/>
        </w:rPr>
        <w:t xml:space="preserve">32 </w:t>
      </w:r>
      <w:r>
        <w:t xml:space="preserve">And it happened, as Peter passed throughout all quarters, he came down also to the holy ones who dwelt at Lydda</w:t>
      </w:r>
      <w:r>
        <w:rPr>
          <w:rStyle w:val="FootnoteReference"/>
        </w:rPr>
        <w:footnoteReference w:id="16725"/>
      </w:r>
      <w:r>
        <w:t xml:space="preserve">.</w:t>
      </w:r>
      <w:r>
        <w:rPr>
          <w:rStyle w:val="FootnoteReference"/>
        </w:rPr>
        <w:footnoteReference w:id="16726"/>
      </w:r>
    </w:p>
    <w:p>
      <w:r>
        <w:rPr>
          <w:b/>
        </w:rPr>
        <w:t xml:space="preserve">33 </w:t>
      </w:r>
      <w:r>
        <w:t xml:space="preserve">And there he found a certain man named Aeneas</w:t>
      </w:r>
      <w:r>
        <w:rPr>
          <w:rStyle w:val="FootnoteReference"/>
        </w:rPr>
        <w:footnoteReference w:id="16727"/>
      </w:r>
      <w:r>
        <w:t xml:space="preserve">, who had kept his bed eight years, and was sick with paralysis.</w:t>
      </w:r>
    </w:p>
    <w:p>
      <w:r>
        <w:rPr>
          <w:b/>
        </w:rPr>
        <w:t xml:space="preserve">34 </w:t>
      </w:r>
      <w:r>
        <w:t xml:space="preserve">And Peter said to him, Aeneas, Jesus Christ</w:t>
      </w:r>
      <w:r>
        <w:rPr>
          <w:rStyle w:val="FootnoteReference"/>
        </w:rPr>
        <w:footnoteReference w:id="16728"/>
      </w:r>
      <w:r>
        <w:t xml:space="preserve"> makes you whole: arise, and make your bed. And he arose immediately.</w:t>
      </w:r>
    </w:p>
    <w:p>
      <w:r>
        <w:rPr>
          <w:b/>
        </w:rPr>
        <w:t xml:space="preserve">35 </w:t>
      </w:r>
      <w:r>
        <w:t xml:space="preserve">And all that dwelt at Lydda and Saron</w:t>
      </w:r>
      <w:r>
        <w:rPr>
          <w:rStyle w:val="FootnoteReference"/>
        </w:rPr>
        <w:footnoteReference w:id="16729"/>
      </w:r>
      <w:r>
        <w:t xml:space="preserve"> saw him, and turned to the Lord.</w:t>
      </w:r>
      <w:r>
        <w:rPr>
          <w:rStyle w:val="FootnoteReference"/>
        </w:rPr>
        <w:footnoteReference w:id="16730"/>
      </w:r>
    </w:p>
    <w:p>
      <w:r>
        <w:rPr>
          <w:b/>
        </w:rPr>
        <w:t xml:space="preserve">36 </w:t>
      </w:r>
      <w:r>
        <w:t xml:space="preserve">Now there was at Joppa</w:t>
      </w:r>
      <w:r>
        <w:rPr>
          <w:rStyle w:val="FootnoteReference"/>
        </w:rPr>
        <w:footnoteReference w:id="16731"/>
      </w:r>
      <w:r>
        <w:t xml:space="preserve"> a certain disciple named Tabitha</w:t>
      </w:r>
      <w:r>
        <w:rPr>
          <w:rStyle w:val="FootnoteReference"/>
        </w:rPr>
        <w:footnoteReference w:id="16732"/>
      </w:r>
      <w:r>
        <w:t xml:space="preserve">, which by interpretation is called Dorcas</w:t>
      </w:r>
      <w:r>
        <w:rPr>
          <w:rStyle w:val="FootnoteReference"/>
        </w:rPr>
        <w:footnoteReference w:id="16733"/>
      </w:r>
      <w:r>
        <w:t xml:space="preserve">: this woman was full of good works and kind acts which she did.</w:t>
      </w:r>
      <w:r>
        <w:rPr>
          <w:rStyle w:val="FootnoteReference"/>
        </w:rPr>
        <w:footnoteReference w:id="16734"/>
      </w:r>
    </w:p>
    <w:p>
      <w:r>
        <w:rPr>
          <w:b/>
        </w:rPr>
        <w:t xml:space="preserve">37 </w:t>
      </w:r>
      <w:r>
        <w:t xml:space="preserve">And it happened in those days, that she was</w:t>
      </w:r>
      <w:r>
        <w:rPr>
          <w:rStyle w:val="FootnoteReference"/>
        </w:rPr>
        <w:footnoteReference w:id="16735"/>
      </w:r>
      <w:r>
        <w:t xml:space="preserve"> sick, and died: whom when they had washed, they laid her in an upper chamber.</w:t>
      </w:r>
    </w:p>
    <w:p>
      <w:r>
        <w:rPr>
          <w:b/>
        </w:rPr>
        <w:t xml:space="preserve">38 </w:t>
      </w:r>
      <w:r>
        <w:t xml:space="preserve">And since Lydda</w:t>
      </w:r>
      <w:r>
        <w:rPr>
          <w:rStyle w:val="FootnoteReference"/>
        </w:rPr>
        <w:footnoteReference w:id="16736"/>
      </w:r>
      <w:r>
        <w:t xml:space="preserve"> was near to Joppa, and the disciples had heard that Peter was there, they sent to him two men, desiring him that he would not delay to come to them.</w:t>
      </w:r>
    </w:p>
    <w:p>
      <w:r>
        <w:rPr>
          <w:b/>
        </w:rPr>
        <w:t xml:space="preserve">39 </w:t>
      </w:r>
      <w:r>
        <w:t xml:space="preserve">Then Peter arose and went with them. When he had come, they brought him into the upper chamber: and all the widows stood by him weeping, and showing</w:t>
      </w:r>
      <w:r>
        <w:rPr>
          <w:rStyle w:val="FootnoteReference"/>
        </w:rPr>
        <w:footnoteReference w:id="16737"/>
      </w:r>
      <w:r>
        <w:t xml:space="preserve"> the tunics and clothes which Dorcas made, while she was with them.</w:t>
      </w:r>
    </w:p>
    <w:p>
      <w:r>
        <w:rPr>
          <w:b/>
        </w:rPr>
        <w:t xml:space="preserve">40 </w:t>
      </w:r>
      <w:r>
        <w:t xml:space="preserve">But Peter put them all out, and kneeled</w:t>
      </w:r>
      <w:r>
        <w:rPr>
          <w:rStyle w:val="FootnoteReference"/>
        </w:rPr>
        <w:footnoteReference w:id="16738"/>
      </w:r>
      <w:r>
        <w:t xml:space="preserve"> down, and prayed; and turning to the body said, Tabitha, arise. And she opened her eyes: and when she saw Peter, she sat up.</w:t>
      </w:r>
    </w:p>
    <w:p>
      <w:r>
        <w:rPr>
          <w:b/>
        </w:rPr>
        <w:t xml:space="preserve">41 </w:t>
      </w:r>
      <w:r>
        <w:t xml:space="preserve">And he gave</w:t>
      </w:r>
      <w:r>
        <w:rPr>
          <w:rStyle w:val="FootnoteReference"/>
        </w:rPr>
        <w:footnoteReference w:id="16739"/>
      </w:r>
      <w:r>
        <w:t xml:space="preserve"> her his hand, and lifted her up, and when he had called the holy ones and widows, presented her alive.</w:t>
      </w:r>
    </w:p>
    <w:p>
      <w:r>
        <w:rPr>
          <w:b/>
        </w:rPr>
        <w:t xml:space="preserve">42 </w:t>
      </w:r>
      <w:r>
        <w:t xml:space="preserve">And it was known throughout all Joppa; and many</w:t>
      </w:r>
      <w:r>
        <w:rPr>
          <w:rStyle w:val="FootnoteReference"/>
        </w:rPr>
        <w:footnoteReference w:id="16740"/>
      </w:r>
      <w:r>
        <w:t xml:space="preserve"> believed in the Lord.</w:t>
      </w:r>
    </w:p>
    <w:p>
      <w:r>
        <w:rPr>
          <w:b/>
        </w:rPr>
        <w:t xml:space="preserve">43 </w:t>
      </w:r>
      <w:r>
        <w:t xml:space="preserve">And it happened, that he remained many days in Joppa with one Simon a tanner.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There was a certain man in Caesarea called Cornelius</w:t>
      </w:r>
      <w:r>
        <w:rPr>
          <w:rStyle w:val="FootnoteReference"/>
        </w:rPr>
        <w:footnoteReference w:id="16741"/>
      </w:r>
      <w:r>
        <w:t xml:space="preserve">, a centurion</w:t>
      </w:r>
      <w:r>
        <w:rPr>
          <w:rStyle w:val="FootnoteReference"/>
        </w:rPr>
        <w:footnoteReference w:id="16742"/>
      </w:r>
      <w:r>
        <w:t xml:space="preserve"> of the band called the Italian band,</w:t>
      </w:r>
    </w:p>
    <w:p>
      <w:r>
        <w:rPr>
          <w:b/>
        </w:rPr>
        <w:t xml:space="preserve">2 </w:t>
      </w:r>
      <w:r>
        <w:t xml:space="preserve">A devout</w:t>
      </w:r>
      <w:r>
        <w:rPr>
          <w:rStyle w:val="FootnoteReference"/>
        </w:rPr>
        <w:footnoteReference w:id="16743"/>
      </w:r>
      <w:r>
        <w:t xml:space="preserve"> man, and one that feared God with all his house, who gave much alms to the people, and prayed to God always.</w:t>
      </w:r>
    </w:p>
    <w:p>
      <w:r>
        <w:rPr>
          <w:b/>
        </w:rPr>
        <w:t xml:space="preserve">3 </w:t>
      </w:r>
      <w:r>
        <w:t xml:space="preserve">He saw in a vision clearly about the ninth hour of the day an angel of God coming in to him, and saying to him, Cornelius</w:t>
      </w:r>
      <w:r>
        <w:rPr>
          <w:rStyle w:val="FootnoteReference"/>
        </w:rPr>
        <w:footnoteReference w:id="16744"/>
      </w:r>
      <w:r>
        <w:t xml:space="preserve">.</w:t>
      </w:r>
    </w:p>
    <w:p>
      <w:r>
        <w:rPr>
          <w:b/>
        </w:rPr>
        <w:t xml:space="preserve">4 </w:t>
      </w:r>
      <w:r>
        <w:t xml:space="preserve">And when he looked on him, he was afraid, and said, What is it, Lord? And he said to him, Your prayers and your alms have come up for a memorial before God.</w:t>
      </w:r>
    </w:p>
    <w:p>
      <w:r>
        <w:rPr>
          <w:b/>
        </w:rPr>
        <w:t xml:space="preserve">5 </w:t>
      </w:r>
      <w:r>
        <w:t xml:space="preserve">And now send</w:t>
      </w:r>
      <w:r>
        <w:rPr>
          <w:rStyle w:val="FootnoteReference"/>
        </w:rPr>
        <w:footnoteReference w:id="16745"/>
      </w:r>
      <w:r>
        <w:t xml:space="preserve"> men to Joppa, and call for one Simon, whose surname is Peter:</w:t>
      </w:r>
    </w:p>
    <w:p>
      <w:r>
        <w:rPr>
          <w:b/>
        </w:rPr>
        <w:t xml:space="preserve">6 </w:t>
      </w:r>
      <w:r>
        <w:t xml:space="preserve">He lodges with one Simon a tanner, whose house is by the seaside: he shall</w:t>
      </w:r>
      <w:r>
        <w:rPr>
          <w:rStyle w:val="FootnoteReference"/>
        </w:rPr>
        <w:footnoteReference w:id="16746"/>
      </w:r>
      <w:r>
        <w:t xml:space="preserve"> tell you what you ought to do.</w:t>
      </w:r>
    </w:p>
    <w:p>
      <w:r>
        <w:rPr>
          <w:b/>
        </w:rPr>
        <w:t xml:space="preserve">7 </w:t>
      </w:r>
      <w:r>
        <w:t xml:space="preserve">And when the angel who spoke to Cornelius had departed, he called two of his household servants, and a</w:t>
      </w:r>
      <w:r>
        <w:rPr>
          <w:rStyle w:val="FootnoteReference"/>
        </w:rPr>
        <w:footnoteReference w:id="16747"/>
      </w:r>
      <w:r>
        <w:t xml:space="preserve"> devout soldier of those who waited on him continually;</w:t>
      </w:r>
    </w:p>
    <w:p>
      <w:r>
        <w:rPr>
          <w:b/>
        </w:rPr>
        <w:t xml:space="preserve">8 </w:t>
      </w:r>
      <w:r>
        <w:t xml:space="preserve">And when he had declared all these things to them, he sent</w:t>
      </w:r>
      <w:r>
        <w:rPr>
          <w:rStyle w:val="FootnoteReference"/>
        </w:rPr>
        <w:footnoteReference w:id="16748"/>
      </w:r>
      <w:r>
        <w:t xml:space="preserve"> them to Joppa.</w:t>
      </w:r>
    </w:p>
    <w:p>
      <w:r>
        <w:rPr>
          <w:b/>
        </w:rPr>
        <w:t xml:space="preserve">9 </w:t>
      </w:r>
      <w:r>
        <w:t xml:space="preserve">On the next day, as they went on their journey, and drew near to the city, Peter</w:t>
      </w:r>
      <w:r>
        <w:rPr>
          <w:rStyle w:val="FootnoteReference"/>
        </w:rPr>
        <w:footnoteReference w:id="16749"/>
      </w:r>
      <w:r>
        <w:t xml:space="preserve"> went up upon the housetop to pray about the sixth hour:</w:t>
      </w:r>
    </w:p>
    <w:p>
      <w:r>
        <w:rPr>
          <w:b/>
        </w:rPr>
        <w:t xml:space="preserve">10 </w:t>
      </w:r>
      <w:r>
        <w:t xml:space="preserve">And he became</w:t>
      </w:r>
      <w:r>
        <w:rPr>
          <w:rStyle w:val="FootnoteReference"/>
        </w:rPr>
        <w:footnoteReference w:id="16750"/>
      </w:r>
      <w:r>
        <w:t xml:space="preserve"> very hungry, and would have eaten: but while they made ready, he fell into a trance,</w:t>
      </w:r>
    </w:p>
    <w:p>
      <w:r>
        <w:rPr>
          <w:b/>
        </w:rPr>
        <w:t xml:space="preserve">11 </w:t>
      </w:r>
      <w:r>
        <w:t xml:space="preserve">And saw heaven opened, and a</w:t>
      </w:r>
      <w:r>
        <w:rPr>
          <w:rStyle w:val="FootnoteReference"/>
        </w:rPr>
        <w:footnoteReference w:id="16751"/>
      </w:r>
      <w:r>
        <w:t xml:space="preserve"> certain vessel descending upon him, like a great sheet bound at the four corners, and let down to the earth:</w:t>
      </w:r>
    </w:p>
    <w:p>
      <w:r>
        <w:rPr>
          <w:b/>
        </w:rPr>
        <w:t xml:space="preserve">12 </w:t>
      </w:r>
      <w:r>
        <w:t xml:space="preserve">in which were all manner of four-footed beasts of the earth, and wild beasts, and creeping things, and birds of the air.</w:t>
      </w:r>
    </w:p>
    <w:p>
      <w:r>
        <w:rPr>
          <w:b/>
        </w:rPr>
        <w:t xml:space="preserve">13 </w:t>
      </w:r>
      <w:r>
        <w:t xml:space="preserve">And there came a voice to him, Rise</w:t>
      </w:r>
      <w:r>
        <w:rPr>
          <w:rStyle w:val="FootnoteReference"/>
        </w:rPr>
        <w:footnoteReference w:id="16752"/>
      </w:r>
      <w:r>
        <w:t xml:space="preserve">, Peter; kill, and eat.</w:t>
      </w:r>
    </w:p>
    <w:p>
      <w:r>
        <w:rPr>
          <w:b/>
        </w:rPr>
        <w:t xml:space="preserve">14 </w:t>
      </w:r>
      <w:r>
        <w:t xml:space="preserve">But Peter said, Not so, Lord; for I have never eaten anything that is common or unclean.</w:t>
      </w:r>
    </w:p>
    <w:p>
      <w:r>
        <w:rPr>
          <w:b/>
        </w:rPr>
        <w:t xml:space="preserve">15 </w:t>
      </w:r>
      <w:r>
        <w:t xml:space="preserve">And the voice spoke to him again the second time, What God has cleansed, do not call common.</w:t>
      </w:r>
    </w:p>
    <w:p>
      <w:r>
        <w:rPr>
          <w:b/>
        </w:rPr>
        <w:t xml:space="preserve">16 </w:t>
      </w:r>
      <w:r>
        <w:t xml:space="preserve">This was done three times: and the vessel was received up again into heaven.</w:t>
      </w:r>
    </w:p>
    <w:p>
      <w:r>
        <w:rPr>
          <w:b/>
        </w:rPr>
        <w:t xml:space="preserve">17 </w:t>
      </w:r>
      <w:r>
        <w:t xml:space="preserve">Now while Peter doubted in himself what this vision which he had seen should mean, look, the men</w:t>
      </w:r>
      <w:r>
        <w:rPr>
          <w:rStyle w:val="FootnoteReference"/>
        </w:rPr>
        <w:footnoteReference w:id="16753"/>
      </w:r>
      <w:r>
        <w:t xml:space="preserve"> who were sent from Cornelius had made inquiry for Simon's house, and stood before the gate,</w:t>
      </w:r>
    </w:p>
    <w:p>
      <w:r>
        <w:rPr>
          <w:b/>
        </w:rPr>
        <w:t xml:space="preserve">18 </w:t>
      </w:r>
      <w:r>
        <w:t xml:space="preserve">And called, and asked</w:t>
      </w:r>
      <w:r>
        <w:rPr>
          <w:rStyle w:val="FootnoteReference"/>
        </w:rPr>
        <w:footnoteReference w:id="16754"/>
      </w:r>
      <w:r>
        <w:t xml:space="preserve"> whether Simon, who was surnamed Peter, was lodged there.</w:t>
      </w:r>
    </w:p>
    <w:p>
      <w:r>
        <w:rPr>
          <w:b/>
        </w:rPr>
        <w:t xml:space="preserve">19 </w:t>
      </w:r>
      <w:r>
        <w:t xml:space="preserve">While Peter thought on the vision, the Spirit</w:t>
      </w:r>
      <w:r>
        <w:rPr>
          <w:rStyle w:val="FootnoteReference"/>
        </w:rPr>
        <w:footnoteReference w:id="16755"/>
      </w:r>
      <w:r>
        <w:t xml:space="preserve"> said to him, Look, three men seek you.</w:t>
      </w:r>
    </w:p>
    <w:p>
      <w:r>
        <w:rPr>
          <w:b/>
        </w:rPr>
        <w:t xml:space="preserve">20 </w:t>
      </w:r>
      <w:r>
        <w:t xml:space="preserve">Arise therefore, and go down, and go with them, doubting nothing: for I have sent them.</w:t>
      </w:r>
    </w:p>
    <w:p>
      <w:r>
        <w:rPr>
          <w:b/>
        </w:rPr>
        <w:t xml:space="preserve">21 </w:t>
      </w:r>
      <w:r>
        <w:t xml:space="preserve">Then Peter went down to the men who were sent to him from Cornelius; and said, Look, I am he whom you seek: what is the cause therefore you have come?</w:t>
      </w:r>
    </w:p>
    <w:p>
      <w:r>
        <w:rPr>
          <w:b/>
        </w:rPr>
        <w:t xml:space="preserve">22 </w:t>
      </w:r>
      <w:r>
        <w:t xml:space="preserve">And they said, Cornelius</w:t>
      </w:r>
      <w:r>
        <w:rPr>
          <w:rStyle w:val="FootnoteReference"/>
        </w:rPr>
        <w:footnoteReference w:id="16756"/>
      </w:r>
      <w:r>
        <w:t xml:space="preserve"> the centurion, a righteous man, and one that fears God, and of good report among all the nation of the Jews, was instructed by God through a holy angel to send for you into his house, and to hear words from you.</w:t>
      </w:r>
    </w:p>
    <w:p>
      <w:r>
        <w:rPr>
          <w:b/>
        </w:rPr>
        <w:t xml:space="preserve">23 </w:t>
      </w:r>
      <w:r>
        <w:t xml:space="preserve">Then he called them in, and lodged</w:t>
      </w:r>
      <w:r>
        <w:rPr>
          <w:rStyle w:val="FootnoteReference"/>
        </w:rPr>
        <w:footnoteReference w:id="16757"/>
      </w:r>
      <w:r>
        <w:t xml:space="preserve"> them. And on the next day Peter went away with them, and certain brothers from Joppa accompanied him.</w:t>
      </w:r>
    </w:p>
    <w:p>
      <w:r>
        <w:rPr>
          <w:b/>
        </w:rPr>
        <w:t xml:space="preserve">24 </w:t>
      </w:r>
      <w:r>
        <w:t xml:space="preserve">And on the next day they entered into Caesarea. And Cornelius waited for them, and he had called together his kinsmen and near friends.</w:t>
      </w:r>
    </w:p>
    <w:p>
      <w:r>
        <w:rPr>
          <w:b/>
        </w:rPr>
        <w:t xml:space="preserve">25 </w:t>
      </w:r>
      <w:r>
        <w:t xml:space="preserve">And as Peter was coming in, Cornelius met him, and fell</w:t>
      </w:r>
      <w:r>
        <w:rPr>
          <w:rStyle w:val="FootnoteReference"/>
        </w:rPr>
        <w:footnoteReference w:id="16758"/>
      </w:r>
      <w:r>
        <w:t xml:space="preserve"> down at his feet, and worshiped him.</w:t>
      </w:r>
    </w:p>
    <w:p>
      <w:r>
        <w:rPr>
          <w:b/>
        </w:rPr>
        <w:t xml:space="preserve">26 </w:t>
      </w:r>
      <w:r>
        <w:t xml:space="preserve">But Peter took him up, saying, Stand</w:t>
      </w:r>
      <w:r>
        <w:rPr>
          <w:rStyle w:val="FootnoteReference"/>
        </w:rPr>
        <w:footnoteReference w:id="16759"/>
      </w:r>
      <w:r>
        <w:t xml:space="preserve"> up; I myself also am a man.</w:t>
      </w:r>
    </w:p>
    <w:p>
      <w:r>
        <w:rPr>
          <w:b/>
        </w:rPr>
        <w:t xml:space="preserve">27 </w:t>
      </w:r>
      <w:r>
        <w:t xml:space="preserve">And as he talked with him, he went in, and found</w:t>
      </w:r>
      <w:r>
        <w:rPr>
          <w:rStyle w:val="FootnoteReference"/>
        </w:rPr>
        <w:footnoteReference w:id="16760"/>
      </w:r>
      <w:r>
        <w:t xml:space="preserve"> many that had come together.</w:t>
      </w:r>
    </w:p>
    <w:p>
      <w:r>
        <w:rPr>
          <w:b/>
        </w:rPr>
        <w:t xml:space="preserve">28 </w:t>
      </w:r>
      <w:r>
        <w:t xml:space="preserve">And he said to them, You know that it</w:t>
      </w:r>
      <w:r>
        <w:rPr>
          <w:rStyle w:val="FootnoteReference"/>
        </w:rPr>
        <w:footnoteReference w:id="16761"/>
      </w:r>
      <w:r>
        <w:t xml:space="preserve"> is an unlawful thing for a man that is a Jew to keep company, or come to one of another nation; but God has showed me that I should not call anyone common or unclean.</w:t>
      </w:r>
    </w:p>
    <w:p>
      <w:r>
        <w:rPr>
          <w:b/>
        </w:rPr>
        <w:t xml:space="preserve">29 </w:t>
      </w:r>
      <w:r>
        <w:t xml:space="preserve">Therefore came I to you without contradiction, as soon</w:t>
      </w:r>
      <w:r>
        <w:rPr>
          <w:rStyle w:val="FootnoteReference"/>
        </w:rPr>
        <w:footnoteReference w:id="16762"/>
      </w:r>
      <w:r>
        <w:t xml:space="preserve"> as I was sent for: I ask therefore for what intent you have sent for me?</w:t>
      </w:r>
    </w:p>
    <w:p>
      <w:r>
        <w:rPr>
          <w:b/>
        </w:rPr>
        <w:t xml:space="preserve">30 </w:t>
      </w:r>
      <w:r>
        <w:t xml:space="preserve">And Cornelius said, Four</w:t>
      </w:r>
      <w:r>
        <w:rPr>
          <w:rStyle w:val="FootnoteReference"/>
        </w:rPr>
        <w:footnoteReference w:id="16763"/>
      </w:r>
      <w:r>
        <w:t xml:space="preserve"> days ago I was fasting until this hour; and at the ninth hour I prayed in my house, and, look, a man stood before me in bright clothing,</w:t>
      </w:r>
    </w:p>
    <w:p>
      <w:r>
        <w:rPr>
          <w:b/>
        </w:rPr>
        <w:t xml:space="preserve">31 </w:t>
      </w:r>
      <w:r>
        <w:t xml:space="preserve">And said, Cornelius, your prayer is heard, and your alms are remembered in the sight of God.</w:t>
      </w:r>
    </w:p>
    <w:p>
      <w:r>
        <w:rPr>
          <w:b/>
        </w:rPr>
        <w:t xml:space="preserve">32 </w:t>
      </w:r>
      <w:r>
        <w:t xml:space="preserve">Send therefore</w:t>
      </w:r>
      <w:r>
        <w:rPr>
          <w:rStyle w:val="FootnoteReference"/>
        </w:rPr>
        <w:footnoteReference w:id="16764"/>
      </w:r>
      <w:r>
        <w:t xml:space="preserve"> to Joppa, and call here Simon, whose surname is Peter; he is lodged in the house of one Simon a tanner by the seaside: who, when he comes, shall speak to you.</w:t>
      </w:r>
    </w:p>
    <w:p>
      <w:r>
        <w:rPr>
          <w:b/>
        </w:rPr>
        <w:t xml:space="preserve">33 </w:t>
      </w:r>
      <w:r>
        <w:t xml:space="preserve">Immediately therefore I sent to you; and you have well done that you have come. Now therefore are we</w:t>
      </w:r>
      <w:r>
        <w:rPr>
          <w:rStyle w:val="FootnoteReference"/>
        </w:rPr>
        <w:footnoteReference w:id="16765"/>
      </w:r>
      <w:r>
        <w:t xml:space="preserve"> all here present before God, to hear all things that are commanded you of God.</w:t>
      </w:r>
    </w:p>
    <w:p>
      <w:r>
        <w:rPr>
          <w:b/>
        </w:rPr>
        <w:t xml:space="preserve">34 </w:t>
      </w:r>
      <w:r>
        <w:t xml:space="preserve">Then Peter opened</w:t>
      </w:r>
      <w:r>
        <w:rPr>
          <w:rStyle w:val="FootnoteReference"/>
        </w:rPr>
        <w:footnoteReference w:id="16766"/>
      </w:r>
      <w:r>
        <w:t xml:space="preserve"> his mouth, and said, Truthfully I perceive that God does not show partiality:</w:t>
      </w:r>
    </w:p>
    <w:p>
      <w:r>
        <w:rPr>
          <w:b/>
        </w:rPr>
        <w:t xml:space="preserve">35 </w:t>
      </w:r>
      <w:r>
        <w:t xml:space="preserve">But in every nation the one who fears him, and works righteousness, is accepted with him.</w:t>
      </w:r>
    </w:p>
    <w:p>
      <w:r>
        <w:rPr>
          <w:b/>
        </w:rPr>
        <w:t xml:space="preserve">36 </w:t>
      </w:r>
      <w:r>
        <w:t xml:space="preserve">The word</w:t>
      </w:r>
      <w:r>
        <w:rPr>
          <w:rStyle w:val="FootnoteReference"/>
        </w:rPr>
        <w:footnoteReference w:id="16767"/>
      </w:r>
      <w:r>
        <w:t xml:space="preserve"> which God sent to the children of Israel, preaching peace by Jesus Christ: (he is Lord of all:)</w:t>
      </w:r>
    </w:p>
    <w:p>
      <w:r>
        <w:rPr>
          <w:b/>
        </w:rPr>
        <w:t xml:space="preserve">37 </w:t>
      </w:r>
      <w:r>
        <w:t xml:space="preserve">That word, I say, you know, which was published throughout all Judea, and began from Galilee, after the baptism which John preached;</w:t>
      </w:r>
    </w:p>
    <w:p>
      <w:r>
        <w:rPr>
          <w:b/>
        </w:rPr>
        <w:t xml:space="preserve">38 </w:t>
      </w:r>
      <w:r>
        <w:t xml:space="preserve">How God anointed Jesus of Nazareth with the Holy Spirit and with power: who went about doing good, and healing</w:t>
      </w:r>
      <w:r>
        <w:rPr>
          <w:rStyle w:val="FootnoteReference"/>
        </w:rPr>
        <w:footnoteReference w:id="16768"/>
      </w:r>
      <w:r>
        <w:t xml:space="preserve"> all that were oppressed by the devil; for God was with him.</w:t>
      </w:r>
    </w:p>
    <w:p>
      <w:r>
        <w:rPr>
          <w:b/>
        </w:rPr>
        <w:t xml:space="preserve">39 </w:t>
      </w:r>
      <w:r>
        <w:t xml:space="preserve">And we are</w:t>
      </w:r>
      <w:r>
        <w:rPr>
          <w:rStyle w:val="FootnoteReference"/>
        </w:rPr>
        <w:footnoteReference w:id="16769"/>
      </w:r>
      <w:r>
        <w:t xml:space="preserve"> witnesses of all things which he did both in the land of the Jews, and in Jerusalem; whom they killed and hung on a tree:</w:t>
      </w:r>
    </w:p>
    <w:p>
      <w:r>
        <w:rPr>
          <w:b/>
        </w:rPr>
        <w:t xml:space="preserve">40 </w:t>
      </w:r>
      <w:r>
        <w:t xml:space="preserve">God raised him up the third day, and showed him openly;</w:t>
      </w:r>
    </w:p>
    <w:p>
      <w:r>
        <w:rPr>
          <w:b/>
        </w:rPr>
        <w:t xml:space="preserve">41 </w:t>
      </w:r>
      <w:r>
        <w:t xml:space="preserve">Not to all the people, but to witnesses</w:t>
      </w:r>
      <w:r>
        <w:rPr>
          <w:rStyle w:val="FootnoteReference"/>
        </w:rPr>
        <w:footnoteReference w:id="16770"/>
      </w:r>
      <w:r>
        <w:t xml:space="preserve"> chosen before God, even to us, who ate and drank with him after he rose from the dead.</w:t>
      </w:r>
    </w:p>
    <w:p>
      <w:r>
        <w:rPr>
          <w:b/>
        </w:rPr>
        <w:t xml:space="preserve">42 </w:t>
      </w:r>
      <w:r>
        <w:t xml:space="preserve">And he commanded</w:t>
      </w:r>
      <w:r>
        <w:rPr>
          <w:rStyle w:val="FootnoteReference"/>
        </w:rPr>
        <w:footnoteReference w:id="16771"/>
      </w:r>
      <w:r>
        <w:t xml:space="preserve"> us to preach to the people, and to testify that it is the one who was ordained of God to be the Judge of living and dead.</w:t>
      </w:r>
    </w:p>
    <w:p>
      <w:r>
        <w:rPr>
          <w:b/>
        </w:rPr>
        <w:t xml:space="preserve">43 </w:t>
      </w:r>
      <w:r>
        <w:t xml:space="preserve">To him give all the prophets witness, that through his name whoever believes in him shall receive forgiveness of sins.</w:t>
      </w:r>
    </w:p>
    <w:p>
      <w:r>
        <w:rPr>
          <w:b/>
        </w:rPr>
        <w:t xml:space="preserve">44 </w:t>
      </w:r>
      <w:r>
        <w:t xml:space="preserve">While Peter was still speaking these words, the Holy Spirit fell on all those who heard the word.</w:t>
      </w:r>
    </w:p>
    <w:p>
      <w:r>
        <w:rPr>
          <w:b/>
        </w:rPr>
        <w:t xml:space="preserve">45 </w:t>
      </w:r>
      <w:r>
        <w:t xml:space="preserve">And those of the circumcision who believed were astonished, as many as came with Peter, because on the nations also was poured out the gift of the Holy Spirit.</w:t>
      </w:r>
    </w:p>
    <w:p>
      <w:r>
        <w:rPr>
          <w:b/>
        </w:rPr>
        <w:t xml:space="preserve">46 </w:t>
      </w:r>
      <w:r>
        <w:t xml:space="preserve">For they heard them speak</w:t>
      </w:r>
      <w:r>
        <w:rPr>
          <w:rStyle w:val="FootnoteReference"/>
        </w:rPr>
        <w:footnoteReference w:id="16772"/>
      </w:r>
      <w:r>
        <w:t xml:space="preserve"> with tongues, and magnify God. Then answered Peter,</w:t>
      </w:r>
    </w:p>
    <w:p>
      <w:r>
        <w:rPr>
          <w:b/>
        </w:rPr>
        <w:t xml:space="preserve">47 </w:t>
      </w:r>
      <w:r>
        <w:t xml:space="preserve">Can anyone forbid water, that these should not be baptized, who have received the Holy Spirit as well as we?</w:t>
      </w:r>
    </w:p>
    <w:p>
      <w:r>
        <w:rPr>
          <w:b/>
        </w:rPr>
        <w:t xml:space="preserve">48 </w:t>
      </w:r>
      <w:r>
        <w:t xml:space="preserve">And he commanded</w:t>
      </w:r>
      <w:r>
        <w:rPr>
          <w:rStyle w:val="FootnoteReference"/>
        </w:rPr>
        <w:footnoteReference w:id="16773"/>
      </w:r>
      <w:r>
        <w:t xml:space="preserve"> them to be baptized in the name of the Lord. Then they asked him to remain certain days.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the apostles</w:t>
      </w:r>
      <w:r>
        <w:rPr>
          <w:rStyle w:val="FootnoteReference"/>
        </w:rPr>
        <w:footnoteReference w:id="16774"/>
      </w:r>
      <w:r>
        <w:t xml:space="preserve"> and brothers that were in Judea heard that the nations had also received the word of God.</w:t>
      </w:r>
    </w:p>
    <w:p>
      <w:r>
        <w:rPr>
          <w:b/>
        </w:rPr>
        <w:t xml:space="preserve">2 </w:t>
      </w:r>
      <w:r>
        <w:t xml:space="preserve">And when Peter had come up to Jerusalem, those who were of the circumcision contended with him,</w:t>
      </w:r>
    </w:p>
    <w:p>
      <w:r>
        <w:rPr>
          <w:b/>
        </w:rPr>
        <w:t xml:space="preserve">3 </w:t>
      </w:r>
      <w:r>
        <w:t xml:space="preserve">Saying, You went in to men uncircumcised, and ate with them.</w:t>
      </w:r>
    </w:p>
    <w:p>
      <w:r>
        <w:rPr>
          <w:b/>
        </w:rPr>
        <w:t xml:space="preserve">4 </w:t>
      </w:r>
      <w:r>
        <w:t xml:space="preserve">But Peter began, and explained it in order to them, saying,</w:t>
      </w:r>
    </w:p>
    <w:p>
      <w:r>
        <w:rPr>
          <w:b/>
        </w:rPr>
        <w:t xml:space="preserve">5 </w:t>
      </w:r>
      <w:r>
        <w:t xml:space="preserve">I was in the city of Joppa praying: and in a</w:t>
      </w:r>
      <w:r>
        <w:rPr>
          <w:rStyle w:val="FootnoteReference"/>
        </w:rPr>
        <w:footnoteReference w:id="16775"/>
      </w:r>
      <w:r>
        <w:t xml:space="preserve"> trance I saw a vision, A certain vessel descending, like a great sheet, let down from heaven by four corners; and it came even to me:</w:t>
      </w:r>
    </w:p>
    <w:p>
      <w:r>
        <w:rPr>
          <w:b/>
        </w:rPr>
        <w:t xml:space="preserve">6 </w:t>
      </w:r>
      <w:r>
        <w:t xml:space="preserve">Upon the which when I had fastened</w:t>
      </w:r>
      <w:r>
        <w:rPr>
          <w:rStyle w:val="FootnoteReference"/>
        </w:rPr>
        <w:footnoteReference w:id="16776"/>
      </w:r>
      <w:r>
        <w:t xml:space="preserve"> my eyes, I considered, and saw four-footed beasts of the earth, and wild beasts, and creeping things, and birds of the air.</w:t>
      </w:r>
    </w:p>
    <w:p>
      <w:r>
        <w:rPr>
          <w:b/>
        </w:rPr>
        <w:t xml:space="preserve">7 </w:t>
      </w:r>
      <w:r>
        <w:t xml:space="preserve">And I heard a voice saying to me, Arise, Peter; kill and eat.</w:t>
      </w:r>
    </w:p>
    <w:p>
      <w:r>
        <w:rPr>
          <w:b/>
        </w:rPr>
        <w:t xml:space="preserve">8 </w:t>
      </w:r>
      <w:r>
        <w:t xml:space="preserve">But I said, Not so, Lord: for nothing common</w:t>
      </w:r>
      <w:r>
        <w:rPr>
          <w:rStyle w:val="FootnoteReference"/>
        </w:rPr>
        <w:footnoteReference w:id="16777"/>
      </w:r>
      <w:r>
        <w:t xml:space="preserve"> or unclean has at any time entered into my mouth.</w:t>
      </w:r>
    </w:p>
    <w:p>
      <w:r>
        <w:rPr>
          <w:b/>
        </w:rPr>
        <w:t xml:space="preserve">9 </w:t>
      </w:r>
      <w:r>
        <w:t xml:space="preserve">But the voice answered me again from heaven, What God has cleansed, do not call common.</w:t>
      </w:r>
    </w:p>
    <w:p>
      <w:r>
        <w:rPr>
          <w:b/>
        </w:rPr>
        <w:t xml:space="preserve">10 </w:t>
      </w:r>
      <w:r>
        <w:t xml:space="preserve">And this was done three</w:t>
      </w:r>
      <w:r>
        <w:rPr>
          <w:rStyle w:val="FootnoteReference"/>
        </w:rPr>
        <w:footnoteReference w:id="16778"/>
      </w:r>
      <w:r>
        <w:t xml:space="preserve"> times: and all were drawn up again into heaven.</w:t>
      </w:r>
    </w:p>
    <w:p>
      <w:r>
        <w:rPr>
          <w:b/>
        </w:rPr>
        <w:t xml:space="preserve">11 </w:t>
      </w:r>
      <w:r>
        <w:t xml:space="preserve">And, look, immediately there were three men already come to the house where I was, sent from Caesarea to me.</w:t>
      </w:r>
    </w:p>
    <w:p>
      <w:r>
        <w:rPr>
          <w:b/>
        </w:rPr>
        <w:t xml:space="preserve">12 </w:t>
      </w:r>
      <w:r>
        <w:t xml:space="preserve">And the Spirit</w:t>
      </w:r>
      <w:r>
        <w:rPr>
          <w:rStyle w:val="FootnoteReference"/>
        </w:rPr>
        <w:footnoteReference w:id="16779"/>
      </w:r>
      <w:r>
        <w:t xml:space="preserve"> told me to go with them, doubting nothing. Moreover these six brothers accompanied me, and we entered into the man's house:</w:t>
      </w:r>
    </w:p>
    <w:p>
      <w:r>
        <w:rPr>
          <w:b/>
        </w:rPr>
        <w:t xml:space="preserve">13 </w:t>
      </w:r>
      <w:r>
        <w:t xml:space="preserve">And he showed</w:t>
      </w:r>
      <w:r>
        <w:rPr>
          <w:rStyle w:val="FootnoteReference"/>
        </w:rPr>
        <w:footnoteReference w:id="16780"/>
      </w:r>
      <w:r>
        <w:t xml:space="preserve"> us how he had seen an angel in his house, who stood and said to him, Send men to Joppa, and call for Simon, whose surname is Peter;</w:t>
      </w:r>
    </w:p>
    <w:p>
      <w:r>
        <w:rPr>
          <w:b/>
        </w:rPr>
        <w:t xml:space="preserve">14 </w:t>
      </w:r>
      <w:r>
        <w:t xml:space="preserve">Who shall tell you words</w:t>
      </w:r>
      <w:r>
        <w:rPr>
          <w:rStyle w:val="FootnoteReference"/>
        </w:rPr>
        <w:footnoteReference w:id="16781"/>
      </w:r>
      <w:r>
        <w:t xml:space="preserve">, by which you and all your house shall be saved.</w:t>
      </w:r>
    </w:p>
    <w:p>
      <w:r>
        <w:rPr>
          <w:b/>
        </w:rPr>
        <w:t xml:space="preserve">15 </w:t>
      </w:r>
      <w:r>
        <w:t xml:space="preserve">And as I began to speak, the Holy Spirit fell on them, as on</w:t>
      </w:r>
      <w:r>
        <w:rPr>
          <w:rStyle w:val="FootnoteReference"/>
        </w:rPr>
        <w:footnoteReference w:id="16782"/>
      </w:r>
      <w:r>
        <w:t xml:space="preserve"> us at the beginning.</w:t>
      </w:r>
    </w:p>
    <w:p>
      <w:r>
        <w:rPr>
          <w:b/>
        </w:rPr>
        <w:t xml:space="preserve">16 </w:t>
      </w:r>
      <w:r>
        <w:t xml:space="preserve">Then remembered</w:t>
      </w:r>
      <w:r>
        <w:rPr>
          <w:rStyle w:val="FootnoteReference"/>
        </w:rPr>
        <w:footnoteReference w:id="16783"/>
      </w:r>
      <w:r>
        <w:t xml:space="preserve"> I the word of the Lord, how that he said, John indeed baptized with water; but you shall be baptized with the Holy Spirit.</w:t>
      </w:r>
    </w:p>
    <w:p>
      <w:r>
        <w:rPr>
          <w:b/>
        </w:rPr>
        <w:t xml:space="preserve">17 </w:t>
      </w:r>
      <w:r>
        <w:t xml:space="preserve">Since then God gave them the like gift as he did to us, who believed on the Lord Jesus Christ; what was I, that I could withstand God?</w:t>
      </w:r>
    </w:p>
    <w:p>
      <w:r>
        <w:rPr>
          <w:b/>
        </w:rPr>
        <w:t xml:space="preserve">18 </w:t>
      </w:r>
      <w:r>
        <w:t xml:space="preserve">When they heard these things, they were silent, and glorified</w:t>
      </w:r>
      <w:r>
        <w:rPr>
          <w:rStyle w:val="FootnoteReference"/>
        </w:rPr>
        <w:footnoteReference w:id="16784"/>
      </w:r>
      <w:r>
        <w:t xml:space="preserve"> God, saying, Then has God also to the nations granted repentance to life.</w:t>
      </w:r>
    </w:p>
    <w:p>
      <w:r>
        <w:rPr>
          <w:b/>
        </w:rPr>
        <w:t xml:space="preserve">19 </w:t>
      </w:r>
      <w:r>
        <w:t xml:space="preserve">Now those who were scattered upon the persecution that arose about Stephen traveled as far as Phoenicia</w:t>
      </w:r>
      <w:r>
        <w:rPr>
          <w:rStyle w:val="FootnoteReference"/>
        </w:rPr>
        <w:footnoteReference w:id="16785"/>
      </w:r>
      <w:r>
        <w:t xml:space="preserve">, and Cyprus</w:t>
      </w:r>
      <w:r>
        <w:rPr>
          <w:rStyle w:val="FootnoteReference"/>
        </w:rPr>
        <w:footnoteReference w:id="16786"/>
      </w:r>
      <w:r>
        <w:t xml:space="preserve">, and Antioch, preaching the word to none but to the Jews only.</w:t>
      </w:r>
    </w:p>
    <w:p>
      <w:r>
        <w:rPr>
          <w:b/>
        </w:rPr>
        <w:t xml:space="preserve">20 </w:t>
      </w:r>
      <w:r>
        <w:t xml:space="preserve">And some of them were men of Cyprus and Cyrene</w:t>
      </w:r>
      <w:r>
        <w:rPr>
          <w:rStyle w:val="FootnoteReference"/>
        </w:rPr>
        <w:footnoteReference w:id="16787"/>
      </w:r>
      <w:r>
        <w:t xml:space="preserve">, which, when they had come to Antioch, spoke to the Grecians, preaching the Lord Jesus.</w:t>
      </w:r>
    </w:p>
    <w:p>
      <w:r>
        <w:rPr>
          <w:b/>
        </w:rPr>
        <w:t xml:space="preserve">21 </w:t>
      </w:r>
      <w:r>
        <w:t xml:space="preserve">And the hand</w:t>
      </w:r>
      <w:r>
        <w:rPr>
          <w:rStyle w:val="FootnoteReference"/>
        </w:rPr>
        <w:footnoteReference w:id="16788"/>
      </w:r>
      <w:r>
        <w:t xml:space="preserve"> of the Lord was with them: and a great number believed, and turned to the Lord.</w:t>
      </w:r>
    </w:p>
    <w:p>
      <w:r>
        <w:rPr>
          <w:b/>
        </w:rPr>
        <w:t xml:space="preserve">22 </w:t>
      </w:r>
      <w:r>
        <w:t xml:space="preserve">Then tidings</w:t>
      </w:r>
      <w:r>
        <w:rPr>
          <w:rStyle w:val="FootnoteReference"/>
        </w:rPr>
        <w:footnoteReference w:id="16789"/>
      </w:r>
      <w:r>
        <w:t xml:space="preserve"> of these things came to the ears of the assembly which was in Jerusalem: and they sent forth Barnabas, that he should go as far as Antioch.</w:t>
      </w:r>
    </w:p>
    <w:p>
      <w:r>
        <w:rPr>
          <w:b/>
        </w:rPr>
        <w:t xml:space="preserve">23 </w:t>
      </w:r>
      <w:r>
        <w:t xml:space="preserve">Who, when he came, and had seen</w:t>
      </w:r>
      <w:r>
        <w:rPr>
          <w:rStyle w:val="FootnoteReference"/>
        </w:rPr>
        <w:footnoteReference w:id="16790"/>
      </w:r>
      <w:r>
        <w:t xml:space="preserve"> the grace of God, was glad, and exhorted them all, that with purpose of heart they would cling to the Lord.</w:t>
      </w:r>
    </w:p>
    <w:p>
      <w:r>
        <w:rPr>
          <w:b/>
        </w:rPr>
        <w:t xml:space="preserve">24 </w:t>
      </w:r>
      <w:r>
        <w:t xml:space="preserve">For he was a good man, and full</w:t>
      </w:r>
      <w:r>
        <w:rPr>
          <w:rStyle w:val="FootnoteReference"/>
        </w:rPr>
        <w:footnoteReference w:id="16791"/>
      </w:r>
      <w:r>
        <w:t xml:space="preserve"> of the Holy Spirit and of faith: and much people was added to the Lord.</w:t>
      </w:r>
    </w:p>
    <w:p>
      <w:r>
        <w:rPr>
          <w:b/>
        </w:rPr>
        <w:t xml:space="preserve">25 </w:t>
      </w:r>
      <w:r>
        <w:t xml:space="preserve">Then Barnabas departed to Tarsus</w:t>
      </w:r>
      <w:r>
        <w:rPr>
          <w:rStyle w:val="FootnoteReference"/>
        </w:rPr>
        <w:footnoteReference w:id="16792"/>
      </w:r>
      <w:r>
        <w:t xml:space="preserve">, in order to seek Saul:</w:t>
      </w:r>
    </w:p>
    <w:p>
      <w:r>
        <w:rPr>
          <w:b/>
        </w:rPr>
        <w:t xml:space="preserve">26 </w:t>
      </w:r>
      <w:r>
        <w:t xml:space="preserve">And when he had found him, he brought him to Antioch. And it happened, that a whole year they assembled themselves with the assembly, and taught</w:t>
      </w:r>
      <w:r>
        <w:rPr>
          <w:rStyle w:val="FootnoteReference"/>
        </w:rPr>
        <w:footnoteReference w:id="16793"/>
      </w:r>
      <w:r>
        <w:t xml:space="preserve"> much people. And the disciples were called Christians</w:t>
      </w:r>
      <w:r>
        <w:rPr>
          <w:rStyle w:val="FootnoteReference"/>
        </w:rPr>
        <w:footnoteReference w:id="16794"/>
      </w:r>
      <w:r>
        <w:t xml:space="preserve"> first in Antioch.</w:t>
      </w:r>
    </w:p>
    <w:p>
      <w:r>
        <w:rPr>
          <w:b/>
        </w:rPr>
        <w:t xml:space="preserve">27 </w:t>
      </w:r>
      <w:r>
        <w:t xml:space="preserve">And in these days prophets</w:t>
      </w:r>
      <w:r>
        <w:rPr>
          <w:rStyle w:val="FootnoteReference"/>
        </w:rPr>
        <w:footnoteReference w:id="16795"/>
      </w:r>
      <w:r>
        <w:t xml:space="preserve"> came from Jerusalem to Antioch.</w:t>
      </w:r>
    </w:p>
    <w:p>
      <w:r>
        <w:rPr>
          <w:b/>
        </w:rPr>
        <w:t xml:space="preserve">28 </w:t>
      </w:r>
      <w:r>
        <w:t xml:space="preserve">And one of them named Agabus</w:t>
      </w:r>
      <w:r>
        <w:rPr>
          <w:rStyle w:val="FootnoteReference"/>
        </w:rPr>
        <w:footnoteReference w:id="16796"/>
      </w:r>
      <w:r>
        <w:t xml:space="preserve"> stood up, and signified by the Spirit that there should be great famine throughout all the world: which happened in the days of Claudius</w:t>
      </w:r>
      <w:r>
        <w:rPr>
          <w:rStyle w:val="FootnoteReference"/>
        </w:rPr>
        <w:footnoteReference w:id="16797"/>
      </w:r>
      <w:r>
        <w:t xml:space="preserve"> Caesar.</w:t>
      </w:r>
      <w:r>
        <w:rPr>
          <w:rStyle w:val="FootnoteReference"/>
        </w:rPr>
        <w:footnoteReference w:id="16798"/>
      </w:r>
    </w:p>
    <w:p>
      <w:r>
        <w:rPr>
          <w:b/>
        </w:rPr>
        <w:t xml:space="preserve">29 </w:t>
      </w:r>
      <w:r>
        <w:t xml:space="preserve">Then the disciples, each according to his ability, determined to send</w:t>
      </w:r>
      <w:r>
        <w:rPr>
          <w:rStyle w:val="FootnoteReference"/>
        </w:rPr>
        <w:footnoteReference w:id="16799"/>
      </w:r>
      <w:r>
        <w:t xml:space="preserve"> relief to the brothers who dwelt in Judea:</w:t>
      </w:r>
    </w:p>
    <w:p>
      <w:r>
        <w:rPr>
          <w:b/>
        </w:rPr>
        <w:t xml:space="preserve">30 </w:t>
      </w:r>
      <w:r>
        <w:t xml:space="preserve">Which they also did, and sent it to the elders by the hands of Barnabas and Saul.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Now about that time Herod the king stretched forth his hands</w:t>
      </w:r>
      <w:r>
        <w:rPr>
          <w:rStyle w:val="FootnoteReference"/>
        </w:rPr>
        <w:footnoteReference w:id="16800"/>
      </w:r>
      <w:r>
        <w:t xml:space="preserve"> to vex certain of the assembly.</w:t>
      </w:r>
    </w:p>
    <w:p>
      <w:r>
        <w:rPr>
          <w:b/>
        </w:rPr>
        <w:t xml:space="preserve">2 </w:t>
      </w:r>
      <w:r>
        <w:t xml:space="preserve">And he killed James</w:t>
      </w:r>
      <w:r>
        <w:rPr>
          <w:rStyle w:val="FootnoteReference"/>
        </w:rPr>
        <w:footnoteReference w:id="16801"/>
      </w:r>
      <w:r>
        <w:t xml:space="preserve"> the brother of John with the sword.</w:t>
      </w:r>
    </w:p>
    <w:p>
      <w:r>
        <w:rPr>
          <w:b/>
        </w:rPr>
        <w:t xml:space="preserve">3 </w:t>
      </w:r>
      <w:r>
        <w:t xml:space="preserve">And because he saw</w:t>
      </w:r>
      <w:r>
        <w:rPr>
          <w:rStyle w:val="FootnoteReference"/>
        </w:rPr>
        <w:footnoteReference w:id="16802"/>
      </w:r>
      <w:r>
        <w:t xml:space="preserve"> it pleased the Jews, he proceeded further to take Peter also. (Then were the days of unleavened bread.)</w:t>
      </w:r>
    </w:p>
    <w:p>
      <w:r>
        <w:rPr>
          <w:b/>
        </w:rPr>
        <w:t xml:space="preserve">4 </w:t>
      </w:r>
      <w:r>
        <w:t xml:space="preserve">And when he had apprehended him, he put</w:t>
      </w:r>
      <w:r>
        <w:rPr>
          <w:rStyle w:val="FootnoteReference"/>
        </w:rPr>
        <w:footnoteReference w:id="16803"/>
      </w:r>
      <w:r>
        <w:t xml:space="preserve"> him in prison, and delivered him to four squads of soldiers to keep him; intending after the Passover to bring him forth to the people.</w:t>
      </w:r>
    </w:p>
    <w:p>
      <w:r>
        <w:rPr>
          <w:b/>
        </w:rPr>
        <w:t xml:space="preserve">5 </w:t>
      </w:r>
      <w:r>
        <w:t xml:space="preserve">Peter therefore was kept in prison: but prayer was made without ceasing</w:t>
      </w:r>
      <w:r>
        <w:rPr>
          <w:rStyle w:val="FootnoteReference"/>
        </w:rPr>
        <w:footnoteReference w:id="16804"/>
      </w:r>
      <w:r>
        <w:t xml:space="preserve"> of the assembly to God for him.</w:t>
      </w:r>
    </w:p>
    <w:p>
      <w:r>
        <w:rPr>
          <w:b/>
        </w:rPr>
        <w:t xml:space="preserve">6 </w:t>
      </w:r>
      <w:r>
        <w:t xml:space="preserve">And when Herod was about to bring him forth, that same night Peter was sleeping between two soldiers, bound</w:t>
      </w:r>
      <w:r>
        <w:rPr>
          <w:rStyle w:val="FootnoteReference"/>
        </w:rPr>
        <w:footnoteReference w:id="16805"/>
      </w:r>
      <w:r>
        <w:t xml:space="preserve"> with two chains: and the guards before the door kept the prison.</w:t>
      </w:r>
    </w:p>
    <w:p>
      <w:r>
        <w:rPr>
          <w:b/>
        </w:rPr>
        <w:t xml:space="preserve">7 </w:t>
      </w:r>
      <w:r>
        <w:t xml:space="preserve">And, look, the angel</w:t>
      </w:r>
      <w:r>
        <w:rPr>
          <w:rStyle w:val="FootnoteReference"/>
        </w:rPr>
        <w:footnoteReference w:id="16806"/>
      </w:r>
      <w:r>
        <w:t xml:space="preserve"> of the Lord came upon him, and a light shined in the prison: and he stroke Peter on the side, and raised him up, saying, Arise up quickly. And his chains fell off from his hands.</w:t>
      </w:r>
    </w:p>
    <w:p>
      <w:r>
        <w:rPr>
          <w:b/>
        </w:rPr>
        <w:t xml:space="preserve">8 </w:t>
      </w:r>
      <w:r>
        <w:t xml:space="preserve">And the angel said to him, Gird yourself, and bind on your sandals. And so he did. And he says to him, Cast your cloak about you, and follow me.</w:t>
      </w:r>
    </w:p>
    <w:p>
      <w:r>
        <w:rPr>
          <w:b/>
        </w:rPr>
        <w:t xml:space="preserve">9 </w:t>
      </w:r>
      <w:r>
        <w:t xml:space="preserve">And he went out, and followed him; and did not know that what was being done by the angel was true, but thought he saw a vision.</w:t>
      </w:r>
    </w:p>
    <w:p>
      <w:r>
        <w:rPr>
          <w:b/>
        </w:rPr>
        <w:t xml:space="preserve">10 </w:t>
      </w:r>
      <w:r>
        <w:t xml:space="preserve">When they were past the first</w:t>
      </w:r>
      <w:r>
        <w:rPr>
          <w:rStyle w:val="FootnoteReference"/>
        </w:rPr>
        <w:footnoteReference w:id="16807"/>
      </w:r>
      <w:r>
        <w:t xml:space="preserve"> and the second ward, they came to the iron gate that leads to the city; which opened to them of his own accord: and they went out, and passed on through one street; and immediately the angel departed from him.</w:t>
      </w:r>
    </w:p>
    <w:p>
      <w:r>
        <w:rPr>
          <w:b/>
        </w:rPr>
        <w:t xml:space="preserve">11 </w:t>
      </w:r>
      <w:r>
        <w:t xml:space="preserve">And when Peter had come to himself, he said, Now I know certainly, that the Lord has sent his angel, and has delivered me out of the hand of Herod, and from all the expectation of the people of the Jews.</w:t>
      </w:r>
    </w:p>
    <w:p>
      <w:r>
        <w:rPr>
          <w:b/>
        </w:rPr>
        <w:t xml:space="preserve">12 </w:t>
      </w:r>
      <w:r>
        <w:t xml:space="preserve">And when he had considered the thing, he came</w:t>
      </w:r>
      <w:r>
        <w:rPr>
          <w:rStyle w:val="FootnoteReference"/>
        </w:rPr>
        <w:footnoteReference w:id="16808"/>
      </w:r>
      <w:r>
        <w:t xml:space="preserve"> to the house of Mary the mother of John, whose surname was Mark</w:t>
      </w:r>
      <w:r>
        <w:rPr>
          <w:rStyle w:val="FootnoteReference"/>
        </w:rPr>
        <w:footnoteReference w:id="16809"/>
      </w:r>
      <w:r>
        <w:t xml:space="preserve">; where many were gathered together praying.</w:t>
      </w:r>
    </w:p>
    <w:p>
      <w:r>
        <w:rPr>
          <w:b/>
        </w:rPr>
        <w:t xml:space="preserve">13 </w:t>
      </w:r>
      <w:r>
        <w:t xml:space="preserve">And as Peter knocked</w:t>
      </w:r>
      <w:r>
        <w:rPr>
          <w:rStyle w:val="FootnoteReference"/>
        </w:rPr>
        <w:footnoteReference w:id="16810"/>
      </w:r>
      <w:r>
        <w:t xml:space="preserve"> at the door of the gate, a girl came to listen, named Rhoda</w:t>
      </w:r>
      <w:r>
        <w:rPr>
          <w:rStyle w:val="FootnoteReference"/>
        </w:rPr>
        <w:footnoteReference w:id="16811"/>
      </w:r>
      <w:r>
        <w:t xml:space="preserve">.</w:t>
      </w:r>
    </w:p>
    <w:p>
      <w:r>
        <w:rPr>
          <w:b/>
        </w:rPr>
        <w:t xml:space="preserve">14 </w:t>
      </w:r>
      <w:r>
        <w:t xml:space="preserve">And when she recognized Peter's voice, she did not open the gate for gladness, but ran in, and reported that Peter stood before the gate.</w:t>
      </w:r>
    </w:p>
    <w:p>
      <w:r>
        <w:rPr>
          <w:b/>
        </w:rPr>
        <w:t xml:space="preserve">15 </w:t>
      </w:r>
      <w:r>
        <w:t xml:space="preserve">And they said to her, You are mad. But she kept insisting that it was so. Then they said, It is his angel.</w:t>
      </w:r>
    </w:p>
    <w:p>
      <w:r>
        <w:rPr>
          <w:b/>
        </w:rPr>
        <w:t xml:space="preserve">16 </w:t>
      </w:r>
      <w:r>
        <w:t xml:space="preserve">But Peter continued knocking: and when they had opened the door, and saw him, they were astonished.</w:t>
      </w:r>
    </w:p>
    <w:p>
      <w:r>
        <w:rPr>
          <w:b/>
        </w:rPr>
        <w:t xml:space="preserve">17 </w:t>
      </w:r>
      <w:r>
        <w:t xml:space="preserve">But he, beckoning</w:t>
      </w:r>
      <w:r>
        <w:rPr>
          <w:rStyle w:val="FootnoteReference"/>
        </w:rPr>
        <w:footnoteReference w:id="16812"/>
      </w:r>
      <w:r>
        <w:t xml:space="preserve"> to them with the hand to be silent, declared to them how the Lord had brought him out of the prison. And he said, Go show these things to James, and to the brothers. And he departed, and went into another place.</w:t>
      </w:r>
    </w:p>
    <w:p>
      <w:r>
        <w:rPr>
          <w:b/>
        </w:rPr>
        <w:t xml:space="preserve">18 </w:t>
      </w:r>
      <w:r>
        <w:t xml:space="preserve">Now as soon as it was day, there was no small stir among the soldiers over what had become of Peter.</w:t>
      </w:r>
    </w:p>
    <w:p>
      <w:r>
        <w:rPr>
          <w:b/>
        </w:rPr>
        <w:t xml:space="preserve">19 </w:t>
      </w:r>
      <w:r>
        <w:t xml:space="preserve">And when Herod had sought for him</w:t>
      </w:r>
      <w:r>
        <w:rPr>
          <w:rStyle w:val="FootnoteReference"/>
        </w:rPr>
        <w:footnoteReference w:id="16813"/>
      </w:r>
      <w:r>
        <w:t xml:space="preserve">, and did not find him, he examined the guards, and commanded that they should be put to death. And he went down from Judea to Caesarea, and there remained.</w:t>
      </w:r>
    </w:p>
    <w:p>
      <w:r>
        <w:rPr>
          <w:b/>
        </w:rPr>
        <w:t xml:space="preserve">20 </w:t>
      </w:r>
      <w:r>
        <w:t xml:space="preserve">And Herod was furious with those of Tyre</w:t>
      </w:r>
      <w:r>
        <w:rPr>
          <w:rStyle w:val="FootnoteReference"/>
        </w:rPr>
        <w:footnoteReference w:id="16814"/>
      </w:r>
      <w:r>
        <w:t xml:space="preserve"> and Sidon: but they came with one accord to him, and, having persuaded Blastus</w:t>
      </w:r>
      <w:r>
        <w:rPr>
          <w:rStyle w:val="FootnoteReference"/>
        </w:rPr>
        <w:footnoteReference w:id="16815"/>
      </w:r>
      <w:r>
        <w:t xml:space="preserve"> the king's chamberlain, desired peace; because their country was supplied with food from the king's country.</w:t>
      </w:r>
    </w:p>
    <w:p>
      <w:r>
        <w:rPr>
          <w:b/>
        </w:rPr>
        <w:t xml:space="preserve">21 </w:t>
      </w:r>
      <w:r>
        <w:t xml:space="preserve">And on a set day Herod, arrayed in royal apparel, sat upon the judgment seat, and made a public speech to them.</w:t>
      </w:r>
    </w:p>
    <w:p>
      <w:r>
        <w:rPr>
          <w:b/>
        </w:rPr>
        <w:t xml:space="preserve">22 </w:t>
      </w:r>
      <w:r>
        <w:t xml:space="preserve">And the people gave a shout, saying, It is the voice of a god, and not of a man.</w:t>
      </w:r>
    </w:p>
    <w:p>
      <w:r>
        <w:rPr>
          <w:b/>
        </w:rPr>
        <w:t xml:space="preserve">23 </w:t>
      </w:r>
      <w:r>
        <w:t xml:space="preserve">And immediately the angel</w:t>
      </w:r>
      <w:r>
        <w:rPr>
          <w:rStyle w:val="FootnoteReference"/>
        </w:rPr>
        <w:footnoteReference w:id="16816"/>
      </w:r>
      <w:r>
        <w:t xml:space="preserve"> of the Lord struck him, because he did not give God the glory: and he was eaten of worms, and expired.</w:t>
      </w:r>
    </w:p>
    <w:p>
      <w:r>
        <w:rPr>
          <w:b/>
        </w:rPr>
        <w:t xml:space="preserve">24 </w:t>
      </w:r>
      <w:r>
        <w:t xml:space="preserve">But the word of God grew and multiplied.</w:t>
      </w:r>
    </w:p>
    <w:p>
      <w:r>
        <w:rPr>
          <w:b/>
        </w:rPr>
        <w:t xml:space="preserve">25 </w:t>
      </w:r>
      <w:r>
        <w:t xml:space="preserve">And Barnabas</w:t>
      </w:r>
      <w:r>
        <w:rPr>
          <w:rStyle w:val="FootnoteReference"/>
        </w:rPr>
        <w:footnoteReference w:id="16817"/>
      </w:r>
      <w:r>
        <w:t xml:space="preserve"> and Saul returned from Jerusalem, when they had fulfilled their ministry, and took with them John, whose surname was Mark.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Now there were in the assembly that was at Antioch certain prophets</w:t>
      </w:r>
      <w:r>
        <w:rPr>
          <w:rStyle w:val="FootnoteReference"/>
        </w:rPr>
        <w:footnoteReference w:id="16818"/>
      </w:r>
      <w:r>
        <w:t xml:space="preserve"> and teachers; as Barnabas, and Simeon that was called Niger</w:t>
      </w:r>
      <w:r>
        <w:rPr>
          <w:rStyle w:val="FootnoteReference"/>
        </w:rPr>
        <w:footnoteReference w:id="16819"/>
      </w:r>
      <w:r>
        <w:t xml:space="preserve">, and Lucius</w:t>
      </w:r>
      <w:r>
        <w:rPr>
          <w:rStyle w:val="FootnoteReference"/>
        </w:rPr>
        <w:footnoteReference w:id="16820"/>
      </w:r>
      <w:r>
        <w:t xml:space="preserve"> of Cyrene, and Manaen</w:t>
      </w:r>
      <w:r>
        <w:rPr>
          <w:rStyle w:val="FootnoteReference"/>
        </w:rPr>
        <w:footnoteReference w:id="16821"/>
      </w:r>
      <w:r>
        <w:t xml:space="preserve">, which had been brought up with Herod the tetrarch, and Saul.</w:t>
      </w:r>
    </w:p>
    <w:p>
      <w:r>
        <w:rPr>
          <w:b/>
        </w:rPr>
        <w:t xml:space="preserve">2 </w:t>
      </w:r>
      <w:r>
        <w:t xml:space="preserve">As they ministered to the Lord, and fasted</w:t>
      </w:r>
      <w:r>
        <w:rPr>
          <w:rStyle w:val="FootnoteReference"/>
        </w:rPr>
        <w:footnoteReference w:id="16822"/>
      </w:r>
      <w:r>
        <w:t xml:space="preserve">, the Holy Spirit said, Set apart for me Barnabas and Saul for the work to which I have called them.</w:t>
      </w:r>
    </w:p>
    <w:p>
      <w:r>
        <w:rPr>
          <w:b/>
        </w:rPr>
        <w:t xml:space="preserve">3 </w:t>
      </w:r>
      <w:r>
        <w:t xml:space="preserve">And when they had fasted and prayed, and laid their hands on them, they sent</w:t>
      </w:r>
      <w:r>
        <w:rPr>
          <w:rStyle w:val="FootnoteReference"/>
        </w:rPr>
        <w:footnoteReference w:id="16823"/>
      </w:r>
      <w:r>
        <w:t xml:space="preserve"> them away.</w:t>
      </w:r>
    </w:p>
    <w:p>
      <w:r>
        <w:rPr>
          <w:b/>
        </w:rPr>
        <w:t xml:space="preserve">4 </w:t>
      </w:r>
      <w:r>
        <w:t xml:space="preserve">So they, being sent forth by the Holy Spirit, departed to Seleucia</w:t>
      </w:r>
      <w:r>
        <w:rPr>
          <w:rStyle w:val="FootnoteReference"/>
        </w:rPr>
        <w:footnoteReference w:id="16824"/>
      </w:r>
      <w:r>
        <w:t xml:space="preserve">; and from there they sailed to Cyprus</w:t>
      </w:r>
      <w:r>
        <w:rPr>
          <w:rStyle w:val="FootnoteReference"/>
        </w:rPr>
        <w:footnoteReference w:id="16825"/>
      </w:r>
      <w:r>
        <w:t xml:space="preserve">.</w:t>
      </w:r>
    </w:p>
    <w:p>
      <w:r>
        <w:rPr>
          <w:b/>
        </w:rPr>
        <w:t xml:space="preserve">5 </w:t>
      </w:r>
      <w:r>
        <w:t xml:space="preserve">And when they were at Salamis</w:t>
      </w:r>
      <w:r>
        <w:rPr>
          <w:rStyle w:val="FootnoteReference"/>
        </w:rPr>
        <w:footnoteReference w:id="16826"/>
      </w:r>
      <w:r>
        <w:t xml:space="preserve">, they preached the word of God in the synagogues of the Jews: and they also had John</w:t>
      </w:r>
      <w:r>
        <w:rPr>
          <w:rStyle w:val="FootnoteReference"/>
        </w:rPr>
        <w:footnoteReference w:id="16827"/>
      </w:r>
      <w:r>
        <w:t xml:space="preserve"> as an assistant.</w:t>
      </w:r>
    </w:p>
    <w:p>
      <w:r>
        <w:rPr>
          <w:b/>
        </w:rPr>
        <w:t xml:space="preserve">6 </w:t>
      </w:r>
      <w:r>
        <w:t xml:space="preserve">And when they had gone through the island to Paphos</w:t>
      </w:r>
      <w:r>
        <w:rPr>
          <w:rStyle w:val="FootnoteReference"/>
        </w:rPr>
        <w:footnoteReference w:id="16828"/>
      </w:r>
      <w:r>
        <w:t xml:space="preserve">, they found a certain</w:t>
      </w:r>
      <w:r>
        <w:rPr>
          <w:rStyle w:val="FootnoteReference"/>
        </w:rPr>
        <w:footnoteReference w:id="16829"/>
      </w:r>
      <w:r>
        <w:t xml:space="preserve"> sorcerer, a false prophet, a Jew, whose name was Bar-Jesus</w:t>
      </w:r>
      <w:r>
        <w:rPr>
          <w:rStyle w:val="FootnoteReference"/>
        </w:rPr>
        <w:footnoteReference w:id="16830"/>
      </w:r>
      <w:r>
        <w:t xml:space="preserve">:</w:t>
      </w:r>
    </w:p>
    <w:p>
      <w:r>
        <w:rPr>
          <w:b/>
        </w:rPr>
        <w:t xml:space="preserve">7 </w:t>
      </w:r>
      <w:r>
        <w:t xml:space="preserve">Who was with the proconsul Sergius Paulus</w:t>
      </w:r>
      <w:r>
        <w:rPr>
          <w:rStyle w:val="FootnoteReference"/>
        </w:rPr>
        <w:footnoteReference w:id="16831"/>
      </w:r>
      <w:r>
        <w:t xml:space="preserve">, a discerning man; who called for Barnabas and Saul, and desired to hear the word of God.</w:t>
      </w:r>
      <w:r>
        <w:rPr>
          <w:rStyle w:val="FootnoteReference"/>
        </w:rPr>
        <w:footnoteReference w:id="16832"/>
      </w:r>
      <w:r>
        <w:rPr>
          <w:rStyle w:val="FootnoteReference"/>
        </w:rPr>
        <w:footnoteReference w:id="16833"/>
      </w:r>
    </w:p>
    <w:p>
      <w:r>
        <w:rPr>
          <w:b/>
        </w:rPr>
        <w:t xml:space="preserve">8 </w:t>
      </w:r>
      <w:r>
        <w:t xml:space="preserve">But Elymas</w:t>
      </w:r>
      <w:r>
        <w:rPr>
          <w:rStyle w:val="FootnoteReference"/>
        </w:rPr>
        <w:footnoteReference w:id="16834"/>
      </w:r>
      <w:r>
        <w:t xml:space="preserve"> the sorcerer (for so is his name by interpretation) withstood</w:t>
      </w:r>
      <w:r>
        <w:rPr>
          <w:rStyle w:val="FootnoteReference"/>
        </w:rPr>
        <w:footnoteReference w:id="16835"/>
      </w:r>
      <w:r>
        <w:t xml:space="preserve"> them, seeking to turn away the proconsul from the faith.</w:t>
      </w:r>
    </w:p>
    <w:p>
      <w:r>
        <w:rPr>
          <w:b/>
        </w:rPr>
        <w:t xml:space="preserve">9 </w:t>
      </w:r>
      <w:r>
        <w:t xml:space="preserve">Then Saul, (who also is called Paul</w:t>
      </w:r>
      <w:r>
        <w:rPr>
          <w:rStyle w:val="FootnoteReference"/>
        </w:rPr>
        <w:footnoteReference w:id="16836"/>
      </w:r>
      <w:r>
        <w:t xml:space="preserve">,) filled</w:t>
      </w:r>
      <w:r>
        <w:rPr>
          <w:rStyle w:val="FootnoteReference"/>
        </w:rPr>
        <w:footnoteReference w:id="16837"/>
      </w:r>
      <w:r>
        <w:t xml:space="preserve"> with the Holy Spirit, set his eyes on him.</w:t>
      </w:r>
    </w:p>
    <w:p>
      <w:r>
        <w:rPr>
          <w:b/>
        </w:rPr>
        <w:t xml:space="preserve">10 </w:t>
      </w:r>
      <w:r>
        <w:t xml:space="preserve">And said, O full</w:t>
      </w:r>
      <w:r>
        <w:rPr>
          <w:rStyle w:val="FootnoteReference"/>
        </w:rPr>
        <w:footnoteReference w:id="16838"/>
      </w:r>
      <w:r>
        <w:t xml:space="preserve"> of all deceit and all villainy, you child of the devil, you enemy of all righteousness, will you not cease to pervert the right ways of the Lord?</w:t>
      </w:r>
    </w:p>
    <w:p>
      <w:r>
        <w:rPr>
          <w:b/>
        </w:rPr>
        <w:t xml:space="preserve">11 </w:t>
      </w:r>
      <w:r>
        <w:t xml:space="preserve">And now, look, the hand of the Lord is upon you, and you shall be blind, not seeing the sun for a season. And immediately there fell on him a mist</w:t>
      </w:r>
      <w:r>
        <w:rPr>
          <w:rStyle w:val="FootnoteReference"/>
        </w:rPr>
        <w:footnoteReference w:id="16839"/>
      </w:r>
      <w:r>
        <w:t xml:space="preserve"> and a darkness; and he went about seeking some to lead him by the hand.</w:t>
      </w:r>
    </w:p>
    <w:p>
      <w:r>
        <w:rPr>
          <w:b/>
        </w:rPr>
        <w:t xml:space="preserve">12 </w:t>
      </w:r>
      <w:r>
        <w:t xml:space="preserve">Then the proconsul, when he saw what was done, believed, being astonished at the teaching of the Lord.</w:t>
      </w:r>
    </w:p>
    <w:p>
      <w:r>
        <w:rPr>
          <w:b/>
        </w:rPr>
        <w:t xml:space="preserve">13 </w:t>
      </w:r>
      <w:r>
        <w:t xml:space="preserve">Now when Paul and those with him set sail from Paphos, they came to Perga</w:t>
      </w:r>
      <w:r>
        <w:rPr>
          <w:rStyle w:val="FootnoteReference"/>
        </w:rPr>
        <w:footnoteReference w:id="16840"/>
      </w:r>
      <w:r>
        <w:t xml:space="preserve"> in Pamphylia: and John, departing from them, returned to Jerusalem.</w:t>
      </w:r>
      <w:r>
        <w:rPr>
          <w:rStyle w:val="FootnoteReference"/>
        </w:rPr>
        <w:footnoteReference w:id="16841"/>
      </w:r>
    </w:p>
    <w:p>
      <w:r>
        <w:rPr>
          <w:b/>
        </w:rPr>
        <w:t xml:space="preserve">14 </w:t>
      </w:r>
      <w:r>
        <w:t xml:space="preserve">But when they departed from Perga, they came to Antioch</w:t>
      </w:r>
      <w:r>
        <w:rPr>
          <w:rStyle w:val="FootnoteReference"/>
        </w:rPr>
        <w:footnoteReference w:id="16842"/>
      </w:r>
      <w:r>
        <w:t xml:space="preserve"> in Pisidia</w:t>
      </w:r>
      <w:r>
        <w:rPr>
          <w:rStyle w:val="FootnoteReference"/>
        </w:rPr>
        <w:footnoteReference w:id="16843"/>
      </w:r>
      <w:r>
        <w:t xml:space="preserve">, and went into the synagogue on the Sabbath, and sat down.</w:t>
      </w:r>
    </w:p>
    <w:p>
      <w:r>
        <w:rPr>
          <w:b/>
        </w:rPr>
        <w:t xml:space="preserve">15 </w:t>
      </w:r>
      <w:r>
        <w:t xml:space="preserve">And after the reading</w:t>
      </w:r>
      <w:r>
        <w:rPr>
          <w:rStyle w:val="FootnoteReference"/>
        </w:rPr>
        <w:footnoteReference w:id="16844"/>
      </w:r>
      <w:r>
        <w:t xml:space="preserve"> of the law and the prophets the rulers of the synagogue sent to them, saying, Men, brothers, if you have any word of exhortation for the people, speak.</w:t>
      </w:r>
    </w:p>
    <w:p>
      <w:r>
        <w:rPr>
          <w:b/>
        </w:rPr>
        <w:t xml:space="preserve">16 </w:t>
      </w:r>
      <w:r>
        <w:t xml:space="preserve">Then Paul stood up, and beckoning</w:t>
      </w:r>
      <w:r>
        <w:rPr>
          <w:rStyle w:val="FootnoteReference"/>
        </w:rPr>
        <w:footnoteReference w:id="16845"/>
      </w:r>
      <w:r>
        <w:t xml:space="preserve"> with his hand said, Men of Israel, and you who fear God, listen.</w:t>
      </w:r>
    </w:p>
    <w:p>
      <w:r>
        <w:rPr>
          <w:b/>
        </w:rPr>
        <w:t xml:space="preserve">17 </w:t>
      </w:r>
      <w:r>
        <w:t xml:space="preserve">The God of this people of Israel chose our fathers, and exalted</w:t>
      </w:r>
      <w:r>
        <w:rPr>
          <w:rStyle w:val="FootnoteReference"/>
        </w:rPr>
        <w:footnoteReference w:id="16846"/>
      </w:r>
      <w:r>
        <w:t xml:space="preserve"> the people when they dwelt as strangers in the land of Egypt, and with a high arm he brought them out of it.</w:t>
      </w:r>
    </w:p>
    <w:p>
      <w:r>
        <w:rPr>
          <w:b/>
        </w:rPr>
        <w:t xml:space="preserve">18 </w:t>
      </w:r>
      <w:r>
        <w:t xml:space="preserve">And about the time of forty years he bore with their ways in the wilderness.</w:t>
      </w:r>
    </w:p>
    <w:p>
      <w:r>
        <w:rPr>
          <w:b/>
        </w:rPr>
        <w:t xml:space="preserve">19 </w:t>
      </w:r>
      <w:r>
        <w:t xml:space="preserve">And when he had destroyed seven nations in the land of Canaan, he divided</w:t>
      </w:r>
      <w:r>
        <w:rPr>
          <w:rStyle w:val="FootnoteReference"/>
        </w:rPr>
        <w:footnoteReference w:id="16847"/>
      </w:r>
      <w:r>
        <w:t xml:space="preserve"> their land to them by lot.</w:t>
      </w:r>
    </w:p>
    <w:p>
      <w:r>
        <w:rPr>
          <w:b/>
        </w:rPr>
        <w:t xml:space="preserve">20 </w:t>
      </w:r>
      <w:r>
        <w:t xml:space="preserve">And after that he gave</w:t>
      </w:r>
      <w:r>
        <w:rPr>
          <w:rStyle w:val="FootnoteReference"/>
        </w:rPr>
        <w:footnoteReference w:id="16848"/>
      </w:r>
      <w:r>
        <w:t xml:space="preserve"> to them judges about the space of four hundred and fifty years, until Samuel the prophet.</w:t>
      </w:r>
    </w:p>
    <w:p>
      <w:r>
        <w:rPr>
          <w:b/>
        </w:rPr>
        <w:t xml:space="preserve">21 </w:t>
      </w:r>
      <w:r>
        <w:t xml:space="preserve">And afterward they desired a king: and God gave to them Saul</w:t>
      </w:r>
      <w:r>
        <w:rPr>
          <w:rStyle w:val="FootnoteReference"/>
        </w:rPr>
        <w:footnoteReference w:id="16849"/>
      </w:r>
      <w:r>
        <w:t xml:space="preserve"> the son of Kish</w:t>
      </w:r>
      <w:r>
        <w:rPr>
          <w:rStyle w:val="FootnoteReference"/>
        </w:rPr>
        <w:footnoteReference w:id="16850"/>
      </w:r>
      <w:r>
        <w:t xml:space="preserve">, a man of the tribe of Benjamin</w:t>
      </w:r>
      <w:r>
        <w:rPr>
          <w:rStyle w:val="FootnoteReference"/>
        </w:rPr>
        <w:footnoteReference w:id="16851"/>
      </w:r>
      <w:r>
        <w:t xml:space="preserve">, by the space of forty years.</w:t>
      </w:r>
    </w:p>
    <w:p>
      <w:r>
        <w:rPr>
          <w:b/>
        </w:rPr>
        <w:t xml:space="preserve">22 </w:t>
      </w:r>
      <w:r>
        <w:t xml:space="preserve">And when he had removed him, he raised</w:t>
      </w:r>
      <w:r>
        <w:rPr>
          <w:rStyle w:val="FootnoteReference"/>
        </w:rPr>
        <w:footnoteReference w:id="16852"/>
      </w:r>
      <w:r>
        <w:t xml:space="preserve"> up to them David to be their king; to whom also he gave their testimony, and said, I have found David the son of Jesse, a man after my own heart, who shall fulfill all my will.</w:t>
      </w:r>
    </w:p>
    <w:p>
      <w:r>
        <w:rPr>
          <w:b/>
        </w:rPr>
        <w:t xml:space="preserve">23 </w:t>
      </w:r>
      <w:r>
        <w:t xml:space="preserve">Of this man's seed has God according to his promise raised</w:t>
      </w:r>
      <w:r>
        <w:rPr>
          <w:rStyle w:val="FootnoteReference"/>
        </w:rPr>
        <w:footnoteReference w:id="16853"/>
      </w:r>
      <w:r>
        <w:t xml:space="preserve"> to Israel a Savior, Jesus:</w:t>
      </w:r>
    </w:p>
    <w:p>
      <w:r>
        <w:rPr>
          <w:b/>
        </w:rPr>
        <w:t xml:space="preserve">24 </w:t>
      </w:r>
      <w:r>
        <w:t xml:space="preserve">Before his coming, John had first preached the baptism of repentance to all the people of Israel.</w:t>
      </w:r>
    </w:p>
    <w:p>
      <w:r>
        <w:rPr>
          <w:b/>
        </w:rPr>
        <w:t xml:space="preserve">25 </w:t>
      </w:r>
      <w:r>
        <w:t xml:space="preserve">And as John fulfilled</w:t>
      </w:r>
      <w:r>
        <w:rPr>
          <w:rStyle w:val="FootnoteReference"/>
        </w:rPr>
        <w:footnoteReference w:id="16854"/>
      </w:r>
      <w:r>
        <w:t xml:space="preserve"> his course, he said, Whom do you suppose me to be? I am not he. But, look, one comes after me, whose sandal I am not worthy to loose from his feet.</w:t>
      </w:r>
    </w:p>
    <w:p>
      <w:r>
        <w:rPr>
          <w:b/>
        </w:rPr>
        <w:t xml:space="preserve">26 </w:t>
      </w:r>
      <w:r>
        <w:t xml:space="preserve">Men, brothers, children</w:t>
      </w:r>
      <w:r>
        <w:rPr>
          <w:rStyle w:val="FootnoteReference"/>
        </w:rPr>
        <w:footnoteReference w:id="16855"/>
      </w:r>
      <w:r>
        <w:t xml:space="preserve"> of the family of Abraham, and whoever among you fears God, to you is the word of this salvation sent.</w:t>
      </w:r>
    </w:p>
    <w:p>
      <w:r>
        <w:rPr>
          <w:b/>
        </w:rPr>
        <w:t xml:space="preserve">27 </w:t>
      </w:r>
      <w:r>
        <w:t xml:space="preserve">For those who dwell in Jerusalem, and their rulers, not knowing this one, nor the voices of the prophets who are read every Sabbath, fulfilled them by condemning him.</w:t>
      </w:r>
    </w:p>
    <w:p>
      <w:r>
        <w:rPr>
          <w:b/>
        </w:rPr>
        <w:t xml:space="preserve">28 </w:t>
      </w:r>
      <w:r>
        <w:t xml:space="preserve">And though they found no cause of death in him, yet they asked Pilate that he should be put to death.</w:t>
      </w:r>
    </w:p>
    <w:p>
      <w:r>
        <w:rPr>
          <w:b/>
        </w:rPr>
        <w:t xml:space="preserve">29 </w:t>
      </w:r>
      <w:r>
        <w:t xml:space="preserve">And when they had fulfilled all that was written of him, they took</w:t>
      </w:r>
      <w:r>
        <w:rPr>
          <w:rStyle w:val="FootnoteReference"/>
        </w:rPr>
        <w:footnoteReference w:id="16856"/>
      </w:r>
      <w:r>
        <w:t xml:space="preserve"> him down from the tree, and laid him in a tomb.</w:t>
      </w:r>
    </w:p>
    <w:p>
      <w:r>
        <w:rPr>
          <w:b/>
        </w:rPr>
        <w:t xml:space="preserve">30 </w:t>
      </w:r>
      <w:r>
        <w:t xml:space="preserve">But God raised him from the dead:</w:t>
      </w:r>
    </w:p>
    <w:p>
      <w:r>
        <w:rPr>
          <w:b/>
        </w:rPr>
        <w:t xml:space="preserve">31 </w:t>
      </w:r>
      <w:r>
        <w:t xml:space="preserve">And he was seen many days of those who came up with him from Galilee to Jerusalem, who are his witnesses to the people.</w:t>
      </w:r>
    </w:p>
    <w:p>
      <w:r>
        <w:rPr>
          <w:b/>
        </w:rPr>
        <w:t xml:space="preserve">32 </w:t>
      </w:r>
      <w:r>
        <w:t xml:space="preserve">And we declare to you glad tidings, how that the promise which was made to the fathers,</w:t>
      </w:r>
    </w:p>
    <w:p>
      <w:r>
        <w:rPr>
          <w:b/>
        </w:rPr>
        <w:t xml:space="preserve">33 </w:t>
      </w:r>
      <w:r>
        <w:t xml:space="preserve">God has fulfilled the same to us their children, in that he has raised up Jesus again; as it is also written in the second psalm, You are my Son, this day have I begotten you.</w:t>
      </w:r>
    </w:p>
    <w:p>
      <w:r>
        <w:rPr>
          <w:b/>
        </w:rPr>
        <w:t xml:space="preserve">34 </w:t>
      </w:r>
      <w:r>
        <w:t xml:space="preserve">And as concerning that he raised him up from the dead, now no more to return to corruption, he said likewise, I will give you the sure</w:t>
      </w:r>
      <w:r>
        <w:rPr>
          <w:rStyle w:val="FootnoteReference"/>
        </w:rPr>
        <w:footnoteReference w:id="16857"/>
      </w:r>
      <w:r>
        <w:t xml:space="preserve"> mercies of David.</w:t>
      </w:r>
    </w:p>
    <w:p>
      <w:r>
        <w:rPr>
          <w:b/>
        </w:rPr>
        <w:t xml:space="preserve">35 </w:t>
      </w:r>
      <w:r>
        <w:t xml:space="preserve">Therefore he says also in another psalm, You shall not allow your Holy One to see</w:t>
      </w:r>
      <w:r>
        <w:rPr>
          <w:rStyle w:val="FootnoteReference"/>
        </w:rPr>
        <w:footnoteReference w:id="16858"/>
      </w:r>
      <w:r>
        <w:t xml:space="preserve"> corruption.</w:t>
      </w:r>
    </w:p>
    <w:p>
      <w:r>
        <w:rPr>
          <w:b/>
        </w:rPr>
        <w:t xml:space="preserve">36 </w:t>
      </w:r>
      <w:r>
        <w:t xml:space="preserve">For David, after he had served</w:t>
      </w:r>
      <w:r>
        <w:rPr>
          <w:rStyle w:val="FootnoteReference"/>
        </w:rPr>
        <w:footnoteReference w:id="16859"/>
      </w:r>
      <w:r>
        <w:t xml:space="preserve"> his own generation by the will of God, fell asleep, and was laid to his fathers, and saw corruption:</w:t>
      </w:r>
    </w:p>
    <w:p>
      <w:r>
        <w:rPr>
          <w:b/>
        </w:rPr>
        <w:t xml:space="preserve">37 </w:t>
      </w:r>
      <w:r>
        <w:t xml:space="preserve">But he, whom God raised again, saw no corruption.</w:t>
      </w:r>
    </w:p>
    <w:p>
      <w:r>
        <w:rPr>
          <w:b/>
        </w:rPr>
        <w:t xml:space="preserve">38 </w:t>
      </w:r>
      <w:r>
        <w:t xml:space="preserve">Be it known to you therefore, men and brothers, that through this man is preached to you the forgiveness of sins:</w:t>
      </w:r>
    </w:p>
    <w:p>
      <w:r>
        <w:rPr>
          <w:b/>
        </w:rPr>
        <w:t xml:space="preserve">39 </w:t>
      </w:r>
      <w:r>
        <w:t xml:space="preserve">And by him all that believe are justified from all things, from which</w:t>
      </w:r>
      <w:r>
        <w:rPr>
          <w:rStyle w:val="FootnoteReference"/>
        </w:rPr>
        <w:footnoteReference w:id="16860"/>
      </w:r>
      <w:r>
        <w:t xml:space="preserve"> you could not be justified by the law of Moses.</w:t>
      </w:r>
    </w:p>
    <w:p>
      <w:r>
        <w:rPr>
          <w:b/>
        </w:rPr>
        <w:t xml:space="preserve">40 </w:t>
      </w:r>
      <w:r>
        <w:t xml:space="preserve">Beware</w:t>
      </w:r>
      <w:r>
        <w:rPr>
          <w:rStyle w:val="FootnoteReference"/>
        </w:rPr>
        <w:footnoteReference w:id="16861"/>
      </w:r>
      <w:r>
        <w:t xml:space="preserve"> therefore, lest that come upon you, which is spoken of in the prophets;</w:t>
      </w:r>
    </w:p>
    <w:p>
      <w:r>
        <w:rPr>
          <w:b/>
        </w:rPr>
        <w:t xml:space="preserve">41 </w:t>
      </w:r>
      <w:r>
        <w:t xml:space="preserve">Look, you despisers, and wonder, and perish: for I work a work in your days, a work which you shall by no means believe, though a man declare it to you.</w:t>
      </w:r>
    </w:p>
    <w:p>
      <w:r>
        <w:rPr>
          <w:b/>
        </w:rPr>
        <w:t xml:space="preserve">42 </w:t>
      </w:r>
      <w:r>
        <w:t xml:space="preserve">And when the Jews were gone out of the synagogue, the nations begged that these words might be preached to them the next sabbath</w:t>
      </w:r>
      <w:r>
        <w:rPr>
          <w:rStyle w:val="FootnoteReference"/>
        </w:rPr>
        <w:footnoteReference w:id="16862"/>
      </w:r>
      <w:r>
        <w:t xml:space="preserve">.</w:t>
      </w:r>
    </w:p>
    <w:p>
      <w:r>
        <w:rPr>
          <w:b/>
        </w:rPr>
        <w:t xml:space="preserve">43 </w:t>
      </w:r>
      <w:r>
        <w:t xml:space="preserve">Now when the congregation was broken up, many of the Jews and religious</w:t>
      </w:r>
      <w:r>
        <w:rPr>
          <w:rStyle w:val="FootnoteReference"/>
        </w:rPr>
        <w:footnoteReference w:id="16863"/>
      </w:r>
      <w:r>
        <w:t xml:space="preserve"> proselytes followed Paul and Barnabas: who, speaking to them, persuaded them to continue in the grace of God.</w:t>
      </w:r>
    </w:p>
    <w:p>
      <w:r>
        <w:rPr>
          <w:b/>
        </w:rPr>
        <w:t xml:space="preserve">44 </w:t>
      </w:r>
      <w:r>
        <w:t xml:space="preserve">And the next Sabbath came almost the whole city together to hear the word of God.</w:t>
      </w:r>
    </w:p>
    <w:p>
      <w:r>
        <w:rPr>
          <w:b/>
        </w:rPr>
        <w:t xml:space="preserve">45 </w:t>
      </w:r>
      <w:r>
        <w:t xml:space="preserve">But when the Jews saw the crowds, they were filled with envy, and spoke against those things which were spoken by Paul, contradicting and blaspheming.</w:t>
      </w:r>
    </w:p>
    <w:p>
      <w:r>
        <w:rPr>
          <w:b/>
        </w:rPr>
        <w:t xml:space="preserve">46 </w:t>
      </w:r>
      <w:r>
        <w:t xml:space="preserve">Then Paul and Barnabas grew bold, and said, It was</w:t>
      </w:r>
      <w:r>
        <w:rPr>
          <w:rStyle w:val="FootnoteReference"/>
        </w:rPr>
        <w:footnoteReference w:id="16864"/>
      </w:r>
      <w:r>
        <w:t xml:space="preserve"> necessary that the word of God should first have been spoken to you: but seeing you put it from you, and judge yourselves unworthy of eternal life, look, we turn to the nations.</w:t>
      </w:r>
    </w:p>
    <w:p>
      <w:r>
        <w:rPr>
          <w:b/>
        </w:rPr>
        <w:t xml:space="preserve">47 </w:t>
      </w:r>
      <w:r>
        <w:t xml:space="preserve">For so has the Lord commanded us, saying, I have set you to be a light of the nations, that you should be for salvation to the ends of the earth.</w:t>
      </w:r>
    </w:p>
    <w:p>
      <w:r>
        <w:rPr>
          <w:b/>
        </w:rPr>
        <w:t xml:space="preserve">48 </w:t>
      </w:r>
      <w:r>
        <w:t xml:space="preserve">And when the nations heard this, they were glad, and glorified</w:t>
      </w:r>
      <w:r>
        <w:rPr>
          <w:rStyle w:val="FootnoteReference"/>
        </w:rPr>
        <w:footnoteReference w:id="16865"/>
      </w:r>
      <w:r>
        <w:t xml:space="preserve"> the word of the Lord: and as many as were ordained to eternal life believed.</w:t>
      </w:r>
    </w:p>
    <w:p>
      <w:r>
        <w:rPr>
          <w:b/>
        </w:rPr>
        <w:t xml:space="preserve">49 </w:t>
      </w:r>
      <w:r>
        <w:t xml:space="preserve">And the word of the Lord was published throughout all the region.</w:t>
      </w:r>
    </w:p>
    <w:p>
      <w:r>
        <w:rPr>
          <w:b/>
        </w:rPr>
        <w:t xml:space="preserve">50 </w:t>
      </w:r>
      <w:r>
        <w:t xml:space="preserve">But the Jews</w:t>
      </w:r>
      <w:r>
        <w:rPr>
          <w:rStyle w:val="FootnoteReference"/>
        </w:rPr>
        <w:footnoteReference w:id="16866"/>
      </w:r>
      <w:r>
        <w:t xml:space="preserve"> stirred up the devout and honorable women, and the chief men of the city, and raised persecution against Paul and Barnabas, and expelled them out of their borders.</w:t>
      </w:r>
    </w:p>
    <w:p>
      <w:r>
        <w:rPr>
          <w:b/>
        </w:rPr>
        <w:t xml:space="preserve">51 </w:t>
      </w:r>
      <w:r>
        <w:t xml:space="preserve">But they shook off the dust of their feet against them, and came to Iconium</w:t>
      </w:r>
      <w:r>
        <w:rPr>
          <w:rStyle w:val="FootnoteReference"/>
        </w:rPr>
        <w:footnoteReference w:id="16867"/>
      </w:r>
      <w:r>
        <w:t xml:space="preserve">.</w:t>
      </w:r>
      <w:r>
        <w:rPr>
          <w:rStyle w:val="FootnoteReference"/>
        </w:rPr>
        <w:footnoteReference w:id="16868"/>
      </w:r>
    </w:p>
    <w:p>
      <w:r>
        <w:rPr>
          <w:b/>
        </w:rPr>
        <w:t xml:space="preserve">52 </w:t>
      </w:r>
      <w:r>
        <w:t xml:space="preserve">And the disciples were filled with joy, and with the</w:t>
      </w:r>
      <w:r>
        <w:rPr>
          <w:rStyle w:val="FootnoteReference"/>
        </w:rPr>
        <w:footnoteReference w:id="16869"/>
      </w:r>
      <w:r>
        <w:t xml:space="preserve"> Holy Spirit.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it happened in Iconium, that they went</w:t>
      </w:r>
      <w:r>
        <w:rPr>
          <w:rStyle w:val="FootnoteReference"/>
        </w:rPr>
        <w:footnoteReference w:id="16870"/>
      </w:r>
      <w:r>
        <w:t xml:space="preserve"> together into the synagogue of the Jews, and so spoke that a great multitude both of Jews and Greeks believed.</w:t>
      </w:r>
    </w:p>
    <w:p>
      <w:r>
        <w:rPr>
          <w:b/>
        </w:rPr>
        <w:t xml:space="preserve">2 </w:t>
      </w:r>
      <w:r>
        <w:t xml:space="preserve">But the unbelieving Jews stirred up the nations, and made their minds evil affected against the brothers.</w:t>
      </w:r>
    </w:p>
    <w:p>
      <w:r>
        <w:rPr>
          <w:b/>
        </w:rPr>
        <w:t xml:space="preserve">3 </w:t>
      </w:r>
      <w:r>
        <w:t xml:space="preserve">Long time therefore</w:t>
      </w:r>
      <w:r>
        <w:rPr>
          <w:rStyle w:val="FootnoteReference"/>
        </w:rPr>
        <w:footnoteReference w:id="16871"/>
      </w:r>
      <w:r>
        <w:t xml:space="preserve"> remained they speaking boldly in the Lord, who gave testimony to the word of his grace, and granted signs and wonders to be done by their hands.</w:t>
      </w:r>
    </w:p>
    <w:p>
      <w:r>
        <w:rPr>
          <w:b/>
        </w:rPr>
        <w:t xml:space="preserve">4 </w:t>
      </w:r>
      <w:r>
        <w:t xml:space="preserve">But the multitude</w:t>
      </w:r>
      <w:r>
        <w:rPr>
          <w:rStyle w:val="FootnoteReference"/>
        </w:rPr>
        <w:footnoteReference w:id="16872"/>
      </w:r>
      <w:r>
        <w:t xml:space="preserve"> of the city was divided: and part held with the Jews, and part with the apostles.</w:t>
      </w:r>
    </w:p>
    <w:p>
      <w:r>
        <w:rPr>
          <w:b/>
        </w:rPr>
        <w:t xml:space="preserve">5 </w:t>
      </w:r>
      <w:r>
        <w:t xml:space="preserve">And when there was an assault made both of the nations, and also of the Jews with their rulers, to use them despitefully</w:t>
      </w:r>
      <w:r>
        <w:rPr>
          <w:rStyle w:val="FootnoteReference"/>
        </w:rPr>
        <w:footnoteReference w:id="16873"/>
      </w:r>
      <w:r>
        <w:t xml:space="preserve">, and to stone them,</w:t>
      </w:r>
    </w:p>
    <w:p>
      <w:r>
        <w:rPr>
          <w:b/>
        </w:rPr>
        <w:t xml:space="preserve">6 </w:t>
      </w:r>
      <w:r>
        <w:t xml:space="preserve">They perceived it, and fled</w:t>
      </w:r>
      <w:r>
        <w:rPr>
          <w:rStyle w:val="FootnoteReference"/>
        </w:rPr>
        <w:footnoteReference w:id="16874"/>
      </w:r>
      <w:r>
        <w:t xml:space="preserve"> to Lystra</w:t>
      </w:r>
      <w:r>
        <w:rPr>
          <w:rStyle w:val="FootnoteReference"/>
        </w:rPr>
        <w:footnoteReference w:id="16875"/>
      </w:r>
      <w:r>
        <w:t xml:space="preserve"> and Derbe</w:t>
      </w:r>
      <w:r>
        <w:rPr>
          <w:rStyle w:val="FootnoteReference"/>
        </w:rPr>
        <w:footnoteReference w:id="16876"/>
      </w:r>
      <w:r>
        <w:t xml:space="preserve">, cities of Lycaonia</w:t>
      </w:r>
      <w:r>
        <w:rPr>
          <w:rStyle w:val="FootnoteReference"/>
        </w:rPr>
        <w:footnoteReference w:id="16877"/>
      </w:r>
      <w:r>
        <w:t xml:space="preserve">, and to the surrounding region:</w:t>
      </w:r>
    </w:p>
    <w:p>
      <w:r>
        <w:rPr>
          <w:b/>
        </w:rPr>
        <w:t xml:space="preserve">7 </w:t>
      </w:r>
      <w:r>
        <w:t xml:space="preserve">And there they preached the good news.</w:t>
      </w:r>
    </w:p>
    <w:p>
      <w:r>
        <w:rPr>
          <w:b/>
        </w:rPr>
        <w:t xml:space="preserve">8 </w:t>
      </w:r>
      <w:r>
        <w:t xml:space="preserve">And a certain man at Lystra sat powerless in his feet, being lame from his mother's womb, who had never walked:</w:t>
      </w:r>
    </w:p>
    <w:p>
      <w:r>
        <w:rPr>
          <w:b/>
        </w:rPr>
        <w:t xml:space="preserve">9 </w:t>
      </w:r>
      <w:r>
        <w:t xml:space="preserve">This man heard Paul speaking: who, looking intently at him, and perceiving that he had</w:t>
      </w:r>
      <w:r>
        <w:rPr>
          <w:rStyle w:val="FootnoteReference"/>
        </w:rPr>
        <w:footnoteReference w:id="16878"/>
      </w:r>
      <w:r>
        <w:t xml:space="preserve"> faith to be made well,</w:t>
      </w:r>
    </w:p>
    <w:p>
      <w:r>
        <w:rPr>
          <w:b/>
        </w:rPr>
        <w:t xml:space="preserve">10 </w:t>
      </w:r>
      <w:r>
        <w:t xml:space="preserve">Said with a loud voice, Stand</w:t>
      </w:r>
      <w:r>
        <w:rPr>
          <w:rStyle w:val="FootnoteReference"/>
        </w:rPr>
        <w:footnoteReference w:id="16879"/>
      </w:r>
      <w:r>
        <w:t xml:space="preserve"> upright on your feet. And he leaped and walked.</w:t>
      </w:r>
    </w:p>
    <w:p>
      <w:r>
        <w:rPr>
          <w:b/>
        </w:rPr>
        <w:t xml:space="preserve">11 </w:t>
      </w:r>
      <w:r>
        <w:t xml:space="preserve">And when the people saw what Paul had done, they lifted up their voices, saying in the speech of Lycaonia, The gods</w:t>
      </w:r>
      <w:r>
        <w:rPr>
          <w:rStyle w:val="FootnoteReference"/>
        </w:rPr>
        <w:footnoteReference w:id="16880"/>
      </w:r>
      <w:r>
        <w:t xml:space="preserve"> have come down to us in the likeness of men.</w:t>
      </w:r>
    </w:p>
    <w:p>
      <w:r>
        <w:rPr>
          <w:b/>
        </w:rPr>
        <w:t xml:space="preserve">12 </w:t>
      </w:r>
      <w:r>
        <w:t xml:space="preserve">And they called Barnabas, Zeus</w:t>
      </w:r>
      <w:r>
        <w:rPr>
          <w:rStyle w:val="FootnoteReference"/>
        </w:rPr>
        <w:footnoteReference w:id="16881"/>
      </w:r>
      <w:r>
        <w:t xml:space="preserve">; and Paul, Hermes</w:t>
      </w:r>
      <w:r>
        <w:rPr>
          <w:rStyle w:val="FootnoteReference"/>
        </w:rPr>
        <w:footnoteReference w:id="16882"/>
      </w:r>
      <w:r>
        <w:t xml:space="preserve">, because he was the chief speaker.</w:t>
      </w:r>
    </w:p>
    <w:p>
      <w:r>
        <w:rPr>
          <w:b/>
        </w:rPr>
        <w:t xml:space="preserve">13 </w:t>
      </w:r>
      <w:r>
        <w:t xml:space="preserve">Then the priest of Zeus, whose temple was before their city, brought oxen and garlands to the gates, and wished to sacrifice with the crowds.</w:t>
      </w:r>
    </w:p>
    <w:p>
      <w:r>
        <w:rPr>
          <w:b/>
        </w:rPr>
        <w:t xml:space="preserve">14 </w:t>
      </w:r>
      <w:r>
        <w:t xml:space="preserve">Which when the apostles</w:t>
      </w:r>
      <w:r>
        <w:rPr>
          <w:rStyle w:val="FootnoteReference"/>
        </w:rPr>
        <w:footnoteReference w:id="16883"/>
      </w:r>
      <w:r>
        <w:t xml:space="preserve">, Barnabas and Paul, heard, they tore their clothes, and rushed into the crowd, crying out,</w:t>
      </w:r>
    </w:p>
    <w:p>
      <w:r>
        <w:rPr>
          <w:b/>
        </w:rPr>
        <w:t xml:space="preserve">15 </w:t>
      </w:r>
      <w:r>
        <w:t xml:space="preserve">And saying, Men, why are you doing these things? We also</w:t>
      </w:r>
      <w:r>
        <w:rPr>
          <w:rStyle w:val="FootnoteReference"/>
        </w:rPr>
        <w:footnoteReference w:id="16884"/>
      </w:r>
      <w:r>
        <w:t xml:space="preserve"> are humans of like nature with you, preaching good news to you, that you should turn from these vain things to the living God, who made heaven, and earth, and the sea, and all things that are in them:</w:t>
      </w:r>
    </w:p>
    <w:p>
      <w:r>
        <w:rPr>
          <w:b/>
        </w:rPr>
        <w:t xml:space="preserve">16 </w:t>
      </w:r>
      <w:r>
        <w:t xml:space="preserve">Who in past generations allowed all nations to walk in their own ways.</w:t>
      </w:r>
    </w:p>
    <w:p>
      <w:r>
        <w:rPr>
          <w:b/>
        </w:rPr>
        <w:t xml:space="preserve">17 </w:t>
      </w:r>
      <w:r>
        <w:t xml:space="preserve">Nevertheless he did not leave himself without witness, doing good, giving us rain from heaven and fruitful seasons, filling</w:t>
      </w:r>
      <w:r>
        <w:rPr>
          <w:rStyle w:val="FootnoteReference"/>
        </w:rPr>
        <w:footnoteReference w:id="16885"/>
      </w:r>
      <w:r>
        <w:t xml:space="preserve"> our hearts with food and gladness.</w:t>
      </w:r>
    </w:p>
    <w:p>
      <w:r>
        <w:rPr>
          <w:b/>
        </w:rPr>
        <w:t xml:space="preserve">18 </w:t>
      </w:r>
      <w:r>
        <w:t xml:space="preserve">And with these sayings they barely restrained the crowds from sacrificing to them.</w:t>
      </w:r>
    </w:p>
    <w:p>
      <w:r>
        <w:rPr>
          <w:b/>
        </w:rPr>
        <w:t xml:space="preserve">19 </w:t>
      </w:r>
      <w:r>
        <w:t xml:space="preserve">And certain Jews came there from Antioch and Iconium, who persuaded</w:t>
      </w:r>
      <w:r>
        <w:rPr>
          <w:rStyle w:val="FootnoteReference"/>
        </w:rPr>
        <w:footnoteReference w:id="16886"/>
      </w:r>
      <w:r>
        <w:t xml:space="preserve"> the crowds, and having stoned Paul, dragged him out of the city, supposing him to be dead.</w:t>
      </w:r>
    </w:p>
    <w:p>
      <w:r>
        <w:rPr>
          <w:b/>
        </w:rPr>
        <w:t xml:space="preserve">20 </w:t>
      </w:r>
      <w:r>
        <w:t xml:space="preserve">Nevertheless, as the disciples stood around him, he rose up, and came into the city: and the next day he departed with Barnabas to Derbe</w:t>
      </w:r>
      <w:r>
        <w:rPr>
          <w:rStyle w:val="FootnoteReference"/>
        </w:rPr>
        <w:footnoteReference w:id="16887"/>
      </w:r>
      <w:r>
        <w:t xml:space="preserve">.</w:t>
      </w:r>
    </w:p>
    <w:p>
      <w:r>
        <w:rPr>
          <w:b/>
        </w:rPr>
        <w:t xml:space="preserve">21 </w:t>
      </w:r>
      <w:r>
        <w:t xml:space="preserve">And when they had preached the good news to that city, and had taught many</w:t>
      </w:r>
      <w:r>
        <w:rPr>
          <w:rStyle w:val="FootnoteReference"/>
        </w:rPr>
        <w:footnoteReference w:id="16888"/>
      </w:r>
      <w:r>
        <w:t xml:space="preserve">, they returned again to Lystra, and to Iconium, and Antioch,</w:t>
      </w:r>
    </w:p>
    <w:p>
      <w:r>
        <w:rPr>
          <w:b/>
        </w:rPr>
        <w:t xml:space="preserve">22 </w:t>
      </w:r>
      <w:r>
        <w:t xml:space="preserve">Strengthening the souls of the disciples, and exhorting</w:t>
      </w:r>
      <w:r>
        <w:rPr>
          <w:rStyle w:val="FootnoteReference"/>
        </w:rPr>
        <w:footnoteReference w:id="16889"/>
      </w:r>
      <w:r>
        <w:t xml:space="preserve"> them to continue in the faith, and that through many tribulations we must enter into the kingdom of God.</w:t>
      </w:r>
    </w:p>
    <w:p>
      <w:r>
        <w:rPr>
          <w:b/>
        </w:rPr>
        <w:t xml:space="preserve">23 </w:t>
      </w:r>
      <w:r>
        <w:t xml:space="preserve">And when they had</w:t>
      </w:r>
      <w:r>
        <w:rPr>
          <w:rStyle w:val="FootnoteReference"/>
        </w:rPr>
        <w:footnoteReference w:id="16890"/>
      </w:r>
      <w:r>
        <w:t xml:space="preserve"> ordained them elders in every assembly, and had prayed with fasting, they commended them to the Lord, on whom they believed.</w:t>
      </w:r>
    </w:p>
    <w:p>
      <w:r>
        <w:rPr>
          <w:b/>
        </w:rPr>
        <w:t xml:space="preserve">24 </w:t>
      </w:r>
      <w:r>
        <w:t xml:space="preserve">And after they had passed throughout Pisidia</w:t>
      </w:r>
      <w:r>
        <w:rPr>
          <w:rStyle w:val="FootnoteReference"/>
        </w:rPr>
        <w:footnoteReference w:id="16891"/>
      </w:r>
      <w:r>
        <w:t xml:space="preserve">, they came to Pamphylia.</w:t>
      </w:r>
    </w:p>
    <w:p>
      <w:r>
        <w:rPr>
          <w:b/>
        </w:rPr>
        <w:t xml:space="preserve">25 </w:t>
      </w:r>
      <w:r>
        <w:t xml:space="preserve">And when they had spoken the word in Perga, they went down to Attalia</w:t>
      </w:r>
      <w:r>
        <w:rPr>
          <w:rStyle w:val="FootnoteReference"/>
        </w:rPr>
        <w:footnoteReference w:id="16892"/>
      </w:r>
      <w:r>
        <w:t xml:space="preserve">:</w:t>
      </w:r>
      <w:r>
        <w:rPr>
          <w:rStyle w:val="FootnoteReference"/>
        </w:rPr>
        <w:footnoteReference w:id="16893"/>
      </w:r>
    </w:p>
    <w:p>
      <w:r>
        <w:rPr>
          <w:b/>
        </w:rPr>
        <w:t xml:space="preserve">26 </w:t>
      </w:r>
      <w:r>
        <w:t xml:space="preserve">And from there sailed to Antioch</w:t>
      </w:r>
      <w:r>
        <w:rPr>
          <w:rStyle w:val="FootnoteReference"/>
        </w:rPr>
        <w:footnoteReference w:id="16894"/>
      </w:r>
      <w:r>
        <w:t xml:space="preserve">, from where they had been recommended to the grace of God for the work which they fulfilled.</w:t>
      </w:r>
    </w:p>
    <w:p>
      <w:r>
        <w:rPr>
          <w:b/>
        </w:rPr>
        <w:t xml:space="preserve">27 </w:t>
      </w:r>
      <w:r>
        <w:t xml:space="preserve">And when they had come, and had</w:t>
      </w:r>
      <w:r>
        <w:rPr>
          <w:rStyle w:val="FootnoteReference"/>
        </w:rPr>
        <w:footnoteReference w:id="16895"/>
      </w:r>
      <w:r>
        <w:t xml:space="preserve"> gathered the assembly together, they rehearsed all that God had done with them, and how he had opened the door of faith to the nations.</w:t>
      </w:r>
    </w:p>
    <w:p>
      <w:r>
        <w:rPr>
          <w:b/>
        </w:rPr>
        <w:t xml:space="preserve">28 </w:t>
      </w:r>
      <w:r>
        <w:t xml:space="preserve">And there they remained no little time with the disciples.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certain</w:t>
      </w:r>
      <w:r>
        <w:rPr>
          <w:rStyle w:val="FootnoteReference"/>
        </w:rPr>
        <w:footnoteReference w:id="16896"/>
      </w:r>
      <w:r>
        <w:t xml:space="preserve"> men who came down from Judea taught the brothers, and said, Unless you are circumcised according to the custom of Moses, you cannot be saved.</w:t>
      </w:r>
    </w:p>
    <w:p>
      <w:r>
        <w:rPr>
          <w:b/>
        </w:rPr>
        <w:t xml:space="preserve">2 </w:t>
      </w:r>
      <w:r>
        <w:t xml:space="preserve">When therefore Paul</w:t>
      </w:r>
      <w:r>
        <w:rPr>
          <w:rStyle w:val="FootnoteReference"/>
        </w:rPr>
        <w:footnoteReference w:id="16897"/>
      </w:r>
      <w:r>
        <w:t xml:space="preserve"> and Barnabas had no small dissension and debate with them, they appointed Paul and Barnabas, and certain others of them, to go up to Jerusalem to the apostles and elders about this question.</w:t>
      </w:r>
    </w:p>
    <w:p>
      <w:r>
        <w:rPr>
          <w:b/>
        </w:rPr>
        <w:t xml:space="preserve">3 </w:t>
      </w:r>
      <w:r>
        <w:t xml:space="preserve">And being brought</w:t>
      </w:r>
      <w:r>
        <w:rPr>
          <w:rStyle w:val="FootnoteReference"/>
        </w:rPr>
        <w:footnoteReference w:id="16898"/>
      </w:r>
      <w:r>
        <w:t xml:space="preserve"> on their way by the assembly, they passed through Phenice</w:t>
      </w:r>
      <w:r>
        <w:rPr>
          <w:rStyle w:val="FootnoteReference"/>
        </w:rPr>
        <w:footnoteReference w:id="16899"/>
      </w:r>
      <w:r>
        <w:t xml:space="preserve"> and Samaria, declaring the conversion of the nations: and they caused great joy to all the brothers.</w:t>
      </w:r>
    </w:p>
    <w:p>
      <w:r>
        <w:rPr>
          <w:b/>
        </w:rPr>
        <w:t xml:space="preserve">4 </w:t>
      </w:r>
      <w:r>
        <w:t xml:space="preserve">And when they had come to Jerusalem, they were received</w:t>
      </w:r>
      <w:r>
        <w:rPr>
          <w:rStyle w:val="FootnoteReference"/>
        </w:rPr>
        <w:footnoteReference w:id="16900"/>
      </w:r>
      <w:r>
        <w:t xml:space="preserve"> of the assembly, and of the apostles and elders, and they declared all things that God had done with them.</w:t>
      </w:r>
    </w:p>
    <w:p>
      <w:r>
        <w:rPr>
          <w:b/>
        </w:rPr>
        <w:t xml:space="preserve">5 </w:t>
      </w:r>
      <w:r>
        <w:t xml:space="preserve">But certain</w:t>
      </w:r>
      <w:r>
        <w:rPr>
          <w:rStyle w:val="FootnoteReference"/>
        </w:rPr>
        <w:footnoteReference w:id="16901"/>
      </w:r>
      <w:r>
        <w:t xml:space="preserve"> of the sect of the Pharisees who believed rose up, saying that it was necessary to circumcise them, and to command them to keep the law of Moses.</w:t>
      </w:r>
    </w:p>
    <w:p>
      <w:r>
        <w:rPr>
          <w:b/>
        </w:rPr>
        <w:t xml:space="preserve">6 </w:t>
      </w:r>
      <w:r>
        <w:t xml:space="preserve">And the apostles and elders came together to consider this matter.</w:t>
      </w:r>
    </w:p>
    <w:p>
      <w:r>
        <w:rPr>
          <w:b/>
        </w:rPr>
        <w:t xml:space="preserve">7 </w:t>
      </w:r>
      <w:r>
        <w:t xml:space="preserve">And when there had been much</w:t>
      </w:r>
      <w:r>
        <w:rPr>
          <w:rStyle w:val="FootnoteReference"/>
        </w:rPr>
        <w:footnoteReference w:id="16902"/>
      </w:r>
      <w:r>
        <w:t xml:space="preserve"> disputing, Peter rose up, and said to them, Men and brothers, you know how that a good while ago God made choice among us, that the nations by my mouth should hear the word of the good news, and believe.</w:t>
      </w:r>
    </w:p>
    <w:p>
      <w:r>
        <w:rPr>
          <w:b/>
        </w:rPr>
        <w:t xml:space="preserve">8 </w:t>
      </w:r>
      <w:r>
        <w:t xml:space="preserve">And God, who knows the hearts, bore witness to them, giving</w:t>
      </w:r>
      <w:r>
        <w:rPr>
          <w:rStyle w:val="FootnoteReference"/>
        </w:rPr>
        <w:footnoteReference w:id="16903"/>
      </w:r>
      <w:r>
        <w:t xml:space="preserve"> them the Holy Spirit, even as he did to us;</w:t>
      </w:r>
    </w:p>
    <w:p>
      <w:r>
        <w:rPr>
          <w:b/>
        </w:rPr>
        <w:t xml:space="preserve">9 </w:t>
      </w:r>
      <w:r>
        <w:t xml:space="preserve">And made no distinction between us and them, purifying</w:t>
      </w:r>
      <w:r>
        <w:rPr>
          <w:rStyle w:val="FootnoteReference"/>
        </w:rPr>
        <w:footnoteReference w:id="16904"/>
      </w:r>
      <w:r>
        <w:t xml:space="preserve"> their hearts by faith.</w:t>
      </w:r>
    </w:p>
    <w:p>
      <w:r>
        <w:rPr>
          <w:b/>
        </w:rPr>
        <w:t xml:space="preserve">10 </w:t>
      </w:r>
      <w:r>
        <w:t xml:space="preserve">Now therefore why do you test God, by putting a yoke upon the neck of the disciples, which neither our fathers nor we were able to bear?</w:t>
      </w:r>
    </w:p>
    <w:p>
      <w:r>
        <w:rPr>
          <w:b/>
        </w:rPr>
        <w:t xml:space="preserve">11 </w:t>
      </w:r>
      <w:r>
        <w:t xml:space="preserve">But we believe that through the grace of the Lord Jesus Christ we shall be saved, in the same manner as they.</w:t>
      </w:r>
    </w:p>
    <w:p>
      <w:r>
        <w:rPr>
          <w:b/>
        </w:rPr>
        <w:t xml:space="preserve">12 </w:t>
      </w:r>
      <w:r>
        <w:t xml:space="preserve">Then all the multitude kept silence, and gave audience to Barnabas and Paul, declaring</w:t>
      </w:r>
      <w:r>
        <w:rPr>
          <w:rStyle w:val="FootnoteReference"/>
        </w:rPr>
        <w:footnoteReference w:id="16905"/>
      </w:r>
      <w:r>
        <w:t xml:space="preserve"> what miracles and wonders God had worked among the nations by them.</w:t>
      </w:r>
    </w:p>
    <w:p>
      <w:r>
        <w:rPr>
          <w:b/>
        </w:rPr>
        <w:t xml:space="preserve">13 </w:t>
      </w:r>
      <w:r>
        <w:t xml:space="preserve">And after they were silent, James</w:t>
      </w:r>
      <w:r>
        <w:rPr>
          <w:rStyle w:val="FootnoteReference"/>
        </w:rPr>
        <w:footnoteReference w:id="16906"/>
      </w:r>
      <w:r>
        <w:t xml:space="preserve"> answered, saying, Men and brothers, Listen to me:</w:t>
      </w:r>
    </w:p>
    <w:p>
      <w:r>
        <w:rPr>
          <w:b/>
        </w:rPr>
        <w:t xml:space="preserve">14 </w:t>
      </w:r>
      <w:r>
        <w:t xml:space="preserve">Simeon</w:t>
      </w:r>
      <w:r>
        <w:rPr>
          <w:rStyle w:val="FootnoteReference"/>
        </w:rPr>
        <w:footnoteReference w:id="16907"/>
      </w:r>
      <w:r>
        <w:t xml:space="preserve"> has declared how God at the first did visit the nations, to take out of them a people for his name.</w:t>
      </w:r>
    </w:p>
    <w:p>
      <w:r>
        <w:rPr>
          <w:b/>
        </w:rPr>
        <w:t xml:space="preserve">15 </w:t>
      </w:r>
      <w:r>
        <w:t xml:space="preserve">And with this agree the words of the prophets; as it is written,</w:t>
      </w:r>
    </w:p>
    <w:p>
      <w:r>
        <w:rPr>
          <w:b/>
        </w:rPr>
        <w:t xml:space="preserve">16 </w:t>
      </w:r>
      <w:r>
        <w:t xml:space="preserve">After this I will return, and will build again the tent of David, which is fallen down; and I will build again its ruins, and I will set it upright:</w:t>
      </w:r>
    </w:p>
    <w:p>
      <w:r>
        <w:rPr>
          <w:b/>
        </w:rPr>
        <w:t xml:space="preserve">17 </w:t>
      </w:r>
      <w:r>
        <w:t xml:space="preserve">That the residue</w:t>
      </w:r>
      <w:r>
        <w:rPr>
          <w:rStyle w:val="FootnoteReference"/>
        </w:rPr>
        <w:footnoteReference w:id="16908"/>
      </w:r>
      <w:r>
        <w:t xml:space="preserve"> of men might seek after the Lord, and all the nations, upon whom my name is called, says the Lord, who does all these things.</w:t>
      </w:r>
    </w:p>
    <w:p>
      <w:r>
        <w:rPr>
          <w:b/>
        </w:rPr>
        <w:t xml:space="preserve">18 </w:t>
      </w:r>
      <w:r>
        <w:t xml:space="preserve">Known to God from ancient times are all his works.</w:t>
      </w:r>
    </w:p>
    <w:p>
      <w:r>
        <w:rPr>
          <w:b/>
        </w:rPr>
        <w:t xml:space="preserve">19 </w:t>
      </w:r>
      <w:r>
        <w:t xml:space="preserve">Therefore my sentence is, that we trouble not them, which from among the nations are turned</w:t>
      </w:r>
      <w:r>
        <w:rPr>
          <w:rStyle w:val="FootnoteReference"/>
        </w:rPr>
        <w:footnoteReference w:id="16909"/>
      </w:r>
      <w:r>
        <w:t xml:space="preserve"> to God:</w:t>
      </w:r>
    </w:p>
    <w:p>
      <w:r>
        <w:rPr>
          <w:b/>
        </w:rPr>
        <w:t xml:space="preserve">20 </w:t>
      </w:r>
      <w:r>
        <w:t xml:space="preserve">But that we write to them, that they abstain from pollutions</w:t>
      </w:r>
      <w:r>
        <w:rPr>
          <w:rStyle w:val="FootnoteReference"/>
        </w:rPr>
        <w:footnoteReference w:id="16910"/>
      </w:r>
      <w:r>
        <w:t xml:space="preserve"> of idols, and from sexual immorality, and from things strangled, and from blood.</w:t>
      </w:r>
    </w:p>
    <w:p>
      <w:r>
        <w:rPr>
          <w:b/>
        </w:rPr>
        <w:t xml:space="preserve">21 </w:t>
      </w:r>
      <w:r>
        <w:t xml:space="preserve">For Moses of old time has in every city those who preach him, being read in the synagogues every Sabbath</w:t>
      </w:r>
      <w:r>
        <w:rPr>
          <w:rStyle w:val="FootnoteReference"/>
        </w:rPr>
        <w:footnoteReference w:id="16911"/>
      </w:r>
      <w:r>
        <w:t xml:space="preserve">.</w:t>
      </w:r>
    </w:p>
    <w:p>
      <w:r>
        <w:rPr>
          <w:b/>
        </w:rPr>
        <w:t xml:space="preserve">22 </w:t>
      </w:r>
      <w:r>
        <w:t xml:space="preserve">Then pleased</w:t>
      </w:r>
      <w:r>
        <w:rPr>
          <w:rStyle w:val="FootnoteReference"/>
        </w:rPr>
        <w:footnoteReference w:id="16912"/>
      </w:r>
      <w:r>
        <w:t xml:space="preserve"> it the apostles and elders with the whole assembly, to send chosen men of their own company to Antioch with Paul and Barnabas; namely, Judas surnamed Barsabas and Silas</w:t>
      </w:r>
      <w:r>
        <w:rPr>
          <w:rStyle w:val="FootnoteReference"/>
        </w:rPr>
        <w:footnoteReference w:id="16913"/>
      </w:r>
      <w:r>
        <w:t xml:space="preserve">, chief men among the brothers:</w:t>
      </w:r>
    </w:p>
    <w:p>
      <w:r>
        <w:rPr>
          <w:b/>
        </w:rPr>
        <w:t xml:space="preserve">23 </w:t>
      </w:r>
      <w:r>
        <w:t xml:space="preserve">And they wrote letters by them after this manner; The apostles</w:t>
      </w:r>
      <w:r>
        <w:rPr>
          <w:rStyle w:val="FootnoteReference"/>
        </w:rPr>
        <w:footnoteReference w:id="16914"/>
      </w:r>
      <w:r>
        <w:t xml:space="preserve"> and elders and brothers send greeting to the brothers who are of the nations in Antioch and Syria and Cilicia.</w:t>
      </w:r>
    </w:p>
    <w:p>
      <w:r>
        <w:rPr>
          <w:b/>
        </w:rPr>
        <w:t xml:space="preserve">24 </w:t>
      </w:r>
      <w:r>
        <w:t xml:space="preserve">Since we have heard that certain</w:t>
      </w:r>
      <w:r>
        <w:rPr>
          <w:rStyle w:val="FootnoteReference"/>
        </w:rPr>
        <w:footnoteReference w:id="16915"/>
      </w:r>
      <w:r>
        <w:t xml:space="preserve"> ones who went out from us have troubled you with words, unsettling your souls, saying, You must be circumcised, and keep the law: to whom we gave no such commandment:</w:t>
      </w:r>
    </w:p>
    <w:p>
      <w:r>
        <w:rPr>
          <w:b/>
        </w:rPr>
        <w:t xml:space="preserve">25 </w:t>
      </w:r>
      <w:r>
        <w:t xml:space="preserve">It seemed</w:t>
      </w:r>
      <w:r>
        <w:rPr>
          <w:rStyle w:val="FootnoteReference"/>
        </w:rPr>
        <w:footnoteReference w:id="16916"/>
      </w:r>
      <w:r>
        <w:t xml:space="preserve"> good to us, being assembled with one accord, to send chosen men to you with our beloved Barnabas and Paul,</w:t>
      </w:r>
    </w:p>
    <w:p>
      <w:r>
        <w:rPr>
          <w:b/>
        </w:rPr>
        <w:t xml:space="preserve">26 </w:t>
      </w:r>
      <w:r>
        <w:t xml:space="preserve">Men who have risked their lives for the name of our Lord Jesus Christ.</w:t>
      </w:r>
    </w:p>
    <w:p>
      <w:r>
        <w:rPr>
          <w:b/>
        </w:rPr>
        <w:t xml:space="preserve">27 </w:t>
      </w:r>
      <w:r>
        <w:t xml:space="preserve">We have sent therefore Judas</w:t>
      </w:r>
      <w:r>
        <w:rPr>
          <w:rStyle w:val="FootnoteReference"/>
        </w:rPr>
        <w:footnoteReference w:id="16917"/>
      </w:r>
      <w:r>
        <w:t xml:space="preserve"> and Silas, who shall also report the same things by word of mouth.</w:t>
      </w:r>
    </w:p>
    <w:p>
      <w:r>
        <w:rPr>
          <w:b/>
        </w:rPr>
        <w:t xml:space="preserve">28 </w:t>
      </w:r>
      <w:r>
        <w:t xml:space="preserve">For it seemed good to the Holy Spirit, and to us, to lay upon you no greater</w:t>
      </w:r>
      <w:r>
        <w:rPr>
          <w:rStyle w:val="FootnoteReference"/>
        </w:rPr>
        <w:footnoteReference w:id="16918"/>
      </w:r>
      <w:r>
        <w:t xml:space="preserve"> burden than these necessary things;</w:t>
      </w:r>
    </w:p>
    <w:p>
      <w:r>
        <w:rPr>
          <w:b/>
        </w:rPr>
        <w:t xml:space="preserve">29 </w:t>
      </w:r>
      <w:r>
        <w:t xml:space="preserve">That you abstain from foods offered to idols, and from blood, and from things strangled, and from sexual immorality: from which if you keep yourselves, you shall do well. Fare</w:t>
      </w:r>
      <w:r>
        <w:rPr>
          <w:rStyle w:val="FootnoteReference"/>
        </w:rPr>
        <w:footnoteReference w:id="16919"/>
      </w:r>
      <w:r>
        <w:t xml:space="preserve"> you well.</w:t>
      </w:r>
    </w:p>
    <w:p>
      <w:r>
        <w:rPr>
          <w:b/>
        </w:rPr>
        <w:t xml:space="preserve">30 </w:t>
      </w:r>
      <w:r>
        <w:t xml:space="preserve">So when they were dismissed, they came to Antioch: and when they had gathered the multitude together, they delivered</w:t>
      </w:r>
      <w:r>
        <w:rPr>
          <w:rStyle w:val="FootnoteReference"/>
        </w:rPr>
        <w:footnoteReference w:id="16920"/>
      </w:r>
      <w:r>
        <w:t xml:space="preserve"> the letter:</w:t>
      </w:r>
    </w:p>
    <w:p>
      <w:r>
        <w:rPr>
          <w:b/>
        </w:rPr>
        <w:t xml:space="preserve">31 </w:t>
      </w:r>
      <w:r>
        <w:t xml:space="preserve">Which when they had read, they rejoiced</w:t>
      </w:r>
      <w:r>
        <w:rPr>
          <w:rStyle w:val="FootnoteReference"/>
        </w:rPr>
        <w:footnoteReference w:id="16921"/>
      </w:r>
      <w:r>
        <w:t xml:space="preserve"> for the encouragement.</w:t>
      </w:r>
    </w:p>
    <w:p>
      <w:r>
        <w:rPr>
          <w:b/>
        </w:rPr>
        <w:t xml:space="preserve">32 </w:t>
      </w:r>
      <w:r>
        <w:t xml:space="preserve">And Judas and Silas, being prophets also themselves, exhorted</w:t>
      </w:r>
      <w:r>
        <w:rPr>
          <w:rStyle w:val="FootnoteReference"/>
        </w:rPr>
        <w:footnoteReference w:id="16922"/>
      </w:r>
      <w:r>
        <w:t xml:space="preserve"> the brothers with many words, and strengthened them.</w:t>
      </w:r>
    </w:p>
    <w:p>
      <w:r>
        <w:rPr>
          <w:b/>
        </w:rPr>
        <w:t xml:space="preserve">33 </w:t>
      </w:r>
      <w:r>
        <w:t xml:space="preserve">And after they had spent some time there, they were</w:t>
      </w:r>
      <w:r>
        <w:rPr>
          <w:rStyle w:val="FootnoteReference"/>
        </w:rPr>
        <w:footnoteReference w:id="16923"/>
      </w:r>
      <w:r>
        <w:t xml:space="preserve"> let go in peace from the brothers to the apostles.</w:t>
      </w:r>
    </w:p>
    <w:p>
      <w:r>
        <w:rPr>
          <w:b/>
        </w:rPr>
        <w:t xml:space="preserve">34 </w:t>
      </w:r>
      <w:r>
        <w:t xml:space="preserve">Notwithstanding it pleased</w:t>
      </w:r>
      <w:r>
        <w:rPr>
          <w:rStyle w:val="FootnoteReference"/>
        </w:rPr>
        <w:footnoteReference w:id="16924"/>
      </w:r>
      <w:r>
        <w:t xml:space="preserve"> Silas to abide there still.</w:t>
      </w:r>
    </w:p>
    <w:p>
      <w:r>
        <w:rPr>
          <w:b/>
        </w:rPr>
        <w:t xml:space="preserve">35 </w:t>
      </w:r>
      <w:r>
        <w:t xml:space="preserve">Paul also and Barnabas continued</w:t>
      </w:r>
      <w:r>
        <w:rPr>
          <w:rStyle w:val="FootnoteReference"/>
        </w:rPr>
        <w:footnoteReference w:id="16925"/>
      </w:r>
      <w:r>
        <w:t xml:space="preserve"> in Antioch, teaching and preaching the word of the Lord, with many others also.</w:t>
      </w:r>
    </w:p>
    <w:p>
      <w:r>
        <w:rPr>
          <w:b/>
        </w:rPr>
        <w:t xml:space="preserve">36 </w:t>
      </w:r>
      <w:r>
        <w:t xml:space="preserve">And some days after Paul said to Barnabas, Let us go again and visit our brothers in every</w:t>
      </w:r>
      <w:r>
        <w:rPr>
          <w:rStyle w:val="FootnoteReference"/>
        </w:rPr>
        <w:footnoteReference w:id="16926"/>
      </w:r>
      <w:r>
        <w:t xml:space="preserve"> city where we have preached the word of the Lord, and see how they do.</w:t>
      </w:r>
    </w:p>
    <w:p>
      <w:r>
        <w:rPr>
          <w:b/>
        </w:rPr>
        <w:t xml:space="preserve">37 </w:t>
      </w:r>
      <w:r>
        <w:t xml:space="preserve">And Barnabas determined to take with them John</w:t>
      </w:r>
      <w:r>
        <w:rPr>
          <w:rStyle w:val="FootnoteReference"/>
        </w:rPr>
        <w:footnoteReference w:id="16927"/>
      </w:r>
      <w:r>
        <w:t xml:space="preserve">, who was called Mark.</w:t>
      </w:r>
    </w:p>
    <w:p>
      <w:r>
        <w:rPr>
          <w:b/>
        </w:rPr>
        <w:t xml:space="preserve">38 </w:t>
      </w:r>
      <w:r>
        <w:t xml:space="preserve">But Paul thought it best not to take with them the one who departed from them from Pamphylia, and did not go with them to the work.</w:t>
      </w:r>
    </w:p>
    <w:p>
      <w:r>
        <w:rPr>
          <w:b/>
        </w:rPr>
        <w:t xml:space="preserve">39 </w:t>
      </w:r>
      <w:r>
        <w:t xml:space="preserve">And there was a sharp disagreement, so that they separated from one another: and so Barnabas took Mark, and sailed</w:t>
      </w:r>
      <w:r>
        <w:rPr>
          <w:rStyle w:val="FootnoteReference"/>
        </w:rPr>
        <w:footnoteReference w:id="16928"/>
      </w:r>
      <w:r>
        <w:t xml:space="preserve"> to Cyprus;</w:t>
      </w:r>
    </w:p>
    <w:p>
      <w:r>
        <w:rPr>
          <w:b/>
        </w:rPr>
        <w:t xml:space="preserve">40 </w:t>
      </w:r>
      <w:r>
        <w:t xml:space="preserve">And Paul chose</w:t>
      </w:r>
      <w:r>
        <w:rPr>
          <w:rStyle w:val="FootnoteReference"/>
        </w:rPr>
        <w:footnoteReference w:id="16929"/>
      </w:r>
      <w:r>
        <w:t xml:space="preserve"> Silas, and departed, being recommended by the brothers to the grace of God.</w:t>
      </w:r>
    </w:p>
    <w:p>
      <w:r>
        <w:rPr>
          <w:b/>
        </w:rPr>
        <w:t xml:space="preserve">41 </w:t>
      </w:r>
      <w:r>
        <w:t xml:space="preserve">And he went through Syria and Cilicia, confirming</w:t>
      </w:r>
      <w:r>
        <w:rPr>
          <w:rStyle w:val="FootnoteReference"/>
        </w:rPr>
        <w:footnoteReference w:id="16930"/>
      </w:r>
      <w:r>
        <w:t xml:space="preserve"> the assemblies.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Then he came to Derbe</w:t>
      </w:r>
      <w:r>
        <w:rPr>
          <w:rStyle w:val="FootnoteReference"/>
        </w:rPr>
        <w:footnoteReference w:id="16931"/>
      </w:r>
      <w:r>
        <w:t xml:space="preserve"> and Lystra: and, look, a certain disciple was there, named Timothy</w:t>
      </w:r>
      <w:r>
        <w:rPr>
          <w:rStyle w:val="FootnoteReference"/>
        </w:rPr>
        <w:footnoteReference w:id="16932"/>
      </w:r>
      <w:r>
        <w:t xml:space="preserve">, the son of a certain believing Jewish woman; but his father was a Greek:</w:t>
      </w:r>
      <w:r>
        <w:rPr>
          <w:rStyle w:val="FootnoteReference"/>
        </w:rPr>
        <w:footnoteReference w:id="16933"/>
      </w:r>
    </w:p>
    <w:p>
      <w:r>
        <w:rPr>
          <w:b/>
        </w:rPr>
        <w:t xml:space="preserve">2 </w:t>
      </w:r>
      <w:r>
        <w:t xml:space="preserve">He was well spoken of by the brothers that were at Lystra and Iconium</w:t>
      </w:r>
      <w:r>
        <w:rPr>
          <w:rStyle w:val="FootnoteReference"/>
        </w:rPr>
        <w:footnoteReference w:id="16934"/>
      </w:r>
      <w:r>
        <w:t xml:space="preserve">.</w:t>
      </w:r>
    </w:p>
    <w:p>
      <w:r>
        <w:rPr>
          <w:b/>
        </w:rPr>
        <w:t xml:space="preserve">3 </w:t>
      </w:r>
      <w:r>
        <w:t xml:space="preserve">Paul wanted this one to go forth with him; and took</w:t>
      </w:r>
      <w:r>
        <w:rPr>
          <w:rStyle w:val="FootnoteReference"/>
        </w:rPr>
        <w:footnoteReference w:id="16935"/>
      </w:r>
      <w:r>
        <w:t xml:space="preserve"> and circumcised him because of the Jews who were in those places: for they all knew that his father was a Greek.</w:t>
      </w:r>
    </w:p>
    <w:p>
      <w:r>
        <w:rPr>
          <w:b/>
        </w:rPr>
        <w:t xml:space="preserve">4 </w:t>
      </w:r>
      <w:r>
        <w:t xml:space="preserve">And as they went through the cities, they delivered</w:t>
      </w:r>
      <w:r>
        <w:rPr>
          <w:rStyle w:val="FootnoteReference"/>
        </w:rPr>
        <w:footnoteReference w:id="16936"/>
      </w:r>
      <w:r>
        <w:t xml:space="preserve"> to them the decrees to keep, that were decided by the apostles and elders who were at Jerusalem.</w:t>
      </w:r>
    </w:p>
    <w:p>
      <w:r>
        <w:rPr>
          <w:b/>
        </w:rPr>
        <w:t xml:space="preserve">5 </w:t>
      </w:r>
      <w:r>
        <w:t xml:space="preserve">And so were the assemblies established in the faith, and increased</w:t>
      </w:r>
      <w:r>
        <w:rPr>
          <w:rStyle w:val="FootnoteReference"/>
        </w:rPr>
        <w:footnoteReference w:id="16937"/>
      </w:r>
      <w:r>
        <w:t xml:space="preserve"> in number daily.</w:t>
      </w:r>
    </w:p>
    <w:p>
      <w:r>
        <w:rPr>
          <w:b/>
        </w:rPr>
        <w:t xml:space="preserve">6 </w:t>
      </w:r>
      <w:r>
        <w:t xml:space="preserve">Now when they had gone through Phrygia</w:t>
      </w:r>
      <w:r>
        <w:rPr>
          <w:rStyle w:val="FootnoteReference"/>
        </w:rPr>
        <w:footnoteReference w:id="16938"/>
      </w:r>
      <w:r>
        <w:t xml:space="preserve"> and the Galatian</w:t>
      </w:r>
      <w:r>
        <w:rPr>
          <w:rStyle w:val="FootnoteReference"/>
        </w:rPr>
        <w:footnoteReference w:id="16939"/>
      </w:r>
      <w:r>
        <w:t xml:space="preserve"> region, and were forbidden by the Holy Spirit to speak the word in Asia,</w:t>
      </w:r>
    </w:p>
    <w:p>
      <w:r>
        <w:rPr>
          <w:b/>
        </w:rPr>
        <w:t xml:space="preserve">7 </w:t>
      </w:r>
      <w:r>
        <w:t xml:space="preserve">After they had come to Mysia</w:t>
      </w:r>
      <w:r>
        <w:rPr>
          <w:rStyle w:val="FootnoteReference"/>
        </w:rPr>
        <w:footnoteReference w:id="16940"/>
      </w:r>
      <w:r>
        <w:t xml:space="preserve">, they attempted to go into Bithynia</w:t>
      </w:r>
      <w:r>
        <w:rPr>
          <w:rStyle w:val="FootnoteReference"/>
        </w:rPr>
        <w:footnoteReference w:id="16941"/>
      </w:r>
      <w:r>
        <w:t xml:space="preserve">: but the Spirit did not allow them.</w:t>
      </w:r>
      <w:r>
        <w:rPr>
          <w:rStyle w:val="FootnoteReference"/>
        </w:rPr>
        <w:footnoteReference w:id="16942"/>
      </w:r>
    </w:p>
    <w:p>
      <w:r>
        <w:rPr>
          <w:b/>
        </w:rPr>
        <w:t xml:space="preserve">8 </w:t>
      </w:r>
      <w:r>
        <w:t xml:space="preserve">And they passing by Mysia came down to Troas</w:t>
      </w:r>
      <w:r>
        <w:rPr>
          <w:rStyle w:val="FootnoteReference"/>
        </w:rPr>
        <w:footnoteReference w:id="16943"/>
      </w:r>
      <w:r>
        <w:t xml:space="preserve">.</w:t>
      </w:r>
      <w:r>
        <w:rPr>
          <w:rStyle w:val="FootnoteReference"/>
        </w:rPr>
        <w:footnoteReference w:id="16944"/>
      </w:r>
    </w:p>
    <w:p>
      <w:r>
        <w:rPr>
          <w:b/>
        </w:rPr>
        <w:t xml:space="preserve">9 </w:t>
      </w:r>
      <w:r>
        <w:t xml:space="preserve">And a vision</w:t>
      </w:r>
      <w:r>
        <w:rPr>
          <w:rStyle w:val="FootnoteReference"/>
        </w:rPr>
        <w:footnoteReference w:id="16945"/>
      </w:r>
      <w:r>
        <w:t xml:space="preserve"> appeared to Paul in the night; A man of Macedonia</w:t>
      </w:r>
      <w:r>
        <w:rPr>
          <w:rStyle w:val="FootnoteReference"/>
        </w:rPr>
        <w:footnoteReference w:id="16946"/>
      </w:r>
      <w:r>
        <w:t xml:space="preserve"> stood and urged him, saying, Come over into Macedonia, and help us.</w:t>
      </w:r>
    </w:p>
    <w:p>
      <w:r>
        <w:rPr>
          <w:b/>
        </w:rPr>
        <w:t xml:space="preserve">10 </w:t>
      </w:r>
      <w:r>
        <w:t xml:space="preserve">And after he had seen the vision, immediately</w:t>
      </w:r>
      <w:r>
        <w:rPr>
          <w:rStyle w:val="FootnoteReference"/>
        </w:rPr>
        <w:footnoteReference w:id="16947"/>
      </w:r>
      <w:r>
        <w:t xml:space="preserve"> we endeavoured to go into Macedonia, assuredly gathering that the Lord had called us in order to preach the good news to them.</w:t>
      </w:r>
    </w:p>
    <w:p>
      <w:r>
        <w:rPr>
          <w:b/>
        </w:rPr>
        <w:t xml:space="preserve">11 </w:t>
      </w:r>
      <w:r>
        <w:t xml:space="preserve">Therefore setting sail from Troas, we came with a straight course to Samothrace</w:t>
      </w:r>
      <w:r>
        <w:rPr>
          <w:rStyle w:val="FootnoteReference"/>
        </w:rPr>
        <w:footnoteReference w:id="16948"/>
      </w:r>
      <w:r>
        <w:t xml:space="preserve">, and the next day to Neapolis</w:t>
      </w:r>
      <w:r>
        <w:rPr>
          <w:rStyle w:val="FootnoteReference"/>
        </w:rPr>
        <w:footnoteReference w:id="16949"/>
      </w:r>
      <w:r>
        <w:t xml:space="preserve">;</w:t>
      </w:r>
    </w:p>
    <w:p>
      <w:r>
        <w:rPr>
          <w:b/>
        </w:rPr>
        <w:t xml:space="preserve">12 </w:t>
      </w:r>
      <w:r>
        <w:t xml:space="preserve">And from there to Philippi</w:t>
      </w:r>
      <w:r>
        <w:rPr>
          <w:rStyle w:val="FootnoteReference"/>
        </w:rPr>
        <w:footnoteReference w:id="16950"/>
      </w:r>
      <w:r>
        <w:t xml:space="preserve">, which is a leading city of that part of Macedonia, a colony: and we were staying in that city certain days.</w:t>
      </w:r>
    </w:p>
    <w:p>
      <w:r>
        <w:rPr>
          <w:b/>
        </w:rPr>
        <w:t xml:space="preserve">13 </w:t>
      </w:r>
      <w:r>
        <w:t xml:space="preserve">And on the sabbath we went out of the city by a river side, where prayer was known to be made; and we</w:t>
      </w:r>
      <w:r>
        <w:rPr>
          <w:rStyle w:val="FootnoteReference"/>
        </w:rPr>
        <w:footnoteReference w:id="16951"/>
      </w:r>
      <w:r>
        <w:t xml:space="preserve"> sat down, and spoke to the women who resorted there.</w:t>
      </w:r>
    </w:p>
    <w:p>
      <w:r>
        <w:rPr>
          <w:b/>
        </w:rPr>
        <w:t xml:space="preserve">14 </w:t>
      </w:r>
      <w:r>
        <w:t xml:space="preserve">And a certain woman named Lydia</w:t>
      </w:r>
      <w:r>
        <w:rPr>
          <w:rStyle w:val="FootnoteReference"/>
        </w:rPr>
        <w:footnoteReference w:id="16952"/>
      </w:r>
      <w:r>
        <w:t xml:space="preserve">, a seller of purple, of the city of Thyatira</w:t>
      </w:r>
      <w:r>
        <w:rPr>
          <w:rStyle w:val="FootnoteReference"/>
        </w:rPr>
        <w:footnoteReference w:id="16953"/>
      </w:r>
      <w:r>
        <w:t xml:space="preserve">, which worshiped God, heard us: whose heart the Lord opened, that she attended to the things which were spoken of Paul.</w:t>
      </w:r>
      <w:r>
        <w:rPr>
          <w:rStyle w:val="FootnoteReference"/>
        </w:rPr>
        <w:footnoteReference w:id="16954"/>
      </w:r>
    </w:p>
    <w:p>
      <w:r>
        <w:rPr>
          <w:b/>
        </w:rPr>
        <w:t xml:space="preserve">15 </w:t>
      </w:r>
      <w:r>
        <w:t xml:space="preserve">And when she was baptized, and her household, she begged us, saying, If you have judged me to be faithful to the Lord, come into my house, and abide there. And she</w:t>
      </w:r>
      <w:r>
        <w:rPr>
          <w:rStyle w:val="FootnoteReference"/>
        </w:rPr>
        <w:footnoteReference w:id="16955"/>
      </w:r>
      <w:r>
        <w:t xml:space="preserve"> constrained us.</w:t>
      </w:r>
    </w:p>
    <w:p>
      <w:r>
        <w:rPr>
          <w:b/>
        </w:rPr>
        <w:t xml:space="preserve">16 </w:t>
      </w:r>
      <w:r>
        <w:t xml:space="preserve">And it happened, as we went to prayer, a certain girl possessed</w:t>
      </w:r>
      <w:r>
        <w:rPr>
          <w:rStyle w:val="FootnoteReference"/>
        </w:rPr>
        <w:footnoteReference w:id="16956"/>
      </w:r>
      <w:r>
        <w:t xml:space="preserve"> with a spirit of divination met us, which brought her masters much gain by soothsaying:</w:t>
      </w:r>
    </w:p>
    <w:p>
      <w:r>
        <w:rPr>
          <w:b/>
        </w:rPr>
        <w:t xml:space="preserve">17 </w:t>
      </w:r>
      <w:r>
        <w:t xml:space="preserve">The same followed Paul and us, and cried, saying, These men are the slaves of the most</w:t>
      </w:r>
      <w:r>
        <w:rPr>
          <w:rStyle w:val="FootnoteReference"/>
        </w:rPr>
        <w:footnoteReference w:id="16957"/>
      </w:r>
      <w:r>
        <w:t xml:space="preserve"> high God, who show to us the way of salvation.</w:t>
      </w:r>
    </w:p>
    <w:p>
      <w:r>
        <w:rPr>
          <w:b/>
        </w:rPr>
        <w:t xml:space="preserve">18 </w:t>
      </w:r>
      <w:r>
        <w:t xml:space="preserve">And this she did many days. But Paul, being greatly annoyed, turned and said to the spirit, I command</w:t>
      </w:r>
      <w:r>
        <w:rPr>
          <w:rStyle w:val="FootnoteReference"/>
        </w:rPr>
        <w:footnoteReference w:id="16958"/>
      </w:r>
      <w:r>
        <w:t xml:space="preserve"> you in the name of Jesus Christ to come out of her. And it came out the same hour.</w:t>
      </w:r>
    </w:p>
    <w:p>
      <w:r>
        <w:rPr>
          <w:b/>
        </w:rPr>
        <w:t xml:space="preserve">19 </w:t>
      </w:r>
      <w:r>
        <w:t xml:space="preserve">And when her masters saw that the hope</w:t>
      </w:r>
      <w:r>
        <w:rPr>
          <w:rStyle w:val="FootnoteReference"/>
        </w:rPr>
        <w:footnoteReference w:id="16959"/>
      </w:r>
      <w:r>
        <w:t xml:space="preserve"> of their profit was gone, they seized Paul and Silas, and dragged them into the marketplace to the rulers,</w:t>
      </w:r>
    </w:p>
    <w:p>
      <w:r>
        <w:rPr>
          <w:b/>
        </w:rPr>
        <w:t xml:space="preserve">20 </w:t>
      </w:r>
      <w:r>
        <w:t xml:space="preserve">And brought them to the magistrates, saying, These men, being Jews, greatly disturb our city,</w:t>
      </w:r>
    </w:p>
    <w:p>
      <w:r>
        <w:rPr>
          <w:b/>
        </w:rPr>
        <w:t xml:space="preserve">21 </w:t>
      </w:r>
      <w:r>
        <w:t xml:space="preserve">And proclaim customs, which are not lawful for us to receive or to observe, being Romans.</w:t>
      </w:r>
    </w:p>
    <w:p>
      <w:r>
        <w:rPr>
          <w:b/>
        </w:rPr>
        <w:t xml:space="preserve">22 </w:t>
      </w:r>
      <w:r>
        <w:t xml:space="preserve">And the crowd rose up together against them: and the magistrates</w:t>
      </w:r>
      <w:r>
        <w:rPr>
          <w:rStyle w:val="FootnoteReference"/>
        </w:rPr>
        <w:footnoteReference w:id="16960"/>
      </w:r>
      <w:r>
        <w:t xml:space="preserve"> tore off their clothes, and commanded them to be beaten with rods.</w:t>
      </w:r>
    </w:p>
    <w:p>
      <w:r>
        <w:rPr>
          <w:b/>
        </w:rPr>
        <w:t xml:space="preserve">23 </w:t>
      </w:r>
      <w:r>
        <w:t xml:space="preserve">And when they had laid many blows upon them, they cast</w:t>
      </w:r>
      <w:r>
        <w:rPr>
          <w:rStyle w:val="FootnoteReference"/>
        </w:rPr>
        <w:footnoteReference w:id="16961"/>
      </w:r>
      <w:r>
        <w:t xml:space="preserve"> them into prison, charging the jailer to keep them safely:</w:t>
      </w:r>
    </w:p>
    <w:p>
      <w:r>
        <w:rPr>
          <w:b/>
        </w:rPr>
        <w:t xml:space="preserve">24 </w:t>
      </w:r>
      <w:r>
        <w:t xml:space="preserve">Who, having received such a charge, thrust them into the inner</w:t>
      </w:r>
      <w:r>
        <w:rPr>
          <w:rStyle w:val="FootnoteReference"/>
        </w:rPr>
        <w:footnoteReference w:id="16962"/>
      </w:r>
      <w:r>
        <w:t xml:space="preserve"> prison, and fastened their feet in the stocks.</w:t>
      </w:r>
    </w:p>
    <w:p>
      <w:r>
        <w:rPr>
          <w:b/>
        </w:rPr>
        <w:t xml:space="preserve">25 </w:t>
      </w:r>
      <w:r>
        <w:t xml:space="preserve">And at midnight</w:t>
      </w:r>
      <w:r>
        <w:rPr>
          <w:rStyle w:val="FootnoteReference"/>
        </w:rPr>
        <w:footnoteReference w:id="16963"/>
      </w:r>
      <w:r>
        <w:t xml:space="preserve"> Paul and Silas, praying, sang hymns to God: and the prisoners listened to them.</w:t>
      </w:r>
    </w:p>
    <w:p>
      <w:r>
        <w:rPr>
          <w:b/>
        </w:rPr>
        <w:t xml:space="preserve">26 </w:t>
      </w:r>
      <w:r>
        <w:t xml:space="preserve">And suddenly</w:t>
      </w:r>
      <w:r>
        <w:rPr>
          <w:rStyle w:val="FootnoteReference"/>
        </w:rPr>
        <w:footnoteReference w:id="16964"/>
      </w:r>
      <w:r>
        <w:t xml:space="preserve"> there was a great earthquake, so that the foundations of the prison were shaken: and immediately all the doors were opened, and everyone's chains were loosened.</w:t>
      </w:r>
    </w:p>
    <w:p>
      <w:r>
        <w:rPr>
          <w:b/>
        </w:rPr>
        <w:t xml:space="preserve">27 </w:t>
      </w:r>
      <w:r>
        <w:t xml:space="preserve">And the keeper</w:t>
      </w:r>
      <w:r>
        <w:rPr>
          <w:rStyle w:val="FootnoteReference"/>
        </w:rPr>
        <w:footnoteReference w:id="16965"/>
      </w:r>
      <w:r>
        <w:t xml:space="preserve"> of the prison, awaking out of his sleep, and seeing the prison doors open, drew out his sword, and was about to kill himself, supposing that the prisoners had escaped.</w:t>
      </w:r>
    </w:p>
    <w:p>
      <w:r>
        <w:rPr>
          <w:b/>
        </w:rPr>
        <w:t xml:space="preserve">28 </w:t>
      </w:r>
      <w:r>
        <w:t xml:space="preserve">But Paul cried</w:t>
      </w:r>
      <w:r>
        <w:rPr>
          <w:rStyle w:val="FootnoteReference"/>
        </w:rPr>
        <w:footnoteReference w:id="16966"/>
      </w:r>
      <w:r>
        <w:t xml:space="preserve"> with a loud voice, saying, Do yourself no harm: for we are all here.</w:t>
      </w:r>
    </w:p>
    <w:p>
      <w:r>
        <w:rPr>
          <w:b/>
        </w:rPr>
        <w:t xml:space="preserve">29 </w:t>
      </w:r>
      <w:r>
        <w:t xml:space="preserve">Then he called for lights, and rushed in, and came</w:t>
      </w:r>
      <w:r>
        <w:rPr>
          <w:rStyle w:val="FootnoteReference"/>
        </w:rPr>
        <w:footnoteReference w:id="16967"/>
      </w:r>
      <w:r>
        <w:t xml:space="preserve"> trembling, and fell down before Paul and Silas,</w:t>
      </w:r>
    </w:p>
    <w:p>
      <w:r>
        <w:rPr>
          <w:b/>
        </w:rPr>
        <w:t xml:space="preserve">30 </w:t>
      </w:r>
      <w:r>
        <w:t xml:space="preserve">And brought</w:t>
      </w:r>
      <w:r>
        <w:rPr>
          <w:rStyle w:val="FootnoteReference"/>
        </w:rPr>
        <w:footnoteReference w:id="16968"/>
      </w:r>
      <w:r>
        <w:t xml:space="preserve"> them out, and said, Sirs, what must I do to be saved?</w:t>
      </w:r>
    </w:p>
    <w:p>
      <w:r>
        <w:rPr>
          <w:b/>
        </w:rPr>
        <w:t xml:space="preserve">31 </w:t>
      </w:r>
      <w:r>
        <w:t xml:space="preserve">And they said, Believe</w:t>
      </w:r>
      <w:r>
        <w:rPr>
          <w:rStyle w:val="FootnoteReference"/>
        </w:rPr>
        <w:footnoteReference w:id="16969"/>
      </w:r>
      <w:r>
        <w:t xml:space="preserve"> on the Lord Jesus Christ, and you shall be saved, and your house.</w:t>
      </w:r>
    </w:p>
    <w:p>
      <w:r>
        <w:rPr>
          <w:b/>
        </w:rPr>
        <w:t xml:space="preserve">32 </w:t>
      </w:r>
      <w:r>
        <w:t xml:space="preserve">And they spoke to him the word of the Lord, and to all</w:t>
      </w:r>
      <w:r>
        <w:rPr>
          <w:rStyle w:val="FootnoteReference"/>
        </w:rPr>
        <w:footnoteReference w:id="16970"/>
      </w:r>
      <w:r>
        <w:t xml:space="preserve"> that were in his house.</w:t>
      </w:r>
    </w:p>
    <w:p>
      <w:r>
        <w:rPr>
          <w:b/>
        </w:rPr>
        <w:t xml:space="preserve">33 </w:t>
      </w:r>
      <w:r>
        <w:t xml:space="preserve">And he took them the same hour of the night, and washed</w:t>
      </w:r>
      <w:r>
        <w:rPr>
          <w:rStyle w:val="FootnoteReference"/>
        </w:rPr>
        <w:footnoteReference w:id="16971"/>
      </w:r>
      <w:r>
        <w:t xml:space="preserve"> their wounds; and he was baptized, he and all his, immediately.</w:t>
      </w:r>
    </w:p>
    <w:p>
      <w:r>
        <w:rPr>
          <w:b/>
        </w:rPr>
        <w:t xml:space="preserve">34 </w:t>
      </w:r>
      <w:r>
        <w:t xml:space="preserve">And when he had brought them into his house, he set food before them, and rejoiced</w:t>
      </w:r>
      <w:r>
        <w:rPr>
          <w:rStyle w:val="FootnoteReference"/>
        </w:rPr>
        <w:footnoteReference w:id="16972"/>
      </w:r>
      <w:r>
        <w:t xml:space="preserve">, believing in God with all his house.</w:t>
      </w:r>
    </w:p>
    <w:p>
      <w:r>
        <w:rPr>
          <w:b/>
        </w:rPr>
        <w:t xml:space="preserve">35 </w:t>
      </w:r>
      <w:r>
        <w:t xml:space="preserve">And when it was day, the magistrates sent the officers, saying, Let those men go.</w:t>
      </w:r>
    </w:p>
    <w:p>
      <w:r>
        <w:rPr>
          <w:b/>
        </w:rPr>
        <w:t xml:space="preserve">36 </w:t>
      </w:r>
      <w:r>
        <w:t xml:space="preserve">And the keeper of the prison told this saying to Paul, The magistrates have sent to let you go: now therefore depart, and go</w:t>
      </w:r>
      <w:r>
        <w:rPr>
          <w:rStyle w:val="FootnoteReference"/>
        </w:rPr>
        <w:footnoteReference w:id="16973"/>
      </w:r>
      <w:r>
        <w:t xml:space="preserve"> in peace.</w:t>
      </w:r>
    </w:p>
    <w:p>
      <w:r>
        <w:rPr>
          <w:b/>
        </w:rPr>
        <w:t xml:space="preserve">37 </w:t>
      </w:r>
      <w:r>
        <w:t xml:space="preserve">But Paul said to them, They have</w:t>
      </w:r>
      <w:r>
        <w:rPr>
          <w:rStyle w:val="FootnoteReference"/>
        </w:rPr>
        <w:footnoteReference w:id="16974"/>
      </w:r>
      <w:r>
        <w:t xml:space="preserve"> beaten us openly, uncondemned, being Romans, and have cast us into prison; and now do they thrust us out secretly? No indeed; but let them come themselves and bring us out.</w:t>
      </w:r>
    </w:p>
    <w:p>
      <w:r>
        <w:rPr>
          <w:b/>
        </w:rPr>
        <w:t xml:space="preserve">38 </w:t>
      </w:r>
      <w:r>
        <w:t xml:space="preserve">And the officers told these words to the magistrates: and they feared, when they heard that they were Romans.</w:t>
      </w:r>
    </w:p>
    <w:p>
      <w:r>
        <w:rPr>
          <w:b/>
        </w:rPr>
        <w:t xml:space="preserve">39 </w:t>
      </w:r>
      <w:r>
        <w:t xml:space="preserve">And they came and begged them, and brought</w:t>
      </w:r>
      <w:r>
        <w:rPr>
          <w:rStyle w:val="FootnoteReference"/>
        </w:rPr>
        <w:footnoteReference w:id="16975"/>
      </w:r>
      <w:r>
        <w:t xml:space="preserve"> them out, and asked them to depart out of the city.</w:t>
      </w:r>
    </w:p>
    <w:p>
      <w:r>
        <w:rPr>
          <w:b/>
        </w:rPr>
        <w:t xml:space="preserve">40 </w:t>
      </w:r>
      <w:r>
        <w:t xml:space="preserve">And they went out of the prison, and entered</w:t>
      </w:r>
      <w:r>
        <w:rPr>
          <w:rStyle w:val="FootnoteReference"/>
        </w:rPr>
        <w:footnoteReference w:id="16976"/>
      </w:r>
      <w:r>
        <w:t xml:space="preserve"> into the house of Lydia: and when they had seen the brothers, they comforted them, and departed.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Now when they had passed through Amphipolis</w:t>
      </w:r>
      <w:r>
        <w:rPr>
          <w:rStyle w:val="FootnoteReference"/>
        </w:rPr>
        <w:footnoteReference w:id="16977"/>
      </w:r>
      <w:r>
        <w:t xml:space="preserve"> and Apollonia</w:t>
      </w:r>
      <w:r>
        <w:rPr>
          <w:rStyle w:val="FootnoteReference"/>
        </w:rPr>
        <w:footnoteReference w:id="16978"/>
      </w:r>
      <w:r>
        <w:t xml:space="preserve">, they came to Thessalonica</w:t>
      </w:r>
      <w:r>
        <w:rPr>
          <w:rStyle w:val="FootnoteReference"/>
        </w:rPr>
        <w:footnoteReference w:id="16979"/>
      </w:r>
      <w:r>
        <w:t xml:space="preserve">, where was a synagogue of the Jews:</w:t>
      </w:r>
      <w:r>
        <w:rPr>
          <w:rStyle w:val="FootnoteReference"/>
        </w:rPr>
        <w:footnoteReference w:id="16980"/>
      </w:r>
    </w:p>
    <w:p>
      <w:r>
        <w:rPr>
          <w:b/>
        </w:rPr>
        <w:t xml:space="preserve">2 </w:t>
      </w:r>
      <w:r>
        <w:t xml:space="preserve">And Paul, as his custom was, went</w:t>
      </w:r>
      <w:r>
        <w:rPr>
          <w:rStyle w:val="FootnoteReference"/>
        </w:rPr>
        <w:footnoteReference w:id="16981"/>
      </w:r>
      <w:r>
        <w:t xml:space="preserve"> in to them, and for three Sabbath days reasoned with them out of the Scriptures,</w:t>
      </w:r>
    </w:p>
    <w:p>
      <w:r>
        <w:rPr>
          <w:b/>
        </w:rPr>
        <w:t xml:space="preserve">3 </w:t>
      </w:r>
      <w:r>
        <w:t xml:space="preserve">Explaining and setting forth that Christ</w:t>
      </w:r>
      <w:r>
        <w:rPr>
          <w:rStyle w:val="FootnoteReference"/>
        </w:rPr>
        <w:footnoteReference w:id="16982"/>
      </w:r>
      <w:r>
        <w:t xml:space="preserve"> had to suffer, and rise again from the dead; and that this Jesus, whom I preach to you, is Christ.</w:t>
      </w:r>
    </w:p>
    <w:p>
      <w:r>
        <w:rPr>
          <w:b/>
        </w:rPr>
        <w:t xml:space="preserve">4 </w:t>
      </w:r>
      <w:r>
        <w:t xml:space="preserve">And some of them believed, and joined Paul and Silas</w:t>
      </w:r>
      <w:r>
        <w:rPr>
          <w:rStyle w:val="FootnoteReference"/>
        </w:rPr>
        <w:footnoteReference w:id="16983"/>
      </w:r>
      <w:r>
        <w:t xml:space="preserve">; and of the devout Greeks a great multitude, and of the chief women not a few.</w:t>
      </w:r>
    </w:p>
    <w:p>
      <w:r>
        <w:rPr>
          <w:b/>
        </w:rPr>
        <w:t xml:space="preserve">5 </w:t>
      </w:r>
      <w:r>
        <w:t xml:space="preserve">But the Jews who did not believe, moved</w:t>
      </w:r>
      <w:r>
        <w:rPr>
          <w:rStyle w:val="FootnoteReference"/>
        </w:rPr>
        <w:footnoteReference w:id="16984"/>
      </w:r>
      <w:r>
        <w:t xml:space="preserve"> with envy, took to themselves certain wicked men from the marketplace, gathered a crowd, and set the city in an uproar, and assaulted the house of Jason</w:t>
      </w:r>
      <w:r>
        <w:rPr>
          <w:rStyle w:val="FootnoteReference"/>
        </w:rPr>
        <w:footnoteReference w:id="16985"/>
      </w:r>
      <w:r>
        <w:t xml:space="preserve">, and sought to bring them out to the people.</w:t>
      </w:r>
    </w:p>
    <w:p>
      <w:r>
        <w:rPr>
          <w:b/>
        </w:rPr>
        <w:t xml:space="preserve">6 </w:t>
      </w:r>
      <w:r>
        <w:t xml:space="preserve">And when they found them not, they drew</w:t>
      </w:r>
      <w:r>
        <w:rPr>
          <w:rStyle w:val="FootnoteReference"/>
        </w:rPr>
        <w:footnoteReference w:id="16986"/>
      </w:r>
      <w:r>
        <w:t xml:space="preserve"> Jason and certain brothers to the rulers of the city, crying, These that have turned the world upside down have come here also;</w:t>
      </w:r>
    </w:p>
    <w:p>
      <w:r>
        <w:rPr>
          <w:b/>
        </w:rPr>
        <w:t xml:space="preserve">7 </w:t>
      </w:r>
      <w:r>
        <w:t xml:space="preserve">Whom Jason has received: and these</w:t>
      </w:r>
      <w:r>
        <w:rPr>
          <w:rStyle w:val="FootnoteReference"/>
        </w:rPr>
        <w:footnoteReference w:id="16987"/>
      </w:r>
      <w:r>
        <w:t xml:space="preserve"> all do contrary to the decrees of Caesar, saying that there is another king, one Jesus.</w:t>
      </w:r>
    </w:p>
    <w:p>
      <w:r>
        <w:rPr>
          <w:b/>
        </w:rPr>
        <w:t xml:space="preserve">8 </w:t>
      </w:r>
      <w:r>
        <w:t xml:space="preserve">And they troubled the people and the rulers of the city, when they heard these things.</w:t>
      </w:r>
    </w:p>
    <w:p>
      <w:r>
        <w:rPr>
          <w:b/>
        </w:rPr>
        <w:t xml:space="preserve">9 </w:t>
      </w:r>
      <w:r>
        <w:t xml:space="preserve">And when they had taken security from Jason, and from the rest, they let them go.</w:t>
      </w:r>
    </w:p>
    <w:p>
      <w:r>
        <w:rPr>
          <w:b/>
        </w:rPr>
        <w:t xml:space="preserve">10 </w:t>
      </w:r>
      <w:r>
        <w:t xml:space="preserve">And the brothers immediately sent away Paul and Silas by night to Berea</w:t>
      </w:r>
      <w:r>
        <w:rPr>
          <w:rStyle w:val="FootnoteReference"/>
        </w:rPr>
        <w:footnoteReference w:id="16988"/>
      </w:r>
      <w:r>
        <w:t xml:space="preserve">: who coming there went into the synagogue of the Jews.</w:t>
      </w:r>
      <w:r>
        <w:rPr>
          <w:rStyle w:val="FootnoteReference"/>
        </w:rPr>
        <w:footnoteReference w:id="16989"/>
      </w:r>
    </w:p>
    <w:p>
      <w:r>
        <w:rPr>
          <w:b/>
        </w:rPr>
        <w:t xml:space="preserve">11 </w:t>
      </w:r>
      <w:r>
        <w:t xml:space="preserve">These were more</w:t>
      </w:r>
      <w:r>
        <w:rPr>
          <w:rStyle w:val="FootnoteReference"/>
        </w:rPr>
        <w:footnoteReference w:id="16990"/>
      </w:r>
      <w:r>
        <w:t xml:space="preserve"> noble-minded than those in Thessalonica, in that they received the word with all readiness of mind, and examined the Scriptures daily, whether these things were so.</w:t>
      </w:r>
    </w:p>
    <w:p>
      <w:r>
        <w:rPr>
          <w:b/>
        </w:rPr>
        <w:t xml:space="preserve">12 </w:t>
      </w:r>
      <w:r>
        <w:t xml:space="preserve">Therefore many of them believed; also of honorable women who were Greeks, and of men, not a few.</w:t>
      </w:r>
    </w:p>
    <w:p>
      <w:r>
        <w:rPr>
          <w:b/>
        </w:rPr>
        <w:t xml:space="preserve">13 </w:t>
      </w:r>
      <w:r>
        <w:t xml:space="preserve">But when the Jews</w:t>
      </w:r>
      <w:r>
        <w:rPr>
          <w:rStyle w:val="FootnoteReference"/>
        </w:rPr>
        <w:footnoteReference w:id="16991"/>
      </w:r>
      <w:r>
        <w:t xml:space="preserve"> of Thessalonica knew that the word of God was proclaimed by Paul at Berea, they came there also, stirring up the crowds.</w:t>
      </w:r>
    </w:p>
    <w:p>
      <w:r>
        <w:rPr>
          <w:b/>
        </w:rPr>
        <w:t xml:space="preserve">14 </w:t>
      </w:r>
      <w:r>
        <w:t xml:space="preserve">And then immediately the brothers sent away Paul to go as it</w:t>
      </w:r>
      <w:r>
        <w:rPr>
          <w:rStyle w:val="FootnoteReference"/>
        </w:rPr>
        <w:footnoteReference w:id="16992"/>
      </w:r>
      <w:r>
        <w:t xml:space="preserve"> were to the sea: but Silas and Timothy remained there still.</w:t>
      </w:r>
    </w:p>
    <w:p>
      <w:r>
        <w:rPr>
          <w:b/>
        </w:rPr>
        <w:t xml:space="preserve">15 </w:t>
      </w:r>
      <w:r>
        <w:t xml:space="preserve">And those who conducted Paul brought him to Athens</w:t>
      </w:r>
      <w:r>
        <w:rPr>
          <w:rStyle w:val="FootnoteReference"/>
        </w:rPr>
        <w:footnoteReference w:id="16993"/>
      </w:r>
      <w:r>
        <w:t xml:space="preserve">: and receiving a commandment to Silas and Timothy in order to come to him with all speed, they departed.</w:t>
      </w:r>
      <w:r>
        <w:rPr>
          <w:rStyle w:val="FootnoteReference"/>
        </w:rPr>
        <w:footnoteReference w:id="16994"/>
      </w:r>
    </w:p>
    <w:p>
      <w:r>
        <w:rPr>
          <w:b/>
        </w:rPr>
        <w:t xml:space="preserve">16 </w:t>
      </w:r>
      <w:r>
        <w:t xml:space="preserve">Now while Paul waited for them at Athens, his spirit</w:t>
      </w:r>
      <w:r>
        <w:rPr>
          <w:rStyle w:val="FootnoteReference"/>
        </w:rPr>
        <w:footnoteReference w:id="16995"/>
      </w:r>
      <w:r>
        <w:t xml:space="preserve"> was provoked in him, when he saw the city full of idols.</w:t>
      </w:r>
    </w:p>
    <w:p>
      <w:r>
        <w:rPr>
          <w:b/>
        </w:rPr>
        <w:t xml:space="preserve">17 </w:t>
      </w:r>
      <w:r>
        <w:t xml:space="preserve">Therefore he reasoned in the synagogue with the Jews, and with the devout</w:t>
      </w:r>
      <w:r>
        <w:rPr>
          <w:rStyle w:val="FootnoteReference"/>
        </w:rPr>
        <w:footnoteReference w:id="16996"/>
      </w:r>
      <w:r>
        <w:t xml:space="preserve"> persons, and in the marketplace daily with those who met with him.</w:t>
      </w:r>
    </w:p>
    <w:p>
      <w:r>
        <w:rPr>
          <w:b/>
        </w:rPr>
        <w:t xml:space="preserve">18 </w:t>
      </w:r>
      <w:r>
        <w:t xml:space="preserve">Then certain philosophers</w:t>
      </w:r>
      <w:r>
        <w:rPr>
          <w:rStyle w:val="FootnoteReference"/>
        </w:rPr>
        <w:footnoteReference w:id="16997"/>
      </w:r>
      <w:r>
        <w:t xml:space="preserve"> of the Epicureans</w:t>
      </w:r>
      <w:r>
        <w:rPr>
          <w:rStyle w:val="FootnoteReference"/>
        </w:rPr>
        <w:footnoteReference w:id="16998"/>
      </w:r>
      <w:r>
        <w:t xml:space="preserve">, and of the Stoics</w:t>
      </w:r>
      <w:r>
        <w:rPr>
          <w:rStyle w:val="FootnoteReference"/>
        </w:rPr>
        <w:footnoteReference w:id="16999"/>
      </w:r>
      <w:r>
        <w:t xml:space="preserve">, encountered him. And some said, What will this babbler say? Others said, He seems to be a proclaimer of foreign divinities: because he preached to them Jesus, and the resurrection.</w:t>
      </w:r>
    </w:p>
    <w:p>
      <w:r>
        <w:rPr>
          <w:b/>
        </w:rPr>
        <w:t xml:space="preserve">19 </w:t>
      </w:r>
      <w:r>
        <w:t xml:space="preserve">And they took him, and brought him to Areopagus</w:t>
      </w:r>
      <w:r>
        <w:rPr>
          <w:rStyle w:val="FootnoteReference"/>
        </w:rPr>
        <w:footnoteReference w:id="17000"/>
      </w:r>
      <w:r>
        <w:t xml:space="preserve">, saying, May we know what this new teaching, of which you speak, is?</w:t>
      </w:r>
      <w:r>
        <w:rPr>
          <w:rStyle w:val="FootnoteReference"/>
        </w:rPr>
        <w:footnoteReference w:id="17001"/>
      </w:r>
    </w:p>
    <w:p>
      <w:r>
        <w:rPr>
          <w:b/>
        </w:rPr>
        <w:t xml:space="preserve">20 </w:t>
      </w:r>
      <w:r>
        <w:t xml:space="preserve">For you bring certain strange</w:t>
      </w:r>
      <w:r>
        <w:rPr>
          <w:rStyle w:val="FootnoteReference"/>
        </w:rPr>
        <w:footnoteReference w:id="17002"/>
      </w:r>
      <w:r>
        <w:t xml:space="preserve"> things to our ears: we would know therefore what these things may mean.</w:t>
      </w:r>
    </w:p>
    <w:p>
      <w:r>
        <w:rPr>
          <w:b/>
        </w:rPr>
        <w:t xml:space="preserve">21 </w:t>
      </w:r>
      <w:r>
        <w:t xml:space="preserve">(For all the Athenians</w:t>
      </w:r>
      <w:r>
        <w:rPr>
          <w:rStyle w:val="FootnoteReference"/>
        </w:rPr>
        <w:footnoteReference w:id="17003"/>
      </w:r>
      <w:r>
        <w:t xml:space="preserve"> and the strangers staying there spent</w:t>
      </w:r>
      <w:r>
        <w:rPr>
          <w:rStyle w:val="FootnoteReference"/>
        </w:rPr>
        <w:footnoteReference w:id="17004"/>
      </w:r>
      <w:r>
        <w:t xml:space="preserve"> their time in nothing else, but either to tell, or to hear, some newer thing.)</w:t>
      </w:r>
    </w:p>
    <w:p>
      <w:r>
        <w:rPr>
          <w:b/>
        </w:rPr>
        <w:t xml:space="preserve">22 </w:t>
      </w:r>
      <w:r>
        <w:t xml:space="preserve">Then Paul stood in the midst of the Areopagus, and said, Men of Athens, I perceive</w:t>
      </w:r>
      <w:r>
        <w:rPr>
          <w:rStyle w:val="FootnoteReference"/>
        </w:rPr>
        <w:footnoteReference w:id="17005"/>
      </w:r>
      <w:r>
        <w:t xml:space="preserve"> that in all things you are very religious.</w:t>
      </w:r>
    </w:p>
    <w:p>
      <w:r>
        <w:rPr>
          <w:b/>
        </w:rPr>
        <w:t xml:space="preserve">23 </w:t>
      </w:r>
      <w:r>
        <w:t xml:space="preserve">For as I passed by, and beheld your objects of worship, I found an altar with this inscription, TO AN UNKNOWN GOD</w:t>
      </w:r>
      <w:r>
        <w:rPr>
          <w:rStyle w:val="FootnoteReference"/>
        </w:rPr>
        <w:footnoteReference w:id="17006"/>
      </w:r>
      <w:r>
        <w:t xml:space="preserve">. What therefore you worship without knowing, this I declare to you.</w:t>
      </w:r>
    </w:p>
    <w:p>
      <w:r>
        <w:rPr>
          <w:b/>
        </w:rPr>
        <w:t xml:space="preserve">24 </w:t>
      </w:r>
      <w:r>
        <w:t xml:space="preserve">God that made</w:t>
      </w:r>
      <w:r>
        <w:rPr>
          <w:rStyle w:val="FootnoteReference"/>
        </w:rPr>
        <w:footnoteReference w:id="17007"/>
      </w:r>
      <w:r>
        <w:t xml:space="preserve"> the world and all things in it, seeing that he is Lord of heaven and earth, does not dwell in temples made with hands;</w:t>
      </w:r>
    </w:p>
    <w:p>
      <w:r>
        <w:rPr>
          <w:b/>
        </w:rPr>
        <w:t xml:space="preserve">25 </w:t>
      </w:r>
      <w:r>
        <w:t xml:space="preserve">Neither is he served by human hands, as though he needed anything, seeing</w:t>
      </w:r>
      <w:r>
        <w:rPr>
          <w:rStyle w:val="FootnoteReference"/>
        </w:rPr>
        <w:footnoteReference w:id="17008"/>
      </w:r>
      <w:r>
        <w:t xml:space="preserve"> he gives to all life, and breath, and all things;</w:t>
      </w:r>
    </w:p>
    <w:p>
      <w:r>
        <w:rPr>
          <w:b/>
        </w:rPr>
        <w:t xml:space="preserve">26 </w:t>
      </w:r>
      <w:r>
        <w:t xml:space="preserve">And has made from one blood every nation of men to dwell on all the face of the earth, and has determined the times before appointed, and the boundaries of their habitation;</w:t>
      </w:r>
    </w:p>
    <w:p>
      <w:r>
        <w:rPr>
          <w:b/>
        </w:rPr>
        <w:t xml:space="preserve">27 </w:t>
      </w:r>
      <w:r>
        <w:t xml:space="preserve">That they should seek the Lord, if perhaps they might feel after him, and find him, though he is not far from every one of us:</w:t>
      </w:r>
    </w:p>
    <w:p>
      <w:r>
        <w:rPr>
          <w:b/>
        </w:rPr>
        <w:t xml:space="preserve">28 </w:t>
      </w:r>
      <w:r>
        <w:t xml:space="preserve">For in him</w:t>
      </w:r>
      <w:r>
        <w:rPr>
          <w:rStyle w:val="FootnoteReference"/>
        </w:rPr>
        <w:footnoteReference w:id="17009"/>
      </w:r>
      <w:r>
        <w:t xml:space="preserve"> we live, and move, and have our being; as certain also of your own poets have said, For we are also his offspring.</w:t>
      </w:r>
    </w:p>
    <w:p>
      <w:r>
        <w:rPr>
          <w:b/>
        </w:rPr>
        <w:t xml:space="preserve">29 </w:t>
      </w:r>
      <w:r>
        <w:t xml:space="preserve">Since then we are the offspring of God, we ought</w:t>
      </w:r>
      <w:r>
        <w:rPr>
          <w:rStyle w:val="FootnoteReference"/>
        </w:rPr>
        <w:footnoteReference w:id="17010"/>
      </w:r>
      <w:r>
        <w:t xml:space="preserve"> not to think that the Godhead is like to gold, or silver, or stone, engraved by art and man's device.</w:t>
      </w:r>
    </w:p>
    <w:p>
      <w:r>
        <w:rPr>
          <w:b/>
        </w:rPr>
        <w:t xml:space="preserve">30 </w:t>
      </w:r>
      <w:r>
        <w:t xml:space="preserve">And the times</w:t>
      </w:r>
      <w:r>
        <w:rPr>
          <w:rStyle w:val="FootnoteReference"/>
        </w:rPr>
        <w:footnoteReference w:id="17011"/>
      </w:r>
      <w:r>
        <w:t xml:space="preserve"> of this ignorance God overlooked; but now commands all men everywhere to repent:</w:t>
      </w:r>
    </w:p>
    <w:p>
      <w:r>
        <w:rPr>
          <w:b/>
        </w:rPr>
        <w:t xml:space="preserve">31 </w:t>
      </w:r>
      <w:r>
        <w:t xml:space="preserve">Because he has appointed a day, in which he will judge the world in righteousness by a man whom he has ordained; of which he has given assurance to all men, in that</w:t>
      </w:r>
      <w:r>
        <w:rPr>
          <w:rStyle w:val="FootnoteReference"/>
        </w:rPr>
        <w:footnoteReference w:id="17012"/>
      </w:r>
      <w:r>
        <w:t xml:space="preserve"> he has raised him from the dead.</w:t>
      </w:r>
    </w:p>
    <w:p>
      <w:r>
        <w:rPr>
          <w:b/>
        </w:rPr>
        <w:t xml:space="preserve">32 </w:t>
      </w:r>
      <w:r>
        <w:t xml:space="preserve">And when they heard of the resurrection of the dead, some mocked: and others said, We will</w:t>
      </w:r>
      <w:r>
        <w:rPr>
          <w:rStyle w:val="FootnoteReference"/>
        </w:rPr>
        <w:footnoteReference w:id="17013"/>
      </w:r>
      <w:r>
        <w:t xml:space="preserve"> hear you again of this matter.</w:t>
      </w:r>
    </w:p>
    <w:p>
      <w:r>
        <w:rPr>
          <w:b/>
        </w:rPr>
        <w:t xml:space="preserve">33 </w:t>
      </w:r>
      <w:r>
        <w:t xml:space="preserve">So Paul departed from among them.</w:t>
      </w:r>
    </w:p>
    <w:p>
      <w:r>
        <w:rPr>
          <w:b/>
        </w:rPr>
        <w:t xml:space="preserve">34 </w:t>
      </w:r>
      <w:r>
        <w:t xml:space="preserve">Nevertheless certain</w:t>
      </w:r>
      <w:r>
        <w:rPr>
          <w:rStyle w:val="FootnoteReference"/>
        </w:rPr>
        <w:footnoteReference w:id="17014"/>
      </w:r>
      <w:r>
        <w:t xml:space="preserve"> men clung to him, and believed: among the which was Dionysius</w:t>
      </w:r>
      <w:r>
        <w:rPr>
          <w:rStyle w:val="FootnoteReference"/>
        </w:rPr>
        <w:footnoteReference w:id="17015"/>
      </w:r>
      <w:r>
        <w:t xml:space="preserve"> the Areopagite, and a woman named Damaris</w:t>
      </w:r>
      <w:r>
        <w:rPr>
          <w:rStyle w:val="FootnoteReference"/>
        </w:rPr>
        <w:footnoteReference w:id="17016"/>
      </w:r>
      <w:r>
        <w:t xml:space="preserve">, and others with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After these things Paul departed</w:t>
      </w:r>
      <w:r>
        <w:rPr>
          <w:rStyle w:val="FootnoteReference"/>
        </w:rPr>
        <w:footnoteReference w:id="17017"/>
      </w:r>
      <w:r>
        <w:t xml:space="preserve"> from Athens, and came to Corinth</w:t>
      </w:r>
      <w:r>
        <w:rPr>
          <w:rStyle w:val="FootnoteReference"/>
        </w:rPr>
        <w:footnoteReference w:id="17018"/>
      </w:r>
      <w:r>
        <w:t xml:space="preserve">;</w:t>
      </w:r>
    </w:p>
    <w:p>
      <w:r>
        <w:rPr>
          <w:b/>
        </w:rPr>
        <w:t xml:space="preserve">2 </w:t>
      </w:r>
      <w:r>
        <w:t xml:space="preserve">And found a certain Jew named Aquila</w:t>
      </w:r>
      <w:r>
        <w:rPr>
          <w:rStyle w:val="FootnoteReference"/>
        </w:rPr>
        <w:footnoteReference w:id="17019"/>
      </w:r>
      <w:r>
        <w:t xml:space="preserve">, born in Pontus, lately come from Italy</w:t>
      </w:r>
      <w:r>
        <w:rPr>
          <w:rStyle w:val="FootnoteReference"/>
        </w:rPr>
        <w:footnoteReference w:id="17020"/>
      </w:r>
      <w:r>
        <w:t xml:space="preserve">, with his wife Priscilla</w:t>
      </w:r>
      <w:r>
        <w:rPr>
          <w:rStyle w:val="FootnoteReference"/>
        </w:rPr>
        <w:footnoteReference w:id="17021"/>
      </w:r>
      <w:r>
        <w:t xml:space="preserve">; (because Claudius had commanded all Jews to depart from Rome:) and he came to them.</w:t>
      </w:r>
      <w:r>
        <w:rPr>
          <w:rStyle w:val="FootnoteReference"/>
        </w:rPr>
        <w:footnoteReference w:id="17022"/>
      </w:r>
    </w:p>
    <w:p>
      <w:r>
        <w:rPr>
          <w:b/>
        </w:rPr>
        <w:t xml:space="preserve">3 </w:t>
      </w:r>
      <w:r>
        <w:t xml:space="preserve">And because he was of the same trade, he remained with them, and worked: for by their occupation they were tentmakers.</w:t>
      </w:r>
    </w:p>
    <w:p>
      <w:r>
        <w:rPr>
          <w:b/>
        </w:rPr>
        <w:t xml:space="preserve">4 </w:t>
      </w:r>
      <w:r>
        <w:t xml:space="preserve">And he reasoned in the synagogue every sabbath, and persuaded</w:t>
      </w:r>
      <w:r>
        <w:rPr>
          <w:rStyle w:val="FootnoteReference"/>
        </w:rPr>
        <w:footnoteReference w:id="17023"/>
      </w:r>
      <w:r>
        <w:t xml:space="preserve"> the Jews and the Greeks.</w:t>
      </w:r>
    </w:p>
    <w:p>
      <w:r>
        <w:rPr>
          <w:b/>
        </w:rPr>
        <w:t xml:space="preserve">5 </w:t>
      </w:r>
      <w:r>
        <w:t xml:space="preserve">And when Silas</w:t>
      </w:r>
      <w:r>
        <w:rPr>
          <w:rStyle w:val="FootnoteReference"/>
        </w:rPr>
        <w:footnoteReference w:id="17024"/>
      </w:r>
      <w:r>
        <w:t xml:space="preserve"> and Timothy had come from Macedonia, Paul was pressed in the spirit, and testified to the Jews that Jesus was Christ.</w:t>
      </w:r>
    </w:p>
    <w:p>
      <w:r>
        <w:rPr>
          <w:b/>
        </w:rPr>
        <w:t xml:space="preserve">6 </w:t>
      </w:r>
      <w:r>
        <w:t xml:space="preserve">And when they opposed themselves, and blasphemed, he shook</w:t>
      </w:r>
      <w:r>
        <w:rPr>
          <w:rStyle w:val="FootnoteReference"/>
        </w:rPr>
        <w:footnoteReference w:id="17025"/>
      </w:r>
      <w:r>
        <w:t xml:space="preserve"> his clothing, and said to them, Your blood be upon your own heads; I am clean; from now on I will go to the nations.</w:t>
      </w:r>
    </w:p>
    <w:p>
      <w:r>
        <w:rPr>
          <w:b/>
        </w:rPr>
        <w:t xml:space="preserve">7 </w:t>
      </w:r>
      <w:r>
        <w:t xml:space="preserve">And he departed from there, and entered into a certain man's house, named Justus</w:t>
      </w:r>
      <w:r>
        <w:rPr>
          <w:rStyle w:val="FootnoteReference"/>
        </w:rPr>
        <w:footnoteReference w:id="17026"/>
      </w:r>
      <w:r>
        <w:t xml:space="preserve">, one that worshiped God, whose house was next to the synagogue.</w:t>
      </w:r>
    </w:p>
    <w:p>
      <w:r>
        <w:rPr>
          <w:b/>
        </w:rPr>
        <w:t xml:space="preserve">8 </w:t>
      </w:r>
      <w:r>
        <w:t xml:space="preserve">And Crispus</w:t>
      </w:r>
      <w:r>
        <w:rPr>
          <w:rStyle w:val="FootnoteReference"/>
        </w:rPr>
        <w:footnoteReference w:id="17027"/>
      </w:r>
      <w:r>
        <w:t xml:space="preserve">, the chief ruler of the synagogue, believed on the Lord with all his house; and many of the Corinthians</w:t>
      </w:r>
      <w:r>
        <w:rPr>
          <w:rStyle w:val="FootnoteReference"/>
        </w:rPr>
        <w:footnoteReference w:id="17028"/>
      </w:r>
      <w:r>
        <w:t xml:space="preserve"> hearing believed, and were baptized.</w:t>
      </w:r>
      <w:r>
        <w:rPr>
          <w:rStyle w:val="FootnoteReference"/>
        </w:rPr>
        <w:footnoteReference w:id="17029"/>
      </w:r>
    </w:p>
    <w:p>
      <w:r>
        <w:rPr>
          <w:b/>
        </w:rPr>
        <w:t xml:space="preserve">9 </w:t>
      </w:r>
      <w:r>
        <w:t xml:space="preserve">Then spoke the Lord to Paul in the night by a vision, do not be afraid, but speak, and hold not your peace:</w:t>
      </w:r>
    </w:p>
    <w:p>
      <w:r>
        <w:rPr>
          <w:b/>
        </w:rPr>
        <w:t xml:space="preserve">10 </w:t>
      </w:r>
      <w:r>
        <w:t xml:space="preserve">For I am with you, and no</w:t>
      </w:r>
      <w:r>
        <w:rPr>
          <w:rStyle w:val="FootnoteReference"/>
        </w:rPr>
        <w:footnoteReference w:id="17030"/>
      </w:r>
      <w:r>
        <w:t xml:space="preserve"> one shall attack you to harm you: for I have many people in this city.</w:t>
      </w:r>
    </w:p>
    <w:p>
      <w:r>
        <w:rPr>
          <w:b/>
        </w:rPr>
        <w:t xml:space="preserve">11 </w:t>
      </w:r>
      <w:r>
        <w:t xml:space="preserve">And he continued there a year and six months, teaching the word of God among them.</w:t>
      </w:r>
    </w:p>
    <w:p>
      <w:r>
        <w:rPr>
          <w:b/>
        </w:rPr>
        <w:t xml:space="preserve">12 </w:t>
      </w:r>
      <w:r>
        <w:t xml:space="preserve">And when Gallio</w:t>
      </w:r>
      <w:r>
        <w:rPr>
          <w:rStyle w:val="FootnoteReference"/>
        </w:rPr>
        <w:footnoteReference w:id="17031"/>
      </w:r>
      <w:r>
        <w:t xml:space="preserve"> was proconsul of Achaia</w:t>
      </w:r>
      <w:r>
        <w:rPr>
          <w:rStyle w:val="FootnoteReference"/>
        </w:rPr>
        <w:footnoteReference w:id="17032"/>
      </w:r>
      <w:r>
        <w:t xml:space="preserve">, the Jews rose up with one accord against Paul, and brought him to the judgment seat,</w:t>
      </w:r>
      <w:r>
        <w:rPr>
          <w:rStyle w:val="FootnoteReference"/>
        </w:rPr>
        <w:footnoteReference w:id="17033"/>
      </w:r>
    </w:p>
    <w:p>
      <w:r>
        <w:rPr>
          <w:b/>
        </w:rPr>
        <w:t xml:space="preserve">13 </w:t>
      </w:r>
      <w:r>
        <w:t xml:space="preserve">Saying, This man persuades people to worship God contrary to the law.</w:t>
      </w:r>
    </w:p>
    <w:p>
      <w:r>
        <w:rPr>
          <w:b/>
        </w:rPr>
        <w:t xml:space="preserve">14 </w:t>
      </w:r>
      <w:r>
        <w:t xml:space="preserve">And when Paul was now about to open his mouth, Gallio said to the Jews, If it were a matter of wrong or wicked crime, O you Jews, it would be reasonable that I should bear</w:t>
      </w:r>
      <w:r>
        <w:rPr>
          <w:rStyle w:val="FootnoteReference"/>
        </w:rPr>
        <w:footnoteReference w:id="17034"/>
      </w:r>
      <w:r>
        <w:t xml:space="preserve"> with you:</w:t>
      </w:r>
    </w:p>
    <w:p>
      <w:r>
        <w:rPr>
          <w:b/>
        </w:rPr>
        <w:t xml:space="preserve">15 </w:t>
      </w:r>
      <w:r>
        <w:t xml:space="preserve">But if it is a question</w:t>
      </w:r>
      <w:r>
        <w:rPr>
          <w:rStyle w:val="FootnoteReference"/>
        </w:rPr>
        <w:footnoteReference w:id="17035"/>
      </w:r>
      <w:r>
        <w:t xml:space="preserve"> about a word and names, and your law, look to it yourselves; for I do not want to be a judge of such matters.</w:t>
      </w:r>
    </w:p>
    <w:p>
      <w:r>
        <w:rPr>
          <w:b/>
        </w:rPr>
        <w:t xml:space="preserve">16 </w:t>
      </w:r>
      <w:r>
        <w:t xml:space="preserve">And he drove them from the judgment seat.</w:t>
      </w:r>
    </w:p>
    <w:p>
      <w:r>
        <w:rPr>
          <w:b/>
        </w:rPr>
        <w:t xml:space="preserve">17 </w:t>
      </w:r>
      <w:r>
        <w:t xml:space="preserve">Then all the Greeks took Sosthenes</w:t>
      </w:r>
      <w:r>
        <w:rPr>
          <w:rStyle w:val="FootnoteReference"/>
        </w:rPr>
        <w:footnoteReference w:id="17036"/>
      </w:r>
      <w:r>
        <w:t xml:space="preserve">, the chief ruler of the synagogue, and beat him before the judgment seat. And Gallio cared nothing for those things.</w:t>
      </w:r>
      <w:r>
        <w:rPr>
          <w:rStyle w:val="FootnoteReference"/>
        </w:rPr>
        <w:footnoteReference w:id="17037"/>
      </w:r>
    </w:p>
    <w:p>
      <w:r>
        <w:rPr>
          <w:b/>
        </w:rPr>
        <w:t xml:space="preserve">18 </w:t>
      </w:r>
      <w:r>
        <w:t xml:space="preserve">And Paul after this remained there yet many days, and then said farewell to the brothers, and sailed from there into Syria</w:t>
      </w:r>
      <w:r>
        <w:rPr>
          <w:rStyle w:val="FootnoteReference"/>
        </w:rPr>
        <w:footnoteReference w:id="17038"/>
      </w:r>
      <w:r>
        <w:t xml:space="preserve">, and with him Priscilla and Aquila; having shorn his head in Cenchreae</w:t>
      </w:r>
      <w:r>
        <w:rPr>
          <w:rStyle w:val="FootnoteReference"/>
        </w:rPr>
        <w:footnoteReference w:id="17039"/>
      </w:r>
      <w:r>
        <w:t xml:space="preserve">: for he had a vow.</w:t>
      </w:r>
    </w:p>
    <w:p>
      <w:r>
        <w:rPr>
          <w:b/>
        </w:rPr>
        <w:t xml:space="preserve">19 </w:t>
      </w:r>
      <w:r>
        <w:t xml:space="preserve">And he came to Ephesus</w:t>
      </w:r>
      <w:r>
        <w:rPr>
          <w:rStyle w:val="FootnoteReference"/>
        </w:rPr>
        <w:footnoteReference w:id="17040"/>
      </w:r>
      <w:r>
        <w:t xml:space="preserve">, and left them there: but he himself entered into the synagogue, and reasoned with the Jews.</w:t>
      </w:r>
      <w:r>
        <w:rPr>
          <w:rStyle w:val="FootnoteReference"/>
        </w:rPr>
        <w:footnoteReference w:id="17041"/>
      </w:r>
    </w:p>
    <w:p>
      <w:r>
        <w:rPr>
          <w:b/>
        </w:rPr>
        <w:t xml:space="preserve">20 </w:t>
      </w:r>
      <w:r>
        <w:t xml:space="preserve">When they asked him to remain longer with them, he did not consent;</w:t>
      </w:r>
    </w:p>
    <w:p>
      <w:r>
        <w:rPr>
          <w:b/>
        </w:rPr>
        <w:t xml:space="preserve">21 </w:t>
      </w:r>
      <w:r>
        <w:t xml:space="preserve">But said farewell to them, saying, I must</w:t>
      </w:r>
      <w:r>
        <w:rPr>
          <w:rStyle w:val="FootnoteReference"/>
        </w:rPr>
        <w:footnoteReference w:id="17042"/>
      </w:r>
      <w:r>
        <w:t xml:space="preserve"> by all means keep this coming feast in Jerusalem: but I will return again to you, if God wills. And he sailed from Ephesus.</w:t>
      </w:r>
    </w:p>
    <w:p>
      <w:r>
        <w:rPr>
          <w:b/>
        </w:rPr>
        <w:t xml:space="preserve">22 </w:t>
      </w:r>
      <w:r>
        <w:t xml:space="preserve">And when he had landed at Caesarea</w:t>
      </w:r>
      <w:r>
        <w:rPr>
          <w:rStyle w:val="FootnoteReference"/>
        </w:rPr>
        <w:footnoteReference w:id="17043"/>
      </w:r>
      <w:r>
        <w:t xml:space="preserve">, and gone up, and saluted the assembly, he went down to Antioch.</w:t>
      </w:r>
    </w:p>
    <w:p>
      <w:r>
        <w:rPr>
          <w:b/>
        </w:rPr>
        <w:t xml:space="preserve">23 </w:t>
      </w:r>
      <w:r>
        <w:t xml:space="preserve">And after he had spent some time there, he departed, and went through the Galatian region and Phrygia in order, strengthening</w:t>
      </w:r>
      <w:r>
        <w:rPr>
          <w:rStyle w:val="FootnoteReference"/>
        </w:rPr>
        <w:footnoteReference w:id="17044"/>
      </w:r>
      <w:r>
        <w:t xml:space="preserve"> all the disciples.</w:t>
      </w:r>
    </w:p>
    <w:p>
      <w:r>
        <w:rPr>
          <w:b/>
        </w:rPr>
        <w:t xml:space="preserve">24 </w:t>
      </w:r>
      <w:r>
        <w:t xml:space="preserve">And a certain Jew named Apollos</w:t>
      </w:r>
      <w:r>
        <w:rPr>
          <w:rStyle w:val="FootnoteReference"/>
        </w:rPr>
        <w:footnoteReference w:id="17045"/>
      </w:r>
      <w:r>
        <w:t xml:space="preserve">, born at Alexandria</w:t>
      </w:r>
      <w:r>
        <w:rPr>
          <w:rStyle w:val="FootnoteReference"/>
        </w:rPr>
        <w:footnoteReference w:id="17046"/>
      </w:r>
      <w:r>
        <w:t xml:space="preserve">, an eloquent man, and mighty in the Scriptures, came to Ephesus.</w:t>
      </w:r>
      <w:r>
        <w:rPr>
          <w:rStyle w:val="FootnoteReference"/>
        </w:rPr>
        <w:footnoteReference w:id="17047"/>
      </w:r>
    </w:p>
    <w:p>
      <w:r>
        <w:rPr>
          <w:b/>
        </w:rPr>
        <w:t xml:space="preserve">25 </w:t>
      </w:r>
      <w:r>
        <w:t xml:space="preserve">This man was instructed</w:t>
      </w:r>
      <w:r>
        <w:rPr>
          <w:rStyle w:val="FootnoteReference"/>
        </w:rPr>
        <w:footnoteReference w:id="17048"/>
      </w:r>
      <w:r>
        <w:t xml:space="preserve"> in the way of the Lord; and being fervent in spirit, he spoke and taught accurately the things of the Lord, knowing only the baptism of John.</w:t>
      </w:r>
    </w:p>
    <w:p>
      <w:r>
        <w:rPr>
          <w:b/>
        </w:rPr>
        <w:t xml:space="preserve">26 </w:t>
      </w:r>
      <w:r>
        <w:t xml:space="preserve">And he began to speak</w:t>
      </w:r>
      <w:r>
        <w:rPr>
          <w:rStyle w:val="FootnoteReference"/>
        </w:rPr>
        <w:footnoteReference w:id="17049"/>
      </w:r>
      <w:r>
        <w:t xml:space="preserve"> boldly in the synagogue: whom when Aquila and Priscilla had heard, they took him aside, and explained to him the way of God more accurately.</w:t>
      </w:r>
    </w:p>
    <w:p>
      <w:r>
        <w:rPr>
          <w:b/>
        </w:rPr>
        <w:t xml:space="preserve">27 </w:t>
      </w:r>
      <w:r>
        <w:t xml:space="preserve">And when he wanted to pass into Achaia, the brothers wrote, exhorting</w:t>
      </w:r>
      <w:r>
        <w:rPr>
          <w:rStyle w:val="FootnoteReference"/>
        </w:rPr>
        <w:footnoteReference w:id="17050"/>
      </w:r>
      <w:r>
        <w:t xml:space="preserve"> the disciples to receive him: who, when he had come, helped those much who had believed through grace:</w:t>
      </w:r>
    </w:p>
    <w:p>
      <w:r>
        <w:rPr>
          <w:b/>
        </w:rPr>
        <w:t xml:space="preserve">28 </w:t>
      </w:r>
      <w:r>
        <w:t xml:space="preserve">For he powerfully refuted the Jews publicly, showing</w:t>
      </w:r>
      <w:r>
        <w:rPr>
          <w:rStyle w:val="FootnoteReference"/>
        </w:rPr>
        <w:footnoteReference w:id="17051"/>
      </w:r>
      <w:r>
        <w:t xml:space="preserve"> by the Scriptures that Jesus was Christ.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it happened, that, while Apollos was at Corinth, Paul</w:t>
      </w:r>
      <w:r>
        <w:rPr>
          <w:rStyle w:val="FootnoteReference"/>
        </w:rPr>
        <w:footnoteReference w:id="17052"/>
      </w:r>
      <w:r>
        <w:t xml:space="preserve"> having passed through the upper regions came to Ephesus: and finding certain disciples,</w:t>
      </w:r>
    </w:p>
    <w:p>
      <w:r>
        <w:rPr>
          <w:b/>
        </w:rPr>
        <w:t xml:space="preserve">2 </w:t>
      </w:r>
      <w:r>
        <w:t xml:space="preserve">He said to them, Did you receive the Holy Spirit when you believed? And they said to him, We have not even heard whether there is any Holy Spirit.</w:t>
      </w:r>
    </w:p>
    <w:p>
      <w:r>
        <w:rPr>
          <w:b/>
        </w:rPr>
        <w:t xml:space="preserve">3 </w:t>
      </w:r>
      <w:r>
        <w:t xml:space="preserve">And he said to them, Into what then were you baptized? And they said, Into John's baptism.</w:t>
      </w:r>
    </w:p>
    <w:p>
      <w:r>
        <w:rPr>
          <w:b/>
        </w:rPr>
        <w:t xml:space="preserve">4 </w:t>
      </w:r>
      <w:r>
        <w:t xml:space="preserve">Then Paul said, John</w:t>
      </w:r>
      <w:r>
        <w:rPr>
          <w:rStyle w:val="FootnoteReference"/>
        </w:rPr>
        <w:footnoteReference w:id="17053"/>
      </w:r>
      <w:r>
        <w:t xml:space="preserve"> truly baptized with the baptism of repentance, saying to the people, that they should believe on him who should come after him, that is, on Christ Jesus.</w:t>
      </w:r>
    </w:p>
    <w:p>
      <w:r>
        <w:rPr>
          <w:b/>
        </w:rPr>
        <w:t xml:space="preserve">5 </w:t>
      </w:r>
      <w:r>
        <w:t xml:space="preserve">When they heard this, they were baptized in the name of the Lord Jesus.</w:t>
      </w:r>
    </w:p>
    <w:p>
      <w:r>
        <w:rPr>
          <w:b/>
        </w:rPr>
        <w:t xml:space="preserve">6 </w:t>
      </w:r>
      <w:r>
        <w:t xml:space="preserve">And when Paul had laid</w:t>
      </w:r>
      <w:r>
        <w:rPr>
          <w:rStyle w:val="FootnoteReference"/>
        </w:rPr>
        <w:footnoteReference w:id="17054"/>
      </w:r>
      <w:r>
        <w:t xml:space="preserve"> his hands upon them, the Holy Spirit came on them; and they spoke with tongues, and prophesied.</w:t>
      </w:r>
    </w:p>
    <w:p>
      <w:r>
        <w:rPr>
          <w:b/>
        </w:rPr>
        <w:t xml:space="preserve">7 </w:t>
      </w:r>
      <w:r>
        <w:t xml:space="preserve">And all the men were about twelve.</w:t>
      </w:r>
    </w:p>
    <w:p>
      <w:r>
        <w:rPr>
          <w:b/>
        </w:rPr>
        <w:t xml:space="preserve">8 </w:t>
      </w:r>
      <w:r>
        <w:t xml:space="preserve">And he went</w:t>
      </w:r>
      <w:r>
        <w:rPr>
          <w:rStyle w:val="FootnoteReference"/>
        </w:rPr>
        <w:footnoteReference w:id="17055"/>
      </w:r>
      <w:r>
        <w:t xml:space="preserve"> into the synagogue, and spoke boldly for the space of three months, reasoning and persuading the things concerning the kingdom of God.</w:t>
      </w:r>
    </w:p>
    <w:p>
      <w:r>
        <w:rPr>
          <w:b/>
        </w:rPr>
        <w:t xml:space="preserve">9 </w:t>
      </w:r>
      <w:r>
        <w:t xml:space="preserve">But when some were hardened, and did not believe, but spoke evil of the Way before the multitude, he departed</w:t>
      </w:r>
      <w:r>
        <w:rPr>
          <w:rStyle w:val="FootnoteReference"/>
        </w:rPr>
        <w:footnoteReference w:id="17056"/>
      </w:r>
      <w:r>
        <w:t xml:space="preserve"> from them, and separated the disciples, reasoning daily in the school of one Tyrannus</w:t>
      </w:r>
      <w:r>
        <w:rPr>
          <w:rStyle w:val="FootnoteReference"/>
        </w:rPr>
        <w:footnoteReference w:id="17057"/>
      </w:r>
      <w:r>
        <w:t xml:space="preserve">.</w:t>
      </w:r>
    </w:p>
    <w:p>
      <w:r>
        <w:rPr>
          <w:b/>
        </w:rPr>
        <w:t xml:space="preserve">10 </w:t>
      </w:r>
      <w:r>
        <w:t xml:space="preserve">And this continued by the space of two years; so that all those who dwelt in Asia</w:t>
      </w:r>
      <w:r>
        <w:rPr>
          <w:rStyle w:val="FootnoteReference"/>
        </w:rPr>
        <w:footnoteReference w:id="17058"/>
      </w:r>
      <w:r>
        <w:t xml:space="preserve"> heard the word of the Lord Jesus, both Jews and Greeks.</w:t>
      </w:r>
    </w:p>
    <w:p>
      <w:r>
        <w:rPr>
          <w:b/>
        </w:rPr>
        <w:t xml:space="preserve">11 </w:t>
      </w:r>
      <w:r>
        <w:t xml:space="preserve">And God worked no ordinary miracles by the hands of Paul:</w:t>
      </w:r>
    </w:p>
    <w:p>
      <w:r>
        <w:rPr>
          <w:b/>
        </w:rPr>
        <w:t xml:space="preserve">12 </w:t>
      </w:r>
      <w:r>
        <w:t xml:space="preserve">So that from his body were brought to the sick handkerchiefs or aprons, and the diseases departed from them, and the evil spirits went out of them.</w:t>
      </w:r>
    </w:p>
    <w:p>
      <w:r>
        <w:rPr>
          <w:b/>
        </w:rPr>
        <w:t xml:space="preserve">13 </w:t>
      </w:r>
      <w:r>
        <w:t xml:space="preserve">Then certain of the vagabond</w:t>
      </w:r>
      <w:r>
        <w:rPr>
          <w:rStyle w:val="FootnoteReference"/>
        </w:rPr>
        <w:footnoteReference w:id="17059"/>
      </w:r>
      <w:r>
        <w:t xml:space="preserve"> Jews, exorcists, took upon them to call over those who had evil spirits the name of the Lord Jesus, saying, We adjure you by Jesus whom Paul preaches.</w:t>
      </w:r>
    </w:p>
    <w:p>
      <w:r>
        <w:rPr>
          <w:b/>
        </w:rPr>
        <w:t xml:space="preserve">14 </w:t>
      </w:r>
      <w:r>
        <w:t xml:space="preserve">And there were seven sons of one Sceva</w:t>
      </w:r>
      <w:r>
        <w:rPr>
          <w:rStyle w:val="FootnoteReference"/>
        </w:rPr>
        <w:footnoteReference w:id="17060"/>
      </w:r>
      <w:r>
        <w:t xml:space="preserve">, a Jewish chief priest, who did so.</w:t>
      </w:r>
    </w:p>
    <w:p>
      <w:r>
        <w:rPr>
          <w:b/>
        </w:rPr>
        <w:t xml:space="preserve">15 </w:t>
      </w:r>
      <w:r>
        <w:t xml:space="preserve">And the evil spirit answered and said, Jesus I know, and Paul I know; but who are you?</w:t>
      </w:r>
    </w:p>
    <w:p>
      <w:r>
        <w:rPr>
          <w:b/>
        </w:rPr>
        <w:t xml:space="preserve">16 </w:t>
      </w:r>
      <w:r>
        <w:t xml:space="preserve">And the man in whom the evil spirit was leaped on them, and overcame them, and prevailed against them, so that they fled out of that house naked and wounded.</w:t>
      </w:r>
    </w:p>
    <w:p>
      <w:r>
        <w:rPr>
          <w:b/>
        </w:rPr>
        <w:t xml:space="preserve">17 </w:t>
      </w:r>
      <w:r>
        <w:t xml:space="preserve">And this was known to all the Jews and Greeks also dwelling at Ephesus; and fear</w:t>
      </w:r>
      <w:r>
        <w:rPr>
          <w:rStyle w:val="FootnoteReference"/>
        </w:rPr>
        <w:footnoteReference w:id="17061"/>
      </w:r>
      <w:r>
        <w:t xml:space="preserve"> fell on them all, and the name of the Lord Jesus was magnified.</w:t>
      </w:r>
    </w:p>
    <w:p>
      <w:r>
        <w:rPr>
          <w:b/>
        </w:rPr>
        <w:t xml:space="preserve">18 </w:t>
      </w:r>
      <w:r>
        <w:t xml:space="preserve">And many who believed came, confessing and declaring their deeds.</w:t>
      </w:r>
    </w:p>
    <w:p>
      <w:r>
        <w:rPr>
          <w:b/>
        </w:rPr>
        <w:t xml:space="preserve">19 </w:t>
      </w:r>
      <w:r>
        <w:t xml:space="preserve">Many also of those who practiced curious arts brought their books together, and burned</w:t>
      </w:r>
      <w:r>
        <w:rPr>
          <w:rStyle w:val="FootnoteReference"/>
        </w:rPr>
        <w:footnoteReference w:id="17062"/>
      </w:r>
      <w:r>
        <w:t xml:space="preserve"> them before all: and they counted the price of them, and found it fifty thousand pieces of silver.</w:t>
      </w:r>
    </w:p>
    <w:p>
      <w:r>
        <w:rPr>
          <w:b/>
        </w:rPr>
        <w:t xml:space="preserve">20 </w:t>
      </w:r>
      <w:r>
        <w:t xml:space="preserve">So mightily the word of the Lord grew and prevailed.</w:t>
      </w:r>
    </w:p>
    <w:p>
      <w:r>
        <w:rPr>
          <w:b/>
        </w:rPr>
        <w:t xml:space="preserve">21 </w:t>
      </w:r>
      <w:r>
        <w:t xml:space="preserve">After these things were fulfilled, Paul purposed</w:t>
      </w:r>
      <w:r>
        <w:rPr>
          <w:rStyle w:val="FootnoteReference"/>
        </w:rPr>
        <w:footnoteReference w:id="17063"/>
      </w:r>
      <w:r>
        <w:t xml:space="preserve"> in the spirit, when he had passed through Macedonia and Achaia, to go to Jerusalem, saying, After I have been there, I must also see Rome.</w:t>
      </w:r>
    </w:p>
    <w:p>
      <w:r>
        <w:rPr>
          <w:b/>
        </w:rPr>
        <w:t xml:space="preserve">22 </w:t>
      </w:r>
      <w:r>
        <w:t xml:space="preserve">So he sent into Macedonia</w:t>
      </w:r>
      <w:r>
        <w:rPr>
          <w:rStyle w:val="FootnoteReference"/>
        </w:rPr>
        <w:footnoteReference w:id="17064"/>
      </w:r>
      <w:r>
        <w:t xml:space="preserve"> two of those who ministered to him, Timothy and Erastus</w:t>
      </w:r>
      <w:r>
        <w:rPr>
          <w:rStyle w:val="FootnoteReference"/>
        </w:rPr>
        <w:footnoteReference w:id="17065"/>
      </w:r>
      <w:r>
        <w:t xml:space="preserve">; but he himself stayed in Asia for a time.</w:t>
      </w:r>
    </w:p>
    <w:p>
      <w:r>
        <w:rPr>
          <w:b/>
        </w:rPr>
        <w:t xml:space="preserve">23 </w:t>
      </w:r>
      <w:r>
        <w:t xml:space="preserve">And at the same time there arose no small disturbance about the Way.</w:t>
      </w:r>
    </w:p>
    <w:p>
      <w:r>
        <w:rPr>
          <w:b/>
        </w:rPr>
        <w:t xml:space="preserve">24 </w:t>
      </w:r>
      <w:r>
        <w:t xml:space="preserve">For a certain man named Demetrius</w:t>
      </w:r>
      <w:r>
        <w:rPr>
          <w:rStyle w:val="FootnoteReference"/>
        </w:rPr>
        <w:footnoteReference w:id="17066"/>
      </w:r>
      <w:r>
        <w:t xml:space="preserve">, a silversmith, who made silver shrines of Artemis</w:t>
      </w:r>
      <w:r>
        <w:rPr>
          <w:rStyle w:val="FootnoteReference"/>
        </w:rPr>
        <w:footnoteReference w:id="17067"/>
      </w:r>
      <w:r>
        <w:t xml:space="preserve">, brought</w:t>
      </w:r>
      <w:r>
        <w:rPr>
          <w:rStyle w:val="FootnoteReference"/>
        </w:rPr>
        <w:footnoteReference w:id="17068"/>
      </w:r>
      <w:r>
        <w:t xml:space="preserve"> no small gain to the craftsmen;</w:t>
      </w:r>
    </w:p>
    <w:p>
      <w:r>
        <w:rPr>
          <w:b/>
        </w:rPr>
        <w:t xml:space="preserve">25 </w:t>
      </w:r>
      <w:r>
        <w:t xml:space="preserve">Whom he called together with the workmen of like occupation, and said, Men, you know that by this craft we have our wealth.</w:t>
      </w:r>
    </w:p>
    <w:p>
      <w:r>
        <w:rPr>
          <w:b/>
        </w:rPr>
        <w:t xml:space="preserve">26 </w:t>
      </w:r>
      <w:r>
        <w:t xml:space="preserve">Moreover you see and hear, that not</w:t>
      </w:r>
      <w:r>
        <w:rPr>
          <w:rStyle w:val="FootnoteReference"/>
        </w:rPr>
        <w:footnoteReference w:id="17069"/>
      </w:r>
      <w:r>
        <w:t xml:space="preserve"> only at Ephesus, but almost throughout all Asia, this Paul has persuaded and turned away many people, saying that they are not gods which are made with hands:</w:t>
      </w:r>
    </w:p>
    <w:p>
      <w:r>
        <w:rPr>
          <w:b/>
        </w:rPr>
        <w:t xml:space="preserve">27 </w:t>
      </w:r>
      <w:r>
        <w:t xml:space="preserve">So that not</w:t>
      </w:r>
      <w:r>
        <w:rPr>
          <w:rStyle w:val="FootnoteReference"/>
        </w:rPr>
        <w:footnoteReference w:id="17070"/>
      </w:r>
      <w:r>
        <w:t xml:space="preserve"> only is this our trade in danger of coming into disrepute; but also that the temple of the great goddess Artemis should be counted as nothing, and her magnificence should be destroyed, whom all Asia and the world worships.</w:t>
      </w:r>
    </w:p>
    <w:p>
      <w:r>
        <w:rPr>
          <w:b/>
        </w:rPr>
        <w:t xml:space="preserve">28 </w:t>
      </w:r>
      <w:r>
        <w:t xml:space="preserve">And when they heard these things, they were full of wrath, and cried</w:t>
      </w:r>
      <w:r>
        <w:rPr>
          <w:rStyle w:val="FootnoteReference"/>
        </w:rPr>
        <w:footnoteReference w:id="17071"/>
      </w:r>
      <w:r>
        <w:t xml:space="preserve"> out, saying, Great is Artemis of the Ephesians</w:t>
      </w:r>
      <w:r>
        <w:rPr>
          <w:rStyle w:val="FootnoteReference"/>
        </w:rPr>
        <w:footnoteReference w:id="17072"/>
      </w:r>
      <w:r>
        <w:t xml:space="preserve">.</w:t>
      </w:r>
    </w:p>
    <w:p>
      <w:r>
        <w:rPr>
          <w:b/>
        </w:rPr>
        <w:t xml:space="preserve">29 </w:t>
      </w:r>
      <w:r>
        <w:t xml:space="preserve">And the whole</w:t>
      </w:r>
      <w:r>
        <w:rPr>
          <w:rStyle w:val="FootnoteReference"/>
        </w:rPr>
        <w:footnoteReference w:id="17073"/>
      </w:r>
      <w:r>
        <w:t xml:space="preserve"> city was filled with confusion: and having seized Gaius</w:t>
      </w:r>
      <w:r>
        <w:rPr>
          <w:rStyle w:val="FootnoteReference"/>
        </w:rPr>
        <w:footnoteReference w:id="17074"/>
      </w:r>
      <w:r>
        <w:t xml:space="preserve"> and Aristarchus</w:t>
      </w:r>
      <w:r>
        <w:rPr>
          <w:rStyle w:val="FootnoteReference"/>
        </w:rPr>
        <w:footnoteReference w:id="17075"/>
      </w:r>
      <w:r>
        <w:t xml:space="preserve">, Macedonians</w:t>
      </w:r>
      <w:r>
        <w:rPr>
          <w:rStyle w:val="FootnoteReference"/>
        </w:rPr>
        <w:footnoteReference w:id="17076"/>
      </w:r>
      <w:r>
        <w:t xml:space="preserve">, Paul's companions in travel, they rushed with one accord into the theater.</w:t>
      </w:r>
    </w:p>
    <w:p>
      <w:r>
        <w:rPr>
          <w:b/>
        </w:rPr>
        <w:t xml:space="preserve">30 </w:t>
      </w:r>
      <w:r>
        <w:t xml:space="preserve">And when Paul</w:t>
      </w:r>
      <w:r>
        <w:rPr>
          <w:rStyle w:val="FootnoteReference"/>
        </w:rPr>
        <w:footnoteReference w:id="17077"/>
      </w:r>
      <w:r>
        <w:t xml:space="preserve"> wanted to enter in to the people, the disciples did not allow him.</w:t>
      </w:r>
    </w:p>
    <w:p>
      <w:r>
        <w:rPr>
          <w:b/>
        </w:rPr>
        <w:t xml:space="preserve">31 </w:t>
      </w:r>
      <w:r>
        <w:t xml:space="preserve">And certain of the chief</w:t>
      </w:r>
      <w:r>
        <w:rPr>
          <w:rStyle w:val="FootnoteReference"/>
        </w:rPr>
        <w:footnoteReference w:id="17078"/>
      </w:r>
      <w:r>
        <w:t xml:space="preserve"> of Asia, who were his friends, sent to him, desiring him that he would not venture himself into the theatre.</w:t>
      </w:r>
    </w:p>
    <w:p>
      <w:r>
        <w:rPr>
          <w:b/>
        </w:rPr>
        <w:t xml:space="preserve">32 </w:t>
      </w:r>
      <w:r>
        <w:t xml:space="preserve">Some therefore cried</w:t>
      </w:r>
      <w:r>
        <w:rPr>
          <w:rStyle w:val="FootnoteReference"/>
        </w:rPr>
        <w:footnoteReference w:id="17079"/>
      </w:r>
      <w:r>
        <w:t xml:space="preserve"> one thing, and some another: for the assembly was confused: and most did not know why they had come together.</w:t>
      </w:r>
    </w:p>
    <w:p>
      <w:r>
        <w:rPr>
          <w:b/>
        </w:rPr>
        <w:t xml:space="preserve">33 </w:t>
      </w:r>
      <w:r>
        <w:t xml:space="preserve">And they brought Alexander</w:t>
      </w:r>
      <w:r>
        <w:rPr>
          <w:rStyle w:val="FootnoteReference"/>
        </w:rPr>
        <w:footnoteReference w:id="17080"/>
      </w:r>
      <w:r>
        <w:t xml:space="preserve"> out of the crowd, the Jews putting him forward. And Alexander beckoned with the hand, and wanted to make a defense to the people.</w:t>
      </w:r>
      <w:r>
        <w:rPr>
          <w:rStyle w:val="FootnoteReference"/>
        </w:rPr>
        <w:footnoteReference w:id="17081"/>
      </w:r>
    </w:p>
    <w:p>
      <w:r>
        <w:rPr>
          <w:b/>
        </w:rPr>
        <w:t xml:space="preserve">34 </w:t>
      </w:r>
      <w:r>
        <w:t xml:space="preserve">But when they knew</w:t>
      </w:r>
      <w:r>
        <w:rPr>
          <w:rStyle w:val="FootnoteReference"/>
        </w:rPr>
        <w:footnoteReference w:id="17082"/>
      </w:r>
      <w:r>
        <w:t xml:space="preserve"> that he was a Jew, all with one voice about the space of two hours cried out, Great is Artemis of the Ephesians.</w:t>
      </w:r>
    </w:p>
    <w:p>
      <w:r>
        <w:rPr>
          <w:b/>
        </w:rPr>
        <w:t xml:space="preserve">35 </w:t>
      </w:r>
      <w:r>
        <w:t xml:space="preserve">And when the public clerk had appeased the people, he said, You men of Ephesus, what man is there that does not know how that the city of the Ephesians is a worshipper of the great goddess Diana</w:t>
      </w:r>
      <w:r>
        <w:rPr>
          <w:rStyle w:val="FootnoteReference"/>
        </w:rPr>
        <w:footnoteReference w:id="17083"/>
      </w:r>
      <w:r>
        <w:t xml:space="preserve">, and of</w:t>
      </w:r>
      <w:r>
        <w:rPr>
          <w:rStyle w:val="FootnoteReference"/>
        </w:rPr>
        <w:footnoteReference w:id="17084"/>
      </w:r>
      <w:r>
        <w:t xml:space="preserve"> the image which fell down from Jupiter</w:t>
      </w:r>
      <w:r>
        <w:rPr>
          <w:rStyle w:val="FootnoteReference"/>
        </w:rPr>
        <w:footnoteReference w:id="17085"/>
      </w:r>
      <w:r>
        <w:t xml:space="preserve">?</w:t>
      </w:r>
    </w:p>
    <w:p>
      <w:r>
        <w:rPr>
          <w:b/>
        </w:rPr>
        <w:t xml:space="preserve">36 </w:t>
      </w:r>
      <w:r>
        <w:t xml:space="preserve">Seeing then that these things cannot be contradicted, you ought to be quiet, and to do nothing rashly.</w:t>
      </w:r>
    </w:p>
    <w:p>
      <w:r>
        <w:rPr>
          <w:b/>
        </w:rPr>
        <w:t xml:space="preserve">37 </w:t>
      </w:r>
      <w:r>
        <w:t xml:space="preserve">For you have brought here these men, who are neither temple robbers, nor blasphemers of your goddess.</w:t>
      </w:r>
    </w:p>
    <w:p>
      <w:r>
        <w:rPr>
          <w:b/>
        </w:rPr>
        <w:t xml:space="preserve">38 </w:t>
      </w:r>
      <w:r>
        <w:t xml:space="preserve">Therefore if Demetrius</w:t>
      </w:r>
      <w:r>
        <w:rPr>
          <w:rStyle w:val="FootnoteReference"/>
        </w:rPr>
        <w:footnoteReference w:id="17086"/>
      </w:r>
      <w:r>
        <w:t xml:space="preserve">, and the craftsmen who are with him, have a matter against anyone, the courts are open, and there are proconsuls: let them accuse one another.</w:t>
      </w:r>
    </w:p>
    <w:p>
      <w:r>
        <w:rPr>
          <w:b/>
        </w:rPr>
        <w:t xml:space="preserve">39 </w:t>
      </w:r>
      <w:r>
        <w:t xml:space="preserve">But if you inquire anything concerning other matters, it shall be determined in a lawful</w:t>
      </w:r>
      <w:r>
        <w:rPr>
          <w:rStyle w:val="FootnoteReference"/>
        </w:rPr>
        <w:footnoteReference w:id="17087"/>
      </w:r>
      <w:r>
        <w:t xml:space="preserve"> assembly.</w:t>
      </w:r>
    </w:p>
    <w:p>
      <w:r>
        <w:rPr>
          <w:b/>
        </w:rPr>
        <w:t xml:space="preserve">40 </w:t>
      </w:r>
      <w:r>
        <w:t xml:space="preserve">For we are</w:t>
      </w:r>
      <w:r>
        <w:rPr>
          <w:rStyle w:val="FootnoteReference"/>
        </w:rPr>
        <w:footnoteReference w:id="17088"/>
      </w:r>
      <w:r>
        <w:t xml:space="preserve"> in danger of being called in question for this day's uproar, there being no cause by which we may give an account of this disorderly gathering.</w:t>
      </w:r>
    </w:p>
    <w:p>
      <w:r>
        <w:rPr>
          <w:b/>
        </w:rPr>
        <w:t xml:space="preserve">41 </w:t>
      </w:r>
      <w:r>
        <w:t xml:space="preserve">And when he had thus spoken, he dismissed</w:t>
      </w:r>
      <w:r>
        <w:rPr>
          <w:rStyle w:val="FootnoteReference"/>
        </w:rPr>
        <w:footnoteReference w:id="17089"/>
      </w:r>
      <w:r>
        <w:t xml:space="preserve"> the assembly.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after the uproar ceased, Paul called the disciples to him, and embraced</w:t>
      </w:r>
      <w:r>
        <w:rPr>
          <w:rStyle w:val="FootnoteReference"/>
        </w:rPr>
        <w:footnoteReference w:id="17090"/>
      </w:r>
      <w:r>
        <w:t xml:space="preserve"> them, and departed to go into Macedonia.</w:t>
      </w:r>
    </w:p>
    <w:p>
      <w:r>
        <w:rPr>
          <w:b/>
        </w:rPr>
        <w:t xml:space="preserve">2 </w:t>
      </w:r>
      <w:r>
        <w:t xml:space="preserve">And when he had gone over those</w:t>
      </w:r>
      <w:r>
        <w:rPr>
          <w:rStyle w:val="FootnoteReference"/>
        </w:rPr>
        <w:footnoteReference w:id="17091"/>
      </w:r>
      <w:r>
        <w:t xml:space="preserve"> parts, and had given them much exhortation, he came into Greece</w:t>
      </w:r>
      <w:r>
        <w:rPr>
          <w:rStyle w:val="FootnoteReference"/>
        </w:rPr>
        <w:footnoteReference w:id="17092"/>
      </w:r>
      <w:r>
        <w:t xml:space="preserve">,</w:t>
      </w:r>
    </w:p>
    <w:p>
      <w:r>
        <w:rPr>
          <w:b/>
        </w:rPr>
        <w:t xml:space="preserve">3 </w:t>
      </w:r>
      <w:r>
        <w:t xml:space="preserve">And there remained three months. And when a plot was made against him by the Jews</w:t>
      </w:r>
      <w:r>
        <w:rPr>
          <w:rStyle w:val="FootnoteReference"/>
        </w:rPr>
        <w:footnoteReference w:id="17093"/>
      </w:r>
      <w:r>
        <w:t xml:space="preserve">, as he was about to sail into Syria, he purposed to return through Macedonia.</w:t>
      </w:r>
    </w:p>
    <w:p>
      <w:r>
        <w:rPr>
          <w:b/>
        </w:rPr>
        <w:t xml:space="preserve">4 </w:t>
      </w:r>
      <w:r>
        <w:t xml:space="preserve">And there accompanied him as far as Asia Sopater</w:t>
      </w:r>
      <w:r>
        <w:rPr>
          <w:rStyle w:val="FootnoteReference"/>
        </w:rPr>
        <w:footnoteReference w:id="17094"/>
      </w:r>
      <w:r>
        <w:t xml:space="preserve"> the Berean</w:t>
      </w:r>
      <w:r>
        <w:rPr>
          <w:rStyle w:val="FootnoteReference"/>
        </w:rPr>
        <w:footnoteReference w:id="17095"/>
      </w:r>
      <w:r>
        <w:t xml:space="preserve">; and of the Thessalonians</w:t>
      </w:r>
      <w:r>
        <w:rPr>
          <w:rStyle w:val="FootnoteReference"/>
        </w:rPr>
        <w:footnoteReference w:id="17096"/>
      </w:r>
      <w:r>
        <w:t xml:space="preserve">, Aristarchus and Secundus</w:t>
      </w:r>
      <w:r>
        <w:rPr>
          <w:rStyle w:val="FootnoteReference"/>
        </w:rPr>
        <w:footnoteReference w:id="17097"/>
      </w:r>
      <w:r>
        <w:t xml:space="preserve">; and Gaius of Derbe, and Timothy; and of Asia, Tychicus</w:t>
      </w:r>
      <w:r>
        <w:rPr>
          <w:rStyle w:val="FootnoteReference"/>
        </w:rPr>
        <w:footnoteReference w:id="17098"/>
      </w:r>
      <w:r>
        <w:t xml:space="preserve"> and Trophimus</w:t>
      </w:r>
      <w:r>
        <w:rPr>
          <w:rStyle w:val="FootnoteReference"/>
        </w:rPr>
        <w:footnoteReference w:id="17099"/>
      </w:r>
      <w:r>
        <w:t xml:space="preserve">.</w:t>
      </w:r>
      <w:r>
        <w:rPr>
          <w:rStyle w:val="FootnoteReference"/>
        </w:rPr>
        <w:footnoteReference w:id="17100"/>
      </w:r>
    </w:p>
    <w:p>
      <w:r>
        <w:rPr>
          <w:b/>
        </w:rPr>
        <w:t xml:space="preserve">5 </w:t>
      </w:r>
      <w:r>
        <w:t xml:space="preserve">These going before waited for us at Troas</w:t>
      </w:r>
      <w:r>
        <w:rPr>
          <w:rStyle w:val="FootnoteReference"/>
        </w:rPr>
        <w:footnoteReference w:id="17101"/>
      </w:r>
      <w:r>
        <w:t xml:space="preserve">.</w:t>
      </w:r>
    </w:p>
    <w:p>
      <w:r>
        <w:rPr>
          <w:b/>
        </w:rPr>
        <w:t xml:space="preserve">6 </w:t>
      </w:r>
      <w:r>
        <w:t xml:space="preserve">And we sailed away from Philippi</w:t>
      </w:r>
      <w:r>
        <w:rPr>
          <w:rStyle w:val="FootnoteReference"/>
        </w:rPr>
        <w:footnoteReference w:id="17102"/>
      </w:r>
      <w:r>
        <w:t xml:space="preserve"> after the days of unleavened bread, and came to them at Troas in five days; where we remained seven days.</w:t>
      </w:r>
    </w:p>
    <w:p>
      <w:r>
        <w:rPr>
          <w:b/>
        </w:rPr>
        <w:t xml:space="preserve">7 </w:t>
      </w:r>
      <w:r>
        <w:t xml:space="preserve">And upon the first</w:t>
      </w:r>
      <w:r>
        <w:rPr>
          <w:rStyle w:val="FootnoteReference"/>
        </w:rPr>
        <w:footnoteReference w:id="17103"/>
      </w:r>
      <w:r>
        <w:t xml:space="preserve"> day of the week, when the disciples came together to break bread, Paul reasoned with them, being ready to depart on the next day; and continued his speech until midnight.</w:t>
      </w:r>
    </w:p>
    <w:p>
      <w:r>
        <w:rPr>
          <w:b/>
        </w:rPr>
        <w:t xml:space="preserve">8 </w:t>
      </w:r>
      <w:r>
        <w:t xml:space="preserve">And there were many lamps in the upper room, where they were gathered together.</w:t>
      </w:r>
    </w:p>
    <w:p>
      <w:r>
        <w:rPr>
          <w:b/>
        </w:rPr>
        <w:t xml:space="preserve">9 </w:t>
      </w:r>
      <w:r>
        <w:t xml:space="preserve">And there sat in a window a certain young man named Eutychus</w:t>
      </w:r>
      <w:r>
        <w:rPr>
          <w:rStyle w:val="FootnoteReference"/>
        </w:rPr>
        <w:footnoteReference w:id="17104"/>
      </w:r>
      <w:r>
        <w:t xml:space="preserve">, being overcome with deep sleep: and as Paul was speaking long, he sank down with sleep, and fell down from the third</w:t>
      </w:r>
      <w:r>
        <w:rPr>
          <w:rStyle w:val="FootnoteReference"/>
        </w:rPr>
        <w:footnoteReference w:id="17105"/>
      </w:r>
      <w:r>
        <w:t xml:space="preserve"> story, and was taken up dead.</w:t>
      </w:r>
    </w:p>
    <w:p>
      <w:r>
        <w:rPr>
          <w:b/>
        </w:rPr>
        <w:t xml:space="preserve">10 </w:t>
      </w:r>
      <w:r>
        <w:t xml:space="preserve">And Paul went down, and fell</w:t>
      </w:r>
      <w:r>
        <w:rPr>
          <w:rStyle w:val="FootnoteReference"/>
        </w:rPr>
        <w:footnoteReference w:id="17106"/>
      </w:r>
      <w:r>
        <w:t xml:space="preserve"> on him, and embracing him said, Do not be troubled; for his life is in him.</w:t>
      </w:r>
    </w:p>
    <w:p>
      <w:r>
        <w:rPr>
          <w:b/>
        </w:rPr>
        <w:t xml:space="preserve">11 </w:t>
      </w:r>
      <w:r>
        <w:t xml:space="preserve">When he therefore had come up again, and had</w:t>
      </w:r>
      <w:r>
        <w:rPr>
          <w:rStyle w:val="FootnoteReference"/>
        </w:rPr>
        <w:footnoteReference w:id="17107"/>
      </w:r>
      <w:r>
        <w:t xml:space="preserve"> broken bread, and eaten, and talked a long while, even till daybreak, so he departed.</w:t>
      </w:r>
    </w:p>
    <w:p>
      <w:r>
        <w:rPr>
          <w:b/>
        </w:rPr>
        <w:t xml:space="preserve">12 </w:t>
      </w:r>
      <w:r>
        <w:t xml:space="preserve">And they brought the young man alive, and were not a little comforted.</w:t>
      </w:r>
    </w:p>
    <w:p>
      <w:r>
        <w:rPr>
          <w:b/>
        </w:rPr>
        <w:t xml:space="preserve">13 </w:t>
      </w:r>
      <w:r>
        <w:t xml:space="preserve">And we went on board the boat, and sailed to Assos</w:t>
      </w:r>
      <w:r>
        <w:rPr>
          <w:rStyle w:val="FootnoteReference"/>
        </w:rPr>
        <w:footnoteReference w:id="17108"/>
      </w:r>
      <w:r>
        <w:t xml:space="preserve">, there intending to take in Paul: for so had he appointed, minding</w:t>
      </w:r>
      <w:r>
        <w:rPr>
          <w:rStyle w:val="FootnoteReference"/>
        </w:rPr>
        <w:footnoteReference w:id="17109"/>
      </w:r>
      <w:r>
        <w:t xml:space="preserve"> himself to go on foot.</w:t>
      </w:r>
    </w:p>
    <w:p>
      <w:r>
        <w:rPr>
          <w:b/>
        </w:rPr>
        <w:t xml:space="preserve">14 </w:t>
      </w:r>
      <w:r>
        <w:t xml:space="preserve">And when he met with us at Assos, we took him in, and came to Mytilene</w:t>
      </w:r>
      <w:r>
        <w:rPr>
          <w:rStyle w:val="FootnoteReference"/>
        </w:rPr>
        <w:footnoteReference w:id="17110"/>
      </w:r>
      <w:r>
        <w:t xml:space="preserve">.</w:t>
      </w:r>
    </w:p>
    <w:p>
      <w:r>
        <w:rPr>
          <w:b/>
        </w:rPr>
        <w:t xml:space="preserve">15 </w:t>
      </w:r>
      <w:r>
        <w:t xml:space="preserve">And we sailed from there, and came the next day opposite Chios</w:t>
      </w:r>
      <w:r>
        <w:rPr>
          <w:rStyle w:val="FootnoteReference"/>
        </w:rPr>
        <w:footnoteReference w:id="17111"/>
      </w:r>
      <w:r>
        <w:t xml:space="preserve">; and the next day we arrived at Samos</w:t>
      </w:r>
      <w:r>
        <w:rPr>
          <w:rStyle w:val="FootnoteReference"/>
        </w:rPr>
        <w:footnoteReference w:id="17112"/>
      </w:r>
      <w:r>
        <w:t xml:space="preserve">, and remained at Trogyllium</w:t>
      </w:r>
      <w:r>
        <w:rPr>
          <w:rStyle w:val="FootnoteReference"/>
        </w:rPr>
        <w:footnoteReference w:id="17113"/>
      </w:r>
      <w:r>
        <w:t xml:space="preserve">; and the next day we came to Miletus</w:t>
      </w:r>
      <w:r>
        <w:rPr>
          <w:rStyle w:val="FootnoteReference"/>
        </w:rPr>
        <w:footnoteReference w:id="17114"/>
      </w:r>
      <w:r>
        <w:t xml:space="preserve">.</w:t>
      </w:r>
      <w:r>
        <w:rPr>
          <w:rStyle w:val="FootnoteReference"/>
        </w:rPr>
        <w:footnoteReference w:id="17115"/>
      </w:r>
    </w:p>
    <w:p>
      <w:r>
        <w:rPr>
          <w:b/>
        </w:rPr>
        <w:t xml:space="preserve">16 </w:t>
      </w:r>
      <w:r>
        <w:t xml:space="preserve">For Paul had determined to sail past Ephesus, because he would not spend time in Asia: for he was hurrying, if it were possible for him, to be at Jerusalem on the day of Pentecost.</w:t>
      </w:r>
    </w:p>
    <w:p>
      <w:r>
        <w:rPr>
          <w:b/>
        </w:rPr>
        <w:t xml:space="preserve">17 </w:t>
      </w:r>
      <w:r>
        <w:t xml:space="preserve">And from Miletus he sent to Ephesus, and called the elders</w:t>
      </w:r>
      <w:r>
        <w:rPr>
          <w:rStyle w:val="FootnoteReference"/>
        </w:rPr>
        <w:footnoteReference w:id="17116"/>
      </w:r>
      <w:r>
        <w:t xml:space="preserve"> of the assembly.</w:t>
      </w:r>
    </w:p>
    <w:p>
      <w:r>
        <w:rPr>
          <w:b/>
        </w:rPr>
        <w:t xml:space="preserve">18 </w:t>
      </w:r>
      <w:r>
        <w:t xml:space="preserve">And when they had come to him, he said to them, You know, from the first day that I came into Asia, how I have been with you at all times,</w:t>
      </w:r>
    </w:p>
    <w:p>
      <w:r>
        <w:rPr>
          <w:b/>
        </w:rPr>
        <w:t xml:space="preserve">19 </w:t>
      </w:r>
      <w:r>
        <w:t xml:space="preserve">Serving</w:t>
      </w:r>
      <w:r>
        <w:rPr>
          <w:rStyle w:val="FootnoteReference"/>
        </w:rPr>
        <w:footnoteReference w:id="17117"/>
      </w:r>
      <w:r>
        <w:t xml:space="preserve"> the Lord with all humility of mind, and with many tears, and trials, which befell me by the plots of the Jews:</w:t>
      </w:r>
    </w:p>
    <w:p>
      <w:r>
        <w:rPr>
          <w:b/>
        </w:rPr>
        <w:t xml:space="preserve">20 </w:t>
      </w:r>
      <w:r>
        <w:t xml:space="preserve">And how I kept</w:t>
      </w:r>
      <w:r>
        <w:rPr>
          <w:rStyle w:val="FootnoteReference"/>
        </w:rPr>
        <w:footnoteReference w:id="17118"/>
      </w:r>
      <w:r>
        <w:t xml:space="preserve"> back nothing that was profitable to you, but have declared it to you, and have taught you publicly, and from house to house,</w:t>
      </w:r>
    </w:p>
    <w:p>
      <w:r>
        <w:rPr>
          <w:b/>
        </w:rPr>
        <w:t xml:space="preserve">21 </w:t>
      </w:r>
      <w:r>
        <w:t xml:space="preserve">Testifying</w:t>
      </w:r>
      <w:r>
        <w:rPr>
          <w:rStyle w:val="FootnoteReference"/>
        </w:rPr>
        <w:footnoteReference w:id="17119"/>
      </w:r>
      <w:r>
        <w:t xml:space="preserve"> both to the Jews, and also to the Greeks, repentance toward God, and faith toward our Lord Jesus Christ.</w:t>
      </w:r>
    </w:p>
    <w:p>
      <w:r>
        <w:rPr>
          <w:b/>
        </w:rPr>
        <w:t xml:space="preserve">22 </w:t>
      </w:r>
      <w:r>
        <w:t xml:space="preserve">And now, look, I go</w:t>
      </w:r>
      <w:r>
        <w:rPr>
          <w:rStyle w:val="FootnoteReference"/>
        </w:rPr>
        <w:footnoteReference w:id="17120"/>
      </w:r>
      <w:r>
        <w:t xml:space="preserve"> bound in spirit to Jerusalem, not knowing the things that shall befall me there:</w:t>
      </w:r>
    </w:p>
    <w:p>
      <w:r>
        <w:rPr>
          <w:b/>
        </w:rPr>
        <w:t xml:space="preserve">23 </w:t>
      </w:r>
      <w:r>
        <w:t xml:space="preserve">Except that the Holy Spirit witnesses in every city, saying that bonds and afflictions await me.</w:t>
      </w:r>
    </w:p>
    <w:p>
      <w:r>
        <w:rPr>
          <w:b/>
        </w:rPr>
        <w:t xml:space="preserve">24 </w:t>
      </w:r>
      <w:r>
        <w:t xml:space="preserve">But none</w:t>
      </w:r>
      <w:r>
        <w:rPr>
          <w:rStyle w:val="FootnoteReference"/>
        </w:rPr>
        <w:footnoteReference w:id="17121"/>
      </w:r>
      <w:r>
        <w:t xml:space="preserve"> of these things move me, neither count I my life dear to myself, so that I might finish my course with joy, and the ministry, which I have received of the Lord Jesus, to testify the good news of the grace of God.</w:t>
      </w:r>
    </w:p>
    <w:p>
      <w:r>
        <w:rPr>
          <w:b/>
        </w:rPr>
        <w:t xml:space="preserve">25 </w:t>
      </w:r>
      <w:r>
        <w:t xml:space="preserve">And now, look, I know that you all, among whom I have gone preaching</w:t>
      </w:r>
      <w:r>
        <w:rPr>
          <w:rStyle w:val="FootnoteReference"/>
        </w:rPr>
        <w:footnoteReference w:id="17122"/>
      </w:r>
      <w:r>
        <w:t xml:space="preserve"> the kingdom of God, shall see my face no more.</w:t>
      </w:r>
    </w:p>
    <w:p>
      <w:r>
        <w:rPr>
          <w:b/>
        </w:rPr>
        <w:t xml:space="preserve">26 </w:t>
      </w:r>
      <w:r>
        <w:t xml:space="preserve">Therefore I testify to you this day, that I am pure from the blood of all.</w:t>
      </w:r>
    </w:p>
    <w:p>
      <w:r>
        <w:rPr>
          <w:b/>
        </w:rPr>
        <w:t xml:space="preserve">27 </w:t>
      </w:r>
      <w:r>
        <w:t xml:space="preserve">For I did not shrink from declaring to you all the counsel of God.</w:t>
      </w:r>
    </w:p>
    <w:p>
      <w:r>
        <w:rPr>
          <w:b/>
        </w:rPr>
        <w:t xml:space="preserve">28 </w:t>
      </w:r>
      <w:r>
        <w:t xml:space="preserve">Take</w:t>
      </w:r>
      <w:r>
        <w:rPr>
          <w:rStyle w:val="FootnoteReference"/>
        </w:rPr>
        <w:footnoteReference w:id="17123"/>
      </w:r>
      <w:r>
        <w:t xml:space="preserve"> heed therefore to yourselves, and to all the flock, over which the Holy Spirit has made you overseers, to feed the assembly of God, which he has purchased with his own blood.</w:t>
      </w:r>
    </w:p>
    <w:p>
      <w:r>
        <w:rPr>
          <w:b/>
        </w:rPr>
        <w:t xml:space="preserve">29 </w:t>
      </w:r>
      <w:r>
        <w:t xml:space="preserve">For I know this, that after my departure savage wolves</w:t>
      </w:r>
      <w:r>
        <w:rPr>
          <w:rStyle w:val="FootnoteReference"/>
        </w:rPr>
        <w:footnoteReference w:id="17124"/>
      </w:r>
      <w:r>
        <w:t xml:space="preserve"> shall enter in among you, not sparing the flock.</w:t>
      </w:r>
    </w:p>
    <w:p>
      <w:r>
        <w:rPr>
          <w:b/>
        </w:rPr>
        <w:t xml:space="preserve">30 </w:t>
      </w:r>
      <w:r>
        <w:t xml:space="preserve">Also from among your own selves men shall arise, speaking</w:t>
      </w:r>
      <w:r>
        <w:rPr>
          <w:rStyle w:val="FootnoteReference"/>
        </w:rPr>
        <w:footnoteReference w:id="17125"/>
      </w:r>
      <w:r>
        <w:t xml:space="preserve"> distorted things, to draw away disciples after them.</w:t>
      </w:r>
    </w:p>
    <w:p>
      <w:r>
        <w:rPr>
          <w:b/>
        </w:rPr>
        <w:t xml:space="preserve">31 </w:t>
      </w:r>
      <w:r>
        <w:t xml:space="preserve">Therefore watch</w:t>
      </w:r>
      <w:r>
        <w:rPr>
          <w:rStyle w:val="FootnoteReference"/>
        </w:rPr>
        <w:footnoteReference w:id="17126"/>
      </w:r>
      <w:r>
        <w:t xml:space="preserve">, and remember, that for three years, night and day, I did not cease to warn every one with tears.</w:t>
      </w:r>
    </w:p>
    <w:p>
      <w:r>
        <w:rPr>
          <w:b/>
        </w:rPr>
        <w:t xml:space="preserve">32 </w:t>
      </w:r>
      <w:r>
        <w:t xml:space="preserve">And now, brothers, I commend</w:t>
      </w:r>
      <w:r>
        <w:rPr>
          <w:rStyle w:val="FootnoteReference"/>
        </w:rPr>
        <w:footnoteReference w:id="17127"/>
      </w:r>
      <w:r>
        <w:t xml:space="preserve"> you to God, and to the word of his grace, which is able to build you up, and to give you an inheritance among all those who are sanctified.</w:t>
      </w:r>
    </w:p>
    <w:p>
      <w:r>
        <w:rPr>
          <w:b/>
        </w:rPr>
        <w:t xml:space="preserve">33 </w:t>
      </w:r>
      <w:r>
        <w:t xml:space="preserve">I have desired no one's silver, or gold, or clothing.</w:t>
      </w:r>
    </w:p>
    <w:p>
      <w:r>
        <w:rPr>
          <w:b/>
        </w:rPr>
        <w:t xml:space="preserve">34 </w:t>
      </w:r>
      <w:r>
        <w:t xml:space="preserve">Yes, you yourselves know, that these</w:t>
      </w:r>
      <w:r>
        <w:rPr>
          <w:rStyle w:val="FootnoteReference"/>
        </w:rPr>
        <w:footnoteReference w:id="17128"/>
      </w:r>
      <w:r>
        <w:t xml:space="preserve"> hands have served my needs, and those who were with me.</w:t>
      </w:r>
    </w:p>
    <w:p>
      <w:r>
        <w:rPr>
          <w:b/>
        </w:rPr>
        <w:t xml:space="preserve">35 </w:t>
      </w:r>
      <w:r>
        <w:t xml:space="preserve">I have showed</w:t>
      </w:r>
      <w:r>
        <w:rPr>
          <w:rStyle w:val="FootnoteReference"/>
        </w:rPr>
        <w:footnoteReference w:id="17129"/>
      </w:r>
      <w:r>
        <w:t xml:space="preserve"> you all things, how that so laboring you ought to support the weak, and to remember the words of the Lord Jesus, how he said, It is more blessed to give than to receive.</w:t>
      </w:r>
    </w:p>
    <w:p>
      <w:r>
        <w:rPr>
          <w:b/>
        </w:rPr>
        <w:t xml:space="preserve">36 </w:t>
      </w:r>
      <w:r>
        <w:t xml:space="preserve">And when he had thus spoken, he knelt down, and prayed with them all.</w:t>
      </w:r>
    </w:p>
    <w:p>
      <w:r>
        <w:rPr>
          <w:b/>
        </w:rPr>
        <w:t xml:space="preserve">37 </w:t>
      </w:r>
      <w:r>
        <w:t xml:space="preserve">And they all wept</w:t>
      </w:r>
      <w:r>
        <w:rPr>
          <w:rStyle w:val="FootnoteReference"/>
        </w:rPr>
        <w:footnoteReference w:id="17130"/>
      </w:r>
      <w:r>
        <w:t xml:space="preserve"> greatly, and fell on Paul's neck, and kissed him,</w:t>
      </w:r>
    </w:p>
    <w:p>
      <w:r>
        <w:rPr>
          <w:b/>
        </w:rPr>
        <w:t xml:space="preserve">38 </w:t>
      </w:r>
      <w:r>
        <w:t xml:space="preserve">Sorrowing most of all for the words which he spoke, that they should see his face no more. And they accompanied him to the boat.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it happened, that after we were</w:t>
      </w:r>
      <w:r>
        <w:rPr>
          <w:rStyle w:val="FootnoteReference"/>
        </w:rPr>
        <w:footnoteReference w:id="17131"/>
      </w:r>
      <w:r>
        <w:t xml:space="preserve"> torn away from them, and had launched, we came with a straight course to Cos</w:t>
      </w:r>
      <w:r>
        <w:rPr>
          <w:rStyle w:val="FootnoteReference"/>
        </w:rPr>
        <w:footnoteReference w:id="17132"/>
      </w:r>
      <w:r>
        <w:t xml:space="preserve">, and the next day to Rhodes</w:t>
      </w:r>
      <w:r>
        <w:rPr>
          <w:rStyle w:val="FootnoteReference"/>
        </w:rPr>
        <w:footnoteReference w:id="17133"/>
      </w:r>
      <w:r>
        <w:t xml:space="preserve">, and from there to Patara</w:t>
      </w:r>
      <w:r>
        <w:rPr>
          <w:rStyle w:val="FootnoteReference"/>
        </w:rPr>
        <w:footnoteReference w:id="17134"/>
      </w:r>
      <w:r>
        <w:t xml:space="preserve">:</w:t>
      </w:r>
    </w:p>
    <w:p>
      <w:r>
        <w:rPr>
          <w:b/>
        </w:rPr>
        <w:t xml:space="preserve">2 </w:t>
      </w:r>
      <w:r>
        <w:t xml:space="preserve">And finding</w:t>
      </w:r>
      <w:r>
        <w:rPr>
          <w:rStyle w:val="FootnoteReference"/>
        </w:rPr>
        <w:footnoteReference w:id="17135"/>
      </w:r>
      <w:r>
        <w:t xml:space="preserve"> a boat sailing over to Phenicia, we went aboard, and set forth.</w:t>
      </w:r>
    </w:p>
    <w:p>
      <w:r>
        <w:rPr>
          <w:b/>
        </w:rPr>
        <w:t xml:space="preserve">3 </w:t>
      </w:r>
      <w:r>
        <w:t xml:space="preserve">Now when we had discovered Cyprus</w:t>
      </w:r>
      <w:r>
        <w:rPr>
          <w:rStyle w:val="FootnoteReference"/>
        </w:rPr>
        <w:footnoteReference w:id="17136"/>
      </w:r>
      <w:r>
        <w:t xml:space="preserve">, we left it on the left hand, and sailed into Syria, and landed at Tyre: for there the boat was to unload her burden.</w:t>
      </w:r>
    </w:p>
    <w:p>
      <w:r>
        <w:rPr>
          <w:b/>
        </w:rPr>
        <w:t xml:space="preserve">4 </w:t>
      </w:r>
      <w:r>
        <w:t xml:space="preserve">And finding</w:t>
      </w:r>
      <w:r>
        <w:rPr>
          <w:rStyle w:val="FootnoteReference"/>
        </w:rPr>
        <w:footnoteReference w:id="17137"/>
      </w:r>
      <w:r>
        <w:t xml:space="preserve"> disciples, we stayed there seven days: who said to Paul through the Spirit, that he should not go up to Jerusalem.</w:t>
      </w:r>
    </w:p>
    <w:p>
      <w:r>
        <w:rPr>
          <w:b/>
        </w:rPr>
        <w:t xml:space="preserve">5 </w:t>
      </w:r>
      <w:r>
        <w:t xml:space="preserve">And when we had completed those days, we departed and went our way; and they all brought us on our way, with wives and children, till we were out of the city: and we knelt down on the shore, and prayed.</w:t>
      </w:r>
    </w:p>
    <w:p>
      <w:r>
        <w:rPr>
          <w:b/>
        </w:rPr>
        <w:t xml:space="preserve">6 </w:t>
      </w:r>
      <w:r>
        <w:t xml:space="preserve">And when we had taken</w:t>
      </w:r>
      <w:r>
        <w:rPr>
          <w:rStyle w:val="FootnoteReference"/>
        </w:rPr>
        <w:footnoteReference w:id="17138"/>
      </w:r>
      <w:r>
        <w:t xml:space="preserve"> our leave one of another, we boarded the boat; and they returned home again.</w:t>
      </w:r>
    </w:p>
    <w:p>
      <w:r>
        <w:rPr>
          <w:b/>
        </w:rPr>
        <w:t xml:space="preserve">7 </w:t>
      </w:r>
      <w:r>
        <w:t xml:space="preserve">And when we had finished the voyage from Tyre, we came to Ptolemais, and greeted the brothers, and remained with them one day.</w:t>
      </w:r>
    </w:p>
    <w:p>
      <w:r>
        <w:rPr>
          <w:b/>
        </w:rPr>
        <w:t xml:space="preserve">8 </w:t>
      </w:r>
      <w:r>
        <w:t xml:space="preserve">And the next day we who were of Paul's company departed, and came to Caesarea</w:t>
      </w:r>
      <w:r>
        <w:rPr>
          <w:rStyle w:val="FootnoteReference"/>
        </w:rPr>
        <w:footnoteReference w:id="17139"/>
      </w:r>
      <w:r>
        <w:t xml:space="preserve">: and we entered into the house of Philip the evangelist, who was one of the seven; and remained with him.</w:t>
      </w:r>
    </w:p>
    <w:p>
      <w:r>
        <w:rPr>
          <w:b/>
        </w:rPr>
        <w:t xml:space="preserve">9 </w:t>
      </w:r>
      <w:r>
        <w:t xml:space="preserve">And the same man had four virgin daughters, who prophesied.</w:t>
      </w:r>
    </w:p>
    <w:p>
      <w:r>
        <w:rPr>
          <w:b/>
        </w:rPr>
        <w:t xml:space="preserve">10 </w:t>
      </w:r>
      <w:r>
        <w:t xml:space="preserve">And as we stayed there many days, there came down from Judea a certain prophet, named Agabus</w:t>
      </w:r>
      <w:r>
        <w:rPr>
          <w:rStyle w:val="FootnoteReference"/>
        </w:rPr>
        <w:footnoteReference w:id="17140"/>
      </w:r>
      <w:r>
        <w:t xml:space="preserve">.</w:t>
      </w:r>
    </w:p>
    <w:p>
      <w:r>
        <w:rPr>
          <w:b/>
        </w:rPr>
        <w:t xml:space="preserve">11 </w:t>
      </w:r>
      <w:r>
        <w:t xml:space="preserve">And when he had come to us, he took</w:t>
      </w:r>
      <w:r>
        <w:rPr>
          <w:rStyle w:val="FootnoteReference"/>
        </w:rPr>
        <w:footnoteReference w:id="17141"/>
      </w:r>
      <w:r>
        <w:t xml:space="preserve"> Paul's girdle, and bound his own hands and feet, and said, Thus says the Holy Spirit, So shall the Jews at Jerusalem bind the man that owns this girdle, and shall deliver him into the hands of the nations.</w:t>
      </w:r>
    </w:p>
    <w:p>
      <w:r>
        <w:rPr>
          <w:b/>
        </w:rPr>
        <w:t xml:space="preserve">12 </w:t>
      </w:r>
      <w:r>
        <w:t xml:space="preserve">And when we heard these things, both we, and those of that place, begged him not to go up to Jerusalem.</w:t>
      </w:r>
    </w:p>
    <w:p>
      <w:r>
        <w:rPr>
          <w:b/>
        </w:rPr>
        <w:t xml:space="preserve">13 </w:t>
      </w:r>
      <w:r>
        <w:t xml:space="preserve">Then Paul answered, What are you doing, weeping and breaking my heart? for I am ready not only to be bound, but also to die at Jerusalem for the name of the Lord Jesus.</w:t>
      </w:r>
    </w:p>
    <w:p>
      <w:r>
        <w:rPr>
          <w:b/>
        </w:rPr>
        <w:t xml:space="preserve">14 </w:t>
      </w:r>
      <w:r>
        <w:t xml:space="preserve">And when he would not be persuaded, we ceased, saying, The will</w:t>
      </w:r>
      <w:r>
        <w:rPr>
          <w:rStyle w:val="FootnoteReference"/>
        </w:rPr>
        <w:footnoteReference w:id="17142"/>
      </w:r>
      <w:r>
        <w:t xml:space="preserve"> of the Lord be done.</w:t>
      </w:r>
    </w:p>
    <w:p>
      <w:r>
        <w:rPr>
          <w:b/>
        </w:rPr>
        <w:t xml:space="preserve">15 </w:t>
      </w:r>
      <w:r>
        <w:t xml:space="preserve">And after those days we packed our baggage, and went</w:t>
      </w:r>
      <w:r>
        <w:rPr>
          <w:rStyle w:val="FootnoteReference"/>
        </w:rPr>
        <w:footnoteReference w:id="17143"/>
      </w:r>
      <w:r>
        <w:t xml:space="preserve"> up to Jerusalem.</w:t>
      </w:r>
    </w:p>
    <w:p>
      <w:r>
        <w:rPr>
          <w:b/>
        </w:rPr>
        <w:t xml:space="preserve">16 </w:t>
      </w:r>
      <w:r>
        <w:t xml:space="preserve">There went with us also certain of the</w:t>
      </w:r>
      <w:r>
        <w:rPr>
          <w:rStyle w:val="FootnoteReference"/>
        </w:rPr>
        <w:footnoteReference w:id="17144"/>
      </w:r>
      <w:r>
        <w:t xml:space="preserve"> disciples of Caesarea, bringing us to Mnason</w:t>
      </w:r>
      <w:r>
        <w:rPr>
          <w:rStyle w:val="FootnoteReference"/>
        </w:rPr>
        <w:footnoteReference w:id="17145"/>
      </w:r>
      <w:r>
        <w:t xml:space="preserve"> of Cyprus, an early disciple, with whom we should lodge.</w:t>
      </w:r>
    </w:p>
    <w:p>
      <w:r>
        <w:rPr>
          <w:b/>
        </w:rPr>
        <w:t xml:space="preserve">17 </w:t>
      </w:r>
      <w:r>
        <w:t xml:space="preserve">And when we had come to Jerusalem, the brothers received us gladly.</w:t>
      </w:r>
    </w:p>
    <w:p>
      <w:r>
        <w:rPr>
          <w:b/>
        </w:rPr>
        <w:t xml:space="preserve">18 </w:t>
      </w:r>
      <w:r>
        <w:t xml:space="preserve">And the day following Paul went in with us to James; and all the elders were present.</w:t>
      </w:r>
    </w:p>
    <w:p>
      <w:r>
        <w:rPr>
          <w:b/>
        </w:rPr>
        <w:t xml:space="preserve">19 </w:t>
      </w:r>
      <w:r>
        <w:t xml:space="preserve">And when he had saluted them, he declared</w:t>
      </w:r>
      <w:r>
        <w:rPr>
          <w:rStyle w:val="FootnoteReference"/>
        </w:rPr>
        <w:footnoteReference w:id="17146"/>
      </w:r>
      <w:r>
        <w:t xml:space="preserve"> particularly what things God had worked among the nations by his ministry.</w:t>
      </w:r>
    </w:p>
    <w:p>
      <w:r>
        <w:rPr>
          <w:b/>
        </w:rPr>
        <w:t xml:space="preserve">20 </w:t>
      </w:r>
      <w:r>
        <w:t xml:space="preserve">And when they heard it, they glorified</w:t>
      </w:r>
      <w:r>
        <w:rPr>
          <w:rStyle w:val="FootnoteReference"/>
        </w:rPr>
        <w:footnoteReference w:id="17147"/>
      </w:r>
      <w:r>
        <w:t xml:space="preserve"> the Lord, and said to him, You see, brother, how many thousands of Jews there are who believe; and they are all zealous of the law:</w:t>
      </w:r>
    </w:p>
    <w:p>
      <w:r>
        <w:rPr>
          <w:b/>
        </w:rPr>
        <w:t xml:space="preserve">21 </w:t>
      </w:r>
      <w:r>
        <w:t xml:space="preserve">And they are informed of you, that you teach all the Jews who are among the nations to forsake Moses, saying that they ought not to circumcise their children, neither to walk after the customs.</w:t>
      </w:r>
    </w:p>
    <w:p>
      <w:r>
        <w:rPr>
          <w:b/>
        </w:rPr>
        <w:t xml:space="preserve">22 </w:t>
      </w:r>
      <w:r>
        <w:t xml:space="preserve">What is it therefore? the multitude</w:t>
      </w:r>
      <w:r>
        <w:rPr>
          <w:rStyle w:val="FootnoteReference"/>
        </w:rPr>
        <w:footnoteReference w:id="17148"/>
      </w:r>
      <w:r>
        <w:t xml:space="preserve"> must come together: for they will hear that you have come.</w:t>
      </w:r>
    </w:p>
    <w:p>
      <w:r>
        <w:rPr>
          <w:b/>
        </w:rPr>
        <w:t xml:space="preserve">23 </w:t>
      </w:r>
      <w:r>
        <w:t xml:space="preserve">Do therefore this that we say to you: We have four men who have a vow on themselves;</w:t>
      </w:r>
    </w:p>
    <w:p>
      <w:r>
        <w:rPr>
          <w:b/>
        </w:rPr>
        <w:t xml:space="preserve">24 </w:t>
      </w:r>
      <w:r>
        <w:t xml:space="preserve">Take them, and purify</w:t>
      </w:r>
      <w:r>
        <w:rPr>
          <w:rStyle w:val="FootnoteReference"/>
        </w:rPr>
        <w:footnoteReference w:id="17149"/>
      </w:r>
      <w:r>
        <w:t xml:space="preserve"> yourself with them, and pay their expenses, that they may shave their heads: and all may know that those things, of which they were informed concerning you, are nothing; but that you yourself also walk orderly, keeping the law.</w:t>
      </w:r>
    </w:p>
    <w:p>
      <w:r>
        <w:rPr>
          <w:b/>
        </w:rPr>
        <w:t xml:space="preserve">25 </w:t>
      </w:r>
      <w:r>
        <w:t xml:space="preserve">As concerning the nations that believe, we have written and concluded that they observe no such thing, save only that they keep themselves from things offered to idols, and from blood, and from strangled, and from sexual immorality.</w:t>
      </w:r>
    </w:p>
    <w:p>
      <w:r>
        <w:rPr>
          <w:b/>
        </w:rPr>
        <w:t xml:space="preserve">26 </w:t>
      </w:r>
      <w:r>
        <w:t xml:space="preserve">Then Paul took the men, and the next day purifying himself with them entered</w:t>
      </w:r>
      <w:r>
        <w:rPr>
          <w:rStyle w:val="FootnoteReference"/>
        </w:rPr>
        <w:footnoteReference w:id="17150"/>
      </w:r>
      <w:r>
        <w:t xml:space="preserve"> into the temple, declaring the completion of the days of purification, until the offering should be offered for every one of them.</w:t>
      </w:r>
    </w:p>
    <w:p>
      <w:r>
        <w:rPr>
          <w:b/>
        </w:rPr>
        <w:t xml:space="preserve">27 </w:t>
      </w:r>
      <w:r>
        <w:t xml:space="preserve">And when the seven days were almost completed, the Jews</w:t>
      </w:r>
      <w:r>
        <w:rPr>
          <w:rStyle w:val="FootnoteReference"/>
        </w:rPr>
        <w:footnoteReference w:id="17151"/>
      </w:r>
      <w:r>
        <w:t xml:space="preserve"> who were of Asia, when they saw him in the temple, stirred up all the people, and laid hands on him,</w:t>
      </w:r>
    </w:p>
    <w:p>
      <w:r>
        <w:rPr>
          <w:b/>
        </w:rPr>
        <w:t xml:space="preserve">28 </w:t>
      </w:r>
      <w:r>
        <w:t xml:space="preserve">Crying out, Men of Israel, help: This is</w:t>
      </w:r>
      <w:r>
        <w:rPr>
          <w:rStyle w:val="FootnoteReference"/>
        </w:rPr>
        <w:footnoteReference w:id="17152"/>
      </w:r>
      <w:r>
        <w:t xml:space="preserve"> the man that teaches all men everywhere against the people, and the law, and this place: and further brought Greeks also into the temple, and has defiled this holy place.</w:t>
      </w:r>
    </w:p>
    <w:p>
      <w:r>
        <w:rPr>
          <w:b/>
        </w:rPr>
        <w:t xml:space="preserve">29 </w:t>
      </w:r>
      <w:r>
        <w:t xml:space="preserve">(For they had seen before with him in the city Trophimus</w:t>
      </w:r>
      <w:r>
        <w:rPr>
          <w:rStyle w:val="FootnoteReference"/>
        </w:rPr>
        <w:footnoteReference w:id="17153"/>
      </w:r>
      <w:r>
        <w:t xml:space="preserve"> an Ephesian</w:t>
      </w:r>
      <w:r>
        <w:rPr>
          <w:rStyle w:val="FootnoteReference"/>
        </w:rPr>
        <w:footnoteReference w:id="17154"/>
      </w:r>
      <w:r>
        <w:t xml:space="preserve">, whom they supposed that Paul had brought into the temple.)</w:t>
      </w:r>
    </w:p>
    <w:p>
      <w:r>
        <w:rPr>
          <w:b/>
        </w:rPr>
        <w:t xml:space="preserve">30 </w:t>
      </w:r>
      <w:r>
        <w:t xml:space="preserve">And all the city was moved, and the people ran together: and they took Paul, and drew him out of the temple: and immediately the doors were shut.</w:t>
      </w:r>
    </w:p>
    <w:p>
      <w:r>
        <w:rPr>
          <w:b/>
        </w:rPr>
        <w:t xml:space="preserve">31 </w:t>
      </w:r>
      <w:r>
        <w:t xml:space="preserve">And as they sought to kill him, a report came to the commander of the cohort, that all</w:t>
      </w:r>
      <w:r>
        <w:rPr>
          <w:rStyle w:val="FootnoteReference"/>
        </w:rPr>
        <w:footnoteReference w:id="17155"/>
      </w:r>
      <w:r>
        <w:t xml:space="preserve"> Jerusalem was in an uproar.</w:t>
      </w:r>
    </w:p>
    <w:p>
      <w:r>
        <w:rPr>
          <w:b/>
        </w:rPr>
        <w:t xml:space="preserve">32 </w:t>
      </w:r>
      <w:r>
        <w:t xml:space="preserve">Who immediately took</w:t>
      </w:r>
      <w:r>
        <w:rPr>
          <w:rStyle w:val="FootnoteReference"/>
        </w:rPr>
        <w:footnoteReference w:id="17156"/>
      </w:r>
      <w:r>
        <w:t xml:space="preserve"> soldiers and centurions, and ran down to them: and when they saw the commander and the soldiers, they stopped beating Paul.</w:t>
      </w:r>
    </w:p>
    <w:p>
      <w:r>
        <w:rPr>
          <w:b/>
        </w:rPr>
        <w:t xml:space="preserve">33 </w:t>
      </w:r>
      <w:r>
        <w:t xml:space="preserve">Then the commander came near, and took him, and commanded him to be bound with two chains; and inquired who he was, and what he had done.</w:t>
      </w:r>
    </w:p>
    <w:p>
      <w:r>
        <w:rPr>
          <w:b/>
        </w:rPr>
        <w:t xml:space="preserve">34 </w:t>
      </w:r>
      <w:r>
        <w:t xml:space="preserve">And some cried</w:t>
      </w:r>
      <w:r>
        <w:rPr>
          <w:rStyle w:val="FootnoteReference"/>
        </w:rPr>
        <w:footnoteReference w:id="17157"/>
      </w:r>
      <w:r>
        <w:t xml:space="preserve"> one thing, some another, among the crowd: and when he could not know the certainty for the tumult, he commanded him to be carried into the barracks.</w:t>
      </w:r>
    </w:p>
    <w:p>
      <w:r>
        <w:rPr>
          <w:b/>
        </w:rPr>
        <w:t xml:space="preserve">35 </w:t>
      </w:r>
      <w:r>
        <w:t xml:space="preserve">And when he came upon the stairs, so it was, that he was carried by the soldiers because of the violence of the people.</w:t>
      </w:r>
    </w:p>
    <w:p>
      <w:r>
        <w:rPr>
          <w:b/>
        </w:rPr>
        <w:t xml:space="preserve">36 </w:t>
      </w:r>
      <w:r>
        <w:t xml:space="preserve">For the multitude of the people followed after, crying, Away with him.</w:t>
      </w:r>
    </w:p>
    <w:p>
      <w:r>
        <w:rPr>
          <w:b/>
        </w:rPr>
        <w:t xml:space="preserve">37 </w:t>
      </w:r>
      <w:r>
        <w:t xml:space="preserve">And as Paul was to be led into the barracks, he said to the commander, May I speak to you? Who said, Can you speak Greek?</w:t>
      </w:r>
    </w:p>
    <w:p>
      <w:r>
        <w:rPr>
          <w:b/>
        </w:rPr>
        <w:t xml:space="preserve">38 </w:t>
      </w:r>
      <w:r>
        <w:t xml:space="preserve">Are you not that Egyptian, who before these days made an uproar, and led out into the wilderness four thousand men of the assassins?</w:t>
      </w:r>
    </w:p>
    <w:p>
      <w:r>
        <w:rPr>
          <w:b/>
        </w:rPr>
        <w:t xml:space="preserve">39 </w:t>
      </w:r>
      <w:r>
        <w:t xml:space="preserve">But Paul said, I am a Jewish man of Tarsus, a city in Cilicia</w:t>
      </w:r>
      <w:r>
        <w:rPr>
          <w:rStyle w:val="FootnoteReference"/>
        </w:rPr>
        <w:footnoteReference w:id="17158"/>
      </w:r>
      <w:r>
        <w:t xml:space="preserve">, a citizen of no insignificant city: and, I ask you, permit me to speak to the people.</w:t>
      </w:r>
    </w:p>
    <w:p>
      <w:r>
        <w:rPr>
          <w:b/>
        </w:rPr>
        <w:t xml:space="preserve">40 </w:t>
      </w:r>
      <w:r>
        <w:t xml:space="preserve">And when he had given him permission, Paul stood on the stairs, and beckoned</w:t>
      </w:r>
      <w:r>
        <w:rPr>
          <w:rStyle w:val="FootnoteReference"/>
        </w:rPr>
        <w:footnoteReference w:id="17159"/>
      </w:r>
      <w:r>
        <w:t xml:space="preserve"> with the hand to the people. And when there was a great silence, he spoke to them in the Hebrew dialect, saying,</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Men, brothers, and fathers, hear my defense which I now make to you.</w:t>
      </w:r>
    </w:p>
    <w:p>
      <w:r>
        <w:rPr>
          <w:b/>
        </w:rPr>
        <w:t xml:space="preserve">2 </w:t>
      </w:r>
      <w:r>
        <w:t xml:space="preserve">(And when they heard that he spoke in the Hebrew dialect to them, they kept more silence: and he says,)</w:t>
      </w:r>
    </w:p>
    <w:p>
      <w:r>
        <w:rPr>
          <w:b/>
        </w:rPr>
        <w:t xml:space="preserve">3 </w:t>
      </w:r>
      <w:r>
        <w:t xml:space="preserve">I am indeed a Jewish man, born in Tarsus</w:t>
      </w:r>
      <w:r>
        <w:rPr>
          <w:rStyle w:val="FootnoteReference"/>
        </w:rPr>
        <w:footnoteReference w:id="17160"/>
      </w:r>
      <w:r>
        <w:t xml:space="preserve"> of Cilicia, yet brought up in this city at the feet of Gamaliel, taught according to the strictness of the ancestral law, being zealous for God, as you all are this day.</w:t>
      </w:r>
    </w:p>
    <w:p>
      <w:r>
        <w:rPr>
          <w:b/>
        </w:rPr>
        <w:t xml:space="preserve">4 </w:t>
      </w:r>
      <w:r>
        <w:t xml:space="preserve">And I persecuted</w:t>
      </w:r>
      <w:r>
        <w:rPr>
          <w:rStyle w:val="FootnoteReference"/>
        </w:rPr>
        <w:footnoteReference w:id="17161"/>
      </w:r>
      <w:r>
        <w:t xml:space="preserve"> this Way to death, binding and delivering into prisons both men and women.</w:t>
      </w:r>
    </w:p>
    <w:p>
      <w:r>
        <w:rPr>
          <w:b/>
        </w:rPr>
        <w:t xml:space="preserve">5 </w:t>
      </w:r>
      <w:r>
        <w:t xml:space="preserve">As also</w:t>
      </w:r>
      <w:r>
        <w:rPr>
          <w:rStyle w:val="FootnoteReference"/>
        </w:rPr>
        <w:footnoteReference w:id="17162"/>
      </w:r>
      <w:r>
        <w:t xml:space="preserve"> the high priest bears me witness, and all the council of elders: from whom also I received letters to the brothers, and went to Damascus, to bring those who were there bound to Jerusalem, that they might be punished.</w:t>
      </w:r>
    </w:p>
    <w:p>
      <w:r>
        <w:rPr>
          <w:b/>
        </w:rPr>
        <w:t xml:space="preserve">6 </w:t>
      </w:r>
      <w:r>
        <w:t xml:space="preserve">And it happened, that, as I journeyed and drew near to Damascus</w:t>
      </w:r>
      <w:r>
        <w:rPr>
          <w:rStyle w:val="FootnoteReference"/>
        </w:rPr>
        <w:footnoteReference w:id="17163"/>
      </w:r>
      <w:r>
        <w:t xml:space="preserve"> about noon, suddenly there shone from heaven a great light around me.</w:t>
      </w:r>
    </w:p>
    <w:p>
      <w:r>
        <w:rPr>
          <w:b/>
        </w:rPr>
        <w:t xml:space="preserve">7 </w:t>
      </w:r>
      <w:r>
        <w:t xml:space="preserve">And I fell to the ground, and heard a voice saying to me, Saul</w:t>
      </w:r>
      <w:r>
        <w:rPr>
          <w:rStyle w:val="FootnoteReference"/>
        </w:rPr>
        <w:footnoteReference w:id="17164"/>
      </w:r>
      <w:r>
        <w:t xml:space="preserve">, Saul, why do you persecute me?</w:t>
      </w:r>
    </w:p>
    <w:p>
      <w:r>
        <w:rPr>
          <w:b/>
        </w:rPr>
        <w:t xml:space="preserve">8 </w:t>
      </w:r>
      <w:r>
        <w:t xml:space="preserve">And I answered, Who are you, Lord? And he said to me, I am Jesus of Nazareth, whom you persecute.</w:t>
      </w:r>
    </w:p>
    <w:p>
      <w:r>
        <w:rPr>
          <w:b/>
        </w:rPr>
        <w:t xml:space="preserve">9 </w:t>
      </w:r>
      <w:r>
        <w:t xml:space="preserve">And those who were with me saw indeed the light, and were afraid; but they did not hear the voice of the one who spoke to me.</w:t>
      </w:r>
    </w:p>
    <w:p>
      <w:r>
        <w:rPr>
          <w:b/>
        </w:rPr>
        <w:t xml:space="preserve">10 </w:t>
      </w:r>
      <w:r>
        <w:t xml:space="preserve">And I said, What shall I do, Lord? And the Lord said to me, Arise, and go into Damascus; and there it shall be told you of all things which are appointed for you to do.</w:t>
      </w:r>
    </w:p>
    <w:p>
      <w:r>
        <w:rPr>
          <w:b/>
        </w:rPr>
        <w:t xml:space="preserve">11 </w:t>
      </w:r>
      <w:r>
        <w:t xml:space="preserve">And when I could not see because of the glory of that light, being led by the hand of those who were with me, I came into Damascus.</w:t>
      </w:r>
    </w:p>
    <w:p>
      <w:r>
        <w:rPr>
          <w:b/>
        </w:rPr>
        <w:t xml:space="preserve">12 </w:t>
      </w:r>
      <w:r>
        <w:t xml:space="preserve">And one Ananias, a devout</w:t>
      </w:r>
      <w:r>
        <w:rPr>
          <w:rStyle w:val="FootnoteReference"/>
        </w:rPr>
        <w:footnoteReference w:id="17165"/>
      </w:r>
      <w:r>
        <w:t xml:space="preserve"> man according to the law, well spoken of by all the Jews who dwelt there,</w:t>
      </w:r>
    </w:p>
    <w:p>
      <w:r>
        <w:rPr>
          <w:b/>
        </w:rPr>
        <w:t xml:space="preserve">13 </w:t>
      </w:r>
      <w:r>
        <w:t xml:space="preserve">Came to me, and stood, and said to me, Brother</w:t>
      </w:r>
      <w:r>
        <w:rPr>
          <w:rStyle w:val="FootnoteReference"/>
        </w:rPr>
        <w:footnoteReference w:id="17166"/>
      </w:r>
      <w:r>
        <w:t xml:space="preserve"> Saul, receive your sight. And the same hour I looked up at him.</w:t>
      </w:r>
    </w:p>
    <w:p>
      <w:r>
        <w:rPr>
          <w:b/>
        </w:rPr>
        <w:t xml:space="preserve">14 </w:t>
      </w:r>
      <w:r>
        <w:t xml:space="preserve">And he said, The God</w:t>
      </w:r>
      <w:r>
        <w:rPr>
          <w:rStyle w:val="FootnoteReference"/>
        </w:rPr>
        <w:footnoteReference w:id="17167"/>
      </w:r>
      <w:r>
        <w:t xml:space="preserve"> of our fathers has chosen you, that you should know his will, and see the Righteous One, and should hear the voice from his mouth.</w:t>
      </w:r>
    </w:p>
    <w:p>
      <w:r>
        <w:rPr>
          <w:b/>
        </w:rPr>
        <w:t xml:space="preserve">15 </w:t>
      </w:r>
      <w:r>
        <w:t xml:space="preserve">For you shall be his witness to all people of what you have seen and heard.</w:t>
      </w:r>
    </w:p>
    <w:p>
      <w:r>
        <w:rPr>
          <w:b/>
        </w:rPr>
        <w:t xml:space="preserve">16 </w:t>
      </w:r>
      <w:r>
        <w:t xml:space="preserve">And now why do you delay? arise</w:t>
      </w:r>
      <w:r>
        <w:rPr>
          <w:rStyle w:val="FootnoteReference"/>
        </w:rPr>
        <w:footnoteReference w:id="17168"/>
      </w:r>
      <w:r>
        <w:t xml:space="preserve">, and be baptized, and wash away your sins, calling on the name of the Lord.</w:t>
      </w:r>
    </w:p>
    <w:p>
      <w:r>
        <w:rPr>
          <w:b/>
        </w:rPr>
        <w:t xml:space="preserve">17 </w:t>
      </w:r>
      <w:r>
        <w:t xml:space="preserve">And it happened, that, when I had returned to Jerusalem, even while I prayed in the temple, I was in a trance;</w:t>
      </w:r>
    </w:p>
    <w:p>
      <w:r>
        <w:rPr>
          <w:b/>
        </w:rPr>
        <w:t xml:space="preserve">18 </w:t>
      </w:r>
      <w:r>
        <w:t xml:space="preserve">And saw him saying to me, Hurry, and get quickly out of Jerusalem: for they will not receive your testimony concerning me.</w:t>
      </w:r>
    </w:p>
    <w:p>
      <w:r>
        <w:rPr>
          <w:b/>
        </w:rPr>
        <w:t xml:space="preserve">19 </w:t>
      </w:r>
      <w:r>
        <w:t xml:space="preserve">And I said, Lord, they know</w:t>
      </w:r>
      <w:r>
        <w:rPr>
          <w:rStyle w:val="FootnoteReference"/>
        </w:rPr>
        <w:footnoteReference w:id="17169"/>
      </w:r>
      <w:r>
        <w:t xml:space="preserve"> that I imprisoned and beat in every synagogue those who believed on you:</w:t>
      </w:r>
    </w:p>
    <w:p>
      <w:r>
        <w:rPr>
          <w:b/>
        </w:rPr>
        <w:t xml:space="preserve">20 </w:t>
      </w:r>
      <w:r>
        <w:t xml:space="preserve">And when the blood of your witness Stephen</w:t>
      </w:r>
      <w:r>
        <w:rPr>
          <w:rStyle w:val="FootnoteReference"/>
        </w:rPr>
        <w:footnoteReference w:id="17170"/>
      </w:r>
      <w:r>
        <w:t xml:space="preserve"> was shed, I also was standing by, and consenting to his death, and kept the clothing of those who killed him.</w:t>
      </w:r>
    </w:p>
    <w:p>
      <w:r>
        <w:rPr>
          <w:b/>
        </w:rPr>
        <w:t xml:space="preserve">21 </w:t>
      </w:r>
      <w:r>
        <w:t xml:space="preserve">And he said to me, Depart</w:t>
      </w:r>
      <w:r>
        <w:rPr>
          <w:rStyle w:val="FootnoteReference"/>
        </w:rPr>
        <w:footnoteReference w:id="17171"/>
      </w:r>
      <w:r>
        <w:t xml:space="preserve">: for I will send you far away to the nations.</w:t>
      </w:r>
    </w:p>
    <w:p>
      <w:r>
        <w:rPr>
          <w:b/>
        </w:rPr>
        <w:t xml:space="preserve">22 </w:t>
      </w:r>
      <w:r>
        <w:t xml:space="preserve">And they listened to him until this word, and then lifted up their voices, and said, Away</w:t>
      </w:r>
      <w:r>
        <w:rPr>
          <w:rStyle w:val="FootnoteReference"/>
        </w:rPr>
        <w:footnoteReference w:id="17172"/>
      </w:r>
      <w:r>
        <w:t xml:space="preserve"> with such a man from the earth: for it is not fit that he should live.</w:t>
      </w:r>
    </w:p>
    <w:p>
      <w:r>
        <w:rPr>
          <w:b/>
        </w:rPr>
        <w:t xml:space="preserve">23 </w:t>
      </w:r>
      <w:r>
        <w:t xml:space="preserve">And as they cried out, and threw off their clothes, and cast</w:t>
      </w:r>
      <w:r>
        <w:rPr>
          <w:rStyle w:val="FootnoteReference"/>
        </w:rPr>
        <w:footnoteReference w:id="17173"/>
      </w:r>
      <w:r>
        <w:t xml:space="preserve"> dust into the air,</w:t>
      </w:r>
    </w:p>
    <w:p>
      <w:r>
        <w:rPr>
          <w:b/>
        </w:rPr>
        <w:t xml:space="preserve">24 </w:t>
      </w:r>
      <w:r>
        <w:t xml:space="preserve">The commander commanded him to be brought into the barracks, and ordered that he should</w:t>
      </w:r>
      <w:r>
        <w:rPr>
          <w:rStyle w:val="FootnoteReference"/>
        </w:rPr>
        <w:footnoteReference w:id="17174"/>
      </w:r>
      <w:r>
        <w:t xml:space="preserve"> be examined by scourging; that he might know why they cried so against him.</w:t>
      </w:r>
    </w:p>
    <w:p>
      <w:r>
        <w:rPr>
          <w:b/>
        </w:rPr>
        <w:t xml:space="preserve">25 </w:t>
      </w:r>
      <w:r>
        <w:t xml:space="preserve">And as they stretched him out with straps, Paul said to the centurion</w:t>
      </w:r>
      <w:r>
        <w:rPr>
          <w:rStyle w:val="FootnoteReference"/>
        </w:rPr>
        <w:footnoteReference w:id="17175"/>
      </w:r>
      <w:r>
        <w:t xml:space="preserve"> that stood by, Is it lawful for you to scourge a man that is a Roman</w:t>
      </w:r>
      <w:r>
        <w:rPr>
          <w:rStyle w:val="FootnoteReference"/>
        </w:rPr>
        <w:footnoteReference w:id="17176"/>
      </w:r>
      <w:r>
        <w:t xml:space="preserve">, and uncondemned?</w:t>
      </w:r>
    </w:p>
    <w:p>
      <w:r>
        <w:rPr>
          <w:b/>
        </w:rPr>
        <w:t xml:space="preserve">26 </w:t>
      </w:r>
      <w:r>
        <w:t xml:space="preserve">When the centurion heard that, he went and told the commander, saying, Take</w:t>
      </w:r>
      <w:r>
        <w:rPr>
          <w:rStyle w:val="FootnoteReference"/>
        </w:rPr>
        <w:footnoteReference w:id="17177"/>
      </w:r>
      <w:r>
        <w:t xml:space="preserve"> care what you are about to do: for this man is a Roman.</w:t>
      </w:r>
    </w:p>
    <w:p>
      <w:r>
        <w:rPr>
          <w:b/>
        </w:rPr>
        <w:t xml:space="preserve">27 </w:t>
      </w:r>
      <w:r>
        <w:t xml:space="preserve">Then the commander came, and said to him, Tell me, are you a Roman? He said, Yes.</w:t>
      </w:r>
    </w:p>
    <w:p>
      <w:r>
        <w:rPr>
          <w:b/>
        </w:rPr>
        <w:t xml:space="preserve">28 </w:t>
      </w:r>
      <w:r>
        <w:t xml:space="preserve">And the commander answered, With a great sum I obtained this citizenship. And Paul said, But I was born a citizen.</w:t>
      </w:r>
    </w:p>
    <w:p>
      <w:r>
        <w:rPr>
          <w:b/>
        </w:rPr>
        <w:t xml:space="preserve">29 </w:t>
      </w:r>
      <w:r>
        <w:t xml:space="preserve">Then immediately those who were about to examine him departed from him: and the chief</w:t>
      </w:r>
      <w:r>
        <w:rPr>
          <w:rStyle w:val="FootnoteReference"/>
        </w:rPr>
        <w:footnoteReference w:id="17178"/>
      </w:r>
      <w:r>
        <w:t xml:space="preserve"> captain also was afraid, after he knew that he was a Roman, and because he had bound him.</w:t>
      </w:r>
    </w:p>
    <w:p>
      <w:r>
        <w:rPr>
          <w:b/>
        </w:rPr>
        <w:t xml:space="preserve">30 </w:t>
      </w:r>
      <w:r>
        <w:t xml:space="preserve">On the next day, because he wanted to know with certainty why he was accused by the Jews, he loosed him from his bonds, and commanded</w:t>
      </w:r>
      <w:r>
        <w:rPr>
          <w:rStyle w:val="FootnoteReference"/>
        </w:rPr>
        <w:footnoteReference w:id="17179"/>
      </w:r>
      <w:r>
        <w:t xml:space="preserve"> the chief priests and all their council to come, and brought Paul down, and set him before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23</w:t>
      </w:r>
    </w:p>
    <w:p>
      <w:r>
        <w:rPr>
          <w:b/>
        </w:rPr>
        <w:t xml:space="preserve">1 </w:t>
      </w:r>
      <w:r>
        <w:t xml:space="preserve">And Paul, looking intently at the council, said, Men, brothers, I have lived before God in all good conscience until this day.</w:t>
      </w:r>
    </w:p>
    <w:p>
      <w:r>
        <w:rPr>
          <w:b/>
        </w:rPr>
        <w:t xml:space="preserve">2 </w:t>
      </w:r>
      <w:r>
        <w:t xml:space="preserve">And the high priest Ananias</w:t>
      </w:r>
      <w:r>
        <w:rPr>
          <w:rStyle w:val="FootnoteReference"/>
        </w:rPr>
        <w:footnoteReference w:id="17180"/>
      </w:r>
      <w:r>
        <w:t xml:space="preserve"> commanded those who stood by him to strike him on the mouth.</w:t>
      </w:r>
    </w:p>
    <w:p>
      <w:r>
        <w:rPr>
          <w:b/>
        </w:rPr>
        <w:t xml:space="preserve">3 </w:t>
      </w:r>
      <w:r>
        <w:t xml:space="preserve">Then Paul said to him, God shall strike you, you whitewashed wall: for are you sitting to judge me according to the law, and commanding me to be struck contrary to the law?</w:t>
      </w:r>
    </w:p>
    <w:p>
      <w:r>
        <w:rPr>
          <w:b/>
        </w:rPr>
        <w:t xml:space="preserve">4 </w:t>
      </w:r>
      <w:r>
        <w:t xml:space="preserve">And those who stood by said, Do you revile God's high priest?</w:t>
      </w:r>
    </w:p>
    <w:p>
      <w:r>
        <w:rPr>
          <w:b/>
        </w:rPr>
        <w:t xml:space="preserve">5 </w:t>
      </w:r>
      <w:r>
        <w:t xml:space="preserve">Then Paul said, I did not know, brothers, that he is the high priest: for it is written, You shall not speak evil of the ruler of your people.</w:t>
      </w:r>
    </w:p>
    <w:p>
      <w:r>
        <w:rPr>
          <w:b/>
        </w:rPr>
        <w:t xml:space="preserve">6 </w:t>
      </w:r>
      <w:r>
        <w:t xml:space="preserve">But when Paul</w:t>
      </w:r>
      <w:r>
        <w:rPr>
          <w:rStyle w:val="FootnoteReference"/>
        </w:rPr>
        <w:footnoteReference w:id="17181"/>
      </w:r>
      <w:r>
        <w:t xml:space="preserve"> perceived that the one part were Sadducees, and the other Pharisees, he cried out in the council, Men, brothers, I am a Pharisee, the son of a Pharisee: concerning the hope and resurrection of the dead I am being judged.</w:t>
      </w:r>
    </w:p>
    <w:p>
      <w:r>
        <w:rPr>
          <w:b/>
        </w:rPr>
        <w:t xml:space="preserve">7 </w:t>
      </w:r>
      <w:r>
        <w:t xml:space="preserve">And when he had so said, there arose a division between the Pharisees and the Sadducees: and the multitude was divided.</w:t>
      </w:r>
    </w:p>
    <w:p>
      <w:r>
        <w:rPr>
          <w:b/>
        </w:rPr>
        <w:t xml:space="preserve">8 </w:t>
      </w:r>
      <w:r>
        <w:t xml:space="preserve">For the Sadducees say that there is no resurrection, neither angel, nor spirit: but the Pharisees confess both.</w:t>
      </w:r>
    </w:p>
    <w:p>
      <w:r>
        <w:rPr>
          <w:b/>
        </w:rPr>
        <w:t xml:space="preserve">9 </w:t>
      </w:r>
      <w:r>
        <w:t xml:space="preserve">And there arose a great cry: and the scribes that were of the Pharisees' part arose, and argued, saying, We find no evil in this man: but if a spirit or an angel has spoken to him, let us not fight against God.</w:t>
      </w:r>
    </w:p>
    <w:p>
      <w:r>
        <w:rPr>
          <w:b/>
        </w:rPr>
        <w:t xml:space="preserve">10 </w:t>
      </w:r>
      <w:r>
        <w:t xml:space="preserve">And when there arose a great division, the commander, fearing</w:t>
      </w:r>
      <w:r>
        <w:rPr>
          <w:rStyle w:val="FootnoteReference"/>
        </w:rPr>
        <w:footnoteReference w:id="17182"/>
      </w:r>
      <w:r>
        <w:t xml:space="preserve"> lest Paul should be torn apart by them, commanded the soldiers to go down, and to take him by force from among them, and to bring him into the barracks.</w:t>
      </w:r>
    </w:p>
    <w:p>
      <w:r>
        <w:rPr>
          <w:b/>
        </w:rPr>
        <w:t xml:space="preserve">11 </w:t>
      </w:r>
      <w:r>
        <w:t xml:space="preserve">And the night following the Lord</w:t>
      </w:r>
      <w:r>
        <w:rPr>
          <w:rStyle w:val="FootnoteReference"/>
        </w:rPr>
        <w:footnoteReference w:id="17183"/>
      </w:r>
      <w:r>
        <w:t xml:space="preserve"> stood by him, and said, Take courage, Paul: for as you have testified of me in Jerusalem, so you must bear witness also at Rome.</w:t>
      </w:r>
    </w:p>
    <w:p>
      <w:r>
        <w:rPr>
          <w:b/>
        </w:rPr>
        <w:t xml:space="preserve">12 </w:t>
      </w:r>
      <w:r>
        <w:t xml:space="preserve">And when it was day, certain</w:t>
      </w:r>
      <w:r>
        <w:rPr>
          <w:rStyle w:val="FootnoteReference"/>
        </w:rPr>
        <w:footnoteReference w:id="17184"/>
      </w:r>
      <w:r>
        <w:t xml:space="preserve"> of the Jews formed a conspiracy, and bound themselves under a curse, saying that they would neither eat nor drink till they had killed Paul.</w:t>
      </w:r>
    </w:p>
    <w:p>
      <w:r>
        <w:rPr>
          <w:b/>
        </w:rPr>
        <w:t xml:space="preserve">13 </w:t>
      </w:r>
      <w:r>
        <w:t xml:space="preserve">And they were more than forty who had made this conspiracy.</w:t>
      </w:r>
    </w:p>
    <w:p>
      <w:r>
        <w:rPr>
          <w:b/>
        </w:rPr>
        <w:t xml:space="preserve">14 </w:t>
      </w:r>
      <w:r>
        <w:t xml:space="preserve">And they came to the chief priests and elders, and said, We have bound ourselves under a great curse, that we will taste nothing until we have killed Paul.</w:t>
      </w:r>
    </w:p>
    <w:p>
      <w:r>
        <w:rPr>
          <w:b/>
        </w:rPr>
        <w:t xml:space="preserve">15 </w:t>
      </w:r>
      <w:r>
        <w:t xml:space="preserve">Now therefore you with the council notify the commander that he bring him down to you tomorrow, as though you would examine his case more accurately: and we, before he comes near, are ready to kill him.</w:t>
      </w:r>
    </w:p>
    <w:p>
      <w:r>
        <w:rPr>
          <w:b/>
        </w:rPr>
        <w:t xml:space="preserve">16 </w:t>
      </w:r>
      <w:r>
        <w:t xml:space="preserve">And when Paul's sister's son heard of their ambush, he went and entered into the barracks, and told Paul.</w:t>
      </w:r>
    </w:p>
    <w:p>
      <w:r>
        <w:rPr>
          <w:b/>
        </w:rPr>
        <w:t xml:space="preserve">17 </w:t>
      </w:r>
      <w:r>
        <w:t xml:space="preserve">Then Paul called one of the centurions to him, and said, Bring this young man to the commander: for he has a certain thing to tell him.</w:t>
      </w:r>
    </w:p>
    <w:p>
      <w:r>
        <w:rPr>
          <w:b/>
        </w:rPr>
        <w:t xml:space="preserve">18 </w:t>
      </w:r>
      <w:r>
        <w:t xml:space="preserve">So he took him, and brought him to the commander, and said, Paul</w:t>
      </w:r>
      <w:r>
        <w:rPr>
          <w:rStyle w:val="FootnoteReference"/>
        </w:rPr>
        <w:footnoteReference w:id="17185"/>
      </w:r>
      <w:r>
        <w:t xml:space="preserve"> the prisoner called me to him, and asked me to bring this young man to you, who has something to say to you.</w:t>
      </w:r>
    </w:p>
    <w:p>
      <w:r>
        <w:rPr>
          <w:b/>
        </w:rPr>
        <w:t xml:space="preserve">19 </w:t>
      </w:r>
      <w:r>
        <w:t xml:space="preserve">Then the commander took</w:t>
      </w:r>
      <w:r>
        <w:rPr>
          <w:rStyle w:val="FootnoteReference"/>
        </w:rPr>
        <w:footnoteReference w:id="17186"/>
      </w:r>
      <w:r>
        <w:t xml:space="preserve"> him by the hand, and went with him aside privately, and asked him, What is that you have to tell me?</w:t>
      </w:r>
    </w:p>
    <w:p>
      <w:r>
        <w:rPr>
          <w:b/>
        </w:rPr>
        <w:t xml:space="preserve">20 </w:t>
      </w:r>
      <w:r>
        <w:t xml:space="preserve">And he said, The Jews</w:t>
      </w:r>
      <w:r>
        <w:rPr>
          <w:rStyle w:val="FootnoteReference"/>
        </w:rPr>
        <w:footnoteReference w:id="17187"/>
      </w:r>
      <w:r>
        <w:t xml:space="preserve"> have agreed to ask you that you would bring down Paul tomorrow into the council, as though they would inquire somewhat of him more accurately.</w:t>
      </w:r>
    </w:p>
    <w:p>
      <w:r>
        <w:rPr>
          <w:b/>
        </w:rPr>
        <w:t xml:space="preserve">21 </w:t>
      </w:r>
      <w:r>
        <w:t xml:space="preserve">But do not</w:t>
      </w:r>
      <w:r>
        <w:rPr>
          <w:rStyle w:val="FootnoteReference"/>
        </w:rPr>
        <w:footnoteReference w:id="17188"/>
      </w:r>
      <w:r>
        <w:t xml:space="preserve"> yield to them: for there lie in wait for him of them more than forty men, who have bound themselves with an oath, that they will neither eat nor drink till they have killed him: and now are they ready, looking for a promise from you.</w:t>
      </w:r>
    </w:p>
    <w:p>
      <w:r>
        <w:rPr>
          <w:b/>
        </w:rPr>
        <w:t xml:space="preserve">22 </w:t>
      </w:r>
      <w:r>
        <w:t xml:space="preserve">So the commander then let the young man depart, and charged him, Tell no one that you have disclosed these things to me.</w:t>
      </w:r>
    </w:p>
    <w:p>
      <w:r>
        <w:rPr>
          <w:b/>
        </w:rPr>
        <w:t xml:space="preserve">23 </w:t>
      </w:r>
      <w:r>
        <w:t xml:space="preserve">And he called to him two centurions</w:t>
      </w:r>
      <w:r>
        <w:rPr>
          <w:rStyle w:val="FootnoteReference"/>
        </w:rPr>
        <w:footnoteReference w:id="17189"/>
      </w:r>
      <w:r>
        <w:t xml:space="preserve">, saying, Make ready two hundred soldiers to go to Caesarea, and seventy horsemen, and two hundred spearmen, at the third hour of the night;</w:t>
      </w:r>
    </w:p>
    <w:p>
      <w:r>
        <w:rPr>
          <w:b/>
        </w:rPr>
        <w:t xml:space="preserve">24 </w:t>
      </w:r>
      <w:r>
        <w:t xml:space="preserve">And provide mounts, that they may set Paul on them, and bring him safely to Felix</w:t>
      </w:r>
      <w:r>
        <w:rPr>
          <w:rStyle w:val="FootnoteReference"/>
        </w:rPr>
        <w:footnoteReference w:id="17190"/>
      </w:r>
      <w:r>
        <w:t xml:space="preserve"> the governor.</w:t>
      </w:r>
      <w:r>
        <w:rPr>
          <w:rStyle w:val="FootnoteReference"/>
        </w:rPr>
        <w:footnoteReference w:id="17191"/>
      </w:r>
    </w:p>
    <w:p>
      <w:r>
        <w:rPr>
          <w:b/>
        </w:rPr>
        <w:t xml:space="preserve">25 </w:t>
      </w:r>
      <w:r>
        <w:t xml:space="preserve">And he wrote a letter in this form:</w:t>
      </w:r>
    </w:p>
    <w:p>
      <w:r>
        <w:rPr>
          <w:b/>
        </w:rPr>
        <w:t xml:space="preserve">26 </w:t>
      </w:r>
      <w:r>
        <w:t xml:space="preserve">Claudius Lysias</w:t>
      </w:r>
      <w:r>
        <w:rPr>
          <w:rStyle w:val="FootnoteReference"/>
        </w:rPr>
        <w:footnoteReference w:id="17192"/>
      </w:r>
      <w:r>
        <w:t xml:space="preserve"> to the most</w:t>
      </w:r>
      <w:r>
        <w:rPr>
          <w:rStyle w:val="FootnoteReference"/>
        </w:rPr>
        <w:footnoteReference w:id="17193"/>
      </w:r>
      <w:r>
        <w:t xml:space="preserve"> excellent governor Felix sends greeting.</w:t>
      </w:r>
    </w:p>
    <w:p>
      <w:r>
        <w:rPr>
          <w:b/>
        </w:rPr>
        <w:t xml:space="preserve">27 </w:t>
      </w:r>
      <w:r>
        <w:t xml:space="preserve">This man was seized by the Jews, and was about to be killed by them: then I came with the troops, and rescued him, having learned that he was a Roman.</w:t>
      </w:r>
    </w:p>
    <w:p>
      <w:r>
        <w:rPr>
          <w:b/>
        </w:rPr>
        <w:t xml:space="preserve">28 </w:t>
      </w:r>
      <w:r>
        <w:t xml:space="preserve">And wishing to know the cause for which they accused him, I brought him down into their council:</w:t>
      </w:r>
    </w:p>
    <w:p>
      <w:r>
        <w:rPr>
          <w:b/>
        </w:rPr>
        <w:t xml:space="preserve">29 </w:t>
      </w:r>
      <w:r>
        <w:t xml:space="preserve">Whom I found to be accused concerning questions</w:t>
      </w:r>
      <w:r>
        <w:rPr>
          <w:rStyle w:val="FootnoteReference"/>
        </w:rPr>
        <w:footnoteReference w:id="17194"/>
      </w:r>
      <w:r>
        <w:t xml:space="preserve"> of their law, but to have no charge laid against him worthy of death or of bonds.</w:t>
      </w:r>
    </w:p>
    <w:p>
      <w:r>
        <w:rPr>
          <w:b/>
        </w:rPr>
        <w:t xml:space="preserve">30 </w:t>
      </w:r>
      <w:r>
        <w:t xml:space="preserve">And when it was</w:t>
      </w:r>
      <w:r>
        <w:rPr>
          <w:rStyle w:val="FootnoteReference"/>
        </w:rPr>
        <w:footnoteReference w:id="17195"/>
      </w:r>
      <w:r>
        <w:t xml:space="preserve"> told me that a plot against the man was about to be made by the Jews, I sent him immediately to you, and commanded his accusers also to say before you what they had against him. Farewell.</w:t>
      </w:r>
    </w:p>
    <w:p>
      <w:r>
        <w:rPr>
          <w:b/>
        </w:rPr>
        <w:t xml:space="preserve">31 </w:t>
      </w:r>
      <w:r>
        <w:t xml:space="preserve">Then the soldiers, according to what was commanded them, took Paul, and brought him by night to Antipatris</w:t>
      </w:r>
      <w:r>
        <w:rPr>
          <w:rStyle w:val="FootnoteReference"/>
        </w:rPr>
        <w:footnoteReference w:id="17196"/>
      </w:r>
      <w:r>
        <w:t xml:space="preserve">.</w:t>
      </w:r>
    </w:p>
    <w:p>
      <w:r>
        <w:rPr>
          <w:b/>
        </w:rPr>
        <w:t xml:space="preserve">32 </w:t>
      </w:r>
      <w:r>
        <w:t xml:space="preserve">On the next day they left the horsemen to go with him, and returned to the barracks:</w:t>
      </w:r>
    </w:p>
    <w:p>
      <w:r>
        <w:rPr>
          <w:b/>
        </w:rPr>
        <w:t xml:space="preserve">33 </w:t>
      </w:r>
      <w:r>
        <w:t xml:space="preserve">Who, when they came to Caesarea and delivered</w:t>
      </w:r>
      <w:r>
        <w:rPr>
          <w:rStyle w:val="FootnoteReference"/>
        </w:rPr>
        <w:footnoteReference w:id="17197"/>
      </w:r>
      <w:r>
        <w:t xml:space="preserve"> the letter to the governor, presented Paul also before him.</w:t>
      </w:r>
    </w:p>
    <w:p>
      <w:r>
        <w:rPr>
          <w:b/>
        </w:rPr>
        <w:t xml:space="preserve">34 </w:t>
      </w:r>
      <w:r>
        <w:t xml:space="preserve">And when the governor had read the letter, he asked</w:t>
      </w:r>
      <w:r>
        <w:rPr>
          <w:rStyle w:val="FootnoteReference"/>
        </w:rPr>
        <w:footnoteReference w:id="17198"/>
      </w:r>
      <w:r>
        <w:t xml:space="preserve"> from what province he was. And when he understood that he was of Cilicia;</w:t>
      </w:r>
    </w:p>
    <w:p>
      <w:r>
        <w:rPr>
          <w:b/>
        </w:rPr>
        <w:t xml:space="preserve">35 </w:t>
      </w:r>
      <w:r>
        <w:t xml:space="preserve">I will hear you fully, said he, when your accusers have also come. And he commanded him to be kept in Herod's Praetorium.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24</w:t>
      </w:r>
    </w:p>
    <w:p>
      <w:r>
        <w:rPr>
          <w:b/>
        </w:rPr>
        <w:t xml:space="preserve">1 </w:t>
      </w:r>
      <w:r>
        <w:t xml:space="preserve">And after five</w:t>
      </w:r>
      <w:r>
        <w:rPr>
          <w:rStyle w:val="FootnoteReference"/>
        </w:rPr>
        <w:footnoteReference w:id="17199"/>
      </w:r>
      <w:r>
        <w:t xml:space="preserve"> days Ananias the high priest came down with the elders, and with a certain attorney named Tertullus</w:t>
      </w:r>
      <w:r>
        <w:rPr>
          <w:rStyle w:val="FootnoteReference"/>
        </w:rPr>
        <w:footnoteReference w:id="17200"/>
      </w:r>
      <w:r>
        <w:t xml:space="preserve">, who laid information before the governor against Paul.</w:t>
      </w:r>
    </w:p>
    <w:p>
      <w:r>
        <w:rPr>
          <w:b/>
        </w:rPr>
        <w:t xml:space="preserve">2 </w:t>
      </w:r>
      <w:r>
        <w:t xml:space="preserve">And when he was called forth, Tertullus began to accuse him, saying, Seeing</w:t>
      </w:r>
      <w:r>
        <w:rPr>
          <w:rStyle w:val="FootnoteReference"/>
        </w:rPr>
        <w:footnoteReference w:id="17201"/>
      </w:r>
      <w:r>
        <w:t xml:space="preserve"> that by you we enjoy much peace, and that reforms are done for this nation by your foresight,</w:t>
      </w:r>
    </w:p>
    <w:p>
      <w:r>
        <w:rPr>
          <w:b/>
        </w:rPr>
        <w:t xml:space="preserve">3 </w:t>
      </w:r>
      <w:r>
        <w:t xml:space="preserve">We accept it always, and in all places, most</w:t>
      </w:r>
      <w:r>
        <w:rPr>
          <w:rStyle w:val="FootnoteReference"/>
        </w:rPr>
        <w:footnoteReference w:id="17202"/>
      </w:r>
      <w:r>
        <w:t xml:space="preserve"> noble Felix, with all thankfulness.</w:t>
      </w:r>
    </w:p>
    <w:p>
      <w:r>
        <w:rPr>
          <w:b/>
        </w:rPr>
        <w:t xml:space="preserve">4 </w:t>
      </w:r>
      <w:r>
        <w:t xml:space="preserve">Notwithstanding, that I may not be wearisome anymore to you, I ask you that you would hear us of your clemency a few words.</w:t>
      </w:r>
    </w:p>
    <w:p>
      <w:r>
        <w:rPr>
          <w:b/>
        </w:rPr>
        <w:t xml:space="preserve">5 </w:t>
      </w:r>
      <w:r>
        <w:t xml:space="preserve">For we have found this man a plague, and a mover</w:t>
      </w:r>
      <w:r>
        <w:rPr>
          <w:rStyle w:val="FootnoteReference"/>
        </w:rPr>
        <w:footnoteReference w:id="17203"/>
      </w:r>
      <w:r>
        <w:t xml:space="preserve"> of sedition among all the Jews throughout the world, and a ringleader of the sect of the Nazarenes</w:t>
      </w:r>
      <w:r>
        <w:rPr>
          <w:rStyle w:val="FootnoteReference"/>
        </w:rPr>
        <w:footnoteReference w:id="17204"/>
      </w:r>
      <w:r>
        <w:t xml:space="preserve">:</w:t>
      </w:r>
    </w:p>
    <w:p>
      <w:r>
        <w:rPr>
          <w:b/>
        </w:rPr>
        <w:t xml:space="preserve">6 </w:t>
      </w:r>
      <w:r>
        <w:t xml:space="preserve">Who also attempted to profane the temple: whom we took, and would have judged according to our law.</w:t>
      </w:r>
    </w:p>
    <w:p>
      <w:r>
        <w:rPr>
          <w:b/>
        </w:rPr>
        <w:t xml:space="preserve">7 </w:t>
      </w:r>
      <w:r>
        <w:t xml:space="preserve">But the commander Lysias came upon us, and with great</w:t>
      </w:r>
      <w:r>
        <w:rPr>
          <w:rStyle w:val="FootnoteReference"/>
        </w:rPr>
        <w:footnoteReference w:id="17205"/>
      </w:r>
      <w:r>
        <w:t xml:space="preserve"> violence took him away out of our hands,</w:t>
      </w:r>
    </w:p>
    <w:p>
      <w:r>
        <w:rPr>
          <w:b/>
        </w:rPr>
        <w:t xml:space="preserve">8 </w:t>
      </w:r>
      <w:r>
        <w:t xml:space="preserve">Commanding</w:t>
      </w:r>
      <w:r>
        <w:rPr>
          <w:rStyle w:val="FootnoteReference"/>
        </w:rPr>
        <w:footnoteReference w:id="17206"/>
      </w:r>
      <w:r>
        <w:t xml:space="preserve"> his accusers to come to you: by examining him yourself you may learn all these things, of which we accuse him.</w:t>
      </w:r>
    </w:p>
    <w:p>
      <w:r>
        <w:rPr>
          <w:b/>
        </w:rPr>
        <w:t xml:space="preserve">9 </w:t>
      </w:r>
      <w:r>
        <w:t xml:space="preserve">And the Jews also assented, saying that these things were so.</w:t>
      </w:r>
    </w:p>
    <w:p>
      <w:r>
        <w:rPr>
          <w:b/>
        </w:rPr>
        <w:t xml:space="preserve">10 </w:t>
      </w:r>
      <w:r>
        <w:t xml:space="preserve">Then Paul, after the governor had beckoned to him to speak, answered, Since I know that you have been for many years a judge</w:t>
      </w:r>
      <w:r>
        <w:rPr>
          <w:rStyle w:val="FootnoteReference"/>
        </w:rPr>
        <w:footnoteReference w:id="17207"/>
      </w:r>
      <w:r>
        <w:t xml:space="preserve"> to this nation, I more cheerfully make my defense:</w:t>
      </w:r>
    </w:p>
    <w:p>
      <w:r>
        <w:rPr>
          <w:b/>
        </w:rPr>
        <w:t xml:space="preserve">11 </w:t>
      </w:r>
      <w:r>
        <w:t xml:space="preserve">Because you may understand, that there are no more than twelve days since I went up to Jerusalem in order to worship</w:t>
      </w:r>
      <w:r>
        <w:rPr>
          <w:rStyle w:val="FootnoteReference"/>
        </w:rPr>
        <w:footnoteReference w:id="17208"/>
      </w:r>
      <w:r>
        <w:t xml:space="preserve">.</w:t>
      </w:r>
    </w:p>
    <w:p>
      <w:r>
        <w:rPr>
          <w:b/>
        </w:rPr>
        <w:t xml:space="preserve">12 </w:t>
      </w:r>
      <w:r>
        <w:t xml:space="preserve">And they neither found me in the temple arguing with anyone, nor stirring up a crowd, neither in the synagogues, nor in the city:</w:t>
      </w:r>
    </w:p>
    <w:p>
      <w:r>
        <w:rPr>
          <w:b/>
        </w:rPr>
        <w:t xml:space="preserve">13 </w:t>
      </w:r>
      <w:r>
        <w:t xml:space="preserve">Neither can they prove the things of which they now accuse me.</w:t>
      </w:r>
    </w:p>
    <w:p>
      <w:r>
        <w:rPr>
          <w:b/>
        </w:rPr>
        <w:t xml:space="preserve">14 </w:t>
      </w:r>
      <w:r>
        <w:t xml:space="preserve">But this I confess</w:t>
      </w:r>
      <w:r>
        <w:rPr>
          <w:rStyle w:val="FootnoteReference"/>
        </w:rPr>
        <w:footnoteReference w:id="17209"/>
      </w:r>
      <w:r>
        <w:t xml:space="preserve"> to you, that according to the Way which they call a sect, so I worship the God of my fathers, believing all things which are written in the law and in the prophets:</w:t>
      </w:r>
    </w:p>
    <w:p>
      <w:r>
        <w:rPr>
          <w:b/>
        </w:rPr>
        <w:t xml:space="preserve">15 </w:t>
      </w:r>
      <w:r>
        <w:t xml:space="preserve">And have hope toward God, which they themselves also accept, that there shall be a resurrection of the dead, both of the just and unjust.</w:t>
      </w:r>
    </w:p>
    <w:p>
      <w:r>
        <w:rPr>
          <w:b/>
        </w:rPr>
        <w:t xml:space="preserve">16 </w:t>
      </w:r>
      <w:r>
        <w:t xml:space="preserve">And in this I also strive, to have always a conscience without offense toward God, and toward men.</w:t>
      </w:r>
    </w:p>
    <w:p>
      <w:r>
        <w:rPr>
          <w:b/>
        </w:rPr>
        <w:t xml:space="preserve">17 </w:t>
      </w:r>
      <w:r>
        <w:t xml:space="preserve">Now after many years I came to bring</w:t>
      </w:r>
      <w:r>
        <w:rPr>
          <w:rStyle w:val="FootnoteReference"/>
        </w:rPr>
        <w:footnoteReference w:id="17210"/>
      </w:r>
      <w:r>
        <w:t xml:space="preserve"> alms to my nation, and offerings.</w:t>
      </w:r>
    </w:p>
    <w:p>
      <w:r>
        <w:rPr>
          <w:b/>
        </w:rPr>
        <w:t xml:space="preserve">18 </w:t>
      </w:r>
      <w:r>
        <w:t xml:space="preserve">In which certain Jews from Asia found me purified in the temple, neither with crowd, nor with tumult.</w:t>
      </w:r>
    </w:p>
    <w:p>
      <w:r>
        <w:rPr>
          <w:b/>
        </w:rPr>
        <w:t xml:space="preserve">19 </w:t>
      </w:r>
      <w:r>
        <w:t xml:space="preserve">Who ought to have been here before you, and to accuse me, if they had anything against me.</w:t>
      </w:r>
    </w:p>
    <w:p>
      <w:r>
        <w:rPr>
          <w:b/>
        </w:rPr>
        <w:t xml:space="preserve">20 </w:t>
      </w:r>
      <w:r>
        <w:t xml:space="preserve">Or else let these same here say, if they found any wrongdoing in me, while I stood before the council,</w:t>
      </w:r>
    </w:p>
    <w:p>
      <w:r>
        <w:rPr>
          <w:b/>
        </w:rPr>
        <w:t xml:space="preserve">21 </w:t>
      </w:r>
      <w:r>
        <w:t xml:space="preserve">Except it be for this one voice, that I cried standing among them, Concerning the resurrection of the dead I am being judged by you this day.</w:t>
      </w:r>
    </w:p>
    <w:p>
      <w:r>
        <w:rPr>
          <w:b/>
        </w:rPr>
        <w:t xml:space="preserve">22 </w:t>
      </w:r>
      <w:r>
        <w:t xml:space="preserve">And when Felix heard these things, having more accurate knowledge of the Way, he deferred them, and said, When Lysias the commander shall come down, I will determine your matter.</w:t>
      </w:r>
    </w:p>
    <w:p>
      <w:r>
        <w:rPr>
          <w:b/>
        </w:rPr>
        <w:t xml:space="preserve">23 </w:t>
      </w:r>
      <w:r>
        <w:t xml:space="preserve">And he commanded a centurion to keep Paul, and to let him have liberty, and that he should forbid none of his own to minister or come to him.</w:t>
      </w:r>
    </w:p>
    <w:p>
      <w:r>
        <w:rPr>
          <w:b/>
        </w:rPr>
        <w:t xml:space="preserve">24 </w:t>
      </w:r>
      <w:r>
        <w:t xml:space="preserve">And after certain days, when Felix came with his wife Drusilla</w:t>
      </w:r>
      <w:r>
        <w:rPr>
          <w:rStyle w:val="FootnoteReference"/>
        </w:rPr>
        <w:footnoteReference w:id="17211"/>
      </w:r>
      <w:r>
        <w:t xml:space="preserve">, who was a Jewess, he sent</w:t>
      </w:r>
      <w:r>
        <w:rPr>
          <w:rStyle w:val="FootnoteReference"/>
        </w:rPr>
        <w:footnoteReference w:id="17212"/>
      </w:r>
      <w:r>
        <w:t xml:space="preserve"> for Paul, and heard him concerning the faith in Christ.</w:t>
      </w:r>
    </w:p>
    <w:p>
      <w:r>
        <w:rPr>
          <w:b/>
        </w:rPr>
        <w:t xml:space="preserve">25 </w:t>
      </w:r>
      <w:r>
        <w:t xml:space="preserve">And as he reasoned of righteousness</w:t>
      </w:r>
      <w:r>
        <w:rPr>
          <w:rStyle w:val="FootnoteReference"/>
        </w:rPr>
        <w:footnoteReference w:id="17213"/>
      </w:r>
      <w:r>
        <w:t xml:space="preserve">, self-control, and judgment to come, Felix trembled, and answered, Go your way for this time; when I have a convenient season, I will call for you.</w:t>
      </w:r>
    </w:p>
    <w:p>
      <w:r>
        <w:rPr>
          <w:b/>
        </w:rPr>
        <w:t xml:space="preserve">26 </w:t>
      </w:r>
      <w:r>
        <w:t xml:space="preserve">He also hoped</w:t>
      </w:r>
      <w:r>
        <w:rPr>
          <w:rStyle w:val="FootnoteReference"/>
        </w:rPr>
        <w:footnoteReference w:id="17214"/>
      </w:r>
      <w:r>
        <w:t xml:space="preserve"> that money would be given him by Paul, that he might release him: therefore he sent for him more often, and conversed with him.</w:t>
      </w:r>
    </w:p>
    <w:p>
      <w:r>
        <w:rPr>
          <w:b/>
        </w:rPr>
        <w:t xml:space="preserve">27 </w:t>
      </w:r>
      <w:r>
        <w:t xml:space="preserve">But after two years Porcius Festus</w:t>
      </w:r>
      <w:r>
        <w:rPr>
          <w:rStyle w:val="FootnoteReference"/>
        </w:rPr>
        <w:footnoteReference w:id="17215"/>
      </w:r>
      <w:r>
        <w:t xml:space="preserve"> came as Felix's successor: and Felix, willing to grant the Jews a favor, left Paul bound.</w:t>
      </w:r>
      <w:r>
        <w:rPr>
          <w:rStyle w:val="FootnoteReference"/>
        </w:rPr>
        <w:footnoteReference w:id="17216"/>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25</w:t>
      </w:r>
    </w:p>
    <w:p>
      <w:r>
        <w:rPr>
          <w:b/>
        </w:rPr>
        <w:t xml:space="preserve">1 </w:t>
      </w:r>
      <w:r>
        <w:t xml:space="preserve">Now when Festus had entered the province, after three days he went up from Caesarea to Jerusalem.</w:t>
      </w:r>
    </w:p>
    <w:p>
      <w:r>
        <w:rPr>
          <w:b/>
        </w:rPr>
        <w:t xml:space="preserve">2 </w:t>
      </w:r>
      <w:r>
        <w:t xml:space="preserve">Then the high priest and the chief men of the Jews laid information before him against Paul, and begged him,</w:t>
      </w:r>
    </w:p>
    <w:p>
      <w:r>
        <w:rPr>
          <w:b/>
        </w:rPr>
        <w:t xml:space="preserve">3 </w:t>
      </w:r>
      <w:r>
        <w:t xml:space="preserve">And desired</w:t>
      </w:r>
      <w:r>
        <w:rPr>
          <w:rStyle w:val="FootnoteReference"/>
        </w:rPr>
        <w:footnoteReference w:id="17217"/>
      </w:r>
      <w:r>
        <w:t xml:space="preserve"> favor against him, that he would send for him to Jerusalem, laying wait in the way to kill him.</w:t>
      </w:r>
    </w:p>
    <w:p>
      <w:r>
        <w:rPr>
          <w:b/>
        </w:rPr>
        <w:t xml:space="preserve">4 </w:t>
      </w:r>
      <w:r>
        <w:t xml:space="preserve">But Festus answered, that Paul should be kept at Caesarea, and that he himself would depart there shortly.</w:t>
      </w:r>
    </w:p>
    <w:p>
      <w:r>
        <w:rPr>
          <w:b/>
        </w:rPr>
        <w:t xml:space="preserve">5 </w:t>
      </w:r>
      <w:r>
        <w:t xml:space="preserve">Let them</w:t>
      </w:r>
      <w:r>
        <w:rPr>
          <w:rStyle w:val="FootnoteReference"/>
        </w:rPr>
        <w:footnoteReference w:id="17218"/>
      </w:r>
      <w:r>
        <w:t xml:space="preserve"> therefore, said he, who are able among you, go down with me, and accuse this man, if there is any wrongdoing in him.</w:t>
      </w:r>
    </w:p>
    <w:p>
      <w:r>
        <w:rPr>
          <w:b/>
        </w:rPr>
        <w:t xml:space="preserve">6 </w:t>
      </w:r>
      <w:r>
        <w:t xml:space="preserve">And when he had stayed among them more than ten days, he went down to Caesarea; and the next day sitting</w:t>
      </w:r>
      <w:r>
        <w:rPr>
          <w:rStyle w:val="FootnoteReference"/>
        </w:rPr>
        <w:footnoteReference w:id="17219"/>
      </w:r>
      <w:r>
        <w:t xml:space="preserve"> on the judgment seat commanded Paul to be brought.</w:t>
      </w:r>
    </w:p>
    <w:p>
      <w:r>
        <w:rPr>
          <w:b/>
        </w:rPr>
        <w:t xml:space="preserve">7 </w:t>
      </w:r>
      <w:r>
        <w:t xml:space="preserve">And when he had come, the Jews who came down from Jerusalem stood around, bringing many and grievous charges against Paul, which they could not prove.</w:t>
      </w:r>
    </w:p>
    <w:p>
      <w:r>
        <w:rPr>
          <w:b/>
        </w:rPr>
        <w:t xml:space="preserve">8 </w:t>
      </w:r>
      <w:r>
        <w:t xml:space="preserve">While he answered for himself, Neither against the law of the Jews, nor against the temple, nor against Caesar, have I sinned at all.</w:t>
      </w:r>
    </w:p>
    <w:p>
      <w:r>
        <w:rPr>
          <w:b/>
        </w:rPr>
        <w:t xml:space="preserve">9 </w:t>
      </w:r>
      <w:r>
        <w:t xml:space="preserve">But Festus, willing</w:t>
      </w:r>
      <w:r>
        <w:rPr>
          <w:rStyle w:val="FootnoteReference"/>
        </w:rPr>
        <w:footnoteReference w:id="17220"/>
      </w:r>
      <w:r>
        <w:t xml:space="preserve"> to grant the Jews a favor, answered Paul, and said, Will you go up to Jerusalem, and there be judged of these things before me?</w:t>
      </w:r>
    </w:p>
    <w:p>
      <w:r>
        <w:rPr>
          <w:b/>
        </w:rPr>
        <w:t xml:space="preserve">10 </w:t>
      </w:r>
      <w:r>
        <w:t xml:space="preserve">Then Paul said, I stand</w:t>
      </w:r>
      <w:r>
        <w:rPr>
          <w:rStyle w:val="FootnoteReference"/>
        </w:rPr>
        <w:footnoteReference w:id="17221"/>
      </w:r>
      <w:r>
        <w:t xml:space="preserve"> at Caesar's judgment seat, where I ought to be judged: to the Jews I have done no wrong, as you very well know.</w:t>
      </w:r>
    </w:p>
    <w:p>
      <w:r>
        <w:rPr>
          <w:b/>
        </w:rPr>
        <w:t xml:space="preserve">11 </w:t>
      </w:r>
      <w:r>
        <w:t xml:space="preserve">For if I</w:t>
      </w:r>
      <w:r>
        <w:rPr>
          <w:rStyle w:val="FootnoteReference"/>
        </w:rPr>
        <w:footnoteReference w:id="17222"/>
      </w:r>
      <w:r>
        <w:t xml:space="preserve"> am a wrongdoer, or have committed anything worthy of death, I do not refuse to die: but if there is none of these things of which these accuse me, no one may hand me over to them as a favor. I appeal to Caesar.</w:t>
      </w:r>
    </w:p>
    <w:p>
      <w:r>
        <w:rPr>
          <w:b/>
        </w:rPr>
        <w:t xml:space="preserve">12 </w:t>
      </w:r>
      <w:r>
        <w:t xml:space="preserve">Then Festus, when he had conferred with the council, answered, Have you appealed to Caesar? to Caesar shall you go.</w:t>
      </w:r>
    </w:p>
    <w:p>
      <w:r>
        <w:rPr>
          <w:b/>
        </w:rPr>
        <w:t xml:space="preserve">13 </w:t>
      </w:r>
      <w:r>
        <w:t xml:space="preserve">And after certain days king</w:t>
      </w:r>
      <w:r>
        <w:rPr>
          <w:rStyle w:val="FootnoteReference"/>
        </w:rPr>
        <w:footnoteReference w:id="17223"/>
      </w:r>
      <w:r>
        <w:t xml:space="preserve"> Agrippa</w:t>
      </w:r>
      <w:r>
        <w:rPr>
          <w:rStyle w:val="FootnoteReference"/>
        </w:rPr>
        <w:footnoteReference w:id="17224"/>
      </w:r>
      <w:r>
        <w:t xml:space="preserve"> and Bernice</w:t>
      </w:r>
      <w:r>
        <w:rPr>
          <w:rStyle w:val="FootnoteReference"/>
        </w:rPr>
        <w:footnoteReference w:id="17225"/>
      </w:r>
      <w:r>
        <w:t xml:space="preserve"> came to Caesarea to salute Festus.</w:t>
      </w:r>
    </w:p>
    <w:p>
      <w:r>
        <w:rPr>
          <w:b/>
        </w:rPr>
        <w:t xml:space="preserve">14 </w:t>
      </w:r>
      <w:r>
        <w:t xml:space="preserve">And when they had been there many days, Festus laid Paul's case before the king, saying, There is a certain man left in bonds by Felix:</w:t>
      </w:r>
    </w:p>
    <w:p>
      <w:r>
        <w:rPr>
          <w:b/>
        </w:rPr>
        <w:t xml:space="preserve">15 </w:t>
      </w:r>
      <w:r>
        <w:t xml:space="preserve">About whom, when I was at Jerusalem, the chief priests and the elders of the Jews laid information before me, asking for judgment against him.</w:t>
      </w:r>
    </w:p>
    <w:p>
      <w:r>
        <w:rPr>
          <w:b/>
        </w:rPr>
        <w:t xml:space="preserve">16 </w:t>
      </w:r>
      <w:r>
        <w:t xml:space="preserve">To whom I answered, It is not</w:t>
      </w:r>
      <w:r>
        <w:rPr>
          <w:rStyle w:val="FootnoteReference"/>
        </w:rPr>
        <w:footnoteReference w:id="17226"/>
      </w:r>
      <w:r>
        <w:t xml:space="preserve"> the manner of the Romans to deliver anyone to die, before that the one who is accused have the accusers face to face, and have licence to answer for himself concerning the crime laid against him.</w:t>
      </w:r>
    </w:p>
    <w:p>
      <w:r>
        <w:rPr>
          <w:b/>
        </w:rPr>
        <w:t xml:space="preserve">17 </w:t>
      </w:r>
      <w:r>
        <w:t xml:space="preserve">Therefore, when they had come here, without any delay on the next day I sat on the judgment seat, and commanded the man to be brought.</w:t>
      </w:r>
    </w:p>
    <w:p>
      <w:r>
        <w:rPr>
          <w:b/>
        </w:rPr>
        <w:t xml:space="preserve">18 </w:t>
      </w:r>
      <w:r>
        <w:t xml:space="preserve">Against whom when the accusers stood up, they brought no accusation of such things as I supposed:</w:t>
      </w:r>
    </w:p>
    <w:p>
      <w:r>
        <w:rPr>
          <w:b/>
        </w:rPr>
        <w:t xml:space="preserve">19 </w:t>
      </w:r>
      <w:r>
        <w:t xml:space="preserve">But had certain</w:t>
      </w:r>
      <w:r>
        <w:rPr>
          <w:rStyle w:val="FootnoteReference"/>
        </w:rPr>
        <w:footnoteReference w:id="17227"/>
      </w:r>
      <w:r>
        <w:t xml:space="preserve"> questions against him of their own religion, and of one Jesus, who was dead, whom Paul affirmed to be alive.</w:t>
      </w:r>
    </w:p>
    <w:p>
      <w:r>
        <w:rPr>
          <w:b/>
        </w:rPr>
        <w:t xml:space="preserve">20 </w:t>
      </w:r>
      <w:r>
        <w:t xml:space="preserve">And because I was perplexed about this inquiry, I asked</w:t>
      </w:r>
      <w:r>
        <w:rPr>
          <w:rStyle w:val="FootnoteReference"/>
        </w:rPr>
        <w:footnoteReference w:id="17228"/>
      </w:r>
      <w:r>
        <w:t xml:space="preserve"> him whether he would go to Jerusalem, and there be judged of these matters.</w:t>
      </w:r>
    </w:p>
    <w:p>
      <w:r>
        <w:rPr>
          <w:b/>
        </w:rPr>
        <w:t xml:space="preserve">21 </w:t>
      </w:r>
      <w:r>
        <w:t xml:space="preserve">But when Paul had appealed to be reserved to the decision of Augustus</w:t>
      </w:r>
      <w:r>
        <w:rPr>
          <w:rStyle w:val="FootnoteReference"/>
        </w:rPr>
        <w:footnoteReference w:id="17229"/>
      </w:r>
      <w:r>
        <w:t xml:space="preserve">, I commanded him to be kept till I might send him to Caesar.</w:t>
      </w:r>
    </w:p>
    <w:p>
      <w:r>
        <w:rPr>
          <w:b/>
        </w:rPr>
        <w:t xml:space="preserve">22 </w:t>
      </w:r>
      <w:r>
        <w:t xml:space="preserve">Then Agrippa said to Festus, I would also hear the man myself. Tomorrow, said he, you shall hear him.</w:t>
      </w:r>
    </w:p>
    <w:p>
      <w:r>
        <w:rPr>
          <w:b/>
        </w:rPr>
        <w:t xml:space="preserve">23 </w:t>
      </w:r>
      <w:r>
        <w:t xml:space="preserve">And on the next day, when Agrippa and Bernice had come with great pomp, and had entered into the audience hall, with the commanders and principal men of the city, at Festus' command Paul was brought.</w:t>
      </w:r>
    </w:p>
    <w:p>
      <w:r>
        <w:rPr>
          <w:b/>
        </w:rPr>
        <w:t xml:space="preserve">24 </w:t>
      </w:r>
      <w:r>
        <w:t xml:space="preserve">And Festus said, King Agrippa, and all men who are here present with us, you see this man, about whom all the multitude of the Jews have petitioned me, both at Jerusalem, and also here, crying that he ought not to live any longer.</w:t>
      </w:r>
    </w:p>
    <w:p>
      <w:r>
        <w:rPr>
          <w:b/>
        </w:rPr>
        <w:t xml:space="preserve">25 </w:t>
      </w:r>
      <w:r>
        <w:t xml:space="preserve">But when I found that he had committed</w:t>
      </w:r>
      <w:r>
        <w:rPr>
          <w:rStyle w:val="FootnoteReference"/>
        </w:rPr>
        <w:footnoteReference w:id="17230"/>
      </w:r>
      <w:r>
        <w:t xml:space="preserve"> nothing worthy of death, and that he himself has appealed to Augustus, I determined to send him.</w:t>
      </w:r>
    </w:p>
    <w:p>
      <w:r>
        <w:rPr>
          <w:b/>
        </w:rPr>
        <w:t xml:space="preserve">26 </w:t>
      </w:r>
      <w:r>
        <w:t xml:space="preserve">Of whom I have no certain thing to write to the emperor. Therefore I have brought him forth before you, and especially before you, O king Agrippa, that, after examination has taken place, I might have something to write.</w:t>
      </w:r>
    </w:p>
    <w:p>
      <w:r>
        <w:rPr>
          <w:b/>
        </w:rPr>
        <w:t xml:space="preserve">27 </w:t>
      </w:r>
      <w:r>
        <w:t xml:space="preserve">For it seems to me unreasonable to send a prisoner, and not also to signify the charges against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26</w:t>
      </w:r>
    </w:p>
    <w:p>
      <w:r>
        <w:rPr>
          <w:b/>
        </w:rPr>
        <w:t xml:space="preserve">1 </w:t>
      </w:r>
      <w:r>
        <w:t xml:space="preserve">Then Agrippa said to Paul, You are permitted to speak for yourself. Then Paul stretched</w:t>
      </w:r>
      <w:r>
        <w:rPr>
          <w:rStyle w:val="FootnoteReference"/>
        </w:rPr>
        <w:footnoteReference w:id="17231"/>
      </w:r>
      <w:r>
        <w:t xml:space="preserve"> forth the hand, and made his defense:</w:t>
      </w:r>
    </w:p>
    <w:p>
      <w:r>
        <w:rPr>
          <w:b/>
        </w:rPr>
        <w:t xml:space="preserve">2 </w:t>
      </w:r>
      <w:r>
        <w:t xml:space="preserve">I consider myself fortunate, king Agrippa, because I shall make my defense this day before you concerning all the things of which I am accused by the Jews:</w:t>
      </w:r>
    </w:p>
    <w:p>
      <w:r>
        <w:rPr>
          <w:b/>
        </w:rPr>
        <w:t xml:space="preserve">3 </w:t>
      </w:r>
      <w:r>
        <w:t xml:space="preserve">Especially because I know you are expert in all customs and questions which are among the Jews: therefore I ask you to hear</w:t>
      </w:r>
      <w:r>
        <w:rPr>
          <w:rStyle w:val="FootnoteReference"/>
        </w:rPr>
        <w:footnoteReference w:id="17232"/>
      </w:r>
      <w:r>
        <w:t xml:space="preserve"> me patiently.</w:t>
      </w:r>
    </w:p>
    <w:p>
      <w:r>
        <w:rPr>
          <w:b/>
        </w:rPr>
        <w:t xml:space="preserve">4 </w:t>
      </w:r>
      <w:r>
        <w:t xml:space="preserve">My manner</w:t>
      </w:r>
      <w:r>
        <w:rPr>
          <w:rStyle w:val="FootnoteReference"/>
        </w:rPr>
        <w:footnoteReference w:id="17233"/>
      </w:r>
      <w:r>
        <w:t xml:space="preserve"> of life from my youth, which was from the beginning among my own nation at Jerusalem, all the Jews know;</w:t>
      </w:r>
    </w:p>
    <w:p>
      <w:r>
        <w:rPr>
          <w:b/>
        </w:rPr>
        <w:t xml:space="preserve">5 </w:t>
      </w:r>
      <w:r>
        <w:t xml:space="preserve">Who knew me from the beginning, if they would testify, that according to the strictest sect</w:t>
      </w:r>
      <w:r>
        <w:rPr>
          <w:rStyle w:val="FootnoteReference"/>
        </w:rPr>
        <w:footnoteReference w:id="17234"/>
      </w:r>
      <w:r>
        <w:t xml:space="preserve"> of our religion I lived as a Pharisee.</w:t>
      </w:r>
    </w:p>
    <w:p>
      <w:r>
        <w:rPr>
          <w:b/>
        </w:rPr>
        <w:t xml:space="preserve">6 </w:t>
      </w:r>
      <w:r>
        <w:t xml:space="preserve">And now I stand being judged for the hope of the promise</w:t>
      </w:r>
      <w:r>
        <w:rPr>
          <w:rStyle w:val="FootnoteReference"/>
        </w:rPr>
        <w:footnoteReference w:id="17235"/>
      </w:r>
      <w:r>
        <w:t xml:space="preserve"> made by God to our fathers:</w:t>
      </w:r>
    </w:p>
    <w:p>
      <w:r>
        <w:rPr>
          <w:b/>
        </w:rPr>
        <w:t xml:space="preserve">7 </w:t>
      </w:r>
      <w:r>
        <w:t xml:space="preserve">To which promise our twelve tribes, earnestly serving God night and day, hope</w:t>
      </w:r>
      <w:r>
        <w:rPr>
          <w:rStyle w:val="FootnoteReference"/>
        </w:rPr>
        <w:footnoteReference w:id="17236"/>
      </w:r>
      <w:r>
        <w:t xml:space="preserve"> to come. For which hope's sake, king Agrippa, I am accused by the Jews.</w:t>
      </w:r>
    </w:p>
    <w:p>
      <w:r>
        <w:rPr>
          <w:b/>
        </w:rPr>
        <w:t xml:space="preserve">8 </w:t>
      </w:r>
      <w:r>
        <w:t xml:space="preserve">Why is it judged incredible among you, if God raises the dead?</w:t>
      </w:r>
    </w:p>
    <w:p>
      <w:r>
        <w:rPr>
          <w:b/>
        </w:rPr>
        <w:t xml:space="preserve">9 </w:t>
      </w:r>
      <w:r>
        <w:t xml:space="preserve">I indeed thought with myself, that I ought to do many things contrary to the name</w:t>
      </w:r>
      <w:r>
        <w:rPr>
          <w:rStyle w:val="FootnoteReference"/>
        </w:rPr>
        <w:footnoteReference w:id="17237"/>
      </w:r>
      <w:r>
        <w:t xml:space="preserve"> of Jesus of Nazareth.</w:t>
      </w:r>
    </w:p>
    <w:p>
      <w:r>
        <w:rPr>
          <w:b/>
        </w:rPr>
        <w:t xml:space="preserve">10 </w:t>
      </w:r>
      <w:r>
        <w:t xml:space="preserve">Which thing I also</w:t>
      </w:r>
      <w:r>
        <w:rPr>
          <w:rStyle w:val="FootnoteReference"/>
        </w:rPr>
        <w:footnoteReference w:id="17238"/>
      </w:r>
      <w:r>
        <w:t xml:space="preserve"> did in Jerusalem: and many of the holy ones did I shut up in prison, having received authority from the chief priests; and when they were put to death, I gave my voice against them.</w:t>
      </w:r>
    </w:p>
    <w:p>
      <w:r>
        <w:rPr>
          <w:b/>
        </w:rPr>
        <w:t xml:space="preserve">11 </w:t>
      </w:r>
      <w:r>
        <w:t xml:space="preserve">And I punished</w:t>
      </w:r>
      <w:r>
        <w:rPr>
          <w:rStyle w:val="FootnoteReference"/>
        </w:rPr>
        <w:footnoteReference w:id="17239"/>
      </w:r>
      <w:r>
        <w:t xml:space="preserve"> them often in every synagogue, and compelled them to blaspheme; and being exceedingly enraged against them, I persecuted them even to foreign cities.</w:t>
      </w:r>
    </w:p>
    <w:p>
      <w:r>
        <w:rPr>
          <w:b/>
        </w:rPr>
        <w:t xml:space="preserve">12 </w:t>
      </w:r>
      <w:r>
        <w:t xml:space="preserve">In which also, as I went to Damascus with authority and commission from the chief priests,</w:t>
      </w:r>
    </w:p>
    <w:p>
      <w:r>
        <w:rPr>
          <w:b/>
        </w:rPr>
        <w:t xml:space="preserve">13 </w:t>
      </w:r>
      <w:r>
        <w:t xml:space="preserve">At midday</w:t>
      </w:r>
      <w:r>
        <w:rPr>
          <w:rStyle w:val="FootnoteReference"/>
        </w:rPr>
        <w:footnoteReference w:id="17240"/>
      </w:r>
      <w:r>
        <w:t xml:space="preserve">, O king, I saw on the road a light from heaven, above the brightness of the sun, shining around me and those who journeyed with me.</w:t>
      </w:r>
    </w:p>
    <w:p>
      <w:r>
        <w:rPr>
          <w:b/>
        </w:rPr>
        <w:t xml:space="preserve">14 </w:t>
      </w:r>
      <w:r>
        <w:t xml:space="preserve">And when we had all fallen to the earth, I heard a voice speaking to me, and saying in the Hebrew dialect, Saul</w:t>
      </w:r>
      <w:r>
        <w:rPr>
          <w:rStyle w:val="FootnoteReference"/>
        </w:rPr>
        <w:footnoteReference w:id="17241"/>
      </w:r>
      <w:r>
        <w:t xml:space="preserve">, Saul, why do you persecute me? it is hard for you to kick against the goads.</w:t>
      </w:r>
    </w:p>
    <w:p>
      <w:r>
        <w:rPr>
          <w:b/>
        </w:rPr>
        <w:t xml:space="preserve">15 </w:t>
      </w:r>
      <w:r>
        <w:t xml:space="preserve">And I said, Who are you, Lord? And he said, I am Jesus whom you persecute.</w:t>
      </w:r>
    </w:p>
    <w:p>
      <w:r>
        <w:rPr>
          <w:b/>
        </w:rPr>
        <w:t xml:space="preserve">16 </w:t>
      </w:r>
      <w:r>
        <w:t xml:space="preserve">But rise</w:t>
      </w:r>
      <w:r>
        <w:rPr>
          <w:rStyle w:val="FootnoteReference"/>
        </w:rPr>
        <w:footnoteReference w:id="17242"/>
      </w:r>
      <w:r>
        <w:t xml:space="preserve">, and stand upon your feet: for I have appeared to you for this purpose, to make you a servant and a witness both of these things which you have seen, and of those things in which I will appear to you;</w:t>
      </w:r>
    </w:p>
    <w:p>
      <w:r>
        <w:rPr>
          <w:b/>
        </w:rPr>
        <w:t xml:space="preserve">17 </w:t>
      </w:r>
      <w:r>
        <w:t xml:space="preserve">Delivering</w:t>
      </w:r>
      <w:r>
        <w:rPr>
          <w:rStyle w:val="FootnoteReference"/>
        </w:rPr>
        <w:footnoteReference w:id="17243"/>
      </w:r>
      <w:r>
        <w:t xml:space="preserve"> you from the people, and from the nations, to whom now I send you,</w:t>
      </w:r>
    </w:p>
    <w:p>
      <w:r>
        <w:rPr>
          <w:b/>
        </w:rPr>
        <w:t xml:space="preserve">18 </w:t>
      </w:r>
      <w:r>
        <w:t xml:space="preserve">To open</w:t>
      </w:r>
      <w:r>
        <w:rPr>
          <w:rStyle w:val="FootnoteReference"/>
        </w:rPr>
        <w:footnoteReference w:id="17244"/>
      </w:r>
      <w:r>
        <w:t xml:space="preserve"> their eyes, and to turn them from darkness to light, and from the power of Satan to God, that they may receive forgiveness of sins, and inheritance among those who are sanctified by faith that is in me.</w:t>
      </w:r>
    </w:p>
    <w:p>
      <w:r>
        <w:rPr>
          <w:b/>
        </w:rPr>
        <w:t xml:space="preserve">19 </w:t>
      </w:r>
      <w:r>
        <w:t xml:space="preserve">Whereupon, O king</w:t>
      </w:r>
      <w:r>
        <w:rPr>
          <w:rStyle w:val="FootnoteReference"/>
        </w:rPr>
        <w:footnoteReference w:id="17245"/>
      </w:r>
      <w:r>
        <w:t xml:space="preserve"> Agrippa, I was not disobedient to the heavenly vision:</w:t>
      </w:r>
    </w:p>
    <w:p>
      <w:r>
        <w:rPr>
          <w:b/>
        </w:rPr>
        <w:t xml:space="preserve">20 </w:t>
      </w:r>
      <w:r>
        <w:t xml:space="preserve">But showed first</w:t>
      </w:r>
      <w:r>
        <w:rPr>
          <w:rStyle w:val="FootnoteReference"/>
        </w:rPr>
        <w:footnoteReference w:id="17246"/>
      </w:r>
      <w:r>
        <w:t xml:space="preserve"> to them of Damascus, and at Jerusalem, and throughout all the borders of Judea, and then to the nations, that they should repent and turn to God, and do works worthy of repentance.</w:t>
      </w:r>
    </w:p>
    <w:p>
      <w:r>
        <w:rPr>
          <w:b/>
        </w:rPr>
        <w:t xml:space="preserve">21 </w:t>
      </w:r>
      <w:r>
        <w:t xml:space="preserve">For these causes the Jews</w:t>
      </w:r>
      <w:r>
        <w:rPr>
          <w:rStyle w:val="FootnoteReference"/>
        </w:rPr>
        <w:footnoteReference w:id="17247"/>
      </w:r>
      <w:r>
        <w:t xml:space="preserve"> seized me in the temple, and attempted to kill me.</w:t>
      </w:r>
    </w:p>
    <w:p>
      <w:r>
        <w:rPr>
          <w:b/>
        </w:rPr>
        <w:t xml:space="preserve">22 </w:t>
      </w:r>
      <w:r>
        <w:t xml:space="preserve">Having therefore obtained</w:t>
      </w:r>
      <w:r>
        <w:rPr>
          <w:rStyle w:val="FootnoteReference"/>
        </w:rPr>
        <w:footnoteReference w:id="17248"/>
      </w:r>
      <w:r>
        <w:t xml:space="preserve"> help from God, I continue to this day, witnessing both to small and great, saying no other things than those which the prophets and Moses said would come:</w:t>
      </w:r>
    </w:p>
    <w:p>
      <w:r>
        <w:rPr>
          <w:b/>
        </w:rPr>
        <w:t xml:space="preserve">23 </w:t>
      </w:r>
      <w:r>
        <w:t xml:space="preserve">That Christ</w:t>
      </w:r>
      <w:r>
        <w:rPr>
          <w:rStyle w:val="FootnoteReference"/>
        </w:rPr>
        <w:footnoteReference w:id="17249"/>
      </w:r>
      <w:r>
        <w:t xml:space="preserve"> should suffer, and that he should be the first that should rise from the dead, and should show light to the people, and to the nations.</w:t>
      </w:r>
    </w:p>
    <w:p>
      <w:r>
        <w:rPr>
          <w:b/>
        </w:rPr>
        <w:t xml:space="preserve">24 </w:t>
      </w:r>
      <w:r>
        <w:t xml:space="preserve">And as he thus made his defense, Festus</w:t>
      </w:r>
      <w:r>
        <w:rPr>
          <w:rStyle w:val="FootnoteReference"/>
        </w:rPr>
        <w:footnoteReference w:id="17250"/>
      </w:r>
      <w:r>
        <w:t xml:space="preserve"> said with a loud voice, Paul, you are out of your mind; much learning turns you to madness.</w:t>
      </w:r>
    </w:p>
    <w:p>
      <w:r>
        <w:rPr>
          <w:b/>
        </w:rPr>
        <w:t xml:space="preserve">25 </w:t>
      </w:r>
      <w:r>
        <w:t xml:space="preserve">But he said, I am not</w:t>
      </w:r>
      <w:r>
        <w:rPr>
          <w:rStyle w:val="FootnoteReference"/>
        </w:rPr>
        <w:footnoteReference w:id="17251"/>
      </w:r>
      <w:r>
        <w:t xml:space="preserve"> mad, most noble Festus; but speak forth words of truth and sobriety.</w:t>
      </w:r>
    </w:p>
    <w:p>
      <w:r>
        <w:rPr>
          <w:b/>
        </w:rPr>
        <w:t xml:space="preserve">26 </w:t>
      </w:r>
      <w:r>
        <w:t xml:space="preserve">For the king knows of these things, before whom also I speak freely: for I am persuaded that none of these things are hidden from him; for this thing</w:t>
      </w:r>
      <w:r>
        <w:rPr>
          <w:rStyle w:val="FootnoteReference"/>
        </w:rPr>
        <w:footnoteReference w:id="17252"/>
      </w:r>
      <w:r>
        <w:t xml:space="preserve"> was not done in a corner.</w:t>
      </w:r>
    </w:p>
    <w:p>
      <w:r>
        <w:rPr>
          <w:b/>
        </w:rPr>
        <w:t xml:space="preserve">27 </w:t>
      </w:r>
      <w:r>
        <w:t xml:space="preserve">King Agrippa, do you believe the prophets? I know that you believe.</w:t>
      </w:r>
    </w:p>
    <w:p>
      <w:r>
        <w:rPr>
          <w:b/>
        </w:rPr>
        <w:t xml:space="preserve">28 </w:t>
      </w:r>
      <w:r>
        <w:t xml:space="preserve">Then Agrippa said to Paul, In a short time you persuade me to become a Christian</w:t>
      </w:r>
      <w:r>
        <w:rPr>
          <w:rStyle w:val="FootnoteReference"/>
        </w:rPr>
        <w:footnoteReference w:id="17253"/>
      </w:r>
      <w:r>
        <w:t xml:space="preserve">.</w:t>
      </w:r>
    </w:p>
    <w:p>
      <w:r>
        <w:rPr>
          <w:b/>
        </w:rPr>
        <w:t xml:space="preserve">29 </w:t>
      </w:r>
      <w:r>
        <w:t xml:space="preserve">And Paul said, I would</w:t>
      </w:r>
      <w:r>
        <w:rPr>
          <w:rStyle w:val="FootnoteReference"/>
        </w:rPr>
        <w:footnoteReference w:id="17254"/>
      </w:r>
      <w:r>
        <w:t xml:space="preserve"> to God, that not only you, but also all who hear me this day, whether in a little or in much, might become such as I am, except for these bonds.</w:t>
      </w:r>
    </w:p>
    <w:p>
      <w:r>
        <w:rPr>
          <w:b/>
        </w:rPr>
        <w:t xml:space="preserve">30 </w:t>
      </w:r>
      <w:r>
        <w:t xml:space="preserve">And when he had thus spoken, the king rose up, and the governor, and Bernice, and those who sat with them:</w:t>
      </w:r>
    </w:p>
    <w:p>
      <w:r>
        <w:rPr>
          <w:b/>
        </w:rPr>
        <w:t xml:space="preserve">31 </w:t>
      </w:r>
      <w:r>
        <w:t xml:space="preserve">And when they had gone aside, they talked among themselves, saying, This man</w:t>
      </w:r>
      <w:r>
        <w:rPr>
          <w:rStyle w:val="FootnoteReference"/>
        </w:rPr>
        <w:footnoteReference w:id="17255"/>
      </w:r>
      <w:r>
        <w:t xml:space="preserve"> does nothing worthy of death or of bonds.</w:t>
      </w:r>
    </w:p>
    <w:p>
      <w:r>
        <w:rPr>
          <w:b/>
        </w:rPr>
        <w:t xml:space="preserve">32 </w:t>
      </w:r>
      <w:r>
        <w:t xml:space="preserve">Then Agrippa said to Festus, This man could have been set at liberty, if he had not appealed</w:t>
      </w:r>
      <w:r>
        <w:rPr>
          <w:rStyle w:val="FootnoteReference"/>
        </w:rPr>
        <w:footnoteReference w:id="17256"/>
      </w:r>
      <w:r>
        <w:t xml:space="preserve"> to Caesar.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27</w:t>
      </w:r>
    </w:p>
    <w:p>
      <w:r>
        <w:rPr>
          <w:b/>
        </w:rPr>
        <w:t xml:space="preserve">1 </w:t>
      </w:r>
      <w:r>
        <w:t xml:space="preserve">And when it was determined that we should sail into Italy</w:t>
      </w:r>
      <w:r>
        <w:rPr>
          <w:rStyle w:val="FootnoteReference"/>
        </w:rPr>
        <w:footnoteReference w:id="17257"/>
      </w:r>
      <w:r>
        <w:t xml:space="preserve">, they delivered Paul and certain other prisoners to one named Julius</w:t>
      </w:r>
      <w:r>
        <w:rPr>
          <w:rStyle w:val="FootnoteReference"/>
        </w:rPr>
        <w:footnoteReference w:id="17258"/>
      </w:r>
      <w:r>
        <w:t xml:space="preserve">, a centurion of the Augustan</w:t>
      </w:r>
      <w:r>
        <w:rPr>
          <w:rStyle w:val="FootnoteReference"/>
        </w:rPr>
        <w:footnoteReference w:id="17259"/>
      </w:r>
      <w:r>
        <w:t xml:space="preserve"> cohort.</w:t>
      </w:r>
    </w:p>
    <w:p>
      <w:r>
        <w:rPr>
          <w:b/>
        </w:rPr>
        <w:t xml:space="preserve">2 </w:t>
      </w:r>
      <w:r>
        <w:t xml:space="preserve">And entering into a ship of Adramyttium</w:t>
      </w:r>
      <w:r>
        <w:rPr>
          <w:rStyle w:val="FootnoteReference"/>
        </w:rPr>
        <w:footnoteReference w:id="17260"/>
      </w:r>
      <w:r>
        <w:t xml:space="preserve">, we put to sea, intending to sail</w:t>
      </w:r>
      <w:r>
        <w:rPr>
          <w:rStyle w:val="FootnoteReference"/>
        </w:rPr>
        <w:footnoteReference w:id="17261"/>
      </w:r>
      <w:r>
        <w:t xml:space="preserve"> by the places along Asia; one Aristarchus, a Macedonian</w:t>
      </w:r>
      <w:r>
        <w:rPr>
          <w:rStyle w:val="FootnoteReference"/>
        </w:rPr>
        <w:footnoteReference w:id="17262"/>
      </w:r>
      <w:r>
        <w:t xml:space="preserve"> of Thessalonica, being with us.</w:t>
      </w:r>
    </w:p>
    <w:p>
      <w:r>
        <w:rPr>
          <w:b/>
        </w:rPr>
        <w:t xml:space="preserve">3 </w:t>
      </w:r>
      <w:r>
        <w:t xml:space="preserve">And the next day we touched at Sidon</w:t>
      </w:r>
      <w:r>
        <w:rPr>
          <w:rStyle w:val="FootnoteReference"/>
        </w:rPr>
        <w:footnoteReference w:id="17263"/>
      </w:r>
      <w:r>
        <w:t xml:space="preserve">. And Julius courteously entreated Paul, and gave him liberty to go to his friends to refresh himself.</w:t>
      </w:r>
    </w:p>
    <w:p>
      <w:r>
        <w:rPr>
          <w:b/>
        </w:rPr>
        <w:t xml:space="preserve">4 </w:t>
      </w:r>
      <w:r>
        <w:t xml:space="preserve">And when we had launched from there, we sailed under the lee of Cyprus</w:t>
      </w:r>
      <w:r>
        <w:rPr>
          <w:rStyle w:val="FootnoteReference"/>
        </w:rPr>
        <w:footnoteReference w:id="17264"/>
      </w:r>
      <w:r>
        <w:t xml:space="preserve">, because the winds were contrary.</w:t>
      </w:r>
    </w:p>
    <w:p>
      <w:r>
        <w:rPr>
          <w:b/>
        </w:rPr>
        <w:t xml:space="preserve">5 </w:t>
      </w:r>
      <w:r>
        <w:t xml:space="preserve">And when we had sailed over the sea along Cilicia</w:t>
      </w:r>
      <w:r>
        <w:rPr>
          <w:rStyle w:val="FootnoteReference"/>
        </w:rPr>
        <w:footnoteReference w:id="17265"/>
      </w:r>
      <w:r>
        <w:t xml:space="preserve"> and Pamphylia, we came to Myra</w:t>
      </w:r>
      <w:r>
        <w:rPr>
          <w:rStyle w:val="FootnoteReference"/>
        </w:rPr>
        <w:footnoteReference w:id="17266"/>
      </w:r>
      <w:r>
        <w:t xml:space="preserve">, a city of Lycia</w:t>
      </w:r>
      <w:r>
        <w:rPr>
          <w:rStyle w:val="FootnoteReference"/>
        </w:rPr>
        <w:footnoteReference w:id="17267"/>
      </w:r>
      <w:r>
        <w:t xml:space="preserve">.</w:t>
      </w:r>
    </w:p>
    <w:p>
      <w:r>
        <w:rPr>
          <w:b/>
        </w:rPr>
        <w:t xml:space="preserve">6 </w:t>
      </w:r>
      <w:r>
        <w:t xml:space="preserve">And there the centurion</w:t>
      </w:r>
      <w:r>
        <w:rPr>
          <w:rStyle w:val="FootnoteReference"/>
        </w:rPr>
        <w:footnoteReference w:id="17268"/>
      </w:r>
      <w:r>
        <w:t xml:space="preserve"> found a boat of Alexandria sailing into Italy; and he put us in it.</w:t>
      </w:r>
    </w:p>
    <w:p>
      <w:r>
        <w:rPr>
          <w:b/>
        </w:rPr>
        <w:t xml:space="preserve">7 </w:t>
      </w:r>
      <w:r>
        <w:t xml:space="preserve">And when we had sailed slowly many days, and with difficulty had come opposite Cnidus</w:t>
      </w:r>
      <w:r>
        <w:rPr>
          <w:rStyle w:val="FootnoteReference"/>
        </w:rPr>
        <w:footnoteReference w:id="17269"/>
      </w:r>
      <w:r>
        <w:t xml:space="preserve">, the wind not allowing us, we sailed</w:t>
      </w:r>
      <w:r>
        <w:rPr>
          <w:rStyle w:val="FootnoteReference"/>
        </w:rPr>
        <w:footnoteReference w:id="17270"/>
      </w:r>
      <w:r>
        <w:t xml:space="preserve"> under the lee of Crete</w:t>
      </w:r>
      <w:r>
        <w:rPr>
          <w:rStyle w:val="FootnoteReference"/>
        </w:rPr>
        <w:footnoteReference w:id="17271"/>
      </w:r>
      <w:r>
        <w:t xml:space="preserve">, opposite Salmone</w:t>
      </w:r>
      <w:r>
        <w:rPr>
          <w:rStyle w:val="FootnoteReference"/>
        </w:rPr>
        <w:footnoteReference w:id="17272"/>
      </w:r>
      <w:r>
        <w:t xml:space="preserve">;</w:t>
      </w:r>
    </w:p>
    <w:p>
      <w:r>
        <w:rPr>
          <w:b/>
        </w:rPr>
        <w:t xml:space="preserve">8 </w:t>
      </w:r>
      <w:r>
        <w:t xml:space="preserve">And, with difficulty passing it, came to a place which is called Fair Havens; near to which was the city of Lasea</w:t>
      </w:r>
      <w:r>
        <w:rPr>
          <w:rStyle w:val="FootnoteReference"/>
        </w:rPr>
        <w:footnoteReference w:id="17273"/>
      </w:r>
      <w:r>
        <w:t xml:space="preserve">.</w:t>
      </w:r>
    </w:p>
    <w:p>
      <w:r>
        <w:rPr>
          <w:b/>
        </w:rPr>
        <w:t xml:space="preserve">9 </w:t>
      </w:r>
      <w:r>
        <w:t xml:space="preserve">Now when much time had passed, and when sailing was now dangerous, because the fast</w:t>
      </w:r>
      <w:r>
        <w:rPr>
          <w:rStyle w:val="FootnoteReference"/>
        </w:rPr>
        <w:footnoteReference w:id="17274"/>
      </w:r>
      <w:r>
        <w:t xml:space="preserve"> was already past, Paul admonished them,</w:t>
      </w:r>
    </w:p>
    <w:p>
      <w:r>
        <w:rPr>
          <w:b/>
        </w:rPr>
        <w:t xml:space="preserve">10 </w:t>
      </w:r>
      <w:r>
        <w:t xml:space="preserve">And said to them, Sirs, I perceive</w:t>
      </w:r>
      <w:r>
        <w:rPr>
          <w:rStyle w:val="FootnoteReference"/>
        </w:rPr>
        <w:footnoteReference w:id="17275"/>
      </w:r>
      <w:r>
        <w:t xml:space="preserve"> that this voyage will be with hurt and much damage, not only of the lading and boat, but also of our lives.</w:t>
      </w:r>
    </w:p>
    <w:p>
      <w:r>
        <w:rPr>
          <w:b/>
        </w:rPr>
        <w:t xml:space="preserve">11 </w:t>
      </w:r>
      <w:r>
        <w:t xml:space="preserve">Nevertheless the centurion believed</w:t>
      </w:r>
      <w:r>
        <w:rPr>
          <w:rStyle w:val="FootnoteReference"/>
        </w:rPr>
        <w:footnoteReference w:id="17276"/>
      </w:r>
      <w:r>
        <w:t xml:space="preserve"> the pilot and the owner of the ship, more than the things which were spoken by Paul.</w:t>
      </w:r>
    </w:p>
    <w:p>
      <w:r>
        <w:rPr>
          <w:b/>
        </w:rPr>
        <w:t xml:space="preserve">12 </w:t>
      </w:r>
      <w:r>
        <w:t xml:space="preserve">And because the haven</w:t>
      </w:r>
      <w:r>
        <w:rPr>
          <w:rStyle w:val="FootnoteReference"/>
        </w:rPr>
        <w:footnoteReference w:id="17277"/>
      </w:r>
      <w:r>
        <w:t xml:space="preserve"> was not commodious to winter in, most advised to depart from there also, if by any means they might attain to Phenice, and there to winter; which is a haven of Crete, and lies toward the south west and north west.</w:t>
      </w:r>
    </w:p>
    <w:p>
      <w:r>
        <w:rPr>
          <w:b/>
        </w:rPr>
        <w:t xml:space="preserve">13 </w:t>
      </w:r>
      <w:r>
        <w:t xml:space="preserve">And when the south</w:t>
      </w:r>
      <w:r>
        <w:rPr>
          <w:rStyle w:val="FootnoteReference"/>
        </w:rPr>
        <w:footnoteReference w:id="17278"/>
      </w:r>
      <w:r>
        <w:t xml:space="preserve"> wind blew softly, supposing that they had obtained their purpose, weighing anchor, they sailed close by Crete.</w:t>
      </w:r>
    </w:p>
    <w:p>
      <w:r>
        <w:rPr>
          <w:b/>
        </w:rPr>
        <w:t xml:space="preserve">14 </w:t>
      </w:r>
      <w:r>
        <w:t xml:space="preserve">But not long after there arose against it a tempestuous</w:t>
      </w:r>
      <w:r>
        <w:rPr>
          <w:rStyle w:val="FootnoteReference"/>
        </w:rPr>
        <w:footnoteReference w:id="17279"/>
      </w:r>
      <w:r>
        <w:t xml:space="preserve"> wind, called Euroclydon.</w:t>
      </w:r>
    </w:p>
    <w:p>
      <w:r>
        <w:rPr>
          <w:b/>
        </w:rPr>
        <w:t xml:space="preserve">15 </w:t>
      </w:r>
      <w:r>
        <w:t xml:space="preserve">And when the boat was caught, and could not bear up into the wind, we let her drive.</w:t>
      </w:r>
    </w:p>
    <w:p>
      <w:r>
        <w:rPr>
          <w:b/>
        </w:rPr>
        <w:t xml:space="preserve">16 </w:t>
      </w:r>
      <w:r>
        <w:t xml:space="preserve">And running under a certain island which is called Clauda</w:t>
      </w:r>
      <w:r>
        <w:rPr>
          <w:rStyle w:val="FootnoteReference"/>
        </w:rPr>
        <w:footnoteReference w:id="17280"/>
      </w:r>
      <w:r>
        <w:t xml:space="preserve">, we had much difficulty securing the skiff:</w:t>
      </w:r>
      <w:r>
        <w:rPr>
          <w:rStyle w:val="FootnoteReference"/>
        </w:rPr>
        <w:footnoteReference w:id="17281"/>
      </w:r>
    </w:p>
    <w:p>
      <w:r>
        <w:rPr>
          <w:b/>
        </w:rPr>
        <w:t xml:space="preserve">17 </w:t>
      </w:r>
      <w:r>
        <w:t xml:space="preserve">Which when they had taken up, they used support cables, undergirding the boat; and, fearing</w:t>
      </w:r>
      <w:r>
        <w:rPr>
          <w:rStyle w:val="FootnoteReference"/>
        </w:rPr>
        <w:footnoteReference w:id="17282"/>
      </w:r>
      <w:r>
        <w:t xml:space="preserve"> lest they should fall into the quicksand, strake sail, and so were driven.</w:t>
      </w:r>
    </w:p>
    <w:p>
      <w:r>
        <w:rPr>
          <w:b/>
        </w:rPr>
        <w:t xml:space="preserve">18 </w:t>
      </w:r>
      <w:r>
        <w:t xml:space="preserve">And we being exceedingly tossed with a tempest, the next</w:t>
      </w:r>
      <w:r>
        <w:rPr>
          <w:rStyle w:val="FootnoteReference"/>
        </w:rPr>
        <w:footnoteReference w:id="17283"/>
      </w:r>
      <w:r>
        <w:t xml:space="preserve"> day they jettisoned cargo;</w:t>
      </w:r>
    </w:p>
    <w:p>
      <w:r>
        <w:rPr>
          <w:b/>
        </w:rPr>
        <w:t xml:space="preserve">19 </w:t>
      </w:r>
      <w:r>
        <w:t xml:space="preserve">And the third day we cast out with our own hands the cordage of the boat.</w:t>
      </w:r>
    </w:p>
    <w:p>
      <w:r>
        <w:rPr>
          <w:b/>
        </w:rPr>
        <w:t xml:space="preserve">20 </w:t>
      </w:r>
      <w:r>
        <w:t xml:space="preserve">And when neither sun nor stars appeared for many days, and no</w:t>
      </w:r>
      <w:r>
        <w:rPr>
          <w:rStyle w:val="FootnoteReference"/>
        </w:rPr>
        <w:footnoteReference w:id="17284"/>
      </w:r>
      <w:r>
        <w:t xml:space="preserve"> small tempest lay on us, all hope that we should be saved was then taken away.</w:t>
      </w:r>
    </w:p>
    <w:p>
      <w:r>
        <w:rPr>
          <w:b/>
        </w:rPr>
        <w:t xml:space="preserve">21 </w:t>
      </w:r>
      <w:r>
        <w:t xml:space="preserve">But after long abstinence Paul stood forth in the midst of them, and said, Men, you should have listened to me, and not have sailed from Crete, and incurred this harm and loss.</w:t>
      </w:r>
    </w:p>
    <w:p>
      <w:r>
        <w:rPr>
          <w:b/>
        </w:rPr>
        <w:t xml:space="preserve">22 </w:t>
      </w:r>
      <w:r>
        <w:t xml:space="preserve">And now I exhort</w:t>
      </w:r>
      <w:r>
        <w:rPr>
          <w:rStyle w:val="FootnoteReference"/>
        </w:rPr>
        <w:footnoteReference w:id="17285"/>
      </w:r>
      <w:r>
        <w:t xml:space="preserve"> you to take courage: for there shall be no loss of anyone's life among you, but of the boat.</w:t>
      </w:r>
    </w:p>
    <w:p>
      <w:r>
        <w:rPr>
          <w:b/>
        </w:rPr>
        <w:t xml:space="preserve">23 </w:t>
      </w:r>
      <w:r>
        <w:t xml:space="preserve">For there stood by me this night the angel of God, whose I am, and whom I serve,</w:t>
      </w:r>
    </w:p>
    <w:p>
      <w:r>
        <w:rPr>
          <w:b/>
        </w:rPr>
        <w:t xml:space="preserve">24 </w:t>
      </w:r>
      <w:r>
        <w:t xml:space="preserve">Saying, Do not fear, Paul; you must be brought before Caesar: and, look, God has given you all those who sail with you.</w:t>
      </w:r>
    </w:p>
    <w:p>
      <w:r>
        <w:rPr>
          <w:b/>
        </w:rPr>
        <w:t xml:space="preserve">25 </w:t>
      </w:r>
      <w:r>
        <w:t xml:space="preserve">Therefore, men, take courage: for I believe</w:t>
      </w:r>
      <w:r>
        <w:rPr>
          <w:rStyle w:val="FootnoteReference"/>
        </w:rPr>
        <w:footnoteReference w:id="17286"/>
      </w:r>
      <w:r>
        <w:t xml:space="preserve"> God, that it shall be even as it was told me.</w:t>
      </w:r>
    </w:p>
    <w:p>
      <w:r>
        <w:rPr>
          <w:b/>
        </w:rPr>
        <w:t xml:space="preserve">26 </w:t>
      </w:r>
      <w:r>
        <w:t xml:space="preserve">Nevertheless we must be cast upon a certain island.</w:t>
      </w:r>
    </w:p>
    <w:p>
      <w:r>
        <w:rPr>
          <w:b/>
        </w:rPr>
        <w:t xml:space="preserve">27 </w:t>
      </w:r>
      <w:r>
        <w:t xml:space="preserve">But when the fourteenth</w:t>
      </w:r>
      <w:r>
        <w:rPr>
          <w:rStyle w:val="FootnoteReference"/>
        </w:rPr>
        <w:footnoteReference w:id="17287"/>
      </w:r>
      <w:r>
        <w:t xml:space="preserve"> night had come, as we were driven up and down in the Adriatic Sea, about midnight the sailors supposed that they were drawing near to some land;</w:t>
      </w:r>
    </w:p>
    <w:p>
      <w:r>
        <w:rPr>
          <w:b/>
        </w:rPr>
        <w:t xml:space="preserve">28 </w:t>
      </w:r>
      <w:r>
        <w:t xml:space="preserve">And sounded, and found it twenty fathoms: and when they had gone a little further, they sounded again, and found it fifteen fathoms.</w:t>
      </w:r>
    </w:p>
    <w:p>
      <w:r>
        <w:rPr>
          <w:b/>
        </w:rPr>
        <w:t xml:space="preserve">29 </w:t>
      </w:r>
      <w:r>
        <w:t xml:space="preserve">Then fearing lest we should have fallen</w:t>
      </w:r>
      <w:r>
        <w:rPr>
          <w:rStyle w:val="FootnoteReference"/>
        </w:rPr>
        <w:footnoteReference w:id="17288"/>
      </w:r>
      <w:r>
        <w:t xml:space="preserve"> upon rough places, they cast four anchors out of the stern, and wished for the day.</w:t>
      </w:r>
    </w:p>
    <w:p>
      <w:r>
        <w:rPr>
          <w:b/>
        </w:rPr>
        <w:t xml:space="preserve">30 </w:t>
      </w:r>
      <w:r>
        <w:t xml:space="preserve">And as the sailors were about to flee out of the ship, when they had let down the boat</w:t>
      </w:r>
      <w:r>
        <w:rPr>
          <w:rStyle w:val="FootnoteReference"/>
        </w:rPr>
        <w:footnoteReference w:id="17289"/>
      </w:r>
      <w:r>
        <w:t xml:space="preserve"> into the sea, under pretense as though they would have cast anchors out of the bow,</w:t>
      </w:r>
    </w:p>
    <w:p>
      <w:r>
        <w:rPr>
          <w:b/>
        </w:rPr>
        <w:t xml:space="preserve">31 </w:t>
      </w:r>
      <w:r>
        <w:t xml:space="preserve">Paul said</w:t>
      </w:r>
      <w:r>
        <w:rPr>
          <w:rStyle w:val="FootnoteReference"/>
        </w:rPr>
        <w:footnoteReference w:id="17290"/>
      </w:r>
      <w:r>
        <w:t xml:space="preserve"> to the centurion and to the soldiers, Unless these remain in the ship, you cannot be saved.</w:t>
      </w:r>
    </w:p>
    <w:p>
      <w:r>
        <w:rPr>
          <w:b/>
        </w:rPr>
        <w:t xml:space="preserve">32 </w:t>
      </w:r>
      <w:r>
        <w:t xml:space="preserve">Then the soldiers cut off the ropes of the skiff, and let it fall away.</w:t>
      </w:r>
    </w:p>
    <w:p>
      <w:r>
        <w:rPr>
          <w:b/>
        </w:rPr>
        <w:t xml:space="preserve">33 </w:t>
      </w:r>
      <w:r>
        <w:t xml:space="preserve">And while the day was coming on, Paul urged them all to take food, saying, This day is the fourteenth day that you have waited and continued without food, having taken nothing.</w:t>
      </w:r>
    </w:p>
    <w:p>
      <w:r>
        <w:rPr>
          <w:b/>
        </w:rPr>
        <w:t xml:space="preserve">34 </w:t>
      </w:r>
      <w:r>
        <w:t xml:space="preserve">Therefore I ask you to take some food: for this</w:t>
      </w:r>
      <w:r>
        <w:rPr>
          <w:rStyle w:val="FootnoteReference"/>
        </w:rPr>
        <w:footnoteReference w:id="17291"/>
      </w:r>
      <w:r>
        <w:t xml:space="preserve"> is for your health: for there shall not a hair fall from the head of any of you.</w:t>
      </w:r>
    </w:p>
    <w:p>
      <w:r>
        <w:rPr>
          <w:b/>
        </w:rPr>
        <w:t xml:space="preserve">35 </w:t>
      </w:r>
      <w:r>
        <w:t xml:space="preserve">And when he had thus spoken, he took bread, and gave</w:t>
      </w:r>
      <w:r>
        <w:rPr>
          <w:rStyle w:val="FootnoteReference"/>
        </w:rPr>
        <w:footnoteReference w:id="17292"/>
      </w:r>
      <w:r>
        <w:t xml:space="preserve"> thanks to God in the presence of them all: and when he had broken it, he began to eat.</w:t>
      </w:r>
    </w:p>
    <w:p>
      <w:r>
        <w:rPr>
          <w:b/>
        </w:rPr>
        <w:t xml:space="preserve">36 </w:t>
      </w:r>
      <w:r>
        <w:t xml:space="preserve">Then they were all encouraged, and also took food.</w:t>
      </w:r>
    </w:p>
    <w:p>
      <w:r>
        <w:rPr>
          <w:b/>
        </w:rPr>
        <w:t xml:space="preserve">37 </w:t>
      </w:r>
      <w:r>
        <w:t xml:space="preserve">And we were in all in the ship 276 souls</w:t>
      </w:r>
      <w:r>
        <w:rPr>
          <w:rStyle w:val="FootnoteReference"/>
        </w:rPr>
        <w:footnoteReference w:id="17293"/>
      </w:r>
      <w:r>
        <w:t xml:space="preserve">.</w:t>
      </w:r>
    </w:p>
    <w:p>
      <w:r>
        <w:rPr>
          <w:b/>
        </w:rPr>
        <w:t xml:space="preserve">38 </w:t>
      </w:r>
      <w:r>
        <w:t xml:space="preserve">And when they had eaten enough, they lightened</w:t>
      </w:r>
      <w:r>
        <w:rPr>
          <w:rStyle w:val="FootnoteReference"/>
        </w:rPr>
        <w:footnoteReference w:id="17294"/>
      </w:r>
      <w:r>
        <w:t xml:space="preserve"> the boat, and cast out the wheat into the sea.</w:t>
      </w:r>
    </w:p>
    <w:p>
      <w:r>
        <w:rPr>
          <w:b/>
        </w:rPr>
        <w:t xml:space="preserve">39 </w:t>
      </w:r>
      <w:r>
        <w:t xml:space="preserve">And when it was day, they did not know the land: but they discovered a certain creek with a shore, into the which they were minded, if it were possible, to thrust in the boat.</w:t>
      </w:r>
    </w:p>
    <w:p>
      <w:r>
        <w:rPr>
          <w:b/>
        </w:rPr>
        <w:t xml:space="preserve">40 </w:t>
      </w:r>
      <w:r>
        <w:t xml:space="preserve">And when they had cut away the anchors, they left them in the sea, and at the same time loosed the rudder bands</w:t>
      </w:r>
      <w:r>
        <w:rPr>
          <w:rStyle w:val="FootnoteReference"/>
        </w:rPr>
        <w:footnoteReference w:id="17295"/>
      </w:r>
      <w:r>
        <w:t xml:space="preserve">, and hoisted the foresail to the wind, and made toward shore.</w:t>
      </w:r>
    </w:p>
    <w:p>
      <w:r>
        <w:rPr>
          <w:b/>
        </w:rPr>
        <w:t xml:space="preserve">41 </w:t>
      </w:r>
      <w:r>
        <w:t xml:space="preserve">And falling into a place where two seas met, they ran</w:t>
      </w:r>
      <w:r>
        <w:rPr>
          <w:rStyle w:val="FootnoteReference"/>
        </w:rPr>
        <w:footnoteReference w:id="17296"/>
      </w:r>
      <w:r>
        <w:t xml:space="preserve"> the ship aground; and the front part stuck fast, and remained immovable, but the hinder part was broken with the violence of the waves.</w:t>
      </w:r>
    </w:p>
    <w:p>
      <w:r>
        <w:rPr>
          <w:b/>
        </w:rPr>
        <w:t xml:space="preserve">42 </w:t>
      </w:r>
      <w:r>
        <w:t xml:space="preserve">And the soldiers' plan was to kill the prisoners, lest any of them should swim away and escape.</w:t>
      </w:r>
    </w:p>
    <w:p>
      <w:r>
        <w:rPr>
          <w:b/>
        </w:rPr>
        <w:t xml:space="preserve">43 </w:t>
      </w:r>
      <w:r>
        <w:t xml:space="preserve">But the centurion, wanting to save Paul, prevented them from their purpose; and commanded that those who could swim should cast themselves first into the sea, and get to land:</w:t>
      </w:r>
    </w:p>
    <w:p>
      <w:r>
        <w:rPr>
          <w:b/>
        </w:rPr>
        <w:t xml:space="preserve">44 </w:t>
      </w:r>
      <w:r>
        <w:t xml:space="preserve">And the rest, some on boards, and some on broken pieces of the boat. And so it happened, that they escaped all safe to land.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28</w:t>
      </w:r>
    </w:p>
    <w:p>
      <w:r>
        <w:rPr>
          <w:b/>
        </w:rPr>
        <w:t xml:space="preserve">1 </w:t>
      </w:r>
      <w:r>
        <w:t xml:space="preserve">And when they had escaped, then they knew that the island</w:t>
      </w:r>
      <w:r>
        <w:rPr>
          <w:rStyle w:val="FootnoteReference"/>
        </w:rPr>
        <w:footnoteReference w:id="17297"/>
      </w:r>
      <w:r>
        <w:t xml:space="preserve"> was called Malta</w:t>
      </w:r>
      <w:r>
        <w:rPr>
          <w:rStyle w:val="FootnoteReference"/>
        </w:rPr>
        <w:footnoteReference w:id="17298"/>
      </w:r>
      <w:r>
        <w:t xml:space="preserve">.</w:t>
      </w:r>
    </w:p>
    <w:p>
      <w:r>
        <w:rPr>
          <w:b/>
        </w:rPr>
        <w:t xml:space="preserve">2 </w:t>
      </w:r>
      <w:r>
        <w:t xml:space="preserve">And the islanders showed</w:t>
      </w:r>
      <w:r>
        <w:rPr>
          <w:rStyle w:val="FootnoteReference"/>
        </w:rPr>
        <w:footnoteReference w:id="17299"/>
      </w:r>
      <w:r>
        <w:t xml:space="preserve"> us no ordinary kindness: for they kindled a fire, and received us all, because of the present rain, and because of the cold.</w:t>
      </w:r>
    </w:p>
    <w:p>
      <w:r>
        <w:rPr>
          <w:b/>
        </w:rPr>
        <w:t xml:space="preserve">3 </w:t>
      </w:r>
      <w:r>
        <w:t xml:space="preserve">And when Paul had gathered a bundle of sticks, and laid them on the fire, a viper came out because of the heat, and fastened</w:t>
      </w:r>
      <w:r>
        <w:rPr>
          <w:rStyle w:val="FootnoteReference"/>
        </w:rPr>
        <w:footnoteReference w:id="17300"/>
      </w:r>
      <w:r>
        <w:t xml:space="preserve"> on his hand.</w:t>
      </w:r>
    </w:p>
    <w:p>
      <w:r>
        <w:rPr>
          <w:b/>
        </w:rPr>
        <w:t xml:space="preserve">4 </w:t>
      </w:r>
      <w:r>
        <w:t xml:space="preserve">And when the islanders saw the creature hanging from his hand, they said among themselves, Certainly this man is a murderer</w:t>
      </w:r>
      <w:r>
        <w:rPr>
          <w:rStyle w:val="FootnoteReference"/>
        </w:rPr>
        <w:footnoteReference w:id="17301"/>
      </w:r>
      <w:r>
        <w:t xml:space="preserve">, whom, though he has escaped the sea, Justice has not allowed to live.</w:t>
      </w:r>
    </w:p>
    <w:p>
      <w:r>
        <w:rPr>
          <w:b/>
        </w:rPr>
        <w:t xml:space="preserve">5 </w:t>
      </w:r>
      <w:r>
        <w:t xml:space="preserve">And he shook off the creature into the fire, and suffered no harm.</w:t>
      </w:r>
    </w:p>
    <w:p>
      <w:r>
        <w:rPr>
          <w:b/>
        </w:rPr>
        <w:t xml:space="preserve">6 </w:t>
      </w:r>
      <w:r>
        <w:t xml:space="preserve">But they expected that he would have swollen up, or fallen down dead suddenly: but after they had looked a great while, and saw no harm come to him, they changed their minds, and said</w:t>
      </w:r>
      <w:r>
        <w:rPr>
          <w:rStyle w:val="FootnoteReference"/>
        </w:rPr>
        <w:footnoteReference w:id="17302"/>
      </w:r>
      <w:r>
        <w:t xml:space="preserve"> that he was a god.</w:t>
      </w:r>
    </w:p>
    <w:p>
      <w:r>
        <w:rPr>
          <w:b/>
        </w:rPr>
        <w:t xml:space="preserve">7 </w:t>
      </w:r>
      <w:r>
        <w:t xml:space="preserve">Now in the places around that area were lands belonging to the chief</w:t>
      </w:r>
      <w:r>
        <w:rPr>
          <w:rStyle w:val="FootnoteReference"/>
        </w:rPr>
        <w:footnoteReference w:id="17303"/>
      </w:r>
      <w:r>
        <w:t xml:space="preserve"> man of the island, whose name was Publius</w:t>
      </w:r>
      <w:r>
        <w:rPr>
          <w:rStyle w:val="FootnoteReference"/>
        </w:rPr>
        <w:footnoteReference w:id="17304"/>
      </w:r>
      <w:r>
        <w:t xml:space="preserve">; who received us, and lodged us courteously three days.</w:t>
      </w:r>
    </w:p>
    <w:p>
      <w:r>
        <w:rPr>
          <w:b/>
        </w:rPr>
        <w:t xml:space="preserve">8 </w:t>
      </w:r>
      <w:r>
        <w:t xml:space="preserve">And it happened that the father</w:t>
      </w:r>
      <w:r>
        <w:rPr>
          <w:rStyle w:val="FootnoteReference"/>
        </w:rPr>
        <w:footnoteReference w:id="17305"/>
      </w:r>
      <w:r>
        <w:t xml:space="preserve"> of Publius lay sick with fever and dysentery: to whom Paul entered in, and prayed, and laid his hands on him, and healed him.</w:t>
      </w:r>
    </w:p>
    <w:p>
      <w:r>
        <w:rPr>
          <w:b/>
        </w:rPr>
        <w:t xml:space="preserve">9 </w:t>
      </w:r>
      <w:r>
        <w:t xml:space="preserve">So when this was done, others</w:t>
      </w:r>
      <w:r>
        <w:rPr>
          <w:rStyle w:val="FootnoteReference"/>
        </w:rPr>
        <w:footnoteReference w:id="17306"/>
      </w:r>
      <w:r>
        <w:t xml:space="preserve"> also, who had diseases on the island, came and were healed:</w:t>
      </w:r>
    </w:p>
    <w:p>
      <w:r>
        <w:rPr>
          <w:b/>
        </w:rPr>
        <w:t xml:space="preserve">10 </w:t>
      </w:r>
      <w:r>
        <w:t xml:space="preserve">Who also honored us with many honors; and when we departed, they supplied us with what was necessary.</w:t>
      </w:r>
    </w:p>
    <w:p>
      <w:r>
        <w:rPr>
          <w:b/>
        </w:rPr>
        <w:t xml:space="preserve">11 </w:t>
      </w:r>
      <w:r>
        <w:t xml:space="preserve">And after three months we departed in an Alexandrian</w:t>
      </w:r>
      <w:r>
        <w:rPr>
          <w:rStyle w:val="FootnoteReference"/>
        </w:rPr>
        <w:footnoteReference w:id="17307"/>
      </w:r>
      <w:r>
        <w:t xml:space="preserve"> ship, which had wintered in the island, whose sign was Castor and Pollux.</w:t>
      </w:r>
    </w:p>
    <w:p>
      <w:r>
        <w:rPr>
          <w:b/>
        </w:rPr>
        <w:t xml:space="preserve">12 </w:t>
      </w:r>
      <w:r>
        <w:t xml:space="preserve">And landing at Syracuse</w:t>
      </w:r>
      <w:r>
        <w:rPr>
          <w:rStyle w:val="FootnoteReference"/>
        </w:rPr>
        <w:footnoteReference w:id="17308"/>
      </w:r>
      <w:r>
        <w:t xml:space="preserve">, we stayed three days.</w:t>
      </w:r>
      <w:r>
        <w:rPr>
          <w:rStyle w:val="FootnoteReference"/>
        </w:rPr>
        <w:footnoteReference w:id="17309"/>
      </w:r>
    </w:p>
    <w:p>
      <w:r>
        <w:rPr>
          <w:b/>
        </w:rPr>
        <w:t xml:space="preserve">13 </w:t>
      </w:r>
      <w:r>
        <w:t xml:space="preserve">And from there we sailed around, and came to Rhegium</w:t>
      </w:r>
      <w:r>
        <w:rPr>
          <w:rStyle w:val="FootnoteReference"/>
        </w:rPr>
        <w:footnoteReference w:id="17310"/>
      </w:r>
      <w:r>
        <w:t xml:space="preserve">: and after one day the south</w:t>
      </w:r>
      <w:r>
        <w:rPr>
          <w:rStyle w:val="FootnoteReference"/>
        </w:rPr>
        <w:footnoteReference w:id="17311"/>
      </w:r>
      <w:r>
        <w:t xml:space="preserve"> wind blew, and the next day we came to Puteoli</w:t>
      </w:r>
      <w:r>
        <w:rPr>
          <w:rStyle w:val="FootnoteReference"/>
        </w:rPr>
        <w:footnoteReference w:id="17312"/>
      </w:r>
      <w:r>
        <w:t xml:space="preserve">:</w:t>
      </w:r>
    </w:p>
    <w:p>
      <w:r>
        <w:rPr>
          <w:b/>
        </w:rPr>
        <w:t xml:space="preserve">14 </w:t>
      </w:r>
      <w:r>
        <w:t xml:space="preserve">Where we found</w:t>
      </w:r>
      <w:r>
        <w:rPr>
          <w:rStyle w:val="FootnoteReference"/>
        </w:rPr>
        <w:footnoteReference w:id="17313"/>
      </w:r>
      <w:r>
        <w:t xml:space="preserve"> brothers, and were asked to stay with them seven days: and so we went toward Rome.</w:t>
      </w:r>
    </w:p>
    <w:p>
      <w:r>
        <w:rPr>
          <w:b/>
        </w:rPr>
        <w:t xml:space="preserve">15 </w:t>
      </w:r>
      <w:r>
        <w:t xml:space="preserve">And from there, when the brothers heard of us, they came to meet us as far as the Forum of Appius and Three Taverns: whom when Paul saw, he thanked</w:t>
      </w:r>
      <w:r>
        <w:rPr>
          <w:rStyle w:val="FootnoteReference"/>
        </w:rPr>
        <w:footnoteReference w:id="17314"/>
      </w:r>
      <w:r>
        <w:t xml:space="preserve"> God, and took courage.</w:t>
      </w:r>
    </w:p>
    <w:p>
      <w:r>
        <w:rPr>
          <w:b/>
        </w:rPr>
        <w:t xml:space="preserve">16 </w:t>
      </w:r>
      <w:r>
        <w:t xml:space="preserve">And when we came to Rome</w:t>
      </w:r>
      <w:r>
        <w:rPr>
          <w:rStyle w:val="FootnoteReference"/>
        </w:rPr>
        <w:footnoteReference w:id="17315"/>
      </w:r>
      <w:r>
        <w:t xml:space="preserve">, the centurion delivered the prisoners to the captain of the guard: but Paul was allowed to dwell by himself with a soldier who guarded him.</w:t>
      </w:r>
    </w:p>
    <w:p>
      <w:r>
        <w:rPr>
          <w:b/>
        </w:rPr>
        <w:t xml:space="preserve">17 </w:t>
      </w:r>
      <w:r>
        <w:t xml:space="preserve">And it happened, that after three days Paul called the leading Jews together: and when they had come together, he said to them, Men, brothers, though</w:t>
      </w:r>
      <w:r>
        <w:rPr>
          <w:rStyle w:val="FootnoteReference"/>
        </w:rPr>
        <w:footnoteReference w:id="17316"/>
      </w:r>
      <w:r>
        <w:t xml:space="preserve"> I have done nothing against the people, or the customs of our fathers, yet I was delivered prisoner from Jerusalem into the hands of the Romans.</w:t>
      </w:r>
    </w:p>
    <w:p>
      <w:r>
        <w:rPr>
          <w:b/>
        </w:rPr>
        <w:t xml:space="preserve">18 </w:t>
      </w:r>
      <w:r>
        <w:t xml:space="preserve">Who, when they had examined me, wanted to release me, because there was no cause of death in me.</w:t>
      </w:r>
    </w:p>
    <w:p>
      <w:r>
        <w:rPr>
          <w:b/>
        </w:rPr>
        <w:t xml:space="preserve">19 </w:t>
      </w:r>
      <w:r>
        <w:t xml:space="preserve">But when the Jews objected, I was</w:t>
      </w:r>
      <w:r>
        <w:rPr>
          <w:rStyle w:val="FootnoteReference"/>
        </w:rPr>
        <w:footnoteReference w:id="17317"/>
      </w:r>
      <w:r>
        <w:t xml:space="preserve"> compelled to appeal to Caesar; not that I had anything to accuse my nation of.</w:t>
      </w:r>
    </w:p>
    <w:p>
      <w:r>
        <w:rPr>
          <w:b/>
        </w:rPr>
        <w:t xml:space="preserve">20 </w:t>
      </w:r>
      <w:r>
        <w:t xml:space="preserve">For this cause</w:t>
      </w:r>
      <w:r>
        <w:rPr>
          <w:rStyle w:val="FootnoteReference"/>
        </w:rPr>
        <w:footnoteReference w:id="17318"/>
      </w:r>
      <w:r>
        <w:t xml:space="preserve"> therefore I called for you, to see you and speak with you: because for the hope of Israel I am bound with this chain.</w:t>
      </w:r>
    </w:p>
    <w:p>
      <w:r>
        <w:rPr>
          <w:b/>
        </w:rPr>
        <w:t xml:space="preserve">21 </w:t>
      </w:r>
      <w:r>
        <w:t xml:space="preserve">And they said to him, We neither received letters from Judea concerning you, nor did any of the brothers who came report or speak any evil of you.</w:t>
      </w:r>
    </w:p>
    <w:p>
      <w:r>
        <w:rPr>
          <w:b/>
        </w:rPr>
        <w:t xml:space="preserve">22 </w:t>
      </w:r>
      <w:r>
        <w:t xml:space="preserve">But we desire to hear from you what you think: for concerning this sect</w:t>
      </w:r>
      <w:r>
        <w:rPr>
          <w:rStyle w:val="FootnoteReference"/>
        </w:rPr>
        <w:footnoteReference w:id="17319"/>
      </w:r>
      <w:r>
        <w:t xml:space="preserve">, it is known to us that everywhere it is spoken against.</w:t>
      </w:r>
    </w:p>
    <w:p>
      <w:r>
        <w:rPr>
          <w:b/>
        </w:rPr>
        <w:t xml:space="preserve">23 </w:t>
      </w:r>
      <w:r>
        <w:t xml:space="preserve">And when they had appointed him a day, many came to him into his lodging; to whom he expounded</w:t>
      </w:r>
      <w:r>
        <w:rPr>
          <w:rStyle w:val="FootnoteReference"/>
        </w:rPr>
        <w:footnoteReference w:id="17320"/>
      </w:r>
      <w:r>
        <w:t xml:space="preserve"> and testified the kingdom of God, persuading them concerning Jesus, both out of the law of Moses, and out of the prophets, from morning till evening.</w:t>
      </w:r>
    </w:p>
    <w:p>
      <w:r>
        <w:rPr>
          <w:b/>
        </w:rPr>
        <w:t xml:space="preserve">24 </w:t>
      </w:r>
      <w:r>
        <w:t xml:space="preserve">And some were persuaded by the things which were spoken, and some disbelieved.</w:t>
      </w:r>
    </w:p>
    <w:p>
      <w:r>
        <w:rPr>
          <w:b/>
        </w:rPr>
        <w:t xml:space="preserve">25 </w:t>
      </w:r>
      <w:r>
        <w:t xml:space="preserve">And when they did not agree among themselves, they departed, after Paul had spoken one word, Well</w:t>
      </w:r>
      <w:r>
        <w:rPr>
          <w:rStyle w:val="FootnoteReference"/>
        </w:rPr>
        <w:footnoteReference w:id="17321"/>
      </w:r>
      <w:r>
        <w:t xml:space="preserve"> spoke the Holy Spirit through Isaiah the prophet to our fathers,</w:t>
      </w:r>
    </w:p>
    <w:p>
      <w:r>
        <w:rPr>
          <w:b/>
        </w:rPr>
        <w:t xml:space="preserve">26 </w:t>
      </w:r>
      <w:r>
        <w:t xml:space="preserve">Saying, Go to this people, and say, Hearing</w:t>
      </w:r>
      <w:r>
        <w:rPr>
          <w:rStyle w:val="FootnoteReference"/>
        </w:rPr>
        <w:footnoteReference w:id="17322"/>
      </w:r>
      <w:r>
        <w:t xml:space="preserve"> you shall hear, and shall not understand; and seeing you shall see, and not perceive:</w:t>
      </w:r>
    </w:p>
    <w:p>
      <w:r>
        <w:rPr>
          <w:b/>
        </w:rPr>
        <w:t xml:space="preserve">27 </w:t>
      </w:r>
      <w:r>
        <w:t xml:space="preserve">For the heart of this people has become dull, and their ears are dull of hearing, and their eyes have they closed; lest they should see with their eyes, and hear with their ears, and understand with their heart, and should be converted, and I should heal them.</w:t>
      </w:r>
    </w:p>
    <w:p>
      <w:r>
        <w:rPr>
          <w:b/>
        </w:rPr>
        <w:t xml:space="preserve">28 </w:t>
      </w:r>
      <w:r>
        <w:t xml:space="preserve">Be it known</w:t>
      </w:r>
      <w:r>
        <w:rPr>
          <w:rStyle w:val="FootnoteReference"/>
        </w:rPr>
        <w:footnoteReference w:id="17323"/>
      </w:r>
      <w:r>
        <w:t xml:space="preserve"> therefore to you, that the salvation of God is sent to the nations, and that they will hear it.</w:t>
      </w:r>
    </w:p>
    <w:p>
      <w:r>
        <w:rPr>
          <w:b/>
        </w:rPr>
        <w:t xml:space="preserve">29 </w:t>
      </w:r>
      <w:r>
        <w:t xml:space="preserve">And when he had said these words, the Jews departed, and had great dispute among themselves.</w:t>
      </w:r>
    </w:p>
    <w:p>
      <w:r>
        <w:rPr>
          <w:b/>
        </w:rPr>
        <w:t xml:space="preserve">30 </w:t>
      </w:r>
      <w:r>
        <w:t xml:space="preserve">And Paul</w:t>
      </w:r>
      <w:r>
        <w:rPr>
          <w:rStyle w:val="FootnoteReference"/>
        </w:rPr>
        <w:footnoteReference w:id="17324"/>
      </w:r>
      <w:r>
        <w:t xml:space="preserve"> dwelt two whole years in his own rented house, and received all who came in to him,</w:t>
      </w:r>
    </w:p>
    <w:p>
      <w:r>
        <w:rPr>
          <w:b/>
        </w:rPr>
        <w:t xml:space="preserve">31 </w:t>
      </w:r>
      <w:r>
        <w:t xml:space="preserve">Preaching</w:t>
      </w:r>
      <w:r>
        <w:rPr>
          <w:rStyle w:val="FootnoteReference"/>
        </w:rPr>
        <w:footnoteReference w:id="17325"/>
      </w:r>
      <w:r>
        <w:t xml:space="preserve"> the kingdom of God, and teaching those things which concern the Lord Jesus Christ, with all confidence, no one forbidding him.</w:t>
      </w:r>
    </w:p>
    <w:p>
      <w:r>
        <w:br w:type="page"/>
      </w:r>
    </w:p>
    <w:p>
      <w:pPr>
        <w:pStyle w:val="Heading1"/>
      </w:pPr>
      <w:r>
        <w:t xml:space="preserve">Romans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w:t>
      </w:r>
      <w:r>
        <w:rPr>
          <w:rStyle w:val="FootnoteReference"/>
        </w:rPr>
        <w:footnoteReference w:id="17326"/>
      </w:r>
      <w:r>
        <w:t xml:space="preserve">, slave of Jesus Christ</w:t>
      </w:r>
      <w:r>
        <w:rPr>
          <w:rStyle w:val="FootnoteReference"/>
        </w:rPr>
        <w:footnoteReference w:id="17327"/>
      </w:r>
      <w:r>
        <w:t xml:space="preserve">, called apostle, set apart for God's good news</w:t>
      </w:r>
      <w:r>
        <w:rPr>
          <w:rStyle w:val="FootnoteReference"/>
        </w:rPr>
        <w:footnoteReference w:id="17328"/>
      </w:r>
      <w:r>
        <w:t xml:space="preserve">,</w:t>
      </w:r>
    </w:p>
    <w:p>
      <w:r>
        <w:rPr>
          <w:b/>
        </w:rPr>
        <w:t xml:space="preserve">2 </w:t>
      </w:r>
      <w:r>
        <w:t xml:space="preserve">which he promised beforehand through his prophets in holy Scriptures,</w:t>
      </w:r>
    </w:p>
    <w:p>
      <w:r>
        <w:rPr>
          <w:b/>
        </w:rPr>
        <w:t xml:space="preserve">3 </w:t>
      </w:r>
      <w:r>
        <w:t xml:space="preserve">concerning his Son</w:t>
      </w:r>
      <w:r>
        <w:rPr>
          <w:rStyle w:val="FootnoteReference"/>
        </w:rPr>
        <w:footnoteReference w:id="17329"/>
      </w:r>
      <w:r>
        <w:t xml:space="preserve">, who came from David's seed according to flesh</w:t>
      </w:r>
      <w:r>
        <w:rPr>
          <w:rStyle w:val="FootnoteReference"/>
        </w:rPr>
        <w:footnoteReference w:id="17330"/>
      </w:r>
      <w:r>
        <w:t xml:space="preserve">,</w:t>
      </w:r>
    </w:p>
    <w:p>
      <w:r>
        <w:rPr>
          <w:b/>
        </w:rPr>
        <w:t xml:space="preserve">4 </w:t>
      </w:r>
      <w:r>
        <w:t xml:space="preserve">who was marked out Son of God</w:t>
      </w:r>
      <w:r>
        <w:rPr>
          <w:rStyle w:val="FootnoteReference"/>
        </w:rPr>
        <w:footnoteReference w:id="17331"/>
      </w:r>
      <w:r>
        <w:t xml:space="preserve"> in power according to Spirit of holiness by resurrection of dead ones: Jesus Christ our Lord,</w:t>
      </w:r>
    </w:p>
    <w:p>
      <w:r>
        <w:rPr>
          <w:b/>
        </w:rPr>
        <w:t xml:space="preserve">5 </w:t>
      </w:r>
      <w:r>
        <w:t xml:space="preserve">Through whom we received grace and apostleship</w:t>
      </w:r>
      <w:r>
        <w:rPr>
          <w:rStyle w:val="FootnoteReference"/>
        </w:rPr>
        <w:footnoteReference w:id="17332"/>
      </w:r>
      <w:r>
        <w:t xml:space="preserve"> for obedience of faith among all the nations, for his name:</w:t>
      </w:r>
    </w:p>
    <w:p>
      <w:r>
        <w:rPr>
          <w:b/>
        </w:rPr>
        <w:t xml:space="preserve">6 </w:t>
      </w:r>
      <w:r>
        <w:t xml:space="preserve">Among whom you also are called of Jesus Christ:</w:t>
      </w:r>
    </w:p>
    <w:p>
      <w:r>
        <w:rPr>
          <w:b/>
        </w:rPr>
        <w:t xml:space="preserve">7 </w:t>
      </w:r>
      <w:r>
        <w:t xml:space="preserve">To all</w:t>
      </w:r>
      <w:r>
        <w:rPr>
          <w:rStyle w:val="FootnoteReference"/>
        </w:rPr>
        <w:footnoteReference w:id="17333"/>
      </w:r>
      <w:r>
        <w:t xml:space="preserve"> who are in Rome, beloved of God, called to be holy ones: Grace to you and peace from God our Father, and the Lord Jesus Christ.</w:t>
      </w:r>
    </w:p>
    <w:p>
      <w:r>
        <w:rPr>
          <w:b/>
        </w:rPr>
        <w:t xml:space="preserve">8 </w:t>
      </w:r>
      <w:r>
        <w:t xml:space="preserve">First, I thank</w:t>
      </w:r>
      <w:r>
        <w:rPr>
          <w:rStyle w:val="FootnoteReference"/>
        </w:rPr>
        <w:footnoteReference w:id="17334"/>
      </w:r>
      <w:r>
        <w:t xml:space="preserve"> my God through Jesus Christ for you all, that your faith is spoken of throughout the whole world.</w:t>
      </w:r>
    </w:p>
    <w:p>
      <w:r>
        <w:rPr>
          <w:b/>
        </w:rPr>
        <w:t xml:space="preserve">9 </w:t>
      </w:r>
      <w:r>
        <w:t xml:space="preserve">For God is my witness, whom I serve with my spirit in the good news of his Son, that without ceasing I make</w:t>
      </w:r>
      <w:r>
        <w:rPr>
          <w:rStyle w:val="FootnoteReference"/>
        </w:rPr>
        <w:footnoteReference w:id="17335"/>
      </w:r>
      <w:r>
        <w:t xml:space="preserve"> mention of you always in my prayers;</w:t>
      </w:r>
    </w:p>
    <w:p>
      <w:r>
        <w:rPr>
          <w:b/>
        </w:rPr>
        <w:t xml:space="preserve">10 </w:t>
      </w:r>
      <w:r>
        <w:t xml:space="preserve">Always making request</w:t>
      </w:r>
      <w:r>
        <w:rPr>
          <w:rStyle w:val="FootnoteReference"/>
        </w:rPr>
        <w:footnoteReference w:id="17336"/>
      </w:r>
      <w:r>
        <w:t xml:space="preserve"> in my prayers, if by any means now at last I may be prospered by the will of God to come to you.</w:t>
      </w:r>
    </w:p>
    <w:p>
      <w:r>
        <w:rPr>
          <w:b/>
        </w:rPr>
        <w:t xml:space="preserve">11 </w:t>
      </w:r>
      <w:r>
        <w:t xml:space="preserve">For I long</w:t>
      </w:r>
      <w:r>
        <w:rPr>
          <w:rStyle w:val="FootnoteReference"/>
        </w:rPr>
        <w:footnoteReference w:id="17337"/>
      </w:r>
      <w:r>
        <w:t xml:space="preserve"> to see you, that I may impart to you some spiritual gift, so that you may be established;</w:t>
      </w:r>
    </w:p>
    <w:p>
      <w:r>
        <w:rPr>
          <w:b/>
        </w:rPr>
        <w:t xml:space="preserve">12 </w:t>
      </w:r>
      <w:r>
        <w:t xml:space="preserve">That is, to be encouraged together among you by the mutual</w:t>
      </w:r>
      <w:r>
        <w:rPr>
          <w:rStyle w:val="FootnoteReference"/>
        </w:rPr>
        <w:footnoteReference w:id="17338"/>
      </w:r>
      <w:r>
        <w:t xml:space="preserve"> faith of both you and me.</w:t>
      </w:r>
    </w:p>
    <w:p>
      <w:r>
        <w:rPr>
          <w:b/>
        </w:rPr>
        <w:t xml:space="preserve">13 </w:t>
      </w:r>
      <w:r>
        <w:t xml:space="preserve">Now I would not have you ignorant, brothers, that oftentimes</w:t>
      </w:r>
      <w:r>
        <w:rPr>
          <w:rStyle w:val="FootnoteReference"/>
        </w:rPr>
        <w:footnoteReference w:id="17339"/>
      </w:r>
      <w:r>
        <w:t xml:space="preserve"> I purposed to come to you, (but was let until now,) that I might have some fruit among you also, even as among other nations.</w:t>
      </w:r>
    </w:p>
    <w:p>
      <w:r>
        <w:rPr>
          <w:b/>
        </w:rPr>
        <w:t xml:space="preserve">14 </w:t>
      </w:r>
      <w:r>
        <w:t xml:space="preserve">I am debtor</w:t>
      </w:r>
      <w:r>
        <w:rPr>
          <w:rStyle w:val="FootnoteReference"/>
        </w:rPr>
        <w:footnoteReference w:id="17340"/>
      </w:r>
      <w:r>
        <w:t xml:space="preserve"> both to Greeks and to barbarians; both to wise and to foolish.</w:t>
      </w:r>
    </w:p>
    <w:p>
      <w:r>
        <w:rPr>
          <w:b/>
        </w:rPr>
        <w:t xml:space="preserve">15 </w:t>
      </w:r>
      <w:r>
        <w:t xml:space="preserve">So, as much as in me is, I am ready to preach the good news to you that are at Rome also.</w:t>
      </w:r>
    </w:p>
    <w:p>
      <w:r>
        <w:rPr>
          <w:b/>
        </w:rPr>
        <w:t xml:space="preserve">16 </w:t>
      </w:r>
      <w:r>
        <w:t xml:space="preserve">For I am not ashamed of the good news of Christ: for it is</w:t>
      </w:r>
      <w:r>
        <w:rPr>
          <w:rStyle w:val="FootnoteReference"/>
        </w:rPr>
        <w:footnoteReference w:id="17341"/>
      </w:r>
      <w:r>
        <w:t xml:space="preserve"> the power of God to salvation to every one that believes; to the Jew first, and also to the Greek.</w:t>
      </w:r>
    </w:p>
    <w:p>
      <w:r>
        <w:rPr>
          <w:b/>
        </w:rPr>
        <w:t xml:space="preserve">17 </w:t>
      </w:r>
      <w:r>
        <w:t xml:space="preserve">For in it the righteousness of God is revealed from faith</w:t>
      </w:r>
      <w:r>
        <w:rPr>
          <w:rStyle w:val="FootnoteReference"/>
        </w:rPr>
        <w:footnoteReference w:id="17342"/>
      </w:r>
      <w:r>
        <w:t xml:space="preserve"> to faith: as it is written, The righteous one shall live by faith.</w:t>
      </w:r>
    </w:p>
    <w:p>
      <w:r>
        <w:rPr>
          <w:b/>
        </w:rPr>
        <w:t xml:space="preserve">18 </w:t>
      </w:r>
      <w:r>
        <w:t xml:space="preserve">For the wrath</w:t>
      </w:r>
      <w:r>
        <w:rPr>
          <w:rStyle w:val="FootnoteReference"/>
        </w:rPr>
        <w:footnoteReference w:id="17343"/>
      </w:r>
      <w:r>
        <w:t xml:space="preserve"> of God is revealed from heaven against all ungodliness and unrighteousness of humans, who suppress the truth in unrighteousness;</w:t>
      </w:r>
    </w:p>
    <w:p>
      <w:r>
        <w:rPr>
          <w:b/>
        </w:rPr>
        <w:t xml:space="preserve">19 </w:t>
      </w:r>
      <w:r>
        <w:t xml:space="preserve">Because that which</w:t>
      </w:r>
      <w:r>
        <w:rPr>
          <w:rStyle w:val="FootnoteReference"/>
        </w:rPr>
        <w:footnoteReference w:id="17344"/>
      </w:r>
      <w:r>
        <w:t xml:space="preserve"> is known of God is manifest in them; for God manifested it to them.</w:t>
      </w:r>
    </w:p>
    <w:p>
      <w:r>
        <w:rPr>
          <w:b/>
        </w:rPr>
        <w:t xml:space="preserve">20 </w:t>
      </w:r>
      <w:r>
        <w:t xml:space="preserve">For his invisible things from the</w:t>
      </w:r>
      <w:r>
        <w:rPr>
          <w:rStyle w:val="FootnoteReference"/>
        </w:rPr>
        <w:footnoteReference w:id="17345"/>
      </w:r>
      <w:r>
        <w:t xml:space="preserve"> creation of the world are clearly seen, being understood by the things that are made, both his eternal power and divinity; so that they are without excuse:</w:t>
      </w:r>
    </w:p>
    <w:p>
      <w:r>
        <w:rPr>
          <w:b/>
        </w:rPr>
        <w:t xml:space="preserve">21 </w:t>
      </w:r>
      <w:r>
        <w:t xml:space="preserve">Because, when they knew God, they did not glorify him as God, nor were thankful; but became</w:t>
      </w:r>
      <w:r>
        <w:rPr>
          <w:rStyle w:val="FootnoteReference"/>
        </w:rPr>
        <w:footnoteReference w:id="17346"/>
      </w:r>
      <w:r>
        <w:t xml:space="preserve"> vain in their reasonings, and their senseless heart was darkened.</w:t>
      </w:r>
    </w:p>
    <w:p>
      <w:r>
        <w:rPr>
          <w:b/>
        </w:rPr>
        <w:t xml:space="preserve">22 </w:t>
      </w:r>
      <w:r>
        <w:t xml:space="preserve">Claiming to be wise, they became fools,</w:t>
      </w:r>
    </w:p>
    <w:p>
      <w:r>
        <w:rPr>
          <w:b/>
        </w:rPr>
        <w:t xml:space="preserve">23 </w:t>
      </w:r>
      <w:r>
        <w:t xml:space="preserve">And changed</w:t>
      </w:r>
      <w:r>
        <w:rPr>
          <w:rStyle w:val="FootnoteReference"/>
        </w:rPr>
        <w:footnoteReference w:id="17347"/>
      </w:r>
      <w:r>
        <w:t xml:space="preserve"> the glory of the incorruptible God into a likeness of an image of corruptible human, and of birds, and four-footed beasts, and creeping things.</w:t>
      </w:r>
    </w:p>
    <w:p>
      <w:r>
        <w:rPr>
          <w:b/>
        </w:rPr>
        <w:t xml:space="preserve">24 </w:t>
      </w:r>
      <w:r>
        <w:t xml:space="preserve">Therefore God also gave them up in the desires of their hearts to uncleanness, to dishonor their bodies among themselves:</w:t>
      </w:r>
    </w:p>
    <w:p>
      <w:r>
        <w:rPr>
          <w:b/>
        </w:rPr>
        <w:t xml:space="preserve">25 </w:t>
      </w:r>
      <w:r>
        <w:t xml:space="preserve">Who exchanged the truth</w:t>
      </w:r>
      <w:r>
        <w:rPr>
          <w:rStyle w:val="FootnoteReference"/>
        </w:rPr>
        <w:footnoteReference w:id="17348"/>
      </w:r>
      <w:r>
        <w:t xml:space="preserve"> of God for the lie, and worshiped and served the creation rather than the Creator, who is blessed forever. Amen.</w:t>
      </w:r>
    </w:p>
    <w:p>
      <w:r>
        <w:rPr>
          <w:b/>
        </w:rPr>
        <w:t xml:space="preserve">26 </w:t>
      </w:r>
      <w:r>
        <w:t xml:space="preserve">For this cause God gave them</w:t>
      </w:r>
      <w:r>
        <w:rPr>
          <w:rStyle w:val="FootnoteReference"/>
        </w:rPr>
        <w:footnoteReference w:id="17349"/>
      </w:r>
      <w:r>
        <w:t xml:space="preserve"> up to passions of dishonor: for even their women exchanged the natural use for that which is against nature:</w:t>
      </w:r>
    </w:p>
    <w:p>
      <w:r>
        <w:rPr>
          <w:b/>
        </w:rPr>
        <w:t xml:space="preserve">27 </w:t>
      </w:r>
      <w:r>
        <w:t xml:space="preserve">And likewise also the men, leaving the natural use of the woman, burned in their lust one toward another; men with men working that which is shameful, and receiving in themselves that repayment of their error which was due.</w:t>
      </w:r>
    </w:p>
    <w:p>
      <w:r>
        <w:rPr>
          <w:b/>
        </w:rPr>
        <w:t xml:space="preserve">28 </w:t>
      </w:r>
      <w:r>
        <w:t xml:space="preserve">And even as they did</w:t>
      </w:r>
      <w:r>
        <w:rPr>
          <w:rStyle w:val="FootnoteReference"/>
        </w:rPr>
        <w:footnoteReference w:id="17350"/>
      </w:r>
      <w:r>
        <w:t xml:space="preserve"> not approve having God in knowledge, God gave them over to an unapproved mind, to do things that are not fitting;</w:t>
      </w:r>
    </w:p>
    <w:p>
      <w:r>
        <w:rPr>
          <w:b/>
        </w:rPr>
        <w:t xml:space="preserve">29 </w:t>
      </w:r>
      <w:r>
        <w:t xml:space="preserve">Being filled</w:t>
      </w:r>
      <w:r>
        <w:rPr>
          <w:rStyle w:val="FootnoteReference"/>
        </w:rPr>
        <w:footnoteReference w:id="17351"/>
      </w:r>
      <w:r>
        <w:t xml:space="preserve"> with all unrighteousness, sexual immorality, wickedness, covetousness, maliciousness; full of envy, murder, debate, deceit, ill will; whisperers,</w:t>
      </w:r>
    </w:p>
    <w:p>
      <w:r>
        <w:rPr>
          <w:b/>
        </w:rPr>
        <w:t xml:space="preserve">30 </w:t>
      </w:r>
      <w:r>
        <w:t xml:space="preserve">Slanderers, God-haters</w:t>
      </w:r>
      <w:r>
        <w:rPr>
          <w:rStyle w:val="FootnoteReference"/>
        </w:rPr>
        <w:footnoteReference w:id="17352"/>
      </w:r>
      <w:r>
        <w:t xml:space="preserve">, insolent, proud, boasters, inventors of evil things, disobedient to parents,</w:t>
      </w:r>
    </w:p>
    <w:p>
      <w:r>
        <w:rPr>
          <w:b/>
        </w:rPr>
        <w:t xml:space="preserve">31 </w:t>
      </w:r>
      <w:r>
        <w:t xml:space="preserve">Without understanding</w:t>
      </w:r>
      <w:r>
        <w:rPr>
          <w:rStyle w:val="FootnoteReference"/>
        </w:rPr>
        <w:footnoteReference w:id="17353"/>
      </w:r>
      <w:r>
        <w:t xml:space="preserve">, covenant-breakers, without natural affection, implacable, merciless:</w:t>
      </w:r>
    </w:p>
    <w:p>
      <w:r>
        <w:rPr>
          <w:b/>
        </w:rPr>
        <w:t xml:space="preserve">32 </w:t>
      </w:r>
      <w:r>
        <w:t xml:space="preserve">Who, knowing</w:t>
      </w:r>
      <w:r>
        <w:rPr>
          <w:rStyle w:val="FootnoteReference"/>
        </w:rPr>
        <w:footnoteReference w:id="17354"/>
      </w:r>
      <w:r>
        <w:t xml:space="preserve"> the righteous decree of God, that those who practice such things are worthy of death, not only do them, but also approve of those who practice them.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Therefore</w:t>
      </w:r>
      <w:r>
        <w:rPr>
          <w:rStyle w:val="FootnoteReference"/>
        </w:rPr>
        <w:footnoteReference w:id="17355"/>
      </w:r>
      <w:r>
        <w:t xml:space="preserve"> you are without excuse, O man, everyone who judges: for in what you judge another, you condemn yourself; for you who judge practice the same things.</w:t>
      </w:r>
    </w:p>
    <w:p>
      <w:r>
        <w:rPr>
          <w:b/>
        </w:rPr>
        <w:t xml:space="preserve">2 </w:t>
      </w:r>
      <w:r>
        <w:t xml:space="preserve">But we know that the judgment</w:t>
      </w:r>
      <w:r>
        <w:rPr>
          <w:rStyle w:val="FootnoteReference"/>
        </w:rPr>
        <w:footnoteReference w:id="17356"/>
      </w:r>
      <w:r>
        <w:t xml:space="preserve"> of God is according to truth against those who practice such things.</w:t>
      </w:r>
    </w:p>
    <w:p>
      <w:r>
        <w:rPr>
          <w:b/>
        </w:rPr>
        <w:t xml:space="preserve">3 </w:t>
      </w:r>
      <w:r>
        <w:t xml:space="preserve">And do you think this, O man</w:t>
      </w:r>
      <w:r>
        <w:rPr>
          <w:rStyle w:val="FootnoteReference"/>
        </w:rPr>
        <w:footnoteReference w:id="17357"/>
      </w:r>
      <w:r>
        <w:t xml:space="preserve">, who judges those who practice such things and does the same, that you shall escape the judgment of God?</w:t>
      </w:r>
    </w:p>
    <w:p>
      <w:r>
        <w:rPr>
          <w:b/>
        </w:rPr>
        <w:t xml:space="preserve">4 </w:t>
      </w:r>
      <w:r>
        <w:t xml:space="preserve">Or do you despise the riches</w:t>
      </w:r>
      <w:r>
        <w:rPr>
          <w:rStyle w:val="FootnoteReference"/>
        </w:rPr>
        <w:footnoteReference w:id="17358"/>
      </w:r>
      <w:r>
        <w:t xml:space="preserve"> of his kindness and tolerance and longsuffering, not knowing that the kindness of God leads you to repentance?</w:t>
      </w:r>
    </w:p>
    <w:p>
      <w:r>
        <w:rPr>
          <w:b/>
        </w:rPr>
        <w:t xml:space="preserve">5 </w:t>
      </w:r>
      <w:r>
        <w:t xml:space="preserve">But according to your hardness and unrepentant heart you store up wrath for yourself in the day of wrath and revelation</w:t>
      </w:r>
      <w:r>
        <w:rPr>
          <w:rStyle w:val="FootnoteReference"/>
        </w:rPr>
        <w:footnoteReference w:id="17359"/>
      </w:r>
      <w:r>
        <w:t xml:space="preserve"> of the righteous judgment of God;</w:t>
      </w:r>
    </w:p>
    <w:p>
      <w:r>
        <w:rPr>
          <w:b/>
        </w:rPr>
        <w:t xml:space="preserve">6 </w:t>
      </w:r>
      <w:r>
        <w:t xml:space="preserve">Who will repay each one according to his works:</w:t>
      </w:r>
    </w:p>
    <w:p>
      <w:r>
        <w:rPr>
          <w:b/>
        </w:rPr>
        <w:t xml:space="preserve">7 </w:t>
      </w:r>
      <w:r>
        <w:t xml:space="preserve">To those who by endurance in good work seek glory</w:t>
      </w:r>
      <w:r>
        <w:rPr>
          <w:rStyle w:val="FootnoteReference"/>
        </w:rPr>
        <w:footnoteReference w:id="17360"/>
      </w:r>
      <w:r>
        <w:t xml:space="preserve"> and honor and incorruptibility, eternal life:</w:t>
      </w:r>
    </w:p>
    <w:p>
      <w:r>
        <w:rPr>
          <w:b/>
        </w:rPr>
        <w:t xml:space="preserve">8 </w:t>
      </w:r>
      <w:r>
        <w:t xml:space="preserve">But to those from selfish ambition, who disobey the truth and obey unrighteousness, anger and wrath,</w:t>
      </w:r>
    </w:p>
    <w:p>
      <w:r>
        <w:rPr>
          <w:b/>
        </w:rPr>
        <w:t xml:space="preserve">9 </w:t>
      </w:r>
      <w:r>
        <w:t xml:space="preserve">Tribulation</w:t>
      </w:r>
      <w:r>
        <w:rPr>
          <w:rStyle w:val="FootnoteReference"/>
        </w:rPr>
        <w:footnoteReference w:id="17361"/>
      </w:r>
      <w:r>
        <w:t xml:space="preserve"> and anguish, upon every soul of man that does evil, of the Jew first, and also of the Gentile;</w:t>
      </w:r>
    </w:p>
    <w:p>
      <w:r>
        <w:rPr>
          <w:b/>
        </w:rPr>
        <w:t xml:space="preserve">10 </w:t>
      </w:r>
      <w:r>
        <w:t xml:space="preserve">But glory</w:t>
      </w:r>
      <w:r>
        <w:rPr>
          <w:rStyle w:val="FootnoteReference"/>
        </w:rPr>
        <w:footnoteReference w:id="17362"/>
      </w:r>
      <w:r>
        <w:t xml:space="preserve">, honor, and peace, to every man that works good, to the Jew first, and also to the Gentile:</w:t>
      </w:r>
    </w:p>
    <w:p>
      <w:r>
        <w:rPr>
          <w:b/>
        </w:rPr>
        <w:t xml:space="preserve">11 </w:t>
      </w:r>
      <w:r>
        <w:t xml:space="preserve">For there is no partiality with God.</w:t>
      </w:r>
    </w:p>
    <w:p>
      <w:r>
        <w:rPr>
          <w:b/>
        </w:rPr>
        <w:t xml:space="preserve">12 </w:t>
      </w:r>
      <w:r>
        <w:t xml:space="preserve">For as many as sinned without law shall also perish without law: and as many as sinned in law shall be judged through law;</w:t>
      </w:r>
    </w:p>
    <w:p>
      <w:r>
        <w:rPr>
          <w:b/>
        </w:rPr>
        <w:t xml:space="preserve">13 </w:t>
      </w:r>
      <w:r>
        <w:t xml:space="preserve">For the hearers of the law are not righteous before God, but the</w:t>
      </w:r>
      <w:r>
        <w:rPr>
          <w:rStyle w:val="FootnoteReference"/>
        </w:rPr>
        <w:footnoteReference w:id="17363"/>
      </w:r>
      <w:r>
        <w:t xml:space="preserve"> doers of the law shall be justified.</w:t>
      </w:r>
    </w:p>
    <w:p>
      <w:r>
        <w:rPr>
          <w:b/>
        </w:rPr>
        <w:t xml:space="preserve">14 </w:t>
      </w:r>
      <w:r>
        <w:t xml:space="preserve">For when the nations, which have not the law, do by</w:t>
      </w:r>
      <w:r>
        <w:rPr>
          <w:rStyle w:val="FootnoteReference"/>
        </w:rPr>
        <w:footnoteReference w:id="17364"/>
      </w:r>
      <w:r>
        <w:t xml:space="preserve"> nature the things contained in the law, these, having not the law, are a law to themselves:</w:t>
      </w:r>
    </w:p>
    <w:p>
      <w:r>
        <w:rPr>
          <w:b/>
        </w:rPr>
        <w:t xml:space="preserve">15 </w:t>
      </w:r>
      <w:r>
        <w:t xml:space="preserve">Who show the work of the law written</w:t>
      </w:r>
      <w:r>
        <w:rPr>
          <w:rStyle w:val="FootnoteReference"/>
        </w:rPr>
        <w:footnoteReference w:id="17365"/>
      </w:r>
      <w:r>
        <w:t xml:space="preserve"> in their hearts, their conscience bearing witness with them, and between one another their thoughts accusing or even defending;</w:t>
      </w:r>
    </w:p>
    <w:p>
      <w:r>
        <w:rPr>
          <w:b/>
        </w:rPr>
        <w:t xml:space="preserve">16 </w:t>
      </w:r>
      <w:r>
        <w:t xml:space="preserve">In the day when God shall judge the secrets of men by Jesus</w:t>
      </w:r>
      <w:r>
        <w:rPr>
          <w:rStyle w:val="FootnoteReference"/>
        </w:rPr>
        <w:footnoteReference w:id="17366"/>
      </w:r>
      <w:r>
        <w:t xml:space="preserve"> Christ according to my good news.</w:t>
      </w:r>
    </w:p>
    <w:p>
      <w:r>
        <w:rPr>
          <w:b/>
        </w:rPr>
        <w:t xml:space="preserve">17 </w:t>
      </w:r>
      <w:r>
        <w:t xml:space="preserve">Look, you are named a Jew, and rest on the law, and boast in God,</w:t>
      </w:r>
    </w:p>
    <w:p>
      <w:r>
        <w:rPr>
          <w:b/>
        </w:rPr>
        <w:t xml:space="preserve">18 </w:t>
      </w:r>
      <w:r>
        <w:t xml:space="preserve">And know his will, and discern the things that differ, being instructed</w:t>
      </w:r>
      <w:r>
        <w:rPr>
          <w:rStyle w:val="FootnoteReference"/>
        </w:rPr>
        <w:footnoteReference w:id="17367"/>
      </w:r>
      <w:r>
        <w:t xml:space="preserve"> out of the law;</w:t>
      </w:r>
    </w:p>
    <w:p>
      <w:r>
        <w:rPr>
          <w:b/>
        </w:rPr>
        <w:t xml:space="preserve">19 </w:t>
      </w:r>
      <w:r>
        <w:t xml:space="preserve">And are confident that you yourself are a guide of the blind, a light</w:t>
      </w:r>
      <w:r>
        <w:rPr>
          <w:rStyle w:val="FootnoteReference"/>
        </w:rPr>
        <w:footnoteReference w:id="17368"/>
      </w:r>
      <w:r>
        <w:t xml:space="preserve"> of those in darkness,</w:t>
      </w:r>
    </w:p>
    <w:p>
      <w:r>
        <w:rPr>
          <w:b/>
        </w:rPr>
        <w:t xml:space="preserve">20 </w:t>
      </w:r>
      <w:r>
        <w:t xml:space="preserve">An instructor of the foolish, a teacher</w:t>
      </w:r>
      <w:r>
        <w:rPr>
          <w:rStyle w:val="FootnoteReference"/>
        </w:rPr>
        <w:footnoteReference w:id="17369"/>
      </w:r>
      <w:r>
        <w:t xml:space="preserve"> of infants, having the form of knowledge and of the truth in the law.</w:t>
      </w:r>
    </w:p>
    <w:p>
      <w:r>
        <w:rPr>
          <w:b/>
        </w:rPr>
        <w:t xml:space="preserve">21 </w:t>
      </w:r>
      <w:r>
        <w:t xml:space="preserve">You therefore</w:t>
      </w:r>
      <w:r>
        <w:rPr>
          <w:rStyle w:val="FootnoteReference"/>
        </w:rPr>
        <w:footnoteReference w:id="17370"/>
      </w:r>
      <w:r>
        <w:t xml:space="preserve"> who teach another, do you not teach yourself? You who preach not to steal, do you steal?</w:t>
      </w:r>
    </w:p>
    <w:p>
      <w:r>
        <w:rPr>
          <w:b/>
        </w:rPr>
        <w:t xml:space="preserve">22 </w:t>
      </w:r>
      <w:r>
        <w:t xml:space="preserve">You who say not to commit adultery</w:t>
      </w:r>
      <w:r>
        <w:rPr>
          <w:rStyle w:val="FootnoteReference"/>
        </w:rPr>
        <w:footnoteReference w:id="17371"/>
      </w:r>
      <w:r>
        <w:t xml:space="preserve">, do you commit adultery? You who abhor idols, do you commit sacrilege?</w:t>
      </w:r>
    </w:p>
    <w:p>
      <w:r>
        <w:rPr>
          <w:b/>
        </w:rPr>
        <w:t xml:space="preserve">23 </w:t>
      </w:r>
      <w:r>
        <w:t xml:space="preserve">You who boast in law, through transgression of the law do you dishonor God?</w:t>
      </w:r>
    </w:p>
    <w:p>
      <w:r>
        <w:rPr>
          <w:b/>
        </w:rPr>
        <w:t xml:space="preserve">24 </w:t>
      </w:r>
      <w:r>
        <w:t xml:space="preserve">For the name</w:t>
      </w:r>
      <w:r>
        <w:rPr>
          <w:rStyle w:val="FootnoteReference"/>
        </w:rPr>
        <w:footnoteReference w:id="17372"/>
      </w:r>
      <w:r>
        <w:t xml:space="preserve"> of God is blasphemed among the nations through you, as it is written.</w:t>
      </w:r>
    </w:p>
    <w:p>
      <w:r>
        <w:rPr>
          <w:b/>
        </w:rPr>
        <w:t xml:space="preserve">25 </w:t>
      </w:r>
      <w:r>
        <w:t xml:space="preserve">For circumcision</w:t>
      </w:r>
      <w:r>
        <w:rPr>
          <w:rStyle w:val="FootnoteReference"/>
        </w:rPr>
        <w:footnoteReference w:id="17373"/>
      </w:r>
      <w:r>
        <w:t xml:space="preserve"> indeed profits, if you practice law: but if you are a transgressor of law, your circumcision has become uncircumcision.</w:t>
      </w:r>
    </w:p>
    <w:p>
      <w:r>
        <w:rPr>
          <w:b/>
        </w:rPr>
        <w:t xml:space="preserve">26 </w:t>
      </w:r>
      <w:r>
        <w:t xml:space="preserve">Therefore if the uncircumcision keep the righteousness of the law, shall not his uncircumcision be counted for circumcision?</w:t>
      </w:r>
    </w:p>
    <w:p>
      <w:r>
        <w:rPr>
          <w:b/>
        </w:rPr>
        <w:t xml:space="preserve">27 </w:t>
      </w:r>
      <w:r>
        <w:t xml:space="preserve">And shall not uncircumcision which is by nature, if it fulfill the law, judge</w:t>
      </w:r>
      <w:r>
        <w:rPr>
          <w:rStyle w:val="FootnoteReference"/>
        </w:rPr>
        <w:footnoteReference w:id="17374"/>
      </w:r>
      <w:r>
        <w:t xml:space="preserve"> you, who by the letter and circumcision do transgress the law?</w:t>
      </w:r>
    </w:p>
    <w:p>
      <w:r>
        <w:rPr>
          <w:b/>
        </w:rPr>
        <w:t xml:space="preserve">28 </w:t>
      </w:r>
      <w:r>
        <w:t xml:space="preserve">For he</w:t>
      </w:r>
      <w:r>
        <w:rPr>
          <w:rStyle w:val="FootnoteReference"/>
        </w:rPr>
        <w:footnoteReference w:id="17375"/>
      </w:r>
      <w:r>
        <w:t xml:space="preserve"> is not a Jew, which is one outwardly; neither is that circumcision, which is outward in the flesh:</w:t>
      </w:r>
    </w:p>
    <w:p>
      <w:r>
        <w:rPr>
          <w:b/>
        </w:rPr>
        <w:t xml:space="preserve">29 </w:t>
      </w:r>
      <w:r>
        <w:t xml:space="preserve">But he is a Jew in secret; and circumcision</w:t>
      </w:r>
      <w:r>
        <w:rPr>
          <w:rStyle w:val="FootnoteReference"/>
        </w:rPr>
        <w:footnoteReference w:id="17376"/>
      </w:r>
      <w:r>
        <w:t xml:space="preserve"> is of the heart, in spirit, not letter; whose praise is not from humans, but from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What then is the advantage</w:t>
      </w:r>
      <w:r>
        <w:rPr>
          <w:rStyle w:val="FootnoteReference"/>
        </w:rPr>
        <w:footnoteReference w:id="17377"/>
      </w:r>
      <w:r>
        <w:t xml:space="preserve"> of the Jew? or what is the profit of circumcision?</w:t>
      </w:r>
    </w:p>
    <w:p>
      <w:r>
        <w:rPr>
          <w:b/>
        </w:rPr>
        <w:t xml:space="preserve">2 </w:t>
      </w:r>
      <w:r>
        <w:t xml:space="preserve">Much</w:t>
      </w:r>
      <w:r>
        <w:rPr>
          <w:rStyle w:val="FootnoteReference"/>
        </w:rPr>
        <w:footnoteReference w:id="17378"/>
      </w:r>
      <w:r>
        <w:t xml:space="preserve"> in every way: first indeed, because they were entrusted with the oracles of God.</w:t>
      </w:r>
    </w:p>
    <w:p>
      <w:r>
        <w:rPr>
          <w:b/>
        </w:rPr>
        <w:t xml:space="preserve">3 </w:t>
      </w:r>
      <w:r>
        <w:t xml:space="preserve">For what if some</w:t>
      </w:r>
      <w:r>
        <w:rPr>
          <w:rStyle w:val="FootnoteReference"/>
        </w:rPr>
        <w:footnoteReference w:id="17379"/>
      </w:r>
      <w:r>
        <w:t xml:space="preserve"> were faithless? shall their faithlessness make the faithfulness of God ineffective?</w:t>
      </w:r>
    </w:p>
    <w:p>
      <w:r>
        <w:rPr>
          <w:b/>
        </w:rPr>
        <w:t xml:space="preserve">4 </w:t>
      </w:r>
      <w:r>
        <w:t xml:space="preserve">May it not be: yes, let God</w:t>
      </w:r>
      <w:r>
        <w:rPr>
          <w:rStyle w:val="FootnoteReference"/>
        </w:rPr>
        <w:footnoteReference w:id="17380"/>
      </w:r>
      <w:r>
        <w:t xml:space="preserve"> be true, but every man a liar; as it is written, That you might be justified in your sayings, and might overcome when you are judged.</w:t>
      </w:r>
    </w:p>
    <w:p>
      <w:r>
        <w:rPr>
          <w:b/>
        </w:rPr>
        <w:t xml:space="preserve">5 </w:t>
      </w:r>
      <w:r>
        <w:t xml:space="preserve">But if</w:t>
      </w:r>
      <w:r>
        <w:rPr>
          <w:rStyle w:val="FootnoteReference"/>
        </w:rPr>
        <w:footnoteReference w:id="17381"/>
      </w:r>
      <w:r>
        <w:t xml:space="preserve"> our unrighteousness commends God's righteousness, what shall we say? Is God unrighteous who brings wrath? I speak according to man.</w:t>
      </w:r>
    </w:p>
    <w:p>
      <w:r>
        <w:rPr>
          <w:b/>
        </w:rPr>
        <w:t xml:space="preserve">6 </w:t>
      </w:r>
      <w:r>
        <w:t xml:space="preserve">May it not be: for then</w:t>
      </w:r>
      <w:r>
        <w:rPr>
          <w:rStyle w:val="FootnoteReference"/>
        </w:rPr>
        <w:footnoteReference w:id="17382"/>
      </w:r>
      <w:r>
        <w:t xml:space="preserve"> how shall God judge the world?</w:t>
      </w:r>
    </w:p>
    <w:p>
      <w:r>
        <w:rPr>
          <w:b/>
        </w:rPr>
        <w:t xml:space="preserve">7 </w:t>
      </w:r>
      <w:r>
        <w:t xml:space="preserve">For if the truth</w:t>
      </w:r>
      <w:r>
        <w:rPr>
          <w:rStyle w:val="FootnoteReference"/>
        </w:rPr>
        <w:footnoteReference w:id="17383"/>
      </w:r>
      <w:r>
        <w:t xml:space="preserve"> of God abounded through my lie to his glory, why am I still judged as a sinner?</w:t>
      </w:r>
    </w:p>
    <w:p>
      <w:r>
        <w:rPr>
          <w:b/>
        </w:rPr>
        <w:t xml:space="preserve">8 </w:t>
      </w:r>
      <w:r>
        <w:t xml:space="preserve">And not rather, (as we are slanderously reported, and as some affirm that we say,) Let us</w:t>
      </w:r>
      <w:r>
        <w:rPr>
          <w:rStyle w:val="FootnoteReference"/>
        </w:rPr>
        <w:footnoteReference w:id="17384"/>
      </w:r>
      <w:r>
        <w:t xml:space="preserve"> do evil, that good may come? whose judgment is just.</w:t>
      </w:r>
    </w:p>
    <w:p>
      <w:r>
        <w:rPr>
          <w:b/>
        </w:rPr>
        <w:t xml:space="preserve">9 </w:t>
      </w:r>
      <w:r>
        <w:t xml:space="preserve">What then</w:t>
      </w:r>
      <w:r>
        <w:rPr>
          <w:rStyle w:val="FootnoteReference"/>
        </w:rPr>
        <w:footnoteReference w:id="17385"/>
      </w:r>
      <w:r>
        <w:t xml:space="preserve">? are we better than they? No, by no means: for we have before proved both Jews and Gentiles, that they are all under sin;</w:t>
      </w:r>
    </w:p>
    <w:p>
      <w:r>
        <w:rPr>
          <w:b/>
        </w:rPr>
        <w:t xml:space="preserve">10 </w:t>
      </w:r>
      <w:r>
        <w:t xml:space="preserve">As it is</w:t>
      </w:r>
      <w:r>
        <w:rPr>
          <w:rStyle w:val="FootnoteReference"/>
        </w:rPr>
        <w:footnoteReference w:id="17386"/>
      </w:r>
      <w:r>
        <w:t xml:space="preserve"> written, There is not a righteous one, not even one:</w:t>
      </w:r>
    </w:p>
    <w:p>
      <w:r>
        <w:rPr>
          <w:b/>
        </w:rPr>
        <w:t xml:space="preserve">11 </w:t>
      </w:r>
      <w:r>
        <w:t xml:space="preserve">There is none who understands, there is none who seeks after God.</w:t>
      </w:r>
    </w:p>
    <w:p>
      <w:r>
        <w:rPr>
          <w:b/>
        </w:rPr>
        <w:t xml:space="preserve">12 </w:t>
      </w:r>
      <w:r>
        <w:t xml:space="preserve">They all turned aside, together they became worthless; there is none</w:t>
      </w:r>
      <w:r>
        <w:rPr>
          <w:rStyle w:val="FootnoteReference"/>
        </w:rPr>
        <w:footnoteReference w:id="17387"/>
      </w:r>
      <w:r>
        <w:t xml:space="preserve"> who does goodness, not even one.</w:t>
      </w:r>
    </w:p>
    <w:p>
      <w:r>
        <w:rPr>
          <w:b/>
        </w:rPr>
        <w:t xml:space="preserve">13 </w:t>
      </w:r>
      <w:r>
        <w:t xml:space="preserve">Their throat</w:t>
      </w:r>
      <w:r>
        <w:rPr>
          <w:rStyle w:val="FootnoteReference"/>
        </w:rPr>
        <w:footnoteReference w:id="17388"/>
      </w:r>
      <w:r>
        <w:t xml:space="preserve"> is an open tomb; with their tongues they used deceit; the poison of asps is under their lips:</w:t>
      </w:r>
    </w:p>
    <w:p>
      <w:r>
        <w:rPr>
          <w:b/>
        </w:rPr>
        <w:t xml:space="preserve">14 </w:t>
      </w:r>
      <w:r>
        <w:t xml:space="preserve">Whose mouth is full of curse and bitterness:</w:t>
      </w:r>
    </w:p>
    <w:p>
      <w:r>
        <w:rPr>
          <w:b/>
        </w:rPr>
        <w:t xml:space="preserve">15 </w:t>
      </w:r>
      <w:r>
        <w:t xml:space="preserve">Their feet are swift to shed blood:</w:t>
      </w:r>
    </w:p>
    <w:p>
      <w:r>
        <w:rPr>
          <w:b/>
        </w:rPr>
        <w:t xml:space="preserve">16 </w:t>
      </w:r>
      <w:r>
        <w:t xml:space="preserve">Destruction and misery are in their ways:</w:t>
      </w:r>
    </w:p>
    <w:p>
      <w:r>
        <w:rPr>
          <w:b/>
        </w:rPr>
        <w:t xml:space="preserve">17 </w:t>
      </w:r>
      <w:r>
        <w:t xml:space="preserve">And the way of peace they have not known:</w:t>
      </w:r>
    </w:p>
    <w:p>
      <w:r>
        <w:rPr>
          <w:b/>
        </w:rPr>
        <w:t xml:space="preserve">18 </w:t>
      </w:r>
      <w:r>
        <w:t xml:space="preserve">There is no fear of God before their eyes.</w:t>
      </w:r>
    </w:p>
    <w:p>
      <w:r>
        <w:rPr>
          <w:b/>
        </w:rPr>
        <w:t xml:space="preserve">19 </w:t>
      </w:r>
      <w:r>
        <w:t xml:space="preserve">Now we know that whatever things the law says, it speaks to those in the law: that every mouth may be stopped, and all the</w:t>
      </w:r>
      <w:r>
        <w:rPr>
          <w:rStyle w:val="FootnoteReference"/>
        </w:rPr>
        <w:footnoteReference w:id="17389"/>
      </w:r>
      <w:r>
        <w:t xml:space="preserve"> world may become liable to judgment before God.</w:t>
      </w:r>
    </w:p>
    <w:p>
      <w:r>
        <w:rPr>
          <w:b/>
        </w:rPr>
        <w:t xml:space="preserve">20 </w:t>
      </w:r>
      <w:r>
        <w:t xml:space="preserve">Therefore</w:t>
      </w:r>
      <w:r>
        <w:rPr>
          <w:rStyle w:val="FootnoteReference"/>
        </w:rPr>
        <w:footnoteReference w:id="17390"/>
      </w:r>
      <w:r>
        <w:t xml:space="preserve"> by the deeds of the law there shall no flesh be justified in his sight: for by the law is the knowledge of sin.</w:t>
      </w:r>
    </w:p>
    <w:p>
      <w:r>
        <w:rPr>
          <w:b/>
        </w:rPr>
        <w:t xml:space="preserve">21 </w:t>
      </w:r>
      <w:r>
        <w:t xml:space="preserve">But now apart from law the righteousness</w:t>
      </w:r>
      <w:r>
        <w:rPr>
          <w:rStyle w:val="FootnoteReference"/>
        </w:rPr>
        <w:footnoteReference w:id="17391"/>
      </w:r>
      <w:r>
        <w:t xml:space="preserve"> of God has been manifested, being witnessed by the law and the prophets;</w:t>
      </w:r>
    </w:p>
    <w:p>
      <w:r>
        <w:rPr>
          <w:b/>
        </w:rPr>
        <w:t xml:space="preserve">22 </w:t>
      </w:r>
      <w:r>
        <w:t xml:space="preserve">Even the righteousness of God which is</w:t>
      </w:r>
      <w:r>
        <w:rPr>
          <w:rStyle w:val="FootnoteReference"/>
        </w:rPr>
        <w:footnoteReference w:id="17392"/>
      </w:r>
      <w:r>
        <w:t xml:space="preserve"> by faith of Jesus Christ to all and upon all those who believe: for there is no difference:</w:t>
      </w:r>
    </w:p>
    <w:p>
      <w:r>
        <w:rPr>
          <w:b/>
        </w:rPr>
        <w:t xml:space="preserve">23 </w:t>
      </w:r>
      <w:r>
        <w:t xml:space="preserve">For all sinned, and fall short of the glory of God;</w:t>
      </w:r>
    </w:p>
    <w:p>
      <w:r>
        <w:rPr>
          <w:b/>
        </w:rPr>
        <w:t xml:space="preserve">24 </w:t>
      </w:r>
      <w:r>
        <w:t xml:space="preserve">Being justified</w:t>
      </w:r>
      <w:r>
        <w:rPr>
          <w:rStyle w:val="FootnoteReference"/>
        </w:rPr>
        <w:footnoteReference w:id="17393"/>
      </w:r>
      <w:r>
        <w:t xml:space="preserve"> freely by his grace through the redemption that is in Christ Jesus:</w:t>
      </w:r>
    </w:p>
    <w:p>
      <w:r>
        <w:rPr>
          <w:b/>
        </w:rPr>
        <w:t xml:space="preserve">25 </w:t>
      </w:r>
      <w:r>
        <w:t xml:space="preserve">whom God set forth</w:t>
      </w:r>
      <w:r>
        <w:rPr>
          <w:rStyle w:val="FootnoteReference"/>
        </w:rPr>
        <w:footnoteReference w:id="17394"/>
      </w:r>
      <w:r>
        <w:t xml:space="preserve"> as propitiation through faith in his blood, for a display of his righteousness because of the passing over</w:t>
      </w:r>
      <w:r>
        <w:rPr>
          <w:rStyle w:val="FootnoteReference"/>
        </w:rPr>
        <w:footnoteReference w:id="17395"/>
      </w:r>
      <w:r>
        <w:t xml:space="preserve"> of the sins that had happened before, in the forbearance of God;</w:t>
      </w:r>
    </w:p>
    <w:p>
      <w:r>
        <w:rPr>
          <w:b/>
        </w:rPr>
        <w:t xml:space="preserve">26 </w:t>
      </w:r>
      <w:r>
        <w:t xml:space="preserve">In the forbearance of God, for a display of his righteousness in the present time, so that he might be righteous and the one justifying him who is of faith in Jesus.</w:t>
      </w:r>
    </w:p>
    <w:p>
      <w:r>
        <w:rPr>
          <w:b/>
        </w:rPr>
        <w:t xml:space="preserve">27 </w:t>
      </w:r>
      <w:r>
        <w:t xml:space="preserve">Where then is boasting? It was excluded. Through what law? of works</w:t>
      </w:r>
      <w:r>
        <w:rPr>
          <w:rStyle w:val="FootnoteReference"/>
        </w:rPr>
        <w:footnoteReference w:id="17396"/>
      </w:r>
      <w:r>
        <w:t xml:space="preserve">? No, but through the law of faith.</w:t>
      </w:r>
    </w:p>
    <w:p>
      <w:r>
        <w:rPr>
          <w:b/>
        </w:rPr>
        <w:t xml:space="preserve">28 </w:t>
      </w:r>
      <w:r>
        <w:t xml:space="preserve">Therefore we reckon that a human is justified by faith apart from works of law.</w:t>
      </w:r>
    </w:p>
    <w:p>
      <w:r>
        <w:rPr>
          <w:b/>
        </w:rPr>
        <w:t xml:space="preserve">29 </w:t>
      </w:r>
      <w:r>
        <w:t xml:space="preserve">Is he the God of the Jews only? is he not also of the nations? Yes, of the nations also:</w:t>
      </w:r>
    </w:p>
    <w:p>
      <w:r>
        <w:rPr>
          <w:b/>
        </w:rPr>
        <w:t xml:space="preserve">30 </w:t>
      </w:r>
      <w:r>
        <w:t xml:space="preserve">Seeing it is one God, who shall justify the circumcision by faith, and uncircumcision through faith.</w:t>
      </w:r>
    </w:p>
    <w:p>
      <w:r>
        <w:rPr>
          <w:b/>
        </w:rPr>
        <w:t xml:space="preserve">31 </w:t>
      </w:r>
      <w:r>
        <w:t xml:space="preserve">Do we</w:t>
      </w:r>
      <w:r>
        <w:rPr>
          <w:rStyle w:val="FootnoteReference"/>
        </w:rPr>
        <w:footnoteReference w:id="17397"/>
      </w:r>
      <w:r>
        <w:t xml:space="preserve"> then make void the law through faith? May it not be. Rather, we establish the law.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What then shall we say that Abraham</w:t>
      </w:r>
      <w:r>
        <w:rPr>
          <w:rStyle w:val="FootnoteReference"/>
        </w:rPr>
        <w:footnoteReference w:id="17398"/>
      </w:r>
      <w:r>
        <w:t xml:space="preserve"> our father has found according to the flesh?</w:t>
      </w:r>
    </w:p>
    <w:p>
      <w:r>
        <w:rPr>
          <w:b/>
        </w:rPr>
        <w:t xml:space="preserve">2 </w:t>
      </w:r>
      <w:r>
        <w:t xml:space="preserve">For if Abraham</w:t>
      </w:r>
      <w:r>
        <w:rPr>
          <w:rStyle w:val="FootnoteReference"/>
        </w:rPr>
        <w:footnoteReference w:id="17399"/>
      </w:r>
      <w:r>
        <w:t xml:space="preserve"> was justified from works, he has boasting; but not before God.</w:t>
      </w:r>
    </w:p>
    <w:p>
      <w:r>
        <w:rPr>
          <w:b/>
        </w:rPr>
        <w:t xml:space="preserve">3 </w:t>
      </w:r>
      <w:r>
        <w:t xml:space="preserve">For what does the scripture say? Abraham</w:t>
      </w:r>
      <w:r>
        <w:rPr>
          <w:rStyle w:val="FootnoteReference"/>
        </w:rPr>
        <w:footnoteReference w:id="17400"/>
      </w:r>
      <w:r>
        <w:t xml:space="preserve"> believed God, and it was reckoned to him for righteousness.</w:t>
      </w:r>
    </w:p>
    <w:p>
      <w:r>
        <w:rPr>
          <w:b/>
        </w:rPr>
        <w:t xml:space="preserve">4 </w:t>
      </w:r>
      <w:r>
        <w:t xml:space="preserve">Now to the one who works, the reward is not reckoned according to grace, but according to debt.</w:t>
      </w:r>
    </w:p>
    <w:p>
      <w:r>
        <w:rPr>
          <w:b/>
        </w:rPr>
        <w:t xml:space="preserve">5 </w:t>
      </w:r>
      <w:r>
        <w:t xml:space="preserve">But to</w:t>
      </w:r>
      <w:r>
        <w:rPr>
          <w:rStyle w:val="FootnoteReference"/>
        </w:rPr>
        <w:footnoteReference w:id="17401"/>
      </w:r>
      <w:r>
        <w:t xml:space="preserve"> the one who does not work, but believes on him who justifies the ungodly, his faith is reckoned for righteousness.</w:t>
      </w:r>
    </w:p>
    <w:p>
      <w:r>
        <w:rPr>
          <w:b/>
        </w:rPr>
        <w:t xml:space="preserve">6 </w:t>
      </w:r>
      <w:r>
        <w:t xml:space="preserve">Just as David also speaks of the blessedness</w:t>
      </w:r>
      <w:r>
        <w:rPr>
          <w:rStyle w:val="FootnoteReference"/>
        </w:rPr>
        <w:footnoteReference w:id="17402"/>
      </w:r>
      <w:r>
        <w:t xml:space="preserve"> of the human to whom God reckons righteousness apart from works,</w:t>
      </w:r>
    </w:p>
    <w:p>
      <w:r>
        <w:rPr>
          <w:b/>
        </w:rPr>
        <w:t xml:space="preserve">7 </w:t>
      </w:r>
      <w:r>
        <w:t xml:space="preserve">Saying, Blessed are those whose lawless deeds were forgiven, and whose sins were covered.</w:t>
      </w:r>
    </w:p>
    <w:p>
      <w:r>
        <w:rPr>
          <w:b/>
        </w:rPr>
        <w:t xml:space="preserve">8 </w:t>
      </w:r>
      <w:r>
        <w:t xml:space="preserve">Blessed is the man to whom</w:t>
      </w:r>
      <w:r>
        <w:rPr>
          <w:rStyle w:val="FootnoteReference"/>
        </w:rPr>
        <w:footnoteReference w:id="17403"/>
      </w:r>
      <w:r>
        <w:t xml:space="preserve"> the Lord shall certainly not reckon sin.</w:t>
      </w:r>
    </w:p>
    <w:p>
      <w:r>
        <w:rPr>
          <w:b/>
        </w:rPr>
        <w:t xml:space="preserve">9 </w:t>
      </w:r>
      <w:r>
        <w:t xml:space="preserve">Comes this blessedness then upon the circumcision only, or upon the uncircumcision also? for we</w:t>
      </w:r>
      <w:r>
        <w:rPr>
          <w:rStyle w:val="FootnoteReference"/>
        </w:rPr>
        <w:footnoteReference w:id="17404"/>
      </w:r>
      <w:r>
        <w:t xml:space="preserve"> say that faith was reckoned to Abraham for righteousness.</w:t>
      </w:r>
    </w:p>
    <w:p>
      <w:r>
        <w:rPr>
          <w:b/>
        </w:rPr>
        <w:t xml:space="preserve">10 </w:t>
      </w:r>
      <w:r>
        <w:t xml:space="preserve">How then was it reckoned? while he was in circumcision, or in uncircumcision? Not in circumcision</w:t>
      </w:r>
      <w:r>
        <w:rPr>
          <w:rStyle w:val="FootnoteReference"/>
        </w:rPr>
        <w:footnoteReference w:id="17405"/>
      </w:r>
      <w:r>
        <w:t xml:space="preserve">, but in uncircumcision.</w:t>
      </w:r>
    </w:p>
    <w:p>
      <w:r>
        <w:rPr>
          <w:b/>
        </w:rPr>
        <w:t xml:space="preserve">11 </w:t>
      </w:r>
      <w:r>
        <w:t xml:space="preserve">And he received the sign</w:t>
      </w:r>
      <w:r>
        <w:rPr>
          <w:rStyle w:val="FootnoteReference"/>
        </w:rPr>
        <w:footnoteReference w:id="17406"/>
      </w:r>
      <w:r>
        <w:t xml:space="preserve"> of circumcision, a seal of the righteousness of the faith while in uncircumcision: so that he might be the father of all who believe through uncircumcision, so that righteousness might be reckoned to them also:</w:t>
      </w:r>
    </w:p>
    <w:p>
      <w:r>
        <w:rPr>
          <w:b/>
        </w:rPr>
        <w:t xml:space="preserve">12 </w:t>
      </w:r>
      <w:r>
        <w:t xml:space="preserve">And the father of circumcision to those who are not of circumcision only, but also to those walking in the steps</w:t>
      </w:r>
      <w:r>
        <w:rPr>
          <w:rStyle w:val="FootnoteReference"/>
        </w:rPr>
        <w:footnoteReference w:id="17407"/>
      </w:r>
      <w:r>
        <w:t xml:space="preserve"> of the faith of our father Abraham while in uncircumcision.</w:t>
      </w:r>
    </w:p>
    <w:p>
      <w:r>
        <w:rPr>
          <w:b/>
        </w:rPr>
        <w:t xml:space="preserve">13 </w:t>
      </w:r>
      <w:r>
        <w:t xml:space="preserve">For the promise, that he should be the heir of the world, was not to Abraham, or to his seed, through the</w:t>
      </w:r>
      <w:r>
        <w:rPr>
          <w:rStyle w:val="FootnoteReference"/>
        </w:rPr>
        <w:footnoteReference w:id="17408"/>
      </w:r>
      <w:r>
        <w:t xml:space="preserve"> law, but through the righteousness of faith.</w:t>
      </w:r>
    </w:p>
    <w:p>
      <w:r>
        <w:rPr>
          <w:b/>
        </w:rPr>
        <w:t xml:space="preserve">14 </w:t>
      </w:r>
      <w:r>
        <w:t xml:space="preserve">For if</w:t>
      </w:r>
      <w:r>
        <w:rPr>
          <w:rStyle w:val="FootnoteReference"/>
        </w:rPr>
        <w:footnoteReference w:id="17409"/>
      </w:r>
      <w:r>
        <w:t xml:space="preserve"> those of law are heirs, faith has been emptied, and the promise made ineffective:</w:t>
      </w:r>
    </w:p>
    <w:p>
      <w:r>
        <w:rPr>
          <w:b/>
        </w:rPr>
        <w:t xml:space="preserve">15 </w:t>
      </w:r>
      <w:r>
        <w:t xml:space="preserve">For the law works wrath: for where there is no law, neither is there transgression.</w:t>
      </w:r>
    </w:p>
    <w:p>
      <w:r>
        <w:rPr>
          <w:b/>
        </w:rPr>
        <w:t xml:space="preserve">16 </w:t>
      </w:r>
      <w:r>
        <w:t xml:space="preserve">Therefore it is of faith</w:t>
      </w:r>
      <w:r>
        <w:rPr>
          <w:rStyle w:val="FootnoteReference"/>
        </w:rPr>
        <w:footnoteReference w:id="17410"/>
      </w:r>
      <w:r>
        <w:t xml:space="preserve">, that it might be by grace; to the end the promise might be sure to all the seed; not to that only which is of the law, but to that also which is of the faith of Abraham; who is the father of us all,</w:t>
      </w:r>
    </w:p>
    <w:p>
      <w:r>
        <w:rPr>
          <w:b/>
        </w:rPr>
        <w:t xml:space="preserve">17 </w:t>
      </w:r>
      <w:r>
        <w:t xml:space="preserve">(As it is written, I have made you a father of many nations,) before him</w:t>
      </w:r>
      <w:r>
        <w:rPr>
          <w:rStyle w:val="FootnoteReference"/>
        </w:rPr>
        <w:footnoteReference w:id="17411"/>
      </w:r>
      <w:r>
        <w:t xml:space="preserve"> whom he believed, even God, who gives life to the dead, and calls those things that are not as though they were.</w:t>
      </w:r>
    </w:p>
    <w:p>
      <w:r>
        <w:rPr>
          <w:b/>
        </w:rPr>
        <w:t xml:space="preserve">18 </w:t>
      </w:r>
      <w:r>
        <w:t xml:space="preserve">Who contrary to hope believed upon hope, that he might become the father of many nations, according to what was spoken, So shall</w:t>
      </w:r>
      <w:r>
        <w:rPr>
          <w:rStyle w:val="FootnoteReference"/>
        </w:rPr>
        <w:footnoteReference w:id="17412"/>
      </w:r>
      <w:r>
        <w:t xml:space="preserve"> your seed be.</w:t>
      </w:r>
    </w:p>
    <w:p>
      <w:r>
        <w:rPr>
          <w:b/>
        </w:rPr>
        <w:t xml:space="preserve">19 </w:t>
      </w:r>
      <w:r>
        <w:t xml:space="preserve">And not being weak in faith, he did not consider his own body already dead, being about a hundred years old, nor the deadness of Sarah</w:t>
      </w:r>
      <w:r>
        <w:rPr>
          <w:rStyle w:val="FootnoteReference"/>
        </w:rPr>
        <w:footnoteReference w:id="17413"/>
      </w:r>
      <w:r>
        <w:t xml:space="preserve">'s womb:</w:t>
      </w:r>
    </w:p>
    <w:p>
      <w:r>
        <w:rPr>
          <w:b/>
        </w:rPr>
        <w:t xml:space="preserve">20 </w:t>
      </w:r>
      <w:r>
        <w:t xml:space="preserve">And at the promise of God he did not waver in unbelief; but was</w:t>
      </w:r>
      <w:r>
        <w:rPr>
          <w:rStyle w:val="FootnoteReference"/>
        </w:rPr>
        <w:footnoteReference w:id="17414"/>
      </w:r>
      <w:r>
        <w:t xml:space="preserve"> strengthened in faith, giving glory to God;</w:t>
      </w:r>
    </w:p>
    <w:p>
      <w:r>
        <w:rPr>
          <w:b/>
        </w:rPr>
        <w:t xml:space="preserve">21 </w:t>
      </w:r>
      <w:r>
        <w:t xml:space="preserve">And being fully</w:t>
      </w:r>
      <w:r>
        <w:rPr>
          <w:rStyle w:val="FootnoteReference"/>
        </w:rPr>
        <w:footnoteReference w:id="17415"/>
      </w:r>
      <w:r>
        <w:t xml:space="preserve"> assured that what he had promised, he was able also to do.</w:t>
      </w:r>
    </w:p>
    <w:p>
      <w:r>
        <w:rPr>
          <w:b/>
        </w:rPr>
        <w:t xml:space="preserve">22 </w:t>
      </w:r>
      <w:r>
        <w:t xml:space="preserve">Therefore also it was reckoned to him for righteousness.</w:t>
      </w:r>
    </w:p>
    <w:p>
      <w:r>
        <w:rPr>
          <w:b/>
        </w:rPr>
        <w:t xml:space="preserve">23 </w:t>
      </w:r>
      <w:r>
        <w:t xml:space="preserve">Now it was not written for his sake alone, that it was reckoned to him;</w:t>
      </w:r>
    </w:p>
    <w:p>
      <w:r>
        <w:rPr>
          <w:b/>
        </w:rPr>
        <w:t xml:space="preserve">24 </w:t>
      </w:r>
      <w:r>
        <w:t xml:space="preserve">But for us</w:t>
      </w:r>
      <w:r>
        <w:rPr>
          <w:rStyle w:val="FootnoteReference"/>
        </w:rPr>
        <w:footnoteReference w:id="17416"/>
      </w:r>
      <w:r>
        <w:t xml:space="preserve"> also, to whom it shall be imputed, if we believe on him who raised up Jesus our Lord from the dead;</w:t>
      </w:r>
    </w:p>
    <w:p>
      <w:r>
        <w:rPr>
          <w:b/>
        </w:rPr>
        <w:t xml:space="preserve">25 </w:t>
      </w:r>
      <w:r>
        <w:t xml:space="preserve">Who was</w:t>
      </w:r>
      <w:r>
        <w:rPr>
          <w:rStyle w:val="FootnoteReference"/>
        </w:rPr>
        <w:footnoteReference w:id="17417"/>
      </w:r>
      <w:r>
        <w:t xml:space="preserve"> delivered because of our trespasses, and was raised because of our justification.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Therefore, having been justified from faith, we have peace with God through our Lord Jesus Christ:</w:t>
      </w:r>
    </w:p>
    <w:p>
      <w:r>
        <w:rPr>
          <w:b/>
        </w:rPr>
        <w:t xml:space="preserve">2 </w:t>
      </w:r>
      <w:r>
        <w:t xml:space="preserve">Through whom also we have had access by faith into this grace in which we stand, and boast in hope of the glory</w:t>
      </w:r>
      <w:r>
        <w:rPr>
          <w:rStyle w:val="FootnoteReference"/>
        </w:rPr>
        <w:footnoteReference w:id="17418"/>
      </w:r>
      <w:r>
        <w:t xml:space="preserve"> of God.</w:t>
      </w:r>
    </w:p>
    <w:p>
      <w:r>
        <w:rPr>
          <w:b/>
        </w:rPr>
        <w:t xml:space="preserve">3 </w:t>
      </w:r>
      <w:r>
        <w:t xml:space="preserve">And not only so, but we</w:t>
      </w:r>
      <w:r>
        <w:rPr>
          <w:rStyle w:val="FootnoteReference"/>
        </w:rPr>
        <w:footnoteReference w:id="17419"/>
      </w:r>
      <w:r>
        <w:t xml:space="preserve"> also boast in tribulations: knowing that tribulation works endurance;</w:t>
      </w:r>
    </w:p>
    <w:p>
      <w:r>
        <w:rPr>
          <w:b/>
        </w:rPr>
        <w:t xml:space="preserve">4 </w:t>
      </w:r>
      <w:r>
        <w:t xml:space="preserve">And endurance, tested character; and tested character, hope:</w:t>
      </w:r>
    </w:p>
    <w:p>
      <w:r>
        <w:rPr>
          <w:b/>
        </w:rPr>
        <w:t xml:space="preserve">5 </w:t>
      </w:r>
      <w:r>
        <w:t xml:space="preserve">And hope</w:t>
      </w:r>
      <w:r>
        <w:rPr>
          <w:rStyle w:val="FootnoteReference"/>
        </w:rPr>
        <w:footnoteReference w:id="17420"/>
      </w:r>
      <w:r>
        <w:t xml:space="preserve"> does not put to shame; because the love of God has been poured out in our hearts through the Holy Spirit given to us.</w:t>
      </w:r>
    </w:p>
    <w:p>
      <w:r>
        <w:rPr>
          <w:b/>
        </w:rPr>
        <w:t xml:space="preserve">6 </w:t>
      </w:r>
      <w:r>
        <w:t xml:space="preserve">For while we were still weak, at the right time Christ</w:t>
      </w:r>
      <w:r>
        <w:rPr>
          <w:rStyle w:val="FootnoteReference"/>
        </w:rPr>
        <w:footnoteReference w:id="17421"/>
      </w:r>
      <w:r>
        <w:t xml:space="preserve"> died for the ungodly.</w:t>
      </w:r>
    </w:p>
    <w:p>
      <w:r>
        <w:rPr>
          <w:b/>
        </w:rPr>
        <w:t xml:space="preserve">7 </w:t>
      </w:r>
      <w:r>
        <w:t xml:space="preserve">For scarcely</w:t>
      </w:r>
      <w:r>
        <w:rPr>
          <w:rStyle w:val="FootnoteReference"/>
        </w:rPr>
        <w:footnoteReference w:id="17422"/>
      </w:r>
      <w:r>
        <w:t xml:space="preserve"> will someone die for a righteous one: yet perhaps for the good one someone even dares to die.</w:t>
      </w:r>
    </w:p>
    <w:p>
      <w:r>
        <w:rPr>
          <w:b/>
        </w:rPr>
        <w:t xml:space="preserve">8 </w:t>
      </w:r>
      <w:r>
        <w:t xml:space="preserve">But God commends his own love toward us, because while we were still sinners, Christ died for us.</w:t>
      </w:r>
    </w:p>
    <w:p>
      <w:r>
        <w:rPr>
          <w:b/>
        </w:rPr>
        <w:t xml:space="preserve">9 </w:t>
      </w:r>
      <w:r>
        <w:t xml:space="preserve">Much more then, being now justified by his blood, we shall</w:t>
      </w:r>
      <w:r>
        <w:rPr>
          <w:rStyle w:val="FootnoteReference"/>
        </w:rPr>
        <w:footnoteReference w:id="17423"/>
      </w:r>
      <w:r>
        <w:t xml:space="preserve"> be saved from wrath through him.</w:t>
      </w:r>
    </w:p>
    <w:p>
      <w:r>
        <w:rPr>
          <w:b/>
        </w:rPr>
        <w:t xml:space="preserve">10 </w:t>
      </w:r>
      <w:r>
        <w:t xml:space="preserve">For if, when we were enemies, we were reconciled</w:t>
      </w:r>
      <w:r>
        <w:rPr>
          <w:rStyle w:val="FootnoteReference"/>
        </w:rPr>
        <w:footnoteReference w:id="17424"/>
      </w:r>
      <w:r>
        <w:t xml:space="preserve"> to God by the death of his Son, much more, being reconciled, we shall be saved by his life.</w:t>
      </w:r>
    </w:p>
    <w:p>
      <w:r>
        <w:rPr>
          <w:b/>
        </w:rPr>
        <w:t xml:space="preserve">11 </w:t>
      </w:r>
      <w:r>
        <w:t xml:space="preserve">And not only so, but we</w:t>
      </w:r>
      <w:r>
        <w:rPr>
          <w:rStyle w:val="FootnoteReference"/>
        </w:rPr>
        <w:footnoteReference w:id="17425"/>
      </w:r>
      <w:r>
        <w:t xml:space="preserve"> also boast in God through our Lord Jesus Christ, through whom we have now received reconciliation.</w:t>
      </w:r>
    </w:p>
    <w:p>
      <w:r>
        <w:rPr>
          <w:b/>
        </w:rPr>
        <w:t xml:space="preserve">12 </w:t>
      </w:r>
      <w:r>
        <w:t xml:space="preserve">Therefore, just as through one human sin entered into the world, and death</w:t>
      </w:r>
      <w:r>
        <w:rPr>
          <w:rStyle w:val="FootnoteReference"/>
        </w:rPr>
        <w:footnoteReference w:id="17426"/>
      </w:r>
      <w:r>
        <w:t xml:space="preserve"> through sin; and so death passed to all humans, because all sinned:</w:t>
      </w:r>
    </w:p>
    <w:p>
      <w:r>
        <w:rPr>
          <w:b/>
        </w:rPr>
        <w:t xml:space="preserve">13 </w:t>
      </w:r>
      <w:r>
        <w:t xml:space="preserve">For until law sin was in the world: but sin</w:t>
      </w:r>
      <w:r>
        <w:rPr>
          <w:rStyle w:val="FootnoteReference"/>
        </w:rPr>
        <w:footnoteReference w:id="17427"/>
      </w:r>
      <w:r>
        <w:t xml:space="preserve"> is not charged when there is no law.</w:t>
      </w:r>
    </w:p>
    <w:p>
      <w:r>
        <w:rPr>
          <w:b/>
        </w:rPr>
        <w:t xml:space="preserve">14 </w:t>
      </w:r>
      <w:r>
        <w:t xml:space="preserve">Nevertheless death</w:t>
      </w:r>
      <w:r>
        <w:rPr>
          <w:rStyle w:val="FootnoteReference"/>
        </w:rPr>
        <w:footnoteReference w:id="17428"/>
      </w:r>
      <w:r>
        <w:t xml:space="preserve"> reigned from Adam to Moses, even over those who had not sinned after the likeness of Adam's transgression, who is the figure of him who was to come.</w:t>
      </w:r>
    </w:p>
    <w:p>
      <w:r>
        <w:rPr>
          <w:b/>
        </w:rPr>
        <w:t xml:space="preserve">15 </w:t>
      </w:r>
      <w:r>
        <w:t xml:space="preserve">But not</w:t>
      </w:r>
      <w:r>
        <w:rPr>
          <w:rStyle w:val="FootnoteReference"/>
        </w:rPr>
        <w:footnoteReference w:id="17429"/>
      </w:r>
      <w:r>
        <w:t xml:space="preserve"> as the trespass, so also is the free gift. For if by the trespass of the one the many died, much more the grace of God, and the gift by grace, which is by the one human Jesus Christ, abounded to the many.</w:t>
      </w:r>
    </w:p>
    <w:p>
      <w:r>
        <w:rPr>
          <w:b/>
        </w:rPr>
        <w:t xml:space="preserve">16 </w:t>
      </w:r>
      <w:r>
        <w:t xml:space="preserve">And not as through one who sinned, so is the gift: for the judgment from one was to condemnation, but the free</w:t>
      </w:r>
      <w:r>
        <w:rPr>
          <w:rStyle w:val="FootnoteReference"/>
        </w:rPr>
        <w:footnoteReference w:id="17430"/>
      </w:r>
      <w:r>
        <w:t xml:space="preserve"> gift from many trespasses was to justification.</w:t>
      </w:r>
    </w:p>
    <w:p>
      <w:r>
        <w:rPr>
          <w:b/>
        </w:rPr>
        <w:t xml:space="preserve">17 </w:t>
      </w:r>
      <w:r>
        <w:t xml:space="preserve">For if</w:t>
      </w:r>
      <w:r>
        <w:rPr>
          <w:rStyle w:val="FootnoteReference"/>
        </w:rPr>
        <w:footnoteReference w:id="17431"/>
      </w:r>
      <w:r>
        <w:t xml:space="preserve"> by the trespass of the one death reigned through the one; much more those who receive the abundance of grace and of the gift of righteousness shall reign in life through the one, Jesus Christ.</w:t>
      </w:r>
    </w:p>
    <w:p>
      <w:r>
        <w:rPr>
          <w:b/>
        </w:rPr>
        <w:t xml:space="preserve">18 </w:t>
      </w:r>
      <w:r>
        <w:t xml:space="preserve">Therefore then, as through one trespass judgment came to all humans to condemnation; so also through one righteous act the free gift came to all humans to justification of life.</w:t>
      </w:r>
    </w:p>
    <w:p>
      <w:r>
        <w:rPr>
          <w:b/>
        </w:rPr>
        <w:t xml:space="preserve">19 </w:t>
      </w:r>
      <w:r>
        <w:t xml:space="preserve">For as through the disobedience of the one human the many were made sinners, so also through the obedience of the one the many shall be made righteous.</w:t>
      </w:r>
    </w:p>
    <w:p>
      <w:r>
        <w:rPr>
          <w:b/>
        </w:rPr>
        <w:t xml:space="preserve">20 </w:t>
      </w:r>
      <w:r>
        <w:t xml:space="preserve">Moreover the law</w:t>
      </w:r>
      <w:r>
        <w:rPr>
          <w:rStyle w:val="FootnoteReference"/>
        </w:rPr>
        <w:footnoteReference w:id="17432"/>
      </w:r>
      <w:r>
        <w:t xml:space="preserve"> entered, that the offense might abound. But where sin abounded, grace did much more abound:</w:t>
      </w:r>
    </w:p>
    <w:p>
      <w:r>
        <w:rPr>
          <w:b/>
        </w:rPr>
        <w:t xml:space="preserve">21 </w:t>
      </w:r>
      <w:r>
        <w:t xml:space="preserve">That as sin has reigned to death, even so might grace</w:t>
      </w:r>
      <w:r>
        <w:rPr>
          <w:rStyle w:val="FootnoteReference"/>
        </w:rPr>
        <w:footnoteReference w:id="17433"/>
      </w:r>
      <w:r>
        <w:t xml:space="preserve"> reign through righteousness to eternal life by Jesus Christ our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What then shall we say? Shall we remain in sin, that grace may abound?</w:t>
      </w:r>
    </w:p>
    <w:p>
      <w:r>
        <w:rPr>
          <w:b/>
        </w:rPr>
        <w:t xml:space="preserve">2 </w:t>
      </w:r>
      <w:r>
        <w:t xml:space="preserve">May it not be. How shall we, that are dead</w:t>
      </w:r>
      <w:r>
        <w:rPr>
          <w:rStyle w:val="FootnoteReference"/>
        </w:rPr>
        <w:footnoteReference w:id="17434"/>
      </w:r>
      <w:r>
        <w:t xml:space="preserve"> to sin, live any longer in it?</w:t>
      </w:r>
    </w:p>
    <w:p>
      <w:r>
        <w:rPr>
          <w:b/>
        </w:rPr>
        <w:t xml:space="preserve">3 </w:t>
      </w:r>
      <w:r>
        <w:t xml:space="preserve">Or do you not know</w:t>
      </w:r>
      <w:r>
        <w:rPr>
          <w:rStyle w:val="FootnoteReference"/>
        </w:rPr>
        <w:footnoteReference w:id="17435"/>
      </w:r>
      <w:r>
        <w:t xml:space="preserve"> that as many of us as were baptized into Christ Jesus were baptized into his death?</w:t>
      </w:r>
    </w:p>
    <w:p>
      <w:r>
        <w:rPr>
          <w:b/>
        </w:rPr>
        <w:t xml:space="preserve">4 </w:t>
      </w:r>
      <w:r>
        <w:t xml:space="preserve">Therefore we are</w:t>
      </w:r>
      <w:r>
        <w:rPr>
          <w:rStyle w:val="FootnoteReference"/>
        </w:rPr>
        <w:footnoteReference w:id="17436"/>
      </w:r>
      <w:r>
        <w:t xml:space="preserve"> buried with him by baptism into death: that like Christ was raised up from the dead by the glory of the Father, even so we also should walk in newness of life.</w:t>
      </w:r>
    </w:p>
    <w:p>
      <w:r>
        <w:rPr>
          <w:b/>
        </w:rPr>
        <w:t xml:space="preserve">5 </w:t>
      </w:r>
      <w:r>
        <w:t xml:space="preserve">For if we have become united together in the likeness of his death, we shall also be in the likeness of his resurrection:</w:t>
      </w:r>
    </w:p>
    <w:p>
      <w:r>
        <w:rPr>
          <w:b/>
        </w:rPr>
        <w:t xml:space="preserve">6 </w:t>
      </w:r>
      <w:r>
        <w:t xml:space="preserve">Knowing this, that our</w:t>
      </w:r>
      <w:r>
        <w:rPr>
          <w:rStyle w:val="FootnoteReference"/>
        </w:rPr>
        <w:footnoteReference w:id="17437"/>
      </w:r>
      <w:r>
        <w:t xml:space="preserve"> old human was crucified with him, that the body of sin might be made ineffective, that we should no longer be enslaved to sin.</w:t>
      </w:r>
    </w:p>
    <w:p>
      <w:r>
        <w:rPr>
          <w:b/>
        </w:rPr>
        <w:t xml:space="preserve">7 </w:t>
      </w:r>
      <w:r>
        <w:t xml:space="preserve">For the one who died has been justified from sin.</w:t>
      </w:r>
    </w:p>
    <w:p>
      <w:r>
        <w:rPr>
          <w:b/>
        </w:rPr>
        <w:t xml:space="preserve">8 </w:t>
      </w:r>
      <w:r>
        <w:t xml:space="preserve">Now if we died with Christ, we believe</w:t>
      </w:r>
      <w:r>
        <w:rPr>
          <w:rStyle w:val="FootnoteReference"/>
        </w:rPr>
        <w:footnoteReference w:id="17438"/>
      </w:r>
      <w:r>
        <w:t xml:space="preserve"> that we shall also live with him:</w:t>
      </w:r>
    </w:p>
    <w:p>
      <w:r>
        <w:rPr>
          <w:b/>
        </w:rPr>
        <w:t xml:space="preserve">9 </w:t>
      </w:r>
      <w:r>
        <w:t xml:space="preserve">Knowing that Christ</w:t>
      </w:r>
      <w:r>
        <w:rPr>
          <w:rStyle w:val="FootnoteReference"/>
        </w:rPr>
        <w:footnoteReference w:id="17439"/>
      </w:r>
      <w:r>
        <w:t xml:space="preserve"> being raised from the dead dies no more; death has no more dominion over him.</w:t>
      </w:r>
    </w:p>
    <w:p>
      <w:r>
        <w:rPr>
          <w:b/>
        </w:rPr>
        <w:t xml:space="preserve">10 </w:t>
      </w:r>
      <w:r>
        <w:t xml:space="preserve">For the death that he died, he died to sin once for all: but the life that he lives, he lives to God.</w:t>
      </w:r>
    </w:p>
    <w:p>
      <w:r>
        <w:rPr>
          <w:b/>
        </w:rPr>
        <w:t xml:space="preserve">11 </w:t>
      </w:r>
      <w:r>
        <w:t xml:space="preserve">Likewise reckon</w:t>
      </w:r>
      <w:r>
        <w:rPr>
          <w:rStyle w:val="FootnoteReference"/>
        </w:rPr>
        <w:footnoteReference w:id="17440"/>
      </w:r>
      <w:r>
        <w:t xml:space="preserve"> you also yourselves to be dead indeed to sin, but alive to God through Jesus Christ our Lord.</w:t>
      </w:r>
    </w:p>
    <w:p>
      <w:r>
        <w:rPr>
          <w:b/>
        </w:rPr>
        <w:t xml:space="preserve">12 </w:t>
      </w:r>
      <w:r>
        <w:t xml:space="preserve">Therefore let not</w:t>
      </w:r>
      <w:r>
        <w:rPr>
          <w:rStyle w:val="FootnoteReference"/>
        </w:rPr>
        <w:footnoteReference w:id="17441"/>
      </w:r>
      <w:r>
        <w:t xml:space="preserve"> sin reign in your mortal body, so that you obey it in its desires.</w:t>
      </w:r>
    </w:p>
    <w:p>
      <w:r>
        <w:rPr>
          <w:b/>
        </w:rPr>
        <w:t xml:space="preserve">13 </w:t>
      </w:r>
      <w:r>
        <w:t xml:space="preserve">Neither present your members as weapons of unrighteousness</w:t>
      </w:r>
      <w:r>
        <w:rPr>
          <w:rStyle w:val="FootnoteReference"/>
        </w:rPr>
        <w:footnoteReference w:id="17442"/>
      </w:r>
      <w:r>
        <w:t xml:space="preserve"> to sin: but present yourselves to God, as alive from the dead, and your members as weapons of righteousness to God.</w:t>
      </w:r>
    </w:p>
    <w:p>
      <w:r>
        <w:rPr>
          <w:b/>
        </w:rPr>
        <w:t xml:space="preserve">14 </w:t>
      </w:r>
      <w:r>
        <w:t xml:space="preserve">For sin shall not have mastery over you: for you are not under</w:t>
      </w:r>
      <w:r>
        <w:rPr>
          <w:rStyle w:val="FootnoteReference"/>
        </w:rPr>
        <w:footnoteReference w:id="17443"/>
      </w:r>
      <w:r>
        <w:t xml:space="preserve"> law, but under grace.</w:t>
      </w:r>
    </w:p>
    <w:p>
      <w:r>
        <w:rPr>
          <w:b/>
        </w:rPr>
        <w:t xml:space="preserve">15 </w:t>
      </w:r>
      <w:r>
        <w:t xml:space="preserve">What then? shall we</w:t>
      </w:r>
      <w:r>
        <w:rPr>
          <w:rStyle w:val="FootnoteReference"/>
        </w:rPr>
        <w:footnoteReference w:id="17444"/>
      </w:r>
      <w:r>
        <w:t xml:space="preserve"> sin, because we are not under the law, but under grace? May it not be.</w:t>
      </w:r>
    </w:p>
    <w:p>
      <w:r>
        <w:rPr>
          <w:b/>
        </w:rPr>
        <w:t xml:space="preserve">16 </w:t>
      </w:r>
      <w:r>
        <w:t xml:space="preserve">Do you not know</w:t>
      </w:r>
      <w:r>
        <w:rPr>
          <w:rStyle w:val="FootnoteReference"/>
        </w:rPr>
        <w:footnoteReference w:id="17445"/>
      </w:r>
      <w:r>
        <w:t xml:space="preserve">, that to whom you yield yourselves slaves to obey, his slaves you are to whom you obey; whether of sin to death, or of obedience to righteousness?</w:t>
      </w:r>
    </w:p>
    <w:p>
      <w:r>
        <w:rPr>
          <w:b/>
        </w:rPr>
        <w:t xml:space="preserve">17 </w:t>
      </w:r>
      <w:r>
        <w:t xml:space="preserve">But God be thanked, that you were the slaves of sin, but you have obeyed from the heart that form</w:t>
      </w:r>
      <w:r>
        <w:rPr>
          <w:rStyle w:val="FootnoteReference"/>
        </w:rPr>
        <w:footnoteReference w:id="17446"/>
      </w:r>
      <w:r>
        <w:t xml:space="preserve"> of doctrine which was delivered you.</w:t>
      </w:r>
    </w:p>
    <w:p>
      <w:r>
        <w:rPr>
          <w:b/>
        </w:rPr>
        <w:t xml:space="preserve">18 </w:t>
      </w:r>
      <w:r>
        <w:t xml:space="preserve">Being then made</w:t>
      </w:r>
      <w:r>
        <w:rPr>
          <w:rStyle w:val="FootnoteReference"/>
        </w:rPr>
        <w:footnoteReference w:id="17447"/>
      </w:r>
      <w:r>
        <w:t xml:space="preserve"> free from sin, you became the slaves of righteousness.</w:t>
      </w:r>
    </w:p>
    <w:p>
      <w:r>
        <w:rPr>
          <w:b/>
        </w:rPr>
        <w:t xml:space="preserve">19 </w:t>
      </w:r>
      <w:r>
        <w:t xml:space="preserve">I speak</w:t>
      </w:r>
      <w:r>
        <w:rPr>
          <w:rStyle w:val="FootnoteReference"/>
        </w:rPr>
        <w:footnoteReference w:id="17448"/>
      </w:r>
      <w:r>
        <w:t xml:space="preserve"> after the manner of men because of the infirmity of your flesh: for as you have yielded your members slaves to uncleanness and to iniquity to iniquity; even so now yield your members slaves to righteousness to holiness.</w:t>
      </w:r>
    </w:p>
    <w:p>
      <w:r>
        <w:rPr>
          <w:b/>
        </w:rPr>
        <w:t xml:space="preserve">20 </w:t>
      </w:r>
      <w:r>
        <w:t xml:space="preserve">For when you were the slaves of sin, you were free from righteousness.</w:t>
      </w:r>
    </w:p>
    <w:p>
      <w:r>
        <w:rPr>
          <w:b/>
        </w:rPr>
        <w:t xml:space="preserve">21 </w:t>
      </w:r>
      <w:r>
        <w:t xml:space="preserve">What fruit therefore did you have then in those things of which you are now ashamed? for the end of those things is death.</w:t>
      </w:r>
    </w:p>
    <w:p>
      <w:r>
        <w:rPr>
          <w:b/>
        </w:rPr>
        <w:t xml:space="preserve">22 </w:t>
      </w:r>
      <w:r>
        <w:t xml:space="preserve">But now</w:t>
      </w:r>
      <w:r>
        <w:rPr>
          <w:rStyle w:val="FootnoteReference"/>
        </w:rPr>
        <w:footnoteReference w:id="17449"/>
      </w:r>
      <w:r>
        <w:t xml:space="preserve"> being made free from sin, and become slaves to God, you have your fruit to holiness, and the end eternal life.</w:t>
      </w:r>
    </w:p>
    <w:p>
      <w:r>
        <w:rPr>
          <w:b/>
        </w:rPr>
        <w:t xml:space="preserve">23 </w:t>
      </w:r>
      <w:r>
        <w:t xml:space="preserve">For the wages</w:t>
      </w:r>
      <w:r>
        <w:rPr>
          <w:rStyle w:val="FootnoteReference"/>
        </w:rPr>
        <w:footnoteReference w:id="17450"/>
      </w:r>
      <w:r>
        <w:t xml:space="preserve"> of sin is death; but the gracious gift of God is eternal life in Christ Jesus our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Or do you not know</w:t>
      </w:r>
      <w:r>
        <w:rPr>
          <w:rStyle w:val="FootnoteReference"/>
        </w:rPr>
        <w:footnoteReference w:id="17451"/>
      </w:r>
      <w:r>
        <w:t xml:space="preserve">, brothers, for I speak to those who know law, that the law rules over the human as long as he lives?</w:t>
      </w:r>
    </w:p>
    <w:p>
      <w:r>
        <w:rPr>
          <w:b/>
        </w:rPr>
        <w:t xml:space="preserve">2 </w:t>
      </w:r>
      <w:r>
        <w:t xml:space="preserve">For the married woman is bound by law to the living husband; but if the husband dies, she is released from the law of the husband.</w:t>
      </w:r>
    </w:p>
    <w:p>
      <w:r>
        <w:rPr>
          <w:b/>
        </w:rPr>
        <w:t xml:space="preserve">3 </w:t>
      </w:r>
      <w:r>
        <w:t xml:space="preserve">So then</w:t>
      </w:r>
      <w:r>
        <w:rPr>
          <w:rStyle w:val="FootnoteReference"/>
        </w:rPr>
        <w:footnoteReference w:id="17452"/>
      </w:r>
      <w:r>
        <w:t xml:space="preserve">, while the husband lives, she shall be called an adulteress if she becomes another man's; but if the husband dies, she is free from the law, so that she is not an adulteress, though she becomes another man's.</w:t>
      </w:r>
    </w:p>
    <w:p>
      <w:r>
        <w:rPr>
          <w:b/>
        </w:rPr>
        <w:t xml:space="preserve">4 </w:t>
      </w:r>
      <w:r>
        <w:t xml:space="preserve">Therefore, my brothers, you also were put to death to the law through the body</w:t>
      </w:r>
      <w:r>
        <w:rPr>
          <w:rStyle w:val="FootnoteReference"/>
        </w:rPr>
        <w:footnoteReference w:id="17453"/>
      </w:r>
      <w:r>
        <w:t xml:space="preserve"> of Christ; so that you might belong to another, to him who was raised from the dead, that we might bear fruit to God.</w:t>
      </w:r>
    </w:p>
    <w:p>
      <w:r>
        <w:rPr>
          <w:b/>
        </w:rPr>
        <w:t xml:space="preserve">5 </w:t>
      </w:r>
      <w:r>
        <w:t xml:space="preserve">For when we were in the flesh</w:t>
      </w:r>
      <w:r>
        <w:rPr>
          <w:rStyle w:val="FootnoteReference"/>
        </w:rPr>
        <w:footnoteReference w:id="17454"/>
      </w:r>
      <w:r>
        <w:t xml:space="preserve">, the passions of sins which were through the law worked in our members to bear fruit to death.</w:t>
      </w:r>
    </w:p>
    <w:p>
      <w:r>
        <w:rPr>
          <w:b/>
        </w:rPr>
        <w:t xml:space="preserve">6 </w:t>
      </w:r>
      <w:r>
        <w:t xml:space="preserve">But now we have been released from the law, having died to that in which we were held, so that we should serve</w:t>
      </w:r>
      <w:r>
        <w:rPr>
          <w:rStyle w:val="FootnoteReference"/>
        </w:rPr>
        <w:footnoteReference w:id="17455"/>
      </w:r>
      <w:r>
        <w:t xml:space="preserve"> in newness of spirit, and not in oldness of letter.</w:t>
      </w:r>
    </w:p>
    <w:p>
      <w:r>
        <w:rPr>
          <w:b/>
        </w:rPr>
        <w:t xml:space="preserve">7 </w:t>
      </w:r>
      <w:r>
        <w:t xml:space="preserve">What then shall we say? Is the law</w:t>
      </w:r>
      <w:r>
        <w:rPr>
          <w:rStyle w:val="FootnoteReference"/>
        </w:rPr>
        <w:footnoteReference w:id="17456"/>
      </w:r>
      <w:r>
        <w:t xml:space="preserve"> sin? May it not be. But I did not know sin except through the law: for I had not known desire, unless the law had said, You shall not covet.</w:t>
      </w:r>
    </w:p>
    <w:p>
      <w:r>
        <w:rPr>
          <w:b/>
        </w:rPr>
        <w:t xml:space="preserve">8 </w:t>
      </w:r>
      <w:r>
        <w:t xml:space="preserve">But sin, taking opportunity through the commandment, worked in me every desire. For apart from law sin was dead.</w:t>
      </w:r>
    </w:p>
    <w:p>
      <w:r>
        <w:rPr>
          <w:b/>
        </w:rPr>
        <w:t xml:space="preserve">9 </w:t>
      </w:r>
      <w:r>
        <w:t xml:space="preserve">For I</w:t>
      </w:r>
      <w:r>
        <w:rPr>
          <w:rStyle w:val="FootnoteReference"/>
        </w:rPr>
        <w:footnoteReference w:id="17457"/>
      </w:r>
      <w:r>
        <w:t xml:space="preserve"> was alive without the law once: but when the commandment came, sin revived, and I died.</w:t>
      </w:r>
    </w:p>
    <w:p>
      <w:r>
        <w:rPr>
          <w:b/>
        </w:rPr>
        <w:t xml:space="preserve">10 </w:t>
      </w:r>
      <w:r>
        <w:t xml:space="preserve">And the commandment which was for life, this was found by me to be for death.</w:t>
      </w:r>
    </w:p>
    <w:p>
      <w:r>
        <w:rPr>
          <w:b/>
        </w:rPr>
        <w:t xml:space="preserve">11 </w:t>
      </w:r>
      <w:r>
        <w:t xml:space="preserve">For sin, taking opportunity through the commandment, deceived</w:t>
      </w:r>
      <w:r>
        <w:rPr>
          <w:rStyle w:val="FootnoteReference"/>
        </w:rPr>
        <w:footnoteReference w:id="17458"/>
      </w:r>
      <w:r>
        <w:t xml:space="preserve"> me, and through it killed me.</w:t>
      </w:r>
    </w:p>
    <w:p>
      <w:r>
        <w:rPr>
          <w:b/>
        </w:rPr>
        <w:t xml:space="preserve">12 </w:t>
      </w:r>
      <w:r>
        <w:t xml:space="preserve">Therefore the law</w:t>
      </w:r>
      <w:r>
        <w:rPr>
          <w:rStyle w:val="FootnoteReference"/>
        </w:rPr>
        <w:footnoteReference w:id="17459"/>
      </w:r>
      <w:r>
        <w:t xml:space="preserve"> indeed is holy, and the commandment holy, and righteous, and good.</w:t>
      </w:r>
    </w:p>
    <w:p>
      <w:r>
        <w:rPr>
          <w:b/>
        </w:rPr>
        <w:t xml:space="preserve">13 </w:t>
      </w:r>
      <w:r>
        <w:t xml:space="preserve">Was then that which is good made death to me? May it not be. But sin</w:t>
      </w:r>
      <w:r>
        <w:rPr>
          <w:rStyle w:val="FootnoteReference"/>
        </w:rPr>
        <w:footnoteReference w:id="17460"/>
      </w:r>
      <w:r>
        <w:t xml:space="preserve">, that it might appear sin, working death in me by that which is good; that sin by the commandment might become exceeding sinful.</w:t>
      </w:r>
    </w:p>
    <w:p>
      <w:r>
        <w:rPr>
          <w:b/>
        </w:rPr>
        <w:t xml:space="preserve">14 </w:t>
      </w:r>
      <w:r>
        <w:t xml:space="preserve">For we know that the law</w:t>
      </w:r>
      <w:r>
        <w:rPr>
          <w:rStyle w:val="FootnoteReference"/>
        </w:rPr>
        <w:footnoteReference w:id="17461"/>
      </w:r>
      <w:r>
        <w:t xml:space="preserve"> is spiritual: but I am fleshly, sold under sin.</w:t>
      </w:r>
    </w:p>
    <w:p>
      <w:r>
        <w:rPr>
          <w:b/>
        </w:rPr>
        <w:t xml:space="preserve">15 </w:t>
      </w:r>
      <w:r>
        <w:t xml:space="preserve">For what I work out I do not know: for what I will, this I do not practice; but what I hate</w:t>
      </w:r>
      <w:r>
        <w:rPr>
          <w:rStyle w:val="FootnoteReference"/>
        </w:rPr>
        <w:footnoteReference w:id="17462"/>
      </w:r>
      <w:r>
        <w:t xml:space="preserve">, this I do.</w:t>
      </w:r>
    </w:p>
    <w:p>
      <w:r>
        <w:rPr>
          <w:b/>
        </w:rPr>
        <w:t xml:space="preserve">16 </w:t>
      </w:r>
      <w:r>
        <w:t xml:space="preserve">If then I do what I do not will, I agree with the law that it is good.</w:t>
      </w:r>
    </w:p>
    <w:p>
      <w:r>
        <w:rPr>
          <w:b/>
        </w:rPr>
        <w:t xml:space="preserve">17 </w:t>
      </w:r>
      <w:r>
        <w:t xml:space="preserve">Now then it is no longer I who work it out, but sin dwelling in me.</w:t>
      </w:r>
    </w:p>
    <w:p>
      <w:r>
        <w:rPr>
          <w:b/>
        </w:rPr>
        <w:t xml:space="preserve">18 </w:t>
      </w:r>
      <w:r>
        <w:t xml:space="preserve">For I know that in me</w:t>
      </w:r>
      <w:r>
        <w:rPr>
          <w:rStyle w:val="FootnoteReference"/>
        </w:rPr>
        <w:footnoteReference w:id="17463"/>
      </w:r>
      <w:r>
        <w:t xml:space="preserve">, that is, in my flesh, good does not dwell: for to will is present with me; but to work out the good I do not find.</w:t>
      </w:r>
    </w:p>
    <w:p>
      <w:r>
        <w:rPr>
          <w:b/>
        </w:rPr>
        <w:t xml:space="preserve">19 </w:t>
      </w:r>
      <w:r>
        <w:t xml:space="preserve">For the good that I will, I do not do: but the evil that I do not will, this I practice.</w:t>
      </w:r>
    </w:p>
    <w:p>
      <w:r>
        <w:rPr>
          <w:b/>
        </w:rPr>
        <w:t xml:space="preserve">20 </w:t>
      </w:r>
      <w:r>
        <w:t xml:space="preserve">Now if what I do not will, this I do, it is no</w:t>
      </w:r>
      <w:r>
        <w:rPr>
          <w:rStyle w:val="FootnoteReference"/>
        </w:rPr>
        <w:footnoteReference w:id="17464"/>
      </w:r>
      <w:r>
        <w:t xml:space="preserve"> longer I who work it out, but sin dwelling in me.</w:t>
      </w:r>
    </w:p>
    <w:p>
      <w:r>
        <w:rPr>
          <w:b/>
        </w:rPr>
        <w:t xml:space="preserve">21 </w:t>
      </w:r>
      <w:r>
        <w:t xml:space="preserve">I find then the law, that to me willing to do the good, evil</w:t>
      </w:r>
      <w:r>
        <w:rPr>
          <w:rStyle w:val="FootnoteReference"/>
        </w:rPr>
        <w:footnoteReference w:id="17465"/>
      </w:r>
      <w:r>
        <w:t xml:space="preserve"> lies near me.</w:t>
      </w:r>
    </w:p>
    <w:p>
      <w:r>
        <w:rPr>
          <w:b/>
        </w:rPr>
        <w:t xml:space="preserve">22 </w:t>
      </w:r>
      <w:r>
        <w:t xml:space="preserve">For I delight</w:t>
      </w:r>
      <w:r>
        <w:rPr>
          <w:rStyle w:val="FootnoteReference"/>
        </w:rPr>
        <w:footnoteReference w:id="17466"/>
      </w:r>
      <w:r>
        <w:t xml:space="preserve"> in the law of God according to the inner human:</w:t>
      </w:r>
    </w:p>
    <w:p>
      <w:r>
        <w:rPr>
          <w:b/>
        </w:rPr>
        <w:t xml:space="preserve">23 </w:t>
      </w:r>
      <w:r>
        <w:t xml:space="preserve">But I see another</w:t>
      </w:r>
      <w:r>
        <w:rPr>
          <w:rStyle w:val="FootnoteReference"/>
        </w:rPr>
        <w:footnoteReference w:id="17467"/>
      </w:r>
      <w:r>
        <w:t xml:space="preserve"> law in my members, warring against the law of my mind, and making me captive to the law of sin which is in my members.</w:t>
      </w:r>
    </w:p>
    <w:p>
      <w:r>
        <w:rPr>
          <w:b/>
        </w:rPr>
        <w:t xml:space="preserve">24 </w:t>
      </w:r>
      <w:r>
        <w:t xml:space="preserve">O wretched</w:t>
      </w:r>
      <w:r>
        <w:rPr>
          <w:rStyle w:val="FootnoteReference"/>
        </w:rPr>
        <w:footnoteReference w:id="17468"/>
      </w:r>
      <w:r>
        <w:t xml:space="preserve"> human that I am! who shall rescue me from the body of this death?</w:t>
      </w:r>
    </w:p>
    <w:p>
      <w:r>
        <w:rPr>
          <w:b/>
        </w:rPr>
        <w:t xml:space="preserve">25 </w:t>
      </w:r>
      <w:r>
        <w:t xml:space="preserve">I thank God</w:t>
      </w:r>
      <w:r>
        <w:rPr>
          <w:rStyle w:val="FootnoteReference"/>
        </w:rPr>
        <w:footnoteReference w:id="17469"/>
      </w:r>
      <w:r>
        <w:t xml:space="preserve"> through Jesus Christ our Lord. So then with the mind I myself serve God's law; but with the flesh, sin's law.</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There is therefore now no condemnation to those who are in Christ Jesus, who do not walk according to flesh, but according to Spirit.</w:t>
      </w:r>
    </w:p>
    <w:p>
      <w:r>
        <w:rPr>
          <w:b/>
        </w:rPr>
        <w:t xml:space="preserve">2 </w:t>
      </w:r>
      <w:r>
        <w:t xml:space="preserve">For the law of the Spirit</w:t>
      </w:r>
      <w:r>
        <w:rPr>
          <w:rStyle w:val="FootnoteReference"/>
        </w:rPr>
        <w:footnoteReference w:id="17470"/>
      </w:r>
      <w:r>
        <w:t xml:space="preserve"> of life in Christ Jesus has made me free from the law of sin and death.</w:t>
      </w:r>
    </w:p>
    <w:p>
      <w:r>
        <w:rPr>
          <w:b/>
        </w:rPr>
        <w:t xml:space="preserve">3 </w:t>
      </w:r>
      <w:r>
        <w:t xml:space="preserve">For what</w:t>
      </w:r>
      <w:r>
        <w:rPr>
          <w:rStyle w:val="FootnoteReference"/>
        </w:rPr>
        <w:footnoteReference w:id="17471"/>
      </w:r>
      <w:r>
        <w:t xml:space="preserve"> the law could not do, in that it was weak through the flesh, God sending his own Son in the likeness of sinful flesh, and for sin, condemned sin in the flesh:</w:t>
      </w:r>
    </w:p>
    <w:p>
      <w:r>
        <w:rPr>
          <w:b/>
        </w:rPr>
        <w:t xml:space="preserve">4 </w:t>
      </w:r>
      <w:r>
        <w:t xml:space="preserve">That the righteous requirement of the law might be fulfilled in us, who do not walk according to flesh, but according to Spirit.</w:t>
      </w:r>
    </w:p>
    <w:p>
      <w:r>
        <w:rPr>
          <w:b/>
        </w:rPr>
        <w:t xml:space="preserve">5 </w:t>
      </w:r>
      <w:r>
        <w:t xml:space="preserve">For those who are according to flesh set their minds on the things of the flesh; but those according to Spirit, the things of the Spirit</w:t>
      </w:r>
      <w:r>
        <w:rPr>
          <w:rStyle w:val="FootnoteReference"/>
        </w:rPr>
        <w:footnoteReference w:id="17472"/>
      </w:r>
      <w:r>
        <w:t xml:space="preserve">.</w:t>
      </w:r>
    </w:p>
    <w:p>
      <w:r>
        <w:rPr>
          <w:b/>
        </w:rPr>
        <w:t xml:space="preserve">6 </w:t>
      </w:r>
      <w:r>
        <w:t xml:space="preserve">For the mind of the flesh is death; but the mind of the Spirit is life and peace.</w:t>
      </w:r>
    </w:p>
    <w:p>
      <w:r>
        <w:rPr>
          <w:b/>
        </w:rPr>
        <w:t xml:space="preserve">7 </w:t>
      </w:r>
      <w:r>
        <w:t xml:space="preserve">Because the mind of the flesh is enmity toward God: for it</w:t>
      </w:r>
      <w:r>
        <w:rPr>
          <w:rStyle w:val="FootnoteReference"/>
        </w:rPr>
        <w:footnoteReference w:id="17473"/>
      </w:r>
      <w:r>
        <w:t xml:space="preserve"> is not subject to the law of God, nor indeed can it be.</w:t>
      </w:r>
    </w:p>
    <w:p>
      <w:r>
        <w:rPr>
          <w:b/>
        </w:rPr>
        <w:t xml:space="preserve">8 </w:t>
      </w:r>
      <w:r>
        <w:t xml:space="preserve">And those who are in flesh cannot please</w:t>
      </w:r>
      <w:r>
        <w:rPr>
          <w:rStyle w:val="FootnoteReference"/>
        </w:rPr>
        <w:footnoteReference w:id="17474"/>
      </w:r>
      <w:r>
        <w:t xml:space="preserve"> God.</w:t>
      </w:r>
    </w:p>
    <w:p>
      <w:r>
        <w:rPr>
          <w:b/>
        </w:rPr>
        <w:t xml:space="preserve">9 </w:t>
      </w:r>
      <w:r>
        <w:t xml:space="preserve">But you are not in flesh, but in Spirit, if indeed the Spirit</w:t>
      </w:r>
      <w:r>
        <w:rPr>
          <w:rStyle w:val="FootnoteReference"/>
        </w:rPr>
        <w:footnoteReference w:id="17475"/>
      </w:r>
      <w:r>
        <w:t xml:space="preserve"> of God dwells in you. But if anyone does not have the Spirit of Christ, this one is not his.</w:t>
      </w:r>
    </w:p>
    <w:p>
      <w:r>
        <w:rPr>
          <w:b/>
        </w:rPr>
        <w:t xml:space="preserve">10 </w:t>
      </w:r>
      <w:r>
        <w:t xml:space="preserve">And if Christ</w:t>
      </w:r>
      <w:r>
        <w:rPr>
          <w:rStyle w:val="FootnoteReference"/>
        </w:rPr>
        <w:footnoteReference w:id="17476"/>
      </w:r>
      <w:r>
        <w:t xml:space="preserve"> is in you, the body indeed is dead because of sin; but the Spirit is life because of righteousness.</w:t>
      </w:r>
    </w:p>
    <w:p>
      <w:r>
        <w:rPr>
          <w:b/>
        </w:rPr>
        <w:t xml:space="preserve">11 </w:t>
      </w:r>
      <w:r>
        <w:t xml:space="preserve">But if the Spirit of him who raised up Jesus from the dead dwell in you, the one who raised up Christ from the dead shall also quicken your mortal</w:t>
      </w:r>
      <w:r>
        <w:rPr>
          <w:rStyle w:val="FootnoteReference"/>
        </w:rPr>
        <w:footnoteReference w:id="17477"/>
      </w:r>
      <w:r>
        <w:t xml:space="preserve"> bodies by his Spirit that dwells in you.</w:t>
      </w:r>
    </w:p>
    <w:p>
      <w:r>
        <w:rPr>
          <w:b/>
        </w:rPr>
        <w:t xml:space="preserve">12 </w:t>
      </w:r>
      <w:r>
        <w:t xml:space="preserve">Therefore then, brothers, we are</w:t>
      </w:r>
      <w:r>
        <w:rPr>
          <w:rStyle w:val="FootnoteReference"/>
        </w:rPr>
        <w:footnoteReference w:id="17478"/>
      </w:r>
      <w:r>
        <w:t xml:space="preserve"> debtors, not to the flesh, to live according to flesh.</w:t>
      </w:r>
    </w:p>
    <w:p>
      <w:r>
        <w:rPr>
          <w:b/>
        </w:rPr>
        <w:t xml:space="preserve">13 </w:t>
      </w:r>
      <w:r>
        <w:t xml:space="preserve">For if you live according to flesh, you are about to die: but if</w:t>
      </w:r>
      <w:r>
        <w:rPr>
          <w:rStyle w:val="FootnoteReference"/>
        </w:rPr>
        <w:footnoteReference w:id="17479"/>
      </w:r>
      <w:r>
        <w:t xml:space="preserve"> by Spirit you put to death the deeds of the body, you shall live.</w:t>
      </w:r>
    </w:p>
    <w:p>
      <w:r>
        <w:rPr>
          <w:b/>
        </w:rPr>
        <w:t xml:space="preserve">14 </w:t>
      </w:r>
      <w:r>
        <w:t xml:space="preserve">For as many as are led by the Spirit of God, these are sons of God.</w:t>
      </w:r>
    </w:p>
    <w:p>
      <w:r>
        <w:rPr>
          <w:b/>
        </w:rPr>
        <w:t xml:space="preserve">15 </w:t>
      </w:r>
      <w:r>
        <w:t xml:space="preserve">For you did not receive a spirit of slavery again to fear; but you received the Spirit</w:t>
      </w:r>
      <w:r>
        <w:rPr>
          <w:rStyle w:val="FootnoteReference"/>
        </w:rPr>
        <w:footnoteReference w:id="17480"/>
      </w:r>
      <w:r>
        <w:t xml:space="preserve"> of adoption as sons, in whom we cry, Abba, Father.</w:t>
      </w:r>
    </w:p>
    <w:p>
      <w:r>
        <w:rPr>
          <w:b/>
        </w:rPr>
        <w:t xml:space="preserve">16 </w:t>
      </w:r>
      <w:r>
        <w:t xml:space="preserve">The Spirit</w:t>
      </w:r>
      <w:r>
        <w:rPr>
          <w:rStyle w:val="FootnoteReference"/>
        </w:rPr>
        <w:footnoteReference w:id="17481"/>
      </w:r>
      <w:r>
        <w:t xml:space="preserve"> himself bears witness with our spirit, that we are children of God:</w:t>
      </w:r>
    </w:p>
    <w:p>
      <w:r>
        <w:rPr>
          <w:b/>
        </w:rPr>
        <w:t xml:space="preserve">17 </w:t>
      </w:r>
      <w:r>
        <w:t xml:space="preserve">And if children</w:t>
      </w:r>
      <w:r>
        <w:rPr>
          <w:rStyle w:val="FootnoteReference"/>
        </w:rPr>
        <w:footnoteReference w:id="17482"/>
      </w:r>
      <w:r>
        <w:t xml:space="preserve">, also heirs; heirs indeed of God, and co-heirs of Christ; if indeed we suffer with him, that we may also be glorified together.</w:t>
      </w:r>
    </w:p>
    <w:p>
      <w:r>
        <w:rPr>
          <w:b/>
        </w:rPr>
        <w:t xml:space="preserve">18 </w:t>
      </w:r>
      <w:r>
        <w:t xml:space="preserve">For I reckon</w:t>
      </w:r>
      <w:r>
        <w:rPr>
          <w:rStyle w:val="FootnoteReference"/>
        </w:rPr>
        <w:footnoteReference w:id="17483"/>
      </w:r>
      <w:r>
        <w:t xml:space="preserve"> that the sufferings of the present time are not worthy compared with the coming glory to be revealed to us.</w:t>
      </w:r>
    </w:p>
    <w:p>
      <w:r>
        <w:rPr>
          <w:b/>
        </w:rPr>
        <w:t xml:space="preserve">19 </w:t>
      </w:r>
      <w:r>
        <w:t xml:space="preserve">For the eager expectation</w:t>
      </w:r>
      <w:r>
        <w:rPr>
          <w:rStyle w:val="FootnoteReference"/>
        </w:rPr>
        <w:footnoteReference w:id="17484"/>
      </w:r>
      <w:r>
        <w:t xml:space="preserve"> of the creation waits for the revelation of the sons of God.</w:t>
      </w:r>
    </w:p>
    <w:p>
      <w:r>
        <w:rPr>
          <w:b/>
        </w:rPr>
        <w:t xml:space="preserve">20 </w:t>
      </w:r>
      <w:r>
        <w:t xml:space="preserve">For the creation was subjected to vanity, not willingly, but because of the one who subjected it, upon hope,</w:t>
      </w:r>
    </w:p>
    <w:p>
      <w:r>
        <w:rPr>
          <w:b/>
        </w:rPr>
        <w:t xml:space="preserve">21 </w:t>
      </w:r>
      <w:r>
        <w:t xml:space="preserve">Because the creation itself also shall be freed from the slavery of corruption into the freedom of the glory of the children of God.</w:t>
      </w:r>
    </w:p>
    <w:p>
      <w:r>
        <w:rPr>
          <w:b/>
        </w:rPr>
        <w:t xml:space="preserve">22 </w:t>
      </w:r>
      <w:r>
        <w:t xml:space="preserve">For we know that the whole creation groans together and travails together until now.</w:t>
      </w:r>
    </w:p>
    <w:p>
      <w:r>
        <w:rPr>
          <w:b/>
        </w:rPr>
        <w:t xml:space="preserve">23 </w:t>
      </w:r>
      <w:r>
        <w:t xml:space="preserve">And not only this, but we ourselves also, having the firstfruits of the Spirit, even we</w:t>
      </w:r>
      <w:r>
        <w:rPr>
          <w:rStyle w:val="FootnoteReference"/>
        </w:rPr>
        <w:footnoteReference w:id="17485"/>
      </w:r>
      <w:r>
        <w:t xml:space="preserve"> ourselves groan within ourselves, eagerly waiting for adoption as sons, the redemption of our body.</w:t>
      </w:r>
    </w:p>
    <w:p>
      <w:r>
        <w:rPr>
          <w:b/>
        </w:rPr>
        <w:t xml:space="preserve">24 </w:t>
      </w:r>
      <w:r>
        <w:t xml:space="preserve">For in hope we were saved</w:t>
      </w:r>
      <w:r>
        <w:rPr>
          <w:rStyle w:val="FootnoteReference"/>
        </w:rPr>
        <w:footnoteReference w:id="17486"/>
      </w:r>
      <w:r>
        <w:t xml:space="preserve">: but hope that is seen is not hope: for what anyone sees, why does he also hope for it?</w:t>
      </w:r>
    </w:p>
    <w:p>
      <w:r>
        <w:rPr>
          <w:b/>
        </w:rPr>
        <w:t xml:space="preserve">25 </w:t>
      </w:r>
      <w:r>
        <w:t xml:space="preserve">But if we hope for what we do not see, through endurance we eagerly wait for it.</w:t>
      </w:r>
    </w:p>
    <w:p>
      <w:r>
        <w:rPr>
          <w:b/>
        </w:rPr>
        <w:t xml:space="preserve">26 </w:t>
      </w:r>
      <w:r>
        <w:t xml:space="preserve">Likewise also the Spirit helps our weaknesses: for we</w:t>
      </w:r>
      <w:r>
        <w:rPr>
          <w:rStyle w:val="FootnoteReference"/>
        </w:rPr>
        <w:footnoteReference w:id="17487"/>
      </w:r>
      <w:r>
        <w:t xml:space="preserve"> do not know what we should pray as we ought: but the Spirit himself intercedes for us with unspoken groanings.</w:t>
      </w:r>
    </w:p>
    <w:p>
      <w:r>
        <w:rPr>
          <w:b/>
        </w:rPr>
        <w:t xml:space="preserve">27 </w:t>
      </w:r>
      <w:r>
        <w:t xml:space="preserve">And the one who searches the hearts knows what is the mind of the Spirit, because he makes intercession for the holy ones according to the will of God.</w:t>
      </w:r>
    </w:p>
    <w:p>
      <w:r>
        <w:rPr>
          <w:b/>
        </w:rPr>
        <w:t xml:space="preserve">28 </w:t>
      </w:r>
      <w:r>
        <w:t xml:space="preserve">And we know that to those who love God all things work together for good, to those who are called according to purpose.</w:t>
      </w:r>
    </w:p>
    <w:p>
      <w:r>
        <w:rPr>
          <w:b/>
        </w:rPr>
        <w:t xml:space="preserve">29 </w:t>
      </w:r>
      <w:r>
        <w:t xml:space="preserve">Because whom he foreknew, he also</w:t>
      </w:r>
      <w:r>
        <w:rPr>
          <w:rStyle w:val="FootnoteReference"/>
        </w:rPr>
        <w:footnoteReference w:id="17488"/>
      </w:r>
      <w:r>
        <w:t xml:space="preserve"> predestined to be conformed to the image of his Son, so that he might be firstborn among many brothers.</w:t>
      </w:r>
    </w:p>
    <w:p>
      <w:r>
        <w:rPr>
          <w:b/>
        </w:rPr>
        <w:t xml:space="preserve">30 </w:t>
      </w:r>
      <w:r>
        <w:t xml:space="preserve">And whom he predestined, these he also called: and whom he called</w:t>
      </w:r>
      <w:r>
        <w:rPr>
          <w:rStyle w:val="FootnoteReference"/>
        </w:rPr>
        <w:footnoteReference w:id="17489"/>
      </w:r>
      <w:r>
        <w:t xml:space="preserve">, these he also justified: and whom he justified, these he also glorified.</w:t>
      </w:r>
    </w:p>
    <w:p>
      <w:r>
        <w:rPr>
          <w:b/>
        </w:rPr>
        <w:t xml:space="preserve">31 </w:t>
      </w:r>
      <w:r>
        <w:t xml:space="preserve">What then shall we say to these things? If God is for us, who is against us?</w:t>
      </w:r>
    </w:p>
    <w:p>
      <w:r>
        <w:rPr>
          <w:b/>
        </w:rPr>
        <w:t xml:space="preserve">32 </w:t>
      </w:r>
      <w:r>
        <w:t xml:space="preserve">He who did not spare his own Son, but delivered</w:t>
      </w:r>
      <w:r>
        <w:rPr>
          <w:rStyle w:val="FootnoteReference"/>
        </w:rPr>
        <w:footnoteReference w:id="17490"/>
      </w:r>
      <w:r>
        <w:t xml:space="preserve"> him up for us all, how shall he not also with him freely give us all things?</w:t>
      </w:r>
    </w:p>
    <w:p>
      <w:r>
        <w:rPr>
          <w:b/>
        </w:rPr>
        <w:t xml:space="preserve">33 </w:t>
      </w:r>
      <w:r>
        <w:t xml:space="preserve">Who shall bring a charge against God's elect? God is the one justifying.</w:t>
      </w:r>
    </w:p>
    <w:p>
      <w:r>
        <w:rPr>
          <w:b/>
        </w:rPr>
        <w:t xml:space="preserve">34 </w:t>
      </w:r>
      <w:r>
        <w:t xml:space="preserve">Who is the one condemning? Christ is the one who died, rather also was raised, who also</w:t>
      </w:r>
      <w:r>
        <w:rPr>
          <w:rStyle w:val="FootnoteReference"/>
        </w:rPr>
        <w:footnoteReference w:id="17491"/>
      </w:r>
      <w:r>
        <w:t xml:space="preserve"> is at the right hand of God, who also intercedes for us.</w:t>
      </w:r>
    </w:p>
    <w:p>
      <w:r>
        <w:rPr>
          <w:b/>
        </w:rPr>
        <w:t xml:space="preserve">35 </w:t>
      </w:r>
      <w:r>
        <w:t xml:space="preserve">Who shall separate</w:t>
      </w:r>
      <w:r>
        <w:rPr>
          <w:rStyle w:val="FootnoteReference"/>
        </w:rPr>
        <w:footnoteReference w:id="17492"/>
      </w:r>
      <w:r>
        <w:t xml:space="preserve"> us from the love of Christ? tribulation, or distress, or persecution, or famine, or nakedness, or danger, or sword?</w:t>
      </w:r>
    </w:p>
    <w:p>
      <w:r>
        <w:rPr>
          <w:b/>
        </w:rPr>
        <w:t xml:space="preserve">36 </w:t>
      </w:r>
      <w:r>
        <w:t xml:space="preserve">As it is written, For your sake we are put to death all the day long; we were reckoned as sheep</w:t>
      </w:r>
      <w:r>
        <w:rPr>
          <w:rStyle w:val="FootnoteReference"/>
        </w:rPr>
        <w:footnoteReference w:id="17493"/>
      </w:r>
      <w:r>
        <w:t xml:space="preserve"> of slaughter.</w:t>
      </w:r>
    </w:p>
    <w:p>
      <w:r>
        <w:rPr>
          <w:b/>
        </w:rPr>
        <w:t xml:space="preserve">37 </w:t>
      </w:r>
      <w:r>
        <w:t xml:space="preserve">But in all these things we more than conquer through him who loved us.</w:t>
      </w:r>
    </w:p>
    <w:p>
      <w:r>
        <w:rPr>
          <w:b/>
        </w:rPr>
        <w:t xml:space="preserve">38 </w:t>
      </w:r>
      <w:r>
        <w:t xml:space="preserve">For I</w:t>
      </w:r>
      <w:r>
        <w:rPr>
          <w:rStyle w:val="FootnoteReference"/>
        </w:rPr>
        <w:footnoteReference w:id="17494"/>
      </w:r>
      <w:r>
        <w:t xml:space="preserve"> am persuaded, that neither death, nor life, nor angels, nor rulers, nor powers, nor things present, nor things to come,</w:t>
      </w:r>
    </w:p>
    <w:p>
      <w:r>
        <w:rPr>
          <w:b/>
        </w:rPr>
        <w:t xml:space="preserve">39 </w:t>
      </w:r>
      <w:r>
        <w:t xml:space="preserve">Nor height</w:t>
      </w:r>
      <w:r>
        <w:rPr>
          <w:rStyle w:val="FootnoteReference"/>
        </w:rPr>
        <w:footnoteReference w:id="17495"/>
      </w:r>
      <w:r>
        <w:t xml:space="preserve">, nor depth, nor any other creature, shall be able to separate us from the love of God, which is in Christ Jesus our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I speak truth in Christ, I do not lie, my conscience</w:t>
      </w:r>
      <w:r>
        <w:rPr>
          <w:rStyle w:val="FootnoteReference"/>
        </w:rPr>
        <w:footnoteReference w:id="17496"/>
      </w:r>
      <w:r>
        <w:t xml:space="preserve"> bearing witness with me in the Holy Spirit,</w:t>
      </w:r>
    </w:p>
    <w:p>
      <w:r>
        <w:rPr>
          <w:b/>
        </w:rPr>
        <w:t xml:space="preserve">2 </w:t>
      </w:r>
      <w:r>
        <w:t xml:space="preserve">That I have great sorrow and unceasing anguish in my heart.</w:t>
      </w:r>
    </w:p>
    <w:p>
      <w:r>
        <w:rPr>
          <w:b/>
        </w:rPr>
        <w:t xml:space="preserve">3 </w:t>
      </w:r>
      <w:r>
        <w:t xml:space="preserve">For I could</w:t>
      </w:r>
      <w:r>
        <w:rPr>
          <w:rStyle w:val="FootnoteReference"/>
        </w:rPr>
        <w:footnoteReference w:id="17497"/>
      </w:r>
      <w:r>
        <w:t xml:space="preserve"> wish that I myself were accursed away from Christ for my brothers, my kinsmen according to flesh:</w:t>
      </w:r>
    </w:p>
    <w:p>
      <w:r>
        <w:rPr>
          <w:b/>
        </w:rPr>
        <w:t xml:space="preserve">4 </w:t>
      </w:r>
      <w:r>
        <w:t xml:space="preserve">Who are Israelites</w:t>
      </w:r>
      <w:r>
        <w:rPr>
          <w:rStyle w:val="FootnoteReference"/>
        </w:rPr>
        <w:footnoteReference w:id="17498"/>
      </w:r>
      <w:r>
        <w:t xml:space="preserve">; to whom belong the adoption as sons, and the glory, and the covenants, and the lawgiving, and the service, and the promises;</w:t>
      </w:r>
      <w:r>
        <w:rPr>
          <w:rStyle w:val="FootnoteReference"/>
        </w:rPr>
        <w:footnoteReference w:id="17499"/>
      </w:r>
    </w:p>
    <w:p>
      <w:r>
        <w:rPr>
          <w:b/>
        </w:rPr>
        <w:t xml:space="preserve">5 </w:t>
      </w:r>
      <w:r>
        <w:t xml:space="preserve">Whose are the fathers</w:t>
      </w:r>
      <w:r>
        <w:rPr>
          <w:rStyle w:val="FootnoteReference"/>
        </w:rPr>
        <w:footnoteReference w:id="17500"/>
      </w:r>
      <w:r>
        <w:t xml:space="preserve">, and of whom as concerning the flesh Christ came, who is over all, God blessed forever. Amen.</w:t>
      </w:r>
    </w:p>
    <w:p>
      <w:r>
        <w:rPr>
          <w:b/>
        </w:rPr>
        <w:t xml:space="preserve">6 </w:t>
      </w:r>
      <w:r>
        <w:t xml:space="preserve">But it is not as though</w:t>
      </w:r>
      <w:r>
        <w:rPr>
          <w:rStyle w:val="FootnoteReference"/>
        </w:rPr>
        <w:footnoteReference w:id="17501"/>
      </w:r>
      <w:r>
        <w:t xml:space="preserve"> the word of God has fallen. For not all those from Israel are Israel:</w:t>
      </w:r>
    </w:p>
    <w:p>
      <w:r>
        <w:rPr>
          <w:b/>
        </w:rPr>
        <w:t xml:space="preserve">7 </w:t>
      </w:r>
      <w:r>
        <w:t xml:space="preserve">Nor because they are Abraham's seed are they all children: but, In Isaac</w:t>
      </w:r>
      <w:r>
        <w:rPr>
          <w:rStyle w:val="FootnoteReference"/>
        </w:rPr>
        <w:footnoteReference w:id="17502"/>
      </w:r>
      <w:r>
        <w:t xml:space="preserve"> your seed shall be called.</w:t>
      </w:r>
    </w:p>
    <w:p>
      <w:r>
        <w:rPr>
          <w:b/>
        </w:rPr>
        <w:t xml:space="preserve">8 </w:t>
      </w:r>
      <w:r>
        <w:t xml:space="preserve">That is, the children of the flesh, these are not children of God: but the children of the promise are reckoned as seed.</w:t>
      </w:r>
    </w:p>
    <w:p>
      <w:r>
        <w:rPr>
          <w:b/>
        </w:rPr>
        <w:t xml:space="preserve">9 </w:t>
      </w:r>
      <w:r>
        <w:t xml:space="preserve">For this is the word of promise, At this time</w:t>
      </w:r>
      <w:r>
        <w:rPr>
          <w:rStyle w:val="FootnoteReference"/>
        </w:rPr>
        <w:footnoteReference w:id="17503"/>
      </w:r>
      <w:r>
        <w:t xml:space="preserve"> I will come, and Sarah shall have a son.</w:t>
      </w:r>
    </w:p>
    <w:p>
      <w:r>
        <w:rPr>
          <w:b/>
        </w:rPr>
        <w:t xml:space="preserve">10 </w:t>
      </w:r>
      <w:r>
        <w:t xml:space="preserve">And not only</w:t>
      </w:r>
      <w:r>
        <w:rPr>
          <w:rStyle w:val="FootnoteReference"/>
        </w:rPr>
        <w:footnoteReference w:id="17504"/>
      </w:r>
      <w:r>
        <w:t xml:space="preserve"> this; but Rebekah</w:t>
      </w:r>
      <w:r>
        <w:rPr>
          <w:rStyle w:val="FootnoteReference"/>
        </w:rPr>
        <w:footnoteReference w:id="17505"/>
      </w:r>
      <w:r>
        <w:t xml:space="preserve"> also, having conceived by one, our father Isaac;</w:t>
      </w:r>
    </w:p>
    <w:p>
      <w:r>
        <w:rPr>
          <w:b/>
        </w:rPr>
        <w:t xml:space="preserve">11 </w:t>
      </w:r>
      <w:r>
        <w:t xml:space="preserve">For the children</w:t>
      </w:r>
      <w:r>
        <w:rPr>
          <w:rStyle w:val="FootnoteReference"/>
        </w:rPr>
        <w:footnoteReference w:id="17506"/>
      </w:r>
      <w:r>
        <w:t xml:space="preserve"> not yet having been born, nor having done anything good or evil, that the purpose of God according to election might remain, not from works, but from the one who calls,</w:t>
      </w:r>
    </w:p>
    <w:p>
      <w:r>
        <w:rPr>
          <w:b/>
        </w:rPr>
        <w:t xml:space="preserve">12 </w:t>
      </w:r>
      <w:r>
        <w:t xml:space="preserve">It was said to her, The greater shall serve the lesser.</w:t>
      </w:r>
    </w:p>
    <w:p>
      <w:r>
        <w:rPr>
          <w:b/>
        </w:rPr>
        <w:t xml:space="preserve">13 </w:t>
      </w:r>
      <w:r>
        <w:t xml:space="preserve">As it is written, Jacob</w:t>
      </w:r>
      <w:r>
        <w:rPr>
          <w:rStyle w:val="FootnoteReference"/>
        </w:rPr>
        <w:footnoteReference w:id="17507"/>
      </w:r>
      <w:r>
        <w:t xml:space="preserve"> I loved, but Esau</w:t>
      </w:r>
      <w:r>
        <w:rPr>
          <w:rStyle w:val="FootnoteReference"/>
        </w:rPr>
        <w:footnoteReference w:id="17508"/>
      </w:r>
      <w:r>
        <w:t xml:space="preserve"> I hated.</w:t>
      </w:r>
    </w:p>
    <w:p>
      <w:r>
        <w:rPr>
          <w:b/>
        </w:rPr>
        <w:t xml:space="preserve">14 </w:t>
      </w:r>
      <w:r>
        <w:t xml:space="preserve">What shall we say then? Is there unrighteousness</w:t>
      </w:r>
      <w:r>
        <w:rPr>
          <w:rStyle w:val="FootnoteReference"/>
        </w:rPr>
        <w:footnoteReference w:id="17509"/>
      </w:r>
      <w:r>
        <w:t xml:space="preserve"> with God? May it not be.</w:t>
      </w:r>
    </w:p>
    <w:p>
      <w:r>
        <w:rPr>
          <w:b/>
        </w:rPr>
        <w:t xml:space="preserve">15 </w:t>
      </w:r>
      <w:r>
        <w:t xml:space="preserve">For he says to Moses, I will have</w:t>
      </w:r>
      <w:r>
        <w:rPr>
          <w:rStyle w:val="FootnoteReference"/>
        </w:rPr>
        <w:footnoteReference w:id="17510"/>
      </w:r>
      <w:r>
        <w:t xml:space="preserve"> mercy on whom I have mercy, and I will have compassion on whom I have compassion.</w:t>
      </w:r>
    </w:p>
    <w:p>
      <w:r>
        <w:rPr>
          <w:b/>
        </w:rPr>
        <w:t xml:space="preserve">16 </w:t>
      </w:r>
      <w:r>
        <w:t xml:space="preserve">So then it is not of the one willing, nor of the one running, but of God showing mercy.</w:t>
      </w:r>
    </w:p>
    <w:p>
      <w:r>
        <w:rPr>
          <w:b/>
        </w:rPr>
        <w:t xml:space="preserve">17 </w:t>
      </w:r>
      <w:r>
        <w:t xml:space="preserve">For the scripture says to Pharaoh, For this very purpose I raised</w:t>
      </w:r>
      <w:r>
        <w:rPr>
          <w:rStyle w:val="FootnoteReference"/>
        </w:rPr>
        <w:footnoteReference w:id="17511"/>
      </w:r>
      <w:r>
        <w:t xml:space="preserve"> you up, that I might show my power in you, and that my name might be proclaimed in all the earth.</w:t>
      </w:r>
    </w:p>
    <w:p>
      <w:r>
        <w:rPr>
          <w:b/>
        </w:rPr>
        <w:t xml:space="preserve">18 </w:t>
      </w:r>
      <w:r>
        <w:t xml:space="preserve">Therefore then he has mercy on whom he wills, and whom he wills he hardens.</w:t>
      </w:r>
    </w:p>
    <w:p>
      <w:r>
        <w:rPr>
          <w:b/>
        </w:rPr>
        <w:t xml:space="preserve">19 </w:t>
      </w:r>
      <w:r>
        <w:t xml:space="preserve">You will say then to me, Why does he still find fault? For who has resisted his will?</w:t>
      </w:r>
    </w:p>
    <w:p>
      <w:r>
        <w:rPr>
          <w:b/>
        </w:rPr>
        <w:t xml:space="preserve">20 </w:t>
      </w:r>
      <w:r>
        <w:t xml:space="preserve">On the contrary, O human, who are you answering back to God? Shall the thing formed say to the one who formed it, Why did you make me thus?</w:t>
      </w:r>
    </w:p>
    <w:p>
      <w:r>
        <w:rPr>
          <w:b/>
        </w:rPr>
        <w:t xml:space="preserve">21 </w:t>
      </w:r>
      <w:r>
        <w:t xml:space="preserve">Or does the potter</w:t>
      </w:r>
      <w:r>
        <w:rPr>
          <w:rStyle w:val="FootnoteReference"/>
        </w:rPr>
        <w:footnoteReference w:id="17512"/>
      </w:r>
      <w:r>
        <w:t xml:space="preserve"> not have authority over the clay, from the same lump to make one vessel for honor, and another for dishonor?</w:t>
      </w:r>
    </w:p>
    <w:p>
      <w:r>
        <w:rPr>
          <w:b/>
        </w:rPr>
        <w:t xml:space="preserve">22 </w:t>
      </w:r>
      <w:r>
        <w:t xml:space="preserve">But if God, willing</w:t>
      </w:r>
      <w:r>
        <w:rPr>
          <w:rStyle w:val="FootnoteReference"/>
        </w:rPr>
        <w:footnoteReference w:id="17513"/>
      </w:r>
      <w:r>
        <w:t xml:space="preserve"> to show wrath and to make his power known, endured with much longsuffering vessels of wrath fitted for destruction:</w:t>
      </w:r>
    </w:p>
    <w:p>
      <w:r>
        <w:rPr>
          <w:b/>
        </w:rPr>
        <w:t xml:space="preserve">23 </w:t>
      </w:r>
      <w:r>
        <w:t xml:space="preserve">And that he might</w:t>
      </w:r>
      <w:r>
        <w:rPr>
          <w:rStyle w:val="FootnoteReference"/>
        </w:rPr>
        <w:footnoteReference w:id="17514"/>
      </w:r>
      <w:r>
        <w:t xml:space="preserve"> make known the riches of his glory upon vessels of mercy, which he prepared beforehand for glory,</w:t>
      </w:r>
    </w:p>
    <w:p>
      <w:r>
        <w:rPr>
          <w:b/>
        </w:rPr>
        <w:t xml:space="preserve">24 </w:t>
      </w:r>
      <w:r>
        <w:t xml:space="preserve">Even us, whom he has called, not of the Jews</w:t>
      </w:r>
      <w:r>
        <w:rPr>
          <w:rStyle w:val="FootnoteReference"/>
        </w:rPr>
        <w:footnoteReference w:id="17515"/>
      </w:r>
      <w:r>
        <w:t xml:space="preserve"> only, but also of the nations?</w:t>
      </w:r>
    </w:p>
    <w:p>
      <w:r>
        <w:rPr>
          <w:b/>
        </w:rPr>
        <w:t xml:space="preserve">25 </w:t>
      </w:r>
      <w:r>
        <w:t xml:space="preserve">As he says also in Hosea</w:t>
      </w:r>
      <w:r>
        <w:rPr>
          <w:rStyle w:val="FootnoteReference"/>
        </w:rPr>
        <w:footnoteReference w:id="17516"/>
      </w:r>
      <w:r>
        <w:t xml:space="preserve">, I will call</w:t>
      </w:r>
      <w:r>
        <w:rPr>
          <w:rStyle w:val="FootnoteReference"/>
        </w:rPr>
        <w:footnoteReference w:id="17517"/>
      </w:r>
      <w:r>
        <w:t xml:space="preserve"> the one not my people, My people; and the one not beloved, Beloved.</w:t>
      </w:r>
    </w:p>
    <w:p>
      <w:r>
        <w:rPr>
          <w:b/>
        </w:rPr>
        <w:t xml:space="preserve">26 </w:t>
      </w:r>
      <w:r>
        <w:t xml:space="preserve">And it</w:t>
      </w:r>
      <w:r>
        <w:rPr>
          <w:rStyle w:val="FootnoteReference"/>
        </w:rPr>
        <w:footnoteReference w:id="17518"/>
      </w:r>
      <w:r>
        <w:t xml:space="preserve"> shall be, in the place where it was said to them, You are not my people; there they shall be called sons of the living God.</w:t>
      </w:r>
    </w:p>
    <w:p>
      <w:r>
        <w:rPr>
          <w:b/>
        </w:rPr>
        <w:t xml:space="preserve">27 </w:t>
      </w:r>
      <w:r>
        <w:t xml:space="preserve">Isaiah also cries concerning Israel, Though</w:t>
      </w:r>
      <w:r>
        <w:rPr>
          <w:rStyle w:val="FootnoteReference"/>
        </w:rPr>
        <w:footnoteReference w:id="17519"/>
      </w:r>
      <w:r>
        <w:t xml:space="preserve"> the number of the sons of Israel be as the sand of the sea, the remnant shall be saved:</w:t>
      </w:r>
    </w:p>
    <w:p>
      <w:r>
        <w:rPr>
          <w:b/>
        </w:rPr>
        <w:t xml:space="preserve">28 </w:t>
      </w:r>
      <w:r>
        <w:t xml:space="preserve">For the Lord will complete and cut</w:t>
      </w:r>
      <w:r>
        <w:rPr>
          <w:rStyle w:val="FootnoteReference"/>
        </w:rPr>
        <w:footnoteReference w:id="17520"/>
      </w:r>
      <w:r>
        <w:t xml:space="preserve"> short the matter in righteousness; because the Lord will make a matter cut short upon the earth.</w:t>
      </w:r>
    </w:p>
    <w:p>
      <w:r>
        <w:rPr>
          <w:b/>
        </w:rPr>
        <w:t xml:space="preserve">29 </w:t>
      </w:r>
      <w:r>
        <w:t xml:space="preserve">And as Isaiah said before, Unless the Lord of Hosts had left us seed, we would have become as Sodom</w:t>
      </w:r>
      <w:r>
        <w:rPr>
          <w:rStyle w:val="FootnoteReference"/>
        </w:rPr>
        <w:footnoteReference w:id="17521"/>
      </w:r>
      <w:r>
        <w:t xml:space="preserve">, and would have been made like Gomorrah</w:t>
      </w:r>
      <w:r>
        <w:rPr>
          <w:rStyle w:val="FootnoteReference"/>
        </w:rPr>
        <w:footnoteReference w:id="17522"/>
      </w:r>
      <w:r>
        <w:t xml:space="preserve">.</w:t>
      </w:r>
      <w:r>
        <w:rPr>
          <w:rStyle w:val="FootnoteReference"/>
        </w:rPr>
        <w:footnoteReference w:id="17523"/>
      </w:r>
    </w:p>
    <w:p>
      <w:r>
        <w:rPr>
          <w:b/>
        </w:rPr>
        <w:t xml:space="preserve">30 </w:t>
      </w:r>
      <w:r>
        <w:t xml:space="preserve">What shall we say then? That the nations, which followed</w:t>
      </w:r>
      <w:r>
        <w:rPr>
          <w:rStyle w:val="FootnoteReference"/>
        </w:rPr>
        <w:footnoteReference w:id="17524"/>
      </w:r>
      <w:r>
        <w:t xml:space="preserve"> not after righteousness, have attained to righteousness, even the righteousness which is of faith.</w:t>
      </w:r>
    </w:p>
    <w:p>
      <w:r>
        <w:rPr>
          <w:b/>
        </w:rPr>
        <w:t xml:space="preserve">31 </w:t>
      </w:r>
      <w:r>
        <w:t xml:space="preserve">But Israel, which followed</w:t>
      </w:r>
      <w:r>
        <w:rPr>
          <w:rStyle w:val="FootnoteReference"/>
        </w:rPr>
        <w:footnoteReference w:id="17525"/>
      </w:r>
      <w:r>
        <w:t xml:space="preserve"> after the law of righteousness, has not attained to the law of righteousness.</w:t>
      </w:r>
    </w:p>
    <w:p>
      <w:r>
        <w:rPr>
          <w:b/>
        </w:rPr>
        <w:t xml:space="preserve">32 </w:t>
      </w:r>
      <w:r>
        <w:t xml:space="preserve">Why? Because they sought it not from faith, but as from works of law. For they stumbled</w:t>
      </w:r>
      <w:r>
        <w:rPr>
          <w:rStyle w:val="FootnoteReference"/>
        </w:rPr>
        <w:footnoteReference w:id="17526"/>
      </w:r>
      <w:r>
        <w:t xml:space="preserve"> at the stone of stumbling;</w:t>
      </w:r>
    </w:p>
    <w:p>
      <w:r>
        <w:rPr>
          <w:b/>
        </w:rPr>
        <w:t xml:space="preserve">33 </w:t>
      </w:r>
      <w:r>
        <w:t xml:space="preserve">As it is written, Look, I lay in Zion</w:t>
      </w:r>
      <w:r>
        <w:rPr>
          <w:rStyle w:val="FootnoteReference"/>
        </w:rPr>
        <w:footnoteReference w:id="17527"/>
      </w:r>
      <w:r>
        <w:t xml:space="preserve"> a stumbling stone and rock of stumbling: and whoever believes on him shall not be ashamed</w:t>
      </w:r>
      <w:r>
        <w:rPr>
          <w:rStyle w:val="FootnoteReference"/>
        </w:rPr>
        <w:footnoteReference w:id="17528"/>
      </w:r>
      <w:r>
        <w:t xml:space="preser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Brothers, the good pleasure of my heart and my prayer to God for Israel is for salvation.</w:t>
      </w:r>
    </w:p>
    <w:p>
      <w:r>
        <w:rPr>
          <w:b/>
        </w:rPr>
        <w:t xml:space="preserve">2 </w:t>
      </w:r>
      <w:r>
        <w:t xml:space="preserve">For I bear them</w:t>
      </w:r>
      <w:r>
        <w:rPr>
          <w:rStyle w:val="FootnoteReference"/>
        </w:rPr>
        <w:footnoteReference w:id="17529"/>
      </w:r>
      <w:r>
        <w:t xml:space="preserve"> witness that they have zeal for God, but not according to knowledge.</w:t>
      </w:r>
    </w:p>
    <w:p>
      <w:r>
        <w:rPr>
          <w:b/>
        </w:rPr>
        <w:t xml:space="preserve">3 </w:t>
      </w:r>
      <w:r>
        <w:t xml:space="preserve">For being ignorant of the righteousness of God, and seeking to establish</w:t>
      </w:r>
      <w:r>
        <w:rPr>
          <w:rStyle w:val="FootnoteReference"/>
        </w:rPr>
        <w:footnoteReference w:id="17530"/>
      </w:r>
      <w:r>
        <w:t xml:space="preserve"> their own righteousness, they did not submit to the righteousness of God.</w:t>
      </w:r>
    </w:p>
    <w:p>
      <w:r>
        <w:rPr>
          <w:b/>
        </w:rPr>
        <w:t xml:space="preserve">4 </w:t>
      </w:r>
      <w:r>
        <w:t xml:space="preserve">For Christ</w:t>
      </w:r>
      <w:r>
        <w:rPr>
          <w:rStyle w:val="FootnoteReference"/>
        </w:rPr>
        <w:footnoteReference w:id="17531"/>
      </w:r>
      <w:r>
        <w:t xml:space="preserve"> is the end of the law for righteousness to every one that believes.</w:t>
      </w:r>
    </w:p>
    <w:p>
      <w:r>
        <w:rPr>
          <w:b/>
        </w:rPr>
        <w:t xml:space="preserve">5 </w:t>
      </w:r>
      <w:r>
        <w:t xml:space="preserve">For Moses writes of the righteousness which is from law, The human who does these things shall live in them.</w:t>
      </w:r>
    </w:p>
    <w:p>
      <w:r>
        <w:rPr>
          <w:b/>
        </w:rPr>
        <w:t xml:space="preserve">6 </w:t>
      </w:r>
      <w:r>
        <w:t xml:space="preserve">But the righteousness</w:t>
      </w:r>
      <w:r>
        <w:rPr>
          <w:rStyle w:val="FootnoteReference"/>
        </w:rPr>
        <w:footnoteReference w:id="17532"/>
      </w:r>
      <w:r>
        <w:t xml:space="preserve"> from faith speaks thus, Do not say in your heart, Who shall ascend into heaven? that is, to bring Christ down:</w:t>
      </w:r>
    </w:p>
    <w:p>
      <w:r>
        <w:rPr>
          <w:b/>
        </w:rPr>
        <w:t xml:space="preserve">7 </w:t>
      </w:r>
      <w:r>
        <w:t xml:space="preserve">Or, Who shall descend into the abyss? that is, to bring Christ up from the dead.</w:t>
      </w:r>
    </w:p>
    <w:p>
      <w:r>
        <w:rPr>
          <w:b/>
        </w:rPr>
        <w:t xml:space="preserve">8 </w:t>
      </w:r>
      <w:r>
        <w:t xml:space="preserve">But what does it say? The word</w:t>
      </w:r>
      <w:r>
        <w:rPr>
          <w:rStyle w:val="FootnoteReference"/>
        </w:rPr>
        <w:footnoteReference w:id="17533"/>
      </w:r>
      <w:r>
        <w:t xml:space="preserve"> is near you, in your mouth and in your heart: that is, the word of faith which we preach;</w:t>
      </w:r>
    </w:p>
    <w:p>
      <w:r>
        <w:rPr>
          <w:b/>
        </w:rPr>
        <w:t xml:space="preserve">9 </w:t>
      </w:r>
      <w:r>
        <w:t xml:space="preserve">That if</w:t>
      </w:r>
      <w:r>
        <w:rPr>
          <w:rStyle w:val="FootnoteReference"/>
        </w:rPr>
        <w:footnoteReference w:id="17534"/>
      </w:r>
      <w:r>
        <w:t xml:space="preserve"> you shall confess with your mouth the Lord Jesus, and shall believe in your heart that God has raised him from the dead, you shall be saved.</w:t>
      </w:r>
    </w:p>
    <w:p>
      <w:r>
        <w:rPr>
          <w:b/>
        </w:rPr>
        <w:t xml:space="preserve">10 </w:t>
      </w:r>
      <w:r>
        <w:t xml:space="preserve">For with</w:t>
      </w:r>
      <w:r>
        <w:rPr>
          <w:rStyle w:val="FootnoteReference"/>
        </w:rPr>
        <w:footnoteReference w:id="17535"/>
      </w:r>
      <w:r>
        <w:t xml:space="preserve"> the heart one believes to righteousness; and with the mouth one confesses to salvation.</w:t>
      </w:r>
    </w:p>
    <w:p>
      <w:r>
        <w:rPr>
          <w:b/>
        </w:rPr>
        <w:t xml:space="preserve">11 </w:t>
      </w:r>
      <w:r>
        <w:t xml:space="preserve">For the scripture says, Everyone who believes on him shall not be put to shame.</w:t>
      </w:r>
    </w:p>
    <w:p>
      <w:r>
        <w:rPr>
          <w:b/>
        </w:rPr>
        <w:t xml:space="preserve">12 </w:t>
      </w:r>
      <w:r>
        <w:t xml:space="preserve">For there is no</w:t>
      </w:r>
      <w:r>
        <w:rPr>
          <w:rStyle w:val="FootnoteReference"/>
        </w:rPr>
        <w:footnoteReference w:id="17536"/>
      </w:r>
      <w:r>
        <w:t xml:space="preserve"> distinction between Jew and Greek: for the same Lord of all is rich toward all who call upon him.</w:t>
      </w:r>
    </w:p>
    <w:p>
      <w:r>
        <w:rPr>
          <w:b/>
        </w:rPr>
        <w:t xml:space="preserve">13 </w:t>
      </w:r>
      <w:r>
        <w:t xml:space="preserve">For whoever shall call upon the name of the Lord shall be saved.</w:t>
      </w:r>
    </w:p>
    <w:p>
      <w:r>
        <w:rPr>
          <w:b/>
        </w:rPr>
        <w:t xml:space="preserve">14 </w:t>
      </w:r>
      <w:r>
        <w:t xml:space="preserve">How then shall they</w:t>
      </w:r>
      <w:r>
        <w:rPr>
          <w:rStyle w:val="FootnoteReference"/>
        </w:rPr>
        <w:footnoteReference w:id="17537"/>
      </w:r>
      <w:r>
        <w:t xml:space="preserve"> call upon him in whom they have not believed? and how shall they believe in him of whom they have not heard? and how shall they hear without one preaching?</w:t>
      </w:r>
    </w:p>
    <w:p>
      <w:r>
        <w:rPr>
          <w:b/>
        </w:rPr>
        <w:t xml:space="preserve">15 </w:t>
      </w:r>
      <w:r>
        <w:t xml:space="preserve">And how</w:t>
      </w:r>
      <w:r>
        <w:rPr>
          <w:rStyle w:val="FootnoteReference"/>
        </w:rPr>
        <w:footnoteReference w:id="17538"/>
      </w:r>
      <w:r>
        <w:t xml:space="preserve"> shall they preach, unless they are sent? as it is written, How beautiful are the feet of those who preach the good news of peace, and bring glad tidings of good things!</w:t>
      </w:r>
    </w:p>
    <w:p>
      <w:r>
        <w:rPr>
          <w:b/>
        </w:rPr>
        <w:t xml:space="preserve">16 </w:t>
      </w:r>
      <w:r>
        <w:t xml:space="preserve">But they</w:t>
      </w:r>
      <w:r>
        <w:rPr>
          <w:rStyle w:val="FootnoteReference"/>
        </w:rPr>
        <w:footnoteReference w:id="17539"/>
      </w:r>
      <w:r>
        <w:t xml:space="preserve"> have not all obeyed the good news. For Isaiah says, Lord, who has believed our report?</w:t>
      </w:r>
    </w:p>
    <w:p>
      <w:r>
        <w:rPr>
          <w:b/>
        </w:rPr>
        <w:t xml:space="preserve">17 </w:t>
      </w:r>
      <w:r>
        <w:t xml:space="preserve">So then faith</w:t>
      </w:r>
      <w:r>
        <w:rPr>
          <w:rStyle w:val="FootnoteReference"/>
        </w:rPr>
        <w:footnoteReference w:id="17540"/>
      </w:r>
      <w:r>
        <w:t xml:space="preserve"> comes from hearing, and hearing through the word of God.</w:t>
      </w:r>
    </w:p>
    <w:p>
      <w:r>
        <w:rPr>
          <w:b/>
        </w:rPr>
        <w:t xml:space="preserve">18 </w:t>
      </w:r>
      <w:r>
        <w:t xml:space="preserve">But I say, Did they not hear? Yes indeed, Their sound</w:t>
      </w:r>
      <w:r>
        <w:rPr>
          <w:rStyle w:val="FootnoteReference"/>
        </w:rPr>
        <w:footnoteReference w:id="17541"/>
      </w:r>
      <w:r>
        <w:t xml:space="preserve"> went out into all the earth, and their words to the ends of the inhabited world.</w:t>
      </w:r>
    </w:p>
    <w:p>
      <w:r>
        <w:rPr>
          <w:b/>
        </w:rPr>
        <w:t xml:space="preserve">19 </w:t>
      </w:r>
      <w:r>
        <w:t xml:space="preserve">But I say, Did Israel not know? First</w:t>
      </w:r>
      <w:r>
        <w:rPr>
          <w:rStyle w:val="FootnoteReference"/>
        </w:rPr>
        <w:footnoteReference w:id="17542"/>
      </w:r>
      <w:r>
        <w:t xml:space="preserve"> Moses says, I will provoke you to jealousy by those who are no people, and by a foolish nation I will anger you.</w:t>
      </w:r>
    </w:p>
    <w:p>
      <w:r>
        <w:rPr>
          <w:b/>
        </w:rPr>
        <w:t xml:space="preserve">20 </w:t>
      </w:r>
      <w:r>
        <w:t xml:space="preserve">But Isaiah is very bold</w:t>
      </w:r>
      <w:r>
        <w:rPr>
          <w:rStyle w:val="FootnoteReference"/>
        </w:rPr>
        <w:footnoteReference w:id="17543"/>
      </w:r>
      <w:r>
        <w:t xml:space="preserve">, and says, I was found by those not seeking me; I became manifest to those not asking for me.</w:t>
      </w:r>
    </w:p>
    <w:p>
      <w:r>
        <w:rPr>
          <w:b/>
        </w:rPr>
        <w:t xml:space="preserve">21 </w:t>
      </w:r>
      <w:r>
        <w:t xml:space="preserve">But to Israel he says, All day long</w:t>
      </w:r>
      <w:r>
        <w:rPr>
          <w:rStyle w:val="FootnoteReference"/>
        </w:rPr>
        <w:footnoteReference w:id="17544"/>
      </w:r>
      <w:r>
        <w:t xml:space="preserve"> I have stretched forth my hands to a disobedient and contradicting people.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I say then, Has God cast away his people? May it not be. For I also</w:t>
      </w:r>
      <w:r>
        <w:rPr>
          <w:rStyle w:val="FootnoteReference"/>
        </w:rPr>
        <w:footnoteReference w:id="17545"/>
      </w:r>
      <w:r>
        <w:t xml:space="preserve"> am an Israelite, of the seed of Abraham, of the tribe of Benjamin.</w:t>
      </w:r>
    </w:p>
    <w:p>
      <w:r>
        <w:rPr>
          <w:b/>
        </w:rPr>
        <w:t xml:space="preserve">2 </w:t>
      </w:r>
      <w:r>
        <w:t xml:space="preserve">God has not cast away his people whom he foreknew. Do you not know what the scripture says of Elijah? how he makes intercession to God against Israel saying,</w:t>
      </w:r>
    </w:p>
    <w:p>
      <w:r>
        <w:rPr>
          <w:b/>
        </w:rPr>
        <w:t xml:space="preserve">3 </w:t>
      </w:r>
      <w:r>
        <w:t xml:space="preserve">Lord, they have killed your prophets, and dug down your altars; and I am left alone, and they seek my life.</w:t>
      </w:r>
    </w:p>
    <w:p>
      <w:r>
        <w:rPr>
          <w:b/>
        </w:rPr>
        <w:t xml:space="preserve">4 </w:t>
      </w:r>
      <w:r>
        <w:t xml:space="preserve">But what does the divine answer say to him? I left for myself seven thousand men who did not bow the knee to Baal</w:t>
      </w:r>
      <w:r>
        <w:rPr>
          <w:rStyle w:val="FootnoteReference"/>
        </w:rPr>
        <w:footnoteReference w:id="17546"/>
      </w:r>
      <w:r>
        <w:t xml:space="preserve">.</w:t>
      </w:r>
      <w:r>
        <w:rPr>
          <w:rStyle w:val="FootnoteReference"/>
        </w:rPr>
        <w:footnoteReference w:id="17547"/>
      </w:r>
    </w:p>
    <w:p>
      <w:r>
        <w:rPr>
          <w:b/>
        </w:rPr>
        <w:t xml:space="preserve">5 </w:t>
      </w:r>
      <w:r>
        <w:t xml:space="preserve">So then also in the present time a remnant according to election of grace</w:t>
      </w:r>
      <w:r>
        <w:rPr>
          <w:rStyle w:val="FootnoteReference"/>
        </w:rPr>
        <w:footnoteReference w:id="17548"/>
      </w:r>
      <w:r>
        <w:t xml:space="preserve"> has come to be.</w:t>
      </w:r>
    </w:p>
    <w:p>
      <w:r>
        <w:rPr>
          <w:b/>
        </w:rPr>
        <w:t xml:space="preserve">6 </w:t>
      </w:r>
      <w:r>
        <w:t xml:space="preserve">And if</w:t>
      </w:r>
      <w:r>
        <w:rPr>
          <w:rStyle w:val="FootnoteReference"/>
        </w:rPr>
        <w:footnoteReference w:id="17549"/>
      </w:r>
      <w:r>
        <w:t xml:space="preserve"> by grace, no longer from works: otherwise grace is no longer grace. But if from works, it is no longer grace: otherwise work is no longer work.</w:t>
      </w:r>
    </w:p>
    <w:p>
      <w:r>
        <w:rPr>
          <w:b/>
        </w:rPr>
        <w:t xml:space="preserve">7 </w:t>
      </w:r>
      <w:r>
        <w:t xml:space="preserve">What then</w:t>
      </w:r>
      <w:r>
        <w:rPr>
          <w:rStyle w:val="FootnoteReference"/>
        </w:rPr>
        <w:footnoteReference w:id="17550"/>
      </w:r>
      <w:r>
        <w:t xml:space="preserve">? Israel did not obtain what it seeks; but the election obtained it, and the rest were hardened.</w:t>
      </w:r>
    </w:p>
    <w:p>
      <w:r>
        <w:rPr>
          <w:b/>
        </w:rPr>
        <w:t xml:space="preserve">8 </w:t>
      </w:r>
      <w:r>
        <w:t xml:space="preserve">As it is written, God gave them a spirit of stupor, eyes</w:t>
      </w:r>
      <w:r>
        <w:rPr>
          <w:rStyle w:val="FootnoteReference"/>
        </w:rPr>
        <w:footnoteReference w:id="17551"/>
      </w:r>
      <w:r>
        <w:t xml:space="preserve"> not to see, and ears not to hear, until this day.</w:t>
      </w:r>
    </w:p>
    <w:p>
      <w:r>
        <w:rPr>
          <w:b/>
        </w:rPr>
        <w:t xml:space="preserve">9 </w:t>
      </w:r>
      <w:r>
        <w:t xml:space="preserve">And David says, Let their table</w:t>
      </w:r>
      <w:r>
        <w:rPr>
          <w:rStyle w:val="FootnoteReference"/>
        </w:rPr>
        <w:footnoteReference w:id="17552"/>
      </w:r>
      <w:r>
        <w:t xml:space="preserve"> be made a snare, and a trap, and a stumbling block, and a recompense to them:</w:t>
      </w:r>
    </w:p>
    <w:p>
      <w:r>
        <w:rPr>
          <w:b/>
        </w:rPr>
        <w:t xml:space="preserve">10 </w:t>
      </w:r>
      <w:r>
        <w:t xml:space="preserve">Let their eyes</w:t>
      </w:r>
      <w:r>
        <w:rPr>
          <w:rStyle w:val="FootnoteReference"/>
        </w:rPr>
        <w:footnoteReference w:id="17553"/>
      </w:r>
      <w:r>
        <w:t xml:space="preserve"> be darkened, that they may not see, and bend their back continually.</w:t>
      </w:r>
    </w:p>
    <w:p>
      <w:r>
        <w:rPr>
          <w:b/>
        </w:rPr>
        <w:t xml:space="preserve">11 </w:t>
      </w:r>
      <w:r>
        <w:t xml:space="preserve">I say then, Have they stumbled</w:t>
      </w:r>
      <w:r>
        <w:rPr>
          <w:rStyle w:val="FootnoteReference"/>
        </w:rPr>
        <w:footnoteReference w:id="17554"/>
      </w:r>
      <w:r>
        <w:t xml:space="preserve"> that they should fall? May it not be: but rather through their fall salvation has come to the nations, in order to provoke them to jealousy.</w:t>
      </w:r>
    </w:p>
    <w:p>
      <w:r>
        <w:rPr>
          <w:b/>
        </w:rPr>
        <w:t xml:space="preserve">12 </w:t>
      </w:r>
      <w:r>
        <w:t xml:space="preserve">Now if the fall of them be the riches of the world</w:t>
      </w:r>
      <w:r>
        <w:rPr>
          <w:rStyle w:val="FootnoteReference"/>
        </w:rPr>
        <w:footnoteReference w:id="17555"/>
      </w:r>
      <w:r>
        <w:t xml:space="preserve">, and the diminishing of them the riches of the nations; how much more their fullness?</w:t>
      </w:r>
    </w:p>
    <w:p>
      <w:r>
        <w:rPr>
          <w:b/>
        </w:rPr>
        <w:t xml:space="preserve">13 </w:t>
      </w:r>
      <w:r>
        <w:t xml:space="preserve">For I speak to you who are of the nations, inasmuch as I am the apostle</w:t>
      </w:r>
      <w:r>
        <w:rPr>
          <w:rStyle w:val="FootnoteReference"/>
        </w:rPr>
        <w:footnoteReference w:id="17556"/>
      </w:r>
      <w:r>
        <w:t xml:space="preserve"> of the nations, I magnify my ministry:</w:t>
      </w:r>
    </w:p>
    <w:p>
      <w:r>
        <w:rPr>
          <w:b/>
        </w:rPr>
        <w:t xml:space="preserve">14 </w:t>
      </w:r>
      <w:r>
        <w:t xml:space="preserve">If somehow I may provoke</w:t>
      </w:r>
      <w:r>
        <w:rPr>
          <w:rStyle w:val="FootnoteReference"/>
        </w:rPr>
        <w:footnoteReference w:id="17557"/>
      </w:r>
      <w:r>
        <w:t xml:space="preserve"> my flesh to jealousy, and may save some of them.</w:t>
      </w:r>
    </w:p>
    <w:p>
      <w:r>
        <w:rPr>
          <w:b/>
        </w:rPr>
        <w:t xml:space="preserve">15 </w:t>
      </w:r>
      <w:r>
        <w:t xml:space="preserve">For if their rejection is reconciliation of the world, what shall their reception be, except life from the dead?</w:t>
      </w:r>
    </w:p>
    <w:p>
      <w:r>
        <w:rPr>
          <w:b/>
        </w:rPr>
        <w:t xml:space="preserve">16 </w:t>
      </w:r>
      <w:r>
        <w:t xml:space="preserve">And if the firstfruit</w:t>
      </w:r>
      <w:r>
        <w:rPr>
          <w:rStyle w:val="FootnoteReference"/>
        </w:rPr>
        <w:footnoteReference w:id="17558"/>
      </w:r>
      <w:r>
        <w:t xml:space="preserve"> is holy, so also the lump: and if the root is holy, so also the branches.</w:t>
      </w:r>
    </w:p>
    <w:p>
      <w:r>
        <w:rPr>
          <w:b/>
        </w:rPr>
        <w:t xml:space="preserve">17 </w:t>
      </w:r>
      <w:r>
        <w:t xml:space="preserve">And if some of the branches were broken off, and you, being a wild olive shoot, were grafted in among them, and became a fellow-partaker of the root and fatness of the olive tree;</w:t>
      </w:r>
    </w:p>
    <w:p>
      <w:r>
        <w:rPr>
          <w:b/>
        </w:rPr>
        <w:t xml:space="preserve">18 </w:t>
      </w:r>
      <w:r>
        <w:t xml:space="preserve">Do not boast against the branches. But if you boast, you do not bear the root, but the root bears you.</w:t>
      </w:r>
    </w:p>
    <w:p>
      <w:r>
        <w:rPr>
          <w:b/>
        </w:rPr>
        <w:t xml:space="preserve">19 </w:t>
      </w:r>
      <w:r>
        <w:t xml:space="preserve">You will say then, The branches were broken off, that I might be grafted in.</w:t>
      </w:r>
    </w:p>
    <w:p>
      <w:r>
        <w:rPr>
          <w:b/>
        </w:rPr>
        <w:t xml:space="preserve">20 </w:t>
      </w:r>
      <w:r>
        <w:t xml:space="preserve">Rightly; because of unbelief they were broken off, and you stand by faith. Do not be high-minded, but fear:</w:t>
      </w:r>
    </w:p>
    <w:p>
      <w:r>
        <w:rPr>
          <w:b/>
        </w:rPr>
        <w:t xml:space="preserve">21 </w:t>
      </w:r>
      <w:r>
        <w:t xml:space="preserve">For if God</w:t>
      </w:r>
      <w:r>
        <w:rPr>
          <w:rStyle w:val="FootnoteReference"/>
        </w:rPr>
        <w:footnoteReference w:id="17559"/>
      </w:r>
      <w:r>
        <w:t xml:space="preserve"> did not spare the natural branches, perhaps he will not spare you either.</w:t>
      </w:r>
    </w:p>
    <w:p>
      <w:r>
        <w:rPr>
          <w:b/>
        </w:rPr>
        <w:t xml:space="preserve">22 </w:t>
      </w:r>
      <w:r>
        <w:t xml:space="preserve">Look therefore</w:t>
      </w:r>
      <w:r>
        <w:rPr>
          <w:rStyle w:val="FootnoteReference"/>
        </w:rPr>
        <w:footnoteReference w:id="17560"/>
      </w:r>
      <w:r>
        <w:t xml:space="preserve"> at the kindness and severity of God: upon those who fell, severity; but toward you, kindness, if you continue in kindness: otherwise you also shall be cut off.</w:t>
      </w:r>
    </w:p>
    <w:p>
      <w:r>
        <w:rPr>
          <w:b/>
        </w:rPr>
        <w:t xml:space="preserve">23 </w:t>
      </w:r>
      <w:r>
        <w:t xml:space="preserve">And they also, if they do not remain in unbelief, shall be grafted in: for God is able to graft them in again.</w:t>
      </w:r>
    </w:p>
    <w:p>
      <w:r>
        <w:rPr>
          <w:b/>
        </w:rPr>
        <w:t xml:space="preserve">24 </w:t>
      </w:r>
      <w:r>
        <w:t xml:space="preserve">For if you were cut out of the olive tree wild by nature, and contrary to nature were grafted into a cultivated olive tree: how much more shall these, the natural branches, be grafted into their own olive tree?</w:t>
      </w:r>
    </w:p>
    <w:p>
      <w:r>
        <w:rPr>
          <w:b/>
        </w:rPr>
        <w:t xml:space="preserve">25 </w:t>
      </w:r>
      <w:r>
        <w:t xml:space="preserve">For I would</w:t>
      </w:r>
      <w:r>
        <w:rPr>
          <w:rStyle w:val="FootnoteReference"/>
        </w:rPr>
        <w:footnoteReference w:id="17561"/>
      </w:r>
      <w:r>
        <w:t xml:space="preserve"> not, brothers, that you should be ignorant of this mystery, lest you should be wise in your own conceits; that blindness in part has happened to Israel, until the fullness of the nations comes in.</w:t>
      </w:r>
    </w:p>
    <w:p>
      <w:r>
        <w:rPr>
          <w:b/>
        </w:rPr>
        <w:t xml:space="preserve">26 </w:t>
      </w:r>
      <w:r>
        <w:t xml:space="preserve">And so all Israel shall be saved: as it is written, The Deliverer shall come out of Zion, and shall</w:t>
      </w:r>
      <w:r>
        <w:rPr>
          <w:rStyle w:val="FootnoteReference"/>
        </w:rPr>
        <w:footnoteReference w:id="17562"/>
      </w:r>
      <w:r>
        <w:t xml:space="preserve"> turn away ungodliness from Jacob:</w:t>
      </w:r>
    </w:p>
    <w:p>
      <w:r>
        <w:rPr>
          <w:b/>
        </w:rPr>
        <w:t xml:space="preserve">27 </w:t>
      </w:r>
      <w:r>
        <w:t xml:space="preserve">And this is the covenant from me to them, when I take away their sins.</w:t>
      </w:r>
    </w:p>
    <w:p>
      <w:r>
        <w:rPr>
          <w:b/>
        </w:rPr>
        <w:t xml:space="preserve">28 </w:t>
      </w:r>
      <w:r>
        <w:t xml:space="preserve">As concerning the good news, they are enemies</w:t>
      </w:r>
      <w:r>
        <w:rPr>
          <w:rStyle w:val="FootnoteReference"/>
        </w:rPr>
        <w:footnoteReference w:id="17563"/>
      </w:r>
      <w:r>
        <w:t xml:space="preserve"> for your sakes: but as concerning the election, they are beloved for the father's sakes.</w:t>
      </w:r>
    </w:p>
    <w:p>
      <w:r>
        <w:rPr>
          <w:b/>
        </w:rPr>
        <w:t xml:space="preserve">29 </w:t>
      </w:r>
      <w:r>
        <w:t xml:space="preserve">For the gracious gifts and the calling of God are irrevocable.</w:t>
      </w:r>
    </w:p>
    <w:p>
      <w:r>
        <w:rPr>
          <w:b/>
        </w:rPr>
        <w:t xml:space="preserve">30 </w:t>
      </w:r>
      <w:r>
        <w:t xml:space="preserve">For just as you once disobeyed God, but now obtained</w:t>
      </w:r>
      <w:r>
        <w:rPr>
          <w:rStyle w:val="FootnoteReference"/>
        </w:rPr>
        <w:footnoteReference w:id="17564"/>
      </w:r>
      <w:r>
        <w:t xml:space="preserve"> mercy by their disobedience:</w:t>
      </w:r>
    </w:p>
    <w:p>
      <w:r>
        <w:rPr>
          <w:b/>
        </w:rPr>
        <w:t xml:space="preserve">31 </w:t>
      </w:r>
      <w:r>
        <w:t xml:space="preserve">So also these now disobeyed, that by your mercy they also may obtain mercy.</w:t>
      </w:r>
    </w:p>
    <w:p>
      <w:r>
        <w:rPr>
          <w:b/>
        </w:rPr>
        <w:t xml:space="preserve">32 </w:t>
      </w:r>
      <w:r>
        <w:t xml:space="preserve">For God shut up all into disobedience, that he might have mercy on all.</w:t>
      </w:r>
    </w:p>
    <w:p>
      <w:r>
        <w:rPr>
          <w:b/>
        </w:rPr>
        <w:t xml:space="preserve">33 </w:t>
      </w:r>
      <w:r>
        <w:t xml:space="preserve">O depth of riches</w:t>
      </w:r>
      <w:r>
        <w:rPr>
          <w:rStyle w:val="FootnoteReference"/>
        </w:rPr>
        <w:footnoteReference w:id="17565"/>
      </w:r>
      <w:r>
        <w:t xml:space="preserve"> and wisdom and knowledge of God! how unsearchable are his judgments, and untraceable his ways!</w:t>
      </w:r>
    </w:p>
    <w:p>
      <w:r>
        <w:rPr>
          <w:b/>
        </w:rPr>
        <w:t xml:space="preserve">34 </w:t>
      </w:r>
      <w:r>
        <w:t xml:space="preserve">For who has known the mind of the Lord? or who has been his counselor?</w:t>
      </w:r>
    </w:p>
    <w:p>
      <w:r>
        <w:rPr>
          <w:b/>
        </w:rPr>
        <w:t xml:space="preserve">35 </w:t>
      </w:r>
      <w:r>
        <w:t xml:space="preserve">Or who first gave to him, and it shall be repaid to him?</w:t>
      </w:r>
    </w:p>
    <w:p>
      <w:r>
        <w:rPr>
          <w:b/>
        </w:rPr>
        <w:t xml:space="preserve">36 </w:t>
      </w:r>
      <w:r>
        <w:t xml:space="preserve">For from him, and through him, and to him, are all things: to him be glory forever. Amen.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Therefore I exhort you, brothers, through the mercies of God, to present your bodies a living</w:t>
      </w:r>
      <w:r>
        <w:rPr>
          <w:rStyle w:val="FootnoteReference"/>
        </w:rPr>
        <w:footnoteReference w:id="17566"/>
      </w:r>
      <w:r>
        <w:t xml:space="preserve"> sacrifice, holy, pleasing to God, your reasonable service.</w:t>
      </w:r>
    </w:p>
    <w:p>
      <w:r>
        <w:rPr>
          <w:b/>
        </w:rPr>
        <w:t xml:space="preserve">2 </w:t>
      </w:r>
      <w:r>
        <w:t xml:space="preserve">And do not be conformed to this age: but be transformed by the renewing of your mind, that you may prove</w:t>
      </w:r>
      <w:r>
        <w:rPr>
          <w:rStyle w:val="FootnoteReference"/>
        </w:rPr>
        <w:footnoteReference w:id="17567"/>
      </w:r>
      <w:r>
        <w:t xml:space="preserve"> what the will of God is, the good and acceptable and perfect.</w:t>
      </w:r>
    </w:p>
    <w:p>
      <w:r>
        <w:rPr>
          <w:b/>
        </w:rPr>
        <w:t xml:space="preserve">3 </w:t>
      </w:r>
      <w:r>
        <w:t xml:space="preserve">For I say, through the grace given to me, to everyone who is among you, not to</w:t>
      </w:r>
      <w:r>
        <w:rPr>
          <w:rStyle w:val="FootnoteReference"/>
        </w:rPr>
        <w:footnoteReference w:id="17568"/>
      </w:r>
      <w:r>
        <w:t xml:space="preserve"> think more highly than he ought to think; but to think so as to be sober-minded, as God divided to each a measure of faith.</w:t>
      </w:r>
    </w:p>
    <w:p>
      <w:r>
        <w:rPr>
          <w:b/>
        </w:rPr>
        <w:t xml:space="preserve">4 </w:t>
      </w:r>
      <w:r>
        <w:t xml:space="preserve">For just as in one body we have many members, and all the members do not have the same function:</w:t>
      </w:r>
    </w:p>
    <w:p>
      <w:r>
        <w:rPr>
          <w:b/>
        </w:rPr>
        <w:t xml:space="preserve">5 </w:t>
      </w:r>
      <w:r>
        <w:t xml:space="preserve">So we, the many, are one body in Christ, and individually members of one another.</w:t>
      </w:r>
    </w:p>
    <w:p>
      <w:r>
        <w:rPr>
          <w:b/>
        </w:rPr>
        <w:t xml:space="preserve">6 </w:t>
      </w:r>
      <w:r>
        <w:t xml:space="preserve">And having gifts differing according</w:t>
      </w:r>
      <w:r>
        <w:rPr>
          <w:rStyle w:val="FootnoteReference"/>
        </w:rPr>
        <w:footnoteReference w:id="17569"/>
      </w:r>
      <w:r>
        <w:t xml:space="preserve"> to the grace given to us, whether prophecy, according to the proportion of faith;</w:t>
      </w:r>
    </w:p>
    <w:p>
      <w:r>
        <w:rPr>
          <w:b/>
        </w:rPr>
        <w:t xml:space="preserve">7 </w:t>
      </w:r>
      <w:r>
        <w:t xml:space="preserve">Or ministry</w:t>
      </w:r>
      <w:r>
        <w:rPr>
          <w:rStyle w:val="FootnoteReference"/>
        </w:rPr>
        <w:footnoteReference w:id="17570"/>
      </w:r>
      <w:r>
        <w:t xml:space="preserve">, in ministry; or the one who teaches, in teaching;</w:t>
      </w:r>
    </w:p>
    <w:p>
      <w:r>
        <w:rPr>
          <w:b/>
        </w:rPr>
        <w:t xml:space="preserve">8 </w:t>
      </w:r>
      <w:r>
        <w:t xml:space="preserve">Or the one who exhorts, in exhortation: the one who gives, in simplicity; the one who leads, in diligence; the one who shows mercy, in cheerfulness.</w:t>
      </w:r>
    </w:p>
    <w:p>
      <w:r>
        <w:rPr>
          <w:b/>
        </w:rPr>
        <w:t xml:space="preserve">9 </w:t>
      </w:r>
      <w:r>
        <w:t xml:space="preserve">Let love</w:t>
      </w:r>
      <w:r>
        <w:rPr>
          <w:rStyle w:val="FootnoteReference"/>
        </w:rPr>
        <w:footnoteReference w:id="17571"/>
      </w:r>
      <w:r>
        <w:t xml:space="preserve"> be without hypocrisy. Abhor what is evil; cling to what is good.</w:t>
      </w:r>
    </w:p>
    <w:p>
      <w:r>
        <w:rPr>
          <w:b/>
        </w:rPr>
        <w:t xml:space="preserve">10 </w:t>
      </w:r>
      <w:r>
        <w:t xml:space="preserve">In brotherly love be tenderly affectionate to one another; in honor leading one another;</w:t>
      </w:r>
    </w:p>
    <w:p>
      <w:r>
        <w:rPr>
          <w:b/>
        </w:rPr>
        <w:t xml:space="preserve">11 </w:t>
      </w:r>
      <w:r>
        <w:t xml:space="preserve">In diligence not lazy; fervent</w:t>
      </w:r>
      <w:r>
        <w:rPr>
          <w:rStyle w:val="FootnoteReference"/>
        </w:rPr>
        <w:footnoteReference w:id="17572"/>
      </w:r>
      <w:r>
        <w:t xml:space="preserve"> in spirit; serving the Lord;</w:t>
      </w:r>
    </w:p>
    <w:p>
      <w:r>
        <w:rPr>
          <w:b/>
        </w:rPr>
        <w:t xml:space="preserve">12 </w:t>
      </w:r>
      <w:r>
        <w:t xml:space="preserve">Rejoicing</w:t>
      </w:r>
      <w:r>
        <w:rPr>
          <w:rStyle w:val="FootnoteReference"/>
        </w:rPr>
        <w:footnoteReference w:id="17573"/>
      </w:r>
      <w:r>
        <w:t xml:space="preserve"> in hope; enduring in tribulation; persevering in prayer;</w:t>
      </w:r>
    </w:p>
    <w:p>
      <w:r>
        <w:rPr>
          <w:b/>
        </w:rPr>
        <w:t xml:space="preserve">13 </w:t>
      </w:r>
      <w:r>
        <w:t xml:space="preserve">Distributing</w:t>
      </w:r>
      <w:r>
        <w:rPr>
          <w:rStyle w:val="FootnoteReference"/>
        </w:rPr>
        <w:footnoteReference w:id="17574"/>
      </w:r>
      <w:r>
        <w:t xml:space="preserve"> to the necessity of holy ones; given to hospitality.</w:t>
      </w:r>
    </w:p>
    <w:p>
      <w:r>
        <w:rPr>
          <w:b/>
        </w:rPr>
        <w:t xml:space="preserve">14 </w:t>
      </w:r>
      <w:r>
        <w:t xml:space="preserve">Bless those who persecute you: bless, and do not curse.</w:t>
      </w:r>
    </w:p>
    <w:p>
      <w:r>
        <w:rPr>
          <w:b/>
        </w:rPr>
        <w:t xml:space="preserve">15 </w:t>
      </w:r>
      <w:r>
        <w:t xml:space="preserve">Rejoice</w:t>
      </w:r>
      <w:r>
        <w:rPr>
          <w:rStyle w:val="FootnoteReference"/>
        </w:rPr>
        <w:footnoteReference w:id="17575"/>
      </w:r>
      <w:r>
        <w:t xml:space="preserve"> with those who rejoice, and weep with those who weep.</w:t>
      </w:r>
    </w:p>
    <w:p>
      <w:r>
        <w:rPr>
          <w:b/>
        </w:rPr>
        <w:t xml:space="preserve">16 </w:t>
      </w:r>
      <w:r>
        <w:t xml:space="preserve">Being of the</w:t>
      </w:r>
      <w:r>
        <w:rPr>
          <w:rStyle w:val="FootnoteReference"/>
        </w:rPr>
        <w:footnoteReference w:id="17576"/>
      </w:r>
      <w:r>
        <w:t xml:space="preserve"> same mind toward one another. Not minding high things, but being carried along with the lowly. Do not become wise with yourselves.</w:t>
      </w:r>
    </w:p>
    <w:p>
      <w:r>
        <w:rPr>
          <w:b/>
        </w:rPr>
        <w:t xml:space="preserve">17 </w:t>
      </w:r>
      <w:r>
        <w:t xml:space="preserve">Repaying evil for evil to no one. Providing good things before all humans.</w:t>
      </w:r>
    </w:p>
    <w:p>
      <w:r>
        <w:rPr>
          <w:b/>
        </w:rPr>
        <w:t xml:space="preserve">18 </w:t>
      </w:r>
      <w:r>
        <w:t xml:space="preserve">If possible, as much as depends on you, live peaceably with all humans.</w:t>
      </w:r>
    </w:p>
    <w:p>
      <w:r>
        <w:rPr>
          <w:b/>
        </w:rPr>
        <w:t xml:space="preserve">19 </w:t>
      </w:r>
      <w:r>
        <w:t xml:space="preserve">Beloved, do not avenge</w:t>
      </w:r>
      <w:r>
        <w:rPr>
          <w:rStyle w:val="FootnoteReference"/>
        </w:rPr>
        <w:footnoteReference w:id="17577"/>
      </w:r>
      <w:r>
        <w:t xml:space="preserve"> yourselves, but give place to wrath: for it is written, Vengeance is mine; I will repay, says the Lord.</w:t>
      </w:r>
    </w:p>
    <w:p>
      <w:r>
        <w:rPr>
          <w:b/>
        </w:rPr>
        <w:t xml:space="preserve">20 </w:t>
      </w:r>
      <w:r>
        <w:t xml:space="preserve">Therefore if your enemy hungers, feed him; if he thirsts, give him drink: for in doing this you shall heap coals</w:t>
      </w:r>
      <w:r>
        <w:rPr>
          <w:rStyle w:val="FootnoteReference"/>
        </w:rPr>
        <w:footnoteReference w:id="17578"/>
      </w:r>
      <w:r>
        <w:t xml:space="preserve"> of fire on his head.</w:t>
      </w:r>
    </w:p>
    <w:p>
      <w:r>
        <w:rPr>
          <w:b/>
        </w:rPr>
        <w:t xml:space="preserve">21 </w:t>
      </w:r>
      <w:r>
        <w:t xml:space="preserve">Do not be overcome by evil, but overcome evil with good.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Let every soul be subject to the higher powers. For there is no power but of God: the powers that exist are ordained of God.</w:t>
      </w:r>
    </w:p>
    <w:p>
      <w:r>
        <w:rPr>
          <w:b/>
        </w:rPr>
        <w:t xml:space="preserve">2 </w:t>
      </w:r>
      <w:r>
        <w:t xml:space="preserve">Whoever therefore resists the power</w:t>
      </w:r>
      <w:r>
        <w:rPr>
          <w:rStyle w:val="FootnoteReference"/>
        </w:rPr>
        <w:footnoteReference w:id="17579"/>
      </w:r>
      <w:r>
        <w:t xml:space="preserve">, resists the ordinance of God: and those who resist shall receive to themselves judgment.</w:t>
      </w:r>
    </w:p>
    <w:p>
      <w:r>
        <w:rPr>
          <w:b/>
        </w:rPr>
        <w:t xml:space="preserve">3 </w:t>
      </w:r>
      <w:r>
        <w:t xml:space="preserve">For rulers</w:t>
      </w:r>
      <w:r>
        <w:rPr>
          <w:rStyle w:val="FootnoteReference"/>
        </w:rPr>
        <w:footnoteReference w:id="17580"/>
      </w:r>
      <w:r>
        <w:t xml:space="preserve"> are not a terror to good work, but to evil. Do you want not to fear the authority? do what is good, and you shall have praise from it:</w:t>
      </w:r>
    </w:p>
    <w:p>
      <w:r>
        <w:rPr>
          <w:b/>
        </w:rPr>
        <w:t xml:space="preserve">4 </w:t>
      </w:r>
      <w:r>
        <w:t xml:space="preserve">For he is God's servant to you for good. But if you do evil, fear; for he does not bear the sword in vain: for he is God's servant, an avenger for wrath to the one who practices evil.</w:t>
      </w:r>
    </w:p>
    <w:p>
      <w:r>
        <w:rPr>
          <w:b/>
        </w:rPr>
        <w:t xml:space="preserve">5 </w:t>
      </w:r>
      <w:r>
        <w:t xml:space="preserve">Therefore it is necessary to be subject, not only because of wrath, but also because of conscience</w:t>
      </w:r>
      <w:r>
        <w:rPr>
          <w:rStyle w:val="FootnoteReference"/>
        </w:rPr>
        <w:footnoteReference w:id="17581"/>
      </w:r>
      <w:r>
        <w:t xml:space="preserve">.</w:t>
      </w:r>
    </w:p>
    <w:p>
      <w:r>
        <w:rPr>
          <w:b/>
        </w:rPr>
        <w:t xml:space="preserve">6 </w:t>
      </w:r>
      <w:r>
        <w:t xml:space="preserve">For because of this you also pay taxes: for they are God's public servants, attending</w:t>
      </w:r>
      <w:r>
        <w:rPr>
          <w:rStyle w:val="FootnoteReference"/>
        </w:rPr>
        <w:footnoteReference w:id="17582"/>
      </w:r>
      <w:r>
        <w:t xml:space="preserve"> continually to this very thing.</w:t>
      </w:r>
    </w:p>
    <w:p>
      <w:r>
        <w:rPr>
          <w:b/>
        </w:rPr>
        <w:t xml:space="preserve">7 </w:t>
      </w:r>
      <w:r>
        <w:t xml:space="preserve">Render therefore</w:t>
      </w:r>
      <w:r>
        <w:rPr>
          <w:rStyle w:val="FootnoteReference"/>
        </w:rPr>
        <w:footnoteReference w:id="17583"/>
      </w:r>
      <w:r>
        <w:t xml:space="preserve"> to all what is owed: tax to whom tax, custom to whom custom, fear to whom fear, honor to whom honor.</w:t>
      </w:r>
    </w:p>
    <w:p>
      <w:r>
        <w:rPr>
          <w:b/>
        </w:rPr>
        <w:t xml:space="preserve">8 </w:t>
      </w:r>
      <w:r>
        <w:t xml:space="preserve">Owe nothing to anyone, except to love one another: for the one who loves the other has fulfilled the law.</w:t>
      </w:r>
    </w:p>
    <w:p>
      <w:r>
        <w:rPr>
          <w:b/>
        </w:rPr>
        <w:t xml:space="preserve">9 </w:t>
      </w:r>
      <w:r>
        <w:t xml:space="preserve">For this</w:t>
      </w:r>
      <w:r>
        <w:rPr>
          <w:rStyle w:val="FootnoteReference"/>
        </w:rPr>
        <w:footnoteReference w:id="17584"/>
      </w:r>
      <w:r>
        <w:t xml:space="preserve">, You shall not commit adultery, You shall not murder, You shall not steal, You shall not bear false witness, You shall not covet; and if there is any other commandment, it is summed up in this word, You shall love your neighbor as yourself.</w:t>
      </w:r>
    </w:p>
    <w:p>
      <w:r>
        <w:rPr>
          <w:b/>
        </w:rPr>
        <w:t xml:space="preserve">10 </w:t>
      </w:r>
      <w:r>
        <w:t xml:space="preserve">Love works no evil to the neighbor: therefore love is</w:t>
      </w:r>
      <w:r>
        <w:rPr>
          <w:rStyle w:val="FootnoteReference"/>
        </w:rPr>
        <w:footnoteReference w:id="17585"/>
      </w:r>
      <w:r>
        <w:t xml:space="preserve"> the fulfillment of the law.</w:t>
      </w:r>
    </w:p>
    <w:p>
      <w:r>
        <w:rPr>
          <w:b/>
        </w:rPr>
        <w:t xml:space="preserve">11 </w:t>
      </w:r>
      <w:r>
        <w:t xml:space="preserve">And this, knowing</w:t>
      </w:r>
      <w:r>
        <w:rPr>
          <w:rStyle w:val="FootnoteReference"/>
        </w:rPr>
        <w:footnoteReference w:id="17586"/>
      </w:r>
      <w:r>
        <w:t xml:space="preserve"> the time, that it is already the hour for us to be raised out of sleep: for now our salvation is nearer than when we believed.</w:t>
      </w:r>
    </w:p>
    <w:p>
      <w:r>
        <w:rPr>
          <w:b/>
        </w:rPr>
        <w:t xml:space="preserve">12 </w:t>
      </w:r>
      <w:r>
        <w:t xml:space="preserve">The night</w:t>
      </w:r>
      <w:r>
        <w:rPr>
          <w:rStyle w:val="FootnoteReference"/>
        </w:rPr>
        <w:footnoteReference w:id="17587"/>
      </w:r>
      <w:r>
        <w:t xml:space="preserve"> advanced, and the day has drawn near: therefore let us put off the works of darkness, and let us put on the weapons of light.</w:t>
      </w:r>
    </w:p>
    <w:p>
      <w:r>
        <w:rPr>
          <w:b/>
        </w:rPr>
        <w:t xml:space="preserve">13 </w:t>
      </w:r>
      <w:r>
        <w:t xml:space="preserve">Let us walk decently, as in the day; not in revelries and drunkenness, not in sexual immorality and licentiousness, not in strife</w:t>
      </w:r>
      <w:r>
        <w:rPr>
          <w:rStyle w:val="FootnoteReference"/>
        </w:rPr>
        <w:footnoteReference w:id="17588"/>
      </w:r>
      <w:r>
        <w:t xml:space="preserve"> and envy.</w:t>
      </w:r>
    </w:p>
    <w:p>
      <w:r>
        <w:rPr>
          <w:b/>
        </w:rPr>
        <w:t xml:space="preserve">14 </w:t>
      </w:r>
      <w:r>
        <w:t xml:space="preserve">But put you on the Lord Jesus Christ, and make not provision for the flesh, to fulfill the lusts of 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Receive the one who is weak</w:t>
      </w:r>
      <w:r>
        <w:rPr>
          <w:rStyle w:val="FootnoteReference"/>
        </w:rPr>
        <w:footnoteReference w:id="17589"/>
      </w:r>
      <w:r>
        <w:t xml:space="preserve"> in faith, but not for disputes of reasonings.</w:t>
      </w:r>
    </w:p>
    <w:p>
      <w:r>
        <w:rPr>
          <w:b/>
        </w:rPr>
        <w:t xml:space="preserve">2 </w:t>
      </w:r>
      <w:r>
        <w:t xml:space="preserve">One indeed believes he may eat all things: but the weak one eats vegetables.</w:t>
      </w:r>
    </w:p>
    <w:p>
      <w:r>
        <w:rPr>
          <w:b/>
        </w:rPr>
        <w:t xml:space="preserve">3 </w:t>
      </w:r>
      <w:r>
        <w:t xml:space="preserve">Let not the one who eats despise</w:t>
      </w:r>
      <w:r>
        <w:rPr>
          <w:rStyle w:val="FootnoteReference"/>
        </w:rPr>
        <w:footnoteReference w:id="17590"/>
      </w:r>
      <w:r>
        <w:t xml:space="preserve"> the one who does not eat; and let not the one who does not eat judge the one who eats: for God received him.</w:t>
      </w:r>
    </w:p>
    <w:p>
      <w:r>
        <w:rPr>
          <w:b/>
        </w:rPr>
        <w:t xml:space="preserve">4 </w:t>
      </w:r>
      <w:r>
        <w:t xml:space="preserve">Who are you who judge another's household servant? to his own lord he stands or falls. But he shall</w:t>
      </w:r>
      <w:r>
        <w:rPr>
          <w:rStyle w:val="FootnoteReference"/>
        </w:rPr>
        <w:footnoteReference w:id="17591"/>
      </w:r>
      <w:r>
        <w:t xml:space="preserve"> be made to stand: for God is able to make him stand.</w:t>
      </w:r>
    </w:p>
    <w:p>
      <w:r>
        <w:rPr>
          <w:b/>
        </w:rPr>
        <w:t xml:space="preserve">5 </w:t>
      </w:r>
      <w:r>
        <w:t xml:space="preserve">One judges one day above another: another judges every day alike. Let each be fully assured in his own mind.</w:t>
      </w:r>
    </w:p>
    <w:p>
      <w:r>
        <w:rPr>
          <w:b/>
        </w:rPr>
        <w:t xml:space="preserve">6 </w:t>
      </w:r>
      <w:r>
        <w:t xml:space="preserve">the one who regards the day, regards it to the Lord; and the one who does not regard the day, to the Lord he does not regard it. the one who eats, eats to the Lord, for he gives God thanks; and the one who does not eat, to the Lord he does not eat, and gives God thanks.</w:t>
      </w:r>
    </w:p>
    <w:p>
      <w:r>
        <w:rPr>
          <w:b/>
        </w:rPr>
        <w:t xml:space="preserve">7 </w:t>
      </w:r>
      <w:r>
        <w:t xml:space="preserve">For none of us lives to himself, and none dies to himself.</w:t>
      </w:r>
    </w:p>
    <w:p>
      <w:r>
        <w:rPr>
          <w:b/>
        </w:rPr>
        <w:t xml:space="preserve">8 </w:t>
      </w:r>
      <w:r>
        <w:t xml:space="preserve">For if we live, we live to the Lord; and if we die, we die to the Lord: therefore whether we live or die, we are the Lord's.</w:t>
      </w:r>
    </w:p>
    <w:p>
      <w:r>
        <w:rPr>
          <w:b/>
        </w:rPr>
        <w:t xml:space="preserve">9 </w:t>
      </w:r>
      <w:r>
        <w:t xml:space="preserve">For to this end Christ</w:t>
      </w:r>
      <w:r>
        <w:rPr>
          <w:rStyle w:val="FootnoteReference"/>
        </w:rPr>
        <w:footnoteReference w:id="17592"/>
      </w:r>
      <w:r>
        <w:t xml:space="preserve"> both died, and rose, and lived again, that he might be Lord both of dead and living.</w:t>
      </w:r>
    </w:p>
    <w:p>
      <w:r>
        <w:rPr>
          <w:b/>
        </w:rPr>
        <w:t xml:space="preserve">10 </w:t>
      </w:r>
      <w:r>
        <w:t xml:space="preserve">But why do you judge your brother? or why do you set at nothing your brother? for we shall all stand before the judgment seat of Christ.</w:t>
      </w:r>
    </w:p>
    <w:p>
      <w:r>
        <w:rPr>
          <w:b/>
        </w:rPr>
        <w:t xml:space="preserve">11 </w:t>
      </w:r>
      <w:r>
        <w:t xml:space="preserve">For it is written, As I live, says the Lord, every knee</w:t>
      </w:r>
      <w:r>
        <w:rPr>
          <w:rStyle w:val="FootnoteReference"/>
        </w:rPr>
        <w:footnoteReference w:id="17593"/>
      </w:r>
      <w:r>
        <w:t xml:space="preserve"> shall bow to me, and every tongue shall confess to God.</w:t>
      </w:r>
    </w:p>
    <w:p>
      <w:r>
        <w:rPr>
          <w:b/>
        </w:rPr>
        <w:t xml:space="preserve">12 </w:t>
      </w:r>
      <w:r>
        <w:t xml:space="preserve">So then each of us shall give account concerning himself to God.</w:t>
      </w:r>
    </w:p>
    <w:p>
      <w:r>
        <w:rPr>
          <w:b/>
        </w:rPr>
        <w:t xml:space="preserve">13 </w:t>
      </w:r>
      <w:r>
        <w:t xml:space="preserve">Therefore let us no longer judge one</w:t>
      </w:r>
      <w:r>
        <w:rPr>
          <w:rStyle w:val="FootnoteReference"/>
        </w:rPr>
        <w:footnoteReference w:id="17594"/>
      </w:r>
      <w:r>
        <w:t xml:space="preserve"> another: but judge this rather, not to put a stumbling block or snare before the brother.</w:t>
      </w:r>
    </w:p>
    <w:p>
      <w:r>
        <w:rPr>
          <w:b/>
        </w:rPr>
        <w:t xml:space="preserve">14 </w:t>
      </w:r>
      <w:r>
        <w:t xml:space="preserve">I know, and am</w:t>
      </w:r>
      <w:r>
        <w:rPr>
          <w:rStyle w:val="FootnoteReference"/>
        </w:rPr>
        <w:footnoteReference w:id="17595"/>
      </w:r>
      <w:r>
        <w:t xml:space="preserve"> persuaded by the Lord Jesus, that there is nothing unclean of itself: but to him who esteems anything to be unclean, to him it is unclean.</w:t>
      </w:r>
    </w:p>
    <w:p>
      <w:r>
        <w:rPr>
          <w:b/>
        </w:rPr>
        <w:t xml:space="preserve">15 </w:t>
      </w:r>
      <w:r>
        <w:t xml:space="preserve">But if your brother is grieved because of food, you no longer walk according to love. Do not destroy</w:t>
      </w:r>
      <w:r>
        <w:rPr>
          <w:rStyle w:val="FootnoteReference"/>
        </w:rPr>
        <w:footnoteReference w:id="17596"/>
      </w:r>
      <w:r>
        <w:t xml:space="preserve"> with your food that one for whom Christ died.</w:t>
      </w:r>
    </w:p>
    <w:p>
      <w:r>
        <w:rPr>
          <w:b/>
        </w:rPr>
        <w:t xml:space="preserve">16 </w:t>
      </w:r>
      <w:r>
        <w:t xml:space="preserve">Therefore do not let your good be blasphemed:</w:t>
      </w:r>
    </w:p>
    <w:p>
      <w:r>
        <w:rPr>
          <w:b/>
        </w:rPr>
        <w:t xml:space="preserve">17 </w:t>
      </w:r>
      <w:r>
        <w:t xml:space="preserve">For the kingdom</w:t>
      </w:r>
      <w:r>
        <w:rPr>
          <w:rStyle w:val="FootnoteReference"/>
        </w:rPr>
        <w:footnoteReference w:id="17597"/>
      </w:r>
      <w:r>
        <w:t xml:space="preserve"> of God is not eating and drinking; but righteousness, and peace, and joy in the Holy Spirit.</w:t>
      </w:r>
    </w:p>
    <w:p>
      <w:r>
        <w:rPr>
          <w:b/>
        </w:rPr>
        <w:t xml:space="preserve">18 </w:t>
      </w:r>
      <w:r>
        <w:t xml:space="preserve">For the one who serves Christ in these things is pleasing to God, and approved by humans.</w:t>
      </w:r>
    </w:p>
    <w:p>
      <w:r>
        <w:rPr>
          <w:b/>
        </w:rPr>
        <w:t xml:space="preserve">19 </w:t>
      </w:r>
      <w:r>
        <w:t xml:space="preserve">Therefore then let us pursue the things of peace, and the things of edification for one another.</w:t>
      </w:r>
    </w:p>
    <w:p>
      <w:r>
        <w:rPr>
          <w:b/>
        </w:rPr>
        <w:t xml:space="preserve">20 </w:t>
      </w:r>
      <w:r>
        <w:t xml:space="preserve">Do not tear down the work</w:t>
      </w:r>
      <w:r>
        <w:rPr>
          <w:rStyle w:val="FootnoteReference"/>
        </w:rPr>
        <w:footnoteReference w:id="17598"/>
      </w:r>
      <w:r>
        <w:t xml:space="preserve"> of God because of food. All things indeed are clean; but it is evil to the human who eats through stumbling.</w:t>
      </w:r>
    </w:p>
    <w:p>
      <w:r>
        <w:rPr>
          <w:b/>
        </w:rPr>
        <w:t xml:space="preserve">21 </w:t>
      </w:r>
      <w:r>
        <w:t xml:space="preserve">It is good</w:t>
      </w:r>
      <w:r>
        <w:rPr>
          <w:rStyle w:val="FootnoteReference"/>
        </w:rPr>
        <w:footnoteReference w:id="17599"/>
      </w:r>
      <w:r>
        <w:t xml:space="preserve"> neither to eat flesh, nor to drink wine, nor anything by which your brother stumbles, or is stumbled, or is made weak.</w:t>
      </w:r>
    </w:p>
    <w:p>
      <w:r>
        <w:rPr>
          <w:b/>
        </w:rPr>
        <w:t xml:space="preserve">22 </w:t>
      </w:r>
      <w:r>
        <w:t xml:space="preserve">Do you have faith? have it to yourself before God. Blessed is the one who does not judge himself in what he approves.</w:t>
      </w:r>
    </w:p>
    <w:p>
      <w:r>
        <w:rPr>
          <w:b/>
        </w:rPr>
        <w:t xml:space="preserve">23 </w:t>
      </w:r>
      <w:r>
        <w:t xml:space="preserve">But the one who doubts is condemned if he eats, because it is not from faith: for whatever is not from faith is sin.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Now we who are strong</w:t>
      </w:r>
      <w:r>
        <w:rPr>
          <w:rStyle w:val="FootnoteReference"/>
        </w:rPr>
        <w:footnoteReference w:id="17600"/>
      </w:r>
      <w:r>
        <w:t xml:space="preserve"> ought to bear the weaknesses of the weak, and not to please ourselves.</w:t>
      </w:r>
    </w:p>
    <w:p>
      <w:r>
        <w:rPr>
          <w:b/>
        </w:rPr>
        <w:t xml:space="preserve">2 </w:t>
      </w:r>
      <w:r>
        <w:t xml:space="preserve">For let each of us please his neighbor for good, toward edification.</w:t>
      </w:r>
    </w:p>
    <w:p>
      <w:r>
        <w:rPr>
          <w:b/>
        </w:rPr>
        <w:t xml:space="preserve">3 </w:t>
      </w:r>
      <w:r>
        <w:t xml:space="preserve">For even Christ</w:t>
      </w:r>
      <w:r>
        <w:rPr>
          <w:rStyle w:val="FootnoteReference"/>
        </w:rPr>
        <w:footnoteReference w:id="17601"/>
      </w:r>
      <w:r>
        <w:t xml:space="preserve"> did not please himself; but, as it is written, The reproaches of those who reproached you fell on me.</w:t>
      </w:r>
    </w:p>
    <w:p>
      <w:r>
        <w:rPr>
          <w:b/>
        </w:rPr>
        <w:t xml:space="preserve">4 </w:t>
      </w:r>
      <w:r>
        <w:t xml:space="preserve">For whatever things were written before were written for our instruction, that through endurance and encouragement of the scriptures we might have hope.</w:t>
      </w:r>
    </w:p>
    <w:p>
      <w:r>
        <w:rPr>
          <w:b/>
        </w:rPr>
        <w:t xml:space="preserve">5 </w:t>
      </w:r>
      <w:r>
        <w:t xml:space="preserve">Now may the God</w:t>
      </w:r>
      <w:r>
        <w:rPr>
          <w:rStyle w:val="FootnoteReference"/>
        </w:rPr>
        <w:footnoteReference w:id="17602"/>
      </w:r>
      <w:r>
        <w:t xml:space="preserve"> of endurance and encouragement grant you to be of the same mind among one another according to Christ Jesus:</w:t>
      </w:r>
    </w:p>
    <w:p>
      <w:r>
        <w:rPr>
          <w:b/>
        </w:rPr>
        <w:t xml:space="preserve">6 </w:t>
      </w:r>
      <w:r>
        <w:t xml:space="preserve">That with one accord and one mouth you may glorify the God and Father of our Lord Jesus Christ.</w:t>
      </w:r>
    </w:p>
    <w:p>
      <w:r>
        <w:rPr>
          <w:b/>
        </w:rPr>
        <w:t xml:space="preserve">7 </w:t>
      </w:r>
      <w:r>
        <w:t xml:space="preserve">Therefore receive</w:t>
      </w:r>
      <w:r>
        <w:rPr>
          <w:rStyle w:val="FootnoteReference"/>
        </w:rPr>
        <w:footnoteReference w:id="17603"/>
      </w:r>
      <w:r>
        <w:t xml:space="preserve"> one another, just as Christ also received us, to the glory of God.</w:t>
      </w:r>
    </w:p>
    <w:p>
      <w:r>
        <w:rPr>
          <w:b/>
        </w:rPr>
        <w:t xml:space="preserve">8 </w:t>
      </w:r>
      <w:r>
        <w:t xml:space="preserve">Now I say that Jesus</w:t>
      </w:r>
      <w:r>
        <w:rPr>
          <w:rStyle w:val="FootnoteReference"/>
        </w:rPr>
        <w:footnoteReference w:id="17604"/>
      </w:r>
      <w:r>
        <w:t xml:space="preserve"> Christ has become a servant of the circumcision on behalf of the truth of God, to confirm the promises of the fathers:</w:t>
      </w:r>
    </w:p>
    <w:p>
      <w:r>
        <w:rPr>
          <w:b/>
        </w:rPr>
        <w:t xml:space="preserve">9 </w:t>
      </w:r>
      <w:r>
        <w:t xml:space="preserve">And that the nations might glorify God for his mercy; as it is written, For this cause I will confess to you among the nations, and sing to your name.</w:t>
      </w:r>
    </w:p>
    <w:p>
      <w:r>
        <w:rPr>
          <w:b/>
        </w:rPr>
        <w:t xml:space="preserve">10 </w:t>
      </w:r>
      <w:r>
        <w:t xml:space="preserve">And again he says, Rejoice, you nations, with his people.</w:t>
      </w:r>
    </w:p>
    <w:p>
      <w:r>
        <w:rPr>
          <w:b/>
        </w:rPr>
        <w:t xml:space="preserve">11 </w:t>
      </w:r>
      <w:r>
        <w:t xml:space="preserve">And again, Praise the Lord, all you nations; and extol him, all you people.</w:t>
      </w:r>
    </w:p>
    <w:p>
      <w:r>
        <w:rPr>
          <w:b/>
        </w:rPr>
        <w:t xml:space="preserve">12 </w:t>
      </w:r>
      <w:r>
        <w:t xml:space="preserve">And again, Isaiah says, There shall be a root of Jesse, and the one who shall rise to reign over the nations; in him</w:t>
      </w:r>
      <w:r>
        <w:rPr>
          <w:rStyle w:val="FootnoteReference"/>
        </w:rPr>
        <w:footnoteReference w:id="17605"/>
      </w:r>
      <w:r>
        <w:t xml:space="preserve"> shall the nations trust.</w:t>
      </w:r>
    </w:p>
    <w:p>
      <w:r>
        <w:rPr>
          <w:b/>
        </w:rPr>
        <w:t xml:space="preserve">13 </w:t>
      </w:r>
      <w:r>
        <w:t xml:space="preserve">Now may the God</w:t>
      </w:r>
      <w:r>
        <w:rPr>
          <w:rStyle w:val="FootnoteReference"/>
        </w:rPr>
        <w:footnoteReference w:id="17606"/>
      </w:r>
      <w:r>
        <w:t xml:space="preserve"> of hope fill you with all joy and peace in believing, that you may abound in hope, in the power of the Holy Spirit.</w:t>
      </w:r>
    </w:p>
    <w:p>
      <w:r>
        <w:rPr>
          <w:b/>
        </w:rPr>
        <w:t xml:space="preserve">14 </w:t>
      </w:r>
      <w:r>
        <w:t xml:space="preserve">And I myself also am persuaded concerning you, my brothers, that you yourselves are full</w:t>
      </w:r>
      <w:r>
        <w:rPr>
          <w:rStyle w:val="FootnoteReference"/>
        </w:rPr>
        <w:footnoteReference w:id="17607"/>
      </w:r>
      <w:r>
        <w:t xml:space="preserve"> of goodness, filled with all knowledge, able also to admonish one another.</w:t>
      </w:r>
    </w:p>
    <w:p>
      <w:r>
        <w:rPr>
          <w:b/>
        </w:rPr>
        <w:t xml:space="preserve">15 </w:t>
      </w:r>
      <w:r>
        <w:t xml:space="preserve">Nevertheless, brothers, I wrote more boldly to you in part, as reminding you, because of the grace given to me by God,</w:t>
      </w:r>
    </w:p>
    <w:p>
      <w:r>
        <w:rPr>
          <w:b/>
        </w:rPr>
        <w:t xml:space="preserve">16 </w:t>
      </w:r>
      <w:r>
        <w:t xml:space="preserve">That I should</w:t>
      </w:r>
      <w:r>
        <w:rPr>
          <w:rStyle w:val="FootnoteReference"/>
        </w:rPr>
        <w:footnoteReference w:id="17608"/>
      </w:r>
      <w:r>
        <w:t xml:space="preserve"> be the minister of Jesus Christ to the nations, ministering the good news of God, that the offering up of the nations might be acceptable, being sanctified by the Holy Spirit.</w:t>
      </w:r>
    </w:p>
    <w:p>
      <w:r>
        <w:rPr>
          <w:b/>
        </w:rPr>
        <w:t xml:space="preserve">17 </w:t>
      </w:r>
      <w:r>
        <w:t xml:space="preserve">Therefore I have boasting in Christ Jesus in the things toward God.</w:t>
      </w:r>
    </w:p>
    <w:p>
      <w:r>
        <w:rPr>
          <w:b/>
        </w:rPr>
        <w:t xml:space="preserve">18 </w:t>
      </w:r>
      <w:r>
        <w:t xml:space="preserve">For I will not dare to speak of any of those things which Christ has not worked by me, to make</w:t>
      </w:r>
      <w:r>
        <w:rPr>
          <w:rStyle w:val="FootnoteReference"/>
        </w:rPr>
        <w:footnoteReference w:id="17609"/>
      </w:r>
      <w:r>
        <w:t xml:space="preserve"> the nations obedient, by word and deed,</w:t>
      </w:r>
    </w:p>
    <w:p>
      <w:r>
        <w:rPr>
          <w:b/>
        </w:rPr>
        <w:t xml:space="preserve">19 </w:t>
      </w:r>
      <w:r>
        <w:t xml:space="preserve">Through mighty</w:t>
      </w:r>
      <w:r>
        <w:rPr>
          <w:rStyle w:val="FootnoteReference"/>
        </w:rPr>
        <w:footnoteReference w:id="17610"/>
      </w:r>
      <w:r>
        <w:t xml:space="preserve"> signs and wonders, by the power of the Spirit of God; so that from Jerusalem, and round about to Illyricum</w:t>
      </w:r>
      <w:r>
        <w:rPr>
          <w:rStyle w:val="FootnoteReference"/>
        </w:rPr>
        <w:footnoteReference w:id="17611"/>
      </w:r>
      <w:r>
        <w:t xml:space="preserve">, I have fully preached the good news of Christ.</w:t>
      </w:r>
    </w:p>
    <w:p>
      <w:r>
        <w:rPr>
          <w:b/>
        </w:rPr>
        <w:t xml:space="preserve">20 </w:t>
      </w:r>
      <w:r>
        <w:t xml:space="preserve">Yes, so have I strived to preach the good news, not where Christ was named, lest I should build</w:t>
      </w:r>
      <w:r>
        <w:rPr>
          <w:rStyle w:val="FootnoteReference"/>
        </w:rPr>
        <w:footnoteReference w:id="17612"/>
      </w:r>
      <w:r>
        <w:t xml:space="preserve"> upon another man's foundation:</w:t>
      </w:r>
    </w:p>
    <w:p>
      <w:r>
        <w:rPr>
          <w:b/>
        </w:rPr>
        <w:t xml:space="preserve">21 </w:t>
      </w:r>
      <w:r>
        <w:t xml:space="preserve">But as it is written, Those to whom it was not announced concerning him shall see: and those who have not heard shall understand.</w:t>
      </w:r>
    </w:p>
    <w:p>
      <w:r>
        <w:rPr>
          <w:b/>
        </w:rPr>
        <w:t xml:space="preserve">22 </w:t>
      </w:r>
      <w:r>
        <w:t xml:space="preserve">For this reason also I have been much hindered from coming to you.</w:t>
      </w:r>
    </w:p>
    <w:p>
      <w:r>
        <w:rPr>
          <w:b/>
        </w:rPr>
        <w:t xml:space="preserve">23 </w:t>
      </w:r>
      <w:r>
        <w:t xml:space="preserve">But now having no more place in these regions, and having a longing for many years to come to you;</w:t>
      </w:r>
    </w:p>
    <w:p>
      <w:r>
        <w:rPr>
          <w:b/>
        </w:rPr>
        <w:t xml:space="preserve">24 </w:t>
      </w:r>
      <w:r>
        <w:t xml:space="preserve">Whenever I go into Spain</w:t>
      </w:r>
      <w:r>
        <w:rPr>
          <w:rStyle w:val="FootnoteReference"/>
        </w:rPr>
        <w:footnoteReference w:id="17613"/>
      </w:r>
      <w:r>
        <w:t xml:space="preserve">, I will come to you: for I hope, while passing through, to see you, and to be sent forward there by you, if first I may be filled in part with you.</w:t>
      </w:r>
    </w:p>
    <w:p>
      <w:r>
        <w:rPr>
          <w:b/>
        </w:rPr>
        <w:t xml:space="preserve">25 </w:t>
      </w:r>
      <w:r>
        <w:t xml:space="preserve">But now I go to Jerusalem to minister to the holy ones.</w:t>
      </w:r>
    </w:p>
    <w:p>
      <w:r>
        <w:rPr>
          <w:b/>
        </w:rPr>
        <w:t xml:space="preserve">26 </w:t>
      </w:r>
      <w:r>
        <w:t xml:space="preserve">For it has pleased them of Macedonia and Achaia to make a certain contribution for the poor</w:t>
      </w:r>
      <w:r>
        <w:rPr>
          <w:rStyle w:val="FootnoteReference"/>
        </w:rPr>
        <w:footnoteReference w:id="17614"/>
      </w:r>
      <w:r>
        <w:t xml:space="preserve"> holy ones who are at Jerusalem.</w:t>
      </w:r>
    </w:p>
    <w:p>
      <w:r>
        <w:rPr>
          <w:b/>
        </w:rPr>
        <w:t xml:space="preserve">27 </w:t>
      </w:r>
      <w:r>
        <w:t xml:space="preserve">It has pleased them truly; and their debtors they are. For if the nations have been made partakers of their spiritual things, their duty is also to minister to them in carnal things.</w:t>
      </w:r>
    </w:p>
    <w:p>
      <w:r>
        <w:rPr>
          <w:b/>
        </w:rPr>
        <w:t xml:space="preserve">28 </w:t>
      </w:r>
      <w:r>
        <w:t xml:space="preserve">Therefore when I have completed this, and sealed this fruit to them, I will depart by you into Spain.</w:t>
      </w:r>
    </w:p>
    <w:p>
      <w:r>
        <w:rPr>
          <w:b/>
        </w:rPr>
        <w:t xml:space="preserve">29 </w:t>
      </w:r>
      <w:r>
        <w:t xml:space="preserve">And I am sure that, when I come to you, I shall come in the fullness of the blessing of the good news of Christ.</w:t>
      </w:r>
    </w:p>
    <w:p>
      <w:r>
        <w:rPr>
          <w:b/>
        </w:rPr>
        <w:t xml:space="preserve">30 </w:t>
      </w:r>
      <w:r>
        <w:t xml:space="preserve">Now I plead to you, brothers, for the Lord Jesus Christ's sake, and for</w:t>
      </w:r>
      <w:r>
        <w:rPr>
          <w:rStyle w:val="FootnoteReference"/>
        </w:rPr>
        <w:footnoteReference w:id="17615"/>
      </w:r>
      <w:r>
        <w:t xml:space="preserve"> the love of the Spirit, that you strive together with me in your prayers to God for me;</w:t>
      </w:r>
    </w:p>
    <w:p>
      <w:r>
        <w:rPr>
          <w:b/>
        </w:rPr>
        <w:t xml:space="preserve">31 </w:t>
      </w:r>
      <w:r>
        <w:t xml:space="preserve">That I may</w:t>
      </w:r>
      <w:r>
        <w:rPr>
          <w:rStyle w:val="FootnoteReference"/>
        </w:rPr>
        <w:footnoteReference w:id="17616"/>
      </w:r>
      <w:r>
        <w:t xml:space="preserve"> be delivered from those who do not believe in Judea; and that my service which I have for Jerusalem may be accepted of the holy ones;</w:t>
      </w:r>
    </w:p>
    <w:p>
      <w:r>
        <w:rPr>
          <w:b/>
        </w:rPr>
        <w:t xml:space="preserve">32 </w:t>
      </w:r>
      <w:r>
        <w:t xml:space="preserve">That I may</w:t>
      </w:r>
      <w:r>
        <w:rPr>
          <w:rStyle w:val="FootnoteReference"/>
        </w:rPr>
        <w:footnoteReference w:id="17617"/>
      </w:r>
      <w:r>
        <w:t xml:space="preserve"> come to you with joy by the will of God, and may rest together with you.</w:t>
      </w:r>
    </w:p>
    <w:p>
      <w:r>
        <w:rPr>
          <w:b/>
        </w:rPr>
        <w:t xml:space="preserve">33 </w:t>
      </w:r>
      <w:r>
        <w:t xml:space="preserve">Now the God</w:t>
      </w:r>
      <w:r>
        <w:rPr>
          <w:rStyle w:val="FootnoteReference"/>
        </w:rPr>
        <w:footnoteReference w:id="17618"/>
      </w:r>
      <w:r>
        <w:t xml:space="preserve"> of peace be with you all. Amen.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I commend</w:t>
      </w:r>
      <w:r>
        <w:rPr>
          <w:rStyle w:val="FootnoteReference"/>
        </w:rPr>
        <w:footnoteReference w:id="17619"/>
      </w:r>
      <w:r>
        <w:t xml:space="preserve"> to you Phoebe</w:t>
      </w:r>
      <w:r>
        <w:rPr>
          <w:rStyle w:val="FootnoteReference"/>
        </w:rPr>
        <w:footnoteReference w:id="17620"/>
      </w:r>
      <w:r>
        <w:t xml:space="preserve"> our sister, which is a servant of the assembly which is at Cenchrea</w:t>
      </w:r>
      <w:r>
        <w:rPr>
          <w:rStyle w:val="FootnoteReference"/>
        </w:rPr>
        <w:footnoteReference w:id="17621"/>
      </w:r>
      <w:r>
        <w:t xml:space="preserve">:</w:t>
      </w:r>
      <w:r>
        <w:rPr>
          <w:rStyle w:val="FootnoteReference"/>
        </w:rPr>
        <w:footnoteReference w:id="17622"/>
      </w:r>
    </w:p>
    <w:p>
      <w:r>
        <w:rPr>
          <w:b/>
        </w:rPr>
        <w:t xml:space="preserve">2 </w:t>
      </w:r>
      <w:r>
        <w:t xml:space="preserve">That you receive her in the Lord, as becomes holy ones, and that you assist her in whatever business she has need of you: for she has been a supporter of many, and of myself also.</w:t>
      </w:r>
    </w:p>
    <w:p>
      <w:r>
        <w:rPr>
          <w:b/>
        </w:rPr>
        <w:t xml:space="preserve">3 </w:t>
      </w:r>
      <w:r>
        <w:t xml:space="preserve">Greet Priscilla</w:t>
      </w:r>
      <w:r>
        <w:rPr>
          <w:rStyle w:val="FootnoteReference"/>
        </w:rPr>
        <w:footnoteReference w:id="17623"/>
      </w:r>
      <w:r>
        <w:t xml:space="preserve"> and Aquila, my fellow workers in Christ Jesus:</w:t>
      </w:r>
    </w:p>
    <w:p>
      <w:r>
        <w:rPr>
          <w:b/>
        </w:rPr>
        <w:t xml:space="preserve">4 </w:t>
      </w:r>
      <w:r>
        <w:t xml:space="preserve">Who have for my life laid</w:t>
      </w:r>
      <w:r>
        <w:rPr>
          <w:rStyle w:val="FootnoteReference"/>
        </w:rPr>
        <w:footnoteReference w:id="17624"/>
      </w:r>
      <w:r>
        <w:t xml:space="preserve"> down their own necks: to whom not only I give thanks, but also all the assemblies of the nations.</w:t>
      </w:r>
    </w:p>
    <w:p>
      <w:r>
        <w:rPr>
          <w:b/>
        </w:rPr>
        <w:t xml:space="preserve">5 </w:t>
      </w:r>
      <w:r>
        <w:t xml:space="preserve">Likewise greet the assembly that is in their house. Salute my well-beloved Epaenetus</w:t>
      </w:r>
      <w:r>
        <w:rPr>
          <w:rStyle w:val="FootnoteReference"/>
        </w:rPr>
        <w:footnoteReference w:id="17625"/>
      </w:r>
      <w:r>
        <w:t xml:space="preserve">, who is the first-fruits of Achaia</w:t>
      </w:r>
      <w:r>
        <w:rPr>
          <w:rStyle w:val="FootnoteReference"/>
        </w:rPr>
        <w:footnoteReference w:id="17626"/>
      </w:r>
      <w:r>
        <w:t xml:space="preserve"> to Christ.</w:t>
      </w:r>
    </w:p>
    <w:p>
      <w:r>
        <w:rPr>
          <w:b/>
        </w:rPr>
        <w:t xml:space="preserve">6 </w:t>
      </w:r>
      <w:r>
        <w:t xml:space="preserve">Greet Mary, who labored much for us.</w:t>
      </w:r>
    </w:p>
    <w:p>
      <w:r>
        <w:rPr>
          <w:b/>
        </w:rPr>
        <w:t xml:space="preserve">7 </w:t>
      </w:r>
      <w:r>
        <w:t xml:space="preserve">Greet Andronicus</w:t>
      </w:r>
      <w:r>
        <w:rPr>
          <w:rStyle w:val="FootnoteReference"/>
        </w:rPr>
        <w:footnoteReference w:id="17627"/>
      </w:r>
      <w:r>
        <w:t xml:space="preserve"> and Junia</w:t>
      </w:r>
      <w:r>
        <w:rPr>
          <w:rStyle w:val="FootnoteReference"/>
        </w:rPr>
        <w:footnoteReference w:id="17628"/>
      </w:r>
      <w:r>
        <w:t xml:space="preserve">, my kinsmen</w:t>
      </w:r>
      <w:r>
        <w:rPr>
          <w:rStyle w:val="FootnoteReference"/>
        </w:rPr>
        <w:footnoteReference w:id="17629"/>
      </w:r>
      <w:r>
        <w:t xml:space="preserve"> and my fellow prisoners, who are notable among the apostles, who also were in Christ before me.</w:t>
      </w:r>
    </w:p>
    <w:p>
      <w:r>
        <w:rPr>
          <w:b/>
        </w:rPr>
        <w:t xml:space="preserve">8 </w:t>
      </w:r>
      <w:r>
        <w:t xml:space="preserve">Greet Amplias</w:t>
      </w:r>
      <w:r>
        <w:rPr>
          <w:rStyle w:val="FootnoteReference"/>
        </w:rPr>
        <w:footnoteReference w:id="17630"/>
      </w:r>
      <w:r>
        <w:t xml:space="preserve">, my beloved in the Lord.</w:t>
      </w:r>
    </w:p>
    <w:p>
      <w:r>
        <w:rPr>
          <w:b/>
        </w:rPr>
        <w:t xml:space="preserve">9 </w:t>
      </w:r>
      <w:r>
        <w:t xml:space="preserve">Greet Urbane</w:t>
      </w:r>
      <w:r>
        <w:rPr>
          <w:rStyle w:val="FootnoteReference"/>
        </w:rPr>
        <w:footnoteReference w:id="17631"/>
      </w:r>
      <w:r>
        <w:t xml:space="preserve">, our fellow worker in Christ, and Stachys</w:t>
      </w:r>
      <w:r>
        <w:rPr>
          <w:rStyle w:val="FootnoteReference"/>
        </w:rPr>
        <w:footnoteReference w:id="17632"/>
      </w:r>
      <w:r>
        <w:t xml:space="preserve"> my beloved.</w:t>
      </w:r>
    </w:p>
    <w:p>
      <w:r>
        <w:rPr>
          <w:b/>
        </w:rPr>
        <w:t xml:space="preserve">10 </w:t>
      </w:r>
      <w:r>
        <w:t xml:space="preserve">Greet Apelles</w:t>
      </w:r>
      <w:r>
        <w:rPr>
          <w:rStyle w:val="FootnoteReference"/>
        </w:rPr>
        <w:footnoteReference w:id="17633"/>
      </w:r>
      <w:r>
        <w:t xml:space="preserve">, approved</w:t>
      </w:r>
      <w:r>
        <w:rPr>
          <w:rStyle w:val="FootnoteReference"/>
        </w:rPr>
        <w:footnoteReference w:id="17634"/>
      </w:r>
      <w:r>
        <w:t xml:space="preserve"> in Christ. Greet those from Aristobulus</w:t>
      </w:r>
      <w:r>
        <w:rPr>
          <w:rStyle w:val="FootnoteReference"/>
        </w:rPr>
        <w:footnoteReference w:id="17635"/>
      </w:r>
      <w:r>
        <w:t xml:space="preserve">.</w:t>
      </w:r>
    </w:p>
    <w:p>
      <w:r>
        <w:rPr>
          <w:b/>
        </w:rPr>
        <w:t xml:space="preserve">11 </w:t>
      </w:r>
      <w:r>
        <w:t xml:space="preserve">Salute Herodion</w:t>
      </w:r>
      <w:r>
        <w:rPr>
          <w:rStyle w:val="FootnoteReference"/>
        </w:rPr>
        <w:footnoteReference w:id="17636"/>
      </w:r>
      <w:r>
        <w:t xml:space="preserve"> my relative. Greet those who are of the household of Narcissus</w:t>
      </w:r>
      <w:r>
        <w:rPr>
          <w:rStyle w:val="FootnoteReference"/>
        </w:rPr>
        <w:footnoteReference w:id="17637"/>
      </w:r>
      <w:r>
        <w:t xml:space="preserve">, which are in the Lord.</w:t>
      </w:r>
    </w:p>
    <w:p>
      <w:r>
        <w:rPr>
          <w:b/>
        </w:rPr>
        <w:t xml:space="preserve">12 </w:t>
      </w:r>
      <w:r>
        <w:t xml:space="preserve">Salute Tryphena</w:t>
      </w:r>
      <w:r>
        <w:rPr>
          <w:rStyle w:val="FootnoteReference"/>
        </w:rPr>
        <w:footnoteReference w:id="17638"/>
      </w:r>
      <w:r>
        <w:t xml:space="preserve"> and Tryphosa</w:t>
      </w:r>
      <w:r>
        <w:rPr>
          <w:rStyle w:val="FootnoteReference"/>
        </w:rPr>
        <w:footnoteReference w:id="17639"/>
      </w:r>
      <w:r>
        <w:t xml:space="preserve">, who labor in the Lord. Salute the beloved Persis</w:t>
      </w:r>
      <w:r>
        <w:rPr>
          <w:rStyle w:val="FootnoteReference"/>
        </w:rPr>
        <w:footnoteReference w:id="17640"/>
      </w:r>
      <w:r>
        <w:t xml:space="preserve">, which labored much in the Lord.</w:t>
      </w:r>
    </w:p>
    <w:p>
      <w:r>
        <w:rPr>
          <w:b/>
        </w:rPr>
        <w:t xml:space="preserve">13 </w:t>
      </w:r>
      <w:r>
        <w:t xml:space="preserve">Greet Rufus</w:t>
      </w:r>
      <w:r>
        <w:rPr>
          <w:rStyle w:val="FootnoteReference"/>
        </w:rPr>
        <w:footnoteReference w:id="17641"/>
      </w:r>
      <w:r>
        <w:t xml:space="preserve">, chosen in the Lord, and his mother and mine.</w:t>
      </w:r>
    </w:p>
    <w:p>
      <w:r>
        <w:rPr>
          <w:b/>
        </w:rPr>
        <w:t xml:space="preserve">14 </w:t>
      </w:r>
      <w:r>
        <w:t xml:space="preserve">Greet Asyncritus</w:t>
      </w:r>
      <w:r>
        <w:rPr>
          <w:rStyle w:val="FootnoteReference"/>
        </w:rPr>
        <w:footnoteReference w:id="17642"/>
      </w:r>
      <w:r>
        <w:t xml:space="preserve">, Phlegon</w:t>
      </w:r>
      <w:r>
        <w:rPr>
          <w:rStyle w:val="FootnoteReference"/>
        </w:rPr>
        <w:footnoteReference w:id="17643"/>
      </w:r>
      <w:r>
        <w:t xml:space="preserve">, Hermas</w:t>
      </w:r>
      <w:r>
        <w:rPr>
          <w:rStyle w:val="FootnoteReference"/>
        </w:rPr>
        <w:footnoteReference w:id="17644"/>
      </w:r>
      <w:r>
        <w:t xml:space="preserve">, Patrobas</w:t>
      </w:r>
      <w:r>
        <w:rPr>
          <w:rStyle w:val="FootnoteReference"/>
        </w:rPr>
        <w:footnoteReference w:id="17645"/>
      </w:r>
      <w:r>
        <w:t xml:space="preserve">, Hermes, and the brothers who are with them.</w:t>
      </w:r>
    </w:p>
    <w:p>
      <w:r>
        <w:rPr>
          <w:b/>
        </w:rPr>
        <w:t xml:space="preserve">15 </w:t>
      </w:r>
      <w:r>
        <w:t xml:space="preserve">Salute Philologus</w:t>
      </w:r>
      <w:r>
        <w:rPr>
          <w:rStyle w:val="FootnoteReference"/>
        </w:rPr>
        <w:footnoteReference w:id="17646"/>
      </w:r>
      <w:r>
        <w:t xml:space="preserve">, and Julia</w:t>
      </w:r>
      <w:r>
        <w:rPr>
          <w:rStyle w:val="FootnoteReference"/>
        </w:rPr>
        <w:footnoteReference w:id="17647"/>
      </w:r>
      <w:r>
        <w:t xml:space="preserve">, Nereus</w:t>
      </w:r>
      <w:r>
        <w:rPr>
          <w:rStyle w:val="FootnoteReference"/>
        </w:rPr>
        <w:footnoteReference w:id="17648"/>
      </w:r>
      <w:r>
        <w:t xml:space="preserve">, and his sister, and Olympas</w:t>
      </w:r>
      <w:r>
        <w:rPr>
          <w:rStyle w:val="FootnoteReference"/>
        </w:rPr>
        <w:footnoteReference w:id="17649"/>
      </w:r>
      <w:r>
        <w:t xml:space="preserve">, and all the holy ones who are with them.</w:t>
      </w:r>
    </w:p>
    <w:p>
      <w:r>
        <w:rPr>
          <w:b/>
        </w:rPr>
        <w:t xml:space="preserve">16 </w:t>
      </w:r>
      <w:r>
        <w:t xml:space="preserve">Salute one another with a holy kiss. The assemblies of Christ salute you.</w:t>
      </w:r>
    </w:p>
    <w:p>
      <w:r>
        <w:rPr>
          <w:b/>
        </w:rPr>
        <w:t xml:space="preserve">17 </w:t>
      </w:r>
      <w:r>
        <w:t xml:space="preserve">Now I exhort you, brothers, to mark</w:t>
      </w:r>
      <w:r>
        <w:rPr>
          <w:rStyle w:val="FootnoteReference"/>
        </w:rPr>
        <w:footnoteReference w:id="17650"/>
      </w:r>
      <w:r>
        <w:t xml:space="preserve"> those causing divisions and snares contrary to the teaching which you learned; and turn away from them.</w:t>
      </w:r>
    </w:p>
    <w:p>
      <w:r>
        <w:rPr>
          <w:b/>
        </w:rPr>
        <w:t xml:space="preserve">18 </w:t>
      </w:r>
      <w:r>
        <w:t xml:space="preserve">For those who are such serve</w:t>
      </w:r>
      <w:r>
        <w:rPr>
          <w:rStyle w:val="FootnoteReference"/>
        </w:rPr>
        <w:footnoteReference w:id="17651"/>
      </w:r>
      <w:r>
        <w:t xml:space="preserve"> not our Lord Jesus Christ, but their own belly; and by good words and fair speeches deceive the hearts of the simple.</w:t>
      </w:r>
    </w:p>
    <w:p>
      <w:r>
        <w:rPr>
          <w:b/>
        </w:rPr>
        <w:t xml:space="preserve">19 </w:t>
      </w:r>
      <w:r>
        <w:t xml:space="preserve">For your obedience</w:t>
      </w:r>
      <w:r>
        <w:rPr>
          <w:rStyle w:val="FootnoteReference"/>
        </w:rPr>
        <w:footnoteReference w:id="17652"/>
      </w:r>
      <w:r>
        <w:t xml:space="preserve"> reached all. I rejoice therefore over you: but I want you to be wise as to what is good, and innocent as to what is evil.</w:t>
      </w:r>
    </w:p>
    <w:p>
      <w:r>
        <w:rPr>
          <w:b/>
        </w:rPr>
        <w:t xml:space="preserve">20 </w:t>
      </w:r>
      <w:r>
        <w:t xml:space="preserve">And the God</w:t>
      </w:r>
      <w:r>
        <w:rPr>
          <w:rStyle w:val="FootnoteReference"/>
        </w:rPr>
        <w:footnoteReference w:id="17653"/>
      </w:r>
      <w:r>
        <w:t xml:space="preserve"> of peace shall crush Satan under your feet shortly. The grace of our Lord Jesus Christ be with you. Amen.</w:t>
      </w:r>
    </w:p>
    <w:p>
      <w:r>
        <w:rPr>
          <w:b/>
        </w:rPr>
        <w:t xml:space="preserve">21 </w:t>
      </w:r>
      <w:r>
        <w:t xml:space="preserve">Timothy my fellow worker greets you, and Lucius</w:t>
      </w:r>
      <w:r>
        <w:rPr>
          <w:rStyle w:val="FootnoteReference"/>
        </w:rPr>
        <w:footnoteReference w:id="17654"/>
      </w:r>
      <w:r>
        <w:t xml:space="preserve">, and Jason, and Sosipater</w:t>
      </w:r>
      <w:r>
        <w:rPr>
          <w:rStyle w:val="FootnoteReference"/>
        </w:rPr>
        <w:footnoteReference w:id="17655"/>
      </w:r>
      <w:r>
        <w:t xml:space="preserve">, my kinsmen.</w:t>
      </w:r>
    </w:p>
    <w:p>
      <w:r>
        <w:rPr>
          <w:b/>
        </w:rPr>
        <w:t xml:space="preserve">22 </w:t>
      </w:r>
      <w:r>
        <w:t xml:space="preserve">I Tertius</w:t>
      </w:r>
      <w:r>
        <w:rPr>
          <w:rStyle w:val="FootnoteReference"/>
        </w:rPr>
        <w:footnoteReference w:id="17656"/>
      </w:r>
      <w:r>
        <w:t xml:space="preserve">, who wrote the letter, greet you in the Lord.</w:t>
      </w:r>
    </w:p>
    <w:p>
      <w:r>
        <w:rPr>
          <w:b/>
        </w:rPr>
        <w:t xml:space="preserve">23 </w:t>
      </w:r>
      <w:r>
        <w:t xml:space="preserve">Gaius</w:t>
      </w:r>
      <w:r>
        <w:rPr>
          <w:rStyle w:val="FootnoteReference"/>
        </w:rPr>
        <w:footnoteReference w:id="17657"/>
      </w:r>
      <w:r>
        <w:t xml:space="preserve"> my host, and of the whole assembly, salutes you. Erastus the chamberlain of the city salutes you, and Quartus</w:t>
      </w:r>
      <w:r>
        <w:rPr>
          <w:rStyle w:val="FootnoteReference"/>
        </w:rPr>
        <w:footnoteReference w:id="17658"/>
      </w:r>
      <w:r>
        <w:t xml:space="preserve"> a brother.</w:t>
      </w:r>
    </w:p>
    <w:p>
      <w:r>
        <w:rPr>
          <w:b/>
        </w:rPr>
        <w:t xml:space="preserve">24 </w:t>
      </w:r>
      <w:r>
        <w:t xml:space="preserve">The grace of our Lord Jesus Christ be with you all. Amen.</w:t>
      </w:r>
    </w:p>
    <w:p>
      <w:r>
        <w:rPr>
          <w:b/>
        </w:rPr>
        <w:t xml:space="preserve">25 </w:t>
      </w:r>
      <w:r>
        <w:t xml:space="preserve">Now to him</w:t>
      </w:r>
      <w:r>
        <w:rPr>
          <w:rStyle w:val="FootnoteReference"/>
        </w:rPr>
        <w:footnoteReference w:id="17659"/>
      </w:r>
      <w:r>
        <w:t xml:space="preserve"> who is of power to establish you according to my good news, and the preaching of Jesus Christ, according to the revelation of the mystery, which was kept secret since the world began,</w:t>
      </w:r>
    </w:p>
    <w:p>
      <w:r>
        <w:rPr>
          <w:b/>
        </w:rPr>
        <w:t xml:space="preserve">26 </w:t>
      </w:r>
      <w:r>
        <w:t xml:space="preserve">But now is made manifest, and by</w:t>
      </w:r>
      <w:r>
        <w:rPr>
          <w:rStyle w:val="FootnoteReference"/>
        </w:rPr>
        <w:footnoteReference w:id="17660"/>
      </w:r>
      <w:r>
        <w:t xml:space="preserve"> the scriptures of the prophets, according to the commandment of the eternal God, made known to all nations for the obedience of faith:</w:t>
      </w:r>
    </w:p>
    <w:p>
      <w:r>
        <w:rPr>
          <w:b/>
        </w:rPr>
        <w:t xml:space="preserve">27 </w:t>
      </w:r>
      <w:r>
        <w:t xml:space="preserve">To God only</w:t>
      </w:r>
      <w:r>
        <w:rPr>
          <w:rStyle w:val="FootnoteReference"/>
        </w:rPr>
        <w:footnoteReference w:id="17661"/>
      </w:r>
      <w:r>
        <w:t xml:space="preserve"> wise, be glory through Jesus Christ forever. Amen.</w:t>
      </w:r>
    </w:p>
    <w:p>
      <w:r>
        <w:br w:type="page"/>
      </w:r>
    </w:p>
    <w:p>
      <w:pPr>
        <w:pStyle w:val="Heading1"/>
      </w:pPr>
      <w:r>
        <w:t xml:space="preserve">1 Corinthians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called</w:t>
      </w:r>
      <w:r>
        <w:rPr>
          <w:rStyle w:val="FootnoteReference"/>
        </w:rPr>
        <w:footnoteReference w:id="17662"/>
      </w:r>
      <w:r>
        <w:t xml:space="preserve"> to be an apostle of Jesus Christ through the will of God, and Sosthenes our brother,</w:t>
      </w:r>
    </w:p>
    <w:p>
      <w:r>
        <w:rPr>
          <w:b/>
        </w:rPr>
        <w:t xml:space="preserve">2 </w:t>
      </w:r>
      <w:r>
        <w:t xml:space="preserve">To the assembly of God who is at Corinth, to those who are sanctified</w:t>
      </w:r>
      <w:r>
        <w:rPr>
          <w:rStyle w:val="FootnoteReference"/>
        </w:rPr>
        <w:footnoteReference w:id="17663"/>
      </w:r>
      <w:r>
        <w:t xml:space="preserve"> in Christ Jesus, called to be holy ones</w:t>
      </w:r>
      <w:r>
        <w:rPr>
          <w:rStyle w:val="FootnoteReference"/>
        </w:rPr>
        <w:footnoteReference w:id="17664"/>
      </w:r>
      <w:r>
        <w:t xml:space="preserve">, with all that in every place call upon the name of Jesus Christ our Lord, both theirs and ours:</w:t>
      </w:r>
    </w:p>
    <w:p>
      <w:r>
        <w:rPr>
          <w:b/>
        </w:rPr>
        <w:t xml:space="preserve">3 </w:t>
      </w:r>
      <w:r>
        <w:t xml:space="preserve">Grace be to you, and peace, from God our Father, and from the Lord Jesus Christ.</w:t>
      </w:r>
    </w:p>
    <w:p>
      <w:r>
        <w:rPr>
          <w:b/>
        </w:rPr>
        <w:t xml:space="preserve">4 </w:t>
      </w:r>
      <w:r>
        <w:t xml:space="preserve">I thank</w:t>
      </w:r>
      <w:r>
        <w:rPr>
          <w:rStyle w:val="FootnoteReference"/>
        </w:rPr>
        <w:footnoteReference w:id="17665"/>
      </w:r>
      <w:r>
        <w:t xml:space="preserve"> my God always on your behalf, for the grace of God which is given you by Jesus Christ;</w:t>
      </w:r>
    </w:p>
    <w:p>
      <w:r>
        <w:rPr>
          <w:b/>
        </w:rPr>
        <w:t xml:space="preserve">5 </w:t>
      </w:r>
      <w:r>
        <w:t xml:space="preserve">That in everything you were enriched in him, in every</w:t>
      </w:r>
      <w:r>
        <w:rPr>
          <w:rStyle w:val="FootnoteReference"/>
        </w:rPr>
        <w:footnoteReference w:id="17666"/>
      </w:r>
      <w:r>
        <w:t xml:space="preserve"> word and all knowledge;</w:t>
      </w:r>
    </w:p>
    <w:p>
      <w:r>
        <w:rPr>
          <w:b/>
        </w:rPr>
        <w:t xml:space="preserve">6 </w:t>
      </w:r>
      <w:r>
        <w:t xml:space="preserve">Even as the testimony of Christ was confirmed in you:</w:t>
      </w:r>
    </w:p>
    <w:p>
      <w:r>
        <w:rPr>
          <w:b/>
        </w:rPr>
        <w:t xml:space="preserve">7 </w:t>
      </w:r>
      <w:r>
        <w:t xml:space="preserve">So that you lack no gift, eagerly waiting</w:t>
      </w:r>
      <w:r>
        <w:rPr>
          <w:rStyle w:val="FootnoteReference"/>
        </w:rPr>
        <w:footnoteReference w:id="17667"/>
      </w:r>
      <w:r>
        <w:t xml:space="preserve"> for the revelation of our Lord Jesus Christ:</w:t>
      </w:r>
    </w:p>
    <w:p>
      <w:r>
        <w:rPr>
          <w:b/>
        </w:rPr>
        <w:t xml:space="preserve">8 </w:t>
      </w:r>
      <w:r>
        <w:t xml:space="preserve">Who shall also confirm</w:t>
      </w:r>
      <w:r>
        <w:rPr>
          <w:rStyle w:val="FootnoteReference"/>
        </w:rPr>
        <w:footnoteReference w:id="17668"/>
      </w:r>
      <w:r>
        <w:t xml:space="preserve"> you to the end, blameless in the day of our Lord Jesus Christ.</w:t>
      </w:r>
    </w:p>
    <w:p>
      <w:r>
        <w:rPr>
          <w:b/>
        </w:rPr>
        <w:t xml:space="preserve">9 </w:t>
      </w:r>
      <w:r>
        <w:t xml:space="preserve">God is faithful, by whom you were called to the fellowship</w:t>
      </w:r>
      <w:r>
        <w:rPr>
          <w:rStyle w:val="FootnoteReference"/>
        </w:rPr>
        <w:footnoteReference w:id="17669"/>
      </w:r>
      <w:r>
        <w:t xml:space="preserve"> of his Son Jesus Christ our Lord.</w:t>
      </w:r>
    </w:p>
    <w:p>
      <w:r>
        <w:rPr>
          <w:b/>
        </w:rPr>
        <w:t xml:space="preserve">10 </w:t>
      </w:r>
      <w:r>
        <w:t xml:space="preserve">Now I plead to you, brothers, by the name of our Lord Jesus Christ, that you all speak the same thing, and that there is no divisions</w:t>
      </w:r>
      <w:r>
        <w:rPr>
          <w:rStyle w:val="FootnoteReference"/>
        </w:rPr>
        <w:footnoteReference w:id="17670"/>
      </w:r>
      <w:r>
        <w:t xml:space="preserve"> among you; but that you be perfectly joined together in the same mind and in the same judgment.</w:t>
      </w:r>
    </w:p>
    <w:p>
      <w:r>
        <w:rPr>
          <w:b/>
        </w:rPr>
        <w:t xml:space="preserve">11 </w:t>
      </w:r>
      <w:r>
        <w:t xml:space="preserve">For it was made clear to me concerning you, my brothers, by those of Chloe</w:t>
      </w:r>
      <w:r>
        <w:rPr>
          <w:rStyle w:val="FootnoteReference"/>
        </w:rPr>
        <w:footnoteReference w:id="17671"/>
      </w:r>
      <w:r>
        <w:t xml:space="preserve">, that there</w:t>
      </w:r>
      <w:r>
        <w:rPr>
          <w:rStyle w:val="FootnoteReference"/>
        </w:rPr>
        <w:footnoteReference w:id="17672"/>
      </w:r>
      <w:r>
        <w:t xml:space="preserve"> are contentions among you.</w:t>
      </w:r>
    </w:p>
    <w:p>
      <w:r>
        <w:rPr>
          <w:b/>
        </w:rPr>
        <w:t xml:space="preserve">12 </w:t>
      </w:r>
      <w:r>
        <w:t xml:space="preserve">Now I say this, that each of you says, I indeed am of Paul; and I of Apollos</w:t>
      </w:r>
      <w:r>
        <w:rPr>
          <w:rStyle w:val="FootnoteReference"/>
        </w:rPr>
        <w:footnoteReference w:id="17673"/>
      </w:r>
      <w:r>
        <w:t xml:space="preserve">; and I of Cephas; and I of Christ.</w:t>
      </w:r>
    </w:p>
    <w:p>
      <w:r>
        <w:rPr>
          <w:b/>
        </w:rPr>
        <w:t xml:space="preserve">13 </w:t>
      </w:r>
      <w:r>
        <w:t xml:space="preserve">Has Christ</w:t>
      </w:r>
      <w:r>
        <w:rPr>
          <w:rStyle w:val="FootnoteReference"/>
        </w:rPr>
        <w:footnoteReference w:id="17674"/>
      </w:r>
      <w:r>
        <w:t xml:space="preserve"> been divided? was Paul crucified for you? or were you baptized into the name of Paul?</w:t>
      </w:r>
    </w:p>
    <w:p>
      <w:r>
        <w:rPr>
          <w:b/>
        </w:rPr>
        <w:t xml:space="preserve">14 </w:t>
      </w:r>
      <w:r>
        <w:t xml:space="preserve">I thank</w:t>
      </w:r>
      <w:r>
        <w:rPr>
          <w:rStyle w:val="FootnoteReference"/>
        </w:rPr>
        <w:footnoteReference w:id="17675"/>
      </w:r>
      <w:r>
        <w:t xml:space="preserve"> God that I baptized none of you, except Crispus and Gaius;</w:t>
      </w:r>
    </w:p>
    <w:p>
      <w:r>
        <w:rPr>
          <w:b/>
        </w:rPr>
        <w:t xml:space="preserve">15 </w:t>
      </w:r>
      <w:r>
        <w:t xml:space="preserve">So that no one should say that I baptized into my own name.</w:t>
      </w:r>
    </w:p>
    <w:p>
      <w:r>
        <w:rPr>
          <w:b/>
        </w:rPr>
        <w:t xml:space="preserve">16 </w:t>
      </w:r>
      <w:r>
        <w:t xml:space="preserve">And I also baptized the household</w:t>
      </w:r>
      <w:r>
        <w:rPr>
          <w:rStyle w:val="FootnoteReference"/>
        </w:rPr>
        <w:footnoteReference w:id="17676"/>
      </w:r>
      <w:r>
        <w:t xml:space="preserve"> of Stephanas</w:t>
      </w:r>
      <w:r>
        <w:rPr>
          <w:rStyle w:val="FootnoteReference"/>
        </w:rPr>
        <w:footnoteReference w:id="17677"/>
      </w:r>
      <w:r>
        <w:t xml:space="preserve">: besides, I do not know if I baptized any other.</w:t>
      </w:r>
    </w:p>
    <w:p>
      <w:r>
        <w:rPr>
          <w:b/>
        </w:rPr>
        <w:t xml:space="preserve">17 </w:t>
      </w:r>
      <w:r>
        <w:t xml:space="preserve">For Christ sent me not to</w:t>
      </w:r>
      <w:r>
        <w:rPr>
          <w:rStyle w:val="FootnoteReference"/>
        </w:rPr>
        <w:footnoteReference w:id="17678"/>
      </w:r>
      <w:r>
        <w:t xml:space="preserve"> baptize, but to preach the good news: not with wisdom of words, lest the cross of Christ should be made of no effect.</w:t>
      </w:r>
    </w:p>
    <w:p>
      <w:r>
        <w:rPr>
          <w:b/>
        </w:rPr>
        <w:t xml:space="preserve">18 </w:t>
      </w:r>
      <w:r>
        <w:t xml:space="preserve">For the word of the cross is foolishness</w:t>
      </w:r>
      <w:r>
        <w:rPr>
          <w:rStyle w:val="FootnoteReference"/>
        </w:rPr>
        <w:footnoteReference w:id="17679"/>
      </w:r>
      <w:r>
        <w:t xml:space="preserve"> to those who are perishing; but to us who are being saved it is the power of God.</w:t>
      </w:r>
    </w:p>
    <w:p>
      <w:r>
        <w:rPr>
          <w:b/>
        </w:rPr>
        <w:t xml:space="preserve">19 </w:t>
      </w:r>
      <w:r>
        <w:t xml:space="preserve">For it is written, I will destroy the wisdom of the wise, and will set aside the understanding of the understanding ones.</w:t>
      </w:r>
    </w:p>
    <w:p>
      <w:r>
        <w:rPr>
          <w:b/>
        </w:rPr>
        <w:t xml:space="preserve">20 </w:t>
      </w:r>
      <w:r>
        <w:t xml:space="preserve">Where is the wise</w:t>
      </w:r>
      <w:r>
        <w:rPr>
          <w:rStyle w:val="FootnoteReference"/>
        </w:rPr>
        <w:footnoteReference w:id="17680"/>
      </w:r>
      <w:r>
        <w:t xml:space="preserve">? where is the scribe? where is the disputer of this age? has not God made foolish the wisdom of this age?</w:t>
      </w:r>
    </w:p>
    <w:p>
      <w:r>
        <w:rPr>
          <w:b/>
        </w:rPr>
        <w:t xml:space="preserve">21 </w:t>
      </w:r>
      <w:r>
        <w:t xml:space="preserve">For since in the wisdom of God the world</w:t>
      </w:r>
      <w:r>
        <w:rPr>
          <w:rStyle w:val="FootnoteReference"/>
        </w:rPr>
        <w:footnoteReference w:id="17681"/>
      </w:r>
      <w:r>
        <w:t xml:space="preserve"> through wisdom did not know God, God was pleased through the foolishness of the proclamation to save those who believe.</w:t>
      </w:r>
    </w:p>
    <w:p>
      <w:r>
        <w:rPr>
          <w:b/>
        </w:rPr>
        <w:t xml:space="preserve">22 </w:t>
      </w:r>
      <w:r>
        <w:t xml:space="preserve">For Jews ask for a sign, and Greeks seek wisdom:</w:t>
      </w:r>
    </w:p>
    <w:p>
      <w:r>
        <w:rPr>
          <w:b/>
        </w:rPr>
        <w:t xml:space="preserve">23 </w:t>
      </w:r>
      <w:r>
        <w:t xml:space="preserve">But we preach Christ crucified, to Jews indeed a stumbling block, and to Greeks foolishness</w:t>
      </w:r>
      <w:r>
        <w:rPr>
          <w:rStyle w:val="FootnoteReference"/>
        </w:rPr>
        <w:footnoteReference w:id="17682"/>
      </w:r>
      <w:r>
        <w:t xml:space="preserve">;</w:t>
      </w:r>
    </w:p>
    <w:p>
      <w:r>
        <w:rPr>
          <w:b/>
        </w:rPr>
        <w:t xml:space="preserve">24 </w:t>
      </w:r>
      <w:r>
        <w:t xml:space="preserve">But to those who are called</w:t>
      </w:r>
      <w:r>
        <w:rPr>
          <w:rStyle w:val="FootnoteReference"/>
        </w:rPr>
        <w:footnoteReference w:id="17683"/>
      </w:r>
      <w:r>
        <w:t xml:space="preserve">, both Jews and Greeks, Christ the power of God, and the wisdom of God.</w:t>
      </w:r>
    </w:p>
    <w:p>
      <w:r>
        <w:rPr>
          <w:b/>
        </w:rPr>
        <w:t xml:space="preserve">25 </w:t>
      </w:r>
      <w:r>
        <w:t xml:space="preserve">Because the foolish thing of God is wiser than humans; and the weak thing of God is stronger than humans.</w:t>
      </w:r>
    </w:p>
    <w:p>
      <w:r>
        <w:rPr>
          <w:b/>
        </w:rPr>
        <w:t xml:space="preserve">26 </w:t>
      </w:r>
      <w:r>
        <w:t xml:space="preserve">For you see your calling, brothers, that not many are wise according to flesh, not many powerful, not many noble;</w:t>
      </w:r>
    </w:p>
    <w:p>
      <w:r>
        <w:rPr>
          <w:b/>
        </w:rPr>
        <w:t xml:space="preserve">27 </w:t>
      </w:r>
      <w:r>
        <w:t xml:space="preserve">But God chose the foolish things of the world, that he might shame the wise; and God chose the weak things of the world, that he might shame the strong;</w:t>
      </w:r>
    </w:p>
    <w:p>
      <w:r>
        <w:rPr>
          <w:b/>
        </w:rPr>
        <w:t xml:space="preserve">28 </w:t>
      </w:r>
      <w:r>
        <w:t xml:space="preserve">And the low-born things of the world, and the things despised, God chose, and the things not being, that he might make ineffective the things that are:</w:t>
      </w:r>
    </w:p>
    <w:p>
      <w:r>
        <w:rPr>
          <w:b/>
        </w:rPr>
        <w:t xml:space="preserve">29 </w:t>
      </w:r>
      <w:r>
        <w:t xml:space="preserve">So that no flesh should boast before him.</w:t>
      </w:r>
    </w:p>
    <w:p>
      <w:r>
        <w:rPr>
          <w:b/>
        </w:rPr>
        <w:t xml:space="preserve">30 </w:t>
      </w:r>
      <w:r>
        <w:t xml:space="preserve">But from him you are in Christ Jesus, who became wisdom</w:t>
      </w:r>
      <w:r>
        <w:rPr>
          <w:rStyle w:val="FootnoteReference"/>
        </w:rPr>
        <w:footnoteReference w:id="17684"/>
      </w:r>
      <w:r>
        <w:t xml:space="preserve"> to us from God, and righteousness, and sanctification, and redemption:</w:t>
      </w:r>
    </w:p>
    <w:p>
      <w:r>
        <w:rPr>
          <w:b/>
        </w:rPr>
        <w:t xml:space="preserve">31 </w:t>
      </w:r>
      <w:r>
        <w:t xml:space="preserve">So that, as it is written, The one who boasts, let him boast in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I, brothers, when I came to you, did not come according to superiority of word or wisdom, proclaiming to you the testimony</w:t>
      </w:r>
      <w:r>
        <w:rPr>
          <w:rStyle w:val="FootnoteReference"/>
        </w:rPr>
        <w:footnoteReference w:id="17685"/>
      </w:r>
      <w:r>
        <w:t xml:space="preserve"> of God.</w:t>
      </w:r>
    </w:p>
    <w:p>
      <w:r>
        <w:rPr>
          <w:b/>
        </w:rPr>
        <w:t xml:space="preserve">2 </w:t>
      </w:r>
      <w:r>
        <w:t xml:space="preserve">For I determined not to know anything among you, except Jesus Christ, and him crucified.</w:t>
      </w:r>
    </w:p>
    <w:p>
      <w:r>
        <w:rPr>
          <w:b/>
        </w:rPr>
        <w:t xml:space="preserve">3 </w:t>
      </w:r>
      <w:r>
        <w:t xml:space="preserve">And I was with you in weakness, and in fear, and in much trembling.</w:t>
      </w:r>
    </w:p>
    <w:p>
      <w:r>
        <w:rPr>
          <w:b/>
        </w:rPr>
        <w:t xml:space="preserve">4 </w:t>
      </w:r>
      <w:r>
        <w:t xml:space="preserve">And my word and my proclamation were not in persuasive words of human wisdom, but in demonstration of Spirit and of power:</w:t>
      </w:r>
    </w:p>
    <w:p>
      <w:r>
        <w:rPr>
          <w:b/>
        </w:rPr>
        <w:t xml:space="preserve">5 </w:t>
      </w:r>
      <w:r>
        <w:t xml:space="preserve">That your faith should not be in human wisdom, but in the power of God.</w:t>
      </w:r>
    </w:p>
    <w:p>
      <w:r>
        <w:rPr>
          <w:b/>
        </w:rPr>
        <w:t xml:space="preserve">6 </w:t>
      </w:r>
      <w:r>
        <w:t xml:space="preserve">Nevertheless we speak wisdom among those who are perfect: yet not the wisdom of this age, nor of the</w:t>
      </w:r>
      <w:r>
        <w:rPr>
          <w:rStyle w:val="FootnoteReference"/>
        </w:rPr>
        <w:footnoteReference w:id="17686"/>
      </w:r>
      <w:r>
        <w:t xml:space="preserve"> princes of this age, that come to nothing:</w:t>
      </w:r>
    </w:p>
    <w:p>
      <w:r>
        <w:rPr>
          <w:b/>
        </w:rPr>
        <w:t xml:space="preserve">7 </w:t>
      </w:r>
      <w:r>
        <w:t xml:space="preserve">But we speak God's wisdom in a mystery, the hidden wisdom, which God predestined before the ages for our glory:</w:t>
      </w:r>
    </w:p>
    <w:p>
      <w:r>
        <w:rPr>
          <w:b/>
        </w:rPr>
        <w:t xml:space="preserve">8 </w:t>
      </w:r>
      <w:r>
        <w:t xml:space="preserve">Which none</w:t>
      </w:r>
      <w:r>
        <w:rPr>
          <w:rStyle w:val="FootnoteReference"/>
        </w:rPr>
        <w:footnoteReference w:id="17687"/>
      </w:r>
      <w:r>
        <w:t xml:space="preserve"> of the princes of this age knew: for had they known it, they would not have crucified the Lord of glory.</w:t>
      </w:r>
    </w:p>
    <w:p>
      <w:r>
        <w:rPr>
          <w:b/>
        </w:rPr>
        <w:t xml:space="preserve">9 </w:t>
      </w:r>
      <w:r>
        <w:t xml:space="preserve">But as it is written, Things which eye did not see, and ear did not hear, and did not ascend into the heart of human, these God prepared for those who love him.</w:t>
      </w:r>
    </w:p>
    <w:p>
      <w:r>
        <w:rPr>
          <w:b/>
        </w:rPr>
        <w:t xml:space="preserve">10 </w:t>
      </w:r>
      <w:r>
        <w:t xml:space="preserve">But God revealed them to us through his Spirit: for the Spirit</w:t>
      </w:r>
      <w:r>
        <w:rPr>
          <w:rStyle w:val="FootnoteReference"/>
        </w:rPr>
        <w:footnoteReference w:id="17688"/>
      </w:r>
      <w:r>
        <w:t xml:space="preserve"> searches all things, even the depths of God.</w:t>
      </w:r>
    </w:p>
    <w:p>
      <w:r>
        <w:rPr>
          <w:b/>
        </w:rPr>
        <w:t xml:space="preserve">11 </w:t>
      </w:r>
      <w:r>
        <w:t xml:space="preserve">For what man knows the things of a man, save the spirit of man which is in him? even so the things of God knows no one, but the Spirit of God.</w:t>
      </w:r>
    </w:p>
    <w:p>
      <w:r>
        <w:rPr>
          <w:b/>
        </w:rPr>
        <w:t xml:space="preserve">12 </w:t>
      </w:r>
      <w:r>
        <w:t xml:space="preserve">Now we did not receive the spirit of the world, but the Spirit which is from God; that we might know the things graciously given to us by God.</w:t>
      </w:r>
    </w:p>
    <w:p>
      <w:r>
        <w:rPr>
          <w:b/>
        </w:rPr>
        <w:t xml:space="preserve">13 </w:t>
      </w:r>
      <w:r>
        <w:t xml:space="preserve">Which things also we speak, not in words taught by human wisdom, but in words taught by the Holy Spirit, combining spiritual things</w:t>
      </w:r>
      <w:r>
        <w:rPr>
          <w:rStyle w:val="FootnoteReference"/>
        </w:rPr>
        <w:footnoteReference w:id="17689"/>
      </w:r>
      <w:r>
        <w:t xml:space="preserve"> with spiritual.</w:t>
      </w:r>
    </w:p>
    <w:p>
      <w:r>
        <w:rPr>
          <w:b/>
        </w:rPr>
        <w:t xml:space="preserve">14 </w:t>
      </w:r>
      <w:r>
        <w:t xml:space="preserve">But the natural human does not receive the things</w:t>
      </w:r>
      <w:r>
        <w:rPr>
          <w:rStyle w:val="FootnoteReference"/>
        </w:rPr>
        <w:footnoteReference w:id="17690"/>
      </w:r>
      <w:r>
        <w:t xml:space="preserve"> of the Spirit of God: for they are foolishness to him, and he cannot know them, because they are spiritually examined.</w:t>
      </w:r>
    </w:p>
    <w:p>
      <w:r>
        <w:rPr>
          <w:b/>
        </w:rPr>
        <w:t xml:space="preserve">15 </w:t>
      </w:r>
      <w:r>
        <w:t xml:space="preserve">But the spiritual one examines all things, yet he himself is examined by no one.</w:t>
      </w:r>
    </w:p>
    <w:p>
      <w:r>
        <w:rPr>
          <w:b/>
        </w:rPr>
        <w:t xml:space="preserve">16 </w:t>
      </w:r>
      <w:r>
        <w:t xml:space="preserve">For who has known the mind of the Lord, that he may instruct him? But we have the mind of Christ.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I, brothers, was not able to speak to you as to spiritual ones, but as to fleshly ones, as to infants in Christ.</w:t>
      </w:r>
    </w:p>
    <w:p>
      <w:r>
        <w:rPr>
          <w:b/>
        </w:rPr>
        <w:t xml:space="preserve">2 </w:t>
      </w:r>
      <w:r>
        <w:t xml:space="preserve">I gave you milk to drink, and not solid food: for you were not yet able, but neither are you able even now.</w:t>
      </w:r>
    </w:p>
    <w:p>
      <w:r>
        <w:rPr>
          <w:b/>
        </w:rPr>
        <w:t xml:space="preserve">3 </w:t>
      </w:r>
      <w:r>
        <w:t xml:space="preserve">For you are still fleshly: for where there are among you jealousy, and strife, and divisions, are you not fleshly, and do you not walk according to human?</w:t>
      </w:r>
    </w:p>
    <w:p>
      <w:r>
        <w:rPr>
          <w:b/>
        </w:rPr>
        <w:t xml:space="preserve">4 </w:t>
      </w:r>
      <w:r>
        <w:t xml:space="preserve">For whenever one says, I indeed am of Paul; and another, I of Apollos; are you not fleshly?</w:t>
      </w:r>
    </w:p>
    <w:p>
      <w:r>
        <w:rPr>
          <w:b/>
        </w:rPr>
        <w:t xml:space="preserve">5 </w:t>
      </w:r>
      <w:r>
        <w:t xml:space="preserve">Who then is Paul, and who is Apollos, but servants through whom you believed, even as the Lord gave to each?</w:t>
      </w:r>
    </w:p>
    <w:p>
      <w:r>
        <w:rPr>
          <w:b/>
        </w:rPr>
        <w:t xml:space="preserve">6 </w:t>
      </w:r>
      <w:r>
        <w:t xml:space="preserve">I planted, Apollos</w:t>
      </w:r>
      <w:r>
        <w:rPr>
          <w:rStyle w:val="FootnoteReference"/>
        </w:rPr>
        <w:footnoteReference w:id="17691"/>
      </w:r>
      <w:r>
        <w:t xml:space="preserve"> watered; but God was giving growth.</w:t>
      </w:r>
    </w:p>
    <w:p>
      <w:r>
        <w:rPr>
          <w:b/>
        </w:rPr>
        <w:t xml:space="preserve">7 </w:t>
      </w:r>
      <w:r>
        <w:t xml:space="preserve">So then neither the one who plants is anything, nor the one who waters; but God who gives growth.</w:t>
      </w:r>
    </w:p>
    <w:p>
      <w:r>
        <w:rPr>
          <w:b/>
        </w:rPr>
        <w:t xml:space="preserve">8 </w:t>
      </w:r>
      <w:r>
        <w:t xml:space="preserve">Now the one who plants and the one who waters are one: but each shall receive his own reward according to his own labor.</w:t>
      </w:r>
    </w:p>
    <w:p>
      <w:r>
        <w:rPr>
          <w:b/>
        </w:rPr>
        <w:t xml:space="preserve">9 </w:t>
      </w:r>
      <w:r>
        <w:t xml:space="preserve">For we are God's fellow workers: you are God's cultivated field, God's building.</w:t>
      </w:r>
    </w:p>
    <w:p>
      <w:r>
        <w:rPr>
          <w:b/>
        </w:rPr>
        <w:t xml:space="preserve">10 </w:t>
      </w:r>
      <w:r>
        <w:t xml:space="preserve">According to the grace of God which is given to me, as a</w:t>
      </w:r>
      <w:r>
        <w:rPr>
          <w:rStyle w:val="FootnoteReference"/>
        </w:rPr>
        <w:footnoteReference w:id="17692"/>
      </w:r>
      <w:r>
        <w:t xml:space="preserve"> wise architect, I have laid the foundation, and another builds thereon. But let every man take heed how he builds thereupon.</w:t>
      </w:r>
    </w:p>
    <w:p>
      <w:r>
        <w:rPr>
          <w:b/>
        </w:rPr>
        <w:t xml:space="preserve">11 </w:t>
      </w:r>
      <w:r>
        <w:t xml:space="preserve">For no one can lay another foundation beside the one laid, which is Jesus the Christ.</w:t>
      </w:r>
    </w:p>
    <w:p>
      <w:r>
        <w:rPr>
          <w:b/>
        </w:rPr>
        <w:t xml:space="preserve">12 </w:t>
      </w:r>
      <w:r>
        <w:t xml:space="preserve">Now if anyone builds upon this foundation gold</w:t>
      </w:r>
      <w:r>
        <w:rPr>
          <w:rStyle w:val="FootnoteReference"/>
        </w:rPr>
        <w:footnoteReference w:id="17693"/>
      </w:r>
      <w:r>
        <w:t xml:space="preserve">, silver, precious stones, wood, hay, straw;</w:t>
      </w:r>
    </w:p>
    <w:p>
      <w:r>
        <w:rPr>
          <w:b/>
        </w:rPr>
        <w:t xml:space="preserve">13 </w:t>
      </w:r>
      <w:r>
        <w:t xml:space="preserve">Each one's work shall become manifest: for the day shall make it clear, because it is revealed in fire; and the fire</w:t>
      </w:r>
      <w:r>
        <w:rPr>
          <w:rStyle w:val="FootnoteReference"/>
        </w:rPr>
        <w:footnoteReference w:id="17694"/>
      </w:r>
      <w:r>
        <w:t xml:space="preserve"> shall test what sort each one's work is.</w:t>
      </w:r>
    </w:p>
    <w:p>
      <w:r>
        <w:rPr>
          <w:b/>
        </w:rPr>
        <w:t xml:space="preserve">14 </w:t>
      </w:r>
      <w:r>
        <w:t xml:space="preserve">If anyone's work which he built remains, he shall receive a reward.</w:t>
      </w:r>
    </w:p>
    <w:p>
      <w:r>
        <w:rPr>
          <w:b/>
        </w:rPr>
        <w:t xml:space="preserve">15 </w:t>
      </w:r>
      <w:r>
        <w:t xml:space="preserve">If anyone's work</w:t>
      </w:r>
      <w:r>
        <w:rPr>
          <w:rStyle w:val="FootnoteReference"/>
        </w:rPr>
        <w:footnoteReference w:id="17695"/>
      </w:r>
      <w:r>
        <w:t xml:space="preserve"> shall be burned up, he shall suffer loss: but he himself shall be saved, yet so as through fire.</w:t>
      </w:r>
    </w:p>
    <w:p>
      <w:r>
        <w:rPr>
          <w:b/>
        </w:rPr>
        <w:t xml:space="preserve">16 </w:t>
      </w:r>
      <w:r>
        <w:t xml:space="preserve">Do you not know</w:t>
      </w:r>
      <w:r>
        <w:rPr>
          <w:rStyle w:val="FootnoteReference"/>
        </w:rPr>
        <w:footnoteReference w:id="17696"/>
      </w:r>
      <w:r>
        <w:t xml:space="preserve"> that you are God's temple, and that the Spirit of God dwells in you?</w:t>
      </w:r>
    </w:p>
    <w:p>
      <w:r>
        <w:rPr>
          <w:b/>
        </w:rPr>
        <w:t xml:space="preserve">17 </w:t>
      </w:r>
      <w:r>
        <w:t xml:space="preserve">If anyone destroys God's temple, God shall destroy</w:t>
      </w:r>
      <w:r>
        <w:rPr>
          <w:rStyle w:val="FootnoteReference"/>
        </w:rPr>
        <w:footnoteReference w:id="17697"/>
      </w:r>
      <w:r>
        <w:t xml:space="preserve"> this one; for God's temple is holy, which you are.</w:t>
      </w:r>
    </w:p>
    <w:p>
      <w:r>
        <w:rPr>
          <w:b/>
        </w:rPr>
        <w:t xml:space="preserve">18 </w:t>
      </w:r>
      <w:r>
        <w:t xml:space="preserve">Let no one deceive</w:t>
      </w:r>
      <w:r>
        <w:rPr>
          <w:rStyle w:val="FootnoteReference"/>
        </w:rPr>
        <w:footnoteReference w:id="17698"/>
      </w:r>
      <w:r>
        <w:t xml:space="preserve"> himself. If anyone among you seems to be wise in this age, let him become a fool, that he may be wise.</w:t>
      </w:r>
    </w:p>
    <w:p>
      <w:r>
        <w:rPr>
          <w:b/>
        </w:rPr>
        <w:t xml:space="preserve">19 </w:t>
      </w:r>
      <w:r>
        <w:t xml:space="preserve">For the wisdom</w:t>
      </w:r>
      <w:r>
        <w:rPr>
          <w:rStyle w:val="FootnoteReference"/>
        </w:rPr>
        <w:footnoteReference w:id="17699"/>
      </w:r>
      <w:r>
        <w:t xml:space="preserve"> of this world is foolishness with God. For it is written, He catches the wise in their craftiness.</w:t>
      </w:r>
    </w:p>
    <w:p>
      <w:r>
        <w:rPr>
          <w:b/>
        </w:rPr>
        <w:t xml:space="preserve">20 </w:t>
      </w:r>
      <w:r>
        <w:t xml:space="preserve">And again, The Lord</w:t>
      </w:r>
      <w:r>
        <w:rPr>
          <w:rStyle w:val="FootnoteReference"/>
        </w:rPr>
        <w:footnoteReference w:id="17700"/>
      </w:r>
      <w:r>
        <w:t xml:space="preserve"> knows the reasonings of the wise, that they are vain.</w:t>
      </w:r>
    </w:p>
    <w:p>
      <w:r>
        <w:rPr>
          <w:b/>
        </w:rPr>
        <w:t xml:space="preserve">21 </w:t>
      </w:r>
      <w:r>
        <w:t xml:space="preserve">Therefore let no one boast in men. For all things are yours;</w:t>
      </w:r>
    </w:p>
    <w:p>
      <w:r>
        <w:rPr>
          <w:b/>
        </w:rPr>
        <w:t xml:space="preserve">22 </w:t>
      </w:r>
      <w:r>
        <w:t xml:space="preserve">Whether Paul</w:t>
      </w:r>
      <w:r>
        <w:rPr>
          <w:rStyle w:val="FootnoteReference"/>
        </w:rPr>
        <w:footnoteReference w:id="17701"/>
      </w:r>
      <w:r>
        <w:t xml:space="preserve">, or Apollos, or Cephas, or world, or life, or death, or things present, or things to come; all are yours;</w:t>
      </w:r>
    </w:p>
    <w:p>
      <w:r>
        <w:rPr>
          <w:b/>
        </w:rPr>
        <w:t xml:space="preserve">23 </w:t>
      </w:r>
      <w:r>
        <w:t xml:space="preserve">And you are Christ's; and Christ</w:t>
      </w:r>
      <w:r>
        <w:rPr>
          <w:rStyle w:val="FootnoteReference"/>
        </w:rPr>
        <w:footnoteReference w:id="17702"/>
      </w:r>
      <w:r>
        <w:t xml:space="preserve"> is God's.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Let a human so reckon us, as servants of Christ and stewards</w:t>
      </w:r>
      <w:r>
        <w:rPr>
          <w:rStyle w:val="FootnoteReference"/>
        </w:rPr>
        <w:footnoteReference w:id="17703"/>
      </w:r>
      <w:r>
        <w:t xml:space="preserve"> of mysteries of God.</w:t>
      </w:r>
    </w:p>
    <w:p>
      <w:r>
        <w:rPr>
          <w:b/>
        </w:rPr>
        <w:t xml:space="preserve">2 </w:t>
      </w:r>
      <w:r>
        <w:t xml:space="preserve">Moreover it is required among stewards, that one be found faithful.</w:t>
      </w:r>
    </w:p>
    <w:p>
      <w:r>
        <w:rPr>
          <w:b/>
        </w:rPr>
        <w:t xml:space="preserve">3 </w:t>
      </w:r>
      <w:r>
        <w:t xml:space="preserve">But to me it is a very small thing that I should be examined by you, or by a human judgment</w:t>
      </w:r>
      <w:r>
        <w:rPr>
          <w:rStyle w:val="FootnoteReference"/>
        </w:rPr>
        <w:footnoteReference w:id="17704"/>
      </w:r>
      <w:r>
        <w:t xml:space="preserve">: indeed I do not examine myself.</w:t>
      </w:r>
    </w:p>
    <w:p>
      <w:r>
        <w:rPr>
          <w:b/>
        </w:rPr>
        <w:t xml:space="preserve">4 </w:t>
      </w:r>
      <w:r>
        <w:t xml:space="preserve">For I know nothing by myself; yet am I not by this justified: but the one who judges me is the Lord.</w:t>
      </w:r>
    </w:p>
    <w:p>
      <w:r>
        <w:rPr>
          <w:b/>
        </w:rPr>
        <w:t xml:space="preserve">5 </w:t>
      </w:r>
      <w:r>
        <w:t xml:space="preserve">Therefore judge</w:t>
      </w:r>
      <w:r>
        <w:rPr>
          <w:rStyle w:val="FootnoteReference"/>
        </w:rPr>
        <w:footnoteReference w:id="17705"/>
      </w:r>
      <w:r>
        <w:t xml:space="preserve"> nothing before the time, until the Lord comes, who both will bring to light the hidden things of darkness, and will make manifest the counsels of the hearts: and then praise shall come to each from God.</w:t>
      </w:r>
    </w:p>
    <w:p>
      <w:r>
        <w:rPr>
          <w:b/>
        </w:rPr>
        <w:t xml:space="preserve">6 </w:t>
      </w:r>
      <w:r>
        <w:t xml:space="preserve">And these things, brothers, I transferred in figure to myself and Apollos for your sakes; that in us you might learn not to think beyond what is written, that no one of you be puffed</w:t>
      </w:r>
      <w:r>
        <w:rPr>
          <w:rStyle w:val="FootnoteReference"/>
        </w:rPr>
        <w:footnoteReference w:id="17706"/>
      </w:r>
      <w:r>
        <w:t xml:space="preserve"> up for one against another.</w:t>
      </w:r>
    </w:p>
    <w:p>
      <w:r>
        <w:rPr>
          <w:b/>
        </w:rPr>
        <w:t xml:space="preserve">7 </w:t>
      </w:r>
      <w:r>
        <w:t xml:space="preserve">For who distinguishes you? and what</w:t>
      </w:r>
      <w:r>
        <w:rPr>
          <w:rStyle w:val="FootnoteReference"/>
        </w:rPr>
        <w:footnoteReference w:id="17707"/>
      </w:r>
      <w:r>
        <w:t xml:space="preserve"> do you have that you did not receive? But if you also received it, why do you boast as if not having received it?</w:t>
      </w:r>
    </w:p>
    <w:p>
      <w:r>
        <w:rPr>
          <w:b/>
        </w:rPr>
        <w:t xml:space="preserve">8 </w:t>
      </w:r>
      <w:r>
        <w:t xml:space="preserve">Already you are satisfied, already you became rich, you reigned without us: and I wish indeed that you did reign, that we also might reign with you.</w:t>
      </w:r>
    </w:p>
    <w:p>
      <w:r>
        <w:rPr>
          <w:b/>
        </w:rPr>
        <w:t xml:space="preserve">9 </w:t>
      </w:r>
      <w:r>
        <w:t xml:space="preserve">For I think that God displayed us the apostles last, as doomed to death: because we became a spectacle</w:t>
      </w:r>
      <w:r>
        <w:rPr>
          <w:rStyle w:val="FootnoteReference"/>
        </w:rPr>
        <w:footnoteReference w:id="17708"/>
      </w:r>
      <w:r>
        <w:t xml:space="preserve"> to the world, and to angels, and to humans.</w:t>
      </w:r>
    </w:p>
    <w:p>
      <w:r>
        <w:rPr>
          <w:b/>
        </w:rPr>
        <w:t xml:space="preserve">10 </w:t>
      </w:r>
      <w:r>
        <w:t xml:space="preserve">We are fools</w:t>
      </w:r>
      <w:r>
        <w:rPr>
          <w:rStyle w:val="FootnoteReference"/>
        </w:rPr>
        <w:footnoteReference w:id="17709"/>
      </w:r>
      <w:r>
        <w:t xml:space="preserve"> because of Christ, but you are wise in Christ; we are weak, but you are strong; you are honored, but we are dishonored.</w:t>
      </w:r>
    </w:p>
    <w:p>
      <w:r>
        <w:rPr>
          <w:b/>
        </w:rPr>
        <w:t xml:space="preserve">11 </w:t>
      </w:r>
      <w:r>
        <w:t xml:space="preserve">Until this present hour we both hunger, and thirst, and are poorly clothed, and are struck, and are homeless;</w:t>
      </w:r>
    </w:p>
    <w:p>
      <w:r>
        <w:rPr>
          <w:b/>
        </w:rPr>
        <w:t xml:space="preserve">12 </w:t>
      </w:r>
      <w:r>
        <w:t xml:space="preserve">And we labor, working with our own hands: being reviled</w:t>
      </w:r>
      <w:r>
        <w:rPr>
          <w:rStyle w:val="FootnoteReference"/>
        </w:rPr>
        <w:footnoteReference w:id="17710"/>
      </w:r>
      <w:r>
        <w:t xml:space="preserve">, we bless; being persecuted, we endure:</w:t>
      </w:r>
    </w:p>
    <w:p>
      <w:r>
        <w:rPr>
          <w:b/>
        </w:rPr>
        <w:t xml:space="preserve">13 </w:t>
      </w:r>
      <w:r>
        <w:t xml:space="preserve">Being slandered, we entreat: we became as the scum of the world, the refuse of all things until now.</w:t>
      </w:r>
    </w:p>
    <w:p>
      <w:r>
        <w:rPr>
          <w:b/>
        </w:rPr>
        <w:t xml:space="preserve">14 </w:t>
      </w:r>
      <w:r>
        <w:t xml:space="preserve">I do not write</w:t>
      </w:r>
      <w:r>
        <w:rPr>
          <w:rStyle w:val="FootnoteReference"/>
        </w:rPr>
        <w:footnoteReference w:id="17711"/>
      </w:r>
      <w:r>
        <w:t xml:space="preserve"> these things to shame you, but as my beloved children I warn you.</w:t>
      </w:r>
    </w:p>
    <w:p>
      <w:r>
        <w:rPr>
          <w:b/>
        </w:rPr>
        <w:t xml:space="preserve">15 </w:t>
      </w:r>
      <w:r>
        <w:t xml:space="preserve">For though you have ten thousand instructors in Christ, yet have you not many fathers: for in Christ Jesus I have begotten you through the good news.</w:t>
      </w:r>
    </w:p>
    <w:p>
      <w:r>
        <w:rPr>
          <w:b/>
        </w:rPr>
        <w:t xml:space="preserve">16 </w:t>
      </w:r>
      <w:r>
        <w:t xml:space="preserve">Therefore I exhort you, become imitators of me.</w:t>
      </w:r>
    </w:p>
    <w:p>
      <w:r>
        <w:rPr>
          <w:b/>
        </w:rPr>
        <w:t xml:space="preserve">17 </w:t>
      </w:r>
      <w:r>
        <w:t xml:space="preserve">For this cause have I sent</w:t>
      </w:r>
      <w:r>
        <w:rPr>
          <w:rStyle w:val="FootnoteReference"/>
        </w:rPr>
        <w:footnoteReference w:id="17712"/>
      </w:r>
      <w:r>
        <w:t xml:space="preserve"> to you Timothy, who is my beloved son, and faithful in the Lord, who shall bring you into remembrance of my ways which are in Christ, as I teach everywhere in every assembly.</w:t>
      </w:r>
    </w:p>
    <w:p>
      <w:r>
        <w:rPr>
          <w:b/>
        </w:rPr>
        <w:t xml:space="preserve">18 </w:t>
      </w:r>
      <w:r>
        <w:t xml:space="preserve">Now some were puffed up, as though I were not coming to you.</w:t>
      </w:r>
    </w:p>
    <w:p>
      <w:r>
        <w:rPr>
          <w:b/>
        </w:rPr>
        <w:t xml:space="preserve">19 </w:t>
      </w:r>
      <w:r>
        <w:t xml:space="preserve">But I will come to you shortly, if the Lord will, and will know, not the speech of those who are puffed up, but the power.</w:t>
      </w:r>
    </w:p>
    <w:p>
      <w:r>
        <w:rPr>
          <w:b/>
        </w:rPr>
        <w:t xml:space="preserve">20 </w:t>
      </w:r>
      <w:r>
        <w:t xml:space="preserve">For the kingdom of God is not in word, but in power.</w:t>
      </w:r>
    </w:p>
    <w:p>
      <w:r>
        <w:rPr>
          <w:b/>
        </w:rPr>
        <w:t xml:space="preserve">21 </w:t>
      </w:r>
      <w:r>
        <w:t xml:space="preserve">What do you want? shall I come to you with a rod, or in love and a spirit of gentleness?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It is reported</w:t>
      </w:r>
      <w:r>
        <w:rPr>
          <w:rStyle w:val="FootnoteReference"/>
        </w:rPr>
        <w:footnoteReference w:id="17713"/>
      </w:r>
      <w:r>
        <w:t xml:space="preserve"> commonly that there is sexual immorality among you, and such sexual immorality as is not so much as named among the nations, that one should have his father's wife.</w:t>
      </w:r>
    </w:p>
    <w:p>
      <w:r>
        <w:rPr>
          <w:b/>
        </w:rPr>
        <w:t xml:space="preserve">2 </w:t>
      </w:r>
      <w:r>
        <w:t xml:space="preserve">And you are puffed up, and did not rather mourn, that the one who did this deed might</w:t>
      </w:r>
      <w:r>
        <w:rPr>
          <w:rStyle w:val="FootnoteReference"/>
        </w:rPr>
        <w:footnoteReference w:id="17714"/>
      </w:r>
      <w:r>
        <w:t xml:space="preserve"> be taken away from among you.</w:t>
      </w:r>
    </w:p>
    <w:p>
      <w:r>
        <w:rPr>
          <w:b/>
        </w:rPr>
        <w:t xml:space="preserve">3 </w:t>
      </w:r>
      <w:r>
        <w:t xml:space="preserve">For I indeed, as absent</w:t>
      </w:r>
      <w:r>
        <w:rPr>
          <w:rStyle w:val="FootnoteReference"/>
        </w:rPr>
        <w:footnoteReference w:id="17715"/>
      </w:r>
      <w:r>
        <w:t xml:space="preserve"> in body but present in spirit, have already judged, as though present, the one who thus worked this deed,</w:t>
      </w:r>
    </w:p>
    <w:p>
      <w:r>
        <w:rPr>
          <w:b/>
        </w:rPr>
        <w:t xml:space="preserve">4 </w:t>
      </w:r>
      <w:r>
        <w:t xml:space="preserve">In the name</w:t>
      </w:r>
      <w:r>
        <w:rPr>
          <w:rStyle w:val="FootnoteReference"/>
        </w:rPr>
        <w:footnoteReference w:id="17716"/>
      </w:r>
      <w:r>
        <w:t xml:space="preserve"> of our Lord Jesus Christ, when you are gathered together, and my spirit, with the power of our Lord Jesus Christ,</w:t>
      </w:r>
    </w:p>
    <w:p>
      <w:r>
        <w:rPr>
          <w:b/>
        </w:rPr>
        <w:t xml:space="preserve">5 </w:t>
      </w:r>
      <w:r>
        <w:t xml:space="preserve">To deliver</w:t>
      </w:r>
      <w:r>
        <w:rPr>
          <w:rStyle w:val="FootnoteReference"/>
        </w:rPr>
        <w:footnoteReference w:id="17717"/>
      </w:r>
      <w:r>
        <w:t xml:space="preserve"> such a one to Satan for the destruction of the flesh, that the spirit may be saved in the day of the Lord Jesus.</w:t>
      </w:r>
    </w:p>
    <w:p>
      <w:r>
        <w:rPr>
          <w:b/>
        </w:rPr>
        <w:t xml:space="preserve">6 </w:t>
      </w:r>
      <w:r>
        <w:t xml:space="preserve">Your boasting is not good. Do you not know that a little</w:t>
      </w:r>
      <w:r>
        <w:rPr>
          <w:rStyle w:val="FootnoteReference"/>
        </w:rPr>
        <w:footnoteReference w:id="17718"/>
      </w:r>
      <w:r>
        <w:t xml:space="preserve"> leaven leavens the whole lump?</w:t>
      </w:r>
    </w:p>
    <w:p>
      <w:r>
        <w:rPr>
          <w:b/>
        </w:rPr>
        <w:t xml:space="preserve">7 </w:t>
      </w:r>
      <w:r>
        <w:t xml:space="preserve">Clean out therefore the old leaven, that you may be a new lump, just as you are unleavened. For also Christ</w:t>
      </w:r>
      <w:r>
        <w:rPr>
          <w:rStyle w:val="FootnoteReference"/>
        </w:rPr>
        <w:footnoteReference w:id="17719"/>
      </w:r>
      <w:r>
        <w:t xml:space="preserve"> our Passover was sacrificed for us:</w:t>
      </w:r>
    </w:p>
    <w:p>
      <w:r>
        <w:rPr>
          <w:b/>
        </w:rPr>
        <w:t xml:space="preserve">8 </w:t>
      </w:r>
      <w:r>
        <w:t xml:space="preserve">Therefore let us keep the feast</w:t>
      </w:r>
      <w:r>
        <w:rPr>
          <w:rStyle w:val="FootnoteReference"/>
        </w:rPr>
        <w:footnoteReference w:id="17720"/>
      </w:r>
      <w:r>
        <w:t xml:space="preserve">, not with old leaven, nor with leaven of malice and wickedness; but with unleavened things of sincerity and truth.</w:t>
      </w:r>
    </w:p>
    <w:p>
      <w:r>
        <w:rPr>
          <w:b/>
        </w:rPr>
        <w:t xml:space="preserve">9 </w:t>
      </w:r>
      <w:r>
        <w:t xml:space="preserve">I wrote to you in the letter not to associate with sexually immoral people:</w:t>
      </w:r>
    </w:p>
    <w:p>
      <w:r>
        <w:rPr>
          <w:b/>
        </w:rPr>
        <w:t xml:space="preserve">10 </w:t>
      </w:r>
      <w:r>
        <w:t xml:space="preserve">Yet not altogether</w:t>
      </w:r>
      <w:r>
        <w:rPr>
          <w:rStyle w:val="FootnoteReference"/>
        </w:rPr>
        <w:footnoteReference w:id="17721"/>
      </w:r>
      <w:r>
        <w:t xml:space="preserve"> with the sexually immoral people of this world, or with the covetous, or swindlers, or idolaters; since then you would be obligated to go out of the world.</w:t>
      </w:r>
    </w:p>
    <w:p>
      <w:r>
        <w:rPr>
          <w:b/>
        </w:rPr>
        <w:t xml:space="preserve">11 </w:t>
      </w:r>
      <w:r>
        <w:t xml:space="preserve">But now I wrote to you not to associate, if anyone named a brother is sexually immoral, or covetous</w:t>
      </w:r>
      <w:r>
        <w:rPr>
          <w:rStyle w:val="FootnoteReference"/>
        </w:rPr>
        <w:footnoteReference w:id="17722"/>
      </w:r>
      <w:r>
        <w:t xml:space="preserve">, or an idolater, or a reviler, or a drunkard, or a swindler; with such a one, not even to eat.</w:t>
      </w:r>
    </w:p>
    <w:p>
      <w:r>
        <w:rPr>
          <w:b/>
        </w:rPr>
        <w:t xml:space="preserve">12 </w:t>
      </w:r>
      <w:r>
        <w:t xml:space="preserve">For what is it to me to judge those outside also? do you not judge those inside?</w:t>
      </w:r>
    </w:p>
    <w:p>
      <w:r>
        <w:rPr>
          <w:b/>
        </w:rPr>
        <w:t xml:space="preserve">13 </w:t>
      </w:r>
      <w:r>
        <w:t xml:space="preserve">But those who are outside, God judges. Therefore</w:t>
      </w:r>
      <w:r>
        <w:rPr>
          <w:rStyle w:val="FootnoteReference"/>
        </w:rPr>
        <w:footnoteReference w:id="17723"/>
      </w:r>
      <w:r>
        <w:t xml:space="preserve"> remove from among yourselves that wicked person.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Dare any of you, having a matter against another, go to law before the unjust, and not before the holy ones?</w:t>
      </w:r>
    </w:p>
    <w:p>
      <w:r>
        <w:rPr>
          <w:b/>
        </w:rPr>
        <w:t xml:space="preserve">2 </w:t>
      </w:r>
      <w:r>
        <w:t xml:space="preserve">Do you not know that the holy ones shall judge the world? and if the world shall be judged by you, are you unworthy to judge the smallest</w:t>
      </w:r>
      <w:r>
        <w:rPr>
          <w:rStyle w:val="FootnoteReference"/>
        </w:rPr>
        <w:footnoteReference w:id="17724"/>
      </w:r>
      <w:r>
        <w:t xml:space="preserve"> matters?</w:t>
      </w:r>
    </w:p>
    <w:p>
      <w:r>
        <w:rPr>
          <w:b/>
        </w:rPr>
        <w:t xml:space="preserve">3 </w:t>
      </w:r>
      <w:r>
        <w:t xml:space="preserve">Do you not know that we shall judge</w:t>
      </w:r>
      <w:r>
        <w:rPr>
          <w:rStyle w:val="FootnoteReference"/>
        </w:rPr>
        <w:footnoteReference w:id="17725"/>
      </w:r>
      <w:r>
        <w:t xml:space="preserve"> angels? how much more things of this life?</w:t>
      </w:r>
    </w:p>
    <w:p>
      <w:r>
        <w:rPr>
          <w:b/>
        </w:rPr>
        <w:t xml:space="preserve">4 </w:t>
      </w:r>
      <w:r>
        <w:t xml:space="preserve">If then you have judgments of things pertaining to this life, set them to judge who are least esteemed in the assembly.</w:t>
      </w:r>
    </w:p>
    <w:p>
      <w:r>
        <w:rPr>
          <w:b/>
        </w:rPr>
        <w:t xml:space="preserve">5 </w:t>
      </w:r>
      <w:r>
        <w:t xml:space="preserve">I speak to your</w:t>
      </w:r>
      <w:r>
        <w:rPr>
          <w:rStyle w:val="FootnoteReference"/>
        </w:rPr>
        <w:footnoteReference w:id="17726"/>
      </w:r>
      <w:r>
        <w:t xml:space="preserve"> shame. Is there not so much as one wise man among you, who shall be able to judge between his brothers?</w:t>
      </w:r>
    </w:p>
    <w:p>
      <w:r>
        <w:rPr>
          <w:b/>
        </w:rPr>
        <w:t xml:space="preserve">6 </w:t>
      </w:r>
      <w:r>
        <w:t xml:space="preserve">But brother</w:t>
      </w:r>
      <w:r>
        <w:rPr>
          <w:rStyle w:val="FootnoteReference"/>
        </w:rPr>
        <w:footnoteReference w:id="17727"/>
      </w:r>
      <w:r>
        <w:t xml:space="preserve"> is judged with brother, and this before unbelievers.</w:t>
      </w:r>
    </w:p>
    <w:p>
      <w:r>
        <w:rPr>
          <w:b/>
        </w:rPr>
        <w:t xml:space="preserve">7 </w:t>
      </w:r>
      <w:r>
        <w:t xml:space="preserve">Already indeed it is altogether a defeat among you, because you have lawsuits with yourselves. Why not rather be wronged? why not rather be defrauded?</w:t>
      </w:r>
    </w:p>
    <w:p>
      <w:r>
        <w:rPr>
          <w:b/>
        </w:rPr>
        <w:t xml:space="preserve">8 </w:t>
      </w:r>
      <w:r>
        <w:t xml:space="preserve">But you do wrong, and defraud, and these things to brothers.</w:t>
      </w:r>
    </w:p>
    <w:p>
      <w:r>
        <w:rPr>
          <w:b/>
        </w:rPr>
        <w:t xml:space="preserve">9 </w:t>
      </w:r>
      <w:r>
        <w:t xml:space="preserve">Or do you not know</w:t>
      </w:r>
      <w:r>
        <w:rPr>
          <w:rStyle w:val="FootnoteReference"/>
        </w:rPr>
        <w:footnoteReference w:id="17728"/>
      </w:r>
      <w:r>
        <w:t xml:space="preserve"> that the unrighteous shall not inherit the kingdom of God? Do not be deceived: neither sexually immoral people, nor idolaters, nor adulterers, nor male prostitutes, nor men who lie with males,</w:t>
      </w:r>
    </w:p>
    <w:p>
      <w:r>
        <w:rPr>
          <w:b/>
        </w:rPr>
        <w:t xml:space="preserve">10 </w:t>
      </w:r>
      <w:r>
        <w:t xml:space="preserve">Nor thieves</w:t>
      </w:r>
      <w:r>
        <w:rPr>
          <w:rStyle w:val="FootnoteReference"/>
        </w:rPr>
        <w:footnoteReference w:id="17729"/>
      </w:r>
      <w:r>
        <w:t xml:space="preserve">, nor covetous, nor drunkards, nor revilers, nor swindlers, shall inherit the kingdom of God.</w:t>
      </w:r>
    </w:p>
    <w:p>
      <w:r>
        <w:rPr>
          <w:b/>
        </w:rPr>
        <w:t xml:space="preserve">11 </w:t>
      </w:r>
      <w:r>
        <w:t xml:space="preserve">And such</w:t>
      </w:r>
      <w:r>
        <w:rPr>
          <w:rStyle w:val="FootnoteReference"/>
        </w:rPr>
        <w:footnoteReference w:id="17730"/>
      </w:r>
      <w:r>
        <w:t xml:space="preserve"> were some of you: but you were washed, but you were sanctified, but you were justified in the name of the Lord Jesus, and by the Spirit of our God.</w:t>
      </w:r>
    </w:p>
    <w:p>
      <w:r>
        <w:rPr>
          <w:b/>
        </w:rPr>
        <w:t xml:space="preserve">12 </w:t>
      </w:r>
      <w:r>
        <w:t xml:space="preserve">All things are lawful</w:t>
      </w:r>
      <w:r>
        <w:rPr>
          <w:rStyle w:val="FootnoteReference"/>
        </w:rPr>
        <w:footnoteReference w:id="17731"/>
      </w:r>
      <w:r>
        <w:t xml:space="preserve"> to me, but not all things are profitable: all things are lawful to me, but I will not be mastered by anything.</w:t>
      </w:r>
    </w:p>
    <w:p>
      <w:r>
        <w:rPr>
          <w:b/>
        </w:rPr>
        <w:t xml:space="preserve">13 </w:t>
      </w:r>
      <w:r>
        <w:t xml:space="preserve">Foods for the belly, and the belly for foods: but God</w:t>
      </w:r>
      <w:r>
        <w:rPr>
          <w:rStyle w:val="FootnoteReference"/>
        </w:rPr>
        <w:footnoteReference w:id="17732"/>
      </w:r>
      <w:r>
        <w:t xml:space="preserve"> shall destroy both it and them. Now the body is not for sexual immorality, but for the Lord; and the Lord for the body.</w:t>
      </w:r>
    </w:p>
    <w:p>
      <w:r>
        <w:rPr>
          <w:b/>
        </w:rPr>
        <w:t xml:space="preserve">14 </w:t>
      </w:r>
      <w:r>
        <w:t xml:space="preserve">And God both raised the Lord, and will also raise us up through his own power.</w:t>
      </w:r>
    </w:p>
    <w:p>
      <w:r>
        <w:rPr>
          <w:b/>
        </w:rPr>
        <w:t xml:space="preserve">15 </w:t>
      </w:r>
      <w:r>
        <w:t xml:space="preserve">Do you not know that your bodies are the members of Christ? shall I then take the members of Christ, and make them the members of a prostitute? May it not be.</w:t>
      </w:r>
    </w:p>
    <w:p>
      <w:r>
        <w:rPr>
          <w:b/>
        </w:rPr>
        <w:t xml:space="preserve">16 </w:t>
      </w:r>
      <w:r>
        <w:t xml:space="preserve">Or do you not know that the one who is joined to a prostitute is one body? for two, says he, shall be one flesh.</w:t>
      </w:r>
    </w:p>
    <w:p>
      <w:r>
        <w:rPr>
          <w:b/>
        </w:rPr>
        <w:t xml:space="preserve">17 </w:t>
      </w:r>
      <w:r>
        <w:t xml:space="preserve">But the one joined to the Lord is one spirit.</w:t>
      </w:r>
    </w:p>
    <w:p>
      <w:r>
        <w:rPr>
          <w:b/>
        </w:rPr>
        <w:t xml:space="preserve">18 </w:t>
      </w:r>
      <w:r>
        <w:t xml:space="preserve">Flee</w:t>
      </w:r>
      <w:r>
        <w:rPr>
          <w:rStyle w:val="FootnoteReference"/>
        </w:rPr>
        <w:footnoteReference w:id="17733"/>
      </w:r>
      <w:r>
        <w:t xml:space="preserve"> sexual immorality. Every sin that a man does is without the body; but the one who commits sexual immorality sins against his own body.</w:t>
      </w:r>
    </w:p>
    <w:p>
      <w:r>
        <w:rPr>
          <w:b/>
        </w:rPr>
        <w:t xml:space="preserve">19 </w:t>
      </w:r>
      <w:r>
        <w:t xml:space="preserve">Or do you not know that your body</w:t>
      </w:r>
      <w:r>
        <w:rPr>
          <w:rStyle w:val="FootnoteReference"/>
        </w:rPr>
        <w:footnoteReference w:id="17734"/>
      </w:r>
      <w:r>
        <w:t xml:space="preserve"> is the temple of the Holy Spirit which is in you, which you have of God, and you are not your own?</w:t>
      </w:r>
    </w:p>
    <w:p>
      <w:r>
        <w:rPr>
          <w:b/>
        </w:rPr>
        <w:t xml:space="preserve">20 </w:t>
      </w:r>
      <w:r>
        <w:t xml:space="preserve">For you were bought with a price: therefore glorify God in your body, and in your spirit, which are God's.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Now concerning the things of which you wrote to me: It is good</w:t>
      </w:r>
      <w:r>
        <w:rPr>
          <w:rStyle w:val="FootnoteReference"/>
        </w:rPr>
        <w:footnoteReference w:id="17735"/>
      </w:r>
      <w:r>
        <w:t xml:space="preserve"> for a human not to touch a woman.</w:t>
      </w:r>
    </w:p>
    <w:p>
      <w:r>
        <w:rPr>
          <w:b/>
        </w:rPr>
        <w:t xml:space="preserve">2 </w:t>
      </w:r>
      <w:r>
        <w:t xml:space="preserve">Nevertheless, to avoid</w:t>
      </w:r>
      <w:r>
        <w:rPr>
          <w:rStyle w:val="FootnoteReference"/>
        </w:rPr>
        <w:footnoteReference w:id="17736"/>
      </w:r>
      <w:r>
        <w:t xml:space="preserve"> sexual immorality, let every man have his own wife, and let every woman have her own husband.</w:t>
      </w:r>
    </w:p>
    <w:p>
      <w:r>
        <w:rPr>
          <w:b/>
        </w:rPr>
        <w:t xml:space="preserve">3 </w:t>
      </w:r>
      <w:r>
        <w:t xml:space="preserve">Let the husband render to the wife the owed affection: and likewise also the wife to the husband.</w:t>
      </w:r>
    </w:p>
    <w:p>
      <w:r>
        <w:rPr>
          <w:b/>
        </w:rPr>
        <w:t xml:space="preserve">4 </w:t>
      </w:r>
      <w:r>
        <w:t xml:space="preserve">The wife does not have authority over her own body, but the husband: and likewise also the husband does not have authority over his own body, but the wife.</w:t>
      </w:r>
    </w:p>
    <w:p>
      <w:r>
        <w:rPr>
          <w:b/>
        </w:rPr>
        <w:t xml:space="preserve">5 </w:t>
      </w:r>
      <w:r>
        <w:t xml:space="preserve">Do not deprive one another, except</w:t>
      </w:r>
      <w:r>
        <w:rPr>
          <w:rStyle w:val="FootnoteReference"/>
        </w:rPr>
        <w:footnoteReference w:id="17737"/>
      </w:r>
      <w:r>
        <w:t xml:space="preserve"> by agreement for a time, that you may devote yourselves to fasting and prayer; and come together again, that Satan may not tempt you because of your lack of self-control.</w:t>
      </w:r>
    </w:p>
    <w:p>
      <w:r>
        <w:rPr>
          <w:b/>
        </w:rPr>
        <w:t xml:space="preserve">6 </w:t>
      </w:r>
      <w:r>
        <w:t xml:space="preserve">But I say this by concession, not by command.</w:t>
      </w:r>
    </w:p>
    <w:p>
      <w:r>
        <w:rPr>
          <w:b/>
        </w:rPr>
        <w:t xml:space="preserve">7 </w:t>
      </w:r>
      <w:r>
        <w:t xml:space="preserve">For I wish all humans to be even as myself. But each has his own gracious gift from God, one in this way, and another in that.</w:t>
      </w:r>
    </w:p>
    <w:p>
      <w:r>
        <w:rPr>
          <w:b/>
        </w:rPr>
        <w:t xml:space="preserve">8 </w:t>
      </w:r>
      <w:r>
        <w:t xml:space="preserve">But I say to the unmarried and to the widows, It is good for them if they remain as I also.</w:t>
      </w:r>
    </w:p>
    <w:p>
      <w:r>
        <w:rPr>
          <w:b/>
        </w:rPr>
        <w:t xml:space="preserve">9 </w:t>
      </w:r>
      <w:r>
        <w:t xml:space="preserve">But if they do not have self-control, let them marry: for it is better to marry than to burn.</w:t>
      </w:r>
    </w:p>
    <w:p>
      <w:r>
        <w:rPr>
          <w:b/>
        </w:rPr>
        <w:t xml:space="preserve">10 </w:t>
      </w:r>
      <w:r>
        <w:t xml:space="preserve">And to the married I command, not I, but the Lord, A wife is not to be separated from her husband:</w:t>
      </w:r>
    </w:p>
    <w:p>
      <w:r>
        <w:rPr>
          <w:b/>
        </w:rPr>
        <w:t xml:space="preserve">11 </w:t>
      </w:r>
      <w:r>
        <w:t xml:space="preserve">But and if she depart, let her remain unmarried or be reconciled to her husband: and let</w:t>
      </w:r>
      <w:r>
        <w:rPr>
          <w:rStyle w:val="FootnoteReference"/>
        </w:rPr>
        <w:footnoteReference w:id="17738"/>
      </w:r>
      <w:r>
        <w:t xml:space="preserve"> not the husband release his wife.</w:t>
      </w:r>
    </w:p>
    <w:p>
      <w:r>
        <w:rPr>
          <w:b/>
        </w:rPr>
        <w:t xml:space="preserve">12 </w:t>
      </w:r>
      <w:r>
        <w:t xml:space="preserve">But to the rest speak</w:t>
      </w:r>
      <w:r>
        <w:rPr>
          <w:rStyle w:val="FootnoteReference"/>
        </w:rPr>
        <w:footnoteReference w:id="17739"/>
      </w:r>
      <w:r>
        <w:t xml:space="preserve"> I, not the Lord: If any brother has a wife that does not believe, and she be pleased to dwell with him, let him not release her.</w:t>
      </w:r>
    </w:p>
    <w:p>
      <w:r>
        <w:rPr>
          <w:b/>
        </w:rPr>
        <w:t xml:space="preserve">13 </w:t>
      </w:r>
      <w:r>
        <w:t xml:space="preserve">And the woman who has a husband that does not believe, and if he is pleased to dwell with her, let her not leave him.</w:t>
      </w:r>
    </w:p>
    <w:p>
      <w:r>
        <w:rPr>
          <w:b/>
        </w:rPr>
        <w:t xml:space="preserve">14 </w:t>
      </w:r>
      <w:r>
        <w:t xml:space="preserve">For the unbelieving husband</w:t>
      </w:r>
      <w:r>
        <w:rPr>
          <w:rStyle w:val="FootnoteReference"/>
        </w:rPr>
        <w:footnoteReference w:id="17740"/>
      </w:r>
      <w:r>
        <w:t xml:space="preserve"> has been sanctified in the wife, and the unbelieving wife has been sanctified in the husband: otherwise your children are unclean; but now they are holy.</w:t>
      </w:r>
    </w:p>
    <w:p>
      <w:r>
        <w:rPr>
          <w:b/>
        </w:rPr>
        <w:t xml:space="preserve">15 </w:t>
      </w:r>
      <w:r>
        <w:t xml:space="preserve">But if the unbelieving one separates, let him separate. A brother</w:t>
      </w:r>
      <w:r>
        <w:rPr>
          <w:rStyle w:val="FootnoteReference"/>
        </w:rPr>
        <w:footnoteReference w:id="17741"/>
      </w:r>
      <w:r>
        <w:t xml:space="preserve"> or a sister is not enslaved in such cases: but God has called us in peace.</w:t>
      </w:r>
    </w:p>
    <w:p>
      <w:r>
        <w:rPr>
          <w:b/>
        </w:rPr>
        <w:t xml:space="preserve">16 </w:t>
      </w:r>
      <w:r>
        <w:t xml:space="preserve">For how do you know, O wife</w:t>
      </w:r>
      <w:r>
        <w:rPr>
          <w:rStyle w:val="FootnoteReference"/>
        </w:rPr>
        <w:footnoteReference w:id="17742"/>
      </w:r>
      <w:r>
        <w:t xml:space="preserve">, whether you shall save your husband? or how do you know, O husband, whether you shall save your wife?</w:t>
      </w:r>
    </w:p>
    <w:p>
      <w:r>
        <w:rPr>
          <w:b/>
        </w:rPr>
        <w:t xml:space="preserve">17 </w:t>
      </w:r>
      <w:r>
        <w:t xml:space="preserve">But as God</w:t>
      </w:r>
      <w:r>
        <w:rPr>
          <w:rStyle w:val="FootnoteReference"/>
        </w:rPr>
        <w:footnoteReference w:id="17743"/>
      </w:r>
      <w:r>
        <w:t xml:space="preserve"> has distributed to every man, as the Lord has called every one, so let him walk. And so ordain I in all assemblies.</w:t>
      </w:r>
    </w:p>
    <w:p>
      <w:r>
        <w:rPr>
          <w:b/>
        </w:rPr>
        <w:t xml:space="preserve">18 </w:t>
      </w:r>
      <w:r>
        <w:t xml:space="preserve">Was anyone called having been circumcised? let him not undo circumcision. Was anyone called in uncircumcision? let him not be circumcised.</w:t>
      </w:r>
    </w:p>
    <w:p>
      <w:r>
        <w:rPr>
          <w:b/>
        </w:rPr>
        <w:t xml:space="preserve">19 </w:t>
      </w:r>
      <w:r>
        <w:t xml:space="preserve">Circumcision</w:t>
      </w:r>
      <w:r>
        <w:rPr>
          <w:rStyle w:val="FootnoteReference"/>
        </w:rPr>
        <w:footnoteReference w:id="17744"/>
      </w:r>
      <w:r>
        <w:t xml:space="preserve"> is nothing, and uncircumcision is nothing, but keeping the commandments of God.</w:t>
      </w:r>
    </w:p>
    <w:p>
      <w:r>
        <w:rPr>
          <w:b/>
        </w:rPr>
        <w:t xml:space="preserve">20 </w:t>
      </w:r>
      <w:r>
        <w:t xml:space="preserve">Let each remain in the calling in which he was called.</w:t>
      </w:r>
    </w:p>
    <w:p>
      <w:r>
        <w:rPr>
          <w:b/>
        </w:rPr>
        <w:t xml:space="preserve">21 </w:t>
      </w:r>
      <w:r>
        <w:t xml:space="preserve">Are you called being a slave? care</w:t>
      </w:r>
      <w:r>
        <w:rPr>
          <w:rStyle w:val="FootnoteReference"/>
        </w:rPr>
        <w:footnoteReference w:id="17745"/>
      </w:r>
      <w:r>
        <w:t xml:space="preserve"> not for it: but if you may be made free, use it rather.</w:t>
      </w:r>
    </w:p>
    <w:p>
      <w:r>
        <w:rPr>
          <w:b/>
        </w:rPr>
        <w:t xml:space="preserve">22 </w:t>
      </w:r>
      <w:r>
        <w:t xml:space="preserve">For the one who is called in the Lord, being a slave, is the</w:t>
      </w:r>
      <w:r>
        <w:rPr>
          <w:rStyle w:val="FootnoteReference"/>
        </w:rPr>
        <w:footnoteReference w:id="17746"/>
      </w:r>
      <w:r>
        <w:t xml:space="preserve"> Lord's freeman: likewise also the one who is called, being free, is Christ's slave.</w:t>
      </w:r>
    </w:p>
    <w:p>
      <w:r>
        <w:rPr>
          <w:b/>
        </w:rPr>
        <w:t xml:space="preserve">23 </w:t>
      </w:r>
      <w:r>
        <w:t xml:space="preserve">You are bought with a price; do not be slaves of men.</w:t>
      </w:r>
    </w:p>
    <w:p>
      <w:r>
        <w:rPr>
          <w:b/>
        </w:rPr>
        <w:t xml:space="preserve">24 </w:t>
      </w:r>
      <w:r>
        <w:t xml:space="preserve">Brothers, let each remain with God in that in which he was called.</w:t>
      </w:r>
    </w:p>
    <w:p>
      <w:r>
        <w:rPr>
          <w:b/>
        </w:rPr>
        <w:t xml:space="preserve">25 </w:t>
      </w:r>
      <w:r>
        <w:t xml:space="preserve">Now concerning</w:t>
      </w:r>
      <w:r>
        <w:rPr>
          <w:rStyle w:val="FootnoteReference"/>
        </w:rPr>
        <w:footnoteReference w:id="17747"/>
      </w:r>
      <w:r>
        <w:t xml:space="preserve"> virgins, I have no commandment of the Lord: but I give judgment, as one having received mercy from the Lord to be faithful.</w:t>
      </w:r>
    </w:p>
    <w:p>
      <w:r>
        <w:rPr>
          <w:b/>
        </w:rPr>
        <w:t xml:space="preserve">26 </w:t>
      </w:r>
      <w:r>
        <w:t xml:space="preserve">Therefore I suppose this to be good because of the present necessity, that it is good for a human to be thus.</w:t>
      </w:r>
    </w:p>
    <w:p>
      <w:r>
        <w:rPr>
          <w:b/>
        </w:rPr>
        <w:t xml:space="preserve">27 </w:t>
      </w:r>
      <w:r>
        <w:t xml:space="preserve">Are you bound to a wife? do not seek release. Are you released from a wife? do not seek a wife.</w:t>
      </w:r>
    </w:p>
    <w:p>
      <w:r>
        <w:rPr>
          <w:b/>
        </w:rPr>
        <w:t xml:space="preserve">28 </w:t>
      </w:r>
      <w:r>
        <w:t xml:space="preserve">But if you also marry, you did not sin; and if the virgin marries, she did not sin. Nevertheless</w:t>
      </w:r>
      <w:r>
        <w:rPr>
          <w:rStyle w:val="FootnoteReference"/>
        </w:rPr>
        <w:footnoteReference w:id="17748"/>
      </w:r>
      <w:r>
        <w:t xml:space="preserve"> such shall have trouble in the flesh: but I spare you.</w:t>
      </w:r>
    </w:p>
    <w:p>
      <w:r>
        <w:rPr>
          <w:b/>
        </w:rPr>
        <w:t xml:space="preserve">29 </w:t>
      </w:r>
      <w:r>
        <w:t xml:space="preserve">But this I say, brothers, the time</w:t>
      </w:r>
      <w:r>
        <w:rPr>
          <w:rStyle w:val="FootnoteReference"/>
        </w:rPr>
        <w:footnoteReference w:id="17749"/>
      </w:r>
      <w:r>
        <w:t xml:space="preserve"> has been shortened: from now on, even those who have wives should be as though having none;</w:t>
      </w:r>
    </w:p>
    <w:p>
      <w:r>
        <w:rPr>
          <w:b/>
        </w:rPr>
        <w:t xml:space="preserve">30 </w:t>
      </w:r>
      <w:r>
        <w:t xml:space="preserve">And those who weep, as though not weeping; and those who rejoice, as though not rejoicing; and those who buy, as though not possessing;</w:t>
      </w:r>
    </w:p>
    <w:p>
      <w:r>
        <w:rPr>
          <w:b/>
        </w:rPr>
        <w:t xml:space="preserve">31 </w:t>
      </w:r>
      <w:r>
        <w:t xml:space="preserve">And those who use this world, as not using it fully: for the form of this world is passing away.</w:t>
      </w:r>
    </w:p>
    <w:p>
      <w:r>
        <w:rPr>
          <w:b/>
        </w:rPr>
        <w:t xml:space="preserve">32 </w:t>
      </w:r>
      <w:r>
        <w:t xml:space="preserve">But I want you to be without anxiety. The unmarried one cares for the things of the Lord, how he may please the Lord:</w:t>
      </w:r>
    </w:p>
    <w:p>
      <w:r>
        <w:rPr>
          <w:b/>
        </w:rPr>
        <w:t xml:space="preserve">33 </w:t>
      </w:r>
      <w:r>
        <w:t xml:space="preserve">But the one who married cares for the things of the world, how he may please his wife.</w:t>
      </w:r>
    </w:p>
    <w:p>
      <w:r>
        <w:rPr>
          <w:b/>
        </w:rPr>
        <w:t xml:space="preserve">34 </w:t>
      </w:r>
      <w:r>
        <w:t xml:space="preserve">There is a difference between the wife and the virgin. The unmarried woman cares for the things of the Lord, that she may be holy both</w:t>
      </w:r>
      <w:r>
        <w:rPr>
          <w:rStyle w:val="FootnoteReference"/>
        </w:rPr>
        <w:footnoteReference w:id="17750"/>
      </w:r>
      <w:r>
        <w:t xml:space="preserve"> in body and in spirit: but the one who married cares for the things of the world, how she may please her husband.</w:t>
      </w:r>
    </w:p>
    <w:p>
      <w:r>
        <w:rPr>
          <w:b/>
        </w:rPr>
        <w:t xml:space="preserve">35 </w:t>
      </w:r>
      <w:r>
        <w:t xml:space="preserve">And this I say for your own profit; not that I may throw a snare upon you, but for what is proper, and for undistracted devotion to the Lord.</w:t>
      </w:r>
    </w:p>
    <w:p>
      <w:r>
        <w:rPr>
          <w:b/>
        </w:rPr>
        <w:t xml:space="preserve">36 </w:t>
      </w:r>
      <w:r>
        <w:t xml:space="preserve">But if anyone thinks he behaves indecently toward his virgin, if she is past youth, and it ought so to happen, let him do what he wills; he does not sin: let them marry.</w:t>
      </w:r>
    </w:p>
    <w:p>
      <w:r>
        <w:rPr>
          <w:b/>
        </w:rPr>
        <w:t xml:space="preserve">37 </w:t>
      </w:r>
      <w:r>
        <w:t xml:space="preserve">But the one who stands firm in his heart, having no necessity, but has authority over his own will, and has judged this in his heart, to keep his own virgin, does well.</w:t>
      </w:r>
    </w:p>
    <w:p>
      <w:r>
        <w:rPr>
          <w:b/>
        </w:rPr>
        <w:t xml:space="preserve">38 </w:t>
      </w:r>
      <w:r>
        <w:t xml:space="preserve">So then both the one who gives her in marriage does well, and the one who does not give her in marriage does better.</w:t>
      </w:r>
    </w:p>
    <w:p>
      <w:r>
        <w:rPr>
          <w:b/>
        </w:rPr>
        <w:t xml:space="preserve">39 </w:t>
      </w:r>
      <w:r>
        <w:t xml:space="preserve">A wife</w:t>
      </w:r>
      <w:r>
        <w:rPr>
          <w:rStyle w:val="FootnoteReference"/>
        </w:rPr>
        <w:footnoteReference w:id="17751"/>
      </w:r>
      <w:r>
        <w:t xml:space="preserve"> is bound by law as long as her husband lives; but if her husband falls asleep, she is free to be married to whom she wills; only in the Lord.</w:t>
      </w:r>
    </w:p>
    <w:p>
      <w:r>
        <w:rPr>
          <w:b/>
        </w:rPr>
        <w:t xml:space="preserve">40 </w:t>
      </w:r>
      <w:r>
        <w:t xml:space="preserve">But she is more blessed if she remains thus, according to my judgment: and I think</w:t>
      </w:r>
      <w:r>
        <w:rPr>
          <w:rStyle w:val="FootnoteReference"/>
        </w:rPr>
        <w:footnoteReference w:id="17752"/>
      </w:r>
      <w:r>
        <w:t xml:space="preserve"> that I also have the Spirit of God.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Now concerning idol-offerings, we know that we all have knowledge</w:t>
      </w:r>
      <w:r>
        <w:rPr>
          <w:rStyle w:val="FootnoteReference"/>
        </w:rPr>
        <w:footnoteReference w:id="17753"/>
      </w:r>
      <w:r>
        <w:t xml:space="preserve">. Knowledge puffs up, but love builds up.</w:t>
      </w:r>
    </w:p>
    <w:p>
      <w:r>
        <w:rPr>
          <w:b/>
        </w:rPr>
        <w:t xml:space="preserve">2 </w:t>
      </w:r>
      <w:r>
        <w:t xml:space="preserve">And if anyone thinks that he knows anything, he has not yet known anything as he ought to know.</w:t>
      </w:r>
    </w:p>
    <w:p>
      <w:r>
        <w:rPr>
          <w:b/>
        </w:rPr>
        <w:t xml:space="preserve">3 </w:t>
      </w:r>
      <w:r>
        <w:t xml:space="preserve">But if anyone loves God, this one is known by him.</w:t>
      </w:r>
    </w:p>
    <w:p>
      <w:r>
        <w:rPr>
          <w:b/>
        </w:rPr>
        <w:t xml:space="preserve">4 </w:t>
      </w:r>
      <w:r>
        <w:t xml:space="preserve">Therefore concerning the eating of idol-offerings, we know that an idol is nothing in the world, and that there is</w:t>
      </w:r>
      <w:r>
        <w:rPr>
          <w:rStyle w:val="FootnoteReference"/>
        </w:rPr>
        <w:footnoteReference w:id="17754"/>
      </w:r>
      <w:r>
        <w:t xml:space="preserve"> no other God except one.</w:t>
      </w:r>
    </w:p>
    <w:p>
      <w:r>
        <w:rPr>
          <w:b/>
        </w:rPr>
        <w:t xml:space="preserve">5 </w:t>
      </w:r>
      <w:r>
        <w:t xml:space="preserve">For even if there are so-called gods, whether in heaven or on earth, as there are many gods and many lords,</w:t>
      </w:r>
    </w:p>
    <w:p>
      <w:r>
        <w:rPr>
          <w:b/>
        </w:rPr>
        <w:t xml:space="preserve">6 </w:t>
      </w:r>
      <w:r>
        <w:t xml:space="preserve">Yet to us there is one God</w:t>
      </w:r>
      <w:r>
        <w:rPr>
          <w:rStyle w:val="FootnoteReference"/>
        </w:rPr>
        <w:footnoteReference w:id="17755"/>
      </w:r>
      <w:r>
        <w:t xml:space="preserve">, the Father, from whom are all things, and we for him; and one Lord Jesus Christ, through whom are all things, and we through him.</w:t>
      </w:r>
    </w:p>
    <w:p>
      <w:r>
        <w:rPr>
          <w:b/>
        </w:rPr>
        <w:t xml:space="preserve">7 </w:t>
      </w:r>
      <w:r>
        <w:t xml:space="preserve">But knowledge is not in all: for some, with consciousness of the idol until now, eat it as an idol-offering; and their conscience, being weak, is defiled.</w:t>
      </w:r>
    </w:p>
    <w:p>
      <w:r>
        <w:rPr>
          <w:b/>
        </w:rPr>
        <w:t xml:space="preserve">8 </w:t>
      </w:r>
      <w:r>
        <w:t xml:space="preserve">But food does not present us to God: for neither if we eat do we abound, nor if we do not eat do we lack.</w:t>
      </w:r>
    </w:p>
    <w:p>
      <w:r>
        <w:rPr>
          <w:b/>
        </w:rPr>
        <w:t xml:space="preserve">9 </w:t>
      </w:r>
      <w:r>
        <w:t xml:space="preserve">But take</w:t>
      </w:r>
      <w:r>
        <w:rPr>
          <w:rStyle w:val="FootnoteReference"/>
        </w:rPr>
        <w:footnoteReference w:id="17756"/>
      </w:r>
      <w:r>
        <w:t xml:space="preserve"> heed lest by any means this liberty of yours become a stumbling block to those who are weak.</w:t>
      </w:r>
    </w:p>
    <w:p>
      <w:r>
        <w:rPr>
          <w:b/>
        </w:rPr>
        <w:t xml:space="preserve">10 </w:t>
      </w:r>
      <w:r>
        <w:t xml:space="preserve">For if anyone sees you who have knowledge reclining in an idol's temple, shall not</w:t>
      </w:r>
      <w:r>
        <w:rPr>
          <w:rStyle w:val="FootnoteReference"/>
        </w:rPr>
        <w:footnoteReference w:id="17757"/>
      </w:r>
      <w:r>
        <w:t xml:space="preserve"> his conscience, being weak, be built up to eat idol-offerings?</w:t>
      </w:r>
    </w:p>
    <w:p>
      <w:r>
        <w:rPr>
          <w:b/>
        </w:rPr>
        <w:t xml:space="preserve">11 </w:t>
      </w:r>
      <w:r>
        <w:t xml:space="preserve">And by your knowledge the weak brother shall perish, for whom Christ died.</w:t>
      </w:r>
    </w:p>
    <w:p>
      <w:r>
        <w:rPr>
          <w:b/>
        </w:rPr>
        <w:t xml:space="preserve">12 </w:t>
      </w:r>
      <w:r>
        <w:t xml:space="preserve">But sinning in this way against the brothers, and striking their weak conscience, you sin against Christ.</w:t>
      </w:r>
    </w:p>
    <w:p>
      <w:r>
        <w:rPr>
          <w:b/>
        </w:rPr>
        <w:t xml:space="preserve">13 </w:t>
      </w:r>
      <w:r>
        <w:t xml:space="preserve">Therefore, if food causes my brother to stumble, I will certainly not eat meat forever, so that I may not cause my brother to stumble.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Am I not an</w:t>
      </w:r>
      <w:r>
        <w:rPr>
          <w:rStyle w:val="FootnoteReference"/>
        </w:rPr>
        <w:footnoteReference w:id="17758"/>
      </w:r>
      <w:r>
        <w:t xml:space="preserve"> apostle? am I not free? have I not seen Jesus Christ our Lord? are not you my work in the Lord?</w:t>
      </w:r>
    </w:p>
    <w:p>
      <w:r>
        <w:rPr>
          <w:b/>
        </w:rPr>
        <w:t xml:space="preserve">2 </w:t>
      </w:r>
      <w:r>
        <w:t xml:space="preserve">If I am not an apostle to others, yet indeed I am to you: for you are the seal of my apostleship in the Lord.</w:t>
      </w:r>
    </w:p>
    <w:p>
      <w:r>
        <w:rPr>
          <w:b/>
        </w:rPr>
        <w:t xml:space="preserve">3 </w:t>
      </w:r>
      <w:r>
        <w:t xml:space="preserve">My defense to those who examine me is this,</w:t>
      </w:r>
    </w:p>
    <w:p>
      <w:r>
        <w:rPr>
          <w:b/>
        </w:rPr>
        <w:t xml:space="preserve">4 </w:t>
      </w:r>
      <w:r>
        <w:t xml:space="preserve">Do we not have a right to eat and to drink?</w:t>
      </w:r>
    </w:p>
    <w:p>
      <w:r>
        <w:rPr>
          <w:b/>
        </w:rPr>
        <w:t xml:space="preserve">5 </w:t>
      </w:r>
      <w:r>
        <w:t xml:space="preserve">Have we not power to lead</w:t>
      </w:r>
      <w:r>
        <w:rPr>
          <w:rStyle w:val="FootnoteReference"/>
        </w:rPr>
        <w:footnoteReference w:id="17759"/>
      </w:r>
      <w:r>
        <w:t xml:space="preserve"> about a sister, a wife, as well as other apostles, and as the brothers of the Lord, and Cephas?</w:t>
      </w:r>
    </w:p>
    <w:p>
      <w:r>
        <w:rPr>
          <w:b/>
        </w:rPr>
        <w:t xml:space="preserve">6 </w:t>
      </w:r>
      <w:r>
        <w:t xml:space="preserve">Or do only I and Barnabas</w:t>
      </w:r>
      <w:r>
        <w:rPr>
          <w:rStyle w:val="FootnoteReference"/>
        </w:rPr>
        <w:footnoteReference w:id="17760"/>
      </w:r>
      <w:r>
        <w:t xml:space="preserve"> not have a right not to work?</w:t>
      </w:r>
    </w:p>
    <w:p>
      <w:r>
        <w:rPr>
          <w:b/>
        </w:rPr>
        <w:t xml:space="preserve">7 </w:t>
      </w:r>
      <w:r>
        <w:t xml:space="preserve">Who ever serves as a soldier at his own wages? who plants a vineyard, and does not eat of its fruit? or who shepherds a flock, and does not eat of the milk of the flock?</w:t>
      </w:r>
    </w:p>
    <w:p>
      <w:r>
        <w:rPr>
          <w:b/>
        </w:rPr>
        <w:t xml:space="preserve">8 </w:t>
      </w:r>
      <w:r>
        <w:t xml:space="preserve">Say I these things as a man? or does not the law say the same also?</w:t>
      </w:r>
    </w:p>
    <w:p>
      <w:r>
        <w:rPr>
          <w:b/>
        </w:rPr>
        <w:t xml:space="preserve">9 </w:t>
      </w:r>
      <w:r>
        <w:t xml:space="preserve">For it is written in the law of Moses, You shall not suppress the mouth of the ox that treads out the grain. Does God take care for oxen?</w:t>
      </w:r>
    </w:p>
    <w:p>
      <w:r>
        <w:rPr>
          <w:b/>
        </w:rPr>
        <w:t xml:space="preserve">10 </w:t>
      </w:r>
      <w:r>
        <w:t xml:space="preserve">Or does he say it altogether for our sakes? For our sakes it was written, that the one who plows ought to plow in hope, and the one who threshes in hope should partake of his hope.</w:t>
      </w:r>
    </w:p>
    <w:p>
      <w:r>
        <w:rPr>
          <w:b/>
        </w:rPr>
        <w:t xml:space="preserve">11 </w:t>
      </w:r>
      <w:r>
        <w:t xml:space="preserve">If we sowed spiritual things to you, is it a great</w:t>
      </w:r>
      <w:r>
        <w:rPr>
          <w:rStyle w:val="FootnoteReference"/>
        </w:rPr>
        <w:footnoteReference w:id="17761"/>
      </w:r>
      <w:r>
        <w:t xml:space="preserve"> thing if we shall reap your material things?</w:t>
      </w:r>
    </w:p>
    <w:p>
      <w:r>
        <w:rPr>
          <w:b/>
        </w:rPr>
        <w:t xml:space="preserve">12 </w:t>
      </w:r>
      <w:r>
        <w:t xml:space="preserve">If others</w:t>
      </w:r>
      <w:r>
        <w:rPr>
          <w:rStyle w:val="FootnoteReference"/>
        </w:rPr>
        <w:footnoteReference w:id="17762"/>
      </w:r>
      <w:r>
        <w:t xml:space="preserve"> be partakers of this power over you, are not we rather? Nevertheless we have not used this power; but suffer all things, lest we should hinder the good news of Christ.</w:t>
      </w:r>
    </w:p>
    <w:p>
      <w:r>
        <w:rPr>
          <w:b/>
        </w:rPr>
        <w:t xml:space="preserve">13 </w:t>
      </w:r>
      <w:r>
        <w:t xml:space="preserve">Do you not know that those who work in sacred things eat from the temple, and those who attend at the altar share with the altar?</w:t>
      </w:r>
    </w:p>
    <w:p>
      <w:r>
        <w:rPr>
          <w:b/>
        </w:rPr>
        <w:t xml:space="preserve">14 </w:t>
      </w:r>
      <w:r>
        <w:t xml:space="preserve">Even so has the Lord ordained</w:t>
      </w:r>
      <w:r>
        <w:rPr>
          <w:rStyle w:val="FootnoteReference"/>
        </w:rPr>
        <w:footnoteReference w:id="17763"/>
      </w:r>
      <w:r>
        <w:t xml:space="preserve"> that those who preach the good news should live of the good news.</w:t>
      </w:r>
    </w:p>
    <w:p>
      <w:r>
        <w:rPr>
          <w:b/>
        </w:rPr>
        <w:t xml:space="preserve">15 </w:t>
      </w:r>
      <w:r>
        <w:t xml:space="preserve">But I have used none of these things: nor did I write these things that it should be so done to me; for it would be better for me to die, than that anyone should make my boasting empty.</w:t>
      </w:r>
    </w:p>
    <w:p>
      <w:r>
        <w:rPr>
          <w:b/>
        </w:rPr>
        <w:t xml:space="preserve">16 </w:t>
      </w:r>
      <w:r>
        <w:t xml:space="preserve">For though I preach the good news, I have nothing to boast of: for necessity is laid upon me; yes, woe is to me, if I preach not the good news!</w:t>
      </w:r>
    </w:p>
    <w:p>
      <w:r>
        <w:rPr>
          <w:b/>
        </w:rPr>
        <w:t xml:space="preserve">17 </w:t>
      </w:r>
      <w:r>
        <w:t xml:space="preserve">For if I</w:t>
      </w:r>
      <w:r>
        <w:rPr>
          <w:rStyle w:val="FootnoteReference"/>
        </w:rPr>
        <w:footnoteReference w:id="17764"/>
      </w:r>
      <w:r>
        <w:t xml:space="preserve"> practice this willingly, I have a reward: but if unwillingly, a stewardship has been entrusted to me.</w:t>
      </w:r>
    </w:p>
    <w:p>
      <w:r>
        <w:rPr>
          <w:b/>
        </w:rPr>
        <w:t xml:space="preserve">18 </w:t>
      </w:r>
      <w:r>
        <w:t xml:space="preserve">What is my reward then? truly that, when I preach the good news, I may make the good news of Christ without charge, that I abuse not my power in the good news.</w:t>
      </w:r>
    </w:p>
    <w:p>
      <w:r>
        <w:rPr>
          <w:b/>
        </w:rPr>
        <w:t xml:space="preserve">19 </w:t>
      </w:r>
      <w:r>
        <w:t xml:space="preserve">For though I be</w:t>
      </w:r>
      <w:r>
        <w:rPr>
          <w:rStyle w:val="FootnoteReference"/>
        </w:rPr>
        <w:footnoteReference w:id="17765"/>
      </w:r>
      <w:r>
        <w:t xml:space="preserve"> free from all men, yet have I made myself slave to all, that I might gain the more.</w:t>
      </w:r>
    </w:p>
    <w:p>
      <w:r>
        <w:rPr>
          <w:b/>
        </w:rPr>
        <w:t xml:space="preserve">20 </w:t>
      </w:r>
      <w:r>
        <w:t xml:space="preserve">And to the Jews I became as a Jew, that I might gain Jews; to those under law, as under law, that I might gain those under law;</w:t>
      </w:r>
    </w:p>
    <w:p>
      <w:r>
        <w:rPr>
          <w:b/>
        </w:rPr>
        <w:t xml:space="preserve">21 </w:t>
      </w:r>
      <w:r>
        <w:t xml:space="preserve">To those without law, as without law, not being lawless to God, but under Christ's law, that I might gain those without law.</w:t>
      </w:r>
    </w:p>
    <w:p>
      <w:r>
        <w:rPr>
          <w:b/>
        </w:rPr>
        <w:t xml:space="preserve">22 </w:t>
      </w:r>
      <w:r>
        <w:t xml:space="preserve">To the weak</w:t>
      </w:r>
      <w:r>
        <w:rPr>
          <w:rStyle w:val="FootnoteReference"/>
        </w:rPr>
        <w:footnoteReference w:id="17766"/>
      </w:r>
      <w:r>
        <w:t xml:space="preserve"> I became as weak, that I might gain the weak: to all I have become all things, that by all means I might save some.</w:t>
      </w:r>
    </w:p>
    <w:p>
      <w:r>
        <w:rPr>
          <w:b/>
        </w:rPr>
        <w:t xml:space="preserve">23 </w:t>
      </w:r>
      <w:r>
        <w:t xml:space="preserve">And this I do for the sake of the good news, that I might be partaker of it with you.</w:t>
      </w:r>
    </w:p>
    <w:p>
      <w:r>
        <w:rPr>
          <w:b/>
        </w:rPr>
        <w:t xml:space="preserve">24 </w:t>
      </w:r>
      <w:r>
        <w:t xml:space="preserve">Do you not know that those who run in</w:t>
      </w:r>
      <w:r>
        <w:rPr>
          <w:rStyle w:val="FootnoteReference"/>
        </w:rPr>
        <w:footnoteReference w:id="17767"/>
      </w:r>
      <w:r>
        <w:t xml:space="preserve"> a stadium all run, but one receives the prize? So run, that you may obtain.</w:t>
      </w:r>
    </w:p>
    <w:p>
      <w:r>
        <w:rPr>
          <w:b/>
        </w:rPr>
        <w:t xml:space="preserve">25 </w:t>
      </w:r>
      <w:r>
        <w:t xml:space="preserve">And everyone who competes exercises self-control in all things. Now they do it to receive a perishable wreath; but we an imperishable.</w:t>
      </w:r>
    </w:p>
    <w:p>
      <w:r>
        <w:rPr>
          <w:b/>
        </w:rPr>
        <w:t xml:space="preserve">26 </w:t>
      </w:r>
      <w:r>
        <w:t xml:space="preserve">Therefore I run in this way, not uncertainly; I fight in this way, not as beating air:</w:t>
      </w:r>
    </w:p>
    <w:p>
      <w:r>
        <w:rPr>
          <w:b/>
        </w:rPr>
        <w:t xml:space="preserve">27 </w:t>
      </w:r>
      <w:r>
        <w:t xml:space="preserve">But I discipline my body and enslave it, lest somehow, after preaching to others, I myself should become disapproved.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Now I do not want you to be ignorant, brothers, that our fathers were all under the cloud, and all passed through the sea;</w:t>
      </w:r>
    </w:p>
    <w:p>
      <w:r>
        <w:rPr>
          <w:b/>
        </w:rPr>
        <w:t xml:space="preserve">2 </w:t>
      </w:r>
      <w:r>
        <w:t xml:space="preserve">And all were baptized into Moses in the cloud and in the sea;</w:t>
      </w:r>
    </w:p>
    <w:p>
      <w:r>
        <w:rPr>
          <w:b/>
        </w:rPr>
        <w:t xml:space="preserve">3 </w:t>
      </w:r>
      <w:r>
        <w:t xml:space="preserve">And all ate the same spiritual food;</w:t>
      </w:r>
    </w:p>
    <w:p>
      <w:r>
        <w:rPr>
          <w:b/>
        </w:rPr>
        <w:t xml:space="preserve">4 </w:t>
      </w:r>
      <w:r>
        <w:t xml:space="preserve">And all drank the same spiritual drink: for they drank from a spiritual Rock</w:t>
      </w:r>
      <w:r>
        <w:rPr>
          <w:rStyle w:val="FootnoteReference"/>
        </w:rPr>
        <w:footnoteReference w:id="17768"/>
      </w:r>
      <w:r>
        <w:t xml:space="preserve"> following them: and the Rock was Christ.</w:t>
      </w:r>
    </w:p>
    <w:p>
      <w:r>
        <w:rPr>
          <w:b/>
        </w:rPr>
        <w:t xml:space="preserve">5 </w:t>
      </w:r>
      <w:r>
        <w:t xml:space="preserve">But with most of them God was not well pleased: for they were strewn in the wilderness.</w:t>
      </w:r>
    </w:p>
    <w:p>
      <w:r>
        <w:rPr>
          <w:b/>
        </w:rPr>
        <w:t xml:space="preserve">6 </w:t>
      </w:r>
      <w:r>
        <w:t xml:space="preserve">Now these things became types for us, so that we should not be desirers of evil things, as they also desired.</w:t>
      </w:r>
    </w:p>
    <w:p>
      <w:r>
        <w:rPr>
          <w:b/>
        </w:rPr>
        <w:t xml:space="preserve">7 </w:t>
      </w:r>
      <w:r>
        <w:t xml:space="preserve">Neither become idolaters, as some of them; as it is written, The people sat down to eat and drink, and rose up to play.</w:t>
      </w:r>
    </w:p>
    <w:p>
      <w:r>
        <w:rPr>
          <w:b/>
        </w:rPr>
        <w:t xml:space="preserve">8 </w:t>
      </w:r>
      <w:r>
        <w:t xml:space="preserve">Neither let us commit sexual immorality, as some of them committed, and fell in one day three and twenty thousand.</w:t>
      </w:r>
    </w:p>
    <w:p>
      <w:r>
        <w:rPr>
          <w:b/>
        </w:rPr>
        <w:t xml:space="preserve">9 </w:t>
      </w:r>
      <w:r>
        <w:t xml:space="preserve">Neither let us test Christ, as some of them also tested, and were</w:t>
      </w:r>
      <w:r>
        <w:rPr>
          <w:rStyle w:val="FootnoteReference"/>
        </w:rPr>
        <w:footnoteReference w:id="17769"/>
      </w:r>
      <w:r>
        <w:t xml:space="preserve"> destroyed by the serpents.</w:t>
      </w:r>
    </w:p>
    <w:p>
      <w:r>
        <w:rPr>
          <w:b/>
        </w:rPr>
        <w:t xml:space="preserve">10 </w:t>
      </w:r>
      <w:r>
        <w:t xml:space="preserve">Neither murmur</w:t>
      </w:r>
      <w:r>
        <w:rPr>
          <w:rStyle w:val="FootnoteReference"/>
        </w:rPr>
        <w:footnoteReference w:id="17770"/>
      </w:r>
      <w:r>
        <w:t xml:space="preserve">, as some of them also murmured, and were destroyed by the destroyer.</w:t>
      </w:r>
    </w:p>
    <w:p>
      <w:r>
        <w:rPr>
          <w:b/>
        </w:rPr>
        <w:t xml:space="preserve">11 </w:t>
      </w:r>
      <w:r>
        <w:t xml:space="preserve">Now all these things happened to them for ensamples: and they are written for our admonition, upon</w:t>
      </w:r>
      <w:r>
        <w:rPr>
          <w:rStyle w:val="FootnoteReference"/>
        </w:rPr>
        <w:footnoteReference w:id="17771"/>
      </w:r>
      <w:r>
        <w:t xml:space="preserve"> whom the ends of the ages have come.</w:t>
      </w:r>
    </w:p>
    <w:p>
      <w:r>
        <w:rPr>
          <w:b/>
        </w:rPr>
        <w:t xml:space="preserve">12 </w:t>
      </w:r>
      <w:r>
        <w:t xml:space="preserve">Therefore let the one who thinks he stands watch lest he fall.</w:t>
      </w:r>
    </w:p>
    <w:p>
      <w:r>
        <w:rPr>
          <w:b/>
        </w:rPr>
        <w:t xml:space="preserve">13 </w:t>
      </w:r>
      <w:r>
        <w:t xml:space="preserve">No temptation has taken you except what is human: but God is faithful, who will not allow you to be tempted beyond what you are able, but with the temptation will also make</w:t>
      </w:r>
      <w:r>
        <w:rPr>
          <w:rStyle w:val="FootnoteReference"/>
        </w:rPr>
        <w:footnoteReference w:id="17772"/>
      </w:r>
      <w:r>
        <w:t xml:space="preserve"> the way out, so that you may be able to bear it.</w:t>
      </w:r>
    </w:p>
    <w:p>
      <w:r>
        <w:rPr>
          <w:b/>
        </w:rPr>
        <w:t xml:space="preserve">14 </w:t>
      </w:r>
      <w:r>
        <w:t xml:space="preserve">Therefore, my beloved, flee</w:t>
      </w:r>
      <w:r>
        <w:rPr>
          <w:rStyle w:val="FootnoteReference"/>
        </w:rPr>
        <w:footnoteReference w:id="17773"/>
      </w:r>
      <w:r>
        <w:t xml:space="preserve"> from idolatry.</w:t>
      </w:r>
    </w:p>
    <w:p>
      <w:r>
        <w:rPr>
          <w:b/>
        </w:rPr>
        <w:t xml:space="preserve">15 </w:t>
      </w:r>
      <w:r>
        <w:t xml:space="preserve">I speak as to sensible ones; you judge what I say.</w:t>
      </w:r>
    </w:p>
    <w:p>
      <w:r>
        <w:rPr>
          <w:b/>
        </w:rPr>
        <w:t xml:space="preserve">16 </w:t>
      </w:r>
      <w:r>
        <w:t xml:space="preserve">The cup of blessing which we bless, is it not the communion of the blood</w:t>
      </w:r>
      <w:r>
        <w:rPr>
          <w:rStyle w:val="FootnoteReference"/>
        </w:rPr>
        <w:footnoteReference w:id="17774"/>
      </w:r>
      <w:r>
        <w:t xml:space="preserve"> of Christ? The bread which we break, is it not the communion of the body of Christ?</w:t>
      </w:r>
    </w:p>
    <w:p>
      <w:r>
        <w:rPr>
          <w:b/>
        </w:rPr>
        <w:t xml:space="preserve">17 </w:t>
      </w:r>
      <w:r>
        <w:t xml:space="preserve">Because we, the many, are one bread, one body: for we all partake from the one bread.</w:t>
      </w:r>
    </w:p>
    <w:p>
      <w:r>
        <w:rPr>
          <w:b/>
        </w:rPr>
        <w:t xml:space="preserve">18 </w:t>
      </w:r>
      <w:r>
        <w:t xml:space="preserve">Look at Israel</w:t>
      </w:r>
      <w:r>
        <w:rPr>
          <w:rStyle w:val="FootnoteReference"/>
        </w:rPr>
        <w:footnoteReference w:id="17775"/>
      </w:r>
      <w:r>
        <w:t xml:space="preserve"> according to flesh: are not those who eat the sacrifices partners of the altar?</w:t>
      </w:r>
    </w:p>
    <w:p>
      <w:r>
        <w:rPr>
          <w:b/>
        </w:rPr>
        <w:t xml:space="preserve">19 </w:t>
      </w:r>
      <w:r>
        <w:t xml:space="preserve">What then do I say? that an idol is anything, or that an idol-offering is anything?</w:t>
      </w:r>
    </w:p>
    <w:p>
      <w:r>
        <w:rPr>
          <w:b/>
        </w:rPr>
        <w:t xml:space="preserve">20 </w:t>
      </w:r>
      <w:r>
        <w:t xml:space="preserve">But I say, that the things which the nations sacrifice</w:t>
      </w:r>
      <w:r>
        <w:rPr>
          <w:rStyle w:val="FootnoteReference"/>
        </w:rPr>
        <w:footnoteReference w:id="17776"/>
      </w:r>
      <w:r>
        <w:t xml:space="preserve">, they sacrifice to demons, and not to God: and I would not that you should have fellowship with demons.</w:t>
      </w:r>
    </w:p>
    <w:p>
      <w:r>
        <w:rPr>
          <w:b/>
        </w:rPr>
        <w:t xml:space="preserve">21 </w:t>
      </w:r>
      <w:r>
        <w:t xml:space="preserve">You cannot drink</w:t>
      </w:r>
      <w:r>
        <w:rPr>
          <w:rStyle w:val="FootnoteReference"/>
        </w:rPr>
        <w:footnoteReference w:id="17777"/>
      </w:r>
      <w:r>
        <w:t xml:space="preserve"> the cup of the Lord, and the cup of demons: you cannot be partakers of the Lord's table, and of the table of demons.</w:t>
      </w:r>
    </w:p>
    <w:p>
      <w:r>
        <w:rPr>
          <w:b/>
        </w:rPr>
        <w:t xml:space="preserve">22 </w:t>
      </w:r>
      <w:r>
        <w:t xml:space="preserve">Or do we provoke</w:t>
      </w:r>
      <w:r>
        <w:rPr>
          <w:rStyle w:val="FootnoteReference"/>
        </w:rPr>
        <w:footnoteReference w:id="17778"/>
      </w:r>
      <w:r>
        <w:t xml:space="preserve"> the Lord to jealousy? are we stronger than he?</w:t>
      </w:r>
    </w:p>
    <w:p>
      <w:r>
        <w:rPr>
          <w:b/>
        </w:rPr>
        <w:t xml:space="preserve">23 </w:t>
      </w:r>
      <w:r>
        <w:t xml:space="preserve">All things are lawful</w:t>
      </w:r>
      <w:r>
        <w:rPr>
          <w:rStyle w:val="FootnoteReference"/>
        </w:rPr>
        <w:footnoteReference w:id="17779"/>
      </w:r>
      <w:r>
        <w:t xml:space="preserve"> to me, but not all things are profitable: all things are lawful to me, but not all things build up.</w:t>
      </w:r>
    </w:p>
    <w:p>
      <w:r>
        <w:rPr>
          <w:b/>
        </w:rPr>
        <w:t xml:space="preserve">24 </w:t>
      </w:r>
      <w:r>
        <w:t xml:space="preserve">Let no one seek</w:t>
      </w:r>
      <w:r>
        <w:rPr>
          <w:rStyle w:val="FootnoteReference"/>
        </w:rPr>
        <w:footnoteReference w:id="17780"/>
      </w:r>
      <w:r>
        <w:t xml:space="preserve"> his own, but each the other's.</w:t>
      </w:r>
    </w:p>
    <w:p>
      <w:r>
        <w:rPr>
          <w:b/>
        </w:rPr>
        <w:t xml:space="preserve">25 </w:t>
      </w:r>
      <w:r>
        <w:t xml:space="preserve">Eat whatever is sold</w:t>
      </w:r>
      <w:r>
        <w:rPr>
          <w:rStyle w:val="FootnoteReference"/>
        </w:rPr>
        <w:footnoteReference w:id="17781"/>
      </w:r>
      <w:r>
        <w:t xml:space="preserve"> in the meat market, examining nothing because of conscience:</w:t>
      </w:r>
    </w:p>
    <w:p>
      <w:r>
        <w:rPr>
          <w:b/>
        </w:rPr>
        <w:t xml:space="preserve">26 </w:t>
      </w:r>
      <w:r>
        <w:t xml:space="preserve">For the earth is the Lord's, and the fullness of it.</w:t>
      </w:r>
    </w:p>
    <w:p>
      <w:r>
        <w:rPr>
          <w:b/>
        </w:rPr>
        <w:t xml:space="preserve">27 </w:t>
      </w:r>
      <w:r>
        <w:t xml:space="preserve">And if anyone of the unbelievers calls you, and you wish to go, eat whatever is set before you, examining nothing because of conscience.</w:t>
      </w:r>
    </w:p>
    <w:p>
      <w:r>
        <w:rPr>
          <w:b/>
        </w:rPr>
        <w:t xml:space="preserve">28 </w:t>
      </w:r>
      <w:r>
        <w:t xml:space="preserve">But if anyone say to you, This is offered in sacrifice to idols, do not eat for his sake that showed it, and for conscience sake: for the earth is the Lord's, and the fullness of it:</w:t>
      </w:r>
    </w:p>
    <w:p>
      <w:r>
        <w:rPr>
          <w:b/>
        </w:rPr>
        <w:t xml:space="preserve">29 </w:t>
      </w:r>
      <w:r>
        <w:t xml:space="preserve">But conscience, I say, not your own, but that of the other: for why is my liberty judged by another conscience?</w:t>
      </w:r>
    </w:p>
    <w:p>
      <w:r>
        <w:rPr>
          <w:b/>
        </w:rPr>
        <w:t xml:space="preserve">30 </w:t>
      </w:r>
      <w:r>
        <w:t xml:space="preserve">For if I partake by grace, why am I blasphemed for that for which</w:t>
      </w:r>
      <w:r>
        <w:rPr>
          <w:rStyle w:val="FootnoteReference"/>
        </w:rPr>
        <w:footnoteReference w:id="17782"/>
      </w:r>
      <w:r>
        <w:t xml:space="preserve"> I give thanks?</w:t>
      </w:r>
    </w:p>
    <w:p>
      <w:r>
        <w:rPr>
          <w:b/>
        </w:rPr>
        <w:t xml:space="preserve">31 </w:t>
      </w:r>
      <w:r>
        <w:t xml:space="preserve">Therefore whether you eat, or drink, or whatever you do, do all to the glory of God.</w:t>
      </w:r>
    </w:p>
    <w:p>
      <w:r>
        <w:rPr>
          <w:b/>
        </w:rPr>
        <w:t xml:space="preserve">32 </w:t>
      </w:r>
      <w:r>
        <w:t xml:space="preserve">Give none</w:t>
      </w:r>
      <w:r>
        <w:rPr>
          <w:rStyle w:val="FootnoteReference"/>
        </w:rPr>
        <w:footnoteReference w:id="17783"/>
      </w:r>
      <w:r>
        <w:t xml:space="preserve"> offense, neither to the Jews, nor to the Gentiles, nor to the assembly of God:</w:t>
      </w:r>
    </w:p>
    <w:p>
      <w:r>
        <w:rPr>
          <w:b/>
        </w:rPr>
        <w:t xml:space="preserve">33 </w:t>
      </w:r>
      <w:r>
        <w:t xml:space="preserve">Just as I also please all in all things, not seeking my own profit, but that of the many, that they may be saved.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Become imitators of me, just as I also am of Christ.</w:t>
      </w:r>
    </w:p>
    <w:p>
      <w:r>
        <w:rPr>
          <w:b/>
        </w:rPr>
        <w:t xml:space="preserve">2 </w:t>
      </w:r>
      <w:r>
        <w:t xml:space="preserve">Now I praise</w:t>
      </w:r>
      <w:r>
        <w:rPr>
          <w:rStyle w:val="FootnoteReference"/>
        </w:rPr>
        <w:footnoteReference w:id="17784"/>
      </w:r>
      <w:r>
        <w:t xml:space="preserve"> you, brothers, that you remember me in all things, and hold the traditions, just as I delivered them to you.</w:t>
      </w:r>
    </w:p>
    <w:p>
      <w:r>
        <w:rPr>
          <w:b/>
        </w:rPr>
        <w:t xml:space="preserve">3 </w:t>
      </w:r>
      <w:r>
        <w:t xml:space="preserve">But I want you to know, that the head of every</w:t>
      </w:r>
      <w:r>
        <w:rPr>
          <w:rStyle w:val="FootnoteReference"/>
        </w:rPr>
        <w:footnoteReference w:id="17785"/>
      </w:r>
      <w:r>
        <w:t xml:space="preserve"> man is Christ; and the head of woman is man; and the head of Christ is God.</w:t>
      </w:r>
    </w:p>
    <w:p>
      <w:r>
        <w:rPr>
          <w:b/>
        </w:rPr>
        <w:t xml:space="preserve">4 </w:t>
      </w:r>
      <w:r>
        <w:t xml:space="preserve">Every man praying or prophesying, having something down over his head, dishonors his head.</w:t>
      </w:r>
    </w:p>
    <w:p>
      <w:r>
        <w:rPr>
          <w:b/>
        </w:rPr>
        <w:t xml:space="preserve">5 </w:t>
      </w:r>
      <w:r>
        <w:t xml:space="preserve">But every woman praying or prophesying with the head uncovered dishonors her own head: for it is one and the same as the one having been shaved.</w:t>
      </w:r>
    </w:p>
    <w:p>
      <w:r>
        <w:rPr>
          <w:b/>
        </w:rPr>
        <w:t xml:space="preserve">6 </w:t>
      </w:r>
      <w:r>
        <w:t xml:space="preserve">For if a woman is not covered, let her also be shorn: but if it is shameful for a woman to be shorn or shaved, let her be covered.</w:t>
      </w:r>
    </w:p>
    <w:p>
      <w:r>
        <w:rPr>
          <w:b/>
        </w:rPr>
        <w:t xml:space="preserve">7 </w:t>
      </w:r>
      <w:r>
        <w:t xml:space="preserve">For a man indeed ought not to cover his head, being the image and glory of God: but woman is the glory of man.</w:t>
      </w:r>
    </w:p>
    <w:p>
      <w:r>
        <w:rPr>
          <w:b/>
        </w:rPr>
        <w:t xml:space="preserve">8 </w:t>
      </w:r>
      <w:r>
        <w:t xml:space="preserve">For man is not from woman, but woman from man.</w:t>
      </w:r>
    </w:p>
    <w:p>
      <w:r>
        <w:rPr>
          <w:b/>
        </w:rPr>
        <w:t xml:space="preserve">9 </w:t>
      </w:r>
      <w:r>
        <w:t xml:space="preserve">For also man was not created because of the woman, but woman because of the man</w:t>
      </w:r>
      <w:r>
        <w:rPr>
          <w:rStyle w:val="FootnoteReference"/>
        </w:rPr>
        <w:footnoteReference w:id="17786"/>
      </w:r>
      <w:r>
        <w:t xml:space="preserve">.</w:t>
      </w:r>
    </w:p>
    <w:p>
      <w:r>
        <w:rPr>
          <w:b/>
        </w:rPr>
        <w:t xml:space="preserve">10 </w:t>
      </w:r>
      <w:r>
        <w:t xml:space="preserve">Because of this the woman ought to have authority on her head because of the angels.</w:t>
      </w:r>
    </w:p>
    <w:p>
      <w:r>
        <w:rPr>
          <w:b/>
        </w:rPr>
        <w:t xml:space="preserve">11 </w:t>
      </w:r>
      <w:r>
        <w:t xml:space="preserve">Nevertheless neither is man apart from woman, nor woman apart from man, in the Lord.</w:t>
      </w:r>
    </w:p>
    <w:p>
      <w:r>
        <w:rPr>
          <w:b/>
        </w:rPr>
        <w:t xml:space="preserve">12 </w:t>
      </w:r>
      <w:r>
        <w:t xml:space="preserve">For just as the woman is from the man, so also the man is through the woman; but all things are from God.</w:t>
      </w:r>
    </w:p>
    <w:p>
      <w:r>
        <w:rPr>
          <w:b/>
        </w:rPr>
        <w:t xml:space="preserve">13 </w:t>
      </w:r>
      <w:r>
        <w:t xml:space="preserve">Judge among yourselves: is it proper for a woman to pray to God uncovered?</w:t>
      </w:r>
    </w:p>
    <w:p>
      <w:r>
        <w:rPr>
          <w:b/>
        </w:rPr>
        <w:t xml:space="preserve">14 </w:t>
      </w:r>
      <w:r>
        <w:t xml:space="preserve">Does not even nature itself teach you, that if a man has long hair, it is dishonor to him?</w:t>
      </w:r>
    </w:p>
    <w:p>
      <w:r>
        <w:rPr>
          <w:b/>
        </w:rPr>
        <w:t xml:space="preserve">15 </w:t>
      </w:r>
      <w:r>
        <w:t xml:space="preserve">But if a woman has long hair, it is glory to her: for her hair has been given to her for a covering</w:t>
      </w:r>
      <w:r>
        <w:rPr>
          <w:rStyle w:val="FootnoteReference"/>
        </w:rPr>
        <w:footnoteReference w:id="17787"/>
      </w:r>
      <w:r>
        <w:t xml:space="preserve">.</w:t>
      </w:r>
    </w:p>
    <w:p>
      <w:r>
        <w:rPr>
          <w:b/>
        </w:rPr>
        <w:t xml:space="preserve">16 </w:t>
      </w:r>
      <w:r>
        <w:t xml:space="preserve">But if anyone seem</w:t>
      </w:r>
      <w:r>
        <w:rPr>
          <w:rStyle w:val="FootnoteReference"/>
        </w:rPr>
        <w:footnoteReference w:id="17788"/>
      </w:r>
      <w:r>
        <w:t xml:space="preserve"> to be contentious, we have no such custom, neither the assemblies of God.</w:t>
      </w:r>
    </w:p>
    <w:p>
      <w:r>
        <w:rPr>
          <w:b/>
        </w:rPr>
        <w:t xml:space="preserve">17 </w:t>
      </w:r>
      <w:r>
        <w:t xml:space="preserve">Now commanding this, I do not praise you, because you come together not for the better, but for the worse.</w:t>
      </w:r>
    </w:p>
    <w:p>
      <w:r>
        <w:rPr>
          <w:b/>
        </w:rPr>
        <w:t xml:space="preserve">18 </w:t>
      </w:r>
      <w:r>
        <w:t xml:space="preserve">For first of all, when you come together in the assembly, I hear</w:t>
      </w:r>
      <w:r>
        <w:rPr>
          <w:rStyle w:val="FootnoteReference"/>
        </w:rPr>
        <w:footnoteReference w:id="17789"/>
      </w:r>
      <w:r>
        <w:t xml:space="preserve"> that there is divisions among you; and I partly believe it.</w:t>
      </w:r>
    </w:p>
    <w:p>
      <w:r>
        <w:rPr>
          <w:b/>
        </w:rPr>
        <w:t xml:space="preserve">19 </w:t>
      </w:r>
      <w:r>
        <w:t xml:space="preserve">For there must also be factions among you, that the approved may become manifest among you.</w:t>
      </w:r>
    </w:p>
    <w:p>
      <w:r>
        <w:rPr>
          <w:b/>
        </w:rPr>
        <w:t xml:space="preserve">20 </w:t>
      </w:r>
      <w:r>
        <w:t xml:space="preserve">Therefore when you come together in the same place, it is not to eat the Lord's supper.</w:t>
      </w:r>
    </w:p>
    <w:p>
      <w:r>
        <w:rPr>
          <w:b/>
        </w:rPr>
        <w:t xml:space="preserve">21 </w:t>
      </w:r>
      <w:r>
        <w:t xml:space="preserve">For in eating, each takes his own supper beforehand: and one</w:t>
      </w:r>
      <w:r>
        <w:rPr>
          <w:rStyle w:val="FootnoteReference"/>
        </w:rPr>
        <w:footnoteReference w:id="17790"/>
      </w:r>
      <w:r>
        <w:t xml:space="preserve"> is hungry, and another is drunk.</w:t>
      </w:r>
    </w:p>
    <w:p>
      <w:r>
        <w:rPr>
          <w:b/>
        </w:rPr>
        <w:t xml:space="preserve">22 </w:t>
      </w:r>
      <w:r>
        <w:t xml:space="preserve">What? have you not houses to eat and to drink in? or despise you the assembly of God, and shame those who have not? What shall I say to you? shall I praise you in this? I praise you not.</w:t>
      </w:r>
    </w:p>
    <w:p>
      <w:r>
        <w:rPr>
          <w:b/>
        </w:rPr>
        <w:t xml:space="preserve">23 </w:t>
      </w:r>
      <w:r>
        <w:t xml:space="preserve">For I received from the Lord that which I also delivered to you, that the Lord Jesus, in the night in which he was delivered up, took</w:t>
      </w:r>
      <w:r>
        <w:rPr>
          <w:rStyle w:val="FootnoteReference"/>
        </w:rPr>
        <w:footnoteReference w:id="17791"/>
      </w:r>
      <w:r>
        <w:t xml:space="preserve"> bread:</w:t>
      </w:r>
    </w:p>
    <w:p>
      <w:r>
        <w:rPr>
          <w:b/>
        </w:rPr>
        <w:t xml:space="preserve">24 </w:t>
      </w:r>
      <w:r>
        <w:t xml:space="preserve">And having given thanks, he broke it, and said, Take, eat: this is my body, which is broken for you: do this in remembrance</w:t>
      </w:r>
      <w:r>
        <w:rPr>
          <w:rStyle w:val="FootnoteReference"/>
        </w:rPr>
        <w:footnoteReference w:id="17792"/>
      </w:r>
      <w:r>
        <w:t xml:space="preserve"> of me.</w:t>
      </w:r>
    </w:p>
    <w:p>
      <w:r>
        <w:rPr>
          <w:b/>
        </w:rPr>
        <w:t xml:space="preserve">25 </w:t>
      </w:r>
      <w:r>
        <w:t xml:space="preserve">After the same manner also he took the cup, when he had supped, saying, This cup is the new</w:t>
      </w:r>
      <w:r>
        <w:rPr>
          <w:rStyle w:val="FootnoteReference"/>
        </w:rPr>
        <w:footnoteReference w:id="17793"/>
      </w:r>
      <w:r>
        <w:t xml:space="preserve"> covenant in my blood: this do you, as often as you drink it, in remembrance of me.</w:t>
      </w:r>
    </w:p>
    <w:p>
      <w:r>
        <w:rPr>
          <w:b/>
        </w:rPr>
        <w:t xml:space="preserve">26 </w:t>
      </w:r>
      <w:r>
        <w:t xml:space="preserve">For as often as you eat this bread, and drink this cup, you proclaim the Lord's death until he comes.</w:t>
      </w:r>
    </w:p>
    <w:p>
      <w:r>
        <w:rPr>
          <w:b/>
        </w:rPr>
        <w:t xml:space="preserve">27 </w:t>
      </w:r>
      <w:r>
        <w:t xml:space="preserve">Therefore whoever eats this bread, or drinks the cup of the Lord unworthily, shall be</w:t>
      </w:r>
      <w:r>
        <w:rPr>
          <w:rStyle w:val="FootnoteReference"/>
        </w:rPr>
        <w:footnoteReference w:id="17794"/>
      </w:r>
      <w:r>
        <w:t xml:space="preserve"> guilty of the body and blood of the Lord.</w:t>
      </w:r>
    </w:p>
    <w:p>
      <w:r>
        <w:rPr>
          <w:b/>
        </w:rPr>
        <w:t xml:space="preserve">28 </w:t>
      </w:r>
      <w:r>
        <w:t xml:space="preserve">But let a</w:t>
      </w:r>
      <w:r>
        <w:rPr>
          <w:rStyle w:val="FootnoteReference"/>
        </w:rPr>
        <w:footnoteReference w:id="17795"/>
      </w:r>
      <w:r>
        <w:t xml:space="preserve"> human examine himself, and so let him eat from the bread, and drink from the cup.</w:t>
      </w:r>
    </w:p>
    <w:p>
      <w:r>
        <w:rPr>
          <w:b/>
        </w:rPr>
        <w:t xml:space="preserve">29 </w:t>
      </w:r>
      <w:r>
        <w:t xml:space="preserve">For the one who eats and drinks unworthily, eats and drinks judgment to himself, not discerning the Lord's body.</w:t>
      </w:r>
    </w:p>
    <w:p>
      <w:r>
        <w:rPr>
          <w:b/>
        </w:rPr>
        <w:t xml:space="preserve">30 </w:t>
      </w:r>
      <w:r>
        <w:t xml:space="preserve">Because of this many among you are weak and sick, and many sleep</w:t>
      </w:r>
      <w:r>
        <w:rPr>
          <w:rStyle w:val="FootnoteReference"/>
        </w:rPr>
        <w:footnoteReference w:id="17796"/>
      </w:r>
      <w:r>
        <w:t xml:space="preserve">.</w:t>
      </w:r>
    </w:p>
    <w:p>
      <w:r>
        <w:rPr>
          <w:b/>
        </w:rPr>
        <w:t xml:space="preserve">31 </w:t>
      </w:r>
      <w:r>
        <w:t xml:space="preserve">For if we judged ourselves, we would not be judged.</w:t>
      </w:r>
    </w:p>
    <w:p>
      <w:r>
        <w:rPr>
          <w:b/>
        </w:rPr>
        <w:t xml:space="preserve">32 </w:t>
      </w:r>
      <w:r>
        <w:t xml:space="preserve">But when we are</w:t>
      </w:r>
      <w:r>
        <w:rPr>
          <w:rStyle w:val="FootnoteReference"/>
        </w:rPr>
        <w:footnoteReference w:id="17797"/>
      </w:r>
      <w:r>
        <w:t xml:space="preserve"> judged, we are disciplined by the Lord, that we may not be condemned with the world.</w:t>
      </w:r>
    </w:p>
    <w:p>
      <w:r>
        <w:rPr>
          <w:b/>
        </w:rPr>
        <w:t xml:space="preserve">33 </w:t>
      </w:r>
      <w:r>
        <w:t xml:space="preserve">Therefore, my brothers, when you come together to eat, wait for one another.</w:t>
      </w:r>
    </w:p>
    <w:p>
      <w:r>
        <w:rPr>
          <w:b/>
        </w:rPr>
        <w:t xml:space="preserve">34 </w:t>
      </w:r>
      <w:r>
        <w:t xml:space="preserve">And if anyone hungers, let him eat at home; that you may not come together for judgment. And the rest I will set in order when I come.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Now concerning spiritual</w:t>
      </w:r>
      <w:r>
        <w:rPr>
          <w:rStyle w:val="FootnoteReference"/>
        </w:rPr>
        <w:footnoteReference w:id="17798"/>
      </w:r>
      <w:r>
        <w:t xml:space="preserve"> things, brothers, I do not want you to be ignorant.</w:t>
      </w:r>
    </w:p>
    <w:p>
      <w:r>
        <w:rPr>
          <w:b/>
        </w:rPr>
        <w:t xml:space="preserve">2 </w:t>
      </w:r>
      <w:r>
        <w:t xml:space="preserve">You know that you were of the nations, carried away to these voiceless idols, even as you were led.</w:t>
      </w:r>
    </w:p>
    <w:p>
      <w:r>
        <w:rPr>
          <w:b/>
        </w:rPr>
        <w:t xml:space="preserve">3 </w:t>
      </w:r>
      <w:r>
        <w:t xml:space="preserve">Therefore I give you to understand, that no one speaking by the Spirit of God calls Jesus accursed</w:t>
      </w:r>
      <w:r>
        <w:rPr>
          <w:rStyle w:val="FootnoteReference"/>
        </w:rPr>
        <w:footnoteReference w:id="17799"/>
      </w:r>
      <w:r>
        <w:t xml:space="preserve">: and that no one can say that Jesus is the Lord, but by the Holy Spirit.</w:t>
      </w:r>
    </w:p>
    <w:p>
      <w:r>
        <w:rPr>
          <w:b/>
        </w:rPr>
        <w:t xml:space="preserve">4 </w:t>
      </w:r>
      <w:r>
        <w:t xml:space="preserve">Now there are varieties of gifts, but the same Spirit.</w:t>
      </w:r>
    </w:p>
    <w:p>
      <w:r>
        <w:rPr>
          <w:b/>
        </w:rPr>
        <w:t xml:space="preserve">5 </w:t>
      </w:r>
      <w:r>
        <w:t xml:space="preserve">And there are varieties of services, but the same Lord.</w:t>
      </w:r>
    </w:p>
    <w:p>
      <w:r>
        <w:rPr>
          <w:b/>
        </w:rPr>
        <w:t xml:space="preserve">6 </w:t>
      </w:r>
      <w:r>
        <w:t xml:space="preserve">And there are varieties of workings, but the same God who works all things in all.</w:t>
      </w:r>
    </w:p>
    <w:p>
      <w:r>
        <w:rPr>
          <w:b/>
        </w:rPr>
        <w:t xml:space="preserve">7 </w:t>
      </w:r>
      <w:r>
        <w:t xml:space="preserve">But to each is given the manifestation of the Spirit for profit.</w:t>
      </w:r>
    </w:p>
    <w:p>
      <w:r>
        <w:rPr>
          <w:b/>
        </w:rPr>
        <w:t xml:space="preserve">8 </w:t>
      </w:r>
      <w:r>
        <w:t xml:space="preserve">For to one is given</w:t>
      </w:r>
      <w:r>
        <w:rPr>
          <w:rStyle w:val="FootnoteReference"/>
        </w:rPr>
        <w:footnoteReference w:id="17800"/>
      </w:r>
      <w:r>
        <w:t xml:space="preserve"> through the Spirit a word of wisdom; and to another a word of knowledge according to the same Spirit;</w:t>
      </w:r>
    </w:p>
    <w:p>
      <w:r>
        <w:rPr>
          <w:b/>
        </w:rPr>
        <w:t xml:space="preserve">9 </w:t>
      </w:r>
      <w:r>
        <w:t xml:space="preserve">And to another faith</w:t>
      </w:r>
      <w:r>
        <w:rPr>
          <w:rStyle w:val="FootnoteReference"/>
        </w:rPr>
        <w:footnoteReference w:id="17801"/>
      </w:r>
      <w:r>
        <w:t xml:space="preserve"> in the same Spirit; and to another gifts of healings in the same Spirit;</w:t>
      </w:r>
    </w:p>
    <w:p>
      <w:r>
        <w:rPr>
          <w:b/>
        </w:rPr>
        <w:t xml:space="preserve">10 </w:t>
      </w:r>
      <w:r>
        <w:t xml:space="preserve">And to another workings of powers; and to another prophecy</w:t>
      </w:r>
      <w:r>
        <w:rPr>
          <w:rStyle w:val="FootnoteReference"/>
        </w:rPr>
        <w:footnoteReference w:id="17802"/>
      </w:r>
      <w:r>
        <w:t xml:space="preserve">; and to another discernings of spirits; and to another kinds of tongues; and to another interpretation of tongues:</w:t>
      </w:r>
    </w:p>
    <w:p>
      <w:r>
        <w:rPr>
          <w:b/>
        </w:rPr>
        <w:t xml:space="preserve">11 </w:t>
      </w:r>
      <w:r>
        <w:t xml:space="preserve">But all these things the one and the same Spirit works, distributing individually to each as he wills.</w:t>
      </w:r>
    </w:p>
    <w:p>
      <w:r>
        <w:rPr>
          <w:b/>
        </w:rPr>
        <w:t xml:space="preserve">12 </w:t>
      </w:r>
      <w:r>
        <w:t xml:space="preserve">For just as the body is one, and has many members, and all the members of the one body, being many, are one body: so also is Christ.</w:t>
      </w:r>
    </w:p>
    <w:p>
      <w:r>
        <w:rPr>
          <w:b/>
        </w:rPr>
        <w:t xml:space="preserve">13 </w:t>
      </w:r>
      <w:r>
        <w:t xml:space="preserve">For by one Spirit are we all baptized into one body, whether we are Jews or Gentiles, whether we are slave or free; and have been all made to drink</w:t>
      </w:r>
      <w:r>
        <w:rPr>
          <w:rStyle w:val="FootnoteReference"/>
        </w:rPr>
        <w:footnoteReference w:id="17803"/>
      </w:r>
      <w:r>
        <w:t xml:space="preserve"> into one Spirit.</w:t>
      </w:r>
    </w:p>
    <w:p>
      <w:r>
        <w:rPr>
          <w:b/>
        </w:rPr>
        <w:t xml:space="preserve">14 </w:t>
      </w:r>
      <w:r>
        <w:t xml:space="preserve">For also the body is not one member, but many.</w:t>
      </w:r>
    </w:p>
    <w:p>
      <w:r>
        <w:rPr>
          <w:b/>
        </w:rPr>
        <w:t xml:space="preserve">15 </w:t>
      </w:r>
      <w:r>
        <w:t xml:space="preserve">If the foot should say, Because I am not a hand, I am not of the body; is it not therefore of the body?</w:t>
      </w:r>
    </w:p>
    <w:p>
      <w:r>
        <w:rPr>
          <w:b/>
        </w:rPr>
        <w:t xml:space="preserve">16 </w:t>
      </w:r>
      <w:r>
        <w:t xml:space="preserve">And if the ear should say, Because I am not an eye, I am not of the body; is it</w:t>
      </w:r>
      <w:r>
        <w:rPr>
          <w:rStyle w:val="FootnoteReference"/>
        </w:rPr>
        <w:footnoteReference w:id="17804"/>
      </w:r>
      <w:r>
        <w:t xml:space="preserve"> not therefore of the body?</w:t>
      </w:r>
    </w:p>
    <w:p>
      <w:r>
        <w:rPr>
          <w:b/>
        </w:rPr>
        <w:t xml:space="preserve">17 </w:t>
      </w:r>
      <w:r>
        <w:t xml:space="preserve">If the whole body were an eye, where would the hearing be? If the whole were hearing, where would the smelling be?</w:t>
      </w:r>
    </w:p>
    <w:p>
      <w:r>
        <w:rPr>
          <w:b/>
        </w:rPr>
        <w:t xml:space="preserve">18 </w:t>
      </w:r>
      <w:r>
        <w:t xml:space="preserve">But now God set the members, each one of them, in the body, just as he willed.</w:t>
      </w:r>
    </w:p>
    <w:p>
      <w:r>
        <w:rPr>
          <w:b/>
        </w:rPr>
        <w:t xml:space="preserve">19 </w:t>
      </w:r>
      <w:r>
        <w:t xml:space="preserve">And if they were all one member, where would the body be?</w:t>
      </w:r>
    </w:p>
    <w:p>
      <w:r>
        <w:rPr>
          <w:b/>
        </w:rPr>
        <w:t xml:space="preserve">20 </w:t>
      </w:r>
      <w:r>
        <w:t xml:space="preserve">But now there are many members, yet one body.</w:t>
      </w:r>
    </w:p>
    <w:p>
      <w:r>
        <w:rPr>
          <w:b/>
        </w:rPr>
        <w:t xml:space="preserve">21 </w:t>
      </w:r>
      <w:r>
        <w:t xml:space="preserve">And the eye cannot say to the hand, I have no need of you: or again the head to the feet, I have no need of you.</w:t>
      </w:r>
    </w:p>
    <w:p>
      <w:r>
        <w:rPr>
          <w:b/>
        </w:rPr>
        <w:t xml:space="preserve">22 </w:t>
      </w:r>
      <w:r>
        <w:t xml:space="preserve">But much rather, the members of the body that seem to be weaker are necessary:</w:t>
      </w:r>
    </w:p>
    <w:p>
      <w:r>
        <w:rPr>
          <w:b/>
        </w:rPr>
        <w:t xml:space="preserve">23 </w:t>
      </w:r>
      <w:r>
        <w:t xml:space="preserve">And those members of the body which we think to be less honorable, on these we place more abundant honor; and our indecent parts have more abundant modesty.</w:t>
      </w:r>
    </w:p>
    <w:p>
      <w:r>
        <w:rPr>
          <w:b/>
        </w:rPr>
        <w:t xml:space="preserve">24 </w:t>
      </w:r>
      <w:r>
        <w:t xml:space="preserve">But our presentable parts have no need: but God blended the body together, giving more abundant honor to the part that lacked,</w:t>
      </w:r>
    </w:p>
    <w:p>
      <w:r>
        <w:rPr>
          <w:b/>
        </w:rPr>
        <w:t xml:space="preserve">25 </w:t>
      </w:r>
      <w:r>
        <w:t xml:space="preserve">That there should be no division in the body, but that the members should have the same care for one another.</w:t>
      </w:r>
    </w:p>
    <w:p>
      <w:r>
        <w:rPr>
          <w:b/>
        </w:rPr>
        <w:t xml:space="preserve">26 </w:t>
      </w:r>
      <w:r>
        <w:t xml:space="preserve">And if one member suffers, all the members suffer together; or if one member is glorified, all the members rejoice together.</w:t>
      </w:r>
    </w:p>
    <w:p>
      <w:r>
        <w:rPr>
          <w:b/>
        </w:rPr>
        <w:t xml:space="preserve">27 </w:t>
      </w:r>
      <w:r>
        <w:t xml:space="preserve">Now you are Christ's body, and members in part.</w:t>
      </w:r>
    </w:p>
    <w:p>
      <w:r>
        <w:rPr>
          <w:b/>
        </w:rPr>
        <w:t xml:space="preserve">28 </w:t>
      </w:r>
      <w:r>
        <w:t xml:space="preserve">And God has set some in the assembly, first apostles, secondly prophets, thirdly teachers, after that miracles, then gifts of healings, helps</w:t>
      </w:r>
      <w:r>
        <w:rPr>
          <w:rStyle w:val="FootnoteReference"/>
        </w:rPr>
        <w:footnoteReference w:id="17805"/>
      </w:r>
      <w:r>
        <w:t xml:space="preserve">, governments, diversities of tongues.</w:t>
      </w:r>
    </w:p>
    <w:p>
      <w:r>
        <w:rPr>
          <w:b/>
        </w:rPr>
        <w:t xml:space="preserve">29 </w:t>
      </w:r>
      <w:r>
        <w:t xml:space="preserve">Are all apostles</w:t>
      </w:r>
      <w:r>
        <w:rPr>
          <w:rStyle w:val="FootnoteReference"/>
        </w:rPr>
        <w:footnoteReference w:id="17806"/>
      </w:r>
      <w:r>
        <w:t xml:space="preserve">? are all prophets? are all teachers? are all powers?</w:t>
      </w:r>
    </w:p>
    <w:p>
      <w:r>
        <w:rPr>
          <w:b/>
        </w:rPr>
        <w:t xml:space="preserve">30 </w:t>
      </w:r>
      <w:r>
        <w:t xml:space="preserve">Do all have gifts of healings? do all speak with tongues? do all interpret?</w:t>
      </w:r>
    </w:p>
    <w:p>
      <w:r>
        <w:rPr>
          <w:b/>
        </w:rPr>
        <w:t xml:space="preserve">31 </w:t>
      </w:r>
      <w:r>
        <w:t xml:space="preserve">But earnestly desire the better gifts: and yet I show</w:t>
      </w:r>
      <w:r>
        <w:rPr>
          <w:rStyle w:val="FootnoteReference"/>
        </w:rPr>
        <w:footnoteReference w:id="17807"/>
      </w:r>
      <w:r>
        <w:t xml:space="preserve"> you a way beyond measure.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If I speak</w:t>
      </w:r>
      <w:r>
        <w:rPr>
          <w:rStyle w:val="FootnoteReference"/>
        </w:rPr>
        <w:footnoteReference w:id="17808"/>
      </w:r>
      <w:r>
        <w:t xml:space="preserve"> with the tongues of humans and of angels, but do not have love, I have become sounding bronze or a clanging cymbal.</w:t>
      </w:r>
    </w:p>
    <w:p>
      <w:r>
        <w:rPr>
          <w:b/>
        </w:rPr>
        <w:t xml:space="preserve">2 </w:t>
      </w:r>
      <w:r>
        <w:t xml:space="preserve">And if I have prophecy, and know all mysteries and all knowledge; and if I have all faith, so as to remove mountains, but do not have love, I am nothing.</w:t>
      </w:r>
    </w:p>
    <w:p>
      <w:r>
        <w:rPr>
          <w:b/>
        </w:rPr>
        <w:t xml:space="preserve">3 </w:t>
      </w:r>
      <w:r>
        <w:t xml:space="preserve">And if I dole out all my possessions, and if I deliver my body so that I may be burned, but do not have love, I am profited nothing.</w:t>
      </w:r>
    </w:p>
    <w:p>
      <w:r>
        <w:rPr>
          <w:b/>
        </w:rPr>
        <w:t xml:space="preserve">4 </w:t>
      </w:r>
      <w:r>
        <w:t xml:space="preserve">Love is longsuffering, is kind</w:t>
      </w:r>
      <w:r>
        <w:rPr>
          <w:rStyle w:val="FootnoteReference"/>
        </w:rPr>
        <w:footnoteReference w:id="17809"/>
      </w:r>
      <w:r>
        <w:t xml:space="preserve">; love does not envy; love does not boast, is not puffed up,</w:t>
      </w:r>
    </w:p>
    <w:p>
      <w:r>
        <w:rPr>
          <w:b/>
        </w:rPr>
        <w:t xml:space="preserve">5 </w:t>
      </w:r>
      <w:r>
        <w:t xml:space="preserve">Does not behave</w:t>
      </w:r>
      <w:r>
        <w:rPr>
          <w:rStyle w:val="FootnoteReference"/>
        </w:rPr>
        <w:footnoteReference w:id="17810"/>
      </w:r>
      <w:r>
        <w:t xml:space="preserve"> disgracefully, does not seek its own, is not provoked, does not reckon evil;</w:t>
      </w:r>
    </w:p>
    <w:p>
      <w:r>
        <w:rPr>
          <w:b/>
        </w:rPr>
        <w:t xml:space="preserve">6 </w:t>
      </w:r>
      <w:r>
        <w:t xml:space="preserve">Does not rejoice over unrighteousness, but rejoices together with the truth;</w:t>
      </w:r>
    </w:p>
    <w:p>
      <w:r>
        <w:rPr>
          <w:b/>
        </w:rPr>
        <w:t xml:space="preserve">7 </w:t>
      </w:r>
      <w:r>
        <w:t xml:space="preserve">Bears all things, believes all things, hopes all things, endures all things.</w:t>
      </w:r>
    </w:p>
    <w:p>
      <w:r>
        <w:rPr>
          <w:b/>
        </w:rPr>
        <w:t xml:space="preserve">8 </w:t>
      </w:r>
      <w:r>
        <w:t xml:space="preserve">Love never</w:t>
      </w:r>
      <w:r>
        <w:rPr>
          <w:rStyle w:val="FootnoteReference"/>
        </w:rPr>
        <w:footnoteReference w:id="17811"/>
      </w:r>
      <w:r>
        <w:t xml:space="preserve"> falls; but whether prophecies, they shall be made ineffective; whether tongues, they shall cease; whether knowledge, it shall be made ineffective.</w:t>
      </w:r>
    </w:p>
    <w:p>
      <w:r>
        <w:rPr>
          <w:b/>
        </w:rPr>
        <w:t xml:space="preserve">9 </w:t>
      </w:r>
      <w:r>
        <w:t xml:space="preserve">For we know in part, and we prophesy in part.</w:t>
      </w:r>
    </w:p>
    <w:p>
      <w:r>
        <w:rPr>
          <w:b/>
        </w:rPr>
        <w:t xml:space="preserve">10 </w:t>
      </w:r>
      <w:r>
        <w:t xml:space="preserve">But when the complete comes, then that which is in part shall be made ineffective.</w:t>
      </w:r>
    </w:p>
    <w:p>
      <w:r>
        <w:rPr>
          <w:b/>
        </w:rPr>
        <w:t xml:space="preserve">11 </w:t>
      </w:r>
      <w:r>
        <w:t xml:space="preserve">When I was a child, I spoke as a child, I understood as a child, I thought as a child: but when I became a man, I put away childish things.</w:t>
      </w:r>
    </w:p>
    <w:p>
      <w:r>
        <w:rPr>
          <w:b/>
        </w:rPr>
        <w:t xml:space="preserve">12 </w:t>
      </w:r>
      <w:r>
        <w:t xml:space="preserve">For now we see</w:t>
      </w:r>
      <w:r>
        <w:rPr>
          <w:rStyle w:val="FootnoteReference"/>
        </w:rPr>
        <w:footnoteReference w:id="17812"/>
      </w:r>
      <w:r>
        <w:t xml:space="preserve"> through a mirror in an enigma; but then face to face: now I know in part; but then I shall know fully, just as also I was fully known.</w:t>
      </w:r>
    </w:p>
    <w:p>
      <w:r>
        <w:rPr>
          <w:b/>
        </w:rPr>
        <w:t xml:space="preserve">13 </w:t>
      </w:r>
      <w:r>
        <w:t xml:space="preserve">And now faith</w:t>
      </w:r>
      <w:r>
        <w:rPr>
          <w:rStyle w:val="FootnoteReference"/>
        </w:rPr>
        <w:footnoteReference w:id="17813"/>
      </w:r>
      <w:r>
        <w:t xml:space="preserve">, hope, love remain, these three; but the greatest of these is love.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Pursue love, and desire</w:t>
      </w:r>
      <w:r>
        <w:rPr>
          <w:rStyle w:val="FootnoteReference"/>
        </w:rPr>
        <w:footnoteReference w:id="17814"/>
      </w:r>
      <w:r>
        <w:t xml:space="preserve"> spiritual things, but rather that you may prophesy.</w:t>
      </w:r>
    </w:p>
    <w:p>
      <w:r>
        <w:rPr>
          <w:b/>
        </w:rPr>
        <w:t xml:space="preserve">2 </w:t>
      </w:r>
      <w:r>
        <w:t xml:space="preserve">For the one who speaks in a tongue does not speak to humans, but to God: for no one hears; but in spirit he speaks mysteries.</w:t>
      </w:r>
    </w:p>
    <w:p>
      <w:r>
        <w:rPr>
          <w:b/>
        </w:rPr>
        <w:t xml:space="preserve">3 </w:t>
      </w:r>
      <w:r>
        <w:t xml:space="preserve">But the one who prophesies speaks to humans for building up, and exhortation</w:t>
      </w:r>
      <w:r>
        <w:rPr>
          <w:rStyle w:val="FootnoteReference"/>
        </w:rPr>
        <w:footnoteReference w:id="17815"/>
      </w:r>
      <w:r>
        <w:t xml:space="preserve">, and comfort.</w:t>
      </w:r>
    </w:p>
    <w:p>
      <w:r>
        <w:rPr>
          <w:b/>
        </w:rPr>
        <w:t xml:space="preserve">4 </w:t>
      </w:r>
      <w:r>
        <w:t xml:space="preserve">the one who speaks in an unknown tongue edifies himself; but the one who prophesies edifies the assembly.</w:t>
      </w:r>
    </w:p>
    <w:p>
      <w:r>
        <w:rPr>
          <w:b/>
        </w:rPr>
        <w:t xml:space="preserve">5 </w:t>
      </w:r>
      <w:r>
        <w:t xml:space="preserve">I would that you all spoke with tongues but rather that you prophesied: for greater is the one who prophesies than the one who speaks with tongues, except</w:t>
      </w:r>
      <w:r>
        <w:rPr>
          <w:rStyle w:val="FootnoteReference"/>
        </w:rPr>
        <w:footnoteReference w:id="17816"/>
      </w:r>
      <w:r>
        <w:t xml:space="preserve"> he interpret, that the assembly may receive edifying.</w:t>
      </w:r>
    </w:p>
    <w:p>
      <w:r>
        <w:rPr>
          <w:b/>
        </w:rPr>
        <w:t xml:space="preserve">6 </w:t>
      </w:r>
      <w:r>
        <w:t xml:space="preserve">But now, brothers, if I come to you speaking in tongues, what shall I</w:t>
      </w:r>
      <w:r>
        <w:rPr>
          <w:rStyle w:val="FootnoteReference"/>
        </w:rPr>
        <w:footnoteReference w:id="17817"/>
      </w:r>
      <w:r>
        <w:t xml:space="preserve"> profit you, unless I speak to you either in revelation, or in knowledge, or in prophecy, or in teaching?</w:t>
      </w:r>
    </w:p>
    <w:p>
      <w:r>
        <w:rPr>
          <w:b/>
        </w:rPr>
        <w:t xml:space="preserve">7 </w:t>
      </w:r>
      <w:r>
        <w:t xml:space="preserve">Even lifeless things</w:t>
      </w:r>
      <w:r>
        <w:rPr>
          <w:rStyle w:val="FootnoteReference"/>
        </w:rPr>
        <w:footnoteReference w:id="17818"/>
      </w:r>
      <w:r>
        <w:t xml:space="preserve"> giving sound, whether pipe or harp, unless they give distinction in the sounds, how shall what is piped or harped be known?</w:t>
      </w:r>
    </w:p>
    <w:p>
      <w:r>
        <w:rPr>
          <w:b/>
        </w:rPr>
        <w:t xml:space="preserve">8 </w:t>
      </w:r>
      <w:r>
        <w:t xml:space="preserve">For also if a trumpet gives an unclear sound, who shall prepare himself for war?</w:t>
      </w:r>
    </w:p>
    <w:p>
      <w:r>
        <w:rPr>
          <w:b/>
        </w:rPr>
        <w:t xml:space="preserve">9 </w:t>
      </w:r>
      <w:r>
        <w:t xml:space="preserve">So also you, unless through the tongue you give an intelligible word, how shall what is spoken be known? for you will be speaking into air.</w:t>
      </w:r>
    </w:p>
    <w:p>
      <w:r>
        <w:rPr>
          <w:b/>
        </w:rPr>
        <w:t xml:space="preserve">10 </w:t>
      </w:r>
      <w:r>
        <w:t xml:space="preserve">There are, it may be, so many kinds of voices in the world, and none without voice.</w:t>
      </w:r>
    </w:p>
    <w:p>
      <w:r>
        <w:rPr>
          <w:b/>
        </w:rPr>
        <w:t xml:space="preserve">11 </w:t>
      </w:r>
      <w:r>
        <w:t xml:space="preserve">Therefore if I do not know the force of the voice, I shall</w:t>
      </w:r>
      <w:r>
        <w:rPr>
          <w:rStyle w:val="FootnoteReference"/>
        </w:rPr>
        <w:footnoteReference w:id="17819"/>
      </w:r>
      <w:r>
        <w:t xml:space="preserve"> be a foreigner to the one speaking, and the one speaking will be a foreigner to me.</w:t>
      </w:r>
    </w:p>
    <w:p>
      <w:r>
        <w:rPr>
          <w:b/>
        </w:rPr>
        <w:t xml:space="preserve">12 </w:t>
      </w:r>
      <w:r>
        <w:t xml:space="preserve">Even so you, since you are zealous of spiritual gifts</w:t>
      </w:r>
      <w:r>
        <w:rPr>
          <w:rStyle w:val="FootnoteReference"/>
        </w:rPr>
        <w:footnoteReference w:id="17820"/>
      </w:r>
      <w:r>
        <w:t xml:space="preserve">, seek that you may excel to the edifying of the assembly.</w:t>
      </w:r>
    </w:p>
    <w:p>
      <w:r>
        <w:rPr>
          <w:b/>
        </w:rPr>
        <w:t xml:space="preserve">13 </w:t>
      </w:r>
      <w:r>
        <w:t xml:space="preserve">Therefore let the one who speaks in a tongue pray</w:t>
      </w:r>
      <w:r>
        <w:rPr>
          <w:rStyle w:val="FootnoteReference"/>
        </w:rPr>
        <w:footnoteReference w:id="17821"/>
      </w:r>
      <w:r>
        <w:t xml:space="preserve"> that he may interpret.</w:t>
      </w:r>
    </w:p>
    <w:p>
      <w:r>
        <w:rPr>
          <w:b/>
        </w:rPr>
        <w:t xml:space="preserve">14 </w:t>
      </w:r>
      <w:r>
        <w:t xml:space="preserve">For if I pray in a tongue, my spirit</w:t>
      </w:r>
      <w:r>
        <w:rPr>
          <w:rStyle w:val="FootnoteReference"/>
        </w:rPr>
        <w:footnoteReference w:id="17822"/>
      </w:r>
      <w:r>
        <w:t xml:space="preserve"> prays, but my mind is unfruitful.</w:t>
      </w:r>
    </w:p>
    <w:p>
      <w:r>
        <w:rPr>
          <w:b/>
        </w:rPr>
        <w:t xml:space="preserve">15 </w:t>
      </w:r>
      <w:r>
        <w:t xml:space="preserve">What then is it? I will pray with the spirit</w:t>
      </w:r>
      <w:r>
        <w:rPr>
          <w:rStyle w:val="FootnoteReference"/>
        </w:rPr>
        <w:footnoteReference w:id="17823"/>
      </w:r>
      <w:r>
        <w:t xml:space="preserve">, but I will pray also with the mind: I will sing with the spirit, but I will sing also with the mind.</w:t>
      </w:r>
    </w:p>
    <w:p>
      <w:r>
        <w:rPr>
          <w:b/>
        </w:rPr>
        <w:t xml:space="preserve">16 </w:t>
      </w:r>
      <w:r>
        <w:t xml:space="preserve">Otherwise if you bless</w:t>
      </w:r>
      <w:r>
        <w:rPr>
          <w:rStyle w:val="FootnoteReference"/>
        </w:rPr>
        <w:footnoteReference w:id="17824"/>
      </w:r>
      <w:r>
        <w:t xml:space="preserve"> with the spirit, how shall the one filling the place of the uninstructed say Amen at your thanksgiving, since he does not know what you say?</w:t>
      </w:r>
    </w:p>
    <w:p>
      <w:r>
        <w:rPr>
          <w:b/>
        </w:rPr>
        <w:t xml:space="preserve">17 </w:t>
      </w:r>
      <w:r>
        <w:t xml:space="preserve">For you indeed give thanks well, but the other is not built up.</w:t>
      </w:r>
    </w:p>
    <w:p>
      <w:r>
        <w:rPr>
          <w:b/>
        </w:rPr>
        <w:t xml:space="preserve">18 </w:t>
      </w:r>
      <w:r>
        <w:t xml:space="preserve">I thank my God, speaking in tongues more than you all:</w:t>
      </w:r>
    </w:p>
    <w:p>
      <w:r>
        <w:rPr>
          <w:b/>
        </w:rPr>
        <w:t xml:space="preserve">19 </w:t>
      </w:r>
      <w:r>
        <w:t xml:space="preserve">Yet in the assembly I had rather speak five words with my understanding, that by my voice I might teach others also, than ten thousand words in an unknown tongue.</w:t>
      </w:r>
    </w:p>
    <w:p>
      <w:r>
        <w:rPr>
          <w:b/>
        </w:rPr>
        <w:t xml:space="preserve">20 </w:t>
      </w:r>
      <w:r>
        <w:t xml:space="preserve">Brothers, do not become children in understanding: but in evil be infants, and in understanding become mature.</w:t>
      </w:r>
    </w:p>
    <w:p>
      <w:r>
        <w:rPr>
          <w:b/>
        </w:rPr>
        <w:t xml:space="preserve">21 </w:t>
      </w:r>
      <w:r>
        <w:t xml:space="preserve">In the law</w:t>
      </w:r>
      <w:r>
        <w:rPr>
          <w:rStyle w:val="FootnoteReference"/>
        </w:rPr>
        <w:footnoteReference w:id="17825"/>
      </w:r>
      <w:r>
        <w:t xml:space="preserve"> it is written, By other-tongued people and by other lips I will speak to this people; and not even so will they hear me, says the Lord.</w:t>
      </w:r>
    </w:p>
    <w:p>
      <w:r>
        <w:rPr>
          <w:b/>
        </w:rPr>
        <w:t xml:space="preserve">22 </w:t>
      </w:r>
      <w:r>
        <w:t xml:space="preserve">So then tongues are for a</w:t>
      </w:r>
      <w:r>
        <w:rPr>
          <w:rStyle w:val="FootnoteReference"/>
        </w:rPr>
        <w:footnoteReference w:id="17826"/>
      </w:r>
      <w:r>
        <w:t xml:space="preserve"> sign, not to those who believe, but to the unbelieving: but prophecy is not for the unbelieving, but for those who believe.</w:t>
      </w:r>
    </w:p>
    <w:p>
      <w:r>
        <w:rPr>
          <w:b/>
        </w:rPr>
        <w:t xml:space="preserve">23 </w:t>
      </w:r>
      <w:r>
        <w:t xml:space="preserve">If therefore the whole</w:t>
      </w:r>
      <w:r>
        <w:rPr>
          <w:rStyle w:val="FootnoteReference"/>
        </w:rPr>
        <w:footnoteReference w:id="17827"/>
      </w:r>
      <w:r>
        <w:t xml:space="preserve"> assembly be come together into one place, and all speak with tongues, and there come in those that are unlearned, or unbelievers, will they not say that you are mad?</w:t>
      </w:r>
    </w:p>
    <w:p>
      <w:r>
        <w:rPr>
          <w:b/>
        </w:rPr>
        <w:t xml:space="preserve">24 </w:t>
      </w:r>
      <w:r>
        <w:t xml:space="preserve">But if all prophesy, and some unbeliever or uninstructed one comes in, he is convicted by all, he is examined by all:</w:t>
      </w:r>
    </w:p>
    <w:p>
      <w:r>
        <w:rPr>
          <w:b/>
        </w:rPr>
        <w:t xml:space="preserve">25 </w:t>
      </w:r>
      <w:r>
        <w:t xml:space="preserve">And thus the secrets of his heart become manifest; and so falling</w:t>
      </w:r>
      <w:r>
        <w:rPr>
          <w:rStyle w:val="FootnoteReference"/>
        </w:rPr>
        <w:footnoteReference w:id="17828"/>
      </w:r>
      <w:r>
        <w:t xml:space="preserve"> on his face he will worship God, reporting that God truly is among you.</w:t>
      </w:r>
    </w:p>
    <w:p>
      <w:r>
        <w:rPr>
          <w:b/>
        </w:rPr>
        <w:t xml:space="preserve">26 </w:t>
      </w:r>
      <w:r>
        <w:t xml:space="preserve">What then is it, brothers? Whenever you come together, each of you has a psalm, has a teaching, has a tongue, has a revelation, has an interpretation. Let all things be done for building up.</w:t>
      </w:r>
    </w:p>
    <w:p>
      <w:r>
        <w:rPr>
          <w:b/>
        </w:rPr>
        <w:t xml:space="preserve">27 </w:t>
      </w:r>
      <w:r>
        <w:t xml:space="preserve">If anyone speaks in a tongue, let it be by two, or at the most three, and by turn; and let one interpret.</w:t>
      </w:r>
    </w:p>
    <w:p>
      <w:r>
        <w:rPr>
          <w:b/>
        </w:rPr>
        <w:t xml:space="preserve">28 </w:t>
      </w:r>
      <w:r>
        <w:t xml:space="preserve">But if there is no interpreter, let him keep silence in the assembly; and let him speak to himself, and to God.</w:t>
      </w:r>
    </w:p>
    <w:p>
      <w:r>
        <w:rPr>
          <w:b/>
        </w:rPr>
        <w:t xml:space="preserve">29 </w:t>
      </w:r>
      <w:r>
        <w:t xml:space="preserve">And let two or three prophets speak, and let the others discern.</w:t>
      </w:r>
    </w:p>
    <w:p>
      <w:r>
        <w:rPr>
          <w:b/>
        </w:rPr>
        <w:t xml:space="preserve">30 </w:t>
      </w:r>
      <w:r>
        <w:t xml:space="preserve">If anything be revealed</w:t>
      </w:r>
      <w:r>
        <w:rPr>
          <w:rStyle w:val="FootnoteReference"/>
        </w:rPr>
        <w:footnoteReference w:id="17829"/>
      </w:r>
      <w:r>
        <w:t xml:space="preserve"> to another that sits by, let the first be silent.</w:t>
      </w:r>
    </w:p>
    <w:p>
      <w:r>
        <w:rPr>
          <w:b/>
        </w:rPr>
        <w:t xml:space="preserve">31 </w:t>
      </w:r>
      <w:r>
        <w:t xml:space="preserve">For you can all prophesy one by one, that all may learn</w:t>
      </w:r>
      <w:r>
        <w:rPr>
          <w:rStyle w:val="FootnoteReference"/>
        </w:rPr>
        <w:footnoteReference w:id="17830"/>
      </w:r>
      <w:r>
        <w:t xml:space="preserve">, and all may be exhorted.</w:t>
      </w:r>
    </w:p>
    <w:p>
      <w:r>
        <w:rPr>
          <w:b/>
        </w:rPr>
        <w:t xml:space="preserve">32 </w:t>
      </w:r>
      <w:r>
        <w:t xml:space="preserve">And spirits of prophets are subject to prophets.</w:t>
      </w:r>
    </w:p>
    <w:p>
      <w:r>
        <w:rPr>
          <w:b/>
        </w:rPr>
        <w:t xml:space="preserve">33 </w:t>
      </w:r>
      <w:r>
        <w:t xml:space="preserve">For God is not the author of confusion, but of peace, as in all assemblies of the holy ones.</w:t>
      </w:r>
    </w:p>
    <w:p>
      <w:r>
        <w:rPr>
          <w:b/>
        </w:rPr>
        <w:t xml:space="preserve">34 </w:t>
      </w:r>
      <w:r>
        <w:t xml:space="preserve">Let your women</w:t>
      </w:r>
      <w:r>
        <w:rPr>
          <w:rStyle w:val="FootnoteReference"/>
        </w:rPr>
        <w:footnoteReference w:id="17831"/>
      </w:r>
      <w:r>
        <w:t xml:space="preserve"> keep silence in the assemblies: for it is not permitted to them to speak; but they are commanded to be under obedience as also says the law.</w:t>
      </w:r>
    </w:p>
    <w:p>
      <w:r>
        <w:rPr>
          <w:b/>
        </w:rPr>
        <w:t xml:space="preserve">35 </w:t>
      </w:r>
      <w:r>
        <w:t xml:space="preserve">And if they will learn anything, let them ask their husbands at home: for it is a shame</w:t>
      </w:r>
      <w:r>
        <w:rPr>
          <w:rStyle w:val="FootnoteReference"/>
        </w:rPr>
        <w:footnoteReference w:id="17832"/>
      </w:r>
      <w:r>
        <w:t xml:space="preserve"> for women to speak in the assembly.</w:t>
      </w:r>
    </w:p>
    <w:p>
      <w:r>
        <w:rPr>
          <w:b/>
        </w:rPr>
        <w:t xml:space="preserve">36 </w:t>
      </w:r>
      <w:r>
        <w:t xml:space="preserve">Or did the word of God go out from you? or did it come to you only?</w:t>
      </w:r>
    </w:p>
    <w:p>
      <w:r>
        <w:rPr>
          <w:b/>
        </w:rPr>
        <w:t xml:space="preserve">37 </w:t>
      </w:r>
      <w:r>
        <w:t xml:space="preserve">If anyone think himself to be a prophet, or spiritual, let him acknowledge that the things that I write to you are the commandments of the Lord.</w:t>
      </w:r>
    </w:p>
    <w:p>
      <w:r>
        <w:rPr>
          <w:b/>
        </w:rPr>
        <w:t xml:space="preserve">38 </w:t>
      </w:r>
      <w:r>
        <w:t xml:space="preserve">But if anyone is ignorant, let him be ignorant.</w:t>
      </w:r>
    </w:p>
    <w:p>
      <w:r>
        <w:rPr>
          <w:b/>
        </w:rPr>
        <w:t xml:space="preserve">39 </w:t>
      </w:r>
      <w:r>
        <w:t xml:space="preserve">So then, brothers, desire to prophesy, and do not forbid speaking in tongues.</w:t>
      </w:r>
    </w:p>
    <w:p>
      <w:r>
        <w:rPr>
          <w:b/>
        </w:rPr>
        <w:t xml:space="preserve">40 </w:t>
      </w:r>
      <w:r>
        <w:t xml:space="preserve">Let all things be done respectably and according to order.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Moreover, brothers, I declare</w:t>
      </w:r>
      <w:r>
        <w:rPr>
          <w:rStyle w:val="FootnoteReference"/>
        </w:rPr>
        <w:footnoteReference w:id="17833"/>
      </w:r>
      <w:r>
        <w:t xml:space="preserve"> to you the good news which I preached to you, which also you have received, and in which you stand;</w:t>
      </w:r>
    </w:p>
    <w:p>
      <w:r>
        <w:rPr>
          <w:b/>
        </w:rPr>
        <w:t xml:space="preserve">2 </w:t>
      </w:r>
      <w:r>
        <w:t xml:space="preserve">Through which also you are saved, if you hold fast what word I preached to you, unless</w:t>
      </w:r>
      <w:r>
        <w:rPr>
          <w:rStyle w:val="FootnoteReference"/>
        </w:rPr>
        <w:footnoteReference w:id="17834"/>
      </w:r>
      <w:r>
        <w:t xml:space="preserve"> you believed in vain.</w:t>
      </w:r>
    </w:p>
    <w:p>
      <w:r>
        <w:rPr>
          <w:b/>
        </w:rPr>
        <w:t xml:space="preserve">3 </w:t>
      </w:r>
      <w:r>
        <w:t xml:space="preserve">For I delivered</w:t>
      </w:r>
      <w:r>
        <w:rPr>
          <w:rStyle w:val="FootnoteReference"/>
        </w:rPr>
        <w:footnoteReference w:id="17835"/>
      </w:r>
      <w:r>
        <w:t xml:space="preserve"> to you among the first things what I also received, that Christ died for our sins according to the scriptures;</w:t>
      </w:r>
    </w:p>
    <w:p>
      <w:r>
        <w:rPr>
          <w:b/>
        </w:rPr>
        <w:t xml:space="preserve">4 </w:t>
      </w:r>
      <w:r>
        <w:t xml:space="preserve">And that he was buried, and that he has been raised on the third day according to the scriptures:</w:t>
      </w:r>
    </w:p>
    <w:p>
      <w:r>
        <w:rPr>
          <w:b/>
        </w:rPr>
        <w:t xml:space="preserve">5 </w:t>
      </w:r>
      <w:r>
        <w:t xml:space="preserve">And that he was seen by Cephas</w:t>
      </w:r>
      <w:r>
        <w:rPr>
          <w:rStyle w:val="FootnoteReference"/>
        </w:rPr>
        <w:footnoteReference w:id="17836"/>
      </w:r>
      <w:r>
        <w:t xml:space="preserve">, then by the twelve:</w:t>
      </w:r>
    </w:p>
    <w:p>
      <w:r>
        <w:rPr>
          <w:b/>
        </w:rPr>
        <w:t xml:space="preserve">6 </w:t>
      </w:r>
      <w:r>
        <w:t xml:space="preserve">Then he was seen by over five hundred brothers at once; of whom the greater part remain until now, but some have fallen asleep.</w:t>
      </w:r>
    </w:p>
    <w:p>
      <w:r>
        <w:rPr>
          <w:b/>
        </w:rPr>
        <w:t xml:space="preserve">7 </w:t>
      </w:r>
      <w:r>
        <w:t xml:space="preserve">Then he was seen by James; then by all the apostles.</w:t>
      </w:r>
    </w:p>
    <w:p>
      <w:r>
        <w:rPr>
          <w:b/>
        </w:rPr>
        <w:t xml:space="preserve">8 </w:t>
      </w:r>
      <w:r>
        <w:t xml:space="preserve">And last of all, as if to the untimely birth, he was seen also by me.</w:t>
      </w:r>
    </w:p>
    <w:p>
      <w:r>
        <w:rPr>
          <w:b/>
        </w:rPr>
        <w:t xml:space="preserve">9 </w:t>
      </w:r>
      <w:r>
        <w:t xml:space="preserve">For I am the least</w:t>
      </w:r>
      <w:r>
        <w:rPr>
          <w:rStyle w:val="FootnoteReference"/>
        </w:rPr>
        <w:footnoteReference w:id="17837"/>
      </w:r>
      <w:r>
        <w:t xml:space="preserve"> of the apostles, that am not fitting to be called an apostle, because I persecuted the assembly of God.</w:t>
      </w:r>
    </w:p>
    <w:p>
      <w:r>
        <w:rPr>
          <w:b/>
        </w:rPr>
        <w:t xml:space="preserve">10 </w:t>
      </w:r>
      <w:r>
        <w:t xml:space="preserve">But by the grace of God I am what I am: and his grace</w:t>
      </w:r>
      <w:r>
        <w:rPr>
          <w:rStyle w:val="FootnoteReference"/>
        </w:rPr>
        <w:footnoteReference w:id="17838"/>
      </w:r>
      <w:r>
        <w:t xml:space="preserve"> which was bestowed upon me was not in vain; but I labored more abundantly than they all: yet not I, but the grace of God which was with me.</w:t>
      </w:r>
    </w:p>
    <w:p>
      <w:r>
        <w:rPr>
          <w:b/>
        </w:rPr>
        <w:t xml:space="preserve">11 </w:t>
      </w:r>
      <w:r>
        <w:t xml:space="preserve">Therefore whether I or those, thus we preach, and thus you believed.</w:t>
      </w:r>
    </w:p>
    <w:p>
      <w:r>
        <w:rPr>
          <w:b/>
        </w:rPr>
        <w:t xml:space="preserve">12 </w:t>
      </w:r>
      <w:r>
        <w:t xml:space="preserve">But if Christ is preached, that he has been raised from the dead, how do some among you say that there is no resurrection of the dead?</w:t>
      </w:r>
    </w:p>
    <w:p>
      <w:r>
        <w:rPr>
          <w:b/>
        </w:rPr>
        <w:t xml:space="preserve">13 </w:t>
      </w:r>
      <w:r>
        <w:t xml:space="preserve">But if there is no resurrection of the dead, neither has Christ been raised:</w:t>
      </w:r>
    </w:p>
    <w:p>
      <w:r>
        <w:rPr>
          <w:b/>
        </w:rPr>
        <w:t xml:space="preserve">14 </w:t>
      </w:r>
      <w:r>
        <w:t xml:space="preserve">And if Christ has not been raised, then our preaching is empty, and your faith also empty.</w:t>
      </w:r>
    </w:p>
    <w:p>
      <w:r>
        <w:rPr>
          <w:b/>
        </w:rPr>
        <w:t xml:space="preserve">15 </w:t>
      </w:r>
      <w:r>
        <w:t xml:space="preserve">And we are also found false witnesses against God, because we testified against God that he raised Christ, whom he did not raise, if indeed the dead are not raised.</w:t>
      </w:r>
    </w:p>
    <w:p>
      <w:r>
        <w:rPr>
          <w:b/>
        </w:rPr>
        <w:t xml:space="preserve">16 </w:t>
      </w:r>
      <w:r>
        <w:t xml:space="preserve">For if the dead are not raised, neither has Christ been raised:</w:t>
      </w:r>
    </w:p>
    <w:p>
      <w:r>
        <w:rPr>
          <w:b/>
        </w:rPr>
        <w:t xml:space="preserve">17 </w:t>
      </w:r>
      <w:r>
        <w:t xml:space="preserve">And if Christ has not been raised, your faith is vain; you are still in your sins.</w:t>
      </w:r>
    </w:p>
    <w:p>
      <w:r>
        <w:rPr>
          <w:b/>
        </w:rPr>
        <w:t xml:space="preserve">18 </w:t>
      </w:r>
      <w:r>
        <w:t xml:space="preserve">Then also those who have fallen</w:t>
      </w:r>
      <w:r>
        <w:rPr>
          <w:rStyle w:val="FootnoteReference"/>
        </w:rPr>
        <w:footnoteReference w:id="17839"/>
      </w:r>
      <w:r>
        <w:t xml:space="preserve"> asleep in Christ perished.</w:t>
      </w:r>
    </w:p>
    <w:p>
      <w:r>
        <w:rPr>
          <w:b/>
        </w:rPr>
        <w:t xml:space="preserve">19 </w:t>
      </w:r>
      <w:r>
        <w:t xml:space="preserve">If in this life only we have hoped in Christ, we are more pitiable than all humans.</w:t>
      </w:r>
    </w:p>
    <w:p>
      <w:r>
        <w:rPr>
          <w:b/>
        </w:rPr>
        <w:t xml:space="preserve">20 </w:t>
      </w:r>
      <w:r>
        <w:t xml:space="preserve">But now Christ has been raised from the dead, and became the firstfruit of those who have fallen asleep.</w:t>
      </w:r>
    </w:p>
    <w:p>
      <w:r>
        <w:rPr>
          <w:b/>
        </w:rPr>
        <w:t xml:space="preserve">21 </w:t>
      </w:r>
      <w:r>
        <w:t xml:space="preserve">For since through a human came death, through a human also came resurrection of the dead.</w:t>
      </w:r>
    </w:p>
    <w:p>
      <w:r>
        <w:rPr>
          <w:b/>
        </w:rPr>
        <w:t xml:space="preserve">22 </w:t>
      </w:r>
      <w:r>
        <w:t xml:space="preserve">For as in Adam</w:t>
      </w:r>
      <w:r>
        <w:rPr>
          <w:rStyle w:val="FootnoteReference"/>
        </w:rPr>
        <w:footnoteReference w:id="17840"/>
      </w:r>
      <w:r>
        <w:t xml:space="preserve"> all die, even so in Christ shall all be made alive.</w:t>
      </w:r>
    </w:p>
    <w:p>
      <w:r>
        <w:rPr>
          <w:b/>
        </w:rPr>
        <w:t xml:space="preserve">23 </w:t>
      </w:r>
      <w:r>
        <w:t xml:space="preserve">But each in his own order: Christ the firstfruit; afterward those who are Christ's at his coming.</w:t>
      </w:r>
    </w:p>
    <w:p>
      <w:r>
        <w:rPr>
          <w:b/>
        </w:rPr>
        <w:t xml:space="preserve">24 </w:t>
      </w:r>
      <w:r>
        <w:t xml:space="preserve">Then the end, when he delivers up the kingdom</w:t>
      </w:r>
      <w:r>
        <w:rPr>
          <w:rStyle w:val="FootnoteReference"/>
        </w:rPr>
        <w:footnoteReference w:id="17841"/>
      </w:r>
      <w:r>
        <w:t xml:space="preserve"> to God and Father; when he makes ineffective every rule and every authority and power.</w:t>
      </w:r>
    </w:p>
    <w:p>
      <w:r>
        <w:rPr>
          <w:b/>
        </w:rPr>
        <w:t xml:space="preserve">25 </w:t>
      </w:r>
      <w:r>
        <w:t xml:space="preserve">For he must reign until he puts all enemies under his feet.</w:t>
      </w:r>
    </w:p>
    <w:p>
      <w:r>
        <w:rPr>
          <w:b/>
        </w:rPr>
        <w:t xml:space="preserve">26 </w:t>
      </w:r>
      <w:r>
        <w:t xml:space="preserve">The last enemy being made ineffective is death.</w:t>
      </w:r>
    </w:p>
    <w:p>
      <w:r>
        <w:rPr>
          <w:b/>
        </w:rPr>
        <w:t xml:space="preserve">27 </w:t>
      </w:r>
      <w:r>
        <w:t xml:space="preserve">For he subjected all things under his feet. But when he says that all things have been subjected, it is evident that it is except the one who subjected all things to him.</w:t>
      </w:r>
    </w:p>
    <w:p>
      <w:r>
        <w:rPr>
          <w:b/>
        </w:rPr>
        <w:t xml:space="preserve">28 </w:t>
      </w:r>
      <w:r>
        <w:t xml:space="preserve">And when all things</w:t>
      </w:r>
      <w:r>
        <w:rPr>
          <w:rStyle w:val="FootnoteReference"/>
        </w:rPr>
        <w:footnoteReference w:id="17842"/>
      </w:r>
      <w:r>
        <w:t xml:space="preserve"> shall be subjected to him, then the Son himself also shall be subjected to the one who subjected all things to him, that God may be all things in all.</w:t>
      </w:r>
    </w:p>
    <w:p>
      <w:r>
        <w:rPr>
          <w:b/>
        </w:rPr>
        <w:t xml:space="preserve">29 </w:t>
      </w:r>
      <w:r>
        <w:t xml:space="preserve">Otherwise what will those who are baptized for the dead do, if the dead are not raised at all? why then are they baptized for the dead?</w:t>
      </w:r>
    </w:p>
    <w:p>
      <w:r>
        <w:rPr>
          <w:b/>
        </w:rPr>
        <w:t xml:space="preserve">30 </w:t>
      </w:r>
      <w:r>
        <w:t xml:space="preserve">And why are we also in danger every hour?</w:t>
      </w:r>
    </w:p>
    <w:p>
      <w:r>
        <w:rPr>
          <w:b/>
        </w:rPr>
        <w:t xml:space="preserve">31 </w:t>
      </w:r>
      <w:r>
        <w:t xml:space="preserve">Daily I die, by your boasting which I have in Christ Jesus our Lord.</w:t>
      </w:r>
    </w:p>
    <w:p>
      <w:r>
        <w:rPr>
          <w:b/>
        </w:rPr>
        <w:t xml:space="preserve">32 </w:t>
      </w:r>
      <w:r>
        <w:t xml:space="preserve">If after the manner of men I have fought with beasts</w:t>
      </w:r>
      <w:r>
        <w:rPr>
          <w:rStyle w:val="FootnoteReference"/>
        </w:rPr>
        <w:footnoteReference w:id="17843"/>
      </w:r>
      <w:r>
        <w:t xml:space="preserve"> at Ephesus, what advantages it me, if the dead rise not? let us eat and drink; for tomorrow we die.</w:t>
      </w:r>
    </w:p>
    <w:p>
      <w:r>
        <w:rPr>
          <w:b/>
        </w:rPr>
        <w:t xml:space="preserve">33 </w:t>
      </w:r>
      <w:r>
        <w:t xml:space="preserve">Do not be deceived: evil</w:t>
      </w:r>
      <w:r>
        <w:rPr>
          <w:rStyle w:val="FootnoteReference"/>
        </w:rPr>
        <w:footnoteReference w:id="17844"/>
      </w:r>
      <w:r>
        <w:t xml:space="preserve"> company corrupts good morals.</w:t>
      </w:r>
    </w:p>
    <w:p>
      <w:r>
        <w:rPr>
          <w:b/>
        </w:rPr>
        <w:t xml:space="preserve">34 </w:t>
      </w:r>
      <w:r>
        <w:t xml:space="preserve">Sober up righteously, and do not sin; for some have ignorance of God: I speak</w:t>
      </w:r>
      <w:r>
        <w:rPr>
          <w:rStyle w:val="FootnoteReference"/>
        </w:rPr>
        <w:footnoteReference w:id="17845"/>
      </w:r>
      <w:r>
        <w:t xml:space="preserve"> this to your shame.</w:t>
      </w:r>
    </w:p>
    <w:p>
      <w:r>
        <w:rPr>
          <w:b/>
        </w:rPr>
        <w:t xml:space="preserve">35 </w:t>
      </w:r>
      <w:r>
        <w:t xml:space="preserve">But someone will say, How are the dead raised? and with what body do they come?</w:t>
      </w:r>
    </w:p>
    <w:p>
      <w:r>
        <w:rPr>
          <w:b/>
        </w:rPr>
        <w:t xml:space="preserve">36 </w:t>
      </w:r>
      <w:r>
        <w:t xml:space="preserve">You fool</w:t>
      </w:r>
      <w:r>
        <w:rPr>
          <w:rStyle w:val="FootnoteReference"/>
        </w:rPr>
        <w:footnoteReference w:id="17846"/>
      </w:r>
      <w:r>
        <w:t xml:space="preserve">, that which you sow is not made alive, except it die:</w:t>
      </w:r>
    </w:p>
    <w:p>
      <w:r>
        <w:rPr>
          <w:b/>
        </w:rPr>
        <w:t xml:space="preserve">37 </w:t>
      </w:r>
      <w:r>
        <w:t xml:space="preserve">And what you sow, you do not sow the body that shall be, but a bare grain, perhaps of wheat, or of some of the rest:</w:t>
      </w:r>
    </w:p>
    <w:p>
      <w:r>
        <w:rPr>
          <w:b/>
        </w:rPr>
        <w:t xml:space="preserve">38 </w:t>
      </w:r>
      <w:r>
        <w:t xml:space="preserve">But God gives it a body just as he willed, and to each of the seeds its own body.</w:t>
      </w:r>
    </w:p>
    <w:p>
      <w:r>
        <w:rPr>
          <w:b/>
        </w:rPr>
        <w:t xml:space="preserve">39 </w:t>
      </w:r>
      <w:r>
        <w:t xml:space="preserve">All flesh is not the same flesh: but there is one kind of flesh of men, another flesh of beasts, another of fish, and another of birds.</w:t>
      </w:r>
    </w:p>
    <w:p>
      <w:r>
        <w:rPr>
          <w:b/>
        </w:rPr>
        <w:t xml:space="preserve">40 </w:t>
      </w:r>
      <w:r>
        <w:t xml:space="preserve">And there are heavenly bodies and earthly bodies: but one indeed is the glory of the heavenly, and another that of the earthly.</w:t>
      </w:r>
    </w:p>
    <w:p>
      <w:r>
        <w:rPr>
          <w:b/>
        </w:rPr>
        <w:t xml:space="preserve">41 </w:t>
      </w:r>
      <w:r>
        <w:t xml:space="preserve">One glory of the sun, and another glory of the moon, and another glory of stars: for star differs from star in glory.</w:t>
      </w:r>
    </w:p>
    <w:p>
      <w:r>
        <w:rPr>
          <w:b/>
        </w:rPr>
        <w:t xml:space="preserve">42 </w:t>
      </w:r>
      <w:r>
        <w:t xml:space="preserve">So also is the resurrection of the dead. It is sown in corruption</w:t>
      </w:r>
      <w:r>
        <w:rPr>
          <w:rStyle w:val="FootnoteReference"/>
        </w:rPr>
        <w:footnoteReference w:id="17847"/>
      </w:r>
      <w:r>
        <w:t xml:space="preserve">; it is raised in incorruption:</w:t>
      </w:r>
    </w:p>
    <w:p>
      <w:r>
        <w:rPr>
          <w:b/>
        </w:rPr>
        <w:t xml:space="preserve">43 </w:t>
      </w:r>
      <w:r>
        <w:t xml:space="preserve">It is sown in dishonor; it is raised in glory: it is sown in weakness</w:t>
      </w:r>
      <w:r>
        <w:rPr>
          <w:rStyle w:val="FootnoteReference"/>
        </w:rPr>
        <w:footnoteReference w:id="17848"/>
      </w:r>
      <w:r>
        <w:t xml:space="preserve">; it is raised in power:</w:t>
      </w:r>
    </w:p>
    <w:p>
      <w:r>
        <w:rPr>
          <w:b/>
        </w:rPr>
        <w:t xml:space="preserve">44 </w:t>
      </w:r>
      <w:r>
        <w:t xml:space="preserve">It is sown a natural body; it is raised a spiritual body. There is a natural body, and there is a spiritual</w:t>
      </w:r>
      <w:r>
        <w:rPr>
          <w:rStyle w:val="FootnoteReference"/>
        </w:rPr>
        <w:footnoteReference w:id="17849"/>
      </w:r>
      <w:r>
        <w:t xml:space="preserve"> body.</w:t>
      </w:r>
    </w:p>
    <w:p>
      <w:r>
        <w:rPr>
          <w:b/>
        </w:rPr>
        <w:t xml:space="preserve">45 </w:t>
      </w:r>
      <w:r>
        <w:t xml:space="preserve">And so it is written, The first</w:t>
      </w:r>
      <w:r>
        <w:rPr>
          <w:rStyle w:val="FootnoteReference"/>
        </w:rPr>
        <w:footnoteReference w:id="17850"/>
      </w:r>
      <w:r>
        <w:t xml:space="preserve"> man, Adam, became a living soul; the last Adam became a life-giving spirit.</w:t>
      </w:r>
    </w:p>
    <w:p>
      <w:r>
        <w:rPr>
          <w:b/>
        </w:rPr>
        <w:t xml:space="preserve">46 </w:t>
      </w:r>
      <w:r>
        <w:t xml:space="preserve">But not first the spiritual, but the natural; afterward the spiritual.</w:t>
      </w:r>
    </w:p>
    <w:p>
      <w:r>
        <w:rPr>
          <w:b/>
        </w:rPr>
        <w:t xml:space="preserve">47 </w:t>
      </w:r>
      <w:r>
        <w:t xml:space="preserve">The first</w:t>
      </w:r>
      <w:r>
        <w:rPr>
          <w:rStyle w:val="FootnoteReference"/>
        </w:rPr>
        <w:footnoteReference w:id="17851"/>
      </w:r>
      <w:r>
        <w:t xml:space="preserve"> man is from earth, made of dust; the second man is the Lord from heaven.</w:t>
      </w:r>
    </w:p>
    <w:p>
      <w:r>
        <w:rPr>
          <w:b/>
        </w:rPr>
        <w:t xml:space="preserve">48 </w:t>
      </w:r>
      <w:r>
        <w:t xml:space="preserve">As the one made of dust is, such also are those made of dust; and as</w:t>
      </w:r>
      <w:r>
        <w:rPr>
          <w:rStyle w:val="FootnoteReference"/>
        </w:rPr>
        <w:footnoteReference w:id="17852"/>
      </w:r>
      <w:r>
        <w:t xml:space="preserve"> the heavenly one is, such also are the heavenly.</w:t>
      </w:r>
    </w:p>
    <w:p>
      <w:r>
        <w:rPr>
          <w:b/>
        </w:rPr>
        <w:t xml:space="preserve">49 </w:t>
      </w:r>
      <w:r>
        <w:t xml:space="preserve">And just as we bore the image of the one made of dust, we shall</w:t>
      </w:r>
      <w:r>
        <w:rPr>
          <w:rStyle w:val="FootnoteReference"/>
        </w:rPr>
        <w:footnoteReference w:id="17853"/>
      </w:r>
      <w:r>
        <w:t xml:space="preserve"> also bear the image of the heavenly one.</w:t>
      </w:r>
    </w:p>
    <w:p>
      <w:r>
        <w:rPr>
          <w:b/>
        </w:rPr>
        <w:t xml:space="preserve">50 </w:t>
      </w:r>
      <w:r>
        <w:t xml:space="preserve">But this I say, brothers, that flesh and blood cannot inherit God's kingdom; neither does corruption inherit incorruption.</w:t>
      </w:r>
    </w:p>
    <w:p>
      <w:r>
        <w:rPr>
          <w:b/>
        </w:rPr>
        <w:t xml:space="preserve">51 </w:t>
      </w:r>
      <w:r>
        <w:t xml:space="preserve">Behold, I tell you a mystery; we shall not</w:t>
      </w:r>
      <w:r>
        <w:rPr>
          <w:rStyle w:val="FootnoteReference"/>
        </w:rPr>
        <w:footnoteReference w:id="17854"/>
      </w:r>
      <w:r>
        <w:t xml:space="preserve"> all sleep, but we shall all be changed,</w:t>
      </w:r>
    </w:p>
    <w:p>
      <w:r>
        <w:rPr>
          <w:b/>
        </w:rPr>
        <w:t xml:space="preserve">52 </w:t>
      </w:r>
      <w:r>
        <w:t xml:space="preserve">In an instant, in the blink of an eye, at the last</w:t>
      </w:r>
      <w:r>
        <w:rPr>
          <w:rStyle w:val="FootnoteReference"/>
        </w:rPr>
        <w:footnoteReference w:id="17855"/>
      </w:r>
      <w:r>
        <w:t xml:space="preserve"> trumpet: for the trumpet shall sound, and the dead shall be raised incorruptible, and we shall be changed.</w:t>
      </w:r>
    </w:p>
    <w:p>
      <w:r>
        <w:rPr>
          <w:b/>
        </w:rPr>
        <w:t xml:space="preserve">53 </w:t>
      </w:r>
      <w:r>
        <w:t xml:space="preserve">For this corruptible must put on incorruption, and this mortal must put on immortality.</w:t>
      </w:r>
    </w:p>
    <w:p>
      <w:r>
        <w:rPr>
          <w:b/>
        </w:rPr>
        <w:t xml:space="preserve">54 </w:t>
      </w:r>
      <w:r>
        <w:t xml:space="preserve">And when this corruptible shall put on incorruption, and this mortal</w:t>
      </w:r>
      <w:r>
        <w:rPr>
          <w:rStyle w:val="FootnoteReference"/>
        </w:rPr>
        <w:footnoteReference w:id="17856"/>
      </w:r>
      <w:r>
        <w:t xml:space="preserve"> shall put on immortality, then the word that is written shall come to be: Death was swallowed up into victory.</w:t>
      </w:r>
    </w:p>
    <w:p>
      <w:r>
        <w:rPr>
          <w:b/>
        </w:rPr>
        <w:t xml:space="preserve">55 </w:t>
      </w:r>
      <w:r>
        <w:t xml:space="preserve">Where is your sting, O death</w:t>
      </w:r>
      <w:r>
        <w:rPr>
          <w:rStyle w:val="FootnoteReference"/>
        </w:rPr>
        <w:footnoteReference w:id="17857"/>
      </w:r>
      <w:r>
        <w:t xml:space="preserve">? Where is your victory, O Hades?</w:t>
      </w:r>
    </w:p>
    <w:p>
      <w:r>
        <w:rPr>
          <w:b/>
        </w:rPr>
        <w:t xml:space="preserve">56 </w:t>
      </w:r>
      <w:r>
        <w:t xml:space="preserve">The sting</w:t>
      </w:r>
      <w:r>
        <w:rPr>
          <w:rStyle w:val="FootnoteReference"/>
        </w:rPr>
        <w:footnoteReference w:id="17858"/>
      </w:r>
      <w:r>
        <w:t xml:space="preserve"> of death is sin; and the strength of sin is the law.</w:t>
      </w:r>
    </w:p>
    <w:p>
      <w:r>
        <w:rPr>
          <w:b/>
        </w:rPr>
        <w:t xml:space="preserve">57 </w:t>
      </w:r>
      <w:r>
        <w:t xml:space="preserve">But thanks</w:t>
      </w:r>
      <w:r>
        <w:rPr>
          <w:rStyle w:val="FootnoteReference"/>
        </w:rPr>
        <w:footnoteReference w:id="17859"/>
      </w:r>
      <w:r>
        <w:t xml:space="preserve"> be to God, who gives us the victory through our Lord Jesus Christ.</w:t>
      </w:r>
    </w:p>
    <w:p>
      <w:r>
        <w:rPr>
          <w:b/>
        </w:rPr>
        <w:t xml:space="preserve">58 </w:t>
      </w:r>
      <w:r>
        <w:t xml:space="preserve">Therefore</w:t>
      </w:r>
      <w:r>
        <w:rPr>
          <w:rStyle w:val="FootnoteReference"/>
        </w:rPr>
        <w:footnoteReference w:id="17860"/>
      </w:r>
      <w:r>
        <w:t xml:space="preserve">, my beloved brothers, be steadfast, immovable, always abounding in the work of the Lord, since you know that your labor is not in vain in the Lord.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Now concerning</w:t>
      </w:r>
      <w:r>
        <w:rPr>
          <w:rStyle w:val="FootnoteReference"/>
        </w:rPr>
        <w:footnoteReference w:id="17861"/>
      </w:r>
      <w:r>
        <w:t xml:space="preserve"> the collection for the holy ones, as I have given order to the assemblies of Galatia</w:t>
      </w:r>
      <w:r>
        <w:rPr>
          <w:rStyle w:val="FootnoteReference"/>
        </w:rPr>
        <w:footnoteReference w:id="17862"/>
      </w:r>
      <w:r>
        <w:t xml:space="preserve">, even so do you.</w:t>
      </w:r>
    </w:p>
    <w:p>
      <w:r>
        <w:rPr>
          <w:b/>
        </w:rPr>
        <w:t xml:space="preserve">2 </w:t>
      </w:r>
      <w:r>
        <w:t xml:space="preserve">On the first</w:t>
      </w:r>
      <w:r>
        <w:rPr>
          <w:rStyle w:val="FootnoteReference"/>
        </w:rPr>
        <w:footnoteReference w:id="17863"/>
      </w:r>
      <w:r>
        <w:t xml:space="preserve"> day of the week let each of you put aside by himself, storing up whatever he may prosper, so that there may be no collections when I come.</w:t>
      </w:r>
    </w:p>
    <w:p>
      <w:r>
        <w:rPr>
          <w:b/>
        </w:rPr>
        <w:t xml:space="preserve">3 </w:t>
      </w:r>
      <w:r>
        <w:t xml:space="preserve">And when I arrive, whomever you approve by letters, these I will send to carry your gracious gift to Jerusalem.</w:t>
      </w:r>
    </w:p>
    <w:p>
      <w:r>
        <w:rPr>
          <w:b/>
        </w:rPr>
        <w:t xml:space="preserve">4 </w:t>
      </w:r>
      <w:r>
        <w:t xml:space="preserve">And if it is worthy for me also to go, they shall go with me.</w:t>
      </w:r>
    </w:p>
    <w:p>
      <w:r>
        <w:rPr>
          <w:b/>
        </w:rPr>
        <w:t xml:space="preserve">5 </w:t>
      </w:r>
      <w:r>
        <w:t xml:space="preserve">And I will come to you when I pass through Macedonia: for I am passing through Macedonia.</w:t>
      </w:r>
    </w:p>
    <w:p>
      <w:r>
        <w:rPr>
          <w:b/>
        </w:rPr>
        <w:t xml:space="preserve">6 </w:t>
      </w:r>
      <w:r>
        <w:t xml:space="preserve">And perhaps I will remain with you, or even winter</w:t>
      </w:r>
      <w:r>
        <w:rPr>
          <w:rStyle w:val="FootnoteReference"/>
        </w:rPr>
        <w:footnoteReference w:id="17864"/>
      </w:r>
      <w:r>
        <w:t xml:space="preserve"> with you, that you may send me forward wherever I go.</w:t>
      </w:r>
    </w:p>
    <w:p>
      <w:r>
        <w:rPr>
          <w:b/>
        </w:rPr>
        <w:t xml:space="preserve">7 </w:t>
      </w:r>
      <w:r>
        <w:t xml:space="preserve">For I do not want to see you now in passing; but I hope to remain with you some time, if the Lord permits.</w:t>
      </w:r>
    </w:p>
    <w:p>
      <w:r>
        <w:rPr>
          <w:b/>
        </w:rPr>
        <w:t xml:space="preserve">8 </w:t>
      </w:r>
      <w:r>
        <w:t xml:space="preserve">But I remain in Ephesus until Pentecost</w:t>
      </w:r>
      <w:r>
        <w:rPr>
          <w:rStyle w:val="FootnoteReference"/>
        </w:rPr>
        <w:footnoteReference w:id="17865"/>
      </w:r>
      <w:r>
        <w:t xml:space="preserve">.</w:t>
      </w:r>
    </w:p>
    <w:p>
      <w:r>
        <w:rPr>
          <w:b/>
        </w:rPr>
        <w:t xml:space="preserve">9 </w:t>
      </w:r>
      <w:r>
        <w:t xml:space="preserve">For a great</w:t>
      </w:r>
      <w:r>
        <w:rPr>
          <w:rStyle w:val="FootnoteReference"/>
        </w:rPr>
        <w:footnoteReference w:id="17866"/>
      </w:r>
      <w:r>
        <w:t xml:space="preserve"> and effective door has opened to me, and many are opposing.</w:t>
      </w:r>
    </w:p>
    <w:p>
      <w:r>
        <w:rPr>
          <w:b/>
        </w:rPr>
        <w:t xml:space="preserve">10 </w:t>
      </w:r>
      <w:r>
        <w:t xml:space="preserve">And if Timothy comes, see that he may be with you without fear: for he works the work of the Lord, as I also do.</w:t>
      </w:r>
    </w:p>
    <w:p>
      <w:r>
        <w:rPr>
          <w:b/>
        </w:rPr>
        <w:t xml:space="preserve">11 </w:t>
      </w:r>
      <w:r>
        <w:t xml:space="preserve">Therefore let no one despise him: but send him forward in peace, that he may come to me: for I await him with the brothers.</w:t>
      </w:r>
    </w:p>
    <w:p>
      <w:r>
        <w:rPr>
          <w:b/>
        </w:rPr>
        <w:t xml:space="preserve">12 </w:t>
      </w:r>
      <w:r>
        <w:t xml:space="preserve">Now concerning Apollos the brother, I urged him much that he should come to you with the brothers: and it was altogether not his will to come now; but he will come when he has opportunity.</w:t>
      </w:r>
    </w:p>
    <w:p>
      <w:r>
        <w:rPr>
          <w:b/>
        </w:rPr>
        <w:t xml:space="preserve">13 </w:t>
      </w:r>
      <w:r>
        <w:t xml:space="preserve">Watch</w:t>
      </w:r>
      <w:r>
        <w:rPr>
          <w:rStyle w:val="FootnoteReference"/>
        </w:rPr>
        <w:footnoteReference w:id="17867"/>
      </w:r>
      <w:r>
        <w:t xml:space="preserve">, stand firm in the faith, act like men, be strengthened.</w:t>
      </w:r>
    </w:p>
    <w:p>
      <w:r>
        <w:rPr>
          <w:b/>
        </w:rPr>
        <w:t xml:space="preserve">14 </w:t>
      </w:r>
      <w:r>
        <w:t xml:space="preserve">Let all your things be done in love.</w:t>
      </w:r>
    </w:p>
    <w:p>
      <w:r>
        <w:rPr>
          <w:b/>
        </w:rPr>
        <w:t xml:space="preserve">15 </w:t>
      </w:r>
      <w:r>
        <w:t xml:space="preserve">I plead to you, (you know the house</w:t>
      </w:r>
      <w:r>
        <w:rPr>
          <w:rStyle w:val="FootnoteReference"/>
        </w:rPr>
        <w:footnoteReference w:id="17868"/>
      </w:r>
      <w:r>
        <w:t xml:space="preserve"> of Stephanas, that it is the first-fruits of Achaia, and that they have addicted themselves to the ministry of the holy ones,)</w:t>
      </w:r>
    </w:p>
    <w:p>
      <w:r>
        <w:rPr>
          <w:b/>
        </w:rPr>
        <w:t xml:space="preserve">16 </w:t>
      </w:r>
      <w:r>
        <w:t xml:space="preserve">That you also submit yourselves to such ones, and to everyone working together and laboring.</w:t>
      </w:r>
    </w:p>
    <w:p>
      <w:r>
        <w:rPr>
          <w:b/>
        </w:rPr>
        <w:t xml:space="preserve">17 </w:t>
      </w:r>
      <w:r>
        <w:t xml:space="preserve">And I rejoice at the coming of Stephanas</w:t>
      </w:r>
      <w:r>
        <w:rPr>
          <w:rStyle w:val="FootnoteReference"/>
        </w:rPr>
        <w:footnoteReference w:id="17869"/>
      </w:r>
      <w:r>
        <w:t xml:space="preserve"> and Fortunatus</w:t>
      </w:r>
      <w:r>
        <w:rPr>
          <w:rStyle w:val="FootnoteReference"/>
        </w:rPr>
        <w:footnoteReference w:id="17870"/>
      </w:r>
      <w:r>
        <w:t xml:space="preserve"> and Achaicus</w:t>
      </w:r>
      <w:r>
        <w:rPr>
          <w:rStyle w:val="FootnoteReference"/>
        </w:rPr>
        <w:footnoteReference w:id="17871"/>
      </w:r>
      <w:r>
        <w:t xml:space="preserve">: because these supplied what was lacking from you.</w:t>
      </w:r>
    </w:p>
    <w:p>
      <w:r>
        <w:rPr>
          <w:b/>
        </w:rPr>
        <w:t xml:space="preserve">18 </w:t>
      </w:r>
      <w:r>
        <w:t xml:space="preserve">For they have refreshed my spirit and yours: therefore</w:t>
      </w:r>
      <w:r>
        <w:rPr>
          <w:rStyle w:val="FootnoteReference"/>
        </w:rPr>
        <w:footnoteReference w:id="17872"/>
      </w:r>
      <w:r>
        <w:t xml:space="preserve"> acknowledge you those who are such.</w:t>
      </w:r>
    </w:p>
    <w:p>
      <w:r>
        <w:rPr>
          <w:b/>
        </w:rPr>
        <w:t xml:space="preserve">19 </w:t>
      </w:r>
      <w:r>
        <w:t xml:space="preserve">The assemblies of Asia salute you. Aquila</w:t>
      </w:r>
      <w:r>
        <w:rPr>
          <w:rStyle w:val="FootnoteReference"/>
        </w:rPr>
        <w:footnoteReference w:id="17873"/>
      </w:r>
      <w:r>
        <w:t xml:space="preserve"> and Priscilla salute you much in the Lord, with the assembly that is in their house.</w:t>
      </w:r>
    </w:p>
    <w:p>
      <w:r>
        <w:rPr>
          <w:b/>
        </w:rPr>
        <w:t xml:space="preserve">20 </w:t>
      </w:r>
      <w:r>
        <w:t xml:space="preserve">All the brothers greet</w:t>
      </w:r>
      <w:r>
        <w:rPr>
          <w:rStyle w:val="FootnoteReference"/>
        </w:rPr>
        <w:footnoteReference w:id="17874"/>
      </w:r>
      <w:r>
        <w:t xml:space="preserve"> you. Greet you one another with a holy kiss.</w:t>
      </w:r>
    </w:p>
    <w:p>
      <w:r>
        <w:rPr>
          <w:b/>
        </w:rPr>
        <w:t xml:space="preserve">21 </w:t>
      </w:r>
      <w:r>
        <w:t xml:space="preserve">The greeting with my hand, Paul's.</w:t>
      </w:r>
    </w:p>
    <w:p>
      <w:r>
        <w:rPr>
          <w:b/>
        </w:rPr>
        <w:t xml:space="preserve">22 </w:t>
      </w:r>
      <w:r>
        <w:t xml:space="preserve">If anyone love</w:t>
      </w:r>
      <w:r>
        <w:rPr>
          <w:rStyle w:val="FootnoteReference"/>
        </w:rPr>
        <w:footnoteReference w:id="17875"/>
      </w:r>
      <w:r>
        <w:t xml:space="preserve"> not the Lord Jesus Christ, let him be Anathema</w:t>
      </w:r>
      <w:r>
        <w:rPr>
          <w:rStyle w:val="FootnoteReference"/>
        </w:rPr>
        <w:footnoteReference w:id="17876"/>
      </w:r>
      <w:r>
        <w:t xml:space="preserve"> Maranatha</w:t>
      </w:r>
      <w:r>
        <w:rPr>
          <w:rStyle w:val="FootnoteReference"/>
        </w:rPr>
        <w:footnoteReference w:id="17877"/>
      </w:r>
      <w:r>
        <w:t xml:space="preserve">.</w:t>
      </w:r>
    </w:p>
    <w:p>
      <w:r>
        <w:rPr>
          <w:b/>
        </w:rPr>
        <w:t xml:space="preserve">23 </w:t>
      </w:r>
      <w:r>
        <w:t xml:space="preserve">The grace of the Lord Jesus Christ be with you.</w:t>
      </w:r>
    </w:p>
    <w:p>
      <w:r>
        <w:rPr>
          <w:b/>
        </w:rPr>
        <w:t xml:space="preserve">24 </w:t>
      </w:r>
      <w:r>
        <w:t xml:space="preserve">My love</w:t>
      </w:r>
      <w:r>
        <w:rPr>
          <w:rStyle w:val="FootnoteReference"/>
        </w:rPr>
        <w:footnoteReference w:id="17878"/>
      </w:r>
      <w:r>
        <w:t xml:space="preserve"> be with you all in Christ Jesus. Amen.</w:t>
      </w:r>
    </w:p>
    <w:p>
      <w:r>
        <w:br w:type="page"/>
      </w:r>
    </w:p>
    <w:p>
      <w:pPr>
        <w:pStyle w:val="Heading1"/>
      </w:pPr>
      <w:r>
        <w:t xml:space="preserve">2 Corinthians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w:t>
      </w:r>
      <w:r>
        <w:rPr>
          <w:rStyle w:val="FootnoteReference"/>
        </w:rPr>
        <w:footnoteReference w:id="17879"/>
      </w:r>
      <w:r>
        <w:t xml:space="preserve">, an apostle of Jesus Christ by the will of God, and Timothy our brother, to the assembly of God who is at Corinth, with all the holy ones who are in all Achaia:</w:t>
      </w:r>
    </w:p>
    <w:p>
      <w:r>
        <w:rPr>
          <w:b/>
        </w:rPr>
        <w:t xml:space="preserve">2 </w:t>
      </w:r>
      <w:r>
        <w:t xml:space="preserve">Grace to you and peace from God our Father, and the Lord Jesus Christ.</w:t>
      </w:r>
    </w:p>
    <w:p>
      <w:r>
        <w:rPr>
          <w:b/>
        </w:rPr>
        <w:t xml:space="preserve">3 </w:t>
      </w:r>
      <w:r>
        <w:t xml:space="preserve">Blessed</w:t>
      </w:r>
      <w:r>
        <w:rPr>
          <w:rStyle w:val="FootnoteReference"/>
        </w:rPr>
        <w:footnoteReference w:id="17880"/>
      </w:r>
      <w:r>
        <w:t xml:space="preserve"> be the God and Father of our Lord Jesus Christ, the Father of mercies, and God of all comfort;</w:t>
      </w:r>
    </w:p>
    <w:p>
      <w:r>
        <w:rPr>
          <w:b/>
        </w:rPr>
        <w:t xml:space="preserve">4 </w:t>
      </w:r>
      <w:r>
        <w:t xml:space="preserve">Who comforts us in all our affliction, so that we are able to comfort those in every affliction, through the comfort with which we ourselves are comforted by God.</w:t>
      </w:r>
    </w:p>
    <w:p>
      <w:r>
        <w:rPr>
          <w:b/>
        </w:rPr>
        <w:t xml:space="preserve">5 </w:t>
      </w:r>
      <w:r>
        <w:t xml:space="preserve">Because just as the sufferings of Christ abound toward us, so through Christ our comfort also abounds.</w:t>
      </w:r>
    </w:p>
    <w:p>
      <w:r>
        <w:rPr>
          <w:b/>
        </w:rPr>
        <w:t xml:space="preserve">6 </w:t>
      </w:r>
      <w:r>
        <w:t xml:space="preserve">And whether</w:t>
      </w:r>
      <w:r>
        <w:rPr>
          <w:rStyle w:val="FootnoteReference"/>
        </w:rPr>
        <w:footnoteReference w:id="17881"/>
      </w:r>
      <w:r>
        <w:t xml:space="preserve"> we are afflicted, it is for your comfort and salvation, which works in endurance of the same sufferings which we also suffer; or whether we are comforted, it is for your comfort and salvation, and our hope for you is firm.</w:t>
      </w:r>
    </w:p>
    <w:p>
      <w:r>
        <w:rPr>
          <w:b/>
        </w:rPr>
        <w:t xml:space="preserve">7 </w:t>
      </w:r>
      <w:r>
        <w:t xml:space="preserve">Knowing that just as you are partners of the sufferings, so also of the comfort.</w:t>
      </w:r>
    </w:p>
    <w:p>
      <w:r>
        <w:rPr>
          <w:b/>
        </w:rPr>
        <w:t xml:space="preserve">8 </w:t>
      </w:r>
      <w:r>
        <w:t xml:space="preserve">For we would not, brothers, have you ignorant of our</w:t>
      </w:r>
      <w:r>
        <w:rPr>
          <w:rStyle w:val="FootnoteReference"/>
        </w:rPr>
        <w:footnoteReference w:id="17882"/>
      </w:r>
      <w:r>
        <w:t xml:space="preserve"> trouble which came to us in Asia, that we were pressed out of measure, above strength, so that we despaired even of life:</w:t>
      </w:r>
    </w:p>
    <w:p>
      <w:r>
        <w:rPr>
          <w:b/>
        </w:rPr>
        <w:t xml:space="preserve">9 </w:t>
      </w:r>
      <w:r>
        <w:t xml:space="preserve">But we ourselves have had the sentence of death in ourselves, that we should not trust in ourselves, but in God</w:t>
      </w:r>
      <w:r>
        <w:rPr>
          <w:rStyle w:val="FootnoteReference"/>
        </w:rPr>
        <w:footnoteReference w:id="17883"/>
      </w:r>
      <w:r>
        <w:t xml:space="preserve"> who raises the dead:</w:t>
      </w:r>
    </w:p>
    <w:p>
      <w:r>
        <w:rPr>
          <w:b/>
        </w:rPr>
        <w:t xml:space="preserve">10 </w:t>
      </w:r>
      <w:r>
        <w:t xml:space="preserve">Who delivered us from so great a death, and delivers; in whom we have hoped that he will also still deliver;</w:t>
      </w:r>
    </w:p>
    <w:p>
      <w:r>
        <w:rPr>
          <w:b/>
        </w:rPr>
        <w:t xml:space="preserve">11 </w:t>
      </w:r>
      <w:r>
        <w:t xml:space="preserve">You also working together on our behalf by petition, that from many faces thanks may be given on our behalf for the gracious gift to us through many.</w:t>
      </w:r>
    </w:p>
    <w:p>
      <w:r>
        <w:rPr>
          <w:b/>
        </w:rPr>
        <w:t xml:space="preserve">12 </w:t>
      </w:r>
      <w:r>
        <w:t xml:space="preserve">For this is our boasting, the testimony of our conscience, that in simplicity</w:t>
      </w:r>
      <w:r>
        <w:rPr>
          <w:rStyle w:val="FootnoteReference"/>
        </w:rPr>
        <w:footnoteReference w:id="17884"/>
      </w:r>
      <w:r>
        <w:t xml:space="preserve"> and sincerity of God, not in fleshly wisdom, but in God's grace, we conducted ourselves in the world, and more abundantly toward you.</w:t>
      </w:r>
    </w:p>
    <w:p>
      <w:r>
        <w:rPr>
          <w:b/>
        </w:rPr>
        <w:t xml:space="preserve">13 </w:t>
      </w:r>
      <w:r>
        <w:t xml:space="preserve">For we write no other things to you than</w:t>
      </w:r>
      <w:r>
        <w:rPr>
          <w:rStyle w:val="FootnoteReference"/>
        </w:rPr>
        <w:footnoteReference w:id="17885"/>
      </w:r>
      <w:r>
        <w:t xml:space="preserve"> what you read or also fully know; and I hope that you will also fully know to the end;</w:t>
      </w:r>
    </w:p>
    <w:p>
      <w:r>
        <w:rPr>
          <w:b/>
        </w:rPr>
        <w:t xml:space="preserve">14 </w:t>
      </w:r>
      <w:r>
        <w:t xml:space="preserve">Just as you also fully knew us in part</w:t>
      </w:r>
      <w:r>
        <w:rPr>
          <w:rStyle w:val="FootnoteReference"/>
        </w:rPr>
        <w:footnoteReference w:id="17886"/>
      </w:r>
      <w:r>
        <w:t xml:space="preserve">, that we are your boast, just as you also are ours in the day of the Lord Jesus.</w:t>
      </w:r>
    </w:p>
    <w:p>
      <w:r>
        <w:rPr>
          <w:b/>
        </w:rPr>
        <w:t xml:space="preserve">15 </w:t>
      </w:r>
      <w:r>
        <w:t xml:space="preserve">And in this confidence I resolved to come to you before, that you might have a second benefit</w:t>
      </w:r>
      <w:r>
        <w:rPr>
          <w:rStyle w:val="FootnoteReference"/>
        </w:rPr>
        <w:footnoteReference w:id="17887"/>
      </w:r>
      <w:r>
        <w:t xml:space="preserve">;</w:t>
      </w:r>
    </w:p>
    <w:p>
      <w:r>
        <w:rPr>
          <w:b/>
        </w:rPr>
        <w:t xml:space="preserve">16 </w:t>
      </w:r>
      <w:r>
        <w:t xml:space="preserve">And through you to pass into Macedonia, and again from Macedonia to come to you, and by you to be sent forward into Judea.</w:t>
      </w:r>
    </w:p>
    <w:p>
      <w:r>
        <w:rPr>
          <w:b/>
        </w:rPr>
        <w:t xml:space="preserve">17 </w:t>
      </w:r>
      <w:r>
        <w:t xml:space="preserve">Therefore when planning this, did I then use lightness</w:t>
      </w:r>
      <w:r>
        <w:rPr>
          <w:rStyle w:val="FootnoteReference"/>
        </w:rPr>
        <w:footnoteReference w:id="17888"/>
      </w:r>
      <w:r>
        <w:t xml:space="preserve">? or what I plan, do I plan according to flesh, that with me there should be yes yes and no no?</w:t>
      </w:r>
    </w:p>
    <w:p>
      <w:r>
        <w:rPr>
          <w:b/>
        </w:rPr>
        <w:t xml:space="preserve">18 </w:t>
      </w:r>
      <w:r>
        <w:t xml:space="preserve">But faithful is God, that our word toward you was not yes and no.</w:t>
      </w:r>
    </w:p>
    <w:p>
      <w:r>
        <w:rPr>
          <w:b/>
        </w:rPr>
        <w:t xml:space="preserve">19 </w:t>
      </w:r>
      <w:r>
        <w:t xml:space="preserve">For the Son</w:t>
      </w:r>
      <w:r>
        <w:rPr>
          <w:rStyle w:val="FootnoteReference"/>
        </w:rPr>
        <w:footnoteReference w:id="17889"/>
      </w:r>
      <w:r>
        <w:t xml:space="preserve"> of God, Jesus Christ, who was preached among you through us, through me and Silvanus</w:t>
      </w:r>
      <w:r>
        <w:rPr>
          <w:rStyle w:val="FootnoteReference"/>
        </w:rPr>
        <w:footnoteReference w:id="17890"/>
      </w:r>
      <w:r>
        <w:t xml:space="preserve"> and Timothy, was not yes and no, but in him has become yes.</w:t>
      </w:r>
    </w:p>
    <w:p>
      <w:r>
        <w:rPr>
          <w:b/>
        </w:rPr>
        <w:t xml:space="preserve">20 </w:t>
      </w:r>
      <w:r>
        <w:t xml:space="preserve">For as many as are promises of God, in him is the yes, and in him the Amen</w:t>
      </w:r>
      <w:r>
        <w:rPr>
          <w:rStyle w:val="FootnoteReference"/>
        </w:rPr>
        <w:footnoteReference w:id="17891"/>
      </w:r>
      <w:r>
        <w:t xml:space="preserve">, to God for glory through us.</w:t>
      </w:r>
    </w:p>
    <w:p>
      <w:r>
        <w:rPr>
          <w:b/>
        </w:rPr>
        <w:t xml:space="preserve">21 </w:t>
      </w:r>
      <w:r>
        <w:t xml:space="preserve">Now the one who establishes us with you into Christ, and anointed</w:t>
      </w:r>
      <w:r>
        <w:rPr>
          <w:rStyle w:val="FootnoteReference"/>
        </w:rPr>
        <w:footnoteReference w:id="17892"/>
      </w:r>
      <w:r>
        <w:t xml:space="preserve"> us, is God;</w:t>
      </w:r>
    </w:p>
    <w:p>
      <w:r>
        <w:rPr>
          <w:b/>
        </w:rPr>
        <w:t xml:space="preserve">22 </w:t>
      </w:r>
      <w:r>
        <w:t xml:space="preserve">Who also sealed</w:t>
      </w:r>
      <w:r>
        <w:rPr>
          <w:rStyle w:val="FootnoteReference"/>
        </w:rPr>
        <w:footnoteReference w:id="17893"/>
      </w:r>
      <w:r>
        <w:t xml:space="preserve"> us, and gave the pledge of the Spirit in our hearts.</w:t>
      </w:r>
    </w:p>
    <w:p>
      <w:r>
        <w:rPr>
          <w:b/>
        </w:rPr>
        <w:t xml:space="preserve">23 </w:t>
      </w:r>
      <w:r>
        <w:t xml:space="preserve">But I invoke God as witness upon my soul, that sparing you I did not yet come to Corinth.</w:t>
      </w:r>
    </w:p>
    <w:p>
      <w:r>
        <w:rPr>
          <w:b/>
        </w:rPr>
        <w:t xml:space="preserve">24 </w:t>
      </w:r>
      <w:r>
        <w:t xml:space="preserve">Not that we lord over your faith, but we are fellow workers of your joy: for by faith you stand.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But I determined</w:t>
      </w:r>
      <w:r>
        <w:rPr>
          <w:rStyle w:val="FootnoteReference"/>
        </w:rPr>
        <w:footnoteReference w:id="17894"/>
      </w:r>
      <w:r>
        <w:t xml:space="preserve"> this for myself, not to come again to you in sorrow.</w:t>
      </w:r>
    </w:p>
    <w:p>
      <w:r>
        <w:rPr>
          <w:b/>
        </w:rPr>
        <w:t xml:space="preserve">2 </w:t>
      </w:r>
      <w:r>
        <w:t xml:space="preserve">For if I grieve you, then who is the one making me glad, except the one being grieved by me?</w:t>
      </w:r>
    </w:p>
    <w:p>
      <w:r>
        <w:rPr>
          <w:b/>
        </w:rPr>
        <w:t xml:space="preserve">3 </w:t>
      </w:r>
      <w:r>
        <w:t xml:space="preserve">And I wrote</w:t>
      </w:r>
      <w:r>
        <w:rPr>
          <w:rStyle w:val="FootnoteReference"/>
        </w:rPr>
        <w:footnoteReference w:id="17895"/>
      </w:r>
      <w:r>
        <w:t xml:space="preserve"> this same thing to you, lest when I came I should have sorrow from those from whom I ought to rejoice, being confident in you all, that my joy is of you all.</w:t>
      </w:r>
    </w:p>
    <w:p>
      <w:r>
        <w:rPr>
          <w:b/>
        </w:rPr>
        <w:t xml:space="preserve">4 </w:t>
      </w:r>
      <w:r>
        <w:t xml:space="preserve">For out of much affliction and distress of heart I wrote to you through many tears, not that you should be grieved, but that you might know the love which I have more abundantly toward you.</w:t>
      </w:r>
    </w:p>
    <w:p>
      <w:r>
        <w:rPr>
          <w:b/>
        </w:rPr>
        <w:t xml:space="preserve">5 </w:t>
      </w:r>
      <w:r>
        <w:t xml:space="preserve">But if anyone has grieved</w:t>
      </w:r>
      <w:r>
        <w:rPr>
          <w:rStyle w:val="FootnoteReference"/>
        </w:rPr>
        <w:footnoteReference w:id="17896"/>
      </w:r>
      <w:r>
        <w:t xml:space="preserve">, he has not grieved me, except in part, that I may not burden you all.</w:t>
      </w:r>
    </w:p>
    <w:p>
      <w:r>
        <w:rPr>
          <w:b/>
        </w:rPr>
        <w:t xml:space="preserve">6 </w:t>
      </w:r>
      <w:r>
        <w:t xml:space="preserve">Sufficient to such a one is this punishment by the many.</w:t>
      </w:r>
    </w:p>
    <w:p>
      <w:r>
        <w:rPr>
          <w:b/>
        </w:rPr>
        <w:t xml:space="preserve">7 </w:t>
      </w:r>
      <w:r>
        <w:t xml:space="preserve">So that contrariwise you ought rather to forgive him, and comfort him, lest perhaps such a one should be swallowed</w:t>
      </w:r>
      <w:r>
        <w:rPr>
          <w:rStyle w:val="FootnoteReference"/>
        </w:rPr>
        <w:footnoteReference w:id="17897"/>
      </w:r>
      <w:r>
        <w:t xml:space="preserve"> up with excessive sorrow.</w:t>
      </w:r>
    </w:p>
    <w:p>
      <w:r>
        <w:rPr>
          <w:b/>
        </w:rPr>
        <w:t xml:space="preserve">8 </w:t>
      </w:r>
      <w:r>
        <w:t xml:space="preserve">Therefore I exhort you to confirm love toward him.</w:t>
      </w:r>
    </w:p>
    <w:p>
      <w:r>
        <w:rPr>
          <w:b/>
        </w:rPr>
        <w:t xml:space="preserve">9 </w:t>
      </w:r>
      <w:r>
        <w:t xml:space="preserve">For to this also I wrote, that I might know your proof, whether</w:t>
      </w:r>
      <w:r>
        <w:rPr>
          <w:rStyle w:val="FootnoteReference"/>
        </w:rPr>
        <w:footnoteReference w:id="17898"/>
      </w:r>
      <w:r>
        <w:t xml:space="preserve"> you are obedient in all things.</w:t>
      </w:r>
    </w:p>
    <w:p>
      <w:r>
        <w:rPr>
          <w:b/>
        </w:rPr>
        <w:t xml:space="preserve">10 </w:t>
      </w:r>
      <w:r>
        <w:t xml:space="preserve">But to whom you forgive anything, I also forgive: for if I also have forgiven anything, to whom I forgave it, I did it for your sakes in the person of Christ;</w:t>
      </w:r>
    </w:p>
    <w:p>
      <w:r>
        <w:rPr>
          <w:b/>
        </w:rPr>
        <w:t xml:space="preserve">11 </w:t>
      </w:r>
      <w:r>
        <w:t xml:space="preserve">So that we may not be taken advantage of by Satan: for we are not ignorant of his thoughts.</w:t>
      </w:r>
    </w:p>
    <w:p>
      <w:r>
        <w:rPr>
          <w:b/>
        </w:rPr>
        <w:t xml:space="preserve">12 </w:t>
      </w:r>
      <w:r>
        <w:t xml:space="preserve">Furthermore, when I came to Troas to preach Christ's good news, and a</w:t>
      </w:r>
      <w:r>
        <w:rPr>
          <w:rStyle w:val="FootnoteReference"/>
        </w:rPr>
        <w:footnoteReference w:id="17899"/>
      </w:r>
      <w:r>
        <w:t xml:space="preserve"> door was opened to me of the Lord,</w:t>
      </w:r>
    </w:p>
    <w:p>
      <w:r>
        <w:rPr>
          <w:b/>
        </w:rPr>
        <w:t xml:space="preserve">13 </w:t>
      </w:r>
      <w:r>
        <w:t xml:space="preserve">I had no rest</w:t>
      </w:r>
      <w:r>
        <w:rPr>
          <w:rStyle w:val="FootnoteReference"/>
        </w:rPr>
        <w:footnoteReference w:id="17900"/>
      </w:r>
      <w:r>
        <w:t xml:space="preserve"> in my spirit, because I did not find Titus</w:t>
      </w:r>
      <w:r>
        <w:rPr>
          <w:rStyle w:val="FootnoteReference"/>
        </w:rPr>
        <w:footnoteReference w:id="17901"/>
      </w:r>
      <w:r>
        <w:t xml:space="preserve"> my brother: but taking leave of them, I went out into Macedonia.</w:t>
      </w:r>
    </w:p>
    <w:p>
      <w:r>
        <w:rPr>
          <w:b/>
        </w:rPr>
        <w:t xml:space="preserve">14 </w:t>
      </w:r>
      <w:r>
        <w:t xml:space="preserve">But thanks</w:t>
      </w:r>
      <w:r>
        <w:rPr>
          <w:rStyle w:val="FootnoteReference"/>
        </w:rPr>
        <w:footnoteReference w:id="17902"/>
      </w:r>
      <w:r>
        <w:t xml:space="preserve"> be to God, who always leads us in triumph in Christ, and manifests through us the fragrance of his knowledge in every place.</w:t>
      </w:r>
    </w:p>
    <w:p>
      <w:r>
        <w:rPr>
          <w:b/>
        </w:rPr>
        <w:t xml:space="preserve">15 </w:t>
      </w:r>
      <w:r>
        <w:t xml:space="preserve">Because we are a sweet</w:t>
      </w:r>
      <w:r>
        <w:rPr>
          <w:rStyle w:val="FootnoteReference"/>
        </w:rPr>
        <w:footnoteReference w:id="17903"/>
      </w:r>
      <w:r>
        <w:t xml:space="preserve"> aroma of Christ to God among those being saved and among those perishing:</w:t>
      </w:r>
    </w:p>
    <w:p>
      <w:r>
        <w:rPr>
          <w:b/>
        </w:rPr>
        <w:t xml:space="preserve">16 </w:t>
      </w:r>
      <w:r>
        <w:t xml:space="preserve">To the one, a fragrance of death to death; and to the other, a fragrance of life to life. And who is sufficient for these things?</w:t>
      </w:r>
    </w:p>
    <w:p>
      <w:r>
        <w:rPr>
          <w:b/>
        </w:rPr>
        <w:t xml:space="preserve">17 </w:t>
      </w:r>
      <w:r>
        <w:t xml:space="preserve">For we are not as the many, peddling the word of God: but as from sincerity, but as from God, before God, we speak in Christ.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Do we begin</w:t>
      </w:r>
      <w:r>
        <w:rPr>
          <w:rStyle w:val="FootnoteReference"/>
        </w:rPr>
        <w:footnoteReference w:id="17904"/>
      </w:r>
      <w:r>
        <w:t xml:space="preserve"> again to commend ourselves? or do we need, as some, commendatory letters to you, or commendatory letters from you?</w:t>
      </w:r>
    </w:p>
    <w:p>
      <w:r>
        <w:rPr>
          <w:b/>
        </w:rPr>
        <w:t xml:space="preserve">2 </w:t>
      </w:r>
      <w:r>
        <w:t xml:space="preserve">You are our letter, having been written in our hearts, known</w:t>
      </w:r>
      <w:r>
        <w:rPr>
          <w:rStyle w:val="FootnoteReference"/>
        </w:rPr>
        <w:footnoteReference w:id="17905"/>
      </w:r>
      <w:r>
        <w:t xml:space="preserve"> and read by all humans:</w:t>
      </w:r>
    </w:p>
    <w:p>
      <w:r>
        <w:rPr>
          <w:b/>
        </w:rPr>
        <w:t xml:space="preserve">3 </w:t>
      </w:r>
      <w:r>
        <w:t xml:space="preserve">Being made manifest that you are a letter of Christ, ministered</w:t>
      </w:r>
      <w:r>
        <w:rPr>
          <w:rStyle w:val="FootnoteReference"/>
        </w:rPr>
        <w:footnoteReference w:id="17906"/>
      </w:r>
      <w:r>
        <w:t xml:space="preserve"> by us, written not with ink, but with the Spirit of the living God; not on stone tablets, but on fleshly tablets of the heart.</w:t>
      </w:r>
    </w:p>
    <w:p>
      <w:r>
        <w:rPr>
          <w:b/>
        </w:rPr>
        <w:t xml:space="preserve">4 </w:t>
      </w:r>
      <w:r>
        <w:t xml:space="preserve">And such</w:t>
      </w:r>
      <w:r>
        <w:rPr>
          <w:rStyle w:val="FootnoteReference"/>
        </w:rPr>
        <w:footnoteReference w:id="17907"/>
      </w:r>
      <w:r>
        <w:t xml:space="preserve"> confidence we have through Christ toward God:</w:t>
      </w:r>
    </w:p>
    <w:p>
      <w:r>
        <w:rPr>
          <w:b/>
        </w:rPr>
        <w:t xml:space="preserve">5 </w:t>
      </w:r>
      <w:r>
        <w:t xml:space="preserve">Not that we are sufficient from ourselves to reckon anything as from ourselves; but our sufficiency is from God;</w:t>
      </w:r>
    </w:p>
    <w:p>
      <w:r>
        <w:rPr>
          <w:b/>
        </w:rPr>
        <w:t xml:space="preserve">6 </w:t>
      </w:r>
      <w:r>
        <w:t xml:space="preserve">Who also has made us able ministers of the new</w:t>
      </w:r>
      <w:r>
        <w:rPr>
          <w:rStyle w:val="FootnoteReference"/>
        </w:rPr>
        <w:footnoteReference w:id="17908"/>
      </w:r>
      <w:r>
        <w:t xml:space="preserve"> covenant; not of the letter, but of the spirit: for the letter kills, but the spirit gives life.</w:t>
      </w:r>
    </w:p>
    <w:p>
      <w:r>
        <w:rPr>
          <w:b/>
        </w:rPr>
        <w:t xml:space="preserve">7 </w:t>
      </w:r>
      <w:r>
        <w:t xml:space="preserve">But if the ministry of death, in letters imprinted in stones, came in glory, so that the sons of Israel could not look intently at the face of Moses because of the glory of his face, which was being made ineffective:</w:t>
      </w:r>
    </w:p>
    <w:p>
      <w:r>
        <w:rPr>
          <w:b/>
        </w:rPr>
        <w:t xml:space="preserve">8 </w:t>
      </w:r>
      <w:r>
        <w:t xml:space="preserve">How shall not the ministry of the Spirit be more in glory?</w:t>
      </w:r>
    </w:p>
    <w:p>
      <w:r>
        <w:rPr>
          <w:b/>
        </w:rPr>
        <w:t xml:space="preserve">9 </w:t>
      </w:r>
      <w:r>
        <w:t xml:space="preserve">For if the ministry of condemnation is glory, much more does the ministry of righteousness abound in glory.</w:t>
      </w:r>
    </w:p>
    <w:p>
      <w:r>
        <w:rPr>
          <w:b/>
        </w:rPr>
        <w:t xml:space="preserve">10 </w:t>
      </w:r>
      <w:r>
        <w:t xml:space="preserve">For indeed that which had been glorified has not been glorified in this respect, because of the surpassing glory.</w:t>
      </w:r>
    </w:p>
    <w:p>
      <w:r>
        <w:rPr>
          <w:b/>
        </w:rPr>
        <w:t xml:space="preserve">11 </w:t>
      </w:r>
      <w:r>
        <w:t xml:space="preserve">For if that which is being made ineffective came through glory, much</w:t>
      </w:r>
      <w:r>
        <w:rPr>
          <w:rStyle w:val="FootnoteReference"/>
        </w:rPr>
        <w:footnoteReference w:id="17909"/>
      </w:r>
      <w:r>
        <w:t xml:space="preserve"> more that which remains is in glory.</w:t>
      </w:r>
    </w:p>
    <w:p>
      <w:r>
        <w:rPr>
          <w:b/>
        </w:rPr>
        <w:t xml:space="preserve">12 </w:t>
      </w:r>
      <w:r>
        <w:t xml:space="preserve">Therefore having such hope, we use</w:t>
      </w:r>
      <w:r>
        <w:rPr>
          <w:rStyle w:val="FootnoteReference"/>
        </w:rPr>
        <w:footnoteReference w:id="17910"/>
      </w:r>
      <w:r>
        <w:t xml:space="preserve"> much boldness:</w:t>
      </w:r>
    </w:p>
    <w:p>
      <w:r>
        <w:rPr>
          <w:b/>
        </w:rPr>
        <w:t xml:space="preserve">13 </w:t>
      </w:r>
      <w:r>
        <w:t xml:space="preserve">And not as Moses was putting a veil over his own face, so that the sons of Israel would not look intently at the end of that which was being made ineffective:</w:t>
      </w:r>
    </w:p>
    <w:p>
      <w:r>
        <w:rPr>
          <w:b/>
        </w:rPr>
        <w:t xml:space="preserve">14 </w:t>
      </w:r>
      <w:r>
        <w:t xml:space="preserve">But their</w:t>
      </w:r>
      <w:r>
        <w:rPr>
          <w:rStyle w:val="FootnoteReference"/>
        </w:rPr>
        <w:footnoteReference w:id="17911"/>
      </w:r>
      <w:r>
        <w:t xml:space="preserve"> minds were blinded: for until this day remains the same vail untaken away in the reading of the old covenant; which vail is done away in Christ.</w:t>
      </w:r>
    </w:p>
    <w:p>
      <w:r>
        <w:rPr>
          <w:b/>
        </w:rPr>
        <w:t xml:space="preserve">15 </w:t>
      </w:r>
      <w:r>
        <w:t xml:space="preserve">But until today, whenever Moses is read, a veil lies upon their heart.</w:t>
      </w:r>
    </w:p>
    <w:p>
      <w:r>
        <w:rPr>
          <w:b/>
        </w:rPr>
        <w:t xml:space="preserve">16 </w:t>
      </w:r>
      <w:r>
        <w:t xml:space="preserve">But whenever it turns toward the Lord, the veil</w:t>
      </w:r>
      <w:r>
        <w:rPr>
          <w:rStyle w:val="FootnoteReference"/>
        </w:rPr>
        <w:footnoteReference w:id="17912"/>
      </w:r>
      <w:r>
        <w:t xml:space="preserve"> is removed.</w:t>
      </w:r>
    </w:p>
    <w:p>
      <w:r>
        <w:rPr>
          <w:b/>
        </w:rPr>
        <w:t xml:space="preserve">17 </w:t>
      </w:r>
      <w:r>
        <w:t xml:space="preserve">Now the Lord</w:t>
      </w:r>
      <w:r>
        <w:rPr>
          <w:rStyle w:val="FootnoteReference"/>
        </w:rPr>
        <w:footnoteReference w:id="17913"/>
      </w:r>
      <w:r>
        <w:t xml:space="preserve"> is the Spirit: and where the Spirit of the Lord is, there is freedom.</w:t>
      </w:r>
    </w:p>
    <w:p>
      <w:r>
        <w:rPr>
          <w:b/>
        </w:rPr>
        <w:t xml:space="preserve">18 </w:t>
      </w:r>
      <w:r>
        <w:t xml:space="preserve">But we all, with unveiled face beholding as in</w:t>
      </w:r>
      <w:r>
        <w:rPr>
          <w:rStyle w:val="FootnoteReference"/>
        </w:rPr>
        <w:footnoteReference w:id="17914"/>
      </w:r>
      <w:r>
        <w:t xml:space="preserve"> a mirror the glory of the Lord, are transformed into the same image from glory to glory, just as from the Lord Spirit.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Therefore seeing</w:t>
      </w:r>
      <w:r>
        <w:rPr>
          <w:rStyle w:val="FootnoteReference"/>
        </w:rPr>
        <w:footnoteReference w:id="17915"/>
      </w:r>
      <w:r>
        <w:t xml:space="preserve"> we have this ministry, as we have received mercy, we do not faint;</w:t>
      </w:r>
    </w:p>
    <w:p>
      <w:r>
        <w:rPr>
          <w:b/>
        </w:rPr>
        <w:t xml:space="preserve">2 </w:t>
      </w:r>
      <w:r>
        <w:t xml:space="preserve">But we renounced</w:t>
      </w:r>
      <w:r>
        <w:rPr>
          <w:rStyle w:val="FootnoteReference"/>
        </w:rPr>
        <w:footnoteReference w:id="17916"/>
      </w:r>
      <w:r>
        <w:t xml:space="preserve"> the hidden things of shame, not walking in craftiness nor falsifying the word of God, but by manifestation of the truth commending ourselves to every human conscience before God.</w:t>
      </w:r>
    </w:p>
    <w:p>
      <w:r>
        <w:rPr>
          <w:b/>
        </w:rPr>
        <w:t xml:space="preserve">3 </w:t>
      </w:r>
      <w:r>
        <w:t xml:space="preserve">But if our good news be hid, it is hid to those who are lost:</w:t>
      </w:r>
    </w:p>
    <w:p>
      <w:r>
        <w:rPr>
          <w:b/>
        </w:rPr>
        <w:t xml:space="preserve">4 </w:t>
      </w:r>
      <w:r>
        <w:t xml:space="preserve">In whom the god</w:t>
      </w:r>
      <w:r>
        <w:rPr>
          <w:rStyle w:val="FootnoteReference"/>
        </w:rPr>
        <w:footnoteReference w:id="17917"/>
      </w:r>
      <w:r>
        <w:t xml:space="preserve"> of this age has blinded the minds of those who do not believe, lest the light of the glorious good news of Christ, who is the image of God</w:t>
      </w:r>
      <w:r>
        <w:rPr>
          <w:rStyle w:val="FootnoteReference"/>
        </w:rPr>
        <w:footnoteReference w:id="17918"/>
      </w:r>
      <w:r>
        <w:t xml:space="preserve">, should shine to them.</w:t>
      </w:r>
    </w:p>
    <w:p>
      <w:r>
        <w:rPr>
          <w:b/>
        </w:rPr>
        <w:t xml:space="preserve">5 </w:t>
      </w:r>
      <w:r>
        <w:t xml:space="preserve">For we preach not ourselves, but Christ</w:t>
      </w:r>
      <w:r>
        <w:rPr>
          <w:rStyle w:val="FootnoteReference"/>
        </w:rPr>
        <w:footnoteReference w:id="17919"/>
      </w:r>
      <w:r>
        <w:t xml:space="preserve"> Jesus the Lord; and ourselves your slaves for Jesus' sake.</w:t>
      </w:r>
    </w:p>
    <w:p>
      <w:r>
        <w:rPr>
          <w:b/>
        </w:rPr>
        <w:t xml:space="preserve">6 </w:t>
      </w:r>
      <w:r>
        <w:t xml:space="preserve">Because God, the one who said light should shine out of darkness, shone in our hearts for illumination of the knowledge of the glory of God in the face of Jesus Christ.</w:t>
      </w:r>
    </w:p>
    <w:p>
      <w:r>
        <w:rPr>
          <w:b/>
        </w:rPr>
        <w:t xml:space="preserve">7 </w:t>
      </w:r>
      <w:r>
        <w:t xml:space="preserve">But we have this treasure in earthen vessels, that the surpassing power may be of God, and not from us.</w:t>
      </w:r>
    </w:p>
    <w:p>
      <w:r>
        <w:rPr>
          <w:b/>
        </w:rPr>
        <w:t xml:space="preserve">8 </w:t>
      </w:r>
      <w:r>
        <w:t xml:space="preserve">In everything afflicted, but not crushed; perplexed, but not despairing;</w:t>
      </w:r>
    </w:p>
    <w:p>
      <w:r>
        <w:rPr>
          <w:b/>
        </w:rPr>
        <w:t xml:space="preserve">9 </w:t>
      </w:r>
      <w:r>
        <w:t xml:space="preserve">Persecuted, but not abandoned; thrown down, but not destroyed;</w:t>
      </w:r>
    </w:p>
    <w:p>
      <w:r>
        <w:rPr>
          <w:b/>
        </w:rPr>
        <w:t xml:space="preserve">10 </w:t>
      </w:r>
      <w:r>
        <w:t xml:space="preserve">Always carrying around in the body the dying of the Lord Jesus, that also the life of Jesus may be manifested in our body.</w:t>
      </w:r>
    </w:p>
    <w:p>
      <w:r>
        <w:rPr>
          <w:b/>
        </w:rPr>
        <w:t xml:space="preserve">11 </w:t>
      </w:r>
      <w:r>
        <w:t xml:space="preserve">For we who live are always delivered to death because of Jesus, that also the life of Jesus may be manifested in our mortal flesh.</w:t>
      </w:r>
    </w:p>
    <w:p>
      <w:r>
        <w:rPr>
          <w:b/>
        </w:rPr>
        <w:t xml:space="preserve">12 </w:t>
      </w:r>
      <w:r>
        <w:t xml:space="preserve">So then death</w:t>
      </w:r>
      <w:r>
        <w:rPr>
          <w:rStyle w:val="FootnoteReference"/>
        </w:rPr>
        <w:footnoteReference w:id="17920"/>
      </w:r>
      <w:r>
        <w:t xml:space="preserve"> works in us, but life in you.</w:t>
      </w:r>
    </w:p>
    <w:p>
      <w:r>
        <w:rPr>
          <w:b/>
        </w:rPr>
        <w:t xml:space="preserve">13 </w:t>
      </w:r>
      <w:r>
        <w:t xml:space="preserve">But having the same spirit of faith, according to what has been written, I believed</w:t>
      </w:r>
      <w:r>
        <w:rPr>
          <w:rStyle w:val="FootnoteReference"/>
        </w:rPr>
        <w:footnoteReference w:id="17921"/>
      </w:r>
      <w:r>
        <w:t xml:space="preserve">, therefore I spoke; we also believe, therefore we also speak;</w:t>
      </w:r>
    </w:p>
    <w:p>
      <w:r>
        <w:rPr>
          <w:b/>
        </w:rPr>
        <w:t xml:space="preserve">14 </w:t>
      </w:r>
      <w:r>
        <w:t xml:space="preserve">Knowing that the one who raised the Lord Jesus shall also raise us through Jesus, and shall present</w:t>
      </w:r>
      <w:r>
        <w:rPr>
          <w:rStyle w:val="FootnoteReference"/>
        </w:rPr>
        <w:footnoteReference w:id="17922"/>
      </w:r>
      <w:r>
        <w:t xml:space="preserve"> us with you.</w:t>
      </w:r>
    </w:p>
    <w:p>
      <w:r>
        <w:rPr>
          <w:b/>
        </w:rPr>
        <w:t xml:space="preserve">15 </w:t>
      </w:r>
      <w:r>
        <w:t xml:space="preserve">For all things are because of you, that grace, having increased through the many, may make thanksgiving abound to the glory of God.</w:t>
      </w:r>
    </w:p>
    <w:p>
      <w:r>
        <w:rPr>
          <w:b/>
        </w:rPr>
        <w:t xml:space="preserve">16 </w:t>
      </w:r>
      <w:r>
        <w:t xml:space="preserve">For this reason we do not faint; but though</w:t>
      </w:r>
      <w:r>
        <w:rPr>
          <w:rStyle w:val="FootnoteReference"/>
        </w:rPr>
        <w:footnoteReference w:id="17923"/>
      </w:r>
      <w:r>
        <w:t xml:space="preserve"> our outward man perish, yet the inward man is renewed day by day.</w:t>
      </w:r>
    </w:p>
    <w:p>
      <w:r>
        <w:rPr>
          <w:b/>
        </w:rPr>
        <w:t xml:space="preserve">17 </w:t>
      </w:r>
      <w:r>
        <w:t xml:space="preserve">For the momentary lightness of our affliction works for us an eternal weight of glory, exceedingly to excess;</w:t>
      </w:r>
    </w:p>
    <w:p>
      <w:r>
        <w:rPr>
          <w:b/>
        </w:rPr>
        <w:t xml:space="preserve">18 </w:t>
      </w:r>
      <w:r>
        <w:t xml:space="preserve">While we do not look at the things being seen, but at the things not being seen: for the things being seen are temporary, but the things not being seen are eternal.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For we know that if our earthly house of this tabernacle were dissolved</w:t>
      </w:r>
      <w:r>
        <w:rPr>
          <w:rStyle w:val="FootnoteReference"/>
        </w:rPr>
        <w:footnoteReference w:id="17924"/>
      </w:r>
      <w:r>
        <w:t xml:space="preserve">, we have a building of God, a house not made with hands, eternal in the heavens.</w:t>
      </w:r>
    </w:p>
    <w:p>
      <w:r>
        <w:rPr>
          <w:b/>
        </w:rPr>
        <w:t xml:space="preserve">2 </w:t>
      </w:r>
      <w:r>
        <w:t xml:space="preserve">For also in this we groan, longing to be clothed</w:t>
      </w:r>
      <w:r>
        <w:rPr>
          <w:rStyle w:val="FootnoteReference"/>
        </w:rPr>
        <w:footnoteReference w:id="17925"/>
      </w:r>
      <w:r>
        <w:t xml:space="preserve"> over with our dwelling which is from heaven:</w:t>
      </w:r>
    </w:p>
    <w:p>
      <w:r>
        <w:rPr>
          <w:b/>
        </w:rPr>
        <w:t xml:space="preserve">3 </w:t>
      </w:r>
      <w:r>
        <w:t xml:space="preserve">If indeed being clothed we shall not be found naked.</w:t>
      </w:r>
    </w:p>
    <w:p>
      <w:r>
        <w:rPr>
          <w:b/>
        </w:rPr>
        <w:t xml:space="preserve">4 </w:t>
      </w:r>
      <w:r>
        <w:t xml:space="preserve">For also we who are in this tent groan, being burdened, because we do not wish to be unclothed, but to be clothed over, so that the mortal may be swallowed up by life.</w:t>
      </w:r>
    </w:p>
    <w:p>
      <w:r>
        <w:rPr>
          <w:b/>
        </w:rPr>
        <w:t xml:space="preserve">5 </w:t>
      </w:r>
      <w:r>
        <w:t xml:space="preserve">Now the one who has prepared us for this very thing is God, who also has given to us the pledge of the Spirit.</w:t>
      </w:r>
    </w:p>
    <w:p>
      <w:r>
        <w:rPr>
          <w:b/>
        </w:rPr>
        <w:t xml:space="preserve">6 </w:t>
      </w:r>
      <w:r>
        <w:t xml:space="preserve">Therefore we are always</w:t>
      </w:r>
      <w:r>
        <w:rPr>
          <w:rStyle w:val="FootnoteReference"/>
        </w:rPr>
        <w:footnoteReference w:id="17926"/>
      </w:r>
      <w:r>
        <w:t xml:space="preserve"> confident, knowing that, while we are at home in the body, we are absent from the Lord:</w:t>
      </w:r>
    </w:p>
    <w:p>
      <w:r>
        <w:rPr>
          <w:b/>
        </w:rPr>
        <w:t xml:space="preserve">7 </w:t>
      </w:r>
      <w:r>
        <w:t xml:space="preserve">For we walk by faith, not by appearance.</w:t>
      </w:r>
    </w:p>
    <w:p>
      <w:r>
        <w:rPr>
          <w:b/>
        </w:rPr>
        <w:t xml:space="preserve">8 </w:t>
      </w:r>
      <w:r>
        <w:t xml:space="preserve">We are confident, I say, and willing</w:t>
      </w:r>
      <w:r>
        <w:rPr>
          <w:rStyle w:val="FootnoteReference"/>
        </w:rPr>
        <w:footnoteReference w:id="17927"/>
      </w:r>
      <w:r>
        <w:t xml:space="preserve"> rather to be absent from the body, and to be present with the Lord.</w:t>
      </w:r>
    </w:p>
    <w:p>
      <w:r>
        <w:rPr>
          <w:b/>
        </w:rPr>
        <w:t xml:space="preserve">9 </w:t>
      </w:r>
      <w:r>
        <w:t xml:space="preserve">Therefore we labor, that, whether</w:t>
      </w:r>
      <w:r>
        <w:rPr>
          <w:rStyle w:val="FootnoteReference"/>
        </w:rPr>
        <w:footnoteReference w:id="17928"/>
      </w:r>
      <w:r>
        <w:t xml:space="preserve"> present or absent, we may be accepted of him.</w:t>
      </w:r>
    </w:p>
    <w:p>
      <w:r>
        <w:rPr>
          <w:b/>
        </w:rPr>
        <w:t xml:space="preserve">10 </w:t>
      </w:r>
      <w:r>
        <w:t xml:space="preserve">For we must all appear before the judgment seat of Christ; that every one may receive</w:t>
      </w:r>
      <w:r>
        <w:rPr>
          <w:rStyle w:val="FootnoteReference"/>
        </w:rPr>
        <w:footnoteReference w:id="17929"/>
      </w:r>
      <w:r>
        <w:t xml:space="preserve"> the things done in his body, according to that he has done, whether it be good or bad.</w:t>
      </w:r>
    </w:p>
    <w:p>
      <w:r>
        <w:rPr>
          <w:b/>
        </w:rPr>
        <w:t xml:space="preserve">11 </w:t>
      </w:r>
      <w:r>
        <w:t xml:space="preserve">Knowing therefore the terror</w:t>
      </w:r>
      <w:r>
        <w:rPr>
          <w:rStyle w:val="FootnoteReference"/>
        </w:rPr>
        <w:footnoteReference w:id="17930"/>
      </w:r>
      <w:r>
        <w:t xml:space="preserve"> of the Lord, we persuade men; but we are made manifest to God; and I trust also are made manifest in your consciences.</w:t>
      </w:r>
    </w:p>
    <w:p>
      <w:r>
        <w:rPr>
          <w:b/>
        </w:rPr>
        <w:t xml:space="preserve">12 </w:t>
      </w:r>
      <w:r>
        <w:t xml:space="preserve">For we commend not ourselves again to you, but give</w:t>
      </w:r>
      <w:r>
        <w:rPr>
          <w:rStyle w:val="FootnoteReference"/>
        </w:rPr>
        <w:footnoteReference w:id="17931"/>
      </w:r>
      <w:r>
        <w:t xml:space="preserve"> you occasion to boast on our behalf, that you may have somewhat to answer those who boast in appearance, and not in heart.</w:t>
      </w:r>
    </w:p>
    <w:p>
      <w:r>
        <w:rPr>
          <w:b/>
        </w:rPr>
        <w:t xml:space="preserve">13 </w:t>
      </w:r>
      <w:r>
        <w:t xml:space="preserve">For whether we are beside ourselves, it is to</w:t>
      </w:r>
      <w:r>
        <w:rPr>
          <w:rStyle w:val="FootnoteReference"/>
        </w:rPr>
        <w:footnoteReference w:id="17932"/>
      </w:r>
      <w:r>
        <w:t xml:space="preserve"> God: or whether we are sober, it is for your cause.</w:t>
      </w:r>
    </w:p>
    <w:p>
      <w:r>
        <w:rPr>
          <w:b/>
        </w:rPr>
        <w:t xml:space="preserve">14 </w:t>
      </w:r>
      <w:r>
        <w:t xml:space="preserve">For the love</w:t>
      </w:r>
      <w:r>
        <w:rPr>
          <w:rStyle w:val="FootnoteReference"/>
        </w:rPr>
        <w:footnoteReference w:id="17933"/>
      </w:r>
      <w:r>
        <w:t xml:space="preserve"> of Christ constrains us; because we thus judge, that if one died for all, then were all dead:</w:t>
      </w:r>
    </w:p>
    <w:p>
      <w:r>
        <w:rPr>
          <w:b/>
        </w:rPr>
        <w:t xml:space="preserve">15 </w:t>
      </w:r>
      <w:r>
        <w:t xml:space="preserve">And that he died for all, that those who live should not from now on live to themselves, but to him who died for them, and rose again.</w:t>
      </w:r>
    </w:p>
    <w:p>
      <w:r>
        <w:rPr>
          <w:b/>
        </w:rPr>
        <w:t xml:space="preserve">16 </w:t>
      </w:r>
      <w:r>
        <w:t xml:space="preserve">Therefore from now on know we no</w:t>
      </w:r>
      <w:r>
        <w:rPr>
          <w:rStyle w:val="FootnoteReference"/>
        </w:rPr>
        <w:footnoteReference w:id="17934"/>
      </w:r>
      <w:r>
        <w:t xml:space="preserve"> one after the flesh: yes, though we have known Christ after the flesh, yet now from now on know we him no more.</w:t>
      </w:r>
    </w:p>
    <w:p>
      <w:r>
        <w:rPr>
          <w:b/>
        </w:rPr>
        <w:t xml:space="preserve">17 </w:t>
      </w:r>
      <w:r>
        <w:t xml:space="preserve">Therefore if anyone be in Christ, he is a new</w:t>
      </w:r>
      <w:r>
        <w:rPr>
          <w:rStyle w:val="FootnoteReference"/>
        </w:rPr>
        <w:footnoteReference w:id="17935"/>
      </w:r>
      <w:r>
        <w:t xml:space="preserve"> creature: old things are passed away; look, all things are become new.</w:t>
      </w:r>
    </w:p>
    <w:p>
      <w:r>
        <w:rPr>
          <w:b/>
        </w:rPr>
        <w:t xml:space="preserve">18 </w:t>
      </w:r>
      <w:r>
        <w:t xml:space="preserve">But all things are from God, who reconciled us to himself through Jesus Christ, and gave to us the ministry of reconciliation;</w:t>
      </w:r>
    </w:p>
    <w:p>
      <w:r>
        <w:rPr>
          <w:b/>
        </w:rPr>
        <w:t xml:space="preserve">19 </w:t>
      </w:r>
      <w:r>
        <w:t xml:space="preserve">To know, that God was in Christ, reconciling</w:t>
      </w:r>
      <w:r>
        <w:rPr>
          <w:rStyle w:val="FootnoteReference"/>
        </w:rPr>
        <w:footnoteReference w:id="17936"/>
      </w:r>
      <w:r>
        <w:t xml:space="preserve"> the world to himself, not imputing their trespasses to them; and has committed to us the word of reconciliation.</w:t>
      </w:r>
    </w:p>
    <w:p>
      <w:r>
        <w:rPr>
          <w:b/>
        </w:rPr>
        <w:t xml:space="preserve">20 </w:t>
      </w:r>
      <w:r>
        <w:t xml:space="preserve">Now then we are ambassadors</w:t>
      </w:r>
      <w:r>
        <w:rPr>
          <w:rStyle w:val="FootnoteReference"/>
        </w:rPr>
        <w:footnoteReference w:id="17937"/>
      </w:r>
      <w:r>
        <w:t xml:space="preserve"> for Christ, as though God did plead to you by us: we plead with you in Christ's place, be reconciled to God.</w:t>
      </w:r>
    </w:p>
    <w:p>
      <w:r>
        <w:rPr>
          <w:b/>
        </w:rPr>
        <w:t xml:space="preserve">21 </w:t>
      </w:r>
      <w:r>
        <w:t xml:space="preserve">For he made the one who did not know sin to be sin for us, so that we might become righteousness of God in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We then, as workers</w:t>
      </w:r>
      <w:r>
        <w:rPr>
          <w:rStyle w:val="FootnoteReference"/>
        </w:rPr>
        <w:footnoteReference w:id="17938"/>
      </w:r>
      <w:r>
        <w:t xml:space="preserve"> together with him, plead to you also that you receive not the grace of God in vain.</w:t>
      </w:r>
    </w:p>
    <w:p>
      <w:r>
        <w:rPr>
          <w:b/>
        </w:rPr>
        <w:t xml:space="preserve">2 </w:t>
      </w:r>
      <w:r>
        <w:t xml:space="preserve">(For he says, I have heard you in a time</w:t>
      </w:r>
      <w:r>
        <w:rPr>
          <w:rStyle w:val="FootnoteReference"/>
        </w:rPr>
        <w:footnoteReference w:id="17939"/>
      </w:r>
      <w:r>
        <w:t xml:space="preserve"> accepted, and in the day of salvation have I helped you: look, now is the accepted time; look, now is the day of salvation.)</w:t>
      </w:r>
    </w:p>
    <w:p>
      <w:r>
        <w:rPr>
          <w:b/>
        </w:rPr>
        <w:t xml:space="preserve">3 </w:t>
      </w:r>
      <w:r>
        <w:t xml:space="preserve">Giving no offense in anything, that the ministry not be blamed:</w:t>
      </w:r>
    </w:p>
    <w:p>
      <w:r>
        <w:rPr>
          <w:b/>
        </w:rPr>
        <w:t xml:space="preserve">4 </w:t>
      </w:r>
      <w:r>
        <w:t xml:space="preserve">But in everything commending ourselves as servants of God, in much</w:t>
      </w:r>
      <w:r>
        <w:rPr>
          <w:rStyle w:val="FootnoteReference"/>
        </w:rPr>
        <w:footnoteReference w:id="17940"/>
      </w:r>
      <w:r>
        <w:t xml:space="preserve"> endurance, in afflictions, in necessities, in distresses,</w:t>
      </w:r>
    </w:p>
    <w:p>
      <w:r>
        <w:rPr>
          <w:b/>
        </w:rPr>
        <w:t xml:space="preserve">5 </w:t>
      </w:r>
      <w:r>
        <w:t xml:space="preserve">In stripes</w:t>
      </w:r>
      <w:r>
        <w:rPr>
          <w:rStyle w:val="FootnoteReference"/>
        </w:rPr>
        <w:footnoteReference w:id="17941"/>
      </w:r>
      <w:r>
        <w:t xml:space="preserve">, in imprisonments, in tumults, in labors, in watchings, in fastings;</w:t>
      </w:r>
    </w:p>
    <w:p>
      <w:r>
        <w:rPr>
          <w:b/>
        </w:rPr>
        <w:t xml:space="preserve">6 </w:t>
      </w:r>
      <w:r>
        <w:t xml:space="preserve">By pureness</w:t>
      </w:r>
      <w:r>
        <w:rPr>
          <w:rStyle w:val="FootnoteReference"/>
        </w:rPr>
        <w:footnoteReference w:id="17942"/>
      </w:r>
      <w:r>
        <w:t xml:space="preserve">, by knowledge, by longsuffering, by kindness, by the Holy Spirit, by love sincere,</w:t>
      </w:r>
    </w:p>
    <w:p>
      <w:r>
        <w:rPr>
          <w:b/>
        </w:rPr>
        <w:t xml:space="preserve">7 </w:t>
      </w:r>
      <w:r>
        <w:t xml:space="preserve">By the word</w:t>
      </w:r>
      <w:r>
        <w:rPr>
          <w:rStyle w:val="FootnoteReference"/>
        </w:rPr>
        <w:footnoteReference w:id="17943"/>
      </w:r>
      <w:r>
        <w:t xml:space="preserve"> of truth, by the power of God, by the armour of righteousness on the right hand and on the left,</w:t>
      </w:r>
    </w:p>
    <w:p>
      <w:r>
        <w:rPr>
          <w:b/>
        </w:rPr>
        <w:t xml:space="preserve">8 </w:t>
      </w:r>
      <w:r>
        <w:t xml:space="preserve">By honor and dishonour, by evil</w:t>
      </w:r>
      <w:r>
        <w:rPr>
          <w:rStyle w:val="FootnoteReference"/>
        </w:rPr>
        <w:footnoteReference w:id="17944"/>
      </w:r>
      <w:r>
        <w:t xml:space="preserve"> report and good report: as deceivers, and yet true;</w:t>
      </w:r>
    </w:p>
    <w:p>
      <w:r>
        <w:rPr>
          <w:b/>
        </w:rPr>
        <w:t xml:space="preserve">9 </w:t>
      </w:r>
      <w:r>
        <w:t xml:space="preserve">As unknown</w:t>
      </w:r>
      <w:r>
        <w:rPr>
          <w:rStyle w:val="FootnoteReference"/>
        </w:rPr>
        <w:footnoteReference w:id="17945"/>
      </w:r>
      <w:r>
        <w:t xml:space="preserve">, and yet well known; as dying, and, look, we live; as chastened, and not killed;</w:t>
      </w:r>
    </w:p>
    <w:p>
      <w:r>
        <w:rPr>
          <w:b/>
        </w:rPr>
        <w:t xml:space="preserve">10 </w:t>
      </w:r>
      <w:r>
        <w:t xml:space="preserve">As sorrowful</w:t>
      </w:r>
      <w:r>
        <w:rPr>
          <w:rStyle w:val="FootnoteReference"/>
        </w:rPr>
        <w:footnoteReference w:id="17946"/>
      </w:r>
      <w:r>
        <w:t xml:space="preserve">, yet always rejoicing; as poor, yet making many rich; as having nothing, and yet possessing all things.</w:t>
      </w:r>
    </w:p>
    <w:p>
      <w:r>
        <w:rPr>
          <w:b/>
        </w:rPr>
        <w:t xml:space="preserve">11 </w:t>
      </w:r>
      <w:r>
        <w:t xml:space="preserve">O you Corinthians, our mouth</w:t>
      </w:r>
      <w:r>
        <w:rPr>
          <w:rStyle w:val="FootnoteReference"/>
        </w:rPr>
        <w:footnoteReference w:id="17947"/>
      </w:r>
      <w:r>
        <w:t xml:space="preserve"> is open to you, our heart is enlarged.</w:t>
      </w:r>
    </w:p>
    <w:p>
      <w:r>
        <w:rPr>
          <w:b/>
        </w:rPr>
        <w:t xml:space="preserve">12 </w:t>
      </w:r>
      <w:r>
        <w:t xml:space="preserve">You are not</w:t>
      </w:r>
      <w:r>
        <w:rPr>
          <w:rStyle w:val="FootnoteReference"/>
        </w:rPr>
        <w:footnoteReference w:id="17948"/>
      </w:r>
      <w:r>
        <w:t xml:space="preserve"> straitened in us, but you are straitened in your own inward parts.</w:t>
      </w:r>
    </w:p>
    <w:p>
      <w:r>
        <w:rPr>
          <w:b/>
        </w:rPr>
        <w:t xml:space="preserve">13 </w:t>
      </w:r>
      <w:r>
        <w:t xml:space="preserve">Now for a recompense in the same, (I speak</w:t>
      </w:r>
      <w:r>
        <w:rPr>
          <w:rStyle w:val="FootnoteReference"/>
        </w:rPr>
        <w:footnoteReference w:id="17949"/>
      </w:r>
      <w:r>
        <w:t xml:space="preserve"> as to my children,) be also enlarged.</w:t>
      </w:r>
    </w:p>
    <w:p>
      <w:r>
        <w:rPr>
          <w:b/>
        </w:rPr>
        <w:t xml:space="preserve">14 </w:t>
      </w:r>
      <w:r>
        <w:t xml:space="preserve">do not be unequally</w:t>
      </w:r>
      <w:r>
        <w:rPr>
          <w:rStyle w:val="FootnoteReference"/>
        </w:rPr>
        <w:footnoteReference w:id="17950"/>
      </w:r>
      <w:r>
        <w:t xml:space="preserve"> yoked together with unbelievers: for what fellowship has righteousness with unrighteousness? and what communion has light with darkness?</w:t>
      </w:r>
    </w:p>
    <w:p>
      <w:r>
        <w:rPr>
          <w:b/>
        </w:rPr>
        <w:t xml:space="preserve">15 </w:t>
      </w:r>
      <w:r>
        <w:t xml:space="preserve">And what concord</w:t>
      </w:r>
      <w:r>
        <w:rPr>
          <w:rStyle w:val="FootnoteReference"/>
        </w:rPr>
        <w:footnoteReference w:id="17951"/>
      </w:r>
      <w:r>
        <w:t xml:space="preserve"> has Christ with Belial</w:t>
      </w:r>
      <w:r>
        <w:rPr>
          <w:rStyle w:val="FootnoteReference"/>
        </w:rPr>
        <w:footnoteReference w:id="17952"/>
      </w:r>
      <w:r>
        <w:t xml:space="preserve">? or what part has the one who believes with an infidel?</w:t>
      </w:r>
    </w:p>
    <w:p>
      <w:r>
        <w:rPr>
          <w:b/>
        </w:rPr>
        <w:t xml:space="preserve">16 </w:t>
      </w:r>
      <w:r>
        <w:t xml:space="preserve">And what agreement has the temple of God with idols? for you are the temple of the living God; as God has said, I will dwell</w:t>
      </w:r>
      <w:r>
        <w:rPr>
          <w:rStyle w:val="FootnoteReference"/>
        </w:rPr>
        <w:footnoteReference w:id="17953"/>
      </w:r>
      <w:r>
        <w:t xml:space="preserve"> in them, and walk in them; and I will be their God, and they shall be my people.</w:t>
      </w:r>
    </w:p>
    <w:p>
      <w:r>
        <w:rPr>
          <w:b/>
        </w:rPr>
        <w:t xml:space="preserve">17 </w:t>
      </w:r>
      <w:r>
        <w:t xml:space="preserve">Therefore come out from among them, and be separate, says the Lord, and do not touch the unclean thing; and I will receive you.</w:t>
      </w:r>
    </w:p>
    <w:p>
      <w:r>
        <w:rPr>
          <w:b/>
        </w:rPr>
        <w:t xml:space="preserve">18 </w:t>
      </w:r>
      <w:r>
        <w:t xml:space="preserve">And will be a Father</w:t>
      </w:r>
      <w:r>
        <w:rPr>
          <w:rStyle w:val="FootnoteReference"/>
        </w:rPr>
        <w:footnoteReference w:id="17954"/>
      </w:r>
      <w:r>
        <w:t xml:space="preserve"> to you, and you shall be my sons and daughters, says the Lord Almighty.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Having therefore</w:t>
      </w:r>
      <w:r>
        <w:rPr>
          <w:rStyle w:val="FootnoteReference"/>
        </w:rPr>
        <w:footnoteReference w:id="17955"/>
      </w:r>
      <w:r>
        <w:t xml:space="preserve"> these promises, dearly beloved, let us cleanse ourselves from all filthiness of the flesh and spirit, perfecting holiness in the fear of God.</w:t>
      </w:r>
    </w:p>
    <w:p>
      <w:r>
        <w:rPr>
          <w:b/>
        </w:rPr>
        <w:t xml:space="preserve">2 </w:t>
      </w:r>
      <w:r>
        <w:t xml:space="preserve">Receive</w:t>
      </w:r>
      <w:r>
        <w:rPr>
          <w:rStyle w:val="FootnoteReference"/>
        </w:rPr>
        <w:footnoteReference w:id="17956"/>
      </w:r>
      <w:r>
        <w:t xml:space="preserve"> us; we have wronged no one, we have corrupted no one, we have defrauded no one.</w:t>
      </w:r>
    </w:p>
    <w:p>
      <w:r>
        <w:rPr>
          <w:b/>
        </w:rPr>
        <w:t xml:space="preserve">3 </w:t>
      </w:r>
      <w:r>
        <w:t xml:space="preserve">I speak not this to condemn</w:t>
      </w:r>
      <w:r>
        <w:rPr>
          <w:rStyle w:val="FootnoteReference"/>
        </w:rPr>
        <w:footnoteReference w:id="17957"/>
      </w:r>
      <w:r>
        <w:t xml:space="preserve"> you: for I have said before, that you are in our hearts to die and live with you.</w:t>
      </w:r>
    </w:p>
    <w:p>
      <w:r>
        <w:rPr>
          <w:b/>
        </w:rPr>
        <w:t xml:space="preserve">4 </w:t>
      </w:r>
      <w:r>
        <w:t xml:space="preserve">Great is my boldness</w:t>
      </w:r>
      <w:r>
        <w:rPr>
          <w:rStyle w:val="FootnoteReference"/>
        </w:rPr>
        <w:footnoteReference w:id="17958"/>
      </w:r>
      <w:r>
        <w:t xml:space="preserve"> of speech toward you, great is my glorying of you: I am filled with comfort, I am exceedingly joyful in all our tribulation.</w:t>
      </w:r>
    </w:p>
    <w:p>
      <w:r>
        <w:rPr>
          <w:b/>
        </w:rPr>
        <w:t xml:space="preserve">5 </w:t>
      </w:r>
      <w:r>
        <w:t xml:space="preserve">For, when we had come into Macedonia, our flesh had no rest, but we were troubled</w:t>
      </w:r>
      <w:r>
        <w:rPr>
          <w:rStyle w:val="FootnoteReference"/>
        </w:rPr>
        <w:footnoteReference w:id="17959"/>
      </w:r>
      <w:r>
        <w:t xml:space="preserve"> on every side; without were fightings, within were fears.</w:t>
      </w:r>
    </w:p>
    <w:p>
      <w:r>
        <w:rPr>
          <w:b/>
        </w:rPr>
        <w:t xml:space="preserve">6 </w:t>
      </w:r>
      <w:r>
        <w:t xml:space="preserve">But God, who comforts the lowly, comforted</w:t>
      </w:r>
      <w:r>
        <w:rPr>
          <w:rStyle w:val="FootnoteReference"/>
        </w:rPr>
        <w:footnoteReference w:id="17960"/>
      </w:r>
      <w:r>
        <w:t xml:space="preserve"> us by the presence of Titus;</w:t>
      </w:r>
    </w:p>
    <w:p>
      <w:r>
        <w:rPr>
          <w:b/>
        </w:rPr>
        <w:t xml:space="preserve">7 </w:t>
      </w:r>
      <w:r>
        <w:t xml:space="preserve">And not by his coming only, but by the consolation with which he was comforted in you, when he told us your longing, your mourning</w:t>
      </w:r>
      <w:r>
        <w:rPr>
          <w:rStyle w:val="FootnoteReference"/>
        </w:rPr>
        <w:footnoteReference w:id="17961"/>
      </w:r>
      <w:r>
        <w:t xml:space="preserve">, your zeal for me; so that I rejoiced the more.</w:t>
      </w:r>
    </w:p>
    <w:p>
      <w:r>
        <w:rPr>
          <w:b/>
        </w:rPr>
        <w:t xml:space="preserve">8 </w:t>
      </w:r>
      <w:r>
        <w:t xml:space="preserve">For even if I grieved you with the letter, I do not regret it, though I did</w:t>
      </w:r>
      <w:r>
        <w:rPr>
          <w:rStyle w:val="FootnoteReference"/>
        </w:rPr>
        <w:footnoteReference w:id="17962"/>
      </w:r>
      <w:r>
        <w:t xml:space="preserve"> regret it: for I see that that letter grieved you, even if for a short time.</w:t>
      </w:r>
    </w:p>
    <w:p>
      <w:r>
        <w:rPr>
          <w:b/>
        </w:rPr>
        <w:t xml:space="preserve">9 </w:t>
      </w:r>
      <w:r>
        <w:t xml:space="preserve">Now I rejoice</w:t>
      </w:r>
      <w:r>
        <w:rPr>
          <w:rStyle w:val="FootnoteReference"/>
        </w:rPr>
        <w:footnoteReference w:id="17963"/>
      </w:r>
      <w:r>
        <w:t xml:space="preserve">, not that you were made sorry, but that you sorrowed to repentance: for you were made sorry after a godly manner, that you might receive damage by us in nothing.</w:t>
      </w:r>
    </w:p>
    <w:p>
      <w:r>
        <w:rPr>
          <w:b/>
        </w:rPr>
        <w:t xml:space="preserve">10 </w:t>
      </w:r>
      <w:r>
        <w:t xml:space="preserve">For sorrow according to God works repentance</w:t>
      </w:r>
      <w:r>
        <w:rPr>
          <w:rStyle w:val="FootnoteReference"/>
        </w:rPr>
        <w:footnoteReference w:id="17964"/>
      </w:r>
      <w:r>
        <w:t xml:space="preserve"> to salvation without regret, but the sorrow of the world works death.</w:t>
      </w:r>
    </w:p>
    <w:p>
      <w:r>
        <w:rPr>
          <w:b/>
        </w:rPr>
        <w:t xml:space="preserve">11 </w:t>
      </w:r>
      <w:r>
        <w:t xml:space="preserve">For look this very same thing, that you sorrowed after a godly sort, what carefulness</w:t>
      </w:r>
      <w:r>
        <w:rPr>
          <w:rStyle w:val="FootnoteReference"/>
        </w:rPr>
        <w:footnoteReference w:id="17965"/>
      </w:r>
      <w:r>
        <w:t xml:space="preserve"> it worked in you, yes, what clearing of yourselves, yes, what indignation, yes, what fear, yes, what vehement desire, yes, what zeal, yes, what revenge! In all things you have approved yourselves to be clear in this matter.</w:t>
      </w:r>
    </w:p>
    <w:p>
      <w:r>
        <w:rPr>
          <w:b/>
        </w:rPr>
        <w:t xml:space="preserve">12 </w:t>
      </w:r>
      <w:r>
        <w:t xml:space="preserve">Therefore, though I wrote to you, I did</w:t>
      </w:r>
      <w:r>
        <w:rPr>
          <w:rStyle w:val="FootnoteReference"/>
        </w:rPr>
        <w:footnoteReference w:id="17966"/>
      </w:r>
      <w:r>
        <w:t xml:space="preserve"> it not for his cause that had done the wrong, nor for his cause that suffered wrong, but that our care for you in the sight of God might appear to you.</w:t>
      </w:r>
    </w:p>
    <w:p>
      <w:r>
        <w:rPr>
          <w:b/>
        </w:rPr>
        <w:t xml:space="preserve">13 </w:t>
      </w:r>
      <w:r>
        <w:t xml:space="preserve">Therefore we were</w:t>
      </w:r>
      <w:r>
        <w:rPr>
          <w:rStyle w:val="FootnoteReference"/>
        </w:rPr>
        <w:footnoteReference w:id="17967"/>
      </w:r>
      <w:r>
        <w:t xml:space="preserve"> comforted in your comfort: yes, and exceedingly more rejoice did we for the joy of Titus, because his spirit was refreshed by you all.</w:t>
      </w:r>
    </w:p>
    <w:p>
      <w:r>
        <w:rPr>
          <w:b/>
        </w:rPr>
        <w:t xml:space="preserve">14 </w:t>
      </w:r>
      <w:r>
        <w:t xml:space="preserve">For if I have boasted anything to him of you, I am not ashamed; but as we spoke all things to you in truth, even so our boasting, which I made before Titus, is found a truth.</w:t>
      </w:r>
    </w:p>
    <w:p>
      <w:r>
        <w:rPr>
          <w:b/>
        </w:rPr>
        <w:t xml:space="preserve">15 </w:t>
      </w:r>
      <w:r>
        <w:t xml:space="preserve">And his inward affection is</w:t>
      </w:r>
      <w:r>
        <w:rPr>
          <w:rStyle w:val="FootnoteReference"/>
        </w:rPr>
        <w:footnoteReference w:id="17968"/>
      </w:r>
      <w:r>
        <w:t xml:space="preserve"> more abundant toward you, while he remembers the obedience of you all, how with fear and trembling you received him.</w:t>
      </w:r>
    </w:p>
    <w:p>
      <w:r>
        <w:rPr>
          <w:b/>
        </w:rPr>
        <w:t xml:space="preserve">16 </w:t>
      </w:r>
      <w:r>
        <w:t xml:space="preserve">I rejoice therefore that I have confidence in you in all things.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Moreover, brothers, we do you to know of the grace</w:t>
      </w:r>
      <w:r>
        <w:rPr>
          <w:rStyle w:val="FootnoteReference"/>
        </w:rPr>
        <w:footnoteReference w:id="17969"/>
      </w:r>
      <w:r>
        <w:t xml:space="preserve"> of God bestowed on the assemblies of Macedonia;</w:t>
      </w:r>
    </w:p>
    <w:p>
      <w:r>
        <w:rPr>
          <w:b/>
        </w:rPr>
        <w:t xml:space="preserve">2 </w:t>
      </w:r>
      <w:r>
        <w:t xml:space="preserve">How that in a great trial of affliction the abundance</w:t>
      </w:r>
      <w:r>
        <w:rPr>
          <w:rStyle w:val="FootnoteReference"/>
        </w:rPr>
        <w:footnoteReference w:id="17970"/>
      </w:r>
      <w:r>
        <w:t xml:space="preserve"> of their joy and their deep poverty abounded to the riches of their liberality.</w:t>
      </w:r>
    </w:p>
    <w:p>
      <w:r>
        <w:rPr>
          <w:b/>
        </w:rPr>
        <w:t xml:space="preserve">3 </w:t>
      </w:r>
      <w:r>
        <w:t xml:space="preserve">In order to their power, I bear</w:t>
      </w:r>
      <w:r>
        <w:rPr>
          <w:rStyle w:val="FootnoteReference"/>
        </w:rPr>
        <w:footnoteReference w:id="17971"/>
      </w:r>
      <w:r>
        <w:t xml:space="preserve"> record, yes, and beyond their power they were willing of themselves;</w:t>
      </w:r>
    </w:p>
    <w:p>
      <w:r>
        <w:rPr>
          <w:b/>
        </w:rPr>
        <w:t xml:space="preserve">4 </w:t>
      </w:r>
      <w:r>
        <w:t xml:space="preserve">Praying us with much entreaty that we would receive the gift, and take upon us the fellowship of the ministering</w:t>
      </w:r>
      <w:r>
        <w:rPr>
          <w:rStyle w:val="FootnoteReference"/>
        </w:rPr>
        <w:footnoteReference w:id="17972"/>
      </w:r>
      <w:r>
        <w:t xml:space="preserve"> to the holy ones.</w:t>
      </w:r>
    </w:p>
    <w:p>
      <w:r>
        <w:rPr>
          <w:b/>
        </w:rPr>
        <w:t xml:space="preserve">5 </w:t>
      </w:r>
      <w:r>
        <w:t xml:space="preserve">And this they did, not as we hoped, but first</w:t>
      </w:r>
      <w:r>
        <w:rPr>
          <w:rStyle w:val="FootnoteReference"/>
        </w:rPr>
        <w:footnoteReference w:id="17973"/>
      </w:r>
      <w:r>
        <w:t xml:space="preserve"> gave their own selves to the Lord, and to us by the will of God.</w:t>
      </w:r>
    </w:p>
    <w:p>
      <w:r>
        <w:rPr>
          <w:b/>
        </w:rPr>
        <w:t xml:space="preserve">6 </w:t>
      </w:r>
      <w:r>
        <w:t xml:space="preserve">so that we desired Titus, that as he had begun, so he would also finish in you the same grace</w:t>
      </w:r>
      <w:r>
        <w:rPr>
          <w:rStyle w:val="FootnoteReference"/>
        </w:rPr>
        <w:footnoteReference w:id="17974"/>
      </w:r>
      <w:r>
        <w:t xml:space="preserve"> also.</w:t>
      </w:r>
    </w:p>
    <w:p>
      <w:r>
        <w:rPr>
          <w:b/>
        </w:rPr>
        <w:t xml:space="preserve">7 </w:t>
      </w:r>
      <w:r>
        <w:t xml:space="preserve">Therefore, as you abound in everything, in faith</w:t>
      </w:r>
      <w:r>
        <w:rPr>
          <w:rStyle w:val="FootnoteReference"/>
        </w:rPr>
        <w:footnoteReference w:id="17975"/>
      </w:r>
      <w:r>
        <w:t xml:space="preserve">, and utterance, and knowledge, and in all diligence, and in your love to us, see that you abound in this grace also.</w:t>
      </w:r>
    </w:p>
    <w:p>
      <w:r>
        <w:rPr>
          <w:b/>
        </w:rPr>
        <w:t xml:space="preserve">8 </w:t>
      </w:r>
      <w:r>
        <w:t xml:space="preserve">I speak</w:t>
      </w:r>
      <w:r>
        <w:rPr>
          <w:rStyle w:val="FootnoteReference"/>
        </w:rPr>
        <w:footnoteReference w:id="17976"/>
      </w:r>
      <w:r>
        <w:t xml:space="preserve"> not by commandment, but by occasion of the forwardness of others, and to prove the sincerity of your love.</w:t>
      </w:r>
    </w:p>
    <w:p>
      <w:r>
        <w:rPr>
          <w:b/>
        </w:rPr>
        <w:t xml:space="preserve">9 </w:t>
      </w:r>
      <w:r>
        <w:t xml:space="preserve">For you know the grace</w:t>
      </w:r>
      <w:r>
        <w:rPr>
          <w:rStyle w:val="FootnoteReference"/>
        </w:rPr>
        <w:footnoteReference w:id="17977"/>
      </w:r>
      <w:r>
        <w:t xml:space="preserve"> of our Lord Jesus Christ, that, though he was rich, yet for your sakes he became poor, that you through his poverty might be rich.</w:t>
      </w:r>
    </w:p>
    <w:p>
      <w:r>
        <w:rPr>
          <w:b/>
        </w:rPr>
        <w:t xml:space="preserve">10 </w:t>
      </w:r>
      <w:r>
        <w:t xml:space="preserve">And in this I give</w:t>
      </w:r>
      <w:r>
        <w:rPr>
          <w:rStyle w:val="FootnoteReference"/>
        </w:rPr>
        <w:footnoteReference w:id="17978"/>
      </w:r>
      <w:r>
        <w:t xml:space="preserve"> my advice: for this is expedient for you, who have begun before, not only to do, but also to be forward a year ago.</w:t>
      </w:r>
    </w:p>
    <w:p>
      <w:r>
        <w:rPr>
          <w:b/>
        </w:rPr>
        <w:t xml:space="preserve">11 </w:t>
      </w:r>
      <w:r>
        <w:t xml:space="preserve">Now therefore perform the doing of it; that as there was a readiness to will, so there may be a performance also out of that which you have.</w:t>
      </w:r>
    </w:p>
    <w:p>
      <w:r>
        <w:rPr>
          <w:b/>
        </w:rPr>
        <w:t xml:space="preserve">12 </w:t>
      </w:r>
      <w:r>
        <w:t xml:space="preserve">For if there is first a willing mind, it is accepted according to that a man has, and not according to that he has not.</w:t>
      </w:r>
    </w:p>
    <w:p>
      <w:r>
        <w:rPr>
          <w:b/>
        </w:rPr>
        <w:t xml:space="preserve">13 </w:t>
      </w:r>
      <w:r>
        <w:t xml:space="preserve">For it is not that others have relief and you affliction, but by equality; at the present time your abundance is for their lack,</w:t>
      </w:r>
    </w:p>
    <w:p>
      <w:r>
        <w:rPr>
          <w:b/>
        </w:rPr>
        <w:t xml:space="preserve">14 </w:t>
      </w:r>
      <w:r>
        <w:t xml:space="preserve">so that also their abundance may be for your lack, so that there may be equality:</w:t>
      </w:r>
    </w:p>
    <w:p>
      <w:r>
        <w:rPr>
          <w:b/>
        </w:rPr>
        <w:t xml:space="preserve">15 </w:t>
      </w:r>
      <w:r>
        <w:t xml:space="preserve">As it is written, the one who had gathered much had nothing over; and the one who had gathered little had no lack.</w:t>
      </w:r>
    </w:p>
    <w:p>
      <w:r>
        <w:rPr>
          <w:b/>
        </w:rPr>
        <w:t xml:space="preserve">16 </w:t>
      </w:r>
      <w:r>
        <w:t xml:space="preserve">But thanks</w:t>
      </w:r>
      <w:r>
        <w:rPr>
          <w:rStyle w:val="FootnoteReference"/>
        </w:rPr>
        <w:footnoteReference w:id="17979"/>
      </w:r>
      <w:r>
        <w:t xml:space="preserve"> be to God, who put the same diligence into the heart of Titus for you.</w:t>
      </w:r>
    </w:p>
    <w:p>
      <w:r>
        <w:rPr>
          <w:b/>
        </w:rPr>
        <w:t xml:space="preserve">17 </w:t>
      </w:r>
      <w:r>
        <w:t xml:space="preserve">For indeed he accepted</w:t>
      </w:r>
      <w:r>
        <w:rPr>
          <w:rStyle w:val="FootnoteReference"/>
        </w:rPr>
        <w:footnoteReference w:id="17980"/>
      </w:r>
      <w:r>
        <w:t xml:space="preserve"> the exhortation; but being more forward, of his own accord he went to you.</w:t>
      </w:r>
    </w:p>
    <w:p>
      <w:r>
        <w:rPr>
          <w:b/>
        </w:rPr>
        <w:t xml:space="preserve">18 </w:t>
      </w:r>
      <w:r>
        <w:t xml:space="preserve">And we have sent with him the brother</w:t>
      </w:r>
      <w:r>
        <w:rPr>
          <w:rStyle w:val="FootnoteReference"/>
        </w:rPr>
        <w:footnoteReference w:id="17981"/>
      </w:r>
      <w:r>
        <w:t xml:space="preserve">, whose praise is in the good news throughout all the assemblies;</w:t>
      </w:r>
    </w:p>
    <w:p>
      <w:r>
        <w:rPr>
          <w:b/>
        </w:rPr>
        <w:t xml:space="preserve">19 </w:t>
      </w:r>
      <w:r>
        <w:t xml:space="preserve">And not that only, but who was also chosen of the assemblies to travel with us with this grace</w:t>
      </w:r>
      <w:r>
        <w:rPr>
          <w:rStyle w:val="FootnoteReference"/>
        </w:rPr>
        <w:footnoteReference w:id="17982"/>
      </w:r>
      <w:r>
        <w:t xml:space="preserve">, which is administered by us to the glory of the same Lord, and declaration of your ready mind:</w:t>
      </w:r>
    </w:p>
    <w:p>
      <w:r>
        <w:rPr>
          <w:b/>
        </w:rPr>
        <w:t xml:space="preserve">20 </w:t>
      </w:r>
      <w:r>
        <w:t xml:space="preserve">Avoiding this, that no one should blame us in this abundance which is administered by us:</w:t>
      </w:r>
    </w:p>
    <w:p>
      <w:r>
        <w:rPr>
          <w:b/>
        </w:rPr>
        <w:t xml:space="preserve">21 </w:t>
      </w:r>
      <w:r>
        <w:t xml:space="preserve">Providing for honest things, not only in the sight of the Lord, but also in the sight of men.</w:t>
      </w:r>
    </w:p>
    <w:p>
      <w:r>
        <w:rPr>
          <w:b/>
        </w:rPr>
        <w:t xml:space="preserve">22 </w:t>
      </w:r>
      <w:r>
        <w:t xml:space="preserve">And we sent with them our brother, whom we often proved in many things to be diligent, but now much more diligent by great confidence toward you.</w:t>
      </w:r>
    </w:p>
    <w:p>
      <w:r>
        <w:rPr>
          <w:b/>
        </w:rPr>
        <w:t xml:space="preserve">23 </w:t>
      </w:r>
      <w:r>
        <w:t xml:space="preserve">Whether any do inquire of Titus</w:t>
      </w:r>
      <w:r>
        <w:rPr>
          <w:rStyle w:val="FootnoteReference"/>
        </w:rPr>
        <w:footnoteReference w:id="17983"/>
      </w:r>
      <w:r>
        <w:t xml:space="preserve">, he is my partner and fellow-helper concerning you: or our brothers be inquired of, they are the messengers of the assemblies, and the glory of Christ.</w:t>
      </w:r>
    </w:p>
    <w:p>
      <w:r>
        <w:rPr>
          <w:b/>
        </w:rPr>
        <w:t xml:space="preserve">24 </w:t>
      </w:r>
      <w:r>
        <w:t xml:space="preserve">Therefore show you to them, and before the assemblies, the proof of your love, and of our boasting on your behalf.</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For as concerning the ministering</w:t>
      </w:r>
      <w:r>
        <w:rPr>
          <w:rStyle w:val="FootnoteReference"/>
        </w:rPr>
        <w:footnoteReference w:id="17984"/>
      </w:r>
      <w:r>
        <w:t xml:space="preserve"> to the holy ones, it is superfluous for me to write to you:</w:t>
      </w:r>
    </w:p>
    <w:p>
      <w:r>
        <w:rPr>
          <w:b/>
        </w:rPr>
        <w:t xml:space="preserve">2 </w:t>
      </w:r>
      <w:r>
        <w:t xml:space="preserve">For I know your readiness, for which I boast</w:t>
      </w:r>
      <w:r>
        <w:rPr>
          <w:rStyle w:val="FootnoteReference"/>
        </w:rPr>
        <w:footnoteReference w:id="17985"/>
      </w:r>
      <w:r>
        <w:t xml:space="preserve"> about you to Macedonians, that Achaia has been ready since last year; and your zeal stirred up the majority.</w:t>
      </w:r>
    </w:p>
    <w:p>
      <w:r>
        <w:rPr>
          <w:b/>
        </w:rPr>
        <w:t xml:space="preserve">3 </w:t>
      </w:r>
      <w:r>
        <w:t xml:space="preserve">Yet have I sent the brothers, lest our boasting of you should be in vain in this behalf; that, as I said, you may be ready:</w:t>
      </w:r>
    </w:p>
    <w:p>
      <w:r>
        <w:rPr>
          <w:b/>
        </w:rPr>
        <w:t xml:space="preserve">4 </w:t>
      </w:r>
      <w:r>
        <w:t xml:space="preserve">Lest by any means if they of Macedonia come with me, and find you unprepared, we (that we say not, you) should be ashamed</w:t>
      </w:r>
      <w:r>
        <w:rPr>
          <w:rStyle w:val="FootnoteReference"/>
        </w:rPr>
        <w:footnoteReference w:id="17986"/>
      </w:r>
      <w:r>
        <w:t xml:space="preserve"> in this same confident boasting.</w:t>
      </w:r>
    </w:p>
    <w:p>
      <w:r>
        <w:rPr>
          <w:b/>
        </w:rPr>
        <w:t xml:space="preserve">5 </w:t>
      </w:r>
      <w:r>
        <w:t xml:space="preserve">Therefore I thought it necessary to exhort the brothers, that they would go before to you, and make</w:t>
      </w:r>
      <w:r>
        <w:rPr>
          <w:rStyle w:val="FootnoteReference"/>
        </w:rPr>
        <w:footnoteReference w:id="17987"/>
      </w:r>
      <w:r>
        <w:t xml:space="preserve"> up beforehand your bounty, of which you had notice before, that the same might be ready, as a matter of bounty, and not as of covetousness.</w:t>
      </w:r>
    </w:p>
    <w:p>
      <w:r>
        <w:rPr>
          <w:b/>
        </w:rPr>
        <w:t xml:space="preserve">6 </w:t>
      </w:r>
      <w:r>
        <w:t xml:space="preserve">But this I say, the one who sows sparingly shall reap also sparingly; and the one who sows bountifully shall reap also bountifully.</w:t>
      </w:r>
    </w:p>
    <w:p>
      <w:r>
        <w:rPr>
          <w:b/>
        </w:rPr>
        <w:t xml:space="preserve">7 </w:t>
      </w:r>
      <w:r>
        <w:t xml:space="preserve">Let each one give as he purposes in the heart, not from sorrow or from necessity: for God loves a cheerful giver.</w:t>
      </w:r>
    </w:p>
    <w:p>
      <w:r>
        <w:rPr>
          <w:b/>
        </w:rPr>
        <w:t xml:space="preserve">8 </w:t>
      </w:r>
      <w:r>
        <w:t xml:space="preserve">And God is able to make all grace</w:t>
      </w:r>
      <w:r>
        <w:rPr>
          <w:rStyle w:val="FootnoteReference"/>
        </w:rPr>
        <w:footnoteReference w:id="17988"/>
      </w:r>
      <w:r>
        <w:t xml:space="preserve"> abound toward you; that you, always having all sufficiency in all things, may abound to every good work:</w:t>
      </w:r>
    </w:p>
    <w:p>
      <w:r>
        <w:rPr>
          <w:b/>
        </w:rPr>
        <w:t xml:space="preserve">9 </w:t>
      </w:r>
      <w:r>
        <w:t xml:space="preserve">(As it is written, He has scattered; he has given to the poor: his righteousness remains forever.</w:t>
      </w:r>
    </w:p>
    <w:p>
      <w:r>
        <w:rPr>
          <w:b/>
        </w:rPr>
        <w:t xml:space="preserve">10 </w:t>
      </w:r>
      <w:r>
        <w:t xml:space="preserve">Now may the one who supplies seed to the sower and bread for food supply and multiply</w:t>
      </w:r>
      <w:r>
        <w:rPr>
          <w:rStyle w:val="FootnoteReference"/>
        </w:rPr>
        <w:footnoteReference w:id="17989"/>
      </w:r>
      <w:r>
        <w:t xml:space="preserve"> your seed sown, and increase the fruits of your righteousness;</w:t>
      </w:r>
    </w:p>
    <w:p>
      <w:r>
        <w:rPr>
          <w:b/>
        </w:rPr>
        <w:t xml:space="preserve">11 </w:t>
      </w:r>
      <w:r>
        <w:t xml:space="preserve">Being enriched</w:t>
      </w:r>
      <w:r>
        <w:rPr>
          <w:rStyle w:val="FootnoteReference"/>
        </w:rPr>
        <w:footnoteReference w:id="17990"/>
      </w:r>
      <w:r>
        <w:t xml:space="preserve"> in everything to all bountifulness, which causes through us thanksgiving to God.</w:t>
      </w:r>
    </w:p>
    <w:p>
      <w:r>
        <w:rPr>
          <w:b/>
        </w:rPr>
        <w:t xml:space="preserve">12 </w:t>
      </w:r>
      <w:r>
        <w:t xml:space="preserve">For the administration</w:t>
      </w:r>
      <w:r>
        <w:rPr>
          <w:rStyle w:val="FootnoteReference"/>
        </w:rPr>
        <w:footnoteReference w:id="17991"/>
      </w:r>
      <w:r>
        <w:t xml:space="preserve"> of this service not only supplies the lack of the holy ones, but is abundant also by many thanksgivings to God;</w:t>
      </w:r>
    </w:p>
    <w:p>
      <w:r>
        <w:rPr>
          <w:b/>
        </w:rPr>
        <w:t xml:space="preserve">13 </w:t>
      </w:r>
      <w:r>
        <w:t xml:space="preserve">While by the experiment of this ministration they glorify God for your professed</w:t>
      </w:r>
      <w:r>
        <w:rPr>
          <w:rStyle w:val="FootnoteReference"/>
        </w:rPr>
        <w:footnoteReference w:id="17992"/>
      </w:r>
      <w:r>
        <w:t xml:space="preserve"> subjection to the good news of Christ, and for your liberal distribution to them, and to all men;</w:t>
      </w:r>
    </w:p>
    <w:p>
      <w:r>
        <w:rPr>
          <w:b/>
        </w:rPr>
        <w:t xml:space="preserve">14 </w:t>
      </w:r>
      <w:r>
        <w:t xml:space="preserve">and in their prayer for you, longing for you because of the surpassing grace of God upon you.</w:t>
      </w:r>
    </w:p>
    <w:p>
      <w:r>
        <w:rPr>
          <w:b/>
        </w:rPr>
        <w:t xml:space="preserve">15 </w:t>
      </w:r>
      <w:r>
        <w:t xml:space="preserve">Thanks</w:t>
      </w:r>
      <w:r>
        <w:rPr>
          <w:rStyle w:val="FootnoteReference"/>
        </w:rPr>
        <w:footnoteReference w:id="17993"/>
      </w:r>
      <w:r>
        <w:t xml:space="preserve"> be to God for his unspeakable gift.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Now I Paul</w:t>
      </w:r>
      <w:r>
        <w:rPr>
          <w:rStyle w:val="FootnoteReference"/>
        </w:rPr>
        <w:footnoteReference w:id="17994"/>
      </w:r>
      <w:r>
        <w:t xml:space="preserve"> myself plead with you through the meekness and gentleness of Christ, who in person am lowly among you, but being absent am bold toward you:</w:t>
      </w:r>
    </w:p>
    <w:p>
      <w:r>
        <w:rPr>
          <w:b/>
        </w:rPr>
        <w:t xml:space="preserve">2 </w:t>
      </w:r>
      <w:r>
        <w:t xml:space="preserve">But I plead to you, that I may not be bold when I am present with that confidence, with which I think to be bold against some, which think of us as if we walked</w:t>
      </w:r>
      <w:r>
        <w:rPr>
          <w:rStyle w:val="FootnoteReference"/>
        </w:rPr>
        <w:footnoteReference w:id="17995"/>
      </w:r>
      <w:r>
        <w:t xml:space="preserve"> according to the flesh.</w:t>
      </w:r>
    </w:p>
    <w:p>
      <w:r>
        <w:rPr>
          <w:b/>
        </w:rPr>
        <w:t xml:space="preserve">3 </w:t>
      </w:r>
      <w:r>
        <w:t xml:space="preserve">For though we walk</w:t>
      </w:r>
      <w:r>
        <w:rPr>
          <w:rStyle w:val="FootnoteReference"/>
        </w:rPr>
        <w:footnoteReference w:id="17996"/>
      </w:r>
      <w:r>
        <w:t xml:space="preserve"> in flesh, we do not wage war according to flesh:</w:t>
      </w:r>
    </w:p>
    <w:p>
      <w:r>
        <w:rPr>
          <w:b/>
        </w:rPr>
        <w:t xml:space="preserve">4 </w:t>
      </w:r>
      <w:r>
        <w:t xml:space="preserve">For the weapons</w:t>
      </w:r>
      <w:r>
        <w:rPr>
          <w:rStyle w:val="FootnoteReference"/>
        </w:rPr>
        <w:footnoteReference w:id="17997"/>
      </w:r>
      <w:r>
        <w:t xml:space="preserve"> of our warfare are not fleshly, but powerful by God for pulling down strongholds;</w:t>
      </w:r>
    </w:p>
    <w:p>
      <w:r>
        <w:rPr>
          <w:b/>
        </w:rPr>
        <w:t xml:space="preserve">5 </w:t>
      </w:r>
      <w:r>
        <w:t xml:space="preserve">casting down</w:t>
      </w:r>
      <w:r>
        <w:rPr>
          <w:rStyle w:val="FootnoteReference"/>
        </w:rPr>
        <w:footnoteReference w:id="17998"/>
      </w:r>
      <w:r>
        <w:t xml:space="preserve"> reasonings, and every high thing lifted up against the knowledge of God, and taking every thought captive to the obedience of Christ;</w:t>
      </w:r>
    </w:p>
    <w:p>
      <w:r>
        <w:rPr>
          <w:b/>
        </w:rPr>
        <w:t xml:space="preserve">6 </w:t>
      </w:r>
      <w:r>
        <w:t xml:space="preserve">and being ready to avenge all disobedience, when your obedience is completed.</w:t>
      </w:r>
    </w:p>
    <w:p>
      <w:r>
        <w:rPr>
          <w:b/>
        </w:rPr>
        <w:t xml:space="preserve">7 </w:t>
      </w:r>
      <w:r>
        <w:t xml:space="preserve">Do you look on things after the outward appearance? If anyone trust to himself that he is Christ's, let him of himself think this again, that, as he is Christ's, even so are we Christ's.</w:t>
      </w:r>
    </w:p>
    <w:p>
      <w:r>
        <w:rPr>
          <w:b/>
        </w:rPr>
        <w:t xml:space="preserve">8 </w:t>
      </w:r>
      <w:r>
        <w:t xml:space="preserve">For though</w:t>
      </w:r>
      <w:r>
        <w:rPr>
          <w:rStyle w:val="FootnoteReference"/>
        </w:rPr>
        <w:footnoteReference w:id="17999"/>
      </w:r>
      <w:r>
        <w:t xml:space="preserve"> I should boast somewhat more of our authority, which the Lord has given us for edification, and not for your destruction, I should not be ashamed:</w:t>
      </w:r>
    </w:p>
    <w:p>
      <w:r>
        <w:rPr>
          <w:b/>
        </w:rPr>
        <w:t xml:space="preserve">9 </w:t>
      </w:r>
      <w:r>
        <w:t xml:space="preserve">That I may not seem as if I would terrify</w:t>
      </w:r>
      <w:r>
        <w:rPr>
          <w:rStyle w:val="FootnoteReference"/>
        </w:rPr>
        <w:footnoteReference w:id="18000"/>
      </w:r>
      <w:r>
        <w:t xml:space="preserve"> you by letters.</w:t>
      </w:r>
    </w:p>
    <w:p>
      <w:r>
        <w:rPr>
          <w:b/>
        </w:rPr>
        <w:t xml:space="preserve">10 </w:t>
      </w:r>
      <w:r>
        <w:t xml:space="preserve">For his letters, say they</w:t>
      </w:r>
      <w:r>
        <w:rPr>
          <w:rStyle w:val="FootnoteReference"/>
        </w:rPr>
        <w:footnoteReference w:id="18001"/>
      </w:r>
      <w:r>
        <w:t xml:space="preserve">, are weighty and powerful; but his bodily presence is weak, and his speech contemptible.</w:t>
      </w:r>
    </w:p>
    <w:p>
      <w:r>
        <w:rPr>
          <w:b/>
        </w:rPr>
        <w:t xml:space="preserve">11 </w:t>
      </w:r>
      <w:r>
        <w:t xml:space="preserve">Let such</w:t>
      </w:r>
      <w:r>
        <w:rPr>
          <w:rStyle w:val="FootnoteReference"/>
        </w:rPr>
        <w:footnoteReference w:id="18002"/>
      </w:r>
      <w:r>
        <w:t xml:space="preserve"> a one think this, that, such as we are in word by letters when we are absent, such will we be also in deed when we are present.</w:t>
      </w:r>
    </w:p>
    <w:p>
      <w:r>
        <w:rPr>
          <w:b/>
        </w:rPr>
        <w:t xml:space="preserve">12 </w:t>
      </w:r>
      <w:r>
        <w:t xml:space="preserve">For we do not dare to class or compare ourselves with some who commend themselves; but they, measuring themselves by themselves, and comparing themselves with themselves, do not understand.</w:t>
      </w:r>
    </w:p>
    <w:p>
      <w:r>
        <w:rPr>
          <w:b/>
        </w:rPr>
        <w:t xml:space="preserve">13 </w:t>
      </w:r>
      <w:r>
        <w:t xml:space="preserve">But we will not</w:t>
      </w:r>
      <w:r>
        <w:rPr>
          <w:rStyle w:val="FootnoteReference"/>
        </w:rPr>
        <w:footnoteReference w:id="18003"/>
      </w:r>
      <w:r>
        <w:t xml:space="preserve"> boast of things without our measure, but according to the measure of the rule which God has distributed to us, a measure to reach even to you.</w:t>
      </w:r>
    </w:p>
    <w:p>
      <w:r>
        <w:rPr>
          <w:b/>
        </w:rPr>
        <w:t xml:space="preserve">14 </w:t>
      </w:r>
      <w:r>
        <w:t xml:space="preserve">For we stretch not</w:t>
      </w:r>
      <w:r>
        <w:rPr>
          <w:rStyle w:val="FootnoteReference"/>
        </w:rPr>
        <w:footnoteReference w:id="18004"/>
      </w:r>
      <w:r>
        <w:t xml:space="preserve"> ourselves beyond our measure, as though we reached not to you: for we have come as far as to you also in preaching the good news of Christ:</w:t>
      </w:r>
    </w:p>
    <w:p>
      <w:r>
        <w:rPr>
          <w:b/>
        </w:rPr>
        <w:t xml:space="preserve">15 </w:t>
      </w:r>
      <w:r>
        <w:t xml:space="preserve">Not boasting</w:t>
      </w:r>
      <w:r>
        <w:rPr>
          <w:rStyle w:val="FootnoteReference"/>
        </w:rPr>
        <w:footnoteReference w:id="18005"/>
      </w:r>
      <w:r>
        <w:t xml:space="preserve"> of things without our measure, that is, of other men's labors; but having hope, when your faith is increased, that we shall be enlarged by you according to our rule abundantly,</w:t>
      </w:r>
    </w:p>
    <w:p>
      <w:r>
        <w:rPr>
          <w:b/>
        </w:rPr>
        <w:t xml:space="preserve">16 </w:t>
      </w:r>
      <w:r>
        <w:t xml:space="preserve">To preach</w:t>
      </w:r>
      <w:r>
        <w:rPr>
          <w:rStyle w:val="FootnoteReference"/>
        </w:rPr>
        <w:footnoteReference w:id="18006"/>
      </w:r>
      <w:r>
        <w:t xml:space="preserve"> the good news in the regions beyond you, and not to boast in another man's line of things made ready to our hand.</w:t>
      </w:r>
    </w:p>
    <w:p>
      <w:r>
        <w:rPr>
          <w:b/>
        </w:rPr>
        <w:t xml:space="preserve">17 </w:t>
      </w:r>
      <w:r>
        <w:t xml:space="preserve">But the one who boasts, let him boast in the Lord.</w:t>
      </w:r>
    </w:p>
    <w:p>
      <w:r>
        <w:rPr>
          <w:b/>
        </w:rPr>
        <w:t xml:space="preserve">18 </w:t>
      </w:r>
      <w:r>
        <w:t xml:space="preserve">For not the one who commends himself is approved</w:t>
      </w:r>
      <w:r>
        <w:rPr>
          <w:rStyle w:val="FootnoteReference"/>
        </w:rPr>
        <w:footnoteReference w:id="18007"/>
      </w:r>
      <w:r>
        <w:t xml:space="preserve">, but whom the Lord commends.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Would to God you could bear with me a</w:t>
      </w:r>
      <w:r>
        <w:rPr>
          <w:rStyle w:val="FootnoteReference"/>
        </w:rPr>
        <w:footnoteReference w:id="18008"/>
      </w:r>
      <w:r>
        <w:t xml:space="preserve"> little in my folly: and indeed bear with me.</w:t>
      </w:r>
    </w:p>
    <w:p>
      <w:r>
        <w:rPr>
          <w:b/>
        </w:rPr>
        <w:t xml:space="preserve">2 </w:t>
      </w:r>
      <w:r>
        <w:t xml:space="preserve">For I am jealous</w:t>
      </w:r>
      <w:r>
        <w:rPr>
          <w:rStyle w:val="FootnoteReference"/>
        </w:rPr>
        <w:footnoteReference w:id="18009"/>
      </w:r>
      <w:r>
        <w:t xml:space="preserve"> for you with God's jealousy: for I joined you to one husband, to present a pure virgin to Christ.</w:t>
      </w:r>
    </w:p>
    <w:p>
      <w:r>
        <w:rPr>
          <w:b/>
        </w:rPr>
        <w:t xml:space="preserve">3 </w:t>
      </w:r>
      <w:r>
        <w:t xml:space="preserve">But I fear</w:t>
      </w:r>
      <w:r>
        <w:rPr>
          <w:rStyle w:val="FootnoteReference"/>
        </w:rPr>
        <w:footnoteReference w:id="18010"/>
      </w:r>
      <w:r>
        <w:t xml:space="preserve">, lest by any means, as the serpent misled Eve</w:t>
      </w:r>
      <w:r>
        <w:rPr>
          <w:rStyle w:val="FootnoteReference"/>
        </w:rPr>
        <w:footnoteReference w:id="18011"/>
      </w:r>
      <w:r>
        <w:t xml:space="preserve"> through his craftiness, so your minds should be corrupted from the simplicity that is in Christ.</w:t>
      </w:r>
    </w:p>
    <w:p>
      <w:r>
        <w:rPr>
          <w:b/>
        </w:rPr>
        <w:t xml:space="preserve">4 </w:t>
      </w:r>
      <w:r>
        <w:t xml:space="preserve">For if the one who comes preaches another Jesus, whom we have not preached, or if you receive</w:t>
      </w:r>
      <w:r>
        <w:rPr>
          <w:rStyle w:val="FootnoteReference"/>
        </w:rPr>
        <w:footnoteReference w:id="18012"/>
      </w:r>
      <w:r>
        <w:t xml:space="preserve"> another spirit, which you have not received, or another good news, which you have not accepted, you might well bear with him.</w:t>
      </w:r>
    </w:p>
    <w:p>
      <w:r>
        <w:rPr>
          <w:b/>
        </w:rPr>
        <w:t xml:space="preserve">5 </w:t>
      </w:r>
      <w:r>
        <w:t xml:space="preserve">For I suppose I was not</w:t>
      </w:r>
      <w:r>
        <w:rPr>
          <w:rStyle w:val="FootnoteReference"/>
        </w:rPr>
        <w:footnoteReference w:id="18013"/>
      </w:r>
      <w:r>
        <w:t xml:space="preserve"> behind the foremost apostles.</w:t>
      </w:r>
    </w:p>
    <w:p>
      <w:r>
        <w:rPr>
          <w:b/>
        </w:rPr>
        <w:t xml:space="preserve">6 </w:t>
      </w:r>
      <w:r>
        <w:t xml:space="preserve">But though I be rude</w:t>
      </w:r>
      <w:r>
        <w:rPr>
          <w:rStyle w:val="FootnoteReference"/>
        </w:rPr>
        <w:footnoteReference w:id="18014"/>
      </w:r>
      <w:r>
        <w:t xml:space="preserve"> in speech, yet not in knowledge; but we have been thoroughly made manifest among you in all things.</w:t>
      </w:r>
    </w:p>
    <w:p>
      <w:r>
        <w:rPr>
          <w:b/>
        </w:rPr>
        <w:t xml:space="preserve">7 </w:t>
      </w:r>
      <w:r>
        <w:t xml:space="preserve">Have I committed an offense in abasing myself that you might be exalted, because I have preached to you the good news of God freely?</w:t>
      </w:r>
    </w:p>
    <w:p>
      <w:r>
        <w:rPr>
          <w:b/>
        </w:rPr>
        <w:t xml:space="preserve">8 </w:t>
      </w:r>
      <w:r>
        <w:t xml:space="preserve">I robbed other assemblies, taking wages of them, to do you service.</w:t>
      </w:r>
    </w:p>
    <w:p>
      <w:r>
        <w:rPr>
          <w:b/>
        </w:rPr>
        <w:t xml:space="preserve">9 </w:t>
      </w:r>
      <w:r>
        <w:t xml:space="preserve">And when I was present with you, and wanted</w:t>
      </w:r>
      <w:r>
        <w:rPr>
          <w:rStyle w:val="FootnoteReference"/>
        </w:rPr>
        <w:footnoteReference w:id="18015"/>
      </w:r>
      <w:r>
        <w:t xml:space="preserve">, I was chargeable to no one: for that which was lacking to me the brothers who came from Macedonia supplied: and in all things I have kept myself from being burdensome to you, and so will I keep myself.</w:t>
      </w:r>
    </w:p>
    <w:p>
      <w:r>
        <w:rPr>
          <w:b/>
        </w:rPr>
        <w:t xml:space="preserve">10 </w:t>
      </w:r>
      <w:r>
        <w:t xml:space="preserve">As the truth</w:t>
      </w:r>
      <w:r>
        <w:rPr>
          <w:rStyle w:val="FootnoteReference"/>
        </w:rPr>
        <w:footnoteReference w:id="18016"/>
      </w:r>
      <w:r>
        <w:t xml:space="preserve"> of Christ is in me, no one shall stop me of this boasting in the regions of Achaia.</w:t>
      </w:r>
    </w:p>
    <w:p>
      <w:r>
        <w:rPr>
          <w:b/>
        </w:rPr>
        <w:t xml:space="preserve">11 </w:t>
      </w:r>
      <w:r>
        <w:t xml:space="preserve">Therefore? because I love you not? God knows.</w:t>
      </w:r>
    </w:p>
    <w:p>
      <w:r>
        <w:rPr>
          <w:b/>
        </w:rPr>
        <w:t xml:space="preserve">12 </w:t>
      </w:r>
      <w:r>
        <w:t xml:space="preserve">But what I do, that I will do, that I may</w:t>
      </w:r>
      <w:r>
        <w:rPr>
          <w:rStyle w:val="FootnoteReference"/>
        </w:rPr>
        <w:footnoteReference w:id="18017"/>
      </w:r>
      <w:r>
        <w:t xml:space="preserve"> cut off occasion from those who desire occasion; that in which they glory, they may be found even as we.</w:t>
      </w:r>
    </w:p>
    <w:p>
      <w:r>
        <w:rPr>
          <w:b/>
        </w:rPr>
        <w:t xml:space="preserve">13 </w:t>
      </w:r>
      <w:r>
        <w:t xml:space="preserve">For such ones are false</w:t>
      </w:r>
      <w:r>
        <w:rPr>
          <w:rStyle w:val="FootnoteReference"/>
        </w:rPr>
        <w:footnoteReference w:id="18018"/>
      </w:r>
      <w:r>
        <w:t xml:space="preserve"> apostles, deceitful workers, transforming themselves into apostles of Christ.</w:t>
      </w:r>
    </w:p>
    <w:p>
      <w:r>
        <w:rPr>
          <w:b/>
        </w:rPr>
        <w:t xml:space="preserve">14 </w:t>
      </w:r>
      <w:r>
        <w:t xml:space="preserve">And no wonder; for Satan himself transforms himself into an angel of light.</w:t>
      </w:r>
    </w:p>
    <w:p>
      <w:r>
        <w:rPr>
          <w:b/>
        </w:rPr>
        <w:t xml:space="preserve">15 </w:t>
      </w:r>
      <w:r>
        <w:t xml:space="preserve">Therefore it is no great thing if his servants also transform themselves as servants of righteousness; whose end shall be according to their works.</w:t>
      </w:r>
    </w:p>
    <w:p>
      <w:r>
        <w:rPr>
          <w:b/>
        </w:rPr>
        <w:t xml:space="preserve">16 </w:t>
      </w:r>
      <w:r>
        <w:t xml:space="preserve">I say again, Let no one think me a fool; if otherwise, yet as a fool receive me</w:t>
      </w:r>
      <w:r>
        <w:rPr>
          <w:rStyle w:val="FootnoteReference"/>
        </w:rPr>
        <w:footnoteReference w:id="18019"/>
      </w:r>
      <w:r>
        <w:t xml:space="preserve">, that I may boast myself a little.</w:t>
      </w:r>
    </w:p>
    <w:p>
      <w:r>
        <w:rPr>
          <w:b/>
        </w:rPr>
        <w:t xml:space="preserve">17 </w:t>
      </w:r>
      <w:r>
        <w:t xml:space="preserve">That which I speak, I speak it</w:t>
      </w:r>
      <w:r>
        <w:rPr>
          <w:rStyle w:val="FootnoteReference"/>
        </w:rPr>
        <w:footnoteReference w:id="18020"/>
      </w:r>
      <w:r>
        <w:t xml:space="preserve"> not after the Lord, but as it were foolishly, in this confidence of boasting.</w:t>
      </w:r>
    </w:p>
    <w:p>
      <w:r>
        <w:rPr>
          <w:b/>
        </w:rPr>
        <w:t xml:space="preserve">18 </w:t>
      </w:r>
      <w:r>
        <w:t xml:space="preserve">Seeing that many boast according to flesh, I also will boast.</w:t>
      </w:r>
    </w:p>
    <w:p>
      <w:r>
        <w:rPr>
          <w:b/>
        </w:rPr>
        <w:t xml:space="preserve">19 </w:t>
      </w:r>
      <w:r>
        <w:t xml:space="preserve">For you bear with fools gladly, seeing</w:t>
      </w:r>
      <w:r>
        <w:rPr>
          <w:rStyle w:val="FootnoteReference"/>
        </w:rPr>
        <w:footnoteReference w:id="18021"/>
      </w:r>
      <w:r>
        <w:t xml:space="preserve"> you yourselves are wise.</w:t>
      </w:r>
    </w:p>
    <w:p>
      <w:r>
        <w:rPr>
          <w:b/>
        </w:rPr>
        <w:t xml:space="preserve">20 </w:t>
      </w:r>
      <w:r>
        <w:t xml:space="preserve">For you bear with it, if a man bring</w:t>
      </w:r>
      <w:r>
        <w:rPr>
          <w:rStyle w:val="FootnoteReference"/>
        </w:rPr>
        <w:footnoteReference w:id="18022"/>
      </w:r>
      <w:r>
        <w:t xml:space="preserve"> you into bondage, if a man devour you, if a man take of you, if a man exalt himself, if a man strike you on the face.</w:t>
      </w:r>
    </w:p>
    <w:p>
      <w:r>
        <w:rPr>
          <w:b/>
        </w:rPr>
        <w:t xml:space="preserve">21 </w:t>
      </w:r>
      <w:r>
        <w:t xml:space="preserve">I speak according to dishonor, as though</w:t>
      </w:r>
      <w:r>
        <w:rPr>
          <w:rStyle w:val="FootnoteReference"/>
        </w:rPr>
        <w:footnoteReference w:id="18023"/>
      </w:r>
      <w:r>
        <w:t xml:space="preserve"> we had been weak. But in whatever anyone is bold, I speak in foolishness, I also am bold.</w:t>
      </w:r>
    </w:p>
    <w:p>
      <w:r>
        <w:rPr>
          <w:b/>
        </w:rPr>
        <w:t xml:space="preserve">22 </w:t>
      </w:r>
      <w:r>
        <w:t xml:space="preserve">Are they Hebrews</w:t>
      </w:r>
      <w:r>
        <w:rPr>
          <w:rStyle w:val="FootnoteReference"/>
        </w:rPr>
        <w:footnoteReference w:id="18024"/>
      </w:r>
      <w:r>
        <w:t xml:space="preserve">? so am I. Are they Israelites? so am I. Are they the seed of Abraham? so am I.</w:t>
      </w:r>
    </w:p>
    <w:p>
      <w:r>
        <w:rPr>
          <w:b/>
        </w:rPr>
        <w:t xml:space="preserve">23 </w:t>
      </w:r>
      <w:r>
        <w:t xml:space="preserve">Are they ministers</w:t>
      </w:r>
      <w:r>
        <w:rPr>
          <w:rStyle w:val="FootnoteReference"/>
        </w:rPr>
        <w:footnoteReference w:id="18025"/>
      </w:r>
      <w:r>
        <w:t xml:space="preserve"> of Christ? (I speak as a fool) I am more; in labors more abundant, in stripes above measure, in prisons more frequent, in deaths often.</w:t>
      </w:r>
    </w:p>
    <w:p>
      <w:r>
        <w:rPr>
          <w:b/>
        </w:rPr>
        <w:t xml:space="preserve">24 </w:t>
      </w:r>
      <w:r>
        <w:t xml:space="preserve">By Jews five times I received forty</w:t>
      </w:r>
      <w:r>
        <w:rPr>
          <w:rStyle w:val="FootnoteReference"/>
        </w:rPr>
        <w:footnoteReference w:id="18026"/>
      </w:r>
      <w:r>
        <w:t xml:space="preserve"> stripes minus one.</w:t>
      </w:r>
    </w:p>
    <w:p>
      <w:r>
        <w:rPr>
          <w:b/>
        </w:rPr>
        <w:t xml:space="preserve">25 </w:t>
      </w:r>
      <w:r>
        <w:t xml:space="preserve">Three times I was beaten with rods; once</w:t>
      </w:r>
      <w:r>
        <w:rPr>
          <w:rStyle w:val="FootnoteReference"/>
        </w:rPr>
        <w:footnoteReference w:id="18027"/>
      </w:r>
      <w:r>
        <w:t xml:space="preserve"> I was stoned; three times I was shipwrecked; I have spent a night and a day in the deep;</w:t>
      </w:r>
    </w:p>
    <w:p>
      <w:r>
        <w:rPr>
          <w:b/>
        </w:rPr>
        <w:t xml:space="preserve">26 </w:t>
      </w:r>
      <w:r>
        <w:t xml:space="preserve">In journeys often, in perils of waters, in perils of robbers, in perils by my own countrymen, in perils by the</w:t>
      </w:r>
      <w:r>
        <w:rPr>
          <w:rStyle w:val="FootnoteReference"/>
        </w:rPr>
        <w:footnoteReference w:id="18028"/>
      </w:r>
      <w:r>
        <w:t xml:space="preserve"> nations, in perils in the city, in perils in the wilderness, in perils in the sea, in perils among false brothers;</w:t>
      </w:r>
    </w:p>
    <w:p>
      <w:r>
        <w:rPr>
          <w:b/>
        </w:rPr>
        <w:t xml:space="preserve">27 </w:t>
      </w:r>
      <w:r>
        <w:t xml:space="preserve">In labor and hardship, in watchings</w:t>
      </w:r>
      <w:r>
        <w:rPr>
          <w:rStyle w:val="FootnoteReference"/>
        </w:rPr>
        <w:footnoteReference w:id="18029"/>
      </w:r>
      <w:r>
        <w:t xml:space="preserve"> often, in hunger and thirst, in fastings often, in cold and nakedness.</w:t>
      </w:r>
    </w:p>
    <w:p>
      <w:r>
        <w:rPr>
          <w:b/>
        </w:rPr>
        <w:t xml:space="preserve">28 </w:t>
      </w:r>
      <w:r>
        <w:t xml:space="preserve">Beside those</w:t>
      </w:r>
      <w:r>
        <w:rPr>
          <w:rStyle w:val="FootnoteReference"/>
        </w:rPr>
        <w:footnoteReference w:id="18030"/>
      </w:r>
      <w:r>
        <w:t xml:space="preserve"> things that are without, that which comes upon me daily, the care of all the assemblies.</w:t>
      </w:r>
    </w:p>
    <w:p>
      <w:r>
        <w:rPr>
          <w:b/>
        </w:rPr>
        <w:t xml:space="preserve">29 </w:t>
      </w:r>
      <w:r>
        <w:t xml:space="preserve">Who is weak</w:t>
      </w:r>
      <w:r>
        <w:rPr>
          <w:rStyle w:val="FootnoteReference"/>
        </w:rPr>
        <w:footnoteReference w:id="18031"/>
      </w:r>
      <w:r>
        <w:t xml:space="preserve">, and I am not weak? who is stumbled, and I burn not?</w:t>
      </w:r>
    </w:p>
    <w:p>
      <w:r>
        <w:rPr>
          <w:b/>
        </w:rPr>
        <w:t xml:space="preserve">30 </w:t>
      </w:r>
      <w:r>
        <w:t xml:space="preserve">If I must</w:t>
      </w:r>
      <w:r>
        <w:rPr>
          <w:rStyle w:val="FootnoteReference"/>
        </w:rPr>
        <w:footnoteReference w:id="18032"/>
      </w:r>
      <w:r>
        <w:t xml:space="preserve"> boast, I will boast in the things of my weakness.</w:t>
      </w:r>
    </w:p>
    <w:p>
      <w:r>
        <w:rPr>
          <w:b/>
        </w:rPr>
        <w:t xml:space="preserve">31 </w:t>
      </w:r>
      <w:r>
        <w:t xml:space="preserve">The God and Father of our Lord Jesus Christ, who is blessed forevermore, knows that I lie not.</w:t>
      </w:r>
    </w:p>
    <w:p>
      <w:r>
        <w:rPr>
          <w:b/>
        </w:rPr>
        <w:t xml:space="preserve">32 </w:t>
      </w:r>
      <w:r>
        <w:t xml:space="preserve">In Damascus</w:t>
      </w:r>
      <w:r>
        <w:rPr>
          <w:rStyle w:val="FootnoteReference"/>
        </w:rPr>
        <w:footnoteReference w:id="18033"/>
      </w:r>
      <w:r>
        <w:t xml:space="preserve">, the governor under Aretas</w:t>
      </w:r>
      <w:r>
        <w:rPr>
          <w:rStyle w:val="FootnoteReference"/>
        </w:rPr>
        <w:footnoteReference w:id="18034"/>
      </w:r>
      <w:r>
        <w:t xml:space="preserve"> the king guarded the city of the Damascenes</w:t>
      </w:r>
      <w:r>
        <w:rPr>
          <w:rStyle w:val="FootnoteReference"/>
        </w:rPr>
        <w:footnoteReference w:id="18035"/>
      </w:r>
      <w:r>
        <w:t xml:space="preserve">, wanting to seize me:</w:t>
      </w:r>
    </w:p>
    <w:p>
      <w:r>
        <w:rPr>
          <w:b/>
        </w:rPr>
        <w:t xml:space="preserve">33 </w:t>
      </w:r>
      <w:r>
        <w:t xml:space="preserve">and through a window I was let down in a basket through the wall, and escaped his hands.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It is not expedient</w:t>
      </w:r>
      <w:r>
        <w:rPr>
          <w:rStyle w:val="FootnoteReference"/>
        </w:rPr>
        <w:footnoteReference w:id="18036"/>
      </w:r>
      <w:r>
        <w:t xml:space="preserve"> for me doubtless to glory. I will come to visions and revelations of the Lord.</w:t>
      </w:r>
    </w:p>
    <w:p>
      <w:r>
        <w:rPr>
          <w:b/>
        </w:rPr>
        <w:t xml:space="preserve">2 </w:t>
      </w:r>
      <w:r>
        <w:t xml:space="preserve">I knew</w:t>
      </w:r>
      <w:r>
        <w:rPr>
          <w:rStyle w:val="FootnoteReference"/>
        </w:rPr>
        <w:footnoteReference w:id="18037"/>
      </w:r>
      <w:r>
        <w:t xml:space="preserve"> a man in Christ above fourteen years ago, (whether in the body, I cannot tell; or whether out of the body, I cannot tell: God knows;) such a one caught up to the third heaven.</w:t>
      </w:r>
    </w:p>
    <w:p>
      <w:r>
        <w:rPr>
          <w:b/>
        </w:rPr>
        <w:t xml:space="preserve">3 </w:t>
      </w:r>
      <w:r>
        <w:t xml:space="preserve">And I knew such a man, (whether in the body, or out of the body, I cannot tell: God knows;)</w:t>
      </w:r>
    </w:p>
    <w:p>
      <w:r>
        <w:rPr>
          <w:b/>
        </w:rPr>
        <w:t xml:space="preserve">4 </w:t>
      </w:r>
      <w:r>
        <w:t xml:space="preserve">How that he was caught up into paradise</w:t>
      </w:r>
      <w:r>
        <w:rPr>
          <w:rStyle w:val="FootnoteReference"/>
        </w:rPr>
        <w:footnoteReference w:id="18038"/>
      </w:r>
      <w:r>
        <w:t xml:space="preserve">, and heard unspeakable words, which it is not lawful for a man to utter.</w:t>
      </w:r>
    </w:p>
    <w:p>
      <w:r>
        <w:rPr>
          <w:b/>
        </w:rPr>
        <w:t xml:space="preserve">5 </w:t>
      </w:r>
      <w:r>
        <w:t xml:space="preserve">Of such</w:t>
      </w:r>
      <w:r>
        <w:rPr>
          <w:rStyle w:val="FootnoteReference"/>
        </w:rPr>
        <w:footnoteReference w:id="18039"/>
      </w:r>
      <w:r>
        <w:t xml:space="preserve"> a one I will boast; but of myself I will not boast, except in my weaknesses.</w:t>
      </w:r>
    </w:p>
    <w:p>
      <w:r>
        <w:rPr>
          <w:b/>
        </w:rPr>
        <w:t xml:space="preserve">6 </w:t>
      </w:r>
      <w:r>
        <w:t xml:space="preserve">For though I would</w:t>
      </w:r>
      <w:r>
        <w:rPr>
          <w:rStyle w:val="FootnoteReference"/>
        </w:rPr>
        <w:footnoteReference w:id="18040"/>
      </w:r>
      <w:r>
        <w:t xml:space="preserve"> desire to glory, I shall not be a fool; for I will say the truth: but now I forbear, lest anyone should think of me above that which he sees me to be, or that he hears of me.</w:t>
      </w:r>
    </w:p>
    <w:p>
      <w:r>
        <w:rPr>
          <w:b/>
        </w:rPr>
        <w:t xml:space="preserve">7 </w:t>
      </w:r>
      <w:r>
        <w:t xml:space="preserve">And by the surpassing greatness of the revelations, lest I should be exalted above measure, a thorn</w:t>
      </w:r>
      <w:r>
        <w:rPr>
          <w:rStyle w:val="FootnoteReference"/>
        </w:rPr>
        <w:footnoteReference w:id="18041"/>
      </w:r>
      <w:r>
        <w:t xml:space="preserve"> in the flesh was given to me, a messenger of Satan, that he might buffet me, lest I should be exalted above measure.</w:t>
      </w:r>
    </w:p>
    <w:p>
      <w:r>
        <w:rPr>
          <w:b/>
        </w:rPr>
        <w:t xml:space="preserve">8 </w:t>
      </w:r>
      <w:r>
        <w:t xml:space="preserve">For this thing I begged the Lord three times, that it might depart from me.</w:t>
      </w:r>
    </w:p>
    <w:p>
      <w:r>
        <w:rPr>
          <w:b/>
        </w:rPr>
        <w:t xml:space="preserve">9 </w:t>
      </w:r>
      <w:r>
        <w:t xml:space="preserve">And he said to me, My grace</w:t>
      </w:r>
      <w:r>
        <w:rPr>
          <w:rStyle w:val="FootnoteReference"/>
        </w:rPr>
        <w:footnoteReference w:id="18042"/>
      </w:r>
      <w:r>
        <w:t xml:space="preserve"> is sufficient for you: for my strength is made perfect in weakness. Most gladly therefore I will rather boast in my weaknesses, that the power of Christ may rest upon me.</w:t>
      </w:r>
    </w:p>
    <w:p>
      <w:r>
        <w:rPr>
          <w:b/>
        </w:rPr>
        <w:t xml:space="preserve">10 </w:t>
      </w:r>
      <w:r>
        <w:t xml:space="preserve">Therefore I take</w:t>
      </w:r>
      <w:r>
        <w:rPr>
          <w:rStyle w:val="FootnoteReference"/>
        </w:rPr>
        <w:footnoteReference w:id="18043"/>
      </w:r>
      <w:r>
        <w:t xml:space="preserve"> pleasure in weaknesses, in reproaches, in necessities, in persecutions, in distresses for Christ: for when I am weak, then I am strong.</w:t>
      </w:r>
    </w:p>
    <w:p>
      <w:r>
        <w:rPr>
          <w:b/>
        </w:rPr>
        <w:t xml:space="preserve">11 </w:t>
      </w:r>
      <w:r>
        <w:t xml:space="preserve">I am become</w:t>
      </w:r>
      <w:r>
        <w:rPr>
          <w:rStyle w:val="FootnoteReference"/>
        </w:rPr>
        <w:footnoteReference w:id="18044"/>
      </w:r>
      <w:r>
        <w:t xml:space="preserve"> a fool in glorying; you have compelled me: for I ought to have been commended of you: for in nothing am I behind the foremost apostles, though I be nothing.</w:t>
      </w:r>
    </w:p>
    <w:p>
      <w:r>
        <w:rPr>
          <w:b/>
        </w:rPr>
        <w:t xml:space="preserve">12 </w:t>
      </w:r>
      <w:r>
        <w:t xml:space="preserve">Truly the signs of an apostle were worked among you in all patience, in signs, and wonders, and mighty deeds.</w:t>
      </w:r>
    </w:p>
    <w:p>
      <w:r>
        <w:rPr>
          <w:b/>
        </w:rPr>
        <w:t xml:space="preserve">13 </w:t>
      </w:r>
      <w:r>
        <w:t xml:space="preserve">For what is it in which you were inferior to other assemblies, except it be that I myself</w:t>
      </w:r>
      <w:r>
        <w:rPr>
          <w:rStyle w:val="FootnoteReference"/>
        </w:rPr>
        <w:footnoteReference w:id="18045"/>
      </w:r>
      <w:r>
        <w:t xml:space="preserve"> was not burdensome to you? forgive me this wrong.</w:t>
      </w:r>
    </w:p>
    <w:p>
      <w:r>
        <w:rPr>
          <w:b/>
        </w:rPr>
        <w:t xml:space="preserve">14 </w:t>
      </w:r>
      <w:r>
        <w:t xml:space="preserve">Look, the third</w:t>
      </w:r>
      <w:r>
        <w:rPr>
          <w:rStyle w:val="FootnoteReference"/>
        </w:rPr>
        <w:footnoteReference w:id="18046"/>
      </w:r>
      <w:r>
        <w:t xml:space="preserve"> time I am ready to come to you; and I will not be burdensome to you: for I seek not yours but you: for the children ought not to lay up for the parents, but the parents for the children.</w:t>
      </w:r>
    </w:p>
    <w:p>
      <w:r>
        <w:rPr>
          <w:b/>
        </w:rPr>
        <w:t xml:space="preserve">15 </w:t>
      </w:r>
      <w:r>
        <w:t xml:space="preserve">And I will</w:t>
      </w:r>
      <w:r>
        <w:rPr>
          <w:rStyle w:val="FootnoteReference"/>
        </w:rPr>
        <w:footnoteReference w:id="18047"/>
      </w:r>
      <w:r>
        <w:t xml:space="preserve"> very gladly spend and be fully spent for your souls; though the more abundantly I love you, the less I am loved.</w:t>
      </w:r>
    </w:p>
    <w:p>
      <w:r>
        <w:rPr>
          <w:b/>
        </w:rPr>
        <w:t xml:space="preserve">16 </w:t>
      </w:r>
      <w:r>
        <w:t xml:space="preserve">But be it so, I did not</w:t>
      </w:r>
      <w:r>
        <w:rPr>
          <w:rStyle w:val="FootnoteReference"/>
        </w:rPr>
        <w:footnoteReference w:id="18048"/>
      </w:r>
      <w:r>
        <w:t xml:space="preserve"> burden you: but, being crafty, I took you by deceit.</w:t>
      </w:r>
    </w:p>
    <w:p>
      <w:r>
        <w:rPr>
          <w:b/>
        </w:rPr>
        <w:t xml:space="preserve">17 </w:t>
      </w:r>
      <w:r>
        <w:t xml:space="preserve">Did I make a gain of you by any of them whom I sent to you?</w:t>
      </w:r>
    </w:p>
    <w:p>
      <w:r>
        <w:rPr>
          <w:b/>
        </w:rPr>
        <w:t xml:space="preserve">18 </w:t>
      </w:r>
      <w:r>
        <w:t xml:space="preserve">I desired Titus</w:t>
      </w:r>
      <w:r>
        <w:rPr>
          <w:rStyle w:val="FootnoteReference"/>
        </w:rPr>
        <w:footnoteReference w:id="18049"/>
      </w:r>
      <w:r>
        <w:t xml:space="preserve">, and with him I sent a brother. Did Titus make a gain of you? walked we not in the same spirit? walked we not in the same steps?</w:t>
      </w:r>
    </w:p>
    <w:p>
      <w:r>
        <w:rPr>
          <w:b/>
        </w:rPr>
        <w:t xml:space="preserve">19 </w:t>
      </w:r>
      <w:r>
        <w:t xml:space="preserve">Again, Do you think</w:t>
      </w:r>
      <w:r>
        <w:rPr>
          <w:rStyle w:val="FootnoteReference"/>
        </w:rPr>
        <w:footnoteReference w:id="18050"/>
      </w:r>
      <w:r>
        <w:t xml:space="preserve"> that we excuse ourselves to you? we speak before God in Christ: but we do all things, dearly beloved, for your edifying.</w:t>
      </w:r>
    </w:p>
    <w:p>
      <w:r>
        <w:rPr>
          <w:b/>
        </w:rPr>
        <w:t xml:space="preserve">20 </w:t>
      </w:r>
      <w:r>
        <w:t xml:space="preserve">For I fear, lest, when I come, I shall not</w:t>
      </w:r>
      <w:r>
        <w:rPr>
          <w:rStyle w:val="FootnoteReference"/>
        </w:rPr>
        <w:footnoteReference w:id="18051"/>
      </w:r>
      <w:r>
        <w:t xml:space="preserve"> find you such as I would, and that I shall be found to you such as you would not: lest there is debates, envyings, wraths, strifes, backbitings, whisperings, swellings, tumults:</w:t>
      </w:r>
    </w:p>
    <w:p>
      <w:r>
        <w:rPr>
          <w:b/>
        </w:rPr>
        <w:t xml:space="preserve">21 </w:t>
      </w:r>
      <w:r>
        <w:t xml:space="preserve">And lest, when I come again, my God</w:t>
      </w:r>
      <w:r>
        <w:rPr>
          <w:rStyle w:val="FootnoteReference"/>
        </w:rPr>
        <w:footnoteReference w:id="18052"/>
      </w:r>
      <w:r>
        <w:t xml:space="preserve"> will humble me among you, and that I shall mourn for many which have sinned already, and have not repented of the uncleanness and sexual immorality and lasciviousness which they have committed.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This is the third</w:t>
      </w:r>
      <w:r>
        <w:rPr>
          <w:rStyle w:val="FootnoteReference"/>
        </w:rPr>
        <w:footnoteReference w:id="18053"/>
      </w:r>
      <w:r>
        <w:t xml:space="preserve"> time I am coming to you. In the mouth of two or three witnesses shall every word be established.</w:t>
      </w:r>
    </w:p>
    <w:p>
      <w:r>
        <w:rPr>
          <w:b/>
        </w:rPr>
        <w:t xml:space="preserve">2 </w:t>
      </w:r>
      <w:r>
        <w:t xml:space="preserve">I told</w:t>
      </w:r>
      <w:r>
        <w:rPr>
          <w:rStyle w:val="FootnoteReference"/>
        </w:rPr>
        <w:footnoteReference w:id="18054"/>
      </w:r>
      <w:r>
        <w:t xml:space="preserve"> you before, and foretell you, as if I were present, the second time; and being absent now I write to those who in time past have sinned, and to all other, that, if I come again, I will not spare:</w:t>
      </w:r>
    </w:p>
    <w:p>
      <w:r>
        <w:rPr>
          <w:b/>
        </w:rPr>
        <w:t xml:space="preserve">3 </w:t>
      </w:r>
      <w:r>
        <w:t xml:space="preserve">Since you seek a proof of Christ</w:t>
      </w:r>
      <w:r>
        <w:rPr>
          <w:rStyle w:val="FootnoteReference"/>
        </w:rPr>
        <w:footnoteReference w:id="18055"/>
      </w:r>
      <w:r>
        <w:t xml:space="preserve"> speaking in me, which toward you is not weak, but is mighty in you.</w:t>
      </w:r>
    </w:p>
    <w:p>
      <w:r>
        <w:rPr>
          <w:b/>
        </w:rPr>
        <w:t xml:space="preserve">4 </w:t>
      </w:r>
      <w:r>
        <w:t xml:space="preserve">For though he was crucified through weakness, yet he lives by the power of God. For we also</w:t>
      </w:r>
      <w:r>
        <w:rPr>
          <w:rStyle w:val="FootnoteReference"/>
        </w:rPr>
        <w:footnoteReference w:id="18056"/>
      </w:r>
      <w:r>
        <w:t xml:space="preserve"> are weak in him, but we shall live with him by the power of God toward you.</w:t>
      </w:r>
    </w:p>
    <w:p>
      <w:r>
        <w:rPr>
          <w:b/>
        </w:rPr>
        <w:t xml:space="preserve">5 </w:t>
      </w:r>
      <w:r>
        <w:t xml:space="preserve">Examine</w:t>
      </w:r>
      <w:r>
        <w:rPr>
          <w:rStyle w:val="FootnoteReference"/>
        </w:rPr>
        <w:footnoteReference w:id="18057"/>
      </w:r>
      <w:r>
        <w:t xml:space="preserve"> yourselves, whether you be in the faith; prove your own selves. Do you not know yourselves, how that Jesus Christ is in you, except you be reprobates?</w:t>
      </w:r>
    </w:p>
    <w:p>
      <w:r>
        <w:rPr>
          <w:b/>
        </w:rPr>
        <w:t xml:space="preserve">6 </w:t>
      </w:r>
      <w:r>
        <w:t xml:space="preserve">But I trust that you shall know that we are not reprobates.</w:t>
      </w:r>
    </w:p>
    <w:p>
      <w:r>
        <w:rPr>
          <w:b/>
        </w:rPr>
        <w:t xml:space="preserve">7 </w:t>
      </w:r>
      <w:r>
        <w:t xml:space="preserve">Now I pray</w:t>
      </w:r>
      <w:r>
        <w:rPr>
          <w:rStyle w:val="FootnoteReference"/>
        </w:rPr>
        <w:footnoteReference w:id="18058"/>
      </w:r>
      <w:r>
        <w:t xml:space="preserve"> to God that you do no evil; not that we should appear approved, but that you should do that which is honest, though we be as reprobates.</w:t>
      </w:r>
    </w:p>
    <w:p>
      <w:r>
        <w:rPr>
          <w:b/>
        </w:rPr>
        <w:t xml:space="preserve">8 </w:t>
      </w:r>
      <w:r>
        <w:t xml:space="preserve">For we can do nothing against the truth, but for the truth.</w:t>
      </w:r>
    </w:p>
    <w:p>
      <w:r>
        <w:rPr>
          <w:b/>
        </w:rPr>
        <w:t xml:space="preserve">9 </w:t>
      </w:r>
      <w:r>
        <w:t xml:space="preserve">For we are glad, when we are weak, and you are strong: and this also we wish, even your perfection.</w:t>
      </w:r>
    </w:p>
    <w:p>
      <w:r>
        <w:rPr>
          <w:b/>
        </w:rPr>
        <w:t xml:space="preserve">10 </w:t>
      </w:r>
      <w:r>
        <w:t xml:space="preserve">Therefore I write</w:t>
      </w:r>
      <w:r>
        <w:rPr>
          <w:rStyle w:val="FootnoteReference"/>
        </w:rPr>
        <w:footnoteReference w:id="18059"/>
      </w:r>
      <w:r>
        <w:t xml:space="preserve"> these things being absent, lest being present I should use sharpness, according to the power which the Lord has given me to edification, and not to destruction.</w:t>
      </w:r>
    </w:p>
    <w:p>
      <w:r>
        <w:rPr>
          <w:b/>
        </w:rPr>
        <w:t xml:space="preserve">11 </w:t>
      </w:r>
      <w:r>
        <w:t xml:space="preserve">Finally, brothers, farewell</w:t>
      </w:r>
      <w:r>
        <w:rPr>
          <w:rStyle w:val="FootnoteReference"/>
        </w:rPr>
        <w:footnoteReference w:id="18060"/>
      </w:r>
      <w:r>
        <w:t xml:space="preserve">. Be perfect, be of good comfort, be of one mind, live in peace; and the God of love and peace shall be with you.</w:t>
      </w:r>
    </w:p>
    <w:p>
      <w:r>
        <w:rPr>
          <w:b/>
        </w:rPr>
        <w:t xml:space="preserve">12 </w:t>
      </w:r>
      <w:r>
        <w:t xml:space="preserve">Greet one another with a holy kiss.</w:t>
      </w:r>
    </w:p>
    <w:p>
      <w:r>
        <w:rPr>
          <w:b/>
        </w:rPr>
        <w:t xml:space="preserve">13 </w:t>
      </w:r>
      <w:r>
        <w:t xml:space="preserve">All the holy ones salute you.</w:t>
      </w:r>
    </w:p>
    <w:p>
      <w:r>
        <w:rPr>
          <w:b/>
        </w:rPr>
        <w:t xml:space="preserve">14 </w:t>
      </w:r>
      <w:r>
        <w:t xml:space="preserve">The grace</w:t>
      </w:r>
      <w:r>
        <w:rPr>
          <w:rStyle w:val="FootnoteReference"/>
        </w:rPr>
        <w:footnoteReference w:id="18061"/>
      </w:r>
      <w:r>
        <w:t xml:space="preserve"> of the Lord Jesus Christ, and the love of God, and the communion of the Holy Spirit, be with you all. Amen.</w:t>
      </w:r>
    </w:p>
    <w:p>
      <w:r>
        <w:br w:type="page"/>
      </w:r>
    </w:p>
    <w:p>
      <w:pPr>
        <w:pStyle w:val="Heading1"/>
      </w:pPr>
      <w:r>
        <w:t xml:space="preserve">Galatians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an apostle, (not of men, neither by man, but by Jesus Christ, and God the Father, who raised</w:t>
      </w:r>
      <w:r>
        <w:rPr>
          <w:rStyle w:val="FootnoteReference"/>
        </w:rPr>
        <w:footnoteReference w:id="18062"/>
      </w:r>
      <w:r>
        <w:t xml:space="preserve"> him from the dead;)</w:t>
      </w:r>
    </w:p>
    <w:p>
      <w:r>
        <w:rPr>
          <w:b/>
        </w:rPr>
        <w:t xml:space="preserve">2 </w:t>
      </w:r>
      <w:r>
        <w:t xml:space="preserve">And all the brothers who are with me, to the assemblies of Galatia:</w:t>
      </w:r>
    </w:p>
    <w:p>
      <w:r>
        <w:rPr>
          <w:b/>
        </w:rPr>
        <w:t xml:space="preserve">3 </w:t>
      </w:r>
      <w:r>
        <w:t xml:space="preserve">Grace be to you and peace from God the Father, and from our Lord Jesus Christ,</w:t>
      </w:r>
    </w:p>
    <w:p>
      <w:r>
        <w:rPr>
          <w:b/>
        </w:rPr>
        <w:t xml:space="preserve">4 </w:t>
      </w:r>
      <w:r>
        <w:t xml:space="preserve">Who gave</w:t>
      </w:r>
      <w:r>
        <w:rPr>
          <w:rStyle w:val="FootnoteReference"/>
        </w:rPr>
        <w:footnoteReference w:id="18063"/>
      </w:r>
      <w:r>
        <w:t xml:space="preserve"> himself for our sins, that he might deliver us out of this present evil age, according to the will of our God and Father:</w:t>
      </w:r>
    </w:p>
    <w:p>
      <w:r>
        <w:rPr>
          <w:b/>
        </w:rPr>
        <w:t xml:space="preserve">5 </w:t>
      </w:r>
      <w:r>
        <w:t xml:space="preserve">To whom be glory forever and ever. Amen</w:t>
      </w:r>
      <w:r>
        <w:rPr>
          <w:rStyle w:val="FootnoteReference"/>
        </w:rPr>
        <w:footnoteReference w:id="18064"/>
      </w:r>
      <w:r>
        <w:t xml:space="preserve">.</w:t>
      </w:r>
    </w:p>
    <w:p>
      <w:r>
        <w:rPr>
          <w:b/>
        </w:rPr>
        <w:t xml:space="preserve">6 </w:t>
      </w:r>
      <w:r>
        <w:t xml:space="preserve">I marvel</w:t>
      </w:r>
      <w:r>
        <w:rPr>
          <w:rStyle w:val="FootnoteReference"/>
        </w:rPr>
        <w:footnoteReference w:id="18065"/>
      </w:r>
      <w:r>
        <w:t xml:space="preserve"> that you are so soon removed from him who called you into the grace of Christ to another good news:</w:t>
      </w:r>
    </w:p>
    <w:p>
      <w:r>
        <w:rPr>
          <w:b/>
        </w:rPr>
        <w:t xml:space="preserve">7 </w:t>
      </w:r>
      <w:r>
        <w:t xml:space="preserve">Which is not another; but there is some that trouble you, and would pervert</w:t>
      </w:r>
      <w:r>
        <w:rPr>
          <w:rStyle w:val="FootnoteReference"/>
        </w:rPr>
        <w:footnoteReference w:id="18066"/>
      </w:r>
      <w:r>
        <w:t xml:space="preserve"> the good news of Christ.</w:t>
      </w:r>
    </w:p>
    <w:p>
      <w:r>
        <w:rPr>
          <w:b/>
        </w:rPr>
        <w:t xml:space="preserve">8 </w:t>
      </w:r>
      <w:r>
        <w:t xml:space="preserve">But though</w:t>
      </w:r>
      <w:r>
        <w:rPr>
          <w:rStyle w:val="FootnoteReference"/>
        </w:rPr>
        <w:footnoteReference w:id="18067"/>
      </w:r>
      <w:r>
        <w:t xml:space="preserve"> we, or an angel from heaven, preach any other good news to you than that which we have preached to you, let him be accursed.</w:t>
      </w:r>
    </w:p>
    <w:p>
      <w:r>
        <w:rPr>
          <w:b/>
        </w:rPr>
        <w:t xml:space="preserve">9 </w:t>
      </w:r>
      <w:r>
        <w:t xml:space="preserve">As we said before, so say I now again, if anyone preach any other good news to you than</w:t>
      </w:r>
      <w:r>
        <w:rPr>
          <w:rStyle w:val="FootnoteReference"/>
        </w:rPr>
        <w:footnoteReference w:id="18068"/>
      </w:r>
      <w:r>
        <w:t xml:space="preserve"> that you have received, let him be accursed.</w:t>
      </w:r>
    </w:p>
    <w:p>
      <w:r>
        <w:rPr>
          <w:b/>
        </w:rPr>
        <w:t xml:space="preserve">10 </w:t>
      </w:r>
      <w:r>
        <w:t xml:space="preserve">For do I now</w:t>
      </w:r>
      <w:r>
        <w:rPr>
          <w:rStyle w:val="FootnoteReference"/>
        </w:rPr>
        <w:footnoteReference w:id="18069"/>
      </w:r>
      <w:r>
        <w:t xml:space="preserve"> persuade men, or God? or do I seek to please men? for if I yet pleased men, I should not be the slave of Christ.</w:t>
      </w:r>
    </w:p>
    <w:p>
      <w:r>
        <w:rPr>
          <w:b/>
        </w:rPr>
        <w:t xml:space="preserve">11 </w:t>
      </w:r>
      <w:r>
        <w:t xml:space="preserve">But I certify you, brothers, that the good news which was preached of me is not after man.</w:t>
      </w:r>
    </w:p>
    <w:p>
      <w:r>
        <w:rPr>
          <w:b/>
        </w:rPr>
        <w:t xml:space="preserve">12 </w:t>
      </w:r>
      <w:r>
        <w:t xml:space="preserve">For I neither received it from man, nor was I taught it, but by revelation of Jesus Christ.</w:t>
      </w:r>
    </w:p>
    <w:p>
      <w:r>
        <w:rPr>
          <w:b/>
        </w:rPr>
        <w:t xml:space="preserve">13 </w:t>
      </w:r>
      <w:r>
        <w:t xml:space="preserve">For you have heard of my conduct in time past in the Jews' religion, how that beyond measure I persecuted the assembly of God, and wasted it:</w:t>
      </w:r>
    </w:p>
    <w:p>
      <w:r>
        <w:rPr>
          <w:b/>
        </w:rPr>
        <w:t xml:space="preserve">14 </w:t>
      </w:r>
      <w:r>
        <w:t xml:space="preserve">And profited</w:t>
      </w:r>
      <w:r>
        <w:rPr>
          <w:rStyle w:val="FootnoteReference"/>
        </w:rPr>
        <w:footnoteReference w:id="18070"/>
      </w:r>
      <w:r>
        <w:t xml:space="preserve"> in the Jews' religion above many my equals in my own nation, being more exceedingly zealous of the traditions of my fathers.</w:t>
      </w:r>
    </w:p>
    <w:p>
      <w:r>
        <w:rPr>
          <w:b/>
        </w:rPr>
        <w:t xml:space="preserve">15 </w:t>
      </w:r>
      <w:r>
        <w:t xml:space="preserve">But when it pleased God, who separated me from my mother's womb, and called me by his grace,</w:t>
      </w:r>
    </w:p>
    <w:p>
      <w:r>
        <w:rPr>
          <w:b/>
        </w:rPr>
        <w:t xml:space="preserve">16 </w:t>
      </w:r>
      <w:r>
        <w:t xml:space="preserve">To reveal</w:t>
      </w:r>
      <w:r>
        <w:rPr>
          <w:rStyle w:val="FootnoteReference"/>
        </w:rPr>
        <w:footnoteReference w:id="18071"/>
      </w:r>
      <w:r>
        <w:t xml:space="preserve"> his Son in me, that I might preach him among the nations; immediately I conferred not with flesh and blood:</w:t>
      </w:r>
    </w:p>
    <w:p>
      <w:r>
        <w:rPr>
          <w:b/>
        </w:rPr>
        <w:t xml:space="preserve">17 </w:t>
      </w:r>
      <w:r>
        <w:t xml:space="preserve">Neither went</w:t>
      </w:r>
      <w:r>
        <w:rPr>
          <w:rStyle w:val="FootnoteReference"/>
        </w:rPr>
        <w:footnoteReference w:id="18072"/>
      </w:r>
      <w:r>
        <w:t xml:space="preserve"> I up to Jerusalem to those who were apostles before me; but I went into Arabia</w:t>
      </w:r>
      <w:r>
        <w:rPr>
          <w:rStyle w:val="FootnoteReference"/>
        </w:rPr>
        <w:footnoteReference w:id="18073"/>
      </w:r>
      <w:r>
        <w:t xml:space="preserve">, and returned again to Damascus.</w:t>
      </w:r>
    </w:p>
    <w:p>
      <w:r>
        <w:rPr>
          <w:b/>
        </w:rPr>
        <w:t xml:space="preserve">18 </w:t>
      </w:r>
      <w:r>
        <w:t xml:space="preserve">Then after three years I went up</w:t>
      </w:r>
      <w:r>
        <w:rPr>
          <w:rStyle w:val="FootnoteReference"/>
        </w:rPr>
        <w:footnoteReference w:id="18074"/>
      </w:r>
      <w:r>
        <w:t xml:space="preserve"> to Jerusalem to see Peter, and remained with him fifteen days.</w:t>
      </w:r>
    </w:p>
    <w:p>
      <w:r>
        <w:rPr>
          <w:b/>
        </w:rPr>
        <w:t xml:space="preserve">19 </w:t>
      </w:r>
      <w:r>
        <w:t xml:space="preserve">But other of the apostles saw I none, save James</w:t>
      </w:r>
      <w:r>
        <w:rPr>
          <w:rStyle w:val="FootnoteReference"/>
        </w:rPr>
        <w:footnoteReference w:id="18075"/>
      </w:r>
      <w:r>
        <w:t xml:space="preserve"> the Lord's brother.</w:t>
      </w:r>
    </w:p>
    <w:p>
      <w:r>
        <w:rPr>
          <w:b/>
        </w:rPr>
        <w:t xml:space="preserve">20 </w:t>
      </w:r>
      <w:r>
        <w:t xml:space="preserve">Now the things which I write to you, look, before God, I lie not.</w:t>
      </w:r>
    </w:p>
    <w:p>
      <w:r>
        <w:rPr>
          <w:b/>
        </w:rPr>
        <w:t xml:space="preserve">21 </w:t>
      </w:r>
      <w:r>
        <w:t xml:space="preserve">Afterwards I came</w:t>
      </w:r>
      <w:r>
        <w:rPr>
          <w:rStyle w:val="FootnoteReference"/>
        </w:rPr>
        <w:footnoteReference w:id="18076"/>
      </w:r>
      <w:r>
        <w:t xml:space="preserve"> into the regions of Syria and Cilicia;</w:t>
      </w:r>
    </w:p>
    <w:p>
      <w:r>
        <w:rPr>
          <w:b/>
        </w:rPr>
        <w:t xml:space="preserve">22 </w:t>
      </w:r>
      <w:r>
        <w:t xml:space="preserve">And was unknown by face to the assemblies of Judea which were in Christ:</w:t>
      </w:r>
    </w:p>
    <w:p>
      <w:r>
        <w:rPr>
          <w:b/>
        </w:rPr>
        <w:t xml:space="preserve">23 </w:t>
      </w:r>
      <w:r>
        <w:t xml:space="preserve">But they had heard only, That the one who persecuted us in times past now preaches the faith which once he destroyed.</w:t>
      </w:r>
    </w:p>
    <w:p>
      <w:r>
        <w:rPr>
          <w:b/>
        </w:rPr>
        <w:t xml:space="preserve">24 </w:t>
      </w:r>
      <w:r>
        <w:t xml:space="preserve">And they glorified God in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Then after fourteen</w:t>
      </w:r>
      <w:r>
        <w:rPr>
          <w:rStyle w:val="FootnoteReference"/>
        </w:rPr>
        <w:footnoteReference w:id="18077"/>
      </w:r>
      <w:r>
        <w:t xml:space="preserve"> years I went up again to Jerusalem with Barnabas, taking Titus also with me.</w:t>
      </w:r>
    </w:p>
    <w:p>
      <w:r>
        <w:rPr>
          <w:b/>
        </w:rPr>
        <w:t xml:space="preserve">2 </w:t>
      </w:r>
      <w:r>
        <w:t xml:space="preserve">And I went up by revelation, and communicated</w:t>
      </w:r>
      <w:r>
        <w:rPr>
          <w:rStyle w:val="FootnoteReference"/>
        </w:rPr>
        <w:footnoteReference w:id="18078"/>
      </w:r>
      <w:r>
        <w:t xml:space="preserve"> to those who good news which I preach among the nations, but privately to those who were of reputation, lest by any means I should run, or had run, in vain.</w:t>
      </w:r>
    </w:p>
    <w:p>
      <w:r>
        <w:rPr>
          <w:b/>
        </w:rPr>
        <w:t xml:space="preserve">3 </w:t>
      </w:r>
      <w:r>
        <w:t xml:space="preserve">But not even Titus, who was with me, being Greek, was compelled to be circumcised:</w:t>
      </w:r>
    </w:p>
    <w:p>
      <w:r>
        <w:rPr>
          <w:b/>
        </w:rPr>
        <w:t xml:space="preserve">4 </w:t>
      </w:r>
      <w:r>
        <w:t xml:space="preserve">And that because of false brothers unexpectedly brought in, who came in privately to spy out our liberty</w:t>
      </w:r>
      <w:r>
        <w:rPr>
          <w:rStyle w:val="FootnoteReference"/>
        </w:rPr>
        <w:footnoteReference w:id="18079"/>
      </w:r>
      <w:r>
        <w:t xml:space="preserve"> which we have in Christ Jesus, that they might bring us into bondage:</w:t>
      </w:r>
    </w:p>
    <w:p>
      <w:r>
        <w:rPr>
          <w:b/>
        </w:rPr>
        <w:t xml:space="preserve">5 </w:t>
      </w:r>
      <w:r>
        <w:t xml:space="preserve">To whom we gave place by subjection, no, not for an hour; that the truth of the good news might continue with you.</w:t>
      </w:r>
    </w:p>
    <w:p>
      <w:r>
        <w:rPr>
          <w:b/>
        </w:rPr>
        <w:t xml:space="preserve">6 </w:t>
      </w:r>
      <w:r>
        <w:t xml:space="preserve">But of these who</w:t>
      </w:r>
      <w:r>
        <w:rPr>
          <w:rStyle w:val="FootnoteReference"/>
        </w:rPr>
        <w:footnoteReference w:id="18080"/>
      </w:r>
      <w:r>
        <w:t xml:space="preserve"> seemed to be somewhat, (whatever they were, it makes no matter to me: God accepts no one's person:) for they who seemed to be somewhat in conference added nothing to me:</w:t>
      </w:r>
    </w:p>
    <w:p>
      <w:r>
        <w:rPr>
          <w:b/>
        </w:rPr>
        <w:t xml:space="preserve">7 </w:t>
      </w:r>
      <w:r>
        <w:t xml:space="preserve">But contrariwise, when they saw that the good news of the uncircumcision was committed to me, as the good news of the circumcision was to Peter;</w:t>
      </w:r>
    </w:p>
    <w:p>
      <w:r>
        <w:rPr>
          <w:b/>
        </w:rPr>
        <w:t xml:space="preserve">8 </w:t>
      </w:r>
      <w:r>
        <w:t xml:space="preserve">(For the one who worked effectually in Peter to the apostleship of the circumcision, the same was mighty in me toward the nations:)</w:t>
      </w:r>
    </w:p>
    <w:p>
      <w:r>
        <w:rPr>
          <w:b/>
        </w:rPr>
        <w:t xml:space="preserve">9 </w:t>
      </w:r>
      <w:r>
        <w:t xml:space="preserve">And when James</w:t>
      </w:r>
      <w:r>
        <w:rPr>
          <w:rStyle w:val="FootnoteReference"/>
        </w:rPr>
        <w:footnoteReference w:id="18081"/>
      </w:r>
      <w:r>
        <w:t xml:space="preserve">, Cephas, and John, who seemed to be pillars, perceived the grace that was given to me, they gave to me and Barnabas the right hands of fellowship; that we should go to the nations, and they to the circumcision.</w:t>
      </w:r>
    </w:p>
    <w:p>
      <w:r>
        <w:rPr>
          <w:b/>
        </w:rPr>
        <w:t xml:space="preserve">10 </w:t>
      </w:r>
      <w:r>
        <w:t xml:space="preserve">Only that we should remember the poor, the very thing I also was eager to do.</w:t>
      </w:r>
    </w:p>
    <w:p>
      <w:r>
        <w:rPr>
          <w:b/>
        </w:rPr>
        <w:t xml:space="preserve">11 </w:t>
      </w:r>
      <w:r>
        <w:t xml:space="preserve">But when Peter had come to Antioch</w:t>
      </w:r>
      <w:r>
        <w:rPr>
          <w:rStyle w:val="FootnoteReference"/>
        </w:rPr>
        <w:footnoteReference w:id="18082"/>
      </w:r>
      <w:r>
        <w:t xml:space="preserve">, I withstood him to the face, because he was to be blamed.</w:t>
      </w:r>
    </w:p>
    <w:p>
      <w:r>
        <w:rPr>
          <w:b/>
        </w:rPr>
        <w:t xml:space="preserve">12 </w:t>
      </w:r>
      <w:r>
        <w:t xml:space="preserve">For before that certain</w:t>
      </w:r>
      <w:r>
        <w:rPr>
          <w:rStyle w:val="FootnoteReference"/>
        </w:rPr>
        <w:footnoteReference w:id="18083"/>
      </w:r>
      <w:r>
        <w:t xml:space="preserve"> came from James, he did eat with the nations: but when they had come, he withdrew and separated himself, fearing those who were of the circumcision.</w:t>
      </w:r>
    </w:p>
    <w:p>
      <w:r>
        <w:rPr>
          <w:b/>
        </w:rPr>
        <w:t xml:space="preserve">13 </w:t>
      </w:r>
      <w:r>
        <w:t xml:space="preserve">And the other</w:t>
      </w:r>
      <w:r>
        <w:rPr>
          <w:rStyle w:val="FootnoteReference"/>
        </w:rPr>
        <w:footnoteReference w:id="18084"/>
      </w:r>
      <w:r>
        <w:t xml:space="preserve"> Jews dissembled likewise with him; so that Barnabas also was carried away with their dissimulation.</w:t>
      </w:r>
    </w:p>
    <w:p>
      <w:r>
        <w:rPr>
          <w:b/>
        </w:rPr>
        <w:t xml:space="preserve">14 </w:t>
      </w:r>
      <w:r>
        <w:t xml:space="preserve">But when I saw that they walked</w:t>
      </w:r>
      <w:r>
        <w:rPr>
          <w:rStyle w:val="FootnoteReference"/>
        </w:rPr>
        <w:footnoteReference w:id="18085"/>
      </w:r>
      <w:r>
        <w:t xml:space="preserve"> not uprightly according to the truth of the good news, I said to Peter before them all, If you, being a Jew, live after the manner of nations, and not as do the Jews, why compell you the nations to live as do the Jews?</w:t>
      </w:r>
    </w:p>
    <w:p>
      <w:r>
        <w:rPr>
          <w:b/>
        </w:rPr>
        <w:t xml:space="preserve">15 </w:t>
      </w:r>
      <w:r>
        <w:t xml:space="preserve">We who are Jews</w:t>
      </w:r>
      <w:r>
        <w:rPr>
          <w:rStyle w:val="FootnoteReference"/>
        </w:rPr>
        <w:footnoteReference w:id="18086"/>
      </w:r>
      <w:r>
        <w:t xml:space="preserve"> by nature, and not sinners of the nations,</w:t>
      </w:r>
    </w:p>
    <w:p>
      <w:r>
        <w:rPr>
          <w:b/>
        </w:rPr>
        <w:t xml:space="preserve">16 </w:t>
      </w:r>
      <w:r>
        <w:t xml:space="preserve">Knowing that a man is not justified by the works of the law, but by the faith of Jesus Christ, even we have believed in Jesus Christ, that we might be justified by the faith of Christ, and not by the works of the law: for by the works of the law shall no flesh be justified.</w:t>
      </w:r>
    </w:p>
    <w:p>
      <w:r>
        <w:rPr>
          <w:b/>
        </w:rPr>
        <w:t xml:space="preserve">17 </w:t>
      </w:r>
      <w:r>
        <w:t xml:space="preserve">But if, while seeking to be justified in Christ, we ourselves also were found sinners, then is Christ a servant of sin</w:t>
      </w:r>
      <w:r>
        <w:rPr>
          <w:rStyle w:val="FootnoteReference"/>
        </w:rPr>
        <w:footnoteReference w:id="18087"/>
      </w:r>
      <w:r>
        <w:t xml:space="preserve">? May it not be.</w:t>
      </w:r>
    </w:p>
    <w:p>
      <w:r>
        <w:rPr>
          <w:b/>
        </w:rPr>
        <w:t xml:space="preserve">18 </w:t>
      </w:r>
      <w:r>
        <w:t xml:space="preserve">For if I build again the things that I destroyed, I establish myself as a transgressor.</w:t>
      </w:r>
    </w:p>
    <w:p>
      <w:r>
        <w:rPr>
          <w:b/>
        </w:rPr>
        <w:t xml:space="preserve">19 </w:t>
      </w:r>
      <w:r>
        <w:t xml:space="preserve">For I through the law am dead</w:t>
      </w:r>
      <w:r>
        <w:rPr>
          <w:rStyle w:val="FootnoteReference"/>
        </w:rPr>
        <w:footnoteReference w:id="18088"/>
      </w:r>
      <w:r>
        <w:t xml:space="preserve"> to the law, that I might live to God.</w:t>
      </w:r>
    </w:p>
    <w:p>
      <w:r>
        <w:rPr>
          <w:b/>
        </w:rPr>
        <w:t xml:space="preserve">20 </w:t>
      </w:r>
      <w:r>
        <w:t xml:space="preserve">I am crucified</w:t>
      </w:r>
      <w:r>
        <w:rPr>
          <w:rStyle w:val="FootnoteReference"/>
        </w:rPr>
        <w:footnoteReference w:id="18089"/>
      </w:r>
      <w:r>
        <w:t xml:space="preserve"> with Christ: nevertheless I live; yet not I, but Christ lives in me: and the life which I now live in the flesh I live by the faith of the Son of God, who loved me, and gave himself for me.</w:t>
      </w:r>
    </w:p>
    <w:p>
      <w:r>
        <w:rPr>
          <w:b/>
        </w:rPr>
        <w:t xml:space="preserve">21 </w:t>
      </w:r>
      <w:r>
        <w:t xml:space="preserve">I do not</w:t>
      </w:r>
      <w:r>
        <w:rPr>
          <w:rStyle w:val="FootnoteReference"/>
        </w:rPr>
        <w:footnoteReference w:id="18090"/>
      </w:r>
      <w:r>
        <w:t xml:space="preserve"> frustrate the grace of God: for if righteousness come by the law, then Christ is dead in vain.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O foolish</w:t>
      </w:r>
      <w:r>
        <w:rPr>
          <w:rStyle w:val="FootnoteReference"/>
        </w:rPr>
        <w:footnoteReference w:id="18091"/>
      </w:r>
      <w:r>
        <w:t xml:space="preserve"> Galatians</w:t>
      </w:r>
      <w:r>
        <w:rPr>
          <w:rStyle w:val="FootnoteReference"/>
        </w:rPr>
        <w:footnoteReference w:id="18092"/>
      </w:r>
      <w:r>
        <w:t xml:space="preserve">, who has bewitched you, that you should not obey the truth, before whose eyes Jesus Christ has been evidently set forth, crucified among you?</w:t>
      </w:r>
    </w:p>
    <w:p>
      <w:r>
        <w:rPr>
          <w:b/>
        </w:rPr>
        <w:t xml:space="preserve">2 </w:t>
      </w:r>
      <w:r>
        <w:t xml:space="preserve">This only would I learn of you, Received</w:t>
      </w:r>
      <w:r>
        <w:rPr>
          <w:rStyle w:val="FootnoteReference"/>
        </w:rPr>
        <w:footnoteReference w:id="18093"/>
      </w:r>
      <w:r>
        <w:t xml:space="preserve"> you the Spirit by the works of the law, or by the hearing of faith?</w:t>
      </w:r>
    </w:p>
    <w:p>
      <w:r>
        <w:rPr>
          <w:b/>
        </w:rPr>
        <w:t xml:space="preserve">3 </w:t>
      </w:r>
      <w:r>
        <w:t xml:space="preserve">Are you so foolish? having begun in the Spirit, are you now made perfect by the flesh?</w:t>
      </w:r>
    </w:p>
    <w:p>
      <w:r>
        <w:rPr>
          <w:b/>
        </w:rPr>
        <w:t xml:space="preserve">4 </w:t>
      </w:r>
      <w:r>
        <w:t xml:space="preserve">Have you suffered so many things in vain? if it be yet in vain.</w:t>
      </w:r>
    </w:p>
    <w:p>
      <w:r>
        <w:rPr>
          <w:b/>
        </w:rPr>
        <w:t xml:space="preserve">5 </w:t>
      </w:r>
      <w:r>
        <w:t xml:space="preserve">He therefore that supplies to you the Spirit, and works miracles among you, does he it by the works</w:t>
      </w:r>
      <w:r>
        <w:rPr>
          <w:rStyle w:val="FootnoteReference"/>
        </w:rPr>
        <w:footnoteReference w:id="18094"/>
      </w:r>
      <w:r>
        <w:t xml:space="preserve"> of the law, or by the hearing of faith?</w:t>
      </w:r>
    </w:p>
    <w:p>
      <w:r>
        <w:rPr>
          <w:b/>
        </w:rPr>
        <w:t xml:space="preserve">6 </w:t>
      </w:r>
      <w:r>
        <w:t xml:space="preserve">Just as Abraham believed God, and it was reckoned to him for righteousness.</w:t>
      </w:r>
    </w:p>
    <w:p>
      <w:r>
        <w:rPr>
          <w:b/>
        </w:rPr>
        <w:t xml:space="preserve">7 </w:t>
      </w:r>
      <w:r>
        <w:t xml:space="preserve">Know</w:t>
      </w:r>
      <w:r>
        <w:rPr>
          <w:rStyle w:val="FootnoteReference"/>
        </w:rPr>
        <w:footnoteReference w:id="18095"/>
      </w:r>
      <w:r>
        <w:t xml:space="preserve"> you therefore that those who are of faith, the same are the children of Abraham.</w:t>
      </w:r>
    </w:p>
    <w:p>
      <w:r>
        <w:rPr>
          <w:b/>
        </w:rPr>
        <w:t xml:space="preserve">8 </w:t>
      </w:r>
      <w:r>
        <w:t xml:space="preserve">And the scripture</w:t>
      </w:r>
      <w:r>
        <w:rPr>
          <w:rStyle w:val="FootnoteReference"/>
        </w:rPr>
        <w:footnoteReference w:id="18096"/>
      </w:r>
      <w:r>
        <w:t xml:space="preserve">, foreseeing that God would justify the nations through faith, preached before the good news to Abraham, saying, In you shall all nations be blessed.</w:t>
      </w:r>
    </w:p>
    <w:p>
      <w:r>
        <w:rPr>
          <w:b/>
        </w:rPr>
        <w:t xml:space="preserve">9 </w:t>
      </w:r>
      <w:r>
        <w:t xml:space="preserve">So then those who are of faith are blessed with faithful Abraham.</w:t>
      </w:r>
    </w:p>
    <w:p>
      <w:r>
        <w:rPr>
          <w:b/>
        </w:rPr>
        <w:t xml:space="preserve">10 </w:t>
      </w:r>
      <w:r>
        <w:t xml:space="preserve">For as many</w:t>
      </w:r>
      <w:r>
        <w:rPr>
          <w:rStyle w:val="FootnoteReference"/>
        </w:rPr>
        <w:footnoteReference w:id="18097"/>
      </w:r>
      <w:r>
        <w:t xml:space="preserve"> as are from works of law are under a curse: for it is written, Cursed is everyone who does not continue in all things written in the book of the law, to do them.</w:t>
      </w:r>
    </w:p>
    <w:p>
      <w:r>
        <w:rPr>
          <w:b/>
        </w:rPr>
        <w:t xml:space="preserve">11 </w:t>
      </w:r>
      <w:r>
        <w:t xml:space="preserve">But that no one is justified by the law in the sight of God, it is evident: for, The just</w:t>
      </w:r>
      <w:r>
        <w:rPr>
          <w:rStyle w:val="FootnoteReference"/>
        </w:rPr>
        <w:footnoteReference w:id="18098"/>
      </w:r>
      <w:r>
        <w:t xml:space="preserve"> shall live by faith.</w:t>
      </w:r>
    </w:p>
    <w:p>
      <w:r>
        <w:rPr>
          <w:b/>
        </w:rPr>
        <w:t xml:space="preserve">12 </w:t>
      </w:r>
      <w:r>
        <w:t xml:space="preserve">And the law</w:t>
      </w:r>
      <w:r>
        <w:rPr>
          <w:rStyle w:val="FootnoteReference"/>
        </w:rPr>
        <w:footnoteReference w:id="18099"/>
      </w:r>
      <w:r>
        <w:t xml:space="preserve"> is not from faith: but, The man who does them shall live in them.</w:t>
      </w:r>
    </w:p>
    <w:p>
      <w:r>
        <w:rPr>
          <w:b/>
        </w:rPr>
        <w:t xml:space="preserve">13 </w:t>
      </w:r>
      <w:r>
        <w:t xml:space="preserve">Christ redeemed</w:t>
      </w:r>
      <w:r>
        <w:rPr>
          <w:rStyle w:val="FootnoteReference"/>
        </w:rPr>
        <w:footnoteReference w:id="18100"/>
      </w:r>
      <w:r>
        <w:t xml:space="preserve"> us from the curse of the law, having become a curse for us: for it is written, Cursed is everyone who hangs on a tree:</w:t>
      </w:r>
    </w:p>
    <w:p>
      <w:r>
        <w:rPr>
          <w:b/>
        </w:rPr>
        <w:t xml:space="preserve">14 </w:t>
      </w:r>
      <w:r>
        <w:t xml:space="preserve">That the blessing</w:t>
      </w:r>
      <w:r>
        <w:rPr>
          <w:rStyle w:val="FootnoteReference"/>
        </w:rPr>
        <w:footnoteReference w:id="18101"/>
      </w:r>
      <w:r>
        <w:t xml:space="preserve"> of Abraham might come on the nations through Jesus Christ; that we might receive the promise of the Spirit through faith.</w:t>
      </w:r>
    </w:p>
    <w:p>
      <w:r>
        <w:rPr>
          <w:b/>
        </w:rPr>
        <w:t xml:space="preserve">15 </w:t>
      </w:r>
      <w:r>
        <w:t xml:space="preserve">Brothers, I speak</w:t>
      </w:r>
      <w:r>
        <w:rPr>
          <w:rStyle w:val="FootnoteReference"/>
        </w:rPr>
        <w:footnoteReference w:id="18102"/>
      </w:r>
      <w:r>
        <w:t xml:space="preserve"> after the manner of men; Though it be but a man's covenant, yet if it be confirmed, no one nullifies, or adds thereto.</w:t>
      </w:r>
    </w:p>
    <w:p>
      <w:r>
        <w:rPr>
          <w:b/>
        </w:rPr>
        <w:t xml:space="preserve">16 </w:t>
      </w:r>
      <w:r>
        <w:t xml:space="preserve">Now to Abraham and his seed were the promises made. He does not say, And to seeds, as of many; but as of one, And to your seed, which is Christ.</w:t>
      </w:r>
    </w:p>
    <w:p>
      <w:r>
        <w:rPr>
          <w:b/>
        </w:rPr>
        <w:t xml:space="preserve">17 </w:t>
      </w:r>
      <w:r>
        <w:t xml:space="preserve">And this I say, that the covenant</w:t>
      </w:r>
      <w:r>
        <w:rPr>
          <w:rStyle w:val="FootnoteReference"/>
        </w:rPr>
        <w:footnoteReference w:id="18103"/>
      </w:r>
      <w:r>
        <w:t xml:space="preserve">, that was confirmed before of God in Christ, the law, which was four hundred and thirty years after, cannot nullify, that it should make the promise of no effect.</w:t>
      </w:r>
    </w:p>
    <w:p>
      <w:r>
        <w:rPr>
          <w:b/>
        </w:rPr>
        <w:t xml:space="preserve">18 </w:t>
      </w:r>
      <w:r>
        <w:t xml:space="preserve">For if the inheritance is from law, it is no longer from promise: but God has graciously granted it to Abraham through promise.</w:t>
      </w:r>
    </w:p>
    <w:p>
      <w:r>
        <w:rPr>
          <w:b/>
        </w:rPr>
        <w:t xml:space="preserve">19 </w:t>
      </w:r>
      <w:r>
        <w:t xml:space="preserve">Therefore then serves the law? It was added</w:t>
      </w:r>
      <w:r>
        <w:rPr>
          <w:rStyle w:val="FootnoteReference"/>
        </w:rPr>
        <w:footnoteReference w:id="18104"/>
      </w:r>
      <w:r>
        <w:t xml:space="preserve"> because of transgressions, till the seed should come to whom the promise was made; and it was ordained by angels in the hand of a mediator.</w:t>
      </w:r>
    </w:p>
    <w:p>
      <w:r>
        <w:rPr>
          <w:b/>
        </w:rPr>
        <w:t xml:space="preserve">20 </w:t>
      </w:r>
      <w:r>
        <w:t xml:space="preserve">Now a mediator is</w:t>
      </w:r>
      <w:r>
        <w:rPr>
          <w:rStyle w:val="FootnoteReference"/>
        </w:rPr>
        <w:footnoteReference w:id="18105"/>
      </w:r>
      <w:r>
        <w:t xml:space="preserve"> not of one, but God is one.</w:t>
      </w:r>
    </w:p>
    <w:p>
      <w:r>
        <w:rPr>
          <w:b/>
        </w:rPr>
        <w:t xml:space="preserve">21 </w:t>
      </w:r>
      <w:r>
        <w:t xml:space="preserve">Is the law</w:t>
      </w:r>
      <w:r>
        <w:rPr>
          <w:rStyle w:val="FootnoteReference"/>
        </w:rPr>
        <w:footnoteReference w:id="18106"/>
      </w:r>
      <w:r>
        <w:t xml:space="preserve"> then against the promises of God? May it not be: for if there had been a law given which could have given life, truly righteousness should have been by the law.</w:t>
      </w:r>
    </w:p>
    <w:p>
      <w:r>
        <w:rPr>
          <w:b/>
        </w:rPr>
        <w:t xml:space="preserve">22 </w:t>
      </w:r>
      <w:r>
        <w:t xml:space="preserve">But the scripture has concluded</w:t>
      </w:r>
      <w:r>
        <w:rPr>
          <w:rStyle w:val="FootnoteReference"/>
        </w:rPr>
        <w:footnoteReference w:id="18107"/>
      </w:r>
      <w:r>
        <w:t xml:space="preserve"> all under sin, that the promise by faith of Jesus Christ might be given to those who believe.</w:t>
      </w:r>
    </w:p>
    <w:p>
      <w:r>
        <w:rPr>
          <w:b/>
        </w:rPr>
        <w:t xml:space="preserve">23 </w:t>
      </w:r>
      <w:r>
        <w:t xml:space="preserve">But before faith came</w:t>
      </w:r>
      <w:r>
        <w:rPr>
          <w:rStyle w:val="FootnoteReference"/>
        </w:rPr>
        <w:footnoteReference w:id="18108"/>
      </w:r>
      <w:r>
        <w:t xml:space="preserve">, we were kept under the law, shut up to the faith which should afterwards be revealed.</w:t>
      </w:r>
    </w:p>
    <w:p>
      <w:r>
        <w:rPr>
          <w:b/>
        </w:rPr>
        <w:t xml:space="preserve">24 </w:t>
      </w:r>
      <w:r>
        <w:t xml:space="preserve">Therefore the law</w:t>
      </w:r>
      <w:r>
        <w:rPr>
          <w:rStyle w:val="FootnoteReference"/>
        </w:rPr>
        <w:footnoteReference w:id="18109"/>
      </w:r>
      <w:r>
        <w:t xml:space="preserve"> was our schoolmaster to bring us to Christ, that we might be justified by faith.</w:t>
      </w:r>
    </w:p>
    <w:p>
      <w:r>
        <w:rPr>
          <w:b/>
        </w:rPr>
        <w:t xml:space="preserve">25 </w:t>
      </w:r>
      <w:r>
        <w:t xml:space="preserve">But after faith</w:t>
      </w:r>
      <w:r>
        <w:rPr>
          <w:rStyle w:val="FootnoteReference"/>
        </w:rPr>
        <w:footnoteReference w:id="18110"/>
      </w:r>
      <w:r>
        <w:t xml:space="preserve"> came, we are no longer under a schoolmaster.</w:t>
      </w:r>
    </w:p>
    <w:p>
      <w:r>
        <w:rPr>
          <w:b/>
        </w:rPr>
        <w:t xml:space="preserve">26 </w:t>
      </w:r>
      <w:r>
        <w:t xml:space="preserve">For you are all the sons of God by faith in Christ Jesus.</w:t>
      </w:r>
    </w:p>
    <w:p>
      <w:r>
        <w:rPr>
          <w:b/>
        </w:rPr>
        <w:t xml:space="preserve">27 </w:t>
      </w:r>
      <w:r>
        <w:t xml:space="preserve">For as many</w:t>
      </w:r>
      <w:r>
        <w:rPr>
          <w:rStyle w:val="FootnoteReference"/>
        </w:rPr>
        <w:footnoteReference w:id="18111"/>
      </w:r>
      <w:r>
        <w:t xml:space="preserve"> of you as have been baptized into Christ have put on Christ.</w:t>
      </w:r>
    </w:p>
    <w:p>
      <w:r>
        <w:rPr>
          <w:b/>
        </w:rPr>
        <w:t xml:space="preserve">28 </w:t>
      </w:r>
      <w:r>
        <w:t xml:space="preserve">There is neither Jew nor Greek, there is neither slave nor free, there is neither male</w:t>
      </w:r>
      <w:r>
        <w:rPr>
          <w:rStyle w:val="FootnoteReference"/>
        </w:rPr>
        <w:footnoteReference w:id="18112"/>
      </w:r>
      <w:r>
        <w:t xml:space="preserve"> nor female: for you are all one in Christ Jesus.</w:t>
      </w:r>
    </w:p>
    <w:p>
      <w:r>
        <w:rPr>
          <w:b/>
        </w:rPr>
        <w:t xml:space="preserve">29 </w:t>
      </w:r>
      <w:r>
        <w:t xml:space="preserve">And If you are Christ's</w:t>
      </w:r>
      <w:r>
        <w:rPr>
          <w:rStyle w:val="FootnoteReference"/>
        </w:rPr>
        <w:footnoteReference w:id="18113"/>
      </w:r>
      <w:r>
        <w:t xml:space="preserve">, then are you Abraham's seed, and heirs according to the promise.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Now I say, That the heir, as long as he is a child, differs nothing from a slave, though he be Lord of all;</w:t>
      </w:r>
    </w:p>
    <w:p>
      <w:r>
        <w:rPr>
          <w:b/>
        </w:rPr>
        <w:t xml:space="preserve">2 </w:t>
      </w:r>
      <w:r>
        <w:t xml:space="preserve">But he is under guardians and stewards until the time appointed by the father.</w:t>
      </w:r>
    </w:p>
    <w:p>
      <w:r>
        <w:rPr>
          <w:b/>
        </w:rPr>
        <w:t xml:space="preserve">3 </w:t>
      </w:r>
      <w:r>
        <w:t xml:space="preserve">So also we, when we were children, were enslaved under the elements</w:t>
      </w:r>
      <w:r>
        <w:rPr>
          <w:rStyle w:val="FootnoteReference"/>
        </w:rPr>
        <w:footnoteReference w:id="18114"/>
      </w:r>
      <w:r>
        <w:t xml:space="preserve"> of the world:</w:t>
      </w:r>
    </w:p>
    <w:p>
      <w:r>
        <w:rPr>
          <w:b/>
        </w:rPr>
        <w:t xml:space="preserve">4 </w:t>
      </w:r>
      <w:r>
        <w:t xml:space="preserve">But when the fullness of the time had come, God sent forth his Son, having come from a woman, having come under law,</w:t>
      </w:r>
    </w:p>
    <w:p>
      <w:r>
        <w:rPr>
          <w:b/>
        </w:rPr>
        <w:t xml:space="preserve">5 </w:t>
      </w:r>
      <w:r>
        <w:t xml:space="preserve">To redeem</w:t>
      </w:r>
      <w:r>
        <w:rPr>
          <w:rStyle w:val="FootnoteReference"/>
        </w:rPr>
        <w:footnoteReference w:id="18115"/>
      </w:r>
      <w:r>
        <w:t xml:space="preserve"> those who were under the law, that we might receive the adoption of sons.</w:t>
      </w:r>
    </w:p>
    <w:p>
      <w:r>
        <w:rPr>
          <w:b/>
        </w:rPr>
        <w:t xml:space="preserve">6 </w:t>
      </w:r>
      <w:r>
        <w:t xml:space="preserve">And because you are sons, God has sent forth the Spirit</w:t>
      </w:r>
      <w:r>
        <w:rPr>
          <w:rStyle w:val="FootnoteReference"/>
        </w:rPr>
        <w:footnoteReference w:id="18116"/>
      </w:r>
      <w:r>
        <w:t xml:space="preserve"> of his Son into your hearts, crying, Abba, Father.</w:t>
      </w:r>
    </w:p>
    <w:p>
      <w:r>
        <w:rPr>
          <w:b/>
        </w:rPr>
        <w:t xml:space="preserve">7 </w:t>
      </w:r>
      <w:r>
        <w:t xml:space="preserve">Therefore you are no more a slave, but a son; and if a son, then an heir</w:t>
      </w:r>
      <w:r>
        <w:rPr>
          <w:rStyle w:val="FootnoteReference"/>
        </w:rPr>
        <w:footnoteReference w:id="18117"/>
      </w:r>
      <w:r>
        <w:t xml:space="preserve"> of God through Christ.</w:t>
      </w:r>
    </w:p>
    <w:p>
      <w:r>
        <w:rPr>
          <w:b/>
        </w:rPr>
        <w:t xml:space="preserve">8 </w:t>
      </w:r>
      <w:r>
        <w:t xml:space="preserve">Nevertheless then, when you did not know God, you did service to those who by nature are no gods.</w:t>
      </w:r>
    </w:p>
    <w:p>
      <w:r>
        <w:rPr>
          <w:b/>
        </w:rPr>
        <w:t xml:space="preserve">9 </w:t>
      </w:r>
      <w:r>
        <w:t xml:space="preserve">But now, after that you have known God, or rather are known</w:t>
      </w:r>
      <w:r>
        <w:rPr>
          <w:rStyle w:val="FootnoteReference"/>
        </w:rPr>
        <w:footnoteReference w:id="18118"/>
      </w:r>
      <w:r>
        <w:t xml:space="preserve"> of God, how turn you again to the weak and beggarly elements, to which you desire again to be in bondage?</w:t>
      </w:r>
    </w:p>
    <w:p>
      <w:r>
        <w:rPr>
          <w:b/>
        </w:rPr>
        <w:t xml:space="preserve">10 </w:t>
      </w:r>
      <w:r>
        <w:t xml:space="preserve">You observe days, and months, and times, and years.</w:t>
      </w:r>
    </w:p>
    <w:p>
      <w:r>
        <w:rPr>
          <w:b/>
        </w:rPr>
        <w:t xml:space="preserve">11 </w:t>
      </w:r>
      <w:r>
        <w:t xml:space="preserve">I am afraid of you, lest I have bestowed upon you labor in vain.</w:t>
      </w:r>
    </w:p>
    <w:p>
      <w:r>
        <w:rPr>
          <w:b/>
        </w:rPr>
        <w:t xml:space="preserve">12 </w:t>
      </w:r>
      <w:r>
        <w:t xml:space="preserve">Brothers, I plead to you, be as I am; for I am as you are: you have not injured me at all.</w:t>
      </w:r>
    </w:p>
    <w:p>
      <w:r>
        <w:rPr>
          <w:b/>
        </w:rPr>
        <w:t xml:space="preserve">13 </w:t>
      </w:r>
      <w:r>
        <w:t xml:space="preserve">You know how through infirmity of the flesh I preached the good news to you at the first.</w:t>
      </w:r>
    </w:p>
    <w:p>
      <w:r>
        <w:rPr>
          <w:b/>
        </w:rPr>
        <w:t xml:space="preserve">14 </w:t>
      </w:r>
      <w:r>
        <w:t xml:space="preserve">And my temptation which was in my flesh you despised not, nor rejected; but received me as an angel</w:t>
      </w:r>
      <w:r>
        <w:rPr>
          <w:rStyle w:val="FootnoteReference"/>
        </w:rPr>
        <w:footnoteReference w:id="18119"/>
      </w:r>
      <w:r>
        <w:t xml:space="preserve"> of God, even as Christ Jesus.</w:t>
      </w:r>
    </w:p>
    <w:p>
      <w:r>
        <w:rPr>
          <w:b/>
        </w:rPr>
        <w:t xml:space="preserve">15 </w:t>
      </w:r>
      <w:r>
        <w:t xml:space="preserve">Where is then the blessedness</w:t>
      </w:r>
      <w:r>
        <w:rPr>
          <w:rStyle w:val="FootnoteReference"/>
        </w:rPr>
        <w:footnoteReference w:id="18120"/>
      </w:r>
      <w:r>
        <w:t xml:space="preserve"> you spoke of? for I bear you record, that, if it had been possible, you would have plucked out your own eyes, and have given them to me.</w:t>
      </w:r>
    </w:p>
    <w:p>
      <w:r>
        <w:rPr>
          <w:b/>
        </w:rPr>
        <w:t xml:space="preserve">16 </w:t>
      </w:r>
      <w:r>
        <w:t xml:space="preserve">So then, have I become</w:t>
      </w:r>
      <w:r>
        <w:rPr>
          <w:rStyle w:val="FootnoteReference"/>
        </w:rPr>
        <w:footnoteReference w:id="18121"/>
      </w:r>
      <w:r>
        <w:t xml:space="preserve"> your enemy by telling you the truth?</w:t>
      </w:r>
    </w:p>
    <w:p>
      <w:r>
        <w:rPr>
          <w:b/>
        </w:rPr>
        <w:t xml:space="preserve">17 </w:t>
      </w:r>
      <w:r>
        <w:t xml:space="preserve">They zealously</w:t>
      </w:r>
      <w:r>
        <w:rPr>
          <w:rStyle w:val="FootnoteReference"/>
        </w:rPr>
        <w:footnoteReference w:id="18122"/>
      </w:r>
      <w:r>
        <w:t xml:space="preserve"> affect you, but not well; yes, they would exclude you, that you might affect them.</w:t>
      </w:r>
    </w:p>
    <w:p>
      <w:r>
        <w:rPr>
          <w:b/>
        </w:rPr>
        <w:t xml:space="preserve">18 </w:t>
      </w:r>
      <w:r>
        <w:t xml:space="preserve">But it is good to be zealous always in a good thing, and not only when I am present with you.</w:t>
      </w:r>
    </w:p>
    <w:p>
      <w:r>
        <w:rPr>
          <w:b/>
        </w:rPr>
        <w:t xml:space="preserve">19 </w:t>
      </w:r>
      <w:r>
        <w:t xml:space="preserve">My little</w:t>
      </w:r>
      <w:r>
        <w:rPr>
          <w:rStyle w:val="FootnoteReference"/>
        </w:rPr>
        <w:footnoteReference w:id="18123"/>
      </w:r>
      <w:r>
        <w:t xml:space="preserve"> children, for whom I travail in birth again until Christ is formed in you,</w:t>
      </w:r>
    </w:p>
    <w:p>
      <w:r>
        <w:rPr>
          <w:b/>
        </w:rPr>
        <w:t xml:space="preserve">20 </w:t>
      </w:r>
      <w:r>
        <w:t xml:space="preserve">I desired to be</w:t>
      </w:r>
      <w:r>
        <w:rPr>
          <w:rStyle w:val="FootnoteReference"/>
        </w:rPr>
        <w:footnoteReference w:id="18124"/>
      </w:r>
      <w:r>
        <w:t xml:space="preserve"> present with you now, and to change my voice; for I am perplexed about you.</w:t>
      </w:r>
    </w:p>
    <w:p>
      <w:r>
        <w:rPr>
          <w:b/>
        </w:rPr>
        <w:t xml:space="preserve">21 </w:t>
      </w:r>
      <w:r>
        <w:t xml:space="preserve">Tell me, you that desire to be under the law</w:t>
      </w:r>
      <w:r>
        <w:rPr>
          <w:rStyle w:val="FootnoteReference"/>
        </w:rPr>
        <w:footnoteReference w:id="18125"/>
      </w:r>
      <w:r>
        <w:t xml:space="preserve">, do you not hear the law?</w:t>
      </w:r>
    </w:p>
    <w:p>
      <w:r>
        <w:rPr>
          <w:b/>
        </w:rPr>
        <w:t xml:space="preserve">22 </w:t>
      </w:r>
      <w:r>
        <w:t xml:space="preserve">For it is written, that Abraham had two sons, one from the bondwoman and one from the freewoman.</w:t>
      </w:r>
    </w:p>
    <w:p>
      <w:r>
        <w:rPr>
          <w:b/>
        </w:rPr>
        <w:t xml:space="preserve">23 </w:t>
      </w:r>
      <w:r>
        <w:t xml:space="preserve">But the one from the bondwoman was born</w:t>
      </w:r>
      <w:r>
        <w:rPr>
          <w:rStyle w:val="FootnoteReference"/>
        </w:rPr>
        <w:footnoteReference w:id="18126"/>
      </w:r>
      <w:r>
        <w:t xml:space="preserve"> according to flesh; but the one from the freewoman through promise.</w:t>
      </w:r>
    </w:p>
    <w:p>
      <w:r>
        <w:rPr>
          <w:b/>
        </w:rPr>
        <w:t xml:space="preserve">24 </w:t>
      </w:r>
      <w:r>
        <w:t xml:space="preserve">Which things are an allegory</w:t>
      </w:r>
      <w:r>
        <w:rPr>
          <w:rStyle w:val="FootnoteReference"/>
        </w:rPr>
        <w:footnoteReference w:id="18127"/>
      </w:r>
      <w:r>
        <w:t xml:space="preserve">: for these are the two covenants; the one from the mount Sinai, which genders to bondage, which is Hagar</w:t>
      </w:r>
      <w:r>
        <w:rPr>
          <w:rStyle w:val="FootnoteReference"/>
        </w:rPr>
        <w:footnoteReference w:id="18128"/>
      </w:r>
      <w:r>
        <w:t xml:space="preserve">.</w:t>
      </w:r>
    </w:p>
    <w:p>
      <w:r>
        <w:rPr>
          <w:b/>
        </w:rPr>
        <w:t xml:space="preserve">25 </w:t>
      </w:r>
      <w:r>
        <w:t xml:space="preserve">For this Hagar is mount Sinai</w:t>
      </w:r>
      <w:r>
        <w:rPr>
          <w:rStyle w:val="FootnoteReference"/>
        </w:rPr>
        <w:footnoteReference w:id="18129"/>
      </w:r>
      <w:r>
        <w:t xml:space="preserve"> in Arabia, and answers to Jerusalem which now is, and is in bondage with her children.</w:t>
      </w:r>
    </w:p>
    <w:p>
      <w:r>
        <w:rPr>
          <w:b/>
        </w:rPr>
        <w:t xml:space="preserve">26 </w:t>
      </w:r>
      <w:r>
        <w:t xml:space="preserve">But the Jerusalem</w:t>
      </w:r>
      <w:r>
        <w:rPr>
          <w:rStyle w:val="FootnoteReference"/>
        </w:rPr>
        <w:footnoteReference w:id="18130"/>
      </w:r>
      <w:r>
        <w:t xml:space="preserve"> above is free, which is mother of us all.</w:t>
      </w:r>
    </w:p>
    <w:p>
      <w:r>
        <w:rPr>
          <w:b/>
        </w:rPr>
        <w:t xml:space="preserve">27 </w:t>
      </w:r>
      <w:r>
        <w:t xml:space="preserve">For it is written, Rejoice</w:t>
      </w:r>
      <w:r>
        <w:rPr>
          <w:rStyle w:val="FootnoteReference"/>
        </w:rPr>
        <w:footnoteReference w:id="18131"/>
      </w:r>
      <w:r>
        <w:t xml:space="preserve">, you barren that bear not; break forth and cry, you that travail not: for the desolate has many more children than she who has a husband.</w:t>
      </w:r>
    </w:p>
    <w:p>
      <w:r>
        <w:rPr>
          <w:b/>
        </w:rPr>
        <w:t xml:space="preserve">28 </w:t>
      </w:r>
      <w:r>
        <w:t xml:space="preserve">Now we, brothers, as Isaac was, are the children of promise.</w:t>
      </w:r>
    </w:p>
    <w:p>
      <w:r>
        <w:rPr>
          <w:b/>
        </w:rPr>
        <w:t xml:space="preserve">29 </w:t>
      </w:r>
      <w:r>
        <w:t xml:space="preserve">But as then the one who was born after the flesh persecuted him who was born after the Spirit</w:t>
      </w:r>
      <w:r>
        <w:rPr>
          <w:rStyle w:val="FootnoteReference"/>
        </w:rPr>
        <w:footnoteReference w:id="18132"/>
      </w:r>
      <w:r>
        <w:t xml:space="preserve">, even so it is now.</w:t>
      </w:r>
    </w:p>
    <w:p>
      <w:r>
        <w:rPr>
          <w:b/>
        </w:rPr>
        <w:t xml:space="preserve">30 </w:t>
      </w:r>
      <w:r>
        <w:t xml:space="preserve">But what does the scripture say? Cast</w:t>
      </w:r>
      <w:r>
        <w:rPr>
          <w:rStyle w:val="FootnoteReference"/>
        </w:rPr>
        <w:footnoteReference w:id="18133"/>
      </w:r>
      <w:r>
        <w:t xml:space="preserve"> out the bondwoman and her son: for the son of the bondwoman shall not inherit with the son of the freewoman.</w:t>
      </w:r>
    </w:p>
    <w:p>
      <w:r>
        <w:rPr>
          <w:b/>
        </w:rPr>
        <w:t xml:space="preserve">31 </w:t>
      </w:r>
      <w:r>
        <w:t xml:space="preserve">So then, brothers, we are not children of the bondwoman, but of the free.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Stand</w:t>
      </w:r>
      <w:r>
        <w:rPr>
          <w:rStyle w:val="FootnoteReference"/>
        </w:rPr>
        <w:footnoteReference w:id="18134"/>
      </w:r>
      <w:r>
        <w:t xml:space="preserve"> fast therefore in the liberty with which Christ has made us free, and do not be entangled again with the yoke of bondage.</w:t>
      </w:r>
    </w:p>
    <w:p>
      <w:r>
        <w:rPr>
          <w:b/>
        </w:rPr>
        <w:t xml:space="preserve">2 </w:t>
      </w:r>
      <w:r>
        <w:t xml:space="preserve">Look, I Paul</w:t>
      </w:r>
      <w:r>
        <w:rPr>
          <w:rStyle w:val="FootnoteReference"/>
        </w:rPr>
        <w:footnoteReference w:id="18135"/>
      </w:r>
      <w:r>
        <w:t xml:space="preserve"> say to you, that if you are circumcised, Christ shall profit you nothing.</w:t>
      </w:r>
    </w:p>
    <w:p>
      <w:r>
        <w:rPr>
          <w:b/>
        </w:rPr>
        <w:t xml:space="preserve">3 </w:t>
      </w:r>
      <w:r>
        <w:t xml:space="preserve">And I testify</w:t>
      </w:r>
      <w:r>
        <w:rPr>
          <w:rStyle w:val="FootnoteReference"/>
        </w:rPr>
        <w:footnoteReference w:id="18136"/>
      </w:r>
      <w:r>
        <w:t xml:space="preserve"> again to every man who is circumcised, that he is a debtor to do the whole law.</w:t>
      </w:r>
    </w:p>
    <w:p>
      <w:r>
        <w:rPr>
          <w:b/>
        </w:rPr>
        <w:t xml:space="preserve">4 </w:t>
      </w:r>
      <w:r>
        <w:t xml:space="preserve">Christ is become of no effect to you, whoever of you are justified</w:t>
      </w:r>
      <w:r>
        <w:rPr>
          <w:rStyle w:val="FootnoteReference"/>
        </w:rPr>
        <w:footnoteReference w:id="18137"/>
      </w:r>
      <w:r>
        <w:t xml:space="preserve"> by the law; you are fallen from grace.</w:t>
      </w:r>
    </w:p>
    <w:p>
      <w:r>
        <w:rPr>
          <w:b/>
        </w:rPr>
        <w:t xml:space="preserve">5 </w:t>
      </w:r>
      <w:r>
        <w:t xml:space="preserve">For we through the Spirit wait</w:t>
      </w:r>
      <w:r>
        <w:rPr>
          <w:rStyle w:val="FootnoteReference"/>
        </w:rPr>
        <w:footnoteReference w:id="18138"/>
      </w:r>
      <w:r>
        <w:t xml:space="preserve"> for the hope of righteousness by faith.</w:t>
      </w:r>
    </w:p>
    <w:p>
      <w:r>
        <w:rPr>
          <w:b/>
        </w:rPr>
        <w:t xml:space="preserve">6 </w:t>
      </w:r>
      <w:r>
        <w:t xml:space="preserve">For in Jesus Christ neither circumcision avails anything, nor uncircumcision; but faith</w:t>
      </w:r>
      <w:r>
        <w:rPr>
          <w:rStyle w:val="FootnoteReference"/>
        </w:rPr>
        <w:footnoteReference w:id="18139"/>
      </w:r>
      <w:r>
        <w:t xml:space="preserve"> which works by love.</w:t>
      </w:r>
    </w:p>
    <w:p>
      <w:r>
        <w:rPr>
          <w:b/>
        </w:rPr>
        <w:t xml:space="preserve">7 </w:t>
      </w:r>
      <w:r>
        <w:t xml:space="preserve">You did run well; who did hinder you</w:t>
      </w:r>
      <w:r>
        <w:rPr>
          <w:rStyle w:val="FootnoteReference"/>
        </w:rPr>
        <w:footnoteReference w:id="18140"/>
      </w:r>
      <w:r>
        <w:t xml:space="preserve"> that you should not obey the truth?</w:t>
      </w:r>
    </w:p>
    <w:p>
      <w:r>
        <w:rPr>
          <w:b/>
        </w:rPr>
        <w:t xml:space="preserve">8 </w:t>
      </w:r>
      <w:r>
        <w:t xml:space="preserve">This persuasion does not come of him who calls you.</w:t>
      </w:r>
    </w:p>
    <w:p>
      <w:r>
        <w:rPr>
          <w:b/>
        </w:rPr>
        <w:t xml:space="preserve">9 </w:t>
      </w:r>
      <w:r>
        <w:t xml:space="preserve">A little leaven leavens the whole lump.</w:t>
      </w:r>
    </w:p>
    <w:p>
      <w:r>
        <w:rPr>
          <w:b/>
        </w:rPr>
        <w:t xml:space="preserve">10 </w:t>
      </w:r>
      <w:r>
        <w:t xml:space="preserve">I have confidence</w:t>
      </w:r>
      <w:r>
        <w:rPr>
          <w:rStyle w:val="FootnoteReference"/>
        </w:rPr>
        <w:footnoteReference w:id="18141"/>
      </w:r>
      <w:r>
        <w:t xml:space="preserve"> in you through the Lord, that you will be none otherwise minded: but the one who troubles you shall bear his judgment, whoever he be.</w:t>
      </w:r>
    </w:p>
    <w:p>
      <w:r>
        <w:rPr>
          <w:b/>
        </w:rPr>
        <w:t xml:space="preserve">11 </w:t>
      </w:r>
      <w:r>
        <w:t xml:space="preserve">And I, brothers, if I yet preach circumcision, why do I yet suffer persecution? then is the stumbling block of the cross ceased.</w:t>
      </w:r>
    </w:p>
    <w:p>
      <w:r>
        <w:rPr>
          <w:b/>
        </w:rPr>
        <w:t xml:space="preserve">12 </w:t>
      </w:r>
      <w:r>
        <w:t xml:space="preserve">I wish those who unsettle you would even cut themselves off.</w:t>
      </w:r>
    </w:p>
    <w:p>
      <w:r>
        <w:rPr>
          <w:b/>
        </w:rPr>
        <w:t xml:space="preserve">13 </w:t>
      </w:r>
      <w:r>
        <w:t xml:space="preserve">For, brothers, you have been called to liberty; only</w:t>
      </w:r>
      <w:r>
        <w:rPr>
          <w:rStyle w:val="FootnoteReference"/>
        </w:rPr>
        <w:footnoteReference w:id="18142"/>
      </w:r>
      <w:r>
        <w:t xml:space="preserve"> use not liberty for an occasion to the flesh, but by love serve one another.</w:t>
      </w:r>
    </w:p>
    <w:p>
      <w:r>
        <w:rPr>
          <w:b/>
        </w:rPr>
        <w:t xml:space="preserve">14 </w:t>
      </w:r>
      <w:r>
        <w:t xml:space="preserve">For all the law is fulfilled in one word, even in this; You shall love your neighbor as yourself.</w:t>
      </w:r>
    </w:p>
    <w:p>
      <w:r>
        <w:rPr>
          <w:b/>
        </w:rPr>
        <w:t xml:space="preserve">15 </w:t>
      </w:r>
      <w:r>
        <w:t xml:space="preserve">But if you bite and devour one another, take heed that you not be consumed one of another.</w:t>
      </w:r>
    </w:p>
    <w:p>
      <w:r>
        <w:rPr>
          <w:b/>
        </w:rPr>
        <w:t xml:space="preserve">16 </w:t>
      </w:r>
      <w:r>
        <w:t xml:space="preserve">This I say then, Walk</w:t>
      </w:r>
      <w:r>
        <w:rPr>
          <w:rStyle w:val="FootnoteReference"/>
        </w:rPr>
        <w:footnoteReference w:id="18143"/>
      </w:r>
      <w:r>
        <w:t xml:space="preserve"> in the Spirit, and you shall not fulfill the lust of the flesh.</w:t>
      </w:r>
    </w:p>
    <w:p>
      <w:r>
        <w:rPr>
          <w:b/>
        </w:rPr>
        <w:t xml:space="preserve">17 </w:t>
      </w:r>
      <w:r>
        <w:t xml:space="preserve">For the flesh</w:t>
      </w:r>
      <w:r>
        <w:rPr>
          <w:rStyle w:val="FootnoteReference"/>
        </w:rPr>
        <w:footnoteReference w:id="18144"/>
      </w:r>
      <w:r>
        <w:t xml:space="preserve"> lusts against the Spirit, and the Spirit against the flesh: and these are contrary the one to the other: so that you cannot do the things that you would.</w:t>
      </w:r>
    </w:p>
    <w:p>
      <w:r>
        <w:rPr>
          <w:b/>
        </w:rPr>
        <w:t xml:space="preserve">18 </w:t>
      </w:r>
      <w:r>
        <w:t xml:space="preserve">But if you are led by the Spirit, you are not under the law.</w:t>
      </w:r>
    </w:p>
    <w:p>
      <w:r>
        <w:rPr>
          <w:b/>
        </w:rPr>
        <w:t xml:space="preserve">19 </w:t>
      </w:r>
      <w:r>
        <w:t xml:space="preserve">Now the works</w:t>
      </w:r>
      <w:r>
        <w:rPr>
          <w:rStyle w:val="FootnoteReference"/>
        </w:rPr>
        <w:footnoteReference w:id="18145"/>
      </w:r>
      <w:r>
        <w:t xml:space="preserve"> of the flesh are manifest, which are these; Adultery, sexual immorality, uncleanness, lasciviousness,</w:t>
      </w:r>
    </w:p>
    <w:p>
      <w:r>
        <w:rPr>
          <w:b/>
        </w:rPr>
        <w:t xml:space="preserve">20 </w:t>
      </w:r>
      <w:r>
        <w:t xml:space="preserve">Idolatry, witchcraft</w:t>
      </w:r>
      <w:r>
        <w:rPr>
          <w:rStyle w:val="FootnoteReference"/>
        </w:rPr>
        <w:footnoteReference w:id="18146"/>
      </w:r>
      <w:r>
        <w:t xml:space="preserve">, hatred, variance, worldly jealousies, wrath, strife, divisions, factions,</w:t>
      </w:r>
    </w:p>
    <w:p>
      <w:r>
        <w:rPr>
          <w:b/>
        </w:rPr>
        <w:t xml:space="preserve">21 </w:t>
      </w:r>
      <w:r>
        <w:t xml:space="preserve">Envyings, murders, drunkenness</w:t>
      </w:r>
      <w:r>
        <w:rPr>
          <w:rStyle w:val="FootnoteReference"/>
        </w:rPr>
        <w:footnoteReference w:id="18147"/>
      </w:r>
      <w:r>
        <w:t xml:space="preserve">, revellings, and such like: of the which I tell you before, as I have also told you in time past, that those who do such things shall not inherit the kingdom of God.</w:t>
      </w:r>
    </w:p>
    <w:p>
      <w:r>
        <w:rPr>
          <w:b/>
        </w:rPr>
        <w:t xml:space="preserve">22 </w:t>
      </w:r>
      <w:r>
        <w:t xml:space="preserve">But the fruit</w:t>
      </w:r>
      <w:r>
        <w:rPr>
          <w:rStyle w:val="FootnoteReference"/>
        </w:rPr>
        <w:footnoteReference w:id="18148"/>
      </w:r>
      <w:r>
        <w:t xml:space="preserve"> of the Spirit is love, joy, peace, longsuffering, gentleness, goodness, faith,</w:t>
      </w:r>
    </w:p>
    <w:p>
      <w:r>
        <w:rPr>
          <w:b/>
        </w:rPr>
        <w:t xml:space="preserve">23 </w:t>
      </w:r>
      <w:r>
        <w:t xml:space="preserve">Meekness, self-control: against</w:t>
      </w:r>
      <w:r>
        <w:rPr>
          <w:rStyle w:val="FootnoteReference"/>
        </w:rPr>
        <w:footnoteReference w:id="18149"/>
      </w:r>
      <w:r>
        <w:t xml:space="preserve"> such there is no law.</w:t>
      </w:r>
    </w:p>
    <w:p>
      <w:r>
        <w:rPr>
          <w:b/>
        </w:rPr>
        <w:t xml:space="preserve">24 </w:t>
      </w:r>
      <w:r>
        <w:t xml:space="preserve">And those who are Christ's have crucified</w:t>
      </w:r>
      <w:r>
        <w:rPr>
          <w:rStyle w:val="FootnoteReference"/>
        </w:rPr>
        <w:footnoteReference w:id="18150"/>
      </w:r>
      <w:r>
        <w:t xml:space="preserve"> the flesh with the affections and lusts.</w:t>
      </w:r>
    </w:p>
    <w:p>
      <w:r>
        <w:rPr>
          <w:b/>
        </w:rPr>
        <w:t xml:space="preserve">25 </w:t>
      </w:r>
      <w:r>
        <w:t xml:space="preserve">If we live in the Spirit, let us also walk in the Spirit.</w:t>
      </w:r>
    </w:p>
    <w:p>
      <w:r>
        <w:rPr>
          <w:b/>
        </w:rPr>
        <w:t xml:space="preserve">26 </w:t>
      </w:r>
      <w:r>
        <w:t xml:space="preserve">Let us not become vain-glorious, provoking</w:t>
      </w:r>
      <w:r>
        <w:rPr>
          <w:rStyle w:val="FootnoteReference"/>
        </w:rPr>
        <w:footnoteReference w:id="18151"/>
      </w:r>
      <w:r>
        <w:t xml:space="preserve"> one another, envying one another.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Brothers, if a man be overtaken</w:t>
      </w:r>
      <w:r>
        <w:rPr>
          <w:rStyle w:val="FootnoteReference"/>
        </w:rPr>
        <w:footnoteReference w:id="18152"/>
      </w:r>
      <w:r>
        <w:t xml:space="preserve"> in a fault, you which are spiritual, restore such a one in the spirit of meekness; considering yourself, lest you also be tempted.</w:t>
      </w:r>
    </w:p>
    <w:p>
      <w:r>
        <w:rPr>
          <w:b/>
        </w:rPr>
        <w:t xml:space="preserve">2 </w:t>
      </w:r>
      <w:r>
        <w:t xml:space="preserve">Bear</w:t>
      </w:r>
      <w:r>
        <w:rPr>
          <w:rStyle w:val="FootnoteReference"/>
        </w:rPr>
        <w:footnoteReference w:id="18153"/>
      </w:r>
      <w:r>
        <w:t xml:space="preserve"> you one another's burdens, and so fulfill the law of Christ.</w:t>
      </w:r>
    </w:p>
    <w:p>
      <w:r>
        <w:rPr>
          <w:b/>
        </w:rPr>
        <w:t xml:space="preserve">3 </w:t>
      </w:r>
      <w:r>
        <w:t xml:space="preserve">For if anyone thinks himself to be something, being nothing, he deceives himself.</w:t>
      </w:r>
    </w:p>
    <w:p>
      <w:r>
        <w:rPr>
          <w:b/>
        </w:rPr>
        <w:t xml:space="preserve">4 </w:t>
      </w:r>
      <w:r>
        <w:t xml:space="preserve">But let each one prove</w:t>
      </w:r>
      <w:r>
        <w:rPr>
          <w:rStyle w:val="FootnoteReference"/>
        </w:rPr>
        <w:footnoteReference w:id="18154"/>
      </w:r>
      <w:r>
        <w:t xml:space="preserve"> his own work, and then he shall have boasting in himself alone, and not in another.</w:t>
      </w:r>
    </w:p>
    <w:p>
      <w:r>
        <w:rPr>
          <w:b/>
        </w:rPr>
        <w:t xml:space="preserve">5 </w:t>
      </w:r>
      <w:r>
        <w:t xml:space="preserve">For each one shall bear his own load.</w:t>
      </w:r>
    </w:p>
    <w:p>
      <w:r>
        <w:rPr>
          <w:b/>
        </w:rPr>
        <w:t xml:space="preserve">6 </w:t>
      </w:r>
      <w:r>
        <w:t xml:space="preserve">Let him who is taught in the word communicate to him who teaches in all good things.</w:t>
      </w:r>
    </w:p>
    <w:p>
      <w:r>
        <w:rPr>
          <w:b/>
        </w:rPr>
        <w:t xml:space="preserve">7 </w:t>
      </w:r>
      <w:r>
        <w:t xml:space="preserve">Do not be deceived; God is not mocked: for whatever a man sows, that shall he also reap.</w:t>
      </w:r>
    </w:p>
    <w:p>
      <w:r>
        <w:rPr>
          <w:b/>
        </w:rPr>
        <w:t xml:space="preserve">8 </w:t>
      </w:r>
      <w:r>
        <w:t xml:space="preserve">For the one who sows to his flesh shall of the flesh reap</w:t>
      </w:r>
      <w:r>
        <w:rPr>
          <w:rStyle w:val="FootnoteReference"/>
        </w:rPr>
        <w:footnoteReference w:id="18155"/>
      </w:r>
      <w:r>
        <w:t xml:space="preserve"> corruption; but the one who sows to the Spirit shall of the Spirit reap life eternal.</w:t>
      </w:r>
    </w:p>
    <w:p>
      <w:r>
        <w:rPr>
          <w:b/>
        </w:rPr>
        <w:t xml:space="preserve">9 </w:t>
      </w:r>
      <w:r>
        <w:t xml:space="preserve">And let us not be weary in well</w:t>
      </w:r>
      <w:r>
        <w:rPr>
          <w:rStyle w:val="FootnoteReference"/>
        </w:rPr>
        <w:footnoteReference w:id="18156"/>
      </w:r>
      <w:r>
        <w:t xml:space="preserve"> doing: for in due season we shall reap, if we do not faint.</w:t>
      </w:r>
    </w:p>
    <w:p>
      <w:r>
        <w:rPr>
          <w:b/>
        </w:rPr>
        <w:t xml:space="preserve">10 </w:t>
      </w:r>
      <w:r>
        <w:t xml:space="preserve">As we have therefore opportunity</w:t>
      </w:r>
      <w:r>
        <w:rPr>
          <w:rStyle w:val="FootnoteReference"/>
        </w:rPr>
        <w:footnoteReference w:id="18157"/>
      </w:r>
      <w:r>
        <w:t xml:space="preserve">, let us do good to all men, especially to them who are of the household of faith.</w:t>
      </w:r>
    </w:p>
    <w:p>
      <w:r>
        <w:rPr>
          <w:b/>
        </w:rPr>
        <w:t xml:space="preserve">11 </w:t>
      </w:r>
      <w:r>
        <w:t xml:space="preserve">You see how large a letter I have written</w:t>
      </w:r>
      <w:r>
        <w:rPr>
          <w:rStyle w:val="FootnoteReference"/>
        </w:rPr>
        <w:footnoteReference w:id="18158"/>
      </w:r>
      <w:r>
        <w:t xml:space="preserve"> to you with my own hand.</w:t>
      </w:r>
    </w:p>
    <w:p>
      <w:r>
        <w:rPr>
          <w:b/>
        </w:rPr>
        <w:t xml:space="preserve">12 </w:t>
      </w:r>
      <w:r>
        <w:t xml:space="preserve">As many as desire</w:t>
      </w:r>
      <w:r>
        <w:rPr>
          <w:rStyle w:val="FootnoteReference"/>
        </w:rPr>
        <w:footnoteReference w:id="18159"/>
      </w:r>
      <w:r>
        <w:t xml:space="preserve"> to make a good appearance in the flesh, they compel you to be circumcised; only lest they should suffer persecution for the cross of Christ.</w:t>
      </w:r>
    </w:p>
    <w:p>
      <w:r>
        <w:rPr>
          <w:b/>
        </w:rPr>
        <w:t xml:space="preserve">13 </w:t>
      </w:r>
      <w:r>
        <w:t xml:space="preserve">For neither they themselves who are circumcised keep</w:t>
      </w:r>
      <w:r>
        <w:rPr>
          <w:rStyle w:val="FootnoteReference"/>
        </w:rPr>
        <w:footnoteReference w:id="18160"/>
      </w:r>
      <w:r>
        <w:t xml:space="preserve"> the law; but desire to have you circumcised, that they may boast in your flesh.</w:t>
      </w:r>
    </w:p>
    <w:p>
      <w:r>
        <w:rPr>
          <w:b/>
        </w:rPr>
        <w:t xml:space="preserve">14 </w:t>
      </w:r>
      <w:r>
        <w:t xml:space="preserve">But may it not be that I should glory, except in the cross of our Lord Jesus Christ, by whom the world</w:t>
      </w:r>
      <w:r>
        <w:rPr>
          <w:rStyle w:val="FootnoteReference"/>
        </w:rPr>
        <w:footnoteReference w:id="18161"/>
      </w:r>
      <w:r>
        <w:t xml:space="preserve"> is crucified to me, and I to the world.</w:t>
      </w:r>
    </w:p>
    <w:p>
      <w:r>
        <w:rPr>
          <w:b/>
        </w:rPr>
        <w:t xml:space="preserve">15 </w:t>
      </w:r>
      <w:r>
        <w:t xml:space="preserve">For in Christ Jesus neither circumcision avails anything, nor uncircumcision, but a new creature.</w:t>
      </w:r>
    </w:p>
    <w:p>
      <w:r>
        <w:rPr>
          <w:b/>
        </w:rPr>
        <w:t xml:space="preserve">16 </w:t>
      </w:r>
      <w:r>
        <w:t xml:space="preserve">And as many as walk</w:t>
      </w:r>
      <w:r>
        <w:rPr>
          <w:rStyle w:val="FootnoteReference"/>
        </w:rPr>
        <w:footnoteReference w:id="18162"/>
      </w:r>
      <w:r>
        <w:t xml:space="preserve"> according to this rule, peace be on them, and mercy, and upon the Israel of God.</w:t>
      </w:r>
    </w:p>
    <w:p>
      <w:r>
        <w:rPr>
          <w:b/>
        </w:rPr>
        <w:t xml:space="preserve">17 </w:t>
      </w:r>
      <w:r>
        <w:t xml:space="preserve">from now on let no one trouble me: for I bear</w:t>
      </w:r>
      <w:r>
        <w:rPr>
          <w:rStyle w:val="FootnoteReference"/>
        </w:rPr>
        <w:footnoteReference w:id="18163"/>
      </w:r>
      <w:r>
        <w:t xml:space="preserve"> in my body the marks of the Lord Jesus.</w:t>
      </w:r>
    </w:p>
    <w:p>
      <w:r>
        <w:rPr>
          <w:b/>
        </w:rPr>
        <w:t xml:space="preserve">18 </w:t>
      </w:r>
      <w:r>
        <w:t xml:space="preserve">Brothers, the grace</w:t>
      </w:r>
      <w:r>
        <w:rPr>
          <w:rStyle w:val="FootnoteReference"/>
        </w:rPr>
        <w:footnoteReference w:id="18164"/>
      </w:r>
      <w:r>
        <w:t xml:space="preserve"> of our Lord Jesus Christ be with your spirit. Amen.</w:t>
      </w:r>
    </w:p>
    <w:p>
      <w:r>
        <w:br w:type="page"/>
      </w:r>
    </w:p>
    <w:p>
      <w:pPr>
        <w:pStyle w:val="Heading1"/>
      </w:pPr>
      <w:r>
        <w:t xml:space="preserve">Ephesians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an apostle of Jesus Christ by the will of God, to the holy ones who are at Ephesus, and to the faithful in Christ Jesus:</w:t>
      </w:r>
    </w:p>
    <w:p>
      <w:r>
        <w:rPr>
          <w:b/>
        </w:rPr>
        <w:t xml:space="preserve">2 </w:t>
      </w:r>
      <w:r>
        <w:t xml:space="preserve">Grace be to you, and peace, from God our Father, and from the Lord Jesus Christ.</w:t>
      </w:r>
    </w:p>
    <w:p>
      <w:r>
        <w:rPr>
          <w:b/>
        </w:rPr>
        <w:t xml:space="preserve">3 </w:t>
      </w:r>
      <w:r>
        <w:t xml:space="preserve">Blessed</w:t>
      </w:r>
      <w:r>
        <w:rPr>
          <w:rStyle w:val="FootnoteReference"/>
        </w:rPr>
        <w:footnoteReference w:id="18165"/>
      </w:r>
      <w:r>
        <w:t xml:space="preserve"> be the God and Father of our Lord Jesus Christ, who has blessed us with all spiritual blessings in heavenly places in Christ:</w:t>
      </w:r>
    </w:p>
    <w:p>
      <w:r>
        <w:rPr>
          <w:b/>
        </w:rPr>
        <w:t xml:space="preserve">4 </w:t>
      </w:r>
      <w:r>
        <w:t xml:space="preserve">According as he has chosen us in him before the foundation of the world, that we should be holy and without blame before him in love</w:t>
      </w:r>
      <w:r>
        <w:rPr>
          <w:rStyle w:val="FootnoteReference"/>
        </w:rPr>
        <w:footnoteReference w:id="18166"/>
      </w:r>
      <w:r>
        <w:t xml:space="preserve">:</w:t>
      </w:r>
    </w:p>
    <w:p>
      <w:r>
        <w:rPr>
          <w:b/>
        </w:rPr>
        <w:t xml:space="preserve">5 </w:t>
      </w:r>
      <w:r>
        <w:t xml:space="preserve">Having predestinated</w:t>
      </w:r>
      <w:r>
        <w:rPr>
          <w:rStyle w:val="FootnoteReference"/>
        </w:rPr>
        <w:footnoteReference w:id="18167"/>
      </w:r>
      <w:r>
        <w:t xml:space="preserve"> us to the adoption of children by Jesus Christ to himself, according to the good pleasure of his will,</w:t>
      </w:r>
    </w:p>
    <w:p>
      <w:r>
        <w:rPr>
          <w:b/>
        </w:rPr>
        <w:t xml:space="preserve">6 </w:t>
      </w:r>
      <w:r>
        <w:t xml:space="preserve">To the praise</w:t>
      </w:r>
      <w:r>
        <w:rPr>
          <w:rStyle w:val="FootnoteReference"/>
        </w:rPr>
        <w:footnoteReference w:id="18168"/>
      </w:r>
      <w:r>
        <w:t xml:space="preserve"> of the glory of his grace, in which he has made us accepted in the beloved.</w:t>
      </w:r>
    </w:p>
    <w:p>
      <w:r>
        <w:rPr>
          <w:b/>
        </w:rPr>
        <w:t xml:space="preserve">7 </w:t>
      </w:r>
      <w:r>
        <w:t xml:space="preserve">In whom we have redemption through his blood, the forgiveness</w:t>
      </w:r>
      <w:r>
        <w:rPr>
          <w:rStyle w:val="FootnoteReference"/>
        </w:rPr>
        <w:footnoteReference w:id="18169"/>
      </w:r>
      <w:r>
        <w:t xml:space="preserve"> of sins, according to the riches of his grace;</w:t>
      </w:r>
    </w:p>
    <w:p>
      <w:r>
        <w:rPr>
          <w:b/>
        </w:rPr>
        <w:t xml:space="preserve">8 </w:t>
      </w:r>
      <w:r>
        <w:t xml:space="preserve">in which he has abounded toward us in all wisdom and prudence;</w:t>
      </w:r>
    </w:p>
    <w:p>
      <w:r>
        <w:rPr>
          <w:b/>
        </w:rPr>
        <w:t xml:space="preserve">9 </w:t>
      </w:r>
      <w:r>
        <w:t xml:space="preserve">Having made</w:t>
      </w:r>
      <w:r>
        <w:rPr>
          <w:rStyle w:val="FootnoteReference"/>
        </w:rPr>
        <w:footnoteReference w:id="18170"/>
      </w:r>
      <w:r>
        <w:t xml:space="preserve"> known to us the mystery of his will, according to his good pleasure which he has purposed in himself:</w:t>
      </w:r>
    </w:p>
    <w:p>
      <w:r>
        <w:rPr>
          <w:b/>
        </w:rPr>
        <w:t xml:space="preserve">10 </w:t>
      </w:r>
      <w:r>
        <w:t xml:space="preserve">For the dispensation of the fullness of the times, to sum up all things in Christ, the things in the heavens and the things on the earth, in him:</w:t>
      </w:r>
    </w:p>
    <w:p>
      <w:r>
        <w:rPr>
          <w:b/>
        </w:rPr>
        <w:t xml:space="preserve">11 </w:t>
      </w:r>
      <w:r>
        <w:t xml:space="preserve">In whom also we obtained an inheritance, being predestined according to the purpose</w:t>
      </w:r>
      <w:r>
        <w:rPr>
          <w:rStyle w:val="FootnoteReference"/>
        </w:rPr>
        <w:footnoteReference w:id="18171"/>
      </w:r>
      <w:r>
        <w:t xml:space="preserve"> of him who works all things according to the counsel of his will:</w:t>
      </w:r>
    </w:p>
    <w:p>
      <w:r>
        <w:rPr>
          <w:b/>
        </w:rPr>
        <w:t xml:space="preserve">12 </w:t>
      </w:r>
      <w:r>
        <w:t xml:space="preserve">that we should be to the praise of his glory, we who first hoped in Christ.</w:t>
      </w:r>
    </w:p>
    <w:p>
      <w:r>
        <w:rPr>
          <w:b/>
        </w:rPr>
        <w:t xml:space="preserve">13 </w:t>
      </w:r>
      <w:r>
        <w:t xml:space="preserve">In whom you also trusted, after that you heard the word</w:t>
      </w:r>
      <w:r>
        <w:rPr>
          <w:rStyle w:val="FootnoteReference"/>
        </w:rPr>
        <w:footnoteReference w:id="18172"/>
      </w:r>
      <w:r>
        <w:t xml:space="preserve"> of truth, the good news of your salvation: in whom also after that you believed, you were sealed with that holy Spirit of promise,</w:t>
      </w:r>
    </w:p>
    <w:p>
      <w:r>
        <w:rPr>
          <w:b/>
        </w:rPr>
        <w:t xml:space="preserve">14 </w:t>
      </w:r>
      <w:r>
        <w:t xml:space="preserve">who is the pledge of our inheritance until the redemption</w:t>
      </w:r>
      <w:r>
        <w:rPr>
          <w:rStyle w:val="FootnoteReference"/>
        </w:rPr>
        <w:footnoteReference w:id="18173"/>
      </w:r>
      <w:r>
        <w:t xml:space="preserve"> of the purchased possession, to the praise of his glory.</w:t>
      </w:r>
    </w:p>
    <w:p>
      <w:r>
        <w:rPr>
          <w:b/>
        </w:rPr>
        <w:t xml:space="preserve">15 </w:t>
      </w:r>
      <w:r>
        <w:t xml:space="preserve">Therefore I also, after I heard of your faith</w:t>
      </w:r>
      <w:r>
        <w:rPr>
          <w:rStyle w:val="FootnoteReference"/>
        </w:rPr>
        <w:footnoteReference w:id="18174"/>
      </w:r>
      <w:r>
        <w:t xml:space="preserve"> in the Lord Jesus, and love to all the holy ones,</w:t>
      </w:r>
    </w:p>
    <w:p>
      <w:r>
        <w:rPr>
          <w:b/>
        </w:rPr>
        <w:t xml:space="preserve">16 </w:t>
      </w:r>
      <w:r>
        <w:t xml:space="preserve">I do not cease</w:t>
      </w:r>
      <w:r>
        <w:rPr>
          <w:rStyle w:val="FootnoteReference"/>
        </w:rPr>
        <w:footnoteReference w:id="18175"/>
      </w:r>
      <w:r>
        <w:t xml:space="preserve"> giving thanks for you, making mention of you in my prayers;</w:t>
      </w:r>
    </w:p>
    <w:p>
      <w:r>
        <w:rPr>
          <w:b/>
        </w:rPr>
        <w:t xml:space="preserve">17 </w:t>
      </w:r>
      <w:r>
        <w:t xml:space="preserve">That the God</w:t>
      </w:r>
      <w:r>
        <w:rPr>
          <w:rStyle w:val="FootnoteReference"/>
        </w:rPr>
        <w:footnoteReference w:id="18176"/>
      </w:r>
      <w:r>
        <w:t xml:space="preserve"> of our Lord Jesus Christ, the Father of glory, may give to you the spirit of wisdom and revelation in the knowledge of him:</w:t>
      </w:r>
    </w:p>
    <w:p>
      <w:r>
        <w:rPr>
          <w:b/>
        </w:rPr>
        <w:t xml:space="preserve">18 </w:t>
      </w:r>
      <w:r>
        <w:t xml:space="preserve">The eyes</w:t>
      </w:r>
      <w:r>
        <w:rPr>
          <w:rStyle w:val="FootnoteReference"/>
        </w:rPr>
        <w:footnoteReference w:id="18177"/>
      </w:r>
      <w:r>
        <w:t xml:space="preserve"> of your understanding being enlightened; that you may know what is the hope of his calling, and what the riches of the glory of his inheritance in the holy ones,</w:t>
      </w:r>
    </w:p>
    <w:p>
      <w:r>
        <w:rPr>
          <w:b/>
        </w:rPr>
        <w:t xml:space="preserve">19 </w:t>
      </w:r>
      <w:r>
        <w:t xml:space="preserve">And what is the surpassing greatness of his power toward us who believe, according to the working of the might of his strength,</w:t>
      </w:r>
    </w:p>
    <w:p>
      <w:r>
        <w:rPr>
          <w:b/>
        </w:rPr>
        <w:t xml:space="preserve">20 </w:t>
      </w:r>
      <w:r>
        <w:t xml:space="preserve">Which he worked in Christ, when he raised him from the dead, and set</w:t>
      </w:r>
      <w:r>
        <w:rPr>
          <w:rStyle w:val="FootnoteReference"/>
        </w:rPr>
        <w:footnoteReference w:id="18178"/>
      </w:r>
      <w:r>
        <w:t xml:space="preserve"> him at his own right hand in the heavenly places,</w:t>
      </w:r>
    </w:p>
    <w:p>
      <w:r>
        <w:rPr>
          <w:b/>
        </w:rPr>
        <w:t xml:space="preserve">21 </w:t>
      </w:r>
      <w:r>
        <w:t xml:space="preserve">Far above all principality</w:t>
      </w:r>
      <w:r>
        <w:rPr>
          <w:rStyle w:val="FootnoteReference"/>
        </w:rPr>
        <w:footnoteReference w:id="18179"/>
      </w:r>
      <w:r>
        <w:t xml:space="preserve">, and power, and might, and dominion, and every name that is named, not only in this age, but also in that which is to come:</w:t>
      </w:r>
    </w:p>
    <w:p>
      <w:r>
        <w:rPr>
          <w:b/>
        </w:rPr>
        <w:t xml:space="preserve">22 </w:t>
      </w:r>
      <w:r>
        <w:t xml:space="preserve">And has put all things under his feet, and gave</w:t>
      </w:r>
      <w:r>
        <w:rPr>
          <w:rStyle w:val="FootnoteReference"/>
        </w:rPr>
        <w:footnoteReference w:id="18180"/>
      </w:r>
      <w:r>
        <w:t xml:space="preserve"> him to be the head over all things to the assembly,</w:t>
      </w:r>
    </w:p>
    <w:p>
      <w:r>
        <w:rPr>
          <w:b/>
        </w:rPr>
        <w:t xml:space="preserve">23 </w:t>
      </w:r>
      <w:r>
        <w:t xml:space="preserve">Which is his body, the fullness of him who fills all in all.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And you, being dead</w:t>
      </w:r>
      <w:r>
        <w:rPr>
          <w:rStyle w:val="FootnoteReference"/>
        </w:rPr>
        <w:footnoteReference w:id="18181"/>
      </w:r>
      <w:r>
        <w:t xml:space="preserve"> in trespasses and sins;</w:t>
      </w:r>
    </w:p>
    <w:p>
      <w:r>
        <w:rPr>
          <w:b/>
        </w:rPr>
        <w:t xml:space="preserve">2 </w:t>
      </w:r>
      <w:r>
        <w:t xml:space="preserve">in which in time</w:t>
      </w:r>
      <w:r>
        <w:rPr>
          <w:rStyle w:val="FootnoteReference"/>
        </w:rPr>
        <w:footnoteReference w:id="18182"/>
      </w:r>
      <w:r>
        <w:t xml:space="preserve"> past you walked according to the course of this world, according to the prince of the power of the air, the spirit that now works in the children of disobedience:</w:t>
      </w:r>
    </w:p>
    <w:p>
      <w:r>
        <w:rPr>
          <w:b/>
        </w:rPr>
        <w:t xml:space="preserve">3 </w:t>
      </w:r>
      <w:r>
        <w:t xml:space="preserve">Among whom also we all had our conduct in times</w:t>
      </w:r>
      <w:r>
        <w:rPr>
          <w:rStyle w:val="FootnoteReference"/>
        </w:rPr>
        <w:footnoteReference w:id="18183"/>
      </w:r>
      <w:r>
        <w:t xml:space="preserve"> past in the lusts of our flesh, fulfilling the desires of the flesh and of the mind; and were by nature the children of wrath, even as others.</w:t>
      </w:r>
    </w:p>
    <w:p>
      <w:r>
        <w:rPr>
          <w:b/>
        </w:rPr>
        <w:t xml:space="preserve">4 </w:t>
      </w:r>
      <w:r>
        <w:t xml:space="preserve">But God, who is rich in mercy, for his great love with which he loved us,</w:t>
      </w:r>
    </w:p>
    <w:p>
      <w:r>
        <w:rPr>
          <w:b/>
        </w:rPr>
        <w:t xml:space="preserve">5 </w:t>
      </w:r>
      <w:r>
        <w:t xml:space="preserve">Even when we were dead</w:t>
      </w:r>
      <w:r>
        <w:rPr>
          <w:rStyle w:val="FootnoteReference"/>
        </w:rPr>
        <w:footnoteReference w:id="18184"/>
      </w:r>
      <w:r>
        <w:t xml:space="preserve"> in sins, he made us alive together with Christ, (by grace you are saved;)</w:t>
      </w:r>
    </w:p>
    <w:p>
      <w:r>
        <w:rPr>
          <w:b/>
        </w:rPr>
        <w:t xml:space="preserve">6 </w:t>
      </w:r>
      <w:r>
        <w:t xml:space="preserve">And has raised us up together, and made us sit together in heavenly places in Christ Jesus:</w:t>
      </w:r>
    </w:p>
    <w:p>
      <w:r>
        <w:rPr>
          <w:b/>
        </w:rPr>
        <w:t xml:space="preserve">7 </w:t>
      </w:r>
      <w:r>
        <w:t xml:space="preserve">That in the ages to come he might show</w:t>
      </w:r>
      <w:r>
        <w:rPr>
          <w:rStyle w:val="FootnoteReference"/>
        </w:rPr>
        <w:footnoteReference w:id="18185"/>
      </w:r>
      <w:r>
        <w:t xml:space="preserve"> the exceeding riches of his grace in his kindness toward us through Christ Jesus.</w:t>
      </w:r>
    </w:p>
    <w:p>
      <w:r>
        <w:rPr>
          <w:b/>
        </w:rPr>
        <w:t xml:space="preserve">8 </w:t>
      </w:r>
      <w:r>
        <w:t xml:space="preserve">For by grace are you saved through faith; and that not of yourselves: it is the gift of God:</w:t>
      </w:r>
    </w:p>
    <w:p>
      <w:r>
        <w:rPr>
          <w:b/>
        </w:rPr>
        <w:t xml:space="preserve">9 </w:t>
      </w:r>
      <w:r>
        <w:t xml:space="preserve">Not of works, lest anyone should boast.</w:t>
      </w:r>
    </w:p>
    <w:p>
      <w:r>
        <w:rPr>
          <w:b/>
        </w:rPr>
        <w:t xml:space="preserve">10 </w:t>
      </w:r>
      <w:r>
        <w:t xml:space="preserve">For we are</w:t>
      </w:r>
      <w:r>
        <w:rPr>
          <w:rStyle w:val="FootnoteReference"/>
        </w:rPr>
        <w:footnoteReference w:id="18186"/>
      </w:r>
      <w:r>
        <w:t xml:space="preserve"> his workmanship, created in Christ Jesus to good works, which God has before ordained that we should walk in them.</w:t>
      </w:r>
    </w:p>
    <w:p>
      <w:r>
        <w:rPr>
          <w:b/>
        </w:rPr>
        <w:t xml:space="preserve">11 </w:t>
      </w:r>
      <w:r>
        <w:t xml:space="preserve">Therefore remember</w:t>
      </w:r>
      <w:r>
        <w:rPr>
          <w:rStyle w:val="FootnoteReference"/>
        </w:rPr>
        <w:footnoteReference w:id="18187"/>
      </w:r>
      <w:r>
        <w:t xml:space="preserve">, that you being in time past nations in the flesh, who are called Uncircumcision by that which is called the Circumcision in the flesh made by hands;</w:t>
      </w:r>
    </w:p>
    <w:p>
      <w:r>
        <w:rPr>
          <w:b/>
        </w:rPr>
        <w:t xml:space="preserve">12 </w:t>
      </w:r>
      <w:r>
        <w:t xml:space="preserve">That at that time you were without Christ, being aliens</w:t>
      </w:r>
      <w:r>
        <w:rPr>
          <w:rStyle w:val="FootnoteReference"/>
        </w:rPr>
        <w:footnoteReference w:id="18188"/>
      </w:r>
      <w:r>
        <w:t xml:space="preserve"> from the commonwealth of Israel, and strangers from the covenants of promise, having no hope, and without God in the world:</w:t>
      </w:r>
    </w:p>
    <w:p>
      <w:r>
        <w:rPr>
          <w:b/>
        </w:rPr>
        <w:t xml:space="preserve">13 </w:t>
      </w:r>
      <w:r>
        <w:t xml:space="preserve">But now in Christ Jesus you who sometimes were far off are made near by the blood of Christ.</w:t>
      </w:r>
    </w:p>
    <w:p>
      <w:r>
        <w:rPr>
          <w:b/>
        </w:rPr>
        <w:t xml:space="preserve">14 </w:t>
      </w:r>
      <w:r>
        <w:t xml:space="preserve">For he himself is our peace, who made both</w:t>
      </w:r>
      <w:r>
        <w:rPr>
          <w:rStyle w:val="FootnoteReference"/>
        </w:rPr>
        <w:footnoteReference w:id="18189"/>
      </w:r>
      <w:r>
        <w:t xml:space="preserve"> one, and broke down the middle wall of the partition;</w:t>
      </w:r>
    </w:p>
    <w:p>
      <w:r>
        <w:rPr>
          <w:b/>
        </w:rPr>
        <w:t xml:space="preserve">15 </w:t>
      </w:r>
      <w:r>
        <w:t xml:space="preserve">Having abolished in his</w:t>
      </w:r>
      <w:r>
        <w:rPr>
          <w:rStyle w:val="FootnoteReference"/>
        </w:rPr>
        <w:footnoteReference w:id="18190"/>
      </w:r>
      <w:r>
        <w:t xml:space="preserve"> flesh the enmity, even the law of commandments contained in ordinances; in order to make in himself of two one new man, so making peace;</w:t>
      </w:r>
    </w:p>
    <w:p>
      <w:r>
        <w:rPr>
          <w:b/>
        </w:rPr>
        <w:t xml:space="preserve">16 </w:t>
      </w:r>
      <w:r>
        <w:t xml:space="preserve">And that he might reconcile</w:t>
      </w:r>
      <w:r>
        <w:rPr>
          <w:rStyle w:val="FootnoteReference"/>
        </w:rPr>
        <w:footnoteReference w:id="18191"/>
      </w:r>
      <w:r>
        <w:t xml:space="preserve"> both to God in one body by the cross, having killed the enmity by it:</w:t>
      </w:r>
    </w:p>
    <w:p>
      <w:r>
        <w:rPr>
          <w:b/>
        </w:rPr>
        <w:t xml:space="preserve">17 </w:t>
      </w:r>
      <w:r>
        <w:t xml:space="preserve">And came and preached</w:t>
      </w:r>
      <w:r>
        <w:rPr>
          <w:rStyle w:val="FootnoteReference"/>
        </w:rPr>
        <w:footnoteReference w:id="18192"/>
      </w:r>
      <w:r>
        <w:t xml:space="preserve"> peace to you which were far off, and to those who were near.</w:t>
      </w:r>
    </w:p>
    <w:p>
      <w:r>
        <w:rPr>
          <w:b/>
        </w:rPr>
        <w:t xml:space="preserve">18 </w:t>
      </w:r>
      <w:r>
        <w:t xml:space="preserve">For through him we both have access by one Spirit to the Father.</w:t>
      </w:r>
    </w:p>
    <w:p>
      <w:r>
        <w:rPr>
          <w:b/>
        </w:rPr>
        <w:t xml:space="preserve">19 </w:t>
      </w:r>
      <w:r>
        <w:t xml:space="preserve">Now therefore you are no more strangers</w:t>
      </w:r>
      <w:r>
        <w:rPr>
          <w:rStyle w:val="FootnoteReference"/>
        </w:rPr>
        <w:footnoteReference w:id="18193"/>
      </w:r>
      <w:r>
        <w:t xml:space="preserve"> and foreigners, but fellow citizens with the holy ones, and of the household of God;</w:t>
      </w:r>
    </w:p>
    <w:p>
      <w:r>
        <w:rPr>
          <w:b/>
        </w:rPr>
        <w:t xml:space="preserve">20 </w:t>
      </w:r>
      <w:r>
        <w:t xml:space="preserve">And are built</w:t>
      </w:r>
      <w:r>
        <w:rPr>
          <w:rStyle w:val="FootnoteReference"/>
        </w:rPr>
        <w:footnoteReference w:id="18194"/>
      </w:r>
      <w:r>
        <w:t xml:space="preserve"> upon the foundation of the apostles and prophets, Christ Jesus himself being the chief cornerstone;</w:t>
      </w:r>
    </w:p>
    <w:p>
      <w:r>
        <w:rPr>
          <w:b/>
        </w:rPr>
        <w:t xml:space="preserve">21 </w:t>
      </w:r>
      <w:r>
        <w:t xml:space="preserve">In whom all the building fitly</w:t>
      </w:r>
      <w:r>
        <w:rPr>
          <w:rStyle w:val="FootnoteReference"/>
        </w:rPr>
        <w:footnoteReference w:id="18195"/>
      </w:r>
      <w:r>
        <w:t xml:space="preserve"> framed together grows to a holy temple in the Lord:</w:t>
      </w:r>
    </w:p>
    <w:p>
      <w:r>
        <w:rPr>
          <w:b/>
        </w:rPr>
        <w:t xml:space="preserve">22 </w:t>
      </w:r>
      <w:r>
        <w:t xml:space="preserve">In whom you also are built together for a habitation of God through the Spirit.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For this cause I Paul, the prisoner of Jesus Christ for you nations,</w:t>
      </w:r>
    </w:p>
    <w:p>
      <w:r>
        <w:rPr>
          <w:b/>
        </w:rPr>
        <w:t xml:space="preserve">2 </w:t>
      </w:r>
      <w:r>
        <w:t xml:space="preserve">If you have heard of the dispensation</w:t>
      </w:r>
      <w:r>
        <w:rPr>
          <w:rStyle w:val="FootnoteReference"/>
        </w:rPr>
        <w:footnoteReference w:id="18196"/>
      </w:r>
      <w:r>
        <w:t xml:space="preserve"> of the grace of God which is given me toward you:</w:t>
      </w:r>
    </w:p>
    <w:p>
      <w:r>
        <w:rPr>
          <w:b/>
        </w:rPr>
        <w:t xml:space="preserve">3 </w:t>
      </w:r>
      <w:r>
        <w:t xml:space="preserve">How that by revelation he made known to me the mystery</w:t>
      </w:r>
      <w:r>
        <w:rPr>
          <w:rStyle w:val="FootnoteReference"/>
        </w:rPr>
        <w:footnoteReference w:id="18197"/>
      </w:r>
      <w:r>
        <w:t xml:space="preserve">; (as I wrote before in few words,</w:t>
      </w:r>
    </w:p>
    <w:p>
      <w:r>
        <w:rPr>
          <w:b/>
        </w:rPr>
        <w:t xml:space="preserve">4 </w:t>
      </w:r>
      <w:r>
        <w:t xml:space="preserve">by which, when you read, you may understand my knowledge in the mystery</w:t>
      </w:r>
      <w:r>
        <w:rPr>
          <w:rStyle w:val="FootnoteReference"/>
        </w:rPr>
        <w:footnoteReference w:id="18198"/>
      </w:r>
      <w:r>
        <w:t xml:space="preserve"> of Christ)</w:t>
      </w:r>
    </w:p>
    <w:p>
      <w:r>
        <w:rPr>
          <w:b/>
        </w:rPr>
        <w:t xml:space="preserve">5 </w:t>
      </w:r>
      <w:r>
        <w:t xml:space="preserve">Which in other</w:t>
      </w:r>
      <w:r>
        <w:rPr>
          <w:rStyle w:val="FootnoteReference"/>
        </w:rPr>
        <w:footnoteReference w:id="18199"/>
      </w:r>
      <w:r>
        <w:t xml:space="preserve"> ages was not made known to the sons of men, as it is now revealed to his holy apostles and prophets by the Spirit;</w:t>
      </w:r>
    </w:p>
    <w:p>
      <w:r>
        <w:rPr>
          <w:b/>
        </w:rPr>
        <w:t xml:space="preserve">6 </w:t>
      </w:r>
      <w:r>
        <w:t xml:space="preserve">That the nations should be join heirs, and of the same body, and partakers</w:t>
      </w:r>
      <w:r>
        <w:rPr>
          <w:rStyle w:val="FootnoteReference"/>
        </w:rPr>
        <w:footnoteReference w:id="18200"/>
      </w:r>
      <w:r>
        <w:t xml:space="preserve"> of his promise in Christ by the good news:</w:t>
      </w:r>
    </w:p>
    <w:p>
      <w:r>
        <w:rPr>
          <w:b/>
        </w:rPr>
        <w:t xml:space="preserve">7 </w:t>
      </w:r>
      <w:r>
        <w:t xml:space="preserve">of which I was made a minister, according to the gift of the grace of God given to me by the effectual working of his power.</w:t>
      </w:r>
    </w:p>
    <w:p>
      <w:r>
        <w:rPr>
          <w:b/>
        </w:rPr>
        <w:t xml:space="preserve">8 </w:t>
      </w:r>
      <w:r>
        <w:t xml:space="preserve">To me, who am</w:t>
      </w:r>
      <w:r>
        <w:rPr>
          <w:rStyle w:val="FootnoteReference"/>
        </w:rPr>
        <w:footnoteReference w:id="18201"/>
      </w:r>
      <w:r>
        <w:t xml:space="preserve"> less than the least of all holy ones, is this grace given, that I should preach among the nations the unsearchable riches of Christ;</w:t>
      </w:r>
    </w:p>
    <w:p>
      <w:r>
        <w:rPr>
          <w:b/>
        </w:rPr>
        <w:t xml:space="preserve">9 </w:t>
      </w:r>
      <w:r>
        <w:t xml:space="preserve">And to make all see what is the fellowship</w:t>
      </w:r>
      <w:r>
        <w:rPr>
          <w:rStyle w:val="FootnoteReference"/>
        </w:rPr>
        <w:footnoteReference w:id="18202"/>
      </w:r>
      <w:r>
        <w:t xml:space="preserve"> of the mystery, which from the ages has been hidden in God, who created all things through Jesus Christ:</w:t>
      </w:r>
    </w:p>
    <w:p>
      <w:r>
        <w:rPr>
          <w:b/>
        </w:rPr>
        <w:t xml:space="preserve">10 </w:t>
      </w:r>
      <w:r>
        <w:t xml:space="preserve">To the intent</w:t>
      </w:r>
      <w:r>
        <w:rPr>
          <w:rStyle w:val="FootnoteReference"/>
        </w:rPr>
        <w:footnoteReference w:id="18203"/>
      </w:r>
      <w:r>
        <w:t xml:space="preserve"> that now to the principalities and powers in heavenly places might be known by the assembly the manifold wisdom of God,</w:t>
      </w:r>
    </w:p>
    <w:p>
      <w:r>
        <w:rPr>
          <w:b/>
        </w:rPr>
        <w:t xml:space="preserve">11 </w:t>
      </w:r>
      <w:r>
        <w:t xml:space="preserve">According to the eternal purpose which he purposed in Christ Jesus our Lord:</w:t>
      </w:r>
    </w:p>
    <w:p>
      <w:r>
        <w:rPr>
          <w:b/>
        </w:rPr>
        <w:t xml:space="preserve">12 </w:t>
      </w:r>
      <w:r>
        <w:t xml:space="preserve">In whom we have boldness and access with confidence through his faith.</w:t>
      </w:r>
    </w:p>
    <w:p>
      <w:r>
        <w:rPr>
          <w:b/>
        </w:rPr>
        <w:t xml:space="preserve">13 </w:t>
      </w:r>
      <w:r>
        <w:t xml:space="preserve">Therefore I desire that you do not faint at my tribulations for you, which is your glory.</w:t>
      </w:r>
    </w:p>
    <w:p>
      <w:r>
        <w:rPr>
          <w:b/>
        </w:rPr>
        <w:t xml:space="preserve">14 </w:t>
      </w:r>
      <w:r>
        <w:t xml:space="preserve">For this cause I bow my knees to the Father</w:t>
      </w:r>
      <w:r>
        <w:rPr>
          <w:rStyle w:val="FootnoteReference"/>
        </w:rPr>
        <w:footnoteReference w:id="18204"/>
      </w:r>
      <w:r>
        <w:t xml:space="preserve"> of our Lord Jesus Christ,</w:t>
      </w:r>
    </w:p>
    <w:p>
      <w:r>
        <w:rPr>
          <w:b/>
        </w:rPr>
        <w:t xml:space="preserve">15 </w:t>
      </w:r>
      <w:r>
        <w:t xml:space="preserve">From whom every family in the heavens and on earth is named,</w:t>
      </w:r>
    </w:p>
    <w:p>
      <w:r>
        <w:rPr>
          <w:b/>
        </w:rPr>
        <w:t xml:space="preserve">16 </w:t>
      </w:r>
      <w:r>
        <w:t xml:space="preserve">That he would grant you, according to the riches of his glory, to be</w:t>
      </w:r>
      <w:r>
        <w:rPr>
          <w:rStyle w:val="FootnoteReference"/>
        </w:rPr>
        <w:footnoteReference w:id="18205"/>
      </w:r>
      <w:r>
        <w:t xml:space="preserve"> strengthened with might by his Spirit in the inner man;</w:t>
      </w:r>
    </w:p>
    <w:p>
      <w:r>
        <w:rPr>
          <w:b/>
        </w:rPr>
        <w:t xml:space="preserve">17 </w:t>
      </w:r>
      <w:r>
        <w:t xml:space="preserve">That Christ</w:t>
      </w:r>
      <w:r>
        <w:rPr>
          <w:rStyle w:val="FootnoteReference"/>
        </w:rPr>
        <w:footnoteReference w:id="18206"/>
      </w:r>
      <w:r>
        <w:t xml:space="preserve"> may dwell in your hearts by faith; that you, being rooted and grounded in love,</w:t>
      </w:r>
    </w:p>
    <w:p>
      <w:r>
        <w:rPr>
          <w:b/>
        </w:rPr>
        <w:t xml:space="preserve">18 </w:t>
      </w:r>
      <w:r>
        <w:t xml:space="preserve">May be able</w:t>
      </w:r>
      <w:r>
        <w:rPr>
          <w:rStyle w:val="FootnoteReference"/>
        </w:rPr>
        <w:footnoteReference w:id="18207"/>
      </w:r>
      <w:r>
        <w:t xml:space="preserve"> to comprehend with all holy ones what is the breadth, and length, and depth, and height;</w:t>
      </w:r>
    </w:p>
    <w:p>
      <w:r>
        <w:rPr>
          <w:b/>
        </w:rPr>
        <w:t xml:space="preserve">19 </w:t>
      </w:r>
      <w:r>
        <w:t xml:space="preserve">And to know</w:t>
      </w:r>
      <w:r>
        <w:rPr>
          <w:rStyle w:val="FootnoteReference"/>
        </w:rPr>
        <w:footnoteReference w:id="18208"/>
      </w:r>
      <w:r>
        <w:t xml:space="preserve"> the love of Christ, who passes knowledge, that you might be filled with all the fullness of God.</w:t>
      </w:r>
    </w:p>
    <w:p>
      <w:r>
        <w:rPr>
          <w:b/>
        </w:rPr>
        <w:t xml:space="preserve">20 </w:t>
      </w:r>
      <w:r>
        <w:t xml:space="preserve">Now to him who is able</w:t>
      </w:r>
      <w:r>
        <w:rPr>
          <w:rStyle w:val="FootnoteReference"/>
        </w:rPr>
        <w:footnoteReference w:id="18209"/>
      </w:r>
      <w:r>
        <w:t xml:space="preserve"> to do exceeding abundantly above all that we ask or think, according to the power that works in us,</w:t>
      </w:r>
    </w:p>
    <w:p>
      <w:r>
        <w:rPr>
          <w:b/>
        </w:rPr>
        <w:t xml:space="preserve">21 </w:t>
      </w:r>
      <w:r>
        <w:t xml:space="preserve">To him be glory in the assembly by Christ Jesus throughout</w:t>
      </w:r>
      <w:r>
        <w:rPr>
          <w:rStyle w:val="FootnoteReference"/>
        </w:rPr>
        <w:footnoteReference w:id="18210"/>
      </w:r>
      <w:r>
        <w:t xml:space="preserve"> all ages, world without end. Amen.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I therefore, the prisoner</w:t>
      </w:r>
      <w:r>
        <w:rPr>
          <w:rStyle w:val="FootnoteReference"/>
        </w:rPr>
        <w:footnoteReference w:id="18211"/>
      </w:r>
      <w:r>
        <w:t xml:space="preserve"> of the Lord, plead to you that you walk worthy of the vocation with which you are called,</w:t>
      </w:r>
    </w:p>
    <w:p>
      <w:r>
        <w:rPr>
          <w:b/>
        </w:rPr>
        <w:t xml:space="preserve">2 </w:t>
      </w:r>
      <w:r>
        <w:t xml:space="preserve">With all lowliness</w:t>
      </w:r>
      <w:r>
        <w:rPr>
          <w:rStyle w:val="FootnoteReference"/>
        </w:rPr>
        <w:footnoteReference w:id="18212"/>
      </w:r>
      <w:r>
        <w:t xml:space="preserve"> and meekness, with longsuffering, forbearing one another in love;</w:t>
      </w:r>
    </w:p>
    <w:p>
      <w:r>
        <w:rPr>
          <w:b/>
        </w:rPr>
        <w:t xml:space="preserve">3 </w:t>
      </w:r>
      <w:r>
        <w:t xml:space="preserve">Endeavouring to keep the unity of the Spirit in the bond of peace.</w:t>
      </w:r>
    </w:p>
    <w:p>
      <w:r>
        <w:rPr>
          <w:b/>
        </w:rPr>
        <w:t xml:space="preserve">4 </w:t>
      </w:r>
      <w:r>
        <w:t xml:space="preserve">There is one body</w:t>
      </w:r>
      <w:r>
        <w:rPr>
          <w:rStyle w:val="FootnoteReference"/>
        </w:rPr>
        <w:footnoteReference w:id="18213"/>
      </w:r>
      <w:r>
        <w:t xml:space="preserve">, and one Spirit, even as you are called in one hope of your calling;</w:t>
      </w:r>
    </w:p>
    <w:p>
      <w:r>
        <w:rPr>
          <w:b/>
        </w:rPr>
        <w:t xml:space="preserve">5 </w:t>
      </w:r>
      <w:r>
        <w:t xml:space="preserve">One Lord</w:t>
      </w:r>
      <w:r>
        <w:rPr>
          <w:rStyle w:val="FootnoteReference"/>
        </w:rPr>
        <w:footnoteReference w:id="18214"/>
      </w:r>
      <w:r>
        <w:t xml:space="preserve">, one faith, one baptism,</w:t>
      </w:r>
    </w:p>
    <w:p>
      <w:r>
        <w:rPr>
          <w:b/>
        </w:rPr>
        <w:t xml:space="preserve">6 </w:t>
      </w:r>
      <w:r>
        <w:t xml:space="preserve">One God and Father of all, who is over all, and through all, and in</w:t>
      </w:r>
      <w:r>
        <w:rPr>
          <w:rStyle w:val="FootnoteReference"/>
        </w:rPr>
        <w:footnoteReference w:id="18215"/>
      </w:r>
      <w:r>
        <w:t xml:space="preserve"> you all.</w:t>
      </w:r>
    </w:p>
    <w:p>
      <w:r>
        <w:rPr>
          <w:b/>
        </w:rPr>
        <w:t xml:space="preserve">7 </w:t>
      </w:r>
      <w:r>
        <w:t xml:space="preserve">But to every one of us is given grace</w:t>
      </w:r>
      <w:r>
        <w:rPr>
          <w:rStyle w:val="FootnoteReference"/>
        </w:rPr>
        <w:footnoteReference w:id="18216"/>
      </w:r>
      <w:r>
        <w:t xml:space="preserve"> according to the measure of the gift of Christ.</w:t>
      </w:r>
    </w:p>
    <w:p>
      <w:r>
        <w:rPr>
          <w:b/>
        </w:rPr>
        <w:t xml:space="preserve">8 </w:t>
      </w:r>
      <w:r>
        <w:t xml:space="preserve">Therefore he says, When he ascended up on high, he led</w:t>
      </w:r>
      <w:r>
        <w:rPr>
          <w:rStyle w:val="FootnoteReference"/>
        </w:rPr>
        <w:footnoteReference w:id="18217"/>
      </w:r>
      <w:r>
        <w:t xml:space="preserve"> captivity captive, and gave gifts to men.</w:t>
      </w:r>
    </w:p>
    <w:p>
      <w:r>
        <w:rPr>
          <w:b/>
        </w:rPr>
        <w:t xml:space="preserve">9 </w:t>
      </w:r>
      <w:r>
        <w:t xml:space="preserve">(Now this, he ascended</w:t>
      </w:r>
      <w:r>
        <w:rPr>
          <w:rStyle w:val="FootnoteReference"/>
        </w:rPr>
        <w:footnoteReference w:id="18218"/>
      </w:r>
      <w:r>
        <w:t xml:space="preserve">, what is it except that he also first descended into the lower parts of the earth?</w:t>
      </w:r>
    </w:p>
    <w:p>
      <w:r>
        <w:rPr>
          <w:b/>
        </w:rPr>
        <w:t xml:space="preserve">10 </w:t>
      </w:r>
      <w:r>
        <w:t xml:space="preserve">the one who descended is the same also that ascended</w:t>
      </w:r>
      <w:r>
        <w:rPr>
          <w:rStyle w:val="FootnoteReference"/>
        </w:rPr>
        <w:footnoteReference w:id="18219"/>
      </w:r>
      <w:r>
        <w:t xml:space="preserve"> up far above all heavens, that he might fill all things.)</w:t>
      </w:r>
    </w:p>
    <w:p>
      <w:r>
        <w:rPr>
          <w:b/>
        </w:rPr>
        <w:t xml:space="preserve">11 </w:t>
      </w:r>
      <w:r>
        <w:t xml:space="preserve">And he himself gave some as apostles, and some as prophets, and some as evangelists</w:t>
      </w:r>
      <w:r>
        <w:rPr>
          <w:rStyle w:val="FootnoteReference"/>
        </w:rPr>
        <w:footnoteReference w:id="18220"/>
      </w:r>
      <w:r>
        <w:t xml:space="preserve">, and some as pastors and teachers;</w:t>
      </w:r>
    </w:p>
    <w:p>
      <w:r>
        <w:rPr>
          <w:b/>
        </w:rPr>
        <w:t xml:space="preserve">12 </w:t>
      </w:r>
      <w:r>
        <w:t xml:space="preserve">For the perfecting</w:t>
      </w:r>
      <w:r>
        <w:rPr>
          <w:rStyle w:val="FootnoteReference"/>
        </w:rPr>
        <w:footnoteReference w:id="18221"/>
      </w:r>
      <w:r>
        <w:t xml:space="preserve"> of the holy ones, for the work of the ministry, for the edifying of the body of Christ:</w:t>
      </w:r>
    </w:p>
    <w:p>
      <w:r>
        <w:rPr>
          <w:b/>
        </w:rPr>
        <w:t xml:space="preserve">13 </w:t>
      </w:r>
      <w:r>
        <w:t xml:space="preserve">Till we all</w:t>
      </w:r>
      <w:r>
        <w:rPr>
          <w:rStyle w:val="FootnoteReference"/>
        </w:rPr>
        <w:footnoteReference w:id="18222"/>
      </w:r>
      <w:r>
        <w:t xml:space="preserve"> come in the unity of the faith, and of the knowledge of the Son of God, to a perfect man, to the measure of the stature of the fullness of Christ:</w:t>
      </w:r>
    </w:p>
    <w:p>
      <w:r>
        <w:rPr>
          <w:b/>
        </w:rPr>
        <w:t xml:space="preserve">14 </w:t>
      </w:r>
      <w:r>
        <w:t xml:space="preserve">That we from now on be no more</w:t>
      </w:r>
      <w:r>
        <w:rPr>
          <w:rStyle w:val="FootnoteReference"/>
        </w:rPr>
        <w:footnoteReference w:id="18223"/>
      </w:r>
      <w:r>
        <w:t xml:space="preserve"> children, tossed back and forth, and carried about with every wind of doctrine, by the sleight of men, and cunning craftiness, by which they lie in wait to deceive;</w:t>
      </w:r>
    </w:p>
    <w:p>
      <w:r>
        <w:rPr>
          <w:b/>
        </w:rPr>
        <w:t xml:space="preserve">15 </w:t>
      </w:r>
      <w:r>
        <w:t xml:space="preserve">But speaking the truth</w:t>
      </w:r>
      <w:r>
        <w:rPr>
          <w:rStyle w:val="FootnoteReference"/>
        </w:rPr>
        <w:footnoteReference w:id="18224"/>
      </w:r>
      <w:r>
        <w:t xml:space="preserve"> in love, may grow up into him in all things, which is the head, even Christ:</w:t>
      </w:r>
    </w:p>
    <w:p>
      <w:r>
        <w:rPr>
          <w:b/>
        </w:rPr>
        <w:t xml:space="preserve">16 </w:t>
      </w:r>
      <w:r>
        <w:t xml:space="preserve">From whom the whole body fitly</w:t>
      </w:r>
      <w:r>
        <w:rPr>
          <w:rStyle w:val="FootnoteReference"/>
        </w:rPr>
        <w:footnoteReference w:id="18225"/>
      </w:r>
      <w:r>
        <w:t xml:space="preserve"> joined together and compacted by that which every joint supplies, according to the effectual working in the measure of every part, makes increase of the body to the edifying of itself in love.</w:t>
      </w:r>
    </w:p>
    <w:p>
      <w:r>
        <w:rPr>
          <w:b/>
        </w:rPr>
        <w:t xml:space="preserve">17 </w:t>
      </w:r>
      <w:r>
        <w:t xml:space="preserve">This I say therefore, and testify</w:t>
      </w:r>
      <w:r>
        <w:rPr>
          <w:rStyle w:val="FootnoteReference"/>
        </w:rPr>
        <w:footnoteReference w:id="18226"/>
      </w:r>
      <w:r>
        <w:t xml:space="preserve"> in the Lord, that you from now on walk not as other nations walk, in the vanity of their mind,</w:t>
      </w:r>
    </w:p>
    <w:p>
      <w:r>
        <w:rPr>
          <w:b/>
        </w:rPr>
        <w:t xml:space="preserve">18 </w:t>
      </w:r>
      <w:r>
        <w:t xml:space="preserve">being darkened in understanding, being alienated</w:t>
      </w:r>
      <w:r>
        <w:rPr>
          <w:rStyle w:val="FootnoteReference"/>
        </w:rPr>
        <w:footnoteReference w:id="18227"/>
      </w:r>
      <w:r>
        <w:t xml:space="preserve"> from the life of God because of the ignorance that is in them, because of the hardness of their heart:</w:t>
      </w:r>
    </w:p>
    <w:p>
      <w:r>
        <w:rPr>
          <w:b/>
        </w:rPr>
        <w:t xml:space="preserve">19 </w:t>
      </w:r>
      <w:r>
        <w:t xml:space="preserve">Who being past</w:t>
      </w:r>
      <w:r>
        <w:rPr>
          <w:rStyle w:val="FootnoteReference"/>
        </w:rPr>
        <w:footnoteReference w:id="18228"/>
      </w:r>
      <w:r>
        <w:t xml:space="preserve"> feeling have given themselves over to lasciviousness, to work all uncleanness with greediness.</w:t>
      </w:r>
    </w:p>
    <w:p>
      <w:r>
        <w:rPr>
          <w:b/>
        </w:rPr>
        <w:t xml:space="preserve">20 </w:t>
      </w:r>
      <w:r>
        <w:t xml:space="preserve">But you have not so learned Christ;</w:t>
      </w:r>
    </w:p>
    <w:p>
      <w:r>
        <w:rPr>
          <w:b/>
        </w:rPr>
        <w:t xml:space="preserve">21 </w:t>
      </w:r>
      <w:r>
        <w:t xml:space="preserve">If indeed you have heard</w:t>
      </w:r>
      <w:r>
        <w:rPr>
          <w:rStyle w:val="FootnoteReference"/>
        </w:rPr>
        <w:footnoteReference w:id="18229"/>
      </w:r>
      <w:r>
        <w:t xml:space="preserve"> him, and have been taught by him, as the truth is in Jesus:</w:t>
      </w:r>
    </w:p>
    <w:p>
      <w:r>
        <w:rPr>
          <w:b/>
        </w:rPr>
        <w:t xml:space="preserve">22 </w:t>
      </w:r>
      <w:r>
        <w:t xml:space="preserve">That you put off concerning the former</w:t>
      </w:r>
      <w:r>
        <w:rPr>
          <w:rStyle w:val="FootnoteReference"/>
        </w:rPr>
        <w:footnoteReference w:id="18230"/>
      </w:r>
      <w:r>
        <w:t xml:space="preserve"> conduct the old man, who is corrupt according to the deceitful lusts;</w:t>
      </w:r>
    </w:p>
    <w:p>
      <w:r>
        <w:rPr>
          <w:b/>
        </w:rPr>
        <w:t xml:space="preserve">23 </w:t>
      </w:r>
      <w:r>
        <w:t xml:space="preserve">And be renewed in the spirit of your mind;</w:t>
      </w:r>
    </w:p>
    <w:p>
      <w:r>
        <w:rPr>
          <w:b/>
        </w:rPr>
        <w:t xml:space="preserve">24 </w:t>
      </w:r>
      <w:r>
        <w:t xml:space="preserve">And that you put on the new man, who after God is created</w:t>
      </w:r>
      <w:r>
        <w:rPr>
          <w:rStyle w:val="FootnoteReference"/>
        </w:rPr>
        <w:footnoteReference w:id="18231"/>
      </w:r>
      <w:r>
        <w:t xml:space="preserve"> in righteousness and true holiness.</w:t>
      </w:r>
    </w:p>
    <w:p>
      <w:r>
        <w:rPr>
          <w:b/>
        </w:rPr>
        <w:t xml:space="preserve">25 </w:t>
      </w:r>
      <w:r>
        <w:t xml:space="preserve">Therefore putting</w:t>
      </w:r>
      <w:r>
        <w:rPr>
          <w:rStyle w:val="FootnoteReference"/>
        </w:rPr>
        <w:footnoteReference w:id="18232"/>
      </w:r>
      <w:r>
        <w:t xml:space="preserve"> away lying, speak every man truth with his neighbor: for we are members one of another.</w:t>
      </w:r>
    </w:p>
    <w:p>
      <w:r>
        <w:rPr>
          <w:b/>
        </w:rPr>
        <w:t xml:space="preserve">26 </w:t>
      </w:r>
      <w:r>
        <w:t xml:space="preserve">Be angry, and do not sin: let not the sun go down upon your wrath:</w:t>
      </w:r>
    </w:p>
    <w:p>
      <w:r>
        <w:rPr>
          <w:b/>
        </w:rPr>
        <w:t xml:space="preserve">27 </w:t>
      </w:r>
      <w:r>
        <w:t xml:space="preserve">Neither give place to the devil.</w:t>
      </w:r>
    </w:p>
    <w:p>
      <w:r>
        <w:rPr>
          <w:b/>
        </w:rPr>
        <w:t xml:space="preserve">28 </w:t>
      </w:r>
      <w:r>
        <w:t xml:space="preserve">Let him who stole steal no more</w:t>
      </w:r>
      <w:r>
        <w:rPr>
          <w:rStyle w:val="FootnoteReference"/>
        </w:rPr>
        <w:footnoteReference w:id="18233"/>
      </w:r>
      <w:r>
        <w:t xml:space="preserve">: but rather let him labor, working with his hands the thing which is good, that he may have to give to him who needs.</w:t>
      </w:r>
    </w:p>
    <w:p>
      <w:r>
        <w:rPr>
          <w:b/>
        </w:rPr>
        <w:t xml:space="preserve">29 </w:t>
      </w:r>
      <w:r>
        <w:t xml:space="preserve">Let no corrupt communication proceed out of your mouth, but that which</w:t>
      </w:r>
      <w:r>
        <w:rPr>
          <w:rStyle w:val="FootnoteReference"/>
        </w:rPr>
        <w:footnoteReference w:id="18234"/>
      </w:r>
      <w:r>
        <w:t xml:space="preserve"> is good to the use of edifying, that it may minister grace to the hearers.</w:t>
      </w:r>
    </w:p>
    <w:p>
      <w:r>
        <w:rPr>
          <w:b/>
        </w:rPr>
        <w:t xml:space="preserve">30 </w:t>
      </w:r>
      <w:r>
        <w:t xml:space="preserve">And grieve</w:t>
      </w:r>
      <w:r>
        <w:rPr>
          <w:rStyle w:val="FootnoteReference"/>
        </w:rPr>
        <w:footnoteReference w:id="18235"/>
      </w:r>
      <w:r>
        <w:t xml:space="preserve"> not the holy Spirit of God, by which you are sealed to the day of redemption.</w:t>
      </w:r>
    </w:p>
    <w:p>
      <w:r>
        <w:rPr>
          <w:b/>
        </w:rPr>
        <w:t xml:space="preserve">31 </w:t>
      </w:r>
      <w:r>
        <w:t xml:space="preserve">Let all bitterness</w:t>
      </w:r>
      <w:r>
        <w:rPr>
          <w:rStyle w:val="FootnoteReference"/>
        </w:rPr>
        <w:footnoteReference w:id="18236"/>
      </w:r>
      <w:r>
        <w:t xml:space="preserve">, and wrath, and anger, and clamor, and evil speaking, be removed from you, with all malice:</w:t>
      </w:r>
    </w:p>
    <w:p>
      <w:r>
        <w:rPr>
          <w:b/>
        </w:rPr>
        <w:t xml:space="preserve">32 </w:t>
      </w:r>
      <w:r>
        <w:t xml:space="preserve">And be kind</w:t>
      </w:r>
      <w:r>
        <w:rPr>
          <w:rStyle w:val="FootnoteReference"/>
        </w:rPr>
        <w:footnoteReference w:id="18237"/>
      </w:r>
      <w:r>
        <w:t xml:space="preserve"> one to another, tenderhearted, forgiving one another, even as God for Christ's sake has forgiven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Be therefore followers</w:t>
      </w:r>
      <w:r>
        <w:rPr>
          <w:rStyle w:val="FootnoteReference"/>
        </w:rPr>
        <w:footnoteReference w:id="18238"/>
      </w:r>
      <w:r>
        <w:t xml:space="preserve"> of God, as dear children;</w:t>
      </w:r>
    </w:p>
    <w:p>
      <w:r>
        <w:rPr>
          <w:b/>
        </w:rPr>
        <w:t xml:space="preserve">2 </w:t>
      </w:r>
      <w:r>
        <w:t xml:space="preserve">And walk</w:t>
      </w:r>
      <w:r>
        <w:rPr>
          <w:rStyle w:val="FootnoteReference"/>
        </w:rPr>
        <w:footnoteReference w:id="18239"/>
      </w:r>
      <w:r>
        <w:t xml:space="preserve"> in love, as Christ also has loved us, and has given himself for us an offering and a sacrifice to God for a sweet smelling taste.</w:t>
      </w:r>
    </w:p>
    <w:p>
      <w:r>
        <w:rPr>
          <w:b/>
        </w:rPr>
        <w:t xml:space="preserve">3 </w:t>
      </w:r>
      <w:r>
        <w:t xml:space="preserve">But sexual immorality, and all uncleanness, or covetousness</w:t>
      </w:r>
      <w:r>
        <w:rPr>
          <w:rStyle w:val="FootnoteReference"/>
        </w:rPr>
        <w:footnoteReference w:id="18240"/>
      </w:r>
      <w:r>
        <w:t xml:space="preserve">, let it not be once named among you, as becomes holy ones;</w:t>
      </w:r>
    </w:p>
    <w:p>
      <w:r>
        <w:rPr>
          <w:b/>
        </w:rPr>
        <w:t xml:space="preserve">4 </w:t>
      </w:r>
      <w:r>
        <w:t xml:space="preserve">And filthiness</w:t>
      </w:r>
      <w:r>
        <w:rPr>
          <w:rStyle w:val="FootnoteReference"/>
        </w:rPr>
        <w:footnoteReference w:id="18241"/>
      </w:r>
      <w:r>
        <w:t xml:space="preserve">, and foolish talking, or jesting, which are not fitting: but rather thanksgiving.</w:t>
      </w:r>
    </w:p>
    <w:p>
      <w:r>
        <w:rPr>
          <w:b/>
        </w:rPr>
        <w:t xml:space="preserve">5 </w:t>
      </w:r>
      <w:r>
        <w:t xml:space="preserve">For this you know, that no</w:t>
      </w:r>
      <w:r>
        <w:rPr>
          <w:rStyle w:val="FootnoteReference"/>
        </w:rPr>
        <w:footnoteReference w:id="18242"/>
      </w:r>
      <w:r>
        <w:t xml:space="preserve"> sexually immoral person, nor unclean person, nor covetous man, who is an idolater, has any inheritance in the kingdom of Christ and of God.</w:t>
      </w:r>
    </w:p>
    <w:p>
      <w:r>
        <w:rPr>
          <w:b/>
        </w:rPr>
        <w:t xml:space="preserve">6 </w:t>
      </w:r>
      <w:r>
        <w:t xml:space="preserve">Let no one deceive you with vain</w:t>
      </w:r>
      <w:r>
        <w:rPr>
          <w:rStyle w:val="FootnoteReference"/>
        </w:rPr>
        <w:footnoteReference w:id="18243"/>
      </w:r>
      <w:r>
        <w:t xml:space="preserve"> words: for because of these things comes the wrath of God upon the children of disobedience.</w:t>
      </w:r>
    </w:p>
    <w:p>
      <w:r>
        <w:rPr>
          <w:b/>
        </w:rPr>
        <w:t xml:space="preserve">7 </w:t>
      </w:r>
      <w:r>
        <w:t xml:space="preserve">Do not therefore be partakers with them.</w:t>
      </w:r>
    </w:p>
    <w:p>
      <w:r>
        <w:rPr>
          <w:b/>
        </w:rPr>
        <w:t xml:space="preserve">8 </w:t>
      </w:r>
      <w:r>
        <w:t xml:space="preserve">For you were sometimes darkness, but now are you light in the Lord: walk</w:t>
      </w:r>
      <w:r>
        <w:rPr>
          <w:rStyle w:val="FootnoteReference"/>
        </w:rPr>
        <w:footnoteReference w:id="18244"/>
      </w:r>
      <w:r>
        <w:t xml:space="preserve"> as children of light:</w:t>
      </w:r>
    </w:p>
    <w:p>
      <w:r>
        <w:rPr>
          <w:b/>
        </w:rPr>
        <w:t xml:space="preserve">9 </w:t>
      </w:r>
      <w:r>
        <w:t xml:space="preserve">(For the fruit</w:t>
      </w:r>
      <w:r>
        <w:rPr>
          <w:rStyle w:val="FootnoteReference"/>
        </w:rPr>
        <w:footnoteReference w:id="18245"/>
      </w:r>
      <w:r>
        <w:t xml:space="preserve"> of the Spirit is in all goodness and righteousness and truth;)</w:t>
      </w:r>
    </w:p>
    <w:p>
      <w:r>
        <w:rPr>
          <w:b/>
        </w:rPr>
        <w:t xml:space="preserve">10 </w:t>
      </w:r>
      <w:r>
        <w:t xml:space="preserve">Proving</w:t>
      </w:r>
      <w:r>
        <w:rPr>
          <w:rStyle w:val="FootnoteReference"/>
        </w:rPr>
        <w:footnoteReference w:id="18246"/>
      </w:r>
      <w:r>
        <w:t xml:space="preserve"> what is acceptable to the Lord.</w:t>
      </w:r>
    </w:p>
    <w:p>
      <w:r>
        <w:rPr>
          <w:b/>
        </w:rPr>
        <w:t xml:space="preserve">11 </w:t>
      </w:r>
      <w:r>
        <w:t xml:space="preserve">And do not have fellowship with the unfruitful</w:t>
      </w:r>
      <w:r>
        <w:rPr>
          <w:rStyle w:val="FootnoteReference"/>
        </w:rPr>
        <w:footnoteReference w:id="18247"/>
      </w:r>
      <w:r>
        <w:t xml:space="preserve"> works of darkness, but rather even reprove them.</w:t>
      </w:r>
    </w:p>
    <w:p>
      <w:r>
        <w:rPr>
          <w:b/>
        </w:rPr>
        <w:t xml:space="preserve">12 </w:t>
      </w:r>
      <w:r>
        <w:t xml:space="preserve">For the secret things being done by them are shameful even to speak of.</w:t>
      </w:r>
    </w:p>
    <w:p>
      <w:r>
        <w:rPr>
          <w:b/>
        </w:rPr>
        <w:t xml:space="preserve">13 </w:t>
      </w:r>
      <w:r>
        <w:t xml:space="preserve">But all things that are reproved</w:t>
      </w:r>
      <w:r>
        <w:rPr>
          <w:rStyle w:val="FootnoteReference"/>
        </w:rPr>
        <w:footnoteReference w:id="18248"/>
      </w:r>
      <w:r>
        <w:t xml:space="preserve"> are made manifest by the light: for whatever does make manifest is light.</w:t>
      </w:r>
    </w:p>
    <w:p>
      <w:r>
        <w:rPr>
          <w:b/>
        </w:rPr>
        <w:t xml:space="preserve">14 </w:t>
      </w:r>
      <w:r>
        <w:t xml:space="preserve">Therefore he says, Awake</w:t>
      </w:r>
      <w:r>
        <w:rPr>
          <w:rStyle w:val="FootnoteReference"/>
        </w:rPr>
        <w:footnoteReference w:id="18249"/>
      </w:r>
      <w:r>
        <w:t xml:space="preserve"> you that sleep, and arise from the dead, and Christ shall give you light.</w:t>
      </w:r>
    </w:p>
    <w:p>
      <w:r>
        <w:rPr>
          <w:b/>
        </w:rPr>
        <w:t xml:space="preserve">15 </w:t>
      </w:r>
      <w:r>
        <w:t xml:space="preserve">See then that you walk</w:t>
      </w:r>
      <w:r>
        <w:rPr>
          <w:rStyle w:val="FootnoteReference"/>
        </w:rPr>
        <w:footnoteReference w:id="18250"/>
      </w:r>
      <w:r>
        <w:t xml:space="preserve"> circumspectly, not as fools, but as wise,</w:t>
      </w:r>
    </w:p>
    <w:p>
      <w:r>
        <w:rPr>
          <w:b/>
        </w:rPr>
        <w:t xml:space="preserve">16 </w:t>
      </w:r>
      <w:r>
        <w:t xml:space="preserve">Redeeming</w:t>
      </w:r>
      <w:r>
        <w:rPr>
          <w:rStyle w:val="FootnoteReference"/>
        </w:rPr>
        <w:footnoteReference w:id="18251"/>
      </w:r>
      <w:r>
        <w:t xml:space="preserve"> the time, because the days are evil.</w:t>
      </w:r>
    </w:p>
    <w:p>
      <w:r>
        <w:rPr>
          <w:b/>
        </w:rPr>
        <w:t xml:space="preserve">17 </w:t>
      </w:r>
      <w:r>
        <w:t xml:space="preserve">Therefore do not be unwise, but understanding</w:t>
      </w:r>
      <w:r>
        <w:rPr>
          <w:rStyle w:val="FootnoteReference"/>
        </w:rPr>
        <w:footnoteReference w:id="18252"/>
      </w:r>
      <w:r>
        <w:t xml:space="preserve"> what the will of the Lord is.</w:t>
      </w:r>
    </w:p>
    <w:p>
      <w:r>
        <w:rPr>
          <w:b/>
        </w:rPr>
        <w:t xml:space="preserve">18 </w:t>
      </w:r>
      <w:r>
        <w:t xml:space="preserve">And do not be drunk with wine, in which is excess</w:t>
      </w:r>
      <w:r>
        <w:rPr>
          <w:rStyle w:val="FootnoteReference"/>
        </w:rPr>
        <w:footnoteReference w:id="18253"/>
      </w:r>
      <w:r>
        <w:t xml:space="preserve">; but be filled with the Spirit;</w:t>
      </w:r>
    </w:p>
    <w:p>
      <w:r>
        <w:rPr>
          <w:b/>
        </w:rPr>
        <w:t xml:space="preserve">19 </w:t>
      </w:r>
      <w:r>
        <w:t xml:space="preserve">Speaking to yourselves</w:t>
      </w:r>
      <w:r>
        <w:rPr>
          <w:rStyle w:val="FootnoteReference"/>
        </w:rPr>
        <w:footnoteReference w:id="18254"/>
      </w:r>
      <w:r>
        <w:t xml:space="preserve"> in psalms and hymns and spiritual songs, singing and making melody in your heart to the Lord;</w:t>
      </w:r>
    </w:p>
    <w:p>
      <w:r>
        <w:rPr>
          <w:b/>
        </w:rPr>
        <w:t xml:space="preserve">20 </w:t>
      </w:r>
      <w:r>
        <w:t xml:space="preserve">Giving thanks</w:t>
      </w:r>
      <w:r>
        <w:rPr>
          <w:rStyle w:val="FootnoteReference"/>
        </w:rPr>
        <w:footnoteReference w:id="18255"/>
      </w:r>
      <w:r>
        <w:t xml:space="preserve"> always for all things to God and the Father in the name of our Lord Jesus Christ;</w:t>
      </w:r>
    </w:p>
    <w:p>
      <w:r>
        <w:rPr>
          <w:b/>
        </w:rPr>
        <w:t xml:space="preserve">21 </w:t>
      </w:r>
      <w:r>
        <w:t xml:space="preserve">Submitting</w:t>
      </w:r>
      <w:r>
        <w:rPr>
          <w:rStyle w:val="FootnoteReference"/>
        </w:rPr>
        <w:footnoteReference w:id="18256"/>
      </w:r>
      <w:r>
        <w:t xml:space="preserve"> to one another in the fear of God.</w:t>
      </w:r>
    </w:p>
    <w:p>
      <w:r>
        <w:rPr>
          <w:b/>
        </w:rPr>
        <w:t xml:space="preserve">22 </w:t>
      </w:r>
      <w:r>
        <w:t xml:space="preserve">Wives, submit</w:t>
      </w:r>
      <w:r>
        <w:rPr>
          <w:rStyle w:val="FootnoteReference"/>
        </w:rPr>
        <w:footnoteReference w:id="18257"/>
      </w:r>
      <w:r>
        <w:t xml:space="preserve"> yourselves to your own husbands, as to the Lord.</w:t>
      </w:r>
    </w:p>
    <w:p>
      <w:r>
        <w:rPr>
          <w:b/>
        </w:rPr>
        <w:t xml:space="preserve">23 </w:t>
      </w:r>
      <w:r>
        <w:t xml:space="preserve">For the husband</w:t>
      </w:r>
      <w:r>
        <w:rPr>
          <w:rStyle w:val="FootnoteReference"/>
        </w:rPr>
        <w:footnoteReference w:id="18258"/>
      </w:r>
      <w:r>
        <w:t xml:space="preserve"> is the head of the wife, even as Christ is the head of the assembly: and he is the Savior of the body.</w:t>
      </w:r>
    </w:p>
    <w:p>
      <w:r>
        <w:rPr>
          <w:b/>
        </w:rPr>
        <w:t xml:space="preserve">24 </w:t>
      </w:r>
      <w:r>
        <w:t xml:space="preserve">Therefore as the assembly is subject to Christ, so let the wives be to their own husbands in everything.</w:t>
      </w:r>
    </w:p>
    <w:p>
      <w:r>
        <w:rPr>
          <w:b/>
        </w:rPr>
        <w:t xml:space="preserve">25 </w:t>
      </w:r>
      <w:r>
        <w:t xml:space="preserve">Husbands, love</w:t>
      </w:r>
      <w:r>
        <w:rPr>
          <w:rStyle w:val="FootnoteReference"/>
        </w:rPr>
        <w:footnoteReference w:id="18259"/>
      </w:r>
      <w:r>
        <w:t xml:space="preserve"> your wives, even as Christ also loved the assembly, and gave himself for it;</w:t>
      </w:r>
    </w:p>
    <w:p>
      <w:r>
        <w:rPr>
          <w:b/>
        </w:rPr>
        <w:t xml:space="preserve">26 </w:t>
      </w:r>
      <w:r>
        <w:t xml:space="preserve">That he might sanctify and cleanse it with the washing of water by the word,</w:t>
      </w:r>
    </w:p>
    <w:p>
      <w:r>
        <w:rPr>
          <w:b/>
        </w:rPr>
        <w:t xml:space="preserve">27 </w:t>
      </w:r>
      <w:r>
        <w:t xml:space="preserve">That he might present it to himself a glorious</w:t>
      </w:r>
      <w:r>
        <w:rPr>
          <w:rStyle w:val="FootnoteReference"/>
        </w:rPr>
        <w:footnoteReference w:id="18260"/>
      </w:r>
      <w:r>
        <w:t xml:space="preserve"> assembly, not having spot, or wrinkle, or any such thing; but that it should be holy and without blemish.</w:t>
      </w:r>
    </w:p>
    <w:p>
      <w:r>
        <w:rPr>
          <w:b/>
        </w:rPr>
        <w:t xml:space="preserve">28 </w:t>
      </w:r>
      <w:r>
        <w:t xml:space="preserve">So ought men to love their wives as their own bodies. the one who loves his wife loves himself.</w:t>
      </w:r>
    </w:p>
    <w:p>
      <w:r>
        <w:rPr>
          <w:b/>
        </w:rPr>
        <w:t xml:space="preserve">29 </w:t>
      </w:r>
      <w:r>
        <w:t xml:space="preserve">For no one ever yet hated</w:t>
      </w:r>
      <w:r>
        <w:rPr>
          <w:rStyle w:val="FootnoteReference"/>
        </w:rPr>
        <w:footnoteReference w:id="18261"/>
      </w:r>
      <w:r>
        <w:t xml:space="preserve"> his own flesh; but nourishes and cherishes it, even as the Lord the assembly:</w:t>
      </w:r>
    </w:p>
    <w:p>
      <w:r>
        <w:rPr>
          <w:b/>
        </w:rPr>
        <w:t xml:space="preserve">30 </w:t>
      </w:r>
      <w:r>
        <w:t xml:space="preserve">For we are members of his body, of his flesh, and of his bones.</w:t>
      </w:r>
    </w:p>
    <w:p>
      <w:r>
        <w:rPr>
          <w:b/>
        </w:rPr>
        <w:t xml:space="preserve">31 </w:t>
      </w:r>
      <w:r>
        <w:t xml:space="preserve">For this cause shall a man leave his father and mother, and shall be joined to his wife, and they two shall be one flesh.</w:t>
      </w:r>
    </w:p>
    <w:p>
      <w:r>
        <w:rPr>
          <w:b/>
        </w:rPr>
        <w:t xml:space="preserve">32 </w:t>
      </w:r>
      <w:r>
        <w:t xml:space="preserve">This is a great</w:t>
      </w:r>
      <w:r>
        <w:rPr>
          <w:rStyle w:val="FootnoteReference"/>
        </w:rPr>
        <w:footnoteReference w:id="18262"/>
      </w:r>
      <w:r>
        <w:t xml:space="preserve"> mystery: but I speak concerning Christ and the assembly.</w:t>
      </w:r>
    </w:p>
    <w:p>
      <w:r>
        <w:rPr>
          <w:b/>
        </w:rPr>
        <w:t xml:space="preserve">33 </w:t>
      </w:r>
      <w:r>
        <w:t xml:space="preserve">Nevertheless also you, each one, let each love his own wife in this way as himself; and let the wife reverence</w:t>
      </w:r>
      <w:r>
        <w:rPr>
          <w:rStyle w:val="FootnoteReference"/>
        </w:rPr>
        <w:footnoteReference w:id="18263"/>
      </w:r>
      <w:r>
        <w:t xml:space="preserve"> her husband.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Children, obey</w:t>
      </w:r>
      <w:r>
        <w:rPr>
          <w:rStyle w:val="FootnoteReference"/>
        </w:rPr>
        <w:footnoteReference w:id="18264"/>
      </w:r>
      <w:r>
        <w:t xml:space="preserve"> your parents in the Lord: for this is right.</w:t>
      </w:r>
    </w:p>
    <w:p>
      <w:r>
        <w:rPr>
          <w:b/>
        </w:rPr>
        <w:t xml:space="preserve">2 </w:t>
      </w:r>
      <w:r>
        <w:t xml:space="preserve">Honor your father and mother; which is the first commandment with promise;</w:t>
      </w:r>
    </w:p>
    <w:p>
      <w:r>
        <w:rPr>
          <w:b/>
        </w:rPr>
        <w:t xml:space="preserve">3 </w:t>
      </w:r>
      <w:r>
        <w:t xml:space="preserve">That it may be well with you, and you may live long on the earth.</w:t>
      </w:r>
    </w:p>
    <w:p>
      <w:r>
        <w:rPr>
          <w:b/>
        </w:rPr>
        <w:t xml:space="preserve">4 </w:t>
      </w:r>
      <w:r>
        <w:t xml:space="preserve">And, you fathers, provoke not your children to wrath: but bring them up in the nurture and admonition of the Lord.</w:t>
      </w:r>
    </w:p>
    <w:p>
      <w:r>
        <w:rPr>
          <w:b/>
        </w:rPr>
        <w:t xml:space="preserve">5 </w:t>
      </w:r>
      <w:r>
        <w:t xml:space="preserve">Slaves, be obedient to those who are your masters according to the flesh, with fear and trembling, in singleness of your heart, as to Christ;</w:t>
      </w:r>
    </w:p>
    <w:p>
      <w:r>
        <w:rPr>
          <w:b/>
        </w:rPr>
        <w:t xml:space="preserve">6 </w:t>
      </w:r>
      <w:r>
        <w:t xml:space="preserve">Not with eye-service, as men-pleasers; but as the slaves of Christ, doing</w:t>
      </w:r>
      <w:r>
        <w:rPr>
          <w:rStyle w:val="FootnoteReference"/>
        </w:rPr>
        <w:footnoteReference w:id="18265"/>
      </w:r>
      <w:r>
        <w:t xml:space="preserve"> the will of God from the heart;</w:t>
      </w:r>
    </w:p>
    <w:p>
      <w:r>
        <w:rPr>
          <w:b/>
        </w:rPr>
        <w:t xml:space="preserve">7 </w:t>
      </w:r>
      <w:r>
        <w:t xml:space="preserve">With good</w:t>
      </w:r>
      <w:r>
        <w:rPr>
          <w:rStyle w:val="FootnoteReference"/>
        </w:rPr>
        <w:footnoteReference w:id="18266"/>
      </w:r>
      <w:r>
        <w:t xml:space="preserve"> will doing service, as to the Lord, and not to men:</w:t>
      </w:r>
    </w:p>
    <w:p>
      <w:r>
        <w:rPr>
          <w:b/>
        </w:rPr>
        <w:t xml:space="preserve">8 </w:t>
      </w:r>
      <w:r>
        <w:t xml:space="preserve">Knowing that whatever good thing anyone does, the same shall he receive of the Lord, whether</w:t>
      </w:r>
      <w:r>
        <w:rPr>
          <w:rStyle w:val="FootnoteReference"/>
        </w:rPr>
        <w:footnoteReference w:id="18267"/>
      </w:r>
      <w:r>
        <w:t xml:space="preserve"> he be slave or free.</w:t>
      </w:r>
    </w:p>
    <w:p>
      <w:r>
        <w:rPr>
          <w:b/>
        </w:rPr>
        <w:t xml:space="preserve">9 </w:t>
      </w:r>
      <w:r>
        <w:t xml:space="preserve">And, you masters, do the same things to them, forbearing</w:t>
      </w:r>
      <w:r>
        <w:rPr>
          <w:rStyle w:val="FootnoteReference"/>
        </w:rPr>
        <w:footnoteReference w:id="18268"/>
      </w:r>
      <w:r>
        <w:t xml:space="preserve"> threatening: knowing that your Master also is in heaven; neither is there respect of persons with him.</w:t>
      </w:r>
    </w:p>
    <w:p>
      <w:r>
        <w:rPr>
          <w:b/>
        </w:rPr>
        <w:t xml:space="preserve">10 </w:t>
      </w:r>
      <w:r>
        <w:t xml:space="preserve">Finally</w:t>
      </w:r>
      <w:r>
        <w:rPr>
          <w:rStyle w:val="FootnoteReference"/>
        </w:rPr>
        <w:footnoteReference w:id="18269"/>
      </w:r>
      <w:r>
        <w:t xml:space="preserve">, my brothers, be strong in the Lord, and in the power of his might.</w:t>
      </w:r>
    </w:p>
    <w:p>
      <w:r>
        <w:rPr>
          <w:b/>
        </w:rPr>
        <w:t xml:space="preserve">11 </w:t>
      </w:r>
      <w:r>
        <w:t xml:space="preserve">Put on the whole</w:t>
      </w:r>
      <w:r>
        <w:rPr>
          <w:rStyle w:val="FootnoteReference"/>
        </w:rPr>
        <w:footnoteReference w:id="18270"/>
      </w:r>
      <w:r>
        <w:t xml:space="preserve"> armour of God, that you may be able to stand against the wiles of the devil.</w:t>
      </w:r>
    </w:p>
    <w:p>
      <w:r>
        <w:rPr>
          <w:b/>
        </w:rPr>
        <w:t xml:space="preserve">12 </w:t>
      </w:r>
      <w:r>
        <w:t xml:space="preserve">For we do not wrestle</w:t>
      </w:r>
      <w:r>
        <w:rPr>
          <w:rStyle w:val="FootnoteReference"/>
        </w:rPr>
        <w:footnoteReference w:id="18271"/>
      </w:r>
      <w:r>
        <w:t xml:space="preserve"> against flesh and blood, but against principalities, against powers, against the rulers of the darkness of this age, against spiritual wickedness in high places.</w:t>
      </w:r>
    </w:p>
    <w:p>
      <w:r>
        <w:rPr>
          <w:b/>
        </w:rPr>
        <w:t xml:space="preserve">13 </w:t>
      </w:r>
      <w:r>
        <w:t xml:space="preserve">Therefore take</w:t>
      </w:r>
      <w:r>
        <w:rPr>
          <w:rStyle w:val="FootnoteReference"/>
        </w:rPr>
        <w:footnoteReference w:id="18272"/>
      </w:r>
      <w:r>
        <w:t xml:space="preserve"> to you the whole armour of God, that you may be able to withstand in the evil day, and having done all, to stand.</w:t>
      </w:r>
    </w:p>
    <w:p>
      <w:r>
        <w:rPr>
          <w:b/>
        </w:rPr>
        <w:t xml:space="preserve">14 </w:t>
      </w:r>
      <w:r>
        <w:t xml:space="preserve">Stand therefore, having girded your loins with truth, and having put on the breastplate</w:t>
      </w:r>
      <w:r>
        <w:rPr>
          <w:rStyle w:val="FootnoteReference"/>
        </w:rPr>
        <w:footnoteReference w:id="18273"/>
      </w:r>
      <w:r>
        <w:t xml:space="preserve"> of righteousness;</w:t>
      </w:r>
    </w:p>
    <w:p>
      <w:r>
        <w:rPr>
          <w:b/>
        </w:rPr>
        <w:t xml:space="preserve">15 </w:t>
      </w:r>
      <w:r>
        <w:t xml:space="preserve">And your feet shod with the preparation of the good news of peace;</w:t>
      </w:r>
    </w:p>
    <w:p>
      <w:r>
        <w:rPr>
          <w:b/>
        </w:rPr>
        <w:t xml:space="preserve">16 </w:t>
      </w:r>
      <w:r>
        <w:t xml:space="preserve">Above all, taking the shield</w:t>
      </w:r>
      <w:r>
        <w:rPr>
          <w:rStyle w:val="FootnoteReference"/>
        </w:rPr>
        <w:footnoteReference w:id="18274"/>
      </w:r>
      <w:r>
        <w:t xml:space="preserve"> of faith, with which you shall be able to quench all the fiery darts of the wicked.</w:t>
      </w:r>
    </w:p>
    <w:p>
      <w:r>
        <w:rPr>
          <w:b/>
        </w:rPr>
        <w:t xml:space="preserve">17 </w:t>
      </w:r>
      <w:r>
        <w:t xml:space="preserve">And take the helmet</w:t>
      </w:r>
      <w:r>
        <w:rPr>
          <w:rStyle w:val="FootnoteReference"/>
        </w:rPr>
        <w:footnoteReference w:id="18275"/>
      </w:r>
      <w:r>
        <w:t xml:space="preserve"> of salvation, and the sword of the Spirit, which is the word of God:</w:t>
      </w:r>
    </w:p>
    <w:p>
      <w:r>
        <w:rPr>
          <w:b/>
        </w:rPr>
        <w:t xml:space="preserve">18 </w:t>
      </w:r>
      <w:r>
        <w:t xml:space="preserve">Praying</w:t>
      </w:r>
      <w:r>
        <w:rPr>
          <w:rStyle w:val="FootnoteReference"/>
        </w:rPr>
        <w:footnoteReference w:id="18276"/>
      </w:r>
      <w:r>
        <w:t xml:space="preserve"> always with all prayer and supplication in the Spirit, and watching to this with all perseverance and supplication for all holy ones;</w:t>
      </w:r>
    </w:p>
    <w:p>
      <w:r>
        <w:rPr>
          <w:b/>
        </w:rPr>
        <w:t xml:space="preserve">19 </w:t>
      </w:r>
      <w:r>
        <w:t xml:space="preserve">And for me, that utterance</w:t>
      </w:r>
      <w:r>
        <w:rPr>
          <w:rStyle w:val="FootnoteReference"/>
        </w:rPr>
        <w:footnoteReference w:id="18277"/>
      </w:r>
      <w:r>
        <w:t xml:space="preserve"> may be given to me, that I may open my mouth boldly, to make known the mystery of the good news,</w:t>
      </w:r>
    </w:p>
    <w:p>
      <w:r>
        <w:rPr>
          <w:b/>
        </w:rPr>
        <w:t xml:space="preserve">20 </w:t>
      </w:r>
      <w:r>
        <w:t xml:space="preserve">For which I am an ambassador in bonds</w:t>
      </w:r>
      <w:r>
        <w:rPr>
          <w:rStyle w:val="FootnoteReference"/>
        </w:rPr>
        <w:footnoteReference w:id="18278"/>
      </w:r>
      <w:r>
        <w:t xml:space="preserve">: that in it I may speak boldly, as I ought to speak.</w:t>
      </w:r>
    </w:p>
    <w:p>
      <w:r>
        <w:rPr>
          <w:b/>
        </w:rPr>
        <w:t xml:space="preserve">21 </w:t>
      </w:r>
      <w:r>
        <w:t xml:space="preserve">But that you also may know my affairs, and how I do, Tychicus</w:t>
      </w:r>
      <w:r>
        <w:rPr>
          <w:rStyle w:val="FootnoteReference"/>
        </w:rPr>
        <w:footnoteReference w:id="18279"/>
      </w:r>
      <w:r>
        <w:t xml:space="preserve">, a beloved brother and faithful minister in the Lord, shall make known to you all things:</w:t>
      </w:r>
    </w:p>
    <w:p>
      <w:r>
        <w:rPr>
          <w:b/>
        </w:rPr>
        <w:t xml:space="preserve">22 </w:t>
      </w:r>
      <w:r>
        <w:t xml:space="preserve">Whom I have sent to you for the same purpose, that you might know our affairs, and that he might comfort your hearts.</w:t>
      </w:r>
    </w:p>
    <w:p>
      <w:r>
        <w:rPr>
          <w:b/>
        </w:rPr>
        <w:t xml:space="preserve">23 </w:t>
      </w:r>
      <w:r>
        <w:t xml:space="preserve">Peace</w:t>
      </w:r>
      <w:r>
        <w:rPr>
          <w:rStyle w:val="FootnoteReference"/>
        </w:rPr>
        <w:footnoteReference w:id="18280"/>
      </w:r>
      <w:r>
        <w:t xml:space="preserve"> be to the brothers, and love with faith, from God the Father and the Lord Jesus Christ.</w:t>
      </w:r>
    </w:p>
    <w:p>
      <w:r>
        <w:rPr>
          <w:b/>
        </w:rPr>
        <w:t xml:space="preserve">24 </w:t>
      </w:r>
      <w:r>
        <w:t xml:space="preserve">Grace</w:t>
      </w:r>
      <w:r>
        <w:rPr>
          <w:rStyle w:val="FootnoteReference"/>
        </w:rPr>
        <w:footnoteReference w:id="18281"/>
      </w:r>
      <w:r>
        <w:t xml:space="preserve"> be with all those who love our Lord Jesus Christ in sincerity. Amen.</w:t>
      </w:r>
    </w:p>
    <w:p>
      <w:r>
        <w:br w:type="page"/>
      </w:r>
    </w:p>
    <w:p>
      <w:pPr>
        <w:pStyle w:val="Heading1"/>
      </w:pPr>
      <w:r>
        <w:t xml:space="preserve">Philippians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w:t>
      </w:r>
      <w:r>
        <w:rPr>
          <w:rStyle w:val="FootnoteReference"/>
        </w:rPr>
        <w:footnoteReference w:id="18282"/>
      </w:r>
      <w:r>
        <w:t xml:space="preserve"> and Timothy, the slaves of Jesus Christ, to all the holy ones in Christ Jesus who are at Philippi, with the overseers and servants</w:t>
      </w:r>
      <w:r>
        <w:rPr>
          <w:rStyle w:val="FootnoteReference"/>
        </w:rPr>
        <w:footnoteReference w:id="18283"/>
      </w:r>
      <w:r>
        <w:t xml:space="preserve">:</w:t>
      </w:r>
    </w:p>
    <w:p>
      <w:r>
        <w:rPr>
          <w:b/>
        </w:rPr>
        <w:t xml:space="preserve">2 </w:t>
      </w:r>
      <w:r>
        <w:t xml:space="preserve">Grace be to you, and peace, from God our Father, and from the Lord Jesus Christ.</w:t>
      </w:r>
    </w:p>
    <w:p>
      <w:r>
        <w:rPr>
          <w:b/>
        </w:rPr>
        <w:t xml:space="preserve">3 </w:t>
      </w:r>
      <w:r>
        <w:t xml:space="preserve">I thank</w:t>
      </w:r>
      <w:r>
        <w:rPr>
          <w:rStyle w:val="FootnoteReference"/>
        </w:rPr>
        <w:footnoteReference w:id="18284"/>
      </w:r>
      <w:r>
        <w:t xml:space="preserve"> my God at every remembrance of you,</w:t>
      </w:r>
    </w:p>
    <w:p>
      <w:r>
        <w:rPr>
          <w:b/>
        </w:rPr>
        <w:t xml:space="preserve">4 </w:t>
      </w:r>
      <w:r>
        <w:t xml:space="preserve">always in every prayer of mine for you all, making my prayer with joy,</w:t>
      </w:r>
    </w:p>
    <w:p>
      <w:r>
        <w:rPr>
          <w:b/>
        </w:rPr>
        <w:t xml:space="preserve">5 </w:t>
      </w:r>
      <w:r>
        <w:t xml:space="preserve">For your fellowship in the good news from the first day until now;</w:t>
      </w:r>
    </w:p>
    <w:p>
      <w:r>
        <w:rPr>
          <w:b/>
        </w:rPr>
        <w:t xml:space="preserve">6 </w:t>
      </w:r>
      <w:r>
        <w:t xml:space="preserve">Being confident</w:t>
      </w:r>
      <w:r>
        <w:rPr>
          <w:rStyle w:val="FootnoteReference"/>
        </w:rPr>
        <w:footnoteReference w:id="18285"/>
      </w:r>
      <w:r>
        <w:t xml:space="preserve"> of this very thing, that the one who has begun a good work in you will perform it until the day of Jesus Christ:</w:t>
      </w:r>
    </w:p>
    <w:p>
      <w:r>
        <w:rPr>
          <w:b/>
        </w:rPr>
        <w:t xml:space="preserve">7 </w:t>
      </w:r>
      <w:r>
        <w:t xml:space="preserve">Even as it is fitting for me to think this of you all, because I have you in my heart</w:t>
      </w:r>
      <w:r>
        <w:rPr>
          <w:rStyle w:val="FootnoteReference"/>
        </w:rPr>
        <w:footnoteReference w:id="18286"/>
      </w:r>
      <w:r>
        <w:t xml:space="preserve">; inasmuch as both in my bonds, and in the defence and confirmation of the good news, you all are partakers of my grace.</w:t>
      </w:r>
    </w:p>
    <w:p>
      <w:r>
        <w:rPr>
          <w:b/>
        </w:rPr>
        <w:t xml:space="preserve">8 </w:t>
      </w:r>
      <w:r>
        <w:t xml:space="preserve">For God is my witness, how I long for you all in the deep affection of Jesus Christ.</w:t>
      </w:r>
    </w:p>
    <w:p>
      <w:r>
        <w:rPr>
          <w:b/>
        </w:rPr>
        <w:t xml:space="preserve">9 </w:t>
      </w:r>
      <w:r>
        <w:t xml:space="preserve">And this I pray, that your love may abound yet more and more in knowledge</w:t>
      </w:r>
      <w:r>
        <w:rPr>
          <w:rStyle w:val="FootnoteReference"/>
        </w:rPr>
        <w:footnoteReference w:id="18287"/>
      </w:r>
      <w:r>
        <w:t xml:space="preserve"> and in all judgment;</w:t>
      </w:r>
    </w:p>
    <w:p>
      <w:r>
        <w:rPr>
          <w:b/>
        </w:rPr>
        <w:t xml:space="preserve">10 </w:t>
      </w:r>
      <w:r>
        <w:t xml:space="preserve">That you may approve things that are excellent</w:t>
      </w:r>
      <w:r>
        <w:rPr>
          <w:rStyle w:val="FootnoteReference"/>
        </w:rPr>
        <w:footnoteReference w:id="18288"/>
      </w:r>
      <w:r>
        <w:t xml:space="preserve">; that you may be sincere and without offense till the day of Christ.</w:t>
      </w:r>
    </w:p>
    <w:p>
      <w:r>
        <w:rPr>
          <w:b/>
        </w:rPr>
        <w:t xml:space="preserve">11 </w:t>
      </w:r>
      <w:r>
        <w:t xml:space="preserve">Being filled</w:t>
      </w:r>
      <w:r>
        <w:rPr>
          <w:rStyle w:val="FootnoteReference"/>
        </w:rPr>
        <w:footnoteReference w:id="18289"/>
      </w:r>
      <w:r>
        <w:t xml:space="preserve"> with the fruits of righteousness, which are by Jesus Christ, to the glory and praise of God.</w:t>
      </w:r>
    </w:p>
    <w:p>
      <w:r>
        <w:rPr>
          <w:b/>
        </w:rPr>
        <w:t xml:space="preserve">12 </w:t>
      </w:r>
      <w:r>
        <w:t xml:space="preserve">But I would you should understand, brothers, that the things which happened to me have fallen out rather</w:t>
      </w:r>
      <w:r>
        <w:rPr>
          <w:rStyle w:val="FootnoteReference"/>
        </w:rPr>
        <w:footnoteReference w:id="18290"/>
      </w:r>
      <w:r>
        <w:t xml:space="preserve"> to the furtherance of the good news;</w:t>
      </w:r>
    </w:p>
    <w:p>
      <w:r>
        <w:rPr>
          <w:b/>
        </w:rPr>
        <w:t xml:space="preserve">13 </w:t>
      </w:r>
      <w:r>
        <w:t xml:space="preserve">so that my bonds became manifest in Christ</w:t>
      </w:r>
      <w:r>
        <w:rPr>
          <w:rStyle w:val="FootnoteReference"/>
        </w:rPr>
        <w:footnoteReference w:id="18291"/>
      </w:r>
      <w:r>
        <w:t xml:space="preserve"> in the whole praetorium, and to all the rest;</w:t>
      </w:r>
    </w:p>
    <w:p>
      <w:r>
        <w:rPr>
          <w:b/>
        </w:rPr>
        <w:t xml:space="preserve">14 </w:t>
      </w:r>
      <w:r>
        <w:t xml:space="preserve">And many of the brothers in the Lord, waxing</w:t>
      </w:r>
      <w:r>
        <w:rPr>
          <w:rStyle w:val="FootnoteReference"/>
        </w:rPr>
        <w:footnoteReference w:id="18292"/>
      </w:r>
      <w:r>
        <w:t xml:space="preserve"> confident by my bonds, are much more bold to speak the word without fear.</w:t>
      </w:r>
    </w:p>
    <w:p>
      <w:r>
        <w:rPr>
          <w:b/>
        </w:rPr>
        <w:t xml:space="preserve">15 </w:t>
      </w:r>
      <w:r>
        <w:t xml:space="preserve">Some indeed also preach</w:t>
      </w:r>
      <w:r>
        <w:rPr>
          <w:rStyle w:val="FootnoteReference"/>
        </w:rPr>
        <w:footnoteReference w:id="18293"/>
      </w:r>
      <w:r>
        <w:t xml:space="preserve"> Christ through envy and strife, but some also through good will:</w:t>
      </w:r>
    </w:p>
    <w:p>
      <w:r>
        <w:rPr>
          <w:b/>
        </w:rPr>
        <w:t xml:space="preserve">16 </w:t>
      </w:r>
      <w:r>
        <w:t xml:space="preserve">Those from selfish ambition proclaim Christ, not sincerely</w:t>
      </w:r>
      <w:r>
        <w:rPr>
          <w:rStyle w:val="FootnoteReference"/>
        </w:rPr>
        <w:footnoteReference w:id="18294"/>
      </w:r>
      <w:r>
        <w:t xml:space="preserve">, supposing to add affliction to my bonds:</w:t>
      </w:r>
    </w:p>
    <w:p>
      <w:r>
        <w:rPr>
          <w:b/>
        </w:rPr>
        <w:t xml:space="preserve">17 </w:t>
      </w:r>
      <w:r>
        <w:t xml:space="preserve">But the other of love, knowing that I am set for the defence of the good news.</w:t>
      </w:r>
    </w:p>
    <w:p>
      <w:r>
        <w:rPr>
          <w:b/>
        </w:rPr>
        <w:t xml:space="preserve">18 </w:t>
      </w:r>
      <w:r>
        <w:t xml:space="preserve">What then? notwithstanding, every way, whether</w:t>
      </w:r>
      <w:r>
        <w:rPr>
          <w:rStyle w:val="FootnoteReference"/>
        </w:rPr>
        <w:footnoteReference w:id="18295"/>
      </w:r>
      <w:r>
        <w:t xml:space="preserve"> in pretence, or in truth, Christ is preached; and I in it do rejoice, yes, and will rejoice.</w:t>
      </w:r>
    </w:p>
    <w:p>
      <w:r>
        <w:rPr>
          <w:b/>
        </w:rPr>
        <w:t xml:space="preserve">19 </w:t>
      </w:r>
      <w:r>
        <w:t xml:space="preserve">For I know that this shall turn to my salvation through your prayer, and the supply of the Spirit</w:t>
      </w:r>
      <w:r>
        <w:rPr>
          <w:rStyle w:val="FootnoteReference"/>
        </w:rPr>
        <w:footnoteReference w:id="18296"/>
      </w:r>
      <w:r>
        <w:t xml:space="preserve"> of Jesus Christ,</w:t>
      </w:r>
    </w:p>
    <w:p>
      <w:r>
        <w:rPr>
          <w:b/>
        </w:rPr>
        <w:t xml:space="preserve">20 </w:t>
      </w:r>
      <w:r>
        <w:t xml:space="preserve">According to my earnest</w:t>
      </w:r>
      <w:r>
        <w:rPr>
          <w:rStyle w:val="FootnoteReference"/>
        </w:rPr>
        <w:footnoteReference w:id="18297"/>
      </w:r>
      <w:r>
        <w:t xml:space="preserve"> expectation and my hope, that in nothing I shall be ashamed, but that with all boldness, as always, so now also Christ shall be magnified in my body, whether it be by life, or by death.</w:t>
      </w:r>
    </w:p>
    <w:p>
      <w:r>
        <w:rPr>
          <w:b/>
        </w:rPr>
        <w:t xml:space="preserve">21 </w:t>
      </w:r>
      <w:r>
        <w:t xml:space="preserve">For to me to live</w:t>
      </w:r>
      <w:r>
        <w:rPr>
          <w:rStyle w:val="FootnoteReference"/>
        </w:rPr>
        <w:footnoteReference w:id="18298"/>
      </w:r>
      <w:r>
        <w:t xml:space="preserve"> is Christ, and to die is gain.</w:t>
      </w:r>
    </w:p>
    <w:p>
      <w:r>
        <w:rPr>
          <w:b/>
        </w:rPr>
        <w:t xml:space="preserve">22 </w:t>
      </w:r>
      <w:r>
        <w:t xml:space="preserve">But if I live</w:t>
      </w:r>
      <w:r>
        <w:rPr>
          <w:rStyle w:val="FootnoteReference"/>
        </w:rPr>
        <w:footnoteReference w:id="18299"/>
      </w:r>
      <w:r>
        <w:t xml:space="preserve"> in the flesh, this is the fruit of my labor: yet what I shall choose I do not know.</w:t>
      </w:r>
    </w:p>
    <w:p>
      <w:r>
        <w:rPr>
          <w:b/>
        </w:rPr>
        <w:t xml:space="preserve">23 </w:t>
      </w:r>
      <w:r>
        <w:t xml:space="preserve">For I am pressed between two, having a desire</w:t>
      </w:r>
      <w:r>
        <w:rPr>
          <w:rStyle w:val="FootnoteReference"/>
        </w:rPr>
        <w:footnoteReference w:id="18300"/>
      </w:r>
      <w:r>
        <w:t xml:space="preserve"> to depart, and to be with Christ; which is far better:</w:t>
      </w:r>
    </w:p>
    <w:p>
      <w:r>
        <w:rPr>
          <w:b/>
        </w:rPr>
        <w:t xml:space="preserve">24 </w:t>
      </w:r>
      <w:r>
        <w:t xml:space="preserve">But to remain in the flesh is more necessary for you.</w:t>
      </w:r>
    </w:p>
    <w:p>
      <w:r>
        <w:rPr>
          <w:b/>
        </w:rPr>
        <w:t xml:space="preserve">25 </w:t>
      </w:r>
      <w:r>
        <w:t xml:space="preserve">And being confident of this, I know that I shall remain and continue with you all for your progress and joy of the faith;</w:t>
      </w:r>
    </w:p>
    <w:p>
      <w:r>
        <w:rPr>
          <w:b/>
        </w:rPr>
        <w:t xml:space="preserve">26 </w:t>
      </w:r>
      <w:r>
        <w:t xml:space="preserve">that your boasting may abound in Christ Jesus in me through my presence with you again.</w:t>
      </w:r>
    </w:p>
    <w:p>
      <w:r>
        <w:rPr>
          <w:b/>
        </w:rPr>
        <w:t xml:space="preserve">27 </w:t>
      </w:r>
      <w:r>
        <w:t xml:space="preserve">Only let your conduct be as it becomes the good news of Christ: that whether</w:t>
      </w:r>
      <w:r>
        <w:rPr>
          <w:rStyle w:val="FootnoteReference"/>
        </w:rPr>
        <w:footnoteReference w:id="18301"/>
      </w:r>
      <w:r>
        <w:t xml:space="preserve"> I come and see you, or else be absent, I may hear of your affairs, that you stand fast in one spirit, with one mind striving together for the faith of the good news;</w:t>
      </w:r>
    </w:p>
    <w:p>
      <w:r>
        <w:rPr>
          <w:b/>
        </w:rPr>
        <w:t xml:space="preserve">28 </w:t>
      </w:r>
      <w:r>
        <w:t xml:space="preserve">And in nothing terrified by your adversaries: which is to them an evident token of destruction, but to you of salvation, and that</w:t>
      </w:r>
      <w:r>
        <w:rPr>
          <w:rStyle w:val="FootnoteReference"/>
        </w:rPr>
        <w:footnoteReference w:id="18302"/>
      </w:r>
      <w:r>
        <w:t xml:space="preserve"> of God.</w:t>
      </w:r>
    </w:p>
    <w:p>
      <w:r>
        <w:rPr>
          <w:b/>
        </w:rPr>
        <w:t xml:space="preserve">29 </w:t>
      </w:r>
      <w:r>
        <w:t xml:space="preserve">For to you it is given in the behalf of Christ, not only to believe on him, but also to suffer for his sake;</w:t>
      </w:r>
    </w:p>
    <w:p>
      <w:r>
        <w:rPr>
          <w:b/>
        </w:rPr>
        <w:t xml:space="preserve">30 </w:t>
      </w:r>
      <w:r>
        <w:t xml:space="preserve">Having the same conflict which you saw in me, and now hear to be in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If therefore there is any consolation</w:t>
      </w:r>
      <w:r>
        <w:rPr>
          <w:rStyle w:val="FootnoteReference"/>
        </w:rPr>
        <w:footnoteReference w:id="18303"/>
      </w:r>
      <w:r>
        <w:t xml:space="preserve"> in Christ, if any comfort of love, if any fellowship of the Spirit, if any deep affections and mercies,</w:t>
      </w:r>
    </w:p>
    <w:p>
      <w:r>
        <w:rPr>
          <w:b/>
        </w:rPr>
        <w:t xml:space="preserve">2 </w:t>
      </w:r>
      <w:r>
        <w:t xml:space="preserve">Fulfill you my joy, that you be likeminded, having the same love, being of one accord</w:t>
      </w:r>
      <w:r>
        <w:rPr>
          <w:rStyle w:val="FootnoteReference"/>
        </w:rPr>
        <w:footnoteReference w:id="18304"/>
      </w:r>
      <w:r>
        <w:t xml:space="preserve">, of one mind.</w:t>
      </w:r>
    </w:p>
    <w:p>
      <w:r>
        <w:rPr>
          <w:b/>
        </w:rPr>
        <w:t xml:space="preserve">3 </w:t>
      </w:r>
      <w:r>
        <w:t xml:space="preserve">Let nothing</w:t>
      </w:r>
      <w:r>
        <w:rPr>
          <w:rStyle w:val="FootnoteReference"/>
        </w:rPr>
        <w:footnoteReference w:id="18305"/>
      </w:r>
      <w:r>
        <w:t xml:space="preserve"> be done through strife or conceit; but in lowliness of mind let each esteem other better than themselves.</w:t>
      </w:r>
    </w:p>
    <w:p>
      <w:r>
        <w:rPr>
          <w:b/>
        </w:rPr>
        <w:t xml:space="preserve">4 </w:t>
      </w:r>
      <w:r>
        <w:t xml:space="preserve">Let each not look to his own things, but each also to the things of others.</w:t>
      </w:r>
    </w:p>
    <w:p>
      <w:r>
        <w:rPr>
          <w:b/>
        </w:rPr>
        <w:t xml:space="preserve">5 </w:t>
      </w:r>
      <w:r>
        <w:t xml:space="preserve">For let this mind be in you, which was also in Christ Jesus:</w:t>
      </w:r>
    </w:p>
    <w:p>
      <w:r>
        <w:rPr>
          <w:b/>
        </w:rPr>
        <w:t xml:space="preserve">6 </w:t>
      </w:r>
      <w:r>
        <w:t xml:space="preserve">who, existing in the form of God, did not consider being equal with God a thing to be seized:</w:t>
      </w:r>
    </w:p>
    <w:p>
      <w:r>
        <w:rPr>
          <w:b/>
        </w:rPr>
        <w:t xml:space="preserve">7 </w:t>
      </w:r>
      <w:r>
        <w:t xml:space="preserve">But made</w:t>
      </w:r>
      <w:r>
        <w:rPr>
          <w:rStyle w:val="FootnoteReference"/>
        </w:rPr>
        <w:footnoteReference w:id="18306"/>
      </w:r>
      <w:r>
        <w:t xml:space="preserve"> himself of no reputation, and took upon him the form of a slave, and was made in the likeness of men:</w:t>
      </w:r>
    </w:p>
    <w:p>
      <w:r>
        <w:rPr>
          <w:b/>
        </w:rPr>
        <w:t xml:space="preserve">8 </w:t>
      </w:r>
      <w:r>
        <w:t xml:space="preserve">And being found in fashion as a man, he humbled himself, and became</w:t>
      </w:r>
      <w:r>
        <w:rPr>
          <w:rStyle w:val="FootnoteReference"/>
        </w:rPr>
        <w:footnoteReference w:id="18307"/>
      </w:r>
      <w:r>
        <w:t xml:space="preserve"> obedient to death, even the death of the cross.</w:t>
      </w:r>
    </w:p>
    <w:p>
      <w:r>
        <w:rPr>
          <w:b/>
        </w:rPr>
        <w:t xml:space="preserve">9 </w:t>
      </w:r>
      <w:r>
        <w:t xml:space="preserve">Therefore God also has highly exalted him, and given</w:t>
      </w:r>
      <w:r>
        <w:rPr>
          <w:rStyle w:val="FootnoteReference"/>
        </w:rPr>
        <w:footnoteReference w:id="18308"/>
      </w:r>
      <w:r>
        <w:t xml:space="preserve"> him a name which is above every name:</w:t>
      </w:r>
    </w:p>
    <w:p>
      <w:r>
        <w:rPr>
          <w:b/>
        </w:rPr>
        <w:t xml:space="preserve">10 </w:t>
      </w:r>
      <w:r>
        <w:t xml:space="preserve">That at the name of Jesus every knee should bow, of things in heaven, and things on earth, and things under</w:t>
      </w:r>
      <w:r>
        <w:rPr>
          <w:rStyle w:val="FootnoteReference"/>
        </w:rPr>
        <w:footnoteReference w:id="18309"/>
      </w:r>
      <w:r>
        <w:t xml:space="preserve"> the earth;</w:t>
      </w:r>
    </w:p>
    <w:p>
      <w:r>
        <w:rPr>
          <w:b/>
        </w:rPr>
        <w:t xml:space="preserve">11 </w:t>
      </w:r>
      <w:r>
        <w:t xml:space="preserve">And that every tongue should confess that Jesus Christ is Lord</w:t>
      </w:r>
      <w:r>
        <w:rPr>
          <w:rStyle w:val="FootnoteReference"/>
        </w:rPr>
        <w:footnoteReference w:id="18310"/>
      </w:r>
      <w:r>
        <w:t xml:space="preserve">, to the glory of God the Father.</w:t>
      </w:r>
    </w:p>
    <w:p>
      <w:r>
        <w:rPr>
          <w:b/>
        </w:rPr>
        <w:t xml:space="preserve">12 </w:t>
      </w:r>
      <w:r>
        <w:t xml:space="preserve">Therefore, my beloved</w:t>
      </w:r>
      <w:r>
        <w:rPr>
          <w:rStyle w:val="FootnoteReference"/>
        </w:rPr>
        <w:footnoteReference w:id="18311"/>
      </w:r>
      <w:r>
        <w:t xml:space="preserve">, as you have always obeyed, not as in my presence only, but now much more in my absence, work out your own salvation with fear and trembling.</w:t>
      </w:r>
    </w:p>
    <w:p>
      <w:r>
        <w:rPr>
          <w:b/>
        </w:rPr>
        <w:t xml:space="preserve">13 </w:t>
      </w:r>
      <w:r>
        <w:t xml:space="preserve">For it is God who works in you both to will</w:t>
      </w:r>
      <w:r>
        <w:rPr>
          <w:rStyle w:val="FootnoteReference"/>
        </w:rPr>
        <w:footnoteReference w:id="18312"/>
      </w:r>
      <w:r>
        <w:t xml:space="preserve"> and to do of his good pleasure.</w:t>
      </w:r>
    </w:p>
    <w:p>
      <w:r>
        <w:rPr>
          <w:b/>
        </w:rPr>
        <w:t xml:space="preserve">14 </w:t>
      </w:r>
      <w:r>
        <w:t xml:space="preserve">Do all things without grumblings and reasonings:</w:t>
      </w:r>
    </w:p>
    <w:p>
      <w:r>
        <w:rPr>
          <w:b/>
        </w:rPr>
        <w:t xml:space="preserve">15 </w:t>
      </w:r>
      <w:r>
        <w:t xml:space="preserve">That you may be blameless</w:t>
      </w:r>
      <w:r>
        <w:rPr>
          <w:rStyle w:val="FootnoteReference"/>
        </w:rPr>
        <w:footnoteReference w:id="18313"/>
      </w:r>
      <w:r>
        <w:t xml:space="preserve"> and harmless, the sons of God, without rebuke, in the midst of a crooked and perverse nation, among whom you shine as lights in the world;</w:t>
      </w:r>
    </w:p>
    <w:p>
      <w:r>
        <w:rPr>
          <w:b/>
        </w:rPr>
        <w:t xml:space="preserve">16 </w:t>
      </w:r>
      <w:r>
        <w:t xml:space="preserve">Holding</w:t>
      </w:r>
      <w:r>
        <w:rPr>
          <w:rStyle w:val="FootnoteReference"/>
        </w:rPr>
        <w:footnoteReference w:id="18314"/>
      </w:r>
      <w:r>
        <w:t xml:space="preserve"> forth the word of life; that I may rejoice in the day of Christ, that I have not run in vain, neither labored in vain.</w:t>
      </w:r>
    </w:p>
    <w:p>
      <w:r>
        <w:rPr>
          <w:b/>
        </w:rPr>
        <w:t xml:space="preserve">17 </w:t>
      </w:r>
      <w:r>
        <w:t xml:space="preserve">Yes, and if</w:t>
      </w:r>
      <w:r>
        <w:rPr>
          <w:rStyle w:val="FootnoteReference"/>
        </w:rPr>
        <w:footnoteReference w:id="18315"/>
      </w:r>
      <w:r>
        <w:t xml:space="preserve"> I be offered upon the sacrifice and service of your faith, I joy, and rejoice with you all.</w:t>
      </w:r>
    </w:p>
    <w:p>
      <w:r>
        <w:rPr>
          <w:b/>
        </w:rPr>
        <w:t xml:space="preserve">18 </w:t>
      </w:r>
      <w:r>
        <w:t xml:space="preserve">For the same cause also do you joy, and rejoice with me.</w:t>
      </w:r>
    </w:p>
    <w:p>
      <w:r>
        <w:rPr>
          <w:b/>
        </w:rPr>
        <w:t xml:space="preserve">19 </w:t>
      </w:r>
      <w:r>
        <w:t xml:space="preserve">But I trust in the Lord Jesus to send</w:t>
      </w:r>
      <w:r>
        <w:rPr>
          <w:rStyle w:val="FootnoteReference"/>
        </w:rPr>
        <w:footnoteReference w:id="18316"/>
      </w:r>
      <w:r>
        <w:t xml:space="preserve"> Timothy shortly to you, that I also may be of good comfort, when I know your state.</w:t>
      </w:r>
    </w:p>
    <w:p>
      <w:r>
        <w:rPr>
          <w:b/>
        </w:rPr>
        <w:t xml:space="preserve">20 </w:t>
      </w:r>
      <w:r>
        <w:t xml:space="preserve">For I have no one likeminded</w:t>
      </w:r>
      <w:r>
        <w:rPr>
          <w:rStyle w:val="FootnoteReference"/>
        </w:rPr>
        <w:footnoteReference w:id="18317"/>
      </w:r>
      <w:r>
        <w:t xml:space="preserve">, who will naturally care for your state.</w:t>
      </w:r>
    </w:p>
    <w:p>
      <w:r>
        <w:rPr>
          <w:b/>
        </w:rPr>
        <w:t xml:space="preserve">21 </w:t>
      </w:r>
      <w:r>
        <w:t xml:space="preserve">For all seek their own things, not the things of Christ Jesus.</w:t>
      </w:r>
    </w:p>
    <w:p>
      <w:r>
        <w:rPr>
          <w:b/>
        </w:rPr>
        <w:t xml:space="preserve">22 </w:t>
      </w:r>
      <w:r>
        <w:t xml:space="preserve">But you know the proof of him, that, as a son with the father, he has served with me in the good news.</w:t>
      </w:r>
    </w:p>
    <w:p>
      <w:r>
        <w:rPr>
          <w:b/>
        </w:rPr>
        <w:t xml:space="preserve">23 </w:t>
      </w:r>
      <w:r>
        <w:t xml:space="preserve">Him therefore I hope to send soon, so soon as I shall see how it will go with me.</w:t>
      </w:r>
    </w:p>
    <w:p>
      <w:r>
        <w:rPr>
          <w:b/>
        </w:rPr>
        <w:t xml:space="preserve">24 </w:t>
      </w:r>
      <w:r>
        <w:t xml:space="preserve">But I trust in the Lord that I also myself shall come shortly.</w:t>
      </w:r>
    </w:p>
    <w:p>
      <w:r>
        <w:rPr>
          <w:b/>
        </w:rPr>
        <w:t xml:space="preserve">25 </w:t>
      </w:r>
      <w:r>
        <w:t xml:space="preserve">Yet I supposed it necessary to send to you Epaphroditus</w:t>
      </w:r>
      <w:r>
        <w:rPr>
          <w:rStyle w:val="FootnoteReference"/>
        </w:rPr>
        <w:footnoteReference w:id="18318"/>
      </w:r>
      <w:r>
        <w:t xml:space="preserve">, my brother, and companion in labor, and fellow soldier, but your messenger, and the one who ministered to my wants.</w:t>
      </w:r>
      <w:r>
        <w:rPr>
          <w:rStyle w:val="FootnoteReference"/>
        </w:rPr>
        <w:footnoteReference w:id="18319"/>
      </w:r>
    </w:p>
    <w:p>
      <w:r>
        <w:rPr>
          <w:b/>
        </w:rPr>
        <w:t xml:space="preserve">26 </w:t>
      </w:r>
      <w:r>
        <w:t xml:space="preserve">For he longed</w:t>
      </w:r>
      <w:r>
        <w:rPr>
          <w:rStyle w:val="FootnoteReference"/>
        </w:rPr>
        <w:footnoteReference w:id="18320"/>
      </w:r>
      <w:r>
        <w:t xml:space="preserve"> after you all, and was full of heaviness, because you had heard that he had been sick.</w:t>
      </w:r>
    </w:p>
    <w:p>
      <w:r>
        <w:rPr>
          <w:b/>
        </w:rPr>
        <w:t xml:space="preserve">27 </w:t>
      </w:r>
      <w:r>
        <w:t xml:space="preserve">For indeed he was sick near to death: but God</w:t>
      </w:r>
      <w:r>
        <w:rPr>
          <w:rStyle w:val="FootnoteReference"/>
        </w:rPr>
        <w:footnoteReference w:id="18321"/>
      </w:r>
      <w:r>
        <w:t xml:space="preserve"> had mercy on him; and not on him only, but on me also, lest I should have sorrow upon sorrow.</w:t>
      </w:r>
    </w:p>
    <w:p>
      <w:r>
        <w:rPr>
          <w:b/>
        </w:rPr>
        <w:t xml:space="preserve">28 </w:t>
      </w:r>
      <w:r>
        <w:t xml:space="preserve">I sent him therefore the more carefully, that, when you see him again, you may rejoice, and that</w:t>
      </w:r>
      <w:r>
        <w:rPr>
          <w:rStyle w:val="FootnoteReference"/>
        </w:rPr>
        <w:footnoteReference w:id="18322"/>
      </w:r>
      <w:r>
        <w:t xml:space="preserve"> I may be the less sorrowful.</w:t>
      </w:r>
    </w:p>
    <w:p>
      <w:r>
        <w:rPr>
          <w:b/>
        </w:rPr>
        <w:t xml:space="preserve">29 </w:t>
      </w:r>
      <w:r>
        <w:t xml:space="preserve">Receive</w:t>
      </w:r>
      <w:r>
        <w:rPr>
          <w:rStyle w:val="FootnoteReference"/>
        </w:rPr>
        <w:footnoteReference w:id="18323"/>
      </w:r>
      <w:r>
        <w:t xml:space="preserve"> him therefore in the Lord with all gladness; and hold such in reputation:</w:t>
      </w:r>
    </w:p>
    <w:p>
      <w:r>
        <w:rPr>
          <w:b/>
        </w:rPr>
        <w:t xml:space="preserve">30 </w:t>
      </w:r>
      <w:r>
        <w:t xml:space="preserve">Because for the work</w:t>
      </w:r>
      <w:r>
        <w:rPr>
          <w:rStyle w:val="FootnoteReference"/>
        </w:rPr>
        <w:footnoteReference w:id="18324"/>
      </w:r>
      <w:r>
        <w:t xml:space="preserve"> of Christ he was near to death, not regarding his life, to supply your lack of service toward 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Finally</w:t>
      </w:r>
      <w:r>
        <w:rPr>
          <w:rStyle w:val="FootnoteReference"/>
        </w:rPr>
        <w:footnoteReference w:id="18325"/>
      </w:r>
      <w:r>
        <w:t xml:space="preserve">, my brothers, rejoice in the Lord. To write the same things to you, to me indeed is not grievous, but for you it is safe.</w:t>
      </w:r>
    </w:p>
    <w:p>
      <w:r>
        <w:rPr>
          <w:b/>
        </w:rPr>
        <w:t xml:space="preserve">2 </w:t>
      </w:r>
      <w:r>
        <w:t xml:space="preserve">Beware of dogs</w:t>
      </w:r>
      <w:r>
        <w:rPr>
          <w:rStyle w:val="FootnoteReference"/>
        </w:rPr>
        <w:footnoteReference w:id="18326"/>
      </w:r>
      <w:r>
        <w:t xml:space="preserve">, beware of evil workers, beware of the mutilation.</w:t>
      </w:r>
    </w:p>
    <w:p>
      <w:r>
        <w:rPr>
          <w:b/>
        </w:rPr>
        <w:t xml:space="preserve">3 </w:t>
      </w:r>
      <w:r>
        <w:t xml:space="preserve">For we are the circumcision, which worship</w:t>
      </w:r>
      <w:r>
        <w:rPr>
          <w:rStyle w:val="FootnoteReference"/>
        </w:rPr>
        <w:footnoteReference w:id="18327"/>
      </w:r>
      <w:r>
        <w:t xml:space="preserve"> God in the spirit, and rejoice in Christ Jesus, and have no confidence in the flesh.</w:t>
      </w:r>
    </w:p>
    <w:p>
      <w:r>
        <w:rPr>
          <w:b/>
        </w:rPr>
        <w:t xml:space="preserve">4 </w:t>
      </w:r>
      <w:r>
        <w:t xml:space="preserve">Though I might also have confidence in the flesh. If any other man thinks that he has of which he might trust in the flesh, I more:</w:t>
      </w:r>
    </w:p>
    <w:p>
      <w:r>
        <w:rPr>
          <w:b/>
        </w:rPr>
        <w:t xml:space="preserve">5 </w:t>
      </w:r>
      <w:r>
        <w:t xml:space="preserve">Circumcised</w:t>
      </w:r>
      <w:r>
        <w:rPr>
          <w:rStyle w:val="FootnoteReference"/>
        </w:rPr>
        <w:footnoteReference w:id="18328"/>
      </w:r>
      <w:r>
        <w:t xml:space="preserve"> the eighth day, of the stock of Israel, of the tribe of Benjamin, a Hebrew of the Hebrews; as concerning the law, a Pharisee;</w:t>
      </w:r>
    </w:p>
    <w:p>
      <w:r>
        <w:rPr>
          <w:b/>
        </w:rPr>
        <w:t xml:space="preserve">6 </w:t>
      </w:r>
      <w:r>
        <w:t xml:space="preserve">Concerning zeal</w:t>
      </w:r>
      <w:r>
        <w:rPr>
          <w:rStyle w:val="FootnoteReference"/>
        </w:rPr>
        <w:footnoteReference w:id="18329"/>
      </w:r>
      <w:r>
        <w:t xml:space="preserve">, persecuting the assembly; concerning the righteousness which is in the law, blameless.</w:t>
      </w:r>
    </w:p>
    <w:p>
      <w:r>
        <w:rPr>
          <w:b/>
        </w:rPr>
        <w:t xml:space="preserve">7 </w:t>
      </w:r>
      <w:r>
        <w:t xml:space="preserve">But whatever things were gains to me, these I have counted loss because of Christ.</w:t>
      </w:r>
    </w:p>
    <w:p>
      <w:r>
        <w:rPr>
          <w:b/>
        </w:rPr>
        <w:t xml:space="preserve">8 </w:t>
      </w:r>
      <w:r>
        <w:t xml:space="preserve">Yes doubtless</w:t>
      </w:r>
      <w:r>
        <w:rPr>
          <w:rStyle w:val="FootnoteReference"/>
        </w:rPr>
        <w:footnoteReference w:id="18330"/>
      </w:r>
      <w:r>
        <w:t xml:space="preserve">, and I count all things but loss for the excellency of the knowledge of Christ Jesus my Lord: for whom I have suffered the loss of all things, and do count them but dung, that I may win Christ,</w:t>
      </w:r>
    </w:p>
    <w:p>
      <w:r>
        <w:rPr>
          <w:b/>
        </w:rPr>
        <w:t xml:space="preserve">9 </w:t>
      </w:r>
      <w:r>
        <w:t xml:space="preserve">And be found in him, not having my own righteousness, which is of the</w:t>
      </w:r>
      <w:r>
        <w:rPr>
          <w:rStyle w:val="FootnoteReference"/>
        </w:rPr>
        <w:footnoteReference w:id="18331"/>
      </w:r>
      <w:r>
        <w:t xml:space="preserve"> law, but that which is through the faith of Christ, the righteousness which is of God by faith:</w:t>
      </w:r>
    </w:p>
    <w:p>
      <w:r>
        <w:rPr>
          <w:b/>
        </w:rPr>
        <w:t xml:space="preserve">10 </w:t>
      </w:r>
      <w:r>
        <w:t xml:space="preserve">That I may know him, and the power</w:t>
      </w:r>
      <w:r>
        <w:rPr>
          <w:rStyle w:val="FootnoteReference"/>
        </w:rPr>
        <w:footnoteReference w:id="18332"/>
      </w:r>
      <w:r>
        <w:t xml:space="preserve"> of his resurrection, and the fellowship of his sufferings, being made conformable to his death;</w:t>
      </w:r>
    </w:p>
    <w:p>
      <w:r>
        <w:rPr>
          <w:b/>
        </w:rPr>
        <w:t xml:space="preserve">11 </w:t>
      </w:r>
      <w:r>
        <w:t xml:space="preserve">If by any means I might attain</w:t>
      </w:r>
      <w:r>
        <w:rPr>
          <w:rStyle w:val="FootnoteReference"/>
        </w:rPr>
        <w:footnoteReference w:id="18333"/>
      </w:r>
      <w:r>
        <w:t xml:space="preserve"> to the resurrection of the dead.</w:t>
      </w:r>
    </w:p>
    <w:p>
      <w:r>
        <w:rPr>
          <w:b/>
        </w:rPr>
        <w:t xml:space="preserve">12 </w:t>
      </w:r>
      <w:r>
        <w:t xml:space="preserve">Not that I already obtained, or have already been perfected: but I press on, if also I may lay hold of that for which also I was laid hold of by Christ Jesus.</w:t>
      </w:r>
    </w:p>
    <w:p>
      <w:r>
        <w:rPr>
          <w:b/>
        </w:rPr>
        <w:t xml:space="preserve">13 </w:t>
      </w:r>
      <w:r>
        <w:t xml:space="preserve">Brothers, I count</w:t>
      </w:r>
      <w:r>
        <w:rPr>
          <w:rStyle w:val="FootnoteReference"/>
        </w:rPr>
        <w:footnoteReference w:id="18334"/>
      </w:r>
      <w:r>
        <w:t xml:space="preserve"> not myself to have apprehended: but this one thing I do, forgetting those things which are behind, and reaching forth to those things which are before,</w:t>
      </w:r>
    </w:p>
    <w:p>
      <w:r>
        <w:rPr>
          <w:b/>
        </w:rPr>
        <w:t xml:space="preserve">14 </w:t>
      </w:r>
      <w:r>
        <w:t xml:space="preserve">I press</w:t>
      </w:r>
      <w:r>
        <w:rPr>
          <w:rStyle w:val="FootnoteReference"/>
        </w:rPr>
        <w:footnoteReference w:id="18335"/>
      </w:r>
      <w:r>
        <w:t xml:space="preserve"> toward the goal for the prize of the upward calling of God in Christ Jesus.</w:t>
      </w:r>
    </w:p>
    <w:p>
      <w:r>
        <w:rPr>
          <w:b/>
        </w:rPr>
        <w:t xml:space="preserve">15 </w:t>
      </w:r>
      <w:r>
        <w:t xml:space="preserve">Let us therefore, as many as are perfect, be thus</w:t>
      </w:r>
      <w:r>
        <w:rPr>
          <w:rStyle w:val="FootnoteReference"/>
        </w:rPr>
        <w:footnoteReference w:id="18336"/>
      </w:r>
      <w:r>
        <w:t xml:space="preserve"> minded: and if in anything you be otherwise minded, God shall reveal even this to you.</w:t>
      </w:r>
    </w:p>
    <w:p>
      <w:r>
        <w:rPr>
          <w:b/>
        </w:rPr>
        <w:t xml:space="preserve">16 </w:t>
      </w:r>
      <w:r>
        <w:t xml:space="preserve">Nevertheless, to what we have attained, let us walk</w:t>
      </w:r>
      <w:r>
        <w:rPr>
          <w:rStyle w:val="FootnoteReference"/>
        </w:rPr>
        <w:footnoteReference w:id="18337"/>
      </w:r>
      <w:r>
        <w:t xml:space="preserve"> by the same rule, let us mind the same thing.</w:t>
      </w:r>
    </w:p>
    <w:p>
      <w:r>
        <w:rPr>
          <w:b/>
        </w:rPr>
        <w:t xml:space="preserve">17 </w:t>
      </w:r>
      <w:r>
        <w:t xml:space="preserve">Brothers, be followers together of me, and mark</w:t>
      </w:r>
      <w:r>
        <w:rPr>
          <w:rStyle w:val="FootnoteReference"/>
        </w:rPr>
        <w:footnoteReference w:id="18338"/>
      </w:r>
      <w:r>
        <w:t xml:space="preserve"> those who walk so as you have us for an example.</w:t>
      </w:r>
    </w:p>
    <w:p>
      <w:r>
        <w:rPr>
          <w:b/>
        </w:rPr>
        <w:t xml:space="preserve">18 </w:t>
      </w:r>
      <w:r>
        <w:t xml:space="preserve">(For many walk, of whom I told you often, and now also tell you weeping, as enemies</w:t>
      </w:r>
      <w:r>
        <w:rPr>
          <w:rStyle w:val="FootnoteReference"/>
        </w:rPr>
        <w:footnoteReference w:id="18339"/>
      </w:r>
      <w:r>
        <w:t xml:space="preserve"> of the cross of Christ:</w:t>
      </w:r>
    </w:p>
    <w:p>
      <w:r>
        <w:rPr>
          <w:b/>
        </w:rPr>
        <w:t xml:space="preserve">19 </w:t>
      </w:r>
      <w:r>
        <w:t xml:space="preserve">Whose end is destruction, whose God</w:t>
      </w:r>
      <w:r>
        <w:rPr>
          <w:rStyle w:val="FootnoteReference"/>
        </w:rPr>
        <w:footnoteReference w:id="18340"/>
      </w:r>
      <w:r>
        <w:t xml:space="preserve"> is their belly, and whose glory is in their shame, who mind earthly things.)</w:t>
      </w:r>
    </w:p>
    <w:p>
      <w:r>
        <w:rPr>
          <w:b/>
        </w:rPr>
        <w:t xml:space="preserve">20 </w:t>
      </w:r>
      <w:r>
        <w:t xml:space="preserve">For our conduct is in heaven; from where also we look</w:t>
      </w:r>
      <w:r>
        <w:rPr>
          <w:rStyle w:val="FootnoteReference"/>
        </w:rPr>
        <w:footnoteReference w:id="18341"/>
      </w:r>
      <w:r>
        <w:t xml:space="preserve"> for the Savior, the Lord Jesus Christ:</w:t>
      </w:r>
    </w:p>
    <w:p>
      <w:r>
        <w:rPr>
          <w:b/>
        </w:rPr>
        <w:t xml:space="preserve">21 </w:t>
      </w:r>
      <w:r>
        <w:t xml:space="preserve">who will transform our body of humiliation, that it may be conformed to his body of glory, according to the working</w:t>
      </w:r>
      <w:r>
        <w:rPr>
          <w:rStyle w:val="FootnoteReference"/>
        </w:rPr>
        <w:footnoteReference w:id="18342"/>
      </w:r>
      <w:r>
        <w:t xml:space="preserve"> by which he is able even to subdue all things to himself.</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Therefore</w:t>
      </w:r>
      <w:r>
        <w:rPr>
          <w:rStyle w:val="FootnoteReference"/>
        </w:rPr>
        <w:footnoteReference w:id="18343"/>
      </w:r>
      <w:r>
        <w:t xml:space="preserve">, my brothers dearly beloved and longed for, my joy and crown, so stand fast in the Lord, my dearly beloved.</w:t>
      </w:r>
    </w:p>
    <w:p>
      <w:r>
        <w:rPr>
          <w:b/>
        </w:rPr>
        <w:t xml:space="preserve">2 </w:t>
      </w:r>
      <w:r>
        <w:t xml:space="preserve">I plead to Euodias</w:t>
      </w:r>
      <w:r>
        <w:rPr>
          <w:rStyle w:val="FootnoteReference"/>
        </w:rPr>
        <w:footnoteReference w:id="18344"/>
      </w:r>
      <w:r>
        <w:t xml:space="preserve">, and plead to Syntyche</w:t>
      </w:r>
      <w:r>
        <w:rPr>
          <w:rStyle w:val="FootnoteReference"/>
        </w:rPr>
        <w:footnoteReference w:id="18345"/>
      </w:r>
      <w:r>
        <w:t xml:space="preserve">, that they be of the same mind in the Lord.</w:t>
      </w:r>
      <w:r>
        <w:rPr>
          <w:rStyle w:val="FootnoteReference"/>
        </w:rPr>
        <w:footnoteReference w:id="18346"/>
      </w:r>
    </w:p>
    <w:p>
      <w:r>
        <w:rPr>
          <w:b/>
        </w:rPr>
        <w:t xml:space="preserve">3 </w:t>
      </w:r>
      <w:r>
        <w:t xml:space="preserve">And I implore you also, true</w:t>
      </w:r>
      <w:r>
        <w:rPr>
          <w:rStyle w:val="FootnoteReference"/>
        </w:rPr>
        <w:footnoteReference w:id="18347"/>
      </w:r>
      <w:r>
        <w:t xml:space="preserve"> yokefellow, help those women who labored with me in the good news, with Clement</w:t>
      </w:r>
      <w:r>
        <w:rPr>
          <w:rStyle w:val="FootnoteReference"/>
        </w:rPr>
        <w:footnoteReference w:id="18348"/>
      </w:r>
      <w:r>
        <w:t xml:space="preserve"> also, and with other my fellow laborers, whose names are in the book of life.</w:t>
      </w:r>
    </w:p>
    <w:p>
      <w:r>
        <w:rPr>
          <w:b/>
        </w:rPr>
        <w:t xml:space="preserve">4 </w:t>
      </w:r>
      <w:r>
        <w:t xml:space="preserve">Rejoice</w:t>
      </w:r>
      <w:r>
        <w:rPr>
          <w:rStyle w:val="FootnoteReference"/>
        </w:rPr>
        <w:footnoteReference w:id="18349"/>
      </w:r>
      <w:r>
        <w:t xml:space="preserve"> in the Lord always: and again I say, Rejoice.</w:t>
      </w:r>
    </w:p>
    <w:p>
      <w:r>
        <w:rPr>
          <w:b/>
        </w:rPr>
        <w:t xml:space="preserve">5 </w:t>
      </w:r>
      <w:r>
        <w:t xml:space="preserve">Let your moderation be known to all men. The Lord is at hand.</w:t>
      </w:r>
    </w:p>
    <w:p>
      <w:r>
        <w:rPr>
          <w:b/>
        </w:rPr>
        <w:t xml:space="preserve">6 </w:t>
      </w:r>
      <w:r>
        <w:t xml:space="preserve">Be careful</w:t>
      </w:r>
      <w:r>
        <w:rPr>
          <w:rStyle w:val="FootnoteReference"/>
        </w:rPr>
        <w:footnoteReference w:id="18350"/>
      </w:r>
      <w:r>
        <w:t xml:space="preserve"> for nothing; but in everything by prayer and supplication with thanksgiving let your requests be made known to God.</w:t>
      </w:r>
    </w:p>
    <w:p>
      <w:r>
        <w:rPr>
          <w:b/>
        </w:rPr>
        <w:t xml:space="preserve">7 </w:t>
      </w:r>
      <w:r>
        <w:t xml:space="preserve">And the peace</w:t>
      </w:r>
      <w:r>
        <w:rPr>
          <w:rStyle w:val="FootnoteReference"/>
        </w:rPr>
        <w:footnoteReference w:id="18351"/>
      </w:r>
      <w:r>
        <w:t xml:space="preserve"> of God, who passes all understanding, shall keep your hearts and minds through Christ Jesus.</w:t>
      </w:r>
    </w:p>
    <w:p>
      <w:r>
        <w:rPr>
          <w:b/>
        </w:rPr>
        <w:t xml:space="preserve">8 </w:t>
      </w:r>
      <w:r>
        <w:t xml:space="preserve">Finally</w:t>
      </w:r>
      <w:r>
        <w:rPr>
          <w:rStyle w:val="FootnoteReference"/>
        </w:rPr>
        <w:footnoteReference w:id="18352"/>
      </w:r>
      <w:r>
        <w:t xml:space="preserve">, brothers, whatever things are true, whatever things are honest, whatever things are just, whatever things are pure, whatever things are lovely, whatever things are of good report; if there is any virtue, and if there is any praise, think on these things.</w:t>
      </w:r>
    </w:p>
    <w:p>
      <w:r>
        <w:rPr>
          <w:b/>
        </w:rPr>
        <w:t xml:space="preserve">9 </w:t>
      </w:r>
      <w:r>
        <w:t xml:space="preserve">Those things, which you have both learned, and received, and heard, and seen in me, do: and the God</w:t>
      </w:r>
      <w:r>
        <w:rPr>
          <w:rStyle w:val="FootnoteReference"/>
        </w:rPr>
        <w:footnoteReference w:id="18353"/>
      </w:r>
      <w:r>
        <w:t xml:space="preserve"> of peace shall be with you.</w:t>
      </w:r>
    </w:p>
    <w:p>
      <w:r>
        <w:rPr>
          <w:b/>
        </w:rPr>
        <w:t xml:space="preserve">10 </w:t>
      </w:r>
      <w:r>
        <w:t xml:space="preserve">But I rejoiced in the Lord greatly, that now at the last your care of me has flourished again; in which you were also careful, but you lacked opportunity.</w:t>
      </w:r>
    </w:p>
    <w:p>
      <w:r>
        <w:rPr>
          <w:b/>
        </w:rPr>
        <w:t xml:space="preserve">11 </w:t>
      </w:r>
      <w:r>
        <w:t xml:space="preserve">Not that I speak in respect</w:t>
      </w:r>
      <w:r>
        <w:rPr>
          <w:rStyle w:val="FootnoteReference"/>
        </w:rPr>
        <w:footnoteReference w:id="18354"/>
      </w:r>
      <w:r>
        <w:t xml:space="preserve"> of lack: for I have learned, in whatever state I am, with it to be content.</w:t>
      </w:r>
    </w:p>
    <w:p>
      <w:r>
        <w:rPr>
          <w:b/>
        </w:rPr>
        <w:t xml:space="preserve">12 </w:t>
      </w:r>
      <w:r>
        <w:t xml:space="preserve">I know both how to be</w:t>
      </w:r>
      <w:r>
        <w:rPr>
          <w:rStyle w:val="FootnoteReference"/>
        </w:rPr>
        <w:footnoteReference w:id="18355"/>
      </w:r>
      <w:r>
        <w:t xml:space="preserve"> brought low, and I know how to abound: everywhere and in all things I am instructed both to be full and to be hungry, both to abound and to suffer need.</w:t>
      </w:r>
    </w:p>
    <w:p>
      <w:r>
        <w:rPr>
          <w:b/>
        </w:rPr>
        <w:t xml:space="preserve">13 </w:t>
      </w:r>
      <w:r>
        <w:t xml:space="preserve">I can do all things through Christ who strengthens me.</w:t>
      </w:r>
    </w:p>
    <w:p>
      <w:r>
        <w:rPr>
          <w:b/>
        </w:rPr>
        <w:t xml:space="preserve">14 </w:t>
      </w:r>
      <w:r>
        <w:t xml:space="preserve">Notwithstanding you have well done, that you did communicate with my affliction.</w:t>
      </w:r>
    </w:p>
    <w:p>
      <w:r>
        <w:rPr>
          <w:b/>
        </w:rPr>
        <w:t xml:space="preserve">15 </w:t>
      </w:r>
      <w:r>
        <w:t xml:space="preserve">Now you Philippians</w:t>
      </w:r>
      <w:r>
        <w:rPr>
          <w:rStyle w:val="FootnoteReference"/>
        </w:rPr>
        <w:footnoteReference w:id="18356"/>
      </w:r>
      <w:r>
        <w:t xml:space="preserve"> know also, that in the beginning of the good news, when I departed from Macedonia, no assembly communicated with me as concerning giving and receiving, but you only.</w:t>
      </w:r>
    </w:p>
    <w:p>
      <w:r>
        <w:rPr>
          <w:b/>
        </w:rPr>
        <w:t xml:space="preserve">16 </w:t>
      </w:r>
      <w:r>
        <w:t xml:space="preserve">For even in Thessalonica you sent once</w:t>
      </w:r>
      <w:r>
        <w:rPr>
          <w:rStyle w:val="FootnoteReference"/>
        </w:rPr>
        <w:footnoteReference w:id="18357"/>
      </w:r>
      <w:r>
        <w:t xml:space="preserve"> and again to my necessity.</w:t>
      </w:r>
    </w:p>
    <w:p>
      <w:r>
        <w:rPr>
          <w:b/>
        </w:rPr>
        <w:t xml:space="preserve">17 </w:t>
      </w:r>
      <w:r>
        <w:t xml:space="preserve">Not because I desire a gift: but I desire fruit</w:t>
      </w:r>
      <w:r>
        <w:rPr>
          <w:rStyle w:val="FootnoteReference"/>
        </w:rPr>
        <w:footnoteReference w:id="18358"/>
      </w:r>
      <w:r>
        <w:t xml:space="preserve"> that may abound to your account.</w:t>
      </w:r>
    </w:p>
    <w:p>
      <w:r>
        <w:rPr>
          <w:b/>
        </w:rPr>
        <w:t xml:space="preserve">18 </w:t>
      </w:r>
      <w:r>
        <w:t xml:space="preserve">But I have all things, and abound</w:t>
      </w:r>
      <w:r>
        <w:rPr>
          <w:rStyle w:val="FootnoteReference"/>
        </w:rPr>
        <w:footnoteReference w:id="18359"/>
      </w:r>
      <w:r>
        <w:t xml:space="preserve">: I am full, having received from Epaphroditus the things from you, an aroma of sweet smell, an acceptable sacrifice, well-pleasing to God.</w:t>
      </w:r>
    </w:p>
    <w:p>
      <w:r>
        <w:rPr>
          <w:b/>
        </w:rPr>
        <w:t xml:space="preserve">19 </w:t>
      </w:r>
      <w:r>
        <w:t xml:space="preserve">But my God shall fill every need of yours according to his riches in glory</w:t>
      </w:r>
      <w:r>
        <w:rPr>
          <w:rStyle w:val="FootnoteReference"/>
        </w:rPr>
        <w:footnoteReference w:id="18360"/>
      </w:r>
      <w:r>
        <w:t xml:space="preserve"> in Christ Jesus.</w:t>
      </w:r>
    </w:p>
    <w:p>
      <w:r>
        <w:rPr>
          <w:b/>
        </w:rPr>
        <w:t xml:space="preserve">20 </w:t>
      </w:r>
      <w:r>
        <w:t xml:space="preserve">Now to God and our Father be glory forever and ever. Amen</w:t>
      </w:r>
      <w:r>
        <w:rPr>
          <w:rStyle w:val="FootnoteReference"/>
        </w:rPr>
        <w:footnoteReference w:id="18361"/>
      </w:r>
      <w:r>
        <w:t xml:space="preserve">.</w:t>
      </w:r>
    </w:p>
    <w:p>
      <w:r>
        <w:rPr>
          <w:b/>
        </w:rPr>
        <w:t xml:space="preserve">21 </w:t>
      </w:r>
      <w:r>
        <w:t xml:space="preserve">Salute</w:t>
      </w:r>
      <w:r>
        <w:rPr>
          <w:rStyle w:val="FootnoteReference"/>
        </w:rPr>
        <w:footnoteReference w:id="18362"/>
      </w:r>
      <w:r>
        <w:t xml:space="preserve"> every holy one in Christ Jesus. the brothers who are with me greet you.</w:t>
      </w:r>
    </w:p>
    <w:p>
      <w:r>
        <w:rPr>
          <w:b/>
        </w:rPr>
        <w:t xml:space="preserve">22 </w:t>
      </w:r>
      <w:r>
        <w:t xml:space="preserve">All the holy ones salute you, chiefly those who are of Caesar's household.</w:t>
      </w:r>
    </w:p>
    <w:p>
      <w:r>
        <w:rPr>
          <w:b/>
        </w:rPr>
        <w:t xml:space="preserve">23 </w:t>
      </w:r>
      <w:r>
        <w:t xml:space="preserve">The grace of our Lord Jesus Christ be with you all. Amen.</w:t>
      </w:r>
    </w:p>
    <w:p>
      <w:r>
        <w:br w:type="page"/>
      </w:r>
    </w:p>
    <w:p>
      <w:pPr>
        <w:pStyle w:val="Heading1"/>
      </w:pPr>
      <w:r>
        <w:t xml:space="preserve">Colossians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an apostle of Jesus Christ by the will of God, and Timothy our brother,</w:t>
      </w:r>
    </w:p>
    <w:p>
      <w:r>
        <w:rPr>
          <w:b/>
        </w:rPr>
        <w:t xml:space="preserve">2 </w:t>
      </w:r>
      <w:r>
        <w:t xml:space="preserve">To the holy ones and faithful</w:t>
      </w:r>
      <w:r>
        <w:rPr>
          <w:rStyle w:val="FootnoteReference"/>
        </w:rPr>
        <w:footnoteReference w:id="18363"/>
      </w:r>
      <w:r>
        <w:t xml:space="preserve"> brothers in Christ who are at Colosse</w:t>
      </w:r>
      <w:r>
        <w:rPr>
          <w:rStyle w:val="FootnoteReference"/>
        </w:rPr>
        <w:footnoteReference w:id="18364"/>
      </w:r>
      <w:r>
        <w:t xml:space="preserve">: Grace be to you, and peace, from God our Father and the Lord Jesus Christ.</w:t>
      </w:r>
    </w:p>
    <w:p>
      <w:r>
        <w:rPr>
          <w:b/>
        </w:rPr>
        <w:t xml:space="preserve">3 </w:t>
      </w:r>
      <w:r>
        <w:t xml:space="preserve">We give</w:t>
      </w:r>
      <w:r>
        <w:rPr>
          <w:rStyle w:val="FootnoteReference"/>
        </w:rPr>
        <w:footnoteReference w:id="18365"/>
      </w:r>
      <w:r>
        <w:t xml:space="preserve"> thanks to God and the Father of our Lord Jesus Christ, praying always for you,</w:t>
      </w:r>
    </w:p>
    <w:p>
      <w:r>
        <w:rPr>
          <w:b/>
        </w:rPr>
        <w:t xml:space="preserve">4 </w:t>
      </w:r>
      <w:r>
        <w:t xml:space="preserve">Since we heard of your faith</w:t>
      </w:r>
      <w:r>
        <w:rPr>
          <w:rStyle w:val="FootnoteReference"/>
        </w:rPr>
        <w:footnoteReference w:id="18366"/>
      </w:r>
      <w:r>
        <w:t xml:space="preserve"> in Christ Jesus, and of the love which you have to all the holy ones,</w:t>
      </w:r>
    </w:p>
    <w:p>
      <w:r>
        <w:rPr>
          <w:b/>
        </w:rPr>
        <w:t xml:space="preserve">5 </w:t>
      </w:r>
      <w:r>
        <w:t xml:space="preserve">For the hope</w:t>
      </w:r>
      <w:r>
        <w:rPr>
          <w:rStyle w:val="FootnoteReference"/>
        </w:rPr>
        <w:footnoteReference w:id="18367"/>
      </w:r>
      <w:r>
        <w:t xml:space="preserve"> which is laid up for you in heaven, of which you heard before in the word of the truth of the good news;</w:t>
      </w:r>
    </w:p>
    <w:p>
      <w:r>
        <w:rPr>
          <w:b/>
        </w:rPr>
        <w:t xml:space="preserve">6 </w:t>
      </w:r>
      <w:r>
        <w:t xml:space="preserve">Which has come to you, as it is in all the world; and produces fruit, as it does also in you, since</w:t>
      </w:r>
      <w:r>
        <w:rPr>
          <w:rStyle w:val="FootnoteReference"/>
        </w:rPr>
        <w:footnoteReference w:id="18368"/>
      </w:r>
      <w:r>
        <w:t xml:space="preserve"> the day you heard of it, and knew the grace of God in truth:</w:t>
      </w:r>
    </w:p>
    <w:p>
      <w:r>
        <w:rPr>
          <w:b/>
        </w:rPr>
        <w:t xml:space="preserve">7 </w:t>
      </w:r>
      <w:r>
        <w:t xml:space="preserve">As you also learned of Epaphras</w:t>
      </w:r>
      <w:r>
        <w:rPr>
          <w:rStyle w:val="FootnoteReference"/>
        </w:rPr>
        <w:footnoteReference w:id="18369"/>
      </w:r>
      <w:r>
        <w:t xml:space="preserve"> our dear fellow slave, who is for you a faithful minister of Christ;</w:t>
      </w:r>
      <w:r>
        <w:rPr>
          <w:rStyle w:val="FootnoteReference"/>
        </w:rPr>
        <w:footnoteReference w:id="18370"/>
      </w:r>
    </w:p>
    <w:p>
      <w:r>
        <w:rPr>
          <w:b/>
        </w:rPr>
        <w:t xml:space="preserve">8 </w:t>
      </w:r>
      <w:r>
        <w:t xml:space="preserve">Who also declared to us your love in the Spirit.</w:t>
      </w:r>
    </w:p>
    <w:p>
      <w:r>
        <w:rPr>
          <w:b/>
        </w:rPr>
        <w:t xml:space="preserve">9 </w:t>
      </w:r>
      <w:r>
        <w:t xml:space="preserve">For this cause we also, since</w:t>
      </w:r>
      <w:r>
        <w:rPr>
          <w:rStyle w:val="FootnoteReference"/>
        </w:rPr>
        <w:footnoteReference w:id="18371"/>
      </w:r>
      <w:r>
        <w:t xml:space="preserve"> the day we heard it, do not cease to pray for you, and to desire that you might be filled with the knowledge of his will in all wisdom and spiritual understanding;</w:t>
      </w:r>
    </w:p>
    <w:p>
      <w:r>
        <w:rPr>
          <w:b/>
        </w:rPr>
        <w:t xml:space="preserve">10 </w:t>
      </w:r>
      <w:r>
        <w:t xml:space="preserve">That you might walk worthy of the Lord to all pleasing, being fruitful</w:t>
      </w:r>
      <w:r>
        <w:rPr>
          <w:rStyle w:val="FootnoteReference"/>
        </w:rPr>
        <w:footnoteReference w:id="18372"/>
      </w:r>
      <w:r>
        <w:t xml:space="preserve"> in every good work, and increasing in the knowledge of God;</w:t>
      </w:r>
    </w:p>
    <w:p>
      <w:r>
        <w:rPr>
          <w:b/>
        </w:rPr>
        <w:t xml:space="preserve">11 </w:t>
      </w:r>
      <w:r>
        <w:t xml:space="preserve">Strengthened</w:t>
      </w:r>
      <w:r>
        <w:rPr>
          <w:rStyle w:val="FootnoteReference"/>
        </w:rPr>
        <w:footnoteReference w:id="18373"/>
      </w:r>
      <w:r>
        <w:t xml:space="preserve"> with all might, according to his glorious power, to all patience and longsuffering with joyfulness;</w:t>
      </w:r>
    </w:p>
    <w:p>
      <w:r>
        <w:rPr>
          <w:b/>
        </w:rPr>
        <w:t xml:space="preserve">12 </w:t>
      </w:r>
      <w:r>
        <w:t xml:space="preserve">Giving</w:t>
      </w:r>
      <w:r>
        <w:rPr>
          <w:rStyle w:val="FootnoteReference"/>
        </w:rPr>
        <w:footnoteReference w:id="18374"/>
      </w:r>
      <w:r>
        <w:t xml:space="preserve"> thanks to the Father, who has made us fit to be partakers of the inheritance of the holy ones in light:</w:t>
      </w:r>
    </w:p>
    <w:p>
      <w:r>
        <w:rPr>
          <w:b/>
        </w:rPr>
        <w:t xml:space="preserve">13 </w:t>
      </w:r>
      <w:r>
        <w:t xml:space="preserve">Who has delivered</w:t>
      </w:r>
      <w:r>
        <w:rPr>
          <w:rStyle w:val="FootnoteReference"/>
        </w:rPr>
        <w:footnoteReference w:id="18375"/>
      </w:r>
      <w:r>
        <w:t xml:space="preserve"> us from the power of darkness, and has translated us into the kingdom of his dear Son:</w:t>
      </w:r>
    </w:p>
    <w:p>
      <w:r>
        <w:rPr>
          <w:b/>
        </w:rPr>
        <w:t xml:space="preserve">14 </w:t>
      </w:r>
      <w:r>
        <w:t xml:space="preserve">In whom we have redemption through his blood, even the forgiveness of sins:</w:t>
      </w:r>
    </w:p>
    <w:p>
      <w:r>
        <w:rPr>
          <w:b/>
        </w:rPr>
        <w:t xml:space="preserve">15 </w:t>
      </w:r>
      <w:r>
        <w:t xml:space="preserve">Who is the image</w:t>
      </w:r>
      <w:r>
        <w:rPr>
          <w:rStyle w:val="FootnoteReference"/>
        </w:rPr>
        <w:footnoteReference w:id="18376"/>
      </w:r>
      <w:r>
        <w:t xml:space="preserve"> of the invisible God, the firstborn of all creation:</w:t>
      </w:r>
    </w:p>
    <w:p>
      <w:r>
        <w:rPr>
          <w:b/>
        </w:rPr>
        <w:t xml:space="preserve">16 </w:t>
      </w:r>
      <w:r>
        <w:t xml:space="preserve">For by him were</w:t>
      </w:r>
      <w:r>
        <w:rPr>
          <w:rStyle w:val="FootnoteReference"/>
        </w:rPr>
        <w:footnoteReference w:id="18377"/>
      </w:r>
      <w:r>
        <w:t xml:space="preserve"> all things created, that are in heaven, and that are on earth, visible and invisible, whether they be thrones, or dominions, or principalities, or powers: all things were created by him, and for him:</w:t>
      </w:r>
    </w:p>
    <w:p>
      <w:r>
        <w:rPr>
          <w:b/>
        </w:rPr>
        <w:t xml:space="preserve">17 </w:t>
      </w:r>
      <w:r>
        <w:t xml:space="preserve">And he is before all things, and all things hold together in him.</w:t>
      </w:r>
    </w:p>
    <w:p>
      <w:r>
        <w:rPr>
          <w:b/>
        </w:rPr>
        <w:t xml:space="preserve">18 </w:t>
      </w:r>
      <w:r>
        <w:t xml:space="preserve">And he is the head of the body, the assembly: who is the beginning</w:t>
      </w:r>
      <w:r>
        <w:rPr>
          <w:rStyle w:val="FootnoteReference"/>
        </w:rPr>
        <w:footnoteReference w:id="18378"/>
      </w:r>
      <w:r>
        <w:t xml:space="preserve">, the firstborn from the dead; that in all things he might have the preeminence.</w:t>
      </w:r>
    </w:p>
    <w:p>
      <w:r>
        <w:rPr>
          <w:b/>
        </w:rPr>
        <w:t xml:space="preserve">19 </w:t>
      </w:r>
      <w:r>
        <w:t xml:space="preserve">For in him all the fullness was pleased to dwell;</w:t>
      </w:r>
    </w:p>
    <w:p>
      <w:r>
        <w:rPr>
          <w:b/>
        </w:rPr>
        <w:t xml:space="preserve">20 </w:t>
      </w:r>
      <w:r>
        <w:t xml:space="preserve">And, having made peace</w:t>
      </w:r>
      <w:r>
        <w:rPr>
          <w:rStyle w:val="FootnoteReference"/>
        </w:rPr>
        <w:footnoteReference w:id="18379"/>
      </w:r>
      <w:r>
        <w:t xml:space="preserve"> through the blood of his cross, by him to reconcile all things to himself; by him, I say, whether they be things on earth, or things in heaven.</w:t>
      </w:r>
    </w:p>
    <w:p>
      <w:r>
        <w:rPr>
          <w:b/>
        </w:rPr>
        <w:t xml:space="preserve">21 </w:t>
      </w:r>
      <w:r>
        <w:t xml:space="preserve">And you, once being alienated and enemies in mind in wicked works, yet now he has reconciled</w:t>
      </w:r>
    </w:p>
    <w:p>
      <w:r>
        <w:rPr>
          <w:b/>
        </w:rPr>
        <w:t xml:space="preserve">22 </w:t>
      </w:r>
      <w:r>
        <w:t xml:space="preserve">In the body</w:t>
      </w:r>
      <w:r>
        <w:rPr>
          <w:rStyle w:val="FootnoteReference"/>
        </w:rPr>
        <w:footnoteReference w:id="18380"/>
      </w:r>
      <w:r>
        <w:t xml:space="preserve"> of his flesh through death, to present you holy and blameless and above reproach in his sight:</w:t>
      </w:r>
    </w:p>
    <w:p>
      <w:r>
        <w:rPr>
          <w:b/>
        </w:rPr>
        <w:t xml:space="preserve">23 </w:t>
      </w:r>
      <w:r>
        <w:t xml:space="preserve">If you continue in the faith grounded</w:t>
      </w:r>
      <w:r>
        <w:rPr>
          <w:rStyle w:val="FootnoteReference"/>
        </w:rPr>
        <w:footnoteReference w:id="18381"/>
      </w:r>
      <w:r>
        <w:t xml:space="preserve"> and settled, and be not moved away from the hope of the good news, which you have heard, and which was preached to every creature which is under heaven; of which I Paul am made a minister;</w:t>
      </w:r>
    </w:p>
    <w:p>
      <w:r>
        <w:rPr>
          <w:b/>
        </w:rPr>
        <w:t xml:space="preserve">24 </w:t>
      </w:r>
      <w:r>
        <w:t xml:space="preserve">I now rejoice</w:t>
      </w:r>
      <w:r>
        <w:rPr>
          <w:rStyle w:val="FootnoteReference"/>
        </w:rPr>
        <w:footnoteReference w:id="18382"/>
      </w:r>
      <w:r>
        <w:t xml:space="preserve"> in my sufferings for you, and fill up that which is behind of the afflictions of Christ in my flesh for his body's sake, which is the assembly:</w:t>
      </w:r>
    </w:p>
    <w:p>
      <w:r>
        <w:rPr>
          <w:b/>
        </w:rPr>
        <w:t xml:space="preserve">25 </w:t>
      </w:r>
      <w:r>
        <w:t xml:space="preserve">of which I am made a minister, according to the dispensation of God which is given to me for you, to fulfill the word of God;</w:t>
      </w:r>
    </w:p>
    <w:p>
      <w:r>
        <w:rPr>
          <w:b/>
        </w:rPr>
        <w:t xml:space="preserve">26 </w:t>
      </w:r>
      <w:r>
        <w:t xml:space="preserve">Even the mystery</w:t>
      </w:r>
      <w:r>
        <w:rPr>
          <w:rStyle w:val="FootnoteReference"/>
        </w:rPr>
        <w:footnoteReference w:id="18383"/>
      </w:r>
      <w:r>
        <w:t xml:space="preserve"> which has been hid from ages and from generations, but now is made manifest to his holy ones:</w:t>
      </w:r>
    </w:p>
    <w:p>
      <w:r>
        <w:rPr>
          <w:b/>
        </w:rPr>
        <w:t xml:space="preserve">27 </w:t>
      </w:r>
      <w:r>
        <w:t xml:space="preserve">To whom God would make known what is the riches</w:t>
      </w:r>
      <w:r>
        <w:rPr>
          <w:rStyle w:val="FootnoteReference"/>
        </w:rPr>
        <w:footnoteReference w:id="18384"/>
      </w:r>
      <w:r>
        <w:t xml:space="preserve"> of the glory of this mystery among the nations; which is Christ in you, the hope of glory:</w:t>
      </w:r>
    </w:p>
    <w:p>
      <w:r>
        <w:rPr>
          <w:b/>
        </w:rPr>
        <w:t xml:space="preserve">28 </w:t>
      </w:r>
      <w:r>
        <w:t xml:space="preserve">Whom we proclaim, admonishing every man, and teaching</w:t>
      </w:r>
      <w:r>
        <w:rPr>
          <w:rStyle w:val="FootnoteReference"/>
        </w:rPr>
        <w:footnoteReference w:id="18385"/>
      </w:r>
      <w:r>
        <w:t xml:space="preserve"> every man in all wisdom; that we may present every man complete in Christ Jesus:</w:t>
      </w:r>
    </w:p>
    <w:p>
      <w:r>
        <w:rPr>
          <w:b/>
        </w:rPr>
        <w:t xml:space="preserve">29 </w:t>
      </w:r>
      <w:r>
        <w:t xml:space="preserve">To which I also labor, striving</w:t>
      </w:r>
      <w:r>
        <w:rPr>
          <w:rStyle w:val="FootnoteReference"/>
        </w:rPr>
        <w:footnoteReference w:id="18386"/>
      </w:r>
      <w:r>
        <w:t xml:space="preserve"> according to his working, which works in me mightily.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For I would that you knew what great conflict I have for you, and for them at Laodicea</w:t>
      </w:r>
      <w:r>
        <w:rPr>
          <w:rStyle w:val="FootnoteReference"/>
        </w:rPr>
        <w:footnoteReference w:id="18387"/>
      </w:r>
      <w:r>
        <w:t xml:space="preserve">, and for as many as have not seen my face in the flesh;</w:t>
      </w:r>
    </w:p>
    <w:p>
      <w:r>
        <w:rPr>
          <w:b/>
        </w:rPr>
        <w:t xml:space="preserve">2 </w:t>
      </w:r>
      <w:r>
        <w:t xml:space="preserve">That their</w:t>
      </w:r>
      <w:r>
        <w:rPr>
          <w:rStyle w:val="FootnoteReference"/>
        </w:rPr>
        <w:footnoteReference w:id="18388"/>
      </w:r>
      <w:r>
        <w:t xml:space="preserve"> hearts might be comforted, being knit together in love, and to all riches of the full assurance of understanding, to the acknowledgement of the mystery of God, and of the Father, and of Christ;</w:t>
      </w:r>
    </w:p>
    <w:p>
      <w:r>
        <w:rPr>
          <w:b/>
        </w:rPr>
        <w:t xml:space="preserve">3 </w:t>
      </w:r>
      <w:r>
        <w:t xml:space="preserve">In whom</w:t>
      </w:r>
      <w:r>
        <w:rPr>
          <w:rStyle w:val="FootnoteReference"/>
        </w:rPr>
        <w:footnoteReference w:id="18389"/>
      </w:r>
      <w:r>
        <w:t xml:space="preserve"> all the treasures of wisdom and knowledge are hidden.</w:t>
      </w:r>
    </w:p>
    <w:p>
      <w:r>
        <w:rPr>
          <w:b/>
        </w:rPr>
        <w:t xml:space="preserve">4 </w:t>
      </w:r>
      <w:r>
        <w:t xml:space="preserve">And this I say, lest anyone should beguile you with enticing</w:t>
      </w:r>
      <w:r>
        <w:rPr>
          <w:rStyle w:val="FootnoteReference"/>
        </w:rPr>
        <w:footnoteReference w:id="18390"/>
      </w:r>
      <w:r>
        <w:t xml:space="preserve"> words.</w:t>
      </w:r>
    </w:p>
    <w:p>
      <w:r>
        <w:rPr>
          <w:b/>
        </w:rPr>
        <w:t xml:space="preserve">5 </w:t>
      </w:r>
      <w:r>
        <w:t xml:space="preserve">For though I be absent in the flesh, yet am I with you in the spirit, rejoicing and beholding</w:t>
      </w:r>
      <w:r>
        <w:rPr>
          <w:rStyle w:val="FootnoteReference"/>
        </w:rPr>
        <w:footnoteReference w:id="18391"/>
      </w:r>
      <w:r>
        <w:t xml:space="preserve"> your order, and the steadfastness of your faith in Christ.</w:t>
      </w:r>
    </w:p>
    <w:p>
      <w:r>
        <w:rPr>
          <w:b/>
        </w:rPr>
        <w:t xml:space="preserve">6 </w:t>
      </w:r>
      <w:r>
        <w:t xml:space="preserve">As you have therefore received</w:t>
      </w:r>
      <w:r>
        <w:rPr>
          <w:rStyle w:val="FootnoteReference"/>
        </w:rPr>
        <w:footnoteReference w:id="18392"/>
      </w:r>
      <w:r>
        <w:t xml:space="preserve"> Christ Jesus the Lord, so walk you in him:</w:t>
      </w:r>
    </w:p>
    <w:p>
      <w:r>
        <w:rPr>
          <w:b/>
        </w:rPr>
        <w:t xml:space="preserve">7 </w:t>
      </w:r>
      <w:r>
        <w:t xml:space="preserve">Rooted</w:t>
      </w:r>
      <w:r>
        <w:rPr>
          <w:rStyle w:val="FootnoteReference"/>
        </w:rPr>
        <w:footnoteReference w:id="18393"/>
      </w:r>
      <w:r>
        <w:t xml:space="preserve"> and built up in him, and established in the faith, as you have been taught, abounding in it with thanksgiving.</w:t>
      </w:r>
    </w:p>
    <w:p>
      <w:r>
        <w:rPr>
          <w:b/>
        </w:rPr>
        <w:t xml:space="preserve">8 </w:t>
      </w:r>
      <w:r>
        <w:t xml:space="preserve">Beware</w:t>
      </w:r>
      <w:r>
        <w:rPr>
          <w:rStyle w:val="FootnoteReference"/>
        </w:rPr>
        <w:footnoteReference w:id="18394"/>
      </w:r>
      <w:r>
        <w:t xml:space="preserve"> lest anyone spoil you through philosophy and vain deceit, after the tradition of men, after the rudiments of the world, and not after Christ.</w:t>
      </w:r>
    </w:p>
    <w:p>
      <w:r>
        <w:rPr>
          <w:b/>
        </w:rPr>
        <w:t xml:space="preserve">9 </w:t>
      </w:r>
      <w:r>
        <w:t xml:space="preserve">For in him dwells all the fullness of the Deity bodily</w:t>
      </w:r>
      <w:r>
        <w:rPr>
          <w:rStyle w:val="FootnoteReference"/>
        </w:rPr>
        <w:footnoteReference w:id="18395"/>
      </w:r>
      <w:r>
        <w:t xml:space="preserve">.</w:t>
      </w:r>
    </w:p>
    <w:p>
      <w:r>
        <w:rPr>
          <w:b/>
        </w:rPr>
        <w:t xml:space="preserve">10 </w:t>
      </w:r>
      <w:r>
        <w:t xml:space="preserve">And you are complete</w:t>
      </w:r>
      <w:r>
        <w:rPr>
          <w:rStyle w:val="FootnoteReference"/>
        </w:rPr>
        <w:footnoteReference w:id="18396"/>
      </w:r>
      <w:r>
        <w:t xml:space="preserve"> in him, which is the head of all principality and power:</w:t>
      </w:r>
    </w:p>
    <w:p>
      <w:r>
        <w:rPr>
          <w:b/>
        </w:rPr>
        <w:t xml:space="preserve">11 </w:t>
      </w:r>
      <w:r>
        <w:t xml:space="preserve">In whom also you are circumcised with the circumcision made without hands, in putting</w:t>
      </w:r>
      <w:r>
        <w:rPr>
          <w:rStyle w:val="FootnoteReference"/>
        </w:rPr>
        <w:footnoteReference w:id="18397"/>
      </w:r>
      <w:r>
        <w:t xml:space="preserve"> off the body of the sins of the flesh by the circumcision of Christ:</w:t>
      </w:r>
    </w:p>
    <w:p>
      <w:r>
        <w:rPr>
          <w:b/>
        </w:rPr>
        <w:t xml:space="preserve">12 </w:t>
      </w:r>
      <w:r>
        <w:t xml:space="preserve">Buried</w:t>
      </w:r>
      <w:r>
        <w:rPr>
          <w:rStyle w:val="FootnoteReference"/>
        </w:rPr>
        <w:footnoteReference w:id="18398"/>
      </w:r>
      <w:r>
        <w:t xml:space="preserve"> with him in baptism, in which also you are risen with him through the faith of the operation of God, who has raised him from the dead.</w:t>
      </w:r>
    </w:p>
    <w:p>
      <w:r>
        <w:rPr>
          <w:b/>
        </w:rPr>
        <w:t xml:space="preserve">13 </w:t>
      </w:r>
      <w:r>
        <w:t xml:space="preserve">And you, being dead</w:t>
      </w:r>
      <w:r>
        <w:rPr>
          <w:rStyle w:val="FootnoteReference"/>
        </w:rPr>
        <w:footnoteReference w:id="18399"/>
      </w:r>
      <w:r>
        <w:t xml:space="preserve"> in your sins and the uncircumcision of your flesh, he made alive together with him, having forgiven you all trespasses;</w:t>
      </w:r>
    </w:p>
    <w:p>
      <w:r>
        <w:rPr>
          <w:b/>
        </w:rPr>
        <w:t xml:space="preserve">14 </w:t>
      </w:r>
      <w:r>
        <w:t xml:space="preserve">Having blotted out the handwriting</w:t>
      </w:r>
      <w:r>
        <w:rPr>
          <w:rStyle w:val="FootnoteReference"/>
        </w:rPr>
        <w:footnoteReference w:id="18400"/>
      </w:r>
      <w:r>
        <w:t xml:space="preserve"> in ordinances that was against us, which was contrary to us, and he has taken it out of the midst, nailing it to the cross;</w:t>
      </w:r>
    </w:p>
    <w:p>
      <w:r>
        <w:rPr>
          <w:b/>
        </w:rPr>
        <w:t xml:space="preserve">15 </w:t>
      </w:r>
      <w:r>
        <w:t xml:space="preserve">And having stripped off principalities</w:t>
      </w:r>
      <w:r>
        <w:rPr>
          <w:rStyle w:val="FootnoteReference"/>
        </w:rPr>
        <w:footnoteReference w:id="18401"/>
      </w:r>
      <w:r>
        <w:t xml:space="preserve"> and powers, he made a public show of them, triumphing over them in it.</w:t>
      </w:r>
    </w:p>
    <w:p>
      <w:r>
        <w:rPr>
          <w:b/>
        </w:rPr>
        <w:t xml:space="preserve">16 </w:t>
      </w:r>
      <w:r>
        <w:t xml:space="preserve">Let no one therefore judge</w:t>
      </w:r>
      <w:r>
        <w:rPr>
          <w:rStyle w:val="FootnoteReference"/>
        </w:rPr>
        <w:footnoteReference w:id="18402"/>
      </w:r>
      <w:r>
        <w:t xml:space="preserve"> you in food, or in drink, or in respect of a holy day, or of the new moon, or of the sabbath days:</w:t>
      </w:r>
    </w:p>
    <w:p>
      <w:r>
        <w:rPr>
          <w:b/>
        </w:rPr>
        <w:t xml:space="preserve">17 </w:t>
      </w:r>
      <w:r>
        <w:t xml:space="preserve">Which are a shadow</w:t>
      </w:r>
      <w:r>
        <w:rPr>
          <w:rStyle w:val="FootnoteReference"/>
        </w:rPr>
        <w:footnoteReference w:id="18403"/>
      </w:r>
      <w:r>
        <w:t xml:space="preserve"> of things to come; but the body is of Christ.</w:t>
      </w:r>
    </w:p>
    <w:p>
      <w:r>
        <w:rPr>
          <w:b/>
        </w:rPr>
        <w:t xml:space="preserve">18 </w:t>
      </w:r>
      <w:r>
        <w:t xml:space="preserve">Let no one beguile you</w:t>
      </w:r>
      <w:r>
        <w:rPr>
          <w:rStyle w:val="FootnoteReference"/>
        </w:rPr>
        <w:footnoteReference w:id="18404"/>
      </w:r>
      <w:r>
        <w:t xml:space="preserve"> of your reward in a voluntary humility and worshiping of angels, intruding into those things which he has not seen, vainly puffed up by his fleshly mind,</w:t>
      </w:r>
    </w:p>
    <w:p>
      <w:r>
        <w:rPr>
          <w:b/>
        </w:rPr>
        <w:t xml:space="preserve">19 </w:t>
      </w:r>
      <w:r>
        <w:t xml:space="preserve">And not holding the Head, from which all the body by joints and bands having nourishment</w:t>
      </w:r>
      <w:r>
        <w:rPr>
          <w:rStyle w:val="FootnoteReference"/>
        </w:rPr>
        <w:footnoteReference w:id="18405"/>
      </w:r>
      <w:r>
        <w:t xml:space="preserve"> supplied, and knit together, increases with the increase of God.</w:t>
      </w:r>
    </w:p>
    <w:p>
      <w:r>
        <w:rPr>
          <w:b/>
        </w:rPr>
        <w:t xml:space="preserve">20 </w:t>
      </w:r>
      <w:r>
        <w:t xml:space="preserve">Therefore if you be dead with Christ from the rudiments of the world, why, as though living</w:t>
      </w:r>
      <w:r>
        <w:rPr>
          <w:rStyle w:val="FootnoteReference"/>
        </w:rPr>
        <w:footnoteReference w:id="18406"/>
      </w:r>
      <w:r>
        <w:t xml:space="preserve"> in the world, are you subject to ordinances,</w:t>
      </w:r>
    </w:p>
    <w:p>
      <w:r>
        <w:rPr>
          <w:b/>
        </w:rPr>
        <w:t xml:space="preserve">21 </w:t>
      </w:r>
      <w:r>
        <w:t xml:space="preserve">(do not touch; do not taste; do not handle;</w:t>
      </w:r>
    </w:p>
    <w:p>
      <w:r>
        <w:rPr>
          <w:b/>
        </w:rPr>
        <w:t xml:space="preserve">22 </w:t>
      </w:r>
      <w:r>
        <w:t xml:space="preserve">which all are for corruption with use), according to the commandments and teachings of men?</w:t>
      </w:r>
    </w:p>
    <w:p>
      <w:r>
        <w:rPr>
          <w:b/>
        </w:rPr>
        <w:t xml:space="preserve">23 </w:t>
      </w:r>
      <w:r>
        <w:t xml:space="preserve">Which things have indeed a show</w:t>
      </w:r>
      <w:r>
        <w:rPr>
          <w:rStyle w:val="FootnoteReference"/>
        </w:rPr>
        <w:footnoteReference w:id="18407"/>
      </w:r>
      <w:r>
        <w:t xml:space="preserve"> of wisdom religious outlook, and humility, and neglecting of the body: not in any honor to the satisfying of the flesh.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If you then be risen</w:t>
      </w:r>
      <w:r>
        <w:rPr>
          <w:rStyle w:val="FootnoteReference"/>
        </w:rPr>
        <w:footnoteReference w:id="18408"/>
      </w:r>
      <w:r>
        <w:t xml:space="preserve"> with Christ, seek those things which are above, where Christ sits on the right hand of God.</w:t>
      </w:r>
    </w:p>
    <w:p>
      <w:r>
        <w:rPr>
          <w:b/>
        </w:rPr>
        <w:t xml:space="preserve">2 </w:t>
      </w:r>
      <w:r>
        <w:t xml:space="preserve">Mind the things above, not the things on the earth.</w:t>
      </w:r>
    </w:p>
    <w:p>
      <w:r>
        <w:rPr>
          <w:b/>
        </w:rPr>
        <w:t xml:space="preserve">3 </w:t>
      </w:r>
      <w:r>
        <w:t xml:space="preserve">For you are dead, and your life is hid with Christ in God.</w:t>
      </w:r>
    </w:p>
    <w:p>
      <w:r>
        <w:rPr>
          <w:b/>
        </w:rPr>
        <w:t xml:space="preserve">4 </w:t>
      </w:r>
      <w:r>
        <w:t xml:space="preserve">When Christ, who is our life, shall appear</w:t>
      </w:r>
      <w:r>
        <w:rPr>
          <w:rStyle w:val="FootnoteReference"/>
        </w:rPr>
        <w:footnoteReference w:id="18409"/>
      </w:r>
      <w:r>
        <w:t xml:space="preserve">, then shall you also appear with him in glory.</w:t>
      </w:r>
    </w:p>
    <w:p>
      <w:r>
        <w:rPr>
          <w:b/>
        </w:rPr>
        <w:t xml:space="preserve">5 </w:t>
      </w:r>
      <w:r>
        <w:t xml:space="preserve">Put to death therefore your members</w:t>
      </w:r>
      <w:r>
        <w:rPr>
          <w:rStyle w:val="FootnoteReference"/>
        </w:rPr>
        <w:footnoteReference w:id="18410"/>
      </w:r>
      <w:r>
        <w:t xml:space="preserve"> which are upon the earth; sexual immorality, uncleanness, passion, evil desire, and covetousness, which is idolatry:</w:t>
      </w:r>
    </w:p>
    <w:p>
      <w:r>
        <w:rPr>
          <w:b/>
        </w:rPr>
        <w:t xml:space="preserve">6 </w:t>
      </w:r>
      <w:r>
        <w:t xml:space="preserve">Because of these things the wrath of God comes upon the children of disobedience:</w:t>
      </w:r>
    </w:p>
    <w:p>
      <w:r>
        <w:rPr>
          <w:b/>
        </w:rPr>
        <w:t xml:space="preserve">7 </w:t>
      </w:r>
      <w:r>
        <w:t xml:space="preserve">in which you also walked some time, when you lived in them.</w:t>
      </w:r>
    </w:p>
    <w:p>
      <w:r>
        <w:rPr>
          <w:b/>
        </w:rPr>
        <w:t xml:space="preserve">8 </w:t>
      </w:r>
      <w:r>
        <w:t xml:space="preserve">But now you also put off all these; anger</w:t>
      </w:r>
      <w:r>
        <w:rPr>
          <w:rStyle w:val="FootnoteReference"/>
        </w:rPr>
        <w:footnoteReference w:id="18411"/>
      </w:r>
      <w:r>
        <w:t xml:space="preserve">, wrath, malice, blasphemy, filthy communication out of your mouth.</w:t>
      </w:r>
    </w:p>
    <w:p>
      <w:r>
        <w:rPr>
          <w:b/>
        </w:rPr>
        <w:t xml:space="preserve">9 </w:t>
      </w:r>
      <w:r>
        <w:t xml:space="preserve">Lie not one to another, seeing that you have put off the old man with his deeds;</w:t>
      </w:r>
    </w:p>
    <w:p>
      <w:r>
        <w:rPr>
          <w:b/>
        </w:rPr>
        <w:t xml:space="preserve">10 </w:t>
      </w:r>
      <w:r>
        <w:t xml:space="preserve">And have put on the new</w:t>
      </w:r>
      <w:r>
        <w:rPr>
          <w:rStyle w:val="FootnoteReference"/>
        </w:rPr>
        <w:footnoteReference w:id="18412"/>
      </w:r>
      <w:r>
        <w:t xml:space="preserve"> man, who is renewed in knowledge after the image of him who created him:</w:t>
      </w:r>
    </w:p>
    <w:p>
      <w:r>
        <w:rPr>
          <w:b/>
        </w:rPr>
        <w:t xml:space="preserve">11 </w:t>
      </w:r>
      <w:r>
        <w:t xml:space="preserve">Where there is neither Greek nor Jew, circumcision</w:t>
      </w:r>
      <w:r>
        <w:rPr>
          <w:rStyle w:val="FootnoteReference"/>
        </w:rPr>
        <w:footnoteReference w:id="18413"/>
      </w:r>
      <w:r>
        <w:t xml:space="preserve"> nor uncircumcision, Barbarian, Scythian</w:t>
      </w:r>
      <w:r>
        <w:rPr>
          <w:rStyle w:val="FootnoteReference"/>
        </w:rPr>
        <w:footnoteReference w:id="18414"/>
      </w:r>
      <w:r>
        <w:t xml:space="preserve">, slave nor free: but Christ is all, and in all.</w:t>
      </w:r>
    </w:p>
    <w:p>
      <w:r>
        <w:rPr>
          <w:b/>
        </w:rPr>
        <w:t xml:space="preserve">12 </w:t>
      </w:r>
      <w:r>
        <w:t xml:space="preserve">Put on therefore, as the elect of God, holy</w:t>
      </w:r>
      <w:r>
        <w:rPr>
          <w:rStyle w:val="FootnoteReference"/>
        </w:rPr>
        <w:footnoteReference w:id="18415"/>
      </w:r>
      <w:r>
        <w:t xml:space="preserve"> and beloved, inward parts of mercies, kindness, humbleness of mind, meekness, longsuffering;</w:t>
      </w:r>
    </w:p>
    <w:p>
      <w:r>
        <w:rPr>
          <w:b/>
        </w:rPr>
        <w:t xml:space="preserve">13 </w:t>
      </w:r>
      <w:r>
        <w:t xml:space="preserve">Forbearing</w:t>
      </w:r>
      <w:r>
        <w:rPr>
          <w:rStyle w:val="FootnoteReference"/>
        </w:rPr>
        <w:footnoteReference w:id="18416"/>
      </w:r>
      <w:r>
        <w:t xml:space="preserve"> one another, and forgiving one another, if anyone have a quarrel against any: even as Christ forgave you, so also do you.</w:t>
      </w:r>
    </w:p>
    <w:p>
      <w:r>
        <w:rPr>
          <w:b/>
        </w:rPr>
        <w:t xml:space="preserve">14 </w:t>
      </w:r>
      <w:r>
        <w:t xml:space="preserve">And above all these things put on love, which is the bond of perfection.</w:t>
      </w:r>
    </w:p>
    <w:p>
      <w:r>
        <w:rPr>
          <w:b/>
        </w:rPr>
        <w:t xml:space="preserve">15 </w:t>
      </w:r>
      <w:r>
        <w:t xml:space="preserve">And let the peace</w:t>
      </w:r>
      <w:r>
        <w:rPr>
          <w:rStyle w:val="FootnoteReference"/>
        </w:rPr>
        <w:footnoteReference w:id="18417"/>
      </w:r>
      <w:r>
        <w:t xml:space="preserve"> of God rule in your hearts, to the which also you are called in one body; and be thankful.</w:t>
      </w:r>
    </w:p>
    <w:p>
      <w:r>
        <w:rPr>
          <w:b/>
        </w:rPr>
        <w:t xml:space="preserve">16 </w:t>
      </w:r>
      <w:r>
        <w:t xml:space="preserve">Let the word</w:t>
      </w:r>
      <w:r>
        <w:rPr>
          <w:rStyle w:val="FootnoteReference"/>
        </w:rPr>
        <w:footnoteReference w:id="18418"/>
      </w:r>
      <w:r>
        <w:t xml:space="preserve"> of Christ dwell in you richly in all wisdom; teaching and admonishing one another in psalms and hymns and spiritual songs, singing with grace in your hearts to the Lord.</w:t>
      </w:r>
    </w:p>
    <w:p>
      <w:r>
        <w:rPr>
          <w:b/>
        </w:rPr>
        <w:t xml:space="preserve">17 </w:t>
      </w:r>
      <w:r>
        <w:t xml:space="preserve">And whatever you do in word</w:t>
      </w:r>
      <w:r>
        <w:rPr>
          <w:rStyle w:val="FootnoteReference"/>
        </w:rPr>
        <w:footnoteReference w:id="18419"/>
      </w:r>
      <w:r>
        <w:t xml:space="preserve"> or deed, do all in the name of the Lord Jesus, giving thanks to God and the Father by him.</w:t>
      </w:r>
    </w:p>
    <w:p>
      <w:r>
        <w:rPr>
          <w:b/>
        </w:rPr>
        <w:t xml:space="preserve">18 </w:t>
      </w:r>
      <w:r>
        <w:t xml:space="preserve">Wives, submit</w:t>
      </w:r>
      <w:r>
        <w:rPr>
          <w:rStyle w:val="FootnoteReference"/>
        </w:rPr>
        <w:footnoteReference w:id="18420"/>
      </w:r>
      <w:r>
        <w:t xml:space="preserve"> yourselves to your own husbands, as it is fit in the Lord.</w:t>
      </w:r>
    </w:p>
    <w:p>
      <w:r>
        <w:rPr>
          <w:b/>
        </w:rPr>
        <w:t xml:space="preserve">19 </w:t>
      </w:r>
      <w:r>
        <w:t xml:space="preserve">Husbands, love</w:t>
      </w:r>
      <w:r>
        <w:rPr>
          <w:rStyle w:val="FootnoteReference"/>
        </w:rPr>
        <w:footnoteReference w:id="18421"/>
      </w:r>
      <w:r>
        <w:t xml:space="preserve"> your wives, and do not be bitter against them.</w:t>
      </w:r>
    </w:p>
    <w:p>
      <w:r>
        <w:rPr>
          <w:b/>
        </w:rPr>
        <w:t xml:space="preserve">20 </w:t>
      </w:r>
      <w:r>
        <w:t xml:space="preserve">Children, obey</w:t>
      </w:r>
      <w:r>
        <w:rPr>
          <w:rStyle w:val="FootnoteReference"/>
        </w:rPr>
        <w:footnoteReference w:id="18422"/>
      </w:r>
      <w:r>
        <w:t xml:space="preserve"> your parents in all things: for this is well pleasing to the Lord.</w:t>
      </w:r>
    </w:p>
    <w:p>
      <w:r>
        <w:rPr>
          <w:b/>
        </w:rPr>
        <w:t xml:space="preserve">21 </w:t>
      </w:r>
      <w:r>
        <w:t xml:space="preserve">Fathers, do not provoke your children, lest they be discouraged.</w:t>
      </w:r>
    </w:p>
    <w:p>
      <w:r>
        <w:rPr>
          <w:b/>
        </w:rPr>
        <w:t xml:space="preserve">22 </w:t>
      </w:r>
      <w:r>
        <w:t xml:space="preserve">Slaves, obey</w:t>
      </w:r>
      <w:r>
        <w:rPr>
          <w:rStyle w:val="FootnoteReference"/>
        </w:rPr>
        <w:footnoteReference w:id="18423"/>
      </w:r>
      <w:r>
        <w:t xml:space="preserve"> in all things your masters according to the flesh; not with eye-service, as men-pleasers; but in singleness of heart, fearing God;</w:t>
      </w:r>
    </w:p>
    <w:p>
      <w:r>
        <w:rPr>
          <w:b/>
        </w:rPr>
        <w:t xml:space="preserve">23 </w:t>
      </w:r>
      <w:r>
        <w:t xml:space="preserve">And whatever you do, do it heartily, as to the Lord, and not to men;</w:t>
      </w:r>
    </w:p>
    <w:p>
      <w:r>
        <w:rPr>
          <w:b/>
        </w:rPr>
        <w:t xml:space="preserve">24 </w:t>
      </w:r>
      <w:r>
        <w:t xml:space="preserve">Knowing that of the Lord you shall receive the reward of the inheritance: for you serve the Lord Christ.</w:t>
      </w:r>
    </w:p>
    <w:p>
      <w:r>
        <w:rPr>
          <w:b/>
        </w:rPr>
        <w:t xml:space="preserve">25 </w:t>
      </w:r>
      <w:r>
        <w:t xml:space="preserve">But the one who does wrong shall receive</w:t>
      </w:r>
      <w:r>
        <w:rPr>
          <w:rStyle w:val="FootnoteReference"/>
        </w:rPr>
        <w:footnoteReference w:id="18424"/>
      </w:r>
      <w:r>
        <w:t xml:space="preserve"> for the wrong which he has done: and there is no respect of persons.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Masters, give</w:t>
      </w:r>
      <w:r>
        <w:rPr>
          <w:rStyle w:val="FootnoteReference"/>
        </w:rPr>
        <w:footnoteReference w:id="18425"/>
      </w:r>
      <w:r>
        <w:t xml:space="preserve"> to your slaves that which is just and equal; knowing that you also have a Master in heaven.</w:t>
      </w:r>
    </w:p>
    <w:p>
      <w:r>
        <w:rPr>
          <w:b/>
        </w:rPr>
        <w:t xml:space="preserve">2 </w:t>
      </w:r>
      <w:r>
        <w:t xml:space="preserve">Continue</w:t>
      </w:r>
      <w:r>
        <w:rPr>
          <w:rStyle w:val="FootnoteReference"/>
        </w:rPr>
        <w:footnoteReference w:id="18426"/>
      </w:r>
      <w:r>
        <w:t xml:space="preserve"> steadfastly in prayer, watching in it with thanksgiving;</w:t>
      </w:r>
    </w:p>
    <w:p>
      <w:r>
        <w:rPr>
          <w:b/>
        </w:rPr>
        <w:t xml:space="preserve">3 </w:t>
      </w:r>
      <w:r>
        <w:t xml:space="preserve">Likewise praying</w:t>
      </w:r>
      <w:r>
        <w:rPr>
          <w:rStyle w:val="FootnoteReference"/>
        </w:rPr>
        <w:footnoteReference w:id="18427"/>
      </w:r>
      <w:r>
        <w:t xml:space="preserve"> also for us, that God would open to us a door of utterance, to speak the mystery of Christ, for which I am also in bonds:</w:t>
      </w:r>
    </w:p>
    <w:p>
      <w:r>
        <w:rPr>
          <w:b/>
        </w:rPr>
        <w:t xml:space="preserve">4 </w:t>
      </w:r>
      <w:r>
        <w:t xml:space="preserve">That I may</w:t>
      </w:r>
      <w:r>
        <w:rPr>
          <w:rStyle w:val="FootnoteReference"/>
        </w:rPr>
        <w:footnoteReference w:id="18428"/>
      </w:r>
      <w:r>
        <w:t xml:space="preserve"> make it manifest, as I ought to speak.</w:t>
      </w:r>
    </w:p>
    <w:p>
      <w:r>
        <w:rPr>
          <w:b/>
        </w:rPr>
        <w:t xml:space="preserve">5 </w:t>
      </w:r>
      <w:r>
        <w:t xml:space="preserve">Walk</w:t>
      </w:r>
      <w:r>
        <w:rPr>
          <w:rStyle w:val="FootnoteReference"/>
        </w:rPr>
        <w:footnoteReference w:id="18429"/>
      </w:r>
      <w:r>
        <w:t xml:space="preserve"> in wisdom toward those who are without, redeeming the time.</w:t>
      </w:r>
    </w:p>
    <w:p>
      <w:r>
        <w:rPr>
          <w:b/>
        </w:rPr>
        <w:t xml:space="preserve">6 </w:t>
      </w:r>
      <w:r>
        <w:t xml:space="preserve">Let your speech be always with grace, seasoned</w:t>
      </w:r>
      <w:r>
        <w:rPr>
          <w:rStyle w:val="FootnoteReference"/>
        </w:rPr>
        <w:footnoteReference w:id="18430"/>
      </w:r>
      <w:r>
        <w:t xml:space="preserve"> with salt, that you may know how you ought to answer every man.</w:t>
      </w:r>
    </w:p>
    <w:p>
      <w:r>
        <w:rPr>
          <w:b/>
        </w:rPr>
        <w:t xml:space="preserve">7 </w:t>
      </w:r>
      <w:r>
        <w:t xml:space="preserve">All my state shall Tychicus</w:t>
      </w:r>
      <w:r>
        <w:rPr>
          <w:rStyle w:val="FootnoteReference"/>
        </w:rPr>
        <w:footnoteReference w:id="18431"/>
      </w:r>
      <w:r>
        <w:t xml:space="preserve"> declare to you, who is a beloved brother, and a faithful minister and fellow slave in the Lord:</w:t>
      </w:r>
    </w:p>
    <w:p>
      <w:r>
        <w:rPr>
          <w:b/>
        </w:rPr>
        <w:t xml:space="preserve">8 </w:t>
      </w:r>
      <w:r>
        <w:t xml:space="preserve">Whom I have sent to you for the same purpose, that he might know your estate, and comfort</w:t>
      </w:r>
      <w:r>
        <w:rPr>
          <w:rStyle w:val="FootnoteReference"/>
        </w:rPr>
        <w:footnoteReference w:id="18432"/>
      </w:r>
      <w:r>
        <w:t xml:space="preserve"> your hearts;</w:t>
      </w:r>
    </w:p>
    <w:p>
      <w:r>
        <w:rPr>
          <w:b/>
        </w:rPr>
        <w:t xml:space="preserve">9 </w:t>
      </w:r>
      <w:r>
        <w:t xml:space="preserve">With Onesimus</w:t>
      </w:r>
      <w:r>
        <w:rPr>
          <w:rStyle w:val="FootnoteReference"/>
        </w:rPr>
        <w:footnoteReference w:id="18433"/>
      </w:r>
      <w:r>
        <w:t xml:space="preserve">, a faithful and beloved brother, who is one of you. They shall make known to you all things which are done here.</w:t>
      </w:r>
      <w:r>
        <w:rPr>
          <w:rStyle w:val="FootnoteReference"/>
        </w:rPr>
        <w:footnoteReference w:id="18434"/>
      </w:r>
    </w:p>
    <w:p>
      <w:r>
        <w:rPr>
          <w:b/>
        </w:rPr>
        <w:t xml:space="preserve">10 </w:t>
      </w:r>
      <w:r>
        <w:t xml:space="preserve">Aristarchus</w:t>
      </w:r>
      <w:r>
        <w:rPr>
          <w:rStyle w:val="FootnoteReference"/>
        </w:rPr>
        <w:footnoteReference w:id="18435"/>
      </w:r>
      <w:r>
        <w:t xml:space="preserve"> my fellow-prisoner salutes you, and Mark</w:t>
      </w:r>
      <w:r>
        <w:rPr>
          <w:rStyle w:val="FootnoteReference"/>
        </w:rPr>
        <w:footnoteReference w:id="18436"/>
      </w:r>
      <w:r>
        <w:t xml:space="preserve">, sister's (concerning whom you received commandments: if he comes to you, receive him;)</w:t>
      </w:r>
    </w:p>
    <w:p>
      <w:r>
        <w:rPr>
          <w:b/>
        </w:rPr>
        <w:t xml:space="preserve">11 </w:t>
      </w:r>
      <w:r>
        <w:t xml:space="preserve">And Jesus, who is called Justus, who are of the circumcision. These only are my fellow workers to the kingdom of God, who have been a comfort</w:t>
      </w:r>
      <w:r>
        <w:rPr>
          <w:rStyle w:val="FootnoteReference"/>
        </w:rPr>
        <w:footnoteReference w:id="18437"/>
      </w:r>
      <w:r>
        <w:t xml:space="preserve"> to me.</w:t>
      </w:r>
    </w:p>
    <w:p>
      <w:r>
        <w:rPr>
          <w:b/>
        </w:rPr>
        <w:t xml:space="preserve">12 </w:t>
      </w:r>
      <w:r>
        <w:t xml:space="preserve">Epaphras</w:t>
      </w:r>
      <w:r>
        <w:rPr>
          <w:rStyle w:val="FootnoteReference"/>
        </w:rPr>
        <w:footnoteReference w:id="18438"/>
      </w:r>
      <w:r>
        <w:t xml:space="preserve">, who is one of you, a slave of Christ, salutes you, always laboring fervently for you in prayers, that you may stand perfect and complete in all the will of God.</w:t>
      </w:r>
    </w:p>
    <w:p>
      <w:r>
        <w:rPr>
          <w:b/>
        </w:rPr>
        <w:t xml:space="preserve">13 </w:t>
      </w:r>
      <w:r>
        <w:t xml:space="preserve">For I bear</w:t>
      </w:r>
      <w:r>
        <w:rPr>
          <w:rStyle w:val="FootnoteReference"/>
        </w:rPr>
        <w:footnoteReference w:id="18439"/>
      </w:r>
      <w:r>
        <w:t xml:space="preserve"> him record, that he has a great zeal for you, and those who are in Laodicea, and them in Hierapolis</w:t>
      </w:r>
      <w:r>
        <w:rPr>
          <w:rStyle w:val="FootnoteReference"/>
        </w:rPr>
        <w:footnoteReference w:id="18440"/>
      </w:r>
      <w:r>
        <w:t xml:space="preserve">.</w:t>
      </w:r>
    </w:p>
    <w:p>
      <w:r>
        <w:rPr>
          <w:b/>
        </w:rPr>
        <w:t xml:space="preserve">14 </w:t>
      </w:r>
      <w:r>
        <w:t xml:space="preserve">Luke</w:t>
      </w:r>
      <w:r>
        <w:rPr>
          <w:rStyle w:val="FootnoteReference"/>
        </w:rPr>
        <w:footnoteReference w:id="18441"/>
      </w:r>
      <w:r>
        <w:t xml:space="preserve">, the beloved physician, and Demas</w:t>
      </w:r>
      <w:r>
        <w:rPr>
          <w:rStyle w:val="FootnoteReference"/>
        </w:rPr>
        <w:footnoteReference w:id="18442"/>
      </w:r>
      <w:r>
        <w:t xml:space="preserve">, greet you.</w:t>
      </w:r>
      <w:r>
        <w:rPr>
          <w:rStyle w:val="FootnoteReference"/>
        </w:rPr>
        <w:footnoteReference w:id="18443"/>
      </w:r>
    </w:p>
    <w:p>
      <w:r>
        <w:rPr>
          <w:b/>
        </w:rPr>
        <w:t xml:space="preserve">15 </w:t>
      </w:r>
      <w:r>
        <w:t xml:space="preserve">Salute the brothers who are in Laodicea</w:t>
      </w:r>
      <w:r>
        <w:rPr>
          <w:rStyle w:val="FootnoteReference"/>
        </w:rPr>
        <w:footnoteReference w:id="18444"/>
      </w:r>
      <w:r>
        <w:t xml:space="preserve">, and Nymphas</w:t>
      </w:r>
      <w:r>
        <w:rPr>
          <w:rStyle w:val="FootnoteReference"/>
        </w:rPr>
        <w:footnoteReference w:id="18445"/>
      </w:r>
      <w:r>
        <w:t xml:space="preserve">, and the assembly which is in his house.</w:t>
      </w:r>
    </w:p>
    <w:p>
      <w:r>
        <w:rPr>
          <w:b/>
        </w:rPr>
        <w:t xml:space="preserve">16 </w:t>
      </w:r>
      <w:r>
        <w:t xml:space="preserve">And when this epistle is read among you, cause that it be read also in the assembly of the Laodiceans</w:t>
      </w:r>
      <w:r>
        <w:rPr>
          <w:rStyle w:val="FootnoteReference"/>
        </w:rPr>
        <w:footnoteReference w:id="18446"/>
      </w:r>
      <w:r>
        <w:t xml:space="preserve">; and that you likewise read the epistle from Laodicea.</w:t>
      </w:r>
    </w:p>
    <w:p>
      <w:r>
        <w:rPr>
          <w:b/>
        </w:rPr>
        <w:t xml:space="preserve">17 </w:t>
      </w:r>
      <w:r>
        <w:t xml:space="preserve">And say to Archippus</w:t>
      </w:r>
      <w:r>
        <w:rPr>
          <w:rStyle w:val="FootnoteReference"/>
        </w:rPr>
        <w:footnoteReference w:id="18447"/>
      </w:r>
      <w:r>
        <w:t xml:space="preserve">, Take heed to the ministry which you have received in the Lord, that you fulfill it.</w:t>
      </w:r>
    </w:p>
    <w:p>
      <w:r>
        <w:rPr>
          <w:b/>
        </w:rPr>
        <w:t xml:space="preserve">18 </w:t>
      </w:r>
      <w:r>
        <w:t xml:space="preserve">The greeting by my hand, Paul. Remember</w:t>
      </w:r>
      <w:r>
        <w:rPr>
          <w:rStyle w:val="FootnoteReference"/>
        </w:rPr>
        <w:footnoteReference w:id="18448"/>
      </w:r>
      <w:r>
        <w:t xml:space="preserve"> my bonds. Grace be with you. Amen.</w:t>
      </w:r>
    </w:p>
    <w:p>
      <w:r>
        <w:br w:type="page"/>
      </w:r>
    </w:p>
    <w:p>
      <w:pPr>
        <w:pStyle w:val="Heading1"/>
      </w:pPr>
      <w:r>
        <w:t xml:space="preserve">1 Thessalonians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and Silvanus</w:t>
      </w:r>
      <w:r>
        <w:rPr>
          <w:rStyle w:val="FootnoteReference"/>
        </w:rPr>
        <w:footnoteReference w:id="18449"/>
      </w:r>
      <w:r>
        <w:t xml:space="preserve">, and Timothy, to the assembly of the Thessalonians which is in God the Father and in the Lord Jesus Christ: Grace be to you, and peace, from God our Father, and the Lord Jesus Christ.</w:t>
      </w:r>
    </w:p>
    <w:p>
      <w:r>
        <w:rPr>
          <w:b/>
        </w:rPr>
        <w:t xml:space="preserve">2 </w:t>
      </w:r>
      <w:r>
        <w:t xml:space="preserve">We give thanks to God always for you all, making mention of you in our prayers;</w:t>
      </w:r>
    </w:p>
    <w:p>
      <w:r>
        <w:rPr>
          <w:b/>
        </w:rPr>
        <w:t xml:space="preserve">3 </w:t>
      </w:r>
      <w:r>
        <w:t xml:space="preserve">Remembering</w:t>
      </w:r>
      <w:r>
        <w:rPr>
          <w:rStyle w:val="FootnoteReference"/>
        </w:rPr>
        <w:footnoteReference w:id="18450"/>
      </w:r>
      <w:r>
        <w:t xml:space="preserve"> without ceasing your work of faith, and labor of love, and patience of hope in our Lord Jesus Christ, in the sight of God and our Father;</w:t>
      </w:r>
    </w:p>
    <w:p>
      <w:r>
        <w:rPr>
          <w:b/>
        </w:rPr>
        <w:t xml:space="preserve">4 </w:t>
      </w:r>
      <w:r>
        <w:t xml:space="preserve">Knowing</w:t>
      </w:r>
      <w:r>
        <w:rPr>
          <w:rStyle w:val="FootnoteReference"/>
        </w:rPr>
        <w:footnoteReference w:id="18451"/>
      </w:r>
      <w:r>
        <w:t xml:space="preserve">, brothers beloved, your election of God.</w:t>
      </w:r>
    </w:p>
    <w:p>
      <w:r>
        <w:rPr>
          <w:b/>
        </w:rPr>
        <w:t xml:space="preserve">5 </w:t>
      </w:r>
      <w:r>
        <w:t xml:space="preserve">For our good news came not to you in word</w:t>
      </w:r>
      <w:r>
        <w:rPr>
          <w:rStyle w:val="FootnoteReference"/>
        </w:rPr>
        <w:footnoteReference w:id="18452"/>
      </w:r>
      <w:r>
        <w:t xml:space="preserve"> only, but also in power, and in the Holy Spirit, and in much assurance; as you know what manner of men we were among you for your sake.</w:t>
      </w:r>
    </w:p>
    <w:p>
      <w:r>
        <w:rPr>
          <w:b/>
        </w:rPr>
        <w:t xml:space="preserve">6 </w:t>
      </w:r>
      <w:r>
        <w:t xml:space="preserve">And you became followers of us, and of</w:t>
      </w:r>
      <w:r>
        <w:rPr>
          <w:rStyle w:val="FootnoteReference"/>
        </w:rPr>
        <w:footnoteReference w:id="18453"/>
      </w:r>
      <w:r>
        <w:t xml:space="preserve"> the Lord, having received the word in much affliction, with joy of the Holy Spirit.</w:t>
      </w:r>
    </w:p>
    <w:p>
      <w:r>
        <w:rPr>
          <w:b/>
        </w:rPr>
        <w:t xml:space="preserve">7 </w:t>
      </w:r>
      <w:r>
        <w:t xml:space="preserve">So that you were ensamples</w:t>
      </w:r>
      <w:r>
        <w:rPr>
          <w:rStyle w:val="FootnoteReference"/>
        </w:rPr>
        <w:footnoteReference w:id="18454"/>
      </w:r>
      <w:r>
        <w:t xml:space="preserve"> to all that believe in Macedonia and Achaia.</w:t>
      </w:r>
    </w:p>
    <w:p>
      <w:r>
        <w:rPr>
          <w:b/>
        </w:rPr>
        <w:t xml:space="preserve">8 </w:t>
      </w:r>
      <w:r>
        <w:t xml:space="preserve">For from you sounded out the word of the Lord not only in Macedonia and Achaia, but also in every</w:t>
      </w:r>
      <w:r>
        <w:rPr>
          <w:rStyle w:val="FootnoteReference"/>
        </w:rPr>
        <w:footnoteReference w:id="18455"/>
      </w:r>
      <w:r>
        <w:t xml:space="preserve"> place your faith toward God is spread widely; so that we need not to speak anything.</w:t>
      </w:r>
    </w:p>
    <w:p>
      <w:r>
        <w:rPr>
          <w:b/>
        </w:rPr>
        <w:t xml:space="preserve">9 </w:t>
      </w:r>
      <w:r>
        <w:t xml:space="preserve">For they themselves show of us what manner of entering in we had to you, and how you turned to God from idols to serve the living</w:t>
      </w:r>
      <w:r>
        <w:rPr>
          <w:rStyle w:val="FootnoteReference"/>
        </w:rPr>
        <w:footnoteReference w:id="18456"/>
      </w:r>
      <w:r>
        <w:t xml:space="preserve"> and true God;</w:t>
      </w:r>
    </w:p>
    <w:p>
      <w:r>
        <w:rPr>
          <w:b/>
        </w:rPr>
        <w:t xml:space="preserve">10 </w:t>
      </w:r>
      <w:r>
        <w:t xml:space="preserve">And to wait</w:t>
      </w:r>
      <w:r>
        <w:rPr>
          <w:rStyle w:val="FootnoteReference"/>
        </w:rPr>
        <w:footnoteReference w:id="18457"/>
      </w:r>
      <w:r>
        <w:t xml:space="preserve"> for his Son from heaven, whom he raised from the dead, even Jesus, who delivered us from the wrath to come.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For yourselves, brothers, know our entrance in to you, that it was not in vain</w:t>
      </w:r>
      <w:r>
        <w:rPr>
          <w:rStyle w:val="FootnoteReference"/>
        </w:rPr>
        <w:footnoteReference w:id="18458"/>
      </w:r>
      <w:r>
        <w:t xml:space="preserve">:</w:t>
      </w:r>
    </w:p>
    <w:p>
      <w:r>
        <w:rPr>
          <w:b/>
        </w:rPr>
        <w:t xml:space="preserve">2 </w:t>
      </w:r>
      <w:r>
        <w:t xml:space="preserve">But even after that we had suffered before, and were shamefully</w:t>
      </w:r>
      <w:r>
        <w:rPr>
          <w:rStyle w:val="FootnoteReference"/>
        </w:rPr>
        <w:footnoteReference w:id="18459"/>
      </w:r>
      <w:r>
        <w:t xml:space="preserve"> entreated, as you know, at Philippi, we were bold in our God to speak to you the good news of God with much contention.</w:t>
      </w:r>
    </w:p>
    <w:p>
      <w:r>
        <w:rPr>
          <w:b/>
        </w:rPr>
        <w:t xml:space="preserve">3 </w:t>
      </w:r>
      <w:r>
        <w:t xml:space="preserve">For our exhortation was not from error, nor from uncleanness, nor in deceit:</w:t>
      </w:r>
    </w:p>
    <w:p>
      <w:r>
        <w:rPr>
          <w:b/>
        </w:rPr>
        <w:t xml:space="preserve">4 </w:t>
      </w:r>
      <w:r>
        <w:t xml:space="preserve">But as we</w:t>
      </w:r>
      <w:r>
        <w:rPr>
          <w:rStyle w:val="FootnoteReference"/>
        </w:rPr>
        <w:footnoteReference w:id="18460"/>
      </w:r>
      <w:r>
        <w:t xml:space="preserve"> were allowed of God to be put in trust with the good news, even so we speak; not as pleasing men, but God, who tries our hearts.</w:t>
      </w:r>
    </w:p>
    <w:p>
      <w:r>
        <w:rPr>
          <w:b/>
        </w:rPr>
        <w:t xml:space="preserve">5 </w:t>
      </w:r>
      <w:r>
        <w:t xml:space="preserve">For neither at any time used</w:t>
      </w:r>
      <w:r>
        <w:rPr>
          <w:rStyle w:val="FootnoteReference"/>
        </w:rPr>
        <w:footnoteReference w:id="18461"/>
      </w:r>
      <w:r>
        <w:t xml:space="preserve"> we flattering words, as you know, nor a pretext of covetousness; God is witness:</w:t>
      </w:r>
    </w:p>
    <w:p>
      <w:r>
        <w:rPr>
          <w:b/>
        </w:rPr>
        <w:t xml:space="preserve">6 </w:t>
      </w:r>
      <w:r>
        <w:t xml:space="preserve">Nor seeking glory from men, neither from you nor from others, though we could be burdensome as apostles of Christ.</w:t>
      </w:r>
    </w:p>
    <w:p>
      <w:r>
        <w:rPr>
          <w:b/>
        </w:rPr>
        <w:t xml:space="preserve">7 </w:t>
      </w:r>
      <w:r>
        <w:t xml:space="preserve">But we were gentle among you, as a nursing mother cherishes her own children:</w:t>
      </w:r>
    </w:p>
    <w:p>
      <w:r>
        <w:rPr>
          <w:b/>
        </w:rPr>
        <w:t xml:space="preserve">8 </w:t>
      </w:r>
      <w:r>
        <w:t xml:space="preserve">So being affectionately</w:t>
      </w:r>
      <w:r>
        <w:rPr>
          <w:rStyle w:val="FootnoteReference"/>
        </w:rPr>
        <w:footnoteReference w:id="18462"/>
      </w:r>
      <w:r>
        <w:t xml:space="preserve"> desirous of you, we were willing to have imparted to you, not the good news of God only, but also our own souls, because you were dear to us.</w:t>
      </w:r>
    </w:p>
    <w:p>
      <w:r>
        <w:rPr>
          <w:b/>
        </w:rPr>
        <w:t xml:space="preserve">9 </w:t>
      </w:r>
      <w:r>
        <w:t xml:space="preserve">For you remember, brothers, our labor and travail: for laboring night</w:t>
      </w:r>
      <w:r>
        <w:rPr>
          <w:rStyle w:val="FootnoteReference"/>
        </w:rPr>
        <w:footnoteReference w:id="18463"/>
      </w:r>
      <w:r>
        <w:t xml:space="preserve"> and day, because we would not be chargeable to any of you, we preached to you the good news of God.</w:t>
      </w:r>
    </w:p>
    <w:p>
      <w:r>
        <w:rPr>
          <w:b/>
        </w:rPr>
        <w:t xml:space="preserve">10 </w:t>
      </w:r>
      <w:r>
        <w:t xml:space="preserve">You are witnesses</w:t>
      </w:r>
      <w:r>
        <w:rPr>
          <w:rStyle w:val="FootnoteReference"/>
        </w:rPr>
        <w:footnoteReference w:id="18464"/>
      </w:r>
      <w:r>
        <w:t xml:space="preserve">, and God also, how holily and justly and unblameably we behaved ourselves among you that believe:</w:t>
      </w:r>
    </w:p>
    <w:p>
      <w:r>
        <w:rPr>
          <w:b/>
        </w:rPr>
        <w:t xml:space="preserve">11 </w:t>
      </w:r>
      <w:r>
        <w:t xml:space="preserve">As you know how we exhorted and comforted and charged</w:t>
      </w:r>
      <w:r>
        <w:rPr>
          <w:rStyle w:val="FootnoteReference"/>
        </w:rPr>
        <w:footnoteReference w:id="18465"/>
      </w:r>
      <w:r>
        <w:t xml:space="preserve"> every one of you, as a father does his children,</w:t>
      </w:r>
    </w:p>
    <w:p>
      <w:r>
        <w:rPr>
          <w:b/>
        </w:rPr>
        <w:t xml:space="preserve">12 </w:t>
      </w:r>
      <w:r>
        <w:t xml:space="preserve">That you would walk</w:t>
      </w:r>
      <w:r>
        <w:rPr>
          <w:rStyle w:val="FootnoteReference"/>
        </w:rPr>
        <w:footnoteReference w:id="18466"/>
      </w:r>
      <w:r>
        <w:t xml:space="preserve"> worthy of God, who has called you to his kingdom and glory.</w:t>
      </w:r>
    </w:p>
    <w:p>
      <w:r>
        <w:rPr>
          <w:b/>
        </w:rPr>
        <w:t xml:space="preserve">13 </w:t>
      </w:r>
      <w:r>
        <w:t xml:space="preserve">For this cause also thank</w:t>
      </w:r>
      <w:r>
        <w:rPr>
          <w:rStyle w:val="FootnoteReference"/>
        </w:rPr>
        <w:footnoteReference w:id="18467"/>
      </w:r>
      <w:r>
        <w:t xml:space="preserve"> we God without ceasing, because, when you received the word of God who you heard of us, you received it not as the word of men, but as it is in truth, the word of God, who effectually works also in you that believe.</w:t>
      </w:r>
    </w:p>
    <w:p>
      <w:r>
        <w:rPr>
          <w:b/>
        </w:rPr>
        <w:t xml:space="preserve">14 </w:t>
      </w:r>
      <w:r>
        <w:t xml:space="preserve">For you, brothers, became</w:t>
      </w:r>
      <w:r>
        <w:rPr>
          <w:rStyle w:val="FootnoteReference"/>
        </w:rPr>
        <w:footnoteReference w:id="18468"/>
      </w:r>
      <w:r>
        <w:t xml:space="preserve"> followers of the assemblies of God who in Judea are in Christ Jesus: for you also have suffered like things of your own countrymen, even as they have of the Jews:</w:t>
      </w:r>
    </w:p>
    <w:p>
      <w:r>
        <w:rPr>
          <w:b/>
        </w:rPr>
        <w:t xml:space="preserve">15 </w:t>
      </w:r>
      <w:r>
        <w:t xml:space="preserve">Who both killed</w:t>
      </w:r>
      <w:r>
        <w:rPr>
          <w:rStyle w:val="FootnoteReference"/>
        </w:rPr>
        <w:footnoteReference w:id="18469"/>
      </w:r>
      <w:r>
        <w:t xml:space="preserve"> the Lord Jesus, and their own prophets, and have persecuted us; and they please not God, and are contrary to all men:</w:t>
      </w:r>
    </w:p>
    <w:p>
      <w:r>
        <w:rPr>
          <w:b/>
        </w:rPr>
        <w:t xml:space="preserve">16 </w:t>
      </w:r>
      <w:r>
        <w:t xml:space="preserve">Forbidding</w:t>
      </w:r>
      <w:r>
        <w:rPr>
          <w:rStyle w:val="FootnoteReference"/>
        </w:rPr>
        <w:footnoteReference w:id="18470"/>
      </w:r>
      <w:r>
        <w:t xml:space="preserve"> us to speak to the nations that they might be saved, to fill up their sins always: for the wrath has come upon them to the uttermost.</w:t>
      </w:r>
    </w:p>
    <w:p>
      <w:r>
        <w:rPr>
          <w:b/>
        </w:rPr>
        <w:t xml:space="preserve">17 </w:t>
      </w:r>
      <w:r>
        <w:t xml:space="preserve">But we, brothers, being taken from you for a short time in presence</w:t>
      </w:r>
      <w:r>
        <w:rPr>
          <w:rStyle w:val="FootnoteReference"/>
        </w:rPr>
        <w:footnoteReference w:id="18471"/>
      </w:r>
      <w:r>
        <w:t xml:space="preserve">, not in heart, endeavoured the more abundantly to see your face with great desire.</w:t>
      </w:r>
    </w:p>
    <w:p>
      <w:r>
        <w:rPr>
          <w:b/>
        </w:rPr>
        <w:t xml:space="preserve">18 </w:t>
      </w:r>
      <w:r>
        <w:t xml:space="preserve">Therefore we would have come to you, even I Paul, once</w:t>
      </w:r>
      <w:r>
        <w:rPr>
          <w:rStyle w:val="FootnoteReference"/>
        </w:rPr>
        <w:footnoteReference w:id="18472"/>
      </w:r>
      <w:r>
        <w:t xml:space="preserve"> and again; but Satan hindered us.</w:t>
      </w:r>
    </w:p>
    <w:p>
      <w:r>
        <w:rPr>
          <w:b/>
        </w:rPr>
        <w:t xml:space="preserve">19 </w:t>
      </w:r>
      <w:r>
        <w:t xml:space="preserve">For what is our hope</w:t>
      </w:r>
      <w:r>
        <w:rPr>
          <w:rStyle w:val="FootnoteReference"/>
        </w:rPr>
        <w:footnoteReference w:id="18473"/>
      </w:r>
      <w:r>
        <w:t xml:space="preserve">, or joy, or crown of rejoicing? Are not even you in the presence of our Lord Jesus Christ at his coming?</w:t>
      </w:r>
    </w:p>
    <w:p>
      <w:r>
        <w:rPr>
          <w:b/>
        </w:rPr>
        <w:t xml:space="preserve">20 </w:t>
      </w:r>
      <w:r>
        <w:t xml:space="preserve">For you are our glory and joy.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Therefore when we could no longer forbear, we thought</w:t>
      </w:r>
      <w:r>
        <w:rPr>
          <w:rStyle w:val="FootnoteReference"/>
        </w:rPr>
        <w:footnoteReference w:id="18474"/>
      </w:r>
      <w:r>
        <w:t xml:space="preserve"> it good to be left at Athens alone;</w:t>
      </w:r>
    </w:p>
    <w:p>
      <w:r>
        <w:rPr>
          <w:b/>
        </w:rPr>
        <w:t xml:space="preserve">2 </w:t>
      </w:r>
      <w:r>
        <w:t xml:space="preserve">And sent Timothy, our brother</w:t>
      </w:r>
      <w:r>
        <w:rPr>
          <w:rStyle w:val="FootnoteReference"/>
        </w:rPr>
        <w:footnoteReference w:id="18475"/>
      </w:r>
      <w:r>
        <w:t xml:space="preserve">, and minister of God, and our fellow laborer in the good news of Christ, to establish you, and to comfort you concerning your faith:</w:t>
      </w:r>
    </w:p>
    <w:p>
      <w:r>
        <w:rPr>
          <w:b/>
        </w:rPr>
        <w:t xml:space="preserve">3 </w:t>
      </w:r>
      <w:r>
        <w:t xml:space="preserve">That no one should be moved</w:t>
      </w:r>
      <w:r>
        <w:rPr>
          <w:rStyle w:val="FootnoteReference"/>
        </w:rPr>
        <w:footnoteReference w:id="18476"/>
      </w:r>
      <w:r>
        <w:t xml:space="preserve"> by these afflictions: for yourselves know that we are appointed to this.</w:t>
      </w:r>
    </w:p>
    <w:p>
      <w:r>
        <w:rPr>
          <w:b/>
        </w:rPr>
        <w:t xml:space="preserve">4 </w:t>
      </w:r>
      <w:r>
        <w:t xml:space="preserve">For truly, when we were with you, we told</w:t>
      </w:r>
      <w:r>
        <w:rPr>
          <w:rStyle w:val="FootnoteReference"/>
        </w:rPr>
        <w:footnoteReference w:id="18477"/>
      </w:r>
      <w:r>
        <w:t xml:space="preserve"> you before that we should suffer tribulation; even as it happened, and you know.</w:t>
      </w:r>
    </w:p>
    <w:p>
      <w:r>
        <w:rPr>
          <w:b/>
        </w:rPr>
        <w:t xml:space="preserve">5 </w:t>
      </w:r>
      <w:r>
        <w:t xml:space="preserve">For this cause, when I could no longer forbear, I sent</w:t>
      </w:r>
      <w:r>
        <w:rPr>
          <w:rStyle w:val="FootnoteReference"/>
        </w:rPr>
        <w:footnoteReference w:id="18478"/>
      </w:r>
      <w:r>
        <w:t xml:space="preserve"> to know your faith, lest by some means the tempter have tempted you, and our labor be in vain.</w:t>
      </w:r>
    </w:p>
    <w:p>
      <w:r>
        <w:rPr>
          <w:b/>
        </w:rPr>
        <w:t xml:space="preserve">6 </w:t>
      </w:r>
      <w:r>
        <w:t xml:space="preserve">But now when Timothy came from you to us, and brought</w:t>
      </w:r>
      <w:r>
        <w:rPr>
          <w:rStyle w:val="FootnoteReference"/>
        </w:rPr>
        <w:footnoteReference w:id="18479"/>
      </w:r>
      <w:r>
        <w:t xml:space="preserve"> us good tidings of your faith and love, and that you have good remembrance of us always, desiring greatly to see us, as we also to see you:</w:t>
      </w:r>
    </w:p>
    <w:p>
      <w:r>
        <w:rPr>
          <w:b/>
        </w:rPr>
        <w:t xml:space="preserve">7 </w:t>
      </w:r>
      <w:r>
        <w:t xml:space="preserve">Therefore, brothers, we were</w:t>
      </w:r>
      <w:r>
        <w:rPr>
          <w:rStyle w:val="FootnoteReference"/>
        </w:rPr>
        <w:footnoteReference w:id="18480"/>
      </w:r>
      <w:r>
        <w:t xml:space="preserve"> comforted over you in all our affliction and distress by your faith:</w:t>
      </w:r>
    </w:p>
    <w:p>
      <w:r>
        <w:rPr>
          <w:b/>
        </w:rPr>
        <w:t xml:space="preserve">8 </w:t>
      </w:r>
      <w:r>
        <w:t xml:space="preserve">For now we live</w:t>
      </w:r>
      <w:r>
        <w:rPr>
          <w:rStyle w:val="FootnoteReference"/>
        </w:rPr>
        <w:footnoteReference w:id="18481"/>
      </w:r>
      <w:r>
        <w:t xml:space="preserve">, if you stand fast in the Lord.</w:t>
      </w:r>
    </w:p>
    <w:p>
      <w:r>
        <w:rPr>
          <w:b/>
        </w:rPr>
        <w:t xml:space="preserve">9 </w:t>
      </w:r>
      <w:r>
        <w:t xml:space="preserve">For what thanks can we render to God again for you, for all the joy with which we joy for your sakes before our God;</w:t>
      </w:r>
    </w:p>
    <w:p>
      <w:r>
        <w:rPr>
          <w:b/>
        </w:rPr>
        <w:t xml:space="preserve">10 </w:t>
      </w:r>
      <w:r>
        <w:t xml:space="preserve">Night</w:t>
      </w:r>
      <w:r>
        <w:rPr>
          <w:rStyle w:val="FootnoteReference"/>
        </w:rPr>
        <w:footnoteReference w:id="18482"/>
      </w:r>
      <w:r>
        <w:t xml:space="preserve"> and day praying exceedingly to see your face, and to complete the things lacking in your faith?</w:t>
      </w:r>
    </w:p>
    <w:p>
      <w:r>
        <w:rPr>
          <w:b/>
        </w:rPr>
        <w:t xml:space="preserve">11 </w:t>
      </w:r>
      <w:r>
        <w:t xml:space="preserve">Now God himself and our Father, and our Lord</w:t>
      </w:r>
      <w:r>
        <w:rPr>
          <w:rStyle w:val="FootnoteReference"/>
        </w:rPr>
        <w:footnoteReference w:id="18483"/>
      </w:r>
      <w:r>
        <w:t xml:space="preserve"> Jesus Christ, direct our way to you.</w:t>
      </w:r>
    </w:p>
    <w:p>
      <w:r>
        <w:rPr>
          <w:b/>
        </w:rPr>
        <w:t xml:space="preserve">12 </w:t>
      </w:r>
      <w:r>
        <w:t xml:space="preserve">And the Lord</w:t>
      </w:r>
      <w:r>
        <w:rPr>
          <w:rStyle w:val="FootnoteReference"/>
        </w:rPr>
        <w:footnoteReference w:id="18484"/>
      </w:r>
      <w:r>
        <w:t xml:space="preserve"> make you to increase and abound in love one toward another, and toward all men, even as we do toward you:</w:t>
      </w:r>
    </w:p>
    <w:p>
      <w:r>
        <w:rPr>
          <w:b/>
        </w:rPr>
        <w:t xml:space="preserve">13 </w:t>
      </w:r>
      <w:r>
        <w:t xml:space="preserve">To the end he may</w:t>
      </w:r>
      <w:r>
        <w:rPr>
          <w:rStyle w:val="FootnoteReference"/>
        </w:rPr>
        <w:footnoteReference w:id="18485"/>
      </w:r>
      <w:r>
        <w:t xml:space="preserve"> establish your hearts blameless in holiness before God, even our Father, at the coming of our Lord Jesus Christ with all his holy ones.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Furthermore then we plead to you, brothers, and exhort you by the Lord Jesus, that as you have received of us how you ought to walk and to please</w:t>
      </w:r>
      <w:r>
        <w:rPr>
          <w:rStyle w:val="FootnoteReference"/>
        </w:rPr>
        <w:footnoteReference w:id="18486"/>
      </w:r>
      <w:r>
        <w:t xml:space="preserve"> God, so you would abound more and more.</w:t>
      </w:r>
    </w:p>
    <w:p>
      <w:r>
        <w:rPr>
          <w:b/>
        </w:rPr>
        <w:t xml:space="preserve">2 </w:t>
      </w:r>
      <w:r>
        <w:t xml:space="preserve">For you know what commandments we gave you by the Lord Jesus.</w:t>
      </w:r>
    </w:p>
    <w:p>
      <w:r>
        <w:rPr>
          <w:b/>
        </w:rPr>
        <w:t xml:space="preserve">3 </w:t>
      </w:r>
      <w:r>
        <w:t xml:space="preserve">For this is the will of God, even your sanctification, that you should abstain from sexual immorality:</w:t>
      </w:r>
    </w:p>
    <w:p>
      <w:r>
        <w:rPr>
          <w:b/>
        </w:rPr>
        <w:t xml:space="preserve">4 </w:t>
      </w:r>
      <w:r>
        <w:t xml:space="preserve">That every one of you should</w:t>
      </w:r>
      <w:r>
        <w:rPr>
          <w:rStyle w:val="FootnoteReference"/>
        </w:rPr>
        <w:footnoteReference w:id="18487"/>
      </w:r>
      <w:r>
        <w:t xml:space="preserve"> know how to possess his vessel in sanctification and honor;</w:t>
      </w:r>
    </w:p>
    <w:p>
      <w:r>
        <w:rPr>
          <w:b/>
        </w:rPr>
        <w:t xml:space="preserve">5 </w:t>
      </w:r>
      <w:r>
        <w:t xml:space="preserve">Not in the lust of desire, even as the</w:t>
      </w:r>
      <w:r>
        <w:rPr>
          <w:rStyle w:val="FootnoteReference"/>
        </w:rPr>
        <w:footnoteReference w:id="18488"/>
      </w:r>
      <w:r>
        <w:t xml:space="preserve"> nations who do not know God:</w:t>
      </w:r>
    </w:p>
    <w:p>
      <w:r>
        <w:rPr>
          <w:b/>
        </w:rPr>
        <w:t xml:space="preserve">6 </w:t>
      </w:r>
      <w:r>
        <w:t xml:space="preserve">That no one go beyond and defraud</w:t>
      </w:r>
      <w:r>
        <w:rPr>
          <w:rStyle w:val="FootnoteReference"/>
        </w:rPr>
        <w:footnoteReference w:id="18489"/>
      </w:r>
      <w:r>
        <w:t xml:space="preserve"> his brother in any matter: because the Lord is the avenger of all such, as we also have forewarned you and testified.</w:t>
      </w:r>
    </w:p>
    <w:p>
      <w:r>
        <w:rPr>
          <w:b/>
        </w:rPr>
        <w:t xml:space="preserve">7 </w:t>
      </w:r>
      <w:r>
        <w:t xml:space="preserve">For God has not called us to uncleanness</w:t>
      </w:r>
      <w:r>
        <w:rPr>
          <w:rStyle w:val="FootnoteReference"/>
        </w:rPr>
        <w:footnoteReference w:id="18490"/>
      </w:r>
      <w:r>
        <w:t xml:space="preserve">, but to holiness.</w:t>
      </w:r>
    </w:p>
    <w:p>
      <w:r>
        <w:rPr>
          <w:b/>
        </w:rPr>
        <w:t xml:space="preserve">8 </w:t>
      </w:r>
      <w:r>
        <w:t xml:space="preserve">He therefore that despises, despises not man, but God, who has also given to us his holy Spirit.</w:t>
      </w:r>
    </w:p>
    <w:p>
      <w:r>
        <w:rPr>
          <w:b/>
        </w:rPr>
        <w:t xml:space="preserve">9 </w:t>
      </w:r>
      <w:r>
        <w:t xml:space="preserve">But as concerning brotherly love you need not that I write to you: for you yourselves are taught of God to love one another.</w:t>
      </w:r>
    </w:p>
    <w:p>
      <w:r>
        <w:rPr>
          <w:b/>
        </w:rPr>
        <w:t xml:space="preserve">10 </w:t>
      </w:r>
      <w:r>
        <w:t xml:space="preserve">And indeed you do it toward all the brothers who are in all Macedonia: but we plead to you, brothers, that you increase more and more;</w:t>
      </w:r>
    </w:p>
    <w:p>
      <w:r>
        <w:rPr>
          <w:b/>
        </w:rPr>
        <w:t xml:space="preserve">11 </w:t>
      </w:r>
      <w:r>
        <w:t xml:space="preserve">And that you study</w:t>
      </w:r>
      <w:r>
        <w:rPr>
          <w:rStyle w:val="FootnoteReference"/>
        </w:rPr>
        <w:footnoteReference w:id="18491"/>
      </w:r>
      <w:r>
        <w:t xml:space="preserve"> to be quiet, and to do your own business, and to work with your own hands, as we commanded you;</w:t>
      </w:r>
    </w:p>
    <w:p>
      <w:r>
        <w:rPr>
          <w:b/>
        </w:rPr>
        <w:t xml:space="preserve">12 </w:t>
      </w:r>
      <w:r>
        <w:t xml:space="preserve">That you may walk honestly toward those who are without, and that you may have lack of nothing</w:t>
      </w:r>
      <w:r>
        <w:rPr>
          <w:rStyle w:val="FootnoteReference"/>
        </w:rPr>
        <w:footnoteReference w:id="18492"/>
      </w:r>
      <w:r>
        <w:t xml:space="preserve">.</w:t>
      </w:r>
    </w:p>
    <w:p>
      <w:r>
        <w:rPr>
          <w:b/>
        </w:rPr>
        <w:t xml:space="preserve">13 </w:t>
      </w:r>
      <w:r>
        <w:t xml:space="preserve">But I would</w:t>
      </w:r>
      <w:r>
        <w:rPr>
          <w:rStyle w:val="FootnoteReference"/>
        </w:rPr>
        <w:footnoteReference w:id="18493"/>
      </w:r>
      <w:r>
        <w:t xml:space="preserve"> not have you to be ignorant, brothers, concerning those who are asleep, that you sorrow not, even as others which have no hope.</w:t>
      </w:r>
    </w:p>
    <w:p>
      <w:r>
        <w:rPr>
          <w:b/>
        </w:rPr>
        <w:t xml:space="preserve">14 </w:t>
      </w:r>
      <w:r>
        <w:t xml:space="preserve">For if we</w:t>
      </w:r>
      <w:r>
        <w:rPr>
          <w:rStyle w:val="FootnoteReference"/>
        </w:rPr>
        <w:footnoteReference w:id="18494"/>
      </w:r>
      <w:r>
        <w:t xml:space="preserve"> believe that Jesus died and rose again, even so those also who sleep in Jesus will God bring with him.</w:t>
      </w:r>
    </w:p>
    <w:p>
      <w:r>
        <w:rPr>
          <w:b/>
        </w:rPr>
        <w:t xml:space="preserve">15 </w:t>
      </w:r>
      <w:r>
        <w:t xml:space="preserve">For this we say to you by the word of the Lord, that we which are</w:t>
      </w:r>
      <w:r>
        <w:rPr>
          <w:rStyle w:val="FootnoteReference"/>
        </w:rPr>
        <w:footnoteReference w:id="18495"/>
      </w:r>
      <w:r>
        <w:t xml:space="preserve"> alive and remain to the coming of the Lord shall not prevent those who are asleep.</w:t>
      </w:r>
    </w:p>
    <w:p>
      <w:r>
        <w:rPr>
          <w:b/>
        </w:rPr>
        <w:t xml:space="preserve">16 </w:t>
      </w:r>
      <w:r>
        <w:t xml:space="preserve">For the Lord</w:t>
      </w:r>
      <w:r>
        <w:rPr>
          <w:rStyle w:val="FootnoteReference"/>
        </w:rPr>
        <w:footnoteReference w:id="18496"/>
      </w:r>
      <w:r>
        <w:t xml:space="preserve"> himself shall descend from heaven with a shout, with the voice of the archangel, and with the trump of God: and the dead in Christ shall rise first:</w:t>
      </w:r>
    </w:p>
    <w:p>
      <w:r>
        <w:rPr>
          <w:b/>
        </w:rPr>
        <w:t xml:space="preserve">17 </w:t>
      </w:r>
      <w:r>
        <w:t xml:space="preserve">Then we which</w:t>
      </w:r>
      <w:r>
        <w:rPr>
          <w:rStyle w:val="FootnoteReference"/>
        </w:rPr>
        <w:footnoteReference w:id="18497"/>
      </w:r>
      <w:r>
        <w:t xml:space="preserve"> are alive and remain shall be caught up together with them in the clouds, to meet the Lord in the air: and so shall we ever be with the Lord.</w:t>
      </w:r>
    </w:p>
    <w:p>
      <w:r>
        <w:rPr>
          <w:b/>
        </w:rPr>
        <w:t xml:space="preserve">18 </w:t>
      </w:r>
      <w:r>
        <w:t xml:space="preserve">Therefore comfort</w:t>
      </w:r>
      <w:r>
        <w:rPr>
          <w:rStyle w:val="FootnoteReference"/>
        </w:rPr>
        <w:footnoteReference w:id="18498"/>
      </w:r>
      <w:r>
        <w:t xml:space="preserve"> one another with these words.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But of the times</w:t>
      </w:r>
      <w:r>
        <w:rPr>
          <w:rStyle w:val="FootnoteReference"/>
        </w:rPr>
        <w:footnoteReference w:id="18499"/>
      </w:r>
      <w:r>
        <w:t xml:space="preserve"> and the seasons, brothers, you have no need that I write to you.</w:t>
      </w:r>
    </w:p>
    <w:p>
      <w:r>
        <w:rPr>
          <w:b/>
        </w:rPr>
        <w:t xml:space="preserve">2 </w:t>
      </w:r>
      <w:r>
        <w:t xml:space="preserve">For yourselves know</w:t>
      </w:r>
      <w:r>
        <w:rPr>
          <w:rStyle w:val="FootnoteReference"/>
        </w:rPr>
        <w:footnoteReference w:id="18500"/>
      </w:r>
      <w:r>
        <w:t xml:space="preserve"> perfectly that the day of the Lord so comes as a thief in the night.</w:t>
      </w:r>
    </w:p>
    <w:p>
      <w:r>
        <w:rPr>
          <w:b/>
        </w:rPr>
        <w:t xml:space="preserve">3 </w:t>
      </w:r>
      <w:r>
        <w:t xml:space="preserve">For when they say, Peace</w:t>
      </w:r>
      <w:r>
        <w:rPr>
          <w:rStyle w:val="FootnoteReference"/>
        </w:rPr>
        <w:footnoteReference w:id="18501"/>
      </w:r>
      <w:r>
        <w:t xml:space="preserve"> and safety; then sudden destruction comes upon them, as birth pains upon a pregnant woman; and they shall not escape.</w:t>
      </w:r>
    </w:p>
    <w:p>
      <w:r>
        <w:rPr>
          <w:b/>
        </w:rPr>
        <w:t xml:space="preserve">4 </w:t>
      </w:r>
      <w:r>
        <w:t xml:space="preserve">But you, brothers, are not in darkness, that the day should overtake</w:t>
      </w:r>
      <w:r>
        <w:rPr>
          <w:rStyle w:val="FootnoteReference"/>
        </w:rPr>
        <w:footnoteReference w:id="18502"/>
      </w:r>
      <w:r>
        <w:t xml:space="preserve"> you as a thief.</w:t>
      </w:r>
    </w:p>
    <w:p>
      <w:r>
        <w:rPr>
          <w:b/>
        </w:rPr>
        <w:t xml:space="preserve">5 </w:t>
      </w:r>
      <w:r>
        <w:t xml:space="preserve">You are all the children of light, and the children of the day: we are not of the night, nor of darkness.</w:t>
      </w:r>
    </w:p>
    <w:p>
      <w:r>
        <w:rPr>
          <w:b/>
        </w:rPr>
        <w:t xml:space="preserve">6 </w:t>
      </w:r>
      <w:r>
        <w:t xml:space="preserve">Therefore let us not</w:t>
      </w:r>
      <w:r>
        <w:rPr>
          <w:rStyle w:val="FootnoteReference"/>
        </w:rPr>
        <w:footnoteReference w:id="18503"/>
      </w:r>
      <w:r>
        <w:t xml:space="preserve"> sleep, as the rest do; but let us watch and be sober.</w:t>
      </w:r>
    </w:p>
    <w:p>
      <w:r>
        <w:rPr>
          <w:b/>
        </w:rPr>
        <w:t xml:space="preserve">7 </w:t>
      </w:r>
      <w:r>
        <w:t xml:space="preserve">For those who sleep sleep in the night; and those who are drunk are drunken in the night.</w:t>
      </w:r>
    </w:p>
    <w:p>
      <w:r>
        <w:rPr>
          <w:b/>
        </w:rPr>
        <w:t xml:space="preserve">8 </w:t>
      </w:r>
      <w:r>
        <w:t xml:space="preserve">But let us, who are of the day, be sober, putting on the breastplate</w:t>
      </w:r>
      <w:r>
        <w:rPr>
          <w:rStyle w:val="FootnoteReference"/>
        </w:rPr>
        <w:footnoteReference w:id="18504"/>
      </w:r>
      <w:r>
        <w:t xml:space="preserve"> of faith and love; and for a helmet, the hope of salvation.</w:t>
      </w:r>
    </w:p>
    <w:p>
      <w:r>
        <w:rPr>
          <w:b/>
        </w:rPr>
        <w:t xml:space="preserve">9 </w:t>
      </w:r>
      <w:r>
        <w:t xml:space="preserve">For God has not appointed us to wrath, but to obtain</w:t>
      </w:r>
      <w:r>
        <w:rPr>
          <w:rStyle w:val="FootnoteReference"/>
        </w:rPr>
        <w:footnoteReference w:id="18505"/>
      </w:r>
      <w:r>
        <w:t xml:space="preserve"> salvation by our Lord Jesus Christ,</w:t>
      </w:r>
    </w:p>
    <w:p>
      <w:r>
        <w:rPr>
          <w:b/>
        </w:rPr>
        <w:t xml:space="preserve">10 </w:t>
      </w:r>
      <w:r>
        <w:t xml:space="preserve">Who died</w:t>
      </w:r>
      <w:r>
        <w:rPr>
          <w:rStyle w:val="FootnoteReference"/>
        </w:rPr>
        <w:footnoteReference w:id="18506"/>
      </w:r>
      <w:r>
        <w:t xml:space="preserve"> for us, that, whether we watch or sleep, we should live together with him.</w:t>
      </w:r>
    </w:p>
    <w:p>
      <w:r>
        <w:rPr>
          <w:b/>
        </w:rPr>
        <w:t xml:space="preserve">11 </w:t>
      </w:r>
      <w:r>
        <w:t xml:space="preserve">Therefore comfort</w:t>
      </w:r>
      <w:r>
        <w:rPr>
          <w:rStyle w:val="FootnoteReference"/>
        </w:rPr>
        <w:footnoteReference w:id="18507"/>
      </w:r>
      <w:r>
        <w:t xml:space="preserve"> yourselves together, and edify one another, even as also you do.</w:t>
      </w:r>
    </w:p>
    <w:p>
      <w:r>
        <w:rPr>
          <w:b/>
        </w:rPr>
        <w:t xml:space="preserve">12 </w:t>
      </w:r>
      <w:r>
        <w:t xml:space="preserve">And we plead to you, brothers, to know</w:t>
      </w:r>
      <w:r>
        <w:rPr>
          <w:rStyle w:val="FootnoteReference"/>
        </w:rPr>
        <w:footnoteReference w:id="18508"/>
      </w:r>
      <w:r>
        <w:t xml:space="preserve"> those who labor among you, and are over you in the Lord, and admonish you;</w:t>
      </w:r>
    </w:p>
    <w:p>
      <w:r>
        <w:rPr>
          <w:b/>
        </w:rPr>
        <w:t xml:space="preserve">13 </w:t>
      </w:r>
      <w:r>
        <w:t xml:space="preserve">And to esteem</w:t>
      </w:r>
      <w:r>
        <w:rPr>
          <w:rStyle w:val="FootnoteReference"/>
        </w:rPr>
        <w:footnoteReference w:id="18509"/>
      </w:r>
      <w:r>
        <w:t xml:space="preserve"> them very highly in love for their work's sake. And be at peace among yourselves.</w:t>
      </w:r>
    </w:p>
    <w:p>
      <w:r>
        <w:rPr>
          <w:b/>
        </w:rPr>
        <w:t xml:space="preserve">14 </w:t>
      </w:r>
      <w:r>
        <w:t xml:space="preserve">Now we exhort</w:t>
      </w:r>
      <w:r>
        <w:rPr>
          <w:rStyle w:val="FootnoteReference"/>
        </w:rPr>
        <w:footnoteReference w:id="18510"/>
      </w:r>
      <w:r>
        <w:t xml:space="preserve"> you, brothers, warn those who are unruly, comfort the feebleminded, support the weak, be patient toward all men.</w:t>
      </w:r>
    </w:p>
    <w:p>
      <w:r>
        <w:rPr>
          <w:b/>
        </w:rPr>
        <w:t xml:space="preserve">15 </w:t>
      </w:r>
      <w:r>
        <w:t xml:space="preserve">See that none</w:t>
      </w:r>
      <w:r>
        <w:rPr>
          <w:rStyle w:val="FootnoteReference"/>
        </w:rPr>
        <w:footnoteReference w:id="18511"/>
      </w:r>
      <w:r>
        <w:t xml:space="preserve"> render evil for evil to anyone; but ever follow that which is good, both among yourselves, and to all men.</w:t>
      </w:r>
    </w:p>
    <w:p>
      <w:r>
        <w:rPr>
          <w:b/>
        </w:rPr>
        <w:t xml:space="preserve">16 </w:t>
      </w:r>
      <w:r>
        <w:t xml:space="preserve">Rejoice</w:t>
      </w:r>
      <w:r>
        <w:rPr>
          <w:rStyle w:val="FootnoteReference"/>
        </w:rPr>
        <w:footnoteReference w:id="18512"/>
      </w:r>
      <w:r>
        <w:t xml:space="preserve"> always.</w:t>
      </w:r>
    </w:p>
    <w:p>
      <w:r>
        <w:rPr>
          <w:b/>
        </w:rPr>
        <w:t xml:space="preserve">17 </w:t>
      </w:r>
      <w:r>
        <w:t xml:space="preserve">Pray</w:t>
      </w:r>
      <w:r>
        <w:rPr>
          <w:rStyle w:val="FootnoteReference"/>
        </w:rPr>
        <w:footnoteReference w:id="18513"/>
      </w:r>
      <w:r>
        <w:t xml:space="preserve"> without ceasing.</w:t>
      </w:r>
    </w:p>
    <w:p>
      <w:r>
        <w:rPr>
          <w:b/>
        </w:rPr>
        <w:t xml:space="preserve">18 </w:t>
      </w:r>
      <w:r>
        <w:t xml:space="preserve">In everything give thanks: for this is the will of God in Christ Jesus concerning you.</w:t>
      </w:r>
    </w:p>
    <w:p>
      <w:r>
        <w:rPr>
          <w:b/>
        </w:rPr>
        <w:t xml:space="preserve">19 </w:t>
      </w:r>
      <w:r>
        <w:t xml:space="preserve">Quench</w:t>
      </w:r>
      <w:r>
        <w:rPr>
          <w:rStyle w:val="FootnoteReference"/>
        </w:rPr>
        <w:footnoteReference w:id="18514"/>
      </w:r>
      <w:r>
        <w:t xml:space="preserve"> not the Spirit.</w:t>
      </w:r>
    </w:p>
    <w:p>
      <w:r>
        <w:rPr>
          <w:b/>
        </w:rPr>
        <w:t xml:space="preserve">20 </w:t>
      </w:r>
      <w:r>
        <w:t xml:space="preserve">Do not despise prophecies.</w:t>
      </w:r>
    </w:p>
    <w:p>
      <w:r>
        <w:rPr>
          <w:b/>
        </w:rPr>
        <w:t xml:space="preserve">21 </w:t>
      </w:r>
      <w:r>
        <w:t xml:space="preserve">Test all things; hold</w:t>
      </w:r>
      <w:r>
        <w:rPr>
          <w:rStyle w:val="FootnoteReference"/>
        </w:rPr>
        <w:footnoteReference w:id="18515"/>
      </w:r>
      <w:r>
        <w:t xml:space="preserve"> fast the good.</w:t>
      </w:r>
    </w:p>
    <w:p>
      <w:r>
        <w:rPr>
          <w:b/>
        </w:rPr>
        <w:t xml:space="preserve">22 </w:t>
      </w:r>
      <w:r>
        <w:t xml:space="preserve">Abstain from every form of evil.</w:t>
      </w:r>
    </w:p>
    <w:p>
      <w:r>
        <w:rPr>
          <w:b/>
        </w:rPr>
        <w:t xml:space="preserve">23 </w:t>
      </w:r>
      <w:r>
        <w:t xml:space="preserve">And the very God of peace sanctify</w:t>
      </w:r>
      <w:r>
        <w:rPr>
          <w:rStyle w:val="FootnoteReference"/>
        </w:rPr>
        <w:footnoteReference w:id="18516"/>
      </w:r>
      <w:r>
        <w:t xml:space="preserve"> you wholly; and I pray God your whole spirit and soul and body be preserved blameless to the coming of our Lord Jesus Christ.</w:t>
      </w:r>
    </w:p>
    <w:p>
      <w:r>
        <w:rPr>
          <w:b/>
        </w:rPr>
        <w:t xml:space="preserve">24 </w:t>
      </w:r>
      <w:r>
        <w:t xml:space="preserve">Faithful</w:t>
      </w:r>
      <w:r>
        <w:rPr>
          <w:rStyle w:val="FootnoteReference"/>
        </w:rPr>
        <w:footnoteReference w:id="18517"/>
      </w:r>
      <w:r>
        <w:t xml:space="preserve"> is the one who calls you, who also will do it.</w:t>
      </w:r>
    </w:p>
    <w:p>
      <w:r>
        <w:rPr>
          <w:b/>
        </w:rPr>
        <w:t xml:space="preserve">25 </w:t>
      </w:r>
      <w:r>
        <w:t xml:space="preserve">Brothers, pray for us.</w:t>
      </w:r>
    </w:p>
    <w:p>
      <w:r>
        <w:rPr>
          <w:b/>
        </w:rPr>
        <w:t xml:space="preserve">26 </w:t>
      </w:r>
      <w:r>
        <w:t xml:space="preserve">Greet all the brothers with a holy kiss.</w:t>
      </w:r>
    </w:p>
    <w:p>
      <w:r>
        <w:rPr>
          <w:b/>
        </w:rPr>
        <w:t xml:space="preserve">27 </w:t>
      </w:r>
      <w:r>
        <w:t xml:space="preserve">I charge</w:t>
      </w:r>
      <w:r>
        <w:rPr>
          <w:rStyle w:val="FootnoteReference"/>
        </w:rPr>
        <w:footnoteReference w:id="18518"/>
      </w:r>
      <w:r>
        <w:t xml:space="preserve"> you by the Lord that this epistle be read to all the holy brothers.</w:t>
      </w:r>
    </w:p>
    <w:p>
      <w:r>
        <w:rPr>
          <w:b/>
        </w:rPr>
        <w:t xml:space="preserve">28 </w:t>
      </w:r>
      <w:r>
        <w:t xml:space="preserve">The grace of our Lord Jesus Christ be with you. Amen.</w:t>
      </w:r>
    </w:p>
    <w:p>
      <w:r>
        <w:br w:type="page"/>
      </w:r>
    </w:p>
    <w:p>
      <w:pPr>
        <w:pStyle w:val="Heading1"/>
      </w:pPr>
      <w:r>
        <w:t xml:space="preserve">2 Thessalonians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and Silvanus, and Timothy, to the assembly of the Thessalonians in God our Father and the Lord Jesus Christ:</w:t>
      </w:r>
    </w:p>
    <w:p>
      <w:r>
        <w:rPr>
          <w:b/>
        </w:rPr>
        <w:t xml:space="preserve">2 </w:t>
      </w:r>
      <w:r>
        <w:t xml:space="preserve">Grace to you, and peace, from God our Father and the Lord Jesus Christ.</w:t>
      </w:r>
    </w:p>
    <w:p>
      <w:r>
        <w:rPr>
          <w:b/>
        </w:rPr>
        <w:t xml:space="preserve">3 </w:t>
      </w:r>
      <w:r>
        <w:t xml:space="preserve">We are bound to thank God always for you, brothers, as it is fitting, because your faith grows exceedingly, and the love of every one of you all toward each other abounds;</w:t>
      </w:r>
    </w:p>
    <w:p>
      <w:r>
        <w:rPr>
          <w:b/>
        </w:rPr>
        <w:t xml:space="preserve">4 </w:t>
      </w:r>
      <w:r>
        <w:t xml:space="preserve">So that we ourselves boast in you in the assemblies of God for your patience</w:t>
      </w:r>
      <w:r>
        <w:rPr>
          <w:rStyle w:val="FootnoteReference"/>
        </w:rPr>
        <w:footnoteReference w:id="18519"/>
      </w:r>
      <w:r>
        <w:t xml:space="preserve"> and faith in all your persecutions and tribulations that you endure:</w:t>
      </w:r>
    </w:p>
    <w:p>
      <w:r>
        <w:rPr>
          <w:b/>
        </w:rPr>
        <w:t xml:space="preserve">5 </w:t>
      </w:r>
      <w:r>
        <w:t xml:space="preserve">Which is a manifest</w:t>
      </w:r>
      <w:r>
        <w:rPr>
          <w:rStyle w:val="FootnoteReference"/>
        </w:rPr>
        <w:footnoteReference w:id="18520"/>
      </w:r>
      <w:r>
        <w:t xml:space="preserve"> token of the righteous judgment of God, that you may be counted worthy of the kingdom of God, for which you also suffer:</w:t>
      </w:r>
    </w:p>
    <w:p>
      <w:r>
        <w:rPr>
          <w:b/>
        </w:rPr>
        <w:t xml:space="preserve">6 </w:t>
      </w:r>
      <w:r>
        <w:t xml:space="preserve">Seeing it is a righteous thing with God to recompense tribulation to those who trouble you;</w:t>
      </w:r>
    </w:p>
    <w:p>
      <w:r>
        <w:rPr>
          <w:b/>
        </w:rPr>
        <w:t xml:space="preserve">7 </w:t>
      </w:r>
      <w:r>
        <w:t xml:space="preserve">And to you who are troubled rest with us, when the Lord Jesus shall be revealed from heaven with his mighty angels</w:t>
      </w:r>
      <w:r>
        <w:rPr>
          <w:rStyle w:val="FootnoteReference"/>
        </w:rPr>
        <w:footnoteReference w:id="18521"/>
      </w:r>
      <w:r>
        <w:t xml:space="preserve">,</w:t>
      </w:r>
    </w:p>
    <w:p>
      <w:r>
        <w:rPr>
          <w:b/>
        </w:rPr>
        <w:t xml:space="preserve">8 </w:t>
      </w:r>
      <w:r>
        <w:t xml:space="preserve">In flaming</w:t>
      </w:r>
      <w:r>
        <w:rPr>
          <w:rStyle w:val="FootnoteReference"/>
        </w:rPr>
        <w:footnoteReference w:id="18522"/>
      </w:r>
      <w:r>
        <w:t xml:space="preserve"> fire taking vengeance on those who do not know God, and that obey not the good news of our Lord Jesus Christ:</w:t>
      </w:r>
    </w:p>
    <w:p>
      <w:r>
        <w:rPr>
          <w:b/>
        </w:rPr>
        <w:t xml:space="preserve">9 </w:t>
      </w:r>
      <w:r>
        <w:t xml:space="preserve">Who shall be punished with eternal destruction from the presence</w:t>
      </w:r>
      <w:r>
        <w:rPr>
          <w:rStyle w:val="FootnoteReference"/>
        </w:rPr>
        <w:footnoteReference w:id="18523"/>
      </w:r>
      <w:r>
        <w:t xml:space="preserve"> of the Lord, and from the glory of his power;</w:t>
      </w:r>
    </w:p>
    <w:p>
      <w:r>
        <w:rPr>
          <w:b/>
        </w:rPr>
        <w:t xml:space="preserve">10 </w:t>
      </w:r>
      <w:r>
        <w:t xml:space="preserve">When he shall come to be glorified</w:t>
      </w:r>
      <w:r>
        <w:rPr>
          <w:rStyle w:val="FootnoteReference"/>
        </w:rPr>
        <w:footnoteReference w:id="18524"/>
      </w:r>
      <w:r>
        <w:t xml:space="preserve"> in his holy ones, and to be admired in all those who believe (because our testimony among you was believed) in that day.</w:t>
      </w:r>
    </w:p>
    <w:p>
      <w:r>
        <w:rPr>
          <w:b/>
        </w:rPr>
        <w:t xml:space="preserve">11 </w:t>
      </w:r>
      <w:r>
        <w:t xml:space="preserve">Therefore also we pray</w:t>
      </w:r>
      <w:r>
        <w:rPr>
          <w:rStyle w:val="FootnoteReference"/>
        </w:rPr>
        <w:footnoteReference w:id="18525"/>
      </w:r>
      <w:r>
        <w:t xml:space="preserve"> always for you, that our God would count you worthy of this calling, and fulfill all the good pleasure of his goodness, and the work of faith with power:</w:t>
      </w:r>
    </w:p>
    <w:p>
      <w:r>
        <w:rPr>
          <w:b/>
        </w:rPr>
        <w:t xml:space="preserve">12 </w:t>
      </w:r>
      <w:r>
        <w:t xml:space="preserve">That the name</w:t>
      </w:r>
      <w:r>
        <w:rPr>
          <w:rStyle w:val="FootnoteReference"/>
        </w:rPr>
        <w:footnoteReference w:id="18526"/>
      </w:r>
      <w:r>
        <w:t xml:space="preserve"> of our Lord Jesus Christ may be glorified in you, and you in him, according to the grace of our God and the Lord Jesus Christ.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Now we plead to you, brothers, by the coming of our Lord Jesus Christ, and by</w:t>
      </w:r>
      <w:r>
        <w:rPr>
          <w:rStyle w:val="FootnoteReference"/>
        </w:rPr>
        <w:footnoteReference w:id="18527"/>
      </w:r>
      <w:r>
        <w:t xml:space="preserve"> our gathering together to him,</w:t>
      </w:r>
    </w:p>
    <w:p>
      <w:r>
        <w:rPr>
          <w:b/>
        </w:rPr>
        <w:t xml:space="preserve">2 </w:t>
      </w:r>
      <w:r>
        <w:t xml:space="preserve">That you be not soon shaken</w:t>
      </w:r>
      <w:r>
        <w:rPr>
          <w:rStyle w:val="FootnoteReference"/>
        </w:rPr>
        <w:footnoteReference w:id="18528"/>
      </w:r>
      <w:r>
        <w:t xml:space="preserve"> in mind, or be troubled, neither by spirit, nor by word, nor by letter as from us, as that the day of Christ is at hand.</w:t>
      </w:r>
    </w:p>
    <w:p>
      <w:r>
        <w:rPr>
          <w:b/>
        </w:rPr>
        <w:t xml:space="preserve">3 </w:t>
      </w:r>
      <w:r>
        <w:t xml:space="preserve">Let no one deceive you by any means: for that day shall not come, except</w:t>
      </w:r>
      <w:r>
        <w:rPr>
          <w:rStyle w:val="FootnoteReference"/>
        </w:rPr>
        <w:footnoteReference w:id="18529"/>
      </w:r>
      <w:r>
        <w:t xml:space="preserve"> there come a falling away first, and that man of sin be revealed, the son of destruction;</w:t>
      </w:r>
    </w:p>
    <w:p>
      <w:r>
        <w:rPr>
          <w:b/>
        </w:rPr>
        <w:t xml:space="preserve">4 </w:t>
      </w:r>
      <w:r>
        <w:t xml:space="preserve">Who opposes and exalts himself above all that is called</w:t>
      </w:r>
      <w:r>
        <w:rPr>
          <w:rStyle w:val="FootnoteReference"/>
        </w:rPr>
        <w:footnoteReference w:id="18530"/>
      </w:r>
      <w:r>
        <w:t xml:space="preserve"> God, or that is worshiped; so that he as God sits in the temple of God, showing himself that he is God.</w:t>
      </w:r>
    </w:p>
    <w:p>
      <w:r>
        <w:rPr>
          <w:b/>
        </w:rPr>
        <w:t xml:space="preserve">5 </w:t>
      </w:r>
      <w:r>
        <w:t xml:space="preserve">Remember</w:t>
      </w:r>
      <w:r>
        <w:rPr>
          <w:rStyle w:val="FootnoteReference"/>
        </w:rPr>
        <w:footnoteReference w:id="18531"/>
      </w:r>
      <w:r>
        <w:t xml:space="preserve"> you not, that, when I was yet with you, I told you these things?</w:t>
      </w:r>
    </w:p>
    <w:p>
      <w:r>
        <w:rPr>
          <w:b/>
        </w:rPr>
        <w:t xml:space="preserve">6 </w:t>
      </w:r>
      <w:r>
        <w:t xml:space="preserve">And now you know what withholds that he might be revealed</w:t>
      </w:r>
      <w:r>
        <w:rPr>
          <w:rStyle w:val="FootnoteReference"/>
        </w:rPr>
        <w:footnoteReference w:id="18532"/>
      </w:r>
      <w:r>
        <w:t xml:space="preserve"> in his time.</w:t>
      </w:r>
    </w:p>
    <w:p>
      <w:r>
        <w:rPr>
          <w:b/>
        </w:rPr>
        <w:t xml:space="preserve">7 </w:t>
      </w:r>
      <w:r>
        <w:t xml:space="preserve">For the mystery</w:t>
      </w:r>
      <w:r>
        <w:rPr>
          <w:rStyle w:val="FootnoteReference"/>
        </w:rPr>
        <w:footnoteReference w:id="18533"/>
      </w:r>
      <w:r>
        <w:t xml:space="preserve"> of iniquity already works: only there is the one restraining now, until he comes out of the midst.</w:t>
      </w:r>
    </w:p>
    <w:p>
      <w:r>
        <w:rPr>
          <w:b/>
        </w:rPr>
        <w:t xml:space="preserve">8 </w:t>
      </w:r>
      <w:r>
        <w:t xml:space="preserve">And then shall that Wicked be revealed, whom the Lord shall consume with the spirit</w:t>
      </w:r>
      <w:r>
        <w:rPr>
          <w:rStyle w:val="FootnoteReference"/>
        </w:rPr>
        <w:footnoteReference w:id="18534"/>
      </w:r>
      <w:r>
        <w:t xml:space="preserve"> of his mouth, and shall destroy with the brightness of his coming:</w:t>
      </w:r>
    </w:p>
    <w:p>
      <w:r>
        <w:rPr>
          <w:b/>
        </w:rPr>
        <w:t xml:space="preserve">9 </w:t>
      </w:r>
      <w:r>
        <w:t xml:space="preserve">whose coming is according to the working of Satan with all power and signs</w:t>
      </w:r>
      <w:r>
        <w:rPr>
          <w:rStyle w:val="FootnoteReference"/>
        </w:rPr>
        <w:footnoteReference w:id="18535"/>
      </w:r>
      <w:r>
        <w:t xml:space="preserve"> and wonders of falsehood,</w:t>
      </w:r>
    </w:p>
    <w:p>
      <w:r>
        <w:rPr>
          <w:b/>
        </w:rPr>
        <w:t xml:space="preserve">10 </w:t>
      </w:r>
      <w:r>
        <w:t xml:space="preserve">And with all deceivableness</w:t>
      </w:r>
      <w:r>
        <w:rPr>
          <w:rStyle w:val="FootnoteReference"/>
        </w:rPr>
        <w:footnoteReference w:id="18536"/>
      </w:r>
      <w:r>
        <w:t xml:space="preserve"> of unrighteousness in those who perish; because they did not receive the love of the truth, that they might be saved.</w:t>
      </w:r>
    </w:p>
    <w:p>
      <w:r>
        <w:rPr>
          <w:b/>
        </w:rPr>
        <w:t xml:space="preserve">11 </w:t>
      </w:r>
      <w:r>
        <w:t xml:space="preserve">And because of this God shall send them a working of error, that they should believe the lie:</w:t>
      </w:r>
    </w:p>
    <w:p>
      <w:r>
        <w:rPr>
          <w:b/>
        </w:rPr>
        <w:t xml:space="preserve">12 </w:t>
      </w:r>
      <w:r>
        <w:t xml:space="preserve">That they all might be damned who did not believe the truth, but had pleasure in unrighteousness.</w:t>
      </w:r>
    </w:p>
    <w:p>
      <w:r>
        <w:rPr>
          <w:b/>
        </w:rPr>
        <w:t xml:space="preserve">13 </w:t>
      </w:r>
      <w:r>
        <w:t xml:space="preserve">But we are bound to give thanks always to God for you, brothers beloved</w:t>
      </w:r>
      <w:r>
        <w:rPr>
          <w:rStyle w:val="FootnoteReference"/>
        </w:rPr>
        <w:footnoteReference w:id="18537"/>
      </w:r>
      <w:r>
        <w:t xml:space="preserve"> of the Lord, because God has from the beginning chosen you to salvation through sanctification of the Spirit and belief of the truth:</w:t>
      </w:r>
    </w:p>
    <w:p>
      <w:r>
        <w:rPr>
          <w:b/>
        </w:rPr>
        <w:t xml:space="preserve">14 </w:t>
      </w:r>
      <w:r>
        <w:t xml:space="preserve">To which he called</w:t>
      </w:r>
      <w:r>
        <w:rPr>
          <w:rStyle w:val="FootnoteReference"/>
        </w:rPr>
        <w:footnoteReference w:id="18538"/>
      </w:r>
      <w:r>
        <w:t xml:space="preserve"> you by our good news, to the obtaining of the glory of our Lord Jesus Christ.</w:t>
      </w:r>
    </w:p>
    <w:p>
      <w:r>
        <w:rPr>
          <w:b/>
        </w:rPr>
        <w:t xml:space="preserve">15 </w:t>
      </w:r>
      <w:r>
        <w:t xml:space="preserve">Therefore, brothers, stand</w:t>
      </w:r>
      <w:r>
        <w:rPr>
          <w:rStyle w:val="FootnoteReference"/>
        </w:rPr>
        <w:footnoteReference w:id="18539"/>
      </w:r>
      <w:r>
        <w:t xml:space="preserve"> fast, and hold the traditions which you have been taught, whether by word, or our epistle.</w:t>
      </w:r>
    </w:p>
    <w:p>
      <w:r>
        <w:rPr>
          <w:b/>
        </w:rPr>
        <w:t xml:space="preserve">16 </w:t>
      </w:r>
      <w:r>
        <w:t xml:space="preserve">Now our Lord</w:t>
      </w:r>
      <w:r>
        <w:rPr>
          <w:rStyle w:val="FootnoteReference"/>
        </w:rPr>
        <w:footnoteReference w:id="18540"/>
      </w:r>
      <w:r>
        <w:t xml:space="preserve"> Jesus Christ himself, and God, even our Father, who has loved us, and has given us eternal consolation and good hope through grace,</w:t>
      </w:r>
    </w:p>
    <w:p>
      <w:r>
        <w:rPr>
          <w:b/>
        </w:rPr>
        <w:t xml:space="preserve">17 </w:t>
      </w:r>
      <w:r>
        <w:t xml:space="preserve">Comfort</w:t>
      </w:r>
      <w:r>
        <w:rPr>
          <w:rStyle w:val="FootnoteReference"/>
        </w:rPr>
        <w:footnoteReference w:id="18541"/>
      </w:r>
      <w:r>
        <w:t xml:space="preserve"> your hearts, and establish you in every good word and work.</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Finally, brothers, pray</w:t>
      </w:r>
      <w:r>
        <w:rPr>
          <w:rStyle w:val="FootnoteReference"/>
        </w:rPr>
        <w:footnoteReference w:id="18542"/>
      </w:r>
      <w:r>
        <w:t xml:space="preserve"> for us, that the word of the Lord may have free course, and be glorified, even as it is with you:</w:t>
      </w:r>
    </w:p>
    <w:p>
      <w:r>
        <w:rPr>
          <w:b/>
        </w:rPr>
        <w:t xml:space="preserve">2 </w:t>
      </w:r>
      <w:r>
        <w:t xml:space="preserve">And that we may be delivered</w:t>
      </w:r>
      <w:r>
        <w:rPr>
          <w:rStyle w:val="FootnoteReference"/>
        </w:rPr>
        <w:footnoteReference w:id="18543"/>
      </w:r>
      <w:r>
        <w:t xml:space="preserve"> from unreasonable and evil men: for the faith is not of all.</w:t>
      </w:r>
    </w:p>
    <w:p>
      <w:r>
        <w:rPr>
          <w:b/>
        </w:rPr>
        <w:t xml:space="preserve">3 </w:t>
      </w:r>
      <w:r>
        <w:t xml:space="preserve">But the Lord</w:t>
      </w:r>
      <w:r>
        <w:rPr>
          <w:rStyle w:val="FootnoteReference"/>
        </w:rPr>
        <w:footnoteReference w:id="18544"/>
      </w:r>
      <w:r>
        <w:t xml:space="preserve"> is faithful, who shall establish you, and keep you from evil.</w:t>
      </w:r>
    </w:p>
    <w:p>
      <w:r>
        <w:rPr>
          <w:b/>
        </w:rPr>
        <w:t xml:space="preserve">4 </w:t>
      </w:r>
      <w:r>
        <w:t xml:space="preserve">And we have confidence in the Lord concerning you, that you both do and will do the things which we command you.</w:t>
      </w:r>
    </w:p>
    <w:p>
      <w:r>
        <w:rPr>
          <w:b/>
        </w:rPr>
        <w:t xml:space="preserve">5 </w:t>
      </w:r>
      <w:r>
        <w:t xml:space="preserve">And the Lord</w:t>
      </w:r>
      <w:r>
        <w:rPr>
          <w:rStyle w:val="FootnoteReference"/>
        </w:rPr>
        <w:footnoteReference w:id="18545"/>
      </w:r>
      <w:r>
        <w:t xml:space="preserve"> direct your hearts into the love of God, and into the patient waiting for Christ.</w:t>
      </w:r>
    </w:p>
    <w:p>
      <w:r>
        <w:rPr>
          <w:b/>
        </w:rPr>
        <w:t xml:space="preserve">6 </w:t>
      </w:r>
      <w:r>
        <w:t xml:space="preserve">Now we command you, brothers, in the name of our Lord Jesus Christ, that you withdraw yourselves from every brother that walks disorderly, and not after the tradition which he received of us.</w:t>
      </w:r>
    </w:p>
    <w:p>
      <w:r>
        <w:rPr>
          <w:b/>
        </w:rPr>
        <w:t xml:space="preserve">7 </w:t>
      </w:r>
      <w:r>
        <w:t xml:space="preserve">For yourselves know how you ought to follow us: for we behaved not ourselves disorderly among you;</w:t>
      </w:r>
    </w:p>
    <w:p>
      <w:r>
        <w:rPr>
          <w:b/>
        </w:rPr>
        <w:t xml:space="preserve">8 </w:t>
      </w:r>
      <w:r>
        <w:t xml:space="preserve">Neither did we eat anyone's bread for nothing; but worked with labor and travail night</w:t>
      </w:r>
      <w:r>
        <w:rPr>
          <w:rStyle w:val="FootnoteReference"/>
        </w:rPr>
        <w:footnoteReference w:id="18546"/>
      </w:r>
      <w:r>
        <w:t xml:space="preserve"> and day, that we might not be chargeable to any of you:</w:t>
      </w:r>
    </w:p>
    <w:p>
      <w:r>
        <w:rPr>
          <w:b/>
        </w:rPr>
        <w:t xml:space="preserve">9 </w:t>
      </w:r>
      <w:r>
        <w:t xml:space="preserve">Not because we have not power, but to make</w:t>
      </w:r>
      <w:r>
        <w:rPr>
          <w:rStyle w:val="FootnoteReference"/>
        </w:rPr>
        <w:footnoteReference w:id="18547"/>
      </w:r>
      <w:r>
        <w:t xml:space="preserve"> ourselves an example to you to follow us.</w:t>
      </w:r>
    </w:p>
    <w:p>
      <w:r>
        <w:rPr>
          <w:b/>
        </w:rPr>
        <w:t xml:space="preserve">10 </w:t>
      </w:r>
      <w:r>
        <w:t xml:space="preserve">For even when we were with you, this we commanded you, that if anyone is not willing to work, neither let him eat.</w:t>
      </w:r>
    </w:p>
    <w:p>
      <w:r>
        <w:rPr>
          <w:b/>
        </w:rPr>
        <w:t xml:space="preserve">11 </w:t>
      </w:r>
      <w:r>
        <w:t xml:space="preserve">For we hear that some walk</w:t>
      </w:r>
      <w:r>
        <w:rPr>
          <w:rStyle w:val="FootnoteReference"/>
        </w:rPr>
        <w:footnoteReference w:id="18548"/>
      </w:r>
      <w:r>
        <w:t xml:space="preserve"> among you disorderly, not working at all, but being busybodies.</w:t>
      </w:r>
    </w:p>
    <w:p>
      <w:r>
        <w:rPr>
          <w:b/>
        </w:rPr>
        <w:t xml:space="preserve">12 </w:t>
      </w:r>
      <w:r>
        <w:t xml:space="preserve">Now those who are such we command and exhort by our Lord Jesus Christ, that with</w:t>
      </w:r>
      <w:r>
        <w:rPr>
          <w:rStyle w:val="FootnoteReference"/>
        </w:rPr>
        <w:footnoteReference w:id="18549"/>
      </w:r>
      <w:r>
        <w:t xml:space="preserve"> quietness they work, and eat their own bread.</w:t>
      </w:r>
    </w:p>
    <w:p>
      <w:r>
        <w:rPr>
          <w:b/>
        </w:rPr>
        <w:t xml:space="preserve">13 </w:t>
      </w:r>
      <w:r>
        <w:t xml:space="preserve">But you, brothers, do not be weary in well doing.</w:t>
      </w:r>
    </w:p>
    <w:p>
      <w:r>
        <w:rPr>
          <w:b/>
        </w:rPr>
        <w:t xml:space="preserve">14 </w:t>
      </w:r>
      <w:r>
        <w:t xml:space="preserve">And if anyone obey</w:t>
      </w:r>
      <w:r>
        <w:rPr>
          <w:rStyle w:val="FootnoteReference"/>
        </w:rPr>
        <w:footnoteReference w:id="18550"/>
      </w:r>
      <w:r>
        <w:t xml:space="preserve"> not our word by this epistle, note that man, and have no company with him, that he may be ashamed.</w:t>
      </w:r>
    </w:p>
    <w:p>
      <w:r>
        <w:rPr>
          <w:b/>
        </w:rPr>
        <w:t xml:space="preserve">15 </w:t>
      </w:r>
      <w:r>
        <w:t xml:space="preserve">And do not regard him as an enemy, but admonish</w:t>
      </w:r>
      <w:r>
        <w:rPr>
          <w:rStyle w:val="FootnoteReference"/>
        </w:rPr>
        <w:footnoteReference w:id="18551"/>
      </w:r>
      <w:r>
        <w:t xml:space="preserve"> him as a brother.</w:t>
      </w:r>
    </w:p>
    <w:p>
      <w:r>
        <w:rPr>
          <w:b/>
        </w:rPr>
        <w:t xml:space="preserve">16 </w:t>
      </w:r>
      <w:r>
        <w:t xml:space="preserve">Now the Lord of</w:t>
      </w:r>
      <w:r>
        <w:rPr>
          <w:rStyle w:val="FootnoteReference"/>
        </w:rPr>
        <w:footnoteReference w:id="18552"/>
      </w:r>
      <w:r>
        <w:t xml:space="preserve"> peace himself give you peace always by all means. The Lord be with you all.</w:t>
      </w:r>
    </w:p>
    <w:p>
      <w:r>
        <w:rPr>
          <w:b/>
        </w:rPr>
        <w:t xml:space="preserve">17 </w:t>
      </w:r>
      <w:r>
        <w:t xml:space="preserve">The salutation of Paul with my own hand, which is the token</w:t>
      </w:r>
      <w:r>
        <w:rPr>
          <w:rStyle w:val="FootnoteReference"/>
        </w:rPr>
        <w:footnoteReference w:id="18553"/>
      </w:r>
      <w:r>
        <w:t xml:space="preserve"> in every epistle: so I write.</w:t>
      </w:r>
    </w:p>
    <w:p>
      <w:r>
        <w:rPr>
          <w:b/>
        </w:rPr>
        <w:t xml:space="preserve">18 </w:t>
      </w:r>
      <w:r>
        <w:t xml:space="preserve">The grace of our Lord Jesus Christ be with you all. Amen.</w:t>
      </w:r>
    </w:p>
    <w:p>
      <w:r>
        <w:br w:type="page"/>
      </w:r>
    </w:p>
    <w:p>
      <w:pPr>
        <w:pStyle w:val="Heading1"/>
      </w:pPr>
      <w:r>
        <w:t xml:space="preserve">1 Timothy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an apostle</w:t>
      </w:r>
      <w:r>
        <w:rPr>
          <w:rStyle w:val="FootnoteReference"/>
        </w:rPr>
        <w:footnoteReference w:id="18554"/>
      </w:r>
      <w:r>
        <w:t xml:space="preserve"> of Jesus Christ by the commandment of God our Savior, and Lord Jesus Christ, who is our hope;</w:t>
      </w:r>
    </w:p>
    <w:p>
      <w:r>
        <w:rPr>
          <w:b/>
        </w:rPr>
        <w:t xml:space="preserve">2 </w:t>
      </w:r>
      <w:r>
        <w:t xml:space="preserve">To Timothy</w:t>
      </w:r>
      <w:r>
        <w:rPr>
          <w:rStyle w:val="FootnoteReference"/>
        </w:rPr>
        <w:footnoteReference w:id="18555"/>
      </w:r>
      <w:r>
        <w:t xml:space="preserve">, my own son in the faith: Grace, mercy, and peace, from God our Father and Jesus Christ our Lord.</w:t>
      </w:r>
    </w:p>
    <w:p>
      <w:r>
        <w:rPr>
          <w:b/>
        </w:rPr>
        <w:t xml:space="preserve">3 </w:t>
      </w:r>
      <w:r>
        <w:t xml:space="preserve">As I begged you to abide still at Ephesus, when I went into Macedonia, that you might charge</w:t>
      </w:r>
      <w:r>
        <w:rPr>
          <w:rStyle w:val="FootnoteReference"/>
        </w:rPr>
        <w:footnoteReference w:id="18556"/>
      </w:r>
      <w:r>
        <w:t xml:space="preserve"> some that they teach no other doctrine,</w:t>
      </w:r>
    </w:p>
    <w:p>
      <w:r>
        <w:rPr>
          <w:b/>
        </w:rPr>
        <w:t xml:space="preserve">4 </w:t>
      </w:r>
      <w:r>
        <w:t xml:space="preserve">nor to give heed to myths and endless</w:t>
      </w:r>
      <w:r>
        <w:rPr>
          <w:rStyle w:val="FootnoteReference"/>
        </w:rPr>
        <w:footnoteReference w:id="18557"/>
      </w:r>
      <w:r>
        <w:t xml:space="preserve"> genealogies, which produce disputes</w:t>
      </w:r>
      <w:r>
        <w:rPr>
          <w:rStyle w:val="FootnoteReference"/>
        </w:rPr>
        <w:footnoteReference w:id="18558"/>
      </w:r>
      <w:r>
        <w:t xml:space="preserve"> rather than godly edification which is in faith.</w:t>
      </w:r>
    </w:p>
    <w:p>
      <w:r>
        <w:rPr>
          <w:b/>
        </w:rPr>
        <w:t xml:space="preserve">5 </w:t>
      </w:r>
      <w:r>
        <w:t xml:space="preserve">Now the end</w:t>
      </w:r>
      <w:r>
        <w:rPr>
          <w:rStyle w:val="FootnoteReference"/>
        </w:rPr>
        <w:footnoteReference w:id="18559"/>
      </w:r>
      <w:r>
        <w:t xml:space="preserve"> of the commandment is love out of a pure heart, and of a good conscience, and of faith sincere:</w:t>
      </w:r>
    </w:p>
    <w:p>
      <w:r>
        <w:rPr>
          <w:b/>
        </w:rPr>
        <w:t xml:space="preserve">6 </w:t>
      </w:r>
      <w:r>
        <w:t xml:space="preserve">From which some having miss the mark have turned</w:t>
      </w:r>
      <w:r>
        <w:rPr>
          <w:rStyle w:val="FootnoteReference"/>
        </w:rPr>
        <w:footnoteReference w:id="18560"/>
      </w:r>
      <w:r>
        <w:t xml:space="preserve"> aside to vain arguments;</w:t>
      </w:r>
    </w:p>
    <w:p>
      <w:r>
        <w:rPr>
          <w:b/>
        </w:rPr>
        <w:t xml:space="preserve">7 </w:t>
      </w:r>
      <w:r>
        <w:t xml:space="preserve">Desiring to be teachers of the law; understanding</w:t>
      </w:r>
      <w:r>
        <w:rPr>
          <w:rStyle w:val="FootnoteReference"/>
        </w:rPr>
        <w:footnoteReference w:id="18561"/>
      </w:r>
      <w:r>
        <w:t xml:space="preserve"> neither what they say, nor of which they affirm.</w:t>
      </w:r>
    </w:p>
    <w:p>
      <w:r>
        <w:rPr>
          <w:b/>
        </w:rPr>
        <w:t xml:space="preserve">8 </w:t>
      </w:r>
      <w:r>
        <w:t xml:space="preserve">But we know that the law</w:t>
      </w:r>
      <w:r>
        <w:rPr>
          <w:rStyle w:val="FootnoteReference"/>
        </w:rPr>
        <w:footnoteReference w:id="18562"/>
      </w:r>
      <w:r>
        <w:t xml:space="preserve"> is good, if anyone uses it lawfully;</w:t>
      </w:r>
    </w:p>
    <w:p>
      <w:r>
        <w:rPr>
          <w:b/>
        </w:rPr>
        <w:t xml:space="preserve">9 </w:t>
      </w:r>
      <w:r>
        <w:t xml:space="preserve">Knowing this, that law is not laid down for a righteous one, but for lawless and unruly, for ungodly and sinners, for unholy and profane</w:t>
      </w:r>
      <w:r>
        <w:rPr>
          <w:rStyle w:val="FootnoteReference"/>
        </w:rPr>
        <w:footnoteReference w:id="18563"/>
      </w:r>
      <w:r>
        <w:t xml:space="preserve">, for father-killers and mother-killers, for murderers,</w:t>
      </w:r>
    </w:p>
    <w:p>
      <w:r>
        <w:rPr>
          <w:b/>
        </w:rPr>
        <w:t xml:space="preserve">10 </w:t>
      </w:r>
      <w:r>
        <w:t xml:space="preserve">For sexually immoral, for those who defile</w:t>
      </w:r>
      <w:r>
        <w:rPr>
          <w:rStyle w:val="FootnoteReference"/>
        </w:rPr>
        <w:footnoteReference w:id="18564"/>
      </w:r>
      <w:r>
        <w:t xml:space="preserve"> themselves with mankind, for men-stealers, for liars, for promise breakers, and if there is any other thing that is contrary to sound doctrine;</w:t>
      </w:r>
    </w:p>
    <w:p>
      <w:r>
        <w:rPr>
          <w:b/>
        </w:rPr>
        <w:t xml:space="preserve">11 </w:t>
      </w:r>
      <w:r>
        <w:t xml:space="preserve">According to the glorious</w:t>
      </w:r>
      <w:r>
        <w:rPr>
          <w:rStyle w:val="FootnoteReference"/>
        </w:rPr>
        <w:footnoteReference w:id="18565"/>
      </w:r>
      <w:r>
        <w:t xml:space="preserve"> good news of the blessed God, who was committed to my trust.</w:t>
      </w:r>
    </w:p>
    <w:p>
      <w:r>
        <w:rPr>
          <w:b/>
        </w:rPr>
        <w:t xml:space="preserve">12 </w:t>
      </w:r>
      <w:r>
        <w:t xml:space="preserve">And I thank</w:t>
      </w:r>
      <w:r>
        <w:rPr>
          <w:rStyle w:val="FootnoteReference"/>
        </w:rPr>
        <w:footnoteReference w:id="18566"/>
      </w:r>
      <w:r>
        <w:t xml:space="preserve"> Christ Jesus our Lord, who has enabled me, for that he counted me faithful, putting me into the ministry;</w:t>
      </w:r>
    </w:p>
    <w:p>
      <w:r>
        <w:rPr>
          <w:b/>
        </w:rPr>
        <w:t xml:space="preserve">13 </w:t>
      </w:r>
      <w:r>
        <w:t xml:space="preserve">I who was formerly a blasphemer, and a persecutor, and an insolent man: but I obtained mercy, because being ignorant I acted in unbelief.</w:t>
      </w:r>
    </w:p>
    <w:p>
      <w:r>
        <w:rPr>
          <w:b/>
        </w:rPr>
        <w:t xml:space="preserve">14 </w:t>
      </w:r>
      <w:r>
        <w:t xml:space="preserve">And the grace</w:t>
      </w:r>
      <w:r>
        <w:rPr>
          <w:rStyle w:val="FootnoteReference"/>
        </w:rPr>
        <w:footnoteReference w:id="18567"/>
      </w:r>
      <w:r>
        <w:t xml:space="preserve"> of our Lord was exceeding abundant with faith and love which is in Christ Jesus.</w:t>
      </w:r>
    </w:p>
    <w:p>
      <w:r>
        <w:rPr>
          <w:b/>
        </w:rPr>
        <w:t xml:space="preserve">15 </w:t>
      </w:r>
      <w:r>
        <w:t xml:space="preserve">This is a faithful</w:t>
      </w:r>
      <w:r>
        <w:rPr>
          <w:rStyle w:val="FootnoteReference"/>
        </w:rPr>
        <w:footnoteReference w:id="18568"/>
      </w:r>
      <w:r>
        <w:t xml:space="preserve"> saying, and worthy of all acceptation, that Christ Jesus came into the world to save sinners; of whom I am chief.</w:t>
      </w:r>
    </w:p>
    <w:p>
      <w:r>
        <w:rPr>
          <w:b/>
        </w:rPr>
        <w:t xml:space="preserve">16 </w:t>
      </w:r>
      <w:r>
        <w:t xml:space="preserve">Nevertheless for this</w:t>
      </w:r>
      <w:r>
        <w:rPr>
          <w:rStyle w:val="FootnoteReference"/>
        </w:rPr>
        <w:footnoteReference w:id="18569"/>
      </w:r>
      <w:r>
        <w:t xml:space="preserve"> cause I obtained mercy, that in me first Jesus Christ might show forth all longsuffering, for a pattern to those who should hereafter believe on him to life eternal.</w:t>
      </w:r>
    </w:p>
    <w:p>
      <w:r>
        <w:rPr>
          <w:b/>
        </w:rPr>
        <w:t xml:space="preserve">17 </w:t>
      </w:r>
      <w:r>
        <w:t xml:space="preserve">Now to the King eternal, immortal, invisible</w:t>
      </w:r>
      <w:r>
        <w:rPr>
          <w:rStyle w:val="FootnoteReference"/>
        </w:rPr>
        <w:footnoteReference w:id="18570"/>
      </w:r>
      <w:r>
        <w:t xml:space="preserve">, the only wise God, be honor and glory forever and ever. Amen.</w:t>
      </w:r>
    </w:p>
    <w:p>
      <w:r>
        <w:rPr>
          <w:b/>
        </w:rPr>
        <w:t xml:space="preserve">18 </w:t>
      </w:r>
      <w:r>
        <w:t xml:space="preserve">This charge</w:t>
      </w:r>
      <w:r>
        <w:rPr>
          <w:rStyle w:val="FootnoteReference"/>
        </w:rPr>
        <w:footnoteReference w:id="18571"/>
      </w:r>
      <w:r>
        <w:t xml:space="preserve"> I commit to you, son Timothy, according to the prophecies which went before on you, that you by them might war a good warfare;</w:t>
      </w:r>
    </w:p>
    <w:p>
      <w:r>
        <w:rPr>
          <w:b/>
        </w:rPr>
        <w:t xml:space="preserve">19 </w:t>
      </w:r>
      <w:r>
        <w:t xml:space="preserve">Holding</w:t>
      </w:r>
      <w:r>
        <w:rPr>
          <w:rStyle w:val="FootnoteReference"/>
        </w:rPr>
        <w:footnoteReference w:id="18572"/>
      </w:r>
      <w:r>
        <w:t xml:space="preserve"> faith, and a good conscience; which some having put away concerning faith have made shipwreck:</w:t>
      </w:r>
    </w:p>
    <w:p>
      <w:r>
        <w:rPr>
          <w:b/>
        </w:rPr>
        <w:t xml:space="preserve">20 </w:t>
      </w:r>
      <w:r>
        <w:t xml:space="preserve">Of whom is Hymenaeus</w:t>
      </w:r>
      <w:r>
        <w:rPr>
          <w:rStyle w:val="FootnoteReference"/>
        </w:rPr>
        <w:footnoteReference w:id="18573"/>
      </w:r>
      <w:r>
        <w:t xml:space="preserve"> and Alexander; whom I have delivered to Satan, that they may learn not to blaspheme.</w:t>
      </w:r>
      <w:r>
        <w:rPr>
          <w:rStyle w:val="FootnoteReference"/>
        </w:rPr>
        <w:footnoteReference w:id="18574"/>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I exhort</w:t>
      </w:r>
      <w:r>
        <w:rPr>
          <w:rStyle w:val="FootnoteReference"/>
        </w:rPr>
        <w:footnoteReference w:id="18575"/>
      </w:r>
      <w:r>
        <w:t xml:space="preserve"> therefore, first of all, that supplications, prayers, intercessions, and thanksgivings be made for all men;</w:t>
      </w:r>
    </w:p>
    <w:p>
      <w:r>
        <w:rPr>
          <w:b/>
        </w:rPr>
        <w:t xml:space="preserve">2 </w:t>
      </w:r>
      <w:r>
        <w:t xml:space="preserve">For kings</w:t>
      </w:r>
      <w:r>
        <w:rPr>
          <w:rStyle w:val="FootnoteReference"/>
        </w:rPr>
        <w:footnoteReference w:id="18576"/>
      </w:r>
      <w:r>
        <w:t xml:space="preserve">, and for all who are in authority; that we may lead a quiet and tranquil life in all godliness and dignity.</w:t>
      </w:r>
    </w:p>
    <w:p>
      <w:r>
        <w:rPr>
          <w:b/>
        </w:rPr>
        <w:t xml:space="preserve">3 </w:t>
      </w:r>
      <w:r>
        <w:t xml:space="preserve">For this is good and acceptable in the sight of God our Savior;</w:t>
      </w:r>
    </w:p>
    <w:p>
      <w:r>
        <w:rPr>
          <w:b/>
        </w:rPr>
        <w:t xml:space="preserve">4 </w:t>
      </w:r>
      <w:r>
        <w:t xml:space="preserve">Who will</w:t>
      </w:r>
      <w:r>
        <w:rPr>
          <w:rStyle w:val="FootnoteReference"/>
        </w:rPr>
        <w:footnoteReference w:id="18577"/>
      </w:r>
      <w:r>
        <w:t xml:space="preserve"> have all men to be saved, and to come to the knowledge of the truth.</w:t>
      </w:r>
    </w:p>
    <w:p>
      <w:r>
        <w:rPr>
          <w:b/>
        </w:rPr>
        <w:t xml:space="preserve">5 </w:t>
      </w:r>
      <w:r>
        <w:t xml:space="preserve">For there is one God</w:t>
      </w:r>
      <w:r>
        <w:rPr>
          <w:rStyle w:val="FootnoteReference"/>
        </w:rPr>
        <w:footnoteReference w:id="18578"/>
      </w:r>
      <w:r>
        <w:t xml:space="preserve">, and one mediator between God and men, the man Christ Jesus;</w:t>
      </w:r>
    </w:p>
    <w:p>
      <w:r>
        <w:rPr>
          <w:b/>
        </w:rPr>
        <w:t xml:space="preserve">6 </w:t>
      </w:r>
      <w:r>
        <w:t xml:space="preserve">Who gave</w:t>
      </w:r>
      <w:r>
        <w:rPr>
          <w:rStyle w:val="FootnoteReference"/>
        </w:rPr>
        <w:footnoteReference w:id="18579"/>
      </w:r>
      <w:r>
        <w:t xml:space="preserve"> himself a ransom for all, the testimony in its own times.</w:t>
      </w:r>
    </w:p>
    <w:p>
      <w:r>
        <w:rPr>
          <w:b/>
        </w:rPr>
        <w:t xml:space="preserve">7 </w:t>
      </w:r>
      <w:r>
        <w:t xml:space="preserve">To which I am ordained a preacher</w:t>
      </w:r>
      <w:r>
        <w:rPr>
          <w:rStyle w:val="FootnoteReference"/>
        </w:rPr>
        <w:footnoteReference w:id="18580"/>
      </w:r>
      <w:r>
        <w:t xml:space="preserve">, and an apostle, (I speak the truth in Christ, and lie not;) a teacher of the nations in faith and verity.</w:t>
      </w:r>
    </w:p>
    <w:p>
      <w:r>
        <w:rPr>
          <w:b/>
        </w:rPr>
        <w:t xml:space="preserve">8 </w:t>
      </w:r>
      <w:r>
        <w:t xml:space="preserve">I will therefore that men pray</w:t>
      </w:r>
      <w:r>
        <w:rPr>
          <w:rStyle w:val="FootnoteReference"/>
        </w:rPr>
        <w:footnoteReference w:id="18581"/>
      </w:r>
      <w:r>
        <w:t xml:space="preserve"> everywhere, lifting up holy hands, without wrath and doubting.</w:t>
      </w:r>
    </w:p>
    <w:p>
      <w:r>
        <w:rPr>
          <w:b/>
        </w:rPr>
        <w:t xml:space="preserve">9 </w:t>
      </w:r>
      <w:r>
        <w:t xml:space="preserve">Likewise also, that women adorn themselves in modest apparel, with reverence and sobriety; not with braided hair, or gold, or pearls, or costly array;</w:t>
      </w:r>
    </w:p>
    <w:p>
      <w:r>
        <w:rPr>
          <w:b/>
        </w:rPr>
        <w:t xml:space="preserve">10 </w:t>
      </w:r>
      <w:r>
        <w:t xml:space="preserve">but with what befits women</w:t>
      </w:r>
      <w:r>
        <w:rPr>
          <w:rStyle w:val="FootnoteReference"/>
        </w:rPr>
        <w:footnoteReference w:id="18582"/>
      </w:r>
      <w:r>
        <w:t xml:space="preserve"> professing godliness, through good works.</w:t>
      </w:r>
    </w:p>
    <w:p>
      <w:r>
        <w:rPr>
          <w:b/>
        </w:rPr>
        <w:t xml:space="preserve">11 </w:t>
      </w:r>
      <w:r>
        <w:t xml:space="preserve">Let a woman learn in quietness with all submission.</w:t>
      </w:r>
    </w:p>
    <w:p>
      <w:r>
        <w:rPr>
          <w:b/>
        </w:rPr>
        <w:t xml:space="preserve">12 </w:t>
      </w:r>
      <w:r>
        <w:t xml:space="preserve">But I do not permit a woman to teach, nor to exercise authority over a man, but to be in quietness.</w:t>
      </w:r>
    </w:p>
    <w:p>
      <w:r>
        <w:rPr>
          <w:b/>
        </w:rPr>
        <w:t xml:space="preserve">13 </w:t>
      </w:r>
      <w:r>
        <w:t xml:space="preserve">For Adam was first formed, then Eve.</w:t>
      </w:r>
    </w:p>
    <w:p>
      <w:r>
        <w:rPr>
          <w:b/>
        </w:rPr>
        <w:t xml:space="preserve">14 </w:t>
      </w:r>
      <w:r>
        <w:t xml:space="preserve">And Adam was not deceived, but the woman, having been deceived, came to be in transgression.</w:t>
      </w:r>
    </w:p>
    <w:p>
      <w:r>
        <w:rPr>
          <w:b/>
        </w:rPr>
        <w:t xml:space="preserve">15 </w:t>
      </w:r>
      <w:r>
        <w:t xml:space="preserve">Notwithstanding she shall be saved in childbearing</w:t>
      </w:r>
      <w:r>
        <w:rPr>
          <w:rStyle w:val="FootnoteReference"/>
        </w:rPr>
        <w:footnoteReference w:id="18583"/>
      </w:r>
      <w:r>
        <w:t xml:space="preserve">, if they continue in faith and love and holiness with sobriety.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This is a</w:t>
      </w:r>
      <w:r>
        <w:rPr>
          <w:rStyle w:val="FootnoteReference"/>
        </w:rPr>
        <w:footnoteReference w:id="18584"/>
      </w:r>
      <w:r>
        <w:t xml:space="preserve"> true saying, If a man desire the oversight, he desires a good work.</w:t>
      </w:r>
    </w:p>
    <w:p>
      <w:r>
        <w:rPr>
          <w:b/>
        </w:rPr>
        <w:t xml:space="preserve">2 </w:t>
      </w:r>
      <w:r>
        <w:t xml:space="preserve">An overseer then must be blameless</w:t>
      </w:r>
      <w:r>
        <w:rPr>
          <w:rStyle w:val="FootnoteReference"/>
        </w:rPr>
        <w:footnoteReference w:id="18585"/>
      </w:r>
      <w:r>
        <w:t xml:space="preserve">, the husband of one wife, vigilant, sober, of good behavior, given to hospitality, able to teach;</w:t>
      </w:r>
    </w:p>
    <w:p>
      <w:r>
        <w:rPr>
          <w:b/>
        </w:rPr>
        <w:t xml:space="preserve">3 </w:t>
      </w:r>
      <w:r>
        <w:t xml:space="preserve">not given to wine</w:t>
      </w:r>
      <w:r>
        <w:rPr>
          <w:rStyle w:val="FootnoteReference"/>
        </w:rPr>
        <w:footnoteReference w:id="18586"/>
      </w:r>
      <w:r>
        <w:t xml:space="preserve">, not a striker, not greedy for shameful gain; but gentle, peaceable, not loving money;</w:t>
      </w:r>
    </w:p>
    <w:p>
      <w:r>
        <w:rPr>
          <w:b/>
        </w:rPr>
        <w:t xml:space="preserve">4 </w:t>
      </w:r>
      <w:r>
        <w:t xml:space="preserve">One ruling well his own house, having his children in submission with all dignity;</w:t>
      </w:r>
    </w:p>
    <w:p>
      <w:r>
        <w:rPr>
          <w:b/>
        </w:rPr>
        <w:t xml:space="preserve">5 </w:t>
      </w:r>
      <w:r>
        <w:t xml:space="preserve">(For if a man do not know how to rule his own house, how shall he take care of the assembly of God?)</w:t>
      </w:r>
    </w:p>
    <w:p>
      <w:r>
        <w:rPr>
          <w:b/>
        </w:rPr>
        <w:t xml:space="preserve">6 </w:t>
      </w:r>
      <w:r>
        <w:t xml:space="preserve">Not a new convert, lest being lifted up with pride he fall into the condemnation</w:t>
      </w:r>
      <w:r>
        <w:rPr>
          <w:rStyle w:val="FootnoteReference"/>
        </w:rPr>
        <w:footnoteReference w:id="18587"/>
      </w:r>
      <w:r>
        <w:t xml:space="preserve"> of the devil.</w:t>
      </w:r>
    </w:p>
    <w:p>
      <w:r>
        <w:rPr>
          <w:b/>
        </w:rPr>
        <w:t xml:space="preserve">7 </w:t>
      </w:r>
      <w:r>
        <w:t xml:space="preserve">Moreover he must have a good</w:t>
      </w:r>
      <w:r>
        <w:rPr>
          <w:rStyle w:val="FootnoteReference"/>
        </w:rPr>
        <w:footnoteReference w:id="18588"/>
      </w:r>
      <w:r>
        <w:t xml:space="preserve"> report of those who are without; lest he fall into reproach and the snare of the devil.</w:t>
      </w:r>
    </w:p>
    <w:p>
      <w:r>
        <w:rPr>
          <w:b/>
        </w:rPr>
        <w:t xml:space="preserve">8 </w:t>
      </w:r>
      <w:r>
        <w:t xml:space="preserve">Likewise must the servants be grave, not double-tongued, not given</w:t>
      </w:r>
      <w:r>
        <w:rPr>
          <w:rStyle w:val="FootnoteReference"/>
        </w:rPr>
        <w:footnoteReference w:id="18589"/>
      </w:r>
      <w:r>
        <w:t xml:space="preserve"> to much wine, not greedy of filthy illegal gain;</w:t>
      </w:r>
    </w:p>
    <w:p>
      <w:r>
        <w:rPr>
          <w:b/>
        </w:rPr>
        <w:t xml:space="preserve">9 </w:t>
      </w:r>
      <w:r>
        <w:t xml:space="preserve">Holding</w:t>
      </w:r>
      <w:r>
        <w:rPr>
          <w:rStyle w:val="FootnoteReference"/>
        </w:rPr>
        <w:footnoteReference w:id="18590"/>
      </w:r>
      <w:r>
        <w:t xml:space="preserve"> the mystery of the faith in a pure conscience.</w:t>
      </w:r>
    </w:p>
    <w:p>
      <w:r>
        <w:rPr>
          <w:b/>
        </w:rPr>
        <w:t xml:space="preserve">10 </w:t>
      </w:r>
      <w:r>
        <w:t xml:space="preserve">And let these</w:t>
      </w:r>
      <w:r>
        <w:rPr>
          <w:rStyle w:val="FootnoteReference"/>
        </w:rPr>
        <w:footnoteReference w:id="18591"/>
      </w:r>
      <w:r>
        <w:t xml:space="preserve"> also first be proved; then let them serve, being found blameless.</w:t>
      </w:r>
    </w:p>
    <w:p>
      <w:r>
        <w:rPr>
          <w:b/>
        </w:rPr>
        <w:t xml:space="preserve">11 </w:t>
      </w:r>
      <w:r>
        <w:t xml:space="preserve">Women likewise must be dignified, not slanderers, sober</w:t>
      </w:r>
      <w:r>
        <w:rPr>
          <w:rStyle w:val="FootnoteReference"/>
        </w:rPr>
        <w:footnoteReference w:id="18592"/>
      </w:r>
      <w:r>
        <w:t xml:space="preserve">, faithful in all things.</w:t>
      </w:r>
    </w:p>
    <w:p>
      <w:r>
        <w:rPr>
          <w:b/>
        </w:rPr>
        <w:t xml:space="preserve">12 </w:t>
      </w:r>
      <w:r>
        <w:t xml:space="preserve">Let the servants be the husbands of one wife, ruling their children and their own houses well.</w:t>
      </w:r>
    </w:p>
    <w:p>
      <w:r>
        <w:rPr>
          <w:b/>
        </w:rPr>
        <w:t xml:space="preserve">13 </w:t>
      </w:r>
      <w:r>
        <w:t xml:space="preserve">For those who have served well purchase to themselves a good degree</w:t>
      </w:r>
      <w:r>
        <w:rPr>
          <w:rStyle w:val="FootnoteReference"/>
        </w:rPr>
        <w:footnoteReference w:id="18593"/>
      </w:r>
      <w:r>
        <w:t xml:space="preserve">, and great boldness in the faith which is in Christ Jesus.</w:t>
      </w:r>
    </w:p>
    <w:p>
      <w:r>
        <w:rPr>
          <w:b/>
        </w:rPr>
        <w:t xml:space="preserve">14 </w:t>
      </w:r>
      <w:r>
        <w:t xml:space="preserve">I write these things to you, hoping</w:t>
      </w:r>
      <w:r>
        <w:rPr>
          <w:rStyle w:val="FootnoteReference"/>
        </w:rPr>
        <w:footnoteReference w:id="18594"/>
      </w:r>
      <w:r>
        <w:t xml:space="preserve"> to come to you shortly:</w:t>
      </w:r>
    </w:p>
    <w:p>
      <w:r>
        <w:rPr>
          <w:b/>
        </w:rPr>
        <w:t xml:space="preserve">15 </w:t>
      </w:r>
      <w:r>
        <w:t xml:space="preserve">But if I tarry long, that you may know</w:t>
      </w:r>
      <w:r>
        <w:rPr>
          <w:rStyle w:val="FootnoteReference"/>
        </w:rPr>
        <w:footnoteReference w:id="18595"/>
      </w:r>
      <w:r>
        <w:t xml:space="preserve"> how you ought to behave yourself in the house of God, who is the assembly of the living God, the pillar and ground of the truth.</w:t>
      </w:r>
    </w:p>
    <w:p>
      <w:r>
        <w:rPr>
          <w:b/>
        </w:rPr>
        <w:t xml:space="preserve">16 </w:t>
      </w:r>
      <w:r>
        <w:t xml:space="preserve">And without controversy great is the mystery</w:t>
      </w:r>
      <w:r>
        <w:rPr>
          <w:rStyle w:val="FootnoteReference"/>
        </w:rPr>
        <w:footnoteReference w:id="18596"/>
      </w:r>
      <w:r>
        <w:t xml:space="preserve"> of godliness: God was manifest in the flesh, justified in the Spirit, seen of angels, preached to the nations, believed on in the world, received up into glory.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Now the Spirit</w:t>
      </w:r>
      <w:r>
        <w:rPr>
          <w:rStyle w:val="FootnoteReference"/>
        </w:rPr>
        <w:footnoteReference w:id="18597"/>
      </w:r>
      <w:r>
        <w:t xml:space="preserve"> speaks expressly, that in the latter times some shall depart from the faith, giving heed to seducing spirits, and doctrines of demons;</w:t>
      </w:r>
    </w:p>
    <w:p>
      <w:r>
        <w:rPr>
          <w:b/>
        </w:rPr>
        <w:t xml:space="preserve">2 </w:t>
      </w:r>
      <w:r>
        <w:t xml:space="preserve">In hypocrisy of liars, having their</w:t>
      </w:r>
      <w:r>
        <w:rPr>
          <w:rStyle w:val="FootnoteReference"/>
        </w:rPr>
        <w:footnoteReference w:id="18598"/>
      </w:r>
      <w:r>
        <w:t xml:space="preserve"> own conscience seared;</w:t>
      </w:r>
    </w:p>
    <w:p>
      <w:r>
        <w:rPr>
          <w:b/>
        </w:rPr>
        <w:t xml:space="preserve">3 </w:t>
      </w:r>
      <w:r>
        <w:t xml:space="preserve">Forbidding</w:t>
      </w:r>
      <w:r>
        <w:rPr>
          <w:rStyle w:val="FootnoteReference"/>
        </w:rPr>
        <w:footnoteReference w:id="18599"/>
      </w:r>
      <w:r>
        <w:t xml:space="preserve"> to marry, and commanding to abstain from foods, which God has created to be received with thanksgiving of those who believe and know the truth.</w:t>
      </w:r>
    </w:p>
    <w:p>
      <w:r>
        <w:rPr>
          <w:b/>
        </w:rPr>
        <w:t xml:space="preserve">4 </w:t>
      </w:r>
      <w:r>
        <w:t xml:space="preserve">For every creature of God is good, and nothing is to be rejected, being received with thanksgiving:</w:t>
      </w:r>
    </w:p>
    <w:p>
      <w:r>
        <w:rPr>
          <w:b/>
        </w:rPr>
        <w:t xml:space="preserve">5 </w:t>
      </w:r>
      <w:r>
        <w:t xml:space="preserve">For it is sanctified by the word of God and prayer.</w:t>
      </w:r>
    </w:p>
    <w:p>
      <w:r>
        <w:rPr>
          <w:b/>
        </w:rPr>
        <w:t xml:space="preserve">6 </w:t>
      </w:r>
      <w:r>
        <w:t xml:space="preserve">If you put the brothers in remembrance of these things, you shall be a good</w:t>
      </w:r>
      <w:r>
        <w:rPr>
          <w:rStyle w:val="FootnoteReference"/>
        </w:rPr>
        <w:footnoteReference w:id="18600"/>
      </w:r>
      <w:r>
        <w:t xml:space="preserve"> minister of Jesus Christ, nourished up in the words of faith and of good doctrine, to which you have attained.</w:t>
      </w:r>
    </w:p>
    <w:p>
      <w:r>
        <w:rPr>
          <w:b/>
        </w:rPr>
        <w:t xml:space="preserve">7 </w:t>
      </w:r>
      <w:r>
        <w:t xml:space="preserve">But refuse</w:t>
      </w:r>
      <w:r>
        <w:rPr>
          <w:rStyle w:val="FootnoteReference"/>
        </w:rPr>
        <w:footnoteReference w:id="18601"/>
      </w:r>
      <w:r>
        <w:t xml:space="preserve"> profane and old wives' fables, and exercise yourself rather to godliness.</w:t>
      </w:r>
    </w:p>
    <w:p>
      <w:r>
        <w:rPr>
          <w:b/>
        </w:rPr>
        <w:t xml:space="preserve">8 </w:t>
      </w:r>
      <w:r>
        <w:t xml:space="preserve">For bodily</w:t>
      </w:r>
      <w:r>
        <w:rPr>
          <w:rStyle w:val="FootnoteReference"/>
        </w:rPr>
        <w:footnoteReference w:id="18602"/>
      </w:r>
      <w:r>
        <w:t xml:space="preserve"> exercise profits little: but godliness is profitable to all things, having promise of the life that now is, and of that which is to come.</w:t>
      </w:r>
    </w:p>
    <w:p>
      <w:r>
        <w:rPr>
          <w:b/>
        </w:rPr>
        <w:t xml:space="preserve">9 </w:t>
      </w:r>
      <w:r>
        <w:t xml:space="preserve">This is a faithful saying and worthy of all acceptation.</w:t>
      </w:r>
    </w:p>
    <w:p>
      <w:r>
        <w:rPr>
          <w:b/>
        </w:rPr>
        <w:t xml:space="preserve">10 </w:t>
      </w:r>
      <w:r>
        <w:t xml:space="preserve">For therefore</w:t>
      </w:r>
      <w:r>
        <w:rPr>
          <w:rStyle w:val="FootnoteReference"/>
        </w:rPr>
        <w:footnoteReference w:id="18603"/>
      </w:r>
      <w:r>
        <w:t xml:space="preserve"> we both labor and suffer reproach, because we trust in the living God, who is the Savior of all men, specially of those that believe.</w:t>
      </w:r>
    </w:p>
    <w:p>
      <w:r>
        <w:rPr>
          <w:b/>
        </w:rPr>
        <w:t xml:space="preserve">11 </w:t>
      </w:r>
      <w:r>
        <w:t xml:space="preserve">Command and teach these things.</w:t>
      </w:r>
    </w:p>
    <w:p>
      <w:r>
        <w:rPr>
          <w:b/>
        </w:rPr>
        <w:t xml:space="preserve">12 </w:t>
      </w:r>
      <w:r>
        <w:t xml:space="preserve">Let no one despise your youth; but be an example of the believers, in word</w:t>
      </w:r>
      <w:r>
        <w:rPr>
          <w:rStyle w:val="FootnoteReference"/>
        </w:rPr>
        <w:footnoteReference w:id="18604"/>
      </w:r>
      <w:r>
        <w:t xml:space="preserve">, in conduct, in love, in spirit, in faith, in purity.</w:t>
      </w:r>
    </w:p>
    <w:p>
      <w:r>
        <w:rPr>
          <w:b/>
        </w:rPr>
        <w:t xml:space="preserve">13 </w:t>
      </w:r>
      <w:r>
        <w:t xml:space="preserve">Until I come</w:t>
      </w:r>
      <w:r>
        <w:rPr>
          <w:rStyle w:val="FootnoteReference"/>
        </w:rPr>
        <w:footnoteReference w:id="18605"/>
      </w:r>
      <w:r>
        <w:t xml:space="preserve">, give attention to reading, to exhortation, to teaching.</w:t>
      </w:r>
    </w:p>
    <w:p>
      <w:r>
        <w:rPr>
          <w:b/>
        </w:rPr>
        <w:t xml:space="preserve">14 </w:t>
      </w:r>
      <w:r>
        <w:t xml:space="preserve">Do not neglect</w:t>
      </w:r>
      <w:r>
        <w:rPr>
          <w:rStyle w:val="FootnoteReference"/>
        </w:rPr>
        <w:footnoteReference w:id="18606"/>
      </w:r>
      <w:r>
        <w:t xml:space="preserve"> the gift that is in you, which was given to you through prophecy, with laying on of the hands of the presbytery.</w:t>
      </w:r>
    </w:p>
    <w:p>
      <w:r>
        <w:rPr>
          <w:b/>
        </w:rPr>
        <w:t xml:space="preserve">15 </w:t>
      </w:r>
      <w:r>
        <w:t xml:space="preserve">Practice these things; be in them; that your progress may be manifest to all.</w:t>
      </w:r>
    </w:p>
    <w:p>
      <w:r>
        <w:rPr>
          <w:b/>
        </w:rPr>
        <w:t xml:space="preserve">16 </w:t>
      </w:r>
      <w:r>
        <w:t xml:space="preserve">Take</w:t>
      </w:r>
      <w:r>
        <w:rPr>
          <w:rStyle w:val="FootnoteReference"/>
        </w:rPr>
        <w:footnoteReference w:id="18607"/>
      </w:r>
      <w:r>
        <w:t xml:space="preserve"> heed to yourself, and to the doctrine; continue in them: for in doing this you shall both save yourself, and those who hear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Rebuke</w:t>
      </w:r>
      <w:r>
        <w:rPr>
          <w:rStyle w:val="FootnoteReference"/>
        </w:rPr>
        <w:footnoteReference w:id="18608"/>
      </w:r>
      <w:r>
        <w:t xml:space="preserve"> not an elder, but implore him as a father; and the younger men as brothers;</w:t>
      </w:r>
    </w:p>
    <w:p>
      <w:r>
        <w:rPr>
          <w:b/>
        </w:rPr>
        <w:t xml:space="preserve">2 </w:t>
      </w:r>
      <w:r>
        <w:t xml:space="preserve">The elder</w:t>
      </w:r>
      <w:r>
        <w:rPr>
          <w:rStyle w:val="FootnoteReference"/>
        </w:rPr>
        <w:footnoteReference w:id="18609"/>
      </w:r>
      <w:r>
        <w:t xml:space="preserve"> women as mothers; the younger as sisters, with all purity.</w:t>
      </w:r>
    </w:p>
    <w:p>
      <w:r>
        <w:rPr>
          <w:b/>
        </w:rPr>
        <w:t xml:space="preserve">3 </w:t>
      </w:r>
      <w:r>
        <w:t xml:space="preserve">Honor widows</w:t>
      </w:r>
      <w:r>
        <w:rPr>
          <w:rStyle w:val="FootnoteReference"/>
        </w:rPr>
        <w:footnoteReference w:id="18610"/>
      </w:r>
      <w:r>
        <w:t xml:space="preserve"> that are widows indeed.</w:t>
      </w:r>
    </w:p>
    <w:p>
      <w:r>
        <w:rPr>
          <w:b/>
        </w:rPr>
        <w:t xml:space="preserve">4 </w:t>
      </w:r>
      <w:r>
        <w:t xml:space="preserve">But if any widow has children or grandchildren, let them learn</w:t>
      </w:r>
      <w:r>
        <w:rPr>
          <w:rStyle w:val="FootnoteReference"/>
        </w:rPr>
        <w:footnoteReference w:id="18611"/>
      </w:r>
      <w:r>
        <w:t xml:space="preserve"> first to show piety toward their own house, and to give recompense to their parents: for this is good and acceptable before God.</w:t>
      </w:r>
    </w:p>
    <w:p>
      <w:r>
        <w:rPr>
          <w:b/>
        </w:rPr>
        <w:t xml:space="preserve">5 </w:t>
      </w:r>
      <w:r>
        <w:t xml:space="preserve">Now she who is truly a widow</w:t>
      </w:r>
      <w:r>
        <w:rPr>
          <w:rStyle w:val="FootnoteReference"/>
        </w:rPr>
        <w:footnoteReference w:id="18612"/>
      </w:r>
      <w:r>
        <w:t xml:space="preserve">, and left alone, has set her hope on God, and continues in supplications and prayers night and day.</w:t>
      </w:r>
    </w:p>
    <w:p>
      <w:r>
        <w:rPr>
          <w:b/>
        </w:rPr>
        <w:t xml:space="preserve">6 </w:t>
      </w:r>
      <w:r>
        <w:t xml:space="preserve">But she who lives in self-indulgence is dead</w:t>
      </w:r>
      <w:r>
        <w:rPr>
          <w:rStyle w:val="FootnoteReference"/>
        </w:rPr>
        <w:footnoteReference w:id="18613"/>
      </w:r>
      <w:r>
        <w:t xml:space="preserve"> while she lives.</w:t>
      </w:r>
    </w:p>
    <w:p>
      <w:r>
        <w:rPr>
          <w:b/>
        </w:rPr>
        <w:t xml:space="preserve">7 </w:t>
      </w:r>
      <w:r>
        <w:t xml:space="preserve">And command these things, that they may be blameless.</w:t>
      </w:r>
    </w:p>
    <w:p>
      <w:r>
        <w:rPr>
          <w:b/>
        </w:rPr>
        <w:t xml:space="preserve">8 </w:t>
      </w:r>
      <w:r>
        <w:t xml:space="preserve">But if anyone does not provide for his own, and especially for those of his own household, he has denied the faith, and is</w:t>
      </w:r>
      <w:r>
        <w:rPr>
          <w:rStyle w:val="FootnoteReference"/>
        </w:rPr>
        <w:footnoteReference w:id="18614"/>
      </w:r>
      <w:r>
        <w:t xml:space="preserve"> worse than an unbeliever.</w:t>
      </w:r>
    </w:p>
    <w:p>
      <w:r>
        <w:rPr>
          <w:b/>
        </w:rPr>
        <w:t xml:space="preserve">9 </w:t>
      </w:r>
      <w:r>
        <w:t xml:space="preserve">Let a widow</w:t>
      </w:r>
      <w:r>
        <w:rPr>
          <w:rStyle w:val="FootnoteReference"/>
        </w:rPr>
        <w:footnoteReference w:id="18615"/>
      </w:r>
      <w:r>
        <w:t xml:space="preserve"> be enrolled not less than sixty years old, having been the wife of one man,</w:t>
      </w:r>
    </w:p>
    <w:p>
      <w:r>
        <w:rPr>
          <w:b/>
        </w:rPr>
        <w:t xml:space="preserve">10 </w:t>
      </w:r>
      <w:r>
        <w:t xml:space="preserve">Well reported</w:t>
      </w:r>
      <w:r>
        <w:rPr>
          <w:rStyle w:val="FootnoteReference"/>
        </w:rPr>
        <w:footnoteReference w:id="18616"/>
      </w:r>
      <w:r>
        <w:t xml:space="preserve"> of for good works; if she have brought up children, if she have lodged strangers, if she have washed the holy ones' feet, if she have relieved the afflicted, if she have diligently followed every good work.</w:t>
      </w:r>
    </w:p>
    <w:p>
      <w:r>
        <w:rPr>
          <w:b/>
        </w:rPr>
        <w:t xml:space="preserve">11 </w:t>
      </w:r>
      <w:r>
        <w:t xml:space="preserve">But refuse younger widows: for when they grow wanton against Christ, they desire to marry;</w:t>
      </w:r>
    </w:p>
    <w:p>
      <w:r>
        <w:rPr>
          <w:b/>
        </w:rPr>
        <w:t xml:space="preserve">12 </w:t>
      </w:r>
      <w:r>
        <w:t xml:space="preserve">Having judgment, because they have cast off their</w:t>
      </w:r>
      <w:r>
        <w:rPr>
          <w:rStyle w:val="FootnoteReference"/>
        </w:rPr>
        <w:footnoteReference w:id="18617"/>
      </w:r>
      <w:r>
        <w:t xml:space="preserve"> first faith.</w:t>
      </w:r>
    </w:p>
    <w:p>
      <w:r>
        <w:rPr>
          <w:b/>
        </w:rPr>
        <w:t xml:space="preserve">13 </w:t>
      </w:r>
      <w:r>
        <w:t xml:space="preserve">And at the same time they also learn to be</w:t>
      </w:r>
      <w:r>
        <w:rPr>
          <w:rStyle w:val="FootnoteReference"/>
        </w:rPr>
        <w:footnoteReference w:id="18618"/>
      </w:r>
      <w:r>
        <w:t xml:space="preserve"> idle, going about the houses; and not only idle, but also gossips and busybodies, speaking things which they ought not.</w:t>
      </w:r>
    </w:p>
    <w:p>
      <w:r>
        <w:rPr>
          <w:b/>
        </w:rPr>
        <w:t xml:space="preserve">14 </w:t>
      </w:r>
      <w:r>
        <w:t xml:space="preserve">Therefore I will that younger women marry, bear children, rule the house, give</w:t>
      </w:r>
      <w:r>
        <w:rPr>
          <w:rStyle w:val="FootnoteReference"/>
        </w:rPr>
        <w:footnoteReference w:id="18619"/>
      </w:r>
      <w:r>
        <w:t xml:space="preserve"> no occasion to the adversary for reproach.</w:t>
      </w:r>
    </w:p>
    <w:p>
      <w:r>
        <w:rPr>
          <w:b/>
        </w:rPr>
        <w:t xml:space="preserve">15 </w:t>
      </w:r>
      <w:r>
        <w:t xml:space="preserve">For some are already turned aside after Satan.</w:t>
      </w:r>
    </w:p>
    <w:p>
      <w:r>
        <w:rPr>
          <w:b/>
        </w:rPr>
        <w:t xml:space="preserve">16 </w:t>
      </w:r>
      <w:r>
        <w:t xml:space="preserve">If anyone or woman that believes have widows, let them</w:t>
      </w:r>
      <w:r>
        <w:rPr>
          <w:rStyle w:val="FootnoteReference"/>
        </w:rPr>
        <w:footnoteReference w:id="18620"/>
      </w:r>
      <w:r>
        <w:t xml:space="preserve"> relieve them, and let not the assembly be charged; that it may relieve those who are widows indeed.</w:t>
      </w:r>
    </w:p>
    <w:p>
      <w:r>
        <w:rPr>
          <w:b/>
        </w:rPr>
        <w:t xml:space="preserve">17 </w:t>
      </w:r>
      <w:r>
        <w:t xml:space="preserve">Let the elders</w:t>
      </w:r>
      <w:r>
        <w:rPr>
          <w:rStyle w:val="FootnoteReference"/>
        </w:rPr>
        <w:footnoteReference w:id="18621"/>
      </w:r>
      <w:r>
        <w:t xml:space="preserve"> that rule well be counted worthy of double honor, especially they who labor in the word and doctrine.</w:t>
      </w:r>
    </w:p>
    <w:p>
      <w:r>
        <w:rPr>
          <w:b/>
        </w:rPr>
        <w:t xml:space="preserve">18 </w:t>
      </w:r>
      <w:r>
        <w:t xml:space="preserve">For the scripture</w:t>
      </w:r>
      <w:r>
        <w:rPr>
          <w:rStyle w:val="FootnoteReference"/>
        </w:rPr>
        <w:footnoteReference w:id="18622"/>
      </w:r>
      <w:r>
        <w:t xml:space="preserve"> says, You shall not suppress the ox that treads out the grain. And, The laborer is worthy of his reward.</w:t>
      </w:r>
    </w:p>
    <w:p>
      <w:r>
        <w:rPr>
          <w:b/>
        </w:rPr>
        <w:t xml:space="preserve">19 </w:t>
      </w:r>
      <w:r>
        <w:t xml:space="preserve">Do not receive</w:t>
      </w:r>
      <w:r>
        <w:rPr>
          <w:rStyle w:val="FootnoteReference"/>
        </w:rPr>
        <w:footnoteReference w:id="18623"/>
      </w:r>
      <w:r>
        <w:t xml:space="preserve"> an accusation against an elder except upon two or three witnesses.</w:t>
      </w:r>
    </w:p>
    <w:p>
      <w:r>
        <w:rPr>
          <w:b/>
        </w:rPr>
        <w:t xml:space="preserve">20 </w:t>
      </w:r>
      <w:r>
        <w:t xml:space="preserve">those who sin rebuke</w:t>
      </w:r>
      <w:r>
        <w:rPr>
          <w:rStyle w:val="FootnoteReference"/>
        </w:rPr>
        <w:footnoteReference w:id="18624"/>
      </w:r>
      <w:r>
        <w:t xml:space="preserve"> before all, that others also may fear.</w:t>
      </w:r>
    </w:p>
    <w:p>
      <w:r>
        <w:rPr>
          <w:b/>
        </w:rPr>
        <w:t xml:space="preserve">21 </w:t>
      </w:r>
      <w:r>
        <w:t xml:space="preserve">I charge</w:t>
      </w:r>
      <w:r>
        <w:rPr>
          <w:rStyle w:val="FootnoteReference"/>
        </w:rPr>
        <w:footnoteReference w:id="18625"/>
      </w:r>
      <w:r>
        <w:t xml:space="preserve"> you before God, and the Lord Jesus Christ, and the elect angels, that you observe these things without preferring one before another, doing nothing by partiality.</w:t>
      </w:r>
    </w:p>
    <w:p>
      <w:r>
        <w:rPr>
          <w:b/>
        </w:rPr>
        <w:t xml:space="preserve">22 </w:t>
      </w:r>
      <w:r>
        <w:t xml:space="preserve">Lay hands suddenly</w:t>
      </w:r>
      <w:r>
        <w:rPr>
          <w:rStyle w:val="FootnoteReference"/>
        </w:rPr>
        <w:footnoteReference w:id="18626"/>
      </w:r>
      <w:r>
        <w:t xml:space="preserve"> on no one, neither be partaker of other men's sins: keep yourself pure.</w:t>
      </w:r>
    </w:p>
    <w:p>
      <w:r>
        <w:rPr>
          <w:b/>
        </w:rPr>
        <w:t xml:space="preserve">23 </w:t>
      </w:r>
      <w:r>
        <w:t xml:space="preserve">Drink no longer water, but use a little wine for your stomach's sake and your often infirmities.</w:t>
      </w:r>
    </w:p>
    <w:p>
      <w:r>
        <w:rPr>
          <w:b/>
        </w:rPr>
        <w:t xml:space="preserve">24 </w:t>
      </w:r>
      <w:r>
        <w:t xml:space="preserve">Some men's sins are manifest beforehand, going before to judgment; and some also follow after.</w:t>
      </w:r>
    </w:p>
    <w:p>
      <w:r>
        <w:rPr>
          <w:b/>
        </w:rPr>
        <w:t xml:space="preserve">25 </w:t>
      </w:r>
      <w:r>
        <w:t xml:space="preserve">Likewise also the good</w:t>
      </w:r>
      <w:r>
        <w:rPr>
          <w:rStyle w:val="FootnoteReference"/>
        </w:rPr>
        <w:footnoteReference w:id="18627"/>
      </w:r>
      <w:r>
        <w:t xml:space="preserve"> works of some are manifest beforehand; and those who are otherwise cannot be hid.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Let as many slaves as are under the yoke count</w:t>
      </w:r>
      <w:r>
        <w:rPr>
          <w:rStyle w:val="FootnoteReference"/>
        </w:rPr>
        <w:footnoteReference w:id="18628"/>
      </w:r>
      <w:r>
        <w:t xml:space="preserve"> their own masters worthy of all honor, that the name of God and the teaching may not be blasphemed.</w:t>
      </w:r>
    </w:p>
    <w:p>
      <w:r>
        <w:rPr>
          <w:b/>
        </w:rPr>
        <w:t xml:space="preserve">2 </w:t>
      </w:r>
      <w:r>
        <w:t xml:space="preserve">And those who have believing</w:t>
      </w:r>
      <w:r>
        <w:rPr>
          <w:rStyle w:val="FootnoteReference"/>
        </w:rPr>
        <w:footnoteReference w:id="18629"/>
      </w:r>
      <w:r>
        <w:t xml:space="preserve"> masters, let them not despise them, because they are brothers; but rather do them service, because they are faithful and beloved, partakers of the benefit. These things teach and exhort.</w:t>
      </w:r>
    </w:p>
    <w:p>
      <w:r>
        <w:rPr>
          <w:b/>
        </w:rPr>
        <w:t xml:space="preserve">3 </w:t>
      </w:r>
      <w:r>
        <w:t xml:space="preserve">If anyone teach otherwise, and consent not to wholesome</w:t>
      </w:r>
      <w:r>
        <w:rPr>
          <w:rStyle w:val="FootnoteReference"/>
        </w:rPr>
        <w:footnoteReference w:id="18630"/>
      </w:r>
      <w:r>
        <w:t xml:space="preserve"> words, even the words of our Lord Jesus Christ, and to the doctrine which is according to godliness;</w:t>
      </w:r>
    </w:p>
    <w:p>
      <w:r>
        <w:rPr>
          <w:b/>
        </w:rPr>
        <w:t xml:space="preserve">4 </w:t>
      </w:r>
      <w:r>
        <w:t xml:space="preserve">He is proud, knowing nothing, but doting about questions and strifes of words, of which comes envy, strife, railings, evil questionings,</w:t>
      </w:r>
    </w:p>
    <w:p>
      <w:r>
        <w:rPr>
          <w:b/>
        </w:rPr>
        <w:t xml:space="preserve">5 </w:t>
      </w:r>
      <w:r>
        <w:t xml:space="preserve">constant disputes of men corrupted in mind and deprived of the truth, supposing</w:t>
      </w:r>
      <w:r>
        <w:rPr>
          <w:rStyle w:val="FootnoteReference"/>
        </w:rPr>
        <w:footnoteReference w:id="18631"/>
      </w:r>
      <w:r>
        <w:t xml:space="preserve"> godliness to be gain: from such withdraw yourself.</w:t>
      </w:r>
    </w:p>
    <w:p>
      <w:r>
        <w:rPr>
          <w:b/>
        </w:rPr>
        <w:t xml:space="preserve">6 </w:t>
      </w:r>
      <w:r>
        <w:t xml:space="preserve">But godliness</w:t>
      </w:r>
      <w:r>
        <w:rPr>
          <w:rStyle w:val="FootnoteReference"/>
        </w:rPr>
        <w:footnoteReference w:id="18632"/>
      </w:r>
      <w:r>
        <w:t xml:space="preserve"> with contentment is great gain.</w:t>
      </w:r>
    </w:p>
    <w:p>
      <w:r>
        <w:rPr>
          <w:b/>
        </w:rPr>
        <w:t xml:space="preserve">7 </w:t>
      </w:r>
      <w:r>
        <w:t xml:space="preserve">For we brought</w:t>
      </w:r>
      <w:r>
        <w:rPr>
          <w:rStyle w:val="FootnoteReference"/>
        </w:rPr>
        <w:footnoteReference w:id="18633"/>
      </w:r>
      <w:r>
        <w:t xml:space="preserve"> nothing into the world, and it is clear that we can carry nothing out.</w:t>
      </w:r>
    </w:p>
    <w:p>
      <w:r>
        <w:rPr>
          <w:b/>
        </w:rPr>
        <w:t xml:space="preserve">8 </w:t>
      </w:r>
      <w:r>
        <w:t xml:space="preserve">And having food and clothing let us be with it content.</w:t>
      </w:r>
    </w:p>
    <w:p>
      <w:r>
        <w:rPr>
          <w:b/>
        </w:rPr>
        <w:t xml:space="preserve">9 </w:t>
      </w:r>
      <w:r>
        <w:t xml:space="preserve">But those who will be rich fall into temptation and a snare</w:t>
      </w:r>
      <w:r>
        <w:rPr>
          <w:rStyle w:val="FootnoteReference"/>
        </w:rPr>
        <w:footnoteReference w:id="18634"/>
      </w:r>
      <w:r>
        <w:t xml:space="preserve">, and into many foolish and hurtful lusts, which drown men in destruction and ruin.</w:t>
      </w:r>
    </w:p>
    <w:p>
      <w:r>
        <w:rPr>
          <w:b/>
        </w:rPr>
        <w:t xml:space="preserve">10 </w:t>
      </w:r>
      <w:r>
        <w:t xml:space="preserve">For the love</w:t>
      </w:r>
      <w:r>
        <w:rPr>
          <w:rStyle w:val="FootnoteReference"/>
        </w:rPr>
        <w:footnoteReference w:id="18635"/>
      </w:r>
      <w:r>
        <w:t xml:space="preserve"> of money is a root of all the evils: which some reaching after were led astray from the faith, and pierced themselves through with many pains.</w:t>
      </w:r>
    </w:p>
    <w:p>
      <w:r>
        <w:rPr>
          <w:b/>
        </w:rPr>
        <w:t xml:space="preserve">11 </w:t>
      </w:r>
      <w:r>
        <w:t xml:space="preserve">But you, O man</w:t>
      </w:r>
      <w:r>
        <w:rPr>
          <w:rStyle w:val="FootnoteReference"/>
        </w:rPr>
        <w:footnoteReference w:id="18636"/>
      </w:r>
      <w:r>
        <w:t xml:space="preserve"> of God, flee these things; and follow after righteousness, godliness, faith, love, patience, meekness.</w:t>
      </w:r>
    </w:p>
    <w:p>
      <w:r>
        <w:rPr>
          <w:b/>
        </w:rPr>
        <w:t xml:space="preserve">12 </w:t>
      </w:r>
      <w:r>
        <w:t xml:space="preserve">Fight</w:t>
      </w:r>
      <w:r>
        <w:rPr>
          <w:rStyle w:val="FootnoteReference"/>
        </w:rPr>
        <w:footnoteReference w:id="18637"/>
      </w:r>
      <w:r>
        <w:t xml:space="preserve"> the good fight of faith, lay hold on eternal life, to which you are also called, and have professed a good confession before many witnesses.</w:t>
      </w:r>
    </w:p>
    <w:p>
      <w:r>
        <w:rPr>
          <w:b/>
        </w:rPr>
        <w:t xml:space="preserve">13 </w:t>
      </w:r>
      <w:r>
        <w:t xml:space="preserve">I give</w:t>
      </w:r>
      <w:r>
        <w:rPr>
          <w:rStyle w:val="FootnoteReference"/>
        </w:rPr>
        <w:footnoteReference w:id="18638"/>
      </w:r>
      <w:r>
        <w:t xml:space="preserve"> you charge in the sight of God, who gives life to all things, and before Christ Jesus, who before Pontius Pilate witnessed a good confession;</w:t>
      </w:r>
    </w:p>
    <w:p>
      <w:r>
        <w:rPr>
          <w:b/>
        </w:rPr>
        <w:t xml:space="preserve">14 </w:t>
      </w:r>
      <w:r>
        <w:t xml:space="preserve">That you keep</w:t>
      </w:r>
      <w:r>
        <w:rPr>
          <w:rStyle w:val="FootnoteReference"/>
        </w:rPr>
        <w:footnoteReference w:id="18639"/>
      </w:r>
      <w:r>
        <w:t xml:space="preserve"> this commandment without spot, blameless, until the appearing of our Lord Jesus Christ:</w:t>
      </w:r>
    </w:p>
    <w:p>
      <w:r>
        <w:rPr>
          <w:b/>
        </w:rPr>
        <w:t xml:space="preserve">15 </w:t>
      </w:r>
      <w:r>
        <w:t xml:space="preserve">Which in his times he shall show, who is the blessed and only Potentate, the King of kings</w:t>
      </w:r>
      <w:r>
        <w:rPr>
          <w:rStyle w:val="FootnoteReference"/>
        </w:rPr>
        <w:footnoteReference w:id="18640"/>
      </w:r>
      <w:r>
        <w:t xml:space="preserve">, and Lord of lords;</w:t>
      </w:r>
    </w:p>
    <w:p>
      <w:r>
        <w:rPr>
          <w:b/>
        </w:rPr>
        <w:t xml:space="preserve">16 </w:t>
      </w:r>
      <w:r>
        <w:t xml:space="preserve">Who only</w:t>
      </w:r>
      <w:r>
        <w:rPr>
          <w:rStyle w:val="FootnoteReference"/>
        </w:rPr>
        <w:footnoteReference w:id="18641"/>
      </w:r>
      <w:r>
        <w:t xml:space="preserve"> has immortality, dwelling in the light which no one can approach to; whom no one has seen, nor can see: to whom be honor and power eternal. Amen.</w:t>
      </w:r>
    </w:p>
    <w:p>
      <w:r>
        <w:rPr>
          <w:b/>
        </w:rPr>
        <w:t xml:space="preserve">17 </w:t>
      </w:r>
      <w:r>
        <w:t xml:space="preserve">Charge</w:t>
      </w:r>
      <w:r>
        <w:rPr>
          <w:rStyle w:val="FootnoteReference"/>
        </w:rPr>
        <w:footnoteReference w:id="18642"/>
      </w:r>
      <w:r>
        <w:t xml:space="preserve"> those who are rich in the present age not to be high-minded, nor to have hope in uncertain riches, but in the living God, who gives us richly all things to enjoy;</w:t>
      </w:r>
    </w:p>
    <w:p>
      <w:r>
        <w:rPr>
          <w:b/>
        </w:rPr>
        <w:t xml:space="preserve">18 </w:t>
      </w:r>
      <w:r>
        <w:t xml:space="preserve">That they do</w:t>
      </w:r>
      <w:r>
        <w:rPr>
          <w:rStyle w:val="FootnoteReference"/>
        </w:rPr>
        <w:footnoteReference w:id="18643"/>
      </w:r>
      <w:r>
        <w:t xml:space="preserve"> good, that they be rich in good works, ready to share, generous;</w:t>
      </w:r>
    </w:p>
    <w:p>
      <w:r>
        <w:rPr>
          <w:b/>
        </w:rPr>
        <w:t xml:space="preserve">19 </w:t>
      </w:r>
      <w:r>
        <w:t xml:space="preserve">storing up for themselves a good foundation</w:t>
      </w:r>
      <w:r>
        <w:rPr>
          <w:rStyle w:val="FootnoteReference"/>
        </w:rPr>
        <w:footnoteReference w:id="18644"/>
      </w:r>
      <w:r>
        <w:t xml:space="preserve"> for the future, that they may lay hold on eternal life.</w:t>
      </w:r>
    </w:p>
    <w:p>
      <w:r>
        <w:rPr>
          <w:b/>
        </w:rPr>
        <w:t xml:space="preserve">20 </w:t>
      </w:r>
      <w:r>
        <w:t xml:space="preserve">O Timothy</w:t>
      </w:r>
      <w:r>
        <w:rPr>
          <w:rStyle w:val="FootnoteReference"/>
        </w:rPr>
        <w:footnoteReference w:id="18645"/>
      </w:r>
      <w:r>
        <w:t xml:space="preserve">, guard the deposit, turning away from profane empty babblings and oppositions of falsely named knowledge:</w:t>
      </w:r>
    </w:p>
    <w:p>
      <w:r>
        <w:rPr>
          <w:b/>
        </w:rPr>
        <w:t xml:space="preserve">21 </w:t>
      </w:r>
      <w:r>
        <w:t xml:space="preserve">which some professing have missed the mark concerning the faith. Grace</w:t>
      </w:r>
      <w:r>
        <w:rPr>
          <w:rStyle w:val="FootnoteReference"/>
        </w:rPr>
        <w:footnoteReference w:id="18646"/>
      </w:r>
      <w:r>
        <w:t xml:space="preserve"> be with you. Amen.</w:t>
      </w:r>
    </w:p>
    <w:p>
      <w:r>
        <w:br w:type="page"/>
      </w:r>
    </w:p>
    <w:p>
      <w:pPr>
        <w:pStyle w:val="Heading1"/>
      </w:pPr>
      <w:r>
        <w:t xml:space="preserve">2 Timothy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an apostle of Jesus Christ by the will of God, according to the promise</w:t>
      </w:r>
      <w:r>
        <w:rPr>
          <w:rStyle w:val="FootnoteReference"/>
        </w:rPr>
        <w:footnoteReference w:id="18647"/>
      </w:r>
      <w:r>
        <w:t xml:space="preserve"> of life which is in Christ Jesus,</w:t>
      </w:r>
    </w:p>
    <w:p>
      <w:r>
        <w:rPr>
          <w:b/>
        </w:rPr>
        <w:t xml:space="preserve">2 </w:t>
      </w:r>
      <w:r>
        <w:t xml:space="preserve">To Timothy</w:t>
      </w:r>
      <w:r>
        <w:rPr>
          <w:rStyle w:val="FootnoteReference"/>
        </w:rPr>
        <w:footnoteReference w:id="18648"/>
      </w:r>
      <w:r>
        <w:t xml:space="preserve">, my dearly beloved son: Grace, mercy, and peace, from God the Father and Christ Jesus our Lord.</w:t>
      </w:r>
    </w:p>
    <w:p>
      <w:r>
        <w:rPr>
          <w:b/>
        </w:rPr>
        <w:t xml:space="preserve">3 </w:t>
      </w:r>
      <w:r>
        <w:t xml:space="preserve">I thank</w:t>
      </w:r>
      <w:r>
        <w:rPr>
          <w:rStyle w:val="FootnoteReference"/>
        </w:rPr>
        <w:footnoteReference w:id="18649"/>
      </w:r>
      <w:r>
        <w:t xml:space="preserve"> God, whom I serve from my forefathers with pure conscience, that without ceasing I have remembrance of you in my prayers night and day;</w:t>
      </w:r>
    </w:p>
    <w:p>
      <w:r>
        <w:rPr>
          <w:b/>
        </w:rPr>
        <w:t xml:space="preserve">4 </w:t>
      </w:r>
      <w:r>
        <w:t xml:space="preserve">longing to see you, remembering your tears, that I may be filled</w:t>
      </w:r>
      <w:r>
        <w:rPr>
          <w:rStyle w:val="FootnoteReference"/>
        </w:rPr>
        <w:footnoteReference w:id="18650"/>
      </w:r>
      <w:r>
        <w:t xml:space="preserve"> with joy;</w:t>
      </w:r>
    </w:p>
    <w:p>
      <w:r>
        <w:rPr>
          <w:b/>
        </w:rPr>
        <w:t xml:space="preserve">5 </w:t>
      </w:r>
      <w:r>
        <w:t xml:space="preserve">being reminded of the sincere faith in you, which dwelt first in your grandmother Lois</w:t>
      </w:r>
      <w:r>
        <w:rPr>
          <w:rStyle w:val="FootnoteReference"/>
        </w:rPr>
        <w:footnoteReference w:id="18651"/>
      </w:r>
      <w:r>
        <w:t xml:space="preserve"> and your mother Eunice</w:t>
      </w:r>
      <w:r>
        <w:rPr>
          <w:rStyle w:val="FootnoteReference"/>
        </w:rPr>
        <w:footnoteReference w:id="18652"/>
      </w:r>
      <w:r>
        <w:t xml:space="preserve">; and I am persuaded that it is also in you.</w:t>
      </w:r>
    </w:p>
    <w:p>
      <w:r>
        <w:rPr>
          <w:b/>
        </w:rPr>
        <w:t xml:space="preserve">6 </w:t>
      </w:r>
      <w:r>
        <w:t xml:space="preserve">Therefore I put</w:t>
      </w:r>
      <w:r>
        <w:rPr>
          <w:rStyle w:val="FootnoteReference"/>
        </w:rPr>
        <w:footnoteReference w:id="18653"/>
      </w:r>
      <w:r>
        <w:t xml:space="preserve"> you in remembrance that you stir up the gift of God, who is in you by the putting on of my hands.</w:t>
      </w:r>
    </w:p>
    <w:p>
      <w:r>
        <w:rPr>
          <w:b/>
        </w:rPr>
        <w:t xml:space="preserve">7 </w:t>
      </w:r>
      <w:r>
        <w:t xml:space="preserve">For God has not given us the spirit</w:t>
      </w:r>
      <w:r>
        <w:rPr>
          <w:rStyle w:val="FootnoteReference"/>
        </w:rPr>
        <w:footnoteReference w:id="18654"/>
      </w:r>
      <w:r>
        <w:t xml:space="preserve"> of fear; but of power, and of love, and of a sound mind.</w:t>
      </w:r>
    </w:p>
    <w:p>
      <w:r>
        <w:rPr>
          <w:b/>
        </w:rPr>
        <w:t xml:space="preserve">8 </w:t>
      </w:r>
      <w:r>
        <w:t xml:space="preserve">Do not therefore be ashamed</w:t>
      </w:r>
      <w:r>
        <w:rPr>
          <w:rStyle w:val="FootnoteReference"/>
        </w:rPr>
        <w:footnoteReference w:id="18655"/>
      </w:r>
      <w:r>
        <w:t xml:space="preserve"> of the testimony of our Lord, nor of me his prisoner: but be partaker of the afflictions of the good news according to the power of God;</w:t>
      </w:r>
    </w:p>
    <w:p>
      <w:r>
        <w:rPr>
          <w:b/>
        </w:rPr>
        <w:t xml:space="preserve">9 </w:t>
      </w:r>
      <w:r>
        <w:t xml:space="preserve">Who has saved us, and called</w:t>
      </w:r>
      <w:r>
        <w:rPr>
          <w:rStyle w:val="FootnoteReference"/>
        </w:rPr>
        <w:footnoteReference w:id="18656"/>
      </w:r>
      <w:r>
        <w:t xml:space="preserve"> us with a holy calling, not according to our works, but according to his own purpose and grace, which was given us in Christ Jesus before the world began,</w:t>
      </w:r>
    </w:p>
    <w:p>
      <w:r>
        <w:rPr>
          <w:b/>
        </w:rPr>
        <w:t xml:space="preserve">10 </w:t>
      </w:r>
      <w:r>
        <w:t xml:space="preserve">But is now made manifest by the appearing of our Savior Jesus Christ, who has abolished</w:t>
      </w:r>
      <w:r>
        <w:rPr>
          <w:rStyle w:val="FootnoteReference"/>
        </w:rPr>
        <w:footnoteReference w:id="18657"/>
      </w:r>
      <w:r>
        <w:t xml:space="preserve"> death, and has brought life and immortality to light through the good news:</w:t>
      </w:r>
    </w:p>
    <w:p>
      <w:r>
        <w:rPr>
          <w:b/>
        </w:rPr>
        <w:t xml:space="preserve">11 </w:t>
      </w:r>
      <w:r>
        <w:t xml:space="preserve">To which I am appointed a preacher, and an apostle, and a teacher of the nations.</w:t>
      </w:r>
    </w:p>
    <w:p>
      <w:r>
        <w:rPr>
          <w:b/>
        </w:rPr>
        <w:t xml:space="preserve">12 </w:t>
      </w:r>
      <w:r>
        <w:t xml:space="preserve">For this reason I also suffer these things: nevertheless I am not ashamed: for I</w:t>
      </w:r>
      <w:r>
        <w:rPr>
          <w:rStyle w:val="FootnoteReference"/>
        </w:rPr>
        <w:footnoteReference w:id="18658"/>
      </w:r>
      <w:r>
        <w:t xml:space="preserve"> know whom I have believed, and am persuaded that he is able to keep that which I have committed to him against that day.</w:t>
      </w:r>
    </w:p>
    <w:p>
      <w:r>
        <w:rPr>
          <w:b/>
        </w:rPr>
        <w:t xml:space="preserve">13 </w:t>
      </w:r>
      <w:r>
        <w:t xml:space="preserve">Hold</w:t>
      </w:r>
      <w:r>
        <w:rPr>
          <w:rStyle w:val="FootnoteReference"/>
        </w:rPr>
        <w:footnoteReference w:id="18659"/>
      </w:r>
      <w:r>
        <w:t xml:space="preserve"> fast the form of sound words, which you have heard of me, in faith and love which is in Christ Jesus.</w:t>
      </w:r>
    </w:p>
    <w:p>
      <w:r>
        <w:rPr>
          <w:b/>
        </w:rPr>
        <w:t xml:space="preserve">14 </w:t>
      </w:r>
      <w:r>
        <w:t xml:space="preserve">That good</w:t>
      </w:r>
      <w:r>
        <w:rPr>
          <w:rStyle w:val="FootnoteReference"/>
        </w:rPr>
        <w:footnoteReference w:id="18660"/>
      </w:r>
      <w:r>
        <w:t xml:space="preserve"> thing which was committed to you keep by the Holy Spirit which dwells in us.</w:t>
      </w:r>
    </w:p>
    <w:p>
      <w:r>
        <w:rPr>
          <w:b/>
        </w:rPr>
        <w:t xml:space="preserve">15 </w:t>
      </w:r>
      <w:r>
        <w:t xml:space="preserve">This you know, that all those who are in Asia be turned away from me; of whom are Phygellus</w:t>
      </w:r>
      <w:r>
        <w:rPr>
          <w:rStyle w:val="FootnoteReference"/>
        </w:rPr>
        <w:footnoteReference w:id="18661"/>
      </w:r>
      <w:r>
        <w:t xml:space="preserve"> and Hermogenes</w:t>
      </w:r>
      <w:r>
        <w:rPr>
          <w:rStyle w:val="FootnoteReference"/>
        </w:rPr>
        <w:footnoteReference w:id="18662"/>
      </w:r>
      <w:r>
        <w:t xml:space="preserve">.</w:t>
      </w:r>
      <w:r>
        <w:rPr>
          <w:rStyle w:val="FootnoteReference"/>
        </w:rPr>
        <w:footnoteReference w:id="18663"/>
      </w:r>
    </w:p>
    <w:p>
      <w:r>
        <w:rPr>
          <w:b/>
        </w:rPr>
        <w:t xml:space="preserve">16 </w:t>
      </w:r>
      <w:r>
        <w:t xml:space="preserve">The Lord</w:t>
      </w:r>
      <w:r>
        <w:rPr>
          <w:rStyle w:val="FootnoteReference"/>
        </w:rPr>
        <w:footnoteReference w:id="18664"/>
      </w:r>
      <w:r>
        <w:t xml:space="preserve"> give mercy to the house of Onesiphorus</w:t>
      </w:r>
      <w:r>
        <w:rPr>
          <w:rStyle w:val="FootnoteReference"/>
        </w:rPr>
        <w:footnoteReference w:id="18665"/>
      </w:r>
      <w:r>
        <w:t xml:space="preserve">; for he often refreshed me, and was not ashamed of my chain:</w:t>
      </w:r>
    </w:p>
    <w:p>
      <w:r>
        <w:rPr>
          <w:b/>
        </w:rPr>
        <w:t xml:space="preserve">17 </w:t>
      </w:r>
      <w:r>
        <w:t xml:space="preserve">but when he came to Rome, he sought me very diligently, and found me.</w:t>
      </w:r>
    </w:p>
    <w:p>
      <w:r>
        <w:rPr>
          <w:b/>
        </w:rPr>
        <w:t xml:space="preserve">18 </w:t>
      </w:r>
      <w:r>
        <w:t xml:space="preserve">The Lord grant to him that he may find mercy</w:t>
      </w:r>
      <w:r>
        <w:rPr>
          <w:rStyle w:val="FootnoteReference"/>
        </w:rPr>
        <w:footnoteReference w:id="18666"/>
      </w:r>
      <w:r>
        <w:t xml:space="preserve"> of the Lord in that day: and in how many things he ministered to me at Ephesus, you know very well.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You therefore, my son, be strong in the grace that is in Christ Jesus.</w:t>
      </w:r>
    </w:p>
    <w:p>
      <w:r>
        <w:rPr>
          <w:b/>
        </w:rPr>
        <w:t xml:space="preserve">2 </w:t>
      </w:r>
      <w:r>
        <w:t xml:space="preserve">And the things</w:t>
      </w:r>
      <w:r>
        <w:rPr>
          <w:rStyle w:val="FootnoteReference"/>
        </w:rPr>
        <w:footnoteReference w:id="18667"/>
      </w:r>
      <w:r>
        <w:t xml:space="preserve"> that you heard from me among many witnesses, entrust these to faithful men, who shall be able to teach others also.</w:t>
      </w:r>
    </w:p>
    <w:p>
      <w:r>
        <w:rPr>
          <w:b/>
        </w:rPr>
        <w:t xml:space="preserve">3 </w:t>
      </w:r>
      <w:r>
        <w:t xml:space="preserve">You therefore endure</w:t>
      </w:r>
      <w:r>
        <w:rPr>
          <w:rStyle w:val="FootnoteReference"/>
        </w:rPr>
        <w:footnoteReference w:id="18668"/>
      </w:r>
      <w:r>
        <w:t xml:space="preserve"> hardship as a good soldier of Jesus Christ.</w:t>
      </w:r>
    </w:p>
    <w:p>
      <w:r>
        <w:rPr>
          <w:b/>
        </w:rPr>
        <w:t xml:space="preserve">4 </w:t>
      </w:r>
      <w:r>
        <w:t xml:space="preserve">No one that wars entangles himself with the affairs of this life; that he may please him who has chosen him to be a soldier.</w:t>
      </w:r>
    </w:p>
    <w:p>
      <w:r>
        <w:rPr>
          <w:b/>
        </w:rPr>
        <w:t xml:space="preserve">5 </w:t>
      </w:r>
      <w:r>
        <w:t xml:space="preserve">And if anyone also competes, he is not crowned unless he competes lawfully.</w:t>
      </w:r>
    </w:p>
    <w:p>
      <w:r>
        <w:rPr>
          <w:b/>
        </w:rPr>
        <w:t xml:space="preserve">6 </w:t>
      </w:r>
      <w:r>
        <w:t xml:space="preserve">The farmer that labors must be first partaker of the fruits.</w:t>
      </w:r>
    </w:p>
    <w:p>
      <w:r>
        <w:rPr>
          <w:b/>
        </w:rPr>
        <w:t xml:space="preserve">7 </w:t>
      </w:r>
      <w:r>
        <w:t xml:space="preserve">Consider</w:t>
      </w:r>
      <w:r>
        <w:rPr>
          <w:rStyle w:val="FootnoteReference"/>
        </w:rPr>
        <w:footnoteReference w:id="18669"/>
      </w:r>
      <w:r>
        <w:t xml:space="preserve"> what I say; and the Lord give you understanding in all things.</w:t>
      </w:r>
    </w:p>
    <w:p>
      <w:r>
        <w:rPr>
          <w:b/>
        </w:rPr>
        <w:t xml:space="preserve">8 </w:t>
      </w:r>
      <w:r>
        <w:t xml:space="preserve">Remember</w:t>
      </w:r>
      <w:r>
        <w:rPr>
          <w:rStyle w:val="FootnoteReference"/>
        </w:rPr>
        <w:footnoteReference w:id="18670"/>
      </w:r>
      <w:r>
        <w:t xml:space="preserve"> that Jesus Christ of the seed of David was raised from the dead according to my good news:</w:t>
      </w:r>
    </w:p>
    <w:p>
      <w:r>
        <w:rPr>
          <w:b/>
        </w:rPr>
        <w:t xml:space="preserve">9 </w:t>
      </w:r>
      <w:r>
        <w:t xml:space="preserve">in which I suffer</w:t>
      </w:r>
      <w:r>
        <w:rPr>
          <w:rStyle w:val="FootnoteReference"/>
        </w:rPr>
        <w:footnoteReference w:id="18671"/>
      </w:r>
      <w:r>
        <w:t xml:space="preserve"> trouble, as an evil doer, even to bonds; but the word of God is not bound.</w:t>
      </w:r>
    </w:p>
    <w:p>
      <w:r>
        <w:rPr>
          <w:b/>
        </w:rPr>
        <w:t xml:space="preserve">10 </w:t>
      </w:r>
      <w:r>
        <w:t xml:space="preserve">Therefore I endure</w:t>
      </w:r>
      <w:r>
        <w:rPr>
          <w:rStyle w:val="FootnoteReference"/>
        </w:rPr>
        <w:footnoteReference w:id="18672"/>
      </w:r>
      <w:r>
        <w:t xml:space="preserve"> all things for the elect's sakes, that they may also obtain the salvation which is in Christ Jesus with eternal glory.</w:t>
      </w:r>
    </w:p>
    <w:p>
      <w:r>
        <w:rPr>
          <w:b/>
        </w:rPr>
        <w:t xml:space="preserve">11 </w:t>
      </w:r>
      <w:r>
        <w:t xml:space="preserve">It is a faithful</w:t>
      </w:r>
      <w:r>
        <w:rPr>
          <w:rStyle w:val="FootnoteReference"/>
        </w:rPr>
        <w:footnoteReference w:id="18673"/>
      </w:r>
      <w:r>
        <w:t xml:space="preserve"> saying: For if we died with him, we shall also live with him:</w:t>
      </w:r>
    </w:p>
    <w:p>
      <w:r>
        <w:rPr>
          <w:b/>
        </w:rPr>
        <w:t xml:space="preserve">12 </w:t>
      </w:r>
      <w:r>
        <w:t xml:space="preserve">If we endure, we shall also reign with him: if we deny</w:t>
      </w:r>
      <w:r>
        <w:rPr>
          <w:rStyle w:val="FootnoteReference"/>
        </w:rPr>
        <w:footnoteReference w:id="18674"/>
      </w:r>
      <w:r>
        <w:t xml:space="preserve"> him, he also will deny us:</w:t>
      </w:r>
    </w:p>
    <w:p>
      <w:r>
        <w:rPr>
          <w:b/>
        </w:rPr>
        <w:t xml:space="preserve">13 </w:t>
      </w:r>
      <w:r>
        <w:t xml:space="preserve">If we do not believe, yet he abides faithful: he cannot</w:t>
      </w:r>
      <w:r>
        <w:rPr>
          <w:rStyle w:val="FootnoteReference"/>
        </w:rPr>
        <w:footnoteReference w:id="18675"/>
      </w:r>
      <w:r>
        <w:t xml:space="preserve"> deny himself.</w:t>
      </w:r>
    </w:p>
    <w:p>
      <w:r>
        <w:rPr>
          <w:b/>
        </w:rPr>
        <w:t xml:space="preserve">14 </w:t>
      </w:r>
      <w:r>
        <w:t xml:space="preserve">Of these things put them in remembrance, charging</w:t>
      </w:r>
      <w:r>
        <w:rPr>
          <w:rStyle w:val="FootnoteReference"/>
        </w:rPr>
        <w:footnoteReference w:id="18676"/>
      </w:r>
      <w:r>
        <w:t xml:space="preserve"> them before the Lord that they strive not about words to no profit, but to the subverting of the hearers.</w:t>
      </w:r>
    </w:p>
    <w:p>
      <w:r>
        <w:rPr>
          <w:b/>
        </w:rPr>
        <w:t xml:space="preserve">15 </w:t>
      </w:r>
      <w:r>
        <w:t xml:space="preserve">Study</w:t>
      </w:r>
      <w:r>
        <w:rPr>
          <w:rStyle w:val="FootnoteReference"/>
        </w:rPr>
        <w:footnoteReference w:id="18677"/>
      </w:r>
      <w:r>
        <w:t xml:space="preserve"> to show yourself approved to God, a workman that needs not to be ashamed, rightly dividing the word of truth.</w:t>
      </w:r>
    </w:p>
    <w:p>
      <w:r>
        <w:rPr>
          <w:b/>
        </w:rPr>
        <w:t xml:space="preserve">16 </w:t>
      </w:r>
      <w:r>
        <w:t xml:space="preserve">But shun</w:t>
      </w:r>
      <w:r>
        <w:rPr>
          <w:rStyle w:val="FootnoteReference"/>
        </w:rPr>
        <w:footnoteReference w:id="18678"/>
      </w:r>
      <w:r>
        <w:t xml:space="preserve"> profane and vain babblings: for they will increase to more ungodliness.</w:t>
      </w:r>
    </w:p>
    <w:p>
      <w:r>
        <w:rPr>
          <w:b/>
        </w:rPr>
        <w:t xml:space="preserve">17 </w:t>
      </w:r>
      <w:r>
        <w:t xml:space="preserve">And their word</w:t>
      </w:r>
      <w:r>
        <w:rPr>
          <w:rStyle w:val="FootnoteReference"/>
        </w:rPr>
        <w:footnoteReference w:id="18679"/>
      </w:r>
      <w:r>
        <w:t xml:space="preserve"> will eat as does a canker: of whom is Hymenaeus and Philetus</w:t>
      </w:r>
      <w:r>
        <w:rPr>
          <w:rStyle w:val="FootnoteReference"/>
        </w:rPr>
        <w:footnoteReference w:id="18680"/>
      </w:r>
      <w:r>
        <w:t xml:space="preserve">;</w:t>
      </w:r>
    </w:p>
    <w:p>
      <w:r>
        <w:rPr>
          <w:b/>
        </w:rPr>
        <w:t xml:space="preserve">18 </w:t>
      </w:r>
      <w:r>
        <w:t xml:space="preserve">who concerning</w:t>
      </w:r>
      <w:r>
        <w:rPr>
          <w:rStyle w:val="FootnoteReference"/>
        </w:rPr>
        <w:footnoteReference w:id="18681"/>
      </w:r>
      <w:r>
        <w:t xml:space="preserve"> the truth have missed the mark, saying that the resurrection has already happened, and overthrow the faith of some.</w:t>
      </w:r>
    </w:p>
    <w:p>
      <w:r>
        <w:rPr>
          <w:b/>
        </w:rPr>
        <w:t xml:space="preserve">19 </w:t>
      </w:r>
      <w:r>
        <w:t xml:space="preserve">Nevertheless the foundation</w:t>
      </w:r>
      <w:r>
        <w:rPr>
          <w:rStyle w:val="FootnoteReference"/>
        </w:rPr>
        <w:footnoteReference w:id="18682"/>
      </w:r>
      <w:r>
        <w:t xml:space="preserve"> of God stands sure, having this seal, The Lord knows those who are his. And, Let every one that names the name of Christ depart from iniquity.</w:t>
      </w:r>
    </w:p>
    <w:p>
      <w:r>
        <w:rPr>
          <w:b/>
        </w:rPr>
        <w:t xml:space="preserve">20 </w:t>
      </w:r>
      <w:r>
        <w:t xml:space="preserve">But in a</w:t>
      </w:r>
      <w:r>
        <w:rPr>
          <w:rStyle w:val="FootnoteReference"/>
        </w:rPr>
        <w:footnoteReference w:id="18683"/>
      </w:r>
      <w:r>
        <w:t xml:space="preserve"> great house there are not only vessels of gold and of silver, but also of wood and of earth; and some to honor, and some to dishonour.</w:t>
      </w:r>
    </w:p>
    <w:p>
      <w:r>
        <w:rPr>
          <w:b/>
        </w:rPr>
        <w:t xml:space="preserve">21 </w:t>
      </w:r>
      <w:r>
        <w:t xml:space="preserve">If a man therefore purge</w:t>
      </w:r>
      <w:r>
        <w:rPr>
          <w:rStyle w:val="FootnoteReference"/>
        </w:rPr>
        <w:footnoteReference w:id="18684"/>
      </w:r>
      <w:r>
        <w:t xml:space="preserve"> himself from these, he shall be a vessel to honor, sanctified, and meet for the master's use, and prepared to every good work.</w:t>
      </w:r>
    </w:p>
    <w:p>
      <w:r>
        <w:rPr>
          <w:b/>
        </w:rPr>
        <w:t xml:space="preserve">22 </w:t>
      </w:r>
      <w:r>
        <w:t xml:space="preserve">Flee</w:t>
      </w:r>
      <w:r>
        <w:rPr>
          <w:rStyle w:val="FootnoteReference"/>
        </w:rPr>
        <w:footnoteReference w:id="18685"/>
      </w:r>
      <w:r>
        <w:t xml:space="preserve"> also youthful lusts: but follow righteousness, faith, love, peace, with those who call on the Lord out of a pure heart.</w:t>
      </w:r>
    </w:p>
    <w:p>
      <w:r>
        <w:rPr>
          <w:b/>
        </w:rPr>
        <w:t xml:space="preserve">23 </w:t>
      </w:r>
      <w:r>
        <w:t xml:space="preserve">But refuse foolish and uninstructed questions, knowing that they beget strifes.</w:t>
      </w:r>
    </w:p>
    <w:p>
      <w:r>
        <w:rPr>
          <w:b/>
        </w:rPr>
        <w:t xml:space="preserve">24 </w:t>
      </w:r>
      <w:r>
        <w:t xml:space="preserve">And the slave of the Lord must</w:t>
      </w:r>
      <w:r>
        <w:rPr>
          <w:rStyle w:val="FootnoteReference"/>
        </w:rPr>
        <w:footnoteReference w:id="18686"/>
      </w:r>
      <w:r>
        <w:t xml:space="preserve"> not strive; but be gentle to all men, able to teach, patient,</w:t>
      </w:r>
    </w:p>
    <w:p>
      <w:r>
        <w:rPr>
          <w:b/>
        </w:rPr>
        <w:t xml:space="preserve">25 </w:t>
      </w:r>
      <w:r>
        <w:t xml:space="preserve">in meekness instructing</w:t>
      </w:r>
      <w:r>
        <w:rPr>
          <w:rStyle w:val="FootnoteReference"/>
        </w:rPr>
        <w:footnoteReference w:id="18687"/>
      </w:r>
      <w:r>
        <w:t xml:space="preserve"> those who oppose, if perhaps God may give them repentance to the knowledge of the truth;</w:t>
      </w:r>
    </w:p>
    <w:p>
      <w:r>
        <w:rPr>
          <w:b/>
        </w:rPr>
        <w:t xml:space="preserve">26 </w:t>
      </w:r>
      <w:r>
        <w:t xml:space="preserve">and they may come to themselves out of the devil's snare, having been taken captive by him to his will.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But know this, that in the last days difficult times shall come.</w:t>
      </w:r>
    </w:p>
    <w:p>
      <w:r>
        <w:rPr>
          <w:b/>
        </w:rPr>
        <w:t xml:space="preserve">2 </w:t>
      </w:r>
      <w:r>
        <w:t xml:space="preserve">For men shall be lovers</w:t>
      </w:r>
      <w:r>
        <w:rPr>
          <w:rStyle w:val="FootnoteReference"/>
        </w:rPr>
        <w:footnoteReference w:id="18688"/>
      </w:r>
      <w:r>
        <w:t xml:space="preserve"> of themselves, lovers of money, boasters, proud, blasphemers, disobedient to parents, unthankful, unholy,</w:t>
      </w:r>
    </w:p>
    <w:p>
      <w:r>
        <w:rPr>
          <w:b/>
        </w:rPr>
        <w:t xml:space="preserve">3 </w:t>
      </w:r>
      <w:r>
        <w:t xml:space="preserve">without natural</w:t>
      </w:r>
      <w:r>
        <w:rPr>
          <w:rStyle w:val="FootnoteReference"/>
        </w:rPr>
        <w:footnoteReference w:id="18689"/>
      </w:r>
      <w:r>
        <w:t xml:space="preserve"> affection, implacable, slanderers, without self-control, savage, not lovers of good,</w:t>
      </w:r>
    </w:p>
    <w:p>
      <w:r>
        <w:rPr>
          <w:b/>
        </w:rPr>
        <w:t xml:space="preserve">4 </w:t>
      </w:r>
      <w:r>
        <w:t xml:space="preserve">traitors</w:t>
      </w:r>
      <w:r>
        <w:rPr>
          <w:rStyle w:val="FootnoteReference"/>
        </w:rPr>
        <w:footnoteReference w:id="18690"/>
      </w:r>
      <w:r>
        <w:t xml:space="preserve">, reckless, puffed up, lovers of pleasure rather than lovers of God;</w:t>
      </w:r>
    </w:p>
    <w:p>
      <w:r>
        <w:rPr>
          <w:b/>
        </w:rPr>
        <w:t xml:space="preserve">5 </w:t>
      </w:r>
      <w:r>
        <w:t xml:space="preserve">Having a form</w:t>
      </w:r>
      <w:r>
        <w:rPr>
          <w:rStyle w:val="FootnoteReference"/>
        </w:rPr>
        <w:footnoteReference w:id="18691"/>
      </w:r>
      <w:r>
        <w:t xml:space="preserve"> of godliness, but denying the power of it: from such turn away.</w:t>
      </w:r>
    </w:p>
    <w:p>
      <w:r>
        <w:rPr>
          <w:b/>
        </w:rPr>
        <w:t xml:space="preserve">6 </w:t>
      </w:r>
      <w:r>
        <w:t xml:space="preserve">For of this</w:t>
      </w:r>
      <w:r>
        <w:rPr>
          <w:rStyle w:val="FootnoteReference"/>
        </w:rPr>
        <w:footnoteReference w:id="18692"/>
      </w:r>
      <w:r>
        <w:t xml:space="preserve"> sort are those who creep into houses, and lead captive silly women laden with sins, led away with various lusts,</w:t>
      </w:r>
    </w:p>
    <w:p>
      <w:r>
        <w:rPr>
          <w:b/>
        </w:rPr>
        <w:t xml:space="preserve">7 </w:t>
      </w:r>
      <w:r>
        <w:t xml:space="preserve">always learning</w:t>
      </w:r>
      <w:r>
        <w:rPr>
          <w:rStyle w:val="FootnoteReference"/>
        </w:rPr>
        <w:footnoteReference w:id="18693"/>
      </w:r>
      <w:r>
        <w:t xml:space="preserve">, and never able to come to the knowledge of the truth.</w:t>
      </w:r>
    </w:p>
    <w:p>
      <w:r>
        <w:rPr>
          <w:b/>
        </w:rPr>
        <w:t xml:space="preserve">8 </w:t>
      </w:r>
      <w:r>
        <w:t xml:space="preserve">Now in the same way that Jannes</w:t>
      </w:r>
      <w:r>
        <w:rPr>
          <w:rStyle w:val="FootnoteReference"/>
        </w:rPr>
        <w:footnoteReference w:id="18694"/>
      </w:r>
      <w:r>
        <w:t xml:space="preserve"> and Jambres</w:t>
      </w:r>
      <w:r>
        <w:rPr>
          <w:rStyle w:val="FootnoteReference"/>
        </w:rPr>
        <w:footnoteReference w:id="18695"/>
      </w:r>
      <w:r>
        <w:t xml:space="preserve"> resisted Moses, so these also resist</w:t>
      </w:r>
      <w:r>
        <w:rPr>
          <w:rStyle w:val="FootnoteReference"/>
        </w:rPr>
        <w:footnoteReference w:id="18696"/>
      </w:r>
      <w:r>
        <w:t xml:space="preserve"> the truth: men corrupted in mind, unapproved concerning the faith.</w:t>
      </w:r>
    </w:p>
    <w:p>
      <w:r>
        <w:rPr>
          <w:b/>
        </w:rPr>
        <w:t xml:space="preserve">9 </w:t>
      </w:r>
      <w:r>
        <w:t xml:space="preserve">But they shall proceed no further: for their</w:t>
      </w:r>
      <w:r>
        <w:rPr>
          <w:rStyle w:val="FootnoteReference"/>
        </w:rPr>
        <w:footnoteReference w:id="18697"/>
      </w:r>
      <w:r>
        <w:t xml:space="preserve"> folly shall be manifest to all men, as theirs also was.</w:t>
      </w:r>
    </w:p>
    <w:p>
      <w:r>
        <w:rPr>
          <w:b/>
        </w:rPr>
        <w:t xml:space="preserve">10 </w:t>
      </w:r>
      <w:r>
        <w:t xml:space="preserve">But you have fully known my doctrine, manner</w:t>
      </w:r>
      <w:r>
        <w:rPr>
          <w:rStyle w:val="FootnoteReference"/>
        </w:rPr>
        <w:footnoteReference w:id="18698"/>
      </w:r>
      <w:r>
        <w:t xml:space="preserve"> of life, purpose, faith, longsuffering, love, patience,</w:t>
      </w:r>
    </w:p>
    <w:p>
      <w:r>
        <w:rPr>
          <w:b/>
        </w:rPr>
        <w:t xml:space="preserve">11 </w:t>
      </w:r>
      <w:r>
        <w:t xml:space="preserve">Persecutions</w:t>
      </w:r>
      <w:r>
        <w:rPr>
          <w:rStyle w:val="FootnoteReference"/>
        </w:rPr>
        <w:footnoteReference w:id="18699"/>
      </w:r>
      <w:r>
        <w:t xml:space="preserve">, afflictions, which came to me at Antioch, at Iconium, at Lystra; what persecutions I endured: but out of them all the Lord delivered me.</w:t>
      </w:r>
    </w:p>
    <w:p>
      <w:r>
        <w:rPr>
          <w:b/>
        </w:rPr>
        <w:t xml:space="preserve">12 </w:t>
      </w:r>
      <w:r>
        <w:t xml:space="preserve">Yes, and all that will live</w:t>
      </w:r>
      <w:r>
        <w:rPr>
          <w:rStyle w:val="FootnoteReference"/>
        </w:rPr>
        <w:footnoteReference w:id="18700"/>
      </w:r>
      <w:r>
        <w:t xml:space="preserve"> godly in Christ Jesus shall suffer persecution.</w:t>
      </w:r>
    </w:p>
    <w:p>
      <w:r>
        <w:rPr>
          <w:b/>
        </w:rPr>
        <w:t xml:space="preserve">13 </w:t>
      </w:r>
      <w:r>
        <w:t xml:space="preserve">But evil</w:t>
      </w:r>
      <w:r>
        <w:rPr>
          <w:rStyle w:val="FootnoteReference"/>
        </w:rPr>
        <w:footnoteReference w:id="18701"/>
      </w:r>
      <w:r>
        <w:t xml:space="preserve"> men and impostors will advance to worse, deceiving and being deceived.</w:t>
      </w:r>
    </w:p>
    <w:p>
      <w:r>
        <w:rPr>
          <w:b/>
        </w:rPr>
        <w:t xml:space="preserve">14 </w:t>
      </w:r>
      <w:r>
        <w:t xml:space="preserve">But you continue</w:t>
      </w:r>
      <w:r>
        <w:rPr>
          <w:rStyle w:val="FootnoteReference"/>
        </w:rPr>
        <w:footnoteReference w:id="18702"/>
      </w:r>
      <w:r>
        <w:t xml:space="preserve"> in the things which you learned and were assured of, knowing from whom you learned them;</w:t>
      </w:r>
    </w:p>
    <w:p>
      <w:r>
        <w:rPr>
          <w:b/>
        </w:rPr>
        <w:t xml:space="preserve">15 </w:t>
      </w:r>
      <w:r>
        <w:t xml:space="preserve">And that from a child you have known the holy</w:t>
      </w:r>
      <w:r>
        <w:rPr>
          <w:rStyle w:val="FootnoteReference"/>
        </w:rPr>
        <w:footnoteReference w:id="18703"/>
      </w:r>
      <w:r>
        <w:t xml:space="preserve"> scriptures, which are able to make you wise to salvation through faith which is in Christ Jesus.</w:t>
      </w:r>
    </w:p>
    <w:p>
      <w:r>
        <w:rPr>
          <w:b/>
        </w:rPr>
        <w:t xml:space="preserve">16 </w:t>
      </w:r>
      <w:r>
        <w:t xml:space="preserve">All scripture is God-breathed and profitable for teaching, for reproof</w:t>
      </w:r>
      <w:r>
        <w:rPr>
          <w:rStyle w:val="FootnoteReference"/>
        </w:rPr>
        <w:footnoteReference w:id="18704"/>
      </w:r>
      <w:r>
        <w:t xml:space="preserve">, for correction, for instruction in righteousness:</w:t>
      </w:r>
    </w:p>
    <w:p>
      <w:r>
        <w:rPr>
          <w:b/>
        </w:rPr>
        <w:t xml:space="preserve">17 </w:t>
      </w:r>
      <w:r>
        <w:t xml:space="preserve">That the man</w:t>
      </w:r>
      <w:r>
        <w:rPr>
          <w:rStyle w:val="FootnoteReference"/>
        </w:rPr>
        <w:footnoteReference w:id="18705"/>
      </w:r>
      <w:r>
        <w:t xml:space="preserve"> of God may be perfect, thoroughly furnished to all good works.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I charge</w:t>
      </w:r>
      <w:r>
        <w:rPr>
          <w:rStyle w:val="FootnoteReference"/>
        </w:rPr>
        <w:footnoteReference w:id="18706"/>
      </w:r>
      <w:r>
        <w:t xml:space="preserve"> you therefore before God, and the Lord Jesus Christ, who shall judge the quick and the dead at his appearing and his kingdom;</w:t>
      </w:r>
    </w:p>
    <w:p>
      <w:r>
        <w:rPr>
          <w:b/>
        </w:rPr>
        <w:t xml:space="preserve">2 </w:t>
      </w:r>
      <w:r>
        <w:t xml:space="preserve">Preach</w:t>
      </w:r>
      <w:r>
        <w:rPr>
          <w:rStyle w:val="FootnoteReference"/>
        </w:rPr>
        <w:footnoteReference w:id="18707"/>
      </w:r>
      <w:r>
        <w:t xml:space="preserve"> the word; be instant in season, out of season; reprove, rebuke, exhort with all longsuffering and doctrine.</w:t>
      </w:r>
    </w:p>
    <w:p>
      <w:r>
        <w:rPr>
          <w:b/>
        </w:rPr>
        <w:t xml:space="preserve">3 </w:t>
      </w:r>
      <w:r>
        <w:t xml:space="preserve">For the time</w:t>
      </w:r>
      <w:r>
        <w:rPr>
          <w:rStyle w:val="FootnoteReference"/>
        </w:rPr>
        <w:footnoteReference w:id="18708"/>
      </w:r>
      <w:r>
        <w:t xml:space="preserve"> will come when they will not endure sound teaching; but according to their own lusts they shall heap up teachers to themselves, having itching ears;</w:t>
      </w:r>
    </w:p>
    <w:p>
      <w:r>
        <w:rPr>
          <w:b/>
        </w:rPr>
        <w:t xml:space="preserve">4 </w:t>
      </w:r>
      <w:r>
        <w:t xml:space="preserve">And they shall turn</w:t>
      </w:r>
      <w:r>
        <w:rPr>
          <w:rStyle w:val="FootnoteReference"/>
        </w:rPr>
        <w:footnoteReference w:id="18709"/>
      </w:r>
      <w:r>
        <w:t xml:space="preserve"> away their ears from the truth, and shall be turned to fables.</w:t>
      </w:r>
    </w:p>
    <w:p>
      <w:r>
        <w:rPr>
          <w:b/>
        </w:rPr>
        <w:t xml:space="preserve">5 </w:t>
      </w:r>
      <w:r>
        <w:t xml:space="preserve">But you be sober in all things, endure</w:t>
      </w:r>
      <w:r>
        <w:rPr>
          <w:rStyle w:val="FootnoteReference"/>
        </w:rPr>
        <w:footnoteReference w:id="18710"/>
      </w:r>
      <w:r>
        <w:t xml:space="preserve"> hardship, do the work of an evangelist, fulfill your ministry.</w:t>
      </w:r>
    </w:p>
    <w:p>
      <w:r>
        <w:rPr>
          <w:b/>
        </w:rPr>
        <w:t xml:space="preserve">6 </w:t>
      </w:r>
      <w:r>
        <w:t xml:space="preserve">For I am already being poured out, and the time of my departure has come.</w:t>
      </w:r>
    </w:p>
    <w:p>
      <w:r>
        <w:rPr>
          <w:b/>
        </w:rPr>
        <w:t xml:space="preserve">7 </w:t>
      </w:r>
      <w:r>
        <w:t xml:space="preserve">I have fought the good fight, I have finished</w:t>
      </w:r>
      <w:r>
        <w:rPr>
          <w:rStyle w:val="FootnoteReference"/>
        </w:rPr>
        <w:footnoteReference w:id="18711"/>
      </w:r>
      <w:r>
        <w:t xml:space="preserve"> the course, I have kept the faith:</w:t>
      </w:r>
    </w:p>
    <w:p>
      <w:r>
        <w:rPr>
          <w:b/>
        </w:rPr>
        <w:t xml:space="preserve">8 </w:t>
      </w:r>
      <w:r>
        <w:t xml:space="preserve">From now on there is laid up for me a crown</w:t>
      </w:r>
      <w:r>
        <w:rPr>
          <w:rStyle w:val="FootnoteReference"/>
        </w:rPr>
        <w:footnoteReference w:id="18712"/>
      </w:r>
      <w:r>
        <w:t xml:space="preserve"> of righteousness, which the Lord, the righteous judge, shall give me at that day: and not to me only, but to all them also that love his appearing.</w:t>
      </w:r>
    </w:p>
    <w:p>
      <w:r>
        <w:rPr>
          <w:b/>
        </w:rPr>
        <w:t xml:space="preserve">9 </w:t>
      </w:r>
      <w:r>
        <w:t xml:space="preserve">Do your diligence to come shortly to me:</w:t>
      </w:r>
    </w:p>
    <w:p>
      <w:r>
        <w:rPr>
          <w:b/>
        </w:rPr>
        <w:t xml:space="preserve">10 </w:t>
      </w:r>
      <w:r>
        <w:t xml:space="preserve">For Demas</w:t>
      </w:r>
      <w:r>
        <w:rPr>
          <w:rStyle w:val="FootnoteReference"/>
        </w:rPr>
        <w:footnoteReference w:id="18713"/>
      </w:r>
      <w:r>
        <w:t xml:space="preserve"> has forsaken me, having loved this present world, and is departed to Thessalonica; Crescens</w:t>
      </w:r>
      <w:r>
        <w:rPr>
          <w:rStyle w:val="FootnoteReference"/>
        </w:rPr>
        <w:footnoteReference w:id="18714"/>
      </w:r>
      <w:r>
        <w:t xml:space="preserve"> to Galatia, Titus to Dalmatia</w:t>
      </w:r>
      <w:r>
        <w:rPr>
          <w:rStyle w:val="FootnoteReference"/>
        </w:rPr>
        <w:footnoteReference w:id="18715"/>
      </w:r>
      <w:r>
        <w:t xml:space="preserve">.</w:t>
      </w:r>
    </w:p>
    <w:p>
      <w:r>
        <w:rPr>
          <w:b/>
        </w:rPr>
        <w:t xml:space="preserve">11 </w:t>
      </w:r>
      <w:r>
        <w:t xml:space="preserve">Only</w:t>
      </w:r>
      <w:r>
        <w:rPr>
          <w:rStyle w:val="FootnoteReference"/>
        </w:rPr>
        <w:footnoteReference w:id="18716"/>
      </w:r>
      <w:r>
        <w:t xml:space="preserve"> Luke is with me. Take Mark, and bring him with you: for he is useful to me for ministry.</w:t>
      </w:r>
    </w:p>
    <w:p>
      <w:r>
        <w:rPr>
          <w:b/>
        </w:rPr>
        <w:t xml:space="preserve">12 </w:t>
      </w:r>
      <w:r>
        <w:t xml:space="preserve">But Tychicus</w:t>
      </w:r>
      <w:r>
        <w:rPr>
          <w:rStyle w:val="FootnoteReference"/>
        </w:rPr>
        <w:footnoteReference w:id="18717"/>
      </w:r>
      <w:r>
        <w:t xml:space="preserve"> I sent to Ephesus.</w:t>
      </w:r>
    </w:p>
    <w:p>
      <w:r>
        <w:rPr>
          <w:b/>
        </w:rPr>
        <w:t xml:space="preserve">13 </w:t>
      </w:r>
      <w:r>
        <w:t xml:space="preserve">The tunic that I left at Troas</w:t>
      </w:r>
      <w:r>
        <w:rPr>
          <w:rStyle w:val="FootnoteReference"/>
        </w:rPr>
        <w:footnoteReference w:id="18718"/>
      </w:r>
      <w:r>
        <w:t xml:space="preserve"> with Carpus</w:t>
      </w:r>
      <w:r>
        <w:rPr>
          <w:rStyle w:val="FootnoteReference"/>
        </w:rPr>
        <w:footnoteReference w:id="18719"/>
      </w:r>
      <w:r>
        <w:t xml:space="preserve">, when you come, bring with you, and the books, but especially the parchments.</w:t>
      </w:r>
    </w:p>
    <w:p>
      <w:r>
        <w:rPr>
          <w:b/>
        </w:rPr>
        <w:t xml:space="preserve">14 </w:t>
      </w:r>
      <w:r>
        <w:t xml:space="preserve">Alexander</w:t>
      </w:r>
      <w:r>
        <w:rPr>
          <w:rStyle w:val="FootnoteReference"/>
        </w:rPr>
        <w:footnoteReference w:id="18720"/>
      </w:r>
      <w:r>
        <w:t xml:space="preserve"> the coppersmith did me much evil: the Lord reward him according to his works:</w:t>
      </w:r>
    </w:p>
    <w:p>
      <w:r>
        <w:rPr>
          <w:b/>
        </w:rPr>
        <w:t xml:space="preserve">15 </w:t>
      </w:r>
      <w:r>
        <w:t xml:space="preserve">Beware of him also; for he has greatly withstood</w:t>
      </w:r>
      <w:r>
        <w:rPr>
          <w:rStyle w:val="FootnoteReference"/>
        </w:rPr>
        <w:footnoteReference w:id="18721"/>
      </w:r>
      <w:r>
        <w:t xml:space="preserve"> our words.</w:t>
      </w:r>
    </w:p>
    <w:p>
      <w:r>
        <w:rPr>
          <w:b/>
        </w:rPr>
        <w:t xml:space="preserve">16 </w:t>
      </w:r>
      <w:r>
        <w:t xml:space="preserve">At my first answer</w:t>
      </w:r>
      <w:r>
        <w:rPr>
          <w:rStyle w:val="FootnoteReference"/>
        </w:rPr>
        <w:footnoteReference w:id="18722"/>
      </w:r>
      <w:r>
        <w:t xml:space="preserve"> no one stood with me, but all men forsook me: I pray God that it may not be laid to their charge.</w:t>
      </w:r>
    </w:p>
    <w:p>
      <w:r>
        <w:rPr>
          <w:b/>
        </w:rPr>
        <w:t xml:space="preserve">17 </w:t>
      </w:r>
      <w:r>
        <w:t xml:space="preserve">Notwithstanding the Lord</w:t>
      </w:r>
      <w:r>
        <w:rPr>
          <w:rStyle w:val="FootnoteReference"/>
        </w:rPr>
        <w:footnoteReference w:id="18723"/>
      </w:r>
      <w:r>
        <w:t xml:space="preserve"> stood with me, and strengthened me; that by me the preaching might be fully known, and that all the nations might hear: and I was delivered out of the mouth of the lion.</w:t>
      </w:r>
    </w:p>
    <w:p>
      <w:r>
        <w:rPr>
          <w:b/>
        </w:rPr>
        <w:t xml:space="preserve">18 </w:t>
      </w:r>
      <w:r>
        <w:t xml:space="preserve">And the Lord shall deliver</w:t>
      </w:r>
      <w:r>
        <w:rPr>
          <w:rStyle w:val="FootnoteReference"/>
        </w:rPr>
        <w:footnoteReference w:id="18724"/>
      </w:r>
      <w:r>
        <w:t xml:space="preserve"> me from every evil work, and will preserve me to his heavenly kingdom: to whom be glory forever and ever. Amen.</w:t>
      </w:r>
    </w:p>
    <w:p>
      <w:r>
        <w:rPr>
          <w:b/>
        </w:rPr>
        <w:t xml:space="preserve">19 </w:t>
      </w:r>
      <w:r>
        <w:t xml:space="preserve">Greet Prisca</w:t>
      </w:r>
      <w:r>
        <w:rPr>
          <w:rStyle w:val="FootnoteReference"/>
        </w:rPr>
        <w:footnoteReference w:id="18725"/>
      </w:r>
      <w:r>
        <w:t xml:space="preserve"> and Aquila, and the household of Onesiphorus.</w:t>
      </w:r>
      <w:r>
        <w:rPr>
          <w:rStyle w:val="FootnoteReference"/>
        </w:rPr>
        <w:footnoteReference w:id="18726"/>
      </w:r>
    </w:p>
    <w:p>
      <w:r>
        <w:rPr>
          <w:b/>
        </w:rPr>
        <w:t xml:space="preserve">20 </w:t>
      </w:r>
      <w:r>
        <w:t xml:space="preserve">Erastus</w:t>
      </w:r>
      <w:r>
        <w:rPr>
          <w:rStyle w:val="FootnoteReference"/>
        </w:rPr>
        <w:footnoteReference w:id="18727"/>
      </w:r>
      <w:r>
        <w:t xml:space="preserve"> remained at Corinth: but Trophimus have I left at Miletum</w:t>
      </w:r>
      <w:r>
        <w:rPr>
          <w:rStyle w:val="FootnoteReference"/>
        </w:rPr>
        <w:footnoteReference w:id="18728"/>
      </w:r>
      <w:r>
        <w:t xml:space="preserve"> sick.</w:t>
      </w:r>
    </w:p>
    <w:p>
      <w:r>
        <w:rPr>
          <w:b/>
        </w:rPr>
        <w:t xml:space="preserve">21 </w:t>
      </w:r>
      <w:r>
        <w:t xml:space="preserve">Do your diligence to come before winter. Eubulus</w:t>
      </w:r>
      <w:r>
        <w:rPr>
          <w:rStyle w:val="FootnoteReference"/>
        </w:rPr>
        <w:footnoteReference w:id="18729"/>
      </w:r>
      <w:r>
        <w:t xml:space="preserve"> greets you, and Pudens</w:t>
      </w:r>
      <w:r>
        <w:rPr>
          <w:rStyle w:val="FootnoteReference"/>
        </w:rPr>
        <w:footnoteReference w:id="18730"/>
      </w:r>
      <w:r>
        <w:t xml:space="preserve">, and Linus</w:t>
      </w:r>
      <w:r>
        <w:rPr>
          <w:rStyle w:val="FootnoteReference"/>
        </w:rPr>
        <w:footnoteReference w:id="18731"/>
      </w:r>
      <w:r>
        <w:t xml:space="preserve">, and Claudia</w:t>
      </w:r>
      <w:r>
        <w:rPr>
          <w:rStyle w:val="FootnoteReference"/>
        </w:rPr>
        <w:footnoteReference w:id="18732"/>
      </w:r>
      <w:r>
        <w:t xml:space="preserve">, and all the brothers.</w:t>
      </w:r>
    </w:p>
    <w:p>
      <w:r>
        <w:rPr>
          <w:b/>
        </w:rPr>
        <w:t xml:space="preserve">22 </w:t>
      </w:r>
      <w:r>
        <w:t xml:space="preserve">The Lord</w:t>
      </w:r>
      <w:r>
        <w:rPr>
          <w:rStyle w:val="FootnoteReference"/>
        </w:rPr>
        <w:footnoteReference w:id="18733"/>
      </w:r>
      <w:r>
        <w:t xml:space="preserve"> Jesus Christ be with your spirit. Grace be with you. Amen.</w:t>
      </w:r>
    </w:p>
    <w:p>
      <w:r>
        <w:br w:type="page"/>
      </w:r>
    </w:p>
    <w:p>
      <w:pPr>
        <w:pStyle w:val="Heading1"/>
      </w:pPr>
      <w:r>
        <w:t xml:space="preserve">Titus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 slave of God, and an apostle of Jesus Christ, according to the faith</w:t>
      </w:r>
      <w:r>
        <w:rPr>
          <w:rStyle w:val="FootnoteReference"/>
        </w:rPr>
        <w:footnoteReference w:id="18734"/>
      </w:r>
      <w:r>
        <w:t xml:space="preserve"> of God's elect, and the acknowledging of the truth which is after godliness;</w:t>
      </w:r>
    </w:p>
    <w:p>
      <w:r>
        <w:rPr>
          <w:b/>
        </w:rPr>
        <w:t xml:space="preserve">2 </w:t>
      </w:r>
      <w:r>
        <w:t xml:space="preserve">in hope</w:t>
      </w:r>
      <w:r>
        <w:rPr>
          <w:rStyle w:val="FootnoteReference"/>
        </w:rPr>
        <w:footnoteReference w:id="18735"/>
      </w:r>
      <w:r>
        <w:t xml:space="preserve"> of eternal life, which God, who cannot lie, promised before eternal times;</w:t>
      </w:r>
    </w:p>
    <w:p>
      <w:r>
        <w:rPr>
          <w:b/>
        </w:rPr>
        <w:t xml:space="preserve">3 </w:t>
      </w:r>
      <w:r>
        <w:t xml:space="preserve">But has in due times manifested</w:t>
      </w:r>
      <w:r>
        <w:rPr>
          <w:rStyle w:val="FootnoteReference"/>
        </w:rPr>
        <w:footnoteReference w:id="18736"/>
      </w:r>
      <w:r>
        <w:t xml:space="preserve"> his word through preaching, which is committed to me according to the commandment of God our Savior;</w:t>
      </w:r>
    </w:p>
    <w:p>
      <w:r>
        <w:rPr>
          <w:b/>
        </w:rPr>
        <w:t xml:space="preserve">4 </w:t>
      </w:r>
      <w:r>
        <w:t xml:space="preserve">To Titus</w:t>
      </w:r>
      <w:r>
        <w:rPr>
          <w:rStyle w:val="FootnoteReference"/>
        </w:rPr>
        <w:footnoteReference w:id="18737"/>
      </w:r>
      <w:r>
        <w:t xml:space="preserve">, my own son after the common faith: Grace, mercy, and peace, from God the Father and the Lord Jesus Christ our Savior.</w:t>
      </w:r>
    </w:p>
    <w:p>
      <w:r>
        <w:rPr>
          <w:b/>
        </w:rPr>
        <w:t xml:space="preserve">5 </w:t>
      </w:r>
      <w:r>
        <w:t xml:space="preserve">For this cause I left you in Crete</w:t>
      </w:r>
      <w:r>
        <w:rPr>
          <w:rStyle w:val="FootnoteReference"/>
        </w:rPr>
        <w:footnoteReference w:id="18738"/>
      </w:r>
      <w:r>
        <w:t xml:space="preserve">, that you should set in order the things that are lacking, and appoint elders in every city, as I directed you:</w:t>
      </w:r>
    </w:p>
    <w:p>
      <w:r>
        <w:rPr>
          <w:b/>
        </w:rPr>
        <w:t xml:space="preserve">6 </w:t>
      </w:r>
      <w:r>
        <w:t xml:space="preserve">if anyone is blameless, the husband</w:t>
      </w:r>
      <w:r>
        <w:rPr>
          <w:rStyle w:val="FootnoteReference"/>
        </w:rPr>
        <w:footnoteReference w:id="18739"/>
      </w:r>
      <w:r>
        <w:t xml:space="preserve"> of one wife, having faithful children not accused of dissipation or insubordination.</w:t>
      </w:r>
    </w:p>
    <w:p>
      <w:r>
        <w:rPr>
          <w:b/>
        </w:rPr>
        <w:t xml:space="preserve">7 </w:t>
      </w:r>
      <w:r>
        <w:t xml:space="preserve">For an overseer must be blameless, as the steward of God; not self-willed, not soon</w:t>
      </w:r>
      <w:r>
        <w:rPr>
          <w:rStyle w:val="FootnoteReference"/>
        </w:rPr>
        <w:footnoteReference w:id="18740"/>
      </w:r>
      <w:r>
        <w:t xml:space="preserve"> angry, not given to wine, not an attacker, not given to filthy illegal gain;</w:t>
      </w:r>
    </w:p>
    <w:p>
      <w:r>
        <w:rPr>
          <w:b/>
        </w:rPr>
        <w:t xml:space="preserve">8 </w:t>
      </w:r>
      <w:r>
        <w:t xml:space="preserve">but hospitable, a lover of good</w:t>
      </w:r>
      <w:r>
        <w:rPr>
          <w:rStyle w:val="FootnoteReference"/>
        </w:rPr>
        <w:footnoteReference w:id="18741"/>
      </w:r>
      <w:r>
        <w:t xml:space="preserve">, sober-minded, just, holy, self-controlled;</w:t>
      </w:r>
    </w:p>
    <w:p>
      <w:r>
        <w:rPr>
          <w:b/>
        </w:rPr>
        <w:t xml:space="preserve">9 </w:t>
      </w:r>
      <w:r>
        <w:t xml:space="preserve">Holding</w:t>
      </w:r>
      <w:r>
        <w:rPr>
          <w:rStyle w:val="FootnoteReference"/>
        </w:rPr>
        <w:footnoteReference w:id="18742"/>
      </w:r>
      <w:r>
        <w:t xml:space="preserve"> fast the faithful word as he has been taught, that he may be able by sound doctrine both to exhort and to convince the opponents.</w:t>
      </w:r>
    </w:p>
    <w:p>
      <w:r>
        <w:rPr>
          <w:b/>
        </w:rPr>
        <w:t xml:space="preserve">10 </w:t>
      </w:r>
      <w:r>
        <w:t xml:space="preserve">For there are many unruly men, vain talkers and deceivers, especially those of the circumcision:</w:t>
      </w:r>
    </w:p>
    <w:p>
      <w:r>
        <w:rPr>
          <w:b/>
        </w:rPr>
        <w:t xml:space="preserve">11 </w:t>
      </w:r>
      <w:r>
        <w:t xml:space="preserve">whose mouths</w:t>
      </w:r>
      <w:r>
        <w:rPr>
          <w:rStyle w:val="FootnoteReference"/>
        </w:rPr>
        <w:footnoteReference w:id="18743"/>
      </w:r>
      <w:r>
        <w:t xml:space="preserve"> must be stopped, who overturn whole houses, teaching things which they ought not, for shameful gain's sake.</w:t>
      </w:r>
    </w:p>
    <w:p>
      <w:r>
        <w:rPr>
          <w:b/>
        </w:rPr>
        <w:t xml:space="preserve">12 </w:t>
      </w:r>
      <w:r>
        <w:t xml:space="preserve">One of themselves, a prophet of their own, said, Cretans are always liars</w:t>
      </w:r>
      <w:r>
        <w:rPr>
          <w:rStyle w:val="FootnoteReference"/>
        </w:rPr>
        <w:footnoteReference w:id="18744"/>
      </w:r>
      <w:r>
        <w:t xml:space="preserve">, evil beasts, idle bellies.</w:t>
      </w:r>
    </w:p>
    <w:p>
      <w:r>
        <w:rPr>
          <w:b/>
        </w:rPr>
        <w:t xml:space="preserve">13 </w:t>
      </w:r>
      <w:r>
        <w:t xml:space="preserve">This witness is true. Therefore rebuke</w:t>
      </w:r>
      <w:r>
        <w:rPr>
          <w:rStyle w:val="FootnoteReference"/>
        </w:rPr>
        <w:footnoteReference w:id="18745"/>
      </w:r>
      <w:r>
        <w:t xml:space="preserve"> them sharply, that they may be sound in the faith;</w:t>
      </w:r>
    </w:p>
    <w:p>
      <w:r>
        <w:rPr>
          <w:b/>
        </w:rPr>
        <w:t xml:space="preserve">14 </w:t>
      </w:r>
      <w:r>
        <w:t xml:space="preserve">not giving heed to Jewish</w:t>
      </w:r>
      <w:r>
        <w:rPr>
          <w:rStyle w:val="FootnoteReference"/>
        </w:rPr>
        <w:footnoteReference w:id="18746"/>
      </w:r>
      <w:r>
        <w:t xml:space="preserve"> fables, and commandments of men who turn away from the truth.</w:t>
      </w:r>
    </w:p>
    <w:p>
      <w:r>
        <w:rPr>
          <w:b/>
        </w:rPr>
        <w:t xml:space="preserve">15 </w:t>
      </w:r>
      <w:r>
        <w:t xml:space="preserve">To the pure</w:t>
      </w:r>
      <w:r>
        <w:rPr>
          <w:rStyle w:val="FootnoteReference"/>
        </w:rPr>
        <w:footnoteReference w:id="18747"/>
      </w:r>
      <w:r>
        <w:t xml:space="preserve"> all things are pure: but to those who are defiled and unbelieving is nothing pure; but even their mind and conscience is defiled.</w:t>
      </w:r>
    </w:p>
    <w:p>
      <w:r>
        <w:rPr>
          <w:b/>
        </w:rPr>
        <w:t xml:space="preserve">16 </w:t>
      </w:r>
      <w:r>
        <w:t xml:space="preserve">They profess</w:t>
      </w:r>
      <w:r>
        <w:rPr>
          <w:rStyle w:val="FootnoteReference"/>
        </w:rPr>
        <w:footnoteReference w:id="18748"/>
      </w:r>
      <w:r>
        <w:t xml:space="preserve"> that they know God; but in works they deny him, being abominable, and disobedient, and to every good work reprobate.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But speak the things which befit sound teaching:</w:t>
      </w:r>
    </w:p>
    <w:p>
      <w:r>
        <w:rPr>
          <w:b/>
        </w:rPr>
        <w:t xml:space="preserve">2 </w:t>
      </w:r>
      <w:r>
        <w:t xml:space="preserve">That the aged men be sober</w:t>
      </w:r>
      <w:r>
        <w:rPr>
          <w:rStyle w:val="FootnoteReference"/>
        </w:rPr>
        <w:footnoteReference w:id="18749"/>
      </w:r>
      <w:r>
        <w:t xml:space="preserve">, grave, temperate, sound in faith, in love, in patience.</w:t>
      </w:r>
    </w:p>
    <w:p>
      <w:r>
        <w:rPr>
          <w:b/>
        </w:rPr>
        <w:t xml:space="preserve">3 </w:t>
      </w:r>
      <w:r>
        <w:t xml:space="preserve">The aged women likewise, that they be in behavior as becomes holiness, not false accusers</w:t>
      </w:r>
      <w:r>
        <w:rPr>
          <w:rStyle w:val="FootnoteReference"/>
        </w:rPr>
        <w:footnoteReference w:id="18750"/>
      </w:r>
      <w:r>
        <w:t xml:space="preserve">, not given to much wine, teachers of good things;</w:t>
      </w:r>
    </w:p>
    <w:p>
      <w:r>
        <w:rPr>
          <w:b/>
        </w:rPr>
        <w:t xml:space="preserve">4 </w:t>
      </w:r>
      <w:r>
        <w:t xml:space="preserve">that they may train the young women to love their husbands</w:t>
      </w:r>
      <w:r>
        <w:rPr>
          <w:rStyle w:val="FootnoteReference"/>
        </w:rPr>
        <w:footnoteReference w:id="18751"/>
      </w:r>
      <w:r>
        <w:t xml:space="preserve">, to love their children,</w:t>
      </w:r>
    </w:p>
    <w:p>
      <w:r>
        <w:rPr>
          <w:b/>
        </w:rPr>
        <w:t xml:space="preserve">5 </w:t>
      </w:r>
      <w:r>
        <w:t xml:space="preserve">To be discreet</w:t>
      </w:r>
      <w:r>
        <w:rPr>
          <w:rStyle w:val="FootnoteReference"/>
        </w:rPr>
        <w:footnoteReference w:id="18752"/>
      </w:r>
      <w:r>
        <w:t xml:space="preserve">, chaste, keepers at home, good, obedient to their own husbands, that the word of God be not blasphemed.</w:t>
      </w:r>
    </w:p>
    <w:p>
      <w:r>
        <w:rPr>
          <w:b/>
        </w:rPr>
        <w:t xml:space="preserve">6 </w:t>
      </w:r>
      <w:r>
        <w:t xml:space="preserve">The younger men likewise exhort to be sober-minded.</w:t>
      </w:r>
    </w:p>
    <w:p>
      <w:r>
        <w:rPr>
          <w:b/>
        </w:rPr>
        <w:t xml:space="preserve">7 </w:t>
      </w:r>
      <w:r>
        <w:t xml:space="preserve">in all things showing yourself a pattern of good works: in teaching, incorruptness, dignity, sincerity</w:t>
      </w:r>
      <w:r>
        <w:rPr>
          <w:rStyle w:val="FootnoteReference"/>
        </w:rPr>
        <w:footnoteReference w:id="18753"/>
      </w:r>
      <w:r>
        <w:t xml:space="preserve">,</w:t>
      </w:r>
    </w:p>
    <w:p>
      <w:r>
        <w:rPr>
          <w:b/>
        </w:rPr>
        <w:t xml:space="preserve">8 </w:t>
      </w:r>
      <w:r>
        <w:t xml:space="preserve">Sound</w:t>
      </w:r>
      <w:r>
        <w:rPr>
          <w:rStyle w:val="FootnoteReference"/>
        </w:rPr>
        <w:footnoteReference w:id="18754"/>
      </w:r>
      <w:r>
        <w:t xml:space="preserve"> speech, that cannot be condemned; that the one who is of the contrary part may be ashamed, having no evil thing to say of you.</w:t>
      </w:r>
    </w:p>
    <w:p>
      <w:r>
        <w:rPr>
          <w:b/>
        </w:rPr>
        <w:t xml:space="preserve">9 </w:t>
      </w:r>
      <w:r>
        <w:t xml:space="preserve">Exhort slaves to be obedient to their own masters, and to please</w:t>
      </w:r>
      <w:r>
        <w:rPr>
          <w:rStyle w:val="FootnoteReference"/>
        </w:rPr>
        <w:footnoteReference w:id="18755"/>
      </w:r>
      <w:r>
        <w:t xml:space="preserve"> them well in all things; not answering again;</w:t>
      </w:r>
    </w:p>
    <w:p>
      <w:r>
        <w:rPr>
          <w:b/>
        </w:rPr>
        <w:t xml:space="preserve">10 </w:t>
      </w:r>
      <w:r>
        <w:t xml:space="preserve">Not embezzling, but showing</w:t>
      </w:r>
      <w:r>
        <w:rPr>
          <w:rStyle w:val="FootnoteReference"/>
        </w:rPr>
        <w:footnoteReference w:id="18756"/>
      </w:r>
      <w:r>
        <w:t xml:space="preserve"> all good fidelity; that they may adorn the doctrine of God our Savior in all things.</w:t>
      </w:r>
    </w:p>
    <w:p>
      <w:r>
        <w:rPr>
          <w:b/>
        </w:rPr>
        <w:t xml:space="preserve">11 </w:t>
      </w:r>
      <w:r>
        <w:t xml:space="preserve">For the saving grace of God has appeared to all men,</w:t>
      </w:r>
    </w:p>
    <w:p>
      <w:r>
        <w:rPr>
          <w:b/>
        </w:rPr>
        <w:t xml:space="preserve">12 </w:t>
      </w:r>
      <w:r>
        <w:t xml:space="preserve">teaching</w:t>
      </w:r>
      <w:r>
        <w:rPr>
          <w:rStyle w:val="FootnoteReference"/>
        </w:rPr>
        <w:footnoteReference w:id="18757"/>
      </w:r>
      <w:r>
        <w:t xml:space="preserve"> us that, denying ungodliness and worldly lusts, we should live soberly, righteously, and godly in the present age;</w:t>
      </w:r>
    </w:p>
    <w:p>
      <w:r>
        <w:rPr>
          <w:b/>
        </w:rPr>
        <w:t xml:space="preserve">13 </w:t>
      </w:r>
      <w:r>
        <w:t xml:space="preserve">Looking</w:t>
      </w:r>
      <w:r>
        <w:rPr>
          <w:rStyle w:val="FootnoteReference"/>
        </w:rPr>
        <w:footnoteReference w:id="18758"/>
      </w:r>
      <w:r>
        <w:t xml:space="preserve"> for that blessed hope, and the glorious appearing of the great God and our Savior Jesus Christ;</w:t>
      </w:r>
    </w:p>
    <w:p>
      <w:r>
        <w:rPr>
          <w:b/>
        </w:rPr>
        <w:t xml:space="preserve">14 </w:t>
      </w:r>
      <w:r>
        <w:t xml:space="preserve">Who gave</w:t>
      </w:r>
      <w:r>
        <w:rPr>
          <w:rStyle w:val="FootnoteReference"/>
        </w:rPr>
        <w:footnoteReference w:id="18759"/>
      </w:r>
      <w:r>
        <w:t xml:space="preserve"> himself for us, that he might redeem us from all iniquity, and purify to himself an exclusive people, zealous of good works.</w:t>
      </w:r>
    </w:p>
    <w:p>
      <w:r>
        <w:rPr>
          <w:b/>
        </w:rPr>
        <w:t xml:space="preserve">15 </w:t>
      </w:r>
      <w:r>
        <w:t xml:space="preserve">These things speak</w:t>
      </w:r>
      <w:r>
        <w:rPr>
          <w:rStyle w:val="FootnoteReference"/>
        </w:rPr>
        <w:footnoteReference w:id="18760"/>
      </w:r>
      <w:r>
        <w:t xml:space="preserve">, and exhort, and rebuke with all authority. Let no one despise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Remind them to be subject</w:t>
      </w:r>
      <w:r>
        <w:rPr>
          <w:rStyle w:val="FootnoteReference"/>
        </w:rPr>
        <w:footnoteReference w:id="18761"/>
      </w:r>
      <w:r>
        <w:t xml:space="preserve"> to rulers and authorities, to obey, to be ready for every good work,</w:t>
      </w:r>
    </w:p>
    <w:p>
      <w:r>
        <w:rPr>
          <w:b/>
        </w:rPr>
        <w:t xml:space="preserve">2 </w:t>
      </w:r>
      <w:r>
        <w:t xml:space="preserve">To speak</w:t>
      </w:r>
      <w:r>
        <w:rPr>
          <w:rStyle w:val="FootnoteReference"/>
        </w:rPr>
        <w:footnoteReference w:id="18762"/>
      </w:r>
      <w:r>
        <w:t xml:space="preserve"> evil of no one, to be no brawlers, but gentle, showing all meekness to all men.</w:t>
      </w:r>
    </w:p>
    <w:p>
      <w:r>
        <w:rPr>
          <w:b/>
        </w:rPr>
        <w:t xml:space="preserve">3 </w:t>
      </w:r>
      <w:r>
        <w:t xml:space="preserve">For we ourselves also were sometimes foolish</w:t>
      </w:r>
      <w:r>
        <w:rPr>
          <w:rStyle w:val="FootnoteReference"/>
        </w:rPr>
        <w:footnoteReference w:id="18763"/>
      </w:r>
      <w:r>
        <w:t xml:space="preserve">, disobedient, deceived, serving various lusts and pleasures, living in malice and envy, hateful, and hating one another.</w:t>
      </w:r>
    </w:p>
    <w:p>
      <w:r>
        <w:rPr>
          <w:b/>
        </w:rPr>
        <w:t xml:space="preserve">4 </w:t>
      </w:r>
      <w:r>
        <w:t xml:space="preserve">But after that the kindness</w:t>
      </w:r>
      <w:r>
        <w:rPr>
          <w:rStyle w:val="FootnoteReference"/>
        </w:rPr>
        <w:footnoteReference w:id="18764"/>
      </w:r>
      <w:r>
        <w:t xml:space="preserve"> and love of God our Savior toward man appeared,</w:t>
      </w:r>
    </w:p>
    <w:p>
      <w:r>
        <w:rPr>
          <w:b/>
        </w:rPr>
        <w:t xml:space="preserve">5 </w:t>
      </w:r>
      <w:r>
        <w:t xml:space="preserve">Not by works</w:t>
      </w:r>
      <w:r>
        <w:rPr>
          <w:rStyle w:val="FootnoteReference"/>
        </w:rPr>
        <w:footnoteReference w:id="18765"/>
      </w:r>
      <w:r>
        <w:t xml:space="preserve"> of righteousness which we have done, but according to his mercy he saved us, by the washing of regeneration, and renewing of the Holy Spirit;</w:t>
      </w:r>
    </w:p>
    <w:p>
      <w:r>
        <w:rPr>
          <w:b/>
        </w:rPr>
        <w:t xml:space="preserve">6 </w:t>
      </w:r>
      <w:r>
        <w:t xml:space="preserve">Which he shed</w:t>
      </w:r>
      <w:r>
        <w:rPr>
          <w:rStyle w:val="FootnoteReference"/>
        </w:rPr>
        <w:footnoteReference w:id="18766"/>
      </w:r>
      <w:r>
        <w:t xml:space="preserve"> on us abundantly through Jesus Christ our Savior;</w:t>
      </w:r>
    </w:p>
    <w:p>
      <w:r>
        <w:rPr>
          <w:b/>
        </w:rPr>
        <w:t xml:space="preserve">7 </w:t>
      </w:r>
      <w:r>
        <w:t xml:space="preserve">That being justified by his grace, we should be made</w:t>
      </w:r>
      <w:r>
        <w:rPr>
          <w:rStyle w:val="FootnoteReference"/>
        </w:rPr>
        <w:footnoteReference w:id="18767"/>
      </w:r>
      <w:r>
        <w:t xml:space="preserve"> heirs according to the hope of eternal life.</w:t>
      </w:r>
    </w:p>
    <w:p>
      <w:r>
        <w:rPr>
          <w:b/>
        </w:rPr>
        <w:t xml:space="preserve">8 </w:t>
      </w:r>
      <w:r>
        <w:t xml:space="preserve">This is a faithful</w:t>
      </w:r>
      <w:r>
        <w:rPr>
          <w:rStyle w:val="FootnoteReference"/>
        </w:rPr>
        <w:footnoteReference w:id="18768"/>
      </w:r>
      <w:r>
        <w:t xml:space="preserve"> saying, and these things I will that you affirm constantly, that those who have believed in God might be careful to maintain good works. These things are good and profitable to men.</w:t>
      </w:r>
    </w:p>
    <w:p>
      <w:r>
        <w:rPr>
          <w:b/>
        </w:rPr>
        <w:t xml:space="preserve">9 </w:t>
      </w:r>
      <w:r>
        <w:t xml:space="preserve">But avoid</w:t>
      </w:r>
      <w:r>
        <w:rPr>
          <w:rStyle w:val="FootnoteReference"/>
        </w:rPr>
        <w:footnoteReference w:id="18769"/>
      </w:r>
      <w:r>
        <w:t xml:space="preserve"> foolish questions, and genealogies, and contentions, and fights about the law; for they are unprofitable and vain.</w:t>
      </w:r>
    </w:p>
    <w:p>
      <w:r>
        <w:rPr>
          <w:b/>
        </w:rPr>
        <w:t xml:space="preserve">10 </w:t>
      </w:r>
      <w:r>
        <w:t xml:space="preserve">A man that is a heretic</w:t>
      </w:r>
      <w:r>
        <w:rPr>
          <w:rStyle w:val="FootnoteReference"/>
        </w:rPr>
        <w:footnoteReference w:id="18770"/>
      </w:r>
      <w:r>
        <w:t xml:space="preserve"> after the first and second admonition reject;</w:t>
      </w:r>
    </w:p>
    <w:p>
      <w:r>
        <w:rPr>
          <w:b/>
        </w:rPr>
        <w:t xml:space="preserve">11 </w:t>
      </w:r>
      <w:r>
        <w:t xml:space="preserve">Knowing that the one who is such is subverted</w:t>
      </w:r>
      <w:r>
        <w:rPr>
          <w:rStyle w:val="FootnoteReference"/>
        </w:rPr>
        <w:footnoteReference w:id="18771"/>
      </w:r>
      <w:r>
        <w:t xml:space="preserve">, and sins, being condemned of himself.</w:t>
      </w:r>
    </w:p>
    <w:p>
      <w:r>
        <w:rPr>
          <w:b/>
        </w:rPr>
        <w:t xml:space="preserve">12 </w:t>
      </w:r>
      <w:r>
        <w:t xml:space="preserve">When I shall send Artemas</w:t>
      </w:r>
      <w:r>
        <w:rPr>
          <w:rStyle w:val="FootnoteReference"/>
        </w:rPr>
        <w:footnoteReference w:id="18772"/>
      </w:r>
      <w:r>
        <w:t xml:space="preserve"> to you, or Tychicus</w:t>
      </w:r>
      <w:r>
        <w:rPr>
          <w:rStyle w:val="FootnoteReference"/>
        </w:rPr>
        <w:footnoteReference w:id="18773"/>
      </w:r>
      <w:r>
        <w:t xml:space="preserve">, be diligent to come to me to Nicopolis</w:t>
      </w:r>
      <w:r>
        <w:rPr>
          <w:rStyle w:val="FootnoteReference"/>
        </w:rPr>
        <w:footnoteReference w:id="18774"/>
      </w:r>
      <w:r>
        <w:t xml:space="preserve">: for I have determined there to winter.</w:t>
      </w:r>
    </w:p>
    <w:p>
      <w:r>
        <w:rPr>
          <w:b/>
        </w:rPr>
        <w:t xml:space="preserve">13 </w:t>
      </w:r>
      <w:r>
        <w:t xml:space="preserve">Bring Zenas</w:t>
      </w:r>
      <w:r>
        <w:rPr>
          <w:rStyle w:val="FootnoteReference"/>
        </w:rPr>
        <w:footnoteReference w:id="18775"/>
      </w:r>
      <w:r>
        <w:t xml:space="preserve"> the lawyer</w:t>
      </w:r>
      <w:r>
        <w:rPr>
          <w:rStyle w:val="FootnoteReference"/>
        </w:rPr>
        <w:footnoteReference w:id="18776"/>
      </w:r>
      <w:r>
        <w:t xml:space="preserve"> and Apollos on their journey diligently, that nothing be lacking to them.</w:t>
      </w:r>
    </w:p>
    <w:p>
      <w:r>
        <w:rPr>
          <w:b/>
        </w:rPr>
        <w:t xml:space="preserve">14 </w:t>
      </w:r>
      <w:r>
        <w:t xml:space="preserve">And let ours also learn</w:t>
      </w:r>
      <w:r>
        <w:rPr>
          <w:rStyle w:val="FootnoteReference"/>
        </w:rPr>
        <w:footnoteReference w:id="18777"/>
      </w:r>
      <w:r>
        <w:t xml:space="preserve"> to maintain good works for necessary uses, that they may not be unfruitful.</w:t>
      </w:r>
    </w:p>
    <w:p>
      <w:r>
        <w:rPr>
          <w:b/>
        </w:rPr>
        <w:t xml:space="preserve">15 </w:t>
      </w:r>
      <w:r>
        <w:t xml:space="preserve">All that are with me</w:t>
      </w:r>
      <w:r>
        <w:rPr>
          <w:rStyle w:val="FootnoteReference"/>
        </w:rPr>
        <w:footnoteReference w:id="18778"/>
      </w:r>
      <w:r>
        <w:t xml:space="preserve"> salute you. Greet those who love us in the faith. Grace be with you all. Amen.</w:t>
      </w:r>
    </w:p>
    <w:p>
      <w:r>
        <w:br w:type="page"/>
      </w:r>
    </w:p>
    <w:p>
      <w:pPr>
        <w:pStyle w:val="Heading1"/>
      </w:pPr>
      <w:r>
        <w:t xml:space="preserve">Philemon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Paul, a prisoner</w:t>
      </w:r>
      <w:r>
        <w:rPr>
          <w:rStyle w:val="FootnoteReference"/>
        </w:rPr>
        <w:footnoteReference w:id="18779"/>
      </w:r>
      <w:r>
        <w:t xml:space="preserve"> of Jesus Christ, and Timothy our brother, to Philemon</w:t>
      </w:r>
      <w:r>
        <w:rPr>
          <w:rStyle w:val="FootnoteReference"/>
        </w:rPr>
        <w:footnoteReference w:id="18780"/>
      </w:r>
      <w:r>
        <w:t xml:space="preserve"> our dearly beloved, and fellow laborer,</w:t>
      </w:r>
    </w:p>
    <w:p>
      <w:r>
        <w:rPr>
          <w:b/>
        </w:rPr>
        <w:t xml:space="preserve">2 </w:t>
      </w:r>
      <w:r>
        <w:t xml:space="preserve">And to our beloved Apphia</w:t>
      </w:r>
      <w:r>
        <w:rPr>
          <w:rStyle w:val="FootnoteReference"/>
        </w:rPr>
        <w:footnoteReference w:id="18781"/>
      </w:r>
      <w:r>
        <w:t xml:space="preserve">, and Archippus</w:t>
      </w:r>
      <w:r>
        <w:rPr>
          <w:rStyle w:val="FootnoteReference"/>
        </w:rPr>
        <w:footnoteReference w:id="18782"/>
      </w:r>
      <w:r>
        <w:t xml:space="preserve"> our fellow soldier, and to the assembly in your house:</w:t>
      </w:r>
      <w:r>
        <w:rPr>
          <w:rStyle w:val="FootnoteReference"/>
        </w:rPr>
        <w:footnoteReference w:id="18783"/>
      </w:r>
    </w:p>
    <w:p>
      <w:r>
        <w:rPr>
          <w:b/>
        </w:rPr>
        <w:t xml:space="preserve">3 </w:t>
      </w:r>
      <w:r>
        <w:t xml:space="preserve">Grace to you, and peace, from God our Father and the Lord Jesus Christ.</w:t>
      </w:r>
    </w:p>
    <w:p>
      <w:r>
        <w:rPr>
          <w:b/>
        </w:rPr>
        <w:t xml:space="preserve">4 </w:t>
      </w:r>
      <w:r>
        <w:t xml:space="preserve">I thank my God, always making mention of you in my prayers,</w:t>
      </w:r>
    </w:p>
    <w:p>
      <w:r>
        <w:rPr>
          <w:b/>
        </w:rPr>
        <w:t xml:space="preserve">5 </w:t>
      </w:r>
      <w:r>
        <w:t xml:space="preserve">Hearing</w:t>
      </w:r>
      <w:r>
        <w:rPr>
          <w:rStyle w:val="FootnoteReference"/>
        </w:rPr>
        <w:footnoteReference w:id="18784"/>
      </w:r>
      <w:r>
        <w:t xml:space="preserve"> of your love and faith, which you have toward the Lord Jesus, and toward all holy ones;</w:t>
      </w:r>
    </w:p>
    <w:p>
      <w:r>
        <w:rPr>
          <w:b/>
        </w:rPr>
        <w:t xml:space="preserve">6 </w:t>
      </w:r>
      <w:r>
        <w:t xml:space="preserve">that the fellowship of your faith may become effective in the knowledge of every good thing which is in you</w:t>
      </w:r>
      <w:r>
        <w:rPr>
          <w:rStyle w:val="FootnoteReference"/>
        </w:rPr>
        <w:footnoteReference w:id="18785"/>
      </w:r>
      <w:r>
        <w:t xml:space="preserve"> toward Christ Jesus.</w:t>
      </w:r>
    </w:p>
    <w:p>
      <w:r>
        <w:rPr>
          <w:b/>
        </w:rPr>
        <w:t xml:space="preserve">7 </w:t>
      </w:r>
      <w:r>
        <w:t xml:space="preserve">For we have great joy</w:t>
      </w:r>
      <w:r>
        <w:rPr>
          <w:rStyle w:val="FootnoteReference"/>
        </w:rPr>
        <w:footnoteReference w:id="18786"/>
      </w:r>
      <w:r>
        <w:t xml:space="preserve"> and consolation in your love, because the inward parts of the holy ones are refreshed by you, brother.</w:t>
      </w:r>
    </w:p>
    <w:p>
      <w:r>
        <w:rPr>
          <w:b/>
        </w:rPr>
        <w:t xml:space="preserve">8 </w:t>
      </w:r>
      <w:r>
        <w:t xml:space="preserve">Therefore, though I might be much bold</w:t>
      </w:r>
      <w:r>
        <w:rPr>
          <w:rStyle w:val="FootnoteReference"/>
        </w:rPr>
        <w:footnoteReference w:id="18787"/>
      </w:r>
      <w:r>
        <w:t xml:space="preserve"> in Christ to admonish you that which is convenient,</w:t>
      </w:r>
    </w:p>
    <w:p>
      <w:r>
        <w:rPr>
          <w:b/>
        </w:rPr>
        <w:t xml:space="preserve">9 </w:t>
      </w:r>
      <w:r>
        <w:t xml:space="preserve">Yet for love's sake</w:t>
      </w:r>
      <w:r>
        <w:rPr>
          <w:rStyle w:val="FootnoteReference"/>
        </w:rPr>
        <w:footnoteReference w:id="18788"/>
      </w:r>
      <w:r>
        <w:t xml:space="preserve"> I rather plead to you, being such a one as Paul the aged, and now also a prisoner of Jesus Christ.</w:t>
      </w:r>
    </w:p>
    <w:p>
      <w:r>
        <w:rPr>
          <w:b/>
        </w:rPr>
        <w:t xml:space="preserve">10 </w:t>
      </w:r>
      <w:r>
        <w:t xml:space="preserve">I plead with you concerning my child Onesimus</w:t>
      </w:r>
      <w:r>
        <w:rPr>
          <w:rStyle w:val="FootnoteReference"/>
        </w:rPr>
        <w:footnoteReference w:id="18789"/>
      </w:r>
      <w:r>
        <w:t xml:space="preserve">, whom I begot in my bonds:</w:t>
      </w:r>
    </w:p>
    <w:p>
      <w:r>
        <w:rPr>
          <w:b/>
        </w:rPr>
        <w:t xml:space="preserve">11 </w:t>
      </w:r>
      <w:r>
        <w:t xml:space="preserve">who once was useless to you, but now useful to you and to me:</w:t>
      </w:r>
    </w:p>
    <w:p>
      <w:r>
        <w:rPr>
          <w:b/>
        </w:rPr>
        <w:t xml:space="preserve">12 </w:t>
      </w:r>
      <w:r>
        <w:t xml:space="preserve">Whom I have sent again: you therefore receive him, that is, my own inward parts:</w:t>
      </w:r>
    </w:p>
    <w:p>
      <w:r>
        <w:rPr>
          <w:b/>
        </w:rPr>
        <w:t xml:space="preserve">13 </w:t>
      </w:r>
      <w:r>
        <w:t xml:space="preserve">Whom I would have retained with me, that in your position he might have ministered to me in the bonds</w:t>
      </w:r>
      <w:r>
        <w:rPr>
          <w:rStyle w:val="FootnoteReference"/>
        </w:rPr>
        <w:footnoteReference w:id="18790"/>
      </w:r>
      <w:r>
        <w:t xml:space="preserve"> of the good news:</w:t>
      </w:r>
    </w:p>
    <w:p>
      <w:r>
        <w:rPr>
          <w:b/>
        </w:rPr>
        <w:t xml:space="preserve">14 </w:t>
      </w:r>
      <w:r>
        <w:t xml:space="preserve">But without your consent I wished to do nothing; that your good might not be as by necessity, but willingly.</w:t>
      </w:r>
    </w:p>
    <w:p>
      <w:r>
        <w:rPr>
          <w:b/>
        </w:rPr>
        <w:t xml:space="preserve">15 </w:t>
      </w:r>
      <w:r>
        <w:t xml:space="preserve">For perhaps he therefore departed for a season, that you should receive him forever;</w:t>
      </w:r>
    </w:p>
    <w:p>
      <w:r>
        <w:rPr>
          <w:b/>
        </w:rPr>
        <w:t xml:space="preserve">16 </w:t>
      </w:r>
      <w:r>
        <w:t xml:space="preserve">Not now as a slave, but above a slave, a brother</w:t>
      </w:r>
      <w:r>
        <w:rPr>
          <w:rStyle w:val="FootnoteReference"/>
        </w:rPr>
        <w:footnoteReference w:id="18791"/>
      </w:r>
      <w:r>
        <w:t xml:space="preserve"> beloved, specially to me, but how much more to you, both in the flesh, and in the Lord?</w:t>
      </w:r>
    </w:p>
    <w:p>
      <w:r>
        <w:rPr>
          <w:b/>
        </w:rPr>
        <w:t xml:space="preserve">17 </w:t>
      </w:r>
      <w:r>
        <w:t xml:space="preserve">If therefore you have me as a partner, receive</w:t>
      </w:r>
      <w:r>
        <w:rPr>
          <w:rStyle w:val="FootnoteReference"/>
        </w:rPr>
        <w:footnoteReference w:id="18792"/>
      </w:r>
      <w:r>
        <w:t xml:space="preserve"> him as me.</w:t>
      </w:r>
    </w:p>
    <w:p>
      <w:r>
        <w:rPr>
          <w:b/>
        </w:rPr>
        <w:t xml:space="preserve">18 </w:t>
      </w:r>
      <w:r>
        <w:t xml:space="preserve">If he has wronged you, or owes you anything, put that</w:t>
      </w:r>
      <w:r>
        <w:rPr>
          <w:rStyle w:val="FootnoteReference"/>
        </w:rPr>
        <w:footnoteReference w:id="18793"/>
      </w:r>
      <w:r>
        <w:t xml:space="preserve"> on my account;</w:t>
      </w:r>
    </w:p>
    <w:p>
      <w:r>
        <w:rPr>
          <w:b/>
        </w:rPr>
        <w:t xml:space="preserve">19 </w:t>
      </w:r>
      <w:r>
        <w:t xml:space="preserve">I Paul</w:t>
      </w:r>
      <w:r>
        <w:rPr>
          <w:rStyle w:val="FootnoteReference"/>
        </w:rPr>
        <w:footnoteReference w:id="18794"/>
      </w:r>
      <w:r>
        <w:t xml:space="preserve"> have written it with my own hand, I will repay it: although it be I do not say to you how you owe to me even your own self besides.</w:t>
      </w:r>
    </w:p>
    <w:p>
      <w:r>
        <w:rPr>
          <w:b/>
        </w:rPr>
        <w:t xml:space="preserve">20 </w:t>
      </w:r>
      <w:r>
        <w:t xml:space="preserve">Yes, brother, let me</w:t>
      </w:r>
      <w:r>
        <w:rPr>
          <w:rStyle w:val="FootnoteReference"/>
        </w:rPr>
        <w:footnoteReference w:id="18795"/>
      </w:r>
      <w:r>
        <w:t xml:space="preserve"> have joy of you in the Lord: refresh my inward parts in the Lord.</w:t>
      </w:r>
    </w:p>
    <w:p>
      <w:r>
        <w:rPr>
          <w:b/>
        </w:rPr>
        <w:t xml:space="preserve">21 </w:t>
      </w:r>
      <w:r>
        <w:t xml:space="preserve">Having confidence in your obedience I wrote to you, knowing that you will also do more than I say.</w:t>
      </w:r>
    </w:p>
    <w:p>
      <w:r>
        <w:rPr>
          <w:b/>
        </w:rPr>
        <w:t xml:space="preserve">22 </w:t>
      </w:r>
      <w:r>
        <w:t xml:space="preserve">But likewise prepare</w:t>
      </w:r>
      <w:r>
        <w:rPr>
          <w:rStyle w:val="FootnoteReference"/>
        </w:rPr>
        <w:footnoteReference w:id="18796"/>
      </w:r>
      <w:r>
        <w:t xml:space="preserve"> me also a lodging: for I trust that through your prayers I shall be given to you.</w:t>
      </w:r>
    </w:p>
    <w:p>
      <w:r>
        <w:rPr>
          <w:b/>
        </w:rPr>
        <w:t xml:space="preserve">23 </w:t>
      </w:r>
      <w:r>
        <w:t xml:space="preserve">Epaphras</w:t>
      </w:r>
      <w:r>
        <w:rPr>
          <w:rStyle w:val="FootnoteReference"/>
        </w:rPr>
        <w:footnoteReference w:id="18797"/>
      </w:r>
      <w:r>
        <w:t xml:space="preserve">, my fellow-prisoner in Christ Jesus, greets you;</w:t>
      </w:r>
    </w:p>
    <w:p>
      <w:r>
        <w:rPr>
          <w:b/>
        </w:rPr>
        <w:t xml:space="preserve">24 </w:t>
      </w:r>
      <w:r>
        <w:t xml:space="preserve">Mark, Aristarchus</w:t>
      </w:r>
      <w:r>
        <w:rPr>
          <w:rStyle w:val="FootnoteReference"/>
        </w:rPr>
        <w:footnoteReference w:id="18798"/>
      </w:r>
      <w:r>
        <w:t xml:space="preserve">, Demas, Luke</w:t>
      </w:r>
      <w:r>
        <w:rPr>
          <w:rStyle w:val="FootnoteReference"/>
        </w:rPr>
        <w:footnoteReference w:id="18799"/>
      </w:r>
      <w:r>
        <w:t xml:space="preserve">, my fellow laborers.</w:t>
      </w:r>
    </w:p>
    <w:p>
      <w:r>
        <w:rPr>
          <w:b/>
        </w:rPr>
        <w:t xml:space="preserve">25 </w:t>
      </w:r>
      <w:r>
        <w:t xml:space="preserve">The grace</w:t>
      </w:r>
      <w:r>
        <w:rPr>
          <w:rStyle w:val="FootnoteReference"/>
        </w:rPr>
        <w:footnoteReference w:id="18800"/>
      </w:r>
      <w:r>
        <w:t xml:space="preserve"> of our Lord Jesus Christ be with your spirit. Amen.</w:t>
      </w:r>
    </w:p>
    <w:p>
      <w:r>
        <w:br w:type="page"/>
      </w:r>
    </w:p>
    <w:p>
      <w:pPr>
        <w:pStyle w:val="Heading1"/>
      </w:pPr>
      <w:r>
        <w:t xml:space="preserve">Hebrews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God, who in many portions and in many ways spoke in time past to the fathers</w:t>
      </w:r>
      <w:r>
        <w:rPr>
          <w:rStyle w:val="FootnoteReference"/>
        </w:rPr>
        <w:footnoteReference w:id="18801"/>
      </w:r>
      <w:r>
        <w:t xml:space="preserve"> by the prophets,</w:t>
      </w:r>
    </w:p>
    <w:p>
      <w:r>
        <w:rPr>
          <w:b/>
        </w:rPr>
        <w:t xml:space="preserve">2 </w:t>
      </w:r>
      <w:r>
        <w:t xml:space="preserve">Has in these last days spoken</w:t>
      </w:r>
      <w:r>
        <w:rPr>
          <w:rStyle w:val="FootnoteReference"/>
        </w:rPr>
        <w:footnoteReference w:id="18802"/>
      </w:r>
      <w:r>
        <w:t xml:space="preserve"> to us by his Son, whom he has appointed heir of all things, by whom also he made the worlds;</w:t>
      </w:r>
    </w:p>
    <w:p>
      <w:r>
        <w:rPr>
          <w:b/>
        </w:rPr>
        <w:t xml:space="preserve">3 </w:t>
      </w:r>
      <w:r>
        <w:t xml:space="preserve">Who being the brightness</w:t>
      </w:r>
      <w:r>
        <w:rPr>
          <w:rStyle w:val="FootnoteReference"/>
        </w:rPr>
        <w:footnoteReference w:id="18803"/>
      </w:r>
      <w:r>
        <w:t xml:space="preserve"> of his glory, and the express image of his person, and upholding all things by the word of his power, when he had by himself purged our sins, sat down on the right hand of the Majesty</w:t>
      </w:r>
      <w:r>
        <w:rPr>
          <w:rStyle w:val="FootnoteReference"/>
        </w:rPr>
        <w:footnoteReference w:id="18804"/>
      </w:r>
      <w:r>
        <w:t xml:space="preserve"> on high:</w:t>
      </w:r>
    </w:p>
    <w:p>
      <w:r>
        <w:rPr>
          <w:b/>
        </w:rPr>
        <w:t xml:space="preserve">4 </w:t>
      </w:r>
      <w:r>
        <w:t xml:space="preserve">having become so much better than the angels, as he has inherited a more excellent name than they.</w:t>
      </w:r>
    </w:p>
    <w:p>
      <w:r>
        <w:rPr>
          <w:b/>
        </w:rPr>
        <w:t xml:space="preserve">5 </w:t>
      </w:r>
      <w:r>
        <w:t xml:space="preserve">For to which of the angels said he at any time, You are my Son, this day have I begotten you? And again, I will be to him a Father, and he shall be to me a Son?</w:t>
      </w:r>
    </w:p>
    <w:p>
      <w:r>
        <w:rPr>
          <w:b/>
        </w:rPr>
        <w:t xml:space="preserve">6 </w:t>
      </w:r>
      <w:r>
        <w:t xml:space="preserve">And again</w:t>
      </w:r>
      <w:r>
        <w:rPr>
          <w:rStyle w:val="FootnoteReference"/>
        </w:rPr>
        <w:footnoteReference w:id="18805"/>
      </w:r>
      <w:r>
        <w:t xml:space="preserve">, when he brings the firstborn into the inhabited world, he says, And let all the angels of God worship him.</w:t>
      </w:r>
    </w:p>
    <w:p>
      <w:r>
        <w:rPr>
          <w:b/>
        </w:rPr>
        <w:t xml:space="preserve">7 </w:t>
      </w:r>
      <w:r>
        <w:t xml:space="preserve">And of the angels he says, Who makes his angels spirits, and his ministers a flame of fire.</w:t>
      </w:r>
    </w:p>
    <w:p>
      <w:r>
        <w:rPr>
          <w:b/>
        </w:rPr>
        <w:t xml:space="preserve">8 </w:t>
      </w:r>
      <w:r>
        <w:t xml:space="preserve">But to the Son he says, Your throne, O God</w:t>
      </w:r>
      <w:r>
        <w:rPr>
          <w:rStyle w:val="FootnoteReference"/>
        </w:rPr>
        <w:footnoteReference w:id="18806"/>
      </w:r>
      <w:r>
        <w:t xml:space="preserve">, is forever and ever: a sceptre of righteousness is the sceptre of your kingdom.</w:t>
      </w:r>
    </w:p>
    <w:p>
      <w:r>
        <w:rPr>
          <w:b/>
        </w:rPr>
        <w:t xml:space="preserve">9 </w:t>
      </w:r>
      <w:r>
        <w:t xml:space="preserve">You have loved</w:t>
      </w:r>
      <w:r>
        <w:rPr>
          <w:rStyle w:val="FootnoteReference"/>
        </w:rPr>
        <w:footnoteReference w:id="18807"/>
      </w:r>
      <w:r>
        <w:t xml:space="preserve"> righteousness, and hated lawlessness; because of this God, your God, has anointed you with the oil of gladness beyond your companions.</w:t>
      </w:r>
    </w:p>
    <w:p>
      <w:r>
        <w:rPr>
          <w:b/>
        </w:rPr>
        <w:t xml:space="preserve">10 </w:t>
      </w:r>
      <w:r>
        <w:t xml:space="preserve">And, You, Lord, in the beginning have laid the foundation of the earth; and the heavens are the works</w:t>
      </w:r>
      <w:r>
        <w:rPr>
          <w:rStyle w:val="FootnoteReference"/>
        </w:rPr>
        <w:footnoteReference w:id="18808"/>
      </w:r>
      <w:r>
        <w:t xml:space="preserve"> of your hands:</w:t>
      </w:r>
    </w:p>
    <w:p>
      <w:r>
        <w:rPr>
          <w:b/>
        </w:rPr>
        <w:t xml:space="preserve">11 </w:t>
      </w:r>
      <w:r>
        <w:t xml:space="preserve">They shall perish</w:t>
      </w:r>
      <w:r>
        <w:rPr>
          <w:rStyle w:val="FootnoteReference"/>
        </w:rPr>
        <w:footnoteReference w:id="18809"/>
      </w:r>
      <w:r>
        <w:t xml:space="preserve">; but you remain; and they all shall wax old as does a clothing;</w:t>
      </w:r>
    </w:p>
    <w:p>
      <w:r>
        <w:rPr>
          <w:b/>
        </w:rPr>
        <w:t xml:space="preserve">12 </w:t>
      </w:r>
      <w:r>
        <w:t xml:space="preserve">And as a mantle you shall roll them up, and they shall be changed: but you are the same, and your years shall not fail.</w:t>
      </w:r>
    </w:p>
    <w:p>
      <w:r>
        <w:rPr>
          <w:b/>
        </w:rPr>
        <w:t xml:space="preserve">13 </w:t>
      </w:r>
      <w:r>
        <w:t xml:space="preserve">But to which of the angels said he at any time, Sit on my right hand, until I make your enemies your footstool?</w:t>
      </w:r>
    </w:p>
    <w:p>
      <w:r>
        <w:rPr>
          <w:b/>
        </w:rPr>
        <w:t xml:space="preserve">14 </w:t>
      </w:r>
      <w:r>
        <w:t xml:space="preserve">Are they not all ministering</w:t>
      </w:r>
      <w:r>
        <w:rPr>
          <w:rStyle w:val="FootnoteReference"/>
        </w:rPr>
        <w:footnoteReference w:id="18810"/>
      </w:r>
      <w:r>
        <w:t xml:space="preserve"> spirits, sent forth to minister for them who shall be heirs of salvation?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Therefore</w:t>
      </w:r>
      <w:r>
        <w:rPr>
          <w:rStyle w:val="FootnoteReference"/>
        </w:rPr>
        <w:footnoteReference w:id="18811"/>
      </w:r>
      <w:r>
        <w:t xml:space="preserve"> we ought to give the more earnest heed to the things which we have heard, lest at any time we should let them slip.</w:t>
      </w:r>
    </w:p>
    <w:p>
      <w:r>
        <w:rPr>
          <w:b/>
        </w:rPr>
        <w:t xml:space="preserve">2 </w:t>
      </w:r>
      <w:r>
        <w:t xml:space="preserve">For if the word spoken</w:t>
      </w:r>
      <w:r>
        <w:rPr>
          <w:rStyle w:val="FootnoteReference"/>
        </w:rPr>
        <w:footnoteReference w:id="18812"/>
      </w:r>
      <w:r>
        <w:t xml:space="preserve"> by angels was steadfast, and every transgression and disobedience received a just recompense of reward;</w:t>
      </w:r>
    </w:p>
    <w:p>
      <w:r>
        <w:rPr>
          <w:b/>
        </w:rPr>
        <w:t xml:space="preserve">3 </w:t>
      </w:r>
      <w:r>
        <w:t xml:space="preserve">How shall we escape, if we neglect so great salvation; which at the first began</w:t>
      </w:r>
      <w:r>
        <w:rPr>
          <w:rStyle w:val="FootnoteReference"/>
        </w:rPr>
        <w:footnoteReference w:id="18813"/>
      </w:r>
      <w:r>
        <w:t xml:space="preserve"> to be spoken by the Lord, and was confirmed to us by those who heard him;</w:t>
      </w:r>
    </w:p>
    <w:p>
      <w:r>
        <w:rPr>
          <w:b/>
        </w:rPr>
        <w:t xml:space="preserve">4 </w:t>
      </w:r>
      <w:r>
        <w:t xml:space="preserve">God also bearing them witness, both with signs and wonders, and with various miracles, and gifts</w:t>
      </w:r>
      <w:r>
        <w:rPr>
          <w:rStyle w:val="FootnoteReference"/>
        </w:rPr>
        <w:footnoteReference w:id="18814"/>
      </w:r>
      <w:r>
        <w:t xml:space="preserve"> of the Holy Spirit, according to his own will?</w:t>
      </w:r>
    </w:p>
    <w:p>
      <w:r>
        <w:rPr>
          <w:b/>
        </w:rPr>
        <w:t xml:space="preserve">5 </w:t>
      </w:r>
      <w:r>
        <w:t xml:space="preserve">For to the angels has he not put in subjection the world</w:t>
      </w:r>
      <w:r>
        <w:rPr>
          <w:rStyle w:val="FootnoteReference"/>
        </w:rPr>
        <w:footnoteReference w:id="18815"/>
      </w:r>
      <w:r>
        <w:t xml:space="preserve"> to come, of which we speak.</w:t>
      </w:r>
    </w:p>
    <w:p>
      <w:r>
        <w:rPr>
          <w:b/>
        </w:rPr>
        <w:t xml:space="preserve">6 </w:t>
      </w:r>
      <w:r>
        <w:t xml:space="preserve">But someone somewhere testified, saying, What is man, that you are mindful of him? or the son</w:t>
      </w:r>
      <w:r>
        <w:rPr>
          <w:rStyle w:val="FootnoteReference"/>
        </w:rPr>
        <w:footnoteReference w:id="18816"/>
      </w:r>
      <w:r>
        <w:t xml:space="preserve"> of man, that you visit him?</w:t>
      </w:r>
    </w:p>
    <w:p>
      <w:r>
        <w:rPr>
          <w:b/>
        </w:rPr>
        <w:t xml:space="preserve">7 </w:t>
      </w:r>
      <w:r>
        <w:t xml:space="preserve">You made him a little lower than the angels; you crowned him with glory and honor, and did set him over the works of your hands:</w:t>
      </w:r>
    </w:p>
    <w:p>
      <w:r>
        <w:rPr>
          <w:b/>
        </w:rPr>
        <w:t xml:space="preserve">8 </w:t>
      </w:r>
      <w:r>
        <w:t xml:space="preserve">You subjected all things under his feet. For in subjecting all things to him, he left nothing unsubjected to him. But now we do not yet see all things subjected to him.</w:t>
      </w:r>
    </w:p>
    <w:p>
      <w:r>
        <w:rPr>
          <w:b/>
        </w:rPr>
        <w:t xml:space="preserve">9 </w:t>
      </w:r>
      <w:r>
        <w:t xml:space="preserve">But we see Jesus</w:t>
      </w:r>
      <w:r>
        <w:rPr>
          <w:rStyle w:val="FootnoteReference"/>
        </w:rPr>
        <w:footnoteReference w:id="18817"/>
      </w:r>
      <w:r>
        <w:t xml:space="preserve">, who was made a little lower than the angels for the suffering of death, crowned with glory and honor; that he by the grace of God should taste death for every man.</w:t>
      </w:r>
    </w:p>
    <w:p>
      <w:r>
        <w:rPr>
          <w:b/>
        </w:rPr>
        <w:t xml:space="preserve">10 </w:t>
      </w:r>
      <w:r>
        <w:t xml:space="preserve">For it became him, for whom are all things, and by whom are all things, in bringing many sons to glory</w:t>
      </w:r>
      <w:r>
        <w:rPr>
          <w:rStyle w:val="FootnoteReference"/>
        </w:rPr>
        <w:footnoteReference w:id="18818"/>
      </w:r>
      <w:r>
        <w:t xml:space="preserve">, to make the captain of their salvation perfect through sufferings.</w:t>
      </w:r>
    </w:p>
    <w:p>
      <w:r>
        <w:rPr>
          <w:b/>
        </w:rPr>
        <w:t xml:space="preserve">11 </w:t>
      </w:r>
      <w:r>
        <w:t xml:space="preserve">For both the one who sanctifies and they who are sanctified are all of one: for this reason he is not ashamed to call</w:t>
      </w:r>
      <w:r>
        <w:rPr>
          <w:rStyle w:val="FootnoteReference"/>
        </w:rPr>
        <w:footnoteReference w:id="18819"/>
      </w:r>
      <w:r>
        <w:t xml:space="preserve"> them brothers,</w:t>
      </w:r>
    </w:p>
    <w:p>
      <w:r>
        <w:rPr>
          <w:b/>
        </w:rPr>
        <w:t xml:space="preserve">12 </w:t>
      </w:r>
      <w:r>
        <w:t xml:space="preserve">Saying, I will declare your name to my brothers, in the midst of the assembly will I sing praise to you.</w:t>
      </w:r>
    </w:p>
    <w:p>
      <w:r>
        <w:rPr>
          <w:b/>
        </w:rPr>
        <w:t xml:space="preserve">13 </w:t>
      </w:r>
      <w:r>
        <w:t xml:space="preserve">And again, I will put my trust in him. And again, Look I and the children who God has given me.</w:t>
      </w:r>
    </w:p>
    <w:p>
      <w:r>
        <w:rPr>
          <w:b/>
        </w:rPr>
        <w:t xml:space="preserve">14 </w:t>
      </w:r>
      <w:r>
        <w:t xml:space="preserve">Since then the children</w:t>
      </w:r>
      <w:r>
        <w:rPr>
          <w:rStyle w:val="FootnoteReference"/>
        </w:rPr>
        <w:footnoteReference w:id="18820"/>
      </w:r>
      <w:r>
        <w:t xml:space="preserve"> are partakers of flesh and blood, he also himself likewise took part of the same; that through death he might destroy him who had the power of death, that is, the devil;</w:t>
      </w:r>
    </w:p>
    <w:p>
      <w:r>
        <w:rPr>
          <w:b/>
        </w:rPr>
        <w:t xml:space="preserve">15 </w:t>
      </w:r>
      <w:r>
        <w:t xml:space="preserve">and deliver</w:t>
      </w:r>
      <w:r>
        <w:rPr>
          <w:rStyle w:val="FootnoteReference"/>
        </w:rPr>
        <w:footnoteReference w:id="18821"/>
      </w:r>
      <w:r>
        <w:t xml:space="preserve"> those who through fear of death were all their life subject to slavery.</w:t>
      </w:r>
    </w:p>
    <w:p>
      <w:r>
        <w:rPr>
          <w:b/>
        </w:rPr>
        <w:t xml:space="preserve">16 </w:t>
      </w:r>
      <w:r>
        <w:t xml:space="preserve">For truly he took not on him the nature of angels; but he took on him the seed</w:t>
      </w:r>
      <w:r>
        <w:rPr>
          <w:rStyle w:val="FootnoteReference"/>
        </w:rPr>
        <w:footnoteReference w:id="18822"/>
      </w:r>
      <w:r>
        <w:t xml:space="preserve"> of Abraham.</w:t>
      </w:r>
    </w:p>
    <w:p>
      <w:r>
        <w:rPr>
          <w:b/>
        </w:rPr>
        <w:t xml:space="preserve">17 </w:t>
      </w:r>
      <w:r>
        <w:t xml:space="preserve">Therefore in all things it was essential for him to be made like to his brothers, that he might be a merciful</w:t>
      </w:r>
      <w:r>
        <w:rPr>
          <w:rStyle w:val="FootnoteReference"/>
        </w:rPr>
        <w:footnoteReference w:id="18823"/>
      </w:r>
      <w:r>
        <w:t xml:space="preserve"> and faithful high priest in things pertaining to God, to make reconciliation for the sins of the people.</w:t>
      </w:r>
    </w:p>
    <w:p>
      <w:r>
        <w:rPr>
          <w:b/>
        </w:rPr>
        <w:t xml:space="preserve">18 </w:t>
      </w:r>
      <w:r>
        <w:t xml:space="preserve">For in that he himself has suffered</w:t>
      </w:r>
      <w:r>
        <w:rPr>
          <w:rStyle w:val="FootnoteReference"/>
        </w:rPr>
        <w:footnoteReference w:id="18824"/>
      </w:r>
      <w:r>
        <w:t xml:space="preserve"> being tempted, he is able to help those who are tempted.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Therefore, holy</w:t>
      </w:r>
      <w:r>
        <w:rPr>
          <w:rStyle w:val="FootnoteReference"/>
        </w:rPr>
        <w:footnoteReference w:id="18825"/>
      </w:r>
      <w:r>
        <w:t xml:space="preserve"> brothers, partakers of the heavenly calling, consider the Apostle and High Priest of our confession, Christ Jesus;</w:t>
      </w:r>
    </w:p>
    <w:p>
      <w:r>
        <w:rPr>
          <w:b/>
        </w:rPr>
        <w:t xml:space="preserve">2 </w:t>
      </w:r>
      <w:r>
        <w:t xml:space="preserve">Who was faithful</w:t>
      </w:r>
      <w:r>
        <w:rPr>
          <w:rStyle w:val="FootnoteReference"/>
        </w:rPr>
        <w:footnoteReference w:id="18826"/>
      </w:r>
      <w:r>
        <w:t xml:space="preserve"> to him who appointed him, as also Moses was faithful in all his house.</w:t>
      </w:r>
    </w:p>
    <w:p>
      <w:r>
        <w:rPr>
          <w:b/>
        </w:rPr>
        <w:t xml:space="preserve">3 </w:t>
      </w:r>
      <w:r>
        <w:t xml:space="preserve">For this man was counted worthy of more glory than Moses, inasmuch as he who has built the house has more honor than the house.</w:t>
      </w:r>
    </w:p>
    <w:p>
      <w:r>
        <w:rPr>
          <w:b/>
        </w:rPr>
        <w:t xml:space="preserve">4 </w:t>
      </w:r>
      <w:r>
        <w:t xml:space="preserve">For every house is built by some man; but the one who built all things is God.</w:t>
      </w:r>
    </w:p>
    <w:p>
      <w:r>
        <w:rPr>
          <w:b/>
        </w:rPr>
        <w:t xml:space="preserve">5 </w:t>
      </w:r>
      <w:r>
        <w:t xml:space="preserve">And Moses truly was faithful</w:t>
      </w:r>
      <w:r>
        <w:rPr>
          <w:rStyle w:val="FootnoteReference"/>
        </w:rPr>
        <w:footnoteReference w:id="18827"/>
      </w:r>
      <w:r>
        <w:t xml:space="preserve"> in all his house, as a servant, for a testimony of those things which were to be spoken after;</w:t>
      </w:r>
    </w:p>
    <w:p>
      <w:r>
        <w:rPr>
          <w:b/>
        </w:rPr>
        <w:t xml:space="preserve">6 </w:t>
      </w:r>
      <w:r>
        <w:t xml:space="preserve">But Christ as a son over his own house; whose house are we, if we hold fast the confidence and the rejoicing</w:t>
      </w:r>
      <w:r>
        <w:rPr>
          <w:rStyle w:val="FootnoteReference"/>
        </w:rPr>
        <w:footnoteReference w:id="18828"/>
      </w:r>
      <w:r>
        <w:t xml:space="preserve"> of the hope firm to the end.</w:t>
      </w:r>
    </w:p>
    <w:p>
      <w:r>
        <w:rPr>
          <w:b/>
        </w:rPr>
        <w:t xml:space="preserve">7 </w:t>
      </w:r>
      <w:r>
        <w:t xml:space="preserve">Therefore (as the Holy Spirit says, today if you will hear</w:t>
      </w:r>
      <w:r>
        <w:rPr>
          <w:rStyle w:val="FootnoteReference"/>
        </w:rPr>
        <w:footnoteReference w:id="18829"/>
      </w:r>
      <w:r>
        <w:t xml:space="preserve"> his voice,</w:t>
      </w:r>
    </w:p>
    <w:p>
      <w:r>
        <w:rPr>
          <w:b/>
        </w:rPr>
        <w:t xml:space="preserve">8 </w:t>
      </w:r>
      <w:r>
        <w:t xml:space="preserve">Do not harden</w:t>
      </w:r>
      <w:r>
        <w:rPr>
          <w:rStyle w:val="FootnoteReference"/>
        </w:rPr>
        <w:footnoteReference w:id="18830"/>
      </w:r>
      <w:r>
        <w:t xml:space="preserve"> your hearts, as in the provocation, in the day of testing in the wilderness:</w:t>
      </w:r>
    </w:p>
    <w:p>
      <w:r>
        <w:rPr>
          <w:b/>
        </w:rPr>
        <w:t xml:space="preserve">9 </w:t>
      </w:r>
      <w:r>
        <w:t xml:space="preserve">where your fathers tested me, proved me, and saw my works forty</w:t>
      </w:r>
      <w:r>
        <w:rPr>
          <w:rStyle w:val="FootnoteReference"/>
        </w:rPr>
        <w:footnoteReference w:id="18831"/>
      </w:r>
      <w:r>
        <w:t xml:space="preserve"> years.</w:t>
      </w:r>
    </w:p>
    <w:p>
      <w:r>
        <w:rPr>
          <w:b/>
        </w:rPr>
        <w:t xml:space="preserve">10 </w:t>
      </w:r>
      <w:r>
        <w:t xml:space="preserve">Therefore I was</w:t>
      </w:r>
      <w:r>
        <w:rPr>
          <w:rStyle w:val="FootnoteReference"/>
        </w:rPr>
        <w:footnoteReference w:id="18832"/>
      </w:r>
      <w:r>
        <w:t xml:space="preserve"> grieved with that generation, and said, They do always go astray in their heart; and they have not known my ways.</w:t>
      </w:r>
    </w:p>
    <w:p>
      <w:r>
        <w:rPr>
          <w:b/>
        </w:rPr>
        <w:t xml:space="preserve">11 </w:t>
      </w:r>
      <w:r>
        <w:t xml:space="preserve">So I swore in my wrath, They shall not enter into my rest</w:t>
      </w:r>
      <w:r>
        <w:rPr>
          <w:rStyle w:val="FootnoteReference"/>
        </w:rPr>
        <w:footnoteReference w:id="18833"/>
      </w:r>
      <w:r>
        <w:t xml:space="preserve">.)</w:t>
      </w:r>
    </w:p>
    <w:p>
      <w:r>
        <w:rPr>
          <w:b/>
        </w:rPr>
        <w:t xml:space="preserve">12 </w:t>
      </w:r>
      <w:r>
        <w:t xml:space="preserve">Take</w:t>
      </w:r>
      <w:r>
        <w:rPr>
          <w:rStyle w:val="FootnoteReference"/>
        </w:rPr>
        <w:footnoteReference w:id="18834"/>
      </w:r>
      <w:r>
        <w:t xml:space="preserve"> heed, brothers, lest there is in any of you an evil heart of unbelief, in departing from the living God.</w:t>
      </w:r>
    </w:p>
    <w:p>
      <w:r>
        <w:rPr>
          <w:b/>
        </w:rPr>
        <w:t xml:space="preserve">13 </w:t>
      </w:r>
      <w:r>
        <w:t xml:space="preserve">But exhort</w:t>
      </w:r>
      <w:r>
        <w:rPr>
          <w:rStyle w:val="FootnoteReference"/>
        </w:rPr>
        <w:footnoteReference w:id="18835"/>
      </w:r>
      <w:r>
        <w:t xml:space="preserve"> one another daily, while it is called today; lest any of you be hardened through the deceitfulness of sin.</w:t>
      </w:r>
    </w:p>
    <w:p>
      <w:r>
        <w:rPr>
          <w:b/>
        </w:rPr>
        <w:t xml:space="preserve">14 </w:t>
      </w:r>
      <w:r>
        <w:t xml:space="preserve">For we are</w:t>
      </w:r>
      <w:r>
        <w:rPr>
          <w:rStyle w:val="FootnoteReference"/>
        </w:rPr>
        <w:footnoteReference w:id="18836"/>
      </w:r>
      <w:r>
        <w:t xml:space="preserve"> made partakers of Christ, if we hold the beginning of our confidence steadfast to the end;</w:t>
      </w:r>
    </w:p>
    <w:p>
      <w:r>
        <w:rPr>
          <w:b/>
        </w:rPr>
        <w:t xml:space="preserve">15 </w:t>
      </w:r>
      <w:r>
        <w:t xml:space="preserve">While it is said, today if you will hear his voice, harden not your hearts, as in the provocation.</w:t>
      </w:r>
    </w:p>
    <w:p>
      <w:r>
        <w:rPr>
          <w:b/>
        </w:rPr>
        <w:t xml:space="preserve">16 </w:t>
      </w:r>
      <w:r>
        <w:t xml:space="preserve">For who, when they heard, provoked? was it not all who came out of Egypt by Moses?</w:t>
      </w:r>
    </w:p>
    <w:p>
      <w:r>
        <w:rPr>
          <w:b/>
        </w:rPr>
        <w:t xml:space="preserve">17 </w:t>
      </w:r>
      <w:r>
        <w:t xml:space="preserve">But with whom was he grieved forty years? was it</w:t>
      </w:r>
      <w:r>
        <w:rPr>
          <w:rStyle w:val="FootnoteReference"/>
        </w:rPr>
        <w:footnoteReference w:id="18837"/>
      </w:r>
      <w:r>
        <w:t xml:space="preserve"> not with those who had sinned, whose carcasses fell in the wilderness?</w:t>
      </w:r>
    </w:p>
    <w:p>
      <w:r>
        <w:rPr>
          <w:b/>
        </w:rPr>
        <w:t xml:space="preserve">18 </w:t>
      </w:r>
      <w:r>
        <w:t xml:space="preserve">And to whom</w:t>
      </w:r>
      <w:r>
        <w:rPr>
          <w:rStyle w:val="FootnoteReference"/>
        </w:rPr>
        <w:footnoteReference w:id="18838"/>
      </w:r>
      <w:r>
        <w:t xml:space="preserve"> did he swear that they should not enter into his rest, but to those who disobeyed?</w:t>
      </w:r>
    </w:p>
    <w:p>
      <w:r>
        <w:rPr>
          <w:b/>
        </w:rPr>
        <w:t xml:space="preserve">19 </w:t>
      </w:r>
      <w:r>
        <w:t xml:space="preserve">And we see that they could not enter because of unbelief.</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Let us therefore</w:t>
      </w:r>
      <w:r>
        <w:rPr>
          <w:rStyle w:val="FootnoteReference"/>
        </w:rPr>
        <w:footnoteReference w:id="18839"/>
      </w:r>
      <w:r>
        <w:t xml:space="preserve"> fear, lest, a promise remaining of entering into his rest, any of you should seem to have come short.</w:t>
      </w:r>
    </w:p>
    <w:p>
      <w:r>
        <w:rPr>
          <w:b/>
        </w:rPr>
        <w:t xml:space="preserve">2 </w:t>
      </w:r>
      <w:r>
        <w:t xml:space="preserve">For to us was the good news preached</w:t>
      </w:r>
      <w:r>
        <w:rPr>
          <w:rStyle w:val="FootnoteReference"/>
        </w:rPr>
        <w:footnoteReference w:id="18840"/>
      </w:r>
      <w:r>
        <w:t xml:space="preserve">, as well as to them: but the word preached did not profit them, not being mixed with faith in those who heard it.</w:t>
      </w:r>
    </w:p>
    <w:p>
      <w:r>
        <w:rPr>
          <w:b/>
        </w:rPr>
        <w:t xml:space="preserve">3 </w:t>
      </w:r>
      <w:r>
        <w:t xml:space="preserve">For we who have believed enter into the rest, as he said, As I swore in my wrath, They shall not enter into my rest: although the works</w:t>
      </w:r>
      <w:r>
        <w:rPr>
          <w:rStyle w:val="FootnoteReference"/>
        </w:rPr>
        <w:footnoteReference w:id="18841"/>
      </w:r>
      <w:r>
        <w:t xml:space="preserve"> were finished from the foundation of the world.</w:t>
      </w:r>
    </w:p>
    <w:p>
      <w:r>
        <w:rPr>
          <w:b/>
        </w:rPr>
        <w:t xml:space="preserve">4 </w:t>
      </w:r>
      <w:r>
        <w:t xml:space="preserve">For he spoke somewhere concerning the seventh day in this way, And God rested on the seventh day from all his works.</w:t>
      </w:r>
    </w:p>
    <w:p>
      <w:r>
        <w:rPr>
          <w:b/>
        </w:rPr>
        <w:t xml:space="preserve">5 </w:t>
      </w:r>
      <w:r>
        <w:t xml:space="preserve">And in this place again, They shall not enter into my rest.</w:t>
      </w:r>
    </w:p>
    <w:p>
      <w:r>
        <w:rPr>
          <w:b/>
        </w:rPr>
        <w:t xml:space="preserve">6 </w:t>
      </w:r>
      <w:r>
        <w:t xml:space="preserve">Seeing therefore it remains that some must enter in it, and they to whom it was first preached entered</w:t>
      </w:r>
      <w:r>
        <w:rPr>
          <w:rStyle w:val="FootnoteReference"/>
        </w:rPr>
        <w:footnoteReference w:id="18842"/>
      </w:r>
      <w:r>
        <w:t xml:space="preserve"> not in because of unbelief:</w:t>
      </w:r>
    </w:p>
    <w:p>
      <w:r>
        <w:rPr>
          <w:b/>
        </w:rPr>
        <w:t xml:space="preserve">7 </w:t>
      </w:r>
      <w:r>
        <w:t xml:space="preserve">Again, he limits a certain day, saying</w:t>
      </w:r>
      <w:r>
        <w:rPr>
          <w:rStyle w:val="FootnoteReference"/>
        </w:rPr>
        <w:footnoteReference w:id="18843"/>
      </w:r>
      <w:r>
        <w:t xml:space="preserve"> in David, today, after so long a time; as it is said, today if you will hear his voice, harden not your hearts.</w:t>
      </w:r>
    </w:p>
    <w:p>
      <w:r>
        <w:rPr>
          <w:b/>
        </w:rPr>
        <w:t xml:space="preserve">8 </w:t>
      </w:r>
      <w:r>
        <w:t xml:space="preserve">For if Joshua</w:t>
      </w:r>
      <w:r>
        <w:rPr>
          <w:rStyle w:val="FootnoteReference"/>
        </w:rPr>
        <w:footnoteReference w:id="18844"/>
      </w:r>
      <w:r>
        <w:t xml:space="preserve"> had given them rest, he would not afterward have spoken of another day.</w:t>
      </w:r>
    </w:p>
    <w:p>
      <w:r>
        <w:rPr>
          <w:b/>
        </w:rPr>
        <w:t xml:space="preserve">9 </w:t>
      </w:r>
      <w:r>
        <w:t xml:space="preserve">There remains therefore a Sabbath rest for the people</w:t>
      </w:r>
      <w:r>
        <w:rPr>
          <w:rStyle w:val="FootnoteReference"/>
        </w:rPr>
        <w:footnoteReference w:id="18845"/>
      </w:r>
      <w:r>
        <w:t xml:space="preserve"> of God.</w:t>
      </w:r>
    </w:p>
    <w:p>
      <w:r>
        <w:rPr>
          <w:b/>
        </w:rPr>
        <w:t xml:space="preserve">10 </w:t>
      </w:r>
      <w:r>
        <w:t xml:space="preserve">For the one who is entered into his rest, he also has ceased from his own works, as God did from his.</w:t>
      </w:r>
    </w:p>
    <w:p>
      <w:r>
        <w:rPr>
          <w:b/>
        </w:rPr>
        <w:t xml:space="preserve">11 </w:t>
      </w:r>
      <w:r>
        <w:t xml:space="preserve">Let us labor therefore to enter into that rest, lest anyone fall after the same example of unbelief</w:t>
      </w:r>
      <w:r>
        <w:rPr>
          <w:rStyle w:val="FootnoteReference"/>
        </w:rPr>
        <w:footnoteReference w:id="18846"/>
      </w:r>
      <w:r>
        <w:t xml:space="preserve">.</w:t>
      </w:r>
    </w:p>
    <w:p>
      <w:r>
        <w:rPr>
          <w:b/>
        </w:rPr>
        <w:t xml:space="preserve">12 </w:t>
      </w:r>
      <w:r>
        <w:t xml:space="preserve">For the word</w:t>
      </w:r>
      <w:r>
        <w:rPr>
          <w:rStyle w:val="FootnoteReference"/>
        </w:rPr>
        <w:footnoteReference w:id="18847"/>
      </w:r>
      <w:r>
        <w:t xml:space="preserve"> of God is active, and powerful, and sharper than any two-edged sword, piercing even to the dividing asunder of soul and spirit, and of the joints and marrow, and is a discerner of the thoughts and intents of the heart.</w:t>
      </w:r>
    </w:p>
    <w:p>
      <w:r>
        <w:rPr>
          <w:b/>
        </w:rPr>
        <w:t xml:space="preserve">13 </w:t>
      </w:r>
      <w:r>
        <w:t xml:space="preserve">Neither is there</w:t>
      </w:r>
      <w:r>
        <w:rPr>
          <w:rStyle w:val="FootnoteReference"/>
        </w:rPr>
        <w:footnoteReference w:id="18848"/>
      </w:r>
      <w:r>
        <w:t xml:space="preserve"> any creature that is not manifest in his sight: but all things are naked and opened to the eyes of him with whom we have to do.</w:t>
      </w:r>
    </w:p>
    <w:p>
      <w:r>
        <w:rPr>
          <w:b/>
        </w:rPr>
        <w:t xml:space="preserve">14 </w:t>
      </w:r>
      <w:r>
        <w:t xml:space="preserve">Seeing then that we have a great</w:t>
      </w:r>
      <w:r>
        <w:rPr>
          <w:rStyle w:val="FootnoteReference"/>
        </w:rPr>
        <w:footnoteReference w:id="18849"/>
      </w:r>
      <w:r>
        <w:t xml:space="preserve"> high priest, that is passed into the heavens, Jesus the Son of God, let us hold fast our confession.</w:t>
      </w:r>
    </w:p>
    <w:p>
      <w:r>
        <w:rPr>
          <w:b/>
        </w:rPr>
        <w:t xml:space="preserve">15 </w:t>
      </w:r>
      <w:r>
        <w:t xml:space="preserve">For we have not a high priest who cannot be touched with the feeling of our infirmities; but was in all points tempted</w:t>
      </w:r>
      <w:r>
        <w:rPr>
          <w:rStyle w:val="FootnoteReference"/>
        </w:rPr>
        <w:footnoteReference w:id="18850"/>
      </w:r>
      <w:r>
        <w:t xml:space="preserve"> like we are, yet without sin.</w:t>
      </w:r>
    </w:p>
    <w:p>
      <w:r>
        <w:rPr>
          <w:b/>
        </w:rPr>
        <w:t xml:space="preserve">16 </w:t>
      </w:r>
      <w:r>
        <w:t xml:space="preserve">Let us therefore come boldly to the throne</w:t>
      </w:r>
      <w:r>
        <w:rPr>
          <w:rStyle w:val="FootnoteReference"/>
        </w:rPr>
        <w:footnoteReference w:id="18851"/>
      </w:r>
      <w:r>
        <w:t xml:space="preserve"> of grace, that we may obtain mercy, and find grace to help in time of need.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For every high priest taken from among men is appointed on behalf of men in things pertaining to God, that he may offer both</w:t>
      </w:r>
      <w:r>
        <w:rPr>
          <w:rStyle w:val="FootnoteReference"/>
        </w:rPr>
        <w:footnoteReference w:id="18852"/>
      </w:r>
      <w:r>
        <w:t xml:space="preserve"> gifts and sacrifices for sins:</w:t>
      </w:r>
    </w:p>
    <w:p>
      <w:r>
        <w:rPr>
          <w:b/>
        </w:rPr>
        <w:t xml:space="preserve">2 </w:t>
      </w:r>
      <w:r>
        <w:t xml:space="preserve">Who can have compassion on the ignorant</w:t>
      </w:r>
      <w:r>
        <w:rPr>
          <w:rStyle w:val="FootnoteReference"/>
        </w:rPr>
        <w:footnoteReference w:id="18853"/>
      </w:r>
      <w:r>
        <w:t xml:space="preserve">, and on those who are out of the way; for that he himself also is compassed with infirmity.</w:t>
      </w:r>
    </w:p>
    <w:p>
      <w:r>
        <w:rPr>
          <w:b/>
        </w:rPr>
        <w:t xml:space="preserve">3 </w:t>
      </w:r>
      <w:r>
        <w:t xml:space="preserve">And by reason of this he ought, as for the people, so also for himself, to offer for sins.</w:t>
      </w:r>
    </w:p>
    <w:p>
      <w:r>
        <w:rPr>
          <w:b/>
        </w:rPr>
        <w:t xml:space="preserve">4 </w:t>
      </w:r>
      <w:r>
        <w:t xml:space="preserve">And no one takes this honor to himself, but the one who is called of God, as was Aaron.</w:t>
      </w:r>
    </w:p>
    <w:p>
      <w:r>
        <w:rPr>
          <w:b/>
        </w:rPr>
        <w:t xml:space="preserve">5 </w:t>
      </w:r>
      <w:r>
        <w:t xml:space="preserve">So also Christ</w:t>
      </w:r>
      <w:r>
        <w:rPr>
          <w:rStyle w:val="FootnoteReference"/>
        </w:rPr>
        <w:footnoteReference w:id="18854"/>
      </w:r>
      <w:r>
        <w:t xml:space="preserve"> did not glorify himself to be made a high priest; but the one who said to him, You are my Son, today have I begotten you.</w:t>
      </w:r>
    </w:p>
    <w:p>
      <w:r>
        <w:rPr>
          <w:b/>
        </w:rPr>
        <w:t xml:space="preserve">6 </w:t>
      </w:r>
      <w:r>
        <w:t xml:space="preserve">As he says also in another place, You are a priest forever after the order of Melchisedec</w:t>
      </w:r>
      <w:r>
        <w:rPr>
          <w:rStyle w:val="FootnoteReference"/>
        </w:rPr>
        <w:footnoteReference w:id="18855"/>
      </w:r>
      <w:r>
        <w:t xml:space="preserve">.</w:t>
      </w:r>
    </w:p>
    <w:p>
      <w:r>
        <w:rPr>
          <w:b/>
        </w:rPr>
        <w:t xml:space="preserve">7 </w:t>
      </w:r>
      <w:r>
        <w:t xml:space="preserve">Who in the days of his flesh, when he had offered up prayers and supplications with strong crying and tears</w:t>
      </w:r>
      <w:r>
        <w:rPr>
          <w:rStyle w:val="FootnoteReference"/>
        </w:rPr>
        <w:footnoteReference w:id="18856"/>
      </w:r>
      <w:r>
        <w:t xml:space="preserve"> to him who was able to save him from death, and was heard in that he feared;</w:t>
      </w:r>
    </w:p>
    <w:p>
      <w:r>
        <w:rPr>
          <w:b/>
        </w:rPr>
        <w:t xml:space="preserve">8 </w:t>
      </w:r>
      <w:r>
        <w:t xml:space="preserve">Though he was a Son, he learned obedience from the things which he suffered;</w:t>
      </w:r>
    </w:p>
    <w:p>
      <w:r>
        <w:rPr>
          <w:b/>
        </w:rPr>
        <w:t xml:space="preserve">9 </w:t>
      </w:r>
      <w:r>
        <w:t xml:space="preserve">And being made perfect, he became</w:t>
      </w:r>
      <w:r>
        <w:rPr>
          <w:rStyle w:val="FootnoteReference"/>
        </w:rPr>
        <w:footnoteReference w:id="18857"/>
      </w:r>
      <w:r>
        <w:t xml:space="preserve"> the author of eternal salvation to all those who obey him;</w:t>
      </w:r>
    </w:p>
    <w:p>
      <w:r>
        <w:rPr>
          <w:b/>
        </w:rPr>
        <w:t xml:space="preserve">10 </w:t>
      </w:r>
      <w:r>
        <w:t xml:space="preserve">Called of God a high priest after the order of Melchisedec.</w:t>
      </w:r>
    </w:p>
    <w:p>
      <w:r>
        <w:rPr>
          <w:b/>
        </w:rPr>
        <w:t xml:space="preserve">11 </w:t>
      </w:r>
      <w:r>
        <w:t xml:space="preserve">Of whom we have many things to say, and hard to be uttered, seeing you are dull</w:t>
      </w:r>
      <w:r>
        <w:rPr>
          <w:rStyle w:val="FootnoteReference"/>
        </w:rPr>
        <w:footnoteReference w:id="18858"/>
      </w:r>
      <w:r>
        <w:t xml:space="preserve"> of hearing.</w:t>
      </w:r>
    </w:p>
    <w:p>
      <w:r>
        <w:rPr>
          <w:b/>
        </w:rPr>
        <w:t xml:space="preserve">12 </w:t>
      </w:r>
      <w:r>
        <w:t xml:space="preserve">For when for the time you ought to be teachers</w:t>
      </w:r>
      <w:r>
        <w:rPr>
          <w:rStyle w:val="FootnoteReference"/>
        </w:rPr>
        <w:footnoteReference w:id="18859"/>
      </w:r>
      <w:r>
        <w:t xml:space="preserve">, you have need that one teach you again which be the first principles of the oracles of God; and are become such as have need of milk, and not of strong food.</w:t>
      </w:r>
    </w:p>
    <w:p>
      <w:r>
        <w:rPr>
          <w:b/>
        </w:rPr>
        <w:t xml:space="preserve">13 </w:t>
      </w:r>
      <w:r>
        <w:t xml:space="preserve">For every one that uses milk is unskillful in the word</w:t>
      </w:r>
      <w:r>
        <w:rPr>
          <w:rStyle w:val="FootnoteReference"/>
        </w:rPr>
        <w:footnoteReference w:id="18860"/>
      </w:r>
      <w:r>
        <w:t xml:space="preserve"> of righteousness: for he is a babe.</w:t>
      </w:r>
    </w:p>
    <w:p>
      <w:r>
        <w:rPr>
          <w:b/>
        </w:rPr>
        <w:t xml:space="preserve">14 </w:t>
      </w:r>
      <w:r>
        <w:t xml:space="preserve">But strong food belongs to those who are of full age</w:t>
      </w:r>
      <w:r>
        <w:rPr>
          <w:rStyle w:val="FootnoteReference"/>
        </w:rPr>
        <w:footnoteReference w:id="18861"/>
      </w:r>
      <w:r>
        <w:t xml:space="preserve">, even those who by reason of use have their senses exercised to discern both good and evil.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Therefore leaving</w:t>
      </w:r>
      <w:r>
        <w:rPr>
          <w:rStyle w:val="FootnoteReference"/>
        </w:rPr>
        <w:footnoteReference w:id="18862"/>
      </w:r>
      <w:r>
        <w:t xml:space="preserve"> the principles of the doctrine of Christ, let us go on to perfection; not laying again the foundation of repentance from dead works, and of faith toward God,</w:t>
      </w:r>
    </w:p>
    <w:p>
      <w:r>
        <w:rPr>
          <w:b/>
        </w:rPr>
        <w:t xml:space="preserve">2 </w:t>
      </w:r>
      <w:r>
        <w:t xml:space="preserve">of teaching about baptisms, and of laying</w:t>
      </w:r>
      <w:r>
        <w:rPr>
          <w:rStyle w:val="FootnoteReference"/>
        </w:rPr>
        <w:footnoteReference w:id="18863"/>
      </w:r>
      <w:r>
        <w:t xml:space="preserve"> on of hands, and of resurrection of the dead, and of eternal judgment.</w:t>
      </w:r>
    </w:p>
    <w:p>
      <w:r>
        <w:rPr>
          <w:b/>
        </w:rPr>
        <w:t xml:space="preserve">3 </w:t>
      </w:r>
      <w:r>
        <w:t xml:space="preserve">And this we will do, if God permits.</w:t>
      </w:r>
    </w:p>
    <w:p>
      <w:r>
        <w:rPr>
          <w:b/>
        </w:rPr>
        <w:t xml:space="preserve">4 </w:t>
      </w:r>
      <w:r>
        <w:t xml:space="preserve">For it is impossible for those who were once</w:t>
      </w:r>
      <w:r>
        <w:rPr>
          <w:rStyle w:val="FootnoteReference"/>
        </w:rPr>
        <w:footnoteReference w:id="18864"/>
      </w:r>
      <w:r>
        <w:t xml:space="preserve"> enlightened, and have tasted of the heavenly gift, and were made partakers of the Holy Spirit,</w:t>
      </w:r>
    </w:p>
    <w:p>
      <w:r>
        <w:rPr>
          <w:b/>
        </w:rPr>
        <w:t xml:space="preserve">5 </w:t>
      </w:r>
      <w:r>
        <w:t xml:space="preserve">And have tasted</w:t>
      </w:r>
      <w:r>
        <w:rPr>
          <w:rStyle w:val="FootnoteReference"/>
        </w:rPr>
        <w:footnoteReference w:id="18865"/>
      </w:r>
      <w:r>
        <w:t xml:space="preserve"> the good word of God, and the powers of the world to come,</w:t>
      </w:r>
    </w:p>
    <w:p>
      <w:r>
        <w:rPr>
          <w:b/>
        </w:rPr>
        <w:t xml:space="preserve">6 </w:t>
      </w:r>
      <w:r>
        <w:t xml:space="preserve">If they shall fall away, to renew</w:t>
      </w:r>
      <w:r>
        <w:rPr>
          <w:rStyle w:val="FootnoteReference"/>
        </w:rPr>
        <w:footnoteReference w:id="18866"/>
      </w:r>
      <w:r>
        <w:t xml:space="preserve"> them again to repentance; seeing they crucify to themselves the Son of God afresh, and put him to an open shame.</w:t>
      </w:r>
    </w:p>
    <w:p>
      <w:r>
        <w:rPr>
          <w:b/>
        </w:rPr>
        <w:t xml:space="preserve">7 </w:t>
      </w:r>
      <w:r>
        <w:t xml:space="preserve">For the earth</w:t>
      </w:r>
      <w:r>
        <w:rPr>
          <w:rStyle w:val="FootnoteReference"/>
        </w:rPr>
        <w:footnoteReference w:id="18867"/>
      </w:r>
      <w:r>
        <w:t xml:space="preserve"> which drinks in the rain that comes often upon it, and produces herbs meet for them by whom it is dressed, receives blessing from God:</w:t>
      </w:r>
    </w:p>
    <w:p>
      <w:r>
        <w:rPr>
          <w:b/>
        </w:rPr>
        <w:t xml:space="preserve">8 </w:t>
      </w:r>
      <w:r>
        <w:t xml:space="preserve">But that which bears thorns and briers is rejected, and is near to cursing; whose end is to be burned.</w:t>
      </w:r>
    </w:p>
    <w:p>
      <w:r>
        <w:rPr>
          <w:b/>
        </w:rPr>
        <w:t xml:space="preserve">9 </w:t>
      </w:r>
      <w:r>
        <w:t xml:space="preserve">But, beloved</w:t>
      </w:r>
      <w:r>
        <w:rPr>
          <w:rStyle w:val="FootnoteReference"/>
        </w:rPr>
        <w:footnoteReference w:id="18868"/>
      </w:r>
      <w:r>
        <w:t xml:space="preserve">, we are persuaded concerning you of better things, and things belonging to salvation, though we speak thus.</w:t>
      </w:r>
    </w:p>
    <w:p>
      <w:r>
        <w:rPr>
          <w:b/>
        </w:rPr>
        <w:t xml:space="preserve">10 </w:t>
      </w:r>
      <w:r>
        <w:t xml:space="preserve">For God is not unrighteous to forget</w:t>
      </w:r>
      <w:r>
        <w:rPr>
          <w:rStyle w:val="FootnoteReference"/>
        </w:rPr>
        <w:footnoteReference w:id="18869"/>
      </w:r>
      <w:r>
        <w:t xml:space="preserve"> your work and labor of love, which you have showed toward his name, in that you have ministered to the holy ones, and do minister.</w:t>
      </w:r>
    </w:p>
    <w:p>
      <w:r>
        <w:rPr>
          <w:b/>
        </w:rPr>
        <w:t xml:space="preserve">11 </w:t>
      </w:r>
      <w:r>
        <w:t xml:space="preserve">And we desire</w:t>
      </w:r>
      <w:r>
        <w:rPr>
          <w:rStyle w:val="FootnoteReference"/>
        </w:rPr>
        <w:footnoteReference w:id="18870"/>
      </w:r>
      <w:r>
        <w:t xml:space="preserve"> that every one of you do show the same diligence to the full assurance of hope to the end:</w:t>
      </w:r>
    </w:p>
    <w:p>
      <w:r>
        <w:rPr>
          <w:b/>
        </w:rPr>
        <w:t xml:space="preserve">12 </w:t>
      </w:r>
      <w:r>
        <w:t xml:space="preserve">That you may not be slothful, but followers of them who through faith</w:t>
      </w:r>
      <w:r>
        <w:rPr>
          <w:rStyle w:val="FootnoteReference"/>
        </w:rPr>
        <w:footnoteReference w:id="18871"/>
      </w:r>
      <w:r>
        <w:t xml:space="preserve"> and patience inherit the promises.</w:t>
      </w:r>
    </w:p>
    <w:p>
      <w:r>
        <w:rPr>
          <w:b/>
        </w:rPr>
        <w:t xml:space="preserve">13 </w:t>
      </w:r>
      <w:r>
        <w:t xml:space="preserve">For when God promised Abraham, because he had no greater by whom to swear, he swore by himself,</w:t>
      </w:r>
    </w:p>
    <w:p>
      <w:r>
        <w:rPr>
          <w:b/>
        </w:rPr>
        <w:t xml:space="preserve">14 </w:t>
      </w:r>
      <w:r>
        <w:t xml:space="preserve">Saying, Surely blessing I will bless you, and multiplying</w:t>
      </w:r>
      <w:r>
        <w:rPr>
          <w:rStyle w:val="FootnoteReference"/>
        </w:rPr>
        <w:footnoteReference w:id="18872"/>
      </w:r>
      <w:r>
        <w:t xml:space="preserve"> I will multiply you.</w:t>
      </w:r>
    </w:p>
    <w:p>
      <w:r>
        <w:rPr>
          <w:b/>
        </w:rPr>
        <w:t xml:space="preserve">15 </w:t>
      </w:r>
      <w:r>
        <w:t xml:space="preserve">And so, having patiently endured, he obtained the promise.</w:t>
      </w:r>
    </w:p>
    <w:p>
      <w:r>
        <w:rPr>
          <w:b/>
        </w:rPr>
        <w:t xml:space="preserve">16 </w:t>
      </w:r>
      <w:r>
        <w:t xml:space="preserve">For men truly swear</w:t>
      </w:r>
      <w:r>
        <w:rPr>
          <w:rStyle w:val="FootnoteReference"/>
        </w:rPr>
        <w:footnoteReference w:id="18873"/>
      </w:r>
      <w:r>
        <w:t xml:space="preserve"> by the greater: and an oath for confirmation is to them an end of all strife.</w:t>
      </w:r>
    </w:p>
    <w:p>
      <w:r>
        <w:rPr>
          <w:b/>
        </w:rPr>
        <w:t xml:space="preserve">17 </w:t>
      </w:r>
      <w:r>
        <w:t xml:space="preserve">in which God, willing more</w:t>
      </w:r>
      <w:r>
        <w:rPr>
          <w:rStyle w:val="FootnoteReference"/>
        </w:rPr>
        <w:footnoteReference w:id="18874"/>
      </w:r>
      <w:r>
        <w:t xml:space="preserve"> abundantly to show to the heirs of promise the immutability of his counsel, confirmed it by an oath:</w:t>
      </w:r>
    </w:p>
    <w:p>
      <w:r>
        <w:rPr>
          <w:b/>
        </w:rPr>
        <w:t xml:space="preserve">18 </w:t>
      </w:r>
      <w:r>
        <w:t xml:space="preserve">that by two immutable things, in which it is impossible</w:t>
      </w:r>
      <w:r>
        <w:rPr>
          <w:rStyle w:val="FootnoteReference"/>
        </w:rPr>
        <w:footnoteReference w:id="18875"/>
      </w:r>
      <w:r>
        <w:t xml:space="preserve"> for God to lie, we who have fled for refuge might have strong encouragement to lay hold of the hope set before us:</w:t>
      </w:r>
    </w:p>
    <w:p>
      <w:r>
        <w:rPr>
          <w:b/>
        </w:rPr>
        <w:t xml:space="preserve">19 </w:t>
      </w:r>
      <w:r>
        <w:t xml:space="preserve">which we have as an</w:t>
      </w:r>
      <w:r>
        <w:rPr>
          <w:rStyle w:val="FootnoteReference"/>
        </w:rPr>
        <w:footnoteReference w:id="18876"/>
      </w:r>
      <w:r>
        <w:t xml:space="preserve"> anchor of the soul, both sure and steadfast, and entering into the inner side of the veil;</w:t>
      </w:r>
    </w:p>
    <w:p>
      <w:r>
        <w:rPr>
          <w:b/>
        </w:rPr>
        <w:t xml:space="preserve">20 </w:t>
      </w:r>
      <w:r>
        <w:t xml:space="preserve">Where the forerunner</w:t>
      </w:r>
      <w:r>
        <w:rPr>
          <w:rStyle w:val="FootnoteReference"/>
        </w:rPr>
        <w:footnoteReference w:id="18877"/>
      </w:r>
      <w:r>
        <w:t xml:space="preserve"> is for us entered, even Jesus, made a high priest forever after the order of Melchisedec.</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For this Melchisedec, king of Salem</w:t>
      </w:r>
      <w:r>
        <w:rPr>
          <w:rStyle w:val="FootnoteReference"/>
        </w:rPr>
        <w:footnoteReference w:id="18878"/>
      </w:r>
      <w:r>
        <w:t xml:space="preserve">, priest of the Most High God, who met Abraham returning from the slaughter of the kings, and blessed him;</w:t>
      </w:r>
      <w:r>
        <w:rPr>
          <w:rStyle w:val="FootnoteReference"/>
        </w:rPr>
        <w:footnoteReference w:id="18879"/>
      </w:r>
    </w:p>
    <w:p>
      <w:r>
        <w:rPr>
          <w:b/>
        </w:rPr>
        <w:t xml:space="preserve">2 </w:t>
      </w:r>
      <w:r>
        <w:t xml:space="preserve">To whom also Abraham gave a tenth</w:t>
      </w:r>
      <w:r>
        <w:rPr>
          <w:rStyle w:val="FootnoteReference"/>
        </w:rPr>
        <w:footnoteReference w:id="18880"/>
      </w:r>
      <w:r>
        <w:t xml:space="preserve"> part of all; first being by interpretation King of righteousness, and after that also King of Salem, which is, King of peace;</w:t>
      </w:r>
    </w:p>
    <w:p>
      <w:r>
        <w:rPr>
          <w:b/>
        </w:rPr>
        <w:t xml:space="preserve">3 </w:t>
      </w:r>
      <w:r>
        <w:t xml:space="preserve">Without father, without mother, without descent</w:t>
      </w:r>
      <w:r>
        <w:rPr>
          <w:rStyle w:val="FootnoteReference"/>
        </w:rPr>
        <w:footnoteReference w:id="18881"/>
      </w:r>
      <w:r>
        <w:t xml:space="preserve">, having neither beginning of days, nor end of life; but made like to the Son of God; abides a priest continually.</w:t>
      </w:r>
    </w:p>
    <w:p>
      <w:r>
        <w:rPr>
          <w:b/>
        </w:rPr>
        <w:t xml:space="preserve">4 </w:t>
      </w:r>
      <w:r>
        <w:t xml:space="preserve">Now consider how great this man was, to whom even the patriarch</w:t>
      </w:r>
      <w:r>
        <w:rPr>
          <w:rStyle w:val="FootnoteReference"/>
        </w:rPr>
        <w:footnoteReference w:id="18882"/>
      </w:r>
      <w:r>
        <w:t xml:space="preserve"> Abraham gave the tenth of the spoils.</w:t>
      </w:r>
    </w:p>
    <w:p>
      <w:r>
        <w:rPr>
          <w:b/>
        </w:rPr>
        <w:t xml:space="preserve">5 </w:t>
      </w:r>
      <w:r>
        <w:t xml:space="preserve">And truly those who are of the sons of Levi, who receive the office of the priesthood, have a commandment to take</w:t>
      </w:r>
      <w:r>
        <w:rPr>
          <w:rStyle w:val="FootnoteReference"/>
        </w:rPr>
        <w:footnoteReference w:id="18883"/>
      </w:r>
      <w:r>
        <w:t xml:space="preserve"> tithes of the people according to the law, that is, of their brothers, though they come out of the loins of Abraham:</w:t>
      </w:r>
    </w:p>
    <w:p>
      <w:r>
        <w:rPr>
          <w:b/>
        </w:rPr>
        <w:t xml:space="preserve">6 </w:t>
      </w:r>
      <w:r>
        <w:t xml:space="preserve">But he whose descent</w:t>
      </w:r>
      <w:r>
        <w:rPr>
          <w:rStyle w:val="FootnoteReference"/>
        </w:rPr>
        <w:footnoteReference w:id="18884"/>
      </w:r>
      <w:r>
        <w:t xml:space="preserve"> is not counted from them received tithes of Abraham, and blessed him who had the promises.</w:t>
      </w:r>
    </w:p>
    <w:p>
      <w:r>
        <w:rPr>
          <w:b/>
        </w:rPr>
        <w:t xml:space="preserve">7 </w:t>
      </w:r>
      <w:r>
        <w:t xml:space="preserve">And without any dispute the lesser is blessed by the better.</w:t>
      </w:r>
    </w:p>
    <w:p>
      <w:r>
        <w:rPr>
          <w:b/>
        </w:rPr>
        <w:t xml:space="preserve">8 </w:t>
      </w:r>
      <w:r>
        <w:t xml:space="preserve">And here dying men receive tithes; but there one receives them, of whom it is witnessed that he lives.</w:t>
      </w:r>
    </w:p>
    <w:p>
      <w:r>
        <w:rPr>
          <w:b/>
        </w:rPr>
        <w:t xml:space="preserve">9 </w:t>
      </w:r>
      <w:r>
        <w:t xml:space="preserve">And, so to speak, through Abraham Levi also, who receives tithes, has paid tithes.</w:t>
      </w:r>
    </w:p>
    <w:p>
      <w:r>
        <w:rPr>
          <w:b/>
        </w:rPr>
        <w:t xml:space="preserve">10 </w:t>
      </w:r>
      <w:r>
        <w:t xml:space="preserve">For he was still in the loins of his father when Melchisedec met him.</w:t>
      </w:r>
    </w:p>
    <w:p>
      <w:r>
        <w:rPr>
          <w:b/>
        </w:rPr>
        <w:t xml:space="preserve">11 </w:t>
      </w:r>
      <w:r>
        <w:t xml:space="preserve">If therefore perfection</w:t>
      </w:r>
      <w:r>
        <w:rPr>
          <w:rStyle w:val="FootnoteReference"/>
        </w:rPr>
        <w:footnoteReference w:id="18885"/>
      </w:r>
      <w:r>
        <w:t xml:space="preserve"> was through the Levitical priesthood, (for upon it the people received the law,) what further need was there for another priest to arise according to the order of Melchisedec, and not be called according to the order of Aaron?</w:t>
      </w:r>
    </w:p>
    <w:p>
      <w:r>
        <w:rPr>
          <w:b/>
        </w:rPr>
        <w:t xml:space="preserve">12 </w:t>
      </w:r>
      <w:r>
        <w:t xml:space="preserve">For when the priesthood is changed, of necessity a change</w:t>
      </w:r>
      <w:r>
        <w:rPr>
          <w:rStyle w:val="FootnoteReference"/>
        </w:rPr>
        <w:footnoteReference w:id="18886"/>
      </w:r>
      <w:r>
        <w:t xml:space="preserve"> of the law also takes place.</w:t>
      </w:r>
    </w:p>
    <w:p>
      <w:r>
        <w:rPr>
          <w:b/>
        </w:rPr>
        <w:t xml:space="preserve">13 </w:t>
      </w:r>
      <w:r>
        <w:t xml:space="preserve">For he of whom these things are spoken pertains to another tribe, of which</w:t>
      </w:r>
      <w:r>
        <w:rPr>
          <w:rStyle w:val="FootnoteReference"/>
        </w:rPr>
        <w:footnoteReference w:id="18887"/>
      </w:r>
      <w:r>
        <w:t xml:space="preserve"> no one gave attendance at the altar.</w:t>
      </w:r>
    </w:p>
    <w:p>
      <w:r>
        <w:rPr>
          <w:b/>
        </w:rPr>
        <w:t xml:space="preserve">14 </w:t>
      </w:r>
      <w:r>
        <w:t xml:space="preserve">For it is evident that our Lord</w:t>
      </w:r>
      <w:r>
        <w:rPr>
          <w:rStyle w:val="FootnoteReference"/>
        </w:rPr>
        <w:footnoteReference w:id="18888"/>
      </w:r>
      <w:r>
        <w:t xml:space="preserve"> sprang out of Judah; of which tribe Moses spoke nothing concerning priesthood.</w:t>
      </w:r>
    </w:p>
    <w:p>
      <w:r>
        <w:rPr>
          <w:b/>
        </w:rPr>
        <w:t xml:space="preserve">15 </w:t>
      </w:r>
      <w:r>
        <w:t xml:space="preserve">And it is yet far more evident: for that after the likeness of Melchisedec there arises another priest,</w:t>
      </w:r>
    </w:p>
    <w:p>
      <w:r>
        <w:rPr>
          <w:b/>
        </w:rPr>
        <w:t xml:space="preserve">16 </w:t>
      </w:r>
      <w:r>
        <w:t xml:space="preserve">who has become, not according to the law</w:t>
      </w:r>
      <w:r>
        <w:rPr>
          <w:rStyle w:val="FootnoteReference"/>
        </w:rPr>
        <w:footnoteReference w:id="18889"/>
      </w:r>
      <w:r>
        <w:t xml:space="preserve"> of a fleshly commandment, but according to the power of an indestructible life.</w:t>
      </w:r>
    </w:p>
    <w:p>
      <w:r>
        <w:rPr>
          <w:b/>
        </w:rPr>
        <w:t xml:space="preserve">17 </w:t>
      </w:r>
      <w:r>
        <w:t xml:space="preserve">For he testifies, You are a priest forever after the order of Melchisedec.</w:t>
      </w:r>
    </w:p>
    <w:p>
      <w:r>
        <w:rPr>
          <w:b/>
        </w:rPr>
        <w:t xml:space="preserve">18 </w:t>
      </w:r>
      <w:r>
        <w:t xml:space="preserve">For there is truly a disannulling</w:t>
      </w:r>
      <w:r>
        <w:rPr>
          <w:rStyle w:val="FootnoteReference"/>
        </w:rPr>
        <w:footnoteReference w:id="18890"/>
      </w:r>
      <w:r>
        <w:t xml:space="preserve"> of the commandment going before for the weakness and unprofitableness of it.</w:t>
      </w:r>
    </w:p>
    <w:p>
      <w:r>
        <w:rPr>
          <w:b/>
        </w:rPr>
        <w:t xml:space="preserve">19 </w:t>
      </w:r>
      <w:r>
        <w:t xml:space="preserve">For the law</w:t>
      </w:r>
      <w:r>
        <w:rPr>
          <w:rStyle w:val="FootnoteReference"/>
        </w:rPr>
        <w:footnoteReference w:id="18891"/>
      </w:r>
      <w:r>
        <w:t xml:space="preserve"> made nothing perfect, but the bringing in of a better hope did; by the which we draw near to God.</w:t>
      </w:r>
    </w:p>
    <w:p>
      <w:r>
        <w:rPr>
          <w:b/>
        </w:rPr>
        <w:t xml:space="preserve">20 </w:t>
      </w:r>
      <w:r>
        <w:t xml:space="preserve">And inasmuch as it was not without oath-taking:</w:t>
      </w:r>
    </w:p>
    <w:p>
      <w:r>
        <w:rPr>
          <w:b/>
        </w:rPr>
        <w:t xml:space="preserve">21 </w:t>
      </w:r>
      <w:r>
        <w:t xml:space="preserve">(For those priests were made without an oath; but this with an oath by him who said to him, The Lord</w:t>
      </w:r>
      <w:r>
        <w:rPr>
          <w:rStyle w:val="FootnoteReference"/>
        </w:rPr>
        <w:footnoteReference w:id="18892"/>
      </w:r>
      <w:r>
        <w:t xml:space="preserve"> swore and will not repent, You are a priest forever after the order of Melchisedec:)</w:t>
      </w:r>
    </w:p>
    <w:p>
      <w:r>
        <w:rPr>
          <w:b/>
        </w:rPr>
        <w:t xml:space="preserve">22 </w:t>
      </w:r>
      <w:r>
        <w:t xml:space="preserve">By so much was Jesus made a guarantor of a</w:t>
      </w:r>
      <w:r>
        <w:rPr>
          <w:rStyle w:val="FootnoteReference"/>
        </w:rPr>
        <w:footnoteReference w:id="18893"/>
      </w:r>
      <w:r>
        <w:t xml:space="preserve"> better covenant.</w:t>
      </w:r>
    </w:p>
    <w:p>
      <w:r>
        <w:rPr>
          <w:b/>
        </w:rPr>
        <w:t xml:space="preserve">23 </w:t>
      </w:r>
      <w:r>
        <w:t xml:space="preserve">And they truly were many priests, because they were hindered from continuing by reason of death:</w:t>
      </w:r>
    </w:p>
    <w:p>
      <w:r>
        <w:rPr>
          <w:b/>
        </w:rPr>
        <w:t xml:space="preserve">24 </w:t>
      </w:r>
      <w:r>
        <w:t xml:space="preserve">But he, because he remains forever, has the unchangeable priesthood.</w:t>
      </w:r>
    </w:p>
    <w:p>
      <w:r>
        <w:rPr>
          <w:b/>
        </w:rPr>
        <w:t xml:space="preserve">25 </w:t>
      </w:r>
      <w:r>
        <w:t xml:space="preserve">Therefore he is able also to save them to the uttermost that come to God by him</w:t>
      </w:r>
      <w:r>
        <w:rPr>
          <w:rStyle w:val="FootnoteReference"/>
        </w:rPr>
        <w:footnoteReference w:id="18894"/>
      </w:r>
      <w:r>
        <w:t xml:space="preserve">, seeing he ever lives to make intercession for them.</w:t>
      </w:r>
    </w:p>
    <w:p>
      <w:r>
        <w:rPr>
          <w:b/>
        </w:rPr>
        <w:t xml:space="preserve">26 </w:t>
      </w:r>
      <w:r>
        <w:t xml:space="preserve">For such</w:t>
      </w:r>
      <w:r>
        <w:rPr>
          <w:rStyle w:val="FootnoteReference"/>
        </w:rPr>
        <w:footnoteReference w:id="18895"/>
      </w:r>
      <w:r>
        <w:t xml:space="preserve"> a high priest became us, who is holy, harmless, undefiled, separate from sinners, and made higher than the heavens;</w:t>
      </w:r>
    </w:p>
    <w:p>
      <w:r>
        <w:rPr>
          <w:b/>
        </w:rPr>
        <w:t xml:space="preserve">27 </w:t>
      </w:r>
      <w:r>
        <w:t xml:space="preserve">who does not have daily</w:t>
      </w:r>
      <w:r>
        <w:rPr>
          <w:rStyle w:val="FootnoteReference"/>
        </w:rPr>
        <w:footnoteReference w:id="18896"/>
      </w:r>
      <w:r>
        <w:t xml:space="preserve"> need, as those high priests, first to offer sacrifices for his own sins, then for the people's: for this he did once for all, having offered up himself.</w:t>
      </w:r>
    </w:p>
    <w:p>
      <w:r>
        <w:rPr>
          <w:b/>
        </w:rPr>
        <w:t xml:space="preserve">28 </w:t>
      </w:r>
      <w:r>
        <w:t xml:space="preserve">For the law makes men high priests who have infirmity; but the word</w:t>
      </w:r>
      <w:r>
        <w:rPr>
          <w:rStyle w:val="FootnoteReference"/>
        </w:rPr>
        <w:footnoteReference w:id="18897"/>
      </w:r>
      <w:r>
        <w:t xml:space="preserve"> of the oath, which came after the law, makes the Son, who is consecrated forevermore.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Now of the things which we have spoken this is the sum: We have such a high priest, who is set on the right hand of the throne of the Majesty</w:t>
      </w:r>
      <w:r>
        <w:rPr>
          <w:rStyle w:val="FootnoteReference"/>
        </w:rPr>
        <w:footnoteReference w:id="18898"/>
      </w:r>
      <w:r>
        <w:t xml:space="preserve"> in the heavens;</w:t>
      </w:r>
    </w:p>
    <w:p>
      <w:r>
        <w:rPr>
          <w:b/>
        </w:rPr>
        <w:t xml:space="preserve">2 </w:t>
      </w:r>
      <w:r>
        <w:t xml:space="preserve">A minister</w:t>
      </w:r>
      <w:r>
        <w:rPr>
          <w:rStyle w:val="FootnoteReference"/>
        </w:rPr>
        <w:footnoteReference w:id="18899"/>
      </w:r>
      <w:r>
        <w:t xml:space="preserve"> of the sanctuary, and of the true tabernacle, which the Lord pitched, and not man.</w:t>
      </w:r>
    </w:p>
    <w:p>
      <w:r>
        <w:rPr>
          <w:b/>
        </w:rPr>
        <w:t xml:space="preserve">3 </w:t>
      </w:r>
      <w:r>
        <w:t xml:space="preserve">For every high priest is ordained to offer gifts and sacrifices: therefore it is of necessity that this man have somewhat also to offer.</w:t>
      </w:r>
    </w:p>
    <w:p>
      <w:r>
        <w:rPr>
          <w:b/>
        </w:rPr>
        <w:t xml:space="preserve">4 </w:t>
      </w:r>
      <w:r>
        <w:t xml:space="preserve">For if he were on earth, he would not be a priest, there being priests who offer gifts</w:t>
      </w:r>
      <w:r>
        <w:rPr>
          <w:rStyle w:val="FootnoteReference"/>
        </w:rPr>
        <w:footnoteReference w:id="18900"/>
      </w:r>
      <w:r>
        <w:t xml:space="preserve"> according to the law:</w:t>
      </w:r>
    </w:p>
    <w:p>
      <w:r>
        <w:rPr>
          <w:b/>
        </w:rPr>
        <w:t xml:space="preserve">5 </w:t>
      </w:r>
      <w:r>
        <w:t xml:space="preserve">Who serve to the example</w:t>
      </w:r>
      <w:r>
        <w:rPr>
          <w:rStyle w:val="FootnoteReference"/>
        </w:rPr>
        <w:footnoteReference w:id="18901"/>
      </w:r>
      <w:r>
        <w:t xml:space="preserve"> and shadow of heavenly things, as Moses was admonished of God when he was about to make the tabernacle: for, See, says he, that you make all things according to the pattern showed to you in the mount.</w:t>
      </w:r>
    </w:p>
    <w:p>
      <w:r>
        <w:rPr>
          <w:b/>
        </w:rPr>
        <w:t xml:space="preserve">6 </w:t>
      </w:r>
      <w:r>
        <w:t xml:space="preserve">But now he has obtained</w:t>
      </w:r>
      <w:r>
        <w:rPr>
          <w:rStyle w:val="FootnoteReference"/>
        </w:rPr>
        <w:footnoteReference w:id="18902"/>
      </w:r>
      <w:r>
        <w:t xml:space="preserve"> a more excellent ministry, by as much as he is mediator of a better covenant, which has been enacted upon better promises.</w:t>
      </w:r>
    </w:p>
    <w:p>
      <w:r>
        <w:rPr>
          <w:b/>
        </w:rPr>
        <w:t xml:space="preserve">7 </w:t>
      </w:r>
      <w:r>
        <w:t xml:space="preserve">For if that first had been faultless, no place would have been sought for a second.</w:t>
      </w:r>
    </w:p>
    <w:p>
      <w:r>
        <w:rPr>
          <w:b/>
        </w:rPr>
        <w:t xml:space="preserve">8 </w:t>
      </w:r>
      <w:r>
        <w:t xml:space="preserve">For finding fault with them, he says, Look, the days</w:t>
      </w:r>
      <w:r>
        <w:rPr>
          <w:rStyle w:val="FootnoteReference"/>
        </w:rPr>
        <w:footnoteReference w:id="18903"/>
      </w:r>
      <w:r>
        <w:t xml:space="preserve"> come, says the Lord, when I will make a new covenant</w:t>
      </w:r>
      <w:r>
        <w:rPr>
          <w:rStyle w:val="FootnoteReference"/>
        </w:rPr>
        <w:footnoteReference w:id="18904"/>
      </w:r>
      <w:r>
        <w:t xml:space="preserve"> with the house of Israel and with the house of Judah:</w:t>
      </w:r>
    </w:p>
    <w:p>
      <w:r>
        <w:rPr>
          <w:b/>
        </w:rPr>
        <w:t xml:space="preserve">9 </w:t>
      </w:r>
      <w:r>
        <w:t xml:space="preserve">Not according to the covenant</w:t>
      </w:r>
      <w:r>
        <w:rPr>
          <w:rStyle w:val="FootnoteReference"/>
        </w:rPr>
        <w:footnoteReference w:id="18905"/>
      </w:r>
      <w:r>
        <w:t xml:space="preserve"> that I made with their fathers in the day when I took them by the hand to lead them out of the land of Egypt; because they did not continue in my covenant, and I did not regard them, says the Lord.</w:t>
      </w:r>
    </w:p>
    <w:p>
      <w:r>
        <w:rPr>
          <w:b/>
        </w:rPr>
        <w:t xml:space="preserve">10 </w:t>
      </w:r>
      <w:r>
        <w:t xml:space="preserve">For this is</w:t>
      </w:r>
      <w:r>
        <w:rPr>
          <w:rStyle w:val="FootnoteReference"/>
        </w:rPr>
        <w:footnoteReference w:id="18906"/>
      </w:r>
      <w:r>
        <w:t xml:space="preserve"> the covenant that I will make with the house of Israel after those days, says the Lord; I will put my laws into their mind, and write them in their hearts: and I will be to them a God, and they shall be to me a people:</w:t>
      </w:r>
    </w:p>
    <w:p>
      <w:r>
        <w:rPr>
          <w:b/>
        </w:rPr>
        <w:t xml:space="preserve">11 </w:t>
      </w:r>
      <w:r>
        <w:t xml:space="preserve">And they shall not teach every man his neighbor, and every man his brother, saying, Know the</w:t>
      </w:r>
      <w:r>
        <w:rPr>
          <w:rStyle w:val="FootnoteReference"/>
        </w:rPr>
        <w:footnoteReference w:id="18907"/>
      </w:r>
      <w:r>
        <w:t xml:space="preserve"> Lord: for all shall know me, from the least to the greatest.</w:t>
      </w:r>
    </w:p>
    <w:p>
      <w:r>
        <w:rPr>
          <w:b/>
        </w:rPr>
        <w:t xml:space="preserve">12 </w:t>
      </w:r>
      <w:r>
        <w:t xml:space="preserve">For I will be merciful to their unrighteousness, and their sins and their lawless deeds I will remember no more.</w:t>
      </w:r>
    </w:p>
    <w:p>
      <w:r>
        <w:rPr>
          <w:b/>
        </w:rPr>
        <w:t xml:space="preserve">13 </w:t>
      </w:r>
      <w:r>
        <w:t xml:space="preserve">In that he says, A new</w:t>
      </w:r>
      <w:r>
        <w:rPr>
          <w:rStyle w:val="FootnoteReference"/>
        </w:rPr>
        <w:footnoteReference w:id="18908"/>
      </w:r>
      <w:r>
        <w:t xml:space="preserve"> covenant, he has made the first old. Now that which decays and grows old is ready to vanish away.</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Then truly the first</w:t>
      </w:r>
      <w:r>
        <w:rPr>
          <w:rStyle w:val="FootnoteReference"/>
        </w:rPr>
        <w:footnoteReference w:id="18909"/>
      </w:r>
      <w:r>
        <w:t xml:space="preserve"> covenant had also ordinances of divine service, and a worldly sanctuary.</w:t>
      </w:r>
    </w:p>
    <w:p>
      <w:r>
        <w:rPr>
          <w:b/>
        </w:rPr>
        <w:t xml:space="preserve">2 </w:t>
      </w:r>
      <w:r>
        <w:t xml:space="preserve">For there was a tabernacle</w:t>
      </w:r>
      <w:r>
        <w:rPr>
          <w:rStyle w:val="FootnoteReference"/>
        </w:rPr>
        <w:footnoteReference w:id="18910"/>
      </w:r>
      <w:r>
        <w:t xml:space="preserve"> made; the first, in which was the candlestick, and the table, and the showbread; which is called the sanctuary.</w:t>
      </w:r>
    </w:p>
    <w:p>
      <w:r>
        <w:rPr>
          <w:b/>
        </w:rPr>
        <w:t xml:space="preserve">3 </w:t>
      </w:r>
      <w:r>
        <w:t xml:space="preserve">And after the second</w:t>
      </w:r>
      <w:r>
        <w:rPr>
          <w:rStyle w:val="FootnoteReference"/>
        </w:rPr>
        <w:footnoteReference w:id="18911"/>
      </w:r>
      <w:r>
        <w:t xml:space="preserve"> veil, the tabernacle which is called Holy of Holies;</w:t>
      </w:r>
    </w:p>
    <w:p>
      <w:r>
        <w:rPr>
          <w:b/>
        </w:rPr>
        <w:t xml:space="preserve">4 </w:t>
      </w:r>
      <w:r>
        <w:t xml:space="preserve">Which had the golden</w:t>
      </w:r>
      <w:r>
        <w:rPr>
          <w:rStyle w:val="FootnoteReference"/>
        </w:rPr>
        <w:footnoteReference w:id="18912"/>
      </w:r>
      <w:r>
        <w:t xml:space="preserve"> censer, and the ark of the covenant overlaid round about with gold, in which was the golden pot that had manna, and Aaron's rod that budded, and the tables of the covenant;</w:t>
      </w:r>
    </w:p>
    <w:p>
      <w:r>
        <w:rPr>
          <w:b/>
        </w:rPr>
        <w:t xml:space="preserve">5 </w:t>
      </w:r>
      <w:r>
        <w:t xml:space="preserve">And over</w:t>
      </w:r>
      <w:r>
        <w:rPr>
          <w:rStyle w:val="FootnoteReference"/>
        </w:rPr>
        <w:footnoteReference w:id="18913"/>
      </w:r>
      <w:r>
        <w:t xml:space="preserve"> it the cherubim of glory overshadowing the mercy seat; concerning which we cannot now speak in detail.</w:t>
      </w:r>
    </w:p>
    <w:p>
      <w:r>
        <w:rPr>
          <w:b/>
        </w:rPr>
        <w:t xml:space="preserve">6 </w:t>
      </w:r>
      <w:r>
        <w:t xml:space="preserve">Now these things having been thus prepared, the priests</w:t>
      </w:r>
      <w:r>
        <w:rPr>
          <w:rStyle w:val="FootnoteReference"/>
        </w:rPr>
        <w:footnoteReference w:id="18914"/>
      </w:r>
      <w:r>
        <w:t xml:space="preserve"> always enter into the first tabernacle, performing the services.</w:t>
      </w:r>
    </w:p>
    <w:p>
      <w:r>
        <w:rPr>
          <w:b/>
        </w:rPr>
        <w:t xml:space="preserve">7 </w:t>
      </w:r>
      <w:r>
        <w:t xml:space="preserve">But into the second the high priest alone enters once every year, not without blood, which he offers for himself, and for the ignorances of the people:</w:t>
      </w:r>
    </w:p>
    <w:p>
      <w:r>
        <w:rPr>
          <w:b/>
        </w:rPr>
        <w:t xml:space="preserve">8 </w:t>
      </w:r>
      <w:r>
        <w:t xml:space="preserve">The Holy Spirit this signifying, that the way</w:t>
      </w:r>
      <w:r>
        <w:rPr>
          <w:rStyle w:val="FootnoteReference"/>
        </w:rPr>
        <w:footnoteReference w:id="18915"/>
      </w:r>
      <w:r>
        <w:t xml:space="preserve"> into the holiest of all was not yet made manifest, while the first tabernacle was yet standing:</w:t>
      </w:r>
    </w:p>
    <w:p>
      <w:r>
        <w:rPr>
          <w:b/>
        </w:rPr>
        <w:t xml:space="preserve">9 </w:t>
      </w:r>
      <w:r>
        <w:t xml:space="preserve">Which was a figure</w:t>
      </w:r>
      <w:r>
        <w:rPr>
          <w:rStyle w:val="FootnoteReference"/>
        </w:rPr>
        <w:footnoteReference w:id="18916"/>
      </w:r>
      <w:r>
        <w:t xml:space="preserve"> for the time then present, in which were offered both gifts and sacrifices, that could not make him who did the service perfect, as pertaining to the conscience;</w:t>
      </w:r>
    </w:p>
    <w:p>
      <w:r>
        <w:rPr>
          <w:b/>
        </w:rPr>
        <w:t xml:space="preserve">10 </w:t>
      </w:r>
      <w:r>
        <w:t xml:space="preserve">Which stood only in foods and drinks, and various washings, and carnal</w:t>
      </w:r>
      <w:r>
        <w:rPr>
          <w:rStyle w:val="FootnoteReference"/>
        </w:rPr>
        <w:footnoteReference w:id="18917"/>
      </w:r>
      <w:r>
        <w:t xml:space="preserve"> ordinances, imposed on them until the time of reformation.</w:t>
      </w:r>
    </w:p>
    <w:p>
      <w:r>
        <w:rPr>
          <w:b/>
        </w:rPr>
        <w:t xml:space="preserve">11 </w:t>
      </w:r>
      <w:r>
        <w:t xml:space="preserve">But Christ</w:t>
      </w:r>
      <w:r>
        <w:rPr>
          <w:rStyle w:val="FootnoteReference"/>
        </w:rPr>
        <w:footnoteReference w:id="18918"/>
      </w:r>
      <w:r>
        <w:t xml:space="preserve"> being come a high priest of good things to come, by a greater and more perfect tabernacle, not made with hands, that is to say, not of this building;</w:t>
      </w:r>
    </w:p>
    <w:p>
      <w:r>
        <w:rPr>
          <w:b/>
        </w:rPr>
        <w:t xml:space="preserve">12 </w:t>
      </w:r>
      <w:r>
        <w:t xml:space="preserve">nor by blood of goats and calves, but by his</w:t>
      </w:r>
      <w:r>
        <w:rPr>
          <w:rStyle w:val="FootnoteReference"/>
        </w:rPr>
        <w:footnoteReference w:id="18919"/>
      </w:r>
      <w:r>
        <w:t xml:space="preserve"> own blood he entered once for all into the holy places, having obtained eternal redemption.</w:t>
      </w:r>
    </w:p>
    <w:p>
      <w:r>
        <w:rPr>
          <w:b/>
        </w:rPr>
        <w:t xml:space="preserve">13 </w:t>
      </w:r>
      <w:r>
        <w:t xml:space="preserve">For if the blood of bulls and of goats, and the ashes of a heifer sprinkling the unclean, sanctifies to the purifying</w:t>
      </w:r>
      <w:r>
        <w:rPr>
          <w:rStyle w:val="FootnoteReference"/>
        </w:rPr>
        <w:footnoteReference w:id="18920"/>
      </w:r>
      <w:r>
        <w:t xml:space="preserve"> of the flesh:</w:t>
      </w:r>
    </w:p>
    <w:p>
      <w:r>
        <w:rPr>
          <w:b/>
        </w:rPr>
        <w:t xml:space="preserve">14 </w:t>
      </w:r>
      <w:r>
        <w:t xml:space="preserve">How much more shall the blood</w:t>
      </w:r>
      <w:r>
        <w:rPr>
          <w:rStyle w:val="FootnoteReference"/>
        </w:rPr>
        <w:footnoteReference w:id="18921"/>
      </w:r>
      <w:r>
        <w:t xml:space="preserve"> of Christ, who through the eternal Spirit offered himself without spot to God, purge your conscience from dead works to serve the living God?</w:t>
      </w:r>
    </w:p>
    <w:p>
      <w:r>
        <w:rPr>
          <w:b/>
        </w:rPr>
        <w:t xml:space="preserve">15 </w:t>
      </w:r>
      <w:r>
        <w:t xml:space="preserve">And for this cause he is the mediator</w:t>
      </w:r>
      <w:r>
        <w:rPr>
          <w:rStyle w:val="FootnoteReference"/>
        </w:rPr>
        <w:footnoteReference w:id="18922"/>
      </w:r>
      <w:r>
        <w:t xml:space="preserve"> of the new covenant, that by means of death, for the redemption of the transgressions that were under the first covenant, those who are called might receive the promise of eternal inheritance.</w:t>
      </w:r>
    </w:p>
    <w:p>
      <w:r>
        <w:rPr>
          <w:b/>
        </w:rPr>
        <w:t xml:space="preserve">16 </w:t>
      </w:r>
      <w:r>
        <w:t xml:space="preserve">For where a will is, the death of the one who made it must be established.</w:t>
      </w:r>
    </w:p>
    <w:p>
      <w:r>
        <w:rPr>
          <w:b/>
        </w:rPr>
        <w:t xml:space="preserve">17 </w:t>
      </w:r>
      <w:r>
        <w:t xml:space="preserve">For a will is firm when people are dead, since it never has force while the one who made it lives.</w:t>
      </w:r>
    </w:p>
    <w:p>
      <w:r>
        <w:rPr>
          <w:b/>
        </w:rPr>
        <w:t xml:space="preserve">18 </w:t>
      </w:r>
      <w:r>
        <w:t xml:space="preserve">Therefore neither was the first</w:t>
      </w:r>
      <w:r>
        <w:rPr>
          <w:rStyle w:val="FootnoteReference"/>
        </w:rPr>
        <w:footnoteReference w:id="18923"/>
      </w:r>
      <w:r>
        <w:t xml:space="preserve"> covenant inaugurated without blood.</w:t>
      </w:r>
    </w:p>
    <w:p>
      <w:r>
        <w:rPr>
          <w:b/>
        </w:rPr>
        <w:t xml:space="preserve">19 </w:t>
      </w:r>
      <w:r>
        <w:t xml:space="preserve">For when every commandment had been spoken by Moses to all the people according to the law, he took the blood</w:t>
      </w:r>
      <w:r>
        <w:rPr>
          <w:rStyle w:val="FootnoteReference"/>
        </w:rPr>
        <w:footnoteReference w:id="18924"/>
      </w:r>
      <w:r>
        <w:t xml:space="preserve"> of calves and goats, with water, and scarlet wool, and hyssop, and sprinkled both the book itself, and all the people,</w:t>
      </w:r>
    </w:p>
    <w:p>
      <w:r>
        <w:rPr>
          <w:b/>
        </w:rPr>
        <w:t xml:space="preserve">20 </w:t>
      </w:r>
      <w:r>
        <w:t xml:space="preserve">saying, This is the blood of the covenant which God commanded to you.</w:t>
      </w:r>
    </w:p>
    <w:p>
      <w:r>
        <w:rPr>
          <w:b/>
        </w:rPr>
        <w:t xml:space="preserve">21 </w:t>
      </w:r>
      <w:r>
        <w:t xml:space="preserve">Moreover he sprinkled with the blood both the tabernacle, and all the vessels of the service.</w:t>
      </w:r>
    </w:p>
    <w:p>
      <w:r>
        <w:rPr>
          <w:b/>
        </w:rPr>
        <w:t xml:space="preserve">22 </w:t>
      </w:r>
      <w:r>
        <w:t xml:space="preserve">And almost</w:t>
      </w:r>
      <w:r>
        <w:rPr>
          <w:rStyle w:val="FootnoteReference"/>
        </w:rPr>
        <w:footnoteReference w:id="18925"/>
      </w:r>
      <w:r>
        <w:t xml:space="preserve"> all things are by the law purged with blood; and without shedding of blood is no forgiveness.</w:t>
      </w:r>
    </w:p>
    <w:p>
      <w:r>
        <w:rPr>
          <w:b/>
        </w:rPr>
        <w:t xml:space="preserve">23 </w:t>
      </w:r>
      <w:r>
        <w:t xml:space="preserve">It was therefore necessary that the copies of the things in the heavens be purified with these; but the heavenly</w:t>
      </w:r>
      <w:r>
        <w:rPr>
          <w:rStyle w:val="FootnoteReference"/>
        </w:rPr>
        <w:footnoteReference w:id="18926"/>
      </w:r>
      <w:r>
        <w:t xml:space="preserve"> things themselves with better sacrifices than these.</w:t>
      </w:r>
    </w:p>
    <w:p>
      <w:r>
        <w:rPr>
          <w:b/>
        </w:rPr>
        <w:t xml:space="preserve">24 </w:t>
      </w:r>
      <w:r>
        <w:t xml:space="preserve">For Christ did not enter into holy places made with hands, copies of the true, but into heaven itself, now to appear</w:t>
      </w:r>
      <w:r>
        <w:rPr>
          <w:rStyle w:val="FootnoteReference"/>
        </w:rPr>
        <w:footnoteReference w:id="18927"/>
      </w:r>
      <w:r>
        <w:t xml:space="preserve"> before the face of God for us:</w:t>
      </w:r>
    </w:p>
    <w:p>
      <w:r>
        <w:rPr>
          <w:b/>
        </w:rPr>
        <w:t xml:space="preserve">25 </w:t>
      </w:r>
      <w:r>
        <w:t xml:space="preserve">Nor yet that he should offer</w:t>
      </w:r>
      <w:r>
        <w:rPr>
          <w:rStyle w:val="FootnoteReference"/>
        </w:rPr>
        <w:footnoteReference w:id="18928"/>
      </w:r>
      <w:r>
        <w:t xml:space="preserve"> himself often, as the high priest enters into the holy places every year with another's blood;</w:t>
      </w:r>
    </w:p>
    <w:p>
      <w:r>
        <w:rPr>
          <w:b/>
        </w:rPr>
        <w:t xml:space="preserve">26 </w:t>
      </w:r>
      <w:r>
        <w:t xml:space="preserve">For then must he often have suffered since the foundation</w:t>
      </w:r>
      <w:r>
        <w:rPr>
          <w:rStyle w:val="FootnoteReference"/>
        </w:rPr>
        <w:footnoteReference w:id="18929"/>
      </w:r>
      <w:r>
        <w:t xml:space="preserve"> of the world: but now once in the completion of the age has he appeared to put away sin by the sacrifice of himself.</w:t>
      </w:r>
    </w:p>
    <w:p>
      <w:r>
        <w:rPr>
          <w:b/>
        </w:rPr>
        <w:t xml:space="preserve">27 </w:t>
      </w:r>
      <w:r>
        <w:t xml:space="preserve">And as it is appointed to men once to die, but after this the judgment:</w:t>
      </w:r>
    </w:p>
    <w:p>
      <w:r>
        <w:rPr>
          <w:b/>
        </w:rPr>
        <w:t xml:space="preserve">28 </w:t>
      </w:r>
      <w:r>
        <w:t xml:space="preserve">So Christ was once offered to bear</w:t>
      </w:r>
      <w:r>
        <w:rPr>
          <w:rStyle w:val="FootnoteReference"/>
        </w:rPr>
        <w:footnoteReference w:id="18930"/>
      </w:r>
      <w:r>
        <w:t xml:space="preserve"> the sins of many; and to those who look for him shall he appear the second time without sin to salvation.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For the law having a shadow of good things to come, and not the very image of the things, can never with those sacrifices which they offered year by year continually make the comers to this perfect</w:t>
      </w:r>
      <w:r>
        <w:rPr>
          <w:rStyle w:val="FootnoteReference"/>
        </w:rPr>
        <w:footnoteReference w:id="18931"/>
      </w:r>
      <w:r>
        <w:t xml:space="preserve">.</w:t>
      </w:r>
    </w:p>
    <w:p>
      <w:r>
        <w:rPr>
          <w:b/>
        </w:rPr>
        <w:t xml:space="preserve">2 </w:t>
      </w:r>
      <w:r>
        <w:t xml:space="preserve">For then would they not have ceased to be offered? because the worshippers once</w:t>
      </w:r>
      <w:r>
        <w:rPr>
          <w:rStyle w:val="FootnoteReference"/>
        </w:rPr>
        <w:footnoteReference w:id="18932"/>
      </w:r>
      <w:r>
        <w:t xml:space="preserve"> purged should have had no more conscience of sins.</w:t>
      </w:r>
    </w:p>
    <w:p>
      <w:r>
        <w:rPr>
          <w:b/>
        </w:rPr>
        <w:t xml:space="preserve">3 </w:t>
      </w:r>
      <w:r>
        <w:t xml:space="preserve">But in them there is a remembrance</w:t>
      </w:r>
      <w:r>
        <w:rPr>
          <w:rStyle w:val="FootnoteReference"/>
        </w:rPr>
        <w:footnoteReference w:id="18933"/>
      </w:r>
      <w:r>
        <w:t xml:space="preserve"> of sins every year.</w:t>
      </w:r>
    </w:p>
    <w:p>
      <w:r>
        <w:rPr>
          <w:b/>
        </w:rPr>
        <w:t xml:space="preserve">4 </w:t>
      </w:r>
      <w:r>
        <w:t xml:space="preserve">For it is impossible for blood of bulls and goats to take</w:t>
      </w:r>
      <w:r>
        <w:rPr>
          <w:rStyle w:val="FootnoteReference"/>
        </w:rPr>
        <w:footnoteReference w:id="18934"/>
      </w:r>
      <w:r>
        <w:t xml:space="preserve"> away sins.</w:t>
      </w:r>
    </w:p>
    <w:p>
      <w:r>
        <w:rPr>
          <w:b/>
        </w:rPr>
        <w:t xml:space="preserve">5 </w:t>
      </w:r>
      <w:r>
        <w:t xml:space="preserve">Therefore when he comes into the world, he says, Sacrifice</w:t>
      </w:r>
      <w:r>
        <w:rPr>
          <w:rStyle w:val="FootnoteReference"/>
        </w:rPr>
        <w:footnoteReference w:id="18935"/>
      </w:r>
      <w:r>
        <w:t xml:space="preserve"> and offering you would not, but a body have you prepared me:</w:t>
      </w:r>
    </w:p>
    <w:p>
      <w:r>
        <w:rPr>
          <w:b/>
        </w:rPr>
        <w:t xml:space="preserve">6 </w:t>
      </w:r>
      <w:r>
        <w:t xml:space="preserve">In burnt</w:t>
      </w:r>
      <w:r>
        <w:rPr>
          <w:rStyle w:val="FootnoteReference"/>
        </w:rPr>
        <w:footnoteReference w:id="18936"/>
      </w:r>
      <w:r>
        <w:t xml:space="preserve"> offerings and offerings for sin you had no pleasure.</w:t>
      </w:r>
    </w:p>
    <w:p>
      <w:r>
        <w:rPr>
          <w:b/>
        </w:rPr>
        <w:t xml:space="preserve">7 </w:t>
      </w:r>
      <w:r>
        <w:t xml:space="preserve">Then said I, Look, I come (in the volume of the book it is written of me,) to do your will, O God.</w:t>
      </w:r>
    </w:p>
    <w:p>
      <w:r>
        <w:rPr>
          <w:b/>
        </w:rPr>
        <w:t xml:space="preserve">8 </w:t>
      </w:r>
      <w:r>
        <w:t xml:space="preserve">Above when he said, Sacrifice and offering and burnt offerings and offering for sin you would not, neither had pleasure in it; which are offered by the law;</w:t>
      </w:r>
    </w:p>
    <w:p>
      <w:r>
        <w:rPr>
          <w:b/>
        </w:rPr>
        <w:t xml:space="preserve">9 </w:t>
      </w:r>
      <w:r>
        <w:t xml:space="preserve">Then said he, Look, I come to do your will, O God. He takes away the first, that he may establish the second.</w:t>
      </w:r>
    </w:p>
    <w:p>
      <w:r>
        <w:rPr>
          <w:b/>
        </w:rPr>
        <w:t xml:space="preserve">10 </w:t>
      </w:r>
      <w:r>
        <w:t xml:space="preserve">By the which will we are sanctified through the offering</w:t>
      </w:r>
      <w:r>
        <w:rPr>
          <w:rStyle w:val="FootnoteReference"/>
        </w:rPr>
        <w:footnoteReference w:id="18937"/>
      </w:r>
      <w:r>
        <w:t xml:space="preserve"> of the body of Jesus Christ once for all.</w:t>
      </w:r>
    </w:p>
    <w:p>
      <w:r>
        <w:rPr>
          <w:b/>
        </w:rPr>
        <w:t xml:space="preserve">11 </w:t>
      </w:r>
      <w:r>
        <w:t xml:space="preserve">And every priest stands daily</w:t>
      </w:r>
      <w:r>
        <w:rPr>
          <w:rStyle w:val="FootnoteReference"/>
        </w:rPr>
        <w:footnoteReference w:id="18938"/>
      </w:r>
      <w:r>
        <w:t xml:space="preserve"> ministering and often offering the same sacrifices, which can never take away sins:</w:t>
      </w:r>
    </w:p>
    <w:p>
      <w:r>
        <w:rPr>
          <w:b/>
        </w:rPr>
        <w:t xml:space="preserve">12 </w:t>
      </w:r>
      <w:r>
        <w:t xml:space="preserve">But this man, after he had offered one sacrifice for sins forever, sat down on the right hand of God;</w:t>
      </w:r>
    </w:p>
    <w:p>
      <w:r>
        <w:rPr>
          <w:b/>
        </w:rPr>
        <w:t xml:space="preserve">13 </w:t>
      </w:r>
      <w:r>
        <w:t xml:space="preserve">From now on expecting till his enemies be made his footstool.</w:t>
      </w:r>
    </w:p>
    <w:p>
      <w:r>
        <w:rPr>
          <w:b/>
        </w:rPr>
        <w:t xml:space="preserve">14 </w:t>
      </w:r>
      <w:r>
        <w:t xml:space="preserve">For by one offering he has perfected forever those who are sanctified.</w:t>
      </w:r>
    </w:p>
    <w:p>
      <w:r>
        <w:rPr>
          <w:b/>
        </w:rPr>
        <w:t xml:space="preserve">15 </w:t>
      </w:r>
      <w:r>
        <w:t xml:space="preserve">of which the Holy Spirit also is a witness to us: for after that he had said before,</w:t>
      </w:r>
    </w:p>
    <w:p>
      <w:r>
        <w:rPr>
          <w:b/>
        </w:rPr>
        <w:t xml:space="preserve">16 </w:t>
      </w:r>
      <w:r>
        <w:t xml:space="preserve">This is the covenant that I will make with them after those days, says the Lord, I will put my laws into their hearts, and in their minds will I write them;</w:t>
      </w:r>
    </w:p>
    <w:p>
      <w:r>
        <w:rPr>
          <w:b/>
        </w:rPr>
        <w:t xml:space="preserve">17 </w:t>
      </w:r>
      <w:r>
        <w:t xml:space="preserve">And their sins and their lawless deeds I will remember no more.</w:t>
      </w:r>
    </w:p>
    <w:p>
      <w:r>
        <w:rPr>
          <w:b/>
        </w:rPr>
        <w:t xml:space="preserve">18 </w:t>
      </w:r>
      <w:r>
        <w:t xml:space="preserve">Now where forgiveness of these is, there is no more offering for sin.</w:t>
      </w:r>
    </w:p>
    <w:p>
      <w:r>
        <w:rPr>
          <w:b/>
        </w:rPr>
        <w:t xml:space="preserve">19 </w:t>
      </w:r>
      <w:r>
        <w:t xml:space="preserve">Having therefore, brothers, boldness to enter</w:t>
      </w:r>
      <w:r>
        <w:rPr>
          <w:rStyle w:val="FootnoteReference"/>
        </w:rPr>
        <w:footnoteReference w:id="18939"/>
      </w:r>
      <w:r>
        <w:t xml:space="preserve"> into the holiest by the blood of Jesus,</w:t>
      </w:r>
    </w:p>
    <w:p>
      <w:r>
        <w:rPr>
          <w:b/>
        </w:rPr>
        <w:t xml:space="preserve">20 </w:t>
      </w:r>
      <w:r>
        <w:t xml:space="preserve">by a new</w:t>
      </w:r>
      <w:r>
        <w:rPr>
          <w:rStyle w:val="FootnoteReference"/>
        </w:rPr>
        <w:footnoteReference w:id="18940"/>
      </w:r>
      <w:r>
        <w:t xml:space="preserve"> and living way, which he inaugurated for us, through the veil, that is, his flesh;</w:t>
      </w:r>
    </w:p>
    <w:p>
      <w:r>
        <w:rPr>
          <w:b/>
        </w:rPr>
        <w:t xml:space="preserve">21 </w:t>
      </w:r>
      <w:r>
        <w:t xml:space="preserve">And having a high priest over the house</w:t>
      </w:r>
      <w:r>
        <w:rPr>
          <w:rStyle w:val="FootnoteReference"/>
        </w:rPr>
        <w:footnoteReference w:id="18941"/>
      </w:r>
      <w:r>
        <w:t xml:space="preserve"> of God;</w:t>
      </w:r>
    </w:p>
    <w:p>
      <w:r>
        <w:rPr>
          <w:b/>
        </w:rPr>
        <w:t xml:space="preserve">22 </w:t>
      </w:r>
      <w:r>
        <w:t xml:space="preserve">Let us draw</w:t>
      </w:r>
      <w:r>
        <w:rPr>
          <w:rStyle w:val="FootnoteReference"/>
        </w:rPr>
        <w:footnoteReference w:id="18942"/>
      </w:r>
      <w:r>
        <w:t xml:space="preserve"> near with a true heart in full assurance of faith, having our hearts sprinkled from an evil conscience, and our body washed with pure water.</w:t>
      </w:r>
    </w:p>
    <w:p>
      <w:r>
        <w:rPr>
          <w:b/>
        </w:rPr>
        <w:t xml:space="preserve">23 </w:t>
      </w:r>
      <w:r>
        <w:t xml:space="preserve">Let us hold</w:t>
      </w:r>
      <w:r>
        <w:rPr>
          <w:rStyle w:val="FootnoteReference"/>
        </w:rPr>
        <w:footnoteReference w:id="18943"/>
      </w:r>
      <w:r>
        <w:t xml:space="preserve"> fast the confession of our faith without wavering; (for he is faithful that promised;)</w:t>
      </w:r>
    </w:p>
    <w:p>
      <w:r>
        <w:rPr>
          <w:b/>
        </w:rPr>
        <w:t xml:space="preserve">24 </w:t>
      </w:r>
      <w:r>
        <w:t xml:space="preserve">And let us consider</w:t>
      </w:r>
      <w:r>
        <w:rPr>
          <w:rStyle w:val="FootnoteReference"/>
        </w:rPr>
        <w:footnoteReference w:id="18944"/>
      </w:r>
      <w:r>
        <w:t xml:space="preserve"> one another to provoke to love and to good works:</w:t>
      </w:r>
    </w:p>
    <w:p>
      <w:r>
        <w:rPr>
          <w:b/>
        </w:rPr>
        <w:t xml:space="preserve">25 </w:t>
      </w:r>
      <w:r>
        <w:t xml:space="preserve">Not forsaking</w:t>
      </w:r>
      <w:r>
        <w:rPr>
          <w:rStyle w:val="FootnoteReference"/>
        </w:rPr>
        <w:footnoteReference w:id="18945"/>
      </w:r>
      <w:r>
        <w:t xml:space="preserve"> the assembling of ourselves together, as the manner of some is; but exhorting one another: and so much the more, as you see the day approaching.</w:t>
      </w:r>
    </w:p>
    <w:p>
      <w:r>
        <w:rPr>
          <w:b/>
        </w:rPr>
        <w:t xml:space="preserve">26 </w:t>
      </w:r>
      <w:r>
        <w:t xml:space="preserve">For if we sin willingly after receiving the knowledge of the truth, there remains no more sacrifice for sins,</w:t>
      </w:r>
    </w:p>
    <w:p>
      <w:r>
        <w:rPr>
          <w:b/>
        </w:rPr>
        <w:t xml:space="preserve">27 </w:t>
      </w:r>
      <w:r>
        <w:t xml:space="preserve">But a certain fearful expectation of judgment and fiery</w:t>
      </w:r>
      <w:r>
        <w:rPr>
          <w:rStyle w:val="FootnoteReference"/>
        </w:rPr>
        <w:footnoteReference w:id="18946"/>
      </w:r>
      <w:r>
        <w:t xml:space="preserve"> zeal, about to devour the adversaries.</w:t>
      </w:r>
    </w:p>
    <w:p>
      <w:r>
        <w:rPr>
          <w:b/>
        </w:rPr>
        <w:t xml:space="preserve">28 </w:t>
      </w:r>
      <w:r>
        <w:t xml:space="preserve">the one who despised</w:t>
      </w:r>
      <w:r>
        <w:rPr>
          <w:rStyle w:val="FootnoteReference"/>
        </w:rPr>
        <w:footnoteReference w:id="18947"/>
      </w:r>
      <w:r>
        <w:t xml:space="preserve"> Moses' law died without mercy under two or three witnesses:</w:t>
      </w:r>
    </w:p>
    <w:p>
      <w:r>
        <w:rPr>
          <w:b/>
        </w:rPr>
        <w:t xml:space="preserve">29 </w:t>
      </w:r>
      <w:r>
        <w:t xml:space="preserve">Of how much greater punishment, suppose you, shall he be thought worthy, who has trampled under foot the Son of God, and has counted the blood</w:t>
      </w:r>
      <w:r>
        <w:rPr>
          <w:rStyle w:val="FootnoteReference"/>
        </w:rPr>
        <w:footnoteReference w:id="18948"/>
      </w:r>
      <w:r>
        <w:t xml:space="preserve"> of the covenant, with which he was sanctified, an unholy thing, and has done despite to the Spirit of grace?</w:t>
      </w:r>
    </w:p>
    <w:p>
      <w:r>
        <w:rPr>
          <w:b/>
        </w:rPr>
        <w:t xml:space="preserve">30 </w:t>
      </w:r>
      <w:r>
        <w:t xml:space="preserve">For we know him who has said, Vengeance</w:t>
      </w:r>
      <w:r>
        <w:rPr>
          <w:rStyle w:val="FootnoteReference"/>
        </w:rPr>
        <w:footnoteReference w:id="18949"/>
      </w:r>
      <w:r>
        <w:t xml:space="preserve"> belongs to me, I will recompense, says the Lord. And again, The Lord shall judge his people.</w:t>
      </w:r>
    </w:p>
    <w:p>
      <w:r>
        <w:rPr>
          <w:b/>
        </w:rPr>
        <w:t xml:space="preserve">31 </w:t>
      </w:r>
      <w:r>
        <w:t xml:space="preserve">It is a fearful</w:t>
      </w:r>
      <w:r>
        <w:rPr>
          <w:rStyle w:val="FootnoteReference"/>
        </w:rPr>
        <w:footnoteReference w:id="18950"/>
      </w:r>
      <w:r>
        <w:t xml:space="preserve"> thing to fall into the hands of the living God.</w:t>
      </w:r>
    </w:p>
    <w:p>
      <w:r>
        <w:rPr>
          <w:b/>
        </w:rPr>
        <w:t xml:space="preserve">32 </w:t>
      </w:r>
      <w:r>
        <w:t xml:space="preserve">But call</w:t>
      </w:r>
      <w:r>
        <w:rPr>
          <w:rStyle w:val="FootnoteReference"/>
        </w:rPr>
        <w:footnoteReference w:id="18951"/>
      </w:r>
      <w:r>
        <w:t xml:space="preserve"> to remembrance the former days, in which, after you were illuminated, you endured a great fight of afflictions;</w:t>
      </w:r>
    </w:p>
    <w:p>
      <w:r>
        <w:rPr>
          <w:b/>
        </w:rPr>
        <w:t xml:space="preserve">33 </w:t>
      </w:r>
      <w:r>
        <w:t xml:space="preserve">Partly, while you were made</w:t>
      </w:r>
      <w:r>
        <w:rPr>
          <w:rStyle w:val="FootnoteReference"/>
        </w:rPr>
        <w:footnoteReference w:id="18952"/>
      </w:r>
      <w:r>
        <w:t xml:space="preserve"> a spectacle both by reproaches and afflictions; and partly, while you became companions of those who were treated this way.</w:t>
      </w:r>
    </w:p>
    <w:p>
      <w:r>
        <w:rPr>
          <w:b/>
        </w:rPr>
        <w:t xml:space="preserve">34 </w:t>
      </w:r>
      <w:r>
        <w:t xml:space="preserve">For you had compassion of me in my</w:t>
      </w:r>
      <w:r>
        <w:rPr>
          <w:rStyle w:val="FootnoteReference"/>
        </w:rPr>
        <w:footnoteReference w:id="18953"/>
      </w:r>
      <w:r>
        <w:t xml:space="preserve"> bonds, and took joyfully the spoiling of your goods, knowing in yourselves that you have in heaven a better and an enduring substance.</w:t>
      </w:r>
    </w:p>
    <w:p>
      <w:r>
        <w:rPr>
          <w:b/>
        </w:rPr>
        <w:t xml:space="preserve">35 </w:t>
      </w:r>
      <w:r>
        <w:t xml:space="preserve">Do not cast</w:t>
      </w:r>
      <w:r>
        <w:rPr>
          <w:rStyle w:val="FootnoteReference"/>
        </w:rPr>
        <w:footnoteReference w:id="18954"/>
      </w:r>
      <w:r>
        <w:t xml:space="preserve"> away therefore your confidence, which has great recompense of reward.</w:t>
      </w:r>
    </w:p>
    <w:p>
      <w:r>
        <w:rPr>
          <w:b/>
        </w:rPr>
        <w:t xml:space="preserve">36 </w:t>
      </w:r>
      <w:r>
        <w:t xml:space="preserve">For you have need of patience, that, after you have done the will of God, you might receive the promise.</w:t>
      </w:r>
    </w:p>
    <w:p>
      <w:r>
        <w:rPr>
          <w:b/>
        </w:rPr>
        <w:t xml:space="preserve">37 </w:t>
      </w:r>
      <w:r>
        <w:t xml:space="preserve">For yet a little while, and the one who shall come will come, and will not tarry.</w:t>
      </w:r>
    </w:p>
    <w:p>
      <w:r>
        <w:rPr>
          <w:b/>
        </w:rPr>
        <w:t xml:space="preserve">38 </w:t>
      </w:r>
      <w:r>
        <w:t xml:space="preserve">Now the just</w:t>
      </w:r>
      <w:r>
        <w:rPr>
          <w:rStyle w:val="FootnoteReference"/>
        </w:rPr>
        <w:footnoteReference w:id="18955"/>
      </w:r>
      <w:r>
        <w:t xml:space="preserve"> shall live by faith: but if anyone draw back, my soul shall have no pleasure in him.</w:t>
      </w:r>
    </w:p>
    <w:p>
      <w:r>
        <w:rPr>
          <w:b/>
        </w:rPr>
        <w:t xml:space="preserve">39 </w:t>
      </w:r>
      <w:r>
        <w:t xml:space="preserve">But we are</w:t>
      </w:r>
      <w:r>
        <w:rPr>
          <w:rStyle w:val="FootnoteReference"/>
        </w:rPr>
        <w:footnoteReference w:id="18956"/>
      </w:r>
      <w:r>
        <w:t xml:space="preserve"> not of them who draw back to destruction; but of those who believe to the saving of the soul.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Now faith</w:t>
      </w:r>
      <w:r>
        <w:rPr>
          <w:rStyle w:val="FootnoteReference"/>
        </w:rPr>
        <w:footnoteReference w:id="18957"/>
      </w:r>
      <w:r>
        <w:t xml:space="preserve"> is the substance of things hoped for, the evidence of things not seen.</w:t>
      </w:r>
    </w:p>
    <w:p>
      <w:r>
        <w:rPr>
          <w:b/>
        </w:rPr>
        <w:t xml:space="preserve">2 </w:t>
      </w:r>
      <w:r>
        <w:t xml:space="preserve">For by it the elders</w:t>
      </w:r>
      <w:r>
        <w:rPr>
          <w:rStyle w:val="FootnoteReference"/>
        </w:rPr>
        <w:footnoteReference w:id="18958"/>
      </w:r>
      <w:r>
        <w:t xml:space="preserve"> obtained testimony.</w:t>
      </w:r>
    </w:p>
    <w:p>
      <w:r>
        <w:rPr>
          <w:b/>
        </w:rPr>
        <w:t xml:space="preserve">3 </w:t>
      </w:r>
      <w:r>
        <w:t xml:space="preserve">Through faith</w:t>
      </w:r>
      <w:r>
        <w:rPr>
          <w:rStyle w:val="FootnoteReference"/>
        </w:rPr>
        <w:footnoteReference w:id="18959"/>
      </w:r>
      <w:r>
        <w:t xml:space="preserve"> we understand that the worlds were framed by the word of God, so that things which are seen were not made of things which do appear.</w:t>
      </w:r>
    </w:p>
    <w:p>
      <w:r>
        <w:rPr>
          <w:b/>
        </w:rPr>
        <w:t xml:space="preserve">4 </w:t>
      </w:r>
      <w:r>
        <w:t xml:space="preserve">By faith</w:t>
      </w:r>
      <w:r>
        <w:rPr>
          <w:rStyle w:val="FootnoteReference"/>
        </w:rPr>
        <w:footnoteReference w:id="18960"/>
      </w:r>
      <w:r>
        <w:t xml:space="preserve"> Abel offered to God a more excellent sacrifice than Cain</w:t>
      </w:r>
      <w:r>
        <w:rPr>
          <w:rStyle w:val="FootnoteReference"/>
        </w:rPr>
        <w:footnoteReference w:id="18961"/>
      </w:r>
      <w:r>
        <w:t xml:space="preserve">, by which he obtained witness that he was righteous, God testifying of his gifts: and by it he being dead yet speaks.</w:t>
      </w:r>
    </w:p>
    <w:p>
      <w:r>
        <w:rPr>
          <w:b/>
        </w:rPr>
        <w:t xml:space="preserve">5 </w:t>
      </w:r>
      <w:r>
        <w:t xml:space="preserve">By faith Enoch</w:t>
      </w:r>
      <w:r>
        <w:rPr>
          <w:rStyle w:val="FootnoteReference"/>
        </w:rPr>
        <w:footnoteReference w:id="18962"/>
      </w:r>
      <w:r>
        <w:t xml:space="preserve"> was translated so that he should not see death; and was not found, because God had translated him: for before his translation he had testimony that he pleased God.</w:t>
      </w:r>
    </w:p>
    <w:p>
      <w:r>
        <w:rPr>
          <w:b/>
        </w:rPr>
        <w:t xml:space="preserve">6 </w:t>
      </w:r>
      <w:r>
        <w:t xml:space="preserve">But without faith it is impossible to please him: for the one who comes to God must</w:t>
      </w:r>
      <w:r>
        <w:rPr>
          <w:rStyle w:val="FootnoteReference"/>
        </w:rPr>
        <w:footnoteReference w:id="18963"/>
      </w:r>
      <w:r>
        <w:t xml:space="preserve"> believe that he is, and that he is a rewarder of those who diligently seek him.</w:t>
      </w:r>
    </w:p>
    <w:p>
      <w:r>
        <w:rPr>
          <w:b/>
        </w:rPr>
        <w:t xml:space="preserve">7 </w:t>
      </w:r>
      <w:r>
        <w:t xml:space="preserve">By faith Noah</w:t>
      </w:r>
      <w:r>
        <w:rPr>
          <w:rStyle w:val="FootnoteReference"/>
        </w:rPr>
        <w:footnoteReference w:id="18964"/>
      </w:r>
      <w:r>
        <w:t xml:space="preserve">, being warned of God concerning things not yet seen, moved with fear, prepared an ark for the salvation of his house; through which he condemned the world, and became heir of the righteousness which is by faith.</w:t>
      </w:r>
    </w:p>
    <w:p>
      <w:r>
        <w:rPr>
          <w:b/>
        </w:rPr>
        <w:t xml:space="preserve">8 </w:t>
      </w:r>
      <w:r>
        <w:t xml:space="preserve">By faith Abraham</w:t>
      </w:r>
      <w:r>
        <w:rPr>
          <w:rStyle w:val="FootnoteReference"/>
        </w:rPr>
        <w:footnoteReference w:id="18965"/>
      </w:r>
      <w:r>
        <w:t xml:space="preserve">, when called, obeyed to go out to the place which he was about to receive for an inheritance; and he went out, not knowing where he was going.</w:t>
      </w:r>
    </w:p>
    <w:p>
      <w:r>
        <w:rPr>
          <w:b/>
        </w:rPr>
        <w:t xml:space="preserve">9 </w:t>
      </w:r>
      <w:r>
        <w:t xml:space="preserve">By faith he sojourned</w:t>
      </w:r>
      <w:r>
        <w:rPr>
          <w:rStyle w:val="FootnoteReference"/>
        </w:rPr>
        <w:footnoteReference w:id="18966"/>
      </w:r>
      <w:r>
        <w:t xml:space="preserve"> in the land of promise, as in a foreign land, dwelling in tents with Isaac and Jacob, co-heirs of the same promise:</w:t>
      </w:r>
    </w:p>
    <w:p>
      <w:r>
        <w:rPr>
          <w:b/>
        </w:rPr>
        <w:t xml:space="preserve">10 </w:t>
      </w:r>
      <w:r>
        <w:t xml:space="preserve">For he waited for the city which has foundations, whose builder and maker is God.</w:t>
      </w:r>
    </w:p>
    <w:p>
      <w:r>
        <w:rPr>
          <w:b/>
        </w:rPr>
        <w:t xml:space="preserve">11 </w:t>
      </w:r>
      <w:r>
        <w:t xml:space="preserve">Through faith also Sarah</w:t>
      </w:r>
      <w:r>
        <w:rPr>
          <w:rStyle w:val="FootnoteReference"/>
        </w:rPr>
        <w:footnoteReference w:id="18967"/>
      </w:r>
      <w:r>
        <w:t xml:space="preserve"> herself received strength to conceive seed, and was delivered of a child when she was past age, because she judged him faithful who had promised.</w:t>
      </w:r>
    </w:p>
    <w:p>
      <w:r>
        <w:rPr>
          <w:b/>
        </w:rPr>
        <w:t xml:space="preserve">12 </w:t>
      </w:r>
      <w:r>
        <w:t xml:space="preserve">Therefore also from one, and him</w:t>
      </w:r>
      <w:r>
        <w:rPr>
          <w:rStyle w:val="FootnoteReference"/>
        </w:rPr>
        <w:footnoteReference w:id="18968"/>
      </w:r>
      <w:r>
        <w:t xml:space="preserve"> as good as dead, were begotten as many as the stars of heaven in multitude, and as the sand which is by the seashore innumerable.</w:t>
      </w:r>
    </w:p>
    <w:p>
      <w:r>
        <w:rPr>
          <w:b/>
        </w:rPr>
        <w:t xml:space="preserve">13 </w:t>
      </w:r>
      <w:r>
        <w:t xml:space="preserve">These all died</w:t>
      </w:r>
      <w:r>
        <w:rPr>
          <w:rStyle w:val="FootnoteReference"/>
        </w:rPr>
        <w:footnoteReference w:id="18969"/>
      </w:r>
      <w:r>
        <w:t xml:space="preserve"> according to faith, not having received the promises, but having seen them afar off, and been persuaded, and greeted them, and confessed that they were strangers and pilgrims on the earth.</w:t>
      </w:r>
    </w:p>
    <w:p>
      <w:r>
        <w:rPr>
          <w:b/>
        </w:rPr>
        <w:t xml:space="preserve">14 </w:t>
      </w:r>
      <w:r>
        <w:t xml:space="preserve">For those who say such things declare plainly that they seek</w:t>
      </w:r>
      <w:r>
        <w:rPr>
          <w:rStyle w:val="FootnoteReference"/>
        </w:rPr>
        <w:footnoteReference w:id="18970"/>
      </w:r>
      <w:r>
        <w:t xml:space="preserve"> a country.</w:t>
      </w:r>
    </w:p>
    <w:p>
      <w:r>
        <w:rPr>
          <w:b/>
        </w:rPr>
        <w:t xml:space="preserve">15 </w:t>
      </w:r>
      <w:r>
        <w:t xml:space="preserve">And truly, if they had been mindful</w:t>
      </w:r>
      <w:r>
        <w:rPr>
          <w:rStyle w:val="FootnoteReference"/>
        </w:rPr>
        <w:footnoteReference w:id="18971"/>
      </w:r>
      <w:r>
        <w:t xml:space="preserve"> of that country from where they came out, they might have had opportunity to have returned.</w:t>
      </w:r>
    </w:p>
    <w:p>
      <w:r>
        <w:rPr>
          <w:b/>
        </w:rPr>
        <w:t xml:space="preserve">16 </w:t>
      </w:r>
      <w:r>
        <w:t xml:space="preserve">But now they desire</w:t>
      </w:r>
      <w:r>
        <w:rPr>
          <w:rStyle w:val="FootnoteReference"/>
        </w:rPr>
        <w:footnoteReference w:id="18972"/>
      </w:r>
      <w:r>
        <w:t xml:space="preserve"> a better country, that is, a heavenly: therefore God is not ashamed to be called their God: for he has prepared for them a city.</w:t>
      </w:r>
    </w:p>
    <w:p>
      <w:r>
        <w:rPr>
          <w:b/>
        </w:rPr>
        <w:t xml:space="preserve">17 </w:t>
      </w:r>
      <w:r>
        <w:t xml:space="preserve">By faith</w:t>
      </w:r>
      <w:r>
        <w:rPr>
          <w:rStyle w:val="FootnoteReference"/>
        </w:rPr>
        <w:footnoteReference w:id="18973"/>
      </w:r>
      <w:r>
        <w:t xml:space="preserve"> Abraham, when he was tried, offered up Isaac: and the one who had received the promises offered up his only begotten son,</w:t>
      </w:r>
    </w:p>
    <w:p>
      <w:r>
        <w:rPr>
          <w:b/>
        </w:rPr>
        <w:t xml:space="preserve">18 </w:t>
      </w:r>
      <w:r>
        <w:t xml:space="preserve">to whom it was said, In Isaac shall your seed be called:</w:t>
      </w:r>
    </w:p>
    <w:p>
      <w:r>
        <w:rPr>
          <w:b/>
        </w:rPr>
        <w:t xml:space="preserve">19 </w:t>
      </w:r>
      <w:r>
        <w:t xml:space="preserve">Accounting that God was able to raise him up, even from the</w:t>
      </w:r>
      <w:r>
        <w:rPr>
          <w:rStyle w:val="FootnoteReference"/>
        </w:rPr>
        <w:footnoteReference w:id="18974"/>
      </w:r>
      <w:r>
        <w:t xml:space="preserve"> dead; from where also he received him in a figure.</w:t>
      </w:r>
    </w:p>
    <w:p>
      <w:r>
        <w:rPr>
          <w:b/>
        </w:rPr>
        <w:t xml:space="preserve">20 </w:t>
      </w:r>
      <w:r>
        <w:t xml:space="preserve">By faith Isaac blessed Jacob and Esau concerning things to come.</w:t>
      </w:r>
    </w:p>
    <w:p>
      <w:r>
        <w:rPr>
          <w:b/>
        </w:rPr>
        <w:t xml:space="preserve">21 </w:t>
      </w:r>
      <w:r>
        <w:t xml:space="preserve">By faith</w:t>
      </w:r>
      <w:r>
        <w:rPr>
          <w:rStyle w:val="FootnoteReference"/>
        </w:rPr>
        <w:footnoteReference w:id="18975"/>
      </w:r>
      <w:r>
        <w:t xml:space="preserve"> Jacob, when he was a dying, blessed both the sons of Joseph; and worshiped, leaning upon the top of his staff.</w:t>
      </w:r>
    </w:p>
    <w:p>
      <w:r>
        <w:rPr>
          <w:b/>
        </w:rPr>
        <w:t xml:space="preserve">22 </w:t>
      </w:r>
      <w:r>
        <w:t xml:space="preserve">By faith</w:t>
      </w:r>
      <w:r>
        <w:rPr>
          <w:rStyle w:val="FootnoteReference"/>
        </w:rPr>
        <w:footnoteReference w:id="18976"/>
      </w:r>
      <w:r>
        <w:t xml:space="preserve"> Joseph, when dying, made mention concerning the exodus of the children of Israel; and gave command concerning his bones.</w:t>
      </w:r>
    </w:p>
    <w:p>
      <w:r>
        <w:rPr>
          <w:b/>
        </w:rPr>
        <w:t xml:space="preserve">23 </w:t>
      </w:r>
      <w:r>
        <w:t xml:space="preserve">By faith</w:t>
      </w:r>
      <w:r>
        <w:rPr>
          <w:rStyle w:val="FootnoteReference"/>
        </w:rPr>
        <w:footnoteReference w:id="18977"/>
      </w:r>
      <w:r>
        <w:t xml:space="preserve"> Moses, when he was born, was hidden three months by his parents, because they saw he was a beautiful child; and they were not afraid of the king's decree.</w:t>
      </w:r>
    </w:p>
    <w:p>
      <w:r>
        <w:rPr>
          <w:b/>
        </w:rPr>
        <w:t xml:space="preserve">24 </w:t>
      </w:r>
      <w:r>
        <w:t xml:space="preserve">By faith Moses, when he had come to years, refused to be called the son of Pharaoh's daughter;</w:t>
      </w:r>
    </w:p>
    <w:p>
      <w:r>
        <w:rPr>
          <w:b/>
        </w:rPr>
        <w:t xml:space="preserve">25 </w:t>
      </w:r>
      <w:r>
        <w:t xml:space="preserve">choosing</w:t>
      </w:r>
      <w:r>
        <w:rPr>
          <w:rStyle w:val="FootnoteReference"/>
        </w:rPr>
        <w:footnoteReference w:id="18978"/>
      </w:r>
      <w:r>
        <w:t xml:space="preserve"> rather to suffer affliction with the people of God than to have temporary enjoyment of sin;</w:t>
      </w:r>
    </w:p>
    <w:p>
      <w:r>
        <w:rPr>
          <w:b/>
        </w:rPr>
        <w:t xml:space="preserve">26 </w:t>
      </w:r>
      <w:r>
        <w:t xml:space="preserve">Esteeming the reproach</w:t>
      </w:r>
      <w:r>
        <w:rPr>
          <w:rStyle w:val="FootnoteReference"/>
        </w:rPr>
        <w:footnoteReference w:id="18979"/>
      </w:r>
      <w:r>
        <w:t xml:space="preserve"> of Christ greater riches than the treasures in Egypt: for he had respect to the recompense of the reward.</w:t>
      </w:r>
    </w:p>
    <w:p>
      <w:r>
        <w:rPr>
          <w:b/>
        </w:rPr>
        <w:t xml:space="preserve">27 </w:t>
      </w:r>
      <w:r>
        <w:t xml:space="preserve">By faith he left Egypt, not fearing</w:t>
      </w:r>
      <w:r>
        <w:rPr>
          <w:rStyle w:val="FootnoteReference"/>
        </w:rPr>
        <w:footnoteReference w:id="18980"/>
      </w:r>
      <w:r>
        <w:t xml:space="preserve"> the wrath of the king: for he endured, as seeing him who is invisible.</w:t>
      </w:r>
    </w:p>
    <w:p>
      <w:r>
        <w:rPr>
          <w:b/>
        </w:rPr>
        <w:t xml:space="preserve">28 </w:t>
      </w:r>
      <w:r>
        <w:t xml:space="preserve">Through faith he kept</w:t>
      </w:r>
      <w:r>
        <w:rPr>
          <w:rStyle w:val="FootnoteReference"/>
        </w:rPr>
        <w:footnoteReference w:id="18981"/>
      </w:r>
      <w:r>
        <w:t xml:space="preserve"> the Passover, and the sprinkling of blood, lest the one who destroyed the firstborn should touch them.</w:t>
      </w:r>
    </w:p>
    <w:p>
      <w:r>
        <w:rPr>
          <w:b/>
        </w:rPr>
        <w:t xml:space="preserve">29 </w:t>
      </w:r>
      <w:r>
        <w:t xml:space="preserve">By faith they passed through the Red Sea as through dry land: which the Egyptians, attempting, were swallowed.</w:t>
      </w:r>
    </w:p>
    <w:p>
      <w:r>
        <w:rPr>
          <w:b/>
        </w:rPr>
        <w:t xml:space="preserve">30 </w:t>
      </w:r>
      <w:r>
        <w:t xml:space="preserve">By faith the walls of Jericho fell, having been encircled for seven days.</w:t>
      </w:r>
    </w:p>
    <w:p>
      <w:r>
        <w:rPr>
          <w:b/>
        </w:rPr>
        <w:t xml:space="preserve">31 </w:t>
      </w:r>
      <w:r>
        <w:t xml:space="preserve">By faith the prostitute Rahab did not perish with those who did not believe</w:t>
      </w:r>
      <w:r>
        <w:rPr>
          <w:rStyle w:val="FootnoteReference"/>
        </w:rPr>
        <w:footnoteReference w:id="18982"/>
      </w:r>
      <w:r>
        <w:t xml:space="preserve">, when she had received the spies with peace.</w:t>
      </w:r>
    </w:p>
    <w:p>
      <w:r>
        <w:rPr>
          <w:b/>
        </w:rPr>
        <w:t xml:space="preserve">32 </w:t>
      </w:r>
      <w:r>
        <w:t xml:space="preserve">And what shall</w:t>
      </w:r>
      <w:r>
        <w:rPr>
          <w:rStyle w:val="FootnoteReference"/>
        </w:rPr>
        <w:footnoteReference w:id="18983"/>
      </w:r>
      <w:r>
        <w:t xml:space="preserve"> I more say? for the time would fail me to tell of Gideon</w:t>
      </w:r>
      <w:r>
        <w:rPr>
          <w:rStyle w:val="FootnoteReference"/>
        </w:rPr>
        <w:footnoteReference w:id="18984"/>
      </w:r>
      <w:r>
        <w:t xml:space="preserve">, and of Barak</w:t>
      </w:r>
      <w:r>
        <w:rPr>
          <w:rStyle w:val="FootnoteReference"/>
        </w:rPr>
        <w:footnoteReference w:id="18985"/>
      </w:r>
      <w:r>
        <w:t xml:space="preserve">, and of Samson</w:t>
      </w:r>
      <w:r>
        <w:rPr>
          <w:rStyle w:val="FootnoteReference"/>
        </w:rPr>
        <w:footnoteReference w:id="18986"/>
      </w:r>
      <w:r>
        <w:t xml:space="preserve">, and of Jephthah</w:t>
      </w:r>
      <w:r>
        <w:rPr>
          <w:rStyle w:val="FootnoteReference"/>
        </w:rPr>
        <w:footnoteReference w:id="18987"/>
      </w:r>
      <w:r>
        <w:t xml:space="preserve">; of David also, and Samuel, and of the prophets:</w:t>
      </w:r>
      <w:r>
        <w:rPr>
          <w:rStyle w:val="FootnoteReference"/>
        </w:rPr>
        <w:footnoteReference w:id="18988"/>
      </w:r>
    </w:p>
    <w:p>
      <w:r>
        <w:rPr>
          <w:b/>
        </w:rPr>
        <w:t xml:space="preserve">33 </w:t>
      </w:r>
      <w:r>
        <w:t xml:space="preserve">Who through faith subdued kingdoms, worked righteousness, obtained</w:t>
      </w:r>
      <w:r>
        <w:rPr>
          <w:rStyle w:val="FootnoteReference"/>
        </w:rPr>
        <w:footnoteReference w:id="18989"/>
      </w:r>
      <w:r>
        <w:t xml:space="preserve"> promises, stopped the mouths of lions.</w:t>
      </w:r>
    </w:p>
    <w:p>
      <w:r>
        <w:rPr>
          <w:b/>
        </w:rPr>
        <w:t xml:space="preserve">34 </w:t>
      </w:r>
      <w:r>
        <w:t xml:space="preserve">Quenched</w:t>
      </w:r>
      <w:r>
        <w:rPr>
          <w:rStyle w:val="FootnoteReference"/>
        </w:rPr>
        <w:footnoteReference w:id="18990"/>
      </w:r>
      <w:r>
        <w:t xml:space="preserve"> the violence of fire, escaped the edge of the sword, out of weakness were made strong, became valiant in fight, turned to flight the armies of the aliens.</w:t>
      </w:r>
    </w:p>
    <w:p>
      <w:r>
        <w:rPr>
          <w:b/>
        </w:rPr>
        <w:t xml:space="preserve">35 </w:t>
      </w:r>
      <w:r>
        <w:t xml:space="preserve">Women</w:t>
      </w:r>
      <w:r>
        <w:rPr>
          <w:rStyle w:val="FootnoteReference"/>
        </w:rPr>
        <w:footnoteReference w:id="18991"/>
      </w:r>
      <w:r>
        <w:t xml:space="preserve"> received their dead by resurrection: and others were tortured, not accepting release; that they might obtain a better resurrection:</w:t>
      </w:r>
    </w:p>
    <w:p>
      <w:r>
        <w:rPr>
          <w:b/>
        </w:rPr>
        <w:t xml:space="preserve">36 </w:t>
      </w:r>
      <w:r>
        <w:t xml:space="preserve">And others had trial of cruel mockings</w:t>
      </w:r>
      <w:r>
        <w:rPr>
          <w:rStyle w:val="FootnoteReference"/>
        </w:rPr>
        <w:footnoteReference w:id="18992"/>
      </w:r>
      <w:r>
        <w:t xml:space="preserve"> and scourgings, yes, moreover of bonds and imprisonment:</w:t>
      </w:r>
    </w:p>
    <w:p>
      <w:r>
        <w:rPr>
          <w:b/>
        </w:rPr>
        <w:t xml:space="preserve">37 </w:t>
      </w:r>
      <w:r>
        <w:t xml:space="preserve">They were stoned</w:t>
      </w:r>
      <w:r>
        <w:rPr>
          <w:rStyle w:val="FootnoteReference"/>
        </w:rPr>
        <w:footnoteReference w:id="18993"/>
      </w:r>
      <w:r>
        <w:t xml:space="preserve">, they were sawn asunder, were tempted, were killed with the sword: they wandered about in sheepskins and goatskins; being destitute, afflicted, tormented;</w:t>
      </w:r>
    </w:p>
    <w:p>
      <w:r>
        <w:rPr>
          <w:b/>
        </w:rPr>
        <w:t xml:space="preserve">38 </w:t>
      </w:r>
      <w:r>
        <w:t xml:space="preserve">of whom the world was not worthy, wandering in deserts, and mountains, and caves, and holes of the earth.</w:t>
      </w:r>
    </w:p>
    <w:p>
      <w:r>
        <w:rPr>
          <w:b/>
        </w:rPr>
        <w:t xml:space="preserve">39 </w:t>
      </w:r>
      <w:r>
        <w:t xml:space="preserve">And these all, having obtained a good report through faith, did not receive the promise:</w:t>
      </w:r>
    </w:p>
    <w:p>
      <w:r>
        <w:rPr>
          <w:b/>
        </w:rPr>
        <w:t xml:space="preserve">40 </w:t>
      </w:r>
      <w:r>
        <w:t xml:space="preserve">God having provided something better</w:t>
      </w:r>
      <w:r>
        <w:rPr>
          <w:rStyle w:val="FootnoteReference"/>
        </w:rPr>
        <w:footnoteReference w:id="18994"/>
      </w:r>
      <w:r>
        <w:t xml:space="preserve"> concerning us, that they should not be made perfect without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Therefore seeing</w:t>
      </w:r>
      <w:r>
        <w:rPr>
          <w:rStyle w:val="FootnoteReference"/>
        </w:rPr>
        <w:footnoteReference w:id="18995"/>
      </w:r>
      <w:r>
        <w:t xml:space="preserve"> we also are compassed about with so great a cloud of witnesses, let us lay aside every weight, and the sin which does so easily beset us, and let us run with patience the race that is set before us,</w:t>
      </w:r>
    </w:p>
    <w:p>
      <w:r>
        <w:rPr>
          <w:b/>
        </w:rPr>
        <w:t xml:space="preserve">2 </w:t>
      </w:r>
      <w:r>
        <w:t xml:space="preserve">Looking</w:t>
      </w:r>
      <w:r>
        <w:rPr>
          <w:rStyle w:val="FootnoteReference"/>
        </w:rPr>
        <w:footnoteReference w:id="18996"/>
      </w:r>
      <w:r>
        <w:t xml:space="preserve"> to Jesus the author and finisher of our faith; who for the joy that was set before him endured the cross, despising the shame, and is set down at the right hand of the throne of God.</w:t>
      </w:r>
    </w:p>
    <w:p>
      <w:r>
        <w:rPr>
          <w:b/>
        </w:rPr>
        <w:t xml:space="preserve">3 </w:t>
      </w:r>
      <w:r>
        <w:t xml:space="preserve">For consider</w:t>
      </w:r>
      <w:r>
        <w:rPr>
          <w:rStyle w:val="FootnoteReference"/>
        </w:rPr>
        <w:footnoteReference w:id="18997"/>
      </w:r>
      <w:r>
        <w:t xml:space="preserve"> him who endured such contradiction of sinners against himself, lest you be wearied and faint in your minds.</w:t>
      </w:r>
    </w:p>
    <w:p>
      <w:r>
        <w:rPr>
          <w:b/>
        </w:rPr>
        <w:t xml:space="preserve">4 </w:t>
      </w:r>
      <w:r>
        <w:t xml:space="preserve">You have not yet resisted to blood, striving against sin.</w:t>
      </w:r>
    </w:p>
    <w:p>
      <w:r>
        <w:rPr>
          <w:b/>
        </w:rPr>
        <w:t xml:space="preserve">5 </w:t>
      </w:r>
      <w:r>
        <w:t xml:space="preserve">And you have forgotten the exhortation</w:t>
      </w:r>
      <w:r>
        <w:rPr>
          <w:rStyle w:val="FootnoteReference"/>
        </w:rPr>
        <w:footnoteReference w:id="18998"/>
      </w:r>
      <w:r>
        <w:t xml:space="preserve"> which speaks to you as to children, My son, despise not you the chastening of the Lord, nor faint when you are rebuked of him:</w:t>
      </w:r>
    </w:p>
    <w:p>
      <w:r>
        <w:rPr>
          <w:b/>
        </w:rPr>
        <w:t xml:space="preserve">6 </w:t>
      </w:r>
      <w:r>
        <w:t xml:space="preserve">For whom the Lord loves he chastens, and scourges every son whom he receives.</w:t>
      </w:r>
    </w:p>
    <w:p>
      <w:r>
        <w:rPr>
          <w:b/>
        </w:rPr>
        <w:t xml:space="preserve">7 </w:t>
      </w:r>
      <w:r>
        <w:t xml:space="preserve">If you endure</w:t>
      </w:r>
      <w:r>
        <w:rPr>
          <w:rStyle w:val="FootnoteReference"/>
        </w:rPr>
        <w:footnoteReference w:id="18999"/>
      </w:r>
      <w:r>
        <w:t xml:space="preserve"> chastening, God deals with you as with sons; for what son is he whom the father chastens not?</w:t>
      </w:r>
    </w:p>
    <w:p>
      <w:r>
        <w:rPr>
          <w:b/>
        </w:rPr>
        <w:t xml:space="preserve">8 </w:t>
      </w:r>
      <w:r>
        <w:t xml:space="preserve">But if you be without chastisement, of which all are partakers, then are you bastards, and not sons.</w:t>
      </w:r>
    </w:p>
    <w:p>
      <w:r>
        <w:rPr>
          <w:b/>
        </w:rPr>
        <w:t xml:space="preserve">9 </w:t>
      </w:r>
      <w:r>
        <w:t xml:space="preserve">Furthermore we have had fathers</w:t>
      </w:r>
      <w:r>
        <w:rPr>
          <w:rStyle w:val="FootnoteReference"/>
        </w:rPr>
        <w:footnoteReference w:id="19000"/>
      </w:r>
      <w:r>
        <w:t xml:space="preserve"> of our flesh which corrected us, and we gave them reverence: shall we not much rather be in subjection to the Father of spirits, and live?</w:t>
      </w:r>
    </w:p>
    <w:p>
      <w:r>
        <w:rPr>
          <w:b/>
        </w:rPr>
        <w:t xml:space="preserve">10 </w:t>
      </w:r>
      <w:r>
        <w:t xml:space="preserve">For they truly for a few days chastened us after their own pleasure; but he</w:t>
      </w:r>
      <w:r>
        <w:rPr>
          <w:rStyle w:val="FootnoteReference"/>
        </w:rPr>
        <w:footnoteReference w:id="19001"/>
      </w:r>
      <w:r>
        <w:t xml:space="preserve"> for our profit, that we might be partakers of his holiness.</w:t>
      </w:r>
    </w:p>
    <w:p>
      <w:r>
        <w:rPr>
          <w:b/>
        </w:rPr>
        <w:t xml:space="preserve">11 </w:t>
      </w:r>
      <w:r>
        <w:t xml:space="preserve">Now no chastening</w:t>
      </w:r>
      <w:r>
        <w:rPr>
          <w:rStyle w:val="FootnoteReference"/>
        </w:rPr>
        <w:footnoteReference w:id="19002"/>
      </w:r>
      <w:r>
        <w:t xml:space="preserve"> for the present seems to be joyous, but grievous: nevertheless afterward it yields the peaceable fruit of righteousness to those who are exercised by it.</w:t>
      </w:r>
    </w:p>
    <w:p>
      <w:r>
        <w:rPr>
          <w:b/>
        </w:rPr>
        <w:t xml:space="preserve">12 </w:t>
      </w:r>
      <w:r>
        <w:t xml:space="preserve">Therefore lift up the hands which hang down, and the feeble knees;</w:t>
      </w:r>
    </w:p>
    <w:p>
      <w:r>
        <w:rPr>
          <w:b/>
        </w:rPr>
        <w:t xml:space="preserve">13 </w:t>
      </w:r>
      <w:r>
        <w:t xml:space="preserve">And make</w:t>
      </w:r>
      <w:r>
        <w:rPr>
          <w:rStyle w:val="FootnoteReference"/>
        </w:rPr>
        <w:footnoteReference w:id="19003"/>
      </w:r>
      <w:r>
        <w:t xml:space="preserve"> straight paths for your feet, lest that which is lame be turned out of the way; but let it rather be healed.</w:t>
      </w:r>
    </w:p>
    <w:p>
      <w:r>
        <w:rPr>
          <w:b/>
        </w:rPr>
        <w:t xml:space="preserve">14 </w:t>
      </w:r>
      <w:r>
        <w:t xml:space="preserve">Follow</w:t>
      </w:r>
      <w:r>
        <w:rPr>
          <w:rStyle w:val="FootnoteReference"/>
        </w:rPr>
        <w:footnoteReference w:id="19004"/>
      </w:r>
      <w:r>
        <w:t xml:space="preserve"> peace with all men, and holiness, without which no one shall see the Lord:</w:t>
      </w:r>
    </w:p>
    <w:p>
      <w:r>
        <w:rPr>
          <w:b/>
        </w:rPr>
        <w:t xml:space="preserve">15 </w:t>
      </w:r>
      <w:r>
        <w:t xml:space="preserve">Looking</w:t>
      </w:r>
      <w:r>
        <w:rPr>
          <w:rStyle w:val="FootnoteReference"/>
        </w:rPr>
        <w:footnoteReference w:id="19005"/>
      </w:r>
      <w:r>
        <w:t xml:space="preserve"> diligently lest anyone fail of the grace of God; lest any root of bitterness springing up trouble you, and by it many be defiled;</w:t>
      </w:r>
    </w:p>
    <w:p>
      <w:r>
        <w:rPr>
          <w:b/>
        </w:rPr>
        <w:t xml:space="preserve">16 </w:t>
      </w:r>
      <w:r>
        <w:t xml:space="preserve">lest anyone is sexually immoral, or profane person, as Esau</w:t>
      </w:r>
      <w:r>
        <w:rPr>
          <w:rStyle w:val="FootnoteReference"/>
        </w:rPr>
        <w:footnoteReference w:id="19006"/>
      </w:r>
      <w:r>
        <w:t xml:space="preserve">, who for one morsel of food sold his birthright.</w:t>
      </w:r>
    </w:p>
    <w:p>
      <w:r>
        <w:rPr>
          <w:b/>
        </w:rPr>
        <w:t xml:space="preserve">17 </w:t>
      </w:r>
      <w:r>
        <w:t xml:space="preserve">For you know how that afterward, when he</w:t>
      </w:r>
      <w:r>
        <w:rPr>
          <w:rStyle w:val="FootnoteReference"/>
        </w:rPr>
        <w:footnoteReference w:id="19007"/>
      </w:r>
      <w:r>
        <w:t xml:space="preserve"> would have inherited the blessing, he was rejected: for he found no place of repentance, though he sought it carefully with tears.</w:t>
      </w:r>
    </w:p>
    <w:p>
      <w:r>
        <w:rPr>
          <w:b/>
        </w:rPr>
        <w:t xml:space="preserve">18 </w:t>
      </w:r>
      <w:r>
        <w:t xml:space="preserve">For you are not come to the mount that might be touched, and that burned with fire, nor to blackness, and darkness, and tempest,</w:t>
      </w:r>
    </w:p>
    <w:p>
      <w:r>
        <w:rPr>
          <w:b/>
        </w:rPr>
        <w:t xml:space="preserve">19 </w:t>
      </w:r>
      <w:r>
        <w:t xml:space="preserve">And the sound</w:t>
      </w:r>
      <w:r>
        <w:rPr>
          <w:rStyle w:val="FootnoteReference"/>
        </w:rPr>
        <w:footnoteReference w:id="19008"/>
      </w:r>
      <w:r>
        <w:t xml:space="preserve"> of a trumpet, and the voice of words; which voice those who heard implored that the word should not be spoken to them any more:</w:t>
      </w:r>
    </w:p>
    <w:p>
      <w:r>
        <w:rPr>
          <w:b/>
        </w:rPr>
        <w:t xml:space="preserve">20 </w:t>
      </w:r>
      <w:r>
        <w:t xml:space="preserve">(For they</w:t>
      </w:r>
      <w:r>
        <w:rPr>
          <w:rStyle w:val="FootnoteReference"/>
        </w:rPr>
        <w:footnoteReference w:id="19009"/>
      </w:r>
      <w:r>
        <w:t xml:space="preserve"> could not endure that which was commanded, And if so much as a beast touch the mountain, it shall be stoned, or thrust through with a dart:</w:t>
      </w:r>
    </w:p>
    <w:p>
      <w:r>
        <w:rPr>
          <w:b/>
        </w:rPr>
        <w:t xml:space="preserve">21 </w:t>
      </w:r>
      <w:r>
        <w:t xml:space="preserve">And so fearful was the appearance that Moses</w:t>
      </w:r>
      <w:r>
        <w:rPr>
          <w:rStyle w:val="FootnoteReference"/>
        </w:rPr>
        <w:footnoteReference w:id="19010"/>
      </w:r>
      <w:r>
        <w:t xml:space="preserve"> said, I am terrified and trembling:)</w:t>
      </w:r>
    </w:p>
    <w:p>
      <w:r>
        <w:rPr>
          <w:b/>
        </w:rPr>
        <w:t xml:space="preserve">22 </w:t>
      </w:r>
      <w:r>
        <w:t xml:space="preserve">But you have come to mount Zion, and to the city of the</w:t>
      </w:r>
      <w:r>
        <w:rPr>
          <w:rStyle w:val="FootnoteReference"/>
        </w:rPr>
        <w:footnoteReference w:id="19011"/>
      </w:r>
      <w:r>
        <w:t xml:space="preserve"> living God, the heavenly Jerusalem, and to an innumerable company of angels,</w:t>
      </w:r>
    </w:p>
    <w:p>
      <w:r>
        <w:rPr>
          <w:b/>
        </w:rPr>
        <w:t xml:space="preserve">23 </w:t>
      </w:r>
      <w:r>
        <w:t xml:space="preserve">To the general</w:t>
      </w:r>
      <w:r>
        <w:rPr>
          <w:rStyle w:val="FootnoteReference"/>
        </w:rPr>
        <w:footnoteReference w:id="19012"/>
      </w:r>
      <w:r>
        <w:t xml:space="preserve"> assembly and assembly of the firstborn, which are written in heaven, and to God the Judge of all, and to the spirits of just men made perfect,</w:t>
      </w:r>
    </w:p>
    <w:p>
      <w:r>
        <w:rPr>
          <w:b/>
        </w:rPr>
        <w:t xml:space="preserve">24 </w:t>
      </w:r>
      <w:r>
        <w:t xml:space="preserve">And to Jesus</w:t>
      </w:r>
      <w:r>
        <w:rPr>
          <w:rStyle w:val="FootnoteReference"/>
        </w:rPr>
        <w:footnoteReference w:id="19013"/>
      </w:r>
      <w:r>
        <w:t xml:space="preserve"> the mediator of the new covenant, and to the blood of sprinkling, that speaks better things than that of Abel.</w:t>
      </w:r>
    </w:p>
    <w:p>
      <w:r>
        <w:rPr>
          <w:b/>
        </w:rPr>
        <w:t xml:space="preserve">25 </w:t>
      </w:r>
      <w:r>
        <w:t xml:space="preserve">See that you do not refuse</w:t>
      </w:r>
      <w:r>
        <w:rPr>
          <w:rStyle w:val="FootnoteReference"/>
        </w:rPr>
        <w:footnoteReference w:id="19014"/>
      </w:r>
      <w:r>
        <w:t xml:space="preserve"> him who speaks. For if they did not escape who refused him who spoke on earth, much more shall not we escape, if we turn away from him who speaks from heaven:</w:t>
      </w:r>
    </w:p>
    <w:p>
      <w:r>
        <w:rPr>
          <w:b/>
        </w:rPr>
        <w:t xml:space="preserve">26 </w:t>
      </w:r>
      <w:r>
        <w:t xml:space="preserve">Whose voice</w:t>
      </w:r>
      <w:r>
        <w:rPr>
          <w:rStyle w:val="FootnoteReference"/>
        </w:rPr>
        <w:footnoteReference w:id="19015"/>
      </w:r>
      <w:r>
        <w:t xml:space="preserve"> then shook the earth: but now he has promised, saying, Yet once more I shake not the earth only, but also heaven.</w:t>
      </w:r>
    </w:p>
    <w:p>
      <w:r>
        <w:rPr>
          <w:b/>
        </w:rPr>
        <w:t xml:space="preserve">27 </w:t>
      </w:r>
      <w:r>
        <w:t xml:space="preserve">And this, Yet once more, signifies the removal of the things being shaken, as of things made, that the things not being shaken may remain.</w:t>
      </w:r>
    </w:p>
    <w:p>
      <w:r>
        <w:rPr>
          <w:b/>
        </w:rPr>
        <w:t xml:space="preserve">28 </w:t>
      </w:r>
      <w:r>
        <w:t xml:space="preserve">Therefore we receiving a kingdom</w:t>
      </w:r>
      <w:r>
        <w:rPr>
          <w:rStyle w:val="FootnoteReference"/>
        </w:rPr>
        <w:footnoteReference w:id="19016"/>
      </w:r>
      <w:r>
        <w:t xml:space="preserve"> which cannot be moved, let us have grace, by which we may serve God acceptably with reverence and godly fear:</w:t>
      </w:r>
    </w:p>
    <w:p>
      <w:r>
        <w:rPr>
          <w:b/>
        </w:rPr>
        <w:t xml:space="preserve">29 </w:t>
      </w:r>
      <w:r>
        <w:t xml:space="preserve">For our God is a consuming fire.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Let brotherly love continue.</w:t>
      </w:r>
    </w:p>
    <w:p>
      <w:r>
        <w:rPr>
          <w:b/>
        </w:rPr>
        <w:t xml:space="preserve">2 </w:t>
      </w:r>
      <w:r>
        <w:t xml:space="preserve">Do not be forgetful to entertain strangers: for by it some have entertained angels unexpectedly.</w:t>
      </w:r>
    </w:p>
    <w:p>
      <w:r>
        <w:rPr>
          <w:b/>
        </w:rPr>
        <w:t xml:space="preserve">3 </w:t>
      </w:r>
      <w:r>
        <w:t xml:space="preserve">Remember those who are in bonds, as bound with them; and those who suffer adversity, as being yourselves also in the body.</w:t>
      </w:r>
    </w:p>
    <w:p>
      <w:r>
        <w:rPr>
          <w:b/>
        </w:rPr>
        <w:t xml:space="preserve">4 </w:t>
      </w:r>
      <w:r>
        <w:t xml:space="preserve">Marriage</w:t>
      </w:r>
      <w:r>
        <w:rPr>
          <w:rStyle w:val="FootnoteReference"/>
        </w:rPr>
        <w:footnoteReference w:id="19017"/>
      </w:r>
      <w:r>
        <w:t xml:space="preserve"> is honorable in all, and the bed undefiled: but sexually immoral and adulterers God will judge.</w:t>
      </w:r>
    </w:p>
    <w:p>
      <w:r>
        <w:rPr>
          <w:b/>
        </w:rPr>
        <w:t xml:space="preserve">5 </w:t>
      </w:r>
      <w:r>
        <w:t xml:space="preserve">Let your conduct be without covetousness; and be</w:t>
      </w:r>
      <w:r>
        <w:rPr>
          <w:rStyle w:val="FootnoteReference"/>
        </w:rPr>
        <w:footnoteReference w:id="19018"/>
      </w:r>
      <w:r>
        <w:t xml:space="preserve"> content with such things as you have: for he has said, I will never leave you, nor forsake you.</w:t>
      </w:r>
    </w:p>
    <w:p>
      <w:r>
        <w:rPr>
          <w:b/>
        </w:rPr>
        <w:t xml:space="preserve">6 </w:t>
      </w:r>
      <w:r>
        <w:t xml:space="preserve">So that we may boldly</w:t>
      </w:r>
      <w:r>
        <w:rPr>
          <w:rStyle w:val="FootnoteReference"/>
        </w:rPr>
        <w:footnoteReference w:id="19019"/>
      </w:r>
      <w:r>
        <w:t xml:space="preserve"> say, The Lord is my helper, and I will not fear what man shall do to me.</w:t>
      </w:r>
    </w:p>
    <w:p>
      <w:r>
        <w:rPr>
          <w:b/>
        </w:rPr>
        <w:t xml:space="preserve">7 </w:t>
      </w:r>
      <w:r>
        <w:t xml:space="preserve">Remember those who have the rule over you, who have spoken to you the word of God: whose faith follow, considering</w:t>
      </w:r>
      <w:r>
        <w:rPr>
          <w:rStyle w:val="FootnoteReference"/>
        </w:rPr>
        <w:footnoteReference w:id="19020"/>
      </w:r>
      <w:r>
        <w:t xml:space="preserve"> the end of their conduct.</w:t>
      </w:r>
    </w:p>
    <w:p>
      <w:r>
        <w:rPr>
          <w:b/>
        </w:rPr>
        <w:t xml:space="preserve">8 </w:t>
      </w:r>
      <w:r>
        <w:t xml:space="preserve">Jesus Christ the same yesterday, and today, and forever.</w:t>
      </w:r>
    </w:p>
    <w:p>
      <w:r>
        <w:rPr>
          <w:b/>
        </w:rPr>
        <w:t xml:space="preserve">9 </w:t>
      </w:r>
      <w:r>
        <w:t xml:space="preserve">Do not be carried</w:t>
      </w:r>
      <w:r>
        <w:rPr>
          <w:rStyle w:val="FootnoteReference"/>
        </w:rPr>
        <w:footnoteReference w:id="19021"/>
      </w:r>
      <w:r>
        <w:t xml:space="preserve"> about with various and strange doctrines. For it is a good thing that the heart be established with grace; not with foods, which have not profited those who have been occupied in it.</w:t>
      </w:r>
    </w:p>
    <w:p>
      <w:r>
        <w:rPr>
          <w:b/>
        </w:rPr>
        <w:t xml:space="preserve">10 </w:t>
      </w:r>
      <w:r>
        <w:t xml:space="preserve">We have an altar</w:t>
      </w:r>
      <w:r>
        <w:rPr>
          <w:rStyle w:val="FootnoteReference"/>
        </w:rPr>
        <w:footnoteReference w:id="19022"/>
      </w:r>
      <w:r>
        <w:t xml:space="preserve">, of which they have no right to eat which serve the tabernacle.</w:t>
      </w:r>
    </w:p>
    <w:p>
      <w:r>
        <w:rPr>
          <w:b/>
        </w:rPr>
        <w:t xml:space="preserve">11 </w:t>
      </w:r>
      <w:r>
        <w:t xml:space="preserve">For the bodies</w:t>
      </w:r>
      <w:r>
        <w:rPr>
          <w:rStyle w:val="FootnoteReference"/>
        </w:rPr>
        <w:footnoteReference w:id="19023"/>
      </w:r>
      <w:r>
        <w:t xml:space="preserve"> of those animals whose blood is brought into the holy places by the high priest for sin are burned outside the camp.</w:t>
      </w:r>
    </w:p>
    <w:p>
      <w:r>
        <w:rPr>
          <w:b/>
        </w:rPr>
        <w:t xml:space="preserve">12 </w:t>
      </w:r>
      <w:r>
        <w:t xml:space="preserve">Therefore Jesus also, that he might sanctify</w:t>
      </w:r>
      <w:r>
        <w:rPr>
          <w:rStyle w:val="FootnoteReference"/>
        </w:rPr>
        <w:footnoteReference w:id="19024"/>
      </w:r>
      <w:r>
        <w:t xml:space="preserve"> the people with his own blood, suffered without the gate.</w:t>
      </w:r>
    </w:p>
    <w:p>
      <w:r>
        <w:rPr>
          <w:b/>
        </w:rPr>
        <w:t xml:space="preserve">13 </w:t>
      </w:r>
      <w:r>
        <w:t xml:space="preserve">Let us go forth therefore to him without the camp, bearing his reproach.</w:t>
      </w:r>
    </w:p>
    <w:p>
      <w:r>
        <w:rPr>
          <w:b/>
        </w:rPr>
        <w:t xml:space="preserve">14 </w:t>
      </w:r>
      <w:r>
        <w:t xml:space="preserve">For here we have no continuing city, but we seek the one to come.</w:t>
      </w:r>
    </w:p>
    <w:p>
      <w:r>
        <w:rPr>
          <w:b/>
        </w:rPr>
        <w:t xml:space="preserve">15 </w:t>
      </w:r>
      <w:r>
        <w:t xml:space="preserve">Through him therefore let us offer the sacrifice</w:t>
      </w:r>
      <w:r>
        <w:rPr>
          <w:rStyle w:val="FootnoteReference"/>
        </w:rPr>
        <w:footnoteReference w:id="19025"/>
      </w:r>
      <w:r>
        <w:t xml:space="preserve"> of praise to God continually, that is, the fruit of our lips confessing his name.</w:t>
      </w:r>
    </w:p>
    <w:p>
      <w:r>
        <w:rPr>
          <w:b/>
        </w:rPr>
        <w:t xml:space="preserve">16 </w:t>
      </w:r>
      <w:r>
        <w:t xml:space="preserve">But do not forget doing good and sharing: for with such</w:t>
      </w:r>
      <w:r>
        <w:rPr>
          <w:rStyle w:val="FootnoteReference"/>
        </w:rPr>
        <w:footnoteReference w:id="19026"/>
      </w:r>
      <w:r>
        <w:t xml:space="preserve"> sacrifices God is well pleased.</w:t>
      </w:r>
    </w:p>
    <w:p>
      <w:r>
        <w:rPr>
          <w:b/>
        </w:rPr>
        <w:t xml:space="preserve">17 </w:t>
      </w:r>
      <w:r>
        <w:t xml:space="preserve">Obey</w:t>
      </w:r>
      <w:r>
        <w:rPr>
          <w:rStyle w:val="FootnoteReference"/>
        </w:rPr>
        <w:footnoteReference w:id="19027"/>
      </w:r>
      <w:r>
        <w:t xml:space="preserve"> those who have the rule over you, and submit yourselves: for they watch for your souls, as those who must give account, that they may do it with joy, and not with grief: for that is useless for you.</w:t>
      </w:r>
    </w:p>
    <w:p>
      <w:r>
        <w:rPr>
          <w:b/>
        </w:rPr>
        <w:t xml:space="preserve">18 </w:t>
      </w:r>
      <w:r>
        <w:t xml:space="preserve">Pray</w:t>
      </w:r>
      <w:r>
        <w:rPr>
          <w:rStyle w:val="FootnoteReference"/>
        </w:rPr>
        <w:footnoteReference w:id="19028"/>
      </w:r>
      <w:r>
        <w:t xml:space="preserve"> for us: for we are persuaded that we have a good conscience, desiring in all things to conduct ourselves well.</w:t>
      </w:r>
    </w:p>
    <w:p>
      <w:r>
        <w:rPr>
          <w:b/>
        </w:rPr>
        <w:t xml:space="preserve">19 </w:t>
      </w:r>
      <w:r>
        <w:t xml:space="preserve">But I more earnestly plead that you do this, that I may be restored to you sooner.</w:t>
      </w:r>
    </w:p>
    <w:p>
      <w:r>
        <w:rPr>
          <w:b/>
        </w:rPr>
        <w:t xml:space="preserve">20 </w:t>
      </w:r>
      <w:r>
        <w:t xml:space="preserve">Now the God</w:t>
      </w:r>
      <w:r>
        <w:rPr>
          <w:rStyle w:val="FootnoteReference"/>
        </w:rPr>
        <w:footnoteReference w:id="19029"/>
      </w:r>
      <w:r>
        <w:t xml:space="preserve"> of peace, that brought again from the dead our Lord Jesus, that great shepherd of the sheep, through the blood of the eternal covenant,</w:t>
      </w:r>
    </w:p>
    <w:p>
      <w:r>
        <w:rPr>
          <w:b/>
        </w:rPr>
        <w:t xml:space="preserve">21 </w:t>
      </w:r>
      <w:r>
        <w:t xml:space="preserve">Make</w:t>
      </w:r>
      <w:r>
        <w:rPr>
          <w:rStyle w:val="FootnoteReference"/>
        </w:rPr>
        <w:footnoteReference w:id="19030"/>
      </w:r>
      <w:r>
        <w:t xml:space="preserve"> you perfect in every good work to do his will, working in you that which is well-pleasing in his sight, through Jesus Christ; to whom be glory forever and ever. Amen.</w:t>
      </w:r>
    </w:p>
    <w:p>
      <w:r>
        <w:rPr>
          <w:b/>
        </w:rPr>
        <w:t xml:space="preserve">22 </w:t>
      </w:r>
      <w:r>
        <w:t xml:space="preserve">And I plead to you, brothers, bear with the word of exhortation: for I have written a letter to you in few words.</w:t>
      </w:r>
    </w:p>
    <w:p>
      <w:r>
        <w:rPr>
          <w:b/>
        </w:rPr>
        <w:t xml:space="preserve">23 </w:t>
      </w:r>
      <w:r>
        <w:t xml:space="preserve">Know you that our brother</w:t>
      </w:r>
      <w:r>
        <w:rPr>
          <w:rStyle w:val="FootnoteReference"/>
        </w:rPr>
        <w:footnoteReference w:id="19031"/>
      </w:r>
      <w:r>
        <w:t xml:space="preserve"> Timothy is set at liberty; with whom, if he comes shortly, I will see you.</w:t>
      </w:r>
    </w:p>
    <w:p>
      <w:r>
        <w:rPr>
          <w:b/>
        </w:rPr>
        <w:t xml:space="preserve">24 </w:t>
      </w:r>
      <w:r>
        <w:t xml:space="preserve">Salute</w:t>
      </w:r>
      <w:r>
        <w:rPr>
          <w:rStyle w:val="FootnoteReference"/>
        </w:rPr>
        <w:footnoteReference w:id="19032"/>
      </w:r>
      <w:r>
        <w:t xml:space="preserve"> all those who have the rule over you, and all the holy ones. They of Italy salute you.</w:t>
      </w:r>
    </w:p>
    <w:p>
      <w:r>
        <w:rPr>
          <w:b/>
        </w:rPr>
        <w:t xml:space="preserve">25 </w:t>
      </w:r>
      <w:r>
        <w:t xml:space="preserve">Grace be with you all. Amen.</w:t>
      </w:r>
    </w:p>
    <w:p>
      <w:r>
        <w:br w:type="page"/>
      </w:r>
    </w:p>
    <w:p>
      <w:pPr>
        <w:pStyle w:val="Heading1"/>
      </w:pPr>
      <w:r>
        <w:t xml:space="preserve">James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James</w:t>
      </w:r>
      <w:r>
        <w:rPr>
          <w:rStyle w:val="FootnoteReference"/>
        </w:rPr>
        <w:footnoteReference w:id="19033"/>
      </w:r>
      <w:r>
        <w:t xml:space="preserve">, a slave of God and of the Lord Jesus Christ, to the twelve tribes which are scattered, greeting.</w:t>
      </w:r>
    </w:p>
    <w:p>
      <w:r>
        <w:rPr>
          <w:b/>
        </w:rPr>
        <w:t xml:space="preserve">2 </w:t>
      </w:r>
      <w:r>
        <w:t xml:space="preserve">My brothers, count</w:t>
      </w:r>
      <w:r>
        <w:rPr>
          <w:rStyle w:val="FootnoteReference"/>
        </w:rPr>
        <w:footnoteReference w:id="19034"/>
      </w:r>
      <w:r>
        <w:t xml:space="preserve"> it all joy when you fall into various temptations;</w:t>
      </w:r>
    </w:p>
    <w:p>
      <w:r>
        <w:rPr>
          <w:b/>
        </w:rPr>
        <w:t xml:space="preserve">3 </w:t>
      </w:r>
      <w:r>
        <w:t xml:space="preserve">Knowing that the testing of your faith works endurance.</w:t>
      </w:r>
    </w:p>
    <w:p>
      <w:r>
        <w:rPr>
          <w:b/>
        </w:rPr>
        <w:t xml:space="preserve">4 </w:t>
      </w:r>
      <w:r>
        <w:t xml:space="preserve">But let patience have her perfect work, that you may be perfect and</w:t>
      </w:r>
      <w:r>
        <w:rPr>
          <w:rStyle w:val="FootnoteReference"/>
        </w:rPr>
        <w:footnoteReference w:id="19035"/>
      </w:r>
      <w:r>
        <w:t xml:space="preserve"> entire, lacking nothing.</w:t>
      </w:r>
    </w:p>
    <w:p>
      <w:r>
        <w:rPr>
          <w:b/>
        </w:rPr>
        <w:t xml:space="preserve">5 </w:t>
      </w:r>
      <w:r>
        <w:t xml:space="preserve">But if any of you lacks wisdom, let him ask from God, who gives to all generously and does not reproach; and it shall be given to him.</w:t>
      </w:r>
    </w:p>
    <w:p>
      <w:r>
        <w:rPr>
          <w:b/>
        </w:rPr>
        <w:t xml:space="preserve">6 </w:t>
      </w:r>
      <w:r>
        <w:t xml:space="preserve">But let him ask in faith, nothing wavering. For the one who wavers is like a wave of the sea driven with the wind and tossed.</w:t>
      </w:r>
    </w:p>
    <w:p>
      <w:r>
        <w:rPr>
          <w:b/>
        </w:rPr>
        <w:t xml:space="preserve">7 </w:t>
      </w:r>
      <w:r>
        <w:t xml:space="preserve">For let not that man think that he shall receive anything of the Lord.</w:t>
      </w:r>
    </w:p>
    <w:p>
      <w:r>
        <w:rPr>
          <w:b/>
        </w:rPr>
        <w:t xml:space="preserve">8 </w:t>
      </w:r>
      <w:r>
        <w:t xml:space="preserve">A double-minded man is unstable in all his ways.</w:t>
      </w:r>
    </w:p>
    <w:p>
      <w:r>
        <w:rPr>
          <w:b/>
        </w:rPr>
        <w:t xml:space="preserve">9 </w:t>
      </w:r>
      <w:r>
        <w:t xml:space="preserve">But let the lowly brother boast in his exaltation:</w:t>
      </w:r>
    </w:p>
    <w:p>
      <w:r>
        <w:rPr>
          <w:b/>
        </w:rPr>
        <w:t xml:space="preserve">10 </w:t>
      </w:r>
      <w:r>
        <w:t xml:space="preserve">But the rich in his humiliation, because as a flower of grass he shall pass away.</w:t>
      </w:r>
    </w:p>
    <w:p>
      <w:r>
        <w:rPr>
          <w:b/>
        </w:rPr>
        <w:t xml:space="preserve">11 </w:t>
      </w:r>
      <w:r>
        <w:t xml:space="preserve">For the sun is no sooner risen</w:t>
      </w:r>
      <w:r>
        <w:rPr>
          <w:rStyle w:val="FootnoteReference"/>
        </w:rPr>
        <w:footnoteReference w:id="19036"/>
      </w:r>
      <w:r>
        <w:t xml:space="preserve"> with a burning heat, but it withers the grass, and the flower of it falls, and the grace of the fashion of it perishes: so also shall the rich man fade away in his ways.</w:t>
      </w:r>
    </w:p>
    <w:p>
      <w:r>
        <w:rPr>
          <w:b/>
        </w:rPr>
        <w:t xml:space="preserve">12 </w:t>
      </w:r>
      <w:r>
        <w:t xml:space="preserve">Blessed is the man</w:t>
      </w:r>
      <w:r>
        <w:rPr>
          <w:rStyle w:val="FootnoteReference"/>
        </w:rPr>
        <w:footnoteReference w:id="19037"/>
      </w:r>
      <w:r>
        <w:t xml:space="preserve"> that endures temptation: for when he is tried, he shall receive the crown of life, which the Lord has promised to those who love him.</w:t>
      </w:r>
    </w:p>
    <w:p>
      <w:r>
        <w:rPr>
          <w:b/>
        </w:rPr>
        <w:t xml:space="preserve">13 </w:t>
      </w:r>
      <w:r>
        <w:t xml:space="preserve">Let no one say when he is tempted, I am tempted of God: for God cannot be tempted with evil, neither tempts he anyone:</w:t>
      </w:r>
    </w:p>
    <w:p>
      <w:r>
        <w:rPr>
          <w:b/>
        </w:rPr>
        <w:t xml:space="preserve">14 </w:t>
      </w:r>
      <w:r>
        <w:t xml:space="preserve">But each one is tempted by his own desire, being drawn away and enticed.</w:t>
      </w:r>
    </w:p>
    <w:p>
      <w:r>
        <w:rPr>
          <w:b/>
        </w:rPr>
        <w:t xml:space="preserve">15 </w:t>
      </w:r>
      <w:r>
        <w:t xml:space="preserve">Then when lust has conceived, it produces sin: and sin, when it is finished, produces death.</w:t>
      </w:r>
    </w:p>
    <w:p>
      <w:r>
        <w:rPr>
          <w:b/>
        </w:rPr>
        <w:t xml:space="preserve">16 </w:t>
      </w:r>
      <w:r>
        <w:t xml:space="preserve">Do not go astray, my beloved brothers.</w:t>
      </w:r>
    </w:p>
    <w:p>
      <w:r>
        <w:rPr>
          <w:b/>
        </w:rPr>
        <w:t xml:space="preserve">17 </w:t>
      </w:r>
      <w:r>
        <w:t xml:space="preserve">Every good</w:t>
      </w:r>
      <w:r>
        <w:rPr>
          <w:rStyle w:val="FootnoteReference"/>
        </w:rPr>
        <w:footnoteReference w:id="19038"/>
      </w:r>
      <w:r>
        <w:t xml:space="preserve"> giving and every perfect gift is from above, coming down from the Father of lights, with whom there is no variation or shadow of turning.</w:t>
      </w:r>
    </w:p>
    <w:p>
      <w:r>
        <w:rPr>
          <w:b/>
        </w:rPr>
        <w:t xml:space="preserve">18 </w:t>
      </w:r>
      <w:r>
        <w:t xml:space="preserve">Of his own</w:t>
      </w:r>
      <w:r>
        <w:rPr>
          <w:rStyle w:val="FootnoteReference"/>
        </w:rPr>
        <w:footnoteReference w:id="19039"/>
      </w:r>
      <w:r>
        <w:t xml:space="preserve"> will produces he us with the word of truth, that we should be a kind of first-fruits of his creatures.</w:t>
      </w:r>
    </w:p>
    <w:p>
      <w:r>
        <w:rPr>
          <w:b/>
        </w:rPr>
        <w:t xml:space="preserve">19 </w:t>
      </w:r>
      <w:r>
        <w:t xml:space="preserve">Therefore, my beloved brothers, let every man be swift to hear, slow to speak</w:t>
      </w:r>
      <w:r>
        <w:rPr>
          <w:rStyle w:val="FootnoteReference"/>
        </w:rPr>
        <w:footnoteReference w:id="19040"/>
      </w:r>
      <w:r>
        <w:t xml:space="preserve">, slow to wrath:</w:t>
      </w:r>
    </w:p>
    <w:p>
      <w:r>
        <w:rPr>
          <w:b/>
        </w:rPr>
        <w:t xml:space="preserve">20 </w:t>
      </w:r>
      <w:r>
        <w:t xml:space="preserve">For the wrath of man does not work the righteousness of God.</w:t>
      </w:r>
    </w:p>
    <w:p>
      <w:r>
        <w:rPr>
          <w:b/>
        </w:rPr>
        <w:t xml:space="preserve">21 </w:t>
      </w:r>
      <w:r>
        <w:t xml:space="preserve">Therefore lay apart all filthiness</w:t>
      </w:r>
      <w:r>
        <w:rPr>
          <w:rStyle w:val="FootnoteReference"/>
        </w:rPr>
        <w:footnoteReference w:id="19041"/>
      </w:r>
      <w:r>
        <w:t xml:space="preserve"> and abundance of evil, and receive with meekness the implanted word, which is able to save your souls.</w:t>
      </w:r>
    </w:p>
    <w:p>
      <w:r>
        <w:rPr>
          <w:b/>
        </w:rPr>
        <w:t xml:space="preserve">22 </w:t>
      </w:r>
      <w:r>
        <w:t xml:space="preserve">But be doers of the word, and not hearers only, deceiving</w:t>
      </w:r>
      <w:r>
        <w:rPr>
          <w:rStyle w:val="FootnoteReference"/>
        </w:rPr>
        <w:footnoteReference w:id="19042"/>
      </w:r>
      <w:r>
        <w:t xml:space="preserve"> your own selves.</w:t>
      </w:r>
    </w:p>
    <w:p>
      <w:r>
        <w:rPr>
          <w:b/>
        </w:rPr>
        <w:t xml:space="preserve">23 </w:t>
      </w:r>
      <w:r>
        <w:t xml:space="preserve">For if any be a hearer of the word, and not a doer, he is like to a man beholding his natural face in a glass:</w:t>
      </w:r>
    </w:p>
    <w:p>
      <w:r>
        <w:rPr>
          <w:b/>
        </w:rPr>
        <w:t xml:space="preserve">24 </w:t>
      </w:r>
      <w:r>
        <w:t xml:space="preserve">For he observed himself, and has gone away, and immediately forgot what kind he was.</w:t>
      </w:r>
    </w:p>
    <w:p>
      <w:r>
        <w:rPr>
          <w:b/>
        </w:rPr>
        <w:t xml:space="preserve">25 </w:t>
      </w:r>
      <w:r>
        <w:t xml:space="preserve">But whoever looks into the perfect</w:t>
      </w:r>
      <w:r>
        <w:rPr>
          <w:rStyle w:val="FootnoteReference"/>
        </w:rPr>
        <w:footnoteReference w:id="19043"/>
      </w:r>
      <w:r>
        <w:t xml:space="preserve"> law of liberty, and continues in it, he being not a forgetful hearer, but a doer of the work, this man shall be blessed in his deed.</w:t>
      </w:r>
    </w:p>
    <w:p>
      <w:r>
        <w:rPr>
          <w:b/>
        </w:rPr>
        <w:t xml:space="preserve">26 </w:t>
      </w:r>
      <w:r>
        <w:t xml:space="preserve">If anyone among you seem</w:t>
      </w:r>
      <w:r>
        <w:rPr>
          <w:rStyle w:val="FootnoteReference"/>
        </w:rPr>
        <w:footnoteReference w:id="19044"/>
      </w:r>
      <w:r>
        <w:t xml:space="preserve"> to be religious, and bridles not his tongue, but deceives his own heart, this man's religion is vain.</w:t>
      </w:r>
    </w:p>
    <w:p>
      <w:r>
        <w:rPr>
          <w:b/>
        </w:rPr>
        <w:t xml:space="preserve">27 </w:t>
      </w:r>
      <w:r>
        <w:t xml:space="preserve">Pure</w:t>
      </w:r>
      <w:r>
        <w:rPr>
          <w:rStyle w:val="FootnoteReference"/>
        </w:rPr>
        <w:footnoteReference w:id="19045"/>
      </w:r>
      <w:r>
        <w:t xml:space="preserve"> and undefiled religion before God and the Father is this, to visit orphans and widows in their affliction, to keep oneself unstained from the world.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My brothers, have not the faith</w:t>
      </w:r>
      <w:r>
        <w:rPr>
          <w:rStyle w:val="FootnoteReference"/>
        </w:rPr>
        <w:footnoteReference w:id="19046"/>
      </w:r>
      <w:r>
        <w:t xml:space="preserve"> of our Lord Jesus Christ, the Lord of glory, with respect of persons.</w:t>
      </w:r>
    </w:p>
    <w:p>
      <w:r>
        <w:rPr>
          <w:b/>
        </w:rPr>
        <w:t xml:space="preserve">2 </w:t>
      </w:r>
      <w:r>
        <w:t xml:space="preserve">For if there come to your assembly a man with a gold</w:t>
      </w:r>
      <w:r>
        <w:rPr>
          <w:rStyle w:val="FootnoteReference"/>
        </w:rPr>
        <w:footnoteReference w:id="19047"/>
      </w:r>
      <w:r>
        <w:t xml:space="preserve"> ring, in bright clothing, and there come in also a poor man in filthy clothing;</w:t>
      </w:r>
    </w:p>
    <w:p>
      <w:r>
        <w:rPr>
          <w:b/>
        </w:rPr>
        <w:t xml:space="preserve">3 </w:t>
      </w:r>
      <w:r>
        <w:t xml:space="preserve">And you have respect to him who wears the cheerful clothing, and say to him, Sit you here in a good place; and say to the poor, Stand you there, or sit here under my footstool:</w:t>
      </w:r>
    </w:p>
    <w:p>
      <w:r>
        <w:rPr>
          <w:b/>
        </w:rPr>
        <w:t xml:space="preserve">4 </w:t>
      </w:r>
      <w:r>
        <w:t xml:space="preserve">Are you not then partial</w:t>
      </w:r>
      <w:r>
        <w:rPr>
          <w:rStyle w:val="FootnoteReference"/>
        </w:rPr>
        <w:footnoteReference w:id="19048"/>
      </w:r>
      <w:r>
        <w:t xml:space="preserve"> in yourselves, and are become judges of evil thoughts?</w:t>
      </w:r>
    </w:p>
    <w:p>
      <w:r>
        <w:rPr>
          <w:b/>
        </w:rPr>
        <w:t xml:space="preserve">5 </w:t>
      </w:r>
      <w:r>
        <w:t xml:space="preserve">Listen, my beloved brothers, has not God chosen the poor of this world rich</w:t>
      </w:r>
      <w:r>
        <w:rPr>
          <w:rStyle w:val="FootnoteReference"/>
        </w:rPr>
        <w:footnoteReference w:id="19049"/>
      </w:r>
      <w:r>
        <w:t xml:space="preserve"> in faith, and heirs of the kingdom which he has promised to those who love him?</w:t>
      </w:r>
    </w:p>
    <w:p>
      <w:r>
        <w:rPr>
          <w:b/>
        </w:rPr>
        <w:t xml:space="preserve">6 </w:t>
      </w:r>
      <w:r>
        <w:t xml:space="preserve">But you have despised the poor. Do not rich men oppress you, and draw you before the judgment seats?</w:t>
      </w:r>
    </w:p>
    <w:p>
      <w:r>
        <w:rPr>
          <w:b/>
        </w:rPr>
        <w:t xml:space="preserve">7 </w:t>
      </w:r>
      <w:r>
        <w:t xml:space="preserve">Do not they blaspheme</w:t>
      </w:r>
      <w:r>
        <w:rPr>
          <w:rStyle w:val="FootnoteReference"/>
        </w:rPr>
        <w:footnoteReference w:id="19050"/>
      </w:r>
      <w:r>
        <w:t xml:space="preserve"> that worthy name by the which you are called?</w:t>
      </w:r>
    </w:p>
    <w:p>
      <w:r>
        <w:rPr>
          <w:b/>
        </w:rPr>
        <w:t xml:space="preserve">8 </w:t>
      </w:r>
      <w:r>
        <w:t xml:space="preserve">If you fulfill the royal</w:t>
      </w:r>
      <w:r>
        <w:rPr>
          <w:rStyle w:val="FootnoteReference"/>
        </w:rPr>
        <w:footnoteReference w:id="19051"/>
      </w:r>
      <w:r>
        <w:t xml:space="preserve"> law according to the scripture, You shall love your neighbor as yourself, you do well:</w:t>
      </w:r>
    </w:p>
    <w:p>
      <w:r>
        <w:rPr>
          <w:b/>
        </w:rPr>
        <w:t xml:space="preserve">9 </w:t>
      </w:r>
      <w:r>
        <w:t xml:space="preserve">But if you have respect to persons, you commit sin, and are convinced of the law as transgressors</w:t>
      </w:r>
      <w:r>
        <w:rPr>
          <w:rStyle w:val="FootnoteReference"/>
        </w:rPr>
        <w:footnoteReference w:id="19052"/>
      </w:r>
      <w:r>
        <w:t xml:space="preserve">.</w:t>
      </w:r>
    </w:p>
    <w:p>
      <w:r>
        <w:rPr>
          <w:b/>
        </w:rPr>
        <w:t xml:space="preserve">10 </w:t>
      </w:r>
      <w:r>
        <w:t xml:space="preserve">For whoever shall keep the whole law, and yet offend in one point, he is guilty of all.</w:t>
      </w:r>
    </w:p>
    <w:p>
      <w:r>
        <w:rPr>
          <w:b/>
        </w:rPr>
        <w:t xml:space="preserve">11 </w:t>
      </w:r>
      <w:r>
        <w:t xml:space="preserve">For the one who said, Do not commit</w:t>
      </w:r>
      <w:r>
        <w:rPr>
          <w:rStyle w:val="FootnoteReference"/>
        </w:rPr>
        <w:footnoteReference w:id="19053"/>
      </w:r>
      <w:r>
        <w:t xml:space="preserve"> adultery, said also, Do not kill. Now if you commit no adultery, yet if you kill, you are become a transgressor of the law.</w:t>
      </w:r>
    </w:p>
    <w:p>
      <w:r>
        <w:rPr>
          <w:b/>
        </w:rPr>
        <w:t xml:space="preserve">12 </w:t>
      </w:r>
      <w:r>
        <w:t xml:space="preserve">So speak</w:t>
      </w:r>
      <w:r>
        <w:rPr>
          <w:rStyle w:val="FootnoteReference"/>
        </w:rPr>
        <w:footnoteReference w:id="19054"/>
      </w:r>
      <w:r>
        <w:t xml:space="preserve"> you, and so do, as those who shall be judged by the law of liberty.</w:t>
      </w:r>
    </w:p>
    <w:p>
      <w:r>
        <w:rPr>
          <w:b/>
        </w:rPr>
        <w:t xml:space="preserve">13 </w:t>
      </w:r>
      <w:r>
        <w:t xml:space="preserve">For judgment is without mercy to the one who has done no mercy; and mercy boasts over judgment.</w:t>
      </w:r>
    </w:p>
    <w:p>
      <w:r>
        <w:rPr>
          <w:b/>
        </w:rPr>
        <w:t xml:space="preserve">14 </w:t>
      </w:r>
      <w:r>
        <w:t xml:space="preserve">What does it profit, my brothers, though</w:t>
      </w:r>
      <w:r>
        <w:rPr>
          <w:rStyle w:val="FootnoteReference"/>
        </w:rPr>
        <w:footnoteReference w:id="19055"/>
      </w:r>
      <w:r>
        <w:t xml:space="preserve"> a man say he has faith, and have not works? can faith save him?</w:t>
      </w:r>
    </w:p>
    <w:p>
      <w:r>
        <w:rPr>
          <w:b/>
        </w:rPr>
        <w:t xml:space="preserve">15 </w:t>
      </w:r>
      <w:r>
        <w:t xml:space="preserve">If a brother or sister is naked, and lacking daily food,</w:t>
      </w:r>
    </w:p>
    <w:p>
      <w:r>
        <w:rPr>
          <w:b/>
        </w:rPr>
        <w:t xml:space="preserve">16 </w:t>
      </w:r>
      <w:r>
        <w:t xml:space="preserve">And one of you say to them, Depart in peace, be warmed and filled; notwithstanding you give them not those things which are necessary to the body; what does it profit?</w:t>
      </w:r>
    </w:p>
    <w:p>
      <w:r>
        <w:rPr>
          <w:b/>
        </w:rPr>
        <w:t xml:space="preserve">17 </w:t>
      </w:r>
      <w:r>
        <w:t xml:space="preserve">So also faith, if it does not have works, is dead by itself.</w:t>
      </w:r>
    </w:p>
    <w:p>
      <w:r>
        <w:rPr>
          <w:b/>
        </w:rPr>
        <w:t xml:space="preserve">18 </w:t>
      </w:r>
      <w:r>
        <w:t xml:space="preserve">Yes, a man may say, You have faith, and I have works: show me your faith without your works, and I will</w:t>
      </w:r>
      <w:r>
        <w:rPr>
          <w:rStyle w:val="FootnoteReference"/>
        </w:rPr>
        <w:footnoteReference w:id="19056"/>
      </w:r>
      <w:r>
        <w:t xml:space="preserve"> show you my faith by my works.</w:t>
      </w:r>
    </w:p>
    <w:p>
      <w:r>
        <w:rPr>
          <w:b/>
        </w:rPr>
        <w:t xml:space="preserve">19 </w:t>
      </w:r>
      <w:r>
        <w:t xml:space="preserve">You believe that there is one God; you do well: the demons also believe, and tremble.</w:t>
      </w:r>
    </w:p>
    <w:p>
      <w:r>
        <w:rPr>
          <w:b/>
        </w:rPr>
        <w:t xml:space="preserve">20 </w:t>
      </w:r>
      <w:r>
        <w:t xml:space="preserve">But do you want to know, O empty man, that faith without works is dead?</w:t>
      </w:r>
    </w:p>
    <w:p>
      <w:r>
        <w:rPr>
          <w:b/>
        </w:rPr>
        <w:t xml:space="preserve">21 </w:t>
      </w:r>
      <w:r>
        <w:t xml:space="preserve">Was not Abraham</w:t>
      </w:r>
      <w:r>
        <w:rPr>
          <w:rStyle w:val="FootnoteReference"/>
        </w:rPr>
        <w:footnoteReference w:id="19057"/>
      </w:r>
      <w:r>
        <w:t xml:space="preserve"> our father justified by works, having offered Isaac his son upon the altar?</w:t>
      </w:r>
    </w:p>
    <w:p>
      <w:r>
        <w:rPr>
          <w:b/>
        </w:rPr>
        <w:t xml:space="preserve">22 </w:t>
      </w:r>
      <w:r>
        <w:t xml:space="preserve">See you how faith</w:t>
      </w:r>
      <w:r>
        <w:rPr>
          <w:rStyle w:val="FootnoteReference"/>
        </w:rPr>
        <w:footnoteReference w:id="19058"/>
      </w:r>
      <w:r>
        <w:t xml:space="preserve"> worked with his works, and by works was faith made perfect?</w:t>
      </w:r>
    </w:p>
    <w:p>
      <w:r>
        <w:rPr>
          <w:b/>
        </w:rPr>
        <w:t xml:space="preserve">23 </w:t>
      </w:r>
      <w:r>
        <w:t xml:space="preserve">And the scripture</w:t>
      </w:r>
      <w:r>
        <w:rPr>
          <w:rStyle w:val="FootnoteReference"/>
        </w:rPr>
        <w:footnoteReference w:id="19059"/>
      </w:r>
      <w:r>
        <w:t xml:space="preserve"> was fulfilled which says, Abraham believed God, and it was imputed to him for righteousness: and he was called the Friend of God.</w:t>
      </w:r>
    </w:p>
    <w:p>
      <w:r>
        <w:rPr>
          <w:b/>
        </w:rPr>
        <w:t xml:space="preserve">24 </w:t>
      </w:r>
      <w:r>
        <w:t xml:space="preserve">You see then how that by works a man is justified, and not by faith only.</w:t>
      </w:r>
    </w:p>
    <w:p>
      <w:r>
        <w:rPr>
          <w:b/>
        </w:rPr>
        <w:t xml:space="preserve">25 </w:t>
      </w:r>
      <w:r>
        <w:t xml:space="preserve">Likewise also was not Rahab the prostitute justified</w:t>
      </w:r>
      <w:r>
        <w:rPr>
          <w:rStyle w:val="FootnoteReference"/>
        </w:rPr>
        <w:footnoteReference w:id="19060"/>
      </w:r>
      <w:r>
        <w:t xml:space="preserve"> by works, when she had received the messengers, and had sent them out another way?</w:t>
      </w:r>
    </w:p>
    <w:p>
      <w:r>
        <w:rPr>
          <w:b/>
        </w:rPr>
        <w:t xml:space="preserve">26 </w:t>
      </w:r>
      <w:r>
        <w:t xml:space="preserve">For as the body without the spirit is dead, so faith without works is dead also.</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My brothers, be not many teachers, knowing</w:t>
      </w:r>
      <w:r>
        <w:rPr>
          <w:rStyle w:val="FootnoteReference"/>
        </w:rPr>
        <w:footnoteReference w:id="19061"/>
      </w:r>
      <w:r>
        <w:t xml:space="preserve"> that we shall receive the greater condemnation.</w:t>
      </w:r>
    </w:p>
    <w:p>
      <w:r>
        <w:rPr>
          <w:b/>
        </w:rPr>
        <w:t xml:space="preserve">2 </w:t>
      </w:r>
      <w:r>
        <w:t xml:space="preserve">For in many things we offend all. If anyone offend not in word, the same is a perfect</w:t>
      </w:r>
      <w:r>
        <w:rPr>
          <w:rStyle w:val="FootnoteReference"/>
        </w:rPr>
        <w:footnoteReference w:id="19062"/>
      </w:r>
      <w:r>
        <w:t xml:space="preserve"> man, and able also to bridle the whole body.</w:t>
      </w:r>
    </w:p>
    <w:p>
      <w:r>
        <w:rPr>
          <w:b/>
        </w:rPr>
        <w:t xml:space="preserve">3 </w:t>
      </w:r>
      <w:r>
        <w:t xml:space="preserve">Look, we put bits in the horses' mouths, that they may obey us; and we turn about their whole body.</w:t>
      </w:r>
    </w:p>
    <w:p>
      <w:r>
        <w:rPr>
          <w:b/>
        </w:rPr>
        <w:t xml:space="preserve">4 </w:t>
      </w:r>
      <w:r>
        <w:t xml:space="preserve">Look also the ships, which though they be so great, and are driven</w:t>
      </w:r>
      <w:r>
        <w:rPr>
          <w:rStyle w:val="FootnoteReference"/>
        </w:rPr>
        <w:footnoteReference w:id="19063"/>
      </w:r>
      <w:r>
        <w:t xml:space="preserve"> of fierce winds, yet are they turned about with a very small helm, anywhere the governor decides.</w:t>
      </w:r>
    </w:p>
    <w:p>
      <w:r>
        <w:rPr>
          <w:b/>
        </w:rPr>
        <w:t xml:space="preserve">5 </w:t>
      </w:r>
      <w:r>
        <w:t xml:space="preserve">Even so the tongue is a little member, and boasts great things. Look, how great a matter a little fire kindles!</w:t>
      </w:r>
    </w:p>
    <w:p>
      <w:r>
        <w:rPr>
          <w:b/>
        </w:rPr>
        <w:t xml:space="preserve">6 </w:t>
      </w:r>
      <w:r>
        <w:t xml:space="preserve">And the tongue</w:t>
      </w:r>
      <w:r>
        <w:rPr>
          <w:rStyle w:val="FootnoteReference"/>
        </w:rPr>
        <w:footnoteReference w:id="19064"/>
      </w:r>
      <w:r>
        <w:t xml:space="preserve"> is a fire, a world of iniquity: so is the tongue among our members, that it defiles the whole body, and sets on fire the course of nature; and it is set on fire of Gehenna.</w:t>
      </w:r>
    </w:p>
    <w:p>
      <w:r>
        <w:rPr>
          <w:b/>
        </w:rPr>
        <w:t xml:space="preserve">7 </w:t>
      </w:r>
      <w:r>
        <w:t xml:space="preserve">For every kind of beasts and birds, of reptiles and sea creatures, is tamed</w:t>
      </w:r>
      <w:r>
        <w:rPr>
          <w:rStyle w:val="FootnoteReference"/>
        </w:rPr>
        <w:footnoteReference w:id="19065"/>
      </w:r>
      <w:r>
        <w:t xml:space="preserve"> and has been tamed by human nature:</w:t>
      </w:r>
    </w:p>
    <w:p>
      <w:r>
        <w:rPr>
          <w:b/>
        </w:rPr>
        <w:t xml:space="preserve">8 </w:t>
      </w:r>
      <w:r>
        <w:t xml:space="preserve">But the tongue can no one tame; it is an unruly</w:t>
      </w:r>
      <w:r>
        <w:rPr>
          <w:rStyle w:val="FootnoteReference"/>
        </w:rPr>
        <w:footnoteReference w:id="19066"/>
      </w:r>
      <w:r>
        <w:t xml:space="preserve"> evil, full of deadly poison.</w:t>
      </w:r>
    </w:p>
    <w:p>
      <w:r>
        <w:rPr>
          <w:b/>
        </w:rPr>
        <w:t xml:space="preserve">9 </w:t>
      </w:r>
      <w:r>
        <w:t xml:space="preserve">with it we bless</w:t>
      </w:r>
      <w:r>
        <w:rPr>
          <w:rStyle w:val="FootnoteReference"/>
        </w:rPr>
        <w:footnoteReference w:id="19067"/>
      </w:r>
      <w:r>
        <w:t xml:space="preserve"> God, even the Father; and with it we curse men, who are made after the likeness of God.</w:t>
      </w:r>
    </w:p>
    <w:p>
      <w:r>
        <w:rPr>
          <w:b/>
        </w:rPr>
        <w:t xml:space="preserve">10 </w:t>
      </w:r>
      <w:r>
        <w:t xml:space="preserve">Out of the same mouth proceeds blessing and cursing. My brothers, these things ought not so to be.</w:t>
      </w:r>
    </w:p>
    <w:p>
      <w:r>
        <w:rPr>
          <w:b/>
        </w:rPr>
        <w:t xml:space="preserve">11 </w:t>
      </w:r>
      <w:r>
        <w:t xml:space="preserve">Does a spring pour forth from the same opening the sweet and the bitter?</w:t>
      </w:r>
    </w:p>
    <w:p>
      <w:r>
        <w:rPr>
          <w:b/>
        </w:rPr>
        <w:t xml:space="preserve">12 </w:t>
      </w:r>
      <w:r>
        <w:t xml:space="preserve">Can the fig tree</w:t>
      </w:r>
      <w:r>
        <w:rPr>
          <w:rStyle w:val="FootnoteReference"/>
        </w:rPr>
        <w:footnoteReference w:id="19068"/>
      </w:r>
      <w:r>
        <w:t xml:space="preserve">, my brothers, bear olive berries? either a vine, figs? so can no fountain both yield salt water and fresh.</w:t>
      </w:r>
    </w:p>
    <w:p>
      <w:r>
        <w:rPr>
          <w:b/>
        </w:rPr>
        <w:t xml:space="preserve">13 </w:t>
      </w:r>
      <w:r>
        <w:t xml:space="preserve">Who is a</w:t>
      </w:r>
      <w:r>
        <w:rPr>
          <w:rStyle w:val="FootnoteReference"/>
        </w:rPr>
        <w:footnoteReference w:id="19069"/>
      </w:r>
      <w:r>
        <w:t xml:space="preserve"> wise man and imbued with knowledge among you? let him show out of a good conduct his works with meekness of wisdom.</w:t>
      </w:r>
    </w:p>
    <w:p>
      <w:r>
        <w:rPr>
          <w:b/>
        </w:rPr>
        <w:t xml:space="preserve">14 </w:t>
      </w:r>
      <w:r>
        <w:t xml:space="preserve">But if you have bitter envying and strife in your hearts, glory</w:t>
      </w:r>
      <w:r>
        <w:rPr>
          <w:rStyle w:val="FootnoteReference"/>
        </w:rPr>
        <w:footnoteReference w:id="19070"/>
      </w:r>
      <w:r>
        <w:t xml:space="preserve"> not, and lie not against the truth.</w:t>
      </w:r>
    </w:p>
    <w:p>
      <w:r>
        <w:rPr>
          <w:b/>
        </w:rPr>
        <w:t xml:space="preserve">15 </w:t>
      </w:r>
      <w:r>
        <w:t xml:space="preserve">This wisdom</w:t>
      </w:r>
      <w:r>
        <w:rPr>
          <w:rStyle w:val="FootnoteReference"/>
        </w:rPr>
        <w:footnoteReference w:id="19071"/>
      </w:r>
      <w:r>
        <w:t xml:space="preserve"> is not coming down from above, but is earthly, natural, demonic.</w:t>
      </w:r>
    </w:p>
    <w:p>
      <w:r>
        <w:rPr>
          <w:b/>
        </w:rPr>
        <w:t xml:space="preserve">16 </w:t>
      </w:r>
      <w:r>
        <w:t xml:space="preserve">For where jealousy and strife are, there is disorder and every evil practice.</w:t>
      </w:r>
    </w:p>
    <w:p>
      <w:r>
        <w:rPr>
          <w:b/>
        </w:rPr>
        <w:t xml:space="preserve">17 </w:t>
      </w:r>
      <w:r>
        <w:t xml:space="preserve">But the wisdom</w:t>
      </w:r>
      <w:r>
        <w:rPr>
          <w:rStyle w:val="FootnoteReference"/>
        </w:rPr>
        <w:footnoteReference w:id="19072"/>
      </w:r>
      <w:r>
        <w:t xml:space="preserve"> from above is first pure, then peaceable, gentle, easily entreated, full of mercy and good fruits, impartial and without hypocrisy.</w:t>
      </w:r>
    </w:p>
    <w:p>
      <w:r>
        <w:rPr>
          <w:b/>
        </w:rPr>
        <w:t xml:space="preserve">18 </w:t>
      </w:r>
      <w:r>
        <w:t xml:space="preserve">And the fruit</w:t>
      </w:r>
      <w:r>
        <w:rPr>
          <w:rStyle w:val="FootnoteReference"/>
        </w:rPr>
        <w:footnoteReference w:id="19073"/>
      </w:r>
      <w:r>
        <w:t xml:space="preserve"> of righteousness is sown in peace of those who make peace.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From where come wars and fightings among you? are they not from here, even of your lusts</w:t>
      </w:r>
      <w:r>
        <w:rPr>
          <w:rStyle w:val="FootnoteReference"/>
        </w:rPr>
        <w:footnoteReference w:id="19074"/>
      </w:r>
      <w:r>
        <w:t xml:space="preserve"> that war in your members?</w:t>
      </w:r>
    </w:p>
    <w:p>
      <w:r>
        <w:rPr>
          <w:b/>
        </w:rPr>
        <w:t xml:space="preserve">2 </w:t>
      </w:r>
      <w:r>
        <w:t xml:space="preserve">You lust</w:t>
      </w:r>
      <w:r>
        <w:rPr>
          <w:rStyle w:val="FootnoteReference"/>
        </w:rPr>
        <w:footnoteReference w:id="19075"/>
      </w:r>
      <w:r>
        <w:t xml:space="preserve">, and have not: you kill, and desire to have, and cannot obtain: you fight and war, yet you have not, because you ask not.</w:t>
      </w:r>
    </w:p>
    <w:p>
      <w:r>
        <w:rPr>
          <w:b/>
        </w:rPr>
        <w:t xml:space="preserve">3 </w:t>
      </w:r>
      <w:r>
        <w:t xml:space="preserve">You ask, and receive not, because you ask amiss, that you may consume it upon your lusts</w:t>
      </w:r>
      <w:r>
        <w:rPr>
          <w:rStyle w:val="FootnoteReference"/>
        </w:rPr>
        <w:footnoteReference w:id="19076"/>
      </w:r>
      <w:r>
        <w:t xml:space="preserve">.</w:t>
      </w:r>
    </w:p>
    <w:p>
      <w:r>
        <w:rPr>
          <w:b/>
        </w:rPr>
        <w:t xml:space="preserve">4 </w:t>
      </w:r>
      <w:r>
        <w:t xml:space="preserve">You adulterers</w:t>
      </w:r>
      <w:r>
        <w:rPr>
          <w:rStyle w:val="FootnoteReference"/>
        </w:rPr>
        <w:footnoteReference w:id="19077"/>
      </w:r>
      <w:r>
        <w:t xml:space="preserve"> and adulteresses, do you not know that the friendship of the world is enmity with God? whoever therefore will be a friend of the world is the enemy of God.</w:t>
      </w:r>
    </w:p>
    <w:p>
      <w:r>
        <w:rPr>
          <w:b/>
        </w:rPr>
        <w:t xml:space="preserve">5 </w:t>
      </w:r>
      <w:r>
        <w:t xml:space="preserve">Do you think that the scripture</w:t>
      </w:r>
      <w:r>
        <w:rPr>
          <w:rStyle w:val="FootnoteReference"/>
        </w:rPr>
        <w:footnoteReference w:id="19078"/>
      </w:r>
      <w:r>
        <w:t xml:space="preserve"> says in vain, The spirit that dwells in us lusts to envy?</w:t>
      </w:r>
    </w:p>
    <w:p>
      <w:r>
        <w:rPr>
          <w:b/>
        </w:rPr>
        <w:t xml:space="preserve">6 </w:t>
      </w:r>
      <w:r>
        <w:t xml:space="preserve">But he gives more grace. Therefore he says, God resists the proud, but gives grace to the humble.</w:t>
      </w:r>
    </w:p>
    <w:p>
      <w:r>
        <w:rPr>
          <w:b/>
        </w:rPr>
        <w:t xml:space="preserve">7 </w:t>
      </w:r>
      <w:r>
        <w:t xml:space="preserve">Submit</w:t>
      </w:r>
      <w:r>
        <w:rPr>
          <w:rStyle w:val="FootnoteReference"/>
        </w:rPr>
        <w:footnoteReference w:id="19079"/>
      </w:r>
      <w:r>
        <w:t xml:space="preserve"> yourselves therefore to God. Resist the devil, and he will flee from you.</w:t>
      </w:r>
    </w:p>
    <w:p>
      <w:r>
        <w:rPr>
          <w:b/>
        </w:rPr>
        <w:t xml:space="preserve">8 </w:t>
      </w:r>
      <w:r>
        <w:t xml:space="preserve">Draw near to God, and he will draw near to you. Cleanse</w:t>
      </w:r>
      <w:r>
        <w:rPr>
          <w:rStyle w:val="FootnoteReference"/>
        </w:rPr>
        <w:footnoteReference w:id="19080"/>
      </w:r>
      <w:r>
        <w:t xml:space="preserve"> your hands, you sinners; and purify your hearts, you double minded.</w:t>
      </w:r>
    </w:p>
    <w:p>
      <w:r>
        <w:rPr>
          <w:b/>
        </w:rPr>
        <w:t xml:space="preserve">9 </w:t>
      </w:r>
      <w:r>
        <w:t xml:space="preserve">Be afflicted</w:t>
      </w:r>
      <w:r>
        <w:rPr>
          <w:rStyle w:val="FootnoteReference"/>
        </w:rPr>
        <w:footnoteReference w:id="19081"/>
      </w:r>
      <w:r>
        <w:t xml:space="preserve">, and mourn, and weep: let your laughter be turned to mourning, and your joy to dejection.</w:t>
      </w:r>
    </w:p>
    <w:p>
      <w:r>
        <w:rPr>
          <w:b/>
        </w:rPr>
        <w:t xml:space="preserve">10 </w:t>
      </w:r>
      <w:r>
        <w:t xml:space="preserve">Humble</w:t>
      </w:r>
      <w:r>
        <w:rPr>
          <w:rStyle w:val="FootnoteReference"/>
        </w:rPr>
        <w:footnoteReference w:id="19082"/>
      </w:r>
      <w:r>
        <w:t xml:space="preserve"> yourselves in the sight of the Lord, and he shall lift you up.</w:t>
      </w:r>
    </w:p>
    <w:p>
      <w:r>
        <w:rPr>
          <w:b/>
        </w:rPr>
        <w:t xml:space="preserve">11 </w:t>
      </w:r>
      <w:r>
        <w:t xml:space="preserve">Speak</w:t>
      </w:r>
      <w:r>
        <w:rPr>
          <w:rStyle w:val="FootnoteReference"/>
        </w:rPr>
        <w:footnoteReference w:id="19083"/>
      </w:r>
      <w:r>
        <w:t xml:space="preserve"> not evil one of another, brothers. the one who speaks evil of his brother, and judges his brother, speaks evil of the law, and judges the law: but if you judge the law, you are not a doer of the law, but a judge.</w:t>
      </w:r>
    </w:p>
    <w:p>
      <w:r>
        <w:rPr>
          <w:b/>
        </w:rPr>
        <w:t xml:space="preserve">12 </w:t>
      </w:r>
      <w:r>
        <w:t xml:space="preserve">There is one lawgiver</w:t>
      </w:r>
      <w:r>
        <w:rPr>
          <w:rStyle w:val="FootnoteReference"/>
        </w:rPr>
        <w:footnoteReference w:id="19084"/>
      </w:r>
      <w:r>
        <w:t xml:space="preserve">, who is able to save and to destroy: who are you that judge another?</w:t>
      </w:r>
    </w:p>
    <w:p>
      <w:r>
        <w:rPr>
          <w:b/>
        </w:rPr>
        <w:t xml:space="preserve">13 </w:t>
      </w:r>
      <w:r>
        <w:t xml:space="preserve">Go to</w:t>
      </w:r>
      <w:r>
        <w:rPr>
          <w:rStyle w:val="FootnoteReference"/>
        </w:rPr>
        <w:footnoteReference w:id="19085"/>
      </w:r>
      <w:r>
        <w:t xml:space="preserve"> now, you that say, today or tomorrow we will go into such a city, and continue there a year, and buy and sell, and get gain:</w:t>
      </w:r>
    </w:p>
    <w:p>
      <w:r>
        <w:rPr>
          <w:b/>
        </w:rPr>
        <w:t xml:space="preserve">14 </w:t>
      </w:r>
      <w:r>
        <w:t xml:space="preserve">Whereas you do not know what shall be on the next day. For what is your life? It is even a vapour</w:t>
      </w:r>
      <w:r>
        <w:rPr>
          <w:rStyle w:val="FootnoteReference"/>
        </w:rPr>
        <w:footnoteReference w:id="19086"/>
      </w:r>
      <w:r>
        <w:t xml:space="preserve">, that appears for a little time, and then vanishes away.</w:t>
      </w:r>
    </w:p>
    <w:p>
      <w:r>
        <w:rPr>
          <w:b/>
        </w:rPr>
        <w:t xml:space="preserve">15 </w:t>
      </w:r>
      <w:r>
        <w:t xml:space="preserve">For that you ought to say, If the Lord will, we shall live, and do this, or that.</w:t>
      </w:r>
    </w:p>
    <w:p>
      <w:r>
        <w:rPr>
          <w:b/>
        </w:rPr>
        <w:t xml:space="preserve">16 </w:t>
      </w:r>
      <w:r>
        <w:t xml:space="preserve">But now you rejoice in your boastings: all such rejoicing is evil.</w:t>
      </w:r>
    </w:p>
    <w:p>
      <w:r>
        <w:rPr>
          <w:b/>
        </w:rPr>
        <w:t xml:space="preserve">17 </w:t>
      </w:r>
      <w:r>
        <w:t xml:space="preserve">Therefore to him who knows to do good, and does it not, to him it is sin.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Go to now, you rich men, weep</w:t>
      </w:r>
      <w:r>
        <w:rPr>
          <w:rStyle w:val="FootnoteReference"/>
        </w:rPr>
        <w:footnoteReference w:id="19087"/>
      </w:r>
      <w:r>
        <w:t xml:space="preserve"> and wail for your miseries that shall come upon you.</w:t>
      </w:r>
    </w:p>
    <w:p>
      <w:r>
        <w:rPr>
          <w:b/>
        </w:rPr>
        <w:t xml:space="preserve">2 </w:t>
      </w:r>
      <w:r>
        <w:t xml:space="preserve">Your riches</w:t>
      </w:r>
      <w:r>
        <w:rPr>
          <w:rStyle w:val="FootnoteReference"/>
        </w:rPr>
        <w:footnoteReference w:id="19088"/>
      </w:r>
      <w:r>
        <w:t xml:space="preserve"> are corrupted, and your clothes are moth-eaten.</w:t>
      </w:r>
    </w:p>
    <w:p>
      <w:r>
        <w:rPr>
          <w:b/>
        </w:rPr>
        <w:t xml:space="preserve">3 </w:t>
      </w:r>
      <w:r>
        <w:t xml:space="preserve">Your gold and silver is cankered</w:t>
      </w:r>
      <w:r>
        <w:rPr>
          <w:rStyle w:val="FootnoteReference"/>
        </w:rPr>
        <w:footnoteReference w:id="19089"/>
      </w:r>
      <w:r>
        <w:t xml:space="preserve">; and the rust of them shall be a witness against you, and shall eat your flesh as it were fire. You have heaped treasure together for the last days.</w:t>
      </w:r>
    </w:p>
    <w:p>
      <w:r>
        <w:rPr>
          <w:b/>
        </w:rPr>
        <w:t xml:space="preserve">4 </w:t>
      </w:r>
      <w:r>
        <w:t xml:space="preserve">Look, the hire</w:t>
      </w:r>
      <w:r>
        <w:rPr>
          <w:rStyle w:val="FootnoteReference"/>
        </w:rPr>
        <w:footnoteReference w:id="19090"/>
      </w:r>
      <w:r>
        <w:t xml:space="preserve"> of the laborers who have reaped down your fields, which is of you kept back by fraud, cries: and the cries of those who have reaped are entered into the ears of the Lord of hosts</w:t>
      </w:r>
      <w:r>
        <w:rPr>
          <w:rStyle w:val="FootnoteReference"/>
        </w:rPr>
        <w:footnoteReference w:id="19091"/>
      </w:r>
      <w:r>
        <w:t xml:space="preserve">.</w:t>
      </w:r>
    </w:p>
    <w:p>
      <w:r>
        <w:rPr>
          <w:b/>
        </w:rPr>
        <w:t xml:space="preserve">5 </w:t>
      </w:r>
      <w:r>
        <w:t xml:space="preserve">You have lived</w:t>
      </w:r>
      <w:r>
        <w:rPr>
          <w:rStyle w:val="FootnoteReference"/>
        </w:rPr>
        <w:footnoteReference w:id="19092"/>
      </w:r>
      <w:r>
        <w:t xml:space="preserve"> in pleasure on the earth, and been wanton; you have nourished your hearts, as in a day of slaughter.</w:t>
      </w:r>
    </w:p>
    <w:p>
      <w:r>
        <w:rPr>
          <w:b/>
        </w:rPr>
        <w:t xml:space="preserve">6 </w:t>
      </w:r>
      <w:r>
        <w:t xml:space="preserve">You have condemned and killed the just; and he does not resist you.</w:t>
      </w:r>
    </w:p>
    <w:p>
      <w:r>
        <w:rPr>
          <w:b/>
        </w:rPr>
        <w:t xml:space="preserve">7 </w:t>
      </w:r>
      <w:r>
        <w:t xml:space="preserve">Be patient</w:t>
      </w:r>
      <w:r>
        <w:rPr>
          <w:rStyle w:val="FootnoteReference"/>
        </w:rPr>
        <w:footnoteReference w:id="19093"/>
      </w:r>
      <w:r>
        <w:t xml:space="preserve"> therefore, brothers, to the coming of the Lord. Look, the farmer waits for the precious fruit of the earth, and has long patience for it, until he receive the early and latter rain.</w:t>
      </w:r>
    </w:p>
    <w:p>
      <w:r>
        <w:rPr>
          <w:b/>
        </w:rPr>
        <w:t xml:space="preserve">8 </w:t>
      </w:r>
      <w:r>
        <w:t xml:space="preserve">Be also patient; establish your hearts: for the coming of the Lord draws near.</w:t>
      </w:r>
    </w:p>
    <w:p>
      <w:r>
        <w:rPr>
          <w:b/>
        </w:rPr>
        <w:t xml:space="preserve">9 </w:t>
      </w:r>
      <w:r>
        <w:t xml:space="preserve">Grudge not</w:t>
      </w:r>
      <w:r>
        <w:rPr>
          <w:rStyle w:val="FootnoteReference"/>
        </w:rPr>
        <w:footnoteReference w:id="19094"/>
      </w:r>
      <w:r>
        <w:t xml:space="preserve"> one against another, brothers, lest you be condemned: look, the judge stands before the door.</w:t>
      </w:r>
    </w:p>
    <w:p>
      <w:r>
        <w:rPr>
          <w:b/>
        </w:rPr>
        <w:t xml:space="preserve">10 </w:t>
      </w:r>
      <w:r>
        <w:t xml:space="preserve">Take, my brothers, the prophets, who have spoken in the name of the Lord, for an example of suffering affliction, and of patience.</w:t>
      </w:r>
    </w:p>
    <w:p>
      <w:r>
        <w:rPr>
          <w:b/>
        </w:rPr>
        <w:t xml:space="preserve">11 </w:t>
      </w:r>
      <w:r>
        <w:t xml:space="preserve">Look, we count</w:t>
      </w:r>
      <w:r>
        <w:rPr>
          <w:rStyle w:val="FootnoteReference"/>
        </w:rPr>
        <w:footnoteReference w:id="19095"/>
      </w:r>
      <w:r>
        <w:t xml:space="preserve"> them happy which endure. You have heard of the patience of Job</w:t>
      </w:r>
      <w:r>
        <w:rPr>
          <w:rStyle w:val="FootnoteReference"/>
        </w:rPr>
        <w:footnoteReference w:id="19096"/>
      </w:r>
      <w:r>
        <w:t xml:space="preserve">, and have seen the end of the Lord; that the Lord is very pitiful, and of tender mercy.</w:t>
      </w:r>
    </w:p>
    <w:p>
      <w:r>
        <w:rPr>
          <w:b/>
        </w:rPr>
        <w:t xml:space="preserve">12 </w:t>
      </w:r>
      <w:r>
        <w:t xml:space="preserve">But above all things, my brothers, do not swear, neither by heaven, neither by the earth, neither by any other oath: but let your yes be yes; and your no, no; lest you fall into condemnation.</w:t>
      </w:r>
    </w:p>
    <w:p>
      <w:r>
        <w:rPr>
          <w:b/>
        </w:rPr>
        <w:t xml:space="preserve">13 </w:t>
      </w:r>
      <w:r>
        <w:t xml:space="preserve">Is anyone among you suffering? let him pray. Is anyone cheerful? let him sing</w:t>
      </w:r>
      <w:r>
        <w:rPr>
          <w:rStyle w:val="FootnoteReference"/>
        </w:rPr>
        <w:footnoteReference w:id="19097"/>
      </w:r>
      <w:r>
        <w:t xml:space="preserve"> praise.</w:t>
      </w:r>
    </w:p>
    <w:p>
      <w:r>
        <w:rPr>
          <w:b/>
        </w:rPr>
        <w:t xml:space="preserve">14 </w:t>
      </w:r>
      <w:r>
        <w:t xml:space="preserve">Is any sick among you? let him call for the elders of the assembly; and let them pray</w:t>
      </w:r>
      <w:r>
        <w:rPr>
          <w:rStyle w:val="FootnoteReference"/>
        </w:rPr>
        <w:footnoteReference w:id="19098"/>
      </w:r>
      <w:r>
        <w:t xml:space="preserve"> over him, anointing him with oil in the name of the Lord:</w:t>
      </w:r>
    </w:p>
    <w:p>
      <w:r>
        <w:rPr>
          <w:b/>
        </w:rPr>
        <w:t xml:space="preserve">15 </w:t>
      </w:r>
      <w:r>
        <w:t xml:space="preserve">And the prayer</w:t>
      </w:r>
      <w:r>
        <w:rPr>
          <w:rStyle w:val="FootnoteReference"/>
        </w:rPr>
        <w:footnoteReference w:id="19099"/>
      </w:r>
      <w:r>
        <w:t xml:space="preserve"> of faith shall save the sick, and the Lord shall raise him up; and if he have committed sins, they shall be forgiven him.</w:t>
      </w:r>
    </w:p>
    <w:p>
      <w:r>
        <w:rPr>
          <w:b/>
        </w:rPr>
        <w:t xml:space="preserve">16 </w:t>
      </w:r>
      <w:r>
        <w:t xml:space="preserve">Confess</w:t>
      </w:r>
      <w:r>
        <w:rPr>
          <w:rStyle w:val="FootnoteReference"/>
        </w:rPr>
        <w:footnoteReference w:id="19100"/>
      </w:r>
      <w:r>
        <w:t xml:space="preserve"> your faults one to another, and pray one for another, that you may be healed. The effectual fervent prayer of a righteous man avails much.</w:t>
      </w:r>
    </w:p>
    <w:p>
      <w:r>
        <w:rPr>
          <w:b/>
        </w:rPr>
        <w:t xml:space="preserve">17 </w:t>
      </w:r>
      <w:r>
        <w:t xml:space="preserve">Elijah was a man of like nature with us, and he prayed earnestly that it might not rain: and it did not rain on the earth for three years and six months.</w:t>
      </w:r>
    </w:p>
    <w:p>
      <w:r>
        <w:rPr>
          <w:b/>
        </w:rPr>
        <w:t xml:space="preserve">18 </w:t>
      </w:r>
      <w:r>
        <w:t xml:space="preserve">And he prayed again, and the heaven gave rain, and the earth bore her fruit.</w:t>
      </w:r>
    </w:p>
    <w:p>
      <w:r>
        <w:rPr>
          <w:b/>
        </w:rPr>
        <w:t xml:space="preserve">19 </w:t>
      </w:r>
      <w:r>
        <w:t xml:space="preserve">Brothers, if any of you do go astray from the truth, and one</w:t>
      </w:r>
      <w:r>
        <w:rPr>
          <w:rStyle w:val="FootnoteReference"/>
        </w:rPr>
        <w:footnoteReference w:id="19101"/>
      </w:r>
      <w:r>
        <w:t xml:space="preserve"> convert him;</w:t>
      </w:r>
    </w:p>
    <w:p>
      <w:r>
        <w:rPr>
          <w:b/>
        </w:rPr>
        <w:t xml:space="preserve">20 </w:t>
      </w:r>
      <w:r>
        <w:t xml:space="preserve">Let him know, that the one who converts the sinner from the error of his way shall save</w:t>
      </w:r>
      <w:r>
        <w:rPr>
          <w:rStyle w:val="FootnoteReference"/>
        </w:rPr>
        <w:footnoteReference w:id="19102"/>
      </w:r>
      <w:r>
        <w:t xml:space="preserve"> a soul from death, and shall hide a multitude of sins.</w:t>
      </w:r>
    </w:p>
    <w:p>
      <w:r>
        <w:br w:type="page"/>
      </w:r>
    </w:p>
    <w:p>
      <w:pPr>
        <w:pStyle w:val="Heading1"/>
      </w:pPr>
      <w:r>
        <w:t xml:space="preserve">1 Peter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Peter</w:t>
      </w:r>
      <w:r>
        <w:rPr>
          <w:rStyle w:val="FootnoteReference"/>
        </w:rPr>
        <w:footnoteReference w:id="19103"/>
      </w:r>
      <w:r>
        <w:t xml:space="preserve">, an apostle of Jesus Christ, to the strangers scattered throughout Pontus, Galatia, Cappadocia, Asia, and Bithynia,</w:t>
      </w:r>
    </w:p>
    <w:p>
      <w:r>
        <w:rPr>
          <w:b/>
        </w:rPr>
        <w:t xml:space="preserve">2 </w:t>
      </w:r>
      <w:r>
        <w:t xml:space="preserve">Elect</w:t>
      </w:r>
      <w:r>
        <w:rPr>
          <w:rStyle w:val="FootnoteReference"/>
        </w:rPr>
        <w:footnoteReference w:id="19104"/>
      </w:r>
      <w:r>
        <w:t xml:space="preserve"> according to the foreknowledge of God the Father, through sanctification of the Spirit, to obedience and sprinkling of the blood of Jesus Christ: Grace to you, and peace, be multiplied.</w:t>
      </w:r>
    </w:p>
    <w:p>
      <w:r>
        <w:rPr>
          <w:b/>
        </w:rPr>
        <w:t xml:space="preserve">3 </w:t>
      </w:r>
      <w:r>
        <w:t xml:space="preserve">Blessed</w:t>
      </w:r>
      <w:r>
        <w:rPr>
          <w:rStyle w:val="FootnoteReference"/>
        </w:rPr>
        <w:footnoteReference w:id="19105"/>
      </w:r>
      <w:r>
        <w:t xml:space="preserve"> be the God and Father of our Lord Jesus Christ, who according to his abundant mercy has begotten us again to a lively hope by the resurrection of Jesus Christ from the dead,</w:t>
      </w:r>
    </w:p>
    <w:p>
      <w:r>
        <w:rPr>
          <w:b/>
        </w:rPr>
        <w:t xml:space="preserve">4 </w:t>
      </w:r>
      <w:r>
        <w:t xml:space="preserve">To an incorruptible</w:t>
      </w:r>
      <w:r>
        <w:rPr>
          <w:rStyle w:val="FootnoteReference"/>
        </w:rPr>
        <w:footnoteReference w:id="19106"/>
      </w:r>
      <w:r>
        <w:t xml:space="preserve"> and undefiled and unfading inheritance, reserved in the heavens for you,</w:t>
      </w:r>
    </w:p>
    <w:p>
      <w:r>
        <w:rPr>
          <w:b/>
        </w:rPr>
        <w:t xml:space="preserve">5 </w:t>
      </w:r>
      <w:r>
        <w:t xml:space="preserve">Who are kept</w:t>
      </w:r>
      <w:r>
        <w:rPr>
          <w:rStyle w:val="FootnoteReference"/>
        </w:rPr>
        <w:footnoteReference w:id="19107"/>
      </w:r>
      <w:r>
        <w:t xml:space="preserve"> by the power of God through faith to salvation ready to be revealed in the last time.</w:t>
      </w:r>
    </w:p>
    <w:p>
      <w:r>
        <w:rPr>
          <w:b/>
        </w:rPr>
        <w:t xml:space="preserve">6 </w:t>
      </w:r>
      <w:r>
        <w:t xml:space="preserve">in which you greatly rejoice, though now for a season, if need be, you are in heaviness through manifold</w:t>
      </w:r>
      <w:r>
        <w:rPr>
          <w:rStyle w:val="FootnoteReference"/>
        </w:rPr>
        <w:footnoteReference w:id="19108"/>
      </w:r>
      <w:r>
        <w:t xml:space="preserve"> temptations:</w:t>
      </w:r>
    </w:p>
    <w:p>
      <w:r>
        <w:rPr>
          <w:b/>
        </w:rPr>
        <w:t xml:space="preserve">7 </w:t>
      </w:r>
      <w:r>
        <w:t xml:space="preserve">That the trial</w:t>
      </w:r>
      <w:r>
        <w:rPr>
          <w:rStyle w:val="FootnoteReference"/>
        </w:rPr>
        <w:footnoteReference w:id="19109"/>
      </w:r>
      <w:r>
        <w:t xml:space="preserve"> of your faith, being much more precious than of gold that perishes, though it be tried with fire, might be found to praise and honor and glory at the appearing of Jesus Christ:</w:t>
      </w:r>
    </w:p>
    <w:p>
      <w:r>
        <w:rPr>
          <w:b/>
        </w:rPr>
        <w:t xml:space="preserve">8 </w:t>
      </w:r>
      <w:r>
        <w:t xml:space="preserve">Whom having not seen, you love; in whom, though now you see him not, yet believing</w:t>
      </w:r>
      <w:r>
        <w:rPr>
          <w:rStyle w:val="FootnoteReference"/>
        </w:rPr>
        <w:footnoteReference w:id="19110"/>
      </w:r>
      <w:r>
        <w:t xml:space="preserve">, you rejoice with joy unspeakable and full of glory:</w:t>
      </w:r>
    </w:p>
    <w:p>
      <w:r>
        <w:rPr>
          <w:b/>
        </w:rPr>
        <w:t xml:space="preserve">9 </w:t>
      </w:r>
      <w:r>
        <w:t xml:space="preserve">receiving the end of your faith, the salvation of your souls.</w:t>
      </w:r>
    </w:p>
    <w:p>
      <w:r>
        <w:rPr>
          <w:b/>
        </w:rPr>
        <w:t xml:space="preserve">10 </w:t>
      </w:r>
      <w:r>
        <w:t xml:space="preserve">Of which salvation the prophets have inquired and searched diligently, who prophesied of the grace</w:t>
      </w:r>
      <w:r>
        <w:rPr>
          <w:rStyle w:val="FootnoteReference"/>
        </w:rPr>
        <w:footnoteReference w:id="19111"/>
      </w:r>
      <w:r>
        <w:t xml:space="preserve"> that should come to you:</w:t>
      </w:r>
    </w:p>
    <w:p>
      <w:r>
        <w:rPr>
          <w:b/>
        </w:rPr>
        <w:t xml:space="preserve">11 </w:t>
      </w:r>
      <w:r>
        <w:t xml:space="preserve">Searching what, or what manner of time the Spirit</w:t>
      </w:r>
      <w:r>
        <w:rPr>
          <w:rStyle w:val="FootnoteReference"/>
        </w:rPr>
        <w:footnoteReference w:id="19112"/>
      </w:r>
      <w:r>
        <w:t xml:space="preserve"> of Christ who was in them did signify, when it testified beforehand the sufferings of Christ, and the glory that should follow.</w:t>
      </w:r>
    </w:p>
    <w:p>
      <w:r>
        <w:rPr>
          <w:b/>
        </w:rPr>
        <w:t xml:space="preserve">12 </w:t>
      </w:r>
      <w:r>
        <w:t xml:space="preserve">To whom it was revealed, that not</w:t>
      </w:r>
      <w:r>
        <w:rPr>
          <w:rStyle w:val="FootnoteReference"/>
        </w:rPr>
        <w:footnoteReference w:id="19113"/>
      </w:r>
      <w:r>
        <w:t xml:space="preserve"> to themselves, but to us they did minister the things, which are now reported to you by those who have preached the good news to you with the Holy Spirit sent down from heaven; which things the angels desire to look into.</w:t>
      </w:r>
    </w:p>
    <w:p>
      <w:r>
        <w:rPr>
          <w:b/>
        </w:rPr>
        <w:t xml:space="preserve">13 </w:t>
      </w:r>
      <w:r>
        <w:t xml:space="preserve">Therefore gird</w:t>
      </w:r>
      <w:r>
        <w:rPr>
          <w:rStyle w:val="FootnoteReference"/>
        </w:rPr>
        <w:footnoteReference w:id="19114"/>
      </w:r>
      <w:r>
        <w:t xml:space="preserve"> up the loins of your mind, be sober, and hope to the end for the grace that is to be brought to you at the revelation of Jesus Christ;</w:t>
      </w:r>
    </w:p>
    <w:p>
      <w:r>
        <w:rPr>
          <w:b/>
        </w:rPr>
        <w:t xml:space="preserve">14 </w:t>
      </w:r>
      <w:r>
        <w:t xml:space="preserve">As children of obedience, not conforming yourselves to the former desires in your ignorance:</w:t>
      </w:r>
    </w:p>
    <w:p>
      <w:r>
        <w:rPr>
          <w:b/>
        </w:rPr>
        <w:t xml:space="preserve">15 </w:t>
      </w:r>
      <w:r>
        <w:t xml:space="preserve">But as the one who has called you is holy, so be holy in all manner of conduct;</w:t>
      </w:r>
    </w:p>
    <w:p>
      <w:r>
        <w:rPr>
          <w:b/>
        </w:rPr>
        <w:t xml:space="preserve">16 </w:t>
      </w:r>
      <w:r>
        <w:t xml:space="preserve">Because it is written, be holy; for I am holy.</w:t>
      </w:r>
    </w:p>
    <w:p>
      <w:r>
        <w:rPr>
          <w:b/>
        </w:rPr>
        <w:t xml:space="preserve">17 </w:t>
      </w:r>
      <w:r>
        <w:t xml:space="preserve">And if you call</w:t>
      </w:r>
      <w:r>
        <w:rPr>
          <w:rStyle w:val="FootnoteReference"/>
        </w:rPr>
        <w:footnoteReference w:id="19115"/>
      </w:r>
      <w:r>
        <w:t xml:space="preserve"> on the Father, who without respect of persons judges according to every man's work, pass the time of your sojourning here in fear:</w:t>
      </w:r>
    </w:p>
    <w:p>
      <w:r>
        <w:rPr>
          <w:b/>
        </w:rPr>
        <w:t xml:space="preserve">18 </w:t>
      </w:r>
      <w:r>
        <w:t xml:space="preserve">since you know that you were not redeemed with corruptible</w:t>
      </w:r>
      <w:r>
        <w:rPr>
          <w:rStyle w:val="FootnoteReference"/>
        </w:rPr>
        <w:footnoteReference w:id="19116"/>
      </w:r>
      <w:r>
        <w:t xml:space="preserve"> things, as silver and gold, from your vain conduct received by tradition from your fathers;</w:t>
      </w:r>
    </w:p>
    <w:p>
      <w:r>
        <w:rPr>
          <w:b/>
        </w:rPr>
        <w:t xml:space="preserve">19 </w:t>
      </w:r>
      <w:r>
        <w:t xml:space="preserve">but with precious blood, as of a lamb without blemish and without spot, of Christ:</w:t>
      </w:r>
    </w:p>
    <w:p>
      <w:r>
        <w:rPr>
          <w:b/>
        </w:rPr>
        <w:t xml:space="preserve">20 </w:t>
      </w:r>
      <w:r>
        <w:t xml:space="preserve">Who truly was foreordained before the foundation of the world, but was manifest in these last times for you,</w:t>
      </w:r>
    </w:p>
    <w:p>
      <w:r>
        <w:rPr>
          <w:b/>
        </w:rPr>
        <w:t xml:space="preserve">21 </w:t>
      </w:r>
      <w:r>
        <w:t xml:space="preserve">Who by him do believe in God, that raised</w:t>
      </w:r>
      <w:r>
        <w:rPr>
          <w:rStyle w:val="FootnoteReference"/>
        </w:rPr>
        <w:footnoteReference w:id="19117"/>
      </w:r>
      <w:r>
        <w:t xml:space="preserve"> him up from the dead, and gave him glory; that your faith and hope might be in God.</w:t>
      </w:r>
    </w:p>
    <w:p>
      <w:r>
        <w:rPr>
          <w:b/>
        </w:rPr>
        <w:t xml:space="preserve">22 </w:t>
      </w:r>
      <w:r>
        <w:t xml:space="preserve">Seeing you have purified your souls in obeying the truth through the Spirit to sincere love of the brothers, see that you love one another with a pure</w:t>
      </w:r>
      <w:r>
        <w:rPr>
          <w:rStyle w:val="FootnoteReference"/>
        </w:rPr>
        <w:footnoteReference w:id="19118"/>
      </w:r>
      <w:r>
        <w:t xml:space="preserve"> heart fervently:</w:t>
      </w:r>
    </w:p>
    <w:p>
      <w:r>
        <w:rPr>
          <w:b/>
        </w:rPr>
        <w:t xml:space="preserve">23 </w:t>
      </w:r>
      <w:r>
        <w:t xml:space="preserve">Being born</w:t>
      </w:r>
      <w:r>
        <w:rPr>
          <w:rStyle w:val="FootnoteReference"/>
        </w:rPr>
        <w:footnoteReference w:id="19119"/>
      </w:r>
      <w:r>
        <w:t xml:space="preserve"> again, not of corruptible seed, but of incorruptible, by the word of God, who lives and abides forever.</w:t>
      </w:r>
    </w:p>
    <w:p>
      <w:r>
        <w:rPr>
          <w:b/>
        </w:rPr>
        <w:t xml:space="preserve">24 </w:t>
      </w:r>
      <w:r>
        <w:t xml:space="preserve">For all flesh</w:t>
      </w:r>
      <w:r>
        <w:rPr>
          <w:rStyle w:val="FootnoteReference"/>
        </w:rPr>
        <w:footnoteReference w:id="19120"/>
      </w:r>
      <w:r>
        <w:t xml:space="preserve"> is as grass, and all the glory of man as the flower of grass. The grass withers, and the flower of it falls away:</w:t>
      </w:r>
    </w:p>
    <w:p>
      <w:r>
        <w:rPr>
          <w:b/>
        </w:rPr>
        <w:t xml:space="preserve">25 </w:t>
      </w:r>
      <w:r>
        <w:t xml:space="preserve">But the word</w:t>
      </w:r>
      <w:r>
        <w:rPr>
          <w:rStyle w:val="FootnoteReference"/>
        </w:rPr>
        <w:footnoteReference w:id="19121"/>
      </w:r>
      <w:r>
        <w:t xml:space="preserve"> of the Lord endures forever. And this is the word which by the good news is preached to you.</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Therefore laying</w:t>
      </w:r>
      <w:r>
        <w:rPr>
          <w:rStyle w:val="FootnoteReference"/>
        </w:rPr>
        <w:footnoteReference w:id="19122"/>
      </w:r>
      <w:r>
        <w:t xml:space="preserve"> aside all malice, and all guile, and hypocrisies, and envies, all evil speaking,</w:t>
      </w:r>
    </w:p>
    <w:p>
      <w:r>
        <w:rPr>
          <w:b/>
        </w:rPr>
        <w:t xml:space="preserve">2 </w:t>
      </w:r>
      <w:r>
        <w:t xml:space="preserve">As newborn</w:t>
      </w:r>
      <w:r>
        <w:rPr>
          <w:rStyle w:val="FootnoteReference"/>
        </w:rPr>
        <w:footnoteReference w:id="19123"/>
      </w:r>
      <w:r>
        <w:t xml:space="preserve"> babes, desire the sincere milk of the word, that you may grow by it:</w:t>
      </w:r>
    </w:p>
    <w:p>
      <w:r>
        <w:rPr>
          <w:b/>
        </w:rPr>
        <w:t xml:space="preserve">3 </w:t>
      </w:r>
      <w:r>
        <w:t xml:space="preserve">If indeed you have tasted that the Lord is gracious.</w:t>
      </w:r>
    </w:p>
    <w:p>
      <w:r>
        <w:rPr>
          <w:b/>
        </w:rPr>
        <w:t xml:space="preserve">4 </w:t>
      </w:r>
      <w:r>
        <w:t xml:space="preserve">To whom coming, as to a living</w:t>
      </w:r>
      <w:r>
        <w:rPr>
          <w:rStyle w:val="FootnoteReference"/>
        </w:rPr>
        <w:footnoteReference w:id="19124"/>
      </w:r>
      <w:r>
        <w:t xml:space="preserve"> stone, disallowed indeed of men, but chosen of God, and precious,</w:t>
      </w:r>
    </w:p>
    <w:p>
      <w:r>
        <w:rPr>
          <w:b/>
        </w:rPr>
        <w:t xml:space="preserve">5 </w:t>
      </w:r>
      <w:r>
        <w:t xml:space="preserve">You also</w:t>
      </w:r>
      <w:r>
        <w:rPr>
          <w:rStyle w:val="FootnoteReference"/>
        </w:rPr>
        <w:footnoteReference w:id="19125"/>
      </w:r>
      <w:r>
        <w:t xml:space="preserve">, as lively stones, are built up a spiritual house, a holy priesthood, to offer up spiritual sacrifices, acceptable to God by Jesus Christ.</w:t>
      </w:r>
    </w:p>
    <w:p>
      <w:r>
        <w:rPr>
          <w:b/>
        </w:rPr>
        <w:t xml:space="preserve">6 </w:t>
      </w:r>
      <w:r>
        <w:t xml:space="preserve">Therefore also it is contained in the scripture, Look, I lay in Zion a chief corner stone, elect</w:t>
      </w:r>
      <w:r>
        <w:rPr>
          <w:rStyle w:val="FootnoteReference"/>
        </w:rPr>
        <w:footnoteReference w:id="19126"/>
      </w:r>
      <w:r>
        <w:t xml:space="preserve">, precious: and the one who believes on him shall not be confounded.</w:t>
      </w:r>
    </w:p>
    <w:p>
      <w:r>
        <w:rPr>
          <w:b/>
        </w:rPr>
        <w:t xml:space="preserve">7 </w:t>
      </w:r>
      <w:r>
        <w:t xml:space="preserve">To you therefore who believe belongs honor: but to those who are disobedient, the stone</w:t>
      </w:r>
      <w:r>
        <w:rPr>
          <w:rStyle w:val="FootnoteReference"/>
        </w:rPr>
        <w:footnoteReference w:id="19127"/>
      </w:r>
      <w:r>
        <w:t xml:space="preserve"> which the builders disallowed, the same is made the head of the corner,</w:t>
      </w:r>
    </w:p>
    <w:p>
      <w:r>
        <w:rPr>
          <w:b/>
        </w:rPr>
        <w:t xml:space="preserve">8 </w:t>
      </w:r>
      <w:r>
        <w:t xml:space="preserve">And a stone</w:t>
      </w:r>
      <w:r>
        <w:rPr>
          <w:rStyle w:val="FootnoteReference"/>
        </w:rPr>
        <w:footnoteReference w:id="19128"/>
      </w:r>
      <w:r>
        <w:t xml:space="preserve"> of stumbling, and a rock of stumbling, even to those who stumble at the word, being disobedient: to which also they were appointed.</w:t>
      </w:r>
    </w:p>
    <w:p>
      <w:r>
        <w:rPr>
          <w:b/>
        </w:rPr>
        <w:t xml:space="preserve">9 </w:t>
      </w:r>
      <w:r>
        <w:t xml:space="preserve">But you are a chosen</w:t>
      </w:r>
      <w:r>
        <w:rPr>
          <w:rStyle w:val="FootnoteReference"/>
        </w:rPr>
        <w:footnoteReference w:id="19129"/>
      </w:r>
      <w:r>
        <w:t xml:space="preserve"> generation, a royal priesthood, a holy nation, an exclusive people; that you should show forth the praises of him who has called you out of darkness into his marvelous light;</w:t>
      </w:r>
    </w:p>
    <w:p>
      <w:r>
        <w:rPr>
          <w:b/>
        </w:rPr>
        <w:t xml:space="preserve">10 </w:t>
      </w:r>
      <w:r>
        <w:t xml:space="preserve">who once were not a people, but now are the people of God: who had not obtained</w:t>
      </w:r>
      <w:r>
        <w:rPr>
          <w:rStyle w:val="FootnoteReference"/>
        </w:rPr>
        <w:footnoteReference w:id="19130"/>
      </w:r>
      <w:r>
        <w:t xml:space="preserve"> mercy, but now have obtained mercy.</w:t>
      </w:r>
    </w:p>
    <w:p>
      <w:r>
        <w:rPr>
          <w:b/>
        </w:rPr>
        <w:t xml:space="preserve">11 </w:t>
      </w:r>
      <w:r>
        <w:t xml:space="preserve">Beloved, I exhort you as strangers and pilgrims to abstain</w:t>
      </w:r>
      <w:r>
        <w:rPr>
          <w:rStyle w:val="FootnoteReference"/>
        </w:rPr>
        <w:footnoteReference w:id="19131"/>
      </w:r>
      <w:r>
        <w:t xml:space="preserve"> from fleshly desires, which war against the soul;</w:t>
      </w:r>
    </w:p>
    <w:p>
      <w:r>
        <w:rPr>
          <w:b/>
        </w:rPr>
        <w:t xml:space="preserve">12 </w:t>
      </w:r>
      <w:r>
        <w:t xml:space="preserve">Having your conduct honest</w:t>
      </w:r>
      <w:r>
        <w:rPr>
          <w:rStyle w:val="FootnoteReference"/>
        </w:rPr>
        <w:footnoteReference w:id="19132"/>
      </w:r>
      <w:r>
        <w:t xml:space="preserve"> among the nations: that, whereas they speak against you as evildoers, they may by your good works, which they observe, glorify God in the day of visitation.</w:t>
      </w:r>
    </w:p>
    <w:p>
      <w:r>
        <w:rPr>
          <w:b/>
        </w:rPr>
        <w:t xml:space="preserve">13 </w:t>
      </w:r>
      <w:r>
        <w:t xml:space="preserve">Submit yourselves to every ordinance of man for the Lord's sake: whether it be to the king, as supreme;</w:t>
      </w:r>
    </w:p>
    <w:p>
      <w:r>
        <w:rPr>
          <w:b/>
        </w:rPr>
        <w:t xml:space="preserve">14 </w:t>
      </w:r>
      <w:r>
        <w:t xml:space="preserve">Or to governors, as to those who are sent by him for the punishment</w:t>
      </w:r>
      <w:r>
        <w:rPr>
          <w:rStyle w:val="FootnoteReference"/>
        </w:rPr>
        <w:footnoteReference w:id="19133"/>
      </w:r>
      <w:r>
        <w:t xml:space="preserve"> of evildoers, and for the praise of those who do well.</w:t>
      </w:r>
    </w:p>
    <w:p>
      <w:r>
        <w:rPr>
          <w:b/>
        </w:rPr>
        <w:t xml:space="preserve">15 </w:t>
      </w:r>
      <w:r>
        <w:t xml:space="preserve">For so is the will of God, that with well doing you may put to silence the ignorance</w:t>
      </w:r>
      <w:r>
        <w:rPr>
          <w:rStyle w:val="FootnoteReference"/>
        </w:rPr>
        <w:footnoteReference w:id="19134"/>
      </w:r>
      <w:r>
        <w:t xml:space="preserve"> of foolish men:</w:t>
      </w:r>
    </w:p>
    <w:p>
      <w:r>
        <w:rPr>
          <w:b/>
        </w:rPr>
        <w:t xml:space="preserve">16 </w:t>
      </w:r>
      <w:r>
        <w:t xml:space="preserve">As free</w:t>
      </w:r>
      <w:r>
        <w:rPr>
          <w:rStyle w:val="FootnoteReference"/>
        </w:rPr>
        <w:footnoteReference w:id="19135"/>
      </w:r>
      <w:r>
        <w:t xml:space="preserve">, and not using your liberty for a tunic of maliciousness, but as the slaves of God.</w:t>
      </w:r>
    </w:p>
    <w:p>
      <w:r>
        <w:rPr>
          <w:b/>
        </w:rPr>
        <w:t xml:space="preserve">17 </w:t>
      </w:r>
      <w:r>
        <w:t xml:space="preserve">Honor all men. Love</w:t>
      </w:r>
      <w:r>
        <w:rPr>
          <w:rStyle w:val="FootnoteReference"/>
        </w:rPr>
        <w:footnoteReference w:id="19136"/>
      </w:r>
      <w:r>
        <w:t xml:space="preserve"> the brotherhood. Fear God. Honor the king.</w:t>
      </w:r>
    </w:p>
    <w:p>
      <w:r>
        <w:rPr>
          <w:b/>
        </w:rPr>
        <w:t xml:space="preserve">18 </w:t>
      </w:r>
      <w:r>
        <w:t xml:space="preserve">Household servants, be subject in all fear to your masters; not only to the good</w:t>
      </w:r>
      <w:r>
        <w:rPr>
          <w:rStyle w:val="FootnoteReference"/>
        </w:rPr>
        <w:footnoteReference w:id="19137"/>
      </w:r>
      <w:r>
        <w:t xml:space="preserve"> and gentle, but also to the perverse.</w:t>
      </w:r>
    </w:p>
    <w:p>
      <w:r>
        <w:rPr>
          <w:b/>
        </w:rPr>
        <w:t xml:space="preserve">19 </w:t>
      </w:r>
      <w:r>
        <w:t xml:space="preserve">For this is grace, if because of conscience toward God someone endures griefs, suffering</w:t>
      </w:r>
      <w:r>
        <w:rPr>
          <w:rStyle w:val="FootnoteReference"/>
        </w:rPr>
        <w:footnoteReference w:id="19138"/>
      </w:r>
      <w:r>
        <w:t xml:space="preserve"> unjustly.</w:t>
      </w:r>
    </w:p>
    <w:p>
      <w:r>
        <w:rPr>
          <w:b/>
        </w:rPr>
        <w:t xml:space="preserve">20 </w:t>
      </w:r>
      <w:r>
        <w:t xml:space="preserve">For what glory is it, if, when you be buffeted</w:t>
      </w:r>
      <w:r>
        <w:rPr>
          <w:rStyle w:val="FootnoteReference"/>
        </w:rPr>
        <w:footnoteReference w:id="19139"/>
      </w:r>
      <w:r>
        <w:t xml:space="preserve"> for your faults, you shall take it patiently? but if, when you do well, and suffer for it, you take it patiently, this is acceptable with God.</w:t>
      </w:r>
    </w:p>
    <w:p>
      <w:r>
        <w:rPr>
          <w:b/>
        </w:rPr>
        <w:t xml:space="preserve">21 </w:t>
      </w:r>
      <w:r>
        <w:t xml:space="preserve">For even to this were you called: because Christ also suffered for us</w:t>
      </w:r>
      <w:r>
        <w:rPr>
          <w:rStyle w:val="FootnoteReference"/>
        </w:rPr>
        <w:footnoteReference w:id="19140"/>
      </w:r>
      <w:r>
        <w:t xml:space="preserve">, leaving us an example, that you should follow his steps:</w:t>
      </w:r>
    </w:p>
    <w:p>
      <w:r>
        <w:rPr>
          <w:b/>
        </w:rPr>
        <w:t xml:space="preserve">22 </w:t>
      </w:r>
      <w:r>
        <w:t xml:space="preserve">who did no sin, neither was deceit found in his mouth:</w:t>
      </w:r>
    </w:p>
    <w:p>
      <w:r>
        <w:rPr>
          <w:b/>
        </w:rPr>
        <w:t xml:space="preserve">23 </w:t>
      </w:r>
      <w:r>
        <w:t xml:space="preserve">Who, when he was</w:t>
      </w:r>
      <w:r>
        <w:rPr>
          <w:rStyle w:val="FootnoteReference"/>
        </w:rPr>
        <w:footnoteReference w:id="19141"/>
      </w:r>
      <w:r>
        <w:t xml:space="preserve"> reviled, reviled not again; when he suffered, he threatened not; but committed himself to him who judges righteously:</w:t>
      </w:r>
    </w:p>
    <w:p>
      <w:r>
        <w:rPr>
          <w:b/>
        </w:rPr>
        <w:t xml:space="preserve">24 </w:t>
      </w:r>
      <w:r>
        <w:t xml:space="preserve">Who his own self</w:t>
      </w:r>
      <w:r>
        <w:rPr>
          <w:rStyle w:val="FootnoteReference"/>
        </w:rPr>
        <w:footnoteReference w:id="19142"/>
      </w:r>
      <w:r>
        <w:t xml:space="preserve"> bore our sins in his own body on the tree, that we, being dead to sins, should live to righteousness: by whose stripes you were healed.</w:t>
      </w:r>
    </w:p>
    <w:p>
      <w:r>
        <w:rPr>
          <w:b/>
        </w:rPr>
        <w:t xml:space="preserve">25 </w:t>
      </w:r>
      <w:r>
        <w:t xml:space="preserve">For you were as sheep going astray; but are now returned to the Shepherd</w:t>
      </w:r>
      <w:r>
        <w:rPr>
          <w:rStyle w:val="FootnoteReference"/>
        </w:rPr>
        <w:footnoteReference w:id="19143"/>
      </w:r>
      <w:r>
        <w:t xml:space="preserve"> and Overseer of your souls.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Likewise, you wives, be in subjection to your own husbands; that, if any obey</w:t>
      </w:r>
      <w:r>
        <w:rPr>
          <w:rStyle w:val="FootnoteReference"/>
        </w:rPr>
        <w:footnoteReference w:id="19144"/>
      </w:r>
      <w:r>
        <w:t xml:space="preserve"> not the word, they also may without the word be won by the conduct of the wives;</w:t>
      </w:r>
    </w:p>
    <w:p>
      <w:r>
        <w:rPr>
          <w:b/>
        </w:rPr>
        <w:t xml:space="preserve">2 </w:t>
      </w:r>
      <w:r>
        <w:t xml:space="preserve">While they look your chaste conduct coupled with fear.</w:t>
      </w:r>
    </w:p>
    <w:p>
      <w:r>
        <w:rPr>
          <w:b/>
        </w:rPr>
        <w:t xml:space="preserve">3 </w:t>
      </w:r>
      <w:r>
        <w:t xml:space="preserve">whose adornment let it not be outward, in braiding hair and wearing gold, or putting on garments;</w:t>
      </w:r>
    </w:p>
    <w:p>
      <w:r>
        <w:rPr>
          <w:b/>
        </w:rPr>
        <w:t xml:space="preserve">4 </w:t>
      </w:r>
      <w:r>
        <w:t xml:space="preserve">But let it be the hidden</w:t>
      </w:r>
      <w:r>
        <w:rPr>
          <w:rStyle w:val="FootnoteReference"/>
        </w:rPr>
        <w:footnoteReference w:id="19145"/>
      </w:r>
      <w:r>
        <w:t xml:space="preserve"> man of the heart, in that which is not corruptible, even the ornament of a meek and quiet spirit, which is in the sight of God of great price.</w:t>
      </w:r>
    </w:p>
    <w:p>
      <w:r>
        <w:rPr>
          <w:b/>
        </w:rPr>
        <w:t xml:space="preserve">5 </w:t>
      </w:r>
      <w:r>
        <w:t xml:space="preserve">For after this manner in the old time the holy</w:t>
      </w:r>
      <w:r>
        <w:rPr>
          <w:rStyle w:val="FootnoteReference"/>
        </w:rPr>
        <w:footnoteReference w:id="19146"/>
      </w:r>
      <w:r>
        <w:t xml:space="preserve"> women also, who trusted in God, adorned themselves, being in subjection to their own husbands:</w:t>
      </w:r>
    </w:p>
    <w:p>
      <w:r>
        <w:rPr>
          <w:b/>
        </w:rPr>
        <w:t xml:space="preserve">6 </w:t>
      </w:r>
      <w:r>
        <w:t xml:space="preserve">Even as Sarah obeyed Abraham, calling him Lord: whose daughters you are, as long as you do well, and are not afraid with any amazement.</w:t>
      </w:r>
    </w:p>
    <w:p>
      <w:r>
        <w:rPr>
          <w:b/>
        </w:rPr>
        <w:t xml:space="preserve">7 </w:t>
      </w:r>
      <w:r>
        <w:t xml:space="preserve">Likewise, you husbands, dwell with them according to knowledge, giving</w:t>
      </w:r>
      <w:r>
        <w:rPr>
          <w:rStyle w:val="FootnoteReference"/>
        </w:rPr>
        <w:footnoteReference w:id="19147"/>
      </w:r>
      <w:r>
        <w:t xml:space="preserve"> honor to the wife, as to the weaker vessel, and as being heirs together of the grace of life; that your prayers be not hindered.</w:t>
      </w:r>
    </w:p>
    <w:p>
      <w:r>
        <w:rPr>
          <w:b/>
        </w:rPr>
        <w:t xml:space="preserve">8 </w:t>
      </w:r>
      <w:r>
        <w:t xml:space="preserve">Finally, be all of one mind, having compassion one of another, love as brothers, be pitiful</w:t>
      </w:r>
      <w:r>
        <w:rPr>
          <w:rStyle w:val="FootnoteReference"/>
        </w:rPr>
        <w:footnoteReference w:id="19148"/>
      </w:r>
      <w:r>
        <w:t xml:space="preserve">, be courteous:</w:t>
      </w:r>
    </w:p>
    <w:p>
      <w:r>
        <w:rPr>
          <w:b/>
        </w:rPr>
        <w:t xml:space="preserve">9 </w:t>
      </w:r>
      <w:r>
        <w:t xml:space="preserve">Not rendering</w:t>
      </w:r>
      <w:r>
        <w:rPr>
          <w:rStyle w:val="FootnoteReference"/>
        </w:rPr>
        <w:footnoteReference w:id="19149"/>
      </w:r>
      <w:r>
        <w:t xml:space="preserve"> evil for evil, or railing for railing: but contrariwise blessing; knowing that you are to this called, that you should inherit a blessing.</w:t>
      </w:r>
    </w:p>
    <w:p>
      <w:r>
        <w:rPr>
          <w:b/>
        </w:rPr>
        <w:t xml:space="preserve">10 </w:t>
      </w:r>
      <w:r>
        <w:t xml:space="preserve">For the one who will love</w:t>
      </w:r>
      <w:r>
        <w:rPr>
          <w:rStyle w:val="FootnoteReference"/>
        </w:rPr>
        <w:footnoteReference w:id="19150"/>
      </w:r>
      <w:r>
        <w:t xml:space="preserve"> life, and see good days, let him refrain his tongue from evil, and his lips that they speak no guile:</w:t>
      </w:r>
    </w:p>
    <w:p>
      <w:r>
        <w:rPr>
          <w:b/>
        </w:rPr>
        <w:t xml:space="preserve">11 </w:t>
      </w:r>
      <w:r>
        <w:t xml:space="preserve">Let him turn away from evil, and do good; let him seek</w:t>
      </w:r>
      <w:r>
        <w:rPr>
          <w:rStyle w:val="FootnoteReference"/>
        </w:rPr>
        <w:footnoteReference w:id="19151"/>
      </w:r>
      <w:r>
        <w:t xml:space="preserve"> peace, and pursue it.</w:t>
      </w:r>
    </w:p>
    <w:p>
      <w:r>
        <w:rPr>
          <w:b/>
        </w:rPr>
        <w:t xml:space="preserve">12 </w:t>
      </w:r>
      <w:r>
        <w:t xml:space="preserve">For the eyes</w:t>
      </w:r>
      <w:r>
        <w:rPr>
          <w:rStyle w:val="FootnoteReference"/>
        </w:rPr>
        <w:footnoteReference w:id="19152"/>
      </w:r>
      <w:r>
        <w:t xml:space="preserve"> of the Lord are over the righteous, and his ears are open to their prayers: but the face of the Lord is against those who do evil.</w:t>
      </w:r>
    </w:p>
    <w:p>
      <w:r>
        <w:rPr>
          <w:b/>
        </w:rPr>
        <w:t xml:space="preserve">13 </w:t>
      </w:r>
      <w:r>
        <w:t xml:space="preserve">And who is the one who will harm you, if you be followers</w:t>
      </w:r>
      <w:r>
        <w:rPr>
          <w:rStyle w:val="FootnoteReference"/>
        </w:rPr>
        <w:footnoteReference w:id="19153"/>
      </w:r>
      <w:r>
        <w:t xml:space="preserve"> of that which is good?</w:t>
      </w:r>
    </w:p>
    <w:p>
      <w:r>
        <w:rPr>
          <w:b/>
        </w:rPr>
        <w:t xml:space="preserve">14 </w:t>
      </w:r>
      <w:r>
        <w:t xml:space="preserve">But and if you suffer for righteousness' sake, happy are you: and do not be afraid of their terror, neither be troubled;</w:t>
      </w:r>
    </w:p>
    <w:p>
      <w:r>
        <w:rPr>
          <w:b/>
        </w:rPr>
        <w:t xml:space="preserve">15 </w:t>
      </w:r>
      <w:r>
        <w:t xml:space="preserve">But sanctify</w:t>
      </w:r>
      <w:r>
        <w:rPr>
          <w:rStyle w:val="FootnoteReference"/>
        </w:rPr>
        <w:footnoteReference w:id="19154"/>
      </w:r>
      <w:r>
        <w:t xml:space="preserve"> the Lord God in your hearts: and be ready always to give an answer to every man that asks you a reason of the hope that is in you with meekness and fear:</w:t>
      </w:r>
    </w:p>
    <w:p>
      <w:r>
        <w:rPr>
          <w:b/>
        </w:rPr>
        <w:t xml:space="preserve">16 </w:t>
      </w:r>
      <w:r>
        <w:t xml:space="preserve">Having a good</w:t>
      </w:r>
      <w:r>
        <w:rPr>
          <w:rStyle w:val="FootnoteReference"/>
        </w:rPr>
        <w:footnoteReference w:id="19155"/>
      </w:r>
      <w:r>
        <w:t xml:space="preserve"> conscience; that, whereas they speak evil of you, as of evildoers, they may be ashamed that falsely accuse your good conduct in Christ.</w:t>
      </w:r>
    </w:p>
    <w:p>
      <w:r>
        <w:rPr>
          <w:b/>
        </w:rPr>
        <w:t xml:space="preserve">17 </w:t>
      </w:r>
      <w:r>
        <w:t xml:space="preserve">For it is better, if the will of God be so, that you suffer</w:t>
      </w:r>
      <w:r>
        <w:rPr>
          <w:rStyle w:val="FootnoteReference"/>
        </w:rPr>
        <w:footnoteReference w:id="19156"/>
      </w:r>
      <w:r>
        <w:t xml:space="preserve"> for well doing, than for evil doing.</w:t>
      </w:r>
    </w:p>
    <w:p>
      <w:r>
        <w:rPr>
          <w:b/>
        </w:rPr>
        <w:t xml:space="preserve">18 </w:t>
      </w:r>
      <w:r>
        <w:t xml:space="preserve">For Christ</w:t>
      </w:r>
      <w:r>
        <w:rPr>
          <w:rStyle w:val="FootnoteReference"/>
        </w:rPr>
        <w:footnoteReference w:id="19157"/>
      </w:r>
      <w:r>
        <w:t xml:space="preserve"> also has once suffered for sins, the just for the unjust, that he might bring us to God, being put to death in the flesh, but made alive in spirit:</w:t>
      </w:r>
    </w:p>
    <w:p>
      <w:r>
        <w:rPr>
          <w:b/>
        </w:rPr>
        <w:t xml:space="preserve">19 </w:t>
      </w:r>
      <w:r>
        <w:t xml:space="preserve">By which</w:t>
      </w:r>
      <w:r>
        <w:rPr>
          <w:rStyle w:val="FootnoteReference"/>
        </w:rPr>
        <w:footnoteReference w:id="19158"/>
      </w:r>
      <w:r>
        <w:t xml:space="preserve"> also he went and preached to the spirits in prison;</w:t>
      </w:r>
    </w:p>
    <w:p>
      <w:r>
        <w:rPr>
          <w:b/>
        </w:rPr>
        <w:t xml:space="preserve">20 </w:t>
      </w:r>
      <w:r>
        <w:t xml:space="preserve">Which sometime</w:t>
      </w:r>
      <w:r>
        <w:rPr>
          <w:rStyle w:val="FootnoteReference"/>
        </w:rPr>
        <w:footnoteReference w:id="19159"/>
      </w:r>
      <w:r>
        <w:t xml:space="preserve"> were disobedient, when once the longsuffering of God waited in the days of Noah, while the ark was a preparing, in which few, that is, eight souls were saved by water.</w:t>
      </w:r>
    </w:p>
    <w:p>
      <w:r>
        <w:rPr>
          <w:b/>
        </w:rPr>
        <w:t xml:space="preserve">21 </w:t>
      </w:r>
      <w:r>
        <w:t xml:space="preserve">The like figure to which even baptism</w:t>
      </w:r>
      <w:r>
        <w:rPr>
          <w:rStyle w:val="FootnoteReference"/>
        </w:rPr>
        <w:footnoteReference w:id="19160"/>
      </w:r>
      <w:r>
        <w:t xml:space="preserve"> does also now save us (not the putting away of the filth of the flesh, but the answer of a good conscience toward God,) by the resurrection of Jesus Christ:</w:t>
      </w:r>
    </w:p>
    <w:p>
      <w:r>
        <w:rPr>
          <w:b/>
        </w:rPr>
        <w:t xml:space="preserve">22 </w:t>
      </w:r>
      <w:r>
        <w:t xml:space="preserve">Who is gone</w:t>
      </w:r>
      <w:r>
        <w:rPr>
          <w:rStyle w:val="FootnoteReference"/>
        </w:rPr>
        <w:footnoteReference w:id="19161"/>
      </w:r>
      <w:r>
        <w:t xml:space="preserve"> into heaven, and is on the right hand of God; angels and authorities and powers being made subject to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Since then Christ</w:t>
      </w:r>
      <w:r>
        <w:rPr>
          <w:rStyle w:val="FootnoteReference"/>
        </w:rPr>
        <w:footnoteReference w:id="19162"/>
      </w:r>
      <w:r>
        <w:t xml:space="preserve"> has suffered for us in the flesh, arm yourselves likewise with the same mind: for the one who has suffered in the flesh has ceased from sin;</w:t>
      </w:r>
    </w:p>
    <w:p>
      <w:r>
        <w:rPr>
          <w:b/>
        </w:rPr>
        <w:t xml:space="preserve">2 </w:t>
      </w:r>
      <w:r>
        <w:t xml:space="preserve">so that he no longer should live the remaining time in the flesh to the desires of men, but to the will</w:t>
      </w:r>
      <w:r>
        <w:rPr>
          <w:rStyle w:val="FootnoteReference"/>
        </w:rPr>
        <w:footnoteReference w:id="19163"/>
      </w:r>
      <w:r>
        <w:t xml:space="preserve"> of God.</w:t>
      </w:r>
    </w:p>
    <w:p>
      <w:r>
        <w:rPr>
          <w:b/>
        </w:rPr>
        <w:t xml:space="preserve">3 </w:t>
      </w:r>
      <w:r>
        <w:t xml:space="preserve">For the time</w:t>
      </w:r>
      <w:r>
        <w:rPr>
          <w:rStyle w:val="FootnoteReference"/>
        </w:rPr>
        <w:footnoteReference w:id="19164"/>
      </w:r>
      <w:r>
        <w:t xml:space="preserve"> past of our life may suffice us to have worked the will of the nations, when we walked in lasciviousness, lusts, excess of wine, revellings, banquetings, and abominable idolatries:</w:t>
      </w:r>
    </w:p>
    <w:p>
      <w:r>
        <w:rPr>
          <w:b/>
        </w:rPr>
        <w:t xml:space="preserve">4 </w:t>
      </w:r>
      <w:r>
        <w:t xml:space="preserve">in which they think it strange that you run not with them to the same excess</w:t>
      </w:r>
      <w:r>
        <w:rPr>
          <w:rStyle w:val="FootnoteReference"/>
        </w:rPr>
        <w:footnoteReference w:id="19165"/>
      </w:r>
      <w:r>
        <w:t xml:space="preserve"> of riot, speaking evil of you:</w:t>
      </w:r>
    </w:p>
    <w:p>
      <w:r>
        <w:rPr>
          <w:b/>
        </w:rPr>
        <w:t xml:space="preserve">5 </w:t>
      </w:r>
      <w:r>
        <w:t xml:space="preserve">Who shall give account to him who is ready to judge the quick and the dead.</w:t>
      </w:r>
    </w:p>
    <w:p>
      <w:r>
        <w:rPr>
          <w:b/>
        </w:rPr>
        <w:t xml:space="preserve">6 </w:t>
      </w:r>
      <w:r>
        <w:t xml:space="preserve">For for this cause was the good news preached also to those who are dead, that they might be judged according to men in the flesh, but live according to God in the spirit.</w:t>
      </w:r>
    </w:p>
    <w:p>
      <w:r>
        <w:rPr>
          <w:b/>
        </w:rPr>
        <w:t xml:space="preserve">7 </w:t>
      </w:r>
      <w:r>
        <w:t xml:space="preserve">But the end</w:t>
      </w:r>
      <w:r>
        <w:rPr>
          <w:rStyle w:val="FootnoteReference"/>
        </w:rPr>
        <w:footnoteReference w:id="19166"/>
      </w:r>
      <w:r>
        <w:t xml:space="preserve"> of all things is at hand: Be therefore sober, and watch to prayer.</w:t>
      </w:r>
    </w:p>
    <w:p>
      <w:r>
        <w:rPr>
          <w:b/>
        </w:rPr>
        <w:t xml:space="preserve">8 </w:t>
      </w:r>
      <w:r>
        <w:t xml:space="preserve">And above all things have fervent</w:t>
      </w:r>
      <w:r>
        <w:rPr>
          <w:rStyle w:val="FootnoteReference"/>
        </w:rPr>
        <w:footnoteReference w:id="19167"/>
      </w:r>
      <w:r>
        <w:t xml:space="preserve"> love among yourselves: for love shall cover the multitude of sins.</w:t>
      </w:r>
    </w:p>
    <w:p>
      <w:r>
        <w:rPr>
          <w:b/>
        </w:rPr>
        <w:t xml:space="preserve">9 </w:t>
      </w:r>
      <w:r>
        <w:t xml:space="preserve">Be hospitable to one another without grumblings.</w:t>
      </w:r>
    </w:p>
    <w:p>
      <w:r>
        <w:rPr>
          <w:b/>
        </w:rPr>
        <w:t xml:space="preserve">10 </w:t>
      </w:r>
      <w:r>
        <w:t xml:space="preserve">As each received a gift, serve it to one another</w:t>
      </w:r>
      <w:r>
        <w:rPr>
          <w:rStyle w:val="FootnoteReference"/>
        </w:rPr>
        <w:footnoteReference w:id="19168"/>
      </w:r>
      <w:r>
        <w:t xml:space="preserve">, as good</w:t>
      </w:r>
      <w:r>
        <w:rPr>
          <w:rStyle w:val="FootnoteReference"/>
        </w:rPr>
        <w:footnoteReference w:id="19169"/>
      </w:r>
      <w:r>
        <w:t xml:space="preserve"> stewards of the manifold grace of God.</w:t>
      </w:r>
    </w:p>
    <w:p>
      <w:r>
        <w:rPr>
          <w:b/>
        </w:rPr>
        <w:t xml:space="preserve">11 </w:t>
      </w:r>
      <w:r>
        <w:t xml:space="preserve">If anyone speak, let him speak as the</w:t>
      </w:r>
      <w:r>
        <w:rPr>
          <w:rStyle w:val="FootnoteReference"/>
        </w:rPr>
        <w:footnoteReference w:id="19170"/>
      </w:r>
      <w:r>
        <w:t xml:space="preserve"> oracles of God; if anyone minister, let him do it as of the ability which God gives: that God in all things may be glorified through Jesus Christ, to whom be praise and dominion forever and ever. Amen.</w:t>
      </w:r>
    </w:p>
    <w:p>
      <w:r>
        <w:rPr>
          <w:b/>
        </w:rPr>
        <w:t xml:space="preserve">12 </w:t>
      </w:r>
      <w:r>
        <w:t xml:space="preserve">Beloved, think</w:t>
      </w:r>
      <w:r>
        <w:rPr>
          <w:rStyle w:val="FootnoteReference"/>
        </w:rPr>
        <w:footnoteReference w:id="19171"/>
      </w:r>
      <w:r>
        <w:t xml:space="preserve"> it not strange concerning the fiery trial which is to try you, as though some strange thing happened to you:</w:t>
      </w:r>
    </w:p>
    <w:p>
      <w:r>
        <w:rPr>
          <w:b/>
        </w:rPr>
        <w:t xml:space="preserve">13 </w:t>
      </w:r>
      <w:r>
        <w:t xml:space="preserve">But rejoice</w:t>
      </w:r>
      <w:r>
        <w:rPr>
          <w:rStyle w:val="FootnoteReference"/>
        </w:rPr>
        <w:footnoteReference w:id="19172"/>
      </w:r>
      <w:r>
        <w:t xml:space="preserve">, inasmuch as you are partakers of Christ's sufferings; that, when his glory shall be revealed, you may be glad also with exceeding joy.</w:t>
      </w:r>
    </w:p>
    <w:p>
      <w:r>
        <w:rPr>
          <w:b/>
        </w:rPr>
        <w:t xml:space="preserve">14 </w:t>
      </w:r>
      <w:r>
        <w:t xml:space="preserve">If you be reproached</w:t>
      </w:r>
      <w:r>
        <w:rPr>
          <w:rStyle w:val="FootnoteReference"/>
        </w:rPr>
        <w:footnoteReference w:id="19173"/>
      </w:r>
      <w:r>
        <w:t xml:space="preserve"> for the name of Christ, happy are you; for the spirit of glory and of God rests upon you: on their part he is evil spoken of, but on your part he is glorified.</w:t>
      </w:r>
    </w:p>
    <w:p>
      <w:r>
        <w:rPr>
          <w:b/>
        </w:rPr>
        <w:t xml:space="preserve">15 </w:t>
      </w:r>
      <w:r>
        <w:t xml:space="preserve">But let none of you suffer</w:t>
      </w:r>
      <w:r>
        <w:rPr>
          <w:rStyle w:val="FootnoteReference"/>
        </w:rPr>
        <w:footnoteReference w:id="19174"/>
      </w:r>
      <w:r>
        <w:t xml:space="preserve"> as a murderer, or thief, or evildoer, or as a meddler in others' matters.</w:t>
      </w:r>
    </w:p>
    <w:p>
      <w:r>
        <w:rPr>
          <w:b/>
        </w:rPr>
        <w:t xml:space="preserve">16 </w:t>
      </w:r>
      <w:r>
        <w:t xml:space="preserve">Yet if anyone suffer as a Christian, let him not</w:t>
      </w:r>
      <w:r>
        <w:rPr>
          <w:rStyle w:val="FootnoteReference"/>
        </w:rPr>
        <w:footnoteReference w:id="19175"/>
      </w:r>
      <w:r>
        <w:t xml:space="preserve"> be ashamed; but let him glorify God on this behalf.</w:t>
      </w:r>
    </w:p>
    <w:p>
      <w:r>
        <w:rPr>
          <w:b/>
        </w:rPr>
        <w:t xml:space="preserve">17 </w:t>
      </w:r>
      <w:r>
        <w:t xml:space="preserve">For the time has come that judgment</w:t>
      </w:r>
      <w:r>
        <w:rPr>
          <w:rStyle w:val="FootnoteReference"/>
        </w:rPr>
        <w:footnoteReference w:id="19176"/>
      </w:r>
      <w:r>
        <w:t xml:space="preserve"> must begin at the house of God: and if it first begin at us, what shall the end be of those who obey not the good news of God?</w:t>
      </w:r>
    </w:p>
    <w:p>
      <w:r>
        <w:rPr>
          <w:b/>
        </w:rPr>
        <w:t xml:space="preserve">18 </w:t>
      </w:r>
      <w:r>
        <w:t xml:space="preserve">And if the righteous is saved with difficulty, where shall the ungodly and sinner appear?</w:t>
      </w:r>
    </w:p>
    <w:p>
      <w:r>
        <w:rPr>
          <w:b/>
        </w:rPr>
        <w:t xml:space="preserve">19 </w:t>
      </w:r>
      <w:r>
        <w:t xml:space="preserve">Therefore let those who suffer according to the will of God commit</w:t>
      </w:r>
      <w:r>
        <w:rPr>
          <w:rStyle w:val="FootnoteReference"/>
        </w:rPr>
        <w:footnoteReference w:id="19177"/>
      </w:r>
      <w:r>
        <w:t xml:space="preserve"> the keeping of their souls to him in well doing, as to a faithful Creator.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The elders</w:t>
      </w:r>
      <w:r>
        <w:rPr>
          <w:rStyle w:val="FootnoteReference"/>
        </w:rPr>
        <w:footnoteReference w:id="19178"/>
      </w:r>
      <w:r>
        <w:t xml:space="preserve"> who are among you I exhort, who am also an elder, and a witness of the sufferings of Christ, and also a partaker of the glory that shall be revealed:</w:t>
      </w:r>
    </w:p>
    <w:p>
      <w:r>
        <w:rPr>
          <w:b/>
        </w:rPr>
        <w:t xml:space="preserve">2 </w:t>
      </w:r>
      <w:r>
        <w:t xml:space="preserve">Feed</w:t>
      </w:r>
      <w:r>
        <w:rPr>
          <w:rStyle w:val="FootnoteReference"/>
        </w:rPr>
        <w:footnoteReference w:id="19179"/>
      </w:r>
      <w:r>
        <w:t xml:space="preserve"> the flock of God who is among you, taking the oversight of it, not by constraint, but willingly; not for filthy illegal gain, but of a ready mind;</w:t>
      </w:r>
    </w:p>
    <w:p>
      <w:r>
        <w:rPr>
          <w:b/>
        </w:rPr>
        <w:t xml:space="preserve">3 </w:t>
      </w:r>
      <w:r>
        <w:t xml:space="preserve">not as lording it over the allotted portions, but becoming examples to the flock.</w:t>
      </w:r>
    </w:p>
    <w:p>
      <w:r>
        <w:rPr>
          <w:b/>
        </w:rPr>
        <w:t xml:space="preserve">4 </w:t>
      </w:r>
      <w:r>
        <w:t xml:space="preserve">And when the chief Shepherd shall appear</w:t>
      </w:r>
      <w:r>
        <w:rPr>
          <w:rStyle w:val="FootnoteReference"/>
        </w:rPr>
        <w:footnoteReference w:id="19180"/>
      </w:r>
      <w:r>
        <w:t xml:space="preserve">, you shall receive a crown of glory that fades not away.</w:t>
      </w:r>
    </w:p>
    <w:p>
      <w:r>
        <w:rPr>
          <w:b/>
        </w:rPr>
        <w:t xml:space="preserve">5 </w:t>
      </w:r>
      <w:r>
        <w:t xml:space="preserve">Likewise, you younger, submit yourselves to the elder. Yes, you be subject one to another, and be clothed</w:t>
      </w:r>
      <w:r>
        <w:rPr>
          <w:rStyle w:val="FootnoteReference"/>
        </w:rPr>
        <w:footnoteReference w:id="19181"/>
      </w:r>
      <w:r>
        <w:t xml:space="preserve"> with humility: for God resists the proud, and gives grace to the humble.</w:t>
      </w:r>
    </w:p>
    <w:p>
      <w:r>
        <w:rPr>
          <w:b/>
        </w:rPr>
        <w:t xml:space="preserve">6 </w:t>
      </w:r>
      <w:r>
        <w:t xml:space="preserve">Humble</w:t>
      </w:r>
      <w:r>
        <w:rPr>
          <w:rStyle w:val="FootnoteReference"/>
        </w:rPr>
        <w:footnoteReference w:id="19182"/>
      </w:r>
      <w:r>
        <w:t xml:space="preserve"> yourselves therefore under the mighty hand of God, that he may exalt you in due time:</w:t>
      </w:r>
    </w:p>
    <w:p>
      <w:r>
        <w:rPr>
          <w:b/>
        </w:rPr>
        <w:t xml:space="preserve">7 </w:t>
      </w:r>
      <w:r>
        <w:t xml:space="preserve">Casting</w:t>
      </w:r>
      <w:r>
        <w:rPr>
          <w:rStyle w:val="FootnoteReference"/>
        </w:rPr>
        <w:footnoteReference w:id="19183"/>
      </w:r>
      <w:r>
        <w:t xml:space="preserve"> all your anxiety upon him; for he cares for you.</w:t>
      </w:r>
    </w:p>
    <w:p>
      <w:r>
        <w:rPr>
          <w:b/>
        </w:rPr>
        <w:t xml:space="preserve">8 </w:t>
      </w:r>
      <w:r>
        <w:t xml:space="preserve">Be sober</w:t>
      </w:r>
      <w:r>
        <w:rPr>
          <w:rStyle w:val="FootnoteReference"/>
        </w:rPr>
        <w:footnoteReference w:id="19184"/>
      </w:r>
      <w:r>
        <w:t xml:space="preserve">, watch; because your adversary the devil walks about as a roaring lion, seeking whom he may devour:</w:t>
      </w:r>
    </w:p>
    <w:p>
      <w:r>
        <w:rPr>
          <w:b/>
        </w:rPr>
        <w:t xml:space="preserve">9 </w:t>
      </w:r>
      <w:r>
        <w:t xml:space="preserve">Whom resist</w:t>
      </w:r>
      <w:r>
        <w:rPr>
          <w:rStyle w:val="FootnoteReference"/>
        </w:rPr>
        <w:footnoteReference w:id="19185"/>
      </w:r>
      <w:r>
        <w:t xml:space="preserve"> steadfast in the faith, knowing that the same afflictions are accomplished in your brothers that are in the world.</w:t>
      </w:r>
    </w:p>
    <w:p>
      <w:r>
        <w:rPr>
          <w:b/>
        </w:rPr>
        <w:t xml:space="preserve">10 </w:t>
      </w:r>
      <w:r>
        <w:t xml:space="preserve">But the God</w:t>
      </w:r>
      <w:r>
        <w:rPr>
          <w:rStyle w:val="FootnoteReference"/>
        </w:rPr>
        <w:footnoteReference w:id="19186"/>
      </w:r>
      <w:r>
        <w:t xml:space="preserve"> of all grace, who has called us to his eternal glory by Christ Jesus, after that you have suffered a while, make you perfect, establish, strengthen, settle you.</w:t>
      </w:r>
    </w:p>
    <w:p>
      <w:r>
        <w:rPr>
          <w:b/>
        </w:rPr>
        <w:t xml:space="preserve">11 </w:t>
      </w:r>
      <w:r>
        <w:t xml:space="preserve">To him be glory and dominion forever and ever. Amen.</w:t>
      </w:r>
    </w:p>
    <w:p>
      <w:r>
        <w:rPr>
          <w:b/>
        </w:rPr>
        <w:t xml:space="preserve">12 </w:t>
      </w:r>
      <w:r>
        <w:t xml:space="preserve">By Silvanus</w:t>
      </w:r>
      <w:r>
        <w:rPr>
          <w:rStyle w:val="FootnoteReference"/>
        </w:rPr>
        <w:footnoteReference w:id="19187"/>
      </w:r>
      <w:r>
        <w:t xml:space="preserve">, a faithful brother to you, as I suppose, I have written briefly, exhorting, and testifying that this is the true grace of God in which you stand.</w:t>
      </w:r>
    </w:p>
    <w:p>
      <w:r>
        <w:rPr>
          <w:b/>
        </w:rPr>
        <w:t xml:space="preserve">13 </w:t>
      </w:r>
      <w:r>
        <w:t xml:space="preserve">She who is in Babylon</w:t>
      </w:r>
      <w:r>
        <w:rPr>
          <w:rStyle w:val="FootnoteReference"/>
        </w:rPr>
        <w:footnoteReference w:id="19188"/>
      </w:r>
      <w:r>
        <w:t xml:space="preserve">, elect together with you, greets you; and Mark my son.</w:t>
      </w:r>
    </w:p>
    <w:p>
      <w:r>
        <w:rPr>
          <w:b/>
        </w:rPr>
        <w:t xml:space="preserve">14 </w:t>
      </w:r>
      <w:r>
        <w:t xml:space="preserve">Greet you one another with a</w:t>
      </w:r>
      <w:r>
        <w:rPr>
          <w:rStyle w:val="FootnoteReference"/>
        </w:rPr>
        <w:footnoteReference w:id="19189"/>
      </w:r>
      <w:r>
        <w:t xml:space="preserve"> kiss of love. Peace be with you all that are in Christ Jesus. Amen.</w:t>
      </w:r>
    </w:p>
    <w:p>
      <w:r>
        <w:br w:type="page"/>
      </w:r>
    </w:p>
    <w:p>
      <w:pPr>
        <w:pStyle w:val="Heading1"/>
      </w:pPr>
      <w:r>
        <w:t xml:space="preserve">2 Peter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Simon</w:t>
      </w:r>
      <w:r>
        <w:rPr>
          <w:rStyle w:val="FootnoteReference"/>
        </w:rPr>
        <w:footnoteReference w:id="19190"/>
      </w:r>
      <w:r>
        <w:t xml:space="preserve"> Peter, a slave and an apostle of Jesus Christ, to those who have obtained like precious faith with us through the righteousness of God and our Savior Jesus Christ:</w:t>
      </w:r>
    </w:p>
    <w:p>
      <w:r>
        <w:rPr>
          <w:b/>
        </w:rPr>
        <w:t xml:space="preserve">2 </w:t>
      </w:r>
      <w:r>
        <w:t xml:space="preserve">Grace</w:t>
      </w:r>
      <w:r>
        <w:rPr>
          <w:rStyle w:val="FootnoteReference"/>
        </w:rPr>
        <w:footnoteReference w:id="19191"/>
      </w:r>
      <w:r>
        <w:t xml:space="preserve"> and peace be multiplied to you through the knowledge of God, and of Jesus our Lord,</w:t>
      </w:r>
    </w:p>
    <w:p>
      <w:r>
        <w:rPr>
          <w:b/>
        </w:rPr>
        <w:t xml:space="preserve">3 </w:t>
      </w:r>
      <w:r>
        <w:t xml:space="preserve">According as his divine power has given to us all things that pertain to life and godliness, through the knowledge of him who has called</w:t>
      </w:r>
      <w:r>
        <w:rPr>
          <w:rStyle w:val="FootnoteReference"/>
        </w:rPr>
        <w:footnoteReference w:id="19192"/>
      </w:r>
      <w:r>
        <w:t xml:space="preserve"> us to glory and virtue:</w:t>
      </w:r>
    </w:p>
    <w:p>
      <w:r>
        <w:rPr>
          <w:b/>
        </w:rPr>
        <w:t xml:space="preserve">4 </w:t>
      </w:r>
      <w:r>
        <w:t xml:space="preserve">by which are given</w:t>
      </w:r>
      <w:r>
        <w:rPr>
          <w:rStyle w:val="FootnoteReference"/>
        </w:rPr>
        <w:footnoteReference w:id="19193"/>
      </w:r>
      <w:r>
        <w:t xml:space="preserve"> to us exceeding great and precious promises: that by these you might be partakers of the divine nature, having escaped the corruption that is in the world through lust.</w:t>
      </w:r>
    </w:p>
    <w:p>
      <w:r>
        <w:rPr>
          <w:b/>
        </w:rPr>
        <w:t xml:space="preserve">5 </w:t>
      </w:r>
      <w:r>
        <w:t xml:space="preserve">And for this very thing, bringing in all diligence, supply virtue</w:t>
      </w:r>
      <w:r>
        <w:rPr>
          <w:rStyle w:val="FootnoteReference"/>
        </w:rPr>
        <w:footnoteReference w:id="19194"/>
      </w:r>
      <w:r>
        <w:t xml:space="preserve"> in your faith; and in virtue knowledge;</w:t>
      </w:r>
    </w:p>
    <w:p>
      <w:r>
        <w:rPr>
          <w:b/>
        </w:rPr>
        <w:t xml:space="preserve">6 </w:t>
      </w:r>
      <w:r>
        <w:t xml:space="preserve">and in knowledge self-control; and in self-control endurance; and in endurance godliness</w:t>
      </w:r>
      <w:r>
        <w:rPr>
          <w:rStyle w:val="FootnoteReference"/>
        </w:rPr>
        <w:footnoteReference w:id="19195"/>
      </w:r>
      <w:r>
        <w:t xml:space="preserve">;</w:t>
      </w:r>
    </w:p>
    <w:p>
      <w:r>
        <w:rPr>
          <w:b/>
        </w:rPr>
        <w:t xml:space="preserve">7 </w:t>
      </w:r>
      <w:r>
        <w:t xml:space="preserve">And to godliness brotherly</w:t>
      </w:r>
      <w:r>
        <w:rPr>
          <w:rStyle w:val="FootnoteReference"/>
        </w:rPr>
        <w:footnoteReference w:id="19196"/>
      </w:r>
      <w:r>
        <w:t xml:space="preserve"> kindness; and to brotherly kindness love.</w:t>
      </w:r>
    </w:p>
    <w:p>
      <w:r>
        <w:rPr>
          <w:b/>
        </w:rPr>
        <w:t xml:space="preserve">8 </w:t>
      </w:r>
      <w:r>
        <w:t xml:space="preserve">For if these things be in you</w:t>
      </w:r>
      <w:r>
        <w:rPr>
          <w:rStyle w:val="FootnoteReference"/>
        </w:rPr>
        <w:footnoteReference w:id="19197"/>
      </w:r>
      <w:r>
        <w:t xml:space="preserve">, and abound, they make you that you shall neither be barren nor unfruitful in the knowledge of our Lord Jesus Christ.</w:t>
      </w:r>
    </w:p>
    <w:p>
      <w:r>
        <w:rPr>
          <w:b/>
        </w:rPr>
        <w:t xml:space="preserve">9 </w:t>
      </w:r>
      <w:r>
        <w:t xml:space="preserve">But the one who lacks these things is blind</w:t>
      </w:r>
      <w:r>
        <w:rPr>
          <w:rStyle w:val="FootnoteReference"/>
        </w:rPr>
        <w:footnoteReference w:id="19198"/>
      </w:r>
      <w:r>
        <w:t xml:space="preserve">, and cannot see far off, and has forgotten that he was purged from his old sins.</w:t>
      </w:r>
    </w:p>
    <w:p>
      <w:r>
        <w:rPr>
          <w:b/>
        </w:rPr>
        <w:t xml:space="preserve">10 </w:t>
      </w:r>
      <w:r>
        <w:t xml:space="preserve">Therefore the rather, brothers, give</w:t>
      </w:r>
      <w:r>
        <w:rPr>
          <w:rStyle w:val="FootnoteReference"/>
        </w:rPr>
        <w:footnoteReference w:id="19199"/>
      </w:r>
      <w:r>
        <w:t xml:space="preserve"> diligence to make your calling and election sure: for if you do these things, you shall never fall:</w:t>
      </w:r>
    </w:p>
    <w:p>
      <w:r>
        <w:rPr>
          <w:b/>
        </w:rPr>
        <w:t xml:space="preserve">11 </w:t>
      </w:r>
      <w:r>
        <w:t xml:space="preserve">For so an entrance</w:t>
      </w:r>
      <w:r>
        <w:rPr>
          <w:rStyle w:val="FootnoteReference"/>
        </w:rPr>
        <w:footnoteReference w:id="19200"/>
      </w:r>
      <w:r>
        <w:t xml:space="preserve"> shall be supplied to you abundantly into the eternal kingdom of our Lord and Savior Jesus Christ.</w:t>
      </w:r>
    </w:p>
    <w:p>
      <w:r>
        <w:rPr>
          <w:b/>
        </w:rPr>
        <w:t xml:space="preserve">12 </w:t>
      </w:r>
      <w:r>
        <w:t xml:space="preserve">Therefore I will not</w:t>
      </w:r>
      <w:r>
        <w:rPr>
          <w:rStyle w:val="FootnoteReference"/>
        </w:rPr>
        <w:footnoteReference w:id="19201"/>
      </w:r>
      <w:r>
        <w:t xml:space="preserve"> be negligent to put you always in remembrance of these things, though you know them, and be established in the present truth.</w:t>
      </w:r>
    </w:p>
    <w:p>
      <w:r>
        <w:rPr>
          <w:b/>
        </w:rPr>
        <w:t xml:space="preserve">13 </w:t>
      </w:r>
      <w:r>
        <w:t xml:space="preserve">Yes, I think it meet, as long</w:t>
      </w:r>
      <w:r>
        <w:rPr>
          <w:rStyle w:val="FootnoteReference"/>
        </w:rPr>
        <w:footnoteReference w:id="19202"/>
      </w:r>
      <w:r>
        <w:t xml:space="preserve"> as I am in this tabernacle, to stir you up by putting you in remembrance;</w:t>
      </w:r>
    </w:p>
    <w:p>
      <w:r>
        <w:rPr>
          <w:b/>
        </w:rPr>
        <w:t xml:space="preserve">14 </w:t>
      </w:r>
      <w:r>
        <w:t xml:space="preserve">Knowing that shortly</w:t>
      </w:r>
      <w:r>
        <w:rPr>
          <w:rStyle w:val="FootnoteReference"/>
        </w:rPr>
        <w:footnoteReference w:id="19203"/>
      </w:r>
      <w:r>
        <w:t xml:space="preserve"> I must put off this my tabernacle, even as our Lord Jesus Christ has showed me.</w:t>
      </w:r>
    </w:p>
    <w:p>
      <w:r>
        <w:rPr>
          <w:b/>
        </w:rPr>
        <w:t xml:space="preserve">15 </w:t>
      </w:r>
      <w:r>
        <w:t xml:space="preserve">Moreover I will endeavour that you may be able after my decease to have these things always in remembrance.</w:t>
      </w:r>
    </w:p>
    <w:p>
      <w:r>
        <w:rPr>
          <w:b/>
        </w:rPr>
        <w:t xml:space="preserve">16 </w:t>
      </w:r>
      <w:r>
        <w:t xml:space="preserve">For we have not followed cunningly devised fables, when we made known to you the power</w:t>
      </w:r>
      <w:r>
        <w:rPr>
          <w:rStyle w:val="FootnoteReference"/>
        </w:rPr>
        <w:footnoteReference w:id="19204"/>
      </w:r>
      <w:r>
        <w:t xml:space="preserve"> and coming of our Lord Jesus Christ, but were eyewitnesses of his majesty.</w:t>
      </w:r>
    </w:p>
    <w:p>
      <w:r>
        <w:rPr>
          <w:b/>
        </w:rPr>
        <w:t xml:space="preserve">17 </w:t>
      </w:r>
      <w:r>
        <w:t xml:space="preserve">For he received from God the Father honor and glory, when there came</w:t>
      </w:r>
      <w:r>
        <w:rPr>
          <w:rStyle w:val="FootnoteReference"/>
        </w:rPr>
        <w:footnoteReference w:id="19205"/>
      </w:r>
      <w:r>
        <w:t xml:space="preserve"> such a voice to him from the excellent glory, This is my beloved Son, in whom I am well pleased.</w:t>
      </w:r>
    </w:p>
    <w:p>
      <w:r>
        <w:rPr>
          <w:b/>
        </w:rPr>
        <w:t xml:space="preserve">18 </w:t>
      </w:r>
      <w:r>
        <w:t xml:space="preserve">And we heard this voice brought from heaven, being with him on the holy</w:t>
      </w:r>
      <w:r>
        <w:rPr>
          <w:rStyle w:val="FootnoteReference"/>
        </w:rPr>
        <w:footnoteReference w:id="19206"/>
      </w:r>
      <w:r>
        <w:t xml:space="preserve"> mountain.</w:t>
      </w:r>
    </w:p>
    <w:p>
      <w:r>
        <w:rPr>
          <w:b/>
        </w:rPr>
        <w:t xml:space="preserve">19 </w:t>
      </w:r>
      <w:r>
        <w:t xml:space="preserve">We have also a more</w:t>
      </w:r>
      <w:r>
        <w:rPr>
          <w:rStyle w:val="FootnoteReference"/>
        </w:rPr>
        <w:footnoteReference w:id="19207"/>
      </w:r>
      <w:r>
        <w:t xml:space="preserve"> sure word of prophecy; to which you do well that you take heed, as to a light that shines in a dark place, until the day dawn, and the day star arise in your hearts:</w:t>
      </w:r>
    </w:p>
    <w:p>
      <w:r>
        <w:rPr>
          <w:b/>
        </w:rPr>
        <w:t xml:space="preserve">20 </w:t>
      </w:r>
      <w:r>
        <w:t xml:space="preserve">Knowing</w:t>
      </w:r>
      <w:r>
        <w:rPr>
          <w:rStyle w:val="FootnoteReference"/>
        </w:rPr>
        <w:footnoteReference w:id="19208"/>
      </w:r>
      <w:r>
        <w:t xml:space="preserve"> this first, that no prophecy of Scripture comes from one's own interpretation.</w:t>
      </w:r>
    </w:p>
    <w:p>
      <w:r>
        <w:rPr>
          <w:b/>
        </w:rPr>
        <w:t xml:space="preserve">21 </w:t>
      </w:r>
      <w:r>
        <w:t xml:space="preserve">For the prophecy</w:t>
      </w:r>
      <w:r>
        <w:rPr>
          <w:rStyle w:val="FootnoteReference"/>
        </w:rPr>
        <w:footnoteReference w:id="19209"/>
      </w:r>
      <w:r>
        <w:t xml:space="preserve"> came not in old time by the will of man: but holy men of God spoke as they were moved by the Holy Spirit.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But there were</w:t>
      </w:r>
      <w:r>
        <w:rPr>
          <w:rStyle w:val="FootnoteReference"/>
        </w:rPr>
        <w:footnoteReference w:id="19210"/>
      </w:r>
      <w:r>
        <w:t xml:space="preserve"> false prophets also among the people, even as there shall be false teachers among you, who privately shall bring in destructive heresies, even denying the Lord that bought them, and bring upon themselves swift destruction.</w:t>
      </w:r>
    </w:p>
    <w:p>
      <w:r>
        <w:rPr>
          <w:b/>
        </w:rPr>
        <w:t xml:space="preserve">2 </w:t>
      </w:r>
      <w:r>
        <w:t xml:space="preserve">And many shall follow their destructive ways</w:t>
      </w:r>
      <w:r>
        <w:rPr>
          <w:rStyle w:val="FootnoteReference"/>
        </w:rPr>
        <w:footnoteReference w:id="19211"/>
      </w:r>
      <w:r>
        <w:t xml:space="preserve">; because of whom the way of truth shall be blasphemed.</w:t>
      </w:r>
    </w:p>
    <w:p>
      <w:r>
        <w:rPr>
          <w:b/>
        </w:rPr>
        <w:t xml:space="preserve">3 </w:t>
      </w:r>
      <w:r>
        <w:t xml:space="preserve">And in greed they will exploit you with fabricated words: whose judgment from long ago does not linger, and their destruction does not slumber.</w:t>
      </w:r>
    </w:p>
    <w:p>
      <w:r>
        <w:rPr>
          <w:b/>
        </w:rPr>
        <w:t xml:space="preserve">4 </w:t>
      </w:r>
      <w:r>
        <w:t xml:space="preserve">For if God spared</w:t>
      </w:r>
      <w:r>
        <w:rPr>
          <w:rStyle w:val="FootnoteReference"/>
        </w:rPr>
        <w:footnoteReference w:id="19212"/>
      </w:r>
      <w:r>
        <w:t xml:space="preserve"> not the angels that sinned, but cast them down to Tartarus</w:t>
      </w:r>
      <w:r>
        <w:rPr>
          <w:rStyle w:val="FootnoteReference"/>
        </w:rPr>
        <w:footnoteReference w:id="19213"/>
      </w:r>
      <w:r>
        <w:t xml:space="preserve">, and delivered them into chains of darkness, to be reserved to judgment;</w:t>
      </w:r>
    </w:p>
    <w:p>
      <w:r>
        <w:rPr>
          <w:b/>
        </w:rPr>
        <w:t xml:space="preserve">5 </w:t>
      </w:r>
      <w:r>
        <w:t xml:space="preserve">And he did not spare the ancient world, but preserved Noah, the eighth</w:t>
      </w:r>
      <w:r>
        <w:rPr>
          <w:rStyle w:val="FootnoteReference"/>
        </w:rPr>
        <w:footnoteReference w:id="19214"/>
      </w:r>
      <w:r>
        <w:t xml:space="preserve">, a preacher of righteousness, having brought a flood upon the world of the ungodly;</w:t>
      </w:r>
    </w:p>
    <w:p>
      <w:r>
        <w:rPr>
          <w:b/>
        </w:rPr>
        <w:t xml:space="preserve">6 </w:t>
      </w:r>
      <w:r>
        <w:t xml:space="preserve">And turning</w:t>
      </w:r>
      <w:r>
        <w:rPr>
          <w:rStyle w:val="FootnoteReference"/>
        </w:rPr>
        <w:footnoteReference w:id="19215"/>
      </w:r>
      <w:r>
        <w:t xml:space="preserve"> the cities of Sodom and Gomorrah into ashes condemned them with an overthrow, making them an example to those that after should live ungodly;</w:t>
      </w:r>
    </w:p>
    <w:p>
      <w:r>
        <w:rPr>
          <w:b/>
        </w:rPr>
        <w:t xml:space="preserve">7 </w:t>
      </w:r>
      <w:r>
        <w:t xml:space="preserve">And delivered</w:t>
      </w:r>
      <w:r>
        <w:rPr>
          <w:rStyle w:val="FootnoteReference"/>
        </w:rPr>
        <w:footnoteReference w:id="19216"/>
      </w:r>
      <w:r>
        <w:t xml:space="preserve"> just Lot, vexed with the filthy conduct of the wicked:</w:t>
      </w:r>
    </w:p>
    <w:p>
      <w:r>
        <w:rPr>
          <w:b/>
        </w:rPr>
        <w:t xml:space="preserve">8 </w:t>
      </w:r>
      <w:r>
        <w:t xml:space="preserve">(For that righteous man dwelling among them, in seeing</w:t>
      </w:r>
      <w:r>
        <w:rPr>
          <w:rStyle w:val="FootnoteReference"/>
        </w:rPr>
        <w:footnoteReference w:id="19217"/>
      </w:r>
      <w:r>
        <w:t xml:space="preserve"> and hearing, vexed his righteous soul from day today with their unlawful deeds;)</w:t>
      </w:r>
    </w:p>
    <w:p>
      <w:r>
        <w:rPr>
          <w:b/>
        </w:rPr>
        <w:t xml:space="preserve">9 </w:t>
      </w:r>
      <w:r>
        <w:t xml:space="preserve">The Lord knows how to deliver the godly</w:t>
      </w:r>
      <w:r>
        <w:rPr>
          <w:rStyle w:val="FootnoteReference"/>
        </w:rPr>
        <w:footnoteReference w:id="19218"/>
      </w:r>
      <w:r>
        <w:t xml:space="preserve"> out of temptations, and to reserve the unjust to the day of judgment to be punished:</w:t>
      </w:r>
    </w:p>
    <w:p>
      <w:r>
        <w:rPr>
          <w:b/>
        </w:rPr>
        <w:t xml:space="preserve">10 </w:t>
      </w:r>
      <w:r>
        <w:t xml:space="preserve">But chiefly those who walk after the flesh in the lust of uncleanness, and despise</w:t>
      </w:r>
      <w:r>
        <w:rPr>
          <w:rStyle w:val="FootnoteReference"/>
        </w:rPr>
        <w:footnoteReference w:id="19219"/>
      </w:r>
      <w:r>
        <w:t xml:space="preserve"> government. Arrogant are they, self-willed, they are not afraid to speak evil of dignities.</w:t>
      </w:r>
    </w:p>
    <w:p>
      <w:r>
        <w:rPr>
          <w:b/>
        </w:rPr>
        <w:t xml:space="preserve">11 </w:t>
      </w:r>
      <w:r>
        <w:t xml:space="preserve">Whereas angels</w:t>
      </w:r>
      <w:r>
        <w:rPr>
          <w:rStyle w:val="FootnoteReference"/>
        </w:rPr>
        <w:footnoteReference w:id="19220"/>
      </w:r>
      <w:r>
        <w:t xml:space="preserve">, who are greater in power and might, bring not railing accusation against them before the Lord.</w:t>
      </w:r>
    </w:p>
    <w:p>
      <w:r>
        <w:rPr>
          <w:b/>
        </w:rPr>
        <w:t xml:space="preserve">12 </w:t>
      </w:r>
      <w:r>
        <w:t xml:space="preserve">But these, as irrational natural animals, born for capture and corruption, blaspheming in things they are ignorant of, shall be utterly corrupted in their own corruption;</w:t>
      </w:r>
    </w:p>
    <w:p>
      <w:r>
        <w:rPr>
          <w:b/>
        </w:rPr>
        <w:t xml:space="preserve">13 </w:t>
      </w:r>
      <w:r>
        <w:t xml:space="preserve">And shall receive the reward</w:t>
      </w:r>
      <w:r>
        <w:rPr>
          <w:rStyle w:val="FootnoteReference"/>
        </w:rPr>
        <w:footnoteReference w:id="19221"/>
      </w:r>
      <w:r>
        <w:t xml:space="preserve"> of unrighteousness, as those who count it pleasure to riot in the day time. Spots they are and blemishes, sporting themselves with their own deceits while they feast with you;</w:t>
      </w:r>
    </w:p>
    <w:p>
      <w:r>
        <w:rPr>
          <w:b/>
        </w:rPr>
        <w:t xml:space="preserve">14 </w:t>
      </w:r>
      <w:r>
        <w:t xml:space="preserve">Having eyes</w:t>
      </w:r>
      <w:r>
        <w:rPr>
          <w:rStyle w:val="FootnoteReference"/>
        </w:rPr>
        <w:footnoteReference w:id="19222"/>
      </w:r>
      <w:r>
        <w:t xml:space="preserve"> full of adultery, and that cannot cease from sin; beguiling unstable souls: a heart they have exercised with covetous practices; cursed children:</w:t>
      </w:r>
    </w:p>
    <w:p>
      <w:r>
        <w:rPr>
          <w:b/>
        </w:rPr>
        <w:t xml:space="preserve">15 </w:t>
      </w:r>
      <w:r>
        <w:t xml:space="preserve">having left the straight way, they went astray, following the way of Balaam</w:t>
      </w:r>
      <w:r>
        <w:rPr>
          <w:rStyle w:val="FootnoteReference"/>
        </w:rPr>
        <w:footnoteReference w:id="19223"/>
      </w:r>
      <w:r>
        <w:t xml:space="preserve"> the son of Bosor</w:t>
      </w:r>
      <w:r>
        <w:rPr>
          <w:rStyle w:val="FootnoteReference"/>
        </w:rPr>
        <w:footnoteReference w:id="19224"/>
      </w:r>
      <w:r>
        <w:t xml:space="preserve">, who loved the wage of unrighteousness;</w:t>
      </w:r>
      <w:r>
        <w:rPr>
          <w:rStyle w:val="FootnoteReference"/>
        </w:rPr>
        <w:footnoteReference w:id="19225"/>
      </w:r>
    </w:p>
    <w:p>
      <w:r>
        <w:rPr>
          <w:b/>
        </w:rPr>
        <w:t xml:space="preserve">16 </w:t>
      </w:r>
      <w:r>
        <w:t xml:space="preserve">But was rebuked for his iniquity: the voiceless ass speaking with man's voice forbade the madness</w:t>
      </w:r>
      <w:r>
        <w:rPr>
          <w:rStyle w:val="FootnoteReference"/>
        </w:rPr>
        <w:footnoteReference w:id="19226"/>
      </w:r>
      <w:r>
        <w:t xml:space="preserve"> of the prophet.</w:t>
      </w:r>
    </w:p>
    <w:p>
      <w:r>
        <w:rPr>
          <w:b/>
        </w:rPr>
        <w:t xml:space="preserve">17 </w:t>
      </w:r>
      <w:r>
        <w:t xml:space="preserve">These are wells</w:t>
      </w:r>
      <w:r>
        <w:rPr>
          <w:rStyle w:val="FootnoteReference"/>
        </w:rPr>
        <w:footnoteReference w:id="19227"/>
      </w:r>
      <w:r>
        <w:t xml:space="preserve"> without water, clouds that are carried with a tempest; to whom the mist of darkness is reserved forever.</w:t>
      </w:r>
    </w:p>
    <w:p>
      <w:r>
        <w:rPr>
          <w:b/>
        </w:rPr>
        <w:t xml:space="preserve">18 </w:t>
      </w:r>
      <w:r>
        <w:t xml:space="preserve">For when they speak</w:t>
      </w:r>
      <w:r>
        <w:rPr>
          <w:rStyle w:val="FootnoteReference"/>
        </w:rPr>
        <w:footnoteReference w:id="19228"/>
      </w:r>
      <w:r>
        <w:t xml:space="preserve"> great swelling words of vanity, they allure through the lusts of the flesh, through much sensuality, those that were clean escaped from them who live in error.</w:t>
      </w:r>
    </w:p>
    <w:p>
      <w:r>
        <w:rPr>
          <w:b/>
        </w:rPr>
        <w:t xml:space="preserve">19 </w:t>
      </w:r>
      <w:r>
        <w:t xml:space="preserve">While they promise</w:t>
      </w:r>
      <w:r>
        <w:rPr>
          <w:rStyle w:val="FootnoteReference"/>
        </w:rPr>
        <w:footnoteReference w:id="19229"/>
      </w:r>
      <w:r>
        <w:t xml:space="preserve"> them liberty, they themselves are the slaves of corruption: for of whom a man is overcome, of the same is he brought in bondage.</w:t>
      </w:r>
    </w:p>
    <w:p>
      <w:r>
        <w:rPr>
          <w:b/>
        </w:rPr>
        <w:t xml:space="preserve">20 </w:t>
      </w:r>
      <w:r>
        <w:t xml:space="preserve">For if after they have escaped</w:t>
      </w:r>
      <w:r>
        <w:rPr>
          <w:rStyle w:val="FootnoteReference"/>
        </w:rPr>
        <w:footnoteReference w:id="19230"/>
      </w:r>
      <w:r>
        <w:t xml:space="preserve"> the pollutions of the world through the knowledge of the Lord and Savior Jesus Christ, they are again entangled in it, and overcome, the latter end is worse with them than the beginning.</w:t>
      </w:r>
    </w:p>
    <w:p>
      <w:r>
        <w:rPr>
          <w:b/>
        </w:rPr>
        <w:t xml:space="preserve">21 </w:t>
      </w:r>
      <w:r>
        <w:t xml:space="preserve">For it had</w:t>
      </w:r>
      <w:r>
        <w:rPr>
          <w:rStyle w:val="FootnoteReference"/>
        </w:rPr>
        <w:footnoteReference w:id="19231"/>
      </w:r>
      <w:r>
        <w:t xml:space="preserve"> been better for them not to have known the way of righteousness, than, after they have known it, to turn from the holy commandment delivered to them.</w:t>
      </w:r>
    </w:p>
    <w:p>
      <w:r>
        <w:rPr>
          <w:b/>
        </w:rPr>
        <w:t xml:space="preserve">22 </w:t>
      </w:r>
      <w:r>
        <w:t xml:space="preserve">But it is happened to them according to the true proverb, The dog</w:t>
      </w:r>
      <w:r>
        <w:rPr>
          <w:rStyle w:val="FootnoteReference"/>
        </w:rPr>
        <w:footnoteReference w:id="19232"/>
      </w:r>
      <w:r>
        <w:t xml:space="preserve"> is turned to his own vomit again; and the sow that was washed to her wallowing in the mire.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This second epistle</w:t>
      </w:r>
      <w:r>
        <w:rPr>
          <w:rStyle w:val="FootnoteReference"/>
        </w:rPr>
        <w:footnoteReference w:id="19233"/>
      </w:r>
      <w:r>
        <w:t xml:space="preserve">, beloved, I now write to you; in both which I stir up your pure minds by way of remembrance:</w:t>
      </w:r>
    </w:p>
    <w:p>
      <w:r>
        <w:rPr>
          <w:b/>
        </w:rPr>
        <w:t xml:space="preserve">2 </w:t>
      </w:r>
      <w:r>
        <w:t xml:space="preserve">That you may be mindful of the words which were spoken before by the holy prophets, and of</w:t>
      </w:r>
      <w:r>
        <w:rPr>
          <w:rStyle w:val="FootnoteReference"/>
        </w:rPr>
        <w:footnoteReference w:id="19234"/>
      </w:r>
      <w:r>
        <w:t xml:space="preserve"> the commandment of us the apostles of the Lord and Savior:</w:t>
      </w:r>
    </w:p>
    <w:p>
      <w:r>
        <w:rPr>
          <w:b/>
        </w:rPr>
        <w:t xml:space="preserve">3 </w:t>
      </w:r>
      <w:r>
        <w:t xml:space="preserve">Knowing this first, that in the last days scoffers</w:t>
      </w:r>
      <w:r>
        <w:rPr>
          <w:rStyle w:val="FootnoteReference"/>
        </w:rPr>
        <w:footnoteReference w:id="19235"/>
      </w:r>
      <w:r>
        <w:t xml:space="preserve"> shall come, walking according to their own desires,</w:t>
      </w:r>
    </w:p>
    <w:p>
      <w:r>
        <w:rPr>
          <w:b/>
        </w:rPr>
        <w:t xml:space="preserve">4 </w:t>
      </w:r>
      <w:r>
        <w:t xml:space="preserve">and saying, Where is the promise of his coming? for since the fathers fell asleep, all things continue thus from the beginning</w:t>
      </w:r>
      <w:r>
        <w:rPr>
          <w:rStyle w:val="FootnoteReference"/>
        </w:rPr>
        <w:footnoteReference w:id="19236"/>
      </w:r>
      <w:r>
        <w:t xml:space="preserve"> of creation.</w:t>
      </w:r>
    </w:p>
    <w:p>
      <w:r>
        <w:rPr>
          <w:b/>
        </w:rPr>
        <w:t xml:space="preserve">5 </w:t>
      </w:r>
      <w:r>
        <w:t xml:space="preserve">For this they willingly</w:t>
      </w:r>
      <w:r>
        <w:rPr>
          <w:rStyle w:val="FootnoteReference"/>
        </w:rPr>
        <w:footnoteReference w:id="19237"/>
      </w:r>
      <w:r>
        <w:t xml:space="preserve"> are ignorant of, that by the word of God the heavens were of old, and the earth standing out of the water and in the water:</w:t>
      </w:r>
    </w:p>
    <w:p>
      <w:r>
        <w:rPr>
          <w:b/>
        </w:rPr>
        <w:t xml:space="preserve">6 </w:t>
      </w:r>
      <w:r>
        <w:t xml:space="preserve">by which the world that then was, being overflowed with water, perished:</w:t>
      </w:r>
    </w:p>
    <w:p>
      <w:r>
        <w:rPr>
          <w:b/>
        </w:rPr>
        <w:t xml:space="preserve">7 </w:t>
      </w:r>
      <w:r>
        <w:t xml:space="preserve">But the heavens</w:t>
      </w:r>
      <w:r>
        <w:rPr>
          <w:rStyle w:val="FootnoteReference"/>
        </w:rPr>
        <w:footnoteReference w:id="19238"/>
      </w:r>
      <w:r>
        <w:t xml:space="preserve"> and the earth, which are now, by the same word are kept in store, reserved to fire against the day of judgment and destruction of ungodly men.</w:t>
      </w:r>
    </w:p>
    <w:p>
      <w:r>
        <w:rPr>
          <w:b/>
        </w:rPr>
        <w:t xml:space="preserve">8 </w:t>
      </w:r>
      <w:r>
        <w:t xml:space="preserve">But, beloved, do not be ignorant of this one thing, that one</w:t>
      </w:r>
      <w:r>
        <w:rPr>
          <w:rStyle w:val="FootnoteReference"/>
        </w:rPr>
        <w:footnoteReference w:id="19239"/>
      </w:r>
      <w:r>
        <w:t xml:space="preserve"> day is with the Lord as a thousand years, and a thousand years as one day.</w:t>
      </w:r>
    </w:p>
    <w:p>
      <w:r>
        <w:rPr>
          <w:b/>
        </w:rPr>
        <w:t xml:space="preserve">9 </w:t>
      </w:r>
      <w:r>
        <w:t xml:space="preserve">The Lord is not slack concerning his promise, as some men count slackness; but is</w:t>
      </w:r>
      <w:r>
        <w:rPr>
          <w:rStyle w:val="FootnoteReference"/>
        </w:rPr>
        <w:footnoteReference w:id="19240"/>
      </w:r>
      <w:r>
        <w:t xml:space="preserve"> longsuffering toward us, not willing that any should perish, but that all should come to repentance.</w:t>
      </w:r>
    </w:p>
    <w:p>
      <w:r>
        <w:rPr>
          <w:b/>
        </w:rPr>
        <w:t xml:space="preserve">10 </w:t>
      </w:r>
      <w:r>
        <w:t xml:space="preserve">But the day of the Lord will come as a</w:t>
      </w:r>
      <w:r>
        <w:rPr>
          <w:rStyle w:val="FootnoteReference"/>
        </w:rPr>
        <w:footnoteReference w:id="19241"/>
      </w:r>
      <w:r>
        <w:t xml:space="preserve"> thief in the night; in which the heavens shall pass away with a great noise, and the elements shall melt with fervent heat, the earth also and the works that are in it shall be burned up.</w:t>
      </w:r>
    </w:p>
    <w:p>
      <w:r>
        <w:rPr>
          <w:b/>
        </w:rPr>
        <w:t xml:space="preserve">11 </w:t>
      </w:r>
      <w:r>
        <w:t xml:space="preserve">Seeing then that all these</w:t>
      </w:r>
      <w:r>
        <w:rPr>
          <w:rStyle w:val="FootnoteReference"/>
        </w:rPr>
        <w:footnoteReference w:id="19242"/>
      </w:r>
      <w:r>
        <w:t xml:space="preserve"> things shall be dissolved, what manner of persons ought you to be in all holy conduct and godliness,</w:t>
      </w:r>
    </w:p>
    <w:p>
      <w:r>
        <w:rPr>
          <w:b/>
        </w:rPr>
        <w:t xml:space="preserve">12 </w:t>
      </w:r>
      <w:r>
        <w:t xml:space="preserve">Looking</w:t>
      </w:r>
      <w:r>
        <w:rPr>
          <w:rStyle w:val="FootnoteReference"/>
        </w:rPr>
        <w:footnoteReference w:id="19243"/>
      </w:r>
      <w:r>
        <w:t xml:space="preserve"> for and hasting to the coming of the day of God, in which the heavens being on fire shall be dissolved, and the elements shall melt with fervent heat?</w:t>
      </w:r>
    </w:p>
    <w:p>
      <w:r>
        <w:rPr>
          <w:b/>
        </w:rPr>
        <w:t xml:space="preserve">13 </w:t>
      </w:r>
      <w:r>
        <w:t xml:space="preserve">Nevertheless we, according to his promise, look for new heavens and a new earth, in which dwells righteousness.</w:t>
      </w:r>
    </w:p>
    <w:p>
      <w:r>
        <w:rPr>
          <w:b/>
        </w:rPr>
        <w:t xml:space="preserve">14 </w:t>
      </w:r>
      <w:r>
        <w:t xml:space="preserve">Therefore, beloved, seeing</w:t>
      </w:r>
      <w:r>
        <w:rPr>
          <w:rStyle w:val="FootnoteReference"/>
        </w:rPr>
        <w:footnoteReference w:id="19244"/>
      </w:r>
      <w:r>
        <w:t xml:space="preserve"> that you look for such things, be diligent that you may be found of him in peace, without spot, and blameless.</w:t>
      </w:r>
    </w:p>
    <w:p>
      <w:r>
        <w:rPr>
          <w:b/>
        </w:rPr>
        <w:t xml:space="preserve">15 </w:t>
      </w:r>
      <w:r>
        <w:t xml:space="preserve">And account</w:t>
      </w:r>
      <w:r>
        <w:rPr>
          <w:rStyle w:val="FootnoteReference"/>
        </w:rPr>
        <w:footnoteReference w:id="19245"/>
      </w:r>
      <w:r>
        <w:t xml:space="preserve"> that the longsuffering of our Lord is salvation; even as our beloved brother Paul also according to the wisdom given to him has written to you;</w:t>
      </w:r>
    </w:p>
    <w:p>
      <w:r>
        <w:rPr>
          <w:b/>
        </w:rPr>
        <w:t xml:space="preserve">16 </w:t>
      </w:r>
      <w:r>
        <w:t xml:space="preserve">As also in all</w:t>
      </w:r>
      <w:r>
        <w:rPr>
          <w:rStyle w:val="FootnoteReference"/>
        </w:rPr>
        <w:footnoteReference w:id="19246"/>
      </w:r>
      <w:r>
        <w:t xml:space="preserve"> his epistles, speaking in them of these things; in which are some things hard to be understood, which those who are unlearned and unstable shift, as they do also the other scriptures, to their own destruction.</w:t>
      </w:r>
    </w:p>
    <w:p>
      <w:r>
        <w:rPr>
          <w:b/>
        </w:rPr>
        <w:t xml:space="preserve">17 </w:t>
      </w:r>
      <w:r>
        <w:t xml:space="preserve">You therefore, beloved, seeing</w:t>
      </w:r>
      <w:r>
        <w:rPr>
          <w:rStyle w:val="FootnoteReference"/>
        </w:rPr>
        <w:footnoteReference w:id="19247"/>
      </w:r>
      <w:r>
        <w:t xml:space="preserve"> you know these things before, beware lest you also, being led away with the error of the wicked, fall from your own steadfastness.</w:t>
      </w:r>
    </w:p>
    <w:p>
      <w:r>
        <w:rPr>
          <w:b/>
        </w:rPr>
        <w:t xml:space="preserve">18 </w:t>
      </w:r>
      <w:r>
        <w:t xml:space="preserve">But grow</w:t>
      </w:r>
      <w:r>
        <w:rPr>
          <w:rStyle w:val="FootnoteReference"/>
        </w:rPr>
        <w:footnoteReference w:id="19248"/>
      </w:r>
      <w:r>
        <w:t xml:space="preserve"> in grace, and in the knowledge of our Lord and Savior Jesus Christ. To him be glory both now and forever. Amen.</w:t>
      </w:r>
    </w:p>
    <w:p>
      <w:r>
        <w:br w:type="page"/>
      </w:r>
    </w:p>
    <w:p>
      <w:pPr>
        <w:pStyle w:val="Heading1"/>
      </w:pPr>
      <w:r>
        <w:t xml:space="preserve">1 John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That which</w:t>
      </w:r>
      <w:r>
        <w:rPr>
          <w:rStyle w:val="FootnoteReference"/>
        </w:rPr>
        <w:footnoteReference w:id="19249"/>
      </w:r>
      <w:r>
        <w:t xml:space="preserve"> was from the beginning, which we have heard, which we have seen with our eyes, which we have looked upon, and our hands have handled, of the Word of life;</w:t>
      </w:r>
    </w:p>
    <w:p>
      <w:r>
        <w:rPr>
          <w:b/>
        </w:rPr>
        <w:t xml:space="preserve">2 </w:t>
      </w:r>
      <w:r>
        <w:t xml:space="preserve">(For the life</w:t>
      </w:r>
      <w:r>
        <w:rPr>
          <w:rStyle w:val="FootnoteReference"/>
        </w:rPr>
        <w:footnoteReference w:id="19250"/>
      </w:r>
      <w:r>
        <w:t xml:space="preserve"> was manifested, and we have seen it, and bear witness, and show to you that eternal life, which was with the Father, and was manifested to us;)</w:t>
      </w:r>
    </w:p>
    <w:p>
      <w:r>
        <w:rPr>
          <w:b/>
        </w:rPr>
        <w:t xml:space="preserve">3 </w:t>
      </w:r>
      <w:r>
        <w:t xml:space="preserve">That which we have seen and heard declare</w:t>
      </w:r>
      <w:r>
        <w:rPr>
          <w:rStyle w:val="FootnoteReference"/>
        </w:rPr>
        <w:footnoteReference w:id="19251"/>
      </w:r>
      <w:r>
        <w:t xml:space="preserve"> we to you, that you also may have fellowship with us: and truly our fellowship is with the Father, and with his Son Jesus Christ.</w:t>
      </w:r>
    </w:p>
    <w:p>
      <w:r>
        <w:rPr>
          <w:b/>
        </w:rPr>
        <w:t xml:space="preserve">4 </w:t>
      </w:r>
      <w:r>
        <w:t xml:space="preserve">And these things write we to you, that your joy may be full.</w:t>
      </w:r>
    </w:p>
    <w:p>
      <w:r>
        <w:rPr>
          <w:b/>
        </w:rPr>
        <w:t xml:space="preserve">5 </w:t>
      </w:r>
      <w:r>
        <w:t xml:space="preserve">This then is the message</w:t>
      </w:r>
      <w:r>
        <w:rPr>
          <w:rStyle w:val="FootnoteReference"/>
        </w:rPr>
        <w:footnoteReference w:id="19252"/>
      </w:r>
      <w:r>
        <w:t xml:space="preserve"> which we have heard of him, and declare to you, that God is light, and in him is no darkness at all.</w:t>
      </w:r>
    </w:p>
    <w:p>
      <w:r>
        <w:rPr>
          <w:b/>
        </w:rPr>
        <w:t xml:space="preserve">6 </w:t>
      </w:r>
      <w:r>
        <w:t xml:space="preserve">If we say that we have fellowship</w:t>
      </w:r>
      <w:r>
        <w:rPr>
          <w:rStyle w:val="FootnoteReference"/>
        </w:rPr>
        <w:footnoteReference w:id="19253"/>
      </w:r>
      <w:r>
        <w:t xml:space="preserve"> with him, and walk in darkness, we lie, and do not practice the truth:</w:t>
      </w:r>
    </w:p>
    <w:p>
      <w:r>
        <w:rPr>
          <w:b/>
        </w:rPr>
        <w:t xml:space="preserve">7 </w:t>
      </w:r>
      <w:r>
        <w:t xml:space="preserve">But if we</w:t>
      </w:r>
      <w:r>
        <w:rPr>
          <w:rStyle w:val="FootnoteReference"/>
        </w:rPr>
        <w:footnoteReference w:id="19254"/>
      </w:r>
      <w:r>
        <w:t xml:space="preserve"> walk in the light, as he is in the light, we have fellowship one with another, and the blood of Jesus Christ his Son cleanses us from all sin.</w:t>
      </w:r>
    </w:p>
    <w:p>
      <w:r>
        <w:rPr>
          <w:b/>
        </w:rPr>
        <w:t xml:space="preserve">8 </w:t>
      </w:r>
      <w:r>
        <w:t xml:space="preserve">If we say that we have no sin, we deceive</w:t>
      </w:r>
      <w:r>
        <w:rPr>
          <w:rStyle w:val="FootnoteReference"/>
        </w:rPr>
        <w:footnoteReference w:id="19255"/>
      </w:r>
      <w:r>
        <w:t xml:space="preserve"> ourselves, and the truth is not in us.</w:t>
      </w:r>
    </w:p>
    <w:p>
      <w:r>
        <w:rPr>
          <w:b/>
        </w:rPr>
        <w:t xml:space="preserve">9 </w:t>
      </w:r>
      <w:r>
        <w:t xml:space="preserve">If we confess</w:t>
      </w:r>
      <w:r>
        <w:rPr>
          <w:rStyle w:val="FootnoteReference"/>
        </w:rPr>
        <w:footnoteReference w:id="19256"/>
      </w:r>
      <w:r>
        <w:t xml:space="preserve"> our sins, he is faithful and just to forgive us our sins, and to cleanse us from all unrighteousness.</w:t>
      </w:r>
    </w:p>
    <w:p>
      <w:r>
        <w:rPr>
          <w:b/>
        </w:rPr>
        <w:t xml:space="preserve">10 </w:t>
      </w:r>
      <w:r>
        <w:t xml:space="preserve">If we say</w:t>
      </w:r>
      <w:r>
        <w:rPr>
          <w:rStyle w:val="FootnoteReference"/>
        </w:rPr>
        <w:footnoteReference w:id="19257"/>
      </w:r>
      <w:r>
        <w:t xml:space="preserve"> that we have not sinned, we make him a liar, and his word is not in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My little</w:t>
      </w:r>
      <w:r>
        <w:rPr>
          <w:rStyle w:val="FootnoteReference"/>
        </w:rPr>
        <w:footnoteReference w:id="19258"/>
      </w:r>
      <w:r>
        <w:t xml:space="preserve"> children, I write these things to you, that you do not sin. And if anyone sin, we have an advocate with the Father, Jesus Christ the righteous:</w:t>
      </w:r>
    </w:p>
    <w:p>
      <w:r>
        <w:rPr>
          <w:b/>
        </w:rPr>
        <w:t xml:space="preserve">2 </w:t>
      </w:r>
      <w:r>
        <w:t xml:space="preserve">And he is the propitiation for our sins: and not for ours only, but also for the sins of the whole world.</w:t>
      </w:r>
    </w:p>
    <w:p>
      <w:r>
        <w:rPr>
          <w:b/>
        </w:rPr>
        <w:t xml:space="preserve">3 </w:t>
      </w:r>
      <w:r>
        <w:t xml:space="preserve">And by this we do know that we know him, if we</w:t>
      </w:r>
      <w:r>
        <w:rPr>
          <w:rStyle w:val="FootnoteReference"/>
        </w:rPr>
        <w:footnoteReference w:id="19259"/>
      </w:r>
      <w:r>
        <w:t xml:space="preserve"> keep his commandments.</w:t>
      </w:r>
    </w:p>
    <w:p>
      <w:r>
        <w:rPr>
          <w:b/>
        </w:rPr>
        <w:t xml:space="preserve">4 </w:t>
      </w:r>
      <w:r>
        <w:t xml:space="preserve">the one who says, I know him, and does not keep his commandments, is a</w:t>
      </w:r>
      <w:r>
        <w:rPr>
          <w:rStyle w:val="FootnoteReference"/>
        </w:rPr>
        <w:footnoteReference w:id="19260"/>
      </w:r>
      <w:r>
        <w:t xml:space="preserve"> liar, and the truth is not in him.</w:t>
      </w:r>
    </w:p>
    <w:p>
      <w:r>
        <w:rPr>
          <w:b/>
        </w:rPr>
        <w:t xml:space="preserve">5 </w:t>
      </w:r>
      <w:r>
        <w:t xml:space="preserve">But whoever keeps his word, in him</w:t>
      </w:r>
      <w:r>
        <w:rPr>
          <w:rStyle w:val="FootnoteReference"/>
        </w:rPr>
        <w:footnoteReference w:id="19261"/>
      </w:r>
      <w:r>
        <w:t xml:space="preserve"> truly is the love of God perfected: by this know we that we are in him.</w:t>
      </w:r>
    </w:p>
    <w:p>
      <w:r>
        <w:rPr>
          <w:b/>
        </w:rPr>
        <w:t xml:space="preserve">6 </w:t>
      </w:r>
      <w:r>
        <w:t xml:space="preserve">the one who says he abides in him ought himself also so to walk</w:t>
      </w:r>
      <w:r>
        <w:rPr>
          <w:rStyle w:val="FootnoteReference"/>
        </w:rPr>
        <w:footnoteReference w:id="19262"/>
      </w:r>
      <w:r>
        <w:t xml:space="preserve">, even as he walked.</w:t>
      </w:r>
    </w:p>
    <w:p>
      <w:r>
        <w:rPr>
          <w:b/>
        </w:rPr>
        <w:t xml:space="preserve">7 </w:t>
      </w:r>
      <w:r>
        <w:t xml:space="preserve">Brothers, I write</w:t>
      </w:r>
      <w:r>
        <w:rPr>
          <w:rStyle w:val="FootnoteReference"/>
        </w:rPr>
        <w:footnoteReference w:id="19263"/>
      </w:r>
      <w:r>
        <w:t xml:space="preserve"> no new commandment to you, but an old commandment which you had from the beginning. The old commandment is the word which you have heard from the beginning.</w:t>
      </w:r>
    </w:p>
    <w:p>
      <w:r>
        <w:rPr>
          <w:b/>
        </w:rPr>
        <w:t xml:space="preserve">8 </w:t>
      </w:r>
      <w:r>
        <w:t xml:space="preserve">Again, a new</w:t>
      </w:r>
      <w:r>
        <w:rPr>
          <w:rStyle w:val="FootnoteReference"/>
        </w:rPr>
        <w:footnoteReference w:id="19264"/>
      </w:r>
      <w:r>
        <w:t xml:space="preserve"> commandment I write to you, which thing is true in him and in you: because the darkness is past, and the true light now shines.</w:t>
      </w:r>
    </w:p>
    <w:p>
      <w:r>
        <w:rPr>
          <w:b/>
        </w:rPr>
        <w:t xml:space="preserve">9 </w:t>
      </w:r>
      <w:r>
        <w:t xml:space="preserve">the one who says he is in</w:t>
      </w:r>
      <w:r>
        <w:rPr>
          <w:rStyle w:val="FootnoteReference"/>
        </w:rPr>
        <w:footnoteReference w:id="19265"/>
      </w:r>
      <w:r>
        <w:t xml:space="preserve"> the light, and hates his brother, is in darkness even until now.</w:t>
      </w:r>
    </w:p>
    <w:p>
      <w:r>
        <w:rPr>
          <w:b/>
        </w:rPr>
        <w:t xml:space="preserve">10 </w:t>
      </w:r>
      <w:r>
        <w:t xml:space="preserve">the one who loves his brother abides in the light, and there is none occasion of stumbling</w:t>
      </w:r>
      <w:r>
        <w:rPr>
          <w:rStyle w:val="FootnoteReference"/>
        </w:rPr>
        <w:footnoteReference w:id="19266"/>
      </w:r>
      <w:r>
        <w:t xml:space="preserve"> in him.</w:t>
      </w:r>
    </w:p>
    <w:p>
      <w:r>
        <w:rPr>
          <w:b/>
        </w:rPr>
        <w:t xml:space="preserve">11 </w:t>
      </w:r>
      <w:r>
        <w:t xml:space="preserve">But the one who hates his brother is in darkness, and walks in darkness, and does not know where he goes, because darkness has blinded his eyes.</w:t>
      </w:r>
    </w:p>
    <w:p>
      <w:r>
        <w:rPr>
          <w:b/>
        </w:rPr>
        <w:t xml:space="preserve">12 </w:t>
      </w:r>
      <w:r>
        <w:t xml:space="preserve">I write</w:t>
      </w:r>
      <w:r>
        <w:rPr>
          <w:rStyle w:val="FootnoteReference"/>
        </w:rPr>
        <w:footnoteReference w:id="19267"/>
      </w:r>
      <w:r>
        <w:t xml:space="preserve"> to you, little children, because your sins are forgiven you for his name's sake.</w:t>
      </w:r>
    </w:p>
    <w:p>
      <w:r>
        <w:rPr>
          <w:b/>
        </w:rPr>
        <w:t xml:space="preserve">13 </w:t>
      </w:r>
      <w:r>
        <w:t xml:space="preserve">I write to you, fathers</w:t>
      </w:r>
      <w:r>
        <w:rPr>
          <w:rStyle w:val="FootnoteReference"/>
        </w:rPr>
        <w:footnoteReference w:id="19268"/>
      </w:r>
      <w:r>
        <w:t xml:space="preserve">, because you have known him who is from the beginning. I write to you, young men, because you have overcome the wicked one. I write to you, little children, because you have known the Father.</w:t>
      </w:r>
    </w:p>
    <w:p>
      <w:r>
        <w:rPr>
          <w:b/>
        </w:rPr>
        <w:t xml:space="preserve">14 </w:t>
      </w:r>
      <w:r>
        <w:t xml:space="preserve">I have written to you, fathers</w:t>
      </w:r>
      <w:r>
        <w:rPr>
          <w:rStyle w:val="FootnoteReference"/>
        </w:rPr>
        <w:footnoteReference w:id="19269"/>
      </w:r>
      <w:r>
        <w:t xml:space="preserve">, because you have known him who is from the beginning. I have written to you, young men, because you are strong, and the word of God abides in you, and you have overcome the wicked one.</w:t>
      </w:r>
    </w:p>
    <w:p>
      <w:r>
        <w:rPr>
          <w:b/>
        </w:rPr>
        <w:t xml:space="preserve">15 </w:t>
      </w:r>
      <w:r>
        <w:t xml:space="preserve">Love not</w:t>
      </w:r>
      <w:r>
        <w:rPr>
          <w:rStyle w:val="FootnoteReference"/>
        </w:rPr>
        <w:footnoteReference w:id="19270"/>
      </w:r>
      <w:r>
        <w:t xml:space="preserve"> the world, neither the things that are in the world. If anyone love the world, the love of the Father is not in him.</w:t>
      </w:r>
    </w:p>
    <w:p>
      <w:r>
        <w:rPr>
          <w:b/>
        </w:rPr>
        <w:t xml:space="preserve">16 </w:t>
      </w:r>
      <w:r>
        <w:t xml:space="preserve">For everything in the world, the desire of the flesh, and the desire of the eyes, and the pride</w:t>
      </w:r>
      <w:r>
        <w:rPr>
          <w:rStyle w:val="FootnoteReference"/>
        </w:rPr>
        <w:footnoteReference w:id="19271"/>
      </w:r>
      <w:r>
        <w:t xml:space="preserve"> of life, is not from the Father, but is from the world.</w:t>
      </w:r>
    </w:p>
    <w:p>
      <w:r>
        <w:rPr>
          <w:b/>
        </w:rPr>
        <w:t xml:space="preserve">17 </w:t>
      </w:r>
      <w:r>
        <w:t xml:space="preserve">And the world</w:t>
      </w:r>
      <w:r>
        <w:rPr>
          <w:rStyle w:val="FootnoteReference"/>
        </w:rPr>
        <w:footnoteReference w:id="19272"/>
      </w:r>
      <w:r>
        <w:t xml:space="preserve"> passes away, and the lust of it: but the one who does the will of God abides forever.</w:t>
      </w:r>
    </w:p>
    <w:p>
      <w:r>
        <w:rPr>
          <w:b/>
        </w:rPr>
        <w:t xml:space="preserve">18 </w:t>
      </w:r>
      <w:r>
        <w:t xml:space="preserve">Little</w:t>
      </w:r>
      <w:r>
        <w:rPr>
          <w:rStyle w:val="FootnoteReference"/>
        </w:rPr>
        <w:footnoteReference w:id="19273"/>
      </w:r>
      <w:r>
        <w:t xml:space="preserve"> children, it is the last time: and as you have heard that antichrist shall come, even now are there many antichrists; by which we know that it is the last time.</w:t>
      </w:r>
    </w:p>
    <w:p>
      <w:r>
        <w:rPr>
          <w:b/>
        </w:rPr>
        <w:t xml:space="preserve">19 </w:t>
      </w:r>
      <w:r>
        <w:t xml:space="preserve">They went out</w:t>
      </w:r>
      <w:r>
        <w:rPr>
          <w:rStyle w:val="FootnoteReference"/>
        </w:rPr>
        <w:footnoteReference w:id="19274"/>
      </w:r>
      <w:r>
        <w:t xml:space="preserve"> from us, but they were not of us; for if they had been of us, they would have remained with us: but they went out, that they might be made manifest that they were not all of us.</w:t>
      </w:r>
    </w:p>
    <w:p>
      <w:r>
        <w:rPr>
          <w:b/>
        </w:rPr>
        <w:t xml:space="preserve">20 </w:t>
      </w:r>
      <w:r>
        <w:t xml:space="preserve">But you have an anointing from the Holy</w:t>
      </w:r>
      <w:r>
        <w:rPr>
          <w:rStyle w:val="FootnoteReference"/>
        </w:rPr>
        <w:footnoteReference w:id="19275"/>
      </w:r>
      <w:r>
        <w:t xml:space="preserve"> One, and you know all things.</w:t>
      </w:r>
    </w:p>
    <w:p>
      <w:r>
        <w:rPr>
          <w:b/>
        </w:rPr>
        <w:t xml:space="preserve">21 </w:t>
      </w:r>
      <w:r>
        <w:t xml:space="preserve">I have not written to you because you do not know the truth, but because you know it, and that no lie is of the truth.</w:t>
      </w:r>
    </w:p>
    <w:p>
      <w:r>
        <w:rPr>
          <w:b/>
        </w:rPr>
        <w:t xml:space="preserve">22 </w:t>
      </w:r>
      <w:r>
        <w:t xml:space="preserve">Who is a liar but the one who denies that Jesus is the Christ? He is antichrist, that denies the Father and the Son.</w:t>
      </w:r>
    </w:p>
    <w:p>
      <w:r>
        <w:rPr>
          <w:b/>
        </w:rPr>
        <w:t xml:space="preserve">23 </w:t>
      </w:r>
      <w:r>
        <w:t xml:space="preserve">Whoever denies the Son, the same has not the Father: the one who acknowledges the Son has the Father also.</w:t>
      </w:r>
    </w:p>
    <w:p>
      <w:r>
        <w:rPr>
          <w:b/>
        </w:rPr>
        <w:t xml:space="preserve">24 </w:t>
      </w:r>
      <w:r>
        <w:t xml:space="preserve">Let that therefore abide</w:t>
      </w:r>
      <w:r>
        <w:rPr>
          <w:rStyle w:val="FootnoteReference"/>
        </w:rPr>
        <w:footnoteReference w:id="19276"/>
      </w:r>
      <w:r>
        <w:t xml:space="preserve"> in you, which you have heard from the beginning. If that which you have heard from the beginning shall remain in you, you also shall continue in the Son, and in the Father.</w:t>
      </w:r>
    </w:p>
    <w:p>
      <w:r>
        <w:rPr>
          <w:b/>
        </w:rPr>
        <w:t xml:space="preserve">25 </w:t>
      </w:r>
      <w:r>
        <w:t xml:space="preserve">And this is the promise which he promised us, the eternal life.</w:t>
      </w:r>
    </w:p>
    <w:p>
      <w:r>
        <w:rPr>
          <w:b/>
        </w:rPr>
        <w:t xml:space="preserve">26 </w:t>
      </w:r>
      <w:r>
        <w:t xml:space="preserve">These things have I written to you concerning</w:t>
      </w:r>
      <w:r>
        <w:rPr>
          <w:rStyle w:val="FootnoteReference"/>
        </w:rPr>
        <w:footnoteReference w:id="19277"/>
      </w:r>
      <w:r>
        <w:t xml:space="preserve"> those who seduce you.</w:t>
      </w:r>
    </w:p>
    <w:p>
      <w:r>
        <w:rPr>
          <w:b/>
        </w:rPr>
        <w:t xml:space="preserve">27 </w:t>
      </w:r>
      <w:r>
        <w:t xml:space="preserve">But the anointing</w:t>
      </w:r>
      <w:r>
        <w:rPr>
          <w:rStyle w:val="FootnoteReference"/>
        </w:rPr>
        <w:footnoteReference w:id="19278"/>
      </w:r>
      <w:r>
        <w:t xml:space="preserve"> which you have received of him abides in you, and you need not that anyone teach you: but as the same anointing teaches you of all things, and is truth, and is no lie, and even as it has taught you, you shall abide in him.</w:t>
      </w:r>
    </w:p>
    <w:p>
      <w:r>
        <w:rPr>
          <w:b/>
        </w:rPr>
        <w:t xml:space="preserve">28 </w:t>
      </w:r>
      <w:r>
        <w:t xml:space="preserve">And now, little</w:t>
      </w:r>
      <w:r>
        <w:rPr>
          <w:rStyle w:val="FootnoteReference"/>
        </w:rPr>
        <w:footnoteReference w:id="19279"/>
      </w:r>
      <w:r>
        <w:t xml:space="preserve"> children, remain in him; that, when he is manifested, we may have confidence, and not be ashamed before him at his coming.</w:t>
      </w:r>
    </w:p>
    <w:p>
      <w:r>
        <w:rPr>
          <w:b/>
        </w:rPr>
        <w:t xml:space="preserve">29 </w:t>
      </w:r>
      <w:r>
        <w:t xml:space="preserve">If you know that he is righteous, you know that every</w:t>
      </w:r>
      <w:r>
        <w:rPr>
          <w:rStyle w:val="FootnoteReference"/>
        </w:rPr>
        <w:footnoteReference w:id="19280"/>
      </w:r>
      <w:r>
        <w:t xml:space="preserve"> one that does righteousness is born of him.</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Look, what manner of love the Father has bestowed upon us, that we should be called the sons of God: therefore the world</w:t>
      </w:r>
      <w:r>
        <w:rPr>
          <w:rStyle w:val="FootnoteReference"/>
        </w:rPr>
        <w:footnoteReference w:id="19281"/>
      </w:r>
      <w:r>
        <w:t xml:space="preserve"> knows us not, because it knew him not.</w:t>
      </w:r>
    </w:p>
    <w:p>
      <w:r>
        <w:rPr>
          <w:b/>
        </w:rPr>
        <w:t xml:space="preserve">2 </w:t>
      </w:r>
      <w:r>
        <w:t xml:space="preserve">Beloved, now we are children of God, and it has not yet been manifested what we shall be: but we know that, when he is manifested, we shall be like him; for we shall see him as he is.</w:t>
      </w:r>
    </w:p>
    <w:p>
      <w:r>
        <w:rPr>
          <w:b/>
        </w:rPr>
        <w:t xml:space="preserve">3 </w:t>
      </w:r>
      <w:r>
        <w:t xml:space="preserve">And everyone who has this hope set on him purifies himself, even as he is pure.</w:t>
      </w:r>
    </w:p>
    <w:p>
      <w:r>
        <w:rPr>
          <w:b/>
        </w:rPr>
        <w:t xml:space="preserve">4 </w:t>
      </w:r>
      <w:r>
        <w:t xml:space="preserve">Whoever commits sin trangresses also the law: for sin is the transgression of the law.</w:t>
      </w:r>
    </w:p>
    <w:p>
      <w:r>
        <w:rPr>
          <w:b/>
        </w:rPr>
        <w:t xml:space="preserve">5 </w:t>
      </w:r>
      <w:r>
        <w:t xml:space="preserve">And you know that he was manifested to take away our sins; and in him is no sin.</w:t>
      </w:r>
    </w:p>
    <w:p>
      <w:r>
        <w:rPr>
          <w:b/>
        </w:rPr>
        <w:t xml:space="preserve">6 </w:t>
      </w:r>
      <w:r>
        <w:t xml:space="preserve">Whoever abides in him sins not: whoever sins has not seen him, neither known him.</w:t>
      </w:r>
    </w:p>
    <w:p>
      <w:r>
        <w:rPr>
          <w:b/>
        </w:rPr>
        <w:t xml:space="preserve">7 </w:t>
      </w:r>
      <w:r>
        <w:t xml:space="preserve">Little children, let no one deceive you: the one who does righteousness is righteous, even as he is righteous.</w:t>
      </w:r>
    </w:p>
    <w:p>
      <w:r>
        <w:rPr>
          <w:b/>
        </w:rPr>
        <w:t xml:space="preserve">8 </w:t>
      </w:r>
      <w:r>
        <w:t xml:space="preserve">the one who commits sin is of the devil; for the devil sins from the beginning. For this purpose</w:t>
      </w:r>
      <w:r>
        <w:rPr>
          <w:rStyle w:val="FootnoteReference"/>
        </w:rPr>
        <w:footnoteReference w:id="19282"/>
      </w:r>
      <w:r>
        <w:t xml:space="preserve"> the Son of God was manifested, that he might destroy the works of the devil.</w:t>
      </w:r>
    </w:p>
    <w:p>
      <w:r>
        <w:rPr>
          <w:b/>
        </w:rPr>
        <w:t xml:space="preserve">9 </w:t>
      </w:r>
      <w:r>
        <w:t xml:space="preserve">Whoever is born</w:t>
      </w:r>
      <w:r>
        <w:rPr>
          <w:rStyle w:val="FootnoteReference"/>
        </w:rPr>
        <w:footnoteReference w:id="19283"/>
      </w:r>
      <w:r>
        <w:t xml:space="preserve"> of God does not commit sin; for his seed remains in him: and he cannot sin, because he is born of God.</w:t>
      </w:r>
    </w:p>
    <w:p>
      <w:r>
        <w:rPr>
          <w:b/>
        </w:rPr>
        <w:t xml:space="preserve">10 </w:t>
      </w:r>
      <w:r>
        <w:t xml:space="preserve">In this the children of God</w:t>
      </w:r>
      <w:r>
        <w:rPr>
          <w:rStyle w:val="FootnoteReference"/>
        </w:rPr>
        <w:footnoteReference w:id="19284"/>
      </w:r>
      <w:r>
        <w:t xml:space="preserve"> are manifest, and the children of the devil: whoever does not do righteousness is not of God, neither the one who does not love his brother.</w:t>
      </w:r>
    </w:p>
    <w:p>
      <w:r>
        <w:rPr>
          <w:b/>
        </w:rPr>
        <w:t xml:space="preserve">11 </w:t>
      </w:r>
      <w:r>
        <w:t xml:space="preserve">For this is the message</w:t>
      </w:r>
      <w:r>
        <w:rPr>
          <w:rStyle w:val="FootnoteReference"/>
        </w:rPr>
        <w:footnoteReference w:id="19285"/>
      </w:r>
      <w:r>
        <w:t xml:space="preserve"> that you heard from the beginning, that we should love one another.</w:t>
      </w:r>
    </w:p>
    <w:p>
      <w:r>
        <w:rPr>
          <w:b/>
        </w:rPr>
        <w:t xml:space="preserve">12 </w:t>
      </w:r>
      <w:r>
        <w:t xml:space="preserve">Not as Cain, who was of that wicked one, and killed his brother. And therefore killed he him? Because his own works were evil, and his brother's righteous.</w:t>
      </w:r>
    </w:p>
    <w:p>
      <w:r>
        <w:rPr>
          <w:b/>
        </w:rPr>
        <w:t xml:space="preserve">13 </w:t>
      </w:r>
      <w:r>
        <w:t xml:space="preserve">do not marvel, my brothers, if the world hate you.</w:t>
      </w:r>
    </w:p>
    <w:p>
      <w:r>
        <w:rPr>
          <w:b/>
        </w:rPr>
        <w:t xml:space="preserve">14 </w:t>
      </w:r>
      <w:r>
        <w:t xml:space="preserve">We know that we have passed from death to life, because we love the brothers. the one who does not love his brother abides in death.</w:t>
      </w:r>
    </w:p>
    <w:p>
      <w:r>
        <w:rPr>
          <w:b/>
        </w:rPr>
        <w:t xml:space="preserve">15 </w:t>
      </w:r>
      <w:r>
        <w:t xml:space="preserve">Whoever hates his brother is a murderer: and you know that no murderer has eternal life abiding in him.</w:t>
      </w:r>
    </w:p>
    <w:p>
      <w:r>
        <w:rPr>
          <w:b/>
        </w:rPr>
        <w:t xml:space="preserve">16 </w:t>
      </w:r>
      <w:r>
        <w:t xml:space="preserve">by this perceive</w:t>
      </w:r>
      <w:r>
        <w:rPr>
          <w:rStyle w:val="FootnoteReference"/>
        </w:rPr>
        <w:footnoteReference w:id="19286"/>
      </w:r>
      <w:r>
        <w:t xml:space="preserve"> we the love of God, because he laid down his life for us: and we ought to lay down our lives for the brothers.</w:t>
      </w:r>
    </w:p>
    <w:p>
      <w:r>
        <w:rPr>
          <w:b/>
        </w:rPr>
        <w:t xml:space="preserve">17 </w:t>
      </w:r>
      <w:r>
        <w:t xml:space="preserve">But whoever has this world's good, and sees his brother have need, and shuts up his compassion from him, how dwells the love of God in him?</w:t>
      </w:r>
    </w:p>
    <w:p>
      <w:r>
        <w:rPr>
          <w:b/>
        </w:rPr>
        <w:t xml:space="preserve">18 </w:t>
      </w:r>
      <w:r>
        <w:t xml:space="preserve">My little children, let us not love in word, neither in tongue; but in deed and in truth.</w:t>
      </w:r>
    </w:p>
    <w:p>
      <w:r>
        <w:rPr>
          <w:b/>
        </w:rPr>
        <w:t xml:space="preserve">19 </w:t>
      </w:r>
      <w:r>
        <w:t xml:space="preserve">And by this we know that we are of the truth, and shall assure</w:t>
      </w:r>
      <w:r>
        <w:rPr>
          <w:rStyle w:val="FootnoteReference"/>
        </w:rPr>
        <w:footnoteReference w:id="19287"/>
      </w:r>
      <w:r>
        <w:t xml:space="preserve"> our hearts before him.</w:t>
      </w:r>
    </w:p>
    <w:p>
      <w:r>
        <w:rPr>
          <w:b/>
        </w:rPr>
        <w:t xml:space="preserve">20 </w:t>
      </w:r>
      <w:r>
        <w:t xml:space="preserve">For if our heart condemns us, God is greater than our heart, and knows all things.</w:t>
      </w:r>
    </w:p>
    <w:p>
      <w:r>
        <w:rPr>
          <w:b/>
        </w:rPr>
        <w:t xml:space="preserve">21 </w:t>
      </w:r>
      <w:r>
        <w:t xml:space="preserve">Beloved, if our heart does not condemn us, we have confidence toward God.</w:t>
      </w:r>
    </w:p>
    <w:p>
      <w:r>
        <w:rPr>
          <w:b/>
        </w:rPr>
        <w:t xml:space="preserve">22 </w:t>
      </w:r>
      <w:r>
        <w:t xml:space="preserve">And whatever we ask, we receive of him, because we keep his commandments, and do those things that are pleasing in his sight.</w:t>
      </w:r>
    </w:p>
    <w:p>
      <w:r>
        <w:rPr>
          <w:b/>
        </w:rPr>
        <w:t xml:space="preserve">23 </w:t>
      </w:r>
      <w:r>
        <w:t xml:space="preserve">And this is his commandment</w:t>
      </w:r>
      <w:r>
        <w:rPr>
          <w:rStyle w:val="FootnoteReference"/>
        </w:rPr>
        <w:footnoteReference w:id="19288"/>
      </w:r>
      <w:r>
        <w:t xml:space="preserve">, That we should believe on the name of his Son Jesus Christ, and love one another, as he gave us commandment.</w:t>
      </w:r>
    </w:p>
    <w:p>
      <w:r>
        <w:rPr>
          <w:b/>
        </w:rPr>
        <w:t xml:space="preserve">24 </w:t>
      </w:r>
      <w:r>
        <w:t xml:space="preserve">And the one who keeps his commandments dwells in him, and he in him. And by this we know that he abides in us, by the Spirit which he has given us.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Beloved, do not believe every spirit, but try the spirits whether they are of God: because many false prophets are gone out into the world.</w:t>
      </w:r>
    </w:p>
    <w:p>
      <w:r>
        <w:rPr>
          <w:b/>
        </w:rPr>
        <w:t xml:space="preserve">2 </w:t>
      </w:r>
      <w:r>
        <w:t xml:space="preserve">By this you know the Spirit of God: Every spirit that confesses that Jesus Christ has come in the flesh is of God:</w:t>
      </w:r>
    </w:p>
    <w:p>
      <w:r>
        <w:rPr>
          <w:b/>
        </w:rPr>
        <w:t xml:space="preserve">3 </w:t>
      </w:r>
      <w:r>
        <w:t xml:space="preserve">And every spirit that confesses not that Jesus Christ has come in the flesh is not of God: and this</w:t>
      </w:r>
      <w:r>
        <w:rPr>
          <w:rStyle w:val="FootnoteReference"/>
        </w:rPr>
        <w:footnoteReference w:id="19289"/>
      </w:r>
      <w:r>
        <w:t xml:space="preserve"> is that spirit of antichrist, concerning which you have heard that it should come; and even now already is it in the world.</w:t>
      </w:r>
    </w:p>
    <w:p>
      <w:r>
        <w:rPr>
          <w:b/>
        </w:rPr>
        <w:t xml:space="preserve">4 </w:t>
      </w:r>
      <w:r>
        <w:t xml:space="preserve">You are of God, little children, and have overcome them: because greater</w:t>
      </w:r>
      <w:r>
        <w:rPr>
          <w:rStyle w:val="FootnoteReference"/>
        </w:rPr>
        <w:footnoteReference w:id="19290"/>
      </w:r>
      <w:r>
        <w:t xml:space="preserve"> is the one who is in you, than the one who is in the world.</w:t>
      </w:r>
    </w:p>
    <w:p>
      <w:r>
        <w:rPr>
          <w:b/>
        </w:rPr>
        <w:t xml:space="preserve">5 </w:t>
      </w:r>
      <w:r>
        <w:t xml:space="preserve">They are from the world: therefore they speak from the world, and the world hears them.</w:t>
      </w:r>
    </w:p>
    <w:p>
      <w:r>
        <w:rPr>
          <w:b/>
        </w:rPr>
        <w:t xml:space="preserve">6 </w:t>
      </w:r>
      <w:r>
        <w:t xml:space="preserve">We are</w:t>
      </w:r>
      <w:r>
        <w:rPr>
          <w:rStyle w:val="FootnoteReference"/>
        </w:rPr>
        <w:footnoteReference w:id="19291"/>
      </w:r>
      <w:r>
        <w:t xml:space="preserve"> of God: the one who knows God hears us; the one who is not of God does not hear us. by this know we the spirit of truth, and the spirit of error.</w:t>
      </w:r>
    </w:p>
    <w:p>
      <w:r>
        <w:rPr>
          <w:b/>
        </w:rPr>
        <w:t xml:space="preserve">7 </w:t>
      </w:r>
      <w:r>
        <w:t xml:space="preserve">Beloved, let us love one another: for love is</w:t>
      </w:r>
      <w:r>
        <w:rPr>
          <w:rStyle w:val="FootnoteReference"/>
        </w:rPr>
        <w:footnoteReference w:id="19292"/>
      </w:r>
      <w:r>
        <w:t xml:space="preserve"> of God; and every one that loves is born of God, and knows God.</w:t>
      </w:r>
    </w:p>
    <w:p>
      <w:r>
        <w:rPr>
          <w:b/>
        </w:rPr>
        <w:t xml:space="preserve">8 </w:t>
      </w:r>
      <w:r>
        <w:t xml:space="preserve">the one who does not love does not know God; for God is</w:t>
      </w:r>
      <w:r>
        <w:rPr>
          <w:rStyle w:val="FootnoteReference"/>
        </w:rPr>
        <w:footnoteReference w:id="19293"/>
      </w:r>
      <w:r>
        <w:t xml:space="preserve"> love.</w:t>
      </w:r>
    </w:p>
    <w:p>
      <w:r>
        <w:rPr>
          <w:b/>
        </w:rPr>
        <w:t xml:space="preserve">9 </w:t>
      </w:r>
      <w:r>
        <w:t xml:space="preserve">In this was manifested the love of God toward us, because God sent</w:t>
      </w:r>
      <w:r>
        <w:rPr>
          <w:rStyle w:val="FootnoteReference"/>
        </w:rPr>
        <w:footnoteReference w:id="19294"/>
      </w:r>
      <w:r>
        <w:t xml:space="preserve"> his only begotten Son into the world, that we might live through him.</w:t>
      </w:r>
    </w:p>
    <w:p>
      <w:r>
        <w:rPr>
          <w:b/>
        </w:rPr>
        <w:t xml:space="preserve">10 </w:t>
      </w:r>
      <w:r>
        <w:t xml:space="preserve">in this is love, not that we loved God, but that he loved us, and sent</w:t>
      </w:r>
      <w:r>
        <w:rPr>
          <w:rStyle w:val="FootnoteReference"/>
        </w:rPr>
        <w:footnoteReference w:id="19295"/>
      </w:r>
      <w:r>
        <w:t xml:space="preserve"> his Son to be the propitiation for our sins.</w:t>
      </w:r>
    </w:p>
    <w:p>
      <w:r>
        <w:rPr>
          <w:b/>
        </w:rPr>
        <w:t xml:space="preserve">11 </w:t>
      </w:r>
      <w:r>
        <w:t xml:space="preserve">Beloved, if God so loved us, we ought also to love one another.</w:t>
      </w:r>
    </w:p>
    <w:p>
      <w:r>
        <w:rPr>
          <w:b/>
        </w:rPr>
        <w:t xml:space="preserve">12 </w:t>
      </w:r>
      <w:r>
        <w:t xml:space="preserve">No one has seen</w:t>
      </w:r>
      <w:r>
        <w:rPr>
          <w:rStyle w:val="FootnoteReference"/>
        </w:rPr>
        <w:footnoteReference w:id="19296"/>
      </w:r>
      <w:r>
        <w:t xml:space="preserve"> God at any time. If we love one another, God dwells in us, and his love is perfected in us.</w:t>
      </w:r>
    </w:p>
    <w:p>
      <w:r>
        <w:rPr>
          <w:b/>
        </w:rPr>
        <w:t xml:space="preserve">13 </w:t>
      </w:r>
      <w:r>
        <w:t xml:space="preserve">by this know we that we dwell in him, and he in us, because he has given us of his Spirit.</w:t>
      </w:r>
    </w:p>
    <w:p>
      <w:r>
        <w:rPr>
          <w:b/>
        </w:rPr>
        <w:t xml:space="preserve">14 </w:t>
      </w:r>
      <w:r>
        <w:t xml:space="preserve">And we have seen and do testify that the Father</w:t>
      </w:r>
      <w:r>
        <w:rPr>
          <w:rStyle w:val="FootnoteReference"/>
        </w:rPr>
        <w:footnoteReference w:id="19297"/>
      </w:r>
      <w:r>
        <w:t xml:space="preserve"> sent the Son to be the Savior of the world.</w:t>
      </w:r>
    </w:p>
    <w:p>
      <w:r>
        <w:rPr>
          <w:b/>
        </w:rPr>
        <w:t xml:space="preserve">15 </w:t>
      </w:r>
      <w:r>
        <w:t xml:space="preserve">Whoever shall confess</w:t>
      </w:r>
      <w:r>
        <w:rPr>
          <w:rStyle w:val="FootnoteReference"/>
        </w:rPr>
        <w:footnoteReference w:id="19298"/>
      </w:r>
      <w:r>
        <w:t xml:space="preserve"> that Jesus is the Son of God, God dwells in him, and he in God.</w:t>
      </w:r>
    </w:p>
    <w:p>
      <w:r>
        <w:rPr>
          <w:b/>
        </w:rPr>
        <w:t xml:space="preserve">16 </w:t>
      </w:r>
      <w:r>
        <w:t xml:space="preserve">And we have known and believed the love that God has to us. God is love</w:t>
      </w:r>
      <w:r>
        <w:rPr>
          <w:rStyle w:val="FootnoteReference"/>
        </w:rPr>
        <w:footnoteReference w:id="19299"/>
      </w:r>
      <w:r>
        <w:t xml:space="preserve">; and the one who dwells in love dwells in God, and God in him.</w:t>
      </w:r>
    </w:p>
    <w:p>
      <w:r>
        <w:rPr>
          <w:b/>
        </w:rPr>
        <w:t xml:space="preserve">17 </w:t>
      </w:r>
      <w:r>
        <w:t xml:space="preserve">in this is our love made</w:t>
      </w:r>
      <w:r>
        <w:rPr>
          <w:rStyle w:val="FootnoteReference"/>
        </w:rPr>
        <w:footnoteReference w:id="19300"/>
      </w:r>
      <w:r>
        <w:t xml:space="preserve"> perfect, that we may have boldness in the day of judgment: because as he is, so are we in this world.</w:t>
      </w:r>
    </w:p>
    <w:p>
      <w:r>
        <w:rPr>
          <w:b/>
        </w:rPr>
        <w:t xml:space="preserve">18 </w:t>
      </w:r>
      <w:r>
        <w:t xml:space="preserve">There is no</w:t>
      </w:r>
      <w:r>
        <w:rPr>
          <w:rStyle w:val="FootnoteReference"/>
        </w:rPr>
        <w:footnoteReference w:id="19301"/>
      </w:r>
      <w:r>
        <w:t xml:space="preserve"> fear in love; but perfect love casts out fear: because fear has torment. the one who fears is not made perfect in love.</w:t>
      </w:r>
    </w:p>
    <w:p>
      <w:r>
        <w:rPr>
          <w:b/>
        </w:rPr>
        <w:t xml:space="preserve">19 </w:t>
      </w:r>
      <w:r>
        <w:t xml:space="preserve">We love him, because he first loved us.</w:t>
      </w:r>
    </w:p>
    <w:p>
      <w:r>
        <w:rPr>
          <w:b/>
        </w:rPr>
        <w:t xml:space="preserve">20 </w:t>
      </w:r>
      <w:r>
        <w:t xml:space="preserve">If a man</w:t>
      </w:r>
      <w:r>
        <w:rPr>
          <w:rStyle w:val="FootnoteReference"/>
        </w:rPr>
        <w:footnoteReference w:id="19302"/>
      </w:r>
      <w:r>
        <w:t xml:space="preserve"> say, I love God, and hates his brother, he is a liar: for the one who does not love his brother whom he has seen, how can he love God whom he has not seen?</w:t>
      </w:r>
    </w:p>
    <w:p>
      <w:r>
        <w:rPr>
          <w:b/>
        </w:rPr>
        <w:t xml:space="preserve">21 </w:t>
      </w:r>
      <w:r>
        <w:t xml:space="preserve">And this commandment we have from him, That he who loves God love his brother also.</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Everyone who believes that Jesus is the Christ has been born of God: and everyone who loves the one who fathered loves also the one begotten from him.</w:t>
      </w:r>
    </w:p>
    <w:p>
      <w:r>
        <w:rPr>
          <w:b/>
        </w:rPr>
        <w:t xml:space="preserve">2 </w:t>
      </w:r>
      <w:r>
        <w:t xml:space="preserve">By this we know that we love the children of God, when we love God, and keep his commandments.</w:t>
      </w:r>
    </w:p>
    <w:p>
      <w:r>
        <w:rPr>
          <w:b/>
        </w:rPr>
        <w:t xml:space="preserve">3 </w:t>
      </w:r>
      <w:r>
        <w:t xml:space="preserve">For this is the love of God, that we keep his commandments: and his commandments are not grievous.</w:t>
      </w:r>
    </w:p>
    <w:p>
      <w:r>
        <w:rPr>
          <w:b/>
        </w:rPr>
        <w:t xml:space="preserve">4 </w:t>
      </w:r>
      <w:r>
        <w:t xml:space="preserve">For whatever is born of God overcomes the world: and this is the victory that overcomes the world, even our faith.</w:t>
      </w:r>
    </w:p>
    <w:p>
      <w:r>
        <w:rPr>
          <w:b/>
        </w:rPr>
        <w:t xml:space="preserve">5 </w:t>
      </w:r>
      <w:r>
        <w:t xml:space="preserve">Who is the one who overcomes the world, but the one who believes that Jesus is the Son of God?</w:t>
      </w:r>
    </w:p>
    <w:p>
      <w:r>
        <w:rPr>
          <w:b/>
        </w:rPr>
        <w:t xml:space="preserve">6 </w:t>
      </w:r>
      <w:r>
        <w:t xml:space="preserve">This is the one who came by water and</w:t>
      </w:r>
      <w:r>
        <w:rPr>
          <w:rStyle w:val="FootnoteReference"/>
        </w:rPr>
        <w:footnoteReference w:id="19303"/>
      </w:r>
      <w:r>
        <w:t xml:space="preserve"> blood, even Jesus Christ; not by water only, but by water and blood. And it is the Spirit that bears witness, because the Spirit is truth.</w:t>
      </w:r>
    </w:p>
    <w:p>
      <w:r>
        <w:rPr>
          <w:b/>
        </w:rPr>
        <w:t xml:space="preserve">7 </w:t>
      </w:r>
      <w:r>
        <w:t xml:space="preserve">For there are three that bear</w:t>
      </w:r>
      <w:r>
        <w:rPr>
          <w:rStyle w:val="FootnoteReference"/>
        </w:rPr>
        <w:footnoteReference w:id="19304"/>
      </w:r>
      <w:r>
        <w:t xml:space="preserve"> record in heaven, the Father, the Word, and the Holy Spirit: and these three are one.</w:t>
      </w:r>
    </w:p>
    <w:p>
      <w:r>
        <w:rPr>
          <w:b/>
        </w:rPr>
        <w:t xml:space="preserve">8 </w:t>
      </w:r>
      <w:r>
        <w:t xml:space="preserve">And there are three that bear witness on earth, the Spirit</w:t>
      </w:r>
      <w:r>
        <w:rPr>
          <w:rStyle w:val="FootnoteReference"/>
        </w:rPr>
        <w:footnoteReference w:id="19305"/>
      </w:r>
      <w:r>
        <w:t xml:space="preserve">, and the water, and the blood: and these three agree in one.</w:t>
      </w:r>
    </w:p>
    <w:p>
      <w:r>
        <w:rPr>
          <w:b/>
        </w:rPr>
        <w:t xml:space="preserve">9 </w:t>
      </w:r>
      <w:r>
        <w:t xml:space="preserve">If we receive the witness of men, the witness of God is greater: for this is the witness of God which he has testified of his Son.</w:t>
      </w:r>
    </w:p>
    <w:p>
      <w:r>
        <w:rPr>
          <w:b/>
        </w:rPr>
        <w:t xml:space="preserve">10 </w:t>
      </w:r>
      <w:r>
        <w:t xml:space="preserve">the one who believes on the Son of God has the witness in himself: the one who does not believe God has made him a liar; because he does not believe the record that God gave of his Son.</w:t>
      </w:r>
    </w:p>
    <w:p>
      <w:r>
        <w:rPr>
          <w:b/>
        </w:rPr>
        <w:t xml:space="preserve">11 </w:t>
      </w:r>
      <w:r>
        <w:t xml:space="preserve">And this is the testimony, that God has given to us eternal life, and this life is in his Son.</w:t>
      </w:r>
    </w:p>
    <w:p>
      <w:r>
        <w:rPr>
          <w:b/>
        </w:rPr>
        <w:t xml:space="preserve">12 </w:t>
      </w:r>
      <w:r>
        <w:t xml:space="preserve">the one who has the Son has life; and the one who has not the Son of God has not life.</w:t>
      </w:r>
    </w:p>
    <w:p>
      <w:r>
        <w:rPr>
          <w:b/>
        </w:rPr>
        <w:t xml:space="preserve">13 </w:t>
      </w:r>
      <w:r>
        <w:t xml:space="preserve">These things have I</w:t>
      </w:r>
      <w:r>
        <w:rPr>
          <w:rStyle w:val="FootnoteReference"/>
        </w:rPr>
        <w:footnoteReference w:id="19306"/>
      </w:r>
      <w:r>
        <w:t xml:space="preserve"> written to you that believe on the name of the Son of God; that you may know that you have eternal life, and that you may believe on the name of the Son of God.</w:t>
      </w:r>
    </w:p>
    <w:p>
      <w:r>
        <w:rPr>
          <w:b/>
        </w:rPr>
        <w:t xml:space="preserve">14 </w:t>
      </w:r>
      <w:r>
        <w:t xml:space="preserve">And this is the confidence that we have in him, that, if we ask anything according to his will, he hears us:</w:t>
      </w:r>
    </w:p>
    <w:p>
      <w:r>
        <w:rPr>
          <w:b/>
        </w:rPr>
        <w:t xml:space="preserve">15 </w:t>
      </w:r>
      <w:r>
        <w:t xml:space="preserve">And if we know that he hear us, whatever we ask, we know that we have the petitions that we desired of him.</w:t>
      </w:r>
    </w:p>
    <w:p>
      <w:r>
        <w:rPr>
          <w:b/>
        </w:rPr>
        <w:t xml:space="preserve">16 </w:t>
      </w:r>
      <w:r>
        <w:t xml:space="preserve">If anyone see his brother sin a sin which is not to death, he shall ask</w:t>
      </w:r>
      <w:r>
        <w:rPr>
          <w:rStyle w:val="FootnoteReference"/>
        </w:rPr>
        <w:footnoteReference w:id="19307"/>
      </w:r>
      <w:r>
        <w:t xml:space="preserve">, and he shall give him life for those who do not sin to death. There is a sin to death: I do not say that he shall pray for it.</w:t>
      </w:r>
    </w:p>
    <w:p>
      <w:r>
        <w:rPr>
          <w:b/>
        </w:rPr>
        <w:t xml:space="preserve">17 </w:t>
      </w:r>
      <w:r>
        <w:t xml:space="preserve">All unrighteousness is sin: and there is a do not sin to death.</w:t>
      </w:r>
    </w:p>
    <w:p>
      <w:r>
        <w:rPr>
          <w:b/>
        </w:rPr>
        <w:t xml:space="preserve">18 </w:t>
      </w:r>
      <w:r>
        <w:t xml:space="preserve">We know that whoever is born of God sins not; but the one who is begotten of God keeps himself, and that wicked</w:t>
      </w:r>
      <w:r>
        <w:rPr>
          <w:rStyle w:val="FootnoteReference"/>
        </w:rPr>
        <w:footnoteReference w:id="19308"/>
      </w:r>
      <w:r>
        <w:t xml:space="preserve"> one touches him not.</w:t>
      </w:r>
    </w:p>
    <w:p>
      <w:r>
        <w:rPr>
          <w:b/>
        </w:rPr>
        <w:t xml:space="preserve">19 </w:t>
      </w:r>
      <w:r>
        <w:t xml:space="preserve">And we know that we are from God, and the whole world lies in the evil one.</w:t>
      </w:r>
    </w:p>
    <w:p>
      <w:r>
        <w:rPr>
          <w:b/>
        </w:rPr>
        <w:t xml:space="preserve">20 </w:t>
      </w:r>
      <w:r>
        <w:t xml:space="preserve">And we</w:t>
      </w:r>
      <w:r>
        <w:rPr>
          <w:rStyle w:val="FootnoteReference"/>
        </w:rPr>
        <w:footnoteReference w:id="19309"/>
      </w:r>
      <w:r>
        <w:t xml:space="preserve"> know that the Son of God has come, and has given us an understanding, that we may know him who is true, and we are in him who is true, even in his Son Jesus Christ. This is the true God, and eternal life.</w:t>
      </w:r>
    </w:p>
    <w:p>
      <w:r>
        <w:rPr>
          <w:b/>
        </w:rPr>
        <w:t xml:space="preserve">21 </w:t>
      </w:r>
      <w:r>
        <w:t xml:space="preserve">Little</w:t>
      </w:r>
      <w:r>
        <w:rPr>
          <w:rStyle w:val="FootnoteReference"/>
        </w:rPr>
        <w:footnoteReference w:id="19310"/>
      </w:r>
      <w:r>
        <w:t xml:space="preserve"> children, keep yourselves from idols. Amen.</w:t>
      </w:r>
    </w:p>
    <w:p>
      <w:r>
        <w:br w:type="page"/>
      </w:r>
    </w:p>
    <w:p>
      <w:pPr>
        <w:pStyle w:val="Heading1"/>
      </w:pPr>
      <w:r>
        <w:t xml:space="preserve">2 John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elder</w:t>
      </w:r>
      <w:r>
        <w:rPr>
          <w:rStyle w:val="FootnoteReference"/>
        </w:rPr>
        <w:footnoteReference w:id="19311"/>
      </w:r>
      <w:r>
        <w:t xml:space="preserve"> to the elect lady and her children, whom I love in the truth; and not I only, but also all those who have known the truth;</w:t>
      </w:r>
    </w:p>
    <w:p>
      <w:r>
        <w:rPr>
          <w:b/>
        </w:rPr>
        <w:t xml:space="preserve">2 </w:t>
      </w:r>
      <w:r>
        <w:t xml:space="preserve">For the truth's</w:t>
      </w:r>
      <w:r>
        <w:rPr>
          <w:rStyle w:val="FootnoteReference"/>
        </w:rPr>
        <w:footnoteReference w:id="19312"/>
      </w:r>
      <w:r>
        <w:t xml:space="preserve"> sake, which dwells in us, and shall be with us forever.</w:t>
      </w:r>
    </w:p>
    <w:p>
      <w:r>
        <w:rPr>
          <w:b/>
        </w:rPr>
        <w:t xml:space="preserve">3 </w:t>
      </w:r>
      <w:r>
        <w:t xml:space="preserve">Grace</w:t>
      </w:r>
      <w:r>
        <w:rPr>
          <w:rStyle w:val="FootnoteReference"/>
        </w:rPr>
        <w:footnoteReference w:id="19313"/>
      </w:r>
      <w:r>
        <w:t xml:space="preserve"> be with you, mercy, and peace, from God the Father, and from the Lord Jesus Christ, the Son of the Father, in truth and love.</w:t>
      </w:r>
    </w:p>
    <w:p>
      <w:r>
        <w:rPr>
          <w:b/>
        </w:rPr>
        <w:t xml:space="preserve">4 </w:t>
      </w:r>
      <w:r>
        <w:t xml:space="preserve">I rejoiced</w:t>
      </w:r>
      <w:r>
        <w:rPr>
          <w:rStyle w:val="FootnoteReference"/>
        </w:rPr>
        <w:footnoteReference w:id="19314"/>
      </w:r>
      <w:r>
        <w:t xml:space="preserve"> greatly because I have found some of your children walking in truth, as we received commandment from the Father.</w:t>
      </w:r>
    </w:p>
    <w:p>
      <w:r>
        <w:rPr>
          <w:b/>
        </w:rPr>
        <w:t xml:space="preserve">5 </w:t>
      </w:r>
      <w:r>
        <w:t xml:space="preserve">And now I plead to you, lady, not as though I wrote a new commandment to you, but that which we had from the beginning, that we</w:t>
      </w:r>
      <w:r>
        <w:rPr>
          <w:rStyle w:val="FootnoteReference"/>
        </w:rPr>
        <w:footnoteReference w:id="19315"/>
      </w:r>
      <w:r>
        <w:t xml:space="preserve"> love one another.</w:t>
      </w:r>
    </w:p>
    <w:p>
      <w:r>
        <w:rPr>
          <w:b/>
        </w:rPr>
        <w:t xml:space="preserve">6 </w:t>
      </w:r>
      <w:r>
        <w:t xml:space="preserve">And this is love</w:t>
      </w:r>
      <w:r>
        <w:rPr>
          <w:rStyle w:val="FootnoteReference"/>
        </w:rPr>
        <w:footnoteReference w:id="19316"/>
      </w:r>
      <w:r>
        <w:t xml:space="preserve">, that we walk after his commandments. This is the commandment, That, as you have heard from the beginning, you should walk in it.</w:t>
      </w:r>
    </w:p>
    <w:p>
      <w:r>
        <w:rPr>
          <w:b/>
        </w:rPr>
        <w:t xml:space="preserve">7 </w:t>
      </w:r>
      <w:r>
        <w:t xml:space="preserve">For many deceivers are entered into the world, who confess not that Jesus Christ has come in the flesh. This is</w:t>
      </w:r>
      <w:r>
        <w:rPr>
          <w:rStyle w:val="FootnoteReference"/>
        </w:rPr>
        <w:footnoteReference w:id="19317"/>
      </w:r>
      <w:r>
        <w:t xml:space="preserve"> a deceiver and an antichrist.</w:t>
      </w:r>
    </w:p>
    <w:p>
      <w:r>
        <w:rPr>
          <w:b/>
        </w:rPr>
        <w:t xml:space="preserve">8 </w:t>
      </w:r>
      <w:r>
        <w:t xml:space="preserve">Look</w:t>
      </w:r>
      <w:r>
        <w:rPr>
          <w:rStyle w:val="FootnoteReference"/>
        </w:rPr>
        <w:footnoteReference w:id="19318"/>
      </w:r>
      <w:r>
        <w:t xml:space="preserve"> to yourselves, that we lose not those things which we have worked, but that we receive a full reward.</w:t>
      </w:r>
    </w:p>
    <w:p>
      <w:r>
        <w:rPr>
          <w:b/>
        </w:rPr>
        <w:t xml:space="preserve">9 </w:t>
      </w:r>
      <w:r>
        <w:t xml:space="preserve">Whoever trangresses, and does not abide in the doctrine</w:t>
      </w:r>
      <w:r>
        <w:rPr>
          <w:rStyle w:val="FootnoteReference"/>
        </w:rPr>
        <w:footnoteReference w:id="19319"/>
      </w:r>
      <w:r>
        <w:t xml:space="preserve"> of Christ, has not God. the one who abides in the doctrine of Christ, he has both the Father and the Son.</w:t>
      </w:r>
    </w:p>
    <w:p>
      <w:r>
        <w:rPr>
          <w:b/>
        </w:rPr>
        <w:t xml:space="preserve">10 </w:t>
      </w:r>
      <w:r>
        <w:t xml:space="preserve">If there come any to you, and bring not this doctrine, receive him not into your house, neither bid him God speed:</w:t>
      </w:r>
    </w:p>
    <w:p>
      <w:r>
        <w:rPr>
          <w:b/>
        </w:rPr>
        <w:t xml:space="preserve">11 </w:t>
      </w:r>
      <w:r>
        <w:t xml:space="preserve">For the one who bids him God speed is partaker</w:t>
      </w:r>
      <w:r>
        <w:rPr>
          <w:rStyle w:val="FootnoteReference"/>
        </w:rPr>
        <w:footnoteReference w:id="19320"/>
      </w:r>
      <w:r>
        <w:t xml:space="preserve"> of his evil deeds.</w:t>
      </w:r>
    </w:p>
    <w:p>
      <w:r>
        <w:rPr>
          <w:b/>
        </w:rPr>
        <w:t xml:space="preserve">12 </w:t>
      </w:r>
      <w:r>
        <w:t xml:space="preserve">Having many things to write to you, I would</w:t>
      </w:r>
      <w:r>
        <w:rPr>
          <w:rStyle w:val="FootnoteReference"/>
        </w:rPr>
        <w:footnoteReference w:id="19321"/>
      </w:r>
      <w:r>
        <w:t xml:space="preserve"> not write with paper and ink: but I trust to come to you, and speak face to face, that our joy may be full.</w:t>
      </w:r>
    </w:p>
    <w:p>
      <w:r>
        <w:rPr>
          <w:b/>
        </w:rPr>
        <w:t xml:space="preserve">13 </w:t>
      </w:r>
      <w:r>
        <w:t xml:space="preserve">The children of your elect sister greet you. Amen.</w:t>
      </w:r>
    </w:p>
    <w:p>
      <w:r>
        <w:br w:type="page"/>
      </w:r>
    </w:p>
    <w:p>
      <w:pPr>
        <w:pStyle w:val="Heading1"/>
      </w:pPr>
      <w:r>
        <w:t xml:space="preserve">3 John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The elder</w:t>
      </w:r>
      <w:r>
        <w:rPr>
          <w:rStyle w:val="FootnoteReference"/>
        </w:rPr>
        <w:footnoteReference w:id="19322"/>
      </w:r>
      <w:r>
        <w:t xml:space="preserve"> to the beloved Gaius, whom I love in the truth.</w:t>
      </w:r>
    </w:p>
    <w:p>
      <w:r>
        <w:rPr>
          <w:b/>
        </w:rPr>
        <w:t xml:space="preserve">2 </w:t>
      </w:r>
      <w:r>
        <w:t xml:space="preserve">Beloved, concerning all things I pray that you prosper and be in health, just as your soul prospers.</w:t>
      </w:r>
    </w:p>
    <w:p>
      <w:r>
        <w:rPr>
          <w:b/>
        </w:rPr>
        <w:t xml:space="preserve">3 </w:t>
      </w:r>
      <w:r>
        <w:t xml:space="preserve">For I rejoiced greatly, when the brothers came and testified of the truth</w:t>
      </w:r>
      <w:r>
        <w:rPr>
          <w:rStyle w:val="FootnoteReference"/>
        </w:rPr>
        <w:footnoteReference w:id="19323"/>
      </w:r>
      <w:r>
        <w:t xml:space="preserve"> that is in you, even as you walk in the truth.</w:t>
      </w:r>
    </w:p>
    <w:p>
      <w:r>
        <w:rPr>
          <w:b/>
        </w:rPr>
        <w:t xml:space="preserve">4 </w:t>
      </w:r>
      <w:r>
        <w:t xml:space="preserve">I have no greater joy than these things, that I hear my children walking in truth.</w:t>
      </w:r>
    </w:p>
    <w:p>
      <w:r>
        <w:rPr>
          <w:b/>
        </w:rPr>
        <w:t xml:space="preserve">5 </w:t>
      </w:r>
      <w:r>
        <w:t xml:space="preserve">Beloved, you do faithfully whatever you do to the brothers, and to strangers;</w:t>
      </w:r>
    </w:p>
    <w:p>
      <w:r>
        <w:rPr>
          <w:b/>
        </w:rPr>
        <w:t xml:space="preserve">6 </w:t>
      </w:r>
      <w:r>
        <w:t xml:space="preserve">Which have borne witness of your love before the assembly: whom if you bring forward on their journey after a godly sort</w:t>
      </w:r>
      <w:r>
        <w:rPr>
          <w:rStyle w:val="FootnoteReference"/>
        </w:rPr>
        <w:footnoteReference w:id="19324"/>
      </w:r>
      <w:r>
        <w:t xml:space="preserve">, you shall do well:</w:t>
      </w:r>
    </w:p>
    <w:p>
      <w:r>
        <w:rPr>
          <w:b/>
        </w:rPr>
        <w:t xml:space="preserve">7 </w:t>
      </w:r>
      <w:r>
        <w:t xml:space="preserve">because for his name's sake they went forth, taking</w:t>
      </w:r>
      <w:r>
        <w:rPr>
          <w:rStyle w:val="FootnoteReference"/>
        </w:rPr>
        <w:footnoteReference w:id="19325"/>
      </w:r>
      <w:r>
        <w:t xml:space="preserve"> nothing of the nations.</w:t>
      </w:r>
    </w:p>
    <w:p>
      <w:r>
        <w:rPr>
          <w:b/>
        </w:rPr>
        <w:t xml:space="preserve">8 </w:t>
      </w:r>
      <w:r>
        <w:t xml:space="preserve">We therefore ought to receive</w:t>
      </w:r>
      <w:r>
        <w:rPr>
          <w:rStyle w:val="FootnoteReference"/>
        </w:rPr>
        <w:footnoteReference w:id="19326"/>
      </w:r>
      <w:r>
        <w:t xml:space="preserve"> such, that we may become fellow-workers with the truth.</w:t>
      </w:r>
    </w:p>
    <w:p>
      <w:r>
        <w:rPr>
          <w:b/>
        </w:rPr>
        <w:t xml:space="preserve">9 </w:t>
      </w:r>
      <w:r>
        <w:t xml:space="preserve">I wrote to the assembly: but Diotrephes</w:t>
      </w:r>
      <w:r>
        <w:rPr>
          <w:rStyle w:val="FootnoteReference"/>
        </w:rPr>
        <w:footnoteReference w:id="19327"/>
      </w:r>
      <w:r>
        <w:t xml:space="preserve">, who loves to have the preeminence among them, receives us not.</w:t>
      </w:r>
    </w:p>
    <w:p>
      <w:r>
        <w:rPr>
          <w:b/>
        </w:rPr>
        <w:t xml:space="preserve">10 </w:t>
      </w:r>
      <w:r>
        <w:t xml:space="preserve">Therefore, if I come, I will remember his deeds which he does, babbling against us with malicious words: and not content with it, neither does he himself receive the brothers, and forbids those who would, and casts them out of the assembly.</w:t>
      </w:r>
    </w:p>
    <w:p>
      <w:r>
        <w:rPr>
          <w:b/>
        </w:rPr>
        <w:t xml:space="preserve">11 </w:t>
      </w:r>
      <w:r>
        <w:t xml:space="preserve">Beloved, follow</w:t>
      </w:r>
      <w:r>
        <w:rPr>
          <w:rStyle w:val="FootnoteReference"/>
        </w:rPr>
        <w:footnoteReference w:id="19328"/>
      </w:r>
      <w:r>
        <w:t xml:space="preserve"> not that which is evil, but that which is good. the one who does good is of God: but the one who does evil has not seen God.</w:t>
      </w:r>
    </w:p>
    <w:p>
      <w:r>
        <w:rPr>
          <w:b/>
        </w:rPr>
        <w:t xml:space="preserve">12 </w:t>
      </w:r>
      <w:r>
        <w:t xml:space="preserve">Demetrius has good</w:t>
      </w:r>
      <w:r>
        <w:rPr>
          <w:rStyle w:val="FootnoteReference"/>
        </w:rPr>
        <w:footnoteReference w:id="19329"/>
      </w:r>
      <w:r>
        <w:t xml:space="preserve"> report of all men, and of the truth itself: yes, and we also bear record; and you know that our record is true.</w:t>
      </w:r>
    </w:p>
    <w:p>
      <w:r>
        <w:rPr>
          <w:b/>
        </w:rPr>
        <w:t xml:space="preserve">13 </w:t>
      </w:r>
      <w:r>
        <w:t xml:space="preserve">I had many things to write, but I will not with ink and pen write to you:</w:t>
      </w:r>
    </w:p>
    <w:p>
      <w:r>
        <w:rPr>
          <w:b/>
        </w:rPr>
        <w:t xml:space="preserve">14 </w:t>
      </w:r>
      <w:r>
        <w:t xml:space="preserve">But I hope to see you shortly, and we shall speak mouth to mouth. Peace</w:t>
      </w:r>
      <w:r>
        <w:rPr>
          <w:rStyle w:val="FootnoteReference"/>
        </w:rPr>
        <w:footnoteReference w:id="19330"/>
      </w:r>
      <w:r>
        <w:t xml:space="preserve"> to you. The friends greet you. Greet the friends by name.</w:t>
      </w:r>
    </w:p>
    <w:p>
      <w:r>
        <w:br w:type="page"/>
      </w:r>
    </w:p>
    <w:p>
      <w:pPr>
        <w:pStyle w:val="Heading1"/>
      </w:pPr>
      <w:r>
        <w:t xml:space="preserve">Jude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Jude</w:t>
      </w:r>
      <w:r>
        <w:rPr>
          <w:rStyle w:val="FootnoteReference"/>
        </w:rPr>
        <w:footnoteReference w:id="19331"/>
      </w:r>
      <w:r>
        <w:t xml:space="preserve">, the slave of Jesus Christ, and brother of James, to those who are sanctified by God the Father, and preserved in Jesus Christ, and called:</w:t>
      </w:r>
      <w:r>
        <w:rPr>
          <w:rStyle w:val="FootnoteReference"/>
        </w:rPr>
        <w:footnoteReference w:id="19332"/>
      </w:r>
    </w:p>
    <w:p>
      <w:r>
        <w:rPr>
          <w:b/>
        </w:rPr>
        <w:t xml:space="preserve">2 </w:t>
      </w:r>
      <w:r>
        <w:t xml:space="preserve">Mercy to you, and peace, and love, be multiplied.</w:t>
      </w:r>
    </w:p>
    <w:p>
      <w:r>
        <w:rPr>
          <w:b/>
        </w:rPr>
        <w:t xml:space="preserve">3 </w:t>
      </w:r>
      <w:r>
        <w:t xml:space="preserve">Beloved, when I gave all diligence to write to you of the common</w:t>
      </w:r>
      <w:r>
        <w:rPr>
          <w:rStyle w:val="FootnoteReference"/>
        </w:rPr>
        <w:footnoteReference w:id="19333"/>
      </w:r>
      <w:r>
        <w:t xml:space="preserve"> salvation, it was necessary for me to write to you, and exhort you that you should earnestly contend for the faith which was once delivered to the holy ones.</w:t>
      </w:r>
    </w:p>
    <w:p>
      <w:r>
        <w:rPr>
          <w:b/>
        </w:rPr>
        <w:t xml:space="preserve">4 </w:t>
      </w:r>
      <w:r>
        <w:t xml:space="preserve">For there are certain men crept</w:t>
      </w:r>
      <w:r>
        <w:rPr>
          <w:rStyle w:val="FootnoteReference"/>
        </w:rPr>
        <w:footnoteReference w:id="19334"/>
      </w:r>
      <w:r>
        <w:t xml:space="preserve"> in unexpectedly, who were before of old ordained to this condemnation, ungodly men, turning the grace of our God into lasciviousness, and denying the only Lord God, and our Lord Jesus Christ.</w:t>
      </w:r>
    </w:p>
    <w:p>
      <w:r>
        <w:rPr>
          <w:b/>
        </w:rPr>
        <w:t xml:space="preserve">5 </w:t>
      </w:r>
      <w:r>
        <w:t xml:space="preserve">I will therefore put you in remembrance, though you once knew this, how that the Lord, having saved the people out of the land of Egypt, afterward</w:t>
      </w:r>
      <w:r>
        <w:rPr>
          <w:rStyle w:val="FootnoteReference"/>
        </w:rPr>
        <w:footnoteReference w:id="19335"/>
      </w:r>
      <w:r>
        <w:t xml:space="preserve"> destroyed those who did not believe.</w:t>
      </w:r>
    </w:p>
    <w:p>
      <w:r>
        <w:rPr>
          <w:b/>
        </w:rPr>
        <w:t xml:space="preserve">6 </w:t>
      </w:r>
      <w:r>
        <w:t xml:space="preserve">And the angels</w:t>
      </w:r>
      <w:r>
        <w:rPr>
          <w:rStyle w:val="FootnoteReference"/>
        </w:rPr>
        <w:footnoteReference w:id="19336"/>
      </w:r>
      <w:r>
        <w:t xml:space="preserve"> who kept not their first estate, but left their own habitation, he has reserved in everlasting chains under darkness to the judgment of the great day.</w:t>
      </w:r>
    </w:p>
    <w:p>
      <w:r>
        <w:rPr>
          <w:b/>
        </w:rPr>
        <w:t xml:space="preserve">7 </w:t>
      </w:r>
      <w:r>
        <w:t xml:space="preserve">Even as Sodom and Gomorrah, and the cities about them likewise, giving themselves over to sexual immorality, and going after strange</w:t>
      </w:r>
      <w:r>
        <w:rPr>
          <w:rStyle w:val="FootnoteReference"/>
        </w:rPr>
        <w:footnoteReference w:id="19337"/>
      </w:r>
      <w:r>
        <w:t xml:space="preserve"> flesh, are set forth for an example, suffering the vengeance of eternal fire.</w:t>
      </w:r>
    </w:p>
    <w:p>
      <w:r>
        <w:rPr>
          <w:b/>
        </w:rPr>
        <w:t xml:space="preserve">8 </w:t>
      </w:r>
      <w:r>
        <w:t xml:space="preserve">Likewise nevertheless these also, dreaming, defile</w:t>
      </w:r>
      <w:r>
        <w:rPr>
          <w:rStyle w:val="FootnoteReference"/>
        </w:rPr>
        <w:footnoteReference w:id="19338"/>
      </w:r>
      <w:r>
        <w:t xml:space="preserve"> the flesh, reject lordship, and blaspheme glories.</w:t>
      </w:r>
    </w:p>
    <w:p>
      <w:r>
        <w:rPr>
          <w:b/>
        </w:rPr>
        <w:t xml:space="preserve">9 </w:t>
      </w:r>
      <w:r>
        <w:t xml:space="preserve">Yet Michael</w:t>
      </w:r>
      <w:r>
        <w:rPr>
          <w:rStyle w:val="FootnoteReference"/>
        </w:rPr>
        <w:footnoteReference w:id="19339"/>
      </w:r>
      <w:r>
        <w:t xml:space="preserve"> the archangel, when contending with the devil he disputed about the body of Moses, dared not bring against him a railing accusation, but said, The Lord rebuke you.</w:t>
      </w:r>
      <w:r>
        <w:rPr>
          <w:rStyle w:val="FootnoteReference"/>
        </w:rPr>
        <w:footnoteReference w:id="19340"/>
      </w:r>
    </w:p>
    <w:p>
      <w:r>
        <w:rPr>
          <w:b/>
        </w:rPr>
        <w:t xml:space="preserve">10 </w:t>
      </w:r>
      <w:r>
        <w:t xml:space="preserve">But these speak</w:t>
      </w:r>
      <w:r>
        <w:rPr>
          <w:rStyle w:val="FootnoteReference"/>
        </w:rPr>
        <w:footnoteReference w:id="19341"/>
      </w:r>
      <w:r>
        <w:t xml:space="preserve"> evil of as many things as they do not know: but what things they understand naturally, as irrational living creatures, in these things they corrupt themselves.</w:t>
      </w:r>
    </w:p>
    <w:p>
      <w:r>
        <w:rPr>
          <w:b/>
        </w:rPr>
        <w:t xml:space="preserve">11 </w:t>
      </w:r>
      <w:r>
        <w:t xml:space="preserve">Woe to them! for they have gone in the way of Cain, and ran greedily after the error of Balaam for reward, and perished</w:t>
      </w:r>
      <w:r>
        <w:rPr>
          <w:rStyle w:val="FootnoteReference"/>
        </w:rPr>
        <w:footnoteReference w:id="19342"/>
      </w:r>
      <w:r>
        <w:t xml:space="preserve"> in the rebellion of Korah</w:t>
      </w:r>
      <w:r>
        <w:rPr>
          <w:rStyle w:val="FootnoteReference"/>
        </w:rPr>
        <w:footnoteReference w:id="19343"/>
      </w:r>
      <w:r>
        <w:t xml:space="preserve">.</w:t>
      </w:r>
    </w:p>
    <w:p>
      <w:r>
        <w:rPr>
          <w:b/>
        </w:rPr>
        <w:t xml:space="preserve">12 </w:t>
      </w:r>
      <w:r>
        <w:t xml:space="preserve">These are spots</w:t>
      </w:r>
      <w:r>
        <w:rPr>
          <w:rStyle w:val="FootnoteReference"/>
        </w:rPr>
        <w:footnoteReference w:id="19344"/>
      </w:r>
      <w:r>
        <w:t xml:space="preserve"> in your feasts of love, when they feast with you, feeding themselves without fear: clouds they are without water, carried about of winds; trees whose fruit withers, without fruit, twice dead, plucked up by the roots;</w:t>
      </w:r>
    </w:p>
    <w:p>
      <w:r>
        <w:rPr>
          <w:b/>
        </w:rPr>
        <w:t xml:space="preserve">13 </w:t>
      </w:r>
      <w:r>
        <w:t xml:space="preserve">Raging</w:t>
      </w:r>
      <w:r>
        <w:rPr>
          <w:rStyle w:val="FootnoteReference"/>
        </w:rPr>
        <w:footnoteReference w:id="19345"/>
      </w:r>
      <w:r>
        <w:t xml:space="preserve"> waves of the sea, foaming out their own shame; wandering stars, to whom is reserved the blackness of darkness forever.</w:t>
      </w:r>
    </w:p>
    <w:p>
      <w:r>
        <w:rPr>
          <w:b/>
        </w:rPr>
        <w:t xml:space="preserve">14 </w:t>
      </w:r>
      <w:r>
        <w:t xml:space="preserve">And Enoch</w:t>
      </w:r>
      <w:r>
        <w:rPr>
          <w:rStyle w:val="FootnoteReference"/>
        </w:rPr>
        <w:footnoteReference w:id="19346"/>
      </w:r>
      <w:r>
        <w:t xml:space="preserve"> also, the seventh from Adam, prophesied of these, saying, Look, the Lord comes with ten thousands of his holy ones,</w:t>
      </w:r>
    </w:p>
    <w:p>
      <w:r>
        <w:rPr>
          <w:b/>
        </w:rPr>
        <w:t xml:space="preserve">15 </w:t>
      </w:r>
      <w:r>
        <w:t xml:space="preserve">to execute</w:t>
      </w:r>
      <w:r>
        <w:rPr>
          <w:rStyle w:val="FootnoteReference"/>
        </w:rPr>
        <w:footnoteReference w:id="19347"/>
      </w:r>
      <w:r>
        <w:t xml:space="preserve"> judgment against all, and to convict all the ungodly among them concerning all their works of ungodliness which they have ungodly committed, and concerning all the harsh things which ungodly sinners have spoken against him.</w:t>
      </w:r>
    </w:p>
    <w:p>
      <w:r>
        <w:rPr>
          <w:b/>
        </w:rPr>
        <w:t xml:space="preserve">16 </w:t>
      </w:r>
      <w:r>
        <w:t xml:space="preserve">These are murmurers</w:t>
      </w:r>
      <w:r>
        <w:rPr>
          <w:rStyle w:val="FootnoteReference"/>
        </w:rPr>
        <w:footnoteReference w:id="19348"/>
      </w:r>
      <w:r>
        <w:t xml:space="preserve">, complainers, walking according to their own desires; and their mouth speaks swelling things, admiring persons for advantage.</w:t>
      </w:r>
    </w:p>
    <w:p>
      <w:r>
        <w:rPr>
          <w:b/>
        </w:rPr>
        <w:t xml:space="preserve">17 </w:t>
      </w:r>
      <w:r>
        <w:t xml:space="preserve">But, beloved, remember</w:t>
      </w:r>
      <w:r>
        <w:rPr>
          <w:rStyle w:val="FootnoteReference"/>
        </w:rPr>
        <w:footnoteReference w:id="19349"/>
      </w:r>
      <w:r>
        <w:t xml:space="preserve"> you the words which were spoken before of the apostles of our Lord Jesus Christ;</w:t>
      </w:r>
    </w:p>
    <w:p>
      <w:r>
        <w:rPr>
          <w:b/>
        </w:rPr>
        <w:t xml:space="preserve">18 </w:t>
      </w:r>
      <w:r>
        <w:t xml:space="preserve">that they told you, In the last time there shall be mockers, walking according to their own ungodly desires.</w:t>
      </w:r>
    </w:p>
    <w:p>
      <w:r>
        <w:rPr>
          <w:b/>
        </w:rPr>
        <w:t xml:space="preserve">19 </w:t>
      </w:r>
      <w:r>
        <w:t xml:space="preserve">These be they who separate themselves, sensual</w:t>
      </w:r>
      <w:r>
        <w:rPr>
          <w:rStyle w:val="FootnoteReference"/>
        </w:rPr>
        <w:footnoteReference w:id="19350"/>
      </w:r>
      <w:r>
        <w:t xml:space="preserve">, having not the Spirit.</w:t>
      </w:r>
    </w:p>
    <w:p>
      <w:r>
        <w:rPr>
          <w:b/>
        </w:rPr>
        <w:t xml:space="preserve">20 </w:t>
      </w:r>
      <w:r>
        <w:t xml:space="preserve">But you, beloved, building</w:t>
      </w:r>
      <w:r>
        <w:rPr>
          <w:rStyle w:val="FootnoteReference"/>
        </w:rPr>
        <w:footnoteReference w:id="19351"/>
      </w:r>
      <w:r>
        <w:t xml:space="preserve"> up yourselves on your most holy faith, praying in the Holy Spirit,</w:t>
      </w:r>
    </w:p>
    <w:p>
      <w:r>
        <w:rPr>
          <w:b/>
        </w:rPr>
        <w:t xml:space="preserve">21 </w:t>
      </w:r>
      <w:r>
        <w:t xml:space="preserve">Keep</w:t>
      </w:r>
      <w:r>
        <w:rPr>
          <w:rStyle w:val="FootnoteReference"/>
        </w:rPr>
        <w:footnoteReference w:id="19352"/>
      </w:r>
      <w:r>
        <w:t xml:space="preserve"> yourselves in the love of God, looking for the mercy of our Lord Jesus Christ to eternal life.</w:t>
      </w:r>
    </w:p>
    <w:p>
      <w:r>
        <w:rPr>
          <w:b/>
        </w:rPr>
        <w:t xml:space="preserve">22 </w:t>
      </w:r>
      <w:r>
        <w:t xml:space="preserve">And on some have mercy, making a distinction:</w:t>
      </w:r>
    </w:p>
    <w:p>
      <w:r>
        <w:rPr>
          <w:b/>
        </w:rPr>
        <w:t xml:space="preserve">23 </w:t>
      </w:r>
      <w:r>
        <w:t xml:space="preserve">And others save</w:t>
      </w:r>
      <w:r>
        <w:rPr>
          <w:rStyle w:val="FootnoteReference"/>
        </w:rPr>
        <w:footnoteReference w:id="19353"/>
      </w:r>
      <w:r>
        <w:t xml:space="preserve"> with fear, pulling them out of the fire; hating even the clothing spotted by the flesh.</w:t>
      </w:r>
    </w:p>
    <w:p>
      <w:r>
        <w:rPr>
          <w:b/>
        </w:rPr>
        <w:t xml:space="preserve">24 </w:t>
      </w:r>
      <w:r>
        <w:t xml:space="preserve">Now to him who is able</w:t>
      </w:r>
      <w:r>
        <w:rPr>
          <w:rStyle w:val="FootnoteReference"/>
        </w:rPr>
        <w:footnoteReference w:id="19354"/>
      </w:r>
      <w:r>
        <w:t xml:space="preserve"> to keep you from falling, and to present you faultless before the presence of his glory with exceeding joy,</w:t>
      </w:r>
    </w:p>
    <w:p>
      <w:r>
        <w:rPr>
          <w:b/>
        </w:rPr>
        <w:t xml:space="preserve">25 </w:t>
      </w:r>
      <w:r>
        <w:t xml:space="preserve">To the only</w:t>
      </w:r>
      <w:r>
        <w:rPr>
          <w:rStyle w:val="FootnoteReference"/>
        </w:rPr>
        <w:footnoteReference w:id="19355"/>
      </w:r>
      <w:r>
        <w:t xml:space="preserve"> wise God our Savior, be glory and majesty, dominion and power, both now and ever. Amen.</w:t>
      </w:r>
    </w:p>
    <w:p>
      <w:r>
        <w:br w:type="page"/>
      </w:r>
    </w:p>
    <w:p>
      <w:pPr>
        <w:pStyle w:val="Heading1"/>
      </w:pPr>
      <w:r>
        <w:t xml:space="preserve">Revelation</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w:t>
      </w:r>
    </w:p>
    <w:p>
      <w:r>
        <w:rPr>
          <w:b/>
        </w:rPr>
        <w:t xml:space="preserve">1 </w:t>
      </w:r>
      <w:r>
        <w:t xml:space="preserve">Revelation</w:t>
      </w:r>
      <w:r>
        <w:rPr>
          <w:rStyle w:val="FootnoteReference"/>
        </w:rPr>
        <w:footnoteReference w:id="19356"/>
      </w:r>
      <w:r>
        <w:t xml:space="preserve"> of Jesus Christ, which God gave him to show his slaves what must happen quickly</w:t>
      </w:r>
      <w:r>
        <w:rPr>
          <w:rStyle w:val="FootnoteReference"/>
        </w:rPr>
        <w:footnoteReference w:id="19357"/>
      </w:r>
      <w:r>
        <w:t xml:space="preserve">; and he signified it, sending through his angel to his slave John,</w:t>
      </w:r>
    </w:p>
    <w:p>
      <w:r>
        <w:rPr>
          <w:b/>
        </w:rPr>
        <w:t xml:space="preserve">2 </w:t>
      </w:r>
      <w:r>
        <w:t xml:space="preserve">Who bore record of the word of God, and of the testimony of Jesus Christ, and of all</w:t>
      </w:r>
      <w:r>
        <w:rPr>
          <w:rStyle w:val="FootnoteReference"/>
        </w:rPr>
        <w:footnoteReference w:id="19358"/>
      </w:r>
      <w:r>
        <w:t xml:space="preserve"> things that he saw.</w:t>
      </w:r>
    </w:p>
    <w:p>
      <w:r>
        <w:rPr>
          <w:b/>
        </w:rPr>
        <w:t xml:space="preserve">3 </w:t>
      </w:r>
      <w:r>
        <w:t xml:space="preserve">Blessed</w:t>
      </w:r>
      <w:r>
        <w:rPr>
          <w:rStyle w:val="FootnoteReference"/>
        </w:rPr>
        <w:footnoteReference w:id="19359"/>
      </w:r>
      <w:r>
        <w:t xml:space="preserve"> is the one who reads, and those who hear the words of this prophecy, and keep those things which are written in it: for the time is at hand.</w:t>
      </w:r>
    </w:p>
    <w:p>
      <w:r>
        <w:rPr>
          <w:b/>
        </w:rPr>
        <w:t xml:space="preserve">4 </w:t>
      </w:r>
      <w:r>
        <w:t xml:space="preserve">John</w:t>
      </w:r>
      <w:r>
        <w:rPr>
          <w:rStyle w:val="FootnoteReference"/>
        </w:rPr>
        <w:footnoteReference w:id="19360"/>
      </w:r>
      <w:r>
        <w:t xml:space="preserve"> to the seven assemblies which are in Asia: Grace be to you, and peace, from him who is, and which was, and which is to come; and from the seven Spirits which are before his throne;</w:t>
      </w:r>
    </w:p>
    <w:p>
      <w:r>
        <w:rPr>
          <w:b/>
        </w:rPr>
        <w:t xml:space="preserve">5 </w:t>
      </w:r>
      <w:r>
        <w:t xml:space="preserve">And from Jesus Christ, who is</w:t>
      </w:r>
      <w:r>
        <w:rPr>
          <w:rStyle w:val="FootnoteReference"/>
        </w:rPr>
        <w:footnoteReference w:id="19361"/>
      </w:r>
      <w:r>
        <w:t xml:space="preserve"> the faithful witness, and the First-Born of the dead, and the prince of the kings of the earth. To him who loved us, and washed us from our sins in his own blood,</w:t>
      </w:r>
    </w:p>
    <w:p>
      <w:r>
        <w:rPr>
          <w:b/>
        </w:rPr>
        <w:t xml:space="preserve">6 </w:t>
      </w:r>
      <w:r>
        <w:t xml:space="preserve">And has made</w:t>
      </w:r>
      <w:r>
        <w:rPr>
          <w:rStyle w:val="FootnoteReference"/>
        </w:rPr>
        <w:footnoteReference w:id="19362"/>
      </w:r>
      <w:r>
        <w:t xml:space="preserve"> us kings and priests to God and his Father; to him be glory and dominion forever and ever. Amen.</w:t>
      </w:r>
    </w:p>
    <w:p>
      <w:r>
        <w:rPr>
          <w:b/>
        </w:rPr>
        <w:t xml:space="preserve">7 </w:t>
      </w:r>
      <w:r>
        <w:t xml:space="preserve">Look, he comes with clouds; and every</w:t>
      </w:r>
      <w:r>
        <w:rPr>
          <w:rStyle w:val="FootnoteReference"/>
        </w:rPr>
        <w:footnoteReference w:id="19363"/>
      </w:r>
      <w:r>
        <w:t xml:space="preserve"> eye shall see him, and they also which pierced him: and all families of the earth shall wail because of him. Even so, Amen.</w:t>
      </w:r>
    </w:p>
    <w:p>
      <w:r>
        <w:rPr>
          <w:b/>
        </w:rPr>
        <w:t xml:space="preserve">8 </w:t>
      </w:r>
      <w:r>
        <w:t xml:space="preserve">I am Alpha</w:t>
      </w:r>
      <w:r>
        <w:rPr>
          <w:rStyle w:val="FootnoteReference"/>
        </w:rPr>
        <w:footnoteReference w:id="19364"/>
      </w:r>
      <w:r>
        <w:t xml:space="preserve"> and Omega</w:t>
      </w:r>
      <w:r>
        <w:rPr>
          <w:rStyle w:val="FootnoteReference"/>
        </w:rPr>
        <w:footnoteReference w:id="19365"/>
      </w:r>
      <w:r>
        <w:t xml:space="preserve">, the beginning and the ending, says the Lord, who is, and which was, and which is to come, the Almighty.</w:t>
      </w:r>
      <w:r>
        <w:rPr>
          <w:rStyle w:val="FootnoteReference"/>
        </w:rPr>
        <w:footnoteReference w:id="19366"/>
      </w:r>
    </w:p>
    <w:p>
      <w:r>
        <w:rPr>
          <w:b/>
        </w:rPr>
        <w:t xml:space="preserve">9 </w:t>
      </w:r>
      <w:r>
        <w:t xml:space="preserve">I John</w:t>
      </w:r>
      <w:r>
        <w:rPr>
          <w:rStyle w:val="FootnoteReference"/>
        </w:rPr>
        <w:footnoteReference w:id="19367"/>
      </w:r>
      <w:r>
        <w:t xml:space="preserve">, who also am your brother, and companion in tribulation, and in the kingdom and patience of Jesus Christ, was in the isle that is called Patmos</w:t>
      </w:r>
      <w:r>
        <w:rPr>
          <w:rStyle w:val="FootnoteReference"/>
        </w:rPr>
        <w:footnoteReference w:id="19368"/>
      </w:r>
      <w:r>
        <w:t xml:space="preserve">, for the word of God, and for the testimony of Jesus Christ.</w:t>
      </w:r>
    </w:p>
    <w:p>
      <w:r>
        <w:rPr>
          <w:b/>
        </w:rPr>
        <w:t xml:space="preserve">10 </w:t>
      </w:r>
      <w:r>
        <w:t xml:space="preserve">I was in the Spirit on the</w:t>
      </w:r>
      <w:r>
        <w:rPr>
          <w:rStyle w:val="FootnoteReference"/>
        </w:rPr>
        <w:footnoteReference w:id="19369"/>
      </w:r>
      <w:r>
        <w:t xml:space="preserve"> Lord's day, and heard behind me a great voice, as of a trumpet,</w:t>
      </w:r>
    </w:p>
    <w:p>
      <w:r>
        <w:rPr>
          <w:b/>
        </w:rPr>
        <w:t xml:space="preserve">11 </w:t>
      </w:r>
      <w:r>
        <w:t xml:space="preserve">Saying, I am Alpha and Omega, the first and the last: and, What you see, write in a book, and send it to the seven</w:t>
      </w:r>
      <w:r>
        <w:rPr>
          <w:rStyle w:val="FootnoteReference"/>
        </w:rPr>
        <w:footnoteReference w:id="19370"/>
      </w:r>
      <w:r>
        <w:t xml:space="preserve"> assemblies which are in Asia; to Ephesus, and to Smyrna</w:t>
      </w:r>
      <w:r>
        <w:rPr>
          <w:rStyle w:val="FootnoteReference"/>
        </w:rPr>
        <w:footnoteReference w:id="19371"/>
      </w:r>
      <w:r>
        <w:t xml:space="preserve">, and to Pergamos</w:t>
      </w:r>
      <w:r>
        <w:rPr>
          <w:rStyle w:val="FootnoteReference"/>
        </w:rPr>
        <w:footnoteReference w:id="19372"/>
      </w:r>
      <w:r>
        <w:t xml:space="preserve">, and to Thyatira, and to Sardis</w:t>
      </w:r>
      <w:r>
        <w:rPr>
          <w:rStyle w:val="FootnoteReference"/>
        </w:rPr>
        <w:footnoteReference w:id="19373"/>
      </w:r>
      <w:r>
        <w:t xml:space="preserve">, and to Philadelphia</w:t>
      </w:r>
      <w:r>
        <w:rPr>
          <w:rStyle w:val="FootnoteReference"/>
        </w:rPr>
        <w:footnoteReference w:id="19374"/>
      </w:r>
      <w:r>
        <w:t xml:space="preserve">, and to Laodicea.</w:t>
      </w:r>
    </w:p>
    <w:p>
      <w:r>
        <w:rPr>
          <w:b/>
        </w:rPr>
        <w:t xml:space="preserve">12 </w:t>
      </w:r>
      <w:r>
        <w:t xml:space="preserve">And I turned to see the voice which spoke with me. And having turned, I saw</w:t>
      </w:r>
      <w:r>
        <w:rPr>
          <w:rStyle w:val="FootnoteReference"/>
        </w:rPr>
        <w:footnoteReference w:id="19375"/>
      </w:r>
      <w:r>
        <w:t xml:space="preserve"> seven golden lampstands;</w:t>
      </w:r>
    </w:p>
    <w:p>
      <w:r>
        <w:rPr>
          <w:b/>
        </w:rPr>
        <w:t xml:space="preserve">13 </w:t>
      </w:r>
      <w:r>
        <w:t xml:space="preserve">And in the midst of the seven candlesticks one like to the Son of man, clothed</w:t>
      </w:r>
      <w:r>
        <w:rPr>
          <w:rStyle w:val="FootnoteReference"/>
        </w:rPr>
        <w:footnoteReference w:id="19376"/>
      </w:r>
      <w:r>
        <w:t xml:space="preserve"> with a garment reaching to the feet, and girt about the breast with a golden girdle.</w:t>
      </w:r>
    </w:p>
    <w:p>
      <w:r>
        <w:rPr>
          <w:b/>
        </w:rPr>
        <w:t xml:space="preserve">14 </w:t>
      </w:r>
      <w:r>
        <w:t xml:space="preserve">His head and his hairs</w:t>
      </w:r>
      <w:r>
        <w:rPr>
          <w:rStyle w:val="FootnoteReference"/>
        </w:rPr>
        <w:footnoteReference w:id="19377"/>
      </w:r>
      <w:r>
        <w:t xml:space="preserve"> were white like wool, as white as snow; and his eyes were as a flame of fire;</w:t>
      </w:r>
    </w:p>
    <w:p>
      <w:r>
        <w:rPr>
          <w:b/>
        </w:rPr>
        <w:t xml:space="preserve">15 </w:t>
      </w:r>
      <w:r>
        <w:t xml:space="preserve">And his feet</w:t>
      </w:r>
      <w:r>
        <w:rPr>
          <w:rStyle w:val="FootnoteReference"/>
        </w:rPr>
        <w:footnoteReference w:id="19378"/>
      </w:r>
      <w:r>
        <w:t xml:space="preserve"> like to fine brass, as if they burned in a furnace; and his voice as the sound of many waters.</w:t>
      </w:r>
    </w:p>
    <w:p>
      <w:r>
        <w:rPr>
          <w:b/>
        </w:rPr>
        <w:t xml:space="preserve">16 </w:t>
      </w:r>
      <w:r>
        <w:t xml:space="preserve">And having in his right hand seven stars: and out of his mouth a sharp two-edged sword proceeding: and his appearance was as the sun shines in its strength.</w:t>
      </w:r>
    </w:p>
    <w:p>
      <w:r>
        <w:rPr>
          <w:b/>
        </w:rPr>
        <w:t xml:space="preserve">17 </w:t>
      </w:r>
      <w:r>
        <w:t xml:space="preserve">And when I saw him, I fell</w:t>
      </w:r>
      <w:r>
        <w:rPr>
          <w:rStyle w:val="FootnoteReference"/>
        </w:rPr>
        <w:footnoteReference w:id="19379"/>
      </w:r>
      <w:r>
        <w:t xml:space="preserve"> at his feet as dead. And he laid his right hand upon me, saying to me, do not fear; I am the first and the last:</w:t>
      </w:r>
    </w:p>
    <w:p>
      <w:r>
        <w:rPr>
          <w:b/>
        </w:rPr>
        <w:t xml:space="preserve">18 </w:t>
      </w:r>
      <w:r>
        <w:t xml:space="preserve">I am the one who lives, and was dead; and, look, I am alive</w:t>
      </w:r>
      <w:r>
        <w:rPr>
          <w:rStyle w:val="FootnoteReference"/>
        </w:rPr>
        <w:footnoteReference w:id="19380"/>
      </w:r>
      <w:r>
        <w:t xml:space="preserve"> forevermore, Amen; and have the keys of Hades and of death.</w:t>
      </w:r>
    </w:p>
    <w:p>
      <w:r>
        <w:rPr>
          <w:b/>
        </w:rPr>
        <w:t xml:space="preserve">19 </w:t>
      </w:r>
      <w:r>
        <w:t xml:space="preserve">Write the things</w:t>
      </w:r>
      <w:r>
        <w:rPr>
          <w:rStyle w:val="FootnoteReference"/>
        </w:rPr>
        <w:footnoteReference w:id="19381"/>
      </w:r>
      <w:r>
        <w:t xml:space="preserve"> which you saw, and the things which are, and the things which are about to happen after these things;</w:t>
      </w:r>
    </w:p>
    <w:p>
      <w:r>
        <w:rPr>
          <w:b/>
        </w:rPr>
        <w:t xml:space="preserve">20 </w:t>
      </w:r>
      <w:r>
        <w:t xml:space="preserve">The mystery</w:t>
      </w:r>
      <w:r>
        <w:rPr>
          <w:rStyle w:val="FootnoteReference"/>
        </w:rPr>
        <w:footnoteReference w:id="19382"/>
      </w:r>
      <w:r>
        <w:t xml:space="preserve"> of the seven stars which you saw in my right hand, and the seven golden candlesticks. The seven stars are the angels of the seven assemblies: and the seven candlesticks which you saw are the seven assemblies.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w:t>
      </w:r>
    </w:p>
    <w:p>
      <w:r>
        <w:rPr>
          <w:b/>
        </w:rPr>
        <w:t xml:space="preserve">1 </w:t>
      </w:r>
      <w:r>
        <w:t xml:space="preserve">To the angel</w:t>
      </w:r>
      <w:r>
        <w:rPr>
          <w:rStyle w:val="FootnoteReference"/>
        </w:rPr>
        <w:footnoteReference w:id="19383"/>
      </w:r>
      <w:r>
        <w:t xml:space="preserve"> of the assembly of Ephesus write; These things says the one who holds the seven stars in his right hand, who walks in the midst of the seven golden candlesticks;</w:t>
      </w:r>
    </w:p>
    <w:p>
      <w:r>
        <w:rPr>
          <w:b/>
        </w:rPr>
        <w:t xml:space="preserve">2 </w:t>
      </w:r>
      <w:r>
        <w:t xml:space="preserve">I know</w:t>
      </w:r>
      <w:r>
        <w:rPr>
          <w:rStyle w:val="FootnoteReference"/>
        </w:rPr>
        <w:footnoteReference w:id="19384"/>
      </w:r>
      <w:r>
        <w:t xml:space="preserve"> your works, and your labor, and your patience, and how you cannot bear those who are evil: and you have tried those who say they are apostles, and are not, and have found them liars:</w:t>
      </w:r>
    </w:p>
    <w:p>
      <w:r>
        <w:rPr>
          <w:b/>
        </w:rPr>
        <w:t xml:space="preserve">3 </w:t>
      </w:r>
      <w:r>
        <w:t xml:space="preserve">And have borne, and have patience, and for my name's sake have labored, and have not fainted.</w:t>
      </w:r>
    </w:p>
    <w:p>
      <w:r>
        <w:rPr>
          <w:b/>
        </w:rPr>
        <w:t xml:space="preserve">4 </w:t>
      </w:r>
      <w:r>
        <w:t xml:space="preserve">Nevertheless I have somewhat against you, because you have left your first love.</w:t>
      </w:r>
    </w:p>
    <w:p>
      <w:r>
        <w:rPr>
          <w:b/>
        </w:rPr>
        <w:t xml:space="preserve">5 </w:t>
      </w:r>
      <w:r>
        <w:t xml:space="preserve">Remember</w:t>
      </w:r>
      <w:r>
        <w:rPr>
          <w:rStyle w:val="FootnoteReference"/>
        </w:rPr>
        <w:footnoteReference w:id="19385"/>
      </w:r>
      <w:r>
        <w:t xml:space="preserve"> therefore from where you are fallen, and repent, and do the first works; or else I will come to you quickly, and will remove your candlestick out of his place, except you repent.</w:t>
      </w:r>
    </w:p>
    <w:p>
      <w:r>
        <w:rPr>
          <w:b/>
        </w:rPr>
        <w:t xml:space="preserve">6 </w:t>
      </w:r>
      <w:r>
        <w:t xml:space="preserve">But this you have, that you hate the works of the Nicolaitanes</w:t>
      </w:r>
      <w:r>
        <w:rPr>
          <w:rStyle w:val="FootnoteReference"/>
        </w:rPr>
        <w:footnoteReference w:id="19386"/>
      </w:r>
      <w:r>
        <w:t xml:space="preserve">, which I also hate.</w:t>
      </w:r>
    </w:p>
    <w:p>
      <w:r>
        <w:rPr>
          <w:b/>
        </w:rPr>
        <w:t xml:space="preserve">7 </w:t>
      </w:r>
      <w:r>
        <w:t xml:space="preserve">the one who has an ear, let him</w:t>
      </w:r>
      <w:r>
        <w:rPr>
          <w:rStyle w:val="FootnoteReference"/>
        </w:rPr>
        <w:footnoteReference w:id="19387"/>
      </w:r>
      <w:r>
        <w:t xml:space="preserve"> hear what the Spirit says to the assemblies; To him who overcomes will I give to eat of the tree of life, which is in the midst of the paradise of God.</w:t>
      </w:r>
    </w:p>
    <w:p>
      <w:r>
        <w:rPr>
          <w:b/>
        </w:rPr>
        <w:t xml:space="preserve">8 </w:t>
      </w:r>
      <w:r>
        <w:t xml:space="preserve">And to the angel</w:t>
      </w:r>
      <w:r>
        <w:rPr>
          <w:rStyle w:val="FootnoteReference"/>
        </w:rPr>
        <w:footnoteReference w:id="19388"/>
      </w:r>
      <w:r>
        <w:t xml:space="preserve"> of the assembly in Smyrna write; These things says the first and the last, which was dead, and is alive;</w:t>
      </w:r>
    </w:p>
    <w:p>
      <w:r>
        <w:rPr>
          <w:b/>
        </w:rPr>
        <w:t xml:space="preserve">9 </w:t>
      </w:r>
      <w:r>
        <w:t xml:space="preserve">I know</w:t>
      </w:r>
      <w:r>
        <w:rPr>
          <w:rStyle w:val="FootnoteReference"/>
        </w:rPr>
        <w:footnoteReference w:id="19389"/>
      </w:r>
      <w:r>
        <w:t xml:space="preserve"> your works, and tribulation, and poverty, (but you are rich) and I know the blasphemy of those who say they are Jews, and are not, but are the synagogue of Satan.</w:t>
      </w:r>
    </w:p>
    <w:p>
      <w:r>
        <w:rPr>
          <w:b/>
        </w:rPr>
        <w:t xml:space="preserve">10 </w:t>
      </w:r>
      <w:r>
        <w:t xml:space="preserve">Fear</w:t>
      </w:r>
      <w:r>
        <w:rPr>
          <w:rStyle w:val="FootnoteReference"/>
        </w:rPr>
        <w:footnoteReference w:id="19390"/>
      </w:r>
      <w:r>
        <w:t xml:space="preserve"> none of those things which you shall suffer: look, the devil shall cast some of you into prison, that you may be tried; and you shall have tribulation ten days: be faithful to death, and I will give you a crown of life.</w:t>
      </w:r>
    </w:p>
    <w:p>
      <w:r>
        <w:rPr>
          <w:b/>
        </w:rPr>
        <w:t xml:space="preserve">11 </w:t>
      </w:r>
      <w:r>
        <w:t xml:space="preserve">the one who has an ear, let him hear what the Spirit says to the assemblies; the one who overcomes shall not be hurt of the second</w:t>
      </w:r>
      <w:r>
        <w:rPr>
          <w:rStyle w:val="FootnoteReference"/>
        </w:rPr>
        <w:footnoteReference w:id="19391"/>
      </w:r>
      <w:r>
        <w:t xml:space="preserve"> death.</w:t>
      </w:r>
    </w:p>
    <w:p>
      <w:r>
        <w:rPr>
          <w:b/>
        </w:rPr>
        <w:t xml:space="preserve">12 </w:t>
      </w:r>
      <w:r>
        <w:t xml:space="preserve">And to the angel</w:t>
      </w:r>
      <w:r>
        <w:rPr>
          <w:rStyle w:val="FootnoteReference"/>
        </w:rPr>
        <w:footnoteReference w:id="19392"/>
      </w:r>
      <w:r>
        <w:t xml:space="preserve"> of the assembly in Pergamos write; These things says the one who has the sharp sword with two edges;</w:t>
      </w:r>
    </w:p>
    <w:p>
      <w:r>
        <w:rPr>
          <w:b/>
        </w:rPr>
        <w:t xml:space="preserve">13 </w:t>
      </w:r>
      <w:r>
        <w:t xml:space="preserve">I know</w:t>
      </w:r>
      <w:r>
        <w:rPr>
          <w:rStyle w:val="FootnoteReference"/>
        </w:rPr>
        <w:footnoteReference w:id="19393"/>
      </w:r>
      <w:r>
        <w:t xml:space="preserve"> your works, and where you dwell, even where Satan's seat is: and you hold fast my name, and have not denied my faith, even in those days in which Antipas</w:t>
      </w:r>
      <w:r>
        <w:rPr>
          <w:rStyle w:val="FootnoteReference"/>
        </w:rPr>
        <w:footnoteReference w:id="19394"/>
      </w:r>
      <w:r>
        <w:t xml:space="preserve"> was my faithful martyr, who was killed among you, where Satan dwells.</w:t>
      </w:r>
    </w:p>
    <w:p>
      <w:r>
        <w:rPr>
          <w:b/>
        </w:rPr>
        <w:t xml:space="preserve">14 </w:t>
      </w:r>
      <w:r>
        <w:t xml:space="preserve">But I have a few things against you, because you have there those who hold the doctrine of Balaam</w:t>
      </w:r>
      <w:r>
        <w:rPr>
          <w:rStyle w:val="FootnoteReference"/>
        </w:rPr>
        <w:footnoteReference w:id="19395"/>
      </w:r>
      <w:r>
        <w:t xml:space="preserve">, who taught Balac to cast a stumbling block before the children of Israel, to eat things sacrificed to idols, and to commit sexual immorality.</w:t>
      </w:r>
    </w:p>
    <w:p>
      <w:r>
        <w:rPr>
          <w:b/>
        </w:rPr>
        <w:t xml:space="preserve">15 </w:t>
      </w:r>
      <w:r>
        <w:t xml:space="preserve">So have you also those who hold the doctrine</w:t>
      </w:r>
      <w:r>
        <w:rPr>
          <w:rStyle w:val="FootnoteReference"/>
        </w:rPr>
        <w:footnoteReference w:id="19396"/>
      </w:r>
      <w:r>
        <w:t xml:space="preserve"> of the Nicolaitanes, which thing I hate.</w:t>
      </w:r>
    </w:p>
    <w:p>
      <w:r>
        <w:rPr>
          <w:b/>
        </w:rPr>
        <w:t xml:space="preserve">16 </w:t>
      </w:r>
      <w:r>
        <w:t xml:space="preserve">Repent</w:t>
      </w:r>
      <w:r>
        <w:rPr>
          <w:rStyle w:val="FootnoteReference"/>
        </w:rPr>
        <w:footnoteReference w:id="19397"/>
      </w:r>
      <w:r>
        <w:t xml:space="preserve">; or else I will come to you quickly, and will fight against them with the sword of my mouth.</w:t>
      </w:r>
    </w:p>
    <w:p>
      <w:r>
        <w:rPr>
          <w:b/>
        </w:rPr>
        <w:t xml:space="preserve">17 </w:t>
      </w:r>
      <w:r>
        <w:t xml:space="preserve">the one who has an ear, let him hear what the Spirit says to the assemblies; To him who overcomes will I give to eat</w:t>
      </w:r>
      <w:r>
        <w:rPr>
          <w:rStyle w:val="FootnoteReference"/>
        </w:rPr>
        <w:footnoteReference w:id="19398"/>
      </w:r>
      <w:r>
        <w:t xml:space="preserve"> of the hidden manna, and will give him a white stone, and in the stone a new name written, which no one knows saving the one who receives it.</w:t>
      </w:r>
    </w:p>
    <w:p>
      <w:r>
        <w:rPr>
          <w:b/>
        </w:rPr>
        <w:t xml:space="preserve">18 </w:t>
      </w:r>
      <w:r>
        <w:t xml:space="preserve">And to the angel of the assembly in Thyatira write; These things says the Son</w:t>
      </w:r>
      <w:r>
        <w:rPr>
          <w:rStyle w:val="FootnoteReference"/>
        </w:rPr>
        <w:footnoteReference w:id="19399"/>
      </w:r>
      <w:r>
        <w:t xml:space="preserve"> of God, who has his eyes like to a flame of fire, and his feet are like fine brass;</w:t>
      </w:r>
    </w:p>
    <w:p>
      <w:r>
        <w:rPr>
          <w:b/>
        </w:rPr>
        <w:t xml:space="preserve">19 </w:t>
      </w:r>
      <w:r>
        <w:t xml:space="preserve">I know</w:t>
      </w:r>
      <w:r>
        <w:rPr>
          <w:rStyle w:val="FootnoteReference"/>
        </w:rPr>
        <w:footnoteReference w:id="19400"/>
      </w:r>
      <w:r>
        <w:t xml:space="preserve"> your works, and love, and service, and faith, and your patience, and your works; and the last to be more than the first.</w:t>
      </w:r>
    </w:p>
    <w:p>
      <w:r>
        <w:rPr>
          <w:b/>
        </w:rPr>
        <w:t xml:space="preserve">20 </w:t>
      </w:r>
      <w:r>
        <w:t xml:space="preserve">Notwithstanding I have a few things against you, because you allow that woman</w:t>
      </w:r>
      <w:r>
        <w:rPr>
          <w:rStyle w:val="FootnoteReference"/>
        </w:rPr>
        <w:footnoteReference w:id="19401"/>
      </w:r>
      <w:r>
        <w:t xml:space="preserve"> Jezebel</w:t>
      </w:r>
      <w:r>
        <w:rPr>
          <w:rStyle w:val="FootnoteReference"/>
        </w:rPr>
        <w:footnoteReference w:id="19402"/>
      </w:r>
      <w:r>
        <w:t xml:space="preserve">, which calls herself a prophetess, to teach and to seduce my slaves to commit sexual immorality, and to eat things sacrificed to idols.</w:t>
      </w:r>
    </w:p>
    <w:p>
      <w:r>
        <w:rPr>
          <w:b/>
        </w:rPr>
        <w:t xml:space="preserve">21 </w:t>
      </w:r>
      <w:r>
        <w:t xml:space="preserve">And I gave her space</w:t>
      </w:r>
      <w:r>
        <w:rPr>
          <w:rStyle w:val="FootnoteReference"/>
        </w:rPr>
        <w:footnoteReference w:id="19403"/>
      </w:r>
      <w:r>
        <w:t xml:space="preserve"> to repent of her sexual immorality; and she did not repent.</w:t>
      </w:r>
    </w:p>
    <w:p>
      <w:r>
        <w:rPr>
          <w:b/>
        </w:rPr>
        <w:t xml:space="preserve">22 </w:t>
      </w:r>
      <w:r>
        <w:t xml:space="preserve">Look, I will cast her into a bed, and those who commit adultery with her into great tribulation, except</w:t>
      </w:r>
      <w:r>
        <w:rPr>
          <w:rStyle w:val="FootnoteReference"/>
        </w:rPr>
        <w:footnoteReference w:id="19404"/>
      </w:r>
      <w:r>
        <w:t xml:space="preserve"> they repent of their deeds.</w:t>
      </w:r>
    </w:p>
    <w:p>
      <w:r>
        <w:rPr>
          <w:b/>
        </w:rPr>
        <w:t xml:space="preserve">23 </w:t>
      </w:r>
      <w:r>
        <w:t xml:space="preserve">And I will kill her children with death</w:t>
      </w:r>
      <w:r>
        <w:rPr>
          <w:rStyle w:val="FootnoteReference"/>
        </w:rPr>
        <w:footnoteReference w:id="19405"/>
      </w:r>
      <w:r>
        <w:t xml:space="preserve">; and all the assemblies shall know that I am the one who searches the reins and hearts: and I will give to every one of you according to your works.</w:t>
      </w:r>
    </w:p>
    <w:p>
      <w:r>
        <w:rPr>
          <w:b/>
        </w:rPr>
        <w:t xml:space="preserve">24 </w:t>
      </w:r>
      <w:r>
        <w:t xml:space="preserve">But to you I say, and to the rest in Thyatira, as many as have not this doctrine, and which have not known the depths</w:t>
      </w:r>
      <w:r>
        <w:rPr>
          <w:rStyle w:val="FootnoteReference"/>
        </w:rPr>
        <w:footnoteReference w:id="19406"/>
      </w:r>
      <w:r>
        <w:t xml:space="preserve"> of Satan, as they speak; I will put upon you no other burden.</w:t>
      </w:r>
    </w:p>
    <w:p>
      <w:r>
        <w:rPr>
          <w:b/>
        </w:rPr>
        <w:t xml:space="preserve">25 </w:t>
      </w:r>
      <w:r>
        <w:t xml:space="preserve">But that which you have already hold fast till</w:t>
      </w:r>
      <w:r>
        <w:rPr>
          <w:rStyle w:val="FootnoteReference"/>
        </w:rPr>
        <w:footnoteReference w:id="19407"/>
      </w:r>
      <w:r>
        <w:t xml:space="preserve"> I come.</w:t>
      </w:r>
    </w:p>
    <w:p>
      <w:r>
        <w:rPr>
          <w:b/>
        </w:rPr>
        <w:t xml:space="preserve">26 </w:t>
      </w:r>
      <w:r>
        <w:t xml:space="preserve">And the one who overcomes, and keeps my works to the end, to him will I give</w:t>
      </w:r>
      <w:r>
        <w:rPr>
          <w:rStyle w:val="FootnoteReference"/>
        </w:rPr>
        <w:footnoteReference w:id="19408"/>
      </w:r>
      <w:r>
        <w:t xml:space="preserve"> power over the nations:</w:t>
      </w:r>
    </w:p>
    <w:p>
      <w:r>
        <w:rPr>
          <w:b/>
        </w:rPr>
        <w:t xml:space="preserve">27 </w:t>
      </w:r>
      <w:r>
        <w:t xml:space="preserve">And he shall</w:t>
      </w:r>
      <w:r>
        <w:rPr>
          <w:rStyle w:val="FootnoteReference"/>
        </w:rPr>
        <w:footnoteReference w:id="19409"/>
      </w:r>
      <w:r>
        <w:t xml:space="preserve"> shepherd them with a rod of iron; as the vessels of a potter are broken to pieces: as I also have received from my Father.</w:t>
      </w:r>
    </w:p>
    <w:p>
      <w:r>
        <w:rPr>
          <w:b/>
        </w:rPr>
        <w:t xml:space="preserve">28 </w:t>
      </w:r>
      <w:r>
        <w:t xml:space="preserve">And I will give him the morning star.</w:t>
      </w:r>
    </w:p>
    <w:p>
      <w:r>
        <w:rPr>
          <w:b/>
        </w:rPr>
        <w:t xml:space="preserve">29 </w:t>
      </w:r>
      <w:r>
        <w:t xml:space="preserve">the one who has an ear, let him hear what the Spirit says to the assemblies.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3</w:t>
      </w:r>
    </w:p>
    <w:p>
      <w:r>
        <w:rPr>
          <w:b/>
        </w:rPr>
        <w:t xml:space="preserve">1 </w:t>
      </w:r>
      <w:r>
        <w:t xml:space="preserve">And to the angel of the assembly in Sardis write; These things says the one who has the seven Spirits of God, and the seven stars; I know your works, that you have a name that you live, and are dead.</w:t>
      </w:r>
    </w:p>
    <w:p>
      <w:r>
        <w:rPr>
          <w:b/>
        </w:rPr>
        <w:t xml:space="preserve">2 </w:t>
      </w:r>
      <w:r>
        <w:t xml:space="preserve">Become watchful</w:t>
      </w:r>
      <w:r>
        <w:rPr>
          <w:rStyle w:val="FootnoteReference"/>
        </w:rPr>
        <w:footnoteReference w:id="19410"/>
      </w:r>
      <w:r>
        <w:t xml:space="preserve">, and strengthen the remaining things which are about to die: for I have not found your works fulfilled before God.</w:t>
      </w:r>
    </w:p>
    <w:p>
      <w:r>
        <w:rPr>
          <w:b/>
        </w:rPr>
        <w:t xml:space="preserve">3 </w:t>
      </w:r>
      <w:r>
        <w:t xml:space="preserve">Remember</w:t>
      </w:r>
      <w:r>
        <w:rPr>
          <w:rStyle w:val="FootnoteReference"/>
        </w:rPr>
        <w:footnoteReference w:id="19411"/>
      </w:r>
      <w:r>
        <w:t xml:space="preserve"> therefore how you have received and heard, and keep, and repent. If therefore you shall not watch, I will come upon you as a thief, and you shall by no means know what hour I will come upon you.</w:t>
      </w:r>
    </w:p>
    <w:p>
      <w:r>
        <w:rPr>
          <w:b/>
        </w:rPr>
        <w:t xml:space="preserve">4 </w:t>
      </w:r>
      <w:r>
        <w:t xml:space="preserve">You have a few names</w:t>
      </w:r>
      <w:r>
        <w:rPr>
          <w:rStyle w:val="FootnoteReference"/>
        </w:rPr>
        <w:footnoteReference w:id="19412"/>
      </w:r>
      <w:r>
        <w:t xml:space="preserve"> even in Sardis which have not defiled their clothes; and they shall walk with me in white: for they are worthy.</w:t>
      </w:r>
    </w:p>
    <w:p>
      <w:r>
        <w:rPr>
          <w:b/>
        </w:rPr>
        <w:t xml:space="preserve">5 </w:t>
      </w:r>
      <w:r>
        <w:t xml:space="preserve">the one who overcomes, the same shall be clothed in white clothing; and I will not blot</w:t>
      </w:r>
      <w:r>
        <w:rPr>
          <w:rStyle w:val="FootnoteReference"/>
        </w:rPr>
        <w:footnoteReference w:id="19413"/>
      </w:r>
      <w:r>
        <w:t xml:space="preserve"> out his name out of the book of life, but I will confess his name before my Father, and before his angels.</w:t>
      </w:r>
    </w:p>
    <w:p>
      <w:r>
        <w:rPr>
          <w:b/>
        </w:rPr>
        <w:t xml:space="preserve">6 </w:t>
      </w:r>
      <w:r>
        <w:t xml:space="preserve">the one who has an ear, let him hear what the Spirit says to the assemblies.</w:t>
      </w:r>
    </w:p>
    <w:p>
      <w:r>
        <w:rPr>
          <w:b/>
        </w:rPr>
        <w:t xml:space="preserve">7 </w:t>
      </w:r>
      <w:r>
        <w:t xml:space="preserve">And to the angel of the assembly in Philadelphia write; These things says the one who is holy, the one who is true, the one who has the key</w:t>
      </w:r>
      <w:r>
        <w:rPr>
          <w:rStyle w:val="FootnoteReference"/>
        </w:rPr>
        <w:footnoteReference w:id="19414"/>
      </w:r>
      <w:r>
        <w:t xml:space="preserve"> of David, the one who opens, and no one shuts; and shuts, and no one opens;</w:t>
      </w:r>
    </w:p>
    <w:p>
      <w:r>
        <w:rPr>
          <w:b/>
        </w:rPr>
        <w:t xml:space="preserve">8 </w:t>
      </w:r>
      <w:r>
        <w:t xml:space="preserve">I know your works: look, I have set before you an open</w:t>
      </w:r>
      <w:r>
        <w:rPr>
          <w:rStyle w:val="FootnoteReference"/>
        </w:rPr>
        <w:footnoteReference w:id="19415"/>
      </w:r>
      <w:r>
        <w:t xml:space="preserve"> door, and no one can shut it: for you have a little strength, and have kept my word, and have not denied my name.</w:t>
      </w:r>
    </w:p>
    <w:p>
      <w:r>
        <w:rPr>
          <w:b/>
        </w:rPr>
        <w:t xml:space="preserve">9 </w:t>
      </w:r>
      <w:r>
        <w:t xml:space="preserve">Look, I will make them of the synagogue</w:t>
      </w:r>
      <w:r>
        <w:rPr>
          <w:rStyle w:val="FootnoteReference"/>
        </w:rPr>
        <w:footnoteReference w:id="19416"/>
      </w:r>
      <w:r>
        <w:t xml:space="preserve"> of Satan, which say they are Jews, and are not, but do lie; look, I will make them to come and worship before your feet, and to know that I have loved you.</w:t>
      </w:r>
    </w:p>
    <w:p>
      <w:r>
        <w:rPr>
          <w:b/>
        </w:rPr>
        <w:t xml:space="preserve">10 </w:t>
      </w:r>
      <w:r>
        <w:t xml:space="preserve">Because you have kept the word</w:t>
      </w:r>
      <w:r>
        <w:rPr>
          <w:rStyle w:val="FootnoteReference"/>
        </w:rPr>
        <w:footnoteReference w:id="19417"/>
      </w:r>
      <w:r>
        <w:t xml:space="preserve"> of my patience, I also will keep you from the hour of temptation, which shall come upon all the world, to try those who dwell upon the earth.</w:t>
      </w:r>
    </w:p>
    <w:p>
      <w:r>
        <w:rPr>
          <w:b/>
        </w:rPr>
        <w:t xml:space="preserve">11 </w:t>
      </w:r>
      <w:r>
        <w:t xml:space="preserve">Look, I come</w:t>
      </w:r>
      <w:r>
        <w:rPr>
          <w:rStyle w:val="FootnoteReference"/>
        </w:rPr>
        <w:footnoteReference w:id="19418"/>
      </w:r>
      <w:r>
        <w:t xml:space="preserve"> quickly: hold that fast which you have, that no one take your crown.</w:t>
      </w:r>
    </w:p>
    <w:p>
      <w:r>
        <w:rPr>
          <w:b/>
        </w:rPr>
        <w:t xml:space="preserve">12 </w:t>
      </w:r>
      <w:r>
        <w:t xml:space="preserve">him who overcomes will I make a pillar</w:t>
      </w:r>
      <w:r>
        <w:rPr>
          <w:rStyle w:val="FootnoteReference"/>
        </w:rPr>
        <w:footnoteReference w:id="19419"/>
      </w:r>
      <w:r>
        <w:t xml:space="preserve"> in the temple of my God, and he shall go no more out: and I will write upon him the name of my God, and the name of the city of my God, who is new Jerusalem, which comes down out of heaven from my God: and I will write upon him my new name.</w:t>
      </w:r>
    </w:p>
    <w:p>
      <w:r>
        <w:rPr>
          <w:b/>
        </w:rPr>
        <w:t xml:space="preserve">13 </w:t>
      </w:r>
      <w:r>
        <w:t xml:space="preserve">the one who has an ear, let him hear what the Spirit says to the assemblies.</w:t>
      </w:r>
    </w:p>
    <w:p>
      <w:r>
        <w:rPr>
          <w:b/>
        </w:rPr>
        <w:t xml:space="preserve">14 </w:t>
      </w:r>
      <w:r>
        <w:t xml:space="preserve">And to the angel</w:t>
      </w:r>
      <w:r>
        <w:rPr>
          <w:rStyle w:val="FootnoteReference"/>
        </w:rPr>
        <w:footnoteReference w:id="19420"/>
      </w:r>
      <w:r>
        <w:t xml:space="preserve"> of the assembly of the Laodiceans write; These things says the Amen, the faithful and true witness, the beginning of the creation of God;</w:t>
      </w:r>
    </w:p>
    <w:p>
      <w:r>
        <w:rPr>
          <w:b/>
        </w:rPr>
        <w:t xml:space="preserve">15 </w:t>
      </w:r>
      <w:r>
        <w:t xml:space="preserve">I know your works, that you are neither cold nor hot: I wish you were cold or hot.</w:t>
      </w:r>
    </w:p>
    <w:p>
      <w:r>
        <w:rPr>
          <w:b/>
        </w:rPr>
        <w:t xml:space="preserve">16 </w:t>
      </w:r>
      <w:r>
        <w:t xml:space="preserve">So then because you are lukewarm, and neither cold nor hot, I am about to vomit you out of my mouth.</w:t>
      </w:r>
    </w:p>
    <w:p>
      <w:r>
        <w:rPr>
          <w:b/>
        </w:rPr>
        <w:t xml:space="preserve">17 </w:t>
      </w:r>
      <w:r>
        <w:t xml:space="preserve">Because you says, I am rich, and increased with goods, and have need</w:t>
      </w:r>
      <w:r>
        <w:rPr>
          <w:rStyle w:val="FootnoteReference"/>
        </w:rPr>
        <w:footnoteReference w:id="19421"/>
      </w:r>
      <w:r>
        <w:t xml:space="preserve"> of nothing; and do not know that you are wretched, and miserable, and poor, and blind, and naked:</w:t>
      </w:r>
    </w:p>
    <w:p>
      <w:r>
        <w:rPr>
          <w:b/>
        </w:rPr>
        <w:t xml:space="preserve">18 </w:t>
      </w:r>
      <w:r>
        <w:t xml:space="preserve">I counsel</w:t>
      </w:r>
      <w:r>
        <w:rPr>
          <w:rStyle w:val="FootnoteReference"/>
        </w:rPr>
        <w:footnoteReference w:id="19422"/>
      </w:r>
      <w:r>
        <w:t xml:space="preserve"> you to buy of me gold tried in the fire, that you may be rich; and white clothing, that you may be clothed, and that the shame of your nakedness do not appear; and anoint your eyes with eye salve, that you may see.</w:t>
      </w:r>
    </w:p>
    <w:p>
      <w:r>
        <w:rPr>
          <w:b/>
        </w:rPr>
        <w:t xml:space="preserve">19 </w:t>
      </w:r>
      <w:r>
        <w:t xml:space="preserve">As many as I love, I reprove and discipline: be zealous therefore, and repent</w:t>
      </w:r>
      <w:r>
        <w:rPr>
          <w:rStyle w:val="FootnoteReference"/>
        </w:rPr>
        <w:footnoteReference w:id="19423"/>
      </w:r>
      <w:r>
        <w:t xml:space="preserve">.</w:t>
      </w:r>
    </w:p>
    <w:p>
      <w:r>
        <w:rPr>
          <w:b/>
        </w:rPr>
        <w:t xml:space="preserve">20 </w:t>
      </w:r>
      <w:r>
        <w:t xml:space="preserve">Look, I stand</w:t>
      </w:r>
      <w:r>
        <w:rPr>
          <w:rStyle w:val="FootnoteReference"/>
        </w:rPr>
        <w:footnoteReference w:id="19424"/>
      </w:r>
      <w:r>
        <w:t xml:space="preserve"> at the door, and knock: if anyone hear my voice, and open the door, I will come in to him, and will sup with him, and he with me.</w:t>
      </w:r>
    </w:p>
    <w:p>
      <w:r>
        <w:rPr>
          <w:b/>
        </w:rPr>
        <w:t xml:space="preserve">21 </w:t>
      </w:r>
      <w:r>
        <w:t xml:space="preserve">To him who overcomes will I grant to sit</w:t>
      </w:r>
      <w:r>
        <w:rPr>
          <w:rStyle w:val="FootnoteReference"/>
        </w:rPr>
        <w:footnoteReference w:id="19425"/>
      </w:r>
      <w:r>
        <w:t xml:space="preserve"> with me in my throne, even as I also overcame, and am set down with my Father in his throne.</w:t>
      </w:r>
    </w:p>
    <w:p>
      <w:r>
        <w:rPr>
          <w:b/>
        </w:rPr>
        <w:t xml:space="preserve">22 </w:t>
      </w:r>
      <w:r>
        <w:t xml:space="preserve">the one who has an ear, let him hear what the Spirit says to the assemblies.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4</w:t>
      </w:r>
    </w:p>
    <w:p>
      <w:r>
        <w:rPr>
          <w:b/>
        </w:rPr>
        <w:t xml:space="preserve">1 </w:t>
      </w:r>
      <w:r>
        <w:t xml:space="preserve">After this I looked, and, look, a door</w:t>
      </w:r>
      <w:r>
        <w:rPr>
          <w:rStyle w:val="FootnoteReference"/>
        </w:rPr>
        <w:footnoteReference w:id="19426"/>
      </w:r>
      <w:r>
        <w:t xml:space="preserve"> was opened in heaven: and the first voice which I heard was as it were of a trumpet talking with me; which said, Come up here, and I will show you things which must be hereafter.</w:t>
      </w:r>
    </w:p>
    <w:p>
      <w:r>
        <w:rPr>
          <w:b/>
        </w:rPr>
        <w:t xml:space="preserve">2 </w:t>
      </w:r>
      <w:r>
        <w:t xml:space="preserve">And immediately I was</w:t>
      </w:r>
      <w:r>
        <w:rPr>
          <w:rStyle w:val="FootnoteReference"/>
        </w:rPr>
        <w:footnoteReference w:id="19427"/>
      </w:r>
      <w:r>
        <w:t xml:space="preserve"> in the spirit: and, look, a throne was set in heaven, and one sat on the throne.</w:t>
      </w:r>
    </w:p>
    <w:p>
      <w:r>
        <w:rPr>
          <w:b/>
        </w:rPr>
        <w:t xml:space="preserve">3 </w:t>
      </w:r>
      <w:r>
        <w:t xml:space="preserve">And the one who sat was to look upon like a</w:t>
      </w:r>
      <w:r>
        <w:rPr>
          <w:rStyle w:val="FootnoteReference"/>
        </w:rPr>
        <w:footnoteReference w:id="19428"/>
      </w:r>
      <w:r>
        <w:t xml:space="preserve"> jasper and a sardine stone: and there was a rainbow round about the throne, in sight like to an emerald.</w:t>
      </w:r>
    </w:p>
    <w:p>
      <w:r>
        <w:rPr>
          <w:b/>
        </w:rPr>
        <w:t xml:space="preserve">4 </w:t>
      </w:r>
      <w:r>
        <w:t xml:space="preserve">And round about the throne were four</w:t>
      </w:r>
      <w:r>
        <w:rPr>
          <w:rStyle w:val="FootnoteReference"/>
        </w:rPr>
        <w:footnoteReference w:id="19429"/>
      </w:r>
      <w:r>
        <w:t xml:space="preserve"> and twenty seats: and upon the seats I saw four and twenty elders sitting, clothed in white clothing; and they had on their heads crowns of gold.</w:t>
      </w:r>
    </w:p>
    <w:p>
      <w:r>
        <w:rPr>
          <w:b/>
        </w:rPr>
        <w:t xml:space="preserve">5 </w:t>
      </w:r>
      <w:r>
        <w:t xml:space="preserve">And out of the throne proceeded</w:t>
      </w:r>
      <w:r>
        <w:rPr>
          <w:rStyle w:val="FootnoteReference"/>
        </w:rPr>
        <w:footnoteReference w:id="19430"/>
      </w:r>
      <w:r>
        <w:t xml:space="preserve"> lightnings and thunderings and voices: and there were seven lamps of fire burning before the throne, which are the seven Spirits of God.</w:t>
      </w:r>
    </w:p>
    <w:p>
      <w:r>
        <w:rPr>
          <w:b/>
        </w:rPr>
        <w:t xml:space="preserve">6 </w:t>
      </w:r>
      <w:r>
        <w:t xml:space="preserve">And before the throne there was a sea</w:t>
      </w:r>
      <w:r>
        <w:rPr>
          <w:rStyle w:val="FootnoteReference"/>
        </w:rPr>
        <w:footnoteReference w:id="19431"/>
      </w:r>
      <w:r>
        <w:t xml:space="preserve"> of glass like to crystal: and in the midst of the throne, and round about the throne, were four living creatures full of eyes before and behind.</w:t>
      </w:r>
    </w:p>
    <w:p>
      <w:r>
        <w:rPr>
          <w:b/>
        </w:rPr>
        <w:t xml:space="preserve">7 </w:t>
      </w:r>
      <w:r>
        <w:t xml:space="preserve">And the first living creature was like a lion, and the second living creature like a calf</w:t>
      </w:r>
      <w:r>
        <w:rPr>
          <w:rStyle w:val="FootnoteReference"/>
        </w:rPr>
        <w:footnoteReference w:id="19432"/>
      </w:r>
      <w:r>
        <w:t xml:space="preserve">, and the third living creature having the face as a man, and the fourth living creature like a flying eagle.</w:t>
      </w:r>
    </w:p>
    <w:p>
      <w:r>
        <w:rPr>
          <w:b/>
        </w:rPr>
        <w:t xml:space="preserve">8 </w:t>
      </w:r>
      <w:r>
        <w:t xml:space="preserve">And the four living creatures had each of them six wings about him; and they were full</w:t>
      </w:r>
      <w:r>
        <w:rPr>
          <w:rStyle w:val="FootnoteReference"/>
        </w:rPr>
        <w:footnoteReference w:id="19433"/>
      </w:r>
      <w:r>
        <w:t xml:space="preserve"> of eyes within: and they rest not day and night, saying, Holy, holy, holy, Lord God Almighty, which was, and is, and is to come.</w:t>
      </w:r>
    </w:p>
    <w:p>
      <w:r>
        <w:rPr>
          <w:b/>
        </w:rPr>
        <w:t xml:space="preserve">9 </w:t>
      </w:r>
      <w:r>
        <w:t xml:space="preserve">And when those living creatures give glory and honor and thanks to him who sat on the throne, who lives forever and ever,</w:t>
      </w:r>
    </w:p>
    <w:p>
      <w:r>
        <w:rPr>
          <w:b/>
        </w:rPr>
        <w:t xml:space="preserve">10 </w:t>
      </w:r>
      <w:r>
        <w:t xml:space="preserve">The four and twenty elders fall</w:t>
      </w:r>
      <w:r>
        <w:rPr>
          <w:rStyle w:val="FootnoteReference"/>
        </w:rPr>
        <w:footnoteReference w:id="19434"/>
      </w:r>
      <w:r>
        <w:t xml:space="preserve"> down before him who sat on the throne, and worship him who lives forever and ever, and cast their crowns before the throne, saying,</w:t>
      </w:r>
    </w:p>
    <w:p>
      <w:r>
        <w:rPr>
          <w:b/>
        </w:rPr>
        <w:t xml:space="preserve">11 </w:t>
      </w:r>
      <w:r>
        <w:t xml:space="preserve">You are worthy, O Lord, to receive</w:t>
      </w:r>
      <w:r>
        <w:rPr>
          <w:rStyle w:val="FootnoteReference"/>
        </w:rPr>
        <w:footnoteReference w:id="19435"/>
      </w:r>
      <w:r>
        <w:t xml:space="preserve"> glory and honor and power: for you have created all things, and for your pleasure they are and were created.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5</w:t>
      </w:r>
    </w:p>
    <w:p>
      <w:r>
        <w:rPr>
          <w:b/>
        </w:rPr>
        <w:t xml:space="preserve">1 </w:t>
      </w:r>
      <w:r>
        <w:t xml:space="preserve">And I saw in the right hand of him who sat on the throne a book</w:t>
      </w:r>
      <w:r>
        <w:rPr>
          <w:rStyle w:val="FootnoteReference"/>
        </w:rPr>
        <w:footnoteReference w:id="19436"/>
      </w:r>
      <w:r>
        <w:t xml:space="preserve"> written within and on the backside, sealed with seven seals.</w:t>
      </w:r>
    </w:p>
    <w:p>
      <w:r>
        <w:rPr>
          <w:b/>
        </w:rPr>
        <w:t xml:space="preserve">2 </w:t>
      </w:r>
      <w:r>
        <w:t xml:space="preserve">And I saw a strong</w:t>
      </w:r>
      <w:r>
        <w:rPr>
          <w:rStyle w:val="FootnoteReference"/>
        </w:rPr>
        <w:footnoteReference w:id="19437"/>
      </w:r>
      <w:r>
        <w:t xml:space="preserve"> angel proclaiming with a loud voice, Who is worthy to open the book, and to loose the seals of it?</w:t>
      </w:r>
    </w:p>
    <w:p>
      <w:r>
        <w:rPr>
          <w:b/>
        </w:rPr>
        <w:t xml:space="preserve">3 </w:t>
      </w:r>
      <w:r>
        <w:t xml:space="preserve">And no one in heaven, nor on earth, neither under the earth, was able to open the book, neither to look thereon.</w:t>
      </w:r>
    </w:p>
    <w:p>
      <w:r>
        <w:rPr>
          <w:b/>
        </w:rPr>
        <w:t xml:space="preserve">4 </w:t>
      </w:r>
      <w:r>
        <w:t xml:space="preserve">And I wept much, because no one was found worthy to open and to read the book, neither to look thereon.</w:t>
      </w:r>
    </w:p>
    <w:p>
      <w:r>
        <w:rPr>
          <w:b/>
        </w:rPr>
        <w:t xml:space="preserve">5 </w:t>
      </w:r>
      <w:r>
        <w:t xml:space="preserve">And one of the elders says to me, Weep</w:t>
      </w:r>
      <w:r>
        <w:rPr>
          <w:rStyle w:val="FootnoteReference"/>
        </w:rPr>
        <w:footnoteReference w:id="19438"/>
      </w:r>
      <w:r>
        <w:t xml:space="preserve"> not: look, the Lion of the tribe of Judah, the Root of David, has prevailed to open the book, and to loose the seven seals of it.</w:t>
      </w:r>
    </w:p>
    <w:p>
      <w:r>
        <w:rPr>
          <w:b/>
        </w:rPr>
        <w:t xml:space="preserve">6 </w:t>
      </w:r>
      <w:r>
        <w:t xml:space="preserve">And I beheld, and, look, in the midst of the throne</w:t>
      </w:r>
      <w:r>
        <w:rPr>
          <w:rStyle w:val="FootnoteReference"/>
        </w:rPr>
        <w:footnoteReference w:id="19439"/>
      </w:r>
      <w:r>
        <w:t xml:space="preserve"> and of the four living creatures, and in the midst of the elders, stood a Lamb as it had been killed, having seven horns and seven eyes, which are the seven Spirits of God sent forth into all the earth.</w:t>
      </w:r>
    </w:p>
    <w:p>
      <w:r>
        <w:rPr>
          <w:b/>
        </w:rPr>
        <w:t xml:space="preserve">7 </w:t>
      </w:r>
      <w:r>
        <w:t xml:space="preserve">And he came and took the book out of the right hand of him who sat upon the throne.</w:t>
      </w:r>
    </w:p>
    <w:p>
      <w:r>
        <w:rPr>
          <w:b/>
        </w:rPr>
        <w:t xml:space="preserve">8 </w:t>
      </w:r>
      <w:r>
        <w:t xml:space="preserve">And when he had taken the book, the four</w:t>
      </w:r>
      <w:r>
        <w:rPr>
          <w:rStyle w:val="FootnoteReference"/>
        </w:rPr>
        <w:footnoteReference w:id="19440"/>
      </w:r>
      <w:r>
        <w:t xml:space="preserve"> living creatures and four and twenty elders fell down before the Lamb, each having harps, and golden bowls full of incense, which are the prayers of holy ones.</w:t>
      </w:r>
    </w:p>
    <w:p>
      <w:r>
        <w:rPr>
          <w:b/>
        </w:rPr>
        <w:t xml:space="preserve">9 </w:t>
      </w:r>
      <w:r>
        <w:t xml:space="preserve">And they sung</w:t>
      </w:r>
      <w:r>
        <w:rPr>
          <w:rStyle w:val="FootnoteReference"/>
        </w:rPr>
        <w:footnoteReference w:id="19441"/>
      </w:r>
      <w:r>
        <w:t xml:space="preserve"> a new song, saying, You are worthy to take the book, and to open the seals of it: for you were killed, and have redeemed us to God by your blood out of every kindred, and tongue, and people, and nation;</w:t>
      </w:r>
    </w:p>
    <w:p>
      <w:r>
        <w:rPr>
          <w:b/>
        </w:rPr>
        <w:t xml:space="preserve">10 </w:t>
      </w:r>
      <w:r>
        <w:t xml:space="preserve">And have made us to our God kings</w:t>
      </w:r>
      <w:r>
        <w:rPr>
          <w:rStyle w:val="FootnoteReference"/>
        </w:rPr>
        <w:footnoteReference w:id="19442"/>
      </w:r>
      <w:r>
        <w:t xml:space="preserve"> and priests: and we shall reign on the earth.</w:t>
      </w:r>
    </w:p>
    <w:p>
      <w:r>
        <w:rPr>
          <w:b/>
        </w:rPr>
        <w:t xml:space="preserve">11 </w:t>
      </w:r>
      <w:r>
        <w:t xml:space="preserve">And I saw, and I heard a voice of many angels around the throne</w:t>
      </w:r>
      <w:r>
        <w:rPr>
          <w:rStyle w:val="FootnoteReference"/>
        </w:rPr>
        <w:footnoteReference w:id="19443"/>
      </w:r>
      <w:r>
        <w:t xml:space="preserve"> and the living creatures and the elders: and their number was myriads of myriads, and thousands of thousands;</w:t>
      </w:r>
    </w:p>
    <w:p>
      <w:r>
        <w:rPr>
          <w:b/>
        </w:rPr>
        <w:t xml:space="preserve">12 </w:t>
      </w:r>
      <w:r>
        <w:t xml:space="preserve">Saying with a loud voice, Worthy</w:t>
      </w:r>
      <w:r>
        <w:rPr>
          <w:rStyle w:val="FootnoteReference"/>
        </w:rPr>
        <w:footnoteReference w:id="19444"/>
      </w:r>
      <w:r>
        <w:t xml:space="preserve"> is the Lamb that was killed to receive power, and riches, and wisdom, and strength, and honor, and glory, and blessing.</w:t>
      </w:r>
    </w:p>
    <w:p>
      <w:r>
        <w:rPr>
          <w:b/>
        </w:rPr>
        <w:t xml:space="preserve">13 </w:t>
      </w:r>
      <w:r>
        <w:t xml:space="preserve">And every creature which is in heaven, and on the earth, and under the earth, and such</w:t>
      </w:r>
      <w:r>
        <w:rPr>
          <w:rStyle w:val="FootnoteReference"/>
        </w:rPr>
        <w:footnoteReference w:id="19445"/>
      </w:r>
      <w:r>
        <w:t xml:space="preserve"> as are in the sea, and all that are in them, heard I saying, Blessing, and honor, and glory, and power, be to him who sits upon the throne, and to the Lamb forever and ever.</w:t>
      </w:r>
    </w:p>
    <w:p>
      <w:r>
        <w:rPr>
          <w:b/>
        </w:rPr>
        <w:t xml:space="preserve">14 </w:t>
      </w:r>
      <w:r>
        <w:t xml:space="preserve">And the four</w:t>
      </w:r>
      <w:r>
        <w:rPr>
          <w:rStyle w:val="FootnoteReference"/>
        </w:rPr>
        <w:footnoteReference w:id="19446"/>
      </w:r>
      <w:r>
        <w:t xml:space="preserve"> living creatures said, Amen. And the four and twenty elders fell down and worshiped him who lives forever and ever.</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6</w:t>
      </w:r>
    </w:p>
    <w:p>
      <w:r>
        <w:rPr>
          <w:b/>
        </w:rPr>
        <w:t xml:space="preserve">1 </w:t>
      </w:r>
      <w:r>
        <w:t xml:space="preserve">And I saw when the Lamb opened one of the seals, and I heard one of the four living creatures saying, as with a voice of thunder, Come and see.</w:t>
      </w:r>
    </w:p>
    <w:p>
      <w:r>
        <w:rPr>
          <w:b/>
        </w:rPr>
        <w:t xml:space="preserve">2 </w:t>
      </w:r>
      <w:r>
        <w:t xml:space="preserve">And I saw, and look a white</w:t>
      </w:r>
      <w:r>
        <w:rPr>
          <w:rStyle w:val="FootnoteReference"/>
        </w:rPr>
        <w:footnoteReference w:id="19447"/>
      </w:r>
      <w:r>
        <w:t xml:space="preserve"> horse: and the one who sat on him had a bow; and a crown was given to him: and he went forth conquering, and to conquer.</w:t>
      </w:r>
    </w:p>
    <w:p>
      <w:r>
        <w:rPr>
          <w:b/>
        </w:rPr>
        <w:t xml:space="preserve">3 </w:t>
      </w:r>
      <w:r>
        <w:t xml:space="preserve">And when he opened the second seal, I heard the second living creature saying, Come and see.</w:t>
      </w:r>
    </w:p>
    <w:p>
      <w:r>
        <w:rPr>
          <w:b/>
        </w:rPr>
        <w:t xml:space="preserve">4 </w:t>
      </w:r>
      <w:r>
        <w:t xml:space="preserve">And there went out another horse</w:t>
      </w:r>
      <w:r>
        <w:rPr>
          <w:rStyle w:val="FootnoteReference"/>
        </w:rPr>
        <w:footnoteReference w:id="19448"/>
      </w:r>
      <w:r>
        <w:t xml:space="preserve"> that was red: and power was given to him who sat thereon to take peace from the earth, and that they should kill one another: and there was given to him a great sword.</w:t>
      </w:r>
    </w:p>
    <w:p>
      <w:r>
        <w:rPr>
          <w:b/>
        </w:rPr>
        <w:t xml:space="preserve">5 </w:t>
      </w:r>
      <w:r>
        <w:t xml:space="preserve">And when he had</w:t>
      </w:r>
      <w:r>
        <w:rPr>
          <w:rStyle w:val="FootnoteReference"/>
        </w:rPr>
        <w:footnoteReference w:id="19449"/>
      </w:r>
      <w:r>
        <w:t xml:space="preserve"> opened the third seal, I heard the third living creature saying, Come and see. And I beheld, and look a black horse; and the one who sat on him had a pair of balances in his hand.</w:t>
      </w:r>
    </w:p>
    <w:p>
      <w:r>
        <w:rPr>
          <w:b/>
        </w:rPr>
        <w:t xml:space="preserve">6 </w:t>
      </w:r>
      <w:r>
        <w:t xml:space="preserve">And I heard a voice in the midst of the four living creatures saying, A measure of wheat for a denarius, and three measures of barley for a denarius; and see</w:t>
      </w:r>
      <w:r>
        <w:rPr>
          <w:rStyle w:val="FootnoteReference"/>
        </w:rPr>
        <w:footnoteReference w:id="19450"/>
      </w:r>
      <w:r>
        <w:t xml:space="preserve"> you do not harm the oil and the wine.</w:t>
      </w:r>
    </w:p>
    <w:p>
      <w:r>
        <w:rPr>
          <w:b/>
        </w:rPr>
        <w:t xml:space="preserve">7 </w:t>
      </w:r>
      <w:r>
        <w:t xml:space="preserve">And when he opened the fourth seal, I heard a voice of the fourth living creature saying, Come and see.</w:t>
      </w:r>
    </w:p>
    <w:p>
      <w:r>
        <w:rPr>
          <w:b/>
        </w:rPr>
        <w:t xml:space="preserve">8 </w:t>
      </w:r>
      <w:r>
        <w:t xml:space="preserve">And I looked, and look a pale</w:t>
      </w:r>
      <w:r>
        <w:rPr>
          <w:rStyle w:val="FootnoteReference"/>
        </w:rPr>
        <w:footnoteReference w:id="19451"/>
      </w:r>
      <w:r>
        <w:t xml:space="preserve"> horse: and his name that sat on him was Death, and Hades followed with him. And power was given to them over the fourth part of the earth, to kill with sword, and with hunger, and with death, and with the beasts of the earth.</w:t>
      </w:r>
    </w:p>
    <w:p>
      <w:r>
        <w:rPr>
          <w:b/>
        </w:rPr>
        <w:t xml:space="preserve">9 </w:t>
      </w:r>
      <w:r>
        <w:t xml:space="preserve">And when he had opened the fifth seal, I saw</w:t>
      </w:r>
      <w:r>
        <w:rPr>
          <w:rStyle w:val="FootnoteReference"/>
        </w:rPr>
        <w:footnoteReference w:id="19452"/>
      </w:r>
      <w:r>
        <w:t xml:space="preserve"> under the altar the souls of those who were killed for the word of God, and for the testimony which they held:</w:t>
      </w:r>
    </w:p>
    <w:p>
      <w:r>
        <w:rPr>
          <w:b/>
        </w:rPr>
        <w:t xml:space="preserve">10 </w:t>
      </w:r>
      <w:r>
        <w:t xml:space="preserve">And they cried</w:t>
      </w:r>
      <w:r>
        <w:rPr>
          <w:rStyle w:val="FootnoteReference"/>
        </w:rPr>
        <w:footnoteReference w:id="19453"/>
      </w:r>
      <w:r>
        <w:t xml:space="preserve"> with a loud voice, saying, How long, O Lord, holy and true, do you not judge and avenge our blood on those who dwell on the earth?</w:t>
      </w:r>
    </w:p>
    <w:p>
      <w:r>
        <w:rPr>
          <w:b/>
        </w:rPr>
        <w:t xml:space="preserve">11 </w:t>
      </w:r>
      <w:r>
        <w:t xml:space="preserve">And white</w:t>
      </w:r>
      <w:r>
        <w:rPr>
          <w:rStyle w:val="FootnoteReference"/>
        </w:rPr>
        <w:footnoteReference w:id="19454"/>
      </w:r>
      <w:r>
        <w:t xml:space="preserve"> robes were given to every one of them; and it was said to them, that they should rest yet for a little season, until their fellow slaves also and their brothers, that should be killed as they were, should be fulfilled.</w:t>
      </w:r>
    </w:p>
    <w:p>
      <w:r>
        <w:rPr>
          <w:b/>
        </w:rPr>
        <w:t xml:space="preserve">12 </w:t>
      </w:r>
      <w:r>
        <w:t xml:space="preserve">And I beheld when he had opened the sixth seal, and, look, there was a great earthquake; and the sun</w:t>
      </w:r>
      <w:r>
        <w:rPr>
          <w:rStyle w:val="FootnoteReference"/>
        </w:rPr>
        <w:footnoteReference w:id="19455"/>
      </w:r>
      <w:r>
        <w:t xml:space="preserve"> became black as sackcloth of hair, and the moon became as blood;</w:t>
      </w:r>
    </w:p>
    <w:p>
      <w:r>
        <w:rPr>
          <w:b/>
        </w:rPr>
        <w:t xml:space="preserve">13 </w:t>
      </w:r>
      <w:r>
        <w:t xml:space="preserve">And the stars</w:t>
      </w:r>
      <w:r>
        <w:rPr>
          <w:rStyle w:val="FootnoteReference"/>
        </w:rPr>
        <w:footnoteReference w:id="19456"/>
      </w:r>
      <w:r>
        <w:t xml:space="preserve"> of heaven fell to the earth, even as a fig tree casts her untimely figs, when she is shaken of a mighty wind.</w:t>
      </w:r>
    </w:p>
    <w:p>
      <w:r>
        <w:rPr>
          <w:b/>
        </w:rPr>
        <w:t xml:space="preserve">14 </w:t>
      </w:r>
      <w:r>
        <w:t xml:space="preserve">And the heaven</w:t>
      </w:r>
      <w:r>
        <w:rPr>
          <w:rStyle w:val="FootnoteReference"/>
        </w:rPr>
        <w:footnoteReference w:id="19457"/>
      </w:r>
      <w:r>
        <w:t xml:space="preserve"> was separated as a scroll being rolled up; and every mountain and island were moved out of their places.</w:t>
      </w:r>
    </w:p>
    <w:p>
      <w:r>
        <w:rPr>
          <w:b/>
        </w:rPr>
        <w:t xml:space="preserve">15 </w:t>
      </w:r>
      <w:r>
        <w:t xml:space="preserve">And the kings</w:t>
      </w:r>
      <w:r>
        <w:rPr>
          <w:rStyle w:val="FootnoteReference"/>
        </w:rPr>
        <w:footnoteReference w:id="19458"/>
      </w:r>
      <w:r>
        <w:t xml:space="preserve"> of the earth, and the great ones, and the rich, and the commanders of thousands, and the mighty, and every slave, and every free man, hid themselves in the caves and in the rocks of the mountains;</w:t>
      </w:r>
    </w:p>
    <w:p>
      <w:r>
        <w:rPr>
          <w:b/>
        </w:rPr>
        <w:t xml:space="preserve">16 </w:t>
      </w:r>
      <w:r>
        <w:t xml:space="preserve">And said to the mountains and rocks, Fall</w:t>
      </w:r>
      <w:r>
        <w:rPr>
          <w:rStyle w:val="FootnoteReference"/>
        </w:rPr>
        <w:footnoteReference w:id="19459"/>
      </w:r>
      <w:r>
        <w:t xml:space="preserve"> on us, and hide us from the face of him who sits on the throne, and from the wrath of the Lamb:</w:t>
      </w:r>
    </w:p>
    <w:p>
      <w:r>
        <w:rPr>
          <w:b/>
        </w:rPr>
        <w:t xml:space="preserve">17 </w:t>
      </w:r>
      <w:r>
        <w:t xml:space="preserve">For the great</w:t>
      </w:r>
      <w:r>
        <w:rPr>
          <w:rStyle w:val="FootnoteReference"/>
        </w:rPr>
        <w:footnoteReference w:id="19460"/>
      </w:r>
      <w:r>
        <w:t xml:space="preserve"> day of his wrath has come; and who is able to stand?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7</w:t>
      </w:r>
    </w:p>
    <w:p>
      <w:r>
        <w:rPr>
          <w:b/>
        </w:rPr>
        <w:t xml:space="preserve">1 </w:t>
      </w:r>
      <w:r>
        <w:t xml:space="preserve">And after these things I saw four angels</w:t>
      </w:r>
      <w:r>
        <w:rPr>
          <w:rStyle w:val="FootnoteReference"/>
        </w:rPr>
        <w:footnoteReference w:id="19461"/>
      </w:r>
      <w:r>
        <w:t xml:space="preserve"> standing on the four corners of the earth, holding the four winds of the earth, that no wind should blow on the earth, nor on the sea, nor on any tree.</w:t>
      </w:r>
    </w:p>
    <w:p>
      <w:r>
        <w:rPr>
          <w:b/>
        </w:rPr>
        <w:t xml:space="preserve">2 </w:t>
      </w:r>
      <w:r>
        <w:t xml:space="preserve">And I saw another angel ascending from the rising of the sun, having the seal of the living</w:t>
      </w:r>
      <w:r>
        <w:rPr>
          <w:rStyle w:val="FootnoteReference"/>
        </w:rPr>
        <w:footnoteReference w:id="19462"/>
      </w:r>
      <w:r>
        <w:t xml:space="preserve"> God: and he cried with a great voice to the four angels, to whom it was given to harm the earth and the sea,</w:t>
      </w:r>
    </w:p>
    <w:p>
      <w:r>
        <w:rPr>
          <w:b/>
        </w:rPr>
        <w:t xml:space="preserve">3 </w:t>
      </w:r>
      <w:r>
        <w:t xml:space="preserve">Saying, Do not harm the earth, neither the sea, nor the trees, till</w:t>
      </w:r>
      <w:r>
        <w:rPr>
          <w:rStyle w:val="FootnoteReference"/>
        </w:rPr>
        <w:footnoteReference w:id="19463"/>
      </w:r>
      <w:r>
        <w:t xml:space="preserve"> we have sealed the slaves of our God in their foreheads.</w:t>
      </w:r>
    </w:p>
    <w:p>
      <w:r>
        <w:rPr>
          <w:b/>
        </w:rPr>
        <w:t xml:space="preserve">4 </w:t>
      </w:r>
      <w:r>
        <w:t xml:space="preserve">And I heard</w:t>
      </w:r>
      <w:r>
        <w:rPr>
          <w:rStyle w:val="FootnoteReference"/>
        </w:rPr>
        <w:footnoteReference w:id="19464"/>
      </w:r>
      <w:r>
        <w:t xml:space="preserve"> the number of those who were sealed: and there were sealed a hundred and forty and four thousand of all the tribes of the children of Israel.</w:t>
      </w:r>
    </w:p>
    <w:p>
      <w:r>
        <w:rPr>
          <w:b/>
        </w:rPr>
        <w:t xml:space="preserve">5 </w:t>
      </w:r>
      <w:r>
        <w:t xml:space="preserve">Of the tribe of Judah were sealed twelve thousand. Of the tribe of Reuben</w:t>
      </w:r>
      <w:r>
        <w:rPr>
          <w:rStyle w:val="FootnoteReference"/>
        </w:rPr>
        <w:footnoteReference w:id="19465"/>
      </w:r>
      <w:r>
        <w:t xml:space="preserve"> were sealed twelve thousand. Of the tribe of Gad</w:t>
      </w:r>
      <w:r>
        <w:rPr>
          <w:rStyle w:val="FootnoteReference"/>
        </w:rPr>
        <w:footnoteReference w:id="19466"/>
      </w:r>
      <w:r>
        <w:t xml:space="preserve"> were sealed twelve thousand.</w:t>
      </w:r>
    </w:p>
    <w:p>
      <w:r>
        <w:rPr>
          <w:b/>
        </w:rPr>
        <w:t xml:space="preserve">6 </w:t>
      </w:r>
      <w:r>
        <w:t xml:space="preserve">Of the tribe of Asher were sealed twelve thousand. Of the tribe of Naphtali were sealed twelve thousand. Of the tribe of Manasseh were sealed twelve thousand.</w:t>
      </w:r>
    </w:p>
    <w:p>
      <w:r>
        <w:rPr>
          <w:b/>
        </w:rPr>
        <w:t xml:space="preserve">7 </w:t>
      </w:r>
      <w:r>
        <w:t xml:space="preserve">Of the tribe of Simeon</w:t>
      </w:r>
      <w:r>
        <w:rPr>
          <w:rStyle w:val="FootnoteReference"/>
        </w:rPr>
        <w:footnoteReference w:id="19467"/>
      </w:r>
      <w:r>
        <w:t xml:space="preserve"> were sealed twelve thousand. Of the tribe of Levi were sealed twelve thousand. Of the tribe of Issachar</w:t>
      </w:r>
      <w:r>
        <w:rPr>
          <w:rStyle w:val="FootnoteReference"/>
        </w:rPr>
        <w:footnoteReference w:id="19468"/>
      </w:r>
      <w:r>
        <w:t xml:space="preserve"> were sealed twelve thousand.</w:t>
      </w:r>
    </w:p>
    <w:p>
      <w:r>
        <w:rPr>
          <w:b/>
        </w:rPr>
        <w:t xml:space="preserve">8 </w:t>
      </w:r>
      <w:r>
        <w:t xml:space="preserve">Of the tribe of Zebulun were sealed twelve thousand. Of the tribe of Joseph were sealed twelve thousand. Of the tribe of Benjamin were sealed twelve thousand.</w:t>
      </w:r>
    </w:p>
    <w:p>
      <w:r>
        <w:rPr>
          <w:b/>
        </w:rPr>
        <w:t xml:space="preserve">9 </w:t>
      </w:r>
      <w:r>
        <w:t xml:space="preserve">After this I beheld, and, look, a great</w:t>
      </w:r>
      <w:r>
        <w:rPr>
          <w:rStyle w:val="FootnoteReference"/>
        </w:rPr>
        <w:footnoteReference w:id="19469"/>
      </w:r>
      <w:r>
        <w:t xml:space="preserve"> crowd, which no one could number, of all nations, and families, and people, and tongues, stood before the throne, and before the Lamb, clothed with white robes, and palms in their hands;</w:t>
      </w:r>
    </w:p>
    <w:p>
      <w:r>
        <w:rPr>
          <w:b/>
        </w:rPr>
        <w:t xml:space="preserve">10 </w:t>
      </w:r>
      <w:r>
        <w:t xml:space="preserve">And cried</w:t>
      </w:r>
      <w:r>
        <w:rPr>
          <w:rStyle w:val="FootnoteReference"/>
        </w:rPr>
        <w:footnoteReference w:id="19470"/>
      </w:r>
      <w:r>
        <w:t xml:space="preserve"> with a loud voice, saying, Salvation to our God who sits upon the throne, and to the Lamb.</w:t>
      </w:r>
    </w:p>
    <w:p>
      <w:r>
        <w:rPr>
          <w:b/>
        </w:rPr>
        <w:t xml:space="preserve">11 </w:t>
      </w:r>
      <w:r>
        <w:t xml:space="preserve">And all the angels stood round about the throne, and about the elders and the four living creatures, and fell</w:t>
      </w:r>
      <w:r>
        <w:rPr>
          <w:rStyle w:val="FootnoteReference"/>
        </w:rPr>
        <w:footnoteReference w:id="19471"/>
      </w:r>
      <w:r>
        <w:t xml:space="preserve"> before the throne on their faces, and worshiped God,</w:t>
      </w:r>
    </w:p>
    <w:p>
      <w:r>
        <w:rPr>
          <w:b/>
        </w:rPr>
        <w:t xml:space="preserve">12 </w:t>
      </w:r>
      <w:r>
        <w:t xml:space="preserve">Saying, Amen</w:t>
      </w:r>
      <w:r>
        <w:rPr>
          <w:rStyle w:val="FootnoteReference"/>
        </w:rPr>
        <w:footnoteReference w:id="19472"/>
      </w:r>
      <w:r>
        <w:t xml:space="preserve">: Blessing, and glory, and wisdom, and thanksgiving, and honor, and power, and might, be to our God forever and ever. Amen.</w:t>
      </w:r>
    </w:p>
    <w:p>
      <w:r>
        <w:rPr>
          <w:b/>
        </w:rPr>
        <w:t xml:space="preserve">13 </w:t>
      </w:r>
      <w:r>
        <w:t xml:space="preserve">And one of the elders answered, saying to me, What are these which are arrayed</w:t>
      </w:r>
      <w:r>
        <w:rPr>
          <w:rStyle w:val="FootnoteReference"/>
        </w:rPr>
        <w:footnoteReference w:id="19473"/>
      </w:r>
      <w:r>
        <w:t xml:space="preserve"> in white robes? And from where came they?</w:t>
      </w:r>
    </w:p>
    <w:p>
      <w:r>
        <w:rPr>
          <w:b/>
        </w:rPr>
        <w:t xml:space="preserve">14 </w:t>
      </w:r>
      <w:r>
        <w:t xml:space="preserve">And I said to him, Sir, you know. And he said to me, These are those who came out of great tribulation, and have washed their robes, and made them white in the blood</w:t>
      </w:r>
      <w:r>
        <w:rPr>
          <w:rStyle w:val="FootnoteReference"/>
        </w:rPr>
        <w:footnoteReference w:id="19474"/>
      </w:r>
      <w:r>
        <w:t xml:space="preserve"> of the Lamb.</w:t>
      </w:r>
    </w:p>
    <w:p>
      <w:r>
        <w:rPr>
          <w:b/>
        </w:rPr>
        <w:t xml:space="preserve">15 </w:t>
      </w:r>
      <w:r>
        <w:t xml:space="preserve">Therefore are they before the throne of God, and serve</w:t>
      </w:r>
      <w:r>
        <w:rPr>
          <w:rStyle w:val="FootnoteReference"/>
        </w:rPr>
        <w:footnoteReference w:id="19475"/>
      </w:r>
      <w:r>
        <w:t xml:space="preserve"> him day and night in his temple: and the one who sits on the throne shall dwell among them.</w:t>
      </w:r>
    </w:p>
    <w:p>
      <w:r>
        <w:rPr>
          <w:b/>
        </w:rPr>
        <w:t xml:space="preserve">16 </w:t>
      </w:r>
      <w:r>
        <w:t xml:space="preserve">They shall hunger</w:t>
      </w:r>
      <w:r>
        <w:rPr>
          <w:rStyle w:val="FootnoteReference"/>
        </w:rPr>
        <w:footnoteReference w:id="19476"/>
      </w:r>
      <w:r>
        <w:t xml:space="preserve"> no more, neither thirst anymore; neither shall the sun fall upon them, nor any burning heat.</w:t>
      </w:r>
    </w:p>
    <w:p>
      <w:r>
        <w:rPr>
          <w:b/>
        </w:rPr>
        <w:t xml:space="preserve">17 </w:t>
      </w:r>
      <w:r>
        <w:t xml:space="preserve">For the Lamb which is in the midst of the throne shall feed</w:t>
      </w:r>
      <w:r>
        <w:rPr>
          <w:rStyle w:val="FootnoteReference"/>
        </w:rPr>
        <w:footnoteReference w:id="19477"/>
      </w:r>
      <w:r>
        <w:t xml:space="preserve"> them, and shall lead them to living fountains of waters: and God shall wipe away all tears from their eyes.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8</w:t>
      </w:r>
    </w:p>
    <w:p>
      <w:r>
        <w:rPr>
          <w:b/>
        </w:rPr>
        <w:t xml:space="preserve">1 </w:t>
      </w:r>
      <w:r>
        <w:t xml:space="preserve">And when he opened the seventh seal, there was silence</w:t>
      </w:r>
      <w:r>
        <w:rPr>
          <w:rStyle w:val="FootnoteReference"/>
        </w:rPr>
        <w:footnoteReference w:id="19478"/>
      </w:r>
      <w:r>
        <w:t xml:space="preserve"> in heaven about half an hour.</w:t>
      </w:r>
    </w:p>
    <w:p>
      <w:r>
        <w:rPr>
          <w:b/>
        </w:rPr>
        <w:t xml:space="preserve">2 </w:t>
      </w:r>
      <w:r>
        <w:t xml:space="preserve">And I saw the seven angels</w:t>
      </w:r>
      <w:r>
        <w:rPr>
          <w:rStyle w:val="FootnoteReference"/>
        </w:rPr>
        <w:footnoteReference w:id="19479"/>
      </w:r>
      <w:r>
        <w:t xml:space="preserve"> who stood before God; and to them were given seven trumpets.</w:t>
      </w:r>
    </w:p>
    <w:p>
      <w:r>
        <w:rPr>
          <w:b/>
        </w:rPr>
        <w:t xml:space="preserve">3 </w:t>
      </w:r>
      <w:r>
        <w:t xml:space="preserve">And another</w:t>
      </w:r>
      <w:r>
        <w:rPr>
          <w:rStyle w:val="FootnoteReference"/>
        </w:rPr>
        <w:footnoteReference w:id="19480"/>
      </w:r>
      <w:r>
        <w:t xml:space="preserve"> angel came and stood at the altar, having a golden censer; and there was given to him much incense, that he should offer it with the prayers of all holy ones upon the golden altar which was before the throne.</w:t>
      </w:r>
    </w:p>
    <w:p>
      <w:r>
        <w:rPr>
          <w:b/>
        </w:rPr>
        <w:t xml:space="preserve">4 </w:t>
      </w:r>
      <w:r>
        <w:t xml:space="preserve">And the smoke of the incense, which came with the prayers of the holy ones, ascended up before God out of the angel's hand.</w:t>
      </w:r>
    </w:p>
    <w:p>
      <w:r>
        <w:rPr>
          <w:b/>
        </w:rPr>
        <w:t xml:space="preserve">5 </w:t>
      </w:r>
      <w:r>
        <w:t xml:space="preserve">And the angel took the censer, and filled</w:t>
      </w:r>
      <w:r>
        <w:rPr>
          <w:rStyle w:val="FootnoteReference"/>
        </w:rPr>
        <w:footnoteReference w:id="19481"/>
      </w:r>
      <w:r>
        <w:t xml:space="preserve"> it from the fire of the altar, and cast it to the earth: and there were voices, and thunders, and lightnings, and an earthquake.</w:t>
      </w:r>
    </w:p>
    <w:p>
      <w:r>
        <w:rPr>
          <w:b/>
        </w:rPr>
        <w:t xml:space="preserve">6 </w:t>
      </w:r>
      <w:r>
        <w:t xml:space="preserve">And the seven angels who had the seven trumpets prepared themselves to sound.</w:t>
      </w:r>
    </w:p>
    <w:p>
      <w:r>
        <w:rPr>
          <w:b/>
        </w:rPr>
        <w:t xml:space="preserve">7 </w:t>
      </w:r>
      <w:r>
        <w:t xml:space="preserve">The first angel sounded, and there followed hail</w:t>
      </w:r>
      <w:r>
        <w:rPr>
          <w:rStyle w:val="FootnoteReference"/>
        </w:rPr>
        <w:footnoteReference w:id="19482"/>
      </w:r>
      <w:r>
        <w:t xml:space="preserve"> and fire mingled with blood, and they were cast upon the earth: and the third part of trees was burnt up, and all green grass was burnt up.</w:t>
      </w:r>
    </w:p>
    <w:p>
      <w:r>
        <w:rPr>
          <w:b/>
        </w:rPr>
        <w:t xml:space="preserve">8 </w:t>
      </w:r>
      <w:r>
        <w:t xml:space="preserve">And the second angel sounded, and as</w:t>
      </w:r>
      <w:r>
        <w:rPr>
          <w:rStyle w:val="FootnoteReference"/>
        </w:rPr>
        <w:footnoteReference w:id="19483"/>
      </w:r>
      <w:r>
        <w:t xml:space="preserve"> it were a great mountain burning with fire was cast into the sea: and the third part of the sea became blood;</w:t>
      </w:r>
    </w:p>
    <w:p>
      <w:r>
        <w:rPr>
          <w:b/>
        </w:rPr>
        <w:t xml:space="preserve">9 </w:t>
      </w:r>
      <w:r>
        <w:t xml:space="preserve">And the third of the creatures in the sea, those having life, died; and the third of the ships</w:t>
      </w:r>
      <w:r>
        <w:rPr>
          <w:rStyle w:val="FootnoteReference"/>
        </w:rPr>
        <w:footnoteReference w:id="19484"/>
      </w:r>
      <w:r>
        <w:t xml:space="preserve"> were destroyed.</w:t>
      </w:r>
    </w:p>
    <w:p>
      <w:r>
        <w:rPr>
          <w:b/>
        </w:rPr>
        <w:t xml:space="preserve">10 </w:t>
      </w:r>
      <w:r>
        <w:t xml:space="preserve">And the third angel sounded, and a great</w:t>
      </w:r>
      <w:r>
        <w:rPr>
          <w:rStyle w:val="FootnoteReference"/>
        </w:rPr>
        <w:footnoteReference w:id="19485"/>
      </w:r>
      <w:r>
        <w:t xml:space="preserve"> star fell from heaven, burning as a lamp, and it fell upon the third of the rivers, and upon the springs of waters;</w:t>
      </w:r>
    </w:p>
    <w:p>
      <w:r>
        <w:rPr>
          <w:b/>
        </w:rPr>
        <w:t xml:space="preserve">11 </w:t>
      </w:r>
      <w:r>
        <w:t xml:space="preserve">And the name of the star is called Wormwood</w:t>
      </w:r>
      <w:r>
        <w:rPr>
          <w:rStyle w:val="FootnoteReference"/>
        </w:rPr>
        <w:footnoteReference w:id="19486"/>
      </w:r>
      <w:r>
        <w:t xml:space="preserve">: and the third of the waters became wormwood; and many of men died from the waters, because they were made bitter.</w:t>
      </w:r>
    </w:p>
    <w:p>
      <w:r>
        <w:rPr>
          <w:b/>
        </w:rPr>
        <w:t xml:space="preserve">12 </w:t>
      </w:r>
      <w:r>
        <w:t xml:space="preserve">And the fourth angel sounded, and the third of the sun was struck, and the third of the moon, and the third of the stars; so that the third of them might be darkened, and the day</w:t>
      </w:r>
      <w:r>
        <w:rPr>
          <w:rStyle w:val="FootnoteReference"/>
        </w:rPr>
        <w:footnoteReference w:id="19487"/>
      </w:r>
      <w:r>
        <w:t xml:space="preserve"> might not shine for a third of it, and the night likewise.</w:t>
      </w:r>
    </w:p>
    <w:p>
      <w:r>
        <w:rPr>
          <w:b/>
        </w:rPr>
        <w:t xml:space="preserve">13 </w:t>
      </w:r>
      <w:r>
        <w:t xml:space="preserve">And I beheld, and heard an angel flying</w:t>
      </w:r>
      <w:r>
        <w:rPr>
          <w:rStyle w:val="FootnoteReference"/>
        </w:rPr>
        <w:footnoteReference w:id="19488"/>
      </w:r>
      <w:r>
        <w:t xml:space="preserve"> through the midst of heaven, saying with a loud voice, Woe, woe, woe, to the citizens of the earth by reason of the other voices of the trumpet of the three angels, who are yet to sound!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9</w:t>
      </w:r>
    </w:p>
    <w:p>
      <w:r>
        <w:rPr>
          <w:b/>
        </w:rPr>
        <w:t xml:space="preserve">1 </w:t>
      </w:r>
      <w:r>
        <w:t xml:space="preserve">And the fifth</w:t>
      </w:r>
      <w:r>
        <w:rPr>
          <w:rStyle w:val="FootnoteReference"/>
        </w:rPr>
        <w:footnoteReference w:id="19489"/>
      </w:r>
      <w:r>
        <w:t xml:space="preserve"> angel sounded, and I saw a star fall from heaven to the earth: and to him was given the key of the bottomless pit.</w:t>
      </w:r>
    </w:p>
    <w:p>
      <w:r>
        <w:rPr>
          <w:b/>
        </w:rPr>
        <w:t xml:space="preserve">2 </w:t>
      </w:r>
      <w:r>
        <w:t xml:space="preserve">And he opened the pit of the abyss; and smoke arose out of the pit, as smoke of a great furnace; and the sun</w:t>
      </w:r>
      <w:r>
        <w:rPr>
          <w:rStyle w:val="FootnoteReference"/>
        </w:rPr>
        <w:footnoteReference w:id="19490"/>
      </w:r>
      <w:r>
        <w:t xml:space="preserve"> and the air were darkened from the smoke of the pit.</w:t>
      </w:r>
    </w:p>
    <w:p>
      <w:r>
        <w:rPr>
          <w:b/>
        </w:rPr>
        <w:t xml:space="preserve">3 </w:t>
      </w:r>
      <w:r>
        <w:t xml:space="preserve">And there came out of the smoke locusts</w:t>
      </w:r>
      <w:r>
        <w:rPr>
          <w:rStyle w:val="FootnoteReference"/>
        </w:rPr>
        <w:footnoteReference w:id="19491"/>
      </w:r>
      <w:r>
        <w:t xml:space="preserve"> upon the earth: and to them was given power, as the scorpions of the earth have power.</w:t>
      </w:r>
    </w:p>
    <w:p>
      <w:r>
        <w:rPr>
          <w:b/>
        </w:rPr>
        <w:t xml:space="preserve">4 </w:t>
      </w:r>
      <w:r>
        <w:t xml:space="preserve">And it was commanded them that they should not hurt</w:t>
      </w:r>
      <w:r>
        <w:rPr>
          <w:rStyle w:val="FootnoteReference"/>
        </w:rPr>
        <w:footnoteReference w:id="19492"/>
      </w:r>
      <w:r>
        <w:t xml:space="preserve"> the grass of the earth, neither any green thing, neither any tree; but only those men who have not the seal of God in their foreheads.</w:t>
      </w:r>
    </w:p>
    <w:p>
      <w:r>
        <w:rPr>
          <w:b/>
        </w:rPr>
        <w:t xml:space="preserve">5 </w:t>
      </w:r>
      <w:r>
        <w:t xml:space="preserve">And it was</w:t>
      </w:r>
      <w:r>
        <w:rPr>
          <w:rStyle w:val="FootnoteReference"/>
        </w:rPr>
        <w:footnoteReference w:id="19493"/>
      </w:r>
      <w:r>
        <w:t xml:space="preserve"> given to them that they should not kill them, but that they should be tormented five months: and their torment was as the torment of a scorpion, when it strikes a man.</w:t>
      </w:r>
    </w:p>
    <w:p>
      <w:r>
        <w:rPr>
          <w:b/>
        </w:rPr>
        <w:t xml:space="preserve">6 </w:t>
      </w:r>
      <w:r>
        <w:t xml:space="preserve">And in those days men shall seek death, and shall not find it; and they shall desire to die, and death shall flee from them.</w:t>
      </w:r>
    </w:p>
    <w:p>
      <w:r>
        <w:rPr>
          <w:b/>
        </w:rPr>
        <w:t xml:space="preserve">7 </w:t>
      </w:r>
      <w:r>
        <w:t xml:space="preserve">And the shapes</w:t>
      </w:r>
      <w:r>
        <w:rPr>
          <w:rStyle w:val="FootnoteReference"/>
        </w:rPr>
        <w:footnoteReference w:id="19494"/>
      </w:r>
      <w:r>
        <w:t xml:space="preserve"> of the locusts were like to horses prepared to battle; and on their heads were as it were crowns like gold, and their faces were as the faces of men.</w:t>
      </w:r>
    </w:p>
    <w:p>
      <w:r>
        <w:rPr>
          <w:b/>
        </w:rPr>
        <w:t xml:space="preserve">8 </w:t>
      </w:r>
      <w:r>
        <w:t xml:space="preserve">And they had hair</w:t>
      </w:r>
      <w:r>
        <w:rPr>
          <w:rStyle w:val="FootnoteReference"/>
        </w:rPr>
        <w:footnoteReference w:id="19495"/>
      </w:r>
      <w:r>
        <w:t xml:space="preserve"> like women's hair, and their teeth were as lions' teeth.</w:t>
      </w:r>
    </w:p>
    <w:p>
      <w:r>
        <w:rPr>
          <w:b/>
        </w:rPr>
        <w:t xml:space="preserve">9 </w:t>
      </w:r>
      <w:r>
        <w:t xml:space="preserve">And they had</w:t>
      </w:r>
      <w:r>
        <w:rPr>
          <w:rStyle w:val="FootnoteReference"/>
        </w:rPr>
        <w:footnoteReference w:id="19496"/>
      </w:r>
      <w:r>
        <w:t xml:space="preserve"> breastplates as breastplates of iron; and the sound of their wings was as the sound of chariots of many horses running to war.</w:t>
      </w:r>
    </w:p>
    <w:p>
      <w:r>
        <w:rPr>
          <w:b/>
        </w:rPr>
        <w:t xml:space="preserve">10 </w:t>
      </w:r>
      <w:r>
        <w:t xml:space="preserve">And they had tails</w:t>
      </w:r>
      <w:r>
        <w:rPr>
          <w:rStyle w:val="FootnoteReference"/>
        </w:rPr>
        <w:footnoteReference w:id="19497"/>
      </w:r>
      <w:r>
        <w:t xml:space="preserve"> like to scorpions, and there were stings in their tails: and their power was to hurt men five months.</w:t>
      </w:r>
    </w:p>
    <w:p>
      <w:r>
        <w:rPr>
          <w:b/>
        </w:rPr>
        <w:t xml:space="preserve">11 </w:t>
      </w:r>
      <w:r>
        <w:t xml:space="preserve">And they have over them a king, the angel</w:t>
      </w:r>
      <w:r>
        <w:rPr>
          <w:rStyle w:val="FootnoteReference"/>
        </w:rPr>
        <w:footnoteReference w:id="19498"/>
      </w:r>
      <w:r>
        <w:t xml:space="preserve"> of the abyss; his name in Hebrew is Abaddon</w:t>
      </w:r>
      <w:r>
        <w:rPr>
          <w:rStyle w:val="FootnoteReference"/>
        </w:rPr>
        <w:footnoteReference w:id="19499"/>
      </w:r>
      <w:r>
        <w:t xml:space="preserve">, and in Greek he has the name Apollyon</w:t>
      </w:r>
      <w:r>
        <w:rPr>
          <w:rStyle w:val="FootnoteReference"/>
        </w:rPr>
        <w:footnoteReference w:id="19500"/>
      </w:r>
      <w:r>
        <w:t xml:space="preserve">.</w:t>
      </w:r>
    </w:p>
    <w:p>
      <w:r>
        <w:rPr>
          <w:b/>
        </w:rPr>
        <w:t xml:space="preserve">12 </w:t>
      </w:r>
      <w:r>
        <w:t xml:space="preserve">One woe is past; and, look, there come two woes more hereafter.</w:t>
      </w:r>
    </w:p>
    <w:p>
      <w:r>
        <w:rPr>
          <w:b/>
        </w:rPr>
        <w:t xml:space="preserve">13 </w:t>
      </w:r>
      <w:r>
        <w:t xml:space="preserve">And the sixth</w:t>
      </w:r>
      <w:r>
        <w:rPr>
          <w:rStyle w:val="FootnoteReference"/>
        </w:rPr>
        <w:footnoteReference w:id="19501"/>
      </w:r>
      <w:r>
        <w:t xml:space="preserve"> angel sounded, and I heard one voice from the four horns of the golden altar before God,</w:t>
      </w:r>
    </w:p>
    <w:p>
      <w:r>
        <w:rPr>
          <w:b/>
        </w:rPr>
        <w:t xml:space="preserve">14 </w:t>
      </w:r>
      <w:r>
        <w:t xml:space="preserve">Saying to the sixth angel who had the trumpet, Loose</w:t>
      </w:r>
      <w:r>
        <w:rPr>
          <w:rStyle w:val="FootnoteReference"/>
        </w:rPr>
        <w:footnoteReference w:id="19502"/>
      </w:r>
      <w:r>
        <w:t xml:space="preserve"> the four angels who are bound in the great river Euphrates</w:t>
      </w:r>
      <w:r>
        <w:rPr>
          <w:rStyle w:val="FootnoteReference"/>
        </w:rPr>
        <w:footnoteReference w:id="19503"/>
      </w:r>
      <w:r>
        <w:t xml:space="preserve">.</w:t>
      </w:r>
    </w:p>
    <w:p>
      <w:r>
        <w:rPr>
          <w:b/>
        </w:rPr>
        <w:t xml:space="preserve">15 </w:t>
      </w:r>
      <w:r>
        <w:t xml:space="preserve">And the four angels were loosed, which were prepared for an hour</w:t>
      </w:r>
      <w:r>
        <w:rPr>
          <w:rStyle w:val="FootnoteReference"/>
        </w:rPr>
        <w:footnoteReference w:id="19504"/>
      </w:r>
      <w:r>
        <w:t xml:space="preserve">, and a day, and a month, and a year, in order to kill the third part of men.</w:t>
      </w:r>
    </w:p>
    <w:p>
      <w:r>
        <w:rPr>
          <w:b/>
        </w:rPr>
        <w:t xml:space="preserve">16 </w:t>
      </w:r>
      <w:r>
        <w:t xml:space="preserve">And the number</w:t>
      </w:r>
      <w:r>
        <w:rPr>
          <w:rStyle w:val="FootnoteReference"/>
        </w:rPr>
        <w:footnoteReference w:id="19505"/>
      </w:r>
      <w:r>
        <w:t xml:space="preserve"> of the armies of the cavalry was two myriads of myriads: and I heard their number.</w:t>
      </w:r>
    </w:p>
    <w:p>
      <w:r>
        <w:rPr>
          <w:b/>
        </w:rPr>
        <w:t xml:space="preserve">17 </w:t>
      </w:r>
      <w:r>
        <w:t xml:space="preserve">And thus I saw the horses in the vision, and those who sat on them, having breastplates of fire, and of jacinth</w:t>
      </w:r>
      <w:r>
        <w:rPr>
          <w:rStyle w:val="FootnoteReference"/>
        </w:rPr>
        <w:footnoteReference w:id="19506"/>
      </w:r>
      <w:r>
        <w:t xml:space="preserve">, and brimstone: and the heads of the horses were as the heads of lions; and out of their mouths issued fire and smoke and brimstone.</w:t>
      </w:r>
    </w:p>
    <w:p>
      <w:r>
        <w:rPr>
          <w:b/>
        </w:rPr>
        <w:t xml:space="preserve">18 </w:t>
      </w:r>
      <w:r>
        <w:t xml:space="preserve">By these three the third</w:t>
      </w:r>
      <w:r>
        <w:rPr>
          <w:rStyle w:val="FootnoteReference"/>
        </w:rPr>
        <w:footnoteReference w:id="19507"/>
      </w:r>
      <w:r>
        <w:t xml:space="preserve"> of men were killed, by the fire, and by the smoke, and by the brimstone, which proceeded out of their mouths.</w:t>
      </w:r>
    </w:p>
    <w:p>
      <w:r>
        <w:rPr>
          <w:b/>
        </w:rPr>
        <w:t xml:space="preserve">19 </w:t>
      </w:r>
      <w:r>
        <w:t xml:space="preserve">For their power is in their mouth, and in their tails</w:t>
      </w:r>
      <w:r>
        <w:rPr>
          <w:rStyle w:val="FootnoteReference"/>
        </w:rPr>
        <w:footnoteReference w:id="19508"/>
      </w:r>
      <w:r>
        <w:t xml:space="preserve">: for their tails were like to serpents, and had heads, and with them they do hurt.</w:t>
      </w:r>
    </w:p>
    <w:p>
      <w:r>
        <w:rPr>
          <w:b/>
        </w:rPr>
        <w:t xml:space="preserve">20 </w:t>
      </w:r>
      <w:r>
        <w:t xml:space="preserve">And the rest of the men who were not killed by these plagues yet did not repent of the works of their hands, that they should not worship</w:t>
      </w:r>
      <w:r>
        <w:rPr>
          <w:rStyle w:val="FootnoteReference"/>
        </w:rPr>
        <w:footnoteReference w:id="19509"/>
      </w:r>
      <w:r>
        <w:t xml:space="preserve"> demons, and idols of gold, and silver, and brass, and stone, and of wood: which neither can see, nor hear, nor walk:</w:t>
      </w:r>
    </w:p>
    <w:p>
      <w:r>
        <w:rPr>
          <w:b/>
        </w:rPr>
        <w:t xml:space="preserve">21 </w:t>
      </w:r>
      <w:r>
        <w:t xml:space="preserve">Neither repented they of their murders</w:t>
      </w:r>
      <w:r>
        <w:rPr>
          <w:rStyle w:val="FootnoteReference"/>
        </w:rPr>
        <w:footnoteReference w:id="19510"/>
      </w:r>
      <w:r>
        <w:t xml:space="preserve">, nor of their sorceries, nor of their sexual immorality, nor of their thefts.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10</w:t>
      </w:r>
    </w:p>
    <w:p>
      <w:r>
        <w:rPr>
          <w:b/>
        </w:rPr>
        <w:t xml:space="preserve">1 </w:t>
      </w:r>
      <w:r>
        <w:t xml:space="preserve">And I saw another</w:t>
      </w:r>
      <w:r>
        <w:rPr>
          <w:rStyle w:val="FootnoteReference"/>
        </w:rPr>
        <w:footnoteReference w:id="19511"/>
      </w:r>
      <w:r>
        <w:t xml:space="preserve"> mighty angel coming down from heaven, clothed with a cloud: and a rainbow was upon his head, and his face was as the sun, and his feet as pillars of fire:</w:t>
      </w:r>
    </w:p>
    <w:p>
      <w:r>
        <w:rPr>
          <w:b/>
        </w:rPr>
        <w:t xml:space="preserve">2 </w:t>
      </w:r>
      <w:r>
        <w:t xml:space="preserve">And he had in his hand a little</w:t>
      </w:r>
      <w:r>
        <w:rPr>
          <w:rStyle w:val="FootnoteReference"/>
        </w:rPr>
        <w:footnoteReference w:id="19512"/>
      </w:r>
      <w:r>
        <w:t xml:space="preserve"> scroll opened: and he set his right foot upon the sea, and the left upon the earth,</w:t>
      </w:r>
    </w:p>
    <w:p>
      <w:r>
        <w:rPr>
          <w:b/>
        </w:rPr>
        <w:t xml:space="preserve">3 </w:t>
      </w:r>
      <w:r>
        <w:t xml:space="preserve">And he cried with a great voice, as a lion roars: and when he cried, the seven</w:t>
      </w:r>
      <w:r>
        <w:rPr>
          <w:rStyle w:val="FootnoteReference"/>
        </w:rPr>
        <w:footnoteReference w:id="19513"/>
      </w:r>
      <w:r>
        <w:t xml:space="preserve"> thunders spoke their own voices.</w:t>
      </w:r>
    </w:p>
    <w:p>
      <w:r>
        <w:rPr>
          <w:b/>
        </w:rPr>
        <w:t xml:space="preserve">4 </w:t>
      </w:r>
      <w:r>
        <w:t xml:space="preserve">And when the seven thunders had uttered their voices, I was</w:t>
      </w:r>
      <w:r>
        <w:rPr>
          <w:rStyle w:val="FootnoteReference"/>
        </w:rPr>
        <w:footnoteReference w:id="19514"/>
      </w:r>
      <w:r>
        <w:t xml:space="preserve"> about to write: and I heard a voice from heaven saying to me, Seal up those things which the seven thunders uttered, and write them not.</w:t>
      </w:r>
    </w:p>
    <w:p>
      <w:r>
        <w:rPr>
          <w:b/>
        </w:rPr>
        <w:t xml:space="preserve">5 </w:t>
      </w:r>
      <w:r>
        <w:t xml:space="preserve">And the angel who I saw stand</w:t>
      </w:r>
      <w:r>
        <w:rPr>
          <w:rStyle w:val="FootnoteReference"/>
        </w:rPr>
        <w:footnoteReference w:id="19515"/>
      </w:r>
      <w:r>
        <w:t xml:space="preserve"> upon the sea and upon the earth lifted up his hand to heaven,</w:t>
      </w:r>
    </w:p>
    <w:p>
      <w:r>
        <w:rPr>
          <w:b/>
        </w:rPr>
        <w:t xml:space="preserve">6 </w:t>
      </w:r>
      <w:r>
        <w:t xml:space="preserve">And swore by him who lives forever and ever, who created heaven, and the things that in it are, and the earth, and the things that in it are, and the sea, and the things which are in it, that there should be time no longer:</w:t>
      </w:r>
    </w:p>
    <w:p>
      <w:r>
        <w:rPr>
          <w:b/>
        </w:rPr>
        <w:t xml:space="preserve">7 </w:t>
      </w:r>
      <w:r>
        <w:t xml:space="preserve">But in the days of the voice of the seventh angel, when he shall begin to sound, the mystery</w:t>
      </w:r>
      <w:r>
        <w:rPr>
          <w:rStyle w:val="FootnoteReference"/>
        </w:rPr>
        <w:footnoteReference w:id="19516"/>
      </w:r>
      <w:r>
        <w:t xml:space="preserve"> of God should be finished, as he has declared to his slaves the prophets.</w:t>
      </w:r>
    </w:p>
    <w:p>
      <w:r>
        <w:rPr>
          <w:b/>
        </w:rPr>
        <w:t xml:space="preserve">8 </w:t>
      </w:r>
      <w:r>
        <w:t xml:space="preserve">And the voice</w:t>
      </w:r>
      <w:r>
        <w:rPr>
          <w:rStyle w:val="FootnoteReference"/>
        </w:rPr>
        <w:footnoteReference w:id="19517"/>
      </w:r>
      <w:r>
        <w:t xml:space="preserve"> which I heard from heaven spoke to me again, and said, Go and take the little book which is open in the hand of the angel who stands upon the sea and upon the earth.</w:t>
      </w:r>
    </w:p>
    <w:p>
      <w:r>
        <w:rPr>
          <w:b/>
        </w:rPr>
        <w:t xml:space="preserve">9 </w:t>
      </w:r>
      <w:r>
        <w:t xml:space="preserve">And I went to the angel, and said to him, Give me the little book. And he said to me, Take</w:t>
      </w:r>
      <w:r>
        <w:rPr>
          <w:rStyle w:val="FootnoteReference"/>
        </w:rPr>
        <w:footnoteReference w:id="19518"/>
      </w:r>
      <w:r>
        <w:t xml:space="preserve"> it, and eat it up; and it shall make your belly bitter, but it shall be in your mouth sweet as honey.</w:t>
      </w:r>
    </w:p>
    <w:p>
      <w:r>
        <w:rPr>
          <w:b/>
        </w:rPr>
        <w:t xml:space="preserve">10 </w:t>
      </w:r>
      <w:r>
        <w:t xml:space="preserve">And I took the little scroll out of the angel's hand, and ate it; and it was in my mouth sweet</w:t>
      </w:r>
      <w:r>
        <w:rPr>
          <w:rStyle w:val="FootnoteReference"/>
        </w:rPr>
        <w:footnoteReference w:id="19519"/>
      </w:r>
      <w:r>
        <w:t xml:space="preserve"> as honey: and when I had eaten it, my belly was made bitter.</w:t>
      </w:r>
    </w:p>
    <w:p>
      <w:r>
        <w:rPr>
          <w:b/>
        </w:rPr>
        <w:t xml:space="preserve">11 </w:t>
      </w:r>
      <w:r>
        <w:t xml:space="preserve">And he said to me, You must prophesy again before many races and tribes, and nations, and tongues, and kings.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11</w:t>
      </w:r>
    </w:p>
    <w:p>
      <w:r>
        <w:rPr>
          <w:b/>
        </w:rPr>
        <w:t xml:space="preserve">1 </w:t>
      </w:r>
      <w:r>
        <w:t xml:space="preserve">And there was given me a reed</w:t>
      </w:r>
      <w:r>
        <w:rPr>
          <w:rStyle w:val="FootnoteReference"/>
        </w:rPr>
        <w:footnoteReference w:id="19520"/>
      </w:r>
      <w:r>
        <w:t xml:space="preserve"> like to a rod: and the angel stood, saying, Rise, and measure the temple of God, and the altar, and those who worship in it.</w:t>
      </w:r>
    </w:p>
    <w:p>
      <w:r>
        <w:rPr>
          <w:b/>
        </w:rPr>
        <w:t xml:space="preserve">2 </w:t>
      </w:r>
      <w:r>
        <w:t xml:space="preserve">But the court</w:t>
      </w:r>
      <w:r>
        <w:rPr>
          <w:rStyle w:val="FootnoteReference"/>
        </w:rPr>
        <w:footnoteReference w:id="19521"/>
      </w:r>
      <w:r>
        <w:t xml:space="preserve"> which is without the temple leave out, and measure it not; for it is given to the nations: and the holy city shall they tread under foot forty and two months.</w:t>
      </w:r>
    </w:p>
    <w:p>
      <w:r>
        <w:rPr>
          <w:b/>
        </w:rPr>
        <w:t xml:space="preserve">3 </w:t>
      </w:r>
      <w:r>
        <w:t xml:space="preserve">And I will give power</w:t>
      </w:r>
      <w:r>
        <w:rPr>
          <w:rStyle w:val="FootnoteReference"/>
        </w:rPr>
        <w:footnoteReference w:id="19522"/>
      </w:r>
      <w:r>
        <w:t xml:space="preserve"> to my two witnesses, and they shall prophesy a thousand two hundred and threescore days, clothed in sackcloth.</w:t>
      </w:r>
    </w:p>
    <w:p>
      <w:r>
        <w:rPr>
          <w:b/>
        </w:rPr>
        <w:t xml:space="preserve">4 </w:t>
      </w:r>
      <w:r>
        <w:t xml:space="preserve">These are the two olive</w:t>
      </w:r>
      <w:r>
        <w:rPr>
          <w:rStyle w:val="FootnoteReference"/>
        </w:rPr>
        <w:footnoteReference w:id="19523"/>
      </w:r>
      <w:r>
        <w:t xml:space="preserve"> trees, and the two lampstands standing before the God of the earth.</w:t>
      </w:r>
    </w:p>
    <w:p>
      <w:r>
        <w:rPr>
          <w:b/>
        </w:rPr>
        <w:t xml:space="preserve">5 </w:t>
      </w:r>
      <w:r>
        <w:t xml:space="preserve">And if anyone will hurt them, fire</w:t>
      </w:r>
      <w:r>
        <w:rPr>
          <w:rStyle w:val="FootnoteReference"/>
        </w:rPr>
        <w:footnoteReference w:id="19524"/>
      </w:r>
      <w:r>
        <w:t xml:space="preserve"> proceeds out of their mouth, and devours their enemies: and if anyone will hurt them, he must in this manner be killed.</w:t>
      </w:r>
    </w:p>
    <w:p>
      <w:r>
        <w:rPr>
          <w:b/>
        </w:rPr>
        <w:t xml:space="preserve">6 </w:t>
      </w:r>
      <w:r>
        <w:t xml:space="preserve">These have authority to shut heaven, that no rain should rain in the days of their prophecy: and they have authority over the waters to turn them to blood, and to strike the earth with every plague, as often as they wish.</w:t>
      </w:r>
    </w:p>
    <w:p>
      <w:r>
        <w:rPr>
          <w:b/>
        </w:rPr>
        <w:t xml:space="preserve">7 </w:t>
      </w:r>
      <w:r>
        <w:t xml:space="preserve">And when they finish their testimony, the beast</w:t>
      </w:r>
      <w:r>
        <w:rPr>
          <w:rStyle w:val="FootnoteReference"/>
        </w:rPr>
        <w:footnoteReference w:id="19525"/>
      </w:r>
      <w:r>
        <w:t xml:space="preserve"> that ascends out of the abyss shall make war with them, and shall overcome them, and kill them.</w:t>
      </w:r>
    </w:p>
    <w:p>
      <w:r>
        <w:rPr>
          <w:b/>
        </w:rPr>
        <w:t xml:space="preserve">8 </w:t>
      </w:r>
      <w:r>
        <w:t xml:space="preserve">And their dead</w:t>
      </w:r>
      <w:r>
        <w:rPr>
          <w:rStyle w:val="FootnoteReference"/>
        </w:rPr>
        <w:footnoteReference w:id="19526"/>
      </w:r>
      <w:r>
        <w:t xml:space="preserve"> bodies shall lie in the street of the great city, which spiritually is called Sodom and Egypt, where also our Lord was crucified.</w:t>
      </w:r>
    </w:p>
    <w:p>
      <w:r>
        <w:rPr>
          <w:b/>
        </w:rPr>
        <w:t xml:space="preserve">9 </w:t>
      </w:r>
      <w:r>
        <w:t xml:space="preserve">And they of the people and families and tongues and nations shall see their dead bodies three</w:t>
      </w:r>
      <w:r>
        <w:rPr>
          <w:rStyle w:val="FootnoteReference"/>
        </w:rPr>
        <w:footnoteReference w:id="19527"/>
      </w:r>
      <w:r>
        <w:t xml:space="preserve"> days and a half, and shall not allow their dead bodies to be put in graves.</w:t>
      </w:r>
    </w:p>
    <w:p>
      <w:r>
        <w:rPr>
          <w:b/>
        </w:rPr>
        <w:t xml:space="preserve">10 </w:t>
      </w:r>
      <w:r>
        <w:t xml:space="preserve">And those who dwell</w:t>
      </w:r>
      <w:r>
        <w:rPr>
          <w:rStyle w:val="FootnoteReference"/>
        </w:rPr>
        <w:footnoteReference w:id="19528"/>
      </w:r>
      <w:r>
        <w:t xml:space="preserve"> upon the earth shall rejoice over them, and make merry, and shall send gifts one to another; because these two prophets tormented those who dwelt on the earth.</w:t>
      </w:r>
    </w:p>
    <w:p>
      <w:r>
        <w:rPr>
          <w:b/>
        </w:rPr>
        <w:t xml:space="preserve">11 </w:t>
      </w:r>
      <w:r>
        <w:t xml:space="preserve">And after three</w:t>
      </w:r>
      <w:r>
        <w:rPr>
          <w:rStyle w:val="FootnoteReference"/>
        </w:rPr>
        <w:footnoteReference w:id="19529"/>
      </w:r>
      <w:r>
        <w:t xml:space="preserve"> days and a half the spirit of life from God entered into them, and they stood upon their feet; and great fear fell upon those who saw them.</w:t>
      </w:r>
    </w:p>
    <w:p>
      <w:r>
        <w:rPr>
          <w:b/>
        </w:rPr>
        <w:t xml:space="preserve">12 </w:t>
      </w:r>
      <w:r>
        <w:t xml:space="preserve">And they heard a great voice from heaven saying to them, Come up here. And they ascended up to heaven in a cloud; and their</w:t>
      </w:r>
      <w:r>
        <w:rPr>
          <w:rStyle w:val="FootnoteReference"/>
        </w:rPr>
        <w:footnoteReference w:id="19530"/>
      </w:r>
      <w:r>
        <w:t xml:space="preserve"> enemies beheld them.</w:t>
      </w:r>
    </w:p>
    <w:p>
      <w:r>
        <w:rPr>
          <w:b/>
        </w:rPr>
        <w:t xml:space="preserve">13 </w:t>
      </w:r>
      <w:r>
        <w:t xml:space="preserve">And the same hour was there</w:t>
      </w:r>
      <w:r>
        <w:rPr>
          <w:rStyle w:val="FootnoteReference"/>
        </w:rPr>
        <w:footnoteReference w:id="19531"/>
      </w:r>
      <w:r>
        <w:t xml:space="preserve"> a great earthquake, and the tenth part of the city fell, and in the earthquake were killed of men seven thousand: and the remnant were frightened, and gave glory to the God of heaven.</w:t>
      </w:r>
    </w:p>
    <w:p>
      <w:r>
        <w:rPr>
          <w:b/>
        </w:rPr>
        <w:t xml:space="preserve">14 </w:t>
      </w:r>
      <w:r>
        <w:t xml:space="preserve">The second woe is past; and, look, the third woe comes quickly.</w:t>
      </w:r>
    </w:p>
    <w:p>
      <w:r>
        <w:rPr>
          <w:b/>
        </w:rPr>
        <w:t xml:space="preserve">15 </w:t>
      </w:r>
      <w:r>
        <w:t xml:space="preserve">And the seventh</w:t>
      </w:r>
      <w:r>
        <w:rPr>
          <w:rStyle w:val="FootnoteReference"/>
        </w:rPr>
        <w:footnoteReference w:id="19532"/>
      </w:r>
      <w:r>
        <w:t xml:space="preserve"> angel sounded; and there were great voices in heaven, saying, The kingdoms of this world are become the kingdoms of our Lord, and of his Christ; and he shall reign forever and ever.</w:t>
      </w:r>
    </w:p>
    <w:p>
      <w:r>
        <w:rPr>
          <w:b/>
        </w:rPr>
        <w:t xml:space="preserve">16 </w:t>
      </w:r>
      <w:r>
        <w:t xml:space="preserve">And the four and twenty elders, which sat before God on their seats, fell upon their faces, and worshiped God,</w:t>
      </w:r>
    </w:p>
    <w:p>
      <w:r>
        <w:rPr>
          <w:b/>
        </w:rPr>
        <w:t xml:space="preserve">17 </w:t>
      </w:r>
      <w:r>
        <w:t xml:space="preserve">Saying, We give</w:t>
      </w:r>
      <w:r>
        <w:rPr>
          <w:rStyle w:val="FootnoteReference"/>
        </w:rPr>
        <w:footnoteReference w:id="19533"/>
      </w:r>
      <w:r>
        <w:t xml:space="preserve"> you thanks, O Lord God Almighty, which are, and were, and are to come; because you have taken to you your great power, and have reigned.</w:t>
      </w:r>
    </w:p>
    <w:p>
      <w:r>
        <w:rPr>
          <w:b/>
        </w:rPr>
        <w:t xml:space="preserve">18 </w:t>
      </w:r>
      <w:r>
        <w:t xml:space="preserve">And the nations</w:t>
      </w:r>
      <w:r>
        <w:rPr>
          <w:rStyle w:val="FootnoteReference"/>
        </w:rPr>
        <w:footnoteReference w:id="19534"/>
      </w:r>
      <w:r>
        <w:t xml:space="preserve"> were angry, and your wrath has come, and the time of the dead, that they should be judged, and that you should give reward to your slaves the prophets, and to the holy ones, and those who fear your name, small and great; and should destroy those who destroy the earth.</w:t>
      </w:r>
    </w:p>
    <w:p>
      <w:r>
        <w:rPr>
          <w:b/>
        </w:rPr>
        <w:t xml:space="preserve">19 </w:t>
      </w:r>
      <w:r>
        <w:t xml:space="preserve">And the temple</w:t>
      </w:r>
      <w:r>
        <w:rPr>
          <w:rStyle w:val="FootnoteReference"/>
        </w:rPr>
        <w:footnoteReference w:id="19535"/>
      </w:r>
      <w:r>
        <w:t xml:space="preserve"> of God was opened in heaven, and there was seen in his temple the ark of his covenant: and there were lightnings, and voices, and thunderings, and an earthquake, and great hail.</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12</w:t>
      </w:r>
    </w:p>
    <w:p>
      <w:r>
        <w:rPr>
          <w:b/>
        </w:rPr>
        <w:t xml:space="preserve">1 </w:t>
      </w:r>
      <w:r>
        <w:t xml:space="preserve">And a great sign was seen in heaven; a woman</w:t>
      </w:r>
      <w:r>
        <w:rPr>
          <w:rStyle w:val="FootnoteReference"/>
        </w:rPr>
        <w:footnoteReference w:id="19536"/>
      </w:r>
      <w:r>
        <w:t xml:space="preserve"> clothed with the sun, and the moon underneath her feet, and upon her head a crown of twelve stars:</w:t>
      </w:r>
    </w:p>
    <w:p>
      <w:r>
        <w:rPr>
          <w:b/>
        </w:rPr>
        <w:t xml:space="preserve">2 </w:t>
      </w:r>
      <w:r>
        <w:t xml:space="preserve">And having in the womb, she cries, being in labor and being tormented to give birth.</w:t>
      </w:r>
    </w:p>
    <w:p>
      <w:r>
        <w:rPr>
          <w:b/>
        </w:rPr>
        <w:t xml:space="preserve">3 </w:t>
      </w:r>
      <w:r>
        <w:t xml:space="preserve">And there appeared another wonder</w:t>
      </w:r>
      <w:r>
        <w:rPr>
          <w:rStyle w:val="FootnoteReference"/>
        </w:rPr>
        <w:footnoteReference w:id="19537"/>
      </w:r>
      <w:r>
        <w:t xml:space="preserve"> in heaven; and look a great red dragon, having seven heads and ten horns, and seven crowns upon his heads.</w:t>
      </w:r>
    </w:p>
    <w:p>
      <w:r>
        <w:rPr>
          <w:b/>
        </w:rPr>
        <w:t xml:space="preserve">4 </w:t>
      </w:r>
      <w:r>
        <w:t xml:space="preserve">And his tail</w:t>
      </w:r>
      <w:r>
        <w:rPr>
          <w:rStyle w:val="FootnoteReference"/>
        </w:rPr>
        <w:footnoteReference w:id="19538"/>
      </w:r>
      <w:r>
        <w:t xml:space="preserve"> drew the third part of the stars of heaven, and did cast them to the earth: and the dragon stood before the woman who was ready to be delivered, in order to devour her child as soon as it was born.</w:t>
      </w:r>
    </w:p>
    <w:p>
      <w:r>
        <w:rPr>
          <w:b/>
        </w:rPr>
        <w:t xml:space="preserve">5 </w:t>
      </w:r>
      <w:r>
        <w:t xml:space="preserve">And she bore a male child, who was to rule</w:t>
      </w:r>
      <w:r>
        <w:rPr>
          <w:rStyle w:val="FootnoteReference"/>
        </w:rPr>
        <w:footnoteReference w:id="19539"/>
      </w:r>
      <w:r>
        <w:t xml:space="preserve"> all nations with a rod of iron: and her child was caught up to God, and to his throne.</w:t>
      </w:r>
    </w:p>
    <w:p>
      <w:r>
        <w:rPr>
          <w:b/>
        </w:rPr>
        <w:t xml:space="preserve">6 </w:t>
      </w:r>
      <w:r>
        <w:t xml:space="preserve">And the woman</w:t>
      </w:r>
      <w:r>
        <w:rPr>
          <w:rStyle w:val="FootnoteReference"/>
        </w:rPr>
        <w:footnoteReference w:id="19540"/>
      </w:r>
      <w:r>
        <w:t xml:space="preserve"> fled into the wilderness, where she has a place prepared from God, that they should nourish her there a thousand two hundred sixty days.</w:t>
      </w:r>
    </w:p>
    <w:p>
      <w:r>
        <w:rPr>
          <w:b/>
        </w:rPr>
        <w:t xml:space="preserve">7 </w:t>
      </w:r>
      <w:r>
        <w:t xml:space="preserve">And there was war in heaven: Michael</w:t>
      </w:r>
      <w:r>
        <w:rPr>
          <w:rStyle w:val="FootnoteReference"/>
        </w:rPr>
        <w:footnoteReference w:id="19541"/>
      </w:r>
      <w:r>
        <w:t xml:space="preserve"> and his angels fought against the dragon; and the dragon fought, and his angels,</w:t>
      </w:r>
    </w:p>
    <w:p>
      <w:r>
        <w:rPr>
          <w:b/>
        </w:rPr>
        <w:t xml:space="preserve">8 </w:t>
      </w:r>
      <w:r>
        <w:t xml:space="preserve">And did not prevail</w:t>
      </w:r>
      <w:r>
        <w:rPr>
          <w:rStyle w:val="FootnoteReference"/>
        </w:rPr>
        <w:footnoteReference w:id="19542"/>
      </w:r>
      <w:r>
        <w:t xml:space="preserve">; neither was their place found any more in heaven.</w:t>
      </w:r>
    </w:p>
    <w:p>
      <w:r>
        <w:rPr>
          <w:b/>
        </w:rPr>
        <w:t xml:space="preserve">9 </w:t>
      </w:r>
      <w:r>
        <w:t xml:space="preserve">And the great</w:t>
      </w:r>
      <w:r>
        <w:rPr>
          <w:rStyle w:val="FootnoteReference"/>
        </w:rPr>
        <w:footnoteReference w:id="19543"/>
      </w:r>
      <w:r>
        <w:t xml:space="preserve"> dragon was cast down, the ancient serpent, called Devil and Satan, who deceives the whole inhabited world: he was cast down to the earth, and his angels were cast down with him.</w:t>
      </w:r>
    </w:p>
    <w:p>
      <w:r>
        <w:rPr>
          <w:b/>
        </w:rPr>
        <w:t xml:space="preserve">10 </w:t>
      </w:r>
      <w:r>
        <w:t xml:space="preserve">And I heard</w:t>
      </w:r>
      <w:r>
        <w:rPr>
          <w:rStyle w:val="FootnoteReference"/>
        </w:rPr>
        <w:footnoteReference w:id="19544"/>
      </w:r>
      <w:r>
        <w:t xml:space="preserve"> a loud voice saying in heaven, Now has come salvation, and strength, and the kingdom of our God, and the power of his Christ: for the accuser of our brothers is cast down, which accused them before our God day and night.</w:t>
      </w:r>
    </w:p>
    <w:p>
      <w:r>
        <w:rPr>
          <w:b/>
        </w:rPr>
        <w:t xml:space="preserve">11 </w:t>
      </w:r>
      <w:r>
        <w:t xml:space="preserve">And they overcame</w:t>
      </w:r>
      <w:r>
        <w:rPr>
          <w:rStyle w:val="FootnoteReference"/>
        </w:rPr>
        <w:footnoteReference w:id="19545"/>
      </w:r>
      <w:r>
        <w:t xml:space="preserve"> him by the blood of the Lamb, and by the word of their testimony; and they loved not their lives to the death.</w:t>
      </w:r>
    </w:p>
    <w:p>
      <w:r>
        <w:rPr>
          <w:b/>
        </w:rPr>
        <w:t xml:space="preserve">12 </w:t>
      </w:r>
      <w:r>
        <w:t xml:space="preserve">Therefore rejoice</w:t>
      </w:r>
      <w:r>
        <w:rPr>
          <w:rStyle w:val="FootnoteReference"/>
        </w:rPr>
        <w:footnoteReference w:id="19546"/>
      </w:r>
      <w:r>
        <w:t xml:space="preserve">, you heavens, and you that dwell in them. Woe to the citizens of the earth and of the sea! for the devil has come down to you, having great wrath, because he knows that he has but a short time.</w:t>
      </w:r>
    </w:p>
    <w:p>
      <w:r>
        <w:rPr>
          <w:b/>
        </w:rPr>
        <w:t xml:space="preserve">13 </w:t>
      </w:r>
      <w:r>
        <w:t xml:space="preserve">And when the dragon saw that he was cast to the earth, he persecuted the woman who bore the male child.</w:t>
      </w:r>
    </w:p>
    <w:p>
      <w:r>
        <w:rPr>
          <w:b/>
        </w:rPr>
        <w:t xml:space="preserve">14 </w:t>
      </w:r>
      <w:r>
        <w:t xml:space="preserve">And to the woman were given the two wings of the great eagle, that she might</w:t>
      </w:r>
      <w:r>
        <w:rPr>
          <w:rStyle w:val="FootnoteReference"/>
        </w:rPr>
        <w:footnoteReference w:id="19547"/>
      </w:r>
      <w:r>
        <w:t xml:space="preserve"> fly into the wilderness, to her place, where she is nourished there for a time, and times, and half a time, from the face of the serpent.</w:t>
      </w:r>
    </w:p>
    <w:p>
      <w:r>
        <w:rPr>
          <w:b/>
        </w:rPr>
        <w:t xml:space="preserve">15 </w:t>
      </w:r>
      <w:r>
        <w:t xml:space="preserve">And the serpent cast</w:t>
      </w:r>
      <w:r>
        <w:rPr>
          <w:rStyle w:val="FootnoteReference"/>
        </w:rPr>
        <w:footnoteReference w:id="19548"/>
      </w:r>
      <w:r>
        <w:t xml:space="preserve"> out of his mouth water as a river after the woman, that he might make her carried away by the river.</w:t>
      </w:r>
    </w:p>
    <w:p>
      <w:r>
        <w:rPr>
          <w:b/>
        </w:rPr>
        <w:t xml:space="preserve">16 </w:t>
      </w:r>
      <w:r>
        <w:t xml:space="preserve">And the earth helped the woman, and the earth opened its mouth, and swallowed the river which the dragon cast out of his mouth.</w:t>
      </w:r>
    </w:p>
    <w:p>
      <w:r>
        <w:rPr>
          <w:b/>
        </w:rPr>
        <w:t xml:space="preserve">17 </w:t>
      </w:r>
      <w:r>
        <w:t xml:space="preserve">And the dragon</w:t>
      </w:r>
      <w:r>
        <w:rPr>
          <w:rStyle w:val="FootnoteReference"/>
        </w:rPr>
        <w:footnoteReference w:id="19549"/>
      </w:r>
      <w:r>
        <w:t xml:space="preserve"> was angry with the woman, and went to make war with the remnant of her seed, which keep the commandments of God, and have the testimony of Jesus Christ.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13</w:t>
      </w:r>
    </w:p>
    <w:p>
      <w:r>
        <w:rPr>
          <w:b/>
        </w:rPr>
        <w:t xml:space="preserve">1 </w:t>
      </w:r>
      <w:r>
        <w:t xml:space="preserve">And I stood upon</w:t>
      </w:r>
      <w:r>
        <w:rPr>
          <w:rStyle w:val="FootnoteReference"/>
        </w:rPr>
        <w:footnoteReference w:id="19550"/>
      </w:r>
      <w:r>
        <w:t xml:space="preserve"> the sand of the sea, and saw a beast ascending out of the sea, having seven heads and ten horns, and upon his horns ten diadems, and upon his heads a name of blasphemy.</w:t>
      </w:r>
    </w:p>
    <w:p>
      <w:r>
        <w:rPr>
          <w:b/>
        </w:rPr>
        <w:t xml:space="preserve">2 </w:t>
      </w:r>
      <w:r>
        <w:t xml:space="preserve">And the beast which I saw was like</w:t>
      </w:r>
      <w:r>
        <w:rPr>
          <w:rStyle w:val="FootnoteReference"/>
        </w:rPr>
        <w:footnoteReference w:id="19551"/>
      </w:r>
      <w:r>
        <w:t xml:space="preserve"> to a leopard, and his feet were as the feet of a bear, and his mouth as the mouth of a lion: and the dragon gave him his power, and his seat, and great authority.</w:t>
      </w:r>
    </w:p>
    <w:p>
      <w:r>
        <w:rPr>
          <w:b/>
        </w:rPr>
        <w:t xml:space="preserve">3 </w:t>
      </w:r>
      <w:r>
        <w:t xml:space="preserve">And I saw one of his heads as having been slain to death; and the wound of his death was healed: and the whole earth marveled after the beast.</w:t>
      </w:r>
    </w:p>
    <w:p>
      <w:r>
        <w:rPr>
          <w:b/>
        </w:rPr>
        <w:t xml:space="preserve">4 </w:t>
      </w:r>
      <w:r>
        <w:t xml:space="preserve">And they worshiped the dragon which gave power to the beast: and they worshiped the beast, saying, Who is like</w:t>
      </w:r>
      <w:r>
        <w:rPr>
          <w:rStyle w:val="FootnoteReference"/>
        </w:rPr>
        <w:footnoteReference w:id="19552"/>
      </w:r>
      <w:r>
        <w:t xml:space="preserve"> to the beast? who is able to make war with him?</w:t>
      </w:r>
    </w:p>
    <w:p>
      <w:r>
        <w:rPr>
          <w:b/>
        </w:rPr>
        <w:t xml:space="preserve">5 </w:t>
      </w:r>
      <w:r>
        <w:t xml:space="preserve">And there was given to him a mouth</w:t>
      </w:r>
      <w:r>
        <w:rPr>
          <w:rStyle w:val="FootnoteReference"/>
        </w:rPr>
        <w:footnoteReference w:id="19553"/>
      </w:r>
      <w:r>
        <w:t xml:space="preserve"> speaking great things and blasphemies; and power was given to him to continue forty and two months.</w:t>
      </w:r>
    </w:p>
    <w:p>
      <w:r>
        <w:rPr>
          <w:b/>
        </w:rPr>
        <w:t xml:space="preserve">6 </w:t>
      </w:r>
      <w:r>
        <w:t xml:space="preserve">And he opened</w:t>
      </w:r>
      <w:r>
        <w:rPr>
          <w:rStyle w:val="FootnoteReference"/>
        </w:rPr>
        <w:footnoteReference w:id="19554"/>
      </w:r>
      <w:r>
        <w:t xml:space="preserve"> his mouth in blasphemy against God, to blaspheme his name, and his tabernacle, and those who dwell in heaven.</w:t>
      </w:r>
    </w:p>
    <w:p>
      <w:r>
        <w:rPr>
          <w:b/>
        </w:rPr>
        <w:t xml:space="preserve">7 </w:t>
      </w:r>
      <w:r>
        <w:t xml:space="preserve">And it was given to him to make</w:t>
      </w:r>
      <w:r>
        <w:rPr>
          <w:rStyle w:val="FootnoteReference"/>
        </w:rPr>
        <w:footnoteReference w:id="19555"/>
      </w:r>
      <w:r>
        <w:t xml:space="preserve"> war with the holy ones, and to overcome them: and power was given him over all families, and tongues, and nations.</w:t>
      </w:r>
    </w:p>
    <w:p>
      <w:r>
        <w:rPr>
          <w:b/>
        </w:rPr>
        <w:t xml:space="preserve">8 </w:t>
      </w:r>
      <w:r>
        <w:t xml:space="preserve">And all that dwell upon the earth shall worship him, whose names are not written in the book of life of the Lamb</w:t>
      </w:r>
      <w:r>
        <w:rPr>
          <w:rStyle w:val="FootnoteReference"/>
        </w:rPr>
        <w:footnoteReference w:id="19556"/>
      </w:r>
      <w:r>
        <w:t xml:space="preserve"> killed from the foundation of the world.</w:t>
      </w:r>
    </w:p>
    <w:p>
      <w:r>
        <w:rPr>
          <w:b/>
        </w:rPr>
        <w:t xml:space="preserve">9 </w:t>
      </w:r>
      <w:r>
        <w:t xml:space="preserve">If anyone have an ear, let him hear.</w:t>
      </w:r>
    </w:p>
    <w:p>
      <w:r>
        <w:rPr>
          <w:b/>
        </w:rPr>
        <w:t xml:space="preserve">10 </w:t>
      </w:r>
      <w:r>
        <w:t xml:space="preserve">the one who leads into captivity shall go into captivity: the one who kills with the sword must be killed with the sword. Here</w:t>
      </w:r>
      <w:r>
        <w:rPr>
          <w:rStyle w:val="FootnoteReference"/>
        </w:rPr>
        <w:footnoteReference w:id="19557"/>
      </w:r>
      <w:r>
        <w:t xml:space="preserve"> is the patience and the faith of the holy ones.</w:t>
      </w:r>
    </w:p>
    <w:p>
      <w:r>
        <w:rPr>
          <w:b/>
        </w:rPr>
        <w:t xml:space="preserve">11 </w:t>
      </w:r>
      <w:r>
        <w:t xml:space="preserve">And I saw another beast ascending out of the earth; and he had</w:t>
      </w:r>
      <w:r>
        <w:rPr>
          <w:rStyle w:val="FootnoteReference"/>
        </w:rPr>
        <w:footnoteReference w:id="19558"/>
      </w:r>
      <w:r>
        <w:t xml:space="preserve"> two horns like a lamb, and he spoke as a dragon.</w:t>
      </w:r>
    </w:p>
    <w:p>
      <w:r>
        <w:rPr>
          <w:b/>
        </w:rPr>
        <w:t xml:space="preserve">12 </w:t>
      </w:r>
      <w:r>
        <w:t xml:space="preserve">And he execises all the power of the first beast before him, and causes the earth and those who dwell in it to worship the first beast, whose deadly wound was healed.</w:t>
      </w:r>
    </w:p>
    <w:p>
      <w:r>
        <w:rPr>
          <w:b/>
        </w:rPr>
        <w:t xml:space="preserve">13 </w:t>
      </w:r>
      <w:r>
        <w:t xml:space="preserve">And he does great signs, so that he even makes fire come down from heaven to the earth before men,</w:t>
      </w:r>
    </w:p>
    <w:p>
      <w:r>
        <w:rPr>
          <w:b/>
        </w:rPr>
        <w:t xml:space="preserve">14 </w:t>
      </w:r>
      <w:r>
        <w:t xml:space="preserve">And deceives those who dwell</w:t>
      </w:r>
      <w:r>
        <w:rPr>
          <w:rStyle w:val="FootnoteReference"/>
        </w:rPr>
        <w:footnoteReference w:id="19559"/>
      </w:r>
      <w:r>
        <w:t xml:space="preserve"> on the earth by the means of those miracles which he had power to do in the sight of the beast; saying to those who dwell on the earth, that they should make an image to the beast, which had the wound by a sword, and did live.</w:t>
      </w:r>
    </w:p>
    <w:p>
      <w:r>
        <w:rPr>
          <w:b/>
        </w:rPr>
        <w:t xml:space="preserve">15 </w:t>
      </w:r>
      <w:r>
        <w:t xml:space="preserve">And he had power to give life</w:t>
      </w:r>
      <w:r>
        <w:rPr>
          <w:rStyle w:val="FootnoteReference"/>
        </w:rPr>
        <w:footnoteReference w:id="19560"/>
      </w:r>
      <w:r>
        <w:t xml:space="preserve"> to the image of the beast, that the image of the beast should both speak, and cause that as many as would not worship the image of the beast should be killed.</w:t>
      </w:r>
    </w:p>
    <w:p>
      <w:r>
        <w:rPr>
          <w:b/>
        </w:rPr>
        <w:t xml:space="preserve">16 </w:t>
      </w:r>
      <w:r>
        <w:t xml:space="preserve">And he causes all, both</w:t>
      </w:r>
      <w:r>
        <w:rPr>
          <w:rStyle w:val="FootnoteReference"/>
        </w:rPr>
        <w:footnoteReference w:id="19561"/>
      </w:r>
      <w:r>
        <w:t xml:space="preserve"> small and great, rich and poor, free and slave, to receive a mark in their right hand, or in their foreheads:</w:t>
      </w:r>
    </w:p>
    <w:p>
      <w:r>
        <w:rPr>
          <w:b/>
        </w:rPr>
        <w:t xml:space="preserve">17 </w:t>
      </w:r>
      <w:r>
        <w:t xml:space="preserve">And that no one might buy or sell, save the one who had the mark</w:t>
      </w:r>
      <w:r>
        <w:rPr>
          <w:rStyle w:val="FootnoteReference"/>
        </w:rPr>
        <w:footnoteReference w:id="19562"/>
      </w:r>
      <w:r>
        <w:t xml:space="preserve">, or the name of the beast, or the number of his name.</w:t>
      </w:r>
    </w:p>
    <w:p>
      <w:r>
        <w:rPr>
          <w:b/>
        </w:rPr>
        <w:t xml:space="preserve">18 </w:t>
      </w:r>
      <w:r>
        <w:t xml:space="preserve">Here</w:t>
      </w:r>
      <w:r>
        <w:rPr>
          <w:rStyle w:val="FootnoteReference"/>
        </w:rPr>
        <w:footnoteReference w:id="19563"/>
      </w:r>
      <w:r>
        <w:t xml:space="preserve"> is wisdom. Let him who has understanding count the number of the beast: for it is the number of a man; and his number is Six hundred threescore and six.</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14</w:t>
      </w:r>
    </w:p>
    <w:p>
      <w:r>
        <w:rPr>
          <w:b/>
        </w:rPr>
        <w:t xml:space="preserve">1 </w:t>
      </w:r>
      <w:r>
        <w:t xml:space="preserve">And I looked</w:t>
      </w:r>
      <w:r>
        <w:rPr>
          <w:rStyle w:val="FootnoteReference"/>
        </w:rPr>
        <w:footnoteReference w:id="19564"/>
      </w:r>
      <w:r>
        <w:t xml:space="preserve">, and, look, a Lamb stood on the mount Zion, and with him a hundred forty and four thousand, having his Father's name written in their foreheads.</w:t>
      </w:r>
    </w:p>
    <w:p>
      <w:r>
        <w:rPr>
          <w:b/>
        </w:rPr>
        <w:t xml:space="preserve">2 </w:t>
      </w:r>
      <w:r>
        <w:t xml:space="preserve">And I heard a voice</w:t>
      </w:r>
      <w:r>
        <w:rPr>
          <w:rStyle w:val="FootnoteReference"/>
        </w:rPr>
        <w:footnoteReference w:id="19565"/>
      </w:r>
      <w:r>
        <w:t xml:space="preserve"> from heaven, as a voice of many waters, and as a voice of great thunder: and I heard a voice of harpists playing on their harps:</w:t>
      </w:r>
    </w:p>
    <w:p>
      <w:r>
        <w:rPr>
          <w:b/>
        </w:rPr>
        <w:t xml:space="preserve">3 </w:t>
      </w:r>
      <w:r>
        <w:t xml:space="preserve">And they sung as it were a new song before the throne</w:t>
      </w:r>
      <w:r>
        <w:rPr>
          <w:rStyle w:val="FootnoteReference"/>
        </w:rPr>
        <w:footnoteReference w:id="19566"/>
      </w:r>
      <w:r>
        <w:t xml:space="preserve">, and before the four living creatures, and the elders: and no one could learn that song but the hundred and forty and four thousand, which were redeemed from the earth.</w:t>
      </w:r>
    </w:p>
    <w:p>
      <w:r>
        <w:rPr>
          <w:b/>
        </w:rPr>
        <w:t xml:space="preserve">4 </w:t>
      </w:r>
      <w:r>
        <w:t xml:space="preserve">These are those who were not defiled with women; for they are virgins. These are those who follow the Lamb anywhere he goes. These were</w:t>
      </w:r>
      <w:r>
        <w:rPr>
          <w:rStyle w:val="FootnoteReference"/>
        </w:rPr>
        <w:footnoteReference w:id="19567"/>
      </w:r>
      <w:r>
        <w:t xml:space="preserve"> redeemed from among men, being the first-fruits to God and to the Lamb.</w:t>
      </w:r>
    </w:p>
    <w:p>
      <w:r>
        <w:rPr>
          <w:b/>
        </w:rPr>
        <w:t xml:space="preserve">5 </w:t>
      </w:r>
      <w:r>
        <w:t xml:space="preserve">And in their mouth no deceit was found: for they are blameless before the throne of God.</w:t>
      </w:r>
    </w:p>
    <w:p>
      <w:r>
        <w:rPr>
          <w:b/>
        </w:rPr>
        <w:t xml:space="preserve">6 </w:t>
      </w:r>
      <w:r>
        <w:t xml:space="preserve">And I saw another</w:t>
      </w:r>
      <w:r>
        <w:rPr>
          <w:rStyle w:val="FootnoteReference"/>
        </w:rPr>
        <w:footnoteReference w:id="19568"/>
      </w:r>
      <w:r>
        <w:t xml:space="preserve"> angel fly in the midst of heaven, having the eternal good news to preach to those who dwell on the earth, and to every nation, and kindred, and tongue, and people,</w:t>
      </w:r>
    </w:p>
    <w:p>
      <w:r>
        <w:rPr>
          <w:b/>
        </w:rPr>
        <w:t xml:space="preserve">7 </w:t>
      </w:r>
      <w:r>
        <w:t xml:space="preserve">Saying with a loud voice, Fear</w:t>
      </w:r>
      <w:r>
        <w:rPr>
          <w:rStyle w:val="FootnoteReference"/>
        </w:rPr>
        <w:footnoteReference w:id="19569"/>
      </w:r>
      <w:r>
        <w:t xml:space="preserve"> God, and give glory to him; for the hour of his judgment has come: and worship him who made heaven, and earth, and the sea, and the fountains of waters.</w:t>
      </w:r>
    </w:p>
    <w:p>
      <w:r>
        <w:rPr>
          <w:b/>
        </w:rPr>
        <w:t xml:space="preserve">8 </w:t>
      </w:r>
      <w:r>
        <w:t xml:space="preserve">And there followed another angel, saying, Babylon</w:t>
      </w:r>
      <w:r>
        <w:rPr>
          <w:rStyle w:val="FootnoteReference"/>
        </w:rPr>
        <w:footnoteReference w:id="19570"/>
      </w:r>
      <w:r>
        <w:t xml:space="preserve"> is fallen, is fallen, that great city, because she made all nations drink of the wine of the wrath of her sexual immorality.</w:t>
      </w:r>
    </w:p>
    <w:p>
      <w:r>
        <w:rPr>
          <w:b/>
        </w:rPr>
        <w:t xml:space="preserve">9 </w:t>
      </w:r>
      <w:r>
        <w:t xml:space="preserve">And the third</w:t>
      </w:r>
      <w:r>
        <w:rPr>
          <w:rStyle w:val="FootnoteReference"/>
        </w:rPr>
        <w:footnoteReference w:id="19571"/>
      </w:r>
      <w:r>
        <w:t xml:space="preserve"> angel followed them, saying with a loud voice, If anyone worship the beast and his image, and receive his mark in his forehead, or in his hand,</w:t>
      </w:r>
    </w:p>
    <w:p>
      <w:r>
        <w:rPr>
          <w:b/>
        </w:rPr>
        <w:t xml:space="preserve">10 </w:t>
      </w:r>
      <w:r>
        <w:t xml:space="preserve">The same shall drink</w:t>
      </w:r>
      <w:r>
        <w:rPr>
          <w:rStyle w:val="FootnoteReference"/>
        </w:rPr>
        <w:footnoteReference w:id="19572"/>
      </w:r>
      <w:r>
        <w:t xml:space="preserve"> of the wine of the wrath of God, who is poured out without mixture into the cup of his indignation; and he shall be tormented with fire and brimstone in the presence of the holy angels, and in the presence of the Lamb:</w:t>
      </w:r>
    </w:p>
    <w:p>
      <w:r>
        <w:rPr>
          <w:b/>
        </w:rPr>
        <w:t xml:space="preserve">11 </w:t>
      </w:r>
      <w:r>
        <w:t xml:space="preserve">And the smoke</w:t>
      </w:r>
      <w:r>
        <w:rPr>
          <w:rStyle w:val="FootnoteReference"/>
        </w:rPr>
        <w:footnoteReference w:id="19573"/>
      </w:r>
      <w:r>
        <w:t xml:space="preserve"> of their torment ascends up forever and ever: and they have no rest day nor night, who worship the beast and his image, and whoever receives the mark of his name.</w:t>
      </w:r>
    </w:p>
    <w:p>
      <w:r>
        <w:rPr>
          <w:b/>
        </w:rPr>
        <w:t xml:space="preserve">12 </w:t>
      </w:r>
      <w:r>
        <w:t xml:space="preserve">Here is the patience of the holy ones: here are</w:t>
      </w:r>
      <w:r>
        <w:rPr>
          <w:rStyle w:val="FootnoteReference"/>
        </w:rPr>
        <w:footnoteReference w:id="19574"/>
      </w:r>
      <w:r>
        <w:t xml:space="preserve"> those who keep the commandments of God, and the faith of Jesus.</w:t>
      </w:r>
    </w:p>
    <w:p>
      <w:r>
        <w:rPr>
          <w:b/>
        </w:rPr>
        <w:t xml:space="preserve">13 </w:t>
      </w:r>
      <w:r>
        <w:t xml:space="preserve">And I heard a voice</w:t>
      </w:r>
      <w:r>
        <w:rPr>
          <w:rStyle w:val="FootnoteReference"/>
        </w:rPr>
        <w:footnoteReference w:id="19575"/>
      </w:r>
      <w:r>
        <w:t xml:space="preserve"> from heaven saying to me, Write, Blessed are the dead which die in the Lord from now on: Yes, says the Spirit, that they may rest from their labors; and their works do follow them.</w:t>
      </w:r>
    </w:p>
    <w:p>
      <w:r>
        <w:rPr>
          <w:b/>
        </w:rPr>
        <w:t xml:space="preserve">14 </w:t>
      </w:r>
      <w:r>
        <w:t xml:space="preserve">And I looked, and look a white cloud, and upon the cloud one sat like to the Son of man, having on his head a golden</w:t>
      </w:r>
      <w:r>
        <w:rPr>
          <w:rStyle w:val="FootnoteReference"/>
        </w:rPr>
        <w:footnoteReference w:id="19576"/>
      </w:r>
      <w:r>
        <w:t xml:space="preserve"> crown, and in his hand a sharp sickle.</w:t>
      </w:r>
    </w:p>
    <w:p>
      <w:r>
        <w:rPr>
          <w:b/>
        </w:rPr>
        <w:t xml:space="preserve">15 </w:t>
      </w:r>
      <w:r>
        <w:t xml:space="preserve">And another angel came out of the temple, crying</w:t>
      </w:r>
      <w:r>
        <w:rPr>
          <w:rStyle w:val="FootnoteReference"/>
        </w:rPr>
        <w:footnoteReference w:id="19577"/>
      </w:r>
      <w:r>
        <w:t xml:space="preserve"> with a loud voice to him who sat on the cloud, Thrust in your sickle, and reap: for the time has come for you to reap; for the harvest of the earth is ripe.</w:t>
      </w:r>
    </w:p>
    <w:p>
      <w:r>
        <w:rPr>
          <w:b/>
        </w:rPr>
        <w:t xml:space="preserve">16 </w:t>
      </w:r>
      <w:r>
        <w:t xml:space="preserve">And the one who sat on the cloud thrust</w:t>
      </w:r>
      <w:r>
        <w:rPr>
          <w:rStyle w:val="FootnoteReference"/>
        </w:rPr>
        <w:footnoteReference w:id="19578"/>
      </w:r>
      <w:r>
        <w:t xml:space="preserve"> in his sickle on the earth; and the earth was reaped.</w:t>
      </w:r>
    </w:p>
    <w:p>
      <w:r>
        <w:rPr>
          <w:b/>
        </w:rPr>
        <w:t xml:space="preserve">17 </w:t>
      </w:r>
      <w:r>
        <w:t xml:space="preserve">And another angel came out of the temple which is in heaven, he also having a sharp sickle.</w:t>
      </w:r>
    </w:p>
    <w:p>
      <w:r>
        <w:rPr>
          <w:b/>
        </w:rPr>
        <w:t xml:space="preserve">18 </w:t>
      </w:r>
      <w:r>
        <w:t xml:space="preserve">And another angel came out from the altar, which had power over fire; and cried</w:t>
      </w:r>
      <w:r>
        <w:rPr>
          <w:rStyle w:val="FootnoteReference"/>
        </w:rPr>
        <w:footnoteReference w:id="19579"/>
      </w:r>
      <w:r>
        <w:t xml:space="preserve"> with a loud cry to him who had the sharp sickle, saying, Thrust in your sharp sickle, and gather the clusters of the vine of the earth; for her grapes are fully ripe.</w:t>
      </w:r>
    </w:p>
    <w:p>
      <w:r>
        <w:rPr>
          <w:b/>
        </w:rPr>
        <w:t xml:space="preserve">19 </w:t>
      </w:r>
      <w:r>
        <w:t xml:space="preserve">And the angel cast his sickle into the earth, and harvested the vine of the earth, and cast</w:t>
      </w:r>
      <w:r>
        <w:rPr>
          <w:rStyle w:val="FootnoteReference"/>
        </w:rPr>
        <w:footnoteReference w:id="19580"/>
      </w:r>
      <w:r>
        <w:t xml:space="preserve"> it into the great winepress of the wrath of God.</w:t>
      </w:r>
    </w:p>
    <w:p>
      <w:r>
        <w:rPr>
          <w:b/>
        </w:rPr>
        <w:t xml:space="preserve">20 </w:t>
      </w:r>
      <w:r>
        <w:t xml:space="preserve">And the winepress</w:t>
      </w:r>
      <w:r>
        <w:rPr>
          <w:rStyle w:val="FootnoteReference"/>
        </w:rPr>
        <w:footnoteReference w:id="19581"/>
      </w:r>
      <w:r>
        <w:t xml:space="preserve"> was trampled without the city, and blood came out of the winepress, even to the horse bridles, by the space of a thousand and six hundred furlongs.</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15</w:t>
      </w:r>
    </w:p>
    <w:p>
      <w:r>
        <w:rPr>
          <w:b/>
        </w:rPr>
        <w:t xml:space="preserve">1 </w:t>
      </w:r>
      <w:r>
        <w:t xml:space="preserve">And I saw</w:t>
      </w:r>
      <w:r>
        <w:rPr>
          <w:rStyle w:val="FootnoteReference"/>
        </w:rPr>
        <w:footnoteReference w:id="19582"/>
      </w:r>
      <w:r>
        <w:t xml:space="preserve"> another sign in heaven, great and marvelous, seven angels having the seven last plagues; for in them is filled up the wrath of God.</w:t>
      </w:r>
    </w:p>
    <w:p>
      <w:r>
        <w:rPr>
          <w:b/>
        </w:rPr>
        <w:t xml:space="preserve">2 </w:t>
      </w:r>
      <w:r>
        <w:t xml:space="preserve">And I saw as it were a sea</w:t>
      </w:r>
      <w:r>
        <w:rPr>
          <w:rStyle w:val="FootnoteReference"/>
        </w:rPr>
        <w:footnoteReference w:id="19583"/>
      </w:r>
      <w:r>
        <w:t xml:space="preserve"> of glass mingled with fire: and those who had got the victory over the beast, and over his image, and over his mark, and over the number of his name, stand on the sea of glass, having the harps of God.</w:t>
      </w:r>
    </w:p>
    <w:p>
      <w:r>
        <w:rPr>
          <w:b/>
        </w:rPr>
        <w:t xml:space="preserve">3 </w:t>
      </w:r>
      <w:r>
        <w:t xml:space="preserve">And they sing the song</w:t>
      </w:r>
      <w:r>
        <w:rPr>
          <w:rStyle w:val="FootnoteReference"/>
        </w:rPr>
        <w:footnoteReference w:id="19584"/>
      </w:r>
      <w:r>
        <w:t xml:space="preserve"> of Moses the slave of God, and the song of the Lamb, saying, Great and marvelous are your works, Lord God Almighty; just and true are your ways, you King of holy ones</w:t>
      </w:r>
      <w:r>
        <w:rPr>
          <w:rStyle w:val="FootnoteReference"/>
        </w:rPr>
        <w:footnoteReference w:id="19585"/>
      </w:r>
      <w:r>
        <w:t xml:space="preserve">.</w:t>
      </w:r>
    </w:p>
    <w:p>
      <w:r>
        <w:rPr>
          <w:b/>
        </w:rPr>
        <w:t xml:space="preserve">4 </w:t>
      </w:r>
      <w:r>
        <w:t xml:space="preserve">Who shall not fear you, O Lord, and glorify</w:t>
      </w:r>
      <w:r>
        <w:rPr>
          <w:rStyle w:val="FootnoteReference"/>
        </w:rPr>
        <w:footnoteReference w:id="19586"/>
      </w:r>
      <w:r>
        <w:t xml:space="preserve"> your name? for you only are holy: for all nations shall come and worship before you; for your judgments are made manifest.</w:t>
      </w:r>
    </w:p>
    <w:p>
      <w:r>
        <w:rPr>
          <w:b/>
        </w:rPr>
        <w:t xml:space="preserve">5 </w:t>
      </w:r>
      <w:r>
        <w:t xml:space="preserve">And after that I looked, and, look, the temple of the tabernacle of the testimony in heaven was opened:</w:t>
      </w:r>
    </w:p>
    <w:p>
      <w:r>
        <w:rPr>
          <w:b/>
        </w:rPr>
        <w:t xml:space="preserve">6 </w:t>
      </w:r>
      <w:r>
        <w:t xml:space="preserve">And the seven angels</w:t>
      </w:r>
      <w:r>
        <w:rPr>
          <w:rStyle w:val="FootnoteReference"/>
        </w:rPr>
        <w:footnoteReference w:id="19587"/>
      </w:r>
      <w:r>
        <w:t xml:space="preserve"> having the seven plagues came out of the temple, clothed in pure and bright linen, and girded around the breasts with golden belts.</w:t>
      </w:r>
    </w:p>
    <w:p>
      <w:r>
        <w:rPr>
          <w:b/>
        </w:rPr>
        <w:t xml:space="preserve">7 </w:t>
      </w:r>
      <w:r>
        <w:t xml:space="preserve">And one of the four living creatures gave to the seven</w:t>
      </w:r>
      <w:r>
        <w:rPr>
          <w:rStyle w:val="FootnoteReference"/>
        </w:rPr>
        <w:footnoteReference w:id="19588"/>
      </w:r>
      <w:r>
        <w:t xml:space="preserve"> angels seven golden bowls full of the wrath of God, who lives forever and ever.</w:t>
      </w:r>
    </w:p>
    <w:p>
      <w:r>
        <w:rPr>
          <w:b/>
        </w:rPr>
        <w:t xml:space="preserve">8 </w:t>
      </w:r>
      <w:r>
        <w:t xml:space="preserve">And the temple was filled with smoke from the</w:t>
      </w:r>
      <w:r>
        <w:rPr>
          <w:rStyle w:val="FootnoteReference"/>
        </w:rPr>
        <w:footnoteReference w:id="19589"/>
      </w:r>
      <w:r>
        <w:t xml:space="preserve"> glory of God, and from his power; and no one was able to enter into the temple, till the seven plagues of the seven angels were fulfilled.</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16</w:t>
      </w:r>
    </w:p>
    <w:p>
      <w:r>
        <w:rPr>
          <w:b/>
        </w:rPr>
        <w:t xml:space="preserve">1 </w:t>
      </w:r>
      <w:r>
        <w:t xml:space="preserve">And I heard</w:t>
      </w:r>
      <w:r>
        <w:rPr>
          <w:rStyle w:val="FootnoteReference"/>
        </w:rPr>
        <w:footnoteReference w:id="19590"/>
      </w:r>
      <w:r>
        <w:t xml:space="preserve"> a great voice out of the temple saying to the seven angels, Go your ways, and pour out the bowls of the wrath of God upon the earth.</w:t>
      </w:r>
    </w:p>
    <w:p>
      <w:r>
        <w:rPr>
          <w:b/>
        </w:rPr>
        <w:t xml:space="preserve">2 </w:t>
      </w:r>
      <w:r>
        <w:t xml:space="preserve">And the first went, and poured out his bowl upon the earth</w:t>
      </w:r>
      <w:r>
        <w:rPr>
          <w:rStyle w:val="FootnoteReference"/>
        </w:rPr>
        <w:footnoteReference w:id="19591"/>
      </w:r>
      <w:r>
        <w:t xml:space="preserve">; and there fell a dangerous and grievous sore upon the men who had the mark of the beast, and upon those who worshiped his image.</w:t>
      </w:r>
    </w:p>
    <w:p>
      <w:r>
        <w:rPr>
          <w:b/>
        </w:rPr>
        <w:t xml:space="preserve">3 </w:t>
      </w:r>
      <w:r>
        <w:t xml:space="preserve">And the second angel poured out his bowl upon</w:t>
      </w:r>
      <w:r>
        <w:rPr>
          <w:rStyle w:val="FootnoteReference"/>
        </w:rPr>
        <w:footnoteReference w:id="19592"/>
      </w:r>
      <w:r>
        <w:t xml:space="preserve"> the sea; and it became as the blood of a dead man: and every living soul died in the sea.</w:t>
      </w:r>
    </w:p>
    <w:p>
      <w:r>
        <w:rPr>
          <w:b/>
        </w:rPr>
        <w:t xml:space="preserve">4 </w:t>
      </w:r>
      <w:r>
        <w:t xml:space="preserve">And the third angel poured out his bowl upon</w:t>
      </w:r>
      <w:r>
        <w:rPr>
          <w:rStyle w:val="FootnoteReference"/>
        </w:rPr>
        <w:footnoteReference w:id="19593"/>
      </w:r>
      <w:r>
        <w:t xml:space="preserve"> the rivers and fountains of waters; and they became blood.</w:t>
      </w:r>
    </w:p>
    <w:p>
      <w:r>
        <w:rPr>
          <w:b/>
        </w:rPr>
        <w:t xml:space="preserve">5 </w:t>
      </w:r>
      <w:r>
        <w:t xml:space="preserve">And I heard the angel</w:t>
      </w:r>
      <w:r>
        <w:rPr>
          <w:rStyle w:val="FootnoteReference"/>
        </w:rPr>
        <w:footnoteReference w:id="19594"/>
      </w:r>
      <w:r>
        <w:t xml:space="preserve"> of the waters say, You are righteous, O Lord, who are, and were, and shall be, because you have judged thus.</w:t>
      </w:r>
    </w:p>
    <w:p>
      <w:r>
        <w:rPr>
          <w:b/>
        </w:rPr>
        <w:t xml:space="preserve">6 </w:t>
      </w:r>
      <w:r>
        <w:t xml:space="preserve">For they have</w:t>
      </w:r>
      <w:r>
        <w:rPr>
          <w:rStyle w:val="FootnoteReference"/>
        </w:rPr>
        <w:footnoteReference w:id="19595"/>
      </w:r>
      <w:r>
        <w:t xml:space="preserve"> shed the blood of holy ones and prophets, and you have given them blood to drink; for they are worthy.</w:t>
      </w:r>
    </w:p>
    <w:p>
      <w:r>
        <w:rPr>
          <w:b/>
        </w:rPr>
        <w:t xml:space="preserve">7 </w:t>
      </w:r>
      <w:r>
        <w:t xml:space="preserve">And I heard another out of the altar say, Even so, Lord God Almighty, true</w:t>
      </w:r>
      <w:r>
        <w:rPr>
          <w:rStyle w:val="FootnoteReference"/>
        </w:rPr>
        <w:footnoteReference w:id="19596"/>
      </w:r>
      <w:r>
        <w:t xml:space="preserve"> and righteous are your judgments.</w:t>
      </w:r>
    </w:p>
    <w:p>
      <w:r>
        <w:rPr>
          <w:b/>
        </w:rPr>
        <w:t xml:space="preserve">8 </w:t>
      </w:r>
      <w:r>
        <w:t xml:space="preserve">And the fourth angel poured out his bowl upon</w:t>
      </w:r>
      <w:r>
        <w:rPr>
          <w:rStyle w:val="FootnoteReference"/>
        </w:rPr>
        <w:footnoteReference w:id="19597"/>
      </w:r>
      <w:r>
        <w:t xml:space="preserve"> the sun; and power was given to him to scorch men with fire.</w:t>
      </w:r>
    </w:p>
    <w:p>
      <w:r>
        <w:rPr>
          <w:b/>
        </w:rPr>
        <w:t xml:space="preserve">9 </w:t>
      </w:r>
      <w:r>
        <w:t xml:space="preserve">And men were scorched with great heat, and blasphemed</w:t>
      </w:r>
      <w:r>
        <w:rPr>
          <w:rStyle w:val="FootnoteReference"/>
        </w:rPr>
        <w:footnoteReference w:id="19598"/>
      </w:r>
      <w:r>
        <w:t xml:space="preserve"> the name of God, who has power over these plagues: and they did not repent to give him glory.</w:t>
      </w:r>
    </w:p>
    <w:p>
      <w:r>
        <w:rPr>
          <w:b/>
        </w:rPr>
        <w:t xml:space="preserve">10 </w:t>
      </w:r>
      <w:r>
        <w:t xml:space="preserve">And the fifth angel poured out his bowl upon</w:t>
      </w:r>
      <w:r>
        <w:rPr>
          <w:rStyle w:val="FootnoteReference"/>
        </w:rPr>
        <w:footnoteReference w:id="19599"/>
      </w:r>
      <w:r>
        <w:t xml:space="preserve"> the seat of the beast; and his kingdom was full of darkness; and they gnawed their tongues for pain,</w:t>
      </w:r>
    </w:p>
    <w:p>
      <w:r>
        <w:rPr>
          <w:b/>
        </w:rPr>
        <w:t xml:space="preserve">11 </w:t>
      </w:r>
      <w:r>
        <w:t xml:space="preserve">And blasphemed</w:t>
      </w:r>
      <w:r>
        <w:rPr>
          <w:rStyle w:val="FootnoteReference"/>
        </w:rPr>
        <w:footnoteReference w:id="19600"/>
      </w:r>
      <w:r>
        <w:t xml:space="preserve"> the God of heaven because of their pains and their sores, and did not repent of their deeds.</w:t>
      </w:r>
    </w:p>
    <w:p>
      <w:r>
        <w:rPr>
          <w:b/>
        </w:rPr>
        <w:t xml:space="preserve">12 </w:t>
      </w:r>
      <w:r>
        <w:t xml:space="preserve">And the sixth angel poured out his bowl upon</w:t>
      </w:r>
      <w:r>
        <w:rPr>
          <w:rStyle w:val="FootnoteReference"/>
        </w:rPr>
        <w:footnoteReference w:id="19601"/>
      </w:r>
      <w:r>
        <w:t xml:space="preserve"> the great river Euphrates; and the water of it was dried up, that the way of the kings of the east might be prepared.</w:t>
      </w:r>
    </w:p>
    <w:p>
      <w:r>
        <w:rPr>
          <w:b/>
        </w:rPr>
        <w:t xml:space="preserve">13 </w:t>
      </w:r>
      <w:r>
        <w:t xml:space="preserve">And I saw three</w:t>
      </w:r>
      <w:r>
        <w:rPr>
          <w:rStyle w:val="FootnoteReference"/>
        </w:rPr>
        <w:footnoteReference w:id="19602"/>
      </w:r>
      <w:r>
        <w:t xml:space="preserve"> unclean spirits like frogs come out of the mouth of the dragon, and out of the mouth of the beast, and out of the mouth of the false prophet.</w:t>
      </w:r>
    </w:p>
    <w:p>
      <w:r>
        <w:rPr>
          <w:b/>
        </w:rPr>
        <w:t xml:space="preserve">14 </w:t>
      </w:r>
      <w:r>
        <w:t xml:space="preserve">For they are the spirits</w:t>
      </w:r>
      <w:r>
        <w:rPr>
          <w:rStyle w:val="FootnoteReference"/>
        </w:rPr>
        <w:footnoteReference w:id="19603"/>
      </w:r>
      <w:r>
        <w:t xml:space="preserve"> of demons, working miracles, which go forth to the kings of the earth and of the whole world, to gather them to the battle of that great day of God Almighty.</w:t>
      </w:r>
    </w:p>
    <w:p>
      <w:r>
        <w:rPr>
          <w:b/>
        </w:rPr>
        <w:t xml:space="preserve">15 </w:t>
      </w:r>
      <w:r>
        <w:t xml:space="preserve">Look, I come</w:t>
      </w:r>
      <w:r>
        <w:rPr>
          <w:rStyle w:val="FootnoteReference"/>
        </w:rPr>
        <w:footnoteReference w:id="19604"/>
      </w:r>
      <w:r>
        <w:t xml:space="preserve"> as a thief. Blessed is the one who watches, and keeps his clothes, lest he walk naked, and they see his shame.</w:t>
      </w:r>
    </w:p>
    <w:p>
      <w:r>
        <w:rPr>
          <w:b/>
        </w:rPr>
        <w:t xml:space="preserve">16 </w:t>
      </w:r>
      <w:r>
        <w:t xml:space="preserve">And he gathered them together into the place called in Hebrew Armageddon</w:t>
      </w:r>
      <w:r>
        <w:rPr>
          <w:rStyle w:val="FootnoteReference"/>
        </w:rPr>
        <w:footnoteReference w:id="19605"/>
      </w:r>
      <w:r>
        <w:t xml:space="preserve">.</w:t>
      </w:r>
      <w:r>
        <w:rPr>
          <w:rStyle w:val="FootnoteReference"/>
        </w:rPr>
        <w:footnoteReference w:id="19606"/>
      </w:r>
    </w:p>
    <w:p>
      <w:r>
        <w:rPr>
          <w:b/>
        </w:rPr>
        <w:t xml:space="preserve">17 </w:t>
      </w:r>
      <w:r>
        <w:t xml:space="preserve">And the seventh angel poured out his bowl into the air; and there came a great voice out of the temple of heaven, from the throne, saying, It is done.</w:t>
      </w:r>
    </w:p>
    <w:p>
      <w:r>
        <w:rPr>
          <w:b/>
        </w:rPr>
        <w:t xml:space="preserve">18 </w:t>
      </w:r>
      <w:r>
        <w:t xml:space="preserve">And there were voices, and thunders, and lightnings; and there was a great earthquake, such as had not happened since men came to be upon the earth, so great an earthquake, so mighty.</w:t>
      </w:r>
    </w:p>
    <w:p>
      <w:r>
        <w:rPr>
          <w:b/>
        </w:rPr>
        <w:t xml:space="preserve">19 </w:t>
      </w:r>
      <w:r>
        <w:t xml:space="preserve">And the great</w:t>
      </w:r>
      <w:r>
        <w:rPr>
          <w:rStyle w:val="FootnoteReference"/>
        </w:rPr>
        <w:footnoteReference w:id="19607"/>
      </w:r>
      <w:r>
        <w:t xml:space="preserve"> city was divided into three parts, and the cities of the nations fell: and great Babylon came in remembrance before God, to give to her the cup of the wine of the fierceness of his wrath.</w:t>
      </w:r>
    </w:p>
    <w:p>
      <w:r>
        <w:rPr>
          <w:b/>
        </w:rPr>
        <w:t xml:space="preserve">20 </w:t>
      </w:r>
      <w:r>
        <w:t xml:space="preserve">And every island fled away, and the mountains were not found.</w:t>
      </w:r>
    </w:p>
    <w:p>
      <w:r>
        <w:rPr>
          <w:b/>
        </w:rPr>
        <w:t xml:space="preserve">21 </w:t>
      </w:r>
      <w:r>
        <w:t xml:space="preserve">And there fell</w:t>
      </w:r>
      <w:r>
        <w:rPr>
          <w:rStyle w:val="FootnoteReference"/>
        </w:rPr>
        <w:footnoteReference w:id="19608"/>
      </w:r>
      <w:r>
        <w:t xml:space="preserve"> upon men a great hail out of heaven, every stone about the weight of a talent: and men blasphemed God because of the plague of the hail; for the plague of it was exceeding great.</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17</w:t>
      </w:r>
    </w:p>
    <w:p>
      <w:r>
        <w:rPr>
          <w:b/>
        </w:rPr>
        <w:t xml:space="preserve">1 </w:t>
      </w:r>
      <w:r>
        <w:t xml:space="preserve">And there came one of the seven angels who had the seven bowls, and talked</w:t>
      </w:r>
      <w:r>
        <w:rPr>
          <w:rStyle w:val="FootnoteReference"/>
        </w:rPr>
        <w:footnoteReference w:id="19609"/>
      </w:r>
      <w:r>
        <w:t xml:space="preserve"> with me, saying to me, Come here; I will show to you the judgment of the great prostitute that sits upon many waters:</w:t>
      </w:r>
    </w:p>
    <w:p>
      <w:r>
        <w:rPr>
          <w:b/>
        </w:rPr>
        <w:t xml:space="preserve">2 </w:t>
      </w:r>
      <w:r>
        <w:t xml:space="preserve">With whom the kings of the earth have committed sexual immorality, and the inhabitants of the earth have been made drunk with the wine of her sexual immorality.</w:t>
      </w:r>
    </w:p>
    <w:p>
      <w:r>
        <w:rPr>
          <w:b/>
        </w:rPr>
        <w:t xml:space="preserve">3 </w:t>
      </w:r>
      <w:r>
        <w:t xml:space="preserve">So he carried</w:t>
      </w:r>
      <w:r>
        <w:rPr>
          <w:rStyle w:val="FootnoteReference"/>
        </w:rPr>
        <w:footnoteReference w:id="19610"/>
      </w:r>
      <w:r>
        <w:t xml:space="preserve"> me away in the spirit into the wilderness: and I saw a woman sit upon a scarlet coloured beast, full of names of blasphemy, having seven heads and ten horns.</w:t>
      </w:r>
    </w:p>
    <w:p>
      <w:r>
        <w:rPr>
          <w:b/>
        </w:rPr>
        <w:t xml:space="preserve">4 </w:t>
      </w:r>
      <w:r>
        <w:t xml:space="preserve">And the woman was arrayed</w:t>
      </w:r>
      <w:r>
        <w:rPr>
          <w:rStyle w:val="FootnoteReference"/>
        </w:rPr>
        <w:footnoteReference w:id="19611"/>
      </w:r>
      <w:r>
        <w:t xml:space="preserve"> in purple and scarlet color, and decked with gold and precious stones and pearls, having a golden cup in her hand full of abominations and filthiness of her sexual immorality:</w:t>
      </w:r>
    </w:p>
    <w:p>
      <w:r>
        <w:rPr>
          <w:b/>
        </w:rPr>
        <w:t xml:space="preserve">5 </w:t>
      </w:r>
      <w:r>
        <w:t xml:space="preserve">And upon</w:t>
      </w:r>
      <w:r>
        <w:rPr>
          <w:rStyle w:val="FootnoteReference"/>
        </w:rPr>
        <w:footnoteReference w:id="19612"/>
      </w:r>
      <w:r>
        <w:t xml:space="preserve"> her forehead was a name written, MYSTERY, BABYLON</w:t>
      </w:r>
      <w:r>
        <w:rPr>
          <w:rStyle w:val="FootnoteReference"/>
        </w:rPr>
        <w:footnoteReference w:id="19613"/>
      </w:r>
      <w:r>
        <w:t xml:space="preserve"> THE GREAT, THE MOTHER OF PROSTITUTES AND ABOMINATIONS OF THE EARTH.</w:t>
      </w:r>
    </w:p>
    <w:p>
      <w:r>
        <w:rPr>
          <w:b/>
        </w:rPr>
        <w:t xml:space="preserve">6 </w:t>
      </w:r>
      <w:r>
        <w:t xml:space="preserve">And I saw the woman drunken</w:t>
      </w:r>
      <w:r>
        <w:rPr>
          <w:rStyle w:val="FootnoteReference"/>
        </w:rPr>
        <w:footnoteReference w:id="19614"/>
      </w:r>
      <w:r>
        <w:t xml:space="preserve"> with the blood of the holy ones, and with the blood of the martyrs of Jesus: and when I saw her, I wondered with great admiration.</w:t>
      </w:r>
    </w:p>
    <w:p>
      <w:r>
        <w:rPr>
          <w:b/>
        </w:rPr>
        <w:t xml:space="preserve">7 </w:t>
      </w:r>
      <w:r>
        <w:t xml:space="preserve">And the angel said to me, Therefore did you marvel? I will tell you the mystery of the woman, and of the beast that carries her, which has the seven heads and ten horns.</w:t>
      </w:r>
    </w:p>
    <w:p>
      <w:r>
        <w:rPr>
          <w:b/>
        </w:rPr>
        <w:t xml:space="preserve">8 </w:t>
      </w:r>
      <w:r>
        <w:t xml:space="preserve">The beast that you saw was, and is not; and shall ascend out of the bottomless pit, and go into destruction: and those who dwell on the earth shall wonder</w:t>
      </w:r>
      <w:r>
        <w:rPr>
          <w:rStyle w:val="FootnoteReference"/>
        </w:rPr>
        <w:footnoteReference w:id="19615"/>
      </w:r>
      <w:r>
        <w:t xml:space="preserve">, whose names were not written in the book of life from the foundation of the world, when they behold the beast that was, and is not, and yet is.</w:t>
      </w:r>
    </w:p>
    <w:p>
      <w:r>
        <w:rPr>
          <w:b/>
        </w:rPr>
        <w:t xml:space="preserve">9 </w:t>
      </w:r>
      <w:r>
        <w:t xml:space="preserve">Here</w:t>
      </w:r>
      <w:r>
        <w:rPr>
          <w:rStyle w:val="FootnoteReference"/>
        </w:rPr>
        <w:footnoteReference w:id="19616"/>
      </w:r>
      <w:r>
        <w:t xml:space="preserve"> is the mind which has wisdom. The seven heads are seven mountains, where the woman sits upon them.</w:t>
      </w:r>
    </w:p>
    <w:p>
      <w:r>
        <w:rPr>
          <w:b/>
        </w:rPr>
        <w:t xml:space="preserve">10 </w:t>
      </w:r>
      <w:r>
        <w:t xml:space="preserve">And there are seven kings: five have fallen, and one is, the other has not yet come; and when he comes, he must remain a short time.</w:t>
      </w:r>
    </w:p>
    <w:p>
      <w:r>
        <w:rPr>
          <w:b/>
        </w:rPr>
        <w:t xml:space="preserve">11 </w:t>
      </w:r>
      <w:r>
        <w:t xml:space="preserve">And the beast that was</w:t>
      </w:r>
      <w:r>
        <w:rPr>
          <w:rStyle w:val="FootnoteReference"/>
        </w:rPr>
        <w:footnoteReference w:id="19617"/>
      </w:r>
      <w:r>
        <w:t xml:space="preserve">, and is not, even he is the eighth, and is of the seven, and goes into destruction.</w:t>
      </w:r>
    </w:p>
    <w:p>
      <w:r>
        <w:rPr>
          <w:b/>
        </w:rPr>
        <w:t xml:space="preserve">12 </w:t>
      </w:r>
      <w:r>
        <w:t xml:space="preserve">And the ten</w:t>
      </w:r>
      <w:r>
        <w:rPr>
          <w:rStyle w:val="FootnoteReference"/>
        </w:rPr>
        <w:footnoteReference w:id="19618"/>
      </w:r>
      <w:r>
        <w:t xml:space="preserve"> horns which you saw are ten kings, who have not yet received a kingdom; but receive authority as kings for one hour with the beast.</w:t>
      </w:r>
    </w:p>
    <w:p>
      <w:r>
        <w:rPr>
          <w:b/>
        </w:rPr>
        <w:t xml:space="preserve">13 </w:t>
      </w:r>
      <w:r>
        <w:t xml:space="preserve">These have one mind, and shall give their power and strength to the beast.</w:t>
      </w:r>
    </w:p>
    <w:p>
      <w:r>
        <w:rPr>
          <w:b/>
        </w:rPr>
        <w:t xml:space="preserve">14 </w:t>
      </w:r>
      <w:r>
        <w:t xml:space="preserve">These shall make</w:t>
      </w:r>
      <w:r>
        <w:rPr>
          <w:rStyle w:val="FootnoteReference"/>
        </w:rPr>
        <w:footnoteReference w:id="19619"/>
      </w:r>
      <w:r>
        <w:t xml:space="preserve"> war with the Lamb, and the Lamb shall overcome them: for he is Lord of lords, and King of kings: and those who are with him are called, and chosen, and faithful.</w:t>
      </w:r>
    </w:p>
    <w:p>
      <w:r>
        <w:rPr>
          <w:b/>
        </w:rPr>
        <w:t xml:space="preserve">15 </w:t>
      </w:r>
      <w:r>
        <w:t xml:space="preserve">And he says to me, The waters</w:t>
      </w:r>
      <w:r>
        <w:rPr>
          <w:rStyle w:val="FootnoteReference"/>
        </w:rPr>
        <w:footnoteReference w:id="19620"/>
      </w:r>
      <w:r>
        <w:t xml:space="preserve"> which you saw, where the prostitute sits, are races and tribes, and crowds, and nations, and tongues.</w:t>
      </w:r>
    </w:p>
    <w:p>
      <w:r>
        <w:rPr>
          <w:b/>
        </w:rPr>
        <w:t xml:space="preserve">16 </w:t>
      </w:r>
      <w:r>
        <w:t xml:space="preserve">And the ten</w:t>
      </w:r>
      <w:r>
        <w:rPr>
          <w:rStyle w:val="FootnoteReference"/>
        </w:rPr>
        <w:footnoteReference w:id="19621"/>
      </w:r>
      <w:r>
        <w:t xml:space="preserve"> horns which you saw upon the beast, these shall hate the prostitute, and shall make her desolate and naked, and shall eat her flesh, and burn her with fire.</w:t>
      </w:r>
    </w:p>
    <w:p>
      <w:r>
        <w:rPr>
          <w:b/>
        </w:rPr>
        <w:t xml:space="preserve">17 </w:t>
      </w:r>
      <w:r>
        <w:t xml:space="preserve">For God has put in their hearts to fulfill his will, and to agree, and give their kingdom to the beast, until the words of God shall be fulfilled.</w:t>
      </w:r>
    </w:p>
    <w:p>
      <w:r>
        <w:rPr>
          <w:b/>
        </w:rPr>
        <w:t xml:space="preserve">18 </w:t>
      </w:r>
      <w:r>
        <w:t xml:space="preserve">And the woman</w:t>
      </w:r>
      <w:r>
        <w:rPr>
          <w:rStyle w:val="FootnoteReference"/>
        </w:rPr>
        <w:footnoteReference w:id="19622"/>
      </w:r>
      <w:r>
        <w:t xml:space="preserve"> who you saw is that great city, which reigns over the kings of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18</w:t>
      </w:r>
    </w:p>
    <w:p>
      <w:r>
        <w:rPr>
          <w:b/>
        </w:rPr>
        <w:t xml:space="preserve">1 </w:t>
      </w:r>
      <w:r>
        <w:t xml:space="preserve">And after these things I saw</w:t>
      </w:r>
      <w:r>
        <w:rPr>
          <w:rStyle w:val="FootnoteReference"/>
        </w:rPr>
        <w:footnoteReference w:id="19623"/>
      </w:r>
      <w:r>
        <w:t xml:space="preserve"> another angel coming down from heaven, having great authority; and the earth was illuminated from his glory.</w:t>
      </w:r>
    </w:p>
    <w:p>
      <w:r>
        <w:rPr>
          <w:b/>
        </w:rPr>
        <w:t xml:space="preserve">2 </w:t>
      </w:r>
      <w:r>
        <w:t xml:space="preserve">And he cried</w:t>
      </w:r>
      <w:r>
        <w:rPr>
          <w:rStyle w:val="FootnoteReference"/>
        </w:rPr>
        <w:footnoteReference w:id="19624"/>
      </w:r>
      <w:r>
        <w:t xml:space="preserve"> mightily with a strong voice, saying, Babylon the great is fallen, is fallen, and is become the habitation of demons, and the hold of every foul spirit, and a cage of every unclean and hateful bird.</w:t>
      </w:r>
    </w:p>
    <w:p>
      <w:r>
        <w:rPr>
          <w:b/>
        </w:rPr>
        <w:t xml:space="preserve">3 </w:t>
      </w:r>
      <w:r>
        <w:t xml:space="preserve">For all nations have drunk of the wine of the wrath of her sexual immorality, and the kings of the earth have committed sexual immorality with her, and the merchants</w:t>
      </w:r>
      <w:r>
        <w:rPr>
          <w:rStyle w:val="FootnoteReference"/>
        </w:rPr>
        <w:footnoteReference w:id="19625"/>
      </w:r>
      <w:r>
        <w:t xml:space="preserve"> of the earth became rich through the abundance of her delicacies.</w:t>
      </w:r>
    </w:p>
    <w:p>
      <w:r>
        <w:rPr>
          <w:b/>
        </w:rPr>
        <w:t xml:space="preserve">4 </w:t>
      </w:r>
      <w:r>
        <w:t xml:space="preserve">And I heard another voice from heaven, saying, Come out of her, my people, that you be not partakers</w:t>
      </w:r>
      <w:r>
        <w:rPr>
          <w:rStyle w:val="FootnoteReference"/>
        </w:rPr>
        <w:footnoteReference w:id="19626"/>
      </w:r>
      <w:r>
        <w:t xml:space="preserve"> of her sins, and that you receive not of her plagues.</w:t>
      </w:r>
    </w:p>
    <w:p>
      <w:r>
        <w:rPr>
          <w:b/>
        </w:rPr>
        <w:t xml:space="preserve">5 </w:t>
      </w:r>
      <w:r>
        <w:t xml:space="preserve">For her sins have reached</w:t>
      </w:r>
      <w:r>
        <w:rPr>
          <w:rStyle w:val="FootnoteReference"/>
        </w:rPr>
        <w:footnoteReference w:id="19627"/>
      </w:r>
      <w:r>
        <w:t xml:space="preserve"> to heaven, and God has remembered her iniquities.</w:t>
      </w:r>
    </w:p>
    <w:p>
      <w:r>
        <w:rPr>
          <w:b/>
        </w:rPr>
        <w:t xml:space="preserve">6 </w:t>
      </w:r>
      <w:r>
        <w:t xml:space="preserve">Reward</w:t>
      </w:r>
      <w:r>
        <w:rPr>
          <w:rStyle w:val="FootnoteReference"/>
        </w:rPr>
        <w:footnoteReference w:id="19628"/>
      </w:r>
      <w:r>
        <w:t xml:space="preserve"> her even as she rewarded you, and double to her double according to her works: in the cup which she has filled fill to her double.</w:t>
      </w:r>
    </w:p>
    <w:p>
      <w:r>
        <w:rPr>
          <w:b/>
        </w:rPr>
        <w:t xml:space="preserve">7 </w:t>
      </w:r>
      <w:r>
        <w:t xml:space="preserve">As much as she glorified herself, and lived luxuriously, so much torment and mourning give her: for she says in her heart, I sit</w:t>
      </w:r>
      <w:r>
        <w:rPr>
          <w:rStyle w:val="FootnoteReference"/>
        </w:rPr>
        <w:footnoteReference w:id="19629"/>
      </w:r>
      <w:r>
        <w:t xml:space="preserve"> as a queen, and am not a widow, and shall by no means see mourning.</w:t>
      </w:r>
    </w:p>
    <w:p>
      <w:r>
        <w:rPr>
          <w:b/>
        </w:rPr>
        <w:t xml:space="preserve">8 </w:t>
      </w:r>
      <w:r>
        <w:t xml:space="preserve">Therefore shall her</w:t>
      </w:r>
      <w:r>
        <w:rPr>
          <w:rStyle w:val="FootnoteReference"/>
        </w:rPr>
        <w:footnoteReference w:id="19630"/>
      </w:r>
      <w:r>
        <w:t xml:space="preserve"> plagues come in one day, death, and mourning, and famine; and she shall be utterly burned with fire: for strong is the Lord God who judges her.</w:t>
      </w:r>
    </w:p>
    <w:p>
      <w:r>
        <w:rPr>
          <w:b/>
        </w:rPr>
        <w:t xml:space="preserve">9 </w:t>
      </w:r>
      <w:r>
        <w:t xml:space="preserve">And the kings</w:t>
      </w:r>
      <w:r>
        <w:rPr>
          <w:rStyle w:val="FootnoteReference"/>
        </w:rPr>
        <w:footnoteReference w:id="19631"/>
      </w:r>
      <w:r>
        <w:t xml:space="preserve"> of the earth, who have committed sexual immorality and lived luxuriously with her, shall mourn for her, and lament for her, when they shall see the smoke of her burning,</w:t>
      </w:r>
    </w:p>
    <w:p>
      <w:r>
        <w:rPr>
          <w:b/>
        </w:rPr>
        <w:t xml:space="preserve">10 </w:t>
      </w:r>
      <w:r>
        <w:t xml:space="preserve">standing far off because of the fear of her torment, saying, Woe, woe, the great city Babylon, the mighty city! for in one hour your judgment has come.</w:t>
      </w:r>
    </w:p>
    <w:p>
      <w:r>
        <w:rPr>
          <w:b/>
        </w:rPr>
        <w:t xml:space="preserve">11 </w:t>
      </w:r>
      <w:r>
        <w:t xml:space="preserve">And the merchants</w:t>
      </w:r>
      <w:r>
        <w:rPr>
          <w:rStyle w:val="FootnoteReference"/>
        </w:rPr>
        <w:footnoteReference w:id="19632"/>
      </w:r>
      <w:r>
        <w:t xml:space="preserve"> of the earth shall weep and mourn over her; for no one buys their merchandise any more:</w:t>
      </w:r>
    </w:p>
    <w:p>
      <w:r>
        <w:rPr>
          <w:b/>
        </w:rPr>
        <w:t xml:space="preserve">12 </w:t>
      </w:r>
      <w:r>
        <w:t xml:space="preserve">cargo of gold, and silver, and precious stone, and pearls, and fine linen, and purple, and silk, and scarlet, and every thyine</w:t>
      </w:r>
      <w:r>
        <w:rPr>
          <w:rStyle w:val="FootnoteReference"/>
        </w:rPr>
        <w:footnoteReference w:id="19633"/>
      </w:r>
      <w:r>
        <w:t xml:space="preserve"> wood, and every ivory vessel, and every vessel of most precious wood, and of bronze, and iron, and marble,</w:t>
      </w:r>
    </w:p>
    <w:p>
      <w:r>
        <w:rPr>
          <w:b/>
        </w:rPr>
        <w:t xml:space="preserve">13 </w:t>
      </w:r>
      <w:r>
        <w:t xml:space="preserve">and cinnamon</w:t>
      </w:r>
      <w:r>
        <w:rPr>
          <w:rStyle w:val="FootnoteReference"/>
        </w:rPr>
        <w:footnoteReference w:id="19634"/>
      </w:r>
      <w:r>
        <w:t xml:space="preserve">, and incense, and myrrh, and frankincense, and wine, and oil, and fine flour, and wheat, and cattle, and sheep, and horses, and wagons, and bodies, and souls of men.</w:t>
      </w:r>
    </w:p>
    <w:p>
      <w:r>
        <w:rPr>
          <w:b/>
        </w:rPr>
        <w:t xml:space="preserve">14 </w:t>
      </w:r>
      <w:r>
        <w:t xml:space="preserve">And the fruits that your soul lusted after are departed</w:t>
      </w:r>
      <w:r>
        <w:rPr>
          <w:rStyle w:val="FootnoteReference"/>
        </w:rPr>
        <w:footnoteReference w:id="19635"/>
      </w:r>
      <w:r>
        <w:t xml:space="preserve"> from you, and all things which were dainty and goodly are departed from you, and you shall find them no longer.</w:t>
      </w:r>
    </w:p>
    <w:p>
      <w:r>
        <w:rPr>
          <w:b/>
        </w:rPr>
        <w:t xml:space="preserve">15 </w:t>
      </w:r>
      <w:r>
        <w:t xml:space="preserve">The merchants of these things, who were made rich from her, shall stand far off because of the fear of her torment, weeping and mourning,</w:t>
      </w:r>
    </w:p>
    <w:p>
      <w:r>
        <w:rPr>
          <w:b/>
        </w:rPr>
        <w:t xml:space="preserve">16 </w:t>
      </w:r>
      <w:r>
        <w:t xml:space="preserve">and saying, Woe, woe, the great city, clothed in fine linen, and purple, and scarlet, and adorned with gold, and precious stone, and pearls!</w:t>
      </w:r>
    </w:p>
    <w:p>
      <w:r>
        <w:rPr>
          <w:b/>
        </w:rPr>
        <w:t xml:space="preserve">17 </w:t>
      </w:r>
      <w:r>
        <w:t xml:space="preserve">For in one</w:t>
      </w:r>
      <w:r>
        <w:rPr>
          <w:rStyle w:val="FootnoteReference"/>
        </w:rPr>
        <w:footnoteReference w:id="19636"/>
      </w:r>
      <w:r>
        <w:t xml:space="preserve"> hour such great wealth was made desolate. And every ship captain, and all the company on the ships, and sailors, and as many as work the sea, stood far off,</w:t>
      </w:r>
    </w:p>
    <w:p>
      <w:r>
        <w:rPr>
          <w:b/>
        </w:rPr>
        <w:t xml:space="preserve">18 </w:t>
      </w:r>
      <w:r>
        <w:t xml:space="preserve">And cried when they saw the smoke of her burning, saying, What city is like to this great city!</w:t>
      </w:r>
    </w:p>
    <w:p>
      <w:r>
        <w:rPr>
          <w:b/>
        </w:rPr>
        <w:t xml:space="preserve">19 </w:t>
      </w:r>
      <w:r>
        <w:t xml:space="preserve">And they cast</w:t>
      </w:r>
      <w:r>
        <w:rPr>
          <w:rStyle w:val="FootnoteReference"/>
        </w:rPr>
        <w:footnoteReference w:id="19637"/>
      </w:r>
      <w:r>
        <w:t xml:space="preserve"> dust on their heads, and cried, weeping and wailing, saying, Alas, alas that great city, in which were made rich all that had ships in the sea by reason of her costliness! for in one hour is she made desolate.</w:t>
      </w:r>
    </w:p>
    <w:p>
      <w:r>
        <w:rPr>
          <w:b/>
        </w:rPr>
        <w:t xml:space="preserve">20 </w:t>
      </w:r>
      <w:r>
        <w:t xml:space="preserve">Rejoice</w:t>
      </w:r>
      <w:r>
        <w:rPr>
          <w:rStyle w:val="FootnoteReference"/>
        </w:rPr>
        <w:footnoteReference w:id="19638"/>
      </w:r>
      <w:r>
        <w:t xml:space="preserve"> over her, you heaven, and you holy apostles and prophets; for God has avenged you on her.</w:t>
      </w:r>
    </w:p>
    <w:p>
      <w:r>
        <w:rPr>
          <w:b/>
        </w:rPr>
        <w:t xml:space="preserve">21 </w:t>
      </w:r>
      <w:r>
        <w:t xml:space="preserve">And a mighty angel took up a stone like a great millstone, and cast it into the sea, saying, Thus</w:t>
      </w:r>
      <w:r>
        <w:rPr>
          <w:rStyle w:val="FootnoteReference"/>
        </w:rPr>
        <w:footnoteReference w:id="19639"/>
      </w:r>
      <w:r>
        <w:t xml:space="preserve"> with violence shall that great city Babylon be thrown down, and shall be found no longer.</w:t>
      </w:r>
    </w:p>
    <w:p>
      <w:r>
        <w:rPr>
          <w:b/>
        </w:rPr>
        <w:t xml:space="preserve">22 </w:t>
      </w:r>
      <w:r>
        <w:t xml:space="preserve">And the voice</w:t>
      </w:r>
      <w:r>
        <w:rPr>
          <w:rStyle w:val="FootnoteReference"/>
        </w:rPr>
        <w:footnoteReference w:id="19640"/>
      </w:r>
      <w:r>
        <w:t xml:space="preserve"> of harpers, and musicians, and of pipers, and trumpeters, shall be heard no longer in you; and no craftsman, of whatever craft he be, shall be found any more in you; and the sound of a millstone shall be heard no longer in you;</w:t>
      </w:r>
    </w:p>
    <w:p>
      <w:r>
        <w:rPr>
          <w:b/>
        </w:rPr>
        <w:t xml:space="preserve">23 </w:t>
      </w:r>
      <w:r>
        <w:t xml:space="preserve">And the light</w:t>
      </w:r>
      <w:r>
        <w:rPr>
          <w:rStyle w:val="FootnoteReference"/>
        </w:rPr>
        <w:footnoteReference w:id="19641"/>
      </w:r>
      <w:r>
        <w:t xml:space="preserve"> of a candle shall shine no longer in you; and the voice of the bridegroom and of the bride shall be heard no longer in you: for your merchants were the great men of the earth; for by your sorceries were all nations deceived.</w:t>
      </w:r>
    </w:p>
    <w:p>
      <w:r>
        <w:rPr>
          <w:b/>
        </w:rPr>
        <w:t xml:space="preserve">24 </w:t>
      </w:r>
      <w:r>
        <w:t xml:space="preserve">And in her</w:t>
      </w:r>
      <w:r>
        <w:rPr>
          <w:rStyle w:val="FootnoteReference"/>
        </w:rPr>
        <w:footnoteReference w:id="19642"/>
      </w:r>
      <w:r>
        <w:t xml:space="preserve"> was found the blood of prophets, and of holy ones, and of all that were killed upon the earth.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19</w:t>
      </w:r>
    </w:p>
    <w:p>
      <w:r>
        <w:rPr>
          <w:b/>
        </w:rPr>
        <w:t xml:space="preserve">1 </w:t>
      </w:r>
      <w:r>
        <w:t xml:space="preserve">And after these things I heard</w:t>
      </w:r>
      <w:r>
        <w:rPr>
          <w:rStyle w:val="FootnoteReference"/>
        </w:rPr>
        <w:footnoteReference w:id="19643"/>
      </w:r>
      <w:r>
        <w:t xml:space="preserve"> a great voice of much people in heaven, saying, Alleluia</w:t>
      </w:r>
      <w:r>
        <w:rPr>
          <w:rStyle w:val="FootnoteReference"/>
        </w:rPr>
        <w:footnoteReference w:id="19644"/>
      </w:r>
      <w:r>
        <w:t xml:space="preserve">; Salvation, and glory, and honor, and power, to the Lord our God:</w:t>
      </w:r>
    </w:p>
    <w:p>
      <w:r>
        <w:rPr>
          <w:b/>
        </w:rPr>
        <w:t xml:space="preserve">2 </w:t>
      </w:r>
      <w:r>
        <w:t xml:space="preserve">For true</w:t>
      </w:r>
      <w:r>
        <w:rPr>
          <w:rStyle w:val="FootnoteReference"/>
        </w:rPr>
        <w:footnoteReference w:id="19645"/>
      </w:r>
      <w:r>
        <w:t xml:space="preserve"> and righteous are his judgments: for he has judged the great prostitute, which did corrupt the earth with her sexual immorality, and has avenged the blood of his slaves at her hand.</w:t>
      </w:r>
    </w:p>
    <w:p>
      <w:r>
        <w:rPr>
          <w:b/>
        </w:rPr>
        <w:t xml:space="preserve">3 </w:t>
      </w:r>
      <w:r>
        <w:t xml:space="preserve">And again they said, Alleluia</w:t>
      </w:r>
      <w:r>
        <w:rPr>
          <w:rStyle w:val="FootnoteReference"/>
        </w:rPr>
        <w:footnoteReference w:id="19646"/>
      </w:r>
      <w:r>
        <w:t xml:space="preserve"> And her smoke rose up forever and ever.</w:t>
      </w:r>
    </w:p>
    <w:p>
      <w:r>
        <w:rPr>
          <w:b/>
        </w:rPr>
        <w:t xml:space="preserve">4 </w:t>
      </w:r>
      <w:r>
        <w:t xml:space="preserve">And the four</w:t>
      </w:r>
      <w:r>
        <w:rPr>
          <w:rStyle w:val="FootnoteReference"/>
        </w:rPr>
        <w:footnoteReference w:id="19647"/>
      </w:r>
      <w:r>
        <w:t xml:space="preserve"> and twenty elders and the four living creatures fell down and worshiped God that sat on the throne, saying, Amen; Alleluia.</w:t>
      </w:r>
    </w:p>
    <w:p>
      <w:r>
        <w:rPr>
          <w:b/>
        </w:rPr>
        <w:t xml:space="preserve">5 </w:t>
      </w:r>
      <w:r>
        <w:t xml:space="preserve">And a voice</w:t>
      </w:r>
      <w:r>
        <w:rPr>
          <w:rStyle w:val="FootnoteReference"/>
        </w:rPr>
        <w:footnoteReference w:id="19648"/>
      </w:r>
      <w:r>
        <w:t xml:space="preserve"> came out of the throne, saying, Praise our God, all you his slaves, and you that fear him, both small and great.</w:t>
      </w:r>
    </w:p>
    <w:p>
      <w:r>
        <w:rPr>
          <w:b/>
        </w:rPr>
        <w:t xml:space="preserve">6 </w:t>
      </w:r>
      <w:r>
        <w:t xml:space="preserve">And I heard as it were the voice of a great crowd, and as the voice of many</w:t>
      </w:r>
      <w:r>
        <w:rPr>
          <w:rStyle w:val="FootnoteReference"/>
        </w:rPr>
        <w:footnoteReference w:id="19649"/>
      </w:r>
      <w:r>
        <w:t xml:space="preserve"> waters, and as the voice of mighty thunderings, saying, Alleluia: for the Lord God omnipotent reigns.</w:t>
      </w:r>
    </w:p>
    <w:p>
      <w:r>
        <w:rPr>
          <w:b/>
        </w:rPr>
        <w:t xml:space="preserve">7 </w:t>
      </w:r>
      <w:r>
        <w:t xml:space="preserve">Let us be glad</w:t>
      </w:r>
      <w:r>
        <w:rPr>
          <w:rStyle w:val="FootnoteReference"/>
        </w:rPr>
        <w:footnoteReference w:id="19650"/>
      </w:r>
      <w:r>
        <w:t xml:space="preserve"> and rejoice, and give honor to him: for the marriage of the Lamb has come, and his wife has made herself ready.</w:t>
      </w:r>
    </w:p>
    <w:p>
      <w:r>
        <w:rPr>
          <w:b/>
        </w:rPr>
        <w:t xml:space="preserve">8 </w:t>
      </w:r>
      <w:r>
        <w:t xml:space="preserve">And to her</w:t>
      </w:r>
      <w:r>
        <w:rPr>
          <w:rStyle w:val="FootnoteReference"/>
        </w:rPr>
        <w:footnoteReference w:id="19651"/>
      </w:r>
      <w:r>
        <w:t xml:space="preserve"> was granted that she should be arrayed in fine linen, clean and white: for the fine linen is the righteous acts of holy ones.</w:t>
      </w:r>
    </w:p>
    <w:p>
      <w:r>
        <w:rPr>
          <w:b/>
        </w:rPr>
        <w:t xml:space="preserve">9 </w:t>
      </w:r>
      <w:r>
        <w:t xml:space="preserve">And he says to me, Write</w:t>
      </w:r>
      <w:r>
        <w:rPr>
          <w:rStyle w:val="FootnoteReference"/>
        </w:rPr>
        <w:footnoteReference w:id="19652"/>
      </w:r>
      <w:r>
        <w:t xml:space="preserve">, Blessed are those who are called to the marriage supper of the Lamb. And he says to me, These are the true sayings of God.</w:t>
      </w:r>
    </w:p>
    <w:p>
      <w:r>
        <w:rPr>
          <w:b/>
        </w:rPr>
        <w:t xml:space="preserve">10 </w:t>
      </w:r>
      <w:r>
        <w:t xml:space="preserve">And I fell</w:t>
      </w:r>
      <w:r>
        <w:rPr>
          <w:rStyle w:val="FootnoteReference"/>
        </w:rPr>
        <w:footnoteReference w:id="19653"/>
      </w:r>
      <w:r>
        <w:t xml:space="preserve"> at his feet to worship him. And he said to me, See you do it not: I am your fellow slave, and of your brothers that have the testimony of Jesus: worship God: for the testimony of Jesus is the spirit of prophecy.</w:t>
      </w:r>
    </w:p>
    <w:p>
      <w:r>
        <w:rPr>
          <w:b/>
        </w:rPr>
        <w:t xml:space="preserve">11 </w:t>
      </w:r>
      <w:r>
        <w:t xml:space="preserve">And I saw heaven</w:t>
      </w:r>
      <w:r>
        <w:rPr>
          <w:rStyle w:val="FootnoteReference"/>
        </w:rPr>
        <w:footnoteReference w:id="19654"/>
      </w:r>
      <w:r>
        <w:t xml:space="preserve"> opened, and look a white horse; and the one who sat upon him was called Faithful and True, and in righteousness he does judge and make war.</w:t>
      </w:r>
    </w:p>
    <w:p>
      <w:r>
        <w:rPr>
          <w:b/>
        </w:rPr>
        <w:t xml:space="preserve">12 </w:t>
      </w:r>
      <w:r>
        <w:t xml:space="preserve">His eyes</w:t>
      </w:r>
      <w:r>
        <w:rPr>
          <w:rStyle w:val="FootnoteReference"/>
        </w:rPr>
        <w:footnoteReference w:id="19655"/>
      </w:r>
      <w:r>
        <w:t xml:space="preserve"> were as a flame of fire, and on his head were many crowns; and he had a name written, that no one knew, but he himself.</w:t>
      </w:r>
    </w:p>
    <w:p>
      <w:r>
        <w:rPr>
          <w:b/>
        </w:rPr>
        <w:t xml:space="preserve">13 </w:t>
      </w:r>
      <w:r>
        <w:t xml:space="preserve">And he was clothed</w:t>
      </w:r>
      <w:r>
        <w:rPr>
          <w:rStyle w:val="FootnoteReference"/>
        </w:rPr>
        <w:footnoteReference w:id="19656"/>
      </w:r>
      <w:r>
        <w:t xml:space="preserve"> with a vesture dipped in blood: and his name is called The Word of God</w:t>
      </w:r>
      <w:r>
        <w:rPr>
          <w:rStyle w:val="FootnoteReference"/>
        </w:rPr>
        <w:footnoteReference w:id="19657"/>
      </w:r>
      <w:r>
        <w:t xml:space="preserve">.</w:t>
      </w:r>
    </w:p>
    <w:p>
      <w:r>
        <w:rPr>
          <w:b/>
        </w:rPr>
        <w:t xml:space="preserve">14 </w:t>
      </w:r>
      <w:r>
        <w:t xml:space="preserve">And the armies</w:t>
      </w:r>
      <w:r>
        <w:rPr>
          <w:rStyle w:val="FootnoteReference"/>
        </w:rPr>
        <w:footnoteReference w:id="19658"/>
      </w:r>
      <w:r>
        <w:t xml:space="preserve"> which were in heaven followed him on white horses, clothed in fine linen, white and clean.</w:t>
      </w:r>
    </w:p>
    <w:p>
      <w:r>
        <w:rPr>
          <w:b/>
        </w:rPr>
        <w:t xml:space="preserve">15 </w:t>
      </w:r>
      <w:r>
        <w:t xml:space="preserve">And out of his mouth goes a sharp sword, that with it he should strike the nations: and he shall</w:t>
      </w:r>
      <w:r>
        <w:rPr>
          <w:rStyle w:val="FootnoteReference"/>
        </w:rPr>
        <w:footnoteReference w:id="19659"/>
      </w:r>
      <w:r>
        <w:t xml:space="preserve"> shepherd them with a rod of iron: and he treads the winepress of the wine of the fury and wrath of God Almighty.</w:t>
      </w:r>
    </w:p>
    <w:p>
      <w:r>
        <w:rPr>
          <w:b/>
        </w:rPr>
        <w:t xml:space="preserve">16 </w:t>
      </w:r>
      <w:r>
        <w:t xml:space="preserve">And he has on his vesture</w:t>
      </w:r>
      <w:r>
        <w:rPr>
          <w:rStyle w:val="FootnoteReference"/>
        </w:rPr>
        <w:footnoteReference w:id="19660"/>
      </w:r>
      <w:r>
        <w:t xml:space="preserve"> and on his thigh a name written, KING OF KINGS, AND Lord OF LORDS.</w:t>
      </w:r>
    </w:p>
    <w:p>
      <w:r>
        <w:rPr>
          <w:b/>
        </w:rPr>
        <w:t xml:space="preserve">17 </w:t>
      </w:r>
      <w:r>
        <w:t xml:space="preserve">And I saw an angel</w:t>
      </w:r>
      <w:r>
        <w:rPr>
          <w:rStyle w:val="FootnoteReference"/>
        </w:rPr>
        <w:footnoteReference w:id="19661"/>
      </w:r>
      <w:r>
        <w:t xml:space="preserve"> standing in the sun; and he cried with a loud voice, saying to all the birds that fly in the midst of heaven, Come and gather yourselves together to the supper of the great God;</w:t>
      </w:r>
    </w:p>
    <w:p>
      <w:r>
        <w:rPr>
          <w:b/>
        </w:rPr>
        <w:t xml:space="preserve">18 </w:t>
      </w:r>
      <w:r>
        <w:t xml:space="preserve">That you may eat the flesh of kings, and the flesh of captains, and the flesh of mighty men, and the flesh of horses, and of those who sit on them, and the flesh of all</w:t>
      </w:r>
      <w:r>
        <w:rPr>
          <w:rStyle w:val="FootnoteReference"/>
        </w:rPr>
        <w:footnoteReference w:id="19662"/>
      </w:r>
      <w:r>
        <w:t xml:space="preserve"> men, both free and slave, both small and great.</w:t>
      </w:r>
    </w:p>
    <w:p>
      <w:r>
        <w:rPr>
          <w:b/>
        </w:rPr>
        <w:t xml:space="preserve">19 </w:t>
      </w:r>
      <w:r>
        <w:t xml:space="preserve">And I saw</w:t>
      </w:r>
      <w:r>
        <w:rPr>
          <w:rStyle w:val="FootnoteReference"/>
        </w:rPr>
        <w:footnoteReference w:id="19663"/>
      </w:r>
      <w:r>
        <w:t xml:space="preserve"> the beast, and the kings of the earth, and their armies, gathered together to make war against him who sat on the horse, and against his army.</w:t>
      </w:r>
    </w:p>
    <w:p>
      <w:r>
        <w:rPr>
          <w:b/>
        </w:rPr>
        <w:t xml:space="preserve">20 </w:t>
      </w:r>
      <w:r>
        <w:t xml:space="preserve">And the beast</w:t>
      </w:r>
      <w:r>
        <w:rPr>
          <w:rStyle w:val="FootnoteReference"/>
        </w:rPr>
        <w:footnoteReference w:id="19664"/>
      </w:r>
      <w:r>
        <w:t xml:space="preserve"> was taken, and with him the false prophet that worked miracles before him, with which he deceived those who had received the mark of the beast, and those who worshiped his image. These both were cast alive into a lake of fire burning with brimstone.</w:t>
      </w:r>
    </w:p>
    <w:p>
      <w:r>
        <w:rPr>
          <w:b/>
        </w:rPr>
        <w:t xml:space="preserve">21 </w:t>
      </w:r>
      <w:r>
        <w:t xml:space="preserve">And the remnant</w:t>
      </w:r>
      <w:r>
        <w:rPr>
          <w:rStyle w:val="FootnoteReference"/>
        </w:rPr>
        <w:footnoteReference w:id="19665"/>
      </w:r>
      <w:r>
        <w:t xml:space="preserve"> were killed with the sword of him who sat upon the horse, which sword proceeded out of his mouth: and all the birds were filled with their flesh.</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20</w:t>
      </w:r>
    </w:p>
    <w:p>
      <w:r>
        <w:rPr>
          <w:b/>
        </w:rPr>
        <w:t xml:space="preserve">1 </w:t>
      </w:r>
      <w:r>
        <w:t xml:space="preserve">And I saw</w:t>
      </w:r>
      <w:r>
        <w:rPr>
          <w:rStyle w:val="FootnoteReference"/>
        </w:rPr>
        <w:footnoteReference w:id="19666"/>
      </w:r>
      <w:r>
        <w:t xml:space="preserve"> an angel coming down from heaven, having the key of the abyss and a great chain in his hand.</w:t>
      </w:r>
    </w:p>
    <w:p>
      <w:r>
        <w:rPr>
          <w:b/>
        </w:rPr>
        <w:t xml:space="preserve">2 </w:t>
      </w:r>
      <w:r>
        <w:t xml:space="preserve">And he laid</w:t>
      </w:r>
      <w:r>
        <w:rPr>
          <w:rStyle w:val="FootnoteReference"/>
        </w:rPr>
        <w:footnoteReference w:id="19667"/>
      </w:r>
      <w:r>
        <w:t xml:space="preserve"> hold of the dragon, the ancient serpent, who is Devil and Satan, and bound him a thousand years,</w:t>
      </w:r>
    </w:p>
    <w:p>
      <w:r>
        <w:rPr>
          <w:b/>
        </w:rPr>
        <w:t xml:space="preserve">3 </w:t>
      </w:r>
      <w:r>
        <w:t xml:space="preserve">And cast</w:t>
      </w:r>
      <w:r>
        <w:rPr>
          <w:rStyle w:val="FootnoteReference"/>
        </w:rPr>
        <w:footnoteReference w:id="19668"/>
      </w:r>
      <w:r>
        <w:t xml:space="preserve"> him into the abyss, and shut him up, and sealed over him, that he should deceive the nations no longer, until the thousand years should be fulfilled: and after these things he must be loosed a little time.</w:t>
      </w:r>
    </w:p>
    <w:p>
      <w:r>
        <w:rPr>
          <w:b/>
        </w:rPr>
        <w:t xml:space="preserve">4 </w:t>
      </w:r>
      <w:r>
        <w:t xml:space="preserve">And I saw thrones</w:t>
      </w:r>
      <w:r>
        <w:rPr>
          <w:rStyle w:val="FootnoteReference"/>
        </w:rPr>
        <w:footnoteReference w:id="19669"/>
      </w:r>
      <w:r>
        <w:t xml:space="preserve">, and they sat upon them, and judgment was given to them: and I saw the souls of those who were beheaded for the witness of Jesus, and for the word of God, and those who had not worshiped the beast, neither his image, neither had received his mark upon their foreheads, or in their hands; and they lived and reigned with Christ a thousand years.</w:t>
      </w:r>
    </w:p>
    <w:p>
      <w:r>
        <w:rPr>
          <w:b/>
        </w:rPr>
        <w:t xml:space="preserve">5 </w:t>
      </w:r>
      <w:r>
        <w:t xml:space="preserve">But the rest</w:t>
      </w:r>
      <w:r>
        <w:rPr>
          <w:rStyle w:val="FootnoteReference"/>
        </w:rPr>
        <w:footnoteReference w:id="19670"/>
      </w:r>
      <w:r>
        <w:t xml:space="preserve"> of the dead did not live again until the thousand years were finished. This is the first resurrection.</w:t>
      </w:r>
    </w:p>
    <w:p>
      <w:r>
        <w:rPr>
          <w:b/>
        </w:rPr>
        <w:t xml:space="preserve">6 </w:t>
      </w:r>
      <w:r>
        <w:t xml:space="preserve">Blessed</w:t>
      </w:r>
      <w:r>
        <w:rPr>
          <w:rStyle w:val="FootnoteReference"/>
        </w:rPr>
        <w:footnoteReference w:id="19671"/>
      </w:r>
      <w:r>
        <w:t xml:space="preserve"> and holy is the one who has part in the first resurrection: on such the second death has no power, but they shall be priests of God and of Christ, and shall reign with him a thousand years.</w:t>
      </w:r>
    </w:p>
    <w:p>
      <w:r>
        <w:rPr>
          <w:b/>
        </w:rPr>
        <w:t xml:space="preserve">7 </w:t>
      </w:r>
      <w:r>
        <w:t xml:space="preserve">And when the thousand years are fulfilled, Satan shall be loosed out of his prison,</w:t>
      </w:r>
    </w:p>
    <w:p>
      <w:r>
        <w:rPr>
          <w:b/>
        </w:rPr>
        <w:t xml:space="preserve">8 </w:t>
      </w:r>
      <w:r>
        <w:t xml:space="preserve">And shall go out to deceive</w:t>
      </w:r>
      <w:r>
        <w:rPr>
          <w:rStyle w:val="FootnoteReference"/>
        </w:rPr>
        <w:footnoteReference w:id="19672"/>
      </w:r>
      <w:r>
        <w:t xml:space="preserve"> the nations who are in the four quarters of the earth, Gog</w:t>
      </w:r>
      <w:r>
        <w:rPr>
          <w:rStyle w:val="FootnoteReference"/>
        </w:rPr>
        <w:footnoteReference w:id="19673"/>
      </w:r>
      <w:r>
        <w:t xml:space="preserve">, and Magog</w:t>
      </w:r>
      <w:r>
        <w:rPr>
          <w:rStyle w:val="FootnoteReference"/>
        </w:rPr>
        <w:footnoteReference w:id="19674"/>
      </w:r>
      <w:r>
        <w:t xml:space="preserve">, to gather them together to battle: the number of whom is as the sand of the sea.</w:t>
      </w:r>
    </w:p>
    <w:p>
      <w:r>
        <w:rPr>
          <w:b/>
        </w:rPr>
        <w:t xml:space="preserve">9 </w:t>
      </w:r>
      <w:r>
        <w:t xml:space="preserve">And they went</w:t>
      </w:r>
      <w:r>
        <w:rPr>
          <w:rStyle w:val="FootnoteReference"/>
        </w:rPr>
        <w:footnoteReference w:id="19675"/>
      </w:r>
      <w:r>
        <w:t xml:space="preserve"> up on the breadth of the earth, and compassed the camp of the holy ones about, and the beloved city: and fire came down from God out of heaven, and devoured them.</w:t>
      </w:r>
    </w:p>
    <w:p>
      <w:r>
        <w:rPr>
          <w:b/>
        </w:rPr>
        <w:t xml:space="preserve">10 </w:t>
      </w:r>
      <w:r>
        <w:t xml:space="preserve">And the devil</w:t>
      </w:r>
      <w:r>
        <w:rPr>
          <w:rStyle w:val="FootnoteReference"/>
        </w:rPr>
        <w:footnoteReference w:id="19676"/>
      </w:r>
      <w:r>
        <w:t xml:space="preserve"> that deceived them was cast into the lake of fire and brimstone, where the beast and the false prophet are, and shall be tormented day and night forever and ever.</w:t>
      </w:r>
    </w:p>
    <w:p>
      <w:r>
        <w:rPr>
          <w:b/>
        </w:rPr>
        <w:t xml:space="preserve">11 </w:t>
      </w:r>
      <w:r>
        <w:t xml:space="preserve">And I saw</w:t>
      </w:r>
      <w:r>
        <w:rPr>
          <w:rStyle w:val="FootnoteReference"/>
        </w:rPr>
        <w:footnoteReference w:id="19677"/>
      </w:r>
      <w:r>
        <w:t xml:space="preserve"> a great white throne, and him who sat on it, from whose face the earth and the heaven fled away; and there was found no place for them.</w:t>
      </w:r>
    </w:p>
    <w:p>
      <w:r>
        <w:rPr>
          <w:b/>
        </w:rPr>
        <w:t xml:space="preserve">12 </w:t>
      </w:r>
      <w:r>
        <w:t xml:space="preserve">And I saw</w:t>
      </w:r>
      <w:r>
        <w:rPr>
          <w:rStyle w:val="FootnoteReference"/>
        </w:rPr>
        <w:footnoteReference w:id="19678"/>
      </w:r>
      <w:r>
        <w:t xml:space="preserve"> the dead, small and great, standing before God; and books were opened: and another book was opened, which is the book of life: and the dead were judged from the things written in the books, according to their works.</w:t>
      </w:r>
    </w:p>
    <w:p>
      <w:r>
        <w:rPr>
          <w:b/>
        </w:rPr>
        <w:t xml:space="preserve">13 </w:t>
      </w:r>
      <w:r>
        <w:t xml:space="preserve">And the sea</w:t>
      </w:r>
      <w:r>
        <w:rPr>
          <w:rStyle w:val="FootnoteReference"/>
        </w:rPr>
        <w:footnoteReference w:id="19679"/>
      </w:r>
      <w:r>
        <w:t xml:space="preserve"> gave up the dead which were in it; and death and Hades delivered up the dead which were in them: and they were judged every man according to their works.</w:t>
      </w:r>
    </w:p>
    <w:p>
      <w:r>
        <w:rPr>
          <w:b/>
        </w:rPr>
        <w:t xml:space="preserve">14 </w:t>
      </w:r>
      <w:r>
        <w:t xml:space="preserve">And death</w:t>
      </w:r>
      <w:r>
        <w:rPr>
          <w:rStyle w:val="FootnoteReference"/>
        </w:rPr>
        <w:footnoteReference w:id="19680"/>
      </w:r>
      <w:r>
        <w:t xml:space="preserve"> and Hades were cast into the lake of fire. This is the second death.</w:t>
      </w:r>
    </w:p>
    <w:p>
      <w:r>
        <w:rPr>
          <w:b/>
        </w:rPr>
        <w:t xml:space="preserve">15 </w:t>
      </w:r>
      <w:r>
        <w:t xml:space="preserve">And whoever was not found written in the book of life was cast</w:t>
      </w:r>
      <w:r>
        <w:rPr>
          <w:rStyle w:val="FootnoteReference"/>
        </w:rPr>
        <w:footnoteReference w:id="19681"/>
      </w:r>
      <w:r>
        <w:t xml:space="preserve"> into the lake of fire.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21</w:t>
      </w:r>
    </w:p>
    <w:p>
      <w:r>
        <w:rPr>
          <w:b/>
        </w:rPr>
        <w:t xml:space="preserve">1 </w:t>
      </w:r>
      <w:r>
        <w:t xml:space="preserve">And I saw a new</w:t>
      </w:r>
      <w:r>
        <w:rPr>
          <w:rStyle w:val="FootnoteReference"/>
        </w:rPr>
        <w:footnoteReference w:id="19682"/>
      </w:r>
      <w:r>
        <w:t xml:space="preserve"> heaven and a new earth: for the first heaven and the first earth had passed away; and the sea is no more.</w:t>
      </w:r>
    </w:p>
    <w:p>
      <w:r>
        <w:rPr>
          <w:b/>
        </w:rPr>
        <w:t xml:space="preserve">2 </w:t>
      </w:r>
      <w:r>
        <w:t xml:space="preserve">And I John saw the holy</w:t>
      </w:r>
      <w:r>
        <w:rPr>
          <w:rStyle w:val="FootnoteReference"/>
        </w:rPr>
        <w:footnoteReference w:id="19683"/>
      </w:r>
      <w:r>
        <w:t xml:space="preserve"> city, new Jerusalem, coming down from God out of heaven, prepared as a bride adorned for her husband.</w:t>
      </w:r>
    </w:p>
    <w:p>
      <w:r>
        <w:rPr>
          <w:b/>
        </w:rPr>
        <w:t xml:space="preserve">3 </w:t>
      </w:r>
      <w:r>
        <w:t xml:space="preserve">And I heard a great</w:t>
      </w:r>
      <w:r>
        <w:rPr>
          <w:rStyle w:val="FootnoteReference"/>
        </w:rPr>
        <w:footnoteReference w:id="19684"/>
      </w:r>
      <w:r>
        <w:t xml:space="preserve"> voice out of heaven saying, Look, the tabernacle of God is with men, and he will dwell with them, and they shall be his people, and God himself shall be with them, and be their God.</w:t>
      </w:r>
    </w:p>
    <w:p>
      <w:r>
        <w:rPr>
          <w:b/>
        </w:rPr>
        <w:t xml:space="preserve">4 </w:t>
      </w:r>
      <w:r>
        <w:t xml:space="preserve">And God shall</w:t>
      </w:r>
      <w:r>
        <w:rPr>
          <w:rStyle w:val="FootnoteReference"/>
        </w:rPr>
        <w:footnoteReference w:id="19685"/>
      </w:r>
      <w:r>
        <w:t xml:space="preserve"> wipe away all tears from their eyes; and there shall be no more death, neither sorrow, nor crying, neither shall there is any more pain: for the former things are passed away.</w:t>
      </w:r>
    </w:p>
    <w:p>
      <w:r>
        <w:rPr>
          <w:b/>
        </w:rPr>
        <w:t xml:space="preserve">5 </w:t>
      </w:r>
      <w:r>
        <w:t xml:space="preserve">And the one who sat upon the throne said, Look, I make all things new. And he said to me, Write</w:t>
      </w:r>
      <w:r>
        <w:rPr>
          <w:rStyle w:val="FootnoteReference"/>
        </w:rPr>
        <w:footnoteReference w:id="19686"/>
      </w:r>
      <w:r>
        <w:t xml:space="preserve">: for these words are true and faithful.</w:t>
      </w:r>
    </w:p>
    <w:p>
      <w:r>
        <w:rPr>
          <w:b/>
        </w:rPr>
        <w:t xml:space="preserve">6 </w:t>
      </w:r>
      <w:r>
        <w:t xml:space="preserve">And he said to me, It is done. I am Alpha and Omega, the beginning and the end. I will give to him who is thirsty of the fountain</w:t>
      </w:r>
      <w:r>
        <w:rPr>
          <w:rStyle w:val="FootnoteReference"/>
        </w:rPr>
        <w:footnoteReference w:id="19687"/>
      </w:r>
      <w:r>
        <w:t xml:space="preserve"> of the water of life freely.</w:t>
      </w:r>
    </w:p>
    <w:p>
      <w:r>
        <w:rPr>
          <w:b/>
        </w:rPr>
        <w:t xml:space="preserve">7 </w:t>
      </w:r>
      <w:r>
        <w:t xml:space="preserve">the one who overcomes shall inherit</w:t>
      </w:r>
      <w:r>
        <w:rPr>
          <w:rStyle w:val="FootnoteReference"/>
        </w:rPr>
        <w:footnoteReference w:id="19688"/>
      </w:r>
      <w:r>
        <w:t xml:space="preserve"> all things; and I will be his God, and he shall be my son.</w:t>
      </w:r>
    </w:p>
    <w:p>
      <w:r>
        <w:rPr>
          <w:b/>
        </w:rPr>
        <w:t xml:space="preserve">8 </w:t>
      </w:r>
      <w:r>
        <w:t xml:space="preserve">But the fearful</w:t>
      </w:r>
      <w:r>
        <w:rPr>
          <w:rStyle w:val="FootnoteReference"/>
        </w:rPr>
        <w:footnoteReference w:id="19689"/>
      </w:r>
      <w:r>
        <w:t xml:space="preserve">, and unbelieving, and the abominable, and murderers, and sexually immoral, and sorcerers, and idolaters, and all liars, shall have their part in the lake which burns with fire and brimstone: which is the second death.</w:t>
      </w:r>
    </w:p>
    <w:p>
      <w:r>
        <w:rPr>
          <w:b/>
        </w:rPr>
        <w:t xml:space="preserve">9 </w:t>
      </w:r>
      <w:r>
        <w:t xml:space="preserve">And there came to me one of the seven angels who had the seven bowls full of the seven last plagues, and talked with me, saying, Come here, I will show you the bride, the Lamb's</w:t>
      </w:r>
      <w:r>
        <w:rPr>
          <w:rStyle w:val="FootnoteReference"/>
        </w:rPr>
        <w:footnoteReference w:id="19690"/>
      </w:r>
      <w:r>
        <w:t xml:space="preserve"> wife.</w:t>
      </w:r>
    </w:p>
    <w:p>
      <w:r>
        <w:rPr>
          <w:b/>
        </w:rPr>
        <w:t xml:space="preserve">10 </w:t>
      </w:r>
      <w:r>
        <w:t xml:space="preserve">And he carried</w:t>
      </w:r>
      <w:r>
        <w:rPr>
          <w:rStyle w:val="FootnoteReference"/>
        </w:rPr>
        <w:footnoteReference w:id="19691"/>
      </w:r>
      <w:r>
        <w:t xml:space="preserve"> me away in the spirit to a great and high mountain, and showed me that great city, the holy Jerusalem, descending out of heaven from God,</w:t>
      </w:r>
    </w:p>
    <w:p>
      <w:r>
        <w:rPr>
          <w:b/>
        </w:rPr>
        <w:t xml:space="preserve">11 </w:t>
      </w:r>
      <w:r>
        <w:t xml:space="preserve">Having the glory</w:t>
      </w:r>
      <w:r>
        <w:rPr>
          <w:rStyle w:val="FootnoteReference"/>
        </w:rPr>
        <w:footnoteReference w:id="19692"/>
      </w:r>
      <w:r>
        <w:t xml:space="preserve"> of God: and her light was like to a stone most precious, even like a jasper stone, clear as crystal;</w:t>
      </w:r>
    </w:p>
    <w:p>
      <w:r>
        <w:rPr>
          <w:b/>
        </w:rPr>
        <w:t xml:space="preserve">12 </w:t>
      </w:r>
      <w:r>
        <w:t xml:space="preserve">having a great and high wall, having twelve gates</w:t>
      </w:r>
      <w:r>
        <w:rPr>
          <w:rStyle w:val="FootnoteReference"/>
        </w:rPr>
        <w:footnoteReference w:id="19693"/>
      </w:r>
      <w:r>
        <w:t xml:space="preserve">, and at the gates twelve angels, and names written on them, which are the names of the twelve tribes of the sons of Israel:</w:t>
      </w:r>
    </w:p>
    <w:p>
      <w:r>
        <w:rPr>
          <w:b/>
        </w:rPr>
        <w:t xml:space="preserve">13 </w:t>
      </w:r>
      <w:r>
        <w:t xml:space="preserve">From the east three gates; from the north three gates; from the south three gates; and from the west three gates.</w:t>
      </w:r>
    </w:p>
    <w:p>
      <w:r>
        <w:rPr>
          <w:b/>
        </w:rPr>
        <w:t xml:space="preserve">14 </w:t>
      </w:r>
      <w:r>
        <w:t xml:space="preserve">And the wall of the city had twelve foundations</w:t>
      </w:r>
      <w:r>
        <w:rPr>
          <w:rStyle w:val="FootnoteReference"/>
        </w:rPr>
        <w:footnoteReference w:id="19694"/>
      </w:r>
      <w:r>
        <w:t xml:space="preserve">, and in them the names of the twelve apostles of the Lamb.</w:t>
      </w:r>
    </w:p>
    <w:p>
      <w:r>
        <w:rPr>
          <w:b/>
        </w:rPr>
        <w:t xml:space="preserve">15 </w:t>
      </w:r>
      <w:r>
        <w:t xml:space="preserve">And the one who talked with me had a golden</w:t>
      </w:r>
      <w:r>
        <w:rPr>
          <w:rStyle w:val="FootnoteReference"/>
        </w:rPr>
        <w:footnoteReference w:id="19695"/>
      </w:r>
      <w:r>
        <w:t xml:space="preserve"> reed to measure the city, and the gates of it, and the wall of it.</w:t>
      </w:r>
    </w:p>
    <w:p>
      <w:r>
        <w:rPr>
          <w:b/>
        </w:rPr>
        <w:t xml:space="preserve">16 </w:t>
      </w:r>
      <w:r>
        <w:t xml:space="preserve">And the city lies square, and its length is as much as the breadth: and he measured the city with the reed at twelve</w:t>
      </w:r>
      <w:r>
        <w:rPr>
          <w:rStyle w:val="FootnoteReference"/>
        </w:rPr>
        <w:footnoteReference w:id="19696"/>
      </w:r>
      <w:r>
        <w:t xml:space="preserve"> thousand stadia. Its length and breadth and height are equal.</w:t>
      </w:r>
    </w:p>
    <w:p>
      <w:r>
        <w:rPr>
          <w:b/>
        </w:rPr>
        <w:t xml:space="preserve">17 </w:t>
      </w:r>
      <w:r>
        <w:t xml:space="preserve">And he measured the wall of it, a hundred and forty and four cubits, according to the measure of a man, that is, of the angel.</w:t>
      </w:r>
    </w:p>
    <w:p>
      <w:r>
        <w:rPr>
          <w:b/>
        </w:rPr>
        <w:t xml:space="preserve">18 </w:t>
      </w:r>
      <w:r>
        <w:t xml:space="preserve">And the building of the wall of it was of</w:t>
      </w:r>
      <w:r>
        <w:rPr>
          <w:rStyle w:val="FootnoteReference"/>
        </w:rPr>
        <w:footnoteReference w:id="19697"/>
      </w:r>
      <w:r>
        <w:t xml:space="preserve"> jasper: and the city was pure gold, like to clear glass.</w:t>
      </w:r>
    </w:p>
    <w:p>
      <w:r>
        <w:rPr>
          <w:b/>
        </w:rPr>
        <w:t xml:space="preserve">19 </w:t>
      </w:r>
      <w:r>
        <w:t xml:space="preserve">And the foundations</w:t>
      </w:r>
      <w:r>
        <w:rPr>
          <w:rStyle w:val="FootnoteReference"/>
        </w:rPr>
        <w:footnoteReference w:id="19698"/>
      </w:r>
      <w:r>
        <w:t xml:space="preserve"> of the wall of the city were adorned with every precious stone. The first foundation was jasper; the second, sapphire; the third, chalcedony; the fourth, emerald;</w:t>
      </w:r>
    </w:p>
    <w:p>
      <w:r>
        <w:rPr>
          <w:b/>
        </w:rPr>
        <w:t xml:space="preserve">20 </w:t>
      </w:r>
      <w:r>
        <w:t xml:space="preserve">The fifth, sardonyx; the sixth, sardius; the seventh, chrysolyte; the eighth, beryl; the ninth, topaz; the tenth, chrysoprase; the eleventh, jacinth; the twelfth, amethyst.</w:t>
      </w:r>
    </w:p>
    <w:p>
      <w:r>
        <w:rPr>
          <w:b/>
        </w:rPr>
        <w:t xml:space="preserve">21 </w:t>
      </w:r>
      <w:r>
        <w:t xml:space="preserve">And the twelve</w:t>
      </w:r>
      <w:r>
        <w:rPr>
          <w:rStyle w:val="FootnoteReference"/>
        </w:rPr>
        <w:footnoteReference w:id="19699"/>
      </w:r>
      <w:r>
        <w:t xml:space="preserve"> gates were twelve pearls: each gate was of one pearl: and the street of the city was pure gold, as it were transparent glass.</w:t>
      </w:r>
    </w:p>
    <w:p>
      <w:r>
        <w:rPr>
          <w:b/>
        </w:rPr>
        <w:t xml:space="preserve">22 </w:t>
      </w:r>
      <w:r>
        <w:t xml:space="preserve">And I saw</w:t>
      </w:r>
      <w:r>
        <w:rPr>
          <w:rStyle w:val="FootnoteReference"/>
        </w:rPr>
        <w:footnoteReference w:id="19700"/>
      </w:r>
      <w:r>
        <w:t xml:space="preserve"> no temple in it: for the Lord God Almighty and the Lamb are the temple of it.</w:t>
      </w:r>
    </w:p>
    <w:p>
      <w:r>
        <w:rPr>
          <w:b/>
        </w:rPr>
        <w:t xml:space="preserve">23 </w:t>
      </w:r>
      <w:r>
        <w:t xml:space="preserve">And the city had no need of the sun, neither of the moon, to shine in it: for the glory of God did lighten it, and the Lamb</w:t>
      </w:r>
      <w:r>
        <w:rPr>
          <w:rStyle w:val="FootnoteReference"/>
        </w:rPr>
        <w:footnoteReference w:id="19701"/>
      </w:r>
      <w:r>
        <w:t xml:space="preserve"> is the light of it.</w:t>
      </w:r>
    </w:p>
    <w:p>
      <w:r>
        <w:rPr>
          <w:b/>
        </w:rPr>
        <w:t xml:space="preserve">24 </w:t>
      </w:r>
      <w:r>
        <w:t xml:space="preserve">And the nations</w:t>
      </w:r>
      <w:r>
        <w:rPr>
          <w:rStyle w:val="FootnoteReference"/>
        </w:rPr>
        <w:footnoteReference w:id="19702"/>
      </w:r>
      <w:r>
        <w:t xml:space="preserve"> of those who are saved shall walk in the light of it: and the kings of the earth do bring their glory and honor into it.</w:t>
      </w:r>
    </w:p>
    <w:p>
      <w:r>
        <w:rPr>
          <w:b/>
        </w:rPr>
        <w:t xml:space="preserve">25 </w:t>
      </w:r>
      <w:r>
        <w:t xml:space="preserve">And its gates shall by no means be shut by day: for night shall not be there.</w:t>
      </w:r>
    </w:p>
    <w:p>
      <w:r>
        <w:rPr>
          <w:b/>
        </w:rPr>
        <w:t xml:space="preserve">26 </w:t>
      </w:r>
      <w:r>
        <w:t xml:space="preserve">And they shall bring the glory</w:t>
      </w:r>
      <w:r>
        <w:rPr>
          <w:rStyle w:val="FootnoteReference"/>
        </w:rPr>
        <w:footnoteReference w:id="19703"/>
      </w:r>
      <w:r>
        <w:t xml:space="preserve"> and honor of the nations into it.</w:t>
      </w:r>
    </w:p>
    <w:p>
      <w:r>
        <w:rPr>
          <w:b/>
        </w:rPr>
        <w:t xml:space="preserve">27 </w:t>
      </w:r>
      <w:r>
        <w:t xml:space="preserve">And there shall by no means enter into it anything that defiles, neither whatever works abomination, or makes a lie: but those who are written in the Lamb's book of life.</w:t>
      </w:r>
    </w:p>
    <w:p>
      <w:pPr>
        <w:pStyle w:val="Heading2"/>
        <w:sectPr>
          <w:footnotePr>
            <w:numRestart w:val="eachSect"/>
            <w:numFmt w:val="decimal"/>
          </w:footnotePr>
          <w:type w:val="continuous"/>
          <w:pgSz w:w="12240" w:h="15840"/>
          <w:pgMar w:top="720" w:right="540" w:bottom="720" w:left="540" w:header="360" w:footer="360" w:gutter="0"/>
          <w:cols w:space="360" w:num="2"/>
        </w:sectPr>
      </w:pPr>
      <w:r>
        <w:t xml:space="preserve">Chapter 22</w:t>
      </w:r>
    </w:p>
    <w:p>
      <w:r>
        <w:rPr>
          <w:b/>
        </w:rPr>
        <w:t xml:space="preserve">1 </w:t>
      </w:r>
      <w:r>
        <w:t xml:space="preserve">And he showed me a pure</w:t>
      </w:r>
      <w:r>
        <w:rPr>
          <w:rStyle w:val="FootnoteReference"/>
        </w:rPr>
        <w:footnoteReference w:id="19704"/>
      </w:r>
      <w:r>
        <w:t xml:space="preserve"> river of water of life, bright as crystal, proceeding out of the throne of God and of the Lamb.</w:t>
      </w:r>
    </w:p>
    <w:p>
      <w:r>
        <w:rPr>
          <w:b/>
        </w:rPr>
        <w:t xml:space="preserve">2 </w:t>
      </w:r>
      <w:r>
        <w:t xml:space="preserve">In the midst</w:t>
      </w:r>
      <w:r>
        <w:rPr>
          <w:rStyle w:val="FootnoteReference"/>
        </w:rPr>
        <w:footnoteReference w:id="19705"/>
      </w:r>
      <w:r>
        <w:t xml:space="preserve"> of the street of it, and on either side of the river, was there the tree of life, which bore twelve manner of fruits, and yielded her fruit every month: and the leaves of the tree were for the healing of the nations.</w:t>
      </w:r>
    </w:p>
    <w:p>
      <w:r>
        <w:rPr>
          <w:b/>
        </w:rPr>
        <w:t xml:space="preserve">3 </w:t>
      </w:r>
      <w:r>
        <w:t xml:space="preserve">And there shall be no more curse: but the throne of God and of the Lamb shall be in it; and his slaves shall serve him:</w:t>
      </w:r>
    </w:p>
    <w:p>
      <w:r>
        <w:rPr>
          <w:b/>
        </w:rPr>
        <w:t xml:space="preserve">4 </w:t>
      </w:r>
      <w:r>
        <w:t xml:space="preserve">And they shall see his face; and his name shall be on their foreheads.</w:t>
      </w:r>
    </w:p>
    <w:p>
      <w:r>
        <w:rPr>
          <w:b/>
        </w:rPr>
        <w:t xml:space="preserve">5 </w:t>
      </w:r>
      <w:r>
        <w:t xml:space="preserve">And there shall be no night</w:t>
      </w:r>
      <w:r>
        <w:rPr>
          <w:rStyle w:val="FootnoteReference"/>
        </w:rPr>
        <w:footnoteReference w:id="19706"/>
      </w:r>
      <w:r>
        <w:t xml:space="preserve"> there; and they need no candle, neither light of the sun; for the Lord God gives them light: and they shall reign forever and ever.</w:t>
      </w:r>
    </w:p>
    <w:p>
      <w:r>
        <w:rPr>
          <w:b/>
        </w:rPr>
        <w:t xml:space="preserve">6 </w:t>
      </w:r>
      <w:r>
        <w:t xml:space="preserve">And he said to me, These sayings are faithful and true: and the Lord God of the holy</w:t>
      </w:r>
      <w:r>
        <w:rPr>
          <w:rStyle w:val="FootnoteReference"/>
        </w:rPr>
        <w:footnoteReference w:id="19707"/>
      </w:r>
      <w:r>
        <w:t xml:space="preserve"> prophets sent his angel to show to his slaves the things which must shortly be done.</w:t>
      </w:r>
    </w:p>
    <w:p>
      <w:r>
        <w:rPr>
          <w:b/>
        </w:rPr>
        <w:t xml:space="preserve">7 </w:t>
      </w:r>
      <w:r>
        <w:t xml:space="preserve">Look, I come</w:t>
      </w:r>
      <w:r>
        <w:rPr>
          <w:rStyle w:val="FootnoteReference"/>
        </w:rPr>
        <w:footnoteReference w:id="19708"/>
      </w:r>
      <w:r>
        <w:t xml:space="preserve"> quickly: blessed is the one who keeps the sayings of the prophecy of this book.</w:t>
      </w:r>
    </w:p>
    <w:p>
      <w:r>
        <w:rPr>
          <w:b/>
        </w:rPr>
        <w:t xml:space="preserve">8 </w:t>
      </w:r>
      <w:r>
        <w:t xml:space="preserve">And I John saw these things, and heard them. And when I had heard and seen, I fell</w:t>
      </w:r>
      <w:r>
        <w:rPr>
          <w:rStyle w:val="FootnoteReference"/>
        </w:rPr>
        <w:footnoteReference w:id="19709"/>
      </w:r>
      <w:r>
        <w:t xml:space="preserve"> down to worship before the feet of the angel who showed me these things.</w:t>
      </w:r>
    </w:p>
    <w:p>
      <w:r>
        <w:rPr>
          <w:b/>
        </w:rPr>
        <w:t xml:space="preserve">9 </w:t>
      </w:r>
      <w:r>
        <w:t xml:space="preserve">Then says he to me, See you do it not: for I am your fellow slave, and of your brothers the prophets, and of those who keep the sayings of this book: worship God</w:t>
      </w:r>
      <w:r>
        <w:rPr>
          <w:rStyle w:val="FootnoteReference"/>
        </w:rPr>
        <w:footnoteReference w:id="19710"/>
      </w:r>
      <w:r>
        <w:t xml:space="preserve">.</w:t>
      </w:r>
    </w:p>
    <w:p>
      <w:r>
        <w:rPr>
          <w:b/>
        </w:rPr>
        <w:t xml:space="preserve">10 </w:t>
      </w:r>
      <w:r>
        <w:t xml:space="preserve">And he says to me, Seal</w:t>
      </w:r>
      <w:r>
        <w:rPr>
          <w:rStyle w:val="FootnoteReference"/>
        </w:rPr>
        <w:footnoteReference w:id="19711"/>
      </w:r>
      <w:r>
        <w:t xml:space="preserve"> not the sayings of the prophecy of this book: for the time is at hand.</w:t>
      </w:r>
    </w:p>
    <w:p>
      <w:r>
        <w:rPr>
          <w:b/>
        </w:rPr>
        <w:t xml:space="preserve">11 </w:t>
      </w:r>
      <w:r>
        <w:t xml:space="preserve">the one who is unjust, let him be unjust still: and the one who is filthy, let him be filthy still: and the one who is righteous, let him be righteous still: and the one who is holy, let him be holy still.</w:t>
      </w:r>
    </w:p>
    <w:p>
      <w:r>
        <w:rPr>
          <w:b/>
        </w:rPr>
        <w:t xml:space="preserve">12 </w:t>
      </w:r>
      <w:r>
        <w:t xml:space="preserve">And, look, I come</w:t>
      </w:r>
      <w:r>
        <w:rPr>
          <w:rStyle w:val="FootnoteReference"/>
        </w:rPr>
        <w:footnoteReference w:id="19712"/>
      </w:r>
      <w:r>
        <w:t xml:space="preserve"> quickly; and my reward is with me, to give every man according as his work shall be.</w:t>
      </w:r>
    </w:p>
    <w:p>
      <w:r>
        <w:rPr>
          <w:b/>
        </w:rPr>
        <w:t xml:space="preserve">13 </w:t>
      </w:r>
      <w:r>
        <w:t xml:space="preserve">I am the Alpha and the Omega, beginning and end, the first and the last.</w:t>
      </w:r>
    </w:p>
    <w:p>
      <w:r>
        <w:rPr>
          <w:b/>
        </w:rPr>
        <w:t xml:space="preserve">14 </w:t>
      </w:r>
      <w:r>
        <w:t xml:space="preserve">Blessed</w:t>
      </w:r>
      <w:r>
        <w:rPr>
          <w:rStyle w:val="FootnoteReference"/>
        </w:rPr>
        <w:footnoteReference w:id="19713"/>
      </w:r>
      <w:r>
        <w:t xml:space="preserve"> are those who do his commandments, that they may have right to the tree of life, and may enter in through the gates into the city.</w:t>
      </w:r>
    </w:p>
    <w:p>
      <w:r>
        <w:rPr>
          <w:b/>
        </w:rPr>
        <w:t xml:space="preserve">15 </w:t>
      </w:r>
      <w:r>
        <w:t xml:space="preserve">For without are dogs</w:t>
      </w:r>
      <w:r>
        <w:rPr>
          <w:rStyle w:val="FootnoteReference"/>
        </w:rPr>
        <w:footnoteReference w:id="19714"/>
      </w:r>
      <w:r>
        <w:t xml:space="preserve">, and sorcerers, and sexually immoral, and murderers, and idolaters, and whoever loves and makes a lie.</w:t>
      </w:r>
    </w:p>
    <w:p>
      <w:r>
        <w:rPr>
          <w:b/>
        </w:rPr>
        <w:t xml:space="preserve">16 </w:t>
      </w:r>
      <w:r>
        <w:t xml:space="preserve">I Jesus</w:t>
      </w:r>
      <w:r>
        <w:rPr>
          <w:rStyle w:val="FootnoteReference"/>
        </w:rPr>
        <w:footnoteReference w:id="19715"/>
      </w:r>
      <w:r>
        <w:t xml:space="preserve"> have sent my angel to testify to you these things in the assemblies. I am the root and the offspring of David, and the bright and morning star.</w:t>
      </w:r>
    </w:p>
    <w:p>
      <w:r>
        <w:rPr>
          <w:b/>
        </w:rPr>
        <w:t xml:space="preserve">17 </w:t>
      </w:r>
      <w:r>
        <w:t xml:space="preserve">And the Spirit</w:t>
      </w:r>
      <w:r>
        <w:rPr>
          <w:rStyle w:val="FootnoteReference"/>
        </w:rPr>
        <w:footnoteReference w:id="19716"/>
      </w:r>
      <w:r>
        <w:t xml:space="preserve"> and the bride say, Come. And let him who hears say, Come. And let him who is thirsty come. And whoever will, let him take the water of life freely.</w:t>
      </w:r>
    </w:p>
    <w:p>
      <w:r>
        <w:rPr>
          <w:b/>
        </w:rPr>
        <w:t xml:space="preserve">18 </w:t>
      </w:r>
      <w:r>
        <w:t xml:space="preserve">For I testify</w:t>
      </w:r>
      <w:r>
        <w:rPr>
          <w:rStyle w:val="FootnoteReference"/>
        </w:rPr>
        <w:footnoteReference w:id="19717"/>
      </w:r>
      <w:r>
        <w:t xml:space="preserve"> to every man that hears the words of the prophecy of this book, If anyone shall add to these things, God shall add to him the plagues that are written in this book:</w:t>
      </w:r>
    </w:p>
    <w:p>
      <w:r>
        <w:rPr>
          <w:b/>
        </w:rPr>
        <w:t xml:space="preserve">19 </w:t>
      </w:r>
      <w:r>
        <w:t xml:space="preserve">And if anyone shall take</w:t>
      </w:r>
      <w:r>
        <w:rPr>
          <w:rStyle w:val="FootnoteReference"/>
        </w:rPr>
        <w:footnoteReference w:id="19718"/>
      </w:r>
      <w:r>
        <w:t xml:space="preserve"> away from the words of the book of this prophecy, God shall take away his part out of the book of life, and out of the holy city, and from the things which are written in this book.</w:t>
      </w:r>
    </w:p>
    <w:p>
      <w:r>
        <w:rPr>
          <w:b/>
        </w:rPr>
        <w:t xml:space="preserve">20 </w:t>
      </w:r>
      <w:r>
        <w:t xml:space="preserve">the one who testifies these things says, Surely</w:t>
      </w:r>
      <w:r>
        <w:rPr>
          <w:rStyle w:val="FootnoteReference"/>
        </w:rPr>
        <w:footnoteReference w:id="19719"/>
      </w:r>
      <w:r>
        <w:t xml:space="preserve"> I come quickly. Amen. Even so, come, Lord Jesus.</w:t>
      </w:r>
    </w:p>
    <w:p>
      <w:r>
        <w:rPr>
          <w:b/>
        </w:rPr>
        <w:t xml:space="preserve">21 </w:t>
      </w:r>
      <w:r>
        <w:t xml:space="preserve">The grace of our Lord Jesus Christ be with you all. Amen.</w:t>
      </w:r>
    </w:p>
    <w:sectPr>
      <w:footnotePr>
        <w:numRestart w:val="eachSect"/>
        <w:numFmt w:val="decimal"/>
      </w:footnotePr>
      <w:pgSz w:w="12240" w:h="15840"/>
      <w:pgMar w:top="720" w:right="540" w:bottom="720" w:left="540" w:header="360" w:footer="360" w:gutter="0"/>
      <w:cols w:space="360" w:num="2"/>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Hebrew divine name/title: Elohim (</w:t>
      </w:r>
      <w:r>
        <w:rPr>
          <w:lang w:val="he-IL" w:bidi="he-IL"/>
          <w:rtl/>
        </w:rPr>
        <w:t xml:space="preserve">אֱלֹהִים</w:t>
      </w:r>
      <w:r>
        <w:t xml:space="preserve">) — God; mighty one(s). Common English rendering: God. The most common opening name for God in Scripture; grammatically plural in form but regularly used with singular verbs for the one true God.</w:t>
      </w:r>
    </w:p>
  </w:footnote>
  <w:footnote w:id="2">
    <w:p>
      <w:pPr>
        <w:pStyle w:val="FootnoteText"/>
      </w:pPr>
      <w:r>
        <w:rPr>
          <w:rStyle w:val="FootnoteReference"/>
        </w:rPr>
        <w:footnoteRef/>
      </w:r>
      <w:r>
        <w:t xml:space="preserve"> Translation note: The Greek phrase can function as a totality expression, referring to the whole ordered world rather than only the sky above and the soil below. NETS, LES, and LES2 keep this heaven-and-earth pairing close to the Greek line.</w:t>
      </w:r>
    </w:p>
  </w:footnote>
  <w:footnote w:id="3">
    <w:p>
      <w:pPr>
        <w:pStyle w:val="FootnoteText"/>
      </w:pPr>
      <w:r>
        <w:rPr>
          <w:rStyle w:val="FootnoteReference"/>
        </w:rPr>
        <w:footnoteRef/>
      </w:r>
      <w:r>
        <w:t xml:space="preserve"> Greek LXX divine name/title: Ho Theos (ὁ Θεός) — God. Common English rendering: God. The LXX uses ho Theos here for the Creator; this is the Greek equivalent behind the Hebrew Elohim in Genesis 1:1.</w:t>
      </w:r>
    </w:p>
  </w:footnote>
  <w:footnote w:id="4">
    <w:p>
      <w:pPr>
        <w:pStyle w:val="FootnoteText"/>
      </w:pPr>
      <w:r>
        <w:rPr>
          <w:rStyle w:val="FootnoteReference"/>
        </w:rPr>
        <w:footnoteRef/>
      </w:r>
      <w:r>
        <w:t xml:space="preserve"> Translation note: Greek pneuma can mean wind, breath, or spirit, but in this creation context the line is best read as the Spirit of God rather than merely meteorological wind.</w:t>
      </w:r>
    </w:p>
  </w:footnote>
  <w:footnote w:id="5">
    <w:p>
      <w:pPr>
        <w:pStyle w:val="FootnoteText"/>
      </w:pPr>
      <w:r>
        <w:rPr>
          <w:rStyle w:val="FootnoteReference"/>
        </w:rPr>
        <w:footnoteRef/>
      </w:r>
      <w:r>
        <w:t xml:space="preserve"> Translation note: The Greek verb is from ginomai, which often signals becoming or coming into being. This draft keeps that verbal echo in both command and fulfillment.</w:t>
      </w:r>
    </w:p>
  </w:footnote>
  <w:footnote w:id="6">
    <w:p>
      <w:pPr>
        <w:pStyle w:val="FootnoteText"/>
      </w:pPr>
      <w:r>
        <w:rPr>
          <w:rStyle w:val="FootnoteReference"/>
        </w:rPr>
        <w:footnoteRef/>
      </w:r>
      <w:r>
        <w:t xml:space="preserve"> Translation note: Greek uses a cardinal expression here, literally "day one," rather than the more expected ordinal "first day." English witnesses are split, and the draft keeps the Greek cardinal force visible rather than smoothing to an ordinal.</w:t>
      </w:r>
    </w:p>
  </w:footnote>
  <w:footnote w:id="7">
    <w:p>
      <w:pPr>
        <w:pStyle w:val="FootnoteText"/>
      </w:pPr>
      <w:r>
        <w:rPr>
          <w:rStyle w:val="FootnoteReference"/>
        </w:rPr>
        <w:footnoteRef/>
      </w:r>
      <w:r>
        <w:t xml:space="preserve"> Translation note: Greek stereoma points to something fixed or made firm. "Firm span" aims to preserve that sense without defaulting either to the older "firmament" or to a purely empty "expanse."</w:t>
      </w:r>
    </w:p>
  </w:footnote>
  <w:footnote w:id="8">
    <w:p>
      <w:pPr>
        <w:pStyle w:val="FootnoteText"/>
      </w:pPr>
      <w:r>
        <w:rPr>
          <w:rStyle w:val="FootnoteReference"/>
        </w:rPr>
        <w:footnoteRef/>
      </w:r>
      <w:r>
        <w:t xml:space="preserve"> Cross-references for "evening": Gen 1:5; Gen 1:13.</w:t>
      </w:r>
    </w:p>
  </w:footnote>
  <w:footnote w:id="9">
    <w:p>
      <w:pPr>
        <w:pStyle w:val="FootnoteText"/>
      </w:pPr>
      <w:r>
        <w:rPr>
          <w:rStyle w:val="FootnoteReference"/>
        </w:rPr>
        <w:footnoteRef/>
      </w:r>
      <w:r>
        <w:t xml:space="preserve"> Translation note: Greek speaks of the waters being brought into "one gathering" and then into "their gatherings," keeping the image of collected water visible more strongly than the smoother phrase "one place."</w:t>
      </w:r>
    </w:p>
  </w:footnote>
  <w:footnote w:id="10">
    <w:p>
      <w:pPr>
        <w:pStyle w:val="FootnoteText"/>
      </w:pPr>
      <w:r>
        <w:rPr>
          <w:rStyle w:val="FootnoteReference"/>
        </w:rPr>
        <w:footnoteRef/>
      </w:r>
      <w:r>
        <w:t xml:space="preserve"> Translation note: Greek literally refers to gathered formations or collected bodies of water. This draft keeps the fuller phrase visible rather than shortening it to gathered waters.</w:t>
      </w:r>
    </w:p>
  </w:footnote>
  <w:footnote w:id="11">
    <w:p>
      <w:pPr>
        <w:pStyle w:val="FootnoteText"/>
      </w:pPr>
      <w:r>
        <w:rPr>
          <w:rStyle w:val="FootnoteReference"/>
        </w:rPr>
        <w:footnoteRef/>
      </w:r>
      <w:r>
        <w:t xml:space="preserve"> Cross-references for "God saw": Gen 1:4; Deut 32:4.</w:t>
      </w:r>
    </w:p>
  </w:footnote>
  <w:footnote w:id="12">
    <w:p>
      <w:pPr>
        <w:pStyle w:val="FootnoteText"/>
      </w:pPr>
      <w:r>
        <w:rPr>
          <w:rStyle w:val="FootnoteReference"/>
        </w:rPr>
        <w:footnoteRef/>
      </w:r>
      <w:r>
        <w:t xml:space="preserve"> Translation note: The Greek command uses both "kind" and "likeness" with repeated according-to phrasing. The fruit-tree language is singular in Greek, and the Hebrew line is also singular/collective rather than plural.</w:t>
      </w:r>
    </w:p>
  </w:footnote>
  <w:footnote w:id="13">
    <w:p>
      <w:pPr>
        <w:pStyle w:val="FootnoteText"/>
      </w:pPr>
      <w:r>
        <w:rPr>
          <w:rStyle w:val="FootnoteReference"/>
        </w:rPr>
        <w:footnoteRef/>
      </w:r>
      <w:r>
        <w:t xml:space="preserve"> Cross-references for "fruit": Gen 1:29; Gen 2:9.</w:t>
      </w:r>
    </w:p>
  </w:footnote>
  <w:footnote w:id="14">
    <w:p>
      <w:pPr>
        <w:pStyle w:val="FootnoteText"/>
      </w:pPr>
      <w:r>
        <w:rPr>
          <w:rStyle w:val="FootnoteReference"/>
        </w:rPr>
        <w:footnoteRef/>
      </w:r>
      <w:r>
        <w:t xml:space="preserve"> Cross-references for "herb": Isa 55:10-11; Matt 13:24-26.</w:t>
      </w:r>
    </w:p>
  </w:footnote>
  <w:footnote w:id="15">
    <w:p>
      <w:pPr>
        <w:pStyle w:val="FootnoteText"/>
      </w:pPr>
      <w:r>
        <w:rPr>
          <w:rStyle w:val="FootnoteReference"/>
        </w:rPr>
        <w:footnoteRef/>
      </w:r>
      <w:r>
        <w:t xml:space="preserve"> Translation note: Verse 12 echoes the command in verse 11 with repeated according-to phrasing and singular fruit-tree language.</w:t>
      </w:r>
    </w:p>
  </w:footnote>
  <w:footnote w:id="16">
    <w:p>
      <w:pPr>
        <w:pStyle w:val="FootnoteText"/>
      </w:pPr>
      <w:r>
        <w:rPr>
          <w:rStyle w:val="FootnoteReference"/>
        </w:rPr>
        <w:footnoteRef/>
      </w:r>
      <w:r>
        <w:t xml:space="preserve"> Translation note: Greek does not simply say light as an abstract thing but uses a term for bodies that bear or give light. Hebrew meorot likewise means lights, luminaries, or light-giving bodies.</w:t>
      </w:r>
    </w:p>
  </w:footnote>
  <w:footnote w:id="17">
    <w:p>
      <w:pPr>
        <w:pStyle w:val="FootnoteText"/>
      </w:pPr>
      <w:r>
        <w:rPr>
          <w:rStyle w:val="FootnoteReference"/>
        </w:rPr>
        <w:footnoteRef/>
      </w:r>
      <w:r>
        <w:t xml:space="preserve"> Cross-references for "And let": Gen 8:22; Gen 9:13.</w:t>
      </w:r>
    </w:p>
  </w:footnote>
  <w:footnote w:id="18">
    <w:p>
      <w:pPr>
        <w:pStyle w:val="FootnoteText"/>
      </w:pPr>
      <w:r>
        <w:rPr>
          <w:rStyle w:val="FootnoteReference"/>
        </w:rPr>
        <w:footnoteRef/>
      </w:r>
      <w:r>
        <w:t xml:space="preserve"> Translation note: Greek uses plural archas, a noun from the beginning/rule family, for the day and night domains. Hebrew memshelet means rule or dominion and is singular here.</w:t>
      </w:r>
    </w:p>
  </w:footnote>
  <w:footnote w:id="19">
    <w:p>
      <w:pPr>
        <w:pStyle w:val="FootnoteText"/>
      </w:pPr>
      <w:r>
        <w:rPr>
          <w:rStyle w:val="FootnoteReference"/>
        </w:rPr>
        <w:footnoteRef/>
      </w:r>
      <w:r>
        <w:t xml:space="preserve"> Cross-references for "Let the waters": Gen 1:22; Gen 2:19.</w:t>
      </w:r>
    </w:p>
  </w:footnote>
  <w:footnote w:id="20">
    <w:p>
      <w:pPr>
        <w:pStyle w:val="FootnoteText"/>
      </w:pPr>
      <w:r>
        <w:rPr>
          <w:rStyle w:val="FootnoteReference"/>
        </w:rPr>
        <w:footnoteRef/>
      </w:r>
      <w:r>
        <w:t xml:space="preserve"> Translation note: Greek says crawling things of living souls, using psyche for soul. Hebrew nephesh chayyah likewise means living soul, living being, or living creature.</w:t>
      </w:r>
    </w:p>
  </w:footnote>
  <w:footnote w:id="21">
    <w:p>
      <w:pPr>
        <w:pStyle w:val="FootnoteText"/>
      </w:pPr>
      <w:r>
        <w:rPr>
          <w:rStyle w:val="FootnoteReference"/>
        </w:rPr>
        <w:footnoteRef/>
      </w:r>
      <w:r>
        <w:t xml:space="preserve"> Translation note: Greek kete is more vivid than a generic sea-creature term here, and Hebrew tanninim likewise means sea monsters or great sea creatures.</w:t>
      </w:r>
    </w:p>
  </w:footnote>
  <w:footnote w:id="22">
    <w:p>
      <w:pPr>
        <w:pStyle w:val="FootnoteText"/>
      </w:pPr>
      <w:r>
        <w:rPr>
          <w:rStyle w:val="FootnoteReference"/>
        </w:rPr>
        <w:footnoteRef/>
      </w:r>
      <w:r>
        <w:t xml:space="preserve"> Cross-references for "great": Gen 6:20; Gen 7:14.</w:t>
      </w:r>
    </w:p>
  </w:footnote>
  <w:footnote w:id="23">
    <w:p>
      <w:pPr>
        <w:pStyle w:val="FootnoteText"/>
      </w:pPr>
      <w:r>
        <w:rPr>
          <w:rStyle w:val="FootnoteReference"/>
        </w:rPr>
        <w:footnoteRef/>
      </w:r>
      <w:r>
        <w:t xml:space="preserve"> Translation note: Greek uses a passive imperative for the winged creatures: let them be multiplied upon the earth.</w:t>
      </w:r>
    </w:p>
  </w:footnote>
  <w:footnote w:id="24">
    <w:p>
      <w:pPr>
        <w:pStyle w:val="FootnoteText"/>
      </w:pPr>
      <w:r>
        <w:rPr>
          <w:rStyle w:val="FootnoteReference"/>
        </w:rPr>
        <w:footnoteRef/>
      </w:r>
      <w:r>
        <w:t xml:space="preserve"> Translation note: Greek says living soul, using psyche. Hebrew nephesh chayyah likewise means living soul, living being, or living creature.</w:t>
      </w:r>
    </w:p>
  </w:footnote>
  <w:footnote w:id="25">
    <w:p>
      <w:pPr>
        <w:pStyle w:val="FootnoteText"/>
      </w:pPr>
      <w:r>
        <w:rPr>
          <w:rStyle w:val="FootnoteReference"/>
        </w:rPr>
        <w:footnoteRef/>
      </w:r>
      <w:r>
        <w:t xml:space="preserve"> Translation note: Greek ktene refers to cattle or domestic herd animals; this line keeps the more literal cattle wording.</w:t>
      </w:r>
    </w:p>
  </w:footnote>
  <w:footnote w:id="26">
    <w:p>
      <w:pPr>
        <w:pStyle w:val="FootnoteText"/>
      </w:pPr>
      <w:r>
        <w:rPr>
          <w:rStyle w:val="FootnoteReference"/>
        </w:rPr>
        <w:footnoteRef/>
      </w:r>
      <w:r>
        <w:t xml:space="preserve"> Cross-references for "Let us": Gen 3:22; Gen 11:7.</w:t>
      </w:r>
    </w:p>
  </w:footnote>
  <w:footnote w:id="27">
    <w:p>
      <w:pPr>
        <w:pStyle w:val="FootnoteText"/>
      </w:pPr>
      <w:r>
        <w:rPr>
          <w:rStyle w:val="FootnoteReference"/>
        </w:rPr>
        <w:footnoteRef/>
      </w:r>
      <w:r>
        <w:t xml:space="preserve"> Translation note: Greek uses singular anthropon here and then shifts to plural rule language: let them rule.</w:t>
      </w:r>
    </w:p>
  </w:footnote>
  <w:footnote w:id="28">
    <w:p>
      <w:pPr>
        <w:pStyle w:val="FootnoteText"/>
      </w:pPr>
      <w:r>
        <w:rPr>
          <w:rStyle w:val="FootnoteReference"/>
        </w:rPr>
        <w:footnoteRef/>
      </w:r>
      <w:r>
        <w:t xml:space="preserve"> Translation note: The Greek keeps both image and likeness rather than using only one term. This draft preserves the pair, and direct Logos export shows NETS and LES and LES2 keep both nouns audible as well.</w:t>
      </w:r>
    </w:p>
  </w:footnote>
  <w:footnote w:id="29">
    <w:p>
      <w:pPr>
        <w:pStyle w:val="FootnoteText"/>
      </w:pPr>
      <w:r>
        <w:rPr>
          <w:rStyle w:val="FootnoteReference"/>
        </w:rPr>
        <w:footnoteRef/>
      </w:r>
      <w:r>
        <w:t xml:space="preserve"> Translation note: Greek uses singular the man and him before the line shifts to them in male and female he made them.</w:t>
      </w:r>
    </w:p>
  </w:footnote>
  <w:footnote w:id="30">
    <w:p>
      <w:pPr>
        <w:pStyle w:val="FootnoteText"/>
      </w:pPr>
      <w:r>
        <w:rPr>
          <w:rStyle w:val="FootnoteReference"/>
        </w:rPr>
        <w:footnoteRef/>
      </w:r>
      <w:r>
        <w:t xml:space="preserve"> Cross-references for "Male": Gen 2:21-25; Gen 5:2.</w:t>
      </w:r>
    </w:p>
  </w:footnote>
  <w:footnote w:id="31">
    <w:p>
      <w:pPr>
        <w:pStyle w:val="FootnoteText"/>
      </w:pPr>
      <w:r>
        <w:rPr>
          <w:rStyle w:val="FootnoteReference"/>
        </w:rPr>
        <w:footnoteRef/>
      </w:r>
      <w:r>
        <w:t xml:space="preserve"> Translation note: Greek katakyrieusate carries the force of subduing or bringing under rule. Hebrew kavash also means subdue, bring into subjection, or bring under control.</w:t>
      </w:r>
    </w:p>
  </w:footnote>
  <w:footnote w:id="32">
    <w:p>
      <w:pPr>
        <w:pStyle w:val="FootnoteText"/>
      </w:pPr>
      <w:r>
        <w:rPr>
          <w:rStyle w:val="FootnoteReference"/>
        </w:rPr>
        <w:footnoteRef/>
      </w:r>
      <w:r>
        <w:t xml:space="preserve"> Translation note: Greek list explicitly includes all the cattle and all the earth before the creeping-things phrase.</w:t>
      </w:r>
    </w:p>
  </w:footnote>
  <w:footnote w:id="33">
    <w:p>
      <w:pPr>
        <w:pStyle w:val="FootnoteText"/>
      </w:pPr>
      <w:r>
        <w:rPr>
          <w:rStyle w:val="FootnoteReference"/>
        </w:rPr>
        <w:footnoteRef/>
      </w:r>
      <w:r>
        <w:t xml:space="preserve"> Translation note: Greek repeats the seed/sowing vocabulary in the food-gift line; the wording keeps that repetition visible.</w:t>
      </w:r>
    </w:p>
  </w:footnote>
  <w:footnote w:id="34">
    <w:p>
      <w:pPr>
        <w:pStyle w:val="FootnoteText"/>
      </w:pPr>
      <w:r>
        <w:rPr>
          <w:rStyle w:val="FootnoteReference"/>
        </w:rPr>
        <w:footnoteRef/>
      </w:r>
      <w:r>
        <w:t xml:space="preserve"> Cross-references for "To you": Gen 2:16; Gen 9:3.</w:t>
      </w:r>
    </w:p>
  </w:footnote>
  <w:footnote w:id="35">
    <w:p>
      <w:pPr>
        <w:pStyle w:val="FootnoteText"/>
      </w:pPr>
      <w:r>
        <w:rPr>
          <w:rStyle w:val="FootnoteReference"/>
        </w:rPr>
        <w:footnoteRef/>
      </w:r>
      <w:r>
        <w:t xml:space="preserve"> Translation note: Greek says soul of life, using psyche and zoe. The wording repeats I have given from verse 29 for readability because the Greek line carries the gift verb forward.</w:t>
      </w:r>
    </w:p>
  </w:footnote>
  <w:footnote w:id="36">
    <w:p>
      <w:pPr>
        <w:pStyle w:val="FootnoteText"/>
      </w:pPr>
      <w:r>
        <w:rPr>
          <w:rStyle w:val="FootnoteReference"/>
        </w:rPr>
        <w:footnoteRef/>
      </w:r>
      <w:r>
        <w:t xml:space="preserve"> Translation note: Greek adds an intensifier to the evaluation of all things as many as God made; English supplies they were for readability.</w:t>
      </w:r>
    </w:p>
  </w:footnote>
  <w:footnote w:id="37">
    <w:p>
      <w:pPr>
        <w:pStyle w:val="FootnoteText"/>
      </w:pPr>
      <w:r>
        <w:rPr>
          <w:rStyle w:val="FootnoteReference"/>
        </w:rPr>
        <w:footnoteRef/>
      </w:r>
      <w:r>
        <w:t xml:space="preserve"> Cross-references for "very good": Job 38:7; Ps 19:1-2.</w:t>
      </w:r>
    </w:p>
  </w:footnote>
  <w:footnote w:id="38">
    <w:p>
      <w:pPr>
        <w:pStyle w:val="FootnoteText"/>
      </w:pPr>
      <w:r>
        <w:rPr>
          <w:rStyle w:val="FootnoteReference"/>
        </w:rPr>
        <w:footnoteRef/>
      </w:r>
      <w:r>
        <w:t xml:space="preserve"> Translation note: Greek kosmos can mean an ordered arrangement or adornment, not only "world" in a modern sense. Hebrew has all their host or array, so this wording keeps the completed ordered whole visible.</w:t>
      </w:r>
    </w:p>
  </w:footnote>
  <w:footnote w:id="39">
    <w:p>
      <w:pPr>
        <w:pStyle w:val="FootnoteText"/>
      </w:pPr>
      <w:r>
        <w:rPr>
          <w:rStyle w:val="FootnoteReference"/>
        </w:rPr>
        <w:footnoteRef/>
      </w:r>
      <w:r>
        <w:t xml:space="preserve"> MT/LXX note: The Greek here says God completed his works on the sixth day and rested on the seventh. The Hebrew Masoretic text reads seventh day in the first clause.</w:t>
      </w:r>
    </w:p>
  </w:footnote>
  <w:footnote w:id="40">
    <w:p>
      <w:pPr>
        <w:pStyle w:val="FootnoteText"/>
      </w:pPr>
      <w:r>
        <w:rPr>
          <w:rStyle w:val="FootnoteReference"/>
        </w:rPr>
        <w:footnoteRef/>
      </w:r>
      <w:r>
        <w:t xml:space="preserve"> Cross-references for "blessed": Exod 16:22-30; Exod 20:8-11.</w:t>
      </w:r>
    </w:p>
  </w:footnote>
  <w:footnote w:id="41">
    <w:p>
      <w:pPr>
        <w:pStyle w:val="FootnoteText"/>
      </w:pPr>
      <w:r>
        <w:rPr>
          <w:rStyle w:val="FootnoteReference"/>
        </w:rPr>
        <w:footnoteRef/>
      </w:r>
      <w:r>
        <w:t xml:space="preserve"> Translation note: The Greek closes with an unusual phrase, literally speaking of the works God began to make. Hebrew is smoother here without the began wording.</w:t>
      </w:r>
    </w:p>
  </w:footnote>
  <w:footnote w:id="42">
    <w:p>
      <w:pPr>
        <w:pStyle w:val="FootnoteText"/>
      </w:pPr>
      <w:r>
        <w:rPr>
          <w:rStyle w:val="FootnoteReference"/>
        </w:rPr>
        <w:footnoteRef/>
      </w:r>
      <w:r>
        <w:t xml:space="preserve"> Translation note: Greek literally uses genesis-language here. Hebrew uses toledot language for generations account or origins.</w:t>
      </w:r>
    </w:p>
  </w:footnote>
  <w:footnote w:id="43">
    <w:p>
      <w:pPr>
        <w:pStyle w:val="FootnoteText"/>
      </w:pPr>
      <w:r>
        <w:rPr>
          <w:rStyle w:val="FootnoteReference"/>
        </w:rPr>
        <w:footnoteRef/>
      </w:r>
      <w:r>
        <w:t xml:space="preserve"> Greek LXX divine name/title: Kyrios (Κύριος) — Lord. Common English rendering: Lord. The LXX commonly uses Kyrios for the covenant name Yahweh; English renders the Greek title as Lord.</w:t>
      </w:r>
    </w:p>
  </w:footnote>
  <w:footnote w:id="44">
    <w:p>
      <w:pPr>
        <w:pStyle w:val="FootnoteText"/>
      </w:pPr>
      <w:r>
        <w:rPr>
          <w:rStyle w:val="FootnoteReference"/>
        </w:rPr>
        <w:footnoteRef/>
      </w:r>
      <w:r>
        <w:t xml:space="preserve"> Hebrew divine name/title: Yahweh (</w:t>
      </w:r>
      <w:r>
        <w:rPr>
          <w:lang w:val="he-IL" w:bidi="he-IL"/>
          <w:rtl/>
        </w:rPr>
        <w:t xml:space="preserve">יהוה</w:t>
      </w:r>
      <w:r>
        <w:t xml:space="preserve">) — The LORD; He is; the Self-Existent One. Common English rendering: LORD. The covenant name of God, often represented in English Bibles as LORD in small capitals.</w:t>
      </w:r>
    </w:p>
  </w:footnote>
  <w:footnote w:id="45">
    <w:p>
      <w:pPr>
        <w:pStyle w:val="FootnoteText"/>
      </w:pPr>
      <w:r>
        <w:rPr>
          <w:rStyle w:val="FootnoteReference"/>
        </w:rPr>
        <w:footnoteRef/>
      </w:r>
      <w:r>
        <w:t xml:space="preserve"> Hebrew divine name/title: Yahweh Elohim (</w:t>
      </w:r>
      <w:r>
        <w:rPr>
          <w:lang w:val="he-IL" w:bidi="he-IL"/>
          <w:rtl/>
        </w:rPr>
        <w:t xml:space="preserve">יְהוָה אֱלֹהִים</w:t>
      </w:r>
      <w:r>
        <w:t xml:space="preserve">) — LORD God. Common English rendering: LORD God. Combines the covenant name with the general divine title, stressing both God’s majesty and personal covenant relation.</w:t>
      </w:r>
    </w:p>
  </w:footnote>
  <w:footnote w:id="46">
    <w:p>
      <w:pPr>
        <w:pStyle w:val="FootnoteText"/>
      </w:pPr>
      <w:r>
        <w:rPr>
          <w:rStyle w:val="FootnoteReference"/>
        </w:rPr>
        <w:footnoteRef/>
      </w:r>
      <w:r>
        <w:t xml:space="preserve"> Greek LXX divine name/title: Kyrios ho Theos (Κύριος ὁ Θεός) — Lord God. Common English rendering: Lord God. The LXX phrase Kyrios ho Theos corresponds to Hebrew Yahweh Elohim and is translated Lord God.</w:t>
      </w:r>
    </w:p>
  </w:footnote>
  <w:footnote w:id="47">
    <w:p>
      <w:pPr>
        <w:pStyle w:val="FootnoteText"/>
      </w:pPr>
      <w:r>
        <w:rPr>
          <w:rStyle w:val="FootnoteReference"/>
        </w:rPr>
        <w:footnoteRef/>
      </w:r>
      <w:r>
        <w:t xml:space="preserve"> Cross-references for "had not": Job 5:10; Job 38:26-28.</w:t>
      </w:r>
    </w:p>
  </w:footnote>
  <w:footnote w:id="48">
    <w:p>
      <w:pPr>
        <w:pStyle w:val="FootnoteText"/>
      </w:pPr>
      <w:r>
        <w:rPr>
          <w:rStyle w:val="FootnoteReference"/>
        </w:rPr>
        <w:footnoteRef/>
      </w:r>
      <w:r>
        <w:t xml:space="preserve"> Translation note: Greek pege usually points to a spring or water source. This draft does not use mist because the verse describes water rising and watering the ground; Hebrew has a term often rendered mist stream or flow.</w:t>
      </w:r>
    </w:p>
  </w:footnote>
  <w:footnote w:id="49">
    <w:p>
      <w:pPr>
        <w:pStyle w:val="FootnoteText"/>
      </w:pPr>
      <w:r>
        <w:rPr>
          <w:rStyle w:val="FootnoteReference"/>
        </w:rPr>
        <w:footnoteRef/>
      </w:r>
      <w:r>
        <w:t xml:space="preserve"> Translation note: The Greek verb suggests shaping or molding rather than generic making. NETS, LES, LES2, and SAAS all keep formed-language here.</w:t>
      </w:r>
    </w:p>
  </w:footnote>
  <w:footnote w:id="50">
    <w:p>
      <w:pPr>
        <w:pStyle w:val="FootnoteText"/>
      </w:pPr>
      <w:r>
        <w:rPr>
          <w:rStyle w:val="FootnoteReference"/>
        </w:rPr>
        <w:footnoteRef/>
      </w:r>
      <w:r>
        <w:t xml:space="preserve"> Cross-references for "dust": Gen 3:19; Gen 3:23.</w:t>
      </w:r>
    </w:p>
  </w:footnote>
  <w:footnote w:id="51">
    <w:p>
      <w:pPr>
        <w:pStyle w:val="FootnoteText"/>
      </w:pPr>
      <w:r>
        <w:rPr>
          <w:rStyle w:val="FootnoteReference"/>
        </w:rPr>
        <w:footnoteRef/>
      </w:r>
      <w:r>
        <w:t xml:space="preserve"> Translation note: Greek literally says "living soul." This wording is kept in the main line and stands behind Paul's citation in 1 Corinthians 15:45. English LXX witnesses also show LES and LES2 and SAAS keep living soul rather than generalizing it.</w:t>
      </w:r>
    </w:p>
  </w:footnote>
  <w:footnote w:id="52">
    <w:p>
      <w:pPr>
        <w:pStyle w:val="FootnoteText"/>
      </w:pPr>
      <w:r>
        <w:rPr>
          <w:rStyle w:val="FootnoteReference"/>
        </w:rPr>
        <w:footnoteRef/>
      </w:r>
      <w:r>
        <w:t xml:space="preserve"> Translation note: Greek explicitly says living soul. Some English versions smooth this to living being, but the fresh line keeps the more literal soul wording.</w:t>
      </w:r>
    </w:p>
  </w:footnote>
  <w:footnote w:id="53">
    <w:p>
      <w:pPr>
        <w:pStyle w:val="FootnoteText"/>
      </w:pPr>
      <w:r>
        <w:rPr>
          <w:rStyle w:val="FootnoteReference"/>
        </w:rPr>
        <w:footnoteRef/>
      </w:r>
      <w:r>
        <w:t xml:space="preserve"> Translation note: Greek paradeisos can denote a garden park or paradise. In this Eden setting garden keeps the immediate scene clear.</w:t>
      </w:r>
    </w:p>
  </w:footnote>
  <w:footnote w:id="54">
    <w:p>
      <w:pPr>
        <w:pStyle w:val="FootnoteText"/>
      </w:pPr>
      <w:r>
        <w:rPr>
          <w:rStyle w:val="FootnoteReference"/>
        </w:rPr>
        <w:footnoteRef/>
      </w:r>
      <w:r>
        <w:t xml:space="preserve"> Transliterated proper noun: Eden. Standard English equivalent: Eden. Source form: Eden. Greek form: ᾿Εδὲμ. Name meaning: pleasure; delight.</w:t>
      </w:r>
    </w:p>
  </w:footnote>
  <w:footnote w:id="55">
    <w:p>
      <w:pPr>
        <w:pStyle w:val="FootnoteText"/>
      </w:pPr>
      <w:r>
        <w:rPr>
          <w:rStyle w:val="FootnoteReference"/>
        </w:rPr>
        <w:footnoteRef/>
      </w:r>
      <w:r>
        <w:t xml:space="preserve"> Cross-references for "a garden": Gen 13:10; Ezek 28:13.</w:t>
      </w:r>
    </w:p>
  </w:footnote>
  <w:footnote w:id="56">
    <w:p>
      <w:pPr>
        <w:pStyle w:val="FootnoteText"/>
      </w:pPr>
      <w:r>
        <w:rPr>
          <w:rStyle w:val="FootnoteReference"/>
        </w:rPr>
        <w:footnoteRef/>
      </w:r>
      <w:r>
        <w:t xml:space="preserve"> Cross-references for "tree of life": Gen 3:22; Prov 3:18.</w:t>
      </w:r>
    </w:p>
  </w:footnote>
  <w:footnote w:id="57">
    <w:p>
      <w:pPr>
        <w:pStyle w:val="FootnoteText"/>
      </w:pPr>
      <w:r>
        <w:rPr>
          <w:rStyle w:val="FootnoteReference"/>
        </w:rPr>
        <w:footnoteRef/>
      </w:r>
      <w:r>
        <w:t xml:space="preserve"> Translation note: Greek uses an unusual knowing known construction here. The main line keeps the readable sense while this note preserves the more complex syntax.</w:t>
      </w:r>
    </w:p>
  </w:footnote>
  <w:footnote w:id="58">
    <w:p>
      <w:pPr>
        <w:pStyle w:val="FootnoteText"/>
      </w:pPr>
      <w:r>
        <w:rPr>
          <w:rStyle w:val="FootnoteReference"/>
        </w:rPr>
        <w:footnoteRef/>
      </w:r>
      <w:r>
        <w:t xml:space="preserve"> Cross-references for "a river": Ps 46:4; Rev 22:1.</w:t>
      </w:r>
    </w:p>
  </w:footnote>
  <w:footnote w:id="59">
    <w:p>
      <w:pPr>
        <w:pStyle w:val="FootnoteText"/>
      </w:pPr>
      <w:r>
        <w:rPr>
          <w:rStyle w:val="FootnoteReference"/>
        </w:rPr>
        <w:footnoteRef/>
      </w:r>
      <w:r>
        <w:t xml:space="preserve"> Translation note: Greek speaks of the river dividing into four heads, a term used for source-points or chief branches. Hebrew also uses head-language here.</w:t>
      </w:r>
    </w:p>
  </w:footnote>
  <w:footnote w:id="60">
    <w:p>
      <w:pPr>
        <w:pStyle w:val="FootnoteText"/>
      </w:pPr>
      <w:r>
        <w:rPr>
          <w:rStyle w:val="FootnoteReference"/>
        </w:rPr>
        <w:footnoteRef/>
      </w:r>
      <w:r>
        <w:t xml:space="preserve"> Transliterated proper noun: Pison. Standard English equivalent: Pison. Source form: Pison. Greek form: Φισῶν·. Name meaning: changing; extension of the mouth.</w:t>
      </w:r>
    </w:p>
  </w:footnote>
  <w:footnote w:id="61">
    <w:p>
      <w:pPr>
        <w:pStyle w:val="FootnoteText"/>
      </w:pPr>
      <w:r>
        <w:rPr>
          <w:rStyle w:val="FootnoteReference"/>
        </w:rPr>
        <w:footnoteRef/>
      </w:r>
      <w:r>
        <w:t xml:space="preserve"> Transliterated proper noun: Havilah. Standard English equivalent: Havilah. Source form: Havilah. Name meaning: that suffers pain; that brings forth.</w:t>
      </w:r>
    </w:p>
  </w:footnote>
  <w:footnote w:id="62">
    <w:p>
      <w:pPr>
        <w:pStyle w:val="FootnoteText"/>
      </w:pPr>
      <w:r>
        <w:rPr>
          <w:rStyle w:val="FootnoteReference"/>
        </w:rPr>
        <w:footnoteRef/>
      </w:r>
      <w:r>
        <w:t xml:space="preserve"> Cross-references for "Havilah": Gen 10:7; Gen 10:29.</w:t>
      </w:r>
    </w:p>
  </w:footnote>
  <w:footnote w:id="63">
    <w:p>
      <w:pPr>
        <w:pStyle w:val="FootnoteText"/>
      </w:pPr>
      <w:r>
        <w:rPr>
          <w:rStyle w:val="FootnoteReference"/>
        </w:rPr>
        <w:footnoteRef/>
      </w:r>
      <w:r>
        <w:t xml:space="preserve"> Place name: Gihon. Place-name meaning: Gihon — valley of grace. Source form: Gihon. Greek form: Γεῶν·.</w:t>
      </w:r>
    </w:p>
  </w:footnote>
  <w:footnote w:id="64">
    <w:p>
      <w:pPr>
        <w:pStyle w:val="FootnoteText"/>
      </w:pPr>
      <w:r>
        <w:rPr>
          <w:rStyle w:val="FootnoteReference"/>
        </w:rPr>
        <w:footnoteRef/>
      </w:r>
      <w:r>
        <w:t xml:space="preserve"> Place name: Ethiopia. Place-name meaning: Ethiopia — blackness; heat. Source form: Ethiopia. Greek form: Αἰθιοπίας.</w:t>
      </w:r>
    </w:p>
  </w:footnote>
  <w:footnote w:id="65">
    <w:p>
      <w:pPr>
        <w:pStyle w:val="FootnoteText"/>
      </w:pPr>
      <w:r>
        <w:rPr>
          <w:rStyle w:val="FootnoteReference"/>
        </w:rPr>
        <w:footnoteRef/>
      </w:r>
      <w:r>
        <w:t xml:space="preserve"> Cross-references for "Ethiopia": Gen 10:6; Isa 11:11.</w:t>
      </w:r>
    </w:p>
  </w:footnote>
  <w:footnote w:id="66">
    <w:p>
      <w:pPr>
        <w:pStyle w:val="FootnoteText"/>
      </w:pPr>
      <w:r>
        <w:rPr>
          <w:rStyle w:val="FootnoteReference"/>
        </w:rPr>
        <w:footnoteRef/>
      </w:r>
      <w:r>
        <w:t xml:space="preserve"> Place name: Tigris. Place-name meaning: Tigris — swift; rapid. Source form: Tigris. Greek form: Τίγρις·.</w:t>
      </w:r>
    </w:p>
  </w:footnote>
  <w:footnote w:id="67">
    <w:p>
      <w:pPr>
        <w:pStyle w:val="FootnoteText"/>
      </w:pPr>
      <w:r>
        <w:rPr>
          <w:rStyle w:val="FootnoteReference"/>
        </w:rPr>
        <w:footnoteRef/>
      </w:r>
      <w:r>
        <w:t xml:space="preserve"> People-name: Assyrians. People-name meaning: Assyrians — country of Assur or Ashur. Source form: Assyrians.</w:t>
      </w:r>
    </w:p>
  </w:footnote>
  <w:footnote w:id="68">
    <w:p>
      <w:pPr>
        <w:pStyle w:val="FootnoteText"/>
      </w:pPr>
      <w:r>
        <w:rPr>
          <w:rStyle w:val="FootnoteReference"/>
        </w:rPr>
        <w:footnoteRef/>
      </w:r>
      <w:r>
        <w:t xml:space="preserve"> Place name: Euphrates. Place-name meaning: Euphrates — that makes fruitful. Source form: Euphrates. Greek form: Εὐφράτης.</w:t>
      </w:r>
    </w:p>
  </w:footnote>
  <w:footnote w:id="69">
    <w:p>
      <w:pPr>
        <w:pStyle w:val="FootnoteText"/>
      </w:pPr>
      <w:r>
        <w:rPr>
          <w:rStyle w:val="FootnoteReference"/>
        </w:rPr>
        <w:footnoteRef/>
      </w:r>
      <w:r>
        <w:t xml:space="preserve"> Cross-references for "Euphrates": Gen 15:18; Deut 1:7.</w:t>
      </w:r>
    </w:p>
  </w:footnote>
  <w:footnote w:id="70">
    <w:p>
      <w:pPr>
        <w:pStyle w:val="FootnoteText"/>
      </w:pPr>
      <w:r>
        <w:rPr>
          <w:rStyle w:val="FootnoteReference"/>
        </w:rPr>
        <w:footnoteRef/>
      </w:r>
      <w:r>
        <w:t xml:space="preserve"> Cross-references for "good": Gen 1:31; Gen 3:12.</w:t>
      </w:r>
    </w:p>
  </w:footnote>
  <w:footnote w:id="71">
    <w:p>
      <w:pPr>
        <w:pStyle w:val="FootnoteText"/>
      </w:pPr>
      <w:r>
        <w:rPr>
          <w:rStyle w:val="FootnoteReference"/>
        </w:rPr>
        <w:footnoteRef/>
      </w:r>
      <w:r>
        <w:t xml:space="preserve"> Translation note: Greek does not merely say helper but adds language of correspondence or counterpart. Hebrew likewise carries the sense of a helper corresponding to him.</w:t>
      </w:r>
    </w:p>
  </w:footnote>
  <w:footnote w:id="72">
    <w:p>
      <w:pPr>
        <w:pStyle w:val="FootnoteText"/>
      </w:pPr>
      <w:r>
        <w:rPr>
          <w:rStyle w:val="FootnoteReference"/>
        </w:rPr>
        <w:footnoteRef/>
      </w:r>
      <w:r>
        <w:t xml:space="preserve"> Cross-references for "brought": Gen 1:26; Gen 1:28.</w:t>
      </w:r>
    </w:p>
  </w:footnote>
  <w:footnote w:id="73">
    <w:p>
      <w:pPr>
        <w:pStyle w:val="FootnoteText"/>
      </w:pPr>
      <w:r>
        <w:rPr>
          <w:rStyle w:val="FootnoteReference"/>
        </w:rPr>
        <w:footnoteRef/>
      </w:r>
      <w:r>
        <w:t xml:space="preserve"> Name meaning: Adam (Adam) — Man; of the red earth. First human formed from the ground; his name is literally what he was made from.</w:t>
      </w:r>
    </w:p>
  </w:footnote>
  <w:footnote w:id="74">
    <w:p>
      <w:pPr>
        <w:pStyle w:val="FootnoteText"/>
      </w:pPr>
      <w:r>
        <w:rPr>
          <w:rStyle w:val="FootnoteReference"/>
        </w:rPr>
        <w:footnoteRef/>
      </w:r>
      <w:r>
        <w:t xml:space="preserve"> Translation note: Greek says God cast an ekstasis on Adam, a trance-like term stronger than ordinary sleep. This draft avoids the modern English connotations of ecstasy while keeping the force visible. Greek pleura means side or flank and may refer to a rib; Hebrew likewise has deep sleep and side or rib language.</w:t>
      </w:r>
    </w:p>
  </w:footnote>
  <w:footnote w:id="75">
    <w:p>
      <w:pPr>
        <w:pStyle w:val="FootnoteText"/>
      </w:pPr>
      <w:r>
        <w:rPr>
          <w:rStyle w:val="FootnoteReference"/>
        </w:rPr>
        <w:footnoteRef/>
      </w:r>
      <w:r>
        <w:t xml:space="preserve"> Cross-references for "brought": Gen 2:19; Prov 18:22.</w:t>
      </w:r>
    </w:p>
  </w:footnote>
  <w:footnote w:id="76">
    <w:p>
      <w:pPr>
        <w:pStyle w:val="FootnoteText"/>
      </w:pPr>
      <w:r>
        <w:rPr>
          <w:rStyle w:val="FootnoteReference"/>
        </w:rPr>
        <w:footnoteRef/>
      </w:r>
      <w:r>
        <w:t xml:space="preserve"> Cross-references for "bone": Gen 29:14; Judg 9:2.</w:t>
      </w:r>
    </w:p>
  </w:footnote>
  <w:footnote w:id="77">
    <w:p>
      <w:pPr>
        <w:pStyle w:val="FootnoteText"/>
      </w:pPr>
      <w:r>
        <w:rPr>
          <w:rStyle w:val="FootnoteReference"/>
        </w:rPr>
        <w:footnoteRef/>
      </w:r>
      <w:r>
        <w:t xml:space="preserve"> Translation note: The Greek wording preserves a close relation between the terms for woman and man. Hebrew has the same woman-from-man wordplay. This draft keeps the pair audible even though the English remains somewhat strained.</w:t>
      </w:r>
    </w:p>
  </w:footnote>
  <w:footnote w:id="78">
    <w:p>
      <w:pPr>
        <w:pStyle w:val="FootnoteText"/>
      </w:pPr>
      <w:r>
        <w:rPr>
          <w:rStyle w:val="FootnoteReference"/>
        </w:rPr>
        <w:footnoteRef/>
      </w:r>
      <w:r>
        <w:t xml:space="preserve"> Cross-references for "leave": Gen 24:58-59; Gen 31:14-15.</w:t>
      </w:r>
    </w:p>
  </w:footnote>
  <w:footnote w:id="79">
    <w:p>
      <w:pPr>
        <w:pStyle w:val="FootnoteText"/>
      </w:pPr>
      <w:r>
        <w:rPr>
          <w:rStyle w:val="FootnoteReference"/>
        </w:rPr>
        <w:footnoteRef/>
      </w:r>
      <w:r>
        <w:t xml:space="preserve"> Cross-references for "naked": Gen 3:7; Gen 3:10-11.</w:t>
      </w:r>
    </w:p>
  </w:footnote>
  <w:footnote w:id="80">
    <w:p>
      <w:pPr>
        <w:pStyle w:val="FootnoteText"/>
      </w:pPr>
      <w:r>
        <w:rPr>
          <w:rStyle w:val="FootnoteReference"/>
        </w:rPr>
        <w:footnoteRef/>
      </w:r>
      <w:r>
        <w:t xml:space="preserve"> Cross-references for "serpent": John 8:44.</w:t>
      </w:r>
    </w:p>
  </w:footnote>
  <w:footnote w:id="81">
    <w:p>
      <w:pPr>
        <w:pStyle w:val="FootnoteText"/>
      </w:pPr>
      <w:r>
        <w:rPr>
          <w:rStyle w:val="FootnoteReference"/>
        </w:rPr>
        <w:footnoteRef/>
      </w:r>
      <w:r>
        <w:t xml:space="preserve"> Translation note: Greek phronimos can suggest practical intelligence shrewdness or craft. Hebrew arum likewise supports crafty or shrewd. This draft uses shrewd because it keeps the serpent's mental sharpness in view without sounding approving.</w:t>
      </w:r>
    </w:p>
  </w:footnote>
  <w:footnote w:id="82">
    <w:p>
      <w:pPr>
        <w:pStyle w:val="FootnoteText"/>
      </w:pPr>
      <w:r>
        <w:rPr>
          <w:rStyle w:val="FootnoteReference"/>
        </w:rPr>
        <w:footnoteRef/>
      </w:r>
      <w:r>
        <w:t xml:space="preserve"> Cross-references for "serpent": Ps 58:4.</w:t>
      </w:r>
    </w:p>
  </w:footnote>
  <w:footnote w:id="83">
    <w:p>
      <w:pPr>
        <w:pStyle w:val="FootnoteText"/>
      </w:pPr>
      <w:r>
        <w:rPr>
          <w:rStyle w:val="FootnoteReference"/>
        </w:rPr>
        <w:footnoteRef/>
      </w:r>
      <w:r>
        <w:t xml:space="preserve"> Cross-references for "touch": Gen 20:6; Exod 19:12-13.</w:t>
      </w:r>
    </w:p>
  </w:footnote>
  <w:footnote w:id="84">
    <w:p>
      <w:pPr>
        <w:pStyle w:val="FootnoteText"/>
      </w:pPr>
      <w:r>
        <w:rPr>
          <w:rStyle w:val="FootnoteReference"/>
        </w:rPr>
        <w:footnoteRef/>
      </w:r>
      <w:r>
        <w:t xml:space="preserve"> Cross-references for "serpent": John 8:44.</w:t>
      </w:r>
    </w:p>
  </w:footnote>
  <w:footnote w:id="85">
    <w:p>
      <w:pPr>
        <w:pStyle w:val="FootnoteText"/>
      </w:pPr>
      <w:r>
        <w:rPr>
          <w:rStyle w:val="FootnoteReference"/>
        </w:rPr>
        <w:footnoteRef/>
      </w:r>
      <w:r>
        <w:t xml:space="preserve"> Cross-references for "knowing": Gen 2:17; Gen 3:22.</w:t>
      </w:r>
    </w:p>
  </w:footnote>
  <w:footnote w:id="86">
    <w:p>
      <w:pPr>
        <w:pStyle w:val="FootnoteText"/>
      </w:pPr>
      <w:r>
        <w:rPr>
          <w:rStyle w:val="FootnoteReference"/>
        </w:rPr>
        <w:footnoteRef/>
      </w:r>
      <w:r>
        <w:t xml:space="preserve"> Cross-references for "to the eyes": Gen 6:2; Gen 39:7.</w:t>
      </w:r>
    </w:p>
  </w:footnote>
  <w:footnote w:id="87">
    <w:p>
      <w:pPr>
        <w:pStyle w:val="FootnoteText"/>
      </w:pPr>
      <w:r>
        <w:rPr>
          <w:rStyle w:val="FootnoteReference"/>
        </w:rPr>
        <w:footnoteRef/>
      </w:r>
      <w:r>
        <w:t xml:space="preserve"> MT/LXX note: Greek describes the tree as beautiful for understanding rather than using the Masoretic wisdom idiom. The translation follows the Greek description.</w:t>
      </w:r>
    </w:p>
  </w:footnote>
  <w:footnote w:id="88">
    <w:p>
      <w:pPr>
        <w:pStyle w:val="FootnoteText"/>
      </w:pPr>
      <w:r>
        <w:rPr>
          <w:rStyle w:val="FootnoteReference"/>
        </w:rPr>
        <w:footnoteRef/>
      </w:r>
      <w:r>
        <w:t xml:space="preserve"> Cross-references for "knew": Gen 2:25; Gen 3:10-11.</w:t>
      </w:r>
    </w:p>
  </w:footnote>
  <w:footnote w:id="89">
    <w:p>
      <w:pPr>
        <w:pStyle w:val="FootnoteText"/>
      </w:pPr>
      <w:r>
        <w:rPr>
          <w:rStyle w:val="FootnoteReference"/>
        </w:rPr>
        <w:footnoteRef/>
      </w:r>
      <w:r>
        <w:t xml:space="preserve"> Cross-references for "and I was": Gen 2:25; Exod 3:6.</w:t>
      </w:r>
    </w:p>
  </w:footnote>
  <w:footnote w:id="90">
    <w:p>
      <w:pPr>
        <w:pStyle w:val="FootnoteText"/>
      </w:pPr>
      <w:r>
        <w:rPr>
          <w:rStyle w:val="FootnoteReference"/>
        </w:rPr>
        <w:footnoteRef/>
      </w:r>
      <w:r>
        <w:t xml:space="preserve"> Cross-references for "The serpent": Gen 3:4-6; 2Cor 11:3.</w:t>
      </w:r>
    </w:p>
  </w:footnote>
  <w:footnote w:id="91">
    <w:p>
      <w:pPr>
        <w:pStyle w:val="FootnoteText"/>
      </w:pPr>
      <w:r>
        <w:rPr>
          <w:rStyle w:val="FootnoteReference"/>
        </w:rPr>
        <w:footnoteRef/>
      </w:r>
      <w:r>
        <w:t xml:space="preserve"> Cross-references for "enmity": Num 21:6-7; Amos 9:3.</w:t>
      </w:r>
    </w:p>
  </w:footnote>
  <w:footnote w:id="92">
    <w:p>
      <w:pPr>
        <w:pStyle w:val="FootnoteText"/>
      </w:pPr>
      <w:r>
        <w:rPr>
          <w:rStyle w:val="FootnoteReference"/>
        </w:rPr>
        <w:footnoteRef/>
      </w:r>
      <w:r>
        <w:t xml:space="preserve"> Translation note: The Greek verb here is not the common verb for crush or strike. In this enmity context the watching or guarding verb carries hostile force; Hebrew has strike or crush wording for head and heel.</w:t>
      </w:r>
    </w:p>
  </w:footnote>
  <w:footnote w:id="93">
    <w:p>
      <w:pPr>
        <w:pStyle w:val="FootnoteText"/>
      </w:pPr>
      <w:r>
        <w:rPr>
          <w:rStyle w:val="FootnoteReference"/>
        </w:rPr>
        <w:footnoteRef/>
      </w:r>
      <w:r>
        <w:t xml:space="preserve"> Translation note: Greek uses a noun of turning or orientation here, not the later traditional wording desire. Hebrew is often read as desire or turning toward. This draft keeps the directional sense visible.</w:t>
      </w:r>
    </w:p>
  </w:footnote>
  <w:footnote w:id="94">
    <w:p>
      <w:pPr>
        <w:pStyle w:val="FootnoteText"/>
      </w:pPr>
      <w:r>
        <w:rPr>
          <w:rStyle w:val="FootnoteReference"/>
        </w:rPr>
        <w:footnoteRef/>
      </w:r>
      <w:r>
        <w:t xml:space="preserve"> Cross-references for "rule": Num 30:7-8; Num 30:13.</w:t>
      </w:r>
    </w:p>
  </w:footnote>
  <w:footnote w:id="95">
    <w:p>
      <w:pPr>
        <w:pStyle w:val="FootnoteText"/>
      </w:pPr>
      <w:r>
        <w:rPr>
          <w:rStyle w:val="FootnoteReference"/>
        </w:rPr>
        <w:footnoteRef/>
      </w:r>
      <w:r>
        <w:t xml:space="preserve"> Cross-references for "cursed": Gen 5:29; Ps 127:2.</w:t>
      </w:r>
    </w:p>
  </w:footnote>
  <w:footnote w:id="96">
    <w:p>
      <w:pPr>
        <w:pStyle w:val="FootnoteText"/>
      </w:pPr>
      <w:r>
        <w:rPr>
          <w:rStyle w:val="FootnoteReference"/>
        </w:rPr>
        <w:footnoteRef/>
      </w:r>
      <w:r>
        <w:t xml:space="preserve"> Cross-references for "thorns": Josh 23:13; Job 5:5.</w:t>
      </w:r>
    </w:p>
  </w:footnote>
  <w:footnote w:id="97">
    <w:p>
      <w:pPr>
        <w:pStyle w:val="FootnoteText"/>
      </w:pPr>
      <w:r>
        <w:rPr>
          <w:rStyle w:val="FootnoteReference"/>
        </w:rPr>
        <w:footnoteRef/>
      </w:r>
      <w:r>
        <w:t xml:space="preserve"> Cross-references for "Adam": Gen 2:20; Gen 2:23.</w:t>
      </w:r>
    </w:p>
  </w:footnote>
  <w:footnote w:id="98">
    <w:p>
      <w:pPr>
        <w:pStyle w:val="FootnoteText"/>
      </w:pPr>
      <w:r>
        <w:rPr>
          <w:rStyle w:val="FootnoteReference"/>
        </w:rPr>
        <w:footnoteRef/>
      </w:r>
      <w:r>
        <w:t xml:space="preserve"> Name meaning: Eve (Chavah) — Living; life-giver. Mother of all living; the name given after the promise of redemption.</w:t>
      </w:r>
    </w:p>
  </w:footnote>
  <w:footnote w:id="99">
    <w:p>
      <w:pPr>
        <w:pStyle w:val="FootnoteText"/>
      </w:pPr>
      <w:r>
        <w:rPr>
          <w:rStyle w:val="FootnoteReference"/>
        </w:rPr>
        <w:footnoteRef/>
      </w:r>
      <w:r>
        <w:t xml:space="preserve"> Translation note: Greek and Hebrew both use concrete tunic or garment plus skin language. This draft avoids softer wording like clothes so the image stays stark and material.</w:t>
      </w:r>
    </w:p>
  </w:footnote>
  <w:footnote w:id="100">
    <w:p>
      <w:pPr>
        <w:pStyle w:val="FootnoteText"/>
      </w:pPr>
      <w:r>
        <w:rPr>
          <w:rStyle w:val="FootnoteReference"/>
        </w:rPr>
        <w:footnoteRef/>
      </w:r>
      <w:r>
        <w:t xml:space="preserve"> Cross-references for "tree": Gen 2:9; Prov 3:18.</w:t>
      </w:r>
    </w:p>
  </w:footnote>
  <w:footnote w:id="101">
    <w:p>
      <w:pPr>
        <w:pStyle w:val="FootnoteText"/>
      </w:pPr>
      <w:r>
        <w:rPr>
          <w:rStyle w:val="FootnoteReference"/>
        </w:rPr>
        <w:footnoteRef/>
      </w:r>
      <w:r>
        <w:t xml:space="preserve"> Cross-references for "knew": Num 31:17.</w:t>
      </w:r>
    </w:p>
  </w:footnote>
  <w:footnote w:id="102">
    <w:p>
      <w:pPr>
        <w:pStyle w:val="FootnoteText"/>
      </w:pPr>
      <w:r>
        <w:rPr>
          <w:rStyle w:val="FootnoteReference"/>
        </w:rPr>
        <w:footnoteRef/>
      </w:r>
      <w:r>
        <w:t xml:space="preserve"> Name meaning: Cain (Qayin) — Acquired; spear. Eve said, “I have acquired a man with the help of the LORD,” but he became the first murderer.</w:t>
      </w:r>
    </w:p>
  </w:footnote>
  <w:footnote w:id="103">
    <w:p>
      <w:pPr>
        <w:pStyle w:val="FootnoteText"/>
      </w:pPr>
      <w:r>
        <w:rPr>
          <w:rStyle w:val="FootnoteReference"/>
        </w:rPr>
        <w:footnoteRef/>
      </w:r>
      <w:r>
        <w:t xml:space="preserve"> Name meaning: Abel (Hevel) — Breath; vanity; futility. His life was short and vanished like a breath; the first martyr.</w:t>
      </w:r>
    </w:p>
  </w:footnote>
  <w:footnote w:id="104">
    <w:p>
      <w:pPr>
        <w:pStyle w:val="FootnoteText"/>
      </w:pPr>
      <w:r>
        <w:rPr>
          <w:rStyle w:val="FootnoteReference"/>
        </w:rPr>
        <w:footnoteRef/>
      </w:r>
      <w:r>
        <w:t xml:space="preserve"> Cross-references for "And Abel": Gen 30:29-31; Gen 37:13.</w:t>
      </w:r>
    </w:p>
  </w:footnote>
  <w:footnote w:id="105">
    <w:p>
      <w:pPr>
        <w:pStyle w:val="FootnoteText"/>
      </w:pPr>
      <w:r>
        <w:rPr>
          <w:rStyle w:val="FootnoteReference"/>
        </w:rPr>
        <w:footnoteRef/>
      </w:r>
      <w:r>
        <w:t xml:space="preserve"> Cross-references for "Cain rose": 2Sam 14:6; Job 11:15.</w:t>
      </w:r>
    </w:p>
  </w:footnote>
  <w:footnote w:id="106">
    <w:p>
      <w:pPr>
        <w:pStyle w:val="FootnoteText"/>
      </w:pPr>
      <w:r>
        <w:rPr>
          <w:rStyle w:val="FootnoteReference"/>
        </w:rPr>
        <w:footnoteRef/>
      </w:r>
      <w:r>
        <w:t xml:space="preserve"> Cross-references for "Where is": Gen 3:9-11; Ps 9:12.</w:t>
      </w:r>
    </w:p>
  </w:footnote>
  <w:footnote w:id="107">
    <w:p>
      <w:pPr>
        <w:pStyle w:val="FootnoteText"/>
      </w:pPr>
      <w:r>
        <w:rPr>
          <w:rStyle w:val="FootnoteReference"/>
        </w:rPr>
        <w:footnoteRef/>
      </w:r>
      <w:r>
        <w:t xml:space="preserve"> Cross-references for "opened": Job 16:18; Job 31:38-40.</w:t>
      </w:r>
    </w:p>
  </w:footnote>
  <w:footnote w:id="108">
    <w:p>
      <w:pPr>
        <w:pStyle w:val="FootnoteText"/>
      </w:pPr>
      <w:r>
        <w:rPr>
          <w:rStyle w:val="FootnoteReference"/>
        </w:rPr>
        <w:footnoteRef/>
      </w:r>
      <w:r>
        <w:t xml:space="preserve"> Translation note: Greek says groaning and trembling here.</w:t>
      </w:r>
    </w:p>
  </w:footnote>
  <w:footnote w:id="109">
    <w:p>
      <w:pPr>
        <w:pStyle w:val="FootnoteText"/>
      </w:pPr>
      <w:r>
        <w:rPr>
          <w:rStyle w:val="FootnoteReference"/>
        </w:rPr>
        <w:footnoteRef/>
      </w:r>
      <w:r>
        <w:t xml:space="preserve"> Cross-references for "sevenfold": Gen 4:24; Lev 26:18.</w:t>
      </w:r>
    </w:p>
  </w:footnote>
  <w:footnote w:id="110">
    <w:p>
      <w:pPr>
        <w:pStyle w:val="FootnoteText"/>
      </w:pPr>
      <w:r>
        <w:rPr>
          <w:rStyle w:val="FootnoteReference"/>
        </w:rPr>
        <w:footnoteRef/>
      </w:r>
      <w:r>
        <w:t xml:space="preserve"> Cross-references for "went": Gen 3:8; Gen 4:14.</w:t>
      </w:r>
    </w:p>
  </w:footnote>
  <w:footnote w:id="111">
    <w:p>
      <w:pPr>
        <w:pStyle w:val="FootnoteText"/>
      </w:pPr>
      <w:r>
        <w:rPr>
          <w:rStyle w:val="FootnoteReference"/>
        </w:rPr>
        <w:footnoteRef/>
      </w:r>
      <w:r>
        <w:t xml:space="preserve"> Place name: Nod. Place-name meaning: Nod — vagabond; fugitive. Source form: Nod. Greek form: Ναὶδ.</w:t>
      </w:r>
    </w:p>
  </w:footnote>
  <w:footnote w:id="112">
    <w:p>
      <w:pPr>
        <w:pStyle w:val="FootnoteText"/>
      </w:pPr>
      <w:r>
        <w:rPr>
          <w:rStyle w:val="FootnoteReference"/>
        </w:rPr>
        <w:footnoteRef/>
      </w:r>
      <w:r>
        <w:t xml:space="preserve"> Name meaning: Enoch (Chanok) — Dedicated; trained; initiated. Walked so closely with God he was taken without dying.</w:t>
      </w:r>
    </w:p>
  </w:footnote>
  <w:footnote w:id="113">
    <w:p>
      <w:pPr>
        <w:pStyle w:val="FootnoteText"/>
      </w:pPr>
      <w:r>
        <w:rPr>
          <w:rStyle w:val="FootnoteReference"/>
        </w:rPr>
        <w:footnoteRef/>
      </w:r>
      <w:r>
        <w:t xml:space="preserve"> Cross-references for "Enoch": Gen 5:18; Gen 5:22.</w:t>
      </w:r>
    </w:p>
  </w:footnote>
  <w:footnote w:id="114">
    <w:p>
      <w:pPr>
        <w:pStyle w:val="FootnoteText"/>
      </w:pPr>
      <w:r>
        <w:rPr>
          <w:rStyle w:val="FootnoteReference"/>
        </w:rPr>
        <w:footnoteRef/>
      </w:r>
      <w:r>
        <w:t xml:space="preserve"> Personal name: Irad. Personal-name meaning: Irad — wild ass; heap of empire; dragon. Source form: Irad.</w:t>
      </w:r>
    </w:p>
  </w:footnote>
  <w:footnote w:id="115">
    <w:p>
      <w:pPr>
        <w:pStyle w:val="FootnoteText"/>
      </w:pPr>
      <w:r>
        <w:rPr>
          <w:rStyle w:val="FootnoteReference"/>
        </w:rPr>
        <w:footnoteRef/>
      </w:r>
      <w:r>
        <w:t xml:space="preserve"> Personal name: Mahalaleel. Personal-name meaning: Mahalaleel — praise of God; shining one of God. Source form: Mahalaleel.</w:t>
      </w:r>
    </w:p>
  </w:footnote>
  <w:footnote w:id="116">
    <w:p>
      <w:pPr>
        <w:pStyle w:val="FootnoteText"/>
      </w:pPr>
      <w:r>
        <w:rPr>
          <w:rStyle w:val="FootnoteReference"/>
        </w:rPr>
        <w:footnoteRef/>
      </w:r>
      <w:r>
        <w:t xml:space="preserve"> Transliterated proper noun: Methusael. Standard English equivalent: Methusael. Source form: Methusael. Greek form: Μαθουσάλα. Name meaning: who demands his death.</w:t>
      </w:r>
    </w:p>
  </w:footnote>
  <w:footnote w:id="117">
    <w:p>
      <w:pPr>
        <w:pStyle w:val="FootnoteText"/>
      </w:pPr>
      <w:r>
        <w:rPr>
          <w:rStyle w:val="FootnoteReference"/>
        </w:rPr>
        <w:footnoteRef/>
      </w:r>
      <w:r>
        <w:t xml:space="preserve"> Name meaning: Lamech (Lamech) — Powerful; overthrower; possibly poor or despairing. Father of Noah; spoke of relief from the curse, though his line also produced violence.</w:t>
      </w:r>
    </w:p>
  </w:footnote>
  <w:footnote w:id="118">
    <w:p>
      <w:pPr>
        <w:pStyle w:val="FootnoteText"/>
      </w:pPr>
      <w:r>
        <w:rPr>
          <w:rStyle w:val="FootnoteReference"/>
        </w:rPr>
        <w:footnoteRef/>
      </w:r>
      <w:r>
        <w:t xml:space="preserve"> Cross-references for "Lamech": Gen 5:21; Gen 36:2.</w:t>
      </w:r>
    </w:p>
  </w:footnote>
  <w:footnote w:id="119">
    <w:p>
      <w:pPr>
        <w:pStyle w:val="FootnoteText"/>
      </w:pPr>
      <w:r>
        <w:rPr>
          <w:rStyle w:val="FootnoteReference"/>
        </w:rPr>
        <w:footnoteRef/>
      </w:r>
      <w:r>
        <w:t xml:space="preserve"> Cross-references for "two wives": Gen 2:18; Gen 2:24.</w:t>
      </w:r>
    </w:p>
  </w:footnote>
  <w:footnote w:id="120">
    <w:p>
      <w:pPr>
        <w:pStyle w:val="FootnoteText"/>
      </w:pPr>
      <w:r>
        <w:rPr>
          <w:rStyle w:val="FootnoteReference"/>
        </w:rPr>
        <w:footnoteRef/>
      </w:r>
      <w:r>
        <w:t xml:space="preserve"> Personal name: Adah. Personal-name meaning: Adah — an assembly. Source form: Adah.</w:t>
      </w:r>
    </w:p>
  </w:footnote>
  <w:footnote w:id="121">
    <w:p>
      <w:pPr>
        <w:pStyle w:val="FootnoteText"/>
      </w:pPr>
      <w:r>
        <w:rPr>
          <w:rStyle w:val="FootnoteReference"/>
        </w:rPr>
        <w:footnoteRef/>
      </w:r>
      <w:r>
        <w:t xml:space="preserve"> Personal name: Zillah. Personal-name meaning: Zillah — shadow; the tingling of the ear. Source form: Zillah.</w:t>
      </w:r>
    </w:p>
  </w:footnote>
  <w:footnote w:id="122">
    <w:p>
      <w:pPr>
        <w:pStyle w:val="FootnoteText"/>
      </w:pPr>
      <w:r>
        <w:rPr>
          <w:rStyle w:val="FootnoteReference"/>
        </w:rPr>
        <w:footnoteRef/>
      </w:r>
      <w:r>
        <w:t xml:space="preserve"> Personal name: Jabal. Personal-name meaning: Jabal — which glides away. Source form: Jabal.</w:t>
      </w:r>
    </w:p>
  </w:footnote>
  <w:footnote w:id="123">
    <w:p>
      <w:pPr>
        <w:pStyle w:val="FootnoteText"/>
      </w:pPr>
      <w:r>
        <w:rPr>
          <w:rStyle w:val="FootnoteReference"/>
        </w:rPr>
        <w:footnoteRef/>
      </w:r>
      <w:r>
        <w:t xml:space="preserve"> Cross-references for "father": 1Sam 10:12.</w:t>
      </w:r>
    </w:p>
  </w:footnote>
  <w:footnote w:id="124">
    <w:p>
      <w:pPr>
        <w:pStyle w:val="FootnoteText"/>
      </w:pPr>
      <w:r>
        <w:rPr>
          <w:rStyle w:val="FootnoteReference"/>
        </w:rPr>
        <w:footnoteRef/>
      </w:r>
      <w:r>
        <w:t xml:space="preserve"> Personal name: Jubal. Personal-name meaning: Jubal — he that runs; a trumpet. Source form: Jubal.</w:t>
      </w:r>
    </w:p>
  </w:footnote>
  <w:footnote w:id="125">
    <w:p>
      <w:pPr>
        <w:pStyle w:val="FootnoteText"/>
      </w:pPr>
      <w:r>
        <w:rPr>
          <w:rStyle w:val="FootnoteReference"/>
        </w:rPr>
        <w:footnoteRef/>
      </w:r>
      <w:r>
        <w:t xml:space="preserve"> Personal name: Tubal. Personal-name meaning: Tubal — the earth; the world; confusion. Source form: Tubal.</w:t>
      </w:r>
    </w:p>
  </w:footnote>
  <w:footnote w:id="126">
    <w:p>
      <w:pPr>
        <w:pStyle w:val="FootnoteText"/>
      </w:pPr>
      <w:r>
        <w:rPr>
          <w:rStyle w:val="FootnoteReference"/>
        </w:rPr>
        <w:footnoteRef/>
      </w:r>
      <w:r>
        <w:t xml:space="preserve"> Transliterated proper noun: Naamah. Standard English equivalent: Naamah. Source form: Naamah. Greek form: Νοεμά. Name meaning: beautiful; agreeable.</w:t>
      </w:r>
    </w:p>
  </w:footnote>
  <w:footnote w:id="127">
    <w:p>
      <w:pPr>
        <w:pStyle w:val="FootnoteText"/>
      </w:pPr>
      <w:r>
        <w:rPr>
          <w:rStyle w:val="FootnoteReference"/>
        </w:rPr>
        <w:footnoteRef/>
      </w:r>
      <w:r>
        <w:t xml:space="preserve"> Cross-references for "hear": Num 23:18; Judg 9:7.</w:t>
      </w:r>
    </w:p>
  </w:footnote>
  <w:footnote w:id="128">
    <w:p>
      <w:pPr>
        <w:pStyle w:val="FootnoteText"/>
      </w:pPr>
      <w:r>
        <w:rPr>
          <w:rStyle w:val="FootnoteReference"/>
        </w:rPr>
        <w:footnoteRef/>
      </w:r>
      <w:r>
        <w:t xml:space="preserve"> Translation note: Greek opens the saying with because and presents it as a declaration rather than the more familiar if-form.</w:t>
      </w:r>
    </w:p>
  </w:footnote>
  <w:footnote w:id="129">
    <w:p>
      <w:pPr>
        <w:pStyle w:val="FootnoteText"/>
      </w:pPr>
      <w:r>
        <w:rPr>
          <w:rStyle w:val="FootnoteReference"/>
        </w:rPr>
        <w:footnoteRef/>
      </w:r>
      <w:r>
        <w:t xml:space="preserve"> Cross-references for "seventy": Matt 18:22.</w:t>
      </w:r>
    </w:p>
  </w:footnote>
  <w:footnote w:id="130">
    <w:p>
      <w:pPr>
        <w:pStyle w:val="FootnoteText"/>
      </w:pPr>
      <w:r>
        <w:rPr>
          <w:rStyle w:val="FootnoteReference"/>
        </w:rPr>
        <w:footnoteRef/>
      </w:r>
      <w:r>
        <w:t xml:space="preserve"> Name meaning: Seth (Seth) — Appointed; compensation; placed. God appointed another seed instead of Abel; the chosen line continues through him.</w:t>
      </w:r>
    </w:p>
  </w:footnote>
  <w:footnote w:id="131">
    <w:p>
      <w:pPr>
        <w:pStyle w:val="FootnoteText"/>
      </w:pPr>
      <w:r>
        <w:rPr>
          <w:rStyle w:val="FootnoteReference"/>
        </w:rPr>
        <w:footnoteRef/>
      </w:r>
      <w:r>
        <w:t xml:space="preserve"> Personal name: Enos. Personal-name meaning: Enos — mortal man; sick; despaired of; forgetful. Source form: Enos.</w:t>
      </w:r>
    </w:p>
  </w:footnote>
  <w:footnote w:id="132">
    <w:p>
      <w:pPr>
        <w:pStyle w:val="FootnoteText"/>
      </w:pPr>
      <w:r>
        <w:rPr>
          <w:rStyle w:val="FootnoteReference"/>
        </w:rPr>
        <w:footnoteRef/>
      </w:r>
      <w:r>
        <w:t xml:space="preserve"> Name meaning: Enosh (Enosh) — Man; mortal; frail. In his days men began to call upon the name of the LORD; highlights human weakness.</w:t>
      </w:r>
    </w:p>
  </w:footnote>
  <w:footnote w:id="133">
    <w:p>
      <w:pPr>
        <w:pStyle w:val="FootnoteText"/>
      </w:pPr>
      <w:r>
        <w:rPr>
          <w:rStyle w:val="FootnoteReference"/>
        </w:rPr>
        <w:footnoteRef/>
      </w:r>
      <w:r>
        <w:t xml:space="preserve"> Cross-references for "Enos": Deut 26:17-18; 1Kgs 18:24.</w:t>
      </w:r>
    </w:p>
  </w:footnote>
  <w:footnote w:id="134">
    <w:p>
      <w:pPr>
        <w:pStyle w:val="FootnoteText"/>
      </w:pPr>
      <w:r>
        <w:rPr>
          <w:rStyle w:val="FootnoteReference"/>
        </w:rPr>
        <w:footnoteRef/>
      </w:r>
      <w:r>
        <w:t xml:space="preserve"> Cross-references for "book": Gen 2:4; Gen 6:9.</w:t>
      </w:r>
    </w:p>
  </w:footnote>
  <w:footnote w:id="135">
    <w:p>
      <w:pPr>
        <w:pStyle w:val="FootnoteText"/>
      </w:pPr>
      <w:r>
        <w:rPr>
          <w:rStyle w:val="FootnoteReference"/>
        </w:rPr>
        <w:footnoteRef/>
      </w:r>
      <w:r>
        <w:t xml:space="preserve"> Cross-references for "Male": Gen 1:27; Mal 2:15.</w:t>
      </w:r>
    </w:p>
  </w:footnote>
  <w:footnote w:id="136">
    <w:p>
      <w:pPr>
        <w:pStyle w:val="FootnoteText"/>
      </w:pPr>
      <w:r>
        <w:rPr>
          <w:rStyle w:val="FootnoteReference"/>
        </w:rPr>
        <w:footnoteRef/>
      </w:r>
      <w:r>
        <w:t xml:space="preserve"> Cross-references for "nine": Gen 5:8; Gen 5:11.</w:t>
      </w:r>
    </w:p>
  </w:footnote>
  <w:footnote w:id="137">
    <w:p>
      <w:pPr>
        <w:pStyle w:val="FootnoteText"/>
      </w:pPr>
      <w:r>
        <w:rPr>
          <w:rStyle w:val="FootnoteReference"/>
        </w:rPr>
        <w:footnoteRef/>
      </w:r>
      <w:r>
        <w:t xml:space="preserve"> Personal name: Cainan. Personal-name meaning: Cainan — possessor; purchaser. Source form: Cainan.</w:t>
      </w:r>
    </w:p>
  </w:footnote>
  <w:footnote w:id="138">
    <w:p>
      <w:pPr>
        <w:pStyle w:val="FootnoteText"/>
      </w:pPr>
      <w:r>
        <w:rPr>
          <w:rStyle w:val="FootnoteReference"/>
        </w:rPr>
        <w:footnoteRef/>
      </w:r>
      <w:r>
        <w:t xml:space="preserve"> Name meaning: Kenan (Kenan) — Possession; smith; spear. Continues the line; name echoes the acquired theme of the pre-flood world.</w:t>
      </w:r>
    </w:p>
  </w:footnote>
  <w:footnote w:id="139">
    <w:p>
      <w:pPr>
        <w:pStyle w:val="FootnoteText"/>
      </w:pPr>
      <w:r>
        <w:rPr>
          <w:rStyle w:val="FootnoteReference"/>
        </w:rPr>
        <w:footnoteRef/>
      </w:r>
      <w:r>
        <w:t xml:space="preserve"> Cross-references for "Cainan": 1Chr 1:2; Luke 3:37.</w:t>
      </w:r>
    </w:p>
  </w:footnote>
  <w:footnote w:id="140">
    <w:p>
      <w:pPr>
        <w:pStyle w:val="FootnoteText"/>
      </w:pPr>
      <w:r>
        <w:rPr>
          <w:rStyle w:val="FootnoteReference"/>
        </w:rPr>
        <w:footnoteRef/>
      </w:r>
      <w:r>
        <w:t xml:space="preserve"> Cross-references for "died": Gen 5:5.</w:t>
      </w:r>
    </w:p>
  </w:footnote>
  <w:footnote w:id="141">
    <w:p>
      <w:pPr>
        <w:pStyle w:val="FootnoteText"/>
      </w:pPr>
      <w:r>
        <w:rPr>
          <w:rStyle w:val="FootnoteReference"/>
        </w:rPr>
        <w:footnoteRef/>
      </w:r>
      <w:r>
        <w:t xml:space="preserve"> Cross-references for "Mahalaleel": Luke 3:37.</w:t>
      </w:r>
    </w:p>
  </w:footnote>
  <w:footnote w:id="142">
    <w:p>
      <w:pPr>
        <w:pStyle w:val="FootnoteText"/>
      </w:pPr>
      <w:r>
        <w:rPr>
          <w:rStyle w:val="FootnoteReference"/>
        </w:rPr>
        <w:footnoteRef/>
      </w:r>
      <w:r>
        <w:t xml:space="preserve"> Name meaning: Mahalalel (Mahalalel) — Praise of God; the shining one of God. His very name is a shout of praise in a darkening world.</w:t>
      </w:r>
    </w:p>
  </w:footnote>
  <w:footnote w:id="143">
    <w:p>
      <w:pPr>
        <w:pStyle w:val="FootnoteText"/>
      </w:pPr>
      <w:r>
        <w:rPr>
          <w:rStyle w:val="FootnoteReference"/>
        </w:rPr>
        <w:footnoteRef/>
      </w:r>
      <w:r>
        <w:t xml:space="preserve"> Name meaning: Jared (Yered) — Descent; he shall come down. Traditional interpretation points to descent or coming judgment.</w:t>
      </w:r>
    </w:p>
  </w:footnote>
  <w:footnote w:id="144">
    <w:p>
      <w:pPr>
        <w:pStyle w:val="FootnoteText"/>
      </w:pPr>
      <w:r>
        <w:rPr>
          <w:rStyle w:val="FootnoteReference"/>
        </w:rPr>
        <w:footnoteRef/>
      </w:r>
      <w:r>
        <w:t xml:space="preserve"> Cross-references for "Jared": 1Chr 1:2.</w:t>
      </w:r>
    </w:p>
  </w:footnote>
  <w:footnote w:id="145">
    <w:p>
      <w:pPr>
        <w:pStyle w:val="FootnoteText"/>
      </w:pPr>
      <w:r>
        <w:rPr>
          <w:rStyle w:val="FootnoteReference"/>
        </w:rPr>
        <w:footnoteRef/>
      </w:r>
      <w:r>
        <w:t xml:space="preserve"> Cross-references for "died": Gen 5:5.</w:t>
      </w:r>
    </w:p>
  </w:footnote>
  <w:footnote w:id="146">
    <w:p>
      <w:pPr>
        <w:pStyle w:val="FootnoteText"/>
      </w:pPr>
      <w:r>
        <w:rPr>
          <w:rStyle w:val="FootnoteReference"/>
        </w:rPr>
        <w:footnoteRef/>
      </w:r>
      <w:r>
        <w:t xml:space="preserve"> Cross-references for "Enoch": Gen 4:17; 1Chr 1:3.</w:t>
      </w:r>
    </w:p>
  </w:footnote>
  <w:footnote w:id="147">
    <w:p>
      <w:pPr>
        <w:pStyle w:val="FootnoteText"/>
      </w:pPr>
      <w:r>
        <w:rPr>
          <w:rStyle w:val="FootnoteReference"/>
        </w:rPr>
        <w:footnoteRef/>
      </w:r>
      <w:r>
        <w:t xml:space="preserve"> Cross-references for "he died": Gen 5:5.</w:t>
      </w:r>
    </w:p>
  </w:footnote>
  <w:footnote w:id="148">
    <w:p>
      <w:pPr>
        <w:pStyle w:val="FootnoteText"/>
      </w:pPr>
      <w:r>
        <w:rPr>
          <w:rStyle w:val="FootnoteReference"/>
        </w:rPr>
        <w:footnoteRef/>
      </w:r>
      <w:r>
        <w:t xml:space="preserve"> Name meaning: Methuselah (Methushelach) — When he dies, it shall be sent; man of the dart. His death coincided with the Flood; his name is often taken as a prophecy of judgment.</w:t>
      </w:r>
    </w:p>
  </w:footnote>
  <w:footnote w:id="149">
    <w:p>
      <w:pPr>
        <w:pStyle w:val="FootnoteText"/>
      </w:pPr>
      <w:r>
        <w:rPr>
          <w:rStyle w:val="FootnoteReference"/>
        </w:rPr>
        <w:footnoteRef/>
      </w:r>
      <w:r>
        <w:t xml:space="preserve"> Cross-references for "Methuselah": Luke 3:37.</w:t>
      </w:r>
    </w:p>
  </w:footnote>
  <w:footnote w:id="150">
    <w:p>
      <w:pPr>
        <w:pStyle w:val="FootnoteText"/>
      </w:pPr>
      <w:r>
        <w:rPr>
          <w:rStyle w:val="FootnoteReference"/>
        </w:rPr>
        <w:footnoteRef/>
      </w:r>
      <w:r>
        <w:t xml:space="preserve"> Cross-references for "he was not": Gen 37:30; Gen 42:36.</w:t>
      </w:r>
    </w:p>
  </w:footnote>
  <w:footnote w:id="151">
    <w:p>
      <w:pPr>
        <w:pStyle w:val="FootnoteText"/>
      </w:pPr>
      <w:r>
        <w:rPr>
          <w:rStyle w:val="FootnoteReference"/>
        </w:rPr>
        <w:footnoteRef/>
      </w:r>
      <w:r>
        <w:t xml:space="preserve"> Cross-references for "he died": Gen 5:5.</w:t>
      </w:r>
    </w:p>
  </w:footnote>
  <w:footnote w:id="152">
    <w:p>
      <w:pPr>
        <w:pStyle w:val="FootnoteText"/>
      </w:pPr>
      <w:r>
        <w:rPr>
          <w:rStyle w:val="FootnoteReference"/>
        </w:rPr>
        <w:footnoteRef/>
      </w:r>
      <w:r>
        <w:t xml:space="preserve"> Name meaning: Noah (Noach) — Rest; comfort; relief. The ark brought rest from judgment.</w:t>
      </w:r>
    </w:p>
  </w:footnote>
  <w:footnote w:id="153">
    <w:p>
      <w:pPr>
        <w:pStyle w:val="FootnoteText"/>
      </w:pPr>
      <w:r>
        <w:rPr>
          <w:rStyle w:val="FootnoteReference"/>
        </w:rPr>
        <w:footnoteRef/>
      </w:r>
      <w:r>
        <w:t xml:space="preserve"> Cross-references for "he died": Gen 5:5.</w:t>
      </w:r>
    </w:p>
  </w:footnote>
  <w:footnote w:id="154">
    <w:p>
      <w:pPr>
        <w:pStyle w:val="FootnoteText"/>
      </w:pPr>
      <w:r>
        <w:rPr>
          <w:rStyle w:val="FootnoteReference"/>
        </w:rPr>
        <w:footnoteRef/>
      </w:r>
      <w:r>
        <w:t xml:space="preserve"> Name meaning: Shem (Shem) — Name; renown. Ancestor of the Semitic line; through him came the line that would bear God’s name.</w:t>
      </w:r>
    </w:p>
  </w:footnote>
  <w:footnote w:id="155">
    <w:p>
      <w:pPr>
        <w:pStyle w:val="FootnoteText"/>
      </w:pPr>
      <w:r>
        <w:rPr>
          <w:rStyle w:val="FootnoteReference"/>
        </w:rPr>
        <w:footnoteRef/>
      </w:r>
      <w:r>
        <w:t xml:space="preserve"> Transliterated proper noun: Ham. Standard English equivalent: Ham. Source form: Ham. Greek form: Χάμ. Name meaning: hot; heat; brown.</w:t>
      </w:r>
    </w:p>
  </w:footnote>
  <w:footnote w:id="156">
    <w:p>
      <w:pPr>
        <w:pStyle w:val="FootnoteText"/>
      </w:pPr>
      <w:r>
        <w:rPr>
          <w:rStyle w:val="FootnoteReference"/>
        </w:rPr>
        <w:footnoteRef/>
      </w:r>
      <w:r>
        <w:t xml:space="preserve"> Name meaning: Japheth (Yapheth) — Enlarged; may he enlarge. His descendants spread across the earth.</w:t>
      </w:r>
    </w:p>
  </w:footnote>
  <w:footnote w:id="157">
    <w:p>
      <w:pPr>
        <w:pStyle w:val="FootnoteText"/>
      </w:pPr>
      <w:r>
        <w:rPr>
          <w:rStyle w:val="FootnoteReference"/>
        </w:rPr>
        <w:footnoteRef/>
      </w:r>
      <w:r>
        <w:t xml:space="preserve"> Cross-references for "Shem": Gen 6:10; Gen 7:13.</w:t>
      </w:r>
    </w:p>
  </w:footnote>
  <w:footnote w:id="158">
    <w:p>
      <w:pPr>
        <w:pStyle w:val="FootnoteText"/>
      </w:pPr>
      <w:r>
        <w:rPr>
          <w:rStyle w:val="FootnoteReference"/>
        </w:rPr>
        <w:footnoteRef/>
      </w:r>
      <w:r>
        <w:t xml:space="preserve"> Cross-references for "the sons": Gen 4:26; Exod 4:22-23.</w:t>
      </w:r>
    </w:p>
  </w:footnote>
  <w:footnote w:id="159">
    <w:p>
      <w:pPr>
        <w:pStyle w:val="FootnoteText"/>
      </w:pPr>
      <w:r>
        <w:rPr>
          <w:rStyle w:val="FootnoteReference"/>
        </w:rPr>
        <w:footnoteRef/>
      </w:r>
      <w:r>
        <w:t xml:space="preserve"> Cross-references for "giants": Num 13:33; Deut 2:20-21.</w:t>
      </w:r>
    </w:p>
  </w:footnote>
  <w:footnote w:id="160">
    <w:p>
      <w:pPr>
        <w:pStyle w:val="FootnoteText"/>
      </w:pPr>
      <w:r>
        <w:rPr>
          <w:rStyle w:val="FootnoteReference"/>
        </w:rPr>
        <w:footnoteRef/>
      </w:r>
      <w:r>
        <w:t xml:space="preserve"> Cross-references for "Shem": Gen 5:32.</w:t>
      </w:r>
    </w:p>
  </w:footnote>
  <w:footnote w:id="161">
    <w:p>
      <w:pPr>
        <w:pStyle w:val="FootnoteText"/>
      </w:pPr>
      <w:r>
        <w:rPr>
          <w:rStyle w:val="FootnoteReference"/>
        </w:rPr>
        <w:footnoteRef/>
      </w:r>
      <w:r>
        <w:t xml:space="preserve"> Cross-references for "filled": Ps 11:5; Ps 55:9.</w:t>
      </w:r>
    </w:p>
  </w:footnote>
  <w:footnote w:id="162">
    <w:p>
      <w:pPr>
        <w:pStyle w:val="FootnoteText"/>
      </w:pPr>
      <w:r>
        <w:rPr>
          <w:rStyle w:val="FootnoteReference"/>
        </w:rPr>
        <w:footnoteRef/>
      </w:r>
      <w:r>
        <w:t xml:space="preserve"> Cross-references for "The end": Jer 51:13; Ezek 7:2-6.</w:t>
      </w:r>
    </w:p>
  </w:footnote>
  <w:footnote w:id="163">
    <w:p>
      <w:pPr>
        <w:pStyle w:val="FootnoteText"/>
      </w:pPr>
      <w:r>
        <w:rPr>
          <w:rStyle w:val="FootnoteReference"/>
        </w:rPr>
        <w:footnoteRef/>
      </w:r>
      <w:r>
        <w:t xml:space="preserve"> Cross-references for "make": Matt 24:38; Luke 17:27.</w:t>
      </w:r>
    </w:p>
  </w:footnote>
  <w:footnote w:id="164">
    <w:p>
      <w:pPr>
        <w:pStyle w:val="FootnoteText"/>
      </w:pPr>
      <w:r>
        <w:rPr>
          <w:rStyle w:val="FootnoteReference"/>
        </w:rPr>
        <w:footnoteRef/>
      </w:r>
      <w:r>
        <w:t xml:space="preserve"> Translation note: Greek gives the ark dimensions in a plain measurement sequence. Current wording preserves that construction formula.</w:t>
      </w:r>
    </w:p>
  </w:footnote>
  <w:footnote w:id="165">
    <w:p>
      <w:pPr>
        <w:pStyle w:val="FootnoteText"/>
      </w:pPr>
      <w:r>
        <w:rPr>
          <w:rStyle w:val="FootnoteReference"/>
        </w:rPr>
        <w:footnoteRef/>
      </w:r>
      <w:r>
        <w:t xml:space="preserve"> Cross-references for "cubits": Gen 7:20; Deut 3:11.</w:t>
      </w:r>
    </w:p>
  </w:footnote>
  <w:footnote w:id="166">
    <w:p>
      <w:pPr>
        <w:pStyle w:val="FootnoteText"/>
      </w:pPr>
      <w:r>
        <w:rPr>
          <w:rStyle w:val="FootnoteReference"/>
        </w:rPr>
        <w:footnoteRef/>
      </w:r>
      <w:r>
        <w:t xml:space="preserve"> Cross-references for "the door": Gen 7:16; Luke 13:25.</w:t>
      </w:r>
    </w:p>
  </w:footnote>
  <w:footnote w:id="167">
    <w:p>
      <w:pPr>
        <w:pStyle w:val="FootnoteText"/>
      </w:pPr>
      <w:r>
        <w:rPr>
          <w:rStyle w:val="FootnoteReference"/>
        </w:rPr>
        <w:footnoteRef/>
      </w:r>
      <w:r>
        <w:t xml:space="preserve"> Cross-references for "is the": Gen 2:7; Gen 7:15.</w:t>
      </w:r>
    </w:p>
  </w:footnote>
  <w:footnote w:id="168">
    <w:p>
      <w:pPr>
        <w:pStyle w:val="FootnoteText"/>
      </w:pPr>
      <w:r>
        <w:rPr>
          <w:rStyle w:val="FootnoteReference"/>
        </w:rPr>
        <w:footnoteRef/>
      </w:r>
      <w:r>
        <w:t xml:space="preserve"> Cross-references for "establish": Gen 9:9; Gen 9:11.</w:t>
      </w:r>
    </w:p>
  </w:footnote>
  <w:footnote w:id="169">
    <w:p>
      <w:pPr>
        <w:pStyle w:val="FootnoteText"/>
      </w:pPr>
      <w:r>
        <w:rPr>
          <w:rStyle w:val="FootnoteReference"/>
        </w:rPr>
        <w:footnoteRef/>
      </w:r>
      <w:r>
        <w:t xml:space="preserve"> Cross-references for "forty days": Gen 7:12; Gen 7:17.</w:t>
      </w:r>
    </w:p>
  </w:footnote>
  <w:footnote w:id="170">
    <w:p>
      <w:pPr>
        <w:pStyle w:val="FootnoteText"/>
      </w:pPr>
      <w:r>
        <w:rPr>
          <w:rStyle w:val="FootnoteReference"/>
        </w:rPr>
        <w:footnoteRef/>
      </w:r>
      <w:r>
        <w:t xml:space="preserve"> Translation note: Greek uses a paired abyss-and-heaven opening formula. Current wording preserves it.</w:t>
      </w:r>
    </w:p>
  </w:footnote>
  <w:footnote w:id="171">
    <w:p>
      <w:pPr>
        <w:pStyle w:val="FootnoteText"/>
      </w:pPr>
      <w:r>
        <w:rPr>
          <w:rStyle w:val="FootnoteReference"/>
        </w:rPr>
        <w:footnoteRef/>
      </w:r>
      <w:r>
        <w:t xml:space="preserve"> Cross-references for "forty": Gen 7:4; Gen 7:17.</w:t>
      </w:r>
    </w:p>
  </w:footnote>
  <w:footnote w:id="172">
    <w:p>
      <w:pPr>
        <w:pStyle w:val="FootnoteText"/>
      </w:pPr>
      <w:r>
        <w:rPr>
          <w:rStyle w:val="FootnoteReference"/>
        </w:rPr>
        <w:footnoteRef/>
      </w:r>
      <w:r>
        <w:t xml:space="preserve"> Cross-references for "breath of life": Gen 2:7; Gen 6:17.</w:t>
      </w:r>
    </w:p>
  </w:footnote>
  <w:footnote w:id="173">
    <w:p>
      <w:pPr>
        <w:pStyle w:val="FootnoteText"/>
      </w:pPr>
      <w:r>
        <w:rPr>
          <w:rStyle w:val="FootnoteReference"/>
        </w:rPr>
        <w:footnoteRef/>
      </w:r>
      <w:r>
        <w:t xml:space="preserve"> Translation note: Greek says every rising thing here. Current line keeps that wording.</w:t>
      </w:r>
    </w:p>
  </w:footnote>
  <w:footnote w:id="174">
    <w:p>
      <w:pPr>
        <w:pStyle w:val="FootnoteText"/>
      </w:pPr>
      <w:r>
        <w:rPr>
          <w:rStyle w:val="FootnoteReference"/>
        </w:rPr>
        <w:footnoteRef/>
      </w:r>
      <w:r>
        <w:t xml:space="preserve"> Cross-references for "And Noah": Exod 14:28-30; Job 5:19.</w:t>
      </w:r>
    </w:p>
  </w:footnote>
  <w:footnote w:id="175">
    <w:p>
      <w:pPr>
        <w:pStyle w:val="FootnoteText"/>
      </w:pPr>
      <w:r>
        <w:rPr>
          <w:rStyle w:val="FootnoteReference"/>
        </w:rPr>
        <w:footnoteRef/>
      </w:r>
      <w:r>
        <w:t xml:space="preserve"> Cross-references for "God remembered": Gen 19:29; Gen 30:22.</w:t>
      </w:r>
    </w:p>
  </w:footnote>
  <w:footnote w:id="176">
    <w:p>
      <w:pPr>
        <w:pStyle w:val="FootnoteText"/>
      </w:pPr>
      <w:r>
        <w:rPr>
          <w:rStyle w:val="FootnoteReference"/>
        </w:rPr>
        <w:footnoteRef/>
      </w:r>
      <w:r>
        <w:t xml:space="preserve"> Cross-references for "the rain": Job 37:11-13; Job 38:37.</w:t>
      </w:r>
    </w:p>
  </w:footnote>
  <w:footnote w:id="177">
    <w:p>
      <w:pPr>
        <w:pStyle w:val="FootnoteText"/>
      </w:pPr>
      <w:r>
        <w:rPr>
          <w:rStyle w:val="FootnoteReference"/>
        </w:rPr>
        <w:footnoteRef/>
      </w:r>
      <w:r>
        <w:t xml:space="preserve"> Cross-references for "hundred": Gen 7:11; Gen 7:24.</w:t>
      </w:r>
    </w:p>
  </w:footnote>
  <w:footnote w:id="178">
    <w:p>
      <w:pPr>
        <w:pStyle w:val="FootnoteText"/>
      </w:pPr>
      <w:r>
        <w:rPr>
          <w:rStyle w:val="FootnoteReference"/>
        </w:rPr>
        <w:footnoteRef/>
      </w:r>
      <w:r>
        <w:t xml:space="preserve"> Translation note: Greek describes the ark resting on Ararat. Current wording keeps that line plain.</w:t>
      </w:r>
    </w:p>
  </w:footnote>
  <w:footnote w:id="179">
    <w:p>
      <w:pPr>
        <w:pStyle w:val="FootnoteText"/>
      </w:pPr>
      <w:r>
        <w:rPr>
          <w:rStyle w:val="FootnoteReference"/>
        </w:rPr>
        <w:footnoteRef/>
      </w:r>
      <w:r>
        <w:t xml:space="preserve"> Place name: Ararat. Place-name meaning: Ararat — the curse of trembling. Source form: Ararat. Greek form: ᾿Αραράτ.</w:t>
      </w:r>
    </w:p>
  </w:footnote>
  <w:footnote w:id="180">
    <w:p>
      <w:pPr>
        <w:pStyle w:val="FootnoteText"/>
      </w:pPr>
      <w:r>
        <w:rPr>
          <w:rStyle w:val="FootnoteReference"/>
        </w:rPr>
        <w:footnoteRef/>
      </w:r>
      <w:r>
        <w:t xml:space="preserve"> Cross-references for "the ark": Gen 7:17-19.</w:t>
      </w:r>
    </w:p>
  </w:footnote>
  <w:footnote w:id="181">
    <w:p>
      <w:pPr>
        <w:pStyle w:val="FootnoteText"/>
      </w:pPr>
      <w:r>
        <w:rPr>
          <w:rStyle w:val="FootnoteReference"/>
        </w:rPr>
        <w:footnoteRef/>
      </w:r>
      <w:r>
        <w:t xml:space="preserve"> Translation note: Greek uses an ongoing diminishing line in the flood chronology. Current wording preserves that sequence.</w:t>
      </w:r>
    </w:p>
  </w:footnote>
  <w:footnote w:id="182">
    <w:p>
      <w:pPr>
        <w:pStyle w:val="FootnoteText"/>
      </w:pPr>
      <w:r>
        <w:rPr>
          <w:rStyle w:val="FootnoteReference"/>
        </w:rPr>
        <w:footnoteRef/>
      </w:r>
      <w:r>
        <w:t xml:space="preserve"> Cross-references for "opened the window": Gen 6:16; Dan 6:10.</w:t>
      </w:r>
    </w:p>
  </w:footnote>
  <w:footnote w:id="183">
    <w:p>
      <w:pPr>
        <w:pStyle w:val="FootnoteText"/>
      </w:pPr>
      <w:r>
        <w:rPr>
          <w:rStyle w:val="FootnoteReference"/>
        </w:rPr>
        <w:footnoteRef/>
      </w:r>
      <w:r>
        <w:t xml:space="preserve"> Translation note: Greek speaks of rest for the dove's feet in plural form. The translation keeps that direct wording.</w:t>
      </w:r>
    </w:p>
  </w:footnote>
  <w:footnote w:id="184">
    <w:p>
      <w:pPr>
        <w:pStyle w:val="FootnoteText"/>
      </w:pPr>
      <w:r>
        <w:rPr>
          <w:rStyle w:val="FootnoteReference"/>
        </w:rPr>
        <w:footnoteRef/>
      </w:r>
      <w:r>
        <w:t xml:space="preserve"> Cross-references for "seven": Gen 7:4; Gen 7:10.</w:t>
      </w:r>
    </w:p>
  </w:footnote>
  <w:footnote w:id="185">
    <w:p>
      <w:pPr>
        <w:pStyle w:val="FootnoteText"/>
      </w:pPr>
      <w:r>
        <w:rPr>
          <w:rStyle w:val="FootnoteReference"/>
        </w:rPr>
        <w:footnoteRef/>
      </w:r>
      <w:r>
        <w:t xml:space="preserve"> Cross-references for "an olive": Neh 8:15; Zech 4:12-14.</w:t>
      </w:r>
    </w:p>
  </w:footnote>
  <w:footnote w:id="186">
    <w:p>
      <w:pPr>
        <w:pStyle w:val="FootnoteText"/>
      </w:pPr>
      <w:r>
        <w:rPr>
          <w:rStyle w:val="FootnoteReference"/>
        </w:rPr>
        <w:footnoteRef/>
      </w:r>
      <w:r>
        <w:t xml:space="preserve"> Cross-references for "seven": Gen 2:2-3; Gen 8:10.</w:t>
      </w:r>
    </w:p>
  </w:footnote>
  <w:footnote w:id="187">
    <w:p>
      <w:pPr>
        <w:pStyle w:val="FootnoteText"/>
      </w:pPr>
      <w:r>
        <w:rPr>
          <w:rStyle w:val="FootnoteReference"/>
        </w:rPr>
        <w:footnoteRef/>
      </w:r>
      <w:r>
        <w:t xml:space="preserve"> Translation note: Greek says water failed from earth.</w:t>
      </w:r>
    </w:p>
  </w:footnote>
  <w:footnote w:id="188">
    <w:p>
      <w:pPr>
        <w:pStyle w:val="FootnoteText"/>
      </w:pPr>
      <w:r>
        <w:rPr>
          <w:rStyle w:val="FootnoteReference"/>
        </w:rPr>
        <w:footnoteRef/>
      </w:r>
      <w:r>
        <w:t xml:space="preserve"> Translation note: Greek says wild beasts here and then increase and multiply.</w:t>
      </w:r>
    </w:p>
  </w:footnote>
  <w:footnote w:id="189">
    <w:p>
      <w:pPr>
        <w:pStyle w:val="FootnoteText"/>
      </w:pPr>
      <w:r>
        <w:rPr>
          <w:rStyle w:val="FootnoteReference"/>
        </w:rPr>
        <w:footnoteRef/>
      </w:r>
      <w:r>
        <w:t xml:space="preserve"> Cross-references for "bring": Gen 7:14-15.</w:t>
      </w:r>
    </w:p>
  </w:footnote>
  <w:footnote w:id="190">
    <w:p>
      <w:pPr>
        <w:pStyle w:val="FootnoteText"/>
      </w:pPr>
      <w:r>
        <w:rPr>
          <w:rStyle w:val="FootnoteReference"/>
        </w:rPr>
        <w:footnoteRef/>
      </w:r>
      <w:r>
        <w:t xml:space="preserve"> Cross-references for "burnt": Lev 1:1-17.</w:t>
      </w:r>
    </w:p>
  </w:footnote>
  <w:footnote w:id="191">
    <w:p>
      <w:pPr>
        <w:pStyle w:val="FootnoteText"/>
      </w:pPr>
      <w:r>
        <w:rPr>
          <w:rStyle w:val="FootnoteReference"/>
        </w:rPr>
        <w:footnoteRef/>
      </w:r>
      <w:r>
        <w:t xml:space="preserve"> Cross-references for "smelled": Lev 1:9; Lev 1:13.</w:t>
      </w:r>
    </w:p>
  </w:footnote>
  <w:footnote w:id="192">
    <w:p>
      <w:pPr>
        <w:pStyle w:val="FootnoteText"/>
      </w:pPr>
      <w:r>
        <w:rPr>
          <w:rStyle w:val="FootnoteReference"/>
        </w:rPr>
        <w:footnoteRef/>
      </w:r>
      <w:r>
        <w:t xml:space="preserve"> Translation note: Greek says the human mind lies carefully upon evil things.</w:t>
      </w:r>
    </w:p>
  </w:footnote>
  <w:footnote w:id="193">
    <w:p>
      <w:pPr>
        <w:pStyle w:val="FootnoteText"/>
      </w:pPr>
      <w:r>
        <w:rPr>
          <w:rStyle w:val="FootnoteReference"/>
        </w:rPr>
        <w:footnoteRef/>
      </w:r>
      <w:r>
        <w:t xml:space="preserve"> Cross-references for "blessed": Gen 1:22; Gen 1:28.</w:t>
      </w:r>
    </w:p>
  </w:footnote>
  <w:footnote w:id="194">
    <w:p>
      <w:pPr>
        <w:pStyle w:val="FootnoteText"/>
      </w:pPr>
      <w:r>
        <w:rPr>
          <w:rStyle w:val="FootnoteReference"/>
        </w:rPr>
        <w:footnoteRef/>
      </w:r>
      <w:r>
        <w:t xml:space="preserve"> Translation note: Greek says your dread and your fear.</w:t>
      </w:r>
    </w:p>
  </w:footnote>
  <w:footnote w:id="195">
    <w:p>
      <w:pPr>
        <w:pStyle w:val="FootnoteText"/>
      </w:pPr>
      <w:r>
        <w:rPr>
          <w:rStyle w:val="FootnoteReference"/>
        </w:rPr>
        <w:footnoteRef/>
      </w:r>
      <w:r>
        <w:t xml:space="preserve"> Translation note: Greek frames this as a sweeping food grant. Current wording preserves that breadth.</w:t>
      </w:r>
    </w:p>
  </w:footnote>
  <w:footnote w:id="196">
    <w:p>
      <w:pPr>
        <w:pStyle w:val="FootnoteText"/>
      </w:pPr>
      <w:r>
        <w:rPr>
          <w:rStyle w:val="FootnoteReference"/>
        </w:rPr>
        <w:footnoteRef/>
      </w:r>
      <w:r>
        <w:t xml:space="preserve"> Cross-references for "brother": Acts 17:26.</w:t>
      </w:r>
    </w:p>
  </w:footnote>
  <w:footnote w:id="197">
    <w:p>
      <w:pPr>
        <w:pStyle w:val="FootnoteText"/>
      </w:pPr>
      <w:r>
        <w:rPr>
          <w:rStyle w:val="FootnoteReference"/>
        </w:rPr>
        <w:footnoteRef/>
      </w:r>
      <w:r>
        <w:t xml:space="preserve"> Cross-references for "remember": Exod 28:12; Lev 26:42-45.</w:t>
      </w:r>
    </w:p>
  </w:footnote>
  <w:footnote w:id="198">
    <w:p>
      <w:pPr>
        <w:pStyle w:val="FootnoteText"/>
      </w:pPr>
      <w:r>
        <w:rPr>
          <w:rStyle w:val="FootnoteReference"/>
        </w:rPr>
        <w:footnoteRef/>
      </w:r>
      <w:r>
        <w:t xml:space="preserve"> Cross-references for "everlasting": Gen 8:21-22; Gen 9:9-11.</w:t>
      </w:r>
    </w:p>
  </w:footnote>
  <w:footnote w:id="199">
    <w:p>
      <w:pPr>
        <w:pStyle w:val="FootnoteText"/>
      </w:pPr>
      <w:r>
        <w:rPr>
          <w:rStyle w:val="FootnoteReference"/>
        </w:rPr>
        <w:footnoteRef/>
      </w:r>
      <w:r>
        <w:t xml:space="preserve"> Cross-references for "Shem": Gen 9:23; Gen 10:1.</w:t>
      </w:r>
    </w:p>
  </w:footnote>
  <w:footnote w:id="200">
    <w:p>
      <w:pPr>
        <w:pStyle w:val="FootnoteText"/>
      </w:pPr>
      <w:r>
        <w:rPr>
          <w:rStyle w:val="FootnoteReference"/>
        </w:rPr>
        <w:footnoteRef/>
      </w:r>
      <w:r>
        <w:t xml:space="preserve"> Name meaning: Canaan (Kena'an) — Lowland; humbled; merchant-land. Name of Ham's son and of the land later promised to Abraham's seed.</w:t>
      </w:r>
    </w:p>
  </w:footnote>
  <w:footnote w:id="201">
    <w:p>
      <w:pPr>
        <w:pStyle w:val="FootnoteText"/>
      </w:pPr>
      <w:r>
        <w:rPr>
          <w:rStyle w:val="FootnoteReference"/>
        </w:rPr>
        <w:footnoteRef/>
      </w:r>
      <w:r>
        <w:t xml:space="preserve"> Cross-references for "planted": Deut 20:6; Deut 28:30.</w:t>
      </w:r>
    </w:p>
  </w:footnote>
  <w:footnote w:id="202">
    <w:p>
      <w:pPr>
        <w:pStyle w:val="FootnoteText"/>
      </w:pPr>
      <w:r>
        <w:rPr>
          <w:rStyle w:val="FootnoteReference"/>
        </w:rPr>
        <w:footnoteRef/>
      </w:r>
      <w:r>
        <w:t xml:space="preserve"> Translation note: Greek says on their two backs and backward here. Current line keeps that form.</w:t>
      </w:r>
    </w:p>
  </w:footnote>
  <w:footnote w:id="203">
    <w:p>
      <w:pPr>
        <w:pStyle w:val="FootnoteText"/>
      </w:pPr>
      <w:r>
        <w:rPr>
          <w:rStyle w:val="FootnoteReference"/>
        </w:rPr>
        <w:footnoteRef/>
      </w:r>
      <w:r>
        <w:t xml:space="preserve"> Cross-references for "Cursed": Gen 3:14; Gen 4:11.</w:t>
      </w:r>
    </w:p>
  </w:footnote>
  <w:footnote w:id="204">
    <w:p>
      <w:pPr>
        <w:pStyle w:val="FootnoteText"/>
      </w:pPr>
      <w:r>
        <w:rPr>
          <w:rStyle w:val="FootnoteReference"/>
        </w:rPr>
        <w:footnoteRef/>
      </w:r>
      <w:r>
        <w:t xml:space="preserve"> Cross-references for "Blessed": Deut 33:26; Ps 144:15.</w:t>
      </w:r>
    </w:p>
  </w:footnote>
  <w:footnote w:id="205">
    <w:p>
      <w:pPr>
        <w:pStyle w:val="FootnoteText"/>
      </w:pPr>
      <w:r>
        <w:rPr>
          <w:rStyle w:val="FootnoteReference"/>
        </w:rPr>
        <w:footnoteRef/>
      </w:r>
      <w:r>
        <w:t xml:space="preserve"> Cross-references for "dwell": Isa 11:10; Hos 2:14.</w:t>
      </w:r>
    </w:p>
  </w:footnote>
  <w:footnote w:id="206">
    <w:p>
      <w:pPr>
        <w:pStyle w:val="FootnoteText"/>
      </w:pPr>
      <w:r>
        <w:rPr>
          <w:rStyle w:val="FootnoteReference"/>
        </w:rPr>
        <w:footnoteRef/>
      </w:r>
      <w:r>
        <w:t xml:space="preserve"> Translation note: The Greek line is straightforward chronology. The current wording uses the standard English name form.</w:t>
      </w:r>
    </w:p>
  </w:footnote>
  <w:footnote w:id="207">
    <w:p>
      <w:pPr>
        <w:pStyle w:val="FootnoteText"/>
      </w:pPr>
      <w:r>
        <w:rPr>
          <w:rStyle w:val="FootnoteReference"/>
        </w:rPr>
        <w:footnoteRef/>
      </w:r>
      <w:r>
        <w:t xml:space="preserve"> Cross-references for "nine": Gen 5:5; Gen 5:20.</w:t>
      </w:r>
    </w:p>
  </w:footnote>
  <w:footnote w:id="208">
    <w:p>
      <w:pPr>
        <w:pStyle w:val="FootnoteText"/>
      </w:pPr>
      <w:r>
        <w:rPr>
          <w:rStyle w:val="FootnoteReference"/>
        </w:rPr>
        <w:footnoteRef/>
      </w:r>
      <w:r>
        <w:t xml:space="preserve"> Translation note: The Greek line is straightforward chronology. The current wording uses the standard English name form.</w:t>
      </w:r>
    </w:p>
  </w:footnote>
  <w:footnote w:id="209">
    <w:p>
      <w:pPr>
        <w:pStyle w:val="FootnoteText"/>
      </w:pPr>
      <w:r>
        <w:rPr>
          <w:rStyle w:val="FootnoteReference"/>
        </w:rPr>
        <w:footnoteRef/>
      </w:r>
      <w:r>
        <w:t xml:space="preserve"> Cross-references for "are the": Gen 2:4; Gen 5:1.</w:t>
      </w:r>
    </w:p>
  </w:footnote>
  <w:footnote w:id="210">
    <w:p>
      <w:pPr>
        <w:pStyle w:val="FootnoteText"/>
      </w:pPr>
      <w:r>
        <w:rPr>
          <w:rStyle w:val="FootnoteReference"/>
        </w:rPr>
        <w:footnoteRef/>
      </w:r>
      <w:r>
        <w:t xml:space="preserve"> Personal name: Gomer. Personal-name meaning: Gomer — to finish; complete. Source form: Gomer.</w:t>
      </w:r>
    </w:p>
  </w:footnote>
  <w:footnote w:id="211">
    <w:p>
      <w:pPr>
        <w:pStyle w:val="FootnoteText"/>
      </w:pPr>
      <w:r>
        <w:rPr>
          <w:rStyle w:val="FootnoteReference"/>
        </w:rPr>
        <w:footnoteRef/>
      </w:r>
      <w:r>
        <w:t xml:space="preserve"> Transliterated proper noun: Magog. Standard English equivalent: Magog. Source form: Magog. Greek form: Μαγὼγ. Name meaning: covering; roof; dissolving.</w:t>
      </w:r>
    </w:p>
  </w:footnote>
  <w:footnote w:id="212">
    <w:p>
      <w:pPr>
        <w:pStyle w:val="FootnoteText"/>
      </w:pPr>
      <w:r>
        <w:rPr>
          <w:rStyle w:val="FootnoteReference"/>
        </w:rPr>
        <w:footnoteRef/>
      </w:r>
      <w:r>
        <w:t xml:space="preserve"> Personal name: Madai. Personal-name meaning: Madai — a measure; judging; a garment. Source form: Madai.</w:t>
      </w:r>
    </w:p>
  </w:footnote>
  <w:footnote w:id="213">
    <w:p>
      <w:pPr>
        <w:pStyle w:val="FootnoteText"/>
      </w:pPr>
      <w:r>
        <w:rPr>
          <w:rStyle w:val="FootnoteReference"/>
        </w:rPr>
        <w:footnoteRef/>
      </w:r>
      <w:r>
        <w:t xml:space="preserve"> Transliterated proper noun: Javan. Standard English equivalent: Javan. Source form: Javan. Greek form: ᾿Ιωύαν. Name meaning: deceiver; one who makes sad.</w:t>
      </w:r>
    </w:p>
  </w:footnote>
  <w:footnote w:id="214">
    <w:p>
      <w:pPr>
        <w:pStyle w:val="FootnoteText"/>
      </w:pPr>
      <w:r>
        <w:rPr>
          <w:rStyle w:val="FootnoteReference"/>
        </w:rPr>
        <w:footnoteRef/>
      </w:r>
      <w:r>
        <w:t xml:space="preserve"> Personal name: Elishah. Personal-name meaning: Elishah — it is God; the lamb of God: God that gives help. Source form: Elishah.</w:t>
      </w:r>
    </w:p>
  </w:footnote>
  <w:footnote w:id="215">
    <w:p>
      <w:pPr>
        <w:pStyle w:val="FootnoteText"/>
      </w:pPr>
      <w:r>
        <w:rPr>
          <w:rStyle w:val="FootnoteReference"/>
        </w:rPr>
        <w:footnoteRef/>
      </w:r>
      <w:r>
        <w:t xml:space="preserve"> Transliterated proper noun: Meshech. Standard English equivalent: Meshech. Source form: Meshech. Greek form: Μοσόχ. Name meaning: who is drawn by force.</w:t>
      </w:r>
    </w:p>
  </w:footnote>
  <w:footnote w:id="216">
    <w:p>
      <w:pPr>
        <w:pStyle w:val="FootnoteText"/>
      </w:pPr>
      <w:r>
        <w:rPr>
          <w:rStyle w:val="FootnoteReference"/>
        </w:rPr>
        <w:footnoteRef/>
      </w:r>
      <w:r>
        <w:t xml:space="preserve"> Personal name: Tiras. Personal-name meaning: Tiras — desire. Source form: Tiras.</w:t>
      </w:r>
    </w:p>
  </w:footnote>
  <w:footnote w:id="217">
    <w:p>
      <w:pPr>
        <w:pStyle w:val="FootnoteText"/>
      </w:pPr>
      <w:r>
        <w:rPr>
          <w:rStyle w:val="FootnoteReference"/>
        </w:rPr>
        <w:footnoteRef/>
      </w:r>
      <w:r>
        <w:t xml:space="preserve"> Place name: Ashkenaz. Place-name meaning: Ashkenaz — a fire that spreads. Source form: Ashkenaz. Greek form: ᾿Ασχανὰζ.</w:t>
      </w:r>
    </w:p>
  </w:footnote>
  <w:footnote w:id="218">
    <w:p>
      <w:pPr>
        <w:pStyle w:val="FootnoteText"/>
      </w:pPr>
      <w:r>
        <w:rPr>
          <w:rStyle w:val="FootnoteReference"/>
        </w:rPr>
        <w:footnoteRef/>
      </w:r>
      <w:r>
        <w:t xml:space="preserve"> Personal name: Riphath. Personal-name meaning: Riphath — remedy; medicine; release; pardon. Source form: Riphath.</w:t>
      </w:r>
    </w:p>
  </w:footnote>
  <w:footnote w:id="219">
    <w:p>
      <w:pPr>
        <w:pStyle w:val="FootnoteText"/>
      </w:pPr>
      <w:r>
        <w:rPr>
          <w:rStyle w:val="FootnoteReference"/>
        </w:rPr>
        <w:footnoteRef/>
      </w:r>
      <w:r>
        <w:t xml:space="preserve"> Personal name: Togarmah. Personal-name meaning: Togarmah — which is all bone. Source form: Togarmah.</w:t>
      </w:r>
    </w:p>
  </w:footnote>
  <w:footnote w:id="220">
    <w:p>
      <w:pPr>
        <w:pStyle w:val="FootnoteText"/>
      </w:pPr>
      <w:r>
        <w:rPr>
          <w:rStyle w:val="FootnoteReference"/>
        </w:rPr>
        <w:footnoteRef/>
      </w:r>
      <w:r>
        <w:t xml:space="preserve"> Transliterated proper noun: Tarshish. Standard English equivalent: Tarshish. Source form: Tarshish. Greek form: Θάρσεις. Name meaning: contemplation; examination.</w:t>
      </w:r>
    </w:p>
  </w:footnote>
  <w:footnote w:id="221">
    <w:p>
      <w:pPr>
        <w:pStyle w:val="FootnoteText"/>
      </w:pPr>
      <w:r>
        <w:rPr>
          <w:rStyle w:val="FootnoteReference"/>
        </w:rPr>
        <w:footnoteRef/>
      </w:r>
      <w:r>
        <w:t xml:space="preserve"> People-name: Kittim. People-name meaning: Kittim — breaking; bruising small; gold; coloring. Source form: Kittim.</w:t>
      </w:r>
    </w:p>
  </w:footnote>
  <w:footnote w:id="222">
    <w:p>
      <w:pPr>
        <w:pStyle w:val="FootnoteText"/>
      </w:pPr>
      <w:r>
        <w:rPr>
          <w:rStyle w:val="FootnoteReference"/>
        </w:rPr>
        <w:footnoteRef/>
      </w:r>
      <w:r>
        <w:t xml:space="preserve"> People-name: Dodanim. People-name meaning: Dodanim — beloved. Source form: Dodanim.</w:t>
      </w:r>
    </w:p>
  </w:footnote>
  <w:footnote w:id="223">
    <w:p>
      <w:pPr>
        <w:pStyle w:val="FootnoteText"/>
      </w:pPr>
      <w:r>
        <w:rPr>
          <w:rStyle w:val="FootnoteReference"/>
        </w:rPr>
        <w:footnoteRef/>
      </w:r>
      <w:r>
        <w:t xml:space="preserve"> Cross-references for "Kittim": Num 24:24; Isa 23:1.</w:t>
      </w:r>
    </w:p>
  </w:footnote>
  <w:footnote w:id="224">
    <w:p>
      <w:pPr>
        <w:pStyle w:val="FootnoteText"/>
      </w:pPr>
      <w:r>
        <w:rPr>
          <w:rStyle w:val="FootnoteReference"/>
        </w:rPr>
        <w:footnoteRef/>
      </w:r>
      <w:r>
        <w:t xml:space="preserve"> Transliterated proper noun: Cush. Standard English equivalent: Cush. Source form: Cush. Greek form: Χοὺς. Name meaning: Ethiopians; blackness.</w:t>
      </w:r>
    </w:p>
  </w:footnote>
  <w:footnote w:id="225">
    <w:p>
      <w:pPr>
        <w:pStyle w:val="FootnoteText"/>
      </w:pPr>
      <w:r>
        <w:rPr>
          <w:rStyle w:val="FootnoteReference"/>
        </w:rPr>
        <w:footnoteRef/>
      </w:r>
      <w:r>
        <w:t xml:space="preserve"> Transliterated proper noun: Mizraim. Standard English equivalent: Mizraim. Source form: Mizraim. Greek form: Μερσαΐν. Name meaning: tribulations.</w:t>
      </w:r>
    </w:p>
  </w:footnote>
  <w:footnote w:id="226">
    <w:p>
      <w:pPr>
        <w:pStyle w:val="FootnoteText"/>
      </w:pPr>
      <w:r>
        <w:rPr>
          <w:rStyle w:val="FootnoteReference"/>
        </w:rPr>
        <w:footnoteRef/>
      </w:r>
      <w:r>
        <w:t xml:space="preserve"> Cross-references for "Cush": Isa 11:11.</w:t>
      </w:r>
    </w:p>
  </w:footnote>
  <w:footnote w:id="227">
    <w:p>
      <w:pPr>
        <w:pStyle w:val="FootnoteText"/>
      </w:pPr>
      <w:r>
        <w:rPr>
          <w:rStyle w:val="FootnoteReference"/>
        </w:rPr>
        <w:footnoteRef/>
      </w:r>
      <w:r>
        <w:t xml:space="preserve"> Transliterated proper noun: Sheba. Standard English equivalent: Sheba. Source form: Sheba. Greek form: Σαβὰ. Name meaning: captivity; old man; repose; oath.</w:t>
      </w:r>
    </w:p>
  </w:footnote>
  <w:footnote w:id="228">
    <w:p>
      <w:pPr>
        <w:pStyle w:val="FootnoteText"/>
      </w:pPr>
      <w:r>
        <w:rPr>
          <w:rStyle w:val="FootnoteReference"/>
        </w:rPr>
        <w:footnoteRef/>
      </w:r>
      <w:r>
        <w:t xml:space="preserve"> Cross-references for "Havilah": Gen 2:11.</w:t>
      </w:r>
    </w:p>
  </w:footnote>
  <w:footnote w:id="229">
    <w:p>
      <w:pPr>
        <w:pStyle w:val="FootnoteText"/>
      </w:pPr>
      <w:r>
        <w:rPr>
          <w:rStyle w:val="FootnoteReference"/>
        </w:rPr>
        <w:footnoteRef/>
      </w:r>
      <w:r>
        <w:t xml:space="preserve"> Personal name: Sabtah. Personal-name meaning: Sabtah — a going about or circuiting; old age. Source form: Sabtah.</w:t>
      </w:r>
    </w:p>
  </w:footnote>
  <w:footnote w:id="230">
    <w:p>
      <w:pPr>
        <w:pStyle w:val="FootnoteText"/>
      </w:pPr>
      <w:r>
        <w:rPr>
          <w:rStyle w:val="FootnoteReference"/>
        </w:rPr>
        <w:footnoteRef/>
      </w:r>
      <w:r>
        <w:t xml:space="preserve"> Transliterated proper noun: Raamah. Standard English equivalent: Raamah. Source form: Raamah. Greek form: Ρεγμὰ. Name meaning: greatness; thunder; some sort of evil.</w:t>
      </w:r>
    </w:p>
  </w:footnote>
  <w:footnote w:id="231">
    <w:p>
      <w:pPr>
        <w:pStyle w:val="FootnoteText"/>
      </w:pPr>
      <w:r>
        <w:rPr>
          <w:rStyle w:val="FootnoteReference"/>
        </w:rPr>
        <w:footnoteRef/>
      </w:r>
      <w:r>
        <w:t xml:space="preserve"> Transliterated proper noun: Sabtechah. Standard English equivalent: Sabtechah. Source form: Sabtechah. Greek form: Σαβαθὰ. Name meaning: that surrounds; that causes wounding.</w:t>
      </w:r>
    </w:p>
  </w:footnote>
  <w:footnote w:id="232">
    <w:p>
      <w:pPr>
        <w:pStyle w:val="FootnoteText"/>
      </w:pPr>
      <w:r>
        <w:rPr>
          <w:rStyle w:val="FootnoteReference"/>
        </w:rPr>
        <w:footnoteRef/>
      </w:r>
      <w:r>
        <w:t xml:space="preserve"> Transliterated proper noun: Dedan. Standard English equivalent: Dedan. Source form: Dedan. Greek form: Δαδάν. Name meaning: their breasts; friendship; a judge.</w:t>
      </w:r>
    </w:p>
  </w:footnote>
  <w:footnote w:id="233">
    <w:p>
      <w:pPr>
        <w:pStyle w:val="FootnoteText"/>
      </w:pPr>
      <w:r>
        <w:rPr>
          <w:rStyle w:val="FootnoteReference"/>
        </w:rPr>
        <w:footnoteRef/>
      </w:r>
      <w:r>
        <w:t xml:space="preserve"> Transliterated proper noun: Nimrod. Standard English equivalent: Nimrod. Source form: Nimrod. Greek form: Νεβρώδ. Name meaning: rebellion; probably from an Assyrian source word.</w:t>
      </w:r>
    </w:p>
  </w:footnote>
  <w:footnote w:id="234">
    <w:p>
      <w:pPr>
        <w:pStyle w:val="FootnoteText"/>
      </w:pPr>
      <w:r>
        <w:rPr>
          <w:rStyle w:val="FootnoteReference"/>
        </w:rPr>
        <w:footnoteRef/>
      </w:r>
      <w:r>
        <w:t xml:space="preserve"> Cross-references for "Nimrod": Mic 5:6.</w:t>
      </w:r>
    </w:p>
  </w:footnote>
  <w:footnote w:id="235">
    <w:p>
      <w:pPr>
        <w:pStyle w:val="FootnoteText"/>
      </w:pPr>
      <w:r>
        <w:rPr>
          <w:rStyle w:val="FootnoteReference"/>
        </w:rPr>
        <w:footnoteRef/>
      </w:r>
      <w:r>
        <w:t xml:space="preserve"> Cross-references for "before the Lord": Gen 6:11; Gen 13:13.</w:t>
      </w:r>
    </w:p>
  </w:footnote>
  <w:footnote w:id="236">
    <w:p>
      <w:pPr>
        <w:pStyle w:val="FootnoteText"/>
      </w:pPr>
      <w:r>
        <w:rPr>
          <w:rStyle w:val="FootnoteReference"/>
        </w:rPr>
        <w:footnoteRef/>
      </w:r>
      <w:r>
        <w:t xml:space="preserve"> Place name: Babylon. Place-name meaning: Babylon — confusion; mixture. Source form: Babylon. Greek form: Βαβυλὼν.</w:t>
      </w:r>
    </w:p>
  </w:footnote>
  <w:footnote w:id="237">
    <w:p>
      <w:pPr>
        <w:pStyle w:val="FootnoteText"/>
      </w:pPr>
      <w:r>
        <w:rPr>
          <w:rStyle w:val="FootnoteReference"/>
        </w:rPr>
        <w:footnoteRef/>
      </w:r>
      <w:r>
        <w:t xml:space="preserve"> Place name: Erech. Place-name meaning: Erech — length; health. Source form: Erech. Greek form: ᾿Ορὲχ.</w:t>
      </w:r>
    </w:p>
  </w:footnote>
  <w:footnote w:id="238">
    <w:p>
      <w:pPr>
        <w:pStyle w:val="FootnoteText"/>
      </w:pPr>
      <w:r>
        <w:rPr>
          <w:rStyle w:val="FootnoteReference"/>
        </w:rPr>
        <w:footnoteRef/>
      </w:r>
      <w:r>
        <w:t xml:space="preserve"> Place name: Accad. Place-name meaning: Accad — a vessel; pitcher; spark. Source form: Accad. Greek form: ᾿Αρχὰδ.</w:t>
      </w:r>
    </w:p>
  </w:footnote>
  <w:footnote w:id="239">
    <w:p>
      <w:pPr>
        <w:pStyle w:val="FootnoteText"/>
      </w:pPr>
      <w:r>
        <w:rPr>
          <w:rStyle w:val="FootnoteReference"/>
        </w:rPr>
        <w:footnoteRef/>
      </w:r>
      <w:r>
        <w:t xml:space="preserve"> Place name: Calneh. Place-name meaning: Calneh — our consummation. Source form: Calneh. Greek form: Χαλάννη.</w:t>
      </w:r>
    </w:p>
  </w:footnote>
  <w:footnote w:id="240">
    <w:p>
      <w:pPr>
        <w:pStyle w:val="FootnoteText"/>
      </w:pPr>
      <w:r>
        <w:rPr>
          <w:rStyle w:val="FootnoteReference"/>
        </w:rPr>
        <w:footnoteRef/>
      </w:r>
      <w:r>
        <w:t xml:space="preserve"> Place name: Shinar. Place-name meaning: Shinar — watch of him that sleeps. Source form: Shinar. Greek form: Σεναάρ.</w:t>
      </w:r>
    </w:p>
  </w:footnote>
  <w:footnote w:id="241">
    <w:p>
      <w:pPr>
        <w:pStyle w:val="FootnoteText"/>
      </w:pPr>
      <w:r>
        <w:rPr>
          <w:rStyle w:val="FootnoteReference"/>
        </w:rPr>
        <w:footnoteRef/>
      </w:r>
      <w:r>
        <w:t xml:space="preserve"> Cross-references for "Calneh": Isa 10:9; Amos 6:2.</w:t>
      </w:r>
    </w:p>
  </w:footnote>
  <w:footnote w:id="242">
    <w:p>
      <w:pPr>
        <w:pStyle w:val="FootnoteText"/>
      </w:pPr>
      <w:r>
        <w:rPr>
          <w:rStyle w:val="FootnoteReference"/>
        </w:rPr>
        <w:footnoteRef/>
      </w:r>
      <w:r>
        <w:t xml:space="preserve"> Transliterated proper noun: Asshur. Standard English equivalent: Asshur. Source form: Asshur. Greek form: ᾿Ασσοὺρ. Name meaning: happy; walking/upright.</w:t>
      </w:r>
    </w:p>
  </w:footnote>
  <w:footnote w:id="243">
    <w:p>
      <w:pPr>
        <w:pStyle w:val="FootnoteText"/>
      </w:pPr>
      <w:r>
        <w:rPr>
          <w:rStyle w:val="FootnoteReference"/>
        </w:rPr>
        <w:footnoteRef/>
      </w:r>
      <w:r>
        <w:t xml:space="preserve"> Place name: Nineveh. Place-name meaning: Nineveh — handsome; agreeable. Source form: Nineveh. Greek form: Νινευΐ.</w:t>
      </w:r>
    </w:p>
  </w:footnote>
  <w:footnote w:id="244">
    <w:p>
      <w:pPr>
        <w:pStyle w:val="FootnoteText"/>
      </w:pPr>
      <w:r>
        <w:rPr>
          <w:rStyle w:val="FootnoteReference"/>
        </w:rPr>
        <w:footnoteRef/>
      </w:r>
      <w:r>
        <w:t xml:space="preserve"> Place name: Rehoboth. Place-name meaning: Rehoboth — spaces; places. Source form: Rehoboth. Greek form: Ροωβὼθ.</w:t>
      </w:r>
    </w:p>
  </w:footnote>
  <w:footnote w:id="245">
    <w:p>
      <w:pPr>
        <w:pStyle w:val="FootnoteText"/>
      </w:pPr>
      <w:r>
        <w:rPr>
          <w:rStyle w:val="FootnoteReference"/>
        </w:rPr>
        <w:footnoteRef/>
      </w:r>
      <w:r>
        <w:t xml:space="preserve"> Place name: Calah. Place-name meaning: Calah — favorable; opportunity. Source form: Calah. Greek form: Χαλὰχ.</w:t>
      </w:r>
    </w:p>
  </w:footnote>
  <w:footnote w:id="246">
    <w:p>
      <w:pPr>
        <w:pStyle w:val="FootnoteText"/>
      </w:pPr>
      <w:r>
        <w:rPr>
          <w:rStyle w:val="FootnoteReference"/>
        </w:rPr>
        <w:footnoteRef/>
      </w:r>
      <w:r>
        <w:t xml:space="preserve"> Cross-references for "Asshur": Num 24:22; Num 24:24.</w:t>
      </w:r>
    </w:p>
  </w:footnote>
  <w:footnote w:id="247">
    <w:p>
      <w:pPr>
        <w:pStyle w:val="FootnoteText"/>
      </w:pPr>
      <w:r>
        <w:rPr>
          <w:rStyle w:val="FootnoteReference"/>
        </w:rPr>
        <w:footnoteRef/>
      </w:r>
      <w:r>
        <w:t xml:space="preserve"> Place name: Resen. Place-name meaning: Resen — bridle; restraint. Source form: Resen. Greek form: μέσον.</w:t>
      </w:r>
    </w:p>
  </w:footnote>
  <w:footnote w:id="248">
    <w:p>
      <w:pPr>
        <w:pStyle w:val="FootnoteText"/>
      </w:pPr>
      <w:r>
        <w:rPr>
          <w:rStyle w:val="FootnoteReference"/>
        </w:rPr>
        <w:footnoteRef/>
      </w:r>
      <w:r>
        <w:t xml:space="preserve"> People-name: Ludim. People-name meaning: Ludim — descendants of Lud; strife. Source form: Ludim.</w:t>
      </w:r>
    </w:p>
  </w:footnote>
  <w:footnote w:id="249">
    <w:p>
      <w:pPr>
        <w:pStyle w:val="FootnoteText"/>
      </w:pPr>
      <w:r>
        <w:rPr>
          <w:rStyle w:val="FootnoteReference"/>
        </w:rPr>
        <w:footnoteRef/>
      </w:r>
      <w:r>
        <w:t xml:space="preserve"> People-name: Anamim. People-name meaning: Anamim — answers; afflictions. Source form: Anamim.</w:t>
      </w:r>
    </w:p>
  </w:footnote>
  <w:footnote w:id="250">
    <w:p>
      <w:pPr>
        <w:pStyle w:val="FootnoteText"/>
      </w:pPr>
      <w:r>
        <w:rPr>
          <w:rStyle w:val="FootnoteReference"/>
        </w:rPr>
        <w:footnoteRef/>
      </w:r>
      <w:r>
        <w:t xml:space="preserve"> People-name: Lehabim. People-name meaning: Lehabim — flames; flaming ones. Source form: Lehabim.</w:t>
      </w:r>
    </w:p>
  </w:footnote>
  <w:footnote w:id="251">
    <w:p>
      <w:pPr>
        <w:pStyle w:val="FootnoteText"/>
      </w:pPr>
      <w:r>
        <w:rPr>
          <w:rStyle w:val="FootnoteReference"/>
        </w:rPr>
        <w:footnoteRef/>
      </w:r>
      <w:r>
        <w:t xml:space="preserve"> People-name: Naphtuhim. People-name meaning: Naphtuhim — openings; opened ones. Source form: Naphtuhim.</w:t>
      </w:r>
    </w:p>
  </w:footnote>
  <w:footnote w:id="252">
    <w:p>
      <w:pPr>
        <w:pStyle w:val="FootnoteText"/>
      </w:pPr>
      <w:r>
        <w:rPr>
          <w:rStyle w:val="FootnoteReference"/>
        </w:rPr>
        <w:footnoteRef/>
      </w:r>
      <w:r>
        <w:t xml:space="preserve"> People-name: Pathrusim. People-name meaning: Pathrusim — people of Pathros; southern Egyptians. Source form: Pathrusim.</w:t>
      </w:r>
    </w:p>
  </w:footnote>
  <w:footnote w:id="253">
    <w:p>
      <w:pPr>
        <w:pStyle w:val="FootnoteText"/>
      </w:pPr>
      <w:r>
        <w:rPr>
          <w:rStyle w:val="FootnoteReference"/>
        </w:rPr>
        <w:footnoteRef/>
      </w:r>
      <w:r>
        <w:t xml:space="preserve"> Cross-references for "Ludim": 1Chr 1:11-12; Jer 46:9.</w:t>
      </w:r>
    </w:p>
  </w:footnote>
  <w:footnote w:id="254">
    <w:p>
      <w:pPr>
        <w:pStyle w:val="FootnoteText"/>
      </w:pPr>
      <w:r>
        <w:rPr>
          <w:rStyle w:val="FootnoteReference"/>
        </w:rPr>
        <w:footnoteRef/>
      </w:r>
      <w:r>
        <w:t xml:space="preserve"> People-name: Casluhim. People-name meaning: Casluhim — hopes of life. Source form: Casluhim.</w:t>
      </w:r>
    </w:p>
  </w:footnote>
  <w:footnote w:id="255">
    <w:p>
      <w:pPr>
        <w:pStyle w:val="FootnoteText"/>
      </w:pPr>
      <w:r>
        <w:rPr>
          <w:rStyle w:val="FootnoteReference"/>
        </w:rPr>
        <w:footnoteRef/>
      </w:r>
      <w:r>
        <w:t xml:space="preserve"> People-name: Philistines. People-name meaning: Philistines — those who dwell in villages. Source form: Philistines.</w:t>
      </w:r>
    </w:p>
  </w:footnote>
  <w:footnote w:id="256">
    <w:p>
      <w:pPr>
        <w:pStyle w:val="FootnoteText"/>
      </w:pPr>
      <w:r>
        <w:rPr>
          <w:rStyle w:val="FootnoteReference"/>
        </w:rPr>
        <w:footnoteRef/>
      </w:r>
      <w:r>
        <w:t xml:space="preserve"> People-name: Caphtorim. People-name meaning: Caphtorim — people of Caphtor; crown/island people. Source form: Caphtorim.</w:t>
      </w:r>
    </w:p>
  </w:footnote>
  <w:footnote w:id="257">
    <w:p>
      <w:pPr>
        <w:pStyle w:val="FootnoteText"/>
      </w:pPr>
      <w:r>
        <w:rPr>
          <w:rStyle w:val="FootnoteReference"/>
        </w:rPr>
        <w:footnoteRef/>
      </w:r>
      <w:r>
        <w:t xml:space="preserve"> Cross-references for "Caphtorim": Deut 2:23; Jer 47:4.</w:t>
      </w:r>
    </w:p>
  </w:footnote>
  <w:footnote w:id="258">
    <w:p>
      <w:pPr>
        <w:pStyle w:val="FootnoteText"/>
      </w:pPr>
      <w:r>
        <w:rPr>
          <w:rStyle w:val="FootnoteReference"/>
        </w:rPr>
        <w:footnoteRef/>
      </w:r>
      <w:r>
        <w:t xml:space="preserve"> Cross-references for "Canaan": 1Chr 1:13.</w:t>
      </w:r>
    </w:p>
  </w:footnote>
  <w:footnote w:id="259">
    <w:p>
      <w:pPr>
        <w:pStyle w:val="FootnoteText"/>
      </w:pPr>
      <w:r>
        <w:rPr>
          <w:rStyle w:val="FootnoteReference"/>
        </w:rPr>
        <w:footnoteRef/>
      </w:r>
      <w:r>
        <w:t xml:space="preserve"> Transliterated proper noun: Sidon. Standard English equivalent: Sidon. Source form: Sidon. Greek form: Σιδῶνα. Name meaning: hunting; fishing; venison.</w:t>
      </w:r>
    </w:p>
  </w:footnote>
  <w:footnote w:id="260">
    <w:p>
      <w:pPr>
        <w:pStyle w:val="FootnoteText"/>
      </w:pPr>
      <w:r>
        <w:rPr>
          <w:rStyle w:val="FootnoteReference"/>
        </w:rPr>
        <w:footnoteRef/>
      </w:r>
      <w:r>
        <w:t xml:space="preserve"> Transliterated proper noun: Jebusite. Standard English equivalent: Jebusites. Source form: Jebusite. Greek form: ᾿Ιεβουσαῖον. Name meaning: treading under foot; manger.</w:t>
      </w:r>
    </w:p>
  </w:footnote>
  <w:footnote w:id="261">
    <w:p>
      <w:pPr>
        <w:pStyle w:val="FootnoteText"/>
      </w:pPr>
      <w:r>
        <w:rPr>
          <w:rStyle w:val="FootnoteReference"/>
        </w:rPr>
        <w:footnoteRef/>
      </w:r>
      <w:r>
        <w:t xml:space="preserve"> People-name: Amorite. People-name meaning: Amorite — bitter; a rebel; a babbler. Source form: Amorite.</w:t>
      </w:r>
    </w:p>
  </w:footnote>
  <w:footnote w:id="262">
    <w:p>
      <w:pPr>
        <w:pStyle w:val="FootnoteText"/>
      </w:pPr>
      <w:r>
        <w:rPr>
          <w:rStyle w:val="FootnoteReference"/>
        </w:rPr>
        <w:footnoteRef/>
      </w:r>
      <w:r>
        <w:t xml:space="preserve"> People-name: Gergesite. People-name meaning: Gergesite — who arrives from pilgrimage. Source form: Gergesite.</w:t>
      </w:r>
    </w:p>
  </w:footnote>
  <w:footnote w:id="263">
    <w:p>
      <w:pPr>
        <w:pStyle w:val="FootnoteText"/>
      </w:pPr>
      <w:r>
        <w:rPr>
          <w:rStyle w:val="FootnoteReference"/>
        </w:rPr>
        <w:footnoteRef/>
      </w:r>
      <w:r>
        <w:t xml:space="preserve"> Cross-references for "Jebusite": Judg 1:21; 2Sam 24:18.</w:t>
      </w:r>
    </w:p>
  </w:footnote>
  <w:footnote w:id="264">
    <w:p>
      <w:pPr>
        <w:pStyle w:val="FootnoteText"/>
      </w:pPr>
      <w:r>
        <w:rPr>
          <w:rStyle w:val="FootnoteReference"/>
        </w:rPr>
        <w:footnoteRef/>
      </w:r>
      <w:r>
        <w:t xml:space="preserve"> Personal name: Amittai. Personal-name meaning: Amittai — true; fearing. Source form: Amittai.</w:t>
      </w:r>
    </w:p>
  </w:footnote>
  <w:footnote w:id="265">
    <w:p>
      <w:pPr>
        <w:pStyle w:val="FootnoteText"/>
      </w:pPr>
      <w:r>
        <w:rPr>
          <w:rStyle w:val="FootnoteReference"/>
        </w:rPr>
        <w:footnoteRef/>
      </w:r>
      <w:r>
        <w:t xml:space="preserve"> People-name: Canaanites. People-name meaning: Canaanites — Lowland; humbled; merchant-land. Source form: Canaanites.</w:t>
      </w:r>
    </w:p>
  </w:footnote>
  <w:footnote w:id="266">
    <w:p>
      <w:pPr>
        <w:pStyle w:val="FootnoteText"/>
      </w:pPr>
      <w:r>
        <w:rPr>
          <w:rStyle w:val="FootnoteReference"/>
        </w:rPr>
        <w:footnoteRef/>
      </w:r>
      <w:r>
        <w:t xml:space="preserve"> Place name: Gerar. Place-name meaning: Gerar — pilgrimage, combat; dispute. Source form: Gerar. Greek form: Γεραρὰ.</w:t>
      </w:r>
    </w:p>
  </w:footnote>
  <w:footnote w:id="267">
    <w:p>
      <w:pPr>
        <w:pStyle w:val="FootnoteText"/>
      </w:pPr>
      <w:r>
        <w:rPr>
          <w:rStyle w:val="FootnoteReference"/>
        </w:rPr>
        <w:footnoteRef/>
      </w:r>
      <w:r>
        <w:t xml:space="preserve"> Place name: Gaza. Place-name meaning: Gaza — strong; a goat. Source form: Gaza. Greek form: Γαζάν.</w:t>
      </w:r>
    </w:p>
  </w:footnote>
  <w:footnote w:id="268">
    <w:p>
      <w:pPr>
        <w:pStyle w:val="FootnoteText"/>
      </w:pPr>
      <w:r>
        <w:rPr>
          <w:rStyle w:val="FootnoteReference"/>
        </w:rPr>
        <w:footnoteRef/>
      </w:r>
      <w:r>
        <w:t xml:space="preserve"> Place name: Sodom. Place-name meaning: Sodom — their secret; their cement. Source form: Sodom. Greek form: Σοδόμων.</w:t>
      </w:r>
    </w:p>
  </w:footnote>
  <w:footnote w:id="269">
    <w:p>
      <w:pPr>
        <w:pStyle w:val="FootnoteText"/>
      </w:pPr>
      <w:r>
        <w:rPr>
          <w:rStyle w:val="FootnoteReference"/>
        </w:rPr>
        <w:footnoteRef/>
      </w:r>
      <w:r>
        <w:t xml:space="preserve"> Place name: Gomorrah. Place-name meaning: Gomorrah — rebellious people. Source form: Gomorrah. Greek form: Γομόρρας.</w:t>
      </w:r>
    </w:p>
  </w:footnote>
  <w:footnote w:id="270">
    <w:p>
      <w:pPr>
        <w:pStyle w:val="FootnoteText"/>
      </w:pPr>
      <w:r>
        <w:rPr>
          <w:rStyle w:val="FootnoteReference"/>
        </w:rPr>
        <w:footnoteRef/>
      </w:r>
      <w:r>
        <w:t xml:space="preserve"> Place name: Admah. Place-name meaning: Admah — earthy; red; bloody. Source form: Admah. Greek form: ᾿Αδαμὰ.</w:t>
      </w:r>
    </w:p>
  </w:footnote>
  <w:footnote w:id="271">
    <w:p>
      <w:pPr>
        <w:pStyle w:val="FootnoteText"/>
      </w:pPr>
      <w:r>
        <w:rPr>
          <w:rStyle w:val="FootnoteReference"/>
        </w:rPr>
        <w:footnoteRef/>
      </w:r>
      <w:r>
        <w:t xml:space="preserve"> Place name: Zeboiim. Place-name meaning: Zeboim — deer; goats. Standard English equivalent: Zeboim. Source form: Zeboiim. Greek form: Σεβωΐμ.</w:t>
      </w:r>
    </w:p>
  </w:footnote>
  <w:footnote w:id="272">
    <w:p>
      <w:pPr>
        <w:pStyle w:val="FootnoteText"/>
      </w:pPr>
      <w:r>
        <w:rPr>
          <w:rStyle w:val="FootnoteReference"/>
        </w:rPr>
        <w:footnoteRef/>
      </w:r>
      <w:r>
        <w:t xml:space="preserve"> Place name: Lasha. Place-name meaning: Lasha — to call; to anoint. Source form: Lasha. Greek form: Δασά.</w:t>
      </w:r>
    </w:p>
  </w:footnote>
  <w:footnote w:id="273">
    <w:p>
      <w:pPr>
        <w:pStyle w:val="FootnoteText"/>
      </w:pPr>
      <w:r>
        <w:rPr>
          <w:rStyle w:val="FootnoteReference"/>
        </w:rPr>
        <w:footnoteRef/>
      </w:r>
      <w:r>
        <w:t xml:space="preserve"> Cross-references for "Gerar": Gen 20:1; Gen 26:1.</w:t>
      </w:r>
    </w:p>
  </w:footnote>
  <w:footnote w:id="274">
    <w:p>
      <w:pPr>
        <w:pStyle w:val="FootnoteText"/>
      </w:pPr>
      <w:r>
        <w:rPr>
          <w:rStyle w:val="FootnoteReference"/>
        </w:rPr>
        <w:footnoteRef/>
      </w:r>
      <w:r>
        <w:t xml:space="preserve"> Cross-references for "Shem": Gen 9:26.</w:t>
      </w:r>
    </w:p>
  </w:footnote>
  <w:footnote w:id="275">
    <w:p>
      <w:pPr>
        <w:pStyle w:val="FootnoteText"/>
      </w:pPr>
      <w:r>
        <w:rPr>
          <w:rStyle w:val="FootnoteReference"/>
        </w:rPr>
        <w:footnoteRef/>
      </w:r>
      <w:r>
        <w:t xml:space="preserve"> Transliterated proper noun: Eber. Standard English equivalent: Eber. Source form: Eber. Greek form: ῞Εβερ. Name meaning: one that passes; anger.</w:t>
      </w:r>
    </w:p>
  </w:footnote>
  <w:footnote w:id="276">
    <w:p>
      <w:pPr>
        <w:pStyle w:val="FootnoteText"/>
      </w:pPr>
      <w:r>
        <w:rPr>
          <w:rStyle w:val="FootnoteReference"/>
        </w:rPr>
        <w:footnoteRef/>
      </w:r>
      <w:r>
        <w:t xml:space="preserve"> Transliterated proper noun: Elam. Standard English equivalent: Elam. Source form: Elam. Greek form: ᾿Ελὰμ. Name meaning: a young man; a virgin; a secret.</w:t>
      </w:r>
    </w:p>
  </w:footnote>
  <w:footnote w:id="277">
    <w:p>
      <w:pPr>
        <w:pStyle w:val="FootnoteText"/>
      </w:pPr>
      <w:r>
        <w:rPr>
          <w:rStyle w:val="FootnoteReference"/>
        </w:rPr>
        <w:footnoteRef/>
      </w:r>
      <w:r>
        <w:t xml:space="preserve"> Personal name: Arphaxad. Personal-name meaning: Arphaxad — a healer; a releaser. Source form: Arphaxad.</w:t>
      </w:r>
    </w:p>
  </w:footnote>
  <w:footnote w:id="278">
    <w:p>
      <w:pPr>
        <w:pStyle w:val="FootnoteText"/>
      </w:pPr>
      <w:r>
        <w:rPr>
          <w:rStyle w:val="FootnoteReference"/>
        </w:rPr>
        <w:footnoteRef/>
      </w:r>
      <w:r>
        <w:t xml:space="preserve"> Place name: Lod. Place-name meaning: Lod — nativity; generation. Source form: Lod. Greek form: Λοὺδ.</w:t>
      </w:r>
    </w:p>
  </w:footnote>
  <w:footnote w:id="279">
    <w:p>
      <w:pPr>
        <w:pStyle w:val="FootnoteText"/>
      </w:pPr>
      <w:r>
        <w:rPr>
          <w:rStyle w:val="FootnoteReference"/>
        </w:rPr>
        <w:footnoteRef/>
      </w:r>
      <w:r>
        <w:t xml:space="preserve"> Place name: Aram. Place-name meaning: Aram — highness; highland. Source form: Aram. Greek form: ᾿Αρὰμ.</w:t>
      </w:r>
    </w:p>
  </w:footnote>
  <w:footnote w:id="280">
    <w:p>
      <w:pPr>
        <w:pStyle w:val="FootnoteText"/>
      </w:pPr>
      <w:r>
        <w:rPr>
          <w:rStyle w:val="FootnoteReference"/>
        </w:rPr>
        <w:footnoteRef/>
      </w:r>
      <w:r>
        <w:t xml:space="preserve"> Cross-references for "Elam": Gen 14:1-9; 2Kgs 15:19.</w:t>
      </w:r>
    </w:p>
  </w:footnote>
  <w:footnote w:id="281">
    <w:p>
      <w:pPr>
        <w:pStyle w:val="FootnoteText"/>
      </w:pPr>
      <w:r>
        <w:rPr>
          <w:rStyle w:val="FootnoteReference"/>
        </w:rPr>
        <w:footnoteRef/>
      </w:r>
      <w:r>
        <w:t xml:space="preserve"> Place name: Uz. Place-name meaning: Uz — counsel; words. Source form: Uz. Greek form: Οὒζ.</w:t>
      </w:r>
    </w:p>
  </w:footnote>
  <w:footnote w:id="282">
    <w:p>
      <w:pPr>
        <w:pStyle w:val="FootnoteText"/>
      </w:pPr>
      <w:r>
        <w:rPr>
          <w:rStyle w:val="FootnoteReference"/>
        </w:rPr>
        <w:footnoteRef/>
      </w:r>
      <w:r>
        <w:t xml:space="preserve"> Personal name: Hul. Personal-name meaning: Hul — circle; pain; sand. Source form: Hul.</w:t>
      </w:r>
    </w:p>
  </w:footnote>
  <w:footnote w:id="283">
    <w:p>
      <w:pPr>
        <w:pStyle w:val="FootnoteText"/>
      </w:pPr>
      <w:r>
        <w:rPr>
          <w:rStyle w:val="FootnoteReference"/>
        </w:rPr>
        <w:footnoteRef/>
      </w:r>
      <w:r>
        <w:t xml:space="preserve"> Personal name: Gether. Personal-name meaning: Gether — fear; valley of trial. Source form: Gether.</w:t>
      </w:r>
    </w:p>
  </w:footnote>
  <w:footnote w:id="284">
    <w:p>
      <w:pPr>
        <w:pStyle w:val="FootnoteText"/>
      </w:pPr>
      <w:r>
        <w:rPr>
          <w:rStyle w:val="FootnoteReference"/>
        </w:rPr>
        <w:footnoteRef/>
      </w:r>
      <w:r>
        <w:t xml:space="preserve"> Personal name: Mash. Personal-name meaning: Mash — drawn out; burden. Source form: Mash.</w:t>
      </w:r>
    </w:p>
  </w:footnote>
  <w:footnote w:id="285">
    <w:p>
      <w:pPr>
        <w:pStyle w:val="FootnoteText"/>
      </w:pPr>
      <w:r>
        <w:rPr>
          <w:rStyle w:val="FootnoteReference"/>
        </w:rPr>
        <w:footnoteRef/>
      </w:r>
      <w:r>
        <w:t xml:space="preserve"> Personal name: Shelah. Personal-name meaning: Shelah — that breaks; that unties; that undresses. Source form: Shelah.</w:t>
      </w:r>
    </w:p>
  </w:footnote>
  <w:footnote w:id="286">
    <w:p>
      <w:pPr>
        <w:pStyle w:val="FootnoteText"/>
      </w:pPr>
      <w:r>
        <w:rPr>
          <w:rStyle w:val="FootnoteReference"/>
        </w:rPr>
        <w:footnoteRef/>
      </w:r>
      <w:r>
        <w:t xml:space="preserve"> Cross-references for "Eber": Gen 10:21; 1Chr 1:19.</w:t>
      </w:r>
    </w:p>
  </w:footnote>
  <w:footnote w:id="287">
    <w:p>
      <w:pPr>
        <w:pStyle w:val="FootnoteText"/>
      </w:pPr>
      <w:r>
        <w:rPr>
          <w:rStyle w:val="FootnoteReference"/>
        </w:rPr>
        <w:footnoteRef/>
      </w:r>
      <w:r>
        <w:t xml:space="preserve"> Personal name: Peleg. Personal-name meaning: Peleg — division. Source form: Peleg.</w:t>
      </w:r>
    </w:p>
  </w:footnote>
  <w:footnote w:id="288">
    <w:p>
      <w:pPr>
        <w:pStyle w:val="FootnoteText"/>
      </w:pPr>
      <w:r>
        <w:rPr>
          <w:rStyle w:val="FootnoteReference"/>
        </w:rPr>
        <w:footnoteRef/>
      </w:r>
      <w:r>
        <w:t xml:space="preserve"> Personal name: Joktan. Personal-name meaning: Joktan — small dispute; contention; disgust. Source form: Joktan.</w:t>
      </w:r>
    </w:p>
  </w:footnote>
  <w:footnote w:id="289">
    <w:p>
      <w:pPr>
        <w:pStyle w:val="FootnoteText"/>
      </w:pPr>
      <w:r>
        <w:rPr>
          <w:rStyle w:val="FootnoteReference"/>
        </w:rPr>
        <w:footnoteRef/>
      </w:r>
      <w:r>
        <w:t xml:space="preserve"> Personal name: Almodad. Personal-name meaning: Almodad — measure of God. Source form: Almodad.</w:t>
      </w:r>
    </w:p>
  </w:footnote>
  <w:footnote w:id="290">
    <w:p>
      <w:pPr>
        <w:pStyle w:val="FootnoteText"/>
      </w:pPr>
      <w:r>
        <w:rPr>
          <w:rStyle w:val="FootnoteReference"/>
        </w:rPr>
        <w:footnoteRef/>
      </w:r>
      <w:r>
        <w:t xml:space="preserve"> Personal name: Sheleph. Personal-name meaning: Sheleph — drawn out; sheath. Source form: Sheleph.</w:t>
      </w:r>
    </w:p>
  </w:footnote>
  <w:footnote w:id="291">
    <w:p>
      <w:pPr>
        <w:pStyle w:val="FootnoteText"/>
      </w:pPr>
      <w:r>
        <w:rPr>
          <w:rStyle w:val="FootnoteReference"/>
        </w:rPr>
        <w:footnoteRef/>
      </w:r>
      <w:r>
        <w:t xml:space="preserve"> Personal name: Hazarmaveth. Personal-name meaning: Hazarmaveth — village of death. Source form: Hazarmaveth.</w:t>
      </w:r>
    </w:p>
  </w:footnote>
  <w:footnote w:id="292">
    <w:p>
      <w:pPr>
        <w:pStyle w:val="FootnoteText"/>
      </w:pPr>
      <w:r>
        <w:rPr>
          <w:rStyle w:val="FootnoteReference"/>
        </w:rPr>
        <w:footnoteRef/>
      </w:r>
      <w:r>
        <w:t xml:space="preserve"> Personal name: Jerah. Personal-name meaning: Jerah — moon; month. Source form: Jerah.</w:t>
      </w:r>
    </w:p>
  </w:footnote>
  <w:footnote w:id="293">
    <w:p>
      <w:pPr>
        <w:pStyle w:val="FootnoteText"/>
      </w:pPr>
      <w:r>
        <w:rPr>
          <w:rStyle w:val="FootnoteReference"/>
        </w:rPr>
        <w:footnoteRef/>
      </w:r>
      <w:r>
        <w:t xml:space="preserve"> Personal name: Hadoram. Personal-name meaning: Hadoram — Hadad is exalted; noble honor. Source form: Hadoram.</w:t>
      </w:r>
    </w:p>
  </w:footnote>
  <w:footnote w:id="294">
    <w:p>
      <w:pPr>
        <w:pStyle w:val="FootnoteText"/>
      </w:pPr>
      <w:r>
        <w:rPr>
          <w:rStyle w:val="FootnoteReference"/>
        </w:rPr>
        <w:footnoteRef/>
      </w:r>
      <w:r>
        <w:t xml:space="preserve"> Personal name: Uzal. Personal-name meaning: Uzal — going away; wandering. Source form: Uzal.</w:t>
      </w:r>
    </w:p>
  </w:footnote>
  <w:footnote w:id="295">
    <w:p>
      <w:pPr>
        <w:pStyle w:val="FootnoteText"/>
      </w:pPr>
      <w:r>
        <w:rPr>
          <w:rStyle w:val="FootnoteReference"/>
        </w:rPr>
        <w:footnoteRef/>
      </w:r>
      <w:r>
        <w:t xml:space="preserve"> Personal name: Diklah. Personal-name meaning: Diklah — palm grove. Source form: Diklah.</w:t>
      </w:r>
    </w:p>
  </w:footnote>
  <w:footnote w:id="296">
    <w:p>
      <w:pPr>
        <w:pStyle w:val="FootnoteText"/>
      </w:pPr>
      <w:r>
        <w:rPr>
          <w:rStyle w:val="FootnoteReference"/>
        </w:rPr>
        <w:footnoteRef/>
      </w:r>
      <w:r>
        <w:t xml:space="preserve"> Personal name: Obal. Personal-name meaning: Obal — bare; stripped. Source form: Obal.</w:t>
      </w:r>
    </w:p>
  </w:footnote>
  <w:footnote w:id="297">
    <w:p>
      <w:pPr>
        <w:pStyle w:val="FootnoteText"/>
      </w:pPr>
      <w:r>
        <w:rPr>
          <w:rStyle w:val="FootnoteReference"/>
        </w:rPr>
        <w:footnoteRef/>
      </w:r>
      <w:r>
        <w:t xml:space="preserve"> Personal name: Abimael. Personal-name meaning: Abimael — a father sent from God. Source form: Abimael.</w:t>
      </w:r>
    </w:p>
  </w:footnote>
  <w:footnote w:id="298">
    <w:p>
      <w:pPr>
        <w:pStyle w:val="FootnoteText"/>
      </w:pPr>
      <w:r>
        <w:rPr>
          <w:rStyle w:val="FootnoteReference"/>
        </w:rPr>
        <w:footnoteRef/>
      </w:r>
      <w:r>
        <w:t xml:space="preserve"> Transliterated proper noun: Ophir. Standard English equivalent: Ophir. Source form: Ophir. Greek form: Οὐφεὶρ. Name meaning: fruitful region; abundance.</w:t>
      </w:r>
    </w:p>
  </w:footnote>
  <w:footnote w:id="299">
    <w:p>
      <w:pPr>
        <w:pStyle w:val="FootnoteText"/>
      </w:pPr>
      <w:r>
        <w:rPr>
          <w:rStyle w:val="FootnoteReference"/>
        </w:rPr>
        <w:footnoteRef/>
      </w:r>
      <w:r>
        <w:t xml:space="preserve"> Personal name: Jobab. Personal-name meaning: Jobab — sorrowful, hated. Source form: Jobab.</w:t>
      </w:r>
    </w:p>
  </w:footnote>
  <w:footnote w:id="300">
    <w:p>
      <w:pPr>
        <w:pStyle w:val="FootnoteText"/>
      </w:pPr>
      <w:r>
        <w:rPr>
          <w:rStyle w:val="FootnoteReference"/>
        </w:rPr>
        <w:footnoteRef/>
      </w:r>
      <w:r>
        <w:t xml:space="preserve"> Personal name: Massa. Personal-name meaning: Massa — a burden; prophecy. Source form: Massa.</w:t>
      </w:r>
    </w:p>
  </w:footnote>
  <w:footnote w:id="301">
    <w:p>
      <w:pPr>
        <w:pStyle w:val="FootnoteText"/>
      </w:pPr>
      <w:r>
        <w:rPr>
          <w:rStyle w:val="FootnoteReference"/>
        </w:rPr>
        <w:footnoteRef/>
      </w:r>
      <w:r>
        <w:t xml:space="preserve"> Place name: Sephar. Place-name meaning: Sephar — book; scribe; number. Source form: Sephar. Greek form: Σαφηρά.</w:t>
      </w:r>
    </w:p>
  </w:footnote>
  <w:footnote w:id="302">
    <w:p>
      <w:pPr>
        <w:pStyle w:val="FootnoteText"/>
      </w:pPr>
      <w:r>
        <w:rPr>
          <w:rStyle w:val="FootnoteReference"/>
        </w:rPr>
        <w:footnoteRef/>
      </w:r>
      <w:r>
        <w:t xml:space="preserve"> Cross-references for "are the": Gen 5:29-31; Gen 10:1.</w:t>
      </w:r>
    </w:p>
  </w:footnote>
  <w:footnote w:id="303">
    <w:p>
      <w:pPr>
        <w:pStyle w:val="FootnoteText"/>
      </w:pPr>
      <w:r>
        <w:rPr>
          <w:rStyle w:val="FootnoteReference"/>
        </w:rPr>
        <w:footnoteRef/>
      </w:r>
      <w:r>
        <w:t xml:space="preserve"> Cross-references for "from the east": Gen 13:11.</w:t>
      </w:r>
    </w:p>
  </w:footnote>
  <w:footnote w:id="304">
    <w:p>
      <w:pPr>
        <w:pStyle w:val="FootnoteText"/>
      </w:pPr>
      <w:r>
        <w:rPr>
          <w:rStyle w:val="FootnoteReference"/>
        </w:rPr>
        <w:footnoteRef/>
      </w:r>
      <w:r>
        <w:t xml:space="preserve"> Cross-references for "brick": Exod 1:14; Exod 5:7-18.</w:t>
      </w:r>
    </w:p>
  </w:footnote>
  <w:footnote w:id="305">
    <w:p>
      <w:pPr>
        <w:pStyle w:val="FootnoteText"/>
      </w:pPr>
      <w:r>
        <w:rPr>
          <w:rStyle w:val="FootnoteReference"/>
        </w:rPr>
        <w:footnoteRef/>
      </w:r>
      <w:r>
        <w:t xml:space="preserve"> Cross-references for "and let": 2Sam 8:13; Ps 49:11-13.</w:t>
      </w:r>
    </w:p>
  </w:footnote>
  <w:footnote w:id="306">
    <w:p>
      <w:pPr>
        <w:pStyle w:val="FootnoteText"/>
      </w:pPr>
      <w:r>
        <w:rPr>
          <w:rStyle w:val="FootnoteReference"/>
        </w:rPr>
        <w:footnoteRef/>
      </w:r>
      <w:r>
        <w:t xml:space="preserve"> Cross-references for "Lord": Gen 11:4; Gen 11:9.</w:t>
      </w:r>
    </w:p>
  </w:footnote>
  <w:footnote w:id="307">
    <w:p>
      <w:pPr>
        <w:pStyle w:val="FootnoteText"/>
      </w:pPr>
      <w:r>
        <w:rPr>
          <w:rStyle w:val="FootnoteReference"/>
        </w:rPr>
        <w:footnoteRef/>
      </w:r>
      <w:r>
        <w:t xml:space="preserve"> Cross-references for "the face": Gen 10:25; Gen 10:32.</w:t>
      </w:r>
    </w:p>
  </w:footnote>
  <w:footnote w:id="308">
    <w:p>
      <w:pPr>
        <w:pStyle w:val="FootnoteText"/>
      </w:pPr>
      <w:r>
        <w:rPr>
          <w:rStyle w:val="FootnoteReference"/>
        </w:rPr>
        <w:footnoteRef/>
      </w:r>
      <w:r>
        <w:t xml:space="preserve"> Cross-references for "Shem": Gen 5:4-32.</w:t>
      </w:r>
    </w:p>
  </w:footnote>
  <w:footnote w:id="309">
    <w:p>
      <w:pPr>
        <w:pStyle w:val="FootnoteText"/>
      </w:pPr>
      <w:r>
        <w:rPr>
          <w:rStyle w:val="FootnoteReference"/>
        </w:rPr>
        <w:footnoteRef/>
      </w:r>
      <w:r>
        <w:t xml:space="preserve"> Cross-references for "Eber": Gen 10:21; Gen 10:25.</w:t>
      </w:r>
    </w:p>
  </w:footnote>
  <w:footnote w:id="310">
    <w:p>
      <w:pPr>
        <w:pStyle w:val="FootnoteText"/>
      </w:pPr>
      <w:r>
        <w:rPr>
          <w:rStyle w:val="FootnoteReference"/>
        </w:rPr>
        <w:footnoteRef/>
      </w:r>
      <w:r>
        <w:t xml:space="preserve"> Personal name: Reu. Personal-name meaning: Reu — his friend; his shepherd. Source form: Reu.</w:t>
      </w:r>
    </w:p>
  </w:footnote>
  <w:footnote w:id="311">
    <w:p>
      <w:pPr>
        <w:pStyle w:val="FootnoteText"/>
      </w:pPr>
      <w:r>
        <w:rPr>
          <w:rStyle w:val="FootnoteReference"/>
        </w:rPr>
        <w:footnoteRef/>
      </w:r>
      <w:r>
        <w:t xml:space="preserve"> Personal name: Serug. Personal-name meaning: Serug — branch; layer; twining. Source form: Serug.</w:t>
      </w:r>
    </w:p>
  </w:footnote>
  <w:footnote w:id="312">
    <w:p>
      <w:pPr>
        <w:pStyle w:val="FootnoteText"/>
      </w:pPr>
      <w:r>
        <w:rPr>
          <w:rStyle w:val="FootnoteReference"/>
        </w:rPr>
        <w:footnoteRef/>
      </w:r>
      <w:r>
        <w:t xml:space="preserve"> Cross-references for "Serug": Luke 3:35.</w:t>
      </w:r>
    </w:p>
  </w:footnote>
  <w:footnote w:id="313">
    <w:p>
      <w:pPr>
        <w:pStyle w:val="FootnoteText"/>
      </w:pPr>
      <w:r>
        <w:rPr>
          <w:rStyle w:val="FootnoteReference"/>
        </w:rPr>
        <w:footnoteRef/>
      </w:r>
      <w:r>
        <w:t xml:space="preserve"> Transliterated proper noun: Nahor. Standard English equivalent: Nahor. Source form: Nahor. Greek form: Ναχώρ. Name meaning: hoarse; dry; hot.</w:t>
      </w:r>
    </w:p>
  </w:footnote>
  <w:footnote w:id="314">
    <w:p>
      <w:pPr>
        <w:pStyle w:val="FootnoteText"/>
      </w:pPr>
      <w:r>
        <w:rPr>
          <w:rStyle w:val="FootnoteReference"/>
        </w:rPr>
        <w:footnoteRef/>
      </w:r>
      <w:r>
        <w:t xml:space="preserve"> Cross-references for "Nahor": Josh 24:2.</w:t>
      </w:r>
    </w:p>
  </w:footnote>
  <w:footnote w:id="315">
    <w:p>
      <w:pPr>
        <w:pStyle w:val="FootnoteText"/>
      </w:pPr>
      <w:r>
        <w:rPr>
          <w:rStyle w:val="FootnoteReference"/>
        </w:rPr>
        <w:footnoteRef/>
      </w:r>
      <w:r>
        <w:t xml:space="preserve"> Transliterated proper noun: Terah. Standard English equivalent: Terah. Source form: Terah. Greek form: Θάρα. Name meaning: to breathe; scent; blow.</w:t>
      </w:r>
    </w:p>
  </w:footnote>
  <w:footnote w:id="316">
    <w:p>
      <w:pPr>
        <w:pStyle w:val="FootnoteText"/>
      </w:pPr>
      <w:r>
        <w:rPr>
          <w:rStyle w:val="FootnoteReference"/>
        </w:rPr>
        <w:footnoteRef/>
      </w:r>
      <w:r>
        <w:t xml:space="preserve"> Cross-references for "Terah": Luke 3:34.</w:t>
      </w:r>
    </w:p>
  </w:footnote>
  <w:footnote w:id="317">
    <w:p>
      <w:pPr>
        <w:pStyle w:val="FootnoteText"/>
      </w:pPr>
      <w:r>
        <w:rPr>
          <w:rStyle w:val="FootnoteReference"/>
        </w:rPr>
        <w:footnoteRef/>
      </w:r>
      <w:r>
        <w:t xml:space="preserve"> Name meaning: Abram (Avram) — Exalted father. His original name emphasizes fatherhood before the covenant expansion of his name.</w:t>
      </w:r>
    </w:p>
  </w:footnote>
  <w:footnote w:id="318">
    <w:p>
      <w:pPr>
        <w:pStyle w:val="FootnoteText"/>
      </w:pPr>
      <w:r>
        <w:rPr>
          <w:rStyle w:val="FootnoteReference"/>
        </w:rPr>
        <w:footnoteRef/>
      </w:r>
      <w:r>
        <w:t xml:space="preserve"> Transliterated proper noun: Haran. Standard English equivalent: Haran. Source form: Haran. Greek form: Θάρα. Name meaning: mountainous country.</w:t>
      </w:r>
    </w:p>
  </w:footnote>
  <w:footnote w:id="319">
    <w:p>
      <w:pPr>
        <w:pStyle w:val="FootnoteText"/>
      </w:pPr>
      <w:r>
        <w:rPr>
          <w:rStyle w:val="FootnoteReference"/>
        </w:rPr>
        <w:footnoteRef/>
      </w:r>
      <w:r>
        <w:t xml:space="preserve"> Cross-references for "Abram": Gen 12:4-5; Gen 22:20-24.</w:t>
      </w:r>
    </w:p>
  </w:footnote>
  <w:footnote w:id="320">
    <w:p>
      <w:pPr>
        <w:pStyle w:val="FootnoteText"/>
      </w:pPr>
      <w:r>
        <w:rPr>
          <w:rStyle w:val="FootnoteReference"/>
        </w:rPr>
        <w:footnoteRef/>
      </w:r>
      <w:r>
        <w:t xml:space="preserve"> Name meaning: Lot (Lot) — Covering; veil. Abraham's nephew, rescued from captivity and later from Sodom.</w:t>
      </w:r>
    </w:p>
  </w:footnote>
  <w:footnote w:id="321">
    <w:p>
      <w:pPr>
        <w:pStyle w:val="FootnoteText"/>
      </w:pPr>
      <w:r>
        <w:rPr>
          <w:rStyle w:val="FootnoteReference"/>
        </w:rPr>
        <w:footnoteRef/>
      </w:r>
      <w:r>
        <w:t xml:space="preserve"> People-name: Chaldeans. People-name meaning: Chaldeans — as demons, or as robbers. Source form: Chaldeans.</w:t>
      </w:r>
    </w:p>
  </w:footnote>
  <w:footnote w:id="322">
    <w:p>
      <w:pPr>
        <w:pStyle w:val="FootnoteText"/>
      </w:pPr>
      <w:r>
        <w:rPr>
          <w:rStyle w:val="FootnoteReference"/>
        </w:rPr>
        <w:footnoteRef/>
      </w:r>
      <w:r>
        <w:t xml:space="preserve"> Name meaning: Sara (Sarah) — Princess; noblewoman. The LXX form appears before the covenant-renaming narrative.</w:t>
      </w:r>
    </w:p>
  </w:footnote>
  <w:footnote w:id="323">
    <w:p>
      <w:pPr>
        <w:pStyle w:val="FootnoteText"/>
      </w:pPr>
      <w:r>
        <w:rPr>
          <w:rStyle w:val="FootnoteReference"/>
        </w:rPr>
        <w:footnoteRef/>
      </w:r>
      <w:r>
        <w:t xml:space="preserve"> Personal name: Milcah. Personal-name meaning: Milcah — queen. Source form: Milcah.</w:t>
      </w:r>
    </w:p>
  </w:footnote>
  <w:footnote w:id="324">
    <w:p>
      <w:pPr>
        <w:pStyle w:val="FootnoteText"/>
      </w:pPr>
      <w:r>
        <w:rPr>
          <w:rStyle w:val="FootnoteReference"/>
        </w:rPr>
        <w:footnoteRef/>
      </w:r>
      <w:r>
        <w:t xml:space="preserve"> Cross-references for "Milcah": Gen 22:20; Gen 24:15.</w:t>
      </w:r>
    </w:p>
  </w:footnote>
  <w:footnote w:id="325">
    <w:p>
      <w:pPr>
        <w:pStyle w:val="FootnoteText"/>
      </w:pPr>
      <w:r>
        <w:rPr>
          <w:rStyle w:val="FootnoteReference"/>
        </w:rPr>
        <w:footnoteRef/>
      </w:r>
      <w:r>
        <w:t xml:space="preserve"> Cross-references for "barren": Gen 15:2-3; Gen 16:1-2.</w:t>
      </w:r>
    </w:p>
  </w:footnote>
  <w:footnote w:id="326">
    <w:p>
      <w:pPr>
        <w:pStyle w:val="FootnoteText"/>
      </w:pPr>
      <w:r>
        <w:rPr>
          <w:rStyle w:val="FootnoteReference"/>
        </w:rPr>
        <w:footnoteRef/>
      </w:r>
      <w:r>
        <w:t xml:space="preserve"> Cross-references for "took": Gen 11:26-27; Gen 12:1.</w:t>
      </w:r>
    </w:p>
  </w:footnote>
  <w:footnote w:id="327">
    <w:p>
      <w:pPr>
        <w:pStyle w:val="FootnoteText"/>
      </w:pPr>
      <w:r>
        <w:rPr>
          <w:rStyle w:val="FootnoteReference"/>
        </w:rPr>
        <w:footnoteRef/>
      </w:r>
      <w:r>
        <w:t xml:space="preserve"> Translation note: Greek states that Thara brought them out, a more explicitly causative wording than some English versions. The translation keeps that wording.</w:t>
      </w:r>
    </w:p>
  </w:footnote>
  <w:footnote w:id="328">
    <w:p>
      <w:pPr>
        <w:pStyle w:val="FootnoteText"/>
      </w:pPr>
      <w:r>
        <w:rPr>
          <w:rStyle w:val="FootnoteReference"/>
        </w:rPr>
        <w:footnoteRef/>
      </w:r>
      <w:r>
        <w:t xml:space="preserve"> Translation note: Greek stacks the departure command in three parts. Current wording preserves that sequence.</w:t>
      </w:r>
    </w:p>
  </w:footnote>
  <w:footnote w:id="329">
    <w:p>
      <w:pPr>
        <w:pStyle w:val="FootnoteText"/>
      </w:pPr>
      <w:r>
        <w:rPr>
          <w:rStyle w:val="FootnoteReference"/>
        </w:rPr>
        <w:footnoteRef/>
      </w:r>
      <w:r>
        <w:t xml:space="preserve"> Cross-references for "and Lot": Gen 11:27.</w:t>
      </w:r>
    </w:p>
  </w:footnote>
  <w:footnote w:id="330">
    <w:p>
      <w:pPr>
        <w:pStyle w:val="FootnoteText"/>
      </w:pPr>
      <w:r>
        <w:rPr>
          <w:rStyle w:val="FootnoteReference"/>
        </w:rPr>
        <w:footnoteRef/>
      </w:r>
      <w:r>
        <w:t xml:space="preserve"> Translation note: Greek says every person here. Current line keeps that wording.</w:t>
      </w:r>
    </w:p>
  </w:footnote>
  <w:footnote w:id="331">
    <w:p>
      <w:pPr>
        <w:pStyle w:val="FootnoteText"/>
      </w:pPr>
      <w:r>
        <w:rPr>
          <w:rStyle w:val="FootnoteReference"/>
        </w:rPr>
        <w:footnoteRef/>
      </w:r>
      <w:r>
        <w:t xml:space="preserve"> Cross-references for "passed": Heb 11:9.</w:t>
      </w:r>
    </w:p>
  </w:footnote>
  <w:footnote w:id="332">
    <w:p>
      <w:pPr>
        <w:pStyle w:val="FootnoteText"/>
      </w:pPr>
      <w:r>
        <w:rPr>
          <w:rStyle w:val="FootnoteReference"/>
        </w:rPr>
        <w:footnoteRef/>
      </w:r>
      <w:r>
        <w:t xml:space="preserve"> Transliterated proper noun: Shechem. Standard English equivalent: Shechem. Source form: Shechem. Greek form: Συχέμ. Name meaning: part; portion; back early in the morning.</w:t>
      </w:r>
    </w:p>
  </w:footnote>
  <w:footnote w:id="333">
    <w:p>
      <w:pPr>
        <w:pStyle w:val="FootnoteText"/>
      </w:pPr>
      <w:r>
        <w:rPr>
          <w:rStyle w:val="FootnoteReference"/>
        </w:rPr>
        <w:footnoteRef/>
      </w:r>
      <w:r>
        <w:t xml:space="preserve"> Cross-references for "appeared": Gen 17:1; Gen 18:1.</w:t>
      </w:r>
    </w:p>
  </w:footnote>
  <w:footnote w:id="334">
    <w:p>
      <w:pPr>
        <w:pStyle w:val="FootnoteText"/>
      </w:pPr>
      <w:r>
        <w:rPr>
          <w:rStyle w:val="FootnoteReference"/>
        </w:rPr>
        <w:footnoteRef/>
      </w:r>
      <w:r>
        <w:t xml:space="preserve"> Cross-references for "of Bethel": Gen 28:19; Gen 35:3.</w:t>
      </w:r>
    </w:p>
  </w:footnote>
  <w:footnote w:id="335">
    <w:p>
      <w:pPr>
        <w:pStyle w:val="FootnoteText"/>
      </w:pPr>
      <w:r>
        <w:rPr>
          <w:rStyle w:val="FootnoteReference"/>
        </w:rPr>
        <w:footnoteRef/>
      </w:r>
      <w:r>
        <w:t xml:space="preserve"> Place name: Ai. Place-name meaning: Ai — heap; ruin. Source form: Ai. Greek form: καὶ.</w:t>
      </w:r>
    </w:p>
  </w:footnote>
  <w:footnote w:id="336">
    <w:p>
      <w:pPr>
        <w:pStyle w:val="FootnoteText"/>
      </w:pPr>
      <w:r>
        <w:rPr>
          <w:rStyle w:val="FootnoteReference"/>
        </w:rPr>
        <w:footnoteRef/>
      </w:r>
      <w:r>
        <w:t xml:space="preserve"> Translation note: Greek keeps call-on-name formula here.</w:t>
      </w:r>
    </w:p>
  </w:footnote>
  <w:footnote w:id="337">
    <w:p>
      <w:pPr>
        <w:pStyle w:val="FootnoteText"/>
      </w:pPr>
      <w:r>
        <w:rPr>
          <w:rStyle w:val="FootnoteReference"/>
        </w:rPr>
        <w:footnoteRef/>
      </w:r>
      <w:r>
        <w:t xml:space="preserve"> Cross-references for "went": Gen 26:2-3; Gen 43:1.</w:t>
      </w:r>
    </w:p>
  </w:footnote>
  <w:footnote w:id="338">
    <w:p>
      <w:pPr>
        <w:pStyle w:val="FootnoteText"/>
      </w:pPr>
      <w:r>
        <w:rPr>
          <w:rStyle w:val="FootnoteReference"/>
        </w:rPr>
        <w:footnoteRef/>
      </w:r>
      <w:r>
        <w:t xml:space="preserve"> Transliterated proper noun: Egypt. Standard English equivalent: Egypt. Source form: Egypt. Greek form: Αἴγυπτον. Name meaning: that troubles or oppresses; anguish.</w:t>
      </w:r>
    </w:p>
  </w:footnote>
  <w:footnote w:id="339">
    <w:p>
      <w:pPr>
        <w:pStyle w:val="FootnoteText"/>
      </w:pPr>
      <w:r>
        <w:rPr>
          <w:rStyle w:val="FootnoteReference"/>
        </w:rPr>
        <w:footnoteRef/>
      </w:r>
      <w:r>
        <w:t xml:space="preserve"> People-name: Egyptians. People-name meaning: Egyptians — that troubles or oppresses; anguish. Source form: Egyptians.</w:t>
      </w:r>
    </w:p>
  </w:footnote>
  <w:footnote w:id="340">
    <w:p>
      <w:pPr>
        <w:pStyle w:val="FootnoteText"/>
      </w:pPr>
      <w:r>
        <w:rPr>
          <w:rStyle w:val="FootnoteReference"/>
        </w:rPr>
        <w:footnoteRef/>
      </w:r>
      <w:r>
        <w:t xml:space="preserve"> Cross-references for "will kill": Gen 20:11; Gen 26:7.</w:t>
      </w:r>
    </w:p>
  </w:footnote>
  <w:footnote w:id="341">
    <w:p>
      <w:pPr>
        <w:pStyle w:val="FootnoteText"/>
      </w:pPr>
      <w:r>
        <w:rPr>
          <w:rStyle w:val="FootnoteReference"/>
        </w:rPr>
        <w:footnoteRef/>
      </w:r>
      <w:r>
        <w:t xml:space="preserve"> Translation note: Greek closes Abram's fear scenario with preserve-you language. Current wording preserves it.</w:t>
      </w:r>
    </w:p>
  </w:footnote>
  <w:footnote w:id="342">
    <w:p>
      <w:pPr>
        <w:pStyle w:val="FootnoteText"/>
      </w:pPr>
      <w:r>
        <w:rPr>
          <w:rStyle w:val="FootnoteReference"/>
        </w:rPr>
        <w:footnoteRef/>
      </w:r>
      <w:r>
        <w:t xml:space="preserve"> Name meaning: Pharaoh (Per-aa) — Great house. Egyptian royal title used as a personal designation for Egypt's king.</w:t>
      </w:r>
    </w:p>
  </w:footnote>
  <w:footnote w:id="343">
    <w:p>
      <w:pPr>
        <w:pStyle w:val="FootnoteText"/>
      </w:pPr>
      <w:r>
        <w:rPr>
          <w:rStyle w:val="FootnoteReference"/>
        </w:rPr>
        <w:footnoteRef/>
      </w:r>
      <w:r>
        <w:t xml:space="preserve"> Cross-references for "called": Gen 4:26; Ps 65:1-2.</w:t>
      </w:r>
    </w:p>
  </w:footnote>
  <w:footnote w:id="344">
    <w:p>
      <w:pPr>
        <w:pStyle w:val="FootnoteText"/>
      </w:pPr>
      <w:r>
        <w:rPr>
          <w:rStyle w:val="FootnoteReference"/>
        </w:rPr>
        <w:footnoteRef/>
      </w:r>
      <w:r>
        <w:t xml:space="preserve"> Cross-references for "tents": Gen 4:20; Gen 25:27.</w:t>
      </w:r>
    </w:p>
  </w:footnote>
  <w:footnote w:id="345">
    <w:p>
      <w:pPr>
        <w:pStyle w:val="FootnoteText"/>
      </w:pPr>
      <w:r>
        <w:rPr>
          <w:rStyle w:val="FootnoteReference"/>
        </w:rPr>
        <w:footnoteRef/>
      </w:r>
      <w:r>
        <w:t xml:space="preserve"> People-name: Perizzites. People-name meaning: Perizzites — dwelling in villages. Source form: Perizzites.</w:t>
      </w:r>
    </w:p>
  </w:footnote>
  <w:footnote w:id="346">
    <w:p>
      <w:pPr>
        <w:pStyle w:val="FootnoteText"/>
      </w:pPr>
      <w:r>
        <w:rPr>
          <w:rStyle w:val="FootnoteReference"/>
        </w:rPr>
        <w:footnoteRef/>
      </w:r>
      <w:r>
        <w:t xml:space="preserve"> Place name: Jordan. Place-name meaning: Jordan — the river of judgment. Source form: Jordan. Greek form: ᾿Ιορδάνου.</w:t>
      </w:r>
    </w:p>
  </w:footnote>
  <w:footnote w:id="347">
    <w:p>
      <w:pPr>
        <w:pStyle w:val="FootnoteText"/>
      </w:pPr>
      <w:r>
        <w:rPr>
          <w:rStyle w:val="FootnoteReference"/>
        </w:rPr>
        <w:footnoteRef/>
      </w:r>
      <w:r>
        <w:t xml:space="preserve"> Cross-references for "the garden": Gen 2:9-10; Isa 51:3.</w:t>
      </w:r>
    </w:p>
  </w:footnote>
  <w:footnote w:id="348">
    <w:p>
      <w:pPr>
        <w:pStyle w:val="FootnoteText"/>
      </w:pPr>
      <w:r>
        <w:rPr>
          <w:rStyle w:val="FootnoteReference"/>
        </w:rPr>
        <w:footnoteRef/>
      </w:r>
      <w:r>
        <w:t xml:space="preserve"> Place name: Zoar. Place-name meaning: Zoar — little; small. Source form: Zoar. Greek form: Ζόγορα.</w:t>
      </w:r>
    </w:p>
  </w:footnote>
  <w:footnote w:id="349">
    <w:p>
      <w:pPr>
        <w:pStyle w:val="FootnoteText"/>
      </w:pPr>
      <w:r>
        <w:rPr>
          <w:rStyle w:val="FootnoteReference"/>
        </w:rPr>
        <w:footnoteRef/>
      </w:r>
      <w:r>
        <w:t xml:space="preserve"> Cross-references for "chose": Gen 19:17.</w:t>
      </w:r>
    </w:p>
  </w:footnote>
  <w:footnote w:id="350">
    <w:p>
      <w:pPr>
        <w:pStyle w:val="FootnoteText"/>
      </w:pPr>
      <w:r>
        <w:rPr>
          <w:rStyle w:val="FootnoteReference"/>
        </w:rPr>
        <w:footnoteRef/>
      </w:r>
      <w:r>
        <w:t xml:space="preserve"> Cross-references for "pitched": Gen 14:12; Gen 19:1.</w:t>
      </w:r>
    </w:p>
  </w:footnote>
  <w:footnote w:id="351">
    <w:p>
      <w:pPr>
        <w:pStyle w:val="FootnoteText"/>
      </w:pPr>
      <w:r>
        <w:rPr>
          <w:rStyle w:val="FootnoteReference"/>
        </w:rPr>
        <w:footnoteRef/>
      </w:r>
      <w:r>
        <w:t xml:space="preserve"> Translation note: Greek stacks both moral descriptors here. Current wording preserves that sharp description.</w:t>
      </w:r>
    </w:p>
  </w:footnote>
  <w:footnote w:id="352">
    <w:p>
      <w:pPr>
        <w:pStyle w:val="FootnoteText"/>
      </w:pPr>
      <w:r>
        <w:rPr>
          <w:rStyle w:val="FootnoteReference"/>
        </w:rPr>
        <w:footnoteRef/>
      </w:r>
      <w:r>
        <w:t xml:space="preserve"> Cross-references for "Lift": Gen 13:10; Isa 49:18.</w:t>
      </w:r>
    </w:p>
  </w:footnote>
  <w:footnote w:id="353">
    <w:p>
      <w:pPr>
        <w:pStyle w:val="FootnoteText"/>
      </w:pPr>
      <w:r>
        <w:rPr>
          <w:rStyle w:val="FootnoteReference"/>
        </w:rPr>
        <w:footnoteRef/>
      </w:r>
      <w:r>
        <w:t xml:space="preserve"> Transliterated proper noun: Mamre. Standard English equivalent: Mamre. Source form: Mamre. Greek form: Μαμβρῆ. Name meaning: rebellious; bitter; set with trees.</w:t>
      </w:r>
    </w:p>
  </w:footnote>
  <w:footnote w:id="354">
    <w:p>
      <w:pPr>
        <w:pStyle w:val="FootnoteText"/>
      </w:pPr>
      <w:r>
        <w:rPr>
          <w:rStyle w:val="FootnoteReference"/>
        </w:rPr>
        <w:footnoteRef/>
      </w:r>
      <w:r>
        <w:t xml:space="preserve"> Transliterated proper noun: Hebron. Standard English equivalent: Hebron. Source form: Hebron. Greek form: Χεβρώμ. Name meaning: society; friendship.</w:t>
      </w:r>
    </w:p>
  </w:footnote>
  <w:footnote w:id="355">
    <w:p>
      <w:pPr>
        <w:pStyle w:val="FootnoteText"/>
      </w:pPr>
      <w:r>
        <w:rPr>
          <w:rStyle w:val="FootnoteReference"/>
        </w:rPr>
        <w:footnoteRef/>
      </w:r>
      <w:r>
        <w:t xml:space="preserve"> Cross-references for "Mamre": Gen 14:13; Gen 18:1.</w:t>
      </w:r>
    </w:p>
  </w:footnote>
  <w:footnote w:id="356">
    <w:p>
      <w:pPr>
        <w:pStyle w:val="FootnoteText"/>
      </w:pPr>
      <w:r>
        <w:rPr>
          <w:rStyle w:val="FootnoteReference"/>
        </w:rPr>
        <w:footnoteRef/>
      </w:r>
      <w:r>
        <w:t xml:space="preserve"> Personal name: Amraphel. Personal-name meaning: Amraphel — one that speaks of secrets. Source form: Amraphel.</w:t>
      </w:r>
    </w:p>
  </w:footnote>
  <w:footnote w:id="357">
    <w:p>
      <w:pPr>
        <w:pStyle w:val="FootnoteText"/>
      </w:pPr>
      <w:r>
        <w:rPr>
          <w:rStyle w:val="FootnoteReference"/>
        </w:rPr>
        <w:footnoteRef/>
      </w:r>
      <w:r>
        <w:t xml:space="preserve"> Cross-references for "Shinar": Gen 10:10; Gen 11:2.</w:t>
      </w:r>
    </w:p>
  </w:footnote>
  <w:footnote w:id="358">
    <w:p>
      <w:pPr>
        <w:pStyle w:val="FootnoteText"/>
      </w:pPr>
      <w:r>
        <w:rPr>
          <w:rStyle w:val="FootnoteReference"/>
        </w:rPr>
        <w:footnoteRef/>
      </w:r>
      <w:r>
        <w:t xml:space="preserve"> Personal name: Arioch. Personal-name meaning: Arioch — long; great; tall. Source form: Arioch.</w:t>
      </w:r>
    </w:p>
  </w:footnote>
  <w:footnote w:id="359">
    <w:p>
      <w:pPr>
        <w:pStyle w:val="FootnoteText"/>
      </w:pPr>
      <w:r>
        <w:rPr>
          <w:rStyle w:val="FootnoteReference"/>
        </w:rPr>
        <w:footnoteRef/>
      </w:r>
      <w:r>
        <w:t xml:space="preserve"> Place name: Ellasar. Place-name meaning: Ellasar — revolting from God. Source form: Ellasar. Greek form: ᾿Ελλασάρ.</w:t>
      </w:r>
    </w:p>
  </w:footnote>
  <w:footnote w:id="360">
    <w:p>
      <w:pPr>
        <w:pStyle w:val="FootnoteText"/>
      </w:pPr>
      <w:r>
        <w:rPr>
          <w:rStyle w:val="FootnoteReference"/>
        </w:rPr>
        <w:footnoteRef/>
      </w:r>
      <w:r>
        <w:t xml:space="preserve"> Personal name: Chedorlaomer. Personal-name meaning: Chedorlaomer — roundness of a sheaf. Source form: Chedorlaomer.</w:t>
      </w:r>
    </w:p>
  </w:footnote>
  <w:footnote w:id="361">
    <w:p>
      <w:pPr>
        <w:pStyle w:val="FootnoteText"/>
      </w:pPr>
      <w:r>
        <w:rPr>
          <w:rStyle w:val="FootnoteReference"/>
        </w:rPr>
        <w:footnoteRef/>
      </w:r>
      <w:r>
        <w:t xml:space="preserve"> Personal name: Tidal. Personal-name meaning: Tidal — that breaks the yoke; knowledge of elevation. Source form: Tidal.</w:t>
      </w:r>
    </w:p>
  </w:footnote>
  <w:footnote w:id="362">
    <w:p>
      <w:pPr>
        <w:pStyle w:val="FootnoteText"/>
      </w:pPr>
      <w:r>
        <w:rPr>
          <w:rStyle w:val="FootnoteReference"/>
        </w:rPr>
        <w:footnoteRef/>
      </w:r>
      <w:r>
        <w:t xml:space="preserve"> Personal name: Bera. Personal-name meaning: Bera — a well; declaring. Source form: Bera.</w:t>
      </w:r>
    </w:p>
  </w:footnote>
  <w:footnote w:id="363">
    <w:p>
      <w:pPr>
        <w:pStyle w:val="FootnoteText"/>
      </w:pPr>
      <w:r>
        <w:rPr>
          <w:rStyle w:val="FootnoteReference"/>
        </w:rPr>
        <w:footnoteRef/>
      </w:r>
      <w:r>
        <w:t xml:space="preserve"> Cross-references for "Sodom": Gen 10:19; Gen 13:10.</w:t>
      </w:r>
    </w:p>
  </w:footnote>
  <w:footnote w:id="364">
    <w:p>
      <w:pPr>
        <w:pStyle w:val="FootnoteText"/>
      </w:pPr>
      <w:r>
        <w:rPr>
          <w:rStyle w:val="FootnoteReference"/>
        </w:rPr>
        <w:footnoteRef/>
      </w:r>
      <w:r>
        <w:t xml:space="preserve"> Personal name: Birsha. Personal-name meaning: Birsha — an evil; son who beholds. Source form: Birsha.</w:t>
      </w:r>
    </w:p>
  </w:footnote>
  <w:footnote w:id="365">
    <w:p>
      <w:pPr>
        <w:pStyle w:val="FootnoteText"/>
      </w:pPr>
      <w:r>
        <w:rPr>
          <w:rStyle w:val="FootnoteReference"/>
        </w:rPr>
        <w:footnoteRef/>
      </w:r>
      <w:r>
        <w:t xml:space="preserve"> Personal name: Shemeber. Personal-name meaning: Shemeber — name of force; name of the strong. Source form: Shemeber.</w:t>
      </w:r>
    </w:p>
  </w:footnote>
  <w:footnote w:id="366">
    <w:p>
      <w:pPr>
        <w:pStyle w:val="FootnoteText"/>
      </w:pPr>
      <w:r>
        <w:rPr>
          <w:rStyle w:val="FootnoteReference"/>
        </w:rPr>
        <w:footnoteRef/>
      </w:r>
      <w:r>
        <w:t xml:space="preserve"> Transliterated proper noun: Bela. Standard English equivalent: Bela. Source form: Bela. Greek form: Βαλλὰ. Name meaning: destruction; swallowing.</w:t>
      </w:r>
    </w:p>
  </w:footnote>
  <w:footnote w:id="367">
    <w:p>
      <w:pPr>
        <w:pStyle w:val="FootnoteText"/>
      </w:pPr>
      <w:r>
        <w:rPr>
          <w:rStyle w:val="FootnoteReference"/>
        </w:rPr>
        <w:footnoteRef/>
      </w:r>
      <w:r>
        <w:t xml:space="preserve"> Cross-references for "Salt Sea": Gen 19:24; Num 34:12.</w:t>
      </w:r>
    </w:p>
  </w:footnote>
  <w:footnote w:id="368">
    <w:p>
      <w:pPr>
        <w:pStyle w:val="FootnoteText"/>
      </w:pPr>
      <w:r>
        <w:rPr>
          <w:rStyle w:val="FootnoteReference"/>
        </w:rPr>
        <w:footnoteRef/>
      </w:r>
      <w:r>
        <w:t xml:space="preserve"> Cross-references for "they served": Gen 9:25-26.</w:t>
      </w:r>
    </w:p>
  </w:footnote>
  <w:footnote w:id="369">
    <w:p>
      <w:pPr>
        <w:pStyle w:val="FootnoteText"/>
      </w:pPr>
      <w:r>
        <w:rPr>
          <w:rStyle w:val="FootnoteReference"/>
        </w:rPr>
        <w:footnoteRef/>
      </w:r>
      <w:r>
        <w:t xml:space="preserve"> Place name: Ashtaroth. Place-name meaning: Ashtaroth — flocks; sheep; riches. Source form: Ashtaroth. Greek form: ᾿Ασταρὼθ.</w:t>
      </w:r>
    </w:p>
  </w:footnote>
  <w:footnote w:id="370">
    <w:p>
      <w:pPr>
        <w:pStyle w:val="FootnoteText"/>
      </w:pPr>
      <w:r>
        <w:rPr>
          <w:rStyle w:val="FootnoteReference"/>
        </w:rPr>
        <w:footnoteRef/>
      </w:r>
      <w:r>
        <w:t xml:space="preserve"> Place name: Karnaim. Place-name meaning: Karnaim — horns. Source form: Karnaim. Greek form: Καρναΐν.</w:t>
      </w:r>
    </w:p>
  </w:footnote>
  <w:footnote w:id="371">
    <w:p>
      <w:pPr>
        <w:pStyle w:val="FootnoteText"/>
      </w:pPr>
      <w:r>
        <w:rPr>
          <w:rStyle w:val="FootnoteReference"/>
        </w:rPr>
        <w:footnoteRef/>
      </w:r>
      <w:r>
        <w:t xml:space="preserve"> People-name: Ommaeans. People-name meaning: Ommaeans — fears; terrors; formidable; people. Source form: Ommaeans.</w:t>
      </w:r>
    </w:p>
  </w:footnote>
  <w:footnote w:id="372">
    <w:p>
      <w:pPr>
        <w:pStyle w:val="FootnoteText"/>
      </w:pPr>
      <w:r>
        <w:rPr>
          <w:rStyle w:val="FootnoteReference"/>
        </w:rPr>
        <w:footnoteRef/>
      </w:r>
      <w:r>
        <w:t xml:space="preserve"> People-name: Horites. People-name meaning: Horites — who conceives, or shows; a hill. Source form: Horites.</w:t>
      </w:r>
    </w:p>
  </w:footnote>
  <w:footnote w:id="373">
    <w:p>
      <w:pPr>
        <w:pStyle w:val="FootnoteText"/>
      </w:pPr>
      <w:r>
        <w:rPr>
          <w:rStyle w:val="FootnoteReference"/>
        </w:rPr>
        <w:footnoteRef/>
      </w:r>
      <w:r>
        <w:t xml:space="preserve"> Personal name: Seir. Personal-name meaning: Seir — hairy; goat; demon; tempest. Source form: Seir.</w:t>
      </w:r>
    </w:p>
  </w:footnote>
  <w:footnote w:id="374">
    <w:p>
      <w:pPr>
        <w:pStyle w:val="FootnoteText"/>
      </w:pPr>
      <w:r>
        <w:rPr>
          <w:rStyle w:val="FootnoteReference"/>
        </w:rPr>
        <w:footnoteRef/>
      </w:r>
      <w:r>
        <w:t xml:space="preserve"> Place name: Paran. Place-name meaning: Paran — beauty; glory; ornament. Source form: Paran. Greek form: Φαράν.</w:t>
      </w:r>
    </w:p>
  </w:footnote>
  <w:footnote w:id="375">
    <w:p>
      <w:pPr>
        <w:pStyle w:val="FootnoteText"/>
      </w:pPr>
      <w:r>
        <w:rPr>
          <w:rStyle w:val="FootnoteReference"/>
        </w:rPr>
        <w:footnoteRef/>
      </w:r>
      <w:r>
        <w:t xml:space="preserve"> Cross-references for "Horites": Gen 36:8; Gen 36:20-30.</w:t>
      </w:r>
    </w:p>
  </w:footnote>
  <w:footnote w:id="376">
    <w:p>
      <w:pPr>
        <w:pStyle w:val="FootnoteText"/>
      </w:pPr>
      <w:r>
        <w:rPr>
          <w:rStyle w:val="FootnoteReference"/>
        </w:rPr>
        <w:footnoteRef/>
      </w:r>
      <w:r>
        <w:t xml:space="preserve"> Transliterated proper noun: Kadesh. Standard English equivalent: Kadesh. Source form: Kadesh. Greek form: Κάδης. Name meaning: holiness.</w:t>
      </w:r>
    </w:p>
  </w:footnote>
  <w:footnote w:id="377">
    <w:p>
      <w:pPr>
        <w:pStyle w:val="FootnoteText"/>
      </w:pPr>
      <w:r>
        <w:rPr>
          <w:rStyle w:val="FootnoteReference"/>
        </w:rPr>
        <w:footnoteRef/>
      </w:r>
      <w:r>
        <w:t xml:space="preserve"> Personal name: Amalek. Personal-name meaning: Amalek — a people that licks up. Source form: Amalek.</w:t>
      </w:r>
    </w:p>
  </w:footnote>
  <w:footnote w:id="378">
    <w:p>
      <w:pPr>
        <w:pStyle w:val="FootnoteText"/>
      </w:pPr>
      <w:r>
        <w:rPr>
          <w:rStyle w:val="FootnoteReference"/>
        </w:rPr>
        <w:footnoteRef/>
      </w:r>
      <w:r>
        <w:t xml:space="preserve"> People-name: Amorites. People-name meaning: Amorites — bitter; a rebel; a babbler. Source form: Amorites.</w:t>
      </w:r>
    </w:p>
  </w:footnote>
  <w:footnote w:id="379">
    <w:p>
      <w:pPr>
        <w:pStyle w:val="FootnoteText"/>
      </w:pPr>
      <w:r>
        <w:rPr>
          <w:rStyle w:val="FootnoteReference"/>
        </w:rPr>
        <w:footnoteRef/>
      </w:r>
      <w:r>
        <w:t xml:space="preserve"> Cross-references for "Kadesh": Gen 16:14; Gen 20:1.</w:t>
      </w:r>
    </w:p>
  </w:footnote>
  <w:footnote w:id="380">
    <w:p>
      <w:pPr>
        <w:pStyle w:val="FootnoteText"/>
      </w:pPr>
      <w:r>
        <w:rPr>
          <w:rStyle w:val="FootnoteReference"/>
        </w:rPr>
        <w:footnoteRef/>
      </w:r>
      <w:r>
        <w:t xml:space="preserve"> Translation note: Greek names the battlefield as the salt valley. The translation keeps that wording rather than switching to the Hebrew place-name Siddim.</w:t>
      </w:r>
    </w:p>
  </w:footnote>
  <w:footnote w:id="381">
    <w:p>
      <w:pPr>
        <w:pStyle w:val="FootnoteText"/>
      </w:pPr>
      <w:r>
        <w:rPr>
          <w:rStyle w:val="FootnoteReference"/>
        </w:rPr>
        <w:footnoteRef/>
      </w:r>
      <w:r>
        <w:t xml:space="preserve"> Cross-references for "fell": Josh 8:24; Ps 83:10.</w:t>
      </w:r>
    </w:p>
  </w:footnote>
  <w:footnote w:id="382">
    <w:p>
      <w:pPr>
        <w:pStyle w:val="FootnoteText"/>
      </w:pPr>
      <w:r>
        <w:rPr>
          <w:rStyle w:val="FootnoteReference"/>
        </w:rPr>
        <w:footnoteRef/>
      </w:r>
      <w:r>
        <w:t xml:space="preserve"> Personal name: Hebrew. Personal-name meaning: Hebrew — from Eber; one from beyond. Source form: Hebrew.</w:t>
      </w:r>
    </w:p>
  </w:footnote>
  <w:footnote w:id="383">
    <w:p>
      <w:pPr>
        <w:pStyle w:val="FootnoteText"/>
      </w:pPr>
      <w:r>
        <w:rPr>
          <w:rStyle w:val="FootnoteReference"/>
        </w:rPr>
        <w:footnoteRef/>
      </w:r>
      <w:r>
        <w:t xml:space="preserve"> Cross-references for "Mamre": Gen 13:18; Gen 14:24.</w:t>
      </w:r>
    </w:p>
  </w:footnote>
  <w:footnote w:id="384">
    <w:p>
      <w:pPr>
        <w:pStyle w:val="FootnoteText"/>
      </w:pPr>
      <w:r>
        <w:rPr>
          <w:rStyle w:val="FootnoteReference"/>
        </w:rPr>
        <w:footnoteRef/>
      </w:r>
      <w:r>
        <w:t xml:space="preserve"> Personal name: Eshcol. Personal-name meaning: Eshcol — bunch of grapes. Source form: Eshcol.</w:t>
      </w:r>
    </w:p>
  </w:footnote>
  <w:footnote w:id="385">
    <w:p>
      <w:pPr>
        <w:pStyle w:val="FootnoteText"/>
      </w:pPr>
      <w:r>
        <w:rPr>
          <w:rStyle w:val="FootnoteReference"/>
        </w:rPr>
        <w:footnoteRef/>
      </w:r>
      <w:r>
        <w:t xml:space="preserve"> Personal name: Onan. Personal-name meaning: Onan — pain; force; iniquity. Source form: Onan.</w:t>
      </w:r>
    </w:p>
  </w:footnote>
  <w:footnote w:id="386">
    <w:p>
      <w:pPr>
        <w:pStyle w:val="FootnoteText"/>
      </w:pPr>
      <w:r>
        <w:rPr>
          <w:rStyle w:val="FootnoteReference"/>
        </w:rPr>
        <w:footnoteRef/>
      </w:r>
      <w:r>
        <w:t xml:space="preserve"> Cross-references for "born": Gen 12:5; Gen 12:16.</w:t>
      </w:r>
    </w:p>
  </w:footnote>
  <w:footnote w:id="387">
    <w:p>
      <w:pPr>
        <w:pStyle w:val="FootnoteText"/>
      </w:pPr>
      <w:r>
        <w:rPr>
          <w:rStyle w:val="FootnoteReference"/>
        </w:rPr>
        <w:footnoteRef/>
      </w:r>
      <w:r>
        <w:t xml:space="preserve"> Place name: Hobah. Place-name meaning: Hobah — love; friendship; secrecy. Source form: Hobah. Greek form: Χοβά.</w:t>
      </w:r>
    </w:p>
  </w:footnote>
  <w:footnote w:id="388">
    <w:p>
      <w:pPr>
        <w:pStyle w:val="FootnoteText"/>
      </w:pPr>
      <w:r>
        <w:rPr>
          <w:rStyle w:val="FootnoteReference"/>
        </w:rPr>
        <w:footnoteRef/>
      </w:r>
      <w:r>
        <w:t xml:space="preserve"> Place name: Damascus. Place-name meaning: Damascus — silent is the sackcloth weaver; traditional city-name meaning. Source form: Damascus. Greek form: Δαμασκοῦ.</w:t>
      </w:r>
    </w:p>
  </w:footnote>
  <w:footnote w:id="389">
    <w:p>
      <w:pPr>
        <w:pStyle w:val="FootnoteText"/>
      </w:pPr>
      <w:r>
        <w:rPr>
          <w:rStyle w:val="FootnoteReference"/>
        </w:rPr>
        <w:footnoteRef/>
      </w:r>
      <w:r>
        <w:t xml:space="preserve"> Cross-references for "Damascus": Deut 15:2; 1Kgs 15:18.</w:t>
      </w:r>
    </w:p>
  </w:footnote>
  <w:footnote w:id="390">
    <w:p>
      <w:pPr>
        <w:pStyle w:val="FootnoteText"/>
      </w:pPr>
      <w:r>
        <w:rPr>
          <w:rStyle w:val="FootnoteReference"/>
        </w:rPr>
        <w:footnoteRef/>
      </w:r>
      <w:r>
        <w:t xml:space="preserve"> Transliterated proper noun: Shaveh. Standard English equivalent: Shaveh. Source form: Shaveh. Greek form: Σαβύ. Name meaning: plain; level place.</w:t>
      </w:r>
    </w:p>
  </w:footnote>
  <w:footnote w:id="391">
    <w:p>
      <w:pPr>
        <w:pStyle w:val="FootnoteText"/>
      </w:pPr>
      <w:r>
        <w:rPr>
          <w:rStyle w:val="FootnoteReference"/>
        </w:rPr>
        <w:footnoteRef/>
      </w:r>
      <w:r>
        <w:t xml:space="preserve"> Name meaning: Melchizedek (Malki-Tzedek) — King of righteousness. King of Salem and priest of God Most High; later read typologically in Hebrews.</w:t>
      </w:r>
    </w:p>
  </w:footnote>
  <w:footnote w:id="392">
    <w:p>
      <w:pPr>
        <w:pStyle w:val="FootnoteText"/>
      </w:pPr>
      <w:r>
        <w:rPr>
          <w:rStyle w:val="FootnoteReference"/>
        </w:rPr>
        <w:footnoteRef/>
      </w:r>
      <w:r>
        <w:t xml:space="preserve"> Place name: Salem. Place-name meaning: Salem — complete or perfect peace. Source form: Salem. Greek form: Σαλὴμ.</w:t>
      </w:r>
    </w:p>
  </w:footnote>
  <w:footnote w:id="393">
    <w:p>
      <w:pPr>
        <w:pStyle w:val="FootnoteText"/>
      </w:pPr>
      <w:r>
        <w:rPr>
          <w:rStyle w:val="FootnoteReference"/>
        </w:rPr>
        <w:footnoteRef/>
      </w:r>
      <w:r>
        <w:t xml:space="preserve"> Hebrew divine name/title: El (</w:t>
      </w:r>
      <w:r>
        <w:rPr>
          <w:lang w:val="he-IL" w:bidi="he-IL"/>
          <w:rtl/>
        </w:rPr>
        <w:t xml:space="preserve">אֵל</w:t>
      </w:r>
      <w:r>
        <w:t xml:space="preserve">) — God; mighty one; strong one. Common English rendering: God. A basic Semitic word for God, often appearing alone or in compound divine names and titles.</w:t>
      </w:r>
    </w:p>
  </w:footnote>
  <w:footnote w:id="394">
    <w:p>
      <w:pPr>
        <w:pStyle w:val="FootnoteText"/>
      </w:pPr>
      <w:r>
        <w:rPr>
          <w:rStyle w:val="FootnoteReference"/>
        </w:rPr>
        <w:footnoteRef/>
      </w:r>
      <w:r>
        <w:t xml:space="preserve"> Hebrew divine name/title: El Elyon (</w:t>
      </w:r>
      <w:r>
        <w:rPr>
          <w:lang w:val="he-IL" w:bidi="he-IL"/>
          <w:rtl/>
        </w:rPr>
        <w:t xml:space="preserve">אֵל עֶלְיוֹן</w:t>
      </w:r>
      <w:r>
        <w:t xml:space="preserve">) — God Most High. Common English rendering: most high God; God most high. Title emphasizing God’s absolute supremacy over heaven, earth, kings, and nations.</w:t>
      </w:r>
    </w:p>
  </w:footnote>
  <w:footnote w:id="395">
    <w:p>
      <w:pPr>
        <w:pStyle w:val="FootnoteText"/>
      </w:pPr>
      <w:r>
        <w:rPr>
          <w:rStyle w:val="FootnoteReference"/>
        </w:rPr>
        <w:footnoteRef/>
      </w:r>
      <w:r>
        <w:t xml:space="preserve"> Greek LXX divine name/title: Theos Hypsistos (Θεὸς ὕψιστος) — God Most High. Common English rendering: God Most High. The LXX uses Theos Hypsistos for El Elyon, the God Most High title.</w:t>
      </w:r>
    </w:p>
  </w:footnote>
  <w:footnote w:id="396">
    <w:p>
      <w:pPr>
        <w:pStyle w:val="FootnoteText"/>
      </w:pPr>
      <w:r>
        <w:rPr>
          <w:rStyle w:val="FootnoteReference"/>
        </w:rPr>
        <w:footnoteRef/>
      </w:r>
      <w:r>
        <w:t xml:space="preserve"> Cross-references for "he blessed": Gen 27:4; Gen 27:25-29.</w:t>
      </w:r>
    </w:p>
  </w:footnote>
  <w:footnote w:id="397">
    <w:p>
      <w:pPr>
        <w:pStyle w:val="FootnoteText"/>
      </w:pPr>
      <w:r>
        <w:rPr>
          <w:rStyle w:val="FootnoteReference"/>
        </w:rPr>
        <w:footnoteRef/>
      </w:r>
      <w:r>
        <w:t xml:space="preserve"> Cross-references for "blessed": Gen 9:26; Gen 24:27.</w:t>
      </w:r>
    </w:p>
  </w:footnote>
  <w:footnote w:id="398">
    <w:p>
      <w:pPr>
        <w:pStyle w:val="FootnoteText"/>
      </w:pPr>
      <w:r>
        <w:rPr>
          <w:rStyle w:val="FootnoteReference"/>
        </w:rPr>
        <w:footnoteRef/>
      </w:r>
      <w:r>
        <w:t xml:space="preserve"> Cross-references for "fear": Gen 15:14-16; Gen 26:24.</w:t>
      </w:r>
    </w:p>
  </w:footnote>
  <w:footnote w:id="399">
    <w:p>
      <w:pPr>
        <w:pStyle w:val="FootnoteText"/>
      </w:pPr>
      <w:r>
        <w:rPr>
          <w:rStyle w:val="FootnoteReference"/>
        </w:rPr>
        <w:footnoteRef/>
      </w:r>
      <w:r>
        <w:t xml:space="preserve"> Hebrew divine name/title: Magen (</w:t>
      </w:r>
      <w:r>
        <w:rPr>
          <w:lang w:val="he-IL" w:bidi="he-IL"/>
          <w:rtl/>
        </w:rPr>
        <w:t xml:space="preserve">מָגֵן</w:t>
      </w:r>
      <w:r>
        <w:t xml:space="preserve">) — Shield. Common English rendering: shield. God identifies Himself as Abram’s shield, defender, and reward.</w:t>
      </w:r>
    </w:p>
  </w:footnote>
  <w:footnote w:id="400">
    <w:p>
      <w:pPr>
        <w:pStyle w:val="FootnoteText"/>
      </w:pPr>
      <w:r>
        <w:rPr>
          <w:rStyle w:val="FootnoteReference"/>
        </w:rPr>
        <w:footnoteRef/>
      </w:r>
      <w:r>
        <w:t xml:space="preserve"> Greek LXX divine name/title: Ego hyperaspizo sou (ἐγὼ ὑπερασπίζω σου) — I shield you. Common English rendering: I shield you. The LXX renders the shield title as a direct verbal promise: I shield you.</w:t>
      </w:r>
    </w:p>
  </w:footnote>
  <w:footnote w:id="401">
    <w:p>
      <w:pPr>
        <w:pStyle w:val="FootnoteText"/>
      </w:pPr>
      <w:r>
        <w:rPr>
          <w:rStyle w:val="FootnoteReference"/>
        </w:rPr>
        <w:footnoteRef/>
      </w:r>
      <w:r>
        <w:t xml:space="preserve"> Hebrew divine name/title: Adonai (</w:t>
      </w:r>
      <w:r>
        <w:rPr>
          <w:lang w:val="he-IL" w:bidi="he-IL"/>
          <w:rtl/>
        </w:rPr>
        <w:t xml:space="preserve">אֲדֹנָי</w:t>
      </w:r>
      <w:r>
        <w:t xml:space="preserve">) — Lord; Master. Common English rendering: Lord. A reverent title for God’s lordship, sovereignty, and authority.</w:t>
      </w:r>
    </w:p>
  </w:footnote>
  <w:footnote w:id="402">
    <w:p>
      <w:pPr>
        <w:pStyle w:val="FootnoteText"/>
      </w:pPr>
      <w:r>
        <w:rPr>
          <w:rStyle w:val="FootnoteReference"/>
        </w:rPr>
        <w:footnoteRef/>
      </w:r>
      <w:r>
        <w:t xml:space="preserve"> Cross-references for "childless": Gen 25:21; Gen 30:1-2.</w:t>
      </w:r>
    </w:p>
  </w:footnote>
  <w:footnote w:id="403">
    <w:p>
      <w:pPr>
        <w:pStyle w:val="FootnoteText"/>
      </w:pPr>
      <w:r>
        <w:rPr>
          <w:rStyle w:val="FootnoteReference"/>
        </w:rPr>
        <w:footnoteRef/>
      </w:r>
      <w:r>
        <w:t xml:space="preserve"> Personal name: Eliezer. Personal-name meaning: Eliezer — help, or court, of my God. Source form: Eliezer.</w:t>
      </w:r>
    </w:p>
  </w:footnote>
  <w:footnote w:id="404">
    <w:p>
      <w:pPr>
        <w:pStyle w:val="FootnoteText"/>
      </w:pPr>
      <w:r>
        <w:rPr>
          <w:rStyle w:val="FootnoteReference"/>
        </w:rPr>
        <w:footnoteRef/>
      </w:r>
      <w:r>
        <w:t xml:space="preserve"> Hebrew divine name/title: Adonai Yahweh (</w:t>
      </w:r>
      <w:r>
        <w:rPr>
          <w:lang w:val="he-IL" w:bidi="he-IL"/>
          <w:rtl/>
        </w:rPr>
        <w:t xml:space="preserve">אֲדֹנָי יְהוִה</w:t>
      </w:r>
      <w:r>
        <w:t xml:space="preserve">) — Lord GOD. Common English rendering: Lord GOD. A solemn compounded form often rendered Lord GOD, especially in prophetic and covenant contexts.</w:t>
      </w:r>
    </w:p>
  </w:footnote>
  <w:footnote w:id="405">
    <w:p>
      <w:pPr>
        <w:pStyle w:val="FootnoteText"/>
      </w:pPr>
      <w:r>
        <w:rPr>
          <w:rStyle w:val="FootnoteReference"/>
        </w:rPr>
        <w:footnoteRef/>
      </w:r>
      <w:r>
        <w:t xml:space="preserve"> Greek LXX divine name/title: Despota Kyrie (δέσποτα Κύριε) — Master Lord. Common English rendering: Master Lord. The LXX renders the solemn address Adonai Yahweh as Despota Kyrie, Master Lord.</w:t>
      </w:r>
    </w:p>
  </w:footnote>
  <w:footnote w:id="406">
    <w:p>
      <w:pPr>
        <w:pStyle w:val="FootnoteText"/>
      </w:pPr>
      <w:r>
        <w:rPr>
          <w:rStyle w:val="FootnoteReference"/>
        </w:rPr>
        <w:footnoteRef/>
      </w:r>
      <w:r>
        <w:t xml:space="preserve"> Cross-references for "born": Gen 14:14; Prov 29:21.</w:t>
      </w:r>
    </w:p>
  </w:footnote>
  <w:footnote w:id="407">
    <w:p>
      <w:pPr>
        <w:pStyle w:val="FootnoteText"/>
      </w:pPr>
      <w:r>
        <w:rPr>
          <w:rStyle w:val="FootnoteReference"/>
        </w:rPr>
        <w:footnoteRef/>
      </w:r>
      <w:r>
        <w:t xml:space="preserve"> Cross-references for "brought": Gen 11:28-31; Gen 12:1.</w:t>
      </w:r>
    </w:p>
  </w:footnote>
  <w:footnote w:id="408">
    <w:p>
      <w:pPr>
        <w:pStyle w:val="FootnoteText"/>
      </w:pPr>
      <w:r>
        <w:rPr>
          <w:rStyle w:val="FootnoteReference"/>
        </w:rPr>
        <w:footnoteRef/>
      </w:r>
      <w:r>
        <w:t xml:space="preserve"> Cross-references for "divided them": Jer 34:18-19; 2Tim 2:15.</w:t>
      </w:r>
    </w:p>
  </w:footnote>
  <w:footnote w:id="409">
    <w:p>
      <w:pPr>
        <w:pStyle w:val="FootnoteText"/>
      </w:pPr>
      <w:r>
        <w:rPr>
          <w:rStyle w:val="FootnoteReference"/>
        </w:rPr>
        <w:footnoteRef/>
      </w:r>
      <w:r>
        <w:t xml:space="preserve"> Translation note: Greek says Abram sat with them.</w:t>
      </w:r>
    </w:p>
  </w:footnote>
  <w:footnote w:id="410">
    <w:p>
      <w:pPr>
        <w:pStyle w:val="FootnoteText"/>
      </w:pPr>
      <w:r>
        <w:rPr>
          <w:rStyle w:val="FootnoteReference"/>
        </w:rPr>
        <w:footnoteRef/>
      </w:r>
      <w:r>
        <w:t xml:space="preserve"> Cross-references for "Abram": Ps 119:13.</w:t>
      </w:r>
    </w:p>
  </w:footnote>
  <w:footnote w:id="411">
    <w:p>
      <w:pPr>
        <w:pStyle w:val="FootnoteText"/>
      </w:pPr>
      <w:r>
        <w:rPr>
          <w:rStyle w:val="FootnoteReference"/>
        </w:rPr>
        <w:footnoteRef/>
      </w:r>
      <w:r>
        <w:t xml:space="preserve"> Cross-references for "four": Exod 12:40-41; Gal 3:17.</w:t>
      </w:r>
    </w:p>
  </w:footnote>
  <w:footnote w:id="412">
    <w:p>
      <w:pPr>
        <w:pStyle w:val="FootnoteText"/>
      </w:pPr>
      <w:r>
        <w:rPr>
          <w:rStyle w:val="FootnoteReference"/>
        </w:rPr>
        <w:footnoteRef/>
      </w:r>
      <w:r>
        <w:t xml:space="preserve"> Cross-references for "in peace": 2Chr 34:28; Ps 37:37.</w:t>
      </w:r>
    </w:p>
  </w:footnote>
  <w:footnote w:id="413">
    <w:p>
      <w:pPr>
        <w:pStyle w:val="FootnoteText"/>
      </w:pPr>
      <w:r>
        <w:rPr>
          <w:rStyle w:val="FootnoteReference"/>
        </w:rPr>
        <w:footnoteRef/>
      </w:r>
      <w:r>
        <w:t xml:space="preserve"> Cross-references for "Amorites": 1Kgs 21:26; 2Pet 3:8-9.</w:t>
      </w:r>
    </w:p>
  </w:footnote>
  <w:footnote w:id="414">
    <w:p>
      <w:pPr>
        <w:pStyle w:val="FootnoteText"/>
      </w:pPr>
      <w:r>
        <w:rPr>
          <w:rStyle w:val="FootnoteReference"/>
        </w:rPr>
        <w:footnoteRef/>
      </w:r>
      <w:r>
        <w:t xml:space="preserve"> Cross-references for "smoking": Exod 3:2-3; Deut 4:20.</w:t>
      </w:r>
    </w:p>
  </w:footnote>
  <w:footnote w:id="415">
    <w:p>
      <w:pPr>
        <w:pStyle w:val="FootnoteText"/>
      </w:pPr>
      <w:r>
        <w:rPr>
          <w:rStyle w:val="FootnoteReference"/>
        </w:rPr>
        <w:footnoteRef/>
      </w:r>
      <w:r>
        <w:t xml:space="preserve"> Cross-references for "made": Gen 9:8-17; Gen 17:1-27.</w:t>
      </w:r>
    </w:p>
  </w:footnote>
  <w:footnote w:id="416">
    <w:p>
      <w:pPr>
        <w:pStyle w:val="FootnoteText"/>
      </w:pPr>
      <w:r>
        <w:rPr>
          <w:rStyle w:val="FootnoteReference"/>
        </w:rPr>
        <w:footnoteRef/>
      </w:r>
      <w:r>
        <w:t xml:space="preserve"> People-name: Kenites. People-name meaning: Kenites — possession; purchase; lamentation. Source form: Kenites.</w:t>
      </w:r>
    </w:p>
  </w:footnote>
  <w:footnote w:id="417">
    <w:p>
      <w:pPr>
        <w:pStyle w:val="FootnoteText"/>
      </w:pPr>
      <w:r>
        <w:rPr>
          <w:rStyle w:val="FootnoteReference"/>
        </w:rPr>
        <w:footnoteRef/>
      </w:r>
      <w:r>
        <w:t xml:space="preserve"> People-name: Kenizzites. People-name meaning: Kenizzites — possession; purchase. Source form: Kenizzites.</w:t>
      </w:r>
    </w:p>
  </w:footnote>
  <w:footnote w:id="418">
    <w:p>
      <w:pPr>
        <w:pStyle w:val="FootnoteText"/>
      </w:pPr>
      <w:r>
        <w:rPr>
          <w:rStyle w:val="FootnoteReference"/>
        </w:rPr>
        <w:footnoteRef/>
      </w:r>
      <w:r>
        <w:t xml:space="preserve"> People-name: Kadmonites. People-name meaning: Kadmonites — ancients; chiefs. Source form: Kadmonites.</w:t>
      </w:r>
    </w:p>
  </w:footnote>
  <w:footnote w:id="419">
    <w:p>
      <w:pPr>
        <w:pStyle w:val="FootnoteText"/>
      </w:pPr>
      <w:r>
        <w:rPr>
          <w:rStyle w:val="FootnoteReference"/>
        </w:rPr>
        <w:footnoteRef/>
      </w:r>
      <w:r>
        <w:t xml:space="preserve"> Cross-references for "Kenites": Num 24:21-22.</w:t>
      </w:r>
    </w:p>
  </w:footnote>
  <w:footnote w:id="420">
    <w:p>
      <w:pPr>
        <w:pStyle w:val="FootnoteText"/>
      </w:pPr>
      <w:r>
        <w:rPr>
          <w:rStyle w:val="FootnoteReference"/>
        </w:rPr>
        <w:footnoteRef/>
      </w:r>
      <w:r>
        <w:t xml:space="preserve"> People-name: Hittites. People-name meaning: Hittites — one who is broken; who fears. Source form: Hittites.</w:t>
      </w:r>
    </w:p>
  </w:footnote>
  <w:footnote w:id="421">
    <w:p>
      <w:pPr>
        <w:pStyle w:val="FootnoteText"/>
      </w:pPr>
      <w:r>
        <w:rPr>
          <w:rStyle w:val="FootnoteReference"/>
        </w:rPr>
        <w:footnoteRef/>
      </w:r>
      <w:r>
        <w:t xml:space="preserve"> Transliterated proper noun: Rephaim. Standard English equivalent: Rephaims. Source form: Rephaim. Greek form: Ραφαεὶν. Name meaning: giants; physicians; relaxed.</w:t>
      </w:r>
    </w:p>
  </w:footnote>
  <w:footnote w:id="422">
    <w:p>
      <w:pPr>
        <w:pStyle w:val="FootnoteText"/>
      </w:pPr>
      <w:r>
        <w:rPr>
          <w:rStyle w:val="FootnoteReference"/>
        </w:rPr>
        <w:footnoteRef/>
      </w:r>
      <w:r>
        <w:t xml:space="preserve"> Cross-references for "Amorites": Gen 10:15-19; Exod 23:23-28.</w:t>
      </w:r>
    </w:p>
  </w:footnote>
  <w:footnote w:id="423">
    <w:p>
      <w:pPr>
        <w:pStyle w:val="FootnoteText"/>
      </w:pPr>
      <w:r>
        <w:rPr>
          <w:rStyle w:val="FootnoteReference"/>
        </w:rPr>
        <w:footnoteRef/>
      </w:r>
      <w:r>
        <w:t xml:space="preserve"> People-name: Hivites. People-name meaning: Hivites — wicked; wickedness. Source form: Hivites.</w:t>
      </w:r>
    </w:p>
  </w:footnote>
  <w:footnote w:id="424">
    <w:p>
      <w:pPr>
        <w:pStyle w:val="FootnoteText"/>
      </w:pPr>
      <w:r>
        <w:rPr>
          <w:rStyle w:val="FootnoteReference"/>
        </w:rPr>
        <w:footnoteRef/>
      </w:r>
      <w:r>
        <w:t xml:space="preserve"> People-name: Girgashites. People-name meaning: Girgashites — dwellers on clayey soil; strangers drawing near. Source form: Girgashites.</w:t>
      </w:r>
    </w:p>
  </w:footnote>
  <w:footnote w:id="425">
    <w:p>
      <w:pPr>
        <w:pStyle w:val="FootnoteText"/>
      </w:pPr>
      <w:r>
        <w:rPr>
          <w:rStyle w:val="FootnoteReference"/>
        </w:rPr>
        <w:footnoteRef/>
      </w:r>
      <w:r>
        <w:t xml:space="preserve"> People-name: Jebusites. People-name meaning: Jebusites — treading under foot; manger. Source form: Jebusites.</w:t>
      </w:r>
    </w:p>
  </w:footnote>
  <w:footnote w:id="426">
    <w:p>
      <w:pPr>
        <w:pStyle w:val="FootnoteText"/>
      </w:pPr>
      <w:r>
        <w:rPr>
          <w:rStyle w:val="FootnoteReference"/>
        </w:rPr>
        <w:footnoteRef/>
      </w:r>
      <w:r>
        <w:t xml:space="preserve"> Name meaning: Sarai (Sarai) — My princess. Her earlier name anticipates the covenant name Sarah.</w:t>
      </w:r>
    </w:p>
  </w:footnote>
  <w:footnote w:id="427">
    <w:p>
      <w:pPr>
        <w:pStyle w:val="FootnoteText"/>
      </w:pPr>
      <w:r>
        <w:rPr>
          <w:rStyle w:val="FootnoteReference"/>
        </w:rPr>
        <w:footnoteRef/>
      </w:r>
      <w:r>
        <w:t xml:space="preserve"> People-name: Egyptian. People-name meaning: Egyptian — that troubles or oppresses; anguish. Source form: Egyptian.</w:t>
      </w:r>
    </w:p>
  </w:footnote>
  <w:footnote w:id="428">
    <w:p>
      <w:pPr>
        <w:pStyle w:val="FootnoteText"/>
      </w:pPr>
      <w:r>
        <w:rPr>
          <w:rStyle w:val="FootnoteReference"/>
        </w:rPr>
        <w:footnoteRef/>
      </w:r>
      <w:r>
        <w:t xml:space="preserve"> Name meaning: Hagar (Hagar) — Flight; fugitive; sojourner. Egyptian servant of Sarah; God saw and heard her affliction in the wilderness.</w:t>
      </w:r>
    </w:p>
  </w:footnote>
  <w:footnote w:id="429">
    <w:p>
      <w:pPr>
        <w:pStyle w:val="FootnoteText"/>
      </w:pPr>
      <w:r>
        <w:rPr>
          <w:rStyle w:val="FootnoteReference"/>
        </w:rPr>
        <w:footnoteRef/>
      </w:r>
      <w:r>
        <w:t xml:space="preserve"> Cross-references for "Egyptian": Gen 12:16; Gen 21:9.</w:t>
      </w:r>
    </w:p>
  </w:footnote>
  <w:footnote w:id="430">
    <w:p>
      <w:pPr>
        <w:pStyle w:val="FootnoteText"/>
      </w:pPr>
      <w:r>
        <w:rPr>
          <w:rStyle w:val="FootnoteReference"/>
        </w:rPr>
        <w:footnoteRef/>
      </w:r>
      <w:r>
        <w:t xml:space="preserve"> Cross-references for "the Lord": Gen 17:16; Gen 18:10.</w:t>
      </w:r>
    </w:p>
  </w:footnote>
  <w:footnote w:id="431">
    <w:p>
      <w:pPr>
        <w:pStyle w:val="FootnoteText"/>
      </w:pPr>
      <w:r>
        <w:rPr>
          <w:rStyle w:val="FootnoteReference"/>
        </w:rPr>
        <w:footnoteRef/>
      </w:r>
      <w:r>
        <w:t xml:space="preserve"> Cross-references for "gave": Gen 16:5; Gen 30:4.</w:t>
      </w:r>
    </w:p>
  </w:footnote>
  <w:footnote w:id="432">
    <w:p>
      <w:pPr>
        <w:pStyle w:val="FootnoteText"/>
      </w:pPr>
      <w:r>
        <w:rPr>
          <w:rStyle w:val="FootnoteReference"/>
        </w:rPr>
        <w:footnoteRef/>
      </w:r>
      <w:r>
        <w:t xml:space="preserve"> Cross-references for "her mistress": 1Sam 1:6-8; 2Sam 6:16.</w:t>
      </w:r>
    </w:p>
  </w:footnote>
  <w:footnote w:id="433">
    <w:p>
      <w:pPr>
        <w:pStyle w:val="FootnoteText"/>
      </w:pPr>
      <w:r>
        <w:rPr>
          <w:rStyle w:val="FootnoteReference"/>
        </w:rPr>
        <w:footnoteRef/>
      </w:r>
      <w:r>
        <w:t xml:space="preserve"> Cross-references for "Abram": Gen 13:8-9; Prov 14:29.</w:t>
      </w:r>
    </w:p>
  </w:footnote>
  <w:footnote w:id="434">
    <w:p>
      <w:pPr>
        <w:pStyle w:val="FootnoteText"/>
      </w:pPr>
      <w:r>
        <w:rPr>
          <w:rStyle w:val="FootnoteReference"/>
        </w:rPr>
        <w:footnoteRef/>
      </w:r>
      <w:r>
        <w:t xml:space="preserve"> Cross-references for "found": Prov 15:3.</w:t>
      </w:r>
    </w:p>
  </w:footnote>
  <w:footnote w:id="435">
    <w:p>
      <w:pPr>
        <w:pStyle w:val="FootnoteText"/>
      </w:pPr>
      <w:r>
        <w:rPr>
          <w:rStyle w:val="FootnoteReference"/>
        </w:rPr>
        <w:footnoteRef/>
      </w:r>
      <w:r>
        <w:t xml:space="preserve"> Place name: Shur. Place-name meaning: Shur — wall; ox; that beholds. Source form: Shur. Greek form: Σούρ.</w:t>
      </w:r>
    </w:p>
  </w:footnote>
  <w:footnote w:id="436">
    <w:p>
      <w:pPr>
        <w:pStyle w:val="FootnoteText"/>
      </w:pPr>
      <w:r>
        <w:rPr>
          <w:rStyle w:val="FootnoteReference"/>
        </w:rPr>
        <w:footnoteRef/>
      </w:r>
      <w:r>
        <w:t xml:space="preserve"> Cross-references for "the angel": Gen 22:15-18; Gen 31:11-13.</w:t>
      </w:r>
    </w:p>
  </w:footnote>
  <w:footnote w:id="437">
    <w:p>
      <w:pPr>
        <w:pStyle w:val="FootnoteText"/>
      </w:pPr>
      <w:r>
        <w:rPr>
          <w:rStyle w:val="FootnoteReference"/>
        </w:rPr>
        <w:footnoteRef/>
      </w:r>
      <w:r>
        <w:t xml:space="preserve"> Name meaning: Ishmael (Yishmael) — God hears. God heard Hagar’s affliction in the wilderness.</w:t>
      </w:r>
    </w:p>
  </w:footnote>
  <w:footnote w:id="438">
    <w:p>
      <w:pPr>
        <w:pStyle w:val="FootnoteText"/>
      </w:pPr>
      <w:r>
        <w:rPr>
          <w:rStyle w:val="FootnoteReference"/>
        </w:rPr>
        <w:footnoteRef/>
      </w:r>
      <w:r>
        <w:t xml:space="preserve"> Cross-references for "be a": Gen 21:20; Job 11:12.</w:t>
      </w:r>
    </w:p>
  </w:footnote>
  <w:footnote w:id="439">
    <w:p>
      <w:pPr>
        <w:pStyle w:val="FootnoteText"/>
      </w:pPr>
      <w:r>
        <w:rPr>
          <w:rStyle w:val="FootnoteReference"/>
        </w:rPr>
        <w:footnoteRef/>
      </w:r>
      <w:r>
        <w:t xml:space="preserve"> Cross-references for "called": Gen 16:7; Gen 16:9-10.</w:t>
      </w:r>
    </w:p>
  </w:footnote>
  <w:footnote w:id="440">
    <w:p>
      <w:pPr>
        <w:pStyle w:val="FootnoteText"/>
      </w:pPr>
      <w:r>
        <w:rPr>
          <w:rStyle w:val="FootnoteReference"/>
        </w:rPr>
        <w:footnoteRef/>
      </w:r>
      <w:r>
        <w:t xml:space="preserve"> Greek LXX divine name/title: Ho Theos ho epidon me (ὁ Θεὸς ὁ ἐπιδών με) — God who saw me. Common English rendering: God who saw me. Hagar's title is rendered in Greek as God who saw me, matching the sense of El Roi.</w:t>
      </w:r>
    </w:p>
  </w:footnote>
  <w:footnote w:id="441">
    <w:p>
      <w:pPr>
        <w:pStyle w:val="FootnoteText"/>
      </w:pPr>
      <w:r>
        <w:rPr>
          <w:rStyle w:val="FootnoteReference"/>
        </w:rPr>
        <w:footnoteRef/>
      </w:r>
      <w:r>
        <w:t xml:space="preserve"> Hebrew divine name/title: El Roi (</w:t>
      </w:r>
      <w:r>
        <w:rPr>
          <w:lang w:val="he-IL" w:bidi="he-IL"/>
          <w:rtl/>
        </w:rPr>
        <w:t xml:space="preserve">אֵל רֳאִי</w:t>
      </w:r>
      <w:r>
        <w:t xml:space="preserve">) — God who sees me; God of seeing. Common English rendering: God sees me. Hagar’s name for God after He saw her affliction in the wilderness.</w:t>
      </w:r>
    </w:p>
  </w:footnote>
  <w:footnote w:id="442">
    <w:p>
      <w:pPr>
        <w:pStyle w:val="FootnoteText"/>
      </w:pPr>
      <w:r>
        <w:rPr>
          <w:rStyle w:val="FootnoteReference"/>
        </w:rPr>
        <w:footnoteRef/>
      </w:r>
      <w:r>
        <w:t xml:space="preserve"> Cross-references for "Kadesh": Num 13:26.</w:t>
      </w:r>
    </w:p>
  </w:footnote>
  <w:footnote w:id="443">
    <w:p>
      <w:pPr>
        <w:pStyle w:val="FootnoteText"/>
      </w:pPr>
      <w:r>
        <w:rPr>
          <w:rStyle w:val="FootnoteReference"/>
        </w:rPr>
        <w:footnoteRef/>
      </w:r>
      <w:r>
        <w:t xml:space="preserve"> Place name: Bered. Place-name meaning: Bered — hail. Source form: Bered. Greek form: Βαράδ.</w:t>
      </w:r>
    </w:p>
  </w:footnote>
  <w:footnote w:id="444">
    <w:p>
      <w:pPr>
        <w:pStyle w:val="FootnoteText"/>
      </w:pPr>
      <w:r>
        <w:rPr>
          <w:rStyle w:val="FootnoteReference"/>
        </w:rPr>
        <w:footnoteRef/>
      </w:r>
      <w:r>
        <w:t xml:space="preserve"> Cross-references for "Hagar": Gen 16:11; Gen 25:12.</w:t>
      </w:r>
    </w:p>
  </w:footnote>
  <w:footnote w:id="445">
    <w:p>
      <w:pPr>
        <w:pStyle w:val="FootnoteText"/>
      </w:pPr>
      <w:r>
        <w:rPr>
          <w:rStyle w:val="FootnoteReference"/>
        </w:rPr>
        <w:footnoteRef/>
      </w:r>
      <w:r>
        <w:t xml:space="preserve"> Cross-references for "the Lord": Gen 12:1.</w:t>
      </w:r>
    </w:p>
  </w:footnote>
  <w:footnote w:id="446">
    <w:p>
      <w:pPr>
        <w:pStyle w:val="FootnoteText"/>
      </w:pPr>
      <w:r>
        <w:rPr>
          <w:rStyle w:val="FootnoteReference"/>
        </w:rPr>
        <w:footnoteRef/>
      </w:r>
      <w:r>
        <w:t xml:space="preserve"> Greek LXX divine name/title: Ho Theos sou (ὁ Θεός σου) — your God. Common English rendering: your God. At the El Shaddai reference, the LXX reads I am your God; it does not preserve the Hebrew Shaddai wording here.</w:t>
      </w:r>
    </w:p>
  </w:footnote>
  <w:footnote w:id="447">
    <w:p>
      <w:pPr>
        <w:pStyle w:val="FootnoteText"/>
      </w:pPr>
      <w:r>
        <w:rPr>
          <w:rStyle w:val="FootnoteReference"/>
        </w:rPr>
        <w:footnoteRef/>
      </w:r>
      <w:r>
        <w:t xml:space="preserve"> Hebrew divine name/title: El Shaddai (</w:t>
      </w:r>
      <w:r>
        <w:rPr>
          <w:lang w:val="he-IL" w:bidi="he-IL"/>
          <w:rtl/>
        </w:rPr>
        <w:t xml:space="preserve">אֵל שַׁדַּי</w:t>
      </w:r>
      <w:r>
        <w:t xml:space="preserve">) — God Almighty. Common English rendering: Almighty God; God Almighty. A patriarchal divine title emphasizing God’s overwhelming power and sufficiency.</w:t>
      </w:r>
    </w:p>
  </w:footnote>
  <w:footnote w:id="448">
    <w:p>
      <w:pPr>
        <w:pStyle w:val="FootnoteText"/>
      </w:pPr>
      <w:r>
        <w:rPr>
          <w:rStyle w:val="FootnoteReference"/>
        </w:rPr>
        <w:footnoteRef/>
      </w:r>
      <w:r>
        <w:t xml:space="preserve"> Translation note: Greek uses place language here before the multiplication promise. Current wording preserves that covenant line.</w:t>
      </w:r>
    </w:p>
  </w:footnote>
  <w:footnote w:id="449">
    <w:p>
      <w:pPr>
        <w:pStyle w:val="FootnoteText"/>
      </w:pPr>
      <w:r>
        <w:rPr>
          <w:rStyle w:val="FootnoteReference"/>
        </w:rPr>
        <w:footnoteRef/>
      </w:r>
      <w:r>
        <w:t xml:space="preserve"> Cross-references for "multiply": Gen 12:2; Gen 13:16.</w:t>
      </w:r>
    </w:p>
  </w:footnote>
  <w:footnote w:id="450">
    <w:p>
      <w:pPr>
        <w:pStyle w:val="FootnoteText"/>
      </w:pPr>
      <w:r>
        <w:rPr>
          <w:rStyle w:val="FootnoteReference"/>
        </w:rPr>
        <w:footnoteRef/>
      </w:r>
      <w:r>
        <w:t xml:space="preserve"> Name meaning: Abraham (Avraham) — Father of a multitude. God expanded Abram's name to mark the covenant promise that many nations would come from him.</w:t>
      </w:r>
    </w:p>
  </w:footnote>
  <w:footnote w:id="451">
    <w:p>
      <w:pPr>
        <w:pStyle w:val="FootnoteText"/>
      </w:pPr>
      <w:r>
        <w:rPr>
          <w:rStyle w:val="FootnoteReference"/>
        </w:rPr>
        <w:footnoteRef/>
      </w:r>
      <w:r>
        <w:t xml:space="preserve"> Cross-references for "nations": Gen 17:4; Gen 17:20.</w:t>
      </w:r>
    </w:p>
  </w:footnote>
  <w:footnote w:id="452">
    <w:p>
      <w:pPr>
        <w:pStyle w:val="FootnoteText"/>
      </w:pPr>
      <w:r>
        <w:rPr>
          <w:rStyle w:val="FootnoteReference"/>
        </w:rPr>
        <w:footnoteRef/>
      </w:r>
      <w:r>
        <w:t xml:space="preserve"> Translation note: Greek closes the covenant line with that explicit formula. Current wording preserves it.</w:t>
      </w:r>
    </w:p>
  </w:footnote>
  <w:footnote w:id="453">
    <w:p>
      <w:pPr>
        <w:pStyle w:val="FootnoteText"/>
      </w:pPr>
      <w:r>
        <w:rPr>
          <w:rStyle w:val="FootnoteReference"/>
        </w:rPr>
        <w:footnoteRef/>
      </w:r>
      <w:r>
        <w:t xml:space="preserve"> Cross-references for "everlasting": Gen 48:4; Exod 21:6.</w:t>
      </w:r>
    </w:p>
  </w:footnote>
  <w:footnote w:id="454">
    <w:p>
      <w:pPr>
        <w:pStyle w:val="FootnoteText"/>
      </w:pPr>
      <w:r>
        <w:rPr>
          <w:rStyle w:val="FootnoteReference"/>
        </w:rPr>
        <w:footnoteRef/>
      </w:r>
      <w:r>
        <w:t xml:space="preserve"> Cross-references for "the flesh": Exod 4:25; Josh 5:3.</w:t>
      </w:r>
    </w:p>
  </w:footnote>
  <w:footnote w:id="455">
    <w:p>
      <w:pPr>
        <w:pStyle w:val="FootnoteText"/>
      </w:pPr>
      <w:r>
        <w:rPr>
          <w:rStyle w:val="FootnoteReference"/>
        </w:rPr>
        <w:footnoteRef/>
      </w:r>
      <w:r>
        <w:t xml:space="preserve"> Cross-references for "born": Gen 14:14; Gen 15:3.</w:t>
      </w:r>
    </w:p>
  </w:footnote>
  <w:footnote w:id="456">
    <w:p>
      <w:pPr>
        <w:pStyle w:val="FootnoteText"/>
      </w:pPr>
      <w:r>
        <w:rPr>
          <w:rStyle w:val="FootnoteReference"/>
        </w:rPr>
        <w:footnoteRef/>
      </w:r>
      <w:r>
        <w:t xml:space="preserve"> Name meaning: Sarah (Sarah) — Princess; noblewoman. God renamed Sarai as Sarah in the covenant promise of Isaac.</w:t>
      </w:r>
    </w:p>
  </w:footnote>
  <w:footnote w:id="457">
    <w:p>
      <w:pPr>
        <w:pStyle w:val="FootnoteText"/>
      </w:pPr>
      <w:r>
        <w:rPr>
          <w:rStyle w:val="FootnoteReference"/>
        </w:rPr>
        <w:footnoteRef/>
      </w:r>
      <w:r>
        <w:t xml:space="preserve"> Cross-references for "give": Gen 18:10-14.</w:t>
      </w:r>
    </w:p>
  </w:footnote>
  <w:footnote w:id="458">
    <w:p>
      <w:pPr>
        <w:pStyle w:val="FootnoteText"/>
      </w:pPr>
      <w:r>
        <w:rPr>
          <w:rStyle w:val="FootnoteReference"/>
        </w:rPr>
        <w:footnoteRef/>
      </w:r>
      <w:r>
        <w:t xml:space="preserve"> Cross-references for "fell": Gen 17:3; Lev 9:24.</w:t>
      </w:r>
    </w:p>
  </w:footnote>
  <w:footnote w:id="459">
    <w:p>
      <w:pPr>
        <w:pStyle w:val="FootnoteText"/>
      </w:pPr>
      <w:r>
        <w:rPr>
          <w:rStyle w:val="FootnoteReference"/>
        </w:rPr>
        <w:footnoteRef/>
      </w:r>
      <w:r>
        <w:t xml:space="preserve"> Cross-references for "Sarah": Gen 17:21; Gen 18:10-14.</w:t>
      </w:r>
    </w:p>
  </w:footnote>
  <w:footnote w:id="460">
    <w:p>
      <w:pPr>
        <w:pStyle w:val="FootnoteText"/>
      </w:pPr>
      <w:r>
        <w:rPr>
          <w:rStyle w:val="FootnoteReference"/>
        </w:rPr>
        <w:footnoteRef/>
      </w:r>
      <w:r>
        <w:t xml:space="preserve"> Name meaning: Isaac (Yitzchak) — He laughs; laughter. His name answers Abraham and Sarah's laughter and marks the promised son.</w:t>
      </w:r>
    </w:p>
  </w:footnote>
  <w:footnote w:id="461">
    <w:p>
      <w:pPr>
        <w:pStyle w:val="FootnoteText"/>
      </w:pPr>
      <w:r>
        <w:rPr>
          <w:rStyle w:val="FootnoteReference"/>
        </w:rPr>
        <w:footnoteRef/>
      </w:r>
      <w:r>
        <w:t xml:space="preserve"> Translation note: Greek uses the covenant formula directly. Current wording preserves it.</w:t>
      </w:r>
    </w:p>
  </w:footnote>
  <w:footnote w:id="462">
    <w:p>
      <w:pPr>
        <w:pStyle w:val="FootnoteText"/>
      </w:pPr>
      <w:r>
        <w:rPr>
          <w:rStyle w:val="FootnoteReference"/>
        </w:rPr>
        <w:footnoteRef/>
      </w:r>
      <w:r>
        <w:t xml:space="preserve"> Cross-references for "I have blessed": Gen 16:10-12.</w:t>
      </w:r>
    </w:p>
  </w:footnote>
  <w:footnote w:id="463">
    <w:p>
      <w:pPr>
        <w:pStyle w:val="FootnoteText"/>
      </w:pPr>
      <w:r>
        <w:rPr>
          <w:rStyle w:val="FootnoteReference"/>
        </w:rPr>
        <w:footnoteRef/>
      </w:r>
      <w:r>
        <w:t xml:space="preserve"> Cross-references for "circumcised": Gen 17:10-14; Gen 17:26-27.</w:t>
      </w:r>
    </w:p>
  </w:footnote>
  <w:footnote w:id="464">
    <w:p>
      <w:pPr>
        <w:pStyle w:val="FootnoteText"/>
      </w:pPr>
      <w:r>
        <w:rPr>
          <w:rStyle w:val="FootnoteReference"/>
        </w:rPr>
        <w:footnoteRef/>
      </w:r>
      <w:r>
        <w:t xml:space="preserve"> Translation note: Greek uses a time phrase rather than the more fixed English idiom selfsame day. The translation stays close to the Greek.</w:t>
      </w:r>
    </w:p>
  </w:footnote>
  <w:footnote w:id="465">
    <w:p>
      <w:pPr>
        <w:pStyle w:val="FootnoteText"/>
      </w:pPr>
      <w:r>
        <w:rPr>
          <w:rStyle w:val="FootnoteReference"/>
        </w:rPr>
        <w:footnoteRef/>
      </w:r>
      <w:r>
        <w:t xml:space="preserve"> Cross-references for "circumcised": Gen 18:19.</w:t>
      </w:r>
    </w:p>
  </w:footnote>
  <w:footnote w:id="466">
    <w:p>
      <w:pPr>
        <w:pStyle w:val="FootnoteText"/>
      </w:pPr>
      <w:r>
        <w:rPr>
          <w:rStyle w:val="FootnoteReference"/>
        </w:rPr>
        <w:footnoteRef/>
      </w:r>
      <w:r>
        <w:t xml:space="preserve"> Cross-references for "appeared": Gen 15:1; Gen 17:1-3.</w:t>
      </w:r>
    </w:p>
  </w:footnote>
  <w:footnote w:id="467">
    <w:p>
      <w:pPr>
        <w:pStyle w:val="FootnoteText"/>
      </w:pPr>
      <w:r>
        <w:rPr>
          <w:rStyle w:val="FootnoteReference"/>
        </w:rPr>
        <w:footnoteRef/>
      </w:r>
      <w:r>
        <w:t xml:space="preserve"> Cross-references for "three": Gen 18:22; Gen 19:1.</w:t>
      </w:r>
    </w:p>
  </w:footnote>
  <w:footnote w:id="468">
    <w:p>
      <w:pPr>
        <w:pStyle w:val="FootnoteText"/>
      </w:pPr>
      <w:r>
        <w:rPr>
          <w:rStyle w:val="FootnoteReference"/>
        </w:rPr>
        <w:footnoteRef/>
      </w:r>
      <w:r>
        <w:t xml:space="preserve"> Cross-references for "wash your feet": Gen 19:2; Gen 24:32.</w:t>
      </w:r>
    </w:p>
  </w:footnote>
  <w:footnote w:id="469">
    <w:p>
      <w:pPr>
        <w:pStyle w:val="FootnoteText"/>
      </w:pPr>
      <w:r>
        <w:rPr>
          <w:rStyle w:val="FootnoteReference"/>
        </w:rPr>
        <w:footnoteRef/>
      </w:r>
      <w:r>
        <w:t xml:space="preserve"> Cross-references for "three": Isa 32:8; Matt 13:33.</w:t>
      </w:r>
    </w:p>
  </w:footnote>
  <w:footnote w:id="470">
    <w:p>
      <w:pPr>
        <w:pStyle w:val="FootnoteText"/>
      </w:pPr>
      <w:r>
        <w:rPr>
          <w:rStyle w:val="FootnoteReference"/>
        </w:rPr>
        <w:footnoteRef/>
      </w:r>
      <w:r>
        <w:t xml:space="preserve"> Cross-references for "he took": Gen 19:3; Deut 32:14.</w:t>
      </w:r>
    </w:p>
  </w:footnote>
  <w:footnote w:id="471">
    <w:p>
      <w:pPr>
        <w:pStyle w:val="FootnoteText"/>
      </w:pPr>
      <w:r>
        <w:rPr>
          <w:rStyle w:val="FootnoteReference"/>
        </w:rPr>
        <w:footnoteRef/>
      </w:r>
      <w:r>
        <w:t xml:space="preserve"> Cross-references for "he said": Gen 16:10; Gen 18:13-14.</w:t>
      </w:r>
    </w:p>
  </w:footnote>
  <w:footnote w:id="472">
    <w:p>
      <w:pPr>
        <w:pStyle w:val="FootnoteText"/>
      </w:pPr>
      <w:r>
        <w:rPr>
          <w:rStyle w:val="FootnoteReference"/>
        </w:rPr>
        <w:footnoteRef/>
      </w:r>
      <w:r>
        <w:t xml:space="preserve"> Cross-references for "laughed": Gen 17:17; Gen 18:13.</w:t>
      </w:r>
    </w:p>
  </w:footnote>
  <w:footnote w:id="473">
    <w:p>
      <w:pPr>
        <w:pStyle w:val="FootnoteText"/>
      </w:pPr>
      <w:r>
        <w:rPr>
          <w:rStyle w:val="FootnoteReference"/>
        </w:rPr>
        <w:footnoteRef/>
      </w:r>
      <w:r>
        <w:t xml:space="preserve"> Cross-references for "denied": Gen 4:9; Gen 12:13.</w:t>
      </w:r>
    </w:p>
  </w:footnote>
  <w:footnote w:id="474">
    <w:p>
      <w:pPr>
        <w:pStyle w:val="FootnoteText"/>
      </w:pPr>
      <w:r>
        <w:rPr>
          <w:rStyle w:val="FootnoteReference"/>
        </w:rPr>
        <w:footnoteRef/>
      </w:r>
      <w:r>
        <w:t xml:space="preserve"> Cross-references for "become": Gen 12:2-3; Gen 22:17-18.</w:t>
      </w:r>
    </w:p>
  </w:footnote>
  <w:footnote w:id="475">
    <w:p>
      <w:pPr>
        <w:pStyle w:val="FootnoteText"/>
      </w:pPr>
      <w:r>
        <w:rPr>
          <w:rStyle w:val="FootnoteReference"/>
        </w:rPr>
        <w:footnoteRef/>
      </w:r>
      <w:r>
        <w:t xml:space="preserve"> Cross-references for "For I": 2Sam 7:20; Ps 1:6.</w:t>
      </w:r>
    </w:p>
  </w:footnote>
  <w:footnote w:id="476">
    <w:p>
      <w:pPr>
        <w:pStyle w:val="FootnoteText"/>
      </w:pPr>
      <w:r>
        <w:rPr>
          <w:rStyle w:val="FootnoteReference"/>
        </w:rPr>
        <w:footnoteRef/>
      </w:r>
      <w:r>
        <w:t xml:space="preserve"> MT/LXX note: The Greek says I knew him before moving to Abraham's household calling. This draft keeps that knowing-language visible rather than deciding too quickly between chose, singled out, or commanded. NETS, LES, and LES2 stay nearer this knowing-language than MT-facing chosen-language.</w:t>
      </w:r>
    </w:p>
  </w:footnote>
  <w:footnote w:id="477">
    <w:p>
      <w:pPr>
        <w:pStyle w:val="FootnoteText"/>
      </w:pPr>
      <w:r>
        <w:rPr>
          <w:rStyle w:val="FootnoteReference"/>
        </w:rPr>
        <w:footnoteRef/>
      </w:r>
      <w:r>
        <w:t xml:space="preserve"> Cross-references for "the men": Gen 18:2; Gen 19:1.</w:t>
      </w:r>
    </w:p>
  </w:footnote>
  <w:footnote w:id="478">
    <w:p>
      <w:pPr>
        <w:pStyle w:val="FootnoteText"/>
      </w:pPr>
      <w:r>
        <w:rPr>
          <w:rStyle w:val="FootnoteReference"/>
        </w:rPr>
        <w:footnoteRef/>
      </w:r>
      <w:r>
        <w:t xml:space="preserve"> Cross-references for "if I": Gen 18:26; Gen 18:29.</w:t>
      </w:r>
    </w:p>
  </w:footnote>
  <w:footnote w:id="479">
    <w:p>
      <w:pPr>
        <w:pStyle w:val="FootnoteText"/>
      </w:pPr>
      <w:r>
        <w:rPr>
          <w:rStyle w:val="FootnoteReference"/>
        </w:rPr>
        <w:footnoteRef/>
      </w:r>
      <w:r>
        <w:t xml:space="preserve"> Cross-references for "and Abraham": Gen 31:55.</w:t>
      </w:r>
    </w:p>
  </w:footnote>
  <w:footnote w:id="480">
    <w:p>
      <w:pPr>
        <w:pStyle w:val="FootnoteText"/>
      </w:pPr>
      <w:r>
        <w:rPr>
          <w:rStyle w:val="FootnoteReference"/>
        </w:rPr>
        <w:footnoteRef/>
      </w:r>
      <w:r>
        <w:t xml:space="preserve"> Cross-references for "rose": Gen 18:1-5; Job 31:32.</w:t>
      </w:r>
    </w:p>
  </w:footnote>
  <w:footnote w:id="481">
    <w:p>
      <w:pPr>
        <w:pStyle w:val="FootnoteText"/>
      </w:pPr>
      <w:r>
        <w:rPr>
          <w:rStyle w:val="FootnoteReference"/>
        </w:rPr>
        <w:footnoteRef/>
      </w:r>
      <w:r>
        <w:t xml:space="preserve"> Cross-references for "turn": Heb 13:2.</w:t>
      </w:r>
    </w:p>
  </w:footnote>
  <w:footnote w:id="482">
    <w:p>
      <w:pPr>
        <w:pStyle w:val="FootnoteText"/>
      </w:pPr>
      <w:r>
        <w:rPr>
          <w:rStyle w:val="FootnoteReference"/>
        </w:rPr>
        <w:footnoteRef/>
      </w:r>
      <w:r>
        <w:t xml:space="preserve"> Translation note: Greek says we will lodge in the square.</w:t>
      </w:r>
    </w:p>
  </w:footnote>
  <w:footnote w:id="483">
    <w:p>
      <w:pPr>
        <w:pStyle w:val="FootnoteText"/>
      </w:pPr>
      <w:r>
        <w:rPr>
          <w:rStyle w:val="FootnoteReference"/>
        </w:rPr>
        <w:footnoteRef/>
      </w:r>
      <w:r>
        <w:t xml:space="preserve"> Cross-references for "pressed": 2Kgs 4:8; Luke 11:8.</w:t>
      </w:r>
    </w:p>
  </w:footnote>
  <w:footnote w:id="484">
    <w:p>
      <w:pPr>
        <w:pStyle w:val="FootnoteText"/>
      </w:pPr>
      <w:r>
        <w:rPr>
          <w:rStyle w:val="FootnoteReference"/>
        </w:rPr>
        <w:footnoteRef/>
      </w:r>
      <w:r>
        <w:t xml:space="preserve"> Transliterated proper noun: Sodomites. Standard English equivalent: Sodom. Source form: Sodomites. Greek form: Σοδομῖται. Name meaning: their secret; their cement.</w:t>
      </w:r>
    </w:p>
  </w:footnote>
  <w:footnote w:id="485">
    <w:p>
      <w:pPr>
        <w:pStyle w:val="FootnoteText"/>
      </w:pPr>
      <w:r>
        <w:rPr>
          <w:rStyle w:val="FootnoteReference"/>
        </w:rPr>
        <w:footnoteRef/>
      </w:r>
      <w:r>
        <w:t xml:space="preserve"> Translation note: Greek says under shelter of my roof-beams.</w:t>
      </w:r>
    </w:p>
  </w:footnote>
  <w:footnote w:id="486">
    <w:p>
      <w:pPr>
        <w:pStyle w:val="FootnoteText"/>
      </w:pPr>
      <w:r>
        <w:rPr>
          <w:rStyle w:val="FootnoteReference"/>
        </w:rPr>
        <w:footnoteRef/>
      </w:r>
      <w:r>
        <w:t xml:space="preserve"> Cross-references for "Stand": 1Sam 17:44; 1Sam 25:17.</w:t>
      </w:r>
    </w:p>
  </w:footnote>
  <w:footnote w:id="487">
    <w:p>
      <w:pPr>
        <w:pStyle w:val="FootnoteText"/>
      </w:pPr>
      <w:r>
        <w:rPr>
          <w:rStyle w:val="FootnoteReference"/>
        </w:rPr>
        <w:footnoteRef/>
      </w:r>
      <w:r>
        <w:t xml:space="preserve"> Translation note: Greek turns the accusation into a direct challenge. The translation keeps that tone natural and close.</w:t>
      </w:r>
    </w:p>
  </w:footnote>
  <w:footnote w:id="488">
    <w:p>
      <w:pPr>
        <w:pStyle w:val="FootnoteText"/>
      </w:pPr>
      <w:r>
        <w:rPr>
          <w:rStyle w:val="FootnoteReference"/>
        </w:rPr>
        <w:footnoteRef/>
      </w:r>
      <w:r>
        <w:t xml:space="preserve"> Cross-references for "with blindness": 2Kgs 6:18; Acts 13:11.</w:t>
      </w:r>
    </w:p>
  </w:footnote>
  <w:footnote w:id="489">
    <w:p>
      <w:pPr>
        <w:pStyle w:val="FootnoteText"/>
      </w:pPr>
      <w:r>
        <w:rPr>
          <w:rStyle w:val="FootnoteReference"/>
        </w:rPr>
        <w:footnoteRef/>
      </w:r>
      <w:r>
        <w:t xml:space="preserve"> Translation note: Greek says he seemed to be joking here.</w:t>
      </w:r>
    </w:p>
  </w:footnote>
  <w:footnote w:id="490">
    <w:p>
      <w:pPr>
        <w:pStyle w:val="FootnoteText"/>
      </w:pPr>
      <w:r>
        <w:rPr>
          <w:rStyle w:val="FootnoteReference"/>
        </w:rPr>
        <w:footnoteRef/>
      </w:r>
      <w:r>
        <w:t xml:space="preserve"> Translation note: Greek says they were troubled and the Lord spared him.</w:t>
      </w:r>
    </w:p>
  </w:footnote>
  <w:footnote w:id="491">
    <w:p>
      <w:pPr>
        <w:pStyle w:val="FootnoteText"/>
      </w:pPr>
      <w:r>
        <w:rPr>
          <w:rStyle w:val="FootnoteReference"/>
        </w:rPr>
        <w:footnoteRef/>
      </w:r>
      <w:r>
        <w:t xml:space="preserve"> Cross-references for "the Lord": Exod 34:6; Num 14:18.</w:t>
      </w:r>
    </w:p>
  </w:footnote>
  <w:footnote w:id="492">
    <w:p>
      <w:pPr>
        <w:pStyle w:val="FootnoteText"/>
      </w:pPr>
      <w:r>
        <w:rPr>
          <w:rStyle w:val="FootnoteReference"/>
        </w:rPr>
        <w:footnoteRef/>
      </w:r>
      <w:r>
        <w:t xml:space="preserve"> Cross-references for "Escape": Gen 19:14-15; Gen 19:22.</w:t>
      </w:r>
    </w:p>
  </w:footnote>
  <w:footnote w:id="493">
    <w:p>
      <w:pPr>
        <w:pStyle w:val="FootnoteText"/>
      </w:pPr>
      <w:r>
        <w:rPr>
          <w:rStyle w:val="FootnoteReference"/>
        </w:rPr>
        <w:footnoteRef/>
      </w:r>
      <w:r>
        <w:t xml:space="preserve"> Translation note: Greek says righteousness not mercy here.</w:t>
      </w:r>
    </w:p>
  </w:footnote>
  <w:footnote w:id="494">
    <w:p>
      <w:pPr>
        <w:pStyle w:val="FootnoteText"/>
      </w:pPr>
      <w:r>
        <w:rPr>
          <w:rStyle w:val="FootnoteReference"/>
        </w:rPr>
        <w:footnoteRef/>
      </w:r>
      <w:r>
        <w:t xml:space="preserve"> Cross-references for "And my": Gen 12:13; Ps 119:175.</w:t>
      </w:r>
    </w:p>
  </w:footnote>
  <w:footnote w:id="495">
    <w:p>
      <w:pPr>
        <w:pStyle w:val="FootnoteText"/>
      </w:pPr>
      <w:r>
        <w:rPr>
          <w:rStyle w:val="FootnoteReference"/>
        </w:rPr>
        <w:footnoteRef/>
      </w:r>
      <w:r>
        <w:t xml:space="preserve"> Cross-references for "called": Gen 13:10; Gen 14:2.</w:t>
      </w:r>
    </w:p>
  </w:footnote>
  <w:footnote w:id="496">
    <w:p>
      <w:pPr>
        <w:pStyle w:val="FootnoteText"/>
      </w:pPr>
      <w:r>
        <w:rPr>
          <w:rStyle w:val="FootnoteReference"/>
        </w:rPr>
        <w:footnoteRef/>
      </w:r>
      <w:r>
        <w:t xml:space="preserve"> Cross-references for "the Lord": Deut 29:23; Job 18:15.</w:t>
      </w:r>
    </w:p>
  </w:footnote>
  <w:footnote w:id="497">
    <w:p>
      <w:pPr>
        <w:pStyle w:val="FootnoteText"/>
      </w:pPr>
      <w:r>
        <w:rPr>
          <w:rStyle w:val="FootnoteReference"/>
        </w:rPr>
        <w:footnoteRef/>
      </w:r>
      <w:r>
        <w:t xml:space="preserve"> Cross-references for "looked": Gen 19:17; Prov 14:14.</w:t>
      </w:r>
    </w:p>
  </w:footnote>
  <w:footnote w:id="498">
    <w:p>
      <w:pPr>
        <w:pStyle w:val="FootnoteText"/>
      </w:pPr>
      <w:r>
        <w:rPr>
          <w:rStyle w:val="FootnoteReference"/>
        </w:rPr>
        <w:footnoteRef/>
      </w:r>
      <w:r>
        <w:t xml:space="preserve"> Cross-references for "early": Ps 5:3.</w:t>
      </w:r>
    </w:p>
  </w:footnote>
  <w:footnote w:id="499">
    <w:p>
      <w:pPr>
        <w:pStyle w:val="FootnoteText"/>
      </w:pPr>
      <w:r>
        <w:rPr>
          <w:rStyle w:val="FootnoteReference"/>
        </w:rPr>
        <w:footnoteRef/>
      </w:r>
      <w:r>
        <w:t xml:space="preserve"> Translation note: Greek ties Lot's rescue to God's remembering Abraham. Current wording preserves that link and the overthrow language.</w:t>
      </w:r>
    </w:p>
  </w:footnote>
  <w:footnote w:id="500">
    <w:p>
      <w:pPr>
        <w:pStyle w:val="FootnoteText"/>
      </w:pPr>
      <w:r>
        <w:rPr>
          <w:rStyle w:val="FootnoteReference"/>
        </w:rPr>
        <w:footnoteRef/>
      </w:r>
      <w:r>
        <w:t xml:space="preserve"> Cross-references for "for he": Gen 49:4; Jer 2:36-37.</w:t>
      </w:r>
    </w:p>
  </w:footnote>
  <w:footnote w:id="501">
    <w:p>
      <w:pPr>
        <w:pStyle w:val="FootnoteText"/>
      </w:pPr>
      <w:r>
        <w:rPr>
          <w:rStyle w:val="FootnoteReference"/>
        </w:rPr>
        <w:footnoteRef/>
      </w:r>
      <w:r>
        <w:t xml:space="preserve"> Cross-references for "drink": Gen 9:21; Prov 23:31-33.</w:t>
      </w:r>
    </w:p>
  </w:footnote>
  <w:footnote w:id="502">
    <w:p>
      <w:pPr>
        <w:pStyle w:val="FootnoteText"/>
      </w:pPr>
      <w:r>
        <w:rPr>
          <w:rStyle w:val="FootnoteReference"/>
        </w:rPr>
        <w:footnoteRef/>
      </w:r>
      <w:r>
        <w:t xml:space="preserve"> Cross-references for "drink": Lev 18:6-7; Prov 20:1.</w:t>
      </w:r>
    </w:p>
  </w:footnote>
  <w:footnote w:id="503">
    <w:p>
      <w:pPr>
        <w:pStyle w:val="FootnoteText"/>
      </w:pPr>
      <w:r>
        <w:rPr>
          <w:rStyle w:val="FootnoteReference"/>
        </w:rPr>
        <w:footnoteRef/>
      </w:r>
      <w:r>
        <w:t xml:space="preserve"> Translation note: Greek says let us raise up seed from our father.</w:t>
      </w:r>
    </w:p>
  </w:footnote>
  <w:footnote w:id="504">
    <w:p>
      <w:pPr>
        <w:pStyle w:val="FootnoteText"/>
      </w:pPr>
      <w:r>
        <w:rPr>
          <w:rStyle w:val="FootnoteReference"/>
        </w:rPr>
        <w:footnoteRef/>
      </w:r>
      <w:r>
        <w:t xml:space="preserve"> Place name: Moab. Place-name meaning: Moab — of his father. Source form: Moab. Greek form: Μωὰβ.</w:t>
      </w:r>
    </w:p>
  </w:footnote>
  <w:footnote w:id="505">
    <w:p>
      <w:pPr>
        <w:pStyle w:val="FootnoteText"/>
      </w:pPr>
      <w:r>
        <w:rPr>
          <w:rStyle w:val="FootnoteReference"/>
        </w:rPr>
        <w:footnoteRef/>
      </w:r>
      <w:r>
        <w:t xml:space="preserve"> People-name: Moabites. People-name meaning: Moabites — of his father. Source form: Moabites.</w:t>
      </w:r>
    </w:p>
  </w:footnote>
  <w:footnote w:id="506">
    <w:p>
      <w:pPr>
        <w:pStyle w:val="FootnoteText"/>
      </w:pPr>
      <w:r>
        <w:rPr>
          <w:rStyle w:val="FootnoteReference"/>
        </w:rPr>
        <w:footnoteRef/>
      </w:r>
      <w:r>
        <w:t xml:space="preserve"> Cross-references for "Moabites": Num 21:29; Num 22:1-41.</w:t>
      </w:r>
    </w:p>
  </w:footnote>
  <w:footnote w:id="507">
    <w:p>
      <w:pPr>
        <w:pStyle w:val="FootnoteText"/>
      </w:pPr>
      <w:r>
        <w:rPr>
          <w:rStyle w:val="FootnoteReference"/>
        </w:rPr>
        <w:footnoteRef/>
      </w:r>
      <w:r>
        <w:t xml:space="preserve"> Personal name: Benammi. Personal-name meaning: Benammi — son of my people. Source form: Benammi.</w:t>
      </w:r>
    </w:p>
  </w:footnote>
  <w:footnote w:id="508">
    <w:p>
      <w:pPr>
        <w:pStyle w:val="FootnoteText"/>
      </w:pPr>
      <w:r>
        <w:rPr>
          <w:rStyle w:val="FootnoteReference"/>
        </w:rPr>
        <w:footnoteRef/>
      </w:r>
      <w:r>
        <w:t xml:space="preserve"> People-name: Ammonites. People-name meaning: Ammonites — a people; the son of my people. Source form: Ammonites.</w:t>
      </w:r>
    </w:p>
  </w:footnote>
  <w:footnote w:id="509">
    <w:p>
      <w:pPr>
        <w:pStyle w:val="FootnoteText"/>
      </w:pPr>
      <w:r>
        <w:rPr>
          <w:rStyle w:val="FootnoteReference"/>
        </w:rPr>
        <w:footnoteRef/>
      </w:r>
      <w:r>
        <w:t xml:space="preserve"> Cross-references for "Kadesh": Gen 14:7; Gen 16:1.</w:t>
      </w:r>
    </w:p>
  </w:footnote>
  <w:footnote w:id="510">
    <w:p>
      <w:pPr>
        <w:pStyle w:val="FootnoteText"/>
      </w:pPr>
      <w:r>
        <w:rPr>
          <w:rStyle w:val="FootnoteReference"/>
        </w:rPr>
        <w:footnoteRef/>
      </w:r>
      <w:r>
        <w:t xml:space="preserve"> Cross-references for "said": Gen 12:11-13; Gen 26:7.</w:t>
      </w:r>
    </w:p>
  </w:footnote>
  <w:footnote w:id="511">
    <w:p>
      <w:pPr>
        <w:pStyle w:val="FootnoteText"/>
      </w:pPr>
      <w:r>
        <w:rPr>
          <w:rStyle w:val="FootnoteReference"/>
        </w:rPr>
        <w:footnoteRef/>
      </w:r>
      <w:r>
        <w:t xml:space="preserve"> Name meaning: Abimelech (Avimelek) — My father is king. Royal name or title borne by rulers in the patriarchal and judges narratives.</w:t>
      </w:r>
    </w:p>
  </w:footnote>
  <w:footnote w:id="512">
    <w:p>
      <w:pPr>
        <w:pStyle w:val="FootnoteText"/>
      </w:pPr>
      <w:r>
        <w:rPr>
          <w:rStyle w:val="FootnoteReference"/>
        </w:rPr>
        <w:footnoteRef/>
      </w:r>
      <w:r>
        <w:t xml:space="preserve"> Cross-references for "to touch": Gen 3:3; Gen 26:11.</w:t>
      </w:r>
    </w:p>
  </w:footnote>
  <w:footnote w:id="513">
    <w:p>
      <w:pPr>
        <w:pStyle w:val="FootnoteText"/>
      </w:pPr>
      <w:r>
        <w:rPr>
          <w:rStyle w:val="FootnoteReference"/>
        </w:rPr>
        <w:footnoteRef/>
      </w:r>
      <w:r>
        <w:t xml:space="preserve"> Cross-references for "a prophet": Exod 4:16; Exod 7:1.</w:t>
      </w:r>
    </w:p>
  </w:footnote>
  <w:footnote w:id="514">
    <w:p>
      <w:pPr>
        <w:pStyle w:val="FootnoteText"/>
      </w:pPr>
      <w:r>
        <w:rPr>
          <w:rStyle w:val="FootnoteReference"/>
        </w:rPr>
        <w:footnoteRef/>
      </w:r>
      <w:r>
        <w:t xml:space="preserve"> Cross-references for "a great": Gen 38:24; Gen 39:9.</w:t>
      </w:r>
    </w:p>
  </w:footnote>
  <w:footnote w:id="515">
    <w:p>
      <w:pPr>
        <w:pStyle w:val="FootnoteText"/>
      </w:pPr>
      <w:r>
        <w:rPr>
          <w:rStyle w:val="FootnoteReference"/>
        </w:rPr>
        <w:footnoteRef/>
      </w:r>
      <w:r>
        <w:t xml:space="preserve"> Cross-references for "Surely": Gen 22:12; Gen 42:18.</w:t>
      </w:r>
    </w:p>
  </w:footnote>
  <w:footnote w:id="516">
    <w:p>
      <w:pPr>
        <w:pStyle w:val="FootnoteText"/>
      </w:pPr>
      <w:r>
        <w:rPr>
          <w:rStyle w:val="FootnoteReference"/>
        </w:rPr>
        <w:footnoteRef/>
      </w:r>
      <w:r>
        <w:t xml:space="preserve"> Translation note: Greek says this righteousness you shall do for me.</w:t>
      </w:r>
    </w:p>
  </w:footnote>
  <w:footnote w:id="517">
    <w:p>
      <w:pPr>
        <w:pStyle w:val="FootnoteText"/>
      </w:pPr>
      <w:r>
        <w:rPr>
          <w:rStyle w:val="FootnoteReference"/>
        </w:rPr>
        <w:footnoteRef/>
      </w:r>
      <w:r>
        <w:t xml:space="preserve"> Cross-references for "took": Gen 12:16; Gen 20:11.</w:t>
      </w:r>
    </w:p>
  </w:footnote>
  <w:footnote w:id="518">
    <w:p>
      <w:pPr>
        <w:pStyle w:val="FootnoteText"/>
      </w:pPr>
      <w:r>
        <w:rPr>
          <w:rStyle w:val="FootnoteReference"/>
        </w:rPr>
        <w:footnoteRef/>
      </w:r>
      <w:r>
        <w:t xml:space="preserve"> Cross-references for "my land": Gen 13:9; Gen 34:10.</w:t>
      </w:r>
    </w:p>
  </w:footnote>
  <w:footnote w:id="519">
    <w:p>
      <w:pPr>
        <w:pStyle w:val="FootnoteText"/>
      </w:pPr>
      <w:r>
        <w:rPr>
          <w:rStyle w:val="FootnoteReference"/>
        </w:rPr>
        <w:footnoteRef/>
      </w:r>
      <w:r>
        <w:t xml:space="preserve"> Cross-references for "thousand": Gen 23:15-16.</w:t>
      </w:r>
    </w:p>
  </w:footnote>
  <w:footnote w:id="520">
    <w:p>
      <w:pPr>
        <w:pStyle w:val="FootnoteText"/>
      </w:pPr>
      <w:r>
        <w:rPr>
          <w:rStyle w:val="FootnoteReference"/>
        </w:rPr>
        <w:footnoteRef/>
      </w:r>
      <w:r>
        <w:t xml:space="preserve"> Cross-references for "visited": Gen 50:24; Exod 3:16.</w:t>
      </w:r>
    </w:p>
  </w:footnote>
  <w:footnote w:id="521">
    <w:p>
      <w:pPr>
        <w:pStyle w:val="FootnoteText"/>
      </w:pPr>
      <w:r>
        <w:rPr>
          <w:rStyle w:val="FootnoteReference"/>
        </w:rPr>
        <w:footnoteRef/>
      </w:r>
      <w:r>
        <w:t xml:space="preserve"> Cross-references for "For I": Gen 18:11-12.</w:t>
      </w:r>
    </w:p>
  </w:footnote>
  <w:footnote w:id="522">
    <w:p>
      <w:pPr>
        <w:pStyle w:val="FootnoteText"/>
      </w:pPr>
      <w:r>
        <w:rPr>
          <w:rStyle w:val="FootnoteReference"/>
        </w:rPr>
        <w:footnoteRef/>
      </w:r>
      <w:r>
        <w:t xml:space="preserve"> Cross-references for "feast": Gen 19:3; Gen 26:30.</w:t>
      </w:r>
    </w:p>
  </w:footnote>
  <w:footnote w:id="523">
    <w:p>
      <w:pPr>
        <w:pStyle w:val="FootnoteText"/>
      </w:pPr>
      <w:r>
        <w:rPr>
          <w:rStyle w:val="FootnoteReference"/>
        </w:rPr>
        <w:footnoteRef/>
      </w:r>
      <w:r>
        <w:t xml:space="preserve"> Cross-references for "Sarah": Gen 16:3-6; Gen 16:15.</w:t>
      </w:r>
    </w:p>
  </w:footnote>
  <w:footnote w:id="524">
    <w:p>
      <w:pPr>
        <w:pStyle w:val="FootnoteText"/>
      </w:pPr>
      <w:r>
        <w:rPr>
          <w:rStyle w:val="FootnoteReference"/>
        </w:rPr>
        <w:footnoteRef/>
      </w:r>
      <w:r>
        <w:t xml:space="preserve"> Cross-references for "Cast out": Gen 17:19; Gen 17:21.</w:t>
      </w:r>
    </w:p>
  </w:footnote>
  <w:footnote w:id="525">
    <w:p>
      <w:pPr>
        <w:pStyle w:val="FootnoteText"/>
      </w:pPr>
      <w:r>
        <w:rPr>
          <w:rStyle w:val="FootnoteReference"/>
        </w:rPr>
        <w:footnoteRef/>
      </w:r>
      <w:r>
        <w:t xml:space="preserve"> Cross-references for "in Isaac": Gen 17:19; Gen 17:21.</w:t>
      </w:r>
    </w:p>
  </w:footnote>
  <w:footnote w:id="526">
    <w:p>
      <w:pPr>
        <w:pStyle w:val="FootnoteText"/>
      </w:pPr>
      <w:r>
        <w:rPr>
          <w:rStyle w:val="FootnoteReference"/>
        </w:rPr>
        <w:footnoteRef/>
      </w:r>
      <w:r>
        <w:t xml:space="preserve"> Cross-references for "took": Gen 25:6; Gen 36:6-7.</w:t>
      </w:r>
    </w:p>
  </w:footnote>
  <w:footnote w:id="527">
    <w:p>
      <w:pPr>
        <w:pStyle w:val="FootnoteText"/>
      </w:pPr>
      <w:r>
        <w:rPr>
          <w:rStyle w:val="FootnoteReference"/>
        </w:rPr>
        <w:footnoteRef/>
      </w:r>
      <w:r>
        <w:t xml:space="preserve"> Translation note: Greek describes the wilderness by the well of the oath rather than using the Hebrew place-name Beersheba. The translation keeps the Greek geography explicit.</w:t>
      </w:r>
    </w:p>
  </w:footnote>
  <w:footnote w:id="528">
    <w:p>
      <w:pPr>
        <w:pStyle w:val="FootnoteText"/>
      </w:pPr>
      <w:r>
        <w:rPr>
          <w:rStyle w:val="FootnoteReference"/>
        </w:rPr>
        <w:footnoteRef/>
      </w:r>
      <w:r>
        <w:t xml:space="preserve"> Cross-references for "the water": Gen 21:14; Exod 15:22-25.</w:t>
      </w:r>
    </w:p>
  </w:footnote>
  <w:footnote w:id="529">
    <w:p>
      <w:pPr>
        <w:pStyle w:val="FootnoteText"/>
      </w:pPr>
      <w:r>
        <w:rPr>
          <w:rStyle w:val="FootnoteReference"/>
        </w:rPr>
        <w:footnoteRef/>
      </w:r>
      <w:r>
        <w:t xml:space="preserve"> Cross-references for "heard": Gen 16:11; Exod 3:7.</w:t>
      </w:r>
    </w:p>
  </w:footnote>
  <w:footnote w:id="530">
    <w:p>
      <w:pPr>
        <w:pStyle w:val="FootnoteText"/>
      </w:pPr>
      <w:r>
        <w:rPr>
          <w:rStyle w:val="FootnoteReference"/>
        </w:rPr>
        <w:footnoteRef/>
      </w:r>
      <w:r>
        <w:t xml:space="preserve"> Cross-references for "an archer": Gen 10:9; Gen 16:12.</w:t>
      </w:r>
    </w:p>
  </w:footnote>
  <w:footnote w:id="531">
    <w:p>
      <w:pPr>
        <w:pStyle w:val="FootnoteText"/>
      </w:pPr>
      <w:r>
        <w:rPr>
          <w:rStyle w:val="FootnoteReference"/>
        </w:rPr>
        <w:footnoteRef/>
      </w:r>
      <w:r>
        <w:t xml:space="preserve"> Cross-references for "a wife": Gen 24:3-4; Gen 26:34-35.</w:t>
      </w:r>
    </w:p>
  </w:footnote>
  <w:footnote w:id="532">
    <w:p>
      <w:pPr>
        <w:pStyle w:val="FootnoteText"/>
      </w:pPr>
      <w:r>
        <w:rPr>
          <w:rStyle w:val="FootnoteReference"/>
        </w:rPr>
        <w:footnoteRef/>
      </w:r>
      <w:r>
        <w:t xml:space="preserve"> Cross-references for "Abimelech": Gen 20:2; Gen 26:26.</w:t>
      </w:r>
    </w:p>
  </w:footnote>
  <w:footnote w:id="533">
    <w:p>
      <w:pPr>
        <w:pStyle w:val="FootnoteText"/>
      </w:pPr>
      <w:r>
        <w:rPr>
          <w:rStyle w:val="FootnoteReference"/>
        </w:rPr>
        <w:footnoteRef/>
      </w:r>
      <w:r>
        <w:t xml:space="preserve"> Personal name: Ahuzzath. Personal-name meaning: Ahuzzath — possession; holding. Source form: Ahuzzath.</w:t>
      </w:r>
    </w:p>
  </w:footnote>
  <w:footnote w:id="534">
    <w:p>
      <w:pPr>
        <w:pStyle w:val="FootnoteText"/>
      </w:pPr>
      <w:r>
        <w:rPr>
          <w:rStyle w:val="FootnoteReference"/>
        </w:rPr>
        <w:footnoteRef/>
      </w:r>
      <w:r>
        <w:t xml:space="preserve"> Transliterated proper noun: Phichol. Standard English equivalent: Phichol. Source form: Phichol. Greek form: Φιχὸλ. Name meaning: the mouth of all, or every tongue.</w:t>
      </w:r>
    </w:p>
  </w:footnote>
  <w:footnote w:id="535">
    <w:p>
      <w:pPr>
        <w:pStyle w:val="FootnoteText"/>
      </w:pPr>
      <w:r>
        <w:rPr>
          <w:rStyle w:val="FootnoteReference"/>
        </w:rPr>
        <w:footnoteRef/>
      </w:r>
      <w:r>
        <w:t xml:space="preserve"> Cross-references for "swear": Gen 14:22-23; Gen 24:3.</w:t>
      </w:r>
    </w:p>
  </w:footnote>
  <w:footnote w:id="536">
    <w:p>
      <w:pPr>
        <w:pStyle w:val="FootnoteText"/>
      </w:pPr>
      <w:r>
        <w:rPr>
          <w:rStyle w:val="FootnoteReference"/>
        </w:rPr>
        <w:footnoteRef/>
      </w:r>
      <w:r>
        <w:t xml:space="preserve"> MT/LXX note: Greek uses seed and name here rather than the Masoretic son and grandson wording. The translation follows the Greek phrase.</w:t>
      </w:r>
    </w:p>
  </w:footnote>
  <w:footnote w:id="537">
    <w:p>
      <w:pPr>
        <w:pStyle w:val="FootnoteText"/>
      </w:pPr>
      <w:r>
        <w:rPr>
          <w:rStyle w:val="FootnoteReference"/>
        </w:rPr>
        <w:footnoteRef/>
      </w:r>
      <w:r>
        <w:t xml:space="preserve"> Translation note: The Greek reply is compact and direct. The current wording preserves that line.</w:t>
      </w:r>
    </w:p>
  </w:footnote>
  <w:footnote w:id="538">
    <w:p>
      <w:pPr>
        <w:pStyle w:val="FootnoteText"/>
      </w:pPr>
      <w:r>
        <w:rPr>
          <w:rStyle w:val="FootnoteReference"/>
        </w:rPr>
        <w:footnoteRef/>
      </w:r>
      <w:r>
        <w:t xml:space="preserve"> Cross-references for "reproved": Gen 26:15-22; Gen 29:8.</w:t>
      </w:r>
    </w:p>
  </w:footnote>
  <w:footnote w:id="539">
    <w:p>
      <w:pPr>
        <w:pStyle w:val="FootnoteText"/>
      </w:pPr>
      <w:r>
        <w:rPr>
          <w:rStyle w:val="FootnoteReference"/>
        </w:rPr>
        <w:footnoteRef/>
      </w:r>
      <w:r>
        <w:t xml:space="preserve"> Cross-references for "took": Gen 14:22-23; Prov 17:8.</w:t>
      </w:r>
    </w:p>
  </w:footnote>
  <w:footnote w:id="540">
    <w:p>
      <w:pPr>
        <w:pStyle w:val="FootnoteText"/>
      </w:pPr>
      <w:r>
        <w:rPr>
          <w:rStyle w:val="FootnoteReference"/>
        </w:rPr>
        <w:footnoteRef/>
      </w:r>
      <w:r>
        <w:t xml:space="preserve"> Translation note: The Greek keeps flock wording explicit. The current wording preserves that line.</w:t>
      </w:r>
    </w:p>
  </w:footnote>
  <w:footnote w:id="541">
    <w:p>
      <w:pPr>
        <w:pStyle w:val="FootnoteText"/>
      </w:pPr>
      <w:r>
        <w:rPr>
          <w:rStyle w:val="FootnoteReference"/>
        </w:rPr>
        <w:footnoteRef/>
      </w:r>
      <w:r>
        <w:t xml:space="preserve"> Cross-references for "a witness": Gen 31:44-48; Gen 31:52.</w:t>
      </w:r>
    </w:p>
  </w:footnote>
  <w:footnote w:id="542">
    <w:p>
      <w:pPr>
        <w:pStyle w:val="FootnoteText"/>
      </w:pPr>
      <w:r>
        <w:rPr>
          <w:rStyle w:val="FootnoteReference"/>
        </w:rPr>
        <w:footnoteRef/>
      </w:r>
      <w:r>
        <w:t xml:space="preserve"> Cross-references for "the Philistines": Gen 10:14; Gen 26:8.</w:t>
      </w:r>
    </w:p>
  </w:footnote>
  <w:footnote w:id="543">
    <w:p>
      <w:pPr>
        <w:pStyle w:val="FootnoteText"/>
      </w:pPr>
      <w:r>
        <w:rPr>
          <w:rStyle w:val="FootnoteReference"/>
        </w:rPr>
        <w:footnoteRef/>
      </w:r>
      <w:r>
        <w:t xml:space="preserve"> Cross-references for "called": Gen 4:26; Gen 12:8.</w:t>
      </w:r>
    </w:p>
  </w:footnote>
  <w:footnote w:id="544">
    <w:p>
      <w:pPr>
        <w:pStyle w:val="FootnoteText"/>
      </w:pPr>
      <w:r>
        <w:rPr>
          <w:rStyle w:val="FootnoteReference"/>
        </w:rPr>
        <w:footnoteRef/>
      </w:r>
      <w:r>
        <w:t xml:space="preserve"> Greek LXX divine name/title: Theos Aionios (Θεὸς αἰώνιος) — Everlasting God. Common English rendering: Everlasting God. The LXX translates El Olam as Theos Aionios, Everlasting God.</w:t>
      </w:r>
    </w:p>
  </w:footnote>
  <w:footnote w:id="545">
    <w:p>
      <w:pPr>
        <w:pStyle w:val="FootnoteText"/>
      </w:pPr>
      <w:r>
        <w:rPr>
          <w:rStyle w:val="FootnoteReference"/>
        </w:rPr>
        <w:footnoteRef/>
      </w:r>
      <w:r>
        <w:t xml:space="preserve"> Hebrew divine name/title: El Olam (</w:t>
      </w:r>
      <w:r>
        <w:rPr>
          <w:lang w:val="he-IL" w:bidi="he-IL"/>
          <w:rtl/>
        </w:rPr>
        <w:t xml:space="preserve">אֵל עוֹלָם</w:t>
      </w:r>
      <w:r>
        <w:t xml:space="preserve">) — Everlasting God. Common English rendering: everlasting God. Highlights God’s eternal nature and enduring covenant faithfulness.</w:t>
      </w:r>
    </w:p>
  </w:footnote>
  <w:footnote w:id="546">
    <w:p>
      <w:pPr>
        <w:pStyle w:val="FootnoteText"/>
      </w:pPr>
      <w:r>
        <w:rPr>
          <w:rStyle w:val="FootnoteReference"/>
        </w:rPr>
        <w:footnoteRef/>
      </w:r>
      <w:r>
        <w:t xml:space="preserve"> Cross-references for "Take": Gen 17:19; Gen 21:12.</w:t>
      </w:r>
    </w:p>
  </w:footnote>
  <w:footnote w:id="547">
    <w:p>
      <w:pPr>
        <w:pStyle w:val="FootnoteText"/>
      </w:pPr>
      <w:r>
        <w:rPr>
          <w:rStyle w:val="FootnoteReference"/>
        </w:rPr>
        <w:footnoteRef/>
      </w:r>
      <w:r>
        <w:t xml:space="preserve"> Translation note: Greek uses the whole-burnt-offering term. The translation keeps that wording.</w:t>
      </w:r>
    </w:p>
  </w:footnote>
  <w:footnote w:id="548">
    <w:p>
      <w:pPr>
        <w:pStyle w:val="FootnoteText"/>
      </w:pPr>
      <w:r>
        <w:rPr>
          <w:rStyle w:val="FootnoteReference"/>
        </w:rPr>
        <w:footnoteRef/>
      </w:r>
      <w:r>
        <w:t xml:space="preserve"> Cross-references for "laid it": Isa 53:6; Matt 8:17.</w:t>
      </w:r>
    </w:p>
  </w:footnote>
  <w:footnote w:id="549">
    <w:p>
      <w:pPr>
        <w:pStyle w:val="FootnoteText"/>
      </w:pPr>
      <w:r>
        <w:rPr>
          <w:rStyle w:val="FootnoteReference"/>
        </w:rPr>
        <w:footnoteRef/>
      </w:r>
      <w:r>
        <w:t xml:space="preserve"> Translation note: Greek asks directly for the sheep-for-offering. Current wording preserves it.</w:t>
      </w:r>
    </w:p>
  </w:footnote>
  <w:footnote w:id="550">
    <w:p>
      <w:pPr>
        <w:pStyle w:val="FootnoteText"/>
      </w:pPr>
      <w:r>
        <w:rPr>
          <w:rStyle w:val="FootnoteReference"/>
        </w:rPr>
        <w:footnoteRef/>
      </w:r>
      <w:r>
        <w:t xml:space="preserve"> Cross-references for "place": Gen 22:2-4; Matt 21:1-46.</w:t>
      </w:r>
    </w:p>
  </w:footnote>
  <w:footnote w:id="551">
    <w:p>
      <w:pPr>
        <w:pStyle w:val="FootnoteText"/>
      </w:pPr>
      <w:r>
        <w:rPr>
          <w:rStyle w:val="FootnoteReference"/>
        </w:rPr>
        <w:footnoteRef/>
      </w:r>
      <w:r>
        <w:t xml:space="preserve"> Cross-references for "angel": Gen 16:7; Gen 16:9-10.</w:t>
      </w:r>
    </w:p>
  </w:footnote>
  <w:footnote w:id="552">
    <w:p>
      <w:pPr>
        <w:pStyle w:val="FootnoteText"/>
      </w:pPr>
      <w:r>
        <w:rPr>
          <w:rStyle w:val="FootnoteReference"/>
        </w:rPr>
        <w:footnoteRef/>
      </w:r>
      <w:r>
        <w:t xml:space="preserve"> Translation note: Greek gives the caught-ram line very concretely. Current wording preserves it.</w:t>
      </w:r>
    </w:p>
  </w:footnote>
  <w:footnote w:id="553">
    <w:p>
      <w:pPr>
        <w:pStyle w:val="FootnoteText"/>
      </w:pPr>
      <w:r>
        <w:rPr>
          <w:rStyle w:val="FootnoteReference"/>
        </w:rPr>
        <w:footnoteRef/>
      </w:r>
      <w:r>
        <w:t xml:space="preserve"> Cross-references for "called": Gen 16:13-14; Gen 28:19.</w:t>
      </w:r>
    </w:p>
  </w:footnote>
  <w:footnote w:id="554">
    <w:p>
      <w:pPr>
        <w:pStyle w:val="FootnoteText"/>
      </w:pPr>
      <w:r>
        <w:rPr>
          <w:rStyle w:val="FootnoteReference"/>
        </w:rPr>
        <w:footnoteRef/>
      </w:r>
      <w:r>
        <w:t xml:space="preserve"> Greek LXX divine name/title: Kyrios eiden (Κύριος εἶδεν) — The Lord saw. Common English rendering: The Lord saw. The LXX renders Yahweh Yireh with sight-language: The Lord saw.</w:t>
      </w:r>
    </w:p>
  </w:footnote>
  <w:footnote w:id="555">
    <w:p>
      <w:pPr>
        <w:pStyle w:val="FootnoteText"/>
      </w:pPr>
      <w:r>
        <w:rPr>
          <w:rStyle w:val="FootnoteReference"/>
        </w:rPr>
        <w:footnoteRef/>
      </w:r>
      <w:r>
        <w:t xml:space="preserve"> Hebrew divine name/title: Yahweh Yireh (</w:t>
      </w:r>
      <w:r>
        <w:rPr>
          <w:lang w:val="he-IL" w:bidi="he-IL"/>
          <w:rtl/>
        </w:rPr>
        <w:t xml:space="preserve">יְהוָה יִרְאֶה</w:t>
      </w:r>
      <w:r>
        <w:t xml:space="preserve">) — The LORD will provide; The LORD will see. Common English rendering: The LORD will provide. Abraham’s memorial name after God provided the ram in Isaac’s place.</w:t>
      </w:r>
    </w:p>
  </w:footnote>
  <w:footnote w:id="556">
    <w:p>
      <w:pPr>
        <w:pStyle w:val="FootnoteText"/>
      </w:pPr>
      <w:r>
        <w:rPr>
          <w:rStyle w:val="FootnoteReference"/>
        </w:rPr>
        <w:footnoteRef/>
      </w:r>
      <w:r>
        <w:t xml:space="preserve"> Cross-references for "in blessing": Gen 12:2; Gen 27:28-29.</w:t>
      </w:r>
    </w:p>
  </w:footnote>
  <w:footnote w:id="557">
    <w:p>
      <w:pPr>
        <w:pStyle w:val="FootnoteText"/>
      </w:pPr>
      <w:r>
        <w:rPr>
          <w:rStyle w:val="FootnoteReference"/>
        </w:rPr>
        <w:footnoteRef/>
      </w:r>
      <w:r>
        <w:t xml:space="preserve"> Cross-references for "And in": Gen 12:3; Gen 18:18.</w:t>
      </w:r>
    </w:p>
  </w:footnote>
  <w:footnote w:id="558">
    <w:p>
      <w:pPr>
        <w:pStyle w:val="FootnoteText"/>
      </w:pPr>
      <w:r>
        <w:rPr>
          <w:rStyle w:val="FootnoteReference"/>
        </w:rPr>
        <w:footnoteRef/>
      </w:r>
      <w:r>
        <w:t xml:space="preserve"> Cross-references for "Milcah": Gen 11:29; Gen 24:15.</w:t>
      </w:r>
    </w:p>
  </w:footnote>
  <w:footnote w:id="559">
    <w:p>
      <w:pPr>
        <w:pStyle w:val="FootnoteText"/>
      </w:pPr>
      <w:r>
        <w:rPr>
          <w:rStyle w:val="FootnoteReference"/>
        </w:rPr>
        <w:footnoteRef/>
      </w:r>
      <w:r>
        <w:t xml:space="preserve"> Place name: Buz. Place-name meaning: Buz — despised; plundered. Source form: Buz. Greek form: Οὒζ.</w:t>
      </w:r>
    </w:p>
  </w:footnote>
  <w:footnote w:id="560">
    <w:p>
      <w:pPr>
        <w:pStyle w:val="FootnoteText"/>
      </w:pPr>
      <w:r>
        <w:rPr>
          <w:rStyle w:val="FootnoteReference"/>
        </w:rPr>
        <w:footnoteRef/>
      </w:r>
      <w:r>
        <w:t xml:space="preserve"> Personal name: Kemuel. Personal-name meaning: Kemuel — God hath raised up, or established him. Source form: Kemuel.</w:t>
      </w:r>
    </w:p>
  </w:footnote>
  <w:footnote w:id="561">
    <w:p>
      <w:pPr>
        <w:pStyle w:val="FootnoteText"/>
      </w:pPr>
      <w:r>
        <w:rPr>
          <w:rStyle w:val="FootnoteReference"/>
        </w:rPr>
        <w:footnoteRef/>
      </w:r>
      <w:r>
        <w:t xml:space="preserve"> People-name: Syrians. People-name meaning: Syrians — Arameans/Syrians; highland. Source form: Syrians.</w:t>
      </w:r>
    </w:p>
  </w:footnote>
  <w:footnote w:id="562">
    <w:p>
      <w:pPr>
        <w:pStyle w:val="FootnoteText"/>
      </w:pPr>
      <w:r>
        <w:rPr>
          <w:rStyle w:val="FootnoteReference"/>
        </w:rPr>
        <w:footnoteRef/>
      </w:r>
      <w:r>
        <w:t xml:space="preserve"> Personal name: Chesed. Personal-name meaning: Chesed — as a devil, or a destroyer. Source form: Chesed.</w:t>
      </w:r>
    </w:p>
  </w:footnote>
  <w:footnote w:id="563">
    <w:p>
      <w:pPr>
        <w:pStyle w:val="FootnoteText"/>
      </w:pPr>
      <w:r>
        <w:rPr>
          <w:rStyle w:val="FootnoteReference"/>
        </w:rPr>
        <w:footnoteRef/>
      </w:r>
      <w:r>
        <w:t xml:space="preserve"> Personal name: Hazo. Personal-name meaning: Hazo — seeing; prophesying. Source form: Hazo.</w:t>
      </w:r>
    </w:p>
  </w:footnote>
  <w:footnote w:id="564">
    <w:p>
      <w:pPr>
        <w:pStyle w:val="FootnoteText"/>
      </w:pPr>
      <w:r>
        <w:rPr>
          <w:rStyle w:val="FootnoteReference"/>
        </w:rPr>
        <w:footnoteRef/>
      </w:r>
      <w:r>
        <w:t xml:space="preserve"> Personal name: Pildash. Personal-name meaning: Pildash — flame of fire. Source form: Pildash.</w:t>
      </w:r>
    </w:p>
  </w:footnote>
  <w:footnote w:id="565">
    <w:p>
      <w:pPr>
        <w:pStyle w:val="FootnoteText"/>
      </w:pPr>
      <w:r>
        <w:rPr>
          <w:rStyle w:val="FootnoteReference"/>
        </w:rPr>
        <w:footnoteRef/>
      </w:r>
      <w:r>
        <w:t xml:space="preserve"> Personal name: Jidlaph. Personal-name meaning: Jidlaph — he that distills water. Source form: Jidlaph.</w:t>
      </w:r>
    </w:p>
  </w:footnote>
  <w:footnote w:id="566">
    <w:p>
      <w:pPr>
        <w:pStyle w:val="FootnoteText"/>
      </w:pPr>
      <w:r>
        <w:rPr>
          <w:rStyle w:val="FootnoteReference"/>
        </w:rPr>
        <w:footnoteRef/>
      </w:r>
      <w:r>
        <w:t xml:space="preserve"> Transliterated proper noun: Bethuel. Standard English equivalent: Bethuel. Source form: Bethuel. Greek form: Βαθουήλ·. Name meaning: filiation of God.</w:t>
      </w:r>
    </w:p>
  </w:footnote>
  <w:footnote w:id="567">
    <w:p>
      <w:pPr>
        <w:pStyle w:val="FootnoteText"/>
      </w:pPr>
      <w:r>
        <w:rPr>
          <w:rStyle w:val="FootnoteReference"/>
        </w:rPr>
        <w:footnoteRef/>
      </w:r>
      <w:r>
        <w:t xml:space="preserve"> Translation note: Greek preserves this exact proper-name list. Current wording keeps the source-row forms plain.</w:t>
      </w:r>
    </w:p>
  </w:footnote>
  <w:footnote w:id="568">
    <w:p>
      <w:pPr>
        <w:pStyle w:val="FootnoteText"/>
      </w:pPr>
      <w:r>
        <w:rPr>
          <w:rStyle w:val="FootnoteReference"/>
        </w:rPr>
        <w:footnoteRef/>
      </w:r>
      <w:r>
        <w:t xml:space="preserve"> Cross-references for "Bethuel": Gen 24:15; Gen 24:24.</w:t>
      </w:r>
    </w:p>
  </w:footnote>
  <w:footnote w:id="569">
    <w:p>
      <w:pPr>
        <w:pStyle w:val="FootnoteText"/>
      </w:pPr>
      <w:r>
        <w:rPr>
          <w:rStyle w:val="FootnoteReference"/>
        </w:rPr>
        <w:footnoteRef/>
      </w:r>
      <w:r>
        <w:t xml:space="preserve"> Name meaning: Rebekah (Rivkah) — To bind; captivating. Chosen as Isaac's wife and mother of Jacob and Esau.</w:t>
      </w:r>
    </w:p>
  </w:footnote>
  <w:footnote w:id="570">
    <w:p>
      <w:pPr>
        <w:pStyle w:val="FootnoteText"/>
      </w:pPr>
      <w:r>
        <w:rPr>
          <w:rStyle w:val="FootnoteReference"/>
        </w:rPr>
        <w:footnoteRef/>
      </w:r>
      <w:r>
        <w:t xml:space="preserve"> Cross-references for "concubine": Gen 16:3; Gen 25:6.</w:t>
      </w:r>
    </w:p>
  </w:footnote>
  <w:footnote w:id="571">
    <w:p>
      <w:pPr>
        <w:pStyle w:val="FootnoteText"/>
      </w:pPr>
      <w:r>
        <w:rPr>
          <w:rStyle w:val="FootnoteReference"/>
        </w:rPr>
        <w:footnoteRef/>
      </w:r>
      <w:r>
        <w:t xml:space="preserve"> Personal name: Reumah. Personal-name meaning: Reumah — lofty; sublime. Source form: Reumah.</w:t>
      </w:r>
    </w:p>
  </w:footnote>
  <w:footnote w:id="572">
    <w:p>
      <w:pPr>
        <w:pStyle w:val="FootnoteText"/>
      </w:pPr>
      <w:r>
        <w:rPr>
          <w:rStyle w:val="FootnoteReference"/>
        </w:rPr>
        <w:footnoteRef/>
      </w:r>
      <w:r>
        <w:t xml:space="preserve"> Personal name: Tebah. Personal-name meaning: Tebah — murder; butchery; guarding of the body; a cook. Source form: Tebah.</w:t>
      </w:r>
    </w:p>
  </w:footnote>
  <w:footnote w:id="573">
    <w:p>
      <w:pPr>
        <w:pStyle w:val="FootnoteText"/>
      </w:pPr>
      <w:r>
        <w:rPr>
          <w:rStyle w:val="FootnoteReference"/>
        </w:rPr>
        <w:footnoteRef/>
      </w:r>
      <w:r>
        <w:t xml:space="preserve"> Personal name: Gaham. Personal-name meaning: Gaham — burning; blackness. Source form: Gaham.</w:t>
      </w:r>
    </w:p>
  </w:footnote>
  <w:footnote w:id="574">
    <w:p>
      <w:pPr>
        <w:pStyle w:val="FootnoteText"/>
      </w:pPr>
      <w:r>
        <w:rPr>
          <w:rStyle w:val="FootnoteReference"/>
        </w:rPr>
        <w:footnoteRef/>
      </w:r>
      <w:r>
        <w:t xml:space="preserve"> Personal name: Tahash. Personal-name meaning: Tahash — that makes haste; that keeps silence. Source form: Tahash.</w:t>
      </w:r>
    </w:p>
  </w:footnote>
  <w:footnote w:id="575">
    <w:p>
      <w:pPr>
        <w:pStyle w:val="FootnoteText"/>
      </w:pPr>
      <w:r>
        <w:rPr>
          <w:rStyle w:val="FootnoteReference"/>
        </w:rPr>
        <w:footnoteRef/>
      </w:r>
      <w:r>
        <w:t xml:space="preserve"> Personal name: Maachah. Personal-name meaning: Maachah — pressed down; worn; fastened. Source form: Maachah.</w:t>
      </w:r>
    </w:p>
  </w:footnote>
  <w:footnote w:id="576">
    <w:p>
      <w:pPr>
        <w:pStyle w:val="FootnoteText"/>
      </w:pPr>
      <w:r>
        <w:rPr>
          <w:rStyle w:val="FootnoteReference"/>
        </w:rPr>
        <w:footnoteRef/>
      </w:r>
      <w:r>
        <w:t xml:space="preserve"> Personal name: Arba. Personal-name meaning: Arba — four. Source form: Arba.</w:t>
      </w:r>
    </w:p>
  </w:footnote>
  <w:footnote w:id="577">
    <w:p>
      <w:pPr>
        <w:pStyle w:val="FootnoteText"/>
      </w:pPr>
      <w:r>
        <w:rPr>
          <w:rStyle w:val="FootnoteReference"/>
        </w:rPr>
        <w:footnoteRef/>
      </w:r>
      <w:r>
        <w:t xml:space="preserve"> Cross-references for "mourn": Gen 27:41; Gen 50:10.</w:t>
      </w:r>
    </w:p>
  </w:footnote>
  <w:footnote w:id="578">
    <w:p>
      <w:pPr>
        <w:pStyle w:val="FootnoteText"/>
      </w:pPr>
      <w:r>
        <w:rPr>
          <w:rStyle w:val="FootnoteReference"/>
        </w:rPr>
        <w:footnoteRef/>
      </w:r>
      <w:r>
        <w:t xml:space="preserve"> Personal name: Heth. Personal-name meaning: Heth — trembling; fear. Source form: Heth.</w:t>
      </w:r>
    </w:p>
  </w:footnote>
  <w:footnote w:id="579">
    <w:p>
      <w:pPr>
        <w:pStyle w:val="FootnoteText"/>
      </w:pPr>
      <w:r>
        <w:rPr>
          <w:rStyle w:val="FootnoteReference"/>
        </w:rPr>
        <w:footnoteRef/>
      </w:r>
      <w:r>
        <w:t xml:space="preserve"> Cross-references for "Heth": Gen 10:15; Gen 23:5.</w:t>
      </w:r>
    </w:p>
  </w:footnote>
  <w:footnote w:id="580">
    <w:p>
      <w:pPr>
        <w:pStyle w:val="FootnoteText"/>
      </w:pPr>
      <w:r>
        <w:rPr>
          <w:rStyle w:val="FootnoteReference"/>
        </w:rPr>
        <w:footnoteRef/>
      </w:r>
      <w:r>
        <w:t xml:space="preserve"> Cross-references for "bury": Gen 23:19.</w:t>
      </w:r>
    </w:p>
  </w:footnote>
  <w:footnote w:id="581">
    <w:p>
      <w:pPr>
        <w:pStyle w:val="FootnoteText"/>
      </w:pPr>
      <w:r>
        <w:rPr>
          <w:rStyle w:val="FootnoteReference"/>
        </w:rPr>
        <w:footnoteRef/>
      </w:r>
      <w:r>
        <w:t xml:space="preserve"> Place name: Ephron. Place-name meaning: Ephron — dust. Source form: Ephron. Greek form: ᾿Εφρὼν.</w:t>
      </w:r>
    </w:p>
  </w:footnote>
  <w:footnote w:id="582">
    <w:p>
      <w:pPr>
        <w:pStyle w:val="FootnoteText"/>
      </w:pPr>
      <w:r>
        <w:rPr>
          <w:rStyle w:val="FootnoteReference"/>
        </w:rPr>
        <w:footnoteRef/>
      </w:r>
      <w:r>
        <w:t xml:space="preserve"> Personal name: Zohar. Personal-name meaning: Zohar — white; bright; dryness. Source form: Zohar.</w:t>
      </w:r>
    </w:p>
  </w:footnote>
  <w:footnote w:id="583">
    <w:p>
      <w:pPr>
        <w:pStyle w:val="FootnoteText"/>
      </w:pPr>
      <w:r>
        <w:rPr>
          <w:rStyle w:val="FootnoteReference"/>
        </w:rPr>
        <w:footnoteRef/>
      </w:r>
      <w:r>
        <w:t xml:space="preserve"> People-name: Hittite. People-name meaning: Hittite — one who is broken; who fears. Source form: Hittite.</w:t>
      </w:r>
    </w:p>
  </w:footnote>
  <w:footnote w:id="584">
    <w:p>
      <w:pPr>
        <w:pStyle w:val="FootnoteText"/>
      </w:pPr>
      <w:r>
        <w:rPr>
          <w:rStyle w:val="FootnoteReference"/>
        </w:rPr>
        <w:footnoteRef/>
      </w:r>
      <w:r>
        <w:t xml:space="preserve"> Cross-references for "weighed": Gen 43:21; Ezra 8:25-30.</w:t>
      </w:r>
    </w:p>
  </w:footnote>
  <w:footnote w:id="585">
    <w:p>
      <w:pPr>
        <w:pStyle w:val="FootnoteText"/>
      </w:pPr>
      <w:r>
        <w:rPr>
          <w:rStyle w:val="FootnoteReference"/>
        </w:rPr>
        <w:footnoteRef/>
      </w:r>
      <w:r>
        <w:t xml:space="preserve"> Cross-references for "the field": Gen 23:20; Gen 25:9.</w:t>
      </w:r>
    </w:p>
  </w:footnote>
  <w:footnote w:id="586">
    <w:p>
      <w:pPr>
        <w:pStyle w:val="FootnoteText"/>
      </w:pPr>
      <w:r>
        <w:rPr>
          <w:rStyle w:val="FootnoteReference"/>
        </w:rPr>
        <w:footnoteRef/>
      </w:r>
      <w:r>
        <w:t xml:space="preserve"> Translation note: Greek says double cave and established here. Current line keeps both.</w:t>
      </w:r>
    </w:p>
  </w:footnote>
  <w:footnote w:id="587">
    <w:p>
      <w:pPr>
        <w:pStyle w:val="FootnoteText"/>
      </w:pPr>
      <w:r>
        <w:rPr>
          <w:rStyle w:val="FootnoteReference"/>
        </w:rPr>
        <w:footnoteRef/>
      </w:r>
      <w:r>
        <w:t xml:space="preserve"> Cross-references for "was old": Gen 18:11; Gen 21:5.</w:t>
      </w:r>
    </w:p>
  </w:footnote>
  <w:footnote w:id="588">
    <w:p>
      <w:pPr>
        <w:pStyle w:val="FootnoteText"/>
      </w:pPr>
      <w:r>
        <w:rPr>
          <w:rStyle w:val="FootnoteReference"/>
        </w:rPr>
        <w:footnoteRef/>
      </w:r>
      <w:r>
        <w:t xml:space="preserve"> Translation note: Greek asks the willingness question directly. Current wording preserves it.</w:t>
      </w:r>
    </w:p>
  </w:footnote>
  <w:footnote w:id="589">
    <w:p>
      <w:pPr>
        <w:pStyle w:val="FootnoteText"/>
      </w:pPr>
      <w:r>
        <w:rPr>
          <w:rStyle w:val="FootnoteReference"/>
        </w:rPr>
        <w:footnoteRef/>
      </w:r>
      <w:r>
        <w:t xml:space="preserve"> Cross-references for "took": Gen 12:1-7.</w:t>
      </w:r>
    </w:p>
  </w:footnote>
  <w:footnote w:id="590">
    <w:p>
      <w:pPr>
        <w:pStyle w:val="FootnoteText"/>
      </w:pPr>
      <w:r>
        <w:rPr>
          <w:rStyle w:val="FootnoteReference"/>
        </w:rPr>
        <w:footnoteRef/>
      </w:r>
      <w:r>
        <w:t xml:space="preserve"> Translation note: Greek says from land where I was born.</w:t>
      </w:r>
    </w:p>
  </w:footnote>
  <w:footnote w:id="591">
    <w:p>
      <w:pPr>
        <w:pStyle w:val="FootnoteText"/>
      </w:pPr>
      <w:r>
        <w:rPr>
          <w:rStyle w:val="FootnoteReference"/>
        </w:rPr>
        <w:footnoteRef/>
      </w:r>
      <w:r>
        <w:t xml:space="preserve"> Cross-references for "clear": Num 30:5; Num 30:8.</w:t>
      </w:r>
    </w:p>
  </w:footnote>
  <w:footnote w:id="592">
    <w:p>
      <w:pPr>
        <w:pStyle w:val="FootnoteText"/>
      </w:pPr>
      <w:r>
        <w:rPr>
          <w:rStyle w:val="FootnoteReference"/>
        </w:rPr>
        <w:footnoteRef/>
      </w:r>
      <w:r>
        <w:t xml:space="preserve"> Place name: Mesopotamia. Place-name meaning: Mesopotamia — between two rivers. Source form: Mesopotamia. Greek form: Μεσοποταμίαν.</w:t>
      </w:r>
    </w:p>
  </w:footnote>
  <w:footnote w:id="593">
    <w:p>
      <w:pPr>
        <w:pStyle w:val="FootnoteText"/>
      </w:pPr>
      <w:r>
        <w:rPr>
          <w:rStyle w:val="FootnoteReference"/>
        </w:rPr>
        <w:footnoteRef/>
      </w:r>
      <w:r>
        <w:t xml:space="preserve"> Cross-references for "Mesopotamia": Deut 23:4; Judg 3:8-10.</w:t>
      </w:r>
    </w:p>
  </w:footnote>
  <w:footnote w:id="594">
    <w:p>
      <w:pPr>
        <w:pStyle w:val="FootnoteText"/>
      </w:pPr>
      <w:r>
        <w:rPr>
          <w:rStyle w:val="FootnoteReference"/>
        </w:rPr>
        <w:footnoteRef/>
      </w:r>
      <w:r>
        <w:t xml:space="preserve"> Cross-references for "daughters": Gen 24:11; Gen 29:9-10.</w:t>
      </w:r>
    </w:p>
  </w:footnote>
  <w:footnote w:id="595">
    <w:p>
      <w:pPr>
        <w:pStyle w:val="FootnoteText"/>
      </w:pPr>
      <w:r>
        <w:rPr>
          <w:rStyle w:val="FootnoteReference"/>
        </w:rPr>
        <w:footnoteRef/>
      </w:r>
      <w:r>
        <w:t xml:space="preserve"> Cross-references for "and let": Judg 6:17; Judg 6:37.</w:t>
      </w:r>
    </w:p>
  </w:footnote>
  <w:footnote w:id="596">
    <w:p>
      <w:pPr>
        <w:pStyle w:val="FootnoteText"/>
      </w:pPr>
      <w:r>
        <w:rPr>
          <w:rStyle w:val="FootnoteReference"/>
        </w:rPr>
        <w:footnoteRef/>
      </w:r>
      <w:r>
        <w:t xml:space="preserve"> Translation note: Greek says done mercy with my lord Abraham.</w:t>
      </w:r>
    </w:p>
  </w:footnote>
  <w:footnote w:id="597">
    <w:p>
      <w:pPr>
        <w:pStyle w:val="FootnoteText"/>
      </w:pPr>
      <w:r>
        <w:rPr>
          <w:rStyle w:val="FootnoteReference"/>
        </w:rPr>
        <w:footnoteRef/>
      </w:r>
      <w:r>
        <w:t xml:space="preserve"> Translation note: The Greek places the speech in his mind. The current wording keeps that inward line explicit.</w:t>
      </w:r>
    </w:p>
  </w:footnote>
  <w:footnote w:id="598">
    <w:p>
      <w:pPr>
        <w:pStyle w:val="FootnoteText"/>
      </w:pPr>
      <w:r>
        <w:rPr>
          <w:rStyle w:val="FootnoteReference"/>
        </w:rPr>
        <w:footnoteRef/>
      </w:r>
      <w:r>
        <w:t xml:space="preserve"> Cross-references for "Rebekah": Gen 22:20-23; Gen 24:24.</w:t>
      </w:r>
    </w:p>
  </w:footnote>
  <w:footnote w:id="599">
    <w:p>
      <w:pPr>
        <w:pStyle w:val="FootnoteText"/>
      </w:pPr>
      <w:r>
        <w:rPr>
          <w:rStyle w:val="FootnoteReference"/>
        </w:rPr>
        <w:footnoteRef/>
      </w:r>
      <w:r>
        <w:t xml:space="preserve"> Cross-references for "known": Gen 4:1; Num 31:17-18.</w:t>
      </w:r>
    </w:p>
  </w:footnote>
  <w:footnote w:id="600">
    <w:p>
      <w:pPr>
        <w:pStyle w:val="FootnoteText"/>
      </w:pPr>
      <w:r>
        <w:rPr>
          <w:rStyle w:val="FootnoteReference"/>
        </w:rPr>
        <w:footnoteRef/>
      </w:r>
      <w:r>
        <w:t xml:space="preserve"> Cross-references for "the Lord": Gen 24:12; Gen 24:56.</w:t>
      </w:r>
    </w:p>
  </w:footnote>
  <w:footnote w:id="601">
    <w:p>
      <w:pPr>
        <w:pStyle w:val="FootnoteText"/>
      </w:pPr>
      <w:r>
        <w:rPr>
          <w:rStyle w:val="FootnoteReference"/>
        </w:rPr>
        <w:footnoteRef/>
      </w:r>
      <w:r>
        <w:t xml:space="preserve"> Cross-references for "took": Gen 24:30; Exod 32:2-3.</w:t>
      </w:r>
    </w:p>
  </w:footnote>
  <w:footnote w:id="602">
    <w:p>
      <w:pPr>
        <w:pStyle w:val="FootnoteText"/>
      </w:pPr>
      <w:r>
        <w:rPr>
          <w:rStyle w:val="FootnoteReference"/>
        </w:rPr>
        <w:footnoteRef/>
      </w:r>
      <w:r>
        <w:t xml:space="preserve"> Cross-references for "Blessed": Gen 9:26; Gen 14:20.</w:t>
      </w:r>
    </w:p>
  </w:footnote>
  <w:footnote w:id="603">
    <w:p>
      <w:pPr>
        <w:pStyle w:val="FootnoteText"/>
      </w:pPr>
      <w:r>
        <w:rPr>
          <w:rStyle w:val="FootnoteReference"/>
        </w:rPr>
        <w:footnoteRef/>
      </w:r>
      <w:r>
        <w:t xml:space="preserve"> Cross-references for "her mother's": Gen 24:50.</w:t>
      </w:r>
    </w:p>
  </w:footnote>
  <w:footnote w:id="604">
    <w:p>
      <w:pPr>
        <w:pStyle w:val="FootnoteText"/>
      </w:pPr>
      <w:r>
        <w:rPr>
          <w:rStyle w:val="FootnoteReference"/>
        </w:rPr>
        <w:footnoteRef/>
      </w:r>
      <w:r>
        <w:t xml:space="preserve"> Name meaning: Laban (Lavan) — White. Rebekah's brother and Jacob's Aramean father-in-law.</w:t>
      </w:r>
    </w:p>
  </w:footnote>
  <w:footnote w:id="605">
    <w:p>
      <w:pPr>
        <w:pStyle w:val="FootnoteText"/>
      </w:pPr>
      <w:r>
        <w:rPr>
          <w:rStyle w:val="FootnoteReference"/>
        </w:rPr>
        <w:footnoteRef/>
      </w:r>
      <w:r>
        <w:t xml:space="preserve"> Translation note: Greek says earrings and bracelets.</w:t>
      </w:r>
    </w:p>
  </w:footnote>
  <w:footnote w:id="606">
    <w:p>
      <w:pPr>
        <w:pStyle w:val="FootnoteText"/>
      </w:pPr>
      <w:r>
        <w:rPr>
          <w:rStyle w:val="FootnoteReference"/>
        </w:rPr>
        <w:footnoteRef/>
      </w:r>
      <w:r>
        <w:t xml:space="preserve"> Cross-references for "wash": Gen 18:4; Gen 19:2.</w:t>
      </w:r>
    </w:p>
  </w:footnote>
  <w:footnote w:id="607">
    <w:p>
      <w:pPr>
        <w:pStyle w:val="FootnoteText"/>
      </w:pPr>
      <w:r>
        <w:rPr>
          <w:rStyle w:val="FootnoteReference"/>
        </w:rPr>
        <w:footnoteRef/>
      </w:r>
      <w:r>
        <w:t xml:space="preserve"> Translation note: The Greek identifies the speaker with Abraham directly. The current wording keeps that line explicit.</w:t>
      </w:r>
    </w:p>
  </w:footnote>
  <w:footnote w:id="608">
    <w:p>
      <w:pPr>
        <w:pStyle w:val="FootnoteText"/>
      </w:pPr>
      <w:r>
        <w:rPr>
          <w:rStyle w:val="FootnoteReference"/>
        </w:rPr>
        <w:footnoteRef/>
      </w:r>
      <w:r>
        <w:t xml:space="preserve"> Cross-references for "the Lord": Gen 12:2; Gen 13:2.</w:t>
      </w:r>
    </w:p>
  </w:footnote>
  <w:footnote w:id="609">
    <w:p>
      <w:pPr>
        <w:pStyle w:val="FootnoteText"/>
      </w:pPr>
      <w:r>
        <w:rPr>
          <w:rStyle w:val="FootnoteReference"/>
        </w:rPr>
        <w:footnoteRef/>
      </w:r>
      <w:r>
        <w:t xml:space="preserve"> Cross-references for "Sarah": Gen 11:29-30; Gen 17:15-19.</w:t>
      </w:r>
    </w:p>
  </w:footnote>
  <w:footnote w:id="610">
    <w:p>
      <w:pPr>
        <w:pStyle w:val="FootnoteText"/>
      </w:pPr>
      <w:r>
        <w:rPr>
          <w:rStyle w:val="FootnoteReference"/>
        </w:rPr>
        <w:footnoteRef/>
      </w:r>
      <w:r>
        <w:t xml:space="preserve"> Cross-references for "And my": Gen 6:2; Gen 24:2-9.</w:t>
      </w:r>
    </w:p>
  </w:footnote>
  <w:footnote w:id="611">
    <w:p>
      <w:pPr>
        <w:pStyle w:val="FootnoteText"/>
      </w:pPr>
      <w:r>
        <w:rPr>
          <w:rStyle w:val="FootnoteReference"/>
        </w:rPr>
        <w:footnoteRef/>
      </w:r>
      <w:r>
        <w:t xml:space="preserve"> Translation note: Greek keeps both family-location terms. Current wording preserves them.</w:t>
      </w:r>
    </w:p>
  </w:footnote>
  <w:footnote w:id="612">
    <w:p>
      <w:pPr>
        <w:pStyle w:val="FootnoteText"/>
      </w:pPr>
      <w:r>
        <w:rPr>
          <w:rStyle w:val="FootnoteReference"/>
        </w:rPr>
        <w:footnoteRef/>
      </w:r>
      <w:r>
        <w:t xml:space="preserve"> Cross-references for "my father's": Gen 31:19.</w:t>
      </w:r>
    </w:p>
  </w:footnote>
  <w:footnote w:id="613">
    <w:p>
      <w:pPr>
        <w:pStyle w:val="FootnoteText"/>
      </w:pPr>
      <w:r>
        <w:rPr>
          <w:rStyle w:val="FootnoteReference"/>
        </w:rPr>
        <w:footnoteRef/>
      </w:r>
      <w:r>
        <w:t xml:space="preserve"> Translation note: The Greek keeps the angel line direct. The current wording preserves it.</w:t>
      </w:r>
    </w:p>
  </w:footnote>
  <w:footnote w:id="614">
    <w:p>
      <w:pPr>
        <w:pStyle w:val="FootnoteText"/>
      </w:pPr>
      <w:r>
        <w:rPr>
          <w:rStyle w:val="FootnoteReference"/>
        </w:rPr>
        <w:footnoteRef/>
      </w:r>
      <w:r>
        <w:t xml:space="preserve"> Cross-references for "will": Gen 24:7; Exod 23:20.</w:t>
      </w:r>
    </w:p>
  </w:footnote>
  <w:footnote w:id="615">
    <w:p>
      <w:pPr>
        <w:pStyle w:val="FootnoteText"/>
      </w:pPr>
      <w:r>
        <w:rPr>
          <w:rStyle w:val="FootnoteReference"/>
        </w:rPr>
        <w:footnoteRef/>
      </w:r>
      <w:r>
        <w:t xml:space="preserve"> Cross-references for "the woman": Gen 2:22; Gen 24:14.</w:t>
      </w:r>
    </w:p>
  </w:footnote>
  <w:footnote w:id="616">
    <w:p>
      <w:pPr>
        <w:pStyle w:val="FootnoteText"/>
      </w:pPr>
      <w:r>
        <w:rPr>
          <w:rStyle w:val="FootnoteReference"/>
        </w:rPr>
        <w:footnoteRef/>
      </w:r>
      <w:r>
        <w:t xml:space="preserve"> Cross-references for "speaking": 1Sam 1:13-15; 2Sam 7:27.</w:t>
      </w:r>
    </w:p>
  </w:footnote>
  <w:footnote w:id="617">
    <w:p>
      <w:pPr>
        <w:pStyle w:val="FootnoteText"/>
      </w:pPr>
      <w:r>
        <w:rPr>
          <w:rStyle w:val="FootnoteReference"/>
        </w:rPr>
        <w:footnoteRef/>
      </w:r>
      <w:r>
        <w:t xml:space="preserve"> Cross-references for "I put": Gen 24:22; Gen 24:53.</w:t>
      </w:r>
    </w:p>
  </w:footnote>
  <w:footnote w:id="618">
    <w:p>
      <w:pPr>
        <w:pStyle w:val="FootnoteText"/>
      </w:pPr>
      <w:r>
        <w:rPr>
          <w:rStyle w:val="FootnoteReference"/>
        </w:rPr>
        <w:footnoteRef/>
      </w:r>
      <w:r>
        <w:t xml:space="preserve"> Cross-references for "bowed": Gen 24:26-27; Gen 24:52.</w:t>
      </w:r>
    </w:p>
  </w:footnote>
  <w:footnote w:id="619">
    <w:p>
      <w:pPr>
        <w:pStyle w:val="FootnoteText"/>
      </w:pPr>
      <w:r>
        <w:rPr>
          <w:rStyle w:val="FootnoteReference"/>
        </w:rPr>
        <w:footnoteRef/>
      </w:r>
      <w:r>
        <w:t xml:space="preserve"> Cross-references for "Laban": Gen 24:15; Gen 24:28.</w:t>
      </w:r>
    </w:p>
  </w:footnote>
  <w:footnote w:id="620">
    <w:p>
      <w:pPr>
        <w:pStyle w:val="FootnoteText"/>
      </w:pPr>
      <w:r>
        <w:rPr>
          <w:rStyle w:val="FootnoteReference"/>
        </w:rPr>
        <w:footnoteRef/>
      </w:r>
      <w:r>
        <w:t xml:space="preserve"> Cross-references for "Rebekah": Gen 20:15.</w:t>
      </w:r>
    </w:p>
  </w:footnote>
  <w:footnote w:id="621">
    <w:p>
      <w:pPr>
        <w:pStyle w:val="FootnoteText"/>
      </w:pPr>
      <w:r>
        <w:rPr>
          <w:rStyle w:val="FootnoteReference"/>
        </w:rPr>
        <w:footnoteRef/>
      </w:r>
      <w:r>
        <w:t xml:space="preserve"> Cross-references for "Send me": Gen 24:56; Gen 24:59.</w:t>
      </w:r>
    </w:p>
  </w:footnote>
  <w:footnote w:id="622">
    <w:p>
      <w:pPr>
        <w:pStyle w:val="FootnoteText"/>
      </w:pPr>
      <w:r>
        <w:rPr>
          <w:rStyle w:val="FootnoteReference"/>
        </w:rPr>
        <w:footnoteRef/>
      </w:r>
      <w:r>
        <w:t xml:space="preserve"> Cross-references for "prospered": Josh 1:8; Isa 48:15.</w:t>
      </w:r>
    </w:p>
  </w:footnote>
  <w:footnote w:id="623">
    <w:p>
      <w:pPr>
        <w:pStyle w:val="FootnoteText"/>
      </w:pPr>
      <w:r>
        <w:rPr>
          <w:rStyle w:val="FootnoteReference"/>
        </w:rPr>
        <w:footnoteRef/>
      </w:r>
      <w:r>
        <w:t xml:space="preserve"> Cross-references for "their": Gen 24:50; Gen 24:53.</w:t>
      </w:r>
    </w:p>
  </w:footnote>
  <w:footnote w:id="624">
    <w:p>
      <w:pPr>
        <w:pStyle w:val="FootnoteText"/>
      </w:pPr>
      <w:r>
        <w:rPr>
          <w:rStyle w:val="FootnoteReference"/>
        </w:rPr>
        <w:footnoteRef/>
      </w:r>
      <w:r>
        <w:t xml:space="preserve"> Translation note: Greek says what belonged to her rather than specifying a nurse here. Current wording preserves that broader possession phrase.</w:t>
      </w:r>
    </w:p>
  </w:footnote>
  <w:footnote w:id="625">
    <w:p>
      <w:pPr>
        <w:pStyle w:val="FootnoteText"/>
      </w:pPr>
      <w:r>
        <w:rPr>
          <w:rStyle w:val="FootnoteReference"/>
        </w:rPr>
        <w:footnoteRef/>
      </w:r>
      <w:r>
        <w:t xml:space="preserve"> Cross-references for "thousands": Dan 7:10.</w:t>
      </w:r>
    </w:p>
  </w:footnote>
  <w:footnote w:id="626">
    <w:p>
      <w:pPr>
        <w:pStyle w:val="FootnoteText"/>
      </w:pPr>
      <w:r>
        <w:rPr>
          <w:rStyle w:val="FootnoteReference"/>
        </w:rPr>
        <w:footnoteRef/>
      </w:r>
      <w:r>
        <w:t xml:space="preserve"> Cross-references for "south": Gen 12:9.</w:t>
      </w:r>
    </w:p>
  </w:footnote>
  <w:footnote w:id="627">
    <w:p>
      <w:pPr>
        <w:pStyle w:val="FootnoteText"/>
      </w:pPr>
      <w:r>
        <w:rPr>
          <w:rStyle w:val="FootnoteReference"/>
        </w:rPr>
        <w:footnoteRef/>
      </w:r>
      <w:r>
        <w:t xml:space="preserve"> Cross-references for "his mother": Gen 18:6; Gen 18:9-10.</w:t>
      </w:r>
    </w:p>
  </w:footnote>
  <w:footnote w:id="628">
    <w:p>
      <w:pPr>
        <w:pStyle w:val="FootnoteText"/>
      </w:pPr>
      <w:r>
        <w:rPr>
          <w:rStyle w:val="FootnoteReference"/>
        </w:rPr>
        <w:footnoteRef/>
      </w:r>
      <w:r>
        <w:t xml:space="preserve"> Personal name: Keturah. Personal-name meaning: Keturah — that makes the incense to fume. Source form: Keturah.</w:t>
      </w:r>
    </w:p>
  </w:footnote>
  <w:footnote w:id="629">
    <w:p>
      <w:pPr>
        <w:pStyle w:val="FootnoteText"/>
      </w:pPr>
      <w:r>
        <w:rPr>
          <w:rStyle w:val="FootnoteReference"/>
        </w:rPr>
        <w:footnoteRef/>
      </w:r>
      <w:r>
        <w:t xml:space="preserve"> Personal name: Zimran. Personal-name meaning: Zimran — song; singer; vine. Source form: Zimran.</w:t>
      </w:r>
    </w:p>
  </w:footnote>
  <w:footnote w:id="630">
    <w:p>
      <w:pPr>
        <w:pStyle w:val="FootnoteText"/>
      </w:pPr>
      <w:r>
        <w:rPr>
          <w:rStyle w:val="FootnoteReference"/>
        </w:rPr>
        <w:footnoteRef/>
      </w:r>
      <w:r>
        <w:t xml:space="preserve"> Personal name: Jokshan. Personal-name meaning: Jokshan — an offense; hardness; a knocking. Source form: Jokshan.</w:t>
      </w:r>
    </w:p>
  </w:footnote>
  <w:footnote w:id="631">
    <w:p>
      <w:pPr>
        <w:pStyle w:val="FootnoteText"/>
      </w:pPr>
      <w:r>
        <w:rPr>
          <w:rStyle w:val="FootnoteReference"/>
        </w:rPr>
        <w:footnoteRef/>
      </w:r>
      <w:r>
        <w:t xml:space="preserve"> Personal name: Medan. Personal-name meaning: Medan — judgment; process. Source form: Medan.</w:t>
      </w:r>
    </w:p>
  </w:footnote>
  <w:footnote w:id="632">
    <w:p>
      <w:pPr>
        <w:pStyle w:val="FootnoteText"/>
      </w:pPr>
      <w:r>
        <w:rPr>
          <w:rStyle w:val="FootnoteReference"/>
        </w:rPr>
        <w:footnoteRef/>
      </w:r>
      <w:r>
        <w:t xml:space="preserve"> Transliterated proper noun: Midian. Standard English equivalent: Midian. Source form: Midian. Greek form: Μαδιὰμ. Name meaning: judgment; covering; habit.</w:t>
      </w:r>
    </w:p>
  </w:footnote>
  <w:footnote w:id="633">
    <w:p>
      <w:pPr>
        <w:pStyle w:val="FootnoteText"/>
      </w:pPr>
      <w:r>
        <w:rPr>
          <w:rStyle w:val="FootnoteReference"/>
        </w:rPr>
        <w:footnoteRef/>
      </w:r>
      <w:r>
        <w:t xml:space="preserve"> Personal name: Ishbak. Personal-name meaning: Ishbak — who is empty or exhausted. Source form: Ishbak.</w:t>
      </w:r>
    </w:p>
  </w:footnote>
  <w:footnote w:id="634">
    <w:p>
      <w:pPr>
        <w:pStyle w:val="FootnoteText"/>
      </w:pPr>
      <w:r>
        <w:rPr>
          <w:rStyle w:val="FootnoteReference"/>
        </w:rPr>
        <w:footnoteRef/>
      </w:r>
      <w:r>
        <w:t xml:space="preserve"> Personal name: Shuah. Personal-name meaning: Shuah — wealth; cry for help. Source form: Shuah.</w:t>
      </w:r>
    </w:p>
  </w:footnote>
  <w:footnote w:id="635">
    <w:p>
      <w:pPr>
        <w:pStyle w:val="FootnoteText"/>
      </w:pPr>
      <w:r>
        <w:rPr>
          <w:rStyle w:val="FootnoteReference"/>
        </w:rPr>
        <w:footnoteRef/>
      </w:r>
      <w:r>
        <w:t xml:space="preserve"> Cross-references for "Midian": Gen 36:35; Gen 37:28.</w:t>
      </w:r>
    </w:p>
  </w:footnote>
  <w:footnote w:id="636">
    <w:p>
      <w:pPr>
        <w:pStyle w:val="FootnoteText"/>
      </w:pPr>
      <w:r>
        <w:rPr>
          <w:rStyle w:val="FootnoteReference"/>
        </w:rPr>
        <w:footnoteRef/>
      </w:r>
      <w:r>
        <w:t xml:space="preserve"> Transliterated proper noun: Teman. Standard English equivalent: Tema. Source form: Teman. Greek form: Θαιμὰν. Name meaning: admiration; perfection; consummation.</w:t>
      </w:r>
    </w:p>
  </w:footnote>
  <w:footnote w:id="637">
    <w:p>
      <w:pPr>
        <w:pStyle w:val="FootnoteText"/>
      </w:pPr>
      <w:r>
        <w:rPr>
          <w:rStyle w:val="FootnoteReference"/>
        </w:rPr>
        <w:footnoteRef/>
      </w:r>
      <w:r>
        <w:t xml:space="preserve"> Cross-references for "Sheba": 1Kgs 10:1; Job 6:19.</w:t>
      </w:r>
    </w:p>
  </w:footnote>
  <w:footnote w:id="638">
    <w:p>
      <w:pPr>
        <w:pStyle w:val="FootnoteText"/>
      </w:pPr>
      <w:r>
        <w:rPr>
          <w:rStyle w:val="FootnoteReference"/>
        </w:rPr>
        <w:footnoteRef/>
      </w:r>
      <w:r>
        <w:t xml:space="preserve"> Personal name: Reuel. Personal-name meaning: Reuel — the shepherd or friend of God. Source form: Reuel.</w:t>
      </w:r>
    </w:p>
  </w:footnote>
  <w:footnote w:id="639">
    <w:p>
      <w:pPr>
        <w:pStyle w:val="FootnoteText"/>
      </w:pPr>
      <w:r>
        <w:rPr>
          <w:rStyle w:val="FootnoteReference"/>
        </w:rPr>
        <w:footnoteRef/>
      </w:r>
      <w:r>
        <w:t xml:space="preserve"> Personal name: Adbeel. Personal-name meaning: Adbeel — vapor, or cloud of God. Source form: Adbeel.</w:t>
      </w:r>
    </w:p>
  </w:footnote>
  <w:footnote w:id="640">
    <w:p>
      <w:pPr>
        <w:pStyle w:val="FootnoteText"/>
      </w:pPr>
      <w:r>
        <w:rPr>
          <w:rStyle w:val="FootnoteReference"/>
        </w:rPr>
        <w:footnoteRef/>
      </w:r>
      <w:r>
        <w:t xml:space="preserve"> People-name: Asshurim. People-name meaning: Asshurim — liers in want; beholders. Source form: Asshurim.</w:t>
      </w:r>
    </w:p>
  </w:footnote>
  <w:footnote w:id="641">
    <w:p>
      <w:pPr>
        <w:pStyle w:val="FootnoteText"/>
      </w:pPr>
      <w:r>
        <w:rPr>
          <w:rStyle w:val="FootnoteReference"/>
        </w:rPr>
        <w:footnoteRef/>
      </w:r>
      <w:r>
        <w:t xml:space="preserve"> People-name: Letushim. People-name meaning: Letushim — hammered; oppressed. Source form: Letushim.</w:t>
      </w:r>
    </w:p>
  </w:footnote>
  <w:footnote w:id="642">
    <w:p>
      <w:pPr>
        <w:pStyle w:val="FootnoteText"/>
      </w:pPr>
      <w:r>
        <w:rPr>
          <w:rStyle w:val="FootnoteReference"/>
        </w:rPr>
        <w:footnoteRef/>
      </w:r>
      <w:r>
        <w:t xml:space="preserve"> People-name: Leummim. People-name meaning: Leummim — peoples; nations. Source form: Leummim.</w:t>
      </w:r>
    </w:p>
  </w:footnote>
  <w:footnote w:id="643">
    <w:p>
      <w:pPr>
        <w:pStyle w:val="FootnoteText"/>
      </w:pPr>
      <w:r>
        <w:rPr>
          <w:rStyle w:val="FootnoteReference"/>
        </w:rPr>
        <w:footnoteRef/>
      </w:r>
      <w:r>
        <w:t xml:space="preserve"> Personal name: Ephah. Personal-name meaning: Ephah — weary; tired. Source form: Ephah.</w:t>
      </w:r>
    </w:p>
  </w:footnote>
  <w:footnote w:id="644">
    <w:p>
      <w:pPr>
        <w:pStyle w:val="FootnoteText"/>
      </w:pPr>
      <w:r>
        <w:rPr>
          <w:rStyle w:val="FootnoteReference"/>
        </w:rPr>
        <w:footnoteRef/>
      </w:r>
      <w:r>
        <w:t xml:space="preserve"> Personal name: Epher. Personal-name meaning: Epher — dust; lead. Source form: Epher.</w:t>
      </w:r>
    </w:p>
  </w:footnote>
  <w:footnote w:id="645">
    <w:p>
      <w:pPr>
        <w:pStyle w:val="FootnoteText"/>
      </w:pPr>
      <w:r>
        <w:rPr>
          <w:rStyle w:val="FootnoteReference"/>
        </w:rPr>
        <w:footnoteRef/>
      </w:r>
      <w:r>
        <w:t xml:space="preserve"> Transliterated proper noun: Abidah. Standard English equivalent: Abidah. Source form: Abidah. Greek form: ᾿Αβειρὰ. Name meaning: father of knowledge.</w:t>
      </w:r>
    </w:p>
  </w:footnote>
  <w:footnote w:id="646">
    <w:p>
      <w:pPr>
        <w:pStyle w:val="FootnoteText"/>
      </w:pPr>
      <w:r>
        <w:rPr>
          <w:rStyle w:val="FootnoteReference"/>
        </w:rPr>
        <w:footnoteRef/>
      </w:r>
      <w:r>
        <w:t xml:space="preserve"> Personal name: Eldaah. Personal-name meaning: Eldaah — knowledge of God. Source form: Eldaah.</w:t>
      </w:r>
    </w:p>
  </w:footnote>
  <w:footnote w:id="647">
    <w:p>
      <w:pPr>
        <w:pStyle w:val="FootnoteText"/>
      </w:pPr>
      <w:r>
        <w:rPr>
          <w:rStyle w:val="FootnoteReference"/>
        </w:rPr>
        <w:footnoteRef/>
      </w:r>
      <w:r>
        <w:t xml:space="preserve"> Cross-references for "Ephah": Isa 60:6.</w:t>
      </w:r>
    </w:p>
  </w:footnote>
  <w:footnote w:id="648">
    <w:p>
      <w:pPr>
        <w:pStyle w:val="FootnoteText"/>
      </w:pPr>
      <w:r>
        <w:rPr>
          <w:rStyle w:val="FootnoteReference"/>
        </w:rPr>
        <w:footnoteRef/>
      </w:r>
      <w:r>
        <w:t xml:space="preserve"> Cross-references for "concubines": Gen 16:3; Gen 25:1.</w:t>
      </w:r>
    </w:p>
  </w:footnote>
  <w:footnote w:id="649">
    <w:p>
      <w:pPr>
        <w:pStyle w:val="FootnoteText"/>
      </w:pPr>
      <w:r>
        <w:rPr>
          <w:rStyle w:val="FootnoteReference"/>
        </w:rPr>
        <w:footnoteRef/>
      </w:r>
      <w:r>
        <w:t xml:space="preserve"> Cross-references for "good": Gen 15:15; Gen 35:28-29.</w:t>
      </w:r>
    </w:p>
  </w:footnote>
  <w:footnote w:id="650">
    <w:p>
      <w:pPr>
        <w:pStyle w:val="FootnoteText"/>
      </w:pPr>
      <w:r>
        <w:rPr>
          <w:rStyle w:val="FootnoteReference"/>
        </w:rPr>
        <w:footnoteRef/>
      </w:r>
      <w:r>
        <w:t xml:space="preserve"> Cross-references for "Isaac": Gen 21:9-10; Gen 35:29.</w:t>
      </w:r>
    </w:p>
  </w:footnote>
  <w:footnote w:id="651">
    <w:p>
      <w:pPr>
        <w:pStyle w:val="FootnoteText"/>
      </w:pPr>
      <w:r>
        <w:rPr>
          <w:rStyle w:val="FootnoteReference"/>
        </w:rPr>
        <w:footnoteRef/>
      </w:r>
      <w:r>
        <w:t xml:space="preserve"> Cross-references for "the field": Gen 23:16.</w:t>
      </w:r>
    </w:p>
  </w:footnote>
  <w:footnote w:id="652">
    <w:p>
      <w:pPr>
        <w:pStyle w:val="FootnoteText"/>
      </w:pPr>
      <w:r>
        <w:rPr>
          <w:rStyle w:val="FootnoteReference"/>
        </w:rPr>
        <w:footnoteRef/>
      </w:r>
      <w:r>
        <w:t xml:space="preserve"> Cross-references for "the names": 1Chr 1:29-31.</w:t>
      </w:r>
    </w:p>
  </w:footnote>
  <w:footnote w:id="653">
    <w:p>
      <w:pPr>
        <w:pStyle w:val="FootnoteText"/>
      </w:pPr>
      <w:r>
        <w:rPr>
          <w:rStyle w:val="FootnoteReference"/>
        </w:rPr>
        <w:footnoteRef/>
      </w:r>
      <w:r>
        <w:t xml:space="preserve"> Transliterated proper noun: Nebajoth. Standard English equivalent: Nebajoth. Source form: Nebajoth. Greek form: Ναβαιώθ. Name meaning: words; prophecies; buds.</w:t>
      </w:r>
    </w:p>
  </w:footnote>
  <w:footnote w:id="654">
    <w:p>
      <w:pPr>
        <w:pStyle w:val="FootnoteText"/>
      </w:pPr>
      <w:r>
        <w:rPr>
          <w:rStyle w:val="FootnoteReference"/>
        </w:rPr>
        <w:footnoteRef/>
      </w:r>
      <w:r>
        <w:t xml:space="preserve"> Transliterated proper noun: Kedar. Standard English equivalent: Kedar. Source form: Kedar. Greek form: Κηδὰρ. Name meaning: blackness; sorrow.</w:t>
      </w:r>
    </w:p>
  </w:footnote>
  <w:footnote w:id="655">
    <w:p>
      <w:pPr>
        <w:pStyle w:val="FootnoteText"/>
      </w:pPr>
      <w:r>
        <w:rPr>
          <w:rStyle w:val="FootnoteReference"/>
        </w:rPr>
        <w:footnoteRef/>
      </w:r>
      <w:r>
        <w:t xml:space="preserve"> Personal name: Mibsam. Personal-name meaning: Mibsam — smelling sweet. Source form: Mibsam.</w:t>
      </w:r>
    </w:p>
  </w:footnote>
  <w:footnote w:id="656">
    <w:p>
      <w:pPr>
        <w:pStyle w:val="FootnoteText"/>
      </w:pPr>
      <w:r>
        <w:rPr>
          <w:rStyle w:val="FootnoteReference"/>
        </w:rPr>
        <w:footnoteRef/>
      </w:r>
      <w:r>
        <w:t xml:space="preserve"> Personal name: Mishma. Personal-name meaning: Mishma — hearing; obeying. Source form: Mishma.</w:t>
      </w:r>
    </w:p>
  </w:footnote>
  <w:footnote w:id="657">
    <w:p>
      <w:pPr>
        <w:pStyle w:val="FootnoteText"/>
      </w:pPr>
      <w:r>
        <w:rPr>
          <w:rStyle w:val="FootnoteReference"/>
        </w:rPr>
        <w:footnoteRef/>
      </w:r>
      <w:r>
        <w:t xml:space="preserve"> Transliterated proper noun: Dumah. Standard English equivalent: Dumah. Source form: Dumah. Greek form: Δουμὰ. Name meaning: silence.</w:t>
      </w:r>
    </w:p>
  </w:footnote>
  <w:footnote w:id="658">
    <w:p>
      <w:pPr>
        <w:pStyle w:val="FootnoteText"/>
      </w:pPr>
      <w:r>
        <w:rPr>
          <w:rStyle w:val="FootnoteReference"/>
        </w:rPr>
        <w:footnoteRef/>
      </w:r>
      <w:r>
        <w:t xml:space="preserve"> Cross-references for "Dumah": Isa 21:11; Isa 21:16.</w:t>
      </w:r>
    </w:p>
  </w:footnote>
  <w:footnote w:id="659">
    <w:p>
      <w:pPr>
        <w:pStyle w:val="FootnoteText"/>
      </w:pPr>
      <w:r>
        <w:rPr>
          <w:rStyle w:val="FootnoteReference"/>
        </w:rPr>
        <w:footnoteRef/>
      </w:r>
      <w:r>
        <w:t xml:space="preserve"> Personal name: Hadar. Personal-name meaning: Hadar — power; greatness. Source form: Hadar.</w:t>
      </w:r>
    </w:p>
  </w:footnote>
  <w:footnote w:id="660">
    <w:p>
      <w:pPr>
        <w:pStyle w:val="FootnoteText"/>
      </w:pPr>
      <w:r>
        <w:rPr>
          <w:rStyle w:val="FootnoteReference"/>
        </w:rPr>
        <w:footnoteRef/>
      </w:r>
      <w:r>
        <w:t xml:space="preserve"> Personal name: Jetur. Personal-name meaning: Jetur — order; succession; mountainous. Source form: Jetur.</w:t>
      </w:r>
    </w:p>
  </w:footnote>
  <w:footnote w:id="661">
    <w:p>
      <w:pPr>
        <w:pStyle w:val="FootnoteText"/>
      </w:pPr>
      <w:r>
        <w:rPr>
          <w:rStyle w:val="FootnoteReference"/>
        </w:rPr>
        <w:footnoteRef/>
      </w:r>
      <w:r>
        <w:t xml:space="preserve"> Place name: Naphish. Place-name meaning: Naphish — the soul; he that rests, refreshes himself, or respires. Source form: Naphish. Greek form: Ναφὲς.</w:t>
      </w:r>
    </w:p>
  </w:footnote>
  <w:footnote w:id="662">
    <w:p>
      <w:pPr>
        <w:pStyle w:val="FootnoteText"/>
      </w:pPr>
      <w:r>
        <w:rPr>
          <w:rStyle w:val="FootnoteReference"/>
        </w:rPr>
        <w:footnoteRef/>
      </w:r>
      <w:r>
        <w:t xml:space="preserve"> Personal name: Kedemah. Personal-name meaning: Kedemah — oriental; ancient; first. Source form: Kedemah.</w:t>
      </w:r>
    </w:p>
  </w:footnote>
  <w:footnote w:id="663">
    <w:p>
      <w:pPr>
        <w:pStyle w:val="FootnoteText"/>
      </w:pPr>
      <w:r>
        <w:rPr>
          <w:rStyle w:val="FootnoteReference"/>
        </w:rPr>
        <w:footnoteRef/>
      </w:r>
      <w:r>
        <w:t xml:space="preserve"> Cross-references for "Hadar": 1Chr 1:30.</w:t>
      </w:r>
    </w:p>
  </w:footnote>
  <w:footnote w:id="664">
    <w:p>
      <w:pPr>
        <w:pStyle w:val="FootnoteText"/>
      </w:pPr>
      <w:r>
        <w:rPr>
          <w:rStyle w:val="FootnoteReference"/>
        </w:rPr>
        <w:footnoteRef/>
      </w:r>
      <w:r>
        <w:t xml:space="preserve"> Cross-references for "twelve": Gen 17:20; Gen 17:23.</w:t>
      </w:r>
    </w:p>
  </w:footnote>
  <w:footnote w:id="665">
    <w:p>
      <w:pPr>
        <w:pStyle w:val="FootnoteText"/>
      </w:pPr>
      <w:r>
        <w:rPr>
          <w:rStyle w:val="FootnoteReference"/>
        </w:rPr>
        <w:footnoteRef/>
      </w:r>
      <w:r>
        <w:t xml:space="preserve"> Cross-references for "these are": Gen 25:7-8.</w:t>
      </w:r>
    </w:p>
  </w:footnote>
  <w:footnote w:id="666">
    <w:p>
      <w:pPr>
        <w:pStyle w:val="FootnoteText"/>
      </w:pPr>
      <w:r>
        <w:rPr>
          <w:rStyle w:val="FootnoteReference"/>
        </w:rPr>
        <w:footnoteRef/>
      </w:r>
      <w:r>
        <w:t xml:space="preserve"> Cross-references for "Havilah": Gen 2:11; Gen 10:7.</w:t>
      </w:r>
    </w:p>
  </w:footnote>
  <w:footnote w:id="667">
    <w:p>
      <w:pPr>
        <w:pStyle w:val="FootnoteText"/>
      </w:pPr>
      <w:r>
        <w:rPr>
          <w:rStyle w:val="FootnoteReference"/>
        </w:rPr>
        <w:footnoteRef/>
      </w:r>
      <w:r>
        <w:t xml:space="preserve"> Cross-references for "Abraham": 1Chr 1:32; Matt 1:2.</w:t>
      </w:r>
    </w:p>
  </w:footnote>
  <w:footnote w:id="668">
    <w:p>
      <w:pPr>
        <w:pStyle w:val="FootnoteText"/>
      </w:pPr>
      <w:r>
        <w:rPr>
          <w:rStyle w:val="FootnoteReference"/>
        </w:rPr>
        <w:footnoteRef/>
      </w:r>
      <w:r>
        <w:t xml:space="preserve"> Cross-references for "when he": Gen 22:23; Gen 24:67.</w:t>
      </w:r>
    </w:p>
  </w:footnote>
  <w:footnote w:id="669">
    <w:p>
      <w:pPr>
        <w:pStyle w:val="FootnoteText"/>
      </w:pPr>
      <w:r>
        <w:rPr>
          <w:rStyle w:val="FootnoteReference"/>
        </w:rPr>
        <w:footnoteRef/>
      </w:r>
      <w:r>
        <w:t xml:space="preserve"> Personal name: Syrian. Personal-name meaning: Syrian — Aramean/Syrian; highland. Source form: Syrian.</w:t>
      </w:r>
    </w:p>
  </w:footnote>
  <w:footnote w:id="670">
    <w:p>
      <w:pPr>
        <w:pStyle w:val="FootnoteText"/>
      </w:pPr>
      <w:r>
        <w:rPr>
          <w:rStyle w:val="FootnoteReference"/>
        </w:rPr>
        <w:footnoteRef/>
      </w:r>
      <w:r>
        <w:t xml:space="preserve"> Place name: Syria. Place-name meaning: Syria — Aram/Syria; highland. Source form: Syria. Greek form: Συρίας.</w:t>
      </w:r>
    </w:p>
  </w:footnote>
  <w:footnote w:id="671">
    <w:p>
      <w:pPr>
        <w:pStyle w:val="FootnoteText"/>
      </w:pPr>
      <w:r>
        <w:rPr>
          <w:rStyle w:val="FootnoteReference"/>
        </w:rPr>
        <w:footnoteRef/>
      </w:r>
      <w:r>
        <w:t xml:space="preserve"> Cross-references for "and Rebekah": Rom 9:10-12.</w:t>
      </w:r>
    </w:p>
  </w:footnote>
  <w:footnote w:id="672">
    <w:p>
      <w:pPr>
        <w:pStyle w:val="FootnoteText"/>
      </w:pPr>
      <w:r>
        <w:rPr>
          <w:rStyle w:val="FootnoteReference"/>
        </w:rPr>
        <w:footnoteRef/>
      </w:r>
      <w:r>
        <w:t xml:space="preserve"> Cross-references for "inquire": 1Sam 9:9; 1Sam 10:22.</w:t>
      </w:r>
    </w:p>
  </w:footnote>
  <w:footnote w:id="673">
    <w:p>
      <w:pPr>
        <w:pStyle w:val="FootnoteText"/>
      </w:pPr>
      <w:r>
        <w:rPr>
          <w:rStyle w:val="FootnoteReference"/>
        </w:rPr>
        <w:footnoteRef/>
      </w:r>
      <w:r>
        <w:t xml:space="preserve"> Cross-references for "Two nations": Gen 17:16; Gen 24:60.</w:t>
      </w:r>
    </w:p>
  </w:footnote>
  <w:footnote w:id="674">
    <w:p>
      <w:pPr>
        <w:pStyle w:val="FootnoteText"/>
      </w:pPr>
      <w:r>
        <w:rPr>
          <w:rStyle w:val="FootnoteReference"/>
        </w:rPr>
        <w:footnoteRef/>
      </w:r>
      <w:r>
        <w:t xml:space="preserve"> Name meaning: Esau (Esav) — Hairy; red. Born hairy and red; sold his birthright for red stew.</w:t>
      </w:r>
    </w:p>
  </w:footnote>
  <w:footnote w:id="675">
    <w:p>
      <w:pPr>
        <w:pStyle w:val="FootnoteText"/>
      </w:pPr>
      <w:r>
        <w:rPr>
          <w:rStyle w:val="FootnoteReference"/>
        </w:rPr>
        <w:footnoteRef/>
      </w:r>
      <w:r>
        <w:t xml:space="preserve"> Cross-references for "Esau": Gen 27:11; Gen 27:16.</w:t>
      </w:r>
    </w:p>
  </w:footnote>
  <w:footnote w:id="676">
    <w:p>
      <w:pPr>
        <w:pStyle w:val="FootnoteText"/>
      </w:pPr>
      <w:r>
        <w:rPr>
          <w:rStyle w:val="FootnoteReference"/>
        </w:rPr>
        <w:footnoteRef/>
      </w:r>
      <w:r>
        <w:t xml:space="preserve"> Cross-references for "And after": Gen 38:28-30.</w:t>
      </w:r>
    </w:p>
  </w:footnote>
  <w:footnote w:id="677">
    <w:p>
      <w:pPr>
        <w:pStyle w:val="FootnoteText"/>
      </w:pPr>
      <w:r>
        <w:rPr>
          <w:rStyle w:val="FootnoteReference"/>
        </w:rPr>
        <w:footnoteRef/>
      </w:r>
      <w:r>
        <w:t xml:space="preserve"> Name meaning: Jacob (Yaaqov) — Supplanter; heel-grabber. Grabbed Esau’s heel at birth; later supplanted him and became Israel.</w:t>
      </w:r>
    </w:p>
  </w:footnote>
  <w:footnote w:id="678">
    <w:p>
      <w:pPr>
        <w:pStyle w:val="FootnoteText"/>
      </w:pPr>
      <w:r>
        <w:rPr>
          <w:rStyle w:val="FootnoteReference"/>
        </w:rPr>
        <w:footnoteRef/>
      </w:r>
      <w:r>
        <w:t xml:space="preserve"> Cross-references for "dwelling": Heb 11:9.</w:t>
      </w:r>
    </w:p>
  </w:footnote>
  <w:footnote w:id="679">
    <w:p>
      <w:pPr>
        <w:pStyle w:val="FootnoteText"/>
      </w:pPr>
      <w:r>
        <w:rPr>
          <w:rStyle w:val="FootnoteReference"/>
        </w:rPr>
        <w:footnoteRef/>
      </w:r>
      <w:r>
        <w:t xml:space="preserve"> Cross-references for "Rebekah": Gen 27:6.</w:t>
      </w:r>
    </w:p>
  </w:footnote>
  <w:footnote w:id="680">
    <w:p>
      <w:pPr>
        <w:pStyle w:val="FootnoteText"/>
      </w:pPr>
      <w:r>
        <w:rPr>
          <w:rStyle w:val="FootnoteReference"/>
        </w:rPr>
        <w:footnoteRef/>
      </w:r>
      <w:r>
        <w:t xml:space="preserve"> Place name: Edom. Place-name meaning: Edom — red; earthy; bloody. Source form: Edom. Greek form: ᾿Εδώμ.</w:t>
      </w:r>
    </w:p>
  </w:footnote>
  <w:footnote w:id="681">
    <w:p>
      <w:pPr>
        <w:pStyle w:val="FootnoteText"/>
      </w:pPr>
      <w:r>
        <w:rPr>
          <w:rStyle w:val="FootnoteReference"/>
        </w:rPr>
        <w:footnoteRef/>
      </w:r>
      <w:r>
        <w:t xml:space="preserve"> Cross-references for "Edom": Gen 36:1; Gen 36:9.</w:t>
      </w:r>
    </w:p>
  </w:footnote>
  <w:footnote w:id="682">
    <w:p>
      <w:pPr>
        <w:pStyle w:val="FootnoteText"/>
      </w:pPr>
      <w:r>
        <w:rPr>
          <w:rStyle w:val="FootnoteReference"/>
        </w:rPr>
        <w:footnoteRef/>
      </w:r>
      <w:r>
        <w:t xml:space="preserve"> Cross-references for "Swear": Gen 14:22; Gen 24:3.</w:t>
      </w:r>
    </w:p>
  </w:footnote>
  <w:footnote w:id="683">
    <w:p>
      <w:pPr>
        <w:pStyle w:val="FootnoteText"/>
      </w:pPr>
      <w:r>
        <w:rPr>
          <w:rStyle w:val="FootnoteReference"/>
        </w:rPr>
        <w:footnoteRef/>
      </w:r>
      <w:r>
        <w:t xml:space="preserve"> Cross-references for "And Isaac": Gen 25:11.</w:t>
      </w:r>
    </w:p>
  </w:footnote>
  <w:footnote w:id="684">
    <w:p>
      <w:pPr>
        <w:pStyle w:val="FootnoteText"/>
      </w:pPr>
      <w:r>
        <w:rPr>
          <w:rStyle w:val="FootnoteReference"/>
        </w:rPr>
        <w:footnoteRef/>
      </w:r>
      <w:r>
        <w:t xml:space="preserve"> Cross-references for "appeared": Gen 12:7; Gen 17:1.</w:t>
      </w:r>
    </w:p>
  </w:footnote>
  <w:footnote w:id="685">
    <w:p>
      <w:pPr>
        <w:pStyle w:val="FootnoteText"/>
      </w:pPr>
      <w:r>
        <w:rPr>
          <w:rStyle w:val="FootnoteReference"/>
        </w:rPr>
        <w:footnoteRef/>
      </w:r>
      <w:r>
        <w:t xml:space="preserve"> Cross-references for "sojourn": Gen 20:1; Gen 26:12.</w:t>
      </w:r>
    </w:p>
  </w:footnote>
  <w:footnote w:id="686">
    <w:p>
      <w:pPr>
        <w:pStyle w:val="FootnoteText"/>
      </w:pPr>
      <w:r>
        <w:rPr>
          <w:rStyle w:val="FootnoteReference"/>
        </w:rPr>
        <w:footnoteRef/>
      </w:r>
      <w:r>
        <w:t xml:space="preserve"> Cross-references for "multiply": Gen 13:16; Gen 15:5.</w:t>
      </w:r>
    </w:p>
  </w:footnote>
  <w:footnote w:id="687">
    <w:p>
      <w:pPr>
        <w:pStyle w:val="FootnoteText"/>
      </w:pPr>
      <w:r>
        <w:rPr>
          <w:rStyle w:val="FootnoteReference"/>
        </w:rPr>
        <w:footnoteRef/>
      </w:r>
      <w:r>
        <w:t xml:space="preserve"> Cross-references for "Gerar": Gen 20:1.</w:t>
      </w:r>
    </w:p>
  </w:footnote>
  <w:footnote w:id="688">
    <w:p>
      <w:pPr>
        <w:pStyle w:val="FootnoteText"/>
      </w:pPr>
      <w:r>
        <w:rPr>
          <w:rStyle w:val="FootnoteReference"/>
        </w:rPr>
        <w:footnoteRef/>
      </w:r>
      <w:r>
        <w:t xml:space="preserve"> Cross-references for "She is my sister": Gen 12:13; Gen 20:2.</w:t>
      </w:r>
    </w:p>
  </w:footnote>
  <w:footnote w:id="689">
    <w:p>
      <w:pPr>
        <w:pStyle w:val="FootnoteText"/>
      </w:pPr>
      <w:r>
        <w:rPr>
          <w:rStyle w:val="FootnoteReference"/>
        </w:rPr>
        <w:footnoteRef/>
      </w:r>
      <w:r>
        <w:t xml:space="preserve"> Translation note: Greek says asked about here. Current line keeps that phrasing.</w:t>
      </w:r>
    </w:p>
  </w:footnote>
  <w:footnote w:id="690">
    <w:p>
      <w:pPr>
        <w:pStyle w:val="FootnoteText"/>
      </w:pPr>
      <w:r>
        <w:rPr>
          <w:rStyle w:val="FootnoteReference"/>
        </w:rPr>
        <w:footnoteRef/>
      </w:r>
      <w:r>
        <w:t xml:space="preserve"> Cross-references for "sporting": Prov 5:18-19; Eccl 9:9.</w:t>
      </w:r>
    </w:p>
  </w:footnote>
  <w:footnote w:id="691">
    <w:p>
      <w:pPr>
        <w:pStyle w:val="FootnoteText"/>
      </w:pPr>
      <w:r>
        <w:rPr>
          <w:rStyle w:val="FootnoteReference"/>
        </w:rPr>
        <w:footnoteRef/>
      </w:r>
      <w:r>
        <w:t xml:space="preserve"> Translation note: Greek closes the rebuke with ignorance language. Current wording preserves that warning.</w:t>
      </w:r>
    </w:p>
  </w:footnote>
  <w:footnote w:id="692">
    <w:p>
      <w:pPr>
        <w:pStyle w:val="FootnoteText"/>
      </w:pPr>
      <w:r>
        <w:rPr>
          <w:rStyle w:val="FootnoteReference"/>
        </w:rPr>
        <w:footnoteRef/>
      </w:r>
      <w:r>
        <w:t xml:space="preserve"> Cross-references for "blessed": Gen 24:1; Gen 24:35.</w:t>
      </w:r>
    </w:p>
  </w:footnote>
  <w:footnote w:id="693">
    <w:p>
      <w:pPr>
        <w:pStyle w:val="FootnoteText"/>
      </w:pPr>
      <w:r>
        <w:rPr>
          <w:rStyle w:val="FootnoteReference"/>
        </w:rPr>
        <w:footnoteRef/>
      </w:r>
      <w:r>
        <w:t xml:space="preserve"> Cross-references for "envied": Gen 37:11; 1Sam 18:9.</w:t>
      </w:r>
    </w:p>
  </w:footnote>
  <w:footnote w:id="694">
    <w:p>
      <w:pPr>
        <w:pStyle w:val="FootnoteText"/>
      </w:pPr>
      <w:r>
        <w:rPr>
          <w:rStyle w:val="FootnoteReference"/>
        </w:rPr>
        <w:footnoteRef/>
      </w:r>
      <w:r>
        <w:t xml:space="preserve"> Cross-references for "his father's": Gen 21:30.</w:t>
      </w:r>
    </w:p>
  </w:footnote>
  <w:footnote w:id="695">
    <w:p>
      <w:pPr>
        <w:pStyle w:val="FootnoteText"/>
      </w:pPr>
      <w:r>
        <w:rPr>
          <w:rStyle w:val="FootnoteReference"/>
        </w:rPr>
        <w:footnoteRef/>
      </w:r>
      <w:r>
        <w:t xml:space="preserve"> Cross-references for "the Lord": Ps 4:1; Ps 18:19.</w:t>
      </w:r>
    </w:p>
  </w:footnote>
  <w:footnote w:id="696">
    <w:p>
      <w:pPr>
        <w:pStyle w:val="FootnoteText"/>
      </w:pPr>
      <w:r>
        <w:rPr>
          <w:rStyle w:val="FootnoteReference"/>
        </w:rPr>
        <w:footnoteRef/>
      </w:r>
      <w:r>
        <w:t xml:space="preserve"> Cross-references for "I am the": Gen 15:1; Gen 17:7.</w:t>
      </w:r>
    </w:p>
  </w:footnote>
  <w:footnote w:id="697">
    <w:p>
      <w:pPr>
        <w:pStyle w:val="FootnoteText"/>
      </w:pPr>
      <w:r>
        <w:rPr>
          <w:rStyle w:val="FootnoteReference"/>
        </w:rPr>
        <w:footnoteRef/>
      </w:r>
      <w:r>
        <w:t xml:space="preserve"> Hebrew divine name/title: Elohe Avraham (</w:t>
      </w:r>
      <w:r>
        <w:rPr>
          <w:lang w:val="he-IL" w:bidi="he-IL"/>
          <w:rtl/>
        </w:rPr>
        <w:t xml:space="preserve">אֱלֹהֵי אַבְרָהָם</w:t>
      </w:r>
      <w:r>
        <w:t xml:space="preserve">) — God of Abraham. Common English rendering: God of Abraham. A covenant formula identifying God by His faithful relationship to the patriarchs.</w:t>
      </w:r>
    </w:p>
  </w:footnote>
  <w:footnote w:id="698">
    <w:p>
      <w:pPr>
        <w:pStyle w:val="FootnoteText"/>
      </w:pPr>
      <w:r>
        <w:rPr>
          <w:rStyle w:val="FootnoteReference"/>
        </w:rPr>
        <w:footnoteRef/>
      </w:r>
      <w:r>
        <w:t xml:space="preserve"> Greek LXX divine name/title: Ho Theos Abraam (ὁ Θεὸς Ἀβραάμ) — God of Abraham. Common English rendering: God of Abraham. The LXX keeps the patriarchal covenant formula God of Abraham.</w:t>
      </w:r>
    </w:p>
  </w:footnote>
  <w:footnote w:id="699">
    <w:p>
      <w:pPr>
        <w:pStyle w:val="FootnoteText"/>
      </w:pPr>
      <w:r>
        <w:rPr>
          <w:rStyle w:val="FootnoteReference"/>
        </w:rPr>
        <w:footnoteRef/>
      </w:r>
      <w:r>
        <w:t xml:space="preserve"> Cross-references for "called": Ps 116:17.</w:t>
      </w:r>
    </w:p>
  </w:footnote>
  <w:footnote w:id="700">
    <w:p>
      <w:pPr>
        <w:pStyle w:val="FootnoteText"/>
      </w:pPr>
      <w:r>
        <w:rPr>
          <w:rStyle w:val="FootnoteReference"/>
        </w:rPr>
        <w:footnoteRef/>
      </w:r>
      <w:r>
        <w:t xml:space="preserve"> Cross-references for "Abimelech": Gen 20:3; Gen 21:22-32.</w:t>
      </w:r>
    </w:p>
  </w:footnote>
  <w:footnote w:id="701">
    <w:p>
      <w:pPr>
        <w:pStyle w:val="FootnoteText"/>
      </w:pPr>
      <w:r>
        <w:rPr>
          <w:rStyle w:val="FootnoteReference"/>
        </w:rPr>
        <w:footnoteRef/>
      </w:r>
      <w:r>
        <w:t xml:space="preserve"> Cross-references for "sent me": Gen 26:16.</w:t>
      </w:r>
    </w:p>
  </w:footnote>
  <w:footnote w:id="702">
    <w:p>
      <w:pPr>
        <w:pStyle w:val="FootnoteText"/>
      </w:pPr>
      <w:r>
        <w:rPr>
          <w:rStyle w:val="FootnoteReference"/>
        </w:rPr>
        <w:footnoteRef/>
      </w:r>
      <w:r>
        <w:t xml:space="preserve"> Cross-references for "was with": Gen 21:22-23; Gen 39:5.</w:t>
      </w:r>
    </w:p>
  </w:footnote>
  <w:footnote w:id="703">
    <w:p>
      <w:pPr>
        <w:pStyle w:val="FootnoteText"/>
      </w:pPr>
      <w:r>
        <w:rPr>
          <w:rStyle w:val="FootnoteReference"/>
        </w:rPr>
        <w:footnoteRef/>
      </w:r>
      <w:r>
        <w:t xml:space="preserve"> Cross-references for "Therefore": Gen 21:31.</w:t>
      </w:r>
    </w:p>
  </w:footnote>
  <w:footnote w:id="704">
    <w:p>
      <w:pPr>
        <w:pStyle w:val="FootnoteText"/>
      </w:pPr>
      <w:r>
        <w:rPr>
          <w:rStyle w:val="FootnoteReference"/>
        </w:rPr>
        <w:footnoteRef/>
      </w:r>
      <w:r>
        <w:t xml:space="preserve"> Cross-references for "And Esau": Gen 36:2; Gen 36:5.</w:t>
      </w:r>
    </w:p>
  </w:footnote>
  <w:footnote w:id="705">
    <w:p>
      <w:pPr>
        <w:pStyle w:val="FootnoteText"/>
      </w:pPr>
      <w:r>
        <w:rPr>
          <w:rStyle w:val="FootnoteReference"/>
        </w:rPr>
        <w:footnoteRef/>
      </w:r>
      <w:r>
        <w:t xml:space="preserve"> Personal name: Judith. Personal-name meaning: Judith — Praise. Source form: Judith.</w:t>
      </w:r>
    </w:p>
  </w:footnote>
  <w:footnote w:id="706">
    <w:p>
      <w:pPr>
        <w:pStyle w:val="FootnoteText"/>
      </w:pPr>
      <w:r>
        <w:rPr>
          <w:rStyle w:val="FootnoteReference"/>
        </w:rPr>
        <w:footnoteRef/>
      </w:r>
      <w:r>
        <w:t xml:space="preserve"> Personal name: Beeri. Personal-name meaning: Beeri — my well. Source form: Beeri.</w:t>
      </w:r>
    </w:p>
  </w:footnote>
  <w:footnote w:id="707">
    <w:p>
      <w:pPr>
        <w:pStyle w:val="FootnoteText"/>
      </w:pPr>
      <w:r>
        <w:rPr>
          <w:rStyle w:val="FootnoteReference"/>
        </w:rPr>
        <w:footnoteRef/>
      </w:r>
      <w:r>
        <w:t xml:space="preserve"> Personal name: Basemath. Personal-name meaning: Basemath — perfumed. Source form: Basemath.</w:t>
      </w:r>
    </w:p>
  </w:footnote>
  <w:footnote w:id="708">
    <w:p>
      <w:pPr>
        <w:pStyle w:val="FootnoteText"/>
      </w:pPr>
      <w:r>
        <w:rPr>
          <w:rStyle w:val="FootnoteReference"/>
        </w:rPr>
        <w:footnoteRef/>
      </w:r>
      <w:r>
        <w:t xml:space="preserve"> Personal name: Helon. Personal-name meaning: Helon — window; grief. Source form: Helon.</w:t>
      </w:r>
    </w:p>
  </w:footnote>
  <w:footnote w:id="709">
    <w:p>
      <w:pPr>
        <w:pStyle w:val="FootnoteText"/>
      </w:pPr>
      <w:r>
        <w:rPr>
          <w:rStyle w:val="FootnoteReference"/>
        </w:rPr>
        <w:footnoteRef/>
      </w:r>
      <w:r>
        <w:t xml:space="preserve"> Cross-references for "that my": Gen 14:19; Gen 24:60.</w:t>
      </w:r>
    </w:p>
  </w:footnote>
  <w:footnote w:id="710">
    <w:p>
      <w:pPr>
        <w:pStyle w:val="FootnoteText"/>
      </w:pPr>
      <w:r>
        <w:rPr>
          <w:rStyle w:val="FootnoteReference"/>
        </w:rPr>
        <w:footnoteRef/>
      </w:r>
      <w:r>
        <w:t xml:space="preserve"> Cross-references for "before the": Deut 33:1; Josh 6:26.</w:t>
      </w:r>
    </w:p>
  </w:footnote>
  <w:footnote w:id="711">
    <w:p>
      <w:pPr>
        <w:pStyle w:val="FootnoteText"/>
      </w:pPr>
      <w:r>
        <w:rPr>
          <w:rStyle w:val="FootnoteReference"/>
        </w:rPr>
        <w:footnoteRef/>
      </w:r>
      <w:r>
        <w:t xml:space="preserve"> Cross-references for "hairy man": Gen 25:25.</w:t>
      </w:r>
    </w:p>
  </w:footnote>
  <w:footnote w:id="712">
    <w:p>
      <w:pPr>
        <w:pStyle w:val="FootnoteText"/>
      </w:pPr>
      <w:r>
        <w:rPr>
          <w:rStyle w:val="FootnoteReference"/>
        </w:rPr>
        <w:footnoteRef/>
      </w:r>
      <w:r>
        <w:t xml:space="preserve"> Cross-references for "feel": Gen 27:22; Job 12:16.</w:t>
      </w:r>
    </w:p>
  </w:footnote>
  <w:footnote w:id="713">
    <w:p>
      <w:pPr>
        <w:pStyle w:val="FootnoteText"/>
      </w:pPr>
      <w:r>
        <w:rPr>
          <w:rStyle w:val="FootnoteReference"/>
        </w:rPr>
        <w:footnoteRef/>
      </w:r>
      <w:r>
        <w:t xml:space="preserve"> Cross-references for "mother": Gen 25:28; Gen 27:4.</w:t>
      </w:r>
    </w:p>
  </w:footnote>
  <w:footnote w:id="714">
    <w:p>
      <w:pPr>
        <w:pStyle w:val="FootnoteText"/>
      </w:pPr>
      <w:r>
        <w:rPr>
          <w:rStyle w:val="FootnoteReference"/>
        </w:rPr>
        <w:footnoteRef/>
      </w:r>
      <w:r>
        <w:t xml:space="preserve"> Cross-references for "skins": Gen 27:16.</w:t>
      </w:r>
    </w:p>
  </w:footnote>
  <w:footnote w:id="715">
    <w:p>
      <w:pPr>
        <w:pStyle w:val="FootnoteText"/>
      </w:pPr>
      <w:r>
        <w:rPr>
          <w:rStyle w:val="FootnoteReference"/>
        </w:rPr>
        <w:footnoteRef/>
      </w:r>
      <w:r>
        <w:t xml:space="preserve"> Cross-references for "The voice": Gen 27:22.</w:t>
      </w:r>
    </w:p>
  </w:footnote>
  <w:footnote w:id="716">
    <w:p>
      <w:pPr>
        <w:pStyle w:val="FootnoteText"/>
      </w:pPr>
      <w:r>
        <w:rPr>
          <w:rStyle w:val="FootnoteReference"/>
        </w:rPr>
        <w:footnoteRef/>
      </w:r>
      <w:r>
        <w:t xml:space="preserve"> Cross-references for "his hands": Gen 27:16.</w:t>
      </w:r>
    </w:p>
  </w:footnote>
  <w:footnote w:id="717">
    <w:p>
      <w:pPr>
        <w:pStyle w:val="FootnoteText"/>
      </w:pPr>
      <w:r>
        <w:rPr>
          <w:rStyle w:val="FootnoteReference"/>
        </w:rPr>
        <w:footnoteRef/>
      </w:r>
      <w:r>
        <w:t xml:space="preserve"> Cross-references for "that my": Gen 27:4.</w:t>
      </w:r>
    </w:p>
  </w:footnote>
  <w:footnote w:id="718">
    <w:p>
      <w:pPr>
        <w:pStyle w:val="FootnoteText"/>
      </w:pPr>
      <w:r>
        <w:rPr>
          <w:rStyle w:val="FootnoteReference"/>
        </w:rPr>
        <w:footnoteRef/>
      </w:r>
      <w:r>
        <w:t xml:space="preserve"> Cross-references for "blessed": Heb 11:20.</w:t>
      </w:r>
    </w:p>
  </w:footnote>
  <w:footnote w:id="719">
    <w:p>
      <w:pPr>
        <w:pStyle w:val="FootnoteText"/>
      </w:pPr>
      <w:r>
        <w:rPr>
          <w:rStyle w:val="FootnoteReference"/>
        </w:rPr>
        <w:footnoteRef/>
      </w:r>
      <w:r>
        <w:t xml:space="preserve"> Cross-references for "the fatness": Gen 27:39; Gen 45:18.</w:t>
      </w:r>
    </w:p>
  </w:footnote>
  <w:footnote w:id="720">
    <w:p>
      <w:pPr>
        <w:pStyle w:val="FootnoteText"/>
      </w:pPr>
      <w:r>
        <w:rPr>
          <w:rStyle w:val="FootnoteReference"/>
        </w:rPr>
        <w:footnoteRef/>
      </w:r>
      <w:r>
        <w:t xml:space="preserve"> Cross-references for "Cursed": Gen 12:3; Num 22:11-12.</w:t>
      </w:r>
    </w:p>
  </w:footnote>
  <w:footnote w:id="721">
    <w:p>
      <w:pPr>
        <w:pStyle w:val="FootnoteText"/>
      </w:pPr>
      <w:r>
        <w:rPr>
          <w:rStyle w:val="FootnoteReference"/>
        </w:rPr>
        <w:footnoteRef/>
      </w:r>
      <w:r>
        <w:t xml:space="preserve"> Cross-references for "he cried": 1Sam 30:4; Prov 1:24-28.</w:t>
      </w:r>
    </w:p>
  </w:footnote>
  <w:footnote w:id="722">
    <w:p>
      <w:pPr>
        <w:pStyle w:val="FootnoteText"/>
      </w:pPr>
      <w:r>
        <w:rPr>
          <w:rStyle w:val="FootnoteReference"/>
        </w:rPr>
        <w:footnoteRef/>
      </w:r>
      <w:r>
        <w:t xml:space="preserve"> Cross-references for "Jacob": Gen 25:26; Gen 25:31-34.</w:t>
      </w:r>
    </w:p>
  </w:footnote>
  <w:footnote w:id="723">
    <w:p>
      <w:pPr>
        <w:pStyle w:val="FootnoteText"/>
      </w:pPr>
      <w:r>
        <w:rPr>
          <w:rStyle w:val="FootnoteReference"/>
        </w:rPr>
        <w:footnoteRef/>
      </w:r>
      <w:r>
        <w:t xml:space="preserve"> Translation note: Greek keeps heel image here.</w:t>
      </w:r>
    </w:p>
  </w:footnote>
  <w:footnote w:id="724">
    <w:p>
      <w:pPr>
        <w:pStyle w:val="FootnoteText"/>
      </w:pPr>
      <w:r>
        <w:rPr>
          <w:rStyle w:val="FootnoteReference"/>
        </w:rPr>
        <w:footnoteRef/>
      </w:r>
      <w:r>
        <w:t xml:space="preserve"> Translation note: Greek says what then shall I do for you, child.</w:t>
      </w:r>
    </w:p>
  </w:footnote>
  <w:footnote w:id="725">
    <w:p>
      <w:pPr>
        <w:pStyle w:val="FootnoteText"/>
      </w:pPr>
      <w:r>
        <w:rPr>
          <w:rStyle w:val="FootnoteReference"/>
        </w:rPr>
        <w:footnoteRef/>
      </w:r>
      <w:r>
        <w:t xml:space="preserve"> Translation note: The Greek verb can describe being pierced or deeply stung; the English uses an idiom for emotional piercing rather than a physical wound.</w:t>
      </w:r>
    </w:p>
  </w:footnote>
  <w:footnote w:id="726">
    <w:p>
      <w:pPr>
        <w:pStyle w:val="FootnoteText"/>
      </w:pPr>
      <w:r>
        <w:rPr>
          <w:rStyle w:val="FootnoteReference"/>
        </w:rPr>
        <w:footnoteRef/>
      </w:r>
      <w:r>
        <w:t xml:space="preserve"> Cross-references for "the fatness": Gen 27:28; Num 20:17.</w:t>
      </w:r>
    </w:p>
  </w:footnote>
  <w:footnote w:id="727">
    <w:p>
      <w:pPr>
        <w:pStyle w:val="FootnoteText"/>
      </w:pPr>
      <w:r>
        <w:rPr>
          <w:rStyle w:val="FootnoteReference"/>
        </w:rPr>
        <w:footnoteRef/>
      </w:r>
      <w:r>
        <w:t xml:space="preserve"> Cross-references for "serve": Gen 25:23; 2Sam 8:14.</w:t>
      </w:r>
    </w:p>
  </w:footnote>
  <w:footnote w:id="728">
    <w:p>
      <w:pPr>
        <w:pStyle w:val="FootnoteText"/>
      </w:pPr>
      <w:r>
        <w:rPr>
          <w:rStyle w:val="FootnoteReference"/>
        </w:rPr>
        <w:footnoteRef/>
      </w:r>
      <w:r>
        <w:t xml:space="preserve"> Cross-references for "the days": Gen 35:29; Gen 50:3-4.</w:t>
      </w:r>
    </w:p>
  </w:footnote>
  <w:footnote w:id="729">
    <w:p>
      <w:pPr>
        <w:pStyle w:val="FootnoteText"/>
      </w:pPr>
      <w:r>
        <w:rPr>
          <w:rStyle w:val="FootnoteReference"/>
        </w:rPr>
        <w:footnoteRef/>
      </w:r>
      <w:r>
        <w:t xml:space="preserve"> Translation note: Greek says threatens you here. Current line keeps that wording.</w:t>
      </w:r>
    </w:p>
  </w:footnote>
  <w:footnote w:id="730">
    <w:p>
      <w:pPr>
        <w:pStyle w:val="FootnoteText"/>
      </w:pPr>
      <w:r>
        <w:rPr>
          <w:rStyle w:val="FootnoteReference"/>
        </w:rPr>
        <w:footnoteRef/>
      </w:r>
      <w:r>
        <w:t xml:space="preserve"> Cross-references for "Haran": Gen 11:31; Gen 12:4-5.</w:t>
      </w:r>
    </w:p>
  </w:footnote>
  <w:footnote w:id="731">
    <w:p>
      <w:pPr>
        <w:pStyle w:val="FootnoteText"/>
      </w:pPr>
      <w:r>
        <w:rPr>
          <w:rStyle w:val="FootnoteReference"/>
        </w:rPr>
        <w:footnoteRef/>
      </w:r>
      <w:r>
        <w:t xml:space="preserve"> Cross-references for "Then I": Prov 19:21; Lam 3:37.</w:t>
      </w:r>
    </w:p>
  </w:footnote>
  <w:footnote w:id="732">
    <w:p>
      <w:pPr>
        <w:pStyle w:val="FootnoteText"/>
      </w:pPr>
      <w:r>
        <w:rPr>
          <w:rStyle w:val="FootnoteReference"/>
        </w:rPr>
        <w:footnoteRef/>
      </w:r>
      <w:r>
        <w:t xml:space="preserve"> Cross-references for "If Jacob": Gen 24:3.</w:t>
      </w:r>
    </w:p>
  </w:footnote>
  <w:footnote w:id="733">
    <w:p>
      <w:pPr>
        <w:pStyle w:val="FootnoteText"/>
      </w:pPr>
      <w:r>
        <w:rPr>
          <w:rStyle w:val="FootnoteReference"/>
        </w:rPr>
        <w:footnoteRef/>
      </w:r>
      <w:r>
        <w:t xml:space="preserve"> Cross-references for "blessed": Gen 27:4; Gen 27:27-33.</w:t>
      </w:r>
    </w:p>
  </w:footnote>
  <w:footnote w:id="734">
    <w:p>
      <w:pPr>
        <w:pStyle w:val="FootnoteText"/>
      </w:pPr>
      <w:r>
        <w:rPr>
          <w:rStyle w:val="FootnoteReference"/>
        </w:rPr>
        <w:footnoteRef/>
      </w:r>
      <w:r>
        <w:t xml:space="preserve"> Cross-references for "Laban": Gen 24:29; Gen 24:50.</w:t>
      </w:r>
    </w:p>
  </w:footnote>
  <w:footnote w:id="735">
    <w:p>
      <w:pPr>
        <w:pStyle w:val="FootnoteText"/>
      </w:pPr>
      <w:r>
        <w:rPr>
          <w:rStyle w:val="FootnoteReference"/>
        </w:rPr>
        <w:footnoteRef/>
      </w:r>
      <w:r>
        <w:t xml:space="preserve"> Cross-references for "the blessing": Gen 12:1-3; Gen 12:7.</w:t>
      </w:r>
    </w:p>
  </w:footnote>
  <w:footnote w:id="736">
    <w:p>
      <w:pPr>
        <w:pStyle w:val="FootnoteText"/>
      </w:pPr>
      <w:r>
        <w:rPr>
          <w:rStyle w:val="FootnoteReference"/>
        </w:rPr>
        <w:footnoteRef/>
      </w:r>
      <w:r>
        <w:t xml:space="preserve"> Translation note: Greek uses the sojourning-land formula directly. Current wording preserves it.</w:t>
      </w:r>
    </w:p>
  </w:footnote>
  <w:footnote w:id="737">
    <w:p>
      <w:pPr>
        <w:pStyle w:val="FootnoteText"/>
      </w:pPr>
      <w:r>
        <w:rPr>
          <w:rStyle w:val="FootnoteReference"/>
        </w:rPr>
        <w:footnoteRef/>
      </w:r>
      <w:r>
        <w:t xml:space="preserve"> Cross-references for "Esau": Gen 27:33.</w:t>
      </w:r>
    </w:p>
  </w:footnote>
  <w:footnote w:id="738">
    <w:p>
      <w:pPr>
        <w:pStyle w:val="FootnoteText"/>
      </w:pPr>
      <w:r>
        <w:rPr>
          <w:rStyle w:val="FootnoteReference"/>
        </w:rPr>
        <w:footnoteRef/>
      </w:r>
      <w:r>
        <w:t xml:space="preserve"> Cross-references for "the daughters": Gen 24:3; Gen 26:34-35.</w:t>
      </w:r>
    </w:p>
  </w:footnote>
  <w:footnote w:id="739">
    <w:p>
      <w:pPr>
        <w:pStyle w:val="FootnoteText"/>
      </w:pPr>
      <w:r>
        <w:rPr>
          <w:rStyle w:val="FootnoteReference"/>
        </w:rPr>
        <w:footnoteRef/>
      </w:r>
      <w:r>
        <w:t xml:space="preserve"> Personal name: Mahalath. Personal-name meaning: Mahalath — sickness; song-tune name. Source form: Mahalath.</w:t>
      </w:r>
    </w:p>
  </w:footnote>
  <w:footnote w:id="740">
    <w:p>
      <w:pPr>
        <w:pStyle w:val="FootnoteText"/>
      </w:pPr>
      <w:r>
        <w:rPr>
          <w:rStyle w:val="FootnoteReference"/>
        </w:rPr>
        <w:footnoteRef/>
      </w:r>
      <w:r>
        <w:t xml:space="preserve"> Cross-references for "Mahalath": Gen 36:3.</w:t>
      </w:r>
    </w:p>
  </w:footnote>
  <w:footnote w:id="741">
    <w:p>
      <w:pPr>
        <w:pStyle w:val="FootnoteText"/>
      </w:pPr>
      <w:r>
        <w:rPr>
          <w:rStyle w:val="FootnoteReference"/>
        </w:rPr>
        <w:footnoteRef/>
      </w:r>
      <w:r>
        <w:t xml:space="preserve"> Cross-references for "took": Gen 28:18; Gen 31:46.</w:t>
      </w:r>
    </w:p>
  </w:footnote>
  <w:footnote w:id="742">
    <w:p>
      <w:pPr>
        <w:pStyle w:val="FootnoteText"/>
      </w:pPr>
      <w:r>
        <w:rPr>
          <w:rStyle w:val="FootnoteReference"/>
        </w:rPr>
        <w:footnoteRef/>
      </w:r>
      <w:r>
        <w:t xml:space="preserve"> Cross-references for "he dreamed": Gen 15:1; Gen 15:12.</w:t>
      </w:r>
    </w:p>
  </w:footnote>
  <w:footnote w:id="743">
    <w:p>
      <w:pPr>
        <w:pStyle w:val="FootnoteText"/>
      </w:pPr>
      <w:r>
        <w:rPr>
          <w:rStyle w:val="FootnoteReference"/>
        </w:rPr>
        <w:footnoteRef/>
      </w:r>
      <w:r>
        <w:t xml:space="preserve"> Cross-references for "the Lord stood": Gen 35:1; Gen 35:6-7.</w:t>
      </w:r>
    </w:p>
  </w:footnote>
  <w:footnote w:id="744">
    <w:p>
      <w:pPr>
        <w:pStyle w:val="FootnoteText"/>
      </w:pPr>
      <w:r>
        <w:rPr>
          <w:rStyle w:val="FootnoteReference"/>
        </w:rPr>
        <w:footnoteRef/>
      </w:r>
      <w:r>
        <w:t xml:space="preserve"> Hebrew divine name/title: Elohe Yitzchak (</w:t>
      </w:r>
      <w:r>
        <w:rPr>
          <w:lang w:val="he-IL" w:bidi="he-IL"/>
          <w:rtl/>
        </w:rPr>
        <w:t xml:space="preserve">אֱלֹהֵי יִצְחָק</w:t>
      </w:r>
      <w:r>
        <w:t xml:space="preserve">) — God of Isaac. Common English rendering: God of Isaac. Continues the covenant identification of God with the patriarchal line.</w:t>
      </w:r>
    </w:p>
  </w:footnote>
  <w:footnote w:id="745">
    <w:p>
      <w:pPr>
        <w:pStyle w:val="FootnoteText"/>
      </w:pPr>
      <w:r>
        <w:rPr>
          <w:rStyle w:val="FootnoteReference"/>
        </w:rPr>
        <w:footnoteRef/>
      </w:r>
      <w:r>
        <w:t xml:space="preserve"> Greek LXX divine name/title: Ho Theos Isaak (ὁ Θεὸς Ἰσαάκ) — God of Isaac. Common English rendering: God of Isaac. The LXX keeps the patriarchal covenant formula God of Isaac.</w:t>
      </w:r>
    </w:p>
  </w:footnote>
  <w:footnote w:id="746">
    <w:p>
      <w:pPr>
        <w:pStyle w:val="FootnoteText"/>
      </w:pPr>
      <w:r>
        <w:rPr>
          <w:rStyle w:val="FootnoteReference"/>
        </w:rPr>
        <w:footnoteRef/>
      </w:r>
      <w:r>
        <w:t xml:space="preserve"> Translation note: Greek uses sand rather than dust in the promise image. The translation keeps that Septuagint wording.</w:t>
      </w:r>
    </w:p>
  </w:footnote>
  <w:footnote w:id="747">
    <w:p>
      <w:pPr>
        <w:pStyle w:val="FootnoteText"/>
      </w:pPr>
      <w:r>
        <w:rPr>
          <w:rStyle w:val="FootnoteReference"/>
        </w:rPr>
        <w:footnoteRef/>
      </w:r>
      <w:r>
        <w:t xml:space="preserve"> Cross-references for "bring": Gen 35:6-7.</w:t>
      </w:r>
    </w:p>
  </w:footnote>
  <w:footnote w:id="748">
    <w:p>
      <w:pPr>
        <w:pStyle w:val="FootnoteText"/>
      </w:pPr>
      <w:r>
        <w:rPr>
          <w:rStyle w:val="FootnoteReference"/>
        </w:rPr>
        <w:footnoteRef/>
      </w:r>
      <w:r>
        <w:t xml:space="preserve"> Cross-references for "set it": Gen 31:13; Gen 31:45.</w:t>
      </w:r>
    </w:p>
  </w:footnote>
  <w:footnote w:id="749">
    <w:p>
      <w:pPr>
        <w:pStyle w:val="FootnoteText"/>
      </w:pPr>
      <w:r>
        <w:rPr>
          <w:rStyle w:val="FootnoteReference"/>
        </w:rPr>
        <w:footnoteRef/>
      </w:r>
      <w:r>
        <w:t xml:space="preserve"> Cross-references for "the name": Gen 12:8; Gen 35:1.</w:t>
      </w:r>
    </w:p>
  </w:footnote>
  <w:footnote w:id="750">
    <w:p>
      <w:pPr>
        <w:pStyle w:val="FootnoteText"/>
      </w:pPr>
      <w:r>
        <w:rPr>
          <w:rStyle w:val="FootnoteReference"/>
        </w:rPr>
        <w:footnoteRef/>
      </w:r>
      <w:r>
        <w:t xml:space="preserve"> Place name: Luz. Place-name meaning: Luz — separation; departure; an almond. Source form: Luz. Greek form: Οὐλαμλοὺζ.</w:t>
      </w:r>
    </w:p>
  </w:footnote>
  <w:footnote w:id="751">
    <w:p>
      <w:pPr>
        <w:pStyle w:val="FootnoteText"/>
      </w:pPr>
      <w:r>
        <w:rPr>
          <w:rStyle w:val="FootnoteReference"/>
        </w:rPr>
        <w:footnoteRef/>
      </w:r>
      <w:r>
        <w:t xml:space="preserve"> Cross-references for "vowed": Gen 31:13; Lev 27:1-34.</w:t>
      </w:r>
    </w:p>
  </w:footnote>
  <w:footnote w:id="752">
    <w:p>
      <w:pPr>
        <w:pStyle w:val="FootnoteText"/>
      </w:pPr>
      <w:r>
        <w:rPr>
          <w:rStyle w:val="FootnoteReference"/>
        </w:rPr>
        <w:footnoteRef/>
      </w:r>
      <w:r>
        <w:t xml:space="preserve"> Cross-references for "God's": Gen 12:8; Gen 21:33.</w:t>
      </w:r>
    </w:p>
  </w:footnote>
  <w:footnote w:id="753">
    <w:p>
      <w:pPr>
        <w:pStyle w:val="FootnoteText"/>
      </w:pPr>
      <w:r>
        <w:rPr>
          <w:rStyle w:val="FootnoteReference"/>
        </w:rPr>
        <w:footnoteRef/>
      </w:r>
      <w:r>
        <w:t xml:space="preserve"> Cross-references for "Jacob": Ps 119:32; Ps 119:60.</w:t>
      </w:r>
    </w:p>
  </w:footnote>
  <w:footnote w:id="754">
    <w:p>
      <w:pPr>
        <w:pStyle w:val="FootnoteText"/>
      </w:pPr>
      <w:r>
        <w:rPr>
          <w:rStyle w:val="FootnoteReference"/>
        </w:rPr>
        <w:footnoteRef/>
      </w:r>
      <w:r>
        <w:t xml:space="preserve"> Translation note: Greek gives a fuller travel notice with Laban named here. The translation follows that fuller wording.</w:t>
      </w:r>
    </w:p>
  </w:footnote>
  <w:footnote w:id="755">
    <w:p>
      <w:pPr>
        <w:pStyle w:val="FootnoteText"/>
      </w:pPr>
      <w:r>
        <w:rPr>
          <w:rStyle w:val="FootnoteReference"/>
        </w:rPr>
        <w:footnoteRef/>
      </w:r>
      <w:r>
        <w:t xml:space="preserve"> Cross-references for "a well": Gen 24:11; Gen 24:13.</w:t>
      </w:r>
    </w:p>
  </w:footnote>
  <w:footnote w:id="756">
    <w:p>
      <w:pPr>
        <w:pStyle w:val="FootnoteText"/>
      </w:pPr>
      <w:r>
        <w:rPr>
          <w:rStyle w:val="FootnoteReference"/>
        </w:rPr>
        <w:footnoteRef/>
      </w:r>
      <w:r>
        <w:t xml:space="preserve"> Cross-references for "the flocks": Gen 29:3.</w:t>
      </w:r>
    </w:p>
  </w:footnote>
  <w:footnote w:id="757">
    <w:p>
      <w:pPr>
        <w:pStyle w:val="FootnoteText"/>
      </w:pPr>
      <w:r>
        <w:rPr>
          <w:rStyle w:val="FootnoteReference"/>
        </w:rPr>
        <w:footnoteRef/>
      </w:r>
      <w:r>
        <w:t xml:space="preserve"> Cross-references for "son of": Gen 24:24; Gen 24:29.</w:t>
      </w:r>
    </w:p>
  </w:footnote>
  <w:footnote w:id="758">
    <w:p>
      <w:pPr>
        <w:pStyle w:val="FootnoteText"/>
      </w:pPr>
      <w:r>
        <w:rPr>
          <w:rStyle w:val="FootnoteReference"/>
        </w:rPr>
        <w:footnoteRef/>
      </w:r>
      <w:r>
        <w:t xml:space="preserve"> Cross-references for "Is he well": Gen 37:14; Gen 43:27.</w:t>
      </w:r>
    </w:p>
  </w:footnote>
  <w:footnote w:id="759">
    <w:p>
      <w:pPr>
        <w:pStyle w:val="FootnoteText"/>
      </w:pPr>
      <w:r>
        <w:rPr>
          <w:rStyle w:val="FootnoteReference"/>
        </w:rPr>
        <w:footnoteRef/>
      </w:r>
      <w:r>
        <w:t xml:space="preserve"> Name meaning: Rachel (Rachel) — Ewe; female sheep. Beloved wife of Jacob and mother of Joseph and Benjamin.</w:t>
      </w:r>
    </w:p>
  </w:footnote>
  <w:footnote w:id="760">
    <w:p>
      <w:pPr>
        <w:pStyle w:val="FootnoteText"/>
      </w:pPr>
      <w:r>
        <w:rPr>
          <w:rStyle w:val="FootnoteReference"/>
        </w:rPr>
        <w:footnoteRef/>
      </w:r>
      <w:r>
        <w:t xml:space="preserve"> Cross-references for "roll": Mark 16:3; Luke 24:2.</w:t>
      </w:r>
    </w:p>
  </w:footnote>
  <w:footnote w:id="761">
    <w:p>
      <w:pPr>
        <w:pStyle w:val="FootnoteText"/>
      </w:pPr>
      <w:r>
        <w:rPr>
          <w:rStyle w:val="FootnoteReference"/>
        </w:rPr>
        <w:footnoteRef/>
      </w:r>
      <w:r>
        <w:t xml:space="preserve"> Cross-references for "Rachel": Gen 24:15; Exod 2:15-16.</w:t>
      </w:r>
    </w:p>
  </w:footnote>
  <w:footnote w:id="762">
    <w:p>
      <w:pPr>
        <w:pStyle w:val="FootnoteText"/>
      </w:pPr>
      <w:r>
        <w:rPr>
          <w:rStyle w:val="FootnoteReference"/>
        </w:rPr>
        <w:footnoteRef/>
      </w:r>
      <w:r>
        <w:t xml:space="preserve"> Cross-references for "rolled": Exod 2:17.</w:t>
      </w:r>
    </w:p>
  </w:footnote>
  <w:footnote w:id="763">
    <w:p>
      <w:pPr>
        <w:pStyle w:val="FootnoteText"/>
      </w:pPr>
      <w:r>
        <w:rPr>
          <w:rStyle w:val="FootnoteReference"/>
        </w:rPr>
        <w:footnoteRef/>
      </w:r>
      <w:r>
        <w:t xml:space="preserve"> Cross-references for "kissed": Gen 27:26; Gen 29:13.</w:t>
      </w:r>
    </w:p>
  </w:footnote>
  <w:footnote w:id="764">
    <w:p>
      <w:pPr>
        <w:pStyle w:val="FootnoteText"/>
      </w:pPr>
      <w:r>
        <w:rPr>
          <w:rStyle w:val="FootnoteReference"/>
        </w:rPr>
        <w:footnoteRef/>
      </w:r>
      <w:r>
        <w:t xml:space="preserve"> Cross-references for "And she": Gen 24:28.</w:t>
      </w:r>
    </w:p>
  </w:footnote>
  <w:footnote w:id="765">
    <w:p>
      <w:pPr>
        <w:pStyle w:val="FootnoteText"/>
      </w:pPr>
      <w:r>
        <w:rPr>
          <w:rStyle w:val="FootnoteReference"/>
        </w:rPr>
        <w:footnoteRef/>
      </w:r>
      <w:r>
        <w:t xml:space="preserve"> Cross-references for "he ran": Gen 24:29.</w:t>
      </w:r>
    </w:p>
  </w:footnote>
  <w:footnote w:id="766">
    <w:p>
      <w:pPr>
        <w:pStyle w:val="FootnoteText"/>
      </w:pPr>
      <w:r>
        <w:rPr>
          <w:rStyle w:val="FootnoteReference"/>
        </w:rPr>
        <w:footnoteRef/>
      </w:r>
      <w:r>
        <w:t xml:space="preserve"> Translation note: Greek asks the serve-for-nothing question directly. Current wording preserves it.</w:t>
      </w:r>
    </w:p>
  </w:footnote>
  <w:footnote w:id="767">
    <w:p>
      <w:pPr>
        <w:pStyle w:val="FootnoteText"/>
      </w:pPr>
      <w:r>
        <w:rPr>
          <w:rStyle w:val="FootnoteReference"/>
        </w:rPr>
        <w:footnoteRef/>
      </w:r>
      <w:r>
        <w:t xml:space="preserve"> Cross-references for "Tell me": Gen 30:28; Gen 31:7.</w:t>
      </w:r>
    </w:p>
  </w:footnote>
  <w:footnote w:id="768">
    <w:p>
      <w:pPr>
        <w:pStyle w:val="FootnoteText"/>
      </w:pPr>
      <w:r>
        <w:rPr>
          <w:rStyle w:val="FootnoteReference"/>
        </w:rPr>
        <w:footnoteRef/>
      </w:r>
      <w:r>
        <w:t xml:space="preserve"> Name meaning: Leah (Leah) — Weary; tired. Jacob's first wife; mother of Judah and Levi.</w:t>
      </w:r>
    </w:p>
  </w:footnote>
  <w:footnote w:id="769">
    <w:p>
      <w:pPr>
        <w:pStyle w:val="FootnoteText"/>
      </w:pPr>
      <w:r>
        <w:rPr>
          <w:rStyle w:val="FootnoteReference"/>
        </w:rPr>
        <w:footnoteRef/>
      </w:r>
      <w:r>
        <w:t xml:space="preserve"> Translation note: Greek line simply says younger Rachel.</w:t>
      </w:r>
    </w:p>
  </w:footnote>
  <w:footnote w:id="770">
    <w:p>
      <w:pPr>
        <w:pStyle w:val="FootnoteText"/>
      </w:pPr>
      <w:r>
        <w:rPr>
          <w:rStyle w:val="FootnoteReference"/>
        </w:rPr>
        <w:footnoteRef/>
      </w:r>
      <w:r>
        <w:t xml:space="preserve"> Cross-references for "was Leah": Gen 29:17; Gen 29:25-32.</w:t>
      </w:r>
    </w:p>
  </w:footnote>
  <w:footnote w:id="771">
    <w:p>
      <w:pPr>
        <w:pStyle w:val="FootnoteText"/>
      </w:pPr>
      <w:r>
        <w:rPr>
          <w:rStyle w:val="FootnoteReference"/>
        </w:rPr>
        <w:footnoteRef/>
      </w:r>
      <w:r>
        <w:t xml:space="preserve"> Cross-references for "Rachel": Gen 29:6-12; Gen 29:18.</w:t>
      </w:r>
    </w:p>
  </w:footnote>
  <w:footnote w:id="772">
    <w:p>
      <w:pPr>
        <w:pStyle w:val="FootnoteText"/>
      </w:pPr>
      <w:r>
        <w:rPr>
          <w:rStyle w:val="FootnoteReference"/>
        </w:rPr>
        <w:footnoteRef/>
      </w:r>
      <w:r>
        <w:t xml:space="preserve"> Cross-references for "loved": Gen 29:20; Gen 29:30.</w:t>
      </w:r>
    </w:p>
  </w:footnote>
  <w:footnote w:id="773">
    <w:p>
      <w:pPr>
        <w:pStyle w:val="FootnoteText"/>
      </w:pPr>
      <w:r>
        <w:rPr>
          <w:rStyle w:val="FootnoteReference"/>
        </w:rPr>
        <w:footnoteRef/>
      </w:r>
      <w:r>
        <w:t xml:space="preserve"> Translation note: The Greek keeps the marriage-service line direct. The current wording preserves it.</w:t>
      </w:r>
    </w:p>
  </w:footnote>
  <w:footnote w:id="774">
    <w:p>
      <w:pPr>
        <w:pStyle w:val="FootnoteText"/>
      </w:pPr>
      <w:r>
        <w:rPr>
          <w:rStyle w:val="FootnoteReference"/>
        </w:rPr>
        <w:footnoteRef/>
      </w:r>
      <w:r>
        <w:t xml:space="preserve"> Translation note: Greek states the marriage-service line directly. Current wording preserves it.</w:t>
      </w:r>
    </w:p>
  </w:footnote>
  <w:footnote w:id="775">
    <w:p>
      <w:pPr>
        <w:pStyle w:val="FootnoteText"/>
      </w:pPr>
      <w:r>
        <w:rPr>
          <w:rStyle w:val="FootnoteReference"/>
        </w:rPr>
        <w:footnoteRef/>
      </w:r>
      <w:r>
        <w:t xml:space="preserve"> Cross-references for "served": Gen 30:26; Hos 12:12.</w:t>
      </w:r>
    </w:p>
  </w:footnote>
  <w:footnote w:id="776">
    <w:p>
      <w:pPr>
        <w:pStyle w:val="FootnoteText"/>
      </w:pPr>
      <w:r>
        <w:rPr>
          <w:rStyle w:val="FootnoteReference"/>
        </w:rPr>
        <w:footnoteRef/>
      </w:r>
      <w:r>
        <w:t xml:space="preserve"> Cross-references for "Give me": Matt 1:18.</w:t>
      </w:r>
    </w:p>
  </w:footnote>
  <w:footnote w:id="777">
    <w:p>
      <w:pPr>
        <w:pStyle w:val="FootnoteText"/>
      </w:pPr>
      <w:r>
        <w:rPr>
          <w:rStyle w:val="FootnoteReference"/>
        </w:rPr>
        <w:footnoteRef/>
      </w:r>
      <w:r>
        <w:t xml:space="preserve"> Cross-references for "and made": Judg 14:10-18; Ruth 4:10-13.</w:t>
      </w:r>
    </w:p>
  </w:footnote>
  <w:footnote w:id="778">
    <w:p>
      <w:pPr>
        <w:pStyle w:val="FootnoteText"/>
      </w:pPr>
      <w:r>
        <w:rPr>
          <w:rStyle w:val="FootnoteReference"/>
        </w:rPr>
        <w:footnoteRef/>
      </w:r>
      <w:r>
        <w:t xml:space="preserve"> Cross-references for "brought her": Gen 24:65; Gen 38:14-15.</w:t>
      </w:r>
    </w:p>
  </w:footnote>
  <w:footnote w:id="779">
    <w:p>
      <w:pPr>
        <w:pStyle w:val="FootnoteText"/>
      </w:pPr>
      <w:r>
        <w:rPr>
          <w:rStyle w:val="FootnoteReference"/>
        </w:rPr>
        <w:footnoteRef/>
      </w:r>
      <w:r>
        <w:t xml:space="preserve"> Personal name: Zilpah. Personal-name meaning: Zilpah — distillation from the mouth. Source form: Zilpah.</w:t>
      </w:r>
    </w:p>
  </w:footnote>
  <w:footnote w:id="780">
    <w:p>
      <w:pPr>
        <w:pStyle w:val="FootnoteText"/>
      </w:pPr>
      <w:r>
        <w:rPr>
          <w:rStyle w:val="FootnoteReference"/>
        </w:rPr>
        <w:footnoteRef/>
      </w:r>
      <w:r>
        <w:t xml:space="preserve"> Cross-references for "Zilpah": Gen 16:1; Gen 24:59.</w:t>
      </w:r>
    </w:p>
  </w:footnote>
  <w:footnote w:id="781">
    <w:p>
      <w:pPr>
        <w:pStyle w:val="FootnoteText"/>
      </w:pPr>
      <w:r>
        <w:rPr>
          <w:rStyle w:val="FootnoteReference"/>
        </w:rPr>
        <w:footnoteRef/>
      </w:r>
      <w:r>
        <w:t xml:space="preserve"> Cross-references for "in the morning": 1Cor 3:13.</w:t>
      </w:r>
    </w:p>
  </w:footnote>
  <w:footnote w:id="782">
    <w:p>
      <w:pPr>
        <w:pStyle w:val="FootnoteText"/>
      </w:pPr>
      <w:r>
        <w:rPr>
          <w:rStyle w:val="FootnoteReference"/>
        </w:rPr>
        <w:footnoteRef/>
      </w:r>
      <w:r>
        <w:t xml:space="preserve"> Transliterated proper noun: Bilhah. Standard English equivalent: Bilhah. Source form: Bilhah. Greek form: Βαλλὰν. Name meaning: who is old or confused.</w:t>
      </w:r>
    </w:p>
  </w:footnote>
  <w:footnote w:id="783">
    <w:p>
      <w:pPr>
        <w:pStyle w:val="FootnoteText"/>
      </w:pPr>
      <w:r>
        <w:rPr>
          <w:rStyle w:val="FootnoteReference"/>
        </w:rPr>
        <w:footnoteRef/>
      </w:r>
      <w:r>
        <w:t xml:space="preserve"> Cross-references for "Bilhah": Gen 29:24; Gen 30:3-8.</w:t>
      </w:r>
    </w:p>
  </w:footnote>
  <w:footnote w:id="784">
    <w:p>
      <w:pPr>
        <w:pStyle w:val="FootnoteText"/>
      </w:pPr>
      <w:r>
        <w:rPr>
          <w:rStyle w:val="FootnoteReference"/>
        </w:rPr>
        <w:footnoteRef/>
      </w:r>
      <w:r>
        <w:t xml:space="preserve"> Cross-references for "he loved": Gen 29:20; Gen 29:31.</w:t>
      </w:r>
    </w:p>
  </w:footnote>
  <w:footnote w:id="785">
    <w:p>
      <w:pPr>
        <w:pStyle w:val="FootnoteText"/>
      </w:pPr>
      <w:r>
        <w:rPr>
          <w:rStyle w:val="FootnoteReference"/>
        </w:rPr>
        <w:footnoteRef/>
      </w:r>
      <w:r>
        <w:t xml:space="preserve"> Cross-references for "was hated": Gen 27:41; Gen 29:30.</w:t>
      </w:r>
    </w:p>
  </w:footnote>
  <w:footnote w:id="786">
    <w:p>
      <w:pPr>
        <w:pStyle w:val="FootnoteText"/>
      </w:pPr>
      <w:r>
        <w:rPr>
          <w:rStyle w:val="FootnoteReference"/>
        </w:rPr>
        <w:footnoteRef/>
      </w:r>
      <w:r>
        <w:t xml:space="preserve"> Cross-references for "his name": Gen 35:22; Gen 37:21-22.</w:t>
      </w:r>
    </w:p>
  </w:footnote>
  <w:footnote w:id="787">
    <w:p>
      <w:pPr>
        <w:pStyle w:val="FootnoteText"/>
      </w:pPr>
      <w:r>
        <w:rPr>
          <w:rStyle w:val="FootnoteReference"/>
        </w:rPr>
        <w:footnoteRef/>
      </w:r>
      <w:r>
        <w:t xml:space="preserve"> Name meaning: Reuben (Reuven) — Behold a son. Leah’s first son; hoped it would win Jacob’s love.</w:t>
      </w:r>
    </w:p>
  </w:footnote>
  <w:footnote w:id="788">
    <w:p>
      <w:pPr>
        <w:pStyle w:val="FootnoteText"/>
      </w:pPr>
      <w:r>
        <w:rPr>
          <w:rStyle w:val="FootnoteReference"/>
        </w:rPr>
        <w:footnoteRef/>
      </w:r>
      <w:r>
        <w:t xml:space="preserve"> Cross-references for "called": Gen 34:25; Gen 34:30.</w:t>
      </w:r>
    </w:p>
  </w:footnote>
  <w:footnote w:id="789">
    <w:p>
      <w:pPr>
        <w:pStyle w:val="FootnoteText"/>
      </w:pPr>
      <w:r>
        <w:rPr>
          <w:rStyle w:val="FootnoteReference"/>
        </w:rPr>
        <w:footnoteRef/>
      </w:r>
      <w:r>
        <w:t xml:space="preserve"> Name meaning: Simeon (Shimon) — Heard. The LORD heard that Leah was hated.</w:t>
      </w:r>
    </w:p>
  </w:footnote>
  <w:footnote w:id="790">
    <w:p>
      <w:pPr>
        <w:pStyle w:val="FootnoteText"/>
      </w:pPr>
      <w:r>
        <w:rPr>
          <w:rStyle w:val="FootnoteReference"/>
        </w:rPr>
        <w:footnoteRef/>
      </w:r>
      <w:r>
        <w:t xml:space="preserve"> Name meaning: Levi (Levi) — Joined; attached. Leah hoped her husband would be joined to her; tribe of priests.</w:t>
      </w:r>
    </w:p>
  </w:footnote>
  <w:footnote w:id="791">
    <w:p>
      <w:pPr>
        <w:pStyle w:val="FootnoteText"/>
      </w:pPr>
      <w:r>
        <w:rPr>
          <w:rStyle w:val="FootnoteReference"/>
        </w:rPr>
        <w:footnoteRef/>
      </w:r>
      <w:r>
        <w:t xml:space="preserve"> Cross-references for "Levi": Num 18:2-4.</w:t>
      </w:r>
    </w:p>
  </w:footnote>
  <w:footnote w:id="792">
    <w:p>
      <w:pPr>
        <w:pStyle w:val="FootnoteText"/>
      </w:pPr>
      <w:r>
        <w:rPr>
          <w:rStyle w:val="FootnoteReference"/>
        </w:rPr>
        <w:footnoteRef/>
      </w:r>
      <w:r>
        <w:t xml:space="preserve"> Cross-references for "called": Gen 35:26; Gen 38:1-30.</w:t>
      </w:r>
    </w:p>
  </w:footnote>
  <w:footnote w:id="793">
    <w:p>
      <w:pPr>
        <w:pStyle w:val="FootnoteText"/>
      </w:pPr>
      <w:r>
        <w:rPr>
          <w:rStyle w:val="FootnoteReference"/>
        </w:rPr>
        <w:footnoteRef/>
      </w:r>
      <w:r>
        <w:t xml:space="preserve"> Name meaning: Judah (Yehudah) — Praise. Royal tribe and ancestor of Messiah.</w:t>
      </w:r>
    </w:p>
  </w:footnote>
  <w:footnote w:id="794">
    <w:p>
      <w:pPr>
        <w:pStyle w:val="FootnoteText"/>
      </w:pPr>
      <w:r>
        <w:rPr>
          <w:rStyle w:val="FootnoteReference"/>
        </w:rPr>
        <w:footnoteRef/>
      </w:r>
      <w:r>
        <w:t xml:space="preserve"> Cross-references for "Am I": Gen 16:2; Gen 25:21.</w:t>
      </w:r>
    </w:p>
  </w:footnote>
  <w:footnote w:id="795">
    <w:p>
      <w:pPr>
        <w:pStyle w:val="FootnoteText"/>
      </w:pPr>
      <w:r>
        <w:rPr>
          <w:rStyle w:val="FootnoteReference"/>
        </w:rPr>
        <w:footnoteRef/>
      </w:r>
      <w:r>
        <w:t xml:space="preserve"> Name meaning: Dan (Dan) — He judged. Rachel named him from God's judgment in her favor through Bilhah's son.</w:t>
      </w:r>
    </w:p>
  </w:footnote>
  <w:footnote w:id="796">
    <w:p>
      <w:pPr>
        <w:pStyle w:val="FootnoteText"/>
      </w:pPr>
      <w:r>
        <w:rPr>
          <w:rStyle w:val="FootnoteReference"/>
        </w:rPr>
        <w:footnoteRef/>
      </w:r>
      <w:r>
        <w:t xml:space="preserve"> Cross-references for "And she": Gen 35:25; Gen 46:24.</w:t>
      </w:r>
    </w:p>
  </w:footnote>
  <w:footnote w:id="797">
    <w:p>
      <w:pPr>
        <w:pStyle w:val="FootnoteText"/>
      </w:pPr>
      <w:r>
        <w:rPr>
          <w:rStyle w:val="FootnoteReference"/>
        </w:rPr>
        <w:footnoteRef/>
      </w:r>
      <w:r>
        <w:t xml:space="preserve"> Transliterated proper noun: Naphtali. Standard English equivalent: Naphtali. Source form: Naphtali. Greek form: Νεφθαλείμ. Name meaning: that struggles or fights.</w:t>
      </w:r>
    </w:p>
  </w:footnote>
  <w:footnote w:id="798">
    <w:p>
      <w:pPr>
        <w:pStyle w:val="FootnoteText"/>
      </w:pPr>
      <w:r>
        <w:rPr>
          <w:rStyle w:val="FootnoteReference"/>
        </w:rPr>
        <w:footnoteRef/>
      </w:r>
      <w:r>
        <w:t xml:space="preserve"> Cross-references for "gave her": Gen 16:3; Gen 30:4.</w:t>
      </w:r>
    </w:p>
  </w:footnote>
  <w:footnote w:id="799">
    <w:p>
      <w:pPr>
        <w:pStyle w:val="FootnoteText"/>
      </w:pPr>
      <w:r>
        <w:rPr>
          <w:rStyle w:val="FootnoteReference"/>
        </w:rPr>
        <w:footnoteRef/>
      </w:r>
      <w:r>
        <w:t xml:space="preserve"> Name meaning: Gad (Gad) — Fortune; troop. Leah's household named him with fortune/troop language.</w:t>
      </w:r>
    </w:p>
  </w:footnote>
  <w:footnote w:id="800">
    <w:p>
      <w:pPr>
        <w:pStyle w:val="FootnoteText"/>
      </w:pPr>
      <w:r>
        <w:rPr>
          <w:rStyle w:val="FootnoteReference"/>
        </w:rPr>
        <w:footnoteRef/>
      </w:r>
      <w:r>
        <w:t xml:space="preserve"> Cross-references for "And she": Gen 35:26; Gen 46:17.</w:t>
      </w:r>
    </w:p>
  </w:footnote>
  <w:footnote w:id="801">
    <w:p>
      <w:pPr>
        <w:pStyle w:val="FootnoteText"/>
      </w:pPr>
      <w:r>
        <w:rPr>
          <w:rStyle w:val="FootnoteReference"/>
        </w:rPr>
        <w:footnoteRef/>
      </w:r>
      <w:r>
        <w:t xml:space="preserve"> Name meaning: Asher (Asher) — Happy; blessed. Leah called him happy because women would call her blessed.</w:t>
      </w:r>
    </w:p>
  </w:footnote>
  <w:footnote w:id="802">
    <w:p>
      <w:pPr>
        <w:pStyle w:val="FootnoteText"/>
      </w:pPr>
      <w:r>
        <w:rPr>
          <w:rStyle w:val="FootnoteReference"/>
        </w:rPr>
        <w:footnoteRef/>
      </w:r>
      <w:r>
        <w:t xml:space="preserve"> Cross-references for "mandrakes": Song 7:13.</w:t>
      </w:r>
    </w:p>
  </w:footnote>
  <w:footnote w:id="803">
    <w:p>
      <w:pPr>
        <w:pStyle w:val="FootnoteText"/>
      </w:pPr>
      <w:r>
        <w:rPr>
          <w:rStyle w:val="FootnoteReference"/>
        </w:rPr>
        <w:footnoteRef/>
      </w:r>
      <w:r>
        <w:t xml:space="preserve"> Translation note: Greek says not so; let him sleep with you tonight.</w:t>
      </w:r>
    </w:p>
  </w:footnote>
  <w:footnote w:id="804">
    <w:p>
      <w:pPr>
        <w:pStyle w:val="FootnoteText"/>
      </w:pPr>
      <w:r>
        <w:rPr>
          <w:rStyle w:val="FootnoteReference"/>
        </w:rPr>
        <w:footnoteRef/>
      </w:r>
      <w:r>
        <w:t xml:space="preserve"> Cross-references for "And she": Gen 35:23; Gen 46:13.</w:t>
      </w:r>
    </w:p>
  </w:footnote>
  <w:footnote w:id="805">
    <w:p>
      <w:pPr>
        <w:pStyle w:val="FootnoteText"/>
      </w:pPr>
      <w:r>
        <w:rPr>
          <w:rStyle w:val="FootnoteReference"/>
        </w:rPr>
        <w:footnoteRef/>
      </w:r>
      <w:r>
        <w:t xml:space="preserve"> Name meaning: Issachar (Yissakar) — There is recompense; wages. Leah named him from the reward or wages theme in the birth story.</w:t>
      </w:r>
    </w:p>
  </w:footnote>
  <w:footnote w:id="806">
    <w:p>
      <w:pPr>
        <w:pStyle w:val="FootnoteText"/>
      </w:pPr>
      <w:r>
        <w:rPr>
          <w:rStyle w:val="FootnoteReference"/>
        </w:rPr>
        <w:footnoteRef/>
      </w:r>
      <w:r>
        <w:t xml:space="preserve"> Cross-references for "And she": Gen 35:23; Gen 46:14.</w:t>
      </w:r>
    </w:p>
  </w:footnote>
  <w:footnote w:id="807">
    <w:p>
      <w:pPr>
        <w:pStyle w:val="FootnoteText"/>
      </w:pPr>
      <w:r>
        <w:rPr>
          <w:rStyle w:val="FootnoteReference"/>
        </w:rPr>
        <w:footnoteRef/>
      </w:r>
      <w:r>
        <w:t xml:space="preserve"> Name meaning: Zebulun (Zevulun) — Dwelling; honor. Leah linked the name with her hope that Jacob would dwell with her.</w:t>
      </w:r>
    </w:p>
  </w:footnote>
  <w:footnote w:id="808">
    <w:p>
      <w:pPr>
        <w:pStyle w:val="FootnoteText"/>
      </w:pPr>
      <w:r>
        <w:rPr>
          <w:rStyle w:val="FootnoteReference"/>
        </w:rPr>
        <w:footnoteRef/>
      </w:r>
      <w:r>
        <w:t xml:space="preserve"> Cross-references for "and called": Gen 34:1-3; Gen 34:26.</w:t>
      </w:r>
    </w:p>
  </w:footnote>
  <w:footnote w:id="809">
    <w:p>
      <w:pPr>
        <w:pStyle w:val="FootnoteText"/>
      </w:pPr>
      <w:r>
        <w:rPr>
          <w:rStyle w:val="FootnoteReference"/>
        </w:rPr>
        <w:footnoteRef/>
      </w:r>
      <w:r>
        <w:t xml:space="preserve"> Personal name: Dinah. Personal-name meaning: Dinah — judgment; who judges. Source form: Dinah.</w:t>
      </w:r>
    </w:p>
  </w:footnote>
  <w:footnote w:id="810">
    <w:p>
      <w:pPr>
        <w:pStyle w:val="FootnoteText"/>
      </w:pPr>
      <w:r>
        <w:rPr>
          <w:rStyle w:val="FootnoteReference"/>
        </w:rPr>
        <w:footnoteRef/>
      </w:r>
      <w:r>
        <w:t xml:space="preserve"> Cross-references for "remembered": Gen 8:1; Gen 21:1.</w:t>
      </w:r>
    </w:p>
  </w:footnote>
  <w:footnote w:id="811">
    <w:p>
      <w:pPr>
        <w:pStyle w:val="FootnoteText"/>
      </w:pPr>
      <w:r>
        <w:rPr>
          <w:rStyle w:val="FootnoteReference"/>
        </w:rPr>
        <w:footnoteRef/>
      </w:r>
      <w:r>
        <w:t xml:space="preserve"> Cross-references for "And she": Gen 35:24; Gen 37:2.</w:t>
      </w:r>
    </w:p>
  </w:footnote>
  <w:footnote w:id="812">
    <w:p>
      <w:pPr>
        <w:pStyle w:val="FootnoteText"/>
      </w:pPr>
      <w:r>
        <w:rPr>
          <w:rStyle w:val="FootnoteReference"/>
        </w:rPr>
        <w:footnoteRef/>
      </w:r>
      <w:r>
        <w:t xml:space="preserve"> Name meaning: Joseph (Yosef) — He adds; may He add. God added to his blessings despite betrayal; savior of his family.</w:t>
      </w:r>
    </w:p>
  </w:footnote>
  <w:footnote w:id="813">
    <w:p>
      <w:pPr>
        <w:pStyle w:val="FootnoteText"/>
      </w:pPr>
      <w:r>
        <w:rPr>
          <w:rStyle w:val="FootnoteReference"/>
        </w:rPr>
        <w:footnoteRef/>
      </w:r>
      <w:r>
        <w:t xml:space="preserve"> Cross-references for "Send me away": Gen 24:54; Gen 24:56.</w:t>
      </w:r>
    </w:p>
  </w:footnote>
  <w:footnote w:id="814">
    <w:p>
      <w:pPr>
        <w:pStyle w:val="FootnoteText"/>
      </w:pPr>
      <w:r>
        <w:rPr>
          <w:rStyle w:val="FootnoteReference"/>
        </w:rPr>
        <w:footnoteRef/>
      </w:r>
      <w:r>
        <w:t xml:space="preserve"> Cross-references for "my wives": Gen 29:19-20; Gen 29:30.</w:t>
      </w:r>
    </w:p>
  </w:footnote>
  <w:footnote w:id="815">
    <w:p>
      <w:pPr>
        <w:pStyle w:val="FootnoteText"/>
      </w:pPr>
      <w:r>
        <w:rPr>
          <w:rStyle w:val="FootnoteReference"/>
        </w:rPr>
        <w:footnoteRef/>
      </w:r>
      <w:r>
        <w:t xml:space="preserve"> Cross-references for "increased": Gen 30:43.</w:t>
      </w:r>
    </w:p>
  </w:footnote>
  <w:footnote w:id="816">
    <w:p>
      <w:pPr>
        <w:pStyle w:val="FootnoteText"/>
      </w:pPr>
      <w:r>
        <w:rPr>
          <w:rStyle w:val="FootnoteReference"/>
        </w:rPr>
        <w:footnoteRef/>
      </w:r>
      <w:r>
        <w:t xml:space="preserve"> Translation note: Greek keeps several color terms here.</w:t>
      </w:r>
    </w:p>
  </w:footnote>
  <w:footnote w:id="817">
    <w:p>
      <w:pPr>
        <w:pStyle w:val="FootnoteText"/>
      </w:pPr>
      <w:r>
        <w:rPr>
          <w:rStyle w:val="FootnoteReference"/>
        </w:rPr>
        <w:footnoteRef/>
      </w:r>
      <w:r>
        <w:t xml:space="preserve"> Cross-references for "righteousness": Gen 31:37; 1Sam 26:23.</w:t>
      </w:r>
    </w:p>
  </w:footnote>
  <w:footnote w:id="818">
    <w:p>
      <w:pPr>
        <w:pStyle w:val="FootnoteText"/>
      </w:pPr>
      <w:r>
        <w:rPr>
          <w:rStyle w:val="FootnoteReference"/>
        </w:rPr>
        <w:footnoteRef/>
      </w:r>
      <w:r>
        <w:t xml:space="preserve"> MT/LXX note: Greek color terms differ from MT here.</w:t>
      </w:r>
    </w:p>
  </w:footnote>
  <w:footnote w:id="819">
    <w:p>
      <w:pPr>
        <w:pStyle w:val="FootnoteText"/>
      </w:pPr>
      <w:r>
        <w:rPr>
          <w:rStyle w:val="FootnoteReference"/>
        </w:rPr>
        <w:footnoteRef/>
      </w:r>
      <w:r>
        <w:t xml:space="preserve"> Cross-references for "the hand": Gen 31:9.</w:t>
      </w:r>
    </w:p>
  </w:footnote>
  <w:footnote w:id="820">
    <w:p>
      <w:pPr>
        <w:pStyle w:val="FootnoteText"/>
      </w:pPr>
      <w:r>
        <w:rPr>
          <w:rStyle w:val="FootnoteReference"/>
        </w:rPr>
        <w:footnoteRef/>
      </w:r>
      <w:r>
        <w:t xml:space="preserve"> Cross-references for "Jacob": Gen 31:9-13.</w:t>
      </w:r>
    </w:p>
  </w:footnote>
  <w:footnote w:id="821">
    <w:p>
      <w:pPr>
        <w:pStyle w:val="FootnoteText"/>
      </w:pPr>
      <w:r>
        <w:rPr>
          <w:rStyle w:val="FootnoteReference"/>
        </w:rPr>
        <w:footnoteRef/>
      </w:r>
      <w:r>
        <w:t xml:space="preserve"> Translation note: Greek and English witnesses back white-marked ram here. Current line keeps the Greek herd detail.</w:t>
      </w:r>
    </w:p>
  </w:footnote>
  <w:footnote w:id="822">
    <w:p>
      <w:pPr>
        <w:pStyle w:val="FootnoteText"/>
      </w:pPr>
      <w:r>
        <w:rPr>
          <w:rStyle w:val="FootnoteReference"/>
        </w:rPr>
        <w:footnoteRef/>
      </w:r>
      <w:r>
        <w:t xml:space="preserve"> Cross-references for "Jacob": Gen 31:8-9; Job 31:31.</w:t>
      </w:r>
    </w:p>
  </w:footnote>
  <w:footnote w:id="823">
    <w:p>
      <w:pPr>
        <w:pStyle w:val="FootnoteText"/>
      </w:pPr>
      <w:r>
        <w:rPr>
          <w:rStyle w:val="FootnoteReference"/>
        </w:rPr>
        <w:footnoteRef/>
      </w:r>
      <w:r>
        <w:t xml:space="preserve"> Cross-references for "it was": Gen 30:27.</w:t>
      </w:r>
    </w:p>
  </w:footnote>
  <w:footnote w:id="824">
    <w:p>
      <w:pPr>
        <w:pStyle w:val="FootnoteText"/>
      </w:pPr>
      <w:r>
        <w:rPr>
          <w:rStyle w:val="FootnoteReference"/>
        </w:rPr>
        <w:footnoteRef/>
      </w:r>
      <w:r>
        <w:t xml:space="preserve"> Cross-references for "Return": Gen 28:15; Gen 28:20.</w:t>
      </w:r>
    </w:p>
  </w:footnote>
  <w:footnote w:id="825">
    <w:p>
      <w:pPr>
        <w:pStyle w:val="FootnoteText"/>
      </w:pPr>
      <w:r>
        <w:rPr>
          <w:rStyle w:val="FootnoteReference"/>
        </w:rPr>
        <w:footnoteRef/>
      </w:r>
      <w:r>
        <w:t xml:space="preserve"> Cross-references for "I see": Gen 31:2-3.</w:t>
      </w:r>
    </w:p>
  </w:footnote>
  <w:footnote w:id="826">
    <w:p>
      <w:pPr>
        <w:pStyle w:val="FootnoteText"/>
      </w:pPr>
      <w:r>
        <w:rPr>
          <w:rStyle w:val="FootnoteReference"/>
        </w:rPr>
        <w:footnoteRef/>
      </w:r>
      <w:r>
        <w:t xml:space="preserve"> Cross-references for "the angel": Gen 16:7-13; Gen 18:1.</w:t>
      </w:r>
    </w:p>
  </w:footnote>
  <w:footnote w:id="827">
    <w:p>
      <w:pPr>
        <w:pStyle w:val="FootnoteText"/>
      </w:pPr>
      <w:r>
        <w:rPr>
          <w:rStyle w:val="FootnoteReference"/>
        </w:rPr>
        <w:footnoteRef/>
      </w:r>
      <w:r>
        <w:t xml:space="preserve"> Cross-references for "Lift up": Gen 30:37-43.</w:t>
      </w:r>
    </w:p>
  </w:footnote>
  <w:footnote w:id="828">
    <w:p>
      <w:pPr>
        <w:pStyle w:val="FootnoteText"/>
      </w:pPr>
      <w:r>
        <w:rPr>
          <w:rStyle w:val="FootnoteReference"/>
        </w:rPr>
        <w:footnoteRef/>
      </w:r>
      <w:r>
        <w:t xml:space="preserve"> Greek LXX divine name/title: Ho Theos ho ophtheis soi en topo Theou (ὁ Θεὸς ὁ ὀφθείς σοι ἐν τόπῳ Θεοῦ) — God who appeared to you in the place of God. Common English rendering: God who appeared to you in the place of God. The LXX expands the Bethel title as God who appeared to you in the place of God.</w:t>
      </w:r>
    </w:p>
  </w:footnote>
  <w:footnote w:id="829">
    <w:p>
      <w:pPr>
        <w:pStyle w:val="FootnoteText"/>
      </w:pPr>
      <w:r>
        <w:rPr>
          <w:rStyle w:val="FootnoteReference"/>
        </w:rPr>
        <w:footnoteRef/>
      </w:r>
      <w:r>
        <w:t xml:space="preserve"> Hebrew divine name/title: El Bethel (</w:t>
      </w:r>
      <w:r>
        <w:rPr>
          <w:lang w:val="he-IL" w:bidi="he-IL"/>
          <w:rtl/>
        </w:rPr>
        <w:t xml:space="preserve">אֵל בֵּית־אֵל</w:t>
      </w:r>
      <w:r>
        <w:t xml:space="preserve">) — God of Bethel. Common English rendering: God of Bethel. Connects God’s revealed presence to the place where He appeared to Jacob.</w:t>
      </w:r>
    </w:p>
  </w:footnote>
  <w:footnote w:id="830">
    <w:p>
      <w:pPr>
        <w:pStyle w:val="FootnoteText"/>
      </w:pPr>
      <w:r>
        <w:rPr>
          <w:rStyle w:val="FootnoteReference"/>
        </w:rPr>
        <w:footnoteRef/>
      </w:r>
      <w:r>
        <w:t xml:space="preserve"> Cross-references for "the God": Gen 28:12-22; Gen 35:7.</w:t>
      </w:r>
    </w:p>
  </w:footnote>
  <w:footnote w:id="831">
    <w:p>
      <w:pPr>
        <w:pStyle w:val="FootnoteText"/>
      </w:pPr>
      <w:r>
        <w:rPr>
          <w:rStyle w:val="FootnoteReference"/>
        </w:rPr>
        <w:footnoteRef/>
      </w:r>
      <w:r>
        <w:t xml:space="preserve"> Cross-references for "Rachel": Ruth 4:11.</w:t>
      </w:r>
    </w:p>
  </w:footnote>
  <w:footnote w:id="832">
    <w:p>
      <w:pPr>
        <w:pStyle w:val="FootnoteText"/>
      </w:pPr>
      <w:r>
        <w:rPr>
          <w:rStyle w:val="FootnoteReference"/>
        </w:rPr>
        <w:footnoteRef/>
      </w:r>
      <w:r>
        <w:t xml:space="preserve"> Translation note: Greek pairs portion and inheritance in the sisters' question. Current wording preserves that family-property line.</w:t>
      </w:r>
    </w:p>
  </w:footnote>
  <w:footnote w:id="833">
    <w:p>
      <w:pPr>
        <w:pStyle w:val="FootnoteText"/>
      </w:pPr>
      <w:r>
        <w:rPr>
          <w:rStyle w:val="FootnoteReference"/>
        </w:rPr>
        <w:footnoteRef/>
      </w:r>
      <w:r>
        <w:t xml:space="preserve"> Cross-references for "sold us": Gen 29:15-20; Gen 29:27-30.</w:t>
      </w:r>
    </w:p>
  </w:footnote>
  <w:footnote w:id="834">
    <w:p>
      <w:pPr>
        <w:pStyle w:val="FootnoteText"/>
      </w:pPr>
      <w:r>
        <w:rPr>
          <w:rStyle w:val="FootnoteReference"/>
        </w:rPr>
        <w:footnoteRef/>
      </w:r>
      <w:r>
        <w:t xml:space="preserve"> Transliterated proper noun: Gilead. Standard English equivalent: Gilead. Source form: Gilead. Greek form: Γαλαάδ. Name meaning: the heap or mass of testimony.</w:t>
      </w:r>
    </w:p>
  </w:footnote>
  <w:footnote w:id="835">
    <w:p>
      <w:pPr>
        <w:pStyle w:val="FootnoteText"/>
      </w:pPr>
      <w:r>
        <w:rPr>
          <w:rStyle w:val="FootnoteReference"/>
        </w:rPr>
        <w:footnoteRef/>
      </w:r>
      <w:r>
        <w:t xml:space="preserve"> Cross-references for "Gilead": Gen 31:23; Num 32:1.</w:t>
      </w:r>
    </w:p>
  </w:footnote>
  <w:footnote w:id="836">
    <w:p>
      <w:pPr>
        <w:pStyle w:val="FootnoteText"/>
      </w:pPr>
      <w:r>
        <w:rPr>
          <w:rStyle w:val="FootnoteReference"/>
        </w:rPr>
        <w:footnoteRef/>
      </w:r>
      <w:r>
        <w:t xml:space="preserve"> Cross-references for "the Syrian": Gen 28:5; Deut 26:5.</w:t>
      </w:r>
    </w:p>
  </w:footnote>
  <w:footnote w:id="837">
    <w:p>
      <w:pPr>
        <w:pStyle w:val="FootnoteText"/>
      </w:pPr>
      <w:r>
        <w:rPr>
          <w:rStyle w:val="FootnoteReference"/>
        </w:rPr>
        <w:footnoteRef/>
      </w:r>
      <w:r>
        <w:t xml:space="preserve"> Cross-references for "kiss": Gen 29:13; Gen 31:55.</w:t>
      </w:r>
    </w:p>
  </w:footnote>
  <w:footnote w:id="838">
    <w:p>
      <w:pPr>
        <w:pStyle w:val="FootnoteText"/>
      </w:pPr>
      <w:r>
        <w:rPr>
          <w:rStyle w:val="FootnoteReference"/>
        </w:rPr>
        <w:footnoteRef/>
      </w:r>
      <w:r>
        <w:t xml:space="preserve"> Cross-references for "the God": Gen 28:13; Gen 31:42.</w:t>
      </w:r>
    </w:p>
  </w:footnote>
  <w:footnote w:id="839">
    <w:p>
      <w:pPr>
        <w:pStyle w:val="FootnoteText"/>
      </w:pPr>
      <w:r>
        <w:rPr>
          <w:rStyle w:val="FootnoteReference"/>
        </w:rPr>
        <w:footnoteRef/>
      </w:r>
      <w:r>
        <w:t xml:space="preserve"> Cross-references for "my gods": Gen 31:19; Exod 12:12.</w:t>
      </w:r>
    </w:p>
  </w:footnote>
  <w:footnote w:id="840">
    <w:p>
      <w:pPr>
        <w:pStyle w:val="FootnoteText"/>
      </w:pPr>
      <w:r>
        <w:rPr>
          <w:rStyle w:val="FootnoteReference"/>
        </w:rPr>
        <w:footnoteRef/>
      </w:r>
      <w:r>
        <w:t xml:space="preserve"> Cross-references for "Leah's": Gen 24:28; Gen 24:67.</w:t>
      </w:r>
    </w:p>
  </w:footnote>
  <w:footnote w:id="841">
    <w:p>
      <w:pPr>
        <w:pStyle w:val="FootnoteText"/>
      </w:pPr>
      <w:r>
        <w:rPr>
          <w:rStyle w:val="FootnoteReference"/>
        </w:rPr>
        <w:footnoteRef/>
      </w:r>
      <w:r>
        <w:t xml:space="preserve"> Cross-references for "had taken": Gen 31:17; Gen 31:19.</w:t>
      </w:r>
    </w:p>
  </w:footnote>
  <w:footnote w:id="842">
    <w:p>
      <w:pPr>
        <w:pStyle w:val="FootnoteText"/>
      </w:pPr>
      <w:r>
        <w:rPr>
          <w:rStyle w:val="FootnoteReference"/>
        </w:rPr>
        <w:footnoteRef/>
      </w:r>
      <w:r>
        <w:t xml:space="preserve"> Cross-references for "custom": Gen 18:11; Lev 15:19.</w:t>
      </w:r>
    </w:p>
  </w:footnote>
  <w:footnote w:id="843">
    <w:p>
      <w:pPr>
        <w:pStyle w:val="FootnoteText"/>
      </w:pPr>
      <w:r>
        <w:rPr>
          <w:rStyle w:val="FootnoteReference"/>
        </w:rPr>
        <w:footnoteRef/>
      </w:r>
      <w:r>
        <w:t xml:space="preserve"> Cross-references for "Set it here": Gen 31:32; Josh 7:23.</w:t>
      </w:r>
    </w:p>
  </w:footnote>
  <w:footnote w:id="844">
    <w:p>
      <w:pPr>
        <w:pStyle w:val="FootnoteText"/>
      </w:pPr>
      <w:r>
        <w:rPr>
          <w:rStyle w:val="FootnoteReference"/>
        </w:rPr>
        <w:footnoteRef/>
      </w:r>
      <w:r>
        <w:t xml:space="preserve"> Cross-references for "twenty": Gen 31:41.</w:t>
      </w:r>
    </w:p>
  </w:footnote>
  <w:footnote w:id="845">
    <w:p>
      <w:pPr>
        <w:pStyle w:val="FootnoteText"/>
      </w:pPr>
      <w:r>
        <w:rPr>
          <w:rStyle w:val="FootnoteReference"/>
        </w:rPr>
        <w:footnoteRef/>
      </w:r>
      <w:r>
        <w:t xml:space="preserve"> Translation note: Greek repeats thefts by day and by night. Current wording preserves that formula.</w:t>
      </w:r>
    </w:p>
  </w:footnote>
  <w:footnote w:id="846">
    <w:p>
      <w:pPr>
        <w:pStyle w:val="FootnoteText"/>
      </w:pPr>
      <w:r>
        <w:rPr>
          <w:rStyle w:val="FootnoteReference"/>
        </w:rPr>
        <w:footnoteRef/>
      </w:r>
      <w:r>
        <w:t xml:space="preserve"> Cross-references for "fourteen": Gen 29:18-30; Gen 30:33-40.</w:t>
      </w:r>
    </w:p>
  </w:footnote>
  <w:footnote w:id="847">
    <w:p>
      <w:pPr>
        <w:pStyle w:val="FootnoteText"/>
      </w:pPr>
      <w:r>
        <w:rPr>
          <w:rStyle w:val="FootnoteReference"/>
        </w:rPr>
        <w:footnoteRef/>
      </w:r>
      <w:r>
        <w:t xml:space="preserve"> Cross-references for "Fear": Gen 27:33; Gen 31:53.</w:t>
      </w:r>
    </w:p>
  </w:footnote>
  <w:footnote w:id="848">
    <w:p>
      <w:pPr>
        <w:pStyle w:val="FootnoteText"/>
      </w:pPr>
      <w:r>
        <w:rPr>
          <w:rStyle w:val="FootnoteReference"/>
        </w:rPr>
        <w:footnoteRef/>
      </w:r>
      <w:r>
        <w:t xml:space="preserve"> Translation note: Greek adds that possessive extension after all that you see is mine.</w:t>
      </w:r>
    </w:p>
  </w:footnote>
  <w:footnote w:id="849">
    <w:p>
      <w:pPr>
        <w:pStyle w:val="FootnoteText"/>
      </w:pPr>
      <w:r>
        <w:rPr>
          <w:rStyle w:val="FootnoteReference"/>
        </w:rPr>
        <w:footnoteRef/>
      </w:r>
      <w:r>
        <w:t xml:space="preserve"> Cross-references for "let us": Gen 15:18; Gen 21:22-32.</w:t>
      </w:r>
    </w:p>
  </w:footnote>
  <w:footnote w:id="850">
    <w:p>
      <w:pPr>
        <w:pStyle w:val="FootnoteText"/>
      </w:pPr>
      <w:r>
        <w:rPr>
          <w:rStyle w:val="FootnoteReference"/>
        </w:rPr>
        <w:footnoteRef/>
      </w:r>
      <w:r>
        <w:t xml:space="preserve"> Translation note: Greek gives the stone-to-pillar action in a compact line. Current wording preserves that memorial act.</w:t>
      </w:r>
    </w:p>
  </w:footnote>
  <w:footnote w:id="851">
    <w:p>
      <w:pPr>
        <w:pStyle w:val="FootnoteText"/>
      </w:pPr>
      <w:r>
        <w:rPr>
          <w:rStyle w:val="FootnoteReference"/>
        </w:rPr>
        <w:footnoteRef/>
      </w:r>
      <w:r>
        <w:t xml:space="preserve"> Translation note: Greek keeps the covenant scene in a terse gather-stones → heap → meal sequence. Current wording preserves that pattern.</w:t>
      </w:r>
    </w:p>
  </w:footnote>
  <w:footnote w:id="852">
    <w:p>
      <w:pPr>
        <w:pStyle w:val="FootnoteText"/>
      </w:pPr>
      <w:r>
        <w:rPr>
          <w:rStyle w:val="FootnoteReference"/>
        </w:rPr>
        <w:footnoteRef/>
      </w:r>
      <w:r>
        <w:t xml:space="preserve"> Cross-references for "Gather": Josh 4:5-9; Josh 4:20-24.</w:t>
      </w:r>
    </w:p>
  </w:footnote>
  <w:footnote w:id="853">
    <w:p>
      <w:pPr>
        <w:pStyle w:val="FootnoteText"/>
      </w:pPr>
      <w:r>
        <w:rPr>
          <w:rStyle w:val="FootnoteReference"/>
        </w:rPr>
        <w:footnoteRef/>
      </w:r>
      <w:r>
        <w:t xml:space="preserve"> Cross-references for "this heap": Josh 24:27.</w:t>
      </w:r>
    </w:p>
  </w:footnote>
  <w:footnote w:id="854">
    <w:p>
      <w:pPr>
        <w:pStyle w:val="FootnoteText"/>
      </w:pPr>
      <w:r>
        <w:rPr>
          <w:rStyle w:val="FootnoteReference"/>
        </w:rPr>
        <w:footnoteRef/>
      </w:r>
      <w:r>
        <w:t xml:space="preserve"> Cross-references for "God of Abraham": Gen 11:24-29; Gen 11:31.</w:t>
      </w:r>
    </w:p>
  </w:footnote>
  <w:footnote w:id="855">
    <w:p>
      <w:pPr>
        <w:pStyle w:val="FootnoteText"/>
      </w:pPr>
      <w:r>
        <w:rPr>
          <w:rStyle w:val="FootnoteReference"/>
        </w:rPr>
        <w:footnoteRef/>
      </w:r>
      <w:r>
        <w:t xml:space="preserve"> Cross-references for "angels": Ps 91:11; 1Cor 3:22.</w:t>
      </w:r>
    </w:p>
  </w:footnote>
  <w:footnote w:id="856">
    <w:p>
      <w:pPr>
        <w:pStyle w:val="FootnoteText"/>
      </w:pPr>
      <w:r>
        <w:rPr>
          <w:rStyle w:val="FootnoteReference"/>
        </w:rPr>
        <w:footnoteRef/>
      </w:r>
      <w:r>
        <w:t xml:space="preserve"> Translation note: Greek makes a direct camp/place-name link. Current wording preserves it.</w:t>
      </w:r>
    </w:p>
  </w:footnote>
  <w:footnote w:id="857">
    <w:p>
      <w:pPr>
        <w:pStyle w:val="FootnoteText"/>
      </w:pPr>
      <w:r>
        <w:rPr>
          <w:rStyle w:val="FootnoteReference"/>
        </w:rPr>
        <w:footnoteRef/>
      </w:r>
      <w:r>
        <w:t xml:space="preserve"> Cross-references for "God's": Josh 5:14; 2Kgs 6:17.</w:t>
      </w:r>
    </w:p>
  </w:footnote>
  <w:footnote w:id="858">
    <w:p>
      <w:pPr>
        <w:pStyle w:val="FootnoteText"/>
      </w:pPr>
      <w:r>
        <w:rPr>
          <w:rStyle w:val="FootnoteReference"/>
        </w:rPr>
        <w:footnoteRef/>
      </w:r>
      <w:r>
        <w:t xml:space="preserve"> Translation note: Context here is human envoys to Esau. The current wording keeps messenger rather than angel.</w:t>
      </w:r>
    </w:p>
  </w:footnote>
  <w:footnote w:id="859">
    <w:p>
      <w:pPr>
        <w:pStyle w:val="FootnoteText"/>
      </w:pPr>
      <w:r>
        <w:rPr>
          <w:rStyle w:val="FootnoteReference"/>
        </w:rPr>
        <w:footnoteRef/>
      </w:r>
      <w:r>
        <w:t xml:space="preserve"> Cross-references for "sent": Mal 3:1; Luke 9:52.</w:t>
      </w:r>
    </w:p>
  </w:footnote>
  <w:footnote w:id="860">
    <w:p>
      <w:pPr>
        <w:pStyle w:val="FootnoteText"/>
      </w:pPr>
      <w:r>
        <w:rPr>
          <w:rStyle w:val="FootnoteReference"/>
        </w:rPr>
        <w:footnoteRef/>
      </w:r>
      <w:r>
        <w:t xml:space="preserve"> Cross-references for "my lord": Gen 4:7; Gen 23:6.</w:t>
      </w:r>
    </w:p>
  </w:footnote>
  <w:footnote w:id="861">
    <w:p>
      <w:pPr>
        <w:pStyle w:val="FootnoteText"/>
      </w:pPr>
      <w:r>
        <w:rPr>
          <w:rStyle w:val="FootnoteReference"/>
        </w:rPr>
        <w:footnoteRef/>
      </w:r>
      <w:r>
        <w:t xml:space="preserve"> Cross-references for "may find": Gen 33:8; Gen 33:15.</w:t>
      </w:r>
    </w:p>
  </w:footnote>
  <w:footnote w:id="862">
    <w:p>
      <w:pPr>
        <w:pStyle w:val="FootnoteText"/>
      </w:pPr>
      <w:r>
        <w:rPr>
          <w:rStyle w:val="FootnoteReference"/>
        </w:rPr>
        <w:footnoteRef/>
      </w:r>
      <w:r>
        <w:t xml:space="preserve"> Translation note: Context here is human envoys to Esau. The current wording keeps messenger rather than angel.</w:t>
      </w:r>
    </w:p>
  </w:footnote>
  <w:footnote w:id="863">
    <w:p>
      <w:pPr>
        <w:pStyle w:val="FootnoteText"/>
      </w:pPr>
      <w:r>
        <w:rPr>
          <w:rStyle w:val="FootnoteReference"/>
        </w:rPr>
        <w:footnoteRef/>
      </w:r>
      <w:r>
        <w:t xml:space="preserve"> Cross-references for "and four": Gen 27:40-41; Gen 32:8.</w:t>
      </w:r>
    </w:p>
  </w:footnote>
  <w:footnote w:id="864">
    <w:p>
      <w:pPr>
        <w:pStyle w:val="FootnoteText"/>
      </w:pPr>
      <w:r>
        <w:rPr>
          <w:rStyle w:val="FootnoteReference"/>
        </w:rPr>
        <w:footnoteRef/>
      </w:r>
      <w:r>
        <w:t xml:space="preserve"> Cross-references for "greatly": Exod 14:10; Ps 18:4-5.</w:t>
      </w:r>
    </w:p>
  </w:footnote>
  <w:footnote w:id="865">
    <w:p>
      <w:pPr>
        <w:pStyle w:val="FootnoteText"/>
      </w:pPr>
      <w:r>
        <w:rPr>
          <w:rStyle w:val="FootnoteReference"/>
        </w:rPr>
        <w:footnoteRef/>
      </w:r>
      <w:r>
        <w:t xml:space="preserve"> Cross-references for "Jacob": 1Sam 30:6; 2Chr 20:6.</w:t>
      </w:r>
    </w:p>
  </w:footnote>
  <w:footnote w:id="866">
    <w:p>
      <w:pPr>
        <w:pStyle w:val="FootnoteText"/>
      </w:pPr>
      <w:r>
        <w:rPr>
          <w:rStyle w:val="FootnoteReference"/>
        </w:rPr>
        <w:footnoteRef/>
      </w:r>
      <w:r>
        <w:t xml:space="preserve"> Cross-references for "truth": Gen 24:27; Gen 28:15.</w:t>
      </w:r>
    </w:p>
  </w:footnote>
  <w:footnote w:id="867">
    <w:p>
      <w:pPr>
        <w:pStyle w:val="FootnoteText"/>
      </w:pPr>
      <w:r>
        <w:rPr>
          <w:rStyle w:val="FootnoteReference"/>
        </w:rPr>
        <w:footnoteRef/>
      </w:r>
      <w:r>
        <w:t xml:space="preserve"> Cross-references for "Deliver": 1Sam 12:10; 1Sam 24:15.</w:t>
      </w:r>
    </w:p>
  </w:footnote>
  <w:footnote w:id="868">
    <w:p>
      <w:pPr>
        <w:pStyle w:val="FootnoteText"/>
      </w:pPr>
      <w:r>
        <w:rPr>
          <w:rStyle w:val="FootnoteReference"/>
        </w:rPr>
        <w:footnoteRef/>
      </w:r>
      <w:r>
        <w:t xml:space="preserve"> Translation note: Greek uses a stark mother-upon-children idiom here. Current wording keeps it rather than smoothing it away.</w:t>
      </w:r>
    </w:p>
  </w:footnote>
  <w:footnote w:id="869">
    <w:p>
      <w:pPr>
        <w:pStyle w:val="FootnoteText"/>
      </w:pPr>
      <w:r>
        <w:rPr>
          <w:rStyle w:val="FootnoteReference"/>
        </w:rPr>
        <w:footnoteRef/>
      </w:r>
      <w:r>
        <w:t xml:space="preserve"> Translation note: The Greek promise line is compact. The current wording keeps that force explicit.</w:t>
      </w:r>
    </w:p>
  </w:footnote>
  <w:footnote w:id="870">
    <w:p>
      <w:pPr>
        <w:pStyle w:val="FootnoteText"/>
      </w:pPr>
      <w:r>
        <w:rPr>
          <w:rStyle w:val="FootnoteReference"/>
        </w:rPr>
        <w:footnoteRef/>
      </w:r>
      <w:r>
        <w:t xml:space="preserve"> Translation note: The Greek line is a gift list. The current wording keeps that sequence direct.</w:t>
      </w:r>
    </w:p>
  </w:footnote>
  <w:footnote w:id="871">
    <w:p>
      <w:pPr>
        <w:pStyle w:val="FootnoteText"/>
      </w:pPr>
      <w:r>
        <w:rPr>
          <w:rStyle w:val="FootnoteReference"/>
        </w:rPr>
        <w:footnoteRef/>
      </w:r>
      <w:r>
        <w:t xml:space="preserve"> Translation note: Greek gives a livestock list in compressed sequence. Current wording preserves it.</w:t>
      </w:r>
    </w:p>
  </w:footnote>
  <w:footnote w:id="872">
    <w:p>
      <w:pPr>
        <w:pStyle w:val="FootnoteText"/>
      </w:pPr>
      <w:r>
        <w:rPr>
          <w:rStyle w:val="FootnoteReference"/>
        </w:rPr>
        <w:footnoteRef/>
      </w:r>
      <w:r>
        <w:t xml:space="preserve"> Translation note: Greek repeats whose in compressed sequence. Current wording keeps that repeated structure.</w:t>
      </w:r>
    </w:p>
  </w:footnote>
  <w:footnote w:id="873">
    <w:p>
      <w:pPr>
        <w:pStyle w:val="FootnoteText"/>
      </w:pPr>
      <w:r>
        <w:rPr>
          <w:rStyle w:val="FootnoteReference"/>
        </w:rPr>
        <w:footnoteRef/>
      </w:r>
      <w:r>
        <w:t xml:space="preserve"> Cross-references for "his two wives": Gen 29:21-35; Gen 30:1-24.</w:t>
      </w:r>
    </w:p>
  </w:footnote>
  <w:footnote w:id="874">
    <w:p>
      <w:pPr>
        <w:pStyle w:val="FootnoteText"/>
      </w:pPr>
      <w:r>
        <w:rPr>
          <w:rStyle w:val="FootnoteReference"/>
        </w:rPr>
        <w:footnoteRef/>
      </w:r>
      <w:r>
        <w:t xml:space="preserve"> Translation note: Greek uses a concrete crossing-place term here. Current wording keeps river-ford sense plain.</w:t>
      </w:r>
    </w:p>
  </w:footnote>
  <w:footnote w:id="875">
    <w:p>
      <w:pPr>
        <w:pStyle w:val="FootnoteText"/>
      </w:pPr>
      <w:r>
        <w:rPr>
          <w:rStyle w:val="FootnoteReference"/>
        </w:rPr>
        <w:footnoteRef/>
      </w:r>
      <w:r>
        <w:t xml:space="preserve"> Place name: Jabbok. Place-name meaning: Jabbok — evacuation; dissipation; wrestling. Source form: Jabbok. Greek form: ᾿Ιαβώκ·.</w:t>
      </w:r>
    </w:p>
  </w:footnote>
  <w:footnote w:id="876">
    <w:p>
      <w:pPr>
        <w:pStyle w:val="FootnoteText"/>
      </w:pPr>
      <w:r>
        <w:rPr>
          <w:rStyle w:val="FootnoteReference"/>
        </w:rPr>
        <w:footnoteRef/>
      </w:r>
      <w:r>
        <w:t xml:space="preserve"> Cross-references for "wrestled": Gen 30:8; Luke 13:24.</w:t>
      </w:r>
    </w:p>
  </w:footnote>
  <w:footnote w:id="877">
    <w:p>
      <w:pPr>
        <w:pStyle w:val="FootnoteText"/>
      </w:pPr>
      <w:r>
        <w:rPr>
          <w:rStyle w:val="FootnoteReference"/>
        </w:rPr>
        <w:footnoteRef/>
      </w:r>
      <w:r>
        <w:t xml:space="preserve"> Cross-references for "touched": Gen 32:32; Ps 30:6-7.</w:t>
      </w:r>
    </w:p>
  </w:footnote>
  <w:footnote w:id="878">
    <w:p>
      <w:pPr>
        <w:pStyle w:val="FootnoteText"/>
      </w:pPr>
      <w:r>
        <w:rPr>
          <w:rStyle w:val="FootnoteReference"/>
        </w:rPr>
        <w:footnoteRef/>
      </w:r>
      <w:r>
        <w:t xml:space="preserve"> Translation note: Greek uses broad-part wording and a numbness verb here. Current wording keeps both visible.</w:t>
      </w:r>
    </w:p>
  </w:footnote>
  <w:footnote w:id="879">
    <w:p>
      <w:pPr>
        <w:pStyle w:val="FootnoteText"/>
      </w:pPr>
      <w:r>
        <w:rPr>
          <w:rStyle w:val="FootnoteReference"/>
        </w:rPr>
        <w:footnoteRef/>
      </w:r>
      <w:r>
        <w:t xml:space="preserve"> Translation note: Greek asks the naming question directly. Current wording keeps it plain.</w:t>
      </w:r>
    </w:p>
  </w:footnote>
  <w:footnote w:id="880">
    <w:p>
      <w:pPr>
        <w:pStyle w:val="FootnoteText"/>
      </w:pPr>
      <w:r>
        <w:rPr>
          <w:rStyle w:val="FootnoteReference"/>
        </w:rPr>
        <w:footnoteRef/>
      </w:r>
      <w:r>
        <w:t xml:space="preserve"> Name meaning: Israel (Yisrael) — God contends; strives with God. Wrestled with God and prevailed; name of the covenant nation.</w:t>
      </w:r>
    </w:p>
  </w:footnote>
  <w:footnote w:id="881">
    <w:p>
      <w:pPr>
        <w:pStyle w:val="FootnoteText"/>
      </w:pPr>
      <w:r>
        <w:rPr>
          <w:rStyle w:val="FootnoteReference"/>
        </w:rPr>
        <w:footnoteRef/>
      </w:r>
      <w:r>
        <w:t xml:space="preserve"> Cross-references for "with men": Gen 25:31; Gen 27:33-36.</w:t>
      </w:r>
    </w:p>
  </w:footnote>
  <w:footnote w:id="882">
    <w:p>
      <w:pPr>
        <w:pStyle w:val="FootnoteText"/>
      </w:pPr>
      <w:r>
        <w:rPr>
          <w:rStyle w:val="FootnoteReference"/>
        </w:rPr>
        <w:footnoteRef/>
      </w:r>
      <w:r>
        <w:t xml:space="preserve"> Translation note: The Greek request is compact and direct. The current wording preserves it.</w:t>
      </w:r>
    </w:p>
  </w:footnote>
  <w:footnote w:id="883">
    <w:p>
      <w:pPr>
        <w:pStyle w:val="FootnoteText"/>
      </w:pPr>
      <w:r>
        <w:rPr>
          <w:rStyle w:val="FootnoteReference"/>
        </w:rPr>
        <w:footnoteRef/>
      </w:r>
      <w:r>
        <w:t xml:space="preserve"> Cross-references for "blessed": Gen 27:28-29; Gen 28:3-4.</w:t>
      </w:r>
    </w:p>
  </w:footnote>
  <w:footnote w:id="884">
    <w:p>
      <w:pPr>
        <w:pStyle w:val="FootnoteText"/>
      </w:pPr>
      <w:r>
        <w:rPr>
          <w:rStyle w:val="FootnoteReference"/>
        </w:rPr>
        <w:footnoteRef/>
      </w:r>
      <w:r>
        <w:t xml:space="preserve"> Cross-references for "Jacob": Gen 32:31.</w:t>
      </w:r>
    </w:p>
  </w:footnote>
  <w:footnote w:id="885">
    <w:p>
      <w:pPr>
        <w:pStyle w:val="FootnoteText"/>
      </w:pPr>
      <w:r>
        <w:rPr>
          <w:rStyle w:val="FootnoteReference"/>
        </w:rPr>
        <w:footnoteRef/>
      </w:r>
      <w:r>
        <w:t xml:space="preserve"> Translation note: Greek names the place with Form of God and then explains it. Current wording keeps that naming line explicit.</w:t>
      </w:r>
    </w:p>
  </w:footnote>
  <w:footnote w:id="886">
    <w:p>
      <w:pPr>
        <w:pStyle w:val="FootnoteText"/>
      </w:pPr>
      <w:r>
        <w:rPr>
          <w:rStyle w:val="FootnoteReference"/>
        </w:rPr>
        <w:footnoteRef/>
      </w:r>
      <w:r>
        <w:t xml:space="preserve"> Cross-references for "Rachel": Gen 29:30; Gen 30:22-24.</w:t>
      </w:r>
    </w:p>
  </w:footnote>
  <w:footnote w:id="887">
    <w:p>
      <w:pPr>
        <w:pStyle w:val="FootnoteText"/>
      </w:pPr>
      <w:r>
        <w:rPr>
          <w:rStyle w:val="FootnoteReference"/>
        </w:rPr>
        <w:footnoteRef/>
      </w:r>
      <w:r>
        <w:t xml:space="preserve"> Cross-references for "bowed": Gen 18:2; Gen 42:6.</w:t>
      </w:r>
    </w:p>
  </w:footnote>
  <w:footnote w:id="888">
    <w:p>
      <w:pPr>
        <w:pStyle w:val="FootnoteText"/>
      </w:pPr>
      <w:r>
        <w:rPr>
          <w:rStyle w:val="FootnoteReference"/>
        </w:rPr>
        <w:footnoteRef/>
      </w:r>
      <w:r>
        <w:t xml:space="preserve"> Cross-references for "embraced": Gen 32:28; Gen 43:30.</w:t>
      </w:r>
    </w:p>
  </w:footnote>
  <w:footnote w:id="889">
    <w:p>
      <w:pPr>
        <w:pStyle w:val="FootnoteText"/>
      </w:pPr>
      <w:r>
        <w:rPr>
          <w:rStyle w:val="FootnoteReference"/>
        </w:rPr>
        <w:footnoteRef/>
      </w:r>
      <w:r>
        <w:t xml:space="preserve"> Cross-references for "children": Gen 30:2; Gen 48:9.</w:t>
      </w:r>
    </w:p>
  </w:footnote>
  <w:footnote w:id="890">
    <w:p>
      <w:pPr>
        <w:pStyle w:val="FootnoteText"/>
      </w:pPr>
      <w:r>
        <w:rPr>
          <w:rStyle w:val="FootnoteReference"/>
        </w:rPr>
        <w:footnoteRef/>
      </w:r>
      <w:r>
        <w:t xml:space="preserve"> Cross-references for "and because": Gen 33:9; Phil 4:11-12.</w:t>
      </w:r>
    </w:p>
  </w:footnote>
  <w:footnote w:id="891">
    <w:p>
      <w:pPr>
        <w:pStyle w:val="FootnoteText"/>
      </w:pPr>
      <w:r>
        <w:rPr>
          <w:rStyle w:val="FootnoteReference"/>
        </w:rPr>
        <w:footnoteRef/>
      </w:r>
      <w:r>
        <w:t xml:space="preserve"> Cross-references for "the children": 1Chr 22:5; Prov 12:10.</w:t>
      </w:r>
    </w:p>
  </w:footnote>
  <w:footnote w:id="892">
    <w:p>
      <w:pPr>
        <w:pStyle w:val="FootnoteText"/>
      </w:pPr>
      <w:r>
        <w:rPr>
          <w:rStyle w:val="FootnoteReference"/>
        </w:rPr>
        <w:footnoteRef/>
      </w:r>
      <w:r>
        <w:t xml:space="preserve"> Cross-references for "bought": Gen 23:17-20; Gen 49:30-32.</w:t>
      </w:r>
    </w:p>
  </w:footnote>
  <w:footnote w:id="893">
    <w:p>
      <w:pPr>
        <w:pStyle w:val="FootnoteText"/>
      </w:pPr>
      <w:r>
        <w:rPr>
          <w:rStyle w:val="FootnoteReference"/>
        </w:rPr>
        <w:footnoteRef/>
      </w:r>
      <w:r>
        <w:t xml:space="preserve"> Personal name: Hamor. Personal-name meaning: Hamor — an ass; clay; dirt. Source form: Hamor.</w:t>
      </w:r>
    </w:p>
  </w:footnote>
  <w:footnote w:id="894">
    <w:p>
      <w:pPr>
        <w:pStyle w:val="FootnoteText"/>
      </w:pPr>
      <w:r>
        <w:rPr>
          <w:rStyle w:val="FootnoteReference"/>
        </w:rPr>
        <w:footnoteRef/>
      </w:r>
      <w:r>
        <w:t xml:space="preserve"> Cross-references for "altar": Gen 8:20; Gen 12:7-8.</w:t>
      </w:r>
    </w:p>
  </w:footnote>
  <w:footnote w:id="895">
    <w:p>
      <w:pPr>
        <w:pStyle w:val="FootnoteText"/>
      </w:pPr>
      <w:r>
        <w:rPr>
          <w:rStyle w:val="FootnoteReference"/>
        </w:rPr>
        <w:footnoteRef/>
      </w:r>
      <w:r>
        <w:t xml:space="preserve"> Cross-references for "Dinah": Gen 30:21; Gen 46:15.</w:t>
      </w:r>
    </w:p>
  </w:footnote>
  <w:footnote w:id="896">
    <w:p>
      <w:pPr>
        <w:pStyle w:val="FootnoteText"/>
      </w:pPr>
      <w:r>
        <w:rPr>
          <w:rStyle w:val="FootnoteReference"/>
        </w:rPr>
        <w:footnoteRef/>
      </w:r>
      <w:r>
        <w:t xml:space="preserve"> Cross-references for "Shechem": Gen 10:17; Gen 33:19.</w:t>
      </w:r>
    </w:p>
  </w:footnote>
  <w:footnote w:id="897">
    <w:p>
      <w:pPr>
        <w:pStyle w:val="FootnoteText"/>
      </w:pPr>
      <w:r>
        <w:rPr>
          <w:rStyle w:val="FootnoteReference"/>
        </w:rPr>
        <w:footnoteRef/>
      </w:r>
      <w:r>
        <w:t xml:space="preserve"> People-name: Hivite. People-name meaning: Hivites — wicked; wickedness. Standard English equivalent: Hivites. Source form: Hivite.</w:t>
      </w:r>
    </w:p>
  </w:footnote>
  <w:footnote w:id="898">
    <w:p>
      <w:pPr>
        <w:pStyle w:val="FootnoteText"/>
      </w:pPr>
      <w:r>
        <w:rPr>
          <w:rStyle w:val="FootnoteReference"/>
        </w:rPr>
        <w:footnoteRef/>
      </w:r>
      <w:r>
        <w:t xml:space="preserve"> Cross-references for "thing": Gen 20:9; Lev 4:2.</w:t>
      </w:r>
    </w:p>
  </w:footnote>
  <w:footnote w:id="899">
    <w:p>
      <w:pPr>
        <w:pStyle w:val="FootnoteText"/>
      </w:pPr>
      <w:r>
        <w:rPr>
          <w:rStyle w:val="FootnoteReference"/>
        </w:rPr>
        <w:footnoteRef/>
      </w:r>
      <w:r>
        <w:t xml:space="preserve"> Cross-references for "dowry": Gen 24:53; Gen 29:18.</w:t>
      </w:r>
    </w:p>
  </w:footnote>
  <w:footnote w:id="900">
    <w:p>
      <w:pPr>
        <w:pStyle w:val="FootnoteText"/>
      </w:pPr>
      <w:r>
        <w:rPr>
          <w:rStyle w:val="FootnoteReference"/>
        </w:rPr>
        <w:footnoteRef/>
      </w:r>
      <w:r>
        <w:t xml:space="preserve"> Cross-references for "the gate": Gen 22:17; Gen 23:10.</w:t>
      </w:r>
    </w:p>
  </w:footnote>
  <w:footnote w:id="901">
    <w:p>
      <w:pPr>
        <w:pStyle w:val="FootnoteText"/>
      </w:pPr>
      <w:r>
        <w:rPr>
          <w:rStyle w:val="FootnoteReference"/>
        </w:rPr>
        <w:footnoteRef/>
      </w:r>
      <w:r>
        <w:t xml:space="preserve"> Translation note: Greek uses the peaceable adjective directly. The translation keeps that wording plain.</w:t>
      </w:r>
    </w:p>
  </w:footnote>
  <w:footnote w:id="902">
    <w:p>
      <w:pPr>
        <w:pStyle w:val="FootnoteText"/>
      </w:pPr>
      <w:r>
        <w:rPr>
          <w:rStyle w:val="FootnoteReference"/>
        </w:rPr>
        <w:footnoteRef/>
      </w:r>
      <w:r>
        <w:t xml:space="preserve"> Cross-references for "every male": Gen 17:23; Isa 1:10-16.</w:t>
      </w:r>
    </w:p>
  </w:footnote>
  <w:footnote w:id="903">
    <w:p>
      <w:pPr>
        <w:pStyle w:val="FootnoteText"/>
      </w:pPr>
      <w:r>
        <w:rPr>
          <w:rStyle w:val="FootnoteReference"/>
        </w:rPr>
        <w:footnoteRef/>
      </w:r>
      <w:r>
        <w:t xml:space="preserve"> Cross-references for "Simeon": Gen 29:33-34; Gen 49:5.</w:t>
      </w:r>
    </w:p>
  </w:footnote>
  <w:footnote w:id="904">
    <w:p>
      <w:pPr>
        <w:pStyle w:val="FootnoteText"/>
      </w:pPr>
      <w:r>
        <w:rPr>
          <w:rStyle w:val="FootnoteReference"/>
        </w:rPr>
        <w:footnoteRef/>
      </w:r>
      <w:r>
        <w:t xml:space="preserve"> Cross-references for "God said": Gen 22:14; Deut 32:36.</w:t>
      </w:r>
    </w:p>
  </w:footnote>
  <w:footnote w:id="905">
    <w:p>
      <w:pPr>
        <w:pStyle w:val="FootnoteText"/>
      </w:pPr>
      <w:r>
        <w:rPr>
          <w:rStyle w:val="FootnoteReference"/>
        </w:rPr>
        <w:footnoteRef/>
      </w:r>
      <w:r>
        <w:t xml:space="preserve"> Cross-references for "was with": Gen 28:20; Gen 31:3.</w:t>
      </w:r>
    </w:p>
  </w:footnote>
  <w:footnote w:id="906">
    <w:p>
      <w:pPr>
        <w:pStyle w:val="FootnoteText"/>
      </w:pPr>
      <w:r>
        <w:rPr>
          <w:rStyle w:val="FootnoteReference"/>
        </w:rPr>
        <w:footnoteRef/>
      </w:r>
      <w:r>
        <w:t xml:space="preserve"> Cross-references for "earrings": Exod 32:2-4; Judg 8:24-27.</w:t>
      </w:r>
    </w:p>
  </w:footnote>
  <w:footnote w:id="907">
    <w:p>
      <w:pPr>
        <w:pStyle w:val="FootnoteText"/>
      </w:pPr>
      <w:r>
        <w:rPr>
          <w:rStyle w:val="FootnoteReference"/>
        </w:rPr>
        <w:footnoteRef/>
      </w:r>
      <w:r>
        <w:t xml:space="preserve"> Cross-references for "built": Gen 35:1; Gen 35:3.</w:t>
      </w:r>
    </w:p>
  </w:footnote>
  <w:footnote w:id="908">
    <w:p>
      <w:pPr>
        <w:pStyle w:val="FootnoteText"/>
      </w:pPr>
      <w:r>
        <w:rPr>
          <w:rStyle w:val="FootnoteReference"/>
        </w:rPr>
        <w:footnoteRef/>
      </w:r>
      <w:r>
        <w:t xml:space="preserve"> Personal name: Deborah. Personal-name meaning: Deborah — word; thing; a bee. Source form: Deborah.</w:t>
      </w:r>
    </w:p>
  </w:footnote>
  <w:footnote w:id="909">
    <w:p>
      <w:pPr>
        <w:pStyle w:val="FootnoteText"/>
      </w:pPr>
      <w:r>
        <w:rPr>
          <w:rStyle w:val="FootnoteReference"/>
        </w:rPr>
        <w:footnoteRef/>
      </w:r>
      <w:r>
        <w:t xml:space="preserve"> Cross-references for "Rebekah's": Gen 24:59.</w:t>
      </w:r>
    </w:p>
  </w:footnote>
  <w:footnote w:id="910">
    <w:p>
      <w:pPr>
        <w:pStyle w:val="FootnoteText"/>
      </w:pPr>
      <w:r>
        <w:rPr>
          <w:rStyle w:val="FootnoteReference"/>
        </w:rPr>
        <w:footnoteRef/>
      </w:r>
      <w:r>
        <w:t xml:space="preserve"> Translation note: Greek keeps the gatherings-of-nations phrase here rather than flattening it into a generic many-nations line. Current wording preserves that covenant formula.</w:t>
      </w:r>
    </w:p>
  </w:footnote>
  <w:footnote w:id="911">
    <w:p>
      <w:pPr>
        <w:pStyle w:val="FootnoteText"/>
      </w:pPr>
      <w:r>
        <w:rPr>
          <w:rStyle w:val="FootnoteReference"/>
        </w:rPr>
        <w:footnoteRef/>
      </w:r>
      <w:r>
        <w:t xml:space="preserve"> Cross-references for "Bethel": Gen 28:19.</w:t>
      </w:r>
    </w:p>
  </w:footnote>
  <w:footnote w:id="912">
    <w:p>
      <w:pPr>
        <w:pStyle w:val="FootnoteText"/>
      </w:pPr>
      <w:r>
        <w:rPr>
          <w:rStyle w:val="FootnoteReference"/>
        </w:rPr>
        <w:footnoteRef/>
      </w:r>
      <w:r>
        <w:t xml:space="preserve"> Transliterated proper noun: Eder. Standard English equivalent: Eder. Source form: Eder. Greek form: δὲ. Name meaning: flock; tower.</w:t>
      </w:r>
    </w:p>
  </w:footnote>
  <w:footnote w:id="913">
    <w:p>
      <w:pPr>
        <w:pStyle w:val="FootnoteText"/>
      </w:pPr>
      <w:r>
        <w:rPr>
          <w:rStyle w:val="FootnoteReference"/>
        </w:rPr>
        <w:footnoteRef/>
      </w:r>
      <w:r>
        <w:t xml:space="preserve"> Cross-references for "a little way to come": 2Kgs 5:19.</w:t>
      </w:r>
    </w:p>
  </w:footnote>
  <w:footnote w:id="914">
    <w:p>
      <w:pPr>
        <w:pStyle w:val="FootnoteText"/>
      </w:pPr>
      <w:r>
        <w:rPr>
          <w:rStyle w:val="FootnoteReference"/>
        </w:rPr>
        <w:footnoteRef/>
      </w:r>
      <w:r>
        <w:t xml:space="preserve"> Place name: Ephrathah. Place-name meaning: Ephrathah — abundance; bearing fruit. Source form: Ephrathah. Greek form: ᾿Εφραθᾶ.</w:t>
      </w:r>
    </w:p>
  </w:footnote>
  <w:footnote w:id="915">
    <w:p>
      <w:pPr>
        <w:pStyle w:val="FootnoteText"/>
      </w:pPr>
      <w:r>
        <w:rPr>
          <w:rStyle w:val="FootnoteReference"/>
        </w:rPr>
        <w:footnoteRef/>
      </w:r>
      <w:r>
        <w:t xml:space="preserve"> Translation note: Greek says take courage and this son is yours.</w:t>
      </w:r>
    </w:p>
  </w:footnote>
  <w:footnote w:id="916">
    <w:p>
      <w:pPr>
        <w:pStyle w:val="FootnoteText"/>
      </w:pPr>
      <w:r>
        <w:rPr>
          <w:rStyle w:val="FootnoteReference"/>
        </w:rPr>
        <w:footnoteRef/>
      </w:r>
      <w:r>
        <w:t xml:space="preserve"> Name meaning: Benjamin (Binyamin) — Son of the right hand. Rachel’s son of sorrow became son of the right hand.</w:t>
      </w:r>
    </w:p>
  </w:footnote>
  <w:footnote w:id="917">
    <w:p>
      <w:pPr>
        <w:pStyle w:val="FootnoteText"/>
      </w:pPr>
      <w:r>
        <w:rPr>
          <w:rStyle w:val="FootnoteReference"/>
        </w:rPr>
        <w:footnoteRef/>
      </w:r>
      <w:r>
        <w:t xml:space="preserve"> Cross-references for "Benjamin": Gen 42:4; Gen 42:38.</w:t>
      </w:r>
    </w:p>
  </w:footnote>
  <w:footnote w:id="918">
    <w:p>
      <w:pPr>
        <w:pStyle w:val="FootnoteText"/>
      </w:pPr>
      <w:r>
        <w:rPr>
          <w:rStyle w:val="FootnoteReference"/>
        </w:rPr>
        <w:footnoteRef/>
      </w:r>
      <w:r>
        <w:t xml:space="preserve"> Cross-references for "Rachel died": Gen 48:7.</w:t>
      </w:r>
    </w:p>
  </w:footnote>
  <w:footnote w:id="919">
    <w:p>
      <w:pPr>
        <w:pStyle w:val="FootnoteText"/>
      </w:pPr>
      <w:r>
        <w:rPr>
          <w:rStyle w:val="FootnoteReference"/>
        </w:rPr>
        <w:footnoteRef/>
      </w:r>
      <w:r>
        <w:t xml:space="preserve"> Place name: Bethlehem. Place-name meaning: Bethlehem — house of bread. Source form: Bethlehem. Greek form: Βηθλεέμ.</w:t>
      </w:r>
    </w:p>
  </w:footnote>
  <w:footnote w:id="920">
    <w:p>
      <w:pPr>
        <w:pStyle w:val="FootnoteText"/>
      </w:pPr>
      <w:r>
        <w:rPr>
          <w:rStyle w:val="FootnoteReference"/>
        </w:rPr>
        <w:footnoteRef/>
      </w:r>
      <w:r>
        <w:t xml:space="preserve"> Cross-references for "the pillar": Gen 35:9; Gen 35:14.</w:t>
      </w:r>
    </w:p>
  </w:footnote>
  <w:footnote w:id="921">
    <w:p>
      <w:pPr>
        <w:pStyle w:val="FootnoteText"/>
      </w:pPr>
      <w:r>
        <w:rPr>
          <w:rStyle w:val="FootnoteReference"/>
        </w:rPr>
        <w:footnoteRef/>
      </w:r>
      <w:r>
        <w:t xml:space="preserve"> Translation note: Greek gives simple count notice here. Current line keeps it.</w:t>
      </w:r>
    </w:p>
  </w:footnote>
  <w:footnote w:id="922">
    <w:p>
      <w:pPr>
        <w:pStyle w:val="FootnoteText"/>
      </w:pPr>
      <w:r>
        <w:rPr>
          <w:rStyle w:val="FootnoteReference"/>
        </w:rPr>
        <w:footnoteRef/>
      </w:r>
      <w:r>
        <w:t xml:space="preserve"> Translation note: Greek identifies the sons through their mother here. Current wording preserves that listing.</w:t>
      </w:r>
    </w:p>
  </w:footnote>
  <w:footnote w:id="923">
    <w:p>
      <w:pPr>
        <w:pStyle w:val="FootnoteText"/>
      </w:pPr>
      <w:r>
        <w:rPr>
          <w:rStyle w:val="FootnoteReference"/>
        </w:rPr>
        <w:footnoteRef/>
      </w:r>
      <w:r>
        <w:t xml:space="preserve"> Cross-references for "Jacob": Gen 27:43-45; Gen 28:5.</w:t>
      </w:r>
    </w:p>
  </w:footnote>
  <w:footnote w:id="924">
    <w:p>
      <w:pPr>
        <w:pStyle w:val="FootnoteText"/>
      </w:pPr>
      <w:r>
        <w:rPr>
          <w:rStyle w:val="FootnoteReference"/>
        </w:rPr>
        <w:footnoteRef/>
      </w:r>
      <w:r>
        <w:t xml:space="preserve"> Cross-references for "Isaac": Gen 3:19; Gen 15:15.</w:t>
      </w:r>
    </w:p>
  </w:footnote>
  <w:footnote w:id="925">
    <w:p>
      <w:pPr>
        <w:pStyle w:val="FootnoteText"/>
      </w:pPr>
      <w:r>
        <w:rPr>
          <w:rStyle w:val="FootnoteReference"/>
        </w:rPr>
        <w:footnoteRef/>
      </w:r>
      <w:r>
        <w:t xml:space="preserve"> Cross-references for "Esau": Gen 9:25; Gen 26:34-35.</w:t>
      </w:r>
    </w:p>
  </w:footnote>
  <w:footnote w:id="926">
    <w:p>
      <w:pPr>
        <w:pStyle w:val="FootnoteText"/>
      </w:pPr>
      <w:r>
        <w:rPr>
          <w:rStyle w:val="FootnoteReference"/>
        </w:rPr>
        <w:footnoteRef/>
      </w:r>
      <w:r>
        <w:t xml:space="preserve"> Transliterated proper noun: Elon. Standard English equivalent: Elon. Source form: Elon. Greek form: τῶν. Name meaning: oak; grove; strong.</w:t>
      </w:r>
    </w:p>
  </w:footnote>
  <w:footnote w:id="927">
    <w:p>
      <w:pPr>
        <w:pStyle w:val="FootnoteText"/>
      </w:pPr>
      <w:r>
        <w:rPr>
          <w:rStyle w:val="FootnoteReference"/>
        </w:rPr>
        <w:footnoteRef/>
      </w:r>
      <w:r>
        <w:t xml:space="preserve"> Transliterated proper noun: Aholibamah. Standard English equivalent: Aholibamah. Source form: Aholibamah. Greek form: ᾿Ολιβεμὰ. Name meaning: my tabernacle is exalted.</w:t>
      </w:r>
    </w:p>
  </w:footnote>
  <w:footnote w:id="928">
    <w:p>
      <w:pPr>
        <w:pStyle w:val="FootnoteText"/>
      </w:pPr>
      <w:r>
        <w:rPr>
          <w:rStyle w:val="FootnoteReference"/>
        </w:rPr>
        <w:footnoteRef/>
      </w:r>
      <w:r>
        <w:t xml:space="preserve"> Personal name: Anah. Personal-name meaning: Anah — one who answers; afflicted. Source form: Anah.</w:t>
      </w:r>
    </w:p>
  </w:footnote>
  <w:footnote w:id="929">
    <w:p>
      <w:pPr>
        <w:pStyle w:val="FootnoteText"/>
      </w:pPr>
      <w:r>
        <w:rPr>
          <w:rStyle w:val="FootnoteReference"/>
        </w:rPr>
        <w:footnoteRef/>
      </w:r>
      <w:r>
        <w:t xml:space="preserve"> Personal name: Zibeon. Personal-name meaning: Zibeon — iniquity that dwells. Source form: Zibeon.</w:t>
      </w:r>
    </w:p>
  </w:footnote>
  <w:footnote w:id="930">
    <w:p>
      <w:pPr>
        <w:pStyle w:val="FootnoteText"/>
      </w:pPr>
      <w:r>
        <w:rPr>
          <w:rStyle w:val="FootnoteReference"/>
        </w:rPr>
        <w:footnoteRef/>
      </w:r>
      <w:r>
        <w:t xml:space="preserve"> Cross-references for "Adah": 1Chr 1:35.</w:t>
      </w:r>
    </w:p>
  </w:footnote>
  <w:footnote w:id="931">
    <w:p>
      <w:pPr>
        <w:pStyle w:val="FootnoteText"/>
      </w:pPr>
      <w:r>
        <w:rPr>
          <w:rStyle w:val="FootnoteReference"/>
        </w:rPr>
        <w:footnoteRef/>
      </w:r>
      <w:r>
        <w:t xml:space="preserve"> Personal name: Eliphaz. Personal-name meaning: Eliphaz — the endeavor of God. Source form: Eliphaz.</w:t>
      </w:r>
    </w:p>
  </w:footnote>
  <w:footnote w:id="932">
    <w:p>
      <w:pPr>
        <w:pStyle w:val="FootnoteText"/>
      </w:pPr>
      <w:r>
        <w:rPr>
          <w:rStyle w:val="FootnoteReference"/>
        </w:rPr>
        <w:footnoteRef/>
      </w:r>
      <w:r>
        <w:t xml:space="preserve"> Personal name: Jeush. Personal-name meaning: Jeush — he that is devoured. Source form: Jeush.</w:t>
      </w:r>
    </w:p>
  </w:footnote>
  <w:footnote w:id="933">
    <w:p>
      <w:pPr>
        <w:pStyle w:val="FootnoteText"/>
      </w:pPr>
      <w:r>
        <w:rPr>
          <w:rStyle w:val="FootnoteReference"/>
        </w:rPr>
        <w:footnoteRef/>
      </w:r>
      <w:r>
        <w:t xml:space="preserve"> Transliterated proper noun: Jaalam. Standard English equivalent: Jaalam. Source form: Jaalam. Greek form: ᾿Ιεγλὸμ. Name meaning: hidden; young man; heir.</w:t>
      </w:r>
    </w:p>
  </w:footnote>
  <w:footnote w:id="934">
    <w:p>
      <w:pPr>
        <w:pStyle w:val="FootnoteText"/>
      </w:pPr>
      <w:r>
        <w:rPr>
          <w:rStyle w:val="FootnoteReference"/>
        </w:rPr>
        <w:footnoteRef/>
      </w:r>
      <w:r>
        <w:t xml:space="preserve"> Personal name: Kore. Personal-name meaning: Kore — caller; crier. Source form: Kore.</w:t>
      </w:r>
    </w:p>
  </w:footnote>
  <w:footnote w:id="935">
    <w:p>
      <w:pPr>
        <w:pStyle w:val="FootnoteText"/>
      </w:pPr>
      <w:r>
        <w:rPr>
          <w:rStyle w:val="FootnoteReference"/>
        </w:rPr>
        <w:footnoteRef/>
      </w:r>
      <w:r>
        <w:t xml:space="preserve"> Cross-references for "in the land": Gen 35:29; Gen 36:6.</w:t>
      </w:r>
    </w:p>
  </w:footnote>
  <w:footnote w:id="936">
    <w:p>
      <w:pPr>
        <w:pStyle w:val="FootnoteText"/>
      </w:pPr>
      <w:r>
        <w:rPr>
          <w:rStyle w:val="FootnoteReference"/>
        </w:rPr>
        <w:footnoteRef/>
      </w:r>
      <w:r>
        <w:t xml:space="preserve"> Cross-references for "persons": Ezek 27:13; Rev 18:13.</w:t>
      </w:r>
    </w:p>
  </w:footnote>
  <w:footnote w:id="937">
    <w:p>
      <w:pPr>
        <w:pStyle w:val="FootnoteText"/>
      </w:pPr>
      <w:r>
        <w:rPr>
          <w:rStyle w:val="FootnoteReference"/>
        </w:rPr>
        <w:footnoteRef/>
      </w:r>
      <w:r>
        <w:t xml:space="preserve"> Cross-references for "Mount Seir": Gen 14:6; Gen 32:3.</w:t>
      </w:r>
    </w:p>
  </w:footnote>
  <w:footnote w:id="938">
    <w:p>
      <w:pPr>
        <w:pStyle w:val="FootnoteText"/>
      </w:pPr>
      <w:r>
        <w:rPr>
          <w:rStyle w:val="FootnoteReference"/>
        </w:rPr>
        <w:footnoteRef/>
      </w:r>
      <w:r>
        <w:t xml:space="preserve"> Personal name: Omar. Personal-name meaning: Omar — he that speaks; bitter. Source form: Omar.</w:t>
      </w:r>
    </w:p>
  </w:footnote>
  <w:footnote w:id="939">
    <w:p>
      <w:pPr>
        <w:pStyle w:val="FootnoteText"/>
      </w:pPr>
      <w:r>
        <w:rPr>
          <w:rStyle w:val="FootnoteReference"/>
        </w:rPr>
        <w:footnoteRef/>
      </w:r>
      <w:r>
        <w:t xml:space="preserve"> Personal name: Zepho. Personal-name meaning: Zepho — that sees and observes; that expects or covers. Source form: Zepho.</w:t>
      </w:r>
    </w:p>
  </w:footnote>
  <w:footnote w:id="940">
    <w:p>
      <w:pPr>
        <w:pStyle w:val="FootnoteText"/>
      </w:pPr>
      <w:r>
        <w:rPr>
          <w:rStyle w:val="FootnoteReference"/>
        </w:rPr>
        <w:footnoteRef/>
      </w:r>
      <w:r>
        <w:t xml:space="preserve"> Personal name: Gatam. Personal-name meaning: Gatam — their lowing; their touch. Source form: Gatam.</w:t>
      </w:r>
    </w:p>
  </w:footnote>
  <w:footnote w:id="941">
    <w:p>
      <w:pPr>
        <w:pStyle w:val="FootnoteText"/>
      </w:pPr>
      <w:r>
        <w:rPr>
          <w:rStyle w:val="FootnoteReference"/>
        </w:rPr>
        <w:footnoteRef/>
      </w:r>
      <w:r>
        <w:t xml:space="preserve"> Personal name: Kenaz. Personal-name meaning: Kenaz — this purchase; this lamentation. Source form: Kenaz.</w:t>
      </w:r>
    </w:p>
  </w:footnote>
  <w:footnote w:id="942">
    <w:p>
      <w:pPr>
        <w:pStyle w:val="FootnoteText"/>
      </w:pPr>
      <w:r>
        <w:rPr>
          <w:rStyle w:val="FootnoteReference"/>
        </w:rPr>
        <w:footnoteRef/>
      </w:r>
      <w:r>
        <w:t xml:space="preserve"> Cross-references for "Zepho": Gen 36:15-16; 1Chr 1:35-36.</w:t>
      </w:r>
    </w:p>
  </w:footnote>
  <w:footnote w:id="943">
    <w:p>
      <w:pPr>
        <w:pStyle w:val="FootnoteText"/>
      </w:pPr>
      <w:r>
        <w:rPr>
          <w:rStyle w:val="FootnoteReference"/>
        </w:rPr>
        <w:footnoteRef/>
      </w:r>
      <w:r>
        <w:t xml:space="preserve"> Transliterated proper noun: Timnah. Standard English equivalent: Timna. Source form: Timnah. Greek form: Θαμνὰ. Name meaning: forbidding.</w:t>
      </w:r>
    </w:p>
  </w:footnote>
  <w:footnote w:id="944">
    <w:p>
      <w:pPr>
        <w:pStyle w:val="FootnoteText"/>
      </w:pPr>
      <w:r>
        <w:rPr>
          <w:rStyle w:val="FootnoteReference"/>
        </w:rPr>
        <w:footnoteRef/>
      </w:r>
      <w:r>
        <w:t xml:space="preserve"> Cross-references for "Amalek": Gen 14:7; Gen 36:16.</w:t>
      </w:r>
    </w:p>
  </w:footnote>
  <w:footnote w:id="945">
    <w:p>
      <w:pPr>
        <w:pStyle w:val="FootnoteText"/>
      </w:pPr>
      <w:r>
        <w:rPr>
          <w:rStyle w:val="FootnoteReference"/>
        </w:rPr>
        <w:footnoteRef/>
      </w:r>
      <w:r>
        <w:t xml:space="preserve"> Personal name: Nahath. Personal-name meaning: Nahath — rest; a leader. Source form: Nahath.</w:t>
      </w:r>
    </w:p>
  </w:footnote>
  <w:footnote w:id="946">
    <w:p>
      <w:pPr>
        <w:pStyle w:val="FootnoteText"/>
      </w:pPr>
      <w:r>
        <w:rPr>
          <w:rStyle w:val="FootnoteReference"/>
        </w:rPr>
        <w:footnoteRef/>
      </w:r>
      <w:r>
        <w:t xml:space="preserve"> Personal name: Zerah. Personal-name meaning: Zerah — east; brightness. Source form: Zerah.</w:t>
      </w:r>
    </w:p>
  </w:footnote>
  <w:footnote w:id="947">
    <w:p>
      <w:pPr>
        <w:pStyle w:val="FootnoteText"/>
      </w:pPr>
      <w:r>
        <w:rPr>
          <w:rStyle w:val="FootnoteReference"/>
        </w:rPr>
        <w:footnoteRef/>
      </w:r>
      <w:r>
        <w:t xml:space="preserve"> Personal name: Mizzah. Personal-name meaning: Mizzah — defluxion from the head. Source form: Mizzah.</w:t>
      </w:r>
    </w:p>
  </w:footnote>
  <w:footnote w:id="948">
    <w:p>
      <w:pPr>
        <w:pStyle w:val="FootnoteText"/>
      </w:pPr>
      <w:r>
        <w:rPr>
          <w:rStyle w:val="FootnoteReference"/>
        </w:rPr>
        <w:footnoteRef/>
      </w:r>
      <w:r>
        <w:t xml:space="preserve"> Cross-references for "Eliphaz": Job 21:8; Ps 37:35.</w:t>
      </w:r>
    </w:p>
  </w:footnote>
  <w:footnote w:id="949">
    <w:p>
      <w:pPr>
        <w:pStyle w:val="FootnoteText"/>
      </w:pPr>
      <w:r>
        <w:rPr>
          <w:rStyle w:val="FootnoteReference"/>
        </w:rPr>
        <w:footnoteRef/>
      </w:r>
      <w:r>
        <w:t xml:space="preserve"> Cross-references for "Reuel": Gen 36:4; Gen 36:13.</w:t>
      </w:r>
    </w:p>
  </w:footnote>
  <w:footnote w:id="950">
    <w:p>
      <w:pPr>
        <w:pStyle w:val="FootnoteText"/>
      </w:pPr>
      <w:r>
        <w:rPr>
          <w:rStyle w:val="FootnoteReference"/>
        </w:rPr>
        <w:footnoteRef/>
      </w:r>
      <w:r>
        <w:t xml:space="preserve"> Transliterated proper noun: Horite. Standard English equivalent: Horite. Source form: Horite. Greek form: Χορραίου. Name meaning: who conceives, or shows; a hill.</w:t>
      </w:r>
    </w:p>
  </w:footnote>
  <w:footnote w:id="951">
    <w:p>
      <w:pPr>
        <w:pStyle w:val="FootnoteText"/>
      </w:pPr>
      <w:r>
        <w:rPr>
          <w:rStyle w:val="FootnoteReference"/>
        </w:rPr>
        <w:footnoteRef/>
      </w:r>
      <w:r>
        <w:t xml:space="preserve"> Personal name: Lotan. Personal-name meaning: Lotan — wrapt up; hidden; covered; myrrh; rosin. Source form: Lotan.</w:t>
      </w:r>
    </w:p>
  </w:footnote>
  <w:footnote w:id="952">
    <w:p>
      <w:pPr>
        <w:pStyle w:val="FootnoteText"/>
      </w:pPr>
      <w:r>
        <w:rPr>
          <w:rStyle w:val="FootnoteReference"/>
        </w:rPr>
        <w:footnoteRef/>
      </w:r>
      <w:r>
        <w:t xml:space="preserve"> Personal name: Shobal. Personal-name meaning: Shobal — path; ear of corn. Source form: Shobal.</w:t>
      </w:r>
    </w:p>
  </w:footnote>
  <w:footnote w:id="953">
    <w:p>
      <w:pPr>
        <w:pStyle w:val="FootnoteText"/>
      </w:pPr>
      <w:r>
        <w:rPr>
          <w:rStyle w:val="FootnoteReference"/>
        </w:rPr>
        <w:footnoteRef/>
      </w:r>
      <w:r>
        <w:t xml:space="preserve"> Transliterated proper noun: Dishon. Standard English equivalent: Dishon. Source form: Dishon. Greek form: Δησὼν. Name meaning: fatness; ashes.</w:t>
      </w:r>
    </w:p>
  </w:footnote>
  <w:footnote w:id="954">
    <w:p>
      <w:pPr>
        <w:pStyle w:val="FootnoteText"/>
      </w:pPr>
      <w:r>
        <w:rPr>
          <w:rStyle w:val="FootnoteReference"/>
        </w:rPr>
        <w:footnoteRef/>
      </w:r>
      <w:r>
        <w:t xml:space="preserve"> Personal name: Ezer. Personal-name meaning: Ezer — a help. Source form: Ezer.</w:t>
      </w:r>
    </w:p>
  </w:footnote>
  <w:footnote w:id="955">
    <w:p>
      <w:pPr>
        <w:pStyle w:val="FootnoteText"/>
      </w:pPr>
      <w:r>
        <w:rPr>
          <w:rStyle w:val="FootnoteReference"/>
        </w:rPr>
        <w:footnoteRef/>
      </w:r>
      <w:r>
        <w:t xml:space="preserve"> Personal name: Dishan. Personal-name meaning: Dishan — a threshing. Source form: Dishan.</w:t>
      </w:r>
    </w:p>
  </w:footnote>
  <w:footnote w:id="956">
    <w:p>
      <w:pPr>
        <w:pStyle w:val="FootnoteText"/>
      </w:pPr>
      <w:r>
        <w:rPr>
          <w:rStyle w:val="FootnoteReference"/>
        </w:rPr>
        <w:footnoteRef/>
      </w:r>
      <w:r>
        <w:t xml:space="preserve"> Personal name: Heman. Personal-name meaning: Heman — their trouble; tumult; much; in great number. Source form: Heman.</w:t>
      </w:r>
    </w:p>
  </w:footnote>
  <w:footnote w:id="957">
    <w:p>
      <w:pPr>
        <w:pStyle w:val="FootnoteText"/>
      </w:pPr>
      <w:r>
        <w:rPr>
          <w:rStyle w:val="FootnoteReference"/>
        </w:rPr>
        <w:footnoteRef/>
      </w:r>
      <w:r>
        <w:t xml:space="preserve"> Personal name: Alvan. Personal-name meaning: Alvan — tall; high. Source form: Alvan.</w:t>
      </w:r>
    </w:p>
  </w:footnote>
  <w:footnote w:id="958">
    <w:p>
      <w:pPr>
        <w:pStyle w:val="FootnoteText"/>
      </w:pPr>
      <w:r>
        <w:rPr>
          <w:rStyle w:val="FootnoteReference"/>
        </w:rPr>
        <w:footnoteRef/>
      </w:r>
      <w:r>
        <w:t xml:space="preserve"> Personal name: Ebal. Personal-name meaning: Ebal — ancient heaps. Source form: Ebal.</w:t>
      </w:r>
    </w:p>
  </w:footnote>
  <w:footnote w:id="959">
    <w:p>
      <w:pPr>
        <w:pStyle w:val="FootnoteText"/>
      </w:pPr>
      <w:r>
        <w:rPr>
          <w:rStyle w:val="FootnoteReference"/>
        </w:rPr>
        <w:footnoteRef/>
      </w:r>
      <w:r>
        <w:t xml:space="preserve"> Personal name: Shepho. Personal-name meaning: Shepho — desert. Source form: Shepho.</w:t>
      </w:r>
    </w:p>
  </w:footnote>
  <w:footnote w:id="960">
    <w:p>
      <w:pPr>
        <w:pStyle w:val="FootnoteText"/>
      </w:pPr>
      <w:r>
        <w:rPr>
          <w:rStyle w:val="FootnoteReference"/>
        </w:rPr>
        <w:footnoteRef/>
      </w:r>
      <w:r>
        <w:t xml:space="preserve"> Personal name: Onam. Personal-name meaning: Onam — pain; force; iniquity. Source form: Onam.</w:t>
      </w:r>
    </w:p>
  </w:footnote>
  <w:footnote w:id="961">
    <w:p>
      <w:pPr>
        <w:pStyle w:val="FootnoteText"/>
      </w:pPr>
      <w:r>
        <w:rPr>
          <w:rStyle w:val="FootnoteReference"/>
        </w:rPr>
        <w:footnoteRef/>
      </w:r>
      <w:r>
        <w:t xml:space="preserve"> Cross-references for "Alvan": 1Chr 1:40.</w:t>
      </w:r>
    </w:p>
  </w:footnote>
  <w:footnote w:id="962">
    <w:p>
      <w:pPr>
        <w:pStyle w:val="FootnoteText"/>
      </w:pPr>
      <w:r>
        <w:rPr>
          <w:rStyle w:val="FootnoteReference"/>
        </w:rPr>
        <w:footnoteRef/>
      </w:r>
      <w:r>
        <w:t xml:space="preserve"> Transliterated proper noun: Ajah. Standard English equivalent: Ajah. Source form: Ajah. Greek form: ᾿Αϊέ. Name meaning: hawk; vulture.</w:t>
      </w:r>
    </w:p>
  </w:footnote>
  <w:footnote w:id="963">
    <w:p>
      <w:pPr>
        <w:pStyle w:val="FootnoteText"/>
      </w:pPr>
      <w:r>
        <w:rPr>
          <w:rStyle w:val="FootnoteReference"/>
        </w:rPr>
        <w:footnoteRef/>
      </w:r>
      <w:r>
        <w:t xml:space="preserve"> Cross-references for "found": Lev 19:19; Deut 2:10.</w:t>
      </w:r>
    </w:p>
  </w:footnote>
  <w:footnote w:id="964">
    <w:p>
      <w:pPr>
        <w:pStyle w:val="FootnoteText"/>
      </w:pPr>
      <w:r>
        <w:rPr>
          <w:rStyle w:val="FootnoteReference"/>
        </w:rPr>
        <w:footnoteRef/>
      </w:r>
      <w:r>
        <w:t xml:space="preserve"> Cross-references for "Dishon": Gen 36:21.</w:t>
      </w:r>
    </w:p>
  </w:footnote>
  <w:footnote w:id="965">
    <w:p>
      <w:pPr>
        <w:pStyle w:val="FootnoteText"/>
      </w:pPr>
      <w:r>
        <w:rPr>
          <w:rStyle w:val="FootnoteReference"/>
        </w:rPr>
        <w:footnoteRef/>
      </w:r>
      <w:r>
        <w:t xml:space="preserve"> Personal name: Hemdan. Personal-name meaning: Hemdan — pleasant; desirable. Source form: Hemdan.</w:t>
      </w:r>
    </w:p>
  </w:footnote>
  <w:footnote w:id="966">
    <w:p>
      <w:pPr>
        <w:pStyle w:val="FootnoteText"/>
      </w:pPr>
      <w:r>
        <w:rPr>
          <w:rStyle w:val="FootnoteReference"/>
        </w:rPr>
        <w:footnoteRef/>
      </w:r>
      <w:r>
        <w:t xml:space="preserve"> Personal name: Eshban. Personal-name meaning: Eshban — fire of the sun. Source form: Eshban.</w:t>
      </w:r>
    </w:p>
  </w:footnote>
  <w:footnote w:id="967">
    <w:p>
      <w:pPr>
        <w:pStyle w:val="FootnoteText"/>
      </w:pPr>
      <w:r>
        <w:rPr>
          <w:rStyle w:val="FootnoteReference"/>
        </w:rPr>
        <w:footnoteRef/>
      </w:r>
      <w:r>
        <w:t xml:space="preserve"> Personal name: Ithran. Personal-name meaning: Ithran — remaining; searching out diligently. Source form: Ithran.</w:t>
      </w:r>
    </w:p>
  </w:footnote>
  <w:footnote w:id="968">
    <w:p>
      <w:pPr>
        <w:pStyle w:val="FootnoteText"/>
      </w:pPr>
      <w:r>
        <w:rPr>
          <w:rStyle w:val="FootnoteReference"/>
        </w:rPr>
        <w:footnoteRef/>
      </w:r>
      <w:r>
        <w:t xml:space="preserve"> Cross-references for "Hemdan": 1Chr 1:41.</w:t>
      </w:r>
    </w:p>
  </w:footnote>
  <w:footnote w:id="969">
    <w:p>
      <w:pPr>
        <w:pStyle w:val="FootnoteText"/>
      </w:pPr>
      <w:r>
        <w:rPr>
          <w:rStyle w:val="FootnoteReference"/>
        </w:rPr>
        <w:footnoteRef/>
      </w:r>
      <w:r>
        <w:t xml:space="preserve"> Cross-references for "Ezer": Gen 36:21; 1Chr 1:38.</w:t>
      </w:r>
    </w:p>
  </w:footnote>
  <w:footnote w:id="970">
    <w:p>
      <w:pPr>
        <w:pStyle w:val="FootnoteText"/>
      </w:pPr>
      <w:r>
        <w:rPr>
          <w:rStyle w:val="FootnoteReference"/>
        </w:rPr>
        <w:footnoteRef/>
      </w:r>
      <w:r>
        <w:t xml:space="preserve"> Personal name: Aran. Personal-name meaning: Aran — an ark; their curse. Source form: Aran.</w:t>
      </w:r>
    </w:p>
  </w:footnote>
  <w:footnote w:id="971">
    <w:p>
      <w:pPr>
        <w:pStyle w:val="FootnoteText"/>
      </w:pPr>
      <w:r>
        <w:rPr>
          <w:rStyle w:val="FootnoteReference"/>
        </w:rPr>
        <w:footnoteRef/>
      </w:r>
      <w:r>
        <w:t xml:space="preserve"> Cross-references for "Horites": Gen 36:20; Gen 36:28.</w:t>
      </w:r>
    </w:p>
  </w:footnote>
  <w:footnote w:id="972">
    <w:p>
      <w:pPr>
        <w:pStyle w:val="FootnoteText"/>
      </w:pPr>
      <w:r>
        <w:rPr>
          <w:rStyle w:val="FootnoteReference"/>
        </w:rPr>
        <w:footnoteRef/>
      </w:r>
      <w:r>
        <w:t xml:space="preserve"> Cross-references for "the kings": Gen 17:6; Gen 17:16.</w:t>
      </w:r>
    </w:p>
  </w:footnote>
  <w:footnote w:id="973">
    <w:p>
      <w:pPr>
        <w:pStyle w:val="FootnoteText"/>
      </w:pPr>
      <w:r>
        <w:rPr>
          <w:rStyle w:val="FootnoteReference"/>
        </w:rPr>
        <w:footnoteRef/>
      </w:r>
      <w:r>
        <w:t xml:space="preserve"> Transliterated proper noun: Balac. Standard English equivalent: Bela. Source form: Balac. Greek form: Βαλὰκ. Name meaning: destruction; swallowing.</w:t>
      </w:r>
    </w:p>
  </w:footnote>
  <w:footnote w:id="974">
    <w:p>
      <w:pPr>
        <w:pStyle w:val="FootnoteText"/>
      </w:pPr>
      <w:r>
        <w:rPr>
          <w:rStyle w:val="FootnoteReference"/>
        </w:rPr>
        <w:footnoteRef/>
      </w:r>
      <w:r>
        <w:t xml:space="preserve"> Transliterated proper noun: Beor. Standard English equivalent: Beor. Source form: Beor. Greek form: Βεώρ. Name meaning: burning; foolish; mad.</w:t>
      </w:r>
    </w:p>
  </w:footnote>
  <w:footnote w:id="975">
    <w:p>
      <w:pPr>
        <w:pStyle w:val="FootnoteText"/>
      </w:pPr>
      <w:r>
        <w:rPr>
          <w:rStyle w:val="FootnoteReference"/>
        </w:rPr>
        <w:footnoteRef/>
      </w:r>
      <w:r>
        <w:t xml:space="preserve"> Place name: Dinhabah. Place-name meaning: Dinhabah — he gives judgment. Source form: Dinhabah. Greek form: Δενναβά.</w:t>
      </w:r>
    </w:p>
  </w:footnote>
  <w:footnote w:id="976">
    <w:p>
      <w:pPr>
        <w:pStyle w:val="FootnoteText"/>
      </w:pPr>
      <w:r>
        <w:rPr>
          <w:rStyle w:val="FootnoteReference"/>
        </w:rPr>
        <w:footnoteRef/>
      </w:r>
      <w:r>
        <w:t xml:space="preserve"> Place name: Bozrah. Place-name meaning: Bozrah — in tribulation or distress. Source form: Bozrah. Greek form: Βοσόρρας.</w:t>
      </w:r>
    </w:p>
  </w:footnote>
  <w:footnote w:id="977">
    <w:p>
      <w:pPr>
        <w:pStyle w:val="FootnoteText"/>
      </w:pPr>
      <w:r>
        <w:rPr>
          <w:rStyle w:val="FootnoteReference"/>
        </w:rPr>
        <w:footnoteRef/>
      </w:r>
      <w:r>
        <w:t xml:space="preserve"> Cross-references for "Bozrah": Isa 34:6; Isa 63:1.</w:t>
      </w:r>
    </w:p>
  </w:footnote>
  <w:footnote w:id="978">
    <w:p>
      <w:pPr>
        <w:pStyle w:val="FootnoteText"/>
      </w:pPr>
      <w:r>
        <w:rPr>
          <w:rStyle w:val="FootnoteReference"/>
        </w:rPr>
        <w:footnoteRef/>
      </w:r>
      <w:r>
        <w:t xml:space="preserve"> Personal name: Husham. Personal-name meaning: Husham — hastily; great haste. Source form: Husham.</w:t>
      </w:r>
    </w:p>
  </w:footnote>
  <w:footnote w:id="979">
    <w:p>
      <w:pPr>
        <w:pStyle w:val="FootnoteText"/>
      </w:pPr>
      <w:r>
        <w:rPr>
          <w:rStyle w:val="FootnoteReference"/>
        </w:rPr>
        <w:footnoteRef/>
      </w:r>
      <w:r>
        <w:t xml:space="preserve"> People-name: Temanites. People-name meaning: Temanites — the south; Africa; perfect. Source form: Temanites.</w:t>
      </w:r>
    </w:p>
  </w:footnote>
  <w:footnote w:id="980">
    <w:p>
      <w:pPr>
        <w:pStyle w:val="FootnoteText"/>
      </w:pPr>
      <w:r>
        <w:rPr>
          <w:rStyle w:val="FootnoteReference"/>
        </w:rPr>
        <w:footnoteRef/>
      </w:r>
      <w:r>
        <w:t xml:space="preserve"> Personal name: Hadad. Personal-name meaning: Hadad — joy; noise; clamor. Source form: Hadad.</w:t>
      </w:r>
    </w:p>
  </w:footnote>
  <w:footnote w:id="981">
    <w:p>
      <w:pPr>
        <w:pStyle w:val="FootnoteText"/>
      </w:pPr>
      <w:r>
        <w:rPr>
          <w:rStyle w:val="FootnoteReference"/>
        </w:rPr>
        <w:footnoteRef/>
      </w:r>
      <w:r>
        <w:t xml:space="preserve"> Personal name: Bedad. Personal-name meaning: Bedad — alone; solitary. Source form: Bedad.</w:t>
      </w:r>
    </w:p>
  </w:footnote>
  <w:footnote w:id="982">
    <w:p>
      <w:pPr>
        <w:pStyle w:val="FootnoteText"/>
      </w:pPr>
      <w:r>
        <w:rPr>
          <w:rStyle w:val="FootnoteReference"/>
        </w:rPr>
        <w:footnoteRef/>
      </w:r>
      <w:r>
        <w:t xml:space="preserve"> Place name: Gittaim. Place-name meaning: Gittaim — a wine-press. Source form: Gittaim. Greek form: Γετθαίμ.</w:t>
      </w:r>
    </w:p>
  </w:footnote>
  <w:footnote w:id="983">
    <w:p>
      <w:pPr>
        <w:pStyle w:val="FootnoteText"/>
      </w:pPr>
      <w:r>
        <w:rPr>
          <w:rStyle w:val="FootnoteReference"/>
        </w:rPr>
        <w:footnoteRef/>
      </w:r>
      <w:r>
        <w:t xml:space="preserve"> Personal name: Samlah. Personal-name meaning: Samlah — his raiment; his left hand; his astonishment. Source form: Samlah.</w:t>
      </w:r>
    </w:p>
  </w:footnote>
  <w:footnote w:id="984">
    <w:p>
      <w:pPr>
        <w:pStyle w:val="FootnoteText"/>
      </w:pPr>
      <w:r>
        <w:rPr>
          <w:rStyle w:val="FootnoteReference"/>
        </w:rPr>
        <w:footnoteRef/>
      </w:r>
      <w:r>
        <w:t xml:space="preserve"> Place name: Masrekah. Place-name meaning: Masrekah — whistling; hissing. Source form: Masrekah. Greek form: Μασεκκᾶς.</w:t>
      </w:r>
    </w:p>
  </w:footnote>
  <w:footnote w:id="985">
    <w:p>
      <w:pPr>
        <w:pStyle w:val="FootnoteText"/>
      </w:pPr>
      <w:r>
        <w:rPr>
          <w:rStyle w:val="FootnoteReference"/>
        </w:rPr>
        <w:footnoteRef/>
      </w:r>
      <w:r>
        <w:t xml:space="preserve"> Cross-references for "Rehoboth": Gen 10:11; 1Chr 1:48.</w:t>
      </w:r>
    </w:p>
  </w:footnote>
  <w:footnote w:id="986">
    <w:p>
      <w:pPr>
        <w:pStyle w:val="FootnoteText"/>
      </w:pPr>
      <w:r>
        <w:rPr>
          <w:rStyle w:val="FootnoteReference"/>
        </w:rPr>
        <w:footnoteRef/>
      </w:r>
      <w:r>
        <w:t xml:space="preserve"> Personal name: Baal-hanan. Personal-name meaning: Baal-hanan — Baal has been gracious; lord of grace. Source form: Baal-hanan.</w:t>
      </w:r>
    </w:p>
  </w:footnote>
  <w:footnote w:id="987">
    <w:p>
      <w:pPr>
        <w:pStyle w:val="FootnoteText"/>
      </w:pPr>
      <w:r>
        <w:rPr>
          <w:rStyle w:val="FootnoteReference"/>
        </w:rPr>
        <w:footnoteRef/>
      </w:r>
      <w:r>
        <w:t xml:space="preserve"> Personal name: Achbor. Personal-name meaning: Achbor — a rat; bruising. Source form: Achbor.</w:t>
      </w:r>
    </w:p>
  </w:footnote>
  <w:footnote w:id="988">
    <w:p>
      <w:pPr>
        <w:pStyle w:val="FootnoteText"/>
      </w:pPr>
      <w:r>
        <w:rPr>
          <w:rStyle w:val="FootnoteReference"/>
        </w:rPr>
        <w:footnoteRef/>
      </w:r>
      <w:r>
        <w:t xml:space="preserve"> Cross-references for "Hadar": Exod 15:15; 1Chr 1:50.</w:t>
      </w:r>
    </w:p>
  </w:footnote>
  <w:footnote w:id="989">
    <w:p>
      <w:pPr>
        <w:pStyle w:val="FootnoteText"/>
      </w:pPr>
      <w:r>
        <w:rPr>
          <w:rStyle w:val="FootnoteReference"/>
        </w:rPr>
        <w:footnoteRef/>
      </w:r>
      <w:r>
        <w:t xml:space="preserve"> Personal name: Matred. Personal-name meaning: Matred — pushing forward; expulsion. Source form: Matred.</w:t>
      </w:r>
    </w:p>
  </w:footnote>
  <w:footnote w:id="990">
    <w:p>
      <w:pPr>
        <w:pStyle w:val="FootnoteText"/>
      </w:pPr>
      <w:r>
        <w:rPr>
          <w:rStyle w:val="FootnoteReference"/>
        </w:rPr>
        <w:footnoteRef/>
      </w:r>
      <w:r>
        <w:t xml:space="preserve"> Place name: Peor. Place-name meaning: Peor — hole; opening. Source form: Peor. Greek form: Φογώρ.</w:t>
      </w:r>
    </w:p>
  </w:footnote>
  <w:footnote w:id="991">
    <w:p>
      <w:pPr>
        <w:pStyle w:val="FootnoteText"/>
      </w:pPr>
      <w:r>
        <w:rPr>
          <w:rStyle w:val="FootnoteReference"/>
        </w:rPr>
        <w:footnoteRef/>
      </w:r>
      <w:r>
        <w:t xml:space="preserve"> Personal name: Mehetabel. Personal-name meaning: Mehetabel — God benefits; God makes good. Source form: Mehetabel.</w:t>
      </w:r>
    </w:p>
  </w:footnote>
  <w:footnote w:id="992">
    <w:p>
      <w:pPr>
        <w:pStyle w:val="FootnoteText"/>
      </w:pPr>
      <w:r>
        <w:rPr>
          <w:rStyle w:val="FootnoteReference"/>
        </w:rPr>
        <w:footnoteRef/>
      </w:r>
      <w:r>
        <w:t xml:space="preserve"> Personal name: Mezahab. Personal-name meaning: Mezahab — gilded. Source form: Mezahab.</w:t>
      </w:r>
    </w:p>
  </w:footnote>
  <w:footnote w:id="993">
    <w:p>
      <w:pPr>
        <w:pStyle w:val="FootnoteText"/>
      </w:pPr>
      <w:r>
        <w:rPr>
          <w:rStyle w:val="FootnoteReference"/>
        </w:rPr>
        <w:footnoteRef/>
      </w:r>
      <w:r>
        <w:t xml:space="preserve"> Personal name: Alvah. Personal-name meaning: Alvah — his rising up; his highness. Source form: Alvah.</w:t>
      </w:r>
    </w:p>
  </w:footnote>
  <w:footnote w:id="994">
    <w:p>
      <w:pPr>
        <w:pStyle w:val="FootnoteText"/>
      </w:pPr>
      <w:r>
        <w:rPr>
          <w:rStyle w:val="FootnoteReference"/>
        </w:rPr>
        <w:footnoteRef/>
      </w:r>
      <w:r>
        <w:t xml:space="preserve"> Personal name: Jether. Personal-name meaning: Jether — he that excels. Source form: Jether.</w:t>
      </w:r>
    </w:p>
  </w:footnote>
  <w:footnote w:id="995">
    <w:p>
      <w:pPr>
        <w:pStyle w:val="FootnoteText"/>
      </w:pPr>
      <w:r>
        <w:rPr>
          <w:rStyle w:val="FootnoteReference"/>
        </w:rPr>
        <w:footnoteRef/>
      </w:r>
      <w:r>
        <w:t xml:space="preserve"> Cross-references for "Alvah": 1Chr 1:51.</w:t>
      </w:r>
    </w:p>
  </w:footnote>
  <w:footnote w:id="996">
    <w:p>
      <w:pPr>
        <w:pStyle w:val="FootnoteText"/>
      </w:pPr>
      <w:r>
        <w:rPr>
          <w:rStyle w:val="FootnoteReference"/>
        </w:rPr>
        <w:footnoteRef/>
      </w:r>
      <w:r>
        <w:t xml:space="preserve"> Personal name: Elah. Personal-name meaning: Elah — oak; terebinth. Source form: Elah.</w:t>
      </w:r>
    </w:p>
  </w:footnote>
  <w:footnote w:id="997">
    <w:p>
      <w:pPr>
        <w:pStyle w:val="FootnoteText"/>
      </w:pPr>
      <w:r>
        <w:rPr>
          <w:rStyle w:val="FootnoteReference"/>
        </w:rPr>
        <w:footnoteRef/>
      </w:r>
      <w:r>
        <w:t xml:space="preserve"> Personal name: Pinon. Personal-name meaning: Pinon — pearl; gem; that beholds. Source form: Pinon.</w:t>
      </w:r>
    </w:p>
  </w:footnote>
  <w:footnote w:id="998">
    <w:p>
      <w:pPr>
        <w:pStyle w:val="FootnoteText"/>
      </w:pPr>
      <w:r>
        <w:rPr>
          <w:rStyle w:val="FootnoteReference"/>
        </w:rPr>
        <w:footnoteRef/>
      </w:r>
      <w:r>
        <w:t xml:space="preserve"> Personal name: Mibzar. Personal-name meaning: Mibzar — fortress; stronghold. Source form: Mibzar.</w:t>
      </w:r>
    </w:p>
  </w:footnote>
  <w:footnote w:id="999">
    <w:p>
      <w:pPr>
        <w:pStyle w:val="FootnoteText"/>
      </w:pPr>
      <w:r>
        <w:rPr>
          <w:rStyle w:val="FootnoteReference"/>
        </w:rPr>
        <w:footnoteRef/>
      </w:r>
      <w:r>
        <w:t xml:space="preserve"> Personal name: Magdiel. Personal-name meaning: Magdiel — declaring God; chosen fruit of God. Source form: Magdiel.</w:t>
      </w:r>
    </w:p>
  </w:footnote>
  <w:footnote w:id="1000">
    <w:p>
      <w:pPr>
        <w:pStyle w:val="FootnoteText"/>
      </w:pPr>
      <w:r>
        <w:rPr>
          <w:rStyle w:val="FootnoteReference"/>
        </w:rPr>
        <w:footnoteRef/>
      </w:r>
      <w:r>
        <w:t xml:space="preserve"> Cross-references for "their": Gen 25:12; Gen 36:7-8.</w:t>
      </w:r>
    </w:p>
  </w:footnote>
  <w:footnote w:id="1001">
    <w:p>
      <w:pPr>
        <w:pStyle w:val="FootnoteText"/>
      </w:pPr>
      <w:r>
        <w:rPr>
          <w:rStyle w:val="FootnoteReference"/>
        </w:rPr>
        <w:footnoteRef/>
      </w:r>
      <w:r>
        <w:t xml:space="preserve"> Cross-references for "the generations": Gen 2:4; Gen 5:1.</w:t>
      </w:r>
    </w:p>
  </w:footnote>
  <w:footnote w:id="1002">
    <w:p>
      <w:pPr>
        <w:pStyle w:val="FootnoteText"/>
      </w:pPr>
      <w:r>
        <w:rPr>
          <w:rStyle w:val="FootnoteReference"/>
        </w:rPr>
        <w:footnoteRef/>
      </w:r>
      <w:r>
        <w:t xml:space="preserve"> Cross-references for "loved": John 3:35; John 13:22-23.</w:t>
      </w:r>
    </w:p>
  </w:footnote>
  <w:footnote w:id="1003">
    <w:p>
      <w:pPr>
        <w:pStyle w:val="FootnoteText"/>
      </w:pPr>
      <w:r>
        <w:rPr>
          <w:rStyle w:val="FootnoteReference"/>
        </w:rPr>
        <w:footnoteRef/>
      </w:r>
      <w:r>
        <w:t xml:space="preserve"> Cross-references for "hated him": Gen 4:5; Gen 27:41.</w:t>
      </w:r>
    </w:p>
  </w:footnote>
  <w:footnote w:id="1004">
    <w:p>
      <w:pPr>
        <w:pStyle w:val="FootnoteText"/>
      </w:pPr>
      <w:r>
        <w:rPr>
          <w:rStyle w:val="FootnoteReference"/>
        </w:rPr>
        <w:footnoteRef/>
      </w:r>
      <w:r>
        <w:t xml:space="preserve"> Cross-references for "dreamed": Gen 28:12; Gen 37:9.</w:t>
      </w:r>
    </w:p>
  </w:footnote>
  <w:footnote w:id="1005">
    <w:p>
      <w:pPr>
        <w:pStyle w:val="FootnoteText"/>
      </w:pPr>
      <w:r>
        <w:rPr>
          <w:rStyle w:val="FootnoteReference"/>
        </w:rPr>
        <w:footnoteRef/>
      </w:r>
      <w:r>
        <w:t xml:space="preserve"> Cross-references for "Hear": Gen 44:18; Judg 9:7.</w:t>
      </w:r>
    </w:p>
  </w:footnote>
  <w:footnote w:id="1006">
    <w:p>
      <w:pPr>
        <w:pStyle w:val="FootnoteText"/>
      </w:pPr>
      <w:r>
        <w:rPr>
          <w:rStyle w:val="FootnoteReference"/>
        </w:rPr>
        <w:footnoteRef/>
      </w:r>
      <w:r>
        <w:t xml:space="preserve"> Cross-references for "your sheaves": Gen 42:6; Gen 42:9.</w:t>
      </w:r>
    </w:p>
  </w:footnote>
  <w:footnote w:id="1007">
    <w:p>
      <w:pPr>
        <w:pStyle w:val="FootnoteText"/>
      </w:pPr>
      <w:r>
        <w:rPr>
          <w:rStyle w:val="FootnoteReference"/>
        </w:rPr>
        <w:footnoteRef/>
      </w:r>
      <w:r>
        <w:t xml:space="preserve"> Cross-references for "reign over us": Gen 37:4; Exod 2:14.</w:t>
      </w:r>
    </w:p>
  </w:footnote>
  <w:footnote w:id="1008">
    <w:p>
      <w:pPr>
        <w:pStyle w:val="FootnoteText"/>
      </w:pPr>
      <w:r>
        <w:rPr>
          <w:rStyle w:val="FootnoteReference"/>
        </w:rPr>
        <w:footnoteRef/>
      </w:r>
      <w:r>
        <w:t xml:space="preserve"> Cross-references for "another dream": Gen 37:7; Gen 41:25.</w:t>
      </w:r>
    </w:p>
  </w:footnote>
  <w:footnote w:id="1009">
    <w:p>
      <w:pPr>
        <w:pStyle w:val="FootnoteText"/>
      </w:pPr>
      <w:r>
        <w:rPr>
          <w:rStyle w:val="FootnoteReference"/>
        </w:rPr>
        <w:footnoteRef/>
      </w:r>
      <w:r>
        <w:t xml:space="preserve"> Cross-references for "Shall I": Gen 27:29; Isa 60:14.</w:t>
      </w:r>
    </w:p>
  </w:footnote>
  <w:footnote w:id="1010">
    <w:p>
      <w:pPr>
        <w:pStyle w:val="FootnoteText"/>
      </w:pPr>
      <w:r>
        <w:rPr>
          <w:rStyle w:val="FootnoteReference"/>
        </w:rPr>
        <w:footnoteRef/>
      </w:r>
      <w:r>
        <w:t xml:space="preserve"> Cross-references for "envied": Gen 26:14-16; Ps 106:16.</w:t>
      </w:r>
    </w:p>
  </w:footnote>
  <w:footnote w:id="1011">
    <w:p>
      <w:pPr>
        <w:pStyle w:val="FootnoteText"/>
      </w:pPr>
      <w:r>
        <w:rPr>
          <w:rStyle w:val="FootnoteReference"/>
        </w:rPr>
        <w:footnoteRef/>
      </w:r>
      <w:r>
        <w:t xml:space="preserve"> Translation note: Greek gives a plain pastoral scene notice. Current wording preserves it.</w:t>
      </w:r>
    </w:p>
  </w:footnote>
  <w:footnote w:id="1012">
    <w:p>
      <w:pPr>
        <w:pStyle w:val="FootnoteText"/>
      </w:pPr>
      <w:r>
        <w:rPr>
          <w:rStyle w:val="FootnoteReference"/>
        </w:rPr>
        <w:footnoteRef/>
      </w:r>
      <w:r>
        <w:t xml:space="preserve"> Cross-references for "Hebron": Gen 23:2; Gen 35:27.</w:t>
      </w:r>
    </w:p>
  </w:footnote>
  <w:footnote w:id="1013">
    <w:p>
      <w:pPr>
        <w:pStyle w:val="FootnoteText"/>
      </w:pPr>
      <w:r>
        <w:rPr>
          <w:rStyle w:val="FootnoteReference"/>
        </w:rPr>
        <w:footnoteRef/>
      </w:r>
      <w:r>
        <w:t xml:space="preserve"> Cross-references for "seek": Luke 19:10.</w:t>
      </w:r>
    </w:p>
  </w:footnote>
  <w:footnote w:id="1014">
    <w:p>
      <w:pPr>
        <w:pStyle w:val="FootnoteText"/>
      </w:pPr>
      <w:r>
        <w:rPr>
          <w:rStyle w:val="FootnoteReference"/>
        </w:rPr>
        <w:footnoteRef/>
      </w:r>
      <w:r>
        <w:t xml:space="preserve"> Place name: Dothan. Place-name meaning: Dothan — the law; custom. Source form: Dothan. Greek form: Δωθαείμ.</w:t>
      </w:r>
    </w:p>
  </w:footnote>
  <w:footnote w:id="1015">
    <w:p>
      <w:pPr>
        <w:pStyle w:val="FootnoteText"/>
      </w:pPr>
      <w:r>
        <w:rPr>
          <w:rStyle w:val="FootnoteReference"/>
        </w:rPr>
        <w:footnoteRef/>
      </w:r>
      <w:r>
        <w:t xml:space="preserve"> Cross-references for "Dothan": 2Kgs 6:13.</w:t>
      </w:r>
    </w:p>
  </w:footnote>
  <w:footnote w:id="1016">
    <w:p>
      <w:pPr>
        <w:pStyle w:val="FootnoteText"/>
      </w:pPr>
      <w:r>
        <w:rPr>
          <w:rStyle w:val="FootnoteReference"/>
        </w:rPr>
        <w:footnoteRef/>
      </w:r>
      <w:r>
        <w:t xml:space="preserve"> Cross-references for "dreamer": Gen 28:12; Gen 37:5.</w:t>
      </w:r>
    </w:p>
  </w:footnote>
  <w:footnote w:id="1017">
    <w:p>
      <w:pPr>
        <w:pStyle w:val="FootnoteText"/>
      </w:pPr>
      <w:r>
        <w:rPr>
          <w:rStyle w:val="FootnoteReference"/>
        </w:rPr>
        <w:footnoteRef/>
      </w:r>
      <w:r>
        <w:t xml:space="preserve"> Cross-references for "and we": 1Sam 24:20; 1Sam 26:2.</w:t>
      </w:r>
    </w:p>
  </w:footnote>
  <w:footnote w:id="1018">
    <w:p>
      <w:pPr>
        <w:pStyle w:val="FootnoteText"/>
      </w:pPr>
      <w:r>
        <w:rPr>
          <w:rStyle w:val="FootnoteReference"/>
        </w:rPr>
        <w:footnoteRef/>
      </w:r>
      <w:r>
        <w:t xml:space="preserve"> Cross-references for "Reuben said": Gen 42:22.</w:t>
      </w:r>
    </w:p>
  </w:footnote>
  <w:footnote w:id="1019">
    <w:p>
      <w:pPr>
        <w:pStyle w:val="FootnoteText"/>
      </w:pPr>
      <w:r>
        <w:rPr>
          <w:rStyle w:val="FootnoteReference"/>
        </w:rPr>
        <w:footnoteRef/>
      </w:r>
      <w:r>
        <w:t xml:space="preserve"> Cross-references for "the pit": Ps 40:2; Ps 88:6.</w:t>
      </w:r>
    </w:p>
  </w:footnote>
  <w:footnote w:id="1020">
    <w:p>
      <w:pPr>
        <w:pStyle w:val="FootnoteText"/>
      </w:pPr>
      <w:r>
        <w:rPr>
          <w:rStyle w:val="FootnoteReference"/>
        </w:rPr>
        <w:footnoteRef/>
      </w:r>
      <w:r>
        <w:t xml:space="preserve"> Cross-references for "they sat": Ps 14:4; Prov 30:20.</w:t>
      </w:r>
    </w:p>
  </w:footnote>
  <w:footnote w:id="1021">
    <w:p>
      <w:pPr>
        <w:pStyle w:val="FootnoteText"/>
      </w:pPr>
      <w:r>
        <w:rPr>
          <w:rStyle w:val="FootnoteReference"/>
        </w:rPr>
        <w:footnoteRef/>
      </w:r>
      <w:r>
        <w:t xml:space="preserve"> People-name: Ishmaelite. People-name meaning: Ishmaelite — God hears. Source form: Ishmaelite.</w:t>
      </w:r>
    </w:p>
  </w:footnote>
  <w:footnote w:id="1022">
    <w:p>
      <w:pPr>
        <w:pStyle w:val="FootnoteText"/>
      </w:pPr>
      <w:r>
        <w:rPr>
          <w:rStyle w:val="FootnoteReference"/>
        </w:rPr>
        <w:footnoteRef/>
      </w:r>
      <w:r>
        <w:t xml:space="preserve"> Translation note: Greek says travelers here. Current line keeps that wording.</w:t>
      </w:r>
    </w:p>
  </w:footnote>
  <w:footnote w:id="1023">
    <w:p>
      <w:pPr>
        <w:pStyle w:val="FootnoteText"/>
      </w:pPr>
      <w:r>
        <w:rPr>
          <w:rStyle w:val="FootnoteReference"/>
        </w:rPr>
        <w:footnoteRef/>
      </w:r>
      <w:r>
        <w:t xml:space="preserve"> Cross-references for "What profit": Gen 25:32; Ps 30:9.</w:t>
      </w:r>
    </w:p>
  </w:footnote>
  <w:footnote w:id="1024">
    <w:p>
      <w:pPr>
        <w:pStyle w:val="FootnoteText"/>
      </w:pPr>
      <w:r>
        <w:rPr>
          <w:rStyle w:val="FootnoteReference"/>
        </w:rPr>
        <w:footnoteRef/>
      </w:r>
      <w:r>
        <w:t xml:space="preserve"> Cross-references for "sell him": Gen 37:22; Exod 21:16.</w:t>
      </w:r>
    </w:p>
  </w:footnote>
  <w:footnote w:id="1025">
    <w:p>
      <w:pPr>
        <w:pStyle w:val="FootnoteText"/>
      </w:pPr>
      <w:r>
        <w:rPr>
          <w:rStyle w:val="FootnoteReference"/>
        </w:rPr>
        <w:footnoteRef/>
      </w:r>
      <w:r>
        <w:t xml:space="preserve"> People-name: Ishmaelites. People-name meaning: Ishmaelites — God hears. Source form: Ishmaelites.</w:t>
      </w:r>
    </w:p>
  </w:footnote>
  <w:footnote w:id="1026">
    <w:p>
      <w:pPr>
        <w:pStyle w:val="FootnoteText"/>
      </w:pPr>
      <w:r>
        <w:rPr>
          <w:rStyle w:val="FootnoteReference"/>
        </w:rPr>
        <w:footnoteRef/>
      </w:r>
      <w:r>
        <w:t xml:space="preserve"> People-name: Midianite. People-name meaning: Midianite — judgment; covering; habit. Source form: Midianite.</w:t>
      </w:r>
    </w:p>
  </w:footnote>
  <w:footnote w:id="1027">
    <w:p>
      <w:pPr>
        <w:pStyle w:val="FootnoteText"/>
      </w:pPr>
      <w:r>
        <w:rPr>
          <w:rStyle w:val="FootnoteReference"/>
        </w:rPr>
        <w:footnoteRef/>
      </w:r>
      <w:r>
        <w:t xml:space="preserve"> Cross-references for "sold": Gen 45:4-5; Ps 105:17.</w:t>
      </w:r>
    </w:p>
  </w:footnote>
  <w:footnote w:id="1028">
    <w:p>
      <w:pPr>
        <w:pStyle w:val="FootnoteText"/>
      </w:pPr>
      <w:r>
        <w:rPr>
          <w:rStyle w:val="FootnoteReference"/>
        </w:rPr>
        <w:footnoteRef/>
      </w:r>
      <w:r>
        <w:t xml:space="preserve"> Translation note: Greek gives Reuben's grief as a direct question. Current wording preserves it.</w:t>
      </w:r>
    </w:p>
  </w:footnote>
  <w:footnote w:id="1029">
    <w:p>
      <w:pPr>
        <w:pStyle w:val="FootnoteText"/>
      </w:pPr>
      <w:r>
        <w:rPr>
          <w:rStyle w:val="FootnoteReference"/>
        </w:rPr>
        <w:footnoteRef/>
      </w:r>
      <w:r>
        <w:t xml:space="preserve"> Cross-references for "evil beast": Gen 37:20; Gen 44:28.</w:t>
      </w:r>
    </w:p>
  </w:footnote>
  <w:footnote w:id="1030">
    <w:p>
      <w:pPr>
        <w:pStyle w:val="FootnoteText"/>
      </w:pPr>
      <w:r>
        <w:rPr>
          <w:rStyle w:val="FootnoteReference"/>
        </w:rPr>
        <w:footnoteRef/>
      </w:r>
      <w:r>
        <w:t xml:space="preserve"> People-name: Midianites. People-name meaning: Midianites — judgment; covering; habit. Source form: Midianites.</w:t>
      </w:r>
    </w:p>
  </w:footnote>
  <w:footnote w:id="1031">
    <w:p>
      <w:pPr>
        <w:pStyle w:val="FootnoteText"/>
      </w:pPr>
      <w:r>
        <w:rPr>
          <w:rStyle w:val="FootnoteReference"/>
        </w:rPr>
        <w:footnoteRef/>
      </w:r>
      <w:r>
        <w:t xml:space="preserve"> Personal name: Potiphar. Personal-name meaning: Potiphar — bull of Africa; a fat bull. Source form: Potiphar.</w:t>
      </w:r>
    </w:p>
  </w:footnote>
  <w:footnote w:id="1032">
    <w:p>
      <w:pPr>
        <w:pStyle w:val="FootnoteText"/>
      </w:pPr>
      <w:r>
        <w:rPr>
          <w:rStyle w:val="FootnoteReference"/>
        </w:rPr>
        <w:footnoteRef/>
      </w:r>
      <w:r>
        <w:t xml:space="preserve"> Cross-references for "the Midianites": Gen 25:1-2; Gen 37:28.</w:t>
      </w:r>
    </w:p>
  </w:footnote>
  <w:footnote w:id="1033">
    <w:p>
      <w:pPr>
        <w:pStyle w:val="FootnoteText"/>
      </w:pPr>
      <w:r>
        <w:rPr>
          <w:rStyle w:val="FootnoteReference"/>
        </w:rPr>
        <w:footnoteRef/>
      </w:r>
      <w:r>
        <w:t xml:space="preserve"> People-name: Adullamite. People-name meaning: Adullamite — their testimony; their prey; their ornament. Source form: Adullamite.</w:t>
      </w:r>
    </w:p>
  </w:footnote>
  <w:footnote w:id="1034">
    <w:p>
      <w:pPr>
        <w:pStyle w:val="FootnoteText"/>
      </w:pPr>
      <w:r>
        <w:rPr>
          <w:rStyle w:val="FootnoteReference"/>
        </w:rPr>
        <w:footnoteRef/>
      </w:r>
      <w:r>
        <w:t xml:space="preserve"> Personal name: Hirah. Personal-name meaning: Hirah — liberty; anger. Source form: Hirah.</w:t>
      </w:r>
    </w:p>
  </w:footnote>
  <w:footnote w:id="1035">
    <w:p>
      <w:pPr>
        <w:pStyle w:val="FootnoteText"/>
      </w:pPr>
      <w:r>
        <w:rPr>
          <w:rStyle w:val="FootnoteReference"/>
        </w:rPr>
        <w:footnoteRef/>
      </w:r>
      <w:r>
        <w:t xml:space="preserve"> Cross-references for "Adullamite": Josh 12:15; Josh 15:35.</w:t>
      </w:r>
    </w:p>
  </w:footnote>
  <w:footnote w:id="1036">
    <w:p>
      <w:pPr>
        <w:pStyle w:val="FootnoteText"/>
      </w:pPr>
      <w:r>
        <w:rPr>
          <w:rStyle w:val="FootnoteReference"/>
        </w:rPr>
        <w:footnoteRef/>
      </w:r>
      <w:r>
        <w:t xml:space="preserve"> People-name: Canaanite. People-name meaning: Canaanite — Lowland; humbled; merchant-land. Source form: Canaanite.</w:t>
      </w:r>
    </w:p>
  </w:footnote>
  <w:footnote w:id="1037">
    <w:p>
      <w:pPr>
        <w:pStyle w:val="FootnoteText"/>
      </w:pPr>
      <w:r>
        <w:rPr>
          <w:rStyle w:val="FootnoteReference"/>
        </w:rPr>
        <w:footnoteRef/>
      </w:r>
      <w:r>
        <w:t xml:space="preserve"> Personal name: Shua. Personal-name meaning: Shua — crying; saving. Source form: Shua.</w:t>
      </w:r>
    </w:p>
  </w:footnote>
  <w:footnote w:id="1038">
    <w:p>
      <w:pPr>
        <w:pStyle w:val="FootnoteText"/>
      </w:pPr>
      <w:r>
        <w:rPr>
          <w:rStyle w:val="FootnoteReference"/>
        </w:rPr>
        <w:footnoteRef/>
      </w:r>
      <w:r>
        <w:t xml:space="preserve"> Cross-references for "took": Gen 6:4; Gen 24:3.</w:t>
      </w:r>
    </w:p>
  </w:footnote>
  <w:footnote w:id="1039">
    <w:p>
      <w:pPr>
        <w:pStyle w:val="FootnoteText"/>
      </w:pPr>
      <w:r>
        <w:rPr>
          <w:rStyle w:val="FootnoteReference"/>
        </w:rPr>
        <w:footnoteRef/>
      </w:r>
      <w:r>
        <w:t xml:space="preserve"> Personal name: Er. Personal-name meaning: Er — watchman. Source form: Er.</w:t>
      </w:r>
    </w:p>
  </w:footnote>
  <w:footnote w:id="1040">
    <w:p>
      <w:pPr>
        <w:pStyle w:val="FootnoteText"/>
      </w:pPr>
      <w:r>
        <w:rPr>
          <w:rStyle w:val="FootnoteReference"/>
        </w:rPr>
        <w:footnoteRef/>
      </w:r>
      <w:r>
        <w:t xml:space="preserve"> Cross-references for "Onan": Gen 46:12; Num 26:19.</w:t>
      </w:r>
    </w:p>
  </w:footnote>
  <w:footnote w:id="1041">
    <w:p>
      <w:pPr>
        <w:pStyle w:val="FootnoteText"/>
      </w:pPr>
      <w:r>
        <w:rPr>
          <w:rStyle w:val="FootnoteReference"/>
        </w:rPr>
        <w:footnoteRef/>
      </w:r>
      <w:r>
        <w:t xml:space="preserve"> Cross-references for "Shelah": Gen 38:11; Gen 38:26.</w:t>
      </w:r>
    </w:p>
  </w:footnote>
  <w:footnote w:id="1042">
    <w:p>
      <w:pPr>
        <w:pStyle w:val="FootnoteText"/>
      </w:pPr>
      <w:r>
        <w:rPr>
          <w:rStyle w:val="FootnoteReference"/>
        </w:rPr>
        <w:footnoteRef/>
      </w:r>
      <w:r>
        <w:t xml:space="preserve"> Place name: Chezib. Place-name meaning: Chezib — lying; false. Source form: Chezib. Greek form: Χασβί.</w:t>
      </w:r>
    </w:p>
  </w:footnote>
  <w:footnote w:id="1043">
    <w:p>
      <w:pPr>
        <w:pStyle w:val="FootnoteText"/>
      </w:pPr>
      <w:r>
        <w:rPr>
          <w:rStyle w:val="FootnoteReference"/>
        </w:rPr>
        <w:footnoteRef/>
      </w:r>
      <w:r>
        <w:t xml:space="preserve"> Cross-references for "took": Gen 21:21; Gen 24:3.</w:t>
      </w:r>
    </w:p>
  </w:footnote>
  <w:footnote w:id="1044">
    <w:p>
      <w:pPr>
        <w:pStyle w:val="FootnoteText"/>
      </w:pPr>
      <w:r>
        <w:rPr>
          <w:rStyle w:val="FootnoteReference"/>
        </w:rPr>
        <w:footnoteRef/>
      </w:r>
      <w:r>
        <w:t xml:space="preserve"> Translation note: The Greek simply gives the name. The current wording uses the standard English form.</w:t>
      </w:r>
    </w:p>
  </w:footnote>
  <w:footnote w:id="1045">
    <w:p>
      <w:pPr>
        <w:pStyle w:val="FootnoteText"/>
      </w:pPr>
      <w:r>
        <w:rPr>
          <w:rStyle w:val="FootnoteReference"/>
        </w:rPr>
        <w:footnoteRef/>
      </w:r>
      <w:r>
        <w:t xml:space="preserve"> Transliterated proper noun: Tamar. Standard English equivalent: Tamar. Source form: Tamar. Greek form: Θάμαρ. Name meaning: palm tree.</w:t>
      </w:r>
    </w:p>
  </w:footnote>
  <w:footnote w:id="1046">
    <w:p>
      <w:pPr>
        <w:pStyle w:val="FootnoteText"/>
      </w:pPr>
      <w:r>
        <w:rPr>
          <w:rStyle w:val="FootnoteReference"/>
        </w:rPr>
        <w:footnoteRef/>
      </w:r>
      <w:r>
        <w:t xml:space="preserve"> Cross-references for "in her": Lev 22:13.</w:t>
      </w:r>
    </w:p>
  </w:footnote>
  <w:footnote w:id="1047">
    <w:p>
      <w:pPr>
        <w:pStyle w:val="FootnoteText"/>
      </w:pPr>
      <w:r>
        <w:rPr>
          <w:rStyle w:val="FootnoteReference"/>
        </w:rPr>
        <w:footnoteRef/>
      </w:r>
      <w:r>
        <w:t xml:space="preserve"> Place name: Timnath. Place-name meaning: Timnath — image; figure; enumeration. Source form: Timnath. Greek form: Θαμνά.</w:t>
      </w:r>
    </w:p>
  </w:footnote>
  <w:footnote w:id="1048">
    <w:p>
      <w:pPr>
        <w:pStyle w:val="FootnoteText"/>
      </w:pPr>
      <w:r>
        <w:rPr>
          <w:rStyle w:val="FootnoteReference"/>
        </w:rPr>
        <w:footnoteRef/>
      </w:r>
      <w:r>
        <w:t xml:space="preserve"> Cross-references for "Timnath": Gen 38:1; Josh 15:10.</w:t>
      </w:r>
    </w:p>
  </w:footnote>
  <w:footnote w:id="1049">
    <w:p>
      <w:pPr>
        <w:pStyle w:val="FootnoteText"/>
      </w:pPr>
      <w:r>
        <w:rPr>
          <w:rStyle w:val="FootnoteReference"/>
        </w:rPr>
        <w:footnoteRef/>
      </w:r>
      <w:r>
        <w:t xml:space="preserve"> Translation note: Greek frames the notice as a reported message to Tamar. Current wording preserves that shape.</w:t>
      </w:r>
    </w:p>
  </w:footnote>
  <w:footnote w:id="1050">
    <w:p>
      <w:pPr>
        <w:pStyle w:val="FootnoteText"/>
      </w:pPr>
      <w:r>
        <w:rPr>
          <w:rStyle w:val="FootnoteReference"/>
        </w:rPr>
        <w:footnoteRef/>
      </w:r>
      <w:r>
        <w:t xml:space="preserve"> Translation note: Greek says she put on a veil and adorned herself.</w:t>
      </w:r>
    </w:p>
  </w:footnote>
  <w:footnote w:id="1051">
    <w:p>
      <w:pPr>
        <w:pStyle w:val="FootnoteText"/>
      </w:pPr>
      <w:r>
        <w:rPr>
          <w:rStyle w:val="FootnoteReference"/>
        </w:rPr>
        <w:footnoteRef/>
      </w:r>
      <w:r>
        <w:t xml:space="preserve"> Cross-references for "and sat": Prov 7:12; Jer 3:2.</w:t>
      </w:r>
    </w:p>
  </w:footnote>
  <w:footnote w:id="1052">
    <w:p>
      <w:pPr>
        <w:pStyle w:val="FootnoteText"/>
      </w:pPr>
      <w:r>
        <w:rPr>
          <w:rStyle w:val="FootnoteReference"/>
        </w:rPr>
        <w:footnoteRef/>
      </w:r>
      <w:r>
        <w:t xml:space="preserve"> Place name: Enaim. Place-name meaning: Enaim — two springs; open place. Source form: Enaim. Greek form: ἐν.</w:t>
      </w:r>
    </w:p>
  </w:footnote>
  <w:footnote w:id="1053">
    <w:p>
      <w:pPr>
        <w:pStyle w:val="FootnoteText"/>
      </w:pPr>
      <w:r>
        <w:rPr>
          <w:rStyle w:val="FootnoteReference"/>
        </w:rPr>
        <w:footnoteRef/>
      </w:r>
      <w:r>
        <w:t xml:space="preserve"> Translation note: Greek repeats prostitution directly here.</w:t>
      </w:r>
    </w:p>
  </w:footnote>
  <w:footnote w:id="1054">
    <w:p>
      <w:pPr>
        <w:pStyle w:val="FootnoteText"/>
      </w:pPr>
      <w:r>
        <w:rPr>
          <w:rStyle w:val="FootnoteReference"/>
        </w:rPr>
        <w:footnoteRef/>
      </w:r>
      <w:r>
        <w:t xml:space="preserve"> Cross-references for "let her": Gen 20:3; Gen 20:7.</w:t>
      </w:r>
    </w:p>
  </w:footnote>
  <w:footnote w:id="1055">
    <w:p>
      <w:pPr>
        <w:pStyle w:val="FootnoteText"/>
      </w:pPr>
      <w:r>
        <w:rPr>
          <w:rStyle w:val="FootnoteReference"/>
        </w:rPr>
        <w:footnoteRef/>
      </w:r>
      <w:r>
        <w:t xml:space="preserve"> Cross-references for "more righteous": Gen 38:14.</w:t>
      </w:r>
    </w:p>
  </w:footnote>
  <w:footnote w:id="1056">
    <w:p>
      <w:pPr>
        <w:pStyle w:val="FootnoteText"/>
      </w:pPr>
      <w:r>
        <w:rPr>
          <w:rStyle w:val="FootnoteReference"/>
        </w:rPr>
        <w:footnoteRef/>
      </w:r>
      <w:r>
        <w:t xml:space="preserve"> Cross-references for "his name": Gen 46:12; Num 26:20.</w:t>
      </w:r>
    </w:p>
  </w:footnote>
  <w:footnote w:id="1057">
    <w:p>
      <w:pPr>
        <w:pStyle w:val="FootnoteText"/>
      </w:pPr>
      <w:r>
        <w:rPr>
          <w:rStyle w:val="FootnoteReference"/>
        </w:rPr>
        <w:footnoteRef/>
      </w:r>
      <w:r>
        <w:t xml:space="preserve"> Personal name: Perez. Personal-name meaning: Perez — divided. Source form: Perez.</w:t>
      </w:r>
    </w:p>
  </w:footnote>
  <w:footnote w:id="1058">
    <w:p>
      <w:pPr>
        <w:pStyle w:val="FootnoteText"/>
      </w:pPr>
      <w:r>
        <w:rPr>
          <w:rStyle w:val="FootnoteReference"/>
        </w:rPr>
        <w:footnoteRef/>
      </w:r>
      <w:r>
        <w:t xml:space="preserve"> Cross-references for "Joseph": Gen 37:36; Gen 45:4.</w:t>
      </w:r>
    </w:p>
  </w:footnote>
  <w:footnote w:id="1059">
    <w:p>
      <w:pPr>
        <w:pStyle w:val="FootnoteText"/>
      </w:pPr>
      <w:r>
        <w:rPr>
          <w:rStyle w:val="FootnoteReference"/>
        </w:rPr>
        <w:footnoteRef/>
      </w:r>
      <w:r>
        <w:t xml:space="preserve"> Cross-references for "the Lord": Gen 21:22; Gen 26:24.</w:t>
      </w:r>
    </w:p>
  </w:footnote>
  <w:footnote w:id="1060">
    <w:p>
      <w:pPr>
        <w:pStyle w:val="FootnoteText"/>
      </w:pPr>
      <w:r>
        <w:rPr>
          <w:rStyle w:val="FootnoteReference"/>
        </w:rPr>
        <w:footnoteRef/>
      </w:r>
      <w:r>
        <w:t xml:space="preserve"> Cross-references for "Joseph": Gen 18:3; Gen 19:19.</w:t>
      </w:r>
    </w:p>
  </w:footnote>
  <w:footnote w:id="1061">
    <w:p>
      <w:pPr>
        <w:pStyle w:val="FootnoteText"/>
      </w:pPr>
      <w:r>
        <w:rPr>
          <w:rStyle w:val="FootnoteReference"/>
        </w:rPr>
        <w:footnoteRef/>
      </w:r>
      <w:r>
        <w:t xml:space="preserve"> Cross-references for "cast": Gen 6:2; Job 31:1.</w:t>
      </w:r>
    </w:p>
  </w:footnote>
  <w:footnote w:id="1062">
    <w:p>
      <w:pPr>
        <w:pStyle w:val="FootnoteText"/>
      </w:pPr>
      <w:r>
        <w:rPr>
          <w:rStyle w:val="FootnoteReference"/>
        </w:rPr>
        <w:footnoteRef/>
      </w:r>
      <w:r>
        <w:t xml:space="preserve"> Cross-references for "my master": Prov 18:24.</w:t>
      </w:r>
    </w:p>
  </w:footnote>
  <w:footnote w:id="1063">
    <w:p>
      <w:pPr>
        <w:pStyle w:val="FootnoteText"/>
      </w:pPr>
      <w:r>
        <w:rPr>
          <w:rStyle w:val="FootnoteReference"/>
        </w:rPr>
        <w:footnoteRef/>
      </w:r>
      <w:r>
        <w:t xml:space="preserve"> Cross-references for "or to be": Prov 1:15; Prov 5:8.</w:t>
      </w:r>
    </w:p>
  </w:footnote>
  <w:footnote w:id="1064">
    <w:p>
      <w:pPr>
        <w:pStyle w:val="FootnoteText"/>
      </w:pPr>
      <w:r>
        <w:rPr>
          <w:rStyle w:val="FootnoteReference"/>
        </w:rPr>
        <w:footnoteRef/>
      </w:r>
      <w:r>
        <w:t xml:space="preserve"> Cross-references for "He came": Gen 39:7; Ps 35:11.</w:t>
      </w:r>
    </w:p>
  </w:footnote>
  <w:footnote w:id="1065">
    <w:p>
      <w:pPr>
        <w:pStyle w:val="FootnoteText"/>
      </w:pPr>
      <w:r>
        <w:rPr>
          <w:rStyle w:val="FootnoteReference"/>
        </w:rPr>
        <w:footnoteRef/>
      </w:r>
      <w:r>
        <w:t xml:space="preserve"> Cross-references for "heard": Job 29:16; Prov 18:17.</w:t>
      </w:r>
    </w:p>
  </w:footnote>
  <w:footnote w:id="1066">
    <w:p>
      <w:pPr>
        <w:pStyle w:val="FootnoteText"/>
      </w:pPr>
      <w:r>
        <w:rPr>
          <w:rStyle w:val="FootnoteReference"/>
        </w:rPr>
        <w:footnoteRef/>
      </w:r>
      <w:r>
        <w:t xml:space="preserve"> Cross-references for "the king's": Gen 40:1-3; Gen 40:15.</w:t>
      </w:r>
    </w:p>
  </w:footnote>
  <w:footnote w:id="1067">
    <w:p>
      <w:pPr>
        <w:pStyle w:val="FootnoteText"/>
      </w:pPr>
      <w:r>
        <w:rPr>
          <w:rStyle w:val="FootnoteReference"/>
        </w:rPr>
        <w:footnoteRef/>
      </w:r>
      <w:r>
        <w:t xml:space="preserve"> Cross-references for "the Lord": Gen 21:22; Gen 39:2.</w:t>
      </w:r>
    </w:p>
  </w:footnote>
  <w:footnote w:id="1068">
    <w:p>
      <w:pPr>
        <w:pStyle w:val="FootnoteText"/>
      </w:pPr>
      <w:r>
        <w:rPr>
          <w:rStyle w:val="FootnoteReference"/>
        </w:rPr>
        <w:footnoteRef/>
      </w:r>
      <w:r>
        <w:t xml:space="preserve"> Cross-references for "the place": Gen 39:20; Gen 39:23.</w:t>
      </w:r>
    </w:p>
  </w:footnote>
  <w:footnote w:id="1069">
    <w:p>
      <w:pPr>
        <w:pStyle w:val="FootnoteText"/>
      </w:pPr>
      <w:r>
        <w:rPr>
          <w:rStyle w:val="FootnoteReference"/>
        </w:rPr>
        <w:footnoteRef/>
      </w:r>
      <w:r>
        <w:t xml:space="preserve"> Cross-references for "a vine": Gen 37:5-10; Judg 7:13-15.</w:t>
      </w:r>
    </w:p>
  </w:footnote>
  <w:footnote w:id="1070">
    <w:p>
      <w:pPr>
        <w:pStyle w:val="FootnoteText"/>
      </w:pPr>
      <w:r>
        <w:rPr>
          <w:rStyle w:val="FootnoteReference"/>
        </w:rPr>
        <w:footnoteRef/>
      </w:r>
      <w:r>
        <w:t xml:space="preserve"> Cross-references for "hand": Gen 40:21.</w:t>
      </w:r>
    </w:p>
  </w:footnote>
  <w:footnote w:id="1071">
    <w:p>
      <w:pPr>
        <w:pStyle w:val="FootnoteText"/>
      </w:pPr>
      <w:r>
        <w:rPr>
          <w:rStyle w:val="FootnoteReference"/>
        </w:rPr>
        <w:footnoteRef/>
      </w:r>
      <w:r>
        <w:t xml:space="preserve"> Cross-references for "the three": Gen 41:26; Judg 7:14.</w:t>
      </w:r>
    </w:p>
  </w:footnote>
  <w:footnote w:id="1072">
    <w:p>
      <w:pPr>
        <w:pStyle w:val="FootnoteText"/>
      </w:pPr>
      <w:r>
        <w:rPr>
          <w:rStyle w:val="FootnoteReference"/>
        </w:rPr>
        <w:footnoteRef/>
      </w:r>
      <w:r>
        <w:t xml:space="preserve"> Cross-references for "show": Josh 2:12; 1Sam 20:14-15.</w:t>
      </w:r>
    </w:p>
  </w:footnote>
  <w:footnote w:id="1073">
    <w:p>
      <w:pPr>
        <w:pStyle w:val="FootnoteText"/>
      </w:pPr>
      <w:r>
        <w:rPr>
          <w:rStyle w:val="FootnoteReference"/>
        </w:rPr>
        <w:footnoteRef/>
      </w:r>
      <w:r>
        <w:t xml:space="preserve"> Cross-references for "stolen": Gen 37:28; Exod 21:16.</w:t>
      </w:r>
    </w:p>
  </w:footnote>
  <w:footnote w:id="1074">
    <w:p>
      <w:pPr>
        <w:pStyle w:val="FootnoteText"/>
      </w:pPr>
      <w:r>
        <w:rPr>
          <w:rStyle w:val="FootnoteReference"/>
        </w:rPr>
        <w:footnoteRef/>
      </w:r>
      <w:r>
        <w:t xml:space="preserve"> People-name: Hebrews. People-name meaning: Hebrews — descendants of Heber. Source form: Hebrews.</w:t>
      </w:r>
    </w:p>
  </w:footnote>
  <w:footnote w:id="1075">
    <w:p>
      <w:pPr>
        <w:pStyle w:val="FootnoteText"/>
      </w:pPr>
      <w:r>
        <w:rPr>
          <w:rStyle w:val="FootnoteReference"/>
        </w:rPr>
        <w:footnoteRef/>
      </w:r>
      <w:r>
        <w:t xml:space="preserve"> Cross-references for "the chief": Gen 40:1-2.</w:t>
      </w:r>
    </w:p>
  </w:footnote>
  <w:footnote w:id="1076">
    <w:p>
      <w:pPr>
        <w:pStyle w:val="FootnoteText"/>
      </w:pPr>
      <w:r>
        <w:rPr>
          <w:rStyle w:val="FootnoteReference"/>
        </w:rPr>
        <w:footnoteRef/>
      </w:r>
      <w:r>
        <w:t xml:space="preserve"> Cross-references for "and the birds": Gen 40:17; 1Sam 17:44.</w:t>
      </w:r>
    </w:p>
  </w:footnote>
  <w:footnote w:id="1077">
    <w:p>
      <w:pPr>
        <w:pStyle w:val="FootnoteText"/>
      </w:pPr>
      <w:r>
        <w:rPr>
          <w:rStyle w:val="FootnoteReference"/>
        </w:rPr>
        <w:footnoteRef/>
      </w:r>
      <w:r>
        <w:t xml:space="preserve"> Cross-references for "third day": Gen 40:13; Gen 40:19.</w:t>
      </w:r>
    </w:p>
  </w:footnote>
  <w:footnote w:id="1078">
    <w:p>
      <w:pPr>
        <w:pStyle w:val="FootnoteText"/>
      </w:pPr>
      <w:r>
        <w:rPr>
          <w:rStyle w:val="FootnoteReference"/>
        </w:rPr>
        <w:footnoteRef/>
      </w:r>
      <w:r>
        <w:t xml:space="preserve"> Cross-references for "gave the cup": Gen 40:13; Neh 2:1.</w:t>
      </w:r>
    </w:p>
  </w:footnote>
  <w:footnote w:id="1079">
    <w:p>
      <w:pPr>
        <w:pStyle w:val="FootnoteText"/>
      </w:pPr>
      <w:r>
        <w:rPr>
          <w:rStyle w:val="FootnoteReference"/>
        </w:rPr>
        <w:footnoteRef/>
      </w:r>
      <w:r>
        <w:t xml:space="preserve"> Cross-references for "he hanged": Gen 40:8; Gen 40:19.</w:t>
      </w:r>
    </w:p>
  </w:footnote>
  <w:footnote w:id="1080">
    <w:p>
      <w:pPr>
        <w:pStyle w:val="FootnoteText"/>
      </w:pPr>
      <w:r>
        <w:rPr>
          <w:rStyle w:val="FootnoteReference"/>
        </w:rPr>
        <w:footnoteRef/>
      </w:r>
      <w:r>
        <w:t xml:space="preserve"> Cross-references for "two full years": Gen 29:14.</w:t>
      </w:r>
    </w:p>
  </w:footnote>
  <w:footnote w:id="1081">
    <w:p>
      <w:pPr>
        <w:pStyle w:val="FootnoteText"/>
      </w:pPr>
      <w:r>
        <w:rPr>
          <w:rStyle w:val="FootnoteReference"/>
        </w:rPr>
        <w:footnoteRef/>
      </w:r>
      <w:r>
        <w:t xml:space="preserve"> Cross-references for "a dream": Gen 20:3; Gen 37:5.</w:t>
      </w:r>
    </w:p>
  </w:footnote>
  <w:footnote w:id="1082">
    <w:p>
      <w:pPr>
        <w:pStyle w:val="FootnoteText"/>
      </w:pPr>
      <w:r>
        <w:rPr>
          <w:rStyle w:val="FootnoteReference"/>
        </w:rPr>
        <w:footnoteRef/>
      </w:r>
      <w:r>
        <w:t xml:space="preserve"> Cross-references for "Pharaoh": Gen 39:20; Gen 40:2-3.</w:t>
      </w:r>
    </w:p>
  </w:footnote>
  <w:footnote w:id="1083">
    <w:p>
      <w:pPr>
        <w:pStyle w:val="FootnoteText"/>
      </w:pPr>
      <w:r>
        <w:rPr>
          <w:rStyle w:val="FootnoteReference"/>
        </w:rPr>
        <w:footnoteRef/>
      </w:r>
      <w:r>
        <w:t xml:space="preserve"> Translation note: Greek repeats dream language in a compact formula. Current wording preserves it.</w:t>
      </w:r>
    </w:p>
  </w:footnote>
  <w:footnote w:id="1084">
    <w:p>
      <w:pPr>
        <w:pStyle w:val="FootnoteText"/>
      </w:pPr>
      <w:r>
        <w:rPr>
          <w:rStyle w:val="FootnoteReference"/>
        </w:rPr>
        <w:footnoteRef/>
      </w:r>
      <w:r>
        <w:t xml:space="preserve"> Cross-references for "servant": Gen 37:36; Gen 39:1.</w:t>
      </w:r>
    </w:p>
  </w:footnote>
  <w:footnote w:id="1085">
    <w:p>
      <w:pPr>
        <w:pStyle w:val="FootnoteText"/>
      </w:pPr>
      <w:r>
        <w:rPr>
          <w:rStyle w:val="FootnoteReference"/>
        </w:rPr>
        <w:footnoteRef/>
      </w:r>
      <w:r>
        <w:t xml:space="preserve"> Cross-references for "sent": 1Sam 2:7-8; Ps 105:19-22.</w:t>
      </w:r>
    </w:p>
  </w:footnote>
  <w:footnote w:id="1086">
    <w:p>
      <w:pPr>
        <w:pStyle w:val="FootnoteText"/>
      </w:pPr>
      <w:r>
        <w:rPr>
          <w:rStyle w:val="FootnoteReference"/>
        </w:rPr>
        <w:footnoteRef/>
      </w:r>
      <w:r>
        <w:t xml:space="preserve"> Cross-references for "I have heard": Gen 41:9-13; Ps 25:14.</w:t>
      </w:r>
    </w:p>
  </w:footnote>
  <w:footnote w:id="1087">
    <w:p>
      <w:pPr>
        <w:pStyle w:val="FootnoteText"/>
      </w:pPr>
      <w:r>
        <w:rPr>
          <w:rStyle w:val="FootnoteReference"/>
        </w:rPr>
        <w:footnoteRef/>
      </w:r>
      <w:r>
        <w:t xml:space="preserve"> Translation note: Greek describes the cows with a pair of evaluative adjectives. The translation keeps both.</w:t>
      </w:r>
    </w:p>
  </w:footnote>
  <w:footnote w:id="1088">
    <w:p>
      <w:pPr>
        <w:pStyle w:val="FootnoteText"/>
      </w:pPr>
      <w:r>
        <w:rPr>
          <w:rStyle w:val="FootnoteReference"/>
        </w:rPr>
        <w:footnoteRef/>
      </w:r>
      <w:r>
        <w:t xml:space="preserve"> Cross-references for "thin": Gen 41:6; 2Kgs 19:26.</w:t>
      </w:r>
    </w:p>
  </w:footnote>
  <w:footnote w:id="1089">
    <w:p>
      <w:pPr>
        <w:pStyle w:val="FootnoteText"/>
      </w:pPr>
      <w:r>
        <w:rPr>
          <w:rStyle w:val="FootnoteReference"/>
        </w:rPr>
        <w:footnoteRef/>
      </w:r>
      <w:r>
        <w:t xml:space="preserve"> Cross-references for "good ears are seven": Gen 40:12.</w:t>
      </w:r>
    </w:p>
  </w:footnote>
  <w:footnote w:id="1090">
    <w:p>
      <w:pPr>
        <w:pStyle w:val="FootnoteText"/>
      </w:pPr>
      <w:r>
        <w:rPr>
          <w:rStyle w:val="FootnoteReference"/>
        </w:rPr>
        <w:footnoteRef/>
      </w:r>
      <w:r>
        <w:t xml:space="preserve"> Cross-references for "seven years of famine": 2Sam 24:19; 2Kgs 8:1.</w:t>
      </w:r>
    </w:p>
  </w:footnote>
  <w:footnote w:id="1091">
    <w:p>
      <w:pPr>
        <w:pStyle w:val="FootnoteText"/>
      </w:pPr>
      <w:r>
        <w:rPr>
          <w:rStyle w:val="FootnoteReference"/>
        </w:rPr>
        <w:footnoteRef/>
      </w:r>
      <w:r>
        <w:t xml:space="preserve"> Cross-references for "what God": Gen 41:16; Gen 41:25.</w:t>
      </w:r>
    </w:p>
  </w:footnote>
  <w:footnote w:id="1092">
    <w:p>
      <w:pPr>
        <w:pStyle w:val="FootnoteText"/>
      </w:pPr>
      <w:r>
        <w:rPr>
          <w:rStyle w:val="FootnoteReference"/>
        </w:rPr>
        <w:footnoteRef/>
      </w:r>
      <w:r>
        <w:t xml:space="preserve"> Cross-references for "seven years": Gen 41:27; Gen 41:54.</w:t>
      </w:r>
    </w:p>
  </w:footnote>
  <w:footnote w:id="1093">
    <w:p>
      <w:pPr>
        <w:pStyle w:val="FootnoteText"/>
      </w:pPr>
      <w:r>
        <w:rPr>
          <w:rStyle w:val="FootnoteReference"/>
        </w:rPr>
        <w:footnoteRef/>
      </w:r>
      <w:r>
        <w:t xml:space="preserve"> Cross-references for "doubled": Gen 37:7; Gen 37:9.</w:t>
      </w:r>
    </w:p>
  </w:footnote>
  <w:footnote w:id="1094">
    <w:p>
      <w:pPr>
        <w:pStyle w:val="FootnoteText"/>
      </w:pPr>
      <w:r>
        <w:rPr>
          <w:rStyle w:val="FootnoteReference"/>
        </w:rPr>
        <w:footnoteRef/>
      </w:r>
      <w:r>
        <w:t xml:space="preserve"> Cross-references for "gather": Gen 41:48-49; Gen 41:56.</w:t>
      </w:r>
    </w:p>
  </w:footnote>
  <w:footnote w:id="1095">
    <w:p>
      <w:pPr>
        <w:pStyle w:val="FootnoteText"/>
      </w:pPr>
      <w:r>
        <w:rPr>
          <w:rStyle w:val="FootnoteReference"/>
        </w:rPr>
        <w:footnoteRef/>
      </w:r>
      <w:r>
        <w:t xml:space="preserve"> Translation note: Greek keeps the herald-before-him royal line plain. Current wording preserves it.</w:t>
      </w:r>
    </w:p>
  </w:footnote>
  <w:footnote w:id="1096">
    <w:p>
      <w:pPr>
        <w:pStyle w:val="FootnoteText"/>
      </w:pPr>
      <w:r>
        <w:rPr>
          <w:rStyle w:val="FootnoteReference"/>
        </w:rPr>
        <w:footnoteRef/>
      </w:r>
      <w:r>
        <w:t xml:space="preserve"> Personal name: Zaphnathpaaneah. Personal-name meaning: Zaphnathpaaneah — Egyptian name of Joseph; revealer/preserver of life. Source form: Zaphnathpaaneah.</w:t>
      </w:r>
    </w:p>
  </w:footnote>
  <w:footnote w:id="1097">
    <w:p>
      <w:pPr>
        <w:pStyle w:val="FootnoteText"/>
      </w:pPr>
      <w:r>
        <w:rPr>
          <w:rStyle w:val="FootnoteReference"/>
        </w:rPr>
        <w:footnoteRef/>
      </w:r>
      <w:r>
        <w:t xml:space="preserve"> Personal name: Asenath. Personal-name meaning: Asenath — peril; misfortune. Source form: Asenath.</w:t>
      </w:r>
    </w:p>
  </w:footnote>
  <w:footnote w:id="1098">
    <w:p>
      <w:pPr>
        <w:pStyle w:val="FootnoteText"/>
      </w:pPr>
      <w:r>
        <w:rPr>
          <w:rStyle w:val="FootnoteReference"/>
        </w:rPr>
        <w:footnoteRef/>
      </w:r>
      <w:r>
        <w:t xml:space="preserve"> Personal name: Potiphera. Personal-name meaning: Potiphera — belonging to the sun; priestly Egyptian name. Source form: Potiphera.</w:t>
      </w:r>
    </w:p>
  </w:footnote>
  <w:footnote w:id="1099">
    <w:p>
      <w:pPr>
        <w:pStyle w:val="FootnoteText"/>
      </w:pPr>
      <w:r>
        <w:rPr>
          <w:rStyle w:val="FootnoteReference"/>
        </w:rPr>
        <w:footnoteRef/>
      </w:r>
      <w:r>
        <w:t xml:space="preserve"> Cross-references for "Zaphnathpaaneah": Luke 2:1; Acts 11:28.</w:t>
      </w:r>
    </w:p>
  </w:footnote>
  <w:footnote w:id="1100">
    <w:p>
      <w:pPr>
        <w:pStyle w:val="FootnoteText"/>
      </w:pPr>
      <w:r>
        <w:rPr>
          <w:rStyle w:val="FootnoteReference"/>
        </w:rPr>
        <w:footnoteRef/>
      </w:r>
      <w:r>
        <w:t xml:space="preserve"> Cross-references for "years": Gen 37:2; Num 4:3.</w:t>
      </w:r>
    </w:p>
  </w:footnote>
  <w:footnote w:id="1101">
    <w:p>
      <w:pPr>
        <w:pStyle w:val="FootnoteText"/>
      </w:pPr>
      <w:r>
        <w:rPr>
          <w:rStyle w:val="FootnoteReference"/>
        </w:rPr>
        <w:footnoteRef/>
      </w:r>
      <w:r>
        <w:t xml:space="preserve"> Cross-references for "Asenath": Gen 41:45; Gen 46:20.</w:t>
      </w:r>
    </w:p>
  </w:footnote>
  <w:footnote w:id="1102">
    <w:p>
      <w:pPr>
        <w:pStyle w:val="FootnoteText"/>
      </w:pPr>
      <w:r>
        <w:rPr>
          <w:rStyle w:val="FootnoteReference"/>
        </w:rPr>
        <w:footnoteRef/>
      </w:r>
      <w:r>
        <w:t xml:space="preserve"> Cross-references for "called": Gen 48:5; Gen 48:13-14.</w:t>
      </w:r>
    </w:p>
  </w:footnote>
  <w:footnote w:id="1103">
    <w:p>
      <w:pPr>
        <w:pStyle w:val="FootnoteText"/>
      </w:pPr>
      <w:r>
        <w:rPr>
          <w:rStyle w:val="FootnoteReference"/>
        </w:rPr>
        <w:footnoteRef/>
      </w:r>
      <w:r>
        <w:t xml:space="preserve"> Name meaning: Manasseh (Menasheh) — Causing to forget. Joseph named him because God made him forget his toil and father's house.</w:t>
      </w:r>
    </w:p>
  </w:footnote>
  <w:footnote w:id="1104">
    <w:p>
      <w:pPr>
        <w:pStyle w:val="FootnoteText"/>
      </w:pPr>
      <w:r>
        <w:rPr>
          <w:rStyle w:val="FootnoteReference"/>
        </w:rPr>
        <w:footnoteRef/>
      </w:r>
      <w:r>
        <w:t xml:space="preserve"> Name meaning: Ephraim (Ephrayim) — Fruitful; doubly fruitful. Joseph named him because God made him fruitful in the land of affliction.</w:t>
      </w:r>
    </w:p>
  </w:footnote>
  <w:footnote w:id="1105">
    <w:p>
      <w:pPr>
        <w:pStyle w:val="FootnoteText"/>
      </w:pPr>
      <w:r>
        <w:rPr>
          <w:rStyle w:val="FootnoteReference"/>
        </w:rPr>
        <w:footnoteRef/>
      </w:r>
      <w:r>
        <w:t xml:space="preserve"> Cross-references for "Ephraim": Gen 48:16-19; Gen 49:22.</w:t>
      </w:r>
    </w:p>
  </w:footnote>
  <w:footnote w:id="1106">
    <w:p>
      <w:pPr>
        <w:pStyle w:val="FootnoteText"/>
      </w:pPr>
      <w:r>
        <w:rPr>
          <w:rStyle w:val="FootnoteReference"/>
        </w:rPr>
        <w:footnoteRef/>
      </w:r>
      <w:r>
        <w:t xml:space="preserve"> Cross-references for "the seven": Gen 41:3-4; Gen 41:6-7.</w:t>
      </w:r>
    </w:p>
  </w:footnote>
  <w:footnote w:id="1107">
    <w:p>
      <w:pPr>
        <w:pStyle w:val="FootnoteText"/>
      </w:pPr>
      <w:r>
        <w:rPr>
          <w:rStyle w:val="FootnoteReference"/>
        </w:rPr>
        <w:footnoteRef/>
      </w:r>
      <w:r>
        <w:t xml:space="preserve"> Cross-references for "the face": Isa 23:17; Zech 5:3.</w:t>
      </w:r>
    </w:p>
  </w:footnote>
  <w:footnote w:id="1108">
    <w:p>
      <w:pPr>
        <w:pStyle w:val="FootnoteText"/>
      </w:pPr>
      <w:r>
        <w:rPr>
          <w:rStyle w:val="FootnoteReference"/>
        </w:rPr>
        <w:footnoteRef/>
      </w:r>
      <w:r>
        <w:t xml:space="preserve"> Cross-references for "that we": Gen 43:8; Ps 118:17.</w:t>
      </w:r>
    </w:p>
  </w:footnote>
  <w:footnote w:id="1109">
    <w:p>
      <w:pPr>
        <w:pStyle w:val="FootnoteText"/>
      </w:pPr>
      <w:r>
        <w:rPr>
          <w:rStyle w:val="FootnoteReference"/>
        </w:rPr>
        <w:footnoteRef/>
      </w:r>
      <w:r>
        <w:t xml:space="preserve"> Cross-references for "Benjamin": Gen 35:16-19.</w:t>
      </w:r>
    </w:p>
  </w:footnote>
  <w:footnote w:id="1110">
    <w:p>
      <w:pPr>
        <w:pStyle w:val="FootnoteText"/>
      </w:pPr>
      <w:r>
        <w:rPr>
          <w:rStyle w:val="FootnoteReference"/>
        </w:rPr>
        <w:footnoteRef/>
      </w:r>
      <w:r>
        <w:t xml:space="preserve"> Cross-references for "bowed": Gen 18:2; Gen 19:1.</w:t>
      </w:r>
    </w:p>
  </w:footnote>
  <w:footnote w:id="1111">
    <w:p>
      <w:pPr>
        <w:pStyle w:val="FootnoteText"/>
      </w:pPr>
      <w:r>
        <w:rPr>
          <w:rStyle w:val="FootnoteReference"/>
        </w:rPr>
        <w:footnoteRef/>
      </w:r>
      <w:r>
        <w:t xml:space="preserve"> Translation note: Greek keeps estrangement language here.</w:t>
      </w:r>
    </w:p>
  </w:footnote>
  <w:footnote w:id="1112">
    <w:p>
      <w:pPr>
        <w:pStyle w:val="FootnoteText"/>
      </w:pPr>
      <w:r>
        <w:rPr>
          <w:rStyle w:val="FootnoteReference"/>
        </w:rPr>
        <w:footnoteRef/>
      </w:r>
      <w:r>
        <w:t xml:space="preserve"> Cross-references for "remembered": Gen 37:5-9.</w:t>
      </w:r>
    </w:p>
  </w:footnote>
  <w:footnote w:id="1113">
    <w:p>
      <w:pPr>
        <w:pStyle w:val="FootnoteText"/>
      </w:pPr>
      <w:r>
        <w:rPr>
          <w:rStyle w:val="FootnoteReference"/>
        </w:rPr>
        <w:footnoteRef/>
      </w:r>
      <w:r>
        <w:t xml:space="preserve"> Translation note: Greek says become clear here. Current line keeps that phrase.</w:t>
      </w:r>
    </w:p>
  </w:footnote>
  <w:footnote w:id="1114">
    <w:p>
      <w:pPr>
        <w:pStyle w:val="FootnoteText"/>
      </w:pPr>
      <w:r>
        <w:rPr>
          <w:rStyle w:val="FootnoteReference"/>
        </w:rPr>
        <w:footnoteRef/>
      </w:r>
      <w:r>
        <w:t xml:space="preserve"> Cross-references for "I fear God": Gen 20:11; Lev 25:43.</w:t>
      </w:r>
    </w:p>
  </w:footnote>
  <w:footnote w:id="1115">
    <w:p>
      <w:pPr>
        <w:pStyle w:val="FootnoteText"/>
      </w:pPr>
      <w:r>
        <w:rPr>
          <w:rStyle w:val="FootnoteReference"/>
        </w:rPr>
        <w:footnoteRef/>
      </w:r>
      <w:r>
        <w:t xml:space="preserve"> Cross-references for "bring": Gen 42:15; Gen 42:34.</w:t>
      </w:r>
    </w:p>
  </w:footnote>
  <w:footnote w:id="1116">
    <w:p>
      <w:pPr>
        <w:pStyle w:val="FootnoteText"/>
      </w:pPr>
      <w:r>
        <w:rPr>
          <w:rStyle w:val="FootnoteReference"/>
        </w:rPr>
        <w:footnoteRef/>
      </w:r>
      <w:r>
        <w:t xml:space="preserve"> Cross-references for "his blood": Gen 4:10; Gen 9:5-6.</w:t>
      </w:r>
    </w:p>
  </w:footnote>
  <w:footnote w:id="1117">
    <w:p>
      <w:pPr>
        <w:pStyle w:val="FootnoteText"/>
      </w:pPr>
      <w:r>
        <w:rPr>
          <w:rStyle w:val="FootnoteReference"/>
        </w:rPr>
        <w:footnoteRef/>
      </w:r>
      <w:r>
        <w:t xml:space="preserve"> Cross-references for "wept": Gen 43:30; Isa 63:9.</w:t>
      </w:r>
    </w:p>
  </w:footnote>
  <w:footnote w:id="1118">
    <w:p>
      <w:pPr>
        <w:pStyle w:val="FootnoteText"/>
      </w:pPr>
      <w:r>
        <w:rPr>
          <w:rStyle w:val="FootnoteReference"/>
        </w:rPr>
        <w:footnoteRef/>
      </w:r>
      <w:r>
        <w:t xml:space="preserve"> Cross-references for "commanded": Gen 44:1-2; Isa 55:1.</w:t>
      </w:r>
    </w:p>
  </w:footnote>
  <w:footnote w:id="1119">
    <w:p>
      <w:pPr>
        <w:pStyle w:val="FootnoteText"/>
      </w:pPr>
      <w:r>
        <w:rPr>
          <w:rStyle w:val="FootnoteReference"/>
        </w:rPr>
        <w:footnoteRef/>
      </w:r>
      <w:r>
        <w:t xml:space="preserve"> Translation note: The Greek uses a stunned-heart line here. The current wording preserves that force.</w:t>
      </w:r>
    </w:p>
  </w:footnote>
  <w:footnote w:id="1120">
    <w:p>
      <w:pPr>
        <w:pStyle w:val="FootnoteText"/>
      </w:pPr>
      <w:r>
        <w:rPr>
          <w:rStyle w:val="FootnoteReference"/>
        </w:rPr>
        <w:footnoteRef/>
      </w:r>
      <w:r>
        <w:t xml:space="preserve"> Cross-references for "their heart": Gen 27:33; Gen 42:36.</w:t>
      </w:r>
    </w:p>
  </w:footnote>
  <w:footnote w:id="1121">
    <w:p>
      <w:pPr>
        <w:pStyle w:val="FootnoteText"/>
      </w:pPr>
      <w:r>
        <w:rPr>
          <w:rStyle w:val="FootnoteReference"/>
        </w:rPr>
        <w:footnoteRef/>
      </w:r>
      <w:r>
        <w:t xml:space="preserve"> Cross-references for "his brother": Gen 30:22-24; Gen 35:16-18.</w:t>
      </w:r>
    </w:p>
  </w:footnote>
  <w:footnote w:id="1122">
    <w:p>
      <w:pPr>
        <w:pStyle w:val="FootnoteText"/>
      </w:pPr>
      <w:r>
        <w:rPr>
          <w:rStyle w:val="FootnoteReference"/>
        </w:rPr>
        <w:footnoteRef/>
      </w:r>
      <w:r>
        <w:t xml:space="preserve"> Cross-references for "see my face": Gen 43:5; 2Sam 3:13.</w:t>
      </w:r>
    </w:p>
  </w:footnote>
  <w:footnote w:id="1123">
    <w:p>
      <w:pPr>
        <w:pStyle w:val="FootnoteText"/>
      </w:pPr>
      <w:r>
        <w:rPr>
          <w:rStyle w:val="FootnoteReference"/>
        </w:rPr>
        <w:footnoteRef/>
      </w:r>
      <w:r>
        <w:t xml:space="preserve"> Cross-references for "will not": Gen 42:38; Gen 44:26.</w:t>
      </w:r>
    </w:p>
  </w:footnote>
  <w:footnote w:id="1124">
    <w:p>
      <w:pPr>
        <w:pStyle w:val="FootnoteText"/>
      </w:pPr>
      <w:r>
        <w:rPr>
          <w:rStyle w:val="FootnoteReference"/>
        </w:rPr>
        <w:footnoteRef/>
      </w:r>
      <w:r>
        <w:t xml:space="preserve"> Translation note: Greek repeats questioning language here. Current line keeps it.</w:t>
      </w:r>
    </w:p>
  </w:footnote>
  <w:footnote w:id="1125">
    <w:p>
      <w:pPr>
        <w:pStyle w:val="FootnoteText"/>
      </w:pPr>
      <w:r>
        <w:rPr>
          <w:rStyle w:val="FootnoteReference"/>
        </w:rPr>
        <w:footnoteRef/>
      </w:r>
      <w:r>
        <w:t xml:space="preserve"> Cross-references for "that we": Gen 42:2; Deut 33:6.</w:t>
      </w:r>
    </w:p>
  </w:footnote>
  <w:footnote w:id="1126">
    <w:p>
      <w:pPr>
        <w:pStyle w:val="FootnoteText"/>
      </w:pPr>
      <w:r>
        <w:rPr>
          <w:rStyle w:val="FootnoteReference"/>
        </w:rPr>
        <w:footnoteRef/>
      </w:r>
      <w:r>
        <w:t xml:space="preserve"> Cross-references for "carry down": Gen 32:13-21; Gen 33:10.</w:t>
      </w:r>
    </w:p>
  </w:footnote>
  <w:footnote w:id="1127">
    <w:p>
      <w:pPr>
        <w:pStyle w:val="FootnoteText"/>
      </w:pPr>
      <w:r>
        <w:rPr>
          <w:rStyle w:val="FootnoteReference"/>
        </w:rPr>
        <w:footnoteRef/>
      </w:r>
      <w:r>
        <w:t xml:space="preserve"> MT/LXX note: Greek gift list differs from MT here.</w:t>
      </w:r>
    </w:p>
  </w:footnote>
  <w:footnote w:id="1128">
    <w:p>
      <w:pPr>
        <w:pStyle w:val="FootnoteText"/>
      </w:pPr>
      <w:r>
        <w:rPr>
          <w:rStyle w:val="FootnoteReference"/>
        </w:rPr>
        <w:footnoteRef/>
      </w:r>
      <w:r>
        <w:t xml:space="preserve"> Cross-references for "double": Rom 12:17; Rom 13:8.</w:t>
      </w:r>
    </w:p>
  </w:footnote>
  <w:footnote w:id="1129">
    <w:p>
      <w:pPr>
        <w:pStyle w:val="FootnoteText"/>
      </w:pPr>
      <w:r>
        <w:rPr>
          <w:rStyle w:val="FootnoteReference"/>
        </w:rPr>
        <w:footnoteRef/>
      </w:r>
      <w:r>
        <w:t xml:space="preserve"> Cross-references for "the men": Gen 42:21; Gen 42:28.</w:t>
      </w:r>
    </w:p>
  </w:footnote>
  <w:footnote w:id="1130">
    <w:p>
      <w:pPr>
        <w:pStyle w:val="FootnoteText"/>
      </w:pPr>
      <w:r>
        <w:rPr>
          <w:rStyle w:val="FootnoteReference"/>
        </w:rPr>
        <w:footnoteRef/>
      </w:r>
      <w:r>
        <w:t xml:space="preserve"> Translation note: Greek says both inform against and attack here. Current line keeps both verbs.</w:t>
      </w:r>
    </w:p>
  </w:footnote>
  <w:footnote w:id="1131">
    <w:p>
      <w:pPr>
        <w:pStyle w:val="FootnoteText"/>
      </w:pPr>
      <w:r>
        <w:rPr>
          <w:rStyle w:val="FootnoteReference"/>
        </w:rPr>
        <w:footnoteRef/>
      </w:r>
      <w:r>
        <w:t xml:space="preserve"> Cross-references for "we came": Gen 42:27-35.</w:t>
      </w:r>
    </w:p>
  </w:footnote>
  <w:footnote w:id="1132">
    <w:p>
      <w:pPr>
        <w:pStyle w:val="FootnoteText"/>
      </w:pPr>
      <w:r>
        <w:rPr>
          <w:rStyle w:val="FootnoteReference"/>
        </w:rPr>
        <w:footnoteRef/>
      </w:r>
      <w:r>
        <w:t xml:space="preserve"> Cross-references for "Simeon": Gen 42:24; Gen 42:36.</w:t>
      </w:r>
    </w:p>
  </w:footnote>
  <w:footnote w:id="1133">
    <w:p>
      <w:pPr>
        <w:pStyle w:val="FootnoteText"/>
      </w:pPr>
      <w:r>
        <w:rPr>
          <w:rStyle w:val="FootnoteReference"/>
        </w:rPr>
        <w:footnoteRef/>
      </w:r>
      <w:r>
        <w:t xml:space="preserve"> Translation note: The Greek greeting uses mercy language. The current wording keeps that marked line visible.</w:t>
      </w:r>
    </w:p>
  </w:footnote>
  <w:footnote w:id="1134">
    <w:p>
      <w:pPr>
        <w:pStyle w:val="FootnoteText"/>
      </w:pPr>
      <w:r>
        <w:rPr>
          <w:rStyle w:val="FootnoteReference"/>
        </w:rPr>
        <w:footnoteRef/>
      </w:r>
      <w:r>
        <w:t xml:space="preserve"> Cross-references for "bowed": Gen 27:29; Gen 37:7-10.</w:t>
      </w:r>
    </w:p>
  </w:footnote>
  <w:footnote w:id="1135">
    <w:p>
      <w:pPr>
        <w:pStyle w:val="FootnoteText"/>
      </w:pPr>
      <w:r>
        <w:rPr>
          <w:rStyle w:val="FootnoteReference"/>
        </w:rPr>
        <w:footnoteRef/>
      </w:r>
      <w:r>
        <w:t xml:space="preserve"> Cross-references for "Is your father well": Gen 42:11; Gen 42:13.</w:t>
      </w:r>
    </w:p>
  </w:footnote>
  <w:footnote w:id="1136">
    <w:p>
      <w:pPr>
        <w:pStyle w:val="FootnoteText"/>
      </w:pPr>
      <w:r>
        <w:rPr>
          <w:rStyle w:val="FootnoteReference"/>
        </w:rPr>
        <w:footnoteRef/>
      </w:r>
      <w:r>
        <w:t xml:space="preserve"> Cross-references for "wept there": Gen 42:24; John 11:33-38.</w:t>
      </w:r>
    </w:p>
  </w:footnote>
  <w:footnote w:id="1137">
    <w:p>
      <w:pPr>
        <w:pStyle w:val="FootnoteText"/>
      </w:pPr>
      <w:r>
        <w:rPr>
          <w:rStyle w:val="FootnoteReference"/>
        </w:rPr>
        <w:footnoteRef/>
      </w:r>
      <w:r>
        <w:t xml:space="preserve"> Cross-references for "bread": Gen 43:25.</w:t>
      </w:r>
    </w:p>
  </w:footnote>
  <w:footnote w:id="1138">
    <w:p>
      <w:pPr>
        <w:pStyle w:val="FootnoteText"/>
      </w:pPr>
      <w:r>
        <w:rPr>
          <w:rStyle w:val="FootnoteReference"/>
        </w:rPr>
        <w:footnoteRef/>
      </w:r>
      <w:r>
        <w:t xml:space="preserve"> Cross-references for "eat bread": Gen 31:54; Gen 43:16.</w:t>
      </w:r>
    </w:p>
  </w:footnote>
  <w:footnote w:id="1139">
    <w:p>
      <w:pPr>
        <w:pStyle w:val="FootnoteText"/>
      </w:pPr>
      <w:r>
        <w:rPr>
          <w:rStyle w:val="FootnoteReference"/>
        </w:rPr>
        <w:footnoteRef/>
      </w:r>
      <w:r>
        <w:t xml:space="preserve"> Cross-references for "Fill the": Gen 42:25; Gen 43:2.</w:t>
      </w:r>
    </w:p>
  </w:footnote>
  <w:footnote w:id="1140">
    <w:p>
      <w:pPr>
        <w:pStyle w:val="FootnoteText"/>
      </w:pPr>
      <w:r>
        <w:rPr>
          <w:rStyle w:val="FootnoteReference"/>
        </w:rPr>
        <w:footnoteRef/>
      </w:r>
      <w:r>
        <w:t xml:space="preserve"> Cross-references for "the money": Gen 42:21; Gen 42:27.</w:t>
      </w:r>
    </w:p>
  </w:footnote>
  <w:footnote w:id="1141">
    <w:p>
      <w:pPr>
        <w:pStyle w:val="FootnoteText"/>
      </w:pPr>
      <w:r>
        <w:rPr>
          <w:rStyle w:val="FootnoteReference"/>
        </w:rPr>
        <w:footnoteRef/>
      </w:r>
      <w:r>
        <w:t xml:space="preserve"> Cross-references for "And we": Gen 43:18.</w:t>
      </w:r>
    </w:p>
  </w:footnote>
  <w:footnote w:id="1142">
    <w:p>
      <w:pPr>
        <w:pStyle w:val="FootnoteText"/>
      </w:pPr>
      <w:r>
        <w:rPr>
          <w:rStyle w:val="FootnoteReference"/>
        </w:rPr>
        <w:footnoteRef/>
      </w:r>
      <w:r>
        <w:t xml:space="preserve"> Translation note: Greek gives the submission scene in direct form. Current wording preserves it.</w:t>
      </w:r>
    </w:p>
  </w:footnote>
  <w:footnote w:id="1143">
    <w:p>
      <w:pPr>
        <w:pStyle w:val="FootnoteText"/>
      </w:pPr>
      <w:r>
        <w:rPr>
          <w:rStyle w:val="FootnoteReference"/>
        </w:rPr>
        <w:footnoteRef/>
      </w:r>
      <w:r>
        <w:t xml:space="preserve"> Cross-references for "fell": Gen 37:7-9; Gen 50:18.</w:t>
      </w:r>
    </w:p>
  </w:footnote>
  <w:footnote w:id="1144">
    <w:p>
      <w:pPr>
        <w:pStyle w:val="FootnoteText"/>
      </w:pPr>
      <w:r>
        <w:rPr>
          <w:rStyle w:val="FootnoteReference"/>
        </w:rPr>
        <w:footnoteRef/>
      </w:r>
      <w:r>
        <w:t xml:space="preserve"> Cross-references for "Judah": Gen 43:8-9; Gen 44:32.</w:t>
      </w:r>
    </w:p>
  </w:footnote>
  <w:footnote w:id="1145">
    <w:p>
      <w:pPr>
        <w:pStyle w:val="FootnoteText"/>
      </w:pPr>
      <w:r>
        <w:rPr>
          <w:rStyle w:val="FootnoteReference"/>
        </w:rPr>
        <w:footnoteRef/>
      </w:r>
      <w:r>
        <w:t xml:space="preserve"> Translation note: Greek says justified here. The translation keeps that wording.</w:t>
      </w:r>
    </w:p>
  </w:footnote>
  <w:footnote w:id="1146">
    <w:p>
      <w:pPr>
        <w:pStyle w:val="FootnoteText"/>
      </w:pPr>
      <w:r>
        <w:rPr>
          <w:rStyle w:val="FootnoteReference"/>
        </w:rPr>
        <w:footnoteRef/>
      </w:r>
      <w:r>
        <w:t xml:space="preserve"> Cross-references for "in peace": Gen 26:29; Gen 37:32-33.</w:t>
      </w:r>
    </w:p>
  </w:footnote>
  <w:footnote w:id="1147">
    <w:p>
      <w:pPr>
        <w:pStyle w:val="FootnoteText"/>
      </w:pPr>
      <w:r>
        <w:rPr>
          <w:rStyle w:val="FootnoteReference"/>
        </w:rPr>
        <w:footnoteRef/>
      </w:r>
      <w:r>
        <w:t xml:space="preserve"> Cross-references for "as Pharaoh": Gen 41:40; Gen 41:44.</w:t>
      </w:r>
    </w:p>
  </w:footnote>
  <w:footnote w:id="1148">
    <w:p>
      <w:pPr>
        <w:pStyle w:val="FootnoteText"/>
      </w:pPr>
      <w:r>
        <w:rPr>
          <w:rStyle w:val="FootnoteReference"/>
        </w:rPr>
        <w:footnoteRef/>
      </w:r>
      <w:r>
        <w:t xml:space="preserve"> Cross-references for "we said": Gen 49:8.</w:t>
      </w:r>
    </w:p>
  </w:footnote>
  <w:footnote w:id="1149">
    <w:p>
      <w:pPr>
        <w:pStyle w:val="FootnoteText"/>
      </w:pPr>
      <w:r>
        <w:rPr>
          <w:rStyle w:val="FootnoteReference"/>
        </w:rPr>
        <w:footnoteRef/>
      </w:r>
      <w:r>
        <w:t xml:space="preserve"> Cross-references for "Bring": Gen 42:15; Gen 42:20.</w:t>
      </w:r>
    </w:p>
  </w:footnote>
  <w:footnote w:id="1150">
    <w:p>
      <w:pPr>
        <w:pStyle w:val="FootnoteText"/>
      </w:pPr>
      <w:r>
        <w:rPr>
          <w:rStyle w:val="FootnoteReference"/>
        </w:rPr>
        <w:footnoteRef/>
      </w:r>
      <w:r>
        <w:t xml:space="preserve"> Cross-references for "we told him": Gen 42:29-34.</w:t>
      </w:r>
    </w:p>
  </w:footnote>
  <w:footnote w:id="1151">
    <w:p>
      <w:pPr>
        <w:pStyle w:val="FootnoteText"/>
      </w:pPr>
      <w:r>
        <w:rPr>
          <w:rStyle w:val="FootnoteReference"/>
        </w:rPr>
        <w:footnoteRef/>
      </w:r>
      <w:r>
        <w:t xml:space="preserve"> Cross-references for "the one": Gen 37:13-14.</w:t>
      </w:r>
    </w:p>
  </w:footnote>
  <w:footnote w:id="1152">
    <w:p>
      <w:pPr>
        <w:pStyle w:val="FootnoteText"/>
      </w:pPr>
      <w:r>
        <w:rPr>
          <w:rStyle w:val="FootnoteReference"/>
        </w:rPr>
        <w:footnoteRef/>
      </w:r>
      <w:r>
        <w:t xml:space="preserve"> Cross-references for "sorrow": Gen 42:38; Gen 44:31.</w:t>
      </w:r>
    </w:p>
  </w:footnote>
  <w:footnote w:id="1153">
    <w:p>
      <w:pPr>
        <w:pStyle w:val="FootnoteText"/>
      </w:pPr>
      <w:r>
        <w:rPr>
          <w:rStyle w:val="FootnoteReference"/>
        </w:rPr>
        <w:footnoteRef/>
      </w:r>
      <w:r>
        <w:t xml:space="preserve"> Cross-references for "when he": 1Sam 4:17-18; 2Cor 7:10.</w:t>
      </w:r>
    </w:p>
  </w:footnote>
  <w:footnote w:id="1154">
    <w:p>
      <w:pPr>
        <w:pStyle w:val="FootnoteText"/>
      </w:pPr>
      <w:r>
        <w:rPr>
          <w:rStyle w:val="FootnoteReference"/>
        </w:rPr>
        <w:footnoteRef/>
      </w:r>
      <w:r>
        <w:t xml:space="preserve"> Translation note: Greek says Joseph was not able to hold out before those standing by him.</w:t>
      </w:r>
    </w:p>
  </w:footnote>
  <w:footnote w:id="1155">
    <w:p>
      <w:pPr>
        <w:pStyle w:val="FootnoteText"/>
      </w:pPr>
      <w:r>
        <w:rPr>
          <w:rStyle w:val="FootnoteReference"/>
        </w:rPr>
        <w:footnoteRef/>
      </w:r>
      <w:r>
        <w:t xml:space="preserve"> Cross-references for "I am Joseph": Matt 14:27; Acts 7:13.</w:t>
      </w:r>
    </w:p>
  </w:footnote>
  <w:footnote w:id="1156">
    <w:p>
      <w:pPr>
        <w:pStyle w:val="FootnoteText"/>
      </w:pPr>
      <w:r>
        <w:rPr>
          <w:rStyle w:val="FootnoteReference"/>
        </w:rPr>
        <w:footnoteRef/>
      </w:r>
      <w:r>
        <w:t xml:space="preserve"> Cross-references for "I am Joseph": Gen 37:28; Gen 50:18.</w:t>
      </w:r>
    </w:p>
  </w:footnote>
  <w:footnote w:id="1157">
    <w:p>
      <w:pPr>
        <w:pStyle w:val="FootnoteText"/>
      </w:pPr>
      <w:r>
        <w:rPr>
          <w:rStyle w:val="FootnoteReference"/>
        </w:rPr>
        <w:footnoteRef/>
      </w:r>
      <w:r>
        <w:t xml:space="preserve"> Cross-references for "it was not": Gen 45:5; John 15:16.</w:t>
      </w:r>
    </w:p>
  </w:footnote>
  <w:footnote w:id="1158">
    <w:p>
      <w:pPr>
        <w:pStyle w:val="FootnoteText"/>
      </w:pPr>
      <w:r>
        <w:rPr>
          <w:rStyle w:val="FootnoteReference"/>
        </w:rPr>
        <w:footnoteRef/>
      </w:r>
      <w:r>
        <w:t xml:space="preserve"> Cross-references for "in the land": Gen 46:29; Gen 46:34.</w:t>
      </w:r>
    </w:p>
  </w:footnote>
  <w:footnote w:id="1159">
    <w:p>
      <w:pPr>
        <w:pStyle w:val="FootnoteText"/>
      </w:pPr>
      <w:r>
        <w:rPr>
          <w:rStyle w:val="FootnoteReference"/>
        </w:rPr>
        <w:footnoteRef/>
      </w:r>
      <w:r>
        <w:t xml:space="preserve"> Place name: Goshen. Place-name meaning: Goshen — approaching; drawing near. Source form: Goshen. Greek form: Γεσὲμ.</w:t>
      </w:r>
    </w:p>
  </w:footnote>
  <w:footnote w:id="1160">
    <w:p>
      <w:pPr>
        <w:pStyle w:val="FootnoteText"/>
      </w:pPr>
      <w:r>
        <w:rPr>
          <w:rStyle w:val="FootnoteReference"/>
        </w:rPr>
        <w:footnoteRef/>
      </w:r>
      <w:r>
        <w:t xml:space="preserve"> Place name: Arabia. Place-name meaning: Arabia — evening; desert; ravens. Source form: Arabia. Greek form: ᾿Αραβίας.</w:t>
      </w:r>
    </w:p>
  </w:footnote>
  <w:footnote w:id="1161">
    <w:p>
      <w:pPr>
        <w:pStyle w:val="FootnoteText"/>
      </w:pPr>
      <w:r>
        <w:rPr>
          <w:rStyle w:val="FootnoteReference"/>
        </w:rPr>
        <w:footnoteRef/>
      </w:r>
      <w:r>
        <w:t xml:space="preserve"> Cross-references for "your eyes": Gen 42:23; Luke 24:39.</w:t>
      </w:r>
    </w:p>
  </w:footnote>
  <w:footnote w:id="1162">
    <w:p>
      <w:pPr>
        <w:pStyle w:val="FootnoteText"/>
      </w:pPr>
      <w:r>
        <w:rPr>
          <w:rStyle w:val="FootnoteReference"/>
        </w:rPr>
        <w:footnoteRef/>
      </w:r>
      <w:r>
        <w:t xml:space="preserve"> Cross-references for "my glory": John 17:24; 1Pet 1:10-12.</w:t>
      </w:r>
    </w:p>
  </w:footnote>
  <w:footnote w:id="1163">
    <w:p>
      <w:pPr>
        <w:pStyle w:val="FootnoteText"/>
      </w:pPr>
      <w:r>
        <w:rPr>
          <w:rStyle w:val="FootnoteReference"/>
        </w:rPr>
        <w:footnoteRef/>
      </w:r>
      <w:r>
        <w:t xml:space="preserve"> Cross-references for "for your": Gen 31:17-18.</w:t>
      </w:r>
    </w:p>
  </w:footnote>
  <w:footnote w:id="1164">
    <w:p>
      <w:pPr>
        <w:pStyle w:val="FootnoteText"/>
      </w:pPr>
      <w:r>
        <w:rPr>
          <w:rStyle w:val="FootnoteReference"/>
        </w:rPr>
        <w:footnoteRef/>
      </w:r>
      <w:r>
        <w:t xml:space="preserve"> Cross-references for "the good": Gen 20:15; Gen 45:18.</w:t>
      </w:r>
    </w:p>
  </w:footnote>
  <w:footnote w:id="1165">
    <w:p>
      <w:pPr>
        <w:pStyle w:val="FootnoteText"/>
      </w:pPr>
      <w:r>
        <w:rPr>
          <w:rStyle w:val="FootnoteReference"/>
        </w:rPr>
        <w:footnoteRef/>
      </w:r>
      <w:r>
        <w:t xml:space="preserve"> Cross-references for "to Benjamin": Gen 43:34.</w:t>
      </w:r>
    </w:p>
  </w:footnote>
  <w:footnote w:id="1166">
    <w:p>
      <w:pPr>
        <w:pStyle w:val="FootnoteText"/>
      </w:pPr>
      <w:r>
        <w:rPr>
          <w:rStyle w:val="FootnoteReference"/>
        </w:rPr>
        <w:footnoteRef/>
      </w:r>
      <w:r>
        <w:t xml:space="preserve"> Cross-references for "good things": Gen 24:10; Gen 43:11.</w:t>
      </w:r>
    </w:p>
  </w:footnote>
  <w:footnote w:id="1167">
    <w:p>
      <w:pPr>
        <w:pStyle w:val="FootnoteText"/>
      </w:pPr>
      <w:r>
        <w:rPr>
          <w:rStyle w:val="FootnoteReference"/>
        </w:rPr>
        <w:footnoteRef/>
      </w:r>
      <w:r>
        <w:t xml:space="preserve"> Cross-references for "Joseph": Luke 24:34.</w:t>
      </w:r>
    </w:p>
  </w:footnote>
  <w:footnote w:id="1168">
    <w:p>
      <w:pPr>
        <w:pStyle w:val="FootnoteText"/>
      </w:pPr>
      <w:r>
        <w:rPr>
          <w:rStyle w:val="FootnoteReference"/>
        </w:rPr>
        <w:footnoteRef/>
      </w:r>
      <w:r>
        <w:t xml:space="preserve"> Translation note: Greek marks Jacob's response with revived-spirit language. Current wording preserves it.</w:t>
      </w:r>
    </w:p>
  </w:footnote>
  <w:footnote w:id="1169">
    <w:p>
      <w:pPr>
        <w:pStyle w:val="FootnoteText"/>
      </w:pPr>
      <w:r>
        <w:rPr>
          <w:rStyle w:val="FootnoteReference"/>
        </w:rPr>
        <w:footnoteRef/>
      </w:r>
      <w:r>
        <w:t xml:space="preserve"> Cross-references for "the spirit": Judg 15:19; 1Sam 30:12.</w:t>
      </w:r>
    </w:p>
  </w:footnote>
  <w:footnote w:id="1170">
    <w:p>
      <w:pPr>
        <w:pStyle w:val="FootnoteText"/>
      </w:pPr>
      <w:r>
        <w:rPr>
          <w:rStyle w:val="FootnoteReference"/>
        </w:rPr>
        <w:footnoteRef/>
      </w:r>
      <w:r>
        <w:t xml:space="preserve"> Cross-references for "and offered": Gen 4:4; Gen 8:20.</w:t>
      </w:r>
    </w:p>
  </w:footnote>
  <w:footnote w:id="1171">
    <w:p>
      <w:pPr>
        <w:pStyle w:val="FootnoteText"/>
      </w:pPr>
      <w:r>
        <w:rPr>
          <w:rStyle w:val="FootnoteReference"/>
        </w:rPr>
        <w:footnoteRef/>
      </w:r>
      <w:r>
        <w:t xml:space="preserve"> Cross-references for "Jacob": Gen 22:1; Exod 3:3-4.</w:t>
      </w:r>
    </w:p>
  </w:footnote>
  <w:footnote w:id="1172">
    <w:p>
      <w:pPr>
        <w:pStyle w:val="FootnoteText"/>
      </w:pPr>
      <w:r>
        <w:rPr>
          <w:rStyle w:val="FootnoteReference"/>
        </w:rPr>
        <w:footnoteRef/>
      </w:r>
      <w:r>
        <w:t xml:space="preserve"> Cross-references for "the God": Gen 28:13.</w:t>
      </w:r>
    </w:p>
  </w:footnote>
  <w:footnote w:id="1173">
    <w:p>
      <w:pPr>
        <w:pStyle w:val="FootnoteText"/>
      </w:pPr>
      <w:r>
        <w:rPr>
          <w:rStyle w:val="FootnoteReference"/>
        </w:rPr>
        <w:footnoteRef/>
      </w:r>
      <w:r>
        <w:t xml:space="preserve"> Cross-references for "will go": Gen 28:15; Gen 48:21.</w:t>
      </w:r>
    </w:p>
  </w:footnote>
  <w:footnote w:id="1174">
    <w:p>
      <w:pPr>
        <w:pStyle w:val="FootnoteText"/>
      </w:pPr>
      <w:r>
        <w:rPr>
          <w:rStyle w:val="FootnoteReference"/>
        </w:rPr>
        <w:footnoteRef/>
      </w:r>
      <w:r>
        <w:t xml:space="preserve"> Cross-references for "Jacob": Acts 7:15.</w:t>
      </w:r>
    </w:p>
  </w:footnote>
  <w:footnote w:id="1175">
    <w:p>
      <w:pPr>
        <w:pStyle w:val="FootnoteText"/>
      </w:pPr>
      <w:r>
        <w:rPr>
          <w:rStyle w:val="FootnoteReference"/>
        </w:rPr>
        <w:footnoteRef/>
      </w:r>
      <w:r>
        <w:t xml:space="preserve"> Cross-references for "into Egypt": Gen 15:13; Num 20:15.</w:t>
      </w:r>
    </w:p>
  </w:footnote>
  <w:footnote w:id="1176">
    <w:p>
      <w:pPr>
        <w:pStyle w:val="FootnoteText"/>
      </w:pPr>
      <w:r>
        <w:rPr>
          <w:rStyle w:val="FootnoteReference"/>
        </w:rPr>
        <w:footnoteRef/>
      </w:r>
      <w:r>
        <w:t xml:space="preserve"> Cross-references for "the names": Gen 35:23; Gen 49:1-33.</w:t>
      </w:r>
    </w:p>
  </w:footnote>
  <w:footnote w:id="1177">
    <w:p>
      <w:pPr>
        <w:pStyle w:val="FootnoteText"/>
      </w:pPr>
      <w:r>
        <w:rPr>
          <w:rStyle w:val="FootnoteReference"/>
        </w:rPr>
        <w:footnoteRef/>
      </w:r>
      <w:r>
        <w:t xml:space="preserve"> Personal name: Pallu. Personal-name meaning: Pallu — marvelous; hidden. Source form: Pallu.</w:t>
      </w:r>
    </w:p>
  </w:footnote>
  <w:footnote w:id="1178">
    <w:p>
      <w:pPr>
        <w:pStyle w:val="FootnoteText"/>
      </w:pPr>
      <w:r>
        <w:rPr>
          <w:rStyle w:val="FootnoteReference"/>
        </w:rPr>
        <w:footnoteRef/>
      </w:r>
      <w:r>
        <w:t xml:space="preserve"> Transliterated proper noun: Hezron. Standard English equivalent: Hezron. Source form: Hezron. Greek form: ᾿Ασρὼν. Name meaning: the dart of joy; the division of the song.</w:t>
      </w:r>
    </w:p>
  </w:footnote>
  <w:footnote w:id="1179">
    <w:p>
      <w:pPr>
        <w:pStyle w:val="FootnoteText"/>
      </w:pPr>
      <w:r>
        <w:rPr>
          <w:rStyle w:val="FootnoteReference"/>
        </w:rPr>
        <w:footnoteRef/>
      </w:r>
      <w:r>
        <w:t xml:space="preserve"> Personal name: Carmi. Personal-name meaning: Carmi — my vineyard; lamb of the waters. Source form: Carmi.</w:t>
      </w:r>
    </w:p>
  </w:footnote>
  <w:footnote w:id="1180">
    <w:p>
      <w:pPr>
        <w:pStyle w:val="FootnoteText"/>
      </w:pPr>
      <w:r>
        <w:rPr>
          <w:rStyle w:val="FootnoteReference"/>
        </w:rPr>
        <w:footnoteRef/>
      </w:r>
      <w:r>
        <w:t xml:space="preserve"> Cross-references for "Simeon": Gen 29:33; Gen 34:25.</w:t>
      </w:r>
    </w:p>
  </w:footnote>
  <w:footnote w:id="1181">
    <w:p>
      <w:pPr>
        <w:pStyle w:val="FootnoteText"/>
      </w:pPr>
      <w:r>
        <w:rPr>
          <w:rStyle w:val="FootnoteReference"/>
        </w:rPr>
        <w:footnoteRef/>
      </w:r>
      <w:r>
        <w:t xml:space="preserve"> Personal name: Jemuel. Personal-name meaning: Jemuel — God's day; son of God. Source form: Jemuel.</w:t>
      </w:r>
    </w:p>
  </w:footnote>
  <w:footnote w:id="1182">
    <w:p>
      <w:pPr>
        <w:pStyle w:val="FootnoteText"/>
      </w:pPr>
      <w:r>
        <w:rPr>
          <w:rStyle w:val="FootnoteReference"/>
        </w:rPr>
        <w:footnoteRef/>
      </w:r>
      <w:r>
        <w:t xml:space="preserve"> Personal name: Jamin. Personal-name meaning: Jamin — right hand; south wind. Source form: Jamin.</w:t>
      </w:r>
    </w:p>
  </w:footnote>
  <w:footnote w:id="1183">
    <w:p>
      <w:pPr>
        <w:pStyle w:val="FootnoteText"/>
      </w:pPr>
      <w:r>
        <w:rPr>
          <w:rStyle w:val="FootnoteReference"/>
        </w:rPr>
        <w:footnoteRef/>
      </w:r>
      <w:r>
        <w:t xml:space="preserve"> Personal name: Ohad. Personal-name meaning: Ohad — praising; confessing. Source form: Ohad.</w:t>
      </w:r>
    </w:p>
  </w:footnote>
  <w:footnote w:id="1184">
    <w:p>
      <w:pPr>
        <w:pStyle w:val="FootnoteText"/>
      </w:pPr>
      <w:r>
        <w:rPr>
          <w:rStyle w:val="FootnoteReference"/>
        </w:rPr>
        <w:footnoteRef/>
      </w:r>
      <w:r>
        <w:t xml:space="preserve"> Personal name: Jachin. Personal-name meaning: Jachin — he that strengthens and makes steadfast. Source form: Jachin.</w:t>
      </w:r>
    </w:p>
  </w:footnote>
  <w:footnote w:id="1185">
    <w:p>
      <w:pPr>
        <w:pStyle w:val="FootnoteText"/>
      </w:pPr>
      <w:r>
        <w:rPr>
          <w:rStyle w:val="FootnoteReference"/>
        </w:rPr>
        <w:footnoteRef/>
      </w:r>
      <w:r>
        <w:t xml:space="preserve"> Cross-references for "Levi": Gen 29:34; Gen 49:5-7.</w:t>
      </w:r>
    </w:p>
  </w:footnote>
  <w:footnote w:id="1186">
    <w:p>
      <w:pPr>
        <w:pStyle w:val="FootnoteText"/>
      </w:pPr>
      <w:r>
        <w:rPr>
          <w:rStyle w:val="FootnoteReference"/>
        </w:rPr>
        <w:footnoteRef/>
      </w:r>
      <w:r>
        <w:t xml:space="preserve"> Personal name: Gershon. Personal-name meaning: Gershon — his banishment; the change of pilgrimage. Source form: Gershon.</w:t>
      </w:r>
    </w:p>
  </w:footnote>
  <w:footnote w:id="1187">
    <w:p>
      <w:pPr>
        <w:pStyle w:val="FootnoteText"/>
      </w:pPr>
      <w:r>
        <w:rPr>
          <w:rStyle w:val="FootnoteReference"/>
        </w:rPr>
        <w:footnoteRef/>
      </w:r>
      <w:r>
        <w:t xml:space="preserve"> Personal name: Kohath. Personal-name meaning: Kohath — congregation; wrinkle; bluntness. Source form: Kohath.</w:t>
      </w:r>
    </w:p>
  </w:footnote>
  <w:footnote w:id="1188">
    <w:p>
      <w:pPr>
        <w:pStyle w:val="FootnoteText"/>
      </w:pPr>
      <w:r>
        <w:rPr>
          <w:rStyle w:val="FootnoteReference"/>
        </w:rPr>
        <w:footnoteRef/>
      </w:r>
      <w:r>
        <w:t xml:space="preserve"> Personal name: Merari. Personal-name meaning: Merari — bitter; to provoke. Source form: Merari.</w:t>
      </w:r>
    </w:p>
  </w:footnote>
  <w:footnote w:id="1189">
    <w:p>
      <w:pPr>
        <w:pStyle w:val="FootnoteText"/>
      </w:pPr>
      <w:r>
        <w:rPr>
          <w:rStyle w:val="FootnoteReference"/>
        </w:rPr>
        <w:footnoteRef/>
      </w:r>
      <w:r>
        <w:t xml:space="preserve"> Cross-references for "Judah": Gen 29:35; Gen 38:1-3.</w:t>
      </w:r>
    </w:p>
  </w:footnote>
  <w:footnote w:id="1190">
    <w:p>
      <w:pPr>
        <w:pStyle w:val="FootnoteText"/>
      </w:pPr>
      <w:r>
        <w:rPr>
          <w:rStyle w:val="FootnoteReference"/>
        </w:rPr>
        <w:footnoteRef/>
      </w:r>
      <w:r>
        <w:t xml:space="preserve"> Personal name: Shallum. Personal-name meaning: Shallum — perfect; agreeable. Source form: Shallum.</w:t>
      </w:r>
    </w:p>
  </w:footnote>
  <w:footnote w:id="1191">
    <w:p>
      <w:pPr>
        <w:pStyle w:val="FootnoteText"/>
      </w:pPr>
      <w:r>
        <w:rPr>
          <w:rStyle w:val="FootnoteReference"/>
        </w:rPr>
        <w:footnoteRef/>
      </w:r>
      <w:r>
        <w:t xml:space="preserve"> Cross-references for "Issachar": Gen 30:14-18; Gen 35:23.</w:t>
      </w:r>
    </w:p>
  </w:footnote>
  <w:footnote w:id="1192">
    <w:p>
      <w:pPr>
        <w:pStyle w:val="FootnoteText"/>
      </w:pPr>
      <w:r>
        <w:rPr>
          <w:rStyle w:val="FootnoteReference"/>
        </w:rPr>
        <w:footnoteRef/>
      </w:r>
      <w:r>
        <w:t xml:space="preserve"> Personal name: Tola. Personal-name meaning: Tola — worm; grub; scarlet. Source form: Tola.</w:t>
      </w:r>
    </w:p>
  </w:footnote>
  <w:footnote w:id="1193">
    <w:p>
      <w:pPr>
        <w:pStyle w:val="FootnoteText"/>
      </w:pPr>
      <w:r>
        <w:rPr>
          <w:rStyle w:val="FootnoteReference"/>
        </w:rPr>
        <w:footnoteRef/>
      </w:r>
      <w:r>
        <w:t xml:space="preserve"> Personal name: Puah. Personal-name meaning: Puah — mouth; corner; bush of hair. Source form: Puah.</w:t>
      </w:r>
    </w:p>
  </w:footnote>
  <w:footnote w:id="1194">
    <w:p>
      <w:pPr>
        <w:pStyle w:val="FootnoteText"/>
      </w:pPr>
      <w:r>
        <w:rPr>
          <w:rStyle w:val="FootnoteReference"/>
        </w:rPr>
        <w:footnoteRef/>
      </w:r>
      <w:r>
        <w:t xml:space="preserve"> Transliterated proper noun: Shimron. Standard English equivalent: Shimron. Source form: Shimron. Name meaning: watch; guard.</w:t>
      </w:r>
    </w:p>
  </w:footnote>
  <w:footnote w:id="1195">
    <w:p>
      <w:pPr>
        <w:pStyle w:val="FootnoteText"/>
      </w:pPr>
      <w:r>
        <w:rPr>
          <w:rStyle w:val="FootnoteReference"/>
        </w:rPr>
        <w:footnoteRef/>
      </w:r>
      <w:r>
        <w:t xml:space="preserve"> Translation note: Greek preserves this specific source-row sequence of names. Current wording keeps that list rather than harmonizing it.</w:t>
      </w:r>
    </w:p>
  </w:footnote>
  <w:footnote w:id="1196">
    <w:p>
      <w:pPr>
        <w:pStyle w:val="FootnoteText"/>
      </w:pPr>
      <w:r>
        <w:rPr>
          <w:rStyle w:val="FootnoteReference"/>
        </w:rPr>
        <w:footnoteRef/>
      </w:r>
      <w:r>
        <w:t xml:space="preserve"> Cross-references for "Zebulun": Gen 30:19-20; Gen 49:13.</w:t>
      </w:r>
    </w:p>
  </w:footnote>
  <w:footnote w:id="1197">
    <w:p>
      <w:pPr>
        <w:pStyle w:val="FootnoteText"/>
      </w:pPr>
      <w:r>
        <w:rPr>
          <w:rStyle w:val="FootnoteReference"/>
        </w:rPr>
        <w:footnoteRef/>
      </w:r>
      <w:r>
        <w:t xml:space="preserve"> Personal name: Sered. Personal-name meaning: Sered — dyer's vat. Source form: Sered.</w:t>
      </w:r>
    </w:p>
  </w:footnote>
  <w:footnote w:id="1198">
    <w:p>
      <w:pPr>
        <w:pStyle w:val="FootnoteText"/>
      </w:pPr>
      <w:r>
        <w:rPr>
          <w:rStyle w:val="FootnoteReference"/>
        </w:rPr>
        <w:footnoteRef/>
      </w:r>
      <w:r>
        <w:t xml:space="preserve"> Personal name: Allon. Personal-name meaning: Allon — an oak; strong. Source form: Allon.</w:t>
      </w:r>
    </w:p>
  </w:footnote>
  <w:footnote w:id="1199">
    <w:p>
      <w:pPr>
        <w:pStyle w:val="FootnoteText"/>
      </w:pPr>
      <w:r>
        <w:rPr>
          <w:rStyle w:val="FootnoteReference"/>
        </w:rPr>
        <w:footnoteRef/>
      </w:r>
      <w:r>
        <w:t xml:space="preserve"> Personal name: Jahleel. Personal-name meaning: Jahleel — waiting for, or beseeching, or hope in, God. Source form: Jahleel.</w:t>
      </w:r>
    </w:p>
  </w:footnote>
  <w:footnote w:id="1200">
    <w:p>
      <w:pPr>
        <w:pStyle w:val="FootnoteText"/>
      </w:pPr>
      <w:r>
        <w:rPr>
          <w:rStyle w:val="FootnoteReference"/>
        </w:rPr>
        <w:footnoteRef/>
      </w:r>
      <w:r>
        <w:t xml:space="preserve"> Cross-references for "Leah": Gen 29:32-35; Gen 30:17-21.</w:t>
      </w:r>
    </w:p>
  </w:footnote>
  <w:footnote w:id="1201">
    <w:p>
      <w:pPr>
        <w:pStyle w:val="FootnoteText"/>
      </w:pPr>
      <w:r>
        <w:rPr>
          <w:rStyle w:val="FootnoteReference"/>
        </w:rPr>
        <w:footnoteRef/>
      </w:r>
      <w:r>
        <w:t xml:space="preserve"> Cross-references for "sons of": Gen 30:11; Gen 35:26.</w:t>
      </w:r>
    </w:p>
  </w:footnote>
  <w:footnote w:id="1202">
    <w:p>
      <w:pPr>
        <w:pStyle w:val="FootnoteText"/>
      </w:pPr>
      <w:r>
        <w:rPr>
          <w:rStyle w:val="FootnoteReference"/>
        </w:rPr>
        <w:footnoteRef/>
      </w:r>
      <w:r>
        <w:t xml:space="preserve"> Personal name: Zephon. Personal-name meaning: Zephon — that sees and observes; that expects or covers. Source form: Zephon.</w:t>
      </w:r>
    </w:p>
  </w:footnote>
  <w:footnote w:id="1203">
    <w:p>
      <w:pPr>
        <w:pStyle w:val="FootnoteText"/>
      </w:pPr>
      <w:r>
        <w:rPr>
          <w:rStyle w:val="FootnoteReference"/>
        </w:rPr>
        <w:footnoteRef/>
      </w:r>
      <w:r>
        <w:t xml:space="preserve"> Personal name: Haggi. Personal-name meaning: Haggi — a stranger. Source form: Haggi.</w:t>
      </w:r>
    </w:p>
  </w:footnote>
  <w:footnote w:id="1204">
    <w:p>
      <w:pPr>
        <w:pStyle w:val="FootnoteText"/>
      </w:pPr>
      <w:r>
        <w:rPr>
          <w:rStyle w:val="FootnoteReference"/>
        </w:rPr>
        <w:footnoteRef/>
      </w:r>
      <w:r>
        <w:t xml:space="preserve"> Personal name: Shuni. Personal-name meaning: Shuni — changed; sleeping. Source form: Shuni.</w:t>
      </w:r>
    </w:p>
  </w:footnote>
  <w:footnote w:id="1205">
    <w:p>
      <w:pPr>
        <w:pStyle w:val="FootnoteText"/>
      </w:pPr>
      <w:r>
        <w:rPr>
          <w:rStyle w:val="FootnoteReference"/>
        </w:rPr>
        <w:footnoteRef/>
      </w:r>
      <w:r>
        <w:t xml:space="preserve"> Personal name: Ezbon. Personal-name meaning: Ezbon — hasty understanding; splendor. Source form: Ezbon.</w:t>
      </w:r>
    </w:p>
  </w:footnote>
  <w:footnote w:id="1206">
    <w:p>
      <w:pPr>
        <w:pStyle w:val="FootnoteText"/>
      </w:pPr>
      <w:r>
        <w:rPr>
          <w:rStyle w:val="FootnoteReference"/>
        </w:rPr>
        <w:footnoteRef/>
      </w:r>
      <w:r>
        <w:t xml:space="preserve"> Personal name: Eri. Personal-name meaning: Eri — watchful; city name-family. Source form: Eri.</w:t>
      </w:r>
    </w:p>
  </w:footnote>
  <w:footnote w:id="1207">
    <w:p>
      <w:pPr>
        <w:pStyle w:val="FootnoteText"/>
      </w:pPr>
      <w:r>
        <w:rPr>
          <w:rStyle w:val="FootnoteReference"/>
        </w:rPr>
        <w:footnoteRef/>
      </w:r>
      <w:r>
        <w:t xml:space="preserve"> Personal name: Arodi. Personal-name meaning: Arodi — wild ass; roving one. Source form: Arodi.</w:t>
      </w:r>
    </w:p>
  </w:footnote>
  <w:footnote w:id="1208">
    <w:p>
      <w:pPr>
        <w:pStyle w:val="FootnoteText"/>
      </w:pPr>
      <w:r>
        <w:rPr>
          <w:rStyle w:val="FootnoteReference"/>
        </w:rPr>
        <w:footnoteRef/>
      </w:r>
      <w:r>
        <w:t xml:space="preserve"> Personal name: Areli. Personal-name meaning: Areli — the light or vision of God. Source form: Areli.</w:t>
      </w:r>
    </w:p>
  </w:footnote>
  <w:footnote w:id="1209">
    <w:p>
      <w:pPr>
        <w:pStyle w:val="FootnoteText"/>
      </w:pPr>
      <w:r>
        <w:rPr>
          <w:rStyle w:val="FootnoteReference"/>
        </w:rPr>
        <w:footnoteRef/>
      </w:r>
      <w:r>
        <w:t xml:space="preserve"> Cross-references for "Asher": Gen 30:13; Gen 35:26.</w:t>
      </w:r>
    </w:p>
  </w:footnote>
  <w:footnote w:id="1210">
    <w:p>
      <w:pPr>
        <w:pStyle w:val="FootnoteText"/>
      </w:pPr>
      <w:r>
        <w:rPr>
          <w:rStyle w:val="FootnoteReference"/>
        </w:rPr>
        <w:footnoteRef/>
      </w:r>
      <w:r>
        <w:t xml:space="preserve"> Transliterated proper noun: Jimnah. Standard English equivalent: Jimnah. Source form: Jimnah. Greek form: ᾿Ιεμνά. Name meaning: right hand; numbering; preparing.</w:t>
      </w:r>
    </w:p>
  </w:footnote>
  <w:footnote w:id="1211">
    <w:p>
      <w:pPr>
        <w:pStyle w:val="FootnoteText"/>
      </w:pPr>
      <w:r>
        <w:rPr>
          <w:rStyle w:val="FootnoteReference"/>
        </w:rPr>
        <w:footnoteRef/>
      </w:r>
      <w:r>
        <w:t xml:space="preserve"> Personal name: Beriah. Personal-name meaning: Beriah — in fellowship; in envy. Source form: Beriah.</w:t>
      </w:r>
    </w:p>
  </w:footnote>
  <w:footnote w:id="1212">
    <w:p>
      <w:pPr>
        <w:pStyle w:val="FootnoteText"/>
      </w:pPr>
      <w:r>
        <w:rPr>
          <w:rStyle w:val="FootnoteReference"/>
        </w:rPr>
        <w:footnoteRef/>
      </w:r>
      <w:r>
        <w:t xml:space="preserve"> Personal name: Heber. Personal-name meaning: Heber — one that passes; anger. Source form: Heber.</w:t>
      </w:r>
    </w:p>
  </w:footnote>
  <w:footnote w:id="1213">
    <w:p>
      <w:pPr>
        <w:pStyle w:val="FootnoteText"/>
      </w:pPr>
      <w:r>
        <w:rPr>
          <w:rStyle w:val="FootnoteReference"/>
        </w:rPr>
        <w:footnoteRef/>
      </w:r>
      <w:r>
        <w:t xml:space="preserve"> Personal name: Malchiel. Personal-name meaning: Malchiel — God is my king, or counselor. Source form: Malchiel.</w:t>
      </w:r>
    </w:p>
  </w:footnote>
  <w:footnote w:id="1214">
    <w:p>
      <w:pPr>
        <w:pStyle w:val="FootnoteText"/>
      </w:pPr>
      <w:r>
        <w:rPr>
          <w:rStyle w:val="FootnoteReference"/>
        </w:rPr>
        <w:footnoteRef/>
      </w:r>
      <w:r>
        <w:t xml:space="preserve"> Cross-references for "Zilpah": Gen 29:24; Gen 30:9-13.</w:t>
      </w:r>
    </w:p>
  </w:footnote>
  <w:footnote w:id="1215">
    <w:p>
      <w:pPr>
        <w:pStyle w:val="FootnoteText"/>
      </w:pPr>
      <w:r>
        <w:rPr>
          <w:rStyle w:val="FootnoteReference"/>
        </w:rPr>
        <w:footnoteRef/>
      </w:r>
      <w:r>
        <w:t xml:space="preserve"> Translation note: Greek gives the maternal identification in the list. Current wording preserves it.</w:t>
      </w:r>
    </w:p>
  </w:footnote>
  <w:footnote w:id="1216">
    <w:p>
      <w:pPr>
        <w:pStyle w:val="FootnoteText"/>
      </w:pPr>
      <w:r>
        <w:rPr>
          <w:rStyle w:val="FootnoteReference"/>
        </w:rPr>
        <w:footnoteRef/>
      </w:r>
      <w:r>
        <w:t xml:space="preserve"> Cross-references for "Rachel": Gen 29:18; Gen 30:24.</w:t>
      </w:r>
    </w:p>
  </w:footnote>
  <w:footnote w:id="1217">
    <w:p>
      <w:pPr>
        <w:pStyle w:val="FootnoteText"/>
      </w:pPr>
      <w:r>
        <w:rPr>
          <w:rStyle w:val="FootnoteReference"/>
        </w:rPr>
        <w:footnoteRef/>
      </w:r>
      <w:r>
        <w:t xml:space="preserve"> Cross-references for "Manasseh": Gen 41:50-52; Gen 48:4-5.</w:t>
      </w:r>
    </w:p>
  </w:footnote>
  <w:footnote w:id="1218">
    <w:p>
      <w:pPr>
        <w:pStyle w:val="FootnoteText"/>
      </w:pPr>
      <w:r>
        <w:rPr>
          <w:rStyle w:val="FootnoteReference"/>
        </w:rPr>
        <w:footnoteRef/>
      </w:r>
      <w:r>
        <w:t xml:space="preserve"> Personal name: Machir. Personal-name meaning: Machir — selling; knowing. Source form: Machir.</w:t>
      </w:r>
    </w:p>
  </w:footnote>
  <w:footnote w:id="1219">
    <w:p>
      <w:pPr>
        <w:pStyle w:val="FootnoteText"/>
      </w:pPr>
      <w:r>
        <w:rPr>
          <w:rStyle w:val="FootnoteReference"/>
        </w:rPr>
        <w:footnoteRef/>
      </w:r>
      <w:r>
        <w:t xml:space="preserve"> Personal name: Shuthelah. Personal-name meaning: Shuthelah — plant; verdure; moist; pot. Source form: Shuthelah.</w:t>
      </w:r>
    </w:p>
  </w:footnote>
  <w:footnote w:id="1220">
    <w:p>
      <w:pPr>
        <w:pStyle w:val="FootnoteText"/>
      </w:pPr>
      <w:r>
        <w:rPr>
          <w:rStyle w:val="FootnoteReference"/>
        </w:rPr>
        <w:footnoteRef/>
      </w:r>
      <w:r>
        <w:t xml:space="preserve"> Personal name: Tahan. Personal-name meaning: Tahan — beseeching; merciful. Source form: Tahan.</w:t>
      </w:r>
    </w:p>
  </w:footnote>
  <w:footnote w:id="1221">
    <w:p>
      <w:pPr>
        <w:pStyle w:val="FootnoteText"/>
      </w:pPr>
      <w:r>
        <w:rPr>
          <w:rStyle w:val="FootnoteReference"/>
        </w:rPr>
        <w:footnoteRef/>
      </w:r>
      <w:r>
        <w:t xml:space="preserve"> Personal name: Eran. Personal-name meaning: Eran — follower. Source form: Eran.</w:t>
      </w:r>
    </w:p>
  </w:footnote>
  <w:footnote w:id="1222">
    <w:p>
      <w:pPr>
        <w:pStyle w:val="FootnoteText"/>
      </w:pPr>
      <w:r>
        <w:rPr>
          <w:rStyle w:val="FootnoteReference"/>
        </w:rPr>
        <w:footnoteRef/>
      </w:r>
      <w:r>
        <w:t xml:space="preserve"> Cross-references for "the sons": Gen 49:27; Num 1:11.</w:t>
      </w:r>
    </w:p>
  </w:footnote>
  <w:footnote w:id="1223">
    <w:p>
      <w:pPr>
        <w:pStyle w:val="FootnoteText"/>
      </w:pPr>
      <w:r>
        <w:rPr>
          <w:rStyle w:val="FootnoteReference"/>
        </w:rPr>
        <w:footnoteRef/>
      </w:r>
      <w:r>
        <w:t xml:space="preserve"> Transliterated proper noun: Belah. Standard English equivalent: Belah. Source form: Belah. Greek form: Βαλὰ. Name meaning: destroying.</w:t>
      </w:r>
    </w:p>
  </w:footnote>
  <w:footnote w:id="1224">
    <w:p>
      <w:pPr>
        <w:pStyle w:val="FootnoteText"/>
      </w:pPr>
      <w:r>
        <w:rPr>
          <w:rStyle w:val="FootnoteReference"/>
        </w:rPr>
        <w:footnoteRef/>
      </w:r>
      <w:r>
        <w:t xml:space="preserve"> Personal name: Ashbel. Personal-name meaning: Ashbel — an old fire. Source form: Ashbel.</w:t>
      </w:r>
    </w:p>
  </w:footnote>
  <w:footnote w:id="1225">
    <w:p>
      <w:pPr>
        <w:pStyle w:val="FootnoteText"/>
      </w:pPr>
      <w:r>
        <w:rPr>
          <w:rStyle w:val="FootnoteReference"/>
        </w:rPr>
        <w:footnoteRef/>
      </w:r>
      <w:r>
        <w:t xml:space="preserve"> Personal name: Gera. Personal-name meaning: Gera — pilgrimage, combat; dispute. Source form: Gera.</w:t>
      </w:r>
    </w:p>
  </w:footnote>
  <w:footnote w:id="1226">
    <w:p>
      <w:pPr>
        <w:pStyle w:val="FootnoteText"/>
      </w:pPr>
      <w:r>
        <w:rPr>
          <w:rStyle w:val="FootnoteReference"/>
        </w:rPr>
        <w:footnoteRef/>
      </w:r>
      <w:r>
        <w:t xml:space="preserve"> Personal name: Naaman. Personal-name meaning: Naaman — beautiful; agreeable. Source form: Naaman.</w:t>
      </w:r>
    </w:p>
  </w:footnote>
  <w:footnote w:id="1227">
    <w:p>
      <w:pPr>
        <w:pStyle w:val="FootnoteText"/>
      </w:pPr>
      <w:r>
        <w:rPr>
          <w:rStyle w:val="FootnoteReference"/>
        </w:rPr>
        <w:footnoteRef/>
      </w:r>
      <w:r>
        <w:t xml:space="preserve"> Personal name: Rosh. Personal-name meaning: Rosh — the head; top, or beginning. Source form: Rosh.</w:t>
      </w:r>
    </w:p>
  </w:footnote>
  <w:footnote w:id="1228">
    <w:p>
      <w:pPr>
        <w:pStyle w:val="FootnoteText"/>
      </w:pPr>
      <w:r>
        <w:rPr>
          <w:rStyle w:val="FootnoteReference"/>
        </w:rPr>
        <w:footnoteRef/>
      </w:r>
      <w:r>
        <w:t xml:space="preserve"> Personal name: Muppim. Personal-name meaning: Muppim — out of the mouth; covering. Source form: Muppim.</w:t>
      </w:r>
    </w:p>
  </w:footnote>
  <w:footnote w:id="1229">
    <w:p>
      <w:pPr>
        <w:pStyle w:val="FootnoteText"/>
      </w:pPr>
      <w:r>
        <w:rPr>
          <w:rStyle w:val="FootnoteReference"/>
        </w:rPr>
        <w:footnoteRef/>
      </w:r>
      <w:r>
        <w:t xml:space="preserve"> Personal name: Ard. Personal-name meaning: Ard — one that commands; he that descends. Source form: Ard.</w:t>
      </w:r>
    </w:p>
  </w:footnote>
  <w:footnote w:id="1230">
    <w:p>
      <w:pPr>
        <w:pStyle w:val="FootnoteText"/>
      </w:pPr>
      <w:r>
        <w:rPr>
          <w:rStyle w:val="FootnoteReference"/>
        </w:rPr>
        <w:footnoteRef/>
      </w:r>
      <w:r>
        <w:t xml:space="preserve"> Personal name: Hushim. Personal-name meaning: Hushim — man of haste, or of silence. Source form: Hushim.</w:t>
      </w:r>
    </w:p>
  </w:footnote>
  <w:footnote w:id="1231">
    <w:p>
      <w:pPr>
        <w:pStyle w:val="FootnoteText"/>
      </w:pPr>
      <w:r>
        <w:rPr>
          <w:rStyle w:val="FootnoteReference"/>
        </w:rPr>
        <w:footnoteRef/>
      </w:r>
      <w:r>
        <w:t xml:space="preserve"> Cross-references for "Hushim": Num 26:42-43.</w:t>
      </w:r>
    </w:p>
  </w:footnote>
  <w:footnote w:id="1232">
    <w:p>
      <w:pPr>
        <w:pStyle w:val="FootnoteText"/>
      </w:pPr>
      <w:r>
        <w:rPr>
          <w:rStyle w:val="FootnoteReference"/>
        </w:rPr>
        <w:footnoteRef/>
      </w:r>
      <w:r>
        <w:t xml:space="preserve"> Cross-references for "Naphtali": Gen 30:7-8; Gen 35:25.</w:t>
      </w:r>
    </w:p>
  </w:footnote>
  <w:footnote w:id="1233">
    <w:p>
      <w:pPr>
        <w:pStyle w:val="FootnoteText"/>
      </w:pPr>
      <w:r>
        <w:rPr>
          <w:rStyle w:val="FootnoteReference"/>
        </w:rPr>
        <w:footnoteRef/>
      </w:r>
      <w:r>
        <w:t xml:space="preserve"> Personal name: Asiel. Personal-name meaning: Asiel — the work of God. Source form: Asiel.</w:t>
      </w:r>
    </w:p>
  </w:footnote>
  <w:footnote w:id="1234">
    <w:p>
      <w:pPr>
        <w:pStyle w:val="FootnoteText"/>
      </w:pPr>
      <w:r>
        <w:rPr>
          <w:rStyle w:val="FootnoteReference"/>
        </w:rPr>
        <w:footnoteRef/>
      </w:r>
      <w:r>
        <w:t xml:space="preserve"> Personal name: Guni. Personal-name meaning: Guni — a garden; a covering. Source form: Guni.</w:t>
      </w:r>
    </w:p>
  </w:footnote>
  <w:footnote w:id="1235">
    <w:p>
      <w:pPr>
        <w:pStyle w:val="FootnoteText"/>
      </w:pPr>
      <w:r>
        <w:rPr>
          <w:rStyle w:val="FootnoteReference"/>
        </w:rPr>
        <w:footnoteRef/>
      </w:r>
      <w:r>
        <w:t xml:space="preserve"> Personal name: Izhar. Personal-name meaning: Izhar — clearness; oil. Source form: Izhar.</w:t>
      </w:r>
    </w:p>
  </w:footnote>
  <w:footnote w:id="1236">
    <w:p>
      <w:pPr>
        <w:pStyle w:val="FootnoteText"/>
      </w:pPr>
      <w:r>
        <w:rPr>
          <w:rStyle w:val="FootnoteReference"/>
        </w:rPr>
        <w:footnoteRef/>
      </w:r>
      <w:r>
        <w:t xml:space="preserve"> Personal name: Shillem. Personal-name meaning: Shillem — peace; perfection; retribution. Source form: Shillem.</w:t>
      </w:r>
    </w:p>
  </w:footnote>
  <w:footnote w:id="1237">
    <w:p>
      <w:pPr>
        <w:pStyle w:val="FootnoteText"/>
      </w:pPr>
      <w:r>
        <w:rPr>
          <w:rStyle w:val="FootnoteReference"/>
        </w:rPr>
        <w:footnoteRef/>
      </w:r>
      <w:r>
        <w:t xml:space="preserve"> Cross-references for "Bilhah": Gen 29:29; Gen 30:3-8.</w:t>
      </w:r>
    </w:p>
  </w:footnote>
  <w:footnote w:id="1238">
    <w:p>
      <w:pPr>
        <w:pStyle w:val="FootnoteText"/>
      </w:pPr>
      <w:r>
        <w:rPr>
          <w:rStyle w:val="FootnoteReference"/>
        </w:rPr>
        <w:footnoteRef/>
      </w:r>
      <w:r>
        <w:t xml:space="preserve"> Cross-references for "loins": Gen 35:11; Exod 1:5.</w:t>
      </w:r>
    </w:p>
  </w:footnote>
  <w:footnote w:id="1239">
    <w:p>
      <w:pPr>
        <w:pStyle w:val="FootnoteText"/>
      </w:pPr>
      <w:r>
        <w:rPr>
          <w:rStyle w:val="FootnoteReference"/>
        </w:rPr>
        <w:footnoteRef/>
      </w:r>
      <w:r>
        <w:t xml:space="preserve"> Cross-references for "Judah": Gen 43:8; Gen 44:16-34.</w:t>
      </w:r>
    </w:p>
  </w:footnote>
  <w:footnote w:id="1240">
    <w:p>
      <w:pPr>
        <w:pStyle w:val="FootnoteText"/>
      </w:pPr>
      <w:r>
        <w:rPr>
          <w:rStyle w:val="FootnoteReference"/>
        </w:rPr>
        <w:footnoteRef/>
      </w:r>
      <w:r>
        <w:t xml:space="preserve"> Place name: Rameses. Place-name meaning: Rameses — Ra has fashioned/begotten him. Source form: Rameses. Greek form: Ραμεσσῆ.</w:t>
      </w:r>
    </w:p>
  </w:footnote>
  <w:footnote w:id="1241">
    <w:p>
      <w:pPr>
        <w:pStyle w:val="FootnoteText"/>
      </w:pPr>
      <w:r>
        <w:rPr>
          <w:rStyle w:val="FootnoteReference"/>
        </w:rPr>
        <w:footnoteRef/>
      </w:r>
      <w:r>
        <w:t xml:space="preserve"> Cross-references for "fell on": Gen 33:4; Gen 45:14.</w:t>
      </w:r>
    </w:p>
  </w:footnote>
  <w:footnote w:id="1242">
    <w:p>
      <w:pPr>
        <w:pStyle w:val="FootnoteText"/>
      </w:pPr>
      <w:r>
        <w:rPr>
          <w:rStyle w:val="FootnoteReference"/>
        </w:rPr>
        <w:footnoteRef/>
      </w:r>
      <w:r>
        <w:t xml:space="preserve"> Translation note: Greek uses that abrupt recognition-climax statement. Current wording preserves it.</w:t>
      </w:r>
    </w:p>
  </w:footnote>
  <w:footnote w:id="1243">
    <w:p>
      <w:pPr>
        <w:pStyle w:val="FootnoteText"/>
      </w:pPr>
      <w:r>
        <w:rPr>
          <w:rStyle w:val="FootnoteReference"/>
        </w:rPr>
        <w:footnoteRef/>
      </w:r>
      <w:r>
        <w:t xml:space="preserve"> Cross-references for "shepherds": Gen 4:2; Gen 31:18.</w:t>
      </w:r>
    </w:p>
  </w:footnote>
  <w:footnote w:id="1244">
    <w:p>
      <w:pPr>
        <w:pStyle w:val="FootnoteText"/>
      </w:pPr>
      <w:r>
        <w:rPr>
          <w:rStyle w:val="FootnoteReference"/>
        </w:rPr>
        <w:footnoteRef/>
      </w:r>
      <w:r>
        <w:t xml:space="preserve"> Cross-references for "What is": Gen 46:32; Gen 47:2-4.</w:t>
      </w:r>
    </w:p>
  </w:footnote>
  <w:footnote w:id="1245">
    <w:p>
      <w:pPr>
        <w:pStyle w:val="FootnoteText"/>
      </w:pPr>
      <w:r>
        <w:rPr>
          <w:rStyle w:val="FootnoteReference"/>
        </w:rPr>
        <w:footnoteRef/>
      </w:r>
      <w:r>
        <w:t xml:space="preserve"> Translation note: Greek says Goshen of Arabia and every shepherd of sheep here.</w:t>
      </w:r>
    </w:p>
  </w:footnote>
  <w:footnote w:id="1246">
    <w:p>
      <w:pPr>
        <w:pStyle w:val="FootnoteText"/>
      </w:pPr>
      <w:r>
        <w:rPr>
          <w:rStyle w:val="FootnoteReference"/>
        </w:rPr>
        <w:footnoteRef/>
      </w:r>
      <w:r>
        <w:t xml:space="preserve"> Cross-references for "for every": Gen 43:32; Exod 8:26.</w:t>
      </w:r>
    </w:p>
  </w:footnote>
  <w:footnote w:id="1247">
    <w:p>
      <w:pPr>
        <w:pStyle w:val="FootnoteText"/>
      </w:pPr>
      <w:r>
        <w:rPr>
          <w:rStyle w:val="FootnoteReference"/>
        </w:rPr>
        <w:footnoteRef/>
      </w:r>
      <w:r>
        <w:t xml:space="preserve"> Cross-references for "Joseph": Gen 45:16; Gen 46:31.</w:t>
      </w:r>
    </w:p>
  </w:footnote>
  <w:footnote w:id="1248">
    <w:p>
      <w:pPr>
        <w:pStyle w:val="FootnoteText"/>
      </w:pPr>
      <w:r>
        <w:rPr>
          <w:rStyle w:val="FootnoteReference"/>
        </w:rPr>
        <w:footnoteRef/>
      </w:r>
      <w:r>
        <w:t xml:space="preserve"> Translation note: Greek says look, they are in land of Goshen.</w:t>
      </w:r>
    </w:p>
  </w:footnote>
  <w:footnote w:id="1249">
    <w:p>
      <w:pPr>
        <w:pStyle w:val="FootnoteText"/>
      </w:pPr>
      <w:r>
        <w:rPr>
          <w:rStyle w:val="FootnoteReference"/>
        </w:rPr>
        <w:footnoteRef/>
      </w:r>
      <w:r>
        <w:t xml:space="preserve"> Cross-references for "What is": Gen 46:33-34; Amos 7:14-15.</w:t>
      </w:r>
    </w:p>
  </w:footnote>
  <w:footnote w:id="1250">
    <w:p>
      <w:pPr>
        <w:pStyle w:val="FootnoteText"/>
      </w:pPr>
      <w:r>
        <w:rPr>
          <w:rStyle w:val="FootnoteReference"/>
        </w:rPr>
        <w:footnoteRef/>
      </w:r>
      <w:r>
        <w:t xml:space="preserve"> Translation note: Greek verse stops with best land line here.</w:t>
      </w:r>
    </w:p>
  </w:footnote>
  <w:footnote w:id="1251">
    <w:p>
      <w:pPr>
        <w:pStyle w:val="FootnoteText"/>
      </w:pPr>
      <w:r>
        <w:rPr>
          <w:rStyle w:val="FootnoteReference"/>
        </w:rPr>
        <w:footnoteRef/>
      </w:r>
      <w:r>
        <w:t xml:space="preserve"> Translation note: The Greek states the blessing line directly. The current wording uses the standard royal name form.</w:t>
      </w:r>
    </w:p>
  </w:footnote>
  <w:footnote w:id="1252">
    <w:p>
      <w:pPr>
        <w:pStyle w:val="FootnoteText"/>
      </w:pPr>
      <w:r>
        <w:rPr>
          <w:rStyle w:val="FootnoteReference"/>
        </w:rPr>
        <w:footnoteRef/>
      </w:r>
      <w:r>
        <w:t xml:space="preserve"> Cross-references for "and Jacob": Gen 35:27; Gen 47:10.</w:t>
      </w:r>
    </w:p>
  </w:footnote>
  <w:footnote w:id="1253">
    <w:p>
      <w:pPr>
        <w:pStyle w:val="FootnoteText"/>
      </w:pPr>
      <w:r>
        <w:rPr>
          <w:rStyle w:val="FootnoteReference"/>
        </w:rPr>
        <w:footnoteRef/>
      </w:r>
      <w:r>
        <w:t xml:space="preserve"> Cross-references for "The days": 1Chr 29:15; Ps 39:12.</w:t>
      </w:r>
    </w:p>
  </w:footnote>
  <w:footnote w:id="1254">
    <w:p>
      <w:pPr>
        <w:pStyle w:val="FootnoteText"/>
      </w:pPr>
      <w:r>
        <w:rPr>
          <w:rStyle w:val="FootnoteReference"/>
        </w:rPr>
        <w:footnoteRef/>
      </w:r>
      <w:r>
        <w:t xml:space="preserve"> Cross-references for "Rameses": Gen 47:6; Exod 1:11.</w:t>
      </w:r>
    </w:p>
  </w:footnote>
  <w:footnote w:id="1255">
    <w:p>
      <w:pPr>
        <w:pStyle w:val="FootnoteText"/>
      </w:pPr>
      <w:r>
        <w:rPr>
          <w:rStyle w:val="FootnoteReference"/>
        </w:rPr>
        <w:footnoteRef/>
      </w:r>
      <w:r>
        <w:t xml:space="preserve"> Cross-references for "his father": Exod 20:12; Matt 15:4-6.</w:t>
      </w:r>
    </w:p>
  </w:footnote>
  <w:footnote w:id="1256">
    <w:p>
      <w:pPr>
        <w:pStyle w:val="FootnoteText"/>
      </w:pPr>
      <w:r>
        <w:rPr>
          <w:rStyle w:val="FootnoteReference"/>
        </w:rPr>
        <w:footnoteRef/>
      </w:r>
      <w:r>
        <w:t xml:space="preserve"> Translation note: The Greek collection line is direct. The current wording preserves it.</w:t>
      </w:r>
    </w:p>
  </w:footnote>
  <w:footnote w:id="1257">
    <w:p>
      <w:pPr>
        <w:pStyle w:val="FootnoteText"/>
      </w:pPr>
      <w:r>
        <w:rPr>
          <w:rStyle w:val="FootnoteReference"/>
        </w:rPr>
        <w:footnoteRef/>
      </w:r>
      <w:r>
        <w:t xml:space="preserve"> Cross-references for "the money": Gen 41:56.</w:t>
      </w:r>
    </w:p>
  </w:footnote>
  <w:footnote w:id="1258">
    <w:p>
      <w:pPr>
        <w:pStyle w:val="FootnoteText"/>
      </w:pPr>
      <w:r>
        <w:rPr>
          <w:rStyle w:val="FootnoteReference"/>
        </w:rPr>
        <w:footnoteRef/>
      </w:r>
      <w:r>
        <w:t xml:space="preserve"> Cross-references for "Give us bread": Gen 47:18-19; Gen 47:24.</w:t>
      </w:r>
    </w:p>
  </w:footnote>
  <w:footnote w:id="1259">
    <w:p>
      <w:pPr>
        <w:pStyle w:val="FootnoteText"/>
      </w:pPr>
      <w:r>
        <w:rPr>
          <w:rStyle w:val="FootnoteReference"/>
        </w:rPr>
        <w:footnoteRef/>
      </w:r>
      <w:r>
        <w:t xml:space="preserve"> Translation note: Greek repeats exchange language item by item here. Current line keeps repetition.</w:t>
      </w:r>
    </w:p>
  </w:footnote>
  <w:footnote w:id="1260">
    <w:p>
      <w:pPr>
        <w:pStyle w:val="FootnoteText"/>
      </w:pPr>
      <w:r>
        <w:rPr>
          <w:rStyle w:val="FootnoteReference"/>
        </w:rPr>
        <w:footnoteRef/>
      </w:r>
      <w:r>
        <w:t xml:space="preserve"> Translation note: Greek frames the plea in terms of nothing left. Current line keeps that pressure point.</w:t>
      </w:r>
    </w:p>
  </w:footnote>
  <w:footnote w:id="1261">
    <w:p>
      <w:pPr>
        <w:pStyle w:val="FootnoteText"/>
      </w:pPr>
      <w:r>
        <w:rPr>
          <w:rStyle w:val="FootnoteReference"/>
        </w:rPr>
        <w:footnoteRef/>
      </w:r>
      <w:r>
        <w:t xml:space="preserve"> Translation note: Greek explicitly says buy us and our land for bread.</w:t>
      </w:r>
    </w:p>
  </w:footnote>
  <w:footnote w:id="1262">
    <w:p>
      <w:pPr>
        <w:pStyle w:val="FootnoteText"/>
      </w:pPr>
      <w:r>
        <w:rPr>
          <w:rStyle w:val="FootnoteReference"/>
        </w:rPr>
        <w:footnoteRef/>
      </w:r>
      <w:r>
        <w:t xml:space="preserve"> Cross-references for "Buy us": Neh 5:2-3; Job 2:4.</w:t>
      </w:r>
    </w:p>
  </w:footnote>
  <w:footnote w:id="1263">
    <w:p>
      <w:pPr>
        <w:pStyle w:val="FootnoteText"/>
      </w:pPr>
      <w:r>
        <w:rPr>
          <w:rStyle w:val="FootnoteReference"/>
        </w:rPr>
        <w:footnoteRef/>
      </w:r>
      <w:r>
        <w:t xml:space="preserve"> Cross-references for "of the priests": Gen 14:18; Gen 41:45.</w:t>
      </w:r>
    </w:p>
  </w:footnote>
  <w:footnote w:id="1264">
    <w:p>
      <w:pPr>
        <w:pStyle w:val="FootnoteText"/>
      </w:pPr>
      <w:r>
        <w:rPr>
          <w:rStyle w:val="FootnoteReference"/>
        </w:rPr>
        <w:footnoteRef/>
      </w:r>
      <w:r>
        <w:t xml:space="preserve"> Cross-references for "bought": Gen 47:19.</w:t>
      </w:r>
    </w:p>
  </w:footnote>
  <w:footnote w:id="1265">
    <w:p>
      <w:pPr>
        <w:pStyle w:val="FootnoteText"/>
      </w:pPr>
      <w:r>
        <w:rPr>
          <w:rStyle w:val="FootnoteReference"/>
        </w:rPr>
        <w:footnoteRef/>
      </w:r>
      <w:r>
        <w:t xml:space="preserve"> Translation note: Greek begins with its produce will come and says four parts for you yourselves.</w:t>
      </w:r>
    </w:p>
  </w:footnote>
  <w:footnote w:id="1266">
    <w:p>
      <w:pPr>
        <w:pStyle w:val="FootnoteText"/>
      </w:pPr>
      <w:r>
        <w:rPr>
          <w:rStyle w:val="FootnoteReference"/>
        </w:rPr>
        <w:footnoteRef/>
      </w:r>
      <w:r>
        <w:t xml:space="preserve"> Cross-references for "the fifth part": Gen 41:34; Gen 47:25.</w:t>
      </w:r>
    </w:p>
  </w:footnote>
  <w:footnote w:id="1267">
    <w:p>
      <w:pPr>
        <w:pStyle w:val="FootnoteText"/>
      </w:pPr>
      <w:r>
        <w:rPr>
          <w:rStyle w:val="FootnoteReference"/>
        </w:rPr>
        <w:footnoteRef/>
      </w:r>
      <w:r>
        <w:t xml:space="preserve"> Cross-references for "except": Gen 47:22; Ezek 7:24.</w:t>
      </w:r>
    </w:p>
  </w:footnote>
  <w:footnote w:id="1268">
    <w:p>
      <w:pPr>
        <w:pStyle w:val="FootnoteText"/>
      </w:pPr>
      <w:r>
        <w:rPr>
          <w:rStyle w:val="FootnoteReference"/>
        </w:rPr>
        <w:footnoteRef/>
      </w:r>
      <w:r>
        <w:t xml:space="preserve"> Cross-references for "dwelt": Gen 47:11.</w:t>
      </w:r>
    </w:p>
  </w:footnote>
  <w:footnote w:id="1269">
    <w:p>
      <w:pPr>
        <w:pStyle w:val="FootnoteText"/>
      </w:pPr>
      <w:r>
        <w:rPr>
          <w:rStyle w:val="FootnoteReference"/>
        </w:rPr>
        <w:footnoteRef/>
      </w:r>
      <w:r>
        <w:t xml:space="preserve"> Cross-references for "seventeen": Gen 37:2.</w:t>
      </w:r>
    </w:p>
  </w:footnote>
  <w:footnote w:id="1270">
    <w:p>
      <w:pPr>
        <w:pStyle w:val="FootnoteText"/>
      </w:pPr>
      <w:r>
        <w:rPr>
          <w:rStyle w:val="FootnoteReference"/>
        </w:rPr>
        <w:footnoteRef/>
      </w:r>
      <w:r>
        <w:t xml:space="preserve"> Translation note: Greek says you will do mercy and truth toward me.</w:t>
      </w:r>
    </w:p>
  </w:footnote>
  <w:footnote w:id="1271">
    <w:p>
      <w:pPr>
        <w:pStyle w:val="FootnoteText"/>
      </w:pPr>
      <w:r>
        <w:rPr>
          <w:rStyle w:val="FootnoteReference"/>
        </w:rPr>
        <w:footnoteRef/>
      </w:r>
      <w:r>
        <w:t xml:space="preserve"> Cross-references for "Swear": Gen 24:3.</w:t>
      </w:r>
    </w:p>
  </w:footnote>
  <w:footnote w:id="1272">
    <w:p>
      <w:pPr>
        <w:pStyle w:val="FootnoteText"/>
      </w:pPr>
      <w:r>
        <w:rPr>
          <w:rStyle w:val="FootnoteReference"/>
        </w:rPr>
        <w:footnoteRef/>
      </w:r>
      <w:r>
        <w:t xml:space="preserve"> Cross-references for "his two sons": Gen 41:50-52; Gen 46:20.</w:t>
      </w:r>
    </w:p>
  </w:footnote>
  <w:footnote w:id="1273">
    <w:p>
      <w:pPr>
        <w:pStyle w:val="FootnoteText"/>
      </w:pPr>
      <w:r>
        <w:rPr>
          <w:rStyle w:val="FootnoteReference"/>
        </w:rPr>
        <w:footnoteRef/>
      </w:r>
      <w:r>
        <w:t xml:space="preserve"> Cross-references for "appeared": Gen 28:12-19; Gen 35:6-7.</w:t>
      </w:r>
    </w:p>
  </w:footnote>
  <w:footnote w:id="1274">
    <w:p>
      <w:pPr>
        <w:pStyle w:val="FootnoteText"/>
      </w:pPr>
      <w:r>
        <w:rPr>
          <w:rStyle w:val="FootnoteReference"/>
        </w:rPr>
        <w:footnoteRef/>
      </w:r>
      <w:r>
        <w:t xml:space="preserve"> Cross-references for "will give": Deut 32:8; Amos 9:14-15.</w:t>
      </w:r>
    </w:p>
  </w:footnote>
  <w:footnote w:id="1275">
    <w:p>
      <w:pPr>
        <w:pStyle w:val="FootnoteText"/>
      </w:pPr>
      <w:r>
        <w:rPr>
          <w:rStyle w:val="FootnoteReference"/>
        </w:rPr>
        <w:footnoteRef/>
      </w:r>
      <w:r>
        <w:t xml:space="preserve"> Cross-references for "two sons": Gen 41:50-52; Gen 46:20.</w:t>
      </w:r>
    </w:p>
  </w:footnote>
  <w:footnote w:id="1276">
    <w:p>
      <w:pPr>
        <w:pStyle w:val="FootnoteText"/>
      </w:pPr>
      <w:r>
        <w:rPr>
          <w:rStyle w:val="FootnoteReference"/>
        </w:rPr>
        <w:footnoteRef/>
      </w:r>
      <w:r>
        <w:t xml:space="preserve"> Cross-references for "Rachel": Gen 35:9; Gen 35:16-19.</w:t>
      </w:r>
    </w:p>
  </w:footnote>
  <w:footnote w:id="1277">
    <w:p>
      <w:pPr>
        <w:pStyle w:val="FootnoteText"/>
      </w:pPr>
      <w:r>
        <w:rPr>
          <w:rStyle w:val="FootnoteReference"/>
        </w:rPr>
        <w:footnoteRef/>
      </w:r>
      <w:r>
        <w:t xml:space="preserve"> Translation note: Greek says racecourse here. Current line keeps that wording.</w:t>
      </w:r>
    </w:p>
  </w:footnote>
  <w:footnote w:id="1278">
    <w:p>
      <w:pPr>
        <w:pStyle w:val="FootnoteText"/>
      </w:pPr>
      <w:r>
        <w:rPr>
          <w:rStyle w:val="FootnoteReference"/>
        </w:rPr>
        <w:footnoteRef/>
      </w:r>
      <w:r>
        <w:t xml:space="preserve"> Cross-references for "my sons": Gen 30:2; Gen 33:5.</w:t>
      </w:r>
    </w:p>
  </w:footnote>
  <w:footnote w:id="1279">
    <w:p>
      <w:pPr>
        <w:pStyle w:val="FootnoteText"/>
      </w:pPr>
      <w:r>
        <w:rPr>
          <w:rStyle w:val="FootnoteReference"/>
        </w:rPr>
        <w:footnoteRef/>
      </w:r>
      <w:r>
        <w:t xml:space="preserve"> Translation note: Greek keeps Joseph's God-gave-me-here statement plain. Current wording preserves that family scene detail.</w:t>
      </w:r>
    </w:p>
  </w:footnote>
  <w:footnote w:id="1280">
    <w:p>
      <w:pPr>
        <w:pStyle w:val="FootnoteText"/>
      </w:pPr>
      <w:r>
        <w:rPr>
          <w:rStyle w:val="FootnoteReference"/>
        </w:rPr>
        <w:footnoteRef/>
      </w:r>
      <w:r>
        <w:t xml:space="preserve"> Cross-references for "the eyes": Gen 27:1; 1Sam 3:2.</w:t>
      </w:r>
    </w:p>
  </w:footnote>
  <w:footnote w:id="1281">
    <w:p>
      <w:pPr>
        <w:pStyle w:val="FootnoteText"/>
      </w:pPr>
      <w:r>
        <w:rPr>
          <w:rStyle w:val="FootnoteReference"/>
        </w:rPr>
        <w:footnoteRef/>
      </w:r>
      <w:r>
        <w:t xml:space="preserve"> Cross-references for "his right hand": Exod 15:6; Ps 110:1.</w:t>
      </w:r>
    </w:p>
  </w:footnote>
  <w:footnote w:id="1282">
    <w:p>
      <w:pPr>
        <w:pStyle w:val="FootnoteText"/>
      </w:pPr>
      <w:r>
        <w:rPr>
          <w:rStyle w:val="FootnoteReference"/>
        </w:rPr>
        <w:footnoteRef/>
      </w:r>
      <w:r>
        <w:t xml:space="preserve"> Cross-references for "blessed": Gen 27:4; Gen 28:3.</w:t>
      </w:r>
    </w:p>
  </w:footnote>
  <w:footnote w:id="1283">
    <w:p>
      <w:pPr>
        <w:pStyle w:val="FootnoteText"/>
      </w:pPr>
      <w:r>
        <w:rPr>
          <w:rStyle w:val="FootnoteReference"/>
        </w:rPr>
        <w:footnoteRef/>
      </w:r>
      <w:r>
        <w:t xml:space="preserve"> Cross-references for "angel": Gen 16:7-13; Gen 28:15.</w:t>
      </w:r>
    </w:p>
  </w:footnote>
  <w:footnote w:id="1284">
    <w:p>
      <w:pPr>
        <w:pStyle w:val="FootnoteText"/>
      </w:pPr>
      <w:r>
        <w:rPr>
          <w:rStyle w:val="FootnoteReference"/>
        </w:rPr>
        <w:footnoteRef/>
      </w:r>
      <w:r>
        <w:t xml:space="preserve"> Cross-references for "laid his": Gen 48:14.</w:t>
      </w:r>
    </w:p>
  </w:footnote>
  <w:footnote w:id="1285">
    <w:p>
      <w:pPr>
        <w:pStyle w:val="FootnoteText"/>
      </w:pPr>
      <w:r>
        <w:rPr>
          <w:rStyle w:val="FootnoteReference"/>
        </w:rPr>
        <w:footnoteRef/>
      </w:r>
      <w:r>
        <w:t xml:space="preserve"> Translation note: The Greek uses grief language rather than simple displeasure. The current wording preserves that nuance.</w:t>
      </w:r>
    </w:p>
  </w:footnote>
  <w:footnote w:id="1286">
    <w:p>
      <w:pPr>
        <w:pStyle w:val="FootnoteText"/>
      </w:pPr>
      <w:r>
        <w:rPr>
          <w:rStyle w:val="FootnoteReference"/>
        </w:rPr>
        <w:footnoteRef/>
      </w:r>
      <w:r>
        <w:t xml:space="preserve"> Cross-references for "Not so": Gen 19:18; Exod 10:11.</w:t>
      </w:r>
    </w:p>
  </w:footnote>
  <w:footnote w:id="1287">
    <w:p>
      <w:pPr>
        <w:pStyle w:val="FootnoteText"/>
      </w:pPr>
      <w:r>
        <w:rPr>
          <w:rStyle w:val="FootnoteReference"/>
        </w:rPr>
        <w:footnoteRef/>
      </w:r>
      <w:r>
        <w:t xml:space="preserve"> Translation note: Greek gives Joseph's right-hand request directly. Current wording preserves that explicit gesture.</w:t>
      </w:r>
    </w:p>
  </w:footnote>
  <w:footnote w:id="1288">
    <w:p>
      <w:pPr>
        <w:pStyle w:val="FootnoteText"/>
      </w:pPr>
      <w:r>
        <w:rPr>
          <w:rStyle w:val="FootnoteReference"/>
        </w:rPr>
        <w:footnoteRef/>
      </w:r>
      <w:r>
        <w:t xml:space="preserve"> Cross-references for "become": Deut 1:10; Ruth 4:11-12.</w:t>
      </w:r>
    </w:p>
  </w:footnote>
  <w:footnote w:id="1289">
    <w:p>
      <w:pPr>
        <w:pStyle w:val="FootnoteText"/>
      </w:pPr>
      <w:r>
        <w:rPr>
          <w:rStyle w:val="FootnoteReference"/>
        </w:rPr>
        <w:footnoteRef/>
      </w:r>
      <w:r>
        <w:t xml:space="preserve"> Translation note: Greek says be exalted here. Current line keeps that wording.</w:t>
      </w:r>
    </w:p>
  </w:footnote>
  <w:footnote w:id="1290">
    <w:p>
      <w:pPr>
        <w:pStyle w:val="FootnoteText"/>
      </w:pPr>
      <w:r>
        <w:rPr>
          <w:rStyle w:val="FootnoteReference"/>
        </w:rPr>
        <w:footnoteRef/>
      </w:r>
      <w:r>
        <w:t xml:space="preserve"> Cross-references for "land": Gen 12:5; Gen 26:3.</w:t>
      </w:r>
    </w:p>
  </w:footnote>
  <w:footnote w:id="1291">
    <w:p>
      <w:pPr>
        <w:pStyle w:val="FootnoteText"/>
      </w:pPr>
      <w:r>
        <w:rPr>
          <w:rStyle w:val="FootnoteReference"/>
        </w:rPr>
        <w:footnoteRef/>
      </w:r>
      <w:r>
        <w:t xml:space="preserve"> Cross-references for "Gather": Deut 31:12; Deut 31:28-29.</w:t>
      </w:r>
    </w:p>
  </w:footnote>
  <w:footnote w:id="1292">
    <w:p>
      <w:pPr>
        <w:pStyle w:val="FootnoteText"/>
      </w:pPr>
      <w:r>
        <w:rPr>
          <w:rStyle w:val="FootnoteReference"/>
        </w:rPr>
        <w:footnoteRef/>
      </w:r>
      <w:r>
        <w:t xml:space="preserve"> Cross-references for "my firstborn": Gen 29:32; Gen 46:8.</w:t>
      </w:r>
    </w:p>
  </w:footnote>
  <w:footnote w:id="1293">
    <w:p>
      <w:pPr>
        <w:pStyle w:val="FootnoteText"/>
      </w:pPr>
      <w:r>
        <w:rPr>
          <w:rStyle w:val="FootnoteReference"/>
        </w:rPr>
        <w:footnoteRef/>
      </w:r>
      <w:r>
        <w:t xml:space="preserve"> Cross-references for "Simeon": Gen 29:33-34; Gen 34:25-31.</w:t>
      </w:r>
    </w:p>
  </w:footnote>
  <w:footnote w:id="1294">
    <w:p>
      <w:pPr>
        <w:pStyle w:val="FootnoteText"/>
      </w:pPr>
      <w:r>
        <w:rPr>
          <w:rStyle w:val="FootnoteReference"/>
        </w:rPr>
        <w:footnoteRef/>
      </w:r>
      <w:r>
        <w:t xml:space="preserve"> Cross-references for "Cursed": 2Sam 13:15; 2Sam 13:22-28.</w:t>
      </w:r>
    </w:p>
  </w:footnote>
  <w:footnote w:id="1295">
    <w:p>
      <w:pPr>
        <w:pStyle w:val="FootnoteText"/>
      </w:pPr>
      <w:r>
        <w:rPr>
          <w:rStyle w:val="FootnoteReference"/>
        </w:rPr>
        <w:footnoteRef/>
      </w:r>
      <w:r>
        <w:t xml:space="preserve"> Cross-references for "a lion's": Hos 5:4; Hos 5:14.</w:t>
      </w:r>
    </w:p>
  </w:footnote>
  <w:footnote w:id="1296">
    <w:p>
      <w:pPr>
        <w:pStyle w:val="FootnoteText"/>
      </w:pPr>
      <w:r>
        <w:rPr>
          <w:rStyle w:val="FootnoteReference"/>
        </w:rPr>
        <w:footnoteRef/>
      </w:r>
      <w:r>
        <w:t xml:space="preserve"> Cross-references for "his foal": Isa 63:1-3.</w:t>
      </w:r>
    </w:p>
  </w:footnote>
  <w:footnote w:id="1297">
    <w:p>
      <w:pPr>
        <w:pStyle w:val="FootnoteText"/>
      </w:pPr>
      <w:r>
        <w:rPr>
          <w:rStyle w:val="FootnoteReference"/>
        </w:rPr>
        <w:footnoteRef/>
      </w:r>
      <w:r>
        <w:t xml:space="preserve"> Cross-references for "rest": Josh 14:15; Judg 3:11.</w:t>
      </w:r>
    </w:p>
  </w:footnote>
  <w:footnote w:id="1298">
    <w:p>
      <w:pPr>
        <w:pStyle w:val="FootnoteText"/>
      </w:pPr>
      <w:r>
        <w:rPr>
          <w:rStyle w:val="FootnoteReference"/>
        </w:rPr>
        <w:footnoteRef/>
      </w:r>
      <w:r>
        <w:t xml:space="preserve"> MT/LXX note: The Greek poem is quite different from the Masoretic vine image. The translation keeps the difficult Septuagint wording visible.</w:t>
      </w:r>
    </w:p>
  </w:footnote>
  <w:footnote w:id="1299">
    <w:p>
      <w:pPr>
        <w:pStyle w:val="FootnoteText"/>
      </w:pPr>
      <w:r>
        <w:rPr>
          <w:rStyle w:val="FootnoteReference"/>
        </w:rPr>
        <w:footnoteRef/>
      </w:r>
      <w:r>
        <w:t xml:space="preserve"> Greek LXX divine name/title: Dynastes Iakob (δυνάστης Ἰακώβ) — Mighty One of Jacob. Common English rendering: Mighty One of Jacob. The LXX keeps the poetic covenant-strength title Mighty One of Jacob.</w:t>
      </w:r>
    </w:p>
  </w:footnote>
  <w:footnote w:id="1300">
    <w:p>
      <w:pPr>
        <w:pStyle w:val="FootnoteText"/>
      </w:pPr>
      <w:r>
        <w:rPr>
          <w:rStyle w:val="FootnoteReference"/>
        </w:rPr>
        <w:footnoteRef/>
      </w:r>
      <w:r>
        <w:t xml:space="preserve"> Hebrew divine name/title: Avir Yaakov (</w:t>
      </w:r>
      <w:r>
        <w:rPr>
          <w:lang w:val="he-IL" w:bidi="he-IL"/>
          <w:rtl/>
        </w:rPr>
        <w:t xml:space="preserve">אֲבִיר יַעֲקֹב</w:t>
      </w:r>
      <w:r>
        <w:t xml:space="preserve">) — Mighty One of Jacob. Common English rendering: mighty God of Jacob; mighty One of Jacob. A poetic title of covenant strength and sustaining power.</w:t>
      </w:r>
    </w:p>
  </w:footnote>
  <w:footnote w:id="1301">
    <w:p>
      <w:pPr>
        <w:pStyle w:val="FootnoteText"/>
      </w:pPr>
      <w:r>
        <w:rPr>
          <w:rStyle w:val="FootnoteReference"/>
        </w:rPr>
        <w:footnoteRef/>
      </w:r>
      <w:r>
        <w:t xml:space="preserve"> Cross-references for "the Mighty": Gen 35:10-11; Exod 3:6.</w:t>
      </w:r>
    </w:p>
  </w:footnote>
  <w:footnote w:id="1302">
    <w:p>
      <w:pPr>
        <w:pStyle w:val="FootnoteText"/>
      </w:pPr>
      <w:r>
        <w:rPr>
          <w:rStyle w:val="FootnoteReference"/>
        </w:rPr>
        <w:footnoteRef/>
      </w:r>
      <w:r>
        <w:t xml:space="preserve"> Cross-references for "everlasting hills": Deut 33:15; Ps 89:36.</w:t>
      </w:r>
    </w:p>
  </w:footnote>
  <w:footnote w:id="1303">
    <w:p>
      <w:pPr>
        <w:pStyle w:val="FootnoteText"/>
      </w:pPr>
      <w:r>
        <w:rPr>
          <w:rStyle w:val="FootnoteReference"/>
        </w:rPr>
        <w:footnoteRef/>
      </w:r>
      <w:r>
        <w:t xml:space="preserve"> Cross-references for "the twelve": Num 23:24; Ezek 39:8-10.</w:t>
      </w:r>
    </w:p>
  </w:footnote>
  <w:footnote w:id="1304">
    <w:p>
      <w:pPr>
        <w:pStyle w:val="FootnoteText"/>
      </w:pPr>
      <w:r>
        <w:rPr>
          <w:rStyle w:val="FootnoteReference"/>
        </w:rPr>
        <w:footnoteRef/>
      </w:r>
      <w:r>
        <w:t xml:space="preserve"> Cross-references for "Bury me": Gen 15:15; Gen 25:8-17.</w:t>
      </w:r>
    </w:p>
  </w:footnote>
  <w:footnote w:id="1305">
    <w:p>
      <w:pPr>
        <w:pStyle w:val="FootnoteText"/>
      </w:pPr>
      <w:r>
        <w:rPr>
          <w:rStyle w:val="FootnoteReference"/>
        </w:rPr>
        <w:footnoteRef/>
      </w:r>
      <w:r>
        <w:t xml:space="preserve"> Cross-references for "wept": Gen 23:2; 2Kgs 13:14.</w:t>
      </w:r>
    </w:p>
  </w:footnote>
  <w:footnote w:id="1306">
    <w:p>
      <w:pPr>
        <w:pStyle w:val="FootnoteText"/>
      </w:pPr>
      <w:r>
        <w:rPr>
          <w:rStyle w:val="FootnoteReference"/>
        </w:rPr>
        <w:footnoteRef/>
      </w:r>
      <w:r>
        <w:t xml:space="preserve"> Cross-references for "embalmed": Gen 50:26; 2Chr 16:14.</w:t>
      </w:r>
    </w:p>
  </w:footnote>
  <w:footnote w:id="1307">
    <w:p>
      <w:pPr>
        <w:pStyle w:val="FootnoteText"/>
      </w:pPr>
      <w:r>
        <w:rPr>
          <w:rStyle w:val="FootnoteReference"/>
        </w:rPr>
        <w:footnoteRef/>
      </w:r>
      <w:r>
        <w:t xml:space="preserve"> Cross-references for "the days": Gen 50:10.</w:t>
      </w:r>
    </w:p>
  </w:footnote>
  <w:footnote w:id="1308">
    <w:p>
      <w:pPr>
        <w:pStyle w:val="FootnoteText"/>
      </w:pPr>
      <w:r>
        <w:rPr>
          <w:rStyle w:val="FootnoteReference"/>
        </w:rPr>
        <w:footnoteRef/>
      </w:r>
      <w:r>
        <w:t xml:space="preserve"> Translation note: Greek says tomb that I dug for myself.</w:t>
      </w:r>
    </w:p>
  </w:footnote>
  <w:footnote w:id="1309">
    <w:p>
      <w:pPr>
        <w:pStyle w:val="FootnoteText"/>
      </w:pPr>
      <w:r>
        <w:rPr>
          <w:rStyle w:val="FootnoteReference"/>
        </w:rPr>
        <w:footnoteRef/>
      </w:r>
      <w:r>
        <w:t xml:space="preserve"> Cross-references for "bury me": Gen 3:19; Job 30:23.</w:t>
      </w:r>
    </w:p>
  </w:footnote>
  <w:footnote w:id="1310">
    <w:p>
      <w:pPr>
        <w:pStyle w:val="FootnoteText"/>
      </w:pPr>
      <w:r>
        <w:rPr>
          <w:rStyle w:val="FootnoteReference"/>
        </w:rPr>
        <w:footnoteRef/>
      </w:r>
      <w:r>
        <w:t xml:space="preserve"> Cross-references for "chariots": Gen 41:43; Gen 46:29.</w:t>
      </w:r>
    </w:p>
  </w:footnote>
  <w:footnote w:id="1311">
    <w:p>
      <w:pPr>
        <w:pStyle w:val="FootnoteText"/>
      </w:pPr>
      <w:r>
        <w:rPr>
          <w:rStyle w:val="FootnoteReference"/>
        </w:rPr>
        <w:footnoteRef/>
      </w:r>
      <w:r>
        <w:t xml:space="preserve"> Transliterated proper noun: Atad. Standard English equivalent: Atad. Source form: Atad. Greek form: ᾿Ατάδ. Name meaning: a thorn.</w:t>
      </w:r>
    </w:p>
  </w:footnote>
  <w:footnote w:id="1312">
    <w:p>
      <w:pPr>
        <w:pStyle w:val="FootnoteText"/>
      </w:pPr>
      <w:r>
        <w:rPr>
          <w:rStyle w:val="FootnoteReference"/>
        </w:rPr>
        <w:footnoteRef/>
      </w:r>
      <w:r>
        <w:t xml:space="preserve"> Cross-references for "beyond": Gen 50:11; Deut 1:1.</w:t>
      </w:r>
    </w:p>
  </w:footnote>
  <w:footnote w:id="1313">
    <w:p>
      <w:pPr>
        <w:pStyle w:val="FootnoteText"/>
      </w:pPr>
      <w:r>
        <w:rPr>
          <w:rStyle w:val="FootnoteReference"/>
        </w:rPr>
        <w:footnoteRef/>
      </w:r>
      <w:r>
        <w:t xml:space="preserve"> Translation note: Greek says the double cave rather than Machpelah here.</w:t>
      </w:r>
    </w:p>
  </w:footnote>
  <w:footnote w:id="1314">
    <w:p>
      <w:pPr>
        <w:pStyle w:val="FootnoteText"/>
      </w:pPr>
      <w:r>
        <w:rPr>
          <w:rStyle w:val="FootnoteReference"/>
        </w:rPr>
        <w:footnoteRef/>
      </w:r>
      <w:r>
        <w:t xml:space="preserve"> Cross-references for "their father": Gen 27:41-42.</w:t>
      </w:r>
    </w:p>
  </w:footnote>
  <w:footnote w:id="1315">
    <w:p>
      <w:pPr>
        <w:pStyle w:val="FootnoteText"/>
      </w:pPr>
      <w:r>
        <w:rPr>
          <w:rStyle w:val="FootnoteReference"/>
        </w:rPr>
        <w:footnoteRef/>
      </w:r>
      <w:r>
        <w:t xml:space="preserve"> Cross-references for "Forgive": Matt 6:12; Matt 6:14-15.</w:t>
      </w:r>
    </w:p>
  </w:footnote>
  <w:footnote w:id="1316">
    <w:p>
      <w:pPr>
        <w:pStyle w:val="FootnoteText"/>
      </w:pPr>
      <w:r>
        <w:rPr>
          <w:rStyle w:val="FootnoteReference"/>
        </w:rPr>
        <w:footnoteRef/>
      </w:r>
      <w:r>
        <w:t xml:space="preserve"> Translation note: Greek says accept the injustice of the servants of the God of your father.</w:t>
      </w:r>
    </w:p>
  </w:footnote>
  <w:footnote w:id="1317">
    <w:p>
      <w:pPr>
        <w:pStyle w:val="FootnoteText"/>
      </w:pPr>
      <w:r>
        <w:rPr>
          <w:rStyle w:val="FootnoteReference"/>
        </w:rPr>
        <w:footnoteRef/>
      </w:r>
      <w:r>
        <w:t xml:space="preserve"> Cross-references for "I will nourish": Gen 45:10-11; Gen 47:12.</w:t>
      </w:r>
    </w:p>
  </w:footnote>
  <w:footnote w:id="1318">
    <w:p>
      <w:pPr>
        <w:pStyle w:val="FootnoteText"/>
      </w:pPr>
      <w:r>
        <w:rPr>
          <w:rStyle w:val="FootnoteReference"/>
        </w:rPr>
        <w:footnoteRef/>
      </w:r>
      <w:r>
        <w:t xml:space="preserve"> Cross-references for "Joseph's": Gen 30:3.</w:t>
      </w:r>
    </w:p>
  </w:footnote>
  <w:footnote w:id="1319">
    <w:p>
      <w:pPr>
        <w:pStyle w:val="FootnoteText"/>
      </w:pPr>
      <w:r>
        <w:rPr>
          <w:rStyle w:val="FootnoteReference"/>
        </w:rPr>
        <w:footnoteRef/>
      </w:r>
      <w:r>
        <w:t xml:space="preserve"> Translation note: Greek uses the visitation formula directly. Current wording preserves it.</w:t>
      </w:r>
    </w:p>
  </w:footnote>
  <w:footnote w:id="1320">
    <w:p>
      <w:pPr>
        <w:pStyle w:val="FootnoteText"/>
      </w:pPr>
      <w:r>
        <w:rPr>
          <w:rStyle w:val="FootnoteReference"/>
        </w:rPr>
        <w:footnoteRef/>
      </w:r>
      <w:r>
        <w:t xml:space="preserve"> Cross-references for "visit you": Gen 21:1; Exod 4:31.</w:t>
      </w:r>
    </w:p>
  </w:footnote>
  <w:footnote w:id="1321">
    <w:p>
      <w:pPr>
        <w:pStyle w:val="FootnoteText"/>
      </w:pPr>
      <w:r>
        <w:rPr>
          <w:rStyle w:val="FootnoteReference"/>
        </w:rPr>
        <w:footnoteRef/>
      </w:r>
      <w:r>
        <w:t xml:space="preserve"> Cross-references for "Reuben": Gen 35:22.</w:t>
      </w:r>
    </w:p>
  </w:footnote>
  <w:footnote w:id="1322">
    <w:p>
      <w:pPr>
        <w:pStyle w:val="FootnoteText"/>
      </w:pPr>
      <w:r>
        <w:rPr>
          <w:rStyle w:val="FootnoteReference"/>
        </w:rPr>
        <w:footnoteRef/>
      </w:r>
      <w:r>
        <w:t xml:space="preserve"> Cross-references for "Issachar": Gen 35:23.</w:t>
      </w:r>
    </w:p>
  </w:footnote>
  <w:footnote w:id="1323">
    <w:p>
      <w:pPr>
        <w:pStyle w:val="FootnoteText"/>
      </w:pPr>
      <w:r>
        <w:rPr>
          <w:rStyle w:val="FootnoteReference"/>
        </w:rPr>
        <w:footnoteRef/>
      </w:r>
      <w:r>
        <w:t xml:space="preserve"> Translation note: The Greek line is simply a name list. The current wording keeps standard English name forms.</w:t>
      </w:r>
    </w:p>
  </w:footnote>
  <w:footnote w:id="1324">
    <w:p>
      <w:pPr>
        <w:pStyle w:val="FootnoteText"/>
      </w:pPr>
      <w:r>
        <w:rPr>
          <w:rStyle w:val="FootnoteReference"/>
        </w:rPr>
        <w:footnoteRef/>
      </w:r>
      <w:r>
        <w:t xml:space="preserve"> Cross-references for "Asher": Gen 35:26; Gen 46:17.</w:t>
      </w:r>
    </w:p>
  </w:footnote>
  <w:footnote w:id="1325">
    <w:p>
      <w:pPr>
        <w:pStyle w:val="FootnoteText"/>
      </w:pPr>
      <w:r>
        <w:rPr>
          <w:rStyle w:val="FootnoteReference"/>
        </w:rPr>
        <w:footnoteRef/>
      </w:r>
      <w:r>
        <w:t xml:space="preserve"> Translation note: The Greek line is simply a name list. The current wording keeps standard English name forms.</w:t>
      </w:r>
    </w:p>
  </w:footnote>
  <w:footnote w:id="1326">
    <w:p>
      <w:pPr>
        <w:pStyle w:val="FootnoteText"/>
      </w:pPr>
      <w:r>
        <w:rPr>
          <w:rStyle w:val="FootnoteReference"/>
        </w:rPr>
        <w:footnoteRef/>
      </w:r>
      <w:r>
        <w:t xml:space="preserve"> Cross-references for "seventy": Gen 46:26-27; Exod 1:20.</w:t>
      </w:r>
    </w:p>
  </w:footnote>
  <w:footnote w:id="1327">
    <w:p>
      <w:pPr>
        <w:pStyle w:val="FootnoteText"/>
      </w:pPr>
      <w:r>
        <w:rPr>
          <w:rStyle w:val="FootnoteReference"/>
        </w:rPr>
        <w:footnoteRef/>
      </w:r>
      <w:r>
        <w:t xml:space="preserve"> Cross-references for "to afflict": Gen 15:13; Exod 3:7.</w:t>
      </w:r>
    </w:p>
  </w:footnote>
  <w:footnote w:id="1328">
    <w:p>
      <w:pPr>
        <w:pStyle w:val="FootnoteText"/>
      </w:pPr>
      <w:r>
        <w:rPr>
          <w:rStyle w:val="FootnoteReference"/>
        </w:rPr>
        <w:footnoteRef/>
      </w:r>
      <w:r>
        <w:t xml:space="preserve"> Place name: Pithom. Place-name meaning: Pithom — their mouthful; a dilatation of the mouth. Source form: Pithom. Greek form: πιθωμ.</w:t>
      </w:r>
    </w:p>
  </w:footnote>
  <w:footnote w:id="1329">
    <w:p>
      <w:pPr>
        <w:pStyle w:val="FootnoteText"/>
      </w:pPr>
      <w:r>
        <w:rPr>
          <w:rStyle w:val="FootnoteReference"/>
        </w:rPr>
        <w:footnoteRef/>
      </w:r>
      <w:r>
        <w:t xml:space="preserve"> Personal name: Shiphrah. Personal-name meaning: Shiphrah — handsome; trumpet; that does good. Source form: Shiphrah.</w:t>
      </w:r>
    </w:p>
  </w:footnote>
  <w:footnote w:id="1330">
    <w:p>
      <w:pPr>
        <w:pStyle w:val="FootnoteText"/>
      </w:pPr>
      <w:r>
        <w:rPr>
          <w:rStyle w:val="FootnoteReference"/>
        </w:rPr>
        <w:footnoteRef/>
      </w:r>
      <w:r>
        <w:t xml:space="preserve"> Cross-references for "feared God": Gen 20:11; Gen 42:18.</w:t>
      </w:r>
    </w:p>
  </w:footnote>
  <w:footnote w:id="1331">
    <w:p>
      <w:pPr>
        <w:pStyle w:val="FootnoteText"/>
      </w:pPr>
      <w:r>
        <w:rPr>
          <w:rStyle w:val="FootnoteReference"/>
        </w:rPr>
        <w:footnoteRef/>
      </w:r>
      <w:r>
        <w:t xml:space="preserve"> Cross-references for "Why have": 2Sam 13:28; Eccl 8:4.</w:t>
      </w:r>
    </w:p>
  </w:footnote>
  <w:footnote w:id="1332">
    <w:p>
      <w:pPr>
        <w:pStyle w:val="FootnoteText"/>
      </w:pPr>
      <w:r>
        <w:rPr>
          <w:rStyle w:val="FootnoteReference"/>
        </w:rPr>
        <w:footnoteRef/>
      </w:r>
      <w:r>
        <w:t xml:space="preserve"> Translation note: Greek gives the action in a plain sequence: go, then call the child's mother. Current wording preserves that narrative line.</w:t>
      </w:r>
    </w:p>
  </w:footnote>
  <w:footnote w:id="1333">
    <w:p>
      <w:pPr>
        <w:pStyle w:val="FootnoteText"/>
      </w:pPr>
      <w:r>
        <w:rPr>
          <w:rStyle w:val="FootnoteReference"/>
        </w:rPr>
        <w:footnoteRef/>
      </w:r>
      <w:r>
        <w:t xml:space="preserve"> Cross-references for "mother": Exod 6:20.</w:t>
      </w:r>
    </w:p>
  </w:footnote>
  <w:footnote w:id="1334">
    <w:p>
      <w:pPr>
        <w:pStyle w:val="FootnoteText"/>
      </w:pPr>
      <w:r>
        <w:rPr>
          <w:rStyle w:val="FootnoteReference"/>
        </w:rPr>
        <w:footnoteRef/>
      </w:r>
      <w:r>
        <w:t xml:space="preserve"> Translation note: Greek repeats for me with both commands. Current wording preserves that doubled request and the wages line.</w:t>
      </w:r>
    </w:p>
  </w:footnote>
  <w:footnote w:id="1335">
    <w:p>
      <w:pPr>
        <w:pStyle w:val="FootnoteText"/>
      </w:pPr>
      <w:r>
        <w:rPr>
          <w:rStyle w:val="FootnoteReference"/>
        </w:rPr>
        <w:footnoteRef/>
      </w:r>
      <w:r>
        <w:t xml:space="preserve"> Name meaning: Moses (Mosheh) — Drawn out. Drawn out of the Nile; drew Israel out of Egypt.</w:t>
      </w:r>
    </w:p>
  </w:footnote>
  <w:footnote w:id="1336">
    <w:p>
      <w:pPr>
        <w:pStyle w:val="FootnoteText"/>
      </w:pPr>
      <w:r>
        <w:rPr>
          <w:rStyle w:val="FootnoteReference"/>
        </w:rPr>
        <w:footnoteRef/>
      </w:r>
      <w:r>
        <w:t xml:space="preserve"> Cross-references for "Moses": Acts 7:22-24; Heb 11:24-26.</w:t>
      </w:r>
    </w:p>
  </w:footnote>
  <w:footnote w:id="1337">
    <w:p>
      <w:pPr>
        <w:pStyle w:val="FootnoteText"/>
      </w:pPr>
      <w:r>
        <w:rPr>
          <w:rStyle w:val="FootnoteReference"/>
        </w:rPr>
        <w:footnoteRef/>
      </w:r>
      <w:r>
        <w:t xml:space="preserve"> Cross-references for "Moses": Prov 19:12; Prov 29:25.</w:t>
      </w:r>
    </w:p>
  </w:footnote>
  <w:footnote w:id="1338">
    <w:p>
      <w:pPr>
        <w:pStyle w:val="FootnoteText"/>
      </w:pPr>
      <w:r>
        <w:rPr>
          <w:rStyle w:val="FootnoteReference"/>
        </w:rPr>
        <w:footnoteRef/>
      </w:r>
      <w:r>
        <w:t xml:space="preserve"> Translation note: Greek says withdrew from Pharaoh's face.</w:t>
      </w:r>
    </w:p>
  </w:footnote>
  <w:footnote w:id="1339">
    <w:p>
      <w:pPr>
        <w:pStyle w:val="FootnoteText"/>
      </w:pPr>
      <w:r>
        <w:rPr>
          <w:rStyle w:val="FootnoteReference"/>
        </w:rPr>
        <w:footnoteRef/>
      </w:r>
      <w:r>
        <w:t xml:space="preserve"> Cross-references for "Midian": Gen 25:2; Gen 25:4.</w:t>
      </w:r>
    </w:p>
  </w:footnote>
  <w:footnote w:id="1340">
    <w:p>
      <w:pPr>
        <w:pStyle w:val="FootnoteText"/>
      </w:pPr>
      <w:r>
        <w:rPr>
          <w:rStyle w:val="FootnoteReference"/>
        </w:rPr>
        <w:footnoteRef/>
      </w:r>
      <w:r>
        <w:t xml:space="preserve"> Cross-references for "the priest": Gen 14:18; Gen 41:45.</w:t>
      </w:r>
    </w:p>
  </w:footnote>
  <w:footnote w:id="1341">
    <w:p>
      <w:pPr>
        <w:pStyle w:val="FootnoteText"/>
      </w:pPr>
      <w:r>
        <w:rPr>
          <w:rStyle w:val="FootnoteReference"/>
        </w:rPr>
        <w:footnoteRef/>
      </w:r>
      <w:r>
        <w:t xml:space="preserve"> Personal name: Jethro. Personal-name meaning: Jethro — his excellence; his posterity. Source form: Jethro.</w:t>
      </w:r>
    </w:p>
  </w:footnote>
  <w:footnote w:id="1342">
    <w:p>
      <w:pPr>
        <w:pStyle w:val="FootnoteText"/>
      </w:pPr>
      <w:r>
        <w:rPr>
          <w:rStyle w:val="FootnoteReference"/>
        </w:rPr>
        <w:footnoteRef/>
      </w:r>
      <w:r>
        <w:t xml:space="preserve"> Cross-references for "shepherds": Gen 21:25; Gen 26:15-22.</w:t>
      </w:r>
    </w:p>
  </w:footnote>
  <w:footnote w:id="1343">
    <w:p>
      <w:pPr>
        <w:pStyle w:val="FootnoteText"/>
      </w:pPr>
      <w:r>
        <w:rPr>
          <w:rStyle w:val="FootnoteReference"/>
        </w:rPr>
        <w:footnoteRef/>
      </w:r>
      <w:r>
        <w:t xml:space="preserve"> Personal name: Raguel. Personal-name meaning: Raguel — shepherd, or friend of God. Source form: Raguel.</w:t>
      </w:r>
    </w:p>
  </w:footnote>
  <w:footnote w:id="1344">
    <w:p>
      <w:pPr>
        <w:pStyle w:val="FootnoteText"/>
      </w:pPr>
      <w:r>
        <w:rPr>
          <w:rStyle w:val="FootnoteReference"/>
        </w:rPr>
        <w:footnoteRef/>
      </w:r>
      <w:r>
        <w:t xml:space="preserve"> Cross-references for "An Egyptian": Gen 50:11.</w:t>
      </w:r>
    </w:p>
  </w:footnote>
  <w:footnote w:id="1345">
    <w:p>
      <w:pPr>
        <w:pStyle w:val="FootnoteText"/>
      </w:pPr>
      <w:r>
        <w:rPr>
          <w:rStyle w:val="FootnoteReference"/>
        </w:rPr>
        <w:footnoteRef/>
      </w:r>
      <w:r>
        <w:t xml:space="preserve"> Cross-references for "Call him": Gen 18:5; Gen 19:2-3.</w:t>
      </w:r>
    </w:p>
  </w:footnote>
  <w:footnote w:id="1346">
    <w:p>
      <w:pPr>
        <w:pStyle w:val="FootnoteText"/>
      </w:pPr>
      <w:r>
        <w:rPr>
          <w:rStyle w:val="FootnoteReference"/>
        </w:rPr>
        <w:footnoteRef/>
      </w:r>
      <w:r>
        <w:t xml:space="preserve"> Personal name: Gershom. Personal-name meaning: Gershom — a stranger here. Source form: Gershom.</w:t>
      </w:r>
    </w:p>
  </w:footnote>
  <w:footnote w:id="1347">
    <w:p>
      <w:pPr>
        <w:pStyle w:val="FootnoteText"/>
      </w:pPr>
      <w:r>
        <w:rPr>
          <w:rStyle w:val="FootnoteReference"/>
        </w:rPr>
        <w:footnoteRef/>
      </w:r>
      <w:r>
        <w:t xml:space="preserve"> Cross-references for "Gershom": 1Chr 23:14-17.</w:t>
      </w:r>
    </w:p>
  </w:footnote>
  <w:footnote w:id="1348">
    <w:p>
      <w:pPr>
        <w:pStyle w:val="FootnoteText"/>
      </w:pPr>
      <w:r>
        <w:rPr>
          <w:rStyle w:val="FootnoteReference"/>
        </w:rPr>
        <w:footnoteRef/>
      </w:r>
      <w:r>
        <w:t xml:space="preserve"> Cross-references for "God heard": Exod 6:5; Judg 2:18.</w:t>
      </w:r>
    </w:p>
  </w:footnote>
  <w:footnote w:id="1349">
    <w:p>
      <w:pPr>
        <w:pStyle w:val="FootnoteText"/>
      </w:pPr>
      <w:r>
        <w:rPr>
          <w:rStyle w:val="FootnoteReference"/>
        </w:rPr>
        <w:footnoteRef/>
      </w:r>
      <w:r>
        <w:t xml:space="preserve"> Cross-references for "his father": Exod 2:16; Exod 2:21.</w:t>
      </w:r>
    </w:p>
  </w:footnote>
  <w:footnote w:id="1350">
    <w:p>
      <w:pPr>
        <w:pStyle w:val="FootnoteText"/>
      </w:pPr>
      <w:r>
        <w:rPr>
          <w:rStyle w:val="FootnoteReference"/>
        </w:rPr>
        <w:footnoteRef/>
      </w:r>
      <w:r>
        <w:t xml:space="preserve"> Place name: Horeb. Place-name meaning: Horeb — desert; solitude; destruction. Source form: Horeb. Greek form: χωρηβ.</w:t>
      </w:r>
    </w:p>
  </w:footnote>
  <w:footnote w:id="1351">
    <w:p>
      <w:pPr>
        <w:pStyle w:val="FootnoteText"/>
      </w:pPr>
      <w:r>
        <w:rPr>
          <w:rStyle w:val="FootnoteReference"/>
        </w:rPr>
        <w:footnoteRef/>
      </w:r>
      <w:r>
        <w:t xml:space="preserve"> Translation note: Greek angelos can mean messenger as well as angel, but this scene signals more than ordinary envoy language. Bush burns without being consumed, and figure appears in openly theophanic context, so draft uses angel here.</w:t>
      </w:r>
    </w:p>
  </w:footnote>
  <w:footnote w:id="1352">
    <w:p>
      <w:pPr>
        <w:pStyle w:val="FootnoteText"/>
      </w:pPr>
      <w:r>
        <w:rPr>
          <w:rStyle w:val="FootnoteReference"/>
        </w:rPr>
        <w:footnoteRef/>
      </w:r>
      <w:r>
        <w:t xml:space="preserve"> Cross-references for "angel": Gen 16:7-13; Gen 22:15-16.</w:t>
      </w:r>
    </w:p>
  </w:footnote>
  <w:footnote w:id="1353">
    <w:p>
      <w:pPr>
        <w:pStyle w:val="FootnoteText"/>
      </w:pPr>
      <w:r>
        <w:rPr>
          <w:rStyle w:val="FootnoteReference"/>
        </w:rPr>
        <w:footnoteRef/>
      </w:r>
      <w:r>
        <w:t xml:space="preserve"> Cross-references for "Moses": Gen 22:1; Gen 22:11.</w:t>
      </w:r>
    </w:p>
  </w:footnote>
  <w:footnote w:id="1354">
    <w:p>
      <w:pPr>
        <w:pStyle w:val="FootnoteText"/>
      </w:pPr>
      <w:r>
        <w:rPr>
          <w:rStyle w:val="FootnoteReference"/>
        </w:rPr>
        <w:footnoteRef/>
      </w:r>
      <w:r>
        <w:t xml:space="preserve"> Hebrew divine name/title: Elohe Yaakov (</w:t>
      </w:r>
      <w:r>
        <w:rPr>
          <w:lang w:val="he-IL" w:bidi="he-IL"/>
          <w:rtl/>
        </w:rPr>
        <w:t xml:space="preserve">אֱלֹהֵי יַעֲקֹב</w:t>
      </w:r>
      <w:r>
        <w:t xml:space="preserve">) — God of Jacob. Common English rendering: God of Jacob. A key covenant formula tying God’s present action to His promises to the fathers.</w:t>
      </w:r>
    </w:p>
  </w:footnote>
  <w:footnote w:id="1355">
    <w:p>
      <w:pPr>
        <w:pStyle w:val="FootnoteText"/>
      </w:pPr>
      <w:r>
        <w:rPr>
          <w:rStyle w:val="FootnoteReference"/>
        </w:rPr>
        <w:footnoteRef/>
      </w:r>
      <w:r>
        <w:t xml:space="preserve"> Greek LXX divine name/title: Theos Iakob (θεὸς Ἰακώβ) — God of Jacob. Common English rendering: God of Jacob. The LXX keeps the patriarchal covenant formula God of Jacob.</w:t>
      </w:r>
    </w:p>
  </w:footnote>
  <w:footnote w:id="1356">
    <w:p>
      <w:pPr>
        <w:pStyle w:val="FootnoteText"/>
      </w:pPr>
      <w:r>
        <w:rPr>
          <w:rStyle w:val="FootnoteReference"/>
        </w:rPr>
        <w:footnoteRef/>
      </w:r>
      <w:r>
        <w:t xml:space="preserve"> Translation note: Greek says come down and take out here. Current line keeps both verbs.</w:t>
      </w:r>
    </w:p>
  </w:footnote>
  <w:footnote w:id="1357">
    <w:p>
      <w:pPr>
        <w:pStyle w:val="FootnoteText"/>
      </w:pPr>
      <w:r>
        <w:rPr>
          <w:rStyle w:val="FootnoteReference"/>
        </w:rPr>
        <w:footnoteRef/>
      </w:r>
      <w:r>
        <w:t xml:space="preserve"> Cross-references for "Canaanites": Gen 15:18-21; Exod 22:23-31.</w:t>
      </w:r>
    </w:p>
  </w:footnote>
  <w:footnote w:id="1358">
    <w:p>
      <w:pPr>
        <w:pStyle w:val="FootnoteText"/>
      </w:pPr>
      <w:r>
        <w:rPr>
          <w:rStyle w:val="FootnoteReference"/>
        </w:rPr>
        <w:footnoteRef/>
      </w:r>
      <w:r>
        <w:t xml:space="preserve"> Cross-references for "the cry": Exod 2:23; Exod 3:7.</w:t>
      </w:r>
    </w:p>
  </w:footnote>
  <w:footnote w:id="1359">
    <w:p>
      <w:pPr>
        <w:pStyle w:val="FootnoteText"/>
      </w:pPr>
      <w:r>
        <w:rPr>
          <w:rStyle w:val="FootnoteReference"/>
        </w:rPr>
        <w:footnoteRef/>
      </w:r>
      <w:r>
        <w:t xml:space="preserve"> Cross-references for "What is his name": Gen 32:29; Exod 3:14.</w:t>
      </w:r>
    </w:p>
  </w:footnote>
  <w:footnote w:id="1360">
    <w:p>
      <w:pPr>
        <w:pStyle w:val="FootnoteText"/>
      </w:pPr>
      <w:r>
        <w:rPr>
          <w:rStyle w:val="FootnoteReference"/>
        </w:rPr>
        <w:footnoteRef/>
      </w:r>
      <w:r>
        <w:t xml:space="preserve"> Greek LXX divine name/title: Ego eimi ho On (ἐγώ εἰμι ὁ ὤν) — I am the One who is. Common English rendering: I am the One who is. The LXX renders God's self-revelation with ho On, the One who is, rather than the traditional English I AM THAT I AM.</w:t>
      </w:r>
    </w:p>
  </w:footnote>
  <w:footnote w:id="1361">
    <w:p>
      <w:pPr>
        <w:pStyle w:val="FootnoteText"/>
      </w:pPr>
      <w:r>
        <w:rPr>
          <w:rStyle w:val="FootnoteReference"/>
        </w:rPr>
        <w:footnoteRef/>
      </w:r>
      <w:r>
        <w:t xml:space="preserve"> Hebrew divine name/title: Ehyeh Asher Ehyeh (</w:t>
      </w:r>
      <w:r>
        <w:rPr>
          <w:lang w:val="he-IL" w:bidi="he-IL"/>
          <w:rtl/>
        </w:rPr>
        <w:t xml:space="preserve">אֶהְיֶה אֲשֶׁר אֶהְיֶה</w:t>
      </w:r>
      <w:r>
        <w:t xml:space="preserve">) — I AM THAT I AM; I WILL BE WHAT I WILL BE. Common English rendering: I AM THAT I AM. God’s self-revelation to Moses from the burning bush, emphasizing His self-existence and faithfulness.</w:t>
      </w:r>
    </w:p>
  </w:footnote>
  <w:footnote w:id="1362">
    <w:p>
      <w:pPr>
        <w:pStyle w:val="FootnoteText"/>
      </w:pPr>
      <w:r>
        <w:rPr>
          <w:rStyle w:val="FootnoteReference"/>
        </w:rPr>
        <w:footnoteRef/>
      </w:r>
      <w:r>
        <w:t xml:space="preserve"> Cross-references for "The Lord": Gen 17:7-8; Exod 3:6.</w:t>
      </w:r>
    </w:p>
  </w:footnote>
  <w:footnote w:id="1363">
    <w:p>
      <w:pPr>
        <w:pStyle w:val="FootnoteText"/>
      </w:pPr>
      <w:r>
        <w:rPr>
          <w:rStyle w:val="FootnoteReference"/>
        </w:rPr>
        <w:footnoteRef/>
      </w:r>
      <w:r>
        <w:t xml:space="preserve"> Cross-references for "elders": Gen 1:7; Exod 4:29.</w:t>
      </w:r>
    </w:p>
  </w:footnote>
  <w:footnote w:id="1364">
    <w:p>
      <w:pPr>
        <w:pStyle w:val="FootnoteText"/>
      </w:pPr>
      <w:r>
        <w:rPr>
          <w:rStyle w:val="FootnoteReference"/>
        </w:rPr>
        <w:footnoteRef/>
      </w:r>
      <w:r>
        <w:t xml:space="preserve"> Translation note: Greek repeats visit-language here. Current line keeps that repetition.</w:t>
      </w:r>
    </w:p>
  </w:footnote>
  <w:footnote w:id="1365">
    <w:p>
      <w:pPr>
        <w:pStyle w:val="FootnoteText"/>
      </w:pPr>
      <w:r>
        <w:rPr>
          <w:rStyle w:val="FootnoteReference"/>
        </w:rPr>
        <w:footnoteRef/>
      </w:r>
      <w:r>
        <w:t xml:space="preserve"> Cross-references for "I will bring": Gen 15:13-21; Gen 46:4.</w:t>
      </w:r>
    </w:p>
  </w:footnote>
  <w:footnote w:id="1366">
    <w:p>
      <w:pPr>
        <w:pStyle w:val="FootnoteText"/>
      </w:pPr>
      <w:r>
        <w:rPr>
          <w:rStyle w:val="FootnoteReference"/>
        </w:rPr>
        <w:footnoteRef/>
      </w:r>
      <w:r>
        <w:t xml:space="preserve"> Translation note: Greek says has summoned us here. Current line keeps that wording.</w:t>
      </w:r>
    </w:p>
  </w:footnote>
  <w:footnote w:id="1367">
    <w:p>
      <w:pPr>
        <w:pStyle w:val="FootnoteText"/>
      </w:pPr>
      <w:r>
        <w:rPr>
          <w:rStyle w:val="FootnoteReference"/>
        </w:rPr>
        <w:footnoteRef/>
      </w:r>
      <w:r>
        <w:t xml:space="preserve"> Cross-references for "that we may": Exod 3:12; Exod 7:16.</w:t>
      </w:r>
    </w:p>
  </w:footnote>
  <w:footnote w:id="1368">
    <w:p>
      <w:pPr>
        <w:pStyle w:val="FootnoteText"/>
      </w:pPr>
      <w:r>
        <w:rPr>
          <w:rStyle w:val="FootnoteReference"/>
        </w:rPr>
        <w:footnoteRef/>
      </w:r>
      <w:r>
        <w:t xml:space="preserve"> Cross-references for "will not": Exod 5:2; Exod 7:4.</w:t>
      </w:r>
    </w:p>
  </w:footnote>
  <w:footnote w:id="1369">
    <w:p>
      <w:pPr>
        <w:pStyle w:val="FootnoteText"/>
      </w:pPr>
      <w:r>
        <w:rPr>
          <w:rStyle w:val="FootnoteReference"/>
        </w:rPr>
        <w:footnoteRef/>
      </w:r>
      <w:r>
        <w:t xml:space="preserve"> Translation note: Greek uses fellow-dweller language here. Current line keeps that social detail.</w:t>
      </w:r>
    </w:p>
  </w:footnote>
  <w:footnote w:id="1370">
    <w:p>
      <w:pPr>
        <w:pStyle w:val="FootnoteText"/>
      </w:pPr>
      <w:r>
        <w:rPr>
          <w:rStyle w:val="FootnoteReference"/>
        </w:rPr>
        <w:footnoteRef/>
      </w:r>
      <w:r>
        <w:t xml:space="preserve"> Cross-references for "it became": Exod 4:17; Exod 7:10-15.</w:t>
      </w:r>
    </w:p>
  </w:footnote>
  <w:footnote w:id="1371">
    <w:p>
      <w:pPr>
        <w:pStyle w:val="FootnoteText"/>
      </w:pPr>
      <w:r>
        <w:rPr>
          <w:rStyle w:val="FootnoteReference"/>
        </w:rPr>
        <w:footnoteRef/>
      </w:r>
      <w:r>
        <w:t xml:space="preserve"> Cross-references for "the Lord": Gen 12:7; Gen 17:1.</w:t>
      </w:r>
    </w:p>
  </w:footnote>
  <w:footnote w:id="1372">
    <w:p>
      <w:pPr>
        <w:pStyle w:val="FootnoteText"/>
      </w:pPr>
      <w:r>
        <w:rPr>
          <w:rStyle w:val="FootnoteReference"/>
        </w:rPr>
        <w:footnoteRef/>
      </w:r>
      <w:r>
        <w:t xml:space="preserve"> Translation note: Greek ends with a direct appearance-to-you line. Current wording preserves it.</w:t>
      </w:r>
    </w:p>
  </w:footnote>
  <w:footnote w:id="1373">
    <w:p>
      <w:pPr>
        <w:pStyle w:val="FootnoteText"/>
      </w:pPr>
      <w:r>
        <w:rPr>
          <w:rStyle w:val="FootnoteReference"/>
        </w:rPr>
        <w:footnoteRef/>
      </w:r>
      <w:r>
        <w:t xml:space="preserve"> Cross-references for "if they": Exod 4:30-31; Isa 28:10.</w:t>
      </w:r>
    </w:p>
  </w:footnote>
  <w:footnote w:id="1374">
    <w:p>
      <w:pPr>
        <w:pStyle w:val="FootnoteText"/>
      </w:pPr>
      <w:r>
        <w:rPr>
          <w:rStyle w:val="FootnoteReference"/>
        </w:rPr>
        <w:footnoteRef/>
      </w:r>
      <w:r>
        <w:t xml:space="preserve"> Cross-references for "the water": Exod 7:19.</w:t>
      </w:r>
    </w:p>
  </w:footnote>
  <w:footnote w:id="1375">
    <w:p>
      <w:pPr>
        <w:pStyle w:val="FootnoteText"/>
      </w:pPr>
      <w:r>
        <w:rPr>
          <w:rStyle w:val="FootnoteReference"/>
        </w:rPr>
        <w:footnoteRef/>
      </w:r>
      <w:r>
        <w:t xml:space="preserve"> Translation note: Greek says blood on the dry ground.</w:t>
      </w:r>
    </w:p>
  </w:footnote>
  <w:footnote w:id="1376">
    <w:p>
      <w:pPr>
        <w:pStyle w:val="FootnoteText"/>
      </w:pPr>
      <w:r>
        <w:rPr>
          <w:rStyle w:val="FootnoteReference"/>
        </w:rPr>
        <w:footnoteRef/>
      </w:r>
      <w:r>
        <w:t xml:space="preserve"> Cross-references for "send": Gen 24:7; Gen 48:16.</w:t>
      </w:r>
    </w:p>
  </w:footnote>
  <w:footnote w:id="1377">
    <w:p>
      <w:pPr>
        <w:pStyle w:val="FootnoteText"/>
      </w:pPr>
      <w:r>
        <w:rPr>
          <w:rStyle w:val="FootnoteReference"/>
        </w:rPr>
        <w:footnoteRef/>
      </w:r>
      <w:r>
        <w:t xml:space="preserve"> Name meaning: Aaron (Aharon) — Exalted; mountain of strength; teacher. First high priest; exalted to lead worship.</w:t>
      </w:r>
    </w:p>
  </w:footnote>
  <w:footnote w:id="1378">
    <w:p>
      <w:pPr>
        <w:pStyle w:val="FootnoteText"/>
      </w:pPr>
      <w:r>
        <w:rPr>
          <w:rStyle w:val="FootnoteReference"/>
        </w:rPr>
        <w:footnoteRef/>
      </w:r>
      <w:r>
        <w:t xml:space="preserve"> People-name: Levite. People-name meaning: Levite — person of Levi; joined/attached. Source form: Levite.</w:t>
      </w:r>
    </w:p>
  </w:footnote>
  <w:footnote w:id="1379">
    <w:p>
      <w:pPr>
        <w:pStyle w:val="FootnoteText"/>
      </w:pPr>
      <w:r>
        <w:rPr>
          <w:rStyle w:val="FootnoteReference"/>
        </w:rPr>
        <w:footnoteRef/>
      </w:r>
      <w:r>
        <w:t xml:space="preserve"> Translation note: Greek says rejoice within himself here. Current line keeps that inward phrase.</w:t>
      </w:r>
    </w:p>
  </w:footnote>
  <w:footnote w:id="1380">
    <w:p>
      <w:pPr>
        <w:pStyle w:val="FootnoteText"/>
      </w:pPr>
      <w:r>
        <w:rPr>
          <w:rStyle w:val="FootnoteReference"/>
        </w:rPr>
        <w:footnoteRef/>
      </w:r>
      <w:r>
        <w:t xml:space="preserve"> Cross-references for "and put": Exod 7:1-2; 2Sam 14:3.</w:t>
      </w:r>
    </w:p>
  </w:footnote>
  <w:footnote w:id="1381">
    <w:p>
      <w:pPr>
        <w:pStyle w:val="FootnoteText"/>
      </w:pPr>
      <w:r>
        <w:rPr>
          <w:rStyle w:val="FootnoteReference"/>
        </w:rPr>
        <w:footnoteRef/>
      </w:r>
      <w:r>
        <w:t xml:space="preserve"> Cross-references for "Jethro": Exod 3:1.</w:t>
      </w:r>
    </w:p>
  </w:footnote>
  <w:footnote w:id="1382">
    <w:p>
      <w:pPr>
        <w:pStyle w:val="FootnoteText"/>
      </w:pPr>
      <w:r>
        <w:rPr>
          <w:rStyle w:val="FootnoteReference"/>
        </w:rPr>
        <w:footnoteRef/>
      </w:r>
      <w:r>
        <w:t xml:space="preserve"> Cross-references for "for all": Exod 2:15; Exod 2:23.</w:t>
      </w:r>
    </w:p>
  </w:footnote>
  <w:footnote w:id="1383">
    <w:p>
      <w:pPr>
        <w:pStyle w:val="FootnoteText"/>
      </w:pPr>
      <w:r>
        <w:rPr>
          <w:rStyle w:val="FootnoteReference"/>
        </w:rPr>
        <w:footnoteRef/>
      </w:r>
      <w:r>
        <w:t xml:space="preserve"> Cross-references for "wonders": Exod 3:20.</w:t>
      </w:r>
    </w:p>
  </w:footnote>
  <w:footnote w:id="1384">
    <w:p>
      <w:pPr>
        <w:pStyle w:val="FootnoteText"/>
      </w:pPr>
      <w:r>
        <w:rPr>
          <w:rStyle w:val="FootnoteReference"/>
        </w:rPr>
        <w:footnoteRef/>
      </w:r>
      <w:r>
        <w:t xml:space="preserve"> Cross-references for "Israel": Exod 19:5-6; Deut 14:1.</w:t>
      </w:r>
    </w:p>
  </w:footnote>
  <w:footnote w:id="1385">
    <w:p>
      <w:pPr>
        <w:pStyle w:val="FootnoteText"/>
      </w:pPr>
      <w:r>
        <w:rPr>
          <w:rStyle w:val="FootnoteReference"/>
        </w:rPr>
        <w:footnoteRef/>
      </w:r>
      <w:r>
        <w:t xml:space="preserve"> Cross-references for "the Lord": Exod 3:18; Num 22:22-23.</w:t>
      </w:r>
    </w:p>
  </w:footnote>
  <w:footnote w:id="1386">
    <w:p>
      <w:pPr>
        <w:pStyle w:val="FootnoteText"/>
      </w:pPr>
      <w:r>
        <w:rPr>
          <w:rStyle w:val="FootnoteReference"/>
        </w:rPr>
        <w:footnoteRef/>
      </w:r>
      <w:r>
        <w:t xml:space="preserve"> Cross-references for "Go into": Exod 4:14-16; Eccl 4:9.</w:t>
      </w:r>
    </w:p>
  </w:footnote>
  <w:footnote w:id="1387">
    <w:p>
      <w:pPr>
        <w:pStyle w:val="FootnoteText"/>
      </w:pPr>
      <w:r>
        <w:rPr>
          <w:rStyle w:val="FootnoteReference"/>
        </w:rPr>
        <w:footnoteRef/>
      </w:r>
      <w:r>
        <w:t xml:space="preserve"> Cross-references for "And Aaron": Exod 4:16.</w:t>
      </w:r>
    </w:p>
  </w:footnote>
  <w:footnote w:id="1388">
    <w:p>
      <w:pPr>
        <w:pStyle w:val="FootnoteText"/>
      </w:pPr>
      <w:r>
        <w:rPr>
          <w:rStyle w:val="FootnoteReference"/>
        </w:rPr>
        <w:footnoteRef/>
      </w:r>
      <w:r>
        <w:t xml:space="preserve"> Cross-references for "believed": Exod 3:18; Exod 4:8-9.</w:t>
      </w:r>
    </w:p>
  </w:footnote>
  <w:footnote w:id="1389">
    <w:p>
      <w:pPr>
        <w:pStyle w:val="FootnoteText"/>
      </w:pPr>
      <w:r>
        <w:rPr>
          <w:rStyle w:val="FootnoteReference"/>
        </w:rPr>
        <w:footnoteRef/>
      </w:r>
      <w:r>
        <w:t xml:space="preserve"> Cross-references for "a feast": Exod 10:9; Isa 25:6.</w:t>
      </w:r>
    </w:p>
  </w:footnote>
  <w:footnote w:id="1390">
    <w:p>
      <w:pPr>
        <w:pStyle w:val="FootnoteText"/>
      </w:pPr>
      <w:r>
        <w:rPr>
          <w:rStyle w:val="FootnoteReference"/>
        </w:rPr>
        <w:footnoteRef/>
      </w:r>
      <w:r>
        <w:t xml:space="preserve"> Cross-references for "The God": Exod 3:18.</w:t>
      </w:r>
    </w:p>
  </w:footnote>
  <w:footnote w:id="1391">
    <w:p>
      <w:pPr>
        <w:pStyle w:val="FootnoteText"/>
      </w:pPr>
      <w:r>
        <w:rPr>
          <w:rStyle w:val="FootnoteReference"/>
        </w:rPr>
        <w:footnoteRef/>
      </w:r>
      <w:r>
        <w:t xml:space="preserve"> Translation note: Greek says lest death or slaughter meet us.</w:t>
      </w:r>
    </w:p>
  </w:footnote>
  <w:footnote w:id="1392">
    <w:p>
      <w:pPr>
        <w:pStyle w:val="FootnoteText"/>
      </w:pPr>
      <w:r>
        <w:rPr>
          <w:rStyle w:val="FootnoteReference"/>
        </w:rPr>
        <w:footnoteRef/>
      </w:r>
      <w:r>
        <w:t xml:space="preserve"> Cross-references for "taskmasters": Exod 1:11; Exod 5:10.</w:t>
      </w:r>
    </w:p>
  </w:footnote>
  <w:footnote w:id="1393">
    <w:p>
      <w:pPr>
        <w:pStyle w:val="FootnoteText"/>
      </w:pPr>
      <w:r>
        <w:rPr>
          <w:rStyle w:val="FootnoteReference"/>
        </w:rPr>
        <w:footnoteRef/>
      </w:r>
      <w:r>
        <w:t xml:space="preserve"> Cross-references for "straw": Gen 24:25; Judg 19:19.</w:t>
      </w:r>
    </w:p>
  </w:footnote>
  <w:footnote w:id="1394">
    <w:p>
      <w:pPr>
        <w:pStyle w:val="FootnoteText"/>
      </w:pPr>
      <w:r>
        <w:rPr>
          <w:rStyle w:val="FootnoteReference"/>
        </w:rPr>
        <w:footnoteRef/>
      </w:r>
      <w:r>
        <w:t xml:space="preserve"> Translation note: Greek says quota of brick.</w:t>
      </w:r>
    </w:p>
  </w:footnote>
  <w:footnote w:id="1395">
    <w:p>
      <w:pPr>
        <w:pStyle w:val="FootnoteText"/>
      </w:pPr>
      <w:r>
        <w:rPr>
          <w:rStyle w:val="FootnoteReference"/>
        </w:rPr>
        <w:footnoteRef/>
      </w:r>
      <w:r>
        <w:t xml:space="preserve"> Cross-references for "taskmasters": Exod 1:11; Prov 29:12.</w:t>
      </w:r>
    </w:p>
  </w:footnote>
  <w:footnote w:id="1396">
    <w:p>
      <w:pPr>
        <w:pStyle w:val="FootnoteText"/>
      </w:pPr>
      <w:r>
        <w:rPr>
          <w:rStyle w:val="FootnoteReference"/>
        </w:rPr>
        <w:footnoteRef/>
      </w:r>
      <w:r>
        <w:t xml:space="preserve"> Cross-references for "stubble": Exod 15:7; Isa 5:24.</w:t>
      </w:r>
    </w:p>
  </w:footnote>
  <w:footnote w:id="1397">
    <w:p>
      <w:pPr>
        <w:pStyle w:val="FootnoteText"/>
      </w:pPr>
      <w:r>
        <w:rPr>
          <w:rStyle w:val="FootnoteReference"/>
        </w:rPr>
        <w:footnoteRef/>
      </w:r>
      <w:r>
        <w:t xml:space="preserve"> Translation note: Greek stacks yesterday and the third day with today's work.</w:t>
      </w:r>
    </w:p>
  </w:footnote>
  <w:footnote w:id="1398">
    <w:p>
      <w:pPr>
        <w:pStyle w:val="FootnoteText"/>
      </w:pPr>
      <w:r>
        <w:rPr>
          <w:rStyle w:val="FootnoteReference"/>
        </w:rPr>
        <w:footnoteRef/>
      </w:r>
      <w:r>
        <w:t xml:space="preserve"> Cross-references for "I am the Lord": Gen 15:7; Exod 6:6.</w:t>
      </w:r>
    </w:p>
  </w:footnote>
  <w:footnote w:id="1399">
    <w:p>
      <w:pPr>
        <w:pStyle w:val="FootnoteText"/>
      </w:pPr>
      <w:r>
        <w:rPr>
          <w:rStyle w:val="FootnoteReference"/>
        </w:rPr>
        <w:footnoteRef/>
      </w:r>
      <w:r>
        <w:t xml:space="preserve"> Translation note: This Greek wording creates a real interpretive problem because the divine name appears earlier in the narrative. The draft keeps the tension visible, and direct Logos export shows NETS and LES and LES2 all stay near the make-known wording rather than smoothing it away.</w:t>
      </w:r>
    </w:p>
  </w:footnote>
  <w:footnote w:id="1400">
    <w:p>
      <w:pPr>
        <w:pStyle w:val="FootnoteText"/>
      </w:pPr>
      <w:r>
        <w:rPr>
          <w:rStyle w:val="FootnoteReference"/>
        </w:rPr>
        <w:footnoteRef/>
      </w:r>
      <w:r>
        <w:t xml:space="preserve"> Cross-references for "established": Gen 6:18; Gen 15:18.</w:t>
      </w:r>
    </w:p>
  </w:footnote>
  <w:footnote w:id="1401">
    <w:p>
      <w:pPr>
        <w:pStyle w:val="FootnoteText"/>
      </w:pPr>
      <w:r>
        <w:rPr>
          <w:rStyle w:val="FootnoteReference"/>
        </w:rPr>
        <w:footnoteRef/>
      </w:r>
      <w:r>
        <w:t xml:space="preserve"> Cross-references for "the groaning": Exod 2:24; Exod 3:7.</w:t>
      </w:r>
    </w:p>
  </w:footnote>
  <w:footnote w:id="1402">
    <w:p>
      <w:pPr>
        <w:pStyle w:val="FootnoteText"/>
      </w:pPr>
      <w:r>
        <w:rPr>
          <w:rStyle w:val="FootnoteReference"/>
        </w:rPr>
        <w:footnoteRef/>
      </w:r>
      <w:r>
        <w:t xml:space="preserve"> Cross-references for "I am the Lord": Exod 6:2; Exod 6:8.</w:t>
      </w:r>
    </w:p>
  </w:footnote>
  <w:footnote w:id="1403">
    <w:p>
      <w:pPr>
        <w:pStyle w:val="FootnoteText"/>
      </w:pPr>
      <w:r>
        <w:rPr>
          <w:rStyle w:val="FootnoteReference"/>
        </w:rPr>
        <w:footnoteRef/>
      </w:r>
      <w:r>
        <w:t xml:space="preserve"> Cross-references for "will take": Gen 17:7-8; Exod 19:5-6.</w:t>
      </w:r>
    </w:p>
  </w:footnote>
  <w:footnote w:id="1404">
    <w:p>
      <w:pPr>
        <w:pStyle w:val="FootnoteText"/>
      </w:pPr>
      <w:r>
        <w:rPr>
          <w:rStyle w:val="FootnoteReference"/>
        </w:rPr>
        <w:footnoteRef/>
      </w:r>
      <w:r>
        <w:t xml:space="preserve"> Cross-references for "to give": Gen 15:18; Gen 22:16-17.</w:t>
      </w:r>
    </w:p>
  </w:footnote>
  <w:footnote w:id="1405">
    <w:p>
      <w:pPr>
        <w:pStyle w:val="FootnoteText"/>
      </w:pPr>
      <w:r>
        <w:rPr>
          <w:rStyle w:val="FootnoteReference"/>
        </w:rPr>
        <w:footnoteRef/>
      </w:r>
      <w:r>
        <w:t xml:space="preserve"> Cross-references for "the heads": Exod 6:25; Josh 14:1.</w:t>
      </w:r>
    </w:p>
  </w:footnote>
  <w:footnote w:id="1406">
    <w:p>
      <w:pPr>
        <w:pStyle w:val="FootnoteText"/>
      </w:pPr>
      <w:r>
        <w:rPr>
          <w:rStyle w:val="FootnoteReference"/>
        </w:rPr>
        <w:footnoteRef/>
      </w:r>
      <w:r>
        <w:t xml:space="preserve"> Cross-references for "Kohath": Num 26:57; 1Chr 23:6.</w:t>
      </w:r>
    </w:p>
  </w:footnote>
  <w:footnote w:id="1407">
    <w:p>
      <w:pPr>
        <w:pStyle w:val="FootnoteText"/>
      </w:pPr>
      <w:r>
        <w:rPr>
          <w:rStyle w:val="FootnoteReference"/>
        </w:rPr>
        <w:footnoteRef/>
      </w:r>
      <w:r>
        <w:t xml:space="preserve"> Personal name: Libni. Personal-name meaning: Libni — white; whiteness. Source form: Libni.</w:t>
      </w:r>
    </w:p>
  </w:footnote>
  <w:footnote w:id="1408">
    <w:p>
      <w:pPr>
        <w:pStyle w:val="FootnoteText"/>
      </w:pPr>
      <w:r>
        <w:rPr>
          <w:rStyle w:val="FootnoteReference"/>
        </w:rPr>
        <w:footnoteRef/>
      </w:r>
      <w:r>
        <w:t xml:space="preserve"> Transliterated proper noun: Shimi. Standard English equivalent: Shimi. Source form: Shimi. Greek form: σεμει. Name meaning: that hears or obeys; my reputation; my fame.</w:t>
      </w:r>
    </w:p>
  </w:footnote>
  <w:footnote w:id="1409">
    <w:p>
      <w:pPr>
        <w:pStyle w:val="FootnoteText"/>
      </w:pPr>
      <w:r>
        <w:rPr>
          <w:rStyle w:val="FootnoteReference"/>
        </w:rPr>
        <w:footnoteRef/>
      </w:r>
      <w:r>
        <w:t xml:space="preserve"> Personal name: Amram. Personal-name meaning: Amram — an exalted people; their sheaves; handfuls of corn. Source form: Amram.</w:t>
      </w:r>
    </w:p>
  </w:footnote>
  <w:footnote w:id="1410">
    <w:p>
      <w:pPr>
        <w:pStyle w:val="FootnoteText"/>
      </w:pPr>
      <w:r>
        <w:rPr>
          <w:rStyle w:val="FootnoteReference"/>
        </w:rPr>
        <w:footnoteRef/>
      </w:r>
      <w:r>
        <w:t xml:space="preserve"> Personal name: Uzziel. Personal-name meaning: Uzziel — the strength, or kid, of the Lord. Source form: Uzziel.</w:t>
      </w:r>
    </w:p>
  </w:footnote>
  <w:footnote w:id="1411">
    <w:p>
      <w:pPr>
        <w:pStyle w:val="FootnoteText"/>
      </w:pPr>
      <w:r>
        <w:rPr>
          <w:rStyle w:val="FootnoteReference"/>
        </w:rPr>
        <w:footnoteRef/>
      </w:r>
      <w:r>
        <w:t xml:space="preserve"> Cross-references for "And the years": Exod 6:16.</w:t>
      </w:r>
    </w:p>
  </w:footnote>
  <w:footnote w:id="1412">
    <w:p>
      <w:pPr>
        <w:pStyle w:val="FootnoteText"/>
      </w:pPr>
      <w:r>
        <w:rPr>
          <w:rStyle w:val="FootnoteReference"/>
        </w:rPr>
        <w:footnoteRef/>
      </w:r>
      <w:r>
        <w:t xml:space="preserve"> Transliterated proper noun: Mahali. Standard English equivalent: Mahali. Source form: Mahali. Greek form: μοολι. Name meaning: infirmity; a harp; pardon.</w:t>
      </w:r>
    </w:p>
  </w:footnote>
  <w:footnote w:id="1413">
    <w:p>
      <w:pPr>
        <w:pStyle w:val="FootnoteText"/>
      </w:pPr>
      <w:r>
        <w:rPr>
          <w:rStyle w:val="FootnoteReference"/>
        </w:rPr>
        <w:footnoteRef/>
      </w:r>
      <w:r>
        <w:t xml:space="preserve"> Personal name: Mushi. Personal-name meaning: Mushi — he that touches, that withdraws or takes away. Source form: Mushi.</w:t>
      </w:r>
    </w:p>
  </w:footnote>
  <w:footnote w:id="1414">
    <w:p>
      <w:pPr>
        <w:pStyle w:val="FootnoteText"/>
      </w:pPr>
      <w:r>
        <w:rPr>
          <w:rStyle w:val="FootnoteReference"/>
        </w:rPr>
        <w:footnoteRef/>
      </w:r>
      <w:r>
        <w:t xml:space="preserve"> Cross-references for "Amram": Exod 2:1-2; Num 26:59.</w:t>
      </w:r>
    </w:p>
  </w:footnote>
  <w:footnote w:id="1415">
    <w:p>
      <w:pPr>
        <w:pStyle w:val="FootnoteText"/>
      </w:pPr>
      <w:r>
        <w:rPr>
          <w:rStyle w:val="FootnoteReference"/>
        </w:rPr>
        <w:footnoteRef/>
      </w:r>
      <w:r>
        <w:t xml:space="preserve"> Personal name: Jochebed. Personal-name meaning: Jochebed — glorious; honorable. Source form: Jochebed.</w:t>
      </w:r>
    </w:p>
  </w:footnote>
  <w:footnote w:id="1416">
    <w:p>
      <w:pPr>
        <w:pStyle w:val="FootnoteText"/>
      </w:pPr>
      <w:r>
        <w:rPr>
          <w:rStyle w:val="FootnoteReference"/>
        </w:rPr>
        <w:footnoteRef/>
      </w:r>
      <w:r>
        <w:t xml:space="preserve"> Personal name: Miriam. Personal-name meaning: Miriam — rebellion. Source form: Miriam.</w:t>
      </w:r>
    </w:p>
  </w:footnote>
  <w:footnote w:id="1417">
    <w:p>
      <w:pPr>
        <w:pStyle w:val="FootnoteText"/>
      </w:pPr>
      <w:r>
        <w:rPr>
          <w:rStyle w:val="FootnoteReference"/>
        </w:rPr>
        <w:footnoteRef/>
      </w:r>
      <w:r>
        <w:t xml:space="preserve"> Personal name: Nepheg. Personal-name meaning: Nepheg — weak; slacked. Source form: Nepheg.</w:t>
      </w:r>
    </w:p>
  </w:footnote>
  <w:footnote w:id="1418">
    <w:p>
      <w:pPr>
        <w:pStyle w:val="FootnoteText"/>
      </w:pPr>
      <w:r>
        <w:rPr>
          <w:rStyle w:val="FootnoteReference"/>
        </w:rPr>
        <w:footnoteRef/>
      </w:r>
      <w:r>
        <w:t xml:space="preserve"> Personal name: Zichri. Personal-name meaning: Zichri — that remembers; that is a man. Source form: Zichri.</w:t>
      </w:r>
    </w:p>
  </w:footnote>
  <w:footnote w:id="1419">
    <w:p>
      <w:pPr>
        <w:pStyle w:val="FootnoteText"/>
      </w:pPr>
      <w:r>
        <w:rPr>
          <w:rStyle w:val="FootnoteReference"/>
        </w:rPr>
        <w:footnoteRef/>
      </w:r>
      <w:r>
        <w:t xml:space="preserve"> Personal name: Elzaphan. Personal-name meaning: Elzaphan — God of the northeast wind. Source form: Elzaphan.</w:t>
      </w:r>
    </w:p>
  </w:footnote>
  <w:footnote w:id="1420">
    <w:p>
      <w:pPr>
        <w:pStyle w:val="FootnoteText"/>
      </w:pPr>
      <w:r>
        <w:rPr>
          <w:rStyle w:val="FootnoteReference"/>
        </w:rPr>
        <w:footnoteRef/>
      </w:r>
      <w:r>
        <w:t xml:space="preserve"> Personal name: Elizabeth. Personal-name meaning: Elizabeth — God is my oath. Source form: Elizabeth.</w:t>
      </w:r>
    </w:p>
  </w:footnote>
  <w:footnote w:id="1421">
    <w:p>
      <w:pPr>
        <w:pStyle w:val="FootnoteText"/>
      </w:pPr>
      <w:r>
        <w:rPr>
          <w:rStyle w:val="FootnoteReference"/>
        </w:rPr>
        <w:footnoteRef/>
      </w:r>
      <w:r>
        <w:t xml:space="preserve"> Personal name: Amminadab. Personal-name meaning: Amminadab — my people is liberal. Source form: Amminadab.</w:t>
      </w:r>
    </w:p>
  </w:footnote>
  <w:footnote w:id="1422">
    <w:p>
      <w:pPr>
        <w:pStyle w:val="FootnoteText"/>
      </w:pPr>
      <w:r>
        <w:rPr>
          <w:rStyle w:val="FootnoteReference"/>
        </w:rPr>
        <w:footnoteRef/>
      </w:r>
      <w:r>
        <w:t xml:space="preserve"> Personal name: Nahshon. Personal-name meaning: Nahshon — that foretells; that conjectures. Source form: Nahshon.</w:t>
      </w:r>
    </w:p>
  </w:footnote>
  <w:footnote w:id="1423">
    <w:p>
      <w:pPr>
        <w:pStyle w:val="FootnoteText"/>
      </w:pPr>
      <w:r>
        <w:rPr>
          <w:rStyle w:val="FootnoteReference"/>
        </w:rPr>
        <w:footnoteRef/>
      </w:r>
      <w:r>
        <w:t xml:space="preserve"> Name meaning: Nadab (Nadav) — Generous; willing. Aaron's son whose priestly privilege ended in judgment for unauthorized fire.</w:t>
      </w:r>
    </w:p>
  </w:footnote>
  <w:footnote w:id="1424">
    <w:p>
      <w:pPr>
        <w:pStyle w:val="FootnoteText"/>
      </w:pPr>
      <w:r>
        <w:rPr>
          <w:rStyle w:val="FootnoteReference"/>
        </w:rPr>
        <w:footnoteRef/>
      </w:r>
      <w:r>
        <w:t xml:space="preserve"> Transliterated proper noun: Abiud. Standard English equivalent: Abiud. Source form: Abiud. Greek form: αβιουδ. Name meaning: father of praise.</w:t>
      </w:r>
    </w:p>
  </w:footnote>
  <w:footnote w:id="1425">
    <w:p>
      <w:pPr>
        <w:pStyle w:val="FootnoteText"/>
      </w:pPr>
      <w:r>
        <w:rPr>
          <w:rStyle w:val="FootnoteReference"/>
        </w:rPr>
        <w:footnoteRef/>
      </w:r>
      <w:r>
        <w:t xml:space="preserve"> Personal name: Eleazar. Personal-name meaning: Eleazar — help of God, court of God. Source form: Eleazar.</w:t>
      </w:r>
    </w:p>
  </w:footnote>
  <w:footnote w:id="1426">
    <w:p>
      <w:pPr>
        <w:pStyle w:val="FootnoteText"/>
      </w:pPr>
      <w:r>
        <w:rPr>
          <w:rStyle w:val="FootnoteReference"/>
        </w:rPr>
        <w:footnoteRef/>
      </w:r>
      <w:r>
        <w:t xml:space="preserve"> Name meaning: Ithamar (Ithamar) — Island or coast of palms. Aaron's son; priestly line continued through him.</w:t>
      </w:r>
    </w:p>
  </w:footnote>
  <w:footnote w:id="1427">
    <w:p>
      <w:pPr>
        <w:pStyle w:val="FootnoteText"/>
      </w:pPr>
      <w:r>
        <w:rPr>
          <w:rStyle w:val="FootnoteReference"/>
        </w:rPr>
        <w:footnoteRef/>
      </w:r>
      <w:r>
        <w:t xml:space="preserve"> Cross-references for "Amminadab": Num 1:7; Num 2:3.</w:t>
      </w:r>
    </w:p>
  </w:footnote>
  <w:footnote w:id="1428">
    <w:p>
      <w:pPr>
        <w:pStyle w:val="FootnoteText"/>
      </w:pPr>
      <w:r>
        <w:rPr>
          <w:rStyle w:val="FootnoteReference"/>
        </w:rPr>
        <w:footnoteRef/>
      </w:r>
      <w:r>
        <w:t xml:space="preserve"> Personal name: Assir. Personal-name meaning: Assir — prisoner; fettered. Source form: Assir.</w:t>
      </w:r>
    </w:p>
  </w:footnote>
  <w:footnote w:id="1429">
    <w:p>
      <w:pPr>
        <w:pStyle w:val="FootnoteText"/>
      </w:pPr>
      <w:r>
        <w:rPr>
          <w:rStyle w:val="FootnoteReference"/>
        </w:rPr>
        <w:footnoteRef/>
      </w:r>
      <w:r>
        <w:t xml:space="preserve"> Personal name: Elkanah. Personal-name meaning: Elkanah — God the zealous; the zeal of God. Source form: Elkanah.</w:t>
      </w:r>
    </w:p>
  </w:footnote>
  <w:footnote w:id="1430">
    <w:p>
      <w:pPr>
        <w:pStyle w:val="FootnoteText"/>
      </w:pPr>
      <w:r>
        <w:rPr>
          <w:rStyle w:val="FootnoteReference"/>
        </w:rPr>
        <w:footnoteRef/>
      </w:r>
      <w:r>
        <w:t xml:space="preserve"> Personal name: Abiasaph. Personal-name meaning: Abiasaph — consuming father; gathering. Source form: Abiasaph.</w:t>
      </w:r>
    </w:p>
  </w:footnote>
  <w:footnote w:id="1431">
    <w:p>
      <w:pPr>
        <w:pStyle w:val="FootnoteText"/>
      </w:pPr>
      <w:r>
        <w:rPr>
          <w:rStyle w:val="FootnoteReference"/>
        </w:rPr>
        <w:footnoteRef/>
      </w:r>
      <w:r>
        <w:t xml:space="preserve"> Cross-references for "Elkanah": 1Sam 1:1; 1Chr 6:23.</w:t>
      </w:r>
    </w:p>
  </w:footnote>
  <w:footnote w:id="1432">
    <w:p>
      <w:pPr>
        <w:pStyle w:val="FootnoteText"/>
      </w:pPr>
      <w:r>
        <w:rPr>
          <w:rStyle w:val="FootnoteReference"/>
        </w:rPr>
        <w:footnoteRef/>
      </w:r>
      <w:r>
        <w:t xml:space="preserve"> Personal name: Putiel. Personal-name meaning: Putiel — God is my fatness. Source form: Putiel.</w:t>
      </w:r>
    </w:p>
  </w:footnote>
  <w:footnote w:id="1433">
    <w:p>
      <w:pPr>
        <w:pStyle w:val="FootnoteText"/>
      </w:pPr>
      <w:r>
        <w:rPr>
          <w:rStyle w:val="FootnoteReference"/>
        </w:rPr>
        <w:footnoteRef/>
      </w:r>
      <w:r>
        <w:t xml:space="preserve"> Personal name: Phinehas. Personal-name meaning: Phinehas — bold aspect; face of trust or protection. Source form: Phinehas.</w:t>
      </w:r>
    </w:p>
  </w:footnote>
  <w:footnote w:id="1434">
    <w:p>
      <w:pPr>
        <w:pStyle w:val="FootnoteText"/>
      </w:pPr>
      <w:r>
        <w:rPr>
          <w:rStyle w:val="FootnoteReference"/>
        </w:rPr>
        <w:footnoteRef/>
      </w:r>
      <w:r>
        <w:t xml:space="preserve"> People-name: Levites. People-name meaning: Levites — people of Levi; joined/attached. Source form: Levites.</w:t>
      </w:r>
    </w:p>
  </w:footnote>
  <w:footnote w:id="1435">
    <w:p>
      <w:pPr>
        <w:pStyle w:val="FootnoteText"/>
      </w:pPr>
      <w:r>
        <w:rPr>
          <w:rStyle w:val="FootnoteReference"/>
        </w:rPr>
        <w:footnoteRef/>
      </w:r>
      <w:r>
        <w:t xml:space="preserve"> Cross-references for "Phinehas": Num 25:7-13; Num 31:6.</w:t>
      </w:r>
    </w:p>
  </w:footnote>
  <w:footnote w:id="1436">
    <w:p>
      <w:pPr>
        <w:pStyle w:val="FootnoteText"/>
      </w:pPr>
      <w:r>
        <w:rPr>
          <w:rStyle w:val="FootnoteReference"/>
        </w:rPr>
        <w:footnoteRef/>
      </w:r>
      <w:r>
        <w:t xml:space="preserve"> Cross-references for "bring": Exod 3:10-11; Exod 6:7.</w:t>
      </w:r>
    </w:p>
  </w:footnote>
  <w:footnote w:id="1437">
    <w:p>
      <w:pPr>
        <w:pStyle w:val="FootnoteText"/>
      </w:pPr>
      <w:r>
        <w:rPr>
          <w:rStyle w:val="FootnoteReference"/>
        </w:rPr>
        <w:footnoteRef/>
      </w:r>
      <w:r>
        <w:t xml:space="preserve"> Cross-references for "I am the": Exod 6:2; Exod 6:6.</w:t>
      </w:r>
    </w:p>
  </w:footnote>
  <w:footnote w:id="1438">
    <w:p>
      <w:pPr>
        <w:pStyle w:val="FootnoteText"/>
      </w:pPr>
      <w:r>
        <w:rPr>
          <w:rStyle w:val="FootnoteReference"/>
        </w:rPr>
        <w:footnoteRef/>
      </w:r>
      <w:r>
        <w:t xml:space="preserve"> Translation note: Greek splits the commission between Moses and Aaron. Current wording preserves that structure.</w:t>
      </w:r>
    </w:p>
  </w:footnote>
  <w:footnote w:id="1439">
    <w:p>
      <w:pPr>
        <w:pStyle w:val="FootnoteText"/>
      </w:pPr>
      <w:r>
        <w:rPr>
          <w:rStyle w:val="FootnoteReference"/>
        </w:rPr>
        <w:footnoteRef/>
      </w:r>
      <w:r>
        <w:t xml:space="preserve"> Cross-references for "multiply": Exod 4:7; Exod 9:16.</w:t>
      </w:r>
    </w:p>
  </w:footnote>
  <w:footnote w:id="1440">
    <w:p>
      <w:pPr>
        <w:pStyle w:val="FootnoteText"/>
      </w:pPr>
      <w:r>
        <w:rPr>
          <w:rStyle w:val="FootnoteReference"/>
        </w:rPr>
        <w:footnoteRef/>
      </w:r>
      <w:r>
        <w:t xml:space="preserve"> Cross-references for "Egyptians": Exod 7:17; Exod 8:10.</w:t>
      </w:r>
    </w:p>
  </w:footnote>
  <w:footnote w:id="1441">
    <w:p>
      <w:pPr>
        <w:pStyle w:val="FootnoteText"/>
      </w:pPr>
      <w:r>
        <w:rPr>
          <w:rStyle w:val="FootnoteReference"/>
        </w:rPr>
        <w:footnoteRef/>
      </w:r>
      <w:r>
        <w:t xml:space="preserve"> Cross-references for "Take": Exod 4:2; Exod 4:17.</w:t>
      </w:r>
    </w:p>
  </w:footnote>
  <w:footnote w:id="1442">
    <w:p>
      <w:pPr>
        <w:pStyle w:val="FootnoteText"/>
      </w:pPr>
      <w:r>
        <w:rPr>
          <w:rStyle w:val="FootnoteReference"/>
        </w:rPr>
        <w:footnoteRef/>
      </w:r>
      <w:r>
        <w:t xml:space="preserve"> Cross-references for "as the Lord": Exod 7:9.</w:t>
      </w:r>
    </w:p>
  </w:footnote>
  <w:footnote w:id="1443">
    <w:p>
      <w:pPr>
        <w:pStyle w:val="FootnoteText"/>
      </w:pPr>
      <w:r>
        <w:rPr>
          <w:rStyle w:val="FootnoteReference"/>
        </w:rPr>
        <w:footnoteRef/>
      </w:r>
      <w:r>
        <w:t xml:space="preserve"> Cross-references for "wise men": Gen 41:8; Gen 41:38-39.</w:t>
      </w:r>
    </w:p>
  </w:footnote>
  <w:footnote w:id="1444">
    <w:p>
      <w:pPr>
        <w:pStyle w:val="FootnoteText"/>
      </w:pPr>
      <w:r>
        <w:rPr>
          <w:rStyle w:val="FootnoteReference"/>
        </w:rPr>
        <w:footnoteRef/>
      </w:r>
      <w:r>
        <w:t xml:space="preserve"> Cross-references for "but Aaron's": Exod 8:18-19; Exod 9:11.</w:t>
      </w:r>
    </w:p>
  </w:footnote>
  <w:footnote w:id="1445">
    <w:p>
      <w:pPr>
        <w:pStyle w:val="FootnoteText"/>
      </w:pPr>
      <w:r>
        <w:rPr>
          <w:rStyle w:val="FootnoteReference"/>
        </w:rPr>
        <w:footnoteRef/>
      </w:r>
      <w:r>
        <w:t xml:space="preserve"> Cross-references for "Pharaoh's": Exod 8:15; Exod 10:1.</w:t>
      </w:r>
    </w:p>
  </w:footnote>
  <w:footnote w:id="1446">
    <w:p>
      <w:pPr>
        <w:pStyle w:val="FootnoteText"/>
      </w:pPr>
      <w:r>
        <w:rPr>
          <w:rStyle w:val="FootnoteReference"/>
        </w:rPr>
        <w:footnoteRef/>
      </w:r>
      <w:r>
        <w:t xml:space="preserve"> Cross-references for "The Lord": Exod 3:18; Exod 5:3.</w:t>
      </w:r>
    </w:p>
  </w:footnote>
  <w:footnote w:id="1447">
    <w:p>
      <w:pPr>
        <w:pStyle w:val="FootnoteText"/>
      </w:pPr>
      <w:r>
        <w:rPr>
          <w:rStyle w:val="FootnoteReference"/>
        </w:rPr>
        <w:footnoteRef/>
      </w:r>
      <w:r>
        <w:t xml:space="preserve"> Cross-references for "the fish": Exod 7:21.</w:t>
      </w:r>
    </w:p>
  </w:footnote>
  <w:footnote w:id="1448">
    <w:p>
      <w:pPr>
        <w:pStyle w:val="FootnoteText"/>
      </w:pPr>
      <w:r>
        <w:rPr>
          <w:rStyle w:val="FootnoteReference"/>
        </w:rPr>
        <w:footnoteRef/>
      </w:r>
      <w:r>
        <w:t xml:space="preserve"> Cross-references for "stretch": Exod 8:5-6; Exod 8:16.</w:t>
      </w:r>
    </w:p>
  </w:footnote>
  <w:footnote w:id="1449">
    <w:p>
      <w:pPr>
        <w:pStyle w:val="FootnoteText"/>
      </w:pPr>
      <w:r>
        <w:rPr>
          <w:rStyle w:val="FootnoteReference"/>
        </w:rPr>
        <w:footnoteRef/>
      </w:r>
      <w:r>
        <w:t xml:space="preserve"> Translation note: Greek says wood and stone broadly here, not only wooden and stone vessels. Current line keeps that breadth.</w:t>
      </w:r>
    </w:p>
  </w:footnote>
  <w:footnote w:id="1450">
    <w:p>
      <w:pPr>
        <w:pStyle w:val="FootnoteText"/>
      </w:pPr>
      <w:r>
        <w:rPr>
          <w:rStyle w:val="FootnoteReference"/>
        </w:rPr>
        <w:footnoteRef/>
      </w:r>
      <w:r>
        <w:t xml:space="preserve"> Translation note: Greek narrates the action plainly. The translation keeps that flow.</w:t>
      </w:r>
    </w:p>
  </w:footnote>
  <w:footnote w:id="1451">
    <w:p>
      <w:pPr>
        <w:pStyle w:val="FootnoteText"/>
      </w:pPr>
      <w:r>
        <w:rPr>
          <w:rStyle w:val="FootnoteReference"/>
        </w:rPr>
        <w:footnoteRef/>
      </w:r>
      <w:r>
        <w:t xml:space="preserve"> Cross-references for "and Pharaoh's": Exod 7:13.</w:t>
      </w:r>
    </w:p>
  </w:footnote>
  <w:footnote w:id="1452">
    <w:p>
      <w:pPr>
        <w:pStyle w:val="FootnoteText"/>
      </w:pPr>
      <w:r>
        <w:rPr>
          <w:rStyle w:val="FootnoteReference"/>
        </w:rPr>
        <w:footnoteRef/>
      </w:r>
      <w:r>
        <w:t xml:space="preserve"> Cross-references for "for they": Exod 7:18-21.</w:t>
      </w:r>
    </w:p>
  </w:footnote>
  <w:footnote w:id="1453">
    <w:p>
      <w:pPr>
        <w:pStyle w:val="FootnoteText"/>
      </w:pPr>
      <w:r>
        <w:rPr>
          <w:rStyle w:val="FootnoteReference"/>
        </w:rPr>
        <w:footnoteRef/>
      </w:r>
      <w:r>
        <w:t xml:space="preserve"> Cross-references for "frogs": Ps 78:45; Ps 105:30.</w:t>
      </w:r>
    </w:p>
  </w:footnote>
  <w:footnote w:id="1454">
    <w:p>
      <w:pPr>
        <w:pStyle w:val="FootnoteText"/>
      </w:pPr>
      <w:r>
        <w:rPr>
          <w:rStyle w:val="FootnoteReference"/>
        </w:rPr>
        <w:footnoteRef/>
      </w:r>
      <w:r>
        <w:t xml:space="preserve"> Translation note: Greek uses a singular collective noun for the plague here. The translation keeps that form as written.</w:t>
      </w:r>
    </w:p>
  </w:footnote>
  <w:footnote w:id="1455">
    <w:p>
      <w:pPr>
        <w:pStyle w:val="FootnoteText"/>
      </w:pPr>
      <w:r>
        <w:rPr>
          <w:rStyle w:val="FootnoteReference"/>
        </w:rPr>
        <w:footnoteRef/>
      </w:r>
      <w:r>
        <w:t xml:space="preserve"> Translation note: Greek says they brought up the frogs upon the land of Egypt.</w:t>
      </w:r>
    </w:p>
  </w:footnote>
  <w:footnote w:id="1456">
    <w:p>
      <w:pPr>
        <w:pStyle w:val="FootnoteText"/>
      </w:pPr>
      <w:r>
        <w:rPr>
          <w:rStyle w:val="FootnoteReference"/>
        </w:rPr>
        <w:footnoteRef/>
      </w:r>
      <w:r>
        <w:t xml:space="preserve"> MT/LXX note: The Septuagint places the plea-to-pray line here rather than the Masoretic plague announcement. The translation follows the Greek content.</w:t>
      </w:r>
    </w:p>
  </w:footnote>
  <w:footnote w:id="1457">
    <w:p>
      <w:pPr>
        <w:pStyle w:val="FootnoteText"/>
      </w:pPr>
      <w:r>
        <w:rPr>
          <w:rStyle w:val="FootnoteReference"/>
        </w:rPr>
        <w:footnoteRef/>
      </w:r>
      <w:r>
        <w:t xml:space="preserve"> MT/LXX note: The Septuagint places the dialogue line here rather than the Masoretic plague-action verse. The translation follows the Greek content.</w:t>
      </w:r>
    </w:p>
  </w:footnote>
  <w:footnote w:id="1458">
    <w:p>
      <w:pPr>
        <w:pStyle w:val="FootnoteText"/>
      </w:pPr>
      <w:r>
        <w:rPr>
          <w:rStyle w:val="FootnoteReference"/>
        </w:rPr>
        <w:footnoteRef/>
      </w:r>
      <w:r>
        <w:t xml:space="preserve"> Translation note: The Greek plague term in this tradition is best rendered gnats rather than the older lice. The translation keeps that choice consistent.</w:t>
      </w:r>
    </w:p>
  </w:footnote>
  <w:footnote w:id="1459">
    <w:p>
      <w:pPr>
        <w:pStyle w:val="FootnoteText"/>
      </w:pPr>
      <w:r>
        <w:rPr>
          <w:rStyle w:val="FootnoteReference"/>
        </w:rPr>
        <w:footnoteRef/>
      </w:r>
      <w:r>
        <w:t xml:space="preserve"> Translation note: Greek uses the same plague term handled elsewhere in this tradition. The translation keeps gnats rather than switching to lice.</w:t>
      </w:r>
    </w:p>
  </w:footnote>
  <w:footnote w:id="1460">
    <w:p>
      <w:pPr>
        <w:pStyle w:val="FootnoteText"/>
      </w:pPr>
      <w:r>
        <w:rPr>
          <w:rStyle w:val="FootnoteReference"/>
        </w:rPr>
        <w:footnoteRef/>
      </w:r>
      <w:r>
        <w:t xml:space="preserve"> MT/LXX note: Greek here has the dog-fly threat, not the MT lice scene.</w:t>
      </w:r>
    </w:p>
  </w:footnote>
  <w:footnote w:id="1461">
    <w:p>
      <w:pPr>
        <w:pStyle w:val="FootnoteText"/>
      </w:pPr>
      <w:r>
        <w:rPr>
          <w:rStyle w:val="FootnoteReference"/>
        </w:rPr>
        <w:footnoteRef/>
      </w:r>
      <w:r>
        <w:t xml:space="preserve"> Translation note: Greek verse numbering here gives Pharaoh's offer.</w:t>
      </w:r>
    </w:p>
  </w:footnote>
  <w:footnote w:id="1462">
    <w:p>
      <w:pPr>
        <w:pStyle w:val="FootnoteText"/>
      </w:pPr>
      <w:r>
        <w:rPr>
          <w:rStyle w:val="FootnoteReference"/>
        </w:rPr>
        <w:footnoteRef/>
      </w:r>
      <w:r>
        <w:t xml:space="preserve"> Translation note: Greek keeps unusual cut-it-too-far image.</w:t>
      </w:r>
    </w:p>
  </w:footnote>
  <w:footnote w:id="1463">
    <w:p>
      <w:pPr>
        <w:pStyle w:val="FootnoteText"/>
      </w:pPr>
      <w:r>
        <w:rPr>
          <w:rStyle w:val="FootnoteReference"/>
        </w:rPr>
        <w:footnoteRef/>
      </w:r>
      <w:r>
        <w:t xml:space="preserve"> Translation note: Greek says dog-fly here. Current line keeps that wording.</w:t>
      </w:r>
    </w:p>
  </w:footnote>
  <w:footnote w:id="1464">
    <w:p>
      <w:pPr>
        <w:pStyle w:val="FootnoteText"/>
      </w:pPr>
      <w:r>
        <w:rPr>
          <w:rStyle w:val="FootnoteReference"/>
        </w:rPr>
        <w:footnoteRef/>
      </w:r>
      <w:r>
        <w:t xml:space="preserve"> Translation note: Greek row here preserves only exit-and-prayer clause.</w:t>
      </w:r>
    </w:p>
  </w:footnote>
  <w:footnote w:id="1465">
    <w:p>
      <w:pPr>
        <w:pStyle w:val="FootnoteText"/>
      </w:pPr>
      <w:r>
        <w:rPr>
          <w:rStyle w:val="FootnoteReference"/>
        </w:rPr>
        <w:footnoteRef/>
      </w:r>
      <w:r>
        <w:t xml:space="preserve"> MT/LXX note: Greek uses the specific plague term dog-fly. This Septuagint verse also corresponds to the plague's removal rather than the Masoretic travel statement in the same numbering area.</w:t>
      </w:r>
    </w:p>
  </w:footnote>
  <w:footnote w:id="1466">
    <w:p>
      <w:pPr>
        <w:pStyle w:val="FootnoteText"/>
      </w:pPr>
      <w:r>
        <w:rPr>
          <w:rStyle w:val="FootnoteReference"/>
        </w:rPr>
        <w:footnoteRef/>
      </w:r>
      <w:r>
        <w:t xml:space="preserve"> MT/LXX note: The Septuagint gives a hardening notice here rather than Pharaoh's speech in the Masoretic text. The translation follows the Greek content.</w:t>
      </w:r>
    </w:p>
  </w:footnote>
  <w:footnote w:id="1467">
    <w:p>
      <w:pPr>
        <w:pStyle w:val="FootnoteText"/>
      </w:pPr>
      <w:r>
        <w:rPr>
          <w:rStyle w:val="FootnoteReference"/>
        </w:rPr>
        <w:footnoteRef/>
      </w:r>
      <w:r>
        <w:t xml:space="preserve"> Cross-references for "the hand": Exod 7:4; Exod 8:19.</w:t>
      </w:r>
    </w:p>
  </w:footnote>
  <w:footnote w:id="1468">
    <w:p>
      <w:pPr>
        <w:pStyle w:val="FootnoteText"/>
      </w:pPr>
      <w:r>
        <w:rPr>
          <w:rStyle w:val="FootnoteReference"/>
        </w:rPr>
        <w:footnoteRef/>
      </w:r>
      <w:r>
        <w:t xml:space="preserve"> Cross-references for "send all": Lev 26:18; Lev 26:21.</w:t>
      </w:r>
    </w:p>
  </w:footnote>
  <w:footnote w:id="1469">
    <w:p>
      <w:pPr>
        <w:pStyle w:val="FootnoteText"/>
      </w:pPr>
      <w:r>
        <w:rPr>
          <w:rStyle w:val="FootnoteReference"/>
        </w:rPr>
        <w:footnoteRef/>
      </w:r>
      <w:r>
        <w:t xml:space="preserve"> Translation note: Greek states the death-threat line directly. Current wording preserves that plague warning without softening it.</w:t>
      </w:r>
    </w:p>
  </w:footnote>
  <w:footnote w:id="1470">
    <w:p>
      <w:pPr>
        <w:pStyle w:val="FootnoteText"/>
      </w:pPr>
      <w:r>
        <w:rPr>
          <w:rStyle w:val="FootnoteReference"/>
        </w:rPr>
        <w:footnoteRef/>
      </w:r>
      <w:r>
        <w:t xml:space="preserve"> Cross-references for "that my": 1Chr 16:24; Ps 64:9.</w:t>
      </w:r>
    </w:p>
  </w:footnote>
  <w:footnote w:id="1471">
    <w:p>
      <w:pPr>
        <w:pStyle w:val="FootnoteText"/>
      </w:pPr>
      <w:r>
        <w:rPr>
          <w:rStyle w:val="FootnoteReference"/>
        </w:rPr>
        <w:footnoteRef/>
      </w:r>
      <w:r>
        <w:t xml:space="preserve"> Translation note: Greek frames the warning around what remains in field vs what comes into house. Current line keeps that contrast.</w:t>
      </w:r>
    </w:p>
  </w:footnote>
  <w:footnote w:id="1472">
    <w:p>
      <w:pPr>
        <w:pStyle w:val="FootnoteText"/>
      </w:pPr>
      <w:r>
        <w:rPr>
          <w:rStyle w:val="FootnoteReference"/>
        </w:rPr>
        <w:footnoteRef/>
      </w:r>
      <w:r>
        <w:t xml:space="preserve"> Cross-references for "the hail": Exod 9:25.</w:t>
      </w:r>
    </w:p>
  </w:footnote>
  <w:footnote w:id="1473">
    <w:p>
      <w:pPr>
        <w:pStyle w:val="FootnoteText"/>
      </w:pPr>
      <w:r>
        <w:rPr>
          <w:rStyle w:val="FootnoteReference"/>
        </w:rPr>
        <w:footnoteRef/>
      </w:r>
      <w:r>
        <w:t xml:space="preserve"> Cross-references for "and hail": Josh 10:11; Job 38:22-23.</w:t>
      </w:r>
    </w:p>
  </w:footnote>
  <w:footnote w:id="1474">
    <w:p>
      <w:pPr>
        <w:pStyle w:val="FootnoteText"/>
      </w:pPr>
      <w:r>
        <w:rPr>
          <w:rStyle w:val="FootnoteReference"/>
        </w:rPr>
        <w:footnoteRef/>
      </w:r>
      <w:r>
        <w:t xml:space="preserve"> Cross-references for "The Lord": 2Chr 12:6; Ps 9:16.</w:t>
      </w:r>
    </w:p>
  </w:footnote>
  <w:footnote w:id="1475">
    <w:p>
      <w:pPr>
        <w:pStyle w:val="FootnoteText"/>
      </w:pPr>
      <w:r>
        <w:rPr>
          <w:rStyle w:val="FootnoteReference"/>
        </w:rPr>
        <w:footnoteRef/>
      </w:r>
      <w:r>
        <w:t xml:space="preserve"> Translation note: Greek says spread out my hands here. Current line keeps that wording.</w:t>
      </w:r>
    </w:p>
  </w:footnote>
  <w:footnote w:id="1476">
    <w:p>
      <w:pPr>
        <w:pStyle w:val="FootnoteText"/>
      </w:pPr>
      <w:r>
        <w:rPr>
          <w:rStyle w:val="FootnoteReference"/>
        </w:rPr>
        <w:footnoteRef/>
      </w:r>
      <w:r>
        <w:t xml:space="preserve"> Cross-references for "spread": Exod 9:33; 1Kgs 8:22.</w:t>
      </w:r>
    </w:p>
  </w:footnote>
  <w:footnote w:id="1477">
    <w:p>
      <w:pPr>
        <w:pStyle w:val="FootnoteText"/>
      </w:pPr>
      <w:r>
        <w:rPr>
          <w:rStyle w:val="FootnoteReference"/>
        </w:rPr>
        <w:footnoteRef/>
      </w:r>
      <w:r>
        <w:t xml:space="preserve"> Cross-references for "the barley": Ruth 1:22; Ruth 2:23.</w:t>
      </w:r>
    </w:p>
  </w:footnote>
  <w:footnote w:id="1478">
    <w:p>
      <w:pPr>
        <w:pStyle w:val="FootnoteText"/>
      </w:pPr>
      <w:r>
        <w:rPr>
          <w:rStyle w:val="FootnoteReference"/>
        </w:rPr>
        <w:footnoteRef/>
      </w:r>
      <w:r>
        <w:t xml:space="preserve"> Cross-references for "spread": Exod 8:12; Exod 9:29.</w:t>
      </w:r>
    </w:p>
  </w:footnote>
  <w:footnote w:id="1479">
    <w:p>
      <w:pPr>
        <w:pStyle w:val="FootnoteText"/>
      </w:pPr>
      <w:r>
        <w:rPr>
          <w:rStyle w:val="FootnoteReference"/>
        </w:rPr>
        <w:footnoteRef/>
      </w:r>
      <w:r>
        <w:t xml:space="preserve"> Cross-references for "I have hardened": Exod 4:21; Exod 7:13-14.</w:t>
      </w:r>
    </w:p>
  </w:footnote>
  <w:footnote w:id="1480">
    <w:p>
      <w:pPr>
        <w:pStyle w:val="FootnoteText"/>
      </w:pPr>
      <w:r>
        <w:rPr>
          <w:rStyle w:val="FootnoteReference"/>
        </w:rPr>
        <w:footnoteRef/>
      </w:r>
      <w:r>
        <w:t xml:space="preserve"> Translation note: Greek says signs may come in turn upon them.</w:t>
      </w:r>
    </w:p>
  </w:footnote>
  <w:footnote w:id="1481">
    <w:p>
      <w:pPr>
        <w:pStyle w:val="FootnoteText"/>
      </w:pPr>
      <w:r>
        <w:rPr>
          <w:rStyle w:val="FootnoteReference"/>
        </w:rPr>
        <w:footnoteRef/>
      </w:r>
      <w:r>
        <w:t xml:space="preserve"> Cross-references for "How long": Exod 9:17; Exod 16:28.</w:t>
      </w:r>
    </w:p>
  </w:footnote>
  <w:footnote w:id="1482">
    <w:p>
      <w:pPr>
        <w:pStyle w:val="FootnoteText"/>
      </w:pPr>
      <w:r>
        <w:rPr>
          <w:rStyle w:val="FootnoteReference"/>
        </w:rPr>
        <w:footnoteRef/>
      </w:r>
      <w:r>
        <w:t xml:space="preserve"> Cross-references for "locusts": Prov 30:27; Joel 1:4-7.</w:t>
      </w:r>
    </w:p>
  </w:footnote>
  <w:footnote w:id="1483">
    <w:p>
      <w:pPr>
        <w:pStyle w:val="FootnoteText"/>
      </w:pPr>
      <w:r>
        <w:rPr>
          <w:rStyle w:val="FootnoteReference"/>
        </w:rPr>
        <w:footnoteRef/>
      </w:r>
      <w:r>
        <w:t xml:space="preserve"> Cross-references for "face": Exod 10:15.</w:t>
      </w:r>
    </w:p>
  </w:footnote>
  <w:footnote w:id="1484">
    <w:p>
      <w:pPr>
        <w:pStyle w:val="FootnoteText"/>
      </w:pPr>
      <w:r>
        <w:rPr>
          <w:rStyle w:val="FootnoteReference"/>
        </w:rPr>
        <w:footnoteRef/>
      </w:r>
      <w:r>
        <w:t xml:space="preserve"> Translation note: Greek says Moses turned aside and went out from Pharaoh.</w:t>
      </w:r>
    </w:p>
  </w:footnote>
  <w:footnote w:id="1485">
    <w:p>
      <w:pPr>
        <w:pStyle w:val="FootnoteText"/>
      </w:pPr>
      <w:r>
        <w:rPr>
          <w:rStyle w:val="FootnoteReference"/>
        </w:rPr>
        <w:footnoteRef/>
      </w:r>
      <w:r>
        <w:t xml:space="preserve"> Cross-references for "How long": Exod 10:3.</w:t>
      </w:r>
    </w:p>
  </w:footnote>
  <w:footnote w:id="1486">
    <w:p>
      <w:pPr>
        <w:pStyle w:val="FootnoteText"/>
      </w:pPr>
      <w:r>
        <w:rPr>
          <w:rStyle w:val="FootnoteReference"/>
        </w:rPr>
        <w:footnoteRef/>
      </w:r>
      <w:r>
        <w:t xml:space="preserve"> Cross-references for "brought": Exod 10:16; Exod 10:24.</w:t>
      </w:r>
    </w:p>
  </w:footnote>
  <w:footnote w:id="1487">
    <w:p>
      <w:pPr>
        <w:pStyle w:val="FootnoteText"/>
      </w:pPr>
      <w:r>
        <w:rPr>
          <w:rStyle w:val="FootnoteReference"/>
        </w:rPr>
        <w:footnoteRef/>
      </w:r>
      <w:r>
        <w:t xml:space="preserve"> Cross-references for "We will go": Gen 50:8; Deut 31:12-13.</w:t>
      </w:r>
    </w:p>
  </w:footnote>
  <w:footnote w:id="1488">
    <w:p>
      <w:pPr>
        <w:pStyle w:val="FootnoteText"/>
      </w:pPr>
      <w:r>
        <w:rPr>
          <w:rStyle w:val="FootnoteReference"/>
        </w:rPr>
        <w:footnoteRef/>
      </w:r>
      <w:r>
        <w:t xml:space="preserve"> Cross-references for "Stretch": Exod 7:19.</w:t>
      </w:r>
    </w:p>
  </w:footnote>
  <w:footnote w:id="1489">
    <w:p>
      <w:pPr>
        <w:pStyle w:val="FootnoteText"/>
      </w:pPr>
      <w:r>
        <w:rPr>
          <w:rStyle w:val="FootnoteReference"/>
        </w:rPr>
        <w:footnoteRef/>
      </w:r>
      <w:r>
        <w:t xml:space="preserve"> Translation note: Greek frames the plague as a direct command for locust to come up and consume what hail left. Current wording preserves that command form.</w:t>
      </w:r>
    </w:p>
  </w:footnote>
  <w:footnote w:id="1490">
    <w:p>
      <w:pPr>
        <w:pStyle w:val="FootnoteText"/>
      </w:pPr>
      <w:r>
        <w:rPr>
          <w:rStyle w:val="FootnoteReference"/>
        </w:rPr>
        <w:footnoteRef/>
      </w:r>
      <w:r>
        <w:t xml:space="preserve"> Translation note: Greek says land was ruined.</w:t>
      </w:r>
    </w:p>
  </w:footnote>
  <w:footnote w:id="1491">
    <w:p>
      <w:pPr>
        <w:pStyle w:val="FootnoteText"/>
      </w:pPr>
      <w:r>
        <w:rPr>
          <w:rStyle w:val="FootnoteReference"/>
        </w:rPr>
        <w:footnoteRef/>
      </w:r>
      <w:r>
        <w:t xml:space="preserve"> Cross-references for "Forgive": 1Sam 15:25.</w:t>
      </w:r>
    </w:p>
  </w:footnote>
  <w:footnote w:id="1492">
    <w:p>
      <w:pPr>
        <w:pStyle w:val="FootnoteText"/>
      </w:pPr>
      <w:r>
        <w:rPr>
          <w:rStyle w:val="FootnoteReference"/>
        </w:rPr>
        <w:footnoteRef/>
      </w:r>
      <w:r>
        <w:t xml:space="preserve"> Cross-references for "went": Exod 8:30.</w:t>
      </w:r>
    </w:p>
  </w:footnote>
  <w:footnote w:id="1493">
    <w:p>
      <w:pPr>
        <w:pStyle w:val="FootnoteText"/>
      </w:pPr>
      <w:r>
        <w:rPr>
          <w:rStyle w:val="FootnoteReference"/>
        </w:rPr>
        <w:footnoteRef/>
      </w:r>
      <w:r>
        <w:t xml:space="preserve"> Cross-references for "the Red Sea": Exod 13:18; Exod 15:4.</w:t>
      </w:r>
    </w:p>
  </w:footnote>
  <w:footnote w:id="1494">
    <w:p>
      <w:pPr>
        <w:pStyle w:val="FootnoteText"/>
      </w:pPr>
      <w:r>
        <w:rPr>
          <w:rStyle w:val="FootnoteReference"/>
        </w:rPr>
        <w:footnoteRef/>
      </w:r>
      <w:r>
        <w:t xml:space="preserve"> Cross-references for "Stretch": Exod 9:22.</w:t>
      </w:r>
    </w:p>
  </w:footnote>
  <w:footnote w:id="1495">
    <w:p>
      <w:pPr>
        <w:pStyle w:val="FootnoteText"/>
      </w:pPr>
      <w:r>
        <w:rPr>
          <w:rStyle w:val="FootnoteReference"/>
        </w:rPr>
        <w:footnoteRef/>
      </w:r>
      <w:r>
        <w:t xml:space="preserve"> Cross-references for "But all": Exod 8:22; Exod 9:4.</w:t>
      </w:r>
    </w:p>
  </w:footnote>
  <w:footnote w:id="1496">
    <w:p>
      <w:pPr>
        <w:pStyle w:val="FootnoteText"/>
      </w:pPr>
      <w:r>
        <w:rPr>
          <w:rStyle w:val="FootnoteReference"/>
        </w:rPr>
        <w:footnoteRef/>
      </w:r>
      <w:r>
        <w:t xml:space="preserve"> Cross-references for "sacrifices": Exod 29:1-46; Lev 9:22.</w:t>
      </w:r>
    </w:p>
  </w:footnote>
  <w:footnote w:id="1497">
    <w:p>
      <w:pPr>
        <w:pStyle w:val="FootnoteText"/>
      </w:pPr>
      <w:r>
        <w:rPr>
          <w:rStyle w:val="FootnoteReference"/>
        </w:rPr>
        <w:footnoteRef/>
      </w:r>
      <w:r>
        <w:t xml:space="preserve"> Cross-references for "and we": Prov 3:9; Heb 11:8.</w:t>
      </w:r>
    </w:p>
  </w:footnote>
  <w:footnote w:id="1498">
    <w:p>
      <w:pPr>
        <w:pStyle w:val="FootnoteText"/>
      </w:pPr>
      <w:r>
        <w:rPr>
          <w:rStyle w:val="FootnoteReference"/>
        </w:rPr>
        <w:footnoteRef/>
      </w:r>
      <w:r>
        <w:t xml:space="preserve"> Translation note: Greek states Pharaoh's refusal with will language. Current wording preserves that line.</w:t>
      </w:r>
    </w:p>
  </w:footnote>
  <w:footnote w:id="1499">
    <w:p>
      <w:pPr>
        <w:pStyle w:val="FootnoteText"/>
      </w:pPr>
      <w:r>
        <w:rPr>
          <w:rStyle w:val="FootnoteReference"/>
        </w:rPr>
        <w:footnoteRef/>
      </w:r>
      <w:r>
        <w:t xml:space="preserve"> Translation note: Greek doubles expulsion language here.</w:t>
      </w:r>
    </w:p>
  </w:footnote>
  <w:footnote w:id="1500">
    <w:p>
      <w:pPr>
        <w:pStyle w:val="FootnoteText"/>
      </w:pPr>
      <w:r>
        <w:rPr>
          <w:rStyle w:val="FootnoteReference"/>
        </w:rPr>
        <w:footnoteRef/>
      </w:r>
      <w:r>
        <w:t xml:space="preserve"> Cross-references for "the Lord": Gen 39:21; Exod 3:21.</w:t>
      </w:r>
    </w:p>
  </w:footnote>
  <w:footnote w:id="1501">
    <w:p>
      <w:pPr>
        <w:pStyle w:val="FootnoteText"/>
      </w:pPr>
      <w:r>
        <w:rPr>
          <w:rStyle w:val="FootnoteReference"/>
        </w:rPr>
        <w:footnoteRef/>
      </w:r>
      <w:r>
        <w:t xml:space="preserve"> Cross-references for "the firstborn": Exod 4:23; Exod 12:12.</w:t>
      </w:r>
    </w:p>
  </w:footnote>
  <w:footnote w:id="1502">
    <w:p>
      <w:pPr>
        <w:pStyle w:val="FootnoteText"/>
      </w:pPr>
      <w:r>
        <w:rPr>
          <w:rStyle w:val="FootnoteReference"/>
        </w:rPr>
        <w:footnoteRef/>
      </w:r>
      <w:r>
        <w:t xml:space="preserve"> Translation note: Greek says people whom you lead.</w:t>
      </w:r>
    </w:p>
  </w:footnote>
  <w:footnote w:id="1503">
    <w:p>
      <w:pPr>
        <w:pStyle w:val="FootnoteText"/>
      </w:pPr>
      <w:r>
        <w:rPr>
          <w:rStyle w:val="FootnoteReference"/>
        </w:rPr>
        <w:footnoteRef/>
      </w:r>
      <w:r>
        <w:t xml:space="preserve"> Cross-references for "Pharaoh": Exod 3:19; Exod 7:4.</w:t>
      </w:r>
    </w:p>
  </w:footnote>
  <w:footnote w:id="1504">
    <w:p>
      <w:pPr>
        <w:pStyle w:val="FootnoteText"/>
      </w:pPr>
      <w:r>
        <w:rPr>
          <w:rStyle w:val="FootnoteReference"/>
        </w:rPr>
        <w:footnoteRef/>
      </w:r>
      <w:r>
        <w:t xml:space="preserve"> Cross-references for "the Lord": Exod 4:21; Exod 7:13-14.</w:t>
      </w:r>
    </w:p>
  </w:footnote>
  <w:footnote w:id="1505">
    <w:p>
      <w:pPr>
        <w:pStyle w:val="FootnoteText"/>
      </w:pPr>
      <w:r>
        <w:rPr>
          <w:rStyle w:val="FootnoteReference"/>
        </w:rPr>
        <w:footnoteRef/>
      </w:r>
      <w:r>
        <w:t xml:space="preserve"> Translation note: Greek says animal from the flock here rather than lamb alone.</w:t>
      </w:r>
    </w:p>
  </w:footnote>
  <w:footnote w:id="1506">
    <w:p>
      <w:pPr>
        <w:pStyle w:val="FootnoteText"/>
      </w:pPr>
      <w:r>
        <w:rPr>
          <w:rStyle w:val="FootnoteReference"/>
        </w:rPr>
        <w:footnoteRef/>
      </w:r>
      <w:r>
        <w:t xml:space="preserve"> Cross-references for "fourteenth": Lev 23:5; Num 9:3.</w:t>
      </w:r>
    </w:p>
  </w:footnote>
  <w:footnote w:id="1507">
    <w:p>
      <w:pPr>
        <w:pStyle w:val="FootnoteText"/>
      </w:pPr>
      <w:r>
        <w:rPr>
          <w:rStyle w:val="FootnoteReference"/>
        </w:rPr>
        <w:footnoteRef/>
      </w:r>
      <w:r>
        <w:t xml:space="preserve"> Cross-references for "eat the": Matt 26:26; John 6:52-57.</w:t>
      </w:r>
    </w:p>
  </w:footnote>
  <w:footnote w:id="1508">
    <w:p>
      <w:pPr>
        <w:pStyle w:val="FootnoteText"/>
      </w:pPr>
      <w:r>
        <w:rPr>
          <w:rStyle w:val="FootnoteReference"/>
        </w:rPr>
        <w:footnoteRef/>
      </w:r>
      <w:r>
        <w:t xml:space="preserve"> Translation note: Greek gives the meal instructions in compact sequence. Current wording preserves it.</w:t>
      </w:r>
    </w:p>
  </w:footnote>
  <w:footnote w:id="1509">
    <w:p>
      <w:pPr>
        <w:pStyle w:val="FootnoteText"/>
      </w:pPr>
      <w:r>
        <w:rPr>
          <w:rStyle w:val="FootnoteReference"/>
        </w:rPr>
        <w:footnoteRef/>
      </w:r>
      <w:r>
        <w:t xml:space="preserve"> Cross-references for "pass": Exod 11:4-5; Exod 12:23.</w:t>
      </w:r>
    </w:p>
  </w:footnote>
  <w:footnote w:id="1510">
    <w:p>
      <w:pPr>
        <w:pStyle w:val="FootnoteText"/>
      </w:pPr>
      <w:r>
        <w:rPr>
          <w:rStyle w:val="FootnoteReference"/>
        </w:rPr>
        <w:footnoteRef/>
      </w:r>
      <w:r>
        <w:t xml:space="preserve"> Cross-references for "the blood": Gen 17:11; Exod 12:23.</w:t>
      </w:r>
    </w:p>
  </w:footnote>
  <w:footnote w:id="1511">
    <w:p>
      <w:pPr>
        <w:pStyle w:val="FootnoteText"/>
      </w:pPr>
      <w:r>
        <w:rPr>
          <w:rStyle w:val="FootnoteReference"/>
        </w:rPr>
        <w:footnoteRef/>
      </w:r>
      <w:r>
        <w:t xml:space="preserve"> Translation note: Greek says I will shelter you.</w:t>
      </w:r>
    </w:p>
  </w:footnote>
  <w:footnote w:id="1512">
    <w:p>
      <w:pPr>
        <w:pStyle w:val="FootnoteText"/>
      </w:pPr>
      <w:r>
        <w:rPr>
          <w:rStyle w:val="FootnoteReference"/>
        </w:rPr>
        <w:footnoteRef/>
      </w:r>
      <w:r>
        <w:t xml:space="preserve"> Cross-references for "memorial": Exod 13:9; Num 16:40.</w:t>
      </w:r>
    </w:p>
  </w:footnote>
  <w:footnote w:id="1513">
    <w:p>
      <w:pPr>
        <w:pStyle w:val="FootnoteText"/>
      </w:pPr>
      <w:r>
        <w:rPr>
          <w:rStyle w:val="FootnoteReference"/>
        </w:rPr>
        <w:footnoteRef/>
      </w:r>
      <w:r>
        <w:t xml:space="preserve"> Cross-references for "Seven": Exod 12:8; Exod 13:6.</w:t>
      </w:r>
    </w:p>
  </w:footnote>
  <w:footnote w:id="1514">
    <w:p>
      <w:pPr>
        <w:pStyle w:val="FootnoteText"/>
      </w:pPr>
      <w:r>
        <w:rPr>
          <w:rStyle w:val="FootnoteReference"/>
        </w:rPr>
        <w:footnoteRef/>
      </w:r>
      <w:r>
        <w:t xml:space="preserve"> Translation note: Greek uses a destruction verb stronger than the common cut-off formula. The translation keeps that force.</w:t>
      </w:r>
    </w:p>
  </w:footnote>
  <w:footnote w:id="1515">
    <w:p>
      <w:pPr>
        <w:pStyle w:val="FootnoteText"/>
      </w:pPr>
      <w:r>
        <w:rPr>
          <w:rStyle w:val="FootnoteReference"/>
        </w:rPr>
        <w:footnoteRef/>
      </w:r>
      <w:r>
        <w:t xml:space="preserve"> Cross-references for "first day": Lev 23:2-3; Lev 23:7-8.</w:t>
      </w:r>
    </w:p>
  </w:footnote>
  <w:footnote w:id="1516">
    <w:p>
      <w:pPr>
        <w:pStyle w:val="FootnoteText"/>
      </w:pPr>
      <w:r>
        <w:rPr>
          <w:rStyle w:val="FootnoteReference"/>
        </w:rPr>
        <w:footnoteRef/>
      </w:r>
      <w:r>
        <w:t xml:space="preserve"> Translation note: Greek says what will be made for every person/soul.</w:t>
      </w:r>
    </w:p>
  </w:footnote>
  <w:footnote w:id="1517">
    <w:p>
      <w:pPr>
        <w:pStyle w:val="FootnoteText"/>
      </w:pPr>
      <w:r>
        <w:rPr>
          <w:rStyle w:val="FootnoteReference"/>
        </w:rPr>
        <w:footnoteRef/>
      </w:r>
      <w:r>
        <w:t xml:space="preserve"> Translation note: Greek says keep this command and bring out your hosts.</w:t>
      </w:r>
    </w:p>
  </w:footnote>
  <w:footnote w:id="1518">
    <w:p>
      <w:pPr>
        <w:pStyle w:val="FootnoteText"/>
      </w:pPr>
      <w:r>
        <w:rPr>
          <w:rStyle w:val="FootnoteReference"/>
        </w:rPr>
        <w:footnoteRef/>
      </w:r>
      <w:r>
        <w:t xml:space="preserve"> Cross-references for "seven": Exod 23:15; Exod 34:18.</w:t>
      </w:r>
    </w:p>
  </w:footnote>
  <w:footnote w:id="1519">
    <w:p>
      <w:pPr>
        <w:pStyle w:val="FootnoteText"/>
      </w:pPr>
      <w:r>
        <w:rPr>
          <w:rStyle w:val="FootnoteReference"/>
        </w:rPr>
        <w:footnoteRef/>
      </w:r>
      <w:r>
        <w:t xml:space="preserve"> Cross-references for "elders": Exod 3:16; Exod 17:5.</w:t>
      </w:r>
    </w:p>
  </w:footnote>
  <w:footnote w:id="1520">
    <w:p>
      <w:pPr>
        <w:pStyle w:val="FootnoteText"/>
      </w:pPr>
      <w:r>
        <w:rPr>
          <w:rStyle w:val="FootnoteReference"/>
        </w:rPr>
        <w:footnoteRef/>
      </w:r>
      <w:r>
        <w:t xml:space="preserve"> Translation note: Greek says bunch of hyssop here. Current line keeps that wording.</w:t>
      </w:r>
    </w:p>
  </w:footnote>
  <w:footnote w:id="1521">
    <w:p>
      <w:pPr>
        <w:pStyle w:val="FootnoteText"/>
      </w:pPr>
      <w:r>
        <w:rPr>
          <w:rStyle w:val="FootnoteReference"/>
        </w:rPr>
        <w:footnoteRef/>
      </w:r>
      <w:r>
        <w:t xml:space="preserve"> Cross-references for "a bunch": Lev 14:6-7; Num 19:18.</w:t>
      </w:r>
    </w:p>
  </w:footnote>
  <w:footnote w:id="1522">
    <w:p>
      <w:pPr>
        <w:pStyle w:val="FootnoteText"/>
      </w:pPr>
      <w:r>
        <w:rPr>
          <w:rStyle w:val="FootnoteReference"/>
        </w:rPr>
        <w:footnoteRef/>
      </w:r>
      <w:r>
        <w:t xml:space="preserve"> Translation note: Greek says will not allow the destroyer to enter.</w:t>
      </w:r>
    </w:p>
  </w:footnote>
  <w:footnote w:id="1523">
    <w:p>
      <w:pPr>
        <w:pStyle w:val="FootnoteText"/>
      </w:pPr>
      <w:r>
        <w:rPr>
          <w:rStyle w:val="FootnoteReference"/>
        </w:rPr>
        <w:footnoteRef/>
      </w:r>
      <w:r>
        <w:t xml:space="preserve"> Cross-references for "and will not": 2Sam 24:16; Isa 37:36.</w:t>
      </w:r>
    </w:p>
  </w:footnote>
  <w:footnote w:id="1524">
    <w:p>
      <w:pPr>
        <w:pStyle w:val="FootnoteText"/>
      </w:pPr>
      <w:r>
        <w:rPr>
          <w:rStyle w:val="FootnoteReference"/>
        </w:rPr>
        <w:footnoteRef/>
      </w:r>
      <w:r>
        <w:t xml:space="preserve"> Cross-references for "bowed": Exod 4:31; Exod 34:8.</w:t>
      </w:r>
    </w:p>
  </w:footnote>
  <w:footnote w:id="1525">
    <w:p>
      <w:pPr>
        <w:pStyle w:val="FootnoteText"/>
      </w:pPr>
      <w:r>
        <w:rPr>
          <w:rStyle w:val="FootnoteReference"/>
        </w:rPr>
        <w:footnoteRef/>
      </w:r>
      <w:r>
        <w:t xml:space="preserve"> Translation note: Greek gives the response in a plain obedience sequence. Current wording preserves that pattern.</w:t>
      </w:r>
    </w:p>
  </w:footnote>
  <w:footnote w:id="1526">
    <w:p>
      <w:pPr>
        <w:pStyle w:val="FootnoteText"/>
      </w:pPr>
      <w:r>
        <w:rPr>
          <w:rStyle w:val="FootnoteReference"/>
        </w:rPr>
        <w:footnoteRef/>
      </w:r>
      <w:r>
        <w:t xml:space="preserve"> Cross-references for "at midnight": Exod 11:4; Exod 12:12.</w:t>
      </w:r>
    </w:p>
  </w:footnote>
  <w:footnote w:id="1527">
    <w:p>
      <w:pPr>
        <w:pStyle w:val="FootnoteText"/>
      </w:pPr>
      <w:r>
        <w:rPr>
          <w:rStyle w:val="FootnoteReference"/>
        </w:rPr>
        <w:footnoteRef/>
      </w:r>
      <w:r>
        <w:t xml:space="preserve"> Cross-references for "and there was a great cry": Exod 11:6; Prov 21:13.</w:t>
      </w:r>
    </w:p>
  </w:footnote>
  <w:footnote w:id="1528">
    <w:p>
      <w:pPr>
        <w:pStyle w:val="FootnoteText"/>
      </w:pPr>
      <w:r>
        <w:rPr>
          <w:rStyle w:val="FootnoteReference"/>
        </w:rPr>
        <w:footnoteRef/>
      </w:r>
      <w:r>
        <w:t xml:space="preserve"> Cross-references for "called": Exod 10:29.</w:t>
      </w:r>
    </w:p>
  </w:footnote>
  <w:footnote w:id="1529">
    <w:p>
      <w:pPr>
        <w:pStyle w:val="FootnoteText"/>
      </w:pPr>
      <w:r>
        <w:rPr>
          <w:rStyle w:val="FootnoteReference"/>
        </w:rPr>
        <w:footnoteRef/>
      </w:r>
      <w:r>
        <w:t xml:space="preserve"> Cross-references for "bless me": Gen 27:34; Gen 27:38.</w:t>
      </w:r>
    </w:p>
  </w:footnote>
  <w:footnote w:id="1530">
    <w:p>
      <w:pPr>
        <w:pStyle w:val="FootnoteText"/>
      </w:pPr>
      <w:r>
        <w:rPr>
          <w:rStyle w:val="FootnoteReference"/>
        </w:rPr>
        <w:footnoteRef/>
      </w:r>
      <w:r>
        <w:t xml:space="preserve"> Cross-references for "the Lord": Gen 39:21; Exod 3:21.</w:t>
      </w:r>
    </w:p>
  </w:footnote>
  <w:footnote w:id="1531">
    <w:p>
      <w:pPr>
        <w:pStyle w:val="FootnoteText"/>
      </w:pPr>
      <w:r>
        <w:rPr>
          <w:rStyle w:val="FootnoteReference"/>
        </w:rPr>
        <w:footnoteRef/>
      </w:r>
      <w:r>
        <w:t xml:space="preserve"> Cross-references for "Rameses": Gen 47:11; Exod 1:11.</w:t>
      </w:r>
    </w:p>
  </w:footnote>
  <w:footnote w:id="1532">
    <w:p>
      <w:pPr>
        <w:pStyle w:val="FootnoteText"/>
      </w:pPr>
      <w:r>
        <w:rPr>
          <w:rStyle w:val="FootnoteReference"/>
        </w:rPr>
        <w:footnoteRef/>
      </w:r>
      <w:r>
        <w:t xml:space="preserve"> Place name: Succoth. Place-name meaning: Succoth — tents; tabernacles. Source form: Succoth. Greek form: σοκχωθα.</w:t>
      </w:r>
    </w:p>
  </w:footnote>
  <w:footnote w:id="1533">
    <w:p>
      <w:pPr>
        <w:pStyle w:val="FootnoteText"/>
      </w:pPr>
      <w:r>
        <w:rPr>
          <w:rStyle w:val="FootnoteReference"/>
        </w:rPr>
        <w:footnoteRef/>
      </w:r>
      <w:r>
        <w:t xml:space="preserve"> Translation note: Greek says they had not prepared provisions for journey.</w:t>
      </w:r>
    </w:p>
  </w:footnote>
  <w:footnote w:id="1534">
    <w:p>
      <w:pPr>
        <w:pStyle w:val="FootnoteText"/>
      </w:pPr>
      <w:r>
        <w:rPr>
          <w:rStyle w:val="FootnoteReference"/>
        </w:rPr>
        <w:footnoteRef/>
      </w:r>
      <w:r>
        <w:t xml:space="preserve"> Cross-references for "four hundred": Gen 12:1-3; Gen 15:13.</w:t>
      </w:r>
    </w:p>
  </w:footnote>
  <w:footnote w:id="1535">
    <w:p>
      <w:pPr>
        <w:pStyle w:val="FootnoteText"/>
      </w:pPr>
      <w:r>
        <w:rPr>
          <w:rStyle w:val="FootnoteReference"/>
        </w:rPr>
        <w:footnoteRef/>
      </w:r>
      <w:r>
        <w:t xml:space="preserve"> Cross-references for "hosts": Exod 7:4; Exod 12:51.</w:t>
      </w:r>
    </w:p>
  </w:footnote>
  <w:footnote w:id="1536">
    <w:p>
      <w:pPr>
        <w:pStyle w:val="FootnoteText"/>
      </w:pPr>
      <w:r>
        <w:rPr>
          <w:rStyle w:val="FootnoteReference"/>
        </w:rPr>
        <w:footnoteRef/>
      </w:r>
      <w:r>
        <w:t xml:space="preserve"> Cross-references for "one house": 1Cor 12:12; Eph 2:19-22.</w:t>
      </w:r>
    </w:p>
  </w:footnote>
  <w:footnote w:id="1537">
    <w:p>
      <w:pPr>
        <w:pStyle w:val="FootnoteText"/>
      </w:pPr>
      <w:r>
        <w:rPr>
          <w:rStyle w:val="FootnoteReference"/>
        </w:rPr>
        <w:footnoteRef/>
      </w:r>
      <w:r>
        <w:t xml:space="preserve"> Translation note: Greek says newcomer and come near to keep Passover.</w:t>
      </w:r>
    </w:p>
  </w:footnote>
  <w:footnote w:id="1538">
    <w:p>
      <w:pPr>
        <w:pStyle w:val="FootnoteText"/>
      </w:pPr>
      <w:r>
        <w:rPr>
          <w:rStyle w:val="FootnoteReference"/>
        </w:rPr>
        <w:footnoteRef/>
      </w:r>
      <w:r>
        <w:t xml:space="preserve"> Cross-references for "shall be": Gal 3:28; Col 3:11.</w:t>
      </w:r>
    </w:p>
  </w:footnote>
  <w:footnote w:id="1539">
    <w:p>
      <w:pPr>
        <w:pStyle w:val="FootnoteText"/>
      </w:pPr>
      <w:r>
        <w:rPr>
          <w:rStyle w:val="FootnoteReference"/>
        </w:rPr>
        <w:footnoteRef/>
      </w:r>
      <w:r>
        <w:t xml:space="preserve"> Cross-references for "as the Lord": Exod 6:26; Exod 7:4.</w:t>
      </w:r>
    </w:p>
  </w:footnote>
  <w:footnote w:id="1540">
    <w:p>
      <w:pPr>
        <w:pStyle w:val="FootnoteText"/>
      </w:pPr>
      <w:r>
        <w:rPr>
          <w:rStyle w:val="FootnoteReference"/>
        </w:rPr>
        <w:footnoteRef/>
      </w:r>
      <w:r>
        <w:t xml:space="preserve"> Cross-references for "Remember": Exod 12:42; Exod 20:8.</w:t>
      </w:r>
    </w:p>
  </w:footnote>
  <w:footnote w:id="1541">
    <w:p>
      <w:pPr>
        <w:pStyle w:val="FootnoteText"/>
      </w:pPr>
      <w:r>
        <w:rPr>
          <w:rStyle w:val="FootnoteReference"/>
        </w:rPr>
        <w:footnoteRef/>
      </w:r>
      <w:r>
        <w:t xml:space="preserve"> Translation note: Greek says mighty hand here.</w:t>
      </w:r>
    </w:p>
  </w:footnote>
  <w:footnote w:id="1542">
    <w:p>
      <w:pPr>
        <w:pStyle w:val="FootnoteText"/>
      </w:pPr>
      <w:r>
        <w:rPr>
          <w:rStyle w:val="FootnoteReference"/>
        </w:rPr>
        <w:footnoteRef/>
      </w:r>
      <w:r>
        <w:t xml:space="preserve"> Cross-references for "a land": Exod 3:17.</w:t>
      </w:r>
    </w:p>
  </w:footnote>
  <w:footnote w:id="1543">
    <w:p>
      <w:pPr>
        <w:pStyle w:val="FootnoteText"/>
      </w:pPr>
      <w:r>
        <w:rPr>
          <w:rStyle w:val="FootnoteReference"/>
        </w:rPr>
        <w:footnoteRef/>
      </w:r>
      <w:r>
        <w:t xml:space="preserve"> Translation note: Greek uses service or worship language here.</w:t>
      </w:r>
    </w:p>
  </w:footnote>
  <w:footnote w:id="1544">
    <w:p>
      <w:pPr>
        <w:pStyle w:val="FootnoteText"/>
      </w:pPr>
      <w:r>
        <w:rPr>
          <w:rStyle w:val="FootnoteReference"/>
        </w:rPr>
        <w:footnoteRef/>
      </w:r>
      <w:r>
        <w:t xml:space="preserve"> Cross-references for "a sign": Exod 12:14; Exod 13:16.</w:t>
      </w:r>
    </w:p>
  </w:footnote>
  <w:footnote w:id="1545">
    <w:p>
      <w:pPr>
        <w:pStyle w:val="FootnoteText"/>
      </w:pPr>
      <w:r>
        <w:rPr>
          <w:rStyle w:val="FootnoteReference"/>
        </w:rPr>
        <w:footnoteRef/>
      </w:r>
      <w:r>
        <w:t xml:space="preserve"> Translation note: Greek keeps transparent opener phrase here.</w:t>
      </w:r>
    </w:p>
  </w:footnote>
  <w:footnote w:id="1546">
    <w:p>
      <w:pPr>
        <w:pStyle w:val="FootnoteText"/>
      </w:pPr>
      <w:r>
        <w:rPr>
          <w:rStyle w:val="FootnoteReference"/>
        </w:rPr>
        <w:footnoteRef/>
      </w:r>
      <w:r>
        <w:t xml:space="preserve"> Translation note: Greek says because it was near and lest they change mind.</w:t>
      </w:r>
    </w:p>
  </w:footnote>
  <w:footnote w:id="1547">
    <w:p>
      <w:pPr>
        <w:pStyle w:val="FootnoteText"/>
      </w:pPr>
      <w:r>
        <w:rPr>
          <w:rStyle w:val="FootnoteReference"/>
        </w:rPr>
        <w:footnoteRef/>
      </w:r>
      <w:r>
        <w:t xml:space="preserve"> Cross-references for "led the": Exod 14:2; Num 33:6-8.</w:t>
      </w:r>
    </w:p>
  </w:footnote>
  <w:footnote w:id="1548">
    <w:p>
      <w:pPr>
        <w:pStyle w:val="FootnoteText"/>
      </w:pPr>
      <w:r>
        <w:rPr>
          <w:rStyle w:val="FootnoteReference"/>
        </w:rPr>
        <w:footnoteRef/>
      </w:r>
      <w:r>
        <w:t xml:space="preserve"> Place name: Etham. Place-name meaning: Etham — their strength; their sign. Source form: Etham. Greek form: οθομ.</w:t>
      </w:r>
    </w:p>
  </w:footnote>
  <w:footnote w:id="1549">
    <w:p>
      <w:pPr>
        <w:pStyle w:val="FootnoteText"/>
      </w:pPr>
      <w:r>
        <w:rPr>
          <w:rStyle w:val="FootnoteReference"/>
        </w:rPr>
        <w:footnoteRef/>
      </w:r>
      <w:r>
        <w:t xml:space="preserve"> Cross-references for "pillar of fire": Rev 10:1.</w:t>
      </w:r>
    </w:p>
  </w:footnote>
  <w:footnote w:id="1550">
    <w:p>
      <w:pPr>
        <w:pStyle w:val="FootnoteText"/>
      </w:pPr>
      <w:r>
        <w:rPr>
          <w:rStyle w:val="FootnoteReference"/>
        </w:rPr>
        <w:footnoteRef/>
      </w:r>
      <w:r>
        <w:t xml:space="preserve"> Place name: Migdol. Place-name meaning: Migdol — a tower. Source form: Migdol. Greek form: μαγδωλου.</w:t>
      </w:r>
    </w:p>
  </w:footnote>
  <w:footnote w:id="1551">
    <w:p>
      <w:pPr>
        <w:pStyle w:val="FootnoteText"/>
      </w:pPr>
      <w:r>
        <w:rPr>
          <w:rStyle w:val="FootnoteReference"/>
        </w:rPr>
        <w:footnoteRef/>
      </w:r>
      <w:r>
        <w:t xml:space="preserve"> Transliterated proper noun: Baalzephon. Standard English equivalent: Baalzephon. Source form: Baalzephon. Greek form: βεελσεπφων. Name meaning: the idol or possession of the north; hidden; secret.</w:t>
      </w:r>
    </w:p>
  </w:footnote>
  <w:footnote w:id="1552">
    <w:p>
      <w:pPr>
        <w:pStyle w:val="FootnoteText"/>
      </w:pPr>
      <w:r>
        <w:rPr>
          <w:rStyle w:val="FootnoteReference"/>
        </w:rPr>
        <w:footnoteRef/>
      </w:r>
      <w:r>
        <w:t xml:space="preserve"> Cross-references for "Migdol": Jer 44:1; Jer 46:14.</w:t>
      </w:r>
    </w:p>
  </w:footnote>
  <w:footnote w:id="1553">
    <w:p>
      <w:pPr>
        <w:pStyle w:val="FootnoteText"/>
      </w:pPr>
      <w:r>
        <w:rPr>
          <w:rStyle w:val="FootnoteReference"/>
        </w:rPr>
        <w:footnoteRef/>
      </w:r>
      <w:r>
        <w:t xml:space="preserve"> Cross-references for "Pharaoh": Exod 7:3-4; Deut 31:21.</w:t>
      </w:r>
    </w:p>
  </w:footnote>
  <w:footnote w:id="1554">
    <w:p>
      <w:pPr>
        <w:pStyle w:val="FootnoteText"/>
      </w:pPr>
      <w:r>
        <w:rPr>
          <w:rStyle w:val="FootnoteReference"/>
        </w:rPr>
        <w:footnoteRef/>
      </w:r>
      <w:r>
        <w:t xml:space="preserve"> Cross-references for "harden": Exod 4:21-31; Exod 7:3.</w:t>
      </w:r>
    </w:p>
  </w:footnote>
  <w:footnote w:id="1555">
    <w:p>
      <w:pPr>
        <w:pStyle w:val="FootnoteText"/>
      </w:pPr>
      <w:r>
        <w:rPr>
          <w:rStyle w:val="FootnoteReference"/>
        </w:rPr>
        <w:footnoteRef/>
      </w:r>
      <w:r>
        <w:t xml:space="preserve"> Cross-references for "and the heart": Exod 12:33; Ps 105:25.</w:t>
      </w:r>
    </w:p>
  </w:footnote>
  <w:footnote w:id="1556">
    <w:p>
      <w:pPr>
        <w:pStyle w:val="FootnoteText"/>
      </w:pPr>
      <w:r>
        <w:rPr>
          <w:rStyle w:val="FootnoteReference"/>
        </w:rPr>
        <w:footnoteRef/>
      </w:r>
      <w:r>
        <w:t xml:space="preserve"> Cross-references for "people": Exod 14:23.</w:t>
      </w:r>
    </w:p>
  </w:footnote>
  <w:footnote w:id="1557">
    <w:p>
      <w:pPr>
        <w:pStyle w:val="FootnoteText"/>
      </w:pPr>
      <w:r>
        <w:rPr>
          <w:rStyle w:val="FootnoteReference"/>
        </w:rPr>
        <w:footnoteRef/>
      </w:r>
      <w:r>
        <w:t xml:space="preserve"> Cross-references for "the Lord": Exod 14:4.</w:t>
      </w:r>
    </w:p>
  </w:footnote>
  <w:footnote w:id="1558">
    <w:p>
      <w:pPr>
        <w:pStyle w:val="FootnoteText"/>
      </w:pPr>
      <w:r>
        <w:rPr>
          <w:rStyle w:val="FootnoteReference"/>
        </w:rPr>
        <w:footnoteRef/>
      </w:r>
      <w:r>
        <w:t xml:space="preserve"> Cross-references for "the Egyptians": Exod 15:9; Josh 24:6.</w:t>
      </w:r>
    </w:p>
  </w:footnote>
  <w:footnote w:id="1559">
    <w:p>
      <w:pPr>
        <w:pStyle w:val="FootnoteText"/>
      </w:pPr>
      <w:r>
        <w:rPr>
          <w:rStyle w:val="FootnoteReference"/>
        </w:rPr>
        <w:footnoteRef/>
      </w:r>
      <w:r>
        <w:t xml:space="preserve"> Cross-references for "cried out": Josh 24:7; 2Chr 18:31.</w:t>
      </w:r>
    </w:p>
  </w:footnote>
  <w:footnote w:id="1560">
    <w:p>
      <w:pPr>
        <w:pStyle w:val="FootnoteText"/>
      </w:pPr>
      <w:r>
        <w:rPr>
          <w:rStyle w:val="FootnoteReference"/>
        </w:rPr>
        <w:footnoteRef/>
      </w:r>
      <w:r>
        <w:t xml:space="preserve"> Cross-references for "see the": Gen 49:18; Exod 14:30.</w:t>
      </w:r>
    </w:p>
  </w:footnote>
  <w:footnote w:id="1561">
    <w:p>
      <w:pPr>
        <w:pStyle w:val="FootnoteText"/>
      </w:pPr>
      <w:r>
        <w:rPr>
          <w:rStyle w:val="FootnoteReference"/>
        </w:rPr>
        <w:footnoteRef/>
      </w:r>
      <w:r>
        <w:t xml:space="preserve"> Translation note: Greek says salvation from God.</w:t>
      </w:r>
    </w:p>
  </w:footnote>
  <w:footnote w:id="1562">
    <w:p>
      <w:pPr>
        <w:pStyle w:val="FootnoteText"/>
      </w:pPr>
      <w:r>
        <w:rPr>
          <w:rStyle w:val="FootnoteReference"/>
        </w:rPr>
        <w:footnoteRef/>
      </w:r>
      <w:r>
        <w:t xml:space="preserve"> Cross-references for "The Lord": Exod 14:25; Exod 15:3.</w:t>
      </w:r>
    </w:p>
  </w:footnote>
  <w:footnote w:id="1563">
    <w:p>
      <w:pPr>
        <w:pStyle w:val="FootnoteText"/>
      </w:pPr>
      <w:r>
        <w:rPr>
          <w:rStyle w:val="FootnoteReference"/>
        </w:rPr>
        <w:footnoteRef/>
      </w:r>
      <w:r>
        <w:t xml:space="preserve"> Cross-references for "lift": Exod 4:2; Exod 4:17.</w:t>
      </w:r>
    </w:p>
  </w:footnote>
  <w:footnote w:id="1564">
    <w:p>
      <w:pPr>
        <w:pStyle w:val="FootnoteText"/>
      </w:pPr>
      <w:r>
        <w:rPr>
          <w:rStyle w:val="FootnoteReference"/>
        </w:rPr>
        <w:footnoteRef/>
      </w:r>
      <w:r>
        <w:t xml:space="preserve"> Cross-references for "behold": Gen 6:17; Gen 9:9.</w:t>
      </w:r>
    </w:p>
  </w:footnote>
  <w:footnote w:id="1565">
    <w:p>
      <w:pPr>
        <w:pStyle w:val="FootnoteText"/>
      </w:pPr>
      <w:r>
        <w:rPr>
          <w:rStyle w:val="FootnoteReference"/>
        </w:rPr>
        <w:footnoteRef/>
      </w:r>
      <w:r>
        <w:t xml:space="preserve"> Translation note: Greek angelos can mean angel or messenger, but here the figure travels with the divine cloud and signals active divine presence. Draft uses angel, not neutral messenger.</w:t>
      </w:r>
    </w:p>
  </w:footnote>
  <w:footnote w:id="1566">
    <w:p>
      <w:pPr>
        <w:pStyle w:val="FootnoteText"/>
      </w:pPr>
      <w:r>
        <w:rPr>
          <w:rStyle w:val="FootnoteReference"/>
        </w:rPr>
        <w:footnoteRef/>
      </w:r>
      <w:r>
        <w:t xml:space="preserve"> Cross-references for "the angel": Exod 13:21; Exod 14:24.</w:t>
      </w:r>
    </w:p>
  </w:footnote>
  <w:footnote w:id="1567">
    <w:p>
      <w:pPr>
        <w:pStyle w:val="FootnoteText"/>
      </w:pPr>
      <w:r>
        <w:rPr>
          <w:rStyle w:val="FootnoteReference"/>
        </w:rPr>
        <w:footnoteRef/>
      </w:r>
      <w:r>
        <w:t xml:space="preserve"> Cross-references for "stretched": Exod 14:16.</w:t>
      </w:r>
    </w:p>
  </w:footnote>
  <w:footnote w:id="1568">
    <w:p>
      <w:pPr>
        <w:pStyle w:val="FootnoteText"/>
      </w:pPr>
      <w:r>
        <w:rPr>
          <w:rStyle w:val="FootnoteReference"/>
        </w:rPr>
        <w:footnoteRef/>
      </w:r>
      <w:r>
        <w:t xml:space="preserve"> Cross-references for "a wall": Exod 15:8; Hab 3:8-10.</w:t>
      </w:r>
    </w:p>
  </w:footnote>
  <w:footnote w:id="1569">
    <w:p>
      <w:pPr>
        <w:pStyle w:val="FootnoteText"/>
      </w:pPr>
      <w:r>
        <w:rPr>
          <w:rStyle w:val="FootnoteReference"/>
        </w:rPr>
        <w:footnoteRef/>
      </w:r>
      <w:r>
        <w:t xml:space="preserve"> Translation note: Greek keeps the pursuit line compressed and direct. Current wording preserves it.</w:t>
      </w:r>
    </w:p>
  </w:footnote>
  <w:footnote w:id="1570">
    <w:p>
      <w:pPr>
        <w:pStyle w:val="FootnoteText"/>
      </w:pPr>
      <w:r>
        <w:rPr>
          <w:rStyle w:val="FootnoteReference"/>
        </w:rPr>
        <w:footnoteRef/>
      </w:r>
      <w:r>
        <w:t xml:space="preserve"> Cross-references for "Let us flee": Job 11:20; Job 20:24.</w:t>
      </w:r>
    </w:p>
  </w:footnote>
  <w:footnote w:id="1571">
    <w:p>
      <w:pPr>
        <w:pStyle w:val="FootnoteText"/>
      </w:pPr>
      <w:r>
        <w:rPr>
          <w:rStyle w:val="FootnoteReference"/>
        </w:rPr>
        <w:footnoteRef/>
      </w:r>
      <w:r>
        <w:t xml:space="preserve"> Cross-references for "Stretch out": Exod 7:19; Exod 8:5.</w:t>
      </w:r>
    </w:p>
  </w:footnote>
  <w:footnote w:id="1572">
    <w:p>
      <w:pPr>
        <w:pStyle w:val="FootnoteText"/>
      </w:pPr>
      <w:r>
        <w:rPr>
          <w:rStyle w:val="FootnoteReference"/>
        </w:rPr>
        <w:footnoteRef/>
      </w:r>
      <w:r>
        <w:t xml:space="preserve"> Cross-references for "a wall": Josh 3:16.</w:t>
      </w:r>
    </w:p>
  </w:footnote>
  <w:footnote w:id="1573">
    <w:p>
      <w:pPr>
        <w:pStyle w:val="FootnoteText"/>
      </w:pPr>
      <w:r>
        <w:rPr>
          <w:rStyle w:val="FootnoteReference"/>
        </w:rPr>
        <w:footnoteRef/>
      </w:r>
      <w:r>
        <w:t xml:space="preserve"> Cross-references for "the Lord": Exod 14:13; 1Sam 14:23.</w:t>
      </w:r>
    </w:p>
  </w:footnote>
  <w:footnote w:id="1574">
    <w:p>
      <w:pPr>
        <w:pStyle w:val="FootnoteText"/>
      </w:pPr>
      <w:r>
        <w:rPr>
          <w:rStyle w:val="FootnoteReference"/>
        </w:rPr>
        <w:footnoteRef/>
      </w:r>
      <w:r>
        <w:t xml:space="preserve"> Translation note: Greek uses the great-hand line directly. Current wording preserves it.</w:t>
      </w:r>
    </w:p>
  </w:footnote>
  <w:footnote w:id="1575">
    <w:p>
      <w:pPr>
        <w:pStyle w:val="FootnoteText"/>
      </w:pPr>
      <w:r>
        <w:rPr>
          <w:rStyle w:val="FootnoteReference"/>
        </w:rPr>
        <w:footnoteRef/>
      </w:r>
      <w:r>
        <w:t xml:space="preserve"> Cross-references for "feared": 1Sam 12:18; Ps 119:120.</w:t>
      </w:r>
    </w:p>
  </w:footnote>
  <w:footnote w:id="1576">
    <w:p>
      <w:pPr>
        <w:pStyle w:val="FootnoteText"/>
      </w:pPr>
      <w:r>
        <w:rPr>
          <w:rStyle w:val="FootnoteReference"/>
        </w:rPr>
        <w:footnoteRef/>
      </w:r>
      <w:r>
        <w:t xml:space="preserve"> Greek LXX divine name/title: Houtos mou Theos (οὗτός μου Θεός) — This is my God. Common English rendering: my God. At the Hebrew Yah reference, the LXX does not preserve the short divine name; it reads This is my God.</w:t>
      </w:r>
    </w:p>
  </w:footnote>
  <w:footnote w:id="1577">
    <w:p>
      <w:pPr>
        <w:pStyle w:val="FootnoteText"/>
      </w:pPr>
      <w:r>
        <w:rPr>
          <w:rStyle w:val="FootnoteReference"/>
        </w:rPr>
        <w:footnoteRef/>
      </w:r>
      <w:r>
        <w:t xml:space="preserve"> Hebrew divine name/title: Yah (</w:t>
      </w:r>
      <w:r>
        <w:rPr>
          <w:lang w:val="he-IL" w:bidi="he-IL"/>
          <w:rtl/>
        </w:rPr>
        <w:t xml:space="preserve">יָהּ</w:t>
      </w:r>
      <w:r>
        <w:t xml:space="preserve">) — Short form of Yahweh. Common English rendering: LORD. A poetic shortened form of the divine name, especially found in praise formulas like Hallelujah.</w:t>
      </w:r>
    </w:p>
  </w:footnote>
  <w:footnote w:id="1578">
    <w:p>
      <w:pPr>
        <w:pStyle w:val="FootnoteText"/>
      </w:pPr>
      <w:r>
        <w:rPr>
          <w:rStyle w:val="FootnoteReference"/>
        </w:rPr>
        <w:footnoteRef/>
      </w:r>
      <w:r>
        <w:t xml:space="preserve"> Cross-references for "my God": Gen 17:7; Exod 4:22.</w:t>
      </w:r>
    </w:p>
  </w:footnote>
  <w:footnote w:id="1579">
    <w:p>
      <w:pPr>
        <w:pStyle w:val="FootnoteText"/>
      </w:pPr>
      <w:r>
        <w:rPr>
          <w:rStyle w:val="FootnoteReference"/>
        </w:rPr>
        <w:footnoteRef/>
      </w:r>
      <w:r>
        <w:t xml:space="preserve"> Cross-references for "name": Exod 3:13; Exod 3:15.</w:t>
      </w:r>
    </w:p>
  </w:footnote>
  <w:footnote w:id="1580">
    <w:p>
      <w:pPr>
        <w:pStyle w:val="FootnoteText"/>
      </w:pPr>
      <w:r>
        <w:rPr>
          <w:rStyle w:val="FootnoteReference"/>
        </w:rPr>
        <w:footnoteRef/>
      </w:r>
      <w:r>
        <w:t xml:space="preserve"> Cross-references for "chosen": Exod 14:7.</w:t>
      </w:r>
    </w:p>
  </w:footnote>
  <w:footnote w:id="1581">
    <w:p>
      <w:pPr>
        <w:pStyle w:val="FootnoteText"/>
      </w:pPr>
      <w:r>
        <w:rPr>
          <w:rStyle w:val="FootnoteReference"/>
        </w:rPr>
        <w:footnoteRef/>
      </w:r>
      <w:r>
        <w:t xml:space="preserve"> Cross-references for "right hand": Exod 15:11; 1Chr 29:11-12.</w:t>
      </w:r>
    </w:p>
  </w:footnote>
  <w:footnote w:id="1582">
    <w:p>
      <w:pPr>
        <w:pStyle w:val="FootnoteText"/>
      </w:pPr>
      <w:r>
        <w:rPr>
          <w:rStyle w:val="FootnoteReference"/>
        </w:rPr>
        <w:footnoteRef/>
      </w:r>
      <w:r>
        <w:t xml:space="preserve"> Cross-references for "I will pursue": Gen 49:27; Judg 5:30.</w:t>
      </w:r>
    </w:p>
  </w:footnote>
  <w:footnote w:id="1583">
    <w:p>
      <w:pPr>
        <w:pStyle w:val="FootnoteText"/>
      </w:pPr>
      <w:r>
        <w:rPr>
          <w:rStyle w:val="FootnoteReference"/>
        </w:rPr>
        <w:footnoteRef/>
      </w:r>
      <w:r>
        <w:t xml:space="preserve"> Cross-references for "the sea": Exod 14:28; Deut 11:4.</w:t>
      </w:r>
    </w:p>
  </w:footnote>
  <w:footnote w:id="1584">
    <w:p>
      <w:pPr>
        <w:pStyle w:val="FootnoteText"/>
      </w:pPr>
      <w:r>
        <w:rPr>
          <w:rStyle w:val="FootnoteReference"/>
        </w:rPr>
        <w:footnoteRef/>
      </w:r>
      <w:r>
        <w:t xml:space="preserve"> Translation note: Greek states the result with a terse earth-swallowed-them line. Current wording preserves that compact victory image.</w:t>
      </w:r>
    </w:p>
  </w:footnote>
  <w:footnote w:id="1585">
    <w:p>
      <w:pPr>
        <w:pStyle w:val="FootnoteText"/>
      </w:pPr>
      <w:r>
        <w:rPr>
          <w:rStyle w:val="FootnoteReference"/>
        </w:rPr>
        <w:footnoteRef/>
      </w:r>
      <w:r>
        <w:t xml:space="preserve"> Cross-references for "guided": 1Pet 1:5.</w:t>
      </w:r>
    </w:p>
  </w:footnote>
  <w:footnote w:id="1586">
    <w:p>
      <w:pPr>
        <w:pStyle w:val="FootnoteText"/>
      </w:pPr>
      <w:r>
        <w:rPr>
          <w:rStyle w:val="FootnoteReference"/>
        </w:rPr>
        <w:footnoteRef/>
      </w:r>
      <w:r>
        <w:t xml:space="preserve"> Cross-references for "plant": Ps 44:2; Ps 78:54-55.</w:t>
      </w:r>
    </w:p>
  </w:footnote>
  <w:footnote w:id="1587">
    <w:p>
      <w:pPr>
        <w:pStyle w:val="FootnoteText"/>
      </w:pPr>
      <w:r>
        <w:rPr>
          <w:rStyle w:val="FootnoteReference"/>
        </w:rPr>
        <w:footnoteRef/>
      </w:r>
      <w:r>
        <w:t xml:space="preserve"> Cross-references for "horse": Exod 14:23; Prov 21:31.</w:t>
      </w:r>
    </w:p>
  </w:footnote>
  <w:footnote w:id="1588">
    <w:p>
      <w:pPr>
        <w:pStyle w:val="FootnoteText"/>
      </w:pPr>
      <w:r>
        <w:rPr>
          <w:rStyle w:val="FootnoteReference"/>
        </w:rPr>
        <w:footnoteRef/>
      </w:r>
      <w:r>
        <w:t xml:space="preserve"> Cross-references for "prophetess": Judg 4:4; 1Sam 10:5.</w:t>
      </w:r>
    </w:p>
  </w:footnote>
  <w:footnote w:id="1589">
    <w:p>
      <w:pPr>
        <w:pStyle w:val="FootnoteText"/>
      </w:pPr>
      <w:r>
        <w:rPr>
          <w:rStyle w:val="FootnoteReference"/>
        </w:rPr>
        <w:footnoteRef/>
      </w:r>
      <w:r>
        <w:t xml:space="preserve"> Translation note: Greek gives a full processional line after Miriam takes the timbrel. Current wording preserves that scene.</w:t>
      </w:r>
    </w:p>
  </w:footnote>
  <w:footnote w:id="1590">
    <w:p>
      <w:pPr>
        <w:pStyle w:val="FootnoteText"/>
      </w:pPr>
      <w:r>
        <w:rPr>
          <w:rStyle w:val="FootnoteReference"/>
        </w:rPr>
        <w:footnoteRef/>
      </w:r>
      <w:r>
        <w:t xml:space="preserve"> Cross-references for "wilderness of Shur": Gen 16:7; Gen 25:18.</w:t>
      </w:r>
    </w:p>
  </w:footnote>
  <w:footnote w:id="1591">
    <w:p>
      <w:pPr>
        <w:pStyle w:val="FootnoteText"/>
      </w:pPr>
      <w:r>
        <w:rPr>
          <w:rStyle w:val="FootnoteReference"/>
        </w:rPr>
        <w:footnoteRef/>
      </w:r>
      <w:r>
        <w:t xml:space="preserve"> Place name: Marah. Place-name meaning: Marah — bitter. Source form: Marah. Greek form: μερρα.</w:t>
      </w:r>
    </w:p>
  </w:footnote>
  <w:footnote w:id="1592">
    <w:p>
      <w:pPr>
        <w:pStyle w:val="FootnoteText"/>
      </w:pPr>
      <w:r>
        <w:rPr>
          <w:rStyle w:val="FootnoteReference"/>
        </w:rPr>
        <w:footnoteRef/>
      </w:r>
      <w:r>
        <w:t xml:space="preserve"> Cross-references for "Marah": Num 33:8.</w:t>
      </w:r>
    </w:p>
  </w:footnote>
  <w:footnote w:id="1593">
    <w:p>
      <w:pPr>
        <w:pStyle w:val="FootnoteText"/>
      </w:pPr>
      <w:r>
        <w:rPr>
          <w:rStyle w:val="FootnoteReference"/>
        </w:rPr>
        <w:footnoteRef/>
      </w:r>
      <w:r>
        <w:t xml:space="preserve"> Cross-references for "cried": Exod 14:10; Exod 17:4.</w:t>
      </w:r>
    </w:p>
  </w:footnote>
  <w:footnote w:id="1594">
    <w:p>
      <w:pPr>
        <w:pStyle w:val="FootnoteText"/>
      </w:pPr>
      <w:r>
        <w:rPr>
          <w:rStyle w:val="FootnoteReference"/>
        </w:rPr>
        <w:footnoteRef/>
      </w:r>
      <w:r>
        <w:t xml:space="preserve"> Cross-references for "for I am": Exod 23:25; 2Kgs 20:5.</w:t>
      </w:r>
    </w:p>
  </w:footnote>
  <w:footnote w:id="1595">
    <w:p>
      <w:pPr>
        <w:pStyle w:val="FootnoteText"/>
      </w:pPr>
      <w:r>
        <w:rPr>
          <w:rStyle w:val="FootnoteReference"/>
        </w:rPr>
        <w:footnoteRef/>
      </w:r>
      <w:r>
        <w:t xml:space="preserve"> Translation note: Greek line matches current rendering closely here.</w:t>
      </w:r>
    </w:p>
  </w:footnote>
  <w:footnote w:id="1596">
    <w:p>
      <w:pPr>
        <w:pStyle w:val="FootnoteText"/>
      </w:pPr>
      <w:r>
        <w:rPr>
          <w:rStyle w:val="FootnoteReference"/>
        </w:rPr>
        <w:footnoteRef/>
      </w:r>
      <w:r>
        <w:t xml:space="preserve"> Hebrew divine name/title: Yahweh Rapha (</w:t>
      </w:r>
      <w:r>
        <w:rPr>
          <w:lang w:val="he-IL" w:bidi="he-IL"/>
          <w:rtl/>
        </w:rPr>
        <w:t xml:space="preserve">יְהוָה רֹפְאֶךָ</w:t>
      </w:r>
      <w:r>
        <w:t xml:space="preserve">) — The LORD who heals. Common English rendering: the LORD that healeth thee. Reveals God as healer, both physically and covenantally.</w:t>
      </w:r>
    </w:p>
  </w:footnote>
  <w:footnote w:id="1597">
    <w:p>
      <w:pPr>
        <w:pStyle w:val="FootnoteText"/>
      </w:pPr>
      <w:r>
        <w:rPr>
          <w:rStyle w:val="FootnoteReference"/>
        </w:rPr>
        <w:footnoteRef/>
      </w:r>
      <w:r>
        <w:t xml:space="preserve"> Greek LXX divine name/title: Kyrios ho iomenos se (Κύριος ὁ ἰώμενός σε) — Lord who heals you. Common English rendering: Lord who heals you. The LXX keeps the healing title as the Lord who heals you.</w:t>
      </w:r>
    </w:p>
  </w:footnote>
  <w:footnote w:id="1598">
    <w:p>
      <w:pPr>
        <w:pStyle w:val="FootnoteText"/>
      </w:pPr>
      <w:r>
        <w:rPr>
          <w:rStyle w:val="FootnoteReference"/>
        </w:rPr>
        <w:footnoteRef/>
      </w:r>
      <w:r>
        <w:t xml:space="preserve"> Place name: Elim. Place-name meaning: Elim — the rams; the strong; stags. Source form: Elim. Greek form: αιλιμ.</w:t>
      </w:r>
    </w:p>
  </w:footnote>
  <w:footnote w:id="1599">
    <w:p>
      <w:pPr>
        <w:pStyle w:val="FootnoteText"/>
      </w:pPr>
      <w:r>
        <w:rPr>
          <w:rStyle w:val="FootnoteReference"/>
        </w:rPr>
        <w:footnoteRef/>
      </w:r>
      <w:r>
        <w:t xml:space="preserve"> Cross-references for "Elim": Num 33:9; Isa 12:3.</w:t>
      </w:r>
    </w:p>
  </w:footnote>
  <w:footnote w:id="1600">
    <w:p>
      <w:pPr>
        <w:pStyle w:val="FootnoteText"/>
      </w:pPr>
      <w:r>
        <w:rPr>
          <w:rStyle w:val="FootnoteReference"/>
        </w:rPr>
        <w:footnoteRef/>
      </w:r>
      <w:r>
        <w:t xml:space="preserve"> Translation note: Greek says set out here. Current line keeps that movement verb.</w:t>
      </w:r>
    </w:p>
  </w:footnote>
  <w:footnote w:id="1601">
    <w:p>
      <w:pPr>
        <w:pStyle w:val="FootnoteText"/>
      </w:pPr>
      <w:r>
        <w:rPr>
          <w:rStyle w:val="FootnoteReference"/>
        </w:rPr>
        <w:footnoteRef/>
      </w:r>
      <w:r>
        <w:t xml:space="preserve"> Transliterated proper noun: Sin. Standard English equivalent: Sin. Source form: Sin. Greek form: σιν. Name meaning: bush.</w:t>
      </w:r>
    </w:p>
  </w:footnote>
  <w:footnote w:id="1602">
    <w:p>
      <w:pPr>
        <w:pStyle w:val="FootnoteText"/>
      </w:pPr>
      <w:r>
        <w:rPr>
          <w:rStyle w:val="FootnoteReference"/>
        </w:rPr>
        <w:footnoteRef/>
      </w:r>
      <w:r>
        <w:t xml:space="preserve"> Place name: Sinai. Place-name meaning: Sinai — a bush; enmity. Source form: Sinai. Greek form: σινα.</w:t>
      </w:r>
    </w:p>
  </w:footnote>
  <w:footnote w:id="1603">
    <w:p>
      <w:pPr>
        <w:pStyle w:val="FootnoteText"/>
      </w:pPr>
      <w:r>
        <w:rPr>
          <w:rStyle w:val="FootnoteReference"/>
        </w:rPr>
        <w:footnoteRef/>
      </w:r>
      <w:r>
        <w:t xml:space="preserve"> Cross-references for "we had": Num 11:15; Num 14:2.</w:t>
      </w:r>
    </w:p>
  </w:footnote>
  <w:footnote w:id="1604">
    <w:p>
      <w:pPr>
        <w:pStyle w:val="FootnoteText"/>
      </w:pPr>
      <w:r>
        <w:rPr>
          <w:rStyle w:val="FootnoteReference"/>
        </w:rPr>
        <w:footnoteRef/>
      </w:r>
      <w:r>
        <w:t xml:space="preserve"> Translation note: Greek says if only we had died struck by the Lord.</w:t>
      </w:r>
    </w:p>
  </w:footnote>
  <w:footnote w:id="1605">
    <w:p>
      <w:pPr>
        <w:pStyle w:val="FootnoteText"/>
      </w:pPr>
      <w:r>
        <w:rPr>
          <w:rStyle w:val="FootnoteReference"/>
        </w:rPr>
        <w:footnoteRef/>
      </w:r>
      <w:r>
        <w:t xml:space="preserve"> Translation note: Greek uses a raining-bread image directly. Current wording preserves that image.</w:t>
      </w:r>
    </w:p>
  </w:footnote>
  <w:footnote w:id="1606">
    <w:p>
      <w:pPr>
        <w:pStyle w:val="FootnoteText"/>
      </w:pPr>
      <w:r>
        <w:rPr>
          <w:rStyle w:val="FootnoteReference"/>
        </w:rPr>
        <w:footnoteRef/>
      </w:r>
      <w:r>
        <w:t xml:space="preserve"> Cross-references for "prepare": Exod 16:23; Exod 35:2-3.</w:t>
      </w:r>
    </w:p>
  </w:footnote>
  <w:footnote w:id="1607">
    <w:p>
      <w:pPr>
        <w:pStyle w:val="FootnoteText"/>
      </w:pPr>
      <w:r>
        <w:rPr>
          <w:rStyle w:val="FootnoteReference"/>
        </w:rPr>
        <w:footnoteRef/>
      </w:r>
      <w:r>
        <w:t xml:space="preserve"> Cross-references for "the Lord": Exod 6:7; Exod 12:51.</w:t>
      </w:r>
    </w:p>
  </w:footnote>
  <w:footnote w:id="1608">
    <w:p>
      <w:pPr>
        <w:pStyle w:val="FootnoteText"/>
      </w:pPr>
      <w:r>
        <w:rPr>
          <w:rStyle w:val="FootnoteReference"/>
        </w:rPr>
        <w:footnoteRef/>
      </w:r>
      <w:r>
        <w:t xml:space="preserve"> Cross-references for "the morning": Exod 16:13.</w:t>
      </w:r>
    </w:p>
  </w:footnote>
  <w:footnote w:id="1609">
    <w:p>
      <w:pPr>
        <w:pStyle w:val="FootnoteText"/>
      </w:pPr>
      <w:r>
        <w:rPr>
          <w:rStyle w:val="FootnoteReference"/>
        </w:rPr>
        <w:footnoteRef/>
      </w:r>
      <w:r>
        <w:t xml:space="preserve"> Translation note: The local Greek reading ends with God rather than Lord. The translation follows that wording rather than harmonizing it.</w:t>
      </w:r>
    </w:p>
  </w:footnote>
  <w:footnote w:id="1610">
    <w:p>
      <w:pPr>
        <w:pStyle w:val="FootnoteText"/>
      </w:pPr>
      <w:r>
        <w:rPr>
          <w:rStyle w:val="FootnoteReference"/>
        </w:rPr>
        <w:footnoteRef/>
      </w:r>
      <w:r>
        <w:t xml:space="preserve"> Translation note: Greek ends the line by naming God directly. The translation keeps that conclusion.</w:t>
      </w:r>
    </w:p>
  </w:footnote>
  <w:footnote w:id="1611">
    <w:p>
      <w:pPr>
        <w:pStyle w:val="FootnoteText"/>
      </w:pPr>
      <w:r>
        <w:rPr>
          <w:rStyle w:val="FootnoteReference"/>
        </w:rPr>
        <w:footnoteRef/>
      </w:r>
      <w:r>
        <w:t xml:space="preserve"> Cross-references for "but against": Num 21:7; 1Sam 8:7.</w:t>
      </w:r>
    </w:p>
  </w:footnote>
  <w:footnote w:id="1612">
    <w:p>
      <w:pPr>
        <w:pStyle w:val="FootnoteText"/>
      </w:pPr>
      <w:r>
        <w:rPr>
          <w:rStyle w:val="FootnoteReference"/>
        </w:rPr>
        <w:footnoteRef/>
      </w:r>
      <w:r>
        <w:t xml:space="preserve"> Cross-references for "Come near": Num 16:16.</w:t>
      </w:r>
    </w:p>
  </w:footnote>
  <w:footnote w:id="1613">
    <w:p>
      <w:pPr>
        <w:pStyle w:val="FootnoteText"/>
      </w:pPr>
      <w:r>
        <w:rPr>
          <w:rStyle w:val="FootnoteReference"/>
        </w:rPr>
        <w:footnoteRef/>
      </w:r>
      <w:r>
        <w:t xml:space="preserve"> Cross-references for "appeared": Exod 13:21-22; Exod 40:34-38.</w:t>
      </w:r>
    </w:p>
  </w:footnote>
  <w:footnote w:id="1614">
    <w:p>
      <w:pPr>
        <w:pStyle w:val="FootnoteText"/>
      </w:pPr>
      <w:r>
        <w:rPr>
          <w:rStyle w:val="FootnoteReference"/>
        </w:rPr>
        <w:footnoteRef/>
      </w:r>
      <w:r>
        <w:t xml:space="preserve"> Translation note: Greek keeps meat then bread sequence direct.</w:t>
      </w:r>
    </w:p>
  </w:footnote>
  <w:footnote w:id="1615">
    <w:p>
      <w:pPr>
        <w:pStyle w:val="FootnoteText"/>
      </w:pPr>
      <w:r>
        <w:rPr>
          <w:rStyle w:val="FootnoteReference"/>
        </w:rPr>
        <w:footnoteRef/>
      </w:r>
      <w:r>
        <w:t xml:space="preserve"> Cross-references for "in the morning": Exod 16:7.</w:t>
      </w:r>
    </w:p>
  </w:footnote>
  <w:footnote w:id="1616">
    <w:p>
      <w:pPr>
        <w:pStyle w:val="FootnoteText"/>
      </w:pPr>
      <w:r>
        <w:rPr>
          <w:rStyle w:val="FootnoteReference"/>
        </w:rPr>
        <w:footnoteRef/>
      </w:r>
      <w:r>
        <w:t xml:space="preserve"> Translation note: Greek gives the quail arrival in a direct came-up-and-covered sequence. Current wording preserves that scene.</w:t>
      </w:r>
    </w:p>
  </w:footnote>
  <w:footnote w:id="1617">
    <w:p>
      <w:pPr>
        <w:pStyle w:val="FootnoteText"/>
      </w:pPr>
      <w:r>
        <w:rPr>
          <w:rStyle w:val="FootnoteReference"/>
        </w:rPr>
        <w:footnoteRef/>
      </w:r>
      <w:r>
        <w:t xml:space="preserve"> Cross-references for "the dew": Num 11:9.</w:t>
      </w:r>
    </w:p>
  </w:footnote>
  <w:footnote w:id="1618">
    <w:p>
      <w:pPr>
        <w:pStyle w:val="FootnoteText"/>
      </w:pPr>
      <w:r>
        <w:rPr>
          <w:rStyle w:val="FootnoteReference"/>
        </w:rPr>
        <w:footnoteRef/>
      </w:r>
      <w:r>
        <w:t xml:space="preserve"> Translation note: Greek keeps the manna question in blunt repeated form. Current wording preserves it.</w:t>
      </w:r>
    </w:p>
  </w:footnote>
  <w:footnote w:id="1619">
    <w:p>
      <w:pPr>
        <w:pStyle w:val="FootnoteText"/>
      </w:pPr>
      <w:r>
        <w:rPr>
          <w:rStyle w:val="FootnoteReference"/>
        </w:rPr>
        <w:footnoteRef/>
      </w:r>
      <w:r>
        <w:t xml:space="preserve"> Cross-references for "This is": Exod 16:4; Num 21:5.</w:t>
      </w:r>
    </w:p>
  </w:footnote>
  <w:footnote w:id="1620">
    <w:p>
      <w:pPr>
        <w:pStyle w:val="FootnoteText"/>
      </w:pPr>
      <w:r>
        <w:rPr>
          <w:rStyle w:val="FootnoteReference"/>
        </w:rPr>
        <w:footnoteRef/>
      </w:r>
      <w:r>
        <w:t xml:space="preserve"> Cross-references for "bred worms": Matt 6:19; Luke 12:15.</w:t>
      </w:r>
    </w:p>
  </w:footnote>
  <w:footnote w:id="1621">
    <w:p>
      <w:pPr>
        <w:pStyle w:val="FootnoteText"/>
      </w:pPr>
      <w:r>
        <w:rPr>
          <w:rStyle w:val="FootnoteReference"/>
        </w:rPr>
        <w:footnoteRef/>
      </w:r>
      <w:r>
        <w:t xml:space="preserve"> Translation note: Greek says Sabbath, a holy rest to the Lord.</w:t>
      </w:r>
    </w:p>
  </w:footnote>
  <w:footnote w:id="1622">
    <w:p>
      <w:pPr>
        <w:pStyle w:val="FootnoteText"/>
      </w:pPr>
      <w:r>
        <w:rPr>
          <w:rStyle w:val="FootnoteReference"/>
        </w:rPr>
        <w:footnoteRef/>
      </w:r>
      <w:r>
        <w:t xml:space="preserve"> Cross-references for "rest": Gen 2:2-3; Exod 20:8-11.</w:t>
      </w:r>
    </w:p>
  </w:footnote>
  <w:footnote w:id="1623">
    <w:p>
      <w:pPr>
        <w:pStyle w:val="FootnoteText"/>
      </w:pPr>
      <w:r>
        <w:rPr>
          <w:rStyle w:val="FootnoteReference"/>
        </w:rPr>
        <w:footnoteRef/>
      </w:r>
      <w:r>
        <w:t xml:space="preserve"> Cross-references for "and they found none": Prov 20:4.</w:t>
      </w:r>
    </w:p>
  </w:footnote>
  <w:footnote w:id="1624">
    <w:p>
      <w:pPr>
        <w:pStyle w:val="FootnoteText"/>
      </w:pPr>
      <w:r>
        <w:rPr>
          <w:rStyle w:val="FootnoteReference"/>
        </w:rPr>
        <w:footnoteRef/>
      </w:r>
      <w:r>
        <w:t xml:space="preserve"> Translation note: Greek gives a stay-and-do-not-go-out command pair. Current wording preserves both parts.</w:t>
      </w:r>
    </w:p>
  </w:footnote>
  <w:footnote w:id="1625">
    <w:p>
      <w:pPr>
        <w:pStyle w:val="FootnoteText"/>
      </w:pPr>
      <w:r>
        <w:rPr>
          <w:rStyle w:val="FootnoteReference"/>
        </w:rPr>
        <w:footnoteRef/>
      </w:r>
      <w:r>
        <w:t xml:space="preserve"> Translation note: Greek transliterates both forms here.</w:t>
      </w:r>
    </w:p>
  </w:footnote>
  <w:footnote w:id="1626">
    <w:p>
      <w:pPr>
        <w:pStyle w:val="FootnoteText"/>
      </w:pPr>
      <w:r>
        <w:rPr>
          <w:rStyle w:val="FootnoteReference"/>
        </w:rPr>
        <w:footnoteRef/>
      </w:r>
      <w:r>
        <w:t xml:space="preserve"> Cross-references for "forty years": Num 33:38; Deut 8:2-3.</w:t>
      </w:r>
    </w:p>
  </w:footnote>
  <w:footnote w:id="1627">
    <w:p>
      <w:pPr>
        <w:pStyle w:val="FootnoteText"/>
      </w:pPr>
      <w:r>
        <w:rPr>
          <w:rStyle w:val="FootnoteReference"/>
        </w:rPr>
        <w:footnoteRef/>
      </w:r>
      <w:r>
        <w:t xml:space="preserve"> Place name: Phoenicia. Place-name meaning: Phoenicia — red; purple. Source form: Phoenicia. Greek form: φοινικης.</w:t>
      </w:r>
    </w:p>
  </w:footnote>
  <w:footnote w:id="1628">
    <w:p>
      <w:pPr>
        <w:pStyle w:val="FootnoteText"/>
      </w:pPr>
      <w:r>
        <w:rPr>
          <w:rStyle w:val="FootnoteReference"/>
        </w:rPr>
        <w:footnoteRef/>
      </w:r>
      <w:r>
        <w:t xml:space="preserve"> Translation note: Greek says by their encampments here. Current line keeps that wording.</w:t>
      </w:r>
    </w:p>
  </w:footnote>
  <w:footnote w:id="1629">
    <w:p>
      <w:pPr>
        <w:pStyle w:val="FootnoteText"/>
      </w:pPr>
      <w:r>
        <w:rPr>
          <w:rStyle w:val="FootnoteReference"/>
        </w:rPr>
        <w:footnoteRef/>
      </w:r>
      <w:r>
        <w:t xml:space="preserve"> Place name: Rephidim. Place-name meaning: Rephidim — beds; places of rest. Source form: Rephidim. Greek form: ραφιδιν.</w:t>
      </w:r>
    </w:p>
  </w:footnote>
  <w:footnote w:id="1630">
    <w:p>
      <w:pPr>
        <w:pStyle w:val="FootnoteText"/>
      </w:pPr>
      <w:r>
        <w:rPr>
          <w:rStyle w:val="FootnoteReference"/>
        </w:rPr>
        <w:footnoteRef/>
      </w:r>
      <w:r>
        <w:t xml:space="preserve"> Cross-references for "Rephidim": Exod 17:8; Exod 19:2.</w:t>
      </w:r>
    </w:p>
  </w:footnote>
  <w:footnote w:id="1631">
    <w:p>
      <w:pPr>
        <w:pStyle w:val="FootnoteText"/>
      </w:pPr>
      <w:r>
        <w:rPr>
          <w:rStyle w:val="FootnoteReference"/>
        </w:rPr>
        <w:footnoteRef/>
      </w:r>
      <w:r>
        <w:t xml:space="preserve"> Cross-references for "Give us": Gen 30:1-2; 1Sam 8:6.</w:t>
      </w:r>
    </w:p>
  </w:footnote>
  <w:footnote w:id="1632">
    <w:p>
      <w:pPr>
        <w:pStyle w:val="FootnoteText"/>
      </w:pPr>
      <w:r>
        <w:rPr>
          <w:rStyle w:val="FootnoteReference"/>
        </w:rPr>
        <w:footnoteRef/>
      </w:r>
      <w:r>
        <w:t xml:space="preserve"> Cross-references for "cried": Exod 14:15; Exod 15:25.</w:t>
      </w:r>
    </w:p>
  </w:footnote>
  <w:footnote w:id="1633">
    <w:p>
      <w:pPr>
        <w:pStyle w:val="FootnoteText"/>
      </w:pPr>
      <w:r>
        <w:rPr>
          <w:rStyle w:val="FootnoteReference"/>
        </w:rPr>
        <w:footnoteRef/>
      </w:r>
      <w:r>
        <w:t xml:space="preserve"> Cross-references for "Go on": Ezek 2:6; Acts 20:23-24.</w:t>
      </w:r>
    </w:p>
  </w:footnote>
  <w:footnote w:id="1634">
    <w:p>
      <w:pPr>
        <w:pStyle w:val="FootnoteText"/>
      </w:pPr>
      <w:r>
        <w:rPr>
          <w:rStyle w:val="FootnoteReference"/>
        </w:rPr>
        <w:footnoteRef/>
      </w:r>
      <w:r>
        <w:t xml:space="preserve"> Translation note: Greek uses a vivid stance line at the rock. Current wording preserves that immediacy.</w:t>
      </w:r>
    </w:p>
  </w:footnote>
  <w:footnote w:id="1635">
    <w:p>
      <w:pPr>
        <w:pStyle w:val="FootnoteText"/>
      </w:pPr>
      <w:r>
        <w:rPr>
          <w:rStyle w:val="FootnoteReference"/>
        </w:rPr>
        <w:footnoteRef/>
      </w:r>
      <w:r>
        <w:t xml:space="preserve"> Cross-references for "in Horeb": Exod 3:1-5.</w:t>
      </w:r>
    </w:p>
  </w:footnote>
  <w:footnote w:id="1636">
    <w:p>
      <w:pPr>
        <w:pStyle w:val="FootnoteText"/>
      </w:pPr>
      <w:r>
        <w:rPr>
          <w:rStyle w:val="FootnoteReference"/>
        </w:rPr>
        <w:footnoteRef/>
      </w:r>
      <w:r>
        <w:t xml:space="preserve"> Cross-references for "Is the Lord": Exod 34:9; Deut 31:17.</w:t>
      </w:r>
    </w:p>
  </w:footnote>
  <w:footnote w:id="1637">
    <w:p>
      <w:pPr>
        <w:pStyle w:val="FootnoteText"/>
      </w:pPr>
      <w:r>
        <w:rPr>
          <w:rStyle w:val="FootnoteReference"/>
        </w:rPr>
        <w:footnoteRef/>
      </w:r>
      <w:r>
        <w:t xml:space="preserve"> Name meaning: Joshua (Yehoshua) — Yahweh saves. Led Israel into the Promised Land; his name points to the ultimate Savior.</w:t>
      </w:r>
    </w:p>
  </w:footnote>
  <w:footnote w:id="1638">
    <w:p>
      <w:pPr>
        <w:pStyle w:val="FootnoteText"/>
      </w:pPr>
      <w:r>
        <w:rPr>
          <w:rStyle w:val="FootnoteReference"/>
        </w:rPr>
        <w:footnoteRef/>
      </w:r>
      <w:r>
        <w:t xml:space="preserve"> Cross-references for "Choose": Num 31:3-4.</w:t>
      </w:r>
    </w:p>
  </w:footnote>
  <w:footnote w:id="1639">
    <w:p>
      <w:pPr>
        <w:pStyle w:val="FootnoteText"/>
      </w:pPr>
      <w:r>
        <w:rPr>
          <w:rStyle w:val="FootnoteReference"/>
        </w:rPr>
        <w:footnoteRef/>
      </w:r>
      <w:r>
        <w:t xml:space="preserve"> Translation note: Greek uses military formation language here. Current wording keeps battle-array sense rather than generic fight command.</w:t>
      </w:r>
    </w:p>
  </w:footnote>
  <w:footnote w:id="1640">
    <w:p>
      <w:pPr>
        <w:pStyle w:val="FootnoteText"/>
      </w:pPr>
      <w:r>
        <w:rPr>
          <w:rStyle w:val="FootnoteReference"/>
        </w:rPr>
        <w:footnoteRef/>
      </w:r>
      <w:r>
        <w:t xml:space="preserve"> Cross-references for "Joshua": Josh 11:15; Matt 28:20.</w:t>
      </w:r>
    </w:p>
  </w:footnote>
  <w:footnote w:id="1641">
    <w:p>
      <w:pPr>
        <w:pStyle w:val="FootnoteText"/>
      </w:pPr>
      <w:r>
        <w:rPr>
          <w:rStyle w:val="FootnoteReference"/>
        </w:rPr>
        <w:footnoteRef/>
      </w:r>
      <w:r>
        <w:t xml:space="preserve"> Personal name: Hur. Personal-name meaning: Hur — liberty; whiteness; hole. Source form: Hur.</w:t>
      </w:r>
    </w:p>
  </w:footnote>
  <w:footnote w:id="1642">
    <w:p>
      <w:pPr>
        <w:pStyle w:val="FootnoteText"/>
      </w:pPr>
      <w:r>
        <w:rPr>
          <w:rStyle w:val="FootnoteReference"/>
        </w:rPr>
        <w:footnoteRef/>
      </w:r>
      <w:r>
        <w:t xml:space="preserve"> Cross-references for "Moses' hands": Matt 26:40-45; Mark 14:37-40.</w:t>
      </w:r>
    </w:p>
  </w:footnote>
  <w:footnote w:id="1643">
    <w:p>
      <w:pPr>
        <w:pStyle w:val="FootnoteText"/>
      </w:pPr>
      <w:r>
        <w:rPr>
          <w:rStyle w:val="FootnoteReference"/>
        </w:rPr>
        <w:footnoteRef/>
      </w:r>
      <w:r>
        <w:t xml:space="preserve"> Translation note: Greek moves from heavy hands to supported hands. Current line keeps that progression explicit.</w:t>
      </w:r>
    </w:p>
  </w:footnote>
  <w:footnote w:id="1644">
    <w:p>
      <w:pPr>
        <w:pStyle w:val="FootnoteText"/>
      </w:pPr>
      <w:r>
        <w:rPr>
          <w:rStyle w:val="FootnoteReference"/>
        </w:rPr>
        <w:footnoteRef/>
      </w:r>
      <w:r>
        <w:t xml:space="preserve"> Cross-references for "memorial": Exod 12:14; Exod 13:9.</w:t>
      </w:r>
    </w:p>
  </w:footnote>
  <w:footnote w:id="1645">
    <w:p>
      <w:pPr>
        <w:pStyle w:val="FootnoteText"/>
      </w:pPr>
      <w:r>
        <w:rPr>
          <w:rStyle w:val="FootnoteReference"/>
        </w:rPr>
        <w:footnoteRef/>
      </w:r>
      <w:r>
        <w:t xml:space="preserve"> Greek LXX divine name/title: Kyrios mou kataphuge (Κύριος μου καταφυγή) — The Lord is my refuge. Common English rendering: The Lord is my refuge. The LXX renders Yahweh Nissi with refuge language rather than banner language.</w:t>
      </w:r>
    </w:p>
  </w:footnote>
  <w:footnote w:id="1646">
    <w:p>
      <w:pPr>
        <w:pStyle w:val="FootnoteText"/>
      </w:pPr>
      <w:r>
        <w:rPr>
          <w:rStyle w:val="FootnoteReference"/>
        </w:rPr>
        <w:footnoteRef/>
      </w:r>
      <w:r>
        <w:t xml:space="preserve"> Hebrew divine name/title: Yahweh Nissi (</w:t>
      </w:r>
      <w:r>
        <w:rPr>
          <w:lang w:val="he-IL" w:bidi="he-IL"/>
          <w:rtl/>
        </w:rPr>
        <w:t xml:space="preserve">יְהוָה נִסִּי</w:t>
      </w:r>
      <w:r>
        <w:t xml:space="preserve">) — The LORD is my banner. Common English rendering: The LORD my banner. Moses’ altar-name after victory over Amalek, portraying God as the standard and rallying point of His people.</w:t>
      </w:r>
    </w:p>
  </w:footnote>
  <w:footnote w:id="1647">
    <w:p>
      <w:pPr>
        <w:pStyle w:val="FootnoteText"/>
      </w:pPr>
      <w:r>
        <w:rPr>
          <w:rStyle w:val="FootnoteReference"/>
        </w:rPr>
        <w:footnoteRef/>
      </w:r>
      <w:r>
        <w:t xml:space="preserve"> Cross-references for "Jethro": Exod 2:16; Exod 2:21.</w:t>
      </w:r>
    </w:p>
  </w:footnote>
  <w:footnote w:id="1648">
    <w:p>
      <w:pPr>
        <w:pStyle w:val="FootnoteText"/>
      </w:pPr>
      <w:r>
        <w:rPr>
          <w:rStyle w:val="FootnoteReference"/>
        </w:rPr>
        <w:footnoteRef/>
      </w:r>
      <w:r>
        <w:t xml:space="preserve"> Personal name: Zipporah. Personal-name meaning: Zipporah — beauty; trumpet; mourning. Source form: Zipporah.</w:t>
      </w:r>
    </w:p>
  </w:footnote>
  <w:footnote w:id="1649">
    <w:p>
      <w:pPr>
        <w:pStyle w:val="FootnoteText"/>
      </w:pPr>
      <w:r>
        <w:rPr>
          <w:rStyle w:val="FootnoteReference"/>
        </w:rPr>
        <w:footnoteRef/>
      </w:r>
      <w:r>
        <w:t xml:space="preserve"> Cross-references for "Zipporah": Exod 2:21; Exod 4:25-26.</w:t>
      </w:r>
    </w:p>
  </w:footnote>
  <w:footnote w:id="1650">
    <w:p>
      <w:pPr>
        <w:pStyle w:val="FootnoteText"/>
      </w:pPr>
      <w:r>
        <w:rPr>
          <w:rStyle w:val="FootnoteReference"/>
        </w:rPr>
        <w:footnoteRef/>
      </w:r>
      <w:r>
        <w:t xml:space="preserve"> Cross-references for "two sons": Acts 7:29.</w:t>
      </w:r>
    </w:p>
  </w:footnote>
  <w:footnote w:id="1651">
    <w:p>
      <w:pPr>
        <w:pStyle w:val="FootnoteText"/>
      </w:pPr>
      <w:r>
        <w:rPr>
          <w:rStyle w:val="FootnoteReference"/>
        </w:rPr>
        <w:footnoteRef/>
      </w:r>
      <w:r>
        <w:t xml:space="preserve"> Cross-references for "Eliezer": Ps 46:1; Isa 50:7-9.</w:t>
      </w:r>
    </w:p>
  </w:footnote>
  <w:footnote w:id="1652">
    <w:p>
      <w:pPr>
        <w:pStyle w:val="FootnoteText"/>
      </w:pPr>
      <w:r>
        <w:rPr>
          <w:rStyle w:val="FootnoteReference"/>
        </w:rPr>
        <w:footnoteRef/>
      </w:r>
      <w:r>
        <w:t xml:space="preserve"> Cross-references for "went": Gen 14:17; Gen 46:29.</w:t>
      </w:r>
    </w:p>
  </w:footnote>
  <w:footnote w:id="1653">
    <w:p>
      <w:pPr>
        <w:pStyle w:val="FootnoteText"/>
      </w:pPr>
      <w:r>
        <w:rPr>
          <w:rStyle w:val="FootnoteReference"/>
        </w:rPr>
        <w:footnoteRef/>
      </w:r>
      <w:r>
        <w:t xml:space="preserve"> Translation note: Greek keeps the hardship-on-the-way line explicit. Current wording preserves it.</w:t>
      </w:r>
    </w:p>
  </w:footnote>
  <w:footnote w:id="1654">
    <w:p>
      <w:pPr>
        <w:pStyle w:val="FootnoteText"/>
      </w:pPr>
      <w:r>
        <w:rPr>
          <w:rStyle w:val="FootnoteReference"/>
        </w:rPr>
        <w:footnoteRef/>
      </w:r>
      <w:r>
        <w:t xml:space="preserve"> Cross-references for "and all the": Exod 15:22-24; Exod 16:3.</w:t>
      </w:r>
    </w:p>
  </w:footnote>
  <w:footnote w:id="1655">
    <w:p>
      <w:pPr>
        <w:pStyle w:val="FootnoteText"/>
      </w:pPr>
      <w:r>
        <w:rPr>
          <w:rStyle w:val="FootnoteReference"/>
        </w:rPr>
        <w:footnoteRef/>
      </w:r>
      <w:r>
        <w:t xml:space="preserve"> Cross-references for "Now I": Exod 9:16; 1Kgs 17:24.</w:t>
      </w:r>
    </w:p>
  </w:footnote>
  <w:footnote w:id="1656">
    <w:p>
      <w:pPr>
        <w:pStyle w:val="FootnoteText"/>
      </w:pPr>
      <w:r>
        <w:rPr>
          <w:rStyle w:val="FootnoteReference"/>
        </w:rPr>
        <w:footnoteRef/>
      </w:r>
      <w:r>
        <w:t xml:space="preserve"> Cross-references for "took": Gen 4:4; Gen 8:20.</w:t>
      </w:r>
    </w:p>
  </w:footnote>
  <w:footnote w:id="1657">
    <w:p>
      <w:pPr>
        <w:pStyle w:val="FootnoteText"/>
      </w:pPr>
      <w:r>
        <w:rPr>
          <w:rStyle w:val="FootnoteReference"/>
        </w:rPr>
        <w:footnoteRef/>
      </w:r>
      <w:r>
        <w:t xml:space="preserve"> Cross-references for "bring": Num 27:5.</w:t>
      </w:r>
    </w:p>
  </w:footnote>
  <w:footnote w:id="1658">
    <w:p>
      <w:pPr>
        <w:pStyle w:val="FootnoteText"/>
      </w:pPr>
      <w:r>
        <w:rPr>
          <w:rStyle w:val="FootnoteReference"/>
        </w:rPr>
        <w:footnoteRef/>
      </w:r>
      <w:r>
        <w:t xml:space="preserve"> Cross-references for "able men": Exod 18:25; Deut 16:18.</w:t>
      </w:r>
    </w:p>
  </w:footnote>
  <w:footnote w:id="1659">
    <w:p>
      <w:pPr>
        <w:pStyle w:val="FootnoteText"/>
      </w:pPr>
      <w:r>
        <w:rPr>
          <w:rStyle w:val="FootnoteReference"/>
        </w:rPr>
        <w:footnoteRef/>
      </w:r>
      <w:r>
        <w:t xml:space="preserve"> Translation note: Greek says hating arrogance here. Current line keeps that wording.</w:t>
      </w:r>
    </w:p>
  </w:footnote>
  <w:footnote w:id="1660">
    <w:p>
      <w:pPr>
        <w:pStyle w:val="FootnoteText"/>
      </w:pPr>
      <w:r>
        <w:rPr>
          <w:rStyle w:val="FootnoteReference"/>
        </w:rPr>
        <w:footnoteRef/>
      </w:r>
      <w:r>
        <w:t xml:space="preserve"> Cross-references for "and all this": Gen 18:33; Gen 30:25.</w:t>
      </w:r>
    </w:p>
  </w:footnote>
  <w:footnote w:id="1661">
    <w:p>
      <w:pPr>
        <w:pStyle w:val="FootnoteText"/>
      </w:pPr>
      <w:r>
        <w:rPr>
          <w:rStyle w:val="FootnoteReference"/>
        </w:rPr>
        <w:footnoteRef/>
      </w:r>
      <w:r>
        <w:t xml:space="preserve"> Translation note: Greek lists the leadership tiers in sequence. Current wording preserves it.</w:t>
      </w:r>
    </w:p>
  </w:footnote>
  <w:footnote w:id="1662">
    <w:p>
      <w:pPr>
        <w:pStyle w:val="FootnoteText"/>
      </w:pPr>
      <w:r>
        <w:rPr>
          <w:rStyle w:val="FootnoteReference"/>
        </w:rPr>
        <w:footnoteRef/>
      </w:r>
      <w:r>
        <w:t xml:space="preserve"> Cross-references for "the third": Exod 12:2; Exod 12:6.</w:t>
      </w:r>
    </w:p>
  </w:footnote>
  <w:footnote w:id="1663">
    <w:p>
      <w:pPr>
        <w:pStyle w:val="FootnoteText"/>
      </w:pPr>
      <w:r>
        <w:rPr>
          <w:rStyle w:val="FootnoteReference"/>
        </w:rPr>
        <w:footnoteRef/>
      </w:r>
      <w:r>
        <w:t xml:space="preserve"> Cross-references for "Rephidim": Exod 17:1; Exod 17:8.</w:t>
      </w:r>
    </w:p>
  </w:footnote>
  <w:footnote w:id="1664">
    <w:p>
      <w:pPr>
        <w:pStyle w:val="FootnoteText"/>
      </w:pPr>
      <w:r>
        <w:rPr>
          <w:rStyle w:val="FootnoteReference"/>
        </w:rPr>
        <w:footnoteRef/>
      </w:r>
      <w:r>
        <w:t xml:space="preserve"> Cross-references for "went up": Exod 20:21; Exod 24:15-18.</w:t>
      </w:r>
    </w:p>
  </w:footnote>
  <w:footnote w:id="1665">
    <w:p>
      <w:pPr>
        <w:pStyle w:val="FootnoteText"/>
      </w:pPr>
      <w:r>
        <w:rPr>
          <w:rStyle w:val="FootnoteReference"/>
        </w:rPr>
        <w:footnoteRef/>
      </w:r>
      <w:r>
        <w:t xml:space="preserve"> Cross-references for "seen": Deut 4:9; Deut 4:33-36.</w:t>
      </w:r>
    </w:p>
  </w:footnote>
  <w:footnote w:id="1666">
    <w:p>
      <w:pPr>
        <w:pStyle w:val="FootnoteText"/>
      </w:pPr>
      <w:r>
        <w:rPr>
          <w:rStyle w:val="FootnoteReference"/>
        </w:rPr>
        <w:footnoteRef/>
      </w:r>
      <w:r>
        <w:t xml:space="preserve"> Cross-references for "keep": Deut 5:2; Ps 25:10.</w:t>
      </w:r>
    </w:p>
  </w:footnote>
  <w:footnote w:id="1667">
    <w:p>
      <w:pPr>
        <w:pStyle w:val="FootnoteText"/>
      </w:pPr>
      <w:r>
        <w:rPr>
          <w:rStyle w:val="FootnoteReference"/>
        </w:rPr>
        <w:footnoteRef/>
      </w:r>
      <w:r>
        <w:t xml:space="preserve"> Cross-references for "the elders": Exod 3:16.</w:t>
      </w:r>
    </w:p>
  </w:footnote>
  <w:footnote w:id="1668">
    <w:p>
      <w:pPr>
        <w:pStyle w:val="FootnoteText"/>
      </w:pPr>
      <w:r>
        <w:rPr>
          <w:rStyle w:val="FootnoteReference"/>
        </w:rPr>
        <w:footnoteRef/>
      </w:r>
      <w:r>
        <w:t xml:space="preserve"> Cross-references for "wash": Gen 35:2; Exod 19:14.</w:t>
      </w:r>
    </w:p>
  </w:footnote>
  <w:footnote w:id="1669">
    <w:p>
      <w:pPr>
        <w:pStyle w:val="FootnoteText"/>
      </w:pPr>
      <w:r>
        <w:rPr>
          <w:rStyle w:val="FootnoteReference"/>
        </w:rPr>
        <w:footnoteRef/>
      </w:r>
      <w:r>
        <w:t xml:space="preserve"> Cross-references for "the Lord": Exod 3:8; Exod 19:16.</w:t>
      </w:r>
    </w:p>
  </w:footnote>
  <w:footnote w:id="1670">
    <w:p>
      <w:pPr>
        <w:pStyle w:val="FootnoteText"/>
      </w:pPr>
      <w:r>
        <w:rPr>
          <w:rStyle w:val="FootnoteReference"/>
        </w:rPr>
        <w:footnoteRef/>
      </w:r>
      <w:r>
        <w:t xml:space="preserve"> Translation note: Greek uses boundary-marking language here. Current line keeps it.</w:t>
      </w:r>
    </w:p>
  </w:footnote>
  <w:footnote w:id="1671">
    <w:p>
      <w:pPr>
        <w:pStyle w:val="FootnoteText"/>
      </w:pPr>
      <w:r>
        <w:rPr>
          <w:rStyle w:val="FootnoteReference"/>
        </w:rPr>
        <w:footnoteRef/>
      </w:r>
      <w:r>
        <w:t xml:space="preserve"> Cross-references for "Take": Exod 10:28; Exod 34:12.</w:t>
      </w:r>
    </w:p>
  </w:footnote>
  <w:footnote w:id="1672">
    <w:p>
      <w:pPr>
        <w:pStyle w:val="FootnoteText"/>
      </w:pPr>
      <w:r>
        <w:rPr>
          <w:rStyle w:val="FootnoteReference"/>
        </w:rPr>
        <w:footnoteRef/>
      </w:r>
      <w:r>
        <w:t xml:space="preserve"> Cross-references for "Whether": Exod 21:28-29; Lev 20:15-16.</w:t>
      </w:r>
    </w:p>
  </w:footnote>
  <w:footnote w:id="1673">
    <w:p>
      <w:pPr>
        <w:pStyle w:val="FootnoteText"/>
      </w:pPr>
      <w:r>
        <w:rPr>
          <w:rStyle w:val="FootnoteReference"/>
        </w:rPr>
        <w:footnoteRef/>
      </w:r>
      <w:r>
        <w:t xml:space="preserve"> Cross-references for "and sanctified": Exod 19:10.</w:t>
      </w:r>
    </w:p>
  </w:footnote>
  <w:footnote w:id="1674">
    <w:p>
      <w:pPr>
        <w:pStyle w:val="FootnoteText"/>
      </w:pPr>
      <w:r>
        <w:rPr>
          <w:rStyle w:val="FootnoteReference"/>
        </w:rPr>
        <w:footnoteRef/>
      </w:r>
      <w:r>
        <w:t xml:space="preserve"> Cross-references for "Be ready": Amos 4:12; Mal 3:2.</w:t>
      </w:r>
    </w:p>
  </w:footnote>
  <w:footnote w:id="1675">
    <w:p>
      <w:pPr>
        <w:pStyle w:val="FootnoteText"/>
      </w:pPr>
      <w:r>
        <w:rPr>
          <w:rStyle w:val="FootnoteReference"/>
        </w:rPr>
        <w:footnoteRef/>
      </w:r>
      <w:r>
        <w:t xml:space="preserve"> Translation note: Greek says gloomy/dark cloud here.</w:t>
      </w:r>
    </w:p>
  </w:footnote>
  <w:footnote w:id="1676">
    <w:p>
      <w:pPr>
        <w:pStyle w:val="FootnoteText"/>
      </w:pPr>
      <w:r>
        <w:rPr>
          <w:rStyle w:val="FootnoteReference"/>
        </w:rPr>
        <w:footnoteRef/>
      </w:r>
      <w:r>
        <w:t xml:space="preserve"> Cross-references for "all the people": Jer 5:22; Heb 12:21.</w:t>
      </w:r>
    </w:p>
  </w:footnote>
  <w:footnote w:id="1677">
    <w:p>
      <w:pPr>
        <w:pStyle w:val="FootnoteText"/>
      </w:pPr>
      <w:r>
        <w:rPr>
          <w:rStyle w:val="FootnoteReference"/>
        </w:rPr>
        <w:footnoteRef/>
      </w:r>
      <w:r>
        <w:t xml:space="preserve"> Cross-references for "Mount Sinai": Exod 20:18; Deut 4:11-12.</w:t>
      </w:r>
    </w:p>
  </w:footnote>
  <w:footnote w:id="1678">
    <w:p>
      <w:pPr>
        <w:pStyle w:val="FootnoteText"/>
      </w:pPr>
      <w:r>
        <w:rPr>
          <w:rStyle w:val="FootnoteReference"/>
        </w:rPr>
        <w:footnoteRef/>
      </w:r>
      <w:r>
        <w:t xml:space="preserve"> Cross-references for "Moses": Heb 12:21.</w:t>
      </w:r>
    </w:p>
  </w:footnote>
  <w:footnote w:id="1679">
    <w:p>
      <w:pPr>
        <w:pStyle w:val="FootnoteText"/>
      </w:pPr>
      <w:r>
        <w:rPr>
          <w:rStyle w:val="FootnoteReference"/>
        </w:rPr>
        <w:footnoteRef/>
      </w:r>
      <w:r>
        <w:t xml:space="preserve"> Cross-references for "the Lord came": Exod 19:11; Neh 9:13.</w:t>
      </w:r>
    </w:p>
  </w:footnote>
  <w:footnote w:id="1680">
    <w:p>
      <w:pPr>
        <w:pStyle w:val="FootnoteText"/>
      </w:pPr>
      <w:r>
        <w:rPr>
          <w:rStyle w:val="FootnoteReference"/>
        </w:rPr>
        <w:footnoteRef/>
      </w:r>
      <w:r>
        <w:t xml:space="preserve"> Cross-references for "the priests": Exod 24:5; Lev 10:1-3.</w:t>
      </w:r>
    </w:p>
  </w:footnote>
  <w:footnote w:id="1681">
    <w:p>
      <w:pPr>
        <w:pStyle w:val="FootnoteText"/>
      </w:pPr>
      <w:r>
        <w:rPr>
          <w:rStyle w:val="FootnoteReference"/>
        </w:rPr>
        <w:footnoteRef/>
      </w:r>
      <w:r>
        <w:t xml:space="preserve"> Personal name: Mark. Personal-name meaning: Mark — Hammer; polite. Source form: Mark.</w:t>
      </w:r>
    </w:p>
  </w:footnote>
  <w:footnote w:id="1682">
    <w:p>
      <w:pPr>
        <w:pStyle w:val="FootnoteText"/>
      </w:pPr>
      <w:r>
        <w:rPr>
          <w:rStyle w:val="FootnoteReference"/>
        </w:rPr>
        <w:footnoteRef/>
      </w:r>
      <w:r>
        <w:t xml:space="preserve"> Cross-references for "But let": Exod 19:12; Exod 19:21.</w:t>
      </w:r>
    </w:p>
  </w:footnote>
  <w:footnote w:id="1683">
    <w:p>
      <w:pPr>
        <w:pStyle w:val="FootnoteText"/>
      </w:pPr>
      <w:r>
        <w:rPr>
          <w:rStyle w:val="FootnoteReference"/>
        </w:rPr>
        <w:footnoteRef/>
      </w:r>
      <w:r>
        <w:t xml:space="preserve"> Cross-references for "the Lord": Gen 17:7-8; Lev 26:1.</w:t>
      </w:r>
    </w:p>
  </w:footnote>
  <w:footnote w:id="1684">
    <w:p>
      <w:pPr>
        <w:pStyle w:val="FootnoteText"/>
      </w:pPr>
      <w:r>
        <w:rPr>
          <w:rStyle w:val="FootnoteReference"/>
        </w:rPr>
        <w:footnoteRef/>
      </w:r>
      <w:r>
        <w:t xml:space="preserve"> Translation note: Greek says idol here.</w:t>
      </w:r>
    </w:p>
  </w:footnote>
  <w:footnote w:id="1685">
    <w:p>
      <w:pPr>
        <w:pStyle w:val="FootnoteText"/>
      </w:pPr>
      <w:r>
        <w:rPr>
          <w:rStyle w:val="FootnoteReference"/>
        </w:rPr>
        <w:footnoteRef/>
      </w:r>
      <w:r>
        <w:t xml:space="preserve"> Cross-references for "bow down": Exod 23:24; Lev 26:1.</w:t>
      </w:r>
    </w:p>
  </w:footnote>
  <w:footnote w:id="1686">
    <w:p>
      <w:pPr>
        <w:pStyle w:val="FootnoteText"/>
      </w:pPr>
      <w:r>
        <w:rPr>
          <w:rStyle w:val="FootnoteReference"/>
        </w:rPr>
        <w:footnoteRef/>
      </w:r>
      <w:r>
        <w:t xml:space="preserve"> Translation note: Greek uses mercy into thousands here. Current wording preserves that mercy formula rather than smoothing it to a generic kindness line.</w:t>
      </w:r>
    </w:p>
  </w:footnote>
  <w:footnote w:id="1687">
    <w:p>
      <w:pPr>
        <w:pStyle w:val="FootnoteText"/>
      </w:pPr>
      <w:r>
        <w:rPr>
          <w:rStyle w:val="FootnoteReference"/>
        </w:rPr>
        <w:footnoteRef/>
      </w:r>
      <w:r>
        <w:t xml:space="preserve"> Cross-references for "showing": Deut 4:37; Deut 5:29.</w:t>
      </w:r>
    </w:p>
  </w:footnote>
  <w:footnote w:id="1688">
    <w:p>
      <w:pPr>
        <w:pStyle w:val="FootnoteText"/>
      </w:pPr>
      <w:r>
        <w:rPr>
          <w:rStyle w:val="FootnoteReference"/>
        </w:rPr>
        <w:footnoteRef/>
      </w:r>
      <w:r>
        <w:t xml:space="preserve"> Cross-references for "take": Lev 19:12; Lev 24:11-16.</w:t>
      </w:r>
    </w:p>
  </w:footnote>
  <w:footnote w:id="1689">
    <w:p>
      <w:pPr>
        <w:pStyle w:val="FootnoteText"/>
      </w:pPr>
      <w:r>
        <w:rPr>
          <w:rStyle w:val="FootnoteReference"/>
        </w:rPr>
        <w:footnoteRef/>
      </w:r>
      <w:r>
        <w:t xml:space="preserve"> Translation note: Greek literally speaks of taking the divine name upon emptiness or vanity. The main line now uses the established English idiom in vain, while this note preserves the underlying image.</w:t>
      </w:r>
    </w:p>
  </w:footnote>
  <w:footnote w:id="1690">
    <w:p>
      <w:pPr>
        <w:pStyle w:val="FootnoteText"/>
      </w:pPr>
      <w:r>
        <w:rPr>
          <w:rStyle w:val="FootnoteReference"/>
        </w:rPr>
        <w:footnoteRef/>
      </w:r>
      <w:r>
        <w:t xml:space="preserve"> Translation note: Greek keeps the command compact and repetitive. Current wording preserves that shape.</w:t>
      </w:r>
    </w:p>
  </w:footnote>
  <w:footnote w:id="1691">
    <w:p>
      <w:pPr>
        <w:pStyle w:val="FootnoteText"/>
      </w:pPr>
      <w:r>
        <w:rPr>
          <w:rStyle w:val="FootnoteReference"/>
        </w:rPr>
        <w:footnoteRef/>
      </w:r>
      <w:r>
        <w:t xml:space="preserve"> Cross-references for "the seventh": Exod 31:13; Exod 34:21.</w:t>
      </w:r>
    </w:p>
  </w:footnote>
  <w:footnote w:id="1692">
    <w:p>
      <w:pPr>
        <w:pStyle w:val="FootnoteText"/>
      </w:pPr>
      <w:r>
        <w:rPr>
          <w:rStyle w:val="FootnoteReference"/>
        </w:rPr>
        <w:footnoteRef/>
      </w:r>
      <w:r>
        <w:t xml:space="preserve"> MT/LXX note: The LXX commandment order places adultery before stealing and murder here; standard English/MT ordering usually places murder first and adultery at Exodus 20:14. This edition preserves the Greek order.</w:t>
      </w:r>
    </w:p>
  </w:footnote>
  <w:footnote w:id="1693">
    <w:p>
      <w:pPr>
        <w:pStyle w:val="FootnoteText"/>
      </w:pPr>
      <w:r>
        <w:rPr>
          <w:rStyle w:val="FootnoteReference"/>
        </w:rPr>
        <w:footnoteRef/>
      </w:r>
      <w:r>
        <w:t xml:space="preserve"> Translation note: In the Greek order here, adultery comes first, then theft, then murder. Current wording follows the LXX verse order.</w:t>
      </w:r>
    </w:p>
  </w:footnote>
  <w:footnote w:id="1694">
    <w:p>
      <w:pPr>
        <w:pStyle w:val="FootnoteText"/>
      </w:pPr>
      <w:r>
        <w:rPr>
          <w:rStyle w:val="FootnoteReference"/>
        </w:rPr>
        <w:footnoteRef/>
      </w:r>
      <w:r>
        <w:t xml:space="preserve"> Cross-references for "let not": Gen 32:30; Exod 33:20.</w:t>
      </w:r>
    </w:p>
  </w:footnote>
  <w:footnote w:id="1695">
    <w:p>
      <w:pPr>
        <w:pStyle w:val="FootnoteText"/>
      </w:pPr>
      <w:r>
        <w:rPr>
          <w:rStyle w:val="FootnoteReference"/>
        </w:rPr>
        <w:footnoteRef/>
      </w:r>
      <w:r>
        <w:t xml:space="preserve"> Cross-references for "his fear": Gen 20:11; Deut 6:2.</w:t>
      </w:r>
    </w:p>
  </w:footnote>
  <w:footnote w:id="1696">
    <w:p>
      <w:pPr>
        <w:pStyle w:val="FootnoteText"/>
      </w:pPr>
      <w:r>
        <w:rPr>
          <w:rStyle w:val="FootnoteReference"/>
        </w:rPr>
        <w:footnoteRef/>
      </w:r>
      <w:r>
        <w:t xml:space="preserve"> Cross-references for "altar": John 4:24.</w:t>
      </w:r>
    </w:p>
  </w:footnote>
  <w:footnote w:id="1697">
    <w:p>
      <w:pPr>
        <w:pStyle w:val="FootnoteText"/>
      </w:pPr>
      <w:r>
        <w:rPr>
          <w:rStyle w:val="FootnoteReference"/>
        </w:rPr>
        <w:footnoteRef/>
      </w:r>
      <w:r>
        <w:t xml:space="preserve"> Translation note: Greek literally uses a salvation-related term here. This draft keeps that wording visible rather than immediately replacing it with a standard cultic label. Direct Logos comparison shows NETS follows this more closely while LES and LES2 smooth to peace-offerings.</w:t>
      </w:r>
    </w:p>
  </w:footnote>
  <w:footnote w:id="1698">
    <w:p>
      <w:pPr>
        <w:pStyle w:val="FootnoteText"/>
      </w:pPr>
      <w:r>
        <w:rPr>
          <w:rStyle w:val="FootnoteReference"/>
        </w:rPr>
        <w:footnoteRef/>
      </w:r>
      <w:r>
        <w:t xml:space="preserve"> Translation note: Greek uses a naming formula here. This wording keeps the Greek idiom visible while aligning with the project's broader pattern of rendering similar clauses as name-called language. Direct Logos comparison shows NETS stays nearer this form while LES and LES2 smooth toward place-my-name phrasing.</w:t>
      </w:r>
    </w:p>
  </w:footnote>
  <w:footnote w:id="1699">
    <w:p>
      <w:pPr>
        <w:pStyle w:val="FootnoteText"/>
      </w:pPr>
      <w:r>
        <w:rPr>
          <w:rStyle w:val="FootnoteReference"/>
        </w:rPr>
        <w:footnoteRef/>
      </w:r>
      <w:r>
        <w:t xml:space="preserve"> Translation note: Greek soterion language here is rendered with salvation wording for consistency across this sacrificial cluster. Some English witnesses smooth the line to peace offerings, but the Greek itself uses the salvation-family term.</w:t>
      </w:r>
    </w:p>
  </w:footnote>
  <w:footnote w:id="1700">
    <w:p>
      <w:pPr>
        <w:pStyle w:val="FootnoteText"/>
      </w:pPr>
      <w:r>
        <w:rPr>
          <w:rStyle w:val="FootnoteReference"/>
        </w:rPr>
        <w:footnoteRef/>
      </w:r>
      <w:r>
        <w:t xml:space="preserve"> Cross-references for "and in the": Lev 25:40-43; Lev 25:45.</w:t>
      </w:r>
    </w:p>
  </w:footnote>
  <w:footnote w:id="1701">
    <w:p>
      <w:pPr>
        <w:pStyle w:val="FootnoteText"/>
      </w:pPr>
      <w:r>
        <w:rPr>
          <w:rStyle w:val="FootnoteReference"/>
        </w:rPr>
        <w:footnoteRef/>
      </w:r>
      <w:r>
        <w:t xml:space="preserve"> Cross-references for "go out": Exod 21:2-3.</w:t>
      </w:r>
    </w:p>
  </w:footnote>
  <w:footnote w:id="1702">
    <w:p>
      <w:pPr>
        <w:pStyle w:val="FootnoteText"/>
      </w:pPr>
      <w:r>
        <w:rPr>
          <w:rStyle w:val="FootnoteReference"/>
        </w:rPr>
        <w:footnoteRef/>
      </w:r>
      <w:r>
        <w:t xml:space="preserve"> Cross-references for "take him": 1Kgs 1:50-51; 1Kgs 2:28-34.</w:t>
      </w:r>
    </w:p>
  </w:footnote>
  <w:footnote w:id="1703">
    <w:p>
      <w:pPr>
        <w:pStyle w:val="FootnoteText"/>
      </w:pPr>
      <w:r>
        <w:rPr>
          <w:rStyle w:val="FootnoteReference"/>
        </w:rPr>
        <w:footnoteRef/>
      </w:r>
      <w:r>
        <w:t xml:space="preserve"> Cross-references for "a stone": Exod 21:20; Num 35:16-24.</w:t>
      </w:r>
    </w:p>
  </w:footnote>
  <w:footnote w:id="1704">
    <w:p>
      <w:pPr>
        <w:pStyle w:val="FootnoteText"/>
      </w:pPr>
      <w:r>
        <w:rPr>
          <w:rStyle w:val="FootnoteReference"/>
        </w:rPr>
        <w:footnoteRef/>
      </w:r>
      <w:r>
        <w:t xml:space="preserve"> Translation note: Greek says child comes out not yet formed and pay with assessment.</w:t>
      </w:r>
    </w:p>
  </w:footnote>
  <w:footnote w:id="1705">
    <w:p>
      <w:pPr>
        <w:pStyle w:val="FootnoteText"/>
      </w:pPr>
      <w:r>
        <w:rPr>
          <w:rStyle w:val="FootnoteReference"/>
        </w:rPr>
        <w:footnoteRef/>
      </w:r>
      <w:r>
        <w:t xml:space="preserve"> Cross-references for "life for life": Num 35:31.</w:t>
      </w:r>
    </w:p>
  </w:footnote>
  <w:footnote w:id="1706">
    <w:p>
      <w:pPr>
        <w:pStyle w:val="FootnoteText"/>
      </w:pPr>
      <w:r>
        <w:rPr>
          <w:rStyle w:val="FootnoteReference"/>
        </w:rPr>
        <w:footnoteRef/>
      </w:r>
      <w:r>
        <w:t xml:space="preserve"> Translation note: Greek keeps Semitic time idiom here.</w:t>
      </w:r>
    </w:p>
  </w:footnote>
  <w:footnote w:id="1707">
    <w:p>
      <w:pPr>
        <w:pStyle w:val="FootnoteText"/>
      </w:pPr>
      <w:r>
        <w:rPr>
          <w:rStyle w:val="FootnoteReference"/>
        </w:rPr>
        <w:footnoteRef/>
      </w:r>
      <w:r>
        <w:t xml:space="preserve"> Translation note: Greek repeats the ransom word family in both halves of the sentence. The translation preserves that repetition.</w:t>
      </w:r>
    </w:p>
  </w:footnote>
  <w:footnote w:id="1708">
    <w:p>
      <w:pPr>
        <w:pStyle w:val="FootnoteText"/>
      </w:pPr>
      <w:r>
        <w:rPr>
          <w:rStyle w:val="FootnoteReference"/>
        </w:rPr>
        <w:footnoteRef/>
      </w:r>
      <w:r>
        <w:t xml:space="preserve"> MT/LXX note: The Septuagint places the burglary ruling here rather than the Masoretic livestock-theft rule. The translation follows the Greek content.</w:t>
      </w:r>
    </w:p>
  </w:footnote>
  <w:footnote w:id="1709">
    <w:p>
      <w:pPr>
        <w:pStyle w:val="FootnoteText"/>
      </w:pPr>
      <w:r>
        <w:rPr>
          <w:rStyle w:val="FootnoteReference"/>
        </w:rPr>
        <w:footnoteRef/>
      </w:r>
      <w:r>
        <w:t xml:space="preserve"> MT/LXX note: The Septuagint places the restitution line here rather than the Masoretic burglary ruling. The translation follows the Greek content.</w:t>
      </w:r>
    </w:p>
  </w:footnote>
  <w:footnote w:id="1710">
    <w:p>
      <w:pPr>
        <w:pStyle w:val="FootnoteText"/>
      </w:pPr>
      <w:r>
        <w:rPr>
          <w:rStyle w:val="FootnoteReference"/>
        </w:rPr>
        <w:footnoteRef/>
      </w:r>
      <w:r>
        <w:t xml:space="preserve"> MT/LXX note: The Septuagint places the grazing-damage law here rather than the Masoretic theft case. The translation follows the Greek content.</w:t>
      </w:r>
    </w:p>
  </w:footnote>
  <w:footnote w:id="1711">
    <w:p>
      <w:pPr>
        <w:pStyle w:val="FootnoteText"/>
      </w:pPr>
      <w:r>
        <w:rPr>
          <w:rStyle w:val="FootnoteReference"/>
        </w:rPr>
        <w:footnoteRef/>
      </w:r>
      <w:r>
        <w:t xml:space="preserve"> MT/LXX note: Greek here has the fire law, not the MT grazing law.</w:t>
      </w:r>
    </w:p>
  </w:footnote>
  <w:footnote w:id="1712">
    <w:p>
      <w:pPr>
        <w:pStyle w:val="FootnoteText"/>
      </w:pPr>
      <w:r>
        <w:rPr>
          <w:rStyle w:val="FootnoteReference"/>
        </w:rPr>
        <w:footnoteRef/>
      </w:r>
      <w:r>
        <w:t xml:space="preserve"> Translation note: Greek says entrusted property here. Current line keeps that wording.</w:t>
      </w:r>
    </w:p>
  </w:footnote>
  <w:footnote w:id="1713">
    <w:p>
      <w:pPr>
        <w:pStyle w:val="FootnoteText"/>
      </w:pPr>
      <w:r>
        <w:rPr>
          <w:rStyle w:val="FootnoteReference"/>
        </w:rPr>
        <w:footnoteRef/>
      </w:r>
      <w:r>
        <w:t xml:space="preserve"> MT/LXX note: The Septuagint gives a broader legal summary here rather than the narrower Masoretic case. The translation follows the Greek content.</w:t>
      </w:r>
    </w:p>
  </w:footnote>
  <w:footnote w:id="1714">
    <w:p>
      <w:pPr>
        <w:pStyle w:val="FootnoteText"/>
      </w:pPr>
      <w:r>
        <w:rPr>
          <w:rStyle w:val="FootnoteReference"/>
        </w:rPr>
        <w:footnoteRef/>
      </w:r>
      <w:r>
        <w:t xml:space="preserve"> Translation note: Greek says is taken captive.</w:t>
      </w:r>
    </w:p>
  </w:footnote>
  <w:footnote w:id="1715">
    <w:p>
      <w:pPr>
        <w:pStyle w:val="FootnoteText"/>
      </w:pPr>
      <w:r>
        <w:rPr>
          <w:rStyle w:val="FootnoteReference"/>
        </w:rPr>
        <w:footnoteRef/>
      </w:r>
      <w:r>
        <w:t xml:space="preserve"> MT/LXX note: The Septuagint places the oath ruling here rather than the Masoretic deposit-case setup. The translation follows the Greek content.</w:t>
      </w:r>
    </w:p>
  </w:footnote>
  <w:footnote w:id="1716">
    <w:p>
      <w:pPr>
        <w:pStyle w:val="FootnoteText"/>
      </w:pPr>
      <w:r>
        <w:rPr>
          <w:rStyle w:val="FootnoteReference"/>
        </w:rPr>
        <w:footnoteRef/>
      </w:r>
      <w:r>
        <w:t xml:space="preserve"> Translation note: Greek uses the ordinary repayment verb. The translation stays direct.</w:t>
      </w:r>
    </w:p>
  </w:footnote>
  <w:footnote w:id="1717">
    <w:p>
      <w:pPr>
        <w:pStyle w:val="FootnoteText"/>
      </w:pPr>
      <w:r>
        <w:rPr>
          <w:rStyle w:val="FootnoteReference"/>
        </w:rPr>
        <w:footnoteRef/>
      </w:r>
      <w:r>
        <w:t xml:space="preserve"> MT/LXX note: This Septuagint verse maps to a borrowing law rather than the Masoretic torn-animal witness line. The translation follows the Greek numbering and content.</w:t>
      </w:r>
    </w:p>
  </w:footnote>
  <w:footnote w:id="1718">
    <w:p>
      <w:pPr>
        <w:pStyle w:val="FootnoteText"/>
      </w:pPr>
      <w:r>
        <w:rPr>
          <w:rStyle w:val="FootnoteReference"/>
        </w:rPr>
        <w:footnoteRef/>
      </w:r>
      <w:r>
        <w:t xml:space="preserve"> Translation note: Greek doubles mistreat here. Current line keeps that wording.</w:t>
      </w:r>
    </w:p>
  </w:footnote>
  <w:footnote w:id="1719">
    <w:p>
      <w:pPr>
        <w:pStyle w:val="FootnoteText"/>
      </w:pPr>
      <w:r>
        <w:rPr>
          <w:rStyle w:val="FootnoteReference"/>
        </w:rPr>
        <w:footnoteRef/>
      </w:r>
      <w:r>
        <w:t xml:space="preserve"> Translation note: Greek doubles the anger expression for emphasis. The English keeps that stronger form instead of smoothing it to a single adjective.</w:t>
      </w:r>
    </w:p>
  </w:footnote>
  <w:footnote w:id="1720">
    <w:p>
      <w:pPr>
        <w:pStyle w:val="FootnoteText"/>
      </w:pPr>
      <w:r>
        <w:rPr>
          <w:rStyle w:val="FootnoteReference"/>
        </w:rPr>
        <w:footnoteRef/>
      </w:r>
      <w:r>
        <w:t xml:space="preserve"> Translation note: Greek says lay interest here. Current line keeps that phrasing.</w:t>
      </w:r>
    </w:p>
  </w:footnote>
  <w:footnote w:id="1721">
    <w:p>
      <w:pPr>
        <w:pStyle w:val="FootnoteText"/>
      </w:pPr>
      <w:r>
        <w:rPr>
          <w:rStyle w:val="FootnoteReference"/>
        </w:rPr>
        <w:footnoteRef/>
      </w:r>
      <w:r>
        <w:t xml:space="preserve"> Translation note: Greek uses beast-torn wording here. Current line keeps it.</w:t>
      </w:r>
    </w:p>
  </w:footnote>
  <w:footnote w:id="1722">
    <w:p>
      <w:pPr>
        <w:pStyle w:val="FootnoteText"/>
      </w:pPr>
      <w:r>
        <w:rPr>
          <w:rStyle w:val="FootnoteReference"/>
        </w:rPr>
        <w:footnoteRef/>
      </w:r>
      <w:r>
        <w:t xml:space="preserve"> Translation note: Greek states the judgment-case line directly. Current wording keeps it plain.</w:t>
      </w:r>
    </w:p>
  </w:footnote>
  <w:footnote w:id="1723">
    <w:p>
      <w:pPr>
        <w:pStyle w:val="FootnoteText"/>
      </w:pPr>
      <w:r>
        <w:rPr>
          <w:rStyle w:val="FootnoteReference"/>
        </w:rPr>
        <w:footnoteRef/>
      </w:r>
      <w:r>
        <w:t xml:space="preserve"> Cross-references for "far from": Exod 23:1; Lev 19:11.</w:t>
      </w:r>
    </w:p>
  </w:footnote>
  <w:footnote w:id="1724">
    <w:p>
      <w:pPr>
        <w:pStyle w:val="FootnoteText"/>
      </w:pPr>
      <w:r>
        <w:rPr>
          <w:rStyle w:val="FootnoteReference"/>
        </w:rPr>
        <w:footnoteRef/>
      </w:r>
      <w:r>
        <w:t xml:space="preserve"> Cross-references for "Six years": Lev 25:3-4; Neh 10:31.</w:t>
      </w:r>
    </w:p>
  </w:footnote>
  <w:footnote w:id="1725">
    <w:p>
      <w:pPr>
        <w:pStyle w:val="FootnoteText"/>
      </w:pPr>
      <w:r>
        <w:rPr>
          <w:rStyle w:val="FootnoteReference"/>
        </w:rPr>
        <w:footnoteRef/>
      </w:r>
      <w:r>
        <w:t xml:space="preserve"> Cross-references for "the seventh": Lev 25:2-7; Lev 25:11-12.</w:t>
      </w:r>
    </w:p>
  </w:footnote>
  <w:footnote w:id="1726">
    <w:p>
      <w:pPr>
        <w:pStyle w:val="FootnoteText"/>
      </w:pPr>
      <w:r>
        <w:rPr>
          <w:rStyle w:val="FootnoteReference"/>
        </w:rPr>
        <w:footnoteRef/>
      </w:r>
      <w:r>
        <w:t xml:space="preserve"> Translation note: Greek says make a release and let it rest.</w:t>
      </w:r>
    </w:p>
  </w:footnote>
  <w:footnote w:id="1727">
    <w:p>
      <w:pPr>
        <w:pStyle w:val="FootnoteText"/>
      </w:pPr>
      <w:r>
        <w:rPr>
          <w:rStyle w:val="FootnoteReference"/>
        </w:rPr>
        <w:footnoteRef/>
      </w:r>
      <w:r>
        <w:t xml:space="preserve"> Cross-references for "Six days": Exod 20:8-11; Exod 31:15-16.</w:t>
      </w:r>
    </w:p>
  </w:footnote>
  <w:footnote w:id="1728">
    <w:p>
      <w:pPr>
        <w:pStyle w:val="FootnoteText"/>
      </w:pPr>
      <w:r>
        <w:rPr>
          <w:rStyle w:val="FootnoteReference"/>
        </w:rPr>
        <w:footnoteRef/>
      </w:r>
      <w:r>
        <w:t xml:space="preserve"> Cross-references for "the feast": Exod 12:14-28; Exod 12:43-49.</w:t>
      </w:r>
    </w:p>
  </w:footnote>
  <w:footnote w:id="1729">
    <w:p>
      <w:pPr>
        <w:pStyle w:val="FootnoteText"/>
      </w:pPr>
      <w:r>
        <w:rPr>
          <w:rStyle w:val="FootnoteReference"/>
        </w:rPr>
        <w:footnoteRef/>
      </w:r>
      <w:r>
        <w:t xml:space="preserve"> Translation note: Greek refers to the month by harvest character rather than by the Hebrew month name. The translation keeps that Greek wording.</w:t>
      </w:r>
    </w:p>
  </w:footnote>
  <w:footnote w:id="1730">
    <w:p>
      <w:pPr>
        <w:pStyle w:val="FootnoteText"/>
      </w:pPr>
      <w:r>
        <w:rPr>
          <w:rStyle w:val="FootnoteReference"/>
        </w:rPr>
        <w:footnoteRef/>
      </w:r>
      <w:r>
        <w:t xml:space="preserve"> Cross-references for "feast of harvest": Exod 22:29; Exod 34:22.</w:t>
      </w:r>
    </w:p>
  </w:footnote>
  <w:footnote w:id="1731">
    <w:p>
      <w:pPr>
        <w:pStyle w:val="FootnoteText"/>
      </w:pPr>
      <w:r>
        <w:rPr>
          <w:rStyle w:val="FootnoteReference"/>
        </w:rPr>
        <w:footnoteRef/>
      </w:r>
      <w:r>
        <w:t xml:space="preserve"> Translation note: Greek says completion and going out of year here. Current line keeps both.</w:t>
      </w:r>
    </w:p>
  </w:footnote>
  <w:footnote w:id="1732">
    <w:p>
      <w:pPr>
        <w:pStyle w:val="FootnoteText"/>
      </w:pPr>
      <w:r>
        <w:rPr>
          <w:rStyle w:val="FootnoteReference"/>
        </w:rPr>
        <w:footnoteRef/>
      </w:r>
      <w:r>
        <w:t xml:space="preserve"> Cross-references for "blood": Exod 12:8; Exod 12:15.</w:t>
      </w:r>
    </w:p>
  </w:footnote>
  <w:footnote w:id="1733">
    <w:p>
      <w:pPr>
        <w:pStyle w:val="FootnoteText"/>
      </w:pPr>
      <w:r>
        <w:rPr>
          <w:rStyle w:val="FootnoteReference"/>
        </w:rPr>
        <w:footnoteRef/>
      </w:r>
      <w:r>
        <w:t xml:space="preserve"> Translation note: Greek angelos can mean messenger or angel, but here the figure goes before Israel, guards the way, and brings them into prepared land. Draft uses angel for this divine escort figure.</w:t>
      </w:r>
    </w:p>
  </w:footnote>
  <w:footnote w:id="1734">
    <w:p>
      <w:pPr>
        <w:pStyle w:val="FootnoteText"/>
      </w:pPr>
      <w:r>
        <w:rPr>
          <w:rStyle w:val="FootnoteReference"/>
        </w:rPr>
        <w:footnoteRef/>
      </w:r>
      <w:r>
        <w:t xml:space="preserve"> Cross-references for "angel": Gen 48:16; Exod 3:2-6.</w:t>
      </w:r>
    </w:p>
  </w:footnote>
  <w:footnote w:id="1735">
    <w:p>
      <w:pPr>
        <w:pStyle w:val="FootnoteText"/>
      </w:pPr>
      <w:r>
        <w:rPr>
          <w:rStyle w:val="FootnoteReference"/>
        </w:rPr>
        <w:footnoteRef/>
      </w:r>
      <w:r>
        <w:t xml:space="preserve"> Cross-references for "my name": Exod 3:14; Exod 34:5-7.</w:t>
      </w:r>
    </w:p>
  </w:footnote>
  <w:footnote w:id="1736">
    <w:p>
      <w:pPr>
        <w:pStyle w:val="FootnoteText"/>
      </w:pPr>
      <w:r>
        <w:rPr>
          <w:rStyle w:val="FootnoteReference"/>
        </w:rPr>
        <w:footnoteRef/>
      </w:r>
      <w:r>
        <w:t xml:space="preserve"> People-name: Perizzite. People-name meaning: Perizzites — dwelling in villages. Standard English equivalent: Perizzites. Source form: Perizzite.</w:t>
      </w:r>
    </w:p>
  </w:footnote>
  <w:footnote w:id="1737">
    <w:p>
      <w:pPr>
        <w:pStyle w:val="FootnoteText"/>
      </w:pPr>
      <w:r>
        <w:rPr>
          <w:rStyle w:val="FootnoteReference"/>
        </w:rPr>
        <w:footnoteRef/>
      </w:r>
      <w:r>
        <w:t xml:space="preserve"> People-name: Girgashite. People-name meaning: Girgashite — who arrives from pilgrimage. Source form: Girgashite.</w:t>
      </w:r>
    </w:p>
  </w:footnote>
  <w:footnote w:id="1738">
    <w:p>
      <w:pPr>
        <w:pStyle w:val="FootnoteText"/>
      </w:pPr>
      <w:r>
        <w:rPr>
          <w:rStyle w:val="FootnoteReference"/>
        </w:rPr>
        <w:footnoteRef/>
      </w:r>
      <w:r>
        <w:t xml:space="preserve"> Cross-references for "the number": Gen 25:8; Gen 35:29.</w:t>
      </w:r>
    </w:p>
  </w:footnote>
  <w:footnote w:id="1739">
    <w:p>
      <w:pPr>
        <w:pStyle w:val="FootnoteText"/>
      </w:pPr>
      <w:r>
        <w:rPr>
          <w:rStyle w:val="FootnoteReference"/>
        </w:rPr>
        <w:footnoteRef/>
      </w:r>
      <w:r>
        <w:t xml:space="preserve"> Cross-references for "hornets": Deut 7:20; Josh 24:11.</w:t>
      </w:r>
    </w:p>
  </w:footnote>
  <w:footnote w:id="1740">
    <w:p>
      <w:pPr>
        <w:pStyle w:val="FootnoteText"/>
      </w:pPr>
      <w:r>
        <w:rPr>
          <w:rStyle w:val="FootnoteReference"/>
        </w:rPr>
        <w:footnoteRef/>
      </w:r>
      <w:r>
        <w:t xml:space="preserve"> Cross-references for "in one year": Deut 7:22; Josh 15:63.</w:t>
      </w:r>
    </w:p>
  </w:footnote>
  <w:footnote w:id="1741">
    <w:p>
      <w:pPr>
        <w:pStyle w:val="FootnoteText"/>
      </w:pPr>
      <w:r>
        <w:rPr>
          <w:rStyle w:val="FootnoteReference"/>
        </w:rPr>
        <w:footnoteRef/>
      </w:r>
      <w:r>
        <w:t xml:space="preserve"> Translation note: Greek repeats little for emphasis. Current wording preserves that gradual-expulsion formula.</w:t>
      </w:r>
    </w:p>
  </w:footnote>
  <w:footnote w:id="1742">
    <w:p>
      <w:pPr>
        <w:pStyle w:val="FootnoteText"/>
      </w:pPr>
      <w:r>
        <w:rPr>
          <w:rStyle w:val="FootnoteReference"/>
        </w:rPr>
        <w:footnoteRef/>
      </w:r>
      <w:r>
        <w:t xml:space="preserve"> Cross-references for "I will set": Gen 15:18; Num 34:3-15.</w:t>
      </w:r>
    </w:p>
  </w:footnote>
  <w:footnote w:id="1743">
    <w:p>
      <w:pPr>
        <w:pStyle w:val="FootnoteText"/>
      </w:pPr>
      <w:r>
        <w:rPr>
          <w:rStyle w:val="FootnoteReference"/>
        </w:rPr>
        <w:footnoteRef/>
      </w:r>
      <w:r>
        <w:t xml:space="preserve"> Translation note: Greek states the covenant ban in compact form. Current wording preserves that line.</w:t>
      </w:r>
    </w:p>
  </w:footnote>
  <w:footnote w:id="1744">
    <w:p>
      <w:pPr>
        <w:pStyle w:val="FootnoteText"/>
      </w:pPr>
      <w:r>
        <w:rPr>
          <w:rStyle w:val="FootnoteReference"/>
        </w:rPr>
        <w:footnoteRef/>
      </w:r>
      <w:r>
        <w:t xml:space="preserve"> Cross-references for "they make": 1Kgs 14:16; 2Chr 33:9.</w:t>
      </w:r>
    </w:p>
  </w:footnote>
  <w:footnote w:id="1745">
    <w:p>
      <w:pPr>
        <w:pStyle w:val="FootnoteText"/>
      </w:pPr>
      <w:r>
        <w:rPr>
          <w:rStyle w:val="FootnoteReference"/>
        </w:rPr>
        <w:footnoteRef/>
      </w:r>
      <w:r>
        <w:t xml:space="preserve"> Translation note: Greek closes the warning with stumbling-block language. Current wording preserves it.</w:t>
      </w:r>
    </w:p>
  </w:footnote>
  <w:footnote w:id="1746">
    <w:p>
      <w:pPr>
        <w:pStyle w:val="FootnoteText"/>
      </w:pPr>
      <w:r>
        <w:rPr>
          <w:rStyle w:val="FootnoteReference"/>
        </w:rPr>
        <w:footnoteRef/>
      </w:r>
      <w:r>
        <w:t xml:space="preserve"> Cross-references for "Come up": Exod 3:5; Exod 19:9.</w:t>
      </w:r>
    </w:p>
  </w:footnote>
  <w:footnote w:id="1747">
    <w:p>
      <w:pPr>
        <w:pStyle w:val="FootnoteText"/>
      </w:pPr>
      <w:r>
        <w:rPr>
          <w:rStyle w:val="FootnoteReference"/>
        </w:rPr>
        <w:footnoteRef/>
      </w:r>
      <w:r>
        <w:t xml:space="preserve"> Personal name: Abihu. Personal-name meaning: Abihu — he is my father. Source form: Abihu.</w:t>
      </w:r>
    </w:p>
  </w:footnote>
  <w:footnote w:id="1748">
    <w:p>
      <w:pPr>
        <w:pStyle w:val="FootnoteText"/>
      </w:pPr>
      <w:r>
        <w:rPr>
          <w:rStyle w:val="FootnoteReference"/>
        </w:rPr>
        <w:footnoteRef/>
      </w:r>
      <w:r>
        <w:t xml:space="preserve"> Cross-references for "all the words": Exod 19:8; Exod 24:7.</w:t>
      </w:r>
    </w:p>
  </w:footnote>
  <w:footnote w:id="1749">
    <w:p>
      <w:pPr>
        <w:pStyle w:val="FootnoteText"/>
      </w:pPr>
      <w:r>
        <w:rPr>
          <w:rStyle w:val="FootnoteReference"/>
        </w:rPr>
        <w:footnoteRef/>
      </w:r>
      <w:r>
        <w:t xml:space="preserve"> Cross-references for "wrote": Deut 31:9; Josh 24:26.</w:t>
      </w:r>
    </w:p>
  </w:footnote>
  <w:footnote w:id="1750">
    <w:p>
      <w:pPr>
        <w:pStyle w:val="FootnoteText"/>
      </w:pPr>
      <w:r>
        <w:rPr>
          <w:rStyle w:val="FootnoteReference"/>
        </w:rPr>
        <w:footnoteRef/>
      </w:r>
      <w:r>
        <w:t xml:space="preserve"> Cross-references for "young men": Exod 19:22.</w:t>
      </w:r>
    </w:p>
  </w:footnote>
  <w:footnote w:id="1751">
    <w:p>
      <w:pPr>
        <w:pStyle w:val="FootnoteText"/>
      </w:pPr>
      <w:r>
        <w:rPr>
          <w:rStyle w:val="FootnoteReference"/>
        </w:rPr>
        <w:footnoteRef/>
      </w:r>
      <w:r>
        <w:t xml:space="preserve"> Translation note: Greek again uses a salvation-related sacrificial term here. This draft keeps that wording visible rather than replacing it with a standard label. Direct Logos comparison shows NETS stays closer to this form while LES and LES2 smooth toward peace or well-being wording.</w:t>
      </w:r>
    </w:p>
  </w:footnote>
  <w:footnote w:id="1752">
    <w:p>
      <w:pPr>
        <w:pStyle w:val="FootnoteText"/>
      </w:pPr>
      <w:r>
        <w:rPr>
          <w:rStyle w:val="FootnoteReference"/>
        </w:rPr>
        <w:footnoteRef/>
      </w:r>
      <w:r>
        <w:t xml:space="preserve"> Cross-references for "the blood he": Exod 12:7; Exod 12:22.</w:t>
      </w:r>
    </w:p>
  </w:footnote>
  <w:footnote w:id="1753">
    <w:p>
      <w:pPr>
        <w:pStyle w:val="FootnoteText"/>
      </w:pPr>
      <w:r>
        <w:rPr>
          <w:rStyle w:val="FootnoteReference"/>
        </w:rPr>
        <w:footnoteRef/>
      </w:r>
      <w:r>
        <w:t xml:space="preserve"> Cross-references for "the book": Exod 24:4; Heb 9:18-23.</w:t>
      </w:r>
    </w:p>
  </w:footnote>
  <w:footnote w:id="1754">
    <w:p>
      <w:pPr>
        <w:pStyle w:val="FootnoteText"/>
      </w:pPr>
      <w:r>
        <w:rPr>
          <w:rStyle w:val="FootnoteReference"/>
        </w:rPr>
        <w:footnoteRef/>
      </w:r>
      <w:r>
        <w:t xml:space="preserve"> Cross-references for "Behold": Zech 9:11; Matt 26:28.</w:t>
      </w:r>
    </w:p>
  </w:footnote>
  <w:footnote w:id="1755">
    <w:p>
      <w:pPr>
        <w:pStyle w:val="FootnoteText"/>
      </w:pPr>
      <w:r>
        <w:rPr>
          <w:rStyle w:val="FootnoteReference"/>
        </w:rPr>
        <w:footnoteRef/>
      </w:r>
      <w:r>
        <w:t xml:space="preserve"> Cross-references for "Come up": Exod 24:2; Exod 24:15.</w:t>
      </w:r>
    </w:p>
  </w:footnote>
  <w:footnote w:id="1756">
    <w:p>
      <w:pPr>
        <w:pStyle w:val="FootnoteText"/>
      </w:pPr>
      <w:r>
        <w:rPr>
          <w:rStyle w:val="FootnoteReference"/>
        </w:rPr>
        <w:footnoteRef/>
      </w:r>
      <w:r>
        <w:t xml:space="preserve"> Cross-references for "went up": Exod 24:2.</w:t>
      </w:r>
    </w:p>
  </w:footnote>
  <w:footnote w:id="1757">
    <w:p>
      <w:pPr>
        <w:pStyle w:val="FootnoteText"/>
      </w:pPr>
      <w:r>
        <w:rPr>
          <w:rStyle w:val="FootnoteReference"/>
        </w:rPr>
        <w:footnoteRef/>
      </w:r>
      <w:r>
        <w:t xml:space="preserve"> Cross-references for "the glory": Exod 16:10; Exod 24:17.</w:t>
      </w:r>
    </w:p>
  </w:footnote>
  <w:footnote w:id="1758">
    <w:p>
      <w:pPr>
        <w:pStyle w:val="FootnoteText"/>
      </w:pPr>
      <w:r>
        <w:rPr>
          <w:rStyle w:val="FootnoteReference"/>
        </w:rPr>
        <w:footnoteRef/>
      </w:r>
      <w:r>
        <w:t xml:space="preserve"> Cross-references for "forty days": Exod 34:28; Deut 9:9.</w:t>
      </w:r>
    </w:p>
  </w:footnote>
  <w:footnote w:id="1759">
    <w:p>
      <w:pPr>
        <w:pStyle w:val="FootnoteText"/>
      </w:pPr>
      <w:r>
        <w:rPr>
          <w:rStyle w:val="FootnoteReference"/>
        </w:rPr>
        <w:footnoteRef/>
      </w:r>
      <w:r>
        <w:t xml:space="preserve"> Cross-references for "fine linen": Gen 41:42; Ezek 16:10.</w:t>
      </w:r>
    </w:p>
  </w:footnote>
  <w:footnote w:id="1760">
    <w:p>
      <w:pPr>
        <w:pStyle w:val="FootnoteText"/>
      </w:pPr>
      <w:r>
        <w:rPr>
          <w:rStyle w:val="FootnoteReference"/>
        </w:rPr>
        <w:footnoteRef/>
      </w:r>
      <w:r>
        <w:t xml:space="preserve"> Cross-references for "ephod": Exod 28:4; Exod 28:6.</w:t>
      </w:r>
    </w:p>
  </w:footnote>
  <w:footnote w:id="1761">
    <w:p>
      <w:pPr>
        <w:pStyle w:val="FootnoteText"/>
      </w:pPr>
      <w:r>
        <w:rPr>
          <w:rStyle w:val="FootnoteReference"/>
        </w:rPr>
        <w:footnoteRef/>
      </w:r>
      <w:r>
        <w:t xml:space="preserve"> Cross-references for "an ark": Exod 37:1-3; Deut 10:1-3.</w:t>
      </w:r>
    </w:p>
  </w:footnote>
  <w:footnote w:id="1762">
    <w:p>
      <w:pPr>
        <w:pStyle w:val="FootnoteText"/>
      </w:pPr>
      <w:r>
        <w:rPr>
          <w:rStyle w:val="FootnoteReference"/>
        </w:rPr>
        <w:footnoteRef/>
      </w:r>
      <w:r>
        <w:t xml:space="preserve"> Cross-references for "toward": Gen 28:12; Isa 6:1-5.</w:t>
      </w:r>
    </w:p>
  </w:footnote>
  <w:footnote w:id="1763">
    <w:p>
      <w:pPr>
        <w:pStyle w:val="FootnoteText"/>
      </w:pPr>
      <w:r>
        <w:rPr>
          <w:rStyle w:val="FootnoteReference"/>
        </w:rPr>
        <w:footnoteRef/>
      </w:r>
      <w:r>
        <w:t xml:space="preserve"> Translation note: Greek says make myself known and propitiatory.</w:t>
      </w:r>
    </w:p>
  </w:footnote>
  <w:footnote w:id="1764">
    <w:p>
      <w:pPr>
        <w:pStyle w:val="FootnoteText"/>
      </w:pPr>
      <w:r>
        <w:rPr>
          <w:rStyle w:val="FootnoteReference"/>
        </w:rPr>
        <w:footnoteRef/>
      </w:r>
      <w:r>
        <w:t xml:space="preserve"> Cross-references for "And I will": Gen 18:33; Exod 20:24.</w:t>
      </w:r>
    </w:p>
  </w:footnote>
  <w:footnote w:id="1765">
    <w:p>
      <w:pPr>
        <w:pStyle w:val="FootnoteText"/>
      </w:pPr>
      <w:r>
        <w:rPr>
          <w:rStyle w:val="FootnoteReference"/>
        </w:rPr>
        <w:footnoteRef/>
      </w:r>
      <w:r>
        <w:t xml:space="preserve"> Cross-references for "a table": Exod 37:10-16; Exod 40:22-23.</w:t>
      </w:r>
    </w:p>
  </w:footnote>
  <w:footnote w:id="1766">
    <w:p>
      <w:pPr>
        <w:pStyle w:val="FootnoteText"/>
      </w:pPr>
      <w:r>
        <w:rPr>
          <w:rStyle w:val="FootnoteReference"/>
        </w:rPr>
        <w:footnoteRef/>
      </w:r>
      <w:r>
        <w:t xml:space="preserve"> Cross-references for "the table": Exod 25:14; Exod 25:27.</w:t>
      </w:r>
    </w:p>
  </w:footnote>
  <w:footnote w:id="1767">
    <w:p>
      <w:pPr>
        <w:pStyle w:val="FootnoteText"/>
      </w:pPr>
      <w:r>
        <w:rPr>
          <w:rStyle w:val="FootnoteReference"/>
        </w:rPr>
        <w:footnoteRef/>
      </w:r>
      <w:r>
        <w:t xml:space="preserve"> Translation note: Greek says almond-shaped bowls here. Current line keeps that wording.</w:t>
      </w:r>
    </w:p>
  </w:footnote>
  <w:footnote w:id="1768">
    <w:p>
      <w:pPr>
        <w:pStyle w:val="FootnoteText"/>
      </w:pPr>
      <w:r>
        <w:rPr>
          <w:rStyle w:val="FootnoteReference"/>
        </w:rPr>
        <w:footnoteRef/>
      </w:r>
      <w:r>
        <w:t xml:space="preserve"> Translation note: Greek says knob here. Current line keeps that wording.</w:t>
      </w:r>
    </w:p>
  </w:footnote>
  <w:footnote w:id="1769">
    <w:p>
      <w:pPr>
        <w:pStyle w:val="FootnoteText"/>
      </w:pPr>
      <w:r>
        <w:rPr>
          <w:rStyle w:val="FootnoteReference"/>
        </w:rPr>
        <w:footnoteRef/>
      </w:r>
      <w:r>
        <w:t xml:space="preserve"> Translation note: Greek keeps the one-piece beaten-gold craftsmanship line explicit. Current wording preserves that construction detail.</w:t>
      </w:r>
    </w:p>
  </w:footnote>
  <w:footnote w:id="1770">
    <w:p>
      <w:pPr>
        <w:pStyle w:val="FootnoteText"/>
      </w:pPr>
      <w:r>
        <w:rPr>
          <w:rStyle w:val="FootnoteReference"/>
        </w:rPr>
        <w:footnoteRef/>
      </w:r>
      <w:r>
        <w:t xml:space="preserve"> Cross-references for "beaten": Exod 25:18; Num 8:4.</w:t>
      </w:r>
    </w:p>
  </w:footnote>
  <w:footnote w:id="1771">
    <w:p>
      <w:pPr>
        <w:pStyle w:val="FootnoteText"/>
      </w:pPr>
      <w:r>
        <w:rPr>
          <w:rStyle w:val="FootnoteReference"/>
        </w:rPr>
        <w:footnoteRef/>
      </w:r>
      <w:r>
        <w:t xml:space="preserve"> Cross-references for "seven": Exod 37:23; Zech 4:2.</w:t>
      </w:r>
    </w:p>
  </w:footnote>
  <w:footnote w:id="1772">
    <w:p>
      <w:pPr>
        <w:pStyle w:val="FootnoteText"/>
      </w:pPr>
      <w:r>
        <w:rPr>
          <w:rStyle w:val="FootnoteReference"/>
        </w:rPr>
        <w:footnoteRef/>
      </w:r>
      <w:r>
        <w:t xml:space="preserve"> Cross-references for "talent": Exod 37:24; Zech 5:7.</w:t>
      </w:r>
    </w:p>
  </w:footnote>
  <w:footnote w:id="1773">
    <w:p>
      <w:pPr>
        <w:pStyle w:val="FootnoteText"/>
      </w:pPr>
      <w:r>
        <w:rPr>
          <w:rStyle w:val="FootnoteReference"/>
        </w:rPr>
        <w:footnoteRef/>
      </w:r>
      <w:r>
        <w:t xml:space="preserve"> Cross-references for "curtain": Exod 26:7-8; Num 4:25.</w:t>
      </w:r>
    </w:p>
  </w:footnote>
  <w:footnote w:id="1774">
    <w:p>
      <w:pPr>
        <w:pStyle w:val="FootnoteText"/>
      </w:pPr>
      <w:r>
        <w:rPr>
          <w:rStyle w:val="FootnoteReference"/>
        </w:rPr>
        <w:footnoteRef/>
      </w:r>
      <w:r>
        <w:t xml:space="preserve"> Translation note: The Greek uses paired correspondence language for the loops. The current wording preserves that line.</w:t>
      </w:r>
    </w:p>
  </w:footnote>
  <w:footnote w:id="1775">
    <w:p>
      <w:pPr>
        <w:pStyle w:val="FootnoteText"/>
      </w:pPr>
      <w:r>
        <w:rPr>
          <w:rStyle w:val="FootnoteReference"/>
        </w:rPr>
        <w:footnoteRef/>
      </w:r>
      <w:r>
        <w:t xml:space="preserve"> Cross-references for "Eleven": Exod 26:1; Exod 26:9.</w:t>
      </w:r>
    </w:p>
  </w:footnote>
  <w:footnote w:id="1776">
    <w:p>
      <w:pPr>
        <w:pStyle w:val="FootnoteText"/>
      </w:pPr>
      <w:r>
        <w:rPr>
          <w:rStyle w:val="FootnoteReference"/>
        </w:rPr>
        <w:footnoteRef/>
      </w:r>
      <w:r>
        <w:t xml:space="preserve"> Cross-references for "fifty loops": Exod 26:4-6.</w:t>
      </w:r>
    </w:p>
  </w:footnote>
  <w:footnote w:id="1777">
    <w:p>
      <w:pPr>
        <w:pStyle w:val="FootnoteText"/>
      </w:pPr>
      <w:r>
        <w:rPr>
          <w:rStyle w:val="FootnoteReference"/>
        </w:rPr>
        <w:footnoteRef/>
      </w:r>
      <w:r>
        <w:t xml:space="preserve"> Translation note: The Greek describes the tent overhang in compact tabernacle wording. The current wording keeps that line explicit.</w:t>
      </w:r>
    </w:p>
  </w:footnote>
  <w:footnote w:id="1778">
    <w:p>
      <w:pPr>
        <w:pStyle w:val="FootnoteText"/>
      </w:pPr>
      <w:r>
        <w:rPr>
          <w:rStyle w:val="FootnoteReference"/>
        </w:rPr>
        <w:footnoteRef/>
      </w:r>
      <w:r>
        <w:t xml:space="preserve"> Cross-references for "A cubit": Exod 26:2; Exod 26:8.</w:t>
      </w:r>
    </w:p>
  </w:footnote>
  <w:footnote w:id="1779">
    <w:p>
      <w:pPr>
        <w:pStyle w:val="FootnoteText"/>
      </w:pPr>
      <w:r>
        <w:rPr>
          <w:rStyle w:val="FootnoteReference"/>
        </w:rPr>
        <w:footnoteRef/>
      </w:r>
      <w:r>
        <w:t xml:space="preserve"> Cross-references for "a covering": Exod 36:19; Num 4:5.</w:t>
      </w:r>
    </w:p>
  </w:footnote>
  <w:footnote w:id="1780">
    <w:p>
      <w:pPr>
        <w:pStyle w:val="FootnoteText"/>
      </w:pPr>
      <w:r>
        <w:rPr>
          <w:rStyle w:val="FootnoteReference"/>
        </w:rPr>
        <w:footnoteRef/>
      </w:r>
      <w:r>
        <w:t xml:space="preserve"> Cross-references for "tenons": Exod 26:19; Exod 36:22.</w:t>
      </w:r>
    </w:p>
  </w:footnote>
  <w:footnote w:id="1781">
    <w:p>
      <w:pPr>
        <w:pStyle w:val="FootnoteText"/>
      </w:pPr>
      <w:r>
        <w:rPr>
          <w:rStyle w:val="FootnoteReference"/>
        </w:rPr>
        <w:footnoteRef/>
      </w:r>
      <w:r>
        <w:t xml:space="preserve"> Cross-references for "corners": Exod 36:28.</w:t>
      </w:r>
    </w:p>
  </w:footnote>
  <w:footnote w:id="1782">
    <w:p>
      <w:pPr>
        <w:pStyle w:val="FootnoteText"/>
      </w:pPr>
      <w:r>
        <w:rPr>
          <w:rStyle w:val="FootnoteReference"/>
        </w:rPr>
        <w:footnoteRef/>
      </w:r>
      <w:r>
        <w:t xml:space="preserve"> Cross-references for "blue": Exod 25:4; Exod 35:6.</w:t>
      </w:r>
    </w:p>
  </w:footnote>
  <w:footnote w:id="1783">
    <w:p>
      <w:pPr>
        <w:pStyle w:val="FootnoteText"/>
      </w:pPr>
      <w:r>
        <w:rPr>
          <w:rStyle w:val="FootnoteReference"/>
        </w:rPr>
        <w:footnoteRef/>
      </w:r>
      <w:r>
        <w:t xml:space="preserve"> Cross-references for "the Holy Place": Lev 16:2; 1Kgs 8:6.</w:t>
      </w:r>
    </w:p>
  </w:footnote>
  <w:footnote w:id="1784">
    <w:p>
      <w:pPr>
        <w:pStyle w:val="FootnoteText"/>
      </w:pPr>
      <w:r>
        <w:rPr>
          <w:rStyle w:val="FootnoteReference"/>
        </w:rPr>
        <w:footnoteRef/>
      </w:r>
      <w:r>
        <w:t xml:space="preserve"> Cross-references for "the table": Exod 40:22; Heb 9:2.</w:t>
      </w:r>
    </w:p>
  </w:footnote>
  <w:footnote w:id="1785">
    <w:p>
      <w:pPr>
        <w:pStyle w:val="FootnoteText"/>
      </w:pPr>
      <w:r>
        <w:rPr>
          <w:rStyle w:val="FootnoteReference"/>
        </w:rPr>
        <w:footnoteRef/>
      </w:r>
      <w:r>
        <w:t xml:space="preserve"> Cross-references for "the tent": Exod 35:11; Exod 39:33.</w:t>
      </w:r>
    </w:p>
  </w:footnote>
  <w:footnote w:id="1786">
    <w:p>
      <w:pPr>
        <w:pStyle w:val="FootnoteText"/>
      </w:pPr>
      <w:r>
        <w:rPr>
          <w:rStyle w:val="FootnoteReference"/>
        </w:rPr>
        <w:footnoteRef/>
      </w:r>
      <w:r>
        <w:t xml:space="preserve"> Cross-references for "overlay them with gold": Exod 36:38.</w:t>
      </w:r>
    </w:p>
  </w:footnote>
  <w:footnote w:id="1787">
    <w:p>
      <w:pPr>
        <w:pStyle w:val="FootnoteText"/>
      </w:pPr>
      <w:r>
        <w:rPr>
          <w:rStyle w:val="FootnoteReference"/>
        </w:rPr>
        <w:footnoteRef/>
      </w:r>
      <w:r>
        <w:t xml:space="preserve"> Cross-references for "of blue": Exod 26:31; Exod 26:36.</w:t>
      </w:r>
    </w:p>
  </w:footnote>
  <w:footnote w:id="1788">
    <w:p>
      <w:pPr>
        <w:pStyle w:val="FootnoteText"/>
      </w:pPr>
      <w:r>
        <w:rPr>
          <w:rStyle w:val="FootnoteReference"/>
        </w:rPr>
        <w:footnoteRef/>
      </w:r>
      <w:r>
        <w:t xml:space="preserve"> Cross-references for "length of the court": Exod 27:9-12.</w:t>
      </w:r>
    </w:p>
  </w:footnote>
  <w:footnote w:id="1789">
    <w:p>
      <w:pPr>
        <w:pStyle w:val="FootnoteText"/>
      </w:pPr>
      <w:r>
        <w:rPr>
          <w:rStyle w:val="FootnoteReference"/>
        </w:rPr>
        <w:footnoteRef/>
      </w:r>
      <w:r>
        <w:t xml:space="preserve"> Cross-references for "for the light": Exod 25:31-37.</w:t>
      </w:r>
    </w:p>
  </w:footnote>
  <w:footnote w:id="1790">
    <w:p>
      <w:pPr>
        <w:pStyle w:val="FootnoteText"/>
      </w:pPr>
      <w:r>
        <w:rPr>
          <w:rStyle w:val="FootnoteReference"/>
        </w:rPr>
        <w:footnoteRef/>
      </w:r>
      <w:r>
        <w:t xml:space="preserve"> Cross-references for "testimony": Exod 16:34; Exod 25:16.</w:t>
      </w:r>
    </w:p>
  </w:footnote>
  <w:footnote w:id="1791">
    <w:p>
      <w:pPr>
        <w:pStyle w:val="FootnoteText"/>
      </w:pPr>
      <w:r>
        <w:rPr>
          <w:rStyle w:val="FootnoteReference"/>
        </w:rPr>
        <w:footnoteRef/>
      </w:r>
      <w:r>
        <w:t xml:space="preserve"> Translation note: Greek says outside curtain that is over covenant.</w:t>
      </w:r>
    </w:p>
  </w:footnote>
  <w:footnote w:id="1792">
    <w:p>
      <w:pPr>
        <w:pStyle w:val="FootnoteText"/>
      </w:pPr>
      <w:r>
        <w:rPr>
          <w:rStyle w:val="FootnoteReference"/>
        </w:rPr>
        <w:footnoteRef/>
      </w:r>
      <w:r>
        <w:t xml:space="preserve"> Translation note: Greek says bring near to yourself here. Current line keeps that wording.</w:t>
      </w:r>
    </w:p>
  </w:footnote>
  <w:footnote w:id="1793">
    <w:p>
      <w:pPr>
        <w:pStyle w:val="FootnoteText"/>
      </w:pPr>
      <w:r>
        <w:rPr>
          <w:rStyle w:val="FootnoteReference"/>
        </w:rPr>
        <w:footnoteRef/>
      </w:r>
      <w:r>
        <w:t xml:space="preserve"> Cross-references for "among": Exod 28:41; Exod 29:1.</w:t>
      </w:r>
    </w:p>
  </w:footnote>
  <w:footnote w:id="1794">
    <w:p>
      <w:pPr>
        <w:pStyle w:val="FootnoteText"/>
      </w:pPr>
      <w:r>
        <w:rPr>
          <w:rStyle w:val="FootnoteReference"/>
        </w:rPr>
        <w:footnoteRef/>
      </w:r>
      <w:r>
        <w:t xml:space="preserve"> Cross-references for "glory": Exod 19:5-6; Exod 28:40.</w:t>
      </w:r>
    </w:p>
  </w:footnote>
  <w:footnote w:id="1795">
    <w:p>
      <w:pPr>
        <w:pStyle w:val="FootnoteText"/>
      </w:pPr>
      <w:r>
        <w:rPr>
          <w:rStyle w:val="FootnoteReference"/>
        </w:rPr>
        <w:footnoteRef/>
      </w:r>
      <w:r>
        <w:t xml:space="preserve"> Cross-references for "filled": Deut 34:9; Isa 11:2.</w:t>
      </w:r>
    </w:p>
  </w:footnote>
  <w:footnote w:id="1796">
    <w:p>
      <w:pPr>
        <w:pStyle w:val="FootnoteText"/>
      </w:pPr>
      <w:r>
        <w:rPr>
          <w:rStyle w:val="FootnoteReference"/>
        </w:rPr>
        <w:footnoteRef/>
      </w:r>
      <w:r>
        <w:t xml:space="preserve"> Cross-references for "ephod": Exod 28:6-14; Exod 39:2-5.</w:t>
      </w:r>
    </w:p>
  </w:footnote>
  <w:footnote w:id="1797">
    <w:p>
      <w:pPr>
        <w:pStyle w:val="FootnoteText"/>
      </w:pPr>
      <w:r>
        <w:rPr>
          <w:rStyle w:val="FootnoteReference"/>
        </w:rPr>
        <w:footnoteRef/>
      </w:r>
      <w:r>
        <w:t xml:space="preserve"> Translation note: Greek describes the tunic with a visible clothing feature rather than the more traditional broidered coat wording. The translation keeps that detail explicit.</w:t>
      </w:r>
    </w:p>
  </w:footnote>
  <w:footnote w:id="1798">
    <w:p>
      <w:pPr>
        <w:pStyle w:val="FootnoteText"/>
      </w:pPr>
      <w:r>
        <w:rPr>
          <w:rStyle w:val="FootnoteReference"/>
        </w:rPr>
        <w:footnoteRef/>
      </w:r>
      <w:r>
        <w:t xml:space="preserve"> Cross-references for "gold": Exod 25:3-4; Exod 39:2-3.</w:t>
      </w:r>
    </w:p>
  </w:footnote>
  <w:footnote w:id="1799">
    <w:p>
      <w:pPr>
        <w:pStyle w:val="FootnoteText"/>
      </w:pPr>
      <w:r>
        <w:rPr>
          <w:rStyle w:val="FootnoteReference"/>
        </w:rPr>
        <w:footnoteRef/>
      </w:r>
      <w:r>
        <w:t xml:space="preserve"> Cross-references for "linen": Exod 26:1.</w:t>
      </w:r>
    </w:p>
  </w:footnote>
  <w:footnote w:id="1800">
    <w:p>
      <w:pPr>
        <w:pStyle w:val="FootnoteText"/>
      </w:pPr>
      <w:r>
        <w:rPr>
          <w:rStyle w:val="FootnoteReference"/>
        </w:rPr>
        <w:footnoteRef/>
      </w:r>
      <w:r>
        <w:t xml:space="preserve"> Translation note: Greek opens the instruction with inscribed stones. Current wording preserves that detail.</w:t>
      </w:r>
    </w:p>
  </w:footnote>
  <w:footnote w:id="1801">
    <w:p>
      <w:pPr>
        <w:pStyle w:val="FootnoteText"/>
      </w:pPr>
      <w:r>
        <w:rPr>
          <w:rStyle w:val="FootnoteReference"/>
        </w:rPr>
        <w:footnoteRef/>
      </w:r>
      <w:r>
        <w:t xml:space="preserve"> Cross-references for "the shoulders": Exod 28:7; Ps 89:19.</w:t>
      </w:r>
    </w:p>
  </w:footnote>
  <w:footnote w:id="1802">
    <w:p>
      <w:pPr>
        <w:pStyle w:val="FootnoteText"/>
      </w:pPr>
      <w:r>
        <w:rPr>
          <w:rStyle w:val="FootnoteReference"/>
        </w:rPr>
        <w:footnoteRef/>
      </w:r>
      <w:r>
        <w:t xml:space="preserve"> Translation note: Greek says memorial stones for sons of Israel.</w:t>
      </w:r>
    </w:p>
  </w:footnote>
  <w:footnote w:id="1803">
    <w:p>
      <w:pPr>
        <w:pStyle w:val="FootnoteText"/>
      </w:pPr>
      <w:r>
        <w:rPr>
          <w:rStyle w:val="FootnoteReference"/>
        </w:rPr>
        <w:footnoteRef/>
      </w:r>
      <w:r>
        <w:t xml:space="preserve"> Translation note: Greek says braided cords mixed in floral work.</w:t>
      </w:r>
    </w:p>
  </w:footnote>
  <w:footnote w:id="1804">
    <w:p>
      <w:pPr>
        <w:pStyle w:val="FootnoteText"/>
      </w:pPr>
      <w:r>
        <w:rPr>
          <w:rStyle w:val="FootnoteReference"/>
        </w:rPr>
        <w:footnoteRef/>
      </w:r>
      <w:r>
        <w:t xml:space="preserve"> Cross-references for "The first row": Ezek 28:13; Rev 21:19-21.</w:t>
      </w:r>
    </w:p>
  </w:footnote>
  <w:footnote w:id="1805">
    <w:p>
      <w:pPr>
        <w:pStyle w:val="FootnoteText"/>
      </w:pPr>
      <w:r>
        <w:rPr>
          <w:rStyle w:val="FootnoteReference"/>
        </w:rPr>
        <w:footnoteRef/>
      </w:r>
      <w:r>
        <w:t xml:space="preserve"> Cross-references for "sapphire": Exod 24:10; Job 28:6.</w:t>
      </w:r>
    </w:p>
  </w:footnote>
  <w:footnote w:id="1806">
    <w:p>
      <w:pPr>
        <w:pStyle w:val="FootnoteText"/>
      </w:pPr>
      <w:r>
        <w:rPr>
          <w:rStyle w:val="FootnoteReference"/>
        </w:rPr>
        <w:footnoteRef/>
      </w:r>
      <w:r>
        <w:t xml:space="preserve"> Cross-references for "twelve": Exod 28:9-11.</w:t>
      </w:r>
    </w:p>
  </w:footnote>
  <w:footnote w:id="1807">
    <w:p>
      <w:pPr>
        <w:pStyle w:val="FootnoteText"/>
      </w:pPr>
      <w:r>
        <w:rPr>
          <w:rStyle w:val="FootnoteReference"/>
        </w:rPr>
        <w:footnoteRef/>
      </w:r>
      <w:r>
        <w:t xml:space="preserve"> Translation note: Greek says breastpiece of judgments and chest here. Current wording preserves those priestly terms rather than harmonizing them to more familiar labels.</w:t>
      </w:r>
    </w:p>
  </w:footnote>
  <w:footnote w:id="1808">
    <w:p>
      <w:pPr>
        <w:pStyle w:val="FootnoteText"/>
      </w:pPr>
      <w:r>
        <w:rPr>
          <w:rStyle w:val="FootnoteReference"/>
        </w:rPr>
        <w:footnoteRef/>
      </w:r>
      <w:r>
        <w:t xml:space="preserve"> Cross-references for "upon": Exod 28:12; Jer 30:21.</w:t>
      </w:r>
    </w:p>
  </w:footnote>
  <w:footnote w:id="1809">
    <w:p>
      <w:pPr>
        <w:pStyle w:val="FootnoteText"/>
      </w:pPr>
      <w:r>
        <w:rPr>
          <w:rStyle w:val="FootnoteReference"/>
        </w:rPr>
        <w:footnoteRef/>
      </w:r>
      <w:r>
        <w:t xml:space="preserve"> Translation note: These are the Greek words the LXX uses here for the items later transliterated in English as Urim and Thummim. This draft keeps that Greek wording visible in semantic form rather than replacing it with the later transliteration.</w:t>
      </w:r>
    </w:p>
  </w:footnote>
  <w:footnote w:id="1810">
    <w:p>
      <w:pPr>
        <w:pStyle w:val="FootnoteText"/>
      </w:pPr>
      <w:r>
        <w:rPr>
          <w:rStyle w:val="FootnoteReference"/>
        </w:rPr>
        <w:footnoteRef/>
      </w:r>
      <w:r>
        <w:t xml:space="preserve"> Translation note: Greek gives a compact all-blue vestment description. Current wording preserves it.</w:t>
      </w:r>
    </w:p>
  </w:footnote>
  <w:footnote w:id="1811">
    <w:p>
      <w:pPr>
        <w:pStyle w:val="FootnoteText"/>
      </w:pPr>
      <w:r>
        <w:rPr>
          <w:rStyle w:val="FootnoteReference"/>
        </w:rPr>
        <w:footnoteRef/>
      </w:r>
      <w:r>
        <w:t xml:space="preserve"> Cross-references for "pomegranates": 1Kgs 7:18; 2Kgs 25:17.</w:t>
      </w:r>
    </w:p>
  </w:footnote>
  <w:footnote w:id="1812">
    <w:p>
      <w:pPr>
        <w:pStyle w:val="FootnoteText"/>
      </w:pPr>
      <w:r>
        <w:rPr>
          <w:rStyle w:val="FootnoteReference"/>
        </w:rPr>
        <w:footnoteRef/>
      </w:r>
      <w:r>
        <w:t xml:space="preserve"> Translation note: Greek centers this warning on the garment's sound being heard. Current wording preserves that priestly warning.</w:t>
      </w:r>
    </w:p>
  </w:footnote>
  <w:footnote w:id="1813">
    <w:p>
      <w:pPr>
        <w:pStyle w:val="FootnoteText"/>
      </w:pPr>
      <w:r>
        <w:rPr>
          <w:rStyle w:val="FootnoteReference"/>
        </w:rPr>
        <w:footnoteRef/>
      </w:r>
      <w:r>
        <w:t xml:space="preserve"> Cross-references for "Holiness": Exod 39:30; Lev 8:9.</w:t>
      </w:r>
    </w:p>
  </w:footnote>
  <w:footnote w:id="1814">
    <w:p>
      <w:pPr>
        <w:pStyle w:val="FootnoteText"/>
      </w:pPr>
      <w:r>
        <w:rPr>
          <w:rStyle w:val="FootnoteReference"/>
        </w:rPr>
        <w:footnoteRef/>
      </w:r>
      <w:r>
        <w:t xml:space="preserve"> Cross-references for "blue": Exod 28:28; Exod 28:31.</w:t>
      </w:r>
    </w:p>
  </w:footnote>
  <w:footnote w:id="1815">
    <w:p>
      <w:pPr>
        <w:pStyle w:val="FootnoteText"/>
      </w:pPr>
      <w:r>
        <w:rPr>
          <w:rStyle w:val="FootnoteReference"/>
        </w:rPr>
        <w:footnoteRef/>
      </w:r>
      <w:r>
        <w:t xml:space="preserve"> Translation note: Greek says Aaron shall bear away sins of holy things.</w:t>
      </w:r>
    </w:p>
  </w:footnote>
  <w:footnote w:id="1816">
    <w:p>
      <w:pPr>
        <w:pStyle w:val="FootnoteText"/>
      </w:pPr>
      <w:r>
        <w:rPr>
          <w:rStyle w:val="FootnoteReference"/>
        </w:rPr>
        <w:footnoteRef/>
      </w:r>
      <w:r>
        <w:t xml:space="preserve"> Cross-references for "Aaron's": Exod 28:4; Exod 39:27.</w:t>
      </w:r>
    </w:p>
  </w:footnote>
  <w:footnote w:id="1817">
    <w:p>
      <w:pPr>
        <w:pStyle w:val="FootnoteText"/>
      </w:pPr>
      <w:r>
        <w:rPr>
          <w:rStyle w:val="FootnoteReference"/>
        </w:rPr>
        <w:footnoteRef/>
      </w:r>
      <w:r>
        <w:t xml:space="preserve"> Cross-references for "anoint them": Exod 29:7; Exod 30:23-30.</w:t>
      </w:r>
    </w:p>
  </w:footnote>
  <w:footnote w:id="1818">
    <w:p>
      <w:pPr>
        <w:pStyle w:val="FootnoteText"/>
      </w:pPr>
      <w:r>
        <w:rPr>
          <w:rStyle w:val="FootnoteReference"/>
        </w:rPr>
        <w:footnoteRef/>
      </w:r>
      <w:r>
        <w:t xml:space="preserve"> Translation note: Greek says they may not bring sin upon themselves and die.</w:t>
      </w:r>
    </w:p>
  </w:footnote>
  <w:footnote w:id="1819">
    <w:p>
      <w:pPr>
        <w:pStyle w:val="FootnoteText"/>
      </w:pPr>
      <w:r>
        <w:rPr>
          <w:rStyle w:val="FootnoteReference"/>
        </w:rPr>
        <w:footnoteRef/>
      </w:r>
      <w:r>
        <w:t xml:space="preserve"> Cross-references for "take": Lev 8:2; Lev 9:2.</w:t>
      </w:r>
    </w:p>
  </w:footnote>
  <w:footnote w:id="1820">
    <w:p>
      <w:pPr>
        <w:pStyle w:val="FootnoteText"/>
      </w:pPr>
      <w:r>
        <w:rPr>
          <w:rStyle w:val="FootnoteReference"/>
        </w:rPr>
        <w:footnoteRef/>
      </w:r>
      <w:r>
        <w:t xml:space="preserve"> Cross-references for "wash them": Exod 30:18-21; Exod 40:12.</w:t>
      </w:r>
    </w:p>
  </w:footnote>
  <w:footnote w:id="1821">
    <w:p>
      <w:pPr>
        <w:pStyle w:val="FootnoteText"/>
      </w:pPr>
      <w:r>
        <w:rPr>
          <w:rStyle w:val="FootnoteReference"/>
        </w:rPr>
        <w:footnoteRef/>
      </w:r>
      <w:r>
        <w:t xml:space="preserve"> Cross-references for "garments": Exod 28:2-8; Lev 8:7-8.</w:t>
      </w:r>
    </w:p>
  </w:footnote>
  <w:footnote w:id="1822">
    <w:p>
      <w:pPr>
        <w:pStyle w:val="FootnoteText"/>
      </w:pPr>
      <w:r>
        <w:rPr>
          <w:rStyle w:val="FootnoteReference"/>
        </w:rPr>
        <w:footnoteRef/>
      </w:r>
      <w:r>
        <w:t xml:space="preserve"> Translation note: Greek keeps the priestly vestment instruction compact. Current wording preserves it.</w:t>
      </w:r>
    </w:p>
  </w:footnote>
  <w:footnote w:id="1823">
    <w:p>
      <w:pPr>
        <w:pStyle w:val="FootnoteText"/>
      </w:pPr>
      <w:r>
        <w:rPr>
          <w:rStyle w:val="FootnoteReference"/>
        </w:rPr>
        <w:footnoteRef/>
      </w:r>
      <w:r>
        <w:t xml:space="preserve"> Cross-references for "the blood": Lev 8:15; Lev 9:9.</w:t>
      </w:r>
    </w:p>
  </w:footnote>
  <w:footnote w:id="1824">
    <w:p>
      <w:pPr>
        <w:pStyle w:val="FootnoteText"/>
      </w:pPr>
      <w:r>
        <w:rPr>
          <w:rStyle w:val="FootnoteReference"/>
        </w:rPr>
        <w:footnoteRef/>
      </w:r>
      <w:r>
        <w:t xml:space="preserve"> Cross-references for "all the fat": Exod 29:22; Lev 3:3-4.</w:t>
      </w:r>
    </w:p>
  </w:footnote>
  <w:footnote w:id="1825">
    <w:p>
      <w:pPr>
        <w:pStyle w:val="FootnoteText"/>
      </w:pPr>
      <w:r>
        <w:rPr>
          <w:rStyle w:val="FootnoteReference"/>
        </w:rPr>
        <w:footnoteRef/>
      </w:r>
      <w:r>
        <w:t xml:space="preserve"> Cross-references for "flesh": Lev 4:11-12; Lev 4:21.</w:t>
      </w:r>
    </w:p>
  </w:footnote>
  <w:footnote w:id="1826">
    <w:p>
      <w:pPr>
        <w:pStyle w:val="FootnoteText"/>
      </w:pPr>
      <w:r>
        <w:rPr>
          <w:rStyle w:val="FootnoteReference"/>
        </w:rPr>
        <w:footnoteRef/>
      </w:r>
      <w:r>
        <w:t xml:space="preserve"> Cross-references for "wash the": Lev 1:9; Lev 1:13.</w:t>
      </w:r>
    </w:p>
  </w:footnote>
  <w:footnote w:id="1827">
    <w:p>
      <w:pPr>
        <w:pStyle w:val="FootnoteText"/>
      </w:pPr>
      <w:r>
        <w:rPr>
          <w:rStyle w:val="FootnoteReference"/>
        </w:rPr>
        <w:footnoteRef/>
      </w:r>
      <w:r>
        <w:t xml:space="preserve"> Cross-references for "Aaron": Exod 29:10.</w:t>
      </w:r>
    </w:p>
  </w:footnote>
  <w:footnote w:id="1828">
    <w:p>
      <w:pPr>
        <w:pStyle w:val="FootnoteText"/>
      </w:pPr>
      <w:r>
        <w:rPr>
          <w:rStyle w:val="FootnoteReference"/>
        </w:rPr>
        <w:footnoteRef/>
      </w:r>
      <w:r>
        <w:t xml:space="preserve"> Translation note: Greek says on the lobe of the ear and on the extremity of hand and foot.</w:t>
      </w:r>
    </w:p>
  </w:footnote>
  <w:footnote w:id="1829">
    <w:p>
      <w:pPr>
        <w:pStyle w:val="FootnoteText"/>
      </w:pPr>
      <w:r>
        <w:rPr>
          <w:rStyle w:val="FootnoteReference"/>
        </w:rPr>
        <w:footnoteRef/>
      </w:r>
      <w:r>
        <w:t xml:space="preserve"> Cross-references for "the anointing oil": Exod 29:7; Exod 30:25-31.</w:t>
      </w:r>
    </w:p>
  </w:footnote>
  <w:footnote w:id="1830">
    <w:p>
      <w:pPr>
        <w:pStyle w:val="FootnoteText"/>
      </w:pPr>
      <w:r>
        <w:rPr>
          <w:rStyle w:val="FootnoteReference"/>
        </w:rPr>
        <w:footnoteRef/>
      </w:r>
      <w:r>
        <w:t xml:space="preserve"> Translation note: Greek says sprinkle here and pour around altar. Current line keeps both.</w:t>
      </w:r>
    </w:p>
  </w:footnote>
  <w:footnote w:id="1831">
    <w:p>
      <w:pPr>
        <w:pStyle w:val="FootnoteText"/>
      </w:pPr>
      <w:r>
        <w:rPr>
          <w:rStyle w:val="FootnoteReference"/>
        </w:rPr>
        <w:footnoteRef/>
      </w:r>
      <w:r>
        <w:t xml:space="preserve"> Translation note: Greek uses nominal ordination wording here.</w:t>
      </w:r>
    </w:p>
  </w:footnote>
  <w:footnote w:id="1832">
    <w:p>
      <w:pPr>
        <w:pStyle w:val="FootnoteText"/>
      </w:pPr>
      <w:r>
        <w:rPr>
          <w:rStyle w:val="FootnoteReference"/>
        </w:rPr>
        <w:footnoteRef/>
      </w:r>
      <w:r>
        <w:t xml:space="preserve"> Cross-references for "offering": Exod 29:41; Lev 1:9.</w:t>
      </w:r>
    </w:p>
  </w:footnote>
  <w:footnote w:id="1833">
    <w:p>
      <w:pPr>
        <w:pStyle w:val="FootnoteText"/>
      </w:pPr>
      <w:r>
        <w:rPr>
          <w:rStyle w:val="FootnoteReference"/>
        </w:rPr>
        <w:footnoteRef/>
      </w:r>
      <w:r>
        <w:t xml:space="preserve"> Cross-references for "the breast": Lev 8:29.</w:t>
      </w:r>
    </w:p>
  </w:footnote>
  <w:footnote w:id="1834">
    <w:p>
      <w:pPr>
        <w:pStyle w:val="FootnoteText"/>
      </w:pPr>
      <w:r>
        <w:rPr>
          <w:rStyle w:val="FootnoteReference"/>
        </w:rPr>
        <w:footnoteRef/>
      </w:r>
      <w:r>
        <w:t xml:space="preserve"> Cross-references for "the breast": Lev 7:31-34; Lev 8:29.</w:t>
      </w:r>
    </w:p>
  </w:footnote>
  <w:footnote w:id="1835">
    <w:p>
      <w:pPr>
        <w:pStyle w:val="FootnoteText"/>
      </w:pPr>
      <w:r>
        <w:rPr>
          <w:rStyle w:val="FootnoteReference"/>
        </w:rPr>
        <w:footnoteRef/>
      </w:r>
      <w:r>
        <w:t xml:space="preserve"> Translation note: Greek says separated and removed here. Current line keeps that wording.</w:t>
      </w:r>
    </w:p>
  </w:footnote>
  <w:footnote w:id="1836">
    <w:p>
      <w:pPr>
        <w:pStyle w:val="FootnoteText"/>
      </w:pPr>
      <w:r>
        <w:rPr>
          <w:rStyle w:val="FootnoteReference"/>
        </w:rPr>
        <w:footnoteRef/>
      </w:r>
      <w:r>
        <w:t xml:space="preserve"> Translation note: Greek repeats removal-offering term here.</w:t>
      </w:r>
    </w:p>
  </w:footnote>
  <w:footnote w:id="1837">
    <w:p>
      <w:pPr>
        <w:pStyle w:val="FootnoteText"/>
      </w:pPr>
      <w:r>
        <w:rPr>
          <w:rStyle w:val="FootnoteReference"/>
        </w:rPr>
        <w:footnoteRef/>
      </w:r>
      <w:r>
        <w:t xml:space="preserve"> Cross-references for "holy": Exod 28:3-4.</w:t>
      </w:r>
    </w:p>
  </w:footnote>
  <w:footnote w:id="1838">
    <w:p>
      <w:pPr>
        <w:pStyle w:val="FootnoteText"/>
      </w:pPr>
      <w:r>
        <w:rPr>
          <w:rStyle w:val="FootnoteReference"/>
        </w:rPr>
        <w:footnoteRef/>
      </w:r>
      <w:r>
        <w:t xml:space="preserve"> Cross-references for "Seven days": Gen 8:10; Gen 8:12.</w:t>
      </w:r>
    </w:p>
  </w:footnote>
  <w:footnote w:id="1839">
    <w:p>
      <w:pPr>
        <w:pStyle w:val="FootnoteText"/>
      </w:pPr>
      <w:r>
        <w:rPr>
          <w:rStyle w:val="FootnoteReference"/>
        </w:rPr>
        <w:footnoteRef/>
      </w:r>
      <w:r>
        <w:t xml:space="preserve"> Cross-references for "the ram": Exod 29:27.</w:t>
      </w:r>
    </w:p>
  </w:footnote>
  <w:footnote w:id="1840">
    <w:p>
      <w:pPr>
        <w:pStyle w:val="FootnoteText"/>
      </w:pPr>
      <w:r>
        <w:rPr>
          <w:rStyle w:val="FootnoteReference"/>
        </w:rPr>
        <w:footnoteRef/>
      </w:r>
      <w:r>
        <w:t xml:space="preserve"> Cross-references for "Aaron": Exod 24:9-11; Lev 10:12-14.</w:t>
      </w:r>
    </w:p>
  </w:footnote>
  <w:footnote w:id="1841">
    <w:p>
      <w:pPr>
        <w:pStyle w:val="FootnoteText"/>
      </w:pPr>
      <w:r>
        <w:rPr>
          <w:rStyle w:val="FootnoteReference"/>
        </w:rPr>
        <w:footnoteRef/>
      </w:r>
      <w:r>
        <w:t xml:space="preserve"> Cross-references for "eat those": Lev 10:13-18; Ps 22:26.</w:t>
      </w:r>
    </w:p>
  </w:footnote>
  <w:footnote w:id="1842">
    <w:p>
      <w:pPr>
        <w:pStyle w:val="FootnoteText"/>
      </w:pPr>
      <w:r>
        <w:rPr>
          <w:rStyle w:val="FootnoteReference"/>
        </w:rPr>
        <w:footnoteRef/>
      </w:r>
      <w:r>
        <w:t xml:space="preserve"> Cross-references for "flesh": Exod 29:22; Exod 29:26.</w:t>
      </w:r>
    </w:p>
  </w:footnote>
  <w:footnote w:id="1843">
    <w:p>
      <w:pPr>
        <w:pStyle w:val="FootnoteText"/>
      </w:pPr>
      <w:r>
        <w:rPr>
          <w:rStyle w:val="FootnoteReference"/>
        </w:rPr>
        <w:footnoteRef/>
      </w:r>
      <w:r>
        <w:t xml:space="preserve"> Cross-references for "Seven days": Exod 29:30; Exod 29:37.</w:t>
      </w:r>
    </w:p>
  </w:footnote>
  <w:footnote w:id="1844">
    <w:p>
      <w:pPr>
        <w:pStyle w:val="FootnoteText"/>
      </w:pPr>
      <w:r>
        <w:rPr>
          <w:rStyle w:val="FootnoteReference"/>
        </w:rPr>
        <w:footnoteRef/>
      </w:r>
      <w:r>
        <w:t xml:space="preserve"> Cross-references for "anoint it": Exod 30:26; Exod 30:28-29.</w:t>
      </w:r>
    </w:p>
  </w:footnote>
  <w:footnote w:id="1845">
    <w:p>
      <w:pPr>
        <w:pStyle w:val="FootnoteText"/>
      </w:pPr>
      <w:r>
        <w:rPr>
          <w:rStyle w:val="FootnoteReference"/>
        </w:rPr>
        <w:footnoteRef/>
      </w:r>
      <w:r>
        <w:t xml:space="preserve"> Cross-references for "and sanctify it": Exod 40:10; Dan 9:24.</w:t>
      </w:r>
    </w:p>
  </w:footnote>
  <w:footnote w:id="1846">
    <w:p>
      <w:pPr>
        <w:pStyle w:val="FootnoteText"/>
      </w:pPr>
      <w:r>
        <w:rPr>
          <w:rStyle w:val="FootnoteReference"/>
        </w:rPr>
        <w:footnoteRef/>
      </w:r>
      <w:r>
        <w:t xml:space="preserve"> Cross-references for "in the morning": 2Kgs 16:15; 2Chr 13:11.</w:t>
      </w:r>
    </w:p>
  </w:footnote>
  <w:footnote w:id="1847">
    <w:p>
      <w:pPr>
        <w:pStyle w:val="FootnoteText"/>
      </w:pPr>
      <w:r>
        <w:rPr>
          <w:rStyle w:val="FootnoteReference"/>
        </w:rPr>
        <w:footnoteRef/>
      </w:r>
      <w:r>
        <w:t xml:space="preserve"> Cross-references for "a tenth": Exod 16:36; Num 15:4.</w:t>
      </w:r>
    </w:p>
  </w:footnote>
  <w:footnote w:id="1848">
    <w:p>
      <w:pPr>
        <w:pStyle w:val="FootnoteText"/>
      </w:pPr>
      <w:r>
        <w:rPr>
          <w:rStyle w:val="FootnoteReference"/>
        </w:rPr>
        <w:footnoteRef/>
      </w:r>
      <w:r>
        <w:t xml:space="preserve"> Cross-references for "offer": 1Kgs 18:29; 1Kgs 18:36.</w:t>
      </w:r>
    </w:p>
  </w:footnote>
  <w:footnote w:id="1849">
    <w:p>
      <w:pPr>
        <w:pStyle w:val="FootnoteText"/>
      </w:pPr>
      <w:r>
        <w:rPr>
          <w:rStyle w:val="FootnoteReference"/>
        </w:rPr>
        <w:footnoteRef/>
      </w:r>
      <w:r>
        <w:t xml:space="preserve"> Cross-references for "A continual": Exod 29:38; Exod 30:8.</w:t>
      </w:r>
    </w:p>
  </w:footnote>
  <w:footnote w:id="1850">
    <w:p>
      <w:pPr>
        <w:pStyle w:val="FootnoteText"/>
      </w:pPr>
      <w:r>
        <w:rPr>
          <w:rStyle w:val="FootnoteReference"/>
        </w:rPr>
        <w:footnoteRef/>
      </w:r>
      <w:r>
        <w:t xml:space="preserve"> Cross-references for "sanctified": Exod 40:34; 1Kgs 8:11.</w:t>
      </w:r>
    </w:p>
  </w:footnote>
  <w:footnote w:id="1851">
    <w:p>
      <w:pPr>
        <w:pStyle w:val="FootnoteText"/>
      </w:pPr>
      <w:r>
        <w:rPr>
          <w:rStyle w:val="FootnoteReference"/>
        </w:rPr>
        <w:footnoteRef/>
      </w:r>
      <w:r>
        <w:t xml:space="preserve"> Cross-references for "that I am": Exod 20:2; Jer 31:33.</w:t>
      </w:r>
    </w:p>
  </w:footnote>
  <w:footnote w:id="1852">
    <w:p>
      <w:pPr>
        <w:pStyle w:val="FootnoteText"/>
      </w:pPr>
      <w:r>
        <w:rPr>
          <w:rStyle w:val="FootnoteReference"/>
        </w:rPr>
        <w:footnoteRef/>
      </w:r>
      <w:r>
        <w:t xml:space="preserve"> Cross-references for "an altar": Exod 30:7-8; Exod 30:10.</w:t>
      </w:r>
    </w:p>
  </w:footnote>
  <w:footnote w:id="1853">
    <w:p>
      <w:pPr>
        <w:pStyle w:val="FootnoteText"/>
      </w:pPr>
      <w:r>
        <w:rPr>
          <w:rStyle w:val="FootnoteReference"/>
        </w:rPr>
        <w:footnoteRef/>
      </w:r>
      <w:r>
        <w:t xml:space="preserve"> Cross-references for "overlay it": Exod 25:11; Exod 25:24.</w:t>
      </w:r>
    </w:p>
  </w:footnote>
  <w:footnote w:id="1854">
    <w:p>
      <w:pPr>
        <w:pStyle w:val="FootnoteText"/>
      </w:pPr>
      <w:r>
        <w:rPr>
          <w:rStyle w:val="FootnoteReference"/>
        </w:rPr>
        <w:footnoteRef/>
      </w:r>
      <w:r>
        <w:t xml:space="preserve"> Cross-references for "rings": Exod 25:12; Exod 25:14.</w:t>
      </w:r>
    </w:p>
  </w:footnote>
  <w:footnote w:id="1855">
    <w:p>
      <w:pPr>
        <w:pStyle w:val="FootnoteText"/>
      </w:pPr>
      <w:r>
        <w:rPr>
          <w:rStyle w:val="FootnoteReference"/>
        </w:rPr>
        <w:footnoteRef/>
      </w:r>
      <w:r>
        <w:t xml:space="preserve"> Cross-references for "Aaron": Exod 29:36-37; Lev 16:18.</w:t>
      </w:r>
    </w:p>
  </w:footnote>
  <w:footnote w:id="1856">
    <w:p>
      <w:pPr>
        <w:pStyle w:val="FootnoteText"/>
      </w:pPr>
      <w:r>
        <w:rPr>
          <w:rStyle w:val="FootnoteReference"/>
        </w:rPr>
        <w:footnoteRef/>
      </w:r>
      <w:r>
        <w:t xml:space="preserve"> Translation note: Greek says purification for sins here. Current line keeps that wording.</w:t>
      </w:r>
    </w:p>
  </w:footnote>
  <w:footnote w:id="1857">
    <w:p>
      <w:pPr>
        <w:pStyle w:val="FootnoteText"/>
      </w:pPr>
      <w:r>
        <w:rPr>
          <w:rStyle w:val="FootnoteReference"/>
        </w:rPr>
        <w:footnoteRef/>
      </w:r>
      <w:r>
        <w:t xml:space="preserve"> Translation note: Greek repeats at their visitation.</w:t>
      </w:r>
    </w:p>
  </w:footnote>
  <w:footnote w:id="1858">
    <w:p>
      <w:pPr>
        <w:pStyle w:val="FootnoteText"/>
      </w:pPr>
      <w:r>
        <w:rPr>
          <w:rStyle w:val="FootnoteReference"/>
        </w:rPr>
        <w:footnoteRef/>
      </w:r>
      <w:r>
        <w:t xml:space="preserve"> Cross-references for "a ransom": Num 31:50; 2Chr 24:6.</w:t>
      </w:r>
    </w:p>
  </w:footnote>
  <w:footnote w:id="1859">
    <w:p>
      <w:pPr>
        <w:pStyle w:val="FootnoteText"/>
      </w:pPr>
      <w:r>
        <w:rPr>
          <w:rStyle w:val="FootnoteReference"/>
        </w:rPr>
        <w:footnoteRef/>
      </w:r>
      <w:r>
        <w:t xml:space="preserve"> Cross-references for "from twenty": Num 1:3; Num 1:18.</w:t>
      </w:r>
    </w:p>
  </w:footnote>
  <w:footnote w:id="1860">
    <w:p>
      <w:pPr>
        <w:pStyle w:val="FootnoteText"/>
      </w:pPr>
      <w:r>
        <w:rPr>
          <w:rStyle w:val="FootnoteReference"/>
        </w:rPr>
        <w:footnoteRef/>
      </w:r>
      <w:r>
        <w:t xml:space="preserve"> Cross-references for "rich": Job 34:19; Prov 22:2.</w:t>
      </w:r>
    </w:p>
  </w:footnote>
  <w:footnote w:id="1861">
    <w:p>
      <w:pPr>
        <w:pStyle w:val="FootnoteText"/>
      </w:pPr>
      <w:r>
        <w:rPr>
          <w:rStyle w:val="FootnoteReference"/>
        </w:rPr>
        <w:footnoteRef/>
      </w:r>
      <w:r>
        <w:t xml:space="preserve"> Translation note: Greek says silver of the offering.</w:t>
      </w:r>
    </w:p>
  </w:footnote>
  <w:footnote w:id="1862">
    <w:p>
      <w:pPr>
        <w:pStyle w:val="FootnoteText"/>
      </w:pPr>
      <w:r>
        <w:rPr>
          <w:rStyle w:val="FootnoteReference"/>
        </w:rPr>
        <w:footnoteRef/>
      </w:r>
      <w:r>
        <w:t xml:space="preserve"> Cross-references for "a memorial": Exod 12:14; Num 16:40.</w:t>
      </w:r>
    </w:p>
  </w:footnote>
  <w:footnote w:id="1863">
    <w:p>
      <w:pPr>
        <w:pStyle w:val="FootnoteText"/>
      </w:pPr>
      <w:r>
        <w:rPr>
          <w:rStyle w:val="FootnoteReference"/>
        </w:rPr>
        <w:footnoteRef/>
      </w:r>
      <w:r>
        <w:t xml:space="preserve"> Translation note: Greek says laver and base here.</w:t>
      </w:r>
    </w:p>
  </w:footnote>
  <w:footnote w:id="1864">
    <w:p>
      <w:pPr>
        <w:pStyle w:val="FootnoteText"/>
      </w:pPr>
      <w:r>
        <w:rPr>
          <w:rStyle w:val="FootnoteReference"/>
        </w:rPr>
        <w:footnoteRef/>
      </w:r>
      <w:r>
        <w:t xml:space="preserve"> Cross-references for "cassia": Ps 45:8.</w:t>
      </w:r>
    </w:p>
  </w:footnote>
  <w:footnote w:id="1865">
    <w:p>
      <w:pPr>
        <w:pStyle w:val="FootnoteText"/>
      </w:pPr>
      <w:r>
        <w:rPr>
          <w:rStyle w:val="FootnoteReference"/>
        </w:rPr>
        <w:footnoteRef/>
      </w:r>
      <w:r>
        <w:t xml:space="preserve"> Cross-references for "anoint": Exod 29:7-37; Exod 40:15.</w:t>
      </w:r>
    </w:p>
  </w:footnote>
  <w:footnote w:id="1866">
    <w:p>
      <w:pPr>
        <w:pStyle w:val="FootnoteText"/>
      </w:pPr>
      <w:r>
        <w:rPr>
          <w:rStyle w:val="FootnoteReference"/>
        </w:rPr>
        <w:footnoteRef/>
      </w:r>
      <w:r>
        <w:t xml:space="preserve"> Cross-references for "frankincense": Lev 2:1; Lev 2:15.</w:t>
      </w:r>
    </w:p>
  </w:footnote>
  <w:footnote w:id="1867">
    <w:p>
      <w:pPr>
        <w:pStyle w:val="FootnoteText"/>
      </w:pPr>
      <w:r>
        <w:rPr>
          <w:rStyle w:val="FootnoteReference"/>
        </w:rPr>
        <w:footnoteRef/>
      </w:r>
      <w:r>
        <w:t xml:space="preserve"> Cross-references for "where I will": Exod 25:22; Exod 29:42-43.</w:t>
      </w:r>
    </w:p>
  </w:footnote>
  <w:footnote w:id="1868">
    <w:p>
      <w:pPr>
        <w:pStyle w:val="FootnoteText"/>
      </w:pPr>
      <w:r>
        <w:rPr>
          <w:rStyle w:val="FootnoteReference"/>
        </w:rPr>
        <w:footnoteRef/>
      </w:r>
      <w:r>
        <w:t xml:space="preserve"> Cross-references for "It shall": Exod 29:37; Lev 2:3.</w:t>
      </w:r>
    </w:p>
  </w:footnote>
  <w:footnote w:id="1869">
    <w:p>
      <w:pPr>
        <w:pStyle w:val="FootnoteText"/>
      </w:pPr>
      <w:r>
        <w:rPr>
          <w:rStyle w:val="FootnoteReference"/>
        </w:rPr>
        <w:footnoteRef/>
      </w:r>
      <w:r>
        <w:t xml:space="preserve"> Personal name: Bezalel. Personal-name meaning: Bezalel — in the shadow/protection of God. Source form: Bezalel.</w:t>
      </w:r>
    </w:p>
  </w:footnote>
  <w:footnote w:id="1870">
    <w:p>
      <w:pPr>
        <w:pStyle w:val="FootnoteText"/>
      </w:pPr>
      <w:r>
        <w:rPr>
          <w:rStyle w:val="FootnoteReference"/>
        </w:rPr>
        <w:footnoteRef/>
      </w:r>
      <w:r>
        <w:t xml:space="preserve"> Personal name: Uri. Personal-name meaning: Uri — my light, my fire. Source form: Uri.</w:t>
      </w:r>
    </w:p>
  </w:footnote>
  <w:footnote w:id="1871">
    <w:p>
      <w:pPr>
        <w:pStyle w:val="FootnoteText"/>
      </w:pPr>
      <w:r>
        <w:rPr>
          <w:rStyle w:val="FootnoteReference"/>
        </w:rPr>
        <w:footnoteRef/>
      </w:r>
      <w:r>
        <w:t xml:space="preserve"> Cross-references for "filled": Exod 35:31; 1Kgs 3:9.</w:t>
      </w:r>
    </w:p>
  </w:footnote>
  <w:footnote w:id="1872">
    <w:p>
      <w:pPr>
        <w:pStyle w:val="FootnoteText"/>
      </w:pPr>
      <w:r>
        <w:rPr>
          <w:rStyle w:val="FootnoteReference"/>
        </w:rPr>
        <w:footnoteRef/>
      </w:r>
      <w:r>
        <w:t xml:space="preserve"> Personal name: Oholiab. Personal-name meaning: Oholiab — father's tent. Source form: Oholiab.</w:t>
      </w:r>
    </w:p>
  </w:footnote>
  <w:footnote w:id="1873">
    <w:p>
      <w:pPr>
        <w:pStyle w:val="FootnoteText"/>
      </w:pPr>
      <w:r>
        <w:rPr>
          <w:rStyle w:val="FootnoteReference"/>
        </w:rPr>
        <w:footnoteRef/>
      </w:r>
      <w:r>
        <w:t xml:space="preserve"> Personal name: Ahisamach. Personal-name meaning: Ahisamach — brother of strength. Source form: Ahisamach.</w:t>
      </w:r>
    </w:p>
  </w:footnote>
  <w:footnote w:id="1874">
    <w:p>
      <w:pPr>
        <w:pStyle w:val="FootnoteText"/>
      </w:pPr>
      <w:r>
        <w:rPr>
          <w:rStyle w:val="FootnoteReference"/>
        </w:rPr>
        <w:footnoteRef/>
      </w:r>
      <w:r>
        <w:t xml:space="preserve"> Translation note: Greek uses the wise-in-heart formula directly. Current wording preserves it.</w:t>
      </w:r>
    </w:p>
  </w:footnote>
  <w:footnote w:id="1875">
    <w:p>
      <w:pPr>
        <w:pStyle w:val="FootnoteText"/>
      </w:pPr>
      <w:r>
        <w:rPr>
          <w:rStyle w:val="FootnoteReference"/>
        </w:rPr>
        <w:footnoteRef/>
      </w:r>
      <w:r>
        <w:t xml:space="preserve"> Cross-references for "I have given": Exod 4:14-15; Exod 6:26.</w:t>
      </w:r>
    </w:p>
  </w:footnote>
  <w:footnote w:id="1876">
    <w:p>
      <w:pPr>
        <w:pStyle w:val="FootnoteText"/>
      </w:pPr>
      <w:r>
        <w:rPr>
          <w:rStyle w:val="FootnoteReference"/>
        </w:rPr>
        <w:footnoteRef/>
      </w:r>
      <w:r>
        <w:t xml:space="preserve"> Cross-references for "the table": Exod 25:23-30; Exod 37:10-16.</w:t>
      </w:r>
    </w:p>
  </w:footnote>
  <w:footnote w:id="1877">
    <w:p>
      <w:pPr>
        <w:pStyle w:val="FootnoteText"/>
      </w:pPr>
      <w:r>
        <w:rPr>
          <w:rStyle w:val="FootnoteReference"/>
        </w:rPr>
        <w:footnoteRef/>
      </w:r>
      <w:r>
        <w:t xml:space="preserve"> Cross-references for "the laver": Exod 30:18-21; Exod 38:8.</w:t>
      </w:r>
    </w:p>
  </w:footnote>
  <w:footnote w:id="1878">
    <w:p>
      <w:pPr>
        <w:pStyle w:val="FootnoteText"/>
      </w:pPr>
      <w:r>
        <w:rPr>
          <w:rStyle w:val="FootnoteReference"/>
        </w:rPr>
        <w:footnoteRef/>
      </w:r>
      <w:r>
        <w:t xml:space="preserve"> Cross-references for "the anointing": Exod 30:23-33; Exod 37:29.</w:t>
      </w:r>
    </w:p>
  </w:footnote>
  <w:footnote w:id="1879">
    <w:p>
      <w:pPr>
        <w:pStyle w:val="FootnoteText"/>
      </w:pPr>
      <w:r>
        <w:rPr>
          <w:rStyle w:val="FootnoteReference"/>
        </w:rPr>
        <w:footnoteRef/>
      </w:r>
      <w:r>
        <w:t xml:space="preserve"> Cross-references for "a sign": Exod 31:17; Neh 9:14.</w:t>
      </w:r>
    </w:p>
  </w:footnote>
  <w:footnote w:id="1880">
    <w:p>
      <w:pPr>
        <w:pStyle w:val="FootnoteText"/>
      </w:pPr>
      <w:r>
        <w:rPr>
          <w:rStyle w:val="FootnoteReference"/>
        </w:rPr>
        <w:footnoteRef/>
      </w:r>
      <w:r>
        <w:t xml:space="preserve"> Greek LXX divine name/title: Kyrios ho hagiazon hymas (Κύριος ὁ ἁγιάζων ὑμᾶς) — Lord who sanctifies you. Common English rendering: Lord who sanctifies you. The LXX keeps the sanctifying title as the Lord who sanctifies you.</w:t>
      </w:r>
    </w:p>
  </w:footnote>
  <w:footnote w:id="1881">
    <w:p>
      <w:pPr>
        <w:pStyle w:val="FootnoteText"/>
      </w:pPr>
      <w:r>
        <w:rPr>
          <w:rStyle w:val="FootnoteReference"/>
        </w:rPr>
        <w:footnoteRef/>
      </w:r>
      <w:r>
        <w:t xml:space="preserve"> Hebrew divine name/title: Yahweh Mekaddishkem (</w:t>
      </w:r>
      <w:r>
        <w:rPr>
          <w:lang w:val="he-IL" w:bidi="he-IL"/>
          <w:rtl/>
        </w:rPr>
        <w:t xml:space="preserve">יְהוָה מְקַדִּשְׁכֶם</w:t>
      </w:r>
      <w:r>
        <w:t xml:space="preserve">) — The LORD who sanctifies you. Common English rendering: the LORD that doth sanctify you. Stresses that holiness is not self-produced but given by God.</w:t>
      </w:r>
    </w:p>
  </w:footnote>
  <w:footnote w:id="1882">
    <w:p>
      <w:pPr>
        <w:pStyle w:val="FootnoteText"/>
      </w:pPr>
      <w:r>
        <w:rPr>
          <w:rStyle w:val="FootnoteReference"/>
        </w:rPr>
        <w:footnoteRef/>
      </w:r>
      <w:r>
        <w:t xml:space="preserve"> Cross-references for "keep": Exod 20:8; Deut 5:12-15.</w:t>
      </w:r>
    </w:p>
  </w:footnote>
  <w:footnote w:id="1883">
    <w:p>
      <w:pPr>
        <w:pStyle w:val="FootnoteText"/>
      </w:pPr>
      <w:r>
        <w:rPr>
          <w:rStyle w:val="FootnoteReference"/>
        </w:rPr>
        <w:footnoteRef/>
      </w:r>
      <w:r>
        <w:t xml:space="preserve"> Translation note: Greek says profaning and shall be destroyed.</w:t>
      </w:r>
    </w:p>
  </w:footnote>
  <w:footnote w:id="1884">
    <w:p>
      <w:pPr>
        <w:pStyle w:val="FootnoteText"/>
      </w:pPr>
      <w:r>
        <w:rPr>
          <w:rStyle w:val="FootnoteReference"/>
        </w:rPr>
        <w:footnoteRef/>
      </w:r>
      <w:r>
        <w:t xml:space="preserve"> Cross-references for "Six days": Exod 16:26; Exod 20:9.</w:t>
      </w:r>
    </w:p>
  </w:footnote>
  <w:footnote w:id="1885">
    <w:p>
      <w:pPr>
        <w:pStyle w:val="FootnoteText"/>
      </w:pPr>
      <w:r>
        <w:rPr>
          <w:rStyle w:val="FootnoteReference"/>
        </w:rPr>
        <w:footnoteRef/>
      </w:r>
      <w:r>
        <w:t xml:space="preserve"> Cross-references for "six days": Gen 1:31; Gen 2:2-3.</w:t>
      </w:r>
    </w:p>
  </w:footnote>
  <w:footnote w:id="1886">
    <w:p>
      <w:pPr>
        <w:pStyle w:val="FootnoteText"/>
      </w:pPr>
      <w:r>
        <w:rPr>
          <w:rStyle w:val="FootnoteReference"/>
        </w:rPr>
        <w:footnoteRef/>
      </w:r>
      <w:r>
        <w:t xml:space="preserve"> Cross-references for "gave": Exod 24:12; Exod 24:18.</w:t>
      </w:r>
    </w:p>
  </w:footnote>
  <w:footnote w:id="1887">
    <w:p>
      <w:pPr>
        <w:pStyle w:val="FootnoteText"/>
      </w:pPr>
      <w:r>
        <w:rPr>
          <w:rStyle w:val="FootnoteReference"/>
        </w:rPr>
        <w:footnoteRef/>
      </w:r>
      <w:r>
        <w:t xml:space="preserve"> Cross-references for "delayed": Exod 24:18; Deut 9:9.</w:t>
      </w:r>
    </w:p>
  </w:footnote>
  <w:footnote w:id="1888">
    <w:p>
      <w:pPr>
        <w:pStyle w:val="FootnoteText"/>
      </w:pPr>
      <w:r>
        <w:rPr>
          <w:rStyle w:val="FootnoteReference"/>
        </w:rPr>
        <w:footnoteRef/>
      </w:r>
      <w:r>
        <w:t xml:space="preserve"> Cross-references for "calf": 1Kgs 12:28; 1Kgs 12:32.</w:t>
      </w:r>
    </w:p>
  </w:footnote>
  <w:footnote w:id="1889">
    <w:p>
      <w:pPr>
        <w:pStyle w:val="FootnoteText"/>
      </w:pPr>
      <w:r>
        <w:rPr>
          <w:rStyle w:val="FootnoteReference"/>
        </w:rPr>
        <w:footnoteRef/>
      </w:r>
      <w:r>
        <w:t xml:space="preserve"> Cross-references for "Aaron": 1Sam 14:35; 2Kgs 16:11.</w:t>
      </w:r>
    </w:p>
  </w:footnote>
  <w:footnote w:id="1890">
    <w:p>
      <w:pPr>
        <w:pStyle w:val="FootnoteText"/>
      </w:pPr>
      <w:r>
        <w:rPr>
          <w:rStyle w:val="FootnoteReference"/>
        </w:rPr>
        <w:footnoteRef/>
      </w:r>
      <w:r>
        <w:t xml:space="preserve"> Cross-references for "offered": Exod 24:4-5.</w:t>
      </w:r>
    </w:p>
  </w:footnote>
  <w:footnote w:id="1891">
    <w:p>
      <w:pPr>
        <w:pStyle w:val="FootnoteText"/>
      </w:pPr>
      <w:r>
        <w:rPr>
          <w:rStyle w:val="FootnoteReference"/>
        </w:rPr>
        <w:footnoteRef/>
      </w:r>
      <w:r>
        <w:t xml:space="preserve"> Translation note: Greek says turned aside here. Current line keeps that wording.</w:t>
      </w:r>
    </w:p>
  </w:footnote>
  <w:footnote w:id="1892">
    <w:p>
      <w:pPr>
        <w:pStyle w:val="FootnoteText"/>
      </w:pPr>
      <w:r>
        <w:rPr>
          <w:rStyle w:val="FootnoteReference"/>
        </w:rPr>
        <w:footnoteRef/>
      </w:r>
      <w:r>
        <w:t xml:space="preserve"> Translation note: Greek opens with a direct let-me-alone line. Current wording preserves it.</w:t>
      </w:r>
    </w:p>
  </w:footnote>
  <w:footnote w:id="1893">
    <w:p>
      <w:pPr>
        <w:pStyle w:val="FootnoteText"/>
      </w:pPr>
      <w:r>
        <w:rPr>
          <w:rStyle w:val="FootnoteReference"/>
        </w:rPr>
        <w:footnoteRef/>
      </w:r>
      <w:r>
        <w:t xml:space="preserve"> Cross-references for "let me alone": Gen 18:32-33; Gen 32:26-28.</w:t>
      </w:r>
    </w:p>
  </w:footnote>
  <w:footnote w:id="1894">
    <w:p>
      <w:pPr>
        <w:pStyle w:val="FootnoteText"/>
      </w:pPr>
      <w:r>
        <w:rPr>
          <w:rStyle w:val="FootnoteReference"/>
        </w:rPr>
        <w:footnoteRef/>
      </w:r>
      <w:r>
        <w:t xml:space="preserve"> Translation note: Greek says be merciful concerning the evil of your people.</w:t>
      </w:r>
    </w:p>
  </w:footnote>
  <w:footnote w:id="1895">
    <w:p>
      <w:pPr>
        <w:pStyle w:val="FootnoteText"/>
      </w:pPr>
      <w:r>
        <w:rPr>
          <w:rStyle w:val="FootnoteReference"/>
        </w:rPr>
        <w:footnoteRef/>
      </w:r>
      <w:r>
        <w:t xml:space="preserve"> Cross-references for "Remember": Lev 26:42; Deut 7:8.</w:t>
      </w:r>
    </w:p>
  </w:footnote>
  <w:footnote w:id="1896">
    <w:p>
      <w:pPr>
        <w:pStyle w:val="FootnoteText"/>
      </w:pPr>
      <w:r>
        <w:rPr>
          <w:rStyle w:val="FootnoteReference"/>
        </w:rPr>
        <w:footnoteRef/>
      </w:r>
      <w:r>
        <w:t xml:space="preserve"> Translation note: Greek reads Jacob here.</w:t>
      </w:r>
    </w:p>
  </w:footnote>
  <w:footnote w:id="1897">
    <w:p>
      <w:pPr>
        <w:pStyle w:val="FootnoteText"/>
      </w:pPr>
      <w:r>
        <w:rPr>
          <w:rStyle w:val="FootnoteReference"/>
        </w:rPr>
        <w:footnoteRef/>
      </w:r>
      <w:r>
        <w:t xml:space="preserve"> Cross-references for "turned": Exod 24:18; Deut 9:15.</w:t>
      </w:r>
    </w:p>
  </w:footnote>
  <w:footnote w:id="1898">
    <w:p>
      <w:pPr>
        <w:pStyle w:val="FootnoteText"/>
      </w:pPr>
      <w:r>
        <w:rPr>
          <w:rStyle w:val="FootnoteReference"/>
        </w:rPr>
        <w:footnoteRef/>
      </w:r>
      <w:r>
        <w:t xml:space="preserve"> Cross-references for "Joshua": Exod 17:9; Exod 24:13.</w:t>
      </w:r>
    </w:p>
  </w:footnote>
  <w:footnote w:id="1899">
    <w:p>
      <w:pPr>
        <w:pStyle w:val="FootnoteText"/>
      </w:pPr>
      <w:r>
        <w:rPr>
          <w:rStyle w:val="FootnoteReference"/>
        </w:rPr>
        <w:footnoteRef/>
      </w:r>
      <w:r>
        <w:t xml:space="preserve"> Cross-references for "but the": Exod 15:1-18; Dan 5:4.</w:t>
      </w:r>
    </w:p>
  </w:footnote>
  <w:footnote w:id="1900">
    <w:p>
      <w:pPr>
        <w:pStyle w:val="FootnoteText"/>
      </w:pPr>
      <w:r>
        <w:rPr>
          <w:rStyle w:val="FootnoteReference"/>
        </w:rPr>
        <w:footnoteRef/>
      </w:r>
      <w:r>
        <w:t xml:space="preserve"> Cross-references for "he saw": Exod 32:4-6; Deut 9:16-17.</w:t>
      </w:r>
    </w:p>
  </w:footnote>
  <w:footnote w:id="1901">
    <w:p>
      <w:pPr>
        <w:pStyle w:val="FootnoteText"/>
      </w:pPr>
      <w:r>
        <w:rPr>
          <w:rStyle w:val="FootnoteReference"/>
        </w:rPr>
        <w:footnoteRef/>
      </w:r>
      <w:r>
        <w:t xml:space="preserve"> Cross-references for "made the": Prov 1:31; Prov 14:14.</w:t>
      </w:r>
    </w:p>
  </w:footnote>
  <w:footnote w:id="1902">
    <w:p>
      <w:pPr>
        <w:pStyle w:val="FootnoteText"/>
      </w:pPr>
      <w:r>
        <w:rPr>
          <w:rStyle w:val="FootnoteReference"/>
        </w:rPr>
        <w:footnoteRef/>
      </w:r>
      <w:r>
        <w:t xml:space="preserve"> Translation note: Greek frames Moses' rebuke with the great-sin charge. Current wording preserves that force.</w:t>
      </w:r>
    </w:p>
  </w:footnote>
  <w:footnote w:id="1903">
    <w:p>
      <w:pPr>
        <w:pStyle w:val="FootnoteText"/>
      </w:pPr>
      <w:r>
        <w:rPr>
          <w:rStyle w:val="FootnoteReference"/>
        </w:rPr>
        <w:footnoteRef/>
      </w:r>
      <w:r>
        <w:t xml:space="preserve"> Cross-references for "Aaron": Deut 9:20; 2Chr 28:19.</w:t>
      </w:r>
    </w:p>
  </w:footnote>
  <w:footnote w:id="1904">
    <w:p>
      <w:pPr>
        <w:pStyle w:val="FootnoteText"/>
      </w:pPr>
      <w:r>
        <w:rPr>
          <w:rStyle w:val="FootnoteReference"/>
        </w:rPr>
        <w:footnoteRef/>
      </w:r>
      <w:r>
        <w:t xml:space="preserve"> Translation note: Greek uses the standard neighbor term here. The line then adds another phrase for the one nearest to him, so the distinction is preserved.</w:t>
      </w:r>
    </w:p>
  </w:footnote>
  <w:footnote w:id="1905">
    <w:p>
      <w:pPr>
        <w:pStyle w:val="FootnoteText"/>
      </w:pPr>
      <w:r>
        <w:rPr>
          <w:rStyle w:val="FootnoteReference"/>
        </w:rPr>
        <w:footnoteRef/>
      </w:r>
      <w:r>
        <w:t xml:space="preserve"> Cross-references for "Moses": Num 25:11-13; Deut 13:6-11.</w:t>
      </w:r>
    </w:p>
  </w:footnote>
  <w:footnote w:id="1906">
    <w:p>
      <w:pPr>
        <w:pStyle w:val="FootnoteText"/>
      </w:pPr>
      <w:r>
        <w:rPr>
          <w:rStyle w:val="FootnoteReference"/>
        </w:rPr>
        <w:footnoteRef/>
      </w:r>
      <w:r>
        <w:t xml:space="preserve"> Cross-references for "returned": Exod 34:28; Deut 9:18-19.</w:t>
      </w:r>
    </w:p>
  </w:footnote>
  <w:footnote w:id="1907">
    <w:p>
      <w:pPr>
        <w:pStyle w:val="FootnoteText"/>
      </w:pPr>
      <w:r>
        <w:rPr>
          <w:rStyle w:val="FootnoteReference"/>
        </w:rPr>
        <w:footnoteRef/>
      </w:r>
      <w:r>
        <w:t xml:space="preserve"> Cross-references for "blot me": Exod 32:10; Deut 9:14.</w:t>
      </w:r>
    </w:p>
  </w:footnote>
  <w:footnote w:id="1908">
    <w:p>
      <w:pPr>
        <w:pStyle w:val="FootnoteText"/>
      </w:pPr>
      <w:r>
        <w:rPr>
          <w:rStyle w:val="FootnoteReference"/>
        </w:rPr>
        <w:footnoteRef/>
      </w:r>
      <w:r>
        <w:t xml:space="preserve"> Cross-references for "sinned": Lev 23:30; Ps 69:28.</w:t>
      </w:r>
    </w:p>
  </w:footnote>
  <w:footnote w:id="1909">
    <w:p>
      <w:pPr>
        <w:pStyle w:val="FootnoteText"/>
      </w:pPr>
      <w:r>
        <w:rPr>
          <w:rStyle w:val="FootnoteReference"/>
        </w:rPr>
        <w:footnoteRef/>
      </w:r>
      <w:r>
        <w:t xml:space="preserve"> Translation note: Greek doubles the movement command. The translation keeps that force rather than reducing it to a single depart.</w:t>
      </w:r>
    </w:p>
  </w:footnote>
  <w:footnote w:id="1910">
    <w:p>
      <w:pPr>
        <w:pStyle w:val="FootnoteText"/>
      </w:pPr>
      <w:r>
        <w:rPr>
          <w:rStyle w:val="FootnoteReference"/>
        </w:rPr>
        <w:footnoteRef/>
      </w:r>
      <w:r>
        <w:t xml:space="preserve"> Cross-references for "a land": Exod 3:8; Exod 13:5.</w:t>
      </w:r>
    </w:p>
  </w:footnote>
  <w:footnote w:id="1911">
    <w:p>
      <w:pPr>
        <w:pStyle w:val="FootnoteText"/>
      </w:pPr>
      <w:r>
        <w:rPr>
          <w:rStyle w:val="FootnoteReference"/>
        </w:rPr>
        <w:footnoteRef/>
      </w:r>
      <w:r>
        <w:t xml:space="preserve"> Cross-references for "they mourned": Num 14:1; Num 14:39.</w:t>
      </w:r>
    </w:p>
  </w:footnote>
  <w:footnote w:id="1912">
    <w:p>
      <w:pPr>
        <w:pStyle w:val="FootnoteText"/>
      </w:pPr>
      <w:r>
        <w:rPr>
          <w:rStyle w:val="FootnoteReference"/>
        </w:rPr>
        <w:footnoteRef/>
      </w:r>
      <w:r>
        <w:t xml:space="preserve"> Translation note: Greek names glorious garments together with ornaments here.</w:t>
      </w:r>
    </w:p>
  </w:footnote>
  <w:footnote w:id="1913">
    <w:p>
      <w:pPr>
        <w:pStyle w:val="FootnoteText"/>
      </w:pPr>
      <w:r>
        <w:rPr>
          <w:rStyle w:val="FootnoteReference"/>
        </w:rPr>
        <w:footnoteRef/>
      </w:r>
      <w:r>
        <w:t xml:space="preserve"> Translation note: Greek says Moses took his tent and pitched it outside the camp.</w:t>
      </w:r>
    </w:p>
  </w:footnote>
  <w:footnote w:id="1914">
    <w:p>
      <w:pPr>
        <w:pStyle w:val="FootnoteText"/>
      </w:pPr>
      <w:r>
        <w:rPr>
          <w:rStyle w:val="FootnoteReference"/>
        </w:rPr>
        <w:footnoteRef/>
      </w:r>
      <w:r>
        <w:t xml:space="preserve"> Cross-references for "went out": Heb 13:11-13.</w:t>
      </w:r>
    </w:p>
  </w:footnote>
  <w:footnote w:id="1915">
    <w:p>
      <w:pPr>
        <w:pStyle w:val="FootnoteText"/>
      </w:pPr>
      <w:r>
        <w:rPr>
          <w:rStyle w:val="FootnoteReference"/>
        </w:rPr>
        <w:footnoteRef/>
      </w:r>
      <w:r>
        <w:t xml:space="preserve"> Cross-references for "his servant": Exod 17:9; Exod 24:13.</w:t>
      </w:r>
    </w:p>
  </w:footnote>
  <w:footnote w:id="1916">
    <w:p>
      <w:pPr>
        <w:pStyle w:val="FootnoteText"/>
      </w:pPr>
      <w:r>
        <w:rPr>
          <w:rStyle w:val="FootnoteReference"/>
        </w:rPr>
        <w:footnoteRef/>
      </w:r>
      <w:r>
        <w:t xml:space="preserve"> Personal name: Nun. Personal-name meaning: Nun — posterity; a fish; eternal. Source form: Nun.</w:t>
      </w:r>
    </w:p>
  </w:footnote>
  <w:footnote w:id="1917">
    <w:p>
      <w:pPr>
        <w:pStyle w:val="FootnoteText"/>
      </w:pPr>
      <w:r>
        <w:rPr>
          <w:rStyle w:val="FootnoteReference"/>
        </w:rPr>
        <w:footnoteRef/>
      </w:r>
      <w:r>
        <w:t xml:space="preserve"> Cross-references for "rest": Deut 3:20; Josh 21:44.</w:t>
      </w:r>
    </w:p>
  </w:footnote>
  <w:footnote w:id="1918">
    <w:p>
      <w:pPr>
        <w:pStyle w:val="FootnoteText"/>
      </w:pPr>
      <w:r>
        <w:rPr>
          <w:rStyle w:val="FootnoteReference"/>
        </w:rPr>
        <w:footnoteRef/>
      </w:r>
      <w:r>
        <w:t xml:space="preserve"> Translation note: Greek says we will be glorified beyond all the nations.</w:t>
      </w:r>
    </w:p>
  </w:footnote>
  <w:footnote w:id="1919">
    <w:p>
      <w:pPr>
        <w:pStyle w:val="FootnoteText"/>
      </w:pPr>
      <w:r>
        <w:rPr>
          <w:rStyle w:val="FootnoteReference"/>
        </w:rPr>
        <w:footnoteRef/>
      </w:r>
      <w:r>
        <w:t xml:space="preserve"> Translation note: Greek includes reflexive force here. Current wording preserves it.</w:t>
      </w:r>
    </w:p>
  </w:footnote>
  <w:footnote w:id="1920">
    <w:p>
      <w:pPr>
        <w:pStyle w:val="FootnoteText"/>
      </w:pPr>
      <w:r>
        <w:rPr>
          <w:rStyle w:val="FootnoteReference"/>
        </w:rPr>
        <w:footnoteRef/>
      </w:r>
      <w:r>
        <w:t xml:space="preserve"> Translation note: Greek says before you in my glory here. Current line keeps that wording.</w:t>
      </w:r>
    </w:p>
  </w:footnote>
  <w:footnote w:id="1921">
    <w:p>
      <w:pPr>
        <w:pStyle w:val="FootnoteText"/>
      </w:pPr>
      <w:r>
        <w:rPr>
          <w:rStyle w:val="FootnoteReference"/>
        </w:rPr>
        <w:footnoteRef/>
      </w:r>
      <w:r>
        <w:t xml:space="preserve"> Cross-references for "the words": Ps 119:89.</w:t>
      </w:r>
    </w:p>
  </w:footnote>
  <w:footnote w:id="1922">
    <w:p>
      <w:pPr>
        <w:pStyle w:val="FootnoteText"/>
      </w:pPr>
      <w:r>
        <w:rPr>
          <w:rStyle w:val="FootnoteReference"/>
        </w:rPr>
        <w:footnoteRef/>
      </w:r>
      <w:r>
        <w:t xml:space="preserve"> Translation note: The Greek uses shatter language here. The current wording preserves that stronger wording.</w:t>
      </w:r>
    </w:p>
  </w:footnote>
  <w:footnote w:id="1923">
    <w:p>
      <w:pPr>
        <w:pStyle w:val="FootnoteText"/>
      </w:pPr>
      <w:r>
        <w:rPr>
          <w:rStyle w:val="FootnoteReference"/>
        </w:rPr>
        <w:footnoteRef/>
      </w:r>
      <w:r>
        <w:t xml:space="preserve"> Cross-references for "the name": Exod 33:19; Num 14:17.</w:t>
      </w:r>
    </w:p>
  </w:footnote>
  <w:footnote w:id="1924">
    <w:p>
      <w:pPr>
        <w:pStyle w:val="FootnoteText"/>
      </w:pPr>
      <w:r>
        <w:rPr>
          <w:rStyle w:val="FootnoteReference"/>
        </w:rPr>
        <w:footnoteRef/>
      </w:r>
      <w:r>
        <w:t xml:space="preserve"> Cross-references for "passed": Exod 33:20-23; 1Kgs 19:11.</w:t>
      </w:r>
    </w:p>
  </w:footnote>
  <w:footnote w:id="1925">
    <w:p>
      <w:pPr>
        <w:pStyle w:val="FootnoteText"/>
      </w:pPr>
      <w:r>
        <w:rPr>
          <w:rStyle w:val="FootnoteReference"/>
        </w:rPr>
        <w:footnoteRef/>
      </w:r>
      <w:r>
        <w:t xml:space="preserve"> Translation note: Greek includes righteousness-language here alongside mercy and the no-clear-guilty warning. Current line keeps that sequence.</w:t>
      </w:r>
    </w:p>
  </w:footnote>
  <w:footnote w:id="1926">
    <w:p>
      <w:pPr>
        <w:pStyle w:val="FootnoteText"/>
      </w:pPr>
      <w:r>
        <w:rPr>
          <w:rStyle w:val="FootnoteReference"/>
        </w:rPr>
        <w:footnoteRef/>
      </w:r>
      <w:r>
        <w:t xml:space="preserve"> Cross-references for "keeping": Exod 20:6; Deut 5:10.</w:t>
      </w:r>
    </w:p>
  </w:footnote>
  <w:footnote w:id="1927">
    <w:p>
      <w:pPr>
        <w:pStyle w:val="FootnoteText"/>
      </w:pPr>
      <w:r>
        <w:rPr>
          <w:rStyle w:val="FootnoteReference"/>
        </w:rPr>
        <w:footnoteRef/>
      </w:r>
      <w:r>
        <w:t xml:space="preserve"> Cross-references for "let my Lord": Exod 33:14-16; Matt 28:20.</w:t>
      </w:r>
    </w:p>
  </w:footnote>
  <w:footnote w:id="1928">
    <w:p>
      <w:pPr>
        <w:pStyle w:val="FootnoteText"/>
      </w:pPr>
      <w:r>
        <w:rPr>
          <w:rStyle w:val="FootnoteReference"/>
        </w:rPr>
        <w:footnoteRef/>
      </w:r>
      <w:r>
        <w:t xml:space="preserve"> Translation note: Greek says Behold I establish covenant for you.</w:t>
      </w:r>
    </w:p>
  </w:footnote>
  <w:footnote w:id="1929">
    <w:p>
      <w:pPr>
        <w:pStyle w:val="FootnoteText"/>
      </w:pPr>
      <w:r>
        <w:rPr>
          <w:rStyle w:val="FootnoteReference"/>
        </w:rPr>
        <w:footnoteRef/>
      </w:r>
      <w:r>
        <w:t xml:space="preserve"> Cross-references for "I drive": Gen 15:18-21; Exod 3:8.</w:t>
      </w:r>
    </w:p>
  </w:footnote>
  <w:footnote w:id="1930">
    <w:p>
      <w:pPr>
        <w:pStyle w:val="FootnoteText"/>
      </w:pPr>
      <w:r>
        <w:rPr>
          <w:rStyle w:val="FootnoteReference"/>
        </w:rPr>
        <w:footnoteRef/>
      </w:r>
      <w:r>
        <w:t xml:space="preserve"> Cross-references for "worship": Exod 20:3-5; Deut 5:7.</w:t>
      </w:r>
    </w:p>
  </w:footnote>
  <w:footnote w:id="1931">
    <w:p>
      <w:pPr>
        <w:pStyle w:val="FootnoteText"/>
      </w:pPr>
      <w:r>
        <w:rPr>
          <w:rStyle w:val="FootnoteReference"/>
        </w:rPr>
        <w:footnoteRef/>
      </w:r>
      <w:r>
        <w:t xml:space="preserve"> Cross-references for "make": Exod 23:32; Exod 34:10.</w:t>
      </w:r>
    </w:p>
  </w:footnote>
  <w:footnote w:id="1932">
    <w:p>
      <w:pPr>
        <w:pStyle w:val="FootnoteText"/>
      </w:pPr>
      <w:r>
        <w:rPr>
          <w:rStyle w:val="FootnoteReference"/>
        </w:rPr>
        <w:footnoteRef/>
      </w:r>
      <w:r>
        <w:t xml:space="preserve"> Translation note: Greek uses new-grain wording here. Current wording preserves that expression rather than replacing it with a later label.</w:t>
      </w:r>
    </w:p>
  </w:footnote>
  <w:footnote w:id="1933">
    <w:p>
      <w:pPr>
        <w:pStyle w:val="FootnoteText"/>
      </w:pPr>
      <w:r>
        <w:rPr>
          <w:rStyle w:val="FootnoteReference"/>
        </w:rPr>
        <w:footnoteRef/>
      </w:r>
      <w:r>
        <w:t xml:space="preserve"> Translation note: Greek repeats rest in both clauses. Current wording preserves that repetition.</w:t>
      </w:r>
    </w:p>
  </w:footnote>
  <w:footnote w:id="1934">
    <w:p>
      <w:pPr>
        <w:pStyle w:val="FootnoteText"/>
      </w:pPr>
      <w:r>
        <w:rPr>
          <w:rStyle w:val="FootnoteReference"/>
        </w:rPr>
        <w:footnoteRef/>
      </w:r>
      <w:r>
        <w:t xml:space="preserve"> Cross-references for "feast of weeks": Exod 23:16; Num 28:16-31.</w:t>
      </w:r>
    </w:p>
  </w:footnote>
  <w:footnote w:id="1935">
    <w:p>
      <w:pPr>
        <w:pStyle w:val="FootnoteText"/>
      </w:pPr>
      <w:r>
        <w:rPr>
          <w:rStyle w:val="FootnoteReference"/>
        </w:rPr>
        <w:footnoteRef/>
      </w:r>
      <w:r>
        <w:t xml:space="preserve"> Cross-references for "enlarge": Exod 23:31; Deut 12:20.</w:t>
      </w:r>
    </w:p>
  </w:footnote>
  <w:footnote w:id="1936">
    <w:p>
      <w:pPr>
        <w:pStyle w:val="FootnoteText"/>
      </w:pPr>
      <w:r>
        <w:rPr>
          <w:rStyle w:val="FootnoteReference"/>
        </w:rPr>
        <w:footnoteRef/>
      </w:r>
      <w:r>
        <w:t xml:space="preserve"> Translation note: Greek gives a direct promise line here. Current wording preserves it.</w:t>
      </w:r>
    </w:p>
  </w:footnote>
  <w:footnote w:id="1937">
    <w:p>
      <w:pPr>
        <w:pStyle w:val="FootnoteText"/>
      </w:pPr>
      <w:r>
        <w:rPr>
          <w:rStyle w:val="FootnoteReference"/>
        </w:rPr>
        <w:footnoteRef/>
      </w:r>
      <w:r>
        <w:t xml:space="preserve"> Cross-references for "leaven": Exod 12:20; Exod 23:18.</w:t>
      </w:r>
    </w:p>
  </w:footnote>
  <w:footnote w:id="1938">
    <w:p>
      <w:pPr>
        <w:pStyle w:val="FootnoteText"/>
      </w:pPr>
      <w:r>
        <w:rPr>
          <w:rStyle w:val="FootnoteReference"/>
        </w:rPr>
        <w:footnoteRef/>
      </w:r>
      <w:r>
        <w:t xml:space="preserve"> Cross-references for "first": Exod 23:19; Deut 26:2.</w:t>
      </w:r>
    </w:p>
  </w:footnote>
  <w:footnote w:id="1939">
    <w:p>
      <w:pPr>
        <w:pStyle w:val="FootnoteText"/>
      </w:pPr>
      <w:r>
        <w:rPr>
          <w:rStyle w:val="FootnoteReference"/>
        </w:rPr>
        <w:footnoteRef/>
      </w:r>
      <w:r>
        <w:t xml:space="preserve"> Cross-references for "Write": Exod 17:14; Exod 24:4.</w:t>
      </w:r>
    </w:p>
  </w:footnote>
  <w:footnote w:id="1940">
    <w:p>
      <w:pPr>
        <w:pStyle w:val="FootnoteText"/>
      </w:pPr>
      <w:r>
        <w:rPr>
          <w:rStyle w:val="FootnoteReference"/>
        </w:rPr>
        <w:footnoteRef/>
      </w:r>
      <w:r>
        <w:t xml:space="preserve"> Cross-references for "forty days": Exod 24:18; Deut 9:9.</w:t>
      </w:r>
    </w:p>
  </w:footnote>
  <w:footnote w:id="1941">
    <w:p>
      <w:pPr>
        <w:pStyle w:val="FootnoteText"/>
      </w:pPr>
      <w:r>
        <w:rPr>
          <w:rStyle w:val="FootnoteReference"/>
        </w:rPr>
        <w:footnoteRef/>
      </w:r>
      <w:r>
        <w:t xml:space="preserve"> Cross-references for "the skin": Matt 17:2; Luke 9:29.</w:t>
      </w:r>
    </w:p>
  </w:footnote>
  <w:footnote w:id="1942">
    <w:p>
      <w:pPr>
        <w:pStyle w:val="FootnoteText"/>
      </w:pPr>
      <w:r>
        <w:rPr>
          <w:rStyle w:val="FootnoteReference"/>
        </w:rPr>
        <w:footnoteRef/>
      </w:r>
      <w:r>
        <w:t xml:space="preserve"> Cross-references for "called": Exod 3:15; Exod 24:1-3.</w:t>
      </w:r>
    </w:p>
  </w:footnote>
  <w:footnote w:id="1943">
    <w:p>
      <w:pPr>
        <w:pStyle w:val="FootnoteText"/>
      </w:pPr>
      <w:r>
        <w:rPr>
          <w:rStyle w:val="FootnoteReference"/>
        </w:rPr>
        <w:footnoteRef/>
      </w:r>
      <w:r>
        <w:t xml:space="preserve"> Cross-references for "a veil": Rom 10:4; 2Cor 3:13-18.</w:t>
      </w:r>
    </w:p>
  </w:footnote>
  <w:footnote w:id="1944">
    <w:p>
      <w:pPr>
        <w:pStyle w:val="FootnoteText"/>
      </w:pPr>
      <w:r>
        <w:rPr>
          <w:rStyle w:val="FootnoteReference"/>
        </w:rPr>
        <w:footnoteRef/>
      </w:r>
      <w:r>
        <w:t xml:space="preserve"> Cross-references for "do them": Matt 7:21-27; Rom 2:13.</w:t>
      </w:r>
    </w:p>
  </w:footnote>
  <w:footnote w:id="1945">
    <w:p>
      <w:pPr>
        <w:pStyle w:val="FootnoteText"/>
      </w:pPr>
      <w:r>
        <w:rPr>
          <w:rStyle w:val="FootnoteReference"/>
        </w:rPr>
        <w:footnoteRef/>
      </w:r>
      <w:r>
        <w:t xml:space="preserve"> Cross-references for "Six days": Exod 20:9-10; Exod 23:12.</w:t>
      </w:r>
    </w:p>
  </w:footnote>
  <w:footnote w:id="1946">
    <w:p>
      <w:pPr>
        <w:pStyle w:val="FootnoteText"/>
      </w:pPr>
      <w:r>
        <w:rPr>
          <w:rStyle w:val="FootnoteReference"/>
        </w:rPr>
        <w:footnoteRef/>
      </w:r>
      <w:r>
        <w:t xml:space="preserve"> Cross-references for "This is": Exod 25:1-2.</w:t>
      </w:r>
    </w:p>
  </w:footnote>
  <w:footnote w:id="1947">
    <w:p>
      <w:pPr>
        <w:pStyle w:val="FootnoteText"/>
      </w:pPr>
      <w:r>
        <w:rPr>
          <w:rStyle w:val="FootnoteReference"/>
        </w:rPr>
        <w:footnoteRef/>
      </w:r>
      <w:r>
        <w:t xml:space="preserve"> Cross-references for "blue": Exod 26:1; Exod 26:31.</w:t>
      </w:r>
    </w:p>
  </w:footnote>
  <w:footnote w:id="1948">
    <w:p>
      <w:pPr>
        <w:pStyle w:val="FootnoteText"/>
      </w:pPr>
      <w:r>
        <w:rPr>
          <w:rStyle w:val="FootnoteReference"/>
        </w:rPr>
        <w:footnoteRef/>
      </w:r>
      <w:r>
        <w:t xml:space="preserve"> Translation note: Greek uses the wise-hearted craft formula here. Current wording preserves it.</w:t>
      </w:r>
    </w:p>
  </w:footnote>
  <w:footnote w:id="1949">
    <w:p>
      <w:pPr>
        <w:pStyle w:val="FootnoteText"/>
      </w:pPr>
      <w:r>
        <w:rPr>
          <w:rStyle w:val="FootnoteReference"/>
        </w:rPr>
        <w:footnoteRef/>
      </w:r>
      <w:r>
        <w:t xml:space="preserve"> Translation note: The project uses propitiatory as the regular rendering of hilasterion. This verse stays aligned with that choice.</w:t>
      </w:r>
    </w:p>
  </w:footnote>
  <w:footnote w:id="1950">
    <w:p>
      <w:pPr>
        <w:pStyle w:val="FootnoteText"/>
      </w:pPr>
      <w:r>
        <w:rPr>
          <w:rStyle w:val="FootnoteReference"/>
        </w:rPr>
        <w:footnoteRef/>
      </w:r>
      <w:r>
        <w:t xml:space="preserve"> Cross-references for "the altar": Exod 27:1-8; Exod 38:1-7.</w:t>
      </w:r>
    </w:p>
  </w:footnote>
  <w:footnote w:id="1951">
    <w:p>
      <w:pPr>
        <w:pStyle w:val="FootnoteText"/>
      </w:pPr>
      <w:r>
        <w:rPr>
          <w:rStyle w:val="FootnoteReference"/>
        </w:rPr>
        <w:footnoteRef/>
      </w:r>
      <w:r>
        <w:t xml:space="preserve"> Cross-references for "the holy": Exod 28:1-43; Exod 39:1-31.</w:t>
      </w:r>
    </w:p>
  </w:footnote>
  <w:footnote w:id="1952">
    <w:p>
      <w:pPr>
        <w:pStyle w:val="FootnoteText"/>
      </w:pPr>
      <w:r>
        <w:rPr>
          <w:rStyle w:val="FootnoteReference"/>
        </w:rPr>
        <w:footnoteRef/>
      </w:r>
      <w:r>
        <w:t xml:space="preserve"> Translation note: Greek keeps the departure line terse. Current wording preserves it.</w:t>
      </w:r>
    </w:p>
  </w:footnote>
  <w:footnote w:id="1953">
    <w:p>
      <w:pPr>
        <w:pStyle w:val="FootnoteText"/>
      </w:pPr>
      <w:r>
        <w:rPr>
          <w:rStyle w:val="FootnoteReference"/>
        </w:rPr>
        <w:footnoteRef/>
      </w:r>
      <w:r>
        <w:t xml:space="preserve"> Translation note: Greek says to whom it seemed good in soul.</w:t>
      </w:r>
    </w:p>
  </w:footnote>
  <w:footnote w:id="1954">
    <w:p>
      <w:pPr>
        <w:pStyle w:val="FootnoteText"/>
      </w:pPr>
      <w:r>
        <w:rPr>
          <w:rStyle w:val="FootnoteReference"/>
        </w:rPr>
        <w:footnoteRef/>
      </w:r>
      <w:r>
        <w:t xml:space="preserve"> Cross-references for "bracelets": Exod 32:3; Num 31:50.</w:t>
      </w:r>
    </w:p>
  </w:footnote>
  <w:footnote w:id="1955">
    <w:p>
      <w:pPr>
        <w:pStyle w:val="FootnoteText"/>
      </w:pPr>
      <w:r>
        <w:rPr>
          <w:rStyle w:val="FootnoteReference"/>
        </w:rPr>
        <w:footnoteRef/>
      </w:r>
      <w:r>
        <w:t xml:space="preserve"> Translation note: Greek keeps harder from-among-women construction.</w:t>
      </w:r>
    </w:p>
  </w:footnote>
  <w:footnote w:id="1956">
    <w:p>
      <w:pPr>
        <w:pStyle w:val="FootnoteText"/>
      </w:pPr>
      <w:r>
        <w:rPr>
          <w:rStyle w:val="FootnoteReference"/>
        </w:rPr>
        <w:footnoteRef/>
      </w:r>
      <w:r>
        <w:t xml:space="preserve"> Cross-references for "the Lord": Exod 35:4; Deut 4:2.</w:t>
      </w:r>
    </w:p>
  </w:footnote>
  <w:footnote w:id="1957">
    <w:p>
      <w:pPr>
        <w:pStyle w:val="FootnoteText"/>
      </w:pPr>
      <w:r>
        <w:rPr>
          <w:rStyle w:val="FootnoteReference"/>
        </w:rPr>
        <w:footnoteRef/>
      </w:r>
      <w:r>
        <w:t xml:space="preserve"> Translation note: Greek describes inward willingness with mind and coming in to act. The translation keeps that wording close.</w:t>
      </w:r>
    </w:p>
  </w:footnote>
  <w:footnote w:id="1958">
    <w:p>
      <w:pPr>
        <w:pStyle w:val="FootnoteText"/>
      </w:pPr>
      <w:r>
        <w:rPr>
          <w:rStyle w:val="FootnoteReference"/>
        </w:rPr>
        <w:footnoteRef/>
      </w:r>
      <w:r>
        <w:t xml:space="preserve"> Cross-references for "He filled": Exod 31:3; Exod 31:6.</w:t>
      </w:r>
    </w:p>
  </w:footnote>
  <w:footnote w:id="1959">
    <w:p>
      <w:pPr>
        <w:pStyle w:val="FootnoteText"/>
      </w:pPr>
      <w:r>
        <w:rPr>
          <w:rStyle w:val="FootnoteReference"/>
        </w:rPr>
        <w:footnoteRef/>
      </w:r>
      <w:r>
        <w:t xml:space="preserve"> Translation note: Greek says wisdom understanding and insight and works of holy place here.</w:t>
      </w:r>
    </w:p>
  </w:footnote>
  <w:footnote w:id="1960">
    <w:p>
      <w:pPr>
        <w:pStyle w:val="FootnoteText"/>
      </w:pPr>
      <w:r>
        <w:rPr>
          <w:rStyle w:val="FootnoteReference"/>
        </w:rPr>
        <w:footnoteRef/>
      </w:r>
      <w:r>
        <w:t xml:space="preserve"> Translation note: Greek says wisdom and knowledge here. Current line keeps both.</w:t>
      </w:r>
    </w:p>
  </w:footnote>
  <w:footnote w:id="1961">
    <w:p>
      <w:pPr>
        <w:pStyle w:val="FootnoteText"/>
      </w:pPr>
      <w:r>
        <w:rPr>
          <w:rStyle w:val="FootnoteReference"/>
        </w:rPr>
        <w:footnoteRef/>
      </w:r>
      <w:r>
        <w:t xml:space="preserve"> Translation note: Greek says they were still receiving gifts here.</w:t>
      </w:r>
    </w:p>
  </w:footnote>
  <w:footnote w:id="1962">
    <w:p>
      <w:pPr>
        <w:pStyle w:val="FootnoteText"/>
      </w:pPr>
      <w:r>
        <w:rPr>
          <w:rStyle w:val="FootnoteReference"/>
        </w:rPr>
        <w:footnoteRef/>
      </w:r>
      <w:r>
        <w:t xml:space="preserve"> Translation note: Greek gives a direct abundance report. Current wording preserves it.</w:t>
      </w:r>
    </w:p>
  </w:footnote>
  <w:footnote w:id="1963">
    <w:p>
      <w:pPr>
        <w:pStyle w:val="FootnoteText"/>
      </w:pPr>
      <w:r>
        <w:rPr>
          <w:rStyle w:val="FootnoteReference"/>
        </w:rPr>
        <w:footnoteRef/>
      </w:r>
      <w:r>
        <w:t xml:space="preserve"> Translation note: Greek says first-contributions of holy place.</w:t>
      </w:r>
    </w:p>
  </w:footnote>
  <w:footnote w:id="1964">
    <w:p>
      <w:pPr>
        <w:pStyle w:val="FootnoteText"/>
      </w:pPr>
      <w:r>
        <w:rPr>
          <w:rStyle w:val="FootnoteReference"/>
        </w:rPr>
        <w:footnoteRef/>
      </w:r>
      <w:r>
        <w:t xml:space="preserve"> Cross-references for "wise": Exod 31:6; Exod 35:10.</w:t>
      </w:r>
    </w:p>
  </w:footnote>
  <w:footnote w:id="1965">
    <w:p>
      <w:pPr>
        <w:pStyle w:val="FootnoteText"/>
      </w:pPr>
      <w:r>
        <w:rPr>
          <w:rStyle w:val="FootnoteReference"/>
        </w:rPr>
        <w:footnoteRef/>
      </w:r>
      <w:r>
        <w:t xml:space="preserve"> MT/LXX note: The Septuagint places the holy-garments line here rather than the Masoretic curtain-making verse. The translation follows the Greek content.</w:t>
      </w:r>
    </w:p>
  </w:footnote>
  <w:footnote w:id="1966">
    <w:p>
      <w:pPr>
        <w:pStyle w:val="FootnoteText"/>
      </w:pPr>
      <w:r>
        <w:rPr>
          <w:rStyle w:val="FootnoteReference"/>
        </w:rPr>
        <w:footnoteRef/>
      </w:r>
      <w:r>
        <w:t xml:space="preserve"> MT/LXX note: This Septuagint verse maps to priestly garment construction rather than the Masoretic curtain measurement line. The translation follows the Greek line as written.</w:t>
      </w:r>
    </w:p>
  </w:footnote>
  <w:footnote w:id="1967">
    <w:p>
      <w:pPr>
        <w:pStyle w:val="FootnoteText"/>
      </w:pPr>
      <w:r>
        <w:rPr>
          <w:rStyle w:val="FootnoteReference"/>
        </w:rPr>
        <w:footnoteRef/>
      </w:r>
      <w:r>
        <w:t xml:space="preserve"> MT/LXX note: The Septuagint verse here belongs to priestly vestment construction rather than the Masoretic curtain-loop verse. The translation follows the Greek content.</w:t>
      </w:r>
    </w:p>
  </w:footnote>
  <w:footnote w:id="1968">
    <w:p>
      <w:pPr>
        <w:pStyle w:val="FootnoteText"/>
      </w:pPr>
      <w:r>
        <w:rPr>
          <w:rStyle w:val="FootnoteReference"/>
        </w:rPr>
        <w:footnoteRef/>
      </w:r>
      <w:r>
        <w:t xml:space="preserve"> Translation note: Greek row here has intertwined woven work.</w:t>
      </w:r>
    </w:p>
  </w:footnote>
  <w:footnote w:id="1969">
    <w:p>
      <w:pPr>
        <w:pStyle w:val="FootnoteText"/>
      </w:pPr>
      <w:r>
        <w:rPr>
          <w:rStyle w:val="FootnoteReference"/>
        </w:rPr>
        <w:footnoteRef/>
      </w:r>
      <w:r>
        <w:t xml:space="preserve"> Translation note: Greek uses logeion, the usual Septuagint term for the priestly breastpiece. The translation keeps the project's regular rendering.</w:t>
      </w:r>
    </w:p>
  </w:footnote>
  <w:footnote w:id="1970">
    <w:p>
      <w:pPr>
        <w:pStyle w:val="FootnoteText"/>
      </w:pPr>
      <w:r>
        <w:rPr>
          <w:rStyle w:val="FootnoteReference"/>
        </w:rPr>
        <w:footnoteRef/>
      </w:r>
      <w:r>
        <w:t xml:space="preserve"> MT/LXX note: The Septuagint places the breastpiece line here rather than the Masoretic curtain-joining verse. The translation follows the Greek content.</w:t>
      </w:r>
    </w:p>
  </w:footnote>
  <w:footnote w:id="1971">
    <w:p>
      <w:pPr>
        <w:pStyle w:val="FootnoteText"/>
      </w:pPr>
      <w:r>
        <w:rPr>
          <w:rStyle w:val="FootnoteReference"/>
        </w:rPr>
        <w:footnoteRef/>
      </w:r>
      <w:r>
        <w:t xml:space="preserve"> Translation note: Greek line matches current stone list closely here.</w:t>
      </w:r>
    </w:p>
  </w:footnote>
  <w:footnote w:id="1972">
    <w:p>
      <w:pPr>
        <w:pStyle w:val="FootnoteText"/>
      </w:pPr>
      <w:r>
        <w:rPr>
          <w:rStyle w:val="FootnoteReference"/>
        </w:rPr>
        <w:footnoteRef/>
      </w:r>
      <w:r>
        <w:t xml:space="preserve"> MT/LXX note: The Septuagint places the gemstone row here rather than the Masoretic tent-covering verse. The translation follows the Greek content.</w:t>
      </w:r>
    </w:p>
  </w:footnote>
  <w:footnote w:id="1973">
    <w:p>
      <w:pPr>
        <w:pStyle w:val="FootnoteText"/>
      </w:pPr>
      <w:r>
        <w:rPr>
          <w:rStyle w:val="FootnoteReference"/>
        </w:rPr>
        <w:footnoteRef/>
      </w:r>
      <w:r>
        <w:t xml:space="preserve"> MT/LXX note: The Septuagint line here continues the gemstone sequence rather than the Masoretic board-construction verse. The translation follows the Greek line as written.</w:t>
      </w:r>
    </w:p>
  </w:footnote>
  <w:footnote w:id="1974">
    <w:p>
      <w:pPr>
        <w:pStyle w:val="FootnoteText"/>
      </w:pPr>
      <w:r>
        <w:rPr>
          <w:rStyle w:val="FootnoteReference"/>
        </w:rPr>
        <w:footnoteRef/>
      </w:r>
      <w:r>
        <w:t xml:space="preserve"> MT/LXX note: This Septuagint verse maps to a different tabernacle item than the Masoretic board-measurement verse. The translation follows the Greek wording as written.</w:t>
      </w:r>
    </w:p>
  </w:footnote>
  <w:footnote w:id="1975">
    <w:p>
      <w:pPr>
        <w:pStyle w:val="FootnoteText"/>
      </w:pPr>
      <w:r>
        <w:rPr>
          <w:rStyle w:val="FootnoteReference"/>
        </w:rPr>
        <w:footnoteRef/>
      </w:r>
      <w:r>
        <w:t xml:space="preserve"> MT/LXX note: The Septuagint places the breastpiece-cord line here rather than the Masoretic tabernacle-board verse. The translation follows the Greek content.</w:t>
      </w:r>
    </w:p>
  </w:footnote>
  <w:footnote w:id="1976">
    <w:p>
      <w:pPr>
        <w:pStyle w:val="FootnoteText"/>
      </w:pPr>
      <w:r>
        <w:rPr>
          <w:rStyle w:val="FootnoteReference"/>
        </w:rPr>
        <w:footnoteRef/>
      </w:r>
      <w:r>
        <w:t xml:space="preserve"> Translation note: Greek says breastpiece here. Current line keeps that term.</w:t>
      </w:r>
    </w:p>
  </w:footnote>
  <w:footnote w:id="1977">
    <w:p>
      <w:pPr>
        <w:pStyle w:val="FootnoteText"/>
      </w:pPr>
      <w:r>
        <w:rPr>
          <w:rStyle w:val="FootnoteReference"/>
        </w:rPr>
        <w:footnoteRef/>
      </w:r>
      <w:r>
        <w:t xml:space="preserve"> MT/LXX note: The Septuagint places another ephod-fastening line here rather than the Masoretic board count. The translation follows the Greek content.</w:t>
      </w:r>
    </w:p>
  </w:footnote>
  <w:footnote w:id="1978">
    <w:p>
      <w:pPr>
        <w:pStyle w:val="FootnoteText"/>
      </w:pPr>
      <w:r>
        <w:rPr>
          <w:rStyle w:val="FootnoteReference"/>
        </w:rPr>
        <w:footnoteRef/>
      </w:r>
      <w:r>
        <w:t xml:space="preserve"> MT/LXX note: The Septuagint places the breastpiece-fastening line here rather than the Masoretic board verse. The translation follows the Greek content.</w:t>
      </w:r>
    </w:p>
  </w:footnote>
  <w:footnote w:id="1979">
    <w:p>
      <w:pPr>
        <w:pStyle w:val="FootnoteText"/>
      </w:pPr>
      <w:r>
        <w:rPr>
          <w:rStyle w:val="FootnoteReference"/>
        </w:rPr>
        <w:footnoteRef/>
      </w:r>
      <w:r>
        <w:t xml:space="preserve"> MT/LXX note: The Septuagint places the robe-hem line here rather than the Masoretic bar verse. The translation follows the Greek content.</w:t>
      </w:r>
    </w:p>
  </w:footnote>
  <w:footnote w:id="1980">
    <w:p>
      <w:pPr>
        <w:pStyle w:val="FootnoteText"/>
      </w:pPr>
      <w:r>
        <w:rPr>
          <w:rStyle w:val="FootnoteReference"/>
        </w:rPr>
        <w:footnoteRef/>
      </w:r>
      <w:r>
        <w:t xml:space="preserve"> Translation note: Greek has sash wording here. Current line keeps that term.</w:t>
      </w:r>
    </w:p>
  </w:footnote>
  <w:footnote w:id="1981">
    <w:p>
      <w:pPr>
        <w:pStyle w:val="FootnoteText"/>
      </w:pPr>
      <w:r>
        <w:rPr>
          <w:rStyle w:val="FootnoteReference"/>
        </w:rPr>
        <w:footnoteRef/>
      </w:r>
      <w:r>
        <w:t xml:space="preserve"> MT/LXX note: The Septuagint places the turban-cord line here rather than the Masoretic pillar verse. The translation follows the Greek content.</w:t>
      </w:r>
    </w:p>
  </w:footnote>
  <w:footnote w:id="1982">
    <w:p>
      <w:pPr>
        <w:pStyle w:val="FootnoteText"/>
      </w:pPr>
      <w:r>
        <w:rPr>
          <w:rStyle w:val="FootnoteReference"/>
        </w:rPr>
        <w:footnoteRef/>
      </w:r>
      <w:r>
        <w:t xml:space="preserve"> MT/LXX note: The Septuagint places a tabernacle-curtain line here rather than the Masoretic ark verse. The translation follows the Greek numbering and content.</w:t>
      </w:r>
    </w:p>
  </w:footnote>
  <w:footnote w:id="1983">
    <w:p>
      <w:pPr>
        <w:pStyle w:val="FootnoteText"/>
      </w:pPr>
      <w:r>
        <w:rPr>
          <w:rStyle w:val="FootnoteReference"/>
        </w:rPr>
        <w:footnoteRef/>
      </w:r>
      <w:r>
        <w:t xml:space="preserve"> Translation note: Greek says one measure here. Current line keeps that wording.</w:t>
      </w:r>
    </w:p>
  </w:footnote>
  <w:footnote w:id="1984">
    <w:p>
      <w:pPr>
        <w:pStyle w:val="FootnoteText"/>
      </w:pPr>
      <w:r>
        <w:rPr>
          <w:rStyle w:val="FootnoteReference"/>
        </w:rPr>
        <w:footnoteRef/>
      </w:r>
      <w:r>
        <w:t xml:space="preserve"> Cross-references for "with gold": 1Pet 1:7; 1Pet 1:18-19.</w:t>
      </w:r>
    </w:p>
  </w:footnote>
  <w:footnote w:id="1985">
    <w:p>
      <w:pPr>
        <w:pStyle w:val="FootnoteText"/>
      </w:pPr>
      <w:r>
        <w:rPr>
          <w:rStyle w:val="FootnoteReference"/>
        </w:rPr>
        <w:footnoteRef/>
      </w:r>
      <w:r>
        <w:t xml:space="preserve"> MT/LXX note: The Septuagint places the curtain line here rather than the Masoretic ark-staves verse. The translation follows the Greek content.</w:t>
      </w:r>
    </w:p>
  </w:footnote>
  <w:footnote w:id="1986">
    <w:p>
      <w:pPr>
        <w:pStyle w:val="FootnoteText"/>
      </w:pPr>
      <w:r>
        <w:rPr>
          <w:rStyle w:val="FootnoteReference"/>
        </w:rPr>
        <w:footnoteRef/>
      </w:r>
      <w:r>
        <w:t xml:space="preserve"> MT/LXX note: This Septuagint verse belongs to court-structure material rather than the Masoretic cherubim description. The translation follows the Greek content.</w:t>
      </w:r>
    </w:p>
  </w:footnote>
  <w:footnote w:id="1987">
    <w:p>
      <w:pPr>
        <w:pStyle w:val="FootnoteText"/>
      </w:pPr>
      <w:r>
        <w:rPr>
          <w:rStyle w:val="FootnoteReference"/>
        </w:rPr>
        <w:footnoteRef/>
      </w:r>
      <w:r>
        <w:t xml:space="preserve"> MT/LXX note: The Septuagint places a court-dimension line here rather than the Masoretic cherubim verse. The translation follows the Greek content.</w:t>
      </w:r>
    </w:p>
  </w:footnote>
  <w:footnote w:id="1988">
    <w:p>
      <w:pPr>
        <w:pStyle w:val="FootnoteText"/>
      </w:pPr>
      <w:r>
        <w:rPr>
          <w:rStyle w:val="FootnoteReference"/>
        </w:rPr>
        <w:footnoteRef/>
      </w:r>
      <w:r>
        <w:t xml:space="preserve"> MT/LXX note: The Septuagint verse here continues court-hanging material rather than the Masoretic table-overlay verse. The translation follows the Greek line.</w:t>
      </w:r>
    </w:p>
  </w:footnote>
  <w:footnote w:id="1989">
    <w:p>
      <w:pPr>
        <w:pStyle w:val="FootnoteText"/>
      </w:pPr>
      <w:r>
        <w:rPr>
          <w:rStyle w:val="FootnoteReference"/>
        </w:rPr>
        <w:footnoteRef/>
      </w:r>
      <w:r>
        <w:t xml:space="preserve"> MT/LXX note: This Septuagint verse maps to tabernacle hanging material rather than the Masoretic table border line. The translation follows the Greek placement.</w:t>
      </w:r>
    </w:p>
  </w:footnote>
  <w:footnote w:id="1990">
    <w:p>
      <w:pPr>
        <w:pStyle w:val="FootnoteText"/>
      </w:pPr>
      <w:r>
        <w:rPr>
          <w:rStyle w:val="FootnoteReference"/>
        </w:rPr>
        <w:footnoteRef/>
      </w:r>
      <w:r>
        <w:t xml:space="preserve"> MT/LXX note: The Septuagint verse here continues court-hanging material rather than the Masoretic table-ring verse. The translation follows the Greek line.</w:t>
      </w:r>
    </w:p>
  </w:footnote>
  <w:footnote w:id="1991">
    <w:p>
      <w:pPr>
        <w:pStyle w:val="FootnoteText"/>
      </w:pPr>
      <w:r>
        <w:rPr>
          <w:rStyle w:val="FootnoteReference"/>
        </w:rPr>
        <w:footnoteRef/>
      </w:r>
      <w:r>
        <w:t xml:space="preserve"> MT/LXX note: The Septuagint places another court-pillar line here rather than the Masoretic table-staves verse. The translation follows the Greek content.</w:t>
      </w:r>
    </w:p>
  </w:footnote>
  <w:footnote w:id="1992">
    <w:p>
      <w:pPr>
        <w:pStyle w:val="FootnoteText"/>
      </w:pPr>
      <w:r>
        <w:rPr>
          <w:rStyle w:val="FootnoteReference"/>
        </w:rPr>
        <w:footnoteRef/>
      </w:r>
      <w:r>
        <w:t xml:space="preserve"> Translation note: Greek says embroidered work here. Current line keeps that craft wording.</w:t>
      </w:r>
    </w:p>
  </w:footnote>
  <w:footnote w:id="1993">
    <w:p>
      <w:pPr>
        <w:pStyle w:val="FootnoteText"/>
      </w:pPr>
      <w:r>
        <w:rPr>
          <w:rStyle w:val="FootnoteReference"/>
        </w:rPr>
        <w:footnoteRef/>
      </w:r>
      <w:r>
        <w:t xml:space="preserve"> MT/LXX note: The Septuagint places another court-pin line here rather than the Masoretic lampstand-branch verse. The translation follows the Greek content.</w:t>
      </w:r>
    </w:p>
  </w:footnote>
  <w:footnote w:id="1994">
    <w:p>
      <w:pPr>
        <w:pStyle w:val="FootnoteText"/>
      </w:pPr>
      <w:r>
        <w:rPr>
          <w:rStyle w:val="FootnoteReference"/>
        </w:rPr>
        <w:footnoteRef/>
      </w:r>
      <w:r>
        <w:t xml:space="preserve"> MT/LXX note: This LXX verse number carries the tabernacle-ordering line rather than the MT lampstand-bowls line.</w:t>
      </w:r>
    </w:p>
  </w:footnote>
  <w:footnote w:id="1995">
    <w:p>
      <w:pPr>
        <w:pStyle w:val="FootnoteText"/>
      </w:pPr>
      <w:r>
        <w:rPr>
          <w:rStyle w:val="FootnoteReference"/>
        </w:rPr>
        <w:footnoteRef/>
      </w:r>
      <w:r>
        <w:t xml:space="preserve"> Translation note: Greek says he was chief craftsman in woven works and embroidery.</w:t>
      </w:r>
    </w:p>
  </w:footnote>
  <w:footnote w:id="1996">
    <w:p>
      <w:pPr>
        <w:pStyle w:val="FootnoteText"/>
      </w:pPr>
      <w:r>
        <w:rPr>
          <w:rStyle w:val="FootnoteReference"/>
        </w:rPr>
        <w:footnoteRef/>
      </w:r>
      <w:r>
        <w:t xml:space="preserve"> Translation note: Greek line here exactly matches current wording.</w:t>
      </w:r>
    </w:p>
  </w:footnote>
  <w:footnote w:id="1997">
    <w:p>
      <w:pPr>
        <w:pStyle w:val="FootnoteText"/>
      </w:pPr>
      <w:r>
        <w:rPr>
          <w:rStyle w:val="FootnoteReference"/>
        </w:rPr>
        <w:footnoteRef/>
      </w:r>
      <w:r>
        <w:t xml:space="preserve"> MT/LXX note: The Septuagint places a gold-overlay line here rather than the Masoretic bronze-horns verse. The translation follows the Greek content.</w:t>
      </w:r>
    </w:p>
  </w:footnote>
  <w:footnote w:id="1998">
    <w:p>
      <w:pPr>
        <w:pStyle w:val="FootnoteText"/>
      </w:pPr>
      <w:r>
        <w:rPr>
          <w:rStyle w:val="FootnoteReference"/>
        </w:rPr>
        <w:footnoteRef/>
      </w:r>
      <w:r>
        <w:t xml:space="preserve"> MT/LXX note: The Septuagint verse here maps differently from the Masoretic stave-making line. The translation follows the Greek cherubim wording as written.</w:t>
      </w:r>
    </w:p>
  </w:footnote>
  <w:footnote w:id="1999">
    <w:p>
      <w:pPr>
        <w:pStyle w:val="FootnoteText"/>
      </w:pPr>
      <w:r>
        <w:rPr>
          <w:rStyle w:val="FootnoteReference"/>
        </w:rPr>
        <w:footnoteRef/>
      </w:r>
      <w:r>
        <w:t xml:space="preserve"> Translation note: Greek says branches here. Current line keeps that term.</w:t>
      </w:r>
    </w:p>
  </w:footnote>
  <w:footnote w:id="2000">
    <w:p>
      <w:pPr>
        <w:pStyle w:val="FootnoteText"/>
      </w:pPr>
      <w:r>
        <w:rPr>
          <w:rStyle w:val="FootnoteReference"/>
        </w:rPr>
        <w:footnoteRef/>
      </w:r>
      <w:r>
        <w:t xml:space="preserve"> MT/LXX note: This Septuagint verse belongs to lampstand ornamentation rather than the Masoretic court-hanging verse at this number. The translation follows the Greek content.</w:t>
      </w:r>
    </w:p>
  </w:footnote>
  <w:footnote w:id="2001">
    <w:p>
      <w:pPr>
        <w:pStyle w:val="FootnoteText"/>
      </w:pPr>
      <w:r>
        <w:rPr>
          <w:rStyle w:val="FootnoteReference"/>
        </w:rPr>
        <w:footnoteRef/>
      </w:r>
      <w:r>
        <w:t xml:space="preserve"> Translation note: Greek says sockets here. Current line keeps that wording.</w:t>
      </w:r>
    </w:p>
  </w:footnote>
  <w:footnote w:id="2002">
    <w:p>
      <w:pPr>
        <w:pStyle w:val="FootnoteText"/>
      </w:pPr>
      <w:r>
        <w:rPr>
          <w:rStyle w:val="FootnoteReference"/>
        </w:rPr>
        <w:footnoteRef/>
      </w:r>
      <w:r>
        <w:t xml:space="preserve"> Translation note: Greek says its snuffers gold and their trays gold.</w:t>
      </w:r>
    </w:p>
  </w:footnote>
  <w:footnote w:id="2003">
    <w:p>
      <w:pPr>
        <w:pStyle w:val="FootnoteText"/>
      </w:pPr>
      <w:r>
        <w:rPr>
          <w:rStyle w:val="FootnoteReference"/>
        </w:rPr>
        <w:footnoteRef/>
      </w:r>
      <w:r>
        <w:t xml:space="preserve"> MT/LXX note: This LXX verse number carries the furnishing line rather than the MT hanging-description line.</w:t>
      </w:r>
    </w:p>
  </w:footnote>
  <w:footnote w:id="2004">
    <w:p>
      <w:pPr>
        <w:pStyle w:val="FootnoteText"/>
      </w:pPr>
      <w:r>
        <w:rPr>
          <w:rStyle w:val="FootnoteReference"/>
        </w:rPr>
        <w:footnoteRef/>
      </w:r>
      <w:r>
        <w:t xml:space="preserve"> MT/LXX note: LXX here gives the peg notice instead of the MT inventory summary.</w:t>
      </w:r>
    </w:p>
  </w:footnote>
  <w:footnote w:id="2005">
    <w:p>
      <w:pPr>
        <w:pStyle w:val="FootnoteText"/>
      </w:pPr>
      <w:r>
        <w:rPr>
          <w:rStyle w:val="FootnoteReference"/>
        </w:rPr>
        <w:footnoteRef/>
      </w:r>
      <w:r>
        <w:t xml:space="preserve"> Personal name: Korah. Personal-name meaning: Korah — baldness; ice; frost. Source form: Korah.</w:t>
      </w:r>
    </w:p>
  </w:footnote>
  <w:footnote w:id="2006">
    <w:p>
      <w:pPr>
        <w:pStyle w:val="FootnoteText"/>
      </w:pPr>
      <w:r>
        <w:rPr>
          <w:rStyle w:val="FootnoteReference"/>
        </w:rPr>
        <w:footnoteRef/>
      </w:r>
      <w:r>
        <w:t xml:space="preserve"> MT/LXX note: The Septuagint places the Korah-firepan altar line here rather than the Masoretic Bezaleel note. The translation follows the Greek content.</w:t>
      </w:r>
    </w:p>
  </w:footnote>
  <w:footnote w:id="2007">
    <w:p>
      <w:pPr>
        <w:pStyle w:val="FootnoteText"/>
      </w:pPr>
      <w:r>
        <w:rPr>
          <w:rStyle w:val="FootnoteReference"/>
        </w:rPr>
        <w:footnoteRef/>
      </w:r>
      <w:r>
        <w:t xml:space="preserve"> MT/LXX note: This LXX verse number carries the altar-network construction line rather than the MT gold totals line.</w:t>
      </w:r>
    </w:p>
  </w:footnote>
  <w:footnote w:id="2008">
    <w:p>
      <w:pPr>
        <w:pStyle w:val="FootnoteText"/>
      </w:pPr>
      <w:r>
        <w:rPr>
          <w:rStyle w:val="FootnoteReference"/>
        </w:rPr>
        <w:footnoteRef/>
      </w:r>
      <w:r>
        <w:t xml:space="preserve"> MT/LXX note: This Septuagint verse contains the perfumer line rather than the Masoretic census-silver verse. The translation follows the Greek content at this verse number.</w:t>
      </w:r>
    </w:p>
  </w:footnote>
  <w:footnote w:id="2009">
    <w:p>
      <w:pPr>
        <w:pStyle w:val="FootnoteText"/>
      </w:pPr>
      <w:r>
        <w:rPr>
          <w:rStyle w:val="FootnoteReference"/>
        </w:rPr>
        <w:footnoteRef/>
      </w:r>
      <w:r>
        <w:t xml:space="preserve"> Translation note: Greek says mirrors of the women who fasted.</w:t>
      </w:r>
    </w:p>
  </w:footnote>
  <w:footnote w:id="2010">
    <w:p>
      <w:pPr>
        <w:pStyle w:val="FootnoteText"/>
      </w:pPr>
      <w:r>
        <w:rPr>
          <w:rStyle w:val="FootnoteReference"/>
        </w:rPr>
        <w:footnoteRef/>
      </w:r>
      <w:r>
        <w:t xml:space="preserve"> Cross-references for "the holy": Exod 28:2-4; Exod 31:10.</w:t>
      </w:r>
    </w:p>
  </w:footnote>
  <w:footnote w:id="2011">
    <w:p>
      <w:pPr>
        <w:pStyle w:val="FootnoteText"/>
      </w:pPr>
      <w:r>
        <w:rPr>
          <w:rStyle w:val="FootnoteReference"/>
        </w:rPr>
        <w:footnoteRef/>
      </w:r>
      <w:r>
        <w:t xml:space="preserve"> Translation note: Greek says drachma and visitation here. Current line keeps that wording.</w:t>
      </w:r>
    </w:p>
  </w:footnote>
  <w:footnote w:id="2012">
    <w:p>
      <w:pPr>
        <w:pStyle w:val="FootnoteText"/>
      </w:pPr>
      <w:r>
        <w:rPr>
          <w:rStyle w:val="FootnoteReference"/>
        </w:rPr>
        <w:footnoteRef/>
      </w:r>
      <w:r>
        <w:t xml:space="preserve"> MT/LXX note: The Septuagint places silver-accounting material here rather than the Masoretic ephod-shoulder verse. The translation follows the Greek content.</w:t>
      </w:r>
    </w:p>
  </w:footnote>
  <w:footnote w:id="2013">
    <w:p>
      <w:pPr>
        <w:pStyle w:val="FootnoteText"/>
      </w:pPr>
      <w:r>
        <w:rPr>
          <w:rStyle w:val="FootnoteReference"/>
        </w:rPr>
        <w:footnoteRef/>
      </w:r>
      <w:r>
        <w:t xml:space="preserve"> MT/LXX note: This Septuagint verse maps to tabernacle metalwork rather than the Masoretic ephod-band verse. The translation follows the Greek content.</w:t>
      </w:r>
    </w:p>
  </w:footnote>
  <w:footnote w:id="2014">
    <w:p>
      <w:pPr>
        <w:pStyle w:val="FootnoteText"/>
      </w:pPr>
      <w:r>
        <w:rPr>
          <w:rStyle w:val="FootnoteReference"/>
        </w:rPr>
        <w:footnoteRef/>
      </w:r>
      <w:r>
        <w:t xml:space="preserve"> MT/LXX note: The Septuagint verse here gives bronze-accounting material rather than the Masoretic onyx-stone verse. The translation follows the Greek content.</w:t>
      </w:r>
    </w:p>
  </w:footnote>
  <w:footnote w:id="2015">
    <w:p>
      <w:pPr>
        <w:pStyle w:val="FootnoteText"/>
      </w:pPr>
      <w:r>
        <w:rPr>
          <w:rStyle w:val="FootnoteReference"/>
        </w:rPr>
        <w:footnoteRef/>
      </w:r>
      <w:r>
        <w:t xml:space="preserve"> MT/LXX note: The Septuagint places an obedience-summary line here rather than the Masoretic gemstone verse. The translation follows the Greek content.</w:t>
      </w:r>
    </w:p>
  </w:footnote>
  <w:footnote w:id="2016">
    <w:p>
      <w:pPr>
        <w:pStyle w:val="FootnoteText"/>
      </w:pPr>
      <w:r>
        <w:rPr>
          <w:rStyle w:val="FootnoteReference"/>
        </w:rPr>
        <w:footnoteRef/>
      </w:r>
      <w:r>
        <w:t xml:space="preserve"> MT/LXX note: The Septuagint verse here gives temple-service vessel language rather than the Masoretic gemstone-row verse. The translation follows the Greek line.</w:t>
      </w:r>
    </w:p>
  </w:footnote>
  <w:footnote w:id="2017">
    <w:p>
      <w:pPr>
        <w:pStyle w:val="FootnoteText"/>
      </w:pPr>
      <w:r>
        <w:rPr>
          <w:rStyle w:val="FootnoteReference"/>
        </w:rPr>
        <w:footnoteRef/>
      </w:r>
      <w:r>
        <w:t xml:space="preserve"> MT/LXX note: The Septuagint places another garment-material line here rather than the Masoretic gemstone row. The translation follows the Greek content.</w:t>
      </w:r>
    </w:p>
  </w:footnote>
  <w:footnote w:id="2018">
    <w:p>
      <w:pPr>
        <w:pStyle w:val="FootnoteText"/>
      </w:pPr>
      <w:r>
        <w:rPr>
          <w:rStyle w:val="FootnoteReference"/>
        </w:rPr>
        <w:footnoteRef/>
      </w:r>
      <w:r>
        <w:t xml:space="preserve"> MT/LXX note: The Septuagint places the presentation-to-Moses line here rather than the Masoretic gemstone row. The translation follows the Greek content.</w:t>
      </w:r>
    </w:p>
  </w:footnote>
  <w:footnote w:id="2019">
    <w:p>
      <w:pPr>
        <w:pStyle w:val="FootnoteText"/>
      </w:pPr>
      <w:r>
        <w:rPr>
          <w:rStyle w:val="FootnoteReference"/>
        </w:rPr>
        <w:footnoteRef/>
      </w:r>
      <w:r>
        <w:t xml:space="preserve"> MT/LXX note: This Septuagint verse maps to tabernacle-furnishing material rather than the Masoretic gemstone row. The translation follows the Greek content.</w:t>
      </w:r>
    </w:p>
  </w:footnote>
  <w:footnote w:id="2020">
    <w:p>
      <w:pPr>
        <w:pStyle w:val="FootnoteText"/>
      </w:pPr>
      <w:r>
        <w:rPr>
          <w:rStyle w:val="FootnoteReference"/>
        </w:rPr>
        <w:footnoteRef/>
      </w:r>
      <w:r>
        <w:t xml:space="preserve"> MT/LXX note: The Septuagint places another tabernacle-furnishing line here rather than the Masoretic breastplate-chain verse. The translation follows the Greek content.</w:t>
      </w:r>
    </w:p>
  </w:footnote>
  <w:footnote w:id="2021">
    <w:p>
      <w:pPr>
        <w:pStyle w:val="FootnoteText"/>
      </w:pPr>
      <w:r>
        <w:rPr>
          <w:rStyle w:val="FootnoteReference"/>
        </w:rPr>
        <w:footnoteRef/>
      </w:r>
      <w:r>
        <w:t xml:space="preserve"> Translation note: Greek says pegs and all the instruments for the works of the tent.</w:t>
      </w:r>
    </w:p>
  </w:footnote>
  <w:footnote w:id="2022">
    <w:p>
      <w:pPr>
        <w:pStyle w:val="FootnoteText"/>
      </w:pPr>
      <w:r>
        <w:rPr>
          <w:rStyle w:val="FootnoteReference"/>
        </w:rPr>
        <w:footnoteRef/>
      </w:r>
      <w:r>
        <w:t xml:space="preserve"> Cross-references for "the first month": Exod 12:1-2; Exod 13:4.</w:t>
      </w:r>
    </w:p>
  </w:footnote>
  <w:footnote w:id="2023">
    <w:p>
      <w:pPr>
        <w:pStyle w:val="FootnoteText"/>
      </w:pPr>
      <w:r>
        <w:rPr>
          <w:rStyle w:val="FootnoteReference"/>
        </w:rPr>
        <w:footnoteRef/>
      </w:r>
      <w:r>
        <w:t xml:space="preserve"> Cross-references for "the table": Exod 25:23-30; Exod 26:35-36.</w:t>
      </w:r>
    </w:p>
  </w:footnote>
  <w:footnote w:id="2024">
    <w:p>
      <w:pPr>
        <w:pStyle w:val="FootnoteText"/>
      </w:pPr>
      <w:r>
        <w:rPr>
          <w:rStyle w:val="FootnoteReference"/>
        </w:rPr>
        <w:footnoteRef/>
      </w:r>
      <w:r>
        <w:t xml:space="preserve"> Cross-references for "the anointing oil": Exod 30:23-33; Exod 37:29.</w:t>
      </w:r>
    </w:p>
  </w:footnote>
  <w:footnote w:id="2025">
    <w:p>
      <w:pPr>
        <w:pStyle w:val="FootnoteText"/>
      </w:pPr>
      <w:r>
        <w:rPr>
          <w:rStyle w:val="FootnoteReference"/>
        </w:rPr>
        <w:footnoteRef/>
      </w:r>
      <w:r>
        <w:t xml:space="preserve"> Cross-references for "sanctify": Exod 29:36-37; Lev 8:11.</w:t>
      </w:r>
    </w:p>
  </w:footnote>
  <w:footnote w:id="2026">
    <w:p>
      <w:pPr>
        <w:pStyle w:val="FootnoteText"/>
      </w:pPr>
      <w:r>
        <w:rPr>
          <w:rStyle w:val="FootnoteReference"/>
        </w:rPr>
        <w:footnoteRef/>
      </w:r>
      <w:r>
        <w:t xml:space="preserve"> Cross-references for "anoint him": Exod 28:41; Isa 61:1.</w:t>
      </w:r>
    </w:p>
  </w:footnote>
  <w:footnote w:id="2027">
    <w:p>
      <w:pPr>
        <w:pStyle w:val="FootnoteText"/>
      </w:pPr>
      <w:r>
        <w:rPr>
          <w:rStyle w:val="FootnoteReference"/>
        </w:rPr>
        <w:footnoteRef/>
      </w:r>
      <w:r>
        <w:t xml:space="preserve"> Translation note: Greek gives a direct vesting command. Current wording keeps it plain.</w:t>
      </w:r>
    </w:p>
  </w:footnote>
  <w:footnote w:id="2028">
    <w:p>
      <w:pPr>
        <w:pStyle w:val="FootnoteText"/>
      </w:pPr>
      <w:r>
        <w:rPr>
          <w:rStyle w:val="FootnoteReference"/>
        </w:rPr>
        <w:footnoteRef/>
      </w:r>
      <w:r>
        <w:t xml:space="preserve"> Translation note: Greek uses this phrase directly here. Current line keeps it.</w:t>
      </w:r>
    </w:p>
  </w:footnote>
  <w:footnote w:id="2029">
    <w:p>
      <w:pPr>
        <w:pStyle w:val="FootnoteText"/>
      </w:pPr>
      <w:r>
        <w:rPr>
          <w:rStyle w:val="FootnoteReference"/>
        </w:rPr>
        <w:footnoteRef/>
      </w:r>
      <w:r>
        <w:t xml:space="preserve"> Cross-references for "the first month": Exod 40:1-2; Num 7:1.</w:t>
      </w:r>
    </w:p>
  </w:footnote>
  <w:footnote w:id="2030">
    <w:p>
      <w:pPr>
        <w:pStyle w:val="FootnoteText"/>
      </w:pPr>
      <w:r>
        <w:rPr>
          <w:rStyle w:val="FootnoteReference"/>
        </w:rPr>
        <w:footnoteRef/>
      </w:r>
      <w:r>
        <w:t xml:space="preserve"> Cross-references for "the tent": Exod 26:1-14; Exod 36:8-19.</w:t>
      </w:r>
    </w:p>
  </w:footnote>
  <w:footnote w:id="2031">
    <w:p>
      <w:pPr>
        <w:pStyle w:val="FootnoteText"/>
      </w:pPr>
      <w:r>
        <w:rPr>
          <w:rStyle w:val="FootnoteReference"/>
        </w:rPr>
        <w:footnoteRef/>
      </w:r>
      <w:r>
        <w:t xml:space="preserve"> Cross-references for "he brought": Exod 26:33; Exod 35:12.</w:t>
      </w:r>
    </w:p>
  </w:footnote>
  <w:footnote w:id="2032">
    <w:p>
      <w:pPr>
        <w:pStyle w:val="FootnoteText"/>
      </w:pPr>
      <w:r>
        <w:rPr>
          <w:rStyle w:val="FootnoteReference"/>
        </w:rPr>
        <w:footnoteRef/>
      </w:r>
      <w:r>
        <w:t xml:space="preserve"> Cross-references for "the altar": Exod 27:1-8; Exod 38:1-7.</w:t>
      </w:r>
    </w:p>
  </w:footnote>
  <w:footnote w:id="2033">
    <w:p>
      <w:pPr>
        <w:pStyle w:val="FootnoteText"/>
      </w:pPr>
      <w:r>
        <w:rPr>
          <w:rStyle w:val="FootnoteReference"/>
        </w:rPr>
        <w:footnoteRef/>
      </w:r>
      <w:r>
        <w:t xml:space="preserve"> Cross-references for "up the court": Exod 27:9-16; Exod 40:8.</w:t>
      </w:r>
    </w:p>
  </w:footnote>
  <w:footnote w:id="2034">
    <w:p>
      <w:pPr>
        <w:pStyle w:val="FootnoteText"/>
      </w:pPr>
      <w:r>
        <w:rPr>
          <w:rStyle w:val="FootnoteReference"/>
        </w:rPr>
        <w:footnoteRef/>
      </w:r>
      <w:r>
        <w:t xml:space="preserve"> Cross-references for "the cloud": Exod 13:21; Num 9:15.</w:t>
      </w:r>
    </w:p>
  </w:footnote>
  <w:footnote w:id="2035">
    <w:p>
      <w:pPr>
        <w:pStyle w:val="FootnoteText"/>
      </w:pPr>
      <w:r>
        <w:rPr>
          <w:rStyle w:val="FootnoteReference"/>
        </w:rPr>
        <w:footnoteRef/>
      </w:r>
      <w:r>
        <w:t xml:space="preserve"> Cross-references for "called": Exod 19:3; Exod 24:1-2.</w:t>
      </w:r>
    </w:p>
  </w:footnote>
  <w:footnote w:id="2036">
    <w:p>
      <w:pPr>
        <w:pStyle w:val="FootnoteText"/>
      </w:pPr>
      <w:r>
        <w:rPr>
          <w:rStyle w:val="FootnoteReference"/>
        </w:rPr>
        <w:footnoteRef/>
      </w:r>
      <w:r>
        <w:t xml:space="preserve"> Translation note: Greek says tent of testimony here. Current wording preserves that tabernacle title.</w:t>
      </w:r>
    </w:p>
  </w:footnote>
  <w:footnote w:id="2037">
    <w:p>
      <w:pPr>
        <w:pStyle w:val="FootnoteText"/>
      </w:pPr>
      <w:r>
        <w:rPr>
          <w:rStyle w:val="FootnoteReference"/>
        </w:rPr>
        <w:footnoteRef/>
      </w:r>
      <w:r>
        <w:t xml:space="preserve"> Cross-references for "a male": Exod 12:5; Lev 3:1.</w:t>
      </w:r>
    </w:p>
  </w:footnote>
  <w:footnote w:id="2038">
    <w:p>
      <w:pPr>
        <w:pStyle w:val="FootnoteText"/>
      </w:pPr>
      <w:r>
        <w:rPr>
          <w:rStyle w:val="FootnoteReference"/>
        </w:rPr>
        <w:footnoteRef/>
      </w:r>
      <w:r>
        <w:t xml:space="preserve"> Translation note: Greek says offering here not specifically burnt offering.</w:t>
      </w:r>
    </w:p>
  </w:footnote>
  <w:footnote w:id="2039">
    <w:p>
      <w:pPr>
        <w:pStyle w:val="FootnoteText"/>
      </w:pPr>
      <w:r>
        <w:rPr>
          <w:rStyle w:val="FootnoteReference"/>
        </w:rPr>
        <w:footnoteRef/>
      </w:r>
      <w:r>
        <w:t xml:space="preserve"> Cross-references for "be accepted": Lev 22:21; Lev 22:27.</w:t>
      </w:r>
    </w:p>
  </w:footnote>
  <w:footnote w:id="2040">
    <w:p>
      <w:pPr>
        <w:pStyle w:val="FootnoteText"/>
      </w:pPr>
      <w:r>
        <w:rPr>
          <w:rStyle w:val="FootnoteReference"/>
        </w:rPr>
        <w:footnoteRef/>
      </w:r>
      <w:r>
        <w:t xml:space="preserve"> Cross-references for "the priests": Lev 1:11; Lev 1:15.</w:t>
      </w:r>
    </w:p>
  </w:footnote>
  <w:footnote w:id="2041">
    <w:p>
      <w:pPr>
        <w:pStyle w:val="FootnoteText"/>
      </w:pPr>
      <w:r>
        <w:rPr>
          <w:rStyle w:val="FootnoteReference"/>
        </w:rPr>
        <w:footnoteRef/>
      </w:r>
      <w:r>
        <w:t xml:space="preserve"> Translation note: Greek says pour the blood here and tent of testimony.</w:t>
      </w:r>
    </w:p>
  </w:footnote>
  <w:footnote w:id="2042">
    <w:p>
      <w:pPr>
        <w:pStyle w:val="FootnoteText"/>
      </w:pPr>
      <w:r>
        <w:rPr>
          <w:rStyle w:val="FootnoteReference"/>
        </w:rPr>
        <w:footnoteRef/>
      </w:r>
      <w:r>
        <w:t xml:space="preserve"> Cross-references for "fire": Lev 6:12-13; Lev 9:24.</w:t>
      </w:r>
    </w:p>
  </w:footnote>
  <w:footnote w:id="2043">
    <w:p>
      <w:pPr>
        <w:pStyle w:val="FootnoteText"/>
      </w:pPr>
      <w:r>
        <w:rPr>
          <w:rStyle w:val="FootnoteReference"/>
        </w:rPr>
        <w:footnoteRef/>
      </w:r>
      <w:r>
        <w:t xml:space="preserve"> Cross-references for "a male": Lev 1:3; Lev 4:23.</w:t>
      </w:r>
    </w:p>
  </w:footnote>
  <w:footnote w:id="2044">
    <w:p>
      <w:pPr>
        <w:pStyle w:val="FootnoteText"/>
      </w:pPr>
      <w:r>
        <w:rPr>
          <w:rStyle w:val="FootnoteReference"/>
        </w:rPr>
        <w:footnoteRef/>
      </w:r>
      <w:r>
        <w:t xml:space="preserve"> Translation note: Greek says split it open by the wings and not divide it.</w:t>
      </w:r>
    </w:p>
  </w:footnote>
  <w:footnote w:id="2045">
    <w:p>
      <w:pPr>
        <w:pStyle w:val="FootnoteText"/>
      </w:pPr>
      <w:r>
        <w:rPr>
          <w:rStyle w:val="FootnoteReference"/>
        </w:rPr>
        <w:footnoteRef/>
      </w:r>
      <w:r>
        <w:t xml:space="preserve"> Cross-references for "shall not": Gen 15:10; Ps 16:10.</w:t>
      </w:r>
    </w:p>
  </w:footnote>
  <w:footnote w:id="2046">
    <w:p>
      <w:pPr>
        <w:pStyle w:val="FootnoteText"/>
      </w:pPr>
      <w:r>
        <w:rPr>
          <w:rStyle w:val="FootnoteReference"/>
        </w:rPr>
        <w:footnoteRef/>
      </w:r>
      <w:r>
        <w:t xml:space="preserve"> Cross-references for "fine flour": Exod 29:2; Num 7:13.</w:t>
      </w:r>
    </w:p>
  </w:footnote>
  <w:footnote w:id="2047">
    <w:p>
      <w:pPr>
        <w:pStyle w:val="FootnoteText"/>
      </w:pPr>
      <w:r>
        <w:rPr>
          <w:rStyle w:val="FootnoteReference"/>
        </w:rPr>
        <w:footnoteRef/>
      </w:r>
      <w:r>
        <w:t xml:space="preserve"> Translation note: Greek says full handful and memorial portion here. Current line keeps that phrasing.</w:t>
      </w:r>
    </w:p>
  </w:footnote>
  <w:footnote w:id="2048">
    <w:p>
      <w:pPr>
        <w:pStyle w:val="FootnoteText"/>
      </w:pPr>
      <w:r>
        <w:rPr>
          <w:rStyle w:val="FootnoteReference"/>
        </w:rPr>
        <w:footnoteRef/>
      </w:r>
      <w:r>
        <w:t xml:space="preserve"> Cross-references for "wafers": Exod 16:31; Exod 29:2.</w:t>
      </w:r>
    </w:p>
  </w:footnote>
  <w:footnote w:id="2049">
    <w:p>
      <w:pPr>
        <w:pStyle w:val="FootnoteText"/>
      </w:pPr>
      <w:r>
        <w:rPr>
          <w:rStyle w:val="FootnoteReference"/>
        </w:rPr>
        <w:footnoteRef/>
      </w:r>
      <w:r>
        <w:t xml:space="preserve"> Cross-references for "an offering": Exod 29:18; Lev 2:2.</w:t>
      </w:r>
    </w:p>
  </w:footnote>
  <w:footnote w:id="2050">
    <w:p>
      <w:pPr>
        <w:pStyle w:val="FootnoteText"/>
      </w:pPr>
      <w:r>
        <w:rPr>
          <w:rStyle w:val="FootnoteReference"/>
        </w:rPr>
        <w:footnoteRef/>
      </w:r>
      <w:r>
        <w:t xml:space="preserve"> Cross-references for "no leaven": Exod 12:19-20; Lev 6:17.</w:t>
      </w:r>
    </w:p>
  </w:footnote>
  <w:footnote w:id="2051">
    <w:p>
      <w:pPr>
        <w:pStyle w:val="FootnoteText"/>
      </w:pPr>
      <w:r>
        <w:rPr>
          <w:rStyle w:val="FootnoteReference"/>
        </w:rPr>
        <w:footnoteRef/>
      </w:r>
      <w:r>
        <w:t xml:space="preserve"> Cross-references for "with salt": Ezra 7:22; Ezek 43:24.</w:t>
      </w:r>
    </w:p>
  </w:footnote>
  <w:footnote w:id="2052">
    <w:p>
      <w:pPr>
        <w:pStyle w:val="FootnoteText"/>
      </w:pPr>
      <w:r>
        <w:rPr>
          <w:rStyle w:val="FootnoteReference"/>
        </w:rPr>
        <w:footnoteRef/>
      </w:r>
      <w:r>
        <w:t xml:space="preserve"> Translation note: Salt here is tied directly to covenant language in Greek. This draft keeps that link explicit rather than treating salt as a mere seasoning rule.</w:t>
      </w:r>
    </w:p>
  </w:footnote>
  <w:footnote w:id="2053">
    <w:p>
      <w:pPr>
        <w:pStyle w:val="FootnoteText"/>
      </w:pPr>
      <w:r>
        <w:rPr>
          <w:rStyle w:val="FootnoteReference"/>
        </w:rPr>
        <w:footnoteRef/>
      </w:r>
      <w:r>
        <w:t xml:space="preserve"> Translation note: Greek uses salvation-related term here. This draft keeps that wording visible rather than replacing it with standard cultic label. NETS keeps salvation-side wording while LES, LES2, and SAAS smooth toward peace-offering language.</w:t>
      </w:r>
    </w:p>
  </w:footnote>
  <w:footnote w:id="2054">
    <w:p>
      <w:pPr>
        <w:pStyle w:val="FootnoteText"/>
      </w:pPr>
      <w:r>
        <w:rPr>
          <w:rStyle w:val="FootnoteReference"/>
        </w:rPr>
        <w:footnoteRef/>
      </w:r>
      <w:r>
        <w:t xml:space="preserve"> Cross-references for "a sacrifice": Exod 20:24; Exod 24:5.</w:t>
      </w:r>
    </w:p>
  </w:footnote>
  <w:footnote w:id="2055">
    <w:p>
      <w:pPr>
        <w:pStyle w:val="FootnoteText"/>
      </w:pPr>
      <w:r>
        <w:rPr>
          <w:rStyle w:val="FootnoteReference"/>
        </w:rPr>
        <w:footnoteRef/>
      </w:r>
      <w:r>
        <w:t xml:space="preserve"> Cross-references for "the fat": Exod 29:13; Exod 29:22.</w:t>
      </w:r>
    </w:p>
  </w:footnote>
  <w:footnote w:id="2056">
    <w:p>
      <w:pPr>
        <w:pStyle w:val="FootnoteText"/>
      </w:pPr>
      <w:r>
        <w:rPr>
          <w:rStyle w:val="FootnoteReference"/>
        </w:rPr>
        <w:footnoteRef/>
      </w:r>
      <w:r>
        <w:t xml:space="preserve"> Cross-references for "a sacrifice": Gal 4:4; Eph 1:10.</w:t>
      </w:r>
    </w:p>
  </w:footnote>
  <w:footnote w:id="2057">
    <w:p>
      <w:pPr>
        <w:pStyle w:val="FootnoteText"/>
      </w:pPr>
      <w:r>
        <w:rPr>
          <w:rStyle w:val="FootnoteReference"/>
        </w:rPr>
        <w:footnoteRef/>
      </w:r>
      <w:r>
        <w:t xml:space="preserve"> Cross-references for "he shall": Lev 3:2-5; Lev 3:13.</w:t>
      </w:r>
    </w:p>
  </w:footnote>
  <w:footnote w:id="2058">
    <w:p>
      <w:pPr>
        <w:pStyle w:val="FootnoteText"/>
      </w:pPr>
      <w:r>
        <w:rPr>
          <w:rStyle w:val="FootnoteReference"/>
        </w:rPr>
        <w:footnoteRef/>
      </w:r>
      <w:r>
        <w:t xml:space="preserve"> Cross-references for "the fat": Lev 3:3-4; Prov 23:26.</w:t>
      </w:r>
    </w:p>
  </w:footnote>
  <w:footnote w:id="2059">
    <w:p>
      <w:pPr>
        <w:pStyle w:val="FootnoteText"/>
      </w:pPr>
      <w:r>
        <w:rPr>
          <w:rStyle w:val="FootnoteReference"/>
        </w:rPr>
        <w:footnoteRef/>
      </w:r>
      <w:r>
        <w:t xml:space="preserve"> Translation note: Greek says unblemished hind-part with the lower back.</w:t>
      </w:r>
    </w:p>
  </w:footnote>
  <w:footnote w:id="2060">
    <w:p>
      <w:pPr>
        <w:pStyle w:val="FootnoteText"/>
      </w:pPr>
      <w:r>
        <w:rPr>
          <w:rStyle w:val="FootnoteReference"/>
        </w:rPr>
        <w:footnoteRef/>
      </w:r>
      <w:r>
        <w:t xml:space="preserve"> Cross-references for "All the fat": Exod 29:13; Exod 29:22.</w:t>
      </w:r>
    </w:p>
  </w:footnote>
  <w:footnote w:id="2061">
    <w:p>
      <w:pPr>
        <w:pStyle w:val="FootnoteText"/>
      </w:pPr>
      <w:r>
        <w:rPr>
          <w:rStyle w:val="FootnoteReference"/>
        </w:rPr>
        <w:footnoteRef/>
      </w:r>
      <w:r>
        <w:t xml:space="preserve"> Cross-references for "blood": Gen 9:4; Lev 7:23.</w:t>
      </w:r>
    </w:p>
  </w:footnote>
  <w:footnote w:id="2062">
    <w:p>
      <w:pPr>
        <w:pStyle w:val="FootnoteText"/>
      </w:pPr>
      <w:r>
        <w:rPr>
          <w:rStyle w:val="FootnoteReference"/>
        </w:rPr>
        <w:footnoteRef/>
      </w:r>
      <w:r>
        <w:t xml:space="preserve"> Translation note: Greek says unintentionally here. Current line keeps that wording.</w:t>
      </w:r>
    </w:p>
  </w:footnote>
  <w:footnote w:id="2063">
    <w:p>
      <w:pPr>
        <w:pStyle w:val="FootnoteText"/>
      </w:pPr>
      <w:r>
        <w:rPr>
          <w:rStyle w:val="FootnoteReference"/>
        </w:rPr>
        <w:footnoteRef/>
      </w:r>
      <w:r>
        <w:t xml:space="preserve"> Translation note: Greek makes the priestly sin causative for the people. This draft keeps both the high-priest title and that communal effect visible.</w:t>
      </w:r>
    </w:p>
  </w:footnote>
  <w:footnote w:id="2064">
    <w:p>
      <w:pPr>
        <w:pStyle w:val="FootnoteText"/>
      </w:pPr>
      <w:r>
        <w:rPr>
          <w:rStyle w:val="FootnoteReference"/>
        </w:rPr>
        <w:footnoteRef/>
      </w:r>
      <w:r>
        <w:t xml:space="preserve"> Cross-references for "bring": Exod 29:10-11; Lev 1:3.</w:t>
      </w:r>
    </w:p>
  </w:footnote>
  <w:footnote w:id="2065">
    <w:p>
      <w:pPr>
        <w:pStyle w:val="FootnoteText"/>
      </w:pPr>
      <w:r>
        <w:rPr>
          <w:rStyle w:val="FootnoteReference"/>
        </w:rPr>
        <w:footnoteRef/>
      </w:r>
      <w:r>
        <w:t xml:space="preserve"> Cross-references for "seven times": Lev 14:16; Lev 14:18.</w:t>
      </w:r>
    </w:p>
  </w:footnote>
  <w:footnote w:id="2066">
    <w:p>
      <w:pPr>
        <w:pStyle w:val="FootnoteText"/>
      </w:pPr>
      <w:r>
        <w:rPr>
          <w:rStyle w:val="FootnoteReference"/>
        </w:rPr>
        <w:footnoteRef/>
      </w:r>
      <w:r>
        <w:t xml:space="preserve"> Cross-references for "the horns": Exod 30:1-10; Lev 8:15.</w:t>
      </w:r>
    </w:p>
  </w:footnote>
  <w:footnote w:id="2067">
    <w:p>
      <w:pPr>
        <w:pStyle w:val="FootnoteText"/>
      </w:pPr>
      <w:r>
        <w:rPr>
          <w:rStyle w:val="FootnoteReference"/>
        </w:rPr>
        <w:footnoteRef/>
      </w:r>
      <w:r>
        <w:t xml:space="preserve"> Translation note: Greek says blended incense here.</w:t>
      </w:r>
    </w:p>
  </w:footnote>
  <w:footnote w:id="2068">
    <w:p>
      <w:pPr>
        <w:pStyle w:val="FootnoteText"/>
      </w:pPr>
      <w:r>
        <w:rPr>
          <w:rStyle w:val="FootnoteReference"/>
        </w:rPr>
        <w:footnoteRef/>
      </w:r>
      <w:r>
        <w:t xml:space="preserve"> Translation note: Greek begins the offering procedure with that inventory line. Current wording preserves it.</w:t>
      </w:r>
    </w:p>
  </w:footnote>
  <w:footnote w:id="2069">
    <w:p>
      <w:pPr>
        <w:pStyle w:val="FootnoteText"/>
      </w:pPr>
      <w:r>
        <w:rPr>
          <w:rStyle w:val="FootnoteReference"/>
        </w:rPr>
        <w:footnoteRef/>
      </w:r>
      <w:r>
        <w:t xml:space="preserve"> Cross-references for "the ashes": Lev 6:10-11.</w:t>
      </w:r>
    </w:p>
  </w:footnote>
  <w:footnote w:id="2070">
    <w:p>
      <w:pPr>
        <w:pStyle w:val="FootnoteText"/>
      </w:pPr>
      <w:r>
        <w:rPr>
          <w:rStyle w:val="FootnoteReference"/>
        </w:rPr>
        <w:footnoteRef/>
      </w:r>
      <w:r>
        <w:t xml:space="preserve"> Translation note: Greek says matter escapes eyes of assembly.</w:t>
      </w:r>
    </w:p>
  </w:footnote>
  <w:footnote w:id="2071">
    <w:p>
      <w:pPr>
        <w:pStyle w:val="FootnoteText"/>
      </w:pPr>
      <w:r>
        <w:rPr>
          <w:rStyle w:val="FootnoteReference"/>
        </w:rPr>
        <w:footnoteRef/>
      </w:r>
      <w:r>
        <w:t xml:space="preserve"> Cross-references for "the elders": Exod 24:1; Exod 24:9.</w:t>
      </w:r>
    </w:p>
  </w:footnote>
  <w:footnote w:id="2072">
    <w:p>
      <w:pPr>
        <w:pStyle w:val="FootnoteText"/>
      </w:pPr>
      <w:r>
        <w:rPr>
          <w:rStyle w:val="FootnoteReference"/>
        </w:rPr>
        <w:footnoteRef/>
      </w:r>
      <w:r>
        <w:t xml:space="preserve"> Translation note: Greek says altar of the incense of composition or blended incense.</w:t>
      </w:r>
    </w:p>
  </w:footnote>
  <w:footnote w:id="2073">
    <w:p>
      <w:pPr>
        <w:pStyle w:val="FootnoteText"/>
      </w:pPr>
      <w:r>
        <w:rPr>
          <w:rStyle w:val="FootnoteReference"/>
        </w:rPr>
        <w:footnoteRef/>
      </w:r>
      <w:r>
        <w:t xml:space="preserve"> Cross-references for "in the place": Exod 29:38; Lev 1:5.</w:t>
      </w:r>
    </w:p>
  </w:footnote>
  <w:footnote w:id="2074">
    <w:p>
      <w:pPr>
        <w:pStyle w:val="FootnoteText"/>
      </w:pPr>
      <w:r>
        <w:rPr>
          <w:rStyle w:val="FootnoteReference"/>
        </w:rPr>
        <w:footnoteRef/>
      </w:r>
      <w:r>
        <w:t xml:space="preserve"> Translation note: Greek says altar of whole burnt offerings.</w:t>
      </w:r>
    </w:p>
  </w:footnote>
  <w:footnote w:id="2075">
    <w:p>
      <w:pPr>
        <w:pStyle w:val="FootnoteText"/>
      </w:pPr>
      <w:r>
        <w:rPr>
          <w:rStyle w:val="FootnoteReference"/>
        </w:rPr>
        <w:footnoteRef/>
      </w:r>
      <w:r>
        <w:t xml:space="preserve"> Cross-references for "the fat": Lev 3:5; Lev 4:8-10.</w:t>
      </w:r>
    </w:p>
  </w:footnote>
  <w:footnote w:id="2076">
    <w:p>
      <w:pPr>
        <w:pStyle w:val="FootnoteText"/>
      </w:pPr>
      <w:r>
        <w:rPr>
          <w:rStyle w:val="FootnoteReference"/>
        </w:rPr>
        <w:footnoteRef/>
      </w:r>
      <w:r>
        <w:t xml:space="preserve"> Cross-references for "a female": Lev 4:23; Gal 3:28.</w:t>
      </w:r>
    </w:p>
  </w:footnote>
  <w:footnote w:id="2077">
    <w:p>
      <w:pPr>
        <w:pStyle w:val="FootnoteText"/>
      </w:pPr>
      <w:r>
        <w:rPr>
          <w:rStyle w:val="FootnoteReference"/>
        </w:rPr>
        <w:footnoteRef/>
      </w:r>
      <w:r>
        <w:t xml:space="preserve"> Cross-references for "all the fat": Lev 3:3-5; Lev 3:9-11.</w:t>
      </w:r>
    </w:p>
  </w:footnote>
  <w:footnote w:id="2078">
    <w:p>
      <w:pPr>
        <w:pStyle w:val="FootnoteText"/>
      </w:pPr>
      <w:r>
        <w:rPr>
          <w:rStyle w:val="FootnoteReference"/>
        </w:rPr>
        <w:footnoteRef/>
      </w:r>
      <w:r>
        <w:t xml:space="preserve"> Translation note: Greek again uses the salvation-shaped sacrificial term here. English LXX witnesses support keeping that wording rather than harmonizing it to the familiar peace-offering tradition.</w:t>
      </w:r>
    </w:p>
  </w:footnote>
  <w:footnote w:id="2079">
    <w:p>
      <w:pPr>
        <w:pStyle w:val="FootnoteText"/>
      </w:pPr>
      <w:r>
        <w:rPr>
          <w:rStyle w:val="FootnoteReference"/>
        </w:rPr>
        <w:footnoteRef/>
      </w:r>
      <w:r>
        <w:t xml:space="preserve"> Translation note: Greek uses the same soterion family found in nearby sacrificial passages. The rendering keeps that wording instead of replacing it with the conventional peace offering formula.</w:t>
      </w:r>
    </w:p>
  </w:footnote>
  <w:footnote w:id="2080">
    <w:p>
      <w:pPr>
        <w:pStyle w:val="FootnoteText"/>
      </w:pPr>
      <w:r>
        <w:rPr>
          <w:rStyle w:val="FootnoteReference"/>
        </w:rPr>
        <w:footnoteRef/>
      </w:r>
      <w:r>
        <w:t xml:space="preserve"> Translation note: Greek states the offering requirement in compact form. Current wording preserves it.</w:t>
      </w:r>
    </w:p>
  </w:footnote>
  <w:footnote w:id="2081">
    <w:p>
      <w:pPr>
        <w:pStyle w:val="FootnoteText"/>
      </w:pPr>
      <w:r>
        <w:rPr>
          <w:rStyle w:val="FootnoteReference"/>
        </w:rPr>
        <w:footnoteRef/>
      </w:r>
      <w:r>
        <w:t xml:space="preserve"> Cross-references for "without blemish": Lev 4:28; Eph 5:27.</w:t>
      </w:r>
    </w:p>
  </w:footnote>
  <w:footnote w:id="2082">
    <w:p>
      <w:pPr>
        <w:pStyle w:val="FootnoteText"/>
      </w:pPr>
      <w:r>
        <w:rPr>
          <w:rStyle w:val="FootnoteReference"/>
        </w:rPr>
        <w:footnoteRef/>
      </w:r>
      <w:r>
        <w:t xml:space="preserve"> Cross-references for "the horns of the altar": Lev 4:25; Lev 4:30.</w:t>
      </w:r>
    </w:p>
  </w:footnote>
  <w:footnote w:id="2083">
    <w:p>
      <w:pPr>
        <w:pStyle w:val="FootnoteText"/>
      </w:pPr>
      <w:r>
        <w:rPr>
          <w:rStyle w:val="FootnoteReference"/>
        </w:rPr>
        <w:footnoteRef/>
      </w:r>
      <w:r>
        <w:t xml:space="preserve"> Translation note: The Greek keeps the ritual placement line direct. The current wording preserves it.</w:t>
      </w:r>
    </w:p>
  </w:footnote>
  <w:footnote w:id="2084">
    <w:p>
      <w:pPr>
        <w:pStyle w:val="FootnoteText"/>
      </w:pPr>
      <w:r>
        <w:rPr>
          <w:rStyle w:val="FootnoteReference"/>
        </w:rPr>
        <w:footnoteRef/>
      </w:r>
      <w:r>
        <w:t xml:space="preserve"> Cross-references for "And the priest shall make": Lev 1:4; Lev 4:20.</w:t>
      </w:r>
    </w:p>
  </w:footnote>
  <w:footnote w:id="2085">
    <w:p>
      <w:pPr>
        <w:pStyle w:val="FootnoteText"/>
      </w:pPr>
      <w:r>
        <w:rPr>
          <w:rStyle w:val="FootnoteReference"/>
        </w:rPr>
        <w:footnoteRef/>
      </w:r>
      <w:r>
        <w:t xml:space="preserve"> Cross-references for "bear": Lev 5:17; Lev 7:18.</w:t>
      </w:r>
    </w:p>
  </w:footnote>
  <w:footnote w:id="2086">
    <w:p>
      <w:pPr>
        <w:pStyle w:val="FootnoteText"/>
      </w:pPr>
      <w:r>
        <w:rPr>
          <w:rStyle w:val="FootnoteReference"/>
        </w:rPr>
        <w:footnoteRef/>
      </w:r>
      <w:r>
        <w:t xml:space="preserve"> Translation note: Greek distinguishes this from the other unclean carcasses.</w:t>
      </w:r>
    </w:p>
  </w:footnote>
  <w:footnote w:id="2087">
    <w:p>
      <w:pPr>
        <w:pStyle w:val="FootnoteText"/>
      </w:pPr>
      <w:r>
        <w:rPr>
          <w:rStyle w:val="FootnoteReference"/>
        </w:rPr>
        <w:footnoteRef/>
      </w:r>
      <w:r>
        <w:t xml:space="preserve"> Translation note: Greek says rashly speaking with the lips to do evil or good.</w:t>
      </w:r>
    </w:p>
  </w:footnote>
  <w:footnote w:id="2088">
    <w:p>
      <w:pPr>
        <w:pStyle w:val="FootnoteText"/>
      </w:pPr>
      <w:r>
        <w:rPr>
          <w:rStyle w:val="FootnoteReference"/>
        </w:rPr>
        <w:footnoteRef/>
      </w:r>
      <w:r>
        <w:t xml:space="preserve"> Cross-references for "to do evil": Lev 27:2-34; Josh 2:14.</w:t>
      </w:r>
    </w:p>
  </w:footnote>
  <w:footnote w:id="2089">
    <w:p>
      <w:pPr>
        <w:pStyle w:val="FootnoteText"/>
      </w:pPr>
      <w:r>
        <w:rPr>
          <w:rStyle w:val="FootnoteReference"/>
        </w:rPr>
        <w:footnoteRef/>
      </w:r>
      <w:r>
        <w:t xml:space="preserve"> Cross-references for "confess": Lev 16:21; Lev 26:40.</w:t>
      </w:r>
    </w:p>
  </w:footnote>
  <w:footnote w:id="2090">
    <w:p>
      <w:pPr>
        <w:pStyle w:val="FootnoteText"/>
      </w:pPr>
      <w:r>
        <w:rPr>
          <w:rStyle w:val="FootnoteReference"/>
        </w:rPr>
        <w:footnoteRef/>
      </w:r>
      <w:r>
        <w:t xml:space="preserve"> Translation note: Greek says became guilty in here. Current line keeps that form.</w:t>
      </w:r>
    </w:p>
  </w:footnote>
  <w:footnote w:id="2091">
    <w:p>
      <w:pPr>
        <w:pStyle w:val="FootnoteText"/>
      </w:pPr>
      <w:r>
        <w:rPr>
          <w:rStyle w:val="FootnoteReference"/>
        </w:rPr>
        <w:footnoteRef/>
      </w:r>
      <w:r>
        <w:t xml:space="preserve"> Cross-references for "a female": Lev 4:28; Lev 4:32.</w:t>
      </w:r>
    </w:p>
  </w:footnote>
  <w:footnote w:id="2092">
    <w:p>
      <w:pPr>
        <w:pStyle w:val="FootnoteText"/>
      </w:pPr>
      <w:r>
        <w:rPr>
          <w:rStyle w:val="FootnoteReference"/>
        </w:rPr>
        <w:footnoteRef/>
      </w:r>
      <w:r>
        <w:t xml:space="preserve"> Translation note: Greek says hand is not strong enough here. Current line keeps that wording.</w:t>
      </w:r>
    </w:p>
  </w:footnote>
  <w:footnote w:id="2093">
    <w:p>
      <w:pPr>
        <w:pStyle w:val="FootnoteText"/>
      </w:pPr>
      <w:r>
        <w:rPr>
          <w:rStyle w:val="FootnoteReference"/>
        </w:rPr>
        <w:footnoteRef/>
      </w:r>
      <w:r>
        <w:t xml:space="preserve"> Cross-references for "two turtledoves": Lev 1:14-15; Matt 3:16.</w:t>
      </w:r>
    </w:p>
  </w:footnote>
  <w:footnote w:id="2094">
    <w:p>
      <w:pPr>
        <w:pStyle w:val="FootnoteText"/>
      </w:pPr>
      <w:r>
        <w:rPr>
          <w:rStyle w:val="FootnoteReference"/>
        </w:rPr>
        <w:footnoteRef/>
      </w:r>
      <w:r>
        <w:t xml:space="preserve"> Cross-references for "sprinkle": Exod 12:22-23; Lev 1:5.</w:t>
      </w:r>
    </w:p>
  </w:footnote>
  <w:footnote w:id="2095">
    <w:p>
      <w:pPr>
        <w:pStyle w:val="FootnoteText"/>
      </w:pPr>
      <w:r>
        <w:rPr>
          <w:rStyle w:val="FootnoteReference"/>
        </w:rPr>
        <w:footnoteRef/>
      </w:r>
      <w:r>
        <w:t xml:space="preserve"> Cross-references for "make": Lev 4:20; Lev 4:26.</w:t>
      </w:r>
    </w:p>
  </w:footnote>
  <w:footnote w:id="2096">
    <w:p>
      <w:pPr>
        <w:pStyle w:val="FootnoteText"/>
      </w:pPr>
      <w:r>
        <w:rPr>
          <w:rStyle w:val="FootnoteReference"/>
        </w:rPr>
        <w:footnoteRef/>
      </w:r>
      <w:r>
        <w:t xml:space="preserve"> Translation note: Greek says as is proper.</w:t>
      </w:r>
    </w:p>
  </w:footnote>
  <w:footnote w:id="2097">
    <w:p>
      <w:pPr>
        <w:pStyle w:val="FootnoteText"/>
      </w:pPr>
      <w:r>
        <w:rPr>
          <w:rStyle w:val="FootnoteReference"/>
        </w:rPr>
        <w:footnoteRef/>
      </w:r>
      <w:r>
        <w:t xml:space="preserve"> Translation note: Greek keeps that fuller sin-offering phrasing here.</w:t>
      </w:r>
    </w:p>
  </w:footnote>
  <w:footnote w:id="2098">
    <w:p>
      <w:pPr>
        <w:pStyle w:val="FootnoteText"/>
      </w:pPr>
      <w:r>
        <w:rPr>
          <w:rStyle w:val="FootnoteReference"/>
        </w:rPr>
        <w:footnoteRef/>
      </w:r>
      <w:r>
        <w:t xml:space="preserve"> Cross-references for "fine flour": Lev 2:1; Num 7:13.</w:t>
      </w:r>
    </w:p>
  </w:footnote>
  <w:footnote w:id="2099">
    <w:p>
      <w:pPr>
        <w:pStyle w:val="FootnoteText"/>
      </w:pPr>
      <w:r>
        <w:rPr>
          <w:rStyle w:val="FootnoteReference"/>
        </w:rPr>
        <w:footnoteRef/>
      </w:r>
      <w:r>
        <w:t xml:space="preserve"> Translation note: Greek explicitly speaks of a filled hand. The translation keeps that fullness visible rather than reducing it to just handful.</w:t>
      </w:r>
    </w:p>
  </w:footnote>
  <w:footnote w:id="2100">
    <w:p>
      <w:pPr>
        <w:pStyle w:val="FootnoteText"/>
      </w:pPr>
      <w:r>
        <w:rPr>
          <w:rStyle w:val="FootnoteReference"/>
        </w:rPr>
        <w:footnoteRef/>
      </w:r>
      <w:r>
        <w:t xml:space="preserve"> Cross-references for "the priest": Lev 4:20; Lev 4:26.</w:t>
      </w:r>
    </w:p>
  </w:footnote>
  <w:footnote w:id="2101">
    <w:p>
      <w:pPr>
        <w:pStyle w:val="FootnoteText"/>
      </w:pPr>
      <w:r>
        <w:rPr>
          <w:rStyle w:val="FootnoteReference"/>
        </w:rPr>
        <w:footnoteRef/>
      </w:r>
      <w:r>
        <w:t xml:space="preserve"> Translation note: Greek literally has soul, but in legal material this often functions as a person reference. The English line uses natural legal English while preserving the verse's sense.</w:t>
      </w:r>
    </w:p>
  </w:footnote>
  <w:footnote w:id="2102">
    <w:p>
      <w:pPr>
        <w:pStyle w:val="FootnoteText"/>
      </w:pPr>
      <w:r>
        <w:rPr>
          <w:rStyle w:val="FootnoteReference"/>
        </w:rPr>
        <w:footnoteRef/>
      </w:r>
      <w:r>
        <w:t xml:space="preserve"> Translation note: Greek says if forgetfulness overtakes a person.</w:t>
      </w:r>
    </w:p>
  </w:footnote>
  <w:footnote w:id="2103">
    <w:p>
      <w:pPr>
        <w:pStyle w:val="FootnoteText"/>
      </w:pPr>
      <w:r>
        <w:rPr>
          <w:rStyle w:val="FootnoteReference"/>
        </w:rPr>
        <w:footnoteRef/>
      </w:r>
      <w:r>
        <w:t xml:space="preserve"> Translation note: Greek says repay what he sinned from the holy things and add a fifth.</w:t>
      </w:r>
    </w:p>
  </w:footnote>
  <w:footnote w:id="2104">
    <w:p>
      <w:pPr>
        <w:pStyle w:val="FootnoteText"/>
      </w:pPr>
      <w:r>
        <w:rPr>
          <w:rStyle w:val="FootnoteReference"/>
        </w:rPr>
        <w:footnoteRef/>
      </w:r>
      <w:r>
        <w:t xml:space="preserve"> Cross-references for "make": Exod 22:1; Exod 22:3-4.</w:t>
      </w:r>
    </w:p>
  </w:footnote>
  <w:footnote w:id="2105">
    <w:p>
      <w:pPr>
        <w:pStyle w:val="FootnoteText"/>
      </w:pPr>
      <w:r>
        <w:rPr>
          <w:rStyle w:val="FootnoteReference"/>
        </w:rPr>
        <w:footnoteRef/>
      </w:r>
      <w:r>
        <w:t xml:space="preserve"> Cross-references for "And the priest": Lev 1:4; Lev 4:20.</w:t>
      </w:r>
    </w:p>
  </w:footnote>
  <w:footnote w:id="2106">
    <w:p>
      <w:pPr>
        <w:pStyle w:val="FootnoteText"/>
      </w:pPr>
      <w:r>
        <w:rPr>
          <w:rStyle w:val="FootnoteReference"/>
        </w:rPr>
        <w:footnoteRef/>
      </w:r>
      <w:r>
        <w:t xml:space="preserve"> Translation note: Greek repeats ignorance language here. Current line preserves the repetition.</w:t>
      </w:r>
    </w:p>
  </w:footnote>
  <w:footnote w:id="2107">
    <w:p>
      <w:pPr>
        <w:pStyle w:val="FootnoteText"/>
      </w:pPr>
      <w:r>
        <w:rPr>
          <w:rStyle w:val="FootnoteReference"/>
        </w:rPr>
        <w:footnoteRef/>
      </w:r>
      <w:r>
        <w:t xml:space="preserve"> MT/LXX note: This LXX verse number carries the whole-burnt-offering law rather than the MT trespass case.</w:t>
      </w:r>
    </w:p>
  </w:footnote>
  <w:footnote w:id="2108">
    <w:p>
      <w:pPr>
        <w:pStyle w:val="FootnoteText"/>
      </w:pPr>
      <w:r>
        <w:rPr>
          <w:rStyle w:val="FootnoteReference"/>
        </w:rPr>
        <w:footnoteRef/>
      </w:r>
      <w:r>
        <w:t xml:space="preserve"> MT/LXX note: This Septuagint verse belongs to altar-service instructions rather than the Masoretic property-fraud law at this numbering point. The translation follows the Greek content.</w:t>
      </w:r>
    </w:p>
  </w:footnote>
  <w:footnote w:id="2109">
    <w:p>
      <w:pPr>
        <w:pStyle w:val="FootnoteText"/>
      </w:pPr>
      <w:r>
        <w:rPr>
          <w:rStyle w:val="FootnoteReference"/>
        </w:rPr>
        <w:footnoteRef/>
      </w:r>
      <w:r>
        <w:t xml:space="preserve"> MT/LXX note: This LXX verse number carries the ash-removal line rather than the MT restitution line.</w:t>
      </w:r>
    </w:p>
  </w:footnote>
  <w:footnote w:id="2110">
    <w:p>
      <w:pPr>
        <w:pStyle w:val="FootnoteText"/>
      </w:pPr>
      <w:r>
        <w:rPr>
          <w:rStyle w:val="FootnoteReference"/>
        </w:rPr>
        <w:footnoteRef/>
      </w:r>
      <w:r>
        <w:t xml:space="preserve"> Translation note: Greek verse numbering here gives altar-fire rule.</w:t>
      </w:r>
    </w:p>
  </w:footnote>
  <w:footnote w:id="2111">
    <w:p>
      <w:pPr>
        <w:pStyle w:val="FootnoteText"/>
      </w:pPr>
      <w:r>
        <w:rPr>
          <w:rStyle w:val="FootnoteReference"/>
        </w:rPr>
        <w:footnoteRef/>
      </w:r>
      <w:r>
        <w:t xml:space="preserve"> Translation note: Greek says its memorial to the Lord.</w:t>
      </w:r>
    </w:p>
  </w:footnote>
  <w:footnote w:id="2112">
    <w:p>
      <w:pPr>
        <w:pStyle w:val="FootnoteText"/>
      </w:pPr>
      <w:r>
        <w:rPr>
          <w:rStyle w:val="FootnoteReference"/>
        </w:rPr>
        <w:footnoteRef/>
      </w:r>
      <w:r>
        <w:t xml:space="preserve"> Translation note: Greek line matches current rendering closely here.</w:t>
      </w:r>
    </w:p>
  </w:footnote>
  <w:footnote w:id="2113">
    <w:p>
      <w:pPr>
        <w:pStyle w:val="FootnoteText"/>
      </w:pPr>
      <w:r>
        <w:rPr>
          <w:rStyle w:val="FootnoteReference"/>
        </w:rPr>
        <w:footnoteRef/>
      </w:r>
      <w:r>
        <w:t xml:space="preserve"> Translation note: Greek says not be baked leavened.</w:t>
      </w:r>
    </w:p>
  </w:footnote>
  <w:footnote w:id="2114">
    <w:p>
      <w:pPr>
        <w:pStyle w:val="FootnoteText"/>
      </w:pPr>
      <w:r>
        <w:rPr>
          <w:rStyle w:val="FootnoteReference"/>
        </w:rPr>
        <w:footnoteRef/>
      </w:r>
      <w:r>
        <w:t xml:space="preserve"> MT/LXX note: The Septuagint places the priestly-eating line here rather than the Masoretic ash-removal rule. The translation follows the Greek content.</w:t>
      </w:r>
    </w:p>
  </w:footnote>
  <w:footnote w:id="2115">
    <w:p>
      <w:pPr>
        <w:pStyle w:val="FootnoteText"/>
      </w:pPr>
      <w:r>
        <w:rPr>
          <w:rStyle w:val="FootnoteReference"/>
        </w:rPr>
        <w:footnoteRef/>
      </w:r>
      <w:r>
        <w:t xml:space="preserve"> MT/LXX note: The Septuagint places the priestly gift line here rather than the Masoretic altar-fire line. The translation follows the Greek content.</w:t>
      </w:r>
    </w:p>
  </w:footnote>
  <w:footnote w:id="2116">
    <w:p>
      <w:pPr>
        <w:pStyle w:val="FootnoteText"/>
      </w:pPr>
      <w:r>
        <w:rPr>
          <w:rStyle w:val="FootnoteReference"/>
        </w:rPr>
        <w:footnoteRef/>
      </w:r>
      <w:r>
        <w:t xml:space="preserve"> Translation note: Greek says rolled out in pieces here. Current line keeps that wording.</w:t>
      </w:r>
    </w:p>
  </w:footnote>
  <w:footnote w:id="2117">
    <w:p>
      <w:pPr>
        <w:pStyle w:val="FootnoteText"/>
      </w:pPr>
      <w:r>
        <w:rPr>
          <w:rStyle w:val="FootnoteReference"/>
        </w:rPr>
        <w:footnoteRef/>
      </w:r>
      <w:r>
        <w:t xml:space="preserve"> MT/LXX note: This LXX verse number carries the anointed-priest completion line rather than the MT handful-memorial line.</w:t>
      </w:r>
    </w:p>
  </w:footnote>
  <w:footnote w:id="2118">
    <w:p>
      <w:pPr>
        <w:pStyle w:val="FootnoteText"/>
      </w:pPr>
      <w:r>
        <w:rPr>
          <w:rStyle w:val="FootnoteReference"/>
        </w:rPr>
        <w:footnoteRef/>
      </w:r>
      <w:r>
        <w:t xml:space="preserve"> Translation note: Greek repeats thing for sin and things for sin here.</w:t>
      </w:r>
    </w:p>
  </w:footnote>
  <w:footnote w:id="2119">
    <w:p>
      <w:pPr>
        <w:pStyle w:val="FootnoteText"/>
      </w:pPr>
      <w:r>
        <w:rPr>
          <w:rStyle w:val="FootnoteReference"/>
        </w:rPr>
        <w:footnoteRef/>
      </w:r>
      <w:r>
        <w:t xml:space="preserve"> MT/LXX note: The Septuagint places a priestly-eating line here rather than the Masoretic speech heading. The translation follows the Greek content.</w:t>
      </w:r>
    </w:p>
  </w:footnote>
  <w:footnote w:id="2120">
    <w:p>
      <w:pPr>
        <w:pStyle w:val="FootnoteText"/>
      </w:pPr>
      <w:r>
        <w:rPr>
          <w:rStyle w:val="FootnoteReference"/>
        </w:rPr>
        <w:footnoteRef/>
      </w:r>
      <w:r>
        <w:t xml:space="preserve"> Translation note: Greek verse numbering here gives sanctification-and-washing rule.</w:t>
      </w:r>
    </w:p>
  </w:footnote>
  <w:footnote w:id="2121">
    <w:p>
      <w:pPr>
        <w:pStyle w:val="FootnoteText"/>
      </w:pPr>
      <w:r>
        <w:rPr>
          <w:rStyle w:val="FootnoteReference"/>
        </w:rPr>
        <w:footnoteRef/>
      </w:r>
      <w:r>
        <w:t xml:space="preserve"> Cross-references for "the law": Lev 14:12-13; Lev 19:21-22.</w:t>
      </w:r>
    </w:p>
  </w:footnote>
  <w:footnote w:id="2122">
    <w:p>
      <w:pPr>
        <w:pStyle w:val="FootnoteText"/>
      </w:pPr>
      <w:r>
        <w:rPr>
          <w:rStyle w:val="FootnoteReference"/>
        </w:rPr>
        <w:footnoteRef/>
      </w:r>
      <w:r>
        <w:t xml:space="preserve"> Cross-references for "In the place": Lev 1:3; Lev 1:5.</w:t>
      </w:r>
    </w:p>
  </w:footnote>
  <w:footnote w:id="2123">
    <w:p>
      <w:pPr>
        <w:pStyle w:val="FootnoteText"/>
      </w:pPr>
      <w:r>
        <w:rPr>
          <w:rStyle w:val="FootnoteReference"/>
        </w:rPr>
        <w:footnoteRef/>
      </w:r>
      <w:r>
        <w:t xml:space="preserve"> Cross-references for "male": Lev 6:16-18; Lev 6:29.</w:t>
      </w:r>
    </w:p>
  </w:footnote>
  <w:footnote w:id="2124">
    <w:p>
      <w:pPr>
        <w:pStyle w:val="FootnoteText"/>
      </w:pPr>
      <w:r>
        <w:rPr>
          <w:rStyle w:val="FootnoteReference"/>
        </w:rPr>
        <w:footnoteRef/>
      </w:r>
      <w:r>
        <w:t xml:space="preserve"> Translation note: Greek closes the priestly food-law line with that formula. Current wording preserves it.</w:t>
      </w:r>
    </w:p>
  </w:footnote>
  <w:footnote w:id="2125">
    <w:p>
      <w:pPr>
        <w:pStyle w:val="FootnoteText"/>
      </w:pPr>
      <w:r>
        <w:rPr>
          <w:rStyle w:val="FootnoteReference"/>
        </w:rPr>
        <w:footnoteRef/>
      </w:r>
      <w:r>
        <w:t xml:space="preserve"> Cross-references for "skin": Gen 3:21; Exod 29:14.</w:t>
      </w:r>
    </w:p>
  </w:footnote>
  <w:footnote w:id="2126">
    <w:p>
      <w:pPr>
        <w:pStyle w:val="FootnoteText"/>
      </w:pPr>
      <w:r>
        <w:rPr>
          <w:rStyle w:val="FootnoteReference"/>
        </w:rPr>
        <w:footnoteRef/>
      </w:r>
      <w:r>
        <w:t xml:space="preserve"> Translation note: Greek says for praise and sacrifice of praise.</w:t>
      </w:r>
    </w:p>
  </w:footnote>
  <w:footnote w:id="2127">
    <w:p>
      <w:pPr>
        <w:pStyle w:val="FootnoteText"/>
      </w:pPr>
      <w:r>
        <w:rPr>
          <w:rStyle w:val="FootnoteReference"/>
        </w:rPr>
        <w:footnoteRef/>
      </w:r>
      <w:r>
        <w:t xml:space="preserve"> Cross-references for "unleavened wafers": Lev 2:4; Lev 6:16.</w:t>
      </w:r>
    </w:p>
  </w:footnote>
  <w:footnote w:id="2128">
    <w:p>
      <w:pPr>
        <w:pStyle w:val="FootnoteText"/>
      </w:pPr>
      <w:r>
        <w:rPr>
          <w:rStyle w:val="FootnoteReference"/>
        </w:rPr>
        <w:footnoteRef/>
      </w:r>
      <w:r>
        <w:t xml:space="preserve"> Cross-references for "leavened": Lev 23:17; Amos 4:5.</w:t>
      </w:r>
    </w:p>
  </w:footnote>
  <w:footnote w:id="2129">
    <w:p>
      <w:pPr>
        <w:pStyle w:val="FootnoteText"/>
      </w:pPr>
      <w:r>
        <w:rPr>
          <w:rStyle w:val="FootnoteReference"/>
        </w:rPr>
        <w:footnoteRef/>
      </w:r>
      <w:r>
        <w:t xml:space="preserve"> Translation note: Greek keeps the praise-of-salvation sacrificial phrase visible. Current wording preserves that cultic wording rather than harmonizing it away.</w:t>
      </w:r>
    </w:p>
  </w:footnote>
  <w:footnote w:id="2130">
    <w:p>
      <w:pPr>
        <w:pStyle w:val="FootnoteText"/>
      </w:pPr>
      <w:r>
        <w:rPr>
          <w:rStyle w:val="FootnoteReference"/>
        </w:rPr>
        <w:footnoteRef/>
      </w:r>
      <w:r>
        <w:t xml:space="preserve"> Cross-references for "a voluntary": Lev 22:23; Lev 22:29.</w:t>
      </w:r>
    </w:p>
  </w:footnote>
  <w:footnote w:id="2131">
    <w:p>
      <w:pPr>
        <w:pStyle w:val="FootnoteText"/>
      </w:pPr>
      <w:r>
        <w:rPr>
          <w:rStyle w:val="FootnoteReference"/>
        </w:rPr>
        <w:footnoteRef/>
      </w:r>
      <w:r>
        <w:t xml:space="preserve"> Cross-references for "it shall": Lev 10:19; Lev 19:7-8.</w:t>
      </w:r>
    </w:p>
  </w:footnote>
  <w:footnote w:id="2132">
    <w:p>
      <w:pPr>
        <w:pStyle w:val="FootnoteText"/>
      </w:pPr>
      <w:r>
        <w:rPr>
          <w:rStyle w:val="FootnoteReference"/>
        </w:rPr>
        <w:footnoteRef/>
      </w:r>
      <w:r>
        <w:t xml:space="preserve"> Translation note: Greek says pollution here.</w:t>
      </w:r>
    </w:p>
  </w:footnote>
  <w:footnote w:id="2133">
    <w:p>
      <w:pPr>
        <w:pStyle w:val="FootnoteText"/>
      </w:pPr>
      <w:r>
        <w:rPr>
          <w:rStyle w:val="FootnoteReference"/>
        </w:rPr>
        <w:footnoteRef/>
      </w:r>
      <w:r>
        <w:t xml:space="preserve"> Cross-references for "any unclean": Lev 11:24-42; Deut 14:7-8.</w:t>
      </w:r>
    </w:p>
  </w:footnote>
  <w:footnote w:id="2134">
    <w:p>
      <w:pPr>
        <w:pStyle w:val="FootnoteText"/>
      </w:pPr>
      <w:r>
        <w:rPr>
          <w:rStyle w:val="FootnoteReference"/>
        </w:rPr>
        <w:footnoteRef/>
      </w:r>
      <w:r>
        <w:t xml:space="preserve"> Translation note: Greek says shall perish from his people.</w:t>
      </w:r>
    </w:p>
  </w:footnote>
  <w:footnote w:id="2135">
    <w:p>
      <w:pPr>
        <w:pStyle w:val="FootnoteText"/>
      </w:pPr>
      <w:r>
        <w:rPr>
          <w:rStyle w:val="FootnoteReference"/>
        </w:rPr>
        <w:footnoteRef/>
      </w:r>
      <w:r>
        <w:t xml:space="preserve"> Cross-references for "the priest": Lev 3:5; Lev 3:11.</w:t>
      </w:r>
    </w:p>
  </w:footnote>
  <w:footnote w:id="2136">
    <w:p>
      <w:pPr>
        <w:pStyle w:val="FootnoteText"/>
      </w:pPr>
      <w:r>
        <w:rPr>
          <w:rStyle w:val="FootnoteReference"/>
        </w:rPr>
        <w:footnoteRef/>
      </w:r>
      <w:r>
        <w:t xml:space="preserve"> Translation note: Greek says right arm here. This draft keeps the ordinary body-part term rather than replacing it with the familiar shoulder label. English witness tradition smooths this to shoulder, but the lexical evidence still points to arm.</w:t>
      </w:r>
    </w:p>
  </w:footnote>
  <w:footnote w:id="2137">
    <w:p>
      <w:pPr>
        <w:pStyle w:val="FootnoteText"/>
      </w:pPr>
      <w:r>
        <w:rPr>
          <w:rStyle w:val="FootnoteReference"/>
        </w:rPr>
        <w:footnoteRef/>
      </w:r>
      <w:r>
        <w:t xml:space="preserve"> Translation note: Greek says breast of the presentation and arm of the contribution.</w:t>
      </w:r>
    </w:p>
  </w:footnote>
  <w:footnote w:id="2138">
    <w:p>
      <w:pPr>
        <w:pStyle w:val="FootnoteText"/>
      </w:pPr>
      <w:r>
        <w:rPr>
          <w:rStyle w:val="FootnoteReference"/>
        </w:rPr>
        <w:footnoteRef/>
      </w:r>
      <w:r>
        <w:t xml:space="preserve"> Cross-references for "the law": Exod 29:38-42; Lev 1:1-17.</w:t>
      </w:r>
    </w:p>
  </w:footnote>
  <w:footnote w:id="2139">
    <w:p>
      <w:pPr>
        <w:pStyle w:val="FootnoteText"/>
      </w:pPr>
      <w:r>
        <w:rPr>
          <w:rStyle w:val="FootnoteReference"/>
        </w:rPr>
        <w:footnoteRef/>
      </w:r>
      <w:r>
        <w:t xml:space="preserve"> Cross-references for "commanded": Lev 1:1-2.</w:t>
      </w:r>
    </w:p>
  </w:footnote>
  <w:footnote w:id="2140">
    <w:p>
      <w:pPr>
        <w:pStyle w:val="FootnoteText"/>
      </w:pPr>
      <w:r>
        <w:rPr>
          <w:rStyle w:val="FootnoteReference"/>
        </w:rPr>
        <w:footnoteRef/>
      </w:r>
      <w:r>
        <w:t xml:space="preserve"> Cross-references for "Aaron": Exod 29:1-4.</w:t>
      </w:r>
    </w:p>
  </w:footnote>
  <w:footnote w:id="2141">
    <w:p>
      <w:pPr>
        <w:pStyle w:val="FootnoteText"/>
      </w:pPr>
      <w:r>
        <w:rPr>
          <w:rStyle w:val="FootnoteReference"/>
        </w:rPr>
        <w:footnoteRef/>
      </w:r>
      <w:r>
        <w:t xml:space="preserve"> Cross-references for "Lord commanded to be done": Exod 29:4-37.</w:t>
      </w:r>
    </w:p>
  </w:footnote>
  <w:footnote w:id="2142">
    <w:p>
      <w:pPr>
        <w:pStyle w:val="FootnoteText"/>
      </w:pPr>
      <w:r>
        <w:rPr>
          <w:rStyle w:val="FootnoteReference"/>
        </w:rPr>
        <w:footnoteRef/>
      </w:r>
      <w:r>
        <w:t xml:space="preserve"> Cross-references for "washed": Exod 29:4; Exod 40:12.</w:t>
      </w:r>
    </w:p>
  </w:footnote>
  <w:footnote w:id="2143">
    <w:p>
      <w:pPr>
        <w:pStyle w:val="FootnoteText"/>
      </w:pPr>
      <w:r>
        <w:rPr>
          <w:rStyle w:val="FootnoteReference"/>
        </w:rPr>
        <w:footnoteRef/>
      </w:r>
      <w:r>
        <w:t xml:space="preserve"> Cross-references for "he put": Exod 28:4; Exod 29:5.</w:t>
      </w:r>
    </w:p>
  </w:footnote>
  <w:footnote w:id="2144">
    <w:p>
      <w:pPr>
        <w:pStyle w:val="FootnoteText"/>
      </w:pPr>
      <w:r>
        <w:rPr>
          <w:rStyle w:val="FootnoteReference"/>
        </w:rPr>
        <w:footnoteRef/>
      </w:r>
      <w:r>
        <w:t xml:space="preserve"> Translation note: These are again the Greek words the LXX uses for the items later transliterated in English as Urim and Thummim. This draft keeps the same semantic pair used in Exodus visible rather than defaulting to the later transliteration.</w:t>
      </w:r>
    </w:p>
  </w:footnote>
  <w:footnote w:id="2145">
    <w:p>
      <w:pPr>
        <w:pStyle w:val="FootnoteText"/>
      </w:pPr>
      <w:r>
        <w:rPr>
          <w:rStyle w:val="FootnoteReference"/>
        </w:rPr>
        <w:footnoteRef/>
      </w:r>
      <w:r>
        <w:t xml:space="preserve"> Cross-references for "Moses": Exod 28:40-41; Exod 29:8-9.</w:t>
      </w:r>
    </w:p>
  </w:footnote>
  <w:footnote w:id="2146">
    <w:p>
      <w:pPr>
        <w:pStyle w:val="FootnoteText"/>
      </w:pPr>
      <w:r>
        <w:rPr>
          <w:rStyle w:val="FootnoteReference"/>
        </w:rPr>
        <w:footnoteRef/>
      </w:r>
      <w:r>
        <w:t xml:space="preserve"> Cross-references for "laid": Lev 1:4; Lev 4:4.</w:t>
      </w:r>
    </w:p>
  </w:footnote>
  <w:footnote w:id="2147">
    <w:p>
      <w:pPr>
        <w:pStyle w:val="FootnoteText"/>
      </w:pPr>
      <w:r>
        <w:rPr>
          <w:rStyle w:val="FootnoteReference"/>
        </w:rPr>
        <w:footnoteRef/>
      </w:r>
      <w:r>
        <w:t xml:space="preserve"> Cross-references for "Moses": Exod 29:12; Exod 29:36-37.</w:t>
      </w:r>
    </w:p>
  </w:footnote>
  <w:footnote w:id="2148">
    <w:p>
      <w:pPr>
        <w:pStyle w:val="FootnoteText"/>
      </w:pPr>
      <w:r>
        <w:rPr>
          <w:rStyle w:val="FootnoteReference"/>
        </w:rPr>
        <w:footnoteRef/>
      </w:r>
      <w:r>
        <w:t xml:space="preserve"> Translation note: Greek says purified the altar and sanctified it to make atonement on it.</w:t>
      </w:r>
    </w:p>
  </w:footnote>
  <w:footnote w:id="2149">
    <w:p>
      <w:pPr>
        <w:pStyle w:val="FootnoteText"/>
      </w:pPr>
      <w:r>
        <w:rPr>
          <w:rStyle w:val="FootnoteReference"/>
        </w:rPr>
        <w:footnoteRef/>
      </w:r>
      <w:r>
        <w:t xml:space="preserve"> Translation note: Greek gives the offering type directly in the approach line. Current wording preserves that ritual wording.</w:t>
      </w:r>
    </w:p>
  </w:footnote>
  <w:footnote w:id="2150">
    <w:p>
      <w:pPr>
        <w:pStyle w:val="FootnoteText"/>
      </w:pPr>
      <w:r>
        <w:rPr>
          <w:rStyle w:val="FootnoteReference"/>
        </w:rPr>
        <w:footnoteRef/>
      </w:r>
      <w:r>
        <w:t xml:space="preserve"> Translation note: Greek uses concrete sacrificial butchery language here. Current wording keeps that texture plain.</w:t>
      </w:r>
    </w:p>
  </w:footnote>
  <w:footnote w:id="2151">
    <w:p>
      <w:pPr>
        <w:pStyle w:val="FootnoteText"/>
      </w:pPr>
      <w:r>
        <w:rPr>
          <w:rStyle w:val="FootnoteReference"/>
        </w:rPr>
        <w:footnoteRef/>
      </w:r>
      <w:r>
        <w:t xml:space="preserve"> Translation note: Greek says Moses offered whole ram on altar.</w:t>
      </w:r>
    </w:p>
  </w:footnote>
  <w:footnote w:id="2152">
    <w:p>
      <w:pPr>
        <w:pStyle w:val="FootnoteText"/>
      </w:pPr>
      <w:r>
        <w:rPr>
          <w:rStyle w:val="FootnoteReference"/>
        </w:rPr>
        <w:footnoteRef/>
      </w:r>
      <w:r>
        <w:t xml:space="preserve"> Translation note: Greek repeats ram and uses completion wording here. Current wording preserves that consecration language.</w:t>
      </w:r>
    </w:p>
  </w:footnote>
  <w:footnote w:id="2153">
    <w:p>
      <w:pPr>
        <w:pStyle w:val="FootnoteText"/>
      </w:pPr>
      <w:r>
        <w:rPr>
          <w:rStyle w:val="FootnoteReference"/>
        </w:rPr>
        <w:footnoteRef/>
      </w:r>
      <w:r>
        <w:t xml:space="preserve"> Cross-references for "Moses took": Exod 29:20; Lev 14:14.</w:t>
      </w:r>
    </w:p>
  </w:footnote>
  <w:footnote w:id="2154">
    <w:p>
      <w:pPr>
        <w:pStyle w:val="FootnoteText"/>
      </w:pPr>
      <w:r>
        <w:rPr>
          <w:rStyle w:val="FootnoteReference"/>
        </w:rPr>
        <w:footnoteRef/>
      </w:r>
      <w:r>
        <w:t xml:space="preserve"> Translation note: The Greek uses lobe language here. The current wording keeps that source-row body-part wording visible.</w:t>
      </w:r>
    </w:p>
  </w:footnote>
  <w:footnote w:id="2155">
    <w:p>
      <w:pPr>
        <w:pStyle w:val="FootnoteText"/>
      </w:pPr>
      <w:r>
        <w:rPr>
          <w:rStyle w:val="FootnoteReference"/>
        </w:rPr>
        <w:footnoteRef/>
      </w:r>
      <w:r>
        <w:t xml:space="preserve"> Translation note: Greek says lobes of ears and tips of hands and feet.</w:t>
      </w:r>
    </w:p>
  </w:footnote>
  <w:footnote w:id="2156">
    <w:p>
      <w:pPr>
        <w:pStyle w:val="FootnoteText"/>
      </w:pPr>
      <w:r>
        <w:rPr>
          <w:rStyle w:val="FootnoteReference"/>
        </w:rPr>
        <w:footnoteRef/>
      </w:r>
      <w:r>
        <w:t xml:space="preserve"> Translation note: The Greek uses a body-part term here. The current wording keeps that explicit rather than smoothing it.</w:t>
      </w:r>
    </w:p>
  </w:footnote>
  <w:footnote w:id="2157">
    <w:p>
      <w:pPr>
        <w:pStyle w:val="FootnoteText"/>
      </w:pPr>
      <w:r>
        <w:rPr>
          <w:rStyle w:val="FootnoteReference"/>
        </w:rPr>
        <w:footnoteRef/>
      </w:r>
      <w:r>
        <w:t xml:space="preserve"> Translation note: Greek uses completion wording in this consecration context. Current wording keeps that terminology.</w:t>
      </w:r>
    </w:p>
  </w:footnote>
  <w:footnote w:id="2158">
    <w:p>
      <w:pPr>
        <w:pStyle w:val="FootnoteText"/>
      </w:pPr>
      <w:r>
        <w:rPr>
          <w:rStyle w:val="FootnoteReference"/>
        </w:rPr>
        <w:footnoteRef/>
      </w:r>
      <w:r>
        <w:t xml:space="preserve"> Cross-references for "Moses": Exod 29:25; Ps 22:13-14.</w:t>
      </w:r>
    </w:p>
  </w:footnote>
  <w:footnote w:id="2159">
    <w:p>
      <w:pPr>
        <w:pStyle w:val="FootnoteText"/>
      </w:pPr>
      <w:r>
        <w:rPr>
          <w:rStyle w:val="FootnoteReference"/>
        </w:rPr>
        <w:footnoteRef/>
      </w:r>
      <w:r>
        <w:t xml:space="preserve"> Translation note: Greek keeps the priestly action line direct. Current wording preserves it.</w:t>
      </w:r>
    </w:p>
  </w:footnote>
  <w:footnote w:id="2160">
    <w:p>
      <w:pPr>
        <w:pStyle w:val="FootnoteText"/>
      </w:pPr>
      <w:r>
        <w:rPr>
          <w:rStyle w:val="FootnoteReference"/>
        </w:rPr>
        <w:footnoteRef/>
      </w:r>
      <w:r>
        <w:t xml:space="preserve"> Cross-references for "the anointing": Exod 29:21; Exod 30:30.</w:t>
      </w:r>
    </w:p>
  </w:footnote>
  <w:footnote w:id="2161">
    <w:p>
      <w:pPr>
        <w:pStyle w:val="FootnoteText"/>
      </w:pPr>
      <w:r>
        <w:rPr>
          <w:rStyle w:val="FootnoteReference"/>
        </w:rPr>
        <w:footnoteRef/>
      </w:r>
      <w:r>
        <w:t xml:space="preserve"> Translation note: Greek closes with a full sanctification line. The translation keeps it direct.</w:t>
      </w:r>
    </w:p>
  </w:footnote>
  <w:footnote w:id="2162">
    <w:p>
      <w:pPr>
        <w:pStyle w:val="FootnoteText"/>
      </w:pPr>
      <w:r>
        <w:rPr>
          <w:rStyle w:val="FootnoteReference"/>
        </w:rPr>
        <w:footnoteRef/>
      </w:r>
      <w:r>
        <w:t xml:space="preserve"> Cross-references for "Boil": Exod 29:31-32; Lev 6:28.</w:t>
      </w:r>
    </w:p>
  </w:footnote>
  <w:footnote w:id="2163">
    <w:p>
      <w:pPr>
        <w:pStyle w:val="FootnoteText"/>
      </w:pPr>
      <w:r>
        <w:rPr>
          <w:rStyle w:val="FootnoteReference"/>
        </w:rPr>
        <w:footnoteRef/>
      </w:r>
      <w:r>
        <w:t xml:space="preserve"> Translation note: Greek says court and basket here. Current line keeps both.</w:t>
      </w:r>
    </w:p>
  </w:footnote>
  <w:footnote w:id="2164">
    <w:p>
      <w:pPr>
        <w:pStyle w:val="FootnoteText"/>
      </w:pPr>
      <w:r>
        <w:rPr>
          <w:rStyle w:val="FootnoteReference"/>
        </w:rPr>
        <w:footnoteRef/>
      </w:r>
      <w:r>
        <w:t xml:space="preserve"> Cross-references for "seven days": Exod 29:30; Exod 29:35.</w:t>
      </w:r>
    </w:p>
  </w:footnote>
  <w:footnote w:id="2165">
    <w:p>
      <w:pPr>
        <w:pStyle w:val="FootnoteText"/>
      </w:pPr>
      <w:r>
        <w:rPr>
          <w:rStyle w:val="FootnoteReference"/>
        </w:rPr>
        <w:footnoteRef/>
      </w:r>
      <w:r>
        <w:t xml:space="preserve"> Cross-references for "keep": Lev 8:30; Lev 10:1.</w:t>
      </w:r>
    </w:p>
  </w:footnote>
  <w:footnote w:id="2166">
    <w:p>
      <w:pPr>
        <w:pStyle w:val="FootnoteText"/>
      </w:pPr>
      <w:r>
        <w:rPr>
          <w:rStyle w:val="FootnoteReference"/>
        </w:rPr>
        <w:footnoteRef/>
      </w:r>
      <w:r>
        <w:t xml:space="preserve"> Cross-references for "Aaron": Exod 29:1-46; Exod 39:43.</w:t>
      </w:r>
    </w:p>
  </w:footnote>
  <w:footnote w:id="2167">
    <w:p>
      <w:pPr>
        <w:pStyle w:val="FootnoteText"/>
      </w:pPr>
      <w:r>
        <w:rPr>
          <w:rStyle w:val="FootnoteReference"/>
        </w:rPr>
        <w:footnoteRef/>
      </w:r>
      <w:r>
        <w:t xml:space="preserve"> Cross-references for "the eighth day": Lev 8:33; Lev 12:2-3.</w:t>
      </w:r>
    </w:p>
  </w:footnote>
  <w:footnote w:id="2168">
    <w:p>
      <w:pPr>
        <w:pStyle w:val="FootnoteText"/>
      </w:pPr>
      <w:r>
        <w:rPr>
          <w:rStyle w:val="FootnoteReference"/>
        </w:rPr>
        <w:footnoteRef/>
      </w:r>
      <w:r>
        <w:t xml:space="preserve"> Cross-references for "and a ram": Lev 8:18.</w:t>
      </w:r>
    </w:p>
  </w:footnote>
  <w:footnote w:id="2169">
    <w:p>
      <w:pPr>
        <w:pStyle w:val="FootnoteText"/>
      </w:pPr>
      <w:r>
        <w:rPr>
          <w:rStyle w:val="FootnoteReference"/>
        </w:rPr>
        <w:footnoteRef/>
      </w:r>
      <w:r>
        <w:t xml:space="preserve"> Cross-references for "a calf": Lev 9:2.</w:t>
      </w:r>
    </w:p>
  </w:footnote>
  <w:footnote w:id="2170">
    <w:p>
      <w:pPr>
        <w:pStyle w:val="FootnoteText"/>
      </w:pPr>
      <w:r>
        <w:rPr>
          <w:rStyle w:val="FootnoteReference"/>
        </w:rPr>
        <w:footnoteRef/>
      </w:r>
      <w:r>
        <w:t xml:space="preserve"> Cross-references for "and all the congregation": Exod 19:17; Deut 31:12.</w:t>
      </w:r>
    </w:p>
  </w:footnote>
  <w:footnote w:id="2171">
    <w:p>
      <w:pPr>
        <w:pStyle w:val="FootnoteText"/>
      </w:pPr>
      <w:r>
        <w:rPr>
          <w:rStyle w:val="FootnoteReference"/>
        </w:rPr>
        <w:footnoteRef/>
      </w:r>
      <w:r>
        <w:t xml:space="preserve"> Cross-references for "and the glory": Exod 16:10; Exod 24:16.</w:t>
      </w:r>
    </w:p>
  </w:footnote>
  <w:footnote w:id="2172">
    <w:p>
      <w:pPr>
        <w:pStyle w:val="FootnoteText"/>
      </w:pPr>
      <w:r>
        <w:rPr>
          <w:rStyle w:val="FootnoteReference"/>
        </w:rPr>
        <w:footnoteRef/>
      </w:r>
      <w:r>
        <w:t xml:space="preserve"> Translation note: Greek says make the gifts of the people.</w:t>
      </w:r>
    </w:p>
  </w:footnote>
  <w:footnote w:id="2173">
    <w:p>
      <w:pPr>
        <w:pStyle w:val="FootnoteText"/>
      </w:pPr>
      <w:r>
        <w:rPr>
          <w:rStyle w:val="FootnoteReference"/>
        </w:rPr>
        <w:footnoteRef/>
      </w:r>
      <w:r>
        <w:t xml:space="preserve"> Cross-references for "the fat": Lev 3:3-5; Lev 3:9-11.</w:t>
      </w:r>
    </w:p>
  </w:footnote>
  <w:footnote w:id="2174">
    <w:p>
      <w:pPr>
        <w:pStyle w:val="FootnoteText"/>
      </w:pPr>
      <w:r>
        <w:rPr>
          <w:rStyle w:val="FootnoteReference"/>
        </w:rPr>
        <w:footnoteRef/>
      </w:r>
      <w:r>
        <w:t xml:space="preserve"> Translation note: Greek says offered on the altar here. Other English traditions often smooth this to burned on the altar.</w:t>
      </w:r>
    </w:p>
  </w:footnote>
  <w:footnote w:id="2175">
    <w:p>
      <w:pPr>
        <w:pStyle w:val="FootnoteText"/>
      </w:pPr>
      <w:r>
        <w:rPr>
          <w:rStyle w:val="FootnoteReference"/>
        </w:rPr>
        <w:footnoteRef/>
      </w:r>
      <w:r>
        <w:t xml:space="preserve"> Cross-references for "the glory": Lev 9:6; Num 14:10.</w:t>
      </w:r>
    </w:p>
  </w:footnote>
  <w:footnote w:id="2176">
    <w:p>
      <w:pPr>
        <w:pStyle w:val="FootnoteText"/>
      </w:pPr>
      <w:r>
        <w:rPr>
          <w:rStyle w:val="FootnoteReference"/>
        </w:rPr>
        <w:footnoteRef/>
      </w:r>
      <w:r>
        <w:t xml:space="preserve"> Cross-references for "Nadab": Exod 6:23; Exod 24:1.</w:t>
      </w:r>
    </w:p>
  </w:footnote>
  <w:footnote w:id="2177">
    <w:p>
      <w:pPr>
        <w:pStyle w:val="FootnoteText"/>
      </w:pPr>
      <w:r>
        <w:rPr>
          <w:rStyle w:val="FootnoteReference"/>
        </w:rPr>
        <w:footnoteRef/>
      </w:r>
      <w:r>
        <w:t xml:space="preserve"> Cross-references for "fire": Lev 9:24; Lev 16:1.</w:t>
      </w:r>
    </w:p>
  </w:footnote>
  <w:footnote w:id="2178">
    <w:p>
      <w:pPr>
        <w:pStyle w:val="FootnoteText"/>
      </w:pPr>
      <w:r>
        <w:rPr>
          <w:rStyle w:val="FootnoteReference"/>
        </w:rPr>
        <w:footnoteRef/>
      </w:r>
      <w:r>
        <w:t xml:space="preserve"> Cross-references for "I will be": Exod 14:4; Exod 19:22.</w:t>
      </w:r>
    </w:p>
  </w:footnote>
  <w:footnote w:id="2179">
    <w:p>
      <w:pPr>
        <w:pStyle w:val="FootnoteText"/>
      </w:pPr>
      <w:r>
        <w:rPr>
          <w:rStyle w:val="FootnoteReference"/>
        </w:rPr>
        <w:footnoteRef/>
      </w:r>
      <w:r>
        <w:t xml:space="preserve"> Personal name: Mishael. Personal-name meaning: Mishael — who is asked for or lent. Source form: Mishael.</w:t>
      </w:r>
    </w:p>
  </w:footnote>
  <w:footnote w:id="2180">
    <w:p>
      <w:pPr>
        <w:pStyle w:val="FootnoteText"/>
      </w:pPr>
      <w:r>
        <w:rPr>
          <w:rStyle w:val="FootnoteReference"/>
        </w:rPr>
        <w:footnoteRef/>
      </w:r>
      <w:r>
        <w:t xml:space="preserve"> Cross-references for "Uzziel": Exod 6:18; Exod 6:22.</w:t>
      </w:r>
    </w:p>
  </w:footnote>
  <w:footnote w:id="2181">
    <w:p>
      <w:pPr>
        <w:pStyle w:val="FootnoteText"/>
      </w:pPr>
      <w:r>
        <w:rPr>
          <w:rStyle w:val="FootnoteReference"/>
        </w:rPr>
        <w:footnoteRef/>
      </w:r>
      <w:r>
        <w:t xml:space="preserve"> Cross-references for "uncover": Exod 33:5; Lev 13:45.</w:t>
      </w:r>
    </w:p>
  </w:footnote>
  <w:footnote w:id="2182">
    <w:p>
      <w:pPr>
        <w:pStyle w:val="FootnoteText"/>
      </w:pPr>
      <w:r>
        <w:rPr>
          <w:rStyle w:val="FootnoteReference"/>
        </w:rPr>
        <w:footnoteRef/>
      </w:r>
      <w:r>
        <w:t xml:space="preserve"> Translation note: Greek says they shall mourn the burning with which they were burned.</w:t>
      </w:r>
    </w:p>
  </w:footnote>
  <w:footnote w:id="2183">
    <w:p>
      <w:pPr>
        <w:pStyle w:val="FootnoteText"/>
      </w:pPr>
      <w:r>
        <w:rPr>
          <w:rStyle w:val="FootnoteReference"/>
        </w:rPr>
        <w:footnoteRef/>
      </w:r>
      <w:r>
        <w:t xml:space="preserve"> Cross-references for "the anointing": Exod 28:41; Exod 30:30.</w:t>
      </w:r>
    </w:p>
  </w:footnote>
  <w:footnote w:id="2184">
    <w:p>
      <w:pPr>
        <w:pStyle w:val="FootnoteText"/>
      </w:pPr>
      <w:r>
        <w:rPr>
          <w:rStyle w:val="FootnoteReference"/>
        </w:rPr>
        <w:footnoteRef/>
      </w:r>
      <w:r>
        <w:t xml:space="preserve"> Cross-references for "Take": Exod 29:2; Lev 2:1-16.</w:t>
      </w:r>
    </w:p>
  </w:footnote>
  <w:footnote w:id="2185">
    <w:p>
      <w:pPr>
        <w:pStyle w:val="FootnoteText"/>
      </w:pPr>
      <w:r>
        <w:rPr>
          <w:rStyle w:val="FootnoteReference"/>
        </w:rPr>
        <w:footnoteRef/>
      </w:r>
      <w:r>
        <w:t xml:space="preserve"> Translation note: Greek says breast of separation and arm of contribution.</w:t>
      </w:r>
    </w:p>
  </w:footnote>
  <w:footnote w:id="2186">
    <w:p>
      <w:pPr>
        <w:pStyle w:val="FootnoteText"/>
      </w:pPr>
      <w:r>
        <w:rPr>
          <w:rStyle w:val="FootnoteReference"/>
        </w:rPr>
        <w:footnoteRef/>
      </w:r>
      <w:r>
        <w:t xml:space="preserve"> Translation note: Greek says arm of contribution and breast of separation.</w:t>
      </w:r>
    </w:p>
  </w:footnote>
  <w:footnote w:id="2187">
    <w:p>
      <w:pPr>
        <w:pStyle w:val="FootnoteText"/>
      </w:pPr>
      <w:r>
        <w:rPr>
          <w:rStyle w:val="FootnoteReference"/>
        </w:rPr>
        <w:footnoteRef/>
      </w:r>
      <w:r>
        <w:t xml:space="preserve"> Cross-references for "angry": Exod 32:19-22; Num 12:3.</w:t>
      </w:r>
    </w:p>
  </w:footnote>
  <w:footnote w:id="2188">
    <w:p>
      <w:pPr>
        <w:pStyle w:val="FootnoteText"/>
      </w:pPr>
      <w:r>
        <w:rPr>
          <w:rStyle w:val="FootnoteReference"/>
        </w:rPr>
        <w:footnoteRef/>
      </w:r>
      <w:r>
        <w:t xml:space="preserve"> Translation note: Greek says take away the sin of the congregation.</w:t>
      </w:r>
    </w:p>
  </w:footnote>
  <w:footnote w:id="2189">
    <w:p>
      <w:pPr>
        <w:pStyle w:val="FootnoteText"/>
      </w:pPr>
      <w:r>
        <w:rPr>
          <w:rStyle w:val="FootnoteReference"/>
        </w:rPr>
        <w:footnoteRef/>
      </w:r>
      <w:r>
        <w:t xml:space="preserve"> Translation note: Greek says things for sin here.</w:t>
      </w:r>
    </w:p>
  </w:footnote>
  <w:footnote w:id="2190">
    <w:p>
      <w:pPr>
        <w:pStyle w:val="FootnoteText"/>
      </w:pPr>
      <w:r>
        <w:rPr>
          <w:rStyle w:val="FootnoteReference"/>
        </w:rPr>
        <w:footnoteRef/>
      </w:r>
      <w:r>
        <w:t xml:space="preserve"> Translation note: Greek joins eating and touching bans here. Current wording preserves both parts.</w:t>
      </w:r>
    </w:p>
  </w:footnote>
  <w:footnote w:id="2191">
    <w:p>
      <w:pPr>
        <w:pStyle w:val="FootnoteText"/>
      </w:pPr>
      <w:r>
        <w:rPr>
          <w:rStyle w:val="FootnoteReference"/>
        </w:rPr>
        <w:footnoteRef/>
      </w:r>
      <w:r>
        <w:t xml:space="preserve"> Cross-references for "They are unclean": Lev 5:2; Isa 52:11.</w:t>
      </w:r>
    </w:p>
  </w:footnote>
  <w:footnote w:id="2192">
    <w:p>
      <w:pPr>
        <w:pStyle w:val="FootnoteText"/>
      </w:pPr>
      <w:r>
        <w:rPr>
          <w:rStyle w:val="FootnoteReference"/>
        </w:rPr>
        <w:footnoteRef/>
      </w:r>
      <w:r>
        <w:t xml:space="preserve"> Cross-references for "the eagle": Deut 14:12-20; Job 28:7.</w:t>
      </w:r>
    </w:p>
  </w:footnote>
  <w:footnote w:id="2193">
    <w:p>
      <w:pPr>
        <w:pStyle w:val="FootnoteText"/>
      </w:pPr>
      <w:r>
        <w:rPr>
          <w:rStyle w:val="FootnoteReference"/>
        </w:rPr>
        <w:footnoteRef/>
      </w:r>
      <w:r>
        <w:t xml:space="preserve"> Cross-references for "and be unclean": Exod 19:10; Exod 19:14.</w:t>
      </w:r>
    </w:p>
  </w:footnote>
  <w:footnote w:id="2194">
    <w:p>
      <w:pPr>
        <w:pStyle w:val="FootnoteText"/>
      </w:pPr>
      <w:r>
        <w:rPr>
          <w:rStyle w:val="FootnoteReference"/>
        </w:rPr>
        <w:footnoteRef/>
      </w:r>
      <w:r>
        <w:t xml:space="preserve"> Cross-references for "shall wash": Lev 11:14.</w:t>
      </w:r>
    </w:p>
  </w:footnote>
  <w:footnote w:id="2195">
    <w:p>
      <w:pPr>
        <w:pStyle w:val="FootnoteText"/>
      </w:pPr>
      <w:r>
        <w:rPr>
          <w:rStyle w:val="FootnoteReference"/>
        </w:rPr>
        <w:footnoteRef/>
      </w:r>
      <w:r>
        <w:t xml:space="preserve"> Cross-references for "creeping things that creep": Lev 11:20-21; Lev 11:41-42.</w:t>
      </w:r>
    </w:p>
  </w:footnote>
  <w:footnote w:id="2196">
    <w:p>
      <w:pPr>
        <w:pStyle w:val="FootnoteText"/>
      </w:pPr>
      <w:r>
        <w:rPr>
          <w:rStyle w:val="FootnoteReference"/>
        </w:rPr>
        <w:footnoteRef/>
      </w:r>
      <w:r>
        <w:t xml:space="preserve"> Translation note: Greek says every vessel in which work is done here. Current line keeps that wording.</w:t>
      </w:r>
    </w:p>
  </w:footnote>
  <w:footnote w:id="2197">
    <w:p>
      <w:pPr>
        <w:pStyle w:val="FootnoteText"/>
      </w:pPr>
      <w:r>
        <w:rPr>
          <w:rStyle w:val="FootnoteReference"/>
        </w:rPr>
        <w:footnoteRef/>
      </w:r>
      <w:r>
        <w:t xml:space="preserve"> Cross-references for "shall wash": Lev 11:28; Lev 14:8-9.</w:t>
      </w:r>
    </w:p>
  </w:footnote>
  <w:footnote w:id="2198">
    <w:p>
      <w:pPr>
        <w:pStyle w:val="FootnoteText"/>
      </w:pPr>
      <w:r>
        <w:rPr>
          <w:rStyle w:val="FootnoteReference"/>
        </w:rPr>
        <w:footnoteRef/>
      </w:r>
      <w:r>
        <w:t xml:space="preserve"> Translation note: Greek repeats the creeping term in this food-law ban. Current wording preserves that line.</w:t>
      </w:r>
    </w:p>
  </w:footnote>
  <w:footnote w:id="2199">
    <w:p>
      <w:pPr>
        <w:pStyle w:val="FootnoteText"/>
      </w:pPr>
      <w:r>
        <w:rPr>
          <w:rStyle w:val="FootnoteReference"/>
        </w:rPr>
        <w:footnoteRef/>
      </w:r>
      <w:r>
        <w:t xml:space="preserve"> Translation note: Greek says on belly on four feet and with many feet.</w:t>
      </w:r>
    </w:p>
  </w:footnote>
  <w:footnote w:id="2200">
    <w:p>
      <w:pPr>
        <w:pStyle w:val="FootnoteText"/>
      </w:pPr>
      <w:r>
        <w:rPr>
          <w:rStyle w:val="FootnoteReference"/>
        </w:rPr>
        <w:footnoteRef/>
      </w:r>
      <w:r>
        <w:t xml:space="preserve"> Cross-references for "I am the": Exod 20:2.</w:t>
      </w:r>
    </w:p>
  </w:footnote>
  <w:footnote w:id="2201">
    <w:p>
      <w:pPr>
        <w:pStyle w:val="FootnoteText"/>
      </w:pPr>
      <w:r>
        <w:rPr>
          <w:rStyle w:val="FootnoteReference"/>
        </w:rPr>
        <w:footnoteRef/>
      </w:r>
      <w:r>
        <w:t xml:space="preserve"> Translation note: Greek says defile your lives here. Current line keeps that wording.</w:t>
      </w:r>
    </w:p>
  </w:footnote>
  <w:footnote w:id="2202">
    <w:p>
      <w:pPr>
        <w:pStyle w:val="FootnoteText"/>
      </w:pPr>
      <w:r>
        <w:rPr>
          <w:rStyle w:val="FootnoteReference"/>
        </w:rPr>
        <w:footnoteRef/>
      </w:r>
      <w:r>
        <w:t xml:space="preserve"> Cross-references for "be holy": Exod 6:7; Exod 20:2.</w:t>
      </w:r>
    </w:p>
  </w:footnote>
  <w:footnote w:id="2203">
    <w:p>
      <w:pPr>
        <w:pStyle w:val="FootnoteText"/>
      </w:pPr>
      <w:r>
        <w:rPr>
          <w:rStyle w:val="FootnoteReference"/>
        </w:rPr>
        <w:footnoteRef/>
      </w:r>
      <w:r>
        <w:t xml:space="preserve"> Translation note: Greek gives the law's close in distinction language. Current wording preserves it.</w:t>
      </w:r>
    </w:p>
  </w:footnote>
  <w:footnote w:id="2204">
    <w:p>
      <w:pPr>
        <w:pStyle w:val="FootnoteText"/>
      </w:pPr>
      <w:r>
        <w:rPr>
          <w:rStyle w:val="FootnoteReference"/>
        </w:rPr>
        <w:footnoteRef/>
      </w:r>
      <w:r>
        <w:t xml:space="preserve"> Cross-references for "If a woman": Gen 1:28; Gen 3:16.</w:t>
      </w:r>
    </w:p>
  </w:footnote>
  <w:footnote w:id="2205">
    <w:p>
      <w:pPr>
        <w:pStyle w:val="FootnoteText"/>
      </w:pPr>
      <w:r>
        <w:rPr>
          <w:rStyle w:val="FootnoteReference"/>
        </w:rPr>
        <w:footnoteRef/>
      </w:r>
      <w:r>
        <w:t xml:space="preserve"> Translation note: Greek says conceives seed and bears male.</w:t>
      </w:r>
    </w:p>
  </w:footnote>
  <w:footnote w:id="2206">
    <w:p>
      <w:pPr>
        <w:pStyle w:val="FootnoteText"/>
      </w:pPr>
      <w:r>
        <w:rPr>
          <w:rStyle w:val="FootnoteReference"/>
        </w:rPr>
        <w:footnoteRef/>
      </w:r>
      <w:r>
        <w:t xml:space="preserve"> Translation note: Greek line matches current rendering closely here.</w:t>
      </w:r>
    </w:p>
  </w:footnote>
  <w:footnote w:id="2207">
    <w:p>
      <w:pPr>
        <w:pStyle w:val="FootnoteText"/>
      </w:pPr>
      <w:r>
        <w:rPr>
          <w:rStyle w:val="FootnoteReference"/>
        </w:rPr>
        <w:footnoteRef/>
      </w:r>
      <w:r>
        <w:t xml:space="preserve"> Cross-references for "make": Lev 1:4; Lev 4:20.</w:t>
      </w:r>
    </w:p>
  </w:footnote>
  <w:footnote w:id="2208">
    <w:p>
      <w:pPr>
        <w:pStyle w:val="FootnoteText"/>
      </w:pPr>
      <w:r>
        <w:rPr>
          <w:rStyle w:val="FootnoteReference"/>
        </w:rPr>
        <w:footnoteRef/>
      </w:r>
      <w:r>
        <w:t xml:space="preserve"> Translation note: Greek keeps this idiom for inability to afford lamb.</w:t>
      </w:r>
    </w:p>
  </w:footnote>
  <w:footnote w:id="2209">
    <w:p>
      <w:pPr>
        <w:pStyle w:val="FootnoteText"/>
      </w:pPr>
      <w:r>
        <w:rPr>
          <w:rStyle w:val="FootnoteReference"/>
        </w:rPr>
        <w:footnoteRef/>
      </w:r>
      <w:r>
        <w:t xml:space="preserve"> Translation note: Greek says mark of skin-disease.</w:t>
      </w:r>
    </w:p>
  </w:footnote>
  <w:footnote w:id="2210">
    <w:p>
      <w:pPr>
        <w:pStyle w:val="FootnoteText"/>
      </w:pPr>
      <w:r>
        <w:rPr>
          <w:rStyle w:val="FootnoteReference"/>
        </w:rPr>
        <w:footnoteRef/>
      </w:r>
      <w:r>
        <w:t xml:space="preserve"> Cross-references for "he shall": Deut 17:8-9; Deut 24:8.</w:t>
      </w:r>
    </w:p>
  </w:footnote>
  <w:footnote w:id="2211">
    <w:p>
      <w:pPr>
        <w:pStyle w:val="FootnoteText"/>
      </w:pPr>
      <w:r>
        <w:rPr>
          <w:rStyle w:val="FootnoteReference"/>
        </w:rPr>
        <w:footnoteRef/>
      </w:r>
      <w:r>
        <w:t xml:space="preserve"> Cross-references for "turned": Ezek 16:30; Hos 7:9.</w:t>
      </w:r>
    </w:p>
  </w:footnote>
  <w:footnote w:id="2212">
    <w:p>
      <w:pPr>
        <w:pStyle w:val="FootnoteText"/>
      </w:pPr>
      <w:r>
        <w:rPr>
          <w:rStyle w:val="FootnoteReference"/>
        </w:rPr>
        <w:footnoteRef/>
      </w:r>
      <w:r>
        <w:t xml:space="preserve"> Translation note: Greek says appearance of mark is deeper than skin of his flesh.</w:t>
      </w:r>
    </w:p>
  </w:footnote>
  <w:footnote w:id="2213">
    <w:p>
      <w:pPr>
        <w:pStyle w:val="FootnoteText"/>
      </w:pPr>
      <w:r>
        <w:rPr>
          <w:rStyle w:val="FootnoteReference"/>
        </w:rPr>
        <w:footnoteRef/>
      </w:r>
      <w:r>
        <w:t xml:space="preserve"> Translation note: The Greek keeps the isolation line direct. The current wording preserves it.</w:t>
      </w:r>
    </w:p>
  </w:footnote>
  <w:footnote w:id="2214">
    <w:p>
      <w:pPr>
        <w:pStyle w:val="FootnoteText"/>
      </w:pPr>
      <w:r>
        <w:rPr>
          <w:rStyle w:val="FootnoteReference"/>
        </w:rPr>
        <w:footnoteRef/>
      </w:r>
      <w:r>
        <w:t xml:space="preserve"> Cross-references for "pronounce": Isa 11:3-4; Isa 42:3.</w:t>
      </w:r>
    </w:p>
  </w:footnote>
  <w:footnote w:id="2215">
    <w:p>
      <w:pPr>
        <w:pStyle w:val="FootnoteText"/>
      </w:pPr>
      <w:r>
        <w:rPr>
          <w:rStyle w:val="FootnoteReference"/>
        </w:rPr>
        <w:footnoteRef/>
      </w:r>
      <w:r>
        <w:t xml:space="preserve"> Translation note: Greek says mark/sign only here.</w:t>
      </w:r>
    </w:p>
  </w:footnote>
  <w:footnote w:id="2216">
    <w:p>
      <w:pPr>
        <w:pStyle w:val="FootnoteText"/>
      </w:pPr>
      <w:r>
        <w:rPr>
          <w:rStyle w:val="FootnoteReference"/>
        </w:rPr>
        <w:footnoteRef/>
      </w:r>
      <w:r>
        <w:t xml:space="preserve"> Translation note: Greek says pronounce the mark clean.</w:t>
      </w:r>
    </w:p>
  </w:footnote>
  <w:footnote w:id="2217">
    <w:p>
      <w:pPr>
        <w:pStyle w:val="FootnoteText"/>
      </w:pPr>
      <w:r>
        <w:rPr>
          <w:rStyle w:val="FootnoteReference"/>
        </w:rPr>
        <w:footnoteRef/>
      </w:r>
      <w:r>
        <w:t xml:space="preserve"> Cross-references for "He is clean": Isa 64:6; John 9:41.</w:t>
      </w:r>
    </w:p>
  </w:footnote>
  <w:footnote w:id="2218">
    <w:p>
      <w:pPr>
        <w:pStyle w:val="FootnoteText"/>
      </w:pPr>
      <w:r>
        <w:rPr>
          <w:rStyle w:val="FootnoteReference"/>
        </w:rPr>
        <w:footnoteRef/>
      </w:r>
      <w:r>
        <w:t xml:space="preserve"> Translation note: Greek uses healthy flesh as the diagnostic term here. Current wording preserves that counterintuitive inspection line.</w:t>
      </w:r>
    </w:p>
  </w:footnote>
  <w:footnote w:id="2219">
    <w:p>
      <w:pPr>
        <w:pStyle w:val="FootnoteText"/>
      </w:pPr>
      <w:r>
        <w:rPr>
          <w:rStyle w:val="FootnoteReference"/>
        </w:rPr>
        <w:footnoteRef/>
      </w:r>
      <w:r>
        <w:t xml:space="preserve"> Translation note: Greek stacks the visual descriptors for the sore site. Current wording preserves that diagnostic wording.</w:t>
      </w:r>
    </w:p>
  </w:footnote>
  <w:footnote w:id="2220">
    <w:p>
      <w:pPr>
        <w:pStyle w:val="FootnoteText"/>
      </w:pPr>
      <w:r>
        <w:rPr>
          <w:rStyle w:val="FootnoteReference"/>
        </w:rPr>
        <w:footnoteRef/>
      </w:r>
      <w:r>
        <w:t xml:space="preserve"> Cross-references for "turned white": Lev 13:4; Lev 13:18-20.</w:t>
      </w:r>
    </w:p>
  </w:footnote>
  <w:footnote w:id="2221">
    <w:p>
      <w:pPr>
        <w:pStyle w:val="FootnoteText"/>
      </w:pPr>
      <w:r>
        <w:rPr>
          <w:rStyle w:val="FootnoteReference"/>
        </w:rPr>
        <w:footnoteRef/>
      </w:r>
      <w:r>
        <w:t xml:space="preserve"> Translation note: Greek says it has broken out in the burn.</w:t>
      </w:r>
    </w:p>
  </w:footnote>
  <w:footnote w:id="2222">
    <w:p>
      <w:pPr>
        <w:pStyle w:val="FootnoteText"/>
      </w:pPr>
      <w:r>
        <w:rPr>
          <w:rStyle w:val="FootnoteReference"/>
        </w:rPr>
        <w:footnoteRef/>
      </w:r>
      <w:r>
        <w:t xml:space="preserve"> Translation note: Greek says scar/mark of burn here.</w:t>
      </w:r>
    </w:p>
  </w:footnote>
  <w:footnote w:id="2223">
    <w:p>
      <w:pPr>
        <w:pStyle w:val="FootnoteText"/>
      </w:pPr>
      <w:r>
        <w:rPr>
          <w:rStyle w:val="FootnoteReference"/>
        </w:rPr>
        <w:footnoteRef/>
      </w:r>
      <w:r>
        <w:t xml:space="preserve"> Translation note: Greek says scaly patch here.</w:t>
      </w:r>
    </w:p>
  </w:footnote>
  <w:footnote w:id="2224">
    <w:p>
      <w:pPr>
        <w:pStyle w:val="FootnoteText"/>
      </w:pPr>
      <w:r>
        <w:rPr>
          <w:rStyle w:val="FootnoteReference"/>
        </w:rPr>
        <w:footnoteRef/>
      </w:r>
      <w:r>
        <w:t xml:space="preserve"> Translation note: Greek says yellowish hair here.</w:t>
      </w:r>
    </w:p>
  </w:footnote>
  <w:footnote w:id="2225">
    <w:p>
      <w:pPr>
        <w:pStyle w:val="FootnoteText"/>
      </w:pPr>
      <w:r>
        <w:rPr>
          <w:rStyle w:val="FootnoteReference"/>
        </w:rPr>
        <w:footnoteRef/>
      </w:r>
      <w:r>
        <w:t xml:space="preserve"> Cross-references for "seven days": Lev 13:4-6.</w:t>
      </w:r>
    </w:p>
  </w:footnote>
  <w:footnote w:id="2226">
    <w:p>
      <w:pPr>
        <w:pStyle w:val="FootnoteText"/>
      </w:pPr>
      <w:r>
        <w:rPr>
          <w:rStyle w:val="FootnoteReference"/>
        </w:rPr>
        <w:footnoteRef/>
      </w:r>
      <w:r>
        <w:t xml:space="preserve"> Cross-references for "the seventh": 1John 4:1; Jude 1:22.</w:t>
      </w:r>
    </w:p>
  </w:footnote>
  <w:footnote w:id="2227">
    <w:p>
      <w:pPr>
        <w:pStyle w:val="FootnoteText"/>
      </w:pPr>
      <w:r>
        <w:rPr>
          <w:rStyle w:val="FootnoteReference"/>
        </w:rPr>
        <w:footnoteRef/>
      </w:r>
      <w:r>
        <w:t xml:space="preserve"> Translation note: Greek keeps the diagnostic spread language explicit. Current wording preserves that inspection formula.</w:t>
      </w:r>
    </w:p>
  </w:footnote>
  <w:footnote w:id="2228">
    <w:p>
      <w:pPr>
        <w:pStyle w:val="FootnoteText"/>
      </w:pPr>
      <w:r>
        <w:rPr>
          <w:rStyle w:val="FootnoteReference"/>
        </w:rPr>
        <w:footnoteRef/>
      </w:r>
      <w:r>
        <w:t xml:space="preserve"> Translation note: Greek stacks visual descriptors for the skin mark. Current wording preserves that diagnostic wording.</w:t>
      </w:r>
    </w:p>
  </w:footnote>
  <w:footnote w:id="2229">
    <w:p>
      <w:pPr>
        <w:pStyle w:val="FootnoteText"/>
      </w:pPr>
      <w:r>
        <w:rPr>
          <w:rStyle w:val="FootnoteReference"/>
        </w:rPr>
        <w:footnoteRef/>
      </w:r>
      <w:r>
        <w:t xml:space="preserve"> Translation note: Greek stacks visual descriptors here. Current wording preserves that diagnostic wording.</w:t>
      </w:r>
    </w:p>
  </w:footnote>
  <w:footnote w:id="2230">
    <w:p>
      <w:pPr>
        <w:pStyle w:val="FootnoteText"/>
      </w:pPr>
      <w:r>
        <w:rPr>
          <w:rStyle w:val="FootnoteReference"/>
        </w:rPr>
        <w:footnoteRef/>
      </w:r>
      <w:r>
        <w:t xml:space="preserve"> Translation note: Greek stacks the diagnostic color wording here. Current wording preserves that visual description.</w:t>
      </w:r>
    </w:p>
  </w:footnote>
  <w:footnote w:id="2231">
    <w:p>
      <w:pPr>
        <w:pStyle w:val="FootnoteText"/>
      </w:pPr>
      <w:r>
        <w:rPr>
          <w:rStyle w:val="FootnoteReference"/>
        </w:rPr>
        <w:footnoteRef/>
      </w:r>
      <w:r>
        <w:t xml:space="preserve"> Cross-references for "and his head": Lev 10:6; Lev 21:10.</w:t>
      </w:r>
    </w:p>
  </w:footnote>
  <w:footnote w:id="2232">
    <w:p>
      <w:pPr>
        <w:pStyle w:val="FootnoteText"/>
      </w:pPr>
      <w:r>
        <w:rPr>
          <w:rStyle w:val="FootnoteReference"/>
        </w:rPr>
        <w:footnoteRef/>
      </w:r>
      <w:r>
        <w:t xml:space="preserve"> Cross-references for "the days": Prov 30:12.</w:t>
      </w:r>
    </w:p>
  </w:footnote>
  <w:footnote w:id="2233">
    <w:p>
      <w:pPr>
        <w:pStyle w:val="FootnoteText"/>
      </w:pPr>
      <w:r>
        <w:rPr>
          <w:rStyle w:val="FootnoteReference"/>
        </w:rPr>
        <w:footnoteRef/>
      </w:r>
      <w:r>
        <w:t xml:space="preserve"> Translation note: Greek says persistent skin-disease here.</w:t>
      </w:r>
    </w:p>
  </w:footnote>
  <w:footnote w:id="2234">
    <w:p>
      <w:pPr>
        <w:pStyle w:val="FootnoteText"/>
      </w:pPr>
      <w:r>
        <w:rPr>
          <w:rStyle w:val="FootnoteReference"/>
        </w:rPr>
        <w:footnoteRef/>
      </w:r>
      <w:r>
        <w:t xml:space="preserve"> Cross-references for "burn": Lev 11:33; Lev 11:35.</w:t>
      </w:r>
    </w:p>
  </w:footnote>
  <w:footnote w:id="2235">
    <w:p>
      <w:pPr>
        <w:pStyle w:val="FootnoteText"/>
      </w:pPr>
      <w:r>
        <w:rPr>
          <w:rStyle w:val="FootnoteReference"/>
        </w:rPr>
        <w:footnoteRef/>
      </w:r>
      <w:r>
        <w:t xml:space="preserve"> Translation note: Greek says fixed in garment or warp or woof.</w:t>
      </w:r>
    </w:p>
  </w:footnote>
  <w:footnote w:id="2236">
    <w:p>
      <w:pPr>
        <w:pStyle w:val="FootnoteText"/>
      </w:pPr>
      <w:r>
        <w:rPr>
          <w:rStyle w:val="FootnoteReference"/>
        </w:rPr>
        <w:footnoteRef/>
      </w:r>
      <w:r>
        <w:t xml:space="preserve"> Cross-references for "be washed": 2Kgs 5:10; 2Kgs 5:14.</w:t>
      </w:r>
    </w:p>
  </w:footnote>
  <w:footnote w:id="2237">
    <w:p>
      <w:pPr>
        <w:pStyle w:val="FootnoteText"/>
      </w:pPr>
      <w:r>
        <w:rPr>
          <w:rStyle w:val="FootnoteReference"/>
        </w:rPr>
        <w:footnoteRef/>
      </w:r>
      <w:r>
        <w:t xml:space="preserve"> Cross-references for "the law": Lev 13:59; Lev 14:54-57.</w:t>
      </w:r>
    </w:p>
  </w:footnote>
  <w:footnote w:id="2238">
    <w:p>
      <w:pPr>
        <w:pStyle w:val="FootnoteText"/>
      </w:pPr>
      <w:r>
        <w:rPr>
          <w:rStyle w:val="FootnoteReference"/>
        </w:rPr>
        <w:footnoteRef/>
      </w:r>
      <w:r>
        <w:t xml:space="preserve"> Cross-references for "cedar": Lev 14:6; Lev 14:49-52.</w:t>
      </w:r>
    </w:p>
  </w:footnote>
  <w:footnote w:id="2239">
    <w:p>
      <w:pPr>
        <w:pStyle w:val="FootnoteText"/>
      </w:pPr>
      <w:r>
        <w:rPr>
          <w:rStyle w:val="FootnoteReference"/>
        </w:rPr>
        <w:footnoteRef/>
      </w:r>
      <w:r>
        <w:t xml:space="preserve"> Cross-references for "earthen vessel": Lev 14:50; Num 5:17.</w:t>
      </w:r>
    </w:p>
  </w:footnote>
  <w:footnote w:id="2240">
    <w:p>
      <w:pPr>
        <w:pStyle w:val="FootnoteText"/>
      </w:pPr>
      <w:r>
        <w:rPr>
          <w:rStyle w:val="FootnoteReference"/>
        </w:rPr>
        <w:footnoteRef/>
      </w:r>
      <w:r>
        <w:t xml:space="preserve"> Cross-references for "the living bird": John 14:19; Rom 4:25.</w:t>
      </w:r>
    </w:p>
  </w:footnote>
  <w:footnote w:id="2241">
    <w:p>
      <w:pPr>
        <w:pStyle w:val="FootnoteText"/>
      </w:pPr>
      <w:r>
        <w:rPr>
          <w:rStyle w:val="FootnoteReference"/>
        </w:rPr>
        <w:footnoteRef/>
      </w:r>
      <w:r>
        <w:t xml:space="preserve"> Cross-references for "sprinkle": Num 19:18-19; Isa 52:15.</w:t>
      </w:r>
    </w:p>
  </w:footnote>
  <w:footnote w:id="2242">
    <w:p>
      <w:pPr>
        <w:pStyle w:val="FootnoteText"/>
      </w:pPr>
      <w:r>
        <w:rPr>
          <w:rStyle w:val="FootnoteReference"/>
        </w:rPr>
        <w:footnoteRef/>
      </w:r>
      <w:r>
        <w:t xml:space="preserve"> Cross-references for "wash his": Exod 19:10; Exod 19:14.</w:t>
      </w:r>
    </w:p>
  </w:footnote>
  <w:footnote w:id="2243">
    <w:p>
      <w:pPr>
        <w:pStyle w:val="FootnoteText"/>
      </w:pPr>
      <w:r>
        <w:rPr>
          <w:rStyle w:val="FootnoteReference"/>
        </w:rPr>
        <w:footnoteRef/>
      </w:r>
      <w:r>
        <w:t xml:space="preserve"> Translation note: Greek says house here, not tent. The translation follows that wording.</w:t>
      </w:r>
    </w:p>
  </w:footnote>
  <w:footnote w:id="2244">
    <w:p>
      <w:pPr>
        <w:pStyle w:val="FootnoteText"/>
      </w:pPr>
      <w:r>
        <w:rPr>
          <w:rStyle w:val="FootnoteReference"/>
        </w:rPr>
        <w:footnoteRef/>
      </w:r>
      <w:r>
        <w:t xml:space="preserve"> Cross-references for "shave all": Num 6:9; Num 8:7.</w:t>
      </w:r>
    </w:p>
  </w:footnote>
  <w:footnote w:id="2245">
    <w:p>
      <w:pPr>
        <w:pStyle w:val="FootnoteText"/>
      </w:pPr>
      <w:r>
        <w:rPr>
          <w:rStyle w:val="FootnoteReference"/>
        </w:rPr>
        <w:footnoteRef/>
      </w:r>
      <w:r>
        <w:t xml:space="preserve"> Cross-references for "eighth day": Lev 9:1; Lev 14:23.</w:t>
      </w:r>
    </w:p>
  </w:footnote>
  <w:footnote w:id="2246">
    <w:p>
      <w:pPr>
        <w:pStyle w:val="FootnoteText"/>
      </w:pPr>
      <w:r>
        <w:rPr>
          <w:rStyle w:val="FootnoteReference"/>
        </w:rPr>
        <w:footnoteRef/>
      </w:r>
      <w:r>
        <w:t xml:space="preserve"> Cross-references for "trespass": Lev 5:2-3; Lev 5:6-7.</w:t>
      </w:r>
    </w:p>
  </w:footnote>
  <w:footnote w:id="2247">
    <w:p>
      <w:pPr>
        <w:pStyle w:val="FootnoteText"/>
      </w:pPr>
      <w:r>
        <w:rPr>
          <w:rStyle w:val="FootnoteReference"/>
        </w:rPr>
        <w:footnoteRef/>
      </w:r>
      <w:r>
        <w:t xml:space="preserve"> Cross-references for "in the place": Exod 29:11; Lev 1:5.</w:t>
      </w:r>
    </w:p>
  </w:footnote>
  <w:footnote w:id="2248">
    <w:p>
      <w:pPr>
        <w:pStyle w:val="FootnoteText"/>
      </w:pPr>
      <w:r>
        <w:rPr>
          <w:rStyle w:val="FootnoteReference"/>
        </w:rPr>
        <w:footnoteRef/>
      </w:r>
      <w:r>
        <w:t xml:space="preserve"> Translation note: Greek uses a more specific body-part noun than simple tip. The ritual placement remains the same, but the English keeps the Greek anatomy closer.</w:t>
      </w:r>
    </w:p>
  </w:footnote>
  <w:footnote w:id="2249">
    <w:p>
      <w:pPr>
        <w:pStyle w:val="FootnoteText"/>
      </w:pPr>
      <w:r>
        <w:rPr>
          <w:rStyle w:val="FootnoteReference"/>
        </w:rPr>
        <w:footnoteRef/>
      </w:r>
      <w:r>
        <w:t xml:space="preserve"> Translation note: Greek keeps the hand-and-finger ritual detail very explicit. Current wording preserves that ceremonial action.</w:t>
      </w:r>
    </w:p>
  </w:footnote>
  <w:footnote w:id="2250">
    <w:p>
      <w:pPr>
        <w:pStyle w:val="FootnoteText"/>
      </w:pPr>
      <w:r>
        <w:rPr>
          <w:rStyle w:val="FootnoteReference"/>
        </w:rPr>
        <w:footnoteRef/>
      </w:r>
      <w:r>
        <w:t xml:space="preserve"> Translation note: Greek says on the place of the blood of the thing for trespass.</w:t>
      </w:r>
    </w:p>
  </w:footnote>
  <w:footnote w:id="2251">
    <w:p>
      <w:pPr>
        <w:pStyle w:val="FootnoteText"/>
      </w:pPr>
      <w:r>
        <w:rPr>
          <w:rStyle w:val="FootnoteReference"/>
        </w:rPr>
        <w:footnoteRef/>
      </w:r>
      <w:r>
        <w:t xml:space="preserve"> Translation note: Greek says if poor and hand cannot find enough and calls lamb contribution.</w:t>
      </w:r>
    </w:p>
  </w:footnote>
  <w:footnote w:id="2252">
    <w:p>
      <w:pPr>
        <w:pStyle w:val="FootnoteText"/>
      </w:pPr>
      <w:r>
        <w:rPr>
          <w:rStyle w:val="FootnoteReference"/>
        </w:rPr>
        <w:footnoteRef/>
      </w:r>
      <w:r>
        <w:t xml:space="preserve"> Cross-references for "poor": Lev 1:14; Lev 5:7.</w:t>
      </w:r>
    </w:p>
  </w:footnote>
  <w:footnote w:id="2253">
    <w:p>
      <w:pPr>
        <w:pStyle w:val="FootnoteText"/>
      </w:pPr>
      <w:r>
        <w:rPr>
          <w:rStyle w:val="FootnoteReference"/>
        </w:rPr>
        <w:footnoteRef/>
      </w:r>
      <w:r>
        <w:t xml:space="preserve"> Translation note: Greek says blood of the thing for trespass.</w:t>
      </w:r>
    </w:p>
  </w:footnote>
  <w:footnote w:id="2254">
    <w:p>
      <w:pPr>
        <w:pStyle w:val="FootnoteText"/>
      </w:pPr>
      <w:r>
        <w:rPr>
          <w:rStyle w:val="FootnoteReference"/>
        </w:rPr>
        <w:footnoteRef/>
      </w:r>
      <w:r>
        <w:t xml:space="preserve"> Translation note: The Greek ritual wording is direct here. The current wording preserves it.</w:t>
      </w:r>
    </w:p>
  </w:footnote>
  <w:footnote w:id="2255">
    <w:p>
      <w:pPr>
        <w:pStyle w:val="FootnoteText"/>
      </w:pPr>
      <w:r>
        <w:rPr>
          <w:rStyle w:val="FootnoteReference"/>
        </w:rPr>
        <w:footnoteRef/>
      </w:r>
      <w:r>
        <w:t xml:space="preserve"> Translation note: Greek says blood of thing for trespass.</w:t>
      </w:r>
    </w:p>
  </w:footnote>
  <w:footnote w:id="2256">
    <w:p>
      <w:pPr>
        <w:pStyle w:val="FootnoteText"/>
      </w:pPr>
      <w:r>
        <w:rPr>
          <w:rStyle w:val="FootnoteReference"/>
        </w:rPr>
        <w:footnoteRef/>
      </w:r>
      <w:r>
        <w:t xml:space="preserve"> Translation note: Greek keeps with the sacrifice and the cleansing close here.</w:t>
      </w:r>
    </w:p>
  </w:footnote>
  <w:footnote w:id="2257">
    <w:p>
      <w:pPr>
        <w:pStyle w:val="FootnoteText"/>
      </w:pPr>
      <w:r>
        <w:rPr>
          <w:rStyle w:val="FootnoteReference"/>
        </w:rPr>
        <w:footnoteRef/>
      </w:r>
      <w:r>
        <w:t xml:space="preserve"> Cross-references for "whose hand": Lev 14:10; Lev 14:21.</w:t>
      </w:r>
    </w:p>
  </w:footnote>
  <w:footnote w:id="2258">
    <w:p>
      <w:pPr>
        <w:pStyle w:val="FootnoteText"/>
      </w:pPr>
      <w:r>
        <w:rPr>
          <w:rStyle w:val="FootnoteReference"/>
        </w:rPr>
        <w:footnoteRef/>
      </w:r>
      <w:r>
        <w:t xml:space="preserve"> Cross-references for "which I": Gen 12:7; Gen 13:17.</w:t>
      </w:r>
    </w:p>
  </w:footnote>
  <w:footnote w:id="2259">
    <w:p>
      <w:pPr>
        <w:pStyle w:val="FootnoteText"/>
      </w:pPr>
      <w:r>
        <w:rPr>
          <w:rStyle w:val="FootnoteReference"/>
        </w:rPr>
        <w:footnoteRef/>
      </w:r>
      <w:r>
        <w:t xml:space="preserve"> Translation note: Greek commands the house to be emptied. The translation keeps that stronger wording.</w:t>
      </w:r>
    </w:p>
  </w:footnote>
  <w:footnote w:id="2260">
    <w:p>
      <w:pPr>
        <w:pStyle w:val="FootnoteText"/>
      </w:pPr>
      <w:r>
        <w:rPr>
          <w:rStyle w:val="FootnoteReference"/>
        </w:rPr>
        <w:footnoteRef/>
      </w:r>
      <w:r>
        <w:t xml:space="preserve"> Cross-references for "into an unclean place": Job 36:13-14; Isa 65:4.</w:t>
      </w:r>
    </w:p>
  </w:footnote>
  <w:footnote w:id="2261">
    <w:p>
      <w:pPr>
        <w:pStyle w:val="FootnoteText"/>
      </w:pPr>
      <w:r>
        <w:rPr>
          <w:rStyle w:val="FootnoteReference"/>
        </w:rPr>
        <w:footnoteRef/>
      </w:r>
      <w:r>
        <w:t xml:space="preserve"> Cross-references for "into an unclean place": Lev 14:41.</w:t>
      </w:r>
    </w:p>
  </w:footnote>
  <w:footnote w:id="2262">
    <w:p>
      <w:pPr>
        <w:pStyle w:val="FootnoteText"/>
      </w:pPr>
      <w:r>
        <w:rPr>
          <w:rStyle w:val="FootnoteReference"/>
        </w:rPr>
        <w:footnoteRef/>
      </w:r>
      <w:r>
        <w:t xml:space="preserve"> Cross-references for "shall be unclean": Lev 11:24-25; Lev 11:28.</w:t>
      </w:r>
    </w:p>
  </w:footnote>
  <w:footnote w:id="2263">
    <w:p>
      <w:pPr>
        <w:pStyle w:val="FootnoteText"/>
      </w:pPr>
      <w:r>
        <w:rPr>
          <w:rStyle w:val="FootnoteReference"/>
        </w:rPr>
        <w:footnoteRef/>
      </w:r>
      <w:r>
        <w:t xml:space="preserve"> Translation note: Greek keeps the ritual sequence compact and direct. Current wording preserves it.</w:t>
      </w:r>
    </w:p>
  </w:footnote>
  <w:footnote w:id="2264">
    <w:p>
      <w:pPr>
        <w:pStyle w:val="FootnoteText"/>
      </w:pPr>
      <w:r>
        <w:rPr>
          <w:rStyle w:val="FootnoteReference"/>
        </w:rPr>
        <w:footnoteRef/>
      </w:r>
      <w:r>
        <w:t xml:space="preserve"> Cross-references for "the law": Lev 6:9; Lev 6:14.</w:t>
      </w:r>
    </w:p>
  </w:footnote>
  <w:footnote w:id="2265">
    <w:p>
      <w:pPr>
        <w:pStyle w:val="FootnoteText"/>
      </w:pPr>
      <w:r>
        <w:rPr>
          <w:rStyle w:val="FootnoteReference"/>
        </w:rPr>
        <w:footnoteRef/>
      </w:r>
      <w:r>
        <w:t xml:space="preserve"> Translation note: Greek closes with an explanatory formula. Current wording preserves that summary line.</w:t>
      </w:r>
    </w:p>
  </w:footnote>
  <w:footnote w:id="2266">
    <w:p>
      <w:pPr>
        <w:pStyle w:val="FootnoteText"/>
      </w:pPr>
      <w:r>
        <w:rPr>
          <w:rStyle w:val="FootnoteReference"/>
        </w:rPr>
        <w:footnoteRef/>
      </w:r>
      <w:r>
        <w:t xml:space="preserve"> Cross-references for "This is": Deut 24:8.</w:t>
      </w:r>
    </w:p>
  </w:footnote>
  <w:footnote w:id="2267">
    <w:p>
      <w:pPr>
        <w:pStyle w:val="FootnoteText"/>
      </w:pPr>
      <w:r>
        <w:rPr>
          <w:rStyle w:val="FootnoteReference"/>
        </w:rPr>
        <w:footnoteRef/>
      </w:r>
      <w:r>
        <w:t xml:space="preserve"> Cross-references for "Aaron": Lev 11:1; Lev 13:1.</w:t>
      </w:r>
    </w:p>
  </w:footnote>
  <w:footnote w:id="2268">
    <w:p>
      <w:pPr>
        <w:pStyle w:val="FootnoteText"/>
      </w:pPr>
      <w:r>
        <w:rPr>
          <w:rStyle w:val="FootnoteReference"/>
        </w:rPr>
        <w:footnoteRef/>
      </w:r>
      <w:r>
        <w:t xml:space="preserve"> Cross-references for "be unclean": 1Cor 15:33; Eph 5:11.</w:t>
      </w:r>
    </w:p>
  </w:footnote>
  <w:footnote w:id="2269">
    <w:p>
      <w:pPr>
        <w:pStyle w:val="FootnoteText"/>
      </w:pPr>
      <w:r>
        <w:rPr>
          <w:rStyle w:val="FootnoteReference"/>
        </w:rPr>
        <w:footnoteRef/>
      </w:r>
      <w:r>
        <w:t xml:space="preserve"> Cross-references for "saddle": Gen 31:34.</w:t>
      </w:r>
    </w:p>
  </w:footnote>
  <w:footnote w:id="2270">
    <w:p>
      <w:pPr>
        <w:pStyle w:val="FootnoteText"/>
      </w:pPr>
      <w:r>
        <w:rPr>
          <w:rStyle w:val="FootnoteReference"/>
        </w:rPr>
        <w:footnoteRef/>
      </w:r>
      <w:r>
        <w:t xml:space="preserve"> Translation note: Greek line matches current rendering closely here.</w:t>
      </w:r>
    </w:p>
  </w:footnote>
  <w:footnote w:id="2271">
    <w:p>
      <w:pPr>
        <w:pStyle w:val="FootnoteText"/>
      </w:pPr>
      <w:r>
        <w:rPr>
          <w:rStyle w:val="FootnoteReference"/>
        </w:rPr>
        <w:footnoteRef/>
      </w:r>
      <w:r>
        <w:t xml:space="preserve"> Cross-references for "vessel": Lev 6:28; Lev 11:32-33.</w:t>
      </w:r>
    </w:p>
  </w:footnote>
  <w:footnote w:id="2272">
    <w:p>
      <w:pPr>
        <w:pStyle w:val="FootnoteText"/>
      </w:pPr>
      <w:r>
        <w:rPr>
          <w:rStyle w:val="FootnoteReference"/>
        </w:rPr>
        <w:footnoteRef/>
      </w:r>
      <w:r>
        <w:t xml:space="preserve"> Cross-references for "seven days": Exod 29:35; Exod 29:37.</w:t>
      </w:r>
    </w:p>
  </w:footnote>
  <w:footnote w:id="2273">
    <w:p>
      <w:pPr>
        <w:pStyle w:val="FootnoteText"/>
      </w:pPr>
      <w:r>
        <w:rPr>
          <w:rStyle w:val="FootnoteReference"/>
        </w:rPr>
        <w:footnoteRef/>
      </w:r>
      <w:r>
        <w:t xml:space="preserve"> Cross-references for "unclean": Exod 19:15; 1Sam 21:4-5.</w:t>
      </w:r>
    </w:p>
  </w:footnote>
  <w:footnote w:id="2274">
    <w:p>
      <w:pPr>
        <w:pStyle w:val="FootnoteText"/>
      </w:pPr>
      <w:r>
        <w:rPr>
          <w:rStyle w:val="FootnoteReference"/>
        </w:rPr>
        <w:footnoteRef/>
      </w:r>
      <w:r>
        <w:t xml:space="preserve"> Translation note: Greek repeats separation language through the verse. Current wording preserves that repetition instead of smoothing it to a generic discharge term.</w:t>
      </w:r>
    </w:p>
  </w:footnote>
  <w:footnote w:id="2275">
    <w:p>
      <w:pPr>
        <w:pStyle w:val="FootnoteText"/>
      </w:pPr>
      <w:r>
        <w:rPr>
          <w:rStyle w:val="FootnoteReference"/>
        </w:rPr>
        <w:footnoteRef/>
      </w:r>
      <w:r>
        <w:t xml:space="preserve"> Translation note: Greek says bathe his body in water.</w:t>
      </w:r>
    </w:p>
  </w:footnote>
  <w:footnote w:id="2276">
    <w:p>
      <w:pPr>
        <w:pStyle w:val="FootnoteText"/>
      </w:pPr>
      <w:r>
        <w:rPr>
          <w:rStyle w:val="FootnoteReference"/>
        </w:rPr>
        <w:footnoteRef/>
      </w:r>
      <w:r>
        <w:t xml:space="preserve"> Translation note: Greek keeps the clause structure and terminology precise. The translation stays close to it.</w:t>
      </w:r>
    </w:p>
  </w:footnote>
  <w:footnote w:id="2277">
    <w:p>
      <w:pPr>
        <w:pStyle w:val="FootnoteText"/>
      </w:pPr>
      <w:r>
        <w:rPr>
          <w:rStyle w:val="FootnoteReference"/>
        </w:rPr>
        <w:footnoteRef/>
      </w:r>
      <w:r>
        <w:t xml:space="preserve"> Translation note: Greek uses hilasterion here. The translation keeps the project's regular Greek-based rendering.</w:t>
      </w:r>
    </w:p>
  </w:footnote>
  <w:footnote w:id="2278">
    <w:p>
      <w:pPr>
        <w:pStyle w:val="FootnoteText"/>
      </w:pPr>
      <w:r>
        <w:rPr>
          <w:rStyle w:val="FootnoteReference"/>
        </w:rPr>
        <w:footnoteRef/>
      </w:r>
      <w:r>
        <w:t xml:space="preserve"> Cross-references for "Aaron": Heb 9:7; Heb 9:12.</w:t>
      </w:r>
    </w:p>
  </w:footnote>
  <w:footnote w:id="2279">
    <w:p>
      <w:pPr>
        <w:pStyle w:val="FootnoteText"/>
      </w:pPr>
      <w:r>
        <w:rPr>
          <w:rStyle w:val="FootnoteReference"/>
        </w:rPr>
        <w:footnoteRef/>
      </w:r>
      <w:r>
        <w:t xml:space="preserve"> Translation note: Greek uses explicit undergarment wording here. Current line keeps it.</w:t>
      </w:r>
    </w:p>
  </w:footnote>
  <w:footnote w:id="2280">
    <w:p>
      <w:pPr>
        <w:pStyle w:val="FootnoteText"/>
      </w:pPr>
      <w:r>
        <w:rPr>
          <w:rStyle w:val="FootnoteReference"/>
        </w:rPr>
        <w:footnoteRef/>
      </w:r>
      <w:r>
        <w:t xml:space="preserve"> Cross-references for "for himself": Lev 9:7; Ezra 10:18-19.</w:t>
      </w:r>
    </w:p>
  </w:footnote>
  <w:footnote w:id="2281">
    <w:p>
      <w:pPr>
        <w:pStyle w:val="FootnoteText"/>
      </w:pPr>
      <w:r>
        <w:rPr>
          <w:rStyle w:val="FootnoteReference"/>
        </w:rPr>
        <w:footnoteRef/>
      </w:r>
      <w:r>
        <w:t xml:space="preserve"> Cross-references for "cast lots": Num 26:55; Num 33:54.</w:t>
      </w:r>
    </w:p>
  </w:footnote>
  <w:footnote w:id="2282">
    <w:p>
      <w:pPr>
        <w:pStyle w:val="FootnoteText"/>
      </w:pPr>
      <w:r>
        <w:rPr>
          <w:rStyle w:val="FootnoteReference"/>
        </w:rPr>
        <w:footnoteRef/>
      </w:r>
      <w:r>
        <w:t xml:space="preserve"> Cross-references for "to make": Isa 53:5-6; Isa 53:10-11.</w:t>
      </w:r>
    </w:p>
  </w:footnote>
  <w:footnote w:id="2283">
    <w:p>
      <w:pPr>
        <w:pStyle w:val="FootnoteText"/>
      </w:pPr>
      <w:r>
        <w:rPr>
          <w:rStyle w:val="FootnoteReference"/>
        </w:rPr>
        <w:footnoteRef/>
      </w:r>
      <w:r>
        <w:t xml:space="preserve"> Translation note: Greek says house alone here. Current line keeps that wording.</w:t>
      </w:r>
    </w:p>
  </w:footnote>
  <w:footnote w:id="2284">
    <w:p>
      <w:pPr>
        <w:pStyle w:val="FootnoteText"/>
      </w:pPr>
      <w:r>
        <w:rPr>
          <w:rStyle w:val="FootnoteReference"/>
        </w:rPr>
        <w:footnoteRef/>
      </w:r>
      <w:r>
        <w:t xml:space="preserve"> Cross-references for "bring": Lev 16:2; Heb 6:19.</w:t>
      </w:r>
    </w:p>
  </w:footnote>
  <w:footnote w:id="2285">
    <w:p>
      <w:pPr>
        <w:pStyle w:val="FootnoteText"/>
      </w:pPr>
      <w:r>
        <w:rPr>
          <w:rStyle w:val="FootnoteReference"/>
        </w:rPr>
        <w:footnoteRef/>
      </w:r>
      <w:r>
        <w:t xml:space="preserve"> Translation note: Greek keeps that fuller phrase here.</w:t>
      </w:r>
    </w:p>
  </w:footnote>
  <w:footnote w:id="2286">
    <w:p>
      <w:pPr>
        <w:pStyle w:val="FootnoteText"/>
      </w:pPr>
      <w:r>
        <w:rPr>
          <w:rStyle w:val="FootnoteReference"/>
        </w:rPr>
        <w:footnoteRef/>
      </w:r>
      <w:r>
        <w:t xml:space="preserve"> Translation note: Greek uses wrongdoings here. Current line keeps that term.</w:t>
      </w:r>
    </w:p>
  </w:footnote>
  <w:footnote w:id="2287">
    <w:p>
      <w:pPr>
        <w:pStyle w:val="FootnoteText"/>
      </w:pPr>
      <w:r>
        <w:rPr>
          <w:rStyle w:val="FootnoteReference"/>
        </w:rPr>
        <w:footnoteRef/>
      </w:r>
      <w:r>
        <w:t xml:space="preserve"> Translation note: Greek gives the atonement action in a clear ritual sequence. Current wording preserves it.</w:t>
      </w:r>
    </w:p>
  </w:footnote>
  <w:footnote w:id="2288">
    <w:p>
      <w:pPr>
        <w:pStyle w:val="FootnoteText"/>
      </w:pPr>
      <w:r>
        <w:rPr>
          <w:rStyle w:val="FootnoteReference"/>
        </w:rPr>
        <w:footnoteRef/>
      </w:r>
      <w:r>
        <w:t xml:space="preserve"> Cross-references for "confess over": Lev 26:40; Ezra 10:1.</w:t>
      </w:r>
    </w:p>
  </w:footnote>
  <w:footnote w:id="2289">
    <w:p>
      <w:pPr>
        <w:pStyle w:val="FootnoteText"/>
      </w:pPr>
      <w:r>
        <w:rPr>
          <w:rStyle w:val="FootnoteReference"/>
        </w:rPr>
        <w:footnoteRef/>
      </w:r>
      <w:r>
        <w:t xml:space="preserve"> Cross-references for "wash": Lev 14:8; Lev 15:5-11.</w:t>
      </w:r>
    </w:p>
  </w:footnote>
  <w:footnote w:id="2290">
    <w:p>
      <w:pPr>
        <w:pStyle w:val="FootnoteText"/>
      </w:pPr>
      <w:r>
        <w:rPr>
          <w:rStyle w:val="FootnoteReference"/>
        </w:rPr>
        <w:footnoteRef/>
      </w:r>
      <w:r>
        <w:t xml:space="preserve"> Cross-references for "in the seventh": Exod 30:10; Lev 23:27-32.</w:t>
      </w:r>
    </w:p>
  </w:footnote>
  <w:footnote w:id="2291">
    <w:p>
      <w:pPr>
        <w:pStyle w:val="FootnoteText"/>
      </w:pPr>
      <w:r>
        <w:rPr>
          <w:rStyle w:val="FootnoteReference"/>
        </w:rPr>
        <w:footnoteRef/>
      </w:r>
      <w:r>
        <w:t xml:space="preserve"> Translation note: Current line follows project-wide ψυχη -&gt; life/lives pattern here.</w:t>
      </w:r>
    </w:p>
  </w:footnote>
  <w:footnote w:id="2292">
    <w:p>
      <w:pPr>
        <w:pStyle w:val="FootnoteText"/>
      </w:pPr>
      <w:r>
        <w:rPr>
          <w:rStyle w:val="FootnoteReference"/>
        </w:rPr>
        <w:footnoteRef/>
      </w:r>
      <w:r>
        <w:t xml:space="preserve"> Cross-references for "the priest": Lev 4:3; Lev 4:5.</w:t>
      </w:r>
    </w:p>
  </w:footnote>
  <w:footnote w:id="2293">
    <w:p>
      <w:pPr>
        <w:pStyle w:val="FootnoteText"/>
      </w:pPr>
      <w:r>
        <w:rPr>
          <w:rStyle w:val="FootnoteReference"/>
        </w:rPr>
        <w:footnoteRef/>
      </w:r>
      <w:r>
        <w:t xml:space="preserve"> Translation note: Greek uses hand-consecration language here. Current line keeps the idiom close.</w:t>
      </w:r>
    </w:p>
  </w:footnote>
  <w:footnote w:id="2294">
    <w:p>
      <w:pPr>
        <w:pStyle w:val="FootnoteText"/>
      </w:pPr>
      <w:r>
        <w:rPr>
          <w:rStyle w:val="FootnoteReference"/>
        </w:rPr>
        <w:footnoteRef/>
      </w:r>
      <w:r>
        <w:t xml:space="preserve"> Translation note: Greek preserves a superlative-style sacred-place expression. The translation keeps that form visible rather than fully smoothing it away.</w:t>
      </w:r>
    </w:p>
  </w:footnote>
  <w:footnote w:id="2295">
    <w:p>
      <w:pPr>
        <w:pStyle w:val="FootnoteText"/>
      </w:pPr>
      <w:r>
        <w:rPr>
          <w:rStyle w:val="FootnoteReference"/>
        </w:rPr>
        <w:footnoteRef/>
      </w:r>
      <w:r>
        <w:t xml:space="preserve"> Cross-references for "an everlasting": Lev 23:31; Num 29:7.</w:t>
      </w:r>
    </w:p>
  </w:footnote>
  <w:footnote w:id="2296">
    <w:p>
      <w:pPr>
        <w:pStyle w:val="FootnoteText"/>
      </w:pPr>
      <w:r>
        <w:rPr>
          <w:rStyle w:val="FootnoteReference"/>
        </w:rPr>
        <w:footnoteRef/>
      </w:r>
      <w:r>
        <w:t xml:space="preserve"> Translation note: Greek expands this with whole burnt offering or offering of salvation and sweet-fragrance language.</w:t>
      </w:r>
    </w:p>
  </w:footnote>
  <w:footnote w:id="2297">
    <w:p>
      <w:pPr>
        <w:pStyle w:val="FootnoteText"/>
      </w:pPr>
      <w:r>
        <w:rPr>
          <w:rStyle w:val="FootnoteReference"/>
        </w:rPr>
        <w:footnoteRef/>
      </w:r>
      <w:r>
        <w:t xml:space="preserve"> Cross-references for "blood shall": Lev 7:18; Ps 32:2.</w:t>
      </w:r>
    </w:p>
  </w:footnote>
  <w:footnote w:id="2298">
    <w:p>
      <w:pPr>
        <w:pStyle w:val="FootnoteText"/>
      </w:pPr>
      <w:r>
        <w:rPr>
          <w:rStyle w:val="FootnoteReference"/>
        </w:rPr>
        <w:footnoteRef/>
      </w:r>
      <w:r>
        <w:t xml:space="preserve"> Cross-references for "in the open": Gen 21:33; Gen 22:2.</w:t>
      </w:r>
    </w:p>
  </w:footnote>
  <w:footnote w:id="2299">
    <w:p>
      <w:pPr>
        <w:pStyle w:val="FootnoteText"/>
      </w:pPr>
      <w:r>
        <w:rPr>
          <w:rStyle w:val="FootnoteReference"/>
        </w:rPr>
        <w:footnoteRef/>
      </w:r>
      <w:r>
        <w:t xml:space="preserve"> Translation note: Greek says I will set my face against the person who eats the blood.</w:t>
      </w:r>
    </w:p>
  </w:footnote>
  <w:footnote w:id="2300">
    <w:p>
      <w:pPr>
        <w:pStyle w:val="FootnoteText"/>
      </w:pPr>
      <w:r>
        <w:rPr>
          <w:rStyle w:val="FootnoteReference"/>
        </w:rPr>
        <w:footnoteRef/>
      </w:r>
      <w:r>
        <w:t xml:space="preserve"> Cross-references for "the life": Lev 17:14; Eccl 12:6.</w:t>
      </w:r>
    </w:p>
  </w:footnote>
  <w:footnote w:id="2301">
    <w:p>
      <w:pPr>
        <w:pStyle w:val="FootnoteText"/>
      </w:pPr>
      <w:r>
        <w:rPr>
          <w:rStyle w:val="FootnoteReference"/>
        </w:rPr>
        <w:footnoteRef/>
      </w:r>
      <w:r>
        <w:t xml:space="preserve"> Translation note: Greek uses a hunting term for animal or bird taken in the chase. The translation compresses that naturally into game while keeping the rule intact.</w:t>
      </w:r>
    </w:p>
  </w:footnote>
  <w:footnote w:id="2302">
    <w:p>
      <w:pPr>
        <w:pStyle w:val="FootnoteText"/>
      </w:pPr>
      <w:r>
        <w:rPr>
          <w:rStyle w:val="FootnoteReference"/>
        </w:rPr>
        <w:footnoteRef/>
      </w:r>
      <w:r>
        <w:t xml:space="preserve"> Cross-references for "pour out": Deut 12:16; Deut 12:24.</w:t>
      </w:r>
    </w:p>
  </w:footnote>
  <w:footnote w:id="2303">
    <w:p>
      <w:pPr>
        <w:pStyle w:val="FootnoteText"/>
      </w:pPr>
      <w:r>
        <w:rPr>
          <w:rStyle w:val="FootnoteReference"/>
        </w:rPr>
        <w:footnoteRef/>
      </w:r>
      <w:r>
        <w:t xml:space="preserve"> Translation note: Greek keeps life and blood tightly paired here. Current line preserves that.</w:t>
      </w:r>
    </w:p>
  </w:footnote>
  <w:footnote w:id="2304">
    <w:p>
      <w:pPr>
        <w:pStyle w:val="FootnoteText"/>
      </w:pPr>
      <w:r>
        <w:rPr>
          <w:rStyle w:val="FootnoteReference"/>
        </w:rPr>
        <w:footnoteRef/>
      </w:r>
      <w:r>
        <w:t xml:space="preserve"> Translation note: Greek says dead of itself or torn by beasts.</w:t>
      </w:r>
    </w:p>
  </w:footnote>
  <w:footnote w:id="2305">
    <w:p>
      <w:pPr>
        <w:pStyle w:val="FootnoteText"/>
      </w:pPr>
      <w:r>
        <w:rPr>
          <w:rStyle w:val="FootnoteReference"/>
        </w:rPr>
        <w:footnoteRef/>
      </w:r>
      <w:r>
        <w:t xml:space="preserve"> Translation note: Greek uses practices here and repeats there you shall not do.</w:t>
      </w:r>
    </w:p>
  </w:footnote>
  <w:footnote w:id="2306">
    <w:p>
      <w:pPr>
        <w:pStyle w:val="FootnoteText"/>
      </w:pPr>
      <w:r>
        <w:rPr>
          <w:rStyle w:val="FootnoteReference"/>
        </w:rPr>
        <w:footnoteRef/>
      </w:r>
      <w:r>
        <w:t xml:space="preserve"> Cross-references for "I am the Lord": Exod 6:2; Exod 6:6.</w:t>
      </w:r>
    </w:p>
  </w:footnote>
  <w:footnote w:id="2307">
    <w:p>
      <w:pPr>
        <w:pStyle w:val="FootnoteText"/>
      </w:pPr>
      <w:r>
        <w:rPr>
          <w:rStyle w:val="FootnoteReference"/>
        </w:rPr>
        <w:footnoteRef/>
      </w:r>
      <w:r>
        <w:t xml:space="preserve"> Cross-references for "to uncover": Lev 18:7-19; Lev 20:11-12.</w:t>
      </w:r>
    </w:p>
  </w:footnote>
  <w:footnote w:id="2308">
    <w:p>
      <w:pPr>
        <w:pStyle w:val="FootnoteText"/>
      </w:pPr>
      <w:r>
        <w:rPr>
          <w:rStyle w:val="FootnoteReference"/>
        </w:rPr>
        <w:footnoteRef/>
      </w:r>
      <w:r>
        <w:t xml:space="preserve"> Translation note: Greek repeats the nakedness formula directly. Current wording preserves that repetition.</w:t>
      </w:r>
    </w:p>
  </w:footnote>
  <w:footnote w:id="2309">
    <w:p>
      <w:pPr>
        <w:pStyle w:val="FootnoteText"/>
      </w:pPr>
      <w:r>
        <w:rPr>
          <w:rStyle w:val="FootnoteReference"/>
        </w:rPr>
        <w:footnoteRef/>
      </w:r>
      <w:r>
        <w:t xml:space="preserve"> Translation note: Greek keeps the prohibition compact and direct. Current wording preserves it.</w:t>
      </w:r>
    </w:p>
  </w:footnote>
  <w:footnote w:id="2310">
    <w:p>
      <w:pPr>
        <w:pStyle w:val="FootnoteText"/>
      </w:pPr>
      <w:r>
        <w:rPr>
          <w:rStyle w:val="FootnoteReference"/>
        </w:rPr>
        <w:footnoteRef/>
      </w:r>
      <w:r>
        <w:t xml:space="preserve"> Cross-references for "a woman": Lev 20:14; Deut 27:23.</w:t>
      </w:r>
    </w:p>
  </w:footnote>
  <w:footnote w:id="2311">
    <w:p>
      <w:pPr>
        <w:pStyle w:val="FootnoteText"/>
      </w:pPr>
      <w:r>
        <w:rPr>
          <w:rStyle w:val="FootnoteReference"/>
        </w:rPr>
        <w:footnoteRef/>
      </w:r>
      <w:r>
        <w:t xml:space="preserve"> Translation note: Greek phrases the kinship directly and labels the act impiety. The translation keeps both.</w:t>
      </w:r>
    </w:p>
  </w:footnote>
  <w:footnote w:id="2312">
    <w:p>
      <w:pPr>
        <w:pStyle w:val="FootnoteText"/>
      </w:pPr>
      <w:r>
        <w:rPr>
          <w:rStyle w:val="FootnoteReference"/>
        </w:rPr>
        <w:footnoteRef/>
      </w:r>
      <w:r>
        <w:t xml:space="preserve"> Translation note: Greek here says ruler rather than giving the later familiar proper name. This draft follows the Greek wording as transmitted.</w:t>
      </w:r>
    </w:p>
  </w:footnote>
  <w:footnote w:id="2313">
    <w:p>
      <w:pPr>
        <w:pStyle w:val="FootnoteText"/>
      </w:pPr>
      <w:r>
        <w:rPr>
          <w:rStyle w:val="FootnoteReference"/>
        </w:rPr>
        <w:footnoteRef/>
      </w:r>
      <w:r>
        <w:t xml:space="preserve"> Cross-references for "profane": Lev 19:12; Lev 20:2-5.</w:t>
      </w:r>
    </w:p>
  </w:footnote>
  <w:footnote w:id="2314">
    <w:p>
      <w:pPr>
        <w:pStyle w:val="FootnoteText"/>
      </w:pPr>
      <w:r>
        <w:rPr>
          <w:rStyle w:val="FootnoteReference"/>
        </w:rPr>
        <w:footnoteRef/>
      </w:r>
      <w:r>
        <w:t xml:space="preserve"> Cross-references for "defile": Lev 18:6-23; Lev 18:30.</w:t>
      </w:r>
    </w:p>
  </w:footnote>
  <w:footnote w:id="2315">
    <w:p>
      <w:pPr>
        <w:pStyle w:val="FootnoteText"/>
      </w:pPr>
      <w:r>
        <w:rPr>
          <w:rStyle w:val="FootnoteReference"/>
        </w:rPr>
        <w:footnoteRef/>
      </w:r>
      <w:r>
        <w:t xml:space="preserve"> Cross-references for "keep": Lev 18:5; Lev 18:30.</w:t>
      </w:r>
    </w:p>
  </w:footnote>
  <w:footnote w:id="2316">
    <w:p>
      <w:pPr>
        <w:pStyle w:val="FootnoteText"/>
      </w:pPr>
      <w:r>
        <w:rPr>
          <w:rStyle w:val="FootnoteReference"/>
        </w:rPr>
        <w:footnoteRef/>
      </w:r>
      <w:r>
        <w:t xml:space="preserve"> Cross-references for "abominable": Lev 18:3; Lev 18:26-27.</w:t>
      </w:r>
    </w:p>
  </w:footnote>
  <w:footnote w:id="2317">
    <w:p>
      <w:pPr>
        <w:pStyle w:val="FootnoteText"/>
      </w:pPr>
      <w:r>
        <w:rPr>
          <w:rStyle w:val="FootnoteReference"/>
        </w:rPr>
        <w:footnoteRef/>
      </w:r>
      <w:r>
        <w:t xml:space="preserve"> Translation note: Greek says commands and statutes here. The translation keeps that pair.</w:t>
      </w:r>
    </w:p>
  </w:footnote>
  <w:footnote w:id="2318">
    <w:p>
      <w:pPr>
        <w:pStyle w:val="FootnoteText"/>
      </w:pPr>
      <w:r>
        <w:rPr>
          <w:rStyle w:val="FootnoteReference"/>
        </w:rPr>
        <w:footnoteRef/>
      </w:r>
      <w:r>
        <w:t xml:space="preserve"> Cross-references for "fear": Exod 20:12; Exod 21:15.</w:t>
      </w:r>
    </w:p>
  </w:footnote>
  <w:footnote w:id="2319">
    <w:p>
      <w:pPr>
        <w:pStyle w:val="FootnoteText"/>
      </w:pPr>
      <w:r>
        <w:rPr>
          <w:rStyle w:val="FootnoteReference"/>
        </w:rPr>
        <w:footnoteRef/>
      </w:r>
      <w:r>
        <w:t xml:space="preserve"> Cross-references for "molten gods": Exod 20:23; Exod 32:4.</w:t>
      </w:r>
    </w:p>
  </w:footnote>
  <w:footnote w:id="2320">
    <w:p>
      <w:pPr>
        <w:pStyle w:val="FootnoteText"/>
      </w:pPr>
      <w:r>
        <w:rPr>
          <w:rStyle w:val="FootnoteReference"/>
        </w:rPr>
        <w:footnoteRef/>
      </w:r>
      <w:r>
        <w:t xml:space="preserve"> Cross-references for "a sacrifice": Exod 24:5; Lev 3:1-17.</w:t>
      </w:r>
    </w:p>
  </w:footnote>
  <w:footnote w:id="2321">
    <w:p>
      <w:pPr>
        <w:pStyle w:val="FootnoteText"/>
      </w:pPr>
      <w:r>
        <w:rPr>
          <w:rStyle w:val="FootnoteReference"/>
        </w:rPr>
        <w:footnoteRef/>
      </w:r>
      <w:r>
        <w:t xml:space="preserve"> Cross-references for "It shall": Lev 7:18-21; Lev 22:23.</w:t>
      </w:r>
    </w:p>
  </w:footnote>
  <w:footnote w:id="2322">
    <w:p>
      <w:pPr>
        <w:pStyle w:val="FootnoteText"/>
      </w:pPr>
      <w:r>
        <w:rPr>
          <w:rStyle w:val="FootnoteReference"/>
        </w:rPr>
        <w:footnoteRef/>
      </w:r>
      <w:r>
        <w:t xml:space="preserve"> Cross-references for "glean": Judg 8:2; Isa 17:6.</w:t>
      </w:r>
    </w:p>
  </w:footnote>
  <w:footnote w:id="2323">
    <w:p>
      <w:pPr>
        <w:pStyle w:val="FootnoteText"/>
      </w:pPr>
      <w:r>
        <w:rPr>
          <w:rStyle w:val="FootnoteReference"/>
        </w:rPr>
        <w:footnoteRef/>
      </w:r>
      <w:r>
        <w:t xml:space="preserve"> Cross-references for "shall not": Exod 20:15; Exod 20:17.</w:t>
      </w:r>
    </w:p>
  </w:footnote>
  <w:footnote w:id="2324">
    <w:p>
      <w:pPr>
        <w:pStyle w:val="FootnoteText"/>
      </w:pPr>
      <w:r>
        <w:rPr>
          <w:rStyle w:val="FootnoteReference"/>
        </w:rPr>
        <w:footnoteRef/>
      </w:r>
      <w:r>
        <w:t xml:space="preserve"> Cross-references for "profane": Lev 18:21; Lev 24:11.</w:t>
      </w:r>
    </w:p>
  </w:footnote>
  <w:footnote w:id="2325">
    <w:p>
      <w:pPr>
        <w:pStyle w:val="FootnoteText"/>
      </w:pPr>
      <w:r>
        <w:rPr>
          <w:rStyle w:val="FootnoteReference"/>
        </w:rPr>
        <w:footnoteRef/>
      </w:r>
      <w:r>
        <w:t xml:space="preserve"> Cross-references for "fear": Gen 42:18; Lev 19:32.</w:t>
      </w:r>
    </w:p>
  </w:footnote>
  <w:footnote w:id="2326">
    <w:p>
      <w:pPr>
        <w:pStyle w:val="FootnoteText"/>
      </w:pPr>
      <w:r>
        <w:rPr>
          <w:rStyle w:val="FootnoteReference"/>
        </w:rPr>
        <w:footnoteRef/>
      </w:r>
      <w:r>
        <w:t xml:space="preserve"> Cross-references for "hate": Gen 27:41; Prov 26:24-26.</w:t>
      </w:r>
    </w:p>
  </w:footnote>
  <w:footnote w:id="2327">
    <w:p>
      <w:pPr>
        <w:pStyle w:val="FootnoteText"/>
      </w:pPr>
      <w:r>
        <w:rPr>
          <w:rStyle w:val="FootnoteReference"/>
        </w:rPr>
        <w:footnoteRef/>
      </w:r>
      <w:r>
        <w:t xml:space="preserve"> Cross-references for "not avenge": Exod 23:4-5; Deut 32:25.</w:t>
      </w:r>
    </w:p>
  </w:footnote>
  <w:footnote w:id="2328">
    <w:p>
      <w:pPr>
        <w:pStyle w:val="FootnoteText"/>
      </w:pPr>
      <w:r>
        <w:rPr>
          <w:rStyle w:val="FootnoteReference"/>
        </w:rPr>
        <w:footnoteRef/>
      </w:r>
      <w:r>
        <w:t xml:space="preserve"> Translation note: Greek uses counterfeit wording here. Current line keeps it.</w:t>
      </w:r>
    </w:p>
  </w:footnote>
  <w:footnote w:id="2329">
    <w:p>
      <w:pPr>
        <w:pStyle w:val="FootnoteText"/>
      </w:pPr>
      <w:r>
        <w:rPr>
          <w:rStyle w:val="FootnoteReference"/>
        </w:rPr>
        <w:footnoteRef/>
      </w:r>
      <w:r>
        <w:t xml:space="preserve"> Translation note: Greek says reserved for a man and there shall be oversight for them.</w:t>
      </w:r>
    </w:p>
  </w:footnote>
  <w:footnote w:id="2330">
    <w:p>
      <w:pPr>
        <w:pStyle w:val="FootnoteText"/>
      </w:pPr>
      <w:r>
        <w:rPr>
          <w:rStyle w:val="FootnoteReference"/>
        </w:rPr>
        <w:footnoteRef/>
      </w:r>
      <w:r>
        <w:t xml:space="preserve"> Cross-references for "and the sin": Lev 4:20; Lev 4:26.</w:t>
      </w:r>
    </w:p>
  </w:footnote>
  <w:footnote w:id="2331">
    <w:p>
      <w:pPr>
        <w:pStyle w:val="FootnoteText"/>
      </w:pPr>
      <w:r>
        <w:rPr>
          <w:rStyle w:val="FootnoteReference"/>
        </w:rPr>
        <w:footnoteRef/>
      </w:r>
      <w:r>
        <w:t xml:space="preserve"> Cross-references for "And when": Lev 14:34.</w:t>
      </w:r>
    </w:p>
  </w:footnote>
  <w:footnote w:id="2332">
    <w:p>
      <w:pPr>
        <w:pStyle w:val="FootnoteText"/>
      </w:pPr>
      <w:r>
        <w:rPr>
          <w:rStyle w:val="FootnoteReference"/>
        </w:rPr>
        <w:footnoteRef/>
      </w:r>
      <w:r>
        <w:t xml:space="preserve"> Translation note: Greek doubles the uncleanness wording.</w:t>
      </w:r>
    </w:p>
  </w:footnote>
  <w:footnote w:id="2333">
    <w:p>
      <w:pPr>
        <w:pStyle w:val="FootnoteText"/>
      </w:pPr>
      <w:r>
        <w:rPr>
          <w:rStyle w:val="FootnoteReference"/>
        </w:rPr>
        <w:footnoteRef/>
      </w:r>
      <w:r>
        <w:t xml:space="preserve"> Cross-references for "cuttings": Lev 21:5; Deut 14:1.</w:t>
      </w:r>
    </w:p>
  </w:footnote>
  <w:footnote w:id="2334">
    <w:p>
      <w:pPr>
        <w:pStyle w:val="FootnoteText"/>
      </w:pPr>
      <w:r>
        <w:rPr>
          <w:rStyle w:val="FootnoteReference"/>
        </w:rPr>
        <w:footnoteRef/>
      </w:r>
      <w:r>
        <w:t xml:space="preserve"> Cross-references for "keep": Lev 19:3; Lev 26:2.</w:t>
      </w:r>
    </w:p>
  </w:footnote>
  <w:footnote w:id="2335">
    <w:p>
      <w:pPr>
        <w:pStyle w:val="FootnoteText"/>
      </w:pPr>
      <w:r>
        <w:rPr>
          <w:rStyle w:val="FootnoteReference"/>
        </w:rPr>
        <w:footnoteRef/>
      </w:r>
      <w:r>
        <w:t xml:space="preserve"> Cross-references for "And if": Exod 22:21; Exod 23:9.</w:t>
      </w:r>
    </w:p>
  </w:footnote>
  <w:footnote w:id="2336">
    <w:p>
      <w:pPr>
        <w:pStyle w:val="FootnoteText"/>
      </w:pPr>
      <w:r>
        <w:rPr>
          <w:rStyle w:val="FootnoteReference"/>
        </w:rPr>
        <w:footnoteRef/>
      </w:r>
      <w:r>
        <w:t xml:space="preserve"> Translation note: Greek says to a ruler here rather than naming Molech.</w:t>
      </w:r>
    </w:p>
  </w:footnote>
  <w:footnote w:id="2337">
    <w:p>
      <w:pPr>
        <w:pStyle w:val="FootnoteText"/>
      </w:pPr>
      <w:r>
        <w:rPr>
          <w:rStyle w:val="FootnoteReference"/>
        </w:rPr>
        <w:footnoteRef/>
      </w:r>
      <w:r>
        <w:t xml:space="preserve"> Cross-references for "I will set": Lev 17:10; 1Pet 3:12.</w:t>
      </w:r>
    </w:p>
  </w:footnote>
  <w:footnote w:id="2338">
    <w:p>
      <w:pPr>
        <w:pStyle w:val="FootnoteText"/>
      </w:pPr>
      <w:r>
        <w:rPr>
          <w:rStyle w:val="FootnoteReference"/>
        </w:rPr>
        <w:footnoteRef/>
      </w:r>
      <w:r>
        <w:t xml:space="preserve"> Cross-references for "against his": Exod 20:5; Jer 32:28-35.</w:t>
      </w:r>
    </w:p>
  </w:footnote>
  <w:footnote w:id="2339">
    <w:p>
      <w:pPr>
        <w:pStyle w:val="FootnoteText"/>
      </w:pPr>
      <w:r>
        <w:rPr>
          <w:rStyle w:val="FootnoteReference"/>
        </w:rPr>
        <w:footnoteRef/>
      </w:r>
      <w:r>
        <w:t xml:space="preserve"> Translation note: Greek uses speaks-evil language here. Current wording preserves that legal formula.</w:t>
      </w:r>
    </w:p>
  </w:footnote>
  <w:footnote w:id="2340">
    <w:p>
      <w:pPr>
        <w:pStyle w:val="FootnoteText"/>
      </w:pPr>
      <w:r>
        <w:rPr>
          <w:rStyle w:val="FootnoteReference"/>
        </w:rPr>
        <w:footnoteRef/>
      </w:r>
      <w:r>
        <w:t xml:space="preserve"> Cross-references for "the adulterer": Deut 22:22-24; 2Sam 12:13.</w:t>
      </w:r>
    </w:p>
  </w:footnote>
  <w:footnote w:id="2341">
    <w:p>
      <w:pPr>
        <w:pStyle w:val="FootnoteText"/>
      </w:pPr>
      <w:r>
        <w:rPr>
          <w:rStyle w:val="FootnoteReference"/>
        </w:rPr>
        <w:footnoteRef/>
      </w:r>
      <w:r>
        <w:t xml:space="preserve"> Cross-references for "And if a woman": Lev 18:24-25.</w:t>
      </w:r>
    </w:p>
  </w:footnote>
  <w:footnote w:id="2342">
    <w:p>
      <w:pPr>
        <w:pStyle w:val="FootnoteText"/>
      </w:pPr>
      <w:r>
        <w:rPr>
          <w:rStyle w:val="FootnoteReference"/>
        </w:rPr>
        <w:footnoteRef/>
      </w:r>
      <w:r>
        <w:t xml:space="preserve"> Translation note: Greek says reproach and they shall bear sin here.</w:t>
      </w:r>
    </w:p>
  </w:footnote>
  <w:footnote w:id="2343">
    <w:p>
      <w:pPr>
        <w:pStyle w:val="FootnoteText"/>
      </w:pPr>
      <w:r>
        <w:rPr>
          <w:rStyle w:val="FootnoteReference"/>
        </w:rPr>
        <w:footnoteRef/>
      </w:r>
      <w:r>
        <w:t xml:space="preserve"> Translation note: Greek ends with from among their family here.</w:t>
      </w:r>
    </w:p>
  </w:footnote>
  <w:footnote w:id="2344">
    <w:p>
      <w:pPr>
        <w:pStyle w:val="FootnoteText"/>
      </w:pPr>
      <w:r>
        <w:rPr>
          <w:rStyle w:val="FootnoteReference"/>
        </w:rPr>
        <w:footnoteRef/>
      </w:r>
      <w:r>
        <w:t xml:space="preserve"> Cross-references for "mother's": Exod 6:20; Lev 18:12.</w:t>
      </w:r>
    </w:p>
  </w:footnote>
  <w:footnote w:id="2345">
    <w:p>
      <w:pPr>
        <w:pStyle w:val="FootnoteText"/>
      </w:pPr>
      <w:r>
        <w:rPr>
          <w:rStyle w:val="FootnoteReference"/>
        </w:rPr>
        <w:footnoteRef/>
      </w:r>
      <w:r>
        <w:t xml:space="preserve"> Cross-references for "childless": Job 18:19; Ps 109:13.</w:t>
      </w:r>
    </w:p>
  </w:footnote>
  <w:footnote w:id="2346">
    <w:p>
      <w:pPr>
        <w:pStyle w:val="FootnoteText"/>
      </w:pPr>
      <w:r>
        <w:rPr>
          <w:rStyle w:val="FootnoteReference"/>
        </w:rPr>
        <w:footnoteRef/>
      </w:r>
      <w:r>
        <w:t xml:space="preserve"> Cross-references for "his brother's": Lev 18:16; Matt 14:3-4.</w:t>
      </w:r>
    </w:p>
  </w:footnote>
  <w:footnote w:id="2347">
    <w:p>
      <w:pPr>
        <w:pStyle w:val="FootnoteText"/>
      </w:pPr>
      <w:r>
        <w:rPr>
          <w:rStyle w:val="FootnoteReference"/>
        </w:rPr>
        <w:footnoteRef/>
      </w:r>
      <w:r>
        <w:t xml:space="preserve"> Cross-references for "judgments": Exod 21:1; Deut 4:45.</w:t>
      </w:r>
    </w:p>
  </w:footnote>
  <w:footnote w:id="2348">
    <w:p>
      <w:pPr>
        <w:pStyle w:val="FootnoteText"/>
      </w:pPr>
      <w:r>
        <w:rPr>
          <w:rStyle w:val="FootnoteReference"/>
        </w:rPr>
        <w:footnoteRef/>
      </w:r>
      <w:r>
        <w:t xml:space="preserve"> Translation note: Greek says all nations rather than a narrower people-group phrase. The translation keeps that scope.</w:t>
      </w:r>
    </w:p>
  </w:footnote>
  <w:footnote w:id="2349">
    <w:p>
      <w:pPr>
        <w:pStyle w:val="FootnoteText"/>
      </w:pPr>
      <w:r>
        <w:rPr>
          <w:rStyle w:val="FootnoteReference"/>
        </w:rPr>
        <w:footnoteRef/>
      </w:r>
      <w:r>
        <w:t xml:space="preserve"> Translation note: Greek says make your lives abominable and ends with what I set apart for you in uncleanness.</w:t>
      </w:r>
    </w:p>
  </w:footnote>
  <w:footnote w:id="2350">
    <w:p>
      <w:pPr>
        <w:pStyle w:val="FootnoteText"/>
      </w:pPr>
      <w:r>
        <w:rPr>
          <w:rStyle w:val="FootnoteReference"/>
        </w:rPr>
        <w:footnoteRef/>
      </w:r>
      <w:r>
        <w:t xml:space="preserve"> Cross-references for "abominable": Lev 11:43.</w:t>
      </w:r>
    </w:p>
  </w:footnote>
  <w:footnote w:id="2351">
    <w:p>
      <w:pPr>
        <w:pStyle w:val="FootnoteText"/>
      </w:pPr>
      <w:r>
        <w:rPr>
          <w:rStyle w:val="FootnoteReference"/>
        </w:rPr>
        <w:footnoteRef/>
      </w:r>
      <w:r>
        <w:t xml:space="preserve"> Cross-references for "the Lord": Lev 19:2; Lev 20:7.</w:t>
      </w:r>
    </w:p>
  </w:footnote>
  <w:footnote w:id="2352">
    <w:p>
      <w:pPr>
        <w:pStyle w:val="FootnoteText"/>
      </w:pPr>
      <w:r>
        <w:rPr>
          <w:rStyle w:val="FootnoteReference"/>
        </w:rPr>
        <w:footnoteRef/>
      </w:r>
      <w:r>
        <w:t xml:space="preserve"> Cross-references for "Speak": Hos 5:1; Mal 2:1.</w:t>
      </w:r>
    </w:p>
  </w:footnote>
  <w:footnote w:id="2353">
    <w:p>
      <w:pPr>
        <w:pStyle w:val="FootnoteText"/>
      </w:pPr>
      <w:r>
        <w:rPr>
          <w:rStyle w:val="FootnoteReference"/>
        </w:rPr>
        <w:footnoteRef/>
      </w:r>
      <w:r>
        <w:t xml:space="preserve"> Cross-references for "holy": Exod 28:36; Exod 29:44.</w:t>
      </w:r>
    </w:p>
  </w:footnote>
  <w:footnote w:id="2354">
    <w:p>
      <w:pPr>
        <w:pStyle w:val="FootnoteText"/>
      </w:pPr>
      <w:r>
        <w:rPr>
          <w:rStyle w:val="FootnoteReference"/>
        </w:rPr>
        <w:footnoteRef/>
      </w:r>
      <w:r>
        <w:t xml:space="preserve"> Cross-references for "sanctify": Exod 19:10; Exod 19:14.</w:t>
      </w:r>
    </w:p>
  </w:footnote>
  <w:footnote w:id="2355">
    <w:p>
      <w:pPr>
        <w:pStyle w:val="FootnoteText"/>
      </w:pPr>
      <w:r>
        <w:rPr>
          <w:rStyle w:val="FootnoteReference"/>
        </w:rPr>
        <w:footnoteRef/>
      </w:r>
      <w:r>
        <w:t xml:space="preserve"> Cross-references for "the daughter": 1Sam 2:17; 1Sam 2:34.</w:t>
      </w:r>
    </w:p>
  </w:footnote>
  <w:footnote w:id="2356">
    <w:p>
      <w:pPr>
        <w:pStyle w:val="FootnoteText"/>
      </w:pPr>
      <w:r>
        <w:rPr>
          <w:rStyle w:val="FootnoteReference"/>
        </w:rPr>
        <w:footnoteRef/>
      </w:r>
      <w:r>
        <w:t xml:space="preserve"> Cross-references for "his father": Lev 21:1-2; Num 6:7.</w:t>
      </w:r>
    </w:p>
  </w:footnote>
  <w:footnote w:id="2357">
    <w:p>
      <w:pPr>
        <w:pStyle w:val="FootnoteText"/>
      </w:pPr>
      <w:r>
        <w:rPr>
          <w:rStyle w:val="FootnoteReference"/>
        </w:rPr>
        <w:footnoteRef/>
      </w:r>
      <w:r>
        <w:t xml:space="preserve"> Cross-references for "go out": Lev 10:7.</w:t>
      </w:r>
    </w:p>
  </w:footnote>
  <w:footnote w:id="2358">
    <w:p>
      <w:pPr>
        <w:pStyle w:val="FootnoteText"/>
      </w:pPr>
      <w:r>
        <w:rPr>
          <w:rStyle w:val="FootnoteReference"/>
        </w:rPr>
        <w:footnoteRef/>
      </w:r>
      <w:r>
        <w:t xml:space="preserve"> Cross-references for "profane": Gen 18:19; Ezra 2:62.</w:t>
      </w:r>
    </w:p>
  </w:footnote>
  <w:footnote w:id="2359">
    <w:p>
      <w:pPr>
        <w:pStyle w:val="FootnoteText"/>
      </w:pPr>
      <w:r>
        <w:rPr>
          <w:rStyle w:val="FootnoteReference"/>
        </w:rPr>
        <w:footnoteRef/>
      </w:r>
      <w:r>
        <w:t xml:space="preserve"> Cross-references for "blemish": Lev 22:20-25; 1Thess 2:10.</w:t>
      </w:r>
    </w:p>
  </w:footnote>
  <w:footnote w:id="2360">
    <w:p>
      <w:pPr>
        <w:pStyle w:val="FootnoteText"/>
      </w:pPr>
      <w:r>
        <w:rPr>
          <w:rStyle w:val="FootnoteReference"/>
        </w:rPr>
        <w:footnoteRef/>
      </w:r>
      <w:r>
        <w:t xml:space="preserve"> Cross-references for "to offer": Lev 21:6; Lev 21:8.</w:t>
      </w:r>
    </w:p>
  </w:footnote>
  <w:footnote w:id="2361">
    <w:p>
      <w:pPr>
        <w:pStyle w:val="FootnoteText"/>
      </w:pPr>
      <w:r>
        <w:rPr>
          <w:rStyle w:val="FootnoteReference"/>
        </w:rPr>
        <w:footnoteRef/>
      </w:r>
      <w:r>
        <w:t xml:space="preserve"> Cross-references for "profane": Lev 15:31; Lev 21:12.</w:t>
      </w:r>
    </w:p>
  </w:footnote>
  <w:footnote w:id="2362">
    <w:p>
      <w:pPr>
        <w:pStyle w:val="FootnoteText"/>
      </w:pPr>
      <w:r>
        <w:rPr>
          <w:rStyle w:val="FootnoteReference"/>
        </w:rPr>
        <w:footnoteRef/>
      </w:r>
      <w:r>
        <w:t xml:space="preserve"> Cross-references for "Aaron": Mal 2:1-7; Col 4:17.</w:t>
      </w:r>
    </w:p>
  </w:footnote>
  <w:footnote w:id="2363">
    <w:p>
      <w:pPr>
        <w:pStyle w:val="FootnoteText"/>
      </w:pPr>
      <w:r>
        <w:rPr>
          <w:rStyle w:val="FootnoteReference"/>
        </w:rPr>
        <w:footnoteRef/>
      </w:r>
      <w:r>
        <w:t xml:space="preserve"> Translation note: Greek gives caution wording rather than separation wording.</w:t>
      </w:r>
    </w:p>
  </w:footnote>
  <w:footnote w:id="2364">
    <w:p>
      <w:pPr>
        <w:pStyle w:val="FootnoteText"/>
      </w:pPr>
      <w:r>
        <w:rPr>
          <w:rStyle w:val="FootnoteReference"/>
        </w:rPr>
        <w:footnoteRef/>
      </w:r>
      <w:r>
        <w:t xml:space="preserve"> Translation note: Greek says destroyed from before me.</w:t>
      </w:r>
    </w:p>
  </w:footnote>
  <w:footnote w:id="2365">
    <w:p>
      <w:pPr>
        <w:pStyle w:val="FootnoteText"/>
      </w:pPr>
      <w:r>
        <w:rPr>
          <w:rStyle w:val="FootnoteReference"/>
        </w:rPr>
        <w:footnoteRef/>
      </w:r>
      <w:r>
        <w:t xml:space="preserve"> Cross-references for "holy things": Lev 2:3; Lev 2:10.</w:t>
      </w:r>
    </w:p>
  </w:footnote>
  <w:footnote w:id="2366">
    <w:p>
      <w:pPr>
        <w:pStyle w:val="FootnoteText"/>
      </w:pPr>
      <w:r>
        <w:rPr>
          <w:rStyle w:val="FootnoteReference"/>
        </w:rPr>
        <w:footnoteRef/>
      </w:r>
      <w:r>
        <w:t xml:space="preserve"> Translation note: Greek keeps this impurity wording.</w:t>
      </w:r>
    </w:p>
  </w:footnote>
  <w:footnote w:id="2367">
    <w:p>
      <w:pPr>
        <w:pStyle w:val="FootnoteText"/>
      </w:pPr>
      <w:r>
        <w:rPr>
          <w:rStyle w:val="FootnoteReference"/>
        </w:rPr>
        <w:footnoteRef/>
      </w:r>
      <w:r>
        <w:t xml:space="preserve"> Translation note: Greek names both forbidden sources of meat. Current wording preserves that paired food-law line.</w:t>
      </w:r>
    </w:p>
  </w:footnote>
  <w:footnote w:id="2368">
    <w:p>
      <w:pPr>
        <w:pStyle w:val="FootnoteText"/>
      </w:pPr>
      <w:r>
        <w:rPr>
          <w:rStyle w:val="FootnoteReference"/>
        </w:rPr>
        <w:footnoteRef/>
      </w:r>
      <w:r>
        <w:t xml:space="preserve"> Cross-references for "as in her": Lev 10:14; Num 18:11-19.</w:t>
      </w:r>
    </w:p>
  </w:footnote>
  <w:footnote w:id="2369">
    <w:p>
      <w:pPr>
        <w:pStyle w:val="FootnoteText"/>
      </w:pPr>
      <w:r>
        <w:rPr>
          <w:rStyle w:val="FootnoteReference"/>
        </w:rPr>
        <w:footnoteRef/>
      </w:r>
      <w:r>
        <w:t xml:space="preserve"> Translation note: Greek says newcomers attached to them in Israel.</w:t>
      </w:r>
    </w:p>
  </w:footnote>
  <w:footnote w:id="2370">
    <w:p>
      <w:pPr>
        <w:pStyle w:val="FootnoteText"/>
      </w:pPr>
      <w:r>
        <w:rPr>
          <w:rStyle w:val="FootnoteReference"/>
        </w:rPr>
        <w:footnoteRef/>
      </w:r>
      <w:r>
        <w:t xml:space="preserve"> Cross-references for "vows": Lev 7:16; Lev 23:38.</w:t>
      </w:r>
    </w:p>
  </w:footnote>
  <w:footnote w:id="2371">
    <w:p>
      <w:pPr>
        <w:pStyle w:val="FootnoteText"/>
      </w:pPr>
      <w:r>
        <w:rPr>
          <w:rStyle w:val="FootnoteReference"/>
        </w:rPr>
        <w:footnoteRef/>
      </w:r>
      <w:r>
        <w:t xml:space="preserve"> Cross-references for "blind": Lev 21:18-21; Lev 22:20.</w:t>
      </w:r>
    </w:p>
  </w:footnote>
  <w:footnote w:id="2372">
    <w:p>
      <w:pPr>
        <w:pStyle w:val="FootnoteText"/>
      </w:pPr>
      <w:r>
        <w:rPr>
          <w:rStyle w:val="FootnoteReference"/>
        </w:rPr>
        <w:footnoteRef/>
      </w:r>
      <w:r>
        <w:t xml:space="preserve"> Cross-references for "seven days": Exod 22:30; Lev 12:2-3.</w:t>
      </w:r>
    </w:p>
  </w:footnote>
  <w:footnote w:id="2373">
    <w:p>
      <w:pPr>
        <w:pStyle w:val="FootnoteText"/>
      </w:pPr>
      <w:r>
        <w:rPr>
          <w:rStyle w:val="FootnoteReference"/>
        </w:rPr>
        <w:footnoteRef/>
      </w:r>
      <w:r>
        <w:t xml:space="preserve"> Cross-references for "the feasts": Exod 23:14-17; Exod 34:22.</w:t>
      </w:r>
    </w:p>
  </w:footnote>
  <w:footnote w:id="2374">
    <w:p>
      <w:pPr>
        <w:pStyle w:val="FootnoteText"/>
      </w:pPr>
      <w:r>
        <w:rPr>
          <w:rStyle w:val="FootnoteReference"/>
        </w:rPr>
        <w:footnoteRef/>
      </w:r>
      <w:r>
        <w:t xml:space="preserve"> Cross-references for "sheaf": Prov 3:9-10; Ezek 44:30.</w:t>
      </w:r>
    </w:p>
  </w:footnote>
  <w:footnote w:id="2375">
    <w:p>
      <w:pPr>
        <w:pStyle w:val="FootnoteText"/>
      </w:pPr>
      <w:r>
        <w:rPr>
          <w:rStyle w:val="FootnoteReference"/>
        </w:rPr>
        <w:footnoteRef/>
      </w:r>
      <w:r>
        <w:t xml:space="preserve"> Translation note: Greek uses the standard noun for a poured offering. The translation keeps the more technical cultic term visible.</w:t>
      </w:r>
    </w:p>
  </w:footnote>
  <w:footnote w:id="2376">
    <w:p>
      <w:pPr>
        <w:pStyle w:val="FootnoteText"/>
      </w:pPr>
      <w:r>
        <w:rPr>
          <w:rStyle w:val="FootnoteReference"/>
        </w:rPr>
        <w:footnoteRef/>
      </w:r>
      <w:r>
        <w:t xml:space="preserve"> Translation note: Greek says fresh kernels here. Current line keeps that wording.</w:t>
      </w:r>
    </w:p>
  </w:footnote>
  <w:footnote w:id="2377">
    <w:p>
      <w:pPr>
        <w:pStyle w:val="FootnoteText"/>
      </w:pPr>
      <w:r>
        <w:rPr>
          <w:rStyle w:val="FootnoteReference"/>
        </w:rPr>
        <w:footnoteRef/>
      </w:r>
      <w:r>
        <w:t xml:space="preserve"> Translation note: Greek says sacrifices and libations here.</w:t>
      </w:r>
    </w:p>
  </w:footnote>
  <w:footnote w:id="2378">
    <w:p>
      <w:pPr>
        <w:pStyle w:val="FootnoteText"/>
      </w:pPr>
      <w:r>
        <w:rPr>
          <w:rStyle w:val="FootnoteReference"/>
        </w:rPr>
        <w:footnoteRef/>
      </w:r>
      <w:r>
        <w:t xml:space="preserve"> Cross-references for "one kid": Lev 4:23-28; Lev 16:15.</w:t>
      </w:r>
    </w:p>
  </w:footnote>
  <w:footnote w:id="2379">
    <w:p>
      <w:pPr>
        <w:pStyle w:val="FootnoteText"/>
      </w:pPr>
      <w:r>
        <w:rPr>
          <w:rStyle w:val="FootnoteReference"/>
        </w:rPr>
        <w:footnoteRef/>
      </w:r>
      <w:r>
        <w:t xml:space="preserve"> Cross-references for "holy to": Lev 7:31-34; Lev 8:29.</w:t>
      </w:r>
    </w:p>
  </w:footnote>
  <w:footnote w:id="2380">
    <w:p>
      <w:pPr>
        <w:pStyle w:val="FootnoteText"/>
      </w:pPr>
      <w:r>
        <w:rPr>
          <w:rStyle w:val="FootnoteReference"/>
        </w:rPr>
        <w:footnoteRef/>
      </w:r>
      <w:r>
        <w:t xml:space="preserve"> Cross-references for "proclaim": Exod 12:16; Lev 23:2.</w:t>
      </w:r>
    </w:p>
  </w:footnote>
  <w:footnote w:id="2381">
    <w:p>
      <w:pPr>
        <w:pStyle w:val="FootnoteText"/>
      </w:pPr>
      <w:r>
        <w:rPr>
          <w:rStyle w:val="FootnoteReference"/>
        </w:rPr>
        <w:footnoteRef/>
      </w:r>
      <w:r>
        <w:t xml:space="preserve"> Translation note: Greek says remainder of field and fallen gleanings.</w:t>
      </w:r>
    </w:p>
  </w:footnote>
  <w:footnote w:id="2382">
    <w:p>
      <w:pPr>
        <w:pStyle w:val="FootnoteText"/>
      </w:pPr>
      <w:r>
        <w:rPr>
          <w:rStyle w:val="FootnoteReference"/>
        </w:rPr>
        <w:footnoteRef/>
      </w:r>
      <w:r>
        <w:t xml:space="preserve"> Cross-references for "In the seventh": Num 10:10; Num 29:1-6.</w:t>
      </w:r>
    </w:p>
  </w:footnote>
  <w:footnote w:id="2383">
    <w:p>
      <w:pPr>
        <w:pStyle w:val="FootnoteText"/>
      </w:pPr>
      <w:r>
        <w:rPr>
          <w:rStyle w:val="FootnoteReference"/>
        </w:rPr>
        <w:footnoteRef/>
      </w:r>
      <w:r>
        <w:t xml:space="preserve"> Cross-references for "the tenth": Lev 16:29-30; Lev 25:9.</w:t>
      </w:r>
    </w:p>
  </w:footnote>
  <w:footnote w:id="2384">
    <w:p>
      <w:pPr>
        <w:pStyle w:val="FootnoteText"/>
      </w:pPr>
      <w:r>
        <w:rPr>
          <w:rStyle w:val="FootnoteReference"/>
        </w:rPr>
        <w:footnoteRef/>
      </w:r>
      <w:r>
        <w:t xml:space="preserve"> Cross-references for "a Sabbath": Lev 16:31; Matt 11:28-30.</w:t>
      </w:r>
    </w:p>
  </w:footnote>
  <w:footnote w:id="2385">
    <w:p>
      <w:pPr>
        <w:pStyle w:val="FootnoteText"/>
      </w:pPr>
      <w:r>
        <w:rPr>
          <w:rStyle w:val="FootnoteReference"/>
        </w:rPr>
        <w:footnoteRef/>
      </w:r>
      <w:r>
        <w:t xml:space="preserve"> Cross-references for "the fifteenth": Exod 23:16; Exod 34:22.</w:t>
      </w:r>
    </w:p>
  </w:footnote>
  <w:footnote w:id="2386">
    <w:p>
      <w:pPr>
        <w:pStyle w:val="FootnoteText"/>
      </w:pPr>
      <w:r>
        <w:rPr>
          <w:rStyle w:val="FootnoteReference"/>
        </w:rPr>
        <w:footnoteRef/>
      </w:r>
      <w:r>
        <w:t xml:space="preserve"> Cross-references for "Seven": Num 29:12-38.</w:t>
      </w:r>
    </w:p>
  </w:footnote>
  <w:footnote w:id="2387">
    <w:p>
      <w:pPr>
        <w:pStyle w:val="FootnoteText"/>
      </w:pPr>
      <w:r>
        <w:rPr>
          <w:rStyle w:val="FootnoteReference"/>
        </w:rPr>
        <w:footnoteRef/>
      </w:r>
      <w:r>
        <w:t xml:space="preserve"> Translation note: Greek says it is conclusion.</w:t>
      </w:r>
    </w:p>
  </w:footnote>
  <w:footnote w:id="2388">
    <w:p>
      <w:pPr>
        <w:pStyle w:val="FootnoteText"/>
      </w:pPr>
      <w:r>
        <w:rPr>
          <w:rStyle w:val="FootnoteReference"/>
        </w:rPr>
        <w:footnoteRef/>
      </w:r>
      <w:r>
        <w:t xml:space="preserve"> Cross-references for "the feasts": Lev 23:2; Lev 23:4.</w:t>
      </w:r>
    </w:p>
  </w:footnote>
  <w:footnote w:id="2389">
    <w:p>
      <w:pPr>
        <w:pStyle w:val="FootnoteText"/>
      </w:pPr>
      <w:r>
        <w:rPr>
          <w:rStyle w:val="FootnoteReference"/>
        </w:rPr>
        <w:footnoteRef/>
      </w:r>
      <w:r>
        <w:t xml:space="preserve"> Cross-references for "the Sabbaths": Gen 2:2-3; Exod 20:8-11.</w:t>
      </w:r>
    </w:p>
  </w:footnote>
  <w:footnote w:id="2390">
    <w:p>
      <w:pPr>
        <w:pStyle w:val="FootnoteText"/>
      </w:pPr>
      <w:r>
        <w:rPr>
          <w:rStyle w:val="FootnoteReference"/>
        </w:rPr>
        <w:footnoteRef/>
      </w:r>
      <w:r>
        <w:t xml:space="preserve"> Cross-references for "On the first": Lev 23:24; Lev 23:36.</w:t>
      </w:r>
    </w:p>
  </w:footnote>
  <w:footnote w:id="2391">
    <w:p>
      <w:pPr>
        <w:pStyle w:val="FootnoteText"/>
      </w:pPr>
      <w:r>
        <w:rPr>
          <w:rStyle w:val="FootnoteReference"/>
        </w:rPr>
        <w:footnoteRef/>
      </w:r>
      <w:r>
        <w:t xml:space="preserve"> Cross-references for "rejoice": Deut 16:14-15; Isa 35:10.</w:t>
      </w:r>
    </w:p>
  </w:footnote>
  <w:footnote w:id="2392">
    <w:p>
      <w:pPr>
        <w:pStyle w:val="FootnoteText"/>
      </w:pPr>
      <w:r>
        <w:rPr>
          <w:rStyle w:val="FootnoteReference"/>
        </w:rPr>
        <w:footnoteRef/>
      </w:r>
      <w:r>
        <w:t xml:space="preserve"> Translation note: Greek says burn it from evening until morning.</w:t>
      </w:r>
    </w:p>
  </w:footnote>
  <w:footnote w:id="2393">
    <w:p>
      <w:pPr>
        <w:pStyle w:val="FootnoteText"/>
      </w:pPr>
      <w:r>
        <w:rPr>
          <w:rStyle w:val="FootnoteReference"/>
        </w:rPr>
        <w:footnoteRef/>
      </w:r>
      <w:r>
        <w:t xml:space="preserve"> Cross-references for "the pure": Exod 25:31-39; Exod 31:8.</w:t>
      </w:r>
    </w:p>
  </w:footnote>
  <w:footnote w:id="2394">
    <w:p>
      <w:pPr>
        <w:pStyle w:val="FootnoteText"/>
      </w:pPr>
      <w:r>
        <w:rPr>
          <w:rStyle w:val="FootnoteReference"/>
        </w:rPr>
        <w:footnoteRef/>
      </w:r>
      <w:r>
        <w:t xml:space="preserve"> Cross-references for "pure": Exod 25:23-24; Exod 37:10-16.</w:t>
      </w:r>
    </w:p>
  </w:footnote>
  <w:footnote w:id="2395">
    <w:p>
      <w:pPr>
        <w:pStyle w:val="FootnoteText"/>
      </w:pPr>
      <w:r>
        <w:rPr>
          <w:rStyle w:val="FootnoteReference"/>
        </w:rPr>
        <w:footnoteRef/>
      </w:r>
      <w:r>
        <w:t xml:space="preserve"> Cross-references for "pure": Lev 2:2; Eph 1:6.</w:t>
      </w:r>
    </w:p>
  </w:footnote>
  <w:footnote w:id="2396">
    <w:p>
      <w:pPr>
        <w:pStyle w:val="FootnoteText"/>
      </w:pPr>
      <w:r>
        <w:rPr>
          <w:rStyle w:val="FootnoteReference"/>
        </w:rPr>
        <w:footnoteRef/>
      </w:r>
      <w:r>
        <w:t xml:space="preserve"> People-name: Israelite. People-name meaning: Israelite — God contends; strives with God. Source form: Israelite.</w:t>
      </w:r>
    </w:p>
  </w:footnote>
  <w:footnote w:id="2397">
    <w:p>
      <w:pPr>
        <w:pStyle w:val="FootnoteText"/>
      </w:pPr>
      <w:r>
        <w:rPr>
          <w:rStyle w:val="FootnoteReference"/>
        </w:rPr>
        <w:footnoteRef/>
      </w:r>
      <w:r>
        <w:t xml:space="preserve"> Cross-references for "the Name": Lev 24:16.</w:t>
      </w:r>
    </w:p>
  </w:footnote>
  <w:footnote w:id="2398">
    <w:p>
      <w:pPr>
        <w:pStyle w:val="FootnoteText"/>
      </w:pPr>
      <w:r>
        <w:rPr>
          <w:rStyle w:val="FootnoteReference"/>
        </w:rPr>
        <w:footnoteRef/>
      </w:r>
      <w:r>
        <w:t xml:space="preserve"> Personal name: Shelomith. Personal-name meaning: Shelomith — my peace; my happiness; my recompense. Source form: Shelomith.</w:t>
      </w:r>
    </w:p>
  </w:footnote>
  <w:footnote w:id="2399">
    <w:p>
      <w:pPr>
        <w:pStyle w:val="FootnoteText"/>
      </w:pPr>
      <w:r>
        <w:rPr>
          <w:rStyle w:val="FootnoteReference"/>
        </w:rPr>
        <w:footnoteRef/>
      </w:r>
      <w:r>
        <w:t xml:space="preserve"> Personal name: Dibri. Personal-name meaning: Dibri — an orator. Source form: Dibri.</w:t>
      </w:r>
    </w:p>
  </w:footnote>
  <w:footnote w:id="2400">
    <w:p>
      <w:pPr>
        <w:pStyle w:val="FootnoteText"/>
      </w:pPr>
      <w:r>
        <w:rPr>
          <w:rStyle w:val="FootnoteReference"/>
        </w:rPr>
        <w:footnoteRef/>
      </w:r>
      <w:r>
        <w:t xml:space="preserve"> Cross-references for "let all the": Lev 20:2; Lev 20:27.</w:t>
      </w:r>
    </w:p>
  </w:footnote>
  <w:footnote w:id="2401">
    <w:p>
      <w:pPr>
        <w:pStyle w:val="FootnoteText"/>
      </w:pPr>
      <w:r>
        <w:rPr>
          <w:rStyle w:val="FootnoteReference"/>
        </w:rPr>
        <w:footnoteRef/>
      </w:r>
      <w:r>
        <w:t xml:space="preserve"> Translation note: Greek says naming name rather than blaspheming here.</w:t>
      </w:r>
    </w:p>
  </w:footnote>
  <w:footnote w:id="2402">
    <w:p>
      <w:pPr>
        <w:pStyle w:val="FootnoteText"/>
      </w:pPr>
      <w:r>
        <w:rPr>
          <w:rStyle w:val="FootnoteReference"/>
        </w:rPr>
        <w:footnoteRef/>
      </w:r>
      <w:r>
        <w:t xml:space="preserve"> Translation note: Greek gives the retaliation rule in direct form. Current wording preserves it.</w:t>
      </w:r>
    </w:p>
  </w:footnote>
  <w:footnote w:id="2403">
    <w:p>
      <w:pPr>
        <w:pStyle w:val="FootnoteText"/>
      </w:pPr>
      <w:r>
        <w:rPr>
          <w:rStyle w:val="FootnoteReference"/>
        </w:rPr>
        <w:footnoteRef/>
      </w:r>
      <w:r>
        <w:t xml:space="preserve"> Cross-references for "proclaim": Exod 20:2; Ezra 1:3.</w:t>
      </w:r>
    </w:p>
  </w:footnote>
  <w:footnote w:id="2404">
    <w:p>
      <w:pPr>
        <w:pStyle w:val="FootnoteText"/>
      </w:pPr>
      <w:r>
        <w:rPr>
          <w:rStyle w:val="FootnoteReference"/>
        </w:rPr>
        <w:footnoteRef/>
      </w:r>
      <w:r>
        <w:t xml:space="preserve"> Translation note: Greek says signal of release here rather than harmonizing to jubile.</w:t>
      </w:r>
    </w:p>
  </w:footnote>
  <w:footnote w:id="2405">
    <w:p>
      <w:pPr>
        <w:pStyle w:val="FootnoteText"/>
      </w:pPr>
      <w:r>
        <w:rPr>
          <w:rStyle w:val="FootnoteReference"/>
        </w:rPr>
        <w:footnoteRef/>
      </w:r>
      <w:r>
        <w:t xml:space="preserve"> Translation note: Greek speaks of increasing or lessening the purchase itself. The translation keeps that phrasing.</w:t>
      </w:r>
    </w:p>
  </w:footnote>
  <w:footnote w:id="2406">
    <w:p>
      <w:pPr>
        <w:pStyle w:val="FootnoteText"/>
      </w:pPr>
      <w:r>
        <w:rPr>
          <w:rStyle w:val="FootnoteReference"/>
        </w:rPr>
        <w:footnoteRef/>
      </w:r>
      <w:r>
        <w:t xml:space="preserve"> Cross-references for "fear": Gen 20:11; Gen 22:12.</w:t>
      </w:r>
    </w:p>
  </w:footnote>
  <w:footnote w:id="2407">
    <w:p>
      <w:pPr>
        <w:pStyle w:val="FootnoteText"/>
      </w:pPr>
      <w:r>
        <w:rPr>
          <w:rStyle w:val="FootnoteReference"/>
        </w:rPr>
        <w:footnoteRef/>
      </w:r>
      <w:r>
        <w:t xml:space="preserve"> Cross-references for "three years": Lev 25:4; Lev 25:8-11.</w:t>
      </w:r>
    </w:p>
  </w:footnote>
  <w:footnote w:id="2408">
    <w:p>
      <w:pPr>
        <w:pStyle w:val="FootnoteText"/>
      </w:pPr>
      <w:r>
        <w:rPr>
          <w:rStyle w:val="FootnoteReference"/>
        </w:rPr>
        <w:footnoteRef/>
      </w:r>
      <w:r>
        <w:t xml:space="preserve"> Cross-references for "eighth": 2Kgs 19:29; Isa 37:30.</w:t>
      </w:r>
    </w:p>
  </w:footnote>
  <w:footnote w:id="2409">
    <w:p>
      <w:pPr>
        <w:pStyle w:val="FootnoteText"/>
      </w:pPr>
      <w:r>
        <w:rPr>
          <w:rStyle w:val="FootnoteReference"/>
        </w:rPr>
        <w:footnoteRef/>
      </w:r>
      <w:r>
        <w:t xml:space="preserve"> Translation note: Greek keeps redemption language explicit here. Current wording preserves that land-law formula.</w:t>
      </w:r>
    </w:p>
  </w:footnote>
  <w:footnote w:id="2410">
    <w:p>
      <w:pPr>
        <w:pStyle w:val="FootnoteText"/>
      </w:pPr>
      <w:r>
        <w:rPr>
          <w:rStyle w:val="FootnoteReference"/>
        </w:rPr>
        <w:footnoteRef/>
      </w:r>
      <w:r>
        <w:t xml:space="preserve"> Cross-references for "redemption": Lev 25:27; Lev 25:31.</w:t>
      </w:r>
    </w:p>
  </w:footnote>
  <w:footnote w:id="2411">
    <w:p>
      <w:pPr>
        <w:pStyle w:val="FootnoteText"/>
      </w:pPr>
      <w:r>
        <w:rPr>
          <w:rStyle w:val="FootnoteReference"/>
        </w:rPr>
        <w:footnoteRef/>
      </w:r>
      <w:r>
        <w:t xml:space="preserve"> Translation note: Greek keeps this prosperity wording.</w:t>
      </w:r>
    </w:p>
  </w:footnote>
  <w:footnote w:id="2412">
    <w:p>
      <w:pPr>
        <w:pStyle w:val="FootnoteText"/>
      </w:pPr>
      <w:r>
        <w:rPr>
          <w:rStyle w:val="FootnoteReference"/>
        </w:rPr>
        <w:footnoteRef/>
      </w:r>
      <w:r>
        <w:t xml:space="preserve"> Cross-references for "he shall": Isa 35:9-10; Jer 32:15.</w:t>
      </w:r>
    </w:p>
  </w:footnote>
  <w:footnote w:id="2413">
    <w:p>
      <w:pPr>
        <w:pStyle w:val="FootnoteText"/>
      </w:pPr>
      <w:r>
        <w:rPr>
          <w:rStyle w:val="FootnoteReference"/>
        </w:rPr>
        <w:footnoteRef/>
      </w:r>
      <w:r>
        <w:t xml:space="preserve"> Translation note: Greek says it shall not go out in the release.</w:t>
      </w:r>
    </w:p>
  </w:footnote>
  <w:footnote w:id="2414">
    <w:p>
      <w:pPr>
        <w:pStyle w:val="FootnoteText"/>
      </w:pPr>
      <w:r>
        <w:rPr>
          <w:rStyle w:val="FootnoteReference"/>
        </w:rPr>
        <w:footnoteRef/>
      </w:r>
      <w:r>
        <w:t xml:space="preserve"> Cross-references for "the cities": Num 35:2-8; Josh 21:1-45.</w:t>
      </w:r>
    </w:p>
  </w:footnote>
  <w:footnote w:id="2415">
    <w:p>
      <w:pPr>
        <w:pStyle w:val="FootnoteText"/>
      </w:pPr>
      <w:r>
        <w:rPr>
          <w:rStyle w:val="FootnoteReference"/>
        </w:rPr>
        <w:footnoteRef/>
      </w:r>
      <w:r>
        <w:t xml:space="preserve"> Cross-references for "shall go": Lev 25:28.</w:t>
      </w:r>
    </w:p>
  </w:footnote>
  <w:footnote w:id="2416">
    <w:p>
      <w:pPr>
        <w:pStyle w:val="FootnoteText"/>
      </w:pPr>
      <w:r>
        <w:rPr>
          <w:rStyle w:val="FootnoteReference"/>
        </w:rPr>
        <w:footnoteRef/>
      </w:r>
      <w:r>
        <w:t xml:space="preserve"> Translation note: Greek says sale of houses shall go out in release.</w:t>
      </w:r>
    </w:p>
  </w:footnote>
  <w:footnote w:id="2417">
    <w:p>
      <w:pPr>
        <w:pStyle w:val="FootnoteText"/>
      </w:pPr>
      <w:r>
        <w:rPr>
          <w:rStyle w:val="FootnoteReference"/>
        </w:rPr>
        <w:footnoteRef/>
      </w:r>
      <w:r>
        <w:t xml:space="preserve"> Cross-references for "fear": Lev 25:17; Neh 5:9.</w:t>
      </w:r>
    </w:p>
  </w:footnote>
  <w:footnote w:id="2418">
    <w:p>
      <w:pPr>
        <w:pStyle w:val="FootnoteText"/>
      </w:pPr>
      <w:r>
        <w:rPr>
          <w:rStyle w:val="FootnoteReference"/>
        </w:rPr>
        <w:footnoteRef/>
      </w:r>
      <w:r>
        <w:t xml:space="preserve"> Cross-references for "shall return": Lev 25:10; Lev 25:28.</w:t>
      </w:r>
    </w:p>
  </w:footnote>
  <w:footnote w:id="2419">
    <w:p>
      <w:pPr>
        <w:pStyle w:val="FootnoteText"/>
      </w:pPr>
      <w:r>
        <w:rPr>
          <w:rStyle w:val="FootnoteReference"/>
        </w:rPr>
        <w:footnoteRef/>
      </w:r>
      <w:r>
        <w:t xml:space="preserve"> Translation note: Greek says from sons of residents among you, from these you shall acquire.</w:t>
      </w:r>
    </w:p>
  </w:footnote>
  <w:footnote w:id="2420">
    <w:p>
      <w:pPr>
        <w:pStyle w:val="FootnoteText"/>
      </w:pPr>
      <w:r>
        <w:rPr>
          <w:rStyle w:val="FootnoteReference"/>
        </w:rPr>
        <w:footnoteRef/>
      </w:r>
      <w:r>
        <w:t xml:space="preserve"> Translation note: Greek says no one shall press down his brother in toils.</w:t>
      </w:r>
    </w:p>
  </w:footnote>
  <w:footnote w:id="2421">
    <w:p>
      <w:pPr>
        <w:pStyle w:val="FootnoteText"/>
      </w:pPr>
      <w:r>
        <w:rPr>
          <w:rStyle w:val="FootnoteReference"/>
        </w:rPr>
        <w:footnoteRef/>
      </w:r>
      <w:r>
        <w:t xml:space="preserve"> Translation note: Greek says calculate here. Current line keeps that commercial wording.</w:t>
      </w:r>
    </w:p>
  </w:footnote>
  <w:footnote w:id="2422">
    <w:p>
      <w:pPr>
        <w:pStyle w:val="FootnoteText"/>
      </w:pPr>
      <w:r>
        <w:rPr>
          <w:rStyle w:val="FootnoteReference"/>
        </w:rPr>
        <w:footnoteRef/>
      </w:r>
      <w:r>
        <w:t xml:space="preserve"> Translation note: Greek uses ownership language with paired servant terms. Current wording preserves that force.</w:t>
      </w:r>
    </w:p>
  </w:footnote>
  <w:footnote w:id="2423">
    <w:p>
      <w:pPr>
        <w:pStyle w:val="FootnoteText"/>
      </w:pPr>
      <w:r>
        <w:rPr>
          <w:rStyle w:val="FootnoteReference"/>
        </w:rPr>
        <w:footnoteRef/>
      </w:r>
      <w:r>
        <w:t xml:space="preserve"> Cross-references for "my servants": Exod 13:3; Exod 20:2.</w:t>
      </w:r>
    </w:p>
  </w:footnote>
  <w:footnote w:id="2424">
    <w:p>
      <w:pPr>
        <w:pStyle w:val="FootnoteText"/>
      </w:pPr>
      <w:r>
        <w:rPr>
          <w:rStyle w:val="FootnoteReference"/>
        </w:rPr>
        <w:footnoteRef/>
      </w:r>
      <w:r>
        <w:t xml:space="preserve"> Cross-references for "then I": Deut 28:12; 1Kgs 17:1.</w:t>
      </w:r>
    </w:p>
  </w:footnote>
  <w:footnote w:id="2425">
    <w:p>
      <w:pPr>
        <w:pStyle w:val="FootnoteText"/>
      </w:pPr>
      <w:r>
        <w:rPr>
          <w:rStyle w:val="FootnoteReference"/>
        </w:rPr>
        <w:footnoteRef/>
      </w:r>
      <w:r>
        <w:t xml:space="preserve"> Cross-references for "threshing": Amos 9:13; Matt 9:37-38.</w:t>
      </w:r>
    </w:p>
  </w:footnote>
  <w:footnote w:id="2426">
    <w:p>
      <w:pPr>
        <w:pStyle w:val="FootnoteText"/>
      </w:pPr>
      <w:r>
        <w:rPr>
          <w:rStyle w:val="FootnoteReference"/>
        </w:rPr>
        <w:footnoteRef/>
      </w:r>
      <w:r>
        <w:t xml:space="preserve"> Cross-references for "establish": Gen 6:18; Gen 17:7.</w:t>
      </w:r>
    </w:p>
  </w:footnote>
  <w:footnote w:id="2427">
    <w:p>
      <w:pPr>
        <w:pStyle w:val="FootnoteText"/>
      </w:pPr>
      <w:r>
        <w:rPr>
          <w:rStyle w:val="FootnoteReference"/>
        </w:rPr>
        <w:footnoteRef/>
      </w:r>
      <w:r>
        <w:t xml:space="preserve"> Cross-references for "abhor": Lev 20:23; Deut 32:19.</w:t>
      </w:r>
    </w:p>
  </w:footnote>
  <w:footnote w:id="2428">
    <w:p>
      <w:pPr>
        <w:pStyle w:val="FootnoteText"/>
      </w:pPr>
      <w:r>
        <w:rPr>
          <w:rStyle w:val="FootnoteReference"/>
        </w:rPr>
        <w:footnoteRef/>
      </w:r>
      <w:r>
        <w:t xml:space="preserve"> Cross-references for "will be": Gen 17:7; Exod 3:6.</w:t>
      </w:r>
    </w:p>
  </w:footnote>
  <w:footnote w:id="2429">
    <w:p>
      <w:pPr>
        <w:pStyle w:val="FootnoteText"/>
      </w:pPr>
      <w:r>
        <w:rPr>
          <w:rStyle w:val="FootnoteReference"/>
        </w:rPr>
        <w:footnoteRef/>
      </w:r>
      <w:r>
        <w:t xml:space="preserve"> Cross-references for "break": Gen 17:14; Exod 19:5.</w:t>
      </w:r>
    </w:p>
  </w:footnote>
  <w:footnote w:id="2430">
    <w:p>
      <w:pPr>
        <w:pStyle w:val="FootnoteText"/>
      </w:pPr>
      <w:r>
        <w:rPr>
          <w:rStyle w:val="FootnoteReference"/>
        </w:rPr>
        <w:footnoteRef/>
      </w:r>
      <w:r>
        <w:t xml:space="preserve"> Translation note: Greek gives this disease list here.</w:t>
      </w:r>
    </w:p>
  </w:footnote>
  <w:footnote w:id="2431">
    <w:p>
      <w:pPr>
        <w:pStyle w:val="FootnoteText"/>
      </w:pPr>
      <w:r>
        <w:rPr>
          <w:rStyle w:val="FootnoteReference"/>
        </w:rPr>
        <w:footnoteRef/>
      </w:r>
      <w:r>
        <w:t xml:space="preserve"> Cross-references for "make": Deut 28:23; 1Kgs 17:1.</w:t>
      </w:r>
    </w:p>
  </w:footnote>
  <w:footnote w:id="2432">
    <w:p>
      <w:pPr>
        <w:pStyle w:val="FootnoteText"/>
      </w:pPr>
      <w:r>
        <w:rPr>
          <w:rStyle w:val="FootnoteReference"/>
        </w:rPr>
        <w:footnoteRef/>
      </w:r>
      <w:r>
        <w:t xml:space="preserve"> Cross-references for "your strength": Ps 127:1; Isa 49:4.</w:t>
      </w:r>
    </w:p>
  </w:footnote>
  <w:footnote w:id="2433">
    <w:p>
      <w:pPr>
        <w:pStyle w:val="FootnoteText"/>
      </w:pPr>
      <w:r>
        <w:rPr>
          <w:rStyle w:val="FootnoteReference"/>
        </w:rPr>
        <w:footnoteRef/>
      </w:r>
      <w:r>
        <w:t xml:space="preserve"> Cross-references for "wild": Lev 26:6; Deut 32:24.</w:t>
      </w:r>
    </w:p>
  </w:footnote>
  <w:footnote w:id="2434">
    <w:p>
      <w:pPr>
        <w:pStyle w:val="FootnoteText"/>
      </w:pPr>
      <w:r>
        <w:rPr>
          <w:rStyle w:val="FootnoteReference"/>
        </w:rPr>
        <w:footnoteRef/>
      </w:r>
      <w:r>
        <w:t xml:space="preserve"> Cross-references for "will bring": Deut 32:25; Deut 32:41.</w:t>
      </w:r>
    </w:p>
  </w:footnote>
  <w:footnote w:id="2435">
    <w:p>
      <w:pPr>
        <w:pStyle w:val="FootnoteText"/>
      </w:pPr>
      <w:r>
        <w:rPr>
          <w:rStyle w:val="FootnoteReference"/>
        </w:rPr>
        <w:footnoteRef/>
      </w:r>
      <w:r>
        <w:t xml:space="preserve"> Cross-references for "my soul": Lev 20:23; Lev 26:11.</w:t>
      </w:r>
    </w:p>
  </w:footnote>
  <w:footnote w:id="2436">
    <w:p>
      <w:pPr>
        <w:pStyle w:val="FootnoteText"/>
      </w:pPr>
      <w:r>
        <w:rPr>
          <w:rStyle w:val="FootnoteReference"/>
        </w:rPr>
        <w:footnoteRef/>
      </w:r>
      <w:r>
        <w:t xml:space="preserve"> Cross-references for "And I will make": 2Kgs 25:4-10; 2Chr 36:19.</w:t>
      </w:r>
    </w:p>
  </w:footnote>
  <w:footnote w:id="2437">
    <w:p>
      <w:pPr>
        <w:pStyle w:val="FootnoteText"/>
      </w:pPr>
      <w:r>
        <w:rPr>
          <w:rStyle w:val="FootnoteReference"/>
        </w:rPr>
        <w:footnoteRef/>
      </w:r>
      <w:r>
        <w:t xml:space="preserve"> Cross-references for "and your": Deut 28:37; Deut 29:24-28.</w:t>
      </w:r>
    </w:p>
  </w:footnote>
  <w:footnote w:id="2438">
    <w:p>
      <w:pPr>
        <w:pStyle w:val="FootnoteText"/>
      </w:pPr>
      <w:r>
        <w:rPr>
          <w:rStyle w:val="FootnoteReference"/>
        </w:rPr>
        <w:footnoteRef/>
      </w:r>
      <w:r>
        <w:t xml:space="preserve"> Translation note: Greek says driven/carried leaf here.</w:t>
      </w:r>
    </w:p>
  </w:footnote>
  <w:footnote w:id="2439">
    <w:p>
      <w:pPr>
        <w:pStyle w:val="FootnoteText"/>
      </w:pPr>
      <w:r>
        <w:rPr>
          <w:rStyle w:val="FootnoteReference"/>
        </w:rPr>
        <w:footnoteRef/>
      </w:r>
      <w:r>
        <w:t xml:space="preserve"> Cross-references for "confess": Num 5:7; Deut 4:29-31.</w:t>
      </w:r>
    </w:p>
  </w:footnote>
  <w:footnote w:id="2440">
    <w:p>
      <w:pPr>
        <w:pStyle w:val="FootnoteText"/>
      </w:pPr>
      <w:r>
        <w:rPr>
          <w:rStyle w:val="FootnoteReference"/>
        </w:rPr>
        <w:footnoteRef/>
      </w:r>
      <w:r>
        <w:t xml:space="preserve"> Translation note: Greek says anger at odds and heart will be ashamed.</w:t>
      </w:r>
    </w:p>
  </w:footnote>
  <w:footnote w:id="2441">
    <w:p>
      <w:pPr>
        <w:pStyle w:val="FootnoteText"/>
      </w:pPr>
      <w:r>
        <w:rPr>
          <w:rStyle w:val="FootnoteReference"/>
        </w:rPr>
        <w:footnoteRef/>
      </w:r>
      <w:r>
        <w:t xml:space="preserve"> Cross-references for "their uncircumcised": Deut 30:6; Jer 4:4.</w:t>
      </w:r>
    </w:p>
  </w:footnote>
  <w:footnote w:id="2442">
    <w:p>
      <w:pPr>
        <w:pStyle w:val="FootnoteText"/>
      </w:pPr>
      <w:r>
        <w:rPr>
          <w:rStyle w:val="FootnoteReference"/>
        </w:rPr>
        <w:footnoteRef/>
      </w:r>
      <w:r>
        <w:t xml:space="preserve"> Cross-references for "And I will": Ps 85:1-2; Ps 136:23.</w:t>
      </w:r>
    </w:p>
  </w:footnote>
  <w:footnote w:id="2443">
    <w:p>
      <w:pPr>
        <w:pStyle w:val="FootnoteText"/>
      </w:pPr>
      <w:r>
        <w:rPr>
          <w:rStyle w:val="FootnoteReference"/>
        </w:rPr>
        <w:footnoteRef/>
      </w:r>
      <w:r>
        <w:t xml:space="preserve"> Translation note: Greek line says welcome or receive its Sabbaths. Current line keeps that wording rather than smoothing to enjoy.</w:t>
      </w:r>
    </w:p>
  </w:footnote>
  <w:footnote w:id="2444">
    <w:p>
      <w:pPr>
        <w:pStyle w:val="FootnoteText"/>
      </w:pPr>
      <w:r>
        <w:rPr>
          <w:rStyle w:val="FootnoteReference"/>
        </w:rPr>
        <w:footnoteRef/>
      </w:r>
      <w:r>
        <w:t xml:space="preserve"> Cross-references for "their soul": Lev 26:15; Lev 26:30.</w:t>
      </w:r>
    </w:p>
  </w:footnote>
  <w:footnote w:id="2445">
    <w:p>
      <w:pPr>
        <w:pStyle w:val="FootnoteText"/>
      </w:pPr>
      <w:r>
        <w:rPr>
          <w:rStyle w:val="FootnoteReference"/>
        </w:rPr>
        <w:footnoteRef/>
      </w:r>
      <w:r>
        <w:t xml:space="preserve"> Translation note: Greek uses these verbs here.</w:t>
      </w:r>
    </w:p>
  </w:footnote>
  <w:footnote w:id="2446">
    <w:p>
      <w:pPr>
        <w:pStyle w:val="FootnoteText"/>
      </w:pPr>
      <w:r>
        <w:rPr>
          <w:rStyle w:val="FootnoteReference"/>
        </w:rPr>
        <w:footnoteRef/>
      </w:r>
      <w:r>
        <w:t xml:space="preserve"> Cross-references for "break": Ps 89:33; Jer 14:21.</w:t>
      </w:r>
    </w:p>
  </w:footnote>
  <w:footnote w:id="2447">
    <w:p>
      <w:pPr>
        <w:pStyle w:val="FootnoteText"/>
      </w:pPr>
      <w:r>
        <w:rPr>
          <w:rStyle w:val="FootnoteReference"/>
        </w:rPr>
        <w:footnoteRef/>
      </w:r>
      <w:r>
        <w:t xml:space="preserve"> Cross-references for "as the priest": Lev 27:12.</w:t>
      </w:r>
    </w:p>
  </w:footnote>
  <w:footnote w:id="2448">
    <w:p>
      <w:pPr>
        <w:pStyle w:val="FootnoteText"/>
      </w:pPr>
      <w:r>
        <w:rPr>
          <w:rStyle w:val="FootnoteReference"/>
        </w:rPr>
        <w:footnoteRef/>
      </w:r>
      <w:r>
        <w:t xml:space="preserve"> Translation note: Greek says reckon the silver here. Current line keeps that wording.</w:t>
      </w:r>
    </w:p>
  </w:footnote>
  <w:footnote w:id="2449">
    <w:p>
      <w:pPr>
        <w:pStyle w:val="FootnoteText"/>
      </w:pPr>
      <w:r>
        <w:rPr>
          <w:rStyle w:val="FootnoteReference"/>
        </w:rPr>
        <w:footnoteRef/>
      </w:r>
      <w:r>
        <w:t xml:space="preserve"> Cross-references for "his possession": Lev 25:10; Lev 25:25.</w:t>
      </w:r>
    </w:p>
  </w:footnote>
  <w:footnote w:id="2450">
    <w:p>
      <w:pPr>
        <w:pStyle w:val="FootnoteText"/>
      </w:pPr>
      <w:r>
        <w:rPr>
          <w:rStyle w:val="FootnoteReference"/>
        </w:rPr>
        <w:footnoteRef/>
      </w:r>
      <w:r>
        <w:t xml:space="preserve"> Cross-references for "twenty": Exod 30:13; Num 3:47.</w:t>
      </w:r>
    </w:p>
  </w:footnote>
  <w:footnote w:id="2451">
    <w:p>
      <w:pPr>
        <w:pStyle w:val="FootnoteText"/>
      </w:pPr>
      <w:r>
        <w:rPr>
          <w:rStyle w:val="FootnoteReference"/>
        </w:rPr>
        <w:footnoteRef/>
      </w:r>
      <w:r>
        <w:t xml:space="preserve"> Translation note: Greek explicitly says four-footed here. Current line keeps it.</w:t>
      </w:r>
    </w:p>
  </w:footnote>
  <w:footnote w:id="2452">
    <w:p>
      <w:pPr>
        <w:pStyle w:val="FootnoteText"/>
      </w:pPr>
      <w:r>
        <w:rPr>
          <w:rStyle w:val="FootnoteReference"/>
        </w:rPr>
        <w:footnoteRef/>
      </w:r>
      <w:r>
        <w:t xml:space="preserve"> Translation note: Greek uses the holy-of-holies formula here.</w:t>
      </w:r>
    </w:p>
  </w:footnote>
  <w:footnote w:id="2453">
    <w:p>
      <w:pPr>
        <w:pStyle w:val="FootnoteText"/>
      </w:pPr>
      <w:r>
        <w:rPr>
          <w:rStyle w:val="FootnoteReference"/>
        </w:rPr>
        <w:footnoteRef/>
      </w:r>
      <w:r>
        <w:t xml:space="preserve"> Translation note: Greek keeps the devoted-object ruling stark: no redemption, only death. Current wording preserves that severity.</w:t>
      </w:r>
    </w:p>
  </w:footnote>
  <w:footnote w:id="2454">
    <w:p>
      <w:pPr>
        <w:pStyle w:val="FootnoteText"/>
      </w:pPr>
      <w:r>
        <w:rPr>
          <w:rStyle w:val="FootnoteReference"/>
        </w:rPr>
        <w:footnoteRef/>
      </w:r>
      <w:r>
        <w:t xml:space="preserve"> Translation note: Greek repeats exchange language for emphasis. Current wording preserves that legal formula.</w:t>
      </w:r>
    </w:p>
  </w:footnote>
  <w:footnote w:id="2455">
    <w:p>
      <w:pPr>
        <w:pStyle w:val="FootnoteText"/>
      </w:pPr>
      <w:r>
        <w:rPr>
          <w:rStyle w:val="FootnoteReference"/>
        </w:rPr>
        <w:footnoteRef/>
      </w:r>
      <w:r>
        <w:t xml:space="preserve"> Cross-references for "wilderness": Exod 19:1; Lev 27:34.</w:t>
      </w:r>
    </w:p>
  </w:footnote>
  <w:footnote w:id="2456">
    <w:p>
      <w:pPr>
        <w:pStyle w:val="FootnoteText"/>
      </w:pPr>
      <w:r>
        <w:rPr>
          <w:rStyle w:val="FootnoteReference"/>
        </w:rPr>
        <w:footnoteRef/>
      </w:r>
      <w:r>
        <w:t xml:space="preserve"> Translation note: The Greek uses head language in the census command. The current wording preserves that wording.</w:t>
      </w:r>
    </w:p>
  </w:footnote>
  <w:footnote w:id="2457">
    <w:p>
      <w:pPr>
        <w:pStyle w:val="FootnoteText"/>
      </w:pPr>
      <w:r>
        <w:rPr>
          <w:rStyle w:val="FootnoteReference"/>
        </w:rPr>
        <w:footnoteRef/>
      </w:r>
      <w:r>
        <w:t xml:space="preserve"> Cross-references for "twenty": Exod 30:14; Num 14:29.</w:t>
      </w:r>
    </w:p>
  </w:footnote>
  <w:footnote w:id="2458">
    <w:p>
      <w:pPr>
        <w:pStyle w:val="FootnoteText"/>
      </w:pPr>
      <w:r>
        <w:rPr>
          <w:rStyle w:val="FootnoteReference"/>
        </w:rPr>
        <w:footnoteRef/>
      </w:r>
      <w:r>
        <w:t xml:space="preserve"> Personal name: Elizur. Personal-name meaning: Elizur — God is my strength; my rock; rock of God. Source form: Elizur.</w:t>
      </w:r>
    </w:p>
  </w:footnote>
  <w:footnote w:id="2459">
    <w:p>
      <w:pPr>
        <w:pStyle w:val="FootnoteText"/>
      </w:pPr>
      <w:r>
        <w:rPr>
          <w:rStyle w:val="FootnoteReference"/>
        </w:rPr>
        <w:footnoteRef/>
      </w:r>
      <w:r>
        <w:t xml:space="preserve"> Personal name: Shedeur. Personal-name meaning: Shedeur — field of light; light of the Almighty. Source form: Shedeur.</w:t>
      </w:r>
    </w:p>
  </w:footnote>
  <w:footnote w:id="2460">
    <w:p>
      <w:pPr>
        <w:pStyle w:val="FootnoteText"/>
      </w:pPr>
      <w:r>
        <w:rPr>
          <w:rStyle w:val="FootnoteReference"/>
        </w:rPr>
        <w:footnoteRef/>
      </w:r>
      <w:r>
        <w:t xml:space="preserve"> Cross-references for "Elizur": Gen 29:32-35; Gen 30:5-20.</w:t>
      </w:r>
    </w:p>
  </w:footnote>
  <w:footnote w:id="2461">
    <w:p>
      <w:pPr>
        <w:pStyle w:val="FootnoteText"/>
      </w:pPr>
      <w:r>
        <w:rPr>
          <w:rStyle w:val="FootnoteReference"/>
        </w:rPr>
        <w:footnoteRef/>
      </w:r>
      <w:r>
        <w:t xml:space="preserve"> Personal name: Shelumiel. Personal-name meaning: Shelumiel — God is my perfection; my happiness; my peace. Source form: Shelumiel.</w:t>
      </w:r>
    </w:p>
  </w:footnote>
  <w:footnote w:id="2462">
    <w:p>
      <w:pPr>
        <w:pStyle w:val="FootnoteText"/>
      </w:pPr>
      <w:r>
        <w:rPr>
          <w:rStyle w:val="FootnoteReference"/>
        </w:rPr>
        <w:footnoteRef/>
      </w:r>
      <w:r>
        <w:t xml:space="preserve"> Personal name: Zurishaddai. Personal-name meaning: Zurishaddai — the Almighty is my rock and strength. Source form: Zurishaddai.</w:t>
      </w:r>
    </w:p>
  </w:footnote>
  <w:footnote w:id="2463">
    <w:p>
      <w:pPr>
        <w:pStyle w:val="FootnoteText"/>
      </w:pPr>
      <w:r>
        <w:rPr>
          <w:rStyle w:val="FootnoteReference"/>
        </w:rPr>
        <w:footnoteRef/>
      </w:r>
      <w:r>
        <w:t xml:space="preserve"> Translation note: Greek gives a plain tribal listing line here. Current wording preserves that register.</w:t>
      </w:r>
    </w:p>
  </w:footnote>
  <w:footnote w:id="2464">
    <w:p>
      <w:pPr>
        <w:pStyle w:val="FootnoteText"/>
      </w:pPr>
      <w:r>
        <w:rPr>
          <w:rStyle w:val="FootnoteReference"/>
        </w:rPr>
        <w:footnoteRef/>
      </w:r>
      <w:r>
        <w:t xml:space="preserve"> Cross-references for "Shelumiel": Num 2:12; Num 7:36.</w:t>
      </w:r>
    </w:p>
  </w:footnote>
  <w:footnote w:id="2465">
    <w:p>
      <w:pPr>
        <w:pStyle w:val="FootnoteText"/>
      </w:pPr>
      <w:r>
        <w:rPr>
          <w:rStyle w:val="FootnoteReference"/>
        </w:rPr>
        <w:footnoteRef/>
      </w:r>
      <w:r>
        <w:t xml:space="preserve"> Cross-references for "Nahshon": Num 2:3; Num 7:12.</w:t>
      </w:r>
    </w:p>
  </w:footnote>
  <w:footnote w:id="2466">
    <w:p>
      <w:pPr>
        <w:pStyle w:val="FootnoteText"/>
      </w:pPr>
      <w:r>
        <w:rPr>
          <w:rStyle w:val="FootnoteReference"/>
        </w:rPr>
        <w:footnoteRef/>
      </w:r>
      <w:r>
        <w:t xml:space="preserve"> Personal name: Nethanel. Personal-name meaning: Nethanel — the gift of God. Source form: Nethanel.</w:t>
      </w:r>
    </w:p>
  </w:footnote>
  <w:footnote w:id="2467">
    <w:p>
      <w:pPr>
        <w:pStyle w:val="FootnoteText"/>
      </w:pPr>
      <w:r>
        <w:rPr>
          <w:rStyle w:val="FootnoteReference"/>
        </w:rPr>
        <w:footnoteRef/>
      </w:r>
      <w:r>
        <w:t xml:space="preserve"> Personal name: Zuar. Personal-name meaning: Zuar — little; small. Source form: Zuar.</w:t>
      </w:r>
    </w:p>
  </w:footnote>
  <w:footnote w:id="2468">
    <w:p>
      <w:pPr>
        <w:pStyle w:val="FootnoteText"/>
      </w:pPr>
      <w:r>
        <w:rPr>
          <w:rStyle w:val="FootnoteReference"/>
        </w:rPr>
        <w:footnoteRef/>
      </w:r>
      <w:r>
        <w:t xml:space="preserve"> Personal name: Eliab. Personal-name meaning: Eliab — God is my father; God is the father. Source form: Eliab.</w:t>
      </w:r>
    </w:p>
  </w:footnote>
  <w:footnote w:id="2469">
    <w:p>
      <w:pPr>
        <w:pStyle w:val="FootnoteText"/>
      </w:pPr>
      <w:r>
        <w:rPr>
          <w:rStyle w:val="FootnoteReference"/>
        </w:rPr>
        <w:footnoteRef/>
      </w:r>
      <w:r>
        <w:t xml:space="preserve"> Translation note: Greek gives a plain tribal listing line here. Current wording preserves that register.</w:t>
      </w:r>
    </w:p>
  </w:footnote>
  <w:footnote w:id="2470">
    <w:p>
      <w:pPr>
        <w:pStyle w:val="FootnoteText"/>
      </w:pPr>
      <w:r>
        <w:rPr>
          <w:rStyle w:val="FootnoteReference"/>
        </w:rPr>
        <w:footnoteRef/>
      </w:r>
      <w:r>
        <w:t xml:space="preserve"> Cross-references for "Eliab": Num 2:7; Num 7:24.</w:t>
      </w:r>
    </w:p>
  </w:footnote>
  <w:footnote w:id="2471">
    <w:p>
      <w:pPr>
        <w:pStyle w:val="FootnoteText"/>
      </w:pPr>
      <w:r>
        <w:rPr>
          <w:rStyle w:val="FootnoteReference"/>
        </w:rPr>
        <w:footnoteRef/>
      </w:r>
      <w:r>
        <w:t xml:space="preserve"> Personal name: Elishama. Personal-name meaning: Elishama — God hearing. Source form: Elishama.</w:t>
      </w:r>
    </w:p>
  </w:footnote>
  <w:footnote w:id="2472">
    <w:p>
      <w:pPr>
        <w:pStyle w:val="FootnoteText"/>
      </w:pPr>
      <w:r>
        <w:rPr>
          <w:rStyle w:val="FootnoteReference"/>
        </w:rPr>
        <w:footnoteRef/>
      </w:r>
      <w:r>
        <w:t xml:space="preserve"> Personal name: Ammihud. Personal-name meaning: Ammihud — people of praise. Source form: Ammihud.</w:t>
      </w:r>
    </w:p>
  </w:footnote>
  <w:footnote w:id="2473">
    <w:p>
      <w:pPr>
        <w:pStyle w:val="FootnoteText"/>
      </w:pPr>
      <w:r>
        <w:rPr>
          <w:rStyle w:val="FootnoteReference"/>
        </w:rPr>
        <w:footnoteRef/>
      </w:r>
      <w:r>
        <w:t xml:space="preserve"> Personal name: Gamaliel. Personal-name meaning: Gamaliel — God is my reward. Source form: Gamaliel.</w:t>
      </w:r>
    </w:p>
  </w:footnote>
  <w:footnote w:id="2474">
    <w:p>
      <w:pPr>
        <w:pStyle w:val="FootnoteText"/>
      </w:pPr>
      <w:r>
        <w:rPr>
          <w:rStyle w:val="FootnoteReference"/>
        </w:rPr>
        <w:footnoteRef/>
      </w:r>
      <w:r>
        <w:t xml:space="preserve"> Personal name: Pedahzur. Personal-name meaning: Pedahzur — strong or powerful savior; stone of redemption. Source form: Pedahzur.</w:t>
      </w:r>
    </w:p>
  </w:footnote>
  <w:footnote w:id="2475">
    <w:p>
      <w:pPr>
        <w:pStyle w:val="FootnoteText"/>
      </w:pPr>
      <w:r>
        <w:rPr>
          <w:rStyle w:val="FootnoteReference"/>
        </w:rPr>
        <w:footnoteRef/>
      </w:r>
      <w:r>
        <w:t xml:space="preserve"> Cross-references for "Elishama": Num 2:18; Num 7:48.</w:t>
      </w:r>
    </w:p>
  </w:footnote>
  <w:footnote w:id="2476">
    <w:p>
      <w:pPr>
        <w:pStyle w:val="FootnoteText"/>
      </w:pPr>
      <w:r>
        <w:rPr>
          <w:rStyle w:val="FootnoteReference"/>
        </w:rPr>
        <w:footnoteRef/>
      </w:r>
      <w:r>
        <w:t xml:space="preserve"> Personal name: Abidan. Personal-name meaning: Abidan — father of judgment. Source form: Abidan.</w:t>
      </w:r>
    </w:p>
  </w:footnote>
  <w:footnote w:id="2477">
    <w:p>
      <w:pPr>
        <w:pStyle w:val="FootnoteText"/>
      </w:pPr>
      <w:r>
        <w:rPr>
          <w:rStyle w:val="FootnoteReference"/>
        </w:rPr>
        <w:footnoteRef/>
      </w:r>
      <w:r>
        <w:t xml:space="preserve"> Personal name: Gideoni. Personal-name meaning: Gideoni — Hewer; cutter. Source form: Gideoni.</w:t>
      </w:r>
    </w:p>
  </w:footnote>
  <w:footnote w:id="2478">
    <w:p>
      <w:pPr>
        <w:pStyle w:val="FootnoteText"/>
      </w:pPr>
      <w:r>
        <w:rPr>
          <w:rStyle w:val="FootnoteReference"/>
        </w:rPr>
        <w:footnoteRef/>
      </w:r>
      <w:r>
        <w:t xml:space="preserve"> Cross-references for "Abidan": Num 2:22; Num 7:60.</w:t>
      </w:r>
    </w:p>
  </w:footnote>
  <w:footnote w:id="2479">
    <w:p>
      <w:pPr>
        <w:pStyle w:val="FootnoteText"/>
      </w:pPr>
      <w:r>
        <w:rPr>
          <w:rStyle w:val="FootnoteReference"/>
        </w:rPr>
        <w:footnoteRef/>
      </w:r>
      <w:r>
        <w:t xml:space="preserve"> Personal name: Ahiezer. Personal-name meaning: Ahiezer — brother of assistance. Source form: Ahiezer.</w:t>
      </w:r>
    </w:p>
  </w:footnote>
  <w:footnote w:id="2480">
    <w:p>
      <w:pPr>
        <w:pStyle w:val="FootnoteText"/>
      </w:pPr>
      <w:r>
        <w:rPr>
          <w:rStyle w:val="FootnoteReference"/>
        </w:rPr>
        <w:footnoteRef/>
      </w:r>
      <w:r>
        <w:t xml:space="preserve"> Personal name: Ammishaddai. Personal-name meaning: Ammishaddai — the people of the Almighty; the Almighty is with me. Source form: Ammishaddai.</w:t>
      </w:r>
    </w:p>
  </w:footnote>
  <w:footnote w:id="2481">
    <w:p>
      <w:pPr>
        <w:pStyle w:val="FootnoteText"/>
      </w:pPr>
      <w:r>
        <w:rPr>
          <w:rStyle w:val="FootnoteReference"/>
        </w:rPr>
        <w:footnoteRef/>
      </w:r>
      <w:r>
        <w:t xml:space="preserve"> Cross-references for "Ahiezer": Num 2:25; Num 7:66.</w:t>
      </w:r>
    </w:p>
  </w:footnote>
  <w:footnote w:id="2482">
    <w:p>
      <w:pPr>
        <w:pStyle w:val="FootnoteText"/>
      </w:pPr>
      <w:r>
        <w:rPr>
          <w:rStyle w:val="FootnoteReference"/>
        </w:rPr>
        <w:footnoteRef/>
      </w:r>
      <w:r>
        <w:t xml:space="preserve"> Personal name: Pagiel. Personal-name meaning: Pagiel — prevention, or prayer, of God. Source form: Pagiel.</w:t>
      </w:r>
    </w:p>
  </w:footnote>
  <w:footnote w:id="2483">
    <w:p>
      <w:pPr>
        <w:pStyle w:val="FootnoteText"/>
      </w:pPr>
      <w:r>
        <w:rPr>
          <w:rStyle w:val="FootnoteReference"/>
        </w:rPr>
        <w:footnoteRef/>
      </w:r>
      <w:r>
        <w:t xml:space="preserve"> Transliterated proper noun: Ocran. Standard English equivalent: Ocran. Source form: Ocran. Greek form: εχραν. Name meaning: a disturber; that disorders.</w:t>
      </w:r>
    </w:p>
  </w:footnote>
  <w:footnote w:id="2484">
    <w:p>
      <w:pPr>
        <w:pStyle w:val="FootnoteText"/>
      </w:pPr>
      <w:r>
        <w:rPr>
          <w:rStyle w:val="FootnoteReference"/>
        </w:rPr>
        <w:footnoteRef/>
      </w:r>
      <w:r>
        <w:t xml:space="preserve"> Cross-references for "Pagiel": Num 2:27; Num 7:72.</w:t>
      </w:r>
    </w:p>
  </w:footnote>
  <w:footnote w:id="2485">
    <w:p>
      <w:pPr>
        <w:pStyle w:val="FootnoteText"/>
      </w:pPr>
      <w:r>
        <w:rPr>
          <w:rStyle w:val="FootnoteReference"/>
        </w:rPr>
        <w:footnoteRef/>
      </w:r>
      <w:r>
        <w:t xml:space="preserve"> Personal name: Eliasaph. Personal-name meaning: Eliasaph — the Lord increaseth. Source form: Eliasaph.</w:t>
      </w:r>
    </w:p>
  </w:footnote>
  <w:footnote w:id="2486">
    <w:p>
      <w:pPr>
        <w:pStyle w:val="FootnoteText"/>
      </w:pPr>
      <w:r>
        <w:rPr>
          <w:rStyle w:val="FootnoteReference"/>
        </w:rPr>
        <w:footnoteRef/>
      </w:r>
      <w:r>
        <w:t xml:space="preserve"> Cross-references for "Eliasaph": Num 2:14; Num 7:42.</w:t>
      </w:r>
    </w:p>
  </w:footnote>
  <w:footnote w:id="2487">
    <w:p>
      <w:pPr>
        <w:pStyle w:val="FootnoteText"/>
      </w:pPr>
      <w:r>
        <w:rPr>
          <w:rStyle w:val="FootnoteReference"/>
        </w:rPr>
        <w:footnoteRef/>
      </w:r>
      <w:r>
        <w:t xml:space="preserve"> Personal name: Ahira. Personal-name meaning: Ahira — brother of iniquity; brother of the shepherd. Source form: Ahira.</w:t>
      </w:r>
    </w:p>
  </w:footnote>
  <w:footnote w:id="2488">
    <w:p>
      <w:pPr>
        <w:pStyle w:val="FootnoteText"/>
      </w:pPr>
      <w:r>
        <w:rPr>
          <w:rStyle w:val="FootnoteReference"/>
        </w:rPr>
        <w:footnoteRef/>
      </w:r>
      <w:r>
        <w:t xml:space="preserve"> Personal name: Enan. Personal-name meaning: Enan — cloud. Source form: Enan.</w:t>
      </w:r>
    </w:p>
  </w:footnote>
  <w:footnote w:id="2489">
    <w:p>
      <w:pPr>
        <w:pStyle w:val="FootnoteText"/>
      </w:pPr>
      <w:r>
        <w:rPr>
          <w:rStyle w:val="FootnoteReference"/>
        </w:rPr>
        <w:footnoteRef/>
      </w:r>
      <w:r>
        <w:t xml:space="preserve"> Translation note: Greek gives a plain tribal listing line here. Current wording preserves that register.</w:t>
      </w:r>
    </w:p>
  </w:footnote>
  <w:footnote w:id="2490">
    <w:p>
      <w:pPr>
        <w:pStyle w:val="FootnoteText"/>
      </w:pPr>
      <w:r>
        <w:rPr>
          <w:rStyle w:val="FootnoteReference"/>
        </w:rPr>
        <w:footnoteRef/>
      </w:r>
      <w:r>
        <w:t xml:space="preserve"> Cross-references for "Ahira": Num 2:29; Num 7:78.</w:t>
      </w:r>
    </w:p>
  </w:footnote>
  <w:footnote w:id="2491">
    <w:p>
      <w:pPr>
        <w:pStyle w:val="FootnoteText"/>
      </w:pPr>
      <w:r>
        <w:rPr>
          <w:rStyle w:val="FootnoteReference"/>
        </w:rPr>
        <w:footnoteRef/>
      </w:r>
      <w:r>
        <w:t xml:space="preserve"> Translation note: Greek uses a formal leadership title here. Current wording preserves it.</w:t>
      </w:r>
    </w:p>
  </w:footnote>
  <w:footnote w:id="2492">
    <w:p>
      <w:pPr>
        <w:pStyle w:val="FootnoteText"/>
      </w:pPr>
      <w:r>
        <w:rPr>
          <w:rStyle w:val="FootnoteReference"/>
        </w:rPr>
        <w:footnoteRef/>
      </w:r>
      <w:r>
        <w:t xml:space="preserve"> Translation note: Greek says assembled and enrolled here. Current line keeps that wording.</w:t>
      </w:r>
    </w:p>
  </w:footnote>
  <w:footnote w:id="2493">
    <w:p>
      <w:pPr>
        <w:pStyle w:val="FootnoteText"/>
      </w:pPr>
      <w:r>
        <w:rPr>
          <w:rStyle w:val="FootnoteReference"/>
        </w:rPr>
        <w:footnoteRef/>
      </w:r>
      <w:r>
        <w:t xml:space="preserve"> Translation note: Greek uses force-language in the census formula. The translation keeps that wording rather than recasting it directly as able to go to war.</w:t>
      </w:r>
    </w:p>
  </w:footnote>
  <w:footnote w:id="2494">
    <w:p>
      <w:pPr>
        <w:pStyle w:val="FootnoteText"/>
      </w:pPr>
      <w:r>
        <w:rPr>
          <w:rStyle w:val="FootnoteReference"/>
        </w:rPr>
        <w:footnoteRef/>
      </w:r>
      <w:r>
        <w:t xml:space="preserve"> Translation note: Greek says by their headcount here. Current line keeps that wording.</w:t>
      </w:r>
    </w:p>
  </w:footnote>
  <w:footnote w:id="2495">
    <w:p>
      <w:pPr>
        <w:pStyle w:val="FootnoteText"/>
      </w:pPr>
      <w:r>
        <w:rPr>
          <w:rStyle w:val="FootnoteReference"/>
        </w:rPr>
        <w:footnoteRef/>
      </w:r>
      <w:r>
        <w:t xml:space="preserve"> Translation note: Greek uses head wording here. Current line keeps that census phrase.</w:t>
      </w:r>
    </w:p>
  </w:footnote>
  <w:footnote w:id="2496">
    <w:p>
      <w:pPr>
        <w:pStyle w:val="FootnoteText"/>
      </w:pPr>
      <w:r>
        <w:rPr>
          <w:rStyle w:val="FootnoteReference"/>
        </w:rPr>
        <w:footnoteRef/>
      </w:r>
      <w:r>
        <w:t xml:space="preserve"> Translation note: Greek says by their headcount here. Current line keeps that phrase.</w:t>
      </w:r>
    </w:p>
  </w:footnote>
  <w:footnote w:id="2497">
    <w:p>
      <w:pPr>
        <w:pStyle w:val="FootnoteText"/>
      </w:pPr>
      <w:r>
        <w:rPr>
          <w:rStyle w:val="FootnoteReference"/>
        </w:rPr>
        <w:footnoteRef/>
      </w:r>
      <w:r>
        <w:t xml:space="preserve"> Translation note: Greek says by their headcount here. Current line keeps that phrase.</w:t>
      </w:r>
    </w:p>
  </w:footnote>
  <w:footnote w:id="2498">
    <w:p>
      <w:pPr>
        <w:pStyle w:val="FootnoteText"/>
      </w:pPr>
      <w:r>
        <w:rPr>
          <w:rStyle w:val="FootnoteReference"/>
        </w:rPr>
        <w:footnoteRef/>
      </w:r>
      <w:r>
        <w:t xml:space="preserve"> MT/LXX note: This LXX verse number carries the Ephraim census heading rather than the MT Zebulun line.</w:t>
      </w:r>
    </w:p>
  </w:footnote>
  <w:footnote w:id="2499">
    <w:p>
      <w:pPr>
        <w:pStyle w:val="FootnoteText"/>
      </w:pPr>
      <w:r>
        <w:rPr>
          <w:rStyle w:val="FootnoteReference"/>
        </w:rPr>
        <w:footnoteRef/>
      </w:r>
      <w:r>
        <w:t xml:space="preserve"> MT/LXX note: The Septuagint places the Manasseh census line here rather than the Masoretic Ephraim line. The translation follows the Greek content.</w:t>
      </w:r>
    </w:p>
  </w:footnote>
  <w:footnote w:id="2500">
    <w:p>
      <w:pPr>
        <w:pStyle w:val="FootnoteText"/>
      </w:pPr>
      <w:r>
        <w:rPr>
          <w:rStyle w:val="FootnoteReference"/>
        </w:rPr>
        <w:footnoteRef/>
      </w:r>
      <w:r>
        <w:t xml:space="preserve"> Cross-references for "the tribe": Gen 48:5; Deut 33:17.</w:t>
      </w:r>
    </w:p>
  </w:footnote>
  <w:footnote w:id="2501">
    <w:p>
      <w:pPr>
        <w:pStyle w:val="FootnoteText"/>
      </w:pPr>
      <w:r>
        <w:rPr>
          <w:rStyle w:val="FootnoteReference"/>
        </w:rPr>
        <w:footnoteRef/>
      </w:r>
      <w:r>
        <w:t xml:space="preserve"> Translation note: Greek says by their headcount here. Current line keeps that phrase.</w:t>
      </w:r>
    </w:p>
  </w:footnote>
  <w:footnote w:id="2502">
    <w:p>
      <w:pPr>
        <w:pStyle w:val="FootnoteText"/>
      </w:pPr>
      <w:r>
        <w:rPr>
          <w:rStyle w:val="FootnoteReference"/>
        </w:rPr>
        <w:footnoteRef/>
      </w:r>
      <w:r>
        <w:t xml:space="preserve"> Cross-references for "Naphtali": Gen 30:7-8; Gen 46:24.</w:t>
      </w:r>
    </w:p>
  </w:footnote>
  <w:footnote w:id="2503">
    <w:p>
      <w:pPr>
        <w:pStyle w:val="FootnoteText"/>
      </w:pPr>
      <w:r>
        <w:rPr>
          <w:rStyle w:val="FootnoteReference"/>
        </w:rPr>
        <w:footnoteRef/>
      </w:r>
      <w:r>
        <w:t xml:space="preserve"> Translation note: Greek says every one going out in force.</w:t>
      </w:r>
    </w:p>
  </w:footnote>
  <w:footnote w:id="2504">
    <w:p>
      <w:pPr>
        <w:pStyle w:val="FootnoteText"/>
      </w:pPr>
      <w:r>
        <w:rPr>
          <w:rStyle w:val="FootnoteReference"/>
        </w:rPr>
        <w:footnoteRef/>
      </w:r>
      <w:r>
        <w:t xml:space="preserve"> Cross-references for "the Levites": Num 4:5-33; Num 10:11.</w:t>
      </w:r>
    </w:p>
  </w:footnote>
  <w:footnote w:id="2505">
    <w:p>
      <w:pPr>
        <w:pStyle w:val="FootnoteText"/>
      </w:pPr>
      <w:r>
        <w:rPr>
          <w:rStyle w:val="FootnoteReference"/>
        </w:rPr>
        <w:footnoteRef/>
      </w:r>
      <w:r>
        <w:t xml:space="preserve"> Translation note: Greek says offense here. Current line keeps that wording.</w:t>
      </w:r>
    </w:p>
  </w:footnote>
  <w:footnote w:id="2506">
    <w:p>
      <w:pPr>
        <w:pStyle w:val="FootnoteText"/>
      </w:pPr>
      <w:r>
        <w:rPr>
          <w:rStyle w:val="FootnoteReference"/>
        </w:rPr>
        <w:footnoteRef/>
      </w:r>
      <w:r>
        <w:t xml:space="preserve"> Cross-references for "Nahshon": Num 1:7; Num 7:12.</w:t>
      </w:r>
    </w:p>
  </w:footnote>
  <w:footnote w:id="2507">
    <w:p>
      <w:pPr>
        <w:pStyle w:val="FootnoteText"/>
      </w:pPr>
      <w:r>
        <w:rPr>
          <w:rStyle w:val="FootnoteReference"/>
        </w:rPr>
        <w:footnoteRef/>
      </w:r>
      <w:r>
        <w:t xml:space="preserve"> Translation note: Greek says those camping first on east.</w:t>
      </w:r>
    </w:p>
  </w:footnote>
  <w:footnote w:id="2508">
    <w:p>
      <w:pPr>
        <w:pStyle w:val="FootnoteText"/>
      </w:pPr>
      <w:r>
        <w:rPr>
          <w:rStyle w:val="FootnoteReference"/>
        </w:rPr>
        <w:footnoteRef/>
      </w:r>
      <w:r>
        <w:t xml:space="preserve"> Cross-references for "camp of Reuben": Gen 49:3-4; 1Chr 5:1.</w:t>
      </w:r>
    </w:p>
  </w:footnote>
  <w:footnote w:id="2509">
    <w:p>
      <w:pPr>
        <w:pStyle w:val="FootnoteText"/>
      </w:pPr>
      <w:r>
        <w:rPr>
          <w:rStyle w:val="FootnoteReference"/>
        </w:rPr>
        <w:footnoteRef/>
      </w:r>
      <w:r>
        <w:t xml:space="preserve"> Cross-references for "Shelumiel": Num 1:6; Num 7:36.</w:t>
      </w:r>
    </w:p>
  </w:footnote>
  <w:footnote w:id="2510">
    <w:p>
      <w:pPr>
        <w:pStyle w:val="FootnoteText"/>
      </w:pPr>
      <w:r>
        <w:rPr>
          <w:rStyle w:val="FootnoteReference"/>
        </w:rPr>
        <w:footnoteRef/>
      </w:r>
      <w:r>
        <w:t xml:space="preserve"> Cross-references for "Eliasaph": Num 1:14; Num 7:42.</w:t>
      </w:r>
    </w:p>
  </w:footnote>
  <w:footnote w:id="2511">
    <w:p>
      <w:pPr>
        <w:pStyle w:val="FootnoteText"/>
      </w:pPr>
      <w:r>
        <w:rPr>
          <w:rStyle w:val="FootnoteReference"/>
        </w:rPr>
        <w:footnoteRef/>
      </w:r>
      <w:r>
        <w:t xml:space="preserve"> Cross-references for "camp of Ephraim": Gen 48:5; Gen 48:14-20.</w:t>
      </w:r>
    </w:p>
  </w:footnote>
  <w:footnote w:id="2512">
    <w:p>
      <w:pPr>
        <w:pStyle w:val="FootnoteText"/>
      </w:pPr>
      <w:r>
        <w:rPr>
          <w:rStyle w:val="FootnoteReference"/>
        </w:rPr>
        <w:footnoteRef/>
      </w:r>
      <w:r>
        <w:t xml:space="preserve"> Cross-references for "Gamaliel": Num 1:10; Num 7:54.</w:t>
      </w:r>
    </w:p>
  </w:footnote>
  <w:footnote w:id="2513">
    <w:p>
      <w:pPr>
        <w:pStyle w:val="FootnoteText"/>
      </w:pPr>
      <w:r>
        <w:rPr>
          <w:rStyle w:val="FootnoteReference"/>
        </w:rPr>
        <w:footnoteRef/>
      </w:r>
      <w:r>
        <w:t xml:space="preserve"> Cross-references for "Abidan": Num 1:11; Num 7:60.</w:t>
      </w:r>
    </w:p>
  </w:footnote>
  <w:footnote w:id="2514">
    <w:p>
      <w:pPr>
        <w:pStyle w:val="FootnoteText"/>
      </w:pPr>
      <w:r>
        <w:rPr>
          <w:rStyle w:val="FootnoteReference"/>
        </w:rPr>
        <w:footnoteRef/>
      </w:r>
      <w:r>
        <w:t xml:space="preserve"> Cross-references for "Ahiezer": Num 1:12; Num 7:66.</w:t>
      </w:r>
    </w:p>
  </w:footnote>
  <w:footnote w:id="2515">
    <w:p>
      <w:pPr>
        <w:pStyle w:val="FootnoteText"/>
      </w:pPr>
      <w:r>
        <w:rPr>
          <w:rStyle w:val="FootnoteReference"/>
        </w:rPr>
        <w:footnoteRef/>
      </w:r>
      <w:r>
        <w:t xml:space="preserve"> Cross-references for "Pagiel": Num 1:13; Num 7:72.</w:t>
      </w:r>
    </w:p>
  </w:footnote>
  <w:footnote w:id="2516">
    <w:p>
      <w:pPr>
        <w:pStyle w:val="FootnoteText"/>
      </w:pPr>
      <w:r>
        <w:rPr>
          <w:rStyle w:val="FootnoteReference"/>
        </w:rPr>
        <w:footnoteRef/>
      </w:r>
      <w:r>
        <w:t xml:space="preserve"> Cross-references for "forty": Num 1:41; Num 26:47.</w:t>
      </w:r>
    </w:p>
  </w:footnote>
  <w:footnote w:id="2517">
    <w:p>
      <w:pPr>
        <w:pStyle w:val="FootnoteText"/>
      </w:pPr>
      <w:r>
        <w:rPr>
          <w:rStyle w:val="FootnoteReference"/>
        </w:rPr>
        <w:footnoteRef/>
      </w:r>
      <w:r>
        <w:t xml:space="preserve"> Cross-references for "the tribe": Num 1:42-43; Num 26:48-50.</w:t>
      </w:r>
    </w:p>
  </w:footnote>
  <w:footnote w:id="2518">
    <w:p>
      <w:pPr>
        <w:pStyle w:val="FootnoteText"/>
      </w:pPr>
      <w:r>
        <w:rPr>
          <w:rStyle w:val="FootnoteReference"/>
        </w:rPr>
        <w:footnoteRef/>
      </w:r>
      <w:r>
        <w:t xml:space="preserve"> Cross-references for "So they": Num 2:2; Num 10:28.</w:t>
      </w:r>
    </w:p>
  </w:footnote>
  <w:footnote w:id="2519">
    <w:p>
      <w:pPr>
        <w:pStyle w:val="FootnoteText"/>
      </w:pPr>
      <w:r>
        <w:rPr>
          <w:rStyle w:val="FootnoteReference"/>
        </w:rPr>
        <w:footnoteRef/>
      </w:r>
      <w:r>
        <w:t xml:space="preserve"> Cross-references for "generations": Gen 2:4; Gen 5:1.</w:t>
      </w:r>
    </w:p>
  </w:footnote>
  <w:footnote w:id="2520">
    <w:p>
      <w:pPr>
        <w:pStyle w:val="FootnoteText"/>
      </w:pPr>
      <w:r>
        <w:rPr>
          <w:rStyle w:val="FootnoteReference"/>
        </w:rPr>
        <w:footnoteRef/>
      </w:r>
      <w:r>
        <w:t xml:space="preserve"> Translation note: The Greek name list is straightforward. The current wording keeps the standard English form Abihu.</w:t>
      </w:r>
    </w:p>
  </w:footnote>
  <w:footnote w:id="2521">
    <w:p>
      <w:pPr>
        <w:pStyle w:val="FootnoteText"/>
      </w:pPr>
      <w:r>
        <w:rPr>
          <w:rStyle w:val="FootnoteReference"/>
        </w:rPr>
        <w:footnoteRef/>
      </w:r>
      <w:r>
        <w:t xml:space="preserve"> Cross-references for "the priests": Exod 28:41; Exod 40:13.</w:t>
      </w:r>
    </w:p>
  </w:footnote>
  <w:footnote w:id="2522">
    <w:p>
      <w:pPr>
        <w:pStyle w:val="FootnoteText"/>
      </w:pPr>
      <w:r>
        <w:rPr>
          <w:rStyle w:val="FootnoteReference"/>
        </w:rPr>
        <w:footnoteRef/>
      </w:r>
      <w:r>
        <w:t xml:space="preserve"> Cross-references for "Nadab": Lev 10:1-2; Num 26:61.</w:t>
      </w:r>
    </w:p>
  </w:footnote>
  <w:footnote w:id="2523">
    <w:p>
      <w:pPr>
        <w:pStyle w:val="FootnoteText"/>
      </w:pPr>
      <w:r>
        <w:rPr>
          <w:rStyle w:val="FootnoteReference"/>
        </w:rPr>
        <w:footnoteRef/>
      </w:r>
      <w:r>
        <w:t xml:space="preserve"> Cross-references for "keep": Num 3:32; Num 8:26.</w:t>
      </w:r>
    </w:p>
  </w:footnote>
  <w:footnote w:id="2524">
    <w:p>
      <w:pPr>
        <w:pStyle w:val="FootnoteText"/>
      </w:pPr>
      <w:r>
        <w:rPr>
          <w:rStyle w:val="FootnoteReference"/>
        </w:rPr>
        <w:footnoteRef/>
      </w:r>
      <w:r>
        <w:t xml:space="preserve"> Cross-references for "And the stranger": Num 1:51; Num 3:38.</w:t>
      </w:r>
    </w:p>
  </w:footnote>
  <w:footnote w:id="2525">
    <w:p>
      <w:pPr>
        <w:pStyle w:val="FootnoteText"/>
      </w:pPr>
      <w:r>
        <w:rPr>
          <w:rStyle w:val="FootnoteReference"/>
        </w:rPr>
        <w:footnoteRef/>
      </w:r>
      <w:r>
        <w:t xml:space="preserve"> Cross-references for "On the day": Exod 12:29-30; Exod 13:15.</w:t>
      </w:r>
    </w:p>
  </w:footnote>
  <w:footnote w:id="2526">
    <w:p>
      <w:pPr>
        <w:pStyle w:val="FootnoteText"/>
      </w:pPr>
      <w:r>
        <w:rPr>
          <w:rStyle w:val="FootnoteReference"/>
        </w:rPr>
        <w:footnoteRef/>
      </w:r>
      <w:r>
        <w:t xml:space="preserve"> Translation note: Greek says to myself here. Current line keeps that wording.</w:t>
      </w:r>
    </w:p>
  </w:footnote>
  <w:footnote w:id="2527">
    <w:p>
      <w:pPr>
        <w:pStyle w:val="FootnoteText"/>
      </w:pPr>
      <w:r>
        <w:rPr>
          <w:rStyle w:val="FootnoteReference"/>
        </w:rPr>
        <w:footnoteRef/>
      </w:r>
      <w:r>
        <w:t xml:space="preserve"> Translation note: Greek stacks the muster categories in sequence. Current wording preserves that full register.</w:t>
      </w:r>
    </w:p>
  </w:footnote>
  <w:footnote w:id="2528">
    <w:p>
      <w:pPr>
        <w:pStyle w:val="FootnoteText"/>
      </w:pPr>
      <w:r>
        <w:rPr>
          <w:rStyle w:val="FootnoteReference"/>
        </w:rPr>
        <w:footnoteRef/>
      </w:r>
      <w:r>
        <w:t xml:space="preserve"> Cross-references for "word": Num 3:39; Num 3:51.</w:t>
      </w:r>
    </w:p>
  </w:footnote>
  <w:footnote w:id="2529">
    <w:p>
      <w:pPr>
        <w:pStyle w:val="FootnoteText"/>
      </w:pPr>
      <w:r>
        <w:rPr>
          <w:rStyle w:val="FootnoteReference"/>
        </w:rPr>
        <w:footnoteRef/>
      </w:r>
      <w:r>
        <w:t xml:space="preserve"> Cross-references for "Gershon": Num 15:5-23; Num 23:6-23.</w:t>
      </w:r>
    </w:p>
  </w:footnote>
  <w:footnote w:id="2530">
    <w:p>
      <w:pPr>
        <w:pStyle w:val="FootnoteText"/>
      </w:pPr>
      <w:r>
        <w:rPr>
          <w:rStyle w:val="FootnoteReference"/>
        </w:rPr>
        <w:footnoteRef/>
      </w:r>
      <w:r>
        <w:t xml:space="preserve"> Personal name: Shimei. Personal-name meaning: Shimei — that hears or obeys; my reputation; my fame. Source form: Shimei.</w:t>
      </w:r>
    </w:p>
  </w:footnote>
  <w:footnote w:id="2531">
    <w:p>
      <w:pPr>
        <w:pStyle w:val="FootnoteText"/>
      </w:pPr>
      <w:r>
        <w:rPr>
          <w:rStyle w:val="FootnoteReference"/>
        </w:rPr>
        <w:footnoteRef/>
      </w:r>
      <w:r>
        <w:t xml:space="preserve"> Transliterated proper noun: Izehar. Standard English equivalent: Izehar. Source form: Izehar. Greek form: ισσααρ. Name meaning: clearness; oil.</w:t>
      </w:r>
    </w:p>
  </w:footnote>
  <w:footnote w:id="2532">
    <w:p>
      <w:pPr>
        <w:pStyle w:val="FootnoteText"/>
      </w:pPr>
      <w:r>
        <w:rPr>
          <w:rStyle w:val="FootnoteReference"/>
        </w:rPr>
        <w:footnoteRef/>
      </w:r>
      <w:r>
        <w:t xml:space="preserve"> Cross-references for "from a month old": Num 4:38-40.</w:t>
      </w:r>
    </w:p>
  </w:footnote>
  <w:footnote w:id="2533">
    <w:p>
      <w:pPr>
        <w:pStyle w:val="FootnoteText"/>
      </w:pPr>
      <w:r>
        <w:rPr>
          <w:rStyle w:val="FootnoteReference"/>
        </w:rPr>
        <w:footnoteRef/>
      </w:r>
      <w:r>
        <w:t xml:space="preserve"> Translation note: Greek gives a plain office listing here. Current wording preserves that register.</w:t>
      </w:r>
    </w:p>
  </w:footnote>
  <w:footnote w:id="2534">
    <w:p>
      <w:pPr>
        <w:pStyle w:val="FootnoteText"/>
      </w:pPr>
      <w:r>
        <w:rPr>
          <w:rStyle w:val="FootnoteReference"/>
        </w:rPr>
        <w:footnoteRef/>
      </w:r>
      <w:r>
        <w:t xml:space="preserve"> Personal name: Lael. Personal-name meaning: Lael — to God; to the mighty. Source form: Lael.</w:t>
      </w:r>
    </w:p>
  </w:footnote>
  <w:footnote w:id="2535">
    <w:p>
      <w:pPr>
        <w:pStyle w:val="FootnoteText"/>
      </w:pPr>
      <w:r>
        <w:rPr>
          <w:rStyle w:val="FootnoteReference"/>
        </w:rPr>
        <w:footnoteRef/>
      </w:r>
      <w:r>
        <w:t xml:space="preserve"> Cross-references for "Lael": Num 3:24.</w:t>
      </w:r>
    </w:p>
  </w:footnote>
  <w:footnote w:id="2536">
    <w:p>
      <w:pPr>
        <w:pStyle w:val="FootnoteText"/>
      </w:pPr>
      <w:r>
        <w:rPr>
          <w:rStyle w:val="FootnoteReference"/>
        </w:rPr>
        <w:footnoteRef/>
      </w:r>
      <w:r>
        <w:t xml:space="preserve"> Cross-references for "the charge": Exod 38:24; Num 3:7.</w:t>
      </w:r>
    </w:p>
  </w:footnote>
  <w:footnote w:id="2537">
    <w:p>
      <w:pPr>
        <w:pStyle w:val="FootnoteText"/>
      </w:pPr>
      <w:r>
        <w:rPr>
          <w:rStyle w:val="FootnoteReference"/>
        </w:rPr>
        <w:footnoteRef/>
      </w:r>
      <w:r>
        <w:t xml:space="preserve"> People-name: Amramites. People-name meaning: Amramites — an exalted people; their sheaves; handfuls of corn. Source form: Amramites.</w:t>
      </w:r>
    </w:p>
  </w:footnote>
  <w:footnote w:id="2538">
    <w:p>
      <w:pPr>
        <w:pStyle w:val="FootnoteText"/>
      </w:pPr>
      <w:r>
        <w:rPr>
          <w:rStyle w:val="FootnoteReference"/>
        </w:rPr>
        <w:footnoteRef/>
      </w:r>
      <w:r>
        <w:t xml:space="preserve"> People-name: Hebronites. People-name meaning: Hebronites — society; friendship. Source form: Hebronites.</w:t>
      </w:r>
    </w:p>
  </w:footnote>
  <w:footnote w:id="2539">
    <w:p>
      <w:pPr>
        <w:pStyle w:val="FootnoteText"/>
      </w:pPr>
      <w:r>
        <w:rPr>
          <w:rStyle w:val="FootnoteReference"/>
        </w:rPr>
        <w:footnoteRef/>
      </w:r>
      <w:r>
        <w:t xml:space="preserve"> People-name: Uzzielites. People-name meaning: Uzzielites — the strength, or kid, of the Lord. Source form: Uzzielites.</w:t>
      </w:r>
    </w:p>
  </w:footnote>
  <w:footnote w:id="2540">
    <w:p>
      <w:pPr>
        <w:pStyle w:val="FootnoteText"/>
      </w:pPr>
      <w:r>
        <w:rPr>
          <w:rStyle w:val="FootnoteReference"/>
        </w:rPr>
        <w:footnoteRef/>
      </w:r>
      <w:r>
        <w:t xml:space="preserve"> Translation note: The Greek line is a clan list. The current wording keeps that structure explicit.</w:t>
      </w:r>
    </w:p>
  </w:footnote>
  <w:footnote w:id="2541">
    <w:p>
      <w:pPr>
        <w:pStyle w:val="FootnoteText"/>
      </w:pPr>
      <w:r>
        <w:rPr>
          <w:rStyle w:val="FootnoteReference"/>
        </w:rPr>
        <w:footnoteRef/>
      </w:r>
      <w:r>
        <w:t xml:space="preserve"> Cross-references for "eight thousand": Num 4:35-36.</w:t>
      </w:r>
    </w:p>
  </w:footnote>
  <w:footnote w:id="2542">
    <w:p>
      <w:pPr>
        <w:pStyle w:val="FootnoteText"/>
      </w:pPr>
      <w:r>
        <w:rPr>
          <w:rStyle w:val="FootnoteReference"/>
        </w:rPr>
        <w:footnoteRef/>
      </w:r>
      <w:r>
        <w:t xml:space="preserve"> Cross-references for "the ark": Exod 25:10-40; Exod 37:1-24.</w:t>
      </w:r>
    </w:p>
  </w:footnote>
  <w:footnote w:id="2543">
    <w:p>
      <w:pPr>
        <w:pStyle w:val="FootnoteText"/>
      </w:pPr>
      <w:r>
        <w:rPr>
          <w:rStyle w:val="FootnoteReference"/>
        </w:rPr>
        <w:footnoteRef/>
      </w:r>
      <w:r>
        <w:t xml:space="preserve"> People-name: Mushites. People-name meaning: Mushites — he that touches, that withdraws or takes away. Source form: Mushites.</w:t>
      </w:r>
    </w:p>
  </w:footnote>
  <w:footnote w:id="2544">
    <w:p>
      <w:pPr>
        <w:pStyle w:val="FootnoteText"/>
      </w:pPr>
      <w:r>
        <w:rPr>
          <w:rStyle w:val="FootnoteReference"/>
        </w:rPr>
        <w:footnoteRef/>
      </w:r>
      <w:r>
        <w:t xml:space="preserve"> Personal name: Zuriel. Personal-name meaning: Zuriel — rock or strength of God. Source form: Zuriel.</w:t>
      </w:r>
    </w:p>
  </w:footnote>
  <w:footnote w:id="2545">
    <w:p>
      <w:pPr>
        <w:pStyle w:val="FootnoteText"/>
      </w:pPr>
      <w:r>
        <w:rPr>
          <w:rStyle w:val="FootnoteReference"/>
        </w:rPr>
        <w:footnoteRef/>
      </w:r>
      <w:r>
        <w:t xml:space="preserve"> Personal name: Abihail. Personal-name meaning: Abihail — the father of strength. Source form: Abihail.</w:t>
      </w:r>
    </w:p>
  </w:footnote>
  <w:footnote w:id="2546">
    <w:p>
      <w:pPr>
        <w:pStyle w:val="FootnoteText"/>
      </w:pPr>
      <w:r>
        <w:rPr>
          <w:rStyle w:val="FootnoteReference"/>
        </w:rPr>
        <w:footnoteRef/>
      </w:r>
      <w:r>
        <w:t xml:space="preserve"> MT/LXX note: Greek uses a standard service-duty term here. The item list in this verse also differs from the Masoretic version, so the translation stays with the Greek line.</w:t>
      </w:r>
    </w:p>
  </w:footnote>
  <w:footnote w:id="2547">
    <w:p>
      <w:pPr>
        <w:pStyle w:val="FootnoteText"/>
      </w:pPr>
      <w:r>
        <w:rPr>
          <w:rStyle w:val="FootnoteReference"/>
        </w:rPr>
        <w:footnoteRef/>
      </w:r>
      <w:r>
        <w:t xml:space="preserve"> Cross-references for "keeping": Num 3:10; Num 18:1-5.</w:t>
      </w:r>
    </w:p>
  </w:footnote>
  <w:footnote w:id="2548">
    <w:p>
      <w:pPr>
        <w:pStyle w:val="FootnoteText"/>
      </w:pPr>
      <w:r>
        <w:rPr>
          <w:rStyle w:val="FootnoteReference"/>
        </w:rPr>
        <w:footnoteRef/>
      </w:r>
      <w:r>
        <w:t xml:space="preserve"> Translation note: Greek repeats charge and charges in both halves.</w:t>
      </w:r>
    </w:p>
  </w:footnote>
  <w:footnote w:id="2549">
    <w:p>
      <w:pPr>
        <w:pStyle w:val="FootnoteText"/>
      </w:pPr>
      <w:r>
        <w:rPr>
          <w:rStyle w:val="FootnoteReference"/>
        </w:rPr>
        <w:footnoteRef/>
      </w:r>
      <w:r>
        <w:t xml:space="preserve"> Cross-references for "and Aaron": Num 3:5; Num 3:11.</w:t>
      </w:r>
    </w:p>
  </w:footnote>
  <w:footnote w:id="2550">
    <w:p>
      <w:pPr>
        <w:pStyle w:val="FootnoteText"/>
      </w:pPr>
      <w:r>
        <w:rPr>
          <w:rStyle w:val="FootnoteReference"/>
        </w:rPr>
        <w:footnoteRef/>
      </w:r>
      <w:r>
        <w:t xml:space="preserve"> Cross-references for "the two hundred": Num 3:47; 1Pet 1:18-19.</w:t>
      </w:r>
    </w:p>
  </w:footnote>
  <w:footnote w:id="2551">
    <w:p>
      <w:pPr>
        <w:pStyle w:val="FootnoteText"/>
      </w:pPr>
      <w:r>
        <w:rPr>
          <w:rStyle w:val="FootnoteReference"/>
        </w:rPr>
        <w:footnoteRef/>
      </w:r>
      <w:r>
        <w:t xml:space="preserve"> Cross-references for "five shekels": Lev 27:6; Num 18:16.</w:t>
      </w:r>
    </w:p>
  </w:footnote>
  <w:footnote w:id="2552">
    <w:p>
      <w:pPr>
        <w:pStyle w:val="FootnoteText"/>
      </w:pPr>
      <w:r>
        <w:rPr>
          <w:rStyle w:val="FootnoteReference"/>
        </w:rPr>
        <w:footnoteRef/>
      </w:r>
      <w:r>
        <w:t xml:space="preserve"> Cross-references for "Moses": Num 3:48; Num 16:15.</w:t>
      </w:r>
    </w:p>
  </w:footnote>
  <w:footnote w:id="2553">
    <w:p>
      <w:pPr>
        <w:pStyle w:val="FootnoteText"/>
      </w:pPr>
      <w:r>
        <w:rPr>
          <w:rStyle w:val="FootnoteReference"/>
        </w:rPr>
        <w:footnoteRef/>
      </w:r>
      <w:r>
        <w:t xml:space="preserve"> Translation note: Greek uses headcount language here. Current wording preserves that census formula.</w:t>
      </w:r>
    </w:p>
  </w:footnote>
  <w:footnote w:id="2554">
    <w:p>
      <w:pPr>
        <w:pStyle w:val="FootnoteText"/>
      </w:pPr>
      <w:r>
        <w:rPr>
          <w:rStyle w:val="FootnoteReference"/>
        </w:rPr>
        <w:footnoteRef/>
      </w:r>
      <w:r>
        <w:t xml:space="preserve"> Cross-references for "to do": Num 3:7-8; Num 16:9.</w:t>
      </w:r>
    </w:p>
  </w:footnote>
  <w:footnote w:id="2555">
    <w:p>
      <w:pPr>
        <w:pStyle w:val="FootnoteText"/>
      </w:pPr>
      <w:r>
        <w:rPr>
          <w:rStyle w:val="FootnoteReference"/>
        </w:rPr>
        <w:footnoteRef/>
      </w:r>
      <w:r>
        <w:t xml:space="preserve"> Cross-references for "the table": Exod 25:23-30; Exod 37:10-16.</w:t>
      </w:r>
    </w:p>
  </w:footnote>
  <w:footnote w:id="2556">
    <w:p>
      <w:pPr>
        <w:pStyle w:val="FootnoteText"/>
      </w:pPr>
      <w:r>
        <w:rPr>
          <w:rStyle w:val="FootnoteReference"/>
        </w:rPr>
        <w:footnoteRef/>
      </w:r>
      <w:r>
        <w:t xml:space="preserve"> Translation note: Greek says carrying poles here. Current line keeps that term.</w:t>
      </w:r>
    </w:p>
  </w:footnote>
  <w:footnote w:id="2557">
    <w:p>
      <w:pPr>
        <w:pStyle w:val="FootnoteText"/>
      </w:pPr>
      <w:r>
        <w:rPr>
          <w:rStyle w:val="FootnoteReference"/>
        </w:rPr>
        <w:footnoteRef/>
      </w:r>
      <w:r>
        <w:t xml:space="preserve"> Translation note: Greek says blue leather covering.</w:t>
      </w:r>
    </w:p>
  </w:footnote>
  <w:footnote w:id="2558">
    <w:p>
      <w:pPr>
        <w:pStyle w:val="FootnoteText"/>
      </w:pPr>
      <w:r>
        <w:rPr>
          <w:rStyle w:val="FootnoteReference"/>
        </w:rPr>
        <w:footnoteRef/>
      </w:r>
      <w:r>
        <w:t xml:space="preserve"> Cross-references for "these things": Num 3:30-31.</w:t>
      </w:r>
    </w:p>
  </w:footnote>
  <w:footnote w:id="2559">
    <w:p>
      <w:pPr>
        <w:pStyle w:val="FootnoteText"/>
      </w:pPr>
      <w:r>
        <w:rPr>
          <w:rStyle w:val="FootnoteReference"/>
        </w:rPr>
        <w:footnoteRef/>
      </w:r>
      <w:r>
        <w:t xml:space="preserve"> Translation note: Greek has explicit go-in sequence here.</w:t>
      </w:r>
    </w:p>
  </w:footnote>
  <w:footnote w:id="2560">
    <w:p>
      <w:pPr>
        <w:pStyle w:val="FootnoteText"/>
      </w:pPr>
      <w:r>
        <w:rPr>
          <w:rStyle w:val="FootnoteReference"/>
        </w:rPr>
        <w:footnoteRef/>
      </w:r>
      <w:r>
        <w:t xml:space="preserve"> Translation note: Greek says oversight of Eleazar son of Aaron.</w:t>
      </w:r>
    </w:p>
  </w:footnote>
  <w:footnote w:id="2561">
    <w:p>
      <w:pPr>
        <w:pStyle w:val="FootnoteText"/>
      </w:pPr>
      <w:r>
        <w:rPr>
          <w:rStyle w:val="FootnoteReference"/>
        </w:rPr>
        <w:footnoteRef/>
      </w:r>
      <w:r>
        <w:t xml:space="preserve"> Cross-references for "the oil": Exod 25:6; Exod 27:20-21.</w:t>
      </w:r>
    </w:p>
  </w:footnote>
  <w:footnote w:id="2562">
    <w:p>
      <w:pPr>
        <w:pStyle w:val="FootnoteText"/>
      </w:pPr>
      <w:r>
        <w:rPr>
          <w:rStyle w:val="FootnoteReference"/>
        </w:rPr>
        <w:footnoteRef/>
      </w:r>
      <w:r>
        <w:t xml:space="preserve"> Cross-references for "the holy things": 1Kgs 8:8; 2Chr 5:9.</w:t>
      </w:r>
    </w:p>
  </w:footnote>
  <w:footnote w:id="2563">
    <w:p>
      <w:pPr>
        <w:pStyle w:val="FootnoteText"/>
      </w:pPr>
      <w:r>
        <w:rPr>
          <w:rStyle w:val="FootnoteReference"/>
        </w:rPr>
        <w:footnoteRef/>
      </w:r>
      <w:r>
        <w:t xml:space="preserve"> Translation note: Greek uses the standard census formula here. Current wording preserves that register.</w:t>
      </w:r>
    </w:p>
  </w:footnote>
  <w:footnote w:id="2564">
    <w:p>
      <w:pPr>
        <w:pStyle w:val="FootnoteText"/>
      </w:pPr>
      <w:r>
        <w:rPr>
          <w:rStyle w:val="FootnoteReference"/>
        </w:rPr>
        <w:footnoteRef/>
      </w:r>
      <w:r>
        <w:t xml:space="preserve"> Translation note: Greek says blue covering that is over it above.</w:t>
      </w:r>
    </w:p>
  </w:footnote>
  <w:footnote w:id="2565">
    <w:p>
      <w:pPr>
        <w:pStyle w:val="FootnoteText"/>
      </w:pPr>
      <w:r>
        <w:rPr>
          <w:rStyle w:val="FootnoteReference"/>
        </w:rPr>
        <w:footnoteRef/>
      </w:r>
      <w:r>
        <w:t xml:space="preserve"> Translation note: Greek row here includes extra pieces and service vessels.</w:t>
      </w:r>
    </w:p>
  </w:footnote>
  <w:footnote w:id="2566">
    <w:p>
      <w:pPr>
        <w:pStyle w:val="FootnoteText"/>
      </w:pPr>
      <w:r>
        <w:rPr>
          <w:rStyle w:val="FootnoteReference"/>
        </w:rPr>
        <w:footnoteRef/>
      </w:r>
      <w:r>
        <w:t xml:space="preserve"> Translation note: Greek repeats things carried by them and oversee by name.</w:t>
      </w:r>
    </w:p>
  </w:footnote>
  <w:footnote w:id="2567">
    <w:p>
      <w:pPr>
        <w:pStyle w:val="FootnoteText"/>
      </w:pPr>
      <w:r>
        <w:rPr>
          <w:rStyle w:val="FootnoteReference"/>
        </w:rPr>
        <w:footnoteRef/>
      </w:r>
      <w:r>
        <w:t xml:space="preserve"> Translation note: Greek says charges of things carried by them according to all their works.</w:t>
      </w:r>
    </w:p>
  </w:footnote>
  <w:footnote w:id="2568">
    <w:p>
      <w:pPr>
        <w:pStyle w:val="FootnoteText"/>
      </w:pPr>
      <w:r>
        <w:rPr>
          <w:rStyle w:val="FootnoteReference"/>
        </w:rPr>
        <w:footnoteRef/>
      </w:r>
      <w:r>
        <w:t xml:space="preserve"> Translation note: Greek says this was the numbering or inspection of the people of Kohath.</w:t>
      </w:r>
    </w:p>
  </w:footnote>
  <w:footnote w:id="2569">
    <w:p>
      <w:pPr>
        <w:pStyle w:val="FootnoteText"/>
      </w:pPr>
      <w:r>
        <w:rPr>
          <w:rStyle w:val="FootnoteReference"/>
        </w:rPr>
        <w:footnoteRef/>
      </w:r>
      <w:r>
        <w:t xml:space="preserve"> Translation note: Greek uses counting language here. Current line keeps that direct phrasing.</w:t>
      </w:r>
    </w:p>
  </w:footnote>
  <w:footnote w:id="2570">
    <w:p>
      <w:pPr>
        <w:pStyle w:val="FootnoteText"/>
      </w:pPr>
      <w:r>
        <w:rPr>
          <w:rStyle w:val="FootnoteReference"/>
        </w:rPr>
        <w:footnoteRef/>
      </w:r>
      <w:r>
        <w:t xml:space="preserve"> Cross-references for "every one": Num 4:15; Num 4:24.</w:t>
      </w:r>
    </w:p>
  </w:footnote>
  <w:footnote w:id="2571">
    <w:p>
      <w:pPr>
        <w:pStyle w:val="FootnoteText"/>
      </w:pPr>
      <w:r>
        <w:rPr>
          <w:rStyle w:val="FootnoteReference"/>
        </w:rPr>
        <w:footnoteRef/>
      </w:r>
      <w:r>
        <w:t xml:space="preserve"> Translation note: Greek says each man over his works and over what they carried.</w:t>
      </w:r>
    </w:p>
  </w:footnote>
  <w:footnote w:id="2572">
    <w:p>
      <w:pPr>
        <w:pStyle w:val="FootnoteText"/>
      </w:pPr>
      <w:r>
        <w:rPr>
          <w:rStyle w:val="FootnoteReference"/>
        </w:rPr>
        <w:footnoteRef/>
      </w:r>
      <w:r>
        <w:t xml:space="preserve"> Cross-references for "as the Lord": Num 4:1; Num 4:21.</w:t>
      </w:r>
    </w:p>
  </w:footnote>
  <w:footnote w:id="2573">
    <w:p>
      <w:pPr>
        <w:pStyle w:val="FootnoteText"/>
      </w:pPr>
      <w:r>
        <w:rPr>
          <w:rStyle w:val="FootnoteReference"/>
        </w:rPr>
        <w:footnoteRef/>
      </w:r>
      <w:r>
        <w:t xml:space="preserve"> Cross-references for "and every": Lev 15:2-27.</w:t>
      </w:r>
    </w:p>
  </w:footnote>
  <w:footnote w:id="2574">
    <w:p>
      <w:pPr>
        <w:pStyle w:val="FootnoteText"/>
      </w:pPr>
      <w:r>
        <w:rPr>
          <w:rStyle w:val="FootnoteReference"/>
        </w:rPr>
        <w:footnoteRef/>
      </w:r>
      <w:r>
        <w:t xml:space="preserve"> Cross-references for "in the midst": Lev 26:11-12; Deut 23:14.</w:t>
      </w:r>
    </w:p>
  </w:footnote>
  <w:footnote w:id="2575">
    <w:p>
      <w:pPr>
        <w:pStyle w:val="FootnoteText"/>
      </w:pPr>
      <w:r>
        <w:rPr>
          <w:rStyle w:val="FootnoteReference"/>
        </w:rPr>
        <w:footnoteRef/>
      </w:r>
      <w:r>
        <w:t xml:space="preserve"> Cross-references for "confess": Lev 5:5; Lev 26:40.</w:t>
      </w:r>
    </w:p>
  </w:footnote>
  <w:footnote w:id="2576">
    <w:p>
      <w:pPr>
        <w:pStyle w:val="FootnoteText"/>
      </w:pPr>
      <w:r>
        <w:rPr>
          <w:rStyle w:val="FootnoteReference"/>
        </w:rPr>
        <w:footnoteRef/>
      </w:r>
      <w:r>
        <w:t xml:space="preserve"> Translation note: Greek says principal and fifth part here. Current line keeps that legal wording.</w:t>
      </w:r>
    </w:p>
  </w:footnote>
  <w:footnote w:id="2577">
    <w:p>
      <w:pPr>
        <w:pStyle w:val="FootnoteText"/>
      </w:pPr>
      <w:r>
        <w:rPr>
          <w:rStyle w:val="FootnoteReference"/>
        </w:rPr>
        <w:footnoteRef/>
      </w:r>
      <w:r>
        <w:t xml:space="preserve"> Translation note: Greek says near kinsman here.</w:t>
      </w:r>
    </w:p>
  </w:footnote>
  <w:footnote w:id="2578">
    <w:p>
      <w:pPr>
        <w:pStyle w:val="FootnoteText"/>
      </w:pPr>
      <w:r>
        <w:rPr>
          <w:rStyle w:val="FootnoteReference"/>
        </w:rPr>
        <w:footnoteRef/>
      </w:r>
      <w:r>
        <w:t xml:space="preserve"> Translation note: Greek states ownership twice in compact form. Current wording preserves that legal line.</w:t>
      </w:r>
    </w:p>
  </w:footnote>
  <w:footnote w:id="2579">
    <w:p>
      <w:pPr>
        <w:pStyle w:val="FootnoteText"/>
      </w:pPr>
      <w:r>
        <w:rPr>
          <w:rStyle w:val="FootnoteReference"/>
        </w:rPr>
        <w:footnoteRef/>
      </w:r>
      <w:r>
        <w:t xml:space="preserve"> Translation note: The Greek uses the spirit-of-jealousy phrase directly. The current wording preserves it.</w:t>
      </w:r>
    </w:p>
  </w:footnote>
  <w:footnote w:id="2580">
    <w:p>
      <w:pPr>
        <w:pStyle w:val="FootnoteText"/>
      </w:pPr>
      <w:r>
        <w:rPr>
          <w:rStyle w:val="FootnoteReference"/>
        </w:rPr>
        <w:footnoteRef/>
      </w:r>
      <w:r>
        <w:t xml:space="preserve"> Translation note: Greek keeps memorial and remembrance language together here. Current line preserves both.</w:t>
      </w:r>
    </w:p>
  </w:footnote>
  <w:footnote w:id="2581">
    <w:p>
      <w:pPr>
        <w:pStyle w:val="FootnoteText"/>
      </w:pPr>
      <w:r>
        <w:rPr>
          <w:rStyle w:val="FootnoteReference"/>
        </w:rPr>
        <w:footnoteRef/>
      </w:r>
      <w:r>
        <w:t xml:space="preserve"> Cross-references for "bringing": 1Kgs 17:18; Ezek 29:16.</w:t>
      </w:r>
    </w:p>
  </w:footnote>
  <w:footnote w:id="2582">
    <w:p>
      <w:pPr>
        <w:pStyle w:val="FootnoteText"/>
      </w:pPr>
      <w:r>
        <w:rPr>
          <w:rStyle w:val="FootnoteReference"/>
        </w:rPr>
        <w:footnoteRef/>
      </w:r>
      <w:r>
        <w:t xml:space="preserve"> Translation note: The Greek uses two direct ritual verbs. The current wording preserves that line.</w:t>
      </w:r>
    </w:p>
  </w:footnote>
  <w:footnote w:id="2583">
    <w:p>
      <w:pPr>
        <w:pStyle w:val="FootnoteText"/>
      </w:pPr>
      <w:r>
        <w:rPr>
          <w:rStyle w:val="FootnoteReference"/>
        </w:rPr>
        <w:footnoteRef/>
      </w:r>
      <w:r>
        <w:t xml:space="preserve"> Cross-references for "set her": Lev 1:3; Num 5:18.</w:t>
      </w:r>
    </w:p>
  </w:footnote>
  <w:footnote w:id="2584">
    <w:p>
      <w:pPr>
        <w:pStyle w:val="FootnoteText"/>
      </w:pPr>
      <w:r>
        <w:rPr>
          <w:rStyle w:val="FootnoteReference"/>
        </w:rPr>
        <w:footnoteRef/>
      </w:r>
      <w:r>
        <w:t xml:space="preserve"> Translation note: The Greek uses living water language directly. The current wording preserves it.</w:t>
      </w:r>
    </w:p>
  </w:footnote>
  <w:footnote w:id="2585">
    <w:p>
      <w:pPr>
        <w:pStyle w:val="FootnoteText"/>
      </w:pPr>
      <w:r>
        <w:rPr>
          <w:rStyle w:val="FootnoteReference"/>
        </w:rPr>
        <w:footnoteRef/>
      </w:r>
      <w:r>
        <w:t xml:space="preserve"> Cross-references for "the priest": Heb 13:4; Rev 2:19-23.</w:t>
      </w:r>
    </w:p>
  </w:footnote>
  <w:footnote w:id="2586">
    <w:p>
      <w:pPr>
        <w:pStyle w:val="FootnoteText"/>
      </w:pPr>
      <w:r>
        <w:rPr>
          <w:rStyle w:val="FootnoteReference"/>
        </w:rPr>
        <w:footnoteRef/>
      </w:r>
      <w:r>
        <w:t xml:space="preserve"> Translation note: The Greek names this ritual water with a word tied to reproof or exposure. This draft keeps that judicial tone visible.</w:t>
      </w:r>
    </w:p>
  </w:footnote>
  <w:footnote w:id="2587">
    <w:p>
      <w:pPr>
        <w:pStyle w:val="FootnoteText"/>
      </w:pPr>
      <w:r>
        <w:rPr>
          <w:rStyle w:val="FootnoteReference"/>
        </w:rPr>
        <w:footnoteRef/>
      </w:r>
      <w:r>
        <w:t xml:space="preserve"> Cross-references for "an oath": Josh 6:26; 1Sam 14:24.</w:t>
      </w:r>
    </w:p>
  </w:footnote>
  <w:footnote w:id="2588">
    <w:p>
      <w:pPr>
        <w:pStyle w:val="FootnoteText"/>
      </w:pPr>
      <w:r>
        <w:rPr>
          <w:rStyle w:val="FootnoteReference"/>
        </w:rPr>
        <w:footnoteRef/>
      </w:r>
      <w:r>
        <w:t xml:space="preserve"> Cross-references for "the woman": Deut 27:15-26; Job 31:21-22.</w:t>
      </w:r>
    </w:p>
  </w:footnote>
  <w:footnote w:id="2589">
    <w:p>
      <w:pPr>
        <w:pStyle w:val="FootnoteText"/>
      </w:pPr>
      <w:r>
        <w:rPr>
          <w:rStyle w:val="FootnoteReference"/>
        </w:rPr>
        <w:footnoteRef/>
      </w:r>
      <w:r>
        <w:t xml:space="preserve"> Cross-references for "write these": Exod 17:14; Deut 31:19.</w:t>
      </w:r>
    </w:p>
  </w:footnote>
  <w:footnote w:id="2590">
    <w:p>
      <w:pPr>
        <w:pStyle w:val="FootnoteText"/>
      </w:pPr>
      <w:r>
        <w:rPr>
          <w:rStyle w:val="FootnoteReference"/>
        </w:rPr>
        <w:footnoteRef/>
      </w:r>
      <w:r>
        <w:t xml:space="preserve"> Cross-references for "priest": Num 5:15; Num 5:18.</w:t>
      </w:r>
    </w:p>
  </w:footnote>
  <w:footnote w:id="2591">
    <w:p>
      <w:pPr>
        <w:pStyle w:val="FootnoteText"/>
      </w:pPr>
      <w:r>
        <w:rPr>
          <w:rStyle w:val="FootnoteReference"/>
        </w:rPr>
        <w:footnoteRef/>
      </w:r>
      <w:r>
        <w:t xml:space="preserve"> Translation note: Greek doubles concealment here.</w:t>
      </w:r>
    </w:p>
  </w:footnote>
  <w:footnote w:id="2592">
    <w:p>
      <w:pPr>
        <w:pStyle w:val="FootnoteText"/>
      </w:pPr>
      <w:r>
        <w:rPr>
          <w:rStyle w:val="FootnoteReference"/>
        </w:rPr>
        <w:footnoteRef/>
      </w:r>
      <w:r>
        <w:t xml:space="preserve"> Cross-references for "the woman": Deut 28:37; Ps 83:9-11.</w:t>
      </w:r>
    </w:p>
  </w:footnote>
  <w:footnote w:id="2593">
    <w:p>
      <w:pPr>
        <w:pStyle w:val="FootnoteText"/>
      </w:pPr>
      <w:r>
        <w:rPr>
          <w:rStyle w:val="FootnoteReference"/>
        </w:rPr>
        <w:footnoteRef/>
      </w:r>
      <w:r>
        <w:t xml:space="preserve"> Cross-references for "and shall": Ps 113:9.</w:t>
      </w:r>
    </w:p>
  </w:footnote>
  <w:footnote w:id="2594">
    <w:p>
      <w:pPr>
        <w:pStyle w:val="FootnoteText"/>
      </w:pPr>
      <w:r>
        <w:rPr>
          <w:rStyle w:val="FootnoteReference"/>
        </w:rPr>
        <w:footnoteRef/>
      </w:r>
      <w:r>
        <w:t xml:space="preserve"> Cross-references for "the law": Lev 7:11; Lev 11:46.</w:t>
      </w:r>
    </w:p>
  </w:footnote>
  <w:footnote w:id="2595">
    <w:p>
      <w:pPr>
        <w:pStyle w:val="FootnoteText"/>
      </w:pPr>
      <w:r>
        <w:rPr>
          <w:rStyle w:val="FootnoteReference"/>
        </w:rPr>
        <w:footnoteRef/>
      </w:r>
      <w:r>
        <w:t xml:space="preserve"> Translation note: Greek uses the spirit-of-jealousy formula directly. Current wording preserves it.</w:t>
      </w:r>
    </w:p>
  </w:footnote>
  <w:footnote w:id="2596">
    <w:p>
      <w:pPr>
        <w:pStyle w:val="FootnoteText"/>
      </w:pPr>
      <w:r>
        <w:rPr>
          <w:rStyle w:val="FootnoteReference"/>
        </w:rPr>
        <w:footnoteRef/>
      </w:r>
      <w:r>
        <w:t xml:space="preserve"> Cross-references for "bear": Lev 20:10; Lev 20:17-20.</w:t>
      </w:r>
    </w:p>
  </w:footnote>
  <w:footnote w:id="2597">
    <w:p>
      <w:pPr>
        <w:pStyle w:val="FootnoteText"/>
      </w:pPr>
      <w:r>
        <w:rPr>
          <w:rStyle w:val="FootnoteReference"/>
        </w:rPr>
        <w:footnoteRef/>
      </w:r>
      <w:r>
        <w:t xml:space="preserve"> Translation note: The Greek states the Nazirite restriction broadly. The current wording preserves that scope.</w:t>
      </w:r>
    </w:p>
  </w:footnote>
  <w:footnote w:id="2598">
    <w:p>
      <w:pPr>
        <w:pStyle w:val="FootnoteText"/>
      </w:pPr>
      <w:r>
        <w:rPr>
          <w:rStyle w:val="FootnoteReference"/>
        </w:rPr>
        <w:footnoteRef/>
      </w:r>
      <w:r>
        <w:t xml:space="preserve"> Cross-references for "razor": Judg 13:5; Judg 16:17.</w:t>
      </w:r>
    </w:p>
  </w:footnote>
  <w:footnote w:id="2599">
    <w:p>
      <w:pPr>
        <w:pStyle w:val="FootnoteText"/>
      </w:pPr>
      <w:r>
        <w:rPr>
          <w:rStyle w:val="FootnoteReference"/>
        </w:rPr>
        <w:footnoteRef/>
      </w:r>
      <w:r>
        <w:t xml:space="preserve"> Translation note: Greek uses grow-long language here. Current line keeps that sense.</w:t>
      </w:r>
    </w:p>
  </w:footnote>
  <w:footnote w:id="2600">
    <w:p>
      <w:pPr>
        <w:pStyle w:val="FootnoteText"/>
      </w:pPr>
      <w:r>
        <w:rPr>
          <w:rStyle w:val="FootnoteReference"/>
        </w:rPr>
        <w:footnoteRef/>
      </w:r>
      <w:r>
        <w:t xml:space="preserve"> Cross-references for "shave": Num 6:18; Acts 18:18.</w:t>
      </w:r>
    </w:p>
  </w:footnote>
  <w:footnote w:id="2601">
    <w:p>
      <w:pPr>
        <w:pStyle w:val="FootnoteText"/>
      </w:pPr>
      <w:r>
        <w:rPr>
          <w:rStyle w:val="FootnoteReference"/>
        </w:rPr>
        <w:footnoteRef/>
      </w:r>
      <w:r>
        <w:t xml:space="preserve"> Translation note: Greek states the offense with direct reference to the dead person. Current wording preserves that ritual explanation.</w:t>
      </w:r>
    </w:p>
  </w:footnote>
  <w:footnote w:id="2602">
    <w:p>
      <w:pPr>
        <w:pStyle w:val="FootnoteText"/>
      </w:pPr>
      <w:r>
        <w:rPr>
          <w:rStyle w:val="FootnoteReference"/>
        </w:rPr>
        <w:footnoteRef/>
      </w:r>
      <w:r>
        <w:t xml:space="preserve"> Cross-references for "a trespass": Lev 5:6; Lev 14:24.</w:t>
      </w:r>
    </w:p>
  </w:footnote>
  <w:footnote w:id="2603">
    <w:p>
      <w:pPr>
        <w:pStyle w:val="FootnoteText"/>
      </w:pPr>
      <w:r>
        <w:rPr>
          <w:rStyle w:val="FootnoteReference"/>
        </w:rPr>
        <w:footnoteRef/>
      </w:r>
      <w:r>
        <w:t xml:space="preserve"> Translation note: Greek uses an accounting image for the prior days. The translation keeps that image.</w:t>
      </w:r>
    </w:p>
  </w:footnote>
  <w:footnote w:id="2604">
    <w:p>
      <w:pPr>
        <w:pStyle w:val="FootnoteText"/>
      </w:pPr>
      <w:r>
        <w:rPr>
          <w:rStyle w:val="FootnoteReference"/>
        </w:rPr>
        <w:footnoteRef/>
      </w:r>
      <w:r>
        <w:t xml:space="preserve"> Translation note: Greek uses soteria-family term here.</w:t>
      </w:r>
    </w:p>
  </w:footnote>
  <w:footnote w:id="2605">
    <w:p>
      <w:pPr>
        <w:pStyle w:val="FootnoteText"/>
      </w:pPr>
      <w:r>
        <w:rPr>
          <w:rStyle w:val="FootnoteReference"/>
        </w:rPr>
        <w:footnoteRef/>
      </w:r>
      <w:r>
        <w:t xml:space="preserve"> Cross-references for "a basket": Lev 2:4; Lev 8:2.</w:t>
      </w:r>
    </w:p>
  </w:footnote>
  <w:footnote w:id="2606">
    <w:p>
      <w:pPr>
        <w:pStyle w:val="FootnoteText"/>
      </w:pPr>
      <w:r>
        <w:rPr>
          <w:rStyle w:val="FootnoteReference"/>
        </w:rPr>
        <w:footnoteRef/>
      </w:r>
      <w:r>
        <w:t xml:space="preserve"> Translation note: Greek says the one who vowed shall shave the head of his vow.</w:t>
      </w:r>
    </w:p>
  </w:footnote>
  <w:footnote w:id="2607">
    <w:p>
      <w:pPr>
        <w:pStyle w:val="FootnoteText"/>
      </w:pPr>
      <w:r>
        <w:rPr>
          <w:rStyle w:val="FootnoteReference"/>
        </w:rPr>
        <w:footnoteRef/>
      </w:r>
      <w:r>
        <w:t xml:space="preserve"> Translation note: Greek says shave head of his vow.</w:t>
      </w:r>
    </w:p>
  </w:footnote>
  <w:footnote w:id="2608">
    <w:p>
      <w:pPr>
        <w:pStyle w:val="FootnoteText"/>
      </w:pPr>
      <w:r>
        <w:rPr>
          <w:rStyle w:val="FootnoteReference"/>
        </w:rPr>
        <w:footnoteRef/>
      </w:r>
      <w:r>
        <w:t xml:space="preserve"> Translation note: Greek says under the sacrifice of salvation.</w:t>
      </w:r>
    </w:p>
  </w:footnote>
  <w:footnote w:id="2609">
    <w:p>
      <w:pPr>
        <w:pStyle w:val="FootnoteText"/>
      </w:pPr>
      <w:r>
        <w:rPr>
          <w:rStyle w:val="FootnoteReference"/>
        </w:rPr>
        <w:footnoteRef/>
      </w:r>
      <w:r>
        <w:t xml:space="preserve"> Translation note: Greek keeps salvation/deliverance wording here.</w:t>
      </w:r>
    </w:p>
  </w:footnote>
  <w:footnote w:id="2610">
    <w:p>
      <w:pPr>
        <w:pStyle w:val="FootnoteText"/>
      </w:pPr>
      <w:r>
        <w:rPr>
          <w:rStyle w:val="FootnoteReference"/>
        </w:rPr>
        <w:footnoteRef/>
      </w:r>
      <w:r>
        <w:t xml:space="preserve"> Cross-references for "shave the head": Num 6:5; Num 6:9.</w:t>
      </w:r>
    </w:p>
  </w:footnote>
  <w:footnote w:id="2611">
    <w:p>
      <w:pPr>
        <w:pStyle w:val="FootnoteText"/>
      </w:pPr>
      <w:r>
        <w:rPr>
          <w:rStyle w:val="FootnoteReference"/>
        </w:rPr>
        <w:footnoteRef/>
      </w:r>
      <w:r>
        <w:t xml:space="preserve"> Translation note: Greek says boiled shoulder here. Current line keeps it.</w:t>
      </w:r>
    </w:p>
  </w:footnote>
  <w:footnote w:id="2612">
    <w:p>
      <w:pPr>
        <w:pStyle w:val="FootnoteText"/>
      </w:pPr>
      <w:r>
        <w:rPr>
          <w:rStyle w:val="FootnoteReference"/>
        </w:rPr>
        <w:footnoteRef/>
      </w:r>
      <w:r>
        <w:t xml:space="preserve"> Cross-references for "the priest shall": Exod 29:27-28; Lev 9:21.</w:t>
      </w:r>
    </w:p>
  </w:footnote>
  <w:footnote w:id="2613">
    <w:p>
      <w:pPr>
        <w:pStyle w:val="FootnoteText"/>
      </w:pPr>
      <w:r>
        <w:rPr>
          <w:rStyle w:val="FootnoteReference"/>
        </w:rPr>
        <w:footnoteRef/>
      </w:r>
      <w:r>
        <w:t xml:space="preserve"> Cross-references for "the law": Num 5:29.</w:t>
      </w:r>
    </w:p>
  </w:footnote>
  <w:footnote w:id="2614">
    <w:p>
      <w:pPr>
        <w:pStyle w:val="FootnoteText"/>
      </w:pPr>
      <w:r>
        <w:rPr>
          <w:rStyle w:val="FootnoteReference"/>
        </w:rPr>
        <w:footnoteRef/>
      </w:r>
      <w:r>
        <w:t xml:space="preserve"> Translation note: Greek says apart from here. Current line keeps that wording.</w:t>
      </w:r>
    </w:p>
  </w:footnote>
  <w:footnote w:id="2615">
    <w:p>
      <w:pPr>
        <w:pStyle w:val="FootnoteText"/>
      </w:pPr>
      <w:r>
        <w:rPr>
          <w:rStyle w:val="FootnoteReference"/>
        </w:rPr>
        <w:footnoteRef/>
      </w:r>
      <w:r>
        <w:t xml:space="preserve"> Translation note: Greek gives the blessing in a very compact two-part form. Current wording preserves that familiar formula.</w:t>
      </w:r>
    </w:p>
  </w:footnote>
  <w:footnote w:id="2616">
    <w:p>
      <w:pPr>
        <w:pStyle w:val="FootnoteText"/>
      </w:pPr>
      <w:r>
        <w:rPr>
          <w:rStyle w:val="FootnoteReference"/>
        </w:rPr>
        <w:footnoteRef/>
      </w:r>
      <w:r>
        <w:t xml:space="preserve"> Cross-references for "the Lord": Ruth 2:4; Ps 134:3.</w:t>
      </w:r>
    </w:p>
  </w:footnote>
  <w:footnote w:id="2617">
    <w:p>
      <w:pPr>
        <w:pStyle w:val="FootnoteText"/>
      </w:pPr>
      <w:r>
        <w:rPr>
          <w:rStyle w:val="FootnoteReference"/>
        </w:rPr>
        <w:footnoteRef/>
      </w:r>
      <w:r>
        <w:t xml:space="preserve"> Cross-references for "the Lord": Ps 21:6; Ps 31:16.</w:t>
      </w:r>
    </w:p>
  </w:footnote>
  <w:footnote w:id="2618">
    <w:p>
      <w:pPr>
        <w:pStyle w:val="FootnoteText"/>
      </w:pPr>
      <w:r>
        <w:rPr>
          <w:rStyle w:val="FootnoteReference"/>
        </w:rPr>
        <w:footnoteRef/>
      </w:r>
      <w:r>
        <w:t xml:space="preserve"> Translation note: Greek keeps this blessing line in direct form. Current wording preserves it.</w:t>
      </w:r>
    </w:p>
  </w:footnote>
  <w:footnote w:id="2619">
    <w:p>
      <w:pPr>
        <w:pStyle w:val="FootnoteText"/>
      </w:pPr>
      <w:r>
        <w:rPr>
          <w:rStyle w:val="FootnoteReference"/>
        </w:rPr>
        <w:footnoteRef/>
      </w:r>
      <w:r>
        <w:t xml:space="preserve"> Cross-references for "lift up": Ps 4:6; Ps 42:5.</w:t>
      </w:r>
    </w:p>
  </w:footnote>
  <w:footnote w:id="2620">
    <w:p>
      <w:pPr>
        <w:pStyle w:val="FootnoteText"/>
      </w:pPr>
      <w:r>
        <w:rPr>
          <w:rStyle w:val="FootnoteReference"/>
        </w:rPr>
        <w:footnoteRef/>
      </w:r>
      <w:r>
        <w:t xml:space="preserve"> Cross-references for "anointed it": Exod 30:23-30; Lev 8:10-11.</w:t>
      </w:r>
    </w:p>
  </w:footnote>
  <w:footnote w:id="2621">
    <w:p>
      <w:pPr>
        <w:pStyle w:val="FootnoteText"/>
      </w:pPr>
      <w:r>
        <w:rPr>
          <w:rStyle w:val="FootnoteReference"/>
        </w:rPr>
        <w:footnoteRef/>
      </w:r>
      <w:r>
        <w:t xml:space="preserve"> Translation note: Greek opens with finished-setting-up formula here. Current line keeps it.</w:t>
      </w:r>
    </w:p>
  </w:footnote>
  <w:footnote w:id="2622">
    <w:p>
      <w:pPr>
        <w:pStyle w:val="FootnoteText"/>
      </w:pPr>
      <w:r>
        <w:rPr>
          <w:rStyle w:val="FootnoteReference"/>
        </w:rPr>
        <w:footnoteRef/>
      </w:r>
      <w:r>
        <w:t xml:space="preserve"> Cross-references for "covered wagons": Num 7:3.</w:t>
      </w:r>
    </w:p>
  </w:footnote>
  <w:footnote w:id="2623">
    <w:p>
      <w:pPr>
        <w:pStyle w:val="FootnoteText"/>
      </w:pPr>
      <w:r>
        <w:rPr>
          <w:rStyle w:val="FootnoteReference"/>
        </w:rPr>
        <w:footnoteRef/>
      </w:r>
      <w:r>
        <w:t xml:space="preserve"> Translation note: Greek gives the allocation in a plain inventory line. Current wording preserves that tally.</w:t>
      </w:r>
    </w:p>
  </w:footnote>
  <w:footnote w:id="2624">
    <w:p>
      <w:pPr>
        <w:pStyle w:val="FootnoteText"/>
      </w:pPr>
      <w:r>
        <w:rPr>
          <w:rStyle w:val="FootnoteReference"/>
        </w:rPr>
        <w:footnoteRef/>
      </w:r>
      <w:r>
        <w:t xml:space="preserve"> Cross-references for "two wagons": Num 3:25-26; Num 4:24-28.</w:t>
      </w:r>
    </w:p>
  </w:footnote>
  <w:footnote w:id="2625">
    <w:p>
      <w:pPr>
        <w:pStyle w:val="FootnoteText"/>
      </w:pPr>
      <w:r>
        <w:rPr>
          <w:rStyle w:val="FootnoteReference"/>
        </w:rPr>
        <w:footnoteRef/>
      </w:r>
      <w:r>
        <w:t xml:space="preserve"> Cross-references for "four wagons": Num 3:36-37; Num 4:28-33.</w:t>
      </w:r>
    </w:p>
  </w:footnote>
  <w:footnote w:id="2626">
    <w:p>
      <w:pPr>
        <w:pStyle w:val="FootnoteText"/>
      </w:pPr>
      <w:r>
        <w:rPr>
          <w:rStyle w:val="FootnoteReference"/>
        </w:rPr>
        <w:footnoteRef/>
      </w:r>
      <w:r>
        <w:t xml:space="preserve"> Translation note: Greek says prepared with oil for sacrifice.</w:t>
      </w:r>
    </w:p>
  </w:footnote>
  <w:footnote w:id="2627">
    <w:p>
      <w:pPr>
        <w:pStyle w:val="FootnoteText"/>
      </w:pPr>
      <w:r>
        <w:rPr>
          <w:rStyle w:val="FootnoteReference"/>
        </w:rPr>
        <w:footnoteRef/>
      </w:r>
      <w:r>
        <w:t xml:space="preserve"> Cross-references for "incense": Exod 30:7-8; Exod 30:34-38.</w:t>
      </w:r>
    </w:p>
  </w:footnote>
  <w:footnote w:id="2628">
    <w:p>
      <w:pPr>
        <w:pStyle w:val="FootnoteText"/>
      </w:pPr>
      <w:r>
        <w:rPr>
          <w:rStyle w:val="FootnoteReference"/>
        </w:rPr>
        <w:footnoteRef/>
      </w:r>
      <w:r>
        <w:t xml:space="preserve"> Translation note: Greek says fine flour prepared with oil for sacrifice.</w:t>
      </w:r>
    </w:p>
  </w:footnote>
  <w:footnote w:id="2629">
    <w:p>
      <w:pPr>
        <w:pStyle w:val="FootnoteText"/>
      </w:pPr>
      <w:r>
        <w:rPr>
          <w:rStyle w:val="FootnoteReference"/>
        </w:rPr>
        <w:footnoteRef/>
      </w:r>
      <w:r>
        <w:t xml:space="preserve"> Cross-references for "bowl": Exod 27:21.</w:t>
      </w:r>
    </w:p>
  </w:footnote>
  <w:footnote w:id="2630">
    <w:p>
      <w:pPr>
        <w:pStyle w:val="FootnoteText"/>
      </w:pPr>
      <w:r>
        <w:rPr>
          <w:rStyle w:val="FootnoteReference"/>
        </w:rPr>
        <w:footnoteRef/>
      </w:r>
      <w:r>
        <w:t xml:space="preserve"> Cross-references for "incense": Ps 66:15; Mal 1:11.</w:t>
      </w:r>
    </w:p>
  </w:footnote>
  <w:footnote w:id="2631">
    <w:p>
      <w:pPr>
        <w:pStyle w:val="FootnoteText"/>
      </w:pPr>
      <w:r>
        <w:rPr>
          <w:rStyle w:val="FootnoteReference"/>
        </w:rPr>
        <w:footnoteRef/>
      </w:r>
      <w:r>
        <w:t xml:space="preserve"> Cross-references for "Elishama": Num 1:10; Num 2:18.</w:t>
      </w:r>
    </w:p>
  </w:footnote>
  <w:footnote w:id="2632">
    <w:p>
      <w:pPr>
        <w:pStyle w:val="FootnoteText"/>
      </w:pPr>
      <w:r>
        <w:rPr>
          <w:rStyle w:val="FootnoteReference"/>
        </w:rPr>
        <w:footnoteRef/>
      </w:r>
      <w:r>
        <w:t xml:space="preserve"> Cross-references for "On the tenth day": Num 4:1; Num 9:1.</w:t>
      </w:r>
    </w:p>
  </w:footnote>
  <w:footnote w:id="2633">
    <w:p>
      <w:pPr>
        <w:pStyle w:val="FootnoteText"/>
      </w:pPr>
      <w:r>
        <w:rPr>
          <w:rStyle w:val="FootnoteReference"/>
        </w:rPr>
        <w:footnoteRef/>
      </w:r>
      <w:r>
        <w:t xml:space="preserve"> Cross-references for "eleventh day": Num 7:78.</w:t>
      </w:r>
    </w:p>
  </w:footnote>
  <w:footnote w:id="2634">
    <w:p>
      <w:pPr>
        <w:pStyle w:val="FootnoteText"/>
      </w:pPr>
      <w:r>
        <w:rPr>
          <w:rStyle w:val="FootnoteReference"/>
        </w:rPr>
        <w:footnoteRef/>
      </w:r>
      <w:r>
        <w:t xml:space="preserve"> Cross-references for "the dedication": Num 7:10; 1Chr 29:6-8.</w:t>
      </w:r>
    </w:p>
  </w:footnote>
  <w:footnote w:id="2635">
    <w:p>
      <w:pPr>
        <w:pStyle w:val="FootnoteText"/>
      </w:pPr>
      <w:r>
        <w:rPr>
          <w:rStyle w:val="FootnoteReference"/>
        </w:rPr>
        <w:footnoteRef/>
      </w:r>
      <w:r>
        <w:t xml:space="preserve"> Cross-references for "two thousand": 1Chr 22:14; 1Chr 29:4.</w:t>
      </w:r>
    </w:p>
  </w:footnote>
  <w:footnote w:id="2636">
    <w:p>
      <w:pPr>
        <w:pStyle w:val="FootnoteText"/>
      </w:pPr>
      <w:r>
        <w:rPr>
          <w:rStyle w:val="FootnoteReference"/>
        </w:rPr>
        <w:footnoteRef/>
      </w:r>
      <w:r>
        <w:t xml:space="preserve"> Translation note: Greek says sacrifice of salvation here. Current line keeps that wording.</w:t>
      </w:r>
    </w:p>
  </w:footnote>
  <w:footnote w:id="2637">
    <w:p>
      <w:pPr>
        <w:pStyle w:val="FootnoteText"/>
      </w:pPr>
      <w:r>
        <w:rPr>
          <w:rStyle w:val="FootnoteReference"/>
        </w:rPr>
        <w:footnoteRef/>
      </w:r>
      <w:r>
        <w:t xml:space="preserve"> Cross-references for "to speak": Exod 33:9-11; Num 12:8.</w:t>
      </w:r>
    </w:p>
  </w:footnote>
  <w:footnote w:id="2638">
    <w:p>
      <w:pPr>
        <w:pStyle w:val="FootnoteText"/>
      </w:pPr>
      <w:r>
        <w:rPr>
          <w:rStyle w:val="FootnoteReference"/>
        </w:rPr>
        <w:footnoteRef/>
      </w:r>
      <w:r>
        <w:t xml:space="preserve"> Translation note: The chapter ends not with another gift but with Moses hearing the Lord's voice from above the mercy seat between the cherubim. This draft keeps the scene direct.</w:t>
      </w:r>
    </w:p>
  </w:footnote>
  <w:footnote w:id="2639">
    <w:p>
      <w:pPr>
        <w:pStyle w:val="FootnoteText"/>
      </w:pPr>
      <w:r>
        <w:rPr>
          <w:rStyle w:val="FootnoteReference"/>
        </w:rPr>
        <w:footnoteRef/>
      </w:r>
      <w:r>
        <w:t xml:space="preserve"> Translation note: Greek says solid gold and all solid.</w:t>
      </w:r>
    </w:p>
  </w:footnote>
  <w:footnote w:id="2640">
    <w:p>
      <w:pPr>
        <w:pStyle w:val="FootnoteText"/>
      </w:pPr>
      <w:r>
        <w:rPr>
          <w:rStyle w:val="FootnoteReference"/>
        </w:rPr>
        <w:footnoteRef/>
      </w:r>
      <w:r>
        <w:t xml:space="preserve"> Cross-references for "the pattern": Exod 25:9; Exod 25:40.</w:t>
      </w:r>
    </w:p>
  </w:footnote>
  <w:footnote w:id="2641">
    <w:p>
      <w:pPr>
        <w:pStyle w:val="FootnoteText"/>
      </w:pPr>
      <w:r>
        <w:rPr>
          <w:rStyle w:val="FootnoteReference"/>
        </w:rPr>
        <w:footnoteRef/>
      </w:r>
      <w:r>
        <w:t xml:space="preserve"> Cross-references for "sprinkle": Lev 8:6; Lev 14:7.</w:t>
      </w:r>
    </w:p>
  </w:footnote>
  <w:footnote w:id="2642">
    <w:p>
      <w:pPr>
        <w:pStyle w:val="FootnoteText"/>
      </w:pPr>
      <w:r>
        <w:rPr>
          <w:rStyle w:val="FootnoteReference"/>
        </w:rPr>
        <w:footnoteRef/>
      </w:r>
      <w:r>
        <w:t xml:space="preserve"> Cross-references for "another": Lev 4:3; Lev 4:14.</w:t>
      </w:r>
    </w:p>
  </w:footnote>
  <w:footnote w:id="2643">
    <w:p>
      <w:pPr>
        <w:pStyle w:val="FootnoteText"/>
      </w:pPr>
      <w:r>
        <w:rPr>
          <w:rStyle w:val="FootnoteReference"/>
        </w:rPr>
        <w:footnoteRef/>
      </w:r>
      <w:r>
        <w:t xml:space="preserve"> Cross-references for "offering": Exod 29:24; Lev 7:30.</w:t>
      </w:r>
    </w:p>
  </w:footnote>
  <w:footnote w:id="2644">
    <w:p>
      <w:pPr>
        <w:pStyle w:val="FootnoteText"/>
      </w:pPr>
      <w:r>
        <w:rPr>
          <w:rStyle w:val="FootnoteReference"/>
        </w:rPr>
        <w:footnoteRef/>
      </w:r>
      <w:r>
        <w:t xml:space="preserve"> Cross-references for "Levites": Exod 29:10; Lev 1:4.</w:t>
      </w:r>
    </w:p>
  </w:footnote>
  <w:footnote w:id="2645">
    <w:p>
      <w:pPr>
        <w:pStyle w:val="FootnoteText"/>
      </w:pPr>
      <w:r>
        <w:rPr>
          <w:rStyle w:val="FootnoteReference"/>
        </w:rPr>
        <w:footnoteRef/>
      </w:r>
      <w:r>
        <w:t xml:space="preserve"> Translation note: Greek uses make one / make one wording here. Current line keeps that form.</w:t>
      </w:r>
    </w:p>
  </w:footnote>
  <w:footnote w:id="2646">
    <w:p>
      <w:pPr>
        <w:pStyle w:val="FootnoteText"/>
      </w:pPr>
      <w:r>
        <w:rPr>
          <w:rStyle w:val="FootnoteReference"/>
        </w:rPr>
        <w:footnoteRef/>
      </w:r>
      <w:r>
        <w:t xml:space="preserve"> Cross-references for "separate": Num 6:2; Deut 10:8.</w:t>
      </w:r>
    </w:p>
  </w:footnote>
  <w:footnote w:id="2647">
    <w:p>
      <w:pPr>
        <w:pStyle w:val="FootnoteText"/>
      </w:pPr>
      <w:r>
        <w:rPr>
          <w:rStyle w:val="FootnoteReference"/>
        </w:rPr>
        <w:footnoteRef/>
      </w:r>
      <w:r>
        <w:t xml:space="preserve"> Cross-references for "go in": Num 3:23-37; Num 4:3-32.</w:t>
      </w:r>
    </w:p>
  </w:footnote>
  <w:footnote w:id="2648">
    <w:p>
      <w:pPr>
        <w:pStyle w:val="FootnoteText"/>
      </w:pPr>
      <w:r>
        <w:rPr>
          <w:rStyle w:val="FootnoteReference"/>
        </w:rPr>
        <w:footnoteRef/>
      </w:r>
      <w:r>
        <w:t xml:space="preserve"> Cross-references for "On the day": Exod 12:29; Ps 78:51.</w:t>
      </w:r>
    </w:p>
  </w:footnote>
  <w:footnote w:id="2649">
    <w:p>
      <w:pPr>
        <w:pStyle w:val="FootnoteText"/>
      </w:pPr>
      <w:r>
        <w:rPr>
          <w:rStyle w:val="FootnoteReference"/>
        </w:rPr>
        <w:footnoteRef/>
      </w:r>
      <w:r>
        <w:t xml:space="preserve"> Translation note: Greek says as an offering given and one coming near the holy things.</w:t>
      </w:r>
    </w:p>
  </w:footnote>
  <w:footnote w:id="2650">
    <w:p>
      <w:pPr>
        <w:pStyle w:val="FootnoteText"/>
      </w:pPr>
      <w:r>
        <w:rPr>
          <w:rStyle w:val="FootnoteReference"/>
        </w:rPr>
        <w:footnoteRef/>
      </w:r>
      <w:r>
        <w:t xml:space="preserve"> Cross-references for "Aaron made": Num 8:12.</w:t>
      </w:r>
    </w:p>
  </w:footnote>
  <w:footnote w:id="2651">
    <w:p>
      <w:pPr>
        <w:pStyle w:val="FootnoteText"/>
      </w:pPr>
      <w:r>
        <w:rPr>
          <w:rStyle w:val="FootnoteReference"/>
        </w:rPr>
        <w:footnoteRef/>
      </w:r>
      <w:r>
        <w:t xml:space="preserve"> Translation note: Greek repeats service wording here.</w:t>
      </w:r>
    </w:p>
  </w:footnote>
  <w:footnote w:id="2652">
    <w:p>
      <w:pPr>
        <w:pStyle w:val="FootnoteText"/>
      </w:pPr>
      <w:r>
        <w:rPr>
          <w:rStyle w:val="FootnoteReference"/>
        </w:rPr>
        <w:footnoteRef/>
      </w:r>
      <w:r>
        <w:t xml:space="preserve"> Cross-references for "as the Lord": Num 8:5-26.</w:t>
      </w:r>
    </w:p>
  </w:footnote>
  <w:footnote w:id="2653">
    <w:p>
      <w:pPr>
        <w:pStyle w:val="FootnoteText"/>
      </w:pPr>
      <w:r>
        <w:rPr>
          <w:rStyle w:val="FootnoteReference"/>
        </w:rPr>
        <w:footnoteRef/>
      </w:r>
      <w:r>
        <w:t xml:space="preserve"> Cross-references for "from twenty": Num 4:3; 1Chr 23:24.</w:t>
      </w:r>
    </w:p>
  </w:footnote>
  <w:footnote w:id="2654">
    <w:p>
      <w:pPr>
        <w:pStyle w:val="FootnoteText"/>
      </w:pPr>
      <w:r>
        <w:rPr>
          <w:rStyle w:val="FootnoteReference"/>
        </w:rPr>
        <w:footnoteRef/>
      </w:r>
      <w:r>
        <w:t xml:space="preserve"> Cross-references for "to keep": Num 1:53; Num 3:32.</w:t>
      </w:r>
    </w:p>
  </w:footnote>
  <w:footnote w:id="2655">
    <w:p>
      <w:pPr>
        <w:pStyle w:val="FootnoteText"/>
      </w:pPr>
      <w:r>
        <w:rPr>
          <w:rStyle w:val="FootnoteReference"/>
        </w:rPr>
        <w:footnoteRef/>
      </w:r>
      <w:r>
        <w:t xml:space="preserve"> Cross-references for "in the first month": Exod 40:2; Num 1:1.</w:t>
      </w:r>
    </w:p>
  </w:footnote>
  <w:footnote w:id="2656">
    <w:p>
      <w:pPr>
        <w:pStyle w:val="FootnoteText"/>
      </w:pPr>
      <w:r>
        <w:rPr>
          <w:rStyle w:val="FootnoteReference"/>
        </w:rPr>
        <w:footnoteRef/>
      </w:r>
      <w:r>
        <w:t xml:space="preserve"> Translation note: Greek makes the timing formula explicit. Current wording preserves that festival line.</w:t>
      </w:r>
    </w:p>
  </w:footnote>
  <w:footnote w:id="2657">
    <w:p>
      <w:pPr>
        <w:pStyle w:val="FootnoteText"/>
      </w:pPr>
      <w:r>
        <w:rPr>
          <w:rStyle w:val="FootnoteReference"/>
        </w:rPr>
        <w:footnoteRef/>
      </w:r>
      <w:r>
        <w:t xml:space="preserve"> Cross-references for "keep": Exod 12:1-20.</w:t>
      </w:r>
    </w:p>
  </w:footnote>
  <w:footnote w:id="2658">
    <w:p>
      <w:pPr>
        <w:pStyle w:val="FootnoteText"/>
      </w:pPr>
      <w:r>
        <w:rPr>
          <w:rStyle w:val="FootnoteReference"/>
        </w:rPr>
        <w:footnoteRef/>
      </w:r>
      <w:r>
        <w:t xml:space="preserve"> Cross-references for "the fourteenth": 2Chr 30:2; 2Chr 30:15.</w:t>
      </w:r>
    </w:p>
  </w:footnote>
  <w:footnote w:id="2659">
    <w:p>
      <w:pPr>
        <w:pStyle w:val="FootnoteText"/>
      </w:pPr>
      <w:r>
        <w:rPr>
          <w:rStyle w:val="FootnoteReference"/>
        </w:rPr>
        <w:footnoteRef/>
      </w:r>
      <w:r>
        <w:t xml:space="preserve"> Cross-references for "they came": Exod 18:15; Exod 18:19.</w:t>
      </w:r>
    </w:p>
  </w:footnote>
  <w:footnote w:id="2660">
    <w:p>
      <w:pPr>
        <w:pStyle w:val="FootnoteText"/>
      </w:pPr>
      <w:r>
        <w:rPr>
          <w:rStyle w:val="FootnoteReference"/>
        </w:rPr>
        <w:footnoteRef/>
      </w:r>
      <w:r>
        <w:t xml:space="preserve"> Cross-references for "Stand": Exod 14:13; 2Chr 20:17.</w:t>
      </w:r>
    </w:p>
  </w:footnote>
  <w:footnote w:id="2661">
    <w:p>
      <w:pPr>
        <w:pStyle w:val="FootnoteText"/>
      </w:pPr>
      <w:r>
        <w:rPr>
          <w:rStyle w:val="FootnoteReference"/>
        </w:rPr>
        <w:footnoteRef/>
      </w:r>
      <w:r>
        <w:t xml:space="preserve"> Cross-references for "fourteenth": Exod 12:2-14; Exod 12:43-49.</w:t>
      </w:r>
    </w:p>
  </w:footnote>
  <w:footnote w:id="2662">
    <w:p>
      <w:pPr>
        <w:pStyle w:val="FootnoteText"/>
      </w:pPr>
      <w:r>
        <w:rPr>
          <w:rStyle w:val="FootnoteReference"/>
        </w:rPr>
        <w:footnoteRef/>
      </w:r>
      <w:r>
        <w:t xml:space="preserve"> Cross-references for "shall leave": Exod 12:10.</w:t>
      </w:r>
    </w:p>
  </w:footnote>
  <w:footnote w:id="2663">
    <w:p>
      <w:pPr>
        <w:pStyle w:val="FootnoteText"/>
      </w:pPr>
      <w:r>
        <w:rPr>
          <w:rStyle w:val="FootnoteReference"/>
        </w:rPr>
        <w:footnoteRef/>
      </w:r>
      <w:r>
        <w:t xml:space="preserve"> Translation note: Greek keeps the Passover bone line explicit. Current wording preserves it.</w:t>
      </w:r>
    </w:p>
  </w:footnote>
  <w:footnote w:id="2664">
    <w:p>
      <w:pPr>
        <w:pStyle w:val="FootnoteText"/>
      </w:pPr>
      <w:r>
        <w:rPr>
          <w:rStyle w:val="FootnoteReference"/>
        </w:rPr>
        <w:footnoteRef/>
      </w:r>
      <w:r>
        <w:t xml:space="preserve"> Translation note: The Greek keeps a strong covenant penalty formula here. This draft leaves the cut-off wording visible rather than softening it.</w:t>
      </w:r>
    </w:p>
  </w:footnote>
  <w:footnote w:id="2665">
    <w:p>
      <w:pPr>
        <w:pStyle w:val="FootnoteText"/>
      </w:pPr>
      <w:r>
        <w:rPr>
          <w:rStyle w:val="FootnoteReference"/>
        </w:rPr>
        <w:footnoteRef/>
      </w:r>
      <w:r>
        <w:t xml:space="preserve"> Cross-references for "bear his sin": Lev 20:20; Lev 22:9.</w:t>
      </w:r>
    </w:p>
  </w:footnote>
  <w:footnote w:id="2666">
    <w:p>
      <w:pPr>
        <w:pStyle w:val="FootnoteText"/>
      </w:pPr>
      <w:r>
        <w:rPr>
          <w:rStyle w:val="FootnoteReference"/>
        </w:rPr>
        <w:footnoteRef/>
      </w:r>
      <w:r>
        <w:t xml:space="preserve"> Translation note: Greek says if a sojourner comes near you in your land.</w:t>
      </w:r>
    </w:p>
  </w:footnote>
  <w:footnote w:id="2667">
    <w:p>
      <w:pPr>
        <w:pStyle w:val="FootnoteText"/>
      </w:pPr>
      <w:r>
        <w:rPr>
          <w:rStyle w:val="FootnoteReference"/>
        </w:rPr>
        <w:footnoteRef/>
      </w:r>
      <w:r>
        <w:t xml:space="preserve"> Cross-references for "on the day": Exod 40:2; Exod 40:18.</w:t>
      </w:r>
    </w:p>
  </w:footnote>
  <w:footnote w:id="2668">
    <w:p>
      <w:pPr>
        <w:pStyle w:val="FootnoteText"/>
      </w:pPr>
      <w:r>
        <w:rPr>
          <w:rStyle w:val="FootnoteReference"/>
        </w:rPr>
        <w:footnoteRef/>
      </w:r>
      <w:r>
        <w:t xml:space="preserve"> Cross-references for "and in the": Exod 33:14-15; Ps 32:8.</w:t>
      </w:r>
    </w:p>
  </w:footnote>
  <w:footnote w:id="2669">
    <w:p>
      <w:pPr>
        <w:pStyle w:val="FootnoteText"/>
      </w:pPr>
      <w:r>
        <w:rPr>
          <w:rStyle w:val="FootnoteReference"/>
        </w:rPr>
        <w:footnoteRef/>
      </w:r>
      <w:r>
        <w:t xml:space="preserve"> Cross-references for "and at the": Exod 17:1; Num 9:20.</w:t>
      </w:r>
    </w:p>
  </w:footnote>
  <w:footnote w:id="2670">
    <w:p>
      <w:pPr>
        <w:pStyle w:val="FootnoteText"/>
      </w:pPr>
      <w:r>
        <w:rPr>
          <w:rStyle w:val="FootnoteReference"/>
        </w:rPr>
        <w:footnoteRef/>
      </w:r>
      <w:r>
        <w:t xml:space="preserve"> Cross-references for "kept the": Num 1:52-53; Num 3:8.</w:t>
      </w:r>
    </w:p>
  </w:footnote>
  <w:footnote w:id="2671">
    <w:p>
      <w:pPr>
        <w:pStyle w:val="FootnoteText"/>
      </w:pPr>
      <w:r>
        <w:rPr>
          <w:rStyle w:val="FootnoteReference"/>
        </w:rPr>
        <w:footnoteRef/>
      </w:r>
      <w:r>
        <w:t xml:space="preserve"> MT/LXX note: Greek differs from MT year wording here.</w:t>
      </w:r>
    </w:p>
  </w:footnote>
  <w:footnote w:id="2672">
    <w:p>
      <w:pPr>
        <w:pStyle w:val="FootnoteText"/>
      </w:pPr>
      <w:r>
        <w:rPr>
          <w:rStyle w:val="FootnoteReference"/>
        </w:rPr>
        <w:footnoteRef/>
      </w:r>
      <w:r>
        <w:t xml:space="preserve"> Cross-references for "They kept": Gen 26:5; Num 9:19.</w:t>
      </w:r>
    </w:p>
  </w:footnote>
  <w:footnote w:id="2673">
    <w:p>
      <w:pPr>
        <w:pStyle w:val="FootnoteText"/>
      </w:pPr>
      <w:r>
        <w:rPr>
          <w:rStyle w:val="FootnoteReference"/>
        </w:rPr>
        <w:footnoteRef/>
      </w:r>
      <w:r>
        <w:t xml:space="preserve"> Cross-references for "blow": Num 10:6-7; Isa 58:1.</w:t>
      </w:r>
    </w:p>
  </w:footnote>
  <w:footnote w:id="2674">
    <w:p>
      <w:pPr>
        <w:pStyle w:val="FootnoteText"/>
      </w:pPr>
      <w:r>
        <w:rPr>
          <w:rStyle w:val="FootnoteReference"/>
        </w:rPr>
        <w:footnoteRef/>
      </w:r>
      <w:r>
        <w:t xml:space="preserve"> Cross-references for "the camps": Num 2:10-16.</w:t>
      </w:r>
    </w:p>
  </w:footnote>
  <w:footnote w:id="2675">
    <w:p>
      <w:pPr>
        <w:pStyle w:val="FootnoteText"/>
      </w:pPr>
      <w:r>
        <w:rPr>
          <w:rStyle w:val="FootnoteReference"/>
        </w:rPr>
        <w:footnoteRef/>
      </w:r>
      <w:r>
        <w:t xml:space="preserve"> Translation note: Greek closes with the statute formula. Current wording preserves it.</w:t>
      </w:r>
    </w:p>
  </w:footnote>
  <w:footnote w:id="2676">
    <w:p>
      <w:pPr>
        <w:pStyle w:val="FootnoteText"/>
      </w:pPr>
      <w:r>
        <w:rPr>
          <w:rStyle w:val="FootnoteReference"/>
        </w:rPr>
        <w:footnoteRef/>
      </w:r>
      <w:r>
        <w:t xml:space="preserve"> Translation note: Greek says signal here. Current line keeps that wording.</w:t>
      </w:r>
    </w:p>
  </w:footnote>
  <w:footnote w:id="2677">
    <w:p>
      <w:pPr>
        <w:pStyle w:val="FootnoteText"/>
      </w:pPr>
      <w:r>
        <w:rPr>
          <w:rStyle w:val="FootnoteReference"/>
        </w:rPr>
        <w:footnoteRef/>
      </w:r>
      <w:r>
        <w:t xml:space="preserve"> Cross-references for "remembered": Gen 8:1; Ps 106:4.</w:t>
      </w:r>
    </w:p>
  </w:footnote>
  <w:footnote w:id="2678">
    <w:p>
      <w:pPr>
        <w:pStyle w:val="FootnoteText"/>
      </w:pPr>
      <w:r>
        <w:rPr>
          <w:rStyle w:val="FootnoteReference"/>
        </w:rPr>
        <w:footnoteRef/>
      </w:r>
      <w:r>
        <w:t xml:space="preserve"> Cross-references for "a memorial": Exod 28:29; Exod 30:16.</w:t>
      </w:r>
    </w:p>
  </w:footnote>
  <w:footnote w:id="2679">
    <w:p>
      <w:pPr>
        <w:pStyle w:val="FootnoteText"/>
      </w:pPr>
      <w:r>
        <w:rPr>
          <w:rStyle w:val="FootnoteReference"/>
        </w:rPr>
        <w:footnoteRef/>
      </w:r>
      <w:r>
        <w:t xml:space="preserve"> Cross-references for "the cloud": Num 9:17-23.</w:t>
      </w:r>
    </w:p>
  </w:footnote>
  <w:footnote w:id="2680">
    <w:p>
      <w:pPr>
        <w:pStyle w:val="FootnoteText"/>
      </w:pPr>
      <w:r>
        <w:rPr>
          <w:rStyle w:val="FootnoteReference"/>
        </w:rPr>
        <w:footnoteRef/>
      </w:r>
      <w:r>
        <w:t xml:space="preserve"> Cross-references for "the wilderness": Gen 21:21; Num 12:16.</w:t>
      </w:r>
    </w:p>
  </w:footnote>
  <w:footnote w:id="2681">
    <w:p>
      <w:pPr>
        <w:pStyle w:val="FootnoteText"/>
      </w:pPr>
      <w:r>
        <w:rPr>
          <w:rStyle w:val="FootnoteReference"/>
        </w:rPr>
        <w:footnoteRef/>
      </w:r>
      <w:r>
        <w:t xml:space="preserve"> Cross-references for "Nahshon": Num 1:7; Num 7:12.</w:t>
      </w:r>
    </w:p>
  </w:footnote>
  <w:footnote w:id="2682">
    <w:p>
      <w:pPr>
        <w:pStyle w:val="FootnoteText"/>
      </w:pPr>
      <w:r>
        <w:rPr>
          <w:rStyle w:val="FootnoteReference"/>
        </w:rPr>
        <w:footnoteRef/>
      </w:r>
      <w:r>
        <w:t xml:space="preserve"> Cross-references for "the sons": Num 3:25-26; Num 3:36-37.</w:t>
      </w:r>
    </w:p>
  </w:footnote>
  <w:footnote w:id="2683">
    <w:p>
      <w:pPr>
        <w:pStyle w:val="FootnoteText"/>
      </w:pPr>
      <w:r>
        <w:rPr>
          <w:rStyle w:val="FootnoteReference"/>
        </w:rPr>
        <w:footnoteRef/>
      </w:r>
      <w:r>
        <w:t xml:space="preserve"> Cross-references for "the camp": Num 2:10-16; Num 26:5-18.</w:t>
      </w:r>
    </w:p>
  </w:footnote>
  <w:footnote w:id="2684">
    <w:p>
      <w:pPr>
        <w:pStyle w:val="FootnoteText"/>
      </w:pPr>
      <w:r>
        <w:rPr>
          <w:rStyle w:val="FootnoteReference"/>
        </w:rPr>
        <w:footnoteRef/>
      </w:r>
      <w:r>
        <w:t xml:space="preserve"> Cross-references for "Simeon": Num 1:6; Num 7:36.</w:t>
      </w:r>
    </w:p>
  </w:footnote>
  <w:footnote w:id="2685">
    <w:p>
      <w:pPr>
        <w:pStyle w:val="FootnoteText"/>
      </w:pPr>
      <w:r>
        <w:rPr>
          <w:rStyle w:val="FootnoteReference"/>
        </w:rPr>
        <w:footnoteRef/>
      </w:r>
      <w:r>
        <w:t xml:space="preserve"> Cross-references for "Eliasaph": Num 1:14; Num 2:14.</w:t>
      </w:r>
    </w:p>
  </w:footnote>
  <w:footnote w:id="2686">
    <w:p>
      <w:pPr>
        <w:pStyle w:val="FootnoteText"/>
      </w:pPr>
      <w:r>
        <w:rPr>
          <w:rStyle w:val="FootnoteReference"/>
        </w:rPr>
        <w:footnoteRef/>
      </w:r>
      <w:r>
        <w:t xml:space="preserve"> Cross-references for "the camp": Gen 48:19; Num 2:18-24.</w:t>
      </w:r>
    </w:p>
  </w:footnote>
  <w:footnote w:id="2687">
    <w:p>
      <w:pPr>
        <w:pStyle w:val="FootnoteText"/>
      </w:pPr>
      <w:r>
        <w:rPr>
          <w:rStyle w:val="FootnoteReference"/>
        </w:rPr>
        <w:footnoteRef/>
      </w:r>
      <w:r>
        <w:t xml:space="preserve"> Cross-references for "Gamaliel": Num 1:10; Num 7:54.</w:t>
      </w:r>
    </w:p>
  </w:footnote>
  <w:footnote w:id="2688">
    <w:p>
      <w:pPr>
        <w:pStyle w:val="FootnoteText"/>
      </w:pPr>
      <w:r>
        <w:rPr>
          <w:rStyle w:val="FootnoteReference"/>
        </w:rPr>
        <w:footnoteRef/>
      </w:r>
      <w:r>
        <w:t xml:space="preserve"> Cross-references for "Abidan": Num 1:11; Num 7:60.</w:t>
      </w:r>
    </w:p>
  </w:footnote>
  <w:footnote w:id="2689">
    <w:p>
      <w:pPr>
        <w:pStyle w:val="FootnoteText"/>
      </w:pPr>
      <w:r>
        <w:rPr>
          <w:rStyle w:val="FootnoteReference"/>
        </w:rPr>
        <w:footnoteRef/>
      </w:r>
      <w:r>
        <w:t xml:space="preserve"> Cross-references for "the camp": Gen 49:16-17; Num 2:25.</w:t>
      </w:r>
    </w:p>
  </w:footnote>
  <w:footnote w:id="2690">
    <w:p>
      <w:pPr>
        <w:pStyle w:val="FootnoteText"/>
      </w:pPr>
      <w:r>
        <w:rPr>
          <w:rStyle w:val="FootnoteReference"/>
        </w:rPr>
        <w:footnoteRef/>
      </w:r>
      <w:r>
        <w:t xml:space="preserve"> Cross-references for "Pagiel": Num 1:13; Num 7:72.</w:t>
      </w:r>
    </w:p>
  </w:footnote>
  <w:footnote w:id="2691">
    <w:p>
      <w:pPr>
        <w:pStyle w:val="FootnoteText"/>
      </w:pPr>
      <w:r>
        <w:rPr>
          <w:rStyle w:val="FootnoteReference"/>
        </w:rPr>
        <w:footnoteRef/>
      </w:r>
      <w:r>
        <w:t xml:space="preserve"> Cross-references for "Ahira": Num 1:15; Num 7:78.</w:t>
      </w:r>
    </w:p>
  </w:footnote>
  <w:footnote w:id="2692">
    <w:p>
      <w:pPr>
        <w:pStyle w:val="FootnoteText"/>
      </w:pPr>
      <w:r>
        <w:rPr>
          <w:rStyle w:val="FootnoteReference"/>
        </w:rPr>
        <w:footnoteRef/>
      </w:r>
      <w:r>
        <w:t xml:space="preserve"> Personal name: Hobab. Personal-name meaning: Hobab — favored; beloved. Source form: Hobab.</w:t>
      </w:r>
    </w:p>
  </w:footnote>
  <w:footnote w:id="2693">
    <w:p>
      <w:pPr>
        <w:pStyle w:val="FootnoteText"/>
      </w:pPr>
      <w:r>
        <w:rPr>
          <w:rStyle w:val="FootnoteReference"/>
        </w:rPr>
        <w:footnoteRef/>
      </w:r>
      <w:r>
        <w:t xml:space="preserve"> Cross-references for "the Lord": Gen 12:7; Gen 13:15.</w:t>
      </w:r>
    </w:p>
  </w:footnote>
  <w:footnote w:id="2694">
    <w:p>
      <w:pPr>
        <w:pStyle w:val="FootnoteText"/>
      </w:pPr>
      <w:r>
        <w:rPr>
          <w:rStyle w:val="FootnoteReference"/>
        </w:rPr>
        <w:footnoteRef/>
      </w:r>
      <w:r>
        <w:t xml:space="preserve"> Translation note: Greek here is broader than a fixed father-in-law label. Current line keeps the wider kinship term.</w:t>
      </w:r>
    </w:p>
  </w:footnote>
  <w:footnote w:id="2695">
    <w:p>
      <w:pPr>
        <w:pStyle w:val="FootnoteText"/>
      </w:pPr>
      <w:r>
        <w:rPr>
          <w:rStyle w:val="FootnoteReference"/>
        </w:rPr>
        <w:footnoteRef/>
      </w:r>
      <w:r>
        <w:t xml:space="preserve"> Cross-references for "the ark": Deut 9:9; Deut 31:26.</w:t>
      </w:r>
    </w:p>
  </w:footnote>
  <w:footnote w:id="2696">
    <w:p>
      <w:pPr>
        <w:pStyle w:val="FootnoteText"/>
      </w:pPr>
      <w:r>
        <w:rPr>
          <w:rStyle w:val="FootnoteReference"/>
        </w:rPr>
        <w:footnoteRef/>
      </w:r>
      <w:r>
        <w:t xml:space="preserve"> Translation note: Greek says evil things here.</w:t>
      </w:r>
    </w:p>
  </w:footnote>
  <w:footnote w:id="2697">
    <w:p>
      <w:pPr>
        <w:pStyle w:val="FootnoteText"/>
      </w:pPr>
      <w:r>
        <w:rPr>
          <w:rStyle w:val="FootnoteReference"/>
        </w:rPr>
        <w:footnoteRef/>
      </w:r>
      <w:r>
        <w:t xml:space="preserve"> Cross-references for "cried": Num 21:7; Ps 78:34-35.</w:t>
      </w:r>
    </w:p>
  </w:footnote>
  <w:footnote w:id="2698">
    <w:p>
      <w:pPr>
        <w:pStyle w:val="FootnoteText"/>
      </w:pPr>
      <w:r>
        <w:rPr>
          <w:rStyle w:val="FootnoteReference"/>
        </w:rPr>
        <w:footnoteRef/>
      </w:r>
      <w:r>
        <w:t xml:space="preserve"> Cross-references for "the mixed": Exod 12:38; Lev 24:10-11.</w:t>
      </w:r>
    </w:p>
  </w:footnote>
  <w:footnote w:id="2699">
    <w:p>
      <w:pPr>
        <w:pStyle w:val="FootnoteText"/>
      </w:pPr>
      <w:r>
        <w:rPr>
          <w:rStyle w:val="FootnoteReference"/>
        </w:rPr>
        <w:footnoteRef/>
      </w:r>
      <w:r>
        <w:t xml:space="preserve"> Cross-references for "the fish": Exod 16:3; Ps 17:14.</w:t>
      </w:r>
    </w:p>
  </w:footnote>
  <w:footnote w:id="2700">
    <w:p>
      <w:pPr>
        <w:pStyle w:val="FootnoteText"/>
      </w:pPr>
      <w:r>
        <w:rPr>
          <w:rStyle w:val="FootnoteReference"/>
        </w:rPr>
        <w:footnoteRef/>
      </w:r>
      <w:r>
        <w:t xml:space="preserve"> Translation note: Greek states the complaint as life dried up. Current wording preserves that stark wilderness complaint.</w:t>
      </w:r>
    </w:p>
  </w:footnote>
  <w:footnote w:id="2701">
    <w:p>
      <w:pPr>
        <w:pStyle w:val="FootnoteText"/>
      </w:pPr>
      <w:r>
        <w:rPr>
          <w:rStyle w:val="FootnoteReference"/>
        </w:rPr>
        <w:footnoteRef/>
      </w:r>
      <w:r>
        <w:t xml:space="preserve"> Cross-references for "the manna": Exod 16:14-15; Exod 16:31.</w:t>
      </w:r>
    </w:p>
  </w:footnote>
  <w:footnote w:id="2702">
    <w:p>
      <w:pPr>
        <w:pStyle w:val="FootnoteText"/>
      </w:pPr>
      <w:r>
        <w:rPr>
          <w:rStyle w:val="FootnoteReference"/>
        </w:rPr>
        <w:footnoteRef/>
      </w:r>
      <w:r>
        <w:t xml:space="preserve"> Cross-references for "the anger": Num 11:1; Deut 32:22.</w:t>
      </w:r>
    </w:p>
  </w:footnote>
  <w:footnote w:id="2703">
    <w:p>
      <w:pPr>
        <w:pStyle w:val="FootnoteText"/>
      </w:pPr>
      <w:r>
        <w:rPr>
          <w:rStyle w:val="FootnoteReference"/>
        </w:rPr>
        <w:footnoteRef/>
      </w:r>
      <w:r>
        <w:t xml:space="preserve"> Translation note: Greek line matches current rendering closely here.</w:t>
      </w:r>
    </w:p>
  </w:footnote>
  <w:footnote w:id="2704">
    <w:p>
      <w:pPr>
        <w:pStyle w:val="FootnoteText"/>
      </w:pPr>
      <w:r>
        <w:rPr>
          <w:rStyle w:val="FootnoteReference"/>
        </w:rPr>
        <w:footnoteRef/>
      </w:r>
      <w:r>
        <w:t xml:space="preserve"> Translation note: Greek centers Moses' complaint on solitary burden-bearing. Current wording preserves that line.</w:t>
      </w:r>
    </w:p>
  </w:footnote>
  <w:footnote w:id="2705">
    <w:p>
      <w:pPr>
        <w:pStyle w:val="FootnoteText"/>
      </w:pPr>
      <w:r>
        <w:rPr>
          <w:rStyle w:val="FootnoteReference"/>
        </w:rPr>
        <w:footnoteRef/>
      </w:r>
      <w:r>
        <w:t xml:space="preserve"> Cross-references for "kill me": 1Kgs 19:4; Job 3:20-22.</w:t>
      </w:r>
    </w:p>
  </w:footnote>
  <w:footnote w:id="2706">
    <w:p>
      <w:pPr>
        <w:pStyle w:val="FootnoteText"/>
      </w:pPr>
      <w:r>
        <w:rPr>
          <w:rStyle w:val="FootnoteReference"/>
        </w:rPr>
        <w:footnoteRef/>
      </w:r>
      <w:r>
        <w:t xml:space="preserve"> Cross-references for "seventy": Gen 46:27; Exod 4:29.</w:t>
      </w:r>
    </w:p>
  </w:footnote>
  <w:footnote w:id="2707">
    <w:p>
      <w:pPr>
        <w:pStyle w:val="FootnoteText"/>
      </w:pPr>
      <w:r>
        <w:rPr>
          <w:rStyle w:val="FootnoteReference"/>
        </w:rPr>
        <w:footnoteRef/>
      </w:r>
      <w:r>
        <w:t xml:space="preserve"> Cross-references for "I will come": Gen 11:5; Gen 18:21.</w:t>
      </w:r>
    </w:p>
  </w:footnote>
  <w:footnote w:id="2708">
    <w:p>
      <w:pPr>
        <w:pStyle w:val="FootnoteText"/>
      </w:pPr>
      <w:r>
        <w:rPr>
          <w:rStyle w:val="FootnoteReference"/>
        </w:rPr>
        <w:footnoteRef/>
      </w:r>
      <w:r>
        <w:t xml:space="preserve"> Translation note: Greek says who will feed us meat.</w:t>
      </w:r>
    </w:p>
  </w:footnote>
  <w:footnote w:id="2709">
    <w:p>
      <w:pPr>
        <w:pStyle w:val="FootnoteText"/>
      </w:pPr>
      <w:r>
        <w:rPr>
          <w:rStyle w:val="FootnoteReference"/>
        </w:rPr>
        <w:footnoteRef/>
      </w:r>
      <w:r>
        <w:t xml:space="preserve"> Translation note: Greek says Who will feed us with meat?</w:t>
      </w:r>
    </w:p>
  </w:footnote>
  <w:footnote w:id="2710">
    <w:p>
      <w:pPr>
        <w:pStyle w:val="FootnoteText"/>
      </w:pPr>
      <w:r>
        <w:rPr>
          <w:rStyle w:val="FootnoteReference"/>
        </w:rPr>
        <w:footnoteRef/>
      </w:r>
      <w:r>
        <w:t xml:space="preserve"> Translation note: Greek says who will feed us with meat.</w:t>
      </w:r>
    </w:p>
  </w:footnote>
  <w:footnote w:id="2711">
    <w:p>
      <w:pPr>
        <w:pStyle w:val="FootnoteText"/>
      </w:pPr>
      <w:r>
        <w:rPr>
          <w:rStyle w:val="FootnoteReference"/>
        </w:rPr>
        <w:footnoteRef/>
      </w:r>
      <w:r>
        <w:t xml:space="preserve"> Translation note: Greek uses feeding language here.</w:t>
      </w:r>
    </w:p>
  </w:footnote>
  <w:footnote w:id="2712">
    <w:p>
      <w:pPr>
        <w:pStyle w:val="FootnoteText"/>
      </w:pPr>
      <w:r>
        <w:rPr>
          <w:rStyle w:val="FootnoteReference"/>
        </w:rPr>
        <w:footnoteRef/>
      </w:r>
      <w:r>
        <w:t xml:space="preserve"> Translation note: Greek gives a blunt rhetorical question before the promise. Current wording preserves that challenge.</w:t>
      </w:r>
    </w:p>
  </w:footnote>
  <w:footnote w:id="2713">
    <w:p>
      <w:pPr>
        <w:pStyle w:val="FootnoteText"/>
      </w:pPr>
      <w:r>
        <w:rPr>
          <w:rStyle w:val="FootnoteReference"/>
        </w:rPr>
        <w:footnoteRef/>
      </w:r>
      <w:r>
        <w:t xml:space="preserve"> Cross-references for "Is the Lord's": Gen 18:14; Ps 78:41.</w:t>
      </w:r>
    </w:p>
  </w:footnote>
  <w:footnote w:id="2714">
    <w:p>
      <w:pPr>
        <w:pStyle w:val="FootnoteText"/>
      </w:pPr>
      <w:r>
        <w:rPr>
          <w:rStyle w:val="FootnoteReference"/>
        </w:rPr>
        <w:footnoteRef/>
      </w:r>
      <w:r>
        <w:t xml:space="preserve"> Cross-references for "gathered": Num 11:16; Num 11:26.</w:t>
      </w:r>
    </w:p>
  </w:footnote>
  <w:footnote w:id="2715">
    <w:p>
      <w:pPr>
        <w:pStyle w:val="FootnoteText"/>
      </w:pPr>
      <w:r>
        <w:rPr>
          <w:rStyle w:val="FootnoteReference"/>
        </w:rPr>
        <w:footnoteRef/>
      </w:r>
      <w:r>
        <w:t xml:space="preserve"> Cross-references for "came down": Exod 34:5; Exod 40:38.</w:t>
      </w:r>
    </w:p>
  </w:footnote>
  <w:footnote w:id="2716">
    <w:p>
      <w:pPr>
        <w:pStyle w:val="FootnoteText"/>
      </w:pPr>
      <w:r>
        <w:rPr>
          <w:rStyle w:val="FootnoteReference"/>
        </w:rPr>
        <w:footnoteRef/>
      </w:r>
      <w:r>
        <w:t xml:space="preserve"> Translation note: Greek says literally they did not add or continue. The translation keeps that idiom rather than choosing the more interpretive did not cease.</w:t>
      </w:r>
    </w:p>
  </w:footnote>
  <w:footnote w:id="2717">
    <w:p>
      <w:pPr>
        <w:pStyle w:val="FootnoteText"/>
      </w:pPr>
      <w:r>
        <w:rPr>
          <w:rStyle w:val="FootnoteReference"/>
        </w:rPr>
        <w:footnoteRef/>
      </w:r>
      <w:r>
        <w:t xml:space="preserve"> Personal name: Eldad. Personal-name meaning: Eldad — favored of God; love of God. Source form: Eldad.</w:t>
      </w:r>
    </w:p>
  </w:footnote>
  <w:footnote w:id="2718">
    <w:p>
      <w:pPr>
        <w:pStyle w:val="FootnoteText"/>
      </w:pPr>
      <w:r>
        <w:rPr>
          <w:rStyle w:val="FootnoteReference"/>
        </w:rPr>
        <w:footnoteRef/>
      </w:r>
      <w:r>
        <w:t xml:space="preserve"> Personal name: Medad. Personal-name meaning: Medad — he that measures; water of love. Source form: Medad.</w:t>
      </w:r>
    </w:p>
  </w:footnote>
  <w:footnote w:id="2719">
    <w:p>
      <w:pPr>
        <w:pStyle w:val="FootnoteText"/>
      </w:pPr>
      <w:r>
        <w:rPr>
          <w:rStyle w:val="FootnoteReference"/>
        </w:rPr>
        <w:footnoteRef/>
      </w:r>
      <w:r>
        <w:t xml:space="preserve"> Translation note: Greek preserves the name form Modad. The translation follows it.</w:t>
      </w:r>
    </w:p>
  </w:footnote>
  <w:footnote w:id="2720">
    <w:p>
      <w:pPr>
        <w:pStyle w:val="FootnoteText"/>
      </w:pPr>
      <w:r>
        <w:rPr>
          <w:rStyle w:val="FootnoteReference"/>
        </w:rPr>
        <w:footnoteRef/>
      </w:r>
      <w:r>
        <w:t xml:space="preserve"> Cross-references for "Joshua": Exod 17:9.</w:t>
      </w:r>
    </w:p>
  </w:footnote>
  <w:footnote w:id="2721">
    <w:p>
      <w:pPr>
        <w:pStyle w:val="FootnoteText"/>
      </w:pPr>
      <w:r>
        <w:rPr>
          <w:rStyle w:val="FootnoteReference"/>
        </w:rPr>
        <w:footnoteRef/>
      </w:r>
      <w:r>
        <w:t xml:space="preserve"> Cross-references for "a wind": Exod 10:13; Exod 10:19.</w:t>
      </w:r>
    </w:p>
  </w:footnote>
  <w:footnote w:id="2722">
    <w:p>
      <w:pPr>
        <w:pStyle w:val="FootnoteText"/>
      </w:pPr>
      <w:r>
        <w:rPr>
          <w:rStyle w:val="FootnoteReference"/>
        </w:rPr>
        <w:footnoteRef/>
      </w:r>
      <w:r>
        <w:t xml:space="preserve"> Translation note: Greek says swept quail from the sea and threw them over the camp.</w:t>
      </w:r>
    </w:p>
  </w:footnote>
  <w:footnote w:id="2723">
    <w:p>
      <w:pPr>
        <w:pStyle w:val="FootnoteText"/>
      </w:pPr>
      <w:r>
        <w:rPr>
          <w:rStyle w:val="FootnoteReference"/>
        </w:rPr>
        <w:footnoteRef/>
      </w:r>
      <w:r>
        <w:t xml:space="preserve"> Place name: Hazeroth. Place-name meaning: Hazeroth — villages; palaces. Source form: Hazeroth. Greek form: ασηρωθ.</w:t>
      </w:r>
    </w:p>
  </w:footnote>
  <w:footnote w:id="2724">
    <w:p>
      <w:pPr>
        <w:pStyle w:val="FootnoteText"/>
      </w:pPr>
      <w:r>
        <w:rPr>
          <w:rStyle w:val="FootnoteReference"/>
        </w:rPr>
        <w:footnoteRef/>
      </w:r>
      <w:r>
        <w:t xml:space="preserve"> Cross-references for "Miriam": Matt 10:36; Matt 12:48.</w:t>
      </w:r>
    </w:p>
  </w:footnote>
  <w:footnote w:id="2725">
    <w:p>
      <w:pPr>
        <w:pStyle w:val="FootnoteText"/>
      </w:pPr>
      <w:r>
        <w:rPr>
          <w:rStyle w:val="FootnoteReference"/>
        </w:rPr>
        <w:footnoteRef/>
      </w:r>
      <w:r>
        <w:t xml:space="preserve"> Cross-references for "very": Ps 147:6; Ps 149:4.</w:t>
      </w:r>
    </w:p>
  </w:footnote>
  <w:footnote w:id="2726">
    <w:p>
      <w:pPr>
        <w:pStyle w:val="FootnoteText"/>
      </w:pPr>
      <w:r>
        <w:rPr>
          <w:rStyle w:val="FootnoteReference"/>
        </w:rPr>
        <w:footnoteRef/>
      </w:r>
      <w:r>
        <w:t xml:space="preserve"> Cross-references for "the Lord": Ps 76:9.</w:t>
      </w:r>
    </w:p>
  </w:footnote>
  <w:footnote w:id="2727">
    <w:p>
      <w:pPr>
        <w:pStyle w:val="FootnoteText"/>
      </w:pPr>
      <w:r>
        <w:rPr>
          <w:rStyle w:val="FootnoteReference"/>
        </w:rPr>
        <w:footnoteRef/>
      </w:r>
      <w:r>
        <w:t xml:space="preserve"> Translation note: Greek uses a direct theophanic descent line. Current wording preserves it.</w:t>
      </w:r>
    </w:p>
  </w:footnote>
  <w:footnote w:id="2728">
    <w:p>
      <w:pPr>
        <w:pStyle w:val="FootnoteText"/>
      </w:pPr>
      <w:r>
        <w:rPr>
          <w:rStyle w:val="FootnoteReference"/>
        </w:rPr>
        <w:footnoteRef/>
      </w:r>
      <w:r>
        <w:t xml:space="preserve"> Cross-references for "a prophet": Gen 20:7; Exod 7:1.</w:t>
      </w:r>
    </w:p>
  </w:footnote>
  <w:footnote w:id="2729">
    <w:p>
      <w:pPr>
        <w:pStyle w:val="FootnoteText"/>
      </w:pPr>
      <w:r>
        <w:rPr>
          <w:rStyle w:val="FootnoteReference"/>
        </w:rPr>
        <w:footnoteRef/>
      </w:r>
      <w:r>
        <w:t xml:space="preserve"> Cross-references for "my servant": Deut 18:18; Ps 105:26.</w:t>
      </w:r>
    </w:p>
  </w:footnote>
  <w:footnote w:id="2730">
    <w:p>
      <w:pPr>
        <w:pStyle w:val="FootnoteText"/>
      </w:pPr>
      <w:r>
        <w:rPr>
          <w:rStyle w:val="FootnoteReference"/>
        </w:rPr>
        <w:footnoteRef/>
      </w:r>
      <w:r>
        <w:t xml:space="preserve"> Translation note: The Greek uses a direct-contact expression here in contrast to visions and riddles. This draft keeps that sharp contrast visible.</w:t>
      </w:r>
    </w:p>
  </w:footnote>
  <w:footnote w:id="2731">
    <w:p>
      <w:pPr>
        <w:pStyle w:val="FootnoteText"/>
      </w:pPr>
      <w:r>
        <w:rPr>
          <w:rStyle w:val="FootnoteReference"/>
        </w:rPr>
        <w:footnoteRef/>
      </w:r>
      <w:r>
        <w:t xml:space="preserve"> Cross-references for "Mouth": Num 14:14.</w:t>
      </w:r>
    </w:p>
  </w:footnote>
  <w:footnote w:id="2732">
    <w:p>
      <w:pPr>
        <w:pStyle w:val="FootnoteText"/>
      </w:pPr>
      <w:r>
        <w:rPr>
          <w:rStyle w:val="FootnoteReference"/>
        </w:rPr>
        <w:footnoteRef/>
      </w:r>
      <w:r>
        <w:t xml:space="preserve"> Cross-references for "the cloud": Exod 33:7-10; Ezek 10:4-5.</w:t>
      </w:r>
    </w:p>
  </w:footnote>
  <w:footnote w:id="2733">
    <w:p>
      <w:pPr>
        <w:pStyle w:val="FootnoteText"/>
      </w:pPr>
      <w:r>
        <w:rPr>
          <w:rStyle w:val="FootnoteReference"/>
        </w:rPr>
        <w:footnoteRef/>
      </w:r>
      <w:r>
        <w:t xml:space="preserve"> Cross-references for "spit": Deut 25:9; Job 30:10.</w:t>
      </w:r>
    </w:p>
  </w:footnote>
  <w:footnote w:id="2734">
    <w:p>
      <w:pPr>
        <w:pStyle w:val="FootnoteText"/>
      </w:pPr>
      <w:r>
        <w:rPr>
          <w:rStyle w:val="FootnoteReference"/>
        </w:rPr>
        <w:footnoteRef/>
      </w:r>
      <w:r>
        <w:t xml:space="preserve"> Cross-references for "Hazeroth": Deut 2:23.</w:t>
      </w:r>
    </w:p>
  </w:footnote>
  <w:footnote w:id="2735">
    <w:p>
      <w:pPr>
        <w:pStyle w:val="FootnoteText"/>
      </w:pPr>
      <w:r>
        <w:rPr>
          <w:rStyle w:val="FootnoteReference"/>
        </w:rPr>
        <w:footnoteRef/>
      </w:r>
      <w:r>
        <w:t xml:space="preserve"> Personal name: Shammua. Personal-name meaning: Shammua — he that is heard; he that is obeyed. Source form: Shammua.</w:t>
      </w:r>
    </w:p>
  </w:footnote>
  <w:footnote w:id="2736">
    <w:p>
      <w:pPr>
        <w:pStyle w:val="FootnoteText"/>
      </w:pPr>
      <w:r>
        <w:rPr>
          <w:rStyle w:val="FootnoteReference"/>
        </w:rPr>
        <w:footnoteRef/>
      </w:r>
      <w:r>
        <w:t xml:space="preserve"> Personal name: Zaccur. Personal-name meaning: Zaccur — of the male kind; mindful. Source form: Zaccur.</w:t>
      </w:r>
    </w:p>
  </w:footnote>
  <w:footnote w:id="2737">
    <w:p>
      <w:pPr>
        <w:pStyle w:val="FootnoteText"/>
      </w:pPr>
      <w:r>
        <w:rPr>
          <w:rStyle w:val="FootnoteReference"/>
        </w:rPr>
        <w:footnoteRef/>
      </w:r>
      <w:r>
        <w:t xml:space="preserve"> Personal name: Shaphat. Personal-name meaning: Shaphat — judge. Source form: Shaphat.</w:t>
      </w:r>
    </w:p>
  </w:footnote>
  <w:footnote w:id="2738">
    <w:p>
      <w:pPr>
        <w:pStyle w:val="FootnoteText"/>
      </w:pPr>
      <w:r>
        <w:rPr>
          <w:rStyle w:val="FootnoteReference"/>
        </w:rPr>
        <w:footnoteRef/>
      </w:r>
      <w:r>
        <w:t xml:space="preserve"> Personal name: Hori. Personal-name meaning: Hori — a prince; freeborn. Source form: Hori.</w:t>
      </w:r>
    </w:p>
  </w:footnote>
  <w:footnote w:id="2739">
    <w:p>
      <w:pPr>
        <w:pStyle w:val="FootnoteText"/>
      </w:pPr>
      <w:r>
        <w:rPr>
          <w:rStyle w:val="FootnoteReference"/>
        </w:rPr>
        <w:footnoteRef/>
      </w:r>
      <w:r>
        <w:t xml:space="preserve"> Name meaning: Caleb (Kalev) — Whole-hearted; dog. Followed the LORD fully; faithful like a dog.</w:t>
      </w:r>
    </w:p>
  </w:footnote>
  <w:footnote w:id="2740">
    <w:p>
      <w:pPr>
        <w:pStyle w:val="FootnoteText"/>
      </w:pPr>
      <w:r>
        <w:rPr>
          <w:rStyle w:val="FootnoteReference"/>
        </w:rPr>
        <w:footnoteRef/>
      </w:r>
      <w:r>
        <w:t xml:space="preserve"> Personal name: Jephunneh. Personal-name meaning: Jephunneh — he that beholds. Source form: Jephunneh.</w:t>
      </w:r>
    </w:p>
  </w:footnote>
  <w:footnote w:id="2741">
    <w:p>
      <w:pPr>
        <w:pStyle w:val="FootnoteText"/>
      </w:pPr>
      <w:r>
        <w:rPr>
          <w:rStyle w:val="FootnoteReference"/>
        </w:rPr>
        <w:footnoteRef/>
      </w:r>
      <w:r>
        <w:t xml:space="preserve"> Cross-references for "Caleb": Num 13:30; Num 14:6.</w:t>
      </w:r>
    </w:p>
  </w:footnote>
  <w:footnote w:id="2742">
    <w:p>
      <w:pPr>
        <w:pStyle w:val="FootnoteText"/>
      </w:pPr>
      <w:r>
        <w:rPr>
          <w:rStyle w:val="FootnoteReference"/>
        </w:rPr>
        <w:footnoteRef/>
      </w:r>
      <w:r>
        <w:t xml:space="preserve"> Personal name: Igal. Personal-name meaning: Igal — redeemed; defiled. Source form: Igal.</w:t>
      </w:r>
    </w:p>
  </w:footnote>
  <w:footnote w:id="2743">
    <w:p>
      <w:pPr>
        <w:pStyle w:val="FootnoteText"/>
      </w:pPr>
      <w:r>
        <w:rPr>
          <w:rStyle w:val="FootnoteReference"/>
        </w:rPr>
        <w:footnoteRef/>
      </w:r>
      <w:r>
        <w:t xml:space="preserve"> Personal name: Hoshea. Personal-name meaning: Hoshea — savior; safety. Source form: Hoshea.</w:t>
      </w:r>
    </w:p>
  </w:footnote>
  <w:footnote w:id="2744">
    <w:p>
      <w:pPr>
        <w:pStyle w:val="FootnoteText"/>
      </w:pPr>
      <w:r>
        <w:rPr>
          <w:rStyle w:val="FootnoteReference"/>
        </w:rPr>
        <w:footnoteRef/>
      </w:r>
      <w:r>
        <w:t xml:space="preserve"> Personal name: Palti. Personal-name meaning: Palti — deliverance; flight. Source form: Palti.</w:t>
      </w:r>
    </w:p>
  </w:footnote>
  <w:footnote w:id="2745">
    <w:p>
      <w:pPr>
        <w:pStyle w:val="FootnoteText"/>
      </w:pPr>
      <w:r>
        <w:rPr>
          <w:rStyle w:val="FootnoteReference"/>
        </w:rPr>
        <w:footnoteRef/>
      </w:r>
      <w:r>
        <w:t xml:space="preserve"> Personal name: Raphu. Personal-name meaning: Raphu — relaxation; physic; comfort. Source form: Raphu.</w:t>
      </w:r>
    </w:p>
  </w:footnote>
  <w:footnote w:id="2746">
    <w:p>
      <w:pPr>
        <w:pStyle w:val="FootnoteText"/>
      </w:pPr>
      <w:r>
        <w:rPr>
          <w:rStyle w:val="FootnoteReference"/>
        </w:rPr>
        <w:footnoteRef/>
      </w:r>
      <w:r>
        <w:t xml:space="preserve"> Personal name: Gaddiel. Personal-name meaning: Gaddiel — goat of God; the Lord my happiness. Source form: Gaddiel.</w:t>
      </w:r>
    </w:p>
  </w:footnote>
  <w:footnote w:id="2747">
    <w:p>
      <w:pPr>
        <w:pStyle w:val="FootnoteText"/>
      </w:pPr>
      <w:r>
        <w:rPr>
          <w:rStyle w:val="FootnoteReference"/>
        </w:rPr>
        <w:footnoteRef/>
      </w:r>
      <w:r>
        <w:t xml:space="preserve"> Personal name: Sodi. Personal-name meaning: Sodi — my secret. Source form: Sodi.</w:t>
      </w:r>
    </w:p>
  </w:footnote>
  <w:footnote w:id="2748">
    <w:p>
      <w:pPr>
        <w:pStyle w:val="FootnoteText"/>
      </w:pPr>
      <w:r>
        <w:rPr>
          <w:rStyle w:val="FootnoteReference"/>
        </w:rPr>
        <w:footnoteRef/>
      </w:r>
      <w:r>
        <w:t xml:space="preserve"> Personal name: Gaddi. Personal-name meaning: Gaddi — my troop; a kid. Source form: Gaddi.</w:t>
      </w:r>
    </w:p>
  </w:footnote>
  <w:footnote w:id="2749">
    <w:p>
      <w:pPr>
        <w:pStyle w:val="FootnoteText"/>
      </w:pPr>
      <w:r>
        <w:rPr>
          <w:rStyle w:val="FootnoteReference"/>
        </w:rPr>
        <w:footnoteRef/>
      </w:r>
      <w:r>
        <w:t xml:space="preserve"> Personal name: Susi. Personal-name meaning: Susi — horse; swallow; moth. Source form: Susi.</w:t>
      </w:r>
    </w:p>
  </w:footnote>
  <w:footnote w:id="2750">
    <w:p>
      <w:pPr>
        <w:pStyle w:val="FootnoteText"/>
      </w:pPr>
      <w:r>
        <w:rPr>
          <w:rStyle w:val="FootnoteReference"/>
        </w:rPr>
        <w:footnoteRef/>
      </w:r>
      <w:r>
        <w:t xml:space="preserve"> Personal name: Ammiel. Personal-name meaning: Ammiel — the people of God. Source form: Ammiel.</w:t>
      </w:r>
    </w:p>
  </w:footnote>
  <w:footnote w:id="2751">
    <w:p>
      <w:pPr>
        <w:pStyle w:val="FootnoteText"/>
      </w:pPr>
      <w:r>
        <w:rPr>
          <w:rStyle w:val="FootnoteReference"/>
        </w:rPr>
        <w:footnoteRef/>
      </w:r>
      <w:r>
        <w:t xml:space="preserve"> Personal name: Gemalli. Personal-name meaning: Gemalli — wares; a camel. Source form: Gemalli.</w:t>
      </w:r>
    </w:p>
  </w:footnote>
  <w:footnote w:id="2752">
    <w:p>
      <w:pPr>
        <w:pStyle w:val="FootnoteText"/>
      </w:pPr>
      <w:r>
        <w:rPr>
          <w:rStyle w:val="FootnoteReference"/>
        </w:rPr>
        <w:footnoteRef/>
      </w:r>
      <w:r>
        <w:t xml:space="preserve"> Personal name: Sethur. Personal-name meaning: Sethur — hid; destroying. Source form: Sethur.</w:t>
      </w:r>
    </w:p>
  </w:footnote>
  <w:footnote w:id="2753">
    <w:p>
      <w:pPr>
        <w:pStyle w:val="FootnoteText"/>
      </w:pPr>
      <w:r>
        <w:rPr>
          <w:rStyle w:val="FootnoteReference"/>
        </w:rPr>
        <w:footnoteRef/>
      </w:r>
      <w:r>
        <w:t xml:space="preserve"> Divine or supernatural name: Michael. Divine/supernatural-name meaning: Michael — Who is like God?. Source form: Michael.</w:t>
      </w:r>
    </w:p>
  </w:footnote>
  <w:footnote w:id="2754">
    <w:p>
      <w:pPr>
        <w:pStyle w:val="FootnoteText"/>
      </w:pPr>
      <w:r>
        <w:rPr>
          <w:rStyle w:val="FootnoteReference"/>
        </w:rPr>
        <w:footnoteRef/>
      </w:r>
      <w:r>
        <w:t xml:space="preserve"> Personal name: Nahbi. Personal-name meaning: Nahbi — very secret. Source form: Nahbi.</w:t>
      </w:r>
    </w:p>
  </w:footnote>
  <w:footnote w:id="2755">
    <w:p>
      <w:pPr>
        <w:pStyle w:val="FootnoteText"/>
      </w:pPr>
      <w:r>
        <w:rPr>
          <w:rStyle w:val="FootnoteReference"/>
        </w:rPr>
        <w:footnoteRef/>
      </w:r>
      <w:r>
        <w:t xml:space="preserve"> Personal name: Vophsi. Personal-name meaning: Vophsi — fragrant; diminution. Source form: Vophsi.</w:t>
      </w:r>
    </w:p>
  </w:footnote>
  <w:footnote w:id="2756">
    <w:p>
      <w:pPr>
        <w:pStyle w:val="FootnoteText"/>
      </w:pPr>
      <w:r>
        <w:rPr>
          <w:rStyle w:val="FootnoteReference"/>
        </w:rPr>
        <w:footnoteRef/>
      </w:r>
      <w:r>
        <w:t xml:space="preserve"> Personal name: Machi. Personal-name meaning: Machi — poor; a smiter. Source form: Machi.</w:t>
      </w:r>
    </w:p>
  </w:footnote>
  <w:footnote w:id="2757">
    <w:p>
      <w:pPr>
        <w:pStyle w:val="FootnoteText"/>
      </w:pPr>
      <w:r>
        <w:rPr>
          <w:rStyle w:val="FootnoteReference"/>
        </w:rPr>
        <w:footnoteRef/>
      </w:r>
      <w:r>
        <w:t xml:space="preserve"> Translation note: Greek says spring days and firstfruits of grape.</w:t>
      </w:r>
    </w:p>
  </w:footnote>
  <w:footnote w:id="2758">
    <w:p>
      <w:pPr>
        <w:pStyle w:val="FootnoteText"/>
      </w:pPr>
      <w:r>
        <w:rPr>
          <w:rStyle w:val="FootnoteReference"/>
        </w:rPr>
        <w:footnoteRef/>
      </w:r>
      <w:r>
        <w:t xml:space="preserve"> Transliterated proper noun: Rehob. Standard English equivalent: Rehob. Source form: Rehob. Greek form: ερημου. Name meaning: breadth; space; extent.</w:t>
      </w:r>
    </w:p>
  </w:footnote>
  <w:footnote w:id="2759">
    <w:p>
      <w:pPr>
        <w:pStyle w:val="FootnoteText"/>
      </w:pPr>
      <w:r>
        <w:rPr>
          <w:rStyle w:val="FootnoteReference"/>
        </w:rPr>
        <w:footnoteRef/>
      </w:r>
      <w:r>
        <w:t xml:space="preserve"> Place name: Hamath. Place-name meaning: Hamath — anger; heat; a wall. Source form: Hamath. Greek form: εφααθ.</w:t>
      </w:r>
    </w:p>
  </w:footnote>
  <w:footnote w:id="2760">
    <w:p>
      <w:pPr>
        <w:pStyle w:val="FootnoteText"/>
      </w:pPr>
      <w:r>
        <w:rPr>
          <w:rStyle w:val="FootnoteReference"/>
        </w:rPr>
        <w:footnoteRef/>
      </w:r>
      <w:r>
        <w:t xml:space="preserve"> Cross-references for "Rehob": Josh 19:28; Judg 1:31.</w:t>
      </w:r>
    </w:p>
  </w:footnote>
  <w:footnote w:id="2761">
    <w:p>
      <w:pPr>
        <w:pStyle w:val="FootnoteText"/>
      </w:pPr>
      <w:r>
        <w:rPr>
          <w:rStyle w:val="FootnoteReference"/>
        </w:rPr>
        <w:footnoteRef/>
      </w:r>
      <w:r>
        <w:t xml:space="preserve"> Personal name: Ahiman. Personal-name meaning: Ahiman — brother of the right hand. Source form: Ahiman.</w:t>
      </w:r>
    </w:p>
  </w:footnote>
  <w:footnote w:id="2762">
    <w:p>
      <w:pPr>
        <w:pStyle w:val="FootnoteText"/>
      </w:pPr>
      <w:r>
        <w:rPr>
          <w:rStyle w:val="FootnoteReference"/>
        </w:rPr>
        <w:footnoteRef/>
      </w:r>
      <w:r>
        <w:t xml:space="preserve"> Personal name: Sheshai. Personal-name meaning: Sheshai — six; mercy; flax. Source form: Sheshai.</w:t>
      </w:r>
    </w:p>
  </w:footnote>
  <w:footnote w:id="2763">
    <w:p>
      <w:pPr>
        <w:pStyle w:val="FootnoteText"/>
      </w:pPr>
      <w:r>
        <w:rPr>
          <w:rStyle w:val="FootnoteReference"/>
        </w:rPr>
        <w:footnoteRef/>
      </w:r>
      <w:r>
        <w:t xml:space="preserve"> Personal name: Talmai. Personal-name meaning: Talmai — my furrow; that suspends the waters; heap of waters. Source form: Talmai.</w:t>
      </w:r>
    </w:p>
  </w:footnote>
  <w:footnote w:id="2764">
    <w:p>
      <w:pPr>
        <w:pStyle w:val="FootnoteText"/>
      </w:pPr>
      <w:r>
        <w:rPr>
          <w:rStyle w:val="FootnoteReference"/>
        </w:rPr>
        <w:footnoteRef/>
      </w:r>
      <w:r>
        <w:t xml:space="preserve"> Personal name: Anak. Personal-name meaning: Anak — a collar; ornament. Source form: Anak.</w:t>
      </w:r>
    </w:p>
  </w:footnote>
  <w:footnote w:id="2765">
    <w:p>
      <w:pPr>
        <w:pStyle w:val="FootnoteText"/>
      </w:pPr>
      <w:r>
        <w:rPr>
          <w:rStyle w:val="FootnoteReference"/>
        </w:rPr>
        <w:footnoteRef/>
      </w:r>
      <w:r>
        <w:t xml:space="preserve"> Place name: Zoan. Place-name meaning: Zoan — motion. Source form: Zoan.</w:t>
      </w:r>
    </w:p>
  </w:footnote>
  <w:footnote w:id="2766">
    <w:p>
      <w:pPr>
        <w:pStyle w:val="FootnoteText"/>
      </w:pPr>
      <w:r>
        <w:rPr>
          <w:rStyle w:val="FootnoteReference"/>
        </w:rPr>
        <w:footnoteRef/>
      </w:r>
      <w:r>
        <w:t xml:space="preserve"> Cross-references for "Ahiman": Josh 11:21-22; Josh 15:13-14.</w:t>
      </w:r>
    </w:p>
  </w:footnote>
  <w:footnote w:id="2767">
    <w:p>
      <w:pPr>
        <w:pStyle w:val="FootnoteText"/>
      </w:pPr>
      <w:r>
        <w:rPr>
          <w:rStyle w:val="FootnoteReference"/>
        </w:rPr>
        <w:footnoteRef/>
      </w:r>
      <w:r>
        <w:t xml:space="preserve"> Cross-references for "forty days": Exod 24:18; Exod 34:28.</w:t>
      </w:r>
    </w:p>
  </w:footnote>
  <w:footnote w:id="2768">
    <w:p>
      <w:pPr>
        <w:pStyle w:val="FootnoteText"/>
      </w:pPr>
      <w:r>
        <w:rPr>
          <w:rStyle w:val="FootnoteReference"/>
        </w:rPr>
        <w:footnoteRef/>
      </w:r>
      <w:r>
        <w:t xml:space="preserve"> Translation note: Greek runs the place names together more directly. The translation keeps that compact location string.</w:t>
      </w:r>
    </w:p>
  </w:footnote>
  <w:footnote w:id="2769">
    <w:p>
      <w:pPr>
        <w:pStyle w:val="FootnoteText"/>
      </w:pPr>
      <w:r>
        <w:rPr>
          <w:rStyle w:val="FootnoteReference"/>
        </w:rPr>
        <w:footnoteRef/>
      </w:r>
      <w:r>
        <w:t xml:space="preserve"> Cross-references for "Kadesh": Num 20:1; Num 20:16.</w:t>
      </w:r>
    </w:p>
  </w:footnote>
  <w:footnote w:id="2770">
    <w:p>
      <w:pPr>
        <w:pStyle w:val="FootnoteText"/>
      </w:pPr>
      <w:r>
        <w:rPr>
          <w:rStyle w:val="FootnoteReference"/>
        </w:rPr>
        <w:footnoteRef/>
      </w:r>
      <w:r>
        <w:t xml:space="preserve"> Cross-references for "brought": Num 14:36-37; Deut 1:28.</w:t>
      </w:r>
    </w:p>
  </w:footnote>
  <w:footnote w:id="2771">
    <w:p>
      <w:pPr>
        <w:pStyle w:val="FootnoteText"/>
      </w:pPr>
      <w:r>
        <w:rPr>
          <w:rStyle w:val="FootnoteReference"/>
        </w:rPr>
        <w:footnoteRef/>
      </w:r>
      <w:r>
        <w:t xml:space="preserve"> Translation note: Greek says they brought an alarming report of the land.</w:t>
      </w:r>
    </w:p>
  </w:footnote>
  <w:footnote w:id="2772">
    <w:p>
      <w:pPr>
        <w:pStyle w:val="FootnoteText"/>
      </w:pPr>
      <w:r>
        <w:rPr>
          <w:rStyle w:val="FootnoteReference"/>
        </w:rPr>
        <w:footnoteRef/>
      </w:r>
      <w:r>
        <w:t xml:space="preserve"> Translation note: Greek says they brought ecstasis on the land.</w:t>
      </w:r>
    </w:p>
  </w:footnote>
  <w:footnote w:id="2773">
    <w:p>
      <w:pPr>
        <w:pStyle w:val="FootnoteText"/>
      </w:pPr>
      <w:r>
        <w:rPr>
          <w:rStyle w:val="FootnoteReference"/>
        </w:rPr>
        <w:footnoteRef/>
      </w:r>
      <w:r>
        <w:t xml:space="preserve"> Translation note: Greek says they brought out consternation of land.</w:t>
      </w:r>
    </w:p>
  </w:footnote>
  <w:footnote w:id="2774">
    <w:p>
      <w:pPr>
        <w:pStyle w:val="FootnoteText"/>
      </w:pPr>
      <w:r>
        <w:rPr>
          <w:rStyle w:val="FootnoteReference"/>
        </w:rPr>
        <w:footnoteRef/>
      </w:r>
      <w:r>
        <w:t xml:space="preserve"> Translation note: Greek says they brought out consternation/ecstasy of land.</w:t>
      </w:r>
    </w:p>
  </w:footnote>
  <w:footnote w:id="2775">
    <w:p>
      <w:pPr>
        <w:pStyle w:val="FootnoteText"/>
      </w:pPr>
      <w:r>
        <w:rPr>
          <w:rStyle w:val="FootnoteReference"/>
        </w:rPr>
        <w:footnoteRef/>
      </w:r>
      <w:r>
        <w:t xml:space="preserve"> Cross-references for "saw the giants": Num 13:22; Deut 1:28.</w:t>
      </w:r>
    </w:p>
  </w:footnote>
  <w:footnote w:id="2776">
    <w:p>
      <w:pPr>
        <w:pStyle w:val="FootnoteText"/>
      </w:pPr>
      <w:r>
        <w:rPr>
          <w:rStyle w:val="FootnoteReference"/>
        </w:rPr>
        <w:footnoteRef/>
      </w:r>
      <w:r>
        <w:t xml:space="preserve"> Cross-references for "the Lord": Ps 78:40; Jer 9:3.</w:t>
      </w:r>
    </w:p>
  </w:footnote>
  <w:footnote w:id="2777">
    <w:p>
      <w:pPr>
        <w:pStyle w:val="FootnoteText"/>
      </w:pPr>
      <w:r>
        <w:rPr>
          <w:rStyle w:val="FootnoteReference"/>
        </w:rPr>
        <w:footnoteRef/>
      </w:r>
      <w:r>
        <w:t xml:space="preserve"> Cross-references for "Joshua": Num 13:6; Num 13:8.</w:t>
      </w:r>
    </w:p>
  </w:footnote>
  <w:footnote w:id="2778">
    <w:p>
      <w:pPr>
        <w:pStyle w:val="FootnoteText"/>
      </w:pPr>
      <w:r>
        <w:rPr>
          <w:rStyle w:val="FootnoteReference"/>
        </w:rPr>
        <w:footnoteRef/>
      </w:r>
      <w:r>
        <w:t xml:space="preserve"> Cross-references for "the Lord": Gen 48:21; Exod 33:16.</w:t>
      </w:r>
    </w:p>
  </w:footnote>
  <w:footnote w:id="2779">
    <w:p>
      <w:pPr>
        <w:pStyle w:val="FootnoteText"/>
      </w:pPr>
      <w:r>
        <w:rPr>
          <w:rStyle w:val="FootnoteReference"/>
        </w:rPr>
        <w:footnoteRef/>
      </w:r>
      <w:r>
        <w:t xml:space="preserve"> Cross-references for "How long will this": Exod 10:3; Exod 16:28.</w:t>
      </w:r>
    </w:p>
  </w:footnote>
  <w:footnote w:id="2780">
    <w:p>
      <w:pPr>
        <w:pStyle w:val="FootnoteText"/>
      </w:pPr>
      <w:r>
        <w:rPr>
          <w:rStyle w:val="FootnoteReference"/>
        </w:rPr>
        <w:footnoteRef/>
      </w:r>
      <w:r>
        <w:t xml:space="preserve"> Cross-references for "will make": Exod 32:10.</w:t>
      </w:r>
    </w:p>
  </w:footnote>
  <w:footnote w:id="2781">
    <w:p>
      <w:pPr>
        <w:pStyle w:val="FootnoteText"/>
      </w:pPr>
      <w:r>
        <w:rPr>
          <w:rStyle w:val="FootnoteReference"/>
        </w:rPr>
        <w:footnoteRef/>
      </w:r>
      <w:r>
        <w:t xml:space="preserve"> Translation note: Greek says seen eye to eye.</w:t>
      </w:r>
    </w:p>
  </w:footnote>
  <w:footnote w:id="2782">
    <w:p>
      <w:pPr>
        <w:pStyle w:val="FootnoteText"/>
      </w:pPr>
      <w:r>
        <w:rPr>
          <w:rStyle w:val="FootnoteReference"/>
        </w:rPr>
        <w:footnoteRef/>
      </w:r>
      <w:r>
        <w:t xml:space="preserve"> Translation note: Greek includes and true in divine formula.</w:t>
      </w:r>
    </w:p>
  </w:footnote>
  <w:footnote w:id="2783">
    <w:p>
      <w:pPr>
        <w:pStyle w:val="FootnoteText"/>
      </w:pPr>
      <w:r>
        <w:rPr>
          <w:rStyle w:val="FootnoteReference"/>
        </w:rPr>
        <w:footnoteRef/>
      </w:r>
      <w:r>
        <w:t xml:space="preserve"> Cross-references for "surely they shall not see": Num 26:64; Num 32:11.</w:t>
      </w:r>
    </w:p>
  </w:footnote>
  <w:footnote w:id="2784">
    <w:p>
      <w:pPr>
        <w:pStyle w:val="FootnoteText"/>
      </w:pPr>
      <w:r>
        <w:rPr>
          <w:rStyle w:val="FootnoteReference"/>
        </w:rPr>
        <w:footnoteRef/>
      </w:r>
      <w:r>
        <w:t xml:space="preserve"> Cross-references for "my servant": Num 13:30; Num 14:6-9.</w:t>
      </w:r>
    </w:p>
  </w:footnote>
  <w:footnote w:id="2785">
    <w:p>
      <w:pPr>
        <w:pStyle w:val="FootnoteText"/>
      </w:pPr>
      <w:r>
        <w:rPr>
          <w:rStyle w:val="FootnoteReference"/>
        </w:rPr>
        <w:footnoteRef/>
      </w:r>
      <w:r>
        <w:t xml:space="preserve"> Cross-references for "How long": Exod 16:28; Num 14:11.</w:t>
      </w:r>
    </w:p>
  </w:footnote>
  <w:footnote w:id="2786">
    <w:p>
      <w:pPr>
        <w:pStyle w:val="FootnoteText"/>
      </w:pPr>
      <w:r>
        <w:rPr>
          <w:rStyle w:val="FootnoteReference"/>
        </w:rPr>
        <w:footnoteRef/>
      </w:r>
      <w:r>
        <w:t xml:space="preserve"> Cross-references for "forty years": Num 33:38; Deut 1:3.</w:t>
      </w:r>
    </w:p>
  </w:footnote>
  <w:footnote w:id="2787">
    <w:p>
      <w:pPr>
        <w:pStyle w:val="FootnoteText"/>
      </w:pPr>
      <w:r>
        <w:rPr>
          <w:rStyle w:val="FootnoteReference"/>
        </w:rPr>
        <w:footnoteRef/>
      </w:r>
      <w:r>
        <w:t xml:space="preserve"> Cross-references for "the number": Ps 95:10; Ezek 4:6.</w:t>
      </w:r>
    </w:p>
  </w:footnote>
  <w:footnote w:id="2788">
    <w:p>
      <w:pPr>
        <w:pStyle w:val="FootnoteText"/>
      </w:pPr>
      <w:r>
        <w:rPr>
          <w:rStyle w:val="FootnoteReference"/>
        </w:rPr>
        <w:footnoteRef/>
      </w:r>
      <w:r>
        <w:t xml:space="preserve"> Translation note: Greek says fury of my anger here. Current line keeps that wording.</w:t>
      </w:r>
    </w:p>
  </w:footnote>
  <w:footnote w:id="2789">
    <w:p>
      <w:pPr>
        <w:pStyle w:val="FootnoteText"/>
      </w:pPr>
      <w:r>
        <w:rPr>
          <w:rStyle w:val="FootnoteReference"/>
        </w:rPr>
        <w:footnoteRef/>
      </w:r>
      <w:r>
        <w:t xml:space="preserve"> Cross-references for "died": Num 14:12; Num 16:49.</w:t>
      </w:r>
    </w:p>
  </w:footnote>
  <w:footnote w:id="2790">
    <w:p>
      <w:pPr>
        <w:pStyle w:val="FootnoteText"/>
      </w:pPr>
      <w:r>
        <w:rPr>
          <w:rStyle w:val="FootnoteReference"/>
        </w:rPr>
        <w:footnoteRef/>
      </w:r>
      <w:r>
        <w:t xml:space="preserve"> Cross-references for "mourned greatly": Exod 33:4; Prov 19:3.</w:t>
      </w:r>
    </w:p>
  </w:footnote>
  <w:footnote w:id="2791">
    <w:p>
      <w:pPr>
        <w:pStyle w:val="FootnoteText"/>
      </w:pPr>
      <w:r>
        <w:rPr>
          <w:rStyle w:val="FootnoteReference"/>
        </w:rPr>
        <w:footnoteRef/>
      </w:r>
      <w:r>
        <w:t xml:space="preserve"> Cross-references for "the ark": Num 10:33; 1Sam 4:3-11.</w:t>
      </w:r>
    </w:p>
  </w:footnote>
  <w:footnote w:id="2792">
    <w:p>
      <w:pPr>
        <w:pStyle w:val="FootnoteText"/>
      </w:pPr>
      <w:r>
        <w:rPr>
          <w:rStyle w:val="FootnoteReference"/>
        </w:rPr>
        <w:footnoteRef/>
      </w:r>
      <w:r>
        <w:t xml:space="preserve"> Place name: Hormah. Place-name meaning: Hormah — devoted or consecrated to God; utter destruction. Source form: Hormah. Greek form: ερμαν.</w:t>
      </w:r>
    </w:p>
  </w:footnote>
  <w:footnote w:id="2793">
    <w:p>
      <w:pPr>
        <w:pStyle w:val="FootnoteText"/>
      </w:pPr>
      <w:r>
        <w:rPr>
          <w:rStyle w:val="FootnoteReference"/>
        </w:rPr>
        <w:footnoteRef/>
      </w:r>
      <w:r>
        <w:t xml:space="preserve"> Cross-references for "Hormah": Num 21:3; Judg 1:17.</w:t>
      </w:r>
    </w:p>
  </w:footnote>
  <w:footnote w:id="2794">
    <w:p>
      <w:pPr>
        <w:pStyle w:val="FootnoteText"/>
      </w:pPr>
      <w:r>
        <w:rPr>
          <w:rStyle w:val="FootnoteReference"/>
        </w:rPr>
        <w:footnoteRef/>
      </w:r>
      <w:r>
        <w:t xml:space="preserve"> Cross-references for "a sacrifice": Lev 7:16; Lev 22:18-23.</w:t>
      </w:r>
    </w:p>
  </w:footnote>
  <w:footnote w:id="2795">
    <w:p>
      <w:pPr>
        <w:pStyle w:val="FootnoteText"/>
      </w:pPr>
      <w:r>
        <w:rPr>
          <w:rStyle w:val="FootnoteReference"/>
        </w:rPr>
        <w:footnoteRef/>
      </w:r>
      <w:r>
        <w:t xml:space="preserve"> Translation note: Greek says to fulfill a vow.</w:t>
      </w:r>
    </w:p>
  </w:footnote>
  <w:footnote w:id="2796">
    <w:p>
      <w:pPr>
        <w:pStyle w:val="FootnoteText"/>
      </w:pPr>
      <w:r>
        <w:rPr>
          <w:rStyle w:val="FootnoteReference"/>
        </w:rPr>
        <w:footnoteRef/>
      </w:r>
      <w:r>
        <w:t xml:space="preserve"> Translation note: Greek says as you are, so the sojourner shall be before the Lord.</w:t>
      </w:r>
    </w:p>
  </w:footnote>
  <w:footnote w:id="2797">
    <w:p>
      <w:pPr>
        <w:pStyle w:val="FootnoteText"/>
      </w:pPr>
      <w:r>
        <w:rPr>
          <w:rStyle w:val="FootnoteReference"/>
        </w:rPr>
        <w:footnoteRef/>
      </w:r>
      <w:r>
        <w:t xml:space="preserve"> Translation note: Greek says if it happens unintentionally from eyes of congregation.</w:t>
      </w:r>
    </w:p>
  </w:footnote>
  <w:footnote w:id="2798">
    <w:p>
      <w:pPr>
        <w:pStyle w:val="FootnoteText"/>
      </w:pPr>
      <w:r>
        <w:rPr>
          <w:rStyle w:val="FootnoteReference"/>
        </w:rPr>
        <w:footnoteRef/>
      </w:r>
      <w:r>
        <w:t xml:space="preserve"> Cross-references for "the priest": Lev 4:20; Lev 4:26.</w:t>
      </w:r>
    </w:p>
  </w:footnote>
  <w:footnote w:id="2799">
    <w:p>
      <w:pPr>
        <w:pStyle w:val="FootnoteText"/>
      </w:pPr>
      <w:r>
        <w:rPr>
          <w:rStyle w:val="FootnoteReference"/>
        </w:rPr>
        <w:footnoteRef/>
      </w:r>
      <w:r>
        <w:t xml:space="preserve"> Translation note: Greek says it is unintentional and for their unintentional acts.</w:t>
      </w:r>
    </w:p>
  </w:footnote>
  <w:footnote w:id="2800">
    <w:p>
      <w:pPr>
        <w:pStyle w:val="FootnoteText"/>
      </w:pPr>
      <w:r>
        <w:rPr>
          <w:rStyle w:val="FootnoteReference"/>
        </w:rPr>
        <w:footnoteRef/>
      </w:r>
      <w:r>
        <w:t xml:space="preserve"> Cross-references for "one law": Lev 16:29; Lev 17:15.</w:t>
      </w:r>
    </w:p>
  </w:footnote>
  <w:footnote w:id="2801">
    <w:p>
      <w:pPr>
        <w:pStyle w:val="FootnoteText"/>
      </w:pPr>
      <w:r>
        <w:rPr>
          <w:rStyle w:val="FootnoteReference"/>
        </w:rPr>
        <w:footnoteRef/>
      </w:r>
      <w:r>
        <w:t xml:space="preserve"> Cross-references for "they found a man": Exod 16:23; Exod 16:27-28.</w:t>
      </w:r>
    </w:p>
  </w:footnote>
  <w:footnote w:id="2802">
    <w:p>
      <w:pPr>
        <w:pStyle w:val="FootnoteText"/>
      </w:pPr>
      <w:r>
        <w:rPr>
          <w:rStyle w:val="FootnoteReference"/>
        </w:rPr>
        <w:footnoteRef/>
      </w:r>
      <w:r>
        <w:t xml:space="preserve"> Cross-references for "the man": Exod 31:14-15.</w:t>
      </w:r>
    </w:p>
  </w:footnote>
  <w:footnote w:id="2803">
    <w:p>
      <w:pPr>
        <w:pStyle w:val="FootnoteText"/>
      </w:pPr>
      <w:r>
        <w:rPr>
          <w:rStyle w:val="FootnoteReference"/>
        </w:rPr>
        <w:footnoteRef/>
      </w:r>
      <w:r>
        <w:t xml:space="preserve"> Translation note: Greek says tassels on the wings of their garments.</w:t>
      </w:r>
    </w:p>
  </w:footnote>
  <w:footnote w:id="2804">
    <w:p>
      <w:pPr>
        <w:pStyle w:val="FootnoteText"/>
      </w:pPr>
      <w:r>
        <w:rPr>
          <w:rStyle w:val="FootnoteReference"/>
        </w:rPr>
        <w:footnoteRef/>
      </w:r>
      <w:r>
        <w:t xml:space="preserve"> Cross-references for "remember": Exod 13:9; Deut 6:6-9.</w:t>
      </w:r>
    </w:p>
  </w:footnote>
  <w:footnote w:id="2805">
    <w:p>
      <w:pPr>
        <w:pStyle w:val="FootnoteText"/>
      </w:pPr>
      <w:r>
        <w:rPr>
          <w:rStyle w:val="FootnoteReference"/>
        </w:rPr>
        <w:footnoteRef/>
      </w:r>
      <w:r>
        <w:t xml:space="preserve"> Translation note: Greek uses the strong sexual metaphor for covenant unfaithfulness. The translation keeps that metaphor rather than softening it.</w:t>
      </w:r>
    </w:p>
  </w:footnote>
  <w:footnote w:id="2806">
    <w:p>
      <w:pPr>
        <w:pStyle w:val="FootnoteText"/>
      </w:pPr>
      <w:r>
        <w:rPr>
          <w:rStyle w:val="FootnoteReference"/>
        </w:rPr>
        <w:footnoteRef/>
      </w:r>
      <w:r>
        <w:t xml:space="preserve"> Cross-references for "be holy": Lev 11:44-45; Lev 19:2.</w:t>
      </w:r>
    </w:p>
  </w:footnote>
  <w:footnote w:id="2807">
    <w:p>
      <w:pPr>
        <w:pStyle w:val="FootnoteText"/>
      </w:pPr>
      <w:r>
        <w:rPr>
          <w:rStyle w:val="FootnoteReference"/>
        </w:rPr>
        <w:footnoteRef/>
      </w:r>
      <w:r>
        <w:t xml:space="preserve"> Cross-references for "Korah": Exod 6:18; Exod 6:21.</w:t>
      </w:r>
    </w:p>
  </w:footnote>
  <w:footnote w:id="2808">
    <w:p>
      <w:pPr>
        <w:pStyle w:val="FootnoteText"/>
      </w:pPr>
      <w:r>
        <w:rPr>
          <w:rStyle w:val="FootnoteReference"/>
        </w:rPr>
        <w:footnoteRef/>
      </w:r>
      <w:r>
        <w:t xml:space="preserve"> Personal name: Dathan. Personal-name meaning: Dathan — laws or rites. Source form: Dathan.</w:t>
      </w:r>
    </w:p>
  </w:footnote>
  <w:footnote w:id="2809">
    <w:p>
      <w:pPr>
        <w:pStyle w:val="FootnoteText"/>
      </w:pPr>
      <w:r>
        <w:rPr>
          <w:rStyle w:val="FootnoteReference"/>
        </w:rPr>
        <w:footnoteRef/>
      </w:r>
      <w:r>
        <w:t xml:space="preserve"> Personal name: Abiram. Personal-name meaning: Abiram — high father; father of deceit. Source form: Abiram.</w:t>
      </w:r>
    </w:p>
  </w:footnote>
  <w:footnote w:id="2810">
    <w:p>
      <w:pPr>
        <w:pStyle w:val="FootnoteText"/>
      </w:pPr>
      <w:r>
        <w:rPr>
          <w:rStyle w:val="FootnoteReference"/>
        </w:rPr>
        <w:footnoteRef/>
      </w:r>
      <w:r>
        <w:t xml:space="preserve"> Personal name: Peleth. Personal-name meaning: Peleth — special; separated. Source form: Peleth.</w:t>
      </w:r>
    </w:p>
  </w:footnote>
  <w:footnote w:id="2811">
    <w:p>
      <w:pPr>
        <w:pStyle w:val="FootnoteText"/>
      </w:pPr>
      <w:r>
        <w:rPr>
          <w:rStyle w:val="FootnoteReference"/>
        </w:rPr>
        <w:footnoteRef/>
      </w:r>
      <w:r>
        <w:t xml:space="preserve"> Translation note: Greek uses a let-it-be-enough idiom here.</w:t>
      </w:r>
    </w:p>
  </w:footnote>
  <w:footnote w:id="2812">
    <w:p>
      <w:pPr>
        <w:pStyle w:val="FootnoteText"/>
      </w:pPr>
      <w:r>
        <w:rPr>
          <w:rStyle w:val="FootnoteReference"/>
        </w:rPr>
        <w:footnoteRef/>
      </w:r>
      <w:r>
        <w:t xml:space="preserve"> Cross-references for "the Lord": Exod 29:45-46; Num 14:14.</w:t>
      </w:r>
    </w:p>
  </w:footnote>
  <w:footnote w:id="2813">
    <w:p>
      <w:pPr>
        <w:pStyle w:val="FootnoteText"/>
      </w:pPr>
      <w:r>
        <w:rPr>
          <w:rStyle w:val="FootnoteReference"/>
        </w:rPr>
        <w:footnoteRef/>
      </w:r>
      <w:r>
        <w:t xml:space="preserve"> Translation note: Greek keeps both verbs here.</w:t>
      </w:r>
    </w:p>
  </w:footnote>
  <w:footnote w:id="2814">
    <w:p>
      <w:pPr>
        <w:pStyle w:val="FootnoteText"/>
      </w:pPr>
      <w:r>
        <w:rPr>
          <w:rStyle w:val="FootnoteReference"/>
        </w:rPr>
        <w:footnoteRef/>
      </w:r>
      <w:r>
        <w:t xml:space="preserve"> Cross-references for "that the man": Num 16:3; Num 16:5.</w:t>
      </w:r>
    </w:p>
  </w:footnote>
  <w:footnote w:id="2815">
    <w:p>
      <w:pPr>
        <w:pStyle w:val="FootnoteText"/>
      </w:pPr>
      <w:r>
        <w:rPr>
          <w:rStyle w:val="FootnoteReference"/>
        </w:rPr>
        <w:footnoteRef/>
      </w:r>
      <w:r>
        <w:t xml:space="preserve"> Cross-references for "separated": Num 1:53; Num 3:41-45.</w:t>
      </w:r>
    </w:p>
  </w:footnote>
  <w:footnote w:id="2816">
    <w:p>
      <w:pPr>
        <w:pStyle w:val="FootnoteText"/>
      </w:pPr>
      <w:r>
        <w:rPr>
          <w:rStyle w:val="FootnoteReference"/>
        </w:rPr>
        <w:footnoteRef/>
      </w:r>
      <w:r>
        <w:t xml:space="preserve"> Cross-references for "against": Num 16:3; 1Sam 8:7.</w:t>
      </w:r>
    </w:p>
  </w:footnote>
  <w:footnote w:id="2817">
    <w:p>
      <w:pPr>
        <w:pStyle w:val="FootnoteText"/>
      </w:pPr>
      <w:r>
        <w:rPr>
          <w:rStyle w:val="FootnoteReference"/>
        </w:rPr>
        <w:footnoteRef/>
      </w:r>
      <w:r>
        <w:t xml:space="preserve"> Cross-references for "a small": Num 16:9.</w:t>
      </w:r>
    </w:p>
  </w:footnote>
  <w:footnote w:id="2818">
    <w:p>
      <w:pPr>
        <w:pStyle w:val="FootnoteText"/>
      </w:pPr>
      <w:r>
        <w:rPr>
          <w:rStyle w:val="FootnoteReference"/>
        </w:rPr>
        <w:footnoteRef/>
      </w:r>
      <w:r>
        <w:t xml:space="preserve"> Translation note: The Greek uses the eye-gouging threat image directly. The current wording preserves that forceful line.</w:t>
      </w:r>
    </w:p>
  </w:footnote>
  <w:footnote w:id="2819">
    <w:p>
      <w:pPr>
        <w:pStyle w:val="FootnoteText"/>
      </w:pPr>
      <w:r>
        <w:rPr>
          <w:rStyle w:val="FootnoteReference"/>
        </w:rPr>
        <w:footnoteRef/>
      </w:r>
      <w:r>
        <w:t xml:space="preserve"> Translation note: Greek frames the rebellion as a gathered assembly. Current wording preserves that scene.</w:t>
      </w:r>
    </w:p>
  </w:footnote>
  <w:footnote w:id="2820">
    <w:p>
      <w:pPr>
        <w:pStyle w:val="FootnoteText"/>
      </w:pPr>
      <w:r>
        <w:rPr>
          <w:rStyle w:val="FootnoteReference"/>
        </w:rPr>
        <w:footnoteRef/>
      </w:r>
      <w:r>
        <w:t xml:space="preserve"> Cross-references for "Korah": Num 16:1-2.</w:t>
      </w:r>
    </w:p>
  </w:footnote>
  <w:footnote w:id="2821">
    <w:p>
      <w:pPr>
        <w:pStyle w:val="FootnoteText"/>
      </w:pPr>
      <w:r>
        <w:rPr>
          <w:rStyle w:val="FootnoteReference"/>
        </w:rPr>
        <w:footnoteRef/>
      </w:r>
      <w:r>
        <w:t xml:space="preserve"> Cross-references for "Separate": Gen 19:15-22; Jer 5:16.</w:t>
      </w:r>
    </w:p>
  </w:footnote>
  <w:footnote w:id="2822">
    <w:p>
      <w:pPr>
        <w:pStyle w:val="FootnoteText"/>
      </w:pPr>
      <w:r>
        <w:rPr>
          <w:rStyle w:val="FootnoteReference"/>
        </w:rPr>
        <w:footnoteRef/>
      </w:r>
      <w:r>
        <w:t xml:space="preserve"> Cross-references for "they fell": Num 14:5; Num 16:4.</w:t>
      </w:r>
    </w:p>
  </w:footnote>
  <w:footnote w:id="2823">
    <w:p>
      <w:pPr>
        <w:pStyle w:val="FootnoteText"/>
      </w:pPr>
      <w:r>
        <w:rPr>
          <w:rStyle w:val="FootnoteReference"/>
        </w:rPr>
        <w:footnoteRef/>
      </w:r>
      <w:r>
        <w:t xml:space="preserve"> Cross-references for "and stood": 2Kgs 9:30-31; Job 9:4.</w:t>
      </w:r>
    </w:p>
  </w:footnote>
  <w:footnote w:id="2824">
    <w:p>
      <w:pPr>
        <w:pStyle w:val="FootnoteText"/>
      </w:pPr>
      <w:r>
        <w:rPr>
          <w:rStyle w:val="FootnoteReference"/>
        </w:rPr>
        <w:footnoteRef/>
      </w:r>
      <w:r>
        <w:t xml:space="preserve"> Translation note: Greek ends with their baggage.</w:t>
      </w:r>
    </w:p>
  </w:footnote>
  <w:footnote w:id="2825">
    <w:p>
      <w:pPr>
        <w:pStyle w:val="FootnoteText"/>
      </w:pPr>
      <w:r>
        <w:rPr>
          <w:rStyle w:val="FootnoteReference"/>
        </w:rPr>
        <w:footnoteRef/>
      </w:r>
      <w:r>
        <w:t xml:space="preserve"> Cross-references for "the Lord": 1Kgs 22:28; 2Chr 18:27.</w:t>
      </w:r>
    </w:p>
  </w:footnote>
  <w:footnote w:id="2826">
    <w:p>
      <w:pPr>
        <w:pStyle w:val="FootnoteText"/>
      </w:pPr>
      <w:r>
        <w:rPr>
          <w:rStyle w:val="FootnoteReference"/>
        </w:rPr>
        <w:footnoteRef/>
      </w:r>
      <w:r>
        <w:t xml:space="preserve"> Translation note: Greek says they go down alive into Hades.</w:t>
      </w:r>
    </w:p>
  </w:footnote>
  <w:footnote w:id="2827">
    <w:p>
      <w:pPr>
        <w:pStyle w:val="FootnoteText"/>
      </w:pPr>
      <w:r>
        <w:rPr>
          <w:rStyle w:val="FootnoteReference"/>
        </w:rPr>
        <w:footnoteRef/>
      </w:r>
      <w:r>
        <w:t xml:space="preserve"> Cross-references for "the earth": Gen 4:11; Num 16:30.</w:t>
      </w:r>
    </w:p>
  </w:footnote>
  <w:footnote w:id="2828">
    <w:p>
      <w:pPr>
        <w:pStyle w:val="FootnoteText"/>
      </w:pPr>
      <w:r>
        <w:rPr>
          <w:rStyle w:val="FootnoteReference"/>
        </w:rPr>
        <w:footnoteRef/>
      </w:r>
      <w:r>
        <w:t xml:space="preserve"> Cross-references for "they perished": Jude 1:11.</w:t>
      </w:r>
    </w:p>
  </w:footnote>
  <w:footnote w:id="2829">
    <w:p>
      <w:pPr>
        <w:pStyle w:val="FootnoteText"/>
      </w:pPr>
      <w:r>
        <w:rPr>
          <w:rStyle w:val="FootnoteReference"/>
        </w:rPr>
        <w:footnoteRef/>
      </w:r>
      <w:r>
        <w:t xml:space="preserve"> Cross-references for "fled": Isa 33:3; Zech 14:5.</w:t>
      </w:r>
    </w:p>
  </w:footnote>
  <w:footnote w:id="2830">
    <w:p>
      <w:pPr>
        <w:pStyle w:val="FootnoteText"/>
      </w:pPr>
      <w:r>
        <w:rPr>
          <w:rStyle w:val="FootnoteReference"/>
        </w:rPr>
        <w:footnoteRef/>
      </w:r>
      <w:r>
        <w:t xml:space="preserve"> Cross-references for "two hundred": Num 16:2; Num 16:17.</w:t>
      </w:r>
    </w:p>
  </w:footnote>
  <w:footnote w:id="2831">
    <w:p>
      <w:pPr>
        <w:pStyle w:val="FootnoteText"/>
      </w:pPr>
      <w:r>
        <w:rPr>
          <w:rStyle w:val="FootnoteReference"/>
        </w:rPr>
        <w:footnoteRef/>
      </w:r>
      <w:r>
        <w:t xml:space="preserve"> MT/LXX note: This LXX verse number carries the bronze-firepans line rather than the MT rod-command line.</w:t>
      </w:r>
    </w:p>
  </w:footnote>
  <w:footnote w:id="2832">
    <w:p>
      <w:pPr>
        <w:pStyle w:val="FootnoteText"/>
      </w:pPr>
      <w:r>
        <w:rPr>
          <w:rStyle w:val="FootnoteReference"/>
        </w:rPr>
        <w:footnoteRef/>
      </w:r>
      <w:r>
        <w:t xml:space="preserve"> Translation note: Greek says coalition here. Current line keeps that wording.</w:t>
      </w:r>
    </w:p>
  </w:footnote>
  <w:footnote w:id="2833">
    <w:p>
      <w:pPr>
        <w:pStyle w:val="FootnoteText"/>
      </w:pPr>
      <w:r>
        <w:rPr>
          <w:rStyle w:val="FootnoteReference"/>
        </w:rPr>
        <w:footnoteRef/>
      </w:r>
      <w:r>
        <w:t xml:space="preserve"> Translation note: Greek keeps this direct accusation.</w:t>
      </w:r>
    </w:p>
  </w:footnote>
  <w:footnote w:id="2834">
    <w:p>
      <w:pPr>
        <w:pStyle w:val="FootnoteText"/>
      </w:pPr>
      <w:r>
        <w:rPr>
          <w:rStyle w:val="FootnoteReference"/>
        </w:rPr>
        <w:footnoteRef/>
      </w:r>
      <w:r>
        <w:t xml:space="preserve"> Translation note: Greek row here contains only tent-entry clause.</w:t>
      </w:r>
    </w:p>
  </w:footnote>
  <w:footnote w:id="2835">
    <w:p>
      <w:pPr>
        <w:pStyle w:val="FootnoteText"/>
      </w:pPr>
      <w:r>
        <w:rPr>
          <w:rStyle w:val="FootnoteReference"/>
        </w:rPr>
        <w:footnoteRef/>
      </w:r>
      <w:r>
        <w:t xml:space="preserve"> Translation note: Greek says at once here. Current line keeps that wording.</w:t>
      </w:r>
    </w:p>
  </w:footnote>
  <w:footnote w:id="2836">
    <w:p>
      <w:pPr>
        <w:pStyle w:val="FootnoteText"/>
      </w:pPr>
      <w:r>
        <w:rPr>
          <w:rStyle w:val="FootnoteReference"/>
        </w:rPr>
        <w:footnoteRef/>
      </w:r>
      <w:r>
        <w:t xml:space="preserve"> Translation note: Greek says carry it quickly here. Current line keeps that urgency.</w:t>
      </w:r>
    </w:p>
  </w:footnote>
  <w:footnote w:id="2837">
    <w:p>
      <w:pPr>
        <w:pStyle w:val="FootnoteText"/>
      </w:pPr>
      <w:r>
        <w:rPr>
          <w:rStyle w:val="FootnoteReference"/>
        </w:rPr>
        <w:footnoteRef/>
      </w:r>
      <w:r>
        <w:t xml:space="preserve"> MT/LXX note: The Septuagint places the plague-atonement action here rather than the Masoretic complaint line. The translation follows the Greek content.</w:t>
      </w:r>
    </w:p>
  </w:footnote>
  <w:footnote w:id="2838">
    <w:p>
      <w:pPr>
        <w:pStyle w:val="FootnoteText"/>
      </w:pPr>
      <w:r>
        <w:rPr>
          <w:rStyle w:val="FootnoteReference"/>
        </w:rPr>
        <w:footnoteRef/>
      </w:r>
      <w:r>
        <w:t xml:space="preserve"> MT/LXX note: The Septuagint places the plague-stopping line here rather than the Masoretic complaint. The translation follows the Greek content.</w:t>
      </w:r>
    </w:p>
  </w:footnote>
  <w:footnote w:id="2839">
    <w:p>
      <w:pPr>
        <w:pStyle w:val="FootnoteText"/>
      </w:pPr>
      <w:r>
        <w:rPr>
          <w:rStyle w:val="FootnoteReference"/>
        </w:rPr>
        <w:footnoteRef/>
      </w:r>
      <w:r>
        <w:t xml:space="preserve"> Cross-references for "shall bear": Exod 28:38; Lev 22:9.</w:t>
      </w:r>
    </w:p>
  </w:footnote>
  <w:footnote w:id="2840">
    <w:p>
      <w:pPr>
        <w:pStyle w:val="FootnoteText"/>
      </w:pPr>
      <w:r>
        <w:rPr>
          <w:rStyle w:val="FootnoteReference"/>
        </w:rPr>
        <w:footnoteRef/>
      </w:r>
      <w:r>
        <w:t xml:space="preserve"> Translation note: Greek says joined to you here. Current line keeps that phrase.</w:t>
      </w:r>
    </w:p>
  </w:footnote>
  <w:footnote w:id="2841">
    <w:p>
      <w:pPr>
        <w:pStyle w:val="FootnoteText"/>
      </w:pPr>
      <w:r>
        <w:rPr>
          <w:rStyle w:val="FootnoteReference"/>
        </w:rPr>
        <w:footnoteRef/>
      </w:r>
      <w:r>
        <w:t xml:space="preserve"> Cross-references for "minister": Num 3:6-9; Num 8:19.</w:t>
      </w:r>
    </w:p>
  </w:footnote>
  <w:footnote w:id="2842">
    <w:p>
      <w:pPr>
        <w:pStyle w:val="FootnoteText"/>
      </w:pPr>
      <w:r>
        <w:rPr>
          <w:rStyle w:val="FootnoteReference"/>
        </w:rPr>
        <w:footnoteRef/>
      </w:r>
      <w:r>
        <w:t xml:space="preserve"> Cross-references for "only they": Num 3:25; Num 3:31.</w:t>
      </w:r>
    </w:p>
  </w:footnote>
  <w:footnote w:id="2843">
    <w:p>
      <w:pPr>
        <w:pStyle w:val="FootnoteText"/>
      </w:pPr>
      <w:r>
        <w:rPr>
          <w:rStyle w:val="FootnoteReference"/>
        </w:rPr>
        <w:footnoteRef/>
      </w:r>
      <w:r>
        <w:t xml:space="preserve"> Cross-references for "given": Num 3:9; Num 8:16-19.</w:t>
      </w:r>
    </w:p>
  </w:footnote>
  <w:footnote w:id="2844">
    <w:p>
      <w:pPr>
        <w:pStyle w:val="FootnoteText"/>
      </w:pPr>
      <w:r>
        <w:rPr>
          <w:rStyle w:val="FootnoteReference"/>
        </w:rPr>
        <w:footnoteRef/>
      </w:r>
      <w:r>
        <w:t xml:space="preserve"> Cross-references for "within": Lev 16:2; Lev 16:12-14.</w:t>
      </w:r>
    </w:p>
  </w:footnote>
  <w:footnote w:id="2845">
    <w:p>
      <w:pPr>
        <w:pStyle w:val="FootnoteText"/>
      </w:pPr>
      <w:r>
        <w:rPr>
          <w:rStyle w:val="FootnoteReference"/>
        </w:rPr>
        <w:footnoteRef/>
      </w:r>
      <w:r>
        <w:t xml:space="preserve"> Translation note: Greek says priesthood as gift here. Current line keeps that wording.</w:t>
      </w:r>
    </w:p>
  </w:footnote>
  <w:footnote w:id="2846">
    <w:p>
      <w:pPr>
        <w:pStyle w:val="FootnoteText"/>
      </w:pPr>
      <w:r>
        <w:rPr>
          <w:rStyle w:val="FootnoteReference"/>
        </w:rPr>
        <w:footnoteRef/>
      </w:r>
      <w:r>
        <w:t xml:space="preserve"> Translation note: Greek says keeping and firstfruits here.</w:t>
      </w:r>
    </w:p>
  </w:footnote>
  <w:footnote w:id="2847">
    <w:p>
      <w:pPr>
        <w:pStyle w:val="FootnoteText"/>
      </w:pPr>
      <w:r>
        <w:rPr>
          <w:rStyle w:val="FootnoteReference"/>
        </w:rPr>
        <w:footnoteRef/>
      </w:r>
      <w:r>
        <w:t xml:space="preserve"> Translation note: Greek includes from all their sins in this sequence.</w:t>
      </w:r>
    </w:p>
  </w:footnote>
  <w:footnote w:id="2848">
    <w:p>
      <w:pPr>
        <w:pStyle w:val="FootnoteText"/>
      </w:pPr>
      <w:r>
        <w:rPr>
          <w:rStyle w:val="FootnoteReference"/>
        </w:rPr>
        <w:footnoteRef/>
      </w:r>
      <w:r>
        <w:t xml:space="preserve"> Cross-references for "Every male": Lev 6:18; Lev 6:29.</w:t>
      </w:r>
    </w:p>
  </w:footnote>
  <w:footnote w:id="2849">
    <w:p>
      <w:pPr>
        <w:pStyle w:val="FootnoteText"/>
      </w:pPr>
      <w:r>
        <w:rPr>
          <w:rStyle w:val="FootnoteReference"/>
        </w:rPr>
        <w:footnoteRef/>
      </w:r>
      <w:r>
        <w:t xml:space="preserve"> Translation note: Greek uses gifts/offerings wording here. Current line keeps it broad.</w:t>
      </w:r>
    </w:p>
  </w:footnote>
  <w:footnote w:id="2850">
    <w:p>
      <w:pPr>
        <w:pStyle w:val="FootnoteText"/>
      </w:pPr>
      <w:r>
        <w:rPr>
          <w:rStyle w:val="FootnoteReference"/>
        </w:rPr>
        <w:footnoteRef/>
      </w:r>
      <w:r>
        <w:t xml:space="preserve"> Cross-references for "the firstfruits": Exod 22:29; Exod 23:19.</w:t>
      </w:r>
    </w:p>
  </w:footnote>
  <w:footnote w:id="2851">
    <w:p>
      <w:pPr>
        <w:pStyle w:val="FootnoteText"/>
      </w:pPr>
      <w:r>
        <w:rPr>
          <w:rStyle w:val="FootnoteReference"/>
        </w:rPr>
        <w:footnoteRef/>
      </w:r>
      <w:r>
        <w:t xml:space="preserve"> Translation note: Greek says opener of the womb. The translation keeps that direct wording.</w:t>
      </w:r>
    </w:p>
  </w:footnote>
  <w:footnote w:id="2852">
    <w:p>
      <w:pPr>
        <w:pStyle w:val="FootnoteText"/>
      </w:pPr>
      <w:r>
        <w:rPr>
          <w:rStyle w:val="FootnoteReference"/>
        </w:rPr>
        <w:footnoteRef/>
      </w:r>
      <w:r>
        <w:t xml:space="preserve"> Cross-references for "the firstborn": Exod 13:13; Exod 34:20.</w:t>
      </w:r>
    </w:p>
  </w:footnote>
  <w:footnote w:id="2853">
    <w:p>
      <w:pPr>
        <w:pStyle w:val="FootnoteText"/>
      </w:pPr>
      <w:r>
        <w:rPr>
          <w:rStyle w:val="FootnoteReference"/>
        </w:rPr>
        <w:footnoteRef/>
      </w:r>
      <w:r>
        <w:t xml:space="preserve"> Translation note: Greek says pour out toward altar here. Current line keeps that wording.</w:t>
      </w:r>
    </w:p>
  </w:footnote>
  <w:footnote w:id="2854">
    <w:p>
      <w:pPr>
        <w:pStyle w:val="FootnoteText"/>
      </w:pPr>
      <w:r>
        <w:rPr>
          <w:rStyle w:val="FootnoteReference"/>
        </w:rPr>
        <w:footnoteRef/>
      </w:r>
      <w:r>
        <w:t xml:space="preserve"> Cross-references for "It is a": Lev 2:13; 2Chr 13:5.</w:t>
      </w:r>
    </w:p>
  </w:footnote>
  <w:footnote w:id="2855">
    <w:p>
      <w:pPr>
        <w:pStyle w:val="FootnoteText"/>
      </w:pPr>
      <w:r>
        <w:rPr>
          <w:rStyle w:val="FootnoteReference"/>
        </w:rPr>
        <w:footnoteRef/>
      </w:r>
      <w:r>
        <w:t xml:space="preserve"> Translation note: The Greek preserves the covenant-of-salt wording here. This draft keeps the phrase visible rather than replacing it with a generic permanence formula. Existing English witnesses remain close enough to keep the phrase as is.</w:t>
      </w:r>
    </w:p>
  </w:footnote>
  <w:footnote w:id="2856">
    <w:p>
      <w:pPr>
        <w:pStyle w:val="FootnoteText"/>
      </w:pPr>
      <w:r>
        <w:rPr>
          <w:rStyle w:val="FootnoteReference"/>
        </w:rPr>
        <w:footnoteRef/>
      </w:r>
      <w:r>
        <w:t xml:space="preserve"> Translation note: Greek states the burden clause directly here.</w:t>
      </w:r>
    </w:p>
  </w:footnote>
  <w:footnote w:id="2857">
    <w:p>
      <w:pPr>
        <w:pStyle w:val="FootnoteText"/>
      </w:pPr>
      <w:r>
        <w:rPr>
          <w:rStyle w:val="FootnoteReference"/>
        </w:rPr>
        <w:footnoteRef/>
      </w:r>
      <w:r>
        <w:t xml:space="preserve"> Translation note: Greek says set apart as contribution here.</w:t>
      </w:r>
    </w:p>
  </w:footnote>
  <w:footnote w:id="2858">
    <w:p>
      <w:pPr>
        <w:pStyle w:val="FootnoteText"/>
      </w:pPr>
      <w:r>
        <w:rPr>
          <w:rStyle w:val="FootnoteReference"/>
        </w:rPr>
        <w:footnoteRef/>
      </w:r>
      <w:r>
        <w:t xml:space="preserve"> Translation note: Greek says remove a contribution to the Lord, tithe from tithe.</w:t>
      </w:r>
    </w:p>
  </w:footnote>
  <w:footnote w:id="2859">
    <w:p>
      <w:pPr>
        <w:pStyle w:val="FootnoteText"/>
      </w:pPr>
      <w:r>
        <w:rPr>
          <w:rStyle w:val="FootnoteReference"/>
        </w:rPr>
        <w:footnoteRef/>
      </w:r>
      <w:r>
        <w:t xml:space="preserve"> Translation note: Greek uses remove or set-apart language for the offering. The translation keeps that wording.</w:t>
      </w:r>
    </w:p>
  </w:footnote>
  <w:footnote w:id="2860">
    <w:p>
      <w:pPr>
        <w:pStyle w:val="FootnoteText"/>
      </w:pPr>
      <w:r>
        <w:rPr>
          <w:rStyle w:val="FootnoteReference"/>
        </w:rPr>
        <w:footnoteRef/>
      </w:r>
      <w:r>
        <w:t xml:space="preserve"> Translation note: Greek says first part not best thereof.</w:t>
      </w:r>
    </w:p>
  </w:footnote>
  <w:footnote w:id="2861">
    <w:p>
      <w:pPr>
        <w:pStyle w:val="FootnoteText"/>
      </w:pPr>
      <w:r>
        <w:rPr>
          <w:rStyle w:val="FootnoteReference"/>
        </w:rPr>
        <w:footnoteRef/>
      </w:r>
      <w:r>
        <w:t xml:space="preserve"> Cross-references for "in every": Deut 14:22-23.</w:t>
      </w:r>
    </w:p>
  </w:footnote>
  <w:footnote w:id="2862">
    <w:p>
      <w:pPr>
        <w:pStyle w:val="FootnoteText"/>
      </w:pPr>
      <w:r>
        <w:rPr>
          <w:rStyle w:val="FootnoteReference"/>
        </w:rPr>
        <w:footnoteRef/>
      </w:r>
      <w:r>
        <w:t xml:space="preserve"> Cross-references for "bear": Lev 19:8; Num 18:22.</w:t>
      </w:r>
    </w:p>
  </w:footnote>
  <w:footnote w:id="2863">
    <w:p>
      <w:pPr>
        <w:pStyle w:val="FootnoteText"/>
      </w:pPr>
      <w:r>
        <w:rPr>
          <w:rStyle w:val="FootnoteReference"/>
        </w:rPr>
        <w:footnoteRef/>
      </w:r>
      <w:r>
        <w:t xml:space="preserve"> Cross-references for "the ordinance": Num 31:21; Heb 9:10.</w:t>
      </w:r>
    </w:p>
  </w:footnote>
  <w:footnote w:id="2864">
    <w:p>
      <w:pPr>
        <w:pStyle w:val="FootnoteText"/>
      </w:pPr>
      <w:r>
        <w:rPr>
          <w:rStyle w:val="FootnoteReference"/>
        </w:rPr>
        <w:footnoteRef/>
      </w:r>
      <w:r>
        <w:t xml:space="preserve"> Cross-references for "sprinkle": Lev 4:6; Lev 4:17.</w:t>
      </w:r>
    </w:p>
  </w:footnote>
  <w:footnote w:id="2865">
    <w:p>
      <w:pPr>
        <w:pStyle w:val="FootnoteText"/>
      </w:pPr>
      <w:r>
        <w:rPr>
          <w:rStyle w:val="FootnoteReference"/>
        </w:rPr>
        <w:footnoteRef/>
      </w:r>
      <w:r>
        <w:t xml:space="preserve"> Cross-references for "clean": Num 9:13; Num 19:18.</w:t>
      </w:r>
    </w:p>
  </w:footnote>
  <w:footnote w:id="2866">
    <w:p>
      <w:pPr>
        <w:pStyle w:val="FootnoteText"/>
      </w:pPr>
      <w:r>
        <w:rPr>
          <w:rStyle w:val="FootnoteReference"/>
        </w:rPr>
        <w:footnoteRef/>
      </w:r>
      <w:r>
        <w:t xml:space="preserve"> Cross-references for "wash his": Num 19:7-8; Num 19:19.</w:t>
      </w:r>
    </w:p>
  </w:footnote>
  <w:footnote w:id="2867">
    <w:p>
      <w:pPr>
        <w:pStyle w:val="FootnoteText"/>
      </w:pPr>
      <w:r>
        <w:rPr>
          <w:rStyle w:val="FootnoteReference"/>
        </w:rPr>
        <w:footnoteRef/>
      </w:r>
      <w:r>
        <w:t xml:space="preserve"> Translation note: Greek includes sojourners dwelling among them.</w:t>
      </w:r>
    </w:p>
  </w:footnote>
  <w:footnote w:id="2868">
    <w:p>
      <w:pPr>
        <w:pStyle w:val="FootnoteText"/>
      </w:pPr>
      <w:r>
        <w:rPr>
          <w:rStyle w:val="FootnoteReference"/>
        </w:rPr>
        <w:footnoteRef/>
      </w:r>
      <w:r>
        <w:t xml:space="preserve"> Cross-references for "third day": Exod 19:11; Exod 19:15.</w:t>
      </w:r>
    </w:p>
  </w:footnote>
  <w:footnote w:id="2869">
    <w:p>
      <w:pPr>
        <w:pStyle w:val="FootnoteText"/>
      </w:pPr>
      <w:r>
        <w:rPr>
          <w:rStyle w:val="FootnoteReference"/>
        </w:rPr>
        <w:footnoteRef/>
      </w:r>
      <w:r>
        <w:t xml:space="preserve"> Translation note: Greek says water of sprinkling here.</w:t>
      </w:r>
    </w:p>
  </w:footnote>
  <w:footnote w:id="2870">
    <w:p>
      <w:pPr>
        <w:pStyle w:val="FootnoteText"/>
      </w:pPr>
      <w:r>
        <w:rPr>
          <w:rStyle w:val="FootnoteReference"/>
        </w:rPr>
        <w:footnoteRef/>
      </w:r>
      <w:r>
        <w:t xml:space="preserve"> Cross-references for "his uncleanness": Lev 7:20; Lev 22:3.</w:t>
      </w:r>
    </w:p>
  </w:footnote>
  <w:footnote w:id="2871">
    <w:p>
      <w:pPr>
        <w:pStyle w:val="FootnoteText"/>
      </w:pPr>
      <w:r>
        <w:rPr>
          <w:rStyle w:val="FootnoteReference"/>
        </w:rPr>
        <w:footnoteRef/>
      </w:r>
      <w:r>
        <w:t xml:space="preserve"> Cross-references for "a grave": Matt 23:27; Luke 11:44.</w:t>
      </w:r>
    </w:p>
  </w:footnote>
  <w:footnote w:id="2872">
    <w:p>
      <w:pPr>
        <w:pStyle w:val="FootnoteText"/>
      </w:pPr>
      <w:r>
        <w:rPr>
          <w:rStyle w:val="FootnoteReference"/>
        </w:rPr>
        <w:footnoteRef/>
      </w:r>
      <w:r>
        <w:t xml:space="preserve"> Cross-references for "ashes": Num 19:9.</w:t>
      </w:r>
    </w:p>
  </w:footnote>
  <w:footnote w:id="2873">
    <w:p>
      <w:pPr>
        <w:pStyle w:val="FootnoteText"/>
      </w:pPr>
      <w:r>
        <w:rPr>
          <w:rStyle w:val="FootnoteReference"/>
        </w:rPr>
        <w:footnoteRef/>
      </w:r>
      <w:r>
        <w:t xml:space="preserve"> Translation note: Greek says the bone, the human body, or the slain one.</w:t>
      </w:r>
    </w:p>
  </w:footnote>
  <w:footnote w:id="2874">
    <w:p>
      <w:pPr>
        <w:pStyle w:val="FootnoteText"/>
      </w:pPr>
      <w:r>
        <w:rPr>
          <w:rStyle w:val="FootnoteReference"/>
        </w:rPr>
        <w:footnoteRef/>
      </w:r>
      <w:r>
        <w:t xml:space="preserve"> Cross-references for "shall sprinkle": Eph 5:25-27; Titus 2:14.</w:t>
      </w:r>
    </w:p>
  </w:footnote>
  <w:footnote w:id="2875">
    <w:p>
      <w:pPr>
        <w:pStyle w:val="FootnoteText"/>
      </w:pPr>
      <w:r>
        <w:rPr>
          <w:rStyle w:val="FootnoteReference"/>
        </w:rPr>
        <w:footnoteRef/>
      </w:r>
      <w:r>
        <w:t xml:space="preserve"> Translation note: Greek says holy things of the Lord and water of sprinkling.</w:t>
      </w:r>
    </w:p>
  </w:footnote>
  <w:footnote w:id="2876">
    <w:p>
      <w:pPr>
        <w:pStyle w:val="FootnoteText"/>
      </w:pPr>
      <w:r>
        <w:rPr>
          <w:rStyle w:val="FootnoteReference"/>
        </w:rPr>
        <w:footnoteRef/>
      </w:r>
      <w:r>
        <w:t xml:space="preserve"> Cross-references for "Kadesh": Num 20:16; Num 34:3-4.</w:t>
      </w:r>
    </w:p>
  </w:footnote>
  <w:footnote w:id="2877">
    <w:p>
      <w:pPr>
        <w:pStyle w:val="FootnoteText"/>
      </w:pPr>
      <w:r>
        <w:rPr>
          <w:rStyle w:val="FootnoteReference"/>
        </w:rPr>
        <w:footnoteRef/>
      </w:r>
      <w:r>
        <w:t xml:space="preserve"> Cross-references for "gathered": Exod 16:2; Exod 16:7.</w:t>
      </w:r>
    </w:p>
  </w:footnote>
  <w:footnote w:id="2878">
    <w:p>
      <w:pPr>
        <w:pStyle w:val="FootnoteText"/>
      </w:pPr>
      <w:r>
        <w:rPr>
          <w:rStyle w:val="FootnoteReference"/>
        </w:rPr>
        <w:footnoteRef/>
      </w:r>
      <w:r>
        <w:t xml:space="preserve"> Cross-references for "this evil": Num 16:14; Deut 8:15.</w:t>
      </w:r>
    </w:p>
  </w:footnote>
  <w:footnote w:id="2879">
    <w:p>
      <w:pPr>
        <w:pStyle w:val="FootnoteText"/>
      </w:pPr>
      <w:r>
        <w:rPr>
          <w:rStyle w:val="FootnoteReference"/>
        </w:rPr>
        <w:footnoteRef/>
      </w:r>
      <w:r>
        <w:t xml:space="preserve"> Cross-references for "the glory": Exod 16:10; Num 12:5.</w:t>
      </w:r>
    </w:p>
  </w:footnote>
  <w:footnote w:id="2880">
    <w:p>
      <w:pPr>
        <w:pStyle w:val="FootnoteText"/>
      </w:pPr>
      <w:r>
        <w:rPr>
          <w:rStyle w:val="FootnoteReference"/>
        </w:rPr>
        <w:footnoteRef/>
      </w:r>
      <w:r>
        <w:t xml:space="preserve"> Cross-references for "the rod": Exod 4:2; Exod 4:17.</w:t>
      </w:r>
    </w:p>
  </w:footnote>
  <w:footnote w:id="2881">
    <w:p>
      <w:pPr>
        <w:pStyle w:val="FootnoteText"/>
      </w:pPr>
      <w:r>
        <w:rPr>
          <w:rStyle w:val="FootnoteReference"/>
        </w:rPr>
        <w:footnoteRef/>
      </w:r>
      <w:r>
        <w:t xml:space="preserve"> Translation note: Greek uses assemble-language here. Current line keeps that verb.</w:t>
      </w:r>
    </w:p>
  </w:footnote>
  <w:footnote w:id="2882">
    <w:p>
      <w:pPr>
        <w:pStyle w:val="FootnoteText"/>
      </w:pPr>
      <w:r>
        <w:rPr>
          <w:rStyle w:val="FootnoteReference"/>
        </w:rPr>
        <w:footnoteRef/>
      </w:r>
      <w:r>
        <w:t xml:space="preserve"> Cross-references for "sanctify": Lev 10:3; Num 27:14.</w:t>
      </w:r>
    </w:p>
  </w:footnote>
  <w:footnote w:id="2883">
    <w:p>
      <w:pPr>
        <w:pStyle w:val="FootnoteText"/>
      </w:pPr>
      <w:r>
        <w:rPr>
          <w:rStyle w:val="FootnoteReference"/>
        </w:rPr>
        <w:footnoteRef/>
      </w:r>
      <w:r>
        <w:t xml:space="preserve"> Cross-references for "the water": Deut 33:8; Ps 95:8.</w:t>
      </w:r>
    </w:p>
  </w:footnote>
  <w:footnote w:id="2884">
    <w:p>
      <w:pPr>
        <w:pStyle w:val="FootnoteText"/>
      </w:pPr>
      <w:r>
        <w:rPr>
          <w:rStyle w:val="FootnoteReference"/>
        </w:rPr>
        <w:footnoteRef/>
      </w:r>
      <w:r>
        <w:t xml:space="preserve"> Cross-references for "Moses": Judg 11:16-17.</w:t>
      </w:r>
    </w:p>
  </w:footnote>
  <w:footnote w:id="2885">
    <w:p>
      <w:pPr>
        <w:pStyle w:val="FootnoteText"/>
      </w:pPr>
      <w:r>
        <w:rPr>
          <w:rStyle w:val="FootnoteReference"/>
        </w:rPr>
        <w:footnoteRef/>
      </w:r>
      <w:r>
        <w:t xml:space="preserve"> Cross-references for "our fathers": Gen 46:6; Acts 7:15.</w:t>
      </w:r>
    </w:p>
  </w:footnote>
  <w:footnote w:id="2886">
    <w:p>
      <w:pPr>
        <w:pStyle w:val="FootnoteText"/>
      </w:pPr>
      <w:r>
        <w:rPr>
          <w:rStyle w:val="FootnoteReference"/>
        </w:rPr>
        <w:footnoteRef/>
      </w:r>
      <w:r>
        <w:t xml:space="preserve"> Cross-references for "we cried": Exod 2:23-24; Exod 3:7-9.</w:t>
      </w:r>
    </w:p>
  </w:footnote>
  <w:footnote w:id="2887">
    <w:p>
      <w:pPr>
        <w:pStyle w:val="FootnoteText"/>
      </w:pPr>
      <w:r>
        <w:rPr>
          <w:rStyle w:val="FootnoteReference"/>
        </w:rPr>
        <w:footnoteRef/>
      </w:r>
      <w:r>
        <w:t xml:space="preserve"> Translation note: Greek says cistern here. Current line keeps that wording.</w:t>
      </w:r>
    </w:p>
  </w:footnote>
  <w:footnote w:id="2888">
    <w:p>
      <w:pPr>
        <w:pStyle w:val="FootnoteText"/>
      </w:pPr>
      <w:r>
        <w:rPr>
          <w:rStyle w:val="FootnoteReference"/>
        </w:rPr>
        <w:footnoteRef/>
      </w:r>
      <w:r>
        <w:t xml:space="preserve"> Cross-references for "And Edom": Obad 1:10-15.</w:t>
      </w:r>
    </w:p>
  </w:footnote>
  <w:footnote w:id="2889">
    <w:p>
      <w:pPr>
        <w:pStyle w:val="FootnoteText"/>
      </w:pPr>
      <w:r>
        <w:rPr>
          <w:rStyle w:val="FootnoteReference"/>
        </w:rPr>
        <w:footnoteRef/>
      </w:r>
      <w:r>
        <w:t xml:space="preserve"> Cross-references for "Kadesh": Num 13:26; Num 20:1.</w:t>
      </w:r>
    </w:p>
  </w:footnote>
  <w:footnote w:id="2890">
    <w:p>
      <w:pPr>
        <w:pStyle w:val="FootnoteText"/>
      </w:pPr>
      <w:r>
        <w:rPr>
          <w:rStyle w:val="FootnoteReference"/>
        </w:rPr>
        <w:footnoteRef/>
      </w:r>
      <w:r>
        <w:t xml:space="preserve"> Transliterated proper noun: Hor. Standard English equivalent: Hor. Source form: Hor. Greek form: ωρ. Name meaning: who conceives, or shows; a hill.</w:t>
      </w:r>
    </w:p>
  </w:footnote>
  <w:footnote w:id="2891">
    <w:p>
      <w:pPr>
        <w:pStyle w:val="FootnoteText"/>
      </w:pPr>
      <w:r>
        <w:rPr>
          <w:rStyle w:val="FootnoteReference"/>
        </w:rPr>
        <w:footnoteRef/>
      </w:r>
      <w:r>
        <w:t xml:space="preserve"> Translation note: Greek uses the being-added death formula after the robe transfer. Current wording preserves that sequence.</w:t>
      </w:r>
    </w:p>
  </w:footnote>
  <w:footnote w:id="2892">
    <w:p>
      <w:pPr>
        <w:pStyle w:val="FootnoteText"/>
      </w:pPr>
      <w:r>
        <w:rPr>
          <w:rStyle w:val="FootnoteReference"/>
        </w:rPr>
        <w:footnoteRef/>
      </w:r>
      <w:r>
        <w:t xml:space="preserve"> Cross-references for "Moses": Exod 29:29-30; Num 20:26.</w:t>
      </w:r>
    </w:p>
  </w:footnote>
  <w:footnote w:id="2893">
    <w:p>
      <w:pPr>
        <w:pStyle w:val="FootnoteText"/>
      </w:pPr>
      <w:r>
        <w:rPr>
          <w:rStyle w:val="FootnoteReference"/>
        </w:rPr>
        <w:footnoteRef/>
      </w:r>
      <w:r>
        <w:t xml:space="preserve"> Transliterated proper noun: Arad. Standard English equivalent: Arad. Source form: Arad. Greek form: αραδ. Name meaning: a wild ass; a dragon.</w:t>
      </w:r>
    </w:p>
  </w:footnote>
  <w:footnote w:id="2894">
    <w:p>
      <w:pPr>
        <w:pStyle w:val="FootnoteText"/>
      </w:pPr>
      <w:r>
        <w:rPr>
          <w:rStyle w:val="FootnoteReference"/>
        </w:rPr>
        <w:footnoteRef/>
      </w:r>
      <w:r>
        <w:t xml:space="preserve"> Place name: Atharim. Place-name meaning: Atharim — places; tracks; route name. Source form: Atharim. Greek form: αθαριν.</w:t>
      </w:r>
    </w:p>
  </w:footnote>
  <w:footnote w:id="2895">
    <w:p>
      <w:pPr>
        <w:pStyle w:val="FootnoteText"/>
      </w:pPr>
      <w:r>
        <w:rPr>
          <w:rStyle w:val="FootnoteReference"/>
        </w:rPr>
        <w:footnoteRef/>
      </w:r>
      <w:r>
        <w:t xml:space="preserve"> Cross-references for "Arad": Num 33:40; Josh 12:14.</w:t>
      </w:r>
    </w:p>
  </w:footnote>
  <w:footnote w:id="2896">
    <w:p>
      <w:pPr>
        <w:pStyle w:val="FootnoteText"/>
      </w:pPr>
      <w:r>
        <w:rPr>
          <w:rStyle w:val="FootnoteReference"/>
        </w:rPr>
        <w:footnoteRef/>
      </w:r>
      <w:r>
        <w:t xml:space="preserve"> Cross-references for "vowed": Gen 28:20; Judg 11:30.</w:t>
      </w:r>
    </w:p>
  </w:footnote>
  <w:footnote w:id="2897">
    <w:p>
      <w:pPr>
        <w:pStyle w:val="FootnoteText"/>
      </w:pPr>
      <w:r>
        <w:rPr>
          <w:rStyle w:val="FootnoteReference"/>
        </w:rPr>
        <w:footnoteRef/>
      </w:r>
      <w:r>
        <w:t xml:space="preserve"> Cross-references for "the name": Num 14:45; Deut 1:44.</w:t>
      </w:r>
    </w:p>
  </w:footnote>
  <w:footnote w:id="2898">
    <w:p>
      <w:pPr>
        <w:pStyle w:val="FootnoteText"/>
      </w:pPr>
      <w:r>
        <w:rPr>
          <w:rStyle w:val="FootnoteReference"/>
        </w:rPr>
        <w:footnoteRef/>
      </w:r>
      <w:r>
        <w:t xml:space="preserve"> Cross-references for "Mount Hor": Num 20:22-23; Num 20:27.</w:t>
      </w:r>
    </w:p>
  </w:footnote>
  <w:footnote w:id="2899">
    <w:p>
      <w:pPr>
        <w:pStyle w:val="FootnoteText"/>
      </w:pPr>
      <w:r>
        <w:rPr>
          <w:rStyle w:val="FootnoteReference"/>
        </w:rPr>
        <w:footnoteRef/>
      </w:r>
      <w:r>
        <w:t xml:space="preserve"> Cross-references for "and our soul": Exod 16:15; Exod 16:31.</w:t>
      </w:r>
    </w:p>
  </w:footnote>
  <w:footnote w:id="2900">
    <w:p>
      <w:pPr>
        <w:pStyle w:val="FootnoteText"/>
      </w:pPr>
      <w:r>
        <w:rPr>
          <w:rStyle w:val="FootnoteReference"/>
        </w:rPr>
        <w:footnoteRef/>
      </w:r>
      <w:r>
        <w:t xml:space="preserve"> Translation note: Greek says soul loathed this empty bread.</w:t>
      </w:r>
    </w:p>
  </w:footnote>
  <w:footnote w:id="2901">
    <w:p>
      <w:pPr>
        <w:pStyle w:val="FootnoteText"/>
      </w:pPr>
      <w:r>
        <w:rPr>
          <w:rStyle w:val="FootnoteReference"/>
        </w:rPr>
        <w:footnoteRef/>
      </w:r>
      <w:r>
        <w:t xml:space="preserve"> Translation note: Greek uses iterative or continuing were-saying form here. Current line keeps it.</w:t>
      </w:r>
    </w:p>
  </w:footnote>
  <w:footnote w:id="2902">
    <w:p>
      <w:pPr>
        <w:pStyle w:val="FootnoteText"/>
      </w:pPr>
      <w:r>
        <w:rPr>
          <w:rStyle w:val="FootnoteReference"/>
        </w:rPr>
        <w:footnoteRef/>
      </w:r>
      <w:r>
        <w:t xml:space="preserve"> Cross-references for "Pray": Exod 8:8; Exod 8:28.</w:t>
      </w:r>
    </w:p>
  </w:footnote>
  <w:footnote w:id="2903">
    <w:p>
      <w:pPr>
        <w:pStyle w:val="FootnoteText"/>
      </w:pPr>
      <w:r>
        <w:rPr>
          <w:rStyle w:val="FootnoteReference"/>
        </w:rPr>
        <w:footnoteRef/>
      </w:r>
      <w:r>
        <w:t xml:space="preserve"> Cross-references for "he lived": John 6:40; Rom 1:17.</w:t>
      </w:r>
    </w:p>
  </w:footnote>
  <w:footnote w:id="2904">
    <w:p>
      <w:pPr>
        <w:pStyle w:val="FootnoteText"/>
      </w:pPr>
      <w:r>
        <w:rPr>
          <w:rStyle w:val="FootnoteReference"/>
        </w:rPr>
        <w:footnoteRef/>
      </w:r>
      <w:r>
        <w:t xml:space="preserve"> Place name: Oboth. Place-name meaning: Oboth — dragons; fathers; desires. Source form: Oboth. Greek form: ωβωθ.</w:t>
      </w:r>
    </w:p>
  </w:footnote>
  <w:footnote w:id="2905">
    <w:p>
      <w:pPr>
        <w:pStyle w:val="FootnoteText"/>
      </w:pPr>
      <w:r>
        <w:rPr>
          <w:rStyle w:val="FootnoteReference"/>
        </w:rPr>
        <w:footnoteRef/>
      </w:r>
      <w:r>
        <w:t xml:space="preserve"> Transliterated proper noun: Zared. Standard English equivalent: Zared. Source form: Zared. Greek form: ζαρετ. Name meaning: strange descent.</w:t>
      </w:r>
    </w:p>
  </w:footnote>
  <w:footnote w:id="2906">
    <w:p>
      <w:pPr>
        <w:pStyle w:val="FootnoteText"/>
      </w:pPr>
      <w:r>
        <w:rPr>
          <w:rStyle w:val="FootnoteReference"/>
        </w:rPr>
        <w:footnoteRef/>
      </w:r>
      <w:r>
        <w:t xml:space="preserve"> Translation note: Greek gives the geography in a compact descriptive line. Current wording keeps it plain.</w:t>
      </w:r>
    </w:p>
  </w:footnote>
  <w:footnote w:id="2907">
    <w:p>
      <w:pPr>
        <w:pStyle w:val="FootnoteText"/>
      </w:pPr>
      <w:r>
        <w:rPr>
          <w:rStyle w:val="FootnoteReference"/>
        </w:rPr>
        <w:footnoteRef/>
      </w:r>
      <w:r>
        <w:t xml:space="preserve"> Place name: Arnon. Place-name meaning: Arnon — rejoicing; sunlight. Source form: Arnon. Greek form: αρνων.</w:t>
      </w:r>
    </w:p>
  </w:footnote>
  <w:footnote w:id="2908">
    <w:p>
      <w:pPr>
        <w:pStyle w:val="FootnoteText"/>
      </w:pPr>
      <w:r>
        <w:rPr>
          <w:rStyle w:val="FootnoteReference"/>
        </w:rPr>
        <w:footnoteRef/>
      </w:r>
      <w:r>
        <w:t xml:space="preserve"> Cross-references for "in the Book": Josh 10:13; 2Sam 1:18.</w:t>
      </w:r>
    </w:p>
  </w:footnote>
  <w:footnote w:id="2909">
    <w:p>
      <w:pPr>
        <w:pStyle w:val="FootnoteText"/>
      </w:pPr>
      <w:r>
        <w:rPr>
          <w:rStyle w:val="FootnoteReference"/>
        </w:rPr>
        <w:footnoteRef/>
      </w:r>
      <w:r>
        <w:t xml:space="preserve"> Place name: Ar. Place-name meaning: Ar — awakening; uncovering. Source form: Ar. Greek form: ηρ.</w:t>
      </w:r>
    </w:p>
  </w:footnote>
  <w:footnote w:id="2910">
    <w:p>
      <w:pPr>
        <w:pStyle w:val="FootnoteText"/>
      </w:pPr>
      <w:r>
        <w:rPr>
          <w:rStyle w:val="FootnoteReference"/>
        </w:rPr>
        <w:footnoteRef/>
      </w:r>
      <w:r>
        <w:t xml:space="preserve"> Cross-references for "Gather": Exod 17:6; Num 20:8.</w:t>
      </w:r>
    </w:p>
  </w:footnote>
  <w:footnote w:id="2911">
    <w:p>
      <w:pPr>
        <w:pStyle w:val="FootnoteText"/>
      </w:pPr>
      <w:r>
        <w:rPr>
          <w:rStyle w:val="FootnoteReference"/>
        </w:rPr>
        <w:footnoteRef/>
      </w:r>
      <w:r>
        <w:t xml:space="preserve"> Cross-references for "sang": Exod 15:1-2; Judg 5:1.</w:t>
      </w:r>
    </w:p>
  </w:footnote>
  <w:footnote w:id="2912">
    <w:p>
      <w:pPr>
        <w:pStyle w:val="FootnoteText"/>
      </w:pPr>
      <w:r>
        <w:rPr>
          <w:rStyle w:val="FootnoteReference"/>
        </w:rPr>
        <w:footnoteRef/>
      </w:r>
      <w:r>
        <w:t xml:space="preserve"> Cross-references for "And from": Num 33:45-47.</w:t>
      </w:r>
    </w:p>
  </w:footnote>
  <w:footnote w:id="2913">
    <w:p>
      <w:pPr>
        <w:pStyle w:val="FootnoteText"/>
      </w:pPr>
      <w:r>
        <w:rPr>
          <w:rStyle w:val="FootnoteReference"/>
        </w:rPr>
        <w:footnoteRef/>
      </w:r>
      <w:r>
        <w:t xml:space="preserve"> Place name: Mattanah. Place-name meaning: Mattanah — gift. Source form: Mattanah. Greek form: μανθαναιν.</w:t>
      </w:r>
    </w:p>
  </w:footnote>
  <w:footnote w:id="2914">
    <w:p>
      <w:pPr>
        <w:pStyle w:val="FootnoteText"/>
      </w:pPr>
      <w:r>
        <w:rPr>
          <w:rStyle w:val="FootnoteReference"/>
        </w:rPr>
        <w:footnoteRef/>
      </w:r>
      <w:r>
        <w:t xml:space="preserve"> Place name: Nahaliel. Place-name meaning: Nahaliel — inheritance; valley of God. Source form: Nahaliel. Greek form: νααλιηλ.</w:t>
      </w:r>
    </w:p>
  </w:footnote>
  <w:footnote w:id="2915">
    <w:p>
      <w:pPr>
        <w:pStyle w:val="FootnoteText"/>
      </w:pPr>
      <w:r>
        <w:rPr>
          <w:rStyle w:val="FootnoteReference"/>
        </w:rPr>
        <w:footnoteRef/>
      </w:r>
      <w:r>
        <w:t xml:space="preserve"> Place name: Bamoth. Place-name meaning: Bamoth — high places. Source form: Bamoth. Greek form: βαμωθ.</w:t>
      </w:r>
    </w:p>
  </w:footnote>
  <w:footnote w:id="2916">
    <w:p>
      <w:pPr>
        <w:pStyle w:val="FootnoteText"/>
      </w:pPr>
      <w:r>
        <w:rPr>
          <w:rStyle w:val="FootnoteReference"/>
        </w:rPr>
        <w:footnoteRef/>
      </w:r>
      <w:r>
        <w:t xml:space="preserve"> Translation note: Greek keeps the route list terse. Current wording preserves the sequence.</w:t>
      </w:r>
    </w:p>
  </w:footnote>
  <w:footnote w:id="2917">
    <w:p>
      <w:pPr>
        <w:pStyle w:val="FootnoteText"/>
      </w:pPr>
      <w:r>
        <w:rPr>
          <w:rStyle w:val="FootnoteReference"/>
        </w:rPr>
        <w:footnoteRef/>
      </w:r>
      <w:r>
        <w:t xml:space="preserve"> Personal name: Sihon. Personal-name meaning: Sihon — rooting out; conclusion. Source form: Sihon.</w:t>
      </w:r>
    </w:p>
  </w:footnote>
  <w:footnote w:id="2918">
    <w:p>
      <w:pPr>
        <w:pStyle w:val="FootnoteText"/>
      </w:pPr>
      <w:r>
        <w:rPr>
          <w:rStyle w:val="FootnoteReference"/>
        </w:rPr>
        <w:footnoteRef/>
      </w:r>
      <w:r>
        <w:t xml:space="preserve"> Translation note: Greek uses pass-through-borders wording and repeats battle-array language later in the verse. Current wording keeps that structure visible.</w:t>
      </w:r>
    </w:p>
  </w:footnote>
  <w:footnote w:id="2919">
    <w:p>
      <w:pPr>
        <w:pStyle w:val="FootnoteText"/>
      </w:pPr>
      <w:r>
        <w:rPr>
          <w:rStyle w:val="FootnoteReference"/>
        </w:rPr>
        <w:footnoteRef/>
      </w:r>
      <w:r>
        <w:t xml:space="preserve"> Place name: Jahaz. Place-name meaning: Jahaz — quarrel; dispute. Source form: Jahaz. Greek form: ιασσα.</w:t>
      </w:r>
    </w:p>
  </w:footnote>
  <w:footnote w:id="2920">
    <w:p>
      <w:pPr>
        <w:pStyle w:val="FootnoteText"/>
      </w:pPr>
      <w:r>
        <w:rPr>
          <w:rStyle w:val="FootnoteReference"/>
        </w:rPr>
        <w:footnoteRef/>
      </w:r>
      <w:r>
        <w:t xml:space="preserve"> Cross-references for "Jahaz": Judg 11:20; Isa 15:4.</w:t>
      </w:r>
    </w:p>
  </w:footnote>
  <w:footnote w:id="2921">
    <w:p>
      <w:pPr>
        <w:pStyle w:val="FootnoteText"/>
      </w:pPr>
      <w:r>
        <w:rPr>
          <w:rStyle w:val="FootnoteReference"/>
        </w:rPr>
        <w:footnoteRef/>
      </w:r>
      <w:r>
        <w:t xml:space="preserve"> Cross-references for "Israel": Num 32:1-4; Num 32:33-42.</w:t>
      </w:r>
    </w:p>
  </w:footnote>
  <w:footnote w:id="2922">
    <w:p>
      <w:pPr>
        <w:pStyle w:val="FootnoteText"/>
      </w:pPr>
      <w:r>
        <w:rPr>
          <w:rStyle w:val="FootnoteReference"/>
        </w:rPr>
        <w:footnoteRef/>
      </w:r>
      <w:r>
        <w:t xml:space="preserve"> Transliterated proper noun: Ammon. Standard English equivalent: Ammon. Source form: Ammon. Greek form: αμμων. Name meaning: a people; the son of my people.</w:t>
      </w:r>
    </w:p>
  </w:footnote>
  <w:footnote w:id="2923">
    <w:p>
      <w:pPr>
        <w:pStyle w:val="FootnoteText"/>
      </w:pPr>
      <w:r>
        <w:rPr>
          <w:rStyle w:val="FootnoteReference"/>
        </w:rPr>
        <w:footnoteRef/>
      </w:r>
      <w:r>
        <w:t xml:space="preserve"> Place name: Heshbon. Place-name meaning: Heshbon — invention; industry. Source form: Heshbon. Greek form: εσεβων.</w:t>
      </w:r>
    </w:p>
  </w:footnote>
  <w:footnote w:id="2924">
    <w:p>
      <w:pPr>
        <w:pStyle w:val="FootnoteText"/>
      </w:pPr>
      <w:r>
        <w:rPr>
          <w:rStyle w:val="FootnoteReference"/>
        </w:rPr>
        <w:footnoteRef/>
      </w:r>
      <w:r>
        <w:t xml:space="preserve"> Cross-references for "in Heshbon": Song 7:4; Isa 15:4.</w:t>
      </w:r>
    </w:p>
  </w:footnote>
  <w:footnote w:id="2925">
    <w:p>
      <w:pPr>
        <w:pStyle w:val="FootnoteText"/>
      </w:pPr>
      <w:r>
        <w:rPr>
          <w:rStyle w:val="FootnoteReference"/>
        </w:rPr>
        <w:footnoteRef/>
      </w:r>
      <w:r>
        <w:t xml:space="preserve"> Place name: Aroer. Place-name meaning: Aroer — heath; tamarisk. Source form: Aroer. Greek form: αροηρ.</w:t>
      </w:r>
    </w:p>
  </w:footnote>
  <w:footnote w:id="2926">
    <w:p>
      <w:pPr>
        <w:pStyle w:val="FootnoteText"/>
      </w:pPr>
      <w:r>
        <w:rPr>
          <w:rStyle w:val="FootnoteReference"/>
        </w:rPr>
        <w:footnoteRef/>
      </w:r>
      <w:r>
        <w:t xml:space="preserve"> Cross-references for "Arnon": Num 21:26.</w:t>
      </w:r>
    </w:p>
  </w:footnote>
  <w:footnote w:id="2927">
    <w:p>
      <w:pPr>
        <w:pStyle w:val="FootnoteText"/>
      </w:pPr>
      <w:r>
        <w:rPr>
          <w:rStyle w:val="FootnoteReference"/>
        </w:rPr>
        <w:footnoteRef/>
      </w:r>
      <w:r>
        <w:t xml:space="preserve"> Divine or supernatural name: Chemosh. Divine/supernatural-name meaning: Chemosh — handling; stroking; taking away. Source form: Chemosh.</w:t>
      </w:r>
    </w:p>
  </w:footnote>
  <w:footnote w:id="2928">
    <w:p>
      <w:pPr>
        <w:pStyle w:val="FootnoteText"/>
      </w:pPr>
      <w:r>
        <w:rPr>
          <w:rStyle w:val="FootnoteReference"/>
        </w:rPr>
        <w:footnoteRef/>
      </w:r>
      <w:r>
        <w:t xml:space="preserve"> Place name: Dibon. Place-name meaning: Dibon — abundance of knowledge. Source form: Dibon. Greek form: δαιβων.</w:t>
      </w:r>
    </w:p>
  </w:footnote>
  <w:footnote w:id="2929">
    <w:p>
      <w:pPr>
        <w:pStyle w:val="FootnoteText"/>
      </w:pPr>
      <w:r>
        <w:rPr>
          <w:rStyle w:val="FootnoteReference"/>
        </w:rPr>
        <w:footnoteRef/>
      </w:r>
      <w:r>
        <w:t xml:space="preserve"> Cross-references for "Dibon": Num 32:34; Josh 13:17.</w:t>
      </w:r>
    </w:p>
  </w:footnote>
  <w:footnote w:id="2930">
    <w:p>
      <w:pPr>
        <w:pStyle w:val="FootnoteText"/>
      </w:pPr>
      <w:r>
        <w:rPr>
          <w:rStyle w:val="FootnoteReference"/>
        </w:rPr>
        <w:footnoteRef/>
      </w:r>
      <w:r>
        <w:t xml:space="preserve"> Cross-references for "Jaazer": Num 32:1; Num 32:35.</w:t>
      </w:r>
    </w:p>
  </w:footnote>
  <w:footnote w:id="2931">
    <w:p>
      <w:pPr>
        <w:pStyle w:val="FootnoteText"/>
      </w:pPr>
      <w:r>
        <w:rPr>
          <w:rStyle w:val="FootnoteReference"/>
        </w:rPr>
        <w:footnoteRef/>
      </w:r>
      <w:r>
        <w:t xml:space="preserve"> Place name: Bashan. Place-name meaning: Bashan — in the tooth, in ivory. Source form: Bashan. Greek form: βασαν.</w:t>
      </w:r>
    </w:p>
  </w:footnote>
  <w:footnote w:id="2932">
    <w:p>
      <w:pPr>
        <w:pStyle w:val="FootnoteText"/>
      </w:pPr>
      <w:r>
        <w:rPr>
          <w:rStyle w:val="FootnoteReference"/>
        </w:rPr>
        <w:footnoteRef/>
      </w:r>
      <w:r>
        <w:t xml:space="preserve"> Personal name: Og. Personal-name meaning: Og — a cake; bread baked in ashes. Source form: Og.</w:t>
      </w:r>
    </w:p>
  </w:footnote>
  <w:footnote w:id="2933">
    <w:p>
      <w:pPr>
        <w:pStyle w:val="FootnoteText"/>
      </w:pPr>
      <w:r>
        <w:rPr>
          <w:rStyle w:val="FootnoteReference"/>
        </w:rPr>
        <w:footnoteRef/>
      </w:r>
      <w:r>
        <w:t xml:space="preserve"> Place name: Edrei. Place-name meaning: Edrei — a very great mass, or cloud. Source form: Edrei. Greek form: εδραιν.</w:t>
      </w:r>
    </w:p>
  </w:footnote>
  <w:footnote w:id="2934">
    <w:p>
      <w:pPr>
        <w:pStyle w:val="FootnoteText"/>
      </w:pPr>
      <w:r>
        <w:rPr>
          <w:rStyle w:val="FootnoteReference"/>
        </w:rPr>
        <w:footnoteRef/>
      </w:r>
      <w:r>
        <w:t xml:space="preserve"> Cross-references for "Bashan": Deut 32:14; Ps 22:12.</w:t>
      </w:r>
    </w:p>
  </w:footnote>
  <w:footnote w:id="2935">
    <w:p>
      <w:pPr>
        <w:pStyle w:val="FootnoteText"/>
      </w:pPr>
      <w:r>
        <w:rPr>
          <w:rStyle w:val="FootnoteReference"/>
        </w:rPr>
        <w:footnoteRef/>
      </w:r>
      <w:r>
        <w:t xml:space="preserve"> Cross-references for "fear him": Num 14:9; Deut 3:2.</w:t>
      </w:r>
    </w:p>
  </w:footnote>
  <w:footnote w:id="2936">
    <w:p>
      <w:pPr>
        <w:pStyle w:val="FootnoteText"/>
      </w:pPr>
      <w:r>
        <w:rPr>
          <w:rStyle w:val="FootnoteReference"/>
        </w:rPr>
        <w:footnoteRef/>
      </w:r>
      <w:r>
        <w:t xml:space="preserve"> Translation note: Greek says handed him over here.</w:t>
      </w:r>
    </w:p>
  </w:footnote>
  <w:footnote w:id="2937">
    <w:p>
      <w:pPr>
        <w:pStyle w:val="FootnoteText"/>
      </w:pPr>
      <w:r>
        <w:rPr>
          <w:rStyle w:val="FootnoteReference"/>
        </w:rPr>
        <w:footnoteRef/>
      </w:r>
      <w:r>
        <w:t xml:space="preserve"> Place name: Jericho. Place-name meaning: Jericho — his moon; his month; his sweet smell. Source form: Jericho. Greek form: ιεριχω.</w:t>
      </w:r>
    </w:p>
  </w:footnote>
  <w:footnote w:id="2938">
    <w:p>
      <w:pPr>
        <w:pStyle w:val="FootnoteText"/>
      </w:pPr>
      <w:r>
        <w:rPr>
          <w:rStyle w:val="FootnoteReference"/>
        </w:rPr>
        <w:footnoteRef/>
      </w:r>
      <w:r>
        <w:t xml:space="preserve"> Translation note: Greek begins the scene with Balak's seeing. Current wording preserves that setup.</w:t>
      </w:r>
    </w:p>
  </w:footnote>
  <w:footnote w:id="2939">
    <w:p>
      <w:pPr>
        <w:pStyle w:val="FootnoteText"/>
      </w:pPr>
      <w:r>
        <w:rPr>
          <w:rStyle w:val="FootnoteReference"/>
        </w:rPr>
        <w:footnoteRef/>
      </w:r>
      <w:r>
        <w:t xml:space="preserve"> Personal name: Balak. Personal-name meaning: Balak — who lays waste or destroys. Source form: Balak.</w:t>
      </w:r>
    </w:p>
  </w:footnote>
  <w:footnote w:id="2940">
    <w:p>
      <w:pPr>
        <w:pStyle w:val="FootnoteText"/>
      </w:pPr>
      <w:r>
        <w:rPr>
          <w:rStyle w:val="FootnoteReference"/>
        </w:rPr>
        <w:footnoteRef/>
      </w:r>
      <w:r>
        <w:t xml:space="preserve"> Personal name: Zippor. Personal-name meaning: Zippor — bird; sparrow; crown; desert. Source form: Zippor.</w:t>
      </w:r>
    </w:p>
  </w:footnote>
  <w:footnote w:id="2941">
    <w:p>
      <w:pPr>
        <w:pStyle w:val="FootnoteText"/>
      </w:pPr>
      <w:r>
        <w:rPr>
          <w:rStyle w:val="FootnoteReference"/>
        </w:rPr>
        <w:footnoteRef/>
      </w:r>
      <w:r>
        <w:t xml:space="preserve"> Cross-references for "elders": Num 22:7; Num 25:15-18.</w:t>
      </w:r>
    </w:p>
  </w:footnote>
  <w:footnote w:id="2942">
    <w:p>
      <w:pPr>
        <w:pStyle w:val="FootnoteText"/>
      </w:pPr>
      <w:r>
        <w:rPr>
          <w:rStyle w:val="FootnoteReference"/>
        </w:rPr>
        <w:footnoteRef/>
      </w:r>
      <w:r>
        <w:t xml:space="preserve"> Translation note: Greek uses calf and green growth rather than the more common ox and grass wording. The translation keeps those details.</w:t>
      </w:r>
    </w:p>
  </w:footnote>
  <w:footnote w:id="2943">
    <w:p>
      <w:pPr>
        <w:pStyle w:val="FootnoteText"/>
      </w:pPr>
      <w:r>
        <w:rPr>
          <w:rStyle w:val="FootnoteReference"/>
        </w:rPr>
        <w:footnoteRef/>
      </w:r>
      <w:r>
        <w:t xml:space="preserve"> Cross-references for "sent": Deut 23:4; Josh 13:22.</w:t>
      </w:r>
    </w:p>
  </w:footnote>
  <w:footnote w:id="2944">
    <w:p>
      <w:pPr>
        <w:pStyle w:val="FootnoteText"/>
      </w:pPr>
      <w:r>
        <w:rPr>
          <w:rStyle w:val="FootnoteReference"/>
        </w:rPr>
        <w:footnoteRef/>
      </w:r>
      <w:r>
        <w:t xml:space="preserve"> Name meaning: Balaam (Bil'am) — Not of the people; devourer. Foreign diviner whose blessing-oracles God turned toward Israel's good.</w:t>
      </w:r>
    </w:p>
  </w:footnote>
  <w:footnote w:id="2945">
    <w:p>
      <w:pPr>
        <w:pStyle w:val="FootnoteText"/>
      </w:pPr>
      <w:r>
        <w:rPr>
          <w:rStyle w:val="FootnoteReference"/>
        </w:rPr>
        <w:footnoteRef/>
      </w:r>
      <w:r>
        <w:t xml:space="preserve"> Translation note: Greek says envoys and Pathoura and it sits beside me.</w:t>
      </w:r>
    </w:p>
  </w:footnote>
  <w:footnote w:id="2946">
    <w:p>
      <w:pPr>
        <w:pStyle w:val="FootnoteText"/>
      </w:pPr>
      <w:r>
        <w:rPr>
          <w:rStyle w:val="FootnoteReference"/>
        </w:rPr>
        <w:footnoteRef/>
      </w:r>
      <w:r>
        <w:t xml:space="preserve"> Cross-references for "princes": Num 22:7-8; Acts 10:7-8.</w:t>
      </w:r>
    </w:p>
  </w:footnote>
  <w:footnote w:id="2947">
    <w:p>
      <w:pPr>
        <w:pStyle w:val="FootnoteText"/>
      </w:pPr>
      <w:r>
        <w:rPr>
          <w:rStyle w:val="FootnoteReference"/>
        </w:rPr>
        <w:footnoteRef/>
      </w:r>
      <w:r>
        <w:t xml:space="preserve"> Cross-references for "If Balak": Num 24:13; Titus 1:16.</w:t>
      </w:r>
    </w:p>
  </w:footnote>
  <w:footnote w:id="2948">
    <w:p>
      <w:pPr>
        <w:pStyle w:val="FootnoteText"/>
      </w:pPr>
      <w:r>
        <w:rPr>
          <w:rStyle w:val="FootnoteReference"/>
        </w:rPr>
        <w:footnoteRef/>
      </w:r>
      <w:r>
        <w:t xml:space="preserve"> Translation note: Greek keeps Balaam's refusal tightly tied to the Lord's word, including the small-great and in-my-mind wording later in the line. Current wording keeps that shape.</w:t>
      </w:r>
    </w:p>
  </w:footnote>
  <w:footnote w:id="2949">
    <w:p>
      <w:pPr>
        <w:pStyle w:val="FootnoteText"/>
      </w:pPr>
      <w:r>
        <w:rPr>
          <w:rStyle w:val="FootnoteReference"/>
        </w:rPr>
        <w:footnoteRef/>
      </w:r>
      <w:r>
        <w:t xml:space="preserve"> Translation note: The angel does not simply appear. Greek marks active opposition against Balaam's path, and later context presents the figure as openly angelic rather than merely human courier.</w:t>
      </w:r>
    </w:p>
  </w:footnote>
  <w:footnote w:id="2950">
    <w:p>
      <w:pPr>
        <w:pStyle w:val="FootnoteText"/>
      </w:pPr>
      <w:r>
        <w:rPr>
          <w:rStyle w:val="FootnoteReference"/>
        </w:rPr>
        <w:footnoteRef/>
      </w:r>
      <w:r>
        <w:t xml:space="preserve"> Cross-references for "and the angel": Gen 48:15-16; Exod 3:2-6.</w:t>
      </w:r>
    </w:p>
  </w:footnote>
  <w:footnote w:id="2951">
    <w:p>
      <w:pPr>
        <w:pStyle w:val="FootnoteText"/>
      </w:pPr>
      <w:r>
        <w:rPr>
          <w:rStyle w:val="FootnoteReference"/>
        </w:rPr>
        <w:footnoteRef/>
      </w:r>
      <w:r>
        <w:t xml:space="preserve"> Translation note: Greek says angel of God here and sword drawn in his hand.</w:t>
      </w:r>
    </w:p>
  </w:footnote>
  <w:footnote w:id="2952">
    <w:p>
      <w:pPr>
        <w:pStyle w:val="FootnoteText"/>
      </w:pPr>
      <w:r>
        <w:rPr>
          <w:rStyle w:val="FootnoteReference"/>
        </w:rPr>
        <w:footnoteRef/>
      </w:r>
      <w:r>
        <w:t xml:space="preserve"> Cross-references for "crushed Balaam's": Job 5:13-15; Isa 47:12.</w:t>
      </w:r>
    </w:p>
  </w:footnote>
  <w:footnote w:id="2953">
    <w:p>
      <w:pPr>
        <w:pStyle w:val="FootnoteText"/>
      </w:pPr>
      <w:r>
        <w:rPr>
          <w:rStyle w:val="FootnoteReference"/>
        </w:rPr>
        <w:footnoteRef/>
      </w:r>
      <w:r>
        <w:t xml:space="preserve"> Cross-references for "What have I": Rom 8:22.</w:t>
      </w:r>
    </w:p>
  </w:footnote>
  <w:footnote w:id="2954">
    <w:p>
      <w:pPr>
        <w:pStyle w:val="FootnoteText"/>
      </w:pPr>
      <w:r>
        <w:rPr>
          <w:rStyle w:val="FootnoteReference"/>
        </w:rPr>
        <w:footnoteRef/>
      </w:r>
      <w:r>
        <w:t xml:space="preserve"> Cross-references for "before me": Exod 3:2-6; Num 22:20.</w:t>
      </w:r>
    </w:p>
  </w:footnote>
  <w:footnote w:id="2955">
    <w:p>
      <w:pPr>
        <w:pStyle w:val="FootnoteText"/>
      </w:pPr>
      <w:r>
        <w:rPr>
          <w:rStyle w:val="FootnoteReference"/>
        </w:rPr>
        <w:footnoteRef/>
      </w:r>
      <w:r>
        <w:t xml:space="preserve"> Translation note: Greek closes with Balaam's conditional retreat line. Current wording keeps it plain.</w:t>
      </w:r>
    </w:p>
  </w:footnote>
  <w:footnote w:id="2956">
    <w:p>
      <w:pPr>
        <w:pStyle w:val="FootnoteText"/>
      </w:pPr>
      <w:r>
        <w:rPr>
          <w:rStyle w:val="FootnoteReference"/>
        </w:rPr>
        <w:footnoteRef/>
      </w:r>
      <w:r>
        <w:t xml:space="preserve"> Cross-references for "went": Gen 14:17; Gen 18:2.</w:t>
      </w:r>
    </w:p>
  </w:footnote>
  <w:footnote w:id="2957">
    <w:p>
      <w:pPr>
        <w:pStyle w:val="FootnoteText"/>
      </w:pPr>
      <w:r>
        <w:rPr>
          <w:rStyle w:val="FootnoteReference"/>
        </w:rPr>
        <w:footnoteRef/>
      </w:r>
      <w:r>
        <w:t xml:space="preserve"> Cross-references for "The word": Num 23:16; Num 23:26.</w:t>
      </w:r>
    </w:p>
  </w:footnote>
  <w:footnote w:id="2958">
    <w:p>
      <w:pPr>
        <w:pStyle w:val="FootnoteText"/>
      </w:pPr>
      <w:r>
        <w:rPr>
          <w:rStyle w:val="FootnoteReference"/>
        </w:rPr>
        <w:footnoteRef/>
      </w:r>
      <w:r>
        <w:t xml:space="preserve"> Transliterated proper noun: Baal. Standard English equivalent: Baal. Source form: Baal. Greek form: βααλ. Name meaning: master; lord.</w:t>
      </w:r>
    </w:p>
  </w:footnote>
  <w:footnote w:id="2959">
    <w:p>
      <w:pPr>
        <w:pStyle w:val="FootnoteText"/>
      </w:pPr>
      <w:r>
        <w:rPr>
          <w:rStyle w:val="FootnoteReference"/>
        </w:rPr>
        <w:footnoteRef/>
      </w:r>
      <w:r>
        <w:t xml:space="preserve"> Cross-references for "seven altars": Exod 20:24; Exod 27:1-8.</w:t>
      </w:r>
    </w:p>
  </w:footnote>
  <w:footnote w:id="2960">
    <w:p>
      <w:pPr>
        <w:pStyle w:val="FootnoteText"/>
      </w:pPr>
      <w:r>
        <w:rPr>
          <w:rStyle w:val="FootnoteReference"/>
        </w:rPr>
        <w:footnoteRef/>
      </w:r>
      <w:r>
        <w:t xml:space="preserve"> Cross-references for "offered": Num 23:14; Num 23:30.</w:t>
      </w:r>
    </w:p>
  </w:footnote>
  <w:footnote w:id="2961">
    <w:p>
      <w:pPr>
        <w:pStyle w:val="FootnoteText"/>
      </w:pPr>
      <w:r>
        <w:rPr>
          <w:rStyle w:val="FootnoteReference"/>
        </w:rPr>
        <w:footnoteRef/>
      </w:r>
      <w:r>
        <w:t xml:space="preserve"> Cross-references for "Stand": Num 23:15.</w:t>
      </w:r>
    </w:p>
  </w:footnote>
  <w:footnote w:id="2962">
    <w:p>
      <w:pPr>
        <w:pStyle w:val="FootnoteText"/>
      </w:pPr>
      <w:r>
        <w:rPr>
          <w:rStyle w:val="FootnoteReference"/>
        </w:rPr>
        <w:footnoteRef/>
      </w:r>
      <w:r>
        <w:t xml:space="preserve"> Cross-references for "I have prepared": Num 23:1; Isa 58:3-4.</w:t>
      </w:r>
    </w:p>
  </w:footnote>
  <w:footnote w:id="2963">
    <w:p>
      <w:pPr>
        <w:pStyle w:val="FootnoteText"/>
      </w:pPr>
      <w:r>
        <w:rPr>
          <w:rStyle w:val="FootnoteReference"/>
        </w:rPr>
        <w:footnoteRef/>
      </w:r>
      <w:r>
        <w:t xml:space="preserve"> Translation note: Greek uses the direct mouth formula for Balaam's oracle. Current wording preserves that prophetic line.</w:t>
      </w:r>
    </w:p>
  </w:footnote>
  <w:footnote w:id="2964">
    <w:p>
      <w:pPr>
        <w:pStyle w:val="FootnoteText"/>
      </w:pPr>
      <w:r>
        <w:rPr>
          <w:rStyle w:val="FootnoteReference"/>
        </w:rPr>
        <w:footnoteRef/>
      </w:r>
      <w:r>
        <w:t xml:space="preserve"> Cross-references for "dwell alone": Exod 19:5-6; Exod 33:16.</w:t>
      </w:r>
    </w:p>
  </w:footnote>
  <w:footnote w:id="2965">
    <w:p>
      <w:pPr>
        <w:pStyle w:val="FootnoteText"/>
      </w:pPr>
      <w:r>
        <w:rPr>
          <w:rStyle w:val="FootnoteReference"/>
        </w:rPr>
        <w:footnoteRef/>
      </w:r>
      <w:r>
        <w:t xml:space="preserve"> Cross-references for "The Lord": Exod 13:21; Exod 29:45-46.</w:t>
      </w:r>
    </w:p>
  </w:footnote>
  <w:footnote w:id="2966">
    <w:p>
      <w:pPr>
        <w:pStyle w:val="FootnoteText"/>
      </w:pPr>
      <w:r>
        <w:rPr>
          <w:rStyle w:val="FootnoteReference"/>
        </w:rPr>
        <w:footnoteRef/>
      </w:r>
      <w:r>
        <w:t xml:space="preserve"> Cross-references for "the Spirit": Num 11:25-29; 1Sam 10:10.</w:t>
      </w:r>
    </w:p>
  </w:footnote>
  <w:footnote w:id="2967">
    <w:p>
      <w:pPr>
        <w:pStyle w:val="FootnoteText"/>
      </w:pPr>
      <w:r>
        <w:rPr>
          <w:rStyle w:val="FootnoteReference"/>
        </w:rPr>
        <w:footnoteRef/>
      </w:r>
      <w:r>
        <w:t xml:space="preserve"> Cross-references for "his kingdom": 2Sam 5:12; 1Kgs 4:21.</w:t>
      </w:r>
    </w:p>
  </w:footnote>
  <w:footnote w:id="2968">
    <w:p>
      <w:pPr>
        <w:pStyle w:val="FootnoteText"/>
      </w:pPr>
      <w:r>
        <w:rPr>
          <w:rStyle w:val="FootnoteReference"/>
        </w:rPr>
        <w:footnoteRef/>
      </w:r>
      <w:r>
        <w:t xml:space="preserve"> People-name: Gog. People-name meaning: Gog — roof; covering. Source form: Gog.</w:t>
      </w:r>
    </w:p>
  </w:footnote>
  <w:footnote w:id="2969">
    <w:p>
      <w:pPr>
        <w:pStyle w:val="FootnoteText"/>
      </w:pPr>
      <w:r>
        <w:rPr>
          <w:rStyle w:val="FootnoteReference"/>
        </w:rPr>
        <w:footnoteRef/>
      </w:r>
      <w:r>
        <w:t xml:space="preserve"> Cross-references for "shall eat": Num 14:9; Num 23:24.</w:t>
      </w:r>
    </w:p>
  </w:footnote>
  <w:footnote w:id="2970">
    <w:p>
      <w:pPr>
        <w:pStyle w:val="FootnoteText"/>
      </w:pPr>
      <w:r>
        <w:rPr>
          <w:rStyle w:val="FootnoteReference"/>
        </w:rPr>
        <w:footnoteRef/>
      </w:r>
      <w:r>
        <w:t xml:space="preserve"> Cross-references for "blessed": Gen 12:3; Gen 27:29.</w:t>
      </w:r>
    </w:p>
  </w:footnote>
  <w:footnote w:id="2971">
    <w:p>
      <w:pPr>
        <w:pStyle w:val="FootnoteText"/>
      </w:pPr>
      <w:r>
        <w:rPr>
          <w:rStyle w:val="FootnoteReference"/>
        </w:rPr>
        <w:footnoteRef/>
      </w:r>
      <w:r>
        <w:t xml:space="preserve"> Translation note: Greek says clapped his hands here.</w:t>
      </w:r>
    </w:p>
  </w:footnote>
  <w:footnote w:id="2972">
    <w:p>
      <w:pPr>
        <w:pStyle w:val="FootnoteText"/>
      </w:pPr>
      <w:r>
        <w:rPr>
          <w:rStyle w:val="FootnoteReference"/>
        </w:rPr>
        <w:footnoteRef/>
      </w:r>
      <w:r>
        <w:t xml:space="preserve"> Cross-references for "I called": Num 22:6; Num 22:11.</w:t>
      </w:r>
    </w:p>
  </w:footnote>
  <w:footnote w:id="2973">
    <w:p>
      <w:pPr>
        <w:pStyle w:val="FootnoteText"/>
      </w:pPr>
      <w:r>
        <w:rPr>
          <w:rStyle w:val="FootnoteReference"/>
        </w:rPr>
        <w:footnoteRef/>
      </w:r>
      <w:r>
        <w:t xml:space="preserve"> Cross-references for "the Lord": Matt 19:28-30; Acts 8:20.</w:t>
      </w:r>
    </w:p>
  </w:footnote>
  <w:footnote w:id="2974">
    <w:p>
      <w:pPr>
        <w:pStyle w:val="FootnoteText"/>
      </w:pPr>
      <w:r>
        <w:rPr>
          <w:rStyle w:val="FootnoteReference"/>
        </w:rPr>
        <w:footnoteRef/>
      </w:r>
      <w:r>
        <w:t xml:space="preserve"> Cross-references for "A star": Matt 2:2-9; Luke 1:78.</w:t>
      </w:r>
    </w:p>
  </w:footnote>
  <w:footnote w:id="2975">
    <w:p>
      <w:pPr>
        <w:pStyle w:val="FootnoteText"/>
      </w:pPr>
      <w:r>
        <w:rPr>
          <w:rStyle w:val="FootnoteReference"/>
        </w:rPr>
        <w:footnoteRef/>
      </w:r>
      <w:r>
        <w:t xml:space="preserve"> Translation note: Greek says man here rather than scepter.</w:t>
      </w:r>
    </w:p>
  </w:footnote>
  <w:footnote w:id="2976">
    <w:p>
      <w:pPr>
        <w:pStyle w:val="FootnoteText"/>
      </w:pPr>
      <w:r>
        <w:rPr>
          <w:rStyle w:val="FootnoteReference"/>
        </w:rPr>
        <w:footnoteRef/>
      </w:r>
      <w:r>
        <w:t xml:space="preserve"> Transliterated proper noun: Kenite. Standard English equivalent: Kenites. Source form: Kenite. Greek form: και. Name meaning: possession; purchase; lamentation.</w:t>
      </w:r>
    </w:p>
  </w:footnote>
  <w:footnote w:id="2977">
    <w:p>
      <w:pPr>
        <w:pStyle w:val="FootnoteText"/>
      </w:pPr>
      <w:r>
        <w:rPr>
          <w:rStyle w:val="FootnoteReference"/>
        </w:rPr>
        <w:footnoteRef/>
      </w:r>
      <w:r>
        <w:t xml:space="preserve"> Translation note: Greek keeps the oracle's dwelling-place and nest-in-the-rock image direct. Current wording preserves that compact saying.</w:t>
      </w:r>
    </w:p>
  </w:footnote>
  <w:footnote w:id="2978">
    <w:p>
      <w:pPr>
        <w:pStyle w:val="FootnoteText"/>
      </w:pPr>
      <w:r>
        <w:rPr>
          <w:rStyle w:val="FootnoteReference"/>
        </w:rPr>
        <w:footnoteRef/>
      </w:r>
      <w:r>
        <w:t xml:space="preserve"> Cross-references for "when God": Num 23:23; 2Kgs 5:1.</w:t>
      </w:r>
    </w:p>
  </w:footnote>
  <w:footnote w:id="2979">
    <w:p>
      <w:pPr>
        <w:pStyle w:val="FootnoteText"/>
      </w:pPr>
      <w:r>
        <w:rPr>
          <w:rStyle w:val="FootnoteReference"/>
        </w:rPr>
        <w:footnoteRef/>
      </w:r>
      <w:r>
        <w:t xml:space="preserve"> Place name: Shittim. Place-name meaning: Shittim — thorns. Source form: Shittim. Greek form: σαττιν.</w:t>
      </w:r>
    </w:p>
  </w:footnote>
  <w:footnote w:id="2980">
    <w:p>
      <w:pPr>
        <w:pStyle w:val="FootnoteText"/>
      </w:pPr>
      <w:r>
        <w:rPr>
          <w:rStyle w:val="FootnoteReference"/>
        </w:rPr>
        <w:footnoteRef/>
      </w:r>
      <w:r>
        <w:t xml:space="preserve"> Cross-references for "Shittim": Num 33:49; Josh 2:1.</w:t>
      </w:r>
    </w:p>
  </w:footnote>
  <w:footnote w:id="2981">
    <w:p>
      <w:pPr>
        <w:pStyle w:val="FootnoteText"/>
      </w:pPr>
      <w:r>
        <w:rPr>
          <w:rStyle w:val="FootnoteReference"/>
        </w:rPr>
        <w:footnoteRef/>
      </w:r>
      <w:r>
        <w:t xml:space="preserve"> Cross-references for "they called": Exod 34:15-16; Josh 22:17.</w:t>
      </w:r>
    </w:p>
  </w:footnote>
  <w:footnote w:id="2982">
    <w:p>
      <w:pPr>
        <w:pStyle w:val="FootnoteText"/>
      </w:pPr>
      <w:r>
        <w:rPr>
          <w:rStyle w:val="FootnoteReference"/>
        </w:rPr>
        <w:footnoteRef/>
      </w:r>
      <w:r>
        <w:t xml:space="preserve"> Cross-references for "joined": Num 25:5; Deut 4:3-4.</w:t>
      </w:r>
    </w:p>
  </w:footnote>
  <w:footnote w:id="2983">
    <w:p>
      <w:pPr>
        <w:pStyle w:val="FootnoteText"/>
      </w:pPr>
      <w:r>
        <w:rPr>
          <w:rStyle w:val="FootnoteReference"/>
        </w:rPr>
        <w:footnoteRef/>
      </w:r>
      <w:r>
        <w:t xml:space="preserve"> Place name: Baal-peor. Place-name meaning: Baal-peor — master of the opening; lord of Peor. Source form: Baal-peor. Greek form: βεελφεγωρ.</w:t>
      </w:r>
    </w:p>
  </w:footnote>
  <w:footnote w:id="2984">
    <w:p>
      <w:pPr>
        <w:pStyle w:val="FootnoteText"/>
      </w:pPr>
      <w:r>
        <w:rPr>
          <w:rStyle w:val="FootnoteReference"/>
        </w:rPr>
        <w:footnoteRef/>
      </w:r>
      <w:r>
        <w:t xml:space="preserve"> Cross-references for "weeping": Judg 2:4; Ezra 9:1-4.</w:t>
      </w:r>
    </w:p>
  </w:footnote>
  <w:footnote w:id="2985">
    <w:p>
      <w:pPr>
        <w:pStyle w:val="FootnoteText"/>
      </w:pPr>
      <w:r>
        <w:rPr>
          <w:rStyle w:val="FootnoteReference"/>
        </w:rPr>
        <w:footnoteRef/>
      </w:r>
      <w:r>
        <w:t xml:space="preserve"> Translation note: Greek says brought before here. Current line keeps that wording.</w:t>
      </w:r>
    </w:p>
  </w:footnote>
  <w:footnote w:id="2986">
    <w:p>
      <w:pPr>
        <w:pStyle w:val="FootnoteText"/>
      </w:pPr>
      <w:r>
        <w:rPr>
          <w:rStyle w:val="FootnoteReference"/>
        </w:rPr>
        <w:footnoteRef/>
      </w:r>
      <w:r>
        <w:t xml:space="preserve"> Cross-references for "Phinehas": Exod 6:25; Josh 22:30-31.</w:t>
      </w:r>
    </w:p>
  </w:footnote>
  <w:footnote w:id="2987">
    <w:p>
      <w:pPr>
        <w:pStyle w:val="FootnoteText"/>
      </w:pPr>
      <w:r>
        <w:rPr>
          <w:rStyle w:val="FootnoteReference"/>
        </w:rPr>
        <w:footnoteRef/>
      </w:r>
      <w:r>
        <w:t xml:space="preserve"> Translation note: Greek gives the covenant grant in direct form. Current wording preserves it.</w:t>
      </w:r>
    </w:p>
  </w:footnote>
  <w:footnote w:id="2988">
    <w:p>
      <w:pPr>
        <w:pStyle w:val="FootnoteText"/>
      </w:pPr>
      <w:r>
        <w:rPr>
          <w:rStyle w:val="FootnoteReference"/>
        </w:rPr>
        <w:footnoteRef/>
      </w:r>
      <w:r>
        <w:t xml:space="preserve"> Cross-references for "his seed": 1Sam 2:30; 1Kgs 2:27.</w:t>
      </w:r>
    </w:p>
  </w:footnote>
  <w:footnote w:id="2989">
    <w:p>
      <w:pPr>
        <w:pStyle w:val="FootnoteText"/>
      </w:pPr>
      <w:r>
        <w:rPr>
          <w:rStyle w:val="FootnoteReference"/>
        </w:rPr>
        <w:footnoteRef/>
      </w:r>
      <w:r>
        <w:t xml:space="preserve"> Translation note: The reward is phrased as both covenant and priesthood. This draft keeps both terms explicit.</w:t>
      </w:r>
    </w:p>
  </w:footnote>
  <w:footnote w:id="2990">
    <w:p>
      <w:pPr>
        <w:pStyle w:val="FootnoteText"/>
      </w:pPr>
      <w:r>
        <w:rPr>
          <w:rStyle w:val="FootnoteReference"/>
        </w:rPr>
        <w:footnoteRef/>
      </w:r>
      <w:r>
        <w:t xml:space="preserve"> Place name: Zimri. Place-name meaning: Zimri — my praise; my music. Source form: Zimri. Greek form: ζαμβρι.</w:t>
      </w:r>
    </w:p>
  </w:footnote>
  <w:footnote w:id="2991">
    <w:p>
      <w:pPr>
        <w:pStyle w:val="FootnoteText"/>
      </w:pPr>
      <w:r>
        <w:rPr>
          <w:rStyle w:val="FootnoteReference"/>
        </w:rPr>
        <w:footnoteRef/>
      </w:r>
      <w:r>
        <w:t xml:space="preserve"> Personal name: Salu. Personal-name meaning: Salu — exalted; weighed. Source form: Salu.</w:t>
      </w:r>
    </w:p>
  </w:footnote>
  <w:footnote w:id="2992">
    <w:p>
      <w:pPr>
        <w:pStyle w:val="FootnoteText"/>
      </w:pPr>
      <w:r>
        <w:rPr>
          <w:rStyle w:val="FootnoteReference"/>
        </w:rPr>
        <w:footnoteRef/>
      </w:r>
      <w:r>
        <w:t xml:space="preserve"> People-name: Simeonites. People-name meaning: Simeonites — Heard. Source form: Simeonites.</w:t>
      </w:r>
    </w:p>
  </w:footnote>
  <w:footnote w:id="2993">
    <w:p>
      <w:pPr>
        <w:pStyle w:val="FootnoteText"/>
      </w:pPr>
      <w:r>
        <w:rPr>
          <w:rStyle w:val="FootnoteReference"/>
        </w:rPr>
        <w:footnoteRef/>
      </w:r>
      <w:r>
        <w:t xml:space="preserve"> Cross-references for "the Simeonites": Num 1:23; Num 26:14.</w:t>
      </w:r>
    </w:p>
  </w:footnote>
  <w:footnote w:id="2994">
    <w:p>
      <w:pPr>
        <w:pStyle w:val="FootnoteText"/>
      </w:pPr>
      <w:r>
        <w:rPr>
          <w:rStyle w:val="FootnoteReference"/>
        </w:rPr>
        <w:footnoteRef/>
      </w:r>
      <w:r>
        <w:t xml:space="preserve"> Personal name: Cozbi. Personal-name meaning: Cozbi — a liar; sliding away. Source form: Cozbi.</w:t>
      </w:r>
    </w:p>
  </w:footnote>
  <w:footnote w:id="2995">
    <w:p>
      <w:pPr>
        <w:pStyle w:val="FootnoteText"/>
      </w:pPr>
      <w:r>
        <w:rPr>
          <w:rStyle w:val="FootnoteReference"/>
        </w:rPr>
        <w:footnoteRef/>
      </w:r>
      <w:r>
        <w:t xml:space="preserve"> Personal name: Zur. Personal-name meaning: Zur — stone; rock; that besieges. Source form: Zur.</w:t>
      </w:r>
    </w:p>
  </w:footnote>
  <w:footnote w:id="2996">
    <w:p>
      <w:pPr>
        <w:pStyle w:val="FootnoteText"/>
      </w:pPr>
      <w:r>
        <w:rPr>
          <w:rStyle w:val="FootnoteReference"/>
        </w:rPr>
        <w:footnoteRef/>
      </w:r>
      <w:r>
        <w:t xml:space="preserve"> Translation note: Greek verse division stops with the speech formula here. The command itself begins in the next verse.</w:t>
      </w:r>
    </w:p>
  </w:footnote>
  <w:footnote w:id="2997">
    <w:p>
      <w:pPr>
        <w:pStyle w:val="FootnoteText"/>
      </w:pPr>
      <w:r>
        <w:rPr>
          <w:rStyle w:val="FootnoteReference"/>
        </w:rPr>
        <w:footnoteRef/>
      </w:r>
      <w:r>
        <w:t xml:space="preserve"> Translation note: Greek doubles the deceit language here and keeps Cozbi.</w:t>
      </w:r>
    </w:p>
  </w:footnote>
  <w:footnote w:id="2998">
    <w:p>
      <w:pPr>
        <w:pStyle w:val="FootnoteText"/>
      </w:pPr>
      <w:r>
        <w:rPr>
          <w:rStyle w:val="FootnoteReference"/>
        </w:rPr>
        <w:footnoteRef/>
      </w:r>
      <w:r>
        <w:t xml:space="preserve"> Transliterated proper noun: Hanoch. Standard English equivalent: Hanoch. Source form: Hanoch. Greek form: ενωχ. Name meaning: dedicated.</w:t>
      </w:r>
    </w:p>
  </w:footnote>
  <w:footnote w:id="2999">
    <w:p>
      <w:pPr>
        <w:pStyle w:val="FootnoteText"/>
      </w:pPr>
      <w:r>
        <w:rPr>
          <w:rStyle w:val="FootnoteReference"/>
        </w:rPr>
        <w:footnoteRef/>
      </w:r>
      <w:r>
        <w:t xml:space="preserve"> People-name: Hanochite. People-name meaning: Hanochite — dedicated. Source form: Hanochite.</w:t>
      </w:r>
    </w:p>
  </w:footnote>
  <w:footnote w:id="3000">
    <w:p>
      <w:pPr>
        <w:pStyle w:val="FootnoteText"/>
      </w:pPr>
      <w:r>
        <w:rPr>
          <w:rStyle w:val="FootnoteReference"/>
        </w:rPr>
        <w:footnoteRef/>
      </w:r>
      <w:r>
        <w:t xml:space="preserve"> People-name: Palluites. People-name meaning: Palluites — marvelous; hidden. Source form: Palluites.</w:t>
      </w:r>
    </w:p>
  </w:footnote>
  <w:footnote w:id="3001">
    <w:p>
      <w:pPr>
        <w:pStyle w:val="FootnoteText"/>
      </w:pPr>
      <w:r>
        <w:rPr>
          <w:rStyle w:val="FootnoteReference"/>
        </w:rPr>
        <w:footnoteRef/>
      </w:r>
      <w:r>
        <w:t xml:space="preserve"> Translation note: Greek uses the terse clan formula here. Current wording preserves that genealogy pattern.</w:t>
      </w:r>
    </w:p>
  </w:footnote>
  <w:footnote w:id="3002">
    <w:p>
      <w:pPr>
        <w:pStyle w:val="FootnoteText"/>
      </w:pPr>
      <w:r>
        <w:rPr>
          <w:rStyle w:val="FootnoteReference"/>
        </w:rPr>
        <w:footnoteRef/>
      </w:r>
      <w:r>
        <w:t xml:space="preserve"> People-name: Hezronite. People-name meaning: Hezronite — the dart of joy; the division of the song. Source form: Hezronite.</w:t>
      </w:r>
    </w:p>
  </w:footnote>
  <w:footnote w:id="3003">
    <w:p>
      <w:pPr>
        <w:pStyle w:val="FootnoteText"/>
      </w:pPr>
      <w:r>
        <w:rPr>
          <w:rStyle w:val="FootnoteReference"/>
        </w:rPr>
        <w:footnoteRef/>
      </w:r>
      <w:r>
        <w:t xml:space="preserve"> Personal name: Nemuel. Personal-name meaning: Nemuel — the sleeping of God. Source form: Nemuel.</w:t>
      </w:r>
    </w:p>
  </w:footnote>
  <w:footnote w:id="3004">
    <w:p>
      <w:pPr>
        <w:pStyle w:val="FootnoteText"/>
      </w:pPr>
      <w:r>
        <w:rPr>
          <w:rStyle w:val="FootnoteReference"/>
        </w:rPr>
        <w:footnoteRef/>
      </w:r>
      <w:r>
        <w:t xml:space="preserve"> Translation note: Greek uses a term tied to calling or designation rather than simple fame. The fresh line keeps that nuance visible.</w:t>
      </w:r>
    </w:p>
  </w:footnote>
  <w:footnote w:id="3005">
    <w:p>
      <w:pPr>
        <w:pStyle w:val="FootnoteText"/>
      </w:pPr>
      <w:r>
        <w:rPr>
          <w:rStyle w:val="FootnoteReference"/>
        </w:rPr>
        <w:footnoteRef/>
      </w:r>
      <w:r>
        <w:t xml:space="preserve"> Cross-references for "they became a sign": Num 16:38; 1Sam 2:34.</w:t>
      </w:r>
    </w:p>
  </w:footnote>
  <w:footnote w:id="3006">
    <w:p>
      <w:pPr>
        <w:pStyle w:val="FootnoteText"/>
      </w:pPr>
      <w:r>
        <w:rPr>
          <w:rStyle w:val="FootnoteReference"/>
        </w:rPr>
        <w:footnoteRef/>
      </w:r>
      <w:r>
        <w:t xml:space="preserve"> Cross-references for "Nemuel": Gen 46:10; Exod 6:15.</w:t>
      </w:r>
    </w:p>
  </w:footnote>
  <w:footnote w:id="3007">
    <w:p>
      <w:pPr>
        <w:pStyle w:val="FootnoteText"/>
      </w:pPr>
      <w:r>
        <w:rPr>
          <w:rStyle w:val="FootnoteReference"/>
        </w:rPr>
        <w:footnoteRef/>
      </w:r>
      <w:r>
        <w:t xml:space="preserve"> People-name: Nemuelites. People-name meaning: Nemuelites — the sleeping of God. Source form: Nemuelites.</w:t>
      </w:r>
    </w:p>
  </w:footnote>
  <w:footnote w:id="3008">
    <w:p>
      <w:pPr>
        <w:pStyle w:val="FootnoteText"/>
      </w:pPr>
      <w:r>
        <w:rPr>
          <w:rStyle w:val="FootnoteReference"/>
        </w:rPr>
        <w:footnoteRef/>
      </w:r>
      <w:r>
        <w:t xml:space="preserve"> People-name: Jaminites. People-name meaning: Jaminites — right hand; south wind. Source form: Jaminites.</w:t>
      </w:r>
    </w:p>
  </w:footnote>
  <w:footnote w:id="3009">
    <w:p>
      <w:pPr>
        <w:pStyle w:val="FootnoteText"/>
      </w:pPr>
      <w:r>
        <w:rPr>
          <w:rStyle w:val="FootnoteReference"/>
        </w:rPr>
        <w:footnoteRef/>
      </w:r>
      <w:r>
        <w:t xml:space="preserve"> People-name: Jachinite. People-name meaning: Jachinite — he that strengthens and makes steadfast. Source form: Jachinite.</w:t>
      </w:r>
    </w:p>
  </w:footnote>
  <w:footnote w:id="3010">
    <w:p>
      <w:pPr>
        <w:pStyle w:val="FootnoteText"/>
      </w:pPr>
      <w:r>
        <w:rPr>
          <w:rStyle w:val="FootnoteReference"/>
        </w:rPr>
        <w:footnoteRef/>
      </w:r>
      <w:r>
        <w:t xml:space="preserve"> Cross-references for "Zerah": Gen 46:10.</w:t>
      </w:r>
    </w:p>
  </w:footnote>
  <w:footnote w:id="3011">
    <w:p>
      <w:pPr>
        <w:pStyle w:val="FootnoteText"/>
      </w:pPr>
      <w:r>
        <w:rPr>
          <w:rStyle w:val="FootnoteReference"/>
        </w:rPr>
        <w:footnoteRef/>
      </w:r>
      <w:r>
        <w:t xml:space="preserve"> Transliterated proper noun: Zarhites. Standard English equivalent: Zarhites. Source form: Zarhites. Greek form: ζαραι. Name meaning: descendants of Zerah; rising/light.</w:t>
      </w:r>
    </w:p>
  </w:footnote>
  <w:footnote w:id="3012">
    <w:p>
      <w:pPr>
        <w:pStyle w:val="FootnoteText"/>
      </w:pPr>
      <w:r>
        <w:rPr>
          <w:rStyle w:val="FootnoteReference"/>
        </w:rPr>
        <w:footnoteRef/>
      </w:r>
      <w:r>
        <w:t xml:space="preserve"> People-name: Shaulites. People-name meaning: Shaulites — asked; lent; a grave. Source form: Shaulites.</w:t>
      </w:r>
    </w:p>
  </w:footnote>
  <w:footnote w:id="3013">
    <w:p>
      <w:pPr>
        <w:pStyle w:val="FootnoteText"/>
      </w:pPr>
      <w:r>
        <w:rPr>
          <w:rStyle w:val="FootnoteReference"/>
        </w:rPr>
        <w:footnoteRef/>
      </w:r>
      <w:r>
        <w:t xml:space="preserve"> Translation note: Greek witness preserves this Judah-son line here.</w:t>
      </w:r>
    </w:p>
  </w:footnote>
  <w:footnote w:id="3014">
    <w:p>
      <w:pPr>
        <w:pStyle w:val="FootnoteText"/>
      </w:pPr>
      <w:r>
        <w:rPr>
          <w:rStyle w:val="FootnoteReference"/>
        </w:rPr>
        <w:footnoteRef/>
      </w:r>
      <w:r>
        <w:t xml:space="preserve"> People-name: Shelanite. People-name meaning: Shelanite — person of Shelah; breaking/letting loose. Source form: Shelanite.</w:t>
      </w:r>
    </w:p>
  </w:footnote>
  <w:footnote w:id="3015">
    <w:p>
      <w:pPr>
        <w:pStyle w:val="FootnoteText"/>
      </w:pPr>
      <w:r>
        <w:rPr>
          <w:rStyle w:val="FootnoteReference"/>
        </w:rPr>
        <w:footnoteRef/>
      </w:r>
      <w:r>
        <w:t xml:space="preserve"> People-name: Zerahite. People-name meaning: Zerahite — east; brightness. Source form: Zerahite.</w:t>
      </w:r>
    </w:p>
  </w:footnote>
  <w:footnote w:id="3016">
    <w:p>
      <w:pPr>
        <w:pStyle w:val="FootnoteText"/>
      </w:pPr>
      <w:r>
        <w:rPr>
          <w:rStyle w:val="FootnoteReference"/>
        </w:rPr>
        <w:footnoteRef/>
      </w:r>
      <w:r>
        <w:t xml:space="preserve"> Personal name: Jashub. Personal-name meaning: Jashub — a returning; a controversy; a dwelling place. Source form: Jashub.</w:t>
      </w:r>
    </w:p>
  </w:footnote>
  <w:footnote w:id="3017">
    <w:p>
      <w:pPr>
        <w:pStyle w:val="FootnoteText"/>
      </w:pPr>
      <w:r>
        <w:rPr>
          <w:rStyle w:val="FootnoteReference"/>
        </w:rPr>
        <w:footnoteRef/>
      </w:r>
      <w:r>
        <w:t xml:space="preserve"> People-name: Jashubite. People-name meaning: Jashubite — a returning; a controversy; a dwelling place. Source form: Jashubite.</w:t>
      </w:r>
    </w:p>
  </w:footnote>
  <w:footnote w:id="3018">
    <w:p>
      <w:pPr>
        <w:pStyle w:val="FootnoteText"/>
      </w:pPr>
      <w:r>
        <w:rPr>
          <w:rStyle w:val="FootnoteReference"/>
        </w:rPr>
        <w:footnoteRef/>
      </w:r>
      <w:r>
        <w:t xml:space="preserve"> Personal name: Addi. Personal-name meaning: Addi — my witness; adorned; prey. Source form: Addi.</w:t>
      </w:r>
    </w:p>
  </w:footnote>
  <w:footnote w:id="3019">
    <w:p>
      <w:pPr>
        <w:pStyle w:val="FootnoteText"/>
      </w:pPr>
      <w:r>
        <w:rPr>
          <w:rStyle w:val="FootnoteReference"/>
        </w:rPr>
        <w:footnoteRef/>
      </w:r>
      <w:r>
        <w:t xml:space="preserve"> Transliterated proper noun: Ariel. Standard English equivalent: Ariel. Source form: Ariel. Greek form: αριηλ. Name meaning: altar; light or lion of God.</w:t>
      </w:r>
    </w:p>
  </w:footnote>
  <w:footnote w:id="3020">
    <w:p>
      <w:pPr>
        <w:pStyle w:val="FootnoteText"/>
      </w:pPr>
      <w:r>
        <w:rPr>
          <w:rStyle w:val="FootnoteReference"/>
        </w:rPr>
        <w:footnoteRef/>
      </w:r>
      <w:r>
        <w:t xml:space="preserve"> Personal name: Beri. Personal-name meaning: Beri — my son; my corn. Source form: Beri.</w:t>
      </w:r>
    </w:p>
  </w:footnote>
  <w:footnote w:id="3021">
    <w:p>
      <w:pPr>
        <w:pStyle w:val="FootnoteText"/>
      </w:pPr>
      <w:r>
        <w:rPr>
          <w:rStyle w:val="FootnoteReference"/>
        </w:rPr>
        <w:footnoteRef/>
      </w:r>
      <w:r>
        <w:t xml:space="preserve"> Personal name: Melchiel. Personal-name meaning: Melchiel — God is my king/counselor. Source form: Melchiel.</w:t>
      </w:r>
    </w:p>
  </w:footnote>
  <w:footnote w:id="3022">
    <w:p>
      <w:pPr>
        <w:pStyle w:val="FootnoteText"/>
      </w:pPr>
      <w:r>
        <w:rPr>
          <w:rStyle w:val="FootnoteReference"/>
        </w:rPr>
        <w:footnoteRef/>
      </w:r>
      <w:r>
        <w:t xml:space="preserve"> MT/LXX note: The Septuagint places a daughter notice here rather than the Masoretic clan entry. The translation follows the Greek content.</w:t>
      </w:r>
    </w:p>
  </w:footnote>
  <w:footnote w:id="3023">
    <w:p>
      <w:pPr>
        <w:pStyle w:val="FootnoteText"/>
      </w:pPr>
      <w:r>
        <w:rPr>
          <w:rStyle w:val="FootnoteReference"/>
        </w:rPr>
        <w:footnoteRef/>
      </w:r>
      <w:r>
        <w:t xml:space="preserve"> MT/LXX note: The Septuagint places a heading line here rather than the Masoretic clan entries. The translation follows the Greek content.</w:t>
      </w:r>
    </w:p>
  </w:footnote>
  <w:footnote w:id="3024">
    <w:p>
      <w:pPr>
        <w:pStyle w:val="FootnoteText"/>
      </w:pPr>
      <w:r>
        <w:rPr>
          <w:rStyle w:val="FootnoteReference"/>
        </w:rPr>
        <w:footnoteRef/>
      </w:r>
      <w:r>
        <w:t xml:space="preserve"> People-name: Gileadite. People-name meaning: Gileadite — the heap or mass of testimony. Source form: Gileadite.</w:t>
      </w:r>
    </w:p>
  </w:footnote>
  <w:footnote w:id="3025">
    <w:p>
      <w:pPr>
        <w:pStyle w:val="FootnoteText"/>
      </w:pPr>
      <w:r>
        <w:rPr>
          <w:rStyle w:val="FootnoteReference"/>
        </w:rPr>
        <w:footnoteRef/>
      </w:r>
      <w:r>
        <w:t xml:space="preserve"> MT/LXX note: The Septuagint places this clan line here rather than the Masoretic Ephraim family list. The translation follows the Greek content.</w:t>
      </w:r>
    </w:p>
  </w:footnote>
  <w:footnote w:id="3026">
    <w:p>
      <w:pPr>
        <w:pStyle w:val="FootnoteText"/>
      </w:pPr>
      <w:r>
        <w:rPr>
          <w:rStyle w:val="FootnoteReference"/>
        </w:rPr>
        <w:footnoteRef/>
      </w:r>
      <w:r>
        <w:t xml:space="preserve"> Personal name: Azriel. Personal-name meaning: Azriel — help of God. Source form: Azriel.</w:t>
      </w:r>
    </w:p>
  </w:footnote>
  <w:footnote w:id="3027">
    <w:p>
      <w:pPr>
        <w:pStyle w:val="FootnoteText"/>
      </w:pPr>
      <w:r>
        <w:rPr>
          <w:rStyle w:val="FootnoteReference"/>
        </w:rPr>
        <w:footnoteRef/>
      </w:r>
      <w:r>
        <w:t xml:space="preserve"> Transliterated proper noun: Hepher. Standard English equivalent: Hepher. Source form: Hepher. Greek form: οφερ. Name meaning: a digger.</w:t>
      </w:r>
    </w:p>
  </w:footnote>
  <w:footnote w:id="3028">
    <w:p>
      <w:pPr>
        <w:pStyle w:val="FootnoteText"/>
      </w:pPr>
      <w:r>
        <w:rPr>
          <w:rStyle w:val="FootnoteReference"/>
        </w:rPr>
        <w:footnoteRef/>
      </w:r>
      <w:r>
        <w:t xml:space="preserve"> Personal name: Zelophehad. Personal-name meaning: Zelophehad — the shade or tingling of fear. Source form: Zelophehad.</w:t>
      </w:r>
    </w:p>
  </w:footnote>
  <w:footnote w:id="3029">
    <w:p>
      <w:pPr>
        <w:pStyle w:val="FootnoteText"/>
      </w:pPr>
      <w:r>
        <w:rPr>
          <w:rStyle w:val="FootnoteReference"/>
        </w:rPr>
        <w:footnoteRef/>
      </w:r>
      <w:r>
        <w:t xml:space="preserve"> Personal name: Mahlah. Personal-name meaning: Mahlah — infirmity; a harp; pardon. Source form: Mahlah.</w:t>
      </w:r>
    </w:p>
  </w:footnote>
  <w:footnote w:id="3030">
    <w:p>
      <w:pPr>
        <w:pStyle w:val="FootnoteText"/>
      </w:pPr>
      <w:r>
        <w:rPr>
          <w:rStyle w:val="FootnoteReference"/>
        </w:rPr>
        <w:footnoteRef/>
      </w:r>
      <w:r>
        <w:t xml:space="preserve"> Personal name: Hoglah. Personal-name meaning: Hoglah — his festival or dance. Source form: Hoglah.</w:t>
      </w:r>
    </w:p>
  </w:footnote>
  <w:footnote w:id="3031">
    <w:p>
      <w:pPr>
        <w:pStyle w:val="FootnoteText"/>
      </w:pPr>
      <w:r>
        <w:rPr>
          <w:rStyle w:val="FootnoteReference"/>
        </w:rPr>
        <w:footnoteRef/>
      </w:r>
      <w:r>
        <w:t xml:space="preserve"> Transliterated proper noun: Tirzah. Standard English equivalent: Tirzah. Source form: Tirzah. Greek form: τα. Name meaning: benevolent; complaisant; pleasing.</w:t>
      </w:r>
    </w:p>
  </w:footnote>
  <w:footnote w:id="3032">
    <w:p>
      <w:pPr>
        <w:pStyle w:val="FootnoteText"/>
      </w:pPr>
      <w:r>
        <w:rPr>
          <w:rStyle w:val="FootnoteReference"/>
        </w:rPr>
        <w:footnoteRef/>
      </w:r>
      <w:r>
        <w:t xml:space="preserve"> MT/LXX note: The Septuagint places the Manasseh total here rather than the Masoretic Benjamin list. The translation follows the Greek content.</w:t>
      </w:r>
    </w:p>
  </w:footnote>
  <w:footnote w:id="3033">
    <w:p>
      <w:pPr>
        <w:pStyle w:val="FootnoteText"/>
      </w:pPr>
      <w:r>
        <w:rPr>
          <w:rStyle w:val="FootnoteReference"/>
        </w:rPr>
        <w:footnoteRef/>
      </w:r>
      <w:r>
        <w:t xml:space="preserve"> People-name: Shuthelahite. People-name meaning: Shuthelahite — plant; verdure; moist; pot. Source form: Shuthelahite.</w:t>
      </w:r>
    </w:p>
  </w:footnote>
  <w:footnote w:id="3034">
    <w:p>
      <w:pPr>
        <w:pStyle w:val="FootnoteText"/>
      </w:pPr>
      <w:r>
        <w:rPr>
          <w:rStyle w:val="FootnoteReference"/>
        </w:rPr>
        <w:footnoteRef/>
      </w:r>
      <w:r>
        <w:t xml:space="preserve"> Transliterated proper noun: Tanach. Standard English equivalent: Tanach. Source form: Tanach. Greek form: ταναχ. Name meaning: who humbles thee; who answers thee.</w:t>
      </w:r>
    </w:p>
  </w:footnote>
  <w:footnote w:id="3035">
    <w:p>
      <w:pPr>
        <w:pStyle w:val="FootnoteText"/>
      </w:pPr>
      <w:r>
        <w:rPr>
          <w:rStyle w:val="FootnoteReference"/>
        </w:rPr>
        <w:footnoteRef/>
      </w:r>
      <w:r>
        <w:t xml:space="preserve"> Translation note: The Greek clan name differs from the Hebrew form at this point. The translation keeps the Septuagint name.</w:t>
      </w:r>
    </w:p>
  </w:footnote>
  <w:footnote w:id="3036">
    <w:p>
      <w:pPr>
        <w:pStyle w:val="FootnoteText"/>
      </w:pPr>
      <w:r>
        <w:rPr>
          <w:rStyle w:val="FootnoteReference"/>
        </w:rPr>
        <w:footnoteRef/>
      </w:r>
      <w:r>
        <w:t xml:space="preserve"> Transliterated proper noun: Adar. Standard English equivalent: Adar. Source form: Adar. Greek form: αδαρ. Name meaning: high; eminent.</w:t>
      </w:r>
    </w:p>
  </w:footnote>
  <w:footnote w:id="3037">
    <w:p>
      <w:pPr>
        <w:pStyle w:val="FootnoteText"/>
      </w:pPr>
      <w:r>
        <w:rPr>
          <w:rStyle w:val="FootnoteReference"/>
        </w:rPr>
        <w:footnoteRef/>
      </w:r>
      <w:r>
        <w:t xml:space="preserve"> Personal name: Shuham. Personal-name meaning: Shuham — pit; depression; humbling. Source form: Shuham.</w:t>
      </w:r>
    </w:p>
  </w:footnote>
  <w:footnote w:id="3038">
    <w:p>
      <w:pPr>
        <w:pStyle w:val="FootnoteText"/>
      </w:pPr>
      <w:r>
        <w:rPr>
          <w:rStyle w:val="FootnoteReference"/>
        </w:rPr>
        <w:footnoteRef/>
      </w:r>
      <w:r>
        <w:t xml:space="preserve"> People-name: Shuhamite. People-name meaning: Shuhamite — person of Shuham; pit/depression clan. Source form: Shuhamite.</w:t>
      </w:r>
    </w:p>
  </w:footnote>
  <w:footnote w:id="3039">
    <w:p>
      <w:pPr>
        <w:pStyle w:val="FootnoteText"/>
      </w:pPr>
      <w:r>
        <w:rPr>
          <w:rStyle w:val="FootnoteReference"/>
        </w:rPr>
        <w:footnoteRef/>
      </w:r>
      <w:r>
        <w:t xml:space="preserve"> Cross-references for "The sons of Naphtali": Gen 46:24; 1Chr 7:13.</w:t>
      </w:r>
    </w:p>
  </w:footnote>
  <w:footnote w:id="3040">
    <w:p>
      <w:pPr>
        <w:pStyle w:val="FootnoteText"/>
      </w:pPr>
      <w:r>
        <w:rPr>
          <w:rStyle w:val="FootnoteReference"/>
        </w:rPr>
        <w:footnoteRef/>
      </w:r>
      <w:r>
        <w:t xml:space="preserve"> People-name: Jahzeelites. People-name meaning: Jahzeelites — God hasteth, or divideth. Source form: Jahzeelites.</w:t>
      </w:r>
    </w:p>
  </w:footnote>
  <w:footnote w:id="3041">
    <w:p>
      <w:pPr>
        <w:pStyle w:val="FootnoteText"/>
      </w:pPr>
      <w:r>
        <w:rPr>
          <w:rStyle w:val="FootnoteReference"/>
        </w:rPr>
        <w:footnoteRef/>
      </w:r>
      <w:r>
        <w:t xml:space="preserve"> Personal name: Jezer. Personal-name meaning: Jezer — island of help. Source form: Jezer.</w:t>
      </w:r>
    </w:p>
  </w:footnote>
  <w:footnote w:id="3042">
    <w:p>
      <w:pPr>
        <w:pStyle w:val="FootnoteText"/>
      </w:pPr>
      <w:r>
        <w:rPr>
          <w:rStyle w:val="FootnoteReference"/>
        </w:rPr>
        <w:footnoteRef/>
      </w:r>
      <w:r>
        <w:t xml:space="preserve"> People-name: Jezerites. People-name meaning: Jezerites — island of help. Source form: Jezerites.</w:t>
      </w:r>
    </w:p>
  </w:footnote>
  <w:footnote w:id="3043">
    <w:p>
      <w:pPr>
        <w:pStyle w:val="FootnoteText"/>
      </w:pPr>
      <w:r>
        <w:rPr>
          <w:rStyle w:val="FootnoteReference"/>
        </w:rPr>
        <w:footnoteRef/>
      </w:r>
      <w:r>
        <w:t xml:space="preserve"> Cross-references for "Shillem": 1Chr 7:13.</w:t>
      </w:r>
    </w:p>
  </w:footnote>
  <w:footnote w:id="3044">
    <w:p>
      <w:pPr>
        <w:pStyle w:val="FootnoteText"/>
      </w:pPr>
      <w:r>
        <w:rPr>
          <w:rStyle w:val="FootnoteReference"/>
        </w:rPr>
        <w:footnoteRef/>
      </w:r>
      <w:r>
        <w:t xml:space="preserve"> People-name: Shillemites. People-name meaning: Shillemites — peace; perfection; retribution. Source form: Shillemites.</w:t>
      </w:r>
    </w:p>
  </w:footnote>
  <w:footnote w:id="3045">
    <w:p>
      <w:pPr>
        <w:pStyle w:val="FootnoteText"/>
      </w:pPr>
      <w:r>
        <w:rPr>
          <w:rStyle w:val="FootnoteReference"/>
        </w:rPr>
        <w:footnoteRef/>
      </w:r>
      <w:r>
        <w:t xml:space="preserve"> Translation note: Greek keeps the by-lots inheritance formula plain. Current wording preserves that allocation line.</w:t>
      </w:r>
    </w:p>
  </w:footnote>
  <w:footnote w:id="3046">
    <w:p>
      <w:pPr>
        <w:pStyle w:val="FootnoteText"/>
      </w:pPr>
      <w:r>
        <w:rPr>
          <w:rStyle w:val="FootnoteReference"/>
        </w:rPr>
        <w:footnoteRef/>
      </w:r>
      <w:r>
        <w:t xml:space="preserve"> People-name: Gershonites. People-name meaning: Gershonites — his banishment; the change of pilgrimage. Source form: Gershonites.</w:t>
      </w:r>
    </w:p>
  </w:footnote>
  <w:footnote w:id="3047">
    <w:p>
      <w:pPr>
        <w:pStyle w:val="FootnoteText"/>
      </w:pPr>
      <w:r>
        <w:rPr>
          <w:rStyle w:val="FootnoteReference"/>
        </w:rPr>
        <w:footnoteRef/>
      </w:r>
      <w:r>
        <w:t xml:space="preserve"> People-name: Kohathites. People-name meaning: Kohathites — congregation; wrinkle; bluntness. Source form: Kohathites.</w:t>
      </w:r>
    </w:p>
  </w:footnote>
  <w:footnote w:id="3048">
    <w:p>
      <w:pPr>
        <w:pStyle w:val="FootnoteText"/>
      </w:pPr>
      <w:r>
        <w:rPr>
          <w:rStyle w:val="FootnoteReference"/>
        </w:rPr>
        <w:footnoteRef/>
      </w:r>
      <w:r>
        <w:t xml:space="preserve"> Translation note: The Septuagint clan list uses the shorter Greek family-name form here instead of the Hebrew Korathite-style wording. The translation keeps the Greek list.</w:t>
      </w:r>
    </w:p>
  </w:footnote>
  <w:footnote w:id="3049">
    <w:p>
      <w:pPr>
        <w:pStyle w:val="FootnoteText"/>
      </w:pPr>
      <w:r>
        <w:rPr>
          <w:rStyle w:val="FootnoteReference"/>
        </w:rPr>
        <w:footnoteRef/>
      </w:r>
      <w:r>
        <w:t xml:space="preserve"> Cross-references for "they were not": Num 1:49.</w:t>
      </w:r>
    </w:p>
  </w:footnote>
  <w:footnote w:id="3050">
    <w:p>
      <w:pPr>
        <w:pStyle w:val="FootnoteText"/>
      </w:pPr>
      <w:r>
        <w:rPr>
          <w:rStyle w:val="FootnoteReference"/>
        </w:rPr>
        <w:footnoteRef/>
      </w:r>
      <w:r>
        <w:t xml:space="preserve"> Translation note: Greek keeps that assignment wording here.</w:t>
      </w:r>
    </w:p>
  </w:footnote>
  <w:footnote w:id="3051">
    <w:p>
      <w:pPr>
        <w:pStyle w:val="FootnoteText"/>
      </w:pPr>
      <w:r>
        <w:rPr>
          <w:rStyle w:val="FootnoteReference"/>
        </w:rPr>
        <w:footnoteRef/>
      </w:r>
      <w:r>
        <w:t xml:space="preserve"> Cross-references for "Zelophehad": Num 26:33; Num 36:1-12.</w:t>
      </w:r>
    </w:p>
  </w:footnote>
  <w:footnote w:id="3052">
    <w:p>
      <w:pPr>
        <w:pStyle w:val="FootnoteText"/>
      </w:pPr>
      <w:r>
        <w:rPr>
          <w:rStyle w:val="FootnoteReference"/>
        </w:rPr>
        <w:footnoteRef/>
      </w:r>
      <w:r>
        <w:t xml:space="preserve"> Translation note: Name list follows Greek directly here.</w:t>
      </w:r>
    </w:p>
  </w:footnote>
  <w:footnote w:id="3053">
    <w:p>
      <w:pPr>
        <w:pStyle w:val="FootnoteText"/>
      </w:pPr>
      <w:r>
        <w:rPr>
          <w:rStyle w:val="FootnoteReference"/>
        </w:rPr>
        <w:footnoteRef/>
      </w:r>
      <w:r>
        <w:t xml:space="preserve"> Cross-references for "died in the": Num 14:35; Num 26:64-65.</w:t>
      </w:r>
    </w:p>
  </w:footnote>
  <w:footnote w:id="3054">
    <w:p>
      <w:pPr>
        <w:pStyle w:val="FootnoteText"/>
      </w:pPr>
      <w:r>
        <w:rPr>
          <w:rStyle w:val="FootnoteReference"/>
        </w:rPr>
        <w:footnoteRef/>
      </w:r>
      <w:r>
        <w:t xml:space="preserve"> Translation note: Greek keeps the contrast with Korah's assembly explicit. Current wording preserves it.</w:t>
      </w:r>
    </w:p>
  </w:footnote>
  <w:footnote w:id="3055">
    <w:p>
      <w:pPr>
        <w:pStyle w:val="FootnoteText"/>
      </w:pPr>
      <w:r>
        <w:rPr>
          <w:rStyle w:val="FootnoteReference"/>
        </w:rPr>
        <w:footnoteRef/>
      </w:r>
      <w:r>
        <w:t xml:space="preserve"> Translation note: Greek uses the name-wiped-out formula directly. Current wording preserves it.</w:t>
      </w:r>
    </w:p>
  </w:footnote>
  <w:footnote w:id="3056">
    <w:p>
      <w:pPr>
        <w:pStyle w:val="FootnoteText"/>
      </w:pPr>
      <w:r>
        <w:rPr>
          <w:rStyle w:val="FootnoteReference"/>
        </w:rPr>
        <w:footnoteRef/>
      </w:r>
      <w:r>
        <w:t xml:space="preserve"> Cross-references for "Give": Josh 17:4.</w:t>
      </w:r>
    </w:p>
  </w:footnote>
  <w:footnote w:id="3057">
    <w:p>
      <w:pPr>
        <w:pStyle w:val="FootnoteText"/>
      </w:pPr>
      <w:r>
        <w:rPr>
          <w:rStyle w:val="FootnoteReference"/>
        </w:rPr>
        <w:footnoteRef/>
      </w:r>
      <w:r>
        <w:t xml:space="preserve"> Translation note: The Greek uses judgment wording rather than only cause. The current wording preserves that line.</w:t>
      </w:r>
    </w:p>
  </w:footnote>
  <w:footnote w:id="3058">
    <w:p>
      <w:pPr>
        <w:pStyle w:val="FootnoteText"/>
      </w:pPr>
      <w:r>
        <w:rPr>
          <w:rStyle w:val="FootnoteReference"/>
        </w:rPr>
        <w:footnoteRef/>
      </w:r>
      <w:r>
        <w:t xml:space="preserve"> Translation note: The Greek line is the standard speech formula. The current wording preserves it.</w:t>
      </w:r>
    </w:p>
  </w:footnote>
  <w:footnote w:id="3059">
    <w:p>
      <w:pPr>
        <w:pStyle w:val="FootnoteText"/>
      </w:pPr>
      <w:r>
        <w:rPr>
          <w:rStyle w:val="FootnoteReference"/>
        </w:rPr>
        <w:footnoteRef/>
      </w:r>
      <w:r>
        <w:t xml:space="preserve"> Translation note: The Greek approval line is direct. The current wording preserves it.</w:t>
      </w:r>
    </w:p>
  </w:footnote>
  <w:footnote w:id="3060">
    <w:p>
      <w:pPr>
        <w:pStyle w:val="FootnoteText"/>
      </w:pPr>
      <w:r>
        <w:rPr>
          <w:rStyle w:val="FootnoteReference"/>
        </w:rPr>
        <w:footnoteRef/>
      </w:r>
      <w:r>
        <w:t xml:space="preserve"> Translation note: Greek says put the inheritance upon the daughter. Current wording preserves that legal transfer line.</w:t>
      </w:r>
    </w:p>
  </w:footnote>
  <w:footnote w:id="3061">
    <w:p>
      <w:pPr>
        <w:pStyle w:val="FootnoteText"/>
      </w:pPr>
      <w:r>
        <w:rPr>
          <w:rStyle w:val="FootnoteReference"/>
        </w:rPr>
        <w:footnoteRef/>
      </w:r>
      <w:r>
        <w:t xml:space="preserve"> Cross-references for "kinsman": Lev 25:25; Lev 25:49.</w:t>
      </w:r>
    </w:p>
  </w:footnote>
  <w:footnote w:id="3062">
    <w:p>
      <w:pPr>
        <w:pStyle w:val="FootnoteText"/>
      </w:pPr>
      <w:r>
        <w:rPr>
          <w:rStyle w:val="FootnoteReference"/>
        </w:rPr>
        <w:footnoteRef/>
      </w:r>
      <w:r>
        <w:t xml:space="preserve"> Cross-references for "Mount": Num 33:47-48; Deut 3:27.</w:t>
      </w:r>
    </w:p>
  </w:footnote>
  <w:footnote w:id="3063">
    <w:p>
      <w:pPr>
        <w:pStyle w:val="FootnoteText"/>
      </w:pPr>
      <w:r>
        <w:rPr>
          <w:rStyle w:val="FootnoteReference"/>
        </w:rPr>
        <w:footnoteRef/>
      </w:r>
      <w:r>
        <w:t xml:space="preserve"> Transliterated proper noun: Nebo. Standard English equivalent: Nebo. Source form: Nebo. Greek form: εγω. Name meaning: that speaks or prophesies.</w:t>
      </w:r>
    </w:p>
  </w:footnote>
  <w:footnote w:id="3064">
    <w:p>
      <w:pPr>
        <w:pStyle w:val="FootnoteText"/>
      </w:pPr>
      <w:r>
        <w:rPr>
          <w:rStyle w:val="FootnoteReference"/>
        </w:rPr>
        <w:footnoteRef/>
      </w:r>
      <w:r>
        <w:t xml:space="preserve"> Cross-references for "as Aaron": Num 20:24-28; Num 33:38.</w:t>
      </w:r>
    </w:p>
  </w:footnote>
  <w:footnote w:id="3065">
    <w:p>
      <w:pPr>
        <w:pStyle w:val="FootnoteText"/>
      </w:pPr>
      <w:r>
        <w:rPr>
          <w:rStyle w:val="FootnoteReference"/>
        </w:rPr>
        <w:footnoteRef/>
      </w:r>
      <w:r>
        <w:t xml:space="preserve"> Translation note: Greek says water of contradiction or reviling.</w:t>
      </w:r>
    </w:p>
  </w:footnote>
  <w:footnote w:id="3066">
    <w:p>
      <w:pPr>
        <w:pStyle w:val="FootnoteText"/>
      </w:pPr>
      <w:r>
        <w:rPr>
          <w:rStyle w:val="FootnoteReference"/>
        </w:rPr>
        <w:footnoteRef/>
      </w:r>
      <w:r>
        <w:t xml:space="preserve"> Cross-references for "the Lord": Num 16:22; Job 12:10.</w:t>
      </w:r>
    </w:p>
  </w:footnote>
  <w:footnote w:id="3067">
    <w:p>
      <w:pPr>
        <w:pStyle w:val="FootnoteText"/>
      </w:pPr>
      <w:r>
        <w:rPr>
          <w:rStyle w:val="FootnoteReference"/>
        </w:rPr>
        <w:footnoteRef/>
      </w:r>
      <w:r>
        <w:t xml:space="preserve"> Cross-references for "go out": Deut 31:2; 1Sam 8:20.</w:t>
      </w:r>
    </w:p>
  </w:footnote>
  <w:footnote w:id="3068">
    <w:p>
      <w:pPr>
        <w:pStyle w:val="FootnoteText"/>
      </w:pPr>
      <w:r>
        <w:rPr>
          <w:rStyle w:val="FootnoteReference"/>
        </w:rPr>
        <w:footnoteRef/>
      </w:r>
      <w:r>
        <w:t xml:space="preserve"> Cross-references for "a man": Gen 41:38; Num 11:17.</w:t>
      </w:r>
    </w:p>
  </w:footnote>
  <w:footnote w:id="3069">
    <w:p>
      <w:pPr>
        <w:pStyle w:val="FootnoteText"/>
      </w:pPr>
      <w:r>
        <w:rPr>
          <w:rStyle w:val="FootnoteReference"/>
        </w:rPr>
        <w:footnoteRef/>
      </w:r>
      <w:r>
        <w:t xml:space="preserve"> Cross-references for "he shall": Josh 9:14; Judg 1:1.</w:t>
      </w:r>
    </w:p>
  </w:footnote>
  <w:footnote w:id="3070">
    <w:p>
      <w:pPr>
        <w:pStyle w:val="FootnoteText"/>
      </w:pPr>
      <w:r>
        <w:rPr>
          <w:rStyle w:val="FootnoteReference"/>
        </w:rPr>
        <w:footnoteRef/>
      </w:r>
      <w:r>
        <w:t xml:space="preserve"> Translation note: The Greek uses related disclosure-language tied to the same LXX rendering behind the later English Urim and Thummim language. This draft keeps that lexical link visible.</w:t>
      </w:r>
    </w:p>
  </w:footnote>
  <w:footnote w:id="3071">
    <w:p>
      <w:pPr>
        <w:pStyle w:val="FootnoteText"/>
      </w:pPr>
      <w:r>
        <w:rPr>
          <w:rStyle w:val="FootnoteReference"/>
        </w:rPr>
        <w:footnoteRef/>
      </w:r>
      <w:r>
        <w:t xml:space="preserve"> Translation note: Greek uses do-language for the daily offering schedule. Current wording preserves that pattern.</w:t>
      </w:r>
    </w:p>
  </w:footnote>
  <w:footnote w:id="3072">
    <w:p>
      <w:pPr>
        <w:pStyle w:val="FootnoteText"/>
      </w:pPr>
      <w:r>
        <w:rPr>
          <w:rStyle w:val="FootnoteReference"/>
        </w:rPr>
        <w:footnoteRef/>
      </w:r>
      <w:r>
        <w:t xml:space="preserve"> Cross-references for "a continual": Exod 29:42; Lev 6:9.</w:t>
      </w:r>
    </w:p>
  </w:footnote>
  <w:footnote w:id="3073">
    <w:p>
      <w:pPr>
        <w:pStyle w:val="FootnoteText"/>
      </w:pPr>
      <w:r>
        <w:rPr>
          <w:rStyle w:val="FootnoteReference"/>
        </w:rPr>
        <w:footnoteRef/>
      </w:r>
      <w:r>
        <w:t xml:space="preserve"> Cross-references for "In the holy": Exod 29:42.</w:t>
      </w:r>
    </w:p>
  </w:footnote>
  <w:footnote w:id="3074">
    <w:p>
      <w:pPr>
        <w:pStyle w:val="FootnoteText"/>
      </w:pPr>
      <w:r>
        <w:rPr>
          <w:rStyle w:val="FootnoteReference"/>
        </w:rPr>
        <w:footnoteRef/>
      </w:r>
      <w:r>
        <w:t xml:space="preserve"> Cross-references for "the continual": Num 28:23; Num 29:6.</w:t>
      </w:r>
    </w:p>
  </w:footnote>
  <w:footnote w:id="3075">
    <w:p>
      <w:pPr>
        <w:pStyle w:val="FootnoteText"/>
      </w:pPr>
      <w:r>
        <w:rPr>
          <w:rStyle w:val="FootnoteReference"/>
        </w:rPr>
        <w:footnoteRef/>
      </w:r>
      <w:r>
        <w:t xml:space="preserve"> Cross-references for "two young": Num 28:19; Heb 10:10-14.</w:t>
      </w:r>
    </w:p>
  </w:footnote>
  <w:footnote w:id="3076">
    <w:p>
      <w:pPr>
        <w:pStyle w:val="FootnoteText"/>
      </w:pPr>
      <w:r>
        <w:rPr>
          <w:rStyle w:val="FootnoteReference"/>
        </w:rPr>
        <w:footnoteRef/>
      </w:r>
      <w:r>
        <w:t xml:space="preserve"> Cross-references for "one kid": Lev 4:23; Lev 16:15.</w:t>
      </w:r>
    </w:p>
  </w:footnote>
  <w:footnote w:id="3077">
    <w:p>
      <w:pPr>
        <w:pStyle w:val="FootnoteText"/>
      </w:pPr>
      <w:r>
        <w:rPr>
          <w:rStyle w:val="FootnoteReference"/>
        </w:rPr>
        <w:footnoteRef/>
      </w:r>
      <w:r>
        <w:t xml:space="preserve"> Cross-references for "two young": Ezek 45:21-25.</w:t>
      </w:r>
    </w:p>
  </w:footnote>
  <w:footnote w:id="3078">
    <w:p>
      <w:pPr>
        <w:pStyle w:val="FootnoteText"/>
      </w:pPr>
      <w:r>
        <w:rPr>
          <w:rStyle w:val="FootnoteReference"/>
        </w:rPr>
        <w:footnoteRef/>
      </w:r>
      <w:r>
        <w:t xml:space="preserve"> Translation note: Greek says gift, fruit-gift.</w:t>
      </w:r>
    </w:p>
  </w:footnote>
  <w:footnote w:id="3079">
    <w:p>
      <w:pPr>
        <w:pStyle w:val="FootnoteText"/>
      </w:pPr>
      <w:r>
        <w:rPr>
          <w:rStyle w:val="FootnoteReference"/>
        </w:rPr>
        <w:footnoteRef/>
      </w:r>
      <w:r>
        <w:t xml:space="preserve"> Cross-references for "two young": Lev 23:18-19; Num 28:11.</w:t>
      </w:r>
    </w:p>
  </w:footnote>
  <w:footnote w:id="3080">
    <w:p>
      <w:pPr>
        <w:pStyle w:val="FootnoteText"/>
      </w:pPr>
      <w:r>
        <w:rPr>
          <w:rStyle w:val="FootnoteReference"/>
        </w:rPr>
        <w:footnoteRef/>
      </w:r>
      <w:r>
        <w:t xml:space="preserve"> Translation note: Greek closes with a direct atonement line. Current wording preserves it.</w:t>
      </w:r>
    </w:p>
  </w:footnote>
  <w:footnote w:id="3081">
    <w:p>
      <w:pPr>
        <w:pStyle w:val="FootnoteText"/>
      </w:pPr>
      <w:r>
        <w:rPr>
          <w:rStyle w:val="FootnoteReference"/>
        </w:rPr>
        <w:footnoteRef/>
      </w:r>
      <w:r>
        <w:t xml:space="preserve"> Cross-references for "without blemish": Num 28:19; Mal 1:13-14.</w:t>
      </w:r>
    </w:p>
  </w:footnote>
  <w:footnote w:id="3082">
    <w:p>
      <w:pPr>
        <w:pStyle w:val="FootnoteText"/>
      </w:pPr>
      <w:r>
        <w:rPr>
          <w:rStyle w:val="FootnoteReference"/>
        </w:rPr>
        <w:footnoteRef/>
      </w:r>
      <w:r>
        <w:t xml:space="preserve"> Cross-references for "the seventh": Lev 23:24-25; Ezra 3:6.</w:t>
      </w:r>
    </w:p>
  </w:footnote>
  <w:footnote w:id="3083">
    <w:p>
      <w:pPr>
        <w:pStyle w:val="FootnoteText"/>
      </w:pPr>
      <w:r>
        <w:rPr>
          <w:rStyle w:val="FootnoteReference"/>
        </w:rPr>
        <w:footnoteRef/>
      </w:r>
      <w:r>
        <w:t xml:space="preserve"> Translation note: Greek says new moon and according to their reckoning.</w:t>
      </w:r>
    </w:p>
  </w:footnote>
  <w:footnote w:id="3084">
    <w:p>
      <w:pPr>
        <w:pStyle w:val="FootnoteText"/>
      </w:pPr>
      <w:r>
        <w:rPr>
          <w:rStyle w:val="FootnoteReference"/>
        </w:rPr>
        <w:footnoteRef/>
      </w:r>
      <w:r>
        <w:t xml:space="preserve"> Cross-references for "on the tenth": Lev 16:29-31; Lev 23:27.</w:t>
      </w:r>
    </w:p>
  </w:footnote>
  <w:footnote w:id="3085">
    <w:p>
      <w:pPr>
        <w:pStyle w:val="FootnoteText"/>
      </w:pPr>
      <w:r>
        <w:rPr>
          <w:rStyle w:val="FootnoteReference"/>
        </w:rPr>
        <w:footnoteRef/>
      </w:r>
      <w:r>
        <w:t xml:space="preserve"> Cross-references for "without blemish": Num 28:19; Num 29:2.</w:t>
      </w:r>
    </w:p>
  </w:footnote>
  <w:footnote w:id="3086">
    <w:p>
      <w:pPr>
        <w:pStyle w:val="FootnoteText"/>
      </w:pPr>
      <w:r>
        <w:rPr>
          <w:rStyle w:val="FootnoteReference"/>
        </w:rPr>
        <w:footnoteRef/>
      </w:r>
      <w:r>
        <w:t xml:space="preserve"> Cross-references for "the continual": Num 28:3-8; Num 29:6.</w:t>
      </w:r>
    </w:p>
  </w:footnote>
  <w:footnote w:id="3087">
    <w:p>
      <w:pPr>
        <w:pStyle w:val="FootnoteText"/>
      </w:pPr>
      <w:r>
        <w:rPr>
          <w:rStyle w:val="FootnoteReference"/>
        </w:rPr>
        <w:footnoteRef/>
      </w:r>
      <w:r>
        <w:t xml:space="preserve"> Cross-references for "the fifteenth day": Exod 23:16; Exod 34:22.</w:t>
      </w:r>
    </w:p>
  </w:footnote>
  <w:footnote w:id="3088">
    <w:p>
      <w:pPr>
        <w:pStyle w:val="FootnoteText"/>
      </w:pPr>
      <w:r>
        <w:rPr>
          <w:rStyle w:val="FootnoteReference"/>
        </w:rPr>
        <w:footnoteRef/>
      </w:r>
      <w:r>
        <w:t xml:space="preserve"> Translation note: Greek says whole burnt offerings and fruit-gifts.</w:t>
      </w:r>
    </w:p>
  </w:footnote>
  <w:footnote w:id="3089">
    <w:p>
      <w:pPr>
        <w:pStyle w:val="FootnoteText"/>
      </w:pPr>
      <w:r>
        <w:rPr>
          <w:rStyle w:val="FootnoteReference"/>
        </w:rPr>
        <w:footnoteRef/>
      </w:r>
      <w:r>
        <w:t xml:space="preserve"> Cross-references for "eighth day": Lev 23:36; Isa 12:3.</w:t>
      </w:r>
    </w:p>
  </w:footnote>
  <w:footnote w:id="3090">
    <w:p>
      <w:pPr>
        <w:pStyle w:val="FootnoteText"/>
      </w:pPr>
      <w:r>
        <w:rPr>
          <w:rStyle w:val="FootnoteReference"/>
        </w:rPr>
        <w:footnoteRef/>
      </w:r>
      <w:r>
        <w:t xml:space="preserve"> Translation note: Greek says word here. Current line keeps that wording.</w:t>
      </w:r>
    </w:p>
  </w:footnote>
  <w:footnote w:id="3091">
    <w:p>
      <w:pPr>
        <w:pStyle w:val="FootnoteText"/>
      </w:pPr>
      <w:r>
        <w:rPr>
          <w:rStyle w:val="FootnoteReference"/>
        </w:rPr>
        <w:footnoteRef/>
      </w:r>
      <w:r>
        <w:t xml:space="preserve"> Translation note: Greek says vows a vow and binds a binding.</w:t>
      </w:r>
    </w:p>
  </w:footnote>
  <w:footnote w:id="3092">
    <w:p>
      <w:pPr>
        <w:pStyle w:val="FootnoteText"/>
      </w:pPr>
      <w:r>
        <w:rPr>
          <w:rStyle w:val="FootnoteReference"/>
        </w:rPr>
        <w:footnoteRef/>
      </w:r>
      <w:r>
        <w:t xml:space="preserve"> Translation note: Greek says her vows shall stand and the bindings remain for her.</w:t>
      </w:r>
    </w:p>
  </w:footnote>
  <w:footnote w:id="3093">
    <w:p>
      <w:pPr>
        <w:pStyle w:val="FootnoteText"/>
      </w:pPr>
      <w:r>
        <w:rPr>
          <w:rStyle w:val="FootnoteReference"/>
        </w:rPr>
        <w:footnoteRef/>
      </w:r>
      <w:r>
        <w:t xml:space="preserve"> Translation note: Greek doubles refuse here. Current line keeps that wording.</w:t>
      </w:r>
    </w:p>
  </w:footnote>
  <w:footnote w:id="3094">
    <w:p>
      <w:pPr>
        <w:pStyle w:val="FootnoteText"/>
      </w:pPr>
      <w:r>
        <w:rPr>
          <w:rStyle w:val="FootnoteReference"/>
        </w:rPr>
        <w:footnoteRef/>
      </w:r>
      <w:r>
        <w:t xml:space="preserve"> Translation note: Greek here gives keep-silent case.</w:t>
      </w:r>
    </w:p>
  </w:footnote>
  <w:footnote w:id="3095">
    <w:p>
      <w:pPr>
        <w:pStyle w:val="FootnoteText"/>
      </w:pPr>
      <w:r>
        <w:rPr>
          <w:rStyle w:val="FootnoteReference"/>
        </w:rPr>
        <w:footnoteRef/>
      </w:r>
      <w:r>
        <w:t xml:space="preserve"> MT/LXX note: The Septuagint places a husband's-refusal scenario here rather than the Masoretic widow/divorced rule. The translation follows the Greek content.</w:t>
      </w:r>
    </w:p>
  </w:footnote>
  <w:footnote w:id="3096">
    <w:p>
      <w:pPr>
        <w:pStyle w:val="FootnoteText"/>
      </w:pPr>
      <w:r>
        <w:rPr>
          <w:rStyle w:val="FootnoteReference"/>
        </w:rPr>
        <w:footnoteRef/>
      </w:r>
      <w:r>
        <w:t xml:space="preserve"> Translation note: Greek says keeps silent to her and does not refuse her.</w:t>
      </w:r>
    </w:p>
  </w:footnote>
  <w:footnote w:id="3097">
    <w:p>
      <w:pPr>
        <w:pStyle w:val="FootnoteText"/>
      </w:pPr>
      <w:r>
        <w:rPr>
          <w:rStyle w:val="FootnoteReference"/>
        </w:rPr>
        <w:footnoteRef/>
      </w:r>
      <w:r>
        <w:t xml:space="preserve"> Translation note: Greek uses a stronger erasing or wiping-out verb for the husband's nullification. The translation keeps that force.</w:t>
      </w:r>
    </w:p>
  </w:footnote>
  <w:footnote w:id="3098">
    <w:p>
      <w:pPr>
        <w:pStyle w:val="FootnoteText"/>
      </w:pPr>
      <w:r>
        <w:rPr>
          <w:rStyle w:val="FootnoteReference"/>
        </w:rPr>
        <w:footnoteRef/>
      </w:r>
      <w:r>
        <w:t xml:space="preserve"> Translation note: Greek uses the establish-remove legal pair here.</w:t>
      </w:r>
    </w:p>
  </w:footnote>
  <w:footnote w:id="3099">
    <w:p>
      <w:pPr>
        <w:pStyle w:val="FootnoteText"/>
      </w:pPr>
      <w:r>
        <w:rPr>
          <w:rStyle w:val="FootnoteReference"/>
        </w:rPr>
        <w:footnoteRef/>
      </w:r>
      <w:r>
        <w:t xml:space="preserve"> MT/LXX note: The Septuagint places the delayed-cancellation rule here rather than the Masoretic closing summary. The translation follows the Greek content.</w:t>
      </w:r>
    </w:p>
  </w:footnote>
  <w:footnote w:id="3100">
    <w:p>
      <w:pPr>
        <w:pStyle w:val="FootnoteText"/>
      </w:pPr>
      <w:r>
        <w:rPr>
          <w:rStyle w:val="FootnoteReference"/>
        </w:rPr>
        <w:footnoteRef/>
      </w:r>
      <w:r>
        <w:t xml:space="preserve"> Cross-references for "Avenge": Num 25:17-18; Num 31:3.</w:t>
      </w:r>
    </w:p>
  </w:footnote>
  <w:footnote w:id="3101">
    <w:p>
      <w:pPr>
        <w:pStyle w:val="FootnoteText"/>
      </w:pPr>
      <w:r>
        <w:rPr>
          <w:rStyle w:val="FootnoteReference"/>
        </w:rPr>
        <w:footnoteRef/>
      </w:r>
      <w:r>
        <w:t xml:space="preserve"> Cross-references for "A thousand": Lev 26:8; Judg 7:2.</w:t>
      </w:r>
    </w:p>
  </w:footnote>
  <w:footnote w:id="3102">
    <w:p>
      <w:pPr>
        <w:pStyle w:val="FootnoteText"/>
      </w:pPr>
      <w:r>
        <w:rPr>
          <w:rStyle w:val="FootnoteReference"/>
        </w:rPr>
        <w:footnoteRef/>
      </w:r>
      <w:r>
        <w:t xml:space="preserve"> Cross-references for "Phinehas": Num 25:7-13.</w:t>
      </w:r>
    </w:p>
  </w:footnote>
  <w:footnote w:id="3103">
    <w:p>
      <w:pPr>
        <w:pStyle w:val="FootnoteText"/>
      </w:pPr>
      <w:r>
        <w:rPr>
          <w:rStyle w:val="FootnoteReference"/>
        </w:rPr>
        <w:footnoteRef/>
      </w:r>
      <w:r>
        <w:t xml:space="preserve"> Cross-references for "the kings": Num 22:4; Josh 13:21-22.</w:t>
      </w:r>
    </w:p>
  </w:footnote>
  <w:footnote w:id="3104">
    <w:p>
      <w:pPr>
        <w:pStyle w:val="FootnoteText"/>
      </w:pPr>
      <w:r>
        <w:rPr>
          <w:rStyle w:val="FootnoteReference"/>
        </w:rPr>
        <w:footnoteRef/>
      </w:r>
      <w:r>
        <w:t xml:space="preserve"> Personal name: Evi. Personal-name meaning: Evi — unjust. Source form: Evi.</w:t>
      </w:r>
    </w:p>
  </w:footnote>
  <w:footnote w:id="3105">
    <w:p>
      <w:pPr>
        <w:pStyle w:val="FootnoteText"/>
      </w:pPr>
      <w:r>
        <w:rPr>
          <w:rStyle w:val="FootnoteReference"/>
        </w:rPr>
        <w:footnoteRef/>
      </w:r>
      <w:r>
        <w:t xml:space="preserve"> Transliterated proper noun: Rekem. Standard English equivalent: Rekem. Source form: Rekem. Greek form: ροκομ. Name meaning: vain pictures; divers picture.</w:t>
      </w:r>
    </w:p>
  </w:footnote>
  <w:footnote w:id="3106">
    <w:p>
      <w:pPr>
        <w:pStyle w:val="FootnoteText"/>
      </w:pPr>
      <w:r>
        <w:rPr>
          <w:rStyle w:val="FootnoteReference"/>
        </w:rPr>
        <w:footnoteRef/>
      </w:r>
      <w:r>
        <w:t xml:space="preserve"> Personal name: Reba. Personal-name meaning: Reba — the fourth; a square; that lies or stoops down. Source form: Reba.</w:t>
      </w:r>
    </w:p>
  </w:footnote>
  <w:footnote w:id="3107">
    <w:p>
      <w:pPr>
        <w:pStyle w:val="FootnoteText"/>
      </w:pPr>
      <w:r>
        <w:rPr>
          <w:rStyle w:val="FootnoteReference"/>
        </w:rPr>
        <w:footnoteRef/>
      </w:r>
      <w:r>
        <w:t xml:space="preserve"> Cross-references for "the plains of Moab": Num 22:1.</w:t>
      </w:r>
    </w:p>
  </w:footnote>
  <w:footnote w:id="3108">
    <w:p>
      <w:pPr>
        <w:pStyle w:val="FootnoteText"/>
      </w:pPr>
      <w:r>
        <w:rPr>
          <w:rStyle w:val="FootnoteReference"/>
        </w:rPr>
        <w:footnoteRef/>
      </w:r>
      <w:r>
        <w:t xml:space="preserve"> Translation note: Greek keeps the reception scene in a direct sequence. Current wording preserves that meeting line.</w:t>
      </w:r>
    </w:p>
  </w:footnote>
  <w:footnote w:id="3109">
    <w:p>
      <w:pPr>
        <w:pStyle w:val="FootnoteText"/>
      </w:pPr>
      <w:r>
        <w:rPr>
          <w:rStyle w:val="FootnoteReference"/>
        </w:rPr>
        <w:footnoteRef/>
      </w:r>
      <w:r>
        <w:t xml:space="preserve"> Cross-references for "kill every male": Judg 21:11-12.</w:t>
      </w:r>
    </w:p>
  </w:footnote>
  <w:footnote w:id="3110">
    <w:p>
      <w:pPr>
        <w:pStyle w:val="FootnoteText"/>
      </w:pPr>
      <w:r>
        <w:rPr>
          <w:rStyle w:val="FootnoteReference"/>
        </w:rPr>
        <w:footnoteRef/>
      </w:r>
      <w:r>
        <w:t xml:space="preserve"> Cross-references for "keep alive for yourselves": Lev 25:44; Deut 20:14.</w:t>
      </w:r>
    </w:p>
  </w:footnote>
  <w:footnote w:id="3111">
    <w:p>
      <w:pPr>
        <w:pStyle w:val="FootnoteText"/>
      </w:pPr>
      <w:r>
        <w:rPr>
          <w:rStyle w:val="FootnoteReference"/>
        </w:rPr>
        <w:footnoteRef/>
      </w:r>
      <w:r>
        <w:t xml:space="preserve"> Translation note: Greek says everyone touching the wounded.</w:t>
      </w:r>
    </w:p>
  </w:footnote>
  <w:footnote w:id="3112">
    <w:p>
      <w:pPr>
        <w:pStyle w:val="FootnoteText"/>
      </w:pPr>
      <w:r>
        <w:rPr>
          <w:rStyle w:val="FootnoteReference"/>
        </w:rPr>
        <w:footnoteRef/>
      </w:r>
      <w:r>
        <w:t xml:space="preserve"> Cross-references for "it shall be purified": Num 8:7; Num 19:9.</w:t>
      </w:r>
    </w:p>
  </w:footnote>
  <w:footnote w:id="3113">
    <w:p>
      <w:pPr>
        <w:pStyle w:val="FootnoteText"/>
      </w:pPr>
      <w:r>
        <w:rPr>
          <w:rStyle w:val="FootnoteReference"/>
        </w:rPr>
        <w:footnoteRef/>
      </w:r>
      <w:r>
        <w:t xml:space="preserve"> Translation note: Greek says water of purification here. Current line keeps that wording.</w:t>
      </w:r>
    </w:p>
  </w:footnote>
  <w:footnote w:id="3114">
    <w:p>
      <w:pPr>
        <w:pStyle w:val="FootnoteText"/>
      </w:pPr>
      <w:r>
        <w:rPr>
          <w:rStyle w:val="FootnoteReference"/>
        </w:rPr>
        <w:footnoteRef/>
      </w:r>
      <w:r>
        <w:t xml:space="preserve"> Translation note: Greek closes the purification line with camp reentry. Current wording preserves that sequence.</w:t>
      </w:r>
    </w:p>
  </w:footnote>
  <w:footnote w:id="3115">
    <w:p>
      <w:pPr>
        <w:pStyle w:val="FootnoteText"/>
      </w:pPr>
      <w:r>
        <w:rPr>
          <w:rStyle w:val="FootnoteReference"/>
        </w:rPr>
        <w:footnoteRef/>
      </w:r>
      <w:r>
        <w:t xml:space="preserve"> Cross-references for "one soul": Num 18:26; Num 31:30.</w:t>
      </w:r>
    </w:p>
  </w:footnote>
  <w:footnote w:id="3116">
    <w:p>
      <w:pPr>
        <w:pStyle w:val="FootnoteText"/>
      </w:pPr>
      <w:r>
        <w:rPr>
          <w:rStyle w:val="FootnoteReference"/>
        </w:rPr>
        <w:footnoteRef/>
      </w:r>
      <w:r>
        <w:t xml:space="preserve"> Translation note: Greek says one out of fifty and humans.</w:t>
      </w:r>
    </w:p>
  </w:footnote>
  <w:footnote w:id="3117">
    <w:p>
      <w:pPr>
        <w:pStyle w:val="FootnoteText"/>
      </w:pPr>
      <w:r>
        <w:rPr>
          <w:rStyle w:val="FootnoteReference"/>
        </w:rPr>
        <w:footnoteRef/>
      </w:r>
      <w:r>
        <w:t xml:space="preserve"> Cross-references for "keep the": Num 3:7-8; Num 3:25.</w:t>
      </w:r>
    </w:p>
  </w:footnote>
  <w:footnote w:id="3118">
    <w:p>
      <w:pPr>
        <w:pStyle w:val="FootnoteText"/>
      </w:pPr>
      <w:r>
        <w:rPr>
          <w:rStyle w:val="FootnoteReference"/>
        </w:rPr>
        <w:footnoteRef/>
      </w:r>
      <w:r>
        <w:t xml:space="preserve"> Cross-references for "Eleazar": Num 18:8; Num 18:19.</w:t>
      </w:r>
    </w:p>
  </w:footnote>
  <w:footnote w:id="3119">
    <w:p>
      <w:pPr>
        <w:pStyle w:val="FootnoteText"/>
      </w:pPr>
      <w:r>
        <w:rPr>
          <w:rStyle w:val="FootnoteReference"/>
        </w:rPr>
        <w:footnoteRef/>
      </w:r>
      <w:r>
        <w:t xml:space="preserve"> Translation note: Greek says one out of fifty.</w:t>
      </w:r>
    </w:p>
  </w:footnote>
  <w:footnote w:id="3120">
    <w:p>
      <w:pPr>
        <w:pStyle w:val="FootnoteText"/>
      </w:pPr>
      <w:r>
        <w:rPr>
          <w:rStyle w:val="FootnoteReference"/>
        </w:rPr>
        <w:footnoteRef/>
      </w:r>
      <w:r>
        <w:t xml:space="preserve"> Cross-references for "the Levites": Num 18:21-24; Deut 12:17-19.</w:t>
      </w:r>
    </w:p>
  </w:footnote>
  <w:footnote w:id="3121">
    <w:p>
      <w:pPr>
        <w:pStyle w:val="FootnoteText"/>
      </w:pPr>
      <w:r>
        <w:rPr>
          <w:rStyle w:val="FootnoteReference"/>
        </w:rPr>
        <w:footnoteRef/>
      </w:r>
      <w:r>
        <w:t xml:space="preserve"> Cross-references for "offering": Num 31:52.</w:t>
      </w:r>
    </w:p>
  </w:footnote>
  <w:footnote w:id="3122">
    <w:p>
      <w:pPr>
        <w:pStyle w:val="FootnoteText"/>
      </w:pPr>
      <w:r>
        <w:rPr>
          <w:rStyle w:val="FootnoteReference"/>
        </w:rPr>
        <w:footnoteRef/>
      </w:r>
      <w:r>
        <w:t xml:space="preserve"> Translation note: Greek uses rank terms like chiliarchs and centurions. The translation keeps those military titles more directly.</w:t>
      </w:r>
    </w:p>
  </w:footnote>
  <w:footnote w:id="3123">
    <w:p>
      <w:pPr>
        <w:pStyle w:val="FootnoteText"/>
      </w:pPr>
      <w:r>
        <w:rPr>
          <w:rStyle w:val="FootnoteReference"/>
        </w:rPr>
        <w:footnoteRef/>
      </w:r>
      <w:r>
        <w:t xml:space="preserve"> Cross-references for "a memorial": Exod 30:16; Num 16:40.</w:t>
      </w:r>
    </w:p>
  </w:footnote>
  <w:footnote w:id="3124">
    <w:p>
      <w:pPr>
        <w:pStyle w:val="FootnoteText"/>
      </w:pPr>
      <w:r>
        <w:rPr>
          <w:rStyle w:val="FootnoteReference"/>
        </w:rPr>
        <w:footnoteRef/>
      </w:r>
      <w:r>
        <w:t xml:space="preserve"> Cross-references for "the place": Gen 13:2; Gen 13:5.</w:t>
      </w:r>
    </w:p>
  </w:footnote>
  <w:footnote w:id="3125">
    <w:p>
      <w:pPr>
        <w:pStyle w:val="FootnoteText"/>
      </w:pPr>
      <w:r>
        <w:rPr>
          <w:rStyle w:val="FootnoteReference"/>
        </w:rPr>
        <w:footnoteRef/>
      </w:r>
      <w:r>
        <w:t xml:space="preserve"> Place name: Ataroth. Place-name meaning: Ataroth — crowns. Source form: Ataroth. Greek form: αταρωθ.</w:t>
      </w:r>
    </w:p>
  </w:footnote>
  <w:footnote w:id="3126">
    <w:p>
      <w:pPr>
        <w:pStyle w:val="FootnoteText"/>
      </w:pPr>
      <w:r>
        <w:rPr>
          <w:rStyle w:val="FootnoteReference"/>
        </w:rPr>
        <w:footnoteRef/>
      </w:r>
      <w:r>
        <w:t xml:space="preserve"> Place name: Nimrah. Place-name meaning: Nimrah — leopard; bitterness; rebellion. Source form: Nimrah. Greek form: ναμβρα.</w:t>
      </w:r>
    </w:p>
  </w:footnote>
  <w:footnote w:id="3127">
    <w:p>
      <w:pPr>
        <w:pStyle w:val="FootnoteText"/>
      </w:pPr>
      <w:r>
        <w:rPr>
          <w:rStyle w:val="FootnoteReference"/>
        </w:rPr>
        <w:footnoteRef/>
      </w:r>
      <w:r>
        <w:t xml:space="preserve"> Place name: Elealeh. Place-name meaning: Elealeh — burnt-offering of God. Source form: Elealeh. Greek form: ελεαλη.</w:t>
      </w:r>
    </w:p>
  </w:footnote>
  <w:footnote w:id="3128">
    <w:p>
      <w:pPr>
        <w:pStyle w:val="FootnoteText"/>
      </w:pPr>
      <w:r>
        <w:rPr>
          <w:rStyle w:val="FootnoteReference"/>
        </w:rPr>
        <w:footnoteRef/>
      </w:r>
      <w:r>
        <w:t xml:space="preserve"> Transliterated proper noun: Shebam. Standard English equivalent: Shebam. Source form: Shebam. Greek form: σεβαμα. Name meaning: compassing about; old men.</w:t>
      </w:r>
    </w:p>
  </w:footnote>
  <w:footnote w:id="3129">
    <w:p>
      <w:pPr>
        <w:pStyle w:val="FootnoteText"/>
      </w:pPr>
      <w:r>
        <w:rPr>
          <w:rStyle w:val="FootnoteReference"/>
        </w:rPr>
        <w:footnoteRef/>
      </w:r>
      <w:r>
        <w:t xml:space="preserve"> Cross-references for "Ataroth": Num 32:1; Num 32:34-38.</w:t>
      </w:r>
    </w:p>
  </w:footnote>
  <w:footnote w:id="3130">
    <w:p>
      <w:pPr>
        <w:pStyle w:val="FootnoteText"/>
      </w:pPr>
      <w:r>
        <w:rPr>
          <w:rStyle w:val="FootnoteReference"/>
        </w:rPr>
        <w:footnoteRef/>
      </w:r>
      <w:r>
        <w:t xml:space="preserve"> Cross-references for "If we have": Gen 19:19; Ruth 2:10.</w:t>
      </w:r>
    </w:p>
  </w:footnote>
  <w:footnote w:id="3131">
    <w:p>
      <w:pPr>
        <w:pStyle w:val="FootnoteText"/>
      </w:pPr>
      <w:r>
        <w:rPr>
          <w:rStyle w:val="FootnoteReference"/>
        </w:rPr>
        <w:footnoteRef/>
      </w:r>
      <w:r>
        <w:t xml:space="preserve"> Transliterated proper noun: Kadesh-Barnea. Standard English equivalent: Kadesh-Barnea. Source form: Kadesh-Barnea. Greek form: καδης. Name meaning: holiness of an inconstant son.</w:t>
      </w:r>
    </w:p>
  </w:footnote>
  <w:footnote w:id="3132">
    <w:p>
      <w:pPr>
        <w:pStyle w:val="FootnoteText"/>
      </w:pPr>
      <w:r>
        <w:rPr>
          <w:rStyle w:val="FootnoteReference"/>
        </w:rPr>
        <w:footnoteRef/>
      </w:r>
      <w:r>
        <w:t xml:space="preserve"> Cross-references for "from twenty": Num 14:28-29; Num 26:2.</w:t>
      </w:r>
    </w:p>
  </w:footnote>
  <w:footnote w:id="3133">
    <w:p>
      <w:pPr>
        <w:pStyle w:val="FootnoteText"/>
      </w:pPr>
      <w:r>
        <w:rPr>
          <w:rStyle w:val="FootnoteReference"/>
        </w:rPr>
        <w:footnoteRef/>
      </w:r>
      <w:r>
        <w:t xml:space="preserve"> Translation note: Greek keeps the know-evil-and-good description and the follow-after-me line explicit. Current wording preserves both.</w:t>
      </w:r>
    </w:p>
  </w:footnote>
  <w:footnote w:id="3134">
    <w:p>
      <w:pPr>
        <w:pStyle w:val="FootnoteText"/>
      </w:pPr>
      <w:r>
        <w:rPr>
          <w:rStyle w:val="FootnoteReference"/>
        </w:rPr>
        <w:footnoteRef/>
      </w:r>
      <w:r>
        <w:t xml:space="preserve"> Translation note: Greek uses circling-wilderness language here. Current wording preserves it.</w:t>
      </w:r>
    </w:p>
  </w:footnote>
  <w:footnote w:id="3135">
    <w:p>
      <w:pPr>
        <w:pStyle w:val="FootnoteText"/>
      </w:pPr>
      <w:r>
        <w:rPr>
          <w:rStyle w:val="FootnoteReference"/>
        </w:rPr>
        <w:footnoteRef/>
      </w:r>
      <w:r>
        <w:t xml:space="preserve"> Cross-references for "until all": Num 26:64; Deut 2:15.</w:t>
      </w:r>
    </w:p>
  </w:footnote>
  <w:footnote w:id="3136">
    <w:p>
      <w:pPr>
        <w:pStyle w:val="FootnoteText"/>
      </w:pPr>
      <w:r>
        <w:rPr>
          <w:rStyle w:val="FootnoteReference"/>
        </w:rPr>
        <w:footnoteRef/>
      </w:r>
      <w:r>
        <w:t xml:space="preserve"> Translation note: Greek says armed for guard here. Current line keeps that wording.</w:t>
      </w:r>
    </w:p>
  </w:footnote>
  <w:footnote w:id="3137">
    <w:p>
      <w:pPr>
        <w:pStyle w:val="FootnoteText"/>
      </w:pPr>
      <w:r>
        <w:rPr>
          <w:rStyle w:val="FootnoteReference"/>
        </w:rPr>
        <w:footnoteRef/>
      </w:r>
      <w:r>
        <w:t xml:space="preserve"> Cross-references for "this land": Deut 3:12-18; Josh 1:15.</w:t>
      </w:r>
    </w:p>
  </w:footnote>
  <w:footnote w:id="3138">
    <w:p>
      <w:pPr>
        <w:pStyle w:val="FootnoteText"/>
      </w:pPr>
      <w:r>
        <w:rPr>
          <w:rStyle w:val="FootnoteReference"/>
        </w:rPr>
        <w:footnoteRef/>
      </w:r>
      <w:r>
        <w:t xml:space="preserve"> Cross-references for "armed": Num 32:17; 2Cor 10:4-5.</w:t>
      </w:r>
    </w:p>
  </w:footnote>
  <w:footnote w:id="3139">
    <w:p>
      <w:pPr>
        <w:pStyle w:val="FootnoteText"/>
      </w:pPr>
      <w:r>
        <w:rPr>
          <w:rStyle w:val="FootnoteReference"/>
        </w:rPr>
        <w:footnoteRef/>
      </w:r>
      <w:r>
        <w:t xml:space="preserve"> Cross-references for "Moses": Num 32:1; Deut 3:12-17.</w:t>
      </w:r>
    </w:p>
  </w:footnote>
  <w:footnote w:id="3140">
    <w:p>
      <w:pPr>
        <w:pStyle w:val="FootnoteText"/>
      </w:pPr>
      <w:r>
        <w:rPr>
          <w:rStyle w:val="FootnoteReference"/>
        </w:rPr>
        <w:footnoteRef/>
      </w:r>
      <w:r>
        <w:t xml:space="preserve"> Cross-references for "Dibon": Num 21:20; Num 32:3.</w:t>
      </w:r>
    </w:p>
  </w:footnote>
  <w:footnote w:id="3141">
    <w:p>
      <w:pPr>
        <w:pStyle w:val="FootnoteText"/>
      </w:pPr>
      <w:r>
        <w:rPr>
          <w:rStyle w:val="FootnoteReference"/>
        </w:rPr>
        <w:footnoteRef/>
      </w:r>
      <w:r>
        <w:t xml:space="preserve"> Transliterated proper noun: Shophan. Standard English equivalent: Shophan. Source form: Shophan. Greek form: σωφαρ. Name meaning: rabbit; hid.</w:t>
      </w:r>
    </w:p>
  </w:footnote>
  <w:footnote w:id="3142">
    <w:p>
      <w:pPr>
        <w:pStyle w:val="FootnoteText"/>
      </w:pPr>
      <w:r>
        <w:rPr>
          <w:rStyle w:val="FootnoteReference"/>
        </w:rPr>
        <w:footnoteRef/>
      </w:r>
      <w:r>
        <w:t xml:space="preserve"> Cross-references for "Jaazer": Num 32:1; Num 32:3.</w:t>
      </w:r>
    </w:p>
  </w:footnote>
  <w:footnote w:id="3143">
    <w:p>
      <w:pPr>
        <w:pStyle w:val="FootnoteText"/>
      </w:pPr>
      <w:r>
        <w:rPr>
          <w:rStyle w:val="FootnoteReference"/>
        </w:rPr>
        <w:footnoteRef/>
      </w:r>
      <w:r>
        <w:t xml:space="preserve"> Place name: Beth-nimrah. Place-name meaning: Beth-nimrah — house of clear water; house of the leopard. Source form: Beth-nimrah. Greek form: βαιθαραν.</w:t>
      </w:r>
    </w:p>
  </w:footnote>
  <w:footnote w:id="3144">
    <w:p>
      <w:pPr>
        <w:pStyle w:val="FootnoteText"/>
      </w:pPr>
      <w:r>
        <w:rPr>
          <w:rStyle w:val="FootnoteReference"/>
        </w:rPr>
        <w:footnoteRef/>
      </w:r>
      <w:r>
        <w:t xml:space="preserve"> Transliterated proper noun: Bethharan. Standard English equivalent: Bethharan. Source form: Bethharan. Greek form: βαιθαραν. Name meaning: house of grace.</w:t>
      </w:r>
    </w:p>
  </w:footnote>
  <w:footnote w:id="3145">
    <w:p>
      <w:pPr>
        <w:pStyle w:val="FootnoteText"/>
      </w:pPr>
      <w:r>
        <w:rPr>
          <w:rStyle w:val="FootnoteReference"/>
        </w:rPr>
        <w:footnoteRef/>
      </w:r>
      <w:r>
        <w:t xml:space="preserve"> Cross-references for "Heshbon": Num 21:27; Num 32:3.</w:t>
      </w:r>
    </w:p>
  </w:footnote>
  <w:footnote w:id="3146">
    <w:p>
      <w:pPr>
        <w:pStyle w:val="FootnoteText"/>
      </w:pPr>
      <w:r>
        <w:rPr>
          <w:rStyle w:val="FootnoteReference"/>
        </w:rPr>
        <w:footnoteRef/>
      </w:r>
      <w:r>
        <w:t xml:space="preserve"> Transliterated proper noun: Kirjathaim. Standard English equivalent: Kirjathaim. Source form: Kirjathaim. Greek form: καριαθαιμ. Name meaning: the two cities; callings; or meetings.</w:t>
      </w:r>
    </w:p>
  </w:footnote>
  <w:footnote w:id="3147">
    <w:p>
      <w:pPr>
        <w:pStyle w:val="FootnoteText"/>
      </w:pPr>
      <w:r>
        <w:rPr>
          <w:rStyle w:val="FootnoteReference"/>
        </w:rPr>
        <w:footnoteRef/>
      </w:r>
      <w:r>
        <w:t xml:space="preserve"> Place name: Baal-meon. Place-name meaning: Baal-meon — lord of dwelling; place of Baal. Source form: Baal-meon. Greek form: βεελμεων.</w:t>
      </w:r>
    </w:p>
  </w:footnote>
  <w:footnote w:id="3148">
    <w:p>
      <w:pPr>
        <w:pStyle w:val="FootnoteText"/>
      </w:pPr>
      <w:r>
        <w:rPr>
          <w:rStyle w:val="FootnoteReference"/>
        </w:rPr>
        <w:footnoteRef/>
      </w:r>
      <w:r>
        <w:t xml:space="preserve"> Transliterated proper noun: Jair. Standard English equivalent: Jair. Source form: Jair. Greek form: ιαιρ. Name meaning: my light; who diffuses light.</w:t>
      </w:r>
    </w:p>
  </w:footnote>
  <w:footnote w:id="3149">
    <w:p>
      <w:pPr>
        <w:pStyle w:val="FootnoteText"/>
      </w:pPr>
      <w:r>
        <w:rPr>
          <w:rStyle w:val="FootnoteReference"/>
        </w:rPr>
        <w:footnoteRef/>
      </w:r>
      <w:r>
        <w:t xml:space="preserve"> Transliterated proper noun: Manassite. Standard English equivalent: Manasseh. Source form: Manassite. Greek form: μανασση. Name meaning: Causing to forget.</w:t>
      </w:r>
    </w:p>
  </w:footnote>
  <w:footnote w:id="3150">
    <w:p>
      <w:pPr>
        <w:pStyle w:val="FootnoteText"/>
      </w:pPr>
      <w:r>
        <w:rPr>
          <w:rStyle w:val="FootnoteReference"/>
        </w:rPr>
        <w:footnoteRef/>
      </w:r>
      <w:r>
        <w:t xml:space="preserve"> Cross-references for "Jair": Deut 3:14; Josh 13:30.</w:t>
      </w:r>
    </w:p>
  </w:footnote>
  <w:footnote w:id="3151">
    <w:p>
      <w:pPr>
        <w:pStyle w:val="FootnoteText"/>
      </w:pPr>
      <w:r>
        <w:rPr>
          <w:rStyle w:val="FootnoteReference"/>
        </w:rPr>
        <w:footnoteRef/>
      </w:r>
      <w:r>
        <w:t xml:space="preserve"> Personal name: Naboth. Personal-name meaning: Naboth — words; prophecies. Source form: Naboth.</w:t>
      </w:r>
    </w:p>
  </w:footnote>
  <w:footnote w:id="3152">
    <w:p>
      <w:pPr>
        <w:pStyle w:val="FootnoteText"/>
      </w:pPr>
      <w:r>
        <w:rPr>
          <w:rStyle w:val="FootnoteReference"/>
        </w:rPr>
        <w:footnoteRef/>
      </w:r>
      <w:r>
        <w:t xml:space="preserve"> Cross-references for "in the first": Exod 12:2; Exod 13:4.</w:t>
      </w:r>
    </w:p>
  </w:footnote>
  <w:footnote w:id="3153">
    <w:p>
      <w:pPr>
        <w:pStyle w:val="FootnoteText"/>
      </w:pPr>
      <w:r>
        <w:rPr>
          <w:rStyle w:val="FootnoteReference"/>
        </w:rPr>
        <w:footnoteRef/>
      </w:r>
      <w:r>
        <w:t xml:space="preserve"> Translation note: Greek keeps uplifted-hand phrase.</w:t>
      </w:r>
    </w:p>
  </w:footnote>
  <w:footnote w:id="3154">
    <w:p>
      <w:pPr>
        <w:pStyle w:val="FootnoteText"/>
      </w:pPr>
      <w:r>
        <w:rPr>
          <w:rStyle w:val="FootnoteReference"/>
        </w:rPr>
        <w:footnoteRef/>
      </w:r>
      <w:r>
        <w:t xml:space="preserve"> Place name: Pi-hahiroth. Place-name meaning: Pihahiroth — the mouth; the pass of Hiroth. Standard English equivalent: Pihahiroth. Source form: Pi-hahiroth. Greek form: ειρωθ.</w:t>
      </w:r>
    </w:p>
  </w:footnote>
  <w:footnote w:id="3155">
    <w:p>
      <w:pPr>
        <w:pStyle w:val="FootnoteText"/>
      </w:pPr>
      <w:r>
        <w:rPr>
          <w:rStyle w:val="FootnoteReference"/>
        </w:rPr>
        <w:footnoteRef/>
      </w:r>
      <w:r>
        <w:t xml:space="preserve"> Cross-references for "Elim": Exod 16:1; Exod 17:1.</w:t>
      </w:r>
    </w:p>
  </w:footnote>
  <w:footnote w:id="3156">
    <w:p>
      <w:pPr>
        <w:pStyle w:val="FootnoteText"/>
      </w:pPr>
      <w:r>
        <w:rPr>
          <w:rStyle w:val="FootnoteReference"/>
        </w:rPr>
        <w:footnoteRef/>
      </w:r>
      <w:r>
        <w:t xml:space="preserve"> Place name: Dophkah. Place-name meaning: Dophkah — a knocking. Source form: Dophkah. Greek form: ραφακα.</w:t>
      </w:r>
    </w:p>
  </w:footnote>
  <w:footnote w:id="3157">
    <w:p>
      <w:pPr>
        <w:pStyle w:val="FootnoteText"/>
      </w:pPr>
      <w:r>
        <w:rPr>
          <w:rStyle w:val="FootnoteReference"/>
        </w:rPr>
        <w:footnoteRef/>
      </w:r>
      <w:r>
        <w:t xml:space="preserve"> Place name: Alush. Place-name meaning: Alush — mingling together. Source form: Alush. Greek form: αιλους.</w:t>
      </w:r>
    </w:p>
  </w:footnote>
  <w:footnote w:id="3158">
    <w:p>
      <w:pPr>
        <w:pStyle w:val="FootnoteText"/>
      </w:pPr>
      <w:r>
        <w:rPr>
          <w:rStyle w:val="FootnoteReference"/>
        </w:rPr>
        <w:footnoteRef/>
      </w:r>
      <w:r>
        <w:t xml:space="preserve"> Cross-references for "Rephidim": Exod 17:1-8; Exod 19:2.</w:t>
      </w:r>
    </w:p>
  </w:footnote>
  <w:footnote w:id="3159">
    <w:p>
      <w:pPr>
        <w:pStyle w:val="FootnoteText"/>
      </w:pPr>
      <w:r>
        <w:rPr>
          <w:rStyle w:val="FootnoteReference"/>
        </w:rPr>
        <w:footnoteRef/>
      </w:r>
      <w:r>
        <w:t xml:space="preserve"> Place name: Rithmah. Place-name meaning: Rithmah — juniper; noise. Source form: Rithmah. Greek form: ραθαμα.</w:t>
      </w:r>
    </w:p>
  </w:footnote>
  <w:footnote w:id="3160">
    <w:p>
      <w:pPr>
        <w:pStyle w:val="FootnoteText"/>
      </w:pPr>
      <w:r>
        <w:rPr>
          <w:rStyle w:val="FootnoteReference"/>
        </w:rPr>
        <w:footnoteRef/>
      </w:r>
      <w:r>
        <w:t xml:space="preserve"> Place name: Libnah. Place-name meaning: Libnah — white; whiteness. Source form: Libnah. Greek form: λεμωνα.</w:t>
      </w:r>
    </w:p>
  </w:footnote>
  <w:footnote w:id="3161">
    <w:p>
      <w:pPr>
        <w:pStyle w:val="FootnoteText"/>
      </w:pPr>
      <w:r>
        <w:rPr>
          <w:rStyle w:val="FootnoteReference"/>
        </w:rPr>
        <w:footnoteRef/>
      </w:r>
      <w:r>
        <w:t xml:space="preserve"> Cross-references for "Libnah": Deut 1:1.</w:t>
      </w:r>
    </w:p>
  </w:footnote>
  <w:footnote w:id="3162">
    <w:p>
      <w:pPr>
        <w:pStyle w:val="FootnoteText"/>
      </w:pPr>
      <w:r>
        <w:rPr>
          <w:rStyle w:val="FootnoteReference"/>
        </w:rPr>
        <w:footnoteRef/>
      </w:r>
      <w:r>
        <w:t xml:space="preserve"> Place name: Rissah. Place-name meaning: Rissah — watering; distillation; dew. Source form: Rissah. Greek form: δεσσα.</w:t>
      </w:r>
    </w:p>
  </w:footnote>
  <w:footnote w:id="3163">
    <w:p>
      <w:pPr>
        <w:pStyle w:val="FootnoteText"/>
      </w:pPr>
      <w:r>
        <w:rPr>
          <w:rStyle w:val="FootnoteReference"/>
        </w:rPr>
        <w:footnoteRef/>
      </w:r>
      <w:r>
        <w:t xml:space="preserve"> Place name: Kehelathah. Place-name meaning: Kehelathah — assembly; congregation. Source form: Kehelathah. Greek form: μακελλαθ.</w:t>
      </w:r>
    </w:p>
  </w:footnote>
  <w:footnote w:id="3164">
    <w:p>
      <w:pPr>
        <w:pStyle w:val="FootnoteText"/>
      </w:pPr>
      <w:r>
        <w:rPr>
          <w:rStyle w:val="FootnoteReference"/>
        </w:rPr>
        <w:footnoteRef/>
      </w:r>
      <w:r>
        <w:t xml:space="preserve"> Cross-references for "Shapher": Num 33:24.</w:t>
      </w:r>
    </w:p>
  </w:footnote>
  <w:footnote w:id="3165">
    <w:p>
      <w:pPr>
        <w:pStyle w:val="FootnoteText"/>
      </w:pPr>
      <w:r>
        <w:rPr>
          <w:rStyle w:val="FootnoteReference"/>
        </w:rPr>
        <w:footnoteRef/>
      </w:r>
      <w:r>
        <w:t xml:space="preserve"> Place name: Haradah. Place-name meaning: Haradah — well of great fear. Source form: Haradah. Greek form: χαραδαθ.</w:t>
      </w:r>
    </w:p>
  </w:footnote>
  <w:footnote w:id="3166">
    <w:p>
      <w:pPr>
        <w:pStyle w:val="FootnoteText"/>
      </w:pPr>
      <w:r>
        <w:rPr>
          <w:rStyle w:val="FootnoteReference"/>
        </w:rPr>
        <w:footnoteRef/>
      </w:r>
      <w:r>
        <w:t xml:space="preserve"> Place name: Makheloth. Place-name meaning: Makheloth — assemblies; congregations. Source form: Makheloth. Greek form: μακηλωθ.</w:t>
      </w:r>
    </w:p>
  </w:footnote>
  <w:footnote w:id="3167">
    <w:p>
      <w:pPr>
        <w:pStyle w:val="FootnoteText"/>
      </w:pPr>
      <w:r>
        <w:rPr>
          <w:rStyle w:val="FootnoteReference"/>
        </w:rPr>
        <w:footnoteRef/>
      </w:r>
      <w:r>
        <w:t xml:space="preserve"> Transliterated proper noun: Tahath. Standard English equivalent: Tahath. Source form: Tahath. Greek form: κατααθ. Name meaning: fear; going down.</w:t>
      </w:r>
    </w:p>
  </w:footnote>
  <w:footnote w:id="3168">
    <w:p>
      <w:pPr>
        <w:pStyle w:val="FootnoteText"/>
      </w:pPr>
      <w:r>
        <w:rPr>
          <w:rStyle w:val="FootnoteReference"/>
        </w:rPr>
        <w:footnoteRef/>
      </w:r>
      <w:r>
        <w:t xml:space="preserve"> Transliterated proper noun: Tarah. Standard English equivalent: Tarah. Source form: Tarah. Greek form: ταραθ. Name meaning: a hair; a wretch; one banished.</w:t>
      </w:r>
    </w:p>
  </w:footnote>
  <w:footnote w:id="3169">
    <w:p>
      <w:pPr>
        <w:pStyle w:val="FootnoteText"/>
      </w:pPr>
      <w:r>
        <w:rPr>
          <w:rStyle w:val="FootnoteReference"/>
        </w:rPr>
        <w:footnoteRef/>
      </w:r>
      <w:r>
        <w:t xml:space="preserve"> Transliterated proper noun: Mithcah. Standard English equivalent: Mithcah. Source form: Mithcah. Greek form: ματεκκα. Name meaning: sweetness; pleasantness.</w:t>
      </w:r>
    </w:p>
  </w:footnote>
  <w:footnote w:id="3170">
    <w:p>
      <w:pPr>
        <w:pStyle w:val="FootnoteText"/>
      </w:pPr>
      <w:r>
        <w:rPr>
          <w:rStyle w:val="FootnoteReference"/>
        </w:rPr>
        <w:footnoteRef/>
      </w:r>
      <w:r>
        <w:t xml:space="preserve"> Place name: Zalmonah. Place-name meaning: Zalmonah — the shade; the sound of the number; his image. Source form: Zalmonah. Greek form: σελμωνα.</w:t>
      </w:r>
    </w:p>
  </w:footnote>
  <w:footnote w:id="3171">
    <w:p>
      <w:pPr>
        <w:pStyle w:val="FootnoteText"/>
      </w:pPr>
      <w:r>
        <w:rPr>
          <w:rStyle w:val="FootnoteReference"/>
        </w:rPr>
        <w:footnoteRef/>
      </w:r>
      <w:r>
        <w:t xml:space="preserve"> Place name: Moseroth. Place-name meaning: Moseroth — erudition; discipline. Source form: Moseroth. Greek form: μασσουρουθ.</w:t>
      </w:r>
    </w:p>
  </w:footnote>
  <w:footnote w:id="3172">
    <w:p>
      <w:pPr>
        <w:pStyle w:val="FootnoteText"/>
      </w:pPr>
      <w:r>
        <w:rPr>
          <w:rStyle w:val="FootnoteReference"/>
        </w:rPr>
        <w:footnoteRef/>
      </w:r>
      <w:r>
        <w:t xml:space="preserve"> Cross-references for "Moseroth": Deut 10:5.</w:t>
      </w:r>
    </w:p>
  </w:footnote>
  <w:footnote w:id="3173">
    <w:p>
      <w:pPr>
        <w:pStyle w:val="FootnoteText"/>
      </w:pPr>
      <w:r>
        <w:rPr>
          <w:rStyle w:val="FootnoteReference"/>
        </w:rPr>
        <w:footnoteRef/>
      </w:r>
      <w:r>
        <w:t xml:space="preserve"> Personal name: Benaiah. Personal-name meaning: Benaiah — son of the Lord. Source form: Benaiah.</w:t>
      </w:r>
    </w:p>
  </w:footnote>
  <w:footnote w:id="3174">
    <w:p>
      <w:pPr>
        <w:pStyle w:val="FootnoteText"/>
      </w:pPr>
      <w:r>
        <w:rPr>
          <w:rStyle w:val="FootnoteReference"/>
        </w:rPr>
        <w:footnoteRef/>
      </w:r>
      <w:r>
        <w:t xml:space="preserve"> Transliterated proper noun: Horhagidgad. Standard English equivalent: Horhagidgad. Source form: Horhagidgad. Greek form: γαδγαδ. Name meaning: the hill of felicity.</w:t>
      </w:r>
    </w:p>
  </w:footnote>
  <w:footnote w:id="3175">
    <w:p>
      <w:pPr>
        <w:pStyle w:val="FootnoteText"/>
      </w:pPr>
      <w:r>
        <w:rPr>
          <w:rStyle w:val="FootnoteReference"/>
        </w:rPr>
        <w:footnoteRef/>
      </w:r>
      <w:r>
        <w:t xml:space="preserve"> Place name: Jotbathah. Place-name meaning: Jotbathah — goodness; pleasantness. Source form: Jotbathah. Greek form: ετεβαθα.</w:t>
      </w:r>
    </w:p>
  </w:footnote>
  <w:footnote w:id="3176">
    <w:p>
      <w:pPr>
        <w:pStyle w:val="FootnoteText"/>
      </w:pPr>
      <w:r>
        <w:rPr>
          <w:rStyle w:val="FootnoteReference"/>
        </w:rPr>
        <w:footnoteRef/>
      </w:r>
      <w:r>
        <w:t xml:space="preserve"> Cross-references for "Jotbathah": Deut 10:7.</w:t>
      </w:r>
    </w:p>
  </w:footnote>
  <w:footnote w:id="3177">
    <w:p>
      <w:pPr>
        <w:pStyle w:val="FootnoteText"/>
      </w:pPr>
      <w:r>
        <w:rPr>
          <w:rStyle w:val="FootnoteReference"/>
        </w:rPr>
        <w:footnoteRef/>
      </w:r>
      <w:r>
        <w:t xml:space="preserve"> Transliterated proper noun: Ebronah. Standard English equivalent: Ebronah. Source form: Ebronah. Greek form: εβρωνα. Name meaning: passage over; being angry.</w:t>
      </w:r>
    </w:p>
  </w:footnote>
  <w:footnote w:id="3178">
    <w:p>
      <w:pPr>
        <w:pStyle w:val="FootnoteText"/>
      </w:pPr>
      <w:r>
        <w:rPr>
          <w:rStyle w:val="FootnoteReference"/>
        </w:rPr>
        <w:footnoteRef/>
      </w:r>
      <w:r>
        <w:t xml:space="preserve"> Cross-references for "Ebronah": Num 33:34.</w:t>
      </w:r>
    </w:p>
  </w:footnote>
  <w:footnote w:id="3179">
    <w:p>
      <w:pPr>
        <w:pStyle w:val="FootnoteText"/>
      </w:pPr>
      <w:r>
        <w:rPr>
          <w:rStyle w:val="FootnoteReference"/>
        </w:rPr>
        <w:footnoteRef/>
      </w:r>
      <w:r>
        <w:t xml:space="preserve"> Cross-references for "Eziongaber": Num 14:25; Deut 2:8.</w:t>
      </w:r>
    </w:p>
  </w:footnote>
  <w:footnote w:id="3180">
    <w:p>
      <w:pPr>
        <w:pStyle w:val="FootnoteText"/>
      </w:pPr>
      <w:r>
        <w:rPr>
          <w:rStyle w:val="FootnoteReference"/>
        </w:rPr>
        <w:footnoteRef/>
      </w:r>
      <w:r>
        <w:t xml:space="preserve"> Cross-references for "Kadesh": Num 20:22-23; Num 21:4.</w:t>
      </w:r>
    </w:p>
  </w:footnote>
  <w:footnote w:id="3181">
    <w:p>
      <w:pPr>
        <w:pStyle w:val="FootnoteText"/>
      </w:pPr>
      <w:r>
        <w:rPr>
          <w:rStyle w:val="FootnoteReference"/>
        </w:rPr>
        <w:footnoteRef/>
      </w:r>
      <w:r>
        <w:t xml:space="preserve"> Place name: Punon. Place-name meaning: Punon — precious stone; that beholds. Source form: Punon. Greek form: φινω.</w:t>
      </w:r>
    </w:p>
  </w:footnote>
  <w:footnote w:id="3182">
    <w:p>
      <w:pPr>
        <w:pStyle w:val="FootnoteText"/>
      </w:pPr>
      <w:r>
        <w:rPr>
          <w:rStyle w:val="FootnoteReference"/>
        </w:rPr>
        <w:footnoteRef/>
      </w:r>
      <w:r>
        <w:t xml:space="preserve"> Cross-references for "Punon": Num 33:42.</w:t>
      </w:r>
    </w:p>
  </w:footnote>
  <w:footnote w:id="3183">
    <w:p>
      <w:pPr>
        <w:pStyle w:val="FootnoteText"/>
      </w:pPr>
      <w:r>
        <w:rPr>
          <w:rStyle w:val="FootnoteReference"/>
        </w:rPr>
        <w:footnoteRef/>
      </w:r>
      <w:r>
        <w:t xml:space="preserve"> Transliterated proper noun: Ijeabarim. Standard English equivalent: Ijeabarim. Source form: Ijeabarim. Name meaning: heaps of Hebrews, or of passers over.</w:t>
      </w:r>
    </w:p>
  </w:footnote>
  <w:footnote w:id="3184">
    <w:p>
      <w:pPr>
        <w:pStyle w:val="FootnoteText"/>
      </w:pPr>
      <w:r>
        <w:rPr>
          <w:rStyle w:val="FootnoteReference"/>
        </w:rPr>
        <w:footnoteRef/>
      </w:r>
      <w:r>
        <w:t xml:space="preserve"> Cross-references for "Ijeabarim": Num 21:11.</w:t>
      </w:r>
    </w:p>
  </w:footnote>
  <w:footnote w:id="3185">
    <w:p>
      <w:pPr>
        <w:pStyle w:val="FootnoteText"/>
      </w:pPr>
      <w:r>
        <w:rPr>
          <w:rStyle w:val="FootnoteReference"/>
        </w:rPr>
        <w:footnoteRef/>
      </w:r>
      <w:r>
        <w:t xml:space="preserve"> Place name: Iim. Place-name meaning: Iim — heaps of Hebrews, or of angry men. Source form: Iim.</w:t>
      </w:r>
    </w:p>
  </w:footnote>
  <w:footnote w:id="3186">
    <w:p>
      <w:pPr>
        <w:pStyle w:val="FootnoteText"/>
      </w:pPr>
      <w:r>
        <w:rPr>
          <w:rStyle w:val="FootnoteReference"/>
        </w:rPr>
        <w:footnoteRef/>
      </w:r>
      <w:r>
        <w:t xml:space="preserve"> Transliterated proper noun: Dibongad. Standard English equivalent: Dibongad. Source form: Dibongad. Greek form: δαιβων. Name meaning: great understanding; abundance of sons.</w:t>
      </w:r>
    </w:p>
  </w:footnote>
  <w:footnote w:id="3187">
    <w:p>
      <w:pPr>
        <w:pStyle w:val="FootnoteText"/>
      </w:pPr>
      <w:r>
        <w:rPr>
          <w:rStyle w:val="FootnoteReference"/>
        </w:rPr>
        <w:footnoteRef/>
      </w:r>
      <w:r>
        <w:t xml:space="preserve"> Cross-references for "Dibongad": Num 32:34; Isa 15:2.</w:t>
      </w:r>
    </w:p>
  </w:footnote>
  <w:footnote w:id="3188">
    <w:p>
      <w:pPr>
        <w:pStyle w:val="FootnoteText"/>
      </w:pPr>
      <w:r>
        <w:rPr>
          <w:rStyle w:val="FootnoteReference"/>
        </w:rPr>
        <w:footnoteRef/>
      </w:r>
      <w:r>
        <w:t xml:space="preserve"> Place name: Almon-diblathaim. Place-name meaning: Almondiblathaim — hidden in a cluster of fig trees. Standard English equivalent: Almondiblathaim. Source form: Almon-diblathaim. Greek form: δεβλαθαιμ.</w:t>
      </w:r>
    </w:p>
  </w:footnote>
  <w:footnote w:id="3189">
    <w:p>
      <w:pPr>
        <w:pStyle w:val="FootnoteText"/>
      </w:pPr>
      <w:r>
        <w:rPr>
          <w:rStyle w:val="FootnoteReference"/>
        </w:rPr>
        <w:footnoteRef/>
      </w:r>
      <w:r>
        <w:t xml:space="preserve"> Transliterated proper noun: Deblathaim. Standard English equivalent: Almon-diblathaim. Source form: Deblathaim. Greek form: δεβλαθαιμ. Name meaning: hidden in a cluster of fig trees.</w:t>
      </w:r>
    </w:p>
  </w:footnote>
  <w:footnote w:id="3190">
    <w:p>
      <w:pPr>
        <w:pStyle w:val="FootnoteText"/>
      </w:pPr>
      <w:r>
        <w:rPr>
          <w:rStyle w:val="FootnoteReference"/>
        </w:rPr>
        <w:footnoteRef/>
      </w:r>
      <w:r>
        <w:t xml:space="preserve"> Cross-references for "the mountains": Num 21:20; Deut 32:49.</w:t>
      </w:r>
    </w:p>
  </w:footnote>
  <w:footnote w:id="3191">
    <w:p>
      <w:pPr>
        <w:pStyle w:val="FootnoteText"/>
      </w:pPr>
      <w:r>
        <w:rPr>
          <w:rStyle w:val="FootnoteReference"/>
        </w:rPr>
        <w:footnoteRef/>
      </w:r>
      <w:r>
        <w:t xml:space="preserve"> Place name: Abarim. Place-name meaning: Abarim — passages; passengers. Source form: Abarim. Greek form: αβαριμ.</w:t>
      </w:r>
    </w:p>
  </w:footnote>
  <w:footnote w:id="3192">
    <w:p>
      <w:pPr>
        <w:pStyle w:val="FootnoteText"/>
      </w:pPr>
      <w:r>
        <w:rPr>
          <w:rStyle w:val="FootnoteReference"/>
        </w:rPr>
        <w:footnoteRef/>
      </w:r>
      <w:r>
        <w:t xml:space="preserve"> Transliterated proper noun: Bethjesimoth. Standard English equivalent: Bethjesimoth. Source form: Bethjesimoth. Greek form: αισιμωθ. Name meaning: house of desolations.</w:t>
      </w:r>
    </w:p>
  </w:footnote>
  <w:footnote w:id="3193">
    <w:p>
      <w:pPr>
        <w:pStyle w:val="FootnoteText"/>
      </w:pPr>
      <w:r>
        <w:rPr>
          <w:rStyle w:val="FootnoteReference"/>
        </w:rPr>
        <w:footnoteRef/>
      </w:r>
      <w:r>
        <w:t xml:space="preserve"> Transliterated proper noun: Abelshittim. Standard English equivalent: Abelshittim. Source form: Abelshittim. Greek form: βελσαττιμ. Name meaning: mourning of thorns.</w:t>
      </w:r>
    </w:p>
  </w:footnote>
  <w:footnote w:id="3194">
    <w:p>
      <w:pPr>
        <w:pStyle w:val="FootnoteText"/>
      </w:pPr>
      <w:r>
        <w:rPr>
          <w:rStyle w:val="FootnoteReference"/>
        </w:rPr>
        <w:footnoteRef/>
      </w:r>
      <w:r>
        <w:t xml:space="preserve"> Cross-references for "Bethjesimoth": Josh 13:20; Ezek 25:9.</w:t>
      </w:r>
    </w:p>
  </w:footnote>
  <w:footnote w:id="3195">
    <w:p>
      <w:pPr>
        <w:pStyle w:val="FootnoteText"/>
      </w:pPr>
      <w:r>
        <w:rPr>
          <w:rStyle w:val="FootnoteReference"/>
        </w:rPr>
        <w:footnoteRef/>
      </w:r>
      <w:r>
        <w:t xml:space="preserve"> Translation note: Greek says where his name comes out there it shall be his.</w:t>
      </w:r>
    </w:p>
  </w:footnote>
  <w:footnote w:id="3196">
    <w:p>
      <w:pPr>
        <w:pStyle w:val="FootnoteText"/>
      </w:pPr>
      <w:r>
        <w:rPr>
          <w:rStyle w:val="FootnoteReference"/>
        </w:rPr>
        <w:footnoteRef/>
      </w:r>
      <w:r>
        <w:t xml:space="preserve"> Translation note: Greek says spikes in your eyes and darts in your sides.</w:t>
      </w:r>
    </w:p>
  </w:footnote>
  <w:footnote w:id="3197">
    <w:p>
      <w:pPr>
        <w:pStyle w:val="FootnoteText"/>
      </w:pPr>
      <w:r>
        <w:rPr>
          <w:rStyle w:val="FootnoteReference"/>
        </w:rPr>
        <w:footnoteRef/>
      </w:r>
      <w:r>
        <w:t xml:space="preserve"> Cross-references for "an inheritance": Ps 16:5-6; Jer 3:19.</w:t>
      </w:r>
    </w:p>
  </w:footnote>
  <w:footnote w:id="3198">
    <w:p>
      <w:pPr>
        <w:pStyle w:val="FootnoteText"/>
      </w:pPr>
      <w:r>
        <w:rPr>
          <w:rStyle w:val="FootnoteReference"/>
        </w:rPr>
        <w:footnoteRef/>
      </w:r>
      <w:r>
        <w:t xml:space="preserve"> Cross-references for "Salt Sea eastward": Gen 14:3; Josh 3:16.</w:t>
      </w:r>
    </w:p>
  </w:footnote>
  <w:footnote w:id="3199">
    <w:p>
      <w:pPr>
        <w:pStyle w:val="FootnoteText"/>
      </w:pPr>
      <w:r>
        <w:rPr>
          <w:rStyle w:val="FootnoteReference"/>
        </w:rPr>
        <w:footnoteRef/>
      </w:r>
      <w:r>
        <w:t xml:space="preserve"> Place name: Akrabbim. Place-name meaning: Akrabbim — scorpions. Source form: Akrabbim. Greek form: ακραβιν.</w:t>
      </w:r>
    </w:p>
  </w:footnote>
  <w:footnote w:id="3200">
    <w:p>
      <w:pPr>
        <w:pStyle w:val="FootnoteText"/>
      </w:pPr>
      <w:r>
        <w:rPr>
          <w:rStyle w:val="FootnoteReference"/>
        </w:rPr>
        <w:footnoteRef/>
      </w:r>
      <w:r>
        <w:t xml:space="preserve"> Place name: Azmon. Place-name meaning: Azmon — bone of a bone; our strength. Source form: Azmon. Greek form: ασεμωνα.</w:t>
      </w:r>
    </w:p>
  </w:footnote>
  <w:footnote w:id="3201">
    <w:p>
      <w:pPr>
        <w:pStyle w:val="FootnoteText"/>
      </w:pPr>
      <w:r>
        <w:rPr>
          <w:rStyle w:val="FootnoteReference"/>
        </w:rPr>
        <w:footnoteRef/>
      </w:r>
      <w:r>
        <w:t xml:space="preserve"> Cross-references for "Akrabbim": Josh 15:3; Judg 1:36.</w:t>
      </w:r>
    </w:p>
  </w:footnote>
  <w:footnote w:id="3202">
    <w:p>
      <w:pPr>
        <w:pStyle w:val="FootnoteText"/>
      </w:pPr>
      <w:r>
        <w:rPr>
          <w:rStyle w:val="FootnoteReference"/>
        </w:rPr>
        <w:footnoteRef/>
      </w:r>
      <w:r>
        <w:t xml:space="preserve"> Cross-references for "the sea": Num 34:6-7.</w:t>
      </w:r>
    </w:p>
  </w:footnote>
  <w:footnote w:id="3203">
    <w:p>
      <w:pPr>
        <w:pStyle w:val="FootnoteText"/>
      </w:pPr>
      <w:r>
        <w:rPr>
          <w:rStyle w:val="FootnoteReference"/>
        </w:rPr>
        <w:footnoteRef/>
      </w:r>
      <w:r>
        <w:t xml:space="preserve"> Cross-references for "Mount Hor": Num 33:37.</w:t>
      </w:r>
    </w:p>
  </w:footnote>
  <w:footnote w:id="3204">
    <w:p>
      <w:pPr>
        <w:pStyle w:val="FootnoteText"/>
      </w:pPr>
      <w:r>
        <w:rPr>
          <w:rStyle w:val="FootnoteReference"/>
        </w:rPr>
        <w:footnoteRef/>
      </w:r>
      <w:r>
        <w:t xml:space="preserve"> Place name: Ziphron. Place-name meaning: Ziphron — falsehood of a song; rejoicing. Source form: Ziphron. Greek form: δεφρωνα.</w:t>
      </w:r>
    </w:p>
  </w:footnote>
  <w:footnote w:id="3205">
    <w:p>
      <w:pPr>
        <w:pStyle w:val="FootnoteText"/>
      </w:pPr>
      <w:r>
        <w:rPr>
          <w:rStyle w:val="FootnoteReference"/>
        </w:rPr>
        <w:footnoteRef/>
      </w:r>
      <w:r>
        <w:t xml:space="preserve"> Transliterated proper noun: Hazarenan. Standard English equivalent: Hazarenan. Source form: Hazarenan. Greek form: ασερναιν. Name meaning: imprisoned cloud.</w:t>
      </w:r>
    </w:p>
  </w:footnote>
  <w:footnote w:id="3206">
    <w:p>
      <w:pPr>
        <w:pStyle w:val="FootnoteText"/>
      </w:pPr>
      <w:r>
        <w:rPr>
          <w:rStyle w:val="FootnoteReference"/>
        </w:rPr>
        <w:footnoteRef/>
      </w:r>
      <w:r>
        <w:t xml:space="preserve"> Cross-references for "Hazarenan": Ezek 47:17.</w:t>
      </w:r>
    </w:p>
  </w:footnote>
  <w:footnote w:id="3207">
    <w:p>
      <w:pPr>
        <w:pStyle w:val="FootnoteText"/>
      </w:pPr>
      <w:r>
        <w:rPr>
          <w:rStyle w:val="FootnoteReference"/>
        </w:rPr>
        <w:footnoteRef/>
      </w:r>
      <w:r>
        <w:t xml:space="preserve"> Place name: Riblah. Place-name meaning: Riblah — quarrel; greatness to him. Source form: Riblah. Greek form: αρβηλα.</w:t>
      </w:r>
    </w:p>
  </w:footnote>
  <w:footnote w:id="3208">
    <w:p>
      <w:pPr>
        <w:pStyle w:val="FootnoteText"/>
      </w:pPr>
      <w:r>
        <w:rPr>
          <w:rStyle w:val="FootnoteReference"/>
        </w:rPr>
        <w:footnoteRef/>
      </w:r>
      <w:r>
        <w:t xml:space="preserve"> Transliterated proper noun: Chinnereth. Standard English equivalent: Chinnereth. Source form: Chinnereth. Greek form: χεναρα. Name meaning: harps; lyres.</w:t>
      </w:r>
    </w:p>
  </w:footnote>
  <w:footnote w:id="3209">
    <w:p>
      <w:pPr>
        <w:pStyle w:val="FootnoteText"/>
      </w:pPr>
      <w:r>
        <w:rPr>
          <w:rStyle w:val="FootnoteReference"/>
        </w:rPr>
        <w:footnoteRef/>
      </w:r>
      <w:r>
        <w:t xml:space="preserve"> Cross-references for "Riblah": 2Kgs 23:33; 2Kgs 25:6.</w:t>
      </w:r>
    </w:p>
  </w:footnote>
  <w:footnote w:id="3210">
    <w:p>
      <w:pPr>
        <w:pStyle w:val="FootnoteText"/>
      </w:pPr>
      <w:r>
        <w:rPr>
          <w:rStyle w:val="FootnoteReference"/>
        </w:rPr>
        <w:footnoteRef/>
      </w:r>
      <w:r>
        <w:t xml:space="preserve"> Cross-references for "the Salt Sea": Gen 13:10; Gen 14:3.</w:t>
      </w:r>
    </w:p>
  </w:footnote>
  <w:footnote w:id="3211">
    <w:p>
      <w:pPr>
        <w:pStyle w:val="FootnoteText"/>
      </w:pPr>
      <w:r>
        <w:rPr>
          <w:rStyle w:val="FootnoteReference"/>
        </w:rPr>
        <w:footnoteRef/>
      </w:r>
      <w:r>
        <w:t xml:space="preserve"> Cross-references for "This is the land": Num 34:1; Josh 14:1-2.</w:t>
      </w:r>
    </w:p>
  </w:footnote>
  <w:footnote w:id="3212">
    <w:p>
      <w:pPr>
        <w:pStyle w:val="FootnoteText"/>
      </w:pPr>
      <w:r>
        <w:rPr>
          <w:rStyle w:val="FootnoteReference"/>
        </w:rPr>
        <w:footnoteRef/>
      </w:r>
      <w:r>
        <w:t xml:space="preserve"> Translation note: Greek uses allotment-language here. Current line keeps the plural allotments explicit.</w:t>
      </w:r>
    </w:p>
  </w:footnote>
  <w:footnote w:id="3213">
    <w:p>
      <w:pPr>
        <w:pStyle w:val="FootnoteText"/>
      </w:pPr>
      <w:r>
        <w:rPr>
          <w:rStyle w:val="FootnoteReference"/>
        </w:rPr>
        <w:footnoteRef/>
      </w:r>
      <w:r>
        <w:t xml:space="preserve"> Cross-references for "are the names": Josh 15:1; Josh 16:7.</w:t>
      </w:r>
    </w:p>
  </w:footnote>
  <w:footnote w:id="3214">
    <w:p>
      <w:pPr>
        <w:pStyle w:val="FootnoteText"/>
      </w:pPr>
      <w:r>
        <w:rPr>
          <w:rStyle w:val="FootnoteReference"/>
        </w:rPr>
        <w:footnoteRef/>
      </w:r>
      <w:r>
        <w:t xml:space="preserve"> Cross-references for "Caleb": Num 13:30; Num 14:6.</w:t>
      </w:r>
    </w:p>
  </w:footnote>
  <w:footnote w:id="3215">
    <w:p>
      <w:pPr>
        <w:pStyle w:val="FootnoteText"/>
      </w:pPr>
      <w:r>
        <w:rPr>
          <w:rStyle w:val="FootnoteReference"/>
        </w:rPr>
        <w:footnoteRef/>
      </w:r>
      <w:r>
        <w:t xml:space="preserve"> Personal name: Chislon. Personal-name meaning: Chislon — hope, trust. Source form: Chislon.</w:t>
      </w:r>
    </w:p>
  </w:footnote>
  <w:footnote w:id="3216">
    <w:p>
      <w:pPr>
        <w:pStyle w:val="FootnoteText"/>
      </w:pPr>
      <w:r>
        <w:rPr>
          <w:rStyle w:val="FootnoteReference"/>
        </w:rPr>
        <w:footnoteRef/>
      </w:r>
      <w:r>
        <w:t xml:space="preserve"> Personal name: Jogli. Personal-name meaning: Jogli — passing over; turning back; rejoicing. Source form: Jogli.</w:t>
      </w:r>
    </w:p>
  </w:footnote>
  <w:footnote w:id="3217">
    <w:p>
      <w:pPr>
        <w:pStyle w:val="FootnoteText"/>
      </w:pPr>
      <w:r>
        <w:rPr>
          <w:rStyle w:val="FootnoteReference"/>
        </w:rPr>
        <w:footnoteRef/>
      </w:r>
      <w:r>
        <w:t xml:space="preserve"> Personal name: Hanniel. Personal-name meaning: Hanniel — grace or mercy of God. Source form: Hanniel.</w:t>
      </w:r>
    </w:p>
  </w:footnote>
  <w:footnote w:id="3218">
    <w:p>
      <w:pPr>
        <w:pStyle w:val="FootnoteText"/>
      </w:pPr>
      <w:r>
        <w:rPr>
          <w:rStyle w:val="FootnoteReference"/>
        </w:rPr>
        <w:footnoteRef/>
      </w:r>
      <w:r>
        <w:t xml:space="preserve"> Personal name: Shiphtan. Personal-name meaning: Shiphtan — judgment; judicial. Source form: Shiphtan.</w:t>
      </w:r>
    </w:p>
  </w:footnote>
  <w:footnote w:id="3219">
    <w:p>
      <w:pPr>
        <w:pStyle w:val="FootnoteText"/>
      </w:pPr>
      <w:r>
        <w:rPr>
          <w:rStyle w:val="FootnoteReference"/>
        </w:rPr>
        <w:footnoteRef/>
      </w:r>
      <w:r>
        <w:t xml:space="preserve"> Personal name: Parnach. Personal-name meaning: Parnach — a bull striking, or struck. Source form: Parnach.</w:t>
      </w:r>
    </w:p>
  </w:footnote>
  <w:footnote w:id="3220">
    <w:p>
      <w:pPr>
        <w:pStyle w:val="FootnoteText"/>
      </w:pPr>
      <w:r>
        <w:rPr>
          <w:rStyle w:val="FootnoteReference"/>
        </w:rPr>
        <w:footnoteRef/>
      </w:r>
      <w:r>
        <w:t xml:space="preserve"> Personal name: Paltiel. Personal-name meaning: Paltiel — deliverance; or banishment, of God. Source form: Paltiel.</w:t>
      </w:r>
    </w:p>
  </w:footnote>
  <w:footnote w:id="3221">
    <w:p>
      <w:pPr>
        <w:pStyle w:val="FootnoteText"/>
      </w:pPr>
      <w:r>
        <w:rPr>
          <w:rStyle w:val="FootnoteReference"/>
        </w:rPr>
        <w:footnoteRef/>
      </w:r>
      <w:r>
        <w:t xml:space="preserve"> Personal name: Azzan. Personal-name meaning: Azzan — their strength. Source form: Azzan.</w:t>
      </w:r>
    </w:p>
  </w:footnote>
  <w:footnote w:id="3222">
    <w:p>
      <w:pPr>
        <w:pStyle w:val="FootnoteText"/>
      </w:pPr>
      <w:r>
        <w:rPr>
          <w:rStyle w:val="FootnoteReference"/>
        </w:rPr>
        <w:footnoteRef/>
      </w:r>
      <w:r>
        <w:t xml:space="preserve"> Personal name: Ahihud. Personal-name meaning: Ahihud — brother of vanity, or of darkness, or of joy, or of praise; witty brother. Source form: Ahihud.</w:t>
      </w:r>
    </w:p>
  </w:footnote>
  <w:footnote w:id="3223">
    <w:p>
      <w:pPr>
        <w:pStyle w:val="FootnoteText"/>
      </w:pPr>
      <w:r>
        <w:rPr>
          <w:rStyle w:val="FootnoteReference"/>
        </w:rPr>
        <w:footnoteRef/>
      </w:r>
      <w:r>
        <w:t xml:space="preserve"> Personal name: Shelomi. Personal-name meaning: Shelomi — my peace; my happiness; my recompense. Source form: Shelomi.</w:t>
      </w:r>
    </w:p>
  </w:footnote>
  <w:footnote w:id="3224">
    <w:p>
      <w:pPr>
        <w:pStyle w:val="FootnoteText"/>
      </w:pPr>
      <w:r>
        <w:rPr>
          <w:rStyle w:val="FootnoteReference"/>
        </w:rPr>
        <w:footnoteRef/>
      </w:r>
      <w:r>
        <w:t xml:space="preserve"> Personal name: Pedahel. Personal-name meaning: Pedahel — God has redeemed. Source form: Pedahel.</w:t>
      </w:r>
    </w:p>
  </w:footnote>
  <w:footnote w:id="3225">
    <w:p>
      <w:pPr>
        <w:pStyle w:val="FootnoteText"/>
      </w:pPr>
      <w:r>
        <w:rPr>
          <w:rStyle w:val="FootnoteReference"/>
        </w:rPr>
        <w:footnoteRef/>
      </w:r>
      <w:r>
        <w:t xml:space="preserve"> Translation note: Greek uses the standard allotment wording here. Current wording preserves it.</w:t>
      </w:r>
    </w:p>
  </w:footnote>
  <w:footnote w:id="3226">
    <w:p>
      <w:pPr>
        <w:pStyle w:val="FootnoteText"/>
      </w:pPr>
      <w:r>
        <w:rPr>
          <w:rStyle w:val="FootnoteReference"/>
        </w:rPr>
        <w:footnoteRef/>
      </w:r>
      <w:r>
        <w:t xml:space="preserve"> Translation note: Greek says outskirts of the cities around them.</w:t>
      </w:r>
    </w:p>
  </w:footnote>
  <w:footnote w:id="3227">
    <w:p>
      <w:pPr>
        <w:pStyle w:val="FootnoteText"/>
      </w:pPr>
      <w:r>
        <w:rPr>
          <w:rStyle w:val="FootnoteReference"/>
        </w:rPr>
        <w:footnoteRef/>
      </w:r>
      <w:r>
        <w:t xml:space="preserve"> Cross-references for "possession": Gen 49:7; Exod 32:28-29.</w:t>
      </w:r>
    </w:p>
  </w:footnote>
  <w:footnote w:id="3228">
    <w:p>
      <w:pPr>
        <w:pStyle w:val="FootnoteText"/>
      </w:pPr>
      <w:r>
        <w:rPr>
          <w:rStyle w:val="FootnoteReference"/>
        </w:rPr>
        <w:footnoteRef/>
      </w:r>
      <w:r>
        <w:t xml:space="preserve"> Translation note: Greek states the levy in comparative terms. The translation keeps that direct allotment formula.</w:t>
      </w:r>
    </w:p>
  </w:footnote>
  <w:footnote w:id="3229">
    <w:p>
      <w:pPr>
        <w:pStyle w:val="FootnoteText"/>
      </w:pPr>
      <w:r>
        <w:rPr>
          <w:rStyle w:val="FootnoteReference"/>
        </w:rPr>
        <w:footnoteRef/>
      </w:r>
      <w:r>
        <w:t xml:space="preserve"> Cross-references for "from the avenger": Num 35:19; Num 35:25-27.</w:t>
      </w:r>
    </w:p>
  </w:footnote>
  <w:footnote w:id="3230">
    <w:p>
      <w:pPr>
        <w:pStyle w:val="FootnoteText"/>
      </w:pPr>
      <w:r>
        <w:rPr>
          <w:rStyle w:val="FootnoteReference"/>
        </w:rPr>
        <w:footnoteRef/>
      </w:r>
      <w:r>
        <w:t xml:space="preserve"> Cross-references for "six cities": Num 35:6.</w:t>
      </w:r>
    </w:p>
  </w:footnote>
  <w:footnote w:id="3231">
    <w:p>
      <w:pPr>
        <w:pStyle w:val="FootnoteText"/>
      </w:pPr>
      <w:r>
        <w:rPr>
          <w:rStyle w:val="FootnoteReference"/>
        </w:rPr>
        <w:footnoteRef/>
      </w:r>
      <w:r>
        <w:t xml:space="preserve"> Cross-references for "Three cities": Deut 4:41-43; Deut 19:8-10.</w:t>
      </w:r>
    </w:p>
  </w:footnote>
  <w:footnote w:id="3232">
    <w:p>
      <w:pPr>
        <w:pStyle w:val="FootnoteText"/>
      </w:pPr>
      <w:r>
        <w:rPr>
          <w:rStyle w:val="FootnoteReference"/>
        </w:rPr>
        <w:footnoteRef/>
      </w:r>
      <w:r>
        <w:t xml:space="preserve"> Translation note: Greek uses the doubled death formula for the verdict. Current wording preserves it.</w:t>
      </w:r>
    </w:p>
  </w:footnote>
  <w:footnote w:id="3233">
    <w:p>
      <w:pPr>
        <w:pStyle w:val="FootnoteText"/>
      </w:pPr>
      <w:r>
        <w:rPr>
          <w:rStyle w:val="FootnoteReference"/>
        </w:rPr>
        <w:footnoteRef/>
      </w:r>
      <w:r>
        <w:t xml:space="preserve"> Translation note: Greek names the legal actor with the avenger-of-blood title directly. Current wording preserves that law formula.</w:t>
      </w:r>
    </w:p>
  </w:footnote>
  <w:footnote w:id="3234">
    <w:p>
      <w:pPr>
        <w:pStyle w:val="FootnoteText"/>
      </w:pPr>
      <w:r>
        <w:rPr>
          <w:rStyle w:val="FootnoteReference"/>
        </w:rPr>
        <w:footnoteRef/>
      </w:r>
      <w:r>
        <w:t xml:space="preserve"> Translation note: The Greek uses the emphatic death formula directly. The current wording keeps that legal line explicit.</w:t>
      </w:r>
    </w:p>
  </w:footnote>
  <w:footnote w:id="3235">
    <w:p>
      <w:pPr>
        <w:pStyle w:val="FootnoteText"/>
      </w:pPr>
      <w:r>
        <w:rPr>
          <w:rStyle w:val="FootnoteReference"/>
        </w:rPr>
        <w:footnoteRef/>
      </w:r>
      <w:r>
        <w:t xml:space="preserve"> Translation note: Greek explicitly adds anointing clause here.</w:t>
      </w:r>
    </w:p>
  </w:footnote>
  <w:footnote w:id="3236">
    <w:p>
      <w:pPr>
        <w:pStyle w:val="FootnoteText"/>
      </w:pPr>
      <w:r>
        <w:rPr>
          <w:rStyle w:val="FootnoteReference"/>
        </w:rPr>
        <w:footnoteRef/>
      </w:r>
      <w:r>
        <w:t xml:space="preserve"> Cross-references for "anointed": Exod 29:7; Lev 4:3.</w:t>
      </w:r>
    </w:p>
  </w:footnote>
  <w:footnote w:id="3237">
    <w:p>
      <w:pPr>
        <w:pStyle w:val="FootnoteText"/>
      </w:pPr>
      <w:r>
        <w:rPr>
          <w:rStyle w:val="FootnoteReference"/>
        </w:rPr>
        <w:footnoteRef/>
      </w:r>
      <w:r>
        <w:t xml:space="preserve"> Cross-references for "Gilead": Num 26:29-33; Num 27:1.</w:t>
      </w:r>
    </w:p>
  </w:footnote>
  <w:footnote w:id="3238">
    <w:p>
      <w:pPr>
        <w:pStyle w:val="FootnoteText"/>
      </w:pPr>
      <w:r>
        <w:rPr>
          <w:rStyle w:val="FootnoteReference"/>
        </w:rPr>
        <w:footnoteRef/>
      </w:r>
      <w:r>
        <w:t xml:space="preserve"> Translation note: Greek repeats the presentation before Moses and before Eleazar and before the leaders.</w:t>
      </w:r>
    </w:p>
  </w:footnote>
  <w:footnote w:id="3239">
    <w:p>
      <w:pPr>
        <w:pStyle w:val="FootnoteText"/>
      </w:pPr>
      <w:r>
        <w:rPr>
          <w:rStyle w:val="FootnoteReference"/>
        </w:rPr>
        <w:footnoteRef/>
      </w:r>
      <w:r>
        <w:t xml:space="preserve"> Cross-references for "The Lord commanded": Num 26:55-56; Num 27:1-11.</w:t>
      </w:r>
    </w:p>
  </w:footnote>
  <w:footnote w:id="3240">
    <w:p>
      <w:pPr>
        <w:pStyle w:val="FootnoteText"/>
      </w:pPr>
      <w:r>
        <w:rPr>
          <w:rStyle w:val="FootnoteReference"/>
        </w:rPr>
        <w:footnoteRef/>
      </w:r>
      <w:r>
        <w:t xml:space="preserve"> Translation note: Greek repeats Lord-commanded language here. Current line keeps repetition.</w:t>
      </w:r>
    </w:p>
  </w:footnote>
  <w:footnote w:id="3241">
    <w:p>
      <w:pPr>
        <w:pStyle w:val="FootnoteText"/>
      </w:pPr>
      <w:r>
        <w:rPr>
          <w:rStyle w:val="FootnoteReference"/>
        </w:rPr>
        <w:footnoteRef/>
      </w:r>
      <w:r>
        <w:t xml:space="preserve"> Translation note: Greek line matches current rendering closely here.</w:t>
      </w:r>
    </w:p>
  </w:footnote>
  <w:footnote w:id="3242">
    <w:p>
      <w:pPr>
        <w:pStyle w:val="FootnoteText"/>
      </w:pPr>
      <w:r>
        <w:rPr>
          <w:rStyle w:val="FootnoteReference"/>
        </w:rPr>
        <w:footnoteRef/>
      </w:r>
      <w:r>
        <w:t xml:space="preserve"> Translation note: Greek says release here rather than harmonizing to jubile.</w:t>
      </w:r>
    </w:p>
  </w:footnote>
  <w:footnote w:id="3243">
    <w:p>
      <w:pPr>
        <w:pStyle w:val="FootnoteText"/>
      </w:pPr>
      <w:r>
        <w:rPr>
          <w:rStyle w:val="FootnoteReference"/>
        </w:rPr>
        <w:footnoteRef/>
      </w:r>
      <w:r>
        <w:t xml:space="preserve"> Cross-references for "every daughter": 1Chr 23:22.</w:t>
      </w:r>
    </w:p>
  </w:footnote>
  <w:footnote w:id="3244">
    <w:p>
      <w:pPr>
        <w:pStyle w:val="FootnoteText"/>
      </w:pPr>
      <w:r>
        <w:rPr>
          <w:rStyle w:val="FootnoteReference"/>
        </w:rPr>
        <w:footnoteRef/>
      </w:r>
      <w:r>
        <w:t xml:space="preserve"> Translation note: Greek line matches current rendering closely here.</w:t>
      </w:r>
    </w:p>
  </w:footnote>
  <w:footnote w:id="3245">
    <w:p>
      <w:pPr>
        <w:pStyle w:val="FootnoteText"/>
      </w:pPr>
      <w:r>
        <w:rPr>
          <w:rStyle w:val="FootnoteReference"/>
        </w:rPr>
        <w:footnoteRef/>
      </w:r>
      <w:r>
        <w:t xml:space="preserve"> Cross-references for "Red Sea": Num 21:14.</w:t>
      </w:r>
    </w:p>
  </w:footnote>
  <w:footnote w:id="3246">
    <w:p>
      <w:pPr>
        <w:pStyle w:val="FootnoteText"/>
      </w:pPr>
      <w:r>
        <w:rPr>
          <w:rStyle w:val="FootnoteReference"/>
        </w:rPr>
        <w:footnoteRef/>
      </w:r>
      <w:r>
        <w:t xml:space="preserve"> Place name: Tophel. Place-name meaning: Tophel — ruin; folly; without understanding. Source form: Tophel. Greek form: τοφολ.</w:t>
      </w:r>
    </w:p>
  </w:footnote>
  <w:footnote w:id="3247">
    <w:p>
      <w:pPr>
        <w:pStyle w:val="FootnoteText"/>
      </w:pPr>
      <w:r>
        <w:rPr>
          <w:rStyle w:val="FootnoteReference"/>
        </w:rPr>
        <w:footnoteRef/>
      </w:r>
      <w:r>
        <w:t xml:space="preserve"> Place name: Dizahab. Place-name meaning: Dizahab — where much gold is. Source form: Dizahab.</w:t>
      </w:r>
    </w:p>
  </w:footnote>
  <w:footnote w:id="3248">
    <w:p>
      <w:pPr>
        <w:pStyle w:val="FootnoteText"/>
      </w:pPr>
      <w:r>
        <w:rPr>
          <w:rStyle w:val="FootnoteReference"/>
        </w:rPr>
        <w:footnoteRef/>
      </w:r>
      <w:r>
        <w:t xml:space="preserve"> Translation note: Greek gives a terse travel-distance note here. Current wording preserves that compact notice.</w:t>
      </w:r>
    </w:p>
  </w:footnote>
  <w:footnote w:id="3249">
    <w:p>
      <w:pPr>
        <w:pStyle w:val="FootnoteText"/>
      </w:pPr>
      <w:r>
        <w:rPr>
          <w:rStyle w:val="FootnoteReference"/>
        </w:rPr>
        <w:footnoteRef/>
      </w:r>
      <w:r>
        <w:t xml:space="preserve"> Cross-references for "in Horeb": Exod 3:1; Exod 17:6.</w:t>
      </w:r>
    </w:p>
  </w:footnote>
  <w:footnote w:id="3250">
    <w:p>
      <w:pPr>
        <w:pStyle w:val="FootnoteText"/>
      </w:pPr>
      <w:r>
        <w:rPr>
          <w:rStyle w:val="FootnoteReference"/>
        </w:rPr>
        <w:footnoteRef/>
      </w:r>
      <w:r>
        <w:t xml:space="preserve"> Translation note: Greek says neighbors of the Arabah.</w:t>
      </w:r>
    </w:p>
  </w:footnote>
  <w:footnote w:id="3251">
    <w:p>
      <w:pPr>
        <w:pStyle w:val="FootnoteText"/>
      </w:pPr>
      <w:r>
        <w:rPr>
          <w:rStyle w:val="FootnoteReference"/>
        </w:rPr>
        <w:footnoteRef/>
      </w:r>
      <w:r>
        <w:t xml:space="preserve"> Place name: Lebanon. Place-name meaning: Lebanon — white, incense. Source form: Lebanon. Greek form: αντιλιβανον.</w:t>
      </w:r>
    </w:p>
  </w:footnote>
  <w:footnote w:id="3252">
    <w:p>
      <w:pPr>
        <w:pStyle w:val="FootnoteText"/>
      </w:pPr>
      <w:r>
        <w:rPr>
          <w:rStyle w:val="FootnoteReference"/>
        </w:rPr>
        <w:footnoteRef/>
      </w:r>
      <w:r>
        <w:t xml:space="preserve"> Cross-references for "the great": Deut 11:24; Josh 1:4.</w:t>
      </w:r>
    </w:p>
  </w:footnote>
  <w:footnote w:id="3253">
    <w:p>
      <w:pPr>
        <w:pStyle w:val="FootnoteText"/>
      </w:pPr>
      <w:r>
        <w:rPr>
          <w:rStyle w:val="FootnoteReference"/>
        </w:rPr>
        <w:footnoteRef/>
      </w:r>
      <w:r>
        <w:t xml:space="preserve"> Place name: Arabah. Place-name meaning: Arabah — plain; desert steppe. Source form: Arabah. Greek form: αραβα.</w:t>
      </w:r>
    </w:p>
  </w:footnote>
  <w:footnote w:id="3254">
    <w:p>
      <w:pPr>
        <w:pStyle w:val="FootnoteText"/>
      </w:pPr>
      <w:r>
        <w:rPr>
          <w:rStyle w:val="FootnoteReference"/>
        </w:rPr>
        <w:footnoteRef/>
      </w:r>
      <w:r>
        <w:t xml:space="preserve"> Cross-references for "your God": Gen 15:5; Gen 22:17.</w:t>
      </w:r>
    </w:p>
  </w:footnote>
  <w:footnote w:id="3255">
    <w:p>
      <w:pPr>
        <w:pStyle w:val="FootnoteText"/>
      </w:pPr>
      <w:r>
        <w:rPr>
          <w:rStyle w:val="FootnoteReference"/>
        </w:rPr>
        <w:footnoteRef/>
      </w:r>
      <w:r>
        <w:t xml:space="preserve"> Cross-references for "and bless you": Gen 15:5; Gen 22:17.</w:t>
      </w:r>
    </w:p>
  </w:footnote>
  <w:footnote w:id="3256">
    <w:p>
      <w:pPr>
        <w:pStyle w:val="FootnoteText"/>
      </w:pPr>
      <w:r>
        <w:rPr>
          <w:rStyle w:val="FootnoteReference"/>
        </w:rPr>
        <w:footnoteRef/>
      </w:r>
      <w:r>
        <w:t xml:space="preserve"> Cross-references for "I took": Exod 18:25-26; Deut 16:18.</w:t>
      </w:r>
    </w:p>
  </w:footnote>
  <w:footnote w:id="3257">
    <w:p>
      <w:pPr>
        <w:pStyle w:val="FootnoteText"/>
      </w:pPr>
      <w:r>
        <w:rPr>
          <w:rStyle w:val="FootnoteReference"/>
        </w:rPr>
        <w:footnoteRef/>
      </w:r>
      <w:r>
        <w:t xml:space="preserve"> Translation note: Greek says record-keepers for your judges.</w:t>
      </w:r>
    </w:p>
  </w:footnote>
  <w:footnote w:id="3258">
    <w:p>
      <w:pPr>
        <w:pStyle w:val="FootnoteText"/>
      </w:pPr>
      <w:r>
        <w:rPr>
          <w:rStyle w:val="FootnoteReference"/>
        </w:rPr>
        <w:footnoteRef/>
      </w:r>
      <w:r>
        <w:t xml:space="preserve"> Cross-references for "Hear": Exod 23:2-3; Exod 23:7-8.</w:t>
      </w:r>
    </w:p>
  </w:footnote>
  <w:footnote w:id="3259">
    <w:p>
      <w:pPr>
        <w:pStyle w:val="FootnoteText"/>
      </w:pPr>
      <w:r>
        <w:rPr>
          <w:rStyle w:val="FootnoteReference"/>
        </w:rPr>
        <w:footnoteRef/>
      </w:r>
      <w:r>
        <w:t xml:space="preserve"> Cross-references for "shall not": Lev 19:15; Deut 10:17.</w:t>
      </w:r>
    </w:p>
  </w:footnote>
  <w:footnote w:id="3260">
    <w:p>
      <w:pPr>
        <w:pStyle w:val="FootnoteText"/>
      </w:pPr>
      <w:r>
        <w:rPr>
          <w:rStyle w:val="FootnoteReference"/>
        </w:rPr>
        <w:footnoteRef/>
      </w:r>
      <w:r>
        <w:t xml:space="preserve"> Translation note: Greek keeps face-language here. Current line preserves it.</w:t>
      </w:r>
    </w:p>
  </w:footnote>
  <w:footnote w:id="3261">
    <w:p>
      <w:pPr>
        <w:pStyle w:val="FootnoteText"/>
      </w:pPr>
      <w:r>
        <w:rPr>
          <w:rStyle w:val="FootnoteReference"/>
        </w:rPr>
        <w:footnoteRef/>
      </w:r>
      <w:r>
        <w:t xml:space="preserve"> Translation note: Greek summarizes the commands as all the matters you should do. Current wording preserves that broad summary line.</w:t>
      </w:r>
    </w:p>
  </w:footnote>
  <w:footnote w:id="3262">
    <w:p>
      <w:pPr>
        <w:pStyle w:val="FootnoteText"/>
      </w:pPr>
      <w:r>
        <w:rPr>
          <w:rStyle w:val="FootnoteReference"/>
        </w:rPr>
        <w:footnoteRef/>
      </w:r>
      <w:r>
        <w:t xml:space="preserve"> Translation note: Greek says great and fearful wilderness.</w:t>
      </w:r>
    </w:p>
  </w:footnote>
  <w:footnote w:id="3263">
    <w:p>
      <w:pPr>
        <w:pStyle w:val="FootnoteText"/>
      </w:pPr>
      <w:r>
        <w:rPr>
          <w:rStyle w:val="FootnoteReference"/>
        </w:rPr>
        <w:footnoteRef/>
      </w:r>
      <w:r>
        <w:t xml:space="preserve"> Cross-references for "we came": Num 13:26; Deut 1:2.</w:t>
      </w:r>
    </w:p>
  </w:footnote>
  <w:footnote w:id="3264">
    <w:p>
      <w:pPr>
        <w:pStyle w:val="FootnoteText"/>
      </w:pPr>
      <w:r>
        <w:rPr>
          <w:rStyle w:val="FootnoteReference"/>
        </w:rPr>
        <w:footnoteRef/>
      </w:r>
      <w:r>
        <w:t xml:space="preserve"> Cross-references for "the mountain": Deut 1:7-8.</w:t>
      </w:r>
    </w:p>
  </w:footnote>
  <w:footnote w:id="3265">
    <w:p>
      <w:pPr>
        <w:pStyle w:val="FootnoteText"/>
      </w:pPr>
      <w:r>
        <w:rPr>
          <w:rStyle w:val="FootnoteReference"/>
        </w:rPr>
        <w:footnoteRef/>
      </w:r>
      <w:r>
        <w:t xml:space="preserve"> Translation note: Greek keeps answer/report noun here.</w:t>
      </w:r>
    </w:p>
  </w:footnote>
  <w:footnote w:id="3266">
    <w:p>
      <w:pPr>
        <w:pStyle w:val="FootnoteText"/>
      </w:pPr>
      <w:r>
        <w:rPr>
          <w:rStyle w:val="FootnoteReference"/>
        </w:rPr>
        <w:footnoteRef/>
      </w:r>
      <w:r>
        <w:t xml:space="preserve"> Translation note: Greek says disobeyed word of the Lord.</w:t>
      </w:r>
    </w:p>
  </w:footnote>
  <w:footnote w:id="3267">
    <w:p>
      <w:pPr>
        <w:pStyle w:val="FootnoteText"/>
      </w:pPr>
      <w:r>
        <w:rPr>
          <w:rStyle w:val="FootnoteReference"/>
        </w:rPr>
        <w:footnoteRef/>
      </w:r>
      <w:r>
        <w:t xml:space="preserve"> Translation note: Greek says our brothers turned away your heart.</w:t>
      </w:r>
    </w:p>
  </w:footnote>
  <w:footnote w:id="3268">
    <w:p>
      <w:pPr>
        <w:pStyle w:val="FootnoteText"/>
      </w:pPr>
      <w:r>
        <w:rPr>
          <w:rStyle w:val="FootnoteReference"/>
        </w:rPr>
        <w:footnoteRef/>
      </w:r>
      <w:r>
        <w:t xml:space="preserve"> Cross-references for "in fire": Exod 13:21-22; Exod 14:19-20.</w:t>
      </w:r>
    </w:p>
  </w:footnote>
  <w:footnote w:id="3269">
    <w:p>
      <w:pPr>
        <w:pStyle w:val="FootnoteText"/>
      </w:pPr>
      <w:r>
        <w:rPr>
          <w:rStyle w:val="FootnoteReference"/>
        </w:rPr>
        <w:footnoteRef/>
      </w:r>
      <w:r>
        <w:t xml:space="preserve"> Cross-references for "Caleb": Num 13:6; Num 13:30.</w:t>
      </w:r>
    </w:p>
  </w:footnote>
  <w:footnote w:id="3270">
    <w:p>
      <w:pPr>
        <w:pStyle w:val="FootnoteText"/>
      </w:pPr>
      <w:r>
        <w:rPr>
          <w:rStyle w:val="FootnoteReference"/>
        </w:rPr>
        <w:footnoteRef/>
      </w:r>
      <w:r>
        <w:t xml:space="preserve"> Cross-references for "Joshua": Num 13:8; Num 13:16.</w:t>
      </w:r>
    </w:p>
  </w:footnote>
  <w:footnote w:id="3271">
    <w:p>
      <w:pPr>
        <w:pStyle w:val="FootnoteText"/>
      </w:pPr>
      <w:r>
        <w:rPr>
          <w:rStyle w:val="FootnoteReference"/>
        </w:rPr>
        <w:footnoteRef/>
      </w:r>
      <w:r>
        <w:t xml:space="preserve"> Translation note: Greek uses a young-child phrase and then explains that they do not yet know good or evil. The English keeps that wording compact.</w:t>
      </w:r>
    </w:p>
  </w:footnote>
  <w:footnote w:id="3272">
    <w:p>
      <w:pPr>
        <w:pStyle w:val="FootnoteText"/>
      </w:pPr>
      <w:r>
        <w:rPr>
          <w:rStyle w:val="FootnoteReference"/>
        </w:rPr>
        <w:footnoteRef/>
      </w:r>
      <w:r>
        <w:t xml:space="preserve"> Translation note: Greek adds a gathering participle before the ascent to battle. The translation keeps that extra action visible.</w:t>
      </w:r>
    </w:p>
  </w:footnote>
  <w:footnote w:id="3273">
    <w:p>
      <w:pPr>
        <w:pStyle w:val="FootnoteText"/>
      </w:pPr>
      <w:r>
        <w:rPr>
          <w:rStyle w:val="FootnoteReference"/>
        </w:rPr>
        <w:footnoteRef/>
      </w:r>
      <w:r>
        <w:t xml:space="preserve"> Cross-references for "for I am not": Lev 26:17; Josh 7:8-13.</w:t>
      </w:r>
    </w:p>
  </w:footnote>
  <w:footnote w:id="3274">
    <w:p>
      <w:pPr>
        <w:pStyle w:val="FootnoteText"/>
      </w:pPr>
      <w:r>
        <w:rPr>
          <w:rStyle w:val="FootnoteReference"/>
        </w:rPr>
        <w:footnoteRef/>
      </w:r>
      <w:r>
        <w:t xml:space="preserve"> Translation note: Greek gives a simple speech formula. Current wording preserves it.</w:t>
      </w:r>
    </w:p>
  </w:footnote>
  <w:footnote w:id="3275">
    <w:p>
      <w:pPr>
        <w:pStyle w:val="FootnoteText"/>
      </w:pPr>
      <w:r>
        <w:rPr>
          <w:rStyle w:val="FootnoteReference"/>
        </w:rPr>
        <w:footnoteRef/>
      </w:r>
      <w:r>
        <w:t xml:space="preserve"> Translation note: Greek says be very wary here. Current line keeps that wording.</w:t>
      </w:r>
    </w:p>
  </w:footnote>
  <w:footnote w:id="3276">
    <w:p>
      <w:pPr>
        <w:pStyle w:val="FootnoteText"/>
      </w:pPr>
      <w:r>
        <w:rPr>
          <w:rStyle w:val="FootnoteReference"/>
        </w:rPr>
        <w:footnoteRef/>
      </w:r>
      <w:r>
        <w:t xml:space="preserve"> Translation note: Greek explicitly adds by measure to the water purchase. The translation keeps that detail visible.</w:t>
      </w:r>
    </w:p>
  </w:footnote>
  <w:footnote w:id="3277">
    <w:p>
      <w:pPr>
        <w:pStyle w:val="FootnoteText"/>
      </w:pPr>
      <w:r>
        <w:rPr>
          <w:rStyle w:val="FootnoteReference"/>
        </w:rPr>
        <w:footnoteRef/>
      </w:r>
      <w:r>
        <w:t xml:space="preserve"> Cross-references for "blessed": Gen 12:2; Gen 24:35.</w:t>
      </w:r>
    </w:p>
  </w:footnote>
  <w:footnote w:id="3278">
    <w:p>
      <w:pPr>
        <w:pStyle w:val="FootnoteText"/>
      </w:pPr>
      <w:r>
        <w:rPr>
          <w:rStyle w:val="FootnoteReference"/>
        </w:rPr>
        <w:footnoteRef/>
      </w:r>
      <w:r>
        <w:t xml:space="preserve"> Translation note: The Greek expresses lack in a compact idiomatic way. The current wording keeps that line concise.</w:t>
      </w:r>
    </w:p>
  </w:footnote>
  <w:footnote w:id="3279">
    <w:p>
      <w:pPr>
        <w:pStyle w:val="FootnoteText"/>
      </w:pPr>
      <w:r>
        <w:rPr>
          <w:rStyle w:val="FootnoteReference"/>
        </w:rPr>
        <w:footnoteRef/>
      </w:r>
      <w:r>
        <w:t xml:space="preserve"> Transliterated proper noun: Eziongeber. Standard English equivalent: Eziongeber. Source form: Eziongeber. Greek form: γασιωνγαβερ. Name meaning: the wood of the man.</w:t>
      </w:r>
    </w:p>
  </w:footnote>
  <w:footnote w:id="3280">
    <w:p>
      <w:pPr>
        <w:pStyle w:val="FootnoteText"/>
      </w:pPr>
      <w:r>
        <w:rPr>
          <w:rStyle w:val="FootnoteReference"/>
        </w:rPr>
        <w:footnoteRef/>
      </w:r>
      <w:r>
        <w:t xml:space="preserve"> Translation note: Greek uses a hostility verb toward the Moabites rather than the smoother distress wording. The translation preserves that sharper command.</w:t>
      </w:r>
    </w:p>
  </w:footnote>
  <w:footnote w:id="3281">
    <w:p>
      <w:pPr>
        <w:pStyle w:val="FootnoteText"/>
      </w:pPr>
      <w:r>
        <w:rPr>
          <w:rStyle w:val="FootnoteReference"/>
        </w:rPr>
        <w:footnoteRef/>
      </w:r>
      <w:r>
        <w:t xml:space="preserve"> Transliterated proper noun: Emims. Standard English equivalent: Emims. Source form: Emims. Greek form: ενακιμ. Name meaning: terrors; dreadful ones.</w:t>
      </w:r>
    </w:p>
  </w:footnote>
  <w:footnote w:id="3282">
    <w:p>
      <w:pPr>
        <w:pStyle w:val="FootnoteText"/>
      </w:pPr>
      <w:r>
        <w:rPr>
          <w:rStyle w:val="FootnoteReference"/>
        </w:rPr>
        <w:footnoteRef/>
      </w:r>
      <w:r>
        <w:t xml:space="preserve"> People-name: Anakim. People-name meaning: Anakim — descendants of Anak; long-necked/giant people. Source form: Anakim.</w:t>
      </w:r>
    </w:p>
  </w:footnote>
  <w:footnote w:id="3283">
    <w:p>
      <w:pPr>
        <w:pStyle w:val="FootnoteText"/>
      </w:pPr>
      <w:r>
        <w:rPr>
          <w:rStyle w:val="FootnoteReference"/>
        </w:rPr>
        <w:footnoteRef/>
      </w:r>
      <w:r>
        <w:t xml:space="preserve"> Personal name: Raphain. Personal-name meaning: Raphain — giants; physicians; relaxed. Source form: Raphain.</w:t>
      </w:r>
    </w:p>
  </w:footnote>
  <w:footnote w:id="3284">
    <w:p>
      <w:pPr>
        <w:pStyle w:val="FootnoteText"/>
      </w:pPr>
      <w:r>
        <w:rPr>
          <w:rStyle w:val="FootnoteReference"/>
        </w:rPr>
        <w:footnoteRef/>
      </w:r>
      <w:r>
        <w:t xml:space="preserve"> Transliterated proper noun: Horims. Standard English equivalent: Horims. Source form: Horims. Greek form: χορραιος. Name meaning: princes; being angry.</w:t>
      </w:r>
    </w:p>
  </w:footnote>
  <w:footnote w:id="3285">
    <w:p>
      <w:pPr>
        <w:pStyle w:val="FootnoteText"/>
      </w:pPr>
      <w:r>
        <w:rPr>
          <w:rStyle w:val="FootnoteReference"/>
        </w:rPr>
        <w:footnoteRef/>
      </w:r>
      <w:r>
        <w:t xml:space="preserve"> Cross-references for "Horims": Gen 14:6; Gen 36:20-30.</w:t>
      </w:r>
    </w:p>
  </w:footnote>
  <w:footnote w:id="3286">
    <w:p>
      <w:pPr>
        <w:pStyle w:val="FootnoteText"/>
      </w:pPr>
      <w:r>
        <w:rPr>
          <w:rStyle w:val="FootnoteReference"/>
        </w:rPr>
        <w:footnoteRef/>
      </w:r>
      <w:r>
        <w:t xml:space="preserve"> Cross-references for "until all the generation": Num 14:28-35; Num 26:64-65.</w:t>
      </w:r>
    </w:p>
  </w:footnote>
  <w:footnote w:id="3287">
    <w:p>
      <w:pPr>
        <w:pStyle w:val="FootnoteText"/>
      </w:pPr>
      <w:r>
        <w:rPr>
          <w:rStyle w:val="FootnoteReference"/>
        </w:rPr>
        <w:footnoteRef/>
      </w:r>
      <w:r>
        <w:t xml:space="preserve"> Translation note: Greek says the fighting men fell away, dying from the camp.</w:t>
      </w:r>
    </w:p>
  </w:footnote>
  <w:footnote w:id="3288">
    <w:p>
      <w:pPr>
        <w:pStyle w:val="FootnoteText"/>
      </w:pPr>
      <w:r>
        <w:rPr>
          <w:rStyle w:val="FootnoteReference"/>
        </w:rPr>
        <w:footnoteRef/>
      </w:r>
      <w:r>
        <w:t xml:space="preserve"> Translation note: Greek says do not treat them as enemies and do not join them in war.</w:t>
      </w:r>
    </w:p>
  </w:footnote>
  <w:footnote w:id="3289">
    <w:p>
      <w:pPr>
        <w:pStyle w:val="FootnoteText"/>
      </w:pPr>
      <w:r>
        <w:rPr>
          <w:rStyle w:val="FootnoteReference"/>
        </w:rPr>
        <w:footnoteRef/>
      </w:r>
      <w:r>
        <w:t xml:space="preserve"> Transliterated proper noun: Zamzummims. Standard English equivalent: Zamzummims. Source form: Zamzummims. Greek form: ζομζομμιν. Name meaning: projects of crimes; enormous crimes.</w:t>
      </w:r>
    </w:p>
  </w:footnote>
  <w:footnote w:id="3290">
    <w:p>
      <w:pPr>
        <w:pStyle w:val="FootnoteText"/>
      </w:pPr>
      <w:r>
        <w:rPr>
          <w:rStyle w:val="FootnoteReference"/>
        </w:rPr>
        <w:footnoteRef/>
      </w:r>
      <w:r>
        <w:t xml:space="preserve"> Cross-references for "Zamzummims": Gen 14:5.</w:t>
      </w:r>
    </w:p>
  </w:footnote>
  <w:footnote w:id="3291">
    <w:p>
      <w:pPr>
        <w:pStyle w:val="FootnoteText"/>
      </w:pPr>
      <w:r>
        <w:rPr>
          <w:rStyle w:val="FootnoteReference"/>
        </w:rPr>
        <w:footnoteRef/>
      </w:r>
      <w:r>
        <w:t xml:space="preserve"> Cross-references for "great": Deut 1:28; Deut 2:10-11.</w:t>
      </w:r>
    </w:p>
  </w:footnote>
  <w:footnote w:id="3292">
    <w:p>
      <w:pPr>
        <w:pStyle w:val="FootnoteText"/>
      </w:pPr>
      <w:r>
        <w:rPr>
          <w:rStyle w:val="FootnoteReference"/>
        </w:rPr>
        <w:footnoteRef/>
      </w:r>
      <w:r>
        <w:t xml:space="preserve"> Cross-references for "Esau": Gen 36:8.</w:t>
      </w:r>
    </w:p>
  </w:footnote>
  <w:footnote w:id="3293">
    <w:p>
      <w:pPr>
        <w:pStyle w:val="FootnoteText"/>
      </w:pPr>
      <w:r>
        <w:rPr>
          <w:rStyle w:val="FootnoteReference"/>
        </w:rPr>
        <w:footnoteRef/>
      </w:r>
      <w:r>
        <w:t xml:space="preserve"> Place name: Cappadocia. Place-name meaning: Cappadocia — land of beautiful horses. Source form: Cappadocia. Greek form: καππαδοκιας.</w:t>
      </w:r>
    </w:p>
  </w:footnote>
  <w:footnote w:id="3294">
    <w:p>
      <w:pPr>
        <w:pStyle w:val="FootnoteText"/>
      </w:pPr>
      <w:r>
        <w:rPr>
          <w:rStyle w:val="FootnoteReference"/>
        </w:rPr>
        <w:footnoteRef/>
      </w:r>
      <w:r>
        <w:t xml:space="preserve"> Cross-references for "Behold": Josh 6:16; 2Chr 36:23.</w:t>
      </w:r>
    </w:p>
  </w:footnote>
  <w:footnote w:id="3295">
    <w:p>
      <w:pPr>
        <w:pStyle w:val="FootnoteText"/>
      </w:pPr>
      <w:r>
        <w:rPr>
          <w:rStyle w:val="FootnoteReference"/>
        </w:rPr>
        <w:footnoteRef/>
      </w:r>
      <w:r>
        <w:t xml:space="preserve"> Translation note: Greek gives the paired imperatives in that order.</w:t>
      </w:r>
    </w:p>
  </w:footnote>
  <w:footnote w:id="3296">
    <w:p>
      <w:pPr>
        <w:pStyle w:val="FootnoteText"/>
      </w:pPr>
      <w:r>
        <w:rPr>
          <w:rStyle w:val="FootnoteReference"/>
        </w:rPr>
        <w:footnoteRef/>
      </w:r>
      <w:r>
        <w:t xml:space="preserve"> Place name: Kedemoth. Place-name meaning: Kedemoth — antiquity; old age. Source form: Kedemoth. Greek form: κεδαμωθ.</w:t>
      </w:r>
    </w:p>
  </w:footnote>
  <w:footnote w:id="3297">
    <w:p>
      <w:pPr>
        <w:pStyle w:val="FootnoteText"/>
      </w:pPr>
      <w:r>
        <w:rPr>
          <w:rStyle w:val="FootnoteReference"/>
        </w:rPr>
        <w:footnoteRef/>
      </w:r>
      <w:r>
        <w:t xml:space="preserve"> Cross-references for "Kedemoth": Josh 13:18; Josh 21:37.</w:t>
      </w:r>
    </w:p>
  </w:footnote>
  <w:footnote w:id="3298">
    <w:p>
      <w:pPr>
        <w:pStyle w:val="FootnoteText"/>
      </w:pPr>
      <w:r>
        <w:rPr>
          <w:rStyle w:val="FootnoteReference"/>
        </w:rPr>
        <w:footnoteRef/>
      </w:r>
      <w:r>
        <w:t xml:space="preserve"> Cross-references for "into the land": Exod 20:12; Deut 4:1.</w:t>
      </w:r>
    </w:p>
  </w:footnote>
  <w:footnote w:id="3299">
    <w:p>
      <w:pPr>
        <w:pStyle w:val="FootnoteText"/>
      </w:pPr>
      <w:r>
        <w:rPr>
          <w:rStyle w:val="FootnoteReference"/>
        </w:rPr>
        <w:footnoteRef/>
      </w:r>
      <w:r>
        <w:t xml:space="preserve"> Translation note: The Greek names both spirit and heart in the hardening sequence. This draft keeps both inner terms explicit.</w:t>
      </w:r>
    </w:p>
  </w:footnote>
  <w:footnote w:id="3300">
    <w:p>
      <w:pPr>
        <w:pStyle w:val="FootnoteText"/>
      </w:pPr>
      <w:r>
        <w:rPr>
          <w:rStyle w:val="FootnoteReference"/>
        </w:rPr>
        <w:footnoteRef/>
      </w:r>
      <w:r>
        <w:t xml:space="preserve"> Cross-references for "the Lord": Gen 14:20; Deut 3:2-3.</w:t>
      </w:r>
    </w:p>
  </w:footnote>
  <w:footnote w:id="3301">
    <w:p>
      <w:pPr>
        <w:pStyle w:val="FootnoteText"/>
      </w:pPr>
      <w:r>
        <w:rPr>
          <w:rStyle w:val="FootnoteReference"/>
        </w:rPr>
        <w:footnoteRef/>
      </w:r>
      <w:r>
        <w:t xml:space="preserve"> Cross-references for "utterly destroyed": Lev 27:28-29; Num 21:2-3.</w:t>
      </w:r>
    </w:p>
  </w:footnote>
  <w:footnote w:id="3302">
    <w:p>
      <w:pPr>
        <w:pStyle w:val="FootnoteText"/>
      </w:pPr>
      <w:r>
        <w:rPr>
          <w:rStyle w:val="FootnoteReference"/>
        </w:rPr>
        <w:footnoteRef/>
      </w:r>
      <w:r>
        <w:t xml:space="preserve"> Cross-references for "Aroer": Deut 3:12; Deut 4:48.</w:t>
      </w:r>
    </w:p>
  </w:footnote>
  <w:footnote w:id="3303">
    <w:p>
      <w:pPr>
        <w:pStyle w:val="FootnoteText"/>
      </w:pPr>
      <w:r>
        <w:rPr>
          <w:rStyle w:val="FootnoteReference"/>
        </w:rPr>
        <w:footnoteRef/>
      </w:r>
      <w:r>
        <w:t xml:space="preserve"> Translation note: The Greek conquest line is direct. The current wording preserves it.</w:t>
      </w:r>
    </w:p>
  </w:footnote>
  <w:footnote w:id="3304">
    <w:p>
      <w:pPr>
        <w:pStyle w:val="FootnoteText"/>
      </w:pPr>
      <w:r>
        <w:rPr>
          <w:rStyle w:val="FootnoteReference"/>
        </w:rPr>
        <w:footnoteRef/>
      </w:r>
      <w:r>
        <w:t xml:space="preserve"> Cross-references for "Jabbok": Gen 32:22; Num 21:24.</w:t>
      </w:r>
    </w:p>
  </w:footnote>
  <w:footnote w:id="3305">
    <w:p>
      <w:pPr>
        <w:pStyle w:val="FootnoteText"/>
      </w:pPr>
      <w:r>
        <w:rPr>
          <w:rStyle w:val="FootnoteReference"/>
        </w:rPr>
        <w:footnoteRef/>
      </w:r>
      <w:r>
        <w:t xml:space="preserve"> Cross-references for "Bashan": Deut 3:13-15.</w:t>
      </w:r>
    </w:p>
  </w:footnote>
  <w:footnote w:id="3306">
    <w:p>
      <w:pPr>
        <w:pStyle w:val="FootnoteText"/>
      </w:pPr>
      <w:r>
        <w:rPr>
          <w:rStyle w:val="FootnoteReference"/>
        </w:rPr>
        <w:footnoteRef/>
      </w:r>
      <w:r>
        <w:t xml:space="preserve"> Cross-references for "fear": Num 14:9; Deut 3:11.</w:t>
      </w:r>
    </w:p>
  </w:footnote>
  <w:footnote w:id="3307">
    <w:p>
      <w:pPr>
        <w:pStyle w:val="FootnoteText"/>
      </w:pPr>
      <w:r>
        <w:rPr>
          <w:rStyle w:val="FootnoteReference"/>
        </w:rPr>
        <w:footnoteRef/>
      </w:r>
      <w:r>
        <w:t xml:space="preserve"> Translation note: Greek says handed him over here.</w:t>
      </w:r>
    </w:p>
  </w:footnote>
  <w:footnote w:id="3308">
    <w:p>
      <w:pPr>
        <w:pStyle w:val="FootnoteText"/>
      </w:pPr>
      <w:r>
        <w:rPr>
          <w:rStyle w:val="FootnoteReference"/>
        </w:rPr>
        <w:footnoteRef/>
      </w:r>
      <w:r>
        <w:t xml:space="preserve"> Cross-references for "all his cities": Num 32:33-42; Josh 12:4.</w:t>
      </w:r>
    </w:p>
  </w:footnote>
  <w:footnote w:id="3309">
    <w:p>
      <w:pPr>
        <w:pStyle w:val="FootnoteText"/>
      </w:pPr>
      <w:r>
        <w:rPr>
          <w:rStyle w:val="FootnoteReference"/>
        </w:rPr>
        <w:footnoteRef/>
      </w:r>
      <w:r>
        <w:t xml:space="preserve"> Personal name: Argob. Personal-name meaning: Argob — a turf, or fat land. Source form: Argob.</w:t>
      </w:r>
    </w:p>
  </w:footnote>
  <w:footnote w:id="3310">
    <w:p>
      <w:pPr>
        <w:pStyle w:val="FootnoteText"/>
      </w:pPr>
      <w:r>
        <w:rPr>
          <w:rStyle w:val="FootnoteReference"/>
        </w:rPr>
        <w:footnoteRef/>
      </w:r>
      <w:r>
        <w:t xml:space="preserve"> Cross-references for "We utterly": Lev 27:28-29; Num 21:2.</w:t>
      </w:r>
    </w:p>
  </w:footnote>
  <w:footnote w:id="3311">
    <w:p>
      <w:pPr>
        <w:pStyle w:val="FootnoteText"/>
      </w:pPr>
      <w:r>
        <w:rPr>
          <w:rStyle w:val="FootnoteReference"/>
        </w:rPr>
        <w:footnoteRef/>
      </w:r>
      <w:r>
        <w:t xml:space="preserve"> Translation note: Greek states the taking of cattle and city spoils as plunder for ourselves. Current wording preserves that war-plunder line.</w:t>
      </w:r>
    </w:p>
  </w:footnote>
  <w:footnote w:id="3312">
    <w:p>
      <w:pPr>
        <w:pStyle w:val="FootnoteText"/>
      </w:pPr>
      <w:r>
        <w:rPr>
          <w:rStyle w:val="FootnoteReference"/>
        </w:rPr>
        <w:footnoteRef/>
      </w:r>
      <w:r>
        <w:t xml:space="preserve"> Place name: Hermon. Place-name meaning: Hermon — anathema; devoted to destruction. Source form: Hermon. Greek form: αερμων.</w:t>
      </w:r>
    </w:p>
  </w:footnote>
  <w:footnote w:id="3313">
    <w:p>
      <w:pPr>
        <w:pStyle w:val="FootnoteText"/>
      </w:pPr>
      <w:r>
        <w:rPr>
          <w:rStyle w:val="FootnoteReference"/>
        </w:rPr>
        <w:footnoteRef/>
      </w:r>
      <w:r>
        <w:t xml:space="preserve"> Cross-references for "Hermon": Deut 4:48-49; Ps 29:6.</w:t>
      </w:r>
    </w:p>
  </w:footnote>
  <w:footnote w:id="3314">
    <w:p>
      <w:pPr>
        <w:pStyle w:val="FootnoteText"/>
      </w:pPr>
      <w:r>
        <w:rPr>
          <w:rStyle w:val="FootnoteReference"/>
        </w:rPr>
        <w:footnoteRef/>
      </w:r>
      <w:r>
        <w:t xml:space="preserve"> Place name: Senir. Place-name meaning: Senir — bed-candle; changing. Source form: Senir. Greek form: σανιρ.</w:t>
      </w:r>
    </w:p>
  </w:footnote>
  <w:footnote w:id="3315">
    <w:p>
      <w:pPr>
        <w:pStyle w:val="FootnoteText"/>
      </w:pPr>
      <w:r>
        <w:rPr>
          <w:rStyle w:val="FootnoteReference"/>
        </w:rPr>
        <w:footnoteRef/>
      </w:r>
      <w:r>
        <w:t xml:space="preserve"> Cross-references for "the cities": Deut 4:49.</w:t>
      </w:r>
    </w:p>
  </w:footnote>
  <w:footnote w:id="3316">
    <w:p>
      <w:pPr>
        <w:pStyle w:val="FootnoteText"/>
      </w:pPr>
      <w:r>
        <w:rPr>
          <w:rStyle w:val="FootnoteReference"/>
        </w:rPr>
        <w:footnoteRef/>
      </w:r>
      <w:r>
        <w:t xml:space="preserve"> Transliterated proper noun: Mishor. Standard English equivalent: Sihon. Source form: Mishor. Greek form: μισωρ. Name meaning: rooting out; conclusion.</w:t>
      </w:r>
    </w:p>
  </w:footnote>
  <w:footnote w:id="3317">
    <w:p>
      <w:pPr>
        <w:pStyle w:val="FootnoteText"/>
      </w:pPr>
      <w:r>
        <w:rPr>
          <w:rStyle w:val="FootnoteReference"/>
        </w:rPr>
        <w:footnoteRef/>
      </w:r>
      <w:r>
        <w:t xml:space="preserve"> Transliterated proper noun: Salcah. Standard English equivalent: Salcah. Source form: Salcah. Greek form: σελχα. Name meaning: thy basket; thy lifting up.</w:t>
      </w:r>
    </w:p>
  </w:footnote>
  <w:footnote w:id="3318">
    <w:p>
      <w:pPr>
        <w:pStyle w:val="FootnoteText"/>
      </w:pPr>
      <w:r>
        <w:rPr>
          <w:rStyle w:val="FootnoteReference"/>
        </w:rPr>
        <w:footnoteRef/>
      </w:r>
      <w:r>
        <w:t xml:space="preserve"> Cross-references for "nine cubits": 1Sam 17:4; Amos 2:9.</w:t>
      </w:r>
    </w:p>
  </w:footnote>
  <w:footnote w:id="3319">
    <w:p>
      <w:pPr>
        <w:pStyle w:val="FootnoteText"/>
      </w:pPr>
      <w:r>
        <w:rPr>
          <w:rStyle w:val="FootnoteReference"/>
        </w:rPr>
        <w:footnoteRef/>
      </w:r>
      <w:r>
        <w:t xml:space="preserve"> Translation note: Greek preserves this place-name here. Current line keeps it.</w:t>
      </w:r>
    </w:p>
  </w:footnote>
  <w:footnote w:id="3320">
    <w:p>
      <w:pPr>
        <w:pStyle w:val="FootnoteText"/>
      </w:pPr>
      <w:r>
        <w:rPr>
          <w:rStyle w:val="FootnoteReference"/>
        </w:rPr>
        <w:footnoteRef/>
      </w:r>
      <w:r>
        <w:t xml:space="preserve"> Cross-references for "from Aroer": Num 32:33-38; Deut 2:36.</w:t>
      </w:r>
    </w:p>
  </w:footnote>
  <w:footnote w:id="3321">
    <w:p>
      <w:pPr>
        <w:pStyle w:val="FootnoteText"/>
      </w:pPr>
      <w:r>
        <w:rPr>
          <w:rStyle w:val="FootnoteReference"/>
        </w:rPr>
        <w:footnoteRef/>
      </w:r>
      <w:r>
        <w:t xml:space="preserve"> Cross-references for "the rest": Num 32:39-42; Josh 13:29-32.</w:t>
      </w:r>
    </w:p>
  </w:footnote>
  <w:footnote w:id="3322">
    <w:p>
      <w:pPr>
        <w:pStyle w:val="FootnoteText"/>
      </w:pPr>
      <w:r>
        <w:rPr>
          <w:rStyle w:val="FootnoteReference"/>
        </w:rPr>
        <w:footnoteRef/>
      </w:r>
      <w:r>
        <w:t xml:space="preserve"> Cross-references for "Jair": 1Chr 2:21-23.</w:t>
      </w:r>
    </w:p>
  </w:footnote>
  <w:footnote w:id="3323">
    <w:p>
      <w:pPr>
        <w:pStyle w:val="FootnoteText"/>
      </w:pPr>
      <w:r>
        <w:rPr>
          <w:rStyle w:val="FootnoteReference"/>
        </w:rPr>
        <w:footnoteRef/>
      </w:r>
      <w:r>
        <w:t xml:space="preserve"> Cross-references for "Machir": Gen 50:23; Num 26:29.</w:t>
      </w:r>
    </w:p>
  </w:footnote>
  <w:footnote w:id="3324">
    <w:p>
      <w:pPr>
        <w:pStyle w:val="FootnoteText"/>
      </w:pPr>
      <w:r>
        <w:rPr>
          <w:rStyle w:val="FootnoteReference"/>
        </w:rPr>
        <w:footnoteRef/>
      </w:r>
      <w:r>
        <w:t xml:space="preserve"> Cross-references for "the Sea": Gen 13:10; Gen 14:3.</w:t>
      </w:r>
    </w:p>
  </w:footnote>
  <w:footnote w:id="3325">
    <w:p>
      <w:pPr>
        <w:pStyle w:val="FootnoteText"/>
      </w:pPr>
      <w:r>
        <w:rPr>
          <w:rStyle w:val="FootnoteReference"/>
        </w:rPr>
        <w:footnoteRef/>
      </w:r>
      <w:r>
        <w:t xml:space="preserve"> Place name: Ashdod. Place-name meaning: Ashdod — effusion; inclination; theft. Source form: Ashdod. Greek form: ασηδωθ.</w:t>
      </w:r>
    </w:p>
  </w:footnote>
  <w:footnote w:id="3326">
    <w:p>
      <w:pPr>
        <w:pStyle w:val="FootnoteText"/>
      </w:pPr>
      <w:r>
        <w:rPr>
          <w:rStyle w:val="FootnoteReference"/>
        </w:rPr>
        <w:footnoteRef/>
      </w:r>
      <w:r>
        <w:t xml:space="preserve"> Place name: Pisgah. Place-name meaning: Pisgah — hill; eminence; fortress. Source form: Pisgah. Greek form: φασγα.</w:t>
      </w:r>
    </w:p>
  </w:footnote>
  <w:footnote w:id="3327">
    <w:p>
      <w:pPr>
        <w:pStyle w:val="FootnoteText"/>
      </w:pPr>
      <w:r>
        <w:rPr>
          <w:rStyle w:val="FootnoteReference"/>
        </w:rPr>
        <w:footnoteRef/>
      </w:r>
      <w:r>
        <w:t xml:space="preserve"> Cross-references for "I commanded": Num 32:20-24; Josh 1:12-15.</w:t>
      </w:r>
    </w:p>
  </w:footnote>
  <w:footnote w:id="3328">
    <w:p>
      <w:pPr>
        <w:pStyle w:val="FootnoteText"/>
      </w:pPr>
      <w:r>
        <w:rPr>
          <w:rStyle w:val="FootnoteReference"/>
        </w:rPr>
        <w:footnoteRef/>
      </w:r>
      <w:r>
        <w:t xml:space="preserve"> Translation note: Greek says gives rest here. Current line keeps that wording.</w:t>
      </w:r>
    </w:p>
  </w:footnote>
  <w:footnote w:id="3329">
    <w:p>
      <w:pPr>
        <w:pStyle w:val="FootnoteText"/>
      </w:pPr>
      <w:r>
        <w:rPr>
          <w:rStyle w:val="FootnoteReference"/>
        </w:rPr>
        <w:footnoteRef/>
      </w:r>
      <w:r>
        <w:t xml:space="preserve"> Cross-references for "return": Josh 22:4; Josh 22:8.</w:t>
      </w:r>
    </w:p>
  </w:footnote>
  <w:footnote w:id="3330">
    <w:p>
      <w:pPr>
        <w:pStyle w:val="FootnoteText"/>
      </w:pPr>
      <w:r>
        <w:rPr>
          <w:rStyle w:val="FootnoteReference"/>
        </w:rPr>
        <w:footnoteRef/>
      </w:r>
      <w:r>
        <w:t xml:space="preserve"> Cross-references for "I commanded": Num 27:18-23.</w:t>
      </w:r>
    </w:p>
  </w:footnote>
  <w:footnote w:id="3331">
    <w:p>
      <w:pPr>
        <w:pStyle w:val="FootnoteText"/>
      </w:pPr>
      <w:r>
        <w:rPr>
          <w:rStyle w:val="FootnoteReference"/>
        </w:rPr>
        <w:footnoteRef/>
      </w:r>
      <w:r>
        <w:t xml:space="preserve"> Translation note: Greek keeps the crossing line direct. Current wording preserves that phrasing.</w:t>
      </w:r>
    </w:p>
  </w:footnote>
  <w:footnote w:id="3332">
    <w:p>
      <w:pPr>
        <w:pStyle w:val="FootnoteText"/>
      </w:pPr>
      <w:r>
        <w:rPr>
          <w:rStyle w:val="FootnoteReference"/>
        </w:rPr>
        <w:footnoteRef/>
      </w:r>
      <w:r>
        <w:t xml:space="preserve"> Cross-references for "shall not": Isa 43:1-2.</w:t>
      </w:r>
    </w:p>
  </w:footnote>
  <w:footnote w:id="3333">
    <w:p>
      <w:pPr>
        <w:pStyle w:val="FootnoteText"/>
      </w:pPr>
      <w:r>
        <w:rPr>
          <w:rStyle w:val="FootnoteReference"/>
        </w:rPr>
        <w:footnoteRef/>
      </w:r>
      <w:r>
        <w:t xml:space="preserve"> Cross-references for "what god": Exod 15:11; 2Sam 7:22.</w:t>
      </w:r>
    </w:p>
  </w:footnote>
  <w:footnote w:id="3334">
    <w:p>
      <w:pPr>
        <w:pStyle w:val="FootnoteText"/>
      </w:pPr>
      <w:r>
        <w:rPr>
          <w:rStyle w:val="FootnoteReference"/>
        </w:rPr>
        <w:footnoteRef/>
      </w:r>
      <w:r>
        <w:t xml:space="preserve"> Transliterated proper noun: Anti-Lebanon. Standard English equivalent: Lebanon. Source form: Anti-Lebanon. Greek form: αντιλιβανον. Name meaning: white, incense.</w:t>
      </w:r>
    </w:p>
  </w:footnote>
  <w:footnote w:id="3335">
    <w:p>
      <w:pPr>
        <w:pStyle w:val="FootnoteText"/>
      </w:pPr>
      <w:r>
        <w:rPr>
          <w:rStyle w:val="FootnoteReference"/>
        </w:rPr>
        <w:footnoteRef/>
      </w:r>
      <w:r>
        <w:t xml:space="preserve"> Cross-references for "the Lord": Num 20:7-12; Num 27:12-14.</w:t>
      </w:r>
    </w:p>
  </w:footnote>
  <w:footnote w:id="3336">
    <w:p>
      <w:pPr>
        <w:pStyle w:val="FootnoteText"/>
      </w:pPr>
      <w:r>
        <w:rPr>
          <w:rStyle w:val="FootnoteReference"/>
        </w:rPr>
        <w:footnoteRef/>
      </w:r>
      <w:r>
        <w:t xml:space="preserve"> Translation note: Greek says live and multiply and inherit.</w:t>
      </w:r>
    </w:p>
  </w:footnote>
  <w:footnote w:id="3337">
    <w:p>
      <w:pPr>
        <w:pStyle w:val="FootnoteText"/>
      </w:pPr>
      <w:r>
        <w:rPr>
          <w:rStyle w:val="FootnoteReference"/>
        </w:rPr>
        <w:footnoteRef/>
      </w:r>
      <w:r>
        <w:t xml:space="preserve"> Cross-references for "this is your": Job 28:28; Ps 19:7.</w:t>
      </w:r>
    </w:p>
  </w:footnote>
  <w:footnote w:id="3338">
    <w:p>
      <w:pPr>
        <w:pStyle w:val="FootnoteText"/>
      </w:pPr>
      <w:r>
        <w:rPr>
          <w:rStyle w:val="FootnoteReference"/>
        </w:rPr>
        <w:footnoteRef/>
      </w:r>
      <w:r>
        <w:t xml:space="preserve"> Translation note: Greek says wise and understanding here. Current line keeps that wording.</w:t>
      </w:r>
    </w:p>
  </w:footnote>
  <w:footnote w:id="3339">
    <w:p>
      <w:pPr>
        <w:pStyle w:val="FootnoteText"/>
      </w:pPr>
      <w:r>
        <w:rPr>
          <w:rStyle w:val="FootnoteReference"/>
        </w:rPr>
        <w:footnoteRef/>
      </w:r>
      <w:r>
        <w:t xml:space="preserve"> Cross-references for "lest they": Josh 1:18; Ps 119:11.</w:t>
      </w:r>
    </w:p>
  </w:footnote>
  <w:footnote w:id="3340">
    <w:p>
      <w:pPr>
        <w:pStyle w:val="FootnoteText"/>
      </w:pPr>
      <w:r>
        <w:rPr>
          <w:rStyle w:val="FootnoteReference"/>
        </w:rPr>
        <w:footnoteRef/>
      </w:r>
      <w:r>
        <w:t xml:space="preserve"> Cross-references for "fear me": Exod 20:20; Deut 5:29.</w:t>
      </w:r>
    </w:p>
  </w:footnote>
  <w:footnote w:id="3341">
    <w:p>
      <w:pPr>
        <w:pStyle w:val="FootnoteText"/>
      </w:pPr>
      <w:r>
        <w:rPr>
          <w:rStyle w:val="FootnoteReference"/>
        </w:rPr>
        <w:footnoteRef/>
      </w:r>
      <w:r>
        <w:t xml:space="preserve"> Translation note: Greek says sons here and keeps the assembly frame explicit. The translation follows that wording.</w:t>
      </w:r>
    </w:p>
  </w:footnote>
  <w:footnote w:id="3342">
    <w:p>
      <w:pPr>
        <w:pStyle w:val="FootnoteText"/>
      </w:pPr>
      <w:r>
        <w:rPr>
          <w:rStyle w:val="FootnoteReference"/>
        </w:rPr>
        <w:footnoteRef/>
      </w:r>
      <w:r>
        <w:t xml:space="preserve"> Cross-references for "stood": Exod 19:16-18; Exod 20:18-19.</w:t>
      </w:r>
    </w:p>
  </w:footnote>
  <w:footnote w:id="3343">
    <w:p>
      <w:pPr>
        <w:pStyle w:val="FootnoteText"/>
      </w:pPr>
      <w:r>
        <w:rPr>
          <w:rStyle w:val="FootnoteReference"/>
        </w:rPr>
        <w:footnoteRef/>
      </w:r>
      <w:r>
        <w:t xml:space="preserve"> Cross-references for "the Lord": Deut 5:4; Deut 5:22.</w:t>
      </w:r>
    </w:p>
  </w:footnote>
  <w:footnote w:id="3344">
    <w:p>
      <w:pPr>
        <w:pStyle w:val="FootnoteText"/>
      </w:pPr>
      <w:r>
        <w:rPr>
          <w:rStyle w:val="FootnoteReference"/>
        </w:rPr>
        <w:footnoteRef/>
      </w:r>
      <w:r>
        <w:t xml:space="preserve"> Cross-references for "he wrote": Exod 24:12; Exod 31:18.</w:t>
      </w:r>
    </w:p>
  </w:footnote>
  <w:footnote w:id="3345">
    <w:p>
      <w:pPr>
        <w:pStyle w:val="FootnoteText"/>
      </w:pPr>
      <w:r>
        <w:rPr>
          <w:rStyle w:val="FootnoteReference"/>
        </w:rPr>
        <w:footnoteRef/>
      </w:r>
      <w:r>
        <w:t xml:space="preserve"> Translation note: Greek uses order/cosmos language for the heavens. Current wording preserves it.</w:t>
      </w:r>
    </w:p>
  </w:footnote>
  <w:footnote w:id="3346">
    <w:p>
      <w:pPr>
        <w:pStyle w:val="FootnoteText"/>
      </w:pPr>
      <w:r>
        <w:rPr>
          <w:rStyle w:val="FootnoteReference"/>
        </w:rPr>
        <w:footnoteRef/>
      </w:r>
      <w:r>
        <w:t xml:space="preserve"> Cross-references for "the iron": 1Kgs 8:51; Jer 11:4.</w:t>
      </w:r>
    </w:p>
  </w:footnote>
  <w:footnote w:id="3347">
    <w:p>
      <w:pPr>
        <w:pStyle w:val="FootnoteText"/>
      </w:pPr>
      <w:r>
        <w:rPr>
          <w:rStyle w:val="FootnoteReference"/>
        </w:rPr>
        <w:footnoteRef/>
      </w:r>
      <w:r>
        <w:t xml:space="preserve"> Translation note: Greek says carved likeness here.</w:t>
      </w:r>
    </w:p>
  </w:footnote>
  <w:footnote w:id="3348">
    <w:p>
      <w:pPr>
        <w:pStyle w:val="FootnoteText"/>
      </w:pPr>
      <w:r>
        <w:rPr>
          <w:rStyle w:val="FootnoteReference"/>
        </w:rPr>
        <w:footnoteRef/>
      </w:r>
      <w:r>
        <w:t xml:space="preserve"> Cross-references for "a jealous God": Exod 20:5; Exod 34:14.</w:t>
      </w:r>
    </w:p>
  </w:footnote>
  <w:footnote w:id="3349">
    <w:p>
      <w:pPr>
        <w:pStyle w:val="FootnoteText"/>
      </w:pPr>
      <w:r>
        <w:rPr>
          <w:rStyle w:val="FootnoteReference"/>
        </w:rPr>
        <w:footnoteRef/>
      </w:r>
      <w:r>
        <w:t xml:space="preserve"> Cross-references for "beget": Deut 31:16-18; Judg 2:8-15.</w:t>
      </w:r>
    </w:p>
  </w:footnote>
  <w:footnote w:id="3350">
    <w:p>
      <w:pPr>
        <w:pStyle w:val="FootnoteText"/>
      </w:pPr>
      <w:r>
        <w:rPr>
          <w:rStyle w:val="FootnoteReference"/>
        </w:rPr>
        <w:footnoteRef/>
      </w:r>
      <w:r>
        <w:t xml:space="preserve"> Translation note: Greek keeps the generational phrase plain. The translation follows that direct wording.</w:t>
      </w:r>
    </w:p>
  </w:footnote>
  <w:footnote w:id="3351">
    <w:p>
      <w:pPr>
        <w:pStyle w:val="FootnoteText"/>
      </w:pPr>
      <w:r>
        <w:rPr>
          <w:rStyle w:val="FootnoteReference"/>
        </w:rPr>
        <w:footnoteRef/>
      </w:r>
      <w:r>
        <w:t xml:space="preserve"> Cross-references for "I call heaven": Deut 30:18-19; Deut 31:28.</w:t>
      </w:r>
    </w:p>
  </w:footnote>
  <w:footnote w:id="3352">
    <w:p>
      <w:pPr>
        <w:pStyle w:val="FootnoteText"/>
      </w:pPr>
      <w:r>
        <w:rPr>
          <w:rStyle w:val="FootnoteReference"/>
        </w:rPr>
        <w:footnoteRef/>
      </w:r>
      <w:r>
        <w:t xml:space="preserve"> Translation note: Greek doubles the crushing idiom. The translation keeps that force visible.</w:t>
      </w:r>
    </w:p>
  </w:footnote>
  <w:footnote w:id="3353">
    <w:p>
      <w:pPr>
        <w:pStyle w:val="FootnoteText"/>
      </w:pPr>
      <w:r>
        <w:rPr>
          <w:rStyle w:val="FootnoteReference"/>
        </w:rPr>
        <w:footnoteRef/>
      </w:r>
      <w:r>
        <w:t xml:space="preserve"> Cross-references for "all these": 1Kgs 8:46-53; 2Chr 6:36-39.</w:t>
      </w:r>
    </w:p>
  </w:footnote>
  <w:footnote w:id="3354">
    <w:p>
      <w:pPr>
        <w:pStyle w:val="FootnoteText"/>
      </w:pPr>
      <w:r>
        <w:rPr>
          <w:rStyle w:val="FootnoteReference"/>
        </w:rPr>
        <w:footnoteRef/>
      </w:r>
      <w:r>
        <w:t xml:space="preserve"> Cross-references for "the Lord": Exod 34:6-7; Num 14:18.</w:t>
      </w:r>
    </w:p>
  </w:footnote>
  <w:footnote w:id="3355">
    <w:p>
      <w:pPr>
        <w:pStyle w:val="FootnoteText"/>
      </w:pPr>
      <w:r>
        <w:rPr>
          <w:rStyle w:val="FootnoteReference"/>
        </w:rPr>
        <w:footnoteRef/>
      </w:r>
      <w:r>
        <w:t xml:space="preserve"> Translation note: Greek says earlier days that came before you and created humankind.</w:t>
      </w:r>
    </w:p>
  </w:footnote>
  <w:footnote w:id="3356">
    <w:p>
      <w:pPr>
        <w:pStyle w:val="FootnoteText"/>
      </w:pPr>
      <w:r>
        <w:rPr>
          <w:rStyle w:val="FootnoteReference"/>
        </w:rPr>
        <w:footnoteRef/>
      </w:r>
      <w:r>
        <w:t xml:space="preserve"> Cross-references for "by signs": Exod 7:3; Ps 78:12.</w:t>
      </w:r>
    </w:p>
  </w:footnote>
  <w:footnote w:id="3357">
    <w:p>
      <w:pPr>
        <w:pStyle w:val="FootnoteText"/>
      </w:pPr>
      <w:r>
        <w:rPr>
          <w:rStyle w:val="FootnoteReference"/>
        </w:rPr>
        <w:footnoteRef/>
      </w:r>
      <w:r>
        <w:t xml:space="preserve"> Cross-references for "know": 1Sam 17:45-47; 1Kgs 18:36-37.</w:t>
      </w:r>
    </w:p>
  </w:footnote>
  <w:footnote w:id="3358">
    <w:p>
      <w:pPr>
        <w:pStyle w:val="FootnoteText"/>
      </w:pPr>
      <w:r>
        <w:rPr>
          <w:rStyle w:val="FootnoteReference"/>
        </w:rPr>
        <w:footnoteRef/>
      </w:r>
      <w:r>
        <w:t xml:space="preserve"> Cross-references for "the Lord": Deut 4:35; Josh 2:11.</w:t>
      </w:r>
    </w:p>
  </w:footnote>
  <w:footnote w:id="3359">
    <w:p>
      <w:pPr>
        <w:pStyle w:val="FootnoteText"/>
      </w:pPr>
      <w:r>
        <w:rPr>
          <w:rStyle w:val="FootnoteReference"/>
        </w:rPr>
        <w:footnoteRef/>
      </w:r>
      <w:r>
        <w:t xml:space="preserve"> Cross-references for "keep": Lev 22:31; Lev 26:1-13.</w:t>
      </w:r>
    </w:p>
  </w:footnote>
  <w:footnote w:id="3360">
    <w:p>
      <w:pPr>
        <w:pStyle w:val="FootnoteText"/>
      </w:pPr>
      <w:r>
        <w:rPr>
          <w:rStyle w:val="FootnoteReference"/>
        </w:rPr>
        <w:footnoteRef/>
      </w:r>
      <w:r>
        <w:t xml:space="preserve"> Translation note: Greek says so that you may be long-lived on the land.</w:t>
      </w:r>
    </w:p>
  </w:footnote>
  <w:footnote w:id="3361">
    <w:p>
      <w:pPr>
        <w:pStyle w:val="FootnoteText"/>
      </w:pPr>
      <w:r>
        <w:rPr>
          <w:rStyle w:val="FootnoteReference"/>
        </w:rPr>
        <w:footnoteRef/>
      </w:r>
      <w:r>
        <w:t xml:space="preserve"> Place name: Besor. Place-name meaning: Besor — glad news; incarnation. Source form: Besor. Greek form: βοσορ.</w:t>
      </w:r>
    </w:p>
  </w:footnote>
  <w:footnote w:id="3362">
    <w:p>
      <w:pPr>
        <w:pStyle w:val="FootnoteText"/>
      </w:pPr>
      <w:r>
        <w:rPr>
          <w:rStyle w:val="FootnoteReference"/>
        </w:rPr>
        <w:footnoteRef/>
      </w:r>
      <w:r>
        <w:t xml:space="preserve"> Place name: Ramoth. Place-name meaning: Ramoth — eminences; high places. Source form: Ramoth. Greek form: ραμωθ.</w:t>
      </w:r>
    </w:p>
  </w:footnote>
  <w:footnote w:id="3363">
    <w:p>
      <w:pPr>
        <w:pStyle w:val="FootnoteText"/>
      </w:pPr>
      <w:r>
        <w:rPr>
          <w:rStyle w:val="FootnoteReference"/>
        </w:rPr>
        <w:footnoteRef/>
      </w:r>
      <w:r>
        <w:t xml:space="preserve"> Place name: Golan. Place-name meaning: Golan — passage; revolution. Source form: Golan. Greek form: γαλααδ.</w:t>
      </w:r>
    </w:p>
  </w:footnote>
  <w:footnote w:id="3364">
    <w:p>
      <w:pPr>
        <w:pStyle w:val="FootnoteText"/>
      </w:pPr>
      <w:r>
        <w:rPr>
          <w:rStyle w:val="FootnoteReference"/>
        </w:rPr>
        <w:footnoteRef/>
      </w:r>
      <w:r>
        <w:t xml:space="preserve"> Cross-references for "Ramoth": Josh 21:38; 1Kgs 4:13.</w:t>
      </w:r>
    </w:p>
  </w:footnote>
  <w:footnote w:id="3365">
    <w:p>
      <w:pPr>
        <w:pStyle w:val="FootnoteText"/>
      </w:pPr>
      <w:r>
        <w:rPr>
          <w:rStyle w:val="FootnoteReference"/>
        </w:rPr>
        <w:footnoteRef/>
      </w:r>
      <w:r>
        <w:t xml:space="preserve"> Cross-references for "judgments": Ps 119:7.</w:t>
      </w:r>
    </w:p>
  </w:footnote>
  <w:footnote w:id="3366">
    <w:p>
      <w:pPr>
        <w:pStyle w:val="FootnoteText"/>
      </w:pPr>
      <w:r>
        <w:rPr>
          <w:rStyle w:val="FootnoteReference"/>
        </w:rPr>
        <w:footnoteRef/>
      </w:r>
      <w:r>
        <w:t xml:space="preserve"> Cross-references for "Moses": Num 21:21-32; Deut 1:4.</w:t>
      </w:r>
    </w:p>
  </w:footnote>
  <w:footnote w:id="3367">
    <w:p>
      <w:pPr>
        <w:pStyle w:val="FootnoteText"/>
      </w:pPr>
      <w:r>
        <w:rPr>
          <w:rStyle w:val="FootnoteReference"/>
        </w:rPr>
        <w:footnoteRef/>
      </w:r>
      <w:r>
        <w:t xml:space="preserve"> Translation note: Greek says near the house of Phogor.</w:t>
      </w:r>
    </w:p>
  </w:footnote>
  <w:footnote w:id="3368">
    <w:p>
      <w:pPr>
        <w:pStyle w:val="FootnoteText"/>
      </w:pPr>
      <w:r>
        <w:rPr>
          <w:rStyle w:val="FootnoteReference"/>
        </w:rPr>
        <w:footnoteRef/>
      </w:r>
      <w:r>
        <w:t xml:space="preserve"> Cross-references for "Aroer": Deut 2:36; Deut 3:12.</w:t>
      </w:r>
    </w:p>
  </w:footnote>
  <w:footnote w:id="3369">
    <w:p>
      <w:pPr>
        <w:pStyle w:val="FootnoteText"/>
      </w:pPr>
      <w:r>
        <w:rPr>
          <w:rStyle w:val="FootnoteReference"/>
        </w:rPr>
        <w:footnoteRef/>
      </w:r>
      <w:r>
        <w:t xml:space="preserve"> Transliterated proper noun: Zion. Standard English equivalent: Zion. Source form: Zion. Greek form: αερμων. Name meaning: monument; raised up; sepulcher.</w:t>
      </w:r>
    </w:p>
  </w:footnote>
  <w:footnote w:id="3370">
    <w:p>
      <w:pPr>
        <w:pStyle w:val="FootnoteText"/>
      </w:pPr>
      <w:r>
        <w:rPr>
          <w:rStyle w:val="FootnoteReference"/>
        </w:rPr>
        <w:footnoteRef/>
      </w:r>
      <w:r>
        <w:t xml:space="preserve"> Cross-references for "all Israel": Deut 1:1; Deut 29:2.</w:t>
      </w:r>
    </w:p>
  </w:footnote>
  <w:footnote w:id="3371">
    <w:p>
      <w:pPr>
        <w:pStyle w:val="FootnoteText"/>
      </w:pPr>
      <w:r>
        <w:rPr>
          <w:rStyle w:val="FootnoteReference"/>
        </w:rPr>
        <w:footnoteRef/>
      </w:r>
      <w:r>
        <w:t xml:space="preserve"> Cross-references for "I am the": Exod 20:2-17; Lev 26:1-2.</w:t>
      </w:r>
    </w:p>
  </w:footnote>
  <w:footnote w:id="3372">
    <w:p>
      <w:pPr>
        <w:pStyle w:val="FootnoteText"/>
      </w:pPr>
      <w:r>
        <w:rPr>
          <w:rStyle w:val="FootnoteReference"/>
        </w:rPr>
        <w:footnoteRef/>
      </w:r>
      <w:r>
        <w:t xml:space="preserve"> Cross-references for "the Lord": Exod 3:15.</w:t>
      </w:r>
    </w:p>
  </w:footnote>
  <w:footnote w:id="3373">
    <w:p>
      <w:pPr>
        <w:pStyle w:val="FootnoteText"/>
      </w:pPr>
      <w:r>
        <w:rPr>
          <w:rStyle w:val="FootnoteReference"/>
        </w:rPr>
        <w:footnoteRef/>
      </w:r>
      <w:r>
        <w:t xml:space="preserve"> Translation note: Greek uses repay-language here. Current line keeps that wording rather than importing familiar visiting formula.</w:t>
      </w:r>
    </w:p>
  </w:footnote>
  <w:footnote w:id="3374">
    <w:p>
      <w:pPr>
        <w:pStyle w:val="FootnoteText"/>
      </w:pPr>
      <w:r>
        <w:rPr>
          <w:rStyle w:val="FootnoteReference"/>
        </w:rPr>
        <w:footnoteRef/>
      </w:r>
      <w:r>
        <w:t xml:space="preserve"> Cross-references for "showing": Isa 1:16-19; Jer 32:18.</w:t>
      </w:r>
    </w:p>
  </w:footnote>
  <w:footnote w:id="3375">
    <w:p>
      <w:pPr>
        <w:pStyle w:val="FootnoteText"/>
      </w:pPr>
      <w:r>
        <w:rPr>
          <w:rStyle w:val="FootnoteReference"/>
        </w:rPr>
        <w:footnoteRef/>
      </w:r>
      <w:r>
        <w:t xml:space="preserve"> Translation note: Greek literally carries the sense of emptiness or falsity. The main line uses the established English idiom in vain, while this note keeps the wider force visible.</w:t>
      </w:r>
    </w:p>
  </w:footnote>
  <w:footnote w:id="3376">
    <w:p>
      <w:pPr>
        <w:pStyle w:val="FootnoteText"/>
      </w:pPr>
      <w:r>
        <w:rPr>
          <w:rStyle w:val="FootnoteReference"/>
        </w:rPr>
        <w:footnoteRef/>
      </w:r>
      <w:r>
        <w:t xml:space="preserve"> Translation note: Greek says beast of burden here. Current line keeps that wording.</w:t>
      </w:r>
    </w:p>
  </w:footnote>
  <w:footnote w:id="3377">
    <w:p>
      <w:pPr>
        <w:pStyle w:val="FootnoteText"/>
      </w:pPr>
      <w:r>
        <w:rPr>
          <w:rStyle w:val="FootnoteReference"/>
        </w:rPr>
        <w:footnoteRef/>
      </w:r>
      <w:r>
        <w:t xml:space="preserve"> Cross-references for "remember": Deut 15:15; Deut 16:12.</w:t>
      </w:r>
    </w:p>
  </w:footnote>
  <w:footnote w:id="3378">
    <w:p>
      <w:pPr>
        <w:pStyle w:val="FootnoteText"/>
      </w:pPr>
      <w:r>
        <w:rPr>
          <w:rStyle w:val="FootnoteReference"/>
        </w:rPr>
        <w:footnoteRef/>
      </w:r>
      <w:r>
        <w:t xml:space="preserve"> Translation note: Greek says keep the day of the Sabbaths and sanctify it.</w:t>
      </w:r>
    </w:p>
  </w:footnote>
  <w:footnote w:id="3379">
    <w:p>
      <w:pPr>
        <w:pStyle w:val="FootnoteText"/>
      </w:pPr>
      <w:r>
        <w:rPr>
          <w:rStyle w:val="FootnoteReference"/>
        </w:rPr>
        <w:footnoteRef/>
      </w:r>
      <w:r>
        <w:t xml:space="preserve"> Cross-references for "These words": Exod 19:18-19; Deut 4:12-15.</w:t>
      </w:r>
    </w:p>
  </w:footnote>
  <w:footnote w:id="3380">
    <w:p>
      <w:pPr>
        <w:pStyle w:val="FootnoteText"/>
      </w:pPr>
      <w:r>
        <w:rPr>
          <w:rStyle w:val="FootnoteReference"/>
        </w:rPr>
        <w:footnoteRef/>
      </w:r>
      <w:r>
        <w:t xml:space="preserve"> Translation note: The local Greek text reads from the midst of the fire rather than out of darkness. The translation follows the Greek reading.</w:t>
      </w:r>
    </w:p>
  </w:footnote>
  <w:footnote w:id="3381">
    <w:p>
      <w:pPr>
        <w:pStyle w:val="FootnoteText"/>
      </w:pPr>
      <w:r>
        <w:rPr>
          <w:rStyle w:val="FootnoteReference"/>
        </w:rPr>
        <w:footnoteRef/>
      </w:r>
      <w:r>
        <w:t xml:space="preserve"> Translation note: Greek says God will speak to a human and he shall live.</w:t>
      </w:r>
    </w:p>
  </w:footnote>
  <w:footnote w:id="3382">
    <w:p>
      <w:pPr>
        <w:pStyle w:val="FootnoteText"/>
      </w:pPr>
      <w:r>
        <w:rPr>
          <w:rStyle w:val="FootnoteReference"/>
        </w:rPr>
        <w:footnoteRef/>
      </w:r>
      <w:r>
        <w:t xml:space="preserve"> Cross-references for "this great": Deut 18:16; Deut 33:2.</w:t>
      </w:r>
    </w:p>
  </w:footnote>
  <w:footnote w:id="3383">
    <w:p>
      <w:pPr>
        <w:pStyle w:val="FootnoteText"/>
      </w:pPr>
      <w:r>
        <w:rPr>
          <w:rStyle w:val="FootnoteReference"/>
        </w:rPr>
        <w:footnoteRef/>
      </w:r>
      <w:r>
        <w:t xml:space="preserve"> Cross-references for "living": Josh 3:10; Ps 42:2.</w:t>
      </w:r>
    </w:p>
  </w:footnote>
  <w:footnote w:id="3384">
    <w:p>
      <w:pPr>
        <w:pStyle w:val="FootnoteText"/>
      </w:pPr>
      <w:r>
        <w:rPr>
          <w:rStyle w:val="FootnoteReference"/>
        </w:rPr>
        <w:footnoteRef/>
      </w:r>
      <w:r>
        <w:t xml:space="preserve"> Translation note: Greek closes with the hear-and-do response formula. Current wording preserves it.</w:t>
      </w:r>
    </w:p>
  </w:footnote>
  <w:footnote w:id="3385">
    <w:p>
      <w:pPr>
        <w:pStyle w:val="FootnoteText"/>
      </w:pPr>
      <w:r>
        <w:rPr>
          <w:rStyle w:val="FootnoteReference"/>
        </w:rPr>
        <w:footnoteRef/>
      </w:r>
      <w:r>
        <w:t xml:space="preserve"> Cross-references for "keep all": Deut 11:1; Ps 106:3.</w:t>
      </w:r>
    </w:p>
  </w:footnote>
  <w:footnote w:id="3386">
    <w:p>
      <w:pPr>
        <w:pStyle w:val="FootnoteText"/>
      </w:pPr>
      <w:r>
        <w:rPr>
          <w:rStyle w:val="FootnoteReference"/>
        </w:rPr>
        <w:footnoteRef/>
      </w:r>
      <w:r>
        <w:t xml:space="preserve"> Translation note: Greek says you stand here with me.</w:t>
      </w:r>
    </w:p>
  </w:footnote>
  <w:footnote w:id="3387">
    <w:p>
      <w:pPr>
        <w:pStyle w:val="FootnoteText"/>
      </w:pPr>
      <w:r>
        <w:rPr>
          <w:rStyle w:val="FootnoteReference"/>
        </w:rPr>
        <w:footnoteRef/>
      </w:r>
      <w:r>
        <w:t xml:space="preserve"> Cross-references for "well": Deut 4:40; Deut 5:29.</w:t>
      </w:r>
    </w:p>
  </w:footnote>
  <w:footnote w:id="3388">
    <w:p>
      <w:pPr>
        <w:pStyle w:val="FootnoteText"/>
      </w:pPr>
      <w:r>
        <w:rPr>
          <w:rStyle w:val="FootnoteReference"/>
        </w:rPr>
        <w:footnoteRef/>
      </w:r>
      <w:r>
        <w:t xml:space="preserve"> Translation note: Greek keeps road and go language together here. Current line stays close.</w:t>
      </w:r>
    </w:p>
  </w:footnote>
  <w:footnote w:id="3389">
    <w:p>
      <w:pPr>
        <w:pStyle w:val="FootnoteText"/>
      </w:pPr>
      <w:r>
        <w:rPr>
          <w:rStyle w:val="FootnoteReference"/>
        </w:rPr>
        <w:footnoteRef/>
      </w:r>
      <w:r>
        <w:t xml:space="preserve"> Cross-references for "fear": Gen 22:12; Exod 20:20.</w:t>
      </w:r>
    </w:p>
  </w:footnote>
  <w:footnote w:id="3390">
    <w:p>
      <w:pPr>
        <w:pStyle w:val="FootnoteText"/>
      </w:pPr>
      <w:r>
        <w:rPr>
          <w:rStyle w:val="FootnoteReference"/>
        </w:rPr>
        <w:footnoteRef/>
      </w:r>
      <w:r>
        <w:t xml:space="preserve"> Translation note: Greek says become long-lived here.</w:t>
      </w:r>
    </w:p>
  </w:footnote>
  <w:footnote w:id="3391">
    <w:p>
      <w:pPr>
        <w:pStyle w:val="FootnoteText"/>
      </w:pPr>
      <w:r>
        <w:rPr>
          <w:rStyle w:val="FootnoteReference"/>
        </w:rPr>
        <w:footnoteRef/>
      </w:r>
      <w:r>
        <w:t xml:space="preserve"> Translation note: Greek keeps the speech form here instead of smoothing to promised.</w:t>
      </w:r>
    </w:p>
  </w:footnote>
  <w:footnote w:id="3392">
    <w:p>
      <w:pPr>
        <w:pStyle w:val="FootnoteText"/>
      </w:pPr>
      <w:r>
        <w:rPr>
          <w:rStyle w:val="FootnoteReference"/>
        </w:rPr>
        <w:footnoteRef/>
      </w:r>
      <w:r>
        <w:t xml:space="preserve"> Cross-references for "the Lord": Deut 4:35-36; Deut 5:6.</w:t>
      </w:r>
    </w:p>
  </w:footnote>
  <w:footnote w:id="3393">
    <w:p>
      <w:pPr>
        <w:pStyle w:val="FootnoteText"/>
      </w:pPr>
      <w:r>
        <w:rPr>
          <w:rStyle w:val="FootnoteReference"/>
        </w:rPr>
        <w:footnoteRef/>
      </w:r>
      <w:r>
        <w:t xml:space="preserve"> Translation note: The Septuagint places a prefatory line before the Shema at this numbering point. The translation follows the Greek content.</w:t>
      </w:r>
    </w:p>
  </w:footnote>
  <w:footnote w:id="3394">
    <w:p>
      <w:pPr>
        <w:pStyle w:val="FootnoteText"/>
      </w:pPr>
      <w:r>
        <w:rPr>
          <w:rStyle w:val="FootnoteReference"/>
        </w:rPr>
        <w:footnoteRef/>
      </w:r>
      <w:r>
        <w:t xml:space="preserve"> Cross-references for "shall be": Deut 11:18; Deut 32:46.</w:t>
      </w:r>
    </w:p>
  </w:footnote>
  <w:footnote w:id="3395">
    <w:p>
      <w:pPr>
        <w:pStyle w:val="FootnoteText"/>
      </w:pPr>
      <w:r>
        <w:rPr>
          <w:rStyle w:val="FootnoteReference"/>
        </w:rPr>
        <w:footnoteRef/>
      </w:r>
      <w:r>
        <w:t xml:space="preserve"> Translation note: Greek simply doubles the adjectives. Current wording preserves that compact formula.</w:t>
      </w:r>
    </w:p>
  </w:footnote>
  <w:footnote w:id="3396">
    <w:p>
      <w:pPr>
        <w:pStyle w:val="FootnoteText"/>
      </w:pPr>
      <w:r>
        <w:rPr>
          <w:rStyle w:val="FootnoteReference"/>
        </w:rPr>
        <w:footnoteRef/>
      </w:r>
      <w:r>
        <w:t xml:space="preserve"> Cross-references for "fear": Deut 5:29; Deut 6:2.</w:t>
      </w:r>
    </w:p>
  </w:footnote>
  <w:footnote w:id="3397">
    <w:p>
      <w:pPr>
        <w:pStyle w:val="FootnoteText"/>
      </w:pPr>
      <w:r>
        <w:rPr>
          <w:rStyle w:val="FootnoteReference"/>
        </w:rPr>
        <w:footnoteRef/>
      </w:r>
      <w:r>
        <w:t xml:space="preserve"> Translation note: Greek keeps the cling-to-him loyalty verb in the sequence. Current wording preserves that covenant-attachment line.</w:t>
      </w:r>
    </w:p>
  </w:footnote>
  <w:footnote w:id="3398">
    <w:p>
      <w:pPr>
        <w:pStyle w:val="FootnoteText"/>
      </w:pPr>
      <w:r>
        <w:rPr>
          <w:rStyle w:val="FootnoteReference"/>
        </w:rPr>
        <w:footnoteRef/>
      </w:r>
      <w:r>
        <w:t xml:space="preserve"> Cross-references for "not go": Exod 34:14-16; Deut 8:19.</w:t>
      </w:r>
    </w:p>
  </w:footnote>
  <w:footnote w:id="3399">
    <w:p>
      <w:pPr>
        <w:pStyle w:val="FootnoteText"/>
      </w:pPr>
      <w:r>
        <w:rPr>
          <w:rStyle w:val="FootnoteReference"/>
        </w:rPr>
        <w:footnoteRef/>
      </w:r>
      <w:r>
        <w:t xml:space="preserve"> Cross-references for "is a jealous": Exod 20:5; Deut 4:24.</w:t>
      </w:r>
    </w:p>
  </w:footnote>
  <w:footnote w:id="3400">
    <w:p>
      <w:pPr>
        <w:pStyle w:val="FootnoteText"/>
      </w:pPr>
      <w:r>
        <w:rPr>
          <w:rStyle w:val="FootnoteReference"/>
        </w:rPr>
        <w:footnoteRef/>
      </w:r>
      <w:r>
        <w:t xml:space="preserve"> Cross-references for "that it may": Deut 4:40; Deut 5:29.</w:t>
      </w:r>
    </w:p>
  </w:footnote>
  <w:footnote w:id="3401">
    <w:p>
      <w:pPr>
        <w:pStyle w:val="FootnoteText"/>
      </w:pPr>
      <w:r>
        <w:rPr>
          <w:rStyle w:val="FootnoteReference"/>
        </w:rPr>
        <w:footnoteRef/>
      </w:r>
      <w:r>
        <w:t xml:space="preserve"> Cross-references for "We were": Deut 5:6; Deut 5:15.</w:t>
      </w:r>
    </w:p>
  </w:footnote>
  <w:footnote w:id="3402">
    <w:p>
      <w:pPr>
        <w:pStyle w:val="FootnoteText"/>
      </w:pPr>
      <w:r>
        <w:rPr>
          <w:rStyle w:val="FootnoteReference"/>
        </w:rPr>
        <w:footnoteRef/>
      </w:r>
      <w:r>
        <w:t xml:space="preserve"> Translation note: Greek gives the redemption purpose in paired out/in language. Current wording preserves it.</w:t>
      </w:r>
    </w:p>
  </w:footnote>
  <w:footnote w:id="3403">
    <w:p>
      <w:pPr>
        <w:pStyle w:val="FootnoteText"/>
      </w:pPr>
      <w:r>
        <w:rPr>
          <w:rStyle w:val="FootnoteReference"/>
        </w:rPr>
        <w:footnoteRef/>
      </w:r>
      <w:r>
        <w:t xml:space="preserve"> Cross-references for "to give us": Deut 1:8; Deut 1:35.</w:t>
      </w:r>
    </w:p>
  </w:footnote>
  <w:footnote w:id="3404">
    <w:p>
      <w:pPr>
        <w:pStyle w:val="FootnoteText"/>
      </w:pPr>
      <w:r>
        <w:rPr>
          <w:rStyle w:val="FootnoteReference"/>
        </w:rPr>
        <w:footnoteRef/>
      </w:r>
      <w:r>
        <w:t xml:space="preserve"> Cross-references for "to fear": Deut 6:2.</w:t>
      </w:r>
    </w:p>
  </w:footnote>
  <w:footnote w:id="3405">
    <w:p>
      <w:pPr>
        <w:pStyle w:val="FootnoteText"/>
      </w:pPr>
      <w:r>
        <w:rPr>
          <w:rStyle w:val="FootnoteReference"/>
        </w:rPr>
        <w:footnoteRef/>
      </w:r>
      <w:r>
        <w:t xml:space="preserve"> Cross-references for "the Lord": Exod 6:8; Exod 15:7.</w:t>
      </w:r>
    </w:p>
  </w:footnote>
  <w:footnote w:id="3406">
    <w:p>
      <w:pPr>
        <w:pStyle w:val="FootnoteText"/>
      </w:pPr>
      <w:r>
        <w:rPr>
          <w:rStyle w:val="FootnoteReference"/>
        </w:rPr>
        <w:footnoteRef/>
      </w:r>
      <w:r>
        <w:t xml:space="preserve"> Translation note: Greek gives that direct pair for the seven nations.</w:t>
      </w:r>
    </w:p>
  </w:footnote>
  <w:footnote w:id="3407">
    <w:p>
      <w:pPr>
        <w:pStyle w:val="FootnoteText"/>
      </w:pPr>
      <w:r>
        <w:rPr>
          <w:rStyle w:val="FootnoteReference"/>
        </w:rPr>
        <w:footnoteRef/>
      </w:r>
      <w:r>
        <w:t xml:space="preserve"> Cross-references for "utterly": Lev 27:28-29; Num 33:52.</w:t>
      </w:r>
    </w:p>
  </w:footnote>
  <w:footnote w:id="3408">
    <w:p>
      <w:pPr>
        <w:pStyle w:val="FootnoteText"/>
      </w:pPr>
      <w:r>
        <w:rPr>
          <w:rStyle w:val="FootnoteReference"/>
        </w:rPr>
        <w:footnoteRef/>
      </w:r>
      <w:r>
        <w:t xml:space="preserve"> Translation note: Greek uses a strong prohibition here. Current wording preserves it.</w:t>
      </w:r>
    </w:p>
  </w:footnote>
  <w:footnote w:id="3409">
    <w:p>
      <w:pPr>
        <w:pStyle w:val="FootnoteText"/>
      </w:pPr>
      <w:r>
        <w:rPr>
          <w:rStyle w:val="FootnoteReference"/>
        </w:rPr>
        <w:footnoteRef/>
      </w:r>
      <w:r>
        <w:t xml:space="preserve"> Cross-references for "images": Lev 26:1; Deut 16:22.</w:t>
      </w:r>
    </w:p>
  </w:footnote>
  <w:footnote w:id="3410">
    <w:p>
      <w:pPr>
        <w:pStyle w:val="FootnoteText"/>
      </w:pPr>
      <w:r>
        <w:rPr>
          <w:rStyle w:val="FootnoteReference"/>
        </w:rPr>
        <w:footnoteRef/>
      </w:r>
      <w:r>
        <w:t xml:space="preserve"> Cross-references for "the Lord": Ps 115:1; Rom 9:11-15.</w:t>
      </w:r>
    </w:p>
  </w:footnote>
  <w:footnote w:id="3411">
    <w:p>
      <w:pPr>
        <w:pStyle w:val="FootnoteText"/>
      </w:pPr>
      <w:r>
        <w:rPr>
          <w:rStyle w:val="FootnoteReference"/>
        </w:rPr>
        <w:footnoteRef/>
      </w:r>
      <w:r>
        <w:t xml:space="preserve"> Cross-references for "oath": Gen 22:16-18; Exod 32:13.</w:t>
      </w:r>
    </w:p>
  </w:footnote>
  <w:footnote w:id="3412">
    <w:p>
      <w:pPr>
        <w:pStyle w:val="FootnoteText"/>
      </w:pPr>
      <w:r>
        <w:rPr>
          <w:rStyle w:val="FootnoteReference"/>
        </w:rPr>
        <w:footnoteRef/>
      </w:r>
      <w:r>
        <w:t xml:space="preserve"> Translation note: Greek says high arm here. The translation keeps that idiom.</w:t>
      </w:r>
    </w:p>
  </w:footnote>
  <w:footnote w:id="3413">
    <w:p>
      <w:pPr>
        <w:pStyle w:val="FootnoteText"/>
      </w:pPr>
      <w:r>
        <w:rPr>
          <w:rStyle w:val="FootnoteReference"/>
        </w:rPr>
        <w:footnoteRef/>
      </w:r>
      <w:r>
        <w:t xml:space="preserve"> Cross-references for "a thousand": 1Chr 16:15.</w:t>
      </w:r>
    </w:p>
  </w:footnote>
  <w:footnote w:id="3414">
    <w:p>
      <w:pPr>
        <w:pStyle w:val="FootnoteText"/>
      </w:pPr>
      <w:r>
        <w:rPr>
          <w:rStyle w:val="FootnoteReference"/>
        </w:rPr>
        <w:footnoteRef/>
      </w:r>
      <w:r>
        <w:t xml:space="preserve"> Translation note: The Greek uses the covenant-and-mercy formula directly. The current wording preserves it.</w:t>
      </w:r>
    </w:p>
  </w:footnote>
  <w:footnote w:id="3415">
    <w:p>
      <w:pPr>
        <w:pStyle w:val="FootnoteText"/>
      </w:pPr>
      <w:r>
        <w:rPr>
          <w:rStyle w:val="FootnoteReference"/>
        </w:rPr>
        <w:footnoteRef/>
      </w:r>
      <w:r>
        <w:t xml:space="preserve"> Cross-references for "Lord": Deut 7:9.</w:t>
      </w:r>
    </w:p>
  </w:footnote>
  <w:footnote w:id="3416">
    <w:p>
      <w:pPr>
        <w:pStyle w:val="FootnoteText"/>
      </w:pPr>
      <w:r>
        <w:rPr>
          <w:rStyle w:val="FootnoteReference"/>
        </w:rPr>
        <w:footnoteRef/>
      </w:r>
      <w:r>
        <w:t xml:space="preserve"> Cross-references for "he will love": Exod 23:25; Deut 7:7.</w:t>
      </w:r>
    </w:p>
  </w:footnote>
  <w:footnote w:id="3417">
    <w:p>
      <w:pPr>
        <w:pStyle w:val="FootnoteText"/>
      </w:pPr>
      <w:r>
        <w:rPr>
          <w:rStyle w:val="FootnoteReference"/>
        </w:rPr>
        <w:footnoteRef/>
      </w:r>
      <w:r>
        <w:t xml:space="preserve"> Cross-references for "blessed": Deut 33:29; Ps 115:15.</w:t>
      </w:r>
    </w:p>
  </w:footnote>
  <w:footnote w:id="3418">
    <w:p>
      <w:pPr>
        <w:pStyle w:val="FootnoteText"/>
      </w:pPr>
      <w:r>
        <w:rPr>
          <w:rStyle w:val="FootnoteReference"/>
        </w:rPr>
        <w:footnoteRef/>
      </w:r>
      <w:r>
        <w:t xml:space="preserve"> Cross-references for "consume": Deut 7:2.</w:t>
      </w:r>
    </w:p>
  </w:footnote>
  <w:footnote w:id="3419">
    <w:p>
      <w:pPr>
        <w:pStyle w:val="FootnoteText"/>
      </w:pPr>
      <w:r>
        <w:rPr>
          <w:rStyle w:val="FootnoteReference"/>
        </w:rPr>
        <w:footnoteRef/>
      </w:r>
      <w:r>
        <w:t xml:space="preserve"> Cross-references for "remember": Judg 6:13; Ps 77:11.</w:t>
      </w:r>
    </w:p>
  </w:footnote>
  <w:footnote w:id="3420">
    <w:p>
      <w:pPr>
        <w:pStyle w:val="FootnoteText"/>
      </w:pPr>
      <w:r>
        <w:rPr>
          <w:rStyle w:val="FootnoteReference"/>
        </w:rPr>
        <w:footnoteRef/>
      </w:r>
      <w:r>
        <w:t xml:space="preserve"> Cross-references for "great": Deut 4:34; Deut 11:2-4.</w:t>
      </w:r>
    </w:p>
  </w:footnote>
  <w:footnote w:id="3421">
    <w:p>
      <w:pPr>
        <w:pStyle w:val="FootnoteText"/>
      </w:pPr>
      <w:r>
        <w:rPr>
          <w:rStyle w:val="FootnoteReference"/>
        </w:rPr>
        <w:footnoteRef/>
      </w:r>
      <w:r>
        <w:t xml:space="preserve"> Translation note: Greek says high arm here. Current line keeps that wording.</w:t>
      </w:r>
    </w:p>
  </w:footnote>
  <w:footnote w:id="3422">
    <w:p>
      <w:pPr>
        <w:pStyle w:val="FootnoteText"/>
      </w:pPr>
      <w:r>
        <w:rPr>
          <w:rStyle w:val="FootnoteReference"/>
        </w:rPr>
        <w:footnoteRef/>
      </w:r>
      <w:r>
        <w:t xml:space="preserve"> Cross-references for "the Lord": Num 9:20; Num 14:9.</w:t>
      </w:r>
    </w:p>
  </w:footnote>
  <w:footnote w:id="3423">
    <w:p>
      <w:pPr>
        <w:pStyle w:val="FootnoteText"/>
      </w:pPr>
      <w:r>
        <w:rPr>
          <w:rStyle w:val="FootnoteReference"/>
        </w:rPr>
        <w:footnoteRef/>
      </w:r>
      <w:r>
        <w:t xml:space="preserve"> Cross-references for "the Lord": Deut 7:2.</w:t>
      </w:r>
    </w:p>
  </w:footnote>
  <w:footnote w:id="3424">
    <w:p>
      <w:pPr>
        <w:pStyle w:val="FootnoteText"/>
      </w:pPr>
      <w:r>
        <w:rPr>
          <w:rStyle w:val="FootnoteReference"/>
        </w:rPr>
        <w:footnoteRef/>
      </w:r>
      <w:r>
        <w:t xml:space="preserve"> Cross-references for "their name": Exod 17:14; Deut 9:14.</w:t>
      </w:r>
    </w:p>
  </w:footnote>
  <w:footnote w:id="3425">
    <w:p>
      <w:pPr>
        <w:pStyle w:val="FootnoteText"/>
      </w:pPr>
      <w:r>
        <w:rPr>
          <w:rStyle w:val="FootnoteReference"/>
        </w:rPr>
        <w:footnoteRef/>
      </w:r>
      <w:r>
        <w:t xml:space="preserve"> Cross-references for "an abomination": Deut 17:1; Deut 23:18.</w:t>
      </w:r>
    </w:p>
  </w:footnote>
  <w:footnote w:id="3426">
    <w:p>
      <w:pPr>
        <w:pStyle w:val="FootnoteText"/>
      </w:pPr>
      <w:r>
        <w:rPr>
          <w:rStyle w:val="FootnoteReference"/>
        </w:rPr>
        <w:footnoteRef/>
      </w:r>
      <w:r>
        <w:t xml:space="preserve"> Cross-references for "remember": Deut 7:18; Ps 77:11.</w:t>
      </w:r>
    </w:p>
  </w:footnote>
  <w:footnote w:id="3427">
    <w:p>
      <w:pPr>
        <w:pStyle w:val="FootnoteText"/>
      </w:pPr>
      <w:r>
        <w:rPr>
          <w:rStyle w:val="FootnoteReference"/>
        </w:rPr>
        <w:footnoteRef/>
      </w:r>
      <w:r>
        <w:t xml:space="preserve"> Translation note: Greek frames the test so that what is in the heart might become manifest. The translation keeps that structure.</w:t>
      </w:r>
    </w:p>
  </w:footnote>
  <w:footnote w:id="3428">
    <w:p>
      <w:pPr>
        <w:pStyle w:val="FootnoteText"/>
      </w:pPr>
      <w:r>
        <w:rPr>
          <w:rStyle w:val="FootnoteReference"/>
        </w:rPr>
        <w:footnoteRef/>
      </w:r>
      <w:r>
        <w:t xml:space="preserve"> Translation note: Greek says tell/announce here.</w:t>
      </w:r>
    </w:p>
  </w:footnote>
  <w:footnote w:id="3429">
    <w:p>
      <w:pPr>
        <w:pStyle w:val="FootnoteText"/>
      </w:pPr>
      <w:r>
        <w:rPr>
          <w:rStyle w:val="FootnoteReference"/>
        </w:rPr>
        <w:footnoteRef/>
      </w:r>
      <w:r>
        <w:t xml:space="preserve"> Cross-references for "walk": Exod 18:20; Deut 5:33.</w:t>
      </w:r>
    </w:p>
  </w:footnote>
  <w:footnote w:id="3430">
    <w:p>
      <w:pPr>
        <w:pStyle w:val="FootnoteText"/>
      </w:pPr>
      <w:r>
        <w:rPr>
          <w:rStyle w:val="FootnoteReference"/>
        </w:rPr>
        <w:footnoteRef/>
      </w:r>
      <w:r>
        <w:t xml:space="preserve"> Cross-references for "wheat": Deut 32:14; 2Sam 4:6.</w:t>
      </w:r>
    </w:p>
  </w:footnote>
  <w:footnote w:id="3431">
    <w:p>
      <w:pPr>
        <w:pStyle w:val="FootnoteText"/>
      </w:pPr>
      <w:r>
        <w:rPr>
          <w:rStyle w:val="FootnoteReference"/>
        </w:rPr>
        <w:footnoteRef/>
      </w:r>
      <w:r>
        <w:t xml:space="preserve"> Cross-references for "whose stones": Deut 33:25; Josh 22:8.</w:t>
      </w:r>
    </w:p>
  </w:footnote>
  <w:footnote w:id="3432">
    <w:p>
      <w:pPr>
        <w:pStyle w:val="FootnoteText"/>
      </w:pPr>
      <w:r>
        <w:rPr>
          <w:rStyle w:val="FootnoteReference"/>
        </w:rPr>
        <w:footnoteRef/>
      </w:r>
      <w:r>
        <w:t xml:space="preserve"> Translation note: Greek pairs lifted-up heart with forgetting the Lord. Current wording preserves that warning sequence.</w:t>
      </w:r>
    </w:p>
  </w:footnote>
  <w:footnote w:id="3433">
    <w:p>
      <w:pPr>
        <w:pStyle w:val="FootnoteText"/>
      </w:pPr>
      <w:r>
        <w:rPr>
          <w:rStyle w:val="FootnoteReference"/>
        </w:rPr>
        <w:footnoteRef/>
      </w:r>
      <w:r>
        <w:t xml:space="preserve"> Cross-references for "who brought": Exod 17:5; Num 20:11.</w:t>
      </w:r>
    </w:p>
  </w:footnote>
  <w:footnote w:id="3434">
    <w:p>
      <w:pPr>
        <w:pStyle w:val="FootnoteText"/>
      </w:pPr>
      <w:r>
        <w:rPr>
          <w:rStyle w:val="FootnoteReference"/>
        </w:rPr>
        <w:footnoteRef/>
      </w:r>
      <w:r>
        <w:t xml:space="preserve"> Cross-references for "he might": Deut 8:2.</w:t>
      </w:r>
    </w:p>
  </w:footnote>
  <w:footnote w:id="3435">
    <w:p>
      <w:pPr>
        <w:pStyle w:val="FootnoteText"/>
      </w:pPr>
      <w:r>
        <w:rPr>
          <w:rStyle w:val="FootnoteReference"/>
        </w:rPr>
        <w:footnoteRef/>
      </w:r>
      <w:r>
        <w:t xml:space="preserve"> Cross-references for "that he may": Deut 7:8; Deut 7:12.</w:t>
      </w:r>
    </w:p>
  </w:footnote>
  <w:footnote w:id="3436">
    <w:p>
      <w:pPr>
        <w:pStyle w:val="FootnoteText"/>
      </w:pPr>
      <w:r>
        <w:rPr>
          <w:rStyle w:val="FootnoteReference"/>
        </w:rPr>
        <w:footnoteRef/>
      </w:r>
      <w:r>
        <w:t xml:space="preserve"> Cross-references for "nations": Deut 4:38; Deut 7:1.</w:t>
      </w:r>
    </w:p>
  </w:footnote>
  <w:footnote w:id="3437">
    <w:p>
      <w:pPr>
        <w:pStyle w:val="FootnoteText"/>
      </w:pPr>
      <w:r>
        <w:rPr>
          <w:rStyle w:val="FootnoteReference"/>
        </w:rPr>
        <w:footnoteRef/>
      </w:r>
      <w:r>
        <w:t xml:space="preserve"> Cross-references for "great": Deut 2:11-12; Deut 2:21.</w:t>
      </w:r>
    </w:p>
  </w:footnote>
  <w:footnote w:id="3438">
    <w:p>
      <w:pPr>
        <w:pStyle w:val="FootnoteText"/>
      </w:pPr>
      <w:r>
        <w:rPr>
          <w:rStyle w:val="FootnoteReference"/>
        </w:rPr>
        <w:footnoteRef/>
      </w:r>
      <w:r>
        <w:t xml:space="preserve"> Cross-references for "a consuming fire": Deut 4:24; Isa 27:4.</w:t>
      </w:r>
    </w:p>
  </w:footnote>
  <w:footnote w:id="3439">
    <w:p>
      <w:pPr>
        <w:pStyle w:val="FootnoteText"/>
      </w:pPr>
      <w:r>
        <w:rPr>
          <w:rStyle w:val="FootnoteReference"/>
        </w:rPr>
        <w:footnoteRef/>
      </w:r>
      <w:r>
        <w:t xml:space="preserve"> Translation note: Greek uses turn-back language here rather than simply bring them down.</w:t>
      </w:r>
    </w:p>
  </w:footnote>
  <w:footnote w:id="3440">
    <w:p>
      <w:pPr>
        <w:pStyle w:val="FootnoteText"/>
      </w:pPr>
      <w:r>
        <w:rPr>
          <w:rStyle w:val="FootnoteReference"/>
        </w:rPr>
        <w:footnoteRef/>
      </w:r>
      <w:r>
        <w:t xml:space="preserve"> Translation note: Greek opens with the say-in-your-heart warning formula. Current wording preserves it.</w:t>
      </w:r>
    </w:p>
  </w:footnote>
  <w:footnote w:id="3441">
    <w:p>
      <w:pPr>
        <w:pStyle w:val="FootnoteText"/>
      </w:pPr>
      <w:r>
        <w:rPr>
          <w:rStyle w:val="FootnoteReference"/>
        </w:rPr>
        <w:footnoteRef/>
      </w:r>
      <w:r>
        <w:t xml:space="preserve"> Translation note: Greek says holiness of your heart and establish his covenant.</w:t>
      </w:r>
    </w:p>
  </w:footnote>
  <w:footnote w:id="3442">
    <w:p>
      <w:pPr>
        <w:pStyle w:val="FootnoteText"/>
      </w:pPr>
      <w:r>
        <w:rPr>
          <w:rStyle w:val="FootnoteReference"/>
        </w:rPr>
        <w:footnoteRef/>
      </w:r>
      <w:r>
        <w:t xml:space="preserve"> Cross-references for "that he may": Gen 12:7; Gen 13:15.</w:t>
      </w:r>
    </w:p>
  </w:footnote>
  <w:footnote w:id="3443">
    <w:p>
      <w:pPr>
        <w:pStyle w:val="FootnoteText"/>
      </w:pPr>
      <w:r>
        <w:rPr>
          <w:rStyle w:val="FootnoteReference"/>
        </w:rPr>
        <w:footnoteRef/>
      </w:r>
      <w:r>
        <w:t xml:space="preserve"> Cross-references for "Remember": Deut 8:2; Ezek 16:61-63.</w:t>
      </w:r>
    </w:p>
  </w:footnote>
  <w:footnote w:id="3444">
    <w:p>
      <w:pPr>
        <w:pStyle w:val="FootnoteText"/>
      </w:pPr>
      <w:r>
        <w:rPr>
          <w:rStyle w:val="FootnoteReference"/>
        </w:rPr>
        <w:footnoteRef/>
      </w:r>
      <w:r>
        <w:t xml:space="preserve"> Translation note: Greek phrases rebellion as disobedience toward Lord.</w:t>
      </w:r>
    </w:p>
  </w:footnote>
  <w:footnote w:id="3445">
    <w:p>
      <w:pPr>
        <w:pStyle w:val="FootnoteText"/>
      </w:pPr>
      <w:r>
        <w:rPr>
          <w:rStyle w:val="FootnoteReference"/>
        </w:rPr>
        <w:footnoteRef/>
      </w:r>
      <w:r>
        <w:t xml:space="preserve"> Translation note: Greek keeps verbal echo here.</w:t>
      </w:r>
    </w:p>
  </w:footnote>
  <w:footnote w:id="3446">
    <w:p>
      <w:pPr>
        <w:pStyle w:val="FootnoteText"/>
      </w:pPr>
      <w:r>
        <w:rPr>
          <w:rStyle w:val="FootnoteReference"/>
        </w:rPr>
        <w:footnoteRef/>
      </w:r>
      <w:r>
        <w:t xml:space="preserve"> Cross-references for "the Lord": Exod 31:18.</w:t>
      </w:r>
    </w:p>
  </w:footnote>
  <w:footnote w:id="3447">
    <w:p>
      <w:pPr>
        <w:pStyle w:val="FootnoteText"/>
      </w:pPr>
      <w:r>
        <w:rPr>
          <w:rStyle w:val="FootnoteReference"/>
        </w:rPr>
        <w:footnoteRef/>
      </w:r>
      <w:r>
        <w:t xml:space="preserve"> Translation note: Greek says on mountain in day of assembly.</w:t>
      </w:r>
    </w:p>
  </w:footnote>
  <w:footnote w:id="3448">
    <w:p>
      <w:pPr>
        <w:pStyle w:val="FootnoteText"/>
      </w:pPr>
      <w:r>
        <w:rPr>
          <w:rStyle w:val="FootnoteReference"/>
        </w:rPr>
        <w:footnoteRef/>
      </w:r>
      <w:r>
        <w:t xml:space="preserve"> Translation note: Greek says acted lawlessly here. Current line keeps that wording.</w:t>
      </w:r>
    </w:p>
  </w:footnote>
  <w:footnote w:id="3449">
    <w:p>
      <w:pPr>
        <w:pStyle w:val="FootnoteText"/>
      </w:pPr>
      <w:r>
        <w:rPr>
          <w:rStyle w:val="FootnoteReference"/>
        </w:rPr>
        <w:footnoteRef/>
      </w:r>
      <w:r>
        <w:t xml:space="preserve"> Cross-references for "Let me": Exod 32:10-13; Isa 62:6-7.</w:t>
      </w:r>
    </w:p>
  </w:footnote>
  <w:footnote w:id="3450">
    <w:p>
      <w:pPr>
        <w:pStyle w:val="FootnoteText"/>
      </w:pPr>
      <w:r>
        <w:rPr>
          <w:rStyle w:val="FootnoteReference"/>
        </w:rPr>
        <w:footnoteRef/>
      </w:r>
      <w:r>
        <w:t xml:space="preserve"> Translation note: Greek says I pleaded or made petition before the Lord the second time.</w:t>
      </w:r>
    </w:p>
  </w:footnote>
  <w:footnote w:id="3451">
    <w:p>
      <w:pPr>
        <w:pStyle w:val="FootnoteText"/>
      </w:pPr>
      <w:r>
        <w:rPr>
          <w:rStyle w:val="FootnoteReference"/>
        </w:rPr>
        <w:footnoteRef/>
      </w:r>
      <w:r>
        <w:t xml:space="preserve"> Cross-references for "I took": Exod 32:20; Isa 2:18-21.</w:t>
      </w:r>
    </w:p>
  </w:footnote>
  <w:footnote w:id="3452">
    <w:p>
      <w:pPr>
        <w:pStyle w:val="FootnoteText"/>
      </w:pPr>
      <w:r>
        <w:rPr>
          <w:rStyle w:val="FootnoteReference"/>
        </w:rPr>
        <w:footnoteRef/>
      </w:r>
      <w:r>
        <w:t xml:space="preserve"> Translation note: Greek says it became fine and like dust.</w:t>
      </w:r>
    </w:p>
  </w:footnote>
  <w:footnote w:id="3453">
    <w:p>
      <w:pPr>
        <w:pStyle w:val="FootnoteText"/>
      </w:pPr>
      <w:r>
        <w:rPr>
          <w:rStyle w:val="FootnoteReference"/>
        </w:rPr>
        <w:footnoteRef/>
      </w:r>
      <w:r>
        <w:t xml:space="preserve"> Translation note: Greek uses the straightforward negative of believing. The fresh line keeps that explicit faith-language.</w:t>
      </w:r>
    </w:p>
  </w:footnote>
  <w:footnote w:id="3454">
    <w:p>
      <w:pPr>
        <w:pStyle w:val="FootnoteText"/>
      </w:pPr>
      <w:r>
        <w:rPr>
          <w:rStyle w:val="FootnoteReference"/>
        </w:rPr>
        <w:footnoteRef/>
      </w:r>
      <w:r>
        <w:t xml:space="preserve"> Cross-references for "prayed": Exod 32:11-13; Exod 34:9.</w:t>
      </w:r>
    </w:p>
  </w:footnote>
  <w:footnote w:id="3455">
    <w:p>
      <w:pPr>
        <w:pStyle w:val="FootnoteText"/>
      </w:pPr>
      <w:r>
        <w:rPr>
          <w:rStyle w:val="FootnoteReference"/>
        </w:rPr>
        <w:footnoteRef/>
      </w:r>
      <w:r>
        <w:t xml:space="preserve"> Translation note: Greek says King of the gods here.</w:t>
      </w:r>
    </w:p>
  </w:footnote>
  <w:footnote w:id="3456">
    <w:p>
      <w:pPr>
        <w:pStyle w:val="FootnoteText"/>
      </w:pPr>
      <w:r>
        <w:rPr>
          <w:rStyle w:val="FootnoteReference"/>
        </w:rPr>
        <w:footnoteRef/>
      </w:r>
      <w:r>
        <w:t xml:space="preserve"> Cross-references for "Remember": Exod 3:6; Exod 3:16.</w:t>
      </w:r>
    </w:p>
  </w:footnote>
  <w:footnote w:id="3457">
    <w:p>
      <w:pPr>
        <w:pStyle w:val="FootnoteText"/>
      </w:pPr>
      <w:r>
        <w:rPr>
          <w:rStyle w:val="FootnoteReference"/>
        </w:rPr>
        <w:footnoteRef/>
      </w:r>
      <w:r>
        <w:t xml:space="preserve"> Translation note: Greek repeats because and because here.</w:t>
      </w:r>
    </w:p>
  </w:footnote>
  <w:footnote w:id="3458">
    <w:p>
      <w:pPr>
        <w:pStyle w:val="FootnoteText"/>
      </w:pPr>
      <w:r>
        <w:rPr>
          <w:rStyle w:val="FootnoteReference"/>
        </w:rPr>
        <w:footnoteRef/>
      </w:r>
      <w:r>
        <w:t xml:space="preserve"> Cross-references for "I made": Exod 25:5; Exod 25:10.</w:t>
      </w:r>
    </w:p>
  </w:footnote>
  <w:footnote w:id="3459">
    <w:p>
      <w:pPr>
        <w:pStyle w:val="FootnoteText"/>
      </w:pPr>
      <w:r>
        <w:rPr>
          <w:rStyle w:val="FootnoteReference"/>
        </w:rPr>
        <w:footnoteRef/>
      </w:r>
      <w:r>
        <w:t xml:space="preserve"> Cross-references for "he wrote": Exod 34:28; Deut 9:10.</w:t>
      </w:r>
    </w:p>
  </w:footnote>
  <w:footnote w:id="3460">
    <w:p>
      <w:pPr>
        <w:pStyle w:val="FootnoteText"/>
      </w:pPr>
      <w:r>
        <w:rPr>
          <w:rStyle w:val="FootnoteReference"/>
        </w:rPr>
        <w:footnoteRef/>
      </w:r>
      <w:r>
        <w:t xml:space="preserve"> Cross-references for "put the": Exod 25:16; Exod 40:20.</w:t>
      </w:r>
    </w:p>
  </w:footnote>
  <w:footnote w:id="3461">
    <w:p>
      <w:pPr>
        <w:pStyle w:val="FootnoteText"/>
      </w:pPr>
      <w:r>
        <w:rPr>
          <w:rStyle w:val="FootnoteReference"/>
        </w:rPr>
        <w:footnoteRef/>
      </w:r>
      <w:r>
        <w:t xml:space="preserve"> Place name: Beeroth. Place-name meaning: Beeroth — wells; explaining. Source form: Beeroth. Greek form: βηρωθ.</w:t>
      </w:r>
    </w:p>
  </w:footnote>
  <w:footnote w:id="3462">
    <w:p>
      <w:pPr>
        <w:pStyle w:val="FootnoteText"/>
      </w:pPr>
      <w:r>
        <w:rPr>
          <w:rStyle w:val="FootnoteReference"/>
        </w:rPr>
        <w:footnoteRef/>
      </w:r>
      <w:r>
        <w:t xml:space="preserve"> Transliterated proper noun: Jaakan. Standard English equivalent: Jaakan. Source form: Jaakan. Greek form: ιακιμ. Name meaning: tribulation; labor.</w:t>
      </w:r>
    </w:p>
  </w:footnote>
  <w:footnote w:id="3463">
    <w:p>
      <w:pPr>
        <w:pStyle w:val="FootnoteText"/>
      </w:pPr>
      <w:r>
        <w:rPr>
          <w:rStyle w:val="FootnoteReference"/>
        </w:rPr>
        <w:footnoteRef/>
      </w:r>
      <w:r>
        <w:t xml:space="preserve"> Cross-references for "Mosera": Num 33:30-33.</w:t>
      </w:r>
    </w:p>
  </w:footnote>
  <w:footnote w:id="3464">
    <w:p>
      <w:pPr>
        <w:pStyle w:val="FootnoteText"/>
      </w:pPr>
      <w:r>
        <w:rPr>
          <w:rStyle w:val="FootnoteReference"/>
        </w:rPr>
        <w:footnoteRef/>
      </w:r>
      <w:r>
        <w:t xml:space="preserve"> Cross-references for "time the Lord": Exod 29:1-37; Lev 8:9.</w:t>
      </w:r>
    </w:p>
  </w:footnote>
  <w:footnote w:id="3465">
    <w:p>
      <w:pPr>
        <w:pStyle w:val="FootnoteText"/>
      </w:pPr>
      <w:r>
        <w:rPr>
          <w:rStyle w:val="FootnoteReference"/>
        </w:rPr>
        <w:footnoteRef/>
      </w:r>
      <w:r>
        <w:t xml:space="preserve"> Cross-references for "fear": Deut 6:13; Ps 34:9.</w:t>
      </w:r>
    </w:p>
  </w:footnote>
  <w:footnote w:id="3466">
    <w:p>
      <w:pPr>
        <w:pStyle w:val="FootnoteText"/>
      </w:pPr>
      <w:r>
        <w:rPr>
          <w:rStyle w:val="FootnoteReference"/>
        </w:rPr>
        <w:footnoteRef/>
      </w:r>
      <w:r>
        <w:t xml:space="preserve"> Cross-references for "the heaven": 1Kgs 8:27; 2Chr 6:18.</w:t>
      </w:r>
    </w:p>
  </w:footnote>
  <w:footnote w:id="3467">
    <w:p>
      <w:pPr>
        <w:pStyle w:val="FootnoteText"/>
      </w:pPr>
      <w:r>
        <w:rPr>
          <w:rStyle w:val="FootnoteReference"/>
        </w:rPr>
        <w:footnoteRef/>
      </w:r>
      <w:r>
        <w:t xml:space="preserve"> Cross-references for "circumcise": Lev 26:41; Deut 30:6.</w:t>
      </w:r>
    </w:p>
  </w:footnote>
  <w:footnote w:id="3468">
    <w:p>
      <w:pPr>
        <w:pStyle w:val="FootnoteText"/>
      </w:pPr>
      <w:r>
        <w:rPr>
          <w:rStyle w:val="FootnoteReference"/>
        </w:rPr>
        <w:footnoteRef/>
      </w:r>
      <w:r>
        <w:t xml:space="preserve"> Cross-references for "God of gods": Josh 22:22; 1Chr 16:25-26.</w:t>
      </w:r>
    </w:p>
  </w:footnote>
  <w:footnote w:id="3469">
    <w:p>
      <w:pPr>
        <w:pStyle w:val="FootnoteText"/>
      </w:pPr>
      <w:r>
        <w:rPr>
          <w:rStyle w:val="FootnoteReference"/>
        </w:rPr>
        <w:footnoteRef/>
      </w:r>
      <w:r>
        <w:t xml:space="preserve"> Cross-references for "fear": Deut 6:13; Deut 13:4.</w:t>
      </w:r>
    </w:p>
  </w:footnote>
  <w:footnote w:id="3470">
    <w:p>
      <w:pPr>
        <w:pStyle w:val="FootnoteText"/>
      </w:pPr>
      <w:r>
        <w:rPr>
          <w:rStyle w:val="FootnoteReference"/>
        </w:rPr>
        <w:footnoteRef/>
      </w:r>
      <w:r>
        <w:t xml:space="preserve"> Cross-references for "keep": Lev 8:35; Zech 3:7.</w:t>
      </w:r>
    </w:p>
  </w:footnote>
  <w:footnote w:id="3471">
    <w:p>
      <w:pPr>
        <w:pStyle w:val="FootnoteText"/>
      </w:pPr>
      <w:r>
        <w:rPr>
          <w:rStyle w:val="FootnoteReference"/>
        </w:rPr>
        <w:footnoteRef/>
      </w:r>
      <w:r>
        <w:t xml:space="preserve"> Cross-references for "And know": Deut 8:19; Deut 29:10.</w:t>
      </w:r>
    </w:p>
  </w:footnote>
  <w:footnote w:id="3472">
    <w:p>
      <w:pPr>
        <w:pStyle w:val="FootnoteText"/>
      </w:pPr>
      <w:r>
        <w:rPr>
          <w:rStyle w:val="FootnoteReference"/>
        </w:rPr>
        <w:footnoteRef/>
      </w:r>
      <w:r>
        <w:t xml:space="preserve"> Translation note: Greek says he flooded water of Red Sea over their face.</w:t>
      </w:r>
    </w:p>
  </w:footnote>
  <w:footnote w:id="3473">
    <w:p>
      <w:pPr>
        <w:pStyle w:val="FootnoteText"/>
      </w:pPr>
      <w:r>
        <w:rPr>
          <w:rStyle w:val="FootnoteReference"/>
        </w:rPr>
        <w:footnoteRef/>
      </w:r>
      <w:r>
        <w:t xml:space="preserve"> Cross-references for "a land": Exod 3:8; Ezek 20:6.</w:t>
      </w:r>
    </w:p>
  </w:footnote>
  <w:footnote w:id="3474">
    <w:p>
      <w:pPr>
        <w:pStyle w:val="FootnoteText"/>
      </w:pPr>
      <w:r>
        <w:rPr>
          <w:rStyle w:val="FootnoteReference"/>
        </w:rPr>
        <w:footnoteRef/>
      </w:r>
      <w:r>
        <w:t xml:space="preserve"> Cross-references for "The eyes": 1Kgs 9:3; Ezra 5:5.</w:t>
      </w:r>
    </w:p>
  </w:footnote>
  <w:footnote w:id="3475">
    <w:p>
      <w:pPr>
        <w:pStyle w:val="FootnoteText"/>
      </w:pPr>
      <w:r>
        <w:rPr>
          <w:rStyle w:val="FootnoteReference"/>
        </w:rPr>
        <w:footnoteRef/>
      </w:r>
      <w:r>
        <w:t xml:space="preserve"> Cross-references for "to love": Deut 4:29; Deut 6:5-6.</w:t>
      </w:r>
    </w:p>
  </w:footnote>
  <w:footnote w:id="3476">
    <w:p>
      <w:pPr>
        <w:pStyle w:val="FootnoteText"/>
      </w:pPr>
      <w:r>
        <w:rPr>
          <w:rStyle w:val="FootnoteReference"/>
        </w:rPr>
        <w:footnoteRef/>
      </w:r>
      <w:r>
        <w:t xml:space="preserve"> Cross-references for "your heart": Deut 13:3; Deut 29:18.</w:t>
      </w:r>
    </w:p>
  </w:footnote>
  <w:footnote w:id="3477">
    <w:p>
      <w:pPr>
        <w:pStyle w:val="FootnoteText"/>
      </w:pPr>
      <w:r>
        <w:rPr>
          <w:rStyle w:val="FootnoteReference"/>
        </w:rPr>
        <w:footnoteRef/>
      </w:r>
      <w:r>
        <w:t xml:space="preserve"> Cross-references for "shut up": Deut 28:23-24; 1Kgs 8:35.</w:t>
      </w:r>
    </w:p>
  </w:footnote>
  <w:footnote w:id="3478">
    <w:p>
      <w:pPr>
        <w:pStyle w:val="FootnoteText"/>
      </w:pPr>
      <w:r>
        <w:rPr>
          <w:rStyle w:val="FootnoteReference"/>
        </w:rPr>
        <w:footnoteRef/>
      </w:r>
      <w:r>
        <w:t xml:space="preserve"> Cross-references for "a sign": Matt 23:5.</w:t>
      </w:r>
    </w:p>
  </w:footnote>
  <w:footnote w:id="3479">
    <w:p>
      <w:pPr>
        <w:pStyle w:val="FootnoteText"/>
      </w:pPr>
      <w:r>
        <w:rPr>
          <w:rStyle w:val="FootnoteReference"/>
        </w:rPr>
        <w:footnoteRef/>
      </w:r>
      <w:r>
        <w:t xml:space="preserve"> Cross-references for "your days": Deut 4:40; Deut 5:16.</w:t>
      </w:r>
    </w:p>
  </w:footnote>
  <w:footnote w:id="3480">
    <w:p>
      <w:pPr>
        <w:pStyle w:val="FootnoteText"/>
      </w:pPr>
      <w:r>
        <w:rPr>
          <w:rStyle w:val="FootnoteReference"/>
        </w:rPr>
        <w:footnoteRef/>
      </w:r>
      <w:r>
        <w:t xml:space="preserve"> Cross-references for "to love": Deut 11:13; Matt 22:37.</w:t>
      </w:r>
    </w:p>
  </w:footnote>
  <w:footnote w:id="3481">
    <w:p>
      <w:pPr>
        <w:pStyle w:val="FootnoteText"/>
      </w:pPr>
      <w:r>
        <w:rPr>
          <w:rStyle w:val="FootnoteReference"/>
        </w:rPr>
        <w:footnoteRef/>
      </w:r>
      <w:r>
        <w:t xml:space="preserve"> Place name: Gerizim. Place-name meaning: Gerizim — cutters, hatchets. Source form: Gerizim. Greek form: γαριζιν.</w:t>
      </w:r>
    </w:p>
  </w:footnote>
  <w:footnote w:id="3482">
    <w:p>
      <w:pPr>
        <w:pStyle w:val="FootnoteText"/>
      </w:pPr>
      <w:r>
        <w:rPr>
          <w:rStyle w:val="FootnoteReference"/>
        </w:rPr>
        <w:footnoteRef/>
      </w:r>
      <w:r>
        <w:t xml:space="preserve"> Translation note: The Greek uses the blessing-curse mountain formula directly. The current wording preserves it.</w:t>
      </w:r>
    </w:p>
  </w:footnote>
  <w:footnote w:id="3483">
    <w:p>
      <w:pPr>
        <w:pStyle w:val="FootnoteText"/>
      </w:pPr>
      <w:r>
        <w:rPr>
          <w:rStyle w:val="FootnoteReference"/>
        </w:rPr>
        <w:footnoteRef/>
      </w:r>
      <w:r>
        <w:t xml:space="preserve"> Cross-references for "all the days": Deut 4:19; Deut 12:19.</w:t>
      </w:r>
    </w:p>
  </w:footnote>
  <w:footnote w:id="3484">
    <w:p>
      <w:pPr>
        <w:pStyle w:val="FootnoteText"/>
      </w:pPr>
      <w:r>
        <w:rPr>
          <w:rStyle w:val="FootnoteReference"/>
        </w:rPr>
        <w:footnoteRef/>
      </w:r>
      <w:r>
        <w:t xml:space="preserve"> Translation note: Greek uses a stronger tear-down verb here. Current line keeps it.</w:t>
      </w:r>
    </w:p>
  </w:footnote>
  <w:footnote w:id="3485">
    <w:p>
      <w:pPr>
        <w:pStyle w:val="FootnoteText"/>
      </w:pPr>
      <w:r>
        <w:rPr>
          <w:rStyle w:val="FootnoteReference"/>
        </w:rPr>
        <w:footnoteRef/>
      </w:r>
      <w:r>
        <w:t xml:space="preserve"> Translation note: Greek row here has firstfruits in list.</w:t>
      </w:r>
    </w:p>
  </w:footnote>
  <w:footnote w:id="3486">
    <w:p>
      <w:pPr>
        <w:pStyle w:val="FootnoteText"/>
      </w:pPr>
      <w:r>
        <w:rPr>
          <w:rStyle w:val="FootnoteReference"/>
        </w:rPr>
        <w:footnoteRef/>
      </w:r>
      <w:r>
        <w:t xml:space="preserve"> Translation note: The Greek uses the established name-there formula here. The current wording keeps that formula consistent.</w:t>
      </w:r>
    </w:p>
  </w:footnote>
  <w:footnote w:id="3487">
    <w:p>
      <w:pPr>
        <w:pStyle w:val="FootnoteText"/>
      </w:pPr>
      <w:r>
        <w:rPr>
          <w:rStyle w:val="FootnoteReference"/>
        </w:rPr>
        <w:footnoteRef/>
      </w:r>
      <w:r>
        <w:t xml:space="preserve"> Translation note: Greek again uses the called-name phrase, and the translation keeps it consistent rather than shifting to the familiar dwell-name wording.</w:t>
      </w:r>
    </w:p>
  </w:footnote>
  <w:footnote w:id="3488">
    <w:p>
      <w:pPr>
        <w:pStyle w:val="FootnoteText"/>
      </w:pPr>
      <w:r>
        <w:rPr>
          <w:rStyle w:val="FootnoteReference"/>
        </w:rPr>
        <w:footnoteRef/>
      </w:r>
      <w:r>
        <w:t xml:space="preserve"> Cross-references for "the Levite": Deut 12:19; Deut 14:27.</w:t>
      </w:r>
    </w:p>
  </w:footnote>
  <w:footnote w:id="3489">
    <w:p>
      <w:pPr>
        <w:pStyle w:val="FootnoteText"/>
      </w:pPr>
      <w:r>
        <w:rPr>
          <w:rStyle w:val="FootnoteReference"/>
        </w:rPr>
        <w:footnoteRef/>
      </w:r>
      <w:r>
        <w:t xml:space="preserve"> Translation note: Greek states the Levite's lack of portion or inheritance directly. Current wording preserves that support rationale.</w:t>
      </w:r>
    </w:p>
  </w:footnote>
  <w:footnote w:id="3490">
    <w:p>
      <w:pPr>
        <w:pStyle w:val="FootnoteText"/>
      </w:pPr>
      <w:r>
        <w:rPr>
          <w:rStyle w:val="FootnoteReference"/>
        </w:rPr>
        <w:footnoteRef/>
      </w:r>
      <w:r>
        <w:t xml:space="preserve"> Translation note: Greek opens with a watch-yourself warning. Current wording preserves that cautionary form.</w:t>
      </w:r>
    </w:p>
  </w:footnote>
  <w:footnote w:id="3491">
    <w:p>
      <w:pPr>
        <w:pStyle w:val="FootnoteText"/>
      </w:pPr>
      <w:r>
        <w:rPr>
          <w:rStyle w:val="FootnoteReference"/>
        </w:rPr>
        <w:footnoteRef/>
      </w:r>
      <w:r>
        <w:t xml:space="preserve"> Translation note: Greek says according to all your desire and gazelle or deer.</w:t>
      </w:r>
    </w:p>
  </w:footnote>
  <w:footnote w:id="3492">
    <w:p>
      <w:pPr>
        <w:pStyle w:val="FootnoteText"/>
      </w:pPr>
      <w:r>
        <w:rPr>
          <w:rStyle w:val="FootnoteReference"/>
        </w:rPr>
        <w:footnoteRef/>
      </w:r>
      <w:r>
        <w:t xml:space="preserve"> Cross-references for "The unclean": Lev 17:3-5; Deut 12:21-22.</w:t>
      </w:r>
    </w:p>
  </w:footnote>
  <w:footnote w:id="3493">
    <w:p>
      <w:pPr>
        <w:pStyle w:val="FootnoteText"/>
      </w:pPr>
      <w:r>
        <w:rPr>
          <w:rStyle w:val="FootnoteReference"/>
        </w:rPr>
        <w:footnoteRef/>
      </w:r>
      <w:r>
        <w:t xml:space="preserve"> Cross-references for "the tithe": Lev 27:30-32; Num 18:21-24.</w:t>
      </w:r>
    </w:p>
  </w:footnote>
  <w:footnote w:id="3494">
    <w:p>
      <w:pPr>
        <w:pStyle w:val="FootnoteText"/>
      </w:pPr>
      <w:r>
        <w:rPr>
          <w:rStyle w:val="FootnoteReference"/>
        </w:rPr>
        <w:footnoteRef/>
      </w:r>
      <w:r>
        <w:t xml:space="preserve"> Translation note: Greek says confessions and firstfruits of your hands.</w:t>
      </w:r>
    </w:p>
  </w:footnote>
  <w:footnote w:id="3495">
    <w:p>
      <w:pPr>
        <w:pStyle w:val="FootnoteText"/>
      </w:pPr>
      <w:r>
        <w:rPr>
          <w:rStyle w:val="FootnoteReference"/>
        </w:rPr>
        <w:footnoteRef/>
      </w:r>
      <w:r>
        <w:t xml:space="preserve"> Cross-references for "rejoice": Deut 12:7; Ps 32:11.</w:t>
      </w:r>
    </w:p>
  </w:footnote>
  <w:footnote w:id="3496">
    <w:p>
      <w:pPr>
        <w:pStyle w:val="FootnoteText"/>
      </w:pPr>
      <w:r>
        <w:rPr>
          <w:rStyle w:val="FootnoteReference"/>
        </w:rPr>
        <w:footnoteRef/>
      </w:r>
      <w:r>
        <w:t xml:space="preserve"> Translation note: Greek uses hand-idiom here. Current line keeps it close.</w:t>
      </w:r>
    </w:p>
  </w:footnote>
  <w:footnote w:id="3497">
    <w:p>
      <w:pPr>
        <w:pStyle w:val="FootnoteText"/>
      </w:pPr>
      <w:r>
        <w:rPr>
          <w:rStyle w:val="FootnoteReference"/>
        </w:rPr>
        <w:footnoteRef/>
      </w:r>
      <w:r>
        <w:t xml:space="preserve"> MT/LXX note: Greek keeps the divine-name formula in a called-there shape. English LXX witnesses support leaving that LXX wording visible rather than smoothing it to a more familiar MT formula.</w:t>
      </w:r>
    </w:p>
  </w:footnote>
  <w:footnote w:id="3498">
    <w:p>
      <w:pPr>
        <w:pStyle w:val="FootnoteText"/>
      </w:pPr>
      <w:r>
        <w:rPr>
          <w:rStyle w:val="FootnoteReference"/>
        </w:rPr>
        <w:footnoteRef/>
      </w:r>
      <w:r>
        <w:t xml:space="preserve"> Translation note: This is one of several Deuteronomy verses where the Greek uses a called-name formula. The translation keeps that repeated wording consistent across the cluster.</w:t>
      </w:r>
    </w:p>
  </w:footnote>
  <w:footnote w:id="3499">
    <w:p>
      <w:pPr>
        <w:pStyle w:val="FootnoteText"/>
      </w:pPr>
      <w:r>
        <w:rPr>
          <w:rStyle w:val="FootnoteReference"/>
        </w:rPr>
        <w:footnoteRef/>
      </w:r>
      <w:r>
        <w:t xml:space="preserve"> Cross-references for "that it": Deut 4:40; Deut 5:16.</w:t>
      </w:r>
    </w:p>
  </w:footnote>
  <w:footnote w:id="3500">
    <w:p>
      <w:pPr>
        <w:pStyle w:val="FootnoteText"/>
      </w:pPr>
      <w:r>
        <w:rPr>
          <w:rStyle w:val="FootnoteReference"/>
        </w:rPr>
        <w:footnoteRef/>
      </w:r>
      <w:r>
        <w:t xml:space="preserve"> Cross-references for "holy": Num 5:9-10; Num 18:19.</w:t>
      </w:r>
    </w:p>
  </w:footnote>
  <w:footnote w:id="3501">
    <w:p>
      <w:pPr>
        <w:pStyle w:val="FootnoteText"/>
      </w:pPr>
      <w:r>
        <w:rPr>
          <w:rStyle w:val="FootnoteReference"/>
        </w:rPr>
        <w:footnoteRef/>
      </w:r>
      <w:r>
        <w:t xml:space="preserve"> Translation note: The Greek uses the established name-there formula here too. The current wording keeps that formula consistent.</w:t>
      </w:r>
    </w:p>
  </w:footnote>
  <w:footnote w:id="3502">
    <w:p>
      <w:pPr>
        <w:pStyle w:val="FootnoteText"/>
      </w:pPr>
      <w:r>
        <w:rPr>
          <w:rStyle w:val="FootnoteReference"/>
        </w:rPr>
        <w:footnoteRef/>
      </w:r>
      <w:r>
        <w:t xml:space="preserve"> Translation note: The Greek repeats the same called-name phrase found nearby. The translation keeps that formula uniform in this section.</w:t>
      </w:r>
    </w:p>
  </w:footnote>
  <w:footnote w:id="3503">
    <w:p>
      <w:pPr>
        <w:pStyle w:val="FootnoteText"/>
      </w:pPr>
      <w:r>
        <w:rPr>
          <w:rStyle w:val="FootnoteReference"/>
        </w:rPr>
        <w:footnoteRef/>
      </w:r>
      <w:r>
        <w:t xml:space="preserve"> Cross-references for "and the blood": Lev 4:30; Lev 17:11.</w:t>
      </w:r>
    </w:p>
  </w:footnote>
  <w:footnote w:id="3504">
    <w:p>
      <w:pPr>
        <w:pStyle w:val="FootnoteText"/>
      </w:pPr>
      <w:r>
        <w:rPr>
          <w:rStyle w:val="FootnoteReference"/>
        </w:rPr>
        <w:footnoteRef/>
      </w:r>
      <w:r>
        <w:t xml:space="preserve"> Translation note: The Greek uses a threefold command. The current wording keeps all three verbs visible.</w:t>
      </w:r>
    </w:p>
  </w:footnote>
  <w:footnote w:id="3505">
    <w:p>
      <w:pPr>
        <w:pStyle w:val="FootnoteText"/>
      </w:pPr>
      <w:r>
        <w:rPr>
          <w:rStyle w:val="FootnoteReference"/>
        </w:rPr>
        <w:footnoteRef/>
      </w:r>
      <w:r>
        <w:t xml:space="preserve"> Cross-references for "that it may": Deut 12:25.</w:t>
      </w:r>
    </w:p>
  </w:footnote>
  <w:footnote w:id="3506">
    <w:p>
      <w:pPr>
        <w:pStyle w:val="FootnoteText"/>
      </w:pPr>
      <w:r>
        <w:rPr>
          <w:rStyle w:val="FootnoteReference"/>
        </w:rPr>
        <w:footnoteRef/>
      </w:r>
      <w:r>
        <w:t xml:space="preserve"> Translation note: Greek says You shall certainly not seek their gods.</w:t>
      </w:r>
    </w:p>
  </w:footnote>
  <w:footnote w:id="3507">
    <w:p>
      <w:pPr>
        <w:pStyle w:val="FootnoteText"/>
      </w:pPr>
      <w:r>
        <w:rPr>
          <w:rStyle w:val="FootnoteReference"/>
        </w:rPr>
        <w:footnoteRef/>
      </w:r>
      <w:r>
        <w:t xml:space="preserve"> Translation note: Greek uses dreaming-dream wording here. Current line keeps that form.</w:t>
      </w:r>
    </w:p>
  </w:footnote>
  <w:footnote w:id="3508">
    <w:p>
      <w:pPr>
        <w:pStyle w:val="FootnoteText"/>
      </w:pPr>
      <w:r>
        <w:rPr>
          <w:rStyle w:val="FootnoteReference"/>
        </w:rPr>
        <w:footnoteRef/>
      </w:r>
      <w:r>
        <w:t xml:space="preserve"> Translation note: Greek verse division here contains only the sign-and-invitation clause.</w:t>
      </w:r>
    </w:p>
  </w:footnote>
  <w:footnote w:id="3509">
    <w:p>
      <w:pPr>
        <w:pStyle w:val="FootnoteText"/>
      </w:pPr>
      <w:r>
        <w:rPr>
          <w:rStyle w:val="FootnoteReference"/>
        </w:rPr>
        <w:footnoteRef/>
      </w:r>
      <w:r>
        <w:t xml:space="preserve"> Translation note: Greek ends with joined rather than cling here.</w:t>
      </w:r>
    </w:p>
  </w:footnote>
  <w:footnote w:id="3510">
    <w:p>
      <w:pPr>
        <w:pStyle w:val="FootnoteText"/>
      </w:pPr>
      <w:r>
        <w:rPr>
          <w:rStyle w:val="FootnoteReference"/>
        </w:rPr>
        <w:footnoteRef/>
      </w:r>
      <w:r>
        <w:t xml:space="preserve"> Translation note: Greek keeps the singular personified evil one here.</w:t>
      </w:r>
    </w:p>
  </w:footnote>
  <w:footnote w:id="3511">
    <w:p>
      <w:pPr>
        <w:pStyle w:val="FootnoteText"/>
      </w:pPr>
      <w:r>
        <w:rPr>
          <w:rStyle w:val="FootnoteReference"/>
        </w:rPr>
        <w:footnoteRef/>
      </w:r>
      <w:r>
        <w:t xml:space="preserve"> MT/LXX note: The Septuagint verse here continues the gods-of-the-nations warning rather than the Masoretic refusal command. The translation follows the Greek content.</w:t>
      </w:r>
    </w:p>
  </w:footnote>
  <w:footnote w:id="3512">
    <w:p>
      <w:pPr>
        <w:pStyle w:val="FootnoteText"/>
      </w:pPr>
      <w:r>
        <w:rPr>
          <w:rStyle w:val="FootnoteReference"/>
        </w:rPr>
        <w:footnoteRef/>
      </w:r>
      <w:r>
        <w:t xml:space="preserve"> MT/LXX note: The Septuagint places the execution verse here rather than the Masoretic reaction verse. The translation follows the Greek content.</w:t>
      </w:r>
    </w:p>
  </w:footnote>
  <w:footnote w:id="3513">
    <w:p>
      <w:pPr>
        <w:pStyle w:val="FootnoteText"/>
      </w:pPr>
      <w:r>
        <w:rPr>
          <w:rStyle w:val="FootnoteReference"/>
        </w:rPr>
        <w:footnoteRef/>
      </w:r>
      <w:r>
        <w:t xml:space="preserve"> Translation note: LXX starts with hearing formula here.</w:t>
      </w:r>
    </w:p>
  </w:footnote>
  <w:footnote w:id="3514">
    <w:p>
      <w:pPr>
        <w:pStyle w:val="FootnoteText"/>
      </w:pPr>
      <w:r>
        <w:rPr>
          <w:rStyle w:val="FootnoteReference"/>
        </w:rPr>
        <w:footnoteRef/>
      </w:r>
      <w:r>
        <w:t xml:space="preserve"> Translation note: Greek says lawless men here. Current line keeps that stronger wording.</w:t>
      </w:r>
    </w:p>
  </w:footnote>
  <w:footnote w:id="3515">
    <w:p>
      <w:pPr>
        <w:pStyle w:val="FootnoteText"/>
      </w:pPr>
      <w:r>
        <w:rPr>
          <w:rStyle w:val="FootnoteReference"/>
        </w:rPr>
        <w:footnoteRef/>
      </w:r>
      <w:r>
        <w:t xml:space="preserve"> MT/LXX note: The Septuagint verse here gives the inquiry formula rather than the Masoretic command to strike the city. The translation follows the Greek content at this number.</w:t>
      </w:r>
    </w:p>
  </w:footnote>
  <w:footnote w:id="3516">
    <w:p>
      <w:pPr>
        <w:pStyle w:val="FootnoteText"/>
      </w:pPr>
      <w:r>
        <w:rPr>
          <w:rStyle w:val="FootnoteReference"/>
        </w:rPr>
        <w:footnoteRef/>
      </w:r>
      <w:r>
        <w:t xml:space="preserve"> Translation note: Greek doubles the devote verb.</w:t>
      </w:r>
    </w:p>
  </w:footnote>
  <w:footnote w:id="3517">
    <w:p>
      <w:pPr>
        <w:pStyle w:val="FootnoteText"/>
      </w:pPr>
      <w:r>
        <w:rPr>
          <w:rStyle w:val="FootnoteReference"/>
        </w:rPr>
        <w:footnoteRef/>
      </w:r>
      <w:r>
        <w:t xml:space="preserve"> Translation note: Greek says gather spoils into its crossroads and burn them publicly before the Lord.</w:t>
      </w:r>
    </w:p>
  </w:footnote>
  <w:footnote w:id="3518">
    <w:p>
      <w:pPr>
        <w:pStyle w:val="FootnoteText"/>
      </w:pPr>
      <w:r>
        <w:rPr>
          <w:rStyle w:val="FootnoteReference"/>
        </w:rPr>
        <w:footnoteRef/>
      </w:r>
      <w:r>
        <w:t xml:space="preserve"> Cross-references for "the Lord": Josh 6:26; Josh 7:26.</w:t>
      </w:r>
    </w:p>
  </w:footnote>
  <w:footnote w:id="3519">
    <w:p>
      <w:pPr>
        <w:pStyle w:val="FootnoteText"/>
      </w:pPr>
      <w:r>
        <w:rPr>
          <w:rStyle w:val="FootnoteReference"/>
        </w:rPr>
        <w:footnoteRef/>
      </w:r>
      <w:r>
        <w:t xml:space="preserve"> Translation note: Greek says part the hoof and split the claws here and uses hyrax.</w:t>
      </w:r>
    </w:p>
  </w:footnote>
  <w:footnote w:id="3520">
    <w:p>
      <w:pPr>
        <w:pStyle w:val="FootnoteText"/>
      </w:pPr>
      <w:r>
        <w:rPr>
          <w:rStyle w:val="FootnoteReference"/>
        </w:rPr>
        <w:footnoteRef/>
      </w:r>
      <w:r>
        <w:t xml:space="preserve"> Cross-references for "touch": Lev 11:26-27.</w:t>
      </w:r>
    </w:p>
  </w:footnote>
  <w:footnote w:id="3521">
    <w:p>
      <w:pPr>
        <w:pStyle w:val="FootnoteText"/>
      </w:pPr>
      <w:r>
        <w:rPr>
          <w:rStyle w:val="FootnoteReference"/>
        </w:rPr>
        <w:footnoteRef/>
      </w:r>
      <w:r>
        <w:t xml:space="preserve"> Cross-references for "the swan": Deut 14:16.</w:t>
      </w:r>
    </w:p>
  </w:footnote>
  <w:footnote w:id="3522">
    <w:p>
      <w:pPr>
        <w:pStyle w:val="FootnoteText"/>
      </w:pPr>
      <w:r>
        <w:rPr>
          <w:rStyle w:val="FootnoteReference"/>
        </w:rPr>
        <w:footnoteRef/>
      </w:r>
      <w:r>
        <w:t xml:space="preserve"> Translation note: Greek uses a term for a dead animal or carcass here.</w:t>
      </w:r>
    </w:p>
  </w:footnote>
  <w:footnote w:id="3523">
    <w:p>
      <w:pPr>
        <w:pStyle w:val="FootnoteText"/>
      </w:pPr>
      <w:r>
        <w:rPr>
          <w:rStyle w:val="FootnoteReference"/>
        </w:rPr>
        <w:footnoteRef/>
      </w:r>
      <w:r>
        <w:t xml:space="preserve"> Translation note: Greek says name to be called there here. Current line keeps that wording.</w:t>
      </w:r>
    </w:p>
  </w:footnote>
  <w:footnote w:id="3524">
    <w:p>
      <w:pPr>
        <w:pStyle w:val="FootnoteText"/>
      </w:pPr>
      <w:r>
        <w:rPr>
          <w:rStyle w:val="FootnoteReference"/>
        </w:rPr>
        <w:footnoteRef/>
      </w:r>
      <w:r>
        <w:t xml:space="preserve"> Translation note: Greek says for everything your soul desires.</w:t>
      </w:r>
    </w:p>
  </w:footnote>
  <w:footnote w:id="3525">
    <w:p>
      <w:pPr>
        <w:pStyle w:val="FootnoteText"/>
      </w:pPr>
      <w:r>
        <w:rPr>
          <w:rStyle w:val="FootnoteReference"/>
        </w:rPr>
        <w:footnoteRef/>
      </w:r>
      <w:r>
        <w:t xml:space="preserve"> Cross-references for "rejoice": Eccl 9:7.</w:t>
      </w:r>
    </w:p>
  </w:footnote>
  <w:footnote w:id="3526">
    <w:p>
      <w:pPr>
        <w:pStyle w:val="FootnoteText"/>
      </w:pPr>
      <w:r>
        <w:rPr>
          <w:rStyle w:val="FootnoteReference"/>
        </w:rPr>
        <w:footnoteRef/>
      </w:r>
      <w:r>
        <w:t xml:space="preserve"> Cross-references for "the Levite": Deut 12:12; Deut 12:18-19.</w:t>
      </w:r>
    </w:p>
  </w:footnote>
  <w:footnote w:id="3527">
    <w:p>
      <w:pPr>
        <w:pStyle w:val="FootnoteText"/>
      </w:pPr>
      <w:r>
        <w:rPr>
          <w:rStyle w:val="FootnoteReference"/>
        </w:rPr>
        <w:footnoteRef/>
      </w:r>
      <w:r>
        <w:t xml:space="preserve"> Translation note: Greek says proselyte.</w:t>
      </w:r>
    </w:p>
  </w:footnote>
  <w:footnote w:id="3528">
    <w:p>
      <w:pPr>
        <w:pStyle w:val="FootnoteText"/>
      </w:pPr>
      <w:r>
        <w:rPr>
          <w:rStyle w:val="FootnoteReference"/>
        </w:rPr>
        <w:footnoteRef/>
      </w:r>
      <w:r>
        <w:t xml:space="preserve"> Cross-references for "that the Lord": Deut 15:10; Ps 41:1.</w:t>
      </w:r>
    </w:p>
  </w:footnote>
  <w:footnote w:id="3529">
    <w:p>
      <w:pPr>
        <w:pStyle w:val="FootnoteText"/>
      </w:pPr>
      <w:r>
        <w:rPr>
          <w:rStyle w:val="FootnoteReference"/>
        </w:rPr>
        <w:footnoteRef/>
      </w:r>
      <w:r>
        <w:t xml:space="preserve"> Translation note: Greek uses the short release formula here. Current wording preserves that direct command.</w:t>
      </w:r>
    </w:p>
  </w:footnote>
  <w:footnote w:id="3530">
    <w:p>
      <w:pPr>
        <w:pStyle w:val="FootnoteText"/>
      </w:pPr>
      <w:r>
        <w:rPr>
          <w:rStyle w:val="FootnoteReference"/>
        </w:rPr>
        <w:footnoteRef/>
      </w:r>
      <w:r>
        <w:t xml:space="preserve"> Translation note: Greek says personal debt here. Current line keeps that more exact term.</w:t>
      </w:r>
    </w:p>
  </w:footnote>
  <w:footnote w:id="3531">
    <w:p>
      <w:pPr>
        <w:pStyle w:val="FootnoteText"/>
      </w:pPr>
      <w:r>
        <w:rPr>
          <w:rStyle w:val="FootnoteReference"/>
        </w:rPr>
        <w:footnoteRef/>
      </w:r>
      <w:r>
        <w:t xml:space="preserve"> Translation note: The Greek keeps the blessing formula compact and direct. The current wording preserves it.</w:t>
      </w:r>
    </w:p>
  </w:footnote>
  <w:footnote w:id="3532">
    <w:p>
      <w:pPr>
        <w:pStyle w:val="FootnoteText"/>
      </w:pPr>
      <w:r>
        <w:rPr>
          <w:rStyle w:val="FootnoteReference"/>
        </w:rPr>
        <w:footnoteRef/>
      </w:r>
      <w:r>
        <w:t xml:space="preserve"> Translation note: Greek says hidden matter of lawlessness in heart.</w:t>
      </w:r>
    </w:p>
  </w:footnote>
  <w:footnote w:id="3533">
    <w:p>
      <w:pPr>
        <w:pStyle w:val="FootnoteText"/>
      </w:pPr>
      <w:r>
        <w:rPr>
          <w:rStyle w:val="FootnoteReference"/>
        </w:rPr>
        <w:footnoteRef/>
      </w:r>
      <w:r>
        <w:t xml:space="preserve"> Translation note: Greek doubles both verbs here. Current line keeps that emphasis.</w:t>
      </w:r>
    </w:p>
  </w:footnote>
  <w:footnote w:id="3534">
    <w:p>
      <w:pPr>
        <w:pStyle w:val="FootnoteText"/>
      </w:pPr>
      <w:r>
        <w:rPr>
          <w:rStyle w:val="FootnoteReference"/>
        </w:rPr>
        <w:footnoteRef/>
      </w:r>
      <w:r>
        <w:t xml:space="preserve"> Cross-references for "the poor": Prov 22:2; Matt 26:11.</w:t>
      </w:r>
    </w:p>
  </w:footnote>
  <w:footnote w:id="3535">
    <w:p>
      <w:pPr>
        <w:pStyle w:val="FootnoteText"/>
      </w:pPr>
      <w:r>
        <w:rPr>
          <w:rStyle w:val="FootnoteReference"/>
        </w:rPr>
        <w:footnoteRef/>
      </w:r>
      <w:r>
        <w:t xml:space="preserve"> Cross-references for "the Lord": Neh 8:10; Ps 68:10.</w:t>
      </w:r>
    </w:p>
  </w:footnote>
  <w:footnote w:id="3536">
    <w:p>
      <w:pPr>
        <w:pStyle w:val="FootnoteText"/>
      </w:pPr>
      <w:r>
        <w:rPr>
          <w:rStyle w:val="FootnoteReference"/>
        </w:rPr>
        <w:footnoteRef/>
      </w:r>
      <w:r>
        <w:t xml:space="preserve"> Translation note: Greek uses good-with-you language for the servant's choice. Current wording preserves it.</w:t>
      </w:r>
    </w:p>
  </w:footnote>
  <w:footnote w:id="3537">
    <w:p>
      <w:pPr>
        <w:pStyle w:val="FootnoteText"/>
      </w:pPr>
      <w:r>
        <w:rPr>
          <w:rStyle w:val="FootnoteReference"/>
        </w:rPr>
        <w:footnoteRef/>
      </w:r>
      <w:r>
        <w:t xml:space="preserve"> Cross-references for "shall not": Deut 15:10.</w:t>
      </w:r>
    </w:p>
  </w:footnote>
  <w:footnote w:id="3538">
    <w:p>
      <w:pPr>
        <w:pStyle w:val="FootnoteText"/>
      </w:pPr>
      <w:r>
        <w:rPr>
          <w:rStyle w:val="FootnoteReference"/>
        </w:rPr>
        <w:footnoteRef/>
      </w:r>
      <w:r>
        <w:t xml:space="preserve"> Translation note: Greek says six years for yearly wage doubled from hired worker.</w:t>
      </w:r>
    </w:p>
  </w:footnote>
  <w:footnote w:id="3539">
    <w:p>
      <w:pPr>
        <w:pStyle w:val="FootnoteText"/>
      </w:pPr>
      <w:r>
        <w:rPr>
          <w:rStyle w:val="FootnoteReference"/>
        </w:rPr>
        <w:footnoteRef/>
      </w:r>
      <w:r>
        <w:t xml:space="preserve"> Translation note: Greek says you shall not work with your firstborn calf.</w:t>
      </w:r>
    </w:p>
  </w:footnote>
  <w:footnote w:id="3540">
    <w:p>
      <w:pPr>
        <w:pStyle w:val="FootnoteText"/>
      </w:pPr>
      <w:r>
        <w:rPr>
          <w:rStyle w:val="FootnoteReference"/>
        </w:rPr>
        <w:footnoteRef/>
      </w:r>
      <w:r>
        <w:t xml:space="preserve"> Cross-references for "The unclean": Deut 12:15; Deut 12:21-22.</w:t>
      </w:r>
    </w:p>
  </w:footnote>
  <w:footnote w:id="3541">
    <w:p>
      <w:pPr>
        <w:pStyle w:val="FootnoteText"/>
      </w:pPr>
      <w:r>
        <w:rPr>
          <w:rStyle w:val="FootnoteReference"/>
        </w:rPr>
        <w:footnoteRef/>
      </w:r>
      <w:r>
        <w:t xml:space="preserve"> Cross-references for "the month": Exod 12:2-20; Exod 34:18.</w:t>
      </w:r>
    </w:p>
  </w:footnote>
  <w:footnote w:id="3542">
    <w:p>
      <w:pPr>
        <w:pStyle w:val="FootnoteText"/>
      </w:pPr>
      <w:r>
        <w:rPr>
          <w:rStyle w:val="FootnoteReference"/>
        </w:rPr>
        <w:footnoteRef/>
      </w:r>
      <w:r>
        <w:t xml:space="preserve"> Cross-references for "sacrifice": Exod 12:5-7; Num 28:16-19.</w:t>
      </w:r>
    </w:p>
  </w:footnote>
  <w:footnote w:id="3543">
    <w:p>
      <w:pPr>
        <w:pStyle w:val="FootnoteText"/>
      </w:pPr>
      <w:r>
        <w:rPr>
          <w:rStyle w:val="FootnoteReference"/>
        </w:rPr>
        <w:footnoteRef/>
      </w:r>
      <w:r>
        <w:t xml:space="preserve"> Translation note: Greek names the sacrificial animals directly rather than using the broader flock and herd pair. The rendering stays concrete to match the Greek nouns.</w:t>
      </w:r>
    </w:p>
  </w:footnote>
  <w:footnote w:id="3544">
    <w:p>
      <w:pPr>
        <w:pStyle w:val="FootnoteText"/>
      </w:pPr>
      <w:r>
        <w:rPr>
          <w:rStyle w:val="FootnoteReference"/>
        </w:rPr>
        <w:footnoteRef/>
      </w:r>
      <w:r>
        <w:t xml:space="preserve"> Translation note: This verse repeats the same LXX name-formula pattern. English LXX witnesses support keeping that called-there wording consistent here as well.</w:t>
      </w:r>
    </w:p>
  </w:footnote>
  <w:footnote w:id="3545">
    <w:p>
      <w:pPr>
        <w:pStyle w:val="FootnoteText"/>
      </w:pPr>
      <w:r>
        <w:rPr>
          <w:rStyle w:val="FootnoteReference"/>
        </w:rPr>
        <w:footnoteRef/>
      </w:r>
      <w:r>
        <w:t xml:space="preserve"> Translation note: Greek says bread of affliction here. Current line keeps that wording.</w:t>
      </w:r>
    </w:p>
  </w:footnote>
  <w:footnote w:id="3546">
    <w:p>
      <w:pPr>
        <w:pStyle w:val="FootnoteText"/>
      </w:pPr>
      <w:r>
        <w:rPr>
          <w:rStyle w:val="FootnoteReference"/>
        </w:rPr>
        <w:footnoteRef/>
      </w:r>
      <w:r>
        <w:t xml:space="preserve"> Translation note: Greek says shall not sleep/remain overnight here.</w:t>
      </w:r>
    </w:p>
  </w:footnote>
  <w:footnote w:id="3547">
    <w:p>
      <w:pPr>
        <w:pStyle w:val="FootnoteText"/>
      </w:pPr>
      <w:r>
        <w:rPr>
          <w:rStyle w:val="FootnoteReference"/>
        </w:rPr>
        <w:footnoteRef/>
      </w:r>
      <w:r>
        <w:t xml:space="preserve"> Cross-references for "sacrifice": Deut 12:5-6; Deut 16:2.</w:t>
      </w:r>
    </w:p>
  </w:footnote>
  <w:footnote w:id="3548">
    <w:p>
      <w:pPr>
        <w:pStyle w:val="FootnoteText"/>
      </w:pPr>
      <w:r>
        <w:rPr>
          <w:rStyle w:val="FootnoteReference"/>
        </w:rPr>
        <w:footnoteRef/>
      </w:r>
      <w:r>
        <w:t xml:space="preserve"> Cross-references for "roast": Exod 12:8-9; 2Chr 35:13.</w:t>
      </w:r>
    </w:p>
  </w:footnote>
  <w:footnote w:id="3549">
    <w:p>
      <w:pPr>
        <w:pStyle w:val="FootnoteText"/>
      </w:pPr>
      <w:r>
        <w:rPr>
          <w:rStyle w:val="FootnoteReference"/>
        </w:rPr>
        <w:footnoteRef/>
      </w:r>
      <w:r>
        <w:t xml:space="preserve"> Cross-references for "Six days": Exod 12:15-16; Exod 13:7-8.</w:t>
      </w:r>
    </w:p>
  </w:footnote>
  <w:footnote w:id="3550">
    <w:p>
      <w:pPr>
        <w:pStyle w:val="FootnoteText"/>
      </w:pPr>
      <w:r>
        <w:rPr>
          <w:rStyle w:val="FootnoteReference"/>
        </w:rPr>
        <w:footnoteRef/>
      </w:r>
      <w:r>
        <w:t xml:space="preserve"> Cross-references for "the Feast": Exod 23:16; Exod 34:22.</w:t>
      </w:r>
    </w:p>
  </w:footnote>
  <w:footnote w:id="3551">
    <w:p>
      <w:pPr>
        <w:pStyle w:val="FootnoteText"/>
      </w:pPr>
      <w:r>
        <w:rPr>
          <w:rStyle w:val="FootnoteReference"/>
        </w:rPr>
        <w:footnoteRef/>
      </w:r>
      <w:r>
        <w:t xml:space="preserve"> Cross-references for "Seven days": Lev 23:36-42; Num 29:12-38.</w:t>
      </w:r>
    </w:p>
  </w:footnote>
  <w:footnote w:id="3552">
    <w:p>
      <w:pPr>
        <w:pStyle w:val="FootnoteText"/>
      </w:pPr>
      <w:r>
        <w:rPr>
          <w:rStyle w:val="FootnoteReference"/>
        </w:rPr>
        <w:footnoteRef/>
      </w:r>
      <w:r>
        <w:t xml:space="preserve"> Cross-references for "Three times": Exod 23:14-17; Exod 34:22-23.</w:t>
      </w:r>
    </w:p>
  </w:footnote>
  <w:footnote w:id="3553">
    <w:p>
      <w:pPr>
        <w:pStyle w:val="FootnoteText"/>
      </w:pPr>
      <w:r>
        <w:rPr>
          <w:rStyle w:val="FootnoteReference"/>
        </w:rPr>
        <w:footnoteRef/>
      </w:r>
      <w:r>
        <w:t xml:space="preserve"> Translation note: Greek says feast of skenopegia, tabernacle-making.</w:t>
      </w:r>
    </w:p>
  </w:footnote>
  <w:footnote w:id="3554">
    <w:p>
      <w:pPr>
        <w:pStyle w:val="FootnoteText"/>
      </w:pPr>
      <w:r>
        <w:rPr>
          <w:rStyle w:val="FootnoteReference"/>
        </w:rPr>
        <w:footnoteRef/>
      </w:r>
      <w:r>
        <w:t xml:space="preserve"> Translation note: Greek says feast of tent-making.</w:t>
      </w:r>
    </w:p>
  </w:footnote>
  <w:footnote w:id="3555">
    <w:p>
      <w:pPr>
        <w:pStyle w:val="FootnoteText"/>
      </w:pPr>
      <w:r>
        <w:rPr>
          <w:rStyle w:val="FootnoteReference"/>
        </w:rPr>
        <w:footnoteRef/>
      </w:r>
      <w:r>
        <w:t xml:space="preserve"> Translation note: Greek says feast of tent-pitching.</w:t>
      </w:r>
    </w:p>
  </w:footnote>
  <w:footnote w:id="3556">
    <w:p>
      <w:pPr>
        <w:pStyle w:val="FootnoteText"/>
      </w:pPr>
      <w:r>
        <w:rPr>
          <w:rStyle w:val="FootnoteReference"/>
        </w:rPr>
        <w:footnoteRef/>
      </w:r>
      <w:r>
        <w:t xml:space="preserve"> Translation note: Greek says feast of tent-pitching/tabernacle-making.</w:t>
      </w:r>
    </w:p>
  </w:footnote>
  <w:footnote w:id="3557">
    <w:p>
      <w:pPr>
        <w:pStyle w:val="FootnoteText"/>
      </w:pPr>
      <w:r>
        <w:rPr>
          <w:rStyle w:val="FootnoteReference"/>
        </w:rPr>
        <w:footnoteRef/>
      </w:r>
      <w:r>
        <w:t xml:space="preserve"> Translation note: Greek literally refers to tabernacle-making or tent-making. Traditional English often uses Feast of Tabernacles, but the fresh line keeps the underlying image visible.</w:t>
      </w:r>
    </w:p>
  </w:footnote>
  <w:footnote w:id="3558">
    <w:p>
      <w:pPr>
        <w:pStyle w:val="FootnoteText"/>
      </w:pPr>
      <w:r>
        <w:rPr>
          <w:rStyle w:val="FootnoteReference"/>
        </w:rPr>
        <w:footnoteRef/>
      </w:r>
      <w:r>
        <w:t xml:space="preserve"> Cross-references for "judges": Exod 18:25-26; Exod 21:6.</w:t>
      </w:r>
    </w:p>
  </w:footnote>
  <w:footnote w:id="3559">
    <w:p>
      <w:pPr>
        <w:pStyle w:val="FootnoteText"/>
      </w:pPr>
      <w:r>
        <w:rPr>
          <w:rStyle w:val="FootnoteReference"/>
        </w:rPr>
        <w:footnoteRef/>
      </w:r>
      <w:r>
        <w:t xml:space="preserve"> Cross-references for "live": Deut 4:1; Ezek 18:5.</w:t>
      </w:r>
    </w:p>
  </w:footnote>
  <w:footnote w:id="3560">
    <w:p>
      <w:pPr>
        <w:pStyle w:val="FootnoteText"/>
      </w:pPr>
      <w:r>
        <w:rPr>
          <w:rStyle w:val="FootnoteReference"/>
        </w:rPr>
        <w:footnoteRef/>
      </w:r>
      <w:r>
        <w:t xml:space="preserve"> Translation note: Greek keeps the prohibition with both grove and any tree. Current wording preserves that paired ban.</w:t>
      </w:r>
    </w:p>
  </w:footnote>
  <w:footnote w:id="3561">
    <w:p>
      <w:pPr>
        <w:pStyle w:val="FootnoteText"/>
      </w:pPr>
      <w:r>
        <w:rPr>
          <w:rStyle w:val="FootnoteReference"/>
        </w:rPr>
        <w:footnoteRef/>
      </w:r>
      <w:r>
        <w:t xml:space="preserve"> Cross-references for "sheep": Gen 41:3-4; Gen 41:19.</w:t>
      </w:r>
    </w:p>
  </w:footnote>
  <w:footnote w:id="3562">
    <w:p>
      <w:pPr>
        <w:pStyle w:val="FootnoteText"/>
      </w:pPr>
      <w:r>
        <w:rPr>
          <w:rStyle w:val="FootnoteReference"/>
        </w:rPr>
        <w:footnoteRef/>
      </w:r>
      <w:r>
        <w:t xml:space="preserve"> Cross-references for "the sun": Deut 4:19; 2Kgs 21:3.</w:t>
      </w:r>
    </w:p>
  </w:footnote>
  <w:footnote w:id="3563">
    <w:p>
      <w:pPr>
        <w:pStyle w:val="FootnoteText"/>
      </w:pPr>
      <w:r>
        <w:rPr>
          <w:rStyle w:val="FootnoteReference"/>
        </w:rPr>
        <w:footnoteRef/>
      </w:r>
      <w:r>
        <w:t xml:space="preserve"> Cross-references for "stone them": Lev 24:14; Lev 24:16.</w:t>
      </w:r>
    </w:p>
  </w:footnote>
  <w:footnote w:id="3564">
    <w:p>
      <w:pPr>
        <w:pStyle w:val="FootnoteText"/>
      </w:pPr>
      <w:r>
        <w:rPr>
          <w:rStyle w:val="FootnoteReference"/>
        </w:rPr>
        <w:footnoteRef/>
      </w:r>
      <w:r>
        <w:t xml:space="preserve"> Cross-references for "of the witnesses": Deut 13:9; Acts 7:58-59.</w:t>
      </w:r>
    </w:p>
  </w:footnote>
  <w:footnote w:id="3565">
    <w:p>
      <w:pPr>
        <w:pStyle w:val="FootnoteText"/>
      </w:pPr>
      <w:r>
        <w:rPr>
          <w:rStyle w:val="FootnoteReference"/>
        </w:rPr>
        <w:footnoteRef/>
      </w:r>
      <w:r>
        <w:t xml:space="preserve"> Cross-references for "between blood": Exod 21:12-14; Exod 21:20.</w:t>
      </w:r>
    </w:p>
  </w:footnote>
  <w:footnote w:id="3566">
    <w:p>
      <w:pPr>
        <w:pStyle w:val="FootnoteText"/>
      </w:pPr>
      <w:r>
        <w:rPr>
          <w:rStyle w:val="FootnoteReference"/>
        </w:rPr>
        <w:footnoteRef/>
      </w:r>
      <w:r>
        <w:t xml:space="preserve"> Translation note: Greek says between judgment and judgment and between wound and wound.</w:t>
      </w:r>
    </w:p>
  </w:footnote>
  <w:footnote w:id="3567">
    <w:p>
      <w:pPr>
        <w:pStyle w:val="FootnoteText"/>
      </w:pPr>
      <w:r>
        <w:rPr>
          <w:rStyle w:val="FootnoteReference"/>
        </w:rPr>
        <w:footnoteRef/>
      </w:r>
      <w:r>
        <w:t xml:space="preserve"> Translation note: Greek includes the same called-name formula found elsewhere in Deuteronomy. The translation preserves that repeated phrase for consistency.</w:t>
      </w:r>
    </w:p>
  </w:footnote>
  <w:footnote w:id="3568">
    <w:p>
      <w:pPr>
        <w:pStyle w:val="FootnoteText"/>
      </w:pPr>
      <w:r>
        <w:rPr>
          <w:rStyle w:val="FootnoteReference"/>
        </w:rPr>
        <w:footnoteRef/>
      </w:r>
      <w:r>
        <w:t xml:space="preserve"> Transliterated proper noun: Levitical. Standard English equivalent: Levites. Source form: Levitical. Greek form: λευιτας. Name meaning: people of Levi; joined/attached.</w:t>
      </w:r>
    </w:p>
  </w:footnote>
  <w:footnote w:id="3569">
    <w:p>
      <w:pPr>
        <w:pStyle w:val="FootnoteText"/>
      </w:pPr>
      <w:r>
        <w:rPr>
          <w:rStyle w:val="FootnoteReference"/>
        </w:rPr>
        <w:footnoteRef/>
      </w:r>
      <w:r>
        <w:t xml:space="preserve"> Cross-references for "According to": Josh 1:7; Mal 2:8-9.</w:t>
      </w:r>
    </w:p>
  </w:footnote>
  <w:footnote w:id="3570">
    <w:p>
      <w:pPr>
        <w:pStyle w:val="FootnoteText"/>
      </w:pPr>
      <w:r>
        <w:rPr>
          <w:rStyle w:val="FootnoteReference"/>
        </w:rPr>
        <w:footnoteRef/>
      </w:r>
      <w:r>
        <w:t xml:space="preserve"> Cross-references for "the priest": Deut 10:8; Deut 18:5.</w:t>
      </w:r>
    </w:p>
  </w:footnote>
  <w:footnote w:id="3571">
    <w:p>
      <w:pPr>
        <w:pStyle w:val="FootnoteText"/>
      </w:pPr>
      <w:r>
        <w:rPr>
          <w:rStyle w:val="FootnoteReference"/>
        </w:rPr>
        <w:footnoteRef/>
      </w:r>
      <w:r>
        <w:t xml:space="preserve"> Translation note: Greek says priest stands there ministering on name of the Lord.</w:t>
      </w:r>
    </w:p>
  </w:footnote>
  <w:footnote w:id="3572">
    <w:p>
      <w:pPr>
        <w:pStyle w:val="FootnoteText"/>
      </w:pPr>
      <w:r>
        <w:rPr>
          <w:rStyle w:val="FootnoteReference"/>
        </w:rPr>
        <w:footnoteRef/>
      </w:r>
      <w:r>
        <w:t xml:space="preserve"> Cross-references for "I will set": 1Sam 8:5-7; 1Sam 8:19-20.</w:t>
      </w:r>
    </w:p>
  </w:footnote>
  <w:footnote w:id="3573">
    <w:p>
      <w:pPr>
        <w:pStyle w:val="FootnoteText"/>
      </w:pPr>
      <w:r>
        <w:rPr>
          <w:rStyle w:val="FootnoteReference"/>
        </w:rPr>
        <w:footnoteRef/>
      </w:r>
      <w:r>
        <w:t xml:space="preserve"> Cross-references for "multiply horses": 1Sam 8:11; 2Sam 8:4.</w:t>
      </w:r>
    </w:p>
  </w:footnote>
  <w:footnote w:id="3574">
    <w:p>
      <w:pPr>
        <w:pStyle w:val="FootnoteText"/>
      </w:pPr>
      <w:r>
        <w:rPr>
          <w:rStyle w:val="FootnoteReference"/>
        </w:rPr>
        <w:footnoteRef/>
      </w:r>
      <w:r>
        <w:t xml:space="preserve"> Translation note: Greek says you shall not add to return by this road any longer.</w:t>
      </w:r>
    </w:p>
  </w:footnote>
  <w:footnote w:id="3575">
    <w:p>
      <w:pPr>
        <w:pStyle w:val="FootnoteText"/>
      </w:pPr>
      <w:r>
        <w:rPr>
          <w:rStyle w:val="FootnoteReference"/>
        </w:rPr>
        <w:footnoteRef/>
      </w:r>
      <w:r>
        <w:t xml:space="preserve"> Cross-references for "multiply wives": Gen 2:24; 2Sam 3:2-5.</w:t>
      </w:r>
    </w:p>
  </w:footnote>
  <w:footnote w:id="3576">
    <w:p>
      <w:pPr>
        <w:pStyle w:val="FootnoteText"/>
      </w:pPr>
      <w:r>
        <w:rPr>
          <w:rStyle w:val="FootnoteReference"/>
        </w:rPr>
        <w:footnoteRef/>
      </w:r>
      <w:r>
        <w:t xml:space="preserve"> Cross-references for "his heart": Deut 8:2; Deut 8:13-14.</w:t>
      </w:r>
    </w:p>
  </w:footnote>
  <w:footnote w:id="3577">
    <w:p>
      <w:pPr>
        <w:pStyle w:val="FootnoteText"/>
      </w:pPr>
      <w:r>
        <w:rPr>
          <w:rStyle w:val="FootnoteReference"/>
        </w:rPr>
        <w:footnoteRef/>
      </w:r>
      <w:r>
        <w:t xml:space="preserve"> Translation note: Greek says lifted up above his brothers here. Current line keeps that wording.</w:t>
      </w:r>
    </w:p>
  </w:footnote>
  <w:footnote w:id="3578">
    <w:p>
      <w:pPr>
        <w:pStyle w:val="FootnoteText"/>
      </w:pPr>
      <w:r>
        <w:rPr>
          <w:rStyle w:val="FootnoteReference"/>
        </w:rPr>
        <w:footnoteRef/>
      </w:r>
      <w:r>
        <w:t xml:space="preserve"> Cross-references for "The Lord": Gen 15:1; Ps 16:5.</w:t>
      </w:r>
    </w:p>
  </w:footnote>
  <w:footnote w:id="3579">
    <w:p>
      <w:pPr>
        <w:pStyle w:val="FootnoteText"/>
      </w:pPr>
      <w:r>
        <w:rPr>
          <w:rStyle w:val="FootnoteReference"/>
        </w:rPr>
        <w:footnoteRef/>
      </w:r>
      <w:r>
        <w:t xml:space="preserve"> Translation note: Greek begins with the priests' due formula and then lists the parts. Current wording keeps that structure plain.</w:t>
      </w:r>
    </w:p>
  </w:footnote>
  <w:footnote w:id="3580">
    <w:p>
      <w:pPr>
        <w:pStyle w:val="FootnoteText"/>
      </w:pPr>
      <w:r>
        <w:rPr>
          <w:rStyle w:val="FootnoteReference"/>
        </w:rPr>
        <w:footnoteRef/>
      </w:r>
      <w:r>
        <w:t xml:space="preserve"> Translation note: Greek keeps this priestly due in the same inventory line. Current wording preserves that tally.</w:t>
      </w:r>
    </w:p>
  </w:footnote>
  <w:footnote w:id="3581">
    <w:p>
      <w:pPr>
        <w:pStyle w:val="FootnoteText"/>
      </w:pPr>
      <w:r>
        <w:rPr>
          <w:rStyle w:val="FootnoteReference"/>
        </w:rPr>
        <w:footnoteRef/>
      </w:r>
      <w:r>
        <w:t xml:space="preserve"> Translation note: Greek uses a more specific list of occult terms than many standard English versions. The translation keeps those distinctions.</w:t>
      </w:r>
    </w:p>
  </w:footnote>
  <w:footnote w:id="3582">
    <w:p>
      <w:pPr>
        <w:pStyle w:val="FootnoteText"/>
      </w:pPr>
      <w:r>
        <w:rPr>
          <w:rStyle w:val="FootnoteReference"/>
        </w:rPr>
        <w:footnoteRef/>
      </w:r>
      <w:r>
        <w:t xml:space="preserve"> Cross-references for "A prophet": Deut 18:18-19; John 1:45.</w:t>
      </w:r>
    </w:p>
  </w:footnote>
  <w:footnote w:id="3583">
    <w:p>
      <w:pPr>
        <w:pStyle w:val="FootnoteText"/>
      </w:pPr>
      <w:r>
        <w:rPr>
          <w:rStyle w:val="FootnoteReference"/>
        </w:rPr>
        <w:footnoteRef/>
      </w:r>
      <w:r>
        <w:t xml:space="preserve"> Cross-references for "in Horeb": Deut 9:10.</w:t>
      </w:r>
    </w:p>
  </w:footnote>
  <w:footnote w:id="3584">
    <w:p>
      <w:pPr>
        <w:pStyle w:val="FootnoteText"/>
      </w:pPr>
      <w:r>
        <w:rPr>
          <w:rStyle w:val="FootnoteReference"/>
        </w:rPr>
        <w:footnoteRef/>
      </w:r>
      <w:r>
        <w:t xml:space="preserve"> Cross-references for "will put": Isa 50:4; Isa 51:16.</w:t>
      </w:r>
    </w:p>
  </w:footnote>
  <w:footnote w:id="3585">
    <w:p>
      <w:pPr>
        <w:pStyle w:val="FootnoteText"/>
      </w:pPr>
      <w:r>
        <w:rPr>
          <w:rStyle w:val="FootnoteReference"/>
        </w:rPr>
        <w:footnoteRef/>
      </w:r>
      <w:r>
        <w:t xml:space="preserve"> Cross-references for "the prophet": Deut 13:1-5; Jer 14:14-15.</w:t>
      </w:r>
    </w:p>
  </w:footnote>
  <w:footnote w:id="3586">
    <w:p>
      <w:pPr>
        <w:pStyle w:val="FootnoteText"/>
      </w:pPr>
      <w:r>
        <w:rPr>
          <w:rStyle w:val="FootnoteReference"/>
        </w:rPr>
        <w:footnoteRef/>
      </w:r>
      <w:r>
        <w:t xml:space="preserve"> Translation note: Greek frames the question inwardly first. Current wording preserves that setup.</w:t>
      </w:r>
    </w:p>
  </w:footnote>
  <w:footnote w:id="3587">
    <w:p>
      <w:pPr>
        <w:pStyle w:val="FootnoteText"/>
      </w:pPr>
      <w:r>
        <w:rPr>
          <w:rStyle w:val="FootnoteReference"/>
        </w:rPr>
        <w:footnoteRef/>
      </w:r>
      <w:r>
        <w:t xml:space="preserve"> Translation note: Greek doubles happen and come to pass here. Current line keeps both.</w:t>
      </w:r>
    </w:p>
  </w:footnote>
  <w:footnote w:id="3588">
    <w:p>
      <w:pPr>
        <w:pStyle w:val="FootnoteText"/>
      </w:pPr>
      <w:r>
        <w:rPr>
          <w:rStyle w:val="FootnoteReference"/>
        </w:rPr>
        <w:footnoteRef/>
      </w:r>
      <w:r>
        <w:t xml:space="preserve"> Translation note: Greek narrates the accident with those motion verbs.</w:t>
      </w:r>
    </w:p>
  </w:footnote>
  <w:footnote w:id="3589">
    <w:p>
      <w:pPr>
        <w:pStyle w:val="FootnoteText"/>
      </w:pPr>
      <w:r>
        <w:rPr>
          <w:rStyle w:val="FootnoteReference"/>
        </w:rPr>
        <w:footnoteRef/>
      </w:r>
      <w:r>
        <w:t xml:space="preserve"> Cross-references for "the avenger": Num 35:12; Josh 20:5.</w:t>
      </w:r>
    </w:p>
  </w:footnote>
  <w:footnote w:id="3590">
    <w:p>
      <w:pPr>
        <w:pStyle w:val="FootnoteText"/>
      </w:pPr>
      <w:r>
        <w:rPr>
          <w:rStyle w:val="FootnoteReference"/>
        </w:rPr>
        <w:footnoteRef/>
      </w:r>
      <w:r>
        <w:t xml:space="preserve"> Translation note: Greek keeps vivid heated-heart phrase here.</w:t>
      </w:r>
    </w:p>
  </w:footnote>
  <w:footnote w:id="3591">
    <w:p>
      <w:pPr>
        <w:pStyle w:val="FootnoteText"/>
      </w:pPr>
      <w:r>
        <w:rPr>
          <w:rStyle w:val="FootnoteReference"/>
        </w:rPr>
        <w:footnoteRef/>
      </w:r>
      <w:r>
        <w:t xml:space="preserve"> Translation note: Greek states the law's purpose with innocent-blood language. Current wording preserves it.</w:t>
      </w:r>
    </w:p>
  </w:footnote>
  <w:footnote w:id="3592">
    <w:p>
      <w:pPr>
        <w:pStyle w:val="FootnoteText"/>
      </w:pPr>
      <w:r>
        <w:rPr>
          <w:rStyle w:val="FootnoteReference"/>
        </w:rPr>
        <w:footnoteRef/>
      </w:r>
      <w:r>
        <w:t xml:space="preserve"> Translation note: Greek says horse and rider here. Current line keeps that wording.</w:t>
      </w:r>
    </w:p>
  </w:footnote>
  <w:footnote w:id="3593">
    <w:p>
      <w:pPr>
        <w:pStyle w:val="FootnoteText"/>
      </w:pPr>
      <w:r>
        <w:rPr>
          <w:rStyle w:val="FootnoteReference"/>
        </w:rPr>
        <w:footnoteRef/>
      </w:r>
      <w:r>
        <w:t xml:space="preserve"> Cross-references for "the Lord": Gen 26:3; Num 23:21.</w:t>
      </w:r>
    </w:p>
  </w:footnote>
  <w:footnote w:id="3594">
    <w:p>
      <w:pPr>
        <w:pStyle w:val="FootnoteText"/>
      </w:pPr>
      <w:r>
        <w:rPr>
          <w:rStyle w:val="FootnoteReference"/>
        </w:rPr>
        <w:footnoteRef/>
      </w:r>
      <w:r>
        <w:t xml:space="preserve"> Translation note: Greek says grow weak here.</w:t>
      </w:r>
    </w:p>
  </w:footnote>
  <w:footnote w:id="3595">
    <w:p>
      <w:pPr>
        <w:pStyle w:val="FootnoteText"/>
      </w:pPr>
      <w:r>
        <w:rPr>
          <w:rStyle w:val="FootnoteReference"/>
        </w:rPr>
        <w:footnoteRef/>
      </w:r>
      <w:r>
        <w:t xml:space="preserve"> Translation note: Greek line matches current rendering closely here.</w:t>
      </w:r>
    </w:p>
  </w:footnote>
  <w:footnote w:id="3596">
    <w:p>
      <w:pPr>
        <w:pStyle w:val="FootnoteText"/>
      </w:pPr>
      <w:r>
        <w:rPr>
          <w:rStyle w:val="FootnoteReference"/>
        </w:rPr>
        <w:footnoteRef/>
      </w:r>
      <w:r>
        <w:t xml:space="preserve"> Cross-references for "lest he die": Isa 65:22; Zeph 1:13.</w:t>
      </w:r>
    </w:p>
  </w:footnote>
  <w:footnote w:id="3597">
    <w:p>
      <w:pPr>
        <w:pStyle w:val="FootnoteText"/>
      </w:pPr>
      <w:r>
        <w:rPr>
          <w:rStyle w:val="FootnoteReference"/>
        </w:rPr>
        <w:footnoteRef/>
      </w:r>
      <w:r>
        <w:t xml:space="preserve"> Cross-references for "lest he die": Deut 28:30; Luke 14:18-20.</w:t>
      </w:r>
    </w:p>
  </w:footnote>
  <w:footnote w:id="3598">
    <w:p>
      <w:pPr>
        <w:pStyle w:val="FootnoteText"/>
      </w:pPr>
      <w:r>
        <w:rPr>
          <w:rStyle w:val="FootnoteReference"/>
        </w:rPr>
        <w:footnoteRef/>
      </w:r>
      <w:r>
        <w:t xml:space="preserve"> Cross-references for "fearful": Deut 1:28; Deut 23:9.</w:t>
      </w:r>
    </w:p>
  </w:footnote>
  <w:footnote w:id="3599">
    <w:p>
      <w:pPr>
        <w:pStyle w:val="FootnoteText"/>
      </w:pPr>
      <w:r>
        <w:rPr>
          <w:rStyle w:val="FootnoteReference"/>
        </w:rPr>
        <w:footnoteRef/>
      </w:r>
      <w:r>
        <w:t xml:space="preserve"> Translation note: Greek says fearful and cowardly in heart.</w:t>
      </w:r>
    </w:p>
  </w:footnote>
  <w:footnote w:id="3600">
    <w:p>
      <w:pPr>
        <w:pStyle w:val="FootnoteText"/>
      </w:pPr>
      <w:r>
        <w:rPr>
          <w:rStyle w:val="FootnoteReference"/>
        </w:rPr>
        <w:footnoteRef/>
      </w:r>
      <w:r>
        <w:t xml:space="preserve"> Translation note: Greek gives the refusal as not obeying, then making war. Current wording preserves that sequence.</w:t>
      </w:r>
    </w:p>
  </w:footnote>
  <w:footnote w:id="3601">
    <w:p>
      <w:pPr>
        <w:pStyle w:val="FootnoteText"/>
      </w:pPr>
      <w:r>
        <w:rPr>
          <w:rStyle w:val="FootnoteReference"/>
        </w:rPr>
        <w:footnoteRef/>
      </w:r>
      <w:r>
        <w:t xml:space="preserve"> Cross-references for "the women": Num 31:9; Num 31:12.</w:t>
      </w:r>
    </w:p>
  </w:footnote>
  <w:footnote w:id="3602">
    <w:p>
      <w:pPr>
        <w:pStyle w:val="FootnoteText"/>
      </w:pPr>
      <w:r>
        <w:rPr>
          <w:rStyle w:val="FootnoteReference"/>
        </w:rPr>
        <w:footnoteRef/>
      </w:r>
      <w:r>
        <w:t xml:space="preserve"> Translation note: Greek says supplies and all its provisions here.</w:t>
      </w:r>
    </w:p>
  </w:footnote>
  <w:footnote w:id="3603">
    <w:p>
      <w:pPr>
        <w:pStyle w:val="FootnoteText"/>
      </w:pPr>
      <w:r>
        <w:rPr>
          <w:rStyle w:val="FootnoteReference"/>
        </w:rPr>
        <w:footnoteRef/>
      </w:r>
      <w:r>
        <w:t xml:space="preserve"> Translation note: Greek strengthens the distance line with very. Current wording preserves it.</w:t>
      </w:r>
    </w:p>
  </w:footnote>
  <w:footnote w:id="3604">
    <w:p>
      <w:pPr>
        <w:pStyle w:val="FootnoteText"/>
      </w:pPr>
      <w:r>
        <w:rPr>
          <w:rStyle w:val="FootnoteReference"/>
        </w:rPr>
        <w:footnoteRef/>
      </w:r>
      <w:r>
        <w:t xml:space="preserve"> Translation note: Greek says the tree in the field is not a human.</w:t>
      </w:r>
    </w:p>
  </w:footnote>
  <w:footnote w:id="3605">
    <w:p>
      <w:pPr>
        <w:pStyle w:val="FootnoteText"/>
      </w:pPr>
      <w:r>
        <w:rPr>
          <w:rStyle w:val="FootnoteReference"/>
        </w:rPr>
        <w:footnoteRef/>
      </w:r>
      <w:r>
        <w:t xml:space="preserve"> Translation note: Greek says dispute and blow here. Current line keeps both.</w:t>
      </w:r>
    </w:p>
  </w:footnote>
  <w:footnote w:id="3606">
    <w:p>
      <w:pPr>
        <w:pStyle w:val="FootnoteText"/>
      </w:pPr>
      <w:r>
        <w:rPr>
          <w:rStyle w:val="FootnoteReference"/>
        </w:rPr>
        <w:footnoteRef/>
      </w:r>
      <w:r>
        <w:t xml:space="preserve"> Cross-references for "wash their hands": Job 9:30; Ps 19:12.</w:t>
      </w:r>
    </w:p>
  </w:footnote>
  <w:footnote w:id="3607">
    <w:p>
      <w:pPr>
        <w:pStyle w:val="FootnoteText"/>
      </w:pPr>
      <w:r>
        <w:rPr>
          <w:rStyle w:val="FootnoteReference"/>
        </w:rPr>
        <w:footnoteRef/>
      </w:r>
      <w:r>
        <w:t xml:space="preserve"> Cross-references for "desire": Gen 6:2; Gen 12:14-15.</w:t>
      </w:r>
    </w:p>
  </w:footnote>
  <w:footnote w:id="3608">
    <w:p>
      <w:pPr>
        <w:pStyle w:val="FootnoteText"/>
      </w:pPr>
      <w:r>
        <w:rPr>
          <w:rStyle w:val="FootnoteReference"/>
        </w:rPr>
        <w:footnoteRef/>
      </w:r>
      <w:r>
        <w:t xml:space="preserve"> Cross-references for "and she shall": 1Cor 11:6; Eph 4:22.</w:t>
      </w:r>
    </w:p>
  </w:footnote>
  <w:footnote w:id="3609">
    <w:p>
      <w:pPr>
        <w:pStyle w:val="FootnoteText"/>
      </w:pPr>
      <w:r>
        <w:rPr>
          <w:rStyle w:val="FootnoteReference"/>
        </w:rPr>
        <w:footnoteRef/>
      </w:r>
      <w:r>
        <w:t xml:space="preserve"> Translation note: Greek keeps the captive-woman ritual sequence explicit. Current wording preserves that law detail.</w:t>
      </w:r>
    </w:p>
  </w:footnote>
  <w:footnote w:id="3610">
    <w:p>
      <w:pPr>
        <w:pStyle w:val="FootnoteText"/>
      </w:pPr>
      <w:r>
        <w:rPr>
          <w:rStyle w:val="FootnoteReference"/>
        </w:rPr>
        <w:footnoteRef/>
      </w:r>
      <w:r>
        <w:t xml:space="preserve"> Translation note: Greek says garments of her captivity.</w:t>
      </w:r>
    </w:p>
  </w:footnote>
  <w:footnote w:id="3611">
    <w:p>
      <w:pPr>
        <w:pStyle w:val="FootnoteText"/>
      </w:pPr>
      <w:r>
        <w:rPr>
          <w:rStyle w:val="FootnoteReference"/>
        </w:rPr>
        <w:footnoteRef/>
      </w:r>
      <w:r>
        <w:t xml:space="preserve"> Cross-references for "two wives": Gen 29:18; Gen 29:20.</w:t>
      </w:r>
    </w:p>
  </w:footnote>
  <w:footnote w:id="3612">
    <w:p>
      <w:pPr>
        <w:pStyle w:val="FootnoteText"/>
      </w:pPr>
      <w:r>
        <w:rPr>
          <w:rStyle w:val="FootnoteReference"/>
        </w:rPr>
        <w:footnoteRef/>
      </w:r>
      <w:r>
        <w:t xml:space="preserve"> Cross-references for "the beginning": Gen 49:3; Ps 105:36.</w:t>
      </w:r>
    </w:p>
  </w:footnote>
  <w:footnote w:id="3613">
    <w:p>
      <w:pPr>
        <w:pStyle w:val="FootnoteText"/>
      </w:pPr>
      <w:r>
        <w:rPr>
          <w:rStyle w:val="FootnoteReference"/>
        </w:rPr>
        <w:footnoteRef/>
      </w:r>
      <w:r>
        <w:t xml:space="preserve"> Cross-references for "he is a glutton": Prov 19:26; Prov 20:1.</w:t>
      </w:r>
    </w:p>
  </w:footnote>
  <w:footnote w:id="3614">
    <w:p>
      <w:pPr>
        <w:pStyle w:val="FootnoteText"/>
      </w:pPr>
      <w:r>
        <w:rPr>
          <w:rStyle w:val="FootnoteReference"/>
        </w:rPr>
        <w:footnoteRef/>
      </w:r>
      <w:r>
        <w:t xml:space="preserve"> Translation note: Greek states universal form here.</w:t>
      </w:r>
    </w:p>
  </w:footnote>
  <w:footnote w:id="3615">
    <w:p>
      <w:pPr>
        <w:pStyle w:val="FootnoteText"/>
      </w:pPr>
      <w:r>
        <w:rPr>
          <w:rStyle w:val="FootnoteReference"/>
        </w:rPr>
        <w:footnoteRef/>
      </w:r>
      <w:r>
        <w:t xml:space="preserve"> Translation note: Greek keeps direct seeking wording here.</w:t>
      </w:r>
    </w:p>
  </w:footnote>
  <w:footnote w:id="3616">
    <w:p>
      <w:pPr>
        <w:pStyle w:val="FootnoteText"/>
      </w:pPr>
      <w:r>
        <w:rPr>
          <w:rStyle w:val="FootnoteReference"/>
        </w:rPr>
        <w:footnoteRef/>
      </w:r>
      <w:r>
        <w:t xml:space="preserve"> Translation note: Greek keeps that direct line here.</w:t>
      </w:r>
    </w:p>
  </w:footnote>
  <w:footnote w:id="3617">
    <w:p>
      <w:pPr>
        <w:pStyle w:val="FootnoteText"/>
      </w:pPr>
      <w:r>
        <w:rPr>
          <w:rStyle w:val="FootnoteReference"/>
        </w:rPr>
        <w:footnoteRef/>
      </w:r>
      <w:r>
        <w:t xml:space="preserve"> Cross-references for "abomination": Deut 18:12.</w:t>
      </w:r>
    </w:p>
  </w:footnote>
  <w:footnote w:id="3618">
    <w:p>
      <w:pPr>
        <w:pStyle w:val="FootnoteText"/>
      </w:pPr>
      <w:r>
        <w:rPr>
          <w:rStyle w:val="FootnoteReference"/>
        </w:rPr>
        <w:footnoteRef/>
      </w:r>
      <w:r>
        <w:t xml:space="preserve"> Translation note: Greek speaks of a brood rather than a nest. The translation keeps the living cluster image in the Greek.</w:t>
      </w:r>
    </w:p>
  </w:footnote>
  <w:footnote w:id="3619">
    <w:p>
      <w:pPr>
        <w:pStyle w:val="FootnoteText"/>
      </w:pPr>
      <w:r>
        <w:rPr>
          <w:rStyle w:val="FootnoteReference"/>
        </w:rPr>
        <w:footnoteRef/>
      </w:r>
      <w:r>
        <w:t xml:space="preserve"> Cross-references for "that it may": Deut 4:40.</w:t>
      </w:r>
    </w:p>
  </w:footnote>
  <w:footnote w:id="3620">
    <w:p>
      <w:pPr>
        <w:pStyle w:val="FootnoteText"/>
      </w:pPr>
      <w:r>
        <w:rPr>
          <w:rStyle w:val="FootnoteReference"/>
        </w:rPr>
        <w:footnoteRef/>
      </w:r>
      <w:r>
        <w:t xml:space="preserve"> Translation note: Greek says pretextual words here. Current line keeps that sharper phrase.</w:t>
      </w:r>
    </w:p>
  </w:footnote>
  <w:footnote w:id="3621">
    <w:p>
      <w:pPr>
        <w:pStyle w:val="FootnoteText"/>
      </w:pPr>
      <w:r>
        <w:rPr>
          <w:rStyle w:val="FootnoteReference"/>
        </w:rPr>
        <w:footnoteRef/>
      </w:r>
      <w:r>
        <w:t xml:space="preserve"> Translation note: Greek phrases the ban on divorce as all his life or all his time. The translation keeps that wording closer to the Greek.</w:t>
      </w:r>
    </w:p>
  </w:footnote>
  <w:footnote w:id="3622">
    <w:p>
      <w:pPr>
        <w:pStyle w:val="FootnoteText"/>
      </w:pPr>
      <w:r>
        <w:rPr>
          <w:rStyle w:val="FootnoteReference"/>
        </w:rPr>
        <w:footnoteRef/>
      </w:r>
      <w:r>
        <w:t xml:space="preserve"> Translation note: Greek has a compact temporal phrase here. The translation keeps that concise form.</w:t>
      </w:r>
    </w:p>
  </w:footnote>
  <w:footnote w:id="3623">
    <w:p>
      <w:pPr>
        <w:pStyle w:val="FootnoteText"/>
      </w:pPr>
      <w:r>
        <w:rPr>
          <w:rStyle w:val="FootnoteReference"/>
        </w:rPr>
        <w:footnoteRef/>
      </w:r>
      <w:r>
        <w:t xml:space="preserve"> Cross-references for "stone her": Lev 24:16; Lev 24:23.</w:t>
      </w:r>
    </w:p>
  </w:footnote>
  <w:footnote w:id="3624">
    <w:p>
      <w:pPr>
        <w:pStyle w:val="FootnoteText"/>
      </w:pPr>
      <w:r>
        <w:rPr>
          <w:rStyle w:val="FootnoteReference"/>
        </w:rPr>
        <w:footnoteRef/>
      </w:r>
      <w:r>
        <w:t xml:space="preserve"> Translation note: Greek says destroy evil one from among you.</w:t>
      </w:r>
    </w:p>
  </w:footnote>
  <w:footnote w:id="3625">
    <w:p>
      <w:pPr>
        <w:pStyle w:val="FootnoteText"/>
      </w:pPr>
      <w:r>
        <w:rPr>
          <w:rStyle w:val="FootnoteReference"/>
        </w:rPr>
        <w:footnoteRef/>
      </w:r>
      <w:r>
        <w:t xml:space="preserve"> Translation note: Greek says the man humbled his neighbor's wife.</w:t>
      </w:r>
    </w:p>
  </w:footnote>
  <w:footnote w:id="3626">
    <w:p>
      <w:pPr>
        <w:pStyle w:val="FootnoteText"/>
      </w:pPr>
      <w:r>
        <w:rPr>
          <w:rStyle w:val="FootnoteReference"/>
        </w:rPr>
        <w:footnoteRef/>
      </w:r>
      <w:r>
        <w:t xml:space="preserve"> Translation note: Greek explicitly says the young woman has no sin of death. Current wording preserves that legal judgment.</w:t>
      </w:r>
    </w:p>
  </w:footnote>
  <w:footnote w:id="3627">
    <w:p>
      <w:pPr>
        <w:pStyle w:val="FootnoteText"/>
      </w:pPr>
      <w:r>
        <w:rPr>
          <w:rStyle w:val="FootnoteReference"/>
        </w:rPr>
        <w:footnoteRef/>
      </w:r>
      <w:r>
        <w:t xml:space="preserve"> Cross-references for "no sin": Deut 21:22.</w:t>
      </w:r>
    </w:p>
  </w:footnote>
  <w:footnote w:id="3628">
    <w:p>
      <w:pPr>
        <w:pStyle w:val="FootnoteText"/>
      </w:pPr>
      <w:r>
        <w:rPr>
          <w:rStyle w:val="FootnoteReference"/>
        </w:rPr>
        <w:footnoteRef/>
      </w:r>
      <w:r>
        <w:t xml:space="preserve"> Cross-references for "cried": 1Cor 13:7.</w:t>
      </w:r>
    </w:p>
  </w:footnote>
  <w:footnote w:id="3629">
    <w:p>
      <w:pPr>
        <w:pStyle w:val="FootnoteText"/>
      </w:pPr>
      <w:r>
        <w:rPr>
          <w:rStyle w:val="FootnoteReference"/>
        </w:rPr>
        <w:footnoteRef/>
      </w:r>
      <w:r>
        <w:t xml:space="preserve"> Transliterated proper noun: Ammonite. Standard English equivalent: Ammonite. Source form: Ammonite. Greek form: αμμανιτης. Name meaning: a people; the son of my people.</w:t>
      </w:r>
    </w:p>
  </w:footnote>
  <w:footnote w:id="3630">
    <w:p>
      <w:pPr>
        <w:pStyle w:val="FootnoteText"/>
      </w:pPr>
      <w:r>
        <w:rPr>
          <w:rStyle w:val="FootnoteReference"/>
        </w:rPr>
        <w:footnoteRef/>
      </w:r>
      <w:r>
        <w:t xml:space="preserve"> People-name: Moabite. People-name meaning: Moabite — of his father. Source form: Moabite.</w:t>
      </w:r>
    </w:p>
  </w:footnote>
  <w:footnote w:id="3631">
    <w:p>
      <w:pPr>
        <w:pStyle w:val="FootnoteText"/>
      </w:pPr>
      <w:r>
        <w:rPr>
          <w:rStyle w:val="FootnoteReference"/>
        </w:rPr>
        <w:footnoteRef/>
      </w:r>
      <w:r>
        <w:t xml:space="preserve"> Translation note: Greek verse numbering here carries entry-ban line.</w:t>
      </w:r>
    </w:p>
  </w:footnote>
  <w:footnote w:id="3632">
    <w:p>
      <w:pPr>
        <w:pStyle w:val="FootnoteText"/>
      </w:pPr>
      <w:r>
        <w:rPr>
          <w:rStyle w:val="FootnoteReference"/>
        </w:rPr>
        <w:footnoteRef/>
      </w:r>
      <w:r>
        <w:t xml:space="preserve"> Translation note: Greek says turned here. Current line keeps that wording.</w:t>
      </w:r>
    </w:p>
  </w:footnote>
  <w:footnote w:id="3633">
    <w:p>
      <w:pPr>
        <w:pStyle w:val="FootnoteText"/>
      </w:pPr>
      <w:r>
        <w:rPr>
          <w:rStyle w:val="FootnoteReference"/>
        </w:rPr>
        <w:footnoteRef/>
      </w:r>
      <w:r>
        <w:t xml:space="preserve"> People-name: Edomite. People-name meaning: Edomite — red; earthy; bloody. Source form: Edomite.</w:t>
      </w:r>
    </w:p>
  </w:footnote>
  <w:footnote w:id="3634">
    <w:p>
      <w:pPr>
        <w:pStyle w:val="FootnoteText"/>
      </w:pPr>
      <w:r>
        <w:rPr>
          <w:rStyle w:val="FootnoteReference"/>
        </w:rPr>
        <w:footnoteRef/>
      </w:r>
      <w:r>
        <w:t xml:space="preserve"> MT/LXX note: The Septuagint places this prohibition here rather than the Masoretic third-generation rule. The translation follows the Greek content.</w:t>
      </w:r>
    </w:p>
  </w:footnote>
  <w:footnote w:id="3635">
    <w:p>
      <w:pPr>
        <w:pStyle w:val="FootnoteText"/>
      </w:pPr>
      <w:r>
        <w:rPr>
          <w:rStyle w:val="FootnoteReference"/>
        </w:rPr>
        <w:footnoteRef/>
      </w:r>
      <w:r>
        <w:t xml:space="preserve"> Translation note: Greek literally says every evil word in this camp-purity law. The fresh line keeps that wording closer than the broader wicked thing.</w:t>
      </w:r>
    </w:p>
  </w:footnote>
  <w:footnote w:id="3636">
    <w:p>
      <w:pPr>
        <w:pStyle w:val="FootnoteText"/>
      </w:pPr>
      <w:r>
        <w:rPr>
          <w:rStyle w:val="FootnoteReference"/>
        </w:rPr>
        <w:footnoteRef/>
      </w:r>
      <w:r>
        <w:t xml:space="preserve"> Translation note: Greek says place shall be for you here. Current line keeps that simple wording.</w:t>
      </w:r>
    </w:p>
  </w:footnote>
  <w:footnote w:id="3637">
    <w:p>
      <w:pPr>
        <w:pStyle w:val="FootnoteText"/>
      </w:pPr>
      <w:r>
        <w:rPr>
          <w:rStyle w:val="FootnoteReference"/>
        </w:rPr>
        <w:footnoteRef/>
      </w:r>
      <w:r>
        <w:t xml:space="preserve"> Translation note: LXX places the peg instruction here and keeps the belt wording.</w:t>
      </w:r>
    </w:p>
  </w:footnote>
  <w:footnote w:id="3638">
    <w:p>
      <w:pPr>
        <w:pStyle w:val="FootnoteText"/>
      </w:pPr>
      <w:r>
        <w:rPr>
          <w:rStyle w:val="FootnoteReference"/>
        </w:rPr>
        <w:footnoteRef/>
      </w:r>
      <w:r>
        <w:t xml:space="preserve"> Translation note: Greek says walks about here. Current line keeps that wording.</w:t>
      </w:r>
    </w:p>
  </w:footnote>
  <w:footnote w:id="3639">
    <w:p>
      <w:pPr>
        <w:pStyle w:val="FootnoteText"/>
      </w:pPr>
      <w:r>
        <w:rPr>
          <w:rStyle w:val="FootnoteReference"/>
        </w:rPr>
        <w:footnoteRef/>
      </w:r>
      <w:r>
        <w:t xml:space="preserve"> Translation note: Greek says added to you here. Current line keeps that odd but direct phrase.</w:t>
      </w:r>
    </w:p>
  </w:footnote>
  <w:footnote w:id="3640">
    <w:p>
      <w:pPr>
        <w:pStyle w:val="FootnoteText"/>
      </w:pPr>
      <w:r>
        <w:rPr>
          <w:rStyle w:val="FootnoteReference"/>
        </w:rPr>
        <w:footnoteRef/>
      </w:r>
      <w:r>
        <w:t xml:space="preserve"> Translation note: Greek says the escaped slave may dwell in whatever place pleases him. The translation keeps the pleasure verb visible.</w:t>
      </w:r>
    </w:p>
  </w:footnote>
  <w:footnote w:id="3641">
    <w:p>
      <w:pPr>
        <w:pStyle w:val="FootnoteText"/>
      </w:pPr>
      <w:r>
        <w:rPr>
          <w:rStyle w:val="FootnoteReference"/>
        </w:rPr>
        <w:footnoteRef/>
      </w:r>
      <w:r>
        <w:t xml:space="preserve"> Translation note: Greek says wages and price here. Current line keeps that wording.</w:t>
      </w:r>
    </w:p>
  </w:footnote>
  <w:footnote w:id="3642">
    <w:p>
      <w:pPr>
        <w:pStyle w:val="FootnoteText"/>
      </w:pPr>
      <w:r>
        <w:rPr>
          <w:rStyle w:val="FootnoteReference"/>
        </w:rPr>
        <w:footnoteRef/>
      </w:r>
      <w:r>
        <w:t xml:space="preserve"> MT/LXX note: This LXX verse number carries the no-interest-to-brother line rather than the MT foreigner line.</w:t>
      </w:r>
    </w:p>
  </w:footnote>
  <w:footnote w:id="3643">
    <w:p>
      <w:pPr>
        <w:pStyle w:val="FootnoteText"/>
      </w:pPr>
      <w:r>
        <w:rPr>
          <w:rStyle w:val="FootnoteReference"/>
        </w:rPr>
        <w:footnoteRef/>
      </w:r>
      <w:r>
        <w:t xml:space="preserve"> Translation note: Greek states the clause directly and simply. The translation keeps that wording close.</w:t>
      </w:r>
    </w:p>
  </w:footnote>
  <w:footnote w:id="3644">
    <w:p>
      <w:pPr>
        <w:pStyle w:val="FootnoteText"/>
      </w:pPr>
      <w:r>
        <w:rPr>
          <w:rStyle w:val="FootnoteReference"/>
        </w:rPr>
        <w:footnoteRef/>
      </w:r>
      <w:r>
        <w:t xml:space="preserve"> MT/LXX note: The Septuagint places the vow-speech line here rather than the Masoretic vineyard law. The translation follows the Greek content.</w:t>
      </w:r>
    </w:p>
  </w:footnote>
  <w:footnote w:id="3645">
    <w:p>
      <w:pPr>
        <w:pStyle w:val="FootnoteText"/>
      </w:pPr>
      <w:r>
        <w:rPr>
          <w:rStyle w:val="FootnoteReference"/>
        </w:rPr>
        <w:footnoteRef/>
      </w:r>
      <w:r>
        <w:t xml:space="preserve"> Translation note: Greek states the gleaning permission with ears and sickle language. The translation keeps that direct form.</w:t>
      </w:r>
    </w:p>
  </w:footnote>
  <w:footnote w:id="3646">
    <w:p>
      <w:pPr>
        <w:pStyle w:val="FootnoteText"/>
      </w:pPr>
      <w:r>
        <w:rPr>
          <w:rStyle w:val="FootnoteReference"/>
        </w:rPr>
        <w:footnoteRef/>
      </w:r>
      <w:r>
        <w:t xml:space="preserve"> Translation note: Greek says document of divorce.</w:t>
      </w:r>
    </w:p>
  </w:footnote>
  <w:footnote w:id="3647">
    <w:p>
      <w:pPr>
        <w:pStyle w:val="FootnoteText"/>
      </w:pPr>
      <w:r>
        <w:rPr>
          <w:rStyle w:val="FootnoteReference"/>
        </w:rPr>
        <w:footnoteRef/>
      </w:r>
      <w:r>
        <w:t xml:space="preserve"> Cross-references for "send her": Deut 22:19; Deut 22:29.</w:t>
      </w:r>
    </w:p>
  </w:footnote>
  <w:footnote w:id="3648">
    <w:p>
      <w:pPr>
        <w:pStyle w:val="FootnoteText"/>
      </w:pPr>
      <w:r>
        <w:rPr>
          <w:rStyle w:val="FootnoteReference"/>
        </w:rPr>
        <w:footnoteRef/>
      </w:r>
      <w:r>
        <w:t xml:space="preserve"> Translation note: The Greek uses a divorce-document line directly. The current wording preserves that legal wording.</w:t>
      </w:r>
    </w:p>
  </w:footnote>
  <w:footnote w:id="3649">
    <w:p>
      <w:pPr>
        <w:pStyle w:val="FootnoteText"/>
      </w:pPr>
      <w:r>
        <w:rPr>
          <w:rStyle w:val="FootnoteReference"/>
        </w:rPr>
        <w:footnoteRef/>
      </w:r>
      <w:r>
        <w:t xml:space="preserve"> Translation note: Greek includes turning-back wording here. Current line keeps that phrasing.</w:t>
      </w:r>
    </w:p>
  </w:footnote>
  <w:footnote w:id="3650">
    <w:p>
      <w:pPr>
        <w:pStyle w:val="FootnoteText"/>
      </w:pPr>
      <w:r>
        <w:rPr>
          <w:rStyle w:val="FootnoteReference"/>
        </w:rPr>
        <w:footnoteRef/>
      </w:r>
      <w:r>
        <w:t xml:space="preserve"> Cross-references for "a man": Gen 2:24; Deut 20:7.</w:t>
      </w:r>
    </w:p>
  </w:footnote>
  <w:footnote w:id="3651">
    <w:p>
      <w:pPr>
        <w:pStyle w:val="FootnoteText"/>
      </w:pPr>
      <w:r>
        <w:rPr>
          <w:rStyle w:val="FootnoteReference"/>
        </w:rPr>
        <w:footnoteRef/>
      </w:r>
      <w:r>
        <w:t xml:space="preserve"> Cross-references for "life": Gen 44:30; Deut 20:19.</w:t>
      </w:r>
    </w:p>
  </w:footnote>
  <w:footnote w:id="3652">
    <w:p>
      <w:pPr>
        <w:pStyle w:val="FootnoteText"/>
      </w:pPr>
      <w:r>
        <w:rPr>
          <w:rStyle w:val="FootnoteReference"/>
        </w:rPr>
        <w:footnoteRef/>
      </w:r>
      <w:r>
        <w:t xml:space="preserve"> Cross-references for "Remember": Luke 17:32; 1Cor 10:6.</w:t>
      </w:r>
    </w:p>
  </w:footnote>
  <w:footnote w:id="3653">
    <w:p>
      <w:pPr>
        <w:pStyle w:val="FootnoteText"/>
      </w:pPr>
      <w:r>
        <w:rPr>
          <w:rStyle w:val="FootnoteReference"/>
        </w:rPr>
        <w:footnoteRef/>
      </w:r>
      <w:r>
        <w:t xml:space="preserve"> Cross-references for "the sun": Deut 24:15; 2Cor 9:13-14.</w:t>
      </w:r>
    </w:p>
  </w:footnote>
  <w:footnote w:id="3654">
    <w:p>
      <w:pPr>
        <w:pStyle w:val="FootnoteText"/>
      </w:pPr>
      <w:r>
        <w:rPr>
          <w:rStyle w:val="FootnoteReference"/>
        </w:rPr>
        <w:footnoteRef/>
      </w:r>
      <w:r>
        <w:t xml:space="preserve"> Cross-references for "It shall be": Deut 14:29; Deut 24:20-21.</w:t>
      </w:r>
    </w:p>
  </w:footnote>
  <w:footnote w:id="3655">
    <w:p>
      <w:pPr>
        <w:pStyle w:val="FootnoteText"/>
      </w:pPr>
      <w:r>
        <w:rPr>
          <w:rStyle w:val="FootnoteReference"/>
        </w:rPr>
        <w:footnoteRef/>
      </w:r>
      <w:r>
        <w:t xml:space="preserve"> Translation note: Greek keeps fuller charity list here.</w:t>
      </w:r>
    </w:p>
  </w:footnote>
  <w:footnote w:id="3656">
    <w:p>
      <w:pPr>
        <w:pStyle w:val="FootnoteText"/>
      </w:pPr>
      <w:r>
        <w:rPr>
          <w:rStyle w:val="FootnoteReference"/>
        </w:rPr>
        <w:footnoteRef/>
      </w:r>
      <w:r>
        <w:t xml:space="preserve"> Cross-references for "muzzle": Prov 12:10; 1Cor 9:9-10.</w:t>
      </w:r>
    </w:p>
  </w:footnote>
  <w:footnote w:id="3657">
    <w:p>
      <w:pPr>
        <w:pStyle w:val="FootnoteText"/>
      </w:pPr>
      <w:r>
        <w:rPr>
          <w:rStyle w:val="FootnoteReference"/>
        </w:rPr>
        <w:footnoteRef/>
      </w:r>
      <w:r>
        <w:t xml:space="preserve"> Translation note: Greek defines the forbidden husband as a man not near, meaning not closely related. The translation keeps that kinship-language explicit.</w:t>
      </w:r>
    </w:p>
  </w:footnote>
  <w:footnote w:id="3658">
    <w:p>
      <w:pPr>
        <w:pStyle w:val="FootnoteText"/>
      </w:pPr>
      <w:r>
        <w:rPr>
          <w:rStyle w:val="FootnoteReference"/>
        </w:rPr>
        <w:footnoteRef/>
      </w:r>
      <w:r>
        <w:t xml:space="preserve"> Translation note: Greek repeats the refusal more directly here. Current line keeps that repetition.</w:t>
      </w:r>
    </w:p>
  </w:footnote>
  <w:footnote w:id="3659">
    <w:p>
      <w:pPr>
        <w:pStyle w:val="FootnoteText"/>
      </w:pPr>
      <w:r>
        <w:rPr>
          <w:rStyle w:val="FootnoteReference"/>
        </w:rPr>
        <w:footnoteRef/>
      </w:r>
      <w:r>
        <w:t xml:space="preserve"> Cross-references for "spit": Num 12:14; Job 30:10.</w:t>
      </w:r>
    </w:p>
  </w:footnote>
  <w:footnote w:id="3660">
    <w:p>
      <w:pPr>
        <w:pStyle w:val="FootnoteText"/>
      </w:pPr>
      <w:r>
        <w:rPr>
          <w:rStyle w:val="FootnoteReference"/>
        </w:rPr>
        <w:footnoteRef/>
      </w:r>
      <w:r>
        <w:t xml:space="preserve"> Translation note: Greek says sandal rather than shoe. The translation follows that wording.</w:t>
      </w:r>
    </w:p>
  </w:footnote>
  <w:footnote w:id="3661">
    <w:p>
      <w:pPr>
        <w:pStyle w:val="FootnoteText"/>
      </w:pPr>
      <w:r>
        <w:rPr>
          <w:rStyle w:val="FootnoteReference"/>
        </w:rPr>
        <w:footnoteRef/>
      </w:r>
      <w:r>
        <w:t xml:space="preserve"> Translation note: Greek literally says his twins here.</w:t>
      </w:r>
    </w:p>
  </w:footnote>
  <w:footnote w:id="3662">
    <w:p>
      <w:pPr>
        <w:pStyle w:val="FootnoteText"/>
      </w:pPr>
      <w:r>
        <w:rPr>
          <w:rStyle w:val="FootnoteReference"/>
        </w:rPr>
        <w:footnoteRef/>
      </w:r>
      <w:r>
        <w:t xml:space="preserve"> Translation note: Greek opens with a direct remembrance command. Current wording preserves it.</w:t>
      </w:r>
    </w:p>
  </w:footnote>
  <w:footnote w:id="3663">
    <w:p>
      <w:pPr>
        <w:pStyle w:val="FootnoteText"/>
      </w:pPr>
      <w:r>
        <w:rPr>
          <w:rStyle w:val="FootnoteReference"/>
        </w:rPr>
        <w:footnoteRef/>
      </w:r>
      <w:r>
        <w:t xml:space="preserve"> Cross-references for "when the": Josh 23:1.</w:t>
      </w:r>
    </w:p>
  </w:footnote>
  <w:footnote w:id="3664">
    <w:p>
      <w:pPr>
        <w:pStyle w:val="FootnoteText"/>
      </w:pPr>
      <w:r>
        <w:rPr>
          <w:rStyle w:val="FootnoteReference"/>
        </w:rPr>
        <w:footnoteRef/>
      </w:r>
      <w:r>
        <w:t xml:space="preserve"> Translation note: Greek moves through enter → inherit → dwell in sequence. Current wording preserves that land-possession pattern.</w:t>
      </w:r>
    </w:p>
  </w:footnote>
  <w:footnote w:id="3665">
    <w:p>
      <w:pPr>
        <w:pStyle w:val="FootnoteText"/>
      </w:pPr>
      <w:r>
        <w:rPr>
          <w:rStyle w:val="FootnoteReference"/>
        </w:rPr>
        <w:footnoteRef/>
      </w:r>
      <w:r>
        <w:t xml:space="preserve"> Translation note: Greek says chooses for his name to be called there.</w:t>
      </w:r>
    </w:p>
  </w:footnote>
  <w:footnote w:id="3666">
    <w:p>
      <w:pPr>
        <w:pStyle w:val="FootnoteText"/>
      </w:pPr>
      <w:r>
        <w:rPr>
          <w:rStyle w:val="FootnoteReference"/>
        </w:rPr>
        <w:footnoteRef/>
      </w:r>
      <w:r>
        <w:t xml:space="preserve"> Cross-references for "the priest": Deut 19:17; Heb 7:26.</w:t>
      </w:r>
    </w:p>
  </w:footnote>
  <w:footnote w:id="3667">
    <w:p>
      <w:pPr>
        <w:pStyle w:val="FootnoteText"/>
      </w:pPr>
      <w:r>
        <w:rPr>
          <w:rStyle w:val="FootnoteReference"/>
        </w:rPr>
        <w:footnoteRef/>
      </w:r>
      <w:r>
        <w:t xml:space="preserve"> Translation note: Greek says declare/report today here.</w:t>
      </w:r>
    </w:p>
  </w:footnote>
  <w:footnote w:id="3668">
    <w:p>
      <w:pPr>
        <w:pStyle w:val="FootnoteText"/>
      </w:pPr>
      <w:r>
        <w:rPr>
          <w:rStyle w:val="FootnoteReference"/>
        </w:rPr>
        <w:footnoteRef/>
      </w:r>
      <w:r>
        <w:t xml:space="preserve"> Cross-references for "before the": Matt 5:23-24; Matt 23:19.</w:t>
      </w:r>
    </w:p>
  </w:footnote>
  <w:footnote w:id="3669">
    <w:p>
      <w:pPr>
        <w:pStyle w:val="FootnoteText"/>
      </w:pPr>
      <w:r>
        <w:rPr>
          <w:rStyle w:val="FootnoteReference"/>
        </w:rPr>
        <w:footnoteRef/>
      </w:r>
      <w:r>
        <w:t xml:space="preserve"> Cross-references for "became": Gen 47:27; Exod 1:7.</w:t>
      </w:r>
    </w:p>
  </w:footnote>
  <w:footnote w:id="3670">
    <w:p>
      <w:pPr>
        <w:pStyle w:val="FootnoteText"/>
      </w:pPr>
      <w:r>
        <w:rPr>
          <w:rStyle w:val="FootnoteReference"/>
        </w:rPr>
        <w:footnoteRef/>
      </w:r>
      <w:r>
        <w:t xml:space="preserve"> Translation note: Greek reads as departure from Syria rather than the familiar Aramean ready to perish phrase. The translation follows the Greek wording instead of importing the Hebrew idiom.</w:t>
      </w:r>
    </w:p>
  </w:footnote>
  <w:footnote w:id="3671">
    <w:p>
      <w:pPr>
        <w:pStyle w:val="FootnoteText"/>
      </w:pPr>
      <w:r>
        <w:rPr>
          <w:rStyle w:val="FootnoteReference"/>
        </w:rPr>
        <w:footnoteRef/>
      </w:r>
      <w:r>
        <w:t xml:space="preserve"> Cross-references for "we cried": Exod 2:23-25; Exod 6:5.</w:t>
      </w:r>
    </w:p>
  </w:footnote>
  <w:footnote w:id="3672">
    <w:p>
      <w:pPr>
        <w:pStyle w:val="FootnoteText"/>
      </w:pPr>
      <w:r>
        <w:rPr>
          <w:rStyle w:val="FootnoteReference"/>
        </w:rPr>
        <w:footnoteRef/>
      </w:r>
      <w:r>
        <w:t xml:space="preserve"> Cross-references for "the Lord": Exod 12:37; Exod 12:41.</w:t>
      </w:r>
    </w:p>
  </w:footnote>
  <w:footnote w:id="3673">
    <w:p>
      <w:pPr>
        <w:pStyle w:val="FootnoteText"/>
      </w:pPr>
      <w:r>
        <w:rPr>
          <w:rStyle w:val="FootnoteReference"/>
        </w:rPr>
        <w:footnoteRef/>
      </w:r>
      <w:r>
        <w:t xml:space="preserve"> Cross-references for "a land": Exod 3:8; Ezek 20:6.</w:t>
      </w:r>
    </w:p>
  </w:footnote>
  <w:footnote w:id="3674">
    <w:p>
      <w:pPr>
        <w:pStyle w:val="FootnoteText"/>
      </w:pPr>
      <w:r>
        <w:rPr>
          <w:rStyle w:val="FootnoteReference"/>
        </w:rPr>
        <w:footnoteRef/>
      </w:r>
      <w:r>
        <w:t xml:space="preserve"> Translation note: The Greek uses firstfruits language directly. The current wording preserves that line.</w:t>
      </w:r>
    </w:p>
  </w:footnote>
  <w:footnote w:id="3675">
    <w:p>
      <w:pPr>
        <w:pStyle w:val="FootnoteText"/>
      </w:pPr>
      <w:r>
        <w:rPr>
          <w:rStyle w:val="FootnoteReference"/>
        </w:rPr>
        <w:footnoteRef/>
      </w:r>
      <w:r>
        <w:t xml:space="preserve"> Cross-references for "and worship": Deut 6:10-13; Ps 22:27.</w:t>
      </w:r>
    </w:p>
  </w:footnote>
  <w:footnote w:id="3676">
    <w:p>
      <w:pPr>
        <w:pStyle w:val="FootnoteText"/>
      </w:pPr>
      <w:r>
        <w:rPr>
          <w:rStyle w:val="FootnoteReference"/>
        </w:rPr>
        <w:footnoteRef/>
      </w:r>
      <w:r>
        <w:t xml:space="preserve"> Cross-references for "rejoice": Deut 12:7; Deut 12:12.</w:t>
      </w:r>
    </w:p>
  </w:footnote>
  <w:footnote w:id="3677">
    <w:p>
      <w:pPr>
        <w:pStyle w:val="FootnoteText"/>
      </w:pPr>
      <w:r>
        <w:rPr>
          <w:rStyle w:val="FootnoteReference"/>
        </w:rPr>
        <w:footnoteRef/>
      </w:r>
      <w:r>
        <w:t xml:space="preserve"> Cross-references for "the third": Deut 14:22-29.</w:t>
      </w:r>
    </w:p>
  </w:footnote>
  <w:footnote w:id="3678">
    <w:p>
      <w:pPr>
        <w:pStyle w:val="FootnoteText"/>
      </w:pPr>
      <w:r>
        <w:rPr>
          <w:rStyle w:val="FootnoteReference"/>
        </w:rPr>
        <w:footnoteRef/>
      </w:r>
      <w:r>
        <w:t xml:space="preserve"> Translation note: Greek says in the third year, the second tithe.</w:t>
      </w:r>
    </w:p>
  </w:footnote>
  <w:footnote w:id="3679">
    <w:p>
      <w:pPr>
        <w:pStyle w:val="FootnoteText"/>
      </w:pPr>
      <w:r>
        <w:rPr>
          <w:rStyle w:val="FootnoteReference"/>
        </w:rPr>
        <w:footnoteRef/>
      </w:r>
      <w:r>
        <w:t xml:space="preserve"> Cross-references for "Levite": Deut 14:29; Deut 24:19-21.</w:t>
      </w:r>
    </w:p>
  </w:footnote>
  <w:footnote w:id="3680">
    <w:p>
      <w:pPr>
        <w:pStyle w:val="FootnoteText"/>
      </w:pPr>
      <w:r>
        <w:rPr>
          <w:rStyle w:val="FootnoteReference"/>
        </w:rPr>
        <w:footnoteRef/>
      </w:r>
      <w:r>
        <w:t xml:space="preserve"> Translation note: Greek says cleansed holy things here. Current line keeps that wording.</w:t>
      </w:r>
    </w:p>
  </w:footnote>
  <w:footnote w:id="3681">
    <w:p>
      <w:pPr>
        <w:pStyle w:val="FootnoteText"/>
      </w:pPr>
      <w:r>
        <w:rPr>
          <w:rStyle w:val="FootnoteReference"/>
        </w:rPr>
        <w:footnoteRef/>
      </w:r>
      <w:r>
        <w:t xml:space="preserve"> Translation note: Greek says in my grief and did not take from them for uncleanness.</w:t>
      </w:r>
    </w:p>
  </w:footnote>
  <w:footnote w:id="3682">
    <w:p>
      <w:pPr>
        <w:pStyle w:val="FootnoteText"/>
      </w:pPr>
      <w:r>
        <w:rPr>
          <w:rStyle w:val="FootnoteReference"/>
        </w:rPr>
        <w:footnoteRef/>
      </w:r>
      <w:r>
        <w:t xml:space="preserve"> Cross-references for "the dead": Ps 106:28; Ezek 24:17.</w:t>
      </w:r>
    </w:p>
  </w:footnote>
  <w:footnote w:id="3683">
    <w:p>
      <w:pPr>
        <w:pStyle w:val="FootnoteText"/>
      </w:pPr>
      <w:r>
        <w:rPr>
          <w:rStyle w:val="FootnoteReference"/>
        </w:rPr>
        <w:footnoteRef/>
      </w:r>
      <w:r>
        <w:t xml:space="preserve"> Cross-references for "Look down": Deut 26:7; 1Kgs 8:27.</w:t>
      </w:r>
    </w:p>
  </w:footnote>
  <w:footnote w:id="3684">
    <w:p>
      <w:pPr>
        <w:pStyle w:val="FootnoteText"/>
      </w:pPr>
      <w:r>
        <w:rPr>
          <w:rStyle w:val="FootnoteReference"/>
        </w:rPr>
        <w:footnoteRef/>
      </w:r>
      <w:r>
        <w:t xml:space="preserve"> Cross-references for "this day": Deut 4:1-6; Deut 6:1.</w:t>
      </w:r>
    </w:p>
  </w:footnote>
  <w:footnote w:id="3685">
    <w:p>
      <w:pPr>
        <w:pStyle w:val="FootnoteText"/>
      </w:pPr>
      <w:r>
        <w:rPr>
          <w:rStyle w:val="FootnoteReference"/>
        </w:rPr>
        <w:footnoteRef/>
      </w:r>
      <w:r>
        <w:t xml:space="preserve"> Cross-references for "keep": Ps 119:6; Rom 16:26.</w:t>
      </w:r>
    </w:p>
  </w:footnote>
  <w:footnote w:id="3686">
    <w:p>
      <w:pPr>
        <w:pStyle w:val="FootnoteText"/>
      </w:pPr>
      <w:r>
        <w:rPr>
          <w:rStyle w:val="FootnoteReference"/>
        </w:rPr>
        <w:footnoteRef/>
      </w:r>
      <w:r>
        <w:t xml:space="preserve"> Cross-references for "Keep all": Deut 4:1-3; Deut 11:32.</w:t>
      </w:r>
    </w:p>
  </w:footnote>
  <w:footnote w:id="3687">
    <w:p>
      <w:pPr>
        <w:pStyle w:val="FootnoteText"/>
      </w:pPr>
      <w:r>
        <w:rPr>
          <w:rStyle w:val="FootnoteReference"/>
        </w:rPr>
        <w:footnoteRef/>
      </w:r>
      <w:r>
        <w:t xml:space="preserve"> Cross-references for "on the day": Deut 6:1; Deut 9:1.</w:t>
      </w:r>
    </w:p>
  </w:footnote>
  <w:footnote w:id="3688">
    <w:p>
      <w:pPr>
        <w:pStyle w:val="FootnoteText"/>
      </w:pPr>
      <w:r>
        <w:rPr>
          <w:rStyle w:val="FootnoteReference"/>
        </w:rPr>
        <w:footnoteRef/>
      </w:r>
      <w:r>
        <w:t xml:space="preserve"> Translation note: The Greek construction line is direct. The current wording preserves it.</w:t>
      </w:r>
    </w:p>
  </w:footnote>
  <w:footnote w:id="3689">
    <w:p>
      <w:pPr>
        <w:pStyle w:val="FootnoteText"/>
      </w:pPr>
      <w:r>
        <w:rPr>
          <w:rStyle w:val="FootnoteReference"/>
        </w:rPr>
        <w:footnoteRef/>
      </w:r>
      <w:r>
        <w:t xml:space="preserve"> Cross-references for "a land": Lev 20:24; Num 13:27.</w:t>
      </w:r>
    </w:p>
  </w:footnote>
  <w:footnote w:id="3690">
    <w:p>
      <w:pPr>
        <w:pStyle w:val="FootnoteText"/>
      </w:pPr>
      <w:r>
        <w:rPr>
          <w:rStyle w:val="FootnoteReference"/>
        </w:rPr>
        <w:footnoteRef/>
      </w:r>
      <w:r>
        <w:t xml:space="preserve"> Translation note: Greek says as you cross Jordan here. Current line keeps that wording.</w:t>
      </w:r>
    </w:p>
  </w:footnote>
  <w:footnote w:id="3691">
    <w:p>
      <w:pPr>
        <w:pStyle w:val="FootnoteText"/>
      </w:pPr>
      <w:r>
        <w:rPr>
          <w:rStyle w:val="FootnoteReference"/>
        </w:rPr>
        <w:footnoteRef/>
      </w:r>
      <w:r>
        <w:t xml:space="preserve"> Cross-references for "burnt offerings": Lev 1:1-17; Eph 5:2.</w:t>
      </w:r>
    </w:p>
  </w:footnote>
  <w:footnote w:id="3692">
    <w:p>
      <w:pPr>
        <w:pStyle w:val="FootnoteText"/>
      </w:pPr>
      <w:r>
        <w:rPr>
          <w:rStyle w:val="FootnoteReference"/>
        </w:rPr>
        <w:footnoteRef/>
      </w:r>
      <w:r>
        <w:t xml:space="preserve"> Cross-references for "rejoice": Deut 12:7; Deut 12:12.</w:t>
      </w:r>
    </w:p>
  </w:footnote>
  <w:footnote w:id="3693">
    <w:p>
      <w:pPr>
        <w:pStyle w:val="FootnoteText"/>
      </w:pPr>
      <w:r>
        <w:rPr>
          <w:rStyle w:val="FootnoteReference"/>
        </w:rPr>
        <w:footnoteRef/>
      </w:r>
      <w:r>
        <w:t xml:space="preserve"> Cross-references for "this day": Deut 26:16-18; Rom 6:17-18.</w:t>
      </w:r>
    </w:p>
  </w:footnote>
  <w:footnote w:id="3694">
    <w:p>
      <w:pPr>
        <w:pStyle w:val="FootnoteText"/>
      </w:pPr>
      <w:r>
        <w:rPr>
          <w:rStyle w:val="FootnoteReference"/>
        </w:rPr>
        <w:footnoteRef/>
      </w:r>
      <w:r>
        <w:t xml:space="preserve"> Cross-references for "Simeon": Gen 29:33-35; Gen 30:18.</w:t>
      </w:r>
    </w:p>
  </w:footnote>
  <w:footnote w:id="3695">
    <w:p>
      <w:pPr>
        <w:pStyle w:val="FootnoteText"/>
      </w:pPr>
      <w:r>
        <w:rPr>
          <w:rStyle w:val="FootnoteReference"/>
        </w:rPr>
        <w:footnoteRef/>
      </w:r>
      <w:r>
        <w:t xml:space="preserve"> Cross-references for "Mount Ebal": Deut 11:29; Deut 27:4.</w:t>
      </w:r>
    </w:p>
  </w:footnote>
  <w:footnote w:id="3696">
    <w:p>
      <w:pPr>
        <w:pStyle w:val="FootnoteText"/>
      </w:pPr>
      <w:r>
        <w:rPr>
          <w:rStyle w:val="FootnoteReference"/>
        </w:rPr>
        <w:footnoteRef/>
      </w:r>
      <w:r>
        <w:t xml:space="preserve"> Cross-references for "an abomination": Deut 29:17; 1Kgs 11:5-7.</w:t>
      </w:r>
    </w:p>
  </w:footnote>
  <w:footnote w:id="3697">
    <w:p>
      <w:pPr>
        <w:pStyle w:val="FootnoteText"/>
      </w:pPr>
      <w:r>
        <w:rPr>
          <w:rStyle w:val="FootnoteReference"/>
        </w:rPr>
        <w:footnoteRef/>
      </w:r>
      <w:r>
        <w:t xml:space="preserve"> Cross-references for "Cursed": Deut 27:15; Deut 28:15-68.</w:t>
      </w:r>
    </w:p>
  </w:footnote>
  <w:footnote w:id="3698">
    <w:p>
      <w:pPr>
        <w:pStyle w:val="FootnoteText"/>
      </w:pPr>
      <w:r>
        <w:rPr>
          <w:rStyle w:val="FootnoteReference"/>
        </w:rPr>
        <w:footnoteRef/>
      </w:r>
      <w:r>
        <w:t xml:space="preserve"> Cross-references for "will set": Deut 26:19; Ps 91:14.</w:t>
      </w:r>
    </w:p>
  </w:footnote>
  <w:footnote w:id="3699">
    <w:p>
      <w:pPr>
        <w:pStyle w:val="FootnoteText"/>
      </w:pPr>
      <w:r>
        <w:rPr>
          <w:rStyle w:val="FootnoteReference"/>
        </w:rPr>
        <w:footnoteRef/>
      </w:r>
      <w:r>
        <w:t xml:space="preserve"> Translation note: Greek doubles hearing for emphasis here.</w:t>
      </w:r>
    </w:p>
  </w:footnote>
  <w:footnote w:id="3700">
    <w:p>
      <w:pPr>
        <w:pStyle w:val="FootnoteText"/>
      </w:pPr>
      <w:r>
        <w:rPr>
          <w:rStyle w:val="FootnoteReference"/>
        </w:rPr>
        <w:footnoteRef/>
      </w:r>
      <w:r>
        <w:t xml:space="preserve"> Cross-references for "in the city": Ps 107:36-37; Ps 128:1-5.</w:t>
      </w:r>
    </w:p>
  </w:footnote>
  <w:footnote w:id="3701">
    <w:p>
      <w:pPr>
        <w:pStyle w:val="FootnoteText"/>
      </w:pPr>
      <w:r>
        <w:rPr>
          <w:rStyle w:val="FootnoteReference"/>
        </w:rPr>
        <w:footnoteRef/>
      </w:r>
      <w:r>
        <w:t xml:space="preserve"> Cross-references for "storehouses": Lev 26:4-5; Lev 26:10.</w:t>
      </w:r>
    </w:p>
  </w:footnote>
  <w:footnote w:id="3702">
    <w:p>
      <w:pPr>
        <w:pStyle w:val="FootnoteText"/>
      </w:pPr>
      <w:r>
        <w:rPr>
          <w:rStyle w:val="FootnoteReference"/>
        </w:rPr>
        <w:footnoteRef/>
      </w:r>
      <w:r>
        <w:t xml:space="preserve"> Cross-references for "called": Num 6:27; 2Chr 7:14.</w:t>
      </w:r>
    </w:p>
  </w:footnote>
  <w:footnote w:id="3703">
    <w:p>
      <w:pPr>
        <w:pStyle w:val="FootnoteText"/>
      </w:pPr>
      <w:r>
        <w:rPr>
          <w:rStyle w:val="FootnoteReference"/>
        </w:rPr>
        <w:footnoteRef/>
      </w:r>
      <w:r>
        <w:t xml:space="preserve"> Cross-references for "open": Lev 26:4; Deut 11:14.</w:t>
      </w:r>
    </w:p>
  </w:footnote>
  <w:footnote w:id="3704">
    <w:p>
      <w:pPr>
        <w:pStyle w:val="FootnoteText"/>
      </w:pPr>
      <w:r>
        <w:rPr>
          <w:rStyle w:val="FootnoteReference"/>
        </w:rPr>
        <w:footnoteRef/>
      </w:r>
      <w:r>
        <w:t xml:space="preserve"> Translation note: Greek adds the rule-many-nations line here.</w:t>
      </w:r>
    </w:p>
  </w:footnote>
  <w:footnote w:id="3705">
    <w:p>
      <w:pPr>
        <w:pStyle w:val="FootnoteText"/>
      </w:pPr>
      <w:r>
        <w:rPr>
          <w:rStyle w:val="FootnoteReference"/>
        </w:rPr>
        <w:footnoteRef/>
      </w:r>
      <w:r>
        <w:t xml:space="preserve"> Translation note: Greek uses blessing optative here.</w:t>
      </w:r>
    </w:p>
  </w:footnote>
  <w:footnote w:id="3706">
    <w:p>
      <w:pPr>
        <w:pStyle w:val="FootnoteText"/>
      </w:pPr>
      <w:r>
        <w:rPr>
          <w:rStyle w:val="FootnoteReference"/>
        </w:rPr>
        <w:footnoteRef/>
      </w:r>
      <w:r>
        <w:t xml:space="preserve"> Cross-references for "all these curses": Deut 27:15-26; Deut 28:2.</w:t>
      </w:r>
    </w:p>
  </w:footnote>
  <w:footnote w:id="3707">
    <w:p>
      <w:pPr>
        <w:pStyle w:val="FootnoteText"/>
      </w:pPr>
      <w:r>
        <w:rPr>
          <w:rStyle w:val="FootnoteReference"/>
        </w:rPr>
        <w:footnoteRef/>
      </w:r>
      <w:r>
        <w:t xml:space="preserve"> Translation note: Greek says come upon you here. Current line keeps that wording.</w:t>
      </w:r>
    </w:p>
  </w:footnote>
  <w:footnote w:id="3708">
    <w:p>
      <w:pPr>
        <w:pStyle w:val="FootnoteText"/>
      </w:pPr>
      <w:r>
        <w:rPr>
          <w:rStyle w:val="FootnoteReference"/>
        </w:rPr>
        <w:footnoteRef/>
      </w:r>
      <w:r>
        <w:t xml:space="preserve"> Cross-references for "in the city": Deut 28:3-14; Prov 3:33.</w:t>
      </w:r>
    </w:p>
  </w:footnote>
  <w:footnote w:id="3709">
    <w:p>
      <w:pPr>
        <w:pStyle w:val="FootnoteText"/>
      </w:pPr>
      <w:r>
        <w:rPr>
          <w:rStyle w:val="FootnoteReference"/>
        </w:rPr>
        <w:footnoteRef/>
      </w:r>
      <w:r>
        <w:t xml:space="preserve"> Cross-references for "send": Ps 7:11; Mal 2:2.</w:t>
      </w:r>
    </w:p>
  </w:footnote>
  <w:footnote w:id="3710">
    <w:p>
      <w:pPr>
        <w:pStyle w:val="FootnoteText"/>
      </w:pPr>
      <w:r>
        <w:rPr>
          <w:rStyle w:val="FootnoteReference"/>
        </w:rPr>
        <w:footnoteRef/>
      </w:r>
      <w:r>
        <w:t xml:space="preserve"> Translation note: Greek gives a concrete curse triad here rather than a smoother summary.</w:t>
      </w:r>
    </w:p>
  </w:footnote>
  <w:footnote w:id="3711">
    <w:p>
      <w:pPr>
        <w:pStyle w:val="FootnoteText"/>
      </w:pPr>
      <w:r>
        <w:rPr>
          <w:rStyle w:val="FootnoteReference"/>
        </w:rPr>
        <w:footnoteRef/>
      </w:r>
      <w:r>
        <w:t xml:space="preserve"> Cross-references for "scab": Lev 13:2-8; Lev 21:20.</w:t>
      </w:r>
    </w:p>
  </w:footnote>
  <w:footnote w:id="3712">
    <w:p>
      <w:pPr>
        <w:pStyle w:val="FootnoteText"/>
      </w:pPr>
      <w:r>
        <w:rPr>
          <w:rStyle w:val="FootnoteReference"/>
        </w:rPr>
        <w:footnoteRef/>
      </w:r>
      <w:r>
        <w:t xml:space="preserve"> Cross-references for "build": Job 3:18; Isa 5:9-10.</w:t>
      </w:r>
    </w:p>
  </w:footnote>
  <w:footnote w:id="3713">
    <w:p>
      <w:pPr>
        <w:pStyle w:val="FootnoteText"/>
      </w:pPr>
      <w:r>
        <w:rPr>
          <w:rStyle w:val="FootnoteReference"/>
        </w:rPr>
        <w:footnoteRef/>
      </w:r>
      <w:r>
        <w:t xml:space="preserve"> Translation note: Greek says calf here and there shall not be one helping you.</w:t>
      </w:r>
    </w:p>
  </w:footnote>
  <w:footnote w:id="3714">
    <w:p>
      <w:pPr>
        <w:pStyle w:val="FootnoteText"/>
      </w:pPr>
      <w:r>
        <w:rPr>
          <w:rStyle w:val="FootnoteReference"/>
        </w:rPr>
        <w:footnoteRef/>
      </w:r>
      <w:r>
        <w:t xml:space="preserve"> Cross-references for "sons": Deut 28:18; Deut 28:41.</w:t>
      </w:r>
    </w:p>
  </w:footnote>
  <w:footnote w:id="3715">
    <w:p>
      <w:pPr>
        <w:pStyle w:val="FootnoteText"/>
      </w:pPr>
      <w:r>
        <w:rPr>
          <w:rStyle w:val="FootnoteReference"/>
        </w:rPr>
        <w:footnoteRef/>
      </w:r>
      <w:r>
        <w:t xml:space="preserve"> Translation note: Greek expresses the curse as mental derangement from what is seen. Current wording preserves it.</w:t>
      </w:r>
    </w:p>
  </w:footnote>
  <w:footnote w:id="3716">
    <w:p>
      <w:pPr>
        <w:pStyle w:val="FootnoteText"/>
      </w:pPr>
      <w:r>
        <w:rPr>
          <w:rStyle w:val="FootnoteReference"/>
        </w:rPr>
        <w:footnoteRef/>
      </w:r>
      <w:r>
        <w:t xml:space="preserve"> Translation note: Greek doubles the destruction language. The translation keeps that heavier cadence visible.</w:t>
      </w:r>
    </w:p>
  </w:footnote>
  <w:footnote w:id="3717">
    <w:p>
      <w:pPr>
        <w:pStyle w:val="FootnoteText"/>
      </w:pPr>
      <w:r>
        <w:rPr>
          <w:rStyle w:val="FootnoteReference"/>
        </w:rPr>
        <w:footnoteRef/>
      </w:r>
      <w:r>
        <w:t xml:space="preserve"> Translation note: Greek gives the curse result in the signs-and-wonders formula. Current wording preserves that wording.</w:t>
      </w:r>
    </w:p>
  </w:footnote>
  <w:footnote w:id="3718">
    <w:p>
      <w:pPr>
        <w:pStyle w:val="FootnoteText"/>
      </w:pPr>
      <w:r>
        <w:rPr>
          <w:rStyle w:val="FootnoteReference"/>
        </w:rPr>
        <w:footnoteRef/>
      </w:r>
      <w:r>
        <w:t xml:space="preserve"> Cross-references for "serve": 2Chr 12:8; Neh 9:35-37.</w:t>
      </w:r>
    </w:p>
  </w:footnote>
  <w:footnote w:id="3719">
    <w:p>
      <w:pPr>
        <w:pStyle w:val="FootnoteText"/>
      </w:pPr>
      <w:r>
        <w:rPr>
          <w:rStyle w:val="FootnoteReference"/>
        </w:rPr>
        <w:footnoteRef/>
      </w:r>
      <w:r>
        <w:t xml:space="preserve"> Translation note: Greek says collar not yoke here.</w:t>
      </w:r>
    </w:p>
  </w:footnote>
  <w:footnote w:id="3720">
    <w:p>
      <w:pPr>
        <w:pStyle w:val="FootnoteText"/>
      </w:pPr>
      <w:r>
        <w:rPr>
          <w:rStyle w:val="FootnoteReference"/>
        </w:rPr>
        <w:footnoteRef/>
      </w:r>
      <w:r>
        <w:t xml:space="preserve"> Cross-references for "a nation whose": Jer 5:15; Ezek 3:6.</w:t>
      </w:r>
    </w:p>
  </w:footnote>
  <w:footnote w:id="3721">
    <w:p>
      <w:pPr>
        <w:pStyle w:val="FootnoteText"/>
      </w:pPr>
      <w:r>
        <w:rPr>
          <w:rStyle w:val="FootnoteReference"/>
        </w:rPr>
        <w:footnoteRef/>
      </w:r>
      <w:r>
        <w:t xml:space="preserve"> Cross-references for "shall not": 2Chr 36:17; Isa 47:6.</w:t>
      </w:r>
    </w:p>
  </w:footnote>
  <w:footnote w:id="3722">
    <w:p>
      <w:pPr>
        <w:pStyle w:val="FootnoteText"/>
      </w:pPr>
      <w:r>
        <w:rPr>
          <w:rStyle w:val="FootnoteReference"/>
        </w:rPr>
        <w:footnoteRef/>
      </w:r>
      <w:r>
        <w:t xml:space="preserve"> Translation note: Greek says offspring of your cattle and produce of your land.</w:t>
      </w:r>
    </w:p>
  </w:footnote>
  <w:footnote w:id="3723">
    <w:p>
      <w:pPr>
        <w:pStyle w:val="FootnoteText"/>
      </w:pPr>
      <w:r>
        <w:rPr>
          <w:rStyle w:val="FootnoteReference"/>
        </w:rPr>
        <w:footnoteRef/>
      </w:r>
      <w:r>
        <w:t xml:space="preserve"> Translation note: Greek says grind you down and torn down.</w:t>
      </w:r>
    </w:p>
  </w:footnote>
  <w:footnote w:id="3724">
    <w:p>
      <w:pPr>
        <w:pStyle w:val="FootnoteText"/>
      </w:pPr>
      <w:r>
        <w:rPr>
          <w:rStyle w:val="FootnoteReference"/>
        </w:rPr>
        <w:footnoteRef/>
      </w:r>
      <w:r>
        <w:t xml:space="preserve"> Translation note: Greek says offspring of your womb.</w:t>
      </w:r>
    </w:p>
  </w:footnote>
  <w:footnote w:id="3725">
    <w:p>
      <w:pPr>
        <w:pStyle w:val="FootnoteText"/>
      </w:pPr>
      <w:r>
        <w:rPr>
          <w:rStyle w:val="FootnoteReference"/>
        </w:rPr>
        <w:footnoteRef/>
      </w:r>
      <w:r>
        <w:t xml:space="preserve"> Cross-references for "his eye": Deut 15:9; Prov 23:6.</w:t>
      </w:r>
    </w:p>
  </w:footnote>
  <w:footnote w:id="3726">
    <w:p>
      <w:pPr>
        <w:pStyle w:val="FootnoteText"/>
      </w:pPr>
      <w:r>
        <w:rPr>
          <w:rStyle w:val="FootnoteReference"/>
        </w:rPr>
        <w:footnoteRef/>
      </w:r>
      <w:r>
        <w:t xml:space="preserve"> MT/LXX note: Greek uses distress and affliction language here rather than the Masoretic siege wording. The translation follows the Greek phrasing.</w:t>
      </w:r>
    </w:p>
  </w:footnote>
  <w:footnote w:id="3727">
    <w:p>
      <w:pPr>
        <w:pStyle w:val="FootnoteText"/>
      </w:pPr>
      <w:r>
        <w:rPr>
          <w:rStyle w:val="FootnoteReference"/>
        </w:rPr>
        <w:footnoteRef/>
      </w:r>
      <w:r>
        <w:t xml:space="preserve"> Translation note: Greek keeps eye-idiom here.</w:t>
      </w:r>
    </w:p>
  </w:footnote>
  <w:footnote w:id="3728">
    <w:p>
      <w:pPr>
        <w:pStyle w:val="FootnoteText"/>
      </w:pPr>
      <w:r>
        <w:rPr>
          <w:rStyle w:val="FootnoteReference"/>
        </w:rPr>
        <w:footnoteRef/>
      </w:r>
      <w:r>
        <w:t xml:space="preserve"> Translation note: Greek explicitly mentions the afterbirth here.</w:t>
      </w:r>
    </w:p>
  </w:footnote>
  <w:footnote w:id="3729">
    <w:p>
      <w:pPr>
        <w:pStyle w:val="FootnoteText"/>
      </w:pPr>
      <w:r>
        <w:rPr>
          <w:rStyle w:val="FootnoteReference"/>
        </w:rPr>
        <w:footnoteRef/>
      </w:r>
      <w:r>
        <w:t xml:space="preserve"> Cross-references for "for she shall": Deut 28:53.</w:t>
      </w:r>
    </w:p>
  </w:footnote>
  <w:footnote w:id="3730">
    <w:p>
      <w:pPr>
        <w:pStyle w:val="FootnoteText"/>
      </w:pPr>
      <w:r>
        <w:rPr>
          <w:rStyle w:val="FootnoteReference"/>
        </w:rPr>
        <w:footnoteRef/>
      </w:r>
      <w:r>
        <w:t xml:space="preserve"> Translation note: Greek keeps the not-written sickness-and-blow warning explicit. Current wording preserves that judgment formula.</w:t>
      </w:r>
    </w:p>
  </w:footnote>
  <w:footnote w:id="3731">
    <w:p>
      <w:pPr>
        <w:pStyle w:val="FootnoteText"/>
      </w:pPr>
      <w:r>
        <w:rPr>
          <w:rStyle w:val="FootnoteReference"/>
        </w:rPr>
        <w:footnoteRef/>
      </w:r>
      <w:r>
        <w:t xml:space="preserve"> Cross-references for "few in number": Lev 26:22; Deut 4:27.</w:t>
      </w:r>
    </w:p>
  </w:footnote>
  <w:footnote w:id="3732">
    <w:p>
      <w:pPr>
        <w:pStyle w:val="FootnoteText"/>
      </w:pPr>
      <w:r>
        <w:rPr>
          <w:rStyle w:val="FootnoteReference"/>
        </w:rPr>
        <w:footnoteRef/>
      </w:r>
      <w:r>
        <w:t xml:space="preserve"> Cross-references for "rejoiced over": Deut 30:9; Isa 62:5.</w:t>
      </w:r>
    </w:p>
  </w:footnote>
  <w:footnote w:id="3733">
    <w:p>
      <w:pPr>
        <w:pStyle w:val="FootnoteText"/>
      </w:pPr>
      <w:r>
        <w:rPr>
          <w:rStyle w:val="FootnoteReference"/>
        </w:rPr>
        <w:footnoteRef/>
      </w:r>
      <w:r>
        <w:t xml:space="preserve"> Translation note: Greek says rejoice over you to utterly destroy you.</w:t>
      </w:r>
    </w:p>
  </w:footnote>
  <w:footnote w:id="3734">
    <w:p>
      <w:pPr>
        <w:pStyle w:val="FootnoteText"/>
      </w:pPr>
      <w:r>
        <w:rPr>
          <w:rStyle w:val="FootnoteReference"/>
        </w:rPr>
        <w:footnoteRef/>
      </w:r>
      <w:r>
        <w:t xml:space="preserve"> Cross-references for "scatter": Lev 26:33; Deut 4:27-28.</w:t>
      </w:r>
    </w:p>
  </w:footnote>
  <w:footnote w:id="3735">
    <w:p>
      <w:pPr>
        <w:pStyle w:val="FootnoteText"/>
      </w:pPr>
      <w:r>
        <w:rPr>
          <w:rStyle w:val="FootnoteReference"/>
        </w:rPr>
        <w:footnoteRef/>
      </w:r>
      <w:r>
        <w:t xml:space="preserve"> Translation note: Greek says gods wood and stones that neither you nor your fathers trusted.</w:t>
      </w:r>
    </w:p>
  </w:footnote>
  <w:footnote w:id="3736">
    <w:p>
      <w:pPr>
        <w:pStyle w:val="FootnoteText"/>
      </w:pPr>
      <w:r>
        <w:rPr>
          <w:rStyle w:val="FootnoteReference"/>
        </w:rPr>
        <w:footnoteRef/>
      </w:r>
      <w:r>
        <w:t xml:space="preserve"> Cross-references for "the Lord": Lev 26:36; Isa 51:17.</w:t>
      </w:r>
    </w:p>
  </w:footnote>
  <w:footnote w:id="3737">
    <w:p>
      <w:pPr>
        <w:pStyle w:val="FootnoteText"/>
      </w:pPr>
      <w:r>
        <w:rPr>
          <w:rStyle w:val="FootnoteReference"/>
        </w:rPr>
        <w:footnoteRef/>
      </w:r>
      <w:r>
        <w:t xml:space="preserve"> Translation note: Greek uses a direct wish-question form here. Current line keeps that form.</w:t>
      </w:r>
    </w:p>
  </w:footnote>
  <w:footnote w:id="3738">
    <w:p>
      <w:pPr>
        <w:pStyle w:val="FootnoteText"/>
      </w:pPr>
      <w:r>
        <w:rPr>
          <w:rStyle w:val="FootnoteReference"/>
        </w:rPr>
        <w:footnoteRef/>
      </w:r>
      <w:r>
        <w:t xml:space="preserve"> Translation note: Greek says there shall not be one buying.</w:t>
      </w:r>
    </w:p>
  </w:footnote>
  <w:footnote w:id="3739">
    <w:p>
      <w:pPr>
        <w:pStyle w:val="FootnoteText"/>
      </w:pPr>
      <w:r>
        <w:rPr>
          <w:rStyle w:val="FootnoteReference"/>
        </w:rPr>
        <w:footnoteRef/>
      </w:r>
      <w:r>
        <w:t xml:space="preserve"> MT/LXX note: The Septuagint places a historical opening here rather than the Masoretic covenant heading. The translation follows the Greek content.</w:t>
      </w:r>
    </w:p>
  </w:footnote>
  <w:footnote w:id="3740">
    <w:p>
      <w:pPr>
        <w:pStyle w:val="FootnoteText"/>
      </w:pPr>
      <w:r>
        <w:rPr>
          <w:rStyle w:val="FootnoteReference"/>
        </w:rPr>
        <w:footnoteRef/>
      </w:r>
      <w:r>
        <w:t xml:space="preserve"> MT/LXX note: Greek differs sharply here from the MT-shaped line. Current rendering keeps the Greek statement.</w:t>
      </w:r>
    </w:p>
  </w:footnote>
  <w:footnote w:id="3741">
    <w:p>
      <w:pPr>
        <w:pStyle w:val="FootnoteText"/>
      </w:pPr>
      <w:r>
        <w:rPr>
          <w:rStyle w:val="FootnoteReference"/>
        </w:rPr>
        <w:footnoteRef/>
      </w:r>
      <w:r>
        <w:t xml:space="preserve"> MT/LXX note: The Septuagint verse here speaks of what Israel did not eat or drink in the wilderness rather than the Masoretic note about clothing not wearing out. The translation follows the Greek content.</w:t>
      </w:r>
    </w:p>
  </w:footnote>
  <w:footnote w:id="3742">
    <w:p>
      <w:pPr>
        <w:pStyle w:val="FootnoteText"/>
      </w:pPr>
      <w:r>
        <w:rPr>
          <w:rStyle w:val="FootnoteReference"/>
        </w:rPr>
        <w:footnoteRef/>
      </w:r>
      <w:r>
        <w:t xml:space="preserve"> Translation note: Greek says came out to meeting with us in war.</w:t>
      </w:r>
    </w:p>
  </w:footnote>
  <w:footnote w:id="3743">
    <w:p>
      <w:pPr>
        <w:pStyle w:val="FootnoteText"/>
      </w:pPr>
      <w:r>
        <w:rPr>
          <w:rStyle w:val="FootnoteReference"/>
        </w:rPr>
        <w:footnoteRef/>
      </w:r>
      <w:r>
        <w:t xml:space="preserve"> Translation note: Greek row here preserves land-gift clause only.</w:t>
      </w:r>
    </w:p>
  </w:footnote>
  <w:footnote w:id="3744">
    <w:p>
      <w:pPr>
        <w:pStyle w:val="FootnoteText"/>
      </w:pPr>
      <w:r>
        <w:rPr>
          <w:rStyle w:val="FootnoteReference"/>
        </w:rPr>
        <w:footnoteRef/>
      </w:r>
      <w:r>
        <w:t xml:space="preserve"> Translation note: Greek says understand or act with understanding, not prosper. The fresh line keeps that cognitive verb, and this verse also maps differently from the Hebrew numbering around it.</w:t>
      </w:r>
    </w:p>
  </w:footnote>
  <w:footnote w:id="3745">
    <w:p>
      <w:pPr>
        <w:pStyle w:val="FootnoteText"/>
      </w:pPr>
      <w:r>
        <w:rPr>
          <w:rStyle w:val="FootnoteReference"/>
        </w:rPr>
        <w:footnoteRef/>
      </w:r>
      <w:r>
        <w:t xml:space="preserve"> Translation note: The project regularly renders proselutos as proselyte. This verse keeps that consistent covenant-assembly wording.</w:t>
      </w:r>
    </w:p>
  </w:footnote>
  <w:footnote w:id="3746">
    <w:p>
      <w:pPr>
        <w:pStyle w:val="FootnoteText"/>
      </w:pPr>
      <w:r>
        <w:rPr>
          <w:rStyle w:val="FootnoteReference"/>
        </w:rPr>
        <w:footnoteRef/>
      </w:r>
      <w:r>
        <w:t xml:space="preserve"> Translation note: The Septuagint verse here continues the covenant-assembly list. The translation follows the Greek wording at this numbering point.</w:t>
      </w:r>
    </w:p>
  </w:footnote>
  <w:footnote w:id="3747">
    <w:p>
      <w:pPr>
        <w:pStyle w:val="FootnoteText"/>
      </w:pPr>
      <w:r>
        <w:rPr>
          <w:rStyle w:val="FootnoteReference"/>
        </w:rPr>
        <w:footnoteRef/>
      </w:r>
      <w:r>
        <w:t xml:space="preserve"> MT/LXX note: The Septuagint verse here speaks of entering the covenant rather than listing camp members as in the Masoretic numbering. The translation follows the Greek content.</w:t>
      </w:r>
    </w:p>
  </w:footnote>
  <w:footnote w:id="3748">
    <w:p>
      <w:pPr>
        <w:pStyle w:val="FootnoteText"/>
      </w:pPr>
      <w:r>
        <w:rPr>
          <w:rStyle w:val="FootnoteReference"/>
        </w:rPr>
        <w:footnoteRef/>
      </w:r>
      <w:r>
        <w:t xml:space="preserve"> MT/LXX note: The Septuagint verse here continues the covenant speech rather than matching the Masoretic establishment line at this verse number. The translation follows the Greek numbering and content.</w:t>
      </w:r>
    </w:p>
  </w:footnote>
  <w:footnote w:id="3749">
    <w:p>
      <w:pPr>
        <w:pStyle w:val="FootnoteText"/>
      </w:pPr>
      <w:r>
        <w:rPr>
          <w:rStyle w:val="FootnoteReference"/>
        </w:rPr>
        <w:footnoteRef/>
      </w:r>
      <w:r>
        <w:t xml:space="preserve"> MT/LXX note: The Septuagint verse here gives a travel reminder rather than the Masoretic covenant-extension line at this number. The translation follows the Greek content.</w:t>
      </w:r>
    </w:p>
  </w:footnote>
  <w:footnote w:id="3750">
    <w:p>
      <w:pPr>
        <w:pStyle w:val="FootnoteText"/>
      </w:pPr>
      <w:r>
        <w:rPr>
          <w:rStyle w:val="FootnoteReference"/>
        </w:rPr>
        <w:footnoteRef/>
      </w:r>
      <w:r>
        <w:t xml:space="preserve"> MT/LXX note: The Septuagint verse here gives an idol-description line rather than the Masoretic reminder about passing through the nations. The translation follows the Greek numbering and content.</w:t>
      </w:r>
    </w:p>
  </w:footnote>
  <w:footnote w:id="3751">
    <w:p>
      <w:pPr>
        <w:pStyle w:val="FootnoteText"/>
      </w:pPr>
      <w:r>
        <w:rPr>
          <w:rStyle w:val="FootnoteReference"/>
        </w:rPr>
        <w:footnoteRef/>
      </w:r>
      <w:r>
        <w:t xml:space="preserve"> MT/LXX note: The Septuagint verse here contains the root-of-bitterness warning rather than the Masoretic idol-description line at this number. The translation follows the Greek content.</w:t>
      </w:r>
    </w:p>
  </w:footnote>
  <w:footnote w:id="3752">
    <w:p>
      <w:pPr>
        <w:pStyle w:val="FootnoteText"/>
      </w:pPr>
      <w:r>
        <w:rPr>
          <w:rStyle w:val="FootnoteReference"/>
        </w:rPr>
        <w:footnoteRef/>
      </w:r>
      <w:r>
        <w:t xml:space="preserve"> Translation note: Greek here is markedly different and difficult; current wording keeps the transmitted strangeness visible.</w:t>
      </w:r>
    </w:p>
  </w:footnote>
  <w:footnote w:id="3753">
    <w:p>
      <w:pPr>
        <w:pStyle w:val="FootnoteText"/>
      </w:pPr>
      <w:r>
        <w:rPr>
          <w:rStyle w:val="FootnoteReference"/>
        </w:rPr>
        <w:footnoteRef/>
      </w:r>
      <w:r>
        <w:t xml:space="preserve"> Translation note: Greek uses explicit propitiation language here. The translation keeps that wording visible.</w:t>
      </w:r>
    </w:p>
  </w:footnote>
  <w:footnote w:id="3754">
    <w:p>
      <w:pPr>
        <w:pStyle w:val="FootnoteText"/>
      </w:pPr>
      <w:r>
        <w:rPr>
          <w:rStyle w:val="FootnoteReference"/>
        </w:rPr>
        <w:footnoteRef/>
      </w:r>
      <w:r>
        <w:t xml:space="preserve"> Translation note: Greek says the Lord will set him apart for evil.</w:t>
      </w:r>
    </w:p>
  </w:footnote>
  <w:footnote w:id="3755">
    <w:p>
      <w:pPr>
        <w:pStyle w:val="FootnoteText"/>
      </w:pPr>
      <w:r>
        <w:rPr>
          <w:rStyle w:val="FootnoteReference"/>
        </w:rPr>
        <w:footnoteRef/>
      </w:r>
      <w:r>
        <w:t xml:space="preserve"> Cross-references for "all the curses": Deut 27:15-26; Deut 28:15-68.</w:t>
      </w:r>
    </w:p>
  </w:footnote>
  <w:footnote w:id="3756">
    <w:p>
      <w:pPr>
        <w:pStyle w:val="FootnoteText"/>
      </w:pPr>
      <w:r>
        <w:rPr>
          <w:rStyle w:val="FootnoteReference"/>
        </w:rPr>
        <w:footnoteRef/>
      </w:r>
      <w:r>
        <w:t xml:space="preserve"> Translation note: LXX shifts to later-generation witness formula here.</w:t>
      </w:r>
    </w:p>
  </w:footnote>
  <w:footnote w:id="3757">
    <w:p>
      <w:pPr>
        <w:pStyle w:val="FootnoteText"/>
      </w:pPr>
      <w:r>
        <w:rPr>
          <w:rStyle w:val="FootnoteReference"/>
        </w:rPr>
        <w:footnoteRef/>
      </w:r>
      <w:r>
        <w:t xml:space="preserve"> Translation note: Greek fronts sulfur and salt over all its land.</w:t>
      </w:r>
    </w:p>
  </w:footnote>
  <w:footnote w:id="3758">
    <w:p>
      <w:pPr>
        <w:pStyle w:val="FootnoteText"/>
      </w:pPr>
      <w:r>
        <w:rPr>
          <w:rStyle w:val="FootnoteReference"/>
        </w:rPr>
        <w:footnoteRef/>
      </w:r>
      <w:r>
        <w:t xml:space="preserve"> Translation note: Greek says this great wrath of anger.</w:t>
      </w:r>
    </w:p>
  </w:footnote>
  <w:footnote w:id="3759">
    <w:p>
      <w:pPr>
        <w:pStyle w:val="FootnoteText"/>
      </w:pPr>
      <w:r>
        <w:rPr>
          <w:rStyle w:val="FootnoteReference"/>
        </w:rPr>
        <w:footnoteRef/>
      </w:r>
      <w:r>
        <w:t xml:space="preserve"> MT/LXX note: The Septuagint gives the explanatory answer here rather than the Masoretic question. The translation follows the Greek content.</w:t>
      </w:r>
    </w:p>
  </w:footnote>
  <w:footnote w:id="3760">
    <w:p>
      <w:pPr>
        <w:pStyle w:val="FootnoteText"/>
      </w:pPr>
      <w:r>
        <w:rPr>
          <w:rStyle w:val="FootnoteReference"/>
        </w:rPr>
        <w:footnoteRef/>
      </w:r>
      <w:r>
        <w:t xml:space="preserve"> MT/LXX note: The Greek line here corresponds to a different verse-position than the Masoretic numbering around it. The translation keeps the doubled anger expression as written.</w:t>
      </w:r>
    </w:p>
  </w:footnote>
  <w:footnote w:id="3761">
    <w:p>
      <w:pPr>
        <w:pStyle w:val="FootnoteText"/>
      </w:pPr>
      <w:r>
        <w:rPr>
          <w:rStyle w:val="FootnoteReference"/>
        </w:rPr>
        <w:footnoteRef/>
      </w:r>
      <w:r>
        <w:t xml:space="preserve"> Translation note: This Septuagint verse corresponds to the familiar hidden-things saying rather than the Hebrew uprooting verse at this verse number. The translation follows the Greek numbering and content.</w:t>
      </w:r>
    </w:p>
  </w:footnote>
  <w:footnote w:id="3762">
    <w:p>
      <w:pPr>
        <w:pStyle w:val="FootnoteText"/>
      </w:pPr>
      <w:r>
        <w:rPr>
          <w:rStyle w:val="FootnoteReference"/>
        </w:rPr>
        <w:footnoteRef/>
      </w:r>
      <w:r>
        <w:t xml:space="preserve"> Cross-references for "the blessing": Lev 26:1-46; Deut 11:26-28.</w:t>
      </w:r>
    </w:p>
  </w:footnote>
  <w:footnote w:id="3763">
    <w:p>
      <w:pPr>
        <w:pStyle w:val="FootnoteText"/>
      </w:pPr>
      <w:r>
        <w:rPr>
          <w:rStyle w:val="FootnoteReference"/>
        </w:rPr>
        <w:footnoteRef/>
      </w:r>
      <w:r>
        <w:t xml:space="preserve"> Translation note: Greek says receive them into your heart.</w:t>
      </w:r>
    </w:p>
  </w:footnote>
  <w:footnote w:id="3764">
    <w:p>
      <w:pPr>
        <w:pStyle w:val="FootnoteText"/>
      </w:pPr>
      <w:r>
        <w:rPr>
          <w:rStyle w:val="FootnoteReference"/>
        </w:rPr>
        <w:footnoteRef/>
      </w:r>
      <w:r>
        <w:t xml:space="preserve"> Cross-references for "then the": Ps 106:45-47; Ps 126:1-4.</w:t>
      </w:r>
    </w:p>
  </w:footnote>
  <w:footnote w:id="3765">
    <w:p>
      <w:pPr>
        <w:pStyle w:val="FootnoteText"/>
      </w:pPr>
      <w:r>
        <w:rPr>
          <w:rStyle w:val="FootnoteReference"/>
        </w:rPr>
        <w:footnoteRef/>
      </w:r>
      <w:r>
        <w:t xml:space="preserve"> Cross-references for "to love the Lord": Exod 20:6; Deut 6:5.</w:t>
      </w:r>
    </w:p>
  </w:footnote>
  <w:footnote w:id="3766">
    <w:p>
      <w:pPr>
        <w:pStyle w:val="FootnoteText"/>
      </w:pPr>
      <w:r>
        <w:rPr>
          <w:rStyle w:val="FootnoteReference"/>
        </w:rPr>
        <w:footnoteRef/>
      </w:r>
      <w:r>
        <w:t xml:space="preserve"> Translation note: Greek turns the curses back on the enemies. Current wording preserves that reversal.</w:t>
      </w:r>
    </w:p>
  </w:footnote>
  <w:footnote w:id="3767">
    <w:p>
      <w:pPr>
        <w:pStyle w:val="FootnoteText"/>
      </w:pPr>
      <w:r>
        <w:rPr>
          <w:rStyle w:val="FootnoteReference"/>
        </w:rPr>
        <w:footnoteRef/>
      </w:r>
      <w:r>
        <w:t xml:space="preserve"> Translation note: Greek joins return and obedience in one line. Current wording preserves that formula.</w:t>
      </w:r>
    </w:p>
  </w:footnote>
  <w:footnote w:id="3768">
    <w:p>
      <w:pPr>
        <w:pStyle w:val="FootnoteText"/>
      </w:pPr>
      <w:r>
        <w:rPr>
          <w:rStyle w:val="FootnoteReference"/>
        </w:rPr>
        <w:footnoteRef/>
      </w:r>
      <w:r>
        <w:t xml:space="preserve"> Translation note: Greek uses a multiplication or abundance verb. The translation keeps that stronger prosperity language visible.</w:t>
      </w:r>
    </w:p>
  </w:footnote>
  <w:footnote w:id="3769">
    <w:p>
      <w:pPr>
        <w:pStyle w:val="FootnoteText"/>
      </w:pPr>
      <w:r>
        <w:rPr>
          <w:rStyle w:val="FootnoteReference"/>
        </w:rPr>
        <w:footnoteRef/>
      </w:r>
      <w:r>
        <w:t xml:space="preserve"> Translation note: Greek lists three legal categories. The fresh line keeps that fuller sequence.</w:t>
      </w:r>
    </w:p>
  </w:footnote>
  <w:footnote w:id="3770">
    <w:p>
      <w:pPr>
        <w:pStyle w:val="FootnoteText"/>
      </w:pPr>
      <w:r>
        <w:rPr>
          <w:rStyle w:val="FootnoteReference"/>
        </w:rPr>
        <w:footnoteRef/>
      </w:r>
      <w:r>
        <w:t xml:space="preserve"> Cross-references for "very": Ezek 2:5; Ezek 33:33.</w:t>
      </w:r>
    </w:p>
  </w:footnote>
  <w:footnote w:id="3771">
    <w:p>
      <w:pPr>
        <w:pStyle w:val="FootnoteText"/>
      </w:pPr>
      <w:r>
        <w:rPr>
          <w:rStyle w:val="FootnoteReference"/>
        </w:rPr>
        <w:footnoteRef/>
      </w:r>
      <w:r>
        <w:t xml:space="preserve"> Cross-references for "to love": Deut 30:6; Matt 22:37-38.</w:t>
      </w:r>
    </w:p>
  </w:footnote>
  <w:footnote w:id="3772">
    <w:p>
      <w:pPr>
        <w:pStyle w:val="FootnoteText"/>
      </w:pPr>
      <w:r>
        <w:rPr>
          <w:rStyle w:val="FootnoteReference"/>
        </w:rPr>
        <w:footnoteRef/>
      </w:r>
      <w:r>
        <w:t xml:space="preserve"> Translation note: Greek says be many rather than multiply here.</w:t>
      </w:r>
    </w:p>
  </w:footnote>
  <w:footnote w:id="3773">
    <w:p>
      <w:pPr>
        <w:pStyle w:val="FootnoteText"/>
      </w:pPr>
      <w:r>
        <w:rPr>
          <w:rStyle w:val="FootnoteReference"/>
        </w:rPr>
        <w:footnoteRef/>
      </w:r>
      <w:r>
        <w:t xml:space="preserve"> Cross-references for "heart": Deut 17:17.</w:t>
      </w:r>
    </w:p>
  </w:footnote>
  <w:footnote w:id="3774">
    <w:p>
      <w:pPr>
        <w:pStyle w:val="FootnoteText"/>
      </w:pPr>
      <w:r>
        <w:rPr>
          <w:rStyle w:val="FootnoteReference"/>
        </w:rPr>
        <w:footnoteRef/>
      </w:r>
      <w:r>
        <w:t xml:space="preserve"> Cross-references for "I call heaven": Deut 4:26; Deut 31:28.</w:t>
      </w:r>
    </w:p>
  </w:footnote>
  <w:footnote w:id="3775">
    <w:p>
      <w:pPr>
        <w:pStyle w:val="FootnoteText"/>
      </w:pPr>
      <w:r>
        <w:rPr>
          <w:rStyle w:val="FootnoteReference"/>
        </w:rPr>
        <w:footnoteRef/>
      </w:r>
      <w:r>
        <w:t xml:space="preserve"> Translation note: Greek reads this is your life rather than he is your life.</w:t>
      </w:r>
    </w:p>
  </w:footnote>
  <w:footnote w:id="3776">
    <w:p>
      <w:pPr>
        <w:pStyle w:val="FootnoteText"/>
      </w:pPr>
      <w:r>
        <w:rPr>
          <w:rStyle w:val="FootnoteReference"/>
        </w:rPr>
        <w:footnoteRef/>
      </w:r>
      <w:r>
        <w:t xml:space="preserve"> Cross-references for "and Joshua": Num 27:18-21; Deut 3:28.</w:t>
      </w:r>
    </w:p>
  </w:footnote>
  <w:footnote w:id="3777">
    <w:p>
      <w:pPr>
        <w:pStyle w:val="FootnoteText"/>
      </w:pPr>
      <w:r>
        <w:rPr>
          <w:rStyle w:val="FootnoteReference"/>
        </w:rPr>
        <w:footnoteRef/>
      </w:r>
      <w:r>
        <w:t xml:space="preserve"> Cross-references for "And the Lord": Deut 7:2; Deut 7:18.</w:t>
      </w:r>
    </w:p>
  </w:footnote>
  <w:footnote w:id="3778">
    <w:p>
      <w:pPr>
        <w:pStyle w:val="FootnoteText"/>
      </w:pPr>
      <w:r>
        <w:rPr>
          <w:rStyle w:val="FootnoteReference"/>
        </w:rPr>
        <w:footnoteRef/>
      </w:r>
      <w:r>
        <w:t xml:space="preserve"> Cross-references for "Moses": Num 33:2; Deut 31:22-24.</w:t>
      </w:r>
    </w:p>
  </w:footnote>
  <w:footnote w:id="3779">
    <w:p>
      <w:pPr>
        <w:pStyle w:val="FootnoteText"/>
      </w:pPr>
      <w:r>
        <w:rPr>
          <w:rStyle w:val="FootnoteReference"/>
        </w:rPr>
        <w:footnoteRef/>
      </w:r>
      <w:r>
        <w:t xml:space="preserve"> Cross-references for "to appear": Exod 23:16-17; Exod 34:24.</w:t>
      </w:r>
    </w:p>
  </w:footnote>
  <w:footnote w:id="3780">
    <w:p>
      <w:pPr>
        <w:pStyle w:val="FootnoteText"/>
      </w:pPr>
      <w:r>
        <w:rPr>
          <w:rStyle w:val="FootnoteReference"/>
        </w:rPr>
        <w:footnoteRef/>
      </w:r>
      <w:r>
        <w:t xml:space="preserve"> Translation note: Greek gives that fuller assembly list here.</w:t>
      </w:r>
    </w:p>
  </w:footnote>
  <w:footnote w:id="3781">
    <w:p>
      <w:pPr>
        <w:pStyle w:val="FootnoteText"/>
      </w:pPr>
      <w:r>
        <w:rPr>
          <w:rStyle w:val="FootnoteReference"/>
        </w:rPr>
        <w:footnoteRef/>
      </w:r>
      <w:r>
        <w:t xml:space="preserve"> Cross-references for "that they may": Deut 29:29; Ps 34:11-14.</w:t>
      </w:r>
    </w:p>
  </w:footnote>
  <w:footnote w:id="3782">
    <w:p>
      <w:pPr>
        <w:pStyle w:val="FootnoteText"/>
      </w:pPr>
      <w:r>
        <w:rPr>
          <w:rStyle w:val="FootnoteReference"/>
        </w:rPr>
        <w:footnoteRef/>
      </w:r>
      <w:r>
        <w:t xml:space="preserve"> Translation note: Greek says stand by doors of tent here. Current line keeps that wording.</w:t>
      </w:r>
    </w:p>
  </w:footnote>
  <w:footnote w:id="3783">
    <w:p>
      <w:pPr>
        <w:pStyle w:val="FootnoteText"/>
      </w:pPr>
      <w:r>
        <w:rPr>
          <w:rStyle w:val="FootnoteReference"/>
        </w:rPr>
        <w:footnoteRef/>
      </w:r>
      <w:r>
        <w:t xml:space="preserve"> Cross-references for "sleep": Job 20:11.</w:t>
      </w:r>
    </w:p>
  </w:footnote>
  <w:footnote w:id="3784">
    <w:p>
      <w:pPr>
        <w:pStyle w:val="FootnoteText"/>
      </w:pPr>
      <w:r>
        <w:rPr>
          <w:rStyle w:val="FootnoteReference"/>
        </w:rPr>
        <w:footnoteRef/>
      </w:r>
      <w:r>
        <w:t xml:space="preserve"> Translation note: Greek uses prostitute-itself wording here. Current line keeps it.</w:t>
      </w:r>
    </w:p>
  </w:footnote>
  <w:footnote w:id="3785">
    <w:p>
      <w:pPr>
        <w:pStyle w:val="FootnoteText"/>
      </w:pPr>
      <w:r>
        <w:rPr>
          <w:rStyle w:val="FootnoteReference"/>
        </w:rPr>
        <w:footnoteRef/>
      </w:r>
      <w:r>
        <w:t xml:space="preserve"> Translation note: Greek keeps difficult phrase here.</w:t>
      </w:r>
    </w:p>
  </w:footnote>
  <w:footnote w:id="3786">
    <w:p>
      <w:pPr>
        <w:pStyle w:val="FootnoteText"/>
      </w:pPr>
      <w:r>
        <w:rPr>
          <w:rStyle w:val="FootnoteReference"/>
        </w:rPr>
        <w:footnoteRef/>
      </w:r>
      <w:r>
        <w:t xml:space="preserve"> Cross-references for "this song": Deut 31:22; Deut 31:30.</w:t>
      </w:r>
    </w:p>
  </w:footnote>
  <w:footnote w:id="3787">
    <w:p>
      <w:pPr>
        <w:pStyle w:val="FootnoteText"/>
      </w:pPr>
      <w:r>
        <w:rPr>
          <w:rStyle w:val="FootnoteReference"/>
        </w:rPr>
        <w:footnoteRef/>
      </w:r>
      <w:r>
        <w:t xml:space="preserve"> Translation note: Greek says they will scatter my covenant.</w:t>
      </w:r>
    </w:p>
  </w:footnote>
  <w:footnote w:id="3788">
    <w:p>
      <w:pPr>
        <w:pStyle w:val="FootnoteText"/>
      </w:pPr>
      <w:r>
        <w:rPr>
          <w:rStyle w:val="FootnoteReference"/>
        </w:rPr>
        <w:footnoteRef/>
      </w:r>
      <w:r>
        <w:t xml:space="preserve"> Cross-references for "this song": Deut 31:19.</w:t>
      </w:r>
    </w:p>
  </w:footnote>
  <w:footnote w:id="3789">
    <w:p>
      <w:pPr>
        <w:pStyle w:val="FootnoteText"/>
      </w:pPr>
      <w:r>
        <w:rPr>
          <w:rStyle w:val="FootnoteReference"/>
        </w:rPr>
        <w:footnoteRef/>
      </w:r>
      <w:r>
        <w:t xml:space="preserve"> Translation note: Greek says the song shall stand against them as a witness.</w:t>
      </w:r>
    </w:p>
  </w:footnote>
  <w:footnote w:id="3790">
    <w:p>
      <w:pPr>
        <w:pStyle w:val="FootnoteText"/>
      </w:pPr>
      <w:r>
        <w:rPr>
          <w:rStyle w:val="FootnoteReference"/>
        </w:rPr>
        <w:footnoteRef/>
      </w:r>
      <w:r>
        <w:t xml:space="preserve"> Cross-references for "a witness": Deut 31:19; 2Kgs 22:8.</w:t>
      </w:r>
    </w:p>
  </w:footnote>
  <w:footnote w:id="3791">
    <w:p>
      <w:pPr>
        <w:pStyle w:val="FootnoteText"/>
      </w:pPr>
      <w:r>
        <w:rPr>
          <w:rStyle w:val="FootnoteReference"/>
        </w:rPr>
        <w:footnoteRef/>
      </w:r>
      <w:r>
        <w:t xml:space="preserve"> Cross-references for "stiff neck": Exod 32:8; Deut 9:6.</w:t>
      </w:r>
    </w:p>
  </w:footnote>
  <w:footnote w:id="3792">
    <w:p>
      <w:pPr>
        <w:pStyle w:val="FootnoteText"/>
      </w:pPr>
      <w:r>
        <w:rPr>
          <w:rStyle w:val="FootnoteReference"/>
        </w:rPr>
        <w:footnoteRef/>
      </w:r>
      <w:r>
        <w:t xml:space="preserve"> Cross-references for "call heaven": Deut 4:26; Deut 30:19.</w:t>
      </w:r>
    </w:p>
  </w:footnote>
  <w:footnote w:id="3793">
    <w:p>
      <w:pPr>
        <w:pStyle w:val="FootnoteText"/>
      </w:pPr>
      <w:r>
        <w:rPr>
          <w:rStyle w:val="FootnoteReference"/>
        </w:rPr>
        <w:footnoteRef/>
      </w:r>
      <w:r>
        <w:t xml:space="preserve"> Translation note: Greek doubles lawlessness here.</w:t>
      </w:r>
    </w:p>
  </w:footnote>
  <w:footnote w:id="3794">
    <w:p>
      <w:pPr>
        <w:pStyle w:val="FootnoteText"/>
      </w:pPr>
      <w:r>
        <w:rPr>
          <w:rStyle w:val="FootnoteReference"/>
        </w:rPr>
        <w:footnoteRef/>
      </w:r>
      <w:r>
        <w:t xml:space="preserve"> Translation note: Greek uses an in-the-ears formula. Current wording preserves it.</w:t>
      </w:r>
    </w:p>
  </w:footnote>
  <w:footnote w:id="3795">
    <w:p>
      <w:pPr>
        <w:pStyle w:val="FootnoteText"/>
      </w:pPr>
      <w:r>
        <w:rPr>
          <w:rStyle w:val="FootnoteReference"/>
        </w:rPr>
        <w:footnoteRef/>
      </w:r>
      <w:r>
        <w:t xml:space="preserve"> Cross-references for "all his": Gen 18:25; Deut 10:18.</w:t>
      </w:r>
    </w:p>
  </w:footnote>
  <w:footnote w:id="3796">
    <w:p>
      <w:pPr>
        <w:pStyle w:val="FootnoteText"/>
      </w:pPr>
      <w:r>
        <w:rPr>
          <w:rStyle w:val="FootnoteReference"/>
        </w:rPr>
        <w:footnoteRef/>
      </w:r>
      <w:r>
        <w:t xml:space="preserve"> Greek LXX divine name/title: Theos pistos (θεὸς πιστός) — faithful God. Common English rendering: faithful God. The LXX does not preserve Rock here; it renders the divine description with faithful God.</w:t>
      </w:r>
    </w:p>
  </w:footnote>
  <w:footnote w:id="3797">
    <w:p>
      <w:pPr>
        <w:pStyle w:val="FootnoteText"/>
      </w:pPr>
      <w:r>
        <w:rPr>
          <w:rStyle w:val="FootnoteReference"/>
        </w:rPr>
        <w:footnoteRef/>
      </w:r>
      <w:r>
        <w:t xml:space="preserve"> Hebrew divine name/title: Tsur (</w:t>
      </w:r>
      <w:r>
        <w:rPr>
          <w:lang w:val="he-IL" w:bidi="he-IL"/>
          <w:rtl/>
        </w:rPr>
        <w:t xml:space="preserve">צוּר</w:t>
      </w:r>
      <w:r>
        <w:t xml:space="preserve">) — Rock. Common English rendering: Rock. A foundational metaphor for God’s stability, faithfulness, justice, and protection.</w:t>
      </w:r>
    </w:p>
  </w:footnote>
  <w:footnote w:id="3798">
    <w:p>
      <w:pPr>
        <w:pStyle w:val="FootnoteText"/>
      </w:pPr>
      <w:r>
        <w:rPr>
          <w:rStyle w:val="FootnoteReference"/>
        </w:rPr>
        <w:footnoteRef/>
      </w:r>
      <w:r>
        <w:t xml:space="preserve"> Translation note: Greek opens with remember and understand before asking father and elders. Current wording preserves that teaching sequence.</w:t>
      </w:r>
    </w:p>
  </w:footnote>
  <w:footnote w:id="3799">
    <w:p>
      <w:pPr>
        <w:pStyle w:val="FootnoteText"/>
      </w:pPr>
      <w:r>
        <w:rPr>
          <w:rStyle w:val="FootnoteReference"/>
        </w:rPr>
        <w:footnoteRef/>
      </w:r>
      <w:r>
        <w:t xml:space="preserve"> Cross-references for "Remember": Ps 44:1; Ps 77:5.</w:t>
      </w:r>
    </w:p>
  </w:footnote>
  <w:footnote w:id="3800">
    <w:p>
      <w:pPr>
        <w:pStyle w:val="FootnoteText"/>
      </w:pPr>
      <w:r>
        <w:rPr>
          <w:rStyle w:val="FootnoteReference"/>
        </w:rPr>
        <w:footnoteRef/>
      </w:r>
      <w:r>
        <w:t xml:space="preserve"> Cross-references for "Most": Num 24:16; Ps 7:17.</w:t>
      </w:r>
    </w:p>
  </w:footnote>
  <w:footnote w:id="3801">
    <w:p>
      <w:pPr>
        <w:pStyle w:val="FootnoteText"/>
      </w:pPr>
      <w:r>
        <w:rPr>
          <w:rStyle w:val="FootnoteReference"/>
        </w:rPr>
        <w:footnoteRef/>
      </w:r>
      <w:r>
        <w:t xml:space="preserve"> Cross-references for "the Lord's": Exod 15:16; Exod 19:5-6.</w:t>
      </w:r>
    </w:p>
  </w:footnote>
  <w:footnote w:id="3802">
    <w:p>
      <w:pPr>
        <w:pStyle w:val="FootnoteText"/>
      </w:pPr>
      <w:r>
        <w:rPr>
          <w:rStyle w:val="FootnoteReference"/>
        </w:rPr>
        <w:footnoteRef/>
      </w:r>
      <w:r>
        <w:t xml:space="preserve"> Translation note: Greek uses measuring-line language for Israel here. Current wording preserves that inheritance image.</w:t>
      </w:r>
    </w:p>
  </w:footnote>
  <w:footnote w:id="3803">
    <w:p>
      <w:pPr>
        <w:pStyle w:val="FootnoteText"/>
      </w:pPr>
      <w:r>
        <w:rPr>
          <w:rStyle w:val="FootnoteReference"/>
        </w:rPr>
        <w:footnoteRef/>
      </w:r>
      <w:r>
        <w:t xml:space="preserve"> Cross-references for "The Lord": Deut 1:31; Neh 9:12.</w:t>
      </w:r>
    </w:p>
  </w:footnote>
  <w:footnote w:id="3804">
    <w:p>
      <w:pPr>
        <w:pStyle w:val="FootnoteText"/>
      </w:pPr>
      <w:r>
        <w:rPr>
          <w:rStyle w:val="FootnoteReference"/>
        </w:rPr>
        <w:footnoteRef/>
      </w:r>
      <w:r>
        <w:t xml:space="preserve"> Cross-references for "honey": Job 29:6; Ps 81:16.</w:t>
      </w:r>
    </w:p>
  </w:footnote>
  <w:footnote w:id="3805">
    <w:p>
      <w:pPr>
        <w:pStyle w:val="FootnoteText"/>
      </w:pPr>
      <w:r>
        <w:rPr>
          <w:rStyle w:val="FootnoteReference"/>
        </w:rPr>
        <w:footnoteRef/>
      </w:r>
      <w:r>
        <w:t xml:space="preserve"> Cross-references for "butter": Gen 18:8; Judg 5:25.</w:t>
      </w:r>
    </w:p>
  </w:footnote>
  <w:footnote w:id="3806">
    <w:p>
      <w:pPr>
        <w:pStyle w:val="FootnoteText"/>
      </w:pPr>
      <w:r>
        <w:rPr>
          <w:rStyle w:val="FootnoteReference"/>
        </w:rPr>
        <w:footnoteRef/>
      </w:r>
      <w:r>
        <w:t xml:space="preserve"> Cross-references for "kicked": 1Sam 2:29; Acts 9:5.</w:t>
      </w:r>
    </w:p>
  </w:footnote>
  <w:footnote w:id="3807">
    <w:p>
      <w:pPr>
        <w:pStyle w:val="FootnoteText"/>
      </w:pPr>
      <w:r>
        <w:rPr>
          <w:rStyle w:val="FootnoteReference"/>
        </w:rPr>
        <w:footnoteRef/>
      </w:r>
      <w:r>
        <w:t xml:space="preserve"> Hebrew divine name/title: Eloah (</w:t>
      </w:r>
      <w:r>
        <w:rPr>
          <w:lang w:val="he-IL" w:bidi="he-IL"/>
          <w:rtl/>
        </w:rPr>
        <w:t xml:space="preserve">אֱלוֹהַּ</w:t>
      </w:r>
      <w:r>
        <w:t xml:space="preserve">) — God; mighty one. Common English rendering: God. A singular poetic form related to Elohim, used especially in elevated or wisdom-style passages.</w:t>
      </w:r>
    </w:p>
  </w:footnote>
  <w:footnote w:id="3808">
    <w:p>
      <w:pPr>
        <w:pStyle w:val="FootnoteText"/>
      </w:pPr>
      <w:r>
        <w:rPr>
          <w:rStyle w:val="FootnoteReference"/>
        </w:rPr>
        <w:footnoteRef/>
      </w:r>
      <w:r>
        <w:t xml:space="preserve"> Greek LXX divine name/title: Theos (Θεός) — God; mighty one. Common English rendering: God. The LXX commonly uses Theos for Hebrew El, Eloah, and Elohim depending on context.</w:t>
      </w:r>
    </w:p>
  </w:footnote>
  <w:footnote w:id="3809">
    <w:p>
      <w:pPr>
        <w:pStyle w:val="FootnoteText"/>
      </w:pPr>
      <w:r>
        <w:rPr>
          <w:rStyle w:val="FootnoteReference"/>
        </w:rPr>
        <w:footnoteRef/>
      </w:r>
      <w:r>
        <w:t xml:space="preserve"> Cross-references for "provoked": Deut 5:9; 1Kgs 14:22.</w:t>
      </w:r>
    </w:p>
  </w:footnote>
  <w:footnote w:id="3810">
    <w:p>
      <w:pPr>
        <w:pStyle w:val="FootnoteText"/>
      </w:pPr>
      <w:r>
        <w:rPr>
          <w:rStyle w:val="FootnoteReference"/>
        </w:rPr>
        <w:footnoteRef/>
      </w:r>
      <w:r>
        <w:t xml:space="preserve"> Cross-references for "sacrificed": Lev 17:7; Ps 106:37-38.</w:t>
      </w:r>
    </w:p>
  </w:footnote>
  <w:footnote w:id="3811">
    <w:p>
      <w:pPr>
        <w:pStyle w:val="FootnoteText"/>
      </w:pPr>
      <w:r>
        <w:rPr>
          <w:rStyle w:val="FootnoteReference"/>
        </w:rPr>
        <w:footnoteRef/>
      </w:r>
      <w:r>
        <w:t xml:space="preserve"> Cross-references for "of his sons": Ps 82:6-7; Isa 1:2.</w:t>
      </w:r>
    </w:p>
  </w:footnote>
  <w:footnote w:id="3812">
    <w:p>
      <w:pPr>
        <w:pStyle w:val="FootnoteText"/>
      </w:pPr>
      <w:r>
        <w:rPr>
          <w:rStyle w:val="FootnoteReference"/>
        </w:rPr>
        <w:footnoteRef/>
      </w:r>
      <w:r>
        <w:t xml:space="preserve"> Translation note: Greek says without understanding rather than simply foolish. The translation preserves that more precise wording.</w:t>
      </w:r>
    </w:p>
  </w:footnote>
  <w:footnote w:id="3813">
    <w:p>
      <w:pPr>
        <w:pStyle w:val="FootnoteText"/>
      </w:pPr>
      <w:r>
        <w:rPr>
          <w:rStyle w:val="FootnoteReference"/>
        </w:rPr>
        <w:footnoteRef/>
      </w:r>
      <w:r>
        <w:t xml:space="preserve"> Cross-references for "shall consume": Isa 24:6; Isa 24:19-20.</w:t>
      </w:r>
    </w:p>
  </w:footnote>
  <w:footnote w:id="3814">
    <w:p>
      <w:pPr>
        <w:pStyle w:val="FootnoteText"/>
      </w:pPr>
      <w:r>
        <w:rPr>
          <w:rStyle w:val="FootnoteReference"/>
        </w:rPr>
        <w:footnoteRef/>
      </w:r>
      <w:r>
        <w:t xml:space="preserve"> Translation note: Greek stacks the judgment threats here. Current wording preserves that severity.</w:t>
      </w:r>
    </w:p>
  </w:footnote>
  <w:footnote w:id="3815">
    <w:p>
      <w:pPr>
        <w:pStyle w:val="FootnoteText"/>
      </w:pPr>
      <w:r>
        <w:rPr>
          <w:rStyle w:val="FootnoteReference"/>
        </w:rPr>
        <w:footnoteRef/>
      </w:r>
      <w:r>
        <w:t xml:space="preserve"> Cross-references for "spend": Ps 7:12-13; Lam 3:13.</w:t>
      </w:r>
    </w:p>
  </w:footnote>
  <w:footnote w:id="3816">
    <w:p>
      <w:pPr>
        <w:pStyle w:val="FootnoteText"/>
      </w:pPr>
      <w:r>
        <w:rPr>
          <w:rStyle w:val="FootnoteReference"/>
        </w:rPr>
        <w:footnoteRef/>
      </w:r>
      <w:r>
        <w:t xml:space="preserve"> Cross-references for "sword": Lev 26:36-37; Isa 30:16.</w:t>
      </w:r>
    </w:p>
  </w:footnote>
  <w:footnote w:id="3817">
    <w:p>
      <w:pPr>
        <w:pStyle w:val="FootnoteText"/>
      </w:pPr>
      <w:r>
        <w:rPr>
          <w:rStyle w:val="FootnoteReference"/>
        </w:rPr>
        <w:footnoteRef/>
      </w:r>
      <w:r>
        <w:t xml:space="preserve"> Translation note: Greek gives a blunt national assessment. Current wording preserves that phrasing.</w:t>
      </w:r>
    </w:p>
  </w:footnote>
  <w:footnote w:id="3818">
    <w:p>
      <w:pPr>
        <w:pStyle w:val="FootnoteText"/>
      </w:pPr>
      <w:r>
        <w:rPr>
          <w:rStyle w:val="FootnoteReference"/>
        </w:rPr>
        <w:footnoteRef/>
      </w:r>
      <w:r>
        <w:t xml:space="preserve"> Cross-references for "sold them": Judg 2:14; Judg 3:8.</w:t>
      </w:r>
    </w:p>
  </w:footnote>
  <w:footnote w:id="3819">
    <w:p>
      <w:pPr>
        <w:pStyle w:val="FootnoteText"/>
      </w:pPr>
      <w:r>
        <w:rPr>
          <w:rStyle w:val="FootnoteReference"/>
        </w:rPr>
        <w:footnoteRef/>
      </w:r>
      <w:r>
        <w:t xml:space="preserve"> Cross-references for "their foot": Ps 73:17-19; Prov 4:19.</w:t>
      </w:r>
    </w:p>
  </w:footnote>
  <w:footnote w:id="3820">
    <w:p>
      <w:pPr>
        <w:pStyle w:val="FootnoteText"/>
      </w:pPr>
      <w:r>
        <w:rPr>
          <w:rStyle w:val="FootnoteReference"/>
        </w:rPr>
        <w:footnoteRef/>
      </w:r>
      <w:r>
        <w:t xml:space="preserve"> Cross-references for "Let them": Judg 10:14.</w:t>
      </w:r>
    </w:p>
  </w:footnote>
  <w:footnote w:id="3821">
    <w:p>
      <w:pPr>
        <w:pStyle w:val="FootnoteText"/>
      </w:pPr>
      <w:r>
        <w:rPr>
          <w:rStyle w:val="FootnoteReference"/>
        </w:rPr>
        <w:footnoteRef/>
      </w:r>
      <w:r>
        <w:t xml:space="preserve"> Cross-references for "no god": Deut 4:35; Isa 45:5.</w:t>
      </w:r>
    </w:p>
  </w:footnote>
  <w:footnote w:id="3822">
    <w:p>
      <w:pPr>
        <w:pStyle w:val="FootnoteText"/>
      </w:pPr>
      <w:r>
        <w:rPr>
          <w:rStyle w:val="FootnoteReference"/>
        </w:rPr>
        <w:footnoteRef/>
      </w:r>
      <w:r>
        <w:t xml:space="preserve"> Cross-references for "Rejoice": Gen 12:3; 1Kgs 8:43.</w:t>
      </w:r>
    </w:p>
  </w:footnote>
  <w:footnote w:id="3823">
    <w:p>
      <w:pPr>
        <w:pStyle w:val="FootnoteText"/>
      </w:pPr>
      <w:r>
        <w:rPr>
          <w:rStyle w:val="FootnoteReference"/>
        </w:rPr>
        <w:footnoteRef/>
      </w:r>
      <w:r>
        <w:t xml:space="preserve"> Cross-references for "mountain": Num 33:47-48; Deut 34:1.</w:t>
      </w:r>
    </w:p>
  </w:footnote>
  <w:footnote w:id="3824">
    <w:p>
      <w:pPr>
        <w:pStyle w:val="FootnoteText"/>
      </w:pPr>
      <w:r>
        <w:rPr>
          <w:rStyle w:val="FootnoteReference"/>
        </w:rPr>
        <w:footnoteRef/>
      </w:r>
      <w:r>
        <w:t xml:space="preserve"> Translation note: Greek says water of contradiction here.</w:t>
      </w:r>
    </w:p>
  </w:footnote>
  <w:footnote w:id="3825">
    <w:p>
      <w:pPr>
        <w:pStyle w:val="FootnoteText"/>
      </w:pPr>
      <w:r>
        <w:rPr>
          <w:rStyle w:val="FootnoteReference"/>
        </w:rPr>
        <w:footnoteRef/>
      </w:r>
      <w:r>
        <w:t xml:space="preserve"> Cross-references for "the blessing": Gen 27:4; Gen 27:27-29.</w:t>
      </w:r>
    </w:p>
  </w:footnote>
  <w:footnote w:id="3826">
    <w:p>
      <w:pPr>
        <w:pStyle w:val="FootnoteText"/>
      </w:pPr>
      <w:r>
        <w:rPr>
          <w:rStyle w:val="FootnoteReference"/>
        </w:rPr>
        <w:footnoteRef/>
      </w:r>
      <w:r>
        <w:t xml:space="preserve"> Cross-references for "Moses": John 1:17; John 7:19.</w:t>
      </w:r>
    </w:p>
  </w:footnote>
  <w:footnote w:id="3827">
    <w:p>
      <w:pPr>
        <w:pStyle w:val="FootnoteText"/>
      </w:pPr>
      <w:r>
        <w:rPr>
          <w:rStyle w:val="FootnoteReference"/>
        </w:rPr>
        <w:footnoteRef/>
      </w:r>
      <w:r>
        <w:t xml:space="preserve"> Cross-references for "I have not": Gen 29:32; 1Chr 17:17.</w:t>
      </w:r>
    </w:p>
  </w:footnote>
  <w:footnote w:id="3828">
    <w:p>
      <w:pPr>
        <w:pStyle w:val="FootnoteText"/>
      </w:pPr>
      <w:r>
        <w:rPr>
          <w:rStyle w:val="FootnoteReference"/>
        </w:rPr>
        <w:footnoteRef/>
      </w:r>
      <w:r>
        <w:t xml:space="preserve"> Cross-references for "Joseph": Gen 48:5; Gen 48:9.</w:t>
      </w:r>
    </w:p>
  </w:footnote>
  <w:footnote w:id="3829">
    <w:p>
      <w:pPr>
        <w:pStyle w:val="FootnoteText"/>
      </w:pPr>
      <w:r>
        <w:rPr>
          <w:rStyle w:val="FootnoteReference"/>
        </w:rPr>
        <w:footnoteRef/>
      </w:r>
      <w:r>
        <w:t xml:space="preserve"> Cross-references for "the earth": Ps 24:1; Ps 50:12.</w:t>
      </w:r>
    </w:p>
  </w:footnote>
  <w:footnote w:id="3830">
    <w:p>
      <w:pPr>
        <w:pStyle w:val="FootnoteText"/>
      </w:pPr>
      <w:r>
        <w:rPr>
          <w:rStyle w:val="FootnoteReference"/>
        </w:rPr>
        <w:footnoteRef/>
      </w:r>
      <w:r>
        <w:t xml:space="preserve"> Translation note: Greek says acceptable things to the one who appeared in the bush.</w:t>
      </w:r>
    </w:p>
  </w:footnote>
  <w:footnote w:id="3831">
    <w:p>
      <w:pPr>
        <w:pStyle w:val="FootnoteText"/>
      </w:pPr>
      <w:r>
        <w:rPr>
          <w:rStyle w:val="FootnoteReference"/>
        </w:rPr>
        <w:footnoteRef/>
      </w:r>
      <w:r>
        <w:t xml:space="preserve"> Cross-references for "his horns": Num 23:22; Num 24:8.</w:t>
      </w:r>
    </w:p>
  </w:footnote>
  <w:footnote w:id="3832">
    <w:p>
      <w:pPr>
        <w:pStyle w:val="FootnoteText"/>
      </w:pPr>
      <w:r>
        <w:rPr>
          <w:rStyle w:val="FootnoteReference"/>
        </w:rPr>
        <w:footnoteRef/>
      </w:r>
      <w:r>
        <w:t xml:space="preserve"> Translation note: Greek says beauty and horn nations.</w:t>
      </w:r>
    </w:p>
  </w:footnote>
  <w:footnote w:id="3833">
    <w:p>
      <w:pPr>
        <w:pStyle w:val="FootnoteText"/>
      </w:pPr>
      <w:r>
        <w:rPr>
          <w:rStyle w:val="FootnoteReference"/>
        </w:rPr>
        <w:footnoteRef/>
      </w:r>
      <w:r>
        <w:t xml:space="preserve"> Cross-references for "Blessed": Gen 9:26-27; Josh 13:8.</w:t>
      </w:r>
    </w:p>
  </w:footnote>
  <w:footnote w:id="3834">
    <w:p>
      <w:pPr>
        <w:pStyle w:val="FootnoteText"/>
      </w:pPr>
      <w:r>
        <w:rPr>
          <w:rStyle w:val="FootnoteReference"/>
        </w:rPr>
        <w:footnoteRef/>
      </w:r>
      <w:r>
        <w:t xml:space="preserve"> Translation note: Greek says first portion here. Current line keeps that wording.</w:t>
      </w:r>
    </w:p>
  </w:footnote>
  <w:footnote w:id="3835">
    <w:p>
      <w:pPr>
        <w:pStyle w:val="FootnoteText"/>
      </w:pPr>
      <w:r>
        <w:rPr>
          <w:rStyle w:val="FootnoteReference"/>
        </w:rPr>
        <w:footnoteRef/>
      </w:r>
      <w:r>
        <w:t xml:space="preserve"> Cross-references for "none": Exod 15:11; Ps 86:8.</w:t>
      </w:r>
    </w:p>
  </w:footnote>
  <w:footnote w:id="3836">
    <w:p>
      <w:pPr>
        <w:pStyle w:val="FootnoteText"/>
      </w:pPr>
      <w:r>
        <w:rPr>
          <w:rStyle w:val="FootnoteReference"/>
        </w:rPr>
        <w:footnoteRef/>
      </w:r>
      <w:r>
        <w:t xml:space="preserve"> Cross-references for "underneath": Gen 49:24; Prov 10:25.</w:t>
      </w:r>
    </w:p>
  </w:footnote>
  <w:footnote w:id="3837">
    <w:p>
      <w:pPr>
        <w:pStyle w:val="FootnoteText"/>
      </w:pPr>
      <w:r>
        <w:rPr>
          <w:rStyle w:val="FootnoteReference"/>
        </w:rPr>
        <w:footnoteRef/>
      </w:r>
      <w:r>
        <w:t xml:space="preserve"> Cross-references for "Israel": Exod 33:16; Num 23:9.</w:t>
      </w:r>
    </w:p>
  </w:footnote>
  <w:footnote w:id="3838">
    <w:p>
      <w:pPr>
        <w:pStyle w:val="FootnoteText"/>
      </w:pPr>
      <w:r>
        <w:rPr>
          <w:rStyle w:val="FootnoteReference"/>
        </w:rPr>
        <w:footnoteRef/>
      </w:r>
      <w:r>
        <w:t xml:space="preserve"> Cross-references for "saved": Isa 12:2; Isa 45:17.</w:t>
      </w:r>
    </w:p>
  </w:footnote>
  <w:footnote w:id="3839">
    <w:p>
      <w:pPr>
        <w:pStyle w:val="FootnoteText"/>
      </w:pPr>
      <w:r>
        <w:rPr>
          <w:rStyle w:val="FootnoteReference"/>
        </w:rPr>
        <w:footnoteRef/>
      </w:r>
      <w:r>
        <w:t xml:space="preserve"> Translation note: Greek says your sword boasts.</w:t>
      </w:r>
    </w:p>
  </w:footnote>
  <w:footnote w:id="3840">
    <w:p>
      <w:pPr>
        <w:pStyle w:val="FootnoteText"/>
      </w:pPr>
      <w:r>
        <w:rPr>
          <w:rStyle w:val="FootnoteReference"/>
        </w:rPr>
        <w:footnoteRef/>
      </w:r>
      <w:r>
        <w:t xml:space="preserve"> Cross-references for "Pisgah": Num 21:20.</w:t>
      </w:r>
    </w:p>
  </w:footnote>
  <w:footnote w:id="3841">
    <w:p>
      <w:pPr>
        <w:pStyle w:val="FootnoteText"/>
      </w:pPr>
      <w:r>
        <w:rPr>
          <w:rStyle w:val="FootnoteReference"/>
        </w:rPr>
        <w:footnoteRef/>
      </w:r>
      <w:r>
        <w:t xml:space="preserve"> Cross-references for "Zoar": Gen 14:2; Gen 14:8.</w:t>
      </w:r>
    </w:p>
  </w:footnote>
  <w:footnote w:id="3842">
    <w:p>
      <w:pPr>
        <w:pStyle w:val="FootnoteText"/>
      </w:pPr>
      <w:r>
        <w:rPr>
          <w:rStyle w:val="FootnoteReference"/>
        </w:rPr>
        <w:footnoteRef/>
      </w:r>
      <w:r>
        <w:t xml:space="preserve"> Cross-references for "This is the land": Gen 12:7; Gen 13:15.</w:t>
      </w:r>
    </w:p>
  </w:footnote>
  <w:footnote w:id="3843">
    <w:p>
      <w:pPr>
        <w:pStyle w:val="FootnoteText"/>
      </w:pPr>
      <w:r>
        <w:rPr>
          <w:rStyle w:val="FootnoteReference"/>
        </w:rPr>
        <w:footnoteRef/>
      </w:r>
      <w:r>
        <w:t xml:space="preserve"> Place name: Gai. Place-name meaning: Gur — the young of a beast; a whelp. Standard English equivalent: Gur. Source form: Gai. Greek form: γαι.</w:t>
      </w:r>
    </w:p>
  </w:footnote>
  <w:footnote w:id="3844">
    <w:p>
      <w:pPr>
        <w:pStyle w:val="FootnoteText"/>
      </w:pPr>
      <w:r>
        <w:rPr>
          <w:rStyle w:val="FootnoteReference"/>
        </w:rPr>
        <w:footnoteRef/>
      </w:r>
      <w:r>
        <w:t xml:space="preserve"> Cross-references for "Moses": Num 27:18-23; Acts 6:6.</w:t>
      </w:r>
    </w:p>
  </w:footnote>
  <w:footnote w:id="3845">
    <w:p>
      <w:pPr>
        <w:pStyle w:val="FootnoteText"/>
      </w:pPr>
      <w:r>
        <w:rPr>
          <w:rStyle w:val="FootnoteReference"/>
        </w:rPr>
        <w:footnoteRef/>
      </w:r>
      <w:r>
        <w:t xml:space="preserve"> Cross-references for "the Lord": Exod 33:11; Num 12:6-8.</w:t>
      </w:r>
    </w:p>
  </w:footnote>
  <w:footnote w:id="3846">
    <w:p>
      <w:pPr>
        <w:pStyle w:val="FootnoteText"/>
      </w:pPr>
      <w:r>
        <w:rPr>
          <w:rStyle w:val="FootnoteReference"/>
        </w:rPr>
        <w:footnoteRef/>
      </w:r>
      <w:r>
        <w:t xml:space="preserve"> Cross-references for "in all the signs": Deut 4:34; Deut 7:19.</w:t>
      </w:r>
    </w:p>
  </w:footnote>
  <w:footnote w:id="3847">
    <w:p>
      <w:pPr>
        <w:pStyle w:val="FootnoteText"/>
      </w:pPr>
      <w:r>
        <w:rPr>
          <w:rStyle w:val="FootnoteReference"/>
        </w:rPr>
        <w:footnoteRef/>
      </w:r>
      <w:r>
        <w:t xml:space="preserve"> Cross-references for "the death": Deut 33:1; Deut 34:5.</w:t>
      </w:r>
    </w:p>
  </w:footnote>
  <w:footnote w:id="3848">
    <w:p>
      <w:pPr>
        <w:pStyle w:val="FootnoteText"/>
      </w:pPr>
      <w:r>
        <w:rPr>
          <w:rStyle w:val="FootnoteReference"/>
        </w:rPr>
        <w:footnoteRef/>
      </w:r>
      <w:r>
        <w:t xml:space="preserve"> Cross-references for "Moses": Josh 1:1; Isa 42:1.</w:t>
      </w:r>
    </w:p>
  </w:footnote>
  <w:footnote w:id="3849">
    <w:p>
      <w:pPr>
        <w:pStyle w:val="FootnoteText"/>
      </w:pPr>
      <w:r>
        <w:rPr>
          <w:rStyle w:val="FootnoteReference"/>
        </w:rPr>
        <w:footnoteRef/>
      </w:r>
      <w:r>
        <w:t xml:space="preserve"> Cross-references for "From the wilderness": Gen 15:18-21; Exod 23:31.</w:t>
      </w:r>
    </w:p>
  </w:footnote>
  <w:footnote w:id="3850">
    <w:p>
      <w:pPr>
        <w:pStyle w:val="FootnoteText"/>
      </w:pPr>
      <w:r>
        <w:rPr>
          <w:rStyle w:val="FootnoteReference"/>
        </w:rPr>
        <w:footnoteRef/>
      </w:r>
      <w:r>
        <w:t xml:space="preserve"> Cross-references for "as I was": Exod 3:12; Deut 31:8.</w:t>
      </w:r>
    </w:p>
  </w:footnote>
  <w:footnote w:id="3851">
    <w:p>
      <w:pPr>
        <w:pStyle w:val="FootnoteText"/>
      </w:pPr>
      <w:r>
        <w:rPr>
          <w:rStyle w:val="FootnoteReference"/>
        </w:rPr>
        <w:footnoteRef/>
      </w:r>
      <w:r>
        <w:t xml:space="preserve"> Cross-references for "Be strong": Josh 1:7; Josh 1:9.</w:t>
      </w:r>
    </w:p>
  </w:footnote>
  <w:footnote w:id="3852">
    <w:p>
      <w:pPr>
        <w:pStyle w:val="FootnoteText"/>
      </w:pPr>
      <w:r>
        <w:rPr>
          <w:rStyle w:val="FootnoteReference"/>
        </w:rPr>
        <w:footnoteRef/>
      </w:r>
      <w:r>
        <w:t xml:space="preserve"> Translation note: Greek says act like a man and understand in what you do.</w:t>
      </w:r>
    </w:p>
  </w:footnote>
  <w:footnote w:id="3853">
    <w:p>
      <w:pPr>
        <w:pStyle w:val="FootnoteText"/>
      </w:pPr>
      <w:r>
        <w:rPr>
          <w:rStyle w:val="FootnoteReference"/>
        </w:rPr>
        <w:footnoteRef/>
      </w:r>
      <w:r>
        <w:t xml:space="preserve"> Cross-references for "book": Deut 6:6-9; Deut 11:18-19.</w:t>
      </w:r>
    </w:p>
  </w:footnote>
  <w:footnote w:id="3854">
    <w:p>
      <w:pPr>
        <w:pStyle w:val="FootnoteText"/>
      </w:pPr>
      <w:r>
        <w:rPr>
          <w:rStyle w:val="FootnoteReference"/>
        </w:rPr>
        <w:footnoteRef/>
      </w:r>
      <w:r>
        <w:t xml:space="preserve"> Translation note: Greek links understanding with doing. The translation keeps that structure.</w:t>
      </w:r>
    </w:p>
  </w:footnote>
  <w:footnote w:id="3855">
    <w:p>
      <w:pPr>
        <w:pStyle w:val="FootnoteText"/>
      </w:pPr>
      <w:r>
        <w:rPr>
          <w:rStyle w:val="FootnoteReference"/>
        </w:rPr>
        <w:footnoteRef/>
      </w:r>
      <w:r>
        <w:t xml:space="preserve"> Cross-references for "be strong": Josh 1:6-7.</w:t>
      </w:r>
    </w:p>
  </w:footnote>
  <w:footnote w:id="3856">
    <w:p>
      <w:pPr>
        <w:pStyle w:val="FootnoteText"/>
      </w:pPr>
      <w:r>
        <w:rPr>
          <w:rStyle w:val="FootnoteReference"/>
        </w:rPr>
        <w:footnoteRef/>
      </w:r>
      <w:r>
        <w:t xml:space="preserve"> Cross-references for "three days": Exod 19:11; Josh 3:2.</w:t>
      </w:r>
    </w:p>
  </w:footnote>
  <w:footnote w:id="3857">
    <w:p>
      <w:pPr>
        <w:pStyle w:val="FootnoteText"/>
      </w:pPr>
      <w:r>
        <w:rPr>
          <w:rStyle w:val="FootnoteReference"/>
        </w:rPr>
        <w:footnoteRef/>
      </w:r>
      <w:r>
        <w:t xml:space="preserve"> Translation note: Greek explicitly includes the entering participle before possession. The translation keeps that sequence visible.</w:t>
      </w:r>
    </w:p>
  </w:footnote>
  <w:footnote w:id="3858">
    <w:p>
      <w:pPr>
        <w:pStyle w:val="FootnoteText"/>
      </w:pPr>
      <w:r>
        <w:rPr>
          <w:rStyle w:val="FootnoteReference"/>
        </w:rPr>
        <w:footnoteRef/>
      </w:r>
      <w:r>
        <w:t xml:space="preserve"> Cross-references for "Remember": Num 32:20-28; Deut 3:18.</w:t>
      </w:r>
    </w:p>
  </w:footnote>
  <w:footnote w:id="3859">
    <w:p>
      <w:pPr>
        <w:pStyle w:val="FootnoteText"/>
      </w:pPr>
      <w:r>
        <w:rPr>
          <w:rStyle w:val="FootnoteReference"/>
        </w:rPr>
        <w:footnoteRef/>
      </w:r>
      <w:r>
        <w:t xml:space="preserve"> Translation note: Greek says well-armed here. Current line keeps that wording.</w:t>
      </w:r>
    </w:p>
  </w:footnote>
  <w:footnote w:id="3860">
    <w:p>
      <w:pPr>
        <w:pStyle w:val="FootnoteText"/>
      </w:pPr>
      <w:r>
        <w:rPr>
          <w:rStyle w:val="FootnoteReference"/>
        </w:rPr>
        <w:footnoteRef/>
      </w:r>
      <w:r>
        <w:t xml:space="preserve"> Cross-references for "armed": Exod 13:18.</w:t>
      </w:r>
    </w:p>
  </w:footnote>
  <w:footnote w:id="3861">
    <w:p>
      <w:pPr>
        <w:pStyle w:val="FootnoteText"/>
      </w:pPr>
      <w:r>
        <w:rPr>
          <w:rStyle w:val="FootnoteReference"/>
        </w:rPr>
        <w:footnoteRef/>
      </w:r>
      <w:r>
        <w:t xml:space="preserve"> Translation note: Greek says go away, each one to his inheritance.</w:t>
      </w:r>
    </w:p>
  </w:footnote>
  <w:footnote w:id="3862">
    <w:p>
      <w:pPr>
        <w:pStyle w:val="FootnoteText"/>
      </w:pPr>
      <w:r>
        <w:rPr>
          <w:rStyle w:val="FootnoteReference"/>
        </w:rPr>
        <w:footnoteRef/>
      </w:r>
      <w:r>
        <w:t xml:space="preserve"> Translation note: Greek opens the response with a direct do-what-you-command formula. Current wording preserves it.</w:t>
      </w:r>
    </w:p>
  </w:footnote>
  <w:footnote w:id="3863">
    <w:p>
      <w:pPr>
        <w:pStyle w:val="FootnoteText"/>
      </w:pPr>
      <w:r>
        <w:rPr>
          <w:rStyle w:val="FootnoteReference"/>
        </w:rPr>
        <w:footnoteRef/>
      </w:r>
      <w:r>
        <w:t xml:space="preserve"> Cross-references for "Shittim": Num 25:1; Num 33:49.</w:t>
      </w:r>
    </w:p>
  </w:footnote>
  <w:footnote w:id="3864">
    <w:p>
      <w:pPr>
        <w:pStyle w:val="FootnoteText"/>
      </w:pPr>
      <w:r>
        <w:rPr>
          <w:rStyle w:val="FootnoteReference"/>
        </w:rPr>
        <w:footnoteRef/>
      </w:r>
      <w:r>
        <w:t xml:space="preserve"> Name meaning: Rahab (Rachav) — Broad; spacious. God’s mercy was broad enough to save a Canaanite prostitute.</w:t>
      </w:r>
    </w:p>
  </w:footnote>
  <w:footnote w:id="3865">
    <w:p>
      <w:pPr>
        <w:pStyle w:val="FootnoteText"/>
      </w:pPr>
      <w:r>
        <w:rPr>
          <w:rStyle w:val="FootnoteReference"/>
        </w:rPr>
        <w:footnoteRef/>
      </w:r>
      <w:r>
        <w:t xml:space="preserve"> Cross-references for "Bring": Gen 38:24; Lev 24:14.</w:t>
      </w:r>
    </w:p>
  </w:footnote>
  <w:footnote w:id="3866">
    <w:p>
      <w:pPr>
        <w:pStyle w:val="FootnoteText"/>
      </w:pPr>
      <w:r>
        <w:rPr>
          <w:rStyle w:val="FootnoteReference"/>
        </w:rPr>
        <w:footnoteRef/>
      </w:r>
      <w:r>
        <w:t xml:space="preserve"> Cross-references for "the men went out": Jer 50:20; Rom 3:7-8.</w:t>
      </w:r>
    </w:p>
  </w:footnote>
  <w:footnote w:id="3867">
    <w:p>
      <w:pPr>
        <w:pStyle w:val="FootnoteText"/>
      </w:pPr>
      <w:r>
        <w:rPr>
          <w:rStyle w:val="FootnoteReference"/>
        </w:rPr>
        <w:footnoteRef/>
      </w:r>
      <w:r>
        <w:t xml:space="preserve"> Cross-references for "to the roof": Exod 1:15-21; Deut 22:8.</w:t>
      </w:r>
    </w:p>
  </w:footnote>
  <w:footnote w:id="3868">
    <w:p>
      <w:pPr>
        <w:pStyle w:val="FootnoteText"/>
      </w:pPr>
      <w:r>
        <w:rPr>
          <w:rStyle w:val="FootnoteReference"/>
        </w:rPr>
        <w:footnoteRef/>
      </w:r>
      <w:r>
        <w:t xml:space="preserve"> Cross-references for "that the Lord": Gen 13:14-17; Gen 15:18-21.</w:t>
      </w:r>
    </w:p>
  </w:footnote>
  <w:footnote w:id="3869">
    <w:p>
      <w:pPr>
        <w:pStyle w:val="FootnoteText"/>
      </w:pPr>
      <w:r>
        <w:rPr>
          <w:rStyle w:val="FootnoteReference"/>
        </w:rPr>
        <w:footnoteRef/>
      </w:r>
      <w:r>
        <w:t xml:space="preserve"> Cross-references for "for we": Exod 14:21-31; Exod 15:14-16.</w:t>
      </w:r>
    </w:p>
  </w:footnote>
  <w:footnote w:id="3870">
    <w:p>
      <w:pPr>
        <w:pStyle w:val="FootnoteText"/>
      </w:pPr>
      <w:r>
        <w:rPr>
          <w:rStyle w:val="FootnoteReference"/>
        </w:rPr>
        <w:footnoteRef/>
      </w:r>
      <w:r>
        <w:t xml:space="preserve"> Translation note: Greek explicitly says Red Sea and whom you utterly destroyed.</w:t>
      </w:r>
    </w:p>
  </w:footnote>
  <w:footnote w:id="3871">
    <w:p>
      <w:pPr>
        <w:pStyle w:val="FootnoteText"/>
      </w:pPr>
      <w:r>
        <w:rPr>
          <w:rStyle w:val="FootnoteReference"/>
        </w:rPr>
        <w:footnoteRef/>
      </w:r>
      <w:r>
        <w:t xml:space="preserve"> Cross-references for "swear": Josh 9:15; Josh 9:18-20.</w:t>
      </w:r>
    </w:p>
  </w:footnote>
  <w:footnote w:id="3872">
    <w:p>
      <w:pPr>
        <w:pStyle w:val="FootnoteText"/>
      </w:pPr>
      <w:r>
        <w:rPr>
          <w:rStyle w:val="FootnoteReference"/>
        </w:rPr>
        <w:footnoteRef/>
      </w:r>
      <w:r>
        <w:t xml:space="preserve"> Cross-references for "my father": Josh 2:13.</w:t>
      </w:r>
    </w:p>
  </w:footnote>
  <w:footnote w:id="3873">
    <w:p>
      <w:pPr>
        <w:pStyle w:val="FootnoteText"/>
      </w:pPr>
      <w:r>
        <w:rPr>
          <w:rStyle w:val="FootnoteReference"/>
        </w:rPr>
        <w:footnoteRef/>
      </w:r>
      <w:r>
        <w:t xml:space="preserve"> Cross-references for "for yours": 1Kgs 20:39.</w:t>
      </w:r>
    </w:p>
  </w:footnote>
  <w:footnote w:id="3874">
    <w:p>
      <w:pPr>
        <w:pStyle w:val="FootnoteText"/>
      </w:pPr>
      <w:r>
        <w:rPr>
          <w:rStyle w:val="FootnoteReference"/>
        </w:rPr>
        <w:footnoteRef/>
      </w:r>
      <w:r>
        <w:t xml:space="preserve"> Cross-references for "she let them": 1Sam 19:12-17; Acts 9:25.</w:t>
      </w:r>
    </w:p>
  </w:footnote>
  <w:footnote w:id="3875">
    <w:p>
      <w:pPr>
        <w:pStyle w:val="FootnoteText"/>
      </w:pPr>
      <w:r>
        <w:rPr>
          <w:rStyle w:val="FootnoteReference"/>
        </w:rPr>
        <w:footnoteRef/>
      </w:r>
      <w:r>
        <w:t xml:space="preserve"> Translation note: Greek uses liability language here.</w:t>
      </w:r>
    </w:p>
  </w:footnote>
  <w:footnote w:id="3876">
    <w:p>
      <w:pPr>
        <w:pStyle w:val="FootnoteText"/>
      </w:pPr>
      <w:r>
        <w:rPr>
          <w:rStyle w:val="FootnoteReference"/>
        </w:rPr>
        <w:footnoteRef/>
      </w:r>
      <w:r>
        <w:t xml:space="preserve"> Cross-references for "rose early": Gen 22:3; Deut 1:3.</w:t>
      </w:r>
    </w:p>
  </w:footnote>
  <w:footnote w:id="3877">
    <w:p>
      <w:pPr>
        <w:pStyle w:val="FootnoteText"/>
      </w:pPr>
      <w:r>
        <w:rPr>
          <w:rStyle w:val="FootnoteReference"/>
        </w:rPr>
        <w:footnoteRef/>
      </w:r>
      <w:r>
        <w:t xml:space="preserve"> Cross-references for "three days": Josh 1:10-11.</w:t>
      </w:r>
    </w:p>
  </w:footnote>
  <w:footnote w:id="3878">
    <w:p>
      <w:pPr>
        <w:pStyle w:val="FootnoteText"/>
      </w:pPr>
      <w:r>
        <w:rPr>
          <w:rStyle w:val="FootnoteReference"/>
        </w:rPr>
        <w:footnoteRef/>
      </w:r>
      <w:r>
        <w:t xml:space="preserve"> Translation note: Greek says depart from your places here. Current line keeps that wording.</w:t>
      </w:r>
    </w:p>
  </w:footnote>
  <w:footnote w:id="3879">
    <w:p>
      <w:pPr>
        <w:pStyle w:val="FootnoteText"/>
      </w:pPr>
      <w:r>
        <w:rPr>
          <w:rStyle w:val="FootnoteReference"/>
        </w:rPr>
        <w:footnoteRef/>
      </w:r>
      <w:r>
        <w:t xml:space="preserve"> Translation note: Greek keeps the odd before-yesterday-or-third-day phrase.</w:t>
      </w:r>
    </w:p>
  </w:footnote>
  <w:footnote w:id="3880">
    <w:p>
      <w:pPr>
        <w:pStyle w:val="FootnoteText"/>
      </w:pPr>
      <w:r>
        <w:rPr>
          <w:rStyle w:val="FootnoteReference"/>
        </w:rPr>
        <w:footnoteRef/>
      </w:r>
      <w:r>
        <w:t xml:space="preserve"> Cross-references for "the Lord": Josh 3:13; Josh 3:15.</w:t>
      </w:r>
    </w:p>
  </w:footnote>
  <w:footnote w:id="3881">
    <w:p>
      <w:pPr>
        <w:pStyle w:val="FootnoteText"/>
      </w:pPr>
      <w:r>
        <w:rPr>
          <w:rStyle w:val="FootnoteReference"/>
        </w:rPr>
        <w:footnoteRef/>
      </w:r>
      <w:r>
        <w:t xml:space="preserve"> Cross-references for "as I was": Josh 1:5; Josh 1:17.</w:t>
      </w:r>
    </w:p>
  </w:footnote>
  <w:footnote w:id="3882">
    <w:p>
      <w:pPr>
        <w:pStyle w:val="FootnoteText"/>
      </w:pPr>
      <w:r>
        <w:rPr>
          <w:rStyle w:val="FootnoteReference"/>
        </w:rPr>
        <w:footnoteRef/>
      </w:r>
      <w:r>
        <w:t xml:space="preserve"> Cross-references for "command": Josh 3:3; 1Chr 15:11-12.</w:t>
      </w:r>
    </w:p>
  </w:footnote>
  <w:footnote w:id="3883">
    <w:p>
      <w:pPr>
        <w:pStyle w:val="FootnoteText"/>
      </w:pPr>
      <w:r>
        <w:rPr>
          <w:rStyle w:val="FootnoteReference"/>
        </w:rPr>
        <w:footnoteRef/>
      </w:r>
      <w:r>
        <w:t xml:space="preserve"> Cross-references for "living": Deut 5:26; 1Sam 17:26.</w:t>
      </w:r>
    </w:p>
  </w:footnote>
  <w:footnote w:id="3884">
    <w:p>
      <w:pPr>
        <w:pStyle w:val="FootnoteText"/>
      </w:pPr>
      <w:r>
        <w:rPr>
          <w:rStyle w:val="FootnoteReference"/>
        </w:rPr>
        <w:footnoteRef/>
      </w:r>
      <w:r>
        <w:t xml:space="preserve"> Cross-references for "the Lord": Josh 3:13; Ps 24:1.</w:t>
      </w:r>
    </w:p>
  </w:footnote>
  <w:footnote w:id="3885">
    <w:p>
      <w:pPr>
        <w:pStyle w:val="FootnoteText"/>
      </w:pPr>
      <w:r>
        <w:rPr>
          <w:rStyle w:val="FootnoteReference"/>
        </w:rPr>
        <w:footnoteRef/>
      </w:r>
      <w:r>
        <w:t xml:space="preserve"> Cross-references for "of the Lord": Josh 3:11.</w:t>
      </w:r>
    </w:p>
  </w:footnote>
  <w:footnote w:id="3886">
    <w:p>
      <w:pPr>
        <w:pStyle w:val="FootnoteText"/>
      </w:pPr>
      <w:r>
        <w:rPr>
          <w:rStyle w:val="FootnoteReference"/>
        </w:rPr>
        <w:footnoteRef/>
      </w:r>
      <w:r>
        <w:t xml:space="preserve"> Translation note: Greek says the water of the Jordan will fail.</w:t>
      </w:r>
    </w:p>
  </w:footnote>
  <w:footnote w:id="3887">
    <w:p>
      <w:pPr>
        <w:pStyle w:val="FootnoteText"/>
      </w:pPr>
      <w:r>
        <w:rPr>
          <w:rStyle w:val="FootnoteReference"/>
        </w:rPr>
        <w:footnoteRef/>
      </w:r>
      <w:r>
        <w:t xml:space="preserve"> Cross-references for "the feet": Josh 3:13; Isa 26:6.</w:t>
      </w:r>
    </w:p>
  </w:footnote>
  <w:footnote w:id="3888">
    <w:p>
      <w:pPr>
        <w:pStyle w:val="FootnoteText"/>
      </w:pPr>
      <w:r>
        <w:rPr>
          <w:rStyle w:val="FootnoteReference"/>
        </w:rPr>
        <w:footnoteRef/>
      </w:r>
      <w:r>
        <w:t xml:space="preserve"> Translation note: Greek gives this doubled-distance phrase and Kariathiarim.</w:t>
      </w:r>
    </w:p>
  </w:footnote>
  <w:footnote w:id="3889">
    <w:p>
      <w:pPr>
        <w:pStyle w:val="FootnoteText"/>
      </w:pPr>
      <w:r>
        <w:rPr>
          <w:rStyle w:val="FootnoteReference"/>
        </w:rPr>
        <w:footnoteRef/>
      </w:r>
      <w:r>
        <w:t xml:space="preserve"> Transliterated proper noun: Kirjathjearim. Standard English equivalent: Kirjathjearim. Source form: Kirjathjearim. Greek form: καριαθιαριμ. Name meaning: city of woods.</w:t>
      </w:r>
    </w:p>
  </w:footnote>
  <w:footnote w:id="3890">
    <w:p>
      <w:pPr>
        <w:pStyle w:val="FootnoteText"/>
      </w:pPr>
      <w:r>
        <w:rPr>
          <w:rStyle w:val="FootnoteReference"/>
        </w:rPr>
        <w:footnoteRef/>
      </w:r>
      <w:r>
        <w:t xml:space="preserve"> Cross-references for "the Salt Sea": Gen 14:3; Num 34:3.</w:t>
      </w:r>
    </w:p>
  </w:footnote>
  <w:footnote w:id="3891">
    <w:p>
      <w:pPr>
        <w:pStyle w:val="FootnoteText"/>
      </w:pPr>
      <w:r>
        <w:rPr>
          <w:rStyle w:val="FootnoteReference"/>
        </w:rPr>
        <w:footnoteRef/>
      </w:r>
      <w:r>
        <w:t xml:space="preserve"> Cross-references for "the priests": Josh 3:3-6.</w:t>
      </w:r>
    </w:p>
  </w:footnote>
  <w:footnote w:id="3892">
    <w:p>
      <w:pPr>
        <w:pStyle w:val="FootnoteText"/>
      </w:pPr>
      <w:r>
        <w:rPr>
          <w:rStyle w:val="FootnoteReference"/>
        </w:rPr>
        <w:footnoteRef/>
      </w:r>
      <w:r>
        <w:t xml:space="preserve"> Translation note: Greek line matches current rendering closely here.</w:t>
      </w:r>
    </w:p>
  </w:footnote>
  <w:footnote w:id="3893">
    <w:p>
      <w:pPr>
        <w:pStyle w:val="FootnoteText"/>
      </w:pPr>
      <w:r>
        <w:rPr>
          <w:rStyle w:val="FootnoteReference"/>
        </w:rPr>
        <w:footnoteRef/>
      </w:r>
      <w:r>
        <w:t xml:space="preserve"> Translation note: Greek says ready stones here. Current line keeps that wording.</w:t>
      </w:r>
    </w:p>
  </w:footnote>
  <w:footnote w:id="3894">
    <w:p>
      <w:pPr>
        <w:pStyle w:val="FootnoteText"/>
      </w:pPr>
      <w:r>
        <w:rPr>
          <w:rStyle w:val="FootnoteReference"/>
        </w:rPr>
        <w:footnoteRef/>
      </w:r>
      <w:r>
        <w:t xml:space="preserve"> Cross-references for "a sign": Exod 12:14; Exod 13:9.</w:t>
      </w:r>
    </w:p>
  </w:footnote>
  <w:footnote w:id="3895">
    <w:p>
      <w:pPr>
        <w:pStyle w:val="FootnoteText"/>
      </w:pPr>
      <w:r>
        <w:rPr>
          <w:rStyle w:val="FootnoteReference"/>
        </w:rPr>
        <w:footnoteRef/>
      </w:r>
      <w:r>
        <w:t xml:space="preserve"> Translation note: Greek says Jordan failed from before ark.</w:t>
      </w:r>
    </w:p>
  </w:footnote>
  <w:footnote w:id="3896">
    <w:p>
      <w:pPr>
        <w:pStyle w:val="FootnoteText"/>
      </w:pPr>
      <w:r>
        <w:rPr>
          <w:rStyle w:val="FootnoteReference"/>
        </w:rPr>
        <w:footnoteRef/>
      </w:r>
      <w:r>
        <w:t xml:space="preserve"> Cross-references for "memorial": Exod 12:14; Exod 28:12.</w:t>
      </w:r>
    </w:p>
  </w:footnote>
  <w:footnote w:id="3897">
    <w:p>
      <w:pPr>
        <w:pStyle w:val="FootnoteText"/>
      </w:pPr>
      <w:r>
        <w:rPr>
          <w:rStyle w:val="FootnoteReference"/>
        </w:rPr>
        <w:footnoteRef/>
      </w:r>
      <w:r>
        <w:t xml:space="preserve"> Translation note: Greek says at completion of crossing of sons of Israel.</w:t>
      </w:r>
    </w:p>
  </w:footnote>
  <w:footnote w:id="3898">
    <w:p>
      <w:pPr>
        <w:pStyle w:val="FootnoteText"/>
      </w:pPr>
      <w:r>
        <w:rPr>
          <w:rStyle w:val="FootnoteReference"/>
        </w:rPr>
        <w:footnoteRef/>
      </w:r>
      <w:r>
        <w:t xml:space="preserve"> Cross-references for "and they are there": Gen 26:33; Deut 34:6.</w:t>
      </w:r>
    </w:p>
  </w:footnote>
  <w:footnote w:id="3899">
    <w:p>
      <w:pPr>
        <w:pStyle w:val="FootnoteText"/>
      </w:pPr>
      <w:r>
        <w:rPr>
          <w:rStyle w:val="FootnoteReference"/>
        </w:rPr>
        <w:footnoteRef/>
      </w:r>
      <w:r>
        <w:t xml:space="preserve"> Translation note: Greek says Joshua finished what the Lord commanded to report to the people.</w:t>
      </w:r>
    </w:p>
  </w:footnote>
  <w:footnote w:id="3900">
    <w:p>
      <w:pPr>
        <w:pStyle w:val="FootnoteText"/>
      </w:pPr>
      <w:r>
        <w:rPr>
          <w:rStyle w:val="FootnoteReference"/>
        </w:rPr>
        <w:footnoteRef/>
      </w:r>
      <w:r>
        <w:t xml:space="preserve"> Cross-references for "magnified": Josh 1:16-18; Josh 3:7.</w:t>
      </w:r>
    </w:p>
  </w:footnote>
  <w:footnote w:id="3901">
    <w:p>
      <w:pPr>
        <w:pStyle w:val="FootnoteText"/>
      </w:pPr>
      <w:r>
        <w:rPr>
          <w:rStyle w:val="FootnoteReference"/>
        </w:rPr>
        <w:footnoteRef/>
      </w:r>
      <w:r>
        <w:t xml:space="preserve"> Translation note: Greek says as yesterday and the third day.</w:t>
      </w:r>
    </w:p>
  </w:footnote>
  <w:footnote w:id="3902">
    <w:p>
      <w:pPr>
        <w:pStyle w:val="FootnoteText"/>
      </w:pPr>
      <w:r>
        <w:rPr>
          <w:rStyle w:val="FootnoteReference"/>
        </w:rPr>
        <w:footnoteRef/>
      </w:r>
      <w:r>
        <w:t xml:space="preserve"> Cross-references for "first month": Exod 12:2-3.</w:t>
      </w:r>
    </w:p>
  </w:footnote>
  <w:footnote w:id="3903">
    <w:p>
      <w:pPr>
        <w:pStyle w:val="FootnoteText"/>
      </w:pPr>
      <w:r>
        <w:rPr>
          <w:rStyle w:val="FootnoteReference"/>
        </w:rPr>
        <w:footnoteRef/>
      </w:r>
      <w:r>
        <w:t xml:space="preserve"> Place name: Gilgal. Place-name meaning: Gilgal — wheel; rolling; heap. Source form: Gilgal. Greek form: γαλγαλοις.</w:t>
      </w:r>
    </w:p>
  </w:footnote>
  <w:footnote w:id="3904">
    <w:p>
      <w:pPr>
        <w:pStyle w:val="FootnoteText"/>
      </w:pPr>
      <w:r>
        <w:rPr>
          <w:rStyle w:val="FootnoteReference"/>
        </w:rPr>
        <w:footnoteRef/>
      </w:r>
      <w:r>
        <w:t xml:space="preserve"> Translation note: Greek uses the dried-up-water line and parallels it with the Red Sea. Current wording preserves that pattern.</w:t>
      </w:r>
    </w:p>
  </w:footnote>
  <w:footnote w:id="3905">
    <w:p>
      <w:pPr>
        <w:pStyle w:val="FootnoteText"/>
      </w:pPr>
      <w:r>
        <w:rPr>
          <w:rStyle w:val="FootnoteReference"/>
        </w:rPr>
        <w:footnoteRef/>
      </w:r>
      <w:r>
        <w:t xml:space="preserve"> Cross-references for "heard": Exod 15:14-15; Josh 2:9-11.</w:t>
      </w:r>
    </w:p>
  </w:footnote>
  <w:footnote w:id="3906">
    <w:p>
      <w:pPr>
        <w:pStyle w:val="FootnoteText"/>
      </w:pPr>
      <w:r>
        <w:rPr>
          <w:rStyle w:val="FootnoteReference"/>
        </w:rPr>
        <w:footnoteRef/>
      </w:r>
      <w:r>
        <w:t xml:space="preserve"> Cross-references for "circumcise": Gen 17:10-14; Deut 10:16.</w:t>
      </w:r>
    </w:p>
  </w:footnote>
  <w:footnote w:id="3907">
    <w:p>
      <w:pPr>
        <w:pStyle w:val="FootnoteText"/>
      </w:pPr>
      <w:r>
        <w:rPr>
          <w:rStyle w:val="FootnoteReference"/>
        </w:rPr>
        <w:footnoteRef/>
      </w:r>
      <w:r>
        <w:t xml:space="preserve"> Cross-references for "Joshua": Gen 17:23-27; Matt 16:24.</w:t>
      </w:r>
    </w:p>
  </w:footnote>
  <w:footnote w:id="3908">
    <w:p>
      <w:pPr>
        <w:pStyle w:val="FootnoteText"/>
      </w:pPr>
      <w:r>
        <w:rPr>
          <w:rStyle w:val="FootnoteReference"/>
        </w:rPr>
        <w:footnoteRef/>
      </w:r>
      <w:r>
        <w:t xml:space="preserve"> Translation note: Greek gives short notice here. Current line keeps it.</w:t>
      </w:r>
    </w:p>
  </w:footnote>
  <w:footnote w:id="3909">
    <w:p>
      <w:pPr>
        <w:pStyle w:val="FootnoteText"/>
      </w:pPr>
      <w:r>
        <w:rPr>
          <w:rStyle w:val="FootnoteReference"/>
        </w:rPr>
        <w:footnoteRef/>
      </w:r>
      <w:r>
        <w:t xml:space="preserve"> Translation note: Greek says forty-two years in wilderness of Madbaritis.</w:t>
      </w:r>
    </w:p>
  </w:footnote>
  <w:footnote w:id="3910">
    <w:p>
      <w:pPr>
        <w:pStyle w:val="FootnoteText"/>
      </w:pPr>
      <w:r>
        <w:rPr>
          <w:rStyle w:val="FootnoteReference"/>
        </w:rPr>
        <w:footnoteRef/>
      </w:r>
      <w:r>
        <w:t xml:space="preserve"> Cross-references for "a land": Exod 3:8; Exod 3:17.</w:t>
      </w:r>
    </w:p>
  </w:footnote>
  <w:footnote w:id="3911">
    <w:p>
      <w:pPr>
        <w:pStyle w:val="FootnoteText"/>
      </w:pPr>
      <w:r>
        <w:rPr>
          <w:rStyle w:val="FootnoteReference"/>
        </w:rPr>
        <w:footnoteRef/>
      </w:r>
      <w:r>
        <w:t xml:space="preserve"> Cross-references for "Gilgal": Josh 4:19.</w:t>
      </w:r>
    </w:p>
  </w:footnote>
  <w:footnote w:id="3912">
    <w:p>
      <w:pPr>
        <w:pStyle w:val="FootnoteText"/>
      </w:pPr>
      <w:r>
        <w:rPr>
          <w:rStyle w:val="FootnoteReference"/>
        </w:rPr>
        <w:footnoteRef/>
      </w:r>
      <w:r>
        <w:t xml:space="preserve"> Cross-references for "kept the Passover": Num 9:1-5; Ezek 12:3.</w:t>
      </w:r>
    </w:p>
  </w:footnote>
  <w:footnote w:id="3913">
    <w:p>
      <w:pPr>
        <w:pStyle w:val="FootnoteText"/>
      </w:pPr>
      <w:r>
        <w:rPr>
          <w:rStyle w:val="FootnoteReference"/>
        </w:rPr>
        <w:footnoteRef/>
      </w:r>
      <w:r>
        <w:t xml:space="preserve"> Cross-references for "The manna": Exod 16:35; Neh 9:20-21.</w:t>
      </w:r>
    </w:p>
  </w:footnote>
  <w:footnote w:id="3914">
    <w:p>
      <w:pPr>
        <w:pStyle w:val="FootnoteText"/>
      </w:pPr>
      <w:r>
        <w:rPr>
          <w:rStyle w:val="FootnoteReference"/>
        </w:rPr>
        <w:footnoteRef/>
      </w:r>
      <w:r>
        <w:t xml:space="preserve"> Translation note: Greek says before him here. The translation keeps that direct scene wording.</w:t>
      </w:r>
    </w:p>
  </w:footnote>
  <w:footnote w:id="3915">
    <w:p>
      <w:pPr>
        <w:pStyle w:val="FootnoteText"/>
      </w:pPr>
      <w:r>
        <w:rPr>
          <w:rStyle w:val="FootnoteReference"/>
        </w:rPr>
        <w:footnoteRef/>
      </w:r>
      <w:r>
        <w:t xml:space="preserve"> Cross-references for "a man": Gen 18:2; Gen 32:24-30.</w:t>
      </w:r>
    </w:p>
  </w:footnote>
  <w:footnote w:id="3916">
    <w:p>
      <w:pPr>
        <w:pStyle w:val="FootnoteText"/>
      </w:pPr>
      <w:r>
        <w:rPr>
          <w:rStyle w:val="FootnoteReference"/>
        </w:rPr>
        <w:footnoteRef/>
      </w:r>
      <w:r>
        <w:t xml:space="preserve"> Cross-references for "fell on his": Gen 17:3; Gen 17:17.</w:t>
      </w:r>
    </w:p>
  </w:footnote>
  <w:footnote w:id="3917">
    <w:p>
      <w:pPr>
        <w:pStyle w:val="FootnoteText"/>
      </w:pPr>
      <w:r>
        <w:rPr>
          <w:rStyle w:val="FootnoteReference"/>
        </w:rPr>
        <w:footnoteRef/>
      </w:r>
      <w:r>
        <w:t xml:space="preserve"> Cross-references for "Loose": Exod 3:5; Acts 7:32-33.</w:t>
      </w:r>
    </w:p>
  </w:footnote>
  <w:footnote w:id="3918">
    <w:p>
      <w:pPr>
        <w:pStyle w:val="FootnoteText"/>
      </w:pPr>
      <w:r>
        <w:rPr>
          <w:rStyle w:val="FootnoteReference"/>
        </w:rPr>
        <w:footnoteRef/>
      </w:r>
      <w:r>
        <w:t xml:space="preserve"> Cross-references for "the Lord": Josh 5:13-15.</w:t>
      </w:r>
    </w:p>
  </w:footnote>
  <w:footnote w:id="3919">
    <w:p>
      <w:pPr>
        <w:pStyle w:val="FootnoteText"/>
      </w:pPr>
      <w:r>
        <w:rPr>
          <w:rStyle w:val="FootnoteReference"/>
        </w:rPr>
        <w:footnoteRef/>
      </w:r>
      <w:r>
        <w:t xml:space="preserve"> Translation note: Greek says the walls of the city will fall of themselves.</w:t>
      </w:r>
    </w:p>
  </w:footnote>
  <w:footnote w:id="3920">
    <w:p>
      <w:pPr>
        <w:pStyle w:val="FootnoteText"/>
      </w:pPr>
      <w:r>
        <w:rPr>
          <w:rStyle w:val="FootnoteReference"/>
        </w:rPr>
        <w:footnoteRef/>
      </w:r>
      <w:r>
        <w:t xml:space="preserve"> Translation note: Greek says went in rather than called. The translation keeps that wording.</w:t>
      </w:r>
    </w:p>
  </w:footnote>
  <w:footnote w:id="3921">
    <w:p>
      <w:pPr>
        <w:pStyle w:val="FootnoteText"/>
      </w:pPr>
      <w:r>
        <w:rPr>
          <w:rStyle w:val="FootnoteReference"/>
        </w:rPr>
        <w:footnoteRef/>
      </w:r>
      <w:r>
        <w:t xml:space="preserve"> Cross-references for "before the Lord": Num 32:20; Josh 6:3-4.</w:t>
      </w:r>
    </w:p>
  </w:footnote>
  <w:footnote w:id="3922">
    <w:p>
      <w:pPr>
        <w:pStyle w:val="FootnoteText"/>
      </w:pPr>
      <w:r>
        <w:rPr>
          <w:rStyle w:val="FootnoteReference"/>
        </w:rPr>
        <w:footnoteRef/>
      </w:r>
      <w:r>
        <w:t xml:space="preserve"> Cross-references for "until the day": 2Sam 5:23-24; Isa 28:16.</w:t>
      </w:r>
    </w:p>
  </w:footnote>
  <w:footnote w:id="3923">
    <w:p>
      <w:pPr>
        <w:pStyle w:val="FootnoteText"/>
      </w:pPr>
      <w:r>
        <w:rPr>
          <w:rStyle w:val="FootnoteReference"/>
        </w:rPr>
        <w:footnoteRef/>
      </w:r>
      <w:r>
        <w:t xml:space="preserve"> Translation note: Greek keeps Joshua as the one who will announce the shout. The translation stays close to that construction.</w:t>
      </w:r>
    </w:p>
  </w:footnote>
  <w:footnote w:id="3924">
    <w:p>
      <w:pPr>
        <w:pStyle w:val="FootnoteText"/>
      </w:pPr>
      <w:r>
        <w:rPr>
          <w:rStyle w:val="FootnoteReference"/>
        </w:rPr>
        <w:footnoteRef/>
      </w:r>
      <w:r>
        <w:t xml:space="preserve"> MT/LXX note: Greek frames the shout as something Joshua signals. The translation keeps that structure rather than recasting it to the Masoretic wording.</w:t>
      </w:r>
    </w:p>
  </w:footnote>
  <w:footnote w:id="3925">
    <w:p>
      <w:pPr>
        <w:pStyle w:val="FootnoteText"/>
      </w:pPr>
      <w:r>
        <w:rPr>
          <w:rStyle w:val="FootnoteReference"/>
        </w:rPr>
        <w:footnoteRef/>
      </w:r>
      <w:r>
        <w:t xml:space="preserve"> Cross-references for "Joshua rose": Gen 22:3; Josh 3:1.</w:t>
      </w:r>
    </w:p>
  </w:footnote>
  <w:footnote w:id="3926">
    <w:p>
      <w:pPr>
        <w:pStyle w:val="FootnoteText"/>
      </w:pPr>
      <w:r>
        <w:rPr>
          <w:rStyle w:val="FootnoteReference"/>
        </w:rPr>
        <w:footnoteRef/>
      </w:r>
      <w:r>
        <w:t xml:space="preserve"> Translation note: Greek expands crowd sequence here.</w:t>
      </w:r>
    </w:p>
  </w:footnote>
  <w:footnote w:id="3927">
    <w:p>
      <w:pPr>
        <w:pStyle w:val="FootnoteText"/>
      </w:pPr>
      <w:r>
        <w:rPr>
          <w:rStyle w:val="FootnoteReference"/>
        </w:rPr>
        <w:footnoteRef/>
      </w:r>
      <w:r>
        <w:t xml:space="preserve"> Cross-references for "Shout": Josh 6:5; Judg 7:20-22.</w:t>
      </w:r>
    </w:p>
  </w:footnote>
  <w:footnote w:id="3928">
    <w:p>
      <w:pPr>
        <w:pStyle w:val="FootnoteText"/>
      </w:pPr>
      <w:r>
        <w:rPr>
          <w:rStyle w:val="FootnoteReference"/>
        </w:rPr>
        <w:footnoteRef/>
      </w:r>
      <w:r>
        <w:t xml:space="preserve"> Cross-references for "Only Rahab": Josh 2:1.</w:t>
      </w:r>
    </w:p>
  </w:footnote>
  <w:footnote w:id="3929">
    <w:p>
      <w:pPr>
        <w:pStyle w:val="FootnoteText"/>
      </w:pPr>
      <w:r>
        <w:rPr>
          <w:rStyle w:val="FootnoteReference"/>
        </w:rPr>
        <w:footnoteRef/>
      </w:r>
      <w:r>
        <w:t xml:space="preserve"> Translation note: Greek includes the desiring clause before the taking.</w:t>
      </w:r>
    </w:p>
  </w:footnote>
  <w:footnote w:id="3930">
    <w:p>
      <w:pPr>
        <w:pStyle w:val="FootnoteText"/>
      </w:pPr>
      <w:r>
        <w:rPr>
          <w:rStyle w:val="FootnoteReference"/>
        </w:rPr>
        <w:footnoteRef/>
      </w:r>
      <w:r>
        <w:t xml:space="preserve"> Cross-references for "make the camp": Josh 7:11-12; Josh 22:18-20.</w:t>
      </w:r>
    </w:p>
  </w:footnote>
  <w:footnote w:id="3931">
    <w:p>
      <w:pPr>
        <w:pStyle w:val="FootnoteText"/>
      </w:pPr>
      <w:r>
        <w:rPr>
          <w:rStyle w:val="FootnoteReference"/>
        </w:rPr>
        <w:footnoteRef/>
      </w:r>
      <w:r>
        <w:t xml:space="preserve"> Cross-references for "the treasury": 1Kgs 7:51; 1Kgs 14:26.</w:t>
      </w:r>
    </w:p>
  </w:footnote>
  <w:footnote w:id="3932">
    <w:p>
      <w:pPr>
        <w:pStyle w:val="FootnoteText"/>
      </w:pPr>
      <w:r>
        <w:rPr>
          <w:rStyle w:val="FootnoteReference"/>
        </w:rPr>
        <w:footnoteRef/>
      </w:r>
      <w:r>
        <w:t xml:space="preserve"> Translation note: Greek piles up the shout language and says the wall fell around.</w:t>
      </w:r>
    </w:p>
  </w:footnote>
  <w:footnote w:id="3933">
    <w:p>
      <w:pPr>
        <w:pStyle w:val="FootnoteText"/>
      </w:pPr>
      <w:r>
        <w:rPr>
          <w:rStyle w:val="FootnoteReference"/>
        </w:rPr>
        <w:footnoteRef/>
      </w:r>
      <w:r>
        <w:t xml:space="preserve"> Cross-references for "out Rahab": Gen 12:2; Gen 18:24.</w:t>
      </w:r>
    </w:p>
  </w:footnote>
  <w:footnote w:id="3934">
    <w:p>
      <w:pPr>
        <w:pStyle w:val="FootnoteText"/>
      </w:pPr>
      <w:r>
        <w:rPr>
          <w:rStyle w:val="FootnoteReference"/>
        </w:rPr>
        <w:footnoteRef/>
      </w:r>
      <w:r>
        <w:t xml:space="preserve"> Translation note: Greek says they stationed her outside the camp of Israel.</w:t>
      </w:r>
    </w:p>
  </w:footnote>
  <w:footnote w:id="3935">
    <w:p>
      <w:pPr>
        <w:pStyle w:val="FootnoteText"/>
      </w:pPr>
      <w:r>
        <w:rPr>
          <w:rStyle w:val="FootnoteReference"/>
        </w:rPr>
        <w:footnoteRef/>
      </w:r>
      <w:r>
        <w:t xml:space="preserve"> Cross-references for "Rahab": Josh 11:19-20; Judg 1:24-25.</w:t>
      </w:r>
    </w:p>
  </w:footnote>
  <w:footnote w:id="3936">
    <w:p>
      <w:pPr>
        <w:pStyle w:val="FootnoteText"/>
      </w:pPr>
      <w:r>
        <w:rPr>
          <w:rStyle w:val="FootnoteReference"/>
        </w:rPr>
        <w:footnoteRef/>
      </w:r>
      <w:r>
        <w:t xml:space="preserve"> Cross-references for "Cursed": 1Kgs 16:34; Mal 1:4.</w:t>
      </w:r>
    </w:p>
  </w:footnote>
  <w:footnote w:id="3937">
    <w:p>
      <w:pPr>
        <w:pStyle w:val="FootnoteText"/>
      </w:pPr>
      <w:r>
        <w:rPr>
          <w:rStyle w:val="FootnoteReference"/>
        </w:rPr>
        <w:footnoteRef/>
      </w:r>
      <w:r>
        <w:t xml:space="preserve"> Translation note: Greek says least one here. Current line keeps that wording.</w:t>
      </w:r>
    </w:p>
  </w:footnote>
  <w:footnote w:id="3938">
    <w:p>
      <w:pPr>
        <w:pStyle w:val="FootnoteText"/>
      </w:pPr>
      <w:r>
        <w:rPr>
          <w:rStyle w:val="FootnoteReference"/>
        </w:rPr>
        <w:footnoteRef/>
      </w:r>
      <w:r>
        <w:t xml:space="preserve"> Cross-references for "the Lord": Gen 39:2-3; Gen 39:21.</w:t>
      </w:r>
    </w:p>
  </w:footnote>
  <w:footnote w:id="3939">
    <w:p>
      <w:pPr>
        <w:pStyle w:val="FootnoteText"/>
      </w:pPr>
      <w:r>
        <w:rPr>
          <w:rStyle w:val="FootnoteReference"/>
        </w:rPr>
        <w:footnoteRef/>
      </w:r>
      <w:r>
        <w:t xml:space="preserve"> Cross-references for "committed": Josh 7:20-21; Josh 22:16.</w:t>
      </w:r>
    </w:p>
  </w:footnote>
  <w:footnote w:id="3940">
    <w:p>
      <w:pPr>
        <w:pStyle w:val="FootnoteText"/>
      </w:pPr>
      <w:r>
        <w:rPr>
          <w:rStyle w:val="FootnoteReference"/>
        </w:rPr>
        <w:footnoteRef/>
      </w:r>
      <w:r>
        <w:t xml:space="preserve"> Personal name: Achar. Personal-name meaning: Achar — he that troubleth. Source form: Achar.</w:t>
      </w:r>
    </w:p>
  </w:footnote>
  <w:footnote w:id="3941">
    <w:p>
      <w:pPr>
        <w:pStyle w:val="FootnoteText"/>
      </w:pPr>
      <w:r>
        <w:rPr>
          <w:rStyle w:val="FootnoteReference"/>
        </w:rPr>
        <w:footnoteRef/>
      </w:r>
      <w:r>
        <w:t xml:space="preserve"> Cross-references for "to Ai": Gen 12:8; Josh 12:9.</w:t>
      </w:r>
    </w:p>
  </w:footnote>
  <w:footnote w:id="3942">
    <w:p>
      <w:pPr>
        <w:pStyle w:val="FootnoteText"/>
      </w:pPr>
      <w:r>
        <w:rPr>
          <w:rStyle w:val="FootnoteReference"/>
        </w:rPr>
        <w:footnoteRef/>
      </w:r>
      <w:r>
        <w:t xml:space="preserve"> Cross-references for "about two": Prov 13:4; Prov 21:25.</w:t>
      </w:r>
    </w:p>
  </w:footnote>
  <w:footnote w:id="3943">
    <w:p>
      <w:pPr>
        <w:pStyle w:val="FootnoteText"/>
      </w:pPr>
      <w:r>
        <w:rPr>
          <w:rStyle w:val="FootnoteReference"/>
        </w:rPr>
        <w:footnoteRef/>
      </w:r>
      <w:r>
        <w:t xml:space="preserve"> Cross-references for "fled": Lev 26:17; Deut 28:25.</w:t>
      </w:r>
    </w:p>
  </w:footnote>
  <w:footnote w:id="3944">
    <w:p>
      <w:pPr>
        <w:pStyle w:val="FootnoteText"/>
      </w:pPr>
      <w:r>
        <w:rPr>
          <w:rStyle w:val="FootnoteReference"/>
        </w:rPr>
        <w:footnoteRef/>
      </w:r>
      <w:r>
        <w:t xml:space="preserve"> Translation note: Greek uses a stronger verb here. The translation keeps that force.</w:t>
      </w:r>
    </w:p>
  </w:footnote>
  <w:footnote w:id="3945">
    <w:p>
      <w:pPr>
        <w:pStyle w:val="FootnoteText"/>
      </w:pPr>
      <w:r>
        <w:rPr>
          <w:rStyle w:val="FootnoteReference"/>
        </w:rPr>
        <w:footnoteRef/>
      </w:r>
      <w:r>
        <w:t xml:space="preserve"> Cross-references for "fell": Num 16:22; Num 16:45.</w:t>
      </w:r>
    </w:p>
  </w:footnote>
  <w:footnote w:id="3946">
    <w:p>
      <w:pPr>
        <w:pStyle w:val="FootnoteText"/>
      </w:pPr>
      <w:r>
        <w:rPr>
          <w:rStyle w:val="FootnoteReference"/>
        </w:rPr>
        <w:footnoteRef/>
      </w:r>
      <w:r>
        <w:t xml:space="preserve"> Translation note: Greek line matches the current lament wording closely here.</w:t>
      </w:r>
    </w:p>
  </w:footnote>
  <w:footnote w:id="3947">
    <w:p>
      <w:pPr>
        <w:pStyle w:val="FootnoteText"/>
      </w:pPr>
      <w:r>
        <w:rPr>
          <w:rStyle w:val="FootnoteReference"/>
        </w:rPr>
        <w:footnoteRef/>
      </w:r>
      <w:r>
        <w:t xml:space="preserve"> Cross-references for "and dwelt": Josh 1:2-4.</w:t>
      </w:r>
    </w:p>
  </w:footnote>
  <w:footnote w:id="3948">
    <w:p>
      <w:pPr>
        <w:pStyle w:val="FootnoteText"/>
      </w:pPr>
      <w:r>
        <w:rPr>
          <w:rStyle w:val="FootnoteReference"/>
        </w:rPr>
        <w:footnoteRef/>
      </w:r>
      <w:r>
        <w:t xml:space="preserve"> Cross-references for "what shall": Ezra 9:10; Hab 2:1.</w:t>
      </w:r>
    </w:p>
  </w:footnote>
  <w:footnote w:id="3949">
    <w:p>
      <w:pPr>
        <w:pStyle w:val="FootnoteText"/>
      </w:pPr>
      <w:r>
        <w:rPr>
          <w:rStyle w:val="FootnoteReference"/>
        </w:rPr>
        <w:footnoteRef/>
      </w:r>
      <w:r>
        <w:t xml:space="preserve"> Cross-references for "transgressed": Deut 17:2; Josh 23:16.</w:t>
      </w:r>
    </w:p>
  </w:footnote>
  <w:footnote w:id="3950">
    <w:p>
      <w:pPr>
        <w:pStyle w:val="FootnoteText"/>
      </w:pPr>
      <w:r>
        <w:rPr>
          <w:rStyle w:val="FootnoteReference"/>
        </w:rPr>
        <w:footnoteRef/>
      </w:r>
      <w:r>
        <w:t xml:space="preserve"> MT/LXX note: Greek says they put the devoted thing into their vessels. Current line keeps the shorter Greek sequence rather than importing the fuller MT expansion.</w:t>
      </w:r>
    </w:p>
  </w:footnote>
  <w:footnote w:id="3951">
    <w:p>
      <w:pPr>
        <w:pStyle w:val="FootnoteText"/>
      </w:pPr>
      <w:r>
        <w:rPr>
          <w:rStyle w:val="FootnoteReference"/>
        </w:rPr>
        <w:footnoteRef/>
      </w:r>
      <w:r>
        <w:t xml:space="preserve"> Translation note: Greek says turn neck and become a devoted thing here.</w:t>
      </w:r>
    </w:p>
  </w:footnote>
  <w:footnote w:id="3952">
    <w:p>
      <w:pPr>
        <w:pStyle w:val="FootnoteText"/>
      </w:pPr>
      <w:r>
        <w:rPr>
          <w:rStyle w:val="FootnoteReference"/>
        </w:rPr>
        <w:footnoteRef/>
      </w:r>
      <w:r>
        <w:t xml:space="preserve"> Cross-references for "sanctify": Exod 19:10-15; Josh 3:5.</w:t>
      </w:r>
    </w:p>
  </w:footnote>
  <w:footnote w:id="3953">
    <w:p>
      <w:pPr>
        <w:pStyle w:val="FootnoteText"/>
      </w:pPr>
      <w:r>
        <w:rPr>
          <w:rStyle w:val="FootnoteReference"/>
        </w:rPr>
        <w:footnoteRef/>
      </w:r>
      <w:r>
        <w:t xml:space="preserve"> Translation note: Greek says the devoted thing is among you.</w:t>
      </w:r>
    </w:p>
  </w:footnote>
  <w:footnote w:id="3954">
    <w:p>
      <w:pPr>
        <w:pStyle w:val="FootnoteText"/>
      </w:pPr>
      <w:r>
        <w:rPr>
          <w:rStyle w:val="FootnoteReference"/>
        </w:rPr>
        <w:footnoteRef/>
      </w:r>
      <w:r>
        <w:t xml:space="preserve"> Cross-references for "the tribe": Josh 7:17-18; 1Sam 10:19-21.</w:t>
      </w:r>
    </w:p>
  </w:footnote>
  <w:footnote w:id="3955">
    <w:p>
      <w:pPr>
        <w:pStyle w:val="FootnoteText"/>
      </w:pPr>
      <w:r>
        <w:rPr>
          <w:rStyle w:val="FootnoteReference"/>
        </w:rPr>
        <w:footnoteRef/>
      </w:r>
      <w:r>
        <w:t xml:space="preserve"> Translation note: Greek says the Lord points out and uses clans sequence.</w:t>
      </w:r>
    </w:p>
  </w:footnote>
  <w:footnote w:id="3956">
    <w:p>
      <w:pPr>
        <w:pStyle w:val="FootnoteText"/>
      </w:pPr>
      <w:r>
        <w:rPr>
          <w:rStyle w:val="FootnoteReference"/>
        </w:rPr>
        <w:footnoteRef/>
      </w:r>
      <w:r>
        <w:t xml:space="preserve"> Translation note: Greek says whoever is pointed out shall be burned with fire.</w:t>
      </w:r>
    </w:p>
  </w:footnote>
  <w:footnote w:id="3957">
    <w:p>
      <w:pPr>
        <w:pStyle w:val="FootnoteText"/>
      </w:pPr>
      <w:r>
        <w:rPr>
          <w:rStyle w:val="FootnoteReference"/>
        </w:rPr>
        <w:footnoteRef/>
      </w:r>
      <w:r>
        <w:t xml:space="preserve"> Cross-references for "and brought": Josh 7:14.</w:t>
      </w:r>
    </w:p>
  </w:footnote>
  <w:footnote w:id="3958">
    <w:p>
      <w:pPr>
        <w:pStyle w:val="FootnoteText"/>
      </w:pPr>
      <w:r>
        <w:rPr>
          <w:rStyle w:val="FootnoteReference"/>
        </w:rPr>
        <w:footnoteRef/>
      </w:r>
      <w:r>
        <w:t xml:space="preserve"> Cross-references for "Give": 1Sam 6:5; Isa 13:12.</w:t>
      </w:r>
    </w:p>
  </w:footnote>
  <w:footnote w:id="3959">
    <w:p>
      <w:pPr>
        <w:pStyle w:val="FootnoteText"/>
      </w:pPr>
      <w:r>
        <w:rPr>
          <w:rStyle w:val="FootnoteReference"/>
        </w:rPr>
        <w:footnoteRef/>
      </w:r>
      <w:r>
        <w:t xml:space="preserve"> Cross-references for "I saw": Gen 3:6; Gen 6:2.</w:t>
      </w:r>
    </w:p>
  </w:footnote>
  <w:footnote w:id="3960">
    <w:p>
      <w:pPr>
        <w:pStyle w:val="FootnoteText"/>
      </w:pPr>
      <w:r>
        <w:rPr>
          <w:rStyle w:val="FootnoteReference"/>
        </w:rPr>
        <w:footnoteRef/>
      </w:r>
      <w:r>
        <w:t xml:space="preserve"> Translation note: Greek says one golden tongue of fifty didrachmas.</w:t>
      </w:r>
    </w:p>
  </w:footnote>
  <w:footnote w:id="3961">
    <w:p>
      <w:pPr>
        <w:pStyle w:val="FootnoteText"/>
      </w:pPr>
      <w:r>
        <w:rPr>
          <w:rStyle w:val="FootnoteReference"/>
        </w:rPr>
        <w:footnoteRef/>
      </w:r>
      <w:r>
        <w:t xml:space="preserve"> Transliterated proper noun: Achor. Standard English equivalent: Achor. Source form: Achor. Greek form: αχωρ. Name meaning: trouble.</w:t>
      </w:r>
    </w:p>
  </w:footnote>
  <w:footnote w:id="3962">
    <w:p>
      <w:pPr>
        <w:pStyle w:val="FootnoteText"/>
      </w:pPr>
      <w:r>
        <w:rPr>
          <w:rStyle w:val="FootnoteReference"/>
        </w:rPr>
        <w:footnoteRef/>
      </w:r>
      <w:r>
        <w:t xml:space="preserve"> Cross-references for "his sons": Gen 18:25; Exod 20:5.</w:t>
      </w:r>
    </w:p>
  </w:footnote>
  <w:footnote w:id="3963">
    <w:p>
      <w:pPr>
        <w:pStyle w:val="FootnoteText"/>
      </w:pPr>
      <w:r>
        <w:rPr>
          <w:rStyle w:val="FootnoteReference"/>
        </w:rPr>
        <w:footnoteRef/>
      </w:r>
      <w:r>
        <w:t xml:space="preserve"> Translation note: Greek keeps Emekachor form here. Current line follows it.</w:t>
      </w:r>
    </w:p>
  </w:footnote>
  <w:footnote w:id="3964">
    <w:p>
      <w:pPr>
        <w:pStyle w:val="FootnoteText"/>
      </w:pPr>
      <w:r>
        <w:rPr>
          <w:rStyle w:val="FootnoteReference"/>
        </w:rPr>
        <w:footnoteRef/>
      </w:r>
      <w:r>
        <w:t xml:space="preserve"> Cross-references for "all Israel": Lev 20:2; Lev 24:14.</w:t>
      </w:r>
    </w:p>
  </w:footnote>
  <w:footnote w:id="3965">
    <w:p>
      <w:pPr>
        <w:pStyle w:val="FootnoteText"/>
      </w:pPr>
      <w:r>
        <w:rPr>
          <w:rStyle w:val="FootnoteReference"/>
        </w:rPr>
        <w:footnoteRef/>
      </w:r>
      <w:r>
        <w:t xml:space="preserve"> Cross-references for "raised": Josh 8:29; Josh 10:27.</w:t>
      </w:r>
    </w:p>
  </w:footnote>
  <w:footnote w:id="3966">
    <w:p>
      <w:pPr>
        <w:pStyle w:val="FootnoteText"/>
      </w:pPr>
      <w:r>
        <w:rPr>
          <w:rStyle w:val="FootnoteReference"/>
        </w:rPr>
        <w:footnoteRef/>
      </w:r>
      <w:r>
        <w:t xml:space="preserve"> Translation note: Greek says be cowardly here. Current line keeps that wording.</w:t>
      </w:r>
    </w:p>
  </w:footnote>
  <w:footnote w:id="3967">
    <w:p>
      <w:pPr>
        <w:pStyle w:val="FootnoteText"/>
      </w:pPr>
      <w:r>
        <w:rPr>
          <w:rStyle w:val="FootnoteReference"/>
        </w:rPr>
        <w:footnoteRef/>
      </w:r>
      <w:r>
        <w:t xml:space="preserve"> Cross-references for "do to Ai": Deut 3:2; Josh 6:21.</w:t>
      </w:r>
    </w:p>
  </w:footnote>
  <w:footnote w:id="3968">
    <w:p>
      <w:pPr>
        <w:pStyle w:val="FootnoteText"/>
      </w:pPr>
      <w:r>
        <w:rPr>
          <w:rStyle w:val="FootnoteReference"/>
        </w:rPr>
        <w:footnoteRef/>
      </w:r>
      <w:r>
        <w:t xml:space="preserve"> Cross-references for "by night": Matt 24:39; Matt 24:50.</w:t>
      </w:r>
    </w:p>
  </w:footnote>
  <w:footnote w:id="3969">
    <w:p>
      <w:pPr>
        <w:pStyle w:val="FootnoteText"/>
      </w:pPr>
      <w:r>
        <w:rPr>
          <w:rStyle w:val="FootnoteReference"/>
        </w:rPr>
        <w:footnoteRef/>
      </w:r>
      <w:r>
        <w:t xml:space="preserve"> Cross-references for "between": Gen 12:8; Josh 7:2.</w:t>
      </w:r>
    </w:p>
  </w:footnote>
  <w:footnote w:id="3970">
    <w:p>
      <w:pPr>
        <w:pStyle w:val="FootnoteText"/>
      </w:pPr>
      <w:r>
        <w:rPr>
          <w:rStyle w:val="FootnoteReference"/>
        </w:rPr>
        <w:footnoteRef/>
      </w:r>
      <w:r>
        <w:t xml:space="preserve"> Translation note: Greek says straight for battle here. Current line keeps that wording.</w:t>
      </w:r>
    </w:p>
  </w:footnote>
  <w:footnote w:id="3971">
    <w:p>
      <w:pPr>
        <w:pStyle w:val="FootnoteText"/>
      </w:pPr>
      <w:r>
        <w:rPr>
          <w:rStyle w:val="FootnoteReference"/>
        </w:rPr>
        <w:footnoteRef/>
      </w:r>
      <w:r>
        <w:t xml:space="preserve"> Cross-references for "drawn away": Josh 8:5-6; Judg 20:31.</w:t>
      </w:r>
    </w:p>
  </w:footnote>
  <w:footnote w:id="3972">
    <w:p>
      <w:pPr>
        <w:pStyle w:val="FootnoteText"/>
      </w:pPr>
      <w:r>
        <w:rPr>
          <w:rStyle w:val="FootnoteReference"/>
        </w:rPr>
        <w:footnoteRef/>
      </w:r>
      <w:r>
        <w:t xml:space="preserve"> Cross-references for "Stretch": Exod 8:5; Exod 17:11.</w:t>
      </w:r>
    </w:p>
  </w:footnote>
  <w:footnote w:id="3973">
    <w:p>
      <w:pPr>
        <w:pStyle w:val="FootnoteText"/>
      </w:pPr>
      <w:r>
        <w:rPr>
          <w:rStyle w:val="FootnoteReference"/>
        </w:rPr>
        <w:footnoteRef/>
      </w:r>
      <w:r>
        <w:t xml:space="preserve"> Translation note: Greek says they no longer had where to flee here or there.</w:t>
      </w:r>
    </w:p>
  </w:footnote>
  <w:footnote w:id="3974">
    <w:p>
      <w:pPr>
        <w:pStyle w:val="FootnoteText"/>
      </w:pPr>
      <w:r>
        <w:rPr>
          <w:rStyle w:val="FootnoteReference"/>
        </w:rPr>
        <w:footnoteRef/>
      </w:r>
      <w:r>
        <w:t xml:space="preserve"> Translation note: Greek keeps that terrain wording here.</w:t>
      </w:r>
    </w:p>
  </w:footnote>
  <w:footnote w:id="3975">
    <w:p>
      <w:pPr>
        <w:pStyle w:val="FootnoteText"/>
      </w:pPr>
      <w:r>
        <w:rPr>
          <w:rStyle w:val="FootnoteReference"/>
        </w:rPr>
        <w:footnoteRef/>
      </w:r>
      <w:r>
        <w:t xml:space="preserve"> Cross-references for "the cattle": Num 31:22; Num 31:26.</w:t>
      </w:r>
    </w:p>
  </w:footnote>
  <w:footnote w:id="3976">
    <w:p>
      <w:pPr>
        <w:pStyle w:val="FootnoteText"/>
      </w:pPr>
      <w:r>
        <w:rPr>
          <w:rStyle w:val="FootnoteReference"/>
        </w:rPr>
        <w:footnoteRef/>
      </w:r>
      <w:r>
        <w:t xml:space="preserve"> Translation note: Greek says they threw him into pit.</w:t>
      </w:r>
    </w:p>
  </w:footnote>
  <w:footnote w:id="3977">
    <w:p>
      <w:pPr>
        <w:pStyle w:val="FootnoteText"/>
      </w:pPr>
      <w:r>
        <w:rPr>
          <w:rStyle w:val="FootnoteReference"/>
        </w:rPr>
        <w:footnoteRef/>
      </w:r>
      <w:r>
        <w:t xml:space="preserve"> Cross-references for "of the great": Num 34:6; Josh 1:4.</w:t>
      </w:r>
    </w:p>
  </w:footnote>
  <w:footnote w:id="3978">
    <w:p>
      <w:pPr>
        <w:pStyle w:val="FootnoteText"/>
      </w:pPr>
      <w:r>
        <w:rPr>
          <w:rStyle w:val="FootnoteReference"/>
        </w:rPr>
        <w:footnoteRef/>
      </w:r>
      <w:r>
        <w:t xml:space="preserve"> Translation note: Greek preserves Anti-Lebanon here. Current line keeps the place-name.</w:t>
      </w:r>
    </w:p>
  </w:footnote>
  <w:footnote w:id="3979">
    <w:p>
      <w:pPr>
        <w:pStyle w:val="FootnoteText"/>
      </w:pPr>
      <w:r>
        <w:rPr>
          <w:rStyle w:val="FootnoteReference"/>
        </w:rPr>
        <w:footnoteRef/>
      </w:r>
      <w:r>
        <w:t xml:space="preserve"> Place name: Gibeon. Place-name meaning: Gibeon — hill; cup; thing lifted up. Source form: Gibeon. Greek form: γαβαων.</w:t>
      </w:r>
    </w:p>
  </w:footnote>
  <w:footnote w:id="3980">
    <w:p>
      <w:pPr>
        <w:pStyle w:val="FootnoteText"/>
      </w:pPr>
      <w:r>
        <w:rPr>
          <w:rStyle w:val="FootnoteReference"/>
        </w:rPr>
        <w:footnoteRef/>
      </w:r>
      <w:r>
        <w:t xml:space="preserve"> Cross-references for "Gibeon": Josh 9:17; Josh 10:2.</w:t>
      </w:r>
    </w:p>
  </w:footnote>
  <w:footnote w:id="3981">
    <w:p>
      <w:pPr>
        <w:pStyle w:val="FootnoteText"/>
      </w:pPr>
      <w:r>
        <w:rPr>
          <w:rStyle w:val="FootnoteReference"/>
        </w:rPr>
        <w:footnoteRef/>
      </w:r>
      <w:r>
        <w:t xml:space="preserve"> Cross-references for "the camp": Josh 5:10; Josh 10:43.</w:t>
      </w:r>
    </w:p>
  </w:footnote>
  <w:footnote w:id="3982">
    <w:p>
      <w:pPr>
        <w:pStyle w:val="FootnoteText"/>
      </w:pPr>
      <w:r>
        <w:rPr>
          <w:rStyle w:val="FootnoteReference"/>
        </w:rPr>
        <w:footnoteRef/>
      </w:r>
      <w:r>
        <w:t xml:space="preserve"> Cross-references for "how shall": Exod 23:31-33; Exod 34:12.</w:t>
      </w:r>
    </w:p>
  </w:footnote>
  <w:footnote w:id="3983">
    <w:p>
      <w:pPr>
        <w:pStyle w:val="FootnoteText"/>
      </w:pPr>
      <w:r>
        <w:rPr>
          <w:rStyle w:val="FootnoteReference"/>
        </w:rPr>
        <w:footnoteRef/>
      </w:r>
      <w:r>
        <w:t xml:space="preserve"> Cross-references for "from a": Deut 20:15.</w:t>
      </w:r>
    </w:p>
  </w:footnote>
  <w:footnote w:id="3984">
    <w:p>
      <w:pPr>
        <w:pStyle w:val="FootnoteText"/>
      </w:pPr>
      <w:r>
        <w:rPr>
          <w:rStyle w:val="FootnoteReference"/>
        </w:rPr>
        <w:footnoteRef/>
      </w:r>
      <w:r>
        <w:t xml:space="preserve"> Cross-references for "Ashtaroth": Deut 1:4; Josh 12:4.</w:t>
      </w:r>
    </w:p>
  </w:footnote>
  <w:footnote w:id="3985">
    <w:p>
      <w:pPr>
        <w:pStyle w:val="FootnoteText"/>
      </w:pPr>
      <w:r>
        <w:rPr>
          <w:rStyle w:val="FootnoteReference"/>
        </w:rPr>
        <w:footnoteRef/>
      </w:r>
      <w:r>
        <w:t xml:space="preserve"> Cross-references for "our elders": Esth 8:17.</w:t>
      </w:r>
    </w:p>
  </w:footnote>
  <w:footnote w:id="3986">
    <w:p>
      <w:pPr>
        <w:pStyle w:val="FootnoteText"/>
      </w:pPr>
      <w:r>
        <w:rPr>
          <w:rStyle w:val="FootnoteReference"/>
        </w:rPr>
        <w:footnoteRef/>
      </w:r>
      <w:r>
        <w:t xml:space="preserve"> Translation note: Greek says take provisions for yourselves for the road here.</w:t>
      </w:r>
    </w:p>
  </w:footnote>
  <w:footnote w:id="3987">
    <w:p>
      <w:pPr>
        <w:pStyle w:val="FootnoteText"/>
      </w:pPr>
      <w:r>
        <w:rPr>
          <w:rStyle w:val="FootnoteReference"/>
        </w:rPr>
        <w:footnoteRef/>
      </w:r>
      <w:r>
        <w:t xml:space="preserve"> Translation note: Greek keeps the travel-provision claim very literal. Current wording preserves that shape.</w:t>
      </w:r>
    </w:p>
  </w:footnote>
  <w:footnote w:id="3988">
    <w:p>
      <w:pPr>
        <w:pStyle w:val="FootnoteText"/>
      </w:pPr>
      <w:r>
        <w:rPr>
          <w:rStyle w:val="FootnoteReference"/>
        </w:rPr>
        <w:footnoteRef/>
      </w:r>
      <w:r>
        <w:t xml:space="preserve"> Cross-references for "made peace": Deut 20:10-11; Josh 2:12-19.</w:t>
      </w:r>
    </w:p>
  </w:footnote>
  <w:footnote w:id="3989">
    <w:p>
      <w:pPr>
        <w:pStyle w:val="FootnoteText"/>
      </w:pPr>
      <w:r>
        <w:rPr>
          <w:rStyle w:val="FootnoteReference"/>
        </w:rPr>
        <w:footnoteRef/>
      </w:r>
      <w:r>
        <w:t xml:space="preserve"> Cross-references for "that they heard": Prov 12:19.</w:t>
      </w:r>
    </w:p>
  </w:footnote>
  <w:footnote w:id="3990">
    <w:p>
      <w:pPr>
        <w:pStyle w:val="FootnoteText"/>
      </w:pPr>
      <w:r>
        <w:rPr>
          <w:rStyle w:val="FootnoteReference"/>
        </w:rPr>
        <w:footnoteRef/>
      </w:r>
      <w:r>
        <w:t xml:space="preserve"> Cross-references for "Gibeon": Josh 10:2; Josh 18:25-28.</w:t>
      </w:r>
    </w:p>
  </w:footnote>
  <w:footnote w:id="3991">
    <w:p>
      <w:pPr>
        <w:pStyle w:val="FootnoteText"/>
      </w:pPr>
      <w:r>
        <w:rPr>
          <w:rStyle w:val="FootnoteReference"/>
        </w:rPr>
        <w:footnoteRef/>
      </w:r>
      <w:r>
        <w:t xml:space="preserve"> Place name: Chephirah. Place-name meaning: Chephirah — a little lioness. Source form: Chephirah. Greek form: κεφιρα.</w:t>
      </w:r>
    </w:p>
  </w:footnote>
  <w:footnote w:id="3992">
    <w:p>
      <w:pPr>
        <w:pStyle w:val="FootnoteText"/>
      </w:pPr>
      <w:r>
        <w:rPr>
          <w:rStyle w:val="FootnoteReference"/>
        </w:rPr>
        <w:footnoteRef/>
      </w:r>
      <w:r>
        <w:t xml:space="preserve"> Cross-references for "We are": Josh 9:6; Josh 9:9-10.</w:t>
      </w:r>
    </w:p>
  </w:footnote>
  <w:footnote w:id="3993">
    <w:p>
      <w:pPr>
        <w:pStyle w:val="FootnoteText"/>
      </w:pPr>
      <w:r>
        <w:rPr>
          <w:rStyle w:val="FootnoteReference"/>
        </w:rPr>
        <w:footnoteRef/>
      </w:r>
      <w:r>
        <w:t xml:space="preserve"> Cross-references for "the Lord": Exod 23:31-33; Num 33:51-52.</w:t>
      </w:r>
    </w:p>
  </w:footnote>
  <w:footnote w:id="3994">
    <w:p>
      <w:pPr>
        <w:pStyle w:val="FootnoteText"/>
      </w:pPr>
      <w:r>
        <w:rPr>
          <w:rStyle w:val="FootnoteReference"/>
        </w:rPr>
        <w:footnoteRef/>
      </w:r>
      <w:r>
        <w:t xml:space="preserve"> Translation note: Greek says destroy us and all those dwelling there.</w:t>
      </w:r>
    </w:p>
  </w:footnote>
  <w:footnote w:id="3995">
    <w:p>
      <w:pPr>
        <w:pStyle w:val="FootnoteText"/>
      </w:pPr>
      <w:r>
        <w:rPr>
          <w:rStyle w:val="FootnoteReference"/>
        </w:rPr>
        <w:footnoteRef/>
      </w:r>
      <w:r>
        <w:t xml:space="preserve"> Cross-references for "we are": Gen 16:6; Judg 8:15.</w:t>
      </w:r>
    </w:p>
  </w:footnote>
  <w:footnote w:id="3996">
    <w:p>
      <w:pPr>
        <w:pStyle w:val="FootnoteText"/>
      </w:pPr>
      <w:r>
        <w:rPr>
          <w:rStyle w:val="FootnoteReference"/>
        </w:rPr>
        <w:footnoteRef/>
      </w:r>
      <w:r>
        <w:t xml:space="preserve"> Cross-references for "made them": Josh 9:21; Josh 9:23.</w:t>
      </w:r>
    </w:p>
  </w:footnote>
  <w:footnote w:id="3997">
    <w:p>
      <w:pPr>
        <w:pStyle w:val="FootnoteText"/>
      </w:pPr>
      <w:r>
        <w:rPr>
          <w:rStyle w:val="FootnoteReference"/>
        </w:rPr>
        <w:footnoteRef/>
      </w:r>
      <w:r>
        <w:t xml:space="preserve"> Personal name: Adonibezek. Personal-name meaning: Adonibezek — the lightning of the Lord; the Lord of lightning. Source form: Adonibezek.</w:t>
      </w:r>
    </w:p>
  </w:footnote>
  <w:footnote w:id="3998">
    <w:p>
      <w:pPr>
        <w:pStyle w:val="FootnoteText"/>
      </w:pPr>
      <w:r>
        <w:rPr>
          <w:rStyle w:val="FootnoteReference"/>
        </w:rPr>
        <w:footnoteRef/>
      </w:r>
      <w:r>
        <w:t xml:space="preserve"> Place name: Jerusalem. Place-name meaning: Jerusalem — vision of peace. Source form: Jerusalem. Greek form: ιερουσαλημ.</w:t>
      </w:r>
    </w:p>
  </w:footnote>
  <w:footnote w:id="3999">
    <w:p>
      <w:pPr>
        <w:pStyle w:val="FootnoteText"/>
      </w:pPr>
      <w:r>
        <w:rPr>
          <w:rStyle w:val="FootnoteReference"/>
        </w:rPr>
        <w:footnoteRef/>
      </w:r>
      <w:r>
        <w:t xml:space="preserve"> Translation note: Greek says the Gibeonites defected or went over to Joshua. The translation keeps that political-military nuance rather than smoothing it to made peace.</w:t>
      </w:r>
    </w:p>
  </w:footnote>
  <w:footnote w:id="4000">
    <w:p>
      <w:pPr>
        <w:pStyle w:val="FootnoteText"/>
      </w:pPr>
      <w:r>
        <w:rPr>
          <w:rStyle w:val="FootnoteReference"/>
        </w:rPr>
        <w:footnoteRef/>
      </w:r>
      <w:r>
        <w:t xml:space="preserve"> Cross-references for "they feared": Exod 15:14-16; Deut 11:25.</w:t>
      </w:r>
    </w:p>
  </w:footnote>
  <w:footnote w:id="4001">
    <w:p>
      <w:pPr>
        <w:pStyle w:val="FootnoteText"/>
      </w:pPr>
      <w:r>
        <w:rPr>
          <w:rStyle w:val="FootnoteReference"/>
        </w:rPr>
        <w:footnoteRef/>
      </w:r>
      <w:r>
        <w:t xml:space="preserve"> Cross-references for "king of Jerusalem": Josh 10:1; Josh 10:5.</w:t>
      </w:r>
    </w:p>
  </w:footnote>
  <w:footnote w:id="4002">
    <w:p>
      <w:pPr>
        <w:pStyle w:val="FootnoteText"/>
      </w:pPr>
      <w:r>
        <w:rPr>
          <w:rStyle w:val="FootnoteReference"/>
        </w:rPr>
        <w:footnoteRef/>
      </w:r>
      <w:r>
        <w:t xml:space="preserve"> Personal name: Hoham. Personal-name meaning: Hoham — woe to them. Source form: Hoham.</w:t>
      </w:r>
    </w:p>
  </w:footnote>
  <w:footnote w:id="4003">
    <w:p>
      <w:pPr>
        <w:pStyle w:val="FootnoteText"/>
      </w:pPr>
      <w:r>
        <w:rPr>
          <w:rStyle w:val="FootnoteReference"/>
        </w:rPr>
        <w:footnoteRef/>
      </w:r>
      <w:r>
        <w:t xml:space="preserve"> Personal name: Jerimoth. Personal-name meaning: Jerimoth — he that fears or rejects death. Source form: Jerimoth.</w:t>
      </w:r>
    </w:p>
  </w:footnote>
  <w:footnote w:id="4004">
    <w:p>
      <w:pPr>
        <w:pStyle w:val="FootnoteText"/>
      </w:pPr>
      <w:r>
        <w:rPr>
          <w:rStyle w:val="FootnoteReference"/>
        </w:rPr>
        <w:footnoteRef/>
      </w:r>
      <w:r>
        <w:t xml:space="preserve"> Place name: Lachish. Place-name meaning: Lachish — who walks, or exists, of himself. Source form: Lachish. Greek form: λαχις.</w:t>
      </w:r>
    </w:p>
  </w:footnote>
  <w:footnote w:id="4005">
    <w:p>
      <w:pPr>
        <w:pStyle w:val="FootnoteText"/>
      </w:pPr>
      <w:r>
        <w:rPr>
          <w:rStyle w:val="FootnoteReference"/>
        </w:rPr>
        <w:footnoteRef/>
      </w:r>
      <w:r>
        <w:t xml:space="preserve"> Transliterated proper noun: Debir. Standard English equivalent: Debir. Source form: Debir. Greek form: δαβιρ. Name meaning: an orator; a word.</w:t>
      </w:r>
    </w:p>
  </w:footnote>
  <w:footnote w:id="4006">
    <w:p>
      <w:pPr>
        <w:pStyle w:val="FootnoteText"/>
      </w:pPr>
      <w:r>
        <w:rPr>
          <w:rStyle w:val="FootnoteReference"/>
        </w:rPr>
        <w:footnoteRef/>
      </w:r>
      <w:r>
        <w:t xml:space="preserve"> Place name: Adullam. Place-name meaning: Adullam — their testimony; their prey; their ornament. Source form: Adullam. Greek form: αιλαμ.</w:t>
      </w:r>
    </w:p>
  </w:footnote>
  <w:footnote w:id="4007">
    <w:p>
      <w:pPr>
        <w:pStyle w:val="FootnoteText"/>
      </w:pPr>
      <w:r>
        <w:rPr>
          <w:rStyle w:val="FootnoteReference"/>
        </w:rPr>
        <w:footnoteRef/>
      </w:r>
      <w:r>
        <w:t xml:space="preserve"> Cross-references for "and help": Isa 8:9-10; Isa 41:5-7.</w:t>
      </w:r>
    </w:p>
  </w:footnote>
  <w:footnote w:id="4008">
    <w:p>
      <w:pPr>
        <w:pStyle w:val="FootnoteText"/>
      </w:pPr>
      <w:r>
        <w:rPr>
          <w:rStyle w:val="FootnoteReference"/>
        </w:rPr>
        <w:footnoteRef/>
      </w:r>
      <w:r>
        <w:t xml:space="preserve"> Translation note: Greek doubles the siege wording here. Current line keeps that repetition.</w:t>
      </w:r>
    </w:p>
  </w:footnote>
  <w:footnote w:id="4009">
    <w:p>
      <w:pPr>
        <w:pStyle w:val="FootnoteText"/>
      </w:pPr>
      <w:r>
        <w:rPr>
          <w:rStyle w:val="FootnoteReference"/>
        </w:rPr>
        <w:footnoteRef/>
      </w:r>
      <w:r>
        <w:t xml:space="preserve"> Translation note: Greek keeps this LXX expression.</w:t>
      </w:r>
    </w:p>
  </w:footnote>
  <w:footnote w:id="4010">
    <w:p>
      <w:pPr>
        <w:pStyle w:val="FootnoteText"/>
      </w:pPr>
      <w:r>
        <w:rPr>
          <w:rStyle w:val="FootnoteReference"/>
        </w:rPr>
        <w:footnoteRef/>
      </w:r>
      <w:r>
        <w:t xml:space="preserve"> Cross-references for "the Lord": Josh 11:8; Judg 4:15.</w:t>
      </w:r>
    </w:p>
  </w:footnote>
  <w:footnote w:id="4011">
    <w:p>
      <w:pPr>
        <w:pStyle w:val="FootnoteText"/>
      </w:pPr>
      <w:r>
        <w:rPr>
          <w:rStyle w:val="FootnoteReference"/>
        </w:rPr>
        <w:footnoteRef/>
      </w:r>
      <w:r>
        <w:t xml:space="preserve"> Place name: Beth-horon. Place-name meaning: Beth-horon — house of wrath. Source form: Beth-horon. Greek form: ωρωνιν.</w:t>
      </w:r>
    </w:p>
  </w:footnote>
  <w:footnote w:id="4012">
    <w:p>
      <w:pPr>
        <w:pStyle w:val="FootnoteText"/>
      </w:pPr>
      <w:r>
        <w:rPr>
          <w:rStyle w:val="FootnoteReference"/>
        </w:rPr>
        <w:footnoteRef/>
      </w:r>
      <w:r>
        <w:t xml:space="preserve"> Place name: Azekah. Place-name meaning: Azekah — strength of walls. Source form: Azekah. Greek form: αζηκα.</w:t>
      </w:r>
    </w:p>
  </w:footnote>
  <w:footnote w:id="4013">
    <w:p>
      <w:pPr>
        <w:pStyle w:val="FootnoteText"/>
      </w:pPr>
      <w:r>
        <w:rPr>
          <w:rStyle w:val="FootnoteReference"/>
        </w:rPr>
        <w:footnoteRef/>
      </w:r>
      <w:r>
        <w:t xml:space="preserve"> Place name: Makkedah. Place-name meaning: Makkedah — worshiping; burning; raised; crookedness. Source form: Makkedah. Greek form: μακηδα.</w:t>
      </w:r>
    </w:p>
  </w:footnote>
  <w:footnote w:id="4014">
    <w:p>
      <w:pPr>
        <w:pStyle w:val="FootnoteText"/>
      </w:pPr>
      <w:r>
        <w:rPr>
          <w:rStyle w:val="FootnoteReference"/>
        </w:rPr>
        <w:footnoteRef/>
      </w:r>
      <w:r>
        <w:t xml:space="preserve"> Cross-references for "the Lord": Gen 19:24; Exod 9:22-26.</w:t>
      </w:r>
    </w:p>
  </w:footnote>
  <w:footnote w:id="4015">
    <w:p>
      <w:pPr>
        <w:pStyle w:val="FootnoteText"/>
      </w:pPr>
      <w:r>
        <w:rPr>
          <w:rStyle w:val="FootnoteReference"/>
        </w:rPr>
        <w:footnoteRef/>
      </w:r>
      <w:r>
        <w:t xml:space="preserve"> Translation note: Greek preserves Horonin form here. Current line keeps it.</w:t>
      </w:r>
    </w:p>
  </w:footnote>
  <w:footnote w:id="4016">
    <w:p>
      <w:pPr>
        <w:pStyle w:val="FootnoteText"/>
      </w:pPr>
      <w:r>
        <w:rPr>
          <w:rStyle w:val="FootnoteReference"/>
        </w:rPr>
        <w:footnoteRef/>
      </w:r>
      <w:r>
        <w:t xml:space="preserve"> Translation note: Greek says delivered the Amorite under the hands of Israel.</w:t>
      </w:r>
    </w:p>
  </w:footnote>
  <w:footnote w:id="4017">
    <w:p>
      <w:pPr>
        <w:pStyle w:val="FootnoteText"/>
      </w:pPr>
      <w:r>
        <w:rPr>
          <w:rStyle w:val="FootnoteReference"/>
        </w:rPr>
        <w:footnoteRef/>
      </w:r>
      <w:r>
        <w:t xml:space="preserve"> MT/LXX note: Greek attributes the action directly to God here. The translation keeps that line rather than importing the Masoretic wording.</w:t>
      </w:r>
    </w:p>
  </w:footnote>
  <w:footnote w:id="4018">
    <w:p>
      <w:pPr>
        <w:pStyle w:val="FootnoteText"/>
      </w:pPr>
      <w:r>
        <w:rPr>
          <w:rStyle w:val="FootnoteReference"/>
        </w:rPr>
        <w:footnoteRef/>
      </w:r>
      <w:r>
        <w:t xml:space="preserve"> Cross-references for "there was": 2Kgs 20:10-11; Isa 38:8.</w:t>
      </w:r>
    </w:p>
  </w:footnote>
  <w:footnote w:id="4019">
    <w:p>
      <w:pPr>
        <w:pStyle w:val="FootnoteText"/>
      </w:pPr>
      <w:r>
        <w:rPr>
          <w:rStyle w:val="FootnoteReference"/>
        </w:rPr>
        <w:footnoteRef/>
      </w:r>
      <w:r>
        <w:t xml:space="preserve"> Cross-references for "and hid": Ps 48:4-6; Ps 139:7-10.</w:t>
      </w:r>
    </w:p>
  </w:footnote>
  <w:footnote w:id="4020">
    <w:p>
      <w:pPr>
        <w:pStyle w:val="FootnoteText"/>
      </w:pPr>
      <w:r>
        <w:rPr>
          <w:rStyle w:val="FootnoteReference"/>
        </w:rPr>
        <w:footnoteRef/>
      </w:r>
      <w:r>
        <w:t xml:space="preserve"> Translation note: Greek uses a survivors-saved line with repetition. Current wording preserves it.</w:t>
      </w:r>
    </w:p>
  </w:footnote>
  <w:footnote w:id="4021">
    <w:p>
      <w:pPr>
        <w:pStyle w:val="FootnoteText"/>
      </w:pPr>
      <w:r>
        <w:rPr>
          <w:rStyle w:val="FootnoteReference"/>
        </w:rPr>
        <w:footnoteRef/>
      </w:r>
      <w:r>
        <w:t xml:space="preserve"> Cross-references for "none": Exod 11:7; Isa 54:17.</w:t>
      </w:r>
    </w:p>
  </w:footnote>
  <w:footnote w:id="4022">
    <w:p>
      <w:pPr>
        <w:pStyle w:val="FootnoteText"/>
      </w:pPr>
      <w:r>
        <w:rPr>
          <w:rStyle w:val="FootnoteReference"/>
        </w:rPr>
        <w:footnoteRef/>
      </w:r>
      <w:r>
        <w:t xml:space="preserve"> Translation note: Greek says necks here. Current line keeps that wording.</w:t>
      </w:r>
    </w:p>
  </w:footnote>
  <w:footnote w:id="4023">
    <w:p>
      <w:pPr>
        <w:pStyle w:val="FootnoteText"/>
      </w:pPr>
      <w:r>
        <w:rPr>
          <w:rStyle w:val="FootnoteReference"/>
        </w:rPr>
        <w:footnoteRef/>
      </w:r>
      <w:r>
        <w:t xml:space="preserve"> Cross-references for "put your feet": Deut 33:29; Judg 8:20.</w:t>
      </w:r>
    </w:p>
  </w:footnote>
  <w:footnote w:id="4024">
    <w:p>
      <w:pPr>
        <w:pStyle w:val="FootnoteText"/>
      </w:pPr>
      <w:r>
        <w:rPr>
          <w:rStyle w:val="FootnoteReference"/>
        </w:rPr>
        <w:footnoteRef/>
      </w:r>
      <w:r>
        <w:t xml:space="preserve"> Cross-references for "be strong": Eph 6:10.</w:t>
      </w:r>
    </w:p>
  </w:footnote>
  <w:footnote w:id="4025">
    <w:p>
      <w:pPr>
        <w:pStyle w:val="FootnoteText"/>
      </w:pPr>
      <w:r>
        <w:rPr>
          <w:rStyle w:val="FootnoteReference"/>
        </w:rPr>
        <w:footnoteRef/>
      </w:r>
      <w:r>
        <w:t xml:space="preserve"> Cross-references for "Joshua": Judg 8:21; 1Sam 15:33.</w:t>
      </w:r>
    </w:p>
  </w:footnote>
  <w:footnote w:id="4026">
    <w:p>
      <w:pPr>
        <w:pStyle w:val="FootnoteText"/>
      </w:pPr>
      <w:r>
        <w:rPr>
          <w:rStyle w:val="FootnoteReference"/>
        </w:rPr>
        <w:footnoteRef/>
      </w:r>
      <w:r>
        <w:t xml:space="preserve"> Cross-references for "they took": Deut 21:23; Josh 8:29.</w:t>
      </w:r>
    </w:p>
  </w:footnote>
  <w:footnote w:id="4027">
    <w:p>
      <w:pPr>
        <w:pStyle w:val="FootnoteText"/>
      </w:pPr>
      <w:r>
        <w:rPr>
          <w:rStyle w:val="FootnoteReference"/>
        </w:rPr>
        <w:footnoteRef/>
      </w:r>
      <w:r>
        <w:t xml:space="preserve"> Cross-references for "Makkedah": Josh 15:41.</w:t>
      </w:r>
    </w:p>
  </w:footnote>
  <w:footnote w:id="4028">
    <w:p>
      <w:pPr>
        <w:pStyle w:val="FootnoteText"/>
      </w:pPr>
      <w:r>
        <w:rPr>
          <w:rStyle w:val="FootnoteReference"/>
        </w:rPr>
        <w:footnoteRef/>
      </w:r>
      <w:r>
        <w:t xml:space="preserve"> Translation note: Greek doubles the result with saved and escaped.</w:t>
      </w:r>
    </w:p>
  </w:footnote>
  <w:footnote w:id="4029">
    <w:p>
      <w:pPr>
        <w:pStyle w:val="FootnoteText"/>
      </w:pPr>
      <w:r>
        <w:rPr>
          <w:rStyle w:val="FootnoteReference"/>
        </w:rPr>
        <w:footnoteRef/>
      </w:r>
      <w:r>
        <w:t xml:space="preserve"> Cross-references for "Libnah": Num 33:20; Josh 6:21.</w:t>
      </w:r>
    </w:p>
  </w:footnote>
  <w:footnote w:id="4030">
    <w:p>
      <w:pPr>
        <w:pStyle w:val="FootnoteText"/>
      </w:pPr>
      <w:r>
        <w:rPr>
          <w:rStyle w:val="FootnoteReference"/>
        </w:rPr>
        <w:footnoteRef/>
      </w:r>
      <w:r>
        <w:t xml:space="preserve"> Translation note: Greek doubles the survival negation with two related verbs. The translation keeps both parts visible.</w:t>
      </w:r>
    </w:p>
  </w:footnote>
  <w:footnote w:id="4031">
    <w:p>
      <w:pPr>
        <w:pStyle w:val="FootnoteText"/>
      </w:pPr>
      <w:r>
        <w:rPr>
          <w:rStyle w:val="FootnoteReference"/>
        </w:rPr>
        <w:footnoteRef/>
      </w:r>
      <w:r>
        <w:t xml:space="preserve"> Cross-references for "Lachish": Josh 10:3; Josh 10:5.</w:t>
      </w:r>
    </w:p>
  </w:footnote>
  <w:footnote w:id="4032">
    <w:p>
      <w:pPr>
        <w:pStyle w:val="FootnoteText"/>
      </w:pPr>
      <w:r>
        <w:rPr>
          <w:rStyle w:val="FootnoteReference"/>
        </w:rPr>
        <w:footnoteRef/>
      </w:r>
      <w:r>
        <w:t xml:space="preserve"> Cross-references for "to Libnah": Josh 10:30.</w:t>
      </w:r>
    </w:p>
  </w:footnote>
  <w:footnote w:id="4033">
    <w:p>
      <w:pPr>
        <w:pStyle w:val="FootnoteText"/>
      </w:pPr>
      <w:r>
        <w:rPr>
          <w:rStyle w:val="FootnoteReference"/>
        </w:rPr>
        <w:footnoteRef/>
      </w:r>
      <w:r>
        <w:t xml:space="preserve"> Personal name: Horam. Personal-name meaning: Horam — their hill. Source form: Horam.</w:t>
      </w:r>
    </w:p>
  </w:footnote>
  <w:footnote w:id="4034">
    <w:p>
      <w:pPr>
        <w:pStyle w:val="FootnoteText"/>
      </w:pPr>
      <w:r>
        <w:rPr>
          <w:rStyle w:val="FootnoteReference"/>
        </w:rPr>
        <w:footnoteRef/>
      </w:r>
      <w:r>
        <w:t xml:space="preserve"> Place name: Gezer. Place-name meaning: Gezer — dividing, sentence. Source form: Gezer. Greek form: γαζερ.</w:t>
      </w:r>
    </w:p>
  </w:footnote>
  <w:footnote w:id="4035">
    <w:p>
      <w:pPr>
        <w:pStyle w:val="FootnoteText"/>
      </w:pPr>
      <w:r>
        <w:rPr>
          <w:rStyle w:val="FootnoteReference"/>
        </w:rPr>
        <w:footnoteRef/>
      </w:r>
      <w:r>
        <w:t xml:space="preserve"> Cross-references for "Gezer": Josh 12:12; Josh 16:3.</w:t>
      </w:r>
    </w:p>
  </w:footnote>
  <w:footnote w:id="4036">
    <w:p>
      <w:pPr>
        <w:pStyle w:val="FootnoteText"/>
      </w:pPr>
      <w:r>
        <w:rPr>
          <w:rStyle w:val="FootnoteReference"/>
        </w:rPr>
        <w:footnoteRef/>
      </w:r>
      <w:r>
        <w:t xml:space="preserve"> Cross-references for "on that day": Josh 10:32.</w:t>
      </w:r>
    </w:p>
  </w:footnote>
  <w:footnote w:id="4037">
    <w:p>
      <w:pPr>
        <w:pStyle w:val="FootnoteText"/>
      </w:pPr>
      <w:r>
        <w:rPr>
          <w:rStyle w:val="FootnoteReference"/>
        </w:rPr>
        <w:footnoteRef/>
      </w:r>
      <w:r>
        <w:t xml:space="preserve"> Cross-references for "Hebron": Gen 13:18; Num 13:22.</w:t>
      </w:r>
    </w:p>
  </w:footnote>
  <w:footnote w:id="4038">
    <w:p>
      <w:pPr>
        <w:pStyle w:val="FootnoteText"/>
      </w:pPr>
      <w:r>
        <w:rPr>
          <w:rStyle w:val="FootnoteReference"/>
        </w:rPr>
        <w:footnoteRef/>
      </w:r>
      <w:r>
        <w:t xml:space="preserve"> Translation note: Greek says every breathing thing and Odollam here.</w:t>
      </w:r>
    </w:p>
  </w:footnote>
  <w:footnote w:id="4039">
    <w:p>
      <w:pPr>
        <w:pStyle w:val="FootnoteText"/>
      </w:pPr>
      <w:r>
        <w:rPr>
          <w:rStyle w:val="FootnoteReference"/>
        </w:rPr>
        <w:footnoteRef/>
      </w:r>
      <w:r>
        <w:t xml:space="preserve"> Cross-references for "Debir": Josh 10:41; Josh 12:13.</w:t>
      </w:r>
    </w:p>
  </w:footnote>
  <w:footnote w:id="4040">
    <w:p>
      <w:pPr>
        <w:pStyle w:val="FootnoteText"/>
      </w:pPr>
      <w:r>
        <w:rPr>
          <w:rStyle w:val="FootnoteReference"/>
        </w:rPr>
        <w:footnoteRef/>
      </w:r>
      <w:r>
        <w:t xml:space="preserve"> Translation note: Greek says they did not leave any saved one.</w:t>
      </w:r>
    </w:p>
  </w:footnote>
  <w:footnote w:id="4041">
    <w:p>
      <w:pPr>
        <w:pStyle w:val="FootnoteText"/>
      </w:pPr>
      <w:r>
        <w:rPr>
          <w:rStyle w:val="FootnoteReference"/>
        </w:rPr>
        <w:footnoteRef/>
      </w:r>
      <w:r>
        <w:t xml:space="preserve"> Place name: Negeb. Place-name meaning: Negeb — south; dry land. Source form: Negeb. Greek form: ναγεβ.</w:t>
      </w:r>
    </w:p>
  </w:footnote>
  <w:footnote w:id="4042">
    <w:p>
      <w:pPr>
        <w:pStyle w:val="FootnoteText"/>
      </w:pPr>
      <w:r>
        <w:rPr>
          <w:rStyle w:val="FootnoteReference"/>
        </w:rPr>
        <w:footnoteRef/>
      </w:r>
      <w:r>
        <w:t xml:space="preserve"> Cross-references for "utterly": Josh 10:35; Josh 10:37.</w:t>
      </w:r>
    </w:p>
  </w:footnote>
  <w:footnote w:id="4043">
    <w:p>
      <w:pPr>
        <w:pStyle w:val="FootnoteText"/>
      </w:pPr>
      <w:r>
        <w:rPr>
          <w:rStyle w:val="FootnoteReference"/>
        </w:rPr>
        <w:footnoteRef/>
      </w:r>
      <w:r>
        <w:t xml:space="preserve"> Translation note: Greek preserves Asedoth form here. Current line keeps it.</w:t>
      </w:r>
    </w:p>
  </w:footnote>
  <w:footnote w:id="4044">
    <w:p>
      <w:pPr>
        <w:pStyle w:val="FootnoteText"/>
      </w:pPr>
      <w:r>
        <w:rPr>
          <w:rStyle w:val="FootnoteReference"/>
        </w:rPr>
        <w:footnoteRef/>
      </w:r>
      <w:r>
        <w:t xml:space="preserve"> Cross-references for "Gaza": Gen 10:19; Judg 16:1.</w:t>
      </w:r>
    </w:p>
  </w:footnote>
  <w:footnote w:id="4045">
    <w:p>
      <w:pPr>
        <w:pStyle w:val="FootnoteText"/>
      </w:pPr>
      <w:r>
        <w:rPr>
          <w:rStyle w:val="FootnoteReference"/>
        </w:rPr>
        <w:footnoteRef/>
      </w:r>
      <w:r>
        <w:t xml:space="preserve"> Translation note: Greek uses with-Israel battle language here. Current wording preserves that victory summary.</w:t>
      </w:r>
    </w:p>
  </w:footnote>
  <w:footnote w:id="4046">
    <w:p>
      <w:pPr>
        <w:pStyle w:val="FootnoteText"/>
      </w:pPr>
      <w:r>
        <w:rPr>
          <w:rStyle w:val="FootnoteReference"/>
        </w:rPr>
        <w:footnoteRef/>
      </w:r>
      <w:r>
        <w:t xml:space="preserve"> Personal name: Jabin. Personal-name meaning: Jabin — he that understands; building. Source form: Jabin.</w:t>
      </w:r>
    </w:p>
  </w:footnote>
  <w:footnote w:id="4047">
    <w:p>
      <w:pPr>
        <w:pStyle w:val="FootnoteText"/>
      </w:pPr>
      <w:r>
        <w:rPr>
          <w:rStyle w:val="FootnoteReference"/>
        </w:rPr>
        <w:footnoteRef/>
      </w:r>
      <w:r>
        <w:t xml:space="preserve"> Place name: Hazor. Place-name meaning: Hazor — court; hay. Source form: Hazor. Greek form: ασωρ.</w:t>
      </w:r>
    </w:p>
  </w:footnote>
  <w:footnote w:id="4048">
    <w:p>
      <w:pPr>
        <w:pStyle w:val="FootnoteText"/>
      </w:pPr>
      <w:r>
        <w:rPr>
          <w:rStyle w:val="FootnoteReference"/>
        </w:rPr>
        <w:footnoteRef/>
      </w:r>
      <w:r>
        <w:t xml:space="preserve"> Place name: Madon. Place-name meaning: Madon — a chiding; a garment; his measure. Source form: Madon. Greek form: μαρρων.</w:t>
      </w:r>
    </w:p>
  </w:footnote>
  <w:footnote w:id="4049">
    <w:p>
      <w:pPr>
        <w:pStyle w:val="FootnoteText"/>
      </w:pPr>
      <w:r>
        <w:rPr>
          <w:rStyle w:val="FootnoteReference"/>
        </w:rPr>
        <w:footnoteRef/>
      </w:r>
      <w:r>
        <w:t xml:space="preserve"> Place name: Achshaph. Place-name meaning: Achshaph — fascination; sorcery. Source form: Achshaph. Greek form: αζιφ.</w:t>
      </w:r>
    </w:p>
  </w:footnote>
  <w:footnote w:id="4050">
    <w:p>
      <w:pPr>
        <w:pStyle w:val="FootnoteText"/>
      </w:pPr>
      <w:r>
        <w:rPr>
          <w:rStyle w:val="FootnoteReference"/>
        </w:rPr>
        <w:footnoteRef/>
      </w:r>
      <w:r>
        <w:t xml:space="preserve"> Cross-references for "Jabin": Josh 11:10; Josh 12:19.</w:t>
      </w:r>
    </w:p>
  </w:footnote>
  <w:footnote w:id="4051">
    <w:p>
      <w:pPr>
        <w:pStyle w:val="FootnoteText"/>
      </w:pPr>
      <w:r>
        <w:rPr>
          <w:rStyle w:val="FootnoteReference"/>
        </w:rPr>
        <w:footnoteRef/>
      </w:r>
      <w:r>
        <w:t xml:space="preserve"> Place name: Raba. Place-name meaning: Arabah — plain; desert steppe. Standard English equivalent: Arabah. Source form: Raba. Greek form: ραβα.</w:t>
      </w:r>
    </w:p>
  </w:footnote>
  <w:footnote w:id="4052">
    <w:p>
      <w:pPr>
        <w:pStyle w:val="FootnoteText"/>
      </w:pPr>
      <w:r>
        <w:rPr>
          <w:rStyle w:val="FootnoteReference"/>
        </w:rPr>
        <w:footnoteRef/>
      </w:r>
      <w:r>
        <w:t xml:space="preserve"> Place name: Chinneroth. Place-name meaning: Chinneroth — harps; lyres. Source form: Chinneroth. Greek form: κενερωθ.</w:t>
      </w:r>
    </w:p>
  </w:footnote>
  <w:footnote w:id="4053">
    <w:p>
      <w:pPr>
        <w:pStyle w:val="FootnoteText"/>
      </w:pPr>
      <w:r>
        <w:rPr>
          <w:rStyle w:val="FootnoteReference"/>
        </w:rPr>
        <w:footnoteRef/>
      </w:r>
      <w:r>
        <w:t xml:space="preserve"> Place name: Dor. Place-name meaning: Dor — generation, habitation. Source form: Dor. Greek form: ναφεδδωρ.</w:t>
      </w:r>
    </w:p>
  </w:footnote>
  <w:footnote w:id="4054">
    <w:p>
      <w:pPr>
        <w:pStyle w:val="FootnoteText"/>
      </w:pPr>
      <w:r>
        <w:rPr>
          <w:rStyle w:val="FootnoteReference"/>
        </w:rPr>
        <w:footnoteRef/>
      </w:r>
      <w:r>
        <w:t xml:space="preserve"> Cross-references for "Chinneroth": Josh 12:3.</w:t>
      </w:r>
    </w:p>
  </w:footnote>
  <w:footnote w:id="4055">
    <w:p>
      <w:pPr>
        <w:pStyle w:val="FootnoteText"/>
      </w:pPr>
      <w:r>
        <w:rPr>
          <w:rStyle w:val="FootnoteReference"/>
        </w:rPr>
        <w:footnoteRef/>
      </w:r>
      <w:r>
        <w:t xml:space="preserve"> Cross-references for "Hermon": Deut 4:48; Josh 13:11.</w:t>
      </w:r>
    </w:p>
  </w:footnote>
  <w:footnote w:id="4056">
    <w:p>
      <w:pPr>
        <w:pStyle w:val="FootnoteText"/>
      </w:pPr>
      <w:r>
        <w:rPr>
          <w:rStyle w:val="FootnoteReference"/>
        </w:rPr>
        <w:footnoteRef/>
      </w:r>
      <w:r>
        <w:t xml:space="preserve"> Transliterated proper noun: Mizpeh. Standard English equivalent: Mizpeh. Source form: Mizpeh. Greek form: μασσηφα. Name meaning: a watch-tower; speculation.</w:t>
      </w:r>
    </w:p>
  </w:footnote>
  <w:footnote w:id="4057">
    <w:p>
      <w:pPr>
        <w:pStyle w:val="FootnoteText"/>
      </w:pPr>
      <w:r>
        <w:rPr>
          <w:rStyle w:val="FootnoteReference"/>
        </w:rPr>
        <w:footnoteRef/>
      </w:r>
      <w:r>
        <w:t xml:space="preserve"> Cross-references for "all these": Ps 3:1; Ps 118:10-12.</w:t>
      </w:r>
    </w:p>
  </w:footnote>
  <w:footnote w:id="4058">
    <w:p>
      <w:pPr>
        <w:pStyle w:val="FootnoteText"/>
      </w:pPr>
      <w:r>
        <w:rPr>
          <w:rStyle w:val="FootnoteReference"/>
        </w:rPr>
        <w:footnoteRef/>
      </w:r>
      <w:r>
        <w:t xml:space="preserve"> Cross-references for "horses": Deut 7:16; Ps 20:7-8.</w:t>
      </w:r>
    </w:p>
  </w:footnote>
  <w:footnote w:id="4059">
    <w:p>
      <w:pPr>
        <w:pStyle w:val="FootnoteText"/>
      </w:pPr>
      <w:r>
        <w:rPr>
          <w:rStyle w:val="FootnoteReference"/>
        </w:rPr>
        <w:footnoteRef/>
      </w:r>
      <w:r>
        <w:t xml:space="preserve"> Cross-references for "suddenly": Josh 10:9; 1Thess 5:2-3.</w:t>
      </w:r>
    </w:p>
  </w:footnote>
  <w:footnote w:id="4060">
    <w:p>
      <w:pPr>
        <w:pStyle w:val="FootnoteText"/>
      </w:pPr>
      <w:r>
        <w:rPr>
          <w:rStyle w:val="FootnoteReference"/>
        </w:rPr>
        <w:footnoteRef/>
      </w:r>
      <w:r>
        <w:t xml:space="preserve"> Cross-references for "the Lord": Josh 21:44.</w:t>
      </w:r>
    </w:p>
  </w:footnote>
  <w:footnote w:id="4061">
    <w:p>
      <w:pPr>
        <w:pStyle w:val="FootnoteText"/>
      </w:pPr>
      <w:r>
        <w:rPr>
          <w:rStyle w:val="FootnoteReference"/>
        </w:rPr>
        <w:footnoteRef/>
      </w:r>
      <w:r>
        <w:t xml:space="preserve"> Place name: Massoch. Place-name meaning: Mizpah — a watch-tower; speculation. Standard English equivalent: Mizpah. Source form: Massoch. Greek form: μασσωχ.</w:t>
      </w:r>
    </w:p>
  </w:footnote>
  <w:footnote w:id="4062">
    <w:p>
      <w:pPr>
        <w:pStyle w:val="FootnoteText"/>
      </w:pPr>
      <w:r>
        <w:rPr>
          <w:rStyle w:val="FootnoteReference"/>
        </w:rPr>
        <w:footnoteRef/>
      </w:r>
      <w:r>
        <w:t xml:space="preserve"> Translation note: Greek preserves these place forms here. Current line keeps them.</w:t>
      </w:r>
    </w:p>
  </w:footnote>
  <w:footnote w:id="4063">
    <w:p>
      <w:pPr>
        <w:pStyle w:val="FootnoteText"/>
      </w:pPr>
      <w:r>
        <w:rPr>
          <w:rStyle w:val="FootnoteReference"/>
        </w:rPr>
        <w:footnoteRef/>
      </w:r>
      <w:r>
        <w:t xml:space="preserve"> Cross-references for "Hazor": Josh 11:1; Judg 4:2.</w:t>
      </w:r>
    </w:p>
  </w:footnote>
  <w:footnote w:id="4064">
    <w:p>
      <w:pPr>
        <w:pStyle w:val="FootnoteText"/>
      </w:pPr>
      <w:r>
        <w:rPr>
          <w:rStyle w:val="FootnoteReference"/>
        </w:rPr>
        <w:footnoteRef/>
      </w:r>
      <w:r>
        <w:t xml:space="preserve"> Translation note: Greek says spoil and plunder here. The translation keeps that wording.</w:t>
      </w:r>
    </w:p>
  </w:footnote>
  <w:footnote w:id="4065">
    <w:p>
      <w:pPr>
        <w:pStyle w:val="FootnoteText"/>
      </w:pPr>
      <w:r>
        <w:rPr>
          <w:rStyle w:val="FootnoteReference"/>
        </w:rPr>
        <w:footnoteRef/>
      </w:r>
      <w:r>
        <w:t xml:space="preserve"> Cross-references for "the Lord": Exod 34:11-13; Josh 11:12.</w:t>
      </w:r>
    </w:p>
  </w:footnote>
  <w:footnote w:id="4066">
    <w:p>
      <w:pPr>
        <w:pStyle w:val="FootnoteText"/>
      </w:pPr>
      <w:r>
        <w:rPr>
          <w:rStyle w:val="FootnoteReference"/>
        </w:rPr>
        <w:footnoteRef/>
      </w:r>
      <w:r>
        <w:t xml:space="preserve"> Cross-references for "the mountain": Josh 11:21; Ezek 17:23.</w:t>
      </w:r>
    </w:p>
  </w:footnote>
  <w:footnote w:id="4067">
    <w:p>
      <w:pPr>
        <w:pStyle w:val="FootnoteText"/>
      </w:pPr>
      <w:r>
        <w:rPr>
          <w:rStyle w:val="FootnoteReference"/>
        </w:rPr>
        <w:footnoteRef/>
      </w:r>
      <w:r>
        <w:t xml:space="preserve"> Cross-references for "Seir": Josh 1:4; Josh 11:3.</w:t>
      </w:r>
    </w:p>
  </w:footnote>
  <w:footnote w:id="4068">
    <w:p>
      <w:pPr>
        <w:pStyle w:val="FootnoteText"/>
      </w:pPr>
      <w:r>
        <w:rPr>
          <w:rStyle w:val="FootnoteReference"/>
        </w:rPr>
        <w:footnoteRef/>
      </w:r>
      <w:r>
        <w:t xml:space="preserve"> Transliterated proper noun: Baalgad. Standard English equivalent: Baalgad. Source form: Baalgad. Greek form: βααλγαδ. Name meaning: idol of fortune or felicity.</w:t>
      </w:r>
    </w:p>
  </w:footnote>
  <w:footnote w:id="4069">
    <w:p>
      <w:pPr>
        <w:pStyle w:val="FootnoteText"/>
      </w:pPr>
      <w:r>
        <w:rPr>
          <w:rStyle w:val="FootnoteReference"/>
        </w:rPr>
        <w:footnoteRef/>
      </w:r>
      <w:r>
        <w:t xml:space="preserve"> Translation note: Greek frames the hardening line with from the Lord it came to strengthen their heart.</w:t>
      </w:r>
    </w:p>
  </w:footnote>
  <w:footnote w:id="4070">
    <w:p>
      <w:pPr>
        <w:pStyle w:val="FootnoteText"/>
      </w:pPr>
      <w:r>
        <w:rPr>
          <w:rStyle w:val="FootnoteReference"/>
        </w:rPr>
        <w:footnoteRef/>
      </w:r>
      <w:r>
        <w:t xml:space="preserve"> Place name: Anab. Place-name meaning: Anab — a grape; a knot. Source form: Anab. Greek form: αναβωθ.</w:t>
      </w:r>
    </w:p>
  </w:footnote>
  <w:footnote w:id="4071">
    <w:p>
      <w:pPr>
        <w:pStyle w:val="FootnoteText"/>
      </w:pPr>
      <w:r>
        <w:rPr>
          <w:rStyle w:val="FootnoteReference"/>
        </w:rPr>
        <w:footnoteRef/>
      </w:r>
      <w:r>
        <w:t xml:space="preserve"> Translation note: Greek says out of all the race of Israel.</w:t>
      </w:r>
    </w:p>
  </w:footnote>
  <w:footnote w:id="4072">
    <w:p>
      <w:pPr>
        <w:pStyle w:val="FootnoteText"/>
      </w:pPr>
      <w:r>
        <w:rPr>
          <w:rStyle w:val="FootnoteReference"/>
        </w:rPr>
        <w:footnoteRef/>
      </w:r>
      <w:r>
        <w:t xml:space="preserve"> Place name: Gath. Place-name meaning: Gath — a wine-press. Source form: Gath. Greek form: γεθ.</w:t>
      </w:r>
    </w:p>
  </w:footnote>
  <w:footnote w:id="4073">
    <w:p>
      <w:pPr>
        <w:pStyle w:val="FootnoteText"/>
      </w:pPr>
      <w:r>
        <w:rPr>
          <w:rStyle w:val="FootnoteReference"/>
        </w:rPr>
        <w:footnoteRef/>
      </w:r>
      <w:r>
        <w:t xml:space="preserve"> Cross-references for "Ashdod": Josh 15:46; 2Chr 26:6.</w:t>
      </w:r>
    </w:p>
  </w:footnote>
  <w:footnote w:id="4074">
    <w:p>
      <w:pPr>
        <w:pStyle w:val="FootnoteText"/>
      </w:pPr>
      <w:r>
        <w:rPr>
          <w:rStyle w:val="FootnoteReference"/>
        </w:rPr>
        <w:footnoteRef/>
      </w:r>
      <w:r>
        <w:t xml:space="preserve"> Cross-references for "according to their": Num 26:52-55.</w:t>
      </w:r>
    </w:p>
  </w:footnote>
  <w:footnote w:id="4075">
    <w:p>
      <w:pPr>
        <w:pStyle w:val="FootnoteText"/>
      </w:pPr>
      <w:r>
        <w:rPr>
          <w:rStyle w:val="FootnoteReference"/>
        </w:rPr>
        <w:footnoteRef/>
      </w:r>
      <w:r>
        <w:t xml:space="preserve"> Translation note: Greek matches current rendering closely here.</w:t>
      </w:r>
    </w:p>
  </w:footnote>
  <w:footnote w:id="4076">
    <w:p>
      <w:pPr>
        <w:pStyle w:val="FootnoteText"/>
      </w:pPr>
      <w:r>
        <w:rPr>
          <w:rStyle w:val="FootnoteReference"/>
        </w:rPr>
        <w:footnoteRef/>
      </w:r>
      <w:r>
        <w:t xml:space="preserve"> Cross-references for "from the": Num 21:13; Num 21:24.</w:t>
      </w:r>
    </w:p>
  </w:footnote>
  <w:footnote w:id="4077">
    <w:p>
      <w:pPr>
        <w:pStyle w:val="FootnoteText"/>
      </w:pPr>
      <w:r>
        <w:rPr>
          <w:rStyle w:val="FootnoteReference"/>
        </w:rPr>
        <w:footnoteRef/>
      </w:r>
      <w:r>
        <w:t xml:space="preserve"> Translation note: Greek says ravine here. Current line keeps that wording.</w:t>
      </w:r>
    </w:p>
  </w:footnote>
  <w:footnote w:id="4078">
    <w:p>
      <w:pPr>
        <w:pStyle w:val="FootnoteText"/>
      </w:pPr>
      <w:r>
        <w:rPr>
          <w:rStyle w:val="FootnoteReference"/>
        </w:rPr>
        <w:footnoteRef/>
      </w:r>
      <w:r>
        <w:t xml:space="preserve"> Cross-references for "Sihon": Num 21:23-30; Deut 2:24-37.</w:t>
      </w:r>
    </w:p>
  </w:footnote>
  <w:footnote w:id="4079">
    <w:p>
      <w:pPr>
        <w:pStyle w:val="FootnoteText"/>
      </w:pPr>
      <w:r>
        <w:rPr>
          <w:rStyle w:val="FootnoteReference"/>
        </w:rPr>
        <w:footnoteRef/>
      </w:r>
      <w:r>
        <w:t xml:space="preserve"> Translation note: Greek uses ravine wording here. The translation keeps that terrain term.</w:t>
      </w:r>
    </w:p>
  </w:footnote>
  <w:footnote w:id="4080">
    <w:p>
      <w:pPr>
        <w:pStyle w:val="FootnoteText"/>
      </w:pPr>
      <w:r>
        <w:rPr>
          <w:rStyle w:val="FootnoteReference"/>
        </w:rPr>
        <w:footnoteRef/>
      </w:r>
      <w:r>
        <w:t xml:space="preserve"> Cross-references for "sea of Chinneroth": Deut 3:17; Josh 11:2.</w:t>
      </w:r>
    </w:p>
  </w:footnote>
  <w:footnote w:id="4081">
    <w:p>
      <w:pPr>
        <w:pStyle w:val="FootnoteText"/>
      </w:pPr>
      <w:r>
        <w:rPr>
          <w:rStyle w:val="FootnoteReference"/>
        </w:rPr>
        <w:footnoteRef/>
      </w:r>
      <w:r>
        <w:t xml:space="preserve"> Cross-references for "Hermon": Deut 3:8-9; Deut 4:47-48.</w:t>
      </w:r>
    </w:p>
  </w:footnote>
  <w:footnote w:id="4082">
    <w:p>
      <w:pPr>
        <w:pStyle w:val="FootnoteText"/>
      </w:pPr>
      <w:r>
        <w:rPr>
          <w:rStyle w:val="FootnoteReference"/>
        </w:rPr>
        <w:footnoteRef/>
      </w:r>
      <w:r>
        <w:t xml:space="preserve"> People-name: Geshurites. People-name meaning: Geshurites — sight of the valley; a walled valley. Source form: Geshurites.</w:t>
      </w:r>
    </w:p>
  </w:footnote>
  <w:footnote w:id="4083">
    <w:p>
      <w:pPr>
        <w:pStyle w:val="FootnoteText"/>
      </w:pPr>
      <w:r>
        <w:rPr>
          <w:rStyle w:val="FootnoteReference"/>
        </w:rPr>
        <w:footnoteRef/>
      </w:r>
      <w:r>
        <w:t xml:space="preserve"> Cross-references for "gave it": Deut 3:11-17; Josh 13:8-32.</w:t>
      </w:r>
    </w:p>
  </w:footnote>
  <w:footnote w:id="4084">
    <w:p>
      <w:pPr>
        <w:pStyle w:val="FootnoteText"/>
      </w:pPr>
      <w:r>
        <w:rPr>
          <w:rStyle w:val="FootnoteReference"/>
        </w:rPr>
        <w:footnoteRef/>
      </w:r>
      <w:r>
        <w:t xml:space="preserve"> Cross-references for "Baalgad": Josh 11:17; Josh 13:5.</w:t>
      </w:r>
    </w:p>
  </w:footnote>
  <w:footnote w:id="4085">
    <w:p>
      <w:pPr>
        <w:pStyle w:val="FootnoteText"/>
      </w:pPr>
      <w:r>
        <w:rPr>
          <w:rStyle w:val="FootnoteReference"/>
        </w:rPr>
        <w:footnoteRef/>
      </w:r>
      <w:r>
        <w:t xml:space="preserve"> Translation note: Greek route wording stays close to current line here.</w:t>
      </w:r>
    </w:p>
  </w:footnote>
  <w:footnote w:id="4086">
    <w:p>
      <w:pPr>
        <w:pStyle w:val="FootnoteText"/>
      </w:pPr>
      <w:r>
        <w:rPr>
          <w:rStyle w:val="FootnoteReference"/>
        </w:rPr>
        <w:footnoteRef/>
      </w:r>
      <w:r>
        <w:t xml:space="preserve"> Translation note: Regional list follows Greek directly here.</w:t>
      </w:r>
    </w:p>
  </w:footnote>
  <w:footnote w:id="4087">
    <w:p>
      <w:pPr>
        <w:pStyle w:val="FootnoteText"/>
      </w:pPr>
      <w:r>
        <w:rPr>
          <w:rStyle w:val="FootnoteReference"/>
        </w:rPr>
        <w:footnoteRef/>
      </w:r>
      <w:r>
        <w:t xml:space="preserve"> Cross-references for "Jericho": Josh 6:2-21.</w:t>
      </w:r>
    </w:p>
  </w:footnote>
  <w:footnote w:id="4088">
    <w:p>
      <w:pPr>
        <w:pStyle w:val="FootnoteText"/>
      </w:pPr>
      <w:r>
        <w:rPr>
          <w:rStyle w:val="FootnoteReference"/>
        </w:rPr>
        <w:footnoteRef/>
      </w:r>
      <w:r>
        <w:t xml:space="preserve"> Cross-references for "Jerusalem": Josh 10:23.</w:t>
      </w:r>
    </w:p>
  </w:footnote>
  <w:footnote w:id="4089">
    <w:p>
      <w:pPr>
        <w:pStyle w:val="FootnoteText"/>
      </w:pPr>
      <w:r>
        <w:rPr>
          <w:rStyle w:val="FootnoteReference"/>
        </w:rPr>
        <w:footnoteRef/>
      </w:r>
      <w:r>
        <w:t xml:space="preserve"> Cross-references for "Lachish": Josh 10:3; Josh 10:23.</w:t>
      </w:r>
    </w:p>
  </w:footnote>
  <w:footnote w:id="4090">
    <w:p>
      <w:pPr>
        <w:pStyle w:val="FootnoteText"/>
      </w:pPr>
      <w:r>
        <w:rPr>
          <w:rStyle w:val="FootnoteReference"/>
        </w:rPr>
        <w:footnoteRef/>
      </w:r>
      <w:r>
        <w:t xml:space="preserve"> Transliterated proper noun: Eglon. Standard English equivalent: Eglon. Source form: Eglon. Name meaning: heifer; chariot; round.</w:t>
      </w:r>
    </w:p>
  </w:footnote>
  <w:footnote w:id="4091">
    <w:p>
      <w:pPr>
        <w:pStyle w:val="FootnoteText"/>
      </w:pPr>
      <w:r>
        <w:rPr>
          <w:rStyle w:val="FootnoteReference"/>
        </w:rPr>
        <w:footnoteRef/>
      </w:r>
      <w:r>
        <w:t xml:space="preserve"> Cross-references for "Eglon": Josh 10:3; Josh 10:23.</w:t>
      </w:r>
    </w:p>
  </w:footnote>
  <w:footnote w:id="4092">
    <w:p>
      <w:pPr>
        <w:pStyle w:val="FootnoteText"/>
      </w:pPr>
      <w:r>
        <w:rPr>
          <w:rStyle w:val="FootnoteReference"/>
        </w:rPr>
        <w:footnoteRef/>
      </w:r>
      <w:r>
        <w:t xml:space="preserve"> Cross-references for "Debir": Josh 10:3; Josh 10:38.</w:t>
      </w:r>
    </w:p>
  </w:footnote>
  <w:footnote w:id="4093">
    <w:p>
      <w:pPr>
        <w:pStyle w:val="FootnoteText"/>
      </w:pPr>
      <w:r>
        <w:rPr>
          <w:rStyle w:val="FootnoteReference"/>
        </w:rPr>
        <w:footnoteRef/>
      </w:r>
      <w:r>
        <w:t xml:space="preserve"> Place name: Geder. Place-name meaning: Geder — a wall. Source form: Geder. Greek form: γαδερ.</w:t>
      </w:r>
    </w:p>
  </w:footnote>
  <w:footnote w:id="4094">
    <w:p>
      <w:pPr>
        <w:pStyle w:val="FootnoteText"/>
      </w:pPr>
      <w:r>
        <w:rPr>
          <w:rStyle w:val="FootnoteReference"/>
        </w:rPr>
        <w:footnoteRef/>
      </w:r>
      <w:r>
        <w:t xml:space="preserve"> Cross-references for "Hormah": Num 14:45; Num 21:3.</w:t>
      </w:r>
    </w:p>
  </w:footnote>
  <w:footnote w:id="4095">
    <w:p>
      <w:pPr>
        <w:pStyle w:val="FootnoteText"/>
      </w:pPr>
      <w:r>
        <w:rPr>
          <w:rStyle w:val="FootnoteReference"/>
        </w:rPr>
        <w:footnoteRef/>
      </w:r>
      <w:r>
        <w:t xml:space="preserve"> Cross-references for "Libnah": Josh 10:29-30.</w:t>
      </w:r>
    </w:p>
  </w:footnote>
  <w:footnote w:id="4096">
    <w:p>
      <w:pPr>
        <w:pStyle w:val="FootnoteText"/>
      </w:pPr>
      <w:r>
        <w:rPr>
          <w:rStyle w:val="FootnoteReference"/>
        </w:rPr>
        <w:footnoteRef/>
      </w:r>
      <w:r>
        <w:t xml:space="preserve"> Cross-references for "Makkedah": Josh 10:28.</w:t>
      </w:r>
    </w:p>
  </w:footnote>
  <w:footnote w:id="4097">
    <w:p>
      <w:pPr>
        <w:pStyle w:val="FootnoteText"/>
      </w:pPr>
      <w:r>
        <w:rPr>
          <w:rStyle w:val="FootnoteReference"/>
        </w:rPr>
        <w:footnoteRef/>
      </w:r>
      <w:r>
        <w:t xml:space="preserve"> Place name: Tappuah. Place-name meaning: Tappuah — apple; swelling. Source form: Tappuah. Greek form: ταφουγ.</w:t>
      </w:r>
    </w:p>
  </w:footnote>
  <w:footnote w:id="4098">
    <w:p>
      <w:pPr>
        <w:pStyle w:val="FootnoteText"/>
      </w:pPr>
      <w:r>
        <w:rPr>
          <w:rStyle w:val="FootnoteReference"/>
        </w:rPr>
        <w:footnoteRef/>
      </w:r>
      <w:r>
        <w:t xml:space="preserve"> Cross-references for "Tappuah": Josh 15:34.</w:t>
      </w:r>
    </w:p>
  </w:footnote>
  <w:footnote w:id="4099">
    <w:p>
      <w:pPr>
        <w:pStyle w:val="FootnoteText"/>
      </w:pPr>
      <w:r>
        <w:rPr>
          <w:rStyle w:val="FootnoteReference"/>
        </w:rPr>
        <w:footnoteRef/>
      </w:r>
      <w:r>
        <w:t xml:space="preserve"> Place name: Aphek. Place-name meaning: Aphek — strength; a rapid torrent. Source form: Aphek. Greek form: αφεκ.</w:t>
      </w:r>
    </w:p>
  </w:footnote>
  <w:footnote w:id="4100">
    <w:p>
      <w:pPr>
        <w:pStyle w:val="FootnoteText"/>
      </w:pPr>
      <w:r>
        <w:rPr>
          <w:rStyle w:val="FootnoteReference"/>
        </w:rPr>
        <w:footnoteRef/>
      </w:r>
      <w:r>
        <w:t xml:space="preserve"> Place name: Sharon. Place-name meaning: Sharon — his plain; his song. Source form: Sharon. Greek form: σαρων.</w:t>
      </w:r>
    </w:p>
  </w:footnote>
  <w:footnote w:id="4101">
    <w:p>
      <w:pPr>
        <w:pStyle w:val="FootnoteText"/>
      </w:pPr>
      <w:r>
        <w:rPr>
          <w:rStyle w:val="FootnoteReference"/>
        </w:rPr>
        <w:footnoteRef/>
      </w:r>
      <w:r>
        <w:t xml:space="preserve"> Cross-references for "Aphek": Josh 19:30; 1Sam 4:1.</w:t>
      </w:r>
    </w:p>
  </w:footnote>
  <w:footnote w:id="4102">
    <w:p>
      <w:pPr>
        <w:pStyle w:val="FootnoteText"/>
      </w:pPr>
      <w:r>
        <w:rPr>
          <w:rStyle w:val="FootnoteReference"/>
        </w:rPr>
        <w:footnoteRef/>
      </w:r>
      <w:r>
        <w:t xml:space="preserve"> Cross-references for "Hazor": Josh 11:1; Josh 11:10-11.</w:t>
      </w:r>
    </w:p>
  </w:footnote>
  <w:footnote w:id="4103">
    <w:p>
      <w:pPr>
        <w:pStyle w:val="FootnoteText"/>
      </w:pPr>
      <w:r>
        <w:rPr>
          <w:rStyle w:val="FootnoteReference"/>
        </w:rPr>
        <w:footnoteRef/>
      </w:r>
      <w:r>
        <w:t xml:space="preserve"> Cross-references for "Achshaph": Josh 11:1; Josh 19:25.</w:t>
      </w:r>
    </w:p>
  </w:footnote>
  <w:footnote w:id="4104">
    <w:p>
      <w:pPr>
        <w:pStyle w:val="FootnoteText"/>
      </w:pPr>
      <w:r>
        <w:rPr>
          <w:rStyle w:val="FootnoteReference"/>
        </w:rPr>
        <w:footnoteRef/>
      </w:r>
      <w:r>
        <w:t xml:space="preserve"> Place name: Jokneam. Place-name meaning: Jokneam — possessing, or building up, of the people. Source form: Jokneam. Greek form: ιεκοναμ.</w:t>
      </w:r>
    </w:p>
  </w:footnote>
  <w:footnote w:id="4105">
    <w:p>
      <w:pPr>
        <w:pStyle w:val="FootnoteText"/>
      </w:pPr>
      <w:r>
        <w:rPr>
          <w:rStyle w:val="FootnoteReference"/>
        </w:rPr>
        <w:footnoteRef/>
      </w:r>
      <w:r>
        <w:t xml:space="preserve"> Place name: Carmel. Place-name meaning: Carmel — circumcised lamb; harvest; full of ears of corn. Source form: Carmel. Greek form: χερμελ.</w:t>
      </w:r>
    </w:p>
  </w:footnote>
  <w:footnote w:id="4106">
    <w:p>
      <w:pPr>
        <w:pStyle w:val="FootnoteText"/>
      </w:pPr>
      <w:r>
        <w:rPr>
          <w:rStyle w:val="FootnoteReference"/>
        </w:rPr>
        <w:footnoteRef/>
      </w:r>
      <w:r>
        <w:t xml:space="preserve"> Cross-references for "Jokneam": Josh 19:11.</w:t>
      </w:r>
    </w:p>
  </w:footnote>
  <w:footnote w:id="4107">
    <w:p>
      <w:pPr>
        <w:pStyle w:val="FootnoteText"/>
      </w:pPr>
      <w:r>
        <w:rPr>
          <w:rStyle w:val="FootnoteReference"/>
        </w:rPr>
        <w:footnoteRef/>
      </w:r>
      <w:r>
        <w:t xml:space="preserve"> Place name: Goiim. Place-name meaning: Goiim — nations. Source form: Goiim. Greek form: γωιμ.</w:t>
      </w:r>
    </w:p>
  </w:footnote>
  <w:footnote w:id="4108">
    <w:p>
      <w:pPr>
        <w:pStyle w:val="FootnoteText"/>
      </w:pPr>
      <w:r>
        <w:rPr>
          <w:rStyle w:val="FootnoteReference"/>
        </w:rPr>
        <w:footnoteRef/>
      </w:r>
      <w:r>
        <w:t xml:space="preserve"> Place name: Galilee. Place-name meaning: Galilee — wheel; revolution. Source form: Galilee. Greek form: γαλιλαιας.</w:t>
      </w:r>
    </w:p>
  </w:footnote>
  <w:footnote w:id="4109">
    <w:p>
      <w:pPr>
        <w:pStyle w:val="FootnoteText"/>
      </w:pPr>
      <w:r>
        <w:rPr>
          <w:rStyle w:val="FootnoteReference"/>
        </w:rPr>
        <w:footnoteRef/>
      </w:r>
      <w:r>
        <w:t xml:space="preserve"> Cross-references for "Joshua": Gen 18:11; Josh 14:10.</w:t>
      </w:r>
    </w:p>
  </w:footnote>
  <w:footnote w:id="4110">
    <w:p>
      <w:pPr>
        <w:pStyle w:val="FootnoteText"/>
      </w:pPr>
      <w:r>
        <w:rPr>
          <w:rStyle w:val="FootnoteReference"/>
        </w:rPr>
        <w:footnoteRef/>
      </w:r>
      <w:r>
        <w:t xml:space="preserve"> MT/LXX note: Greek geography differs from MT here.</w:t>
      </w:r>
    </w:p>
  </w:footnote>
  <w:footnote w:id="4111">
    <w:p>
      <w:pPr>
        <w:pStyle w:val="FootnoteText"/>
      </w:pPr>
      <w:r>
        <w:rPr>
          <w:rStyle w:val="FootnoteReference"/>
        </w:rPr>
        <w:footnoteRef/>
      </w:r>
      <w:r>
        <w:t xml:space="preserve"> Place name: Ekron. Place-name meaning: Ekron — barrenness; torn away. Source form: Ekron. Greek form: ακκαρων.</w:t>
      </w:r>
    </w:p>
  </w:footnote>
  <w:footnote w:id="4112">
    <w:p>
      <w:pPr>
        <w:pStyle w:val="FootnoteText"/>
      </w:pPr>
      <w:r>
        <w:rPr>
          <w:rStyle w:val="FootnoteReference"/>
        </w:rPr>
        <w:footnoteRef/>
      </w:r>
      <w:r>
        <w:t xml:space="preserve"> People-name: Gittites. People-name meaning: Gittites — men of Gath, ie., of a wine-press. Source form: Gittites.</w:t>
      </w:r>
    </w:p>
  </w:footnote>
  <w:footnote w:id="4113">
    <w:p>
      <w:pPr>
        <w:pStyle w:val="FootnoteText"/>
      </w:pPr>
      <w:r>
        <w:rPr>
          <w:rStyle w:val="FootnoteReference"/>
        </w:rPr>
        <w:footnoteRef/>
      </w:r>
      <w:r>
        <w:t xml:space="preserve"> Transliterated proper noun: Ekronites. Standard English equivalent: Ekronites. Source form: Ekronites. Greek form: ακκαρωνιτη. Name meaning: barrenness; torn away.</w:t>
      </w:r>
    </w:p>
  </w:footnote>
  <w:footnote w:id="4114">
    <w:p>
      <w:pPr>
        <w:pStyle w:val="FootnoteText"/>
      </w:pPr>
      <w:r>
        <w:rPr>
          <w:rStyle w:val="FootnoteReference"/>
        </w:rPr>
        <w:footnoteRef/>
      </w:r>
      <w:r>
        <w:t xml:space="preserve"> Cross-references for "the land of": Josh 10:40; Josh 11:3.</w:t>
      </w:r>
    </w:p>
  </w:footnote>
  <w:footnote w:id="4115">
    <w:p>
      <w:pPr>
        <w:pStyle w:val="FootnoteText"/>
      </w:pPr>
      <w:r>
        <w:rPr>
          <w:rStyle w:val="FootnoteReference"/>
        </w:rPr>
        <w:footnoteRef/>
      </w:r>
      <w:r>
        <w:t xml:space="preserve"> People-name: Sidonians. People-name meaning: Sidonians — hunting; fishing; venison. Source form: Sidonians.</w:t>
      </w:r>
    </w:p>
  </w:footnote>
  <w:footnote w:id="4116">
    <w:p>
      <w:pPr>
        <w:pStyle w:val="FootnoteText"/>
      </w:pPr>
      <w:r>
        <w:rPr>
          <w:rStyle w:val="FootnoteReference"/>
        </w:rPr>
        <w:footnoteRef/>
      </w:r>
      <w:r>
        <w:t xml:space="preserve"> Cross-references for "Lebanon": Deut 1:7; Deut 3:25.</w:t>
      </w:r>
    </w:p>
  </w:footnote>
  <w:footnote w:id="4117">
    <w:p>
      <w:pPr>
        <w:pStyle w:val="FootnoteText"/>
      </w:pPr>
      <w:r>
        <w:rPr>
          <w:rStyle w:val="FootnoteReference"/>
        </w:rPr>
        <w:footnoteRef/>
      </w:r>
      <w:r>
        <w:t xml:space="preserve"> Transliterated proper noun: Misrephothmaim. Standard English equivalent: Misrephothmaim. Source form: Misrephothmaim. Greek form: μασερεφωθμαιμ. Name meaning: hot waters.</w:t>
      </w:r>
    </w:p>
  </w:footnote>
  <w:footnote w:id="4118">
    <w:p>
      <w:pPr>
        <w:pStyle w:val="FootnoteText"/>
      </w:pPr>
      <w:r>
        <w:rPr>
          <w:rStyle w:val="FootnoteReference"/>
        </w:rPr>
        <w:footnoteRef/>
      </w:r>
      <w:r>
        <w:t xml:space="preserve"> Translation note: Greek says divide it as an inheritance in the way commanded.</w:t>
      </w:r>
    </w:p>
  </w:footnote>
  <w:footnote w:id="4119">
    <w:p>
      <w:pPr>
        <w:pStyle w:val="FootnoteText"/>
      </w:pPr>
      <w:r>
        <w:rPr>
          <w:rStyle w:val="FootnoteReference"/>
        </w:rPr>
        <w:footnoteRef/>
      </w:r>
      <w:r>
        <w:t xml:space="preserve"> Cross-references for "Misrephothmaim": Josh 11:8.</w:t>
      </w:r>
    </w:p>
  </w:footnote>
  <w:footnote w:id="4120">
    <w:p>
      <w:pPr>
        <w:pStyle w:val="FootnoteText"/>
      </w:pPr>
      <w:r>
        <w:rPr>
          <w:rStyle w:val="FootnoteReference"/>
        </w:rPr>
        <w:footnoteRef/>
      </w:r>
      <w:r>
        <w:t xml:space="preserve"> Cross-references for "Moses gave": Num 32:33-42; Deut 3:12-17.</w:t>
      </w:r>
    </w:p>
  </w:footnote>
  <w:footnote w:id="4121">
    <w:p>
      <w:pPr>
        <w:pStyle w:val="FootnoteText"/>
      </w:pPr>
      <w:r>
        <w:rPr>
          <w:rStyle w:val="FootnoteReference"/>
        </w:rPr>
        <w:footnoteRef/>
      </w:r>
      <w:r>
        <w:t xml:space="preserve"> Cross-references for "Aroer": Deut 3:12; Deut 3:16.</w:t>
      </w:r>
    </w:p>
  </w:footnote>
  <w:footnote w:id="4122">
    <w:p>
      <w:pPr>
        <w:pStyle w:val="FootnoteText"/>
      </w:pPr>
      <w:r>
        <w:rPr>
          <w:rStyle w:val="FootnoteReference"/>
        </w:rPr>
        <w:footnoteRef/>
      </w:r>
      <w:r>
        <w:t xml:space="preserve"> Place name: Medeba. Place-name meaning: Medeba — waters of grief; waters springing up. Source form: Medeba. Greek form: μαιδαβα.</w:t>
      </w:r>
    </w:p>
  </w:footnote>
  <w:footnote w:id="4123">
    <w:p>
      <w:pPr>
        <w:pStyle w:val="FootnoteText"/>
      </w:pPr>
      <w:r>
        <w:rPr>
          <w:rStyle w:val="FootnoteReference"/>
        </w:rPr>
        <w:footnoteRef/>
      </w:r>
      <w:r>
        <w:t xml:space="preserve"> Cross-references for "Bamothbaal": Num 21:19; Num 22:41.</w:t>
      </w:r>
    </w:p>
  </w:footnote>
  <w:footnote w:id="4124">
    <w:p>
      <w:pPr>
        <w:pStyle w:val="FootnoteText"/>
      </w:pPr>
      <w:r>
        <w:rPr>
          <w:rStyle w:val="FootnoteReference"/>
        </w:rPr>
        <w:footnoteRef/>
      </w:r>
      <w:r>
        <w:t xml:space="preserve"> Translation note: Greek gives a plain place-name list here. Current wording preserves it.</w:t>
      </w:r>
    </w:p>
  </w:footnote>
  <w:footnote w:id="4125">
    <w:p>
      <w:pPr>
        <w:pStyle w:val="FootnoteText"/>
      </w:pPr>
      <w:r>
        <w:rPr>
          <w:rStyle w:val="FootnoteReference"/>
        </w:rPr>
        <w:footnoteRef/>
      </w:r>
      <w:r>
        <w:t xml:space="preserve"> Place name: Mephaath. Place-name meaning: Mephaath — appearance, or force, of waters. Source form: Mephaath. Greek form: μεφααθ.</w:t>
      </w:r>
    </w:p>
  </w:footnote>
  <w:footnote w:id="4126">
    <w:p>
      <w:pPr>
        <w:pStyle w:val="FootnoteText"/>
      </w:pPr>
      <w:r>
        <w:rPr>
          <w:rStyle w:val="FootnoteReference"/>
        </w:rPr>
        <w:footnoteRef/>
      </w:r>
      <w:r>
        <w:t xml:space="preserve"> Cross-references for "and Kirjathaim": Num 32:37-38; Num 32:38.</w:t>
      </w:r>
    </w:p>
  </w:footnote>
  <w:footnote w:id="4127">
    <w:p>
      <w:pPr>
        <w:pStyle w:val="FootnoteText"/>
      </w:pPr>
      <w:r>
        <w:rPr>
          <w:rStyle w:val="FootnoteReference"/>
        </w:rPr>
        <w:footnoteRef/>
      </w:r>
      <w:r>
        <w:t xml:space="preserve"> Place name: Sior. Place-name meaning: Zair — little; afflicted; in tribulation. Standard English equivalent: Zair. Source form: Sior. Greek form: σιωρ.</w:t>
      </w:r>
    </w:p>
  </w:footnote>
  <w:footnote w:id="4128">
    <w:p>
      <w:pPr>
        <w:pStyle w:val="FootnoteText"/>
      </w:pPr>
      <w:r>
        <w:rPr>
          <w:rStyle w:val="FootnoteReference"/>
        </w:rPr>
        <w:footnoteRef/>
      </w:r>
      <w:r>
        <w:t xml:space="preserve"> Cross-references for "and all the": Deut 3:10.</w:t>
      </w:r>
    </w:p>
  </w:footnote>
  <w:footnote w:id="4129">
    <w:p>
      <w:pPr>
        <w:pStyle w:val="FootnoteText"/>
      </w:pPr>
      <w:r>
        <w:rPr>
          <w:rStyle w:val="FootnoteReference"/>
        </w:rPr>
        <w:footnoteRef/>
      </w:r>
      <w:r>
        <w:t xml:space="preserve"> Translation note: Greek keeps leaders/rulers wording plus variant names.</w:t>
      </w:r>
    </w:p>
  </w:footnote>
  <w:footnote w:id="4130">
    <w:p>
      <w:pPr>
        <w:pStyle w:val="FootnoteText"/>
      </w:pPr>
      <w:r>
        <w:rPr>
          <w:rStyle w:val="FootnoteReference"/>
        </w:rPr>
        <w:footnoteRef/>
      </w:r>
      <w:r>
        <w:t xml:space="preserve"> Cross-references for "Balaam": Num 22:5-7; Num 24:1.</w:t>
      </w:r>
    </w:p>
  </w:footnote>
  <w:footnote w:id="4131">
    <w:p>
      <w:pPr>
        <w:pStyle w:val="FootnoteText"/>
      </w:pPr>
      <w:r>
        <w:rPr>
          <w:rStyle w:val="FootnoteReference"/>
        </w:rPr>
        <w:footnoteRef/>
      </w:r>
      <w:r>
        <w:t xml:space="preserve"> Cross-references for "half": Num 21:26-30; Deut 2:19.</w:t>
      </w:r>
    </w:p>
  </w:footnote>
  <w:footnote w:id="4132">
    <w:p>
      <w:pPr>
        <w:pStyle w:val="FootnoteText"/>
      </w:pPr>
      <w:r>
        <w:rPr>
          <w:rStyle w:val="FootnoteReference"/>
        </w:rPr>
        <w:footnoteRef/>
      </w:r>
      <w:r>
        <w:t xml:space="preserve"> Place name: Rabbah. Place-name meaning: Rabbah — great; powerful; contentious. Source form: Rabbah. Greek form: ραββα.</w:t>
      </w:r>
    </w:p>
  </w:footnote>
  <w:footnote w:id="4133">
    <w:p>
      <w:pPr>
        <w:pStyle w:val="FootnoteText"/>
      </w:pPr>
      <w:r>
        <w:rPr>
          <w:rStyle w:val="FootnoteReference"/>
        </w:rPr>
        <w:footnoteRef/>
      </w:r>
      <w:r>
        <w:t xml:space="preserve"> Place name: Betonim. Place-name meaning: Betonim — bellies. Source form: Betonim. Greek form: βοτανιν.</w:t>
      </w:r>
    </w:p>
  </w:footnote>
  <w:footnote w:id="4134">
    <w:p>
      <w:pPr>
        <w:pStyle w:val="FootnoteText"/>
      </w:pPr>
      <w:r>
        <w:rPr>
          <w:rStyle w:val="FootnoteReference"/>
        </w:rPr>
        <w:footnoteRef/>
      </w:r>
      <w:r>
        <w:t xml:space="preserve"> Place name: Mahanaim. Place-name meaning: Mahanaim — tents; two fields; two armies. Source form: Mahanaim. Greek form: μααναιν.</w:t>
      </w:r>
    </w:p>
  </w:footnote>
  <w:footnote w:id="4135">
    <w:p>
      <w:pPr>
        <w:pStyle w:val="FootnoteText"/>
      </w:pPr>
      <w:r>
        <w:rPr>
          <w:rStyle w:val="FootnoteReference"/>
        </w:rPr>
        <w:footnoteRef/>
      </w:r>
      <w:r>
        <w:t xml:space="preserve"> Cross-references for "Mahanaim": Gen 32:1-2; Josh 21:38.</w:t>
      </w:r>
    </w:p>
  </w:footnote>
  <w:footnote w:id="4136">
    <w:p>
      <w:pPr>
        <w:pStyle w:val="FootnoteText"/>
      </w:pPr>
      <w:r>
        <w:rPr>
          <w:rStyle w:val="FootnoteReference"/>
        </w:rPr>
        <w:footnoteRef/>
      </w:r>
      <w:r>
        <w:t xml:space="preserve"> Transliterated proper noun: Betharam. Standard English equivalent: Betharam. Source form: Betharam. Greek form: βαιθαραμ. Name meaning: house of height.</w:t>
      </w:r>
    </w:p>
  </w:footnote>
  <w:footnote w:id="4137">
    <w:p>
      <w:pPr>
        <w:pStyle w:val="FootnoteText"/>
      </w:pPr>
      <w:r>
        <w:rPr>
          <w:rStyle w:val="FootnoteReference"/>
        </w:rPr>
        <w:footnoteRef/>
      </w:r>
      <w:r>
        <w:t xml:space="preserve"> Personal name: Shaphan. Personal-name meaning: Shaphan — rabbit; wild rat; their lip; their brink. Source form: Shaphan.</w:t>
      </w:r>
    </w:p>
  </w:footnote>
  <w:footnote w:id="4138">
    <w:p>
      <w:pPr>
        <w:pStyle w:val="FootnoteText"/>
      </w:pPr>
      <w:r>
        <w:rPr>
          <w:rStyle w:val="FootnoteReference"/>
        </w:rPr>
        <w:footnoteRef/>
      </w:r>
      <w:r>
        <w:t xml:space="preserve"> Translation note: Greek uses boundary-marking verb.</w:t>
      </w:r>
    </w:p>
  </w:footnote>
  <w:footnote w:id="4139">
    <w:p>
      <w:pPr>
        <w:pStyle w:val="FootnoteText"/>
      </w:pPr>
      <w:r>
        <w:rPr>
          <w:rStyle w:val="FootnoteReference"/>
        </w:rPr>
        <w:footnoteRef/>
      </w:r>
      <w:r>
        <w:t xml:space="preserve"> Cross-references for "Betharam": Num 32:36.</w:t>
      </w:r>
    </w:p>
  </w:footnote>
  <w:footnote w:id="4140">
    <w:p>
      <w:pPr>
        <w:pStyle w:val="FootnoteText"/>
      </w:pPr>
      <w:r>
        <w:rPr>
          <w:rStyle w:val="FootnoteReference"/>
        </w:rPr>
        <w:footnoteRef/>
      </w:r>
      <w:r>
        <w:t xml:space="preserve"> Translation note: Greek uses the inheritance-summary formula directly. Current wording keeps it plain.</w:t>
      </w:r>
    </w:p>
  </w:footnote>
  <w:footnote w:id="4141">
    <w:p>
      <w:pPr>
        <w:pStyle w:val="FootnoteText"/>
      </w:pPr>
      <w:r>
        <w:rPr>
          <w:rStyle w:val="FootnoteReference"/>
        </w:rPr>
        <w:footnoteRef/>
      </w:r>
      <w:r>
        <w:t xml:space="preserve"> Cross-references for "Ashtaroth": Josh 12:4.</w:t>
      </w:r>
    </w:p>
  </w:footnote>
  <w:footnote w:id="4142">
    <w:p>
      <w:pPr>
        <w:pStyle w:val="FootnoteText"/>
      </w:pPr>
      <w:r>
        <w:rPr>
          <w:rStyle w:val="FootnoteReference"/>
        </w:rPr>
        <w:footnoteRef/>
      </w:r>
      <w:r>
        <w:t xml:space="preserve"> Translation note: Greek states the gift explicitly. The translation keeps that wording.</w:t>
      </w:r>
    </w:p>
  </w:footnote>
  <w:footnote w:id="4143">
    <w:p>
      <w:pPr>
        <w:pStyle w:val="FootnoteText"/>
      </w:pPr>
      <w:r>
        <w:rPr>
          <w:rStyle w:val="FootnoteReference"/>
        </w:rPr>
        <w:footnoteRef/>
      </w:r>
      <w:r>
        <w:t xml:space="preserve"> Translation note: Greek says these are those whom sons of Israel inherited in land of Canaan.</w:t>
      </w:r>
    </w:p>
  </w:footnote>
  <w:footnote w:id="4144">
    <w:p>
      <w:pPr>
        <w:pStyle w:val="FootnoteText"/>
      </w:pPr>
      <w:r>
        <w:rPr>
          <w:rStyle w:val="FootnoteReference"/>
        </w:rPr>
        <w:footnoteRef/>
      </w:r>
      <w:r>
        <w:t xml:space="preserve"> Translation note: Greek uses a noun of separation for the Levite grazing zones. The translation keeps that wording rather than defaulting to suburbs.</w:t>
      </w:r>
    </w:p>
  </w:footnote>
  <w:footnote w:id="4145">
    <w:p>
      <w:pPr>
        <w:pStyle w:val="FootnoteText"/>
      </w:pPr>
      <w:r>
        <w:rPr>
          <w:rStyle w:val="FootnoteReference"/>
        </w:rPr>
        <w:footnoteRef/>
      </w:r>
      <w:r>
        <w:t xml:space="preserve"> Cross-references for "Gilgal": Josh 4:19; Josh 10:43.</w:t>
      </w:r>
    </w:p>
  </w:footnote>
  <w:footnote w:id="4146">
    <w:p>
      <w:pPr>
        <w:pStyle w:val="FootnoteText"/>
      </w:pPr>
      <w:r>
        <w:rPr>
          <w:rStyle w:val="FootnoteReference"/>
        </w:rPr>
        <w:footnoteRef/>
      </w:r>
      <w:r>
        <w:t xml:space="preserve"> Cross-references for "sent me": Num 13:6; Num 13:16-20.</w:t>
      </w:r>
    </w:p>
  </w:footnote>
  <w:footnote w:id="4147">
    <w:p>
      <w:pPr>
        <w:pStyle w:val="FootnoteText"/>
      </w:pPr>
      <w:r>
        <w:rPr>
          <w:rStyle w:val="FootnoteReference"/>
        </w:rPr>
        <w:footnoteRef/>
      </w:r>
      <w:r>
        <w:t xml:space="preserve"> Translation note: Greek says the Lord has nourished me.</w:t>
      </w:r>
    </w:p>
  </w:footnote>
  <w:footnote w:id="4148">
    <w:p>
      <w:pPr>
        <w:pStyle w:val="FootnoteText"/>
      </w:pPr>
      <w:r>
        <w:rPr>
          <w:rStyle w:val="FootnoteReference"/>
        </w:rPr>
        <w:footnoteRef/>
      </w:r>
      <w:r>
        <w:t xml:space="preserve"> Cross-references for "forty": Num 14:33-34; Josh 11:18.</w:t>
      </w:r>
    </w:p>
  </w:footnote>
  <w:footnote w:id="4149">
    <w:p>
      <w:pPr>
        <w:pStyle w:val="FootnoteText"/>
      </w:pPr>
      <w:r>
        <w:rPr>
          <w:rStyle w:val="FootnoteReference"/>
        </w:rPr>
        <w:footnoteRef/>
      </w:r>
      <w:r>
        <w:t xml:space="preserve"> Translation note: Greek says utterly destroy here rather than merely drive out.</w:t>
      </w:r>
    </w:p>
  </w:footnote>
  <w:footnote w:id="4150">
    <w:p>
      <w:pPr>
        <w:pStyle w:val="FootnoteText"/>
      </w:pPr>
      <w:r>
        <w:rPr>
          <w:rStyle w:val="FootnoteReference"/>
        </w:rPr>
        <w:footnoteRef/>
      </w:r>
      <w:r>
        <w:t xml:space="preserve"> Cross-references for "blessed": Gen 47:7; Gen 47:10.</w:t>
      </w:r>
    </w:p>
  </w:footnote>
  <w:footnote w:id="4151">
    <w:p>
      <w:pPr>
        <w:pStyle w:val="FootnoteText"/>
      </w:pPr>
      <w:r>
        <w:rPr>
          <w:rStyle w:val="FootnoteReference"/>
        </w:rPr>
        <w:footnoteRef/>
      </w:r>
      <w:r>
        <w:t xml:space="preserve"> Cross-references for "And the land": Josh 11:23; Judg 3:11.</w:t>
      </w:r>
    </w:p>
  </w:footnote>
  <w:footnote w:id="4152">
    <w:p>
      <w:pPr>
        <w:pStyle w:val="FootnoteText"/>
      </w:pPr>
      <w:r>
        <w:rPr>
          <w:rStyle w:val="FootnoteReference"/>
        </w:rPr>
        <w:footnoteRef/>
      </w:r>
      <w:r>
        <w:t xml:space="preserve"> Cross-references for "the Salt Sea": Gen 14:3; Num 34:3.</w:t>
      </w:r>
    </w:p>
  </w:footnote>
  <w:footnote w:id="4153">
    <w:p>
      <w:pPr>
        <w:pStyle w:val="FootnoteText"/>
      </w:pPr>
      <w:r>
        <w:rPr>
          <w:rStyle w:val="FootnoteReference"/>
        </w:rPr>
        <w:footnoteRef/>
      </w:r>
      <w:r>
        <w:t xml:space="preserve"> Place name: Zenan. Place-name meaning: Zin — buckler; coldness. Standard English equivalent: Zin. Source form: Zenan. Greek form: απεναντι.</w:t>
      </w:r>
    </w:p>
  </w:footnote>
  <w:footnote w:id="4154">
    <w:p>
      <w:pPr>
        <w:pStyle w:val="FootnoteText"/>
      </w:pPr>
      <w:r>
        <w:rPr>
          <w:rStyle w:val="FootnoteReference"/>
        </w:rPr>
        <w:footnoteRef/>
      </w:r>
      <w:r>
        <w:t xml:space="preserve"> Cross-references for "Adar": Num 34:4.</w:t>
      </w:r>
    </w:p>
  </w:footnote>
  <w:footnote w:id="4155">
    <w:p>
      <w:pPr>
        <w:pStyle w:val="FootnoteText"/>
      </w:pPr>
      <w:r>
        <w:rPr>
          <w:rStyle w:val="FootnoteReference"/>
        </w:rPr>
        <w:footnoteRef/>
      </w:r>
      <w:r>
        <w:t xml:space="preserve"> Translation note: Greek keeps these place forms here.</w:t>
      </w:r>
    </w:p>
  </w:footnote>
  <w:footnote w:id="4156">
    <w:p>
      <w:pPr>
        <w:pStyle w:val="FootnoteText"/>
      </w:pPr>
      <w:r>
        <w:rPr>
          <w:rStyle w:val="FootnoteReference"/>
        </w:rPr>
        <w:footnoteRef/>
      </w:r>
      <w:r>
        <w:t xml:space="preserve"> Cross-references for "Azmon": Num 34:5.</w:t>
      </w:r>
    </w:p>
  </w:footnote>
  <w:footnote w:id="4157">
    <w:p>
      <w:pPr>
        <w:pStyle w:val="FootnoteText"/>
      </w:pPr>
      <w:r>
        <w:rPr>
          <w:rStyle w:val="FootnoteReference"/>
        </w:rPr>
        <w:footnoteRef/>
      </w:r>
      <w:r>
        <w:t xml:space="preserve"> Place name: Betharabah. Place-name meaning: Betharabah — house of sweet smell. Source form: Betharabah. Greek form: βαιθαραβα.</w:t>
      </w:r>
    </w:p>
  </w:footnote>
  <w:footnote w:id="4158">
    <w:p>
      <w:pPr>
        <w:pStyle w:val="FootnoteText"/>
      </w:pPr>
      <w:r>
        <w:rPr>
          <w:rStyle w:val="FootnoteReference"/>
        </w:rPr>
        <w:footnoteRef/>
      </w:r>
      <w:r>
        <w:t xml:space="preserve"> Cross-references for "the stone": Josh 18:17.</w:t>
      </w:r>
    </w:p>
  </w:footnote>
  <w:footnote w:id="4159">
    <w:p>
      <w:pPr>
        <w:pStyle w:val="FootnoteText"/>
      </w:pPr>
      <w:r>
        <w:rPr>
          <w:rStyle w:val="FootnoteReference"/>
        </w:rPr>
        <w:footnoteRef/>
      </w:r>
      <w:r>
        <w:t xml:space="preserve"> Personal name: Bohan. Personal-name meaning: Bohan — in them. Source form: Bohan.</w:t>
      </w:r>
    </w:p>
  </w:footnote>
  <w:footnote w:id="4160">
    <w:p>
      <w:pPr>
        <w:pStyle w:val="FootnoteText"/>
      </w:pPr>
      <w:r>
        <w:rPr>
          <w:rStyle w:val="FootnoteReference"/>
        </w:rPr>
        <w:footnoteRef/>
      </w:r>
      <w:r>
        <w:t xml:space="preserve"> Cross-references for "the Valley": Josh 7:26; Isa 65:10.</w:t>
      </w:r>
    </w:p>
  </w:footnote>
  <w:footnote w:id="4161">
    <w:p>
      <w:pPr>
        <w:pStyle w:val="FootnoteText"/>
      </w:pPr>
      <w:r>
        <w:rPr>
          <w:rStyle w:val="FootnoteReference"/>
        </w:rPr>
        <w:footnoteRef/>
      </w:r>
      <w:r>
        <w:t xml:space="preserve"> Place name: Adummim. Place-name meaning: Adummim — earthy; red; bloody things. Source form: Adummim. Greek form: αδδαμιν.</w:t>
      </w:r>
    </w:p>
  </w:footnote>
  <w:footnote w:id="4162">
    <w:p>
      <w:pPr>
        <w:pStyle w:val="FootnoteText"/>
      </w:pPr>
      <w:r>
        <w:rPr>
          <w:rStyle w:val="FootnoteReference"/>
        </w:rPr>
        <w:footnoteRef/>
      </w:r>
      <w:r>
        <w:t xml:space="preserve"> Transliterated proper noun: Enrogel. Standard English equivalent: Enrogel. Source form: Enrogel. Greek form: ρωγηλ. Name meaning: the fuller's fountain; the well of searching.</w:t>
      </w:r>
    </w:p>
  </w:footnote>
  <w:footnote w:id="4163">
    <w:p>
      <w:pPr>
        <w:pStyle w:val="FootnoteText"/>
      </w:pPr>
      <w:r>
        <w:rPr>
          <w:rStyle w:val="FootnoteReference"/>
        </w:rPr>
        <w:footnoteRef/>
      </w:r>
      <w:r>
        <w:t xml:space="preserve"> Translation note: Greek says water of spring of sun.</w:t>
      </w:r>
    </w:p>
  </w:footnote>
  <w:footnote w:id="4164">
    <w:p>
      <w:pPr>
        <w:pStyle w:val="FootnoteText"/>
      </w:pPr>
      <w:r>
        <w:rPr>
          <w:rStyle w:val="FootnoteReference"/>
        </w:rPr>
        <w:footnoteRef/>
      </w:r>
      <w:r>
        <w:t xml:space="preserve"> Transliterated proper noun: Hinnom. Standard English equivalent: Hinnom. Source form: Hinnom. Greek form: ονομ. Name meaning: there they are; their riches.</w:t>
      </w:r>
    </w:p>
  </w:footnote>
  <w:footnote w:id="4165">
    <w:p>
      <w:pPr>
        <w:pStyle w:val="FootnoteText"/>
      </w:pPr>
      <w:r>
        <w:rPr>
          <w:rStyle w:val="FootnoteReference"/>
        </w:rPr>
        <w:footnoteRef/>
      </w:r>
      <w:r>
        <w:t xml:space="preserve"> Place name: Jebus. Place-name meaning: Jebus — treading under foot; manger. Source form: Jebus. Greek form: ιεβους.</w:t>
      </w:r>
    </w:p>
  </w:footnote>
  <w:footnote w:id="4166">
    <w:p>
      <w:pPr>
        <w:pStyle w:val="FootnoteText"/>
      </w:pPr>
      <w:r>
        <w:rPr>
          <w:rStyle w:val="FootnoteReference"/>
        </w:rPr>
        <w:footnoteRef/>
      </w:r>
      <w:r>
        <w:t xml:space="preserve"> Translation note: Greek keeps these place forms here.</w:t>
      </w:r>
    </w:p>
  </w:footnote>
  <w:footnote w:id="4167">
    <w:p>
      <w:pPr>
        <w:pStyle w:val="FootnoteText"/>
      </w:pPr>
      <w:r>
        <w:rPr>
          <w:rStyle w:val="FootnoteReference"/>
        </w:rPr>
        <w:footnoteRef/>
      </w:r>
      <w:r>
        <w:t xml:space="preserve"> Place name: Nephtoah. Place-name meaning: Nephtoah — opening; open. Source form: Nephtoah. Greek form: ναφθω.</w:t>
      </w:r>
    </w:p>
  </w:footnote>
  <w:footnote w:id="4168">
    <w:p>
      <w:pPr>
        <w:pStyle w:val="FootnoteText"/>
      </w:pPr>
      <w:r>
        <w:rPr>
          <w:rStyle w:val="FootnoteReference"/>
        </w:rPr>
        <w:footnoteRef/>
      </w:r>
      <w:r>
        <w:t xml:space="preserve"> Cross-references for "Nephtoah": Josh 18:15.</w:t>
      </w:r>
    </w:p>
  </w:footnote>
  <w:footnote w:id="4169">
    <w:p>
      <w:pPr>
        <w:pStyle w:val="FootnoteText"/>
      </w:pPr>
      <w:r>
        <w:rPr>
          <w:rStyle w:val="FootnoteReference"/>
        </w:rPr>
        <w:footnoteRef/>
      </w:r>
      <w:r>
        <w:t xml:space="preserve"> Transliterated proper noun: Bethshemesh. Standard English equivalent: Beth-shemesh. Source form: Bethshemesh. Name meaning: house of the sun.</w:t>
      </w:r>
    </w:p>
  </w:footnote>
  <w:footnote w:id="4170">
    <w:p>
      <w:pPr>
        <w:pStyle w:val="FootnoteText"/>
      </w:pPr>
      <w:r>
        <w:rPr>
          <w:rStyle w:val="FootnoteReference"/>
        </w:rPr>
        <w:footnoteRef/>
      </w:r>
      <w:r>
        <w:t xml:space="preserve"> Cross-references for "Bethshemesh": 1Sam 6:12-21.</w:t>
      </w:r>
    </w:p>
  </w:footnote>
  <w:footnote w:id="4171">
    <w:p>
      <w:pPr>
        <w:pStyle w:val="FootnoteText"/>
      </w:pPr>
      <w:r>
        <w:rPr>
          <w:rStyle w:val="FootnoteReference"/>
        </w:rPr>
        <w:footnoteRef/>
      </w:r>
      <w:r>
        <w:t xml:space="preserve"> Translation note: Greek repeats the boundary will come out.</w:t>
      </w:r>
    </w:p>
  </w:footnote>
  <w:footnote w:id="4172">
    <w:p>
      <w:pPr>
        <w:pStyle w:val="FootnoteText"/>
      </w:pPr>
      <w:r>
        <w:rPr>
          <w:rStyle w:val="FootnoteReference"/>
        </w:rPr>
        <w:footnoteRef/>
      </w:r>
      <w:r>
        <w:t xml:space="preserve"> Cross-references for "Ekron": Josh 15:45; Josh 19:43.</w:t>
      </w:r>
    </w:p>
  </w:footnote>
  <w:footnote w:id="4173">
    <w:p>
      <w:pPr>
        <w:pStyle w:val="FootnoteText"/>
      </w:pPr>
      <w:r>
        <w:rPr>
          <w:rStyle w:val="FootnoteReference"/>
        </w:rPr>
        <w:footnoteRef/>
      </w:r>
      <w:r>
        <w:t xml:space="preserve"> Transliterated proper noun: Shicron. Standard English equivalent: Shicron. Source form: Shicron. Greek form: σακχαρωνα. Name meaning: drunkenness; his gift; his wages.</w:t>
      </w:r>
    </w:p>
  </w:footnote>
  <w:footnote w:id="4174">
    <w:p>
      <w:pPr>
        <w:pStyle w:val="FootnoteText"/>
      </w:pPr>
      <w:r>
        <w:rPr>
          <w:rStyle w:val="FootnoteReference"/>
        </w:rPr>
        <w:footnoteRef/>
      </w:r>
      <w:r>
        <w:t xml:space="preserve"> Place name: Jabneel. Place-name meaning: Jabneel — building of God. Source form: Jabneel. Greek form: ιαβνηλ.</w:t>
      </w:r>
    </w:p>
  </w:footnote>
  <w:footnote w:id="4175">
    <w:p>
      <w:pPr>
        <w:pStyle w:val="FootnoteText"/>
      </w:pPr>
      <w:r>
        <w:rPr>
          <w:rStyle w:val="FootnoteReference"/>
        </w:rPr>
        <w:footnoteRef/>
      </w:r>
      <w:r>
        <w:t xml:space="preserve"> Cross-references for "the great sea": Num 34:6-7; Deut 11:24.</w:t>
      </w:r>
    </w:p>
  </w:footnote>
  <w:footnote w:id="4176">
    <w:p>
      <w:pPr>
        <w:pStyle w:val="FootnoteText"/>
      </w:pPr>
      <w:r>
        <w:rPr>
          <w:rStyle w:val="FootnoteReference"/>
        </w:rPr>
        <w:footnoteRef/>
      </w:r>
      <w:r>
        <w:t xml:space="preserve"> Cross-references for "Caleb": Num 13:30; Num 14:23-24.</w:t>
      </w:r>
    </w:p>
  </w:footnote>
  <w:footnote w:id="4177">
    <w:p>
      <w:pPr>
        <w:pStyle w:val="FootnoteText"/>
      </w:pPr>
      <w:r>
        <w:rPr>
          <w:rStyle w:val="FootnoteReference"/>
        </w:rPr>
        <w:footnoteRef/>
      </w:r>
      <w:r>
        <w:t xml:space="preserve"> Personal name: Achsah. Personal-name meaning: Achsah — adorned; bursting the veil. Source form: Achsah.</w:t>
      </w:r>
    </w:p>
  </w:footnote>
  <w:footnote w:id="4178">
    <w:p>
      <w:pPr>
        <w:pStyle w:val="FootnoteText"/>
      </w:pPr>
      <w:r>
        <w:rPr>
          <w:rStyle w:val="FootnoteReference"/>
        </w:rPr>
        <w:footnoteRef/>
      </w:r>
      <w:r>
        <w:t xml:space="preserve"> Personal name: Othniel. Personal-name meaning: Othniel — the hour of God. Source form: Othniel.</w:t>
      </w:r>
    </w:p>
  </w:footnote>
  <w:footnote w:id="4179">
    <w:p>
      <w:pPr>
        <w:pStyle w:val="FootnoteText"/>
      </w:pPr>
      <w:r>
        <w:rPr>
          <w:rStyle w:val="FootnoteReference"/>
        </w:rPr>
        <w:footnoteRef/>
      </w:r>
      <w:r>
        <w:t xml:space="preserve"> Cross-references for "Othniel": Judg 1:13; Judg 3:9.</w:t>
      </w:r>
    </w:p>
  </w:footnote>
  <w:footnote w:id="4180">
    <w:p>
      <w:pPr>
        <w:pStyle w:val="FootnoteText"/>
      </w:pPr>
      <w:r>
        <w:rPr>
          <w:rStyle w:val="FootnoteReference"/>
        </w:rPr>
        <w:footnoteRef/>
      </w:r>
      <w:r>
        <w:t xml:space="preserve"> Cross-references for "Give me": Judg 1:14-15.</w:t>
      </w:r>
    </w:p>
  </w:footnote>
  <w:footnote w:id="4181">
    <w:p>
      <w:pPr>
        <w:pStyle w:val="FootnoteText"/>
      </w:pPr>
      <w:r>
        <w:rPr>
          <w:rStyle w:val="FootnoteReference"/>
        </w:rPr>
        <w:footnoteRef/>
      </w:r>
      <w:r>
        <w:t xml:space="preserve"> Place name: Kabzeel. Place-name meaning: Kabzeel — the congregation of God. Source form: Kabzeel. Greek form: καιβαισελεηλ.</w:t>
      </w:r>
    </w:p>
  </w:footnote>
  <w:footnote w:id="4182">
    <w:p>
      <w:pPr>
        <w:pStyle w:val="FootnoteText"/>
      </w:pPr>
      <w:r>
        <w:rPr>
          <w:rStyle w:val="FootnoteReference"/>
        </w:rPr>
        <w:footnoteRef/>
      </w:r>
      <w:r>
        <w:t xml:space="preserve"> Personal name: Ara. Personal-name meaning: Ara — cursing; seeing. Source form: Ara.</w:t>
      </w:r>
    </w:p>
  </w:footnote>
  <w:footnote w:id="4183">
    <w:p>
      <w:pPr>
        <w:pStyle w:val="FootnoteText"/>
      </w:pPr>
      <w:r>
        <w:rPr>
          <w:rStyle w:val="FootnoteReference"/>
        </w:rPr>
        <w:footnoteRef/>
      </w:r>
      <w:r>
        <w:t xml:space="preserve"> Cross-references for "Kabzeel": Neh 11:25.</w:t>
      </w:r>
    </w:p>
  </w:footnote>
  <w:footnote w:id="4184">
    <w:p>
      <w:pPr>
        <w:pStyle w:val="FootnoteText"/>
      </w:pPr>
      <w:r>
        <w:rPr>
          <w:rStyle w:val="FootnoteReference"/>
        </w:rPr>
        <w:footnoteRef/>
      </w:r>
      <w:r>
        <w:t xml:space="preserve"> Cross-references for "Hazor": Josh 15:28.</w:t>
      </w:r>
    </w:p>
  </w:footnote>
  <w:footnote w:id="4185">
    <w:p>
      <w:pPr>
        <w:pStyle w:val="FootnoteText"/>
      </w:pPr>
      <w:r>
        <w:rPr>
          <w:rStyle w:val="FootnoteReference"/>
        </w:rPr>
        <w:footnoteRef/>
      </w:r>
      <w:r>
        <w:t xml:space="preserve"> Transliterated proper noun: Shema. Standard English equivalent: Shema. Source form: Shema. Greek form: σαλμαα. Name meaning: hearing; obeying.</w:t>
      </w:r>
    </w:p>
  </w:footnote>
  <w:footnote w:id="4186">
    <w:p>
      <w:pPr>
        <w:pStyle w:val="FootnoteText"/>
      </w:pPr>
      <w:r>
        <w:rPr>
          <w:rStyle w:val="FootnoteReference"/>
        </w:rPr>
        <w:footnoteRef/>
      </w:r>
      <w:r>
        <w:t xml:space="preserve"> Place name: Moladah. Place-name meaning: Moladah — birth; generation. Source form: Moladah. Greek form: μωλαδα.</w:t>
      </w:r>
    </w:p>
  </w:footnote>
  <w:footnote w:id="4187">
    <w:p>
      <w:pPr>
        <w:pStyle w:val="FootnoteText"/>
      </w:pPr>
      <w:r>
        <w:rPr>
          <w:rStyle w:val="FootnoteReference"/>
        </w:rPr>
        <w:footnoteRef/>
      </w:r>
      <w:r>
        <w:t xml:space="preserve"> Cross-references for "Moladah": 1Chr 4:28.</w:t>
      </w:r>
    </w:p>
  </w:footnote>
  <w:footnote w:id="4188">
    <w:p>
      <w:pPr>
        <w:pStyle w:val="FootnoteText"/>
      </w:pPr>
      <w:r>
        <w:rPr>
          <w:rStyle w:val="FootnoteReference"/>
        </w:rPr>
        <w:footnoteRef/>
      </w:r>
      <w:r>
        <w:t xml:space="preserve"> Cross-references for "Azem": 1Chr 4:29.</w:t>
      </w:r>
    </w:p>
  </w:footnote>
  <w:footnote w:id="4189">
    <w:p>
      <w:pPr>
        <w:pStyle w:val="FootnoteText"/>
      </w:pPr>
      <w:r>
        <w:rPr>
          <w:rStyle w:val="FootnoteReference"/>
        </w:rPr>
        <w:footnoteRef/>
      </w:r>
      <w:r>
        <w:t xml:space="preserve"> Place name: Eltolad. Place-name meaning: Eltolad — the generation of God. Source form: Eltolad. Greek form: ελβωυδαδ.</w:t>
      </w:r>
    </w:p>
  </w:footnote>
  <w:footnote w:id="4190">
    <w:p>
      <w:pPr>
        <w:pStyle w:val="FootnoteText"/>
      </w:pPr>
      <w:r>
        <w:rPr>
          <w:rStyle w:val="FootnoteReference"/>
        </w:rPr>
        <w:footnoteRef/>
      </w:r>
      <w:r>
        <w:t xml:space="preserve"> Cross-references for "Hormah": Num 14:45; Deut 1:44.</w:t>
      </w:r>
    </w:p>
  </w:footnote>
  <w:footnote w:id="4191">
    <w:p>
      <w:pPr>
        <w:pStyle w:val="FootnoteText"/>
      </w:pPr>
      <w:r>
        <w:rPr>
          <w:rStyle w:val="FootnoteReference"/>
        </w:rPr>
        <w:footnoteRef/>
      </w:r>
      <w:r>
        <w:t xml:space="preserve"> Place name: Ziklag. Place-name meaning: Ziklag — measure pressed down. Source form: Ziklag.</w:t>
      </w:r>
    </w:p>
  </w:footnote>
  <w:footnote w:id="4192">
    <w:p>
      <w:pPr>
        <w:pStyle w:val="FootnoteText"/>
      </w:pPr>
      <w:r>
        <w:rPr>
          <w:rStyle w:val="FootnoteReference"/>
        </w:rPr>
        <w:footnoteRef/>
      </w:r>
      <w:r>
        <w:t xml:space="preserve"> Cross-references for "Ziklag": Josh 19:5; 1Sam 27:6.</w:t>
      </w:r>
    </w:p>
  </w:footnote>
  <w:footnote w:id="4193">
    <w:p>
      <w:pPr>
        <w:pStyle w:val="FootnoteText"/>
      </w:pPr>
      <w:r>
        <w:rPr>
          <w:rStyle w:val="FootnoteReference"/>
        </w:rPr>
        <w:footnoteRef/>
      </w:r>
      <w:r>
        <w:t xml:space="preserve"> Place name: Eshtaol. Place-name meaning: Eshtaol — a strong woman. Source form: Eshtaol. Greek form: ασταωλ.</w:t>
      </w:r>
    </w:p>
  </w:footnote>
  <w:footnote w:id="4194">
    <w:p>
      <w:pPr>
        <w:pStyle w:val="FootnoteText"/>
      </w:pPr>
      <w:r>
        <w:rPr>
          <w:rStyle w:val="FootnoteReference"/>
        </w:rPr>
        <w:footnoteRef/>
      </w:r>
      <w:r>
        <w:t xml:space="preserve"> Place name: Ashnah. Place-name meaning: Ashnah — change. Source form: Ashnah. Greek form: ασσα.</w:t>
      </w:r>
    </w:p>
  </w:footnote>
  <w:footnote w:id="4195">
    <w:p>
      <w:pPr>
        <w:pStyle w:val="FootnoteText"/>
      </w:pPr>
      <w:r>
        <w:rPr>
          <w:rStyle w:val="FootnoteReference"/>
        </w:rPr>
        <w:footnoteRef/>
      </w:r>
      <w:r>
        <w:t xml:space="preserve"> Cross-references for "Eshtaol": Num 13:23; Josh 19:41.</w:t>
      </w:r>
    </w:p>
  </w:footnote>
  <w:footnote w:id="4196">
    <w:p>
      <w:pPr>
        <w:pStyle w:val="FootnoteText"/>
      </w:pPr>
      <w:r>
        <w:rPr>
          <w:rStyle w:val="FootnoteReference"/>
        </w:rPr>
        <w:footnoteRef/>
      </w:r>
      <w:r>
        <w:t xml:space="preserve"> Place name: Jarmuth. Place-name meaning: Jarmuth — fearing, or seeing, or throwing down, death. Source form: Jarmuth. Greek form: ιερμουθ.</w:t>
      </w:r>
    </w:p>
  </w:footnote>
  <w:footnote w:id="4197">
    <w:p>
      <w:pPr>
        <w:pStyle w:val="FootnoteText"/>
      </w:pPr>
      <w:r>
        <w:rPr>
          <w:rStyle w:val="FootnoteReference"/>
        </w:rPr>
        <w:footnoteRef/>
      </w:r>
      <w:r>
        <w:t xml:space="preserve"> Cross-references for "Jarmuth": Josh 10:3; Josh 10:23.</w:t>
      </w:r>
    </w:p>
  </w:footnote>
  <w:footnote w:id="4198">
    <w:p>
      <w:pPr>
        <w:pStyle w:val="FootnoteText"/>
      </w:pPr>
      <w:r>
        <w:rPr>
          <w:rStyle w:val="FootnoteReference"/>
        </w:rPr>
        <w:footnoteRef/>
      </w:r>
      <w:r>
        <w:t xml:space="preserve"> Place name: Hadashah. Place-name meaning: Hadashah — news; a month. Source form: Hadashah. Greek form: αδασαν.</w:t>
      </w:r>
    </w:p>
  </w:footnote>
  <w:footnote w:id="4199">
    <w:p>
      <w:pPr>
        <w:pStyle w:val="FootnoteText"/>
      </w:pPr>
      <w:r>
        <w:rPr>
          <w:rStyle w:val="FootnoteReference"/>
        </w:rPr>
        <w:footnoteRef/>
      </w:r>
      <w:r>
        <w:t xml:space="preserve"> Transliterated proper noun: Migdalgad. Standard English equivalent: Migdalgad. Source form: Migdalgad. Greek form: μαγαδαγαδ. Name meaning: tower compassed about.</w:t>
      </w:r>
    </w:p>
  </w:footnote>
  <w:footnote w:id="4200">
    <w:p>
      <w:pPr>
        <w:pStyle w:val="FootnoteText"/>
      </w:pPr>
      <w:r>
        <w:rPr>
          <w:rStyle w:val="FootnoteReference"/>
        </w:rPr>
        <w:footnoteRef/>
      </w:r>
      <w:r>
        <w:t xml:space="preserve"> Cross-references for "Mizpeh": Gen 31:48-49; Judg 20:1.</w:t>
      </w:r>
    </w:p>
  </w:footnote>
  <w:footnote w:id="4201">
    <w:p>
      <w:pPr>
        <w:pStyle w:val="FootnoteText"/>
      </w:pPr>
      <w:r>
        <w:rPr>
          <w:rStyle w:val="FootnoteReference"/>
        </w:rPr>
        <w:footnoteRef/>
      </w:r>
      <w:r>
        <w:t xml:space="preserve"> Place name: Joktheel. Place-name meaning: Joktheel — subdued by God. Source form: Joktheel. Greek form: ιακαρεηλ.</w:t>
      </w:r>
    </w:p>
  </w:footnote>
  <w:footnote w:id="4202">
    <w:p>
      <w:pPr>
        <w:pStyle w:val="FootnoteText"/>
      </w:pPr>
      <w:r>
        <w:rPr>
          <w:rStyle w:val="FootnoteReference"/>
        </w:rPr>
        <w:footnoteRef/>
      </w:r>
      <w:r>
        <w:t xml:space="preserve"> Cross-references for "Lachish": Josh 10:3; Josh 10:31-32.</w:t>
      </w:r>
    </w:p>
  </w:footnote>
  <w:footnote w:id="4203">
    <w:p>
      <w:pPr>
        <w:pStyle w:val="FootnoteText"/>
      </w:pPr>
      <w:r>
        <w:rPr>
          <w:rStyle w:val="FootnoteReference"/>
        </w:rPr>
        <w:footnoteRef/>
      </w:r>
      <w:r>
        <w:t xml:space="preserve"> Place name: Gederoth. Place-name meaning: Gederoth — a wall. Source form: Gederoth. Greek form: γεδδωρ.</w:t>
      </w:r>
    </w:p>
  </w:footnote>
  <w:footnote w:id="4204">
    <w:p>
      <w:pPr>
        <w:pStyle w:val="FootnoteText"/>
      </w:pPr>
      <w:r>
        <w:rPr>
          <w:rStyle w:val="FootnoteReference"/>
        </w:rPr>
        <w:footnoteRef/>
      </w:r>
      <w:r>
        <w:t xml:space="preserve"> Cross-references for "Makkedah": Josh 10:21; Josh 10:28.</w:t>
      </w:r>
    </w:p>
  </w:footnote>
  <w:footnote w:id="4205">
    <w:p>
      <w:pPr>
        <w:pStyle w:val="FootnoteText"/>
      </w:pPr>
      <w:r>
        <w:rPr>
          <w:rStyle w:val="FootnoteReference"/>
        </w:rPr>
        <w:footnoteRef/>
      </w:r>
      <w:r>
        <w:t xml:space="preserve"> Cross-references for "Libnah": Josh 10:29; Josh 12:15.</w:t>
      </w:r>
    </w:p>
  </w:footnote>
  <w:footnote w:id="4206">
    <w:p>
      <w:pPr>
        <w:pStyle w:val="FootnoteText"/>
      </w:pPr>
      <w:r>
        <w:rPr>
          <w:rStyle w:val="FootnoteReference"/>
        </w:rPr>
        <w:footnoteRef/>
      </w:r>
      <w:r>
        <w:t xml:space="preserve"> Transliterated proper noun: Zuph. Standard English equivalent: Zuph. Source form: Zuph. Name meaning: watcher; honeycomb.</w:t>
      </w:r>
    </w:p>
  </w:footnote>
  <w:footnote w:id="4207">
    <w:p>
      <w:pPr>
        <w:pStyle w:val="FootnoteText"/>
      </w:pPr>
      <w:r>
        <w:rPr>
          <w:rStyle w:val="FootnoteReference"/>
        </w:rPr>
        <w:footnoteRef/>
      </w:r>
      <w:r>
        <w:t xml:space="preserve"> Transliterated proper noun: Keilah. Standard English equivalent: Keilah. Source form: Keilah. Greek form: κειλαμ. Name meaning: fortress; citadel.</w:t>
      </w:r>
    </w:p>
  </w:footnote>
  <w:footnote w:id="4208">
    <w:p>
      <w:pPr>
        <w:pStyle w:val="FootnoteText"/>
      </w:pPr>
      <w:r>
        <w:rPr>
          <w:rStyle w:val="FootnoteReference"/>
        </w:rPr>
        <w:footnoteRef/>
      </w:r>
      <w:r>
        <w:t xml:space="preserve"> Cross-references for "Keilah": 1Sam 23:1-14.</w:t>
      </w:r>
    </w:p>
  </w:footnote>
  <w:footnote w:id="4209">
    <w:p>
      <w:pPr>
        <w:pStyle w:val="FootnoteText"/>
      </w:pPr>
      <w:r>
        <w:rPr>
          <w:rStyle w:val="FootnoteReference"/>
        </w:rPr>
        <w:footnoteRef/>
      </w:r>
      <w:r>
        <w:t xml:space="preserve"> Cross-references for "Ekron": Josh 13:3; 1Sam 5:10.</w:t>
      </w:r>
    </w:p>
  </w:footnote>
  <w:footnote w:id="4210">
    <w:p>
      <w:pPr>
        <w:pStyle w:val="FootnoteText"/>
      </w:pPr>
      <w:r>
        <w:rPr>
          <w:rStyle w:val="FootnoteReference"/>
        </w:rPr>
        <w:footnoteRef/>
      </w:r>
      <w:r>
        <w:t xml:space="preserve"> Cross-references for "near": 1Sam 5:1; 1Sam 5:6.</w:t>
      </w:r>
    </w:p>
  </w:footnote>
  <w:footnote w:id="4211">
    <w:p>
      <w:pPr>
        <w:pStyle w:val="FootnoteText"/>
      </w:pPr>
      <w:r>
        <w:rPr>
          <w:rStyle w:val="FootnoteReference"/>
        </w:rPr>
        <w:footnoteRef/>
      </w:r>
      <w:r>
        <w:t xml:space="preserve"> Cross-references for "Gaza": Judg 16:1-21; Jer 47:1.</w:t>
      </w:r>
    </w:p>
  </w:footnote>
  <w:footnote w:id="4212">
    <w:p>
      <w:pPr>
        <w:pStyle w:val="FootnoteText"/>
      </w:pPr>
      <w:r>
        <w:rPr>
          <w:rStyle w:val="FootnoteReference"/>
        </w:rPr>
        <w:footnoteRef/>
      </w:r>
      <w:r>
        <w:t xml:space="preserve"> Transliterated proper noun: Shamir. Standard English equivalent: Shamir. Source form: Shamir. Greek form: σαμιρ. Name meaning: prison; bush; lees; thorn.</w:t>
      </w:r>
    </w:p>
  </w:footnote>
  <w:footnote w:id="4213">
    <w:p>
      <w:pPr>
        <w:pStyle w:val="FootnoteText"/>
      </w:pPr>
      <w:r>
        <w:rPr>
          <w:rStyle w:val="FootnoteReference"/>
        </w:rPr>
        <w:footnoteRef/>
      </w:r>
      <w:r>
        <w:t xml:space="preserve"> Personal name: Socoh. Personal-name meaning: Socoh — tents; tabernacles. Source form: Socoh.</w:t>
      </w:r>
    </w:p>
  </w:footnote>
  <w:footnote w:id="4214">
    <w:p>
      <w:pPr>
        <w:pStyle w:val="FootnoteText"/>
      </w:pPr>
      <w:r>
        <w:rPr>
          <w:rStyle w:val="FootnoteReference"/>
        </w:rPr>
        <w:footnoteRef/>
      </w:r>
      <w:r>
        <w:t xml:space="preserve"> MT/LXX note: LXX/fresh has "the City of Letters this"; MT comparison has "Kirjathsannah which".</w:t>
      </w:r>
    </w:p>
  </w:footnote>
  <w:footnote w:id="4215">
    <w:p>
      <w:pPr>
        <w:pStyle w:val="FootnoteText"/>
      </w:pPr>
      <w:r>
        <w:rPr>
          <w:rStyle w:val="FootnoteReference"/>
        </w:rPr>
        <w:footnoteRef/>
      </w:r>
      <w:r>
        <w:t xml:space="preserve"> Place name: Dannah. Place-name meaning: Dannah — judging. Source form: Dannah. Greek form: ρεννα.</w:t>
      </w:r>
    </w:p>
  </w:footnote>
  <w:footnote w:id="4216">
    <w:p>
      <w:pPr>
        <w:pStyle w:val="FootnoteText"/>
      </w:pPr>
      <w:r>
        <w:rPr>
          <w:rStyle w:val="FootnoteReference"/>
        </w:rPr>
        <w:footnoteRef/>
      </w:r>
      <w:r>
        <w:t xml:space="preserve"> Place name: Anim. Place-name meaning: Anim — answerings; singings; afflicted. Source form: Anim. Greek form: αισαμ.</w:t>
      </w:r>
    </w:p>
  </w:footnote>
  <w:footnote w:id="4217">
    <w:p>
      <w:pPr>
        <w:pStyle w:val="FootnoteText"/>
      </w:pPr>
      <w:r>
        <w:rPr>
          <w:rStyle w:val="FootnoteReference"/>
        </w:rPr>
        <w:footnoteRef/>
      </w:r>
      <w:r>
        <w:t xml:space="preserve"> Cross-references for "Goshen": Josh 10:41; Josh 11:16.</w:t>
      </w:r>
    </w:p>
  </w:footnote>
  <w:footnote w:id="4218">
    <w:p>
      <w:pPr>
        <w:pStyle w:val="FootnoteText"/>
      </w:pPr>
      <w:r>
        <w:rPr>
          <w:rStyle w:val="FootnoteReference"/>
        </w:rPr>
        <w:footnoteRef/>
      </w:r>
      <w:r>
        <w:t xml:space="preserve"> Place name: Holon. Place-name meaning: Holon — a window; grief. Source form: Holon. Greek form: χαλου.</w:t>
      </w:r>
    </w:p>
  </w:footnote>
  <w:footnote w:id="4219">
    <w:p>
      <w:pPr>
        <w:pStyle w:val="FootnoteText"/>
      </w:pPr>
      <w:r>
        <w:rPr>
          <w:rStyle w:val="FootnoteReference"/>
        </w:rPr>
        <w:footnoteRef/>
      </w:r>
      <w:r>
        <w:t xml:space="preserve"> Transliterated proper noun: Maon. Standard English equivalent: Maon. Source form: Maon. Greek form: μαωρ. Name meaning: house; place of sin.</w:t>
      </w:r>
    </w:p>
  </w:footnote>
  <w:footnote w:id="4220">
    <w:p>
      <w:pPr>
        <w:pStyle w:val="FootnoteText"/>
      </w:pPr>
      <w:r>
        <w:rPr>
          <w:rStyle w:val="FootnoteReference"/>
        </w:rPr>
        <w:footnoteRef/>
      </w:r>
      <w:r>
        <w:t xml:space="preserve"> Transliterated proper noun: Ziph. Standard English equivalent: Ziph. Source form: Ziph. Greek form: οζιβ. Name meaning: this mouth or mouthful; falsehood.</w:t>
      </w:r>
    </w:p>
  </w:footnote>
  <w:footnote w:id="4221">
    <w:p>
      <w:pPr>
        <w:pStyle w:val="FootnoteText"/>
      </w:pPr>
      <w:r>
        <w:rPr>
          <w:rStyle w:val="FootnoteReference"/>
        </w:rPr>
        <w:footnoteRef/>
      </w:r>
      <w:r>
        <w:t xml:space="preserve"> Cross-references for "Maon": 1Sam 23:25; 1Sam 25:2.</w:t>
      </w:r>
    </w:p>
  </w:footnote>
  <w:footnote w:id="4222">
    <w:p>
      <w:pPr>
        <w:pStyle w:val="FootnoteText"/>
      </w:pPr>
      <w:r>
        <w:rPr>
          <w:rStyle w:val="FootnoteReference"/>
        </w:rPr>
        <w:footnoteRef/>
      </w:r>
      <w:r>
        <w:t xml:space="preserve"> Transliterated proper noun: Jezreel. Standard English equivalent: Jezreel. Source form: Jezreel. Greek form: ιαριηλ. Name meaning: God sows.</w:t>
      </w:r>
    </w:p>
  </w:footnote>
  <w:footnote w:id="4223">
    <w:p>
      <w:pPr>
        <w:pStyle w:val="FootnoteText"/>
      </w:pPr>
      <w:r>
        <w:rPr>
          <w:rStyle w:val="FootnoteReference"/>
        </w:rPr>
        <w:footnoteRef/>
      </w:r>
      <w:r>
        <w:t xml:space="preserve"> Place name: Jokdeam. Place-name meaning: Jokdeam — crookedness, or burning, of the people. Source form: Jokdeam. Greek form: ιαρικαμ.</w:t>
      </w:r>
    </w:p>
  </w:footnote>
  <w:footnote w:id="4224">
    <w:p>
      <w:pPr>
        <w:pStyle w:val="FootnoteText"/>
      </w:pPr>
      <w:r>
        <w:rPr>
          <w:rStyle w:val="FootnoteReference"/>
        </w:rPr>
        <w:footnoteRef/>
      </w:r>
      <w:r>
        <w:t xml:space="preserve"> Place name: Gibeah. Place-name meaning: Gibeah — a hill. Source form: Gibeah. Greek form: γαβαα.</w:t>
      </w:r>
    </w:p>
  </w:footnote>
  <w:footnote w:id="4225">
    <w:p>
      <w:pPr>
        <w:pStyle w:val="FootnoteText"/>
      </w:pPr>
      <w:r>
        <w:rPr>
          <w:rStyle w:val="FootnoteReference"/>
        </w:rPr>
        <w:footnoteRef/>
      </w:r>
      <w:r>
        <w:t xml:space="preserve"> Transliterated proper noun: Thimnathah. Standard English equivalent: Thimnathah. Source form: Thimnathah. Greek form: θαμναθα. Name meaning: portion; allotment.</w:t>
      </w:r>
    </w:p>
  </w:footnote>
  <w:footnote w:id="4226">
    <w:p>
      <w:pPr>
        <w:pStyle w:val="FootnoteText"/>
      </w:pPr>
      <w:r>
        <w:rPr>
          <w:rStyle w:val="FootnoteReference"/>
        </w:rPr>
        <w:footnoteRef/>
      </w:r>
      <w:r>
        <w:t xml:space="preserve"> Place name: Halhul. Place-name meaning: Halhul — grief; looking for grief. Source form: Halhul. Greek form: αλουα.</w:t>
      </w:r>
    </w:p>
  </w:footnote>
  <w:footnote w:id="4227">
    <w:p>
      <w:pPr>
        <w:pStyle w:val="FootnoteText"/>
      </w:pPr>
      <w:r>
        <w:rPr>
          <w:rStyle w:val="FootnoteReference"/>
        </w:rPr>
        <w:footnoteRef/>
      </w:r>
      <w:r>
        <w:t xml:space="preserve"> Transliterated proper noun: Bethzur. Standard English equivalent: Bethzur. Source form: Bethzur. Greek form: βαιθσουρ. Name meaning: house of a rock.</w:t>
      </w:r>
    </w:p>
  </w:footnote>
  <w:footnote w:id="4228">
    <w:p>
      <w:pPr>
        <w:pStyle w:val="FootnoteText"/>
      </w:pPr>
      <w:r>
        <w:rPr>
          <w:rStyle w:val="FootnoteReference"/>
        </w:rPr>
        <w:footnoteRef/>
      </w:r>
      <w:r>
        <w:t xml:space="preserve"> Place name: Gedor. Place-name meaning: Gedor — wall; enclosure. Source form: Gedor. Greek form: γεδδων.</w:t>
      </w:r>
    </w:p>
  </w:footnote>
  <w:footnote w:id="4229">
    <w:p>
      <w:pPr>
        <w:pStyle w:val="FootnoteText"/>
      </w:pPr>
      <w:r>
        <w:rPr>
          <w:rStyle w:val="FootnoteReference"/>
        </w:rPr>
        <w:footnoteRef/>
      </w:r>
      <w:r>
        <w:t xml:space="preserve"> Cross-references for "Gedor": 1Chr 4:39.</w:t>
      </w:r>
    </w:p>
  </w:footnote>
  <w:footnote w:id="4230">
    <w:p>
      <w:pPr>
        <w:pStyle w:val="FootnoteText"/>
      </w:pPr>
      <w:r>
        <w:rPr>
          <w:rStyle w:val="FootnoteReference"/>
        </w:rPr>
        <w:footnoteRef/>
      </w:r>
      <w:r>
        <w:t xml:space="preserve"> Place name: Maarath. Place-name meaning: Maarath — den; making empty; watching. Source form: Maarath. Greek form: μαγαρωθ.</w:t>
      </w:r>
    </w:p>
  </w:footnote>
  <w:footnote w:id="4231">
    <w:p>
      <w:pPr>
        <w:pStyle w:val="FootnoteText"/>
      </w:pPr>
      <w:r>
        <w:rPr>
          <w:rStyle w:val="FootnoteReference"/>
        </w:rPr>
        <w:footnoteRef/>
      </w:r>
      <w:r>
        <w:t xml:space="preserve"> MT/LXX note: The Septuagint preserves a fuller city list here than the Masoretic text. The translation follows that Greek list.</w:t>
      </w:r>
    </w:p>
  </w:footnote>
  <w:footnote w:id="4232">
    <w:p>
      <w:pPr>
        <w:pStyle w:val="FootnoteText"/>
      </w:pPr>
      <w:r>
        <w:rPr>
          <w:rStyle w:val="FootnoteReference"/>
        </w:rPr>
        <w:footnoteRef/>
      </w:r>
      <w:r>
        <w:t xml:space="preserve"> Transliterated proper noun: Kirjathbaal. Standard English equivalent: Kirjathbaal. Source form: Kirjathbaal. Greek form: καριαθβααλ. Name meaning: city of Baal, or of a ruler.</w:t>
      </w:r>
    </w:p>
  </w:footnote>
  <w:footnote w:id="4233">
    <w:p>
      <w:pPr>
        <w:pStyle w:val="FootnoteText"/>
      </w:pPr>
      <w:r>
        <w:rPr>
          <w:rStyle w:val="FootnoteReference"/>
        </w:rPr>
        <w:footnoteRef/>
      </w:r>
      <w:r>
        <w:t xml:space="preserve"> Cross-references for "Kirjathbaal": Josh 18:14; 1Sam 7:1.</w:t>
      </w:r>
    </w:p>
  </w:footnote>
  <w:footnote w:id="4234">
    <w:p>
      <w:pPr>
        <w:pStyle w:val="FootnoteText"/>
      </w:pPr>
      <w:r>
        <w:rPr>
          <w:rStyle w:val="FootnoteReference"/>
        </w:rPr>
        <w:footnoteRef/>
      </w:r>
      <w:r>
        <w:t xml:space="preserve"> Cross-references for "Bethel": Gen 28:19; Josh 18:13.</w:t>
      </w:r>
    </w:p>
  </w:footnote>
  <w:footnote w:id="4235">
    <w:p>
      <w:pPr>
        <w:pStyle w:val="FootnoteText"/>
      </w:pPr>
      <w:r>
        <w:rPr>
          <w:rStyle w:val="FootnoteReference"/>
        </w:rPr>
        <w:footnoteRef/>
      </w:r>
      <w:r>
        <w:t xml:space="preserve"> People-name: Japhletites. People-name meaning: Japhletites — delivered; banished. Source form: Japhletites.</w:t>
      </w:r>
    </w:p>
  </w:footnote>
  <w:footnote w:id="4236">
    <w:p>
      <w:pPr>
        <w:pStyle w:val="FootnoteText"/>
      </w:pPr>
      <w:r>
        <w:rPr>
          <w:rStyle w:val="FootnoteReference"/>
        </w:rPr>
        <w:footnoteRef/>
      </w:r>
      <w:r>
        <w:t xml:space="preserve"> Transliterated proper noun: Bethhoron. Standard English equivalent: Bethhoron. Source form: Bethhoron. Greek form: βαιθωρων. Name meaning: house of wrath.</w:t>
      </w:r>
    </w:p>
  </w:footnote>
  <w:footnote w:id="4237">
    <w:p>
      <w:pPr>
        <w:pStyle w:val="FootnoteText"/>
      </w:pPr>
      <w:r>
        <w:rPr>
          <w:rStyle w:val="FootnoteReference"/>
        </w:rPr>
        <w:footnoteRef/>
      </w:r>
      <w:r>
        <w:t xml:space="preserve"> Cross-references for "Bethhoron": Josh 18:13; 1Kgs 9:15-17.</w:t>
      </w:r>
    </w:p>
  </w:footnote>
  <w:footnote w:id="4238">
    <w:p>
      <w:pPr>
        <w:pStyle w:val="FootnoteText"/>
      </w:pPr>
      <w:r>
        <w:rPr>
          <w:rStyle w:val="FootnoteReference"/>
        </w:rPr>
        <w:footnoteRef/>
      </w:r>
      <w:r>
        <w:t xml:space="preserve"> Place name: Janoah. Place-name meaning: Janoah — resting; tarrying; deriving. Source form: Janoah. Greek form: ιορδανην.</w:t>
      </w:r>
    </w:p>
  </w:footnote>
  <w:footnote w:id="4239">
    <w:p>
      <w:pPr>
        <w:pStyle w:val="FootnoteText"/>
      </w:pPr>
      <w:r>
        <w:rPr>
          <w:rStyle w:val="FootnoteReference"/>
        </w:rPr>
        <w:footnoteRef/>
      </w:r>
      <w:r>
        <w:t xml:space="preserve"> Cross-references for "Ataroth": 1Chr 7:28.</w:t>
      </w:r>
    </w:p>
  </w:footnote>
  <w:footnote w:id="4240">
    <w:p>
      <w:pPr>
        <w:pStyle w:val="FootnoteText"/>
      </w:pPr>
      <w:r>
        <w:rPr>
          <w:rStyle w:val="FootnoteReference"/>
        </w:rPr>
        <w:footnoteRef/>
      </w:r>
      <w:r>
        <w:t xml:space="preserve"> Cross-references for "Tappuah": Josh 12:17; Josh 17:8.</w:t>
      </w:r>
    </w:p>
  </w:footnote>
  <w:footnote w:id="4241">
    <w:p>
      <w:pPr>
        <w:pStyle w:val="FootnoteText"/>
      </w:pPr>
      <w:r>
        <w:rPr>
          <w:rStyle w:val="FootnoteReference"/>
        </w:rPr>
        <w:footnoteRef/>
      </w:r>
      <w:r>
        <w:t xml:space="preserve"> Place name: Kanah. Place-name meaning: Kanah — of reeds. Source form: Kanah. Greek form: κατα.</w:t>
      </w:r>
    </w:p>
  </w:footnote>
  <w:footnote w:id="4242">
    <w:p>
      <w:pPr>
        <w:pStyle w:val="FootnoteText"/>
      </w:pPr>
      <w:r>
        <w:rPr>
          <w:rStyle w:val="FootnoteReference"/>
        </w:rPr>
        <w:footnoteRef/>
      </w:r>
      <w:r>
        <w:t xml:space="preserve"> Translation note: The Septuagint preserves a longer expansion here about Pharaoh. The translation follows the Greek content.</w:t>
      </w:r>
    </w:p>
  </w:footnote>
  <w:footnote w:id="4243">
    <w:p>
      <w:pPr>
        <w:pStyle w:val="FootnoteText"/>
      </w:pPr>
      <w:r>
        <w:rPr>
          <w:rStyle w:val="FootnoteReference"/>
        </w:rPr>
        <w:footnoteRef/>
      </w:r>
      <w:r>
        <w:t xml:space="preserve"> Cross-references for "the firstborn": Gen 41:51; Gen 46:20.</w:t>
      </w:r>
    </w:p>
  </w:footnote>
  <w:footnote w:id="4244">
    <w:p>
      <w:pPr>
        <w:pStyle w:val="FootnoteText"/>
      </w:pPr>
      <w:r>
        <w:rPr>
          <w:rStyle w:val="FootnoteReference"/>
        </w:rPr>
        <w:footnoteRef/>
      </w:r>
      <w:r>
        <w:t xml:space="preserve"> Translation note: Greek keeps these territorial forms.</w:t>
      </w:r>
    </w:p>
  </w:footnote>
  <w:footnote w:id="4245">
    <w:p>
      <w:pPr>
        <w:pStyle w:val="FootnoteText"/>
      </w:pPr>
      <w:r>
        <w:rPr>
          <w:rStyle w:val="FootnoteReference"/>
        </w:rPr>
        <w:footnoteRef/>
      </w:r>
      <w:r>
        <w:t xml:space="preserve"> Personal name: Jeziel. Personal-name meaning: Jeziel — sprinkling of the Lord. Source form: Jeziel.</w:t>
      </w:r>
    </w:p>
  </w:footnote>
  <w:footnote w:id="4246">
    <w:p>
      <w:pPr>
        <w:pStyle w:val="FootnoteText"/>
      </w:pPr>
      <w:r>
        <w:rPr>
          <w:rStyle w:val="FootnoteReference"/>
        </w:rPr>
        <w:footnoteRef/>
      </w:r>
      <w:r>
        <w:t xml:space="preserve"> Translation note: Greek keeps a distinct Manasseh name chain here.</w:t>
      </w:r>
    </w:p>
  </w:footnote>
  <w:footnote w:id="4247">
    <w:p>
      <w:pPr>
        <w:pStyle w:val="FootnoteText"/>
      </w:pPr>
      <w:r>
        <w:rPr>
          <w:rStyle w:val="FootnoteReference"/>
        </w:rPr>
        <w:footnoteRef/>
      </w:r>
      <w:r>
        <w:t xml:space="preserve"> Cross-references for "Eleazar": Num 34:17-29; Josh 14:1.</w:t>
      </w:r>
    </w:p>
  </w:footnote>
  <w:footnote w:id="4248">
    <w:p>
      <w:pPr>
        <w:pStyle w:val="FootnoteText"/>
      </w:pPr>
      <w:r>
        <w:rPr>
          <w:rStyle w:val="FootnoteReference"/>
        </w:rPr>
        <w:footnoteRef/>
      </w:r>
      <w:r>
        <w:t xml:space="preserve"> Personal name: Anath. Personal-name meaning: Anath — answer; song; poverty. Source form: Anath.</w:t>
      </w:r>
    </w:p>
  </w:footnote>
  <w:footnote w:id="4249">
    <w:p>
      <w:pPr>
        <w:pStyle w:val="FootnoteText"/>
      </w:pPr>
      <w:r>
        <w:rPr>
          <w:rStyle w:val="FootnoteReference"/>
        </w:rPr>
        <w:footnoteRef/>
      </w:r>
      <w:r>
        <w:t xml:space="preserve"> Translation note: Greek preserves the Jariel, terebinth detail here.</w:t>
      </w:r>
    </w:p>
  </w:footnote>
  <w:footnote w:id="4250">
    <w:p>
      <w:pPr>
        <w:pStyle w:val="FootnoteText"/>
      </w:pPr>
      <w:r>
        <w:rPr>
          <w:rStyle w:val="FootnoteReference"/>
        </w:rPr>
        <w:footnoteRef/>
      </w:r>
      <w:r>
        <w:t xml:space="preserve"> Cross-references for "Manasseh": Josh 16:9; 1Sam 31:10.</w:t>
      </w:r>
    </w:p>
  </w:footnote>
  <w:footnote w:id="4251">
    <w:p>
      <w:pPr>
        <w:pStyle w:val="FootnoteText"/>
      </w:pPr>
      <w:r>
        <w:rPr>
          <w:rStyle w:val="FootnoteReference"/>
        </w:rPr>
        <w:footnoteRef/>
      </w:r>
      <w:r>
        <w:t xml:space="preserve"> Transliterated proper noun: Bethshean. Standard English equivalent: Bethshean. Source form: Bethshean. Greek form: βαιθσαν. Name meaning: house of rest/ivory; house of teeth.</w:t>
      </w:r>
    </w:p>
  </w:footnote>
  <w:footnote w:id="4252">
    <w:p>
      <w:pPr>
        <w:pStyle w:val="FootnoteText"/>
      </w:pPr>
      <w:r>
        <w:rPr>
          <w:rStyle w:val="FootnoteReference"/>
        </w:rPr>
        <w:footnoteRef/>
      </w:r>
      <w:r>
        <w:t xml:space="preserve"> Place name: Megiddo. Place-name meaning: Megiddo — his precious fruit; declaring a message. Source form: Megiddo. Greek form: μαγεδδω.</w:t>
      </w:r>
    </w:p>
  </w:footnote>
  <w:footnote w:id="4253">
    <w:p>
      <w:pPr>
        <w:pStyle w:val="FootnoteText"/>
      </w:pPr>
      <w:r>
        <w:rPr>
          <w:rStyle w:val="FootnoteReference"/>
        </w:rPr>
        <w:footnoteRef/>
      </w:r>
      <w:r>
        <w:t xml:space="preserve"> Translation note: Greek says the third of Napheta and its villages.</w:t>
      </w:r>
    </w:p>
  </w:footnote>
  <w:footnote w:id="4254">
    <w:p>
      <w:pPr>
        <w:pStyle w:val="FootnoteText"/>
      </w:pPr>
      <w:r>
        <w:rPr>
          <w:rStyle w:val="FootnoteReference"/>
        </w:rPr>
        <w:footnoteRef/>
      </w:r>
      <w:r>
        <w:t xml:space="preserve"> Translation note: Greek keeps the third part of Mapheta in this place list.</w:t>
      </w:r>
    </w:p>
  </w:footnote>
  <w:footnote w:id="4255">
    <w:p>
      <w:pPr>
        <w:pStyle w:val="FootnoteText"/>
      </w:pPr>
      <w:r>
        <w:rPr>
          <w:rStyle w:val="FootnoteReference"/>
        </w:rPr>
        <w:footnoteRef/>
      </w:r>
      <w:r>
        <w:t xml:space="preserve"> MT/LXX note: Greek list differs from MT place names here.</w:t>
      </w:r>
    </w:p>
  </w:footnote>
  <w:footnote w:id="4256">
    <w:p>
      <w:pPr>
        <w:pStyle w:val="FootnoteText"/>
      </w:pPr>
      <w:r>
        <w:rPr>
          <w:rStyle w:val="FootnoteReference"/>
        </w:rPr>
        <w:footnoteRef/>
      </w:r>
      <w:r>
        <w:t xml:space="preserve"> Translation note: Greek keeps difficult place-name chain here.</w:t>
      </w:r>
    </w:p>
  </w:footnote>
  <w:footnote w:id="4257">
    <w:p>
      <w:pPr>
        <w:pStyle w:val="FootnoteText"/>
      </w:pPr>
      <w:r>
        <w:rPr>
          <w:rStyle w:val="FootnoteReference"/>
        </w:rPr>
        <w:footnoteRef/>
      </w:r>
      <w:r>
        <w:t xml:space="preserve"> Cross-references for "one lot": Gen 48:22; Num 26:34-37.</w:t>
      </w:r>
    </w:p>
  </w:footnote>
  <w:footnote w:id="4258">
    <w:p>
      <w:pPr>
        <w:pStyle w:val="FootnoteText"/>
      </w:pPr>
      <w:r>
        <w:rPr>
          <w:rStyle w:val="FootnoteReference"/>
        </w:rPr>
        <w:footnoteRef/>
      </w:r>
      <w:r>
        <w:t xml:space="preserve"> Translation note: Greek says clear place for yourself here. Current line keeps that wording.</w:t>
      </w:r>
    </w:p>
  </w:footnote>
  <w:footnote w:id="4259">
    <w:p>
      <w:pPr>
        <w:pStyle w:val="FootnoteText"/>
      </w:pPr>
      <w:r>
        <w:rPr>
          <w:rStyle w:val="FootnoteReference"/>
        </w:rPr>
        <w:footnoteRef/>
      </w:r>
      <w:r>
        <w:t xml:space="preserve"> Translation note: Greek line is unusual here. Current rendering keeps the odd chosen-iron wording rather than smoothing it away.</w:t>
      </w:r>
    </w:p>
  </w:footnote>
  <w:footnote w:id="4260">
    <w:p>
      <w:pPr>
        <w:pStyle w:val="FootnoteText"/>
      </w:pPr>
      <w:r>
        <w:rPr>
          <w:rStyle w:val="FootnoteReference"/>
        </w:rPr>
        <w:footnoteRef/>
      </w:r>
      <w:r>
        <w:t xml:space="preserve"> Cross-references for "Bethshean": Josh 17:11; 1Kgs 4:12.</w:t>
      </w:r>
    </w:p>
  </w:footnote>
  <w:footnote w:id="4261">
    <w:p>
      <w:pPr>
        <w:pStyle w:val="FootnoteText"/>
      </w:pPr>
      <w:r>
        <w:rPr>
          <w:rStyle w:val="FootnoteReference"/>
        </w:rPr>
        <w:footnoteRef/>
      </w:r>
      <w:r>
        <w:t xml:space="preserve"> Translation note: Greek line stays rough here.</w:t>
      </w:r>
    </w:p>
  </w:footnote>
  <w:footnote w:id="4262">
    <w:p>
      <w:pPr>
        <w:pStyle w:val="FootnoteText"/>
      </w:pPr>
      <w:r>
        <w:rPr>
          <w:rStyle w:val="FootnoteReference"/>
        </w:rPr>
        <w:footnoteRef/>
      </w:r>
      <w:r>
        <w:t xml:space="preserve"> Place name: Shiloh. Place-name meaning: Shiloh — sent. Source form: Shiloh. Greek form: σηλω.</w:t>
      </w:r>
    </w:p>
  </w:footnote>
  <w:footnote w:id="4263">
    <w:p>
      <w:pPr>
        <w:pStyle w:val="FootnoteText"/>
      </w:pPr>
      <w:r>
        <w:rPr>
          <w:rStyle w:val="FootnoteReference"/>
        </w:rPr>
        <w:footnoteRef/>
      </w:r>
      <w:r>
        <w:t xml:space="preserve"> Cross-references for "Shiloh": Josh 19:51; Josh 21:2.</w:t>
      </w:r>
    </w:p>
  </w:footnote>
  <w:footnote w:id="4264">
    <w:p>
      <w:pPr>
        <w:pStyle w:val="FootnoteText"/>
      </w:pPr>
      <w:r>
        <w:rPr>
          <w:rStyle w:val="FootnoteReference"/>
        </w:rPr>
        <w:footnoteRef/>
      </w:r>
      <w:r>
        <w:t xml:space="preserve"> Cross-references for "three": Num 1:4; Num 13:2.</w:t>
      </w:r>
    </w:p>
  </w:footnote>
  <w:footnote w:id="4265">
    <w:p>
      <w:pPr>
        <w:pStyle w:val="FootnoteText"/>
      </w:pPr>
      <w:r>
        <w:rPr>
          <w:rStyle w:val="FootnoteReference"/>
        </w:rPr>
        <w:footnoteRef/>
      </w:r>
      <w:r>
        <w:t xml:space="preserve"> Cross-references for "Judah shall": Josh 15:1-12; Josh 19:1-9.</w:t>
      </w:r>
    </w:p>
  </w:footnote>
  <w:footnote w:id="4266">
    <w:p>
      <w:pPr>
        <w:pStyle w:val="FootnoteText"/>
      </w:pPr>
      <w:r>
        <w:rPr>
          <w:rStyle w:val="FootnoteReference"/>
        </w:rPr>
        <w:footnoteRef/>
      </w:r>
      <w:r>
        <w:t xml:space="preserve"> Cross-references for "And Gad": Num 32:29-41; Deut 3:12-17.</w:t>
      </w:r>
    </w:p>
  </w:footnote>
  <w:footnote w:id="4267">
    <w:p>
      <w:pPr>
        <w:pStyle w:val="FootnoteText"/>
      </w:pPr>
      <w:r>
        <w:rPr>
          <w:rStyle w:val="FootnoteReference"/>
        </w:rPr>
        <w:footnoteRef/>
      </w:r>
      <w:r>
        <w:t xml:space="preserve"> Translation note: Greek says survey land here. Current line keeps that wording.</w:t>
      </w:r>
    </w:p>
  </w:footnote>
  <w:footnote w:id="4268">
    <w:p>
      <w:pPr>
        <w:pStyle w:val="FootnoteText"/>
      </w:pPr>
      <w:r>
        <w:rPr>
          <w:rStyle w:val="FootnoteReference"/>
        </w:rPr>
        <w:footnoteRef/>
      </w:r>
      <w:r>
        <w:t xml:space="preserve"> Cross-references for "before the Lord": Ps 16:5-6; Ps 47:4.</w:t>
      </w:r>
    </w:p>
  </w:footnote>
  <w:footnote w:id="4269">
    <w:p>
      <w:pPr>
        <w:pStyle w:val="FootnoteText"/>
      </w:pPr>
      <w:r>
        <w:rPr>
          <w:rStyle w:val="FootnoteReference"/>
        </w:rPr>
        <w:footnoteRef/>
      </w:r>
      <w:r>
        <w:t xml:space="preserve"> Cross-references for "Jericho": Josh 2:1; Josh 3:16.</w:t>
      </w:r>
    </w:p>
  </w:footnote>
  <w:footnote w:id="4270">
    <w:p>
      <w:pPr>
        <w:pStyle w:val="FootnoteText"/>
      </w:pPr>
      <w:r>
        <w:rPr>
          <w:rStyle w:val="FootnoteReference"/>
        </w:rPr>
        <w:footnoteRef/>
      </w:r>
      <w:r>
        <w:t xml:space="preserve"> Transliterated proper noun: Bethaven. Standard English equivalent: Bethaven. Source form: Bethaven. Greek form: βαιθων. Name meaning: the house of vanity; of iniquity of trouble.</w:t>
      </w:r>
    </w:p>
  </w:footnote>
  <w:footnote w:id="4271">
    <w:p>
      <w:pPr>
        <w:pStyle w:val="FootnoteText"/>
      </w:pPr>
      <w:r>
        <w:rPr>
          <w:rStyle w:val="FootnoteReference"/>
        </w:rPr>
        <w:footnoteRef/>
      </w:r>
      <w:r>
        <w:t xml:space="preserve"> Translation note: Greek says its outlet shall be the wilderness of Baithon.</w:t>
      </w:r>
    </w:p>
  </w:footnote>
  <w:footnote w:id="4272">
    <w:p>
      <w:pPr>
        <w:pStyle w:val="FootnoteText"/>
      </w:pPr>
      <w:r>
        <w:rPr>
          <w:rStyle w:val="FootnoteReference"/>
        </w:rPr>
        <w:footnoteRef/>
      </w:r>
      <w:r>
        <w:t xml:space="preserve"> Place name: Ataroth-addar. Place-name meaning: Ataroth-addar — crowns of power. Source form: Ataroth-addar. Greek form: μααταρωθορεχ.</w:t>
      </w:r>
    </w:p>
  </w:footnote>
  <w:footnote w:id="4273">
    <w:p>
      <w:pPr>
        <w:pStyle w:val="FootnoteText"/>
      </w:pPr>
      <w:r>
        <w:rPr>
          <w:rStyle w:val="FootnoteReference"/>
        </w:rPr>
        <w:footnoteRef/>
      </w:r>
      <w:r>
        <w:t xml:space="preserve"> Cross-references for "Bethhoron": Josh 10:11; Josh 16:3.</w:t>
      </w:r>
    </w:p>
  </w:footnote>
  <w:footnote w:id="4274">
    <w:p>
      <w:pPr>
        <w:pStyle w:val="FootnoteText"/>
      </w:pPr>
      <w:r>
        <w:rPr>
          <w:rStyle w:val="FootnoteReference"/>
        </w:rPr>
        <w:footnoteRef/>
      </w:r>
      <w:r>
        <w:t xml:space="preserve"> Translation note: Greek keeps sea-facing orientation wording here.</w:t>
      </w:r>
    </w:p>
  </w:footnote>
  <w:footnote w:id="4275">
    <w:p>
      <w:pPr>
        <w:pStyle w:val="FootnoteText"/>
      </w:pPr>
      <w:r>
        <w:rPr>
          <w:rStyle w:val="FootnoteReference"/>
        </w:rPr>
        <w:footnoteRef/>
      </w:r>
      <w:r>
        <w:t xml:space="preserve"> Cross-references for "Kirjathbaal": Josh 15:9; Josh 15:60.</w:t>
      </w:r>
    </w:p>
  </w:footnote>
  <w:footnote w:id="4276">
    <w:p>
      <w:pPr>
        <w:pStyle w:val="FootnoteText"/>
      </w:pPr>
      <w:r>
        <w:rPr>
          <w:rStyle w:val="FootnoteReference"/>
        </w:rPr>
        <w:footnoteRef/>
      </w:r>
      <w:r>
        <w:t xml:space="preserve"> Cross-references for "Nephtoah": Josh 15:9.</w:t>
      </w:r>
    </w:p>
  </w:footnote>
  <w:footnote w:id="4277">
    <w:p>
      <w:pPr>
        <w:pStyle w:val="FootnoteText"/>
      </w:pPr>
      <w:r>
        <w:rPr>
          <w:rStyle w:val="FootnoteReference"/>
        </w:rPr>
        <w:footnoteRef/>
      </w:r>
      <w:r>
        <w:t xml:space="preserve"> Place name: Emekraphain. Place-name meaning: Valley of Rephaim — valley of the Rephaim; giants/relaxed ones. Standard English equivalent: Valley of Rephaim. Source form: Emekraphain. Greek form: εμεκραφαιν.</w:t>
      </w:r>
    </w:p>
  </w:footnote>
  <w:footnote w:id="4278">
    <w:p>
      <w:pPr>
        <w:pStyle w:val="FootnoteText"/>
      </w:pPr>
      <w:r>
        <w:rPr>
          <w:rStyle w:val="FootnoteReference"/>
        </w:rPr>
        <w:footnoteRef/>
      </w:r>
      <w:r>
        <w:t xml:space="preserve"> Translation note: Greek says it went down to Gaienna on the south of Jebousai.</w:t>
      </w:r>
    </w:p>
  </w:footnote>
  <w:footnote w:id="4279">
    <w:p>
      <w:pPr>
        <w:pStyle w:val="FootnoteText"/>
      </w:pPr>
      <w:r>
        <w:rPr>
          <w:rStyle w:val="FootnoteReference"/>
        </w:rPr>
        <w:footnoteRef/>
      </w:r>
      <w:r>
        <w:t xml:space="preserve"> Transliterated proper noun: Jebusi. Standard English equivalent: Jebusi. Source form: Jebusi. Greek form: ιεβουσαι. Name meaning: trodden under foot; mangers.</w:t>
      </w:r>
    </w:p>
  </w:footnote>
  <w:footnote w:id="4280">
    <w:p>
      <w:pPr>
        <w:pStyle w:val="FootnoteText"/>
      </w:pPr>
      <w:r>
        <w:rPr>
          <w:rStyle w:val="FootnoteReference"/>
        </w:rPr>
        <w:footnoteRef/>
      </w:r>
      <w:r>
        <w:t xml:space="preserve"> Translation note: Greek keeps opposite the face of wooded valley Sonnam.</w:t>
      </w:r>
    </w:p>
  </w:footnote>
  <w:footnote w:id="4281">
    <w:p>
      <w:pPr>
        <w:pStyle w:val="FootnoteText"/>
      </w:pPr>
      <w:r>
        <w:rPr>
          <w:rStyle w:val="FootnoteReference"/>
        </w:rPr>
        <w:footnoteRef/>
      </w:r>
      <w:r>
        <w:t xml:space="preserve"> Translation note: Greek keeps difficult place names and terrain wording here.</w:t>
      </w:r>
    </w:p>
  </w:footnote>
  <w:footnote w:id="4282">
    <w:p>
      <w:pPr>
        <w:pStyle w:val="FootnoteText"/>
      </w:pPr>
      <w:r>
        <w:rPr>
          <w:rStyle w:val="FootnoteReference"/>
        </w:rPr>
        <w:footnoteRef/>
      </w:r>
      <w:r>
        <w:t xml:space="preserve"> Translation note: Greek keeps rough place-name chain here.</w:t>
      </w:r>
    </w:p>
  </w:footnote>
  <w:footnote w:id="4283">
    <w:p>
      <w:pPr>
        <w:pStyle w:val="FootnoteText"/>
      </w:pPr>
      <w:r>
        <w:rPr>
          <w:rStyle w:val="FootnoteReference"/>
        </w:rPr>
        <w:footnoteRef/>
      </w:r>
      <w:r>
        <w:t xml:space="preserve"> Cross-references for "Jebusi": Josh 15:63; Josh 18:28.</w:t>
      </w:r>
    </w:p>
  </w:footnote>
  <w:footnote w:id="4284">
    <w:p>
      <w:pPr>
        <w:pStyle w:val="FootnoteText"/>
      </w:pPr>
      <w:r>
        <w:rPr>
          <w:rStyle w:val="FootnoteReference"/>
        </w:rPr>
        <w:footnoteRef/>
      </w:r>
      <w:r>
        <w:t xml:space="preserve"> Transliterated proper noun: Beth-shemesh. Standard English equivalent: Beth-shemesh. Source form: Beth-shemesh. Greek form: βαιθσαμυς. Name meaning: house of the sun.</w:t>
      </w:r>
    </w:p>
  </w:footnote>
  <w:footnote w:id="4285">
    <w:p>
      <w:pPr>
        <w:pStyle w:val="FootnoteText"/>
      </w:pPr>
      <w:r>
        <w:rPr>
          <w:rStyle w:val="FootnoteReference"/>
        </w:rPr>
        <w:footnoteRef/>
      </w:r>
      <w:r>
        <w:t xml:space="preserve"> Place name: Geliloth. Place-name meaning: Geliloth — rolling, wheel, heap. Source form: Geliloth. Greek form: γαλιλωθ.</w:t>
      </w:r>
    </w:p>
  </w:footnote>
  <w:footnote w:id="4286">
    <w:p>
      <w:pPr>
        <w:pStyle w:val="FootnoteText"/>
      </w:pPr>
      <w:r>
        <w:rPr>
          <w:rStyle w:val="FootnoteReference"/>
        </w:rPr>
        <w:footnoteRef/>
      </w:r>
      <w:r>
        <w:t xml:space="preserve"> Cross-references for "the stone": Josh 15:6.</w:t>
      </w:r>
    </w:p>
  </w:footnote>
  <w:footnote w:id="4287">
    <w:p>
      <w:pPr>
        <w:pStyle w:val="FootnoteText"/>
      </w:pPr>
      <w:r>
        <w:rPr>
          <w:rStyle w:val="FootnoteReference"/>
        </w:rPr>
        <w:footnoteRef/>
      </w:r>
      <w:r>
        <w:t xml:space="preserve"> Cross-references for "the Salt": Gen 14:3; Gen 19:25.</w:t>
      </w:r>
    </w:p>
  </w:footnote>
  <w:footnote w:id="4288">
    <w:p>
      <w:pPr>
        <w:pStyle w:val="FootnoteText"/>
      </w:pPr>
      <w:r>
        <w:rPr>
          <w:rStyle w:val="FootnoteReference"/>
        </w:rPr>
        <w:footnoteRef/>
      </w:r>
      <w:r>
        <w:t xml:space="preserve"> Cross-references for "Jericho": Josh 2:1; Josh 6:1.</w:t>
      </w:r>
    </w:p>
  </w:footnote>
  <w:footnote w:id="4289">
    <w:p>
      <w:pPr>
        <w:pStyle w:val="FootnoteText"/>
      </w:pPr>
      <w:r>
        <w:rPr>
          <w:rStyle w:val="FootnoteReference"/>
        </w:rPr>
        <w:footnoteRef/>
      </w:r>
      <w:r>
        <w:t xml:space="preserve"> Transliterated proper noun: Avim. Standard English equivalent: Avim. Source form: Avim. Greek form: αιιν. Name meaning: wicked or perverse men.</w:t>
      </w:r>
    </w:p>
  </w:footnote>
  <w:footnote w:id="4290">
    <w:p>
      <w:pPr>
        <w:pStyle w:val="FootnoteText"/>
      </w:pPr>
      <w:r>
        <w:rPr>
          <w:rStyle w:val="FootnoteReference"/>
        </w:rPr>
        <w:footnoteRef/>
      </w:r>
      <w:r>
        <w:t xml:space="preserve"> Place name: Parah. Place-name meaning: Pharah — a cow; increasing. Standard English equivalent: Pharah. Source form: Parah. Greek form: φαρα.</w:t>
      </w:r>
    </w:p>
  </w:footnote>
  <w:footnote w:id="4291">
    <w:p>
      <w:pPr>
        <w:pStyle w:val="FootnoteText"/>
      </w:pPr>
      <w:r>
        <w:rPr>
          <w:rStyle w:val="FootnoteReference"/>
        </w:rPr>
        <w:footnoteRef/>
      </w:r>
      <w:r>
        <w:t xml:space="preserve"> Cross-references for "Gibeon": Josh 9:17; Josh 10:2.</w:t>
      </w:r>
    </w:p>
  </w:footnote>
  <w:footnote w:id="4292">
    <w:p>
      <w:pPr>
        <w:pStyle w:val="FootnoteText"/>
      </w:pPr>
      <w:r>
        <w:rPr>
          <w:rStyle w:val="FootnoteReference"/>
        </w:rPr>
        <w:footnoteRef/>
      </w:r>
      <w:r>
        <w:t xml:space="preserve"> Place name: Ramah. Place-name meaning: Ramah — height; exalted place. Source form: Ramah. Greek form: ραμα.</w:t>
      </w:r>
    </w:p>
  </w:footnote>
  <w:footnote w:id="4293">
    <w:p>
      <w:pPr>
        <w:pStyle w:val="FootnoteText"/>
      </w:pPr>
      <w:r>
        <w:rPr>
          <w:rStyle w:val="FootnoteReference"/>
        </w:rPr>
        <w:footnoteRef/>
      </w:r>
      <w:r>
        <w:t xml:space="preserve"> Cross-references for "second lot": Josh 18:6-11.</w:t>
      </w:r>
    </w:p>
  </w:footnote>
  <w:footnote w:id="4294">
    <w:p>
      <w:pPr>
        <w:pStyle w:val="FootnoteText"/>
      </w:pPr>
      <w:r>
        <w:rPr>
          <w:rStyle w:val="FootnoteReference"/>
        </w:rPr>
        <w:footnoteRef/>
      </w:r>
      <w:r>
        <w:t xml:space="preserve"> Transliterated proper noun: Beersheba. Standard English equivalent: Beersheba. Source form: Beersheba. Name meaning: the well of an oath; the seventh well.</w:t>
      </w:r>
    </w:p>
  </w:footnote>
  <w:footnote w:id="4295">
    <w:p>
      <w:pPr>
        <w:pStyle w:val="FootnoteText"/>
      </w:pPr>
      <w:r>
        <w:rPr>
          <w:rStyle w:val="FootnoteReference"/>
        </w:rPr>
        <w:footnoteRef/>
      </w:r>
      <w:r>
        <w:t xml:space="preserve"> Cross-references for "and Moladah": Gen 21:31; Josh 15:28.</w:t>
      </w:r>
    </w:p>
  </w:footnote>
  <w:footnote w:id="4296">
    <w:p>
      <w:pPr>
        <w:pStyle w:val="FootnoteText"/>
      </w:pPr>
      <w:r>
        <w:rPr>
          <w:rStyle w:val="FootnoteReference"/>
        </w:rPr>
        <w:footnoteRef/>
      </w:r>
      <w:r>
        <w:t xml:space="preserve"> Transliterated proper noun: Hazarshual. Standard English equivalent: Hazarshual. Source form: Hazarshual. Greek form: αρσωλα. Name meaning: a wolf's house.</w:t>
      </w:r>
    </w:p>
  </w:footnote>
  <w:footnote w:id="4297">
    <w:p>
      <w:pPr>
        <w:pStyle w:val="FootnoteText"/>
      </w:pPr>
      <w:r>
        <w:rPr>
          <w:rStyle w:val="FootnoteReference"/>
        </w:rPr>
        <w:footnoteRef/>
      </w:r>
      <w:r>
        <w:t xml:space="preserve"> Cross-references for "Hazarshual": Josh 15:28-29.</w:t>
      </w:r>
    </w:p>
  </w:footnote>
  <w:footnote w:id="4298">
    <w:p>
      <w:pPr>
        <w:pStyle w:val="FootnoteText"/>
      </w:pPr>
      <w:r>
        <w:rPr>
          <w:rStyle w:val="FootnoteReference"/>
        </w:rPr>
        <w:footnoteRef/>
      </w:r>
      <w:r>
        <w:t xml:space="preserve"> Cross-references for "Eltolad": Josh 15:30.</w:t>
      </w:r>
    </w:p>
  </w:footnote>
  <w:footnote w:id="4299">
    <w:p>
      <w:pPr>
        <w:pStyle w:val="FootnoteText"/>
      </w:pPr>
      <w:r>
        <w:rPr>
          <w:rStyle w:val="FootnoteReference"/>
        </w:rPr>
        <w:footnoteRef/>
      </w:r>
      <w:r>
        <w:t xml:space="preserve"> Cross-references for "Ziklag": Josh 15:31; 1Sam 27:6.</w:t>
      </w:r>
    </w:p>
  </w:footnote>
  <w:footnote w:id="4300">
    <w:p>
      <w:pPr>
        <w:pStyle w:val="FootnoteText"/>
      </w:pPr>
      <w:r>
        <w:rPr>
          <w:rStyle w:val="FootnoteReference"/>
        </w:rPr>
        <w:footnoteRef/>
      </w:r>
      <w:r>
        <w:t xml:space="preserve"> Transliterated proper noun: Bethmarcaboth. Standard English equivalent: Bethmarcaboth. Source form: Bethmarcaboth. Greek form: βαιθμαχερεβ. Name meaning: house of bitterness wiped out.</w:t>
      </w:r>
    </w:p>
  </w:footnote>
  <w:footnote w:id="4301">
    <w:p>
      <w:pPr>
        <w:pStyle w:val="FootnoteText"/>
      </w:pPr>
      <w:r>
        <w:rPr>
          <w:rStyle w:val="FootnoteReference"/>
        </w:rPr>
        <w:footnoteRef/>
      </w:r>
      <w:r>
        <w:t xml:space="preserve"> Transliterated proper noun: Hazarsusah. Standard English equivalent: Hazarsusah. Source form: Hazarsusah. Greek form: σαρσουσιν. Name meaning: or susim, the hay-paunch of a horse.</w:t>
      </w:r>
    </w:p>
  </w:footnote>
  <w:footnote w:id="4302">
    <w:p>
      <w:pPr>
        <w:pStyle w:val="FootnoteText"/>
      </w:pPr>
      <w:r>
        <w:rPr>
          <w:rStyle w:val="FootnoteReference"/>
        </w:rPr>
        <w:footnoteRef/>
      </w:r>
      <w:r>
        <w:t xml:space="preserve"> Transliterated proper noun: Rimmon. Standard English equivalent: Rimmon. Source form: Rimmon. Greek form: ερεμμων. Name meaning: exalted; pomegranate.</w:t>
      </w:r>
    </w:p>
  </w:footnote>
  <w:footnote w:id="4303">
    <w:p>
      <w:pPr>
        <w:pStyle w:val="FootnoteText"/>
      </w:pPr>
      <w:r>
        <w:rPr>
          <w:rStyle w:val="FootnoteReference"/>
        </w:rPr>
        <w:footnoteRef/>
      </w:r>
      <w:r>
        <w:t xml:space="preserve"> Place name: Ether. Place-name meaning: Ether — talk. Source form: Ether. Greek form: εθερ.</w:t>
      </w:r>
    </w:p>
  </w:footnote>
  <w:footnote w:id="4304">
    <w:p>
      <w:pPr>
        <w:pStyle w:val="FootnoteText"/>
      </w:pPr>
      <w:r>
        <w:rPr>
          <w:rStyle w:val="FootnoteReference"/>
        </w:rPr>
        <w:footnoteRef/>
      </w:r>
      <w:r>
        <w:t xml:space="preserve"> Place name: Ashan. Place-name meaning: Ashan — smoke. Source form: Ashan. Greek form: ασαν.</w:t>
      </w:r>
    </w:p>
  </w:footnote>
  <w:footnote w:id="4305">
    <w:p>
      <w:pPr>
        <w:pStyle w:val="FootnoteText"/>
      </w:pPr>
      <w:r>
        <w:rPr>
          <w:rStyle w:val="FootnoteReference"/>
        </w:rPr>
        <w:footnoteRef/>
      </w:r>
      <w:r>
        <w:t xml:space="preserve"> Cross-references for "Ether": Josh 15:42.</w:t>
      </w:r>
    </w:p>
  </w:footnote>
  <w:footnote w:id="4306">
    <w:p>
      <w:pPr>
        <w:pStyle w:val="FootnoteText"/>
      </w:pPr>
      <w:r>
        <w:rPr>
          <w:rStyle w:val="FootnoteReference"/>
        </w:rPr>
        <w:footnoteRef/>
      </w:r>
      <w:r>
        <w:t xml:space="preserve"> Place name: Baalath-beer. Place-name meaning: Baalath-beer — mistress of the well. Source form: Baalath-beer. Greek form: βαμεθ.</w:t>
      </w:r>
    </w:p>
  </w:footnote>
  <w:footnote w:id="4307">
    <w:p>
      <w:pPr>
        <w:pStyle w:val="FootnoteText"/>
      </w:pPr>
      <w:r>
        <w:rPr>
          <w:rStyle w:val="FootnoteReference"/>
        </w:rPr>
        <w:footnoteRef/>
      </w:r>
      <w:r>
        <w:t xml:space="preserve"> Transliterated proper noun: Ramath. Standard English equivalent: Ramath. Source form: Ramath. Greek form: βαμεθ. Name meaning: raised; lofty.</w:t>
      </w:r>
    </w:p>
  </w:footnote>
  <w:footnote w:id="4308">
    <w:p>
      <w:pPr>
        <w:pStyle w:val="FootnoteText"/>
      </w:pPr>
      <w:r>
        <w:rPr>
          <w:rStyle w:val="FootnoteReference"/>
        </w:rPr>
        <w:footnoteRef/>
      </w:r>
      <w:r>
        <w:t xml:space="preserve"> Cross-references for "Ramath": 1Sam 30:27.</w:t>
      </w:r>
    </w:p>
  </w:footnote>
  <w:footnote w:id="4309">
    <w:p>
      <w:pPr>
        <w:pStyle w:val="FootnoteText"/>
      </w:pPr>
      <w:r>
        <w:rPr>
          <w:rStyle w:val="FootnoteReference"/>
        </w:rPr>
        <w:footnoteRef/>
      </w:r>
      <w:r>
        <w:t xml:space="preserve"> Translation note: Greek says share of sons of Judah became greater than theirs.</w:t>
      </w:r>
    </w:p>
  </w:footnote>
  <w:footnote w:id="4310">
    <w:p>
      <w:pPr>
        <w:pStyle w:val="FootnoteText"/>
      </w:pPr>
      <w:r>
        <w:rPr>
          <w:rStyle w:val="FootnoteReference"/>
        </w:rPr>
        <w:footnoteRef/>
      </w:r>
      <w:r>
        <w:t xml:space="preserve"> Cross-references for "third": Josh 18:6; Josh 18:11.</w:t>
      </w:r>
    </w:p>
  </w:footnote>
  <w:footnote w:id="4311">
    <w:p>
      <w:pPr>
        <w:pStyle w:val="FootnoteText"/>
      </w:pPr>
      <w:r>
        <w:rPr>
          <w:rStyle w:val="FootnoteReference"/>
        </w:rPr>
        <w:footnoteRef/>
      </w:r>
      <w:r>
        <w:t xml:space="preserve"> Place name: Sarid. Place-name meaning: Sarid — remaining; hand of a prince. Source form: Sarid. Greek form: εσται.</w:t>
      </w:r>
    </w:p>
  </w:footnote>
  <w:footnote w:id="4312">
    <w:p>
      <w:pPr>
        <w:pStyle w:val="FootnoteText"/>
      </w:pPr>
      <w:r>
        <w:rPr>
          <w:rStyle w:val="FootnoteReference"/>
        </w:rPr>
        <w:footnoteRef/>
      </w:r>
      <w:r>
        <w:t xml:space="preserve"> Transliterated proper noun: Maralah. Standard English equivalent: Maralah. Source form: Maralah. Greek form: μαραγελλα. Name meaning: sleep; a sacrifice of myrrh; ascension.</w:t>
      </w:r>
    </w:p>
  </w:footnote>
  <w:footnote w:id="4313">
    <w:p>
      <w:pPr>
        <w:pStyle w:val="FootnoteText"/>
      </w:pPr>
      <w:r>
        <w:rPr>
          <w:rStyle w:val="FootnoteReference"/>
        </w:rPr>
        <w:footnoteRef/>
      </w:r>
      <w:r>
        <w:t xml:space="preserve"> Place name: Eth-kazin. Place-name meaning: Eth-kazin — time/place of a prince. Source form: Eth-kazin. Greek form: εκειθεν.</w:t>
      </w:r>
    </w:p>
  </w:footnote>
  <w:footnote w:id="4314">
    <w:p>
      <w:pPr>
        <w:pStyle w:val="FootnoteText"/>
      </w:pPr>
      <w:r>
        <w:rPr>
          <w:rStyle w:val="FootnoteReference"/>
        </w:rPr>
        <w:footnoteRef/>
      </w:r>
      <w:r>
        <w:t xml:space="preserve"> Place name: Hannathon. Place-name meaning: Hannathon — the gift of grace. Source form: Hannathon. Greek form: αυτων.</w:t>
      </w:r>
    </w:p>
  </w:footnote>
  <w:footnote w:id="4315">
    <w:p>
      <w:pPr>
        <w:pStyle w:val="FootnoteText"/>
      </w:pPr>
      <w:r>
        <w:rPr>
          <w:rStyle w:val="FootnoteReference"/>
        </w:rPr>
        <w:footnoteRef/>
      </w:r>
      <w:r>
        <w:t xml:space="preserve"> Transliterated proper noun: Nahallal. Standard English equivalent: Nahallal. Source form: Nahallal. Greek form: ναβααλ. Name meaning: praised; bright.</w:t>
      </w:r>
    </w:p>
  </w:footnote>
  <w:footnote w:id="4316">
    <w:p>
      <w:pPr>
        <w:pStyle w:val="FootnoteText"/>
      </w:pPr>
      <w:r>
        <w:rPr>
          <w:rStyle w:val="FootnoteReference"/>
        </w:rPr>
        <w:footnoteRef/>
      </w:r>
      <w:r>
        <w:t xml:space="preserve"> Cross-references for "Shimron": Josh 11:1; Josh 12:20.</w:t>
      </w:r>
    </w:p>
  </w:footnote>
  <w:footnote w:id="4317">
    <w:p>
      <w:pPr>
        <w:pStyle w:val="FootnoteText"/>
      </w:pPr>
      <w:r>
        <w:rPr>
          <w:rStyle w:val="FootnoteReference"/>
        </w:rPr>
        <w:footnoteRef/>
      </w:r>
      <w:r>
        <w:t xml:space="preserve"> Cross-references for "Jezreel": 1Kgs 21:1; 1Kgs 21:15-16.</w:t>
      </w:r>
    </w:p>
  </w:footnote>
  <w:footnote w:id="4318">
    <w:p>
      <w:pPr>
        <w:pStyle w:val="FootnoteText"/>
      </w:pPr>
      <w:r>
        <w:rPr>
          <w:rStyle w:val="FootnoteReference"/>
        </w:rPr>
        <w:footnoteRef/>
      </w:r>
      <w:r>
        <w:t xml:space="preserve"> Place name: Chesulloth. Place-name meaning: Chesulloth — fearfulness. Source form: Chesulloth. Greek form: χασαλωθ.</w:t>
      </w:r>
    </w:p>
  </w:footnote>
  <w:footnote w:id="4319">
    <w:p>
      <w:pPr>
        <w:pStyle w:val="FootnoteText"/>
      </w:pPr>
      <w:r>
        <w:rPr>
          <w:rStyle w:val="FootnoteReference"/>
        </w:rPr>
        <w:footnoteRef/>
      </w:r>
      <w:r>
        <w:t xml:space="preserve"> Place name: Shunem. Place-name meaning: Shunem — their change; their sleep. Source form: Shunem. Greek form: σουναν.</w:t>
      </w:r>
    </w:p>
  </w:footnote>
  <w:footnote w:id="4320">
    <w:p>
      <w:pPr>
        <w:pStyle w:val="FootnoteText"/>
      </w:pPr>
      <w:r>
        <w:rPr>
          <w:rStyle w:val="FootnoteReference"/>
        </w:rPr>
        <w:footnoteRef/>
      </w:r>
      <w:r>
        <w:t xml:space="preserve"> Place name: Kishion. Place-name meaning: Kishion — hardness; soreness. Source form: Kishion. Greek form: κισων.</w:t>
      </w:r>
    </w:p>
  </w:footnote>
  <w:footnote w:id="4321">
    <w:p>
      <w:pPr>
        <w:pStyle w:val="FootnoteText"/>
      </w:pPr>
      <w:r>
        <w:rPr>
          <w:rStyle w:val="FootnoteReference"/>
        </w:rPr>
        <w:footnoteRef/>
      </w:r>
      <w:r>
        <w:t xml:space="preserve"> Place name: Tabor. Place-name meaning: Tabor — choice; purity; bruising. Source form: Tabor. Greek form: τα.</w:t>
      </w:r>
    </w:p>
  </w:footnote>
  <w:footnote w:id="4322">
    <w:p>
      <w:pPr>
        <w:pStyle w:val="FootnoteText"/>
      </w:pPr>
      <w:r>
        <w:rPr>
          <w:rStyle w:val="FootnoteReference"/>
        </w:rPr>
        <w:footnoteRef/>
      </w:r>
      <w:r>
        <w:t xml:space="preserve"> Cross-references for "Tabor": Josh 19:12; Judg 4:6.</w:t>
      </w:r>
    </w:p>
  </w:footnote>
  <w:footnote w:id="4323">
    <w:p>
      <w:pPr>
        <w:pStyle w:val="FootnoteText"/>
      </w:pPr>
      <w:r>
        <w:rPr>
          <w:rStyle w:val="FootnoteReference"/>
        </w:rPr>
        <w:footnoteRef/>
      </w:r>
      <w:r>
        <w:t xml:space="preserve"> Place name: Helkath. Place-name meaning: Helkath — portion; smoothness. Source form: Helkath. Greek form: ελεκεθ.</w:t>
      </w:r>
    </w:p>
  </w:footnote>
  <w:footnote w:id="4324">
    <w:p>
      <w:pPr>
        <w:pStyle w:val="FootnoteText"/>
      </w:pPr>
      <w:r>
        <w:rPr>
          <w:rStyle w:val="FootnoteReference"/>
        </w:rPr>
        <w:footnoteRef/>
      </w:r>
      <w:r>
        <w:t xml:space="preserve"> Place name: Hali. Place-name meaning: Hali — necklace; ornament. Source form: Hali. Greek form: και.</w:t>
      </w:r>
    </w:p>
  </w:footnote>
  <w:footnote w:id="4325">
    <w:p>
      <w:pPr>
        <w:pStyle w:val="FootnoteText"/>
      </w:pPr>
      <w:r>
        <w:rPr>
          <w:rStyle w:val="FootnoteReference"/>
        </w:rPr>
        <w:footnoteRef/>
      </w:r>
      <w:r>
        <w:t xml:space="preserve"> Place name: Beten. Place-name meaning: Beten — belly; hollow. Source form: Beten.</w:t>
      </w:r>
    </w:p>
  </w:footnote>
  <w:footnote w:id="4326">
    <w:p>
      <w:pPr>
        <w:pStyle w:val="FootnoteText"/>
      </w:pPr>
      <w:r>
        <w:rPr>
          <w:rStyle w:val="FootnoteReference"/>
        </w:rPr>
        <w:footnoteRef/>
      </w:r>
      <w:r>
        <w:t xml:space="preserve"> Cross-references for "Helkath": 2Sam 2:16.</w:t>
      </w:r>
    </w:p>
  </w:footnote>
  <w:footnote w:id="4327">
    <w:p>
      <w:pPr>
        <w:pStyle w:val="FootnoteText"/>
      </w:pPr>
      <w:r>
        <w:rPr>
          <w:rStyle w:val="FootnoteReference"/>
        </w:rPr>
        <w:footnoteRef/>
      </w:r>
      <w:r>
        <w:t xml:space="preserve"> Transliterated proper noun: Alammelech. Standard English equivalent: Alammelech. Source form: Alammelech. Greek form: αμιηλ. Name meaning: God is king.</w:t>
      </w:r>
    </w:p>
  </w:footnote>
  <w:footnote w:id="4328">
    <w:p>
      <w:pPr>
        <w:pStyle w:val="FootnoteText"/>
      </w:pPr>
      <w:r>
        <w:rPr>
          <w:rStyle w:val="FootnoteReference"/>
        </w:rPr>
        <w:footnoteRef/>
      </w:r>
      <w:r>
        <w:t xml:space="preserve"> Cross-references for "Carmel": 1Sam 15:12; 1Kgs 18:20.</w:t>
      </w:r>
    </w:p>
  </w:footnote>
  <w:footnote w:id="4329">
    <w:p>
      <w:pPr>
        <w:pStyle w:val="FootnoteText"/>
      </w:pPr>
      <w:r>
        <w:rPr>
          <w:rStyle w:val="FootnoteReference"/>
        </w:rPr>
        <w:footnoteRef/>
      </w:r>
      <w:r>
        <w:t xml:space="preserve"> Transliterated proper noun: Raab. Standard English equivalent: Rehob. Source form: Raab. Greek form: ρααβ. Name meaning: breadth; space; extent.</w:t>
      </w:r>
    </w:p>
  </w:footnote>
  <w:footnote w:id="4330">
    <w:p>
      <w:pPr>
        <w:pStyle w:val="FootnoteText"/>
      </w:pPr>
      <w:r>
        <w:rPr>
          <w:rStyle w:val="FootnoteReference"/>
        </w:rPr>
        <w:footnoteRef/>
      </w:r>
      <w:r>
        <w:t xml:space="preserve"> Place name: Hammon. Place-name meaning: Hammon — heat; the sun. Source form: Hammon.</w:t>
      </w:r>
    </w:p>
  </w:footnote>
  <w:footnote w:id="4331">
    <w:p>
      <w:pPr>
        <w:pStyle w:val="FootnoteText"/>
      </w:pPr>
      <w:r>
        <w:rPr>
          <w:rStyle w:val="FootnoteReference"/>
        </w:rPr>
        <w:footnoteRef/>
      </w:r>
      <w:r>
        <w:t xml:space="preserve"> Cross-references for "Rehob": Josh 19:30.</w:t>
      </w:r>
    </w:p>
  </w:footnote>
  <w:footnote w:id="4332">
    <w:p>
      <w:pPr>
        <w:pStyle w:val="FootnoteText"/>
      </w:pPr>
      <w:r>
        <w:rPr>
          <w:rStyle w:val="FootnoteReference"/>
        </w:rPr>
        <w:footnoteRef/>
      </w:r>
      <w:r>
        <w:t xml:space="preserve"> Transliterated proper noun: Tyrians. Standard English equivalent: Tyre. Source form: Tyrians. Greek form: τυριων. Name meaning: strength; rock; sharp.</w:t>
      </w:r>
    </w:p>
  </w:footnote>
  <w:footnote w:id="4333">
    <w:p>
      <w:pPr>
        <w:pStyle w:val="FootnoteText"/>
      </w:pPr>
      <w:r>
        <w:rPr>
          <w:rStyle w:val="FootnoteReference"/>
        </w:rPr>
        <w:footnoteRef/>
      </w:r>
      <w:r>
        <w:t xml:space="preserve"> Cross-references for "Aphek": Josh 12:18; Josh 13:4.</w:t>
      </w:r>
    </w:p>
  </w:footnote>
  <w:footnote w:id="4334">
    <w:p>
      <w:pPr>
        <w:pStyle w:val="FootnoteText"/>
      </w:pPr>
      <w:r>
        <w:rPr>
          <w:rStyle w:val="FootnoteReference"/>
        </w:rPr>
        <w:footnoteRef/>
      </w:r>
      <w:r>
        <w:t xml:space="preserve"> Translation note: Greek states the lot notice concisely. The translation keeps that brevity.</w:t>
      </w:r>
    </w:p>
  </w:footnote>
  <w:footnote w:id="4335">
    <w:p>
      <w:pPr>
        <w:pStyle w:val="FootnoteText"/>
      </w:pPr>
      <w:r>
        <w:rPr>
          <w:rStyle w:val="FootnoteReference"/>
        </w:rPr>
        <w:footnoteRef/>
      </w:r>
      <w:r>
        <w:t xml:space="preserve"> Place name: Moolam. Place-name meaning: Lakum — stopping place. Standard English equivalent: Lakum. Source form: Moolam. Greek form: μοολαμ.</w:t>
      </w:r>
    </w:p>
  </w:footnote>
  <w:footnote w:id="4336">
    <w:p>
      <w:pPr>
        <w:pStyle w:val="FootnoteText"/>
      </w:pPr>
      <w:r>
        <w:rPr>
          <w:rStyle w:val="FootnoteReference"/>
        </w:rPr>
        <w:footnoteRef/>
      </w:r>
      <w:r>
        <w:t xml:space="preserve"> Place name: Arme. Place-name meaning: Adami-nekeb — ruddy hollow; corrugated soil. Standard English equivalent: Adami-nekeb. Source form: Arme. Greek form: αρμε.</w:t>
      </w:r>
    </w:p>
  </w:footnote>
  <w:footnote w:id="4337">
    <w:p>
      <w:pPr>
        <w:pStyle w:val="FootnoteText"/>
      </w:pPr>
      <w:r>
        <w:rPr>
          <w:rStyle w:val="FootnoteReference"/>
        </w:rPr>
        <w:footnoteRef/>
      </w:r>
      <w:r>
        <w:t xml:space="preserve"> Place name: Nabok. Place-name meaning: Adami-nekeb — ruddy hollow; corrugated soil. Standard English equivalent: Adami-nekeb. Source form: Nabok. Greek form: ναβωκ.</w:t>
      </w:r>
    </w:p>
  </w:footnote>
  <w:footnote w:id="4338">
    <w:p>
      <w:pPr>
        <w:pStyle w:val="FootnoteText"/>
      </w:pPr>
      <w:r>
        <w:rPr>
          <w:rStyle w:val="FootnoteReference"/>
        </w:rPr>
        <w:footnoteRef/>
      </w:r>
      <w:r>
        <w:t xml:space="preserve"> Place name: Dodam. Place-name meaning: Adami — my man; red; earthy; human. Standard English equivalent: Adami. Source form: Dodam. Greek form: δωδαμ.</w:t>
      </w:r>
    </w:p>
  </w:footnote>
  <w:footnote w:id="4339">
    <w:p>
      <w:pPr>
        <w:pStyle w:val="FootnoteText"/>
      </w:pPr>
      <w:r>
        <w:rPr>
          <w:rStyle w:val="FootnoteReference"/>
        </w:rPr>
        <w:footnoteRef/>
      </w:r>
      <w:r>
        <w:t xml:space="preserve"> Translation note: Greek says Jordan from rising of sun.</w:t>
      </w:r>
    </w:p>
  </w:footnote>
  <w:footnote w:id="4340">
    <w:p>
      <w:pPr>
        <w:pStyle w:val="FootnoteText"/>
      </w:pPr>
      <w:r>
        <w:rPr>
          <w:rStyle w:val="FootnoteReference"/>
        </w:rPr>
        <w:footnoteRef/>
      </w:r>
      <w:r>
        <w:t xml:space="preserve"> Place name: Tyre. Place-name meaning: Tyre — strength; rock; sharp. Source form: Tyre. Greek form: τυρος.</w:t>
      </w:r>
    </w:p>
  </w:footnote>
  <w:footnote w:id="4341">
    <w:p>
      <w:pPr>
        <w:pStyle w:val="FootnoteText"/>
      </w:pPr>
      <w:r>
        <w:rPr>
          <w:rStyle w:val="FootnoteReference"/>
        </w:rPr>
        <w:footnoteRef/>
      </w:r>
      <w:r>
        <w:t xml:space="preserve"> Place name: Rakkath. Place-name meaning: Rakkath — empty; temple of the head. Source form: Rakkath. Greek form: δακεθ.</w:t>
      </w:r>
    </w:p>
  </w:footnote>
  <w:footnote w:id="4342">
    <w:p>
      <w:pPr>
        <w:pStyle w:val="FootnoteText"/>
      </w:pPr>
      <w:r>
        <w:rPr>
          <w:rStyle w:val="FootnoteReference"/>
        </w:rPr>
        <w:footnoteRef/>
      </w:r>
      <w:r>
        <w:t xml:space="preserve"> Transliterated proper noun: Kenereth. Standard English equivalent: Chinnereth. Source form: Kenereth. Greek form: κενερεθ. Name meaning: harps; lyres.</w:t>
      </w:r>
    </w:p>
  </w:footnote>
  <w:footnote w:id="4343">
    <w:p>
      <w:pPr>
        <w:pStyle w:val="FootnoteText"/>
      </w:pPr>
      <w:r>
        <w:rPr>
          <w:rStyle w:val="FootnoteReference"/>
        </w:rPr>
        <w:footnoteRef/>
      </w:r>
      <w:r>
        <w:t xml:space="preserve"> Place name: Adamah. Place-name meaning: Adamah — red earth; of blood. Source form: Adamah. Greek form: αρμαιθ.</w:t>
      </w:r>
    </w:p>
  </w:footnote>
  <w:footnote w:id="4344">
    <w:p>
      <w:pPr>
        <w:pStyle w:val="FootnoteText"/>
      </w:pPr>
      <w:r>
        <w:rPr>
          <w:rStyle w:val="FootnoteReference"/>
        </w:rPr>
        <w:footnoteRef/>
      </w:r>
      <w:r>
        <w:t xml:space="preserve"> Cross-references for "Hazor": Josh 11:1; Josh 11:20.</w:t>
      </w:r>
    </w:p>
  </w:footnote>
  <w:footnote w:id="4345">
    <w:p>
      <w:pPr>
        <w:pStyle w:val="FootnoteText"/>
      </w:pPr>
      <w:r>
        <w:rPr>
          <w:rStyle w:val="FootnoteReference"/>
        </w:rPr>
        <w:footnoteRef/>
      </w:r>
      <w:r>
        <w:t xml:space="preserve"> Transliterated proper noun: Kades. Standard English equivalent: Kedesh. Source form: Kades. Greek form: καδες. Name meaning: holy place; sanctuary.</w:t>
      </w:r>
    </w:p>
  </w:footnote>
  <w:footnote w:id="4346">
    <w:p>
      <w:pPr>
        <w:pStyle w:val="FootnoteText"/>
      </w:pPr>
      <w:r>
        <w:rPr>
          <w:rStyle w:val="FootnoteReference"/>
        </w:rPr>
        <w:footnoteRef/>
      </w:r>
      <w:r>
        <w:t xml:space="preserve"> Cross-references for "Kedesh": Josh 12:22; Josh 20:7.</w:t>
      </w:r>
    </w:p>
  </w:footnote>
  <w:footnote w:id="4347">
    <w:p>
      <w:pPr>
        <w:pStyle w:val="FootnoteText"/>
      </w:pPr>
      <w:r>
        <w:rPr>
          <w:rStyle w:val="FootnoteReference"/>
        </w:rPr>
        <w:footnoteRef/>
      </w:r>
      <w:r>
        <w:t xml:space="preserve"> Transliterated proper noun: Iron. Standard English equivalent: Iron. Source form: Iron. Name meaning: watchful; alert.</w:t>
      </w:r>
    </w:p>
  </w:footnote>
  <w:footnote w:id="4348">
    <w:p>
      <w:pPr>
        <w:pStyle w:val="FootnoteText"/>
      </w:pPr>
      <w:r>
        <w:rPr>
          <w:rStyle w:val="FootnoteReference"/>
        </w:rPr>
        <w:footnoteRef/>
      </w:r>
      <w:r>
        <w:t xml:space="preserve"> Transliterated proper noun: Migdalel. Standard English equivalent: Migdalel. Source form: Migdalel. Greek form: μεγαλα. Name meaning: tower of God.</w:t>
      </w:r>
    </w:p>
  </w:footnote>
  <w:footnote w:id="4349">
    <w:p>
      <w:pPr>
        <w:pStyle w:val="FootnoteText"/>
      </w:pPr>
      <w:r>
        <w:rPr>
          <w:rStyle w:val="FootnoteReference"/>
        </w:rPr>
        <w:footnoteRef/>
      </w:r>
      <w:r>
        <w:t xml:space="preserve"> Place name: Horem. Place-name meaning: Horem — an offering dedicated to God. Source form: Horem.</w:t>
      </w:r>
    </w:p>
  </w:footnote>
  <w:footnote w:id="4350">
    <w:p>
      <w:pPr>
        <w:pStyle w:val="FootnoteText"/>
      </w:pPr>
      <w:r>
        <w:rPr>
          <w:rStyle w:val="FootnoteReference"/>
        </w:rPr>
        <w:footnoteRef/>
      </w:r>
      <w:r>
        <w:t xml:space="preserve"> Place name: Zorah. Place-name meaning: Zorah — leprosy; scab; hornet. Source form: Zorah. Greek form: ορια.</w:t>
      </w:r>
    </w:p>
  </w:footnote>
  <w:footnote w:id="4351">
    <w:p>
      <w:pPr>
        <w:pStyle w:val="FootnoteText"/>
      </w:pPr>
      <w:r>
        <w:rPr>
          <w:rStyle w:val="FootnoteReference"/>
        </w:rPr>
        <w:footnoteRef/>
      </w:r>
      <w:r>
        <w:t xml:space="preserve"> Cross-references for "Zorah": Josh 15:33; Judg 13:2.</w:t>
      </w:r>
    </w:p>
  </w:footnote>
  <w:footnote w:id="4352">
    <w:p>
      <w:pPr>
        <w:pStyle w:val="FootnoteText"/>
      </w:pPr>
      <w:r>
        <w:rPr>
          <w:rStyle w:val="FootnoteReference"/>
        </w:rPr>
        <w:footnoteRef/>
      </w:r>
      <w:r>
        <w:t xml:space="preserve"> Cross-references for "Thimnathah": Gen 38:12; Judg 14:1-2.</w:t>
      </w:r>
    </w:p>
  </w:footnote>
  <w:footnote w:id="4353">
    <w:p>
      <w:pPr>
        <w:pStyle w:val="FootnoteText"/>
      </w:pPr>
      <w:r>
        <w:rPr>
          <w:rStyle w:val="FootnoteReference"/>
        </w:rPr>
        <w:footnoteRef/>
      </w:r>
      <w:r>
        <w:t xml:space="preserve"> Personal name: Azor. Personal-name meaning: Azor — a helper; a court. Source form: Azor.</w:t>
      </w:r>
    </w:p>
  </w:footnote>
  <w:footnote w:id="4354">
    <w:p>
      <w:pPr>
        <w:pStyle w:val="FootnoteText"/>
      </w:pPr>
      <w:r>
        <w:rPr>
          <w:rStyle w:val="FootnoteReference"/>
        </w:rPr>
        <w:footnoteRef/>
      </w:r>
      <w:r>
        <w:t xml:space="preserve"> Transliterated proper noun: Beneberak. Standard English equivalent: Beneberak. Source form: Beneberak. Greek form: βαναιβακατ. Name meaning: sons of lightning.</w:t>
      </w:r>
    </w:p>
  </w:footnote>
  <w:footnote w:id="4355">
    <w:p>
      <w:pPr>
        <w:pStyle w:val="FootnoteText"/>
      </w:pPr>
      <w:r>
        <w:rPr>
          <w:rStyle w:val="FootnoteReference"/>
        </w:rPr>
        <w:footnoteRef/>
      </w:r>
      <w:r>
        <w:t xml:space="preserve"> Transliterated proper noun: Gathrimmon. Standard English equivalent: Gathrimmon. Source form: Gathrimmon. Greek form: γεθρεμμων. Name meaning: the high wine-press.</w:t>
      </w:r>
    </w:p>
  </w:footnote>
  <w:footnote w:id="4356">
    <w:p>
      <w:pPr>
        <w:pStyle w:val="FootnoteText"/>
      </w:pPr>
      <w:r>
        <w:rPr>
          <w:rStyle w:val="FootnoteReference"/>
        </w:rPr>
        <w:footnoteRef/>
      </w:r>
      <w:r>
        <w:t xml:space="preserve"> Cross-references for "Gathrimmon": Josh 21:24.</w:t>
      </w:r>
    </w:p>
  </w:footnote>
  <w:footnote w:id="4357">
    <w:p>
      <w:pPr>
        <w:pStyle w:val="FootnoteText"/>
      </w:pPr>
      <w:r>
        <w:rPr>
          <w:rStyle w:val="FootnoteReference"/>
        </w:rPr>
        <w:footnoteRef/>
      </w:r>
      <w:r>
        <w:t xml:space="preserve"> Place name: Joppa. Place-name meaning: Joppa — beauty; comeliness. Source form: Joppa. Greek form: ιοππης.</w:t>
      </w:r>
    </w:p>
  </w:footnote>
  <w:footnote w:id="4358">
    <w:p>
      <w:pPr>
        <w:pStyle w:val="FootnoteText"/>
      </w:pPr>
      <w:r>
        <w:rPr>
          <w:rStyle w:val="FootnoteReference"/>
        </w:rPr>
        <w:footnoteRef/>
      </w:r>
      <w:r>
        <w:t xml:space="preserve"> MT/LXX note: Greek appends the Dan-Amorite pressure notice here rather than the MT Leshem notice.</w:t>
      </w:r>
    </w:p>
  </w:footnote>
  <w:footnote w:id="4359">
    <w:p>
      <w:pPr>
        <w:pStyle w:val="FootnoteText"/>
      </w:pPr>
      <w:r>
        <w:rPr>
          <w:rStyle w:val="FootnoteReference"/>
        </w:rPr>
        <w:footnoteRef/>
      </w:r>
      <w:r>
        <w:t xml:space="preserve"> Translation note: Greek line has longer addition and Lasendak here. Current line keeps that form.</w:t>
      </w:r>
    </w:p>
  </w:footnote>
  <w:footnote w:id="4360">
    <w:p>
      <w:pPr>
        <w:pStyle w:val="FootnoteText"/>
      </w:pPr>
      <w:r>
        <w:rPr>
          <w:rStyle w:val="FootnoteReference"/>
        </w:rPr>
        <w:footnoteRef/>
      </w:r>
      <w:r>
        <w:t xml:space="preserve"> Cross-references for "gave": Ezek 45:7-8.</w:t>
      </w:r>
    </w:p>
  </w:footnote>
  <w:footnote w:id="4361">
    <w:p>
      <w:pPr>
        <w:pStyle w:val="FootnoteText"/>
      </w:pPr>
      <w:r>
        <w:rPr>
          <w:rStyle w:val="FootnoteReference"/>
        </w:rPr>
        <w:footnoteRef/>
      </w:r>
      <w:r>
        <w:t xml:space="preserve"> Transliterated proper noun: Thamnasarach. Standard English equivalent: Timnath-serah. Source form: Thamnasarach. Greek form: θαμνασαραχ. Name meaning: portion of abundance; Joshua's city.</w:t>
      </w:r>
    </w:p>
  </w:footnote>
  <w:footnote w:id="4362">
    <w:p>
      <w:pPr>
        <w:pStyle w:val="FootnoteText"/>
      </w:pPr>
      <w:r>
        <w:rPr>
          <w:rStyle w:val="FootnoteReference"/>
        </w:rPr>
        <w:footnoteRef/>
      </w:r>
      <w:r>
        <w:t xml:space="preserve"> Cross-references for "These are": Num 34:17-29; Josh 14:1.</w:t>
      </w:r>
    </w:p>
  </w:footnote>
  <w:footnote w:id="4363">
    <w:p>
      <w:pPr>
        <w:pStyle w:val="FootnoteText"/>
      </w:pPr>
      <w:r>
        <w:rPr>
          <w:rStyle w:val="FootnoteReference"/>
        </w:rPr>
        <w:footnoteRef/>
      </w:r>
      <w:r>
        <w:t xml:space="preserve"> Translation note: Greek says divisions here. Current line keeps that wording.</w:t>
      </w:r>
    </w:p>
  </w:footnote>
  <w:footnote w:id="4364">
    <w:p>
      <w:pPr>
        <w:pStyle w:val="FootnoteText"/>
      </w:pPr>
      <w:r>
        <w:rPr>
          <w:rStyle w:val="FootnoteReference"/>
        </w:rPr>
        <w:footnoteRef/>
      </w:r>
      <w:r>
        <w:t xml:space="preserve"> Cross-references for "Appoint": Exod 21:13-14; Num 35:6.</w:t>
      </w:r>
    </w:p>
  </w:footnote>
  <w:footnote w:id="4365">
    <w:p>
      <w:pPr>
        <w:pStyle w:val="FootnoteText"/>
      </w:pPr>
      <w:r>
        <w:rPr>
          <w:rStyle w:val="FootnoteReference"/>
        </w:rPr>
        <w:footnoteRef/>
      </w:r>
      <w:r>
        <w:t xml:space="preserve"> Cross-references for "Kedesh": Josh 21:32; 1Chr 6:76.</w:t>
      </w:r>
    </w:p>
  </w:footnote>
  <w:footnote w:id="4366">
    <w:p>
      <w:pPr>
        <w:pStyle w:val="FootnoteText"/>
      </w:pPr>
      <w:r>
        <w:rPr>
          <w:rStyle w:val="FootnoteReference"/>
        </w:rPr>
        <w:footnoteRef/>
      </w:r>
      <w:r>
        <w:t xml:space="preserve"> Cross-references for "Ramoth": Josh 21:38; 1Kgs 22:3-4.</w:t>
      </w:r>
    </w:p>
  </w:footnote>
  <w:footnote w:id="4367">
    <w:p>
      <w:pPr>
        <w:pStyle w:val="FootnoteText"/>
      </w:pPr>
      <w:r>
        <w:rPr>
          <w:rStyle w:val="FootnoteReference"/>
        </w:rPr>
        <w:footnoteRef/>
      </w:r>
      <w:r>
        <w:t xml:space="preserve"> Translation note: Greek keeps the Bashanitis form here. Current line preserves it.</w:t>
      </w:r>
    </w:p>
  </w:footnote>
  <w:footnote w:id="4368">
    <w:p>
      <w:pPr>
        <w:pStyle w:val="FootnoteText"/>
      </w:pPr>
      <w:r>
        <w:rPr>
          <w:rStyle w:val="FootnoteReference"/>
        </w:rPr>
        <w:footnoteRef/>
      </w:r>
      <w:r>
        <w:t xml:space="preserve"> Cross-references for "the heads": Exod 6:14; Exod 6:25.</w:t>
      </w:r>
    </w:p>
  </w:footnote>
  <w:footnote w:id="4369">
    <w:p>
      <w:pPr>
        <w:pStyle w:val="FootnoteText"/>
      </w:pPr>
      <w:r>
        <w:rPr>
          <w:rStyle w:val="FootnoteReference"/>
        </w:rPr>
        <w:footnoteRef/>
      </w:r>
      <w:r>
        <w:t xml:space="preserve"> Cross-references for "Shiloh": Josh 18:1.</w:t>
      </w:r>
    </w:p>
  </w:footnote>
  <w:footnote w:id="4370">
    <w:p>
      <w:pPr>
        <w:pStyle w:val="FootnoteText"/>
      </w:pPr>
      <w:r>
        <w:rPr>
          <w:rStyle w:val="FootnoteReference"/>
        </w:rPr>
        <w:footnoteRef/>
      </w:r>
      <w:r>
        <w:t xml:space="preserve"> Cross-references for "the tribe": Num 35:8.</w:t>
      </w:r>
    </w:p>
  </w:footnote>
  <w:footnote w:id="4371">
    <w:p>
      <w:pPr>
        <w:pStyle w:val="FootnoteText"/>
      </w:pPr>
      <w:r>
        <w:rPr>
          <w:rStyle w:val="FootnoteReference"/>
        </w:rPr>
        <w:footnoteRef/>
      </w:r>
      <w:r>
        <w:t xml:space="preserve"> Cross-references for "by lot": Num 33:54; Num 35:3.</w:t>
      </w:r>
    </w:p>
  </w:footnote>
  <w:footnote w:id="4372">
    <w:p>
      <w:pPr>
        <w:pStyle w:val="FootnoteText"/>
      </w:pPr>
      <w:r>
        <w:rPr>
          <w:rStyle w:val="FootnoteReference"/>
        </w:rPr>
        <w:footnoteRef/>
      </w:r>
      <w:r>
        <w:t xml:space="preserve"> Cross-references for "the city of Arba": Gen 23:2; Gen 35:27.</w:t>
      </w:r>
    </w:p>
  </w:footnote>
  <w:footnote w:id="4373">
    <w:p>
      <w:pPr>
        <w:pStyle w:val="FootnoteText"/>
      </w:pPr>
      <w:r>
        <w:rPr>
          <w:rStyle w:val="FootnoteReference"/>
        </w:rPr>
        <w:footnoteRef/>
      </w:r>
      <w:r>
        <w:t xml:space="preserve"> Cross-references for "they gave": 1Chr 6:56.</w:t>
      </w:r>
    </w:p>
  </w:footnote>
  <w:footnote w:id="4374">
    <w:p>
      <w:pPr>
        <w:pStyle w:val="FootnoteText"/>
      </w:pPr>
      <w:r>
        <w:rPr>
          <w:rStyle w:val="FootnoteReference"/>
        </w:rPr>
        <w:footnoteRef/>
      </w:r>
      <w:r>
        <w:t xml:space="preserve"> Place name: Ailom. Place-name meaning: Aijalon — a chain; strength; a stag. Standard English equivalent: Aijalon. Source form: Ailom. Greek form: αιλωμ.</w:t>
      </w:r>
    </w:p>
  </w:footnote>
  <w:footnote w:id="4375">
    <w:p>
      <w:pPr>
        <w:pStyle w:val="FootnoteText"/>
      </w:pPr>
      <w:r>
        <w:rPr>
          <w:rStyle w:val="FootnoteReference"/>
        </w:rPr>
        <w:footnoteRef/>
      </w:r>
      <w:r>
        <w:t xml:space="preserve"> Place name: Eshtemoa. Place-name meaning: Eshtemoa — the bosom of a woman. Source form: Eshtemoa. Greek form: τεμα.</w:t>
      </w:r>
    </w:p>
  </w:footnote>
  <w:footnote w:id="4376">
    <w:p>
      <w:pPr>
        <w:pStyle w:val="FootnoteText"/>
      </w:pPr>
      <w:r>
        <w:rPr>
          <w:rStyle w:val="FootnoteReference"/>
        </w:rPr>
        <w:footnoteRef/>
      </w:r>
      <w:r>
        <w:t xml:space="preserve"> Cross-references for "Eshtemoa": Josh 15:50.</w:t>
      </w:r>
    </w:p>
  </w:footnote>
  <w:footnote w:id="4377">
    <w:p>
      <w:pPr>
        <w:pStyle w:val="FootnoteText"/>
      </w:pPr>
      <w:r>
        <w:rPr>
          <w:rStyle w:val="FootnoteReference"/>
        </w:rPr>
        <w:footnoteRef/>
      </w:r>
      <w:r>
        <w:t xml:space="preserve"> Cross-references for "Debir": Josh 12:13; Josh 15:49.</w:t>
      </w:r>
    </w:p>
  </w:footnote>
  <w:footnote w:id="4378">
    <w:p>
      <w:pPr>
        <w:pStyle w:val="FootnoteText"/>
      </w:pPr>
      <w:r>
        <w:rPr>
          <w:rStyle w:val="FootnoteReference"/>
        </w:rPr>
        <w:footnoteRef/>
      </w:r>
      <w:r>
        <w:t xml:space="preserve"> Cross-references for "Gibeon": Josh 9:3; Josh 18:25.</w:t>
      </w:r>
    </w:p>
  </w:footnote>
  <w:footnote w:id="4379">
    <w:p>
      <w:pPr>
        <w:pStyle w:val="FootnoteText"/>
      </w:pPr>
      <w:r>
        <w:rPr>
          <w:rStyle w:val="FootnoteReference"/>
        </w:rPr>
        <w:footnoteRef/>
      </w:r>
      <w:r>
        <w:t xml:space="preserve"> Transliterated proper noun: Anathoth. Standard English equivalent: Anathoth. Source form: Anathoth. Greek form: αναθωθ. Name meaning: answer; song; poverty.</w:t>
      </w:r>
    </w:p>
  </w:footnote>
  <w:footnote w:id="4380">
    <w:p>
      <w:pPr>
        <w:pStyle w:val="FootnoteText"/>
      </w:pPr>
      <w:r>
        <w:rPr>
          <w:rStyle w:val="FootnoteReference"/>
        </w:rPr>
        <w:footnoteRef/>
      </w:r>
      <w:r>
        <w:t xml:space="preserve"> Cross-references for "Anathoth": 1Kgs 2:26; Isa 10:30.</w:t>
      </w:r>
    </w:p>
  </w:footnote>
  <w:footnote w:id="4381">
    <w:p>
      <w:pPr>
        <w:pStyle w:val="FootnoteText"/>
      </w:pPr>
      <w:r>
        <w:rPr>
          <w:rStyle w:val="FootnoteReference"/>
        </w:rPr>
        <w:footnoteRef/>
      </w:r>
      <w:r>
        <w:t xml:space="preserve"> Cross-references for "Shechem": Gen 33:19; Josh 20:7.</w:t>
      </w:r>
    </w:p>
  </w:footnote>
  <w:footnote w:id="4382">
    <w:p>
      <w:pPr>
        <w:pStyle w:val="FootnoteText"/>
      </w:pPr>
      <w:r>
        <w:rPr>
          <w:rStyle w:val="FootnoteReference"/>
        </w:rPr>
        <w:footnoteRef/>
      </w:r>
      <w:r>
        <w:t xml:space="preserve"> Place name: Kibzaim. Place-name meaning: Kibzaim — congregation. Source form: Kibzaim. Greek form: καβσαιμ.</w:t>
      </w:r>
    </w:p>
  </w:footnote>
  <w:footnote w:id="4383">
    <w:p>
      <w:pPr>
        <w:pStyle w:val="FootnoteText"/>
      </w:pPr>
      <w:r>
        <w:rPr>
          <w:rStyle w:val="FootnoteReference"/>
        </w:rPr>
        <w:footnoteRef/>
      </w:r>
      <w:r>
        <w:t xml:space="preserve"> Cross-references for "Bethhoron": Josh 16:3; Josh 16:5.</w:t>
      </w:r>
    </w:p>
  </w:footnote>
  <w:footnote w:id="4384">
    <w:p>
      <w:pPr>
        <w:pStyle w:val="FootnoteText"/>
      </w:pPr>
      <w:r>
        <w:rPr>
          <w:rStyle w:val="FootnoteReference"/>
        </w:rPr>
        <w:footnoteRef/>
      </w:r>
      <w:r>
        <w:t xml:space="preserve"> Place name: Eltekeh. Place-name meaning: Eltekeh — of grace or mercy. Source form: Eltekeh. Greek form: ελκωθαιμ.</w:t>
      </w:r>
    </w:p>
  </w:footnote>
  <w:footnote w:id="4385">
    <w:p>
      <w:pPr>
        <w:pStyle w:val="FootnoteText"/>
      </w:pPr>
      <w:r>
        <w:rPr>
          <w:rStyle w:val="FootnoteReference"/>
        </w:rPr>
        <w:footnoteRef/>
      </w:r>
      <w:r>
        <w:t xml:space="preserve"> Place name: Gibbethon. Place-name meaning: Gibbethon — a back; a high house. Source form: Gibbethon. Greek form: γεθεδαν.</w:t>
      </w:r>
    </w:p>
  </w:footnote>
  <w:footnote w:id="4386">
    <w:p>
      <w:pPr>
        <w:pStyle w:val="FootnoteText"/>
      </w:pPr>
      <w:r>
        <w:rPr>
          <w:rStyle w:val="FootnoteReference"/>
        </w:rPr>
        <w:footnoteRef/>
      </w:r>
      <w:r>
        <w:t xml:space="preserve"> Cross-references for "Eltekeh": Josh 19:44-45.</w:t>
      </w:r>
    </w:p>
  </w:footnote>
  <w:footnote w:id="4387">
    <w:p>
      <w:pPr>
        <w:pStyle w:val="FootnoteText"/>
      </w:pPr>
      <w:r>
        <w:rPr>
          <w:rStyle w:val="FootnoteReference"/>
        </w:rPr>
        <w:footnoteRef/>
      </w:r>
      <w:r>
        <w:t xml:space="preserve"> Cross-references for "Tanach": Josh 17:11; Judg 5:19.</w:t>
      </w:r>
    </w:p>
  </w:footnote>
  <w:footnote w:id="4388">
    <w:p>
      <w:pPr>
        <w:pStyle w:val="FootnoteText"/>
      </w:pPr>
      <w:r>
        <w:rPr>
          <w:rStyle w:val="FootnoteReference"/>
        </w:rPr>
        <w:footnoteRef/>
      </w:r>
      <w:r>
        <w:t xml:space="preserve"> Cross-references for "Golan": Deut 1:4; Deut 4:43.</w:t>
      </w:r>
    </w:p>
  </w:footnote>
  <w:footnote w:id="4389">
    <w:p>
      <w:pPr>
        <w:pStyle w:val="FootnoteText"/>
      </w:pPr>
      <w:r>
        <w:rPr>
          <w:rStyle w:val="FootnoteReference"/>
        </w:rPr>
        <w:footnoteRef/>
      </w:r>
      <w:r>
        <w:t xml:space="preserve"> Translation note: Greek repeats set-apart wording for the city lands here. Current line keeps that pattern.</w:t>
      </w:r>
    </w:p>
  </w:footnote>
  <w:footnote w:id="4390">
    <w:p>
      <w:pPr>
        <w:pStyle w:val="FootnoteText"/>
      </w:pPr>
      <w:r>
        <w:rPr>
          <w:rStyle w:val="FootnoteReference"/>
        </w:rPr>
        <w:footnoteRef/>
      </w:r>
      <w:r>
        <w:t xml:space="preserve"> Transliterated proper noun: Dabareh. Standard English equivalent: Dabareh. Source form: Dabareh. Greek form: δεββα. Name meaning: the word; the thing; a bee; obedient.</w:t>
      </w:r>
    </w:p>
  </w:footnote>
  <w:footnote w:id="4391">
    <w:p>
      <w:pPr>
        <w:pStyle w:val="FootnoteText"/>
      </w:pPr>
      <w:r>
        <w:rPr>
          <w:rStyle w:val="FootnoteReference"/>
        </w:rPr>
        <w:footnoteRef/>
      </w:r>
      <w:r>
        <w:t xml:space="preserve"> Cross-references for "Dabareh": Josh 19:12; 1Chr 6:72-73.</w:t>
      </w:r>
    </w:p>
  </w:footnote>
  <w:footnote w:id="4392">
    <w:p>
      <w:pPr>
        <w:pStyle w:val="FootnoteText"/>
      </w:pPr>
      <w:r>
        <w:rPr>
          <w:rStyle w:val="FootnoteReference"/>
        </w:rPr>
        <w:footnoteRef/>
      </w:r>
      <w:r>
        <w:t xml:space="preserve"> Transliterated proper noun: Abdon. Standard English equivalent: Abdon. Source form: Abdon. Greek form: δαββων. Name meaning: servant; cloud of judgment.</w:t>
      </w:r>
    </w:p>
  </w:footnote>
  <w:footnote w:id="4393">
    <w:p>
      <w:pPr>
        <w:pStyle w:val="FootnoteText"/>
      </w:pPr>
      <w:r>
        <w:rPr>
          <w:rStyle w:val="FootnoteReference"/>
        </w:rPr>
        <w:footnoteRef/>
      </w:r>
      <w:r>
        <w:t xml:space="preserve"> Transliterated proper noun: Chelkath. Standard English equivalent: Helkath. Source form: Chelkath. Greek form: χελκατ. Name meaning: portion; smoothness.</w:t>
      </w:r>
    </w:p>
  </w:footnote>
  <w:footnote w:id="4394">
    <w:p>
      <w:pPr>
        <w:pStyle w:val="FootnoteText"/>
      </w:pPr>
      <w:r>
        <w:rPr>
          <w:rStyle w:val="FootnoteReference"/>
        </w:rPr>
        <w:footnoteRef/>
      </w:r>
      <w:r>
        <w:t xml:space="preserve"> Transliterated proper noun: Raab. Standard English equivalent: Rehob. Source form: Raab. Greek form: ρααβ. Name meaning: breadth; space; extent.</w:t>
      </w:r>
    </w:p>
  </w:footnote>
  <w:footnote w:id="4395">
    <w:p>
      <w:pPr>
        <w:pStyle w:val="FootnoteText"/>
      </w:pPr>
      <w:r>
        <w:rPr>
          <w:rStyle w:val="FootnoteReference"/>
        </w:rPr>
        <w:footnoteRef/>
      </w:r>
      <w:r>
        <w:t xml:space="preserve"> Cross-references for "Rehob": Num 13:21; Judg 1:31.</w:t>
      </w:r>
    </w:p>
  </w:footnote>
  <w:footnote w:id="4396">
    <w:p>
      <w:pPr>
        <w:pStyle w:val="FootnoteText"/>
      </w:pPr>
      <w:r>
        <w:rPr>
          <w:rStyle w:val="FootnoteReference"/>
        </w:rPr>
        <w:footnoteRef/>
      </w:r>
      <w:r>
        <w:t xml:space="preserve"> Cross-references for "Kedesh": Josh 19:37; Josh 20:7.</w:t>
      </w:r>
    </w:p>
  </w:footnote>
  <w:footnote w:id="4397">
    <w:p>
      <w:pPr>
        <w:pStyle w:val="FootnoteText"/>
      </w:pPr>
      <w:r>
        <w:rPr>
          <w:rStyle w:val="FootnoteReference"/>
        </w:rPr>
        <w:footnoteRef/>
      </w:r>
      <w:r>
        <w:t xml:space="preserve"> Place name: Kartan. Place-name meaning: Kartan — town; double city. Source form: Kartan. Greek form: και.</w:t>
      </w:r>
    </w:p>
  </w:footnote>
  <w:footnote w:id="4398">
    <w:p>
      <w:pPr>
        <w:pStyle w:val="FootnoteText"/>
      </w:pPr>
      <w:r>
        <w:rPr>
          <w:rStyle w:val="FootnoteReference"/>
        </w:rPr>
        <w:footnoteRef/>
      </w:r>
      <w:r>
        <w:t xml:space="preserve"> Cross-references for "Ramoth": Josh 20:8; 1Kgs 22:3.</w:t>
      </w:r>
    </w:p>
  </w:footnote>
  <w:footnote w:id="4399">
    <w:p>
      <w:pPr>
        <w:pStyle w:val="FootnoteText"/>
      </w:pPr>
      <w:r>
        <w:rPr>
          <w:rStyle w:val="FootnoteReference"/>
        </w:rPr>
        <w:footnoteRef/>
      </w:r>
      <w:r>
        <w:t xml:space="preserve"> Cross-references for "Heshbon": Num 21:26-30; Num 32:37.</w:t>
      </w:r>
    </w:p>
  </w:footnote>
  <w:footnote w:id="4400">
    <w:p>
      <w:pPr>
        <w:pStyle w:val="FootnoteText"/>
      </w:pPr>
      <w:r>
        <w:rPr>
          <w:rStyle w:val="FootnoteReference"/>
        </w:rPr>
        <w:footnoteRef/>
      </w:r>
      <w:r>
        <w:t xml:space="preserve"> Cross-references for "forty": Num 26:62.</w:t>
      </w:r>
    </w:p>
  </w:footnote>
  <w:footnote w:id="4401">
    <w:p>
      <w:pPr>
        <w:pStyle w:val="FootnoteText"/>
      </w:pPr>
      <w:r>
        <w:rPr>
          <w:rStyle w:val="FootnoteReference"/>
        </w:rPr>
        <w:footnoteRef/>
      </w:r>
      <w:r>
        <w:t xml:space="preserve"> Translation note: Greek tradition here preserves a much longer notice than the clipped Brenton line. Current rendering keeps that expansion.</w:t>
      </w:r>
    </w:p>
  </w:footnote>
  <w:footnote w:id="4402">
    <w:p>
      <w:pPr>
        <w:pStyle w:val="FootnoteText"/>
      </w:pPr>
      <w:r>
        <w:rPr>
          <w:rStyle w:val="FootnoteReference"/>
        </w:rPr>
        <w:footnoteRef/>
      </w:r>
      <w:r>
        <w:t xml:space="preserve"> Cross-references for "Joshua": Num 32:18-33; Deut 29:7-8.</w:t>
      </w:r>
    </w:p>
  </w:footnote>
  <w:footnote w:id="4403">
    <w:p>
      <w:pPr>
        <w:pStyle w:val="FootnoteText"/>
      </w:pPr>
      <w:r>
        <w:rPr>
          <w:rStyle w:val="FootnoteReference"/>
        </w:rPr>
        <w:footnoteRef/>
      </w:r>
      <w:r>
        <w:t xml:space="preserve"> Cross-references for "obeyed": Josh 1:12-18.</w:t>
      </w:r>
    </w:p>
  </w:footnote>
  <w:footnote w:id="4404">
    <w:p>
      <w:pPr>
        <w:pStyle w:val="FootnoteText"/>
      </w:pPr>
      <w:r>
        <w:rPr>
          <w:rStyle w:val="FootnoteReference"/>
        </w:rPr>
        <w:footnoteRef/>
      </w:r>
      <w:r>
        <w:t xml:space="preserve"> Translation note: Greek says houses here rather than tents. The translation keeps that wording.</w:t>
      </w:r>
    </w:p>
  </w:footnote>
  <w:footnote w:id="4405">
    <w:p>
      <w:pPr>
        <w:pStyle w:val="FootnoteText"/>
      </w:pPr>
      <w:r>
        <w:rPr>
          <w:rStyle w:val="FootnoteReference"/>
        </w:rPr>
        <w:footnoteRef/>
      </w:r>
      <w:r>
        <w:t xml:space="preserve"> Cross-references for "take": Exod 15:26; Deut 4:1-2.</w:t>
      </w:r>
    </w:p>
  </w:footnote>
  <w:footnote w:id="4406">
    <w:p>
      <w:pPr>
        <w:pStyle w:val="FootnoteText"/>
      </w:pPr>
      <w:r>
        <w:rPr>
          <w:rStyle w:val="FootnoteReference"/>
        </w:rPr>
        <w:footnoteRef/>
      </w:r>
      <w:r>
        <w:t xml:space="preserve"> Translation note: The Greek uses attachment-language, not mere generic obedience. Manual Logos export supports keeping the stronger cling-to-him wording visible.</w:t>
      </w:r>
    </w:p>
  </w:footnote>
  <w:footnote w:id="4407">
    <w:p>
      <w:pPr>
        <w:pStyle w:val="FootnoteText"/>
      </w:pPr>
      <w:r>
        <w:rPr>
          <w:rStyle w:val="FootnoteReference"/>
        </w:rPr>
        <w:footnoteRef/>
      </w:r>
      <w:r>
        <w:t xml:space="preserve"> Translation note: Greek uses a verb of close attachment. The rendering cling keeps that concrete sense while remaining natural English.</w:t>
      </w:r>
    </w:p>
  </w:footnote>
  <w:footnote w:id="4408">
    <w:p>
      <w:pPr>
        <w:pStyle w:val="FootnoteText"/>
      </w:pPr>
      <w:r>
        <w:rPr>
          <w:rStyle w:val="FootnoteReference"/>
        </w:rPr>
        <w:footnoteRef/>
      </w:r>
      <w:r>
        <w:t xml:space="preserve"> Translation note: Greek says beyond the Jordan by the sea.</w:t>
      </w:r>
    </w:p>
  </w:footnote>
  <w:footnote w:id="4409">
    <w:p>
      <w:pPr>
        <w:pStyle w:val="FootnoteText"/>
      </w:pPr>
      <w:r>
        <w:rPr>
          <w:rStyle w:val="FootnoteReference"/>
        </w:rPr>
        <w:footnoteRef/>
      </w:r>
      <w:r>
        <w:t xml:space="preserve"> Translation note: Greek says they divided the plunder of their enemies with their brothers.</w:t>
      </w:r>
    </w:p>
  </w:footnote>
  <w:footnote w:id="4410">
    <w:p>
      <w:pPr>
        <w:pStyle w:val="FootnoteText"/>
      </w:pPr>
      <w:r>
        <w:rPr>
          <w:rStyle w:val="FootnoteReference"/>
        </w:rPr>
        <w:footnoteRef/>
      </w:r>
      <w:r>
        <w:t xml:space="preserve"> Cross-references for "built": Gen 28:18; Gen 31:46-52.</w:t>
      </w:r>
    </w:p>
  </w:footnote>
  <w:footnote w:id="4411">
    <w:p>
      <w:pPr>
        <w:pStyle w:val="FootnoteText"/>
      </w:pPr>
      <w:r>
        <w:rPr>
          <w:rStyle w:val="FootnoteReference"/>
        </w:rPr>
        <w:footnoteRef/>
      </w:r>
      <w:r>
        <w:t xml:space="preserve"> Translation note: Greek says a great altar to behold.</w:t>
      </w:r>
    </w:p>
  </w:footnote>
  <w:footnote w:id="4412">
    <w:p>
      <w:pPr>
        <w:pStyle w:val="FootnoteText"/>
      </w:pPr>
      <w:r>
        <w:rPr>
          <w:rStyle w:val="FootnoteReference"/>
        </w:rPr>
        <w:footnoteRef/>
      </w:r>
      <w:r>
        <w:t xml:space="preserve"> Cross-references for "heard": Lev 17:8-9; Deut 12:5-7.</w:t>
      </w:r>
    </w:p>
  </w:footnote>
  <w:footnote w:id="4413">
    <w:p>
      <w:pPr>
        <w:pStyle w:val="FootnoteText"/>
      </w:pPr>
      <w:r>
        <w:rPr>
          <w:rStyle w:val="FootnoteReference"/>
        </w:rPr>
        <w:footnoteRef/>
      </w:r>
      <w:r>
        <w:t xml:space="preserve"> Translation note: Greek keeps this location wording.</w:t>
      </w:r>
    </w:p>
  </w:footnote>
  <w:footnote w:id="4414">
    <w:p>
      <w:pPr>
        <w:pStyle w:val="FootnoteText"/>
      </w:pPr>
      <w:r>
        <w:rPr>
          <w:rStyle w:val="FootnoteReference"/>
        </w:rPr>
        <w:footnoteRef/>
      </w:r>
      <w:r>
        <w:t xml:space="preserve"> Translation note: Greek gives a long direct sending line with Phinehas named after the destination group. Current wording preserves that shape.</w:t>
      </w:r>
    </w:p>
  </w:footnote>
  <w:footnote w:id="4415">
    <w:p>
      <w:pPr>
        <w:pStyle w:val="FootnoteText"/>
      </w:pPr>
      <w:r>
        <w:rPr>
          <w:rStyle w:val="FootnoteReference"/>
        </w:rPr>
        <w:footnoteRef/>
      </w:r>
      <w:r>
        <w:t xml:space="preserve"> Cross-references for "sent": Deut 13:14; Judg 20:12.</w:t>
      </w:r>
    </w:p>
  </w:footnote>
  <w:footnote w:id="4416">
    <w:p>
      <w:pPr>
        <w:pStyle w:val="FootnoteText"/>
      </w:pPr>
      <w:r>
        <w:rPr>
          <w:rStyle w:val="FootnoteReference"/>
        </w:rPr>
        <w:footnoteRef/>
      </w:r>
      <w:r>
        <w:t xml:space="preserve"> Translation note: Greek labels the act as rebellion or apostasy against the Lord. The translation uses rebels as clear English.</w:t>
      </w:r>
    </w:p>
  </w:footnote>
  <w:footnote w:id="4417">
    <w:p>
      <w:pPr>
        <w:pStyle w:val="FootnoteText"/>
      </w:pPr>
      <w:r>
        <w:rPr>
          <w:rStyle w:val="FootnoteReference"/>
        </w:rPr>
        <w:footnoteRef/>
      </w:r>
      <w:r>
        <w:t xml:space="preserve"> Cross-references for "from which": Ezra 9:13-14; 1Cor 10:8.</w:t>
      </w:r>
    </w:p>
  </w:footnote>
  <w:footnote w:id="4418">
    <w:p>
      <w:pPr>
        <w:pStyle w:val="FootnoteText"/>
      </w:pPr>
      <w:r>
        <w:rPr>
          <w:rStyle w:val="FootnoteReference"/>
        </w:rPr>
        <w:footnoteRef/>
      </w:r>
      <w:r>
        <w:t xml:space="preserve"> Translation note: Greek uses rebel/apostate wording here. Current line keeps that stronger term.</w:t>
      </w:r>
    </w:p>
  </w:footnote>
  <w:footnote w:id="4419">
    <w:p>
      <w:pPr>
        <w:pStyle w:val="FootnoteText"/>
      </w:pPr>
      <w:r>
        <w:rPr>
          <w:rStyle w:val="FootnoteReference"/>
        </w:rPr>
        <w:footnoteRef/>
      </w:r>
      <w:r>
        <w:t xml:space="preserve"> Cross-references for "answered": Prov 15:1; Prov 16:1.</w:t>
      </w:r>
    </w:p>
  </w:footnote>
  <w:footnote w:id="4420">
    <w:p>
      <w:pPr>
        <w:pStyle w:val="FootnoteText"/>
      </w:pPr>
      <w:r>
        <w:rPr>
          <w:rStyle w:val="FootnoteReference"/>
        </w:rPr>
        <w:footnoteRef/>
      </w:r>
      <w:r>
        <w:t xml:space="preserve"> Cross-references for "Israel": Ps 37:6; Mic 7:9.</w:t>
      </w:r>
    </w:p>
  </w:footnote>
  <w:footnote w:id="4421">
    <w:p>
      <w:pPr>
        <w:pStyle w:val="FootnoteText"/>
      </w:pPr>
      <w:r>
        <w:rPr>
          <w:rStyle w:val="FootnoteReference"/>
        </w:rPr>
        <w:footnoteRef/>
      </w:r>
      <w:r>
        <w:t xml:space="preserve"> Translation note: The Greek keeps salvation-shaped sacrificial wording here. The current wording preserves that cultic line rather than harmonizing to peace-offering tradition.</w:t>
      </w:r>
    </w:p>
  </w:footnote>
  <w:footnote w:id="4422">
    <w:p>
      <w:pPr>
        <w:pStyle w:val="FootnoteText"/>
      </w:pPr>
      <w:r>
        <w:rPr>
          <w:rStyle w:val="FootnoteReference"/>
        </w:rPr>
        <w:footnoteRef/>
      </w:r>
      <w:r>
        <w:t xml:space="preserve"> Translation note: Greek says share rather than part. The translation keeps that wording.</w:t>
      </w:r>
    </w:p>
  </w:footnote>
  <w:footnote w:id="4423">
    <w:p>
      <w:pPr>
        <w:pStyle w:val="FootnoteText"/>
      </w:pPr>
      <w:r>
        <w:rPr>
          <w:rStyle w:val="FootnoteReference"/>
        </w:rPr>
        <w:footnoteRef/>
      </w:r>
      <w:r>
        <w:t xml:space="preserve"> Cross-references for "a witness": Gen 31:48; Gen 31:52.</w:t>
      </w:r>
    </w:p>
  </w:footnote>
  <w:footnote w:id="4424">
    <w:p>
      <w:pPr>
        <w:pStyle w:val="FootnoteText"/>
      </w:pPr>
      <w:r>
        <w:rPr>
          <w:rStyle w:val="FootnoteReference"/>
        </w:rPr>
        <w:footnoteRef/>
      </w:r>
      <w:r>
        <w:t xml:space="preserve"> Translation note: Greek says sacrifices of salvation here. Current line keeps that wording.</w:t>
      </w:r>
    </w:p>
  </w:footnote>
  <w:footnote w:id="4425">
    <w:p>
      <w:pPr>
        <w:pStyle w:val="FootnoteText"/>
      </w:pPr>
      <w:r>
        <w:rPr>
          <w:rStyle w:val="FootnoteReference"/>
        </w:rPr>
        <w:footnoteRef/>
      </w:r>
      <w:r>
        <w:t xml:space="preserve"> Translation note: Greek says likeness of the altar and keeps the witness line explicit.</w:t>
      </w:r>
    </w:p>
  </w:footnote>
  <w:footnote w:id="4426">
    <w:p>
      <w:pPr>
        <w:pStyle w:val="FootnoteText"/>
      </w:pPr>
      <w:r>
        <w:rPr>
          <w:rStyle w:val="FootnoteReference"/>
        </w:rPr>
        <w:footnoteRef/>
      </w:r>
      <w:r>
        <w:t xml:space="preserve"> Cross-references for "to build": Deut 12:13-14; Josh 22:23.</w:t>
      </w:r>
    </w:p>
  </w:footnote>
  <w:footnote w:id="4427">
    <w:p>
      <w:pPr>
        <w:pStyle w:val="FootnoteText"/>
      </w:pPr>
      <w:r>
        <w:rPr>
          <w:rStyle w:val="FootnoteReference"/>
        </w:rPr>
        <w:footnoteRef/>
      </w:r>
      <w:r>
        <w:t xml:space="preserve"> Translation note: The Greek line combines salamin wording with σωτηρίου wording. Current wording keeps the phrase inside the project salvation-offering family rather than harmonizing to peace-offering tradition.</w:t>
      </w:r>
    </w:p>
  </w:footnote>
  <w:footnote w:id="4428">
    <w:p>
      <w:pPr>
        <w:pStyle w:val="FootnoteText"/>
      </w:pPr>
      <w:r>
        <w:rPr>
          <w:rStyle w:val="FootnoteReference"/>
        </w:rPr>
        <w:footnoteRef/>
      </w:r>
      <w:r>
        <w:t xml:space="preserve"> Cross-references for "it pleased them": Gen 28:8; Josh 22:33.</w:t>
      </w:r>
    </w:p>
  </w:footnote>
  <w:footnote w:id="4429">
    <w:p>
      <w:pPr>
        <w:pStyle w:val="FootnoteText"/>
      </w:pPr>
      <w:r>
        <w:rPr>
          <w:rStyle w:val="FootnoteReference"/>
        </w:rPr>
        <w:footnoteRef/>
      </w:r>
      <w:r>
        <w:t xml:space="preserve"> Cross-references for "the Lord is": Lev 26:11-12; Num 14:41-43.</w:t>
      </w:r>
    </w:p>
  </w:footnote>
  <w:footnote w:id="4430">
    <w:p>
      <w:pPr>
        <w:pStyle w:val="FootnoteText"/>
      </w:pPr>
      <w:r>
        <w:rPr>
          <w:rStyle w:val="FootnoteReference"/>
        </w:rPr>
        <w:footnoteRef/>
      </w:r>
      <w:r>
        <w:t xml:space="preserve"> Translation note: Greek uses a direct rescue verb here. The English keeps that wording plain and consistent with nearby deliverance language.</w:t>
      </w:r>
    </w:p>
  </w:footnote>
  <w:footnote w:id="4431">
    <w:p>
      <w:pPr>
        <w:pStyle w:val="FootnoteText"/>
      </w:pPr>
      <w:r>
        <w:rPr>
          <w:rStyle w:val="FootnoteReference"/>
        </w:rPr>
        <w:footnoteRef/>
      </w:r>
      <w:r>
        <w:t xml:space="preserve"> Cross-references for "blessed": 1Sam 25:32-33; 1Chr 29:20.</w:t>
      </w:r>
    </w:p>
  </w:footnote>
  <w:footnote w:id="4432">
    <w:p>
      <w:pPr>
        <w:pStyle w:val="FootnoteText"/>
      </w:pPr>
      <w:r>
        <w:rPr>
          <w:rStyle w:val="FootnoteReference"/>
        </w:rPr>
        <w:footnoteRef/>
      </w:r>
      <w:r>
        <w:t xml:space="preserve"> People-name: Reubenites. People-name meaning: Reubenites — Behold a son. Source form: Reubenites.</w:t>
      </w:r>
    </w:p>
  </w:footnote>
  <w:footnote w:id="4433">
    <w:p>
      <w:pPr>
        <w:pStyle w:val="FootnoteText"/>
      </w:pPr>
      <w:r>
        <w:rPr>
          <w:rStyle w:val="FootnoteReference"/>
        </w:rPr>
        <w:footnoteRef/>
      </w:r>
      <w:r>
        <w:t xml:space="preserve"> People-name: Gadites. People-name meaning: Gadites — Fortune; troop. Source form: Gadites.</w:t>
      </w:r>
    </w:p>
  </w:footnote>
  <w:footnote w:id="4434">
    <w:p>
      <w:pPr>
        <w:pStyle w:val="FootnoteText"/>
      </w:pPr>
      <w:r>
        <w:rPr>
          <w:rStyle w:val="FootnoteReference"/>
        </w:rPr>
        <w:footnoteRef/>
      </w:r>
      <w:r>
        <w:t xml:space="preserve"> MT/LXX note: The Greek gives a simple witness formula here. Manual Logos export supports the current LXX wording against the MT-style altar-name expansion.</w:t>
      </w:r>
    </w:p>
  </w:footnote>
  <w:footnote w:id="4435">
    <w:p>
      <w:pPr>
        <w:pStyle w:val="FootnoteText"/>
      </w:pPr>
      <w:r>
        <w:rPr>
          <w:rStyle w:val="FootnoteReference"/>
        </w:rPr>
        <w:footnoteRef/>
      </w:r>
      <w:r>
        <w:t xml:space="preserve"> Cross-references for "the Lord": Josh 11:23; Josh 21:44.</w:t>
      </w:r>
    </w:p>
  </w:footnote>
  <w:footnote w:id="4436">
    <w:p>
      <w:pPr>
        <w:pStyle w:val="FootnoteText"/>
      </w:pPr>
      <w:r>
        <w:rPr>
          <w:rStyle w:val="FootnoteReference"/>
        </w:rPr>
        <w:footnoteRef/>
      </w:r>
      <w:r>
        <w:t xml:space="preserve"> Cross-references for "as the Lord": Num 33:52-53.</w:t>
      </w:r>
    </w:p>
  </w:footnote>
  <w:footnote w:id="4437">
    <w:p>
      <w:pPr>
        <w:pStyle w:val="FootnoteText"/>
      </w:pPr>
      <w:r>
        <w:rPr>
          <w:rStyle w:val="FootnoteReference"/>
        </w:rPr>
        <w:footnoteRef/>
      </w:r>
      <w:r>
        <w:t xml:space="preserve"> Cross-references for "very": Josh 1:7-9; Jer 9:3.</w:t>
      </w:r>
    </w:p>
  </w:footnote>
  <w:footnote w:id="4438">
    <w:p>
      <w:pPr>
        <w:pStyle w:val="FootnoteText"/>
      </w:pPr>
      <w:r>
        <w:rPr>
          <w:rStyle w:val="FootnoteReference"/>
        </w:rPr>
        <w:footnoteRef/>
      </w:r>
      <w:r>
        <w:t xml:space="preserve"> Cross-references for "Lord": Josh 10:42.</w:t>
      </w:r>
    </w:p>
  </w:footnote>
  <w:footnote w:id="4439">
    <w:p>
      <w:pPr>
        <w:pStyle w:val="FootnoteText"/>
      </w:pPr>
      <w:r>
        <w:rPr>
          <w:rStyle w:val="FootnoteReference"/>
        </w:rPr>
        <w:footnoteRef/>
      </w:r>
      <w:r>
        <w:t xml:space="preserve"> Cross-references for "love": Exod 20:6; Rom 8:28.</w:t>
      </w:r>
    </w:p>
  </w:footnote>
  <w:footnote w:id="4440">
    <w:p>
      <w:pPr>
        <w:pStyle w:val="FootnoteText"/>
      </w:pPr>
      <w:r>
        <w:rPr>
          <w:rStyle w:val="FootnoteReference"/>
        </w:rPr>
        <w:footnoteRef/>
      </w:r>
      <w:r>
        <w:t xml:space="preserve"> Cross-references for "snares": Deut 7:16; Judg 2:3.</w:t>
      </w:r>
    </w:p>
  </w:footnote>
  <w:footnote w:id="4441">
    <w:p>
      <w:pPr>
        <w:pStyle w:val="FootnoteText"/>
      </w:pPr>
      <w:r>
        <w:rPr>
          <w:rStyle w:val="FootnoteReference"/>
        </w:rPr>
        <w:footnoteRef/>
      </w:r>
      <w:r>
        <w:t xml:space="preserve"> Translation note: Greek says nails in your heels and darts in your eyes.</w:t>
      </w:r>
    </w:p>
  </w:footnote>
  <w:footnote w:id="4442">
    <w:p>
      <w:pPr>
        <w:pStyle w:val="FootnoteText"/>
      </w:pPr>
      <w:r>
        <w:rPr>
          <w:rStyle w:val="FootnoteReference"/>
        </w:rPr>
        <w:footnoteRef/>
      </w:r>
      <w:r>
        <w:t xml:space="preserve"> Translation note: Greek says not one word has fallen and none has failed away.</w:t>
      </w:r>
    </w:p>
  </w:footnote>
  <w:footnote w:id="4443">
    <w:p>
      <w:pPr>
        <w:pStyle w:val="FootnoteText"/>
      </w:pPr>
      <w:r>
        <w:rPr>
          <w:rStyle w:val="FootnoteReference"/>
        </w:rPr>
        <w:footnoteRef/>
      </w:r>
      <w:r>
        <w:t xml:space="preserve"> Translation note: Greek pairs good words and evil words here.</w:t>
      </w:r>
    </w:p>
  </w:footnote>
  <w:footnote w:id="4444">
    <w:p>
      <w:pPr>
        <w:pStyle w:val="FootnoteText"/>
      </w:pPr>
      <w:r>
        <w:rPr>
          <w:rStyle w:val="FootnoteReference"/>
        </w:rPr>
        <w:footnoteRef/>
      </w:r>
      <w:r>
        <w:t xml:space="preserve"> Translation note: Greek row here preserves warning clause only.</w:t>
      </w:r>
    </w:p>
  </w:footnote>
  <w:footnote w:id="4445">
    <w:p>
      <w:pPr>
        <w:pStyle w:val="FootnoteText"/>
      </w:pPr>
      <w:r>
        <w:rPr>
          <w:rStyle w:val="FootnoteReference"/>
        </w:rPr>
        <w:footnoteRef/>
      </w:r>
      <w:r>
        <w:t xml:space="preserve"> Cross-references for "called": Exod 18:25-26; Josh 23:2.</w:t>
      </w:r>
    </w:p>
  </w:footnote>
  <w:footnote w:id="4446">
    <w:p>
      <w:pPr>
        <w:pStyle w:val="FootnoteText"/>
      </w:pPr>
      <w:r>
        <w:rPr>
          <w:rStyle w:val="FootnoteReference"/>
        </w:rPr>
        <w:footnoteRef/>
      </w:r>
      <w:r>
        <w:t xml:space="preserve"> Cross-references for "your fathers": Gen 11:26; Gen 11:31.</w:t>
      </w:r>
    </w:p>
  </w:footnote>
  <w:footnote w:id="4447">
    <w:p>
      <w:pPr>
        <w:pStyle w:val="FootnoteText"/>
      </w:pPr>
      <w:r>
        <w:rPr>
          <w:rStyle w:val="FootnoteReference"/>
        </w:rPr>
        <w:footnoteRef/>
      </w:r>
      <w:r>
        <w:t xml:space="preserve"> Cross-references for "I took": Gen 12:1-4; Neh 9:7-8.</w:t>
      </w:r>
    </w:p>
  </w:footnote>
  <w:footnote w:id="4448">
    <w:p>
      <w:pPr>
        <w:pStyle w:val="FootnoteText"/>
      </w:pPr>
      <w:r>
        <w:rPr>
          <w:rStyle w:val="FootnoteReference"/>
        </w:rPr>
        <w:footnoteRef/>
      </w:r>
      <w:r>
        <w:t xml:space="preserve"> Cross-references for "Jacob": Gen 46:1-7; Ps 105:23.</w:t>
      </w:r>
    </w:p>
  </w:footnote>
  <w:footnote w:id="4449">
    <w:p>
      <w:pPr>
        <w:pStyle w:val="FootnoteText"/>
      </w:pPr>
      <w:r>
        <w:rPr>
          <w:rStyle w:val="FootnoteReference"/>
        </w:rPr>
        <w:footnoteRef/>
      </w:r>
      <w:r>
        <w:t xml:space="preserve"> Cross-references for "Egyptians": Neh 9:11; Ps 77:15-20.</w:t>
      </w:r>
    </w:p>
  </w:footnote>
  <w:footnote w:id="4450">
    <w:p>
      <w:pPr>
        <w:pStyle w:val="FootnoteText"/>
      </w:pPr>
      <w:r>
        <w:rPr>
          <w:rStyle w:val="FootnoteReference"/>
        </w:rPr>
        <w:footnoteRef/>
      </w:r>
      <w:r>
        <w:t xml:space="preserve"> Cross-references for "he put": Exod 14:20.</w:t>
      </w:r>
    </w:p>
  </w:footnote>
  <w:footnote w:id="4451">
    <w:p>
      <w:pPr>
        <w:pStyle w:val="FootnoteText"/>
      </w:pPr>
      <w:r>
        <w:rPr>
          <w:rStyle w:val="FootnoteReference"/>
        </w:rPr>
        <w:footnoteRef/>
      </w:r>
      <w:r>
        <w:t xml:space="preserve"> Translation note: Greek says he put cloud and gloom between us and Egyptians.</w:t>
      </w:r>
    </w:p>
  </w:footnote>
  <w:footnote w:id="4452">
    <w:p>
      <w:pPr>
        <w:pStyle w:val="FootnoteText"/>
      </w:pPr>
      <w:r>
        <w:rPr>
          <w:rStyle w:val="FootnoteReference"/>
        </w:rPr>
        <w:footnoteRef/>
      </w:r>
      <w:r>
        <w:t xml:space="preserve"> Translation note: Greek uses a battle-array verb rather than the simpler fought. The translation keeps that military nuance.</w:t>
      </w:r>
    </w:p>
  </w:footnote>
  <w:footnote w:id="4453">
    <w:p>
      <w:pPr>
        <w:pStyle w:val="FootnoteText"/>
      </w:pPr>
      <w:r>
        <w:rPr>
          <w:rStyle w:val="FootnoteReference"/>
        </w:rPr>
        <w:footnoteRef/>
      </w:r>
      <w:r>
        <w:t xml:space="preserve"> Cross-references for "cities": Deut 6:10-12; Deut 8:7.</w:t>
      </w:r>
    </w:p>
  </w:footnote>
  <w:footnote w:id="4454">
    <w:p>
      <w:pPr>
        <w:pStyle w:val="FootnoteText"/>
      </w:pPr>
      <w:r>
        <w:rPr>
          <w:rStyle w:val="FootnoteReference"/>
        </w:rPr>
        <w:footnoteRef/>
      </w:r>
      <w:r>
        <w:t xml:space="preserve"> Translation note: Greek names the cultivated holdings directly. The translation keeps that pair in standard English.</w:t>
      </w:r>
    </w:p>
  </w:footnote>
  <w:footnote w:id="4455">
    <w:p>
      <w:pPr>
        <w:pStyle w:val="FootnoteText"/>
      </w:pPr>
      <w:r>
        <w:rPr>
          <w:rStyle w:val="FootnoteReference"/>
        </w:rPr>
        <w:footnoteRef/>
      </w:r>
      <w:r>
        <w:t xml:space="preserve"> Cross-references for "fear": Deut 10:12; 1Sam 12:24.</w:t>
      </w:r>
    </w:p>
  </w:footnote>
  <w:footnote w:id="4456">
    <w:p>
      <w:pPr>
        <w:pStyle w:val="FootnoteText"/>
      </w:pPr>
      <w:r>
        <w:rPr>
          <w:rStyle w:val="FootnoteReference"/>
        </w:rPr>
        <w:footnoteRef/>
      </w:r>
      <w:r>
        <w:t xml:space="preserve"> Cross-references for "choose": Ruth 1:15-16; 1Kgs 18:21.</w:t>
      </w:r>
    </w:p>
  </w:footnote>
  <w:footnote w:id="4457">
    <w:p>
      <w:pPr>
        <w:pStyle w:val="FootnoteText"/>
      </w:pPr>
      <w:r>
        <w:rPr>
          <w:rStyle w:val="FootnoteReference"/>
        </w:rPr>
        <w:footnoteRef/>
      </w:r>
      <w:r>
        <w:t xml:space="preserve"> Translation note: Greek explicitly adds that clause at the end.</w:t>
      </w:r>
    </w:p>
  </w:footnote>
  <w:footnote w:id="4458">
    <w:p>
      <w:pPr>
        <w:pStyle w:val="FootnoteText"/>
      </w:pPr>
      <w:r>
        <w:rPr>
          <w:rStyle w:val="FootnoteReference"/>
        </w:rPr>
        <w:footnoteRef/>
      </w:r>
      <w:r>
        <w:t xml:space="preserve"> Cross-references for "holy": Lev 10:3; Lev 19:2.</w:t>
      </w:r>
    </w:p>
  </w:footnote>
  <w:footnote w:id="4459">
    <w:p>
      <w:pPr>
        <w:pStyle w:val="FootnoteText"/>
      </w:pPr>
      <w:r>
        <w:rPr>
          <w:rStyle w:val="FootnoteReference"/>
        </w:rPr>
        <w:footnoteRef/>
      </w:r>
      <w:r>
        <w:t xml:space="preserve"> Translation note: Greek keeps both the jealousy language and the unforgiving force strong. Manual Logos export and SAAS support staying close to that line.</w:t>
      </w:r>
    </w:p>
  </w:footnote>
  <w:footnote w:id="4460">
    <w:p>
      <w:pPr>
        <w:pStyle w:val="FootnoteText"/>
      </w:pPr>
      <w:r>
        <w:rPr>
          <w:rStyle w:val="FootnoteReference"/>
        </w:rPr>
        <w:footnoteRef/>
      </w:r>
      <w:r>
        <w:t xml:space="preserve"> Cross-references for "made": Exod 15:25; Exod 24:3.</w:t>
      </w:r>
    </w:p>
  </w:footnote>
  <w:footnote w:id="4461">
    <w:p>
      <w:pPr>
        <w:pStyle w:val="FootnoteText"/>
      </w:pPr>
      <w:r>
        <w:rPr>
          <w:rStyle w:val="FootnoteReference"/>
        </w:rPr>
        <w:footnoteRef/>
      </w:r>
      <w:r>
        <w:t xml:space="preserve"> Cross-references for "Joshua": Exod 24:4; Deut 31:24-26.</w:t>
      </w:r>
    </w:p>
  </w:footnote>
  <w:footnote w:id="4462">
    <w:p>
      <w:pPr>
        <w:pStyle w:val="FootnoteText"/>
      </w:pPr>
      <w:r>
        <w:rPr>
          <w:rStyle w:val="FootnoteReference"/>
        </w:rPr>
        <w:footnoteRef/>
      </w:r>
      <w:r>
        <w:t xml:space="preserve"> Translation note: Greek says it has heard here. Current line keeps that wording.</w:t>
      </w:r>
    </w:p>
  </w:footnote>
  <w:footnote w:id="4463">
    <w:p>
      <w:pPr>
        <w:pStyle w:val="FootnoteText"/>
      </w:pPr>
      <w:r>
        <w:rPr>
          <w:rStyle w:val="FootnoteReference"/>
        </w:rPr>
        <w:footnoteRef/>
      </w:r>
      <w:r>
        <w:t xml:space="preserve"> Place name: Gaash. Place-name meaning: Gaash — tempest; commotion. Source form: Gaash. Greek form: γαας.</w:t>
      </w:r>
    </w:p>
  </w:footnote>
  <w:footnote w:id="4464">
    <w:p>
      <w:pPr>
        <w:pStyle w:val="FootnoteText"/>
      </w:pPr>
      <w:r>
        <w:rPr>
          <w:rStyle w:val="FootnoteReference"/>
        </w:rPr>
        <w:footnoteRef/>
      </w:r>
      <w:r>
        <w:t xml:space="preserve"> Translation note: Greek burial addition mentions stone knives here. Current line keeps that addition.</w:t>
      </w:r>
    </w:p>
  </w:footnote>
  <w:footnote w:id="4465">
    <w:p>
      <w:pPr>
        <w:pStyle w:val="FootnoteText"/>
      </w:pPr>
      <w:r>
        <w:rPr>
          <w:rStyle w:val="FootnoteReference"/>
        </w:rPr>
        <w:footnoteRef/>
      </w:r>
      <w:r>
        <w:t xml:space="preserve"> Cross-references for "bones": Gen 50:25; Exod 13:19.</w:t>
      </w:r>
    </w:p>
  </w:footnote>
  <w:footnote w:id="4466">
    <w:p>
      <w:pPr>
        <w:pStyle w:val="FootnoteText"/>
      </w:pPr>
      <w:r>
        <w:rPr>
          <w:rStyle w:val="FootnoteReference"/>
        </w:rPr>
        <w:footnoteRef/>
      </w:r>
      <w:r>
        <w:t xml:space="preserve"> Translation note: Greek says hundred lambs here. Current line keeps that wording.</w:t>
      </w:r>
    </w:p>
  </w:footnote>
  <w:footnote w:id="4467">
    <w:p>
      <w:pPr>
        <w:pStyle w:val="FootnoteText"/>
      </w:pPr>
      <w:r>
        <w:rPr>
          <w:rStyle w:val="FootnoteReference"/>
        </w:rPr>
        <w:footnoteRef/>
      </w:r>
      <w:r>
        <w:t xml:space="preserve"> Cross-references for "Eleazar": Exod 6:23; Exod 6:25.</w:t>
      </w:r>
    </w:p>
  </w:footnote>
  <w:footnote w:id="4468">
    <w:p>
      <w:pPr>
        <w:pStyle w:val="FootnoteText"/>
      </w:pPr>
      <w:r>
        <w:rPr>
          <w:rStyle w:val="FootnoteReference"/>
        </w:rPr>
        <w:footnoteRef/>
      </w:r>
      <w:r>
        <w:t xml:space="preserve"> Transliterated proper noun: Astaroth. Standard English equivalent: Ashtaroth. Source form: Astaroth. Greek form: ασταρωθ. Name meaning: flocks; sheep; riches.</w:t>
      </w:r>
    </w:p>
  </w:footnote>
  <w:footnote w:id="4469">
    <w:p>
      <w:pPr>
        <w:pStyle w:val="FootnoteText"/>
      </w:pPr>
      <w:r>
        <w:rPr>
          <w:rStyle w:val="FootnoteReference"/>
        </w:rPr>
        <w:footnoteRef/>
      </w:r>
      <w:r>
        <w:t xml:space="preserve"> Textual note: Some Greek traditions append a longer continuation after Eleazar's burial notice. Manual Logos export from NETS LES LES2 SAAS and both Greek witnesses checked here ends the verse at the burial line, so this edition marks the longer continuation in brackets as plus text.</w:t>
      </w:r>
    </w:p>
  </w:footnote>
  <w:footnote w:id="4470">
    <w:p>
      <w:pPr>
        <w:pStyle w:val="FootnoteText"/>
      </w:pPr>
      <w:r>
        <w:rPr>
          <w:rStyle w:val="FootnoteReference"/>
        </w:rPr>
        <w:footnoteRef/>
      </w:r>
      <w:r>
        <w:t xml:space="preserve"> Cross-references for "Simeon": Gen 29:33; Josh 19:1.</w:t>
      </w:r>
    </w:p>
  </w:footnote>
  <w:footnote w:id="4471">
    <w:p>
      <w:pPr>
        <w:pStyle w:val="FootnoteText"/>
      </w:pPr>
      <w:r>
        <w:rPr>
          <w:rStyle w:val="FootnoteReference"/>
        </w:rPr>
        <w:footnoteRef/>
      </w:r>
      <w:r>
        <w:t xml:space="preserve"> Translation note: Greek has singular into his hand here.</w:t>
      </w:r>
    </w:p>
  </w:footnote>
  <w:footnote w:id="4472">
    <w:p>
      <w:pPr>
        <w:pStyle w:val="FootnoteText"/>
      </w:pPr>
      <w:r>
        <w:rPr>
          <w:rStyle w:val="FootnoteReference"/>
        </w:rPr>
        <w:footnoteRef/>
      </w:r>
      <w:r>
        <w:t xml:space="preserve"> Place name: Bezek. Place-name meaning: Bezek — lightning; in the chains. Source form: Bezek. Greek form: βεζεκ.</w:t>
      </w:r>
    </w:p>
  </w:footnote>
  <w:footnote w:id="4473">
    <w:p>
      <w:pPr>
        <w:pStyle w:val="FootnoteText"/>
      </w:pPr>
      <w:r>
        <w:rPr>
          <w:rStyle w:val="FootnoteReference"/>
        </w:rPr>
        <w:footnoteRef/>
      </w:r>
      <w:r>
        <w:t xml:space="preserve"> Cross-references for "Bezek": 1Sam 11:8.</w:t>
      </w:r>
    </w:p>
  </w:footnote>
  <w:footnote w:id="4474">
    <w:p>
      <w:pPr>
        <w:pStyle w:val="FootnoteText"/>
      </w:pPr>
      <w:r>
        <w:rPr>
          <w:rStyle w:val="FootnoteReference"/>
        </w:rPr>
        <w:footnoteRef/>
      </w:r>
      <w:r>
        <w:t xml:space="preserve"> Transliterated proper noun: Kirjatharba. Standard English equivalent: Kirjatharba. Source form: Kirjatharba. Greek form: καριαθαρβοκσεφερ. Name meaning: city of four; fourth city.</w:t>
      </w:r>
    </w:p>
  </w:footnote>
  <w:footnote w:id="4475">
    <w:p>
      <w:pPr>
        <w:pStyle w:val="FootnoteText"/>
      </w:pPr>
      <w:r>
        <w:rPr>
          <w:rStyle w:val="FootnoteReference"/>
        </w:rPr>
        <w:footnoteRef/>
      </w:r>
      <w:r>
        <w:t xml:space="preserve"> Cross-references for "Kirjatharba": Josh 14:15.</w:t>
      </w:r>
    </w:p>
  </w:footnote>
  <w:footnote w:id="4476">
    <w:p>
      <w:pPr>
        <w:pStyle w:val="FootnoteText"/>
      </w:pPr>
      <w:r>
        <w:rPr>
          <w:rStyle w:val="FootnoteReference"/>
        </w:rPr>
        <w:footnoteRef/>
      </w:r>
      <w:r>
        <w:t xml:space="preserve"> Cross-references for "Debir": Josh 10:38-39; Josh 15:15.</w:t>
      </w:r>
    </w:p>
  </w:footnote>
  <w:footnote w:id="4477">
    <w:p>
      <w:pPr>
        <w:pStyle w:val="FootnoteText"/>
      </w:pPr>
      <w:r>
        <w:rPr>
          <w:rStyle w:val="FootnoteReference"/>
        </w:rPr>
        <w:footnoteRef/>
      </w:r>
      <w:r>
        <w:t xml:space="preserve"> Cross-references for "And Caleb": Josh 15:13-19; Josh 15:16-17.</w:t>
      </w:r>
    </w:p>
  </w:footnote>
  <w:footnote w:id="4478">
    <w:p>
      <w:pPr>
        <w:pStyle w:val="FootnoteText"/>
      </w:pPr>
      <w:r>
        <w:rPr>
          <w:rStyle w:val="FootnoteReference"/>
        </w:rPr>
        <w:footnoteRef/>
      </w:r>
      <w:r>
        <w:t xml:space="preserve"> Cross-references for "And it came": Josh 15:18-19.</w:t>
      </w:r>
    </w:p>
  </w:footnote>
  <w:footnote w:id="4479">
    <w:p>
      <w:pPr>
        <w:pStyle w:val="FootnoteText"/>
      </w:pPr>
      <w:r>
        <w:rPr>
          <w:rStyle w:val="FootnoteReference"/>
        </w:rPr>
        <w:footnoteRef/>
      </w:r>
      <w:r>
        <w:t xml:space="preserve"> Cross-references for "a blessing": Gen 33:11; 1Sam 25:18.</w:t>
      </w:r>
    </w:p>
  </w:footnote>
  <w:footnote w:id="4480">
    <w:p>
      <w:pPr>
        <w:pStyle w:val="FootnoteText"/>
      </w:pPr>
      <w:r>
        <w:rPr>
          <w:rStyle w:val="FootnoteReference"/>
        </w:rPr>
        <w:footnoteRef/>
      </w:r>
      <w:r>
        <w:t xml:space="preserve"> Cross-references for "the Kenite": Num 10:29-32; Num 24:21-22.</w:t>
      </w:r>
    </w:p>
  </w:footnote>
  <w:footnote w:id="4481">
    <w:p>
      <w:pPr>
        <w:pStyle w:val="FootnoteText"/>
      </w:pPr>
      <w:r>
        <w:rPr>
          <w:rStyle w:val="FootnoteReference"/>
        </w:rPr>
        <w:footnoteRef/>
      </w:r>
      <w:r>
        <w:t xml:space="preserve"> Translation note: Greek says from the City of Palms.</w:t>
      </w:r>
    </w:p>
  </w:footnote>
  <w:footnote w:id="4482">
    <w:p>
      <w:pPr>
        <w:pStyle w:val="FootnoteText"/>
      </w:pPr>
      <w:r>
        <w:rPr>
          <w:rStyle w:val="FootnoteReference"/>
        </w:rPr>
        <w:footnoteRef/>
      </w:r>
      <w:r>
        <w:t xml:space="preserve"> Cross-references for "And Judah": Judg 1:3.</w:t>
      </w:r>
    </w:p>
  </w:footnote>
  <w:footnote w:id="4483">
    <w:p>
      <w:pPr>
        <w:pStyle w:val="FootnoteText"/>
      </w:pPr>
      <w:r>
        <w:rPr>
          <w:rStyle w:val="FootnoteReference"/>
        </w:rPr>
        <w:footnoteRef/>
      </w:r>
      <w:r>
        <w:t xml:space="preserve"> Place name: Zephath. Place-name meaning: Zephath — which beholds; that attends or that covers. Source form: Zephath. Greek form: σεφεθ.</w:t>
      </w:r>
    </w:p>
  </w:footnote>
  <w:footnote w:id="4484">
    <w:p>
      <w:pPr>
        <w:pStyle w:val="FootnoteText"/>
      </w:pPr>
      <w:r>
        <w:rPr>
          <w:rStyle w:val="FootnoteReference"/>
        </w:rPr>
        <w:footnoteRef/>
      </w:r>
      <w:r>
        <w:t xml:space="preserve"> Cross-references for "Gaza": Exod 23:31; Judg 3:3.</w:t>
      </w:r>
    </w:p>
  </w:footnote>
  <w:footnote w:id="4485">
    <w:p>
      <w:pPr>
        <w:pStyle w:val="FootnoteText"/>
      </w:pPr>
      <w:r>
        <w:rPr>
          <w:rStyle w:val="FootnoteReference"/>
        </w:rPr>
        <w:footnoteRef/>
      </w:r>
      <w:r>
        <w:t xml:space="preserve"> Place name: Ashkelon. Place-name meaning: Ashkelon — weight; balance. Source form: Ashkelon. Greek form: ασκαλωνα.</w:t>
      </w:r>
    </w:p>
  </w:footnote>
  <w:footnote w:id="4486">
    <w:p>
      <w:pPr>
        <w:pStyle w:val="FootnoteText"/>
      </w:pPr>
      <w:r>
        <w:rPr>
          <w:rStyle w:val="FootnoteReference"/>
        </w:rPr>
        <w:footnoteRef/>
      </w:r>
      <w:r>
        <w:t xml:space="preserve"> Cross-references for "the Lord": Gen 39:2; Gen 39:21.</w:t>
      </w:r>
    </w:p>
  </w:footnote>
  <w:footnote w:id="4487">
    <w:p>
      <w:pPr>
        <w:pStyle w:val="FootnoteText"/>
      </w:pPr>
      <w:r>
        <w:rPr>
          <w:rStyle w:val="FootnoteReference"/>
        </w:rPr>
        <w:footnoteRef/>
      </w:r>
      <w:r>
        <w:t xml:space="preserve"> Personal name: Rechab. Personal-name meaning: Rechab — square; chariot with team of four horses. Source form: Rechab.</w:t>
      </w:r>
    </w:p>
  </w:footnote>
  <w:footnote w:id="4488">
    <w:p>
      <w:pPr>
        <w:pStyle w:val="FootnoteText"/>
      </w:pPr>
      <w:r>
        <w:rPr>
          <w:rStyle w:val="FootnoteReference"/>
        </w:rPr>
        <w:footnoteRef/>
      </w:r>
      <w:r>
        <w:t xml:space="preserve"> Cross-references for "they gave": Num 14:24; Deut 1:36.</w:t>
      </w:r>
    </w:p>
  </w:footnote>
  <w:footnote w:id="4489">
    <w:p>
      <w:pPr>
        <w:pStyle w:val="FootnoteText"/>
      </w:pPr>
      <w:r>
        <w:rPr>
          <w:rStyle w:val="FootnoteReference"/>
        </w:rPr>
        <w:footnoteRef/>
      </w:r>
      <w:r>
        <w:t xml:space="preserve"> Cross-references for "we will": Josh 2:12-14; 1Sam 30:15.</w:t>
      </w:r>
    </w:p>
  </w:footnote>
  <w:footnote w:id="4490">
    <w:p>
      <w:pPr>
        <w:pStyle w:val="FootnoteText"/>
      </w:pPr>
      <w:r>
        <w:rPr>
          <w:rStyle w:val="FootnoteReference"/>
        </w:rPr>
        <w:footnoteRef/>
      </w:r>
      <w:r>
        <w:t xml:space="preserve"> Cross-references for "Manasseh": Josh 17:11-13.</w:t>
      </w:r>
    </w:p>
  </w:footnote>
  <w:footnote w:id="4491">
    <w:p>
      <w:pPr>
        <w:pStyle w:val="FootnoteText"/>
      </w:pPr>
      <w:r>
        <w:rPr>
          <w:rStyle w:val="FootnoteReference"/>
        </w:rPr>
        <w:footnoteRef/>
      </w:r>
      <w:r>
        <w:t xml:space="preserve"> Place name: Bethshan. Place-name meaning: Bethshan — Beth-shean, house of the tooth, or of ivory, or of sleep. Source form: Bethshan. Greek form: βαιθσαν.</w:t>
      </w:r>
    </w:p>
  </w:footnote>
  <w:footnote w:id="4492">
    <w:p>
      <w:pPr>
        <w:pStyle w:val="FootnoteText"/>
      </w:pPr>
      <w:r>
        <w:rPr>
          <w:rStyle w:val="FootnoteReference"/>
        </w:rPr>
        <w:footnoteRef/>
      </w:r>
      <w:r>
        <w:t xml:space="preserve"> Translation note: Greek says Baithsan which is city of Scythians.</w:t>
      </w:r>
    </w:p>
  </w:footnote>
  <w:footnote w:id="4493">
    <w:p>
      <w:pPr>
        <w:pStyle w:val="FootnoteText"/>
      </w:pPr>
      <w:r>
        <w:rPr>
          <w:rStyle w:val="FootnoteReference"/>
        </w:rPr>
        <w:footnoteRef/>
      </w:r>
      <w:r>
        <w:t xml:space="preserve"> People-name: Scythians. People-name meaning: Scythians — Scythian people; archer/nomad people. Source form: Scythians.</w:t>
      </w:r>
    </w:p>
  </w:footnote>
  <w:footnote w:id="4494">
    <w:p>
      <w:pPr>
        <w:pStyle w:val="FootnoteText"/>
      </w:pPr>
      <w:r>
        <w:rPr>
          <w:rStyle w:val="FootnoteReference"/>
        </w:rPr>
        <w:footnoteRef/>
      </w:r>
      <w:r>
        <w:t xml:space="preserve"> Place name: Kidron. Place-name meaning: Kidron — obscure; making black or sad. Source form: Kidron. Greek form: κεδρων.</w:t>
      </w:r>
    </w:p>
  </w:footnote>
  <w:footnote w:id="4495">
    <w:p>
      <w:pPr>
        <w:pStyle w:val="FootnoteText"/>
      </w:pPr>
      <w:r>
        <w:rPr>
          <w:rStyle w:val="FootnoteReference"/>
        </w:rPr>
        <w:footnoteRef/>
      </w:r>
      <w:r>
        <w:t xml:space="preserve"> Cross-references for "Asher": Josh 19:24-30.</w:t>
      </w:r>
    </w:p>
  </w:footnote>
  <w:footnote w:id="4496">
    <w:p>
      <w:pPr>
        <w:pStyle w:val="FootnoteText"/>
      </w:pPr>
      <w:r>
        <w:rPr>
          <w:rStyle w:val="FootnoteReference"/>
        </w:rPr>
        <w:footnoteRef/>
      </w:r>
      <w:r>
        <w:t xml:space="preserve"> Place name: Acco. Place-name meaning: Accho — close; pressed together. Standard English equivalent: Accho. Source form: Acco. Greek form: ακχω.</w:t>
      </w:r>
    </w:p>
  </w:footnote>
  <w:footnote w:id="4497">
    <w:p>
      <w:pPr>
        <w:pStyle w:val="FootnoteText"/>
      </w:pPr>
      <w:r>
        <w:rPr>
          <w:rStyle w:val="FootnoteReference"/>
        </w:rPr>
        <w:footnoteRef/>
      </w:r>
      <w:r>
        <w:t xml:space="preserve"> Place name: Ahlab. Place-name meaning: Ahlab — made of milk, or of fat; brother of the heart. Source form: Ahlab. Greek form: αχαζιβ.</w:t>
      </w:r>
    </w:p>
  </w:footnote>
  <w:footnote w:id="4498">
    <w:p>
      <w:pPr>
        <w:pStyle w:val="FootnoteText"/>
      </w:pPr>
      <w:r>
        <w:rPr>
          <w:rStyle w:val="FootnoteReference"/>
        </w:rPr>
        <w:footnoteRef/>
      </w:r>
      <w:r>
        <w:t xml:space="preserve"> Place name: Achzib. Place-name meaning: Achzib — liar; lying; one that runs. Source form: Achzib. Greek form: αχαζιβ.</w:t>
      </w:r>
    </w:p>
  </w:footnote>
  <w:footnote w:id="4499">
    <w:p>
      <w:pPr>
        <w:pStyle w:val="FootnoteText"/>
      </w:pPr>
      <w:r>
        <w:rPr>
          <w:rStyle w:val="FootnoteReference"/>
        </w:rPr>
        <w:footnoteRef/>
      </w:r>
      <w:r>
        <w:t xml:space="preserve"> Place name: Helbah. Place-name meaning: Helbah — milk, fatness. Source form: Helbah. Greek form: χελβα.</w:t>
      </w:r>
    </w:p>
  </w:footnote>
  <w:footnote w:id="4500">
    <w:p>
      <w:pPr>
        <w:pStyle w:val="FootnoteText"/>
      </w:pPr>
      <w:r>
        <w:rPr>
          <w:rStyle w:val="FootnoteReference"/>
        </w:rPr>
        <w:footnoteRef/>
      </w:r>
      <w:r>
        <w:t xml:space="preserve"> Cross-references for "Naphtali": Josh 19:32-38.</w:t>
      </w:r>
    </w:p>
  </w:footnote>
  <w:footnote w:id="4501">
    <w:p>
      <w:pPr>
        <w:pStyle w:val="FootnoteText"/>
      </w:pPr>
      <w:r>
        <w:rPr>
          <w:rStyle w:val="FootnoteReference"/>
        </w:rPr>
        <w:footnoteRef/>
      </w:r>
      <w:r>
        <w:t xml:space="preserve"> Transliterated proper noun: Bethanath. Standard English equivalent: Beth-shemesh. Source form: Bethanath. Greek form: βαιθσαμυς. Name meaning: house of the sun.</w:t>
      </w:r>
    </w:p>
  </w:footnote>
  <w:footnote w:id="4502">
    <w:p>
      <w:pPr>
        <w:pStyle w:val="FootnoteText"/>
      </w:pPr>
      <w:r>
        <w:rPr>
          <w:rStyle w:val="FootnoteReference"/>
        </w:rPr>
        <w:footnoteRef/>
      </w:r>
      <w:r>
        <w:t xml:space="preserve"> Translation note: Greek preserves these place forms here. Current line keeps them.</w:t>
      </w:r>
    </w:p>
  </w:footnote>
  <w:footnote w:id="4503">
    <w:p>
      <w:pPr>
        <w:pStyle w:val="FootnoteText"/>
      </w:pPr>
      <w:r>
        <w:rPr>
          <w:rStyle w:val="FootnoteReference"/>
        </w:rPr>
        <w:footnoteRef/>
      </w:r>
      <w:r>
        <w:t xml:space="preserve"> Cross-references for "And an angel": Gen 16:7-10; Gen 16:13.</w:t>
      </w:r>
    </w:p>
  </w:footnote>
  <w:footnote w:id="4504">
    <w:p>
      <w:pPr>
        <w:pStyle w:val="FootnoteText"/>
      </w:pPr>
      <w:r>
        <w:rPr>
          <w:rStyle w:val="FootnoteReference"/>
        </w:rPr>
        <w:footnoteRef/>
      </w:r>
      <w:r>
        <w:t xml:space="preserve"> Translation note: Greek says scatter covenant here. Current line keeps that wording rather than smoothing to break.</w:t>
      </w:r>
    </w:p>
  </w:footnote>
  <w:footnote w:id="4505">
    <w:p>
      <w:pPr>
        <w:pStyle w:val="FootnoteText"/>
      </w:pPr>
      <w:r>
        <w:rPr>
          <w:rStyle w:val="FootnoteReference"/>
        </w:rPr>
        <w:footnoteRef/>
      </w:r>
      <w:r>
        <w:t xml:space="preserve"> Translation note: Greek keeps the not-continue-to-move-away warning explicit. Current wording preserves that judgment line rather than smoothing it.</w:t>
      </w:r>
    </w:p>
  </w:footnote>
  <w:footnote w:id="4506">
    <w:p>
      <w:pPr>
        <w:pStyle w:val="FootnoteText"/>
      </w:pPr>
      <w:r>
        <w:rPr>
          <w:rStyle w:val="FootnoteReference"/>
        </w:rPr>
        <w:footnoteRef/>
      </w:r>
      <w:r>
        <w:t xml:space="preserve"> Cross-references for "their gods": Exod 23:33; Exod 34:12.</w:t>
      </w:r>
    </w:p>
  </w:footnote>
  <w:footnote w:id="4507">
    <w:p>
      <w:pPr>
        <w:pStyle w:val="FootnoteText"/>
      </w:pPr>
      <w:r>
        <w:rPr>
          <w:rStyle w:val="FootnoteReference"/>
        </w:rPr>
        <w:footnoteRef/>
      </w:r>
      <w:r>
        <w:t xml:space="preserve"> Cross-references for "they sacrificed": Judg 6:24; Judg 13:19.</w:t>
      </w:r>
    </w:p>
  </w:footnote>
  <w:footnote w:id="4508">
    <w:p>
      <w:pPr>
        <w:pStyle w:val="FootnoteText"/>
      </w:pPr>
      <w:r>
        <w:rPr>
          <w:rStyle w:val="FootnoteReference"/>
        </w:rPr>
        <w:footnoteRef/>
      </w:r>
      <w:r>
        <w:t xml:space="preserve"> Cross-references for "Joshua": Josh 22:6; Josh 24:28-31.</w:t>
      </w:r>
    </w:p>
  </w:footnote>
  <w:footnote w:id="4509">
    <w:p>
      <w:pPr>
        <w:pStyle w:val="FootnoteText"/>
      </w:pPr>
      <w:r>
        <w:rPr>
          <w:rStyle w:val="FootnoteReference"/>
        </w:rPr>
        <w:footnoteRef/>
      </w:r>
      <w:r>
        <w:t xml:space="preserve"> Translation note: Greek uses a long-lived formula here. Current wording keeps it explicit.</w:t>
      </w:r>
    </w:p>
  </w:footnote>
  <w:footnote w:id="4510">
    <w:p>
      <w:pPr>
        <w:pStyle w:val="FootnoteText"/>
      </w:pPr>
      <w:r>
        <w:rPr>
          <w:rStyle w:val="FootnoteReference"/>
        </w:rPr>
        <w:footnoteRef/>
      </w:r>
      <w:r>
        <w:t xml:space="preserve"> Cross-references for "Joshua": Josh 24:29-30.</w:t>
      </w:r>
    </w:p>
  </w:footnote>
  <w:footnote w:id="4511">
    <w:p>
      <w:pPr>
        <w:pStyle w:val="FootnoteText"/>
      </w:pPr>
      <w:r>
        <w:rPr>
          <w:rStyle w:val="FootnoteReference"/>
        </w:rPr>
        <w:footnoteRef/>
      </w:r>
      <w:r>
        <w:t xml:space="preserve"> Transliterated proper noun: Timnathheres. Standard English equivalent: Timnathheres. Source form: Timnathheres. Greek form: θαμναθαρες. Name meaning: or Timnath-serah, image of the sun; numbering of the rest.</w:t>
      </w:r>
    </w:p>
  </w:footnote>
  <w:footnote w:id="4512">
    <w:p>
      <w:pPr>
        <w:pStyle w:val="FootnoteText"/>
      </w:pPr>
      <w:r>
        <w:rPr>
          <w:rStyle w:val="FootnoteReference"/>
        </w:rPr>
        <w:footnoteRef/>
      </w:r>
      <w:r>
        <w:t xml:space="preserve"> Cross-references for "Timnathheres": Josh 19:50; Josh 24:30.</w:t>
      </w:r>
    </w:p>
  </w:footnote>
  <w:footnote w:id="4513">
    <w:p>
      <w:pPr>
        <w:pStyle w:val="FootnoteText"/>
      </w:pPr>
      <w:r>
        <w:rPr>
          <w:rStyle w:val="FootnoteReference"/>
        </w:rPr>
        <w:footnoteRef/>
      </w:r>
      <w:r>
        <w:t xml:space="preserve"> Cross-references for "did evil": Gen 13:13; Gen 38:7.</w:t>
      </w:r>
    </w:p>
  </w:footnote>
  <w:footnote w:id="4514">
    <w:p>
      <w:pPr>
        <w:pStyle w:val="FootnoteText"/>
      </w:pPr>
      <w:r>
        <w:rPr>
          <w:rStyle w:val="FootnoteReference"/>
        </w:rPr>
        <w:footnoteRef/>
      </w:r>
      <w:r>
        <w:t xml:space="preserve"> Transliterated proper noun: Baals. Standard English equivalent: Baalim. Source form: Baals. Greek form: βααλιμ. Name meaning: idols; masters; false gods.</w:t>
      </w:r>
    </w:p>
  </w:footnote>
  <w:footnote w:id="4515">
    <w:p>
      <w:pPr>
        <w:pStyle w:val="FootnoteText"/>
      </w:pPr>
      <w:r>
        <w:rPr>
          <w:rStyle w:val="FootnoteReference"/>
        </w:rPr>
        <w:footnoteRef/>
      </w:r>
      <w:r>
        <w:t xml:space="preserve"> Cross-references for "forsook": Deut 13:5; Deut 29:18.</w:t>
      </w:r>
    </w:p>
  </w:footnote>
  <w:footnote w:id="4516">
    <w:p>
      <w:pPr>
        <w:pStyle w:val="FootnoteText"/>
      </w:pPr>
      <w:r>
        <w:rPr>
          <w:rStyle w:val="FootnoteReference"/>
        </w:rPr>
        <w:footnoteRef/>
      </w:r>
      <w:r>
        <w:t xml:space="preserve"> Cross-references for "served": Judg 2:11; Judg 3:7.</w:t>
      </w:r>
    </w:p>
  </w:footnote>
  <w:footnote w:id="4517">
    <w:p>
      <w:pPr>
        <w:pStyle w:val="FootnoteText"/>
      </w:pPr>
      <w:r>
        <w:rPr>
          <w:rStyle w:val="FootnoteReference"/>
        </w:rPr>
        <w:footnoteRef/>
      </w:r>
      <w:r>
        <w:t xml:space="preserve"> Translation note: Greek closes the line with named idol service. Current wording preserves it.</w:t>
      </w:r>
    </w:p>
  </w:footnote>
  <w:footnote w:id="4518">
    <w:p>
      <w:pPr>
        <w:pStyle w:val="FootnoteText"/>
      </w:pPr>
      <w:r>
        <w:rPr>
          <w:rStyle w:val="FootnoteReference"/>
        </w:rPr>
        <w:footnoteRef/>
      </w:r>
      <w:r>
        <w:t xml:space="preserve"> Translation note: Greek says gave them into hand of plunderers, and they plundered them.</w:t>
      </w:r>
    </w:p>
  </w:footnote>
  <w:footnote w:id="4519">
    <w:p>
      <w:pPr>
        <w:pStyle w:val="FootnoteText"/>
      </w:pPr>
      <w:r>
        <w:rPr>
          <w:rStyle w:val="FootnoteReference"/>
        </w:rPr>
        <w:footnoteRef/>
      </w:r>
      <w:r>
        <w:t xml:space="preserve"> Cross-references for "sold them": Judg 3:8; Judg 4:2.</w:t>
      </w:r>
    </w:p>
  </w:footnote>
  <w:footnote w:id="4520">
    <w:p>
      <w:pPr>
        <w:pStyle w:val="FootnoteText"/>
      </w:pPr>
      <w:r>
        <w:rPr>
          <w:rStyle w:val="FootnoteReference"/>
        </w:rPr>
        <w:footnoteRef/>
      </w:r>
      <w:r>
        <w:t xml:space="preserve"> Translation note: Greek says he delivered them into hand of plunderers, and they plundered them.</w:t>
      </w:r>
    </w:p>
  </w:footnote>
  <w:footnote w:id="4521">
    <w:p>
      <w:pPr>
        <w:pStyle w:val="FootnoteText"/>
      </w:pPr>
      <w:r>
        <w:rPr>
          <w:rStyle w:val="FootnoteReference"/>
        </w:rPr>
        <w:footnoteRef/>
      </w:r>
      <w:r>
        <w:t xml:space="preserve"> Translation note: Greek says the Lord was angered with wrath.</w:t>
      </w:r>
    </w:p>
  </w:footnote>
  <w:footnote w:id="4522">
    <w:p>
      <w:pPr>
        <w:pStyle w:val="FootnoteText"/>
      </w:pPr>
      <w:r>
        <w:rPr>
          <w:rStyle w:val="FootnoteReference"/>
        </w:rPr>
        <w:footnoteRef/>
      </w:r>
      <w:r>
        <w:t xml:space="preserve"> Translation note: Greek has sold/gave-over language here.</w:t>
      </w:r>
    </w:p>
  </w:footnote>
  <w:footnote w:id="4523">
    <w:p>
      <w:pPr>
        <w:pStyle w:val="FootnoteText"/>
      </w:pPr>
      <w:r>
        <w:rPr>
          <w:rStyle w:val="FootnoteReference"/>
        </w:rPr>
        <w:footnoteRef/>
      </w:r>
      <w:r>
        <w:t xml:space="preserve"> Cross-references for "against": Jer 18:8; Jer 21:10.</w:t>
      </w:r>
    </w:p>
  </w:footnote>
  <w:footnote w:id="4524">
    <w:p>
      <w:pPr>
        <w:pStyle w:val="FootnoteText"/>
      </w:pPr>
      <w:r>
        <w:rPr>
          <w:rStyle w:val="FootnoteReference"/>
        </w:rPr>
        <w:footnoteRef/>
      </w:r>
      <w:r>
        <w:t xml:space="preserve"> Cross-references for "the Lord": Judg 3:9-10; Judg 3:15.</w:t>
      </w:r>
    </w:p>
  </w:footnote>
  <w:footnote w:id="4525">
    <w:p>
      <w:pPr>
        <w:pStyle w:val="FootnoteText"/>
      </w:pPr>
      <w:r>
        <w:rPr>
          <w:rStyle w:val="FootnoteReference"/>
        </w:rPr>
        <w:footnoteRef/>
      </w:r>
      <w:r>
        <w:t xml:space="preserve"> Cross-references for "quickly": Exod 32:8; Deut 9:12.</w:t>
      </w:r>
    </w:p>
  </w:footnote>
  <w:footnote w:id="4526">
    <w:p>
      <w:pPr>
        <w:pStyle w:val="FootnoteText"/>
      </w:pPr>
      <w:r>
        <w:rPr>
          <w:rStyle w:val="FootnoteReference"/>
        </w:rPr>
        <w:footnoteRef/>
      </w:r>
      <w:r>
        <w:t xml:space="preserve"> Translation note: Greek explicitly adds provocation language after the idolatry line. The translation keeps that added force.</w:t>
      </w:r>
    </w:p>
  </w:footnote>
  <w:footnote w:id="4527">
    <w:p>
      <w:pPr>
        <w:pStyle w:val="FootnoteText"/>
      </w:pPr>
      <w:r>
        <w:rPr>
          <w:rStyle w:val="FootnoteReference"/>
        </w:rPr>
        <w:footnoteRef/>
      </w:r>
      <w:r>
        <w:t xml:space="preserve"> Cross-references for "when the": Josh 24:31; Judg 2:7.</w:t>
      </w:r>
    </w:p>
  </w:footnote>
  <w:footnote w:id="4528">
    <w:p>
      <w:pPr>
        <w:pStyle w:val="FootnoteText"/>
      </w:pPr>
      <w:r>
        <w:rPr>
          <w:rStyle w:val="FootnoteReference"/>
        </w:rPr>
        <w:footnoteRef/>
      </w:r>
      <w:r>
        <w:t xml:space="preserve"> Translation note: Greek says they did not cast away their practices or depart from their hard way. The translation keeps that more concrete wording.</w:t>
      </w:r>
    </w:p>
  </w:footnote>
  <w:footnote w:id="4529">
    <w:p>
      <w:pPr>
        <w:pStyle w:val="FootnoteText"/>
      </w:pPr>
      <w:r>
        <w:rPr>
          <w:rStyle w:val="FootnoteReference"/>
        </w:rPr>
        <w:footnoteRef/>
      </w:r>
      <w:r>
        <w:t xml:space="preserve"> Translation note: Greek says test Israel by them.</w:t>
      </w:r>
    </w:p>
  </w:footnote>
  <w:footnote w:id="4530">
    <w:p>
      <w:pPr>
        <w:pStyle w:val="FootnoteText"/>
      </w:pPr>
      <w:r>
        <w:rPr>
          <w:rStyle w:val="FootnoteReference"/>
        </w:rPr>
        <w:footnoteRef/>
      </w:r>
      <w:r>
        <w:t xml:space="preserve"> Cross-references for "left": Judg 2:23.</w:t>
      </w:r>
    </w:p>
  </w:footnote>
  <w:footnote w:id="4531">
    <w:p>
      <w:pPr>
        <w:pStyle w:val="FootnoteText"/>
      </w:pPr>
      <w:r>
        <w:rPr>
          <w:rStyle w:val="FootnoteReference"/>
        </w:rPr>
        <w:footnoteRef/>
      </w:r>
      <w:r>
        <w:t xml:space="preserve"> Cross-references for "the nations": Deut 7:22; Judg 2:21-22.</w:t>
      </w:r>
    </w:p>
  </w:footnote>
  <w:footnote w:id="4532">
    <w:p>
      <w:pPr>
        <w:pStyle w:val="FootnoteText"/>
      </w:pPr>
      <w:r>
        <w:rPr>
          <w:rStyle w:val="FootnoteReference"/>
        </w:rPr>
        <w:footnoteRef/>
      </w:r>
      <w:r>
        <w:t xml:space="preserve"> People-name: Sidonian. People-name meaning: Sidonian — hunting; fishing; venison. Source form: Sidonian.</w:t>
      </w:r>
    </w:p>
  </w:footnote>
  <w:footnote w:id="4533">
    <w:p>
      <w:pPr>
        <w:pStyle w:val="FootnoteText"/>
      </w:pPr>
      <w:r>
        <w:rPr>
          <w:rStyle w:val="FootnoteReference"/>
        </w:rPr>
        <w:footnoteRef/>
      </w:r>
      <w:r>
        <w:t xml:space="preserve"> Transliterated proper noun: Baalhermon. Standard English equivalent: Baalhermon. Source form: Baalhermon. Greek form: βαλαερμων. Name meaning: possessor of destruction or of a thing cursed.</w:t>
      </w:r>
    </w:p>
  </w:footnote>
  <w:footnote w:id="4534">
    <w:p>
      <w:pPr>
        <w:pStyle w:val="FootnoteText"/>
      </w:pPr>
      <w:r>
        <w:rPr>
          <w:rStyle w:val="FootnoteReference"/>
        </w:rPr>
        <w:footnoteRef/>
      </w:r>
      <w:r>
        <w:t xml:space="preserve"> Place name: Zobah. Place-name meaning: Zobah — an army; warring. Source form: Zobah. Greek form: λοβωημαθ.</w:t>
      </w:r>
    </w:p>
  </w:footnote>
  <w:footnote w:id="4535">
    <w:p>
      <w:pPr>
        <w:pStyle w:val="FootnoteText"/>
      </w:pPr>
      <w:r>
        <w:rPr>
          <w:rStyle w:val="FootnoteReference"/>
        </w:rPr>
        <w:footnoteRef/>
      </w:r>
      <w:r>
        <w:t xml:space="preserve"> Cross-references for "dwelt": Judg 1:29-32; Ps 106:34-38.</w:t>
      </w:r>
    </w:p>
  </w:footnote>
  <w:footnote w:id="4536">
    <w:p>
      <w:pPr>
        <w:pStyle w:val="FootnoteText"/>
      </w:pPr>
      <w:r>
        <w:rPr>
          <w:rStyle w:val="FootnoteReference"/>
        </w:rPr>
        <w:footnoteRef/>
      </w:r>
      <w:r>
        <w:t xml:space="preserve"> Cross-references for "did evil": Judg 2:11-13; Judg 3:12.</w:t>
      </w:r>
    </w:p>
  </w:footnote>
  <w:footnote w:id="4537">
    <w:p>
      <w:pPr>
        <w:pStyle w:val="FootnoteText"/>
      </w:pPr>
      <w:r>
        <w:rPr>
          <w:rStyle w:val="FootnoteReference"/>
        </w:rPr>
        <w:footnoteRef/>
      </w:r>
      <w:r>
        <w:t xml:space="preserve"> Personal name: Chushan-rishathaim. Personal-name meaning: Chushan-rishathaim — blackness of iniquities. Source form: Chushan-rishathaim.</w:t>
      </w:r>
    </w:p>
  </w:footnote>
  <w:footnote w:id="4538">
    <w:p>
      <w:pPr>
        <w:pStyle w:val="FootnoteText"/>
      </w:pPr>
      <w:r>
        <w:rPr>
          <w:rStyle w:val="FootnoteReference"/>
        </w:rPr>
        <w:footnoteRef/>
      </w:r>
      <w:r>
        <w:t xml:space="preserve"> Cross-references for "cried": Judg 3:15; Judg 4:3.</w:t>
      </w:r>
    </w:p>
  </w:footnote>
  <w:footnote w:id="4539">
    <w:p>
      <w:pPr>
        <w:pStyle w:val="FootnoteText"/>
      </w:pPr>
      <w:r>
        <w:rPr>
          <w:rStyle w:val="FootnoteReference"/>
        </w:rPr>
        <w:footnoteRef/>
      </w:r>
      <w:r>
        <w:t xml:space="preserve"> Cross-references for "the Spirit": Num 11:17; Num 27:18.</w:t>
      </w:r>
    </w:p>
  </w:footnote>
  <w:footnote w:id="4540">
    <w:p>
      <w:pPr>
        <w:pStyle w:val="FootnoteText"/>
      </w:pPr>
      <w:r>
        <w:rPr>
          <w:rStyle w:val="FootnoteReference"/>
        </w:rPr>
        <w:footnoteRef/>
      </w:r>
      <w:r>
        <w:t xml:space="preserve"> Cross-references for "Othniel": Josh 15:17; Judg 3:9.</w:t>
      </w:r>
    </w:p>
  </w:footnote>
  <w:footnote w:id="4541">
    <w:p>
      <w:pPr>
        <w:pStyle w:val="FootnoteText"/>
      </w:pPr>
      <w:r>
        <w:rPr>
          <w:rStyle w:val="FootnoteReference"/>
        </w:rPr>
        <w:footnoteRef/>
      </w:r>
      <w:r>
        <w:t xml:space="preserve"> Cross-references for "and the Lord": Exod 9:16; 2Kgs 5:1.</w:t>
      </w:r>
    </w:p>
  </w:footnote>
  <w:footnote w:id="4542">
    <w:p>
      <w:pPr>
        <w:pStyle w:val="FootnoteText"/>
      </w:pPr>
      <w:r>
        <w:rPr>
          <w:rStyle w:val="FootnoteReference"/>
        </w:rPr>
        <w:footnoteRef/>
      </w:r>
      <w:r>
        <w:t xml:space="preserve"> Cross-references for "Ammon": Judg 5:14; Ps 83:6.</w:t>
      </w:r>
    </w:p>
  </w:footnote>
  <w:footnote w:id="4543">
    <w:p>
      <w:pPr>
        <w:pStyle w:val="FootnoteText"/>
      </w:pPr>
      <w:r>
        <w:rPr>
          <w:rStyle w:val="FootnoteReference"/>
        </w:rPr>
        <w:footnoteRef/>
      </w:r>
      <w:r>
        <w:t xml:space="preserve"> Cross-references for "served": Lev 26:23-25; Deut 28:40.</w:t>
      </w:r>
    </w:p>
  </w:footnote>
  <w:footnote w:id="4544">
    <w:p>
      <w:pPr>
        <w:pStyle w:val="FootnoteText"/>
      </w:pPr>
      <w:r>
        <w:rPr>
          <w:rStyle w:val="FootnoteReference"/>
        </w:rPr>
        <w:footnoteRef/>
      </w:r>
      <w:r>
        <w:t xml:space="preserve"> Personal name: Ehud. Personal-name meaning: Ehud — he that praises. Source form: Ehud.</w:t>
      </w:r>
    </w:p>
  </w:footnote>
  <w:footnote w:id="4545">
    <w:p>
      <w:pPr>
        <w:pStyle w:val="FootnoteText"/>
      </w:pPr>
      <w:r>
        <w:rPr>
          <w:rStyle w:val="FootnoteReference"/>
        </w:rPr>
        <w:footnoteRef/>
      </w:r>
      <w:r>
        <w:t xml:space="preserve"> Translation note: Greek says an ambidextrous man.</w:t>
      </w:r>
    </w:p>
  </w:footnote>
  <w:footnote w:id="4546">
    <w:p>
      <w:pPr>
        <w:pStyle w:val="FootnoteText"/>
      </w:pPr>
      <w:r>
        <w:rPr>
          <w:rStyle w:val="FootnoteReference"/>
        </w:rPr>
        <w:footnoteRef/>
      </w:r>
      <w:r>
        <w:t xml:space="preserve"> Cross-references for "a secret": Judg 3:20; 2Kgs 9:5-6.</w:t>
      </w:r>
    </w:p>
  </w:footnote>
  <w:footnote w:id="4547">
    <w:p>
      <w:pPr>
        <w:pStyle w:val="FootnoteText"/>
      </w:pPr>
      <w:r>
        <w:rPr>
          <w:rStyle w:val="FootnoteReference"/>
        </w:rPr>
        <w:footnoteRef/>
      </w:r>
      <w:r>
        <w:t xml:space="preserve"> Translation note: The Greek discovery line is direct. The current wording preserves it.</w:t>
      </w:r>
    </w:p>
  </w:footnote>
  <w:footnote w:id="4548">
    <w:p>
      <w:pPr>
        <w:pStyle w:val="FootnoteText"/>
      </w:pPr>
      <w:r>
        <w:rPr>
          <w:rStyle w:val="FootnoteReference"/>
        </w:rPr>
        <w:footnoteRef/>
      </w:r>
      <w:r>
        <w:t xml:space="preserve"> Transliterated proper noun: Seirath. Standard English equivalent: Seirath. Source form: Seirath. Greek form: σειρωθα. Name meaning: hairy; goat; demon; tempest.</w:t>
      </w:r>
    </w:p>
  </w:footnote>
  <w:footnote w:id="4549">
    <w:p>
      <w:pPr>
        <w:pStyle w:val="FootnoteText"/>
      </w:pPr>
      <w:r>
        <w:rPr>
          <w:rStyle w:val="FootnoteReference"/>
        </w:rPr>
        <w:footnoteRef/>
      </w:r>
      <w:r>
        <w:t xml:space="preserve"> Cross-references for "the Lord": Judg 7:9; Judg 7:15.</w:t>
      </w:r>
    </w:p>
  </w:footnote>
  <w:footnote w:id="4550">
    <w:p>
      <w:pPr>
        <w:pStyle w:val="FootnoteText"/>
      </w:pPr>
      <w:r>
        <w:rPr>
          <w:rStyle w:val="FootnoteReference"/>
        </w:rPr>
        <w:footnoteRef/>
      </w:r>
      <w:r>
        <w:t xml:space="preserve"> Translation note: Greek says they seized the crossings of the Jordan of Moab.</w:t>
      </w:r>
    </w:p>
  </w:footnote>
  <w:footnote w:id="4551">
    <w:p>
      <w:pPr>
        <w:pStyle w:val="FootnoteText"/>
      </w:pPr>
      <w:r>
        <w:rPr>
          <w:rStyle w:val="FootnoteReference"/>
        </w:rPr>
        <w:footnoteRef/>
      </w:r>
      <w:r>
        <w:t xml:space="preserve"> Cross-references for "and the land": Judg 3:11; Judg 5:31.</w:t>
      </w:r>
    </w:p>
  </w:footnote>
  <w:footnote w:id="4552">
    <w:p>
      <w:pPr>
        <w:pStyle w:val="FootnoteText"/>
      </w:pPr>
      <w:r>
        <w:rPr>
          <w:rStyle w:val="FootnoteReference"/>
        </w:rPr>
        <w:footnoteRef/>
      </w:r>
      <w:r>
        <w:t xml:space="preserve"> Personal name: Shamgar. Personal-name meaning: Shamgar — named a stranger; he is here a stranger. Source form: Shamgar.</w:t>
      </w:r>
    </w:p>
  </w:footnote>
  <w:footnote w:id="4553">
    <w:p>
      <w:pPr>
        <w:pStyle w:val="FootnoteText"/>
      </w:pPr>
      <w:r>
        <w:rPr>
          <w:rStyle w:val="FootnoteReference"/>
        </w:rPr>
        <w:footnoteRef/>
      </w:r>
      <w:r>
        <w:t xml:space="preserve"> Cross-references for "Shamgar": Judg 5:6; Judg 5:8.</w:t>
      </w:r>
    </w:p>
  </w:footnote>
  <w:footnote w:id="4554">
    <w:p>
      <w:pPr>
        <w:pStyle w:val="FootnoteText"/>
      </w:pPr>
      <w:r>
        <w:rPr>
          <w:rStyle w:val="FootnoteReference"/>
        </w:rPr>
        <w:footnoteRef/>
      </w:r>
      <w:r>
        <w:t xml:space="preserve"> Cross-references for "sold": Judg 2:14-15; Judg 10:7.</w:t>
      </w:r>
    </w:p>
  </w:footnote>
  <w:footnote w:id="4555">
    <w:p>
      <w:pPr>
        <w:pStyle w:val="FootnoteText"/>
      </w:pPr>
      <w:r>
        <w:rPr>
          <w:rStyle w:val="FootnoteReference"/>
        </w:rPr>
        <w:footnoteRef/>
      </w:r>
      <w:r>
        <w:t xml:space="preserve"> Personal name: Sisera. Personal-name meaning: Sisera — that sees a horse or a swallow. Source form: Sisera.</w:t>
      </w:r>
    </w:p>
  </w:footnote>
  <w:footnote w:id="4556">
    <w:p>
      <w:pPr>
        <w:pStyle w:val="FootnoteText"/>
      </w:pPr>
      <w:r>
        <w:rPr>
          <w:rStyle w:val="FootnoteReference"/>
        </w:rPr>
        <w:footnoteRef/>
      </w:r>
      <w:r>
        <w:t xml:space="preserve"> Transliterated proper noun: Harosheth. Standard English equivalent: Harosheth. Source form: Harosheth. Greek form: αρισωθ. Name meaning: a forest; agriculture; workmanship; deafness; silence.</w:t>
      </w:r>
    </w:p>
  </w:footnote>
  <w:footnote w:id="4557">
    <w:p>
      <w:pPr>
        <w:pStyle w:val="FootnoteText"/>
      </w:pPr>
      <w:r>
        <w:rPr>
          <w:rStyle w:val="FootnoteReference"/>
        </w:rPr>
        <w:footnoteRef/>
      </w:r>
      <w:r>
        <w:t xml:space="preserve"> Cross-references for "cried": Judg 3:9; Judg 3:15.</w:t>
      </w:r>
    </w:p>
  </w:footnote>
  <w:footnote w:id="4558">
    <w:p>
      <w:pPr>
        <w:pStyle w:val="FootnoteText"/>
      </w:pPr>
      <w:r>
        <w:rPr>
          <w:rStyle w:val="FootnoteReference"/>
        </w:rPr>
        <w:footnoteRef/>
      </w:r>
      <w:r>
        <w:t xml:space="preserve"> Personal name: Lapidoth. Personal-name meaning: Lapidoth — enlightened; lamps. Source form: Lapidoth.</w:t>
      </w:r>
    </w:p>
  </w:footnote>
  <w:footnote w:id="4559">
    <w:p>
      <w:pPr>
        <w:pStyle w:val="FootnoteText"/>
      </w:pPr>
      <w:r>
        <w:rPr>
          <w:rStyle w:val="FootnoteReference"/>
        </w:rPr>
        <w:footnoteRef/>
      </w:r>
      <w:r>
        <w:t xml:space="preserve"> Cross-references for "the palm": Gen 35:8.</w:t>
      </w:r>
    </w:p>
  </w:footnote>
  <w:footnote w:id="4560">
    <w:p>
      <w:pPr>
        <w:pStyle w:val="FootnoteText"/>
      </w:pPr>
      <w:r>
        <w:rPr>
          <w:rStyle w:val="FootnoteReference"/>
        </w:rPr>
        <w:footnoteRef/>
      </w:r>
      <w:r>
        <w:t xml:space="preserve"> Personal name: Barak. Personal-name meaning: Barak — thunder, or in vain. Source form: Barak.</w:t>
      </w:r>
    </w:p>
  </w:footnote>
  <w:footnote w:id="4561">
    <w:p>
      <w:pPr>
        <w:pStyle w:val="FootnoteText"/>
      </w:pPr>
      <w:r>
        <w:rPr>
          <w:rStyle w:val="FootnoteReference"/>
        </w:rPr>
        <w:footnoteRef/>
      </w:r>
      <w:r>
        <w:t xml:space="preserve"> Personal name: Abinoam. Personal-name meaning: Abinoam — father of beauty. Source form: Abinoam.</w:t>
      </w:r>
    </w:p>
  </w:footnote>
  <w:footnote w:id="4562">
    <w:p>
      <w:pPr>
        <w:pStyle w:val="FootnoteText"/>
      </w:pPr>
      <w:r>
        <w:rPr>
          <w:rStyle w:val="FootnoteReference"/>
        </w:rPr>
        <w:footnoteRef/>
      </w:r>
      <w:r>
        <w:t xml:space="preserve"> Cross-references for "Barak": Judg 5:1; Heb 11:32.</w:t>
      </w:r>
    </w:p>
  </w:footnote>
  <w:footnote w:id="4563">
    <w:p>
      <w:pPr>
        <w:pStyle w:val="FootnoteText"/>
      </w:pPr>
      <w:r>
        <w:rPr>
          <w:rStyle w:val="FootnoteReference"/>
        </w:rPr>
        <w:footnoteRef/>
      </w:r>
      <w:r>
        <w:t xml:space="preserve"> Place name: Kishon. Place-name meaning: Kishon — hard; sore. Source form: Kishon. Greek form: κισων.</w:t>
      </w:r>
    </w:p>
  </w:footnote>
  <w:footnote w:id="4564">
    <w:p>
      <w:pPr>
        <w:pStyle w:val="FootnoteText"/>
      </w:pPr>
      <w:r>
        <w:rPr>
          <w:rStyle w:val="FootnoteReference"/>
        </w:rPr>
        <w:footnoteRef/>
      </w:r>
      <w:r>
        <w:t xml:space="preserve"> Cross-references for "Kishon": Judg 5:21; 1Kgs 18:40.</w:t>
      </w:r>
    </w:p>
  </w:footnote>
  <w:footnote w:id="4565">
    <w:p>
      <w:pPr>
        <w:pStyle w:val="FootnoteText"/>
      </w:pPr>
      <w:r>
        <w:rPr>
          <w:rStyle w:val="FootnoteReference"/>
        </w:rPr>
        <w:footnoteRef/>
      </w:r>
      <w:r>
        <w:t xml:space="preserve"> Translation note: Greek says advantage not yours.</w:t>
      </w:r>
    </w:p>
  </w:footnote>
  <w:footnote w:id="4566">
    <w:p>
      <w:pPr>
        <w:pStyle w:val="FootnoteText"/>
      </w:pPr>
      <w:r>
        <w:rPr>
          <w:rStyle w:val="FootnoteReference"/>
        </w:rPr>
        <w:footnoteRef/>
      </w:r>
      <w:r>
        <w:t xml:space="preserve"> Cross-references for "Zebulun": Judg 4:6; Judg 5:18.</w:t>
      </w:r>
    </w:p>
  </w:footnote>
  <w:footnote w:id="4567">
    <w:p>
      <w:pPr>
        <w:pStyle w:val="FootnoteText"/>
      </w:pPr>
      <w:r>
        <w:rPr>
          <w:rStyle w:val="FootnoteReference"/>
        </w:rPr>
        <w:footnoteRef/>
      </w:r>
      <w:r>
        <w:t xml:space="preserve"> Cross-references for "Hobab": Exod 2:18; Exod 3:1.</w:t>
      </w:r>
    </w:p>
  </w:footnote>
  <w:footnote w:id="4568">
    <w:p>
      <w:pPr>
        <w:pStyle w:val="FootnoteText"/>
      </w:pPr>
      <w:r>
        <w:rPr>
          <w:rStyle w:val="FootnoteReference"/>
        </w:rPr>
        <w:footnoteRef/>
      </w:r>
      <w:r>
        <w:t xml:space="preserve"> Cross-references for "Mount Tabor": Josh 19:12; Josh 19:34.</w:t>
      </w:r>
    </w:p>
  </w:footnote>
  <w:footnote w:id="4569">
    <w:p>
      <w:pPr>
        <w:pStyle w:val="FootnoteText"/>
      </w:pPr>
      <w:r>
        <w:rPr>
          <w:rStyle w:val="FootnoteReference"/>
        </w:rPr>
        <w:footnoteRef/>
      </w:r>
      <w:r>
        <w:t xml:space="preserve"> Cross-references for "nine": Judg 4:2-3; Judg 4:7.</w:t>
      </w:r>
    </w:p>
  </w:footnote>
  <w:footnote w:id="4570">
    <w:p>
      <w:pPr>
        <w:pStyle w:val="FootnoteText"/>
      </w:pPr>
      <w:r>
        <w:rPr>
          <w:rStyle w:val="FootnoteReference"/>
        </w:rPr>
        <w:footnoteRef/>
      </w:r>
      <w:r>
        <w:t xml:space="preserve"> Translation note: Greek says the Lord will go out before you.</w:t>
      </w:r>
    </w:p>
  </w:footnote>
  <w:footnote w:id="4571">
    <w:p>
      <w:pPr>
        <w:pStyle w:val="FootnoteText"/>
      </w:pPr>
      <w:r>
        <w:rPr>
          <w:rStyle w:val="FootnoteReference"/>
        </w:rPr>
        <w:footnoteRef/>
      </w:r>
      <w:r>
        <w:t xml:space="preserve"> Cross-references for "pursued": Lev 26:7-8; Josh 10:19-20.</w:t>
      </w:r>
    </w:p>
  </w:footnote>
  <w:footnote w:id="4572">
    <w:p>
      <w:pPr>
        <w:pStyle w:val="FootnoteText"/>
      </w:pPr>
      <w:r>
        <w:rPr>
          <w:rStyle w:val="FootnoteReference"/>
        </w:rPr>
        <w:footnoteRef/>
      </w:r>
      <w:r>
        <w:t xml:space="preserve"> Personal name: Jael. Personal-name meaning: Jael — he that ascends; a kid. Source form: Jael.</w:t>
      </w:r>
    </w:p>
  </w:footnote>
  <w:footnote w:id="4573">
    <w:p>
      <w:pPr>
        <w:pStyle w:val="FootnoteText"/>
      </w:pPr>
      <w:r>
        <w:rPr>
          <w:rStyle w:val="FootnoteReference"/>
        </w:rPr>
        <w:footnoteRef/>
      </w:r>
      <w:r>
        <w:t xml:space="preserve"> Cross-references for "Jael": Judg 5:6; Judg 5:24.</w:t>
      </w:r>
    </w:p>
  </w:footnote>
  <w:footnote w:id="4574">
    <w:p>
      <w:pPr>
        <w:pStyle w:val="FootnoteText"/>
      </w:pPr>
      <w:r>
        <w:rPr>
          <w:rStyle w:val="FootnoteReference"/>
        </w:rPr>
        <w:footnoteRef/>
      </w:r>
      <w:r>
        <w:t xml:space="preserve"> Cross-references for "Jael": 2Kgs 6:19.</w:t>
      </w:r>
    </w:p>
  </w:footnote>
  <w:footnote w:id="4575">
    <w:p>
      <w:pPr>
        <w:pStyle w:val="FootnoteText"/>
      </w:pPr>
      <w:r>
        <w:rPr>
          <w:rStyle w:val="FootnoteReference"/>
        </w:rPr>
        <w:footnoteRef/>
      </w:r>
      <w:r>
        <w:t xml:space="preserve"> Cross-references for "Give me": Gen 24:43; Judg 5:25-26.</w:t>
      </w:r>
    </w:p>
  </w:footnote>
  <w:footnote w:id="4576">
    <w:p>
      <w:pPr>
        <w:pStyle w:val="FootnoteText"/>
      </w:pPr>
      <w:r>
        <w:rPr>
          <w:rStyle w:val="FootnoteReference"/>
        </w:rPr>
        <w:footnoteRef/>
      </w:r>
      <w:r>
        <w:t xml:space="preserve"> Cross-references for "Is there": Josh 2:3-5; 2Sam 17:20.</w:t>
      </w:r>
    </w:p>
  </w:footnote>
  <w:footnote w:id="4577">
    <w:p>
      <w:pPr>
        <w:pStyle w:val="FootnoteText"/>
      </w:pPr>
      <w:r>
        <w:rPr>
          <w:rStyle w:val="FootnoteReference"/>
        </w:rPr>
        <w:footnoteRef/>
      </w:r>
      <w:r>
        <w:t xml:space="preserve"> Cross-references for "took": Judg 3:21; Judg 3:31.</w:t>
      </w:r>
    </w:p>
  </w:footnote>
  <w:footnote w:id="4578">
    <w:p>
      <w:pPr>
        <w:pStyle w:val="FootnoteText"/>
      </w:pPr>
      <w:r>
        <w:rPr>
          <w:rStyle w:val="FootnoteReference"/>
        </w:rPr>
        <w:footnoteRef/>
      </w:r>
      <w:r>
        <w:t xml:space="preserve"> Translation note: Greek says she drove the peg into his jaw.</w:t>
      </w:r>
    </w:p>
  </w:footnote>
  <w:footnote w:id="4579">
    <w:p>
      <w:pPr>
        <w:pStyle w:val="FootnoteText"/>
      </w:pPr>
      <w:r>
        <w:rPr>
          <w:rStyle w:val="FootnoteReference"/>
        </w:rPr>
        <w:footnoteRef/>
      </w:r>
      <w:r>
        <w:t xml:space="preserve"> Cross-references for "and I will": 2Sam 17:3; 2Sam 17:10-15.</w:t>
      </w:r>
    </w:p>
  </w:footnote>
  <w:footnote w:id="4580">
    <w:p>
      <w:pPr>
        <w:pStyle w:val="FootnoteText"/>
      </w:pPr>
      <w:r>
        <w:rPr>
          <w:rStyle w:val="FootnoteReference"/>
        </w:rPr>
        <w:footnoteRef/>
      </w:r>
      <w:r>
        <w:t xml:space="preserve"> Cross-references for "the earth": 2Sam 22:8; Job 9:6.</w:t>
      </w:r>
    </w:p>
  </w:footnote>
  <w:footnote w:id="4581">
    <w:p>
      <w:pPr>
        <w:pStyle w:val="FootnoteText"/>
      </w:pPr>
      <w:r>
        <w:rPr>
          <w:rStyle w:val="FootnoteReference"/>
        </w:rPr>
        <w:footnoteRef/>
      </w:r>
      <w:r>
        <w:t xml:space="preserve"> Translation note: Greek keeps the abrupt this-Sinai line visible. Current wording preserves it.</w:t>
      </w:r>
    </w:p>
  </w:footnote>
  <w:footnote w:id="4582">
    <w:p>
      <w:pPr>
        <w:pStyle w:val="FootnoteText"/>
      </w:pPr>
      <w:r>
        <w:rPr>
          <w:rStyle w:val="FootnoteReference"/>
        </w:rPr>
        <w:footnoteRef/>
      </w:r>
      <w:r>
        <w:t xml:space="preserve"> Cross-references for "Mountains": Deut 4:11; Ps 97:5.</w:t>
      </w:r>
    </w:p>
  </w:footnote>
  <w:footnote w:id="4583">
    <w:p>
      <w:pPr>
        <w:pStyle w:val="FootnoteText"/>
      </w:pPr>
      <w:r>
        <w:rPr>
          <w:rStyle w:val="FootnoteReference"/>
        </w:rPr>
        <w:footnoteRef/>
      </w:r>
      <w:r>
        <w:t xml:space="preserve"> Cross-references for "Shamgar": Judg 3:31.</w:t>
      </w:r>
    </w:p>
  </w:footnote>
  <w:footnote w:id="4584">
    <w:p>
      <w:pPr>
        <w:pStyle w:val="FootnoteText"/>
      </w:pPr>
      <w:r>
        <w:rPr>
          <w:rStyle w:val="FootnoteReference"/>
        </w:rPr>
        <w:footnoteRef/>
      </w:r>
      <w:r>
        <w:t xml:space="preserve"> Cross-references for "a mother": Judg 4:4-6; 2Sam 20:19.</w:t>
      </w:r>
    </w:p>
  </w:footnote>
  <w:footnote w:id="4585">
    <w:p>
      <w:pPr>
        <w:pStyle w:val="FootnoteText"/>
      </w:pPr>
      <w:r>
        <w:rPr>
          <w:rStyle w:val="FootnoteReference"/>
        </w:rPr>
        <w:footnoteRef/>
      </w:r>
      <w:r>
        <w:t xml:space="preserve"> Cross-references for "new gods": Deut 32:16-17; Judg 2:12.</w:t>
      </w:r>
    </w:p>
  </w:footnote>
  <w:footnote w:id="4586">
    <w:p>
      <w:pPr>
        <w:pStyle w:val="FootnoteText"/>
      </w:pPr>
      <w:r>
        <w:rPr>
          <w:rStyle w:val="FootnoteReference"/>
        </w:rPr>
        <w:footnoteRef/>
      </w:r>
      <w:r>
        <w:t xml:space="preserve"> Cross-references for "ride": Judg 10:4; Judg 12:14.</w:t>
      </w:r>
    </w:p>
  </w:footnote>
  <w:footnote w:id="4587">
    <w:p>
      <w:pPr>
        <w:pStyle w:val="FootnoteText"/>
      </w:pPr>
      <w:r>
        <w:rPr>
          <w:rStyle w:val="FootnoteReference"/>
        </w:rPr>
        <w:footnoteRef/>
      </w:r>
      <w:r>
        <w:t xml:space="preserve"> Translation note: Greek is highly different here and keeps musical striking-up language.</w:t>
      </w:r>
    </w:p>
  </w:footnote>
  <w:footnote w:id="4588">
    <w:p>
      <w:pPr>
        <w:pStyle w:val="FootnoteText"/>
      </w:pPr>
      <w:r>
        <w:rPr>
          <w:rStyle w:val="FootnoteReference"/>
        </w:rPr>
        <w:footnoteRef/>
      </w:r>
      <w:r>
        <w:t xml:space="preserve"> Cross-references for "Deborah": Ps 57:8; Ps 103:1-2.</w:t>
      </w:r>
    </w:p>
  </w:footnote>
  <w:footnote w:id="4589">
    <w:p>
      <w:pPr>
        <w:pStyle w:val="FootnoteText"/>
      </w:pPr>
      <w:r>
        <w:rPr>
          <w:rStyle w:val="FootnoteReference"/>
        </w:rPr>
        <w:footnoteRef/>
      </w:r>
      <w:r>
        <w:t xml:space="preserve"> Cross-references for "of Ephraim": Judg 3:27; Judg 4:5-6.</w:t>
      </w:r>
    </w:p>
  </w:footnote>
  <w:footnote w:id="4590">
    <w:p>
      <w:pPr>
        <w:pStyle w:val="FootnoteText"/>
      </w:pPr>
      <w:r>
        <w:rPr>
          <w:rStyle w:val="FootnoteReference"/>
        </w:rPr>
        <w:footnoteRef/>
      </w:r>
      <w:r>
        <w:t xml:space="preserve"> Cross-references for "sheepfolds": Num 32:1-5; Num 32:24.</w:t>
      </w:r>
    </w:p>
  </w:footnote>
  <w:footnote w:id="4591">
    <w:p>
      <w:pPr>
        <w:pStyle w:val="FootnoteText"/>
      </w:pPr>
      <w:r>
        <w:rPr>
          <w:rStyle w:val="FootnoteReference"/>
        </w:rPr>
        <w:footnoteRef/>
      </w:r>
      <w:r>
        <w:t xml:space="preserve"> Cross-references for "Gilead": Josh 13:25; Josh 13:31.</w:t>
      </w:r>
    </w:p>
  </w:footnote>
  <w:footnote w:id="4592">
    <w:p>
      <w:pPr>
        <w:pStyle w:val="FootnoteText"/>
      </w:pPr>
      <w:r>
        <w:rPr>
          <w:rStyle w:val="FootnoteReference"/>
        </w:rPr>
        <w:footnoteRef/>
      </w:r>
      <w:r>
        <w:t xml:space="preserve"> Cross-references for "Zebulun": Judg 4:10.</w:t>
      </w:r>
    </w:p>
  </w:footnote>
  <w:footnote w:id="4593">
    <w:p>
      <w:pPr>
        <w:pStyle w:val="FootnoteText"/>
      </w:pPr>
      <w:r>
        <w:rPr>
          <w:rStyle w:val="FootnoteReference"/>
        </w:rPr>
        <w:footnoteRef/>
      </w:r>
      <w:r>
        <w:t xml:space="preserve"> Cross-references for "Kings": Josh 10:22-27; Josh 11:1-15.</w:t>
      </w:r>
    </w:p>
  </w:footnote>
  <w:footnote w:id="4594">
    <w:p>
      <w:pPr>
        <w:pStyle w:val="FootnoteText"/>
      </w:pPr>
      <w:r>
        <w:rPr>
          <w:rStyle w:val="FootnoteReference"/>
        </w:rPr>
        <w:footnoteRef/>
      </w:r>
      <w:r>
        <w:t xml:space="preserve"> Cross-references for "fought": Josh 10:11; 1Sam 7:10.</w:t>
      </w:r>
    </w:p>
  </w:footnote>
  <w:footnote w:id="4595">
    <w:p>
      <w:pPr>
        <w:pStyle w:val="FootnoteText"/>
      </w:pPr>
      <w:r>
        <w:rPr>
          <w:rStyle w:val="FootnoteReference"/>
        </w:rPr>
        <w:footnoteRef/>
      </w:r>
      <w:r>
        <w:t xml:space="preserve"> Cross-references for "Kishon": Judg 4:7; Judg 4:13.</w:t>
      </w:r>
    </w:p>
  </w:footnote>
  <w:footnote w:id="4596">
    <w:p>
      <w:pPr>
        <w:pStyle w:val="FootnoteText"/>
      </w:pPr>
      <w:r>
        <w:rPr>
          <w:rStyle w:val="FootnoteReference"/>
        </w:rPr>
        <w:footnoteRef/>
      </w:r>
      <w:r>
        <w:t xml:space="preserve"> Place name: Meroz. Place-name meaning: Meroz — secret, leanness. Source form: Meroz. Greek form: μαρωζ.</w:t>
      </w:r>
    </w:p>
  </w:footnote>
  <w:footnote w:id="4597">
    <w:p>
      <w:pPr>
        <w:pStyle w:val="FootnoteText"/>
      </w:pPr>
      <w:r>
        <w:rPr>
          <w:rStyle w:val="FootnoteReference"/>
        </w:rPr>
        <w:footnoteRef/>
      </w:r>
      <w:r>
        <w:t xml:space="preserve"> Cross-references for "the angel": Judg 2:1; Judg 4:6.</w:t>
      </w:r>
    </w:p>
  </w:footnote>
  <w:footnote w:id="4598">
    <w:p>
      <w:pPr>
        <w:pStyle w:val="FootnoteText"/>
      </w:pPr>
      <w:r>
        <w:rPr>
          <w:rStyle w:val="FootnoteReference"/>
        </w:rPr>
        <w:footnoteRef/>
      </w:r>
      <w:r>
        <w:t xml:space="preserve"> Cross-references for "asked": Judg 4:19-21.</w:t>
      </w:r>
    </w:p>
  </w:footnote>
  <w:footnote w:id="4599">
    <w:p>
      <w:pPr>
        <w:pStyle w:val="FootnoteText"/>
      </w:pPr>
      <w:r>
        <w:rPr>
          <w:rStyle w:val="FootnoteReference"/>
        </w:rPr>
        <w:footnoteRef/>
      </w:r>
      <w:r>
        <w:t xml:space="preserve"> MT/LXX note: Greek here does not match the MT rape line and keeps the difficult friendship wording with dyed cloths.</w:t>
      </w:r>
    </w:p>
  </w:footnote>
  <w:footnote w:id="4600">
    <w:p>
      <w:pPr>
        <w:pStyle w:val="FootnoteText"/>
      </w:pPr>
      <w:r>
        <w:rPr>
          <w:rStyle w:val="FootnoteReference"/>
        </w:rPr>
        <w:footnoteRef/>
      </w:r>
      <w:r>
        <w:t xml:space="preserve"> Cross-references for "So let": Ps 48:4-5; Ps 58:10-11.</w:t>
      </w:r>
    </w:p>
  </w:footnote>
  <w:footnote w:id="4601">
    <w:p>
      <w:pPr>
        <w:pStyle w:val="FootnoteText"/>
      </w:pPr>
      <w:r>
        <w:rPr>
          <w:rStyle w:val="FootnoteReference"/>
        </w:rPr>
        <w:footnoteRef/>
      </w:r>
      <w:r>
        <w:t xml:space="preserve"> Translation note: Greek contrasts perishing enemies with those loving him like the sun's rising. Current wording preserves that poetic image.</w:t>
      </w:r>
    </w:p>
  </w:footnote>
  <w:footnote w:id="4602">
    <w:p>
      <w:pPr>
        <w:pStyle w:val="FootnoteText"/>
      </w:pPr>
      <w:r>
        <w:rPr>
          <w:rStyle w:val="FootnoteReference"/>
        </w:rPr>
        <w:footnoteRef/>
      </w:r>
      <w:r>
        <w:t xml:space="preserve"> Cross-references for "did evil": Lev 26:14-46; Deut 28:15-68.</w:t>
      </w:r>
    </w:p>
  </w:footnote>
  <w:footnote w:id="4603">
    <w:p>
      <w:pPr>
        <w:pStyle w:val="FootnoteText"/>
      </w:pPr>
      <w:r>
        <w:rPr>
          <w:rStyle w:val="FootnoteReference"/>
        </w:rPr>
        <w:footnoteRef/>
      </w:r>
      <w:r>
        <w:t xml:space="preserve"> Cross-references for "the hand": Lev 26:17; Deut 28:47-48.</w:t>
      </w:r>
    </w:p>
  </w:footnote>
  <w:footnote w:id="4604">
    <w:p>
      <w:pPr>
        <w:pStyle w:val="FootnoteText"/>
      </w:pPr>
      <w:r>
        <w:rPr>
          <w:rStyle w:val="FootnoteReference"/>
        </w:rPr>
        <w:footnoteRef/>
      </w:r>
      <w:r>
        <w:t xml:space="preserve"> Cross-references for "tents": Song 1:5; Isa 13:20.</w:t>
      </w:r>
    </w:p>
  </w:footnote>
  <w:footnote w:id="4605">
    <w:p>
      <w:pPr>
        <w:pStyle w:val="FootnoteText"/>
      </w:pPr>
      <w:r>
        <w:rPr>
          <w:rStyle w:val="FootnoteReference"/>
        </w:rPr>
        <w:footnoteRef/>
      </w:r>
      <w:r>
        <w:t xml:space="preserve"> Cross-references for "cried": Judg 3:9; Judg 3:15.</w:t>
      </w:r>
    </w:p>
  </w:footnote>
  <w:footnote w:id="4606">
    <w:p>
      <w:pPr>
        <w:pStyle w:val="FootnoteText"/>
      </w:pPr>
      <w:r>
        <w:rPr>
          <w:rStyle w:val="FootnoteReference"/>
        </w:rPr>
        <w:footnoteRef/>
      </w:r>
      <w:r>
        <w:t xml:space="preserve"> Cross-references for "a prophet": Judg 2:1-3; Neh 9:9-12.</w:t>
      </w:r>
    </w:p>
  </w:footnote>
  <w:footnote w:id="4607">
    <w:p>
      <w:pPr>
        <w:pStyle w:val="FootnoteText"/>
      </w:pPr>
      <w:r>
        <w:rPr>
          <w:rStyle w:val="FootnoteReference"/>
        </w:rPr>
        <w:footnoteRef/>
      </w:r>
      <w:r>
        <w:t xml:space="preserve"> Translation note: The Greek explicitly says a man, a prophet. The current wording keeps both elements visible.</w:t>
      </w:r>
    </w:p>
  </w:footnote>
  <w:footnote w:id="4608">
    <w:p>
      <w:pPr>
        <w:pStyle w:val="FootnoteText"/>
      </w:pPr>
      <w:r>
        <w:rPr>
          <w:rStyle w:val="FootnoteReference"/>
        </w:rPr>
        <w:footnoteRef/>
      </w:r>
      <w:r>
        <w:t xml:space="preserve"> Cross-references for "I am the": Exod 20:2-3.</w:t>
      </w:r>
    </w:p>
  </w:footnote>
  <w:footnote w:id="4609">
    <w:p>
      <w:pPr>
        <w:pStyle w:val="FootnoteText"/>
      </w:pPr>
      <w:r>
        <w:rPr>
          <w:rStyle w:val="FootnoteReference"/>
        </w:rPr>
        <w:footnoteRef/>
      </w:r>
      <w:r>
        <w:t xml:space="preserve"> Cross-references for "an angel": Gen 48:16; Josh 18:23.</w:t>
      </w:r>
    </w:p>
  </w:footnote>
  <w:footnote w:id="4610">
    <w:p>
      <w:pPr>
        <w:pStyle w:val="FootnoteText"/>
      </w:pPr>
      <w:r>
        <w:rPr>
          <w:rStyle w:val="FootnoteReference"/>
        </w:rPr>
        <w:footnoteRef/>
      </w:r>
      <w:r>
        <w:t xml:space="preserve"> Personal name: Joash. Personal-name meaning: Joash — who despairs or burns. Source form: Joash.</w:t>
      </w:r>
    </w:p>
  </w:footnote>
  <w:footnote w:id="4611">
    <w:p>
      <w:pPr>
        <w:pStyle w:val="FootnoteText"/>
      </w:pPr>
      <w:r>
        <w:rPr>
          <w:rStyle w:val="FootnoteReference"/>
        </w:rPr>
        <w:footnoteRef/>
      </w:r>
      <w:r>
        <w:t xml:space="preserve"> People-name: Abiezrite. People-name meaning: Abiezrites — descendants of Abiezer; father of help. Standard English equivalent: Abiezrites. Source form: Abiezrite.</w:t>
      </w:r>
    </w:p>
  </w:footnote>
  <w:footnote w:id="4612">
    <w:p>
      <w:pPr>
        <w:pStyle w:val="FootnoteText"/>
      </w:pPr>
      <w:r>
        <w:rPr>
          <w:rStyle w:val="FootnoteReference"/>
        </w:rPr>
        <w:footnoteRef/>
      </w:r>
      <w:r>
        <w:t xml:space="preserve"> Name meaning: Gideon (Gid'on) — Hewer; cutter. Judge who cut down Baal's altar and was raised to deliver Israel.</w:t>
      </w:r>
    </w:p>
  </w:footnote>
  <w:footnote w:id="4613">
    <w:p>
      <w:pPr>
        <w:pStyle w:val="FootnoteText"/>
      </w:pPr>
      <w:r>
        <w:rPr>
          <w:rStyle w:val="FootnoteReference"/>
        </w:rPr>
        <w:footnoteRef/>
      </w:r>
      <w:r>
        <w:t xml:space="preserve"> Cross-references for "the Lord": Exod 3:12; Josh 1:5.</w:t>
      </w:r>
    </w:p>
  </w:footnote>
  <w:footnote w:id="4614">
    <w:p>
      <w:pPr>
        <w:pStyle w:val="FootnoteText"/>
      </w:pPr>
      <w:r>
        <w:rPr>
          <w:rStyle w:val="FootnoteReference"/>
        </w:rPr>
        <w:footnoteRef/>
      </w:r>
      <w:r>
        <w:t xml:space="preserve"> Cross-references for "if the Lord": Gen 25:22; Exod 33:14-16.</w:t>
      </w:r>
    </w:p>
  </w:footnote>
  <w:footnote w:id="4615">
    <w:p>
      <w:pPr>
        <w:pStyle w:val="FootnoteText"/>
      </w:pPr>
      <w:r>
        <w:rPr>
          <w:rStyle w:val="FootnoteReference"/>
        </w:rPr>
        <w:footnoteRef/>
      </w:r>
      <w:r>
        <w:t xml:space="preserve"> Translation note: Greek says why have all these evils found us.</w:t>
      </w:r>
    </w:p>
  </w:footnote>
  <w:footnote w:id="4616">
    <w:p>
      <w:pPr>
        <w:pStyle w:val="FootnoteText"/>
      </w:pPr>
      <w:r>
        <w:rPr>
          <w:rStyle w:val="FootnoteReference"/>
        </w:rPr>
        <w:footnoteRef/>
      </w:r>
      <w:r>
        <w:t xml:space="preserve"> Cross-references for "the Lord": Judg 6:11.</w:t>
      </w:r>
    </w:p>
  </w:footnote>
  <w:footnote w:id="4617">
    <w:p>
      <w:pPr>
        <w:pStyle w:val="FootnoteText"/>
      </w:pPr>
      <w:r>
        <w:rPr>
          <w:rStyle w:val="FootnoteReference"/>
        </w:rPr>
        <w:footnoteRef/>
      </w:r>
      <w:r>
        <w:t xml:space="preserve"> Cross-references for "bring": Gen 18:3; Gen 18:5.</w:t>
      </w:r>
    </w:p>
  </w:footnote>
  <w:footnote w:id="4618">
    <w:p>
      <w:pPr>
        <w:pStyle w:val="FootnoteText"/>
      </w:pPr>
      <w:r>
        <w:rPr>
          <w:rStyle w:val="FootnoteReference"/>
        </w:rPr>
        <w:footnoteRef/>
      </w:r>
      <w:r>
        <w:t xml:space="preserve"> Cross-references for "and made": Gen 18:6-8; Judg 13:15-19.</w:t>
      </w:r>
    </w:p>
  </w:footnote>
  <w:footnote w:id="4619">
    <w:p>
      <w:pPr>
        <w:pStyle w:val="FootnoteText"/>
      </w:pPr>
      <w:r>
        <w:rPr>
          <w:rStyle w:val="FootnoteReference"/>
        </w:rPr>
        <w:footnoteRef/>
      </w:r>
      <w:r>
        <w:t xml:space="preserve"> Cross-references for "lay them": Judg 13:19.</w:t>
      </w:r>
    </w:p>
  </w:footnote>
  <w:footnote w:id="4620">
    <w:p>
      <w:pPr>
        <w:pStyle w:val="FootnoteText"/>
      </w:pPr>
      <w:r>
        <w:rPr>
          <w:rStyle w:val="FootnoteReference"/>
        </w:rPr>
        <w:footnoteRef/>
      </w:r>
      <w:r>
        <w:t xml:space="preserve"> Translation note: Greek says angel of the Lord here and fire from rock. Current line keeps both.</w:t>
      </w:r>
    </w:p>
  </w:footnote>
  <w:footnote w:id="4621">
    <w:p>
      <w:pPr>
        <w:pStyle w:val="FootnoteText"/>
      </w:pPr>
      <w:r>
        <w:rPr>
          <w:rStyle w:val="FootnoteReference"/>
        </w:rPr>
        <w:footnoteRef/>
      </w:r>
      <w:r>
        <w:t xml:space="preserve"> Cross-references for "built": Gen 33:20; Josh 22:10.</w:t>
      </w:r>
    </w:p>
  </w:footnote>
  <w:footnote w:id="4622">
    <w:p>
      <w:pPr>
        <w:pStyle w:val="FootnoteText"/>
      </w:pPr>
      <w:r>
        <w:rPr>
          <w:rStyle w:val="FootnoteReference"/>
        </w:rPr>
        <w:footnoteRef/>
      </w:r>
      <w:r>
        <w:t xml:space="preserve"> Greek LXX divine name/title: Eirene Kyriou (εἰρήνη Κυρίου) — Peace of the Lord. Common English rendering: Peace of the Lord. The LXX renders Yahweh Shalom as Peace of the Lord.</w:t>
      </w:r>
    </w:p>
  </w:footnote>
  <w:footnote w:id="4623">
    <w:p>
      <w:pPr>
        <w:pStyle w:val="FootnoteText"/>
      </w:pPr>
      <w:r>
        <w:rPr>
          <w:rStyle w:val="FootnoteReference"/>
        </w:rPr>
        <w:footnoteRef/>
      </w:r>
      <w:r>
        <w:t xml:space="preserve"> Personal name: Ezri. Personal-name meaning: Ezri — my help. Source form: Ezri.</w:t>
      </w:r>
    </w:p>
  </w:footnote>
  <w:footnote w:id="4624">
    <w:p>
      <w:pPr>
        <w:pStyle w:val="FootnoteText"/>
      </w:pPr>
      <w:r>
        <w:rPr>
          <w:rStyle w:val="FootnoteReference"/>
        </w:rPr>
        <w:footnoteRef/>
      </w:r>
      <w:r>
        <w:t xml:space="preserve"> Hebrew divine name/title: Yahweh Shalom (</w:t>
      </w:r>
      <w:r>
        <w:rPr>
          <w:lang w:val="he-IL" w:bidi="he-IL"/>
          <w:rtl/>
        </w:rPr>
        <w:t xml:space="preserve">יְהוָה שָׁלוֹם</w:t>
      </w:r>
      <w:r>
        <w:t xml:space="preserve">) — The LORD is peace. Common English rendering: The LORD is peace. Gideon’s altar-name after encountering God’s reassurance in fearful days.</w:t>
      </w:r>
    </w:p>
  </w:footnote>
  <w:footnote w:id="4625">
    <w:p>
      <w:pPr>
        <w:pStyle w:val="FootnoteText"/>
      </w:pPr>
      <w:r>
        <w:rPr>
          <w:rStyle w:val="FootnoteReference"/>
        </w:rPr>
        <w:footnoteRef/>
      </w:r>
      <w:r>
        <w:t xml:space="preserve"> Cross-references for "cut down": Exod 34:13; Deut 7:5.</w:t>
      </w:r>
    </w:p>
  </w:footnote>
  <w:footnote w:id="4626">
    <w:p>
      <w:pPr>
        <w:pStyle w:val="FootnoteText"/>
      </w:pPr>
      <w:r>
        <w:rPr>
          <w:rStyle w:val="FootnoteReference"/>
        </w:rPr>
        <w:footnoteRef/>
      </w:r>
      <w:r>
        <w:t xml:space="preserve"> Cross-references for "build": 2Sam 24:18.</w:t>
      </w:r>
    </w:p>
  </w:footnote>
  <w:footnote w:id="4627">
    <w:p>
      <w:pPr>
        <w:pStyle w:val="FootnoteText"/>
      </w:pPr>
      <w:r>
        <w:rPr>
          <w:rStyle w:val="FootnoteReference"/>
        </w:rPr>
        <w:footnoteRef/>
      </w:r>
      <w:r>
        <w:t xml:space="preserve"> Translation note: Greek says ten and three men.</w:t>
      </w:r>
    </w:p>
  </w:footnote>
  <w:footnote w:id="4628">
    <w:p>
      <w:pPr>
        <w:pStyle w:val="FootnoteText"/>
      </w:pPr>
      <w:r>
        <w:rPr>
          <w:rStyle w:val="FootnoteReference"/>
        </w:rPr>
        <w:footnoteRef/>
      </w:r>
      <w:r>
        <w:t xml:space="preserve"> Cross-references for "and did": Deut 4:1; Matt 16:24.</w:t>
      </w:r>
    </w:p>
  </w:footnote>
  <w:footnote w:id="4629">
    <w:p>
      <w:pPr>
        <w:pStyle w:val="FootnoteText"/>
      </w:pPr>
      <w:r>
        <w:rPr>
          <w:rStyle w:val="FootnoteReference"/>
        </w:rPr>
        <w:footnoteRef/>
      </w:r>
      <w:r>
        <w:t xml:space="preserve"> Translation note: Greek describes the offering as a fatted bull. The translation keeps that description.</w:t>
      </w:r>
    </w:p>
  </w:footnote>
  <w:footnote w:id="4630">
    <w:p>
      <w:pPr>
        <w:pStyle w:val="FootnoteText"/>
      </w:pPr>
      <w:r>
        <w:rPr>
          <w:rStyle w:val="FootnoteReference"/>
        </w:rPr>
        <w:footnoteRef/>
      </w:r>
      <w:r>
        <w:t xml:space="preserve"> Cross-references for "Bring": Jer 26:11; Jer 50:38.</w:t>
      </w:r>
    </w:p>
  </w:footnote>
  <w:footnote w:id="4631">
    <w:p>
      <w:pPr>
        <w:pStyle w:val="FootnoteText"/>
      </w:pPr>
      <w:r>
        <w:rPr>
          <w:rStyle w:val="FootnoteReference"/>
        </w:rPr>
        <w:footnoteRef/>
      </w:r>
      <w:r>
        <w:t xml:space="preserve"> Translation note: Greek says judge on behalf of Baal or save him.</w:t>
      </w:r>
    </w:p>
  </w:footnote>
  <w:footnote w:id="4632">
    <w:p>
      <w:pPr>
        <w:pStyle w:val="FootnoteText"/>
      </w:pPr>
      <w:r>
        <w:rPr>
          <w:rStyle w:val="FootnoteReference"/>
        </w:rPr>
        <w:footnoteRef/>
      </w:r>
      <w:r>
        <w:t xml:space="preserve"> Cross-references for "the valley": Josh 17:16; Josh 19:18.</w:t>
      </w:r>
    </w:p>
  </w:footnote>
  <w:footnote w:id="4633">
    <w:p>
      <w:pPr>
        <w:pStyle w:val="FootnoteText"/>
      </w:pPr>
      <w:r>
        <w:rPr>
          <w:rStyle w:val="FootnoteReference"/>
        </w:rPr>
        <w:footnoteRef/>
      </w:r>
      <w:r>
        <w:t xml:space="preserve"> Textual note: Greek witnesses differ here. The source row and Rahlfs read Spirit of God clothed Gideon, while Swete and several English witnesses read that Spirit of the Lord strengthened him. This draft keeps the source-row wording in the main text.</w:t>
      </w:r>
    </w:p>
  </w:footnote>
  <w:footnote w:id="4634">
    <w:p>
      <w:pPr>
        <w:pStyle w:val="FootnoteText"/>
      </w:pPr>
      <w:r>
        <w:rPr>
          <w:rStyle w:val="FootnoteReference"/>
        </w:rPr>
        <w:footnoteRef/>
      </w:r>
      <w:r>
        <w:t xml:space="preserve"> Transliterated proper noun: Abiezer. Standard English equivalent: Abiezer. Source form: Abiezer. Greek form: αβιεζερ. Name meaning: father of help.</w:t>
      </w:r>
    </w:p>
  </w:footnote>
  <w:footnote w:id="4635">
    <w:p>
      <w:pPr>
        <w:pStyle w:val="FootnoteText"/>
      </w:pPr>
      <w:r>
        <w:rPr>
          <w:rStyle w:val="FootnoteReference"/>
        </w:rPr>
        <w:footnoteRef/>
      </w:r>
      <w:r>
        <w:t xml:space="preserve"> Cross-references for "the Spirit": Judg 3:10; Judg 13:25.</w:t>
      </w:r>
    </w:p>
  </w:footnote>
  <w:footnote w:id="4636">
    <w:p>
      <w:pPr>
        <w:pStyle w:val="FootnoteText"/>
      </w:pPr>
      <w:r>
        <w:rPr>
          <w:rStyle w:val="FootnoteReference"/>
        </w:rPr>
        <w:footnoteRef/>
      </w:r>
      <w:r>
        <w:t xml:space="preserve"> Cross-references for "messengers": 2Chr 30:6-12.</w:t>
      </w:r>
    </w:p>
  </w:footnote>
  <w:footnote w:id="4637">
    <w:p>
      <w:pPr>
        <w:pStyle w:val="FootnoteText"/>
      </w:pPr>
      <w:r>
        <w:rPr>
          <w:rStyle w:val="FootnoteReference"/>
        </w:rPr>
        <w:footnoteRef/>
      </w:r>
      <w:r>
        <w:t xml:space="preserve"> Translation note: Greek repeats a cry-out verb here instead of smoothing the line to gathered or rallied.</w:t>
      </w:r>
    </w:p>
  </w:footnote>
  <w:footnote w:id="4638">
    <w:p>
      <w:pPr>
        <w:pStyle w:val="FootnoteText"/>
      </w:pPr>
      <w:r>
        <w:rPr>
          <w:rStyle w:val="FootnoteReference"/>
        </w:rPr>
        <w:footnoteRef/>
      </w:r>
      <w:r>
        <w:t xml:space="preserve"> Cross-references for "behold": Deut 32:2; Ps 72:6.</w:t>
      </w:r>
    </w:p>
  </w:footnote>
  <w:footnote w:id="4639">
    <w:p>
      <w:pPr>
        <w:pStyle w:val="FootnoteText"/>
      </w:pPr>
      <w:r>
        <w:rPr>
          <w:rStyle w:val="FootnoteReference"/>
        </w:rPr>
        <w:footnoteRef/>
      </w:r>
      <w:r>
        <w:t xml:space="preserve"> Cross-references for "a bowl": Isa 35:7.</w:t>
      </w:r>
    </w:p>
  </w:footnote>
  <w:footnote w:id="4640">
    <w:p>
      <w:pPr>
        <w:pStyle w:val="FootnoteText"/>
      </w:pPr>
      <w:r>
        <w:rPr>
          <w:rStyle w:val="FootnoteReference"/>
        </w:rPr>
        <w:footnoteRef/>
      </w:r>
      <w:r>
        <w:t xml:space="preserve"> Personal name: Jerubbaal. Personal-name meaning: Jerubbaal — he that defends Baal, let Baal defend his cause. Source form: Jerubbaal.</w:t>
      </w:r>
    </w:p>
  </w:footnote>
  <w:footnote w:id="4641">
    <w:p>
      <w:pPr>
        <w:pStyle w:val="FootnoteText"/>
      </w:pPr>
      <w:r>
        <w:rPr>
          <w:rStyle w:val="FootnoteReference"/>
        </w:rPr>
        <w:footnoteRef/>
      </w:r>
      <w:r>
        <w:t xml:space="preserve"> Place name: Harod. Place-name meaning: Harod — astonishment; fear. Source form: Harod. Greek form: αρωεδ.</w:t>
      </w:r>
    </w:p>
  </w:footnote>
  <w:footnote w:id="4642">
    <w:p>
      <w:pPr>
        <w:pStyle w:val="FootnoteText"/>
      </w:pPr>
      <w:r>
        <w:rPr>
          <w:rStyle w:val="FootnoteReference"/>
        </w:rPr>
        <w:footnoteRef/>
      </w:r>
      <w:r>
        <w:t xml:space="preserve"> Place name: Habor. Place-name meaning: Habor — a partaker; a companion. Source form: Habor. Greek form: αβωρ.</w:t>
      </w:r>
    </w:p>
  </w:footnote>
  <w:footnote w:id="4643">
    <w:p>
      <w:pPr>
        <w:pStyle w:val="FootnoteText"/>
      </w:pPr>
      <w:r>
        <w:rPr>
          <w:rStyle w:val="FootnoteReference"/>
        </w:rPr>
        <w:footnoteRef/>
      </w:r>
      <w:r>
        <w:t xml:space="preserve"> Translation note: Greek has land of Arōed here. Current line keeps that form.</w:t>
      </w:r>
    </w:p>
  </w:footnote>
  <w:footnote w:id="4644">
    <w:p>
      <w:pPr>
        <w:pStyle w:val="FootnoteText"/>
      </w:pPr>
      <w:r>
        <w:rPr>
          <w:rStyle w:val="FootnoteReference"/>
        </w:rPr>
        <w:footnoteRef/>
      </w:r>
      <w:r>
        <w:t xml:space="preserve"> Cross-references for "Jerubbaal": Judg 6:32.</w:t>
      </w:r>
    </w:p>
  </w:footnote>
  <w:footnote w:id="4645">
    <w:p>
      <w:pPr>
        <w:pStyle w:val="FootnoteText"/>
      </w:pPr>
      <w:r>
        <w:rPr>
          <w:rStyle w:val="FootnoteReference"/>
        </w:rPr>
        <w:footnoteRef/>
      </w:r>
      <w:r>
        <w:t xml:space="preserve"> Cross-references for "too many": 1Sam 14:6; 2Chr 14:11.</w:t>
      </w:r>
    </w:p>
  </w:footnote>
  <w:footnote w:id="4646">
    <w:p>
      <w:pPr>
        <w:pStyle w:val="FootnoteText"/>
      </w:pPr>
      <w:r>
        <w:rPr>
          <w:rStyle w:val="FootnoteReference"/>
        </w:rPr>
        <w:footnoteRef/>
      </w:r>
      <w:r>
        <w:t xml:space="preserve"> Cross-references for "twenty": Matt 20:16.</w:t>
      </w:r>
    </w:p>
  </w:footnote>
  <w:footnote w:id="4647">
    <w:p>
      <w:pPr>
        <w:pStyle w:val="FootnoteText"/>
      </w:pPr>
      <w:r>
        <w:rPr>
          <w:rStyle w:val="FootnoteReference"/>
        </w:rPr>
        <w:footnoteRef/>
      </w:r>
      <w:r>
        <w:t xml:space="preserve"> Translation note: Greek uses a separation verb. The English keeps the sorting action explicit.</w:t>
      </w:r>
    </w:p>
  </w:footnote>
  <w:footnote w:id="4648">
    <w:p>
      <w:pPr>
        <w:pStyle w:val="FootnoteText"/>
      </w:pPr>
      <w:r>
        <w:rPr>
          <w:rStyle w:val="FootnoteReference"/>
        </w:rPr>
        <w:footnoteRef/>
      </w:r>
      <w:r>
        <w:t xml:space="preserve"> Translation note: Greek identifies the saving group with the lapping men. Current wording preserves that distinctive selection line.</w:t>
      </w:r>
    </w:p>
  </w:footnote>
  <w:footnote w:id="4649">
    <w:p>
      <w:pPr>
        <w:pStyle w:val="FootnoteText"/>
      </w:pPr>
      <w:r>
        <w:rPr>
          <w:rStyle w:val="FootnoteReference"/>
        </w:rPr>
        <w:footnoteRef/>
      </w:r>
      <w:r>
        <w:t xml:space="preserve"> Translation note: Greek says food of the people in their hands here.</w:t>
      </w:r>
    </w:p>
  </w:footnote>
  <w:footnote w:id="4650">
    <w:p>
      <w:pPr>
        <w:pStyle w:val="FootnoteText"/>
      </w:pPr>
      <w:r>
        <w:rPr>
          <w:rStyle w:val="FootnoteReference"/>
        </w:rPr>
        <w:footnoteRef/>
      </w:r>
      <w:r>
        <w:t xml:space="preserve"> Cross-references for "in the valley": Judg 6:33.</w:t>
      </w:r>
    </w:p>
  </w:footnote>
  <w:footnote w:id="4651">
    <w:p>
      <w:pPr>
        <w:pStyle w:val="FootnoteText"/>
      </w:pPr>
      <w:r>
        <w:rPr>
          <w:rStyle w:val="FootnoteReference"/>
        </w:rPr>
        <w:footnoteRef/>
      </w:r>
      <w:r>
        <w:t xml:space="preserve"> Personal name: Purah. Personal-name meaning: Purah — branch; fruitful bough. Source form: Purah.</w:t>
      </w:r>
    </w:p>
  </w:footnote>
  <w:footnote w:id="4652">
    <w:p>
      <w:pPr>
        <w:pStyle w:val="FootnoteText"/>
      </w:pPr>
      <w:r>
        <w:rPr>
          <w:rStyle w:val="FootnoteReference"/>
        </w:rPr>
        <w:footnoteRef/>
      </w:r>
      <w:r>
        <w:t xml:space="preserve"> Translation note: Greek says your hands will be strengthened.</w:t>
      </w:r>
    </w:p>
  </w:footnote>
  <w:footnote w:id="4653">
    <w:p>
      <w:pPr>
        <w:pStyle w:val="FootnoteText"/>
      </w:pPr>
      <w:r>
        <w:rPr>
          <w:rStyle w:val="FootnoteReference"/>
        </w:rPr>
        <w:footnoteRef/>
      </w:r>
      <w:r>
        <w:t xml:space="preserve"> Translation note: Greek similes here stay very close to the current line.</w:t>
      </w:r>
    </w:p>
  </w:footnote>
  <w:footnote w:id="4654">
    <w:p>
      <w:pPr>
        <w:pStyle w:val="FootnoteText"/>
      </w:pPr>
      <w:r>
        <w:rPr>
          <w:rStyle w:val="FootnoteReference"/>
        </w:rPr>
        <w:footnoteRef/>
      </w:r>
      <w:r>
        <w:t xml:space="preserve"> Translation note: Greek says a cake of barley bread rolling.</w:t>
      </w:r>
    </w:p>
  </w:footnote>
  <w:footnote w:id="4655">
    <w:p>
      <w:pPr>
        <w:pStyle w:val="FootnoteText"/>
      </w:pPr>
      <w:r>
        <w:rPr>
          <w:rStyle w:val="FootnoteReference"/>
        </w:rPr>
        <w:footnoteRef/>
      </w:r>
      <w:r>
        <w:t xml:space="preserve"> Cross-references for "a cake": Judg 3:15; Judg 3:31.</w:t>
      </w:r>
    </w:p>
  </w:footnote>
  <w:footnote w:id="4656">
    <w:p>
      <w:pPr>
        <w:pStyle w:val="FootnoteText"/>
      </w:pPr>
      <w:r>
        <w:rPr>
          <w:rStyle w:val="FootnoteReference"/>
        </w:rPr>
        <w:footnoteRef/>
      </w:r>
      <w:r>
        <w:t xml:space="preserve"> Cross-references for "into his hand": Exod 15:14-15; Josh 2:9.</w:t>
      </w:r>
    </w:p>
  </w:footnote>
  <w:footnote w:id="4657">
    <w:p>
      <w:pPr>
        <w:pStyle w:val="FootnoteText"/>
      </w:pPr>
      <w:r>
        <w:rPr>
          <w:rStyle w:val="FootnoteReference"/>
        </w:rPr>
        <w:footnoteRef/>
      </w:r>
      <w:r>
        <w:t xml:space="preserve"> Translation note: Greek says recounting of the dream and its interpretation.</w:t>
      </w:r>
    </w:p>
  </w:footnote>
  <w:footnote w:id="4658">
    <w:p>
      <w:pPr>
        <w:pStyle w:val="FootnoteText"/>
      </w:pPr>
      <w:r>
        <w:rPr>
          <w:rStyle w:val="FootnoteReference"/>
        </w:rPr>
        <w:footnoteRef/>
      </w:r>
      <w:r>
        <w:t xml:space="preserve"> Cross-references for "empty": 2Cor 4:7.</w:t>
      </w:r>
    </w:p>
  </w:footnote>
  <w:footnote w:id="4659">
    <w:p>
      <w:pPr>
        <w:pStyle w:val="FootnoteText"/>
      </w:pPr>
      <w:r>
        <w:rPr>
          <w:rStyle w:val="FootnoteReference"/>
        </w:rPr>
        <w:footnoteRef/>
      </w:r>
      <w:r>
        <w:t xml:space="preserve"> Translation note: Greek says just as they had roused the watchmen.</w:t>
      </w:r>
    </w:p>
  </w:footnote>
  <w:footnote w:id="4660">
    <w:p>
      <w:pPr>
        <w:pStyle w:val="FootnoteText"/>
      </w:pPr>
      <w:r>
        <w:rPr>
          <w:rStyle w:val="FootnoteReference"/>
        </w:rPr>
        <w:footnoteRef/>
      </w:r>
      <w:r>
        <w:t xml:space="preserve"> Translation note: Greek line matches current battle wording closely here.</w:t>
      </w:r>
    </w:p>
  </w:footnote>
  <w:footnote w:id="4661">
    <w:p>
      <w:pPr>
        <w:pStyle w:val="FootnoteText"/>
      </w:pPr>
      <w:r>
        <w:rPr>
          <w:rStyle w:val="FootnoteReference"/>
        </w:rPr>
        <w:footnoteRef/>
      </w:r>
      <w:r>
        <w:t xml:space="preserve"> Cross-references for "stood": Exod 14:13-14; 2Chr 20:17.</w:t>
      </w:r>
    </w:p>
  </w:footnote>
  <w:footnote w:id="4662">
    <w:p>
      <w:pPr>
        <w:pStyle w:val="FootnoteText"/>
      </w:pPr>
      <w:r>
        <w:rPr>
          <w:rStyle w:val="FootnoteReference"/>
        </w:rPr>
        <w:footnoteRef/>
      </w:r>
      <w:r>
        <w:t xml:space="preserve"> Cross-references for "the Lord": 1Sam 14:16-20; 2Chr 20:23.</w:t>
      </w:r>
    </w:p>
  </w:footnote>
  <w:footnote w:id="4663">
    <w:p>
      <w:pPr>
        <w:pStyle w:val="FootnoteText"/>
      </w:pPr>
      <w:r>
        <w:rPr>
          <w:rStyle w:val="FootnoteReference"/>
        </w:rPr>
        <w:footnoteRef/>
      </w:r>
      <w:r>
        <w:t xml:space="preserve"> Translation note: Greek includes the fuller flight line here. Current line keeps it.</w:t>
      </w:r>
    </w:p>
  </w:footnote>
  <w:footnote w:id="4664">
    <w:p>
      <w:pPr>
        <w:pStyle w:val="FootnoteText"/>
      </w:pPr>
      <w:r>
        <w:rPr>
          <w:rStyle w:val="FootnoteReference"/>
        </w:rPr>
        <w:footnoteRef/>
      </w:r>
      <w:r>
        <w:t xml:space="preserve"> Transliterated proper noun: Abelmeholah. Standard English equivalent: Abelmeholah. Source form: Abelmeholah. Greek form: αβελμεουλα. Name meaning: mourning of sickness.</w:t>
      </w:r>
    </w:p>
  </w:footnote>
  <w:footnote w:id="4665">
    <w:p>
      <w:pPr>
        <w:pStyle w:val="FootnoteText"/>
      </w:pPr>
      <w:r>
        <w:rPr>
          <w:rStyle w:val="FootnoteReference"/>
        </w:rPr>
        <w:footnoteRef/>
      </w:r>
      <w:r>
        <w:t xml:space="preserve"> Place name: Tabbath. Place-name meaning: Tabbath — good; goodness. Source form: Tabbath. Greek form: ταβαθ.</w:t>
      </w:r>
    </w:p>
  </w:footnote>
  <w:footnote w:id="4666">
    <w:p>
      <w:pPr>
        <w:pStyle w:val="FootnoteText"/>
      </w:pPr>
      <w:r>
        <w:rPr>
          <w:rStyle w:val="FootnoteReference"/>
        </w:rPr>
        <w:footnoteRef/>
      </w:r>
      <w:r>
        <w:t xml:space="preserve"> Cross-references for "sent": Judg 3:27; Rom 15:30.</w:t>
      </w:r>
    </w:p>
  </w:footnote>
  <w:footnote w:id="4667">
    <w:p>
      <w:pPr>
        <w:pStyle w:val="FootnoteText"/>
      </w:pPr>
      <w:r>
        <w:rPr>
          <w:rStyle w:val="FootnoteReference"/>
        </w:rPr>
        <w:footnoteRef/>
      </w:r>
      <w:r>
        <w:t xml:space="preserve"> Transliterated proper noun: Bethbarah. Standard English equivalent: Bethbarah. Source form: Bethbarah. Greek form: βαιθβηρα. Name meaning: the chosen house.</w:t>
      </w:r>
    </w:p>
  </w:footnote>
  <w:footnote w:id="4668">
    <w:p>
      <w:pPr>
        <w:pStyle w:val="FootnoteText"/>
      </w:pPr>
      <w:r>
        <w:rPr>
          <w:rStyle w:val="FootnoteReference"/>
        </w:rPr>
        <w:footnoteRef/>
      </w:r>
      <w:r>
        <w:t xml:space="preserve"> Translation note: Greek says seize for yourselves here. Current line keeps that wording.</w:t>
      </w:r>
    </w:p>
  </w:footnote>
  <w:footnote w:id="4669">
    <w:p>
      <w:pPr>
        <w:pStyle w:val="FootnoteText"/>
      </w:pPr>
      <w:r>
        <w:rPr>
          <w:rStyle w:val="FootnoteReference"/>
        </w:rPr>
        <w:footnoteRef/>
      </w:r>
      <w:r>
        <w:t xml:space="preserve"> Personal name: Oreb. Personal-name meaning: Oreb — a raven. Source form: Oreb.</w:t>
      </w:r>
    </w:p>
  </w:footnote>
  <w:footnote w:id="4670">
    <w:p>
      <w:pPr>
        <w:pStyle w:val="FootnoteText"/>
      </w:pPr>
      <w:r>
        <w:rPr>
          <w:rStyle w:val="FootnoteReference"/>
        </w:rPr>
        <w:footnoteRef/>
      </w:r>
      <w:r>
        <w:t xml:space="preserve"> Personal name: Zeeb. Personal-name meaning: Zeeb — wolf. Source form: Zeeb.</w:t>
      </w:r>
    </w:p>
  </w:footnote>
  <w:footnote w:id="4671">
    <w:p>
      <w:pPr>
        <w:pStyle w:val="FootnoteText"/>
      </w:pPr>
      <w:r>
        <w:rPr>
          <w:rStyle w:val="FootnoteReference"/>
        </w:rPr>
        <w:footnoteRef/>
      </w:r>
      <w:r>
        <w:t xml:space="preserve"> Cross-references for "rock": Josh 7:26; Isa 10:26.</w:t>
      </w:r>
    </w:p>
  </w:footnote>
  <w:footnote w:id="4672">
    <w:p>
      <w:pPr>
        <w:pStyle w:val="FootnoteText"/>
      </w:pPr>
      <w:r>
        <w:rPr>
          <w:rStyle w:val="FootnoteReference"/>
        </w:rPr>
        <w:footnoteRef/>
      </w:r>
      <w:r>
        <w:t xml:space="preserve"> Translation note: Greek place names differ here.</w:t>
      </w:r>
    </w:p>
  </w:footnote>
  <w:footnote w:id="4673">
    <w:p>
      <w:pPr>
        <w:pStyle w:val="FootnoteText"/>
      </w:pPr>
      <w:r>
        <w:rPr>
          <w:rStyle w:val="FootnoteReference"/>
        </w:rPr>
        <w:footnoteRef/>
      </w:r>
      <w:r>
        <w:t xml:space="preserve"> Cross-references for "Abiezer": Judg 6:11; Judg 6:34.</w:t>
      </w:r>
    </w:p>
  </w:footnote>
  <w:footnote w:id="4674">
    <w:p>
      <w:pPr>
        <w:pStyle w:val="FootnoteText"/>
      </w:pPr>
      <w:r>
        <w:rPr>
          <w:rStyle w:val="FootnoteReference"/>
        </w:rPr>
        <w:footnoteRef/>
      </w:r>
      <w:r>
        <w:t xml:space="preserve"> Cross-references for "faint": 1Sam 14:28-29; 1Sam 14:31-32.</w:t>
      </w:r>
    </w:p>
  </w:footnote>
  <w:footnote w:id="4675">
    <w:p>
      <w:pPr>
        <w:pStyle w:val="FootnoteText"/>
      </w:pPr>
      <w:r>
        <w:rPr>
          <w:rStyle w:val="FootnoteReference"/>
        </w:rPr>
        <w:footnoteRef/>
      </w:r>
      <w:r>
        <w:t xml:space="preserve"> Cross-references for "Succoth": Gen 33:17; Ps 60:6.</w:t>
      </w:r>
    </w:p>
  </w:footnote>
  <w:footnote w:id="4676">
    <w:p>
      <w:pPr>
        <w:pStyle w:val="FootnoteText"/>
      </w:pPr>
      <w:r>
        <w:rPr>
          <w:rStyle w:val="FootnoteReference"/>
        </w:rPr>
        <w:footnoteRef/>
      </w:r>
      <w:r>
        <w:t xml:space="preserve"> Personal name: Zebah. Personal-name meaning: Zebah — victim; sacrifice. Source form: Zebah.</w:t>
      </w:r>
    </w:p>
  </w:footnote>
  <w:footnote w:id="4677">
    <w:p>
      <w:pPr>
        <w:pStyle w:val="FootnoteText"/>
      </w:pPr>
      <w:r>
        <w:rPr>
          <w:rStyle w:val="FootnoteReference"/>
        </w:rPr>
        <w:footnoteRef/>
      </w:r>
      <w:r>
        <w:t xml:space="preserve"> Personal name: Zalmunna. Personal-name meaning: Zalmunna — shadow; image; idol forbidden. Source form: Zalmunna.</w:t>
      </w:r>
    </w:p>
  </w:footnote>
  <w:footnote w:id="4678">
    <w:p>
      <w:pPr>
        <w:pStyle w:val="FootnoteText"/>
      </w:pPr>
      <w:r>
        <w:rPr>
          <w:rStyle w:val="FootnoteReference"/>
        </w:rPr>
        <w:footnoteRef/>
      </w:r>
      <w:r>
        <w:t xml:space="preserve"> Transliterated proper noun: Penuel. Standard English equivalent: Penuel. Source form: Penuel. Greek form: φανουηλ. Name meaning: face or vision of God; that sees God.</w:t>
      </w:r>
    </w:p>
  </w:footnote>
  <w:footnote w:id="4679">
    <w:p>
      <w:pPr>
        <w:pStyle w:val="FootnoteText"/>
      </w:pPr>
      <w:r>
        <w:rPr>
          <w:rStyle w:val="FootnoteReference"/>
        </w:rPr>
        <w:footnoteRef/>
      </w:r>
      <w:r>
        <w:t xml:space="preserve"> Place name: Karkor. Place-name meaning: Karkor — they rested. Source form: Karkor. Greek form: καρκαρ.</w:t>
      </w:r>
    </w:p>
  </w:footnote>
  <w:footnote w:id="4680">
    <w:p>
      <w:pPr>
        <w:pStyle w:val="FootnoteText"/>
      </w:pPr>
      <w:r>
        <w:rPr>
          <w:rStyle w:val="FootnoteReference"/>
        </w:rPr>
        <w:footnoteRef/>
      </w:r>
      <w:r>
        <w:t xml:space="preserve"> Translation note: Greek says those left here. Current line keeps that wording.</w:t>
      </w:r>
    </w:p>
  </w:footnote>
  <w:footnote w:id="4681">
    <w:p>
      <w:pPr>
        <w:pStyle w:val="FootnoteText"/>
      </w:pPr>
      <w:r>
        <w:rPr>
          <w:rStyle w:val="FootnoteReference"/>
        </w:rPr>
        <w:footnoteRef/>
      </w:r>
      <w:r>
        <w:t xml:space="preserve"> Cross-references for "Karkor": Judg 8:11.</w:t>
      </w:r>
    </w:p>
  </w:footnote>
  <w:footnote w:id="4682">
    <w:p>
      <w:pPr>
        <w:pStyle w:val="FootnoteText"/>
      </w:pPr>
      <w:r>
        <w:rPr>
          <w:rStyle w:val="FootnoteReference"/>
        </w:rPr>
        <w:footnoteRef/>
      </w:r>
      <w:r>
        <w:t xml:space="preserve"> Transliterated proper noun: Nobah. Standard English equivalent: Nobah. Source form: Nobah. Greek form: ναβεθ. Name meaning: that barks or yelps.</w:t>
      </w:r>
    </w:p>
  </w:footnote>
  <w:footnote w:id="4683">
    <w:p>
      <w:pPr>
        <w:pStyle w:val="FootnoteText"/>
      </w:pPr>
      <w:r>
        <w:rPr>
          <w:rStyle w:val="FootnoteReference"/>
        </w:rPr>
        <w:footnoteRef/>
      </w:r>
      <w:r>
        <w:t xml:space="preserve"> Cross-references for "Nobah": Num 32:35; Num 32:42.</w:t>
      </w:r>
    </w:p>
  </w:footnote>
  <w:footnote w:id="4684">
    <w:p>
      <w:pPr>
        <w:pStyle w:val="FootnoteText"/>
      </w:pPr>
      <w:r>
        <w:rPr>
          <w:rStyle w:val="FootnoteReference"/>
        </w:rPr>
        <w:footnoteRef/>
      </w:r>
      <w:r>
        <w:t xml:space="preserve"> Translation note: Greek says your exhausted men.</w:t>
      </w:r>
    </w:p>
  </w:footnote>
  <w:footnote w:id="4685">
    <w:p>
      <w:pPr>
        <w:pStyle w:val="FootnoteText"/>
      </w:pPr>
      <w:r>
        <w:rPr>
          <w:rStyle w:val="FootnoteReference"/>
        </w:rPr>
        <w:footnoteRef/>
      </w:r>
      <w:r>
        <w:t xml:space="preserve"> Cross-references for "the elders": Judg 8:7; Ezra 2:6.</w:t>
      </w:r>
    </w:p>
  </w:footnote>
  <w:footnote w:id="4686">
    <w:p>
      <w:pPr>
        <w:pStyle w:val="FootnoteText"/>
      </w:pPr>
      <w:r>
        <w:rPr>
          <w:rStyle w:val="FootnoteReference"/>
        </w:rPr>
        <w:footnoteRef/>
      </w:r>
      <w:r>
        <w:t xml:space="preserve"> Cross-references for "Tabor": Judg 4:6; Ps 89:12.</w:t>
      </w:r>
    </w:p>
  </w:footnote>
  <w:footnote w:id="4687">
    <w:p>
      <w:pPr>
        <w:pStyle w:val="FootnoteText"/>
      </w:pPr>
      <w:r>
        <w:rPr>
          <w:rStyle w:val="FootnoteReference"/>
        </w:rPr>
        <w:footnoteRef/>
      </w:r>
      <w:r>
        <w:t xml:space="preserve"> Translation note: Greek uses a brief proverbial line. Current wording preserves it.</w:t>
      </w:r>
    </w:p>
  </w:footnote>
  <w:footnote w:id="4688">
    <w:p>
      <w:pPr>
        <w:pStyle w:val="FootnoteText"/>
      </w:pPr>
      <w:r>
        <w:rPr>
          <w:rStyle w:val="FootnoteReference"/>
        </w:rPr>
        <w:footnoteRef/>
      </w:r>
      <w:r>
        <w:t xml:space="preserve"> Cross-references for "the Lord": 1Sam 8:6-7; 1Sam 10:19.</w:t>
      </w:r>
    </w:p>
  </w:footnote>
  <w:footnote w:id="4689">
    <w:p>
      <w:pPr>
        <w:pStyle w:val="FootnoteText"/>
      </w:pPr>
      <w:r>
        <w:rPr>
          <w:rStyle w:val="FootnoteReference"/>
        </w:rPr>
        <w:footnoteRef/>
      </w:r>
      <w:r>
        <w:t xml:space="preserve"> Cross-references for "give me": Gen 24:22; Gen 24:53.</w:t>
      </w:r>
    </w:p>
  </w:footnote>
  <w:footnote w:id="4690">
    <w:p>
      <w:pPr>
        <w:pStyle w:val="FootnoteText"/>
      </w:pPr>
      <w:r>
        <w:rPr>
          <w:rStyle w:val="FootnoteReference"/>
        </w:rPr>
        <w:footnoteRef/>
      </w:r>
      <w:r>
        <w:t xml:space="preserve"> Cross-references for "purple": Jer 10:9; Ezek 27:7.</w:t>
      </w:r>
    </w:p>
  </w:footnote>
  <w:footnote w:id="4691">
    <w:p>
      <w:pPr>
        <w:pStyle w:val="FootnoteText"/>
      </w:pPr>
      <w:r>
        <w:rPr>
          <w:rStyle w:val="FootnoteReference"/>
        </w:rPr>
        <w:footnoteRef/>
      </w:r>
      <w:r>
        <w:t xml:space="preserve"> Cross-references for "an ephod": Exod 28:6-12; Judg 17:5.</w:t>
      </w:r>
    </w:p>
  </w:footnote>
  <w:footnote w:id="4692">
    <w:p>
      <w:pPr>
        <w:pStyle w:val="FootnoteText"/>
      </w:pPr>
      <w:r>
        <w:rPr>
          <w:rStyle w:val="FootnoteReference"/>
        </w:rPr>
        <w:footnoteRef/>
      </w:r>
      <w:r>
        <w:t xml:space="preserve"> Cross-references for "forty years": Judg 3:11; Judg 3:30.</w:t>
      </w:r>
    </w:p>
  </w:footnote>
  <w:footnote w:id="4693">
    <w:p>
      <w:pPr>
        <w:pStyle w:val="FootnoteText"/>
      </w:pPr>
      <w:r>
        <w:rPr>
          <w:rStyle w:val="FootnoteReference"/>
        </w:rPr>
        <w:footnoteRef/>
      </w:r>
      <w:r>
        <w:t xml:space="preserve"> Cross-references for "Jerubbaal": Judg 6:32; 1Sam 12:11.</w:t>
      </w:r>
    </w:p>
  </w:footnote>
  <w:footnote w:id="4694">
    <w:p>
      <w:pPr>
        <w:pStyle w:val="FootnoteText"/>
      </w:pPr>
      <w:r>
        <w:rPr>
          <w:rStyle w:val="FootnoteReference"/>
        </w:rPr>
        <w:footnoteRef/>
      </w:r>
      <w:r>
        <w:t xml:space="preserve"> Cross-references for "many wives": Gen 2:24; Gen 7:7.</w:t>
      </w:r>
    </w:p>
  </w:footnote>
  <w:footnote w:id="4695">
    <w:p>
      <w:pPr>
        <w:pStyle w:val="FootnoteText"/>
      </w:pPr>
      <w:r>
        <w:rPr>
          <w:rStyle w:val="FootnoteReference"/>
        </w:rPr>
        <w:footnoteRef/>
      </w:r>
      <w:r>
        <w:t xml:space="preserve"> Cross-references for "concubine": Gen 16:15; Gen 22:24.</w:t>
      </w:r>
    </w:p>
  </w:footnote>
  <w:footnote w:id="4696">
    <w:p>
      <w:pPr>
        <w:pStyle w:val="FootnoteText"/>
      </w:pPr>
      <w:r>
        <w:rPr>
          <w:rStyle w:val="FootnoteReference"/>
        </w:rPr>
        <w:footnoteRef/>
      </w:r>
      <w:r>
        <w:t xml:space="preserve"> Translation note: Greek uses the standard good-old-age death formula here. Current wording preserves it.</w:t>
      </w:r>
    </w:p>
  </w:footnote>
  <w:footnote w:id="4697">
    <w:p>
      <w:pPr>
        <w:pStyle w:val="FootnoteText"/>
      </w:pPr>
      <w:r>
        <w:rPr>
          <w:rStyle w:val="FootnoteReference"/>
        </w:rPr>
        <w:footnoteRef/>
      </w:r>
      <w:r>
        <w:t xml:space="preserve"> People-name: Abiezrites. People-name meaning: Abiezrites — descendants of Abiezer; father of help. Source form: Abiezrites.</w:t>
      </w:r>
    </w:p>
  </w:footnote>
  <w:footnote w:id="4698">
    <w:p>
      <w:pPr>
        <w:pStyle w:val="FootnoteText"/>
      </w:pPr>
      <w:r>
        <w:rPr>
          <w:rStyle w:val="FootnoteReference"/>
        </w:rPr>
        <w:footnoteRef/>
      </w:r>
      <w:r>
        <w:t xml:space="preserve"> Cross-references for "died in": Gen 15:15; Gen 25:8.</w:t>
      </w:r>
    </w:p>
  </w:footnote>
  <w:footnote w:id="4699">
    <w:p>
      <w:pPr>
        <w:pStyle w:val="FootnoteText"/>
      </w:pPr>
      <w:r>
        <w:rPr>
          <w:rStyle w:val="FootnoteReference"/>
        </w:rPr>
        <w:footnoteRef/>
      </w:r>
      <w:r>
        <w:t xml:space="preserve"> Divine or supernatural name: Baalberith. Divine/supernatural-name meaning: Baalberith — idol of the covenant. Source form: Baalberith.</w:t>
      </w:r>
    </w:p>
  </w:footnote>
  <w:footnote w:id="4700">
    <w:p>
      <w:pPr>
        <w:pStyle w:val="FootnoteText"/>
      </w:pPr>
      <w:r>
        <w:rPr>
          <w:rStyle w:val="FootnoteReference"/>
        </w:rPr>
        <w:footnoteRef/>
      </w:r>
      <w:r>
        <w:t xml:space="preserve"> Cross-references for "Baalberith": Judg 9:4; Judg 9:46.</w:t>
      </w:r>
    </w:p>
  </w:footnote>
  <w:footnote w:id="4701">
    <w:p>
      <w:pPr>
        <w:pStyle w:val="FootnoteText"/>
      </w:pPr>
      <w:r>
        <w:rPr>
          <w:rStyle w:val="FootnoteReference"/>
        </w:rPr>
        <w:footnoteRef/>
      </w:r>
      <w:r>
        <w:t xml:space="preserve"> Cross-references for "Abimelech": Judg 8:31.</w:t>
      </w:r>
    </w:p>
  </w:footnote>
  <w:footnote w:id="4702">
    <w:p>
      <w:pPr>
        <w:pStyle w:val="FootnoteText"/>
      </w:pPr>
      <w:r>
        <w:rPr>
          <w:rStyle w:val="FootnoteReference"/>
        </w:rPr>
        <w:footnoteRef/>
      </w:r>
      <w:r>
        <w:t xml:space="preserve"> Translation note: Greek keeps this order here.</w:t>
      </w:r>
    </w:p>
  </w:footnote>
  <w:footnote w:id="4703">
    <w:p>
      <w:pPr>
        <w:pStyle w:val="FootnoteText"/>
      </w:pPr>
      <w:r>
        <w:rPr>
          <w:rStyle w:val="FootnoteReference"/>
        </w:rPr>
        <w:footnoteRef/>
      </w:r>
      <w:r>
        <w:t xml:space="preserve"> Cross-references for "your bone": Gen 29:14; 2Sam 19:13.</w:t>
      </w:r>
    </w:p>
  </w:footnote>
  <w:footnote w:id="4704">
    <w:p>
      <w:pPr>
        <w:pStyle w:val="FootnoteText"/>
      </w:pPr>
      <w:r>
        <w:rPr>
          <w:rStyle w:val="FootnoteReference"/>
        </w:rPr>
        <w:footnoteRef/>
      </w:r>
      <w:r>
        <w:t xml:space="preserve"> Cross-references for "our brother": Gen 29:15.</w:t>
      </w:r>
    </w:p>
  </w:footnote>
  <w:footnote w:id="4705">
    <w:p>
      <w:pPr>
        <w:pStyle w:val="FootnoteText"/>
      </w:pPr>
      <w:r>
        <w:rPr>
          <w:rStyle w:val="FootnoteReference"/>
        </w:rPr>
        <w:footnoteRef/>
      </w:r>
      <w:r>
        <w:t xml:space="preserve"> Cross-references for "house": Judg 8:33; Judg 9:46-49.</w:t>
      </w:r>
    </w:p>
  </w:footnote>
  <w:footnote w:id="4706">
    <w:p>
      <w:pPr>
        <w:pStyle w:val="FootnoteText"/>
      </w:pPr>
      <w:r>
        <w:rPr>
          <w:rStyle w:val="FootnoteReference"/>
        </w:rPr>
        <w:footnoteRef/>
      </w:r>
      <w:r>
        <w:t xml:space="preserve"> Personal name: Jotham. Personal-name meaning: Jotham — the perfection of the Lord. Source form: Jotham.</w:t>
      </w:r>
    </w:p>
  </w:footnote>
  <w:footnote w:id="4707">
    <w:p>
      <w:pPr>
        <w:pStyle w:val="FootnoteText"/>
      </w:pPr>
      <w:r>
        <w:rPr>
          <w:rStyle w:val="FootnoteReference"/>
        </w:rPr>
        <w:footnoteRef/>
      </w:r>
      <w:r>
        <w:t xml:space="preserve"> MT/LXX note: Greek witnesses point to Ephratha here, not MT place-name. Current line keeps Greek location.</w:t>
      </w:r>
    </w:p>
  </w:footnote>
  <w:footnote w:id="4708">
    <w:p>
      <w:pPr>
        <w:pStyle w:val="FootnoteText"/>
      </w:pPr>
      <w:r>
        <w:rPr>
          <w:rStyle w:val="FootnoteReference"/>
        </w:rPr>
        <w:footnoteRef/>
      </w:r>
      <w:r>
        <w:t xml:space="preserve"> Cross-references for "the house": 2Sam 5:9; 2Kgs 12:20.</w:t>
      </w:r>
    </w:p>
  </w:footnote>
  <w:footnote w:id="4709">
    <w:p>
      <w:pPr>
        <w:pStyle w:val="FootnoteText"/>
      </w:pPr>
      <w:r>
        <w:rPr>
          <w:rStyle w:val="FootnoteReference"/>
        </w:rPr>
        <w:footnoteRef/>
      </w:r>
      <w:r>
        <w:t xml:space="preserve"> Transliterated proper noun: Millo. Standard English equivalent: Millo. Source form: Millo. Greek form: μααλλων. Name meaning: fullness.</w:t>
      </w:r>
    </w:p>
  </w:footnote>
  <w:footnote w:id="4710">
    <w:p>
      <w:pPr>
        <w:pStyle w:val="FootnoteText"/>
      </w:pPr>
      <w:r>
        <w:rPr>
          <w:rStyle w:val="FootnoteReference"/>
        </w:rPr>
        <w:footnoteRef/>
      </w:r>
      <w:r>
        <w:t xml:space="preserve"> Cross-references for "Mount Gerizim": Deut 11:29; Deut 27:12.</w:t>
      </w:r>
    </w:p>
  </w:footnote>
  <w:footnote w:id="4711">
    <w:p>
      <w:pPr>
        <w:pStyle w:val="FootnoteText"/>
      </w:pPr>
      <w:r>
        <w:rPr>
          <w:rStyle w:val="FootnoteReference"/>
        </w:rPr>
        <w:footnoteRef/>
      </w:r>
      <w:r>
        <w:t xml:space="preserve"> Translation note: Greek says hear me and may God hear you.</w:t>
      </w:r>
    </w:p>
  </w:footnote>
  <w:footnote w:id="4712">
    <w:p>
      <w:pPr>
        <w:pStyle w:val="FootnoteText"/>
      </w:pPr>
      <w:r>
        <w:rPr>
          <w:rStyle w:val="FootnoteReference"/>
        </w:rPr>
        <w:footnoteRef/>
      </w:r>
      <w:r>
        <w:t xml:space="preserve"> Cross-references for "the trees": 2Kgs 14:9; Ezek 17:3-10.</w:t>
      </w:r>
    </w:p>
  </w:footnote>
  <w:footnote w:id="4713">
    <w:p>
      <w:pPr>
        <w:pStyle w:val="FootnoteText"/>
      </w:pPr>
      <w:r>
        <w:rPr>
          <w:rStyle w:val="FootnoteReference"/>
        </w:rPr>
        <w:footnoteRef/>
      </w:r>
      <w:r>
        <w:t xml:space="preserve"> Cross-references for "let fire": Num 21:28; Judg 9:20.</w:t>
      </w:r>
    </w:p>
  </w:footnote>
  <w:footnote w:id="4714">
    <w:p>
      <w:pPr>
        <w:pStyle w:val="FootnoteText"/>
      </w:pPr>
      <w:r>
        <w:rPr>
          <w:rStyle w:val="FootnoteReference"/>
        </w:rPr>
        <w:footnoteRef/>
      </w:r>
      <w:r>
        <w:t xml:space="preserve"> Translation note: The translation keeps the project's thorn-bush rendering and the Greek conditional structure.</w:t>
      </w:r>
    </w:p>
  </w:footnote>
  <w:footnote w:id="4715">
    <w:p>
      <w:pPr>
        <w:pStyle w:val="FootnoteText"/>
      </w:pPr>
      <w:r>
        <w:rPr>
          <w:rStyle w:val="FootnoteReference"/>
        </w:rPr>
        <w:footnoteRef/>
      </w:r>
      <w:r>
        <w:t xml:space="preserve"> Cross-references for "fought": Judg 7:1-25; Judg 8:4-10.</w:t>
      </w:r>
    </w:p>
  </w:footnote>
  <w:footnote w:id="4716">
    <w:p>
      <w:pPr>
        <w:pStyle w:val="FootnoteText"/>
      </w:pPr>
      <w:r>
        <w:rPr>
          <w:rStyle w:val="FootnoteReference"/>
        </w:rPr>
        <w:footnoteRef/>
      </w:r>
      <w:r>
        <w:t xml:space="preserve"> Cross-references for "Abimelech": Judg 8:31; Judg 9:6.</w:t>
      </w:r>
    </w:p>
  </w:footnote>
  <w:footnote w:id="4717">
    <w:p>
      <w:pPr>
        <w:pStyle w:val="FootnoteText"/>
      </w:pPr>
      <w:r>
        <w:rPr>
          <w:rStyle w:val="FootnoteReference"/>
        </w:rPr>
        <w:footnoteRef/>
      </w:r>
      <w:r>
        <w:t xml:space="preserve"> Translation note: Greek says maidservant and Sikima here.</w:t>
      </w:r>
    </w:p>
  </w:footnote>
  <w:footnote w:id="4718">
    <w:p>
      <w:pPr>
        <w:pStyle w:val="FootnoteText"/>
      </w:pPr>
      <w:r>
        <w:rPr>
          <w:rStyle w:val="FootnoteReference"/>
        </w:rPr>
        <w:footnoteRef/>
      </w:r>
      <w:r>
        <w:t xml:space="preserve"> Cross-references for "rejoice": Isa 8:6; Phil 3:3.</w:t>
      </w:r>
    </w:p>
  </w:footnote>
  <w:footnote w:id="4719">
    <w:p>
      <w:pPr>
        <w:pStyle w:val="FootnoteText"/>
      </w:pPr>
      <w:r>
        <w:rPr>
          <w:rStyle w:val="FootnoteReference"/>
        </w:rPr>
        <w:footnoteRef/>
      </w:r>
      <w:r>
        <w:t xml:space="preserve"> Cross-references for "let fire come out": Judg 7:22; Judg 9:15.</w:t>
      </w:r>
    </w:p>
  </w:footnote>
  <w:footnote w:id="4720">
    <w:p>
      <w:pPr>
        <w:pStyle w:val="FootnoteText"/>
      </w:pPr>
      <w:r>
        <w:rPr>
          <w:rStyle w:val="FootnoteReference"/>
        </w:rPr>
        <w:footnoteRef/>
      </w:r>
      <w:r>
        <w:t xml:space="preserve"> Translation note: Greek says to lay their blood upon Abimelech and the men of Sikima.</w:t>
      </w:r>
    </w:p>
  </w:footnote>
  <w:footnote w:id="4721">
    <w:p>
      <w:pPr>
        <w:pStyle w:val="FootnoteText"/>
      </w:pPr>
      <w:r>
        <w:rPr>
          <w:rStyle w:val="FootnoteReference"/>
        </w:rPr>
        <w:footnoteRef/>
      </w:r>
      <w:r>
        <w:t xml:space="preserve"> Personal name: Gaal. Personal-name meaning: Gaal — contempt; abomination. Source form: Gaal.</w:t>
      </w:r>
    </w:p>
  </w:footnote>
  <w:footnote w:id="4722">
    <w:p>
      <w:pPr>
        <w:pStyle w:val="FootnoteText"/>
      </w:pPr>
      <w:r>
        <w:rPr>
          <w:rStyle w:val="FootnoteReference"/>
        </w:rPr>
        <w:footnoteRef/>
      </w:r>
      <w:r>
        <w:t xml:space="preserve"> Personal name: Ebed. Personal-name meaning: Ebed — a servant; laborer. Source form: Ebed.</w:t>
      </w:r>
    </w:p>
  </w:footnote>
  <w:footnote w:id="4723">
    <w:p>
      <w:pPr>
        <w:pStyle w:val="FootnoteText"/>
      </w:pPr>
      <w:r>
        <w:rPr>
          <w:rStyle w:val="FootnoteReference"/>
        </w:rPr>
        <w:footnoteRef/>
      </w:r>
      <w:r>
        <w:t xml:space="preserve"> Cross-references for "the house": Exod 32:6; Exod 32:19.</w:t>
      </w:r>
    </w:p>
  </w:footnote>
  <w:footnote w:id="4724">
    <w:p>
      <w:pPr>
        <w:pStyle w:val="FootnoteText"/>
      </w:pPr>
      <w:r>
        <w:rPr>
          <w:rStyle w:val="FootnoteReference"/>
        </w:rPr>
        <w:footnoteRef/>
      </w:r>
      <w:r>
        <w:t xml:space="preserve"> Personal name: Zebul. Personal-name meaning: Zebul — a habitation. Source form: Zebul.</w:t>
      </w:r>
    </w:p>
  </w:footnote>
  <w:footnote w:id="4725">
    <w:p>
      <w:pPr>
        <w:pStyle w:val="FootnoteText"/>
      </w:pPr>
      <w:r>
        <w:rPr>
          <w:rStyle w:val="FootnoteReference"/>
        </w:rPr>
        <w:footnoteRef/>
      </w:r>
      <w:r>
        <w:t xml:space="preserve"> Cross-references for "Hamor": Gen 34:2; Gen 34:6.</w:t>
      </w:r>
    </w:p>
  </w:footnote>
  <w:footnote w:id="4726">
    <w:p>
      <w:pPr>
        <w:pStyle w:val="FootnoteText"/>
      </w:pPr>
      <w:r>
        <w:rPr>
          <w:rStyle w:val="FootnoteReference"/>
        </w:rPr>
        <w:footnoteRef/>
      </w:r>
      <w:r>
        <w:t xml:space="preserve"> Translation note: Greek says Zeboul his overseer.</w:t>
      </w:r>
    </w:p>
  </w:footnote>
  <w:footnote w:id="4727">
    <w:p>
      <w:pPr>
        <w:pStyle w:val="FootnoteText"/>
      </w:pPr>
      <w:r>
        <w:rPr>
          <w:rStyle w:val="FootnoteReference"/>
        </w:rPr>
        <w:footnoteRef/>
      </w:r>
      <w:r>
        <w:t xml:space="preserve"> Cross-references for "by night": Job 24:14-17; Ps 36:4.</w:t>
      </w:r>
    </w:p>
  </w:footnote>
  <w:footnote w:id="4728">
    <w:p>
      <w:pPr>
        <w:pStyle w:val="FootnoteText"/>
      </w:pPr>
      <w:r>
        <w:rPr>
          <w:rStyle w:val="FootnoteReference"/>
        </w:rPr>
        <w:footnoteRef/>
      </w:r>
      <w:r>
        <w:t xml:space="preserve"> Translation note: Greek says spread out here. Current line keeps that deployment image.</w:t>
      </w:r>
    </w:p>
  </w:footnote>
  <w:footnote w:id="4729">
    <w:p>
      <w:pPr>
        <w:pStyle w:val="FootnoteText"/>
      </w:pPr>
      <w:r>
        <w:rPr>
          <w:rStyle w:val="FootnoteReference"/>
        </w:rPr>
        <w:footnoteRef/>
      </w:r>
      <w:r>
        <w:t xml:space="preserve"> Translation note: Greek gives a compact battle notice here. Current wording preserves it.</w:t>
      </w:r>
    </w:p>
  </w:footnote>
  <w:footnote w:id="4730">
    <w:p>
      <w:pPr>
        <w:pStyle w:val="FootnoteText"/>
      </w:pPr>
      <w:r>
        <w:rPr>
          <w:rStyle w:val="FootnoteReference"/>
        </w:rPr>
        <w:footnoteRef/>
      </w:r>
      <w:r>
        <w:t xml:space="preserve"> Place name: Arumah. Place-name meaning: Arumah — high; exalted. Source form: Arumah. Greek form: αριμα.</w:t>
      </w:r>
    </w:p>
  </w:footnote>
  <w:footnote w:id="4731">
    <w:p>
      <w:pPr>
        <w:pStyle w:val="FootnoteText"/>
      </w:pPr>
      <w:r>
        <w:rPr>
          <w:rStyle w:val="FootnoteReference"/>
        </w:rPr>
        <w:footnoteRef/>
      </w:r>
      <w:r>
        <w:t xml:space="preserve"> Cross-references for "Zebul": Judg 9:28; Judg 9:30.</w:t>
      </w:r>
    </w:p>
  </w:footnote>
  <w:footnote w:id="4732">
    <w:p>
      <w:pPr>
        <w:pStyle w:val="FootnoteText"/>
      </w:pPr>
      <w:r>
        <w:rPr>
          <w:rStyle w:val="FootnoteReference"/>
        </w:rPr>
        <w:footnoteRef/>
      </w:r>
      <w:r>
        <w:t xml:space="preserve"> Translation note: Greek keeps the military sequence compressed. Current wording preserves the three-companies line.</w:t>
      </w:r>
    </w:p>
  </w:footnote>
  <w:footnote w:id="4733">
    <w:p>
      <w:pPr>
        <w:pStyle w:val="FootnoteText"/>
      </w:pPr>
      <w:r>
        <w:rPr>
          <w:rStyle w:val="FootnoteReference"/>
        </w:rPr>
        <w:footnoteRef/>
      </w:r>
      <w:r>
        <w:t xml:space="preserve"> Translation note: Greek says spread out here. Current line keeps that deployment verb.</w:t>
      </w:r>
    </w:p>
  </w:footnote>
  <w:footnote w:id="4734">
    <w:p>
      <w:pPr>
        <w:pStyle w:val="FootnoteText"/>
      </w:pPr>
      <w:r>
        <w:rPr>
          <w:rStyle w:val="FootnoteReference"/>
        </w:rPr>
        <w:footnoteRef/>
      </w:r>
      <w:r>
        <w:t xml:space="preserve"> Transliterated proper noun: Zalmon. Standard English equivalent: Zalmon. Source form: Zalmon. Greek form: σελμων. Name meaning: his shade; his image.</w:t>
      </w:r>
    </w:p>
  </w:footnote>
  <w:footnote w:id="4735">
    <w:p>
      <w:pPr>
        <w:pStyle w:val="FootnoteText"/>
      </w:pPr>
      <w:r>
        <w:rPr>
          <w:rStyle w:val="FootnoteReference"/>
        </w:rPr>
        <w:footnoteRef/>
      </w:r>
      <w:r>
        <w:t xml:space="preserve"> Cross-references for "Zalmon": Ps 68:14.</w:t>
      </w:r>
    </w:p>
  </w:footnote>
  <w:footnote w:id="4736">
    <w:p>
      <w:pPr>
        <w:pStyle w:val="FootnoteText"/>
      </w:pPr>
      <w:r>
        <w:rPr>
          <w:rStyle w:val="FootnoteReference"/>
        </w:rPr>
        <w:footnoteRef/>
      </w:r>
      <w:r>
        <w:t xml:space="preserve"> Translation note: Greek says each cut a load and took it.</w:t>
      </w:r>
    </w:p>
  </w:footnote>
  <w:footnote w:id="4737">
    <w:p>
      <w:pPr>
        <w:pStyle w:val="FootnoteText"/>
      </w:pPr>
      <w:r>
        <w:rPr>
          <w:rStyle w:val="FootnoteReference"/>
        </w:rPr>
        <w:footnoteRef/>
      </w:r>
      <w:r>
        <w:t xml:space="preserve"> Place name: Thebez. Place-name meaning: Thebez — muddy; eggs; fine linen or silk. Source form: Thebez. Greek form: θεβες.</w:t>
      </w:r>
    </w:p>
  </w:footnote>
  <w:footnote w:id="4738">
    <w:p>
      <w:pPr>
        <w:pStyle w:val="FootnoteText"/>
      </w:pPr>
      <w:r>
        <w:rPr>
          <w:rStyle w:val="FootnoteReference"/>
        </w:rPr>
        <w:footnoteRef/>
      </w:r>
      <w:r>
        <w:t xml:space="preserve"> Cross-references for "Thebez": Judg 9:50.</w:t>
      </w:r>
    </w:p>
  </w:footnote>
  <w:footnote w:id="4739">
    <w:p>
      <w:pPr>
        <w:pStyle w:val="FootnoteText"/>
      </w:pPr>
      <w:r>
        <w:rPr>
          <w:rStyle w:val="FootnoteReference"/>
        </w:rPr>
        <w:footnoteRef/>
      </w:r>
      <w:r>
        <w:t xml:space="preserve"> Cross-references for "woman": Judg 9:15; Judg 9:20.</w:t>
      </w:r>
    </w:p>
  </w:footnote>
  <w:footnote w:id="4740">
    <w:p>
      <w:pPr>
        <w:pStyle w:val="FootnoteText"/>
      </w:pPr>
      <w:r>
        <w:rPr>
          <w:rStyle w:val="FootnoteReference"/>
        </w:rPr>
        <w:footnoteRef/>
      </w:r>
      <w:r>
        <w:t xml:space="preserve"> Cross-references for "upon them": Josh 6:26; Judg 9:20.</w:t>
      </w:r>
    </w:p>
  </w:footnote>
  <w:footnote w:id="4741">
    <w:p>
      <w:pPr>
        <w:pStyle w:val="FootnoteText"/>
      </w:pPr>
      <w:r>
        <w:rPr>
          <w:rStyle w:val="FootnoteReference"/>
        </w:rPr>
        <w:footnoteRef/>
      </w:r>
      <w:r>
        <w:t xml:space="preserve"> Cross-references for "arose": Judg 2:16; Judg 3:9.</w:t>
      </w:r>
    </w:p>
  </w:footnote>
  <w:footnote w:id="4742">
    <w:p>
      <w:pPr>
        <w:pStyle w:val="FootnoteText"/>
      </w:pPr>
      <w:r>
        <w:rPr>
          <w:rStyle w:val="FootnoteReference"/>
        </w:rPr>
        <w:footnoteRef/>
      </w:r>
      <w:r>
        <w:t xml:space="preserve"> Transliterated proper noun: Samaria. Standard English equivalent: Samaria. Source form: Samaria. Greek form: σαμαρεια. Name meaning: watch-mountain.</w:t>
      </w:r>
    </w:p>
  </w:footnote>
  <w:footnote w:id="4743">
    <w:p>
      <w:pPr>
        <w:pStyle w:val="FootnoteText"/>
      </w:pPr>
      <w:r>
        <w:rPr>
          <w:rStyle w:val="FootnoteReference"/>
        </w:rPr>
        <w:footnoteRef/>
      </w:r>
      <w:r>
        <w:t xml:space="preserve"> Cross-references for "called": Num 32:41; Deut 3:14.</w:t>
      </w:r>
    </w:p>
  </w:footnote>
  <w:footnote w:id="4744">
    <w:p>
      <w:pPr>
        <w:pStyle w:val="FootnoteText"/>
      </w:pPr>
      <w:r>
        <w:rPr>
          <w:rStyle w:val="FootnoteReference"/>
        </w:rPr>
        <w:footnoteRef/>
      </w:r>
      <w:r>
        <w:t xml:space="preserve"> Transliterated proper noun: Camon. Standard English equivalent: Camon. Source form: Camon. Greek form: ραμμω. Name meaning: his resurrection.</w:t>
      </w:r>
    </w:p>
  </w:footnote>
  <w:footnote w:id="4745">
    <w:p>
      <w:pPr>
        <w:pStyle w:val="FootnoteText"/>
      </w:pPr>
      <w:r>
        <w:rPr>
          <w:rStyle w:val="FootnoteReference"/>
        </w:rPr>
        <w:footnoteRef/>
      </w:r>
      <w:r>
        <w:t xml:space="preserve"> Translation note: Greek here says gods of foreigners.</w:t>
      </w:r>
    </w:p>
  </w:footnote>
  <w:footnote w:id="4746">
    <w:p>
      <w:pPr>
        <w:pStyle w:val="FootnoteText"/>
      </w:pPr>
      <w:r>
        <w:rPr>
          <w:rStyle w:val="FootnoteReference"/>
        </w:rPr>
        <w:footnoteRef/>
      </w:r>
      <w:r>
        <w:t xml:space="preserve"> Cross-references for "he sold": Judg 4:2; 1Sam 12:9-10.</w:t>
      </w:r>
    </w:p>
  </w:footnote>
  <w:footnote w:id="4747">
    <w:p>
      <w:pPr>
        <w:pStyle w:val="FootnoteText"/>
      </w:pPr>
      <w:r>
        <w:rPr>
          <w:rStyle w:val="FootnoteReference"/>
        </w:rPr>
        <w:footnoteRef/>
      </w:r>
      <w:r>
        <w:t xml:space="preserve"> Cross-references for "that year": Judg 10:5; Isa 30:13.</w:t>
      </w:r>
    </w:p>
  </w:footnote>
  <w:footnote w:id="4748">
    <w:p>
      <w:pPr>
        <w:pStyle w:val="FootnoteText"/>
      </w:pPr>
      <w:r>
        <w:rPr>
          <w:rStyle w:val="FootnoteReference"/>
        </w:rPr>
        <w:footnoteRef/>
      </w:r>
      <w:r>
        <w:t xml:space="preserve"> Cross-references for "cried": Judg 3:9; 1Sam 12:10.</w:t>
      </w:r>
    </w:p>
  </w:footnote>
  <w:footnote w:id="4749">
    <w:p>
      <w:pPr>
        <w:pStyle w:val="FootnoteText"/>
      </w:pPr>
      <w:r>
        <w:rPr>
          <w:rStyle w:val="FootnoteReference"/>
        </w:rPr>
        <w:footnoteRef/>
      </w:r>
      <w:r>
        <w:t xml:space="preserve"> Cross-references for "Egyptians": Exod 14:30; 1Sam 12:8.</w:t>
      </w:r>
    </w:p>
  </w:footnote>
  <w:footnote w:id="4750">
    <w:p>
      <w:pPr>
        <w:pStyle w:val="FootnoteText"/>
      </w:pPr>
      <w:r>
        <w:rPr>
          <w:rStyle w:val="FootnoteReference"/>
        </w:rPr>
        <w:footnoteRef/>
      </w:r>
      <w:r>
        <w:t xml:space="preserve"> Cross-references for "deliver": 2Sam 24:14; Job 34:31-32.</w:t>
      </w:r>
    </w:p>
  </w:footnote>
  <w:footnote w:id="4751">
    <w:p>
      <w:pPr>
        <w:pStyle w:val="FootnoteText"/>
      </w:pPr>
      <w:r>
        <w:rPr>
          <w:rStyle w:val="FootnoteReference"/>
        </w:rPr>
        <w:footnoteRef/>
      </w:r>
      <w:r>
        <w:t xml:space="preserve"> Place name: Mizpah. Place-name meaning: Mizpeh — a watch-tower; speculation. Standard English equivalent: Mizpeh. Source form: Mizpah. Greek form: μασσηφα.</w:t>
      </w:r>
    </w:p>
  </w:footnote>
  <w:footnote w:id="4752">
    <w:p>
      <w:pPr>
        <w:pStyle w:val="FootnoteText"/>
      </w:pPr>
      <w:r>
        <w:rPr>
          <w:rStyle w:val="FootnoteReference"/>
        </w:rPr>
        <w:footnoteRef/>
      </w:r>
      <w:r>
        <w:t xml:space="preserve"> Cross-references for "He shall be": Judg 11:11; Judg 12:7.</w:t>
      </w:r>
    </w:p>
  </w:footnote>
  <w:footnote w:id="4753">
    <w:p>
      <w:pPr>
        <w:pStyle w:val="FootnoteText"/>
      </w:pPr>
      <w:r>
        <w:rPr>
          <w:rStyle w:val="FootnoteReference"/>
        </w:rPr>
        <w:footnoteRef/>
      </w:r>
      <w:r>
        <w:t xml:space="preserve"> Transliterated proper noun: Jephthae. Standard English equivalent: Jephthah. Source form: Jephthae. Greek form: ιεφθαε. Name meaning: he opens.</w:t>
      </w:r>
    </w:p>
  </w:footnote>
  <w:footnote w:id="4754">
    <w:p>
      <w:pPr>
        <w:pStyle w:val="FootnoteText"/>
      </w:pPr>
      <w:r>
        <w:rPr>
          <w:rStyle w:val="FootnoteReference"/>
        </w:rPr>
        <w:footnoteRef/>
      </w:r>
      <w:r>
        <w:t xml:space="preserve"> Name meaning: Jephthae (Yiphtach) — He opens. Gileadite judge whose name fits his opening of negotiations and battle.</w:t>
      </w:r>
    </w:p>
  </w:footnote>
  <w:footnote w:id="4755">
    <w:p>
      <w:pPr>
        <w:pStyle w:val="FootnoteText"/>
      </w:pPr>
      <w:r>
        <w:rPr>
          <w:rStyle w:val="FootnoteReference"/>
        </w:rPr>
        <w:footnoteRef/>
      </w:r>
      <w:r>
        <w:t xml:space="preserve"> Cross-references for "Jephthah": Heb 11:32.</w:t>
      </w:r>
    </w:p>
  </w:footnote>
  <w:footnote w:id="4756">
    <w:p>
      <w:pPr>
        <w:pStyle w:val="FootnoteText"/>
      </w:pPr>
      <w:r>
        <w:rPr>
          <w:rStyle w:val="FootnoteReference"/>
        </w:rPr>
        <w:footnoteRef/>
      </w:r>
      <w:r>
        <w:t xml:space="preserve"> Place name: Tob. Place-name meaning: Tob — good; goodness. Source form: Tob. Greek form: τωβ.</w:t>
      </w:r>
    </w:p>
  </w:footnote>
  <w:footnote w:id="4757">
    <w:p>
      <w:pPr>
        <w:pStyle w:val="FootnoteText"/>
      </w:pPr>
      <w:r>
        <w:rPr>
          <w:rStyle w:val="FootnoteReference"/>
        </w:rPr>
        <w:footnoteRef/>
      </w:r>
      <w:r>
        <w:t xml:space="preserve"> Translation note: Greek gives the elders' action in a compact fetch-take line. Current wording preserves that sequence.</w:t>
      </w:r>
    </w:p>
  </w:footnote>
  <w:footnote w:id="4758">
    <w:p>
      <w:pPr>
        <w:pStyle w:val="FootnoteText"/>
      </w:pPr>
      <w:r>
        <w:rPr>
          <w:rStyle w:val="FootnoteReference"/>
        </w:rPr>
        <w:footnoteRef/>
      </w:r>
      <w:r>
        <w:t xml:space="preserve"> Cross-references for "the elders": Exod 8:8; Exod 8:28.</w:t>
      </w:r>
    </w:p>
  </w:footnote>
  <w:footnote w:id="4759">
    <w:p>
      <w:pPr>
        <w:pStyle w:val="FootnoteText"/>
      </w:pPr>
      <w:r>
        <w:rPr>
          <w:rStyle w:val="FootnoteReference"/>
        </w:rPr>
        <w:footnoteRef/>
      </w:r>
      <w:r>
        <w:t xml:space="preserve"> Cross-references for "The Lord": Gen 21:23; Gen 31:50.</w:t>
      </w:r>
    </w:p>
  </w:footnote>
  <w:footnote w:id="4760">
    <w:p>
      <w:pPr>
        <w:pStyle w:val="FootnoteText"/>
      </w:pPr>
      <w:r>
        <w:rPr>
          <w:rStyle w:val="FootnoteReference"/>
        </w:rPr>
        <w:footnoteRef/>
      </w:r>
      <w:r>
        <w:t xml:space="preserve"> Cross-references for "head": Judg 11:8.</w:t>
      </w:r>
    </w:p>
  </w:footnote>
  <w:footnote w:id="4761">
    <w:p>
      <w:pPr>
        <w:pStyle w:val="FootnoteText"/>
      </w:pPr>
      <w:r>
        <w:rPr>
          <w:rStyle w:val="FootnoteReference"/>
        </w:rPr>
        <w:footnoteRef/>
      </w:r>
      <w:r>
        <w:t xml:space="preserve"> Cross-references for "sent messengers": Num 20:14; Num 21:21.</w:t>
      </w:r>
    </w:p>
  </w:footnote>
  <w:footnote w:id="4762">
    <w:p>
      <w:pPr>
        <w:pStyle w:val="FootnoteText"/>
      </w:pPr>
      <w:r>
        <w:rPr>
          <w:rStyle w:val="FootnoteReference"/>
        </w:rPr>
        <w:footnoteRef/>
      </w:r>
      <w:r>
        <w:t xml:space="preserve"> Cross-references for "Because Israel": Num 21:24-26; Prov 19:5.</w:t>
      </w:r>
    </w:p>
  </w:footnote>
  <w:footnote w:id="4763">
    <w:p>
      <w:pPr>
        <w:pStyle w:val="FootnoteText"/>
      </w:pPr>
      <w:r>
        <w:rPr>
          <w:rStyle w:val="FootnoteReference"/>
        </w:rPr>
        <w:footnoteRef/>
      </w:r>
      <w:r>
        <w:t xml:space="preserve"> Cross-references for "sent messengers": Num 20:14-21; Deut 2:4-8.</w:t>
      </w:r>
    </w:p>
  </w:footnote>
  <w:footnote w:id="4764">
    <w:p>
      <w:pPr>
        <w:pStyle w:val="FootnoteText"/>
      </w:pPr>
      <w:r>
        <w:rPr>
          <w:rStyle w:val="FootnoteReference"/>
        </w:rPr>
        <w:footnoteRef/>
      </w:r>
      <w:r>
        <w:t xml:space="preserve"> Translation note: Greek says stayed at Kades here. Current line keeps that wording.</w:t>
      </w:r>
    </w:p>
  </w:footnote>
  <w:footnote w:id="4765">
    <w:p>
      <w:pPr>
        <w:pStyle w:val="FootnoteText"/>
      </w:pPr>
      <w:r>
        <w:rPr>
          <w:rStyle w:val="FootnoteReference"/>
        </w:rPr>
        <w:footnoteRef/>
      </w:r>
      <w:r>
        <w:t xml:space="preserve"> Translation note: Greek says went around the land of Edom and Moab.</w:t>
      </w:r>
    </w:p>
  </w:footnote>
  <w:footnote w:id="4766">
    <w:p>
      <w:pPr>
        <w:pStyle w:val="FootnoteText"/>
      </w:pPr>
      <w:r>
        <w:rPr>
          <w:rStyle w:val="FootnoteReference"/>
        </w:rPr>
        <w:footnoteRef/>
      </w:r>
      <w:r>
        <w:t xml:space="preserve"> Cross-references for "went": Num 20:22; Num 21:10-13.</w:t>
      </w:r>
    </w:p>
  </w:footnote>
  <w:footnote w:id="4767">
    <w:p>
      <w:pPr>
        <w:pStyle w:val="FootnoteText"/>
      </w:pPr>
      <w:r>
        <w:rPr>
          <w:rStyle w:val="FootnoteReference"/>
        </w:rPr>
        <w:footnoteRef/>
      </w:r>
      <w:r>
        <w:t xml:space="preserve"> Translation note: Greek states the territorial possession directly. Current wording preserves that border formula.</w:t>
      </w:r>
    </w:p>
  </w:footnote>
  <w:footnote w:id="4768">
    <w:p>
      <w:pPr>
        <w:pStyle w:val="FootnoteText"/>
      </w:pPr>
      <w:r>
        <w:rPr>
          <w:rStyle w:val="FootnoteReference"/>
        </w:rPr>
        <w:footnoteRef/>
      </w:r>
      <w:r>
        <w:t xml:space="preserve"> Cross-references for "Chemosh": Num 21:29; 1Kgs 11:7.</w:t>
      </w:r>
    </w:p>
  </w:footnote>
  <w:footnote w:id="4769">
    <w:p>
      <w:pPr>
        <w:pStyle w:val="FootnoteText"/>
      </w:pPr>
      <w:r>
        <w:rPr>
          <w:rStyle w:val="FootnoteReference"/>
        </w:rPr>
        <w:footnoteRef/>
      </w:r>
      <w:r>
        <w:t xml:space="preserve"> Cross-references for "Balak": Num 22:2-21; Deut 23:3-4.</w:t>
      </w:r>
    </w:p>
  </w:footnote>
  <w:footnote w:id="4770">
    <w:p>
      <w:pPr>
        <w:pStyle w:val="FootnoteText"/>
      </w:pPr>
      <w:r>
        <w:rPr>
          <w:rStyle w:val="FootnoteReference"/>
        </w:rPr>
        <w:footnoteRef/>
      </w:r>
      <w:r>
        <w:t xml:space="preserve"> Cross-references for "Heshbon": Num 21:25-30; Deut 2:24.</w:t>
      </w:r>
    </w:p>
  </w:footnote>
  <w:footnote w:id="4771">
    <w:p>
      <w:pPr>
        <w:pStyle w:val="FootnoteText"/>
      </w:pPr>
      <w:r>
        <w:rPr>
          <w:rStyle w:val="FootnoteReference"/>
        </w:rPr>
        <w:footnoteRef/>
      </w:r>
      <w:r>
        <w:t xml:space="preserve"> Translation note: Greek uses a plural subject and a rescue verb. The translation keeps both features rather than recasting the line more freely.</w:t>
      </w:r>
    </w:p>
  </w:footnote>
  <w:footnote w:id="4772">
    <w:p>
      <w:pPr>
        <w:pStyle w:val="FootnoteText"/>
      </w:pPr>
      <w:r>
        <w:rPr>
          <w:rStyle w:val="FootnoteReference"/>
        </w:rPr>
        <w:footnoteRef/>
      </w:r>
      <w:r>
        <w:t xml:space="preserve"> Cross-references for "the judge": Gen 18:25; 1Sam 2:10.</w:t>
      </w:r>
    </w:p>
  </w:footnote>
  <w:footnote w:id="4773">
    <w:p>
      <w:pPr>
        <w:pStyle w:val="FootnoteText"/>
      </w:pPr>
      <w:r>
        <w:rPr>
          <w:rStyle w:val="FootnoteReference"/>
        </w:rPr>
        <w:footnoteRef/>
      </w:r>
      <w:r>
        <w:t xml:space="preserve"> Cross-references for "the Spirit": Num 11:25; Judg 3:10.</w:t>
      </w:r>
    </w:p>
  </w:footnote>
  <w:footnote w:id="4774">
    <w:p>
      <w:pPr>
        <w:pStyle w:val="FootnoteText"/>
      </w:pPr>
      <w:r>
        <w:rPr>
          <w:rStyle w:val="FootnoteReference"/>
        </w:rPr>
        <w:footnoteRef/>
      </w:r>
      <w:r>
        <w:t xml:space="preserve"> Cross-references for "and I will": Lev 27:11-12; Deut 23:18.</w:t>
      </w:r>
    </w:p>
  </w:footnote>
  <w:footnote w:id="4775">
    <w:p>
      <w:pPr>
        <w:pStyle w:val="FootnoteText"/>
      </w:pPr>
      <w:r>
        <w:rPr>
          <w:rStyle w:val="FootnoteReference"/>
        </w:rPr>
        <w:footnoteRef/>
      </w:r>
      <w:r>
        <w:t xml:space="preserve"> Translation note: The Greek line is masculine and direct here. The current wording keeps that source-row wording visible.</w:t>
      </w:r>
    </w:p>
  </w:footnote>
  <w:footnote w:id="4776">
    <w:p>
      <w:pPr>
        <w:pStyle w:val="FootnoteText"/>
      </w:pPr>
      <w:r>
        <w:rPr>
          <w:rStyle w:val="FootnoteReference"/>
        </w:rPr>
        <w:footnoteRef/>
      </w:r>
      <w:r>
        <w:t xml:space="preserve"> Cross-references for "the Lord": Judg 1:4; Judg 2:18.</w:t>
      </w:r>
    </w:p>
  </w:footnote>
  <w:footnote w:id="4777">
    <w:p>
      <w:pPr>
        <w:pStyle w:val="FootnoteText"/>
      </w:pPr>
      <w:r>
        <w:rPr>
          <w:rStyle w:val="FootnoteReference"/>
        </w:rPr>
        <w:footnoteRef/>
      </w:r>
      <w:r>
        <w:t xml:space="preserve"> Cross-references for "Aroer": Deut 2:36.</w:t>
      </w:r>
    </w:p>
  </w:footnote>
  <w:footnote w:id="4778">
    <w:p>
      <w:pPr>
        <w:pStyle w:val="FootnoteText"/>
      </w:pPr>
      <w:r>
        <w:rPr>
          <w:rStyle w:val="FootnoteReference"/>
        </w:rPr>
        <w:footnoteRef/>
      </w:r>
      <w:r>
        <w:t xml:space="preserve"> Place name: Minnith. Place-name meaning: Minnith — reckoned; prepared. Source form: Minnith. Greek form: σεμωιθ.</w:t>
      </w:r>
    </w:p>
  </w:footnote>
  <w:footnote w:id="4779">
    <w:p>
      <w:pPr>
        <w:pStyle w:val="FootnoteText"/>
      </w:pPr>
      <w:r>
        <w:rPr>
          <w:rStyle w:val="FootnoteReference"/>
        </w:rPr>
        <w:footnoteRef/>
      </w:r>
      <w:r>
        <w:t xml:space="preserve"> Translation note: Greek preserves the place-name literally here. Current line keeps that instead of replacing it.</w:t>
      </w:r>
    </w:p>
  </w:footnote>
  <w:footnote w:id="4780">
    <w:p>
      <w:pPr>
        <w:pStyle w:val="FootnoteText"/>
      </w:pPr>
      <w:r>
        <w:rPr>
          <w:rStyle w:val="FootnoteReference"/>
        </w:rPr>
        <w:footnoteRef/>
      </w:r>
      <w:r>
        <w:t xml:space="preserve"> Cross-references for "his daughter": Exod 15:20; Judg 5:1-31.</w:t>
      </w:r>
    </w:p>
  </w:footnote>
  <w:footnote w:id="4781">
    <w:p>
      <w:pPr>
        <w:pStyle w:val="FootnoteText"/>
      </w:pPr>
      <w:r>
        <w:rPr>
          <w:rStyle w:val="FootnoteReference"/>
        </w:rPr>
        <w:footnoteRef/>
      </w:r>
      <w:r>
        <w:t xml:space="preserve"> Translation note: Greek keeps doubled stumbling verb.</w:t>
      </w:r>
    </w:p>
  </w:footnote>
  <w:footnote w:id="4782">
    <w:p>
      <w:pPr>
        <w:pStyle w:val="FootnoteText"/>
      </w:pPr>
      <w:r>
        <w:rPr>
          <w:rStyle w:val="FootnoteReference"/>
        </w:rPr>
        <w:footnoteRef/>
      </w:r>
      <w:r>
        <w:t xml:space="preserve"> Cross-references for "I cannot": Judg 21:1-7; 1Sam 14:44-45.</w:t>
      </w:r>
    </w:p>
  </w:footnote>
  <w:footnote w:id="4783">
    <w:p>
      <w:pPr>
        <w:pStyle w:val="FootnoteText"/>
      </w:pPr>
      <w:r>
        <w:rPr>
          <w:rStyle w:val="FootnoteReference"/>
        </w:rPr>
        <w:footnoteRef/>
      </w:r>
      <w:r>
        <w:t xml:space="preserve"> Translation note: Greek uses the from-days-to-days formula for the recurring custom. Current wording preserves that idiom.</w:t>
      </w:r>
    </w:p>
  </w:footnote>
  <w:footnote w:id="4784">
    <w:p>
      <w:pPr>
        <w:pStyle w:val="FootnoteText"/>
      </w:pPr>
      <w:r>
        <w:rPr>
          <w:rStyle w:val="FootnoteReference"/>
        </w:rPr>
        <w:footnoteRef/>
      </w:r>
      <w:r>
        <w:t xml:space="preserve"> Cross-references for "lament": Judg 5:11.</w:t>
      </w:r>
    </w:p>
  </w:footnote>
  <w:footnote w:id="4785">
    <w:p>
      <w:pPr>
        <w:pStyle w:val="FootnoteText"/>
      </w:pPr>
      <w:r>
        <w:rPr>
          <w:rStyle w:val="FootnoteReference"/>
        </w:rPr>
        <w:footnoteRef/>
      </w:r>
      <w:r>
        <w:t xml:space="preserve"> Transliterated proper noun: Sephina. Standard English equivalent: Sephina. Source form: Sephina. Greek form: σεφινα. Name meaning: LXX place-name/direction form.</w:t>
      </w:r>
    </w:p>
  </w:footnote>
  <w:footnote w:id="4786">
    <w:p>
      <w:pPr>
        <w:pStyle w:val="FootnoteText"/>
      </w:pPr>
      <w:r>
        <w:rPr>
          <w:rStyle w:val="FootnoteReference"/>
        </w:rPr>
        <w:footnoteRef/>
      </w:r>
      <w:r>
        <w:t xml:space="preserve"> Cross-references for "We will burn": Judg 14:15; Judg 15:6.</w:t>
      </w:r>
    </w:p>
  </w:footnote>
  <w:footnote w:id="4787">
    <w:p>
      <w:pPr>
        <w:pStyle w:val="FootnoteText"/>
      </w:pPr>
      <w:r>
        <w:rPr>
          <w:rStyle w:val="FootnoteReference"/>
        </w:rPr>
        <w:footnoteRef/>
      </w:r>
      <w:r>
        <w:t xml:space="preserve"> Translation note: The Greek preserves a place-name here instead of the Hebrew northward direction. The translation follows the Septuagint geography.</w:t>
      </w:r>
    </w:p>
  </w:footnote>
  <w:footnote w:id="4788">
    <w:p>
      <w:pPr>
        <w:pStyle w:val="FootnoteText"/>
      </w:pPr>
      <w:r>
        <w:rPr>
          <w:rStyle w:val="FootnoteReference"/>
        </w:rPr>
        <w:footnoteRef/>
      </w:r>
      <w:r>
        <w:t xml:space="preserve"> Cross-references for "I and my": Judg 11:12-33.</w:t>
      </w:r>
    </w:p>
  </w:footnote>
  <w:footnote w:id="4789">
    <w:p>
      <w:pPr>
        <w:pStyle w:val="FootnoteText"/>
      </w:pPr>
      <w:r>
        <w:rPr>
          <w:rStyle w:val="FootnoteReference"/>
        </w:rPr>
        <w:footnoteRef/>
      </w:r>
      <w:r>
        <w:t xml:space="preserve"> Translation note: Greek says I put my life in my own hand.</w:t>
      </w:r>
    </w:p>
  </w:footnote>
  <w:footnote w:id="4790">
    <w:p>
      <w:pPr>
        <w:pStyle w:val="FootnoteText"/>
      </w:pPr>
      <w:r>
        <w:rPr>
          <w:rStyle w:val="FootnoteReference"/>
        </w:rPr>
        <w:footnoteRef/>
      </w:r>
      <w:r>
        <w:t xml:space="preserve"> Cross-references for "and the men": Num 32:39-40; Deut 3:12-17.</w:t>
      </w:r>
    </w:p>
  </w:footnote>
  <w:footnote w:id="4791">
    <w:p>
      <w:pPr>
        <w:pStyle w:val="FootnoteText"/>
      </w:pPr>
      <w:r>
        <w:rPr>
          <w:rStyle w:val="FootnoteReference"/>
        </w:rPr>
        <w:footnoteRef/>
      </w:r>
      <w:r>
        <w:t xml:space="preserve"> Translation note: Greek preserves the insult in a direct form. The translation keeps that sting visible.</w:t>
      </w:r>
    </w:p>
  </w:footnote>
  <w:footnote w:id="4792">
    <w:p>
      <w:pPr>
        <w:pStyle w:val="FootnoteText"/>
      </w:pPr>
      <w:r>
        <w:rPr>
          <w:rStyle w:val="FootnoteReference"/>
        </w:rPr>
        <w:footnoteRef/>
      </w:r>
      <w:r>
        <w:t xml:space="preserve"> Translation note: Greek says the ones saved out of Ephraim, the fugitives.</w:t>
      </w:r>
    </w:p>
  </w:footnote>
  <w:footnote w:id="4793">
    <w:p>
      <w:pPr>
        <w:pStyle w:val="FootnoteText"/>
      </w:pPr>
      <w:r>
        <w:rPr>
          <w:rStyle w:val="FootnoteReference"/>
        </w:rPr>
        <w:footnoteRef/>
      </w:r>
      <w:r>
        <w:t xml:space="preserve"> Translation note: Greek says watchword and keeps the failed-speaking line.</w:t>
      </w:r>
    </w:p>
  </w:footnote>
  <w:footnote w:id="4794">
    <w:p>
      <w:pPr>
        <w:pStyle w:val="FootnoteText"/>
      </w:pPr>
      <w:r>
        <w:rPr>
          <w:rStyle w:val="FootnoteReference"/>
        </w:rPr>
        <w:footnoteRef/>
      </w:r>
      <w:r>
        <w:t xml:space="preserve"> Cross-references for "there fell": Prov 17:14; Prov 18:19.</w:t>
      </w:r>
    </w:p>
  </w:footnote>
  <w:footnote w:id="4795">
    <w:p>
      <w:pPr>
        <w:pStyle w:val="FootnoteText"/>
      </w:pPr>
      <w:r>
        <w:rPr>
          <w:rStyle w:val="FootnoteReference"/>
        </w:rPr>
        <w:footnoteRef/>
      </w:r>
      <w:r>
        <w:t xml:space="preserve"> Cross-references for "Bethlehem": Gen 15:19; 1Sam 16:1.</w:t>
      </w:r>
    </w:p>
  </w:footnote>
  <w:footnote w:id="4796">
    <w:p>
      <w:pPr>
        <w:pStyle w:val="FootnoteText"/>
      </w:pPr>
      <w:r>
        <w:rPr>
          <w:rStyle w:val="FootnoteReference"/>
        </w:rPr>
        <w:footnoteRef/>
      </w:r>
      <w:r>
        <w:t xml:space="preserve"> People-name: Zebulunite. People-name meaning: Zebulunite — Dwelling; honor. Source form: Zebulunite.</w:t>
      </w:r>
    </w:p>
  </w:footnote>
  <w:footnote w:id="4797">
    <w:p>
      <w:pPr>
        <w:pStyle w:val="FootnoteText"/>
      </w:pPr>
      <w:r>
        <w:rPr>
          <w:rStyle w:val="FootnoteReference"/>
        </w:rPr>
        <w:footnoteRef/>
      </w:r>
      <w:r>
        <w:t xml:space="preserve"> Translation note: Greek uses the judge-formula directly. Current wording preserves it.</w:t>
      </w:r>
    </w:p>
  </w:footnote>
  <w:footnote w:id="4798">
    <w:p>
      <w:pPr>
        <w:pStyle w:val="FootnoteText"/>
      </w:pPr>
      <w:r>
        <w:rPr>
          <w:rStyle w:val="FootnoteReference"/>
        </w:rPr>
        <w:footnoteRef/>
      </w:r>
      <w:r>
        <w:t xml:space="preserve"> Personal name: Hillel. Personal-name meaning: Hillel — he that praises. Source form: Hillel.</w:t>
      </w:r>
    </w:p>
  </w:footnote>
  <w:footnote w:id="4799">
    <w:p>
      <w:pPr>
        <w:pStyle w:val="FootnoteText"/>
      </w:pPr>
      <w:r>
        <w:rPr>
          <w:rStyle w:val="FootnoteReference"/>
        </w:rPr>
        <w:footnoteRef/>
      </w:r>
      <w:r>
        <w:t xml:space="preserve"> Transliterated proper noun: Pirathonite. Standard English equivalent: Pirathonite. Source form: Pirathonite. Greek form: φρααθωνιτης. Name meaning: his dissipation or deprivation; his rupture.</w:t>
      </w:r>
    </w:p>
  </w:footnote>
  <w:footnote w:id="4800">
    <w:p>
      <w:pPr>
        <w:pStyle w:val="FootnoteText"/>
      </w:pPr>
      <w:r>
        <w:rPr>
          <w:rStyle w:val="FootnoteReference"/>
        </w:rPr>
        <w:footnoteRef/>
      </w:r>
      <w:r>
        <w:t xml:space="preserve"> Cross-references for "Pirathonite": 2Sam 23:30.</w:t>
      </w:r>
    </w:p>
  </w:footnote>
  <w:footnote w:id="4801">
    <w:p>
      <w:pPr>
        <w:pStyle w:val="FootnoteText"/>
      </w:pPr>
      <w:r>
        <w:rPr>
          <w:rStyle w:val="FootnoteReference"/>
        </w:rPr>
        <w:footnoteRef/>
      </w:r>
      <w:r>
        <w:t xml:space="preserve"> Place name: Pirathon. Place-name meaning: Pirathon — his dissipation or deprivation; his rupture. Source form: Pirathon. Greek form: φρααθων.</w:t>
      </w:r>
    </w:p>
  </w:footnote>
  <w:footnote w:id="4802">
    <w:p>
      <w:pPr>
        <w:pStyle w:val="FootnoteText"/>
      </w:pPr>
      <w:r>
        <w:rPr>
          <w:rStyle w:val="FootnoteReference"/>
        </w:rPr>
        <w:footnoteRef/>
      </w:r>
      <w:r>
        <w:t xml:space="preserve"> Cross-references for "into the": 1Sam 12:9.</w:t>
      </w:r>
    </w:p>
  </w:footnote>
  <w:footnote w:id="4803">
    <w:p>
      <w:pPr>
        <w:pStyle w:val="FootnoteText"/>
      </w:pPr>
      <w:r>
        <w:rPr>
          <w:rStyle w:val="FootnoteReference"/>
        </w:rPr>
        <w:footnoteRef/>
      </w:r>
      <w:r>
        <w:t xml:space="preserve"> Cross-references for "Zorah": Josh 15:33; Josh 19:41.</w:t>
      </w:r>
    </w:p>
  </w:footnote>
  <w:footnote w:id="4804">
    <w:p>
      <w:pPr>
        <w:pStyle w:val="FootnoteText"/>
      </w:pPr>
      <w:r>
        <w:rPr>
          <w:rStyle w:val="FootnoteReference"/>
        </w:rPr>
        <w:footnoteRef/>
      </w:r>
      <w:r>
        <w:t xml:space="preserve"> Personal name: Manoah. Personal-name meaning: Manoah — rest; a present. Source form: Manoah.</w:t>
      </w:r>
    </w:p>
  </w:footnote>
  <w:footnote w:id="4805">
    <w:p>
      <w:pPr>
        <w:pStyle w:val="FootnoteText"/>
      </w:pPr>
      <w:r>
        <w:rPr>
          <w:rStyle w:val="FootnoteReference"/>
        </w:rPr>
        <w:footnoteRef/>
      </w:r>
      <w:r>
        <w:t xml:space="preserve"> Translation note: Greek says iron will not come upon his head. Many English versions narrow this to razor from context, but the fresh line keeps the broader Greek noun.</w:t>
      </w:r>
    </w:p>
  </w:footnote>
  <w:footnote w:id="4806">
    <w:p>
      <w:pPr>
        <w:pStyle w:val="FootnoteText"/>
      </w:pPr>
      <w:r>
        <w:rPr>
          <w:rStyle w:val="FootnoteReference"/>
        </w:rPr>
        <w:footnoteRef/>
      </w:r>
      <w:r>
        <w:t xml:space="preserve"> People-name: Nazirite. People-name meaning: Nazirite — separated/consecrated one. Source form: Nazirite.</w:t>
      </w:r>
    </w:p>
  </w:footnote>
  <w:footnote w:id="4807">
    <w:p>
      <w:pPr>
        <w:pStyle w:val="FootnoteText"/>
      </w:pPr>
      <w:r>
        <w:rPr>
          <w:rStyle w:val="FootnoteReference"/>
        </w:rPr>
        <w:footnoteRef/>
      </w:r>
      <w:r>
        <w:t xml:space="preserve"> Cross-references for "begin": 1Sam 7:13; 2Sam 8:1.</w:t>
      </w:r>
    </w:p>
  </w:footnote>
  <w:footnote w:id="4808">
    <w:p>
      <w:pPr>
        <w:pStyle w:val="FootnoteText"/>
      </w:pPr>
      <w:r>
        <w:rPr>
          <w:rStyle w:val="FootnoteReference"/>
        </w:rPr>
        <w:footnoteRef/>
      </w:r>
      <w:r>
        <w:t xml:space="preserve"> Cross-references for "A man": Deut 33:1; Josh 14:6.</w:t>
      </w:r>
    </w:p>
  </w:footnote>
  <w:footnote w:id="4809">
    <w:p>
      <w:pPr>
        <w:pStyle w:val="FootnoteText"/>
      </w:pPr>
      <w:r>
        <w:rPr>
          <w:rStyle w:val="FootnoteReference"/>
        </w:rPr>
        <w:footnoteRef/>
      </w:r>
      <w:r>
        <w:t xml:space="preserve"> Translation note: The Greek compares the visitor's appearance to an angel of God, and the broader scene is overtly theophanic. Manual Logos export across all witnesses supports keeping angel language here.</w:t>
      </w:r>
    </w:p>
  </w:footnote>
  <w:footnote w:id="4810">
    <w:p>
      <w:pPr>
        <w:pStyle w:val="FootnoteText"/>
      </w:pPr>
      <w:r>
        <w:rPr>
          <w:rStyle w:val="FootnoteReference"/>
        </w:rPr>
        <w:footnoteRef/>
      </w:r>
      <w:r>
        <w:t xml:space="preserve"> Translation note: The prayer still names the figure a man of God while making clear that God sent him. Manual Logos export supports keeping both parts of that wording explicit.</w:t>
      </w:r>
    </w:p>
  </w:footnote>
  <w:footnote w:id="4811">
    <w:p>
      <w:pPr>
        <w:pStyle w:val="FootnoteText"/>
      </w:pPr>
      <w:r>
        <w:rPr>
          <w:rStyle w:val="FootnoteReference"/>
        </w:rPr>
        <w:footnoteRef/>
      </w:r>
      <w:r>
        <w:t xml:space="preserve"> Translation note: The repeated visitation is described directly as the angel of God returning to the woman. Manual Logos export across all witnesses supports that wording.</w:t>
      </w:r>
    </w:p>
  </w:footnote>
  <w:footnote w:id="4812">
    <w:p>
      <w:pPr>
        <w:pStyle w:val="FootnoteText"/>
      </w:pPr>
      <w:r>
        <w:rPr>
          <w:rStyle w:val="FootnoteReference"/>
        </w:rPr>
        <w:footnoteRef/>
      </w:r>
      <w:r>
        <w:t xml:space="preserve"> Cross-references for "Behold": John 1:41-42; John 4:28-29.</w:t>
      </w:r>
    </w:p>
  </w:footnote>
  <w:footnote w:id="4813">
    <w:p>
      <w:pPr>
        <w:pStyle w:val="FootnoteText"/>
      </w:pPr>
      <w:r>
        <w:rPr>
          <w:rStyle w:val="FootnoteReference"/>
        </w:rPr>
        <w:footnoteRef/>
      </w:r>
      <w:r>
        <w:t xml:space="preserve"> Translation note: Greek phrases the warning reflexively here. Current wording preserves that form.</w:t>
      </w:r>
    </w:p>
  </w:footnote>
  <w:footnote w:id="4814">
    <w:p>
      <w:pPr>
        <w:pStyle w:val="FootnoteText"/>
      </w:pPr>
      <w:r>
        <w:rPr>
          <w:rStyle w:val="FootnoteReference"/>
        </w:rPr>
        <w:footnoteRef/>
      </w:r>
      <w:r>
        <w:t xml:space="preserve"> Cross-references for "Let us": Gen 18:3-5; Judg 6:18-19.</w:t>
      </w:r>
    </w:p>
  </w:footnote>
  <w:footnote w:id="4815">
    <w:p>
      <w:pPr>
        <w:pStyle w:val="FootnoteText"/>
      </w:pPr>
      <w:r>
        <w:rPr>
          <w:rStyle w:val="FootnoteReference"/>
        </w:rPr>
        <w:footnoteRef/>
      </w:r>
      <w:r>
        <w:t xml:space="preserve"> Translation note: Greek uses constrain or hold-fast language here. Current line keeps it close.</w:t>
      </w:r>
    </w:p>
  </w:footnote>
  <w:footnote w:id="4816">
    <w:p>
      <w:pPr>
        <w:pStyle w:val="FootnoteText"/>
      </w:pPr>
      <w:r>
        <w:rPr>
          <w:rStyle w:val="FootnoteReference"/>
        </w:rPr>
        <w:footnoteRef/>
      </w:r>
      <w:r>
        <w:t xml:space="preserve"> Cross-references for "took": Judg 6:19-20; 1Kgs 18:30-38.</w:t>
      </w:r>
    </w:p>
  </w:footnote>
  <w:footnote w:id="4817">
    <w:p>
      <w:pPr>
        <w:pStyle w:val="FootnoteText"/>
      </w:pPr>
      <w:r>
        <w:rPr>
          <w:rStyle w:val="FootnoteReference"/>
        </w:rPr>
        <w:footnoteRef/>
      </w:r>
      <w:r>
        <w:t xml:space="preserve"> Cross-references for "when the flame": 2Kgs 2:11; Ps 47:5.</w:t>
      </w:r>
    </w:p>
  </w:footnote>
  <w:footnote w:id="4818">
    <w:p>
      <w:pPr>
        <w:pStyle w:val="FootnoteText"/>
      </w:pPr>
      <w:r>
        <w:rPr>
          <w:rStyle w:val="FootnoteReference"/>
        </w:rPr>
        <w:footnoteRef/>
      </w:r>
      <w:r>
        <w:t xml:space="preserve"> Translation note: The ascent in the altar flame marks the scene as overtly supernatural. Manual Logos export across all witnesses supports keeping angel of the Lord language here.</w:t>
      </w:r>
    </w:p>
  </w:footnote>
  <w:footnote w:id="4819">
    <w:p>
      <w:pPr>
        <w:pStyle w:val="FootnoteText"/>
      </w:pPr>
      <w:r>
        <w:rPr>
          <w:rStyle w:val="FootnoteReference"/>
        </w:rPr>
        <w:footnoteRef/>
      </w:r>
      <w:r>
        <w:t xml:space="preserve"> Translation note: Greek uses the no-longer-appear formula here. Current wording preserves it.</w:t>
      </w:r>
    </w:p>
  </w:footnote>
  <w:footnote w:id="4820">
    <w:p>
      <w:pPr>
        <w:pStyle w:val="FootnoteText"/>
      </w:pPr>
      <w:r>
        <w:rPr>
          <w:rStyle w:val="FootnoteReference"/>
        </w:rPr>
        <w:footnoteRef/>
      </w:r>
      <w:r>
        <w:t xml:space="preserve"> Cross-references for "knew": Judg 6:22; Hos 12:4-5.</w:t>
      </w:r>
    </w:p>
  </w:footnote>
  <w:footnote w:id="4821">
    <w:p>
      <w:pPr>
        <w:pStyle w:val="FootnoteText"/>
      </w:pPr>
      <w:r>
        <w:rPr>
          <w:rStyle w:val="FootnoteReference"/>
        </w:rPr>
        <w:footnoteRef/>
      </w:r>
      <w:r>
        <w:t xml:space="preserve"> Cross-references for "We shall": Gen 32:30; Exod 33:20.</w:t>
      </w:r>
    </w:p>
  </w:footnote>
  <w:footnote w:id="4822">
    <w:p>
      <w:pPr>
        <w:pStyle w:val="FootnoteText"/>
      </w:pPr>
      <w:r>
        <w:rPr>
          <w:rStyle w:val="FootnoteReference"/>
        </w:rPr>
        <w:footnoteRef/>
      </w:r>
      <w:r>
        <w:t xml:space="preserve"> Cross-references for "his wife": Eccl 4:9-10; 1Cor 12:21.</w:t>
      </w:r>
    </w:p>
  </w:footnote>
  <w:footnote w:id="4823">
    <w:p>
      <w:pPr>
        <w:pStyle w:val="FootnoteText"/>
      </w:pPr>
      <w:r>
        <w:rPr>
          <w:rStyle w:val="FootnoteReference"/>
        </w:rPr>
        <w:footnoteRef/>
      </w:r>
      <w:r>
        <w:t xml:space="preserve"> Translation note: Greek uses light-language for divine disclosure. The translation keeps that imagery instead of flattening it to shown.</w:t>
      </w:r>
    </w:p>
  </w:footnote>
  <w:footnote w:id="4824">
    <w:p>
      <w:pPr>
        <w:pStyle w:val="FootnoteText"/>
      </w:pPr>
      <w:r>
        <w:rPr>
          <w:rStyle w:val="FootnoteReference"/>
        </w:rPr>
        <w:footnoteRef/>
      </w:r>
      <w:r>
        <w:t xml:space="preserve"> Name meaning: Samson (Shimshon) — Sun-like; little sun. Judge whose strength burned brightly but whose story ended in costly judgment.</w:t>
      </w:r>
    </w:p>
  </w:footnote>
  <w:footnote w:id="4825">
    <w:p>
      <w:pPr>
        <w:pStyle w:val="FootnoteText"/>
      </w:pPr>
      <w:r>
        <w:rPr>
          <w:rStyle w:val="FootnoteReference"/>
        </w:rPr>
        <w:footnoteRef/>
      </w:r>
      <w:r>
        <w:t xml:space="preserve"> Cross-references for "Samson": Heb 11:32.</w:t>
      </w:r>
    </w:p>
  </w:footnote>
  <w:footnote w:id="4826">
    <w:p>
      <w:pPr>
        <w:pStyle w:val="FootnoteText"/>
      </w:pPr>
      <w:r>
        <w:rPr>
          <w:rStyle w:val="FootnoteReference"/>
        </w:rPr>
        <w:footnoteRef/>
      </w:r>
      <w:r>
        <w:t xml:space="preserve"> Cross-references for "the Spirit": Judg 3:10; Judg 6:34.</w:t>
      </w:r>
    </w:p>
  </w:footnote>
  <w:footnote w:id="4827">
    <w:p>
      <w:pPr>
        <w:pStyle w:val="FootnoteText"/>
      </w:pPr>
      <w:r>
        <w:rPr>
          <w:rStyle w:val="FootnoteReference"/>
        </w:rPr>
        <w:footnoteRef/>
      </w:r>
      <w:r>
        <w:t xml:space="preserve"> Cross-references for "uncircumcised": Gen 34:14; Exod 34:12-16.</w:t>
      </w:r>
    </w:p>
  </w:footnote>
  <w:footnote w:id="4828">
    <w:p>
      <w:pPr>
        <w:pStyle w:val="FootnoteText"/>
      </w:pPr>
      <w:r>
        <w:rPr>
          <w:rStyle w:val="FootnoteReference"/>
        </w:rPr>
        <w:footnoteRef/>
      </w:r>
      <w:r>
        <w:t xml:space="preserve"> Translation note: Greek uses strong Spirit-of-the-Lord empowerment language. Current wording preserves it.</w:t>
      </w:r>
    </w:p>
  </w:footnote>
  <w:footnote w:id="4829">
    <w:p>
      <w:pPr>
        <w:pStyle w:val="FootnoteText"/>
      </w:pPr>
      <w:r>
        <w:rPr>
          <w:rStyle w:val="FootnoteReference"/>
        </w:rPr>
        <w:footnoteRef/>
      </w:r>
      <w:r>
        <w:t xml:space="preserve"> Cross-references for "the Spirit": Judg 3:10; Judg 11:29.</w:t>
      </w:r>
    </w:p>
  </w:footnote>
  <w:footnote w:id="4830">
    <w:p>
      <w:pPr>
        <w:pStyle w:val="FootnoteText"/>
      </w:pPr>
      <w:r>
        <w:rPr>
          <w:rStyle w:val="FootnoteReference"/>
        </w:rPr>
        <w:footnoteRef/>
      </w:r>
      <w:r>
        <w:t xml:space="preserve"> Cross-references for "to take her": Gen 29:21; Matt 1:20.</w:t>
      </w:r>
    </w:p>
  </w:footnote>
  <w:footnote w:id="4831">
    <w:p>
      <w:pPr>
        <w:pStyle w:val="FootnoteText"/>
      </w:pPr>
      <w:r>
        <w:rPr>
          <w:rStyle w:val="FootnoteReference"/>
        </w:rPr>
        <w:footnoteRef/>
      </w:r>
      <w:r>
        <w:t xml:space="preserve"> Cross-references for "made there": Gen 29:22; Eccl 10:19.</w:t>
      </w:r>
    </w:p>
  </w:footnote>
  <w:footnote w:id="4832">
    <w:p>
      <w:pPr>
        <w:pStyle w:val="FootnoteText"/>
      </w:pPr>
      <w:r>
        <w:rPr>
          <w:rStyle w:val="FootnoteReference"/>
        </w:rPr>
        <w:footnoteRef/>
      </w:r>
      <w:r>
        <w:t xml:space="preserve"> Cross-references for "thirty": Matt 9:15; John 3:29.</w:t>
      </w:r>
    </w:p>
  </w:footnote>
  <w:footnote w:id="4833">
    <w:p>
      <w:pPr>
        <w:pStyle w:val="FootnoteText"/>
      </w:pPr>
      <w:r>
        <w:rPr>
          <w:rStyle w:val="FootnoteReference"/>
        </w:rPr>
        <w:footnoteRef/>
      </w:r>
      <w:r>
        <w:t xml:space="preserve"> Cross-references for "a riddle": 1Kgs 10:1; Ps 49:4.</w:t>
      </w:r>
    </w:p>
  </w:footnote>
  <w:footnote w:id="4834">
    <w:p>
      <w:pPr>
        <w:pStyle w:val="FootnoteText"/>
      </w:pPr>
      <w:r>
        <w:rPr>
          <w:rStyle w:val="FootnoteReference"/>
        </w:rPr>
        <w:footnoteRef/>
      </w:r>
      <w:r>
        <w:t xml:space="preserve"> Cross-references for "Out of the eater": Gen 3:15; Deut 8:15-16.</w:t>
      </w:r>
    </w:p>
  </w:footnote>
  <w:footnote w:id="4835">
    <w:p>
      <w:pPr>
        <w:pStyle w:val="FootnoteText"/>
      </w:pPr>
      <w:r>
        <w:rPr>
          <w:rStyle w:val="FootnoteReference"/>
        </w:rPr>
        <w:footnoteRef/>
      </w:r>
      <w:r>
        <w:t xml:space="preserve"> Cross-references for "lest we burn": Judg 12:1; Judg 15:6.</w:t>
      </w:r>
    </w:p>
  </w:footnote>
  <w:footnote w:id="4836">
    <w:p>
      <w:pPr>
        <w:pStyle w:val="FootnoteText"/>
      </w:pPr>
      <w:r>
        <w:rPr>
          <w:rStyle w:val="FootnoteReference"/>
        </w:rPr>
        <w:footnoteRef/>
      </w:r>
      <w:r>
        <w:t xml:space="preserve"> Translation note: Greek says on fourth day here.</w:t>
      </w:r>
    </w:p>
  </w:footnote>
  <w:footnote w:id="4837">
    <w:p>
      <w:pPr>
        <w:pStyle w:val="FootnoteText"/>
      </w:pPr>
      <w:r>
        <w:rPr>
          <w:rStyle w:val="FootnoteReference"/>
        </w:rPr>
        <w:footnoteRef/>
      </w:r>
      <w:r>
        <w:t xml:space="preserve"> Translation note: Greek line matches current rendering closely here.</w:t>
      </w:r>
    </w:p>
  </w:footnote>
  <w:footnote w:id="4838">
    <w:p>
      <w:pPr>
        <w:pStyle w:val="FootnoteText"/>
      </w:pPr>
      <w:r>
        <w:rPr>
          <w:rStyle w:val="FootnoteReference"/>
        </w:rPr>
        <w:footnoteRef/>
      </w:r>
      <w:r>
        <w:t xml:space="preserve"> Cross-references for "I have not": Gen 2:24.</w:t>
      </w:r>
    </w:p>
  </w:footnote>
  <w:footnote w:id="4839">
    <w:p>
      <w:pPr>
        <w:pStyle w:val="FootnoteText"/>
      </w:pPr>
      <w:r>
        <w:rPr>
          <w:rStyle w:val="FootnoteReference"/>
        </w:rPr>
        <w:footnoteRef/>
      </w:r>
      <w:r>
        <w:t xml:space="preserve"> Translation note: Greek says because she pressed him hard.</w:t>
      </w:r>
    </w:p>
  </w:footnote>
  <w:footnote w:id="4840">
    <w:p>
      <w:pPr>
        <w:pStyle w:val="FootnoteText"/>
      </w:pPr>
      <w:r>
        <w:rPr>
          <w:rStyle w:val="FootnoteReference"/>
        </w:rPr>
        <w:footnoteRef/>
      </w:r>
      <w:r>
        <w:t xml:space="preserve"> Cross-references for "and she told": Prov 2:16-17.</w:t>
      </w:r>
    </w:p>
  </w:footnote>
  <w:footnote w:id="4841">
    <w:p>
      <w:pPr>
        <w:pStyle w:val="FootnoteText"/>
      </w:pPr>
      <w:r>
        <w:rPr>
          <w:rStyle w:val="FootnoteReference"/>
        </w:rPr>
        <w:footnoteRef/>
      </w:r>
      <w:r>
        <w:t xml:space="preserve"> Cross-references for "the Spirit": Judg 3:10; Judg 13:25.</w:t>
      </w:r>
    </w:p>
  </w:footnote>
  <w:footnote w:id="4842">
    <w:p>
      <w:pPr>
        <w:pStyle w:val="FootnoteText"/>
      </w:pPr>
      <w:r>
        <w:rPr>
          <w:rStyle w:val="FootnoteReference"/>
        </w:rPr>
        <w:footnoteRef/>
      </w:r>
      <w:r>
        <w:t xml:space="preserve"> Translation note: Greek says Spirit leapt/rushed upon him.</w:t>
      </w:r>
    </w:p>
  </w:footnote>
  <w:footnote w:id="4843">
    <w:p>
      <w:pPr>
        <w:pStyle w:val="FootnoteText"/>
      </w:pPr>
      <w:r>
        <w:rPr>
          <w:rStyle w:val="FootnoteReference"/>
        </w:rPr>
        <w:footnoteRef/>
      </w:r>
      <w:r>
        <w:t xml:space="preserve"> Cross-references for "a kid": Gen 38:17; Luke 15:29.</w:t>
      </w:r>
    </w:p>
  </w:footnote>
  <w:footnote w:id="4844">
    <w:p>
      <w:pPr>
        <w:pStyle w:val="FootnoteText"/>
      </w:pPr>
      <w:r>
        <w:rPr>
          <w:rStyle w:val="FootnoteReference"/>
        </w:rPr>
        <w:footnoteRef/>
      </w:r>
      <w:r>
        <w:t xml:space="preserve"> Translation note: Greek says Samson says he will go in to his wife in the bedroom.</w:t>
      </w:r>
    </w:p>
  </w:footnote>
  <w:footnote w:id="4845">
    <w:p>
      <w:pPr>
        <w:pStyle w:val="FootnoteText"/>
      </w:pPr>
      <w:r>
        <w:rPr>
          <w:rStyle w:val="FootnoteReference"/>
        </w:rPr>
        <w:footnoteRef/>
      </w:r>
      <w:r>
        <w:t xml:space="preserve"> Cross-references for "I gave": Gen 38:14; Judg 14:20.</w:t>
      </w:r>
    </w:p>
  </w:footnote>
  <w:footnote w:id="4846">
    <w:p>
      <w:pPr>
        <w:pStyle w:val="FootnoteText"/>
      </w:pPr>
      <w:r>
        <w:rPr>
          <w:rStyle w:val="FootnoteReference"/>
        </w:rPr>
        <w:footnoteRef/>
      </w:r>
      <w:r>
        <w:t xml:space="preserve"> Translation note: Greek witnesses split between son-in-law and bridegroom.</w:t>
      </w:r>
    </w:p>
  </w:footnote>
  <w:footnote w:id="4847">
    <w:p>
      <w:pPr>
        <w:pStyle w:val="FootnoteText"/>
      </w:pPr>
      <w:r>
        <w:rPr>
          <w:rStyle w:val="FootnoteReference"/>
        </w:rPr>
        <w:footnoteRef/>
      </w:r>
      <w:r>
        <w:t xml:space="preserve"> Translation note: Greek says gave her to his companion.</w:t>
      </w:r>
    </w:p>
  </w:footnote>
  <w:footnote w:id="4848">
    <w:p>
      <w:pPr>
        <w:pStyle w:val="FootnoteText"/>
      </w:pPr>
      <w:r>
        <w:rPr>
          <w:rStyle w:val="FootnoteReference"/>
        </w:rPr>
        <w:footnoteRef/>
      </w:r>
      <w:r>
        <w:t xml:space="preserve"> Translation note: Greek says Samson bridegroom of Timnite and one of his friends.</w:t>
      </w:r>
    </w:p>
  </w:footnote>
  <w:footnote w:id="4849">
    <w:p>
      <w:pPr>
        <w:pStyle w:val="FootnoteText"/>
      </w:pPr>
      <w:r>
        <w:rPr>
          <w:rStyle w:val="FootnoteReference"/>
        </w:rPr>
        <w:footnoteRef/>
      </w:r>
      <w:r>
        <w:t xml:space="preserve"> Translation note: Greek says Samson son-in-law of the Thamnathite.</w:t>
      </w:r>
    </w:p>
  </w:footnote>
  <w:footnote w:id="4850">
    <w:p>
      <w:pPr>
        <w:pStyle w:val="FootnoteText"/>
      </w:pPr>
      <w:r>
        <w:rPr>
          <w:rStyle w:val="FootnoteReference"/>
        </w:rPr>
        <w:footnoteRef/>
      </w:r>
      <w:r>
        <w:t xml:space="preserve"> Transliterated proper noun: Etam. Standard English equivalent: Etam. Source form: Etam. Greek form: ηταμ. Name meaning: their bird, their covering.</w:t>
      </w:r>
    </w:p>
  </w:footnote>
  <w:footnote w:id="4851">
    <w:p>
      <w:pPr>
        <w:pStyle w:val="FootnoteText"/>
      </w:pPr>
      <w:r>
        <w:rPr>
          <w:rStyle w:val="FootnoteReference"/>
        </w:rPr>
        <w:footnoteRef/>
      </w:r>
      <w:r>
        <w:t xml:space="preserve"> Place name: Lehi. Place-name meaning: Lehi — jawbone. Source form: Lehi. Greek form: λεχι.</w:t>
      </w:r>
    </w:p>
  </w:footnote>
  <w:footnote w:id="4852">
    <w:p>
      <w:pPr>
        <w:pStyle w:val="FootnoteText"/>
      </w:pPr>
      <w:r>
        <w:rPr>
          <w:rStyle w:val="FootnoteReference"/>
        </w:rPr>
        <w:footnoteRef/>
      </w:r>
      <w:r>
        <w:t xml:space="preserve"> Cross-references for "Lehi": Judg 15:17; Judg 15:19.</w:t>
      </w:r>
    </w:p>
  </w:footnote>
  <w:footnote w:id="4853">
    <w:p>
      <w:pPr>
        <w:pStyle w:val="FootnoteText"/>
      </w:pPr>
      <w:r>
        <w:rPr>
          <w:rStyle w:val="FootnoteReference"/>
        </w:rPr>
        <w:footnoteRef/>
      </w:r>
      <w:r>
        <w:t xml:space="preserve"> Cross-references for "the rock Etam": 1Chr 4:32.</w:t>
      </w:r>
    </w:p>
  </w:footnote>
  <w:footnote w:id="4854">
    <w:p>
      <w:pPr>
        <w:pStyle w:val="FootnoteText"/>
      </w:pPr>
      <w:r>
        <w:rPr>
          <w:rStyle w:val="FootnoteReference"/>
        </w:rPr>
        <w:footnoteRef/>
      </w:r>
      <w:r>
        <w:t xml:space="preserve"> Translation note: The project regularly renders allophyloi as foreigners in this stream. Context still identifies the Philistine enemy group.</w:t>
      </w:r>
    </w:p>
  </w:footnote>
  <w:footnote w:id="4855">
    <w:p>
      <w:pPr>
        <w:pStyle w:val="FootnoteText"/>
      </w:pPr>
      <w:r>
        <w:rPr>
          <w:rStyle w:val="FootnoteReference"/>
        </w:rPr>
        <w:footnoteRef/>
      </w:r>
      <w:r>
        <w:t xml:space="preserve"> Cross-references for "fall": Judg 8:21; 1Kgs 2:25.</w:t>
      </w:r>
    </w:p>
  </w:footnote>
  <w:footnote w:id="4856">
    <w:p>
      <w:pPr>
        <w:pStyle w:val="FootnoteText"/>
      </w:pPr>
      <w:r>
        <w:rPr>
          <w:rStyle w:val="FootnoteReference"/>
        </w:rPr>
        <w:footnoteRef/>
      </w:r>
      <w:r>
        <w:t xml:space="preserve"> Translation note: Greek stacks the bind-and-hand-over assurance. Current wording preserves that oath response.</w:t>
      </w:r>
    </w:p>
  </w:footnote>
  <w:footnote w:id="4857">
    <w:p>
      <w:pPr>
        <w:pStyle w:val="FootnoteText"/>
      </w:pPr>
      <w:r>
        <w:rPr>
          <w:rStyle w:val="FootnoteReference"/>
        </w:rPr>
        <w:footnoteRef/>
      </w:r>
      <w:r>
        <w:t xml:space="preserve"> Cross-references for "the Spirit": Judg 3:10; Judg 14:6.</w:t>
      </w:r>
    </w:p>
  </w:footnote>
  <w:footnote w:id="4858">
    <w:p>
      <w:pPr>
        <w:pStyle w:val="FootnoteText"/>
      </w:pPr>
      <w:r>
        <w:rPr>
          <w:rStyle w:val="FootnoteReference"/>
        </w:rPr>
        <w:footnoteRef/>
      </w:r>
      <w:r>
        <w:t xml:space="preserve"> Translation note: Greek has unusual smells-fire image.</w:t>
      </w:r>
    </w:p>
  </w:footnote>
  <w:footnote w:id="4859">
    <w:p>
      <w:pPr>
        <w:pStyle w:val="FootnoteText"/>
      </w:pPr>
      <w:r>
        <w:rPr>
          <w:rStyle w:val="FootnoteReference"/>
        </w:rPr>
        <w:footnoteRef/>
      </w:r>
      <w:r>
        <w:t xml:space="preserve"> Translation note: Greek uses salvation language directly. Current wording preserves it.</w:t>
      </w:r>
    </w:p>
  </w:footnote>
  <w:footnote w:id="4860">
    <w:p>
      <w:pPr>
        <w:pStyle w:val="FootnoteText"/>
      </w:pPr>
      <w:r>
        <w:rPr>
          <w:rStyle w:val="FootnoteReference"/>
        </w:rPr>
        <w:footnoteRef/>
      </w:r>
      <w:r>
        <w:t xml:space="preserve"> Cross-references for "and fall": Gen 12:12-13; Gen 20:11.</w:t>
      </w:r>
    </w:p>
  </w:footnote>
  <w:footnote w:id="4861">
    <w:p>
      <w:pPr>
        <w:pStyle w:val="FootnoteText"/>
      </w:pPr>
      <w:r>
        <w:rPr>
          <w:rStyle w:val="FootnoteReference"/>
        </w:rPr>
        <w:footnoteRef/>
      </w:r>
      <w:r>
        <w:t xml:space="preserve"> Cross-references for "his spirit": Gen 45:27; 1Sam 30:12.</w:t>
      </w:r>
    </w:p>
  </w:footnote>
  <w:footnote w:id="4862">
    <w:p>
      <w:pPr>
        <w:pStyle w:val="FootnoteText"/>
      </w:pPr>
      <w:r>
        <w:rPr>
          <w:rStyle w:val="FootnoteReference"/>
        </w:rPr>
        <w:footnoteRef/>
      </w:r>
      <w:r>
        <w:t xml:space="preserve"> Translation note: Greek says God opened wound of jawbone.</w:t>
      </w:r>
    </w:p>
  </w:footnote>
  <w:footnote w:id="4863">
    <w:p>
      <w:pPr>
        <w:pStyle w:val="FootnoteText"/>
      </w:pPr>
      <w:r>
        <w:rPr>
          <w:rStyle w:val="FootnoteReference"/>
        </w:rPr>
        <w:footnoteRef/>
      </w:r>
      <w:r>
        <w:t xml:space="preserve"> Cross-references for "Gaza": Gen 10:19; Josh 15:47.</w:t>
      </w:r>
    </w:p>
  </w:footnote>
  <w:footnote w:id="4864">
    <w:p>
      <w:pPr>
        <w:pStyle w:val="FootnoteText"/>
      </w:pPr>
      <w:r>
        <w:rPr>
          <w:rStyle w:val="FootnoteReference"/>
        </w:rPr>
        <w:footnoteRef/>
      </w:r>
      <w:r>
        <w:t xml:space="preserve"> People-name: Gazites. People-name meaning: Gazites — people of Gaza; strong. Source form: Gazites.</w:t>
      </w:r>
    </w:p>
  </w:footnote>
  <w:footnote w:id="4865">
    <w:p>
      <w:pPr>
        <w:pStyle w:val="FootnoteText"/>
      </w:pPr>
      <w:r>
        <w:rPr>
          <w:rStyle w:val="FootnoteReference"/>
        </w:rPr>
        <w:footnoteRef/>
      </w:r>
      <w:r>
        <w:t xml:space="preserve"> Translation note: Greek line matches current siege wording closely here.</w:t>
      </w:r>
    </w:p>
  </w:footnote>
  <w:footnote w:id="4866">
    <w:p>
      <w:pPr>
        <w:pStyle w:val="FootnoteText"/>
      </w:pPr>
      <w:r>
        <w:rPr>
          <w:rStyle w:val="FootnoteReference"/>
        </w:rPr>
        <w:footnoteRef/>
      </w:r>
      <w:r>
        <w:t xml:space="preserve"> Cross-references for "kill him": Judg 15:18; Matt 21:38.</w:t>
      </w:r>
    </w:p>
  </w:footnote>
  <w:footnote w:id="4867">
    <w:p>
      <w:pPr>
        <w:pStyle w:val="FootnoteText"/>
      </w:pPr>
      <w:r>
        <w:rPr>
          <w:rStyle w:val="FootnoteReference"/>
        </w:rPr>
        <w:footnoteRef/>
      </w:r>
      <w:r>
        <w:t xml:space="preserve"> Cross-references for "took": Ps 107:16; Isa 63:1-5.</w:t>
      </w:r>
    </w:p>
  </w:footnote>
  <w:footnote w:id="4868">
    <w:p>
      <w:pPr>
        <w:pStyle w:val="FootnoteText"/>
      </w:pPr>
      <w:r>
        <w:rPr>
          <w:rStyle w:val="FootnoteReference"/>
        </w:rPr>
        <w:footnoteRef/>
      </w:r>
      <w:r>
        <w:t xml:space="preserve"> Translation note: Greek line matches current rendering closely here.</w:t>
      </w:r>
    </w:p>
  </w:footnote>
  <w:footnote w:id="4869">
    <w:p>
      <w:pPr>
        <w:pStyle w:val="FootnoteText"/>
      </w:pPr>
      <w:r>
        <w:rPr>
          <w:rStyle w:val="FootnoteReference"/>
        </w:rPr>
        <w:footnoteRef/>
      </w:r>
      <w:r>
        <w:t xml:space="preserve"> Cross-references for "he loved": 1Kgs 11:1; Neh 13:26.</w:t>
      </w:r>
    </w:p>
  </w:footnote>
  <w:footnote w:id="4870">
    <w:p>
      <w:pPr>
        <w:pStyle w:val="FootnoteText"/>
      </w:pPr>
      <w:r>
        <w:rPr>
          <w:rStyle w:val="FootnoteReference"/>
        </w:rPr>
        <w:footnoteRef/>
      </w:r>
      <w:r>
        <w:t xml:space="preserve"> Transliterated proper noun: Sorek. Standard English equivalent: Sorek. Source form: Sorek. Greek form: σωρηχ. Name meaning: vine; hissing; a color inclining to yellow.</w:t>
      </w:r>
    </w:p>
  </w:footnote>
  <w:footnote w:id="4871">
    <w:p>
      <w:pPr>
        <w:pStyle w:val="FootnoteText"/>
      </w:pPr>
      <w:r>
        <w:rPr>
          <w:rStyle w:val="FootnoteReference"/>
        </w:rPr>
        <w:footnoteRef/>
      </w:r>
      <w:r>
        <w:t xml:space="preserve"> Personal name: Delilah. Personal-name meaning: Delilah — poor; small; head of hair. Source form: Delilah.</w:t>
      </w:r>
    </w:p>
  </w:footnote>
  <w:footnote w:id="4872">
    <w:p>
      <w:pPr>
        <w:pStyle w:val="FootnoteText"/>
      </w:pPr>
      <w:r>
        <w:rPr>
          <w:rStyle w:val="FootnoteReference"/>
        </w:rPr>
        <w:footnoteRef/>
      </w:r>
      <w:r>
        <w:t xml:space="preserve"> Translation note: Greek says satraps of the foreigners and humble him.</w:t>
      </w:r>
    </w:p>
  </w:footnote>
  <w:footnote w:id="4873">
    <w:p>
      <w:pPr>
        <w:pStyle w:val="FootnoteText"/>
      </w:pPr>
      <w:r>
        <w:rPr>
          <w:rStyle w:val="FootnoteReference"/>
        </w:rPr>
        <w:footnoteRef/>
      </w:r>
      <w:r>
        <w:t xml:space="preserve"> Cross-references for "we will": Gen 33:16; Num 22:17-18.</w:t>
      </w:r>
    </w:p>
  </w:footnote>
  <w:footnote w:id="4874">
    <w:p>
      <w:pPr>
        <w:pStyle w:val="FootnoteText"/>
      </w:pPr>
      <w:r>
        <w:rPr>
          <w:rStyle w:val="FootnoteReference"/>
        </w:rPr>
        <w:footnoteRef/>
      </w:r>
      <w:r>
        <w:t xml:space="preserve"> Cross-references for "If they bind": Judg 16:10; 1Sam 19:17.</w:t>
      </w:r>
    </w:p>
  </w:footnote>
  <w:footnote w:id="4875">
    <w:p>
      <w:pPr>
        <w:pStyle w:val="FootnoteText"/>
      </w:pPr>
      <w:r>
        <w:rPr>
          <w:rStyle w:val="FootnoteReference"/>
        </w:rPr>
        <w:footnoteRef/>
      </w:r>
      <w:r>
        <w:t xml:space="preserve"> Cross-references for "bound him": Eccl 7:26.</w:t>
      </w:r>
    </w:p>
  </w:footnote>
  <w:footnote w:id="4876">
    <w:p>
      <w:pPr>
        <w:pStyle w:val="FootnoteText"/>
      </w:pPr>
      <w:r>
        <w:rPr>
          <w:rStyle w:val="FootnoteReference"/>
        </w:rPr>
        <w:footnoteRef/>
      </w:r>
      <w:r>
        <w:t xml:space="preserve"> Translation note: Greek says sinews and smells fire.</w:t>
      </w:r>
    </w:p>
  </w:footnote>
  <w:footnote w:id="4877">
    <w:p>
      <w:pPr>
        <w:pStyle w:val="FootnoteText"/>
      </w:pPr>
      <w:r>
        <w:rPr>
          <w:rStyle w:val="FootnoteReference"/>
        </w:rPr>
        <w:footnoteRef/>
      </w:r>
      <w:r>
        <w:t xml:space="preserve"> Cross-references for "If they bind me": Prov 13:3; Prov 13:5.</w:t>
      </w:r>
    </w:p>
  </w:footnote>
  <w:footnote w:id="4878">
    <w:p>
      <w:pPr>
        <w:pStyle w:val="FootnoteText"/>
      </w:pPr>
      <w:r>
        <w:rPr>
          <w:rStyle w:val="FootnoteReference"/>
        </w:rPr>
        <w:footnoteRef/>
      </w:r>
      <w:r>
        <w:t xml:space="preserve"> Translation note: Greek keeps the ambush seated in the inner room and ends with like thread.</w:t>
      </w:r>
    </w:p>
  </w:footnote>
  <w:footnote w:id="4879">
    <w:p>
      <w:pPr>
        <w:pStyle w:val="FootnoteText"/>
      </w:pPr>
      <w:r>
        <w:rPr>
          <w:rStyle w:val="FootnoteReference"/>
        </w:rPr>
        <w:footnoteRef/>
      </w:r>
      <w:r>
        <w:t xml:space="preserve"> Translation note: Greek says I am Nazirite of God from my mother's womb.</w:t>
      </w:r>
    </w:p>
  </w:footnote>
  <w:footnote w:id="4880">
    <w:p>
      <w:pPr>
        <w:pStyle w:val="FootnoteText"/>
      </w:pPr>
      <w:r>
        <w:rPr>
          <w:rStyle w:val="FootnoteReference"/>
        </w:rPr>
        <w:footnoteRef/>
      </w:r>
      <w:r>
        <w:t xml:space="preserve"> Cross-references for "Come up": Ps 62:9; Prov 18:8.</w:t>
      </w:r>
    </w:p>
  </w:footnote>
  <w:footnote w:id="4881">
    <w:p>
      <w:pPr>
        <w:pStyle w:val="FootnoteText"/>
      </w:pPr>
      <w:r>
        <w:rPr>
          <w:rStyle w:val="FootnoteReference"/>
        </w:rPr>
        <w:footnoteRef/>
      </w:r>
      <w:r>
        <w:t xml:space="preserve"> Translation note: Greek repeats heart twice and uses satraps of the foreigners.</w:t>
      </w:r>
    </w:p>
  </w:footnote>
  <w:footnote w:id="4882">
    <w:p>
      <w:pPr>
        <w:pStyle w:val="FootnoteText"/>
      </w:pPr>
      <w:r>
        <w:rPr>
          <w:rStyle w:val="FootnoteReference"/>
        </w:rPr>
        <w:footnoteRef/>
      </w:r>
      <w:r>
        <w:t xml:space="preserve"> Cross-references for "I will go": Deut 32:30; Judg 16:3.</w:t>
      </w:r>
    </w:p>
  </w:footnote>
  <w:footnote w:id="4883">
    <w:p>
      <w:pPr>
        <w:pStyle w:val="FootnoteText"/>
      </w:pPr>
      <w:r>
        <w:rPr>
          <w:rStyle w:val="FootnoteReference"/>
        </w:rPr>
        <w:footnoteRef/>
      </w:r>
      <w:r>
        <w:t xml:space="preserve"> Cross-references for "bound him": 2Kgs 25:7; 2Chr 33:11.</w:t>
      </w:r>
    </w:p>
  </w:footnote>
  <w:footnote w:id="4884">
    <w:p>
      <w:pPr>
        <w:pStyle w:val="FootnoteText"/>
      </w:pPr>
      <w:r>
        <w:rPr>
          <w:rStyle w:val="FootnoteReference"/>
        </w:rPr>
        <w:footnoteRef/>
      </w:r>
      <w:r>
        <w:t xml:space="preserve"> Cross-references for "the hair": Lev 26:44; Deut 32:36.</w:t>
      </w:r>
    </w:p>
  </w:footnote>
  <w:footnote w:id="4885">
    <w:p>
      <w:pPr>
        <w:pStyle w:val="FootnoteText"/>
      </w:pPr>
      <w:r>
        <w:rPr>
          <w:rStyle w:val="FootnoteReference"/>
        </w:rPr>
        <w:footnoteRef/>
      </w:r>
      <w:r>
        <w:t xml:space="preserve"> Translation note: Greek opens with a formal festival gathering line. Current wording preserves that setting and the boast.</w:t>
      </w:r>
    </w:p>
  </w:footnote>
  <w:footnote w:id="4886">
    <w:p>
      <w:pPr>
        <w:pStyle w:val="FootnoteText"/>
      </w:pPr>
      <w:r>
        <w:rPr>
          <w:rStyle w:val="FootnoteReference"/>
        </w:rPr>
        <w:footnoteRef/>
      </w:r>
      <w:r>
        <w:t xml:space="preserve"> Divine or supernatural name: Dagon. Divine/supernatural-name meaning: Dagon — corn; a fish. Source form: Dagon.</w:t>
      </w:r>
    </w:p>
  </w:footnote>
  <w:footnote w:id="4887">
    <w:p>
      <w:pPr>
        <w:pStyle w:val="FootnoteText"/>
      </w:pPr>
      <w:r>
        <w:rPr>
          <w:rStyle w:val="FootnoteReference"/>
        </w:rPr>
        <w:footnoteRef/>
      </w:r>
      <w:r>
        <w:t xml:space="preserve"> Cross-references for "Dagon": 1Sam 5:2-5; Jer 2:11.</w:t>
      </w:r>
    </w:p>
  </w:footnote>
  <w:footnote w:id="4888">
    <w:p>
      <w:pPr>
        <w:pStyle w:val="FootnoteText"/>
      </w:pPr>
      <w:r>
        <w:rPr>
          <w:rStyle w:val="FootnoteReference"/>
        </w:rPr>
        <w:footnoteRef/>
      </w:r>
      <w:r>
        <w:t xml:space="preserve"> Cross-references for "praised": Deut 32:27; Isa 37:20.</w:t>
      </w:r>
    </w:p>
  </w:footnote>
  <w:footnote w:id="4889">
    <w:p>
      <w:pPr>
        <w:pStyle w:val="FootnoteText"/>
      </w:pPr>
      <w:r>
        <w:rPr>
          <w:rStyle w:val="FootnoteReference"/>
        </w:rPr>
        <w:footnoteRef/>
      </w:r>
      <w:r>
        <w:t xml:space="preserve"> Translation note: Greek uses direct devastation language. Current wording preserves it.</w:t>
      </w:r>
    </w:p>
  </w:footnote>
  <w:footnote w:id="4890">
    <w:p>
      <w:pPr>
        <w:pStyle w:val="FootnoteText"/>
      </w:pPr>
      <w:r>
        <w:rPr>
          <w:rStyle w:val="FootnoteReference"/>
        </w:rPr>
        <w:footnoteRef/>
      </w:r>
      <w:r>
        <w:t xml:space="preserve"> Translation note: Greek says when their heart grew good.</w:t>
      </w:r>
    </w:p>
  </w:footnote>
  <w:footnote w:id="4891">
    <w:p>
      <w:pPr>
        <w:pStyle w:val="FootnoteText"/>
      </w:pPr>
      <w:r>
        <w:rPr>
          <w:rStyle w:val="FootnoteReference"/>
        </w:rPr>
        <w:footnoteRef/>
      </w:r>
      <w:r>
        <w:t xml:space="preserve"> Cross-references for "the roof": Deut 22:8; Josh 2:8.</w:t>
      </w:r>
    </w:p>
  </w:footnote>
  <w:footnote w:id="4892">
    <w:p>
      <w:pPr>
        <w:pStyle w:val="FootnoteText"/>
      </w:pPr>
      <w:r>
        <w:rPr>
          <w:rStyle w:val="FootnoteReference"/>
        </w:rPr>
        <w:footnoteRef/>
      </w:r>
      <w:r>
        <w:t xml:space="preserve"> Cross-references for "remember me": Ps 74:18-23; Jer 15:15.</w:t>
      </w:r>
    </w:p>
  </w:footnote>
  <w:footnote w:id="4893">
    <w:p>
      <w:pPr>
        <w:pStyle w:val="FootnoteText"/>
      </w:pPr>
      <w:r>
        <w:rPr>
          <w:rStyle w:val="FootnoteReference"/>
        </w:rPr>
        <w:footnoteRef/>
      </w:r>
      <w:r>
        <w:t xml:space="preserve"> Translation note: Greek says let my soul die with the foreigners and satraps.</w:t>
      </w:r>
    </w:p>
  </w:footnote>
  <w:footnote w:id="4894">
    <w:p>
      <w:pPr>
        <w:pStyle w:val="FootnoteText"/>
      </w:pPr>
      <w:r>
        <w:rPr>
          <w:rStyle w:val="FootnoteReference"/>
        </w:rPr>
        <w:footnoteRef/>
      </w:r>
      <w:r>
        <w:t xml:space="preserve"> Cross-references for "and the house": Job 20:5; Job 31:3.</w:t>
      </w:r>
    </w:p>
  </w:footnote>
  <w:footnote w:id="4895">
    <w:p>
      <w:pPr>
        <w:pStyle w:val="FootnoteText"/>
      </w:pPr>
      <w:r>
        <w:rPr>
          <w:rStyle w:val="FootnoteReference"/>
        </w:rPr>
        <w:footnoteRef/>
      </w:r>
      <w:r>
        <w:t xml:space="preserve"> Translation note: Greek says his brothers and all the house of his father went down.</w:t>
      </w:r>
    </w:p>
  </w:footnote>
  <w:footnote w:id="4896">
    <w:p>
      <w:pPr>
        <w:pStyle w:val="FootnoteText"/>
      </w:pPr>
      <w:r>
        <w:rPr>
          <w:rStyle w:val="FootnoteReference"/>
        </w:rPr>
        <w:footnoteRef/>
      </w:r>
      <w:r>
        <w:t xml:space="preserve"> Cross-references for "between Zorah": Josh 19:41; Judg 13:2.</w:t>
      </w:r>
    </w:p>
  </w:footnote>
  <w:footnote w:id="4897">
    <w:p>
      <w:pPr>
        <w:pStyle w:val="FootnoteText"/>
      </w:pPr>
      <w:r>
        <w:rPr>
          <w:rStyle w:val="FootnoteReference"/>
        </w:rPr>
        <w:footnoteRef/>
      </w:r>
      <w:r>
        <w:t xml:space="preserve"> Cross-references for "there was": Judg 17:6.</w:t>
      </w:r>
    </w:p>
  </w:footnote>
  <w:footnote w:id="4898">
    <w:p>
      <w:pPr>
        <w:pStyle w:val="FootnoteText"/>
      </w:pPr>
      <w:r>
        <w:rPr>
          <w:rStyle w:val="FootnoteReference"/>
        </w:rPr>
        <w:footnoteRef/>
      </w:r>
      <w:r>
        <w:t xml:space="preserve"> Translation note: The fresh line follows the local Greek wording used in this project here. The sense remains a spoken self-binding utterance tied to the stolen silver and the following blessing.</w:t>
      </w:r>
    </w:p>
  </w:footnote>
  <w:footnote w:id="4899">
    <w:p>
      <w:pPr>
        <w:pStyle w:val="FootnoteText"/>
      </w:pPr>
      <w:r>
        <w:rPr>
          <w:rStyle w:val="FootnoteReference"/>
        </w:rPr>
        <w:footnoteRef/>
      </w:r>
      <w:r>
        <w:t xml:space="preserve"> Cross-references for "I took it": Prov 28:24.</w:t>
      </w:r>
    </w:p>
  </w:footnote>
  <w:footnote w:id="4900">
    <w:p>
      <w:pPr>
        <w:pStyle w:val="FootnoteText"/>
      </w:pPr>
      <w:r>
        <w:rPr>
          <w:rStyle w:val="FootnoteReference"/>
        </w:rPr>
        <w:footnoteRef/>
      </w:r>
      <w:r>
        <w:t xml:space="preserve"> Translation note: Greek doubles consecration here.</w:t>
      </w:r>
    </w:p>
  </w:footnote>
  <w:footnote w:id="4901">
    <w:p>
      <w:pPr>
        <w:pStyle w:val="FootnoteText"/>
      </w:pPr>
      <w:r>
        <w:rPr>
          <w:rStyle w:val="FootnoteReference"/>
        </w:rPr>
        <w:footnoteRef/>
      </w:r>
      <w:r>
        <w:t xml:space="preserve"> Cross-references for "two hundred": Isa 46:6-7; Jer 10:9-10.</w:t>
      </w:r>
    </w:p>
  </w:footnote>
  <w:footnote w:id="4902">
    <w:p>
      <w:pPr>
        <w:pStyle w:val="FootnoteText"/>
      </w:pPr>
      <w:r>
        <w:rPr>
          <w:rStyle w:val="FootnoteReference"/>
        </w:rPr>
        <w:footnoteRef/>
      </w:r>
      <w:r>
        <w:t xml:space="preserve"> Translation note: Greek keeps both image terms here.</w:t>
      </w:r>
    </w:p>
  </w:footnote>
  <w:footnote w:id="4903">
    <w:p>
      <w:pPr>
        <w:pStyle w:val="FootnoteText"/>
      </w:pPr>
      <w:r>
        <w:rPr>
          <w:rStyle w:val="FootnoteReference"/>
        </w:rPr>
        <w:footnoteRef/>
      </w:r>
      <w:r>
        <w:t xml:space="preserve"> Cross-references for "ephod": Exod 28:4; Exod 28:15.</w:t>
      </w:r>
    </w:p>
  </w:footnote>
  <w:footnote w:id="4904">
    <w:p>
      <w:pPr>
        <w:pStyle w:val="FootnoteText"/>
      </w:pPr>
      <w:r>
        <w:rPr>
          <w:rStyle w:val="FootnoteReference"/>
        </w:rPr>
        <w:footnoteRef/>
      </w:r>
      <w:r>
        <w:t xml:space="preserve"> Cross-references for "no king": Gen 36:31; Deut 33:5.</w:t>
      </w:r>
    </w:p>
  </w:footnote>
  <w:footnote w:id="4905">
    <w:p>
      <w:pPr>
        <w:pStyle w:val="FootnoteText"/>
      </w:pPr>
      <w:r>
        <w:rPr>
          <w:rStyle w:val="FootnoteReference"/>
        </w:rPr>
        <w:footnoteRef/>
      </w:r>
      <w:r>
        <w:t xml:space="preserve"> Cross-references for "I will give": Judg 18:20; 1Sam 2:36.</w:t>
      </w:r>
    </w:p>
  </w:footnote>
  <w:footnote w:id="4906">
    <w:p>
      <w:pPr>
        <w:pStyle w:val="FootnoteText"/>
      </w:pPr>
      <w:r>
        <w:rPr>
          <w:rStyle w:val="FootnoteReference"/>
        </w:rPr>
        <w:footnoteRef/>
      </w:r>
      <w:r>
        <w:t xml:space="preserve"> Translation note: Greek uses the filled-the-hand ordination idiom. Current wording preserves it.</w:t>
      </w:r>
    </w:p>
  </w:footnote>
  <w:footnote w:id="4907">
    <w:p>
      <w:pPr>
        <w:pStyle w:val="FootnoteText"/>
      </w:pPr>
      <w:r>
        <w:rPr>
          <w:rStyle w:val="FootnoteReference"/>
        </w:rPr>
        <w:footnoteRef/>
      </w:r>
      <w:r>
        <w:t xml:space="preserve"> Cross-references for "his priest": Num 16:5; Num 16:8-10.</w:t>
      </w:r>
    </w:p>
  </w:footnote>
  <w:footnote w:id="4908">
    <w:p>
      <w:pPr>
        <w:pStyle w:val="FootnoteText"/>
      </w:pPr>
      <w:r>
        <w:rPr>
          <w:rStyle w:val="FootnoteReference"/>
        </w:rPr>
        <w:footnoteRef/>
      </w:r>
      <w:r>
        <w:t xml:space="preserve"> Cross-references for "no king": Gen 36:31; Deut 33:5.</w:t>
      </w:r>
    </w:p>
  </w:footnote>
  <w:footnote w:id="4909">
    <w:p>
      <w:pPr>
        <w:pStyle w:val="FootnoteText"/>
      </w:pPr>
      <w:r>
        <w:rPr>
          <w:rStyle w:val="FootnoteReference"/>
        </w:rPr>
        <w:footnoteRef/>
      </w:r>
      <w:r>
        <w:t xml:space="preserve"> Translation note: Greek says sons of strength and search it out.</w:t>
      </w:r>
    </w:p>
  </w:footnote>
  <w:footnote w:id="4910">
    <w:p>
      <w:pPr>
        <w:pStyle w:val="FootnoteText"/>
      </w:pPr>
      <w:r>
        <w:rPr>
          <w:rStyle w:val="FootnoteReference"/>
        </w:rPr>
        <w:footnoteRef/>
      </w:r>
      <w:r>
        <w:t xml:space="preserve"> Cross-references for "Zorah": Gen 42:9; Josh 19:41.</w:t>
      </w:r>
    </w:p>
  </w:footnote>
  <w:footnote w:id="4911">
    <w:p>
      <w:pPr>
        <w:pStyle w:val="FootnoteText"/>
      </w:pPr>
      <w:r>
        <w:rPr>
          <w:rStyle w:val="FootnoteReference"/>
        </w:rPr>
        <w:footnoteRef/>
      </w:r>
      <w:r>
        <w:t xml:space="preserve"> Translation note: Greek says recognized the voice here. Current line keeps that phrase.</w:t>
      </w:r>
    </w:p>
  </w:footnote>
  <w:footnote w:id="4912">
    <w:p>
      <w:pPr>
        <w:pStyle w:val="FootnoteText"/>
      </w:pPr>
      <w:r>
        <w:rPr>
          <w:rStyle w:val="FootnoteReference"/>
        </w:rPr>
        <w:footnoteRef/>
      </w:r>
      <w:r>
        <w:t xml:space="preserve"> Cross-references for "hired me": Judg 17:10; Prov 28:21.</w:t>
      </w:r>
    </w:p>
  </w:footnote>
  <w:footnote w:id="4913">
    <w:p>
      <w:pPr>
        <w:pStyle w:val="FootnoteText"/>
      </w:pPr>
      <w:r>
        <w:rPr>
          <w:rStyle w:val="FootnoteReference"/>
        </w:rPr>
        <w:footnoteRef/>
      </w:r>
      <w:r>
        <w:t xml:space="preserve"> Cross-references for "of God": Judg 17:5; Judg 17:13.</w:t>
      </w:r>
    </w:p>
  </w:footnote>
  <w:footnote w:id="4914">
    <w:p>
      <w:pPr>
        <w:pStyle w:val="FootnoteText"/>
      </w:pPr>
      <w:r>
        <w:rPr>
          <w:rStyle w:val="FootnoteReference"/>
        </w:rPr>
        <w:footnoteRef/>
      </w:r>
      <w:r>
        <w:t xml:space="preserve"> Translation note: Greek gives a compact travel blessing here. Current wording preserves it.</w:t>
      </w:r>
    </w:p>
  </w:footnote>
  <w:footnote w:id="4915">
    <w:p>
      <w:pPr>
        <w:pStyle w:val="FootnoteText"/>
      </w:pPr>
      <w:r>
        <w:rPr>
          <w:rStyle w:val="FootnoteReference"/>
        </w:rPr>
        <w:footnoteRef/>
      </w:r>
      <w:r>
        <w:t xml:space="preserve"> Cross-references for "Go in peace": 1Kgs 22:6; 1Kgs 22:12.</w:t>
      </w:r>
    </w:p>
  </w:footnote>
  <w:footnote w:id="4916">
    <w:p>
      <w:pPr>
        <w:pStyle w:val="FootnoteText"/>
      </w:pPr>
      <w:r>
        <w:rPr>
          <w:rStyle w:val="FootnoteReference"/>
        </w:rPr>
        <w:footnoteRef/>
      </w:r>
      <w:r>
        <w:t xml:space="preserve"> Personal name: Laish. Personal-name meaning: Laish — a lion. Source form: Laish.</w:t>
      </w:r>
    </w:p>
  </w:footnote>
  <w:footnote w:id="4917">
    <w:p>
      <w:pPr>
        <w:pStyle w:val="FootnoteText"/>
      </w:pPr>
      <w:r>
        <w:rPr>
          <w:rStyle w:val="FootnoteReference"/>
        </w:rPr>
        <w:footnoteRef/>
      </w:r>
      <w:r>
        <w:t xml:space="preserve"> Translation note: Greek describes the people as sitting or dwelling in confidence. The fresh line keeps that image instead of smoothing it into only secure or careless language.</w:t>
      </w:r>
    </w:p>
  </w:footnote>
  <w:footnote w:id="4918">
    <w:p>
      <w:pPr>
        <w:pStyle w:val="FootnoteText"/>
      </w:pPr>
      <w:r>
        <w:rPr>
          <w:rStyle w:val="FootnoteReference"/>
        </w:rPr>
        <w:footnoteRef/>
      </w:r>
      <w:r>
        <w:t xml:space="preserve"> Cross-references for "Laish": Josh 19:47.</w:t>
      </w:r>
    </w:p>
  </w:footnote>
  <w:footnote w:id="4919">
    <w:p>
      <w:pPr>
        <w:pStyle w:val="FootnoteText"/>
      </w:pPr>
      <w:r>
        <w:rPr>
          <w:rStyle w:val="FootnoteReference"/>
        </w:rPr>
        <w:footnoteRef/>
      </w:r>
      <w:r>
        <w:t xml:space="preserve"> Cross-references for "Zorah and Eshtaol": Judg 13:2; Judg 16:31.</w:t>
      </w:r>
    </w:p>
  </w:footnote>
  <w:footnote w:id="4920">
    <w:p>
      <w:pPr>
        <w:pStyle w:val="FootnoteText"/>
      </w:pPr>
      <w:r>
        <w:rPr>
          <w:rStyle w:val="FootnoteReference"/>
        </w:rPr>
        <w:footnoteRef/>
      </w:r>
      <w:r>
        <w:t xml:space="preserve"> Cross-references for "where there": Exod 3:8; Deut 8:7-9.</w:t>
      </w:r>
    </w:p>
  </w:footnote>
  <w:footnote w:id="4921">
    <w:p>
      <w:pPr>
        <w:pStyle w:val="FootnoteText"/>
      </w:pPr>
      <w:r>
        <w:rPr>
          <w:rStyle w:val="FootnoteReference"/>
        </w:rPr>
        <w:footnoteRef/>
      </w:r>
      <w:r>
        <w:t xml:space="preserve"> Cross-references for "Kirjathjearim": Josh 15:60; 1Sam 7:1.</w:t>
      </w:r>
    </w:p>
  </w:footnote>
  <w:footnote w:id="4922">
    <w:p>
      <w:pPr>
        <w:pStyle w:val="FootnoteText"/>
      </w:pPr>
      <w:r>
        <w:rPr>
          <w:rStyle w:val="FootnoteReference"/>
        </w:rPr>
        <w:footnoteRef/>
      </w:r>
      <w:r>
        <w:t xml:space="preserve"> Translation note: Greek says in these houses there are an ephod and teraphim.</w:t>
      </w:r>
    </w:p>
  </w:footnote>
  <w:footnote w:id="4923">
    <w:p>
      <w:pPr>
        <w:pStyle w:val="FootnoteText"/>
      </w:pPr>
      <w:r>
        <w:rPr>
          <w:rStyle w:val="FootnoteReference"/>
        </w:rPr>
        <w:footnoteRef/>
      </w:r>
      <w:r>
        <w:t xml:space="preserve"> Cross-references for "in these": Judg 17:5; Judg 18:3-4.</w:t>
      </w:r>
    </w:p>
  </w:footnote>
  <w:footnote w:id="4924">
    <w:p>
      <w:pPr>
        <w:pStyle w:val="FootnoteText"/>
      </w:pPr>
      <w:r>
        <w:rPr>
          <w:rStyle w:val="FootnoteReference"/>
        </w:rPr>
        <w:footnoteRef/>
      </w:r>
      <w:r>
        <w:t xml:space="preserve"> Translation note: Greek frames the scene with armed Danites at the gate. Current wording preserves it.</w:t>
      </w:r>
    </w:p>
  </w:footnote>
  <w:footnote w:id="4925">
    <w:p>
      <w:pPr>
        <w:pStyle w:val="FootnoteText"/>
      </w:pPr>
      <w:r>
        <w:rPr>
          <w:rStyle w:val="FootnoteReference"/>
        </w:rPr>
        <w:footnoteRef/>
      </w:r>
      <w:r>
        <w:t xml:space="preserve"> Cross-references for "six hundred": Judg 18:11.</w:t>
      </w:r>
    </w:p>
  </w:footnote>
  <w:footnote w:id="4926">
    <w:p>
      <w:pPr>
        <w:pStyle w:val="FootnoteText"/>
      </w:pPr>
      <w:r>
        <w:rPr>
          <w:rStyle w:val="FootnoteReference"/>
        </w:rPr>
        <w:footnoteRef/>
      </w:r>
      <w:r>
        <w:t xml:space="preserve"> Cross-references for "five men": Judg 18:2; Judg 18:14.</w:t>
      </w:r>
    </w:p>
  </w:footnote>
  <w:footnote w:id="4927">
    <w:p>
      <w:pPr>
        <w:pStyle w:val="FootnoteText"/>
      </w:pPr>
      <w:r>
        <w:rPr>
          <w:rStyle w:val="FootnoteReference"/>
        </w:rPr>
        <w:footnoteRef/>
      </w:r>
      <w:r>
        <w:t xml:space="preserve"> Translation note: Greek says priest stood by doorway of gate.</w:t>
      </w:r>
    </w:p>
  </w:footnote>
  <w:footnote w:id="4928">
    <w:p>
      <w:pPr>
        <w:pStyle w:val="FootnoteText"/>
      </w:pPr>
      <w:r>
        <w:rPr>
          <w:rStyle w:val="FootnoteReference"/>
        </w:rPr>
        <w:footnoteRef/>
      </w:r>
      <w:r>
        <w:t xml:space="preserve"> Translation note: Greek says be silent; put your hand on your mouth.</w:t>
      </w:r>
    </w:p>
  </w:footnote>
  <w:footnote w:id="4929">
    <w:p>
      <w:pPr>
        <w:pStyle w:val="FootnoteText"/>
      </w:pPr>
      <w:r>
        <w:rPr>
          <w:rStyle w:val="FootnoteReference"/>
        </w:rPr>
        <w:footnoteRef/>
      </w:r>
      <w:r>
        <w:t xml:space="preserve"> Cross-references for "heart": Judg 17:10.</w:t>
      </w:r>
    </w:p>
  </w:footnote>
  <w:footnote w:id="4930">
    <w:p>
      <w:pPr>
        <w:pStyle w:val="FootnoteText"/>
      </w:pPr>
      <w:r>
        <w:rPr>
          <w:rStyle w:val="FootnoteReference"/>
        </w:rPr>
        <w:footnoteRef/>
      </w:r>
      <w:r>
        <w:t xml:space="preserve"> Cross-references for "Laish": Judg 18:7; Judg 18:10.</w:t>
      </w:r>
    </w:p>
  </w:footnote>
  <w:footnote w:id="4931">
    <w:p>
      <w:pPr>
        <w:pStyle w:val="FootnoteText"/>
      </w:pPr>
      <w:r>
        <w:rPr>
          <w:rStyle w:val="FootnoteReference"/>
        </w:rPr>
        <w:footnoteRef/>
      </w:r>
      <w:r>
        <w:t xml:space="preserve"> Translation note: Greek uses a relative clause for the priest. The translation keeps that form.</w:t>
      </w:r>
    </w:p>
  </w:footnote>
  <w:footnote w:id="4932">
    <w:p>
      <w:pPr>
        <w:pStyle w:val="FootnoteText"/>
      </w:pPr>
      <w:r>
        <w:rPr>
          <w:rStyle w:val="FootnoteReference"/>
        </w:rPr>
        <w:footnoteRef/>
      </w:r>
      <w:r>
        <w:t xml:space="preserve"> Cross-references for "And there": 2Sam 14:6; Ps 7:2.</w:t>
      </w:r>
    </w:p>
  </w:footnote>
  <w:footnote w:id="4933">
    <w:p>
      <w:pPr>
        <w:pStyle w:val="FootnoteText"/>
      </w:pPr>
      <w:r>
        <w:rPr>
          <w:rStyle w:val="FootnoteReference"/>
        </w:rPr>
        <w:footnoteRef/>
      </w:r>
      <w:r>
        <w:t xml:space="preserve"> Cross-references for "who was": Gen 30:6; Gen 32:28.</w:t>
      </w:r>
    </w:p>
  </w:footnote>
  <w:footnote w:id="4934">
    <w:p>
      <w:pPr>
        <w:pStyle w:val="FootnoteText"/>
      </w:pPr>
      <w:r>
        <w:rPr>
          <w:rStyle w:val="FootnoteReference"/>
        </w:rPr>
        <w:footnoteRef/>
      </w:r>
      <w:r>
        <w:t xml:space="preserve"> Cross-references for "set up": Exod 20:4; Lev 26:1.</w:t>
      </w:r>
    </w:p>
  </w:footnote>
  <w:footnote w:id="4935">
    <w:p>
      <w:pPr>
        <w:pStyle w:val="FootnoteText"/>
      </w:pPr>
      <w:r>
        <w:rPr>
          <w:rStyle w:val="FootnoteReference"/>
        </w:rPr>
        <w:footnoteRef/>
      </w:r>
      <w:r>
        <w:t xml:space="preserve"> Translation note: The Greek reads Moses here. The current wording keeps that source-row reading explicit.</w:t>
      </w:r>
    </w:p>
  </w:footnote>
  <w:footnote w:id="4936">
    <w:p>
      <w:pPr>
        <w:pStyle w:val="FootnoteText"/>
      </w:pPr>
      <w:r>
        <w:rPr>
          <w:rStyle w:val="FootnoteReference"/>
        </w:rPr>
        <w:footnoteRef/>
      </w:r>
      <w:r>
        <w:t xml:space="preserve"> Cross-references for "a concubine": Gen 22:24; Gen 25:6.</w:t>
      </w:r>
    </w:p>
  </w:footnote>
  <w:footnote w:id="4937">
    <w:p>
      <w:pPr>
        <w:pStyle w:val="FootnoteText"/>
      </w:pPr>
      <w:r>
        <w:rPr>
          <w:rStyle w:val="FootnoteReference"/>
        </w:rPr>
        <w:footnoteRef/>
      </w:r>
      <w:r>
        <w:t xml:space="preserve"> Cross-references for "went": Judg 15:1.</w:t>
      </w:r>
    </w:p>
  </w:footnote>
  <w:footnote w:id="4938">
    <w:p>
      <w:pPr>
        <w:pStyle w:val="FootnoteText"/>
      </w:pPr>
      <w:r>
        <w:rPr>
          <w:rStyle w:val="FootnoteReference"/>
        </w:rPr>
        <w:footnoteRef/>
      </w:r>
      <w:r>
        <w:t xml:space="preserve"> Translation note: Greek says speak to her heart here. Current line keeps that phrase.</w:t>
      </w:r>
    </w:p>
  </w:footnote>
  <w:footnote w:id="4939">
    <w:p>
      <w:pPr>
        <w:pStyle w:val="FootnoteText"/>
      </w:pPr>
      <w:r>
        <w:rPr>
          <w:rStyle w:val="FootnoteReference"/>
        </w:rPr>
        <w:footnoteRef/>
      </w:r>
      <w:r>
        <w:t xml:space="preserve"> Translation note: Greek says strengthen your heart with a morsel of bread.</w:t>
      </w:r>
    </w:p>
  </w:footnote>
  <w:footnote w:id="4940">
    <w:p>
      <w:pPr>
        <w:pStyle w:val="FootnoteText"/>
      </w:pPr>
      <w:r>
        <w:rPr>
          <w:rStyle w:val="FootnoteReference"/>
        </w:rPr>
        <w:footnoteRef/>
      </w:r>
      <w:r>
        <w:t xml:space="preserve"> Cross-references for "with a morsel": Judg 19:22.</w:t>
      </w:r>
    </w:p>
  </w:footnote>
  <w:footnote w:id="4941">
    <w:p>
      <w:pPr>
        <w:pStyle w:val="FootnoteText"/>
      </w:pPr>
      <w:r>
        <w:rPr>
          <w:rStyle w:val="FootnoteReference"/>
        </w:rPr>
        <w:footnoteRef/>
      </w:r>
      <w:r>
        <w:t xml:space="preserve"> Cross-references for "Jebus": Josh 15:8; Josh 15:63.</w:t>
      </w:r>
    </w:p>
  </w:footnote>
  <w:footnote w:id="4942">
    <w:p>
      <w:pPr>
        <w:pStyle w:val="FootnoteText"/>
      </w:pPr>
      <w:r>
        <w:rPr>
          <w:rStyle w:val="FootnoteReference"/>
        </w:rPr>
        <w:footnoteRef/>
      </w:r>
      <w:r>
        <w:t xml:space="preserve"> Cross-references for "Gibeah": Judg 19:12.</w:t>
      </w:r>
    </w:p>
  </w:footnote>
  <w:footnote w:id="4943">
    <w:p>
      <w:pPr>
        <w:pStyle w:val="FootnoteText"/>
      </w:pPr>
      <w:r>
        <w:rPr>
          <w:rStyle w:val="FootnoteReference"/>
        </w:rPr>
        <w:footnoteRef/>
      </w:r>
      <w:r>
        <w:t xml:space="preserve"> Cross-references for "Gibeah": Josh 18:25-26; Josh 18:28.</w:t>
      </w:r>
    </w:p>
  </w:footnote>
  <w:footnote w:id="4944">
    <w:p>
      <w:pPr>
        <w:pStyle w:val="FootnoteText"/>
      </w:pPr>
      <w:r>
        <w:rPr>
          <w:rStyle w:val="FootnoteReference"/>
        </w:rPr>
        <w:footnoteRef/>
      </w:r>
      <w:r>
        <w:t xml:space="preserve"> Cross-references for "no man": Gen 18:2-8; Gen 19:2-3.</w:t>
      </w:r>
    </w:p>
  </w:footnote>
  <w:footnote w:id="4945">
    <w:p>
      <w:pPr>
        <w:pStyle w:val="FootnoteText"/>
      </w:pPr>
      <w:r>
        <w:rPr>
          <w:rStyle w:val="FootnoteReference"/>
        </w:rPr>
        <w:footnoteRef/>
      </w:r>
      <w:r>
        <w:t xml:space="preserve"> Cross-references for "his work": Gen 3:19; Ps 104:23.</w:t>
      </w:r>
    </w:p>
  </w:footnote>
  <w:footnote w:id="4946">
    <w:p>
      <w:pPr>
        <w:pStyle w:val="FootnoteText"/>
      </w:pPr>
      <w:r>
        <w:rPr>
          <w:rStyle w:val="FootnoteReference"/>
        </w:rPr>
        <w:footnoteRef/>
      </w:r>
      <w:r>
        <w:t xml:space="preserve"> Translation note: Greek line uses bringing-into-house language here. Current line keeps it close.</w:t>
      </w:r>
    </w:p>
  </w:footnote>
  <w:footnote w:id="4947">
    <w:p>
      <w:pPr>
        <w:pStyle w:val="FootnoteText"/>
      </w:pPr>
      <w:r>
        <w:rPr>
          <w:rStyle w:val="FootnoteReference"/>
        </w:rPr>
        <w:footnoteRef/>
      </w:r>
      <w:r>
        <w:t xml:space="preserve"> Cross-references for "the house": Josh 18:1; Judg 18:31.</w:t>
      </w:r>
    </w:p>
  </w:footnote>
  <w:footnote w:id="4948">
    <w:p>
      <w:pPr>
        <w:pStyle w:val="FootnoteText"/>
      </w:pPr>
      <w:r>
        <w:rPr>
          <w:rStyle w:val="FootnoteReference"/>
        </w:rPr>
        <w:footnoteRef/>
      </w:r>
      <w:r>
        <w:t xml:space="preserve"> Translation note: Greek closes with a no-lack formula. Current wording preserves it.</w:t>
      </w:r>
    </w:p>
  </w:footnote>
  <w:footnote w:id="4949">
    <w:p>
      <w:pPr>
        <w:pStyle w:val="FootnoteText"/>
      </w:pPr>
      <w:r>
        <w:rPr>
          <w:rStyle w:val="FootnoteReference"/>
        </w:rPr>
        <w:footnoteRef/>
      </w:r>
      <w:r>
        <w:t xml:space="preserve"> Cross-references for "they washed": Gen 18:4; 1Sam 25:41.</w:t>
      </w:r>
    </w:p>
  </w:footnote>
  <w:footnote w:id="4950">
    <w:p>
      <w:pPr>
        <w:pStyle w:val="FootnoteText"/>
      </w:pPr>
      <w:r>
        <w:rPr>
          <w:rStyle w:val="FootnoteReference"/>
        </w:rPr>
        <w:footnoteRef/>
      </w:r>
      <w:r>
        <w:t xml:space="preserve"> Cross-references for "the men": Gen 19:4; Judg 20:5.</w:t>
      </w:r>
    </w:p>
  </w:footnote>
  <w:footnote w:id="4951">
    <w:p>
      <w:pPr>
        <w:pStyle w:val="FootnoteText"/>
      </w:pPr>
      <w:r>
        <w:rPr>
          <w:rStyle w:val="FootnoteReference"/>
        </w:rPr>
        <w:footnoteRef/>
      </w:r>
      <w:r>
        <w:t xml:space="preserve"> Cross-references for "the man": Gen 19:6-7.</w:t>
      </w:r>
    </w:p>
  </w:footnote>
  <w:footnote w:id="4952">
    <w:p>
      <w:pPr>
        <w:pStyle w:val="FootnoteText"/>
      </w:pPr>
      <w:r>
        <w:rPr>
          <w:rStyle w:val="FootnoteReference"/>
        </w:rPr>
        <w:footnoteRef/>
      </w:r>
      <w:r>
        <w:t xml:space="preserve"> Cross-references for "them": Gen 19:8; Rom 3:8.</w:t>
      </w:r>
    </w:p>
  </w:footnote>
  <w:footnote w:id="4953">
    <w:p>
      <w:pPr>
        <w:pStyle w:val="FootnoteText"/>
      </w:pPr>
      <w:r>
        <w:rPr>
          <w:rStyle w:val="FootnoteReference"/>
        </w:rPr>
        <w:footnoteRef/>
      </w:r>
      <w:r>
        <w:t xml:space="preserve"> Cross-references for "knew her": Gen 4:1.</w:t>
      </w:r>
    </w:p>
  </w:footnote>
  <w:footnote w:id="4954">
    <w:p>
      <w:pPr>
        <w:pStyle w:val="FootnoteText"/>
      </w:pPr>
      <w:r>
        <w:rPr>
          <w:rStyle w:val="FootnoteReference"/>
        </w:rPr>
        <w:footnoteRef/>
      </w:r>
      <w:r>
        <w:t xml:space="preserve"> Translation note: Greek says they mocked or abused her all night.</w:t>
      </w:r>
    </w:p>
  </w:footnote>
  <w:footnote w:id="4955">
    <w:p>
      <w:pPr>
        <w:pStyle w:val="FootnoteText"/>
      </w:pPr>
      <w:r>
        <w:rPr>
          <w:rStyle w:val="FootnoteReference"/>
        </w:rPr>
        <w:footnoteRef/>
      </w:r>
      <w:r>
        <w:t xml:space="preserve"> Translation note: Greek says her hands were on the threshold.</w:t>
      </w:r>
    </w:p>
  </w:footnote>
  <w:footnote w:id="4956">
    <w:p>
      <w:pPr>
        <w:pStyle w:val="FootnoteText"/>
      </w:pPr>
      <w:r>
        <w:rPr>
          <w:rStyle w:val="FootnoteReference"/>
        </w:rPr>
        <w:footnoteRef/>
      </w:r>
      <w:r>
        <w:t xml:space="preserve"> Translation note: Greek expands with set counsel for yourselves about her.</w:t>
      </w:r>
    </w:p>
  </w:footnote>
  <w:footnote w:id="4957">
    <w:p>
      <w:pPr>
        <w:pStyle w:val="FootnoteText"/>
      </w:pPr>
      <w:r>
        <w:rPr>
          <w:rStyle w:val="FootnoteReference"/>
        </w:rPr>
        <w:footnoteRef/>
      </w:r>
      <w:r>
        <w:t xml:space="preserve"> Cross-references for "as one man": 1Sam 11:7-8; 2Sam 19:14.</w:t>
      </w:r>
    </w:p>
  </w:footnote>
  <w:footnote w:id="4958">
    <w:p>
      <w:pPr>
        <w:pStyle w:val="FootnoteText"/>
      </w:pPr>
      <w:r>
        <w:rPr>
          <w:rStyle w:val="FootnoteReference"/>
        </w:rPr>
        <w:footnoteRef/>
      </w:r>
      <w:r>
        <w:t xml:space="preserve"> Cross-references for "I came": Judg 19:15-28.</w:t>
      </w:r>
    </w:p>
  </w:footnote>
  <w:footnote w:id="4959">
    <w:p>
      <w:pPr>
        <w:pStyle w:val="FootnoteText"/>
      </w:pPr>
      <w:r>
        <w:rPr>
          <w:rStyle w:val="FootnoteReference"/>
        </w:rPr>
        <w:footnoteRef/>
      </w:r>
      <w:r>
        <w:t xml:space="preserve"> Cross-references for "And the men": Judg 19:22.</w:t>
      </w:r>
    </w:p>
  </w:footnote>
  <w:footnote w:id="4960">
    <w:p>
      <w:pPr>
        <w:pStyle w:val="FootnoteText"/>
      </w:pPr>
      <w:r>
        <w:rPr>
          <w:rStyle w:val="FootnoteReference"/>
        </w:rPr>
        <w:footnoteRef/>
      </w:r>
      <w:r>
        <w:t xml:space="preserve"> Translation note: Greek gives the atrocity report in direct terms. Current wording preserves that force.</w:t>
      </w:r>
    </w:p>
  </w:footnote>
  <w:footnote w:id="4961">
    <w:p>
      <w:pPr>
        <w:pStyle w:val="FootnoteText"/>
      </w:pPr>
      <w:r>
        <w:rPr>
          <w:rStyle w:val="FootnoteReference"/>
        </w:rPr>
        <w:footnoteRef/>
      </w:r>
      <w:r>
        <w:t xml:space="preserve"> Cross-references for "cut her": Judg 19:29.</w:t>
      </w:r>
    </w:p>
  </w:footnote>
  <w:footnote w:id="4962">
    <w:p>
      <w:pPr>
        <w:pStyle w:val="FootnoteText"/>
      </w:pPr>
      <w:r>
        <w:rPr>
          <w:rStyle w:val="FootnoteReference"/>
        </w:rPr>
        <w:footnoteRef/>
      </w:r>
      <w:r>
        <w:t xml:space="preserve"> Translation note: Greek uses the give-yourselves-word-and-counsel line directly. Current wording preserves that deliberation formula.</w:t>
      </w:r>
    </w:p>
  </w:footnote>
  <w:footnote w:id="4963">
    <w:p>
      <w:pPr>
        <w:pStyle w:val="FootnoteText"/>
      </w:pPr>
      <w:r>
        <w:rPr>
          <w:rStyle w:val="FootnoteReference"/>
        </w:rPr>
        <w:footnoteRef/>
      </w:r>
      <w:r>
        <w:t xml:space="preserve"> Cross-references for "as one man": Judg 20:1; Judg 20:11.</w:t>
      </w:r>
    </w:p>
  </w:footnote>
  <w:footnote w:id="4964">
    <w:p>
      <w:pPr>
        <w:pStyle w:val="FootnoteText"/>
      </w:pPr>
      <w:r>
        <w:rPr>
          <w:rStyle w:val="FootnoteReference"/>
        </w:rPr>
        <w:footnoteRef/>
      </w:r>
      <w:r>
        <w:t xml:space="preserve"> Cross-references for "ten thousand": Gen 24:60.</w:t>
      </w:r>
    </w:p>
  </w:footnote>
  <w:footnote w:id="4965">
    <w:p>
      <w:pPr>
        <w:pStyle w:val="FootnoteText"/>
      </w:pPr>
      <w:r>
        <w:rPr>
          <w:rStyle w:val="FootnoteReference"/>
        </w:rPr>
        <w:footnoteRef/>
      </w:r>
      <w:r>
        <w:t xml:space="preserve"> Translation note: Greek says take provisions for people.</w:t>
      </w:r>
    </w:p>
  </w:footnote>
  <w:footnote w:id="4966">
    <w:p>
      <w:pPr>
        <w:pStyle w:val="FootnoteText"/>
      </w:pPr>
      <w:r>
        <w:rPr>
          <w:rStyle w:val="FootnoteReference"/>
        </w:rPr>
        <w:footnoteRef/>
      </w:r>
      <w:r>
        <w:t xml:space="preserve"> Cross-references for "sent men": Deut 13:14; Deut 20:10.</w:t>
      </w:r>
    </w:p>
  </w:footnote>
  <w:footnote w:id="4967">
    <w:p>
      <w:pPr>
        <w:pStyle w:val="FootnoteText"/>
      </w:pPr>
      <w:r>
        <w:rPr>
          <w:rStyle w:val="FootnoteReference"/>
        </w:rPr>
        <w:footnoteRef/>
      </w:r>
      <w:r>
        <w:t xml:space="preserve"> Divine or supernatural name: Belial. Divine/supernatural-name meaning: Belial — wicked, worthless. Source form: Belial.</w:t>
      </w:r>
    </w:p>
  </w:footnote>
  <w:footnote w:id="4968">
    <w:p>
      <w:pPr>
        <w:pStyle w:val="FootnoteText"/>
      </w:pPr>
      <w:r>
        <w:rPr>
          <w:rStyle w:val="FootnoteReference"/>
        </w:rPr>
        <w:footnoteRef/>
      </w:r>
      <w:r>
        <w:t xml:space="preserve"> Translation note: Greek doubles the characterization here.</w:t>
      </w:r>
    </w:p>
  </w:footnote>
  <w:footnote w:id="4969">
    <w:p>
      <w:pPr>
        <w:pStyle w:val="FootnoteText"/>
      </w:pPr>
      <w:r>
        <w:rPr>
          <w:rStyle w:val="FootnoteReference"/>
        </w:rPr>
        <w:footnoteRef/>
      </w:r>
      <w:r>
        <w:t xml:space="preserve"> Cross-references for "twenty": Num 26:41; Judg 20:25.</w:t>
      </w:r>
    </w:p>
  </w:footnote>
  <w:footnote w:id="4970">
    <w:p>
      <w:pPr>
        <w:pStyle w:val="FootnoteText"/>
      </w:pPr>
      <w:r>
        <w:rPr>
          <w:rStyle w:val="FootnoteReference"/>
        </w:rPr>
        <w:footnoteRef/>
      </w:r>
      <w:r>
        <w:t xml:space="preserve"> Translation note: The Greek count line is straightforward. The current wording preserves it.</w:t>
      </w:r>
    </w:p>
  </w:footnote>
  <w:footnote w:id="4971">
    <w:p>
      <w:pPr>
        <w:pStyle w:val="FootnoteText"/>
      </w:pPr>
      <w:r>
        <w:rPr>
          <w:rStyle w:val="FootnoteReference"/>
        </w:rPr>
        <w:footnoteRef/>
      </w:r>
      <w:r>
        <w:t xml:space="preserve"> Cross-references for "four hundred": Num 1:46; Num 26:51.</w:t>
      </w:r>
    </w:p>
  </w:footnote>
  <w:footnote w:id="4972">
    <w:p>
      <w:pPr>
        <w:pStyle w:val="FootnoteText"/>
      </w:pPr>
      <w:r>
        <w:rPr>
          <w:rStyle w:val="FootnoteReference"/>
        </w:rPr>
        <w:footnoteRef/>
      </w:r>
      <w:r>
        <w:t xml:space="preserve"> Translation note: Greek says leading to fight here. Current line keeps that wording.</w:t>
      </w:r>
    </w:p>
  </w:footnote>
  <w:footnote w:id="4973">
    <w:p>
      <w:pPr>
        <w:pStyle w:val="FootnoteText"/>
      </w:pPr>
      <w:r>
        <w:rPr>
          <w:rStyle w:val="FootnoteReference"/>
        </w:rPr>
        <w:footnoteRef/>
      </w:r>
      <w:r>
        <w:t xml:space="preserve"> Cross-references for "Judah": Gen 49:8-10; Judg 1:1-2.</w:t>
      </w:r>
    </w:p>
  </w:footnote>
  <w:footnote w:id="4974">
    <w:p>
      <w:pPr>
        <w:pStyle w:val="FootnoteText"/>
      </w:pPr>
      <w:r>
        <w:rPr>
          <w:rStyle w:val="FootnoteReference"/>
        </w:rPr>
        <w:footnoteRef/>
      </w:r>
      <w:r>
        <w:t xml:space="preserve"> Cross-references for "destroyed": Deut 23:9; 2Chr 28:10.</w:t>
      </w:r>
    </w:p>
  </w:footnote>
  <w:footnote w:id="4975">
    <w:p>
      <w:pPr>
        <w:pStyle w:val="FootnoteText"/>
      </w:pPr>
      <w:r>
        <w:rPr>
          <w:rStyle w:val="FootnoteReference"/>
        </w:rPr>
        <w:footnoteRef/>
      </w:r>
      <w:r>
        <w:t xml:space="preserve"> Cross-references for "wept": Judg 20:26-27; Ps 78:34-36.</w:t>
      </w:r>
    </w:p>
  </w:footnote>
  <w:footnote w:id="4976">
    <w:p>
      <w:pPr>
        <w:pStyle w:val="FootnoteText"/>
      </w:pPr>
      <w:r>
        <w:rPr>
          <w:rStyle w:val="FootnoteReference"/>
        </w:rPr>
        <w:footnoteRef/>
      </w:r>
      <w:r>
        <w:t xml:space="preserve"> Cross-references for "destroyed": Gen 18:25; Judg 20:21.</w:t>
      </w:r>
    </w:p>
  </w:footnote>
  <w:footnote w:id="4977">
    <w:p>
      <w:pPr>
        <w:pStyle w:val="FootnoteText"/>
      </w:pPr>
      <w:r>
        <w:rPr>
          <w:rStyle w:val="FootnoteReference"/>
        </w:rPr>
        <w:footnoteRef/>
      </w:r>
      <w:r>
        <w:t xml:space="preserve"> Cross-references for "wept": 1Sam 7:6; 2Chr 20:3.</w:t>
      </w:r>
    </w:p>
  </w:footnote>
  <w:footnote w:id="4978">
    <w:p>
      <w:pPr>
        <w:pStyle w:val="FootnoteText"/>
      </w:pPr>
      <w:r>
        <w:rPr>
          <w:rStyle w:val="FootnoteReference"/>
        </w:rPr>
        <w:footnoteRef/>
      </w:r>
      <w:r>
        <w:t xml:space="preserve"> Translation note: Greek again uses the soterion family. The translation keeps the project's reviewed salvation-language rather than smoothing to peace offerings.</w:t>
      </w:r>
    </w:p>
  </w:footnote>
  <w:footnote w:id="4979">
    <w:p>
      <w:pPr>
        <w:pStyle w:val="FootnoteText"/>
      </w:pPr>
      <w:r>
        <w:rPr>
          <w:rStyle w:val="FootnoteReference"/>
        </w:rPr>
        <w:footnoteRef/>
      </w:r>
      <w:r>
        <w:t xml:space="preserve"> Translation note: Greek literally has inquired in the Lord. Current wording uses standard English while keeping the sense.</w:t>
      </w:r>
    </w:p>
  </w:footnote>
  <w:footnote w:id="4980">
    <w:p>
      <w:pPr>
        <w:pStyle w:val="FootnoteText"/>
      </w:pPr>
      <w:r>
        <w:rPr>
          <w:rStyle w:val="FootnoteReference"/>
        </w:rPr>
        <w:footnoteRef/>
      </w:r>
      <w:r>
        <w:t xml:space="preserve"> Cross-references for "inquired": Num 27:21; Judg 20:18.</w:t>
      </w:r>
    </w:p>
  </w:footnote>
  <w:footnote w:id="4981">
    <w:p>
      <w:pPr>
        <w:pStyle w:val="FootnoteText"/>
      </w:pPr>
      <w:r>
        <w:rPr>
          <w:rStyle w:val="FootnoteReference"/>
        </w:rPr>
        <w:footnoteRef/>
      </w:r>
      <w:r>
        <w:t xml:space="preserve"> Cross-references for "Phinehas": Num 25:7-13; Josh 22:13.</w:t>
      </w:r>
    </w:p>
  </w:footnote>
  <w:footnote w:id="4982">
    <w:p>
      <w:pPr>
        <w:pStyle w:val="FootnoteText"/>
      </w:pPr>
      <w:r>
        <w:rPr>
          <w:rStyle w:val="FootnoteReference"/>
        </w:rPr>
        <w:footnoteRef/>
      </w:r>
      <w:r>
        <w:t xml:space="preserve"> Cross-references for "drawn": Josh 8:14-16.</w:t>
      </w:r>
    </w:p>
  </w:footnote>
  <w:footnote w:id="4983">
    <w:p>
      <w:pPr>
        <w:pStyle w:val="FootnoteText"/>
      </w:pPr>
      <w:r>
        <w:rPr>
          <w:rStyle w:val="FootnoteReference"/>
        </w:rPr>
        <w:footnoteRef/>
      </w:r>
      <w:r>
        <w:t xml:space="preserve"> Cross-references for "Let us flee": Josh 8:15-16.</w:t>
      </w:r>
    </w:p>
  </w:footnote>
  <w:footnote w:id="4984">
    <w:p>
      <w:pPr>
        <w:pStyle w:val="FootnoteText"/>
      </w:pPr>
      <w:r>
        <w:rPr>
          <w:rStyle w:val="FootnoteReference"/>
        </w:rPr>
        <w:footnoteRef/>
      </w:r>
      <w:r>
        <w:t xml:space="preserve"> Transliterated proper noun: Baaltamar. Standard English equivalent: Baaltamar. Source form: Baaltamar. Greek form: βααλθαμαρ. Name meaning: master of the palm-tree.</w:t>
      </w:r>
    </w:p>
  </w:footnote>
  <w:footnote w:id="4985">
    <w:p>
      <w:pPr>
        <w:pStyle w:val="FootnoteText"/>
      </w:pPr>
      <w:r>
        <w:rPr>
          <w:rStyle w:val="FootnoteReference"/>
        </w:rPr>
        <w:footnoteRef/>
      </w:r>
      <w:r>
        <w:t xml:space="preserve"> Translation note: Greek says the ambush of Israel came out from its place.</w:t>
      </w:r>
    </w:p>
  </w:footnote>
  <w:footnote w:id="4986">
    <w:p>
      <w:pPr>
        <w:pStyle w:val="FootnoteText"/>
      </w:pPr>
      <w:r>
        <w:rPr>
          <w:rStyle w:val="FootnoteReference"/>
        </w:rPr>
        <w:footnoteRef/>
      </w:r>
      <w:r>
        <w:t xml:space="preserve"> Cross-references for "ten thousand": Judg 20:29.</w:t>
      </w:r>
    </w:p>
  </w:footnote>
  <w:footnote w:id="4987">
    <w:p>
      <w:pPr>
        <w:pStyle w:val="FootnoteText"/>
      </w:pPr>
      <w:r>
        <w:rPr>
          <w:rStyle w:val="FootnoteReference"/>
        </w:rPr>
        <w:footnoteRef/>
      </w:r>
      <w:r>
        <w:t xml:space="preserve"> Cross-references for "twenty": Judg 20:15; Judg 20:44-46.</w:t>
      </w:r>
    </w:p>
  </w:footnote>
  <w:footnote w:id="4988">
    <w:p>
      <w:pPr>
        <w:pStyle w:val="FootnoteText"/>
      </w:pPr>
      <w:r>
        <w:rPr>
          <w:rStyle w:val="FootnoteReference"/>
        </w:rPr>
        <w:footnoteRef/>
      </w:r>
      <w:r>
        <w:t xml:space="preserve"> Translation note: Greek says surely by defeat they are defeated before us.</w:t>
      </w:r>
    </w:p>
  </w:footnote>
  <w:footnote w:id="4989">
    <w:p>
      <w:pPr>
        <w:pStyle w:val="FootnoteText"/>
      </w:pPr>
      <w:r>
        <w:rPr>
          <w:rStyle w:val="FootnoteReference"/>
        </w:rPr>
        <w:footnoteRef/>
      </w:r>
      <w:r>
        <w:t xml:space="preserve"> Cross-references for "a pillar": Gen 19:28; Song 3:6.</w:t>
      </w:r>
    </w:p>
  </w:footnote>
  <w:footnote w:id="4990">
    <w:p>
      <w:pPr>
        <w:pStyle w:val="FootnoteText"/>
      </w:pPr>
      <w:r>
        <w:rPr>
          <w:rStyle w:val="FootnoteReference"/>
        </w:rPr>
        <w:footnoteRef/>
      </w:r>
      <w:r>
        <w:t xml:space="preserve"> Cross-references for "the battle": Lam 1:3; Hos 9:9.</w:t>
      </w:r>
    </w:p>
  </w:footnote>
  <w:footnote w:id="4991">
    <w:p>
      <w:pPr>
        <w:pStyle w:val="FootnoteText"/>
      </w:pPr>
      <w:r>
        <w:rPr>
          <w:rStyle w:val="FootnoteReference"/>
        </w:rPr>
        <w:footnoteRef/>
      </w:r>
      <w:r>
        <w:t xml:space="preserve"> Cross-references for "Rimmon": Josh 15:32; 1Chr 6:77.</w:t>
      </w:r>
    </w:p>
  </w:footnote>
  <w:footnote w:id="4992">
    <w:p>
      <w:pPr>
        <w:pStyle w:val="FootnoteText"/>
      </w:pPr>
      <w:r>
        <w:rPr>
          <w:rStyle w:val="FootnoteReference"/>
        </w:rPr>
        <w:footnoteRef/>
      </w:r>
      <w:r>
        <w:t xml:space="preserve"> Cross-references for "twenty": Judg 20:15; Judg 20:35.</w:t>
      </w:r>
    </w:p>
  </w:footnote>
  <w:footnote w:id="4993">
    <w:p>
      <w:pPr>
        <w:pStyle w:val="FootnoteText"/>
      </w:pPr>
      <w:r>
        <w:rPr>
          <w:rStyle w:val="FootnoteReference"/>
        </w:rPr>
        <w:footnoteRef/>
      </w:r>
      <w:r>
        <w:t xml:space="preserve"> Cross-references for "six hundred": Judg 21:13; Ps 103:9-10.</w:t>
      </w:r>
    </w:p>
  </w:footnote>
  <w:footnote w:id="4994">
    <w:p>
      <w:pPr>
        <w:pStyle w:val="FootnoteText"/>
      </w:pPr>
      <w:r>
        <w:rPr>
          <w:rStyle w:val="FootnoteReference"/>
        </w:rPr>
        <w:footnoteRef/>
      </w:r>
      <w:r>
        <w:t xml:space="preserve"> Translation note: Greek keeps the turn-aside and flight line direct. Current wording preserves it.</w:t>
      </w:r>
    </w:p>
  </w:footnote>
  <w:footnote w:id="4995">
    <w:p>
      <w:pPr>
        <w:pStyle w:val="FootnoteText"/>
      </w:pPr>
      <w:r>
        <w:rPr>
          <w:rStyle w:val="FootnoteReference"/>
        </w:rPr>
        <w:footnoteRef/>
      </w:r>
      <w:r>
        <w:t xml:space="preserve"> Cross-references for "his daughter": Exod 34:12-16; Deut 7:2-3.</w:t>
      </w:r>
    </w:p>
  </w:footnote>
  <w:footnote w:id="4996">
    <w:p>
      <w:pPr>
        <w:pStyle w:val="FootnoteText"/>
      </w:pPr>
      <w:r>
        <w:rPr>
          <w:rStyle w:val="FootnoteReference"/>
        </w:rPr>
        <w:footnoteRef/>
      </w:r>
      <w:r>
        <w:t xml:space="preserve"> Cross-references for "lifted": Gen 27:38; Judg 2:4.</w:t>
      </w:r>
    </w:p>
  </w:footnote>
  <w:footnote w:id="4997">
    <w:p>
      <w:pPr>
        <w:pStyle w:val="FootnoteText"/>
      </w:pPr>
      <w:r>
        <w:rPr>
          <w:rStyle w:val="FootnoteReference"/>
        </w:rPr>
        <w:footnoteRef/>
      </w:r>
      <w:r>
        <w:t xml:space="preserve"> Cross-references for "rose early": Ps 78:34-35; Hos 5:15.</w:t>
      </w:r>
    </w:p>
  </w:footnote>
  <w:footnote w:id="4998">
    <w:p>
      <w:pPr>
        <w:pStyle w:val="FootnoteText"/>
      </w:pPr>
      <w:r>
        <w:rPr>
          <w:rStyle w:val="FootnoteReference"/>
        </w:rPr>
        <w:footnoteRef/>
      </w:r>
      <w:r>
        <w:t xml:space="preserve"> Translation note: The Greek keeps salvation-shaped sacrificial wording even in this narrative setting. The current wording preserves that cultic line.</w:t>
      </w:r>
    </w:p>
  </w:footnote>
  <w:footnote w:id="4999">
    <w:p>
      <w:pPr>
        <w:pStyle w:val="FootnoteText"/>
      </w:pPr>
      <w:r>
        <w:rPr>
          <w:rStyle w:val="FootnoteReference"/>
        </w:rPr>
        <w:footnoteRef/>
      </w:r>
      <w:r>
        <w:t xml:space="preserve"> Translation note: Greek says assembly here. Current line keeps it.</w:t>
      </w:r>
    </w:p>
  </w:footnote>
  <w:footnote w:id="5000">
    <w:p>
      <w:pPr>
        <w:pStyle w:val="FootnoteText"/>
      </w:pPr>
      <w:r>
        <w:rPr>
          <w:rStyle w:val="FootnoteReference"/>
        </w:rPr>
        <w:footnoteRef/>
      </w:r>
      <w:r>
        <w:t xml:space="preserve"> Cross-references for "a great oath": Lev 27:28-29; Judg 5:23.</w:t>
      </w:r>
    </w:p>
  </w:footnote>
  <w:footnote w:id="5001">
    <w:p>
      <w:pPr>
        <w:pStyle w:val="FootnoteText"/>
      </w:pPr>
      <w:r>
        <w:rPr>
          <w:rStyle w:val="FootnoteReference"/>
        </w:rPr>
        <w:footnoteRef/>
      </w:r>
      <w:r>
        <w:t xml:space="preserve"> Personal name: Jabesh. Personal-name meaning: Jabesh — dryness; confusion; shame. Source form: Jabesh.</w:t>
      </w:r>
    </w:p>
  </w:footnote>
  <w:footnote w:id="5002">
    <w:p>
      <w:pPr>
        <w:pStyle w:val="FootnoteText"/>
      </w:pPr>
      <w:r>
        <w:rPr>
          <w:rStyle w:val="FootnoteReference"/>
        </w:rPr>
        <w:footnoteRef/>
      </w:r>
      <w:r>
        <w:t xml:space="preserve"> Cross-references for "every male": Num 31:17-18; Deut 2:34.</w:t>
      </w:r>
    </w:p>
  </w:footnote>
  <w:footnote w:id="5003">
    <w:p>
      <w:pPr>
        <w:pStyle w:val="FootnoteText"/>
      </w:pPr>
      <w:r>
        <w:rPr>
          <w:rStyle w:val="FootnoteReference"/>
        </w:rPr>
        <w:footnoteRef/>
      </w:r>
      <w:r>
        <w:t xml:space="preserve"> Cross-references for "virgins": Josh 18:1; Judg 20:18.</w:t>
      </w:r>
    </w:p>
  </w:footnote>
  <w:footnote w:id="5004">
    <w:p>
      <w:pPr>
        <w:pStyle w:val="FootnoteText"/>
      </w:pPr>
      <w:r>
        <w:rPr>
          <w:rStyle w:val="FootnoteReference"/>
        </w:rPr>
        <w:footnoteRef/>
      </w:r>
      <w:r>
        <w:t xml:space="preserve"> Translation note: Greek says bed of male here. Current line keeps that wording.</w:t>
      </w:r>
    </w:p>
  </w:footnote>
  <w:footnote w:id="5005">
    <w:p>
      <w:pPr>
        <w:pStyle w:val="FootnoteText"/>
      </w:pPr>
      <w:r>
        <w:rPr>
          <w:rStyle w:val="FootnoteReference"/>
        </w:rPr>
        <w:footnoteRef/>
      </w:r>
      <w:r>
        <w:t xml:space="preserve"> Cross-references for "the rock Rimmon": Josh 15:32; Judg 20:47.</w:t>
      </w:r>
    </w:p>
  </w:footnote>
  <w:footnote w:id="5006">
    <w:p>
      <w:pPr>
        <w:pStyle w:val="FootnoteText"/>
      </w:pPr>
      <w:r>
        <w:rPr>
          <w:rStyle w:val="FootnoteReference"/>
        </w:rPr>
        <w:footnoteRef/>
      </w:r>
      <w:r>
        <w:t xml:space="preserve"> Cross-references for "a feast": Exod 23:14-16; Lev 23:2.</w:t>
      </w:r>
    </w:p>
  </w:footnote>
  <w:footnote w:id="5007">
    <w:p>
      <w:pPr>
        <w:pStyle w:val="FootnoteText"/>
      </w:pPr>
      <w:r>
        <w:rPr>
          <w:rStyle w:val="FootnoteReference"/>
        </w:rPr>
        <w:footnoteRef/>
      </w:r>
      <w:r>
        <w:t xml:space="preserve"> Place name: Lebonah. Place-name meaning: Lebonah — the moon; whiteness; frankincense. Source form: Lebonah. Greek form: λεβωνα.</w:t>
      </w:r>
    </w:p>
  </w:footnote>
  <w:footnote w:id="5008">
    <w:p>
      <w:pPr>
        <w:pStyle w:val="FootnoteText"/>
      </w:pPr>
      <w:r>
        <w:rPr>
          <w:rStyle w:val="FootnoteReference"/>
        </w:rPr>
        <w:footnoteRef/>
      </w:r>
      <w:r>
        <w:t xml:space="preserve"> Translation note: Greek preserves Sikima here in directional list. Current line keeps that form.</w:t>
      </w:r>
    </w:p>
  </w:footnote>
  <w:footnote w:id="5009">
    <w:p>
      <w:pPr>
        <w:pStyle w:val="FootnoteText"/>
      </w:pPr>
      <w:r>
        <w:rPr>
          <w:rStyle w:val="FootnoteReference"/>
        </w:rPr>
        <w:footnoteRef/>
      </w:r>
      <w:r>
        <w:t xml:space="preserve"> Translation note: Greek says dance in dances and seize a wife.</w:t>
      </w:r>
    </w:p>
  </w:footnote>
  <w:footnote w:id="5010">
    <w:p>
      <w:pPr>
        <w:pStyle w:val="FootnoteText"/>
      </w:pPr>
      <w:r>
        <w:rPr>
          <w:rStyle w:val="FootnoteReference"/>
        </w:rPr>
        <w:footnoteRef/>
      </w:r>
      <w:r>
        <w:t xml:space="preserve"> Cross-references for "dance": Exod 15:20; Judg 11:34.</w:t>
      </w:r>
    </w:p>
  </w:footnote>
  <w:footnote w:id="5011">
    <w:p>
      <w:pPr>
        <w:pStyle w:val="FootnoteText"/>
      </w:pPr>
      <w:r>
        <w:rPr>
          <w:rStyle w:val="FootnoteReference"/>
        </w:rPr>
        <w:footnoteRef/>
      </w:r>
      <w:r>
        <w:t xml:space="preserve"> Translation note: Greek uses a mercy imperative in the appeal to the fathers and brothers. The translation keeps that plea explicit.</w:t>
      </w:r>
    </w:p>
  </w:footnote>
  <w:footnote w:id="5012">
    <w:p>
      <w:pPr>
        <w:pStyle w:val="FootnoteText"/>
      </w:pPr>
      <w:r>
        <w:rPr>
          <w:rStyle w:val="FootnoteReference"/>
        </w:rPr>
        <w:footnoteRef/>
      </w:r>
      <w:r>
        <w:t xml:space="preserve"> Cross-references for "each man": Gen 1:27; Gen 7:13.</w:t>
      </w:r>
    </w:p>
  </w:footnote>
  <w:footnote w:id="5013">
    <w:p>
      <w:pPr>
        <w:pStyle w:val="FootnoteText"/>
      </w:pPr>
      <w:r>
        <w:rPr>
          <w:rStyle w:val="FootnoteReference"/>
        </w:rPr>
        <w:footnoteRef/>
      </w:r>
      <w:r>
        <w:t xml:space="preserve"> Translation note: Greek says from dancers whom they carried off.</w:t>
      </w:r>
    </w:p>
  </w:footnote>
  <w:footnote w:id="5014">
    <w:p>
      <w:pPr>
        <w:pStyle w:val="FootnoteText"/>
      </w:pPr>
      <w:r>
        <w:rPr>
          <w:rStyle w:val="FootnoteReference"/>
        </w:rPr>
        <w:footnoteRef/>
      </w:r>
      <w:r>
        <w:t xml:space="preserve"> Cross-references for "right": Deut 12:8; Judg 18:7.</w:t>
      </w:r>
    </w:p>
  </w:footnote>
  <w:footnote w:id="5015">
    <w:p>
      <w:pPr>
        <w:pStyle w:val="FootnoteText"/>
      </w:pPr>
      <w:r>
        <w:rPr>
          <w:rStyle w:val="FootnoteReference"/>
        </w:rPr>
        <w:footnoteRef/>
      </w:r>
      <w:r>
        <w:t xml:space="preserve"> Cross-references for "the judges": Judg 2:16; Judg 12:8.</w:t>
      </w:r>
    </w:p>
  </w:footnote>
  <w:footnote w:id="5016">
    <w:p>
      <w:pPr>
        <w:pStyle w:val="FootnoteText"/>
      </w:pPr>
      <w:r>
        <w:rPr>
          <w:rStyle w:val="FootnoteReference"/>
        </w:rPr>
        <w:footnoteRef/>
      </w:r>
      <w:r>
        <w:t xml:space="preserve"> Name meaning: Elimelech (Eli Melek) — My God is king. Naomi's husband; his name confesses God as king in the days of the judges.</w:t>
      </w:r>
    </w:p>
  </w:footnote>
  <w:footnote w:id="5017">
    <w:p>
      <w:pPr>
        <w:pStyle w:val="FootnoteText"/>
      </w:pPr>
      <w:r>
        <w:rPr>
          <w:rStyle w:val="FootnoteReference"/>
        </w:rPr>
        <w:footnoteRef/>
      </w:r>
      <w:r>
        <w:t xml:space="preserve"> Name meaning: Naomi (Naomi) — Pleasant; my delight. Ruth's mother-in-law; her bitter season was reversed by covenant kindness.</w:t>
      </w:r>
    </w:p>
  </w:footnote>
  <w:footnote w:id="5018">
    <w:p>
      <w:pPr>
        <w:pStyle w:val="FootnoteText"/>
      </w:pPr>
      <w:r>
        <w:rPr>
          <w:rStyle w:val="FootnoteReference"/>
        </w:rPr>
        <w:footnoteRef/>
      </w:r>
      <w:r>
        <w:t xml:space="preserve"> Name meaning: Mahlon (Machlon) — Sickly; weak. Naomi's son; his death leaves Ruth widowed before redemption enters the story.</w:t>
      </w:r>
    </w:p>
  </w:footnote>
  <w:footnote w:id="5019">
    <w:p>
      <w:pPr>
        <w:pStyle w:val="FootnoteText"/>
      </w:pPr>
      <w:r>
        <w:rPr>
          <w:rStyle w:val="FootnoteReference"/>
        </w:rPr>
        <w:footnoteRef/>
      </w:r>
      <w:r>
        <w:t xml:space="preserve"> Name meaning: Chilion (Kilyon) — Failing; wasting away. Naomi's son; his name is traditionally linked with frailty or wasting.</w:t>
      </w:r>
    </w:p>
  </w:footnote>
  <w:footnote w:id="5020">
    <w:p>
      <w:pPr>
        <w:pStyle w:val="FootnoteText"/>
      </w:pPr>
      <w:r>
        <w:rPr>
          <w:rStyle w:val="FootnoteReference"/>
        </w:rPr>
        <w:footnoteRef/>
      </w:r>
      <w:r>
        <w:t xml:space="preserve"> People-name: Ephrathites. People-name meaning: Ephrathites — abundance; bearing fruit. Source form: Ephrathites.</w:t>
      </w:r>
    </w:p>
  </w:footnote>
  <w:footnote w:id="5021">
    <w:p>
      <w:pPr>
        <w:pStyle w:val="FootnoteText"/>
      </w:pPr>
      <w:r>
        <w:rPr>
          <w:rStyle w:val="FootnoteReference"/>
        </w:rPr>
        <w:footnoteRef/>
      </w:r>
      <w:r>
        <w:t xml:space="preserve"> Translation note: Greek-form names here read Abimelech, Noemin, Maalon, Chelaion, and Bethleem. Main text uses Elimelech, Naomi, Mahlon, Chilion, and Bethlehem so Ruth reads with standard English name forms while this note keeps the Greek forms visible.</w:t>
      </w:r>
    </w:p>
  </w:footnote>
  <w:footnote w:id="5022">
    <w:p>
      <w:pPr>
        <w:pStyle w:val="FootnoteText"/>
      </w:pPr>
      <w:r>
        <w:rPr>
          <w:rStyle w:val="FootnoteReference"/>
        </w:rPr>
        <w:footnoteRef/>
      </w:r>
      <w:r>
        <w:t xml:space="preserve"> Cross-references for "Naomi": Ruth 1:20.</w:t>
      </w:r>
    </w:p>
  </w:footnote>
  <w:footnote w:id="5023">
    <w:p>
      <w:pPr>
        <w:pStyle w:val="FootnoteText"/>
      </w:pPr>
      <w:r>
        <w:rPr>
          <w:rStyle w:val="FootnoteReference"/>
        </w:rPr>
        <w:footnoteRef/>
      </w:r>
      <w:r>
        <w:t xml:space="preserve"> Cross-references for "and she was": 2Kgs 4:1; Ps 34:19.</w:t>
      </w:r>
    </w:p>
  </w:footnote>
  <w:footnote w:id="5024">
    <w:p>
      <w:pPr>
        <w:pStyle w:val="FootnoteText"/>
      </w:pPr>
      <w:r>
        <w:rPr>
          <w:rStyle w:val="FootnoteReference"/>
        </w:rPr>
        <w:footnoteRef/>
      </w:r>
      <w:r>
        <w:t xml:space="preserve"> Name meaning: Orpah (Orpah) — Back of the neck; fawn. Ruth's sister-in-law who turned back to Moab.</w:t>
      </w:r>
    </w:p>
  </w:footnote>
  <w:footnote w:id="5025">
    <w:p>
      <w:pPr>
        <w:pStyle w:val="FootnoteText"/>
      </w:pPr>
      <w:r>
        <w:rPr>
          <w:rStyle w:val="FootnoteReference"/>
        </w:rPr>
        <w:footnoteRef/>
      </w:r>
      <w:r>
        <w:t xml:space="preserve"> Name meaning: Ruth (Ruth) — Friend; companion. Loyal friend to Naomi; became ancestor of David and Messiah.</w:t>
      </w:r>
    </w:p>
  </w:footnote>
  <w:footnote w:id="5026">
    <w:p>
      <w:pPr>
        <w:pStyle w:val="FootnoteText"/>
      </w:pPr>
      <w:r>
        <w:rPr>
          <w:rStyle w:val="FootnoteReference"/>
        </w:rPr>
        <w:footnoteRef/>
      </w:r>
      <w:r>
        <w:t xml:space="preserve"> Translation note: Greek-form name here is Orpha. Main text uses Orpah, the standard English form for Ruth's sister-in-law.</w:t>
      </w:r>
    </w:p>
  </w:footnote>
  <w:footnote w:id="5027">
    <w:p>
      <w:pPr>
        <w:pStyle w:val="FootnoteText"/>
      </w:pPr>
      <w:r>
        <w:rPr>
          <w:rStyle w:val="FootnoteReference"/>
        </w:rPr>
        <w:footnoteRef/>
      </w:r>
      <w:r>
        <w:t xml:space="preserve"> Cross-references for "Ruth": Matt 1:5.</w:t>
      </w:r>
    </w:p>
  </w:footnote>
  <w:footnote w:id="5028">
    <w:p>
      <w:pPr>
        <w:pStyle w:val="FootnoteText"/>
      </w:pPr>
      <w:r>
        <w:rPr>
          <w:rStyle w:val="FootnoteReference"/>
        </w:rPr>
        <w:footnoteRef/>
      </w:r>
      <w:r>
        <w:t xml:space="preserve"> Cross-references for "Mahlon": Deut 32:39; Ps 89:30-32.</w:t>
      </w:r>
    </w:p>
  </w:footnote>
  <w:footnote w:id="5029">
    <w:p>
      <w:pPr>
        <w:pStyle w:val="FootnoteText"/>
      </w:pPr>
      <w:r>
        <w:rPr>
          <w:rStyle w:val="FootnoteReference"/>
        </w:rPr>
        <w:footnoteRef/>
      </w:r>
      <w:r>
        <w:t xml:space="preserve"> Cross-references for "visited": Gen 21:1; Gen 50:25.</w:t>
      </w:r>
    </w:p>
  </w:footnote>
  <w:footnote w:id="5030">
    <w:p>
      <w:pPr>
        <w:pStyle w:val="FootnoteText"/>
      </w:pPr>
      <w:r>
        <w:rPr>
          <w:rStyle w:val="FootnoteReference"/>
        </w:rPr>
        <w:footnoteRef/>
      </w:r>
      <w:r>
        <w:t xml:space="preserve"> Cross-references for "she went": 2Kgs 8:3.</w:t>
      </w:r>
    </w:p>
  </w:footnote>
  <w:footnote w:id="5031">
    <w:p>
      <w:pPr>
        <w:pStyle w:val="FootnoteText"/>
      </w:pPr>
      <w:r>
        <w:rPr>
          <w:rStyle w:val="FootnoteReference"/>
        </w:rPr>
        <w:footnoteRef/>
      </w:r>
      <w:r>
        <w:t xml:space="preserve"> Cross-references for "the Lord": Phil 4:18-19; 2Tim 1:16-18.</w:t>
      </w:r>
    </w:p>
  </w:footnote>
  <w:footnote w:id="5032">
    <w:p>
      <w:pPr>
        <w:pStyle w:val="FootnoteText"/>
      </w:pPr>
      <w:r>
        <w:rPr>
          <w:rStyle w:val="FootnoteReference"/>
        </w:rPr>
        <w:footnoteRef/>
      </w:r>
      <w:r>
        <w:t xml:space="preserve"> Translation note: The Greek blessing uses mercy language directly. Manual Logos export across all witnesses supports keeping mercy or kindness visible rather than flattening the blessing into a generic goodwill phrase.</w:t>
      </w:r>
    </w:p>
  </w:footnote>
  <w:footnote w:id="5033">
    <w:p>
      <w:pPr>
        <w:pStyle w:val="FootnoteText"/>
      </w:pPr>
      <w:r>
        <w:rPr>
          <w:rStyle w:val="FootnoteReference"/>
        </w:rPr>
        <w:footnoteRef/>
      </w:r>
      <w:r>
        <w:t xml:space="preserve"> Cross-references for "rest": Ruth 3:1.</w:t>
      </w:r>
    </w:p>
  </w:footnote>
  <w:footnote w:id="5034">
    <w:p>
      <w:pPr>
        <w:pStyle w:val="FootnoteText"/>
      </w:pPr>
      <w:r>
        <w:rPr>
          <w:rStyle w:val="FootnoteReference"/>
        </w:rPr>
        <w:footnoteRef/>
      </w:r>
      <w:r>
        <w:t xml:space="preserve"> Translation note: Greek says hand of the Lord has gone out against her.</w:t>
      </w:r>
    </w:p>
  </w:footnote>
  <w:footnote w:id="5035">
    <w:p>
      <w:pPr>
        <w:pStyle w:val="FootnoteText"/>
      </w:pPr>
      <w:r>
        <w:rPr>
          <w:rStyle w:val="FootnoteReference"/>
        </w:rPr>
        <w:footnoteRef/>
      </w:r>
      <w:r>
        <w:t xml:space="preserve"> Cross-references for "the hand": Deut 2:15; Judg 2:15.</w:t>
      </w:r>
    </w:p>
  </w:footnote>
  <w:footnote w:id="5036">
    <w:p>
      <w:pPr>
        <w:pStyle w:val="FootnoteText"/>
      </w:pPr>
      <w:r>
        <w:rPr>
          <w:rStyle w:val="FootnoteReference"/>
        </w:rPr>
        <w:footnoteRef/>
      </w:r>
      <w:r>
        <w:t xml:space="preserve"> Cross-references for "Orpah": Gen 31:28; Gen 31:55.</w:t>
      </w:r>
    </w:p>
  </w:footnote>
  <w:footnote w:id="5037">
    <w:p>
      <w:pPr>
        <w:pStyle w:val="FootnoteText"/>
      </w:pPr>
      <w:r>
        <w:rPr>
          <w:rStyle w:val="FootnoteReference"/>
        </w:rPr>
        <w:footnoteRef/>
      </w:r>
      <w:r>
        <w:t xml:space="preserve"> Cross-references for "her gods": Judg 11:24.</w:t>
      </w:r>
    </w:p>
  </w:footnote>
  <w:footnote w:id="5038">
    <w:p>
      <w:pPr>
        <w:pStyle w:val="FootnoteText"/>
      </w:pPr>
      <w:r>
        <w:rPr>
          <w:rStyle w:val="FootnoteReference"/>
        </w:rPr>
        <w:footnoteRef/>
      </w:r>
      <w:r>
        <w:t xml:space="preserve"> Cross-references for "to leave": 2Kgs 2:2-6; Luke 24:28-29.</w:t>
      </w:r>
    </w:p>
  </w:footnote>
  <w:footnote w:id="5039">
    <w:p>
      <w:pPr>
        <w:pStyle w:val="FootnoteText"/>
      </w:pPr>
      <w:r>
        <w:rPr>
          <w:rStyle w:val="FootnoteReference"/>
        </w:rPr>
        <w:footnoteRef/>
      </w:r>
      <w:r>
        <w:t xml:space="preserve"> Translation note: The Greek keeps Ruth's pledge direct and compact. The current wording preserves that line.</w:t>
      </w:r>
    </w:p>
  </w:footnote>
  <w:footnote w:id="5040">
    <w:p>
      <w:pPr>
        <w:pStyle w:val="FootnoteText"/>
      </w:pPr>
      <w:r>
        <w:rPr>
          <w:rStyle w:val="FootnoteReference"/>
        </w:rPr>
        <w:footnoteRef/>
      </w:r>
      <w:r>
        <w:t xml:space="preserve"> Cross-references for "the Lord": 1Sam 3:17; 1Sam 25:22.</w:t>
      </w:r>
    </w:p>
  </w:footnote>
  <w:footnote w:id="5041">
    <w:p>
      <w:pPr>
        <w:pStyle w:val="FootnoteText"/>
      </w:pPr>
      <w:r>
        <w:rPr>
          <w:rStyle w:val="FootnoteReference"/>
        </w:rPr>
        <w:footnoteRef/>
      </w:r>
      <w:r>
        <w:t xml:space="preserve"> Cross-references for "all the city": Matt 21:10.</w:t>
      </w:r>
    </w:p>
  </w:footnote>
  <w:footnote w:id="5042">
    <w:p>
      <w:pPr>
        <w:pStyle w:val="FootnoteText"/>
      </w:pPr>
      <w:r>
        <w:rPr>
          <w:rStyle w:val="FootnoteReference"/>
        </w:rPr>
        <w:footnoteRef/>
      </w:r>
      <w:r>
        <w:t xml:space="preserve"> Cross-references for "the Lord": Job 10:17; Job 13:26.</w:t>
      </w:r>
    </w:p>
  </w:footnote>
  <w:footnote w:id="5043">
    <w:p>
      <w:pPr>
        <w:pStyle w:val="FootnoteText"/>
      </w:pPr>
      <w:r>
        <w:rPr>
          <w:rStyle w:val="FootnoteReference"/>
        </w:rPr>
        <w:footnoteRef/>
      </w:r>
      <w:r>
        <w:t xml:space="preserve"> Name meaning: Boaz (Boaz) — In strength; swiftness. Kinsman-redeemer in Ruth; ancestor of David.</w:t>
      </w:r>
    </w:p>
  </w:footnote>
  <w:footnote w:id="5044">
    <w:p>
      <w:pPr>
        <w:pStyle w:val="FootnoteText"/>
      </w:pPr>
      <w:r>
        <w:rPr>
          <w:rStyle w:val="FootnoteReference"/>
        </w:rPr>
        <w:footnoteRef/>
      </w:r>
      <w:r>
        <w:t xml:space="preserve"> Translation note: Greek-form names here include Boos for Boaz and Abimelech for Elimelech in the Ruth kinship line. Main text uses standard English Ruth names while preserving the LXX wording of the kinship statement.</w:t>
      </w:r>
    </w:p>
  </w:footnote>
  <w:footnote w:id="5045">
    <w:p>
      <w:pPr>
        <w:pStyle w:val="FootnoteText"/>
      </w:pPr>
      <w:r>
        <w:rPr>
          <w:rStyle w:val="FootnoteReference"/>
        </w:rPr>
        <w:footnoteRef/>
      </w:r>
      <w:r>
        <w:t xml:space="preserve"> Cross-references for "Boaz": Judg 12:8-10; Ruth 4:21.</w:t>
      </w:r>
    </w:p>
  </w:footnote>
  <w:footnote w:id="5046">
    <w:p>
      <w:pPr>
        <w:pStyle w:val="FootnoteText"/>
      </w:pPr>
      <w:r>
        <w:rPr>
          <w:rStyle w:val="FootnoteReference"/>
        </w:rPr>
        <w:footnoteRef/>
      </w:r>
      <w:r>
        <w:t xml:space="preserve"> Cross-references for "gleaned": 1Thess 4:11-12; 2Thess 3:12.</w:t>
      </w:r>
    </w:p>
  </w:footnote>
  <w:footnote w:id="5047">
    <w:p>
      <w:pPr>
        <w:pStyle w:val="FootnoteText"/>
      </w:pPr>
      <w:r>
        <w:rPr>
          <w:rStyle w:val="FootnoteReference"/>
        </w:rPr>
        <w:footnoteRef/>
      </w:r>
      <w:r>
        <w:t xml:space="preserve"> Cross-references for "The Lord": Ps 118:26; Ps 129:7-8.</w:t>
      </w:r>
    </w:p>
  </w:footnote>
  <w:footnote w:id="5048">
    <w:p>
      <w:pPr>
        <w:pStyle w:val="FootnoteText"/>
      </w:pPr>
      <w:r>
        <w:rPr>
          <w:rStyle w:val="FootnoteReference"/>
        </w:rPr>
        <w:footnoteRef/>
      </w:r>
      <w:r>
        <w:t xml:space="preserve"> Translation note: Greek says behind them here. Current line keeps the spatial wording close.</w:t>
      </w:r>
    </w:p>
  </w:footnote>
  <w:footnote w:id="5049">
    <w:p>
      <w:pPr>
        <w:pStyle w:val="FootnoteText"/>
      </w:pPr>
      <w:r>
        <w:rPr>
          <w:rStyle w:val="FootnoteReference"/>
        </w:rPr>
        <w:footnoteRef/>
      </w:r>
      <w:r>
        <w:t xml:space="preserve"> Cross-references for "fell": Gen 18:2; 1Sam 25:23.</w:t>
      </w:r>
    </w:p>
  </w:footnote>
  <w:footnote w:id="5050">
    <w:p>
      <w:pPr>
        <w:pStyle w:val="FootnoteText"/>
      </w:pPr>
      <w:r>
        <w:rPr>
          <w:rStyle w:val="FootnoteReference"/>
        </w:rPr>
        <w:footnoteRef/>
      </w:r>
      <w:r>
        <w:t xml:space="preserve"> Cross-references for "and how": Ps 45:10; Luke 5:11.</w:t>
      </w:r>
    </w:p>
  </w:footnote>
  <w:footnote w:id="5051">
    <w:p>
      <w:pPr>
        <w:pStyle w:val="FootnoteText"/>
      </w:pPr>
      <w:r>
        <w:rPr>
          <w:rStyle w:val="FootnoteReference"/>
        </w:rPr>
        <w:footnoteRef/>
      </w:r>
      <w:r>
        <w:t xml:space="preserve"> Translation note: Greek keeps yesterday-or-day-before phrase here.</w:t>
      </w:r>
    </w:p>
  </w:footnote>
  <w:footnote w:id="5052">
    <w:p>
      <w:pPr>
        <w:pStyle w:val="FootnoteText"/>
      </w:pPr>
      <w:r>
        <w:rPr>
          <w:rStyle w:val="FootnoteReference"/>
        </w:rPr>
        <w:footnoteRef/>
      </w:r>
      <w:r>
        <w:t xml:space="preserve"> Translation note: The Greek uses trust language under divine wings. The current wording keeps both trust and wings visible.</w:t>
      </w:r>
    </w:p>
  </w:footnote>
  <w:footnote w:id="5053">
    <w:p>
      <w:pPr>
        <w:pStyle w:val="FootnoteText"/>
      </w:pPr>
      <w:r>
        <w:rPr>
          <w:rStyle w:val="FootnoteReference"/>
        </w:rPr>
        <w:footnoteRef/>
      </w:r>
      <w:r>
        <w:t xml:space="preserve"> Cross-references for "wings": Ruth 1:16; Ps 17:8.</w:t>
      </w:r>
    </w:p>
  </w:footnote>
  <w:footnote w:id="5054">
    <w:p>
      <w:pPr>
        <w:pStyle w:val="FootnoteText"/>
      </w:pPr>
      <w:r>
        <w:rPr>
          <w:rStyle w:val="FootnoteReference"/>
        </w:rPr>
        <w:footnoteRef/>
      </w:r>
      <w:r>
        <w:t xml:space="preserve"> Translation note: The Greek uses a spoke-to-the-heart idiom. The current wording keeps that expression explicit.</w:t>
      </w:r>
    </w:p>
  </w:footnote>
  <w:footnote w:id="5055">
    <w:p>
      <w:pPr>
        <w:pStyle w:val="FootnoteText"/>
      </w:pPr>
      <w:r>
        <w:rPr>
          <w:rStyle w:val="FootnoteReference"/>
        </w:rPr>
        <w:footnoteRef/>
      </w:r>
      <w:r>
        <w:t xml:space="preserve"> Cross-references for "parched": 1Sam 17:17; 1Sam 25:18.</w:t>
      </w:r>
    </w:p>
  </w:footnote>
  <w:footnote w:id="5056">
    <w:p>
      <w:pPr>
        <w:pStyle w:val="FootnoteText"/>
      </w:pPr>
      <w:r>
        <w:rPr>
          <w:rStyle w:val="FootnoteReference"/>
        </w:rPr>
        <w:footnoteRef/>
      </w:r>
      <w:r>
        <w:t xml:space="preserve"> Cross-references for "she gleaned": Prov 31:27.</w:t>
      </w:r>
    </w:p>
  </w:footnote>
  <w:footnote w:id="5057">
    <w:p>
      <w:pPr>
        <w:pStyle w:val="FootnoteText"/>
      </w:pPr>
      <w:r>
        <w:rPr>
          <w:rStyle w:val="FootnoteReference"/>
        </w:rPr>
        <w:footnoteRef/>
      </w:r>
      <w:r>
        <w:t xml:space="preserve"> Cross-references for "Blessed": Ruth 2:10; Ps 41:1.</w:t>
      </w:r>
    </w:p>
  </w:footnote>
  <w:footnote w:id="5058">
    <w:p>
      <w:pPr>
        <w:pStyle w:val="FootnoteText"/>
      </w:pPr>
      <w:r>
        <w:rPr>
          <w:rStyle w:val="FootnoteReference"/>
        </w:rPr>
        <w:footnoteRef/>
      </w:r>
      <w:r>
        <w:t xml:space="preserve"> Translation note: Greek says one noticing/recognizing you.</w:t>
      </w:r>
    </w:p>
  </w:footnote>
  <w:footnote w:id="5059">
    <w:p>
      <w:pPr>
        <w:pStyle w:val="FootnoteText"/>
      </w:pPr>
      <w:r>
        <w:rPr>
          <w:rStyle w:val="FootnoteReference"/>
        </w:rPr>
        <w:footnoteRef/>
      </w:r>
      <w:r>
        <w:t xml:space="preserve"> Cross-references for "Blessed": Ruth 3:10; 2Sam 2:5.</w:t>
      </w:r>
    </w:p>
  </w:footnote>
  <w:footnote w:id="5060">
    <w:p>
      <w:pPr>
        <w:pStyle w:val="FootnoteText"/>
      </w:pPr>
      <w:r>
        <w:rPr>
          <w:rStyle w:val="FootnoteReference"/>
        </w:rPr>
        <w:footnoteRef/>
      </w:r>
      <w:r>
        <w:t xml:space="preserve"> Translation note: The Greek uses mercy language directly. The current wording preserves that wording instead of flattening it into generic kindness.</w:t>
      </w:r>
    </w:p>
  </w:footnote>
  <w:footnote w:id="5061">
    <w:p>
      <w:pPr>
        <w:pStyle w:val="FootnoteText"/>
      </w:pPr>
      <w:r>
        <w:rPr>
          <w:rStyle w:val="FootnoteReference"/>
        </w:rPr>
        <w:footnoteRef/>
      </w:r>
      <w:r>
        <w:t xml:space="preserve"> Cross-references for "young men": Ruth 2:8; Ruth 2:22-23.</w:t>
      </w:r>
    </w:p>
  </w:footnote>
  <w:footnote w:id="5062">
    <w:p>
      <w:pPr>
        <w:pStyle w:val="FootnoteText"/>
      </w:pPr>
      <w:r>
        <w:rPr>
          <w:rStyle w:val="FootnoteReference"/>
        </w:rPr>
        <w:footnoteRef/>
      </w:r>
      <w:r>
        <w:t xml:space="preserve"> Cross-references for "It is good": Prov 27:10; Song 1:8.</w:t>
      </w:r>
    </w:p>
  </w:footnote>
  <w:footnote w:id="5063">
    <w:p>
      <w:pPr>
        <w:pStyle w:val="FootnoteText"/>
      </w:pPr>
      <w:r>
        <w:rPr>
          <w:rStyle w:val="FootnoteReference"/>
        </w:rPr>
        <w:footnoteRef/>
      </w:r>
      <w:r>
        <w:t xml:space="preserve"> Cross-references for "shall I not": Ruth 1:9; 1Cor 7:36.</w:t>
      </w:r>
    </w:p>
  </w:footnote>
  <w:footnote w:id="5064">
    <w:p>
      <w:pPr>
        <w:pStyle w:val="FootnoteText"/>
      </w:pPr>
      <w:r>
        <w:rPr>
          <w:rStyle w:val="FootnoteReference"/>
        </w:rPr>
        <w:footnoteRef/>
      </w:r>
      <w:r>
        <w:t xml:space="preserve"> Translation note: Greek uses rest language for Naomi's plan. Current wording preserves that household-care phrase.</w:t>
      </w:r>
    </w:p>
  </w:footnote>
  <w:footnote w:id="5065">
    <w:p>
      <w:pPr>
        <w:pStyle w:val="FootnoteText"/>
      </w:pPr>
      <w:r>
        <w:rPr>
          <w:rStyle w:val="FootnoteReference"/>
        </w:rPr>
        <w:footnoteRef/>
      </w:r>
      <w:r>
        <w:t xml:space="preserve"> Cross-references for "is not Boaz": Deut 25:5-6; Ruth 2:20-23.</w:t>
      </w:r>
    </w:p>
  </w:footnote>
  <w:footnote w:id="5066">
    <w:p>
      <w:pPr>
        <w:pStyle w:val="FootnoteText"/>
      </w:pPr>
      <w:r>
        <w:rPr>
          <w:rStyle w:val="FootnoteReference"/>
        </w:rPr>
        <w:footnoteRef/>
      </w:r>
      <w:r>
        <w:t xml:space="preserve"> Translation note: The Greek is slightly broader than simply uncover his feet. The current wording keeps that source-row wording visible.</w:t>
      </w:r>
    </w:p>
  </w:footnote>
  <w:footnote w:id="5067">
    <w:p>
      <w:pPr>
        <w:pStyle w:val="FootnoteText"/>
      </w:pPr>
      <w:r>
        <w:rPr>
          <w:rStyle w:val="FootnoteReference"/>
        </w:rPr>
        <w:footnoteRef/>
      </w:r>
      <w:r>
        <w:t xml:space="preserve"> Cross-references for "and did": Exod 20:12; Prov 1:8.</w:t>
      </w:r>
    </w:p>
  </w:footnote>
  <w:footnote w:id="5068">
    <w:p>
      <w:pPr>
        <w:pStyle w:val="FootnoteText"/>
      </w:pPr>
      <w:r>
        <w:rPr>
          <w:rStyle w:val="FootnoteReference"/>
        </w:rPr>
        <w:footnoteRef/>
      </w:r>
      <w:r>
        <w:t xml:space="preserve"> Cross-references for "his heart": Gen 43:34; Judg 16:25.</w:t>
      </w:r>
    </w:p>
  </w:footnote>
  <w:footnote w:id="5069">
    <w:p>
      <w:pPr>
        <w:pStyle w:val="FootnoteText"/>
      </w:pPr>
      <w:r>
        <w:rPr>
          <w:rStyle w:val="FootnoteReference"/>
        </w:rPr>
        <w:footnoteRef/>
      </w:r>
      <w:r>
        <w:t xml:space="preserve"> Cross-references for "Ruth": Ruth 2:10-13; 1Sam 25:41.</w:t>
      </w:r>
    </w:p>
  </w:footnote>
  <w:footnote w:id="5070">
    <w:p>
      <w:pPr>
        <w:pStyle w:val="FootnoteText"/>
      </w:pPr>
      <w:r>
        <w:rPr>
          <w:rStyle w:val="FootnoteReference"/>
        </w:rPr>
        <w:footnoteRef/>
      </w:r>
      <w:r>
        <w:t xml:space="preserve"> Cross-references for "Blessed": Ruth 2:4; Ruth 2:20.</w:t>
      </w:r>
    </w:p>
  </w:footnote>
  <w:footnote w:id="5071">
    <w:p>
      <w:pPr>
        <w:pStyle w:val="FootnoteText"/>
      </w:pPr>
      <w:r>
        <w:rPr>
          <w:rStyle w:val="FootnoteReference"/>
        </w:rPr>
        <w:footnoteRef/>
      </w:r>
      <w:r>
        <w:t xml:space="preserve"> Translation note: The Greek keeps mercy language explicit here. The current wording preserves that wording instead of flattening it into generic kindness.</w:t>
      </w:r>
    </w:p>
  </w:footnote>
  <w:footnote w:id="5072">
    <w:p>
      <w:pPr>
        <w:pStyle w:val="FootnoteText"/>
      </w:pPr>
      <w:r>
        <w:rPr>
          <w:rStyle w:val="FootnoteReference"/>
        </w:rPr>
        <w:footnoteRef/>
      </w:r>
      <w:r>
        <w:t xml:space="preserve"> Cross-references for "there is": Ruth 4:1; Matt 7:12.</w:t>
      </w:r>
    </w:p>
  </w:footnote>
  <w:footnote w:id="5073">
    <w:p>
      <w:pPr>
        <w:pStyle w:val="FootnoteText"/>
      </w:pPr>
      <w:r>
        <w:rPr>
          <w:rStyle w:val="FootnoteReference"/>
        </w:rPr>
        <w:footnoteRef/>
      </w:r>
      <w:r>
        <w:t xml:space="preserve"> Translation note: Greek uses near-kinsman language here.</w:t>
      </w:r>
    </w:p>
  </w:footnote>
  <w:footnote w:id="5074">
    <w:p>
      <w:pPr>
        <w:pStyle w:val="FootnoteText"/>
      </w:pPr>
      <w:r>
        <w:rPr>
          <w:rStyle w:val="FootnoteReference"/>
        </w:rPr>
        <w:footnoteRef/>
      </w:r>
      <w:r>
        <w:t xml:space="preserve"> Cross-references for "Let it not": Eccl 7:1; Rom 12:17.</w:t>
      </w:r>
    </w:p>
  </w:footnote>
  <w:footnote w:id="5075">
    <w:p>
      <w:pPr>
        <w:pStyle w:val="FootnoteText"/>
      </w:pPr>
      <w:r>
        <w:rPr>
          <w:rStyle w:val="FootnoteReference"/>
        </w:rPr>
        <w:footnoteRef/>
      </w:r>
      <w:r>
        <w:t xml:space="preserve"> Cross-references for "he measured": Isa 32:8; Gal 6:10.</w:t>
      </w:r>
    </w:p>
  </w:footnote>
  <w:footnote w:id="5076">
    <w:p>
      <w:pPr>
        <w:pStyle w:val="FootnoteText"/>
      </w:pPr>
      <w:r>
        <w:rPr>
          <w:rStyle w:val="FootnoteReference"/>
        </w:rPr>
        <w:footnoteRef/>
      </w:r>
      <w:r>
        <w:t xml:space="preserve"> Cross-references for "to the gate": Deut 16:18; Deut 17:5.</w:t>
      </w:r>
    </w:p>
  </w:footnote>
  <w:footnote w:id="5077">
    <w:p>
      <w:pPr>
        <w:pStyle w:val="FootnoteText"/>
      </w:pPr>
      <w:r>
        <w:rPr>
          <w:rStyle w:val="FootnoteReference"/>
        </w:rPr>
        <w:footnoteRef/>
      </w:r>
      <w:r>
        <w:t xml:space="preserve"> Cross-references for "the elders": Exod 18:21-22; Exod 21:8.</w:t>
      </w:r>
    </w:p>
  </w:footnote>
  <w:footnote w:id="5078">
    <w:p>
      <w:pPr>
        <w:pStyle w:val="FootnoteText"/>
      </w:pPr>
      <w:r>
        <w:rPr>
          <w:rStyle w:val="FootnoteReference"/>
        </w:rPr>
        <w:footnoteRef/>
      </w:r>
      <w:r>
        <w:t xml:space="preserve"> Translation note: Greek uses an ear-uncovering idiom for disclosure. The translation keeps the image.</w:t>
      </w:r>
    </w:p>
  </w:footnote>
  <w:footnote w:id="5079">
    <w:p>
      <w:pPr>
        <w:pStyle w:val="FootnoteText"/>
      </w:pPr>
      <w:r>
        <w:rPr>
          <w:rStyle w:val="FootnoteReference"/>
        </w:rPr>
        <w:footnoteRef/>
      </w:r>
      <w:r>
        <w:t xml:space="preserve"> Cross-references for "Buy it": Jer 32:7-9; Jer 32:25.</w:t>
      </w:r>
    </w:p>
  </w:footnote>
  <w:footnote w:id="5080">
    <w:p>
      <w:pPr>
        <w:pStyle w:val="FootnoteText"/>
      </w:pPr>
      <w:r>
        <w:rPr>
          <w:rStyle w:val="FootnoteReference"/>
        </w:rPr>
        <w:footnoteRef/>
      </w:r>
      <w:r>
        <w:t xml:space="preserve"> Cross-references for "to raise up": Gen 38:8; Deut 25:5-6.</w:t>
      </w:r>
    </w:p>
  </w:footnote>
  <w:footnote w:id="5081">
    <w:p>
      <w:pPr>
        <w:pStyle w:val="FootnoteText"/>
      </w:pPr>
      <w:r>
        <w:rPr>
          <w:rStyle w:val="FootnoteReference"/>
        </w:rPr>
        <w:footnoteRef/>
      </w:r>
      <w:r>
        <w:t xml:space="preserve"> Translation note: Greek says concerning redemption and concerning exchange.</w:t>
      </w:r>
    </w:p>
  </w:footnote>
  <w:footnote w:id="5082">
    <w:p>
      <w:pPr>
        <w:pStyle w:val="FootnoteText"/>
      </w:pPr>
      <w:r>
        <w:rPr>
          <w:rStyle w:val="FootnoteReference"/>
        </w:rPr>
        <w:footnoteRef/>
      </w:r>
      <w:r>
        <w:t xml:space="preserve"> Cross-references for "the name": Deut 25:6; Josh 7:9.</w:t>
      </w:r>
    </w:p>
  </w:footnote>
  <w:footnote w:id="5083">
    <w:p>
      <w:pPr>
        <w:pStyle w:val="FootnoteText"/>
      </w:pPr>
      <w:r>
        <w:rPr>
          <w:rStyle w:val="FootnoteReference"/>
        </w:rPr>
        <w:footnoteRef/>
      </w:r>
      <w:r>
        <w:t xml:space="preserve"> Cross-references for "the Lord": Gen 24:60; Ps 127:3-5.</w:t>
      </w:r>
    </w:p>
  </w:footnote>
  <w:footnote w:id="5084">
    <w:p>
      <w:pPr>
        <w:pStyle w:val="FootnoteText"/>
      </w:pPr>
      <w:r>
        <w:rPr>
          <w:rStyle w:val="FootnoteReference"/>
        </w:rPr>
        <w:footnoteRef/>
      </w:r>
      <w:r>
        <w:t xml:space="preserve"> Translation note: Greek says make strength here. Current line keeps blessing close to Greek instead of smoothing it away.</w:t>
      </w:r>
    </w:p>
  </w:footnote>
  <w:footnote w:id="5085">
    <w:p>
      <w:pPr>
        <w:pStyle w:val="FootnoteText"/>
      </w:pPr>
      <w:r>
        <w:rPr>
          <w:rStyle w:val="FootnoteReference"/>
        </w:rPr>
        <w:footnoteRef/>
      </w:r>
      <w:r>
        <w:t xml:space="preserve"> Cross-references for "the house": Gen 46:12; Num 26:20-22.</w:t>
      </w:r>
    </w:p>
  </w:footnote>
  <w:footnote w:id="5086">
    <w:p>
      <w:pPr>
        <w:pStyle w:val="FootnoteText"/>
      </w:pPr>
      <w:r>
        <w:rPr>
          <w:rStyle w:val="FootnoteReference"/>
        </w:rPr>
        <w:footnoteRef/>
      </w:r>
      <w:r>
        <w:t xml:space="preserve"> Translation note: The Greek uses seed language here. The current wording preserves that wording.</w:t>
      </w:r>
    </w:p>
  </w:footnote>
  <w:footnote w:id="5087">
    <w:p>
      <w:pPr>
        <w:pStyle w:val="FootnoteText"/>
      </w:pPr>
      <w:r>
        <w:rPr>
          <w:rStyle w:val="FootnoteReference"/>
        </w:rPr>
        <w:footnoteRef/>
      </w:r>
      <w:r>
        <w:t xml:space="preserve"> Cross-references for "Boaz": Ruth 3:11.</w:t>
      </w:r>
    </w:p>
  </w:footnote>
  <w:footnote w:id="5088">
    <w:p>
      <w:pPr>
        <w:pStyle w:val="FootnoteText"/>
      </w:pPr>
      <w:r>
        <w:rPr>
          <w:rStyle w:val="FootnoteReference"/>
        </w:rPr>
        <w:footnoteRef/>
      </w:r>
      <w:r>
        <w:t xml:space="preserve"> Cross-references for "the women": Luke 1:58; Rom 12:15.</w:t>
      </w:r>
    </w:p>
  </w:footnote>
  <w:footnote w:id="5089">
    <w:p>
      <w:pPr>
        <w:pStyle w:val="FootnoteText"/>
      </w:pPr>
      <w:r>
        <w:rPr>
          <w:rStyle w:val="FootnoteReference"/>
        </w:rPr>
        <w:footnoteRef/>
      </w:r>
      <w:r>
        <w:t xml:space="preserve"> Personal name: Obed. Personal-name meaning: Obed — a servant; workman. Source form: Obed.</w:t>
      </w:r>
    </w:p>
  </w:footnote>
  <w:footnote w:id="5090">
    <w:p>
      <w:pPr>
        <w:pStyle w:val="FootnoteText"/>
      </w:pPr>
      <w:r>
        <w:rPr>
          <w:rStyle w:val="FootnoteReference"/>
        </w:rPr>
        <w:footnoteRef/>
      </w:r>
      <w:r>
        <w:t xml:space="preserve"> Personal name: Jesse. Personal-name meaning: Jesse — gift; oblation; one who is. Source form: Jesse.</w:t>
      </w:r>
    </w:p>
  </w:footnote>
  <w:footnote w:id="5091">
    <w:p>
      <w:pPr>
        <w:pStyle w:val="FootnoteText"/>
      </w:pPr>
      <w:r>
        <w:rPr>
          <w:rStyle w:val="FootnoteReference"/>
        </w:rPr>
        <w:footnoteRef/>
      </w:r>
      <w:r>
        <w:t xml:space="preserve"> Cross-references for "Obed": Ruth 4:15.</w:t>
      </w:r>
    </w:p>
  </w:footnote>
  <w:footnote w:id="5092">
    <w:p>
      <w:pPr>
        <w:pStyle w:val="FootnoteText"/>
      </w:pPr>
      <w:r>
        <w:rPr>
          <w:rStyle w:val="FootnoteReference"/>
        </w:rPr>
        <w:footnoteRef/>
      </w:r>
      <w:r>
        <w:t xml:space="preserve"> Cross-references for "Nahshon": Num 1:7; Matt 1:4.</w:t>
      </w:r>
    </w:p>
  </w:footnote>
  <w:footnote w:id="5093">
    <w:p>
      <w:pPr>
        <w:pStyle w:val="FootnoteText"/>
      </w:pPr>
      <w:r>
        <w:rPr>
          <w:rStyle w:val="FootnoteReference"/>
        </w:rPr>
        <w:footnoteRef/>
      </w:r>
      <w:r>
        <w:t xml:space="preserve"> Personal name: Salmon. Personal-name meaning: Salmon — peaceable; perfect; he that rewards. Source form: Salmon.</w:t>
      </w:r>
    </w:p>
  </w:footnote>
  <w:footnote w:id="5094">
    <w:p>
      <w:pPr>
        <w:pStyle w:val="FootnoteText"/>
      </w:pPr>
      <w:r>
        <w:rPr>
          <w:rStyle w:val="FootnoteReference"/>
        </w:rPr>
        <w:footnoteRef/>
      </w:r>
      <w:r>
        <w:t xml:space="preserve"> Cross-references for "Salmon": 1Chr 2:11; Matt 1:5.</w:t>
      </w:r>
    </w:p>
  </w:footnote>
  <w:footnote w:id="5095">
    <w:p>
      <w:pPr>
        <w:pStyle w:val="FootnoteText"/>
      </w:pPr>
      <w:r>
        <w:rPr>
          <w:rStyle w:val="FootnoteReference"/>
        </w:rPr>
        <w:footnoteRef/>
      </w:r>
      <w:r>
        <w:t xml:space="preserve"> Cross-references for "Jesse": 1Sam 16:1; Isa 11:1.</w:t>
      </w:r>
    </w:p>
  </w:footnote>
  <w:footnote w:id="5096">
    <w:p>
      <w:pPr>
        <w:pStyle w:val="FootnoteText"/>
      </w:pPr>
      <w:r>
        <w:rPr>
          <w:rStyle w:val="FootnoteReference"/>
        </w:rPr>
        <w:footnoteRef/>
      </w:r>
      <w:r>
        <w:t xml:space="preserve"> Transliterated proper noun: Ramathaim-Zophim. Standard English equivalent: Ramathaim-Zophim. Source form: Ramathaim-Zophim. Greek form: αρμαθαιμ. Name meaning: the two watch-towers.</w:t>
      </w:r>
    </w:p>
  </w:footnote>
  <w:footnote w:id="5097">
    <w:p>
      <w:pPr>
        <w:pStyle w:val="FootnoteText"/>
      </w:pPr>
      <w:r>
        <w:rPr>
          <w:rStyle w:val="FootnoteReference"/>
        </w:rPr>
        <w:footnoteRef/>
      </w:r>
      <w:r>
        <w:t xml:space="preserve"> Personal name: Jeroham. Personal-name meaning: Jeroham — high; merciful; beloved. Source form: Jeroham.</w:t>
      </w:r>
    </w:p>
  </w:footnote>
  <w:footnote w:id="5098">
    <w:p>
      <w:pPr>
        <w:pStyle w:val="FootnoteText"/>
      </w:pPr>
      <w:r>
        <w:rPr>
          <w:rStyle w:val="FootnoteReference"/>
        </w:rPr>
        <w:footnoteRef/>
      </w:r>
      <w:r>
        <w:t xml:space="preserve"> Personal name: Elihu. Personal-name meaning: Elihu — he is my God himself. Source form: Elihu.</w:t>
      </w:r>
    </w:p>
  </w:footnote>
  <w:footnote w:id="5099">
    <w:p>
      <w:pPr>
        <w:pStyle w:val="FootnoteText"/>
      </w:pPr>
      <w:r>
        <w:rPr>
          <w:rStyle w:val="FootnoteReference"/>
        </w:rPr>
        <w:footnoteRef/>
      </w:r>
      <w:r>
        <w:t xml:space="preserve"> Personal name: Tohu. Personal-name meaning: Tohu — that lives; that declares. Source form: Tohu.</w:t>
      </w:r>
    </w:p>
  </w:footnote>
  <w:footnote w:id="5100">
    <w:p>
      <w:pPr>
        <w:pStyle w:val="FootnoteText"/>
      </w:pPr>
      <w:r>
        <w:rPr>
          <w:rStyle w:val="FootnoteReference"/>
        </w:rPr>
        <w:footnoteRef/>
      </w:r>
      <w:r>
        <w:t xml:space="preserve"> Name meaning: Elkana (Elkanah) — God has acquired; God has created. Hannah's husband and father of Samuel.</w:t>
      </w:r>
    </w:p>
  </w:footnote>
  <w:footnote w:id="5101">
    <w:p>
      <w:pPr>
        <w:pStyle w:val="FootnoteText"/>
      </w:pPr>
      <w:r>
        <w:rPr>
          <w:rStyle w:val="FootnoteReference"/>
        </w:rPr>
        <w:footnoteRef/>
      </w:r>
      <w:r>
        <w:t xml:space="preserve"> Cross-references for "Ramathaim-Zophim": 1Sam 1:19; Matt 27:57.</w:t>
      </w:r>
    </w:p>
  </w:footnote>
  <w:footnote w:id="5102">
    <w:p>
      <w:pPr>
        <w:pStyle w:val="FootnoteText"/>
      </w:pPr>
      <w:r>
        <w:rPr>
          <w:rStyle w:val="FootnoteReference"/>
        </w:rPr>
        <w:footnoteRef/>
      </w:r>
      <w:r>
        <w:t xml:space="preserve"> Personal name: Hannah. Personal-name meaning: Hannah — gracious; merciful; he that gives. Source form: Hannah.</w:t>
      </w:r>
    </w:p>
  </w:footnote>
  <w:footnote w:id="5103">
    <w:p>
      <w:pPr>
        <w:pStyle w:val="FootnoteText"/>
      </w:pPr>
      <w:r>
        <w:rPr>
          <w:rStyle w:val="FootnoteReference"/>
        </w:rPr>
        <w:footnoteRef/>
      </w:r>
      <w:r>
        <w:t xml:space="preserve"> Personal name: Peninnah. Personal-name meaning: Peninnah — pearl; precious stone; the face. Source form: Peninnah.</w:t>
      </w:r>
    </w:p>
  </w:footnote>
  <w:footnote w:id="5104">
    <w:p>
      <w:pPr>
        <w:pStyle w:val="FootnoteText"/>
      </w:pPr>
      <w:r>
        <w:rPr>
          <w:rStyle w:val="FootnoteReference"/>
        </w:rPr>
        <w:footnoteRef/>
      </w:r>
      <w:r>
        <w:t xml:space="preserve"> Greek LXX divine name/title: Kyrios Theos Sabaoth (Κύριος Θεὸς Σαβαώθ) — Lord God of hosts. Common English rendering: Lord God of hosts. The LXX uses Sabaoth here; the main text translates the Greek title into English as Lord God of hosts.</w:t>
      </w:r>
    </w:p>
  </w:footnote>
  <w:footnote w:id="5105">
    <w:p>
      <w:pPr>
        <w:pStyle w:val="FootnoteText"/>
      </w:pPr>
      <w:r>
        <w:rPr>
          <w:rStyle w:val="FootnoteReference"/>
        </w:rPr>
        <w:footnoteRef/>
      </w:r>
      <w:r>
        <w:t xml:space="preserve"> Cross-references for "Shiloh": Josh 18:1; Judg 18:31.</w:t>
      </w:r>
    </w:p>
  </w:footnote>
  <w:footnote w:id="5106">
    <w:p>
      <w:pPr>
        <w:pStyle w:val="FootnoteText"/>
      </w:pPr>
      <w:r>
        <w:rPr>
          <w:rStyle w:val="FootnoteReference"/>
        </w:rPr>
        <w:footnoteRef/>
      </w:r>
      <w:r>
        <w:t xml:space="preserve"> Personal name: Eli. Personal-name meaning: Eli — the offering or lifting up. Source form: Eli.</w:t>
      </w:r>
    </w:p>
  </w:footnote>
  <w:footnote w:id="5107">
    <w:p>
      <w:pPr>
        <w:pStyle w:val="FootnoteText"/>
      </w:pPr>
      <w:r>
        <w:rPr>
          <w:rStyle w:val="FootnoteReference"/>
        </w:rPr>
        <w:footnoteRef/>
      </w:r>
      <w:r>
        <w:t xml:space="preserve"> Personal name: Hophni. Personal-name meaning: Hophni — he that covers; my fist. Source form: Hophni.</w:t>
      </w:r>
    </w:p>
  </w:footnote>
  <w:footnote w:id="5108">
    <w:p>
      <w:pPr>
        <w:pStyle w:val="FootnoteText"/>
      </w:pPr>
      <w:r>
        <w:rPr>
          <w:rStyle w:val="FootnoteReference"/>
        </w:rPr>
        <w:footnoteRef/>
      </w:r>
      <w:r>
        <w:t xml:space="preserve"> Name meaning: Heli (Eli) — My God; high. Priest at Shiloh who judged Israel and raised Samuel.</w:t>
      </w:r>
    </w:p>
  </w:footnote>
  <w:footnote w:id="5109">
    <w:p>
      <w:pPr>
        <w:pStyle w:val="FootnoteText"/>
      </w:pPr>
      <w:r>
        <w:rPr>
          <w:rStyle w:val="FootnoteReference"/>
        </w:rPr>
        <w:footnoteRef/>
      </w:r>
      <w:r>
        <w:t xml:space="preserve"> Hebrew divine name/title: Yahweh Tsevaot (</w:t>
      </w:r>
      <w:r>
        <w:rPr>
          <w:lang w:val="he-IL" w:bidi="he-IL"/>
          <w:rtl/>
        </w:rPr>
        <w:t xml:space="preserve">יְהוָה צְבָאוֹת</w:t>
      </w:r>
      <w:r>
        <w:t xml:space="preserve">) — The LORD of hosts; LORD of armies. Common English rendering: LORD of hosts. Presents God as commander of the heavenly armies and sovereign ruler over all powers.</w:t>
      </w:r>
    </w:p>
  </w:footnote>
  <w:footnote w:id="5110">
    <w:p>
      <w:pPr>
        <w:pStyle w:val="FootnoteText"/>
      </w:pPr>
      <w:r>
        <w:rPr>
          <w:rStyle w:val="FootnoteReference"/>
        </w:rPr>
        <w:footnoteRef/>
      </w:r>
      <w:r>
        <w:t xml:space="preserve"> Translation note: Greek lists both sons and daughters receiving portions. Current wording preserves that family distribution detail.</w:t>
      </w:r>
    </w:p>
  </w:footnote>
  <w:footnote w:id="5111">
    <w:p>
      <w:pPr>
        <w:pStyle w:val="FootnoteText"/>
      </w:pPr>
      <w:r>
        <w:rPr>
          <w:rStyle w:val="FootnoteReference"/>
        </w:rPr>
        <w:footnoteRef/>
      </w:r>
      <w:r>
        <w:t xml:space="preserve"> Cross-references for "year": 1Sam 2:19.</w:t>
      </w:r>
    </w:p>
  </w:footnote>
  <w:footnote w:id="5112">
    <w:p>
      <w:pPr>
        <w:pStyle w:val="FootnoteText"/>
      </w:pPr>
      <w:r>
        <w:rPr>
          <w:rStyle w:val="FootnoteReference"/>
        </w:rPr>
        <w:footnoteRef/>
      </w:r>
      <w:r>
        <w:t xml:space="preserve"> Cross-references for "prayed": Ps 50:15; Ps 91:15.</w:t>
      </w:r>
    </w:p>
  </w:footnote>
  <w:footnote w:id="5113">
    <w:p>
      <w:pPr>
        <w:pStyle w:val="FootnoteText"/>
      </w:pPr>
      <w:r>
        <w:rPr>
          <w:rStyle w:val="FootnoteReference"/>
        </w:rPr>
        <w:footnoteRef/>
      </w:r>
      <w:r>
        <w:t xml:space="preserve"> Translation note: Greek doubles the weeping expression. Current wording preserves that emphatic grief line.</w:t>
      </w:r>
    </w:p>
  </w:footnote>
  <w:footnote w:id="5114">
    <w:p>
      <w:pPr>
        <w:pStyle w:val="FootnoteText"/>
      </w:pPr>
      <w:r>
        <w:rPr>
          <w:rStyle w:val="FootnoteReference"/>
        </w:rPr>
        <w:footnoteRef/>
      </w:r>
      <w:r>
        <w:t xml:space="preserve"> Cross-references for "vowed": Gen 28:20; Num 21:2.</w:t>
      </w:r>
    </w:p>
  </w:footnote>
  <w:footnote w:id="5115">
    <w:p>
      <w:pPr>
        <w:pStyle w:val="FootnoteText"/>
      </w:pPr>
      <w:r>
        <w:rPr>
          <w:rStyle w:val="FootnoteReference"/>
        </w:rPr>
        <w:footnoteRef/>
      </w:r>
      <w:r>
        <w:t xml:space="preserve"> Translation note: Greek doubles the look verb for emphasis; this wording renders the force as indeed look rather than repeating look in English.</w:t>
      </w:r>
    </w:p>
  </w:footnote>
  <w:footnote w:id="5116">
    <w:p>
      <w:pPr>
        <w:pStyle w:val="FootnoteText"/>
      </w:pPr>
      <w:r>
        <w:rPr>
          <w:rStyle w:val="FootnoteReference"/>
        </w:rPr>
        <w:footnoteRef/>
      </w:r>
      <w:r>
        <w:t xml:space="preserve"> Translation note: Greek says Eli counted her as drunken woman.</w:t>
      </w:r>
    </w:p>
  </w:footnote>
  <w:footnote w:id="5117">
    <w:p>
      <w:pPr>
        <w:pStyle w:val="FootnoteText"/>
      </w:pPr>
      <w:r>
        <w:rPr>
          <w:rStyle w:val="FootnoteReference"/>
        </w:rPr>
        <w:footnoteRef/>
      </w:r>
      <w:r>
        <w:t xml:space="preserve"> Cross-references for "How long": Josh 22:12-20; Job 8:2.</w:t>
      </w:r>
    </w:p>
  </w:footnote>
  <w:footnote w:id="5118">
    <w:p>
      <w:pPr>
        <w:pStyle w:val="FootnoteText"/>
      </w:pPr>
      <w:r>
        <w:rPr>
          <w:rStyle w:val="FootnoteReference"/>
        </w:rPr>
        <w:footnoteRef/>
      </w:r>
      <w:r>
        <w:t xml:space="preserve"> Cross-references for "a daughter": Deut 13:13; 1Sam 2:12.</w:t>
      </w:r>
    </w:p>
  </w:footnote>
  <w:footnote w:id="5119">
    <w:p>
      <w:pPr>
        <w:pStyle w:val="FootnoteText"/>
      </w:pPr>
      <w:r>
        <w:rPr>
          <w:rStyle w:val="FootnoteReference"/>
        </w:rPr>
        <w:footnoteRef/>
      </w:r>
      <w:r>
        <w:t xml:space="preserve"> Cross-references for "The God": 1Chr 4:10; Ps 20:3-5.</w:t>
      </w:r>
    </w:p>
  </w:footnote>
  <w:footnote w:id="5120">
    <w:p>
      <w:pPr>
        <w:pStyle w:val="FootnoteText"/>
      </w:pPr>
      <w:r>
        <w:rPr>
          <w:rStyle w:val="FootnoteReference"/>
        </w:rPr>
        <w:footnoteRef/>
      </w:r>
      <w:r>
        <w:t xml:space="preserve"> Cross-references for "they rose": 1Sam 9:26; Ps 5:3.</w:t>
      </w:r>
    </w:p>
  </w:footnote>
  <w:footnote w:id="5121">
    <w:p>
      <w:pPr>
        <w:pStyle w:val="FootnoteText"/>
      </w:pPr>
      <w:r>
        <w:rPr>
          <w:rStyle w:val="FootnoteReference"/>
        </w:rPr>
        <w:footnoteRef/>
      </w:r>
      <w:r>
        <w:t xml:space="preserve"> Name meaning: Samuel (Shmuel) — Heard of God; God has heard. God heard Hannah’s prayer; last judge and anointer of kings.</w:t>
      </w:r>
    </w:p>
  </w:footnote>
  <w:footnote w:id="5122">
    <w:p>
      <w:pPr>
        <w:pStyle w:val="FootnoteText"/>
      </w:pPr>
      <w:r>
        <w:rPr>
          <w:rStyle w:val="FootnoteReference"/>
        </w:rPr>
        <w:footnoteRef/>
      </w:r>
      <w:r>
        <w:t xml:space="preserve"> Cross-references for "Do what": Num 30:7-11.</w:t>
      </w:r>
    </w:p>
  </w:footnote>
  <w:footnote w:id="5123">
    <w:p>
      <w:pPr>
        <w:pStyle w:val="FootnoteText"/>
      </w:pPr>
      <w:r>
        <w:rPr>
          <w:rStyle w:val="FootnoteReference"/>
        </w:rPr>
        <w:footnoteRef/>
      </w:r>
      <w:r>
        <w:t xml:space="preserve"> Translation note: Greek uses a spoken-word formula directly. Current wording preserves it.</w:t>
      </w:r>
    </w:p>
  </w:footnote>
  <w:footnote w:id="5124">
    <w:p>
      <w:pPr>
        <w:pStyle w:val="FootnoteText"/>
      </w:pPr>
      <w:r>
        <w:rPr>
          <w:rStyle w:val="FootnoteReference"/>
        </w:rPr>
        <w:footnoteRef/>
      </w:r>
      <w:r>
        <w:t xml:space="preserve"> Cross-references for "house": 1Sam 4:3-4.</w:t>
      </w:r>
    </w:p>
  </w:footnote>
  <w:footnote w:id="5125">
    <w:p>
      <w:pPr>
        <w:pStyle w:val="FootnoteText"/>
      </w:pPr>
      <w:r>
        <w:rPr>
          <w:rStyle w:val="FootnoteReference"/>
        </w:rPr>
        <w:footnoteRef/>
      </w:r>
      <w:r>
        <w:t xml:space="preserve"> Cross-references for "brought": Luke 2:22; Luke 18:15-16.</w:t>
      </w:r>
    </w:p>
  </w:footnote>
  <w:footnote w:id="5126">
    <w:p>
      <w:pPr>
        <w:pStyle w:val="FootnoteText"/>
      </w:pPr>
      <w:r>
        <w:rPr>
          <w:rStyle w:val="FootnoteReference"/>
        </w:rPr>
        <w:footnoteRef/>
      </w:r>
      <w:r>
        <w:t xml:space="preserve"> MT/LXX note: The Septuagint preserves a fuller sacrificial scene here rather than the Masoretic summary. The translation follows the Greek content.</w:t>
      </w:r>
    </w:p>
  </w:footnote>
  <w:footnote w:id="5127">
    <w:p>
      <w:pPr>
        <w:pStyle w:val="FootnoteText"/>
      </w:pPr>
      <w:r>
        <w:rPr>
          <w:rStyle w:val="FootnoteReference"/>
        </w:rPr>
        <w:footnoteRef/>
      </w:r>
      <w:r>
        <w:t xml:space="preserve"> Translation note: Greek uses the oath-identification formula here. Current wording preserves it while smoothing the English opening.</w:t>
      </w:r>
    </w:p>
  </w:footnote>
  <w:footnote w:id="5128">
    <w:p>
      <w:pPr>
        <w:pStyle w:val="FootnoteText"/>
      </w:pPr>
      <w:r>
        <w:rPr>
          <w:rStyle w:val="FootnoteReference"/>
        </w:rPr>
        <w:footnoteRef/>
      </w:r>
      <w:r>
        <w:t xml:space="preserve"> Cross-references for "For this": 1Sam 1:11-13; Matt 7:7.</w:t>
      </w:r>
    </w:p>
  </w:footnote>
  <w:footnote w:id="5129">
    <w:p>
      <w:pPr>
        <w:pStyle w:val="FootnoteText"/>
      </w:pPr>
      <w:r>
        <w:rPr>
          <w:rStyle w:val="FootnoteReference"/>
        </w:rPr>
        <w:footnoteRef/>
      </w:r>
      <w:r>
        <w:t xml:space="preserve"> Cross-references for "to the Lord": 1Sam 2:27.</w:t>
      </w:r>
    </w:p>
  </w:footnote>
  <w:footnote w:id="5130">
    <w:p>
      <w:pPr>
        <w:pStyle w:val="FootnoteText"/>
      </w:pPr>
      <w:r>
        <w:rPr>
          <w:rStyle w:val="FootnoteReference"/>
        </w:rPr>
        <w:footnoteRef/>
      </w:r>
      <w:r>
        <w:t xml:space="preserve"> Cross-references for "My heart": Luke 1:46; Luke 1:47-56.</w:t>
      </w:r>
    </w:p>
  </w:footnote>
  <w:footnote w:id="5131">
    <w:p>
      <w:pPr>
        <w:pStyle w:val="FootnoteText"/>
      </w:pPr>
      <w:r>
        <w:rPr>
          <w:rStyle w:val="FootnoteReference"/>
        </w:rPr>
        <w:footnoteRef/>
      </w:r>
      <w:r>
        <w:t xml:space="preserve"> Cross-references for "a God": 1Kgs 8:39; Ps 44:21.</w:t>
      </w:r>
    </w:p>
  </w:footnote>
  <w:footnote w:id="5132">
    <w:p>
      <w:pPr>
        <w:pStyle w:val="FootnoteText"/>
      </w:pPr>
      <w:r>
        <w:rPr>
          <w:rStyle w:val="FootnoteReference"/>
        </w:rPr>
        <w:footnoteRef/>
      </w:r>
      <w:r>
        <w:t xml:space="preserve"> Cross-references for "full": Ps 34:10; Luke 1:53.</w:t>
      </w:r>
    </w:p>
  </w:footnote>
  <w:footnote w:id="5133">
    <w:p>
      <w:pPr>
        <w:pStyle w:val="FootnoteText"/>
      </w:pPr>
      <w:r>
        <w:rPr>
          <w:rStyle w:val="FootnoteReference"/>
        </w:rPr>
        <w:footnoteRef/>
      </w:r>
      <w:r>
        <w:t xml:space="preserve"> Cross-references for "the poor": Job 2:8; Job 42:10-12.</w:t>
      </w:r>
    </w:p>
  </w:footnote>
  <w:footnote w:id="5134">
    <w:p>
      <w:pPr>
        <w:pStyle w:val="FootnoteText"/>
      </w:pPr>
      <w:r>
        <w:rPr>
          <w:rStyle w:val="FootnoteReference"/>
        </w:rPr>
        <w:footnoteRef/>
      </w:r>
      <w:r>
        <w:t xml:space="preserve"> Translation note: Greek says to allot to them a throne of glory.</w:t>
      </w:r>
    </w:p>
  </w:footnote>
  <w:footnote w:id="5135">
    <w:p>
      <w:pPr>
        <w:pStyle w:val="FootnoteText"/>
      </w:pPr>
      <w:r>
        <w:rPr>
          <w:rStyle w:val="FootnoteReference"/>
        </w:rPr>
        <w:footnoteRef/>
      </w:r>
      <w:r>
        <w:t xml:space="preserve"> Cross-references for "by strength": 1Sam 17:49-50; Ps 33:16-17.</w:t>
      </w:r>
    </w:p>
  </w:footnote>
  <w:footnote w:id="5136">
    <w:p>
      <w:pPr>
        <w:pStyle w:val="FootnoteText"/>
      </w:pPr>
      <w:r>
        <w:rPr>
          <w:rStyle w:val="FootnoteReference"/>
        </w:rPr>
        <w:footnoteRef/>
      </w:r>
      <w:r>
        <w:t xml:space="preserve"> Cross-references for "judge": Ps 50:1-6; Ps 96:13.</w:t>
      </w:r>
    </w:p>
  </w:footnote>
  <w:footnote w:id="5137">
    <w:p>
      <w:pPr>
        <w:pStyle w:val="FootnoteText"/>
      </w:pPr>
      <w:r>
        <w:rPr>
          <w:rStyle w:val="FootnoteReference"/>
        </w:rPr>
        <w:footnoteRef/>
      </w:r>
      <w:r>
        <w:t xml:space="preserve"> Translation note: Greek says horn of his anointed. Brenton famously renders his Christ here, but this draft keeps the OT phrase at the anointed level and lets later Christ-language remain a reception-history question rather than importing it into the line itself.</w:t>
      </w:r>
    </w:p>
  </w:footnote>
  <w:footnote w:id="5138">
    <w:p>
      <w:pPr>
        <w:pStyle w:val="FootnoteText"/>
      </w:pPr>
      <w:r>
        <w:rPr>
          <w:rStyle w:val="FootnoteReference"/>
        </w:rPr>
        <w:footnoteRef/>
      </w:r>
      <w:r>
        <w:t xml:space="preserve"> Cross-references for "the sons": Hos 4:6-9; Mal 2:1-9.</w:t>
      </w:r>
    </w:p>
  </w:footnote>
  <w:footnote w:id="5139">
    <w:p>
      <w:pPr>
        <w:pStyle w:val="FootnoteText"/>
      </w:pPr>
      <w:r>
        <w:rPr>
          <w:rStyle w:val="FootnoteReference"/>
        </w:rPr>
        <w:footnoteRef/>
      </w:r>
      <w:r>
        <w:t xml:space="preserve"> Translation note: Greek says let fat first be burned as is proper.</w:t>
      </w:r>
    </w:p>
  </w:footnote>
  <w:footnote w:id="5140">
    <w:p>
      <w:pPr>
        <w:pStyle w:val="FootnoteText"/>
      </w:pPr>
      <w:r>
        <w:rPr>
          <w:rStyle w:val="FootnoteReference"/>
        </w:rPr>
        <w:footnoteRef/>
      </w:r>
      <w:r>
        <w:t xml:space="preserve"> Cross-references for "I will take": Judg 18:25; Neh 5:15.</w:t>
      </w:r>
    </w:p>
  </w:footnote>
  <w:footnote w:id="5141">
    <w:p>
      <w:pPr>
        <w:pStyle w:val="FootnoteText"/>
      </w:pPr>
      <w:r>
        <w:rPr>
          <w:rStyle w:val="FootnoteReference"/>
        </w:rPr>
        <w:footnoteRef/>
      </w:r>
      <w:r>
        <w:t xml:space="preserve"> Cross-references for "a linen ephod": Exod 28:4; Lev 8:7.</w:t>
      </w:r>
    </w:p>
  </w:footnote>
  <w:footnote w:id="5142">
    <w:p>
      <w:pPr>
        <w:pStyle w:val="FootnoteText"/>
      </w:pPr>
      <w:r>
        <w:rPr>
          <w:rStyle w:val="FootnoteReference"/>
        </w:rPr>
        <w:footnoteRef/>
      </w:r>
      <w:r>
        <w:t xml:space="preserve"> Cross-references for "blessed": Gen 14:19; Gen 27:27-29.</w:t>
      </w:r>
    </w:p>
  </w:footnote>
  <w:footnote w:id="5143">
    <w:p>
      <w:pPr>
        <w:pStyle w:val="FootnoteText"/>
      </w:pPr>
      <w:r>
        <w:rPr>
          <w:rStyle w:val="FootnoteReference"/>
        </w:rPr>
        <w:footnoteRef/>
      </w:r>
      <w:r>
        <w:t xml:space="preserve"> Cross-references for "visited": Gen 21:1; 1Sam 1:19-20.</w:t>
      </w:r>
    </w:p>
  </w:footnote>
  <w:footnote w:id="5144">
    <w:p>
      <w:pPr>
        <w:pStyle w:val="FootnoteText"/>
      </w:pPr>
      <w:r>
        <w:rPr>
          <w:rStyle w:val="FootnoteReference"/>
        </w:rPr>
        <w:footnoteRef/>
      </w:r>
      <w:r>
        <w:t xml:space="preserve"> Cross-references for "If a man": Num 15:30; 1Sam 3:14.</w:t>
      </w:r>
    </w:p>
  </w:footnote>
  <w:footnote w:id="5145">
    <w:p>
      <w:pPr>
        <w:pStyle w:val="FootnoteText"/>
      </w:pPr>
      <w:r>
        <w:rPr>
          <w:rStyle w:val="FootnoteReference"/>
        </w:rPr>
        <w:footnoteRef/>
      </w:r>
      <w:r>
        <w:t xml:space="preserve"> Translation note: Greek says they will pray concerning him and deliberately desired.</w:t>
      </w:r>
    </w:p>
  </w:footnote>
  <w:footnote w:id="5146">
    <w:p>
      <w:pPr>
        <w:pStyle w:val="FootnoteText"/>
      </w:pPr>
      <w:r>
        <w:rPr>
          <w:rStyle w:val="FootnoteReference"/>
        </w:rPr>
        <w:footnoteRef/>
      </w:r>
      <w:r>
        <w:t xml:space="preserve"> Translation note: Greek gives Samuel's growth summary in a compact formula. Current wording preserves that line.</w:t>
      </w:r>
    </w:p>
  </w:footnote>
  <w:footnote w:id="5147">
    <w:p>
      <w:pPr>
        <w:pStyle w:val="FootnoteText"/>
      </w:pPr>
      <w:r>
        <w:rPr>
          <w:rStyle w:val="FootnoteReference"/>
        </w:rPr>
        <w:footnoteRef/>
      </w:r>
      <w:r>
        <w:t xml:space="preserve"> Cross-references for "a man": Deut 33:1; Judg 6:8.</w:t>
      </w:r>
    </w:p>
  </w:footnote>
  <w:footnote w:id="5148">
    <w:p>
      <w:pPr>
        <w:pStyle w:val="FootnoteText"/>
      </w:pPr>
      <w:r>
        <w:rPr>
          <w:rStyle w:val="FootnoteReference"/>
        </w:rPr>
        <w:footnoteRef/>
      </w:r>
      <w:r>
        <w:t xml:space="preserve"> Translation note: Greek says from all the scepters of Israel.</w:t>
      </w:r>
    </w:p>
  </w:footnote>
  <w:footnote w:id="5149">
    <w:p>
      <w:pPr>
        <w:pStyle w:val="FootnoteText"/>
      </w:pPr>
      <w:r>
        <w:rPr>
          <w:rStyle w:val="FootnoteReference"/>
        </w:rPr>
        <w:footnoteRef/>
      </w:r>
      <w:r>
        <w:t xml:space="preserve"> Translation note: Greek keeps that sharp image here.</w:t>
      </w:r>
    </w:p>
  </w:footnote>
  <w:footnote w:id="5150">
    <w:p>
      <w:pPr>
        <w:pStyle w:val="FootnoteText"/>
      </w:pPr>
      <w:r>
        <w:rPr>
          <w:rStyle w:val="FootnoteReference"/>
        </w:rPr>
        <w:footnoteRef/>
      </w:r>
      <w:r>
        <w:t xml:space="preserve"> Cross-references for "I said": Exod 28:43; Exod 29:9.</w:t>
      </w:r>
    </w:p>
  </w:footnote>
  <w:footnote w:id="5151">
    <w:p>
      <w:pPr>
        <w:pStyle w:val="FootnoteText"/>
      </w:pPr>
      <w:r>
        <w:rPr>
          <w:rStyle w:val="FootnoteReference"/>
        </w:rPr>
        <w:footnoteRef/>
      </w:r>
      <w:r>
        <w:t xml:space="preserve"> Translation note: Greek keeps direct reciprocity here.</w:t>
      </w:r>
    </w:p>
  </w:footnote>
  <w:footnote w:id="5152">
    <w:p>
      <w:pPr>
        <w:pStyle w:val="FootnoteText"/>
      </w:pPr>
      <w:r>
        <w:rPr>
          <w:rStyle w:val="FootnoteReference"/>
        </w:rPr>
        <w:footnoteRef/>
      </w:r>
      <w:r>
        <w:t xml:space="preserve"> Cross-references for "an old man": Zech 8:4.</w:t>
      </w:r>
    </w:p>
  </w:footnote>
  <w:footnote w:id="5153">
    <w:p>
      <w:pPr>
        <w:pStyle w:val="FootnoteText"/>
      </w:pPr>
      <w:r>
        <w:rPr>
          <w:rStyle w:val="FootnoteReference"/>
        </w:rPr>
        <w:footnoteRef/>
      </w:r>
      <w:r>
        <w:t xml:space="preserve"> Translation note: Greek gives the sign in that direct line. Current wording preserves it.</w:t>
      </w:r>
    </w:p>
  </w:footnote>
  <w:footnote w:id="5154">
    <w:p>
      <w:pPr>
        <w:pStyle w:val="FootnoteText"/>
      </w:pPr>
      <w:r>
        <w:rPr>
          <w:rStyle w:val="FootnoteReference"/>
        </w:rPr>
        <w:footnoteRef/>
      </w:r>
      <w:r>
        <w:t xml:space="preserve"> Cross-references for "in one day": 1Sam 4:11; 1Sam 4:17.</w:t>
      </w:r>
    </w:p>
  </w:footnote>
  <w:footnote w:id="5155">
    <w:p>
      <w:pPr>
        <w:pStyle w:val="FootnoteText"/>
      </w:pPr>
      <w:r>
        <w:rPr>
          <w:rStyle w:val="FootnoteReference"/>
        </w:rPr>
        <w:footnoteRef/>
      </w:r>
      <w:r>
        <w:t xml:space="preserve"> Cross-references for "I will raise": 1Kgs 1:8; 1Kgs 1:45.</w:t>
      </w:r>
    </w:p>
  </w:footnote>
  <w:footnote w:id="5156">
    <w:p>
      <w:pPr>
        <w:pStyle w:val="FootnoteText"/>
      </w:pPr>
      <w:r>
        <w:rPr>
          <w:rStyle w:val="FootnoteReference"/>
        </w:rPr>
        <w:footnoteRef/>
      </w:r>
      <w:r>
        <w:t xml:space="preserve"> Translation note: Greek says cast me beside one of your priesthoods.</w:t>
      </w:r>
    </w:p>
  </w:footnote>
  <w:footnote w:id="5157">
    <w:p>
      <w:pPr>
        <w:pStyle w:val="FootnoteText"/>
      </w:pPr>
      <w:r>
        <w:rPr>
          <w:rStyle w:val="FootnoteReference"/>
        </w:rPr>
        <w:footnoteRef/>
      </w:r>
      <w:r>
        <w:t xml:space="preserve"> Cross-references for "the child": 1Sam 2:11; 1Sam 2:18.</w:t>
      </w:r>
    </w:p>
  </w:footnote>
  <w:footnote w:id="5158">
    <w:p>
      <w:pPr>
        <w:pStyle w:val="FootnoteText"/>
      </w:pPr>
      <w:r>
        <w:rPr>
          <w:rStyle w:val="FootnoteReference"/>
        </w:rPr>
        <w:footnoteRef/>
      </w:r>
      <w:r>
        <w:t xml:space="preserve"> Cross-references for "his eyes": Gen 27:1; Gen 48:19.</w:t>
      </w:r>
    </w:p>
  </w:footnote>
  <w:footnote w:id="5159">
    <w:p>
      <w:pPr>
        <w:pStyle w:val="FootnoteText"/>
      </w:pPr>
      <w:r>
        <w:rPr>
          <w:rStyle w:val="FootnoteReference"/>
        </w:rPr>
        <w:footnoteRef/>
      </w:r>
      <w:r>
        <w:t xml:space="preserve"> Cross-references for "the lamp": Exod 27:20-21; Exod 30:7-8.</w:t>
      </w:r>
    </w:p>
  </w:footnote>
  <w:footnote w:id="5160">
    <w:p>
      <w:pPr>
        <w:pStyle w:val="FootnoteText"/>
      </w:pPr>
      <w:r>
        <w:rPr>
          <w:rStyle w:val="FootnoteReference"/>
        </w:rPr>
        <w:footnoteRef/>
      </w:r>
      <w:r>
        <w:t xml:space="preserve"> Translation note: Greek says before being set in order not before went out.</w:t>
      </w:r>
    </w:p>
  </w:footnote>
  <w:footnote w:id="5161">
    <w:p>
      <w:pPr>
        <w:pStyle w:val="FootnoteText"/>
      </w:pPr>
      <w:r>
        <w:rPr>
          <w:rStyle w:val="FootnoteReference"/>
        </w:rPr>
        <w:footnoteRef/>
      </w:r>
      <w:r>
        <w:t xml:space="preserve"> Cross-references for "Speak": Exod 20:19; Ps 85:8.</w:t>
      </w:r>
    </w:p>
  </w:footnote>
  <w:footnote w:id="5162">
    <w:p>
      <w:pPr>
        <w:pStyle w:val="FootnoteText"/>
      </w:pPr>
      <w:r>
        <w:rPr>
          <w:rStyle w:val="FootnoteReference"/>
        </w:rPr>
        <w:footnoteRef/>
      </w:r>
      <w:r>
        <w:t xml:space="preserve"> Cross-references for "his sons": 1Sam 2:12; 1Sam 2:17.</w:t>
      </w:r>
    </w:p>
  </w:footnote>
  <w:footnote w:id="5163">
    <w:p>
      <w:pPr>
        <w:pStyle w:val="FootnoteText"/>
      </w:pPr>
      <w:r>
        <w:rPr>
          <w:rStyle w:val="FootnoteReference"/>
        </w:rPr>
        <w:footnoteRef/>
      </w:r>
      <w:r>
        <w:t xml:space="preserve"> Cross-references for "opened": 1Sam 1:9; Mal 1:10.</w:t>
      </w:r>
    </w:p>
  </w:footnote>
  <w:footnote w:id="5164">
    <w:p>
      <w:pPr>
        <w:pStyle w:val="FootnoteText"/>
      </w:pPr>
      <w:r>
        <w:rPr>
          <w:rStyle w:val="FootnoteReference"/>
        </w:rPr>
        <w:footnoteRef/>
      </w:r>
      <w:r>
        <w:t xml:space="preserve"> Cross-references for "grew": Judg 13:24; 1Sam 2:21.</w:t>
      </w:r>
    </w:p>
  </w:footnote>
  <w:footnote w:id="5165">
    <w:p>
      <w:pPr>
        <w:pStyle w:val="FootnoteText"/>
      </w:pPr>
      <w:r>
        <w:rPr>
          <w:rStyle w:val="FootnoteReference"/>
        </w:rPr>
        <w:footnoteRef/>
      </w:r>
      <w:r>
        <w:t xml:space="preserve"> Place name: Ebenezer. Place-name meaning: Ebenezer — the stone of help. Source form: Ebenezer. Greek form: αβενεζερ.</w:t>
      </w:r>
    </w:p>
  </w:footnote>
  <w:footnote w:id="5166">
    <w:p>
      <w:pPr>
        <w:pStyle w:val="FootnoteText"/>
      </w:pPr>
      <w:r>
        <w:rPr>
          <w:rStyle w:val="FootnoteReference"/>
        </w:rPr>
        <w:footnoteRef/>
      </w:r>
      <w:r>
        <w:t xml:space="preserve"> Cross-references for "Ebenezer": 1Sam 5:1; 1Sam 7:12.</w:t>
      </w:r>
    </w:p>
  </w:footnote>
  <w:footnote w:id="5167">
    <w:p>
      <w:pPr>
        <w:pStyle w:val="FootnoteText"/>
      </w:pPr>
      <w:r>
        <w:rPr>
          <w:rStyle w:val="FootnoteReference"/>
        </w:rPr>
        <w:footnoteRef/>
      </w:r>
      <w:r>
        <w:t xml:space="preserve"> Cross-references for "Israel": Josh 7:5-8; Josh 7:12.</w:t>
      </w:r>
    </w:p>
  </w:footnote>
  <w:footnote w:id="5168">
    <w:p>
      <w:pPr>
        <w:pStyle w:val="FootnoteText"/>
      </w:pPr>
      <w:r>
        <w:rPr>
          <w:rStyle w:val="FootnoteReference"/>
        </w:rPr>
        <w:footnoteRef/>
      </w:r>
      <w:r>
        <w:t xml:space="preserve"> Translation note: Greek says why did the Lord make us stumble today.</w:t>
      </w:r>
    </w:p>
  </w:footnote>
  <w:footnote w:id="5169">
    <w:p>
      <w:pPr>
        <w:pStyle w:val="FootnoteText"/>
      </w:pPr>
      <w:r>
        <w:rPr>
          <w:rStyle w:val="FootnoteReference"/>
        </w:rPr>
        <w:footnoteRef/>
      </w:r>
      <w:r>
        <w:t xml:space="preserve"> Cross-references for "Let us": Num 31:6; Josh 6:4-5.</w:t>
      </w:r>
    </w:p>
  </w:footnote>
  <w:footnote w:id="5170">
    <w:p>
      <w:pPr>
        <w:pStyle w:val="FootnoteText"/>
      </w:pPr>
      <w:r>
        <w:rPr>
          <w:rStyle w:val="FootnoteReference"/>
        </w:rPr>
        <w:footnoteRef/>
      </w:r>
      <w:r>
        <w:t xml:space="preserve"> Translation note: Greece witnesses vary in ark-line pronouns here.</w:t>
      </w:r>
    </w:p>
  </w:footnote>
  <w:footnote w:id="5171">
    <w:p>
      <w:pPr>
        <w:pStyle w:val="FootnoteText"/>
      </w:pPr>
      <w:r>
        <w:rPr>
          <w:rStyle w:val="FootnoteReference"/>
        </w:rPr>
        <w:footnoteRef/>
      </w:r>
      <w:r>
        <w:t xml:space="preserve"> Translation note: Greek says let the ark go out from our midst.</w:t>
      </w:r>
    </w:p>
  </w:footnote>
  <w:footnote w:id="5172">
    <w:p>
      <w:pPr>
        <w:pStyle w:val="FootnoteText"/>
      </w:pPr>
      <w:r>
        <w:rPr>
          <w:rStyle w:val="FootnoteReference"/>
        </w:rPr>
        <w:footnoteRef/>
      </w:r>
      <w:r>
        <w:t xml:space="preserve"> Translation note: Greek says let ark go out in our midst.</w:t>
      </w:r>
    </w:p>
  </w:footnote>
  <w:footnote w:id="5173">
    <w:p>
      <w:pPr>
        <w:pStyle w:val="FootnoteText"/>
      </w:pPr>
      <w:r>
        <w:rPr>
          <w:rStyle w:val="FootnoteReference"/>
        </w:rPr>
        <w:footnoteRef/>
      </w:r>
      <w:r>
        <w:t xml:space="preserve"> Translation note: Greek says seated on cherubim here. Current line keeps that wording.</w:t>
      </w:r>
    </w:p>
  </w:footnote>
  <w:footnote w:id="5174">
    <w:p>
      <w:pPr>
        <w:pStyle w:val="FootnoteText"/>
      </w:pPr>
      <w:r>
        <w:rPr>
          <w:rStyle w:val="FootnoteReference"/>
        </w:rPr>
        <w:footnoteRef/>
      </w:r>
      <w:r>
        <w:t xml:space="preserve"> Cross-references for "Hophni": 1Sam 2:12-17; 1Sam 2:22.</w:t>
      </w:r>
    </w:p>
  </w:footnote>
  <w:footnote w:id="5175">
    <w:p>
      <w:pPr>
        <w:pStyle w:val="FootnoteText"/>
      </w:pPr>
      <w:r>
        <w:rPr>
          <w:rStyle w:val="FootnoteReference"/>
        </w:rPr>
        <w:footnoteRef/>
      </w:r>
      <w:r>
        <w:t xml:space="preserve"> Cross-references for "all Israel": Judg 15:14; Job 20:5.</w:t>
      </w:r>
    </w:p>
  </w:footnote>
  <w:footnote w:id="5176">
    <w:p>
      <w:pPr>
        <w:pStyle w:val="FootnoteText"/>
      </w:pPr>
      <w:r>
        <w:rPr>
          <w:rStyle w:val="FootnoteReference"/>
        </w:rPr>
        <w:footnoteRef/>
      </w:r>
      <w:r>
        <w:t xml:space="preserve"> Cross-references for "were afraid": Exod 14:25; Exod 15:14-16.</w:t>
      </w:r>
    </w:p>
  </w:footnote>
  <w:footnote w:id="5177">
    <w:p>
      <w:pPr>
        <w:pStyle w:val="FootnoteText"/>
      </w:pPr>
      <w:r>
        <w:rPr>
          <w:rStyle w:val="FootnoteReference"/>
        </w:rPr>
        <w:footnoteRef/>
      </w:r>
      <w:r>
        <w:t xml:space="preserve"> Translation note: The Greek keeps the Philistine fear cry direct. The current wording preserves that line.</w:t>
      </w:r>
    </w:p>
  </w:footnote>
  <w:footnote w:id="5178">
    <w:p>
      <w:pPr>
        <w:pStyle w:val="FootnoteText"/>
      </w:pPr>
      <w:r>
        <w:rPr>
          <w:rStyle w:val="FootnoteReference"/>
        </w:rPr>
        <w:footnoteRef/>
      </w:r>
      <w:r>
        <w:t xml:space="preserve"> Cross-references for "Be strong": 2Sam 10:12; 1Cor 16:13.</w:t>
      </w:r>
    </w:p>
  </w:footnote>
  <w:footnote w:id="5179">
    <w:p>
      <w:pPr>
        <w:pStyle w:val="FootnoteText"/>
      </w:pPr>
      <w:r>
        <w:rPr>
          <w:rStyle w:val="FootnoteReference"/>
        </w:rPr>
        <w:footnoteRef/>
      </w:r>
      <w:r>
        <w:t xml:space="preserve"> Cross-references for "Israel": Lev 26:17; Deut 28:25.</w:t>
      </w:r>
    </w:p>
  </w:footnote>
  <w:footnote w:id="5180">
    <w:p>
      <w:pPr>
        <w:pStyle w:val="FootnoteText"/>
      </w:pPr>
      <w:r>
        <w:rPr>
          <w:rStyle w:val="FootnoteReference"/>
        </w:rPr>
        <w:footnoteRef/>
      </w:r>
      <w:r>
        <w:t xml:space="preserve"> Cross-references for "the ark": 1Sam 2:32; Ps 78:61.</w:t>
      </w:r>
    </w:p>
  </w:footnote>
  <w:footnote w:id="5181">
    <w:p>
      <w:pPr>
        <w:pStyle w:val="FootnoteText"/>
      </w:pPr>
      <w:r>
        <w:rPr>
          <w:rStyle w:val="FootnoteReference"/>
        </w:rPr>
        <w:footnoteRef/>
      </w:r>
      <w:r>
        <w:t xml:space="preserve"> Cross-references for "his heart": Josh 7:9; Neh 1:3-4.</w:t>
      </w:r>
    </w:p>
  </w:footnote>
  <w:footnote w:id="5182">
    <w:p>
      <w:pPr>
        <w:pStyle w:val="FootnoteText"/>
      </w:pPr>
      <w:r>
        <w:rPr>
          <w:rStyle w:val="FootnoteReference"/>
        </w:rPr>
        <w:footnoteRef/>
      </w:r>
      <w:r>
        <w:t xml:space="preserve"> Cross-references for "ninety": 1Sam 3:2; Ps 90:10.</w:t>
      </w:r>
    </w:p>
  </w:footnote>
  <w:footnote w:id="5183">
    <w:p>
      <w:pPr>
        <w:pStyle w:val="FootnoteText"/>
      </w:pPr>
      <w:r>
        <w:rPr>
          <w:rStyle w:val="FootnoteReference"/>
        </w:rPr>
        <w:footnoteRef/>
      </w:r>
      <w:r>
        <w:t xml:space="preserve"> MT/LXX note: LXX/fresh has "ninety years"; MT comparison has "ninety and eight years".</w:t>
      </w:r>
    </w:p>
  </w:footnote>
  <w:footnote w:id="5184">
    <w:p>
      <w:pPr>
        <w:pStyle w:val="FootnoteText"/>
      </w:pPr>
      <w:r>
        <w:rPr>
          <w:rStyle w:val="FootnoteReference"/>
        </w:rPr>
        <w:footnoteRef/>
      </w:r>
      <w:r>
        <w:t xml:space="preserve"> Cross-references for "Israel": 1Sam 3:11; 1Sam 4:10-11.</w:t>
      </w:r>
    </w:p>
  </w:footnote>
  <w:footnote w:id="5185">
    <w:p>
      <w:pPr>
        <w:pStyle w:val="FootnoteText"/>
      </w:pPr>
      <w:r>
        <w:rPr>
          <w:rStyle w:val="FootnoteReference"/>
        </w:rPr>
        <w:footnoteRef/>
      </w:r>
      <w:r>
        <w:t xml:space="preserve"> Translation note: Greek says ark of God has been taken.</w:t>
      </w:r>
    </w:p>
  </w:footnote>
  <w:footnote w:id="5186">
    <w:p>
      <w:pPr>
        <w:pStyle w:val="FootnoteText"/>
      </w:pPr>
      <w:r>
        <w:rPr>
          <w:rStyle w:val="FootnoteReference"/>
        </w:rPr>
        <w:footnoteRef/>
      </w:r>
      <w:r>
        <w:t xml:space="preserve"> Translation note: Greek says his back was broken rather than his neck. The translation follows the Septuagint body-part term.</w:t>
      </w:r>
    </w:p>
  </w:footnote>
  <w:footnote w:id="5187">
    <w:p>
      <w:pPr>
        <w:pStyle w:val="FootnoteText"/>
      </w:pPr>
      <w:r>
        <w:rPr>
          <w:rStyle w:val="FootnoteReference"/>
        </w:rPr>
        <w:footnoteRef/>
      </w:r>
      <w:r>
        <w:t xml:space="preserve"> Translation note: Greek uses turn-upon-her wording for labor pains here. Current line keeps that phrase.</w:t>
      </w:r>
    </w:p>
  </w:footnote>
  <w:footnote w:id="5188">
    <w:p>
      <w:pPr>
        <w:pStyle w:val="FootnoteText"/>
      </w:pPr>
      <w:r>
        <w:rPr>
          <w:rStyle w:val="FootnoteReference"/>
        </w:rPr>
        <w:footnoteRef/>
      </w:r>
      <w:r>
        <w:t xml:space="preserve"> Personal name: Ichabod. Personal-name meaning: Ichabod — where is the glory? or, no glory. Source form: Ichabod.</w:t>
      </w:r>
    </w:p>
  </w:footnote>
  <w:footnote w:id="5189">
    <w:p>
      <w:pPr>
        <w:pStyle w:val="FootnoteText"/>
      </w:pPr>
      <w:r>
        <w:rPr>
          <w:rStyle w:val="FootnoteReference"/>
        </w:rPr>
        <w:footnoteRef/>
      </w:r>
      <w:r>
        <w:t xml:space="preserve"> Cross-references for "took": 1Sam 4:11; 1Sam 4:17-18.</w:t>
      </w:r>
    </w:p>
  </w:footnote>
  <w:footnote w:id="5190">
    <w:p>
      <w:pPr>
        <w:pStyle w:val="FootnoteText"/>
      </w:pPr>
      <w:r>
        <w:rPr>
          <w:rStyle w:val="FootnoteReference"/>
        </w:rPr>
        <w:footnoteRef/>
      </w:r>
      <w:r>
        <w:t xml:space="preserve"> Cross-references for "of Dagon": Judg 16:23; 1Chr 10:10.</w:t>
      </w:r>
    </w:p>
  </w:footnote>
  <w:footnote w:id="5191">
    <w:p>
      <w:pPr>
        <w:pStyle w:val="FootnoteText"/>
      </w:pPr>
      <w:r>
        <w:rPr>
          <w:rStyle w:val="FootnoteReference"/>
        </w:rPr>
        <w:footnoteRef/>
      </w:r>
      <w:r>
        <w:t xml:space="preserve"> Cross-references for "set him": Isa 19:1; Isa 40:20.</w:t>
      </w:r>
    </w:p>
  </w:footnote>
  <w:footnote w:id="5192">
    <w:p>
      <w:pPr>
        <w:pStyle w:val="FootnoteText"/>
      </w:pPr>
      <w:r>
        <w:rPr>
          <w:rStyle w:val="FootnoteReference"/>
        </w:rPr>
        <w:footnoteRef/>
      </w:r>
      <w:r>
        <w:t xml:space="preserve"> Cross-references for "the head": Isa 2:18-19; Isa 27:9.</w:t>
      </w:r>
    </w:p>
  </w:footnote>
  <w:footnote w:id="5193">
    <w:p>
      <w:pPr>
        <w:pStyle w:val="FootnoteText"/>
      </w:pPr>
      <w:r>
        <w:rPr>
          <w:rStyle w:val="FootnoteReference"/>
        </w:rPr>
        <w:footnoteRef/>
      </w:r>
      <w:r>
        <w:t xml:space="preserve"> Translation note: Greek says prints of his hands and back of Dagon.</w:t>
      </w:r>
    </w:p>
  </w:footnote>
  <w:footnote w:id="5194">
    <w:p>
      <w:pPr>
        <w:pStyle w:val="FootnoteText"/>
      </w:pPr>
      <w:r>
        <w:rPr>
          <w:rStyle w:val="FootnoteReference"/>
        </w:rPr>
        <w:footnoteRef/>
      </w:r>
      <w:r>
        <w:t xml:space="preserve"> Cross-references for "the hand": Exod 9:3; 1Sam 5:7.</w:t>
      </w:r>
    </w:p>
  </w:footnote>
  <w:footnote w:id="5195">
    <w:p>
      <w:pPr>
        <w:pStyle w:val="FootnoteText"/>
      </w:pPr>
      <w:r>
        <w:rPr>
          <w:rStyle w:val="FootnoteReference"/>
        </w:rPr>
        <w:footnoteRef/>
      </w:r>
      <w:r>
        <w:t xml:space="preserve"> Cross-references for "The ark": 1Sam 6:20; 2Sam 6:9.</w:t>
      </w:r>
    </w:p>
  </w:footnote>
  <w:footnote w:id="5196">
    <w:p>
      <w:pPr>
        <w:pStyle w:val="FootnoteText"/>
      </w:pPr>
      <w:r>
        <w:rPr>
          <w:rStyle w:val="FootnoteReference"/>
        </w:rPr>
        <w:footnoteRef/>
      </w:r>
      <w:r>
        <w:t xml:space="preserve"> Cross-references for "What shall": Zech 12:3.</w:t>
      </w:r>
    </w:p>
  </w:footnote>
  <w:footnote w:id="5197">
    <w:p>
      <w:pPr>
        <w:pStyle w:val="FootnoteText"/>
      </w:pPr>
      <w:r>
        <w:rPr>
          <w:rStyle w:val="FootnoteReference"/>
        </w:rPr>
        <w:footnoteRef/>
      </w:r>
      <w:r>
        <w:t xml:space="preserve"> Cross-references for "the hand": Deut 2:15; 1Sam 5:6.</w:t>
      </w:r>
    </w:p>
  </w:footnote>
  <w:footnote w:id="5198">
    <w:p>
      <w:pPr>
        <w:pStyle w:val="FootnoteText"/>
      </w:pPr>
      <w:r>
        <w:rPr>
          <w:rStyle w:val="FootnoteReference"/>
        </w:rPr>
        <w:footnoteRef/>
      </w:r>
      <w:r>
        <w:t xml:space="preserve"> Translation note: Greek keeps difficult phrase here.</w:t>
      </w:r>
    </w:p>
  </w:footnote>
  <w:footnote w:id="5199">
    <w:p>
      <w:pPr>
        <w:pStyle w:val="FootnoteText"/>
      </w:pPr>
      <w:r>
        <w:rPr>
          <w:rStyle w:val="FootnoteReference"/>
        </w:rPr>
        <w:footnoteRef/>
      </w:r>
      <w:r>
        <w:t xml:space="preserve"> Transliterated proper noun: Ashkelonites. Standard English equivalent: Ashkelonites. Source form: Ashkelonites. Greek form: ασκαλωνιται. Name meaning: people of Ashkelon; weight; balance.</w:t>
      </w:r>
    </w:p>
  </w:footnote>
  <w:footnote w:id="5200">
    <w:p>
      <w:pPr>
        <w:pStyle w:val="FootnoteText"/>
      </w:pPr>
      <w:r>
        <w:rPr>
          <w:rStyle w:val="FootnoteReference"/>
        </w:rPr>
        <w:footnoteRef/>
      </w:r>
      <w:r>
        <w:t xml:space="preserve"> Translation note: Greek row reads Ascalon here, not Ekron.</w:t>
      </w:r>
    </w:p>
  </w:footnote>
  <w:footnote w:id="5201">
    <w:p>
      <w:pPr>
        <w:pStyle w:val="FootnoteText"/>
      </w:pPr>
      <w:r>
        <w:rPr>
          <w:rStyle w:val="FootnoteReference"/>
        </w:rPr>
        <w:footnoteRef/>
      </w:r>
      <w:r>
        <w:t xml:space="preserve"> Translation note: Greek says the ark should sit or remain in its place. The translation keeps that wording.</w:t>
      </w:r>
    </w:p>
  </w:footnote>
  <w:footnote w:id="5202">
    <w:p>
      <w:pPr>
        <w:pStyle w:val="FootnoteText"/>
      </w:pPr>
      <w:r>
        <w:rPr>
          <w:rStyle w:val="FootnoteReference"/>
        </w:rPr>
        <w:footnoteRef/>
      </w:r>
      <w:r>
        <w:t xml:space="preserve"> Translation note: Greek literally says struck in their seats. Other traditions often interpret this as a disease-affliction.</w:t>
      </w:r>
    </w:p>
  </w:footnote>
  <w:footnote w:id="5203">
    <w:p>
      <w:pPr>
        <w:pStyle w:val="FootnoteText"/>
      </w:pPr>
      <w:r>
        <w:rPr>
          <w:rStyle w:val="FootnoteReference"/>
        </w:rPr>
        <w:footnoteRef/>
      </w:r>
      <w:r>
        <w:t xml:space="preserve"> Cross-references for "the cry": Exod 12:30; 1Sam 9:16.</w:t>
      </w:r>
    </w:p>
  </w:footnote>
  <w:footnote w:id="5204">
    <w:p>
      <w:pPr>
        <w:pStyle w:val="FootnoteText"/>
      </w:pPr>
      <w:r>
        <w:rPr>
          <w:rStyle w:val="FootnoteReference"/>
        </w:rPr>
        <w:footnoteRef/>
      </w:r>
      <w:r>
        <w:t xml:space="preserve"> Cross-references for "the ark": 1Sam 5:1; 1Sam 5:3.</w:t>
      </w:r>
    </w:p>
  </w:footnote>
  <w:footnote w:id="5205">
    <w:p>
      <w:pPr>
        <w:pStyle w:val="FootnoteText"/>
      </w:pPr>
      <w:r>
        <w:rPr>
          <w:rStyle w:val="FootnoteReference"/>
        </w:rPr>
        <w:footnoteRef/>
      </w:r>
      <w:r>
        <w:t xml:space="preserve"> Cross-references for "empty": Exod 23:15; Exod 34:20.</w:t>
      </w:r>
    </w:p>
  </w:footnote>
  <w:footnote w:id="5206">
    <w:p>
      <w:pPr>
        <w:pStyle w:val="FootnoteText"/>
      </w:pPr>
      <w:r>
        <w:rPr>
          <w:rStyle w:val="FootnoteReference"/>
        </w:rPr>
        <w:footnoteRef/>
      </w:r>
      <w:r>
        <w:t xml:space="preserve"> Translation note: Greek doubles repay here. Current line keeps that wording.</w:t>
      </w:r>
    </w:p>
  </w:footnote>
  <w:footnote w:id="5207">
    <w:p>
      <w:pPr>
        <w:pStyle w:val="FootnoteText"/>
      </w:pPr>
      <w:r>
        <w:rPr>
          <w:rStyle w:val="FootnoteReference"/>
        </w:rPr>
        <w:footnoteRef/>
      </w:r>
      <w:r>
        <w:t xml:space="preserve"> Cross-references for "five golden": Exod 12:35; Josh 13:3.</w:t>
      </w:r>
    </w:p>
  </w:footnote>
  <w:footnote w:id="5208">
    <w:p>
      <w:pPr>
        <w:pStyle w:val="FootnoteText"/>
      </w:pPr>
      <w:r>
        <w:rPr>
          <w:rStyle w:val="FootnoteReference"/>
        </w:rPr>
        <w:footnoteRef/>
      </w:r>
      <w:r>
        <w:t xml:space="preserve"> Translation note: Greek wording here differs from the smoother plague/offering tradition. Current line keeps the Greek details.</w:t>
      </w:r>
    </w:p>
  </w:footnote>
  <w:footnote w:id="5209">
    <w:p>
      <w:pPr>
        <w:pStyle w:val="FootnoteText"/>
      </w:pPr>
      <w:r>
        <w:rPr>
          <w:rStyle w:val="FootnoteReference"/>
        </w:rPr>
        <w:footnoteRef/>
      </w:r>
      <w:r>
        <w:t xml:space="preserve"> Cross-references for "mice": Exod 8:5; Exod 8:17.</w:t>
      </w:r>
    </w:p>
  </w:footnote>
  <w:footnote w:id="5210">
    <w:p>
      <w:pPr>
        <w:pStyle w:val="FootnoteText"/>
      </w:pPr>
      <w:r>
        <w:rPr>
          <w:rStyle w:val="FootnoteReference"/>
        </w:rPr>
        <w:footnoteRef/>
      </w:r>
      <w:r>
        <w:t xml:space="preserve"> Translation note: Greek says give glory to the Lord so that he may lighten his hand from you.</w:t>
      </w:r>
    </w:p>
  </w:footnote>
  <w:footnote w:id="5211">
    <w:p>
      <w:pPr>
        <w:pStyle w:val="FootnoteText"/>
      </w:pPr>
      <w:r>
        <w:rPr>
          <w:rStyle w:val="FootnoteReference"/>
        </w:rPr>
        <w:footnoteRef/>
      </w:r>
      <w:r>
        <w:t xml:space="preserve"> Cross-references for "harden": Job 9:4; Ps 95:8.</w:t>
      </w:r>
    </w:p>
  </w:footnote>
  <w:footnote w:id="5212">
    <w:p>
      <w:pPr>
        <w:pStyle w:val="FootnoteText"/>
      </w:pPr>
      <w:r>
        <w:rPr>
          <w:rStyle w:val="FootnoteReference"/>
        </w:rPr>
        <w:footnoteRef/>
      </w:r>
      <w:r>
        <w:t xml:space="preserve"> Cross-references for "we shall": 1Sam 6:3.</w:t>
      </w:r>
    </w:p>
  </w:footnote>
  <w:footnote w:id="5213">
    <w:p>
      <w:pPr>
        <w:pStyle w:val="FootnoteText"/>
      </w:pPr>
      <w:r>
        <w:rPr>
          <w:rStyle w:val="FootnoteReference"/>
        </w:rPr>
        <w:footnoteRef/>
      </w:r>
      <w:r>
        <w:t xml:space="preserve"> Translation note: Greek says by coincidence/chance here.</w:t>
      </w:r>
    </w:p>
  </w:footnote>
  <w:footnote w:id="5214">
    <w:p>
      <w:pPr>
        <w:pStyle w:val="FootnoteText"/>
      </w:pPr>
      <w:r>
        <w:rPr>
          <w:rStyle w:val="FootnoteReference"/>
        </w:rPr>
        <w:footnoteRef/>
      </w:r>
      <w:r>
        <w:t xml:space="preserve"> Translation note: Greek says they went straight here.</w:t>
      </w:r>
    </w:p>
  </w:footnote>
  <w:footnote w:id="5215">
    <w:p>
      <w:pPr>
        <w:pStyle w:val="FootnoteText"/>
      </w:pPr>
      <w:r>
        <w:rPr>
          <w:rStyle w:val="FootnoteReference"/>
        </w:rPr>
        <w:footnoteRef/>
      </w:r>
      <w:r>
        <w:t xml:space="preserve"> Translation note: Greek keeps the wagon-wood and offering line direct. Current wording preserves it.</w:t>
      </w:r>
    </w:p>
  </w:footnote>
  <w:footnote w:id="5216">
    <w:p>
      <w:pPr>
        <w:pStyle w:val="FootnoteText"/>
      </w:pPr>
      <w:r>
        <w:rPr>
          <w:rStyle w:val="FootnoteReference"/>
        </w:rPr>
        <w:footnoteRef/>
      </w:r>
      <w:r>
        <w:t xml:space="preserve"> Cross-references for "offered": Exod 20:24; Judg 6:26.</w:t>
      </w:r>
    </w:p>
  </w:footnote>
  <w:footnote w:id="5217">
    <w:p>
      <w:pPr>
        <w:pStyle w:val="FootnoteText"/>
      </w:pPr>
      <w:r>
        <w:rPr>
          <w:rStyle w:val="FootnoteReference"/>
        </w:rPr>
        <w:footnoteRef/>
      </w:r>
      <w:r>
        <w:t xml:space="preserve"> Translation note: Greek says chest here. Current line keeps that wording.</w:t>
      </w:r>
    </w:p>
  </w:footnote>
  <w:footnote w:id="5218">
    <w:p>
      <w:pPr>
        <w:pStyle w:val="FootnoteText"/>
      </w:pPr>
      <w:r>
        <w:rPr>
          <w:rStyle w:val="FootnoteReference"/>
        </w:rPr>
        <w:footnoteRef/>
      </w:r>
      <w:r>
        <w:t xml:space="preserve"> Cross-references for "the five": Josh 13:3; Judg 3:3.</w:t>
      </w:r>
    </w:p>
  </w:footnote>
  <w:footnote w:id="5219">
    <w:p>
      <w:pPr>
        <w:pStyle w:val="FootnoteText"/>
      </w:pPr>
      <w:r>
        <w:rPr>
          <w:rStyle w:val="FootnoteReference"/>
        </w:rPr>
        <w:footnoteRef/>
      </w:r>
      <w:r>
        <w:t xml:space="preserve"> Cross-references for "Ashdod": 1Sam 5:1; 2Chr 26:6.</w:t>
      </w:r>
    </w:p>
  </w:footnote>
  <w:footnote w:id="5220">
    <w:p>
      <w:pPr>
        <w:pStyle w:val="FootnoteText"/>
      </w:pPr>
      <w:r>
        <w:rPr>
          <w:rStyle w:val="FootnoteReference"/>
        </w:rPr>
        <w:footnoteRef/>
      </w:r>
      <w:r>
        <w:t xml:space="preserve"> Translation note: Greek includes a village-of-the-Perizzite phrase here. The translation keeps that wording.</w:t>
      </w:r>
    </w:p>
  </w:footnote>
  <w:footnote w:id="5221">
    <w:p>
      <w:pPr>
        <w:pStyle w:val="FootnoteText"/>
      </w:pPr>
      <w:r>
        <w:rPr>
          <w:rStyle w:val="FootnoteReference"/>
        </w:rPr>
        <w:footnoteRef/>
      </w:r>
      <w:r>
        <w:t xml:space="preserve"> Translation note: Greek includes sons of Iechoniou and the doubled number phrase.</w:t>
      </w:r>
    </w:p>
  </w:footnote>
  <w:footnote w:id="5222">
    <w:p>
      <w:pPr>
        <w:pStyle w:val="FootnoteText"/>
      </w:pPr>
      <w:r>
        <w:rPr>
          <w:rStyle w:val="FootnoteReference"/>
        </w:rPr>
        <w:footnoteRef/>
      </w:r>
      <w:r>
        <w:t xml:space="preserve"> Cross-references for "Kirjathjearim": Josh 18:14; Judg 18:12.</w:t>
      </w:r>
    </w:p>
  </w:footnote>
  <w:footnote w:id="5223">
    <w:p>
      <w:pPr>
        <w:pStyle w:val="FootnoteText"/>
      </w:pPr>
      <w:r>
        <w:rPr>
          <w:rStyle w:val="FootnoteReference"/>
        </w:rPr>
        <w:footnoteRef/>
      </w:r>
      <w:r>
        <w:t xml:space="preserve"> Cross-references for "Kirjathjearim": Josh 18:14; 1Sam 6:21.</w:t>
      </w:r>
    </w:p>
  </w:footnote>
  <w:footnote w:id="5224">
    <w:p>
      <w:pPr>
        <w:pStyle w:val="FootnoteText"/>
      </w:pPr>
      <w:r>
        <w:rPr>
          <w:rStyle w:val="FootnoteReference"/>
        </w:rPr>
        <w:footnoteRef/>
      </w:r>
      <w:r>
        <w:t xml:space="preserve"> Cross-references for "prepare": Deut 30:6; 1Chr 22:19.</w:t>
      </w:r>
    </w:p>
  </w:footnote>
  <w:footnote w:id="5225">
    <w:p>
      <w:pPr>
        <w:pStyle w:val="FootnoteText"/>
      </w:pPr>
      <w:r>
        <w:rPr>
          <w:rStyle w:val="FootnoteReference"/>
        </w:rPr>
        <w:footnoteRef/>
      </w:r>
      <w:r>
        <w:t xml:space="preserve"> Translation note: Greek says foreign gods and the groves.</w:t>
      </w:r>
    </w:p>
  </w:footnote>
  <w:footnote w:id="5226">
    <w:p>
      <w:pPr>
        <w:pStyle w:val="FootnoteText"/>
      </w:pPr>
      <w:r>
        <w:rPr>
          <w:rStyle w:val="FootnoteReference"/>
        </w:rPr>
        <w:footnoteRef/>
      </w:r>
      <w:r>
        <w:t xml:space="preserve"> Cross-references for "Gather": Neh 9:1; Joel 2:16.</w:t>
      </w:r>
    </w:p>
  </w:footnote>
  <w:footnote w:id="5227">
    <w:p>
      <w:pPr>
        <w:pStyle w:val="FootnoteText"/>
      </w:pPr>
      <w:r>
        <w:rPr>
          <w:rStyle w:val="FootnoteReference"/>
        </w:rPr>
        <w:footnoteRef/>
      </w:r>
      <w:r>
        <w:t xml:space="preserve"> Cross-references for "drew water": Num 29:35; 1Sam 1:15.</w:t>
      </w:r>
    </w:p>
  </w:footnote>
  <w:footnote w:id="5228">
    <w:p>
      <w:pPr>
        <w:pStyle w:val="FootnoteText"/>
      </w:pPr>
      <w:r>
        <w:rPr>
          <w:rStyle w:val="FootnoteReference"/>
        </w:rPr>
        <w:footnoteRef/>
      </w:r>
      <w:r>
        <w:t xml:space="preserve"> Translation note: Greek says satraps of the foreigners.</w:t>
      </w:r>
    </w:p>
  </w:footnote>
  <w:footnote w:id="5229">
    <w:p>
      <w:pPr>
        <w:pStyle w:val="FootnoteText"/>
      </w:pPr>
      <w:r>
        <w:rPr>
          <w:rStyle w:val="FootnoteReference"/>
        </w:rPr>
        <w:footnoteRef/>
      </w:r>
      <w:r>
        <w:t xml:space="preserve"> Cross-references for "thundered": Exod 9:23-25; Judg 5:8.</w:t>
      </w:r>
    </w:p>
  </w:footnote>
  <w:footnote w:id="5230">
    <w:p>
      <w:pPr>
        <w:pStyle w:val="FootnoteText"/>
      </w:pPr>
      <w:r>
        <w:rPr>
          <w:rStyle w:val="FootnoteReference"/>
        </w:rPr>
        <w:footnoteRef/>
      </w:r>
      <w:r>
        <w:t xml:space="preserve"> Translation note: Greek says confused/mixed them up here.</w:t>
      </w:r>
    </w:p>
  </w:footnote>
  <w:footnote w:id="5231">
    <w:p>
      <w:pPr>
        <w:pStyle w:val="FootnoteText"/>
      </w:pPr>
      <w:r>
        <w:rPr>
          <w:rStyle w:val="FootnoteReference"/>
        </w:rPr>
        <w:footnoteRef/>
      </w:r>
      <w:r>
        <w:t xml:space="preserve"> Cross-references for "Ebenezer": Gen 22:14; Exod 17:15.</w:t>
      </w:r>
    </w:p>
  </w:footnote>
  <w:footnote w:id="5232">
    <w:p>
      <w:pPr>
        <w:pStyle w:val="FootnoteText"/>
      </w:pPr>
      <w:r>
        <w:rPr>
          <w:rStyle w:val="FootnoteReference"/>
        </w:rPr>
        <w:footnoteRef/>
      </w:r>
      <w:r>
        <w:t xml:space="preserve"> Cross-references for "peace": Deut 7:2; Deut 7:16.</w:t>
      </w:r>
    </w:p>
  </w:footnote>
  <w:footnote w:id="5233">
    <w:p>
      <w:pPr>
        <w:pStyle w:val="FootnoteText"/>
      </w:pPr>
      <w:r>
        <w:rPr>
          <w:rStyle w:val="FootnoteReference"/>
        </w:rPr>
        <w:footnoteRef/>
      </w:r>
      <w:r>
        <w:t xml:space="preserve"> Translation note: Greek says from Ascalon to Azob.</w:t>
      </w:r>
    </w:p>
  </w:footnote>
  <w:footnote w:id="5234">
    <w:p>
      <w:pPr>
        <w:pStyle w:val="FootnoteText"/>
      </w:pPr>
      <w:r>
        <w:rPr>
          <w:rStyle w:val="FootnoteReference"/>
        </w:rPr>
        <w:footnoteRef/>
      </w:r>
      <w:r>
        <w:t xml:space="preserve"> Cross-references for "judged": Judg 2:16; Judg 3:10-11.</w:t>
      </w:r>
    </w:p>
  </w:footnote>
  <w:footnote w:id="5235">
    <w:p>
      <w:pPr>
        <w:pStyle w:val="FootnoteText"/>
      </w:pPr>
      <w:r>
        <w:rPr>
          <w:rStyle w:val="FootnoteReference"/>
        </w:rPr>
        <w:footnoteRef/>
      </w:r>
      <w:r>
        <w:t xml:space="preserve"> Cross-references for "his return": 1Sam 1:1; 1Sam 1:19.</w:t>
      </w:r>
    </w:p>
  </w:footnote>
  <w:footnote w:id="5236">
    <w:p>
      <w:pPr>
        <w:pStyle w:val="FootnoteText"/>
      </w:pPr>
      <w:r>
        <w:rPr>
          <w:rStyle w:val="FootnoteReference"/>
        </w:rPr>
        <w:footnoteRef/>
      </w:r>
      <w:r>
        <w:t xml:space="preserve"> Personal name: Joel. Personal-name meaning: Joel — he that wills or commands. Source form: Joel.</w:t>
      </w:r>
    </w:p>
  </w:footnote>
  <w:footnote w:id="5237">
    <w:p>
      <w:pPr>
        <w:pStyle w:val="FootnoteText"/>
      </w:pPr>
      <w:r>
        <w:rPr>
          <w:rStyle w:val="FootnoteReference"/>
        </w:rPr>
        <w:footnoteRef/>
      </w:r>
      <w:r>
        <w:t xml:space="preserve"> Personal name: Abijah. Personal-name meaning: Abijah — the Lord is my father. Source form: Abijah.</w:t>
      </w:r>
    </w:p>
  </w:footnote>
  <w:footnote w:id="5238">
    <w:p>
      <w:pPr>
        <w:pStyle w:val="FootnoteText"/>
      </w:pPr>
      <w:r>
        <w:rPr>
          <w:rStyle w:val="FootnoteReference"/>
        </w:rPr>
        <w:footnoteRef/>
      </w:r>
      <w:r>
        <w:t xml:space="preserve"> Cross-references for "Joel": 1Chr 6:28; 1Chr 6:38.</w:t>
      </w:r>
    </w:p>
  </w:footnote>
  <w:footnote w:id="5239">
    <w:p>
      <w:pPr>
        <w:pStyle w:val="FootnoteText"/>
      </w:pPr>
      <w:r>
        <w:rPr>
          <w:rStyle w:val="FootnoteReference"/>
        </w:rPr>
        <w:footnoteRef/>
      </w:r>
      <w:r>
        <w:t xml:space="preserve"> Cross-references for "his sons": 2Sam 15:4; 1Kgs 12:6-11.</w:t>
      </w:r>
    </w:p>
  </w:footnote>
  <w:footnote w:id="5240">
    <w:p>
      <w:pPr>
        <w:pStyle w:val="FootnoteText"/>
      </w:pPr>
      <w:r>
        <w:rPr>
          <w:rStyle w:val="FootnoteReference"/>
        </w:rPr>
        <w:footnoteRef/>
      </w:r>
      <w:r>
        <w:t xml:space="preserve"> Cross-references for "prayed": Exod 32:21; Exod 32:32.</w:t>
      </w:r>
    </w:p>
  </w:footnote>
  <w:footnote w:id="5241">
    <w:p>
      <w:pPr>
        <w:pStyle w:val="FootnoteText"/>
      </w:pPr>
      <w:r>
        <w:rPr>
          <w:rStyle w:val="FootnoteReference"/>
        </w:rPr>
        <w:footnoteRef/>
      </w:r>
      <w:r>
        <w:t xml:space="preserve"> Cross-references for "they have not": Exod 16:8; 1Sam 10:19.</w:t>
      </w:r>
    </w:p>
  </w:footnote>
  <w:footnote w:id="5242">
    <w:p>
      <w:pPr>
        <w:pStyle w:val="FootnoteText"/>
      </w:pPr>
      <w:r>
        <w:rPr>
          <w:rStyle w:val="FootnoteReference"/>
        </w:rPr>
        <w:footnoteRef/>
      </w:r>
      <w:r>
        <w:t xml:space="preserve"> Cross-references for "This will": Deut 17:14-20; 1Sam 10:25.</w:t>
      </w:r>
    </w:p>
  </w:footnote>
  <w:footnote w:id="5243">
    <w:p>
      <w:pPr>
        <w:pStyle w:val="FootnoteText"/>
      </w:pPr>
      <w:r>
        <w:rPr>
          <w:rStyle w:val="FootnoteReference"/>
        </w:rPr>
        <w:footnoteRef/>
      </w:r>
      <w:r>
        <w:t xml:space="preserve"> Translation note: Greek says right of king here. Current line keeps that wording.</w:t>
      </w:r>
    </w:p>
  </w:footnote>
  <w:footnote w:id="5244">
    <w:p>
      <w:pPr>
        <w:pStyle w:val="FootnoteText"/>
      </w:pPr>
      <w:r>
        <w:rPr>
          <w:rStyle w:val="FootnoteReference"/>
        </w:rPr>
        <w:footnoteRef/>
      </w:r>
      <w:r>
        <w:t xml:space="preserve"> Cross-references for "appoint": 1Chr 27:1-22.</w:t>
      </w:r>
    </w:p>
  </w:footnote>
  <w:footnote w:id="5245">
    <w:p>
      <w:pPr>
        <w:pStyle w:val="FootnoteText"/>
      </w:pPr>
      <w:r>
        <w:rPr>
          <w:rStyle w:val="FootnoteReference"/>
        </w:rPr>
        <w:footnoteRef/>
      </w:r>
      <w:r>
        <w:t xml:space="preserve"> Translation note: Greek uses a future warning line tied to the chosen king. Current wording preserves it.</w:t>
      </w:r>
    </w:p>
  </w:footnote>
  <w:footnote w:id="5246">
    <w:p>
      <w:pPr>
        <w:pStyle w:val="FootnoteText"/>
      </w:pPr>
      <w:r>
        <w:rPr>
          <w:rStyle w:val="FootnoteReference"/>
        </w:rPr>
        <w:footnoteRef/>
      </w:r>
      <w:r>
        <w:t xml:space="preserve"> Cross-references for "cry out": Isa 8:21.</w:t>
      </w:r>
    </w:p>
  </w:footnote>
  <w:footnote w:id="5247">
    <w:p>
      <w:pPr>
        <w:pStyle w:val="FootnoteText"/>
      </w:pPr>
      <w:r>
        <w:rPr>
          <w:rStyle w:val="FootnoteReference"/>
        </w:rPr>
        <w:footnoteRef/>
      </w:r>
      <w:r>
        <w:t xml:space="preserve"> Personal name: Kish. Personal-name meaning: Kish — hard; difficult; straw; for age. Source form: Kish.</w:t>
      </w:r>
    </w:p>
  </w:footnote>
  <w:footnote w:id="5248">
    <w:p>
      <w:pPr>
        <w:pStyle w:val="FootnoteText"/>
      </w:pPr>
      <w:r>
        <w:rPr>
          <w:rStyle w:val="FootnoteReference"/>
        </w:rPr>
        <w:footnoteRef/>
      </w:r>
      <w:r>
        <w:t xml:space="preserve"> Personal name: Abiel. Personal-name meaning: Abiel — God my father. Source form: Abiel.</w:t>
      </w:r>
    </w:p>
  </w:footnote>
  <w:footnote w:id="5249">
    <w:p>
      <w:pPr>
        <w:pStyle w:val="FootnoteText"/>
      </w:pPr>
      <w:r>
        <w:rPr>
          <w:rStyle w:val="FootnoteReference"/>
        </w:rPr>
        <w:footnoteRef/>
      </w:r>
      <w:r>
        <w:t xml:space="preserve"> Personal name: Zeror. Personal-name meaning: Zeror — root; that straitens or binds; that keeps tight. Source form: Zeror.</w:t>
      </w:r>
    </w:p>
  </w:footnote>
  <w:footnote w:id="5250">
    <w:p>
      <w:pPr>
        <w:pStyle w:val="FootnoteText"/>
      </w:pPr>
      <w:r>
        <w:rPr>
          <w:rStyle w:val="FootnoteReference"/>
        </w:rPr>
        <w:footnoteRef/>
      </w:r>
      <w:r>
        <w:t xml:space="preserve"> Transliterated proper noun: Bechorath. Standard English equivalent: Bechorath. Source form: Bechorath. Greek form: βαχιρ. Name meaning: first fruits.</w:t>
      </w:r>
    </w:p>
  </w:footnote>
  <w:footnote w:id="5251">
    <w:p>
      <w:pPr>
        <w:pStyle w:val="FootnoteText"/>
      </w:pPr>
      <w:r>
        <w:rPr>
          <w:rStyle w:val="FootnoteReference"/>
        </w:rPr>
        <w:footnoteRef/>
      </w:r>
      <w:r>
        <w:t xml:space="preserve"> Cross-references for "Kish": 1Sam 14:51; 1Chr 8:30-33.</w:t>
      </w:r>
    </w:p>
  </w:footnote>
  <w:footnote w:id="5252">
    <w:p>
      <w:pPr>
        <w:pStyle w:val="FootnoteText"/>
      </w:pPr>
      <w:r>
        <w:rPr>
          <w:rStyle w:val="FootnoteReference"/>
        </w:rPr>
        <w:footnoteRef/>
      </w:r>
      <w:r>
        <w:t xml:space="preserve"> Name meaning: Saul (Shaul) — Asked for; prayed for. The people asked for a king; first king of Israel.</w:t>
      </w:r>
    </w:p>
  </w:footnote>
  <w:footnote w:id="5253">
    <w:p>
      <w:pPr>
        <w:pStyle w:val="FootnoteText"/>
      </w:pPr>
      <w:r>
        <w:rPr>
          <w:rStyle w:val="FootnoteReference"/>
        </w:rPr>
        <w:footnoteRef/>
      </w:r>
      <w:r>
        <w:t xml:space="preserve"> Cross-references for "from his shoulders": Num 13:33; 1Sam 10:23.</w:t>
      </w:r>
    </w:p>
  </w:footnote>
  <w:footnote w:id="5254">
    <w:p>
      <w:pPr>
        <w:pStyle w:val="FootnoteText"/>
      </w:pPr>
      <w:r>
        <w:rPr>
          <w:rStyle w:val="FootnoteReference"/>
        </w:rPr>
        <w:footnoteRef/>
      </w:r>
      <w:r>
        <w:t xml:space="preserve"> Place name: Shaalim. Place-name meaning: Shaalim — foxes; paths. Source form: Shaalim. Greek form: εφραιμ.</w:t>
      </w:r>
    </w:p>
  </w:footnote>
  <w:footnote w:id="5255">
    <w:p>
      <w:pPr>
        <w:pStyle w:val="FootnoteText"/>
      </w:pPr>
      <w:r>
        <w:rPr>
          <w:rStyle w:val="FootnoteReference"/>
        </w:rPr>
        <w:footnoteRef/>
      </w:r>
      <w:r>
        <w:t xml:space="preserve"> Transliterated proper noun: Jakim. Standard English equivalent: Jakim. Source form: Jakim. Greek form: ιακιμ. Name meaning: rising; confirming; establishing.</w:t>
      </w:r>
    </w:p>
  </w:footnote>
  <w:footnote w:id="5256">
    <w:p>
      <w:pPr>
        <w:pStyle w:val="FootnoteText"/>
      </w:pPr>
      <w:r>
        <w:rPr>
          <w:rStyle w:val="FootnoteReference"/>
        </w:rPr>
        <w:footnoteRef/>
      </w:r>
      <w:r>
        <w:t xml:space="preserve"> Translation note: Greek gives those place forms here.</w:t>
      </w:r>
    </w:p>
  </w:footnote>
  <w:footnote w:id="5257">
    <w:p>
      <w:pPr>
        <w:pStyle w:val="FootnoteText"/>
      </w:pPr>
      <w:r>
        <w:rPr>
          <w:rStyle w:val="FootnoteReference"/>
        </w:rPr>
        <w:footnoteRef/>
      </w:r>
      <w:r>
        <w:t xml:space="preserve"> Cross-references for "Zuph": 1Sam 1:1.</w:t>
      </w:r>
    </w:p>
  </w:footnote>
  <w:footnote w:id="5258">
    <w:p>
      <w:pPr>
        <w:pStyle w:val="FootnoteText"/>
      </w:pPr>
      <w:r>
        <w:rPr>
          <w:rStyle w:val="FootnoteReference"/>
        </w:rPr>
        <w:footnoteRef/>
      </w:r>
      <w:r>
        <w:t xml:space="preserve"> Cross-references for "city": 1Sam 2:27.</w:t>
      </w:r>
    </w:p>
  </w:footnote>
  <w:footnote w:id="5259">
    <w:p>
      <w:pPr>
        <w:pStyle w:val="FootnoteText"/>
      </w:pPr>
      <w:r>
        <w:rPr>
          <w:rStyle w:val="FootnoteReference"/>
        </w:rPr>
        <w:footnoteRef/>
      </w:r>
      <w:r>
        <w:t xml:space="preserve"> Translation note: Greek says what he speaks, when it comes, it will stand.</w:t>
      </w:r>
    </w:p>
  </w:footnote>
  <w:footnote w:id="5260">
    <w:p>
      <w:pPr>
        <w:pStyle w:val="FootnoteText"/>
      </w:pPr>
      <w:r>
        <w:rPr>
          <w:rStyle w:val="FootnoteReference"/>
        </w:rPr>
        <w:footnoteRef/>
      </w:r>
      <w:r>
        <w:t xml:space="preserve"> Cross-references for "what shall": Judg 6:18; Judg 13:15-17.</w:t>
      </w:r>
    </w:p>
  </w:footnote>
  <w:footnote w:id="5261">
    <w:p>
      <w:pPr>
        <w:pStyle w:val="FootnoteText"/>
      </w:pPr>
      <w:r>
        <w:rPr>
          <w:rStyle w:val="FootnoteReference"/>
        </w:rPr>
        <w:footnoteRef/>
      </w:r>
      <w:r>
        <w:t xml:space="preserve"> Cross-references for "inquire": Gen 25:22; Judg 1:1.</w:t>
      </w:r>
    </w:p>
  </w:footnote>
  <w:footnote w:id="5262">
    <w:p>
      <w:pPr>
        <w:pStyle w:val="FootnoteText"/>
      </w:pPr>
      <w:r>
        <w:rPr>
          <w:rStyle w:val="FootnoteReference"/>
        </w:rPr>
        <w:footnoteRef/>
      </w:r>
      <w:r>
        <w:t xml:space="preserve"> Cross-references for "sacrifice": Gen 31:54; Deut 12:6-7.</w:t>
      </w:r>
    </w:p>
  </w:footnote>
  <w:footnote w:id="5263">
    <w:p>
      <w:pPr>
        <w:pStyle w:val="FootnoteText"/>
      </w:pPr>
      <w:r>
        <w:rPr>
          <w:rStyle w:val="FootnoteReference"/>
        </w:rPr>
        <w:footnoteRef/>
      </w:r>
      <w:r>
        <w:t xml:space="preserve"> Translation note: Greek says because of the day you will find him.</w:t>
      </w:r>
    </w:p>
  </w:footnote>
  <w:footnote w:id="5264">
    <w:p>
      <w:pPr>
        <w:pStyle w:val="FootnoteText"/>
      </w:pPr>
      <w:r>
        <w:rPr>
          <w:rStyle w:val="FootnoteReference"/>
        </w:rPr>
        <w:footnoteRef/>
      </w:r>
      <w:r>
        <w:t xml:space="preserve"> Cross-references for "the Lord": 1Sam 9:17; 1Sam 15:1.</w:t>
      </w:r>
    </w:p>
  </w:footnote>
  <w:footnote w:id="5265">
    <w:p>
      <w:pPr>
        <w:pStyle w:val="FootnoteText"/>
      </w:pPr>
      <w:r>
        <w:rPr>
          <w:rStyle w:val="FootnoteReference"/>
        </w:rPr>
        <w:footnoteRef/>
      </w:r>
      <w:r>
        <w:t xml:space="preserve"> Cross-references for "looked upon": Exod 2:23-25; Exod 3:7-9.</w:t>
      </w:r>
    </w:p>
  </w:footnote>
  <w:footnote w:id="5266">
    <w:p>
      <w:pPr>
        <w:pStyle w:val="FootnoteText"/>
      </w:pPr>
      <w:r>
        <w:rPr>
          <w:rStyle w:val="FootnoteReference"/>
        </w:rPr>
        <w:footnoteRef/>
      </w:r>
      <w:r>
        <w:t xml:space="preserve"> Cross-references for "Behold": 1Sam 16:6-12; Hos 13:11.</w:t>
      </w:r>
    </w:p>
  </w:footnote>
  <w:footnote w:id="5267">
    <w:p>
      <w:pPr>
        <w:pStyle w:val="FootnoteText"/>
      </w:pPr>
      <w:r>
        <w:rPr>
          <w:rStyle w:val="FootnoteReference"/>
        </w:rPr>
        <w:footnoteRef/>
      </w:r>
      <w:r>
        <w:t xml:space="preserve"> Cross-references for "three days ago": 1Sam 9:3.</w:t>
      </w:r>
    </w:p>
  </w:footnote>
  <w:footnote w:id="5268">
    <w:p>
      <w:pPr>
        <w:pStyle w:val="FootnoteText"/>
      </w:pPr>
      <w:r>
        <w:rPr>
          <w:rStyle w:val="FootnoteReference"/>
        </w:rPr>
        <w:footnoteRef/>
      </w:r>
      <w:r>
        <w:t xml:space="preserve"> Cross-references for "a Benjamite": Judg 20:46-48; Ps 68:27.</w:t>
      </w:r>
    </w:p>
  </w:footnote>
  <w:footnote w:id="5269">
    <w:p>
      <w:pPr>
        <w:pStyle w:val="FootnoteText"/>
      </w:pPr>
      <w:r>
        <w:rPr>
          <w:rStyle w:val="FootnoteReference"/>
        </w:rPr>
        <w:footnoteRef/>
      </w:r>
      <w:r>
        <w:t xml:space="preserve"> Translation note: Greek keeps difficult appointed-witness phrase here.</w:t>
      </w:r>
    </w:p>
  </w:footnote>
  <w:footnote w:id="5270">
    <w:p>
      <w:pPr>
        <w:pStyle w:val="FootnoteText"/>
      </w:pPr>
      <w:r>
        <w:rPr>
          <w:rStyle w:val="FootnoteReference"/>
        </w:rPr>
        <w:footnoteRef/>
      </w:r>
      <w:r>
        <w:t xml:space="preserve"> Translation note: Greek says rising dawn here.</w:t>
      </w:r>
    </w:p>
  </w:footnote>
  <w:footnote w:id="5271">
    <w:p>
      <w:pPr>
        <w:pStyle w:val="FootnoteText"/>
      </w:pPr>
      <w:r>
        <w:rPr>
          <w:rStyle w:val="FootnoteReference"/>
        </w:rPr>
        <w:footnoteRef/>
      </w:r>
      <w:r>
        <w:t xml:space="preserve"> Cross-references for "kissed him": 2Sam 19:39; 1Kgs 19:18.</w:t>
      </w:r>
    </w:p>
  </w:footnote>
  <w:footnote w:id="5272">
    <w:p>
      <w:pPr>
        <w:pStyle w:val="FootnoteText"/>
      </w:pPr>
      <w:r>
        <w:rPr>
          <w:rStyle w:val="FootnoteReference"/>
        </w:rPr>
        <w:footnoteRef/>
      </w:r>
      <w:r>
        <w:t xml:space="preserve"> Translation note: Greek wording here is odd. Current line keeps it rather than smoothing to a guess.</w:t>
      </w:r>
    </w:p>
  </w:footnote>
  <w:footnote w:id="5273">
    <w:p>
      <w:pPr>
        <w:pStyle w:val="FootnoteText"/>
      </w:pPr>
      <w:r>
        <w:rPr>
          <w:rStyle w:val="FootnoteReference"/>
        </w:rPr>
        <w:footnoteRef/>
      </w:r>
      <w:r>
        <w:t xml:space="preserve"> Cross-references for "Tabor": Josh 19:12; Josh 19:22.</w:t>
      </w:r>
    </w:p>
  </w:footnote>
  <w:footnote w:id="5274">
    <w:p>
      <w:pPr>
        <w:pStyle w:val="FootnoteText"/>
      </w:pPr>
      <w:r>
        <w:rPr>
          <w:rStyle w:val="FootnoteReference"/>
        </w:rPr>
        <w:footnoteRef/>
      </w:r>
      <w:r>
        <w:t xml:space="preserve"> Translation note: Greek says vessels of breads here rather than loaves alone.</w:t>
      </w:r>
    </w:p>
  </w:footnote>
  <w:footnote w:id="5275">
    <w:p>
      <w:pPr>
        <w:pStyle w:val="FootnoteText"/>
      </w:pPr>
      <w:r>
        <w:rPr>
          <w:rStyle w:val="FootnoteReference"/>
        </w:rPr>
        <w:footnoteRef/>
      </w:r>
      <w:r>
        <w:t xml:space="preserve"> Cross-references for "hill of God": 1Sam 10:10; 1Sam 13:3.</w:t>
      </w:r>
    </w:p>
  </w:footnote>
  <w:footnote w:id="5276">
    <w:p>
      <w:pPr>
        <w:pStyle w:val="FootnoteText"/>
      </w:pPr>
      <w:r>
        <w:rPr>
          <w:rStyle w:val="FootnoteReference"/>
        </w:rPr>
        <w:footnoteRef/>
      </w:r>
      <w:r>
        <w:t xml:space="preserve"> Translation note: Greek says station of the foreigners and chorus of prophets.</w:t>
      </w:r>
    </w:p>
  </w:footnote>
  <w:footnote w:id="5277">
    <w:p>
      <w:pPr>
        <w:pStyle w:val="FootnoteText"/>
      </w:pPr>
      <w:r>
        <w:rPr>
          <w:rStyle w:val="FootnoteReference"/>
        </w:rPr>
        <w:footnoteRef/>
      </w:r>
      <w:r>
        <w:t xml:space="preserve"> Cross-references for "Spirit": 1Sam 10:10; 1Sam 16:13.</w:t>
      </w:r>
    </w:p>
  </w:footnote>
  <w:footnote w:id="5278">
    <w:p>
      <w:pPr>
        <w:pStyle w:val="FootnoteText"/>
      </w:pPr>
      <w:r>
        <w:rPr>
          <w:rStyle w:val="FootnoteReference"/>
        </w:rPr>
        <w:footnoteRef/>
      </w:r>
      <w:r>
        <w:t xml:space="preserve"> Cross-references for "signs": Exod 4:8; Luke 2:12.</w:t>
      </w:r>
    </w:p>
  </w:footnote>
  <w:footnote w:id="5279">
    <w:p>
      <w:pPr>
        <w:pStyle w:val="FootnoteText"/>
      </w:pPr>
      <w:r>
        <w:rPr>
          <w:rStyle w:val="FootnoteReference"/>
        </w:rPr>
        <w:footnoteRef/>
      </w:r>
      <w:r>
        <w:t xml:space="preserve"> Cross-references for "to Gilgal": 1Sam 11:14-15; 1Sam 13:4.</w:t>
      </w:r>
    </w:p>
  </w:footnote>
  <w:footnote w:id="5280">
    <w:p>
      <w:pPr>
        <w:pStyle w:val="FootnoteText"/>
      </w:pPr>
      <w:r>
        <w:rPr>
          <w:rStyle w:val="FootnoteReference"/>
        </w:rPr>
        <w:footnoteRef/>
      </w:r>
      <w:r>
        <w:t xml:space="preserve"> Translation note: Greek says wait here. Current line keeps that wording.</w:t>
      </w:r>
    </w:p>
  </w:footnote>
  <w:footnote w:id="5281">
    <w:p>
      <w:pPr>
        <w:pStyle w:val="FootnoteText"/>
      </w:pPr>
      <w:r>
        <w:rPr>
          <w:rStyle w:val="FootnoteReference"/>
        </w:rPr>
        <w:footnoteRef/>
      </w:r>
      <w:r>
        <w:t xml:space="preserve"> Cross-references for "another heart": 1Sam 10:6.</w:t>
      </w:r>
    </w:p>
  </w:footnote>
  <w:footnote w:id="5282">
    <w:p>
      <w:pPr>
        <w:pStyle w:val="FootnoteText"/>
      </w:pPr>
      <w:r>
        <w:rPr>
          <w:rStyle w:val="FootnoteReference"/>
        </w:rPr>
        <w:footnoteRef/>
      </w:r>
      <w:r>
        <w:t xml:space="preserve"> Translation note: Greek says all who knew him yesterday and the third day.</w:t>
      </w:r>
    </w:p>
  </w:footnote>
  <w:footnote w:id="5283">
    <w:p>
      <w:pPr>
        <w:pStyle w:val="FootnoteText"/>
      </w:pPr>
      <w:r>
        <w:rPr>
          <w:rStyle w:val="FootnoteReference"/>
        </w:rPr>
        <w:footnoteRef/>
      </w:r>
      <w:r>
        <w:t xml:space="preserve"> Cross-references for "What is this": Matt 13:54-55; Acts 2:7-8.</w:t>
      </w:r>
    </w:p>
  </w:footnote>
  <w:footnote w:id="5284">
    <w:p>
      <w:pPr>
        <w:pStyle w:val="FootnoteText"/>
      </w:pPr>
      <w:r>
        <w:rPr>
          <w:rStyle w:val="FootnoteReference"/>
        </w:rPr>
        <w:footnoteRef/>
      </w:r>
      <w:r>
        <w:t xml:space="preserve"> Translation note: Greek says sons of Israel from Egypt.</w:t>
      </w:r>
    </w:p>
  </w:footnote>
  <w:footnote w:id="5285">
    <w:p>
      <w:pPr>
        <w:pStyle w:val="FootnoteText"/>
      </w:pPr>
      <w:r>
        <w:rPr>
          <w:rStyle w:val="FootnoteReference"/>
        </w:rPr>
        <w:footnoteRef/>
      </w:r>
      <w:r>
        <w:t xml:space="preserve"> Translation note: Greek says by your scepters and by your tribes.</w:t>
      </w:r>
    </w:p>
  </w:footnote>
  <w:footnote w:id="5286">
    <w:p>
      <w:pPr>
        <w:pStyle w:val="FootnoteText"/>
      </w:pPr>
      <w:r>
        <w:rPr>
          <w:rStyle w:val="FootnoteReference"/>
        </w:rPr>
        <w:footnoteRef/>
      </w:r>
      <w:r>
        <w:t xml:space="preserve"> Cross-references for "by your tribes": Num 17:2; Josh 7:14-26.</w:t>
      </w:r>
    </w:p>
  </w:footnote>
  <w:footnote w:id="5287">
    <w:p>
      <w:pPr>
        <w:pStyle w:val="FootnoteText"/>
      </w:pPr>
      <w:r>
        <w:rPr>
          <w:rStyle w:val="FootnoteReference"/>
        </w:rPr>
        <w:footnoteRef/>
      </w:r>
      <w:r>
        <w:t xml:space="preserve"> People-name: Matrites. People-name meaning: Matrites — people of Matri; rain/prison. Source form: Matrites.</w:t>
      </w:r>
    </w:p>
  </w:footnote>
  <w:footnote w:id="5288">
    <w:p>
      <w:pPr>
        <w:pStyle w:val="FootnoteText"/>
      </w:pPr>
      <w:r>
        <w:rPr>
          <w:rStyle w:val="FootnoteReference"/>
        </w:rPr>
        <w:footnoteRef/>
      </w:r>
      <w:r>
        <w:t xml:space="preserve"> Cross-references for "inquired": Num 27:21; Judg 1:1.</w:t>
      </w:r>
    </w:p>
  </w:footnote>
  <w:footnote w:id="5289">
    <w:p>
      <w:pPr>
        <w:pStyle w:val="FootnoteText"/>
      </w:pPr>
      <w:r>
        <w:rPr>
          <w:rStyle w:val="FootnoteReference"/>
        </w:rPr>
        <w:footnoteRef/>
      </w:r>
      <w:r>
        <w:t xml:space="preserve"> Cross-references for "Gibeah": Josh 18:28; Judg 19:12-16.</w:t>
      </w:r>
    </w:p>
  </w:footnote>
  <w:footnote w:id="5290">
    <w:p>
      <w:pPr>
        <w:pStyle w:val="FootnoteText"/>
      </w:pPr>
      <w:r>
        <w:rPr>
          <w:rStyle w:val="FootnoteReference"/>
        </w:rPr>
        <w:footnoteRef/>
      </w:r>
      <w:r>
        <w:t xml:space="preserve"> Transliterated proper noun: Nahash. Standard English equivalent: Nahash. Source form: Nahash. Greek form: ναας. Name meaning: snake; serpent.</w:t>
      </w:r>
    </w:p>
  </w:footnote>
  <w:footnote w:id="5291">
    <w:p>
      <w:pPr>
        <w:pStyle w:val="FootnoteText"/>
      </w:pPr>
      <w:r>
        <w:rPr>
          <w:rStyle w:val="FootnoteReference"/>
        </w:rPr>
        <w:footnoteRef/>
      </w:r>
      <w:r>
        <w:t xml:space="preserve"> Cross-references for "Nahash": Judg 10:7; Judg 11:8-33.</w:t>
      </w:r>
    </w:p>
  </w:footnote>
  <w:footnote w:id="5292">
    <w:p>
      <w:pPr>
        <w:pStyle w:val="FootnoteText"/>
      </w:pPr>
      <w:r>
        <w:rPr>
          <w:rStyle w:val="FootnoteReference"/>
        </w:rPr>
        <w:footnoteRef/>
      </w:r>
      <w:r>
        <w:t xml:space="preserve"> Cross-references for "On this": 2Kgs 18:31.</w:t>
      </w:r>
    </w:p>
  </w:footnote>
  <w:footnote w:id="5293">
    <w:p>
      <w:pPr>
        <w:pStyle w:val="FootnoteText"/>
      </w:pPr>
      <w:r>
        <w:rPr>
          <w:rStyle w:val="FootnoteReference"/>
        </w:rPr>
        <w:footnoteRef/>
      </w:r>
      <w:r>
        <w:t xml:space="preserve"> Cross-references for "to Gibeah": 1Sam 10:26; 1Sam 14:2.</w:t>
      </w:r>
    </w:p>
  </w:footnote>
  <w:footnote w:id="5294">
    <w:p>
      <w:pPr>
        <w:pStyle w:val="FootnoteText"/>
      </w:pPr>
      <w:r>
        <w:rPr>
          <w:rStyle w:val="FootnoteReference"/>
        </w:rPr>
        <w:footnoteRef/>
      </w:r>
      <w:r>
        <w:t xml:space="preserve"> Cross-references for "his anger": Exod 32:19; Num 12:3.</w:t>
      </w:r>
    </w:p>
  </w:footnote>
  <w:footnote w:id="5295">
    <w:p>
      <w:pPr>
        <w:pStyle w:val="FootnoteText"/>
      </w:pPr>
      <w:r>
        <w:rPr>
          <w:rStyle w:val="FootnoteReference"/>
        </w:rPr>
        <w:footnoteRef/>
      </w:r>
      <w:r>
        <w:t xml:space="preserve"> Cross-references for "he took": Judg 19:29.</w:t>
      </w:r>
    </w:p>
  </w:footnote>
  <w:footnote w:id="5296">
    <w:p>
      <w:pPr>
        <w:pStyle w:val="FootnoteText"/>
      </w:pPr>
      <w:r>
        <w:rPr>
          <w:rStyle w:val="FootnoteReference"/>
        </w:rPr>
        <w:footnoteRef/>
      </w:r>
      <w:r>
        <w:t xml:space="preserve"> Cross-references for "Bezek": Judg 1:4-5.</w:t>
      </w:r>
    </w:p>
  </w:footnote>
  <w:footnote w:id="5297">
    <w:p>
      <w:pPr>
        <w:pStyle w:val="FootnoteText"/>
      </w:pPr>
      <w:r>
        <w:rPr>
          <w:rStyle w:val="FootnoteReference"/>
        </w:rPr>
        <w:footnoteRef/>
      </w:r>
      <w:r>
        <w:t xml:space="preserve"> Translation note: Greek says tomorrow salvation is for you when the sun grows warm.</w:t>
      </w:r>
    </w:p>
  </w:footnote>
  <w:footnote w:id="5298">
    <w:p>
      <w:pPr>
        <w:pStyle w:val="FootnoteText"/>
      </w:pPr>
      <w:r>
        <w:rPr>
          <w:rStyle w:val="FootnoteReference"/>
        </w:rPr>
        <w:footnoteRef/>
      </w:r>
      <w:r>
        <w:t xml:space="preserve"> Translation note: Greek says three heads here. Current line keeps that wording.</w:t>
      </w:r>
    </w:p>
  </w:footnote>
  <w:footnote w:id="5299">
    <w:p>
      <w:pPr>
        <w:pStyle w:val="FootnoteText"/>
      </w:pPr>
      <w:r>
        <w:rPr>
          <w:rStyle w:val="FootnoteReference"/>
        </w:rPr>
        <w:footnoteRef/>
      </w:r>
      <w:r>
        <w:t xml:space="preserve"> Cross-references for "in three": Judg 7:16; Judg 9:43.</w:t>
      </w:r>
    </w:p>
  </w:footnote>
  <w:footnote w:id="5300">
    <w:p>
      <w:pPr>
        <w:pStyle w:val="FootnoteText"/>
      </w:pPr>
      <w:r>
        <w:rPr>
          <w:rStyle w:val="FootnoteReference"/>
        </w:rPr>
        <w:footnoteRef/>
      </w:r>
      <w:r>
        <w:t xml:space="preserve"> Translation note: Greek uses salvation language in Saul's mercy ruling. Current wording preserves it.</w:t>
      </w:r>
    </w:p>
  </w:footnote>
  <w:footnote w:id="5301">
    <w:p>
      <w:pPr>
        <w:pStyle w:val="FootnoteText"/>
      </w:pPr>
      <w:r>
        <w:rPr>
          <w:rStyle w:val="FootnoteReference"/>
        </w:rPr>
        <w:footnoteRef/>
      </w:r>
      <w:r>
        <w:t xml:space="preserve"> Cross-references for "the Lord": Exod 14:13; Exod 14:30.</w:t>
      </w:r>
    </w:p>
  </w:footnote>
  <w:footnote w:id="5302">
    <w:p>
      <w:pPr>
        <w:pStyle w:val="FootnoteText"/>
      </w:pPr>
      <w:r>
        <w:rPr>
          <w:rStyle w:val="FootnoteReference"/>
        </w:rPr>
        <w:footnoteRef/>
      </w:r>
      <w:r>
        <w:t xml:space="preserve"> Cross-references for "Let us go": 1Sam 7:16; 1Sam 10:8.</w:t>
      </w:r>
    </w:p>
  </w:footnote>
  <w:footnote w:id="5303">
    <w:p>
      <w:pPr>
        <w:pStyle w:val="FootnoteText"/>
      </w:pPr>
      <w:r>
        <w:rPr>
          <w:rStyle w:val="FootnoteReference"/>
        </w:rPr>
        <w:footnoteRef/>
      </w:r>
      <w:r>
        <w:t xml:space="preserve"> Cross-references for "before the Lord": 1Sam 10:17.</w:t>
      </w:r>
    </w:p>
  </w:footnote>
  <w:footnote w:id="5304">
    <w:p>
      <w:pPr>
        <w:pStyle w:val="FootnoteText"/>
      </w:pPr>
      <w:r>
        <w:rPr>
          <w:rStyle w:val="FootnoteReference"/>
        </w:rPr>
        <w:footnoteRef/>
      </w:r>
      <w:r>
        <w:t xml:space="preserve"> Translation note: Greek says peaceful ones here. Current line keeps that wording.</w:t>
      </w:r>
    </w:p>
  </w:footnote>
  <w:footnote w:id="5305">
    <w:p>
      <w:pPr>
        <w:pStyle w:val="FootnoteText"/>
      </w:pPr>
      <w:r>
        <w:rPr>
          <w:rStyle w:val="FootnoteReference"/>
        </w:rPr>
        <w:footnoteRef/>
      </w:r>
      <w:r>
        <w:t xml:space="preserve"> Cross-references for "Behold": 1Sam 8:5-8; 1Sam 8:19-22.</w:t>
      </w:r>
    </w:p>
  </w:footnote>
  <w:footnote w:id="5306">
    <w:p>
      <w:pPr>
        <w:pStyle w:val="FootnoteText"/>
      </w:pPr>
      <w:r>
        <w:rPr>
          <w:rStyle w:val="FootnoteReference"/>
        </w:rPr>
        <w:footnoteRef/>
      </w:r>
      <w:r>
        <w:t xml:space="preserve"> Cross-references for "my sons": 1Sam 2:22; 1Sam 2:29.</w:t>
      </w:r>
    </w:p>
  </w:footnote>
  <w:footnote w:id="5307">
    <w:p>
      <w:pPr>
        <w:pStyle w:val="FootnoteText"/>
      </w:pPr>
      <w:r>
        <w:rPr>
          <w:rStyle w:val="FootnoteReference"/>
        </w:rPr>
        <w:footnoteRef/>
      </w:r>
      <w:r>
        <w:t xml:space="preserve"> Cross-references for "his anointed": 1Sam 10:1; 1Sam 12:5.</w:t>
      </w:r>
    </w:p>
  </w:footnote>
  <w:footnote w:id="5308">
    <w:p>
      <w:pPr>
        <w:pStyle w:val="FootnoteText"/>
      </w:pPr>
      <w:r>
        <w:rPr>
          <w:rStyle w:val="FootnoteReference"/>
        </w:rPr>
        <w:footnoteRef/>
      </w:r>
      <w:r>
        <w:t xml:space="preserve"> Cross-references for "The Lord": Job 31:35-40; Job 42:7.</w:t>
      </w:r>
    </w:p>
  </w:footnote>
  <w:footnote w:id="5309">
    <w:p>
      <w:pPr>
        <w:pStyle w:val="FootnoteText"/>
      </w:pPr>
      <w:r>
        <w:rPr>
          <w:rStyle w:val="FootnoteReference"/>
        </w:rPr>
        <w:footnoteRef/>
      </w:r>
      <w:r>
        <w:t xml:space="preserve"> Cross-references for "Jacob": Gen 46:5-7; Num 20:15.</w:t>
      </w:r>
    </w:p>
  </w:footnote>
  <w:footnote w:id="5310">
    <w:p>
      <w:pPr>
        <w:pStyle w:val="FootnoteText"/>
      </w:pPr>
      <w:r>
        <w:rPr>
          <w:rStyle w:val="FootnoteReference"/>
        </w:rPr>
        <w:footnoteRef/>
      </w:r>
      <w:r>
        <w:t xml:space="preserve"> Translation note: Greek keeps the cried-out line before the sending of Moses and Aaron. Current wording preserves that retelling sequence.</w:t>
      </w:r>
    </w:p>
  </w:footnote>
  <w:footnote w:id="5311">
    <w:p>
      <w:pPr>
        <w:pStyle w:val="FootnoteText"/>
      </w:pPr>
      <w:r>
        <w:rPr>
          <w:rStyle w:val="FootnoteReference"/>
        </w:rPr>
        <w:footnoteRef/>
      </w:r>
      <w:r>
        <w:t xml:space="preserve"> Cross-references for "he sold": Deut 32:30; Judg 2:14.</w:t>
      </w:r>
    </w:p>
  </w:footnote>
  <w:footnote w:id="5312">
    <w:p>
      <w:pPr>
        <w:pStyle w:val="FootnoteText"/>
      </w:pPr>
      <w:r>
        <w:rPr>
          <w:rStyle w:val="FootnoteReference"/>
        </w:rPr>
        <w:footnoteRef/>
      </w:r>
      <w:r>
        <w:t xml:space="preserve"> Translation note: Greek preserves the royal-name form Asōr. The translation follows it.</w:t>
      </w:r>
    </w:p>
  </w:footnote>
  <w:footnote w:id="5313">
    <w:p>
      <w:pPr>
        <w:pStyle w:val="FootnoteText"/>
      </w:pPr>
      <w:r>
        <w:rPr>
          <w:rStyle w:val="FootnoteReference"/>
        </w:rPr>
        <w:footnoteRef/>
      </w:r>
      <w:r>
        <w:t xml:space="preserve"> Cross-references for "deliver": Judg 10:15-16; Isa 33:22.</w:t>
      </w:r>
    </w:p>
  </w:footnote>
  <w:footnote w:id="5314">
    <w:p>
      <w:pPr>
        <w:pStyle w:val="FootnoteText"/>
      </w:pPr>
      <w:r>
        <w:rPr>
          <w:rStyle w:val="FootnoteReference"/>
        </w:rPr>
        <w:footnoteRef/>
      </w:r>
      <w:r>
        <w:t xml:space="preserve"> Cross-references for "Jerubbaal": Judg 6:14; Judg 6:32.</w:t>
      </w:r>
    </w:p>
  </w:footnote>
  <w:footnote w:id="5315">
    <w:p>
      <w:pPr>
        <w:pStyle w:val="FootnoteText"/>
      </w:pPr>
      <w:r>
        <w:rPr>
          <w:rStyle w:val="FootnoteReference"/>
        </w:rPr>
        <w:footnoteRef/>
      </w:r>
      <w:r>
        <w:t xml:space="preserve"> Cross-references for "Nahash": 1Sam 11:1-2.</w:t>
      </w:r>
    </w:p>
  </w:footnote>
  <w:footnote w:id="5316">
    <w:p>
      <w:pPr>
        <w:pStyle w:val="FootnoteText"/>
      </w:pPr>
      <w:r>
        <w:rPr>
          <w:rStyle w:val="FootnoteReference"/>
        </w:rPr>
        <w:footnoteRef/>
      </w:r>
      <w:r>
        <w:t xml:space="preserve"> Cross-references for "behold": 1Sam 10:24; 1Sam 11:15.</w:t>
      </w:r>
    </w:p>
  </w:footnote>
  <w:footnote w:id="5317">
    <w:p>
      <w:pPr>
        <w:pStyle w:val="FootnoteText"/>
      </w:pPr>
      <w:r>
        <w:rPr>
          <w:rStyle w:val="FootnoteReference"/>
        </w:rPr>
        <w:footnoteRef/>
      </w:r>
      <w:r>
        <w:t xml:space="preserve"> Cross-references for "against": 1Sam 12:9.</w:t>
      </w:r>
    </w:p>
  </w:footnote>
  <w:footnote w:id="5318">
    <w:p>
      <w:pPr>
        <w:pStyle w:val="FootnoteText"/>
      </w:pPr>
      <w:r>
        <w:rPr>
          <w:rStyle w:val="FootnoteReference"/>
        </w:rPr>
        <w:footnoteRef/>
      </w:r>
      <w:r>
        <w:t xml:space="preserve"> Cross-references for "stand": Exod 14:13; Exod 14:31.</w:t>
      </w:r>
    </w:p>
  </w:footnote>
  <w:footnote w:id="5319">
    <w:p>
      <w:pPr>
        <w:pStyle w:val="FootnoteText"/>
      </w:pPr>
      <w:r>
        <w:rPr>
          <w:rStyle w:val="FootnoteReference"/>
        </w:rPr>
        <w:footnoteRef/>
      </w:r>
      <w:r>
        <w:t xml:space="preserve"> Cross-references for "Is it": 1Sam 12:16; Prov 26:1.</w:t>
      </w:r>
    </w:p>
  </w:footnote>
  <w:footnote w:id="5320">
    <w:p>
      <w:pPr>
        <w:pStyle w:val="FootnoteText"/>
      </w:pPr>
      <w:r>
        <w:rPr>
          <w:rStyle w:val="FootnoteReference"/>
        </w:rPr>
        <w:footnoteRef/>
      </w:r>
      <w:r>
        <w:t xml:space="preserve"> Translation note: Greek says voices here, not a smoother thunder paraphrase. Current line keeps that.</w:t>
      </w:r>
    </w:p>
  </w:footnote>
  <w:footnote w:id="5321">
    <w:p>
      <w:pPr>
        <w:pStyle w:val="FootnoteText"/>
      </w:pPr>
      <w:r>
        <w:rPr>
          <w:rStyle w:val="FootnoteReference"/>
        </w:rPr>
        <w:footnoteRef/>
      </w:r>
      <w:r>
        <w:t xml:space="preserve"> Cross-references for "feared": Exod 14:31; Ezra 10:9.</w:t>
      </w:r>
    </w:p>
  </w:footnote>
  <w:footnote w:id="5322">
    <w:p>
      <w:pPr>
        <w:pStyle w:val="FootnoteText"/>
      </w:pPr>
      <w:r>
        <w:rPr>
          <w:rStyle w:val="FootnoteReference"/>
        </w:rPr>
        <w:footnoteRef/>
      </w:r>
      <w:r>
        <w:t xml:space="preserve"> Cross-references for "the Lord": Deut 31:17; 1Kgs 6:13.</w:t>
      </w:r>
    </w:p>
  </w:footnote>
  <w:footnote w:id="5323">
    <w:p>
      <w:pPr>
        <w:pStyle w:val="FootnoteText"/>
      </w:pPr>
      <w:r>
        <w:rPr>
          <w:rStyle w:val="FootnoteReference"/>
        </w:rPr>
        <w:footnoteRef/>
      </w:r>
      <w:r>
        <w:t xml:space="preserve"> Cross-references for "the good": 1Kgs 8:36; 2Chr 6:27.</w:t>
      </w:r>
    </w:p>
  </w:footnote>
  <w:footnote w:id="5324">
    <w:p>
      <w:pPr>
        <w:pStyle w:val="FootnoteText"/>
      </w:pPr>
      <w:r>
        <w:rPr>
          <w:rStyle w:val="FootnoteReference"/>
        </w:rPr>
        <w:footnoteRef/>
      </w:r>
      <w:r>
        <w:t xml:space="preserve"> Cross-references for "fear the Lord": Exod 12:13; Job 28:28.</w:t>
      </w:r>
    </w:p>
  </w:footnote>
  <w:footnote w:id="5325">
    <w:p>
      <w:pPr>
        <w:pStyle w:val="FootnoteText"/>
      </w:pPr>
      <w:r>
        <w:rPr>
          <w:rStyle w:val="FootnoteReference"/>
        </w:rPr>
        <w:footnoteRef/>
      </w:r>
      <w:r>
        <w:t xml:space="preserve"> Cross-references for "But if": Deut 32:15-44; Josh 24:20.</w:t>
      </w:r>
    </w:p>
  </w:footnote>
  <w:footnote w:id="5326">
    <w:p>
      <w:pPr>
        <w:pStyle w:val="FootnoteText"/>
      </w:pPr>
      <w:r>
        <w:rPr>
          <w:rStyle w:val="FootnoteReference"/>
        </w:rPr>
        <w:footnoteRef/>
      </w:r>
      <w:r>
        <w:t xml:space="preserve"> Cross-references for "chose": 1Sam 8:11; 1Sam 14:52.</w:t>
      </w:r>
    </w:p>
  </w:footnote>
  <w:footnote w:id="5327">
    <w:p>
      <w:pPr>
        <w:pStyle w:val="FootnoteText"/>
      </w:pPr>
      <w:r>
        <w:rPr>
          <w:rStyle w:val="FootnoteReference"/>
        </w:rPr>
        <w:footnoteRef/>
      </w:r>
      <w:r>
        <w:t xml:space="preserve"> Place name: Michmash. Place-name meaning: Michmash — hidden; struck place. Source form: Michmash. Greek form: μαχεμας.</w:t>
      </w:r>
    </w:p>
  </w:footnote>
  <w:footnote w:id="5328">
    <w:p>
      <w:pPr>
        <w:pStyle w:val="FootnoteText"/>
      </w:pPr>
      <w:r>
        <w:rPr>
          <w:rStyle w:val="FootnoteReference"/>
        </w:rPr>
        <w:footnoteRef/>
      </w:r>
      <w:r>
        <w:t xml:space="preserve"> Name meaning: Jonathan (Yehonatan) — Yahweh has given. Saul's son and David's covenant friend.</w:t>
      </w:r>
    </w:p>
  </w:footnote>
  <w:footnote w:id="5329">
    <w:p>
      <w:pPr>
        <w:pStyle w:val="FootnoteText"/>
      </w:pPr>
      <w:r>
        <w:rPr>
          <w:rStyle w:val="FootnoteReference"/>
        </w:rPr>
        <w:footnoteRef/>
      </w:r>
      <w:r>
        <w:t xml:space="preserve"> Cross-references for "blew": Judg 3:27; Judg 6:34.</w:t>
      </w:r>
    </w:p>
  </w:footnote>
  <w:footnote w:id="5330">
    <w:p>
      <w:pPr>
        <w:pStyle w:val="FootnoteText"/>
      </w:pPr>
      <w:r>
        <w:rPr>
          <w:rStyle w:val="FootnoteReference"/>
        </w:rPr>
        <w:footnoteRef/>
      </w:r>
      <w:r>
        <w:t xml:space="preserve"> Translation note: Greek says opposite Baithon toward the south.</w:t>
      </w:r>
    </w:p>
  </w:footnote>
  <w:footnote w:id="5331">
    <w:p>
      <w:pPr>
        <w:pStyle w:val="FootnoteText"/>
      </w:pPr>
      <w:r>
        <w:rPr>
          <w:rStyle w:val="FootnoteReference"/>
        </w:rPr>
        <w:footnoteRef/>
      </w:r>
      <w:r>
        <w:t xml:space="preserve"> Cross-references for "he offered": Deut 12:6; 1Sam 13:12-13.</w:t>
      </w:r>
    </w:p>
  </w:footnote>
  <w:footnote w:id="5332">
    <w:p>
      <w:pPr>
        <w:pStyle w:val="FootnoteText"/>
      </w:pPr>
      <w:r>
        <w:rPr>
          <w:rStyle w:val="FootnoteReference"/>
        </w:rPr>
        <w:footnoteRef/>
      </w:r>
      <w:r>
        <w:t xml:space="preserve"> Cross-references for "Saul": 1Sam 15:13.</w:t>
      </w:r>
    </w:p>
  </w:footnote>
  <w:footnote w:id="5333">
    <w:p>
      <w:pPr>
        <w:pStyle w:val="FootnoteText"/>
      </w:pPr>
      <w:r>
        <w:rPr>
          <w:rStyle w:val="FootnoteReference"/>
        </w:rPr>
        <w:footnoteRef/>
      </w:r>
      <w:r>
        <w:t xml:space="preserve"> Cross-references for "Michmash": 1Sam 13:2; 1Sam 13:5.</w:t>
      </w:r>
    </w:p>
  </w:footnote>
  <w:footnote w:id="5334">
    <w:p>
      <w:pPr>
        <w:pStyle w:val="FootnoteText"/>
      </w:pPr>
      <w:r>
        <w:rPr>
          <w:rStyle w:val="FootnoteReference"/>
        </w:rPr>
        <w:footnoteRef/>
      </w:r>
      <w:r>
        <w:t xml:space="preserve"> Cross-references for "I forced": 1Sam 21:7; Ps 66:3.</w:t>
      </w:r>
    </w:p>
  </w:footnote>
  <w:footnote w:id="5335">
    <w:p>
      <w:pPr>
        <w:pStyle w:val="FootnoteText"/>
      </w:pPr>
      <w:r>
        <w:rPr>
          <w:rStyle w:val="FootnoteReference"/>
        </w:rPr>
        <w:footnoteRef/>
      </w:r>
      <w:r>
        <w:t xml:space="preserve"> Cross-references for "the Lord": 1Sam 16:1; 1Sam 16:12.</w:t>
      </w:r>
    </w:p>
  </w:footnote>
  <w:footnote w:id="5336">
    <w:p>
      <w:pPr>
        <w:pStyle w:val="FootnoteText"/>
      </w:pPr>
      <w:r>
        <w:rPr>
          <w:rStyle w:val="FootnoteReference"/>
        </w:rPr>
        <w:footnoteRef/>
      </w:r>
      <w:r>
        <w:t xml:space="preserve"> Translation note: Greek says the Lord will seek for himself a man according to his heart.</w:t>
      </w:r>
    </w:p>
  </w:footnote>
  <w:footnote w:id="5337">
    <w:p>
      <w:pPr>
        <w:pStyle w:val="FootnoteText"/>
      </w:pPr>
      <w:r>
        <w:rPr>
          <w:rStyle w:val="FootnoteReference"/>
        </w:rPr>
        <w:footnoteRef/>
      </w:r>
      <w:r>
        <w:t xml:space="preserve"> Cross-references for "about six": 1Sam 13:2; 1Sam 13:6-7.</w:t>
      </w:r>
    </w:p>
  </w:footnote>
  <w:footnote w:id="5338">
    <w:p>
      <w:pPr>
        <w:pStyle w:val="FootnoteText"/>
      </w:pPr>
      <w:r>
        <w:rPr>
          <w:rStyle w:val="FootnoteReference"/>
        </w:rPr>
        <w:footnoteRef/>
      </w:r>
      <w:r>
        <w:t xml:space="preserve"> Cross-references for "Gibeah": 1Sam 13:3.</w:t>
      </w:r>
    </w:p>
  </w:footnote>
  <w:footnote w:id="5339">
    <w:p>
      <w:pPr>
        <w:pStyle w:val="FootnoteText"/>
      </w:pPr>
      <w:r>
        <w:rPr>
          <w:rStyle w:val="FootnoteReference"/>
        </w:rPr>
        <w:footnoteRef/>
      </w:r>
      <w:r>
        <w:t xml:space="preserve"> Cross-references for "in three companies": 1Sam 11:11.</w:t>
      </w:r>
    </w:p>
  </w:footnote>
  <w:footnote w:id="5340">
    <w:p>
      <w:pPr>
        <w:pStyle w:val="FootnoteText"/>
      </w:pPr>
      <w:r>
        <w:rPr>
          <w:rStyle w:val="FootnoteReference"/>
        </w:rPr>
        <w:footnoteRef/>
      </w:r>
      <w:r>
        <w:t xml:space="preserve"> Transliterated proper noun: Ophrah. Standard English equivalent: Ophrah. Source form: Ophrah. Greek form: γοφερα. Name meaning: dust; lead; a fawn.</w:t>
      </w:r>
    </w:p>
  </w:footnote>
  <w:footnote w:id="5341">
    <w:p>
      <w:pPr>
        <w:pStyle w:val="FootnoteText"/>
      </w:pPr>
      <w:r>
        <w:rPr>
          <w:rStyle w:val="FootnoteReference"/>
        </w:rPr>
        <w:footnoteRef/>
      </w:r>
      <w:r>
        <w:t xml:space="preserve"> Place name: Shual. Place-name meaning: Shual — fox; path; first. Source form: Shual. Greek form: σωγαλ.</w:t>
      </w:r>
    </w:p>
  </w:footnote>
  <w:footnote w:id="5342">
    <w:p>
      <w:pPr>
        <w:pStyle w:val="FootnoteText"/>
      </w:pPr>
      <w:r>
        <w:rPr>
          <w:rStyle w:val="FootnoteReference"/>
        </w:rPr>
        <w:footnoteRef/>
      </w:r>
      <w:r>
        <w:t xml:space="preserve"> Cross-references for "Bethhoron": Josh 10:11; Josh 16:3.</w:t>
      </w:r>
    </w:p>
  </w:footnote>
  <w:footnote w:id="5343">
    <w:p>
      <w:pPr>
        <w:pStyle w:val="FootnoteText"/>
      </w:pPr>
      <w:r>
        <w:rPr>
          <w:rStyle w:val="FootnoteReference"/>
        </w:rPr>
        <w:footnoteRef/>
      </w:r>
      <w:r>
        <w:t xml:space="preserve"> MT/LXX note: The Septuagint preserves place names that differ from the Masoretic geography here. The translation follows the Greek forms.</w:t>
      </w:r>
    </w:p>
  </w:footnote>
  <w:footnote w:id="5344">
    <w:p>
      <w:pPr>
        <w:pStyle w:val="FootnoteText"/>
      </w:pPr>
      <w:r>
        <w:rPr>
          <w:rStyle w:val="FootnoteReference"/>
        </w:rPr>
        <w:footnoteRef/>
      </w:r>
      <w:r>
        <w:t xml:space="preserve"> Translation note: Greek says days of war at Machmas.</w:t>
      </w:r>
    </w:p>
  </w:footnote>
  <w:footnote w:id="5345">
    <w:p>
      <w:pPr>
        <w:pStyle w:val="FootnoteText"/>
      </w:pPr>
      <w:r>
        <w:rPr>
          <w:rStyle w:val="FootnoteReference"/>
        </w:rPr>
        <w:footnoteRef/>
      </w:r>
      <w:r>
        <w:t xml:space="preserve"> Cross-references for "Jonathan": 1Sam 13:2; 1Sam 13:22.</w:t>
      </w:r>
    </w:p>
  </w:footnote>
  <w:footnote w:id="5346">
    <w:p>
      <w:pPr>
        <w:pStyle w:val="FootnoteText"/>
      </w:pPr>
      <w:r>
        <w:rPr>
          <w:rStyle w:val="FootnoteReference"/>
        </w:rPr>
        <w:footnoteRef/>
      </w:r>
      <w:r>
        <w:t xml:space="preserve"> Translation note: Greek says station of the foreigners.</w:t>
      </w:r>
    </w:p>
  </w:footnote>
  <w:footnote w:id="5347">
    <w:p>
      <w:pPr>
        <w:pStyle w:val="FootnoteText"/>
      </w:pPr>
      <w:r>
        <w:rPr>
          <w:rStyle w:val="FootnoteReference"/>
        </w:rPr>
        <w:footnoteRef/>
      </w:r>
      <w:r>
        <w:t xml:space="preserve"> Place name: Migron. Place-name meaning: Migron — fear; farm; throat. Source form: Migron. Greek form: μαγδων.</w:t>
      </w:r>
    </w:p>
  </w:footnote>
  <w:footnote w:id="5348">
    <w:p>
      <w:pPr>
        <w:pStyle w:val="FootnoteText"/>
      </w:pPr>
      <w:r>
        <w:rPr>
          <w:rStyle w:val="FootnoteReference"/>
        </w:rPr>
        <w:footnoteRef/>
      </w:r>
      <w:r>
        <w:t xml:space="preserve"> Personal name: Ahijah. Personal-name meaning: Ahijah — same with Ahiah. Source form: Ahijah.</w:t>
      </w:r>
    </w:p>
  </w:footnote>
  <w:footnote w:id="5349">
    <w:p>
      <w:pPr>
        <w:pStyle w:val="FootnoteText"/>
      </w:pPr>
      <w:r>
        <w:rPr>
          <w:rStyle w:val="FootnoteReference"/>
        </w:rPr>
        <w:footnoteRef/>
      </w:r>
      <w:r>
        <w:t xml:space="preserve"> Personal name: Ahitub. Personal-name meaning: Ahitub — brother of goodness. Source form: Ahitub.</w:t>
      </w:r>
    </w:p>
  </w:footnote>
  <w:footnote w:id="5350">
    <w:p>
      <w:pPr>
        <w:pStyle w:val="FootnoteText"/>
      </w:pPr>
      <w:r>
        <w:rPr>
          <w:rStyle w:val="FootnoteReference"/>
        </w:rPr>
        <w:footnoteRef/>
      </w:r>
      <w:r>
        <w:t xml:space="preserve"> Place name: Bozez. Place-name meaning: Bozez — mud; bog. Source form: Bozez. Greek form: βαζες.</w:t>
      </w:r>
    </w:p>
  </w:footnote>
  <w:footnote w:id="5351">
    <w:p>
      <w:pPr>
        <w:pStyle w:val="FootnoteText"/>
      </w:pPr>
      <w:r>
        <w:rPr>
          <w:rStyle w:val="FootnoteReference"/>
        </w:rPr>
        <w:footnoteRef/>
      </w:r>
      <w:r>
        <w:t xml:space="preserve"> Cross-references for "uncircumcised": Gen 17:7-11; Judg 15:18.</w:t>
      </w:r>
    </w:p>
  </w:footnote>
  <w:footnote w:id="5352">
    <w:p>
      <w:pPr>
        <w:pStyle w:val="FootnoteText"/>
      </w:pPr>
      <w:r>
        <w:rPr>
          <w:rStyle w:val="FootnoteReference"/>
        </w:rPr>
        <w:footnoteRef/>
      </w:r>
      <w:r>
        <w:t xml:space="preserve"> Translation note: Greek uses a term that can be kept neutrally as station or post. The translation avoids overcommitting to a less certain place-name reading.</w:t>
      </w:r>
    </w:p>
  </w:footnote>
  <w:footnote w:id="5353">
    <w:p>
      <w:pPr>
        <w:pStyle w:val="FootnoteText"/>
      </w:pPr>
      <w:r>
        <w:rPr>
          <w:rStyle w:val="FootnoteReference"/>
        </w:rPr>
        <w:footnoteRef/>
      </w:r>
      <w:r>
        <w:t xml:space="preserve"> Cross-references for "Come up to us": 1Sam 14:10; 1Sam 17:43-44.</w:t>
      </w:r>
    </w:p>
  </w:footnote>
  <w:footnote w:id="5354">
    <w:p>
      <w:pPr>
        <w:pStyle w:val="FootnoteText"/>
      </w:pPr>
      <w:r>
        <w:rPr>
          <w:rStyle w:val="FootnoteReference"/>
        </w:rPr>
        <w:footnoteRef/>
      </w:r>
      <w:r>
        <w:t xml:space="preserve"> Translation note: Greek says the slaves who were with the foreigners yesterday and the third day.</w:t>
      </w:r>
    </w:p>
  </w:footnote>
  <w:footnote w:id="5355">
    <w:p>
      <w:pPr>
        <w:pStyle w:val="FootnoteText"/>
      </w:pPr>
      <w:r>
        <w:rPr>
          <w:rStyle w:val="FootnoteReference"/>
        </w:rPr>
        <w:footnoteRef/>
      </w:r>
      <w:r>
        <w:t xml:space="preserve"> Cross-references for "the Lord": Exod 14:30; Judg 2:18.</w:t>
      </w:r>
    </w:p>
  </w:footnote>
  <w:footnote w:id="5356">
    <w:p>
      <w:pPr>
        <w:pStyle w:val="FootnoteText"/>
      </w:pPr>
      <w:r>
        <w:rPr>
          <w:rStyle w:val="FootnoteReference"/>
        </w:rPr>
        <w:footnoteRef/>
      </w:r>
      <w:r>
        <w:t xml:space="preserve"> Cross-references for "Cursed": Lev 27:29; Num 21:2.</w:t>
      </w:r>
    </w:p>
  </w:footnote>
  <w:footnote w:id="5357">
    <w:p>
      <w:pPr>
        <w:pStyle w:val="FootnoteText"/>
      </w:pPr>
      <w:r>
        <w:rPr>
          <w:rStyle w:val="FootnoteReference"/>
        </w:rPr>
        <w:footnoteRef/>
      </w:r>
      <w:r>
        <w:t xml:space="preserve"> Translation note: Greek says Saul committed great ignorance.</w:t>
      </w:r>
    </w:p>
  </w:footnote>
  <w:footnote w:id="5358">
    <w:p>
      <w:pPr>
        <w:pStyle w:val="FootnoteText"/>
      </w:pPr>
      <w:r>
        <w:rPr>
          <w:rStyle w:val="FootnoteReference"/>
        </w:rPr>
        <w:footnoteRef/>
      </w:r>
      <w:r>
        <w:t xml:space="preserve"> Cross-references for "his eyes": 1Sam 14:29; 1Sam 30:12.</w:t>
      </w:r>
    </w:p>
  </w:footnote>
  <w:footnote w:id="5359">
    <w:p>
      <w:pPr>
        <w:pStyle w:val="FootnoteText"/>
      </w:pPr>
      <w:r>
        <w:rPr>
          <w:rStyle w:val="FootnoteReference"/>
        </w:rPr>
        <w:footnoteRef/>
      </w:r>
      <w:r>
        <w:t xml:space="preserve"> Translation note: Greek says his eyes saw again.</w:t>
      </w:r>
    </w:p>
  </w:footnote>
  <w:footnote w:id="5360">
    <w:p>
      <w:pPr>
        <w:pStyle w:val="FootnoteText"/>
      </w:pPr>
      <w:r>
        <w:rPr>
          <w:rStyle w:val="FootnoteReference"/>
        </w:rPr>
        <w:footnoteRef/>
      </w:r>
      <w:r>
        <w:t xml:space="preserve"> Cross-references for "Cursed": 1Sam 14:24; 1Sam 14:43.</w:t>
      </w:r>
    </w:p>
  </w:footnote>
  <w:footnote w:id="5361">
    <w:p>
      <w:pPr>
        <w:pStyle w:val="FootnoteText"/>
      </w:pPr>
      <w:r>
        <w:rPr>
          <w:rStyle w:val="FootnoteReference"/>
        </w:rPr>
        <w:footnoteRef/>
      </w:r>
      <w:r>
        <w:t xml:space="preserve"> Cross-references for "My father": 1Kgs 18:18.</w:t>
      </w:r>
    </w:p>
  </w:footnote>
  <w:footnote w:id="5362">
    <w:p>
      <w:pPr>
        <w:pStyle w:val="FootnoteText"/>
      </w:pPr>
      <w:r>
        <w:rPr>
          <w:rStyle w:val="FootnoteReference"/>
        </w:rPr>
        <w:footnoteRef/>
      </w:r>
      <w:r>
        <w:t xml:space="preserve"> Translation note: Greek says by eating with the blood.</w:t>
      </w:r>
    </w:p>
  </w:footnote>
  <w:footnote w:id="5363">
    <w:p>
      <w:pPr>
        <w:pStyle w:val="FootnoteText"/>
      </w:pPr>
      <w:r>
        <w:rPr>
          <w:rStyle w:val="FootnoteReference"/>
        </w:rPr>
        <w:footnoteRef/>
      </w:r>
      <w:r>
        <w:t xml:space="preserve"> Cross-references for "built": Judg 21:4; 1Sam 7:9.</w:t>
      </w:r>
    </w:p>
  </w:footnote>
  <w:footnote w:id="5364">
    <w:p>
      <w:pPr>
        <w:pStyle w:val="FootnoteText"/>
      </w:pPr>
      <w:r>
        <w:rPr>
          <w:rStyle w:val="FootnoteReference"/>
        </w:rPr>
        <w:footnoteRef/>
      </w:r>
      <w:r>
        <w:t xml:space="preserve"> Cross-references for "Let us go": Josh 10:9-14; Josh 10:19.</w:t>
      </w:r>
    </w:p>
  </w:footnote>
  <w:footnote w:id="5365">
    <w:p>
      <w:pPr>
        <w:pStyle w:val="FootnoteText"/>
      </w:pPr>
      <w:r>
        <w:rPr>
          <w:rStyle w:val="FootnoteReference"/>
        </w:rPr>
        <w:footnoteRef/>
      </w:r>
      <w:r>
        <w:t xml:space="preserve"> Translation note: Greek says here to God directly. The translation keeps that compact form.</w:t>
      </w:r>
    </w:p>
  </w:footnote>
  <w:footnote w:id="5366">
    <w:p>
      <w:pPr>
        <w:pStyle w:val="FootnoteText"/>
      </w:pPr>
      <w:r>
        <w:rPr>
          <w:rStyle w:val="FootnoteReference"/>
        </w:rPr>
        <w:footnoteRef/>
      </w:r>
      <w:r>
        <w:t xml:space="preserve"> Cross-references for "Shall I go": Judg 1:1; Judg 20:18.</w:t>
      </w:r>
    </w:p>
  </w:footnote>
  <w:footnote w:id="5367">
    <w:p>
      <w:pPr>
        <w:pStyle w:val="FootnoteText"/>
      </w:pPr>
      <w:r>
        <w:rPr>
          <w:rStyle w:val="FootnoteReference"/>
        </w:rPr>
        <w:footnoteRef/>
      </w:r>
      <w:r>
        <w:t xml:space="preserve"> Cross-references for "And Saul": Josh 7:16-18; 1Sam 10:20-21.</w:t>
      </w:r>
    </w:p>
  </w:footnote>
  <w:footnote w:id="5368">
    <w:p>
      <w:pPr>
        <w:pStyle w:val="FootnoteText"/>
      </w:pPr>
      <w:r>
        <w:rPr>
          <w:rStyle w:val="FootnoteReference"/>
        </w:rPr>
        <w:footnoteRef/>
      </w:r>
      <w:r>
        <w:t xml:space="preserve"> Cross-references for "Tell me": Josh 7:19; Jonah 1:7-10.</w:t>
      </w:r>
    </w:p>
  </w:footnote>
  <w:footnote w:id="5369">
    <w:p>
      <w:pPr>
        <w:pStyle w:val="FootnoteText"/>
      </w:pPr>
      <w:r>
        <w:rPr>
          <w:rStyle w:val="FootnoteReference"/>
        </w:rPr>
        <w:footnoteRef/>
      </w:r>
      <w:r>
        <w:t xml:space="preserve"> Translation note: Greek says great salvation here. Current line keeps that wording.</w:t>
      </w:r>
    </w:p>
  </w:footnote>
  <w:footnote w:id="5370">
    <w:p>
      <w:pPr>
        <w:pStyle w:val="FootnoteText"/>
      </w:pPr>
      <w:r>
        <w:rPr>
          <w:rStyle w:val="FootnoteReference"/>
        </w:rPr>
        <w:footnoteRef/>
      </w:r>
      <w:r>
        <w:t xml:space="preserve"> Cross-references for "Saul": 1Sam 13:1.</w:t>
      </w:r>
    </w:p>
  </w:footnote>
  <w:footnote w:id="5371">
    <w:p>
      <w:pPr>
        <w:pStyle w:val="FootnoteText"/>
      </w:pPr>
      <w:r>
        <w:rPr>
          <w:rStyle w:val="FootnoteReference"/>
        </w:rPr>
        <w:footnoteRef/>
      </w:r>
      <w:r>
        <w:t xml:space="preserve"> Translation note: Greek says took up rule and wherever he turned he was being saved.</w:t>
      </w:r>
    </w:p>
  </w:footnote>
  <w:footnote w:id="5372">
    <w:p>
      <w:pPr>
        <w:pStyle w:val="FootnoteText"/>
      </w:pPr>
      <w:r>
        <w:rPr>
          <w:rStyle w:val="FootnoteReference"/>
        </w:rPr>
        <w:footnoteRef/>
      </w:r>
      <w:r>
        <w:t xml:space="preserve"> Cross-references for "Jonathan": 1Sam 31:2; 1Chr 8:33.</w:t>
      </w:r>
    </w:p>
  </w:footnote>
  <w:footnote w:id="5373">
    <w:p>
      <w:pPr>
        <w:pStyle w:val="FootnoteText"/>
      </w:pPr>
      <w:r>
        <w:rPr>
          <w:rStyle w:val="FootnoteReference"/>
        </w:rPr>
        <w:footnoteRef/>
      </w:r>
      <w:r>
        <w:t xml:space="preserve"> Transliterated proper noun: Melchishua. Standard English equivalent: Melchishua. Source form: Melchishua. Greek form: μελχισα. Name meaning: king of help; my king saves.</w:t>
      </w:r>
    </w:p>
  </w:footnote>
  <w:footnote w:id="5374">
    <w:p>
      <w:pPr>
        <w:pStyle w:val="FootnoteText"/>
      </w:pPr>
      <w:r>
        <w:rPr>
          <w:rStyle w:val="FootnoteReference"/>
        </w:rPr>
        <w:footnoteRef/>
      </w:r>
      <w:r>
        <w:t xml:space="preserve"> Personal name: Merab. Personal-name meaning: Merab — he that fights or disputes. Source form: Merab.</w:t>
      </w:r>
    </w:p>
  </w:footnote>
  <w:footnote w:id="5375">
    <w:p>
      <w:pPr>
        <w:pStyle w:val="FootnoteText"/>
      </w:pPr>
      <w:r>
        <w:rPr>
          <w:rStyle w:val="FootnoteReference"/>
        </w:rPr>
        <w:footnoteRef/>
      </w:r>
      <w:r>
        <w:t xml:space="preserve"> Personal name: Michal. Personal-name meaning: Michal — who is perfect?. Source form: Michal.</w:t>
      </w:r>
    </w:p>
  </w:footnote>
  <w:footnote w:id="5376">
    <w:p>
      <w:pPr>
        <w:pStyle w:val="FootnoteText"/>
      </w:pPr>
      <w:r>
        <w:rPr>
          <w:rStyle w:val="FootnoteReference"/>
        </w:rPr>
        <w:footnoteRef/>
      </w:r>
      <w:r>
        <w:t xml:space="preserve"> Personal name: Ahinoam. Personal-name meaning: Ahinoam — beauty of the brother; brother of motion. Source form: Ahinoam.</w:t>
      </w:r>
    </w:p>
  </w:footnote>
  <w:footnote w:id="5377">
    <w:p>
      <w:pPr>
        <w:pStyle w:val="FootnoteText"/>
      </w:pPr>
      <w:r>
        <w:rPr>
          <w:rStyle w:val="FootnoteReference"/>
        </w:rPr>
        <w:footnoteRef/>
      </w:r>
      <w:r>
        <w:t xml:space="preserve"> Personal name: Ahimaaz. Personal-name meaning: Ahimaaz — a brother of the council. Source form: Ahimaaz.</w:t>
      </w:r>
    </w:p>
  </w:footnote>
  <w:footnote w:id="5378">
    <w:p>
      <w:pPr>
        <w:pStyle w:val="FootnoteText"/>
      </w:pPr>
      <w:r>
        <w:rPr>
          <w:rStyle w:val="FootnoteReference"/>
        </w:rPr>
        <w:footnoteRef/>
      </w:r>
      <w:r>
        <w:t xml:space="preserve"> Name meaning: Abner (Avner) — Father is a lamp. Commander in Saul's house whose name carries light/father imagery.</w:t>
      </w:r>
    </w:p>
  </w:footnote>
  <w:footnote w:id="5379">
    <w:p>
      <w:pPr>
        <w:pStyle w:val="FootnoteText"/>
      </w:pPr>
      <w:r>
        <w:rPr>
          <w:rStyle w:val="FootnoteReference"/>
        </w:rPr>
        <w:footnoteRef/>
      </w:r>
      <w:r>
        <w:t xml:space="preserve"> Personal name: Ner. Personal-name meaning: Ner — a lamp; new-tilled land. Source form: Ner.</w:t>
      </w:r>
    </w:p>
  </w:footnote>
  <w:footnote w:id="5380">
    <w:p>
      <w:pPr>
        <w:pStyle w:val="FootnoteText"/>
      </w:pPr>
      <w:r>
        <w:rPr>
          <w:rStyle w:val="FootnoteReference"/>
        </w:rPr>
        <w:footnoteRef/>
      </w:r>
      <w:r>
        <w:t xml:space="preserve"> Cross-references for "Kish": 1Sam 9:1; 1Sam 9:21.</w:t>
      </w:r>
    </w:p>
  </w:footnote>
  <w:footnote w:id="5381">
    <w:p>
      <w:pPr>
        <w:pStyle w:val="FootnoteText"/>
      </w:pPr>
      <w:r>
        <w:rPr>
          <w:rStyle w:val="FootnoteReference"/>
        </w:rPr>
        <w:footnoteRef/>
      </w:r>
      <w:r>
        <w:t xml:space="preserve"> Cross-references for "when Saul": 1Sam 8:1; 1Sam 8:11.</w:t>
      </w:r>
    </w:p>
  </w:footnote>
  <w:footnote w:id="5382">
    <w:p>
      <w:pPr>
        <w:pStyle w:val="FootnoteText"/>
      </w:pPr>
      <w:r>
        <w:rPr>
          <w:rStyle w:val="FootnoteReference"/>
        </w:rPr>
        <w:footnoteRef/>
      </w:r>
      <w:r>
        <w:t xml:space="preserve"> Cross-references for "The Lord": 1Sam 9:16; 1Sam 10:1.</w:t>
      </w:r>
    </w:p>
  </w:footnote>
  <w:footnote w:id="5383">
    <w:p>
      <w:pPr>
        <w:pStyle w:val="FootnoteText"/>
      </w:pPr>
      <w:r>
        <w:rPr>
          <w:rStyle w:val="FootnoteReference"/>
        </w:rPr>
        <w:footnoteRef/>
      </w:r>
      <w:r>
        <w:t xml:space="preserve"> Greek LXX divine name/title: Kyrios Sabaoth (Κύριος Σαβαώθ) — Lord of hosts. Common English rendering: Lord of hosts. The LXX uses Kyrios Sabaoth for the hosts title; the main text translates it as Lord of hosts.</w:t>
      </w:r>
    </w:p>
  </w:footnote>
  <w:footnote w:id="5384">
    <w:p>
      <w:pPr>
        <w:pStyle w:val="FootnoteText"/>
      </w:pPr>
      <w:r>
        <w:rPr>
          <w:rStyle w:val="FootnoteReference"/>
        </w:rPr>
        <w:footnoteRef/>
      </w:r>
      <w:r>
        <w:t xml:space="preserve"> Cross-references for "Amalek": Exod 17:8-16; Num 24:20.</w:t>
      </w:r>
    </w:p>
  </w:footnote>
  <w:footnote w:id="5385">
    <w:p>
      <w:pPr>
        <w:pStyle w:val="FootnoteText"/>
      </w:pPr>
      <w:r>
        <w:rPr>
          <w:rStyle w:val="FootnoteReference"/>
        </w:rPr>
        <w:footnoteRef/>
      </w:r>
      <w:r>
        <w:t xml:space="preserve"> Cross-references for "utterly destroy": Lev 27:28-29; Num 24:20.</w:t>
      </w:r>
    </w:p>
  </w:footnote>
  <w:footnote w:id="5386">
    <w:p>
      <w:pPr>
        <w:pStyle w:val="FootnoteText"/>
      </w:pPr>
      <w:r>
        <w:rPr>
          <w:rStyle w:val="FootnoteReference"/>
        </w:rPr>
        <w:footnoteRef/>
      </w:r>
      <w:r>
        <w:t xml:space="preserve"> Cross-references for "the Kenites": Num 24:21-22; Judg 1:16.</w:t>
      </w:r>
    </w:p>
  </w:footnote>
  <w:footnote w:id="5387">
    <w:p>
      <w:pPr>
        <w:pStyle w:val="FootnoteText"/>
      </w:pPr>
      <w:r>
        <w:rPr>
          <w:rStyle w:val="FootnoteReference"/>
        </w:rPr>
        <w:footnoteRef/>
      </w:r>
      <w:r>
        <w:t xml:space="preserve"> Translation note: Greek says add you with him and worked mercy.</w:t>
      </w:r>
    </w:p>
  </w:footnote>
  <w:footnote w:id="5388">
    <w:p>
      <w:pPr>
        <w:pStyle w:val="FootnoteText"/>
      </w:pPr>
      <w:r>
        <w:rPr>
          <w:rStyle w:val="FootnoteReference"/>
        </w:rPr>
        <w:footnoteRef/>
      </w:r>
      <w:r>
        <w:t xml:space="preserve"> Cross-references for "Havilah": Gen 2:11; Gen 25:18.</w:t>
      </w:r>
    </w:p>
  </w:footnote>
  <w:footnote w:id="5389">
    <w:p>
      <w:pPr>
        <w:pStyle w:val="FootnoteText"/>
      </w:pPr>
      <w:r>
        <w:rPr>
          <w:rStyle w:val="FootnoteReference"/>
        </w:rPr>
        <w:footnoteRef/>
      </w:r>
      <w:r>
        <w:t xml:space="preserve"> Personal name: Agag. Personal-name meaning: Agag — roof; upper floor. Source form: Agag.</w:t>
      </w:r>
    </w:p>
  </w:footnote>
  <w:footnote w:id="5390">
    <w:p>
      <w:pPr>
        <w:pStyle w:val="FootnoteText"/>
      </w:pPr>
      <w:r>
        <w:rPr>
          <w:rStyle w:val="FootnoteReference"/>
        </w:rPr>
        <w:footnoteRef/>
      </w:r>
      <w:r>
        <w:t xml:space="preserve"> Cross-references for "Agag": Num 24:7; 1Sam 15:3.</w:t>
      </w:r>
    </w:p>
  </w:footnote>
  <w:footnote w:id="5391">
    <w:p>
      <w:pPr>
        <w:pStyle w:val="FootnoteText"/>
      </w:pPr>
      <w:r>
        <w:rPr>
          <w:rStyle w:val="FootnoteReference"/>
        </w:rPr>
        <w:footnoteRef/>
      </w:r>
      <w:r>
        <w:t xml:space="preserve"> MT/LXX note: Greek says foods and vineyards here rather than the familiar MT inventory.</w:t>
      </w:r>
    </w:p>
  </w:footnote>
  <w:footnote w:id="5392">
    <w:p>
      <w:pPr>
        <w:pStyle w:val="FootnoteText"/>
      </w:pPr>
      <w:r>
        <w:rPr>
          <w:rStyle w:val="FootnoteReference"/>
        </w:rPr>
        <w:footnoteRef/>
      </w:r>
      <w:r>
        <w:t xml:space="preserve"> Cross-references for "turned": Josh 22:16; 1Kgs 9:6.</w:t>
      </w:r>
    </w:p>
  </w:footnote>
  <w:footnote w:id="5393">
    <w:p>
      <w:pPr>
        <w:pStyle w:val="FootnoteText"/>
      </w:pPr>
      <w:r>
        <w:rPr>
          <w:rStyle w:val="FootnoteReference"/>
        </w:rPr>
        <w:footnoteRef/>
      </w:r>
      <w:r>
        <w:t xml:space="preserve"> Cross-references for "Carmel": Josh 15:55; 1Sam 25:2.</w:t>
      </w:r>
    </w:p>
  </w:footnote>
  <w:footnote w:id="5394">
    <w:p>
      <w:pPr>
        <w:pStyle w:val="FootnoteText"/>
      </w:pPr>
      <w:r>
        <w:rPr>
          <w:rStyle w:val="FootnoteReference"/>
        </w:rPr>
        <w:footnoteRef/>
      </w:r>
      <w:r>
        <w:t xml:space="preserve"> Translation note: Greek uses a raised-a-hand idiom here. Current wording preserves it.</w:t>
      </w:r>
    </w:p>
  </w:footnote>
  <w:footnote w:id="5395">
    <w:p>
      <w:pPr>
        <w:pStyle w:val="FootnoteText"/>
      </w:pPr>
      <w:r>
        <w:rPr>
          <w:rStyle w:val="FootnoteReference"/>
        </w:rPr>
        <w:footnoteRef/>
      </w:r>
      <w:r>
        <w:t xml:space="preserve"> Cross-references for "Blessed": Gen 14:19; Judg 17:2.</w:t>
      </w:r>
    </w:p>
  </w:footnote>
  <w:footnote w:id="5396">
    <w:p>
      <w:pPr>
        <w:pStyle w:val="FootnoteText"/>
      </w:pPr>
      <w:r>
        <w:rPr>
          <w:rStyle w:val="FootnoteReference"/>
        </w:rPr>
        <w:footnoteRef/>
      </w:r>
      <w:r>
        <w:t xml:space="preserve"> Translation note: Greek says voice of flock and voice of cattle.</w:t>
      </w:r>
    </w:p>
  </w:footnote>
  <w:footnote w:id="5397">
    <w:p>
      <w:pPr>
        <w:pStyle w:val="FootnoteText"/>
      </w:pPr>
      <w:r>
        <w:rPr>
          <w:rStyle w:val="FootnoteReference"/>
        </w:rPr>
        <w:footnoteRef/>
      </w:r>
      <w:r>
        <w:t xml:space="preserve"> Cross-references for "the Lord": 1Sam 10:1; 1Sam 15:1-3.</w:t>
      </w:r>
    </w:p>
  </w:footnote>
  <w:footnote w:id="5398">
    <w:p>
      <w:pPr>
        <w:pStyle w:val="FootnoteText"/>
      </w:pPr>
      <w:r>
        <w:rPr>
          <w:rStyle w:val="FootnoteReference"/>
        </w:rPr>
        <w:footnoteRef/>
      </w:r>
      <w:r>
        <w:t xml:space="preserve"> Translation note: Greek centers on hearing the Lord’s voice. The moral point is obedience, but the draft keeps the auditory wording prominent.</w:t>
      </w:r>
    </w:p>
  </w:footnote>
  <w:footnote w:id="5399">
    <w:p>
      <w:pPr>
        <w:pStyle w:val="FootnoteText"/>
      </w:pPr>
      <w:r>
        <w:rPr>
          <w:rStyle w:val="FootnoteReference"/>
        </w:rPr>
        <w:footnoteRef/>
      </w:r>
      <w:r>
        <w:t xml:space="preserve"> Cross-references for "I have sinned": Exod 9:27; Exod 10:16.</w:t>
      </w:r>
    </w:p>
  </w:footnote>
  <w:footnote w:id="5400">
    <w:p>
      <w:pPr>
        <w:pStyle w:val="FootnoteText"/>
      </w:pPr>
      <w:r>
        <w:rPr>
          <w:rStyle w:val="FootnoteReference"/>
        </w:rPr>
        <w:footnoteRef/>
      </w:r>
      <w:r>
        <w:t xml:space="preserve"> Cross-references for "I will not": Gen 42:38; Gen 43:11-14.</w:t>
      </w:r>
    </w:p>
  </w:footnote>
  <w:footnote w:id="5401">
    <w:p>
      <w:pPr>
        <w:pStyle w:val="FootnoteText"/>
      </w:pPr>
      <w:r>
        <w:rPr>
          <w:rStyle w:val="FootnoteReference"/>
        </w:rPr>
        <w:footnoteRef/>
      </w:r>
      <w:r>
        <w:t xml:space="preserve"> Cross-references for "The Lord": 1Sam 28:17-18; 1Kgs 11:30-31.</w:t>
      </w:r>
    </w:p>
  </w:footnote>
  <w:footnote w:id="5402">
    <w:p>
      <w:pPr>
        <w:pStyle w:val="FootnoteText"/>
      </w:pPr>
      <w:r>
        <w:rPr>
          <w:rStyle w:val="FootnoteReference"/>
        </w:rPr>
        <w:footnoteRef/>
      </w:r>
      <w:r>
        <w:t xml:space="preserve"> Cross-references for "Agag said": Jer 48:44; 1Thess 5:3.</w:t>
      </w:r>
    </w:p>
  </w:footnote>
  <w:footnote w:id="5403">
    <w:p>
      <w:pPr>
        <w:pStyle w:val="FootnoteText"/>
      </w:pPr>
      <w:r>
        <w:rPr>
          <w:rStyle w:val="FootnoteReference"/>
        </w:rPr>
        <w:footnoteRef/>
      </w:r>
      <w:r>
        <w:t xml:space="preserve"> Cross-references for "Gibeah": 1Sam 11:4.</w:t>
      </w:r>
    </w:p>
  </w:footnote>
  <w:footnote w:id="5404">
    <w:p>
      <w:pPr>
        <w:pStyle w:val="FootnoteText"/>
      </w:pPr>
      <w:r>
        <w:rPr>
          <w:rStyle w:val="FootnoteReference"/>
        </w:rPr>
        <w:footnoteRef/>
      </w:r>
      <w:r>
        <w:t xml:space="preserve"> Cross-references for "Samuel": 1Sam 19:24.</w:t>
      </w:r>
    </w:p>
  </w:footnote>
  <w:footnote w:id="5405">
    <w:p>
      <w:pPr>
        <w:pStyle w:val="FootnoteText"/>
      </w:pPr>
      <w:r>
        <w:rPr>
          <w:rStyle w:val="FootnoteReference"/>
        </w:rPr>
        <w:footnoteRef/>
      </w:r>
      <w:r>
        <w:t xml:space="preserve"> Cross-references for "How long": 1Sam 15:11; 1Sam 15:35.</w:t>
      </w:r>
    </w:p>
  </w:footnote>
  <w:footnote w:id="5406">
    <w:p>
      <w:pPr>
        <w:pStyle w:val="FootnoteText"/>
      </w:pPr>
      <w:r>
        <w:rPr>
          <w:rStyle w:val="FootnoteReference"/>
        </w:rPr>
        <w:footnoteRef/>
      </w:r>
      <w:r>
        <w:t xml:space="preserve"> Translation note: Greek says take a heifer of the cattle in your hand.</w:t>
      </w:r>
    </w:p>
  </w:footnote>
  <w:footnote w:id="5407">
    <w:p>
      <w:pPr>
        <w:pStyle w:val="FootnoteText"/>
      </w:pPr>
      <w:r>
        <w:rPr>
          <w:rStyle w:val="FootnoteReference"/>
        </w:rPr>
        <w:footnoteRef/>
      </w:r>
      <w:r>
        <w:t xml:space="preserve"> Cross-references for "call Jesse": 1Sam 9:12-13; 2Sam 15:11.</w:t>
      </w:r>
    </w:p>
  </w:footnote>
  <w:footnote w:id="5408">
    <w:p>
      <w:pPr>
        <w:pStyle w:val="FootnoteText"/>
      </w:pPr>
      <w:r>
        <w:rPr>
          <w:rStyle w:val="FootnoteReference"/>
        </w:rPr>
        <w:footnoteRef/>
      </w:r>
      <w:r>
        <w:t xml:space="preserve"> Cross-references for "Eliab": 1Sam 17:13; 1Sam 17:22.</w:t>
      </w:r>
    </w:p>
  </w:footnote>
  <w:footnote w:id="5409">
    <w:p>
      <w:pPr>
        <w:pStyle w:val="FootnoteText"/>
      </w:pPr>
      <w:r>
        <w:rPr>
          <w:rStyle w:val="FootnoteReference"/>
        </w:rPr>
        <w:footnoteRef/>
      </w:r>
      <w:r>
        <w:t xml:space="preserve"> Translation note: The contrast is not merely outward appearance versus inward character, but human face-directed sight versus God’s penetrating sight into the heart. Existing English witnesses remain close enough to keep the more literal inward-direction wording.</w:t>
      </w:r>
    </w:p>
  </w:footnote>
  <w:footnote w:id="5410">
    <w:p>
      <w:pPr>
        <w:pStyle w:val="FootnoteText"/>
      </w:pPr>
      <w:r>
        <w:rPr>
          <w:rStyle w:val="FootnoteReference"/>
        </w:rPr>
        <w:footnoteRef/>
      </w:r>
      <w:r>
        <w:t xml:space="preserve"> Personal name: Shammah. Personal-name meaning: Shammah — loss; desolation; astonishment. Source form: Shammah.</w:t>
      </w:r>
    </w:p>
  </w:footnote>
  <w:footnote w:id="5411">
    <w:p>
      <w:pPr>
        <w:pStyle w:val="FootnoteText"/>
      </w:pPr>
      <w:r>
        <w:rPr>
          <w:rStyle w:val="FootnoteReference"/>
        </w:rPr>
        <w:footnoteRef/>
      </w:r>
      <w:r>
        <w:t xml:space="preserve"> Cross-references for "Shammah": 1Sam 17:13; 2Sam 13:3.</w:t>
      </w:r>
    </w:p>
  </w:footnote>
  <w:footnote w:id="5412">
    <w:p>
      <w:pPr>
        <w:pStyle w:val="FootnoteText"/>
      </w:pPr>
      <w:r>
        <w:rPr>
          <w:rStyle w:val="FootnoteReference"/>
        </w:rPr>
        <w:footnoteRef/>
      </w:r>
      <w:r>
        <w:t xml:space="preserve"> Cross-references for "seven": 1Chr 2:13-15.</w:t>
      </w:r>
    </w:p>
  </w:footnote>
  <w:footnote w:id="5413">
    <w:p>
      <w:pPr>
        <w:pStyle w:val="FootnoteText"/>
      </w:pPr>
      <w:r>
        <w:rPr>
          <w:rStyle w:val="FootnoteReference"/>
        </w:rPr>
        <w:footnoteRef/>
      </w:r>
      <w:r>
        <w:t xml:space="preserve"> Translation note: Greek says have the young men failed or come to an end.</w:t>
      </w:r>
    </w:p>
  </w:footnote>
  <w:footnote w:id="5414">
    <w:p>
      <w:pPr>
        <w:pStyle w:val="FootnoteText"/>
      </w:pPr>
      <w:r>
        <w:rPr>
          <w:rStyle w:val="FootnoteReference"/>
        </w:rPr>
        <w:footnoteRef/>
      </w:r>
      <w:r>
        <w:t xml:space="preserve"> Cross-references for "ruddy": 1Sam 17:42; Song 5:10.</w:t>
      </w:r>
    </w:p>
  </w:footnote>
  <w:footnote w:id="5415">
    <w:p>
      <w:pPr>
        <w:pStyle w:val="FootnoteText"/>
      </w:pPr>
      <w:r>
        <w:rPr>
          <w:rStyle w:val="FootnoteReference"/>
        </w:rPr>
        <w:footnoteRef/>
      </w:r>
      <w:r>
        <w:t xml:space="preserve"> Cross-references for "anointed": 1Sam 10:1; 2Kgs 9:6.</w:t>
      </w:r>
    </w:p>
  </w:footnote>
  <w:footnote w:id="5416">
    <w:p>
      <w:pPr>
        <w:pStyle w:val="FootnoteText"/>
      </w:pPr>
      <w:r>
        <w:rPr>
          <w:rStyle w:val="FootnoteReference"/>
        </w:rPr>
        <w:footnoteRef/>
      </w:r>
      <w:r>
        <w:t xml:space="preserve"> Name meaning: David (Dawid) — Beloved. The beloved king; a man after God’s own heart.</w:t>
      </w:r>
    </w:p>
  </w:footnote>
  <w:footnote w:id="5417">
    <w:p>
      <w:pPr>
        <w:pStyle w:val="FootnoteText"/>
      </w:pPr>
      <w:r>
        <w:rPr>
          <w:rStyle w:val="FootnoteReference"/>
        </w:rPr>
        <w:footnoteRef/>
      </w:r>
      <w:r>
        <w:t xml:space="preserve"> Cross-references for "the Spirit": Judg 16:29; 1Sam 11:6.</w:t>
      </w:r>
    </w:p>
  </w:footnote>
  <w:footnote w:id="5418">
    <w:p>
      <w:pPr>
        <w:pStyle w:val="FootnoteText"/>
      </w:pPr>
      <w:r>
        <w:rPr>
          <w:rStyle w:val="FootnoteReference"/>
        </w:rPr>
        <w:footnoteRef/>
      </w:r>
      <w:r>
        <w:t xml:space="preserve"> Cross-references for "play": 1Sam 10:5; 1Sam 16:23.</w:t>
      </w:r>
    </w:p>
  </w:footnote>
  <w:footnote w:id="5419">
    <w:p>
      <w:pPr>
        <w:pStyle w:val="FootnoteText"/>
      </w:pPr>
      <w:r>
        <w:rPr>
          <w:rStyle w:val="FootnoteReference"/>
        </w:rPr>
        <w:footnoteRef/>
      </w:r>
      <w:r>
        <w:t xml:space="preserve"> Translation note: Greek ends with give-you-rest wording here. Current line keeps it.</w:t>
      </w:r>
    </w:p>
  </w:footnote>
  <w:footnote w:id="5420">
    <w:p>
      <w:pPr>
        <w:pStyle w:val="FootnoteText"/>
      </w:pPr>
      <w:r>
        <w:rPr>
          <w:rStyle w:val="FootnoteReference"/>
        </w:rPr>
        <w:footnoteRef/>
      </w:r>
      <w:r>
        <w:t xml:space="preserve"> People-name: Bethlehemite. People-name meaning: Bethlehemite — house of bread. Source form: Bethlehemite.</w:t>
      </w:r>
    </w:p>
  </w:footnote>
  <w:footnote w:id="5421">
    <w:p>
      <w:pPr>
        <w:pStyle w:val="FootnoteText"/>
      </w:pPr>
      <w:r>
        <w:rPr>
          <w:rStyle w:val="FootnoteReference"/>
        </w:rPr>
        <w:footnoteRef/>
      </w:r>
      <w:r>
        <w:t xml:space="preserve"> Translation note: Greek says he knows song and wise in word.</w:t>
      </w:r>
    </w:p>
  </w:footnote>
  <w:footnote w:id="5422">
    <w:p>
      <w:pPr>
        <w:pStyle w:val="FootnoteText"/>
      </w:pPr>
      <w:r>
        <w:rPr>
          <w:rStyle w:val="FootnoteReference"/>
        </w:rPr>
        <w:footnoteRef/>
      </w:r>
      <w:r>
        <w:t xml:space="preserve"> Cross-references for "the Lord": Gen 39:2; Gen 39:23.</w:t>
      </w:r>
    </w:p>
  </w:footnote>
  <w:footnote w:id="5423">
    <w:p>
      <w:pPr>
        <w:pStyle w:val="FootnoteText"/>
      </w:pPr>
      <w:r>
        <w:rPr>
          <w:rStyle w:val="FootnoteReference"/>
        </w:rPr>
        <w:footnoteRef/>
      </w:r>
      <w:r>
        <w:t xml:space="preserve"> Cross-references for "stood before him": Gen 41:46; Deut 1:38.</w:t>
      </w:r>
    </w:p>
  </w:footnote>
  <w:footnote w:id="5424">
    <w:p>
      <w:pPr>
        <w:pStyle w:val="FootnoteText"/>
      </w:pPr>
      <w:r>
        <w:rPr>
          <w:rStyle w:val="FootnoteReference"/>
        </w:rPr>
        <w:footnoteRef/>
      </w:r>
      <w:r>
        <w:t xml:space="preserve"> Cross-references for "the evil spirit": 1Sam 16:14; 1Sam 16:16.</w:t>
      </w:r>
    </w:p>
  </w:footnote>
  <w:footnote w:id="5425">
    <w:p>
      <w:pPr>
        <w:pStyle w:val="FootnoteText"/>
      </w:pPr>
      <w:r>
        <w:rPr>
          <w:rStyle w:val="FootnoteReference"/>
        </w:rPr>
        <w:footnoteRef/>
      </w:r>
      <w:r>
        <w:t xml:space="preserve"> Cross-references for "gathered": Judg 3:3; 1Sam 7:7.</w:t>
      </w:r>
    </w:p>
  </w:footnote>
  <w:footnote w:id="5426">
    <w:p>
      <w:pPr>
        <w:pStyle w:val="FootnoteText"/>
      </w:pPr>
      <w:r>
        <w:rPr>
          <w:rStyle w:val="FootnoteReference"/>
        </w:rPr>
        <w:footnoteRef/>
      </w:r>
      <w:r>
        <w:t xml:space="preserve"> Cross-references for "the valley": 1Sam 17:19; 1Sam 21:9.</w:t>
      </w:r>
    </w:p>
  </w:footnote>
  <w:footnote w:id="5427">
    <w:p>
      <w:pPr>
        <w:pStyle w:val="FootnoteText"/>
      </w:pPr>
      <w:r>
        <w:rPr>
          <w:rStyle w:val="FootnoteReference"/>
        </w:rPr>
        <w:footnoteRef/>
      </w:r>
      <w:r>
        <w:t xml:space="preserve"> Personal name: Goliath. Personal-name meaning: Goliath — passage; revolution; heap. Source form: Goliath.</w:t>
      </w:r>
    </w:p>
  </w:footnote>
  <w:footnote w:id="5428">
    <w:p>
      <w:pPr>
        <w:pStyle w:val="FootnoteText"/>
      </w:pPr>
      <w:r>
        <w:rPr>
          <w:rStyle w:val="FootnoteReference"/>
        </w:rPr>
        <w:footnoteRef/>
      </w:r>
      <w:r>
        <w:t xml:space="preserve"> Cross-references for "Goliath": 1Sam 17:23; 1Sam 21:9-10.</w:t>
      </w:r>
    </w:p>
  </w:footnote>
  <w:footnote w:id="5429">
    <w:p>
      <w:pPr>
        <w:pStyle w:val="FootnoteText"/>
      </w:pPr>
      <w:r>
        <w:rPr>
          <w:rStyle w:val="FootnoteReference"/>
        </w:rPr>
        <w:footnoteRef/>
      </w:r>
      <w:r>
        <w:t xml:space="preserve"> MT/LXX note: Greek differs sharply from MT wording here.</w:t>
      </w:r>
    </w:p>
  </w:footnote>
  <w:footnote w:id="5430">
    <w:p>
      <w:pPr>
        <w:pStyle w:val="FootnoteText"/>
      </w:pPr>
      <w:r>
        <w:rPr>
          <w:rStyle w:val="FootnoteReference"/>
        </w:rPr>
        <w:footnoteRef/>
      </w:r>
      <w:r>
        <w:t xml:space="preserve"> Cross-references for "and serve us": 1Sam 11:1.</w:t>
      </w:r>
    </w:p>
  </w:footnote>
  <w:footnote w:id="5431">
    <w:p>
      <w:pPr>
        <w:pStyle w:val="FootnoteText"/>
      </w:pPr>
      <w:r>
        <w:rPr>
          <w:rStyle w:val="FootnoteReference"/>
        </w:rPr>
        <w:footnoteRef/>
      </w:r>
      <w:r>
        <w:t xml:space="preserve"> Cross-references for "Give me": Job 40:9-12; Ps 9:4-5.</w:t>
      </w:r>
    </w:p>
  </w:footnote>
  <w:footnote w:id="5432">
    <w:p>
      <w:pPr>
        <w:pStyle w:val="FootnoteText"/>
      </w:pPr>
      <w:r>
        <w:rPr>
          <w:rStyle w:val="FootnoteReference"/>
        </w:rPr>
        <w:footnoteRef/>
      </w:r>
      <w:r>
        <w:t xml:space="preserve"> MT/LXX note: MT 1 Samuel 17:12-31 is not present in the shorter Septuagint text used here. This edition resumes with David speaking to Saul before confronting Goliath.</w:t>
      </w:r>
    </w:p>
  </w:footnote>
  <w:footnote w:id="5433">
    <w:p>
      <w:pPr>
        <w:pStyle w:val="FootnoteText"/>
      </w:pPr>
      <w:r>
        <w:rPr>
          <w:rStyle w:val="FootnoteReference"/>
        </w:rPr>
        <w:footnoteRef/>
      </w:r>
      <w:r>
        <w:t xml:space="preserve"> Cross-references for "The Lord": 1Sam 7:12; Ps 11:1.</w:t>
      </w:r>
    </w:p>
  </w:footnote>
  <w:footnote w:id="5434">
    <w:p>
      <w:pPr>
        <w:pStyle w:val="FootnoteText"/>
      </w:pPr>
      <w:r>
        <w:rPr>
          <w:rStyle w:val="FootnoteReference"/>
        </w:rPr>
        <w:footnoteRef/>
      </w:r>
      <w:r>
        <w:t xml:space="preserve"> Translation note: Greek says this uncircumcised foreigner.</w:t>
      </w:r>
    </w:p>
  </w:footnote>
  <w:footnote w:id="5435">
    <w:p>
      <w:pPr>
        <w:pStyle w:val="FootnoteText"/>
      </w:pPr>
      <w:r>
        <w:rPr>
          <w:rStyle w:val="FootnoteReference"/>
        </w:rPr>
        <w:footnoteRef/>
      </w:r>
      <w:r>
        <w:t xml:space="preserve"> Cross-references for "staff": Judg 3:31; Judg 7:16-20.</w:t>
      </w:r>
    </w:p>
  </w:footnote>
  <w:footnote w:id="5436">
    <w:p>
      <w:pPr>
        <w:pStyle w:val="FootnoteText"/>
      </w:pPr>
      <w:r>
        <w:rPr>
          <w:rStyle w:val="FootnoteReference"/>
        </w:rPr>
        <w:footnoteRef/>
      </w:r>
      <w:r>
        <w:t xml:space="preserve"> Cross-references for "a youth": 1Sam 16:12; 1Sam 17:33.</w:t>
      </w:r>
    </w:p>
  </w:footnote>
  <w:footnote w:id="5437">
    <w:p>
      <w:pPr>
        <w:pStyle w:val="FootnoteText"/>
      </w:pPr>
      <w:r>
        <w:rPr>
          <w:rStyle w:val="FootnoteReference"/>
        </w:rPr>
        <w:footnoteRef/>
      </w:r>
      <w:r>
        <w:t xml:space="preserve"> MT/LXX note: MT 1 Samuel 17:41 is not present in the shorter Septuagint text used here. This edition resumes with Goliath seeing and dishonoring David.</w:t>
      </w:r>
    </w:p>
  </w:footnote>
  <w:footnote w:id="5438">
    <w:p>
      <w:pPr>
        <w:pStyle w:val="FootnoteText"/>
      </w:pPr>
      <w:r>
        <w:rPr>
          <w:rStyle w:val="FootnoteReference"/>
        </w:rPr>
        <w:footnoteRef/>
      </w:r>
      <w:r>
        <w:t xml:space="preserve"> Cross-references for "cursed": Gen 27:29; Num 22:6.</w:t>
      </w:r>
    </w:p>
  </w:footnote>
  <w:footnote w:id="5439">
    <w:p>
      <w:pPr>
        <w:pStyle w:val="FootnoteText"/>
      </w:pPr>
      <w:r>
        <w:rPr>
          <w:rStyle w:val="FootnoteReference"/>
        </w:rPr>
        <w:footnoteRef/>
      </w:r>
      <w:r>
        <w:t xml:space="preserve"> Cross-references for "Come to me": 1Kgs 20:10-11; Prov 18:12.</w:t>
      </w:r>
    </w:p>
  </w:footnote>
  <w:footnote w:id="5440">
    <w:p>
      <w:pPr>
        <w:pStyle w:val="FootnoteText"/>
      </w:pPr>
      <w:r>
        <w:rPr>
          <w:rStyle w:val="FootnoteReference"/>
        </w:rPr>
        <w:footnoteRef/>
      </w:r>
      <w:r>
        <w:t xml:space="preserve"> Cross-references for "in the name": 2Sam 22:33-35; 2Chr 32:8.</w:t>
      </w:r>
    </w:p>
  </w:footnote>
  <w:footnote w:id="5441">
    <w:p>
      <w:pPr>
        <w:pStyle w:val="FootnoteText"/>
      </w:pPr>
      <w:r>
        <w:rPr>
          <w:rStyle w:val="FootnoteReference"/>
        </w:rPr>
        <w:footnoteRef/>
      </w:r>
      <w:r>
        <w:t xml:space="preserve"> Translation note: Greek has Kyrios Sabaoth; the main text uses the standard English equivalent Lord of hosts.</w:t>
      </w:r>
    </w:p>
  </w:footnote>
  <w:footnote w:id="5442">
    <w:p>
      <w:pPr>
        <w:pStyle w:val="FootnoteText"/>
      </w:pPr>
      <w:r>
        <w:rPr>
          <w:rStyle w:val="FootnoteReference"/>
        </w:rPr>
        <w:footnoteRef/>
      </w:r>
      <w:r>
        <w:t xml:space="preserve"> Cross-references for "all the earth": Exod 9:16; Exod 15:14-15.</w:t>
      </w:r>
    </w:p>
  </w:footnote>
  <w:footnote w:id="5443">
    <w:p>
      <w:pPr>
        <w:pStyle w:val="FootnoteText"/>
      </w:pPr>
      <w:r>
        <w:rPr>
          <w:rStyle w:val="FootnoteReference"/>
        </w:rPr>
        <w:footnoteRef/>
      </w:r>
      <w:r>
        <w:t xml:space="preserve"> Translation note: Greek says limbs here rather than a broader carcass expression.</w:t>
      </w:r>
    </w:p>
  </w:footnote>
  <w:footnote w:id="5444">
    <w:p>
      <w:pPr>
        <w:pStyle w:val="FootnoteText"/>
      </w:pPr>
      <w:r>
        <w:rPr>
          <w:rStyle w:val="FootnoteReference"/>
        </w:rPr>
        <w:footnoteRef/>
      </w:r>
      <w:r>
        <w:t xml:space="preserve"> Cross-references for "the battle": 1Sam 14:6; 2Chr 20:15-17.</w:t>
      </w:r>
    </w:p>
  </w:footnote>
  <w:footnote w:id="5445">
    <w:p>
      <w:pPr>
        <w:pStyle w:val="FootnoteText"/>
      </w:pPr>
      <w:r>
        <w:rPr>
          <w:rStyle w:val="FootnoteReference"/>
        </w:rPr>
        <w:footnoteRef/>
      </w:r>
      <w:r>
        <w:t xml:space="preserve"> Translation note: Greek explicitly says the stone went through the helmet into his forehead. Current wording keeps the sequence direct.</w:t>
      </w:r>
    </w:p>
  </w:footnote>
  <w:footnote w:id="5446">
    <w:p>
      <w:pPr>
        <w:pStyle w:val="FootnoteText"/>
      </w:pPr>
      <w:r>
        <w:rPr>
          <w:rStyle w:val="FootnoteReference"/>
        </w:rPr>
        <w:footnoteRef/>
      </w:r>
      <w:r>
        <w:t xml:space="preserve"> Translation note: Greek says stood over him here. Current line keeps that detail.</w:t>
      </w:r>
    </w:p>
  </w:footnote>
  <w:footnote w:id="5447">
    <w:p>
      <w:pPr>
        <w:pStyle w:val="FootnoteText"/>
      </w:pPr>
      <w:r>
        <w:rPr>
          <w:rStyle w:val="FootnoteReference"/>
        </w:rPr>
        <w:footnoteRef/>
      </w:r>
      <w:r>
        <w:t xml:space="preserve"> Cross-references for "his sword": 1Sam 21:9; 2Sam 23:21.</w:t>
      </w:r>
    </w:p>
  </w:footnote>
  <w:footnote w:id="5448">
    <w:p>
      <w:pPr>
        <w:pStyle w:val="FootnoteText"/>
      </w:pPr>
      <w:r>
        <w:rPr>
          <w:rStyle w:val="FootnoteReference"/>
        </w:rPr>
        <w:footnoteRef/>
      </w:r>
      <w:r>
        <w:t xml:space="preserve"> MT/LXX note: MT 1 Samuel 17:50 is not present in the shorter Septuagint text used here. This edition resumes with David standing over Goliath and taking his sword.</w:t>
      </w:r>
    </w:p>
  </w:footnote>
  <w:footnote w:id="5449">
    <w:p>
      <w:pPr>
        <w:pStyle w:val="FootnoteText"/>
      </w:pPr>
      <w:r>
        <w:rPr>
          <w:rStyle w:val="FootnoteReference"/>
        </w:rPr>
        <w:footnoteRef/>
      </w:r>
      <w:r>
        <w:t xml:space="preserve"> Cross-references for "the men of Israel": Judg 7:23; 1Sam 14:21-22.</w:t>
      </w:r>
    </w:p>
  </w:footnote>
  <w:footnote w:id="5450">
    <w:p>
      <w:pPr>
        <w:pStyle w:val="FootnoteText"/>
      </w:pPr>
      <w:r>
        <w:rPr>
          <w:rStyle w:val="FootnoteReference"/>
        </w:rPr>
        <w:footnoteRef/>
      </w:r>
      <w:r>
        <w:t xml:space="preserve"> Translation note: Greek line matches current rendering closely here.</w:t>
      </w:r>
    </w:p>
  </w:footnote>
  <w:footnote w:id="5451">
    <w:p>
      <w:pPr>
        <w:pStyle w:val="FootnoteText"/>
      </w:pPr>
      <w:r>
        <w:rPr>
          <w:rStyle w:val="FootnoteReference"/>
        </w:rPr>
        <w:footnoteRef/>
      </w:r>
      <w:r>
        <w:t xml:space="preserve"> Cross-references for "took the head": Exod 16:33; Josh 4:7-8.</w:t>
      </w:r>
    </w:p>
  </w:footnote>
  <w:footnote w:id="5452">
    <w:p>
      <w:pPr>
        <w:pStyle w:val="FootnoteText"/>
      </w:pPr>
      <w:r>
        <w:rPr>
          <w:rStyle w:val="FootnoteReference"/>
        </w:rPr>
        <w:footnoteRef/>
      </w:r>
      <w:r>
        <w:t xml:space="preserve"> Translation note: Greek says dancing women came out to meet David.</w:t>
      </w:r>
    </w:p>
  </w:footnote>
  <w:footnote w:id="5453">
    <w:p>
      <w:pPr>
        <w:pStyle w:val="FootnoteText"/>
      </w:pPr>
      <w:r>
        <w:rPr>
          <w:rStyle w:val="FootnoteReference"/>
        </w:rPr>
        <w:footnoteRef/>
      </w:r>
      <w:r>
        <w:t xml:space="preserve"> Cross-references for "Saul": 1Sam 21:11; 1Sam 29:5.</w:t>
      </w:r>
    </w:p>
  </w:footnote>
  <w:footnote w:id="5454">
    <w:p>
      <w:pPr>
        <w:pStyle w:val="FootnoteText"/>
      </w:pPr>
      <w:r>
        <w:rPr>
          <w:rStyle w:val="FootnoteReference"/>
        </w:rPr>
        <w:footnoteRef/>
      </w:r>
      <w:r>
        <w:t xml:space="preserve"> Cross-references for "the saying": Prov 13:10; Prov 27:4.</w:t>
      </w:r>
    </w:p>
  </w:footnote>
  <w:footnote w:id="5455">
    <w:p>
      <w:pPr>
        <w:pStyle w:val="FootnoteText"/>
      </w:pPr>
      <w:r>
        <w:rPr>
          <w:rStyle w:val="FootnoteReference"/>
        </w:rPr>
        <w:footnoteRef/>
      </w:r>
      <w:r>
        <w:t xml:space="preserve"> MT/LXX note: MT 1 Samuel 17:55-18:11 is not present at this LXX-numbered point in the shorter Septuagint text used here. This edition resumes with Saul fearing David.</w:t>
      </w:r>
    </w:p>
  </w:footnote>
  <w:footnote w:id="5456">
    <w:p>
      <w:pPr>
        <w:pStyle w:val="FootnoteText"/>
      </w:pPr>
      <w:r>
        <w:rPr>
          <w:rStyle w:val="FootnoteReference"/>
        </w:rPr>
        <w:footnoteRef/>
      </w:r>
      <w:r>
        <w:t xml:space="preserve"> Cross-references for "removed": 1Sam 8:12; 1Sam 18:17.</w:t>
      </w:r>
    </w:p>
  </w:footnote>
  <w:footnote w:id="5457">
    <w:p>
      <w:pPr>
        <w:pStyle w:val="FootnoteText"/>
      </w:pPr>
      <w:r>
        <w:rPr>
          <w:rStyle w:val="FootnoteReference"/>
        </w:rPr>
        <w:footnoteRef/>
      </w:r>
      <w:r>
        <w:t xml:space="preserve"> Cross-references for "the Lord": Gen 39:2-3; Gen 39:23.</w:t>
      </w:r>
    </w:p>
  </w:footnote>
  <w:footnote w:id="5458">
    <w:p>
      <w:pPr>
        <w:pStyle w:val="FootnoteText"/>
      </w:pPr>
      <w:r>
        <w:rPr>
          <w:rStyle w:val="FootnoteReference"/>
        </w:rPr>
        <w:footnoteRef/>
      </w:r>
      <w:r>
        <w:t xml:space="preserve"> Cross-references for "all Israel": 1Sam 18:5; Luke 19:48.</w:t>
      </w:r>
    </w:p>
  </w:footnote>
  <w:footnote w:id="5459">
    <w:p>
      <w:pPr>
        <w:pStyle w:val="FootnoteText"/>
      </w:pPr>
      <w:r>
        <w:rPr>
          <w:rStyle w:val="FootnoteReference"/>
        </w:rPr>
        <w:footnoteRef/>
      </w:r>
      <w:r>
        <w:t xml:space="preserve"> Cross-references for "loved David": Gen 29:18; Gen 29:20.</w:t>
      </w:r>
    </w:p>
  </w:footnote>
  <w:footnote w:id="5460">
    <w:p>
      <w:pPr>
        <w:pStyle w:val="FootnoteText"/>
      </w:pPr>
      <w:r>
        <w:rPr>
          <w:rStyle w:val="FootnoteReference"/>
        </w:rPr>
        <w:footnoteRef/>
      </w:r>
      <w:r>
        <w:t xml:space="preserve"> Cross-references for "the hand": 1Sam 18:17; 1Sam 19:11-12.</w:t>
      </w:r>
    </w:p>
  </w:footnote>
  <w:footnote w:id="5461">
    <w:p>
      <w:pPr>
        <w:pStyle w:val="FootnoteText"/>
      </w:pPr>
      <w:r>
        <w:rPr>
          <w:rStyle w:val="FootnoteReference"/>
        </w:rPr>
        <w:footnoteRef/>
      </w:r>
      <w:r>
        <w:t xml:space="preserve"> Cross-references for "commanded": Ps 36:1-3; Ps 55:21.</w:t>
      </w:r>
    </w:p>
  </w:footnote>
  <w:footnote w:id="5462">
    <w:p>
      <w:pPr>
        <w:pStyle w:val="FootnoteText"/>
      </w:pPr>
      <w:r>
        <w:rPr>
          <w:rStyle w:val="FootnoteReference"/>
        </w:rPr>
        <w:footnoteRef/>
      </w:r>
      <w:r>
        <w:t xml:space="preserve"> Cross-references for "a light": 1John 3:1.</w:t>
      </w:r>
    </w:p>
  </w:footnote>
  <w:footnote w:id="5463">
    <w:p>
      <w:pPr>
        <w:pStyle w:val="FootnoteText"/>
      </w:pPr>
      <w:r>
        <w:rPr>
          <w:rStyle w:val="FootnoteReference"/>
        </w:rPr>
        <w:footnoteRef/>
      </w:r>
      <w:r>
        <w:t xml:space="preserve"> Translation note: Greek says marriage gift and foreigners here.</w:t>
      </w:r>
    </w:p>
  </w:footnote>
  <w:footnote w:id="5464">
    <w:p>
      <w:pPr>
        <w:pStyle w:val="FootnoteText"/>
      </w:pPr>
      <w:r>
        <w:rPr>
          <w:rStyle w:val="FootnoteReference"/>
        </w:rPr>
        <w:footnoteRef/>
      </w:r>
      <w:r>
        <w:t xml:space="preserve"> Cross-references for "foreskins": Gen 17:11-14; Josh 5:3.</w:t>
      </w:r>
    </w:p>
  </w:footnote>
  <w:footnote w:id="5465">
    <w:p>
      <w:pPr>
        <w:pStyle w:val="FootnoteText"/>
      </w:pPr>
      <w:r>
        <w:rPr>
          <w:rStyle w:val="FootnoteReference"/>
        </w:rPr>
        <w:footnoteRef/>
      </w:r>
      <w:r>
        <w:t xml:space="preserve"> Cross-references for "his men": 1Sam 18:13.</w:t>
      </w:r>
    </w:p>
  </w:footnote>
  <w:footnote w:id="5466">
    <w:p>
      <w:pPr>
        <w:pStyle w:val="FootnoteText"/>
      </w:pPr>
      <w:r>
        <w:rPr>
          <w:rStyle w:val="FootnoteReference"/>
        </w:rPr>
        <w:footnoteRef/>
      </w:r>
      <w:r>
        <w:t xml:space="preserve"> Translation note: Greek says one hundred here. Other traditions often harmonize to two hundred.</w:t>
      </w:r>
    </w:p>
  </w:footnote>
  <w:footnote w:id="5467">
    <w:p>
      <w:pPr>
        <w:pStyle w:val="FootnoteText"/>
      </w:pPr>
      <w:r>
        <w:rPr>
          <w:rStyle w:val="FootnoteReference"/>
        </w:rPr>
        <w:footnoteRef/>
      </w:r>
      <w:r>
        <w:t xml:space="preserve"> Cross-references for "And Saul": 1Sam 18:8-9; Prov 27:4.</w:t>
      </w:r>
    </w:p>
  </w:footnote>
  <w:footnote w:id="5468">
    <w:p>
      <w:pPr>
        <w:pStyle w:val="FootnoteText"/>
      </w:pPr>
      <w:r>
        <w:rPr>
          <w:rStyle w:val="FootnoteReference"/>
        </w:rPr>
        <w:footnoteRef/>
      </w:r>
      <w:r>
        <w:t xml:space="preserve"> Cross-references for "Jonathan": 1Sam 20:2; Prov 17:17.</w:t>
      </w:r>
    </w:p>
  </w:footnote>
  <w:footnote w:id="5469">
    <w:p>
      <w:pPr>
        <w:pStyle w:val="FootnoteText"/>
      </w:pPr>
      <w:r>
        <w:rPr>
          <w:rStyle w:val="FootnoteReference"/>
        </w:rPr>
        <w:footnoteRef/>
      </w:r>
      <w:r>
        <w:t xml:space="preserve"> Translation note: Greek says hide and sit concealed.</w:t>
      </w:r>
    </w:p>
  </w:footnote>
  <w:footnote w:id="5470">
    <w:p>
      <w:pPr>
        <w:pStyle w:val="FootnoteText"/>
      </w:pPr>
      <w:r>
        <w:rPr>
          <w:rStyle w:val="FootnoteReference"/>
        </w:rPr>
        <w:footnoteRef/>
      </w:r>
      <w:r>
        <w:t xml:space="preserve"> Translation note: Greek says good things here.</w:t>
      </w:r>
    </w:p>
  </w:footnote>
  <w:footnote w:id="5471">
    <w:p>
      <w:pPr>
        <w:pStyle w:val="FootnoteText"/>
      </w:pPr>
      <w:r>
        <w:rPr>
          <w:rStyle w:val="FootnoteReference"/>
        </w:rPr>
        <w:footnoteRef/>
      </w:r>
      <w:r>
        <w:t xml:space="preserve"> Cross-references for "sin against": Gen 9:6; Gen 42:22.</w:t>
      </w:r>
    </w:p>
  </w:footnote>
  <w:footnote w:id="5472">
    <w:p>
      <w:pPr>
        <w:pStyle w:val="FootnoteText"/>
      </w:pPr>
      <w:r>
        <w:rPr>
          <w:rStyle w:val="FootnoteReference"/>
        </w:rPr>
        <w:footnoteRef/>
      </w:r>
      <w:r>
        <w:t xml:space="preserve"> Translation note: Greek idiom kept here. Current line preserves it.</w:t>
      </w:r>
    </w:p>
  </w:footnote>
  <w:footnote w:id="5473">
    <w:p>
      <w:pPr>
        <w:pStyle w:val="FootnoteText"/>
      </w:pPr>
      <w:r>
        <w:rPr>
          <w:rStyle w:val="FootnoteReference"/>
        </w:rPr>
        <w:footnoteRef/>
      </w:r>
      <w:r>
        <w:t xml:space="preserve"> Cross-references for "put his life": Judg 9:17; Judg 12:3.</w:t>
      </w:r>
    </w:p>
  </w:footnote>
  <w:footnote w:id="5474">
    <w:p>
      <w:pPr>
        <w:pStyle w:val="FootnoteText"/>
      </w:pPr>
      <w:r>
        <w:rPr>
          <w:rStyle w:val="FootnoteReference"/>
        </w:rPr>
        <w:footnoteRef/>
      </w:r>
      <w:r>
        <w:t xml:space="preserve"> Cross-references for "David": Ps 18:32-50; Ps 27:3.</w:t>
      </w:r>
    </w:p>
  </w:footnote>
  <w:footnote w:id="5475">
    <w:p>
      <w:pPr>
        <w:pStyle w:val="FootnoteText"/>
      </w:pPr>
      <w:r>
        <w:rPr>
          <w:rStyle w:val="FootnoteReference"/>
        </w:rPr>
        <w:footnoteRef/>
      </w:r>
      <w:r>
        <w:t xml:space="preserve"> Cross-references for "sought": 1Sam 19:6; Hos 6:4.</w:t>
      </w:r>
    </w:p>
  </w:footnote>
  <w:footnote w:id="5476">
    <w:p>
      <w:pPr>
        <w:pStyle w:val="FootnoteText"/>
      </w:pPr>
      <w:r>
        <w:rPr>
          <w:rStyle w:val="FootnoteReference"/>
        </w:rPr>
        <w:footnoteRef/>
      </w:r>
      <w:r>
        <w:t xml:space="preserve"> Cross-references for "sent messengers": Ps 59:1; Ps 59:3-4.</w:t>
      </w:r>
    </w:p>
  </w:footnote>
  <w:footnote w:id="5477">
    <w:p>
      <w:pPr>
        <w:pStyle w:val="FootnoteText"/>
      </w:pPr>
      <w:r>
        <w:rPr>
          <w:rStyle w:val="FootnoteReference"/>
        </w:rPr>
        <w:footnoteRef/>
      </w:r>
      <w:r>
        <w:t xml:space="preserve"> Cross-references for "Michal": Ps 34:19.</w:t>
      </w:r>
    </w:p>
  </w:footnote>
  <w:footnote w:id="5478">
    <w:p>
      <w:pPr>
        <w:pStyle w:val="FootnoteText"/>
      </w:pPr>
      <w:r>
        <w:rPr>
          <w:rStyle w:val="FootnoteReference"/>
        </w:rPr>
        <w:footnoteRef/>
      </w:r>
      <w:r>
        <w:t xml:space="preserve"> Cross-references for "Bring him": 1Sam 19:6; Job 31:31.</w:t>
      </w:r>
    </w:p>
  </w:footnote>
  <w:footnote w:id="5479">
    <w:p>
      <w:pPr>
        <w:pStyle w:val="FootnoteText"/>
      </w:pPr>
      <w:r>
        <w:rPr>
          <w:rStyle w:val="FootnoteReference"/>
        </w:rPr>
        <w:footnoteRef/>
      </w:r>
      <w:r>
        <w:t xml:space="preserve"> Cross-references for "And Michal": 2Sam 17:20.</w:t>
      </w:r>
    </w:p>
  </w:footnote>
  <w:footnote w:id="5480">
    <w:p>
      <w:pPr>
        <w:pStyle w:val="FootnoteText"/>
      </w:pPr>
      <w:r>
        <w:rPr>
          <w:rStyle w:val="FootnoteReference"/>
        </w:rPr>
        <w:footnoteRef/>
      </w:r>
      <w:r>
        <w:t xml:space="preserve"> Cross-references for "to Samuel": 1Sam 7:17; 1Sam 15:34.</w:t>
      </w:r>
    </w:p>
  </w:footnote>
  <w:footnote w:id="5481">
    <w:p>
      <w:pPr>
        <w:pStyle w:val="FootnoteText"/>
      </w:pPr>
      <w:r>
        <w:rPr>
          <w:rStyle w:val="FootnoteReference"/>
        </w:rPr>
        <w:footnoteRef/>
      </w:r>
      <w:r>
        <w:t xml:space="preserve"> Place name: Naioth. Place-name meaning: Naioth — beauties; habitations. Source form: Naioth. Greek form: ναυαθ.</w:t>
      </w:r>
    </w:p>
  </w:footnote>
  <w:footnote w:id="5482">
    <w:p>
      <w:pPr>
        <w:pStyle w:val="FootnoteText"/>
      </w:pPr>
      <w:r>
        <w:rPr>
          <w:rStyle w:val="FootnoteReference"/>
        </w:rPr>
        <w:footnoteRef/>
      </w:r>
      <w:r>
        <w:t xml:space="preserve"> Cross-references for "sent messengers": 1Sam 19:11; 1Sam 19:14.</w:t>
      </w:r>
    </w:p>
  </w:footnote>
  <w:footnote w:id="5483">
    <w:p>
      <w:pPr>
        <w:pStyle w:val="FootnoteText"/>
      </w:pPr>
      <w:r>
        <w:rPr>
          <w:rStyle w:val="FootnoteReference"/>
        </w:rPr>
        <w:footnoteRef/>
      </w:r>
      <w:r>
        <w:t xml:space="preserve"> Transliterated proper noun: Sechu. Standard English equivalent: Sechu. Source form: Sechu. Greek form: σεφι. Name meaning: defense; bough.</w:t>
      </w:r>
    </w:p>
  </w:footnote>
  <w:footnote w:id="5484">
    <w:p>
      <w:pPr>
        <w:pStyle w:val="FootnoteText"/>
      </w:pPr>
      <w:r>
        <w:rPr>
          <w:rStyle w:val="FootnoteReference"/>
        </w:rPr>
        <w:footnoteRef/>
      </w:r>
      <w:r>
        <w:t xml:space="preserve"> Cross-references for "the Spirit": Num 23:5; Num 24:2.</w:t>
      </w:r>
    </w:p>
  </w:footnote>
  <w:footnote w:id="5485">
    <w:p>
      <w:pPr>
        <w:pStyle w:val="FootnoteText"/>
      </w:pPr>
      <w:r>
        <w:rPr>
          <w:rStyle w:val="FootnoteReference"/>
        </w:rPr>
        <w:footnoteRef/>
      </w:r>
      <w:r>
        <w:t xml:space="preserve"> Cross-references for "stripped": 2Sam 6:14; 2Sam 6:20.</w:t>
      </w:r>
    </w:p>
  </w:footnote>
  <w:footnote w:id="5486">
    <w:p>
      <w:pPr>
        <w:pStyle w:val="FootnoteText"/>
      </w:pPr>
      <w:r>
        <w:rPr>
          <w:rStyle w:val="FootnoteReference"/>
        </w:rPr>
        <w:footnoteRef/>
      </w:r>
      <w:r>
        <w:t xml:space="preserve"> Cross-references for "fled": 1Sam 19:19-24; 1Sam 23:26-28.</w:t>
      </w:r>
    </w:p>
  </w:footnote>
  <w:footnote w:id="5487">
    <w:p>
      <w:pPr>
        <w:pStyle w:val="FootnoteText"/>
      </w:pPr>
      <w:r>
        <w:rPr>
          <w:rStyle w:val="FootnoteReference"/>
        </w:rPr>
        <w:footnoteRef/>
      </w:r>
      <w:r>
        <w:t xml:space="preserve"> Translation note: Greek uses fullness image here. Current line keeps it.</w:t>
      </w:r>
    </w:p>
  </w:footnote>
  <w:footnote w:id="5488">
    <w:p>
      <w:pPr>
        <w:pStyle w:val="FootnoteText"/>
      </w:pPr>
      <w:r>
        <w:rPr>
          <w:rStyle w:val="FootnoteReference"/>
        </w:rPr>
        <w:footnoteRef/>
      </w:r>
      <w:r>
        <w:t xml:space="preserve"> Cross-references for "Bethlehem": 1Sam 17:58; John 7:42.</w:t>
      </w:r>
    </w:p>
  </w:footnote>
  <w:footnote w:id="5489">
    <w:p>
      <w:pPr>
        <w:pStyle w:val="FootnoteText"/>
      </w:pPr>
      <w:r>
        <w:rPr>
          <w:rStyle w:val="FootnoteReference"/>
        </w:rPr>
        <w:footnoteRef/>
      </w:r>
      <w:r>
        <w:t xml:space="preserve"> Cross-references for "evil": 1Sam 20:9; 1Sam 25:17.</w:t>
      </w:r>
    </w:p>
  </w:footnote>
  <w:footnote w:id="5490">
    <w:p>
      <w:pPr>
        <w:pStyle w:val="FootnoteText"/>
      </w:pPr>
      <w:r>
        <w:rPr>
          <w:rStyle w:val="FootnoteReference"/>
        </w:rPr>
        <w:footnoteRef/>
      </w:r>
      <w:r>
        <w:t xml:space="preserve"> Translation note: Greek says covenant of the Lord with yourself.</w:t>
      </w:r>
    </w:p>
  </w:footnote>
  <w:footnote w:id="5491">
    <w:p>
      <w:pPr>
        <w:pStyle w:val="FootnoteText"/>
      </w:pPr>
      <w:r>
        <w:rPr>
          <w:rStyle w:val="FootnoteReference"/>
        </w:rPr>
        <w:footnoteRef/>
      </w:r>
      <w:r>
        <w:t xml:space="preserve"> Translation note: The Septuagint includes a field-destination phrase not usually foregrounded in English. The translation keeps it visible.</w:t>
      </w:r>
    </w:p>
  </w:footnote>
  <w:footnote w:id="5492">
    <w:p>
      <w:pPr>
        <w:pStyle w:val="FootnoteText"/>
      </w:pPr>
      <w:r>
        <w:rPr>
          <w:rStyle w:val="FootnoteReference"/>
        </w:rPr>
        <w:footnoteRef/>
      </w:r>
      <w:r>
        <w:t xml:space="preserve"> Translation note: Greek says uncover your ear.</w:t>
      </w:r>
    </w:p>
  </w:footnote>
  <w:footnote w:id="5493">
    <w:p>
      <w:pPr>
        <w:pStyle w:val="FootnoteText"/>
      </w:pPr>
      <w:r>
        <w:rPr>
          <w:rStyle w:val="FootnoteReference"/>
        </w:rPr>
        <w:footnoteRef/>
      </w:r>
      <w:r>
        <w:t xml:space="preserve"> Translation note: Greek keeps this difficult covenant line.</w:t>
      </w:r>
    </w:p>
  </w:footnote>
  <w:footnote w:id="5494">
    <w:p>
      <w:pPr>
        <w:pStyle w:val="FootnoteText"/>
      </w:pPr>
      <w:r>
        <w:rPr>
          <w:rStyle w:val="FootnoteReference"/>
        </w:rPr>
        <w:footnoteRef/>
      </w:r>
      <w:r>
        <w:t xml:space="preserve"> Cross-references for "new moon": 1Sam 20:5.</w:t>
      </w:r>
    </w:p>
  </w:footnote>
  <w:footnote w:id="5495">
    <w:p>
      <w:pPr>
        <w:pStyle w:val="FootnoteText"/>
      </w:pPr>
      <w:r>
        <w:rPr>
          <w:rStyle w:val="FootnoteReference"/>
        </w:rPr>
        <w:footnoteRef/>
      </w:r>
      <w:r>
        <w:t xml:space="preserve"> Transliterated proper noun: Ezel. Standard English equivalent: Ezel. Source form: Ezel. Greek form: ηξεις. Name meaning: going abroad; walk.</w:t>
      </w:r>
    </w:p>
  </w:footnote>
  <w:footnote w:id="5496">
    <w:p>
      <w:pPr>
        <w:pStyle w:val="FootnoteText"/>
      </w:pPr>
      <w:r>
        <w:rPr>
          <w:rStyle w:val="FootnoteReference"/>
        </w:rPr>
        <w:footnoteRef/>
      </w:r>
      <w:r>
        <w:t xml:space="preserve"> Translation note: Greek says on this side here. Current line keeps that wording.</w:t>
      </w:r>
    </w:p>
  </w:footnote>
  <w:footnote w:id="5497">
    <w:p>
      <w:pPr>
        <w:pStyle w:val="FootnoteText"/>
      </w:pPr>
      <w:r>
        <w:rPr>
          <w:rStyle w:val="FootnoteReference"/>
        </w:rPr>
        <w:footnoteRef/>
      </w:r>
      <w:r>
        <w:t xml:space="preserve"> Cross-references for "as the": Jer 4:2; Jer 5:2.</w:t>
      </w:r>
    </w:p>
  </w:footnote>
  <w:footnote w:id="5498">
    <w:p>
      <w:pPr>
        <w:pStyle w:val="FootnoteText"/>
      </w:pPr>
      <w:r>
        <w:rPr>
          <w:rStyle w:val="FootnoteReference"/>
        </w:rPr>
        <w:footnoteRef/>
      </w:r>
      <w:r>
        <w:t xml:space="preserve"> Translation note: Greek keeps the directional sign in compressed form. Current wording follows that signal formula closely.</w:t>
      </w:r>
    </w:p>
  </w:footnote>
  <w:footnote w:id="5499">
    <w:p>
      <w:pPr>
        <w:pStyle w:val="FootnoteText"/>
      </w:pPr>
      <w:r>
        <w:rPr>
          <w:rStyle w:val="FootnoteReference"/>
        </w:rPr>
        <w:footnoteRef/>
      </w:r>
      <w:r>
        <w:t xml:space="preserve"> Cross-references for "the Lord": Gen 16:5; Gen 31:50.</w:t>
      </w:r>
    </w:p>
  </w:footnote>
  <w:footnote w:id="5500">
    <w:p>
      <w:pPr>
        <w:pStyle w:val="FootnoteText"/>
      </w:pPr>
      <w:r>
        <w:rPr>
          <w:rStyle w:val="FootnoteReference"/>
        </w:rPr>
        <w:footnoteRef/>
      </w:r>
      <w:r>
        <w:t xml:space="preserve"> Cross-references for "he is not clean": Lev 7:21; Lev 11:24.</w:t>
      </w:r>
    </w:p>
  </w:footnote>
  <w:footnote w:id="5501">
    <w:p>
      <w:pPr>
        <w:pStyle w:val="FootnoteText"/>
      </w:pPr>
      <w:r>
        <w:rPr>
          <w:rStyle w:val="FootnoteReference"/>
        </w:rPr>
        <w:footnoteRef/>
      </w:r>
      <w:r>
        <w:t xml:space="preserve"> Translation note: Greek says David's place was looked into or inspected rather than simply empty. The translation keeps that nuance.</w:t>
      </w:r>
    </w:p>
  </w:footnote>
  <w:footnote w:id="5502">
    <w:p>
      <w:pPr>
        <w:pStyle w:val="FootnoteText"/>
      </w:pPr>
      <w:r>
        <w:rPr>
          <w:rStyle w:val="FootnoteReference"/>
        </w:rPr>
        <w:footnoteRef/>
      </w:r>
      <w:r>
        <w:t xml:space="preserve"> Cross-references for "the son": 1Sam 22:7-9; 1Sam 22:13-14.</w:t>
      </w:r>
    </w:p>
  </w:footnote>
  <w:footnote w:id="5503">
    <w:p>
      <w:pPr>
        <w:pStyle w:val="FootnoteText"/>
      </w:pPr>
      <w:r>
        <w:rPr>
          <w:rStyle w:val="FootnoteReference"/>
        </w:rPr>
        <w:footnoteRef/>
      </w:r>
      <w:r>
        <w:t xml:space="preserve"> Translation note: Greek says I will indeed escape and see my brothers.</w:t>
      </w:r>
    </w:p>
  </w:footnote>
  <w:footnote w:id="5504">
    <w:p>
      <w:pPr>
        <w:pStyle w:val="FootnoteText"/>
      </w:pPr>
      <w:r>
        <w:rPr>
          <w:rStyle w:val="FootnoteReference"/>
        </w:rPr>
        <w:footnoteRef/>
      </w:r>
      <w:r>
        <w:t xml:space="preserve"> Translation note: Greek says son of fleeing girls here.</w:t>
      </w:r>
    </w:p>
  </w:footnote>
  <w:footnote w:id="5505">
    <w:p>
      <w:pPr>
        <w:pStyle w:val="FootnoteText"/>
      </w:pPr>
      <w:r>
        <w:rPr>
          <w:rStyle w:val="FootnoteReference"/>
        </w:rPr>
        <w:footnoteRef/>
      </w:r>
      <w:r>
        <w:t xml:space="preserve"> Cross-references for "send": 1Sam 19:6; 1Sam 19:11-15.</w:t>
      </w:r>
    </w:p>
  </w:footnote>
  <w:footnote w:id="5506">
    <w:p>
      <w:pPr>
        <w:pStyle w:val="FootnoteText"/>
      </w:pPr>
      <w:r>
        <w:rPr>
          <w:rStyle w:val="FootnoteReference"/>
        </w:rPr>
        <w:footnoteRef/>
      </w:r>
      <w:r>
        <w:t xml:space="preserve"> Cross-references for "and fell": Gen 43:28; 1Sam 25:23.</w:t>
      </w:r>
    </w:p>
  </w:footnote>
  <w:footnote w:id="5507">
    <w:p>
      <w:pPr>
        <w:pStyle w:val="FootnoteText"/>
      </w:pPr>
      <w:r>
        <w:rPr>
          <w:rStyle w:val="FootnoteReference"/>
        </w:rPr>
        <w:footnoteRef/>
      </w:r>
      <w:r>
        <w:t xml:space="preserve"> Translation note: Greek says they wept until great completion.</w:t>
      </w:r>
    </w:p>
  </w:footnote>
  <w:footnote w:id="5508">
    <w:p>
      <w:pPr>
        <w:pStyle w:val="FootnoteText"/>
      </w:pPr>
      <w:r>
        <w:rPr>
          <w:rStyle w:val="FootnoteReference"/>
        </w:rPr>
        <w:footnoteRef/>
      </w:r>
      <w:r>
        <w:t xml:space="preserve"> Cross-references for "Go in peace": Num 6:26; 1Sam 1:17.</w:t>
      </w:r>
    </w:p>
  </w:footnote>
  <w:footnote w:id="5509">
    <w:p>
      <w:pPr>
        <w:pStyle w:val="FootnoteText"/>
      </w:pPr>
      <w:r>
        <w:rPr>
          <w:rStyle w:val="FootnoteReference"/>
        </w:rPr>
        <w:footnoteRef/>
      </w:r>
      <w:r>
        <w:t xml:space="preserve"> Translation note: The covenant language looks forward, with the Lord standing as continuing witness over both men and their offspring.</w:t>
      </w:r>
    </w:p>
  </w:footnote>
  <w:footnote w:id="5510">
    <w:p>
      <w:pPr>
        <w:pStyle w:val="FootnoteText"/>
      </w:pPr>
      <w:r>
        <w:rPr>
          <w:rStyle w:val="FootnoteReference"/>
        </w:rPr>
        <w:footnoteRef/>
      </w:r>
      <w:r>
        <w:t xml:space="preserve"> MT/LXX note: The Septuagint verse here contains a different transition from the Masoretic Nob narrative. The translation follows the Greek content at this verse number.</w:t>
      </w:r>
    </w:p>
  </w:footnote>
  <w:footnote w:id="5511">
    <w:p>
      <w:pPr>
        <w:pStyle w:val="FootnoteText"/>
      </w:pPr>
      <w:r>
        <w:rPr>
          <w:rStyle w:val="FootnoteReference"/>
        </w:rPr>
        <w:footnoteRef/>
      </w:r>
      <w:r>
        <w:t xml:space="preserve"> Place name: Nob. Place-name meaning: Nob — discourse; prophecy. Source form: Nob. Greek form: νομβα.</w:t>
      </w:r>
    </w:p>
  </w:footnote>
  <w:footnote w:id="5512">
    <w:p>
      <w:pPr>
        <w:pStyle w:val="FootnoteText"/>
      </w:pPr>
      <w:r>
        <w:rPr>
          <w:rStyle w:val="FootnoteReference"/>
        </w:rPr>
        <w:footnoteRef/>
      </w:r>
      <w:r>
        <w:t xml:space="preserve"> Translation note: Greek says Abimelech stood outside himself to meet him.</w:t>
      </w:r>
    </w:p>
  </w:footnote>
  <w:footnote w:id="5513">
    <w:p>
      <w:pPr>
        <w:pStyle w:val="FootnoteText"/>
      </w:pPr>
      <w:r>
        <w:rPr>
          <w:rStyle w:val="FootnoteReference"/>
        </w:rPr>
        <w:footnoteRef/>
      </w:r>
      <w:r>
        <w:t xml:space="preserve"> MT/LXX note: The Septuagint places David's mission explanation here rather than the Masoretic bread request. The translation follows the Greek content and keeps the difficult place-name phrase visible.</w:t>
      </w:r>
    </w:p>
  </w:footnote>
  <w:footnote w:id="5514">
    <w:p>
      <w:pPr>
        <w:pStyle w:val="FootnoteText"/>
      </w:pPr>
      <w:r>
        <w:rPr>
          <w:rStyle w:val="FootnoteReference"/>
        </w:rPr>
        <w:footnoteRef/>
      </w:r>
      <w:r>
        <w:t xml:space="preserve"> Translation note: Greek leaves the request open-ended rather than fully narrowing it to what is ready. The translation keeps that openness.</w:t>
      </w:r>
    </w:p>
  </w:footnote>
  <w:footnote w:id="5515">
    <w:p>
      <w:pPr>
        <w:pStyle w:val="FootnoteText"/>
      </w:pPr>
      <w:r>
        <w:rPr>
          <w:rStyle w:val="FootnoteReference"/>
        </w:rPr>
        <w:footnoteRef/>
      </w:r>
      <w:r>
        <w:t xml:space="preserve"> Translation note: Greek keeps singular woman here.</w:t>
      </w:r>
    </w:p>
  </w:footnote>
  <w:footnote w:id="5516">
    <w:p>
      <w:pPr>
        <w:pStyle w:val="FootnoteText"/>
      </w:pPr>
      <w:r>
        <w:rPr>
          <w:rStyle w:val="FootnoteReference"/>
        </w:rPr>
        <w:footnoteRef/>
      </w:r>
      <w:r>
        <w:t xml:space="preserve"> Translation note: Greek says kept from woman here. Current line keeps that wording.</w:t>
      </w:r>
    </w:p>
  </w:footnote>
  <w:footnote w:id="5517">
    <w:p>
      <w:pPr>
        <w:pStyle w:val="FootnoteText"/>
      </w:pPr>
      <w:r>
        <w:rPr>
          <w:rStyle w:val="FootnoteReference"/>
        </w:rPr>
        <w:footnoteRef/>
      </w:r>
      <w:r>
        <w:t xml:space="preserve"> MT/LXX note: The Septuagint places the holy-bread line here rather than the Masoretic Doeg notice. The translation follows the Greek content.</w:t>
      </w:r>
    </w:p>
  </w:footnote>
  <w:footnote w:id="5518">
    <w:p>
      <w:pPr>
        <w:pStyle w:val="FootnoteText"/>
      </w:pPr>
      <w:r>
        <w:rPr>
          <w:rStyle w:val="FootnoteReference"/>
        </w:rPr>
        <w:footnoteRef/>
      </w:r>
      <w:r>
        <w:t xml:space="preserve"> Personal name: Doeg. Personal-name meaning: Doeg — careful, who acts with uneasiness. Source form: Doeg.</w:t>
      </w:r>
    </w:p>
  </w:footnote>
  <w:footnote w:id="5519">
    <w:p>
      <w:pPr>
        <w:pStyle w:val="FootnoteText"/>
      </w:pPr>
      <w:r>
        <w:rPr>
          <w:rStyle w:val="FootnoteReference"/>
        </w:rPr>
        <w:footnoteRef/>
      </w:r>
      <w:r>
        <w:t xml:space="preserve"> MT/LXX note: The Septuagint places the Doeg notice here rather than the Masoretic weapons request. The translation follows the Greek content.</w:t>
      </w:r>
    </w:p>
  </w:footnote>
  <w:footnote w:id="5520">
    <w:p>
      <w:pPr>
        <w:pStyle w:val="FootnoteText"/>
      </w:pPr>
      <w:r>
        <w:rPr>
          <w:rStyle w:val="FootnoteReference"/>
        </w:rPr>
        <w:footnoteRef/>
      </w:r>
      <w:r>
        <w:t xml:space="preserve"> Translation note: Greek gives David request for weapon here.</w:t>
      </w:r>
    </w:p>
  </w:footnote>
  <w:footnote w:id="5521">
    <w:p>
      <w:pPr>
        <w:pStyle w:val="FootnoteText"/>
      </w:pPr>
      <w:r>
        <w:rPr>
          <w:rStyle w:val="FootnoteReference"/>
        </w:rPr>
        <w:footnoteRef/>
      </w:r>
      <w:r>
        <w:t xml:space="preserve"> Personal name: Ela. Personal-name meaning: Ela — oak; terebinth. Source form: Ela.</w:t>
      </w:r>
    </w:p>
  </w:footnote>
  <w:footnote w:id="5522">
    <w:p>
      <w:pPr>
        <w:pStyle w:val="FootnoteText"/>
      </w:pPr>
      <w:r>
        <w:rPr>
          <w:rStyle w:val="FootnoteReference"/>
        </w:rPr>
        <w:footnoteRef/>
      </w:r>
      <w:r>
        <w:t xml:space="preserve"> Translation note: Greek keeps the self-directed taking language here. Current line stays close.</w:t>
      </w:r>
    </w:p>
  </w:footnote>
  <w:footnote w:id="5523">
    <w:p>
      <w:pPr>
        <w:pStyle w:val="FootnoteText"/>
      </w:pPr>
      <w:r>
        <w:rPr>
          <w:rStyle w:val="FootnoteReference"/>
        </w:rPr>
        <w:footnoteRef/>
      </w:r>
      <w:r>
        <w:t xml:space="preserve"> MT/LXX note: The Septuagint verse here contains a transition line rather than the Masoretic reaction of Achish's servants. The translation follows the Greek content.</w:t>
      </w:r>
    </w:p>
  </w:footnote>
  <w:footnote w:id="5524">
    <w:p>
      <w:pPr>
        <w:pStyle w:val="FootnoteText"/>
      </w:pPr>
      <w:r>
        <w:rPr>
          <w:rStyle w:val="FootnoteReference"/>
        </w:rPr>
        <w:footnoteRef/>
      </w:r>
      <w:r>
        <w:t xml:space="preserve"> Personal name: Achish. Personal-name meaning: Achish — thus it is; how is this. Source form: Achish.</w:t>
      </w:r>
    </w:p>
  </w:footnote>
  <w:footnote w:id="5525">
    <w:p>
      <w:pPr>
        <w:pStyle w:val="FootnoteText"/>
      </w:pPr>
      <w:r>
        <w:rPr>
          <w:rStyle w:val="FootnoteReference"/>
        </w:rPr>
        <w:footnoteRef/>
      </w:r>
      <w:r>
        <w:t xml:space="preserve"> Translation note: Greek says king of land here. Current line keeps that phrase.</w:t>
      </w:r>
    </w:p>
  </w:footnote>
  <w:footnote w:id="5526">
    <w:p>
      <w:pPr>
        <w:pStyle w:val="FootnoteText"/>
      </w:pPr>
      <w:r>
        <w:rPr>
          <w:rStyle w:val="FootnoteReference"/>
        </w:rPr>
        <w:footnoteRef/>
      </w:r>
      <w:r>
        <w:t xml:space="preserve"> MT/LXX note: The Septuagint places David's inner response here rather than the Masoretic behavior-change line. The translation follows the Greek content.</w:t>
      </w:r>
    </w:p>
  </w:footnote>
  <w:footnote w:id="5527">
    <w:p>
      <w:pPr>
        <w:pStyle w:val="FootnoteText"/>
      </w:pPr>
      <w:r>
        <w:rPr>
          <w:rStyle w:val="FootnoteReference"/>
        </w:rPr>
        <w:footnoteRef/>
      </w:r>
      <w:r>
        <w:t xml:space="preserve"> Translation note: Greek describes deliberate change of appearance and behavior. English LXX witnesses support keeping the actions explicit without deciding more than the text states.</w:t>
      </w:r>
    </w:p>
  </w:footnote>
  <w:footnote w:id="5528">
    <w:p>
      <w:pPr>
        <w:pStyle w:val="FootnoteText"/>
      </w:pPr>
      <w:r>
        <w:rPr>
          <w:rStyle w:val="FootnoteReference"/>
        </w:rPr>
        <w:footnoteRef/>
      </w:r>
      <w:r>
        <w:t xml:space="preserve"> Cross-references for "David": 1Sam 21:10-15; Ps 34:1.</w:t>
      </w:r>
    </w:p>
  </w:footnote>
  <w:footnote w:id="5529">
    <w:p>
      <w:pPr>
        <w:pStyle w:val="FootnoteText"/>
      </w:pPr>
      <w:r>
        <w:rPr>
          <w:rStyle w:val="FootnoteReference"/>
        </w:rPr>
        <w:footnoteRef/>
      </w:r>
      <w:r>
        <w:t xml:space="preserve"> Cross-references for "distress": Judg 11:3; Matt 11:12.</w:t>
      </w:r>
    </w:p>
  </w:footnote>
  <w:footnote w:id="5530">
    <w:p>
      <w:pPr>
        <w:pStyle w:val="FootnoteText"/>
      </w:pPr>
      <w:r>
        <w:rPr>
          <w:rStyle w:val="FootnoteReference"/>
        </w:rPr>
        <w:footnoteRef/>
      </w:r>
      <w:r>
        <w:t xml:space="preserve"> Cross-references for "spear": 1Sam 18:10; 1Sam 19:9.</w:t>
      </w:r>
    </w:p>
  </w:footnote>
  <w:footnote w:id="5531">
    <w:p>
      <w:pPr>
        <w:pStyle w:val="FootnoteText"/>
      </w:pPr>
      <w:r>
        <w:rPr>
          <w:rStyle w:val="FootnoteReference"/>
        </w:rPr>
        <w:footnoteRef/>
      </w:r>
      <w:r>
        <w:t xml:space="preserve"> Cross-references for "the son of Jesse": 1Sam 18:14; 1Sam 20:27.</w:t>
      </w:r>
    </w:p>
  </w:footnote>
  <w:footnote w:id="5532">
    <w:p>
      <w:pPr>
        <w:pStyle w:val="FootnoteText"/>
      </w:pPr>
      <w:r>
        <w:rPr>
          <w:rStyle w:val="FootnoteReference"/>
        </w:rPr>
        <w:footnoteRef/>
      </w:r>
      <w:r>
        <w:t xml:space="preserve"> Translation note: Greek says those military titles here.</w:t>
      </w:r>
    </w:p>
  </w:footnote>
  <w:footnote w:id="5533">
    <w:p>
      <w:pPr>
        <w:pStyle w:val="FootnoteText"/>
      </w:pPr>
      <w:r>
        <w:rPr>
          <w:rStyle w:val="FootnoteReference"/>
        </w:rPr>
        <w:footnoteRef/>
      </w:r>
      <w:r>
        <w:t xml:space="preserve"> Translation note: Greek says uncover my ear here. Current line keeps that idiom.</w:t>
      </w:r>
    </w:p>
  </w:footnote>
  <w:footnote w:id="5534">
    <w:p>
      <w:pPr>
        <w:pStyle w:val="FootnoteText"/>
      </w:pPr>
      <w:r>
        <w:rPr>
          <w:rStyle w:val="FootnoteReference"/>
        </w:rPr>
        <w:footnoteRef/>
      </w:r>
      <w:r>
        <w:t xml:space="preserve"> Cross-references for "that my son": 1Sam 18:3; 1Sam 20:8.</w:t>
      </w:r>
    </w:p>
  </w:footnote>
  <w:footnote w:id="5535">
    <w:p>
      <w:pPr>
        <w:pStyle w:val="FootnoteText"/>
      </w:pPr>
      <w:r>
        <w:rPr>
          <w:rStyle w:val="FootnoteReference"/>
        </w:rPr>
        <w:footnoteRef/>
      </w:r>
      <w:r>
        <w:t xml:space="preserve"> Cross-references for "Doeg": 1Sam 21:7; Ps 52:1.</w:t>
      </w:r>
    </w:p>
  </w:footnote>
  <w:footnote w:id="5536">
    <w:p>
      <w:pPr>
        <w:pStyle w:val="FootnoteText"/>
      </w:pPr>
      <w:r>
        <w:rPr>
          <w:rStyle w:val="FootnoteReference"/>
        </w:rPr>
        <w:footnoteRef/>
      </w:r>
      <w:r>
        <w:t xml:space="preserve"> Cross-references for "he inquired": Num 27:21; 1Sam 22:13.</w:t>
      </w:r>
    </w:p>
  </w:footnote>
  <w:footnote w:id="5537">
    <w:p>
      <w:pPr>
        <w:pStyle w:val="FootnoteText"/>
      </w:pPr>
      <w:r>
        <w:rPr>
          <w:rStyle w:val="FootnoteReference"/>
        </w:rPr>
        <w:footnoteRef/>
      </w:r>
      <w:r>
        <w:t xml:space="preserve"> Cross-references for "sent to call": Rom 3:15.</w:t>
      </w:r>
    </w:p>
  </w:footnote>
  <w:footnote w:id="5538">
    <w:p>
      <w:pPr>
        <w:pStyle w:val="FootnoteText"/>
      </w:pPr>
      <w:r>
        <w:rPr>
          <w:rStyle w:val="FootnoteReference"/>
        </w:rPr>
        <w:footnoteRef/>
      </w:r>
      <w:r>
        <w:t xml:space="preserve"> Translation note: Greek says conspire here. Current line keeps that wording.</w:t>
      </w:r>
    </w:p>
  </w:footnote>
  <w:footnote w:id="5539">
    <w:p>
      <w:pPr>
        <w:pStyle w:val="FootnoteText"/>
      </w:pPr>
      <w:r>
        <w:rPr>
          <w:rStyle w:val="FootnoteReference"/>
        </w:rPr>
        <w:footnoteRef/>
      </w:r>
      <w:r>
        <w:t xml:space="preserve"> Cross-references for "And who": 1Sam 19:4-5; 1Sam 20:32.</w:t>
      </w:r>
    </w:p>
  </w:footnote>
  <w:footnote w:id="5540">
    <w:p>
      <w:pPr>
        <w:pStyle w:val="FootnoteText"/>
      </w:pPr>
      <w:r>
        <w:rPr>
          <w:rStyle w:val="FootnoteReference"/>
        </w:rPr>
        <w:footnoteRef/>
      </w:r>
      <w:r>
        <w:t xml:space="preserve"> Translation note: Greek says let king not put a word against servant and knew nothing small or great.</w:t>
      </w:r>
    </w:p>
  </w:footnote>
  <w:footnote w:id="5541">
    <w:p>
      <w:pPr>
        <w:pStyle w:val="FootnoteText"/>
      </w:pPr>
      <w:r>
        <w:rPr>
          <w:rStyle w:val="FootnoteReference"/>
        </w:rPr>
        <w:footnoteRef/>
      </w:r>
      <w:r>
        <w:t xml:space="preserve"> Translation note: Greek says they did not uncover my ear.</w:t>
      </w:r>
    </w:p>
  </w:footnote>
  <w:footnote w:id="5542">
    <w:p>
      <w:pPr>
        <w:pStyle w:val="FootnoteText"/>
      </w:pPr>
      <w:r>
        <w:rPr>
          <w:rStyle w:val="FootnoteReference"/>
        </w:rPr>
        <w:footnoteRef/>
      </w:r>
      <w:r>
        <w:t xml:space="preserve"> Cross-references for "Doeg": 1Sam 22:9.</w:t>
      </w:r>
    </w:p>
  </w:footnote>
  <w:footnote w:id="5543">
    <w:p>
      <w:pPr>
        <w:pStyle w:val="FootnoteText"/>
      </w:pPr>
      <w:r>
        <w:rPr>
          <w:rStyle w:val="FootnoteReference"/>
        </w:rPr>
        <w:footnoteRef/>
      </w:r>
      <w:r>
        <w:t xml:space="preserve"> Cross-references for "escaped": 1Sam 2:33; 1Sam 4:12.</w:t>
      </w:r>
    </w:p>
  </w:footnote>
  <w:footnote w:id="5544">
    <w:p>
      <w:pPr>
        <w:pStyle w:val="FootnoteText"/>
      </w:pPr>
      <w:r>
        <w:rPr>
          <w:rStyle w:val="FootnoteReference"/>
        </w:rPr>
        <w:footnoteRef/>
      </w:r>
      <w:r>
        <w:t xml:space="preserve"> Name meaning: Abiathar (Evyatar) — Father of abundance; father excels. Priest who survived Nob and served David before being removed by Solomon.</w:t>
      </w:r>
    </w:p>
  </w:footnote>
  <w:footnote w:id="5545">
    <w:p>
      <w:pPr>
        <w:pStyle w:val="FootnoteText"/>
      </w:pPr>
      <w:r>
        <w:rPr>
          <w:rStyle w:val="FootnoteReference"/>
        </w:rPr>
        <w:footnoteRef/>
      </w:r>
      <w:r>
        <w:t xml:space="preserve"> Cross-references for "Keilah": Josh 15:44; Neh 3:17-18.</w:t>
      </w:r>
    </w:p>
  </w:footnote>
  <w:footnote w:id="5546">
    <w:p>
      <w:pPr>
        <w:pStyle w:val="FootnoteText"/>
      </w:pPr>
      <w:r>
        <w:rPr>
          <w:rStyle w:val="FootnoteReference"/>
        </w:rPr>
        <w:footnoteRef/>
      </w:r>
      <w:r>
        <w:t xml:space="preserve"> Cross-references for "inquired": Num 27:21; Josh 9:14.</w:t>
      </w:r>
    </w:p>
  </w:footnote>
  <w:footnote w:id="5547">
    <w:p>
      <w:pPr>
        <w:pStyle w:val="FootnoteText"/>
      </w:pPr>
      <w:r>
        <w:rPr>
          <w:rStyle w:val="FootnoteReference"/>
        </w:rPr>
        <w:footnoteRef/>
      </w:r>
      <w:r>
        <w:t xml:space="preserve"> Cross-references for "Behold": 1Sam 23:15; 1Sam 23:23.</w:t>
      </w:r>
    </w:p>
  </w:footnote>
  <w:footnote w:id="5548">
    <w:p>
      <w:pPr>
        <w:pStyle w:val="FootnoteText"/>
      </w:pPr>
      <w:r>
        <w:rPr>
          <w:rStyle w:val="FootnoteReference"/>
        </w:rPr>
        <w:footnoteRef/>
      </w:r>
      <w:r>
        <w:t xml:space="preserve"> Cross-references for "when Abiathar": 1Sam 22:20.</w:t>
      </w:r>
    </w:p>
  </w:footnote>
  <w:footnote w:id="5549">
    <w:p>
      <w:pPr>
        <w:pStyle w:val="FootnoteText"/>
      </w:pPr>
      <w:r>
        <w:rPr>
          <w:rStyle w:val="FootnoteReference"/>
        </w:rPr>
        <w:footnoteRef/>
      </w:r>
      <w:r>
        <w:t xml:space="preserve"> Cross-references for "David": Jer 11:18-19; Acts 9:24.</w:t>
      </w:r>
    </w:p>
  </w:footnote>
  <w:footnote w:id="5550">
    <w:p>
      <w:pPr>
        <w:pStyle w:val="FootnoteText"/>
      </w:pPr>
      <w:r>
        <w:rPr>
          <w:rStyle w:val="FootnoteReference"/>
        </w:rPr>
        <w:footnoteRef/>
      </w:r>
      <w:r>
        <w:t xml:space="preserve"> Cross-references for "destroy the city": Gen 18:24; 1Sam 22:19.</w:t>
      </w:r>
    </w:p>
  </w:footnote>
  <w:footnote w:id="5551">
    <w:p>
      <w:pPr>
        <w:pStyle w:val="FootnoteText"/>
      </w:pPr>
      <w:r>
        <w:rPr>
          <w:rStyle w:val="FootnoteReference"/>
        </w:rPr>
        <w:footnoteRef/>
      </w:r>
      <w:r>
        <w:t xml:space="preserve"> Cross-references for "And the Lord": Ps 50:15; Jer 33:3.</w:t>
      </w:r>
    </w:p>
  </w:footnote>
  <w:footnote w:id="5552">
    <w:p>
      <w:pPr>
        <w:pStyle w:val="FootnoteText"/>
      </w:pPr>
      <w:r>
        <w:rPr>
          <w:rStyle w:val="FootnoteReference"/>
        </w:rPr>
        <w:footnoteRef/>
      </w:r>
      <w:r>
        <w:t xml:space="preserve"> Cross-references for "the wilderness": Josh 15:24; Josh 15:55.</w:t>
      </w:r>
    </w:p>
  </w:footnote>
  <w:footnote w:id="5553">
    <w:p>
      <w:pPr>
        <w:pStyle w:val="FootnoteText"/>
      </w:pPr>
      <w:r>
        <w:rPr>
          <w:rStyle w:val="FootnoteReference"/>
        </w:rPr>
        <w:footnoteRef/>
      </w:r>
      <w:r>
        <w:t xml:space="preserve"> Translation note: The Greek keeps the bodily idiom of strengthening hands. The draft preserves that image instead of replacing it with a more abstract encouragement formula. Existing English witnesses support keeping the hands-language here.</w:t>
      </w:r>
    </w:p>
  </w:footnote>
  <w:footnote w:id="5554">
    <w:p>
      <w:pPr>
        <w:pStyle w:val="FootnoteText"/>
      </w:pPr>
      <w:r>
        <w:rPr>
          <w:rStyle w:val="FootnoteReference"/>
        </w:rPr>
        <w:footnoteRef/>
      </w:r>
      <w:r>
        <w:t xml:space="preserve"> Cross-references for "strengthened": Deut 3:28; Neh 2:18.</w:t>
      </w:r>
    </w:p>
  </w:footnote>
  <w:footnote w:id="5555">
    <w:p>
      <w:pPr>
        <w:pStyle w:val="FootnoteText"/>
      </w:pPr>
      <w:r>
        <w:rPr>
          <w:rStyle w:val="FootnoteReference"/>
        </w:rPr>
        <w:footnoteRef/>
      </w:r>
      <w:r>
        <w:t xml:space="preserve"> People-name: Ziphites. People-name meaning: Ziphites — this mouth or mouthful; falsehood. Source form: Ziphites.</w:t>
      </w:r>
    </w:p>
  </w:footnote>
  <w:footnote w:id="5556">
    <w:p>
      <w:pPr>
        <w:pStyle w:val="FootnoteText"/>
      </w:pPr>
      <w:r>
        <w:rPr>
          <w:rStyle w:val="FootnoteReference"/>
        </w:rPr>
        <w:footnoteRef/>
      </w:r>
      <w:r>
        <w:t xml:space="preserve"> Place name: Hachilah. Place-name meaning: Hachilah — my hope is in her. Source form: Hachilah. Greek form: εχελα.</w:t>
      </w:r>
    </w:p>
  </w:footnote>
  <w:footnote w:id="5557">
    <w:p>
      <w:pPr>
        <w:pStyle w:val="FootnoteText"/>
      </w:pPr>
      <w:r>
        <w:rPr>
          <w:rStyle w:val="FootnoteReference"/>
        </w:rPr>
        <w:footnoteRef/>
      </w:r>
      <w:r>
        <w:t xml:space="preserve"> Place name: Jeshimon. Place-name meaning: Jeshimon — solitude; desolation. Source form: Jeshimon. Greek form: ιεσσαιμουν.</w:t>
      </w:r>
    </w:p>
  </w:footnote>
  <w:footnote w:id="5558">
    <w:p>
      <w:pPr>
        <w:pStyle w:val="FootnoteText"/>
      </w:pPr>
      <w:r>
        <w:rPr>
          <w:rStyle w:val="FootnoteReference"/>
        </w:rPr>
        <w:footnoteRef/>
      </w:r>
      <w:r>
        <w:t xml:space="preserve"> Cross-references for "the Ziphites": 1Sam 22:7-8; 1Sam 26:1.</w:t>
      </w:r>
    </w:p>
  </w:footnote>
  <w:footnote w:id="5559">
    <w:p>
      <w:pPr>
        <w:pStyle w:val="FootnoteText"/>
      </w:pPr>
      <w:r>
        <w:rPr>
          <w:rStyle w:val="FootnoteReference"/>
        </w:rPr>
        <w:footnoteRef/>
      </w:r>
      <w:r>
        <w:t xml:space="preserve"> Cross-references for "all the desire": Deut 18:6; 2Sam 3:21.</w:t>
      </w:r>
    </w:p>
  </w:footnote>
  <w:footnote w:id="5560">
    <w:p>
      <w:pPr>
        <w:pStyle w:val="FootnoteText"/>
      </w:pPr>
      <w:r>
        <w:rPr>
          <w:rStyle w:val="FootnoteReference"/>
        </w:rPr>
        <w:footnoteRef/>
      </w:r>
      <w:r>
        <w:t xml:space="preserve"> Cross-references for "I will search": 2Sam 17:11-13; 1Kgs 18:10.</w:t>
      </w:r>
    </w:p>
  </w:footnote>
  <w:footnote w:id="5561">
    <w:p>
      <w:pPr>
        <w:pStyle w:val="FootnoteText"/>
      </w:pPr>
      <w:r>
        <w:rPr>
          <w:rStyle w:val="FootnoteReference"/>
        </w:rPr>
        <w:footnoteRef/>
      </w:r>
      <w:r>
        <w:t xml:space="preserve"> Translation note: Greek compresses search order and keeps thousands of Judah.</w:t>
      </w:r>
    </w:p>
  </w:footnote>
  <w:footnote w:id="5562">
    <w:p>
      <w:pPr>
        <w:pStyle w:val="FootnoteText"/>
      </w:pPr>
      <w:r>
        <w:rPr>
          <w:rStyle w:val="FootnoteReference"/>
        </w:rPr>
        <w:footnoteRef/>
      </w:r>
      <w:r>
        <w:t xml:space="preserve"> Cross-references for "the wilderness": 1Sam 25:2.</w:t>
      </w:r>
    </w:p>
  </w:footnote>
  <w:footnote w:id="5563">
    <w:p>
      <w:pPr>
        <w:pStyle w:val="FootnoteText"/>
      </w:pPr>
      <w:r>
        <w:rPr>
          <w:rStyle w:val="FootnoteReference"/>
        </w:rPr>
        <w:footnoteRef/>
      </w:r>
      <w:r>
        <w:t xml:space="preserve"> Translation note: Greek says camped against them here.</w:t>
      </w:r>
    </w:p>
  </w:footnote>
  <w:footnote w:id="5564">
    <w:p>
      <w:pPr>
        <w:pStyle w:val="FootnoteText"/>
      </w:pPr>
      <w:r>
        <w:rPr>
          <w:rStyle w:val="FootnoteReference"/>
        </w:rPr>
        <w:footnoteRef/>
      </w:r>
      <w:r>
        <w:t xml:space="preserve"> MT/LXX note: The Septuagint places David's dwelling-place note here rather than the Masoretic report to Saul. The translation follows the Greek content.</w:t>
      </w:r>
    </w:p>
  </w:footnote>
  <w:footnote w:id="5565">
    <w:p>
      <w:pPr>
        <w:pStyle w:val="FootnoteText"/>
      </w:pPr>
      <w:r>
        <w:rPr>
          <w:rStyle w:val="FootnoteReference"/>
        </w:rPr>
        <w:footnoteRef/>
      </w:r>
      <w:r>
        <w:t xml:space="preserve"> Place name: Engedi. Place-name meaning: Engedi — eye, or fountain, of the goat, or of happiness. Source form: Engedi. Greek form: εγγαδδι.</w:t>
      </w:r>
    </w:p>
  </w:footnote>
  <w:footnote w:id="5566">
    <w:p>
      <w:pPr>
        <w:pStyle w:val="FootnoteText"/>
      </w:pPr>
      <w:r>
        <w:rPr>
          <w:rStyle w:val="FootnoteReference"/>
        </w:rPr>
        <w:footnoteRef/>
      </w:r>
      <w:r>
        <w:t xml:space="preserve"> Translation note: The project keeps allophyloi as foreigners in this stream. The translation also keeps the Greek pursuit phrasing close.</w:t>
      </w:r>
    </w:p>
  </w:footnote>
  <w:footnote w:id="5567">
    <w:p>
      <w:pPr>
        <w:pStyle w:val="FootnoteText"/>
      </w:pPr>
      <w:r>
        <w:rPr>
          <w:rStyle w:val="FootnoteReference"/>
        </w:rPr>
        <w:footnoteRef/>
      </w:r>
      <w:r>
        <w:t xml:space="preserve"> MT/LXX note: Greek uses a directional phrase that differs from the Masoretic scene wording at this numbering point. The translation keeps the Greek form.</w:t>
      </w:r>
    </w:p>
  </w:footnote>
  <w:footnote w:id="5568">
    <w:p>
      <w:pPr>
        <w:pStyle w:val="FootnoteText"/>
      </w:pPr>
      <w:r>
        <w:rPr>
          <w:rStyle w:val="FootnoteReference"/>
        </w:rPr>
        <w:footnoteRef/>
      </w:r>
      <w:r>
        <w:t xml:space="preserve"> Cross-references for "David": Ps 57:1; Ps 142:1.</w:t>
      </w:r>
    </w:p>
  </w:footnote>
  <w:footnote w:id="5569">
    <w:p>
      <w:pPr>
        <w:pStyle w:val="FootnoteText"/>
      </w:pPr>
      <w:r>
        <w:rPr>
          <w:rStyle w:val="FootnoteReference"/>
        </w:rPr>
        <w:footnoteRef/>
      </w:r>
      <w:r>
        <w:t xml:space="preserve"> Translation note: Greek says Saul entered cave to prepare himself.</w:t>
      </w:r>
    </w:p>
  </w:footnote>
  <w:footnote w:id="5570">
    <w:p>
      <w:pPr>
        <w:pStyle w:val="FootnoteText"/>
      </w:pPr>
      <w:r>
        <w:rPr>
          <w:rStyle w:val="FootnoteReference"/>
        </w:rPr>
        <w:footnoteRef/>
      </w:r>
      <w:r>
        <w:t xml:space="preserve"> Translation note: Greek uses more specific garment language than the usual skirt phrasing. The translation keeps those terms visible.</w:t>
      </w:r>
    </w:p>
  </w:footnote>
  <w:footnote w:id="5571">
    <w:p>
      <w:pPr>
        <w:pStyle w:val="FootnoteText"/>
      </w:pPr>
      <w:r>
        <w:rPr>
          <w:rStyle w:val="FootnoteReference"/>
        </w:rPr>
        <w:footnoteRef/>
      </w:r>
      <w:r>
        <w:t xml:space="preserve"> Translation note: Greek says persuaded with words here. Current line keeps that wording.</w:t>
      </w:r>
    </w:p>
  </w:footnote>
  <w:footnote w:id="5572">
    <w:p>
      <w:pPr>
        <w:pStyle w:val="FootnoteText"/>
      </w:pPr>
      <w:r>
        <w:rPr>
          <w:rStyle w:val="FootnoteReference"/>
        </w:rPr>
        <w:footnoteRef/>
      </w:r>
      <w:r>
        <w:t xml:space="preserve"> MT/LXX note: LXX here gives only David's challenge question instead of the MT cave-sparing speech.</w:t>
      </w:r>
    </w:p>
  </w:footnote>
  <w:footnote w:id="5573">
    <w:p>
      <w:pPr>
        <w:pStyle w:val="FootnoteText"/>
      </w:pPr>
      <w:r>
        <w:rPr>
          <w:rStyle w:val="FootnoteReference"/>
        </w:rPr>
        <w:footnoteRef/>
      </w:r>
      <w:r>
        <w:t xml:space="preserve"> Translation note: Greek keeps both refusal and sparing verbs here.</w:t>
      </w:r>
    </w:p>
  </w:footnote>
  <w:footnote w:id="5574">
    <w:p>
      <w:pPr>
        <w:pStyle w:val="FootnoteText"/>
      </w:pPr>
      <w:r>
        <w:rPr>
          <w:rStyle w:val="FootnoteReference"/>
        </w:rPr>
        <w:footnoteRef/>
      </w:r>
      <w:r>
        <w:t xml:space="preserve"> Translation note: Greek differs from smoother mantle wording here. Current line keeps the Greek garment wording.</w:t>
      </w:r>
    </w:p>
  </w:footnote>
  <w:footnote w:id="5575">
    <w:p>
      <w:pPr>
        <w:pStyle w:val="FootnoteText"/>
      </w:pPr>
      <w:r>
        <w:rPr>
          <w:rStyle w:val="FootnoteReference"/>
        </w:rPr>
        <w:footnoteRef/>
      </w:r>
      <w:r>
        <w:t xml:space="preserve"> MT/LXX note: The Septuagint places David's rhetorical taunt here rather than the Masoretic appeal to judgment. The translation follows the Greek content.</w:t>
      </w:r>
    </w:p>
  </w:footnote>
  <w:footnote w:id="5576">
    <w:p>
      <w:pPr>
        <w:pStyle w:val="FootnoteText"/>
      </w:pPr>
      <w:r>
        <w:rPr>
          <w:rStyle w:val="FootnoteReference"/>
        </w:rPr>
        <w:footnoteRef/>
      </w:r>
      <w:r>
        <w:t xml:space="preserve"> Translation note: Greek pairs judge and justice here. Current line keeps both terms.</w:t>
      </w:r>
    </w:p>
  </w:footnote>
  <w:footnote w:id="5577">
    <w:p>
      <w:pPr>
        <w:pStyle w:val="FootnoteText"/>
      </w:pPr>
      <w:r>
        <w:rPr>
          <w:rStyle w:val="FootnoteReference"/>
        </w:rPr>
        <w:footnoteRef/>
      </w:r>
      <w:r>
        <w:t xml:space="preserve"> Cross-references for "the Lord": Judg 17:2; 1Sam 23:21.</w:t>
      </w:r>
    </w:p>
  </w:footnote>
  <w:footnote w:id="5578">
    <w:p>
      <w:pPr>
        <w:pStyle w:val="FootnoteText"/>
      </w:pPr>
      <w:r>
        <w:rPr>
          <w:rStyle w:val="FootnoteReference"/>
        </w:rPr>
        <w:footnoteRef/>
      </w:r>
      <w:r>
        <w:t xml:space="preserve"> MT/LXX note: The Septuagint places Saul's oath request here rather than the Masoretic closing note. The translation follows the Greek content.</w:t>
      </w:r>
    </w:p>
  </w:footnote>
  <w:footnote w:id="5579">
    <w:p>
      <w:pPr>
        <w:pStyle w:val="FootnoteText"/>
      </w:pPr>
      <w:r>
        <w:rPr>
          <w:rStyle w:val="FootnoteReference"/>
        </w:rPr>
        <w:footnoteRef/>
      </w:r>
      <w:r>
        <w:t xml:space="preserve"> Cross-references for "Samuel": 1Sam 28:3.</w:t>
      </w:r>
    </w:p>
  </w:footnote>
  <w:footnote w:id="5580">
    <w:p>
      <w:pPr>
        <w:pStyle w:val="FootnoteText"/>
      </w:pPr>
      <w:r>
        <w:rPr>
          <w:rStyle w:val="FootnoteReference"/>
        </w:rPr>
        <w:footnoteRef/>
      </w:r>
      <w:r>
        <w:t xml:space="preserve"> Cross-references for "Maon": 1Sam 23:24.</w:t>
      </w:r>
    </w:p>
  </w:footnote>
  <w:footnote w:id="5581">
    <w:p>
      <w:pPr>
        <w:pStyle w:val="FootnoteText"/>
      </w:pPr>
      <w:r>
        <w:rPr>
          <w:rStyle w:val="FootnoteReference"/>
        </w:rPr>
        <w:footnoteRef/>
      </w:r>
      <w:r>
        <w:t xml:space="preserve"> Name meaning: Nabal (Nabal) — Fool; senseless one. His name matches the folly Abigail explicitly exposes.</w:t>
      </w:r>
    </w:p>
  </w:footnote>
  <w:footnote w:id="5582">
    <w:p>
      <w:pPr>
        <w:pStyle w:val="FootnoteText"/>
      </w:pPr>
      <w:r>
        <w:rPr>
          <w:rStyle w:val="FootnoteReference"/>
        </w:rPr>
        <w:footnoteRef/>
      </w:r>
      <w:r>
        <w:t xml:space="preserve"> Personal name: Abigail. Personal-name meaning: Abigail — the father's joy. Source form: Abigail.</w:t>
      </w:r>
    </w:p>
  </w:footnote>
  <w:footnote w:id="5583">
    <w:p>
      <w:pPr>
        <w:pStyle w:val="FootnoteText"/>
      </w:pPr>
      <w:r>
        <w:rPr>
          <w:rStyle w:val="FootnoteReference"/>
        </w:rPr>
        <w:footnoteRef/>
      </w:r>
      <w:r>
        <w:t xml:space="preserve"> Cross-references for "good": Prov 14:1; Prov 31:26.</w:t>
      </w:r>
    </w:p>
  </w:footnote>
  <w:footnote w:id="5584">
    <w:p>
      <w:pPr>
        <w:pStyle w:val="FootnoteText"/>
      </w:pPr>
      <w:r>
        <w:rPr>
          <w:rStyle w:val="FootnoteReference"/>
        </w:rPr>
        <w:footnoteRef/>
      </w:r>
      <w:r>
        <w:t xml:space="preserve"> Translation note: Greek says man was doglike.</w:t>
      </w:r>
    </w:p>
  </w:footnote>
  <w:footnote w:id="5585">
    <w:p>
      <w:pPr>
        <w:pStyle w:val="FootnoteText"/>
      </w:pPr>
      <w:r>
        <w:rPr>
          <w:rStyle w:val="FootnoteReference"/>
        </w:rPr>
        <w:footnoteRef/>
      </w:r>
      <w:r>
        <w:t xml:space="preserve"> People-name: Carmelite. People-name meaning: Carmelite — circumcised lamb; harvest; full of ears of corn. Source form: Carmelite.</w:t>
      </w:r>
    </w:p>
  </w:footnote>
  <w:footnote w:id="5586">
    <w:p>
      <w:pPr>
        <w:pStyle w:val="FootnoteText"/>
      </w:pPr>
      <w:r>
        <w:rPr>
          <w:rStyle w:val="FootnoteReference"/>
        </w:rPr>
        <w:footnoteRef/>
      </w:r>
      <w:r>
        <w:t xml:space="preserve"> Translation note: Greek says good day here. Current line keeps it.</w:t>
      </w:r>
    </w:p>
  </w:footnote>
  <w:footnote w:id="5587">
    <w:p>
      <w:pPr>
        <w:pStyle w:val="FootnoteText"/>
      </w:pPr>
      <w:r>
        <w:rPr>
          <w:rStyle w:val="FootnoteReference"/>
        </w:rPr>
        <w:footnoteRef/>
      </w:r>
      <w:r>
        <w:t xml:space="preserve"> Cross-references for "a good day": Neh 8:10-12; Eccl 11:2.</w:t>
      </w:r>
    </w:p>
  </w:footnote>
  <w:footnote w:id="5588">
    <w:p>
      <w:pPr>
        <w:pStyle w:val="FootnoteText"/>
      </w:pPr>
      <w:r>
        <w:rPr>
          <w:rStyle w:val="FootnoteReference"/>
        </w:rPr>
        <w:footnoteRef/>
      </w:r>
      <w:r>
        <w:t xml:space="preserve"> Cross-references for "Who is David": Exod 5:2; Judg 9:28.</w:t>
      </w:r>
    </w:p>
  </w:footnote>
  <w:footnote w:id="5589">
    <w:p>
      <w:pPr>
        <w:pStyle w:val="FootnoteText"/>
      </w:pPr>
      <w:r>
        <w:rPr>
          <w:rStyle w:val="FootnoteReference"/>
        </w:rPr>
        <w:footnoteRef/>
      </w:r>
      <w:r>
        <w:t xml:space="preserve"> Cross-references for "two hundred": 1Sam 30:9-10; 1Sam 30:21-24.</w:t>
      </w:r>
    </w:p>
  </w:footnote>
  <w:footnote w:id="5590">
    <w:p>
      <w:pPr>
        <w:pStyle w:val="FootnoteText"/>
      </w:pPr>
      <w:r>
        <w:rPr>
          <w:rStyle w:val="FootnoteReference"/>
        </w:rPr>
        <w:footnoteRef/>
      </w:r>
      <w:r>
        <w:t xml:space="preserve"> Translation note: Greek gives the troop movement in a simpler line. The translation follows that wording.</w:t>
      </w:r>
    </w:p>
  </w:footnote>
  <w:footnote w:id="5591">
    <w:p>
      <w:pPr>
        <w:pStyle w:val="FootnoteText"/>
      </w:pPr>
      <w:r>
        <w:rPr>
          <w:rStyle w:val="FootnoteReference"/>
        </w:rPr>
        <w:footnoteRef/>
      </w:r>
      <w:r>
        <w:t xml:space="preserve"> Cross-references for "very good": 1Sam 25:7; 1Sam 25:21.</w:t>
      </w:r>
    </w:p>
  </w:footnote>
  <w:footnote w:id="5592">
    <w:p>
      <w:pPr>
        <w:pStyle w:val="FootnoteText"/>
      </w:pPr>
      <w:r>
        <w:rPr>
          <w:rStyle w:val="FootnoteReference"/>
        </w:rPr>
        <w:footnoteRef/>
      </w:r>
      <w:r>
        <w:t xml:space="preserve"> Cross-references for "a wall": Exod 14:22; Job 1:10.</w:t>
      </w:r>
    </w:p>
  </w:footnote>
  <w:footnote w:id="5593">
    <w:p>
      <w:pPr>
        <w:pStyle w:val="FootnoteText"/>
      </w:pPr>
      <w:r>
        <w:rPr>
          <w:rStyle w:val="FootnoteReference"/>
        </w:rPr>
        <w:footnoteRef/>
      </w:r>
      <w:r>
        <w:t xml:space="preserve"> Cross-references for "evil": 1Sam 20:7; 1Sam 20:9.</w:t>
      </w:r>
    </w:p>
  </w:footnote>
  <w:footnote w:id="5594">
    <w:p>
      <w:pPr>
        <w:pStyle w:val="FootnoteText"/>
      </w:pPr>
      <w:r>
        <w:rPr>
          <w:rStyle w:val="FootnoteReference"/>
        </w:rPr>
        <w:footnoteRef/>
      </w:r>
      <w:r>
        <w:t xml:space="preserve"> Cross-references for "took two": Gen 32:13-20; Gen 43:11-14.</w:t>
      </w:r>
    </w:p>
  </w:footnote>
  <w:footnote w:id="5595">
    <w:p>
      <w:pPr>
        <w:pStyle w:val="FootnoteText"/>
      </w:pPr>
      <w:r>
        <w:rPr>
          <w:rStyle w:val="FootnoteReference"/>
        </w:rPr>
        <w:footnoteRef/>
      </w:r>
      <w:r>
        <w:t xml:space="preserve"> MT/LXX note: Greek gives a measure term here rather than the Masoretic quantity. The translation follows the Greek wording.</w:t>
      </w:r>
    </w:p>
  </w:footnote>
  <w:footnote w:id="5596">
    <w:p>
      <w:pPr>
        <w:pStyle w:val="FootnoteText"/>
      </w:pPr>
      <w:r>
        <w:rPr>
          <w:rStyle w:val="FootnoteReference"/>
        </w:rPr>
        <w:footnoteRef/>
      </w:r>
      <w:r>
        <w:t xml:space="preserve"> Cross-references for "if I leave": 1Sam 25:34.</w:t>
      </w:r>
    </w:p>
  </w:footnote>
  <w:footnote w:id="5597">
    <w:p>
      <w:pPr>
        <w:pStyle w:val="FootnoteText"/>
      </w:pPr>
      <w:r>
        <w:rPr>
          <w:rStyle w:val="FootnoteReference"/>
        </w:rPr>
        <w:footnoteRef/>
      </w:r>
      <w:r>
        <w:t xml:space="preserve"> Cross-references for "fell": 1Sam 20:41; 1Sam 24:8.</w:t>
      </w:r>
    </w:p>
  </w:footnote>
  <w:footnote w:id="5598">
    <w:p>
      <w:pPr>
        <w:pStyle w:val="FootnoteText"/>
      </w:pPr>
      <w:r>
        <w:rPr>
          <w:rStyle w:val="FootnoteReference"/>
        </w:rPr>
        <w:footnoteRef/>
      </w:r>
      <w:r>
        <w:t xml:space="preserve"> Translation note: Greek says innocent blood and saving your hand for yourself.</w:t>
      </w:r>
    </w:p>
  </w:footnote>
  <w:footnote w:id="5599">
    <w:p>
      <w:pPr>
        <w:pStyle w:val="FootnoteText"/>
      </w:pPr>
      <w:r>
        <w:rPr>
          <w:rStyle w:val="FootnoteReference"/>
        </w:rPr>
        <w:footnoteRef/>
      </w:r>
      <w:r>
        <w:t xml:space="preserve"> Cross-references for "now let": 2Sam 18:32; Jer 29:22.</w:t>
      </w:r>
    </w:p>
  </w:footnote>
  <w:footnote w:id="5600">
    <w:p>
      <w:pPr>
        <w:pStyle w:val="FootnoteText"/>
      </w:pPr>
      <w:r>
        <w:rPr>
          <w:rStyle w:val="FootnoteReference"/>
        </w:rPr>
        <w:footnoteRef/>
      </w:r>
      <w:r>
        <w:t xml:space="preserve"> Cross-references for "blessing": Gen 33:11; 1Sam 30:26.</w:t>
      </w:r>
    </w:p>
  </w:footnote>
  <w:footnote w:id="5601">
    <w:p>
      <w:pPr>
        <w:pStyle w:val="FootnoteText"/>
      </w:pPr>
      <w:r>
        <w:rPr>
          <w:rStyle w:val="FootnoteReference"/>
        </w:rPr>
        <w:footnoteRef/>
      </w:r>
      <w:r>
        <w:t xml:space="preserve"> Cross-references for "the Lord": 1Sam 15:28; 2Sam 7:11.</w:t>
      </w:r>
    </w:p>
  </w:footnote>
  <w:footnote w:id="5602">
    <w:p>
      <w:pPr>
        <w:pStyle w:val="FootnoteText"/>
      </w:pPr>
      <w:r>
        <w:rPr>
          <w:rStyle w:val="FootnoteReference"/>
        </w:rPr>
        <w:footnoteRef/>
      </w:r>
      <w:r>
        <w:t xml:space="preserve"> Cross-references for "bound": Gen 15:1; Deut 33:29.</w:t>
      </w:r>
    </w:p>
  </w:footnote>
  <w:footnote w:id="5603">
    <w:p>
      <w:pPr>
        <w:pStyle w:val="FootnoteText"/>
      </w:pPr>
      <w:r>
        <w:rPr>
          <w:rStyle w:val="FootnoteReference"/>
        </w:rPr>
        <w:footnoteRef/>
      </w:r>
      <w:r>
        <w:t xml:space="preserve"> Translation note: Greek says bound in the bundle of life and sling out in middle of the sling.</w:t>
      </w:r>
    </w:p>
  </w:footnote>
  <w:footnote w:id="5604">
    <w:p>
      <w:pPr>
        <w:pStyle w:val="FootnoteText"/>
      </w:pPr>
      <w:r>
        <w:rPr>
          <w:rStyle w:val="FootnoteReference"/>
        </w:rPr>
        <w:footnoteRef/>
      </w:r>
      <w:r>
        <w:t xml:space="preserve"> Translation note: Greek says abomination and stumbling here.</w:t>
      </w:r>
    </w:p>
  </w:footnote>
  <w:footnote w:id="5605">
    <w:p>
      <w:pPr>
        <w:pStyle w:val="FootnoteText"/>
      </w:pPr>
      <w:r>
        <w:rPr>
          <w:rStyle w:val="FootnoteReference"/>
        </w:rPr>
        <w:footnoteRef/>
      </w:r>
      <w:r>
        <w:t xml:space="preserve"> Cross-references for "remember": Gen 40:14; 1Sam 25:40.</w:t>
      </w:r>
    </w:p>
  </w:footnote>
  <w:footnote w:id="5606">
    <w:p>
      <w:pPr>
        <w:pStyle w:val="FootnoteText"/>
      </w:pPr>
      <w:r>
        <w:rPr>
          <w:rStyle w:val="FootnoteReference"/>
        </w:rPr>
        <w:footnoteRef/>
      </w:r>
      <w:r>
        <w:t xml:space="preserve"> Cross-references for "blessed": Ps 141:5; Prov 9:9.</w:t>
      </w:r>
    </w:p>
  </w:footnote>
  <w:footnote w:id="5607">
    <w:p>
      <w:pPr>
        <w:pStyle w:val="FootnoteText"/>
      </w:pPr>
      <w:r>
        <w:rPr>
          <w:rStyle w:val="FootnoteReference"/>
        </w:rPr>
        <w:footnoteRef/>
      </w:r>
      <w:r>
        <w:t xml:space="preserve"> Cross-references for "kept me back": 1Sam 25:26.</w:t>
      </w:r>
    </w:p>
  </w:footnote>
  <w:footnote w:id="5608">
    <w:p>
      <w:pPr>
        <w:pStyle w:val="FootnoteText"/>
      </w:pPr>
      <w:r>
        <w:rPr>
          <w:rStyle w:val="FootnoteReference"/>
        </w:rPr>
        <w:footnoteRef/>
      </w:r>
      <w:r>
        <w:t xml:space="preserve"> Translation note: Greek keeps the explicit idiom one urinating against a wall.</w:t>
      </w:r>
    </w:p>
  </w:footnote>
  <w:footnote w:id="5609">
    <w:p>
      <w:pPr>
        <w:pStyle w:val="FootnoteText"/>
      </w:pPr>
      <w:r>
        <w:rPr>
          <w:rStyle w:val="FootnoteReference"/>
        </w:rPr>
        <w:footnoteRef/>
      </w:r>
      <w:r>
        <w:t xml:space="preserve"> Cross-references for "Go up": 1Sam 20:42; 2Sam 15:9.</w:t>
      </w:r>
    </w:p>
  </w:footnote>
  <w:footnote w:id="5610">
    <w:p>
      <w:pPr>
        <w:pStyle w:val="FootnoteText"/>
      </w:pPr>
      <w:r>
        <w:rPr>
          <w:rStyle w:val="FootnoteReference"/>
        </w:rPr>
        <w:footnoteRef/>
      </w:r>
      <w:r>
        <w:t xml:space="preserve"> Cross-references for "a feast": 2Sam 13:23; Luke 14:12.</w:t>
      </w:r>
    </w:p>
  </w:footnote>
  <w:footnote w:id="5611">
    <w:p>
      <w:pPr>
        <w:pStyle w:val="FootnoteText"/>
      </w:pPr>
      <w:r>
        <w:rPr>
          <w:rStyle w:val="FootnoteReference"/>
        </w:rPr>
        <w:footnoteRef/>
      </w:r>
      <w:r>
        <w:t xml:space="preserve"> Translation note: Greek uses its own idiom here. The translation keeps that form rather than smoothing it to merry.</w:t>
      </w:r>
    </w:p>
  </w:footnote>
  <w:footnote w:id="5612">
    <w:p>
      <w:pPr>
        <w:pStyle w:val="FootnoteText"/>
      </w:pPr>
      <w:r>
        <w:rPr>
          <w:rStyle w:val="FootnoteReference"/>
        </w:rPr>
        <w:footnoteRef/>
      </w:r>
      <w:r>
        <w:t xml:space="preserve"> Cross-references for "his heart": Deut 28:28; Job 15:21-22.</w:t>
      </w:r>
    </w:p>
  </w:footnote>
  <w:footnote w:id="5613">
    <w:p>
      <w:pPr>
        <w:pStyle w:val="FootnoteText"/>
      </w:pPr>
      <w:r>
        <w:rPr>
          <w:rStyle w:val="FootnoteReference"/>
        </w:rPr>
        <w:footnoteRef/>
      </w:r>
      <w:r>
        <w:t xml:space="preserve"> Cross-references for "the Lord": Exod 12:29; 1Sam 6:9.</w:t>
      </w:r>
    </w:p>
  </w:footnote>
  <w:footnote w:id="5614">
    <w:p>
      <w:pPr>
        <w:pStyle w:val="FootnoteText"/>
      </w:pPr>
      <w:r>
        <w:rPr>
          <w:rStyle w:val="FootnoteReference"/>
        </w:rPr>
        <w:footnoteRef/>
      </w:r>
      <w:r>
        <w:t xml:space="preserve"> Cross-references for "Blessed": Judg 5:2; 1Sam 25:32.</w:t>
      </w:r>
    </w:p>
  </w:footnote>
  <w:footnote w:id="5615">
    <w:p>
      <w:pPr>
        <w:pStyle w:val="FootnoteText"/>
      </w:pPr>
      <w:r>
        <w:rPr>
          <w:rStyle w:val="FootnoteReference"/>
        </w:rPr>
        <w:footnoteRef/>
      </w:r>
      <w:r>
        <w:t xml:space="preserve"> Translation note: Greek says preserved his servant from hand of evils.</w:t>
      </w:r>
    </w:p>
  </w:footnote>
  <w:footnote w:id="5616">
    <w:p>
      <w:pPr>
        <w:pStyle w:val="FootnoteText"/>
      </w:pPr>
      <w:r>
        <w:rPr>
          <w:rStyle w:val="FootnoteReference"/>
        </w:rPr>
        <w:footnoteRef/>
      </w:r>
      <w:r>
        <w:t xml:space="preserve"> Cross-references for "to wash": Gen 18:4; John 13:3-5.</w:t>
      </w:r>
    </w:p>
  </w:footnote>
  <w:footnote w:id="5617">
    <w:p>
      <w:pPr>
        <w:pStyle w:val="FootnoteText"/>
      </w:pPr>
      <w:r>
        <w:rPr>
          <w:rStyle w:val="FootnoteReference"/>
        </w:rPr>
        <w:footnoteRef/>
      </w:r>
      <w:r>
        <w:t xml:space="preserve"> Cross-references for "Abigail": Gen 24:61-67; Ps 45:10-11.</w:t>
      </w:r>
    </w:p>
  </w:footnote>
  <w:footnote w:id="5618">
    <w:p>
      <w:pPr>
        <w:pStyle w:val="FootnoteText"/>
      </w:pPr>
      <w:r>
        <w:rPr>
          <w:rStyle w:val="FootnoteReference"/>
        </w:rPr>
        <w:footnoteRef/>
      </w:r>
      <w:r>
        <w:t xml:space="preserve"> Cross-references for "Jezreel": Josh 15:56; 2Sam 3:2.</w:t>
      </w:r>
    </w:p>
  </w:footnote>
  <w:footnote w:id="5619">
    <w:p>
      <w:pPr>
        <w:pStyle w:val="FootnoteText"/>
      </w:pPr>
      <w:r>
        <w:rPr>
          <w:rStyle w:val="FootnoteReference"/>
        </w:rPr>
        <w:footnoteRef/>
      </w:r>
      <w:r>
        <w:t xml:space="preserve"> Cross-references for "Michal": 1Sam 18:20; 1Sam 18:27.</w:t>
      </w:r>
    </w:p>
  </w:footnote>
  <w:footnote w:id="5620">
    <w:p>
      <w:pPr>
        <w:pStyle w:val="FootnoteText"/>
      </w:pPr>
      <w:r>
        <w:rPr>
          <w:rStyle w:val="FootnoteReference"/>
        </w:rPr>
        <w:footnoteRef/>
      </w:r>
      <w:r>
        <w:t xml:space="preserve"> Cross-references for "Ziphites": Josh 15:24; Josh 15:55.</w:t>
      </w:r>
    </w:p>
  </w:footnote>
  <w:footnote w:id="5621">
    <w:p>
      <w:pPr>
        <w:pStyle w:val="FootnoteText"/>
      </w:pPr>
      <w:r>
        <w:rPr>
          <w:rStyle w:val="FootnoteReference"/>
        </w:rPr>
        <w:footnoteRef/>
      </w:r>
      <w:r>
        <w:t xml:space="preserve"> Cross-references for "three thousand": 1Sam 24:2.</w:t>
      </w:r>
    </w:p>
  </w:footnote>
  <w:footnote w:id="5622">
    <w:p>
      <w:pPr>
        <w:pStyle w:val="FootnoteText"/>
      </w:pPr>
      <w:r>
        <w:rPr>
          <w:rStyle w:val="FootnoteReference"/>
        </w:rPr>
        <w:footnoteRef/>
      </w:r>
      <w:r>
        <w:t xml:space="preserve"> Cross-references for "Hachilah": 1Sam 23:19; 1Sam 26:1.</w:t>
      </w:r>
    </w:p>
  </w:footnote>
  <w:footnote w:id="5623">
    <w:p>
      <w:pPr>
        <w:pStyle w:val="FootnoteText"/>
      </w:pPr>
      <w:r>
        <w:rPr>
          <w:rStyle w:val="FootnoteReference"/>
        </w:rPr>
        <w:footnoteRef/>
      </w:r>
      <w:r>
        <w:t xml:space="preserve"> Cross-references for "Abner": 1Sam 9:1; 1Sam 14:50-51.</w:t>
      </w:r>
    </w:p>
  </w:footnote>
  <w:footnote w:id="5624">
    <w:p>
      <w:pPr>
        <w:pStyle w:val="FootnoteText"/>
      </w:pPr>
      <w:r>
        <w:rPr>
          <w:rStyle w:val="FootnoteReference"/>
        </w:rPr>
        <w:footnoteRef/>
      </w:r>
      <w:r>
        <w:t xml:space="preserve"> Translation note: Greek says wagon-circle/camp-ring here.</w:t>
      </w:r>
    </w:p>
  </w:footnote>
  <w:footnote w:id="5625">
    <w:p>
      <w:pPr>
        <w:pStyle w:val="FootnoteText"/>
      </w:pPr>
      <w:r>
        <w:rPr>
          <w:rStyle w:val="FootnoteReference"/>
        </w:rPr>
        <w:footnoteRef/>
      </w:r>
      <w:r>
        <w:t xml:space="preserve"> Personal name: Ahimelech. Personal-name meaning: Ahimelech — my brother is a king; my king's brother. Source form: Ahimelech.</w:t>
      </w:r>
    </w:p>
  </w:footnote>
  <w:footnote w:id="5626">
    <w:p>
      <w:pPr>
        <w:pStyle w:val="FootnoteText"/>
      </w:pPr>
      <w:r>
        <w:rPr>
          <w:rStyle w:val="FootnoteReference"/>
        </w:rPr>
        <w:footnoteRef/>
      </w:r>
      <w:r>
        <w:t xml:space="preserve"> Cross-references for "Hittite": Gen 10:15; Gen 15:20.</w:t>
      </w:r>
    </w:p>
  </w:footnote>
  <w:footnote w:id="5627">
    <w:p>
      <w:pPr>
        <w:pStyle w:val="FootnoteText"/>
      </w:pPr>
      <w:r>
        <w:rPr>
          <w:rStyle w:val="FootnoteReference"/>
        </w:rPr>
        <w:footnoteRef/>
      </w:r>
      <w:r>
        <w:t xml:space="preserve"> Personal name: Abishai. Personal-name meaning: Abishai — the present of my father. Source form: Abishai.</w:t>
      </w:r>
    </w:p>
  </w:footnote>
  <w:footnote w:id="5628">
    <w:p>
      <w:pPr>
        <w:pStyle w:val="FootnoteText"/>
      </w:pPr>
      <w:r>
        <w:rPr>
          <w:rStyle w:val="FootnoteReference"/>
        </w:rPr>
        <w:footnoteRef/>
      </w:r>
      <w:r>
        <w:t xml:space="preserve"> Personal name: Zeruiah. Personal-name meaning: Zeruiah — pain or tribulation of the Lord. Source form: Zeruiah.</w:t>
      </w:r>
    </w:p>
  </w:footnote>
  <w:footnote w:id="5629">
    <w:p>
      <w:pPr>
        <w:pStyle w:val="FootnoteText"/>
      </w:pPr>
      <w:r>
        <w:rPr>
          <w:rStyle w:val="FootnoteReference"/>
        </w:rPr>
        <w:footnoteRef/>
      </w:r>
      <w:r>
        <w:t xml:space="preserve"> Cross-references for "sleeping": 1Thess 5:2-3.</w:t>
      </w:r>
    </w:p>
  </w:footnote>
  <w:footnote w:id="5630">
    <w:p>
      <w:pPr>
        <w:pStyle w:val="FootnoteText"/>
      </w:pPr>
      <w:r>
        <w:rPr>
          <w:rStyle w:val="FootnoteReference"/>
        </w:rPr>
        <w:footnoteRef/>
      </w:r>
      <w:r>
        <w:t xml:space="preserve"> Translation note: Greek says not second time here. Current line keeps that wording.</w:t>
      </w:r>
    </w:p>
  </w:footnote>
  <w:footnote w:id="5631">
    <w:p>
      <w:pPr>
        <w:pStyle w:val="FootnoteText"/>
      </w:pPr>
      <w:r>
        <w:rPr>
          <w:rStyle w:val="FootnoteReference"/>
        </w:rPr>
        <w:footnoteRef/>
      </w:r>
      <w:r>
        <w:t xml:space="preserve"> Cross-references for "his day": Gen 47:29; Deut 31:14.</w:t>
      </w:r>
    </w:p>
  </w:footnote>
  <w:footnote w:id="5632">
    <w:p>
      <w:pPr>
        <w:pStyle w:val="FootnoteText"/>
      </w:pPr>
      <w:r>
        <w:rPr>
          <w:rStyle w:val="FootnoteReference"/>
        </w:rPr>
        <w:footnoteRef/>
      </w:r>
      <w:r>
        <w:t xml:space="preserve"> Translation note: Greek says flask here. Current line keeps that wording.</w:t>
      </w:r>
    </w:p>
  </w:footnote>
  <w:footnote w:id="5633">
    <w:p>
      <w:pPr>
        <w:pStyle w:val="FootnoteText"/>
      </w:pPr>
      <w:r>
        <w:rPr>
          <w:rStyle w:val="FootnoteReference"/>
        </w:rPr>
        <w:footnoteRef/>
      </w:r>
      <w:r>
        <w:t xml:space="preserve"> Cross-references for "the top": Judg 9:7; 1Sam 24:8.</w:t>
      </w:r>
    </w:p>
  </w:footnote>
  <w:footnote w:id="5634">
    <w:p>
      <w:pPr>
        <w:pStyle w:val="FootnoteText"/>
      </w:pPr>
      <w:r>
        <w:rPr>
          <w:rStyle w:val="FootnoteReference"/>
        </w:rPr>
        <w:footnoteRef/>
      </w:r>
      <w:r>
        <w:t xml:space="preserve"> Translation note: Greek rebukes Abner directly without adding valiant. The translation keeps that direct force.</w:t>
      </w:r>
    </w:p>
  </w:footnote>
  <w:footnote w:id="5635">
    <w:p>
      <w:pPr>
        <w:pStyle w:val="FootnoteText"/>
      </w:pPr>
      <w:r>
        <w:rPr>
          <w:rStyle w:val="FootnoteReference"/>
        </w:rPr>
        <w:footnoteRef/>
      </w:r>
      <w:r>
        <w:t xml:space="preserve"> Translation note: Greek says sons of death.</w:t>
      </w:r>
    </w:p>
  </w:footnote>
  <w:footnote w:id="5636">
    <w:p>
      <w:pPr>
        <w:pStyle w:val="FootnoteText"/>
      </w:pPr>
      <w:r>
        <w:rPr>
          <w:rStyle w:val="FootnoteReference"/>
        </w:rPr>
        <w:footnoteRef/>
      </w:r>
      <w:r>
        <w:t xml:space="preserve"> Cross-references for "what have I": 1Sam 17:29; John 8:46.</w:t>
      </w:r>
    </w:p>
  </w:footnote>
  <w:footnote w:id="5637">
    <w:p>
      <w:pPr>
        <w:pStyle w:val="FootnoteText"/>
      </w:pPr>
      <w:r>
        <w:rPr>
          <w:rStyle w:val="FootnoteReference"/>
        </w:rPr>
        <w:footnoteRef/>
      </w:r>
      <w:r>
        <w:t xml:space="preserve"> Cross-references for "let my lord": Gen 44:18; 1Sam 25:24.</w:t>
      </w:r>
    </w:p>
  </w:footnote>
  <w:footnote w:id="5638">
    <w:p>
      <w:pPr>
        <w:pStyle w:val="FootnoteText"/>
      </w:pPr>
      <w:r>
        <w:rPr>
          <w:rStyle w:val="FootnoteReference"/>
        </w:rPr>
        <w:footnoteRef/>
      </w:r>
      <w:r>
        <w:t xml:space="preserve"> Translation note: Greek says may he smell your sacrifices here. Current line keeps that phrase.</w:t>
      </w:r>
    </w:p>
  </w:footnote>
  <w:footnote w:id="5639">
    <w:p>
      <w:pPr>
        <w:pStyle w:val="FootnoteText"/>
      </w:pPr>
      <w:r>
        <w:rPr>
          <w:rStyle w:val="FootnoteReference"/>
        </w:rPr>
        <w:footnoteRef/>
      </w:r>
      <w:r>
        <w:t xml:space="preserve"> Cross-references for "let not my": 1Sam 2:9; 1Sam 25:29.</w:t>
      </w:r>
    </w:p>
  </w:footnote>
  <w:footnote w:id="5640">
    <w:p>
      <w:pPr>
        <w:pStyle w:val="FootnoteText"/>
      </w:pPr>
      <w:r>
        <w:rPr>
          <w:rStyle w:val="FootnoteReference"/>
        </w:rPr>
        <w:footnoteRef/>
      </w:r>
      <w:r>
        <w:t xml:space="preserve"> Cross-references for "I have sinned": Exod 9:27; Num 22:34.</w:t>
      </w:r>
    </w:p>
  </w:footnote>
  <w:footnote w:id="5641">
    <w:p>
      <w:pPr>
        <w:pStyle w:val="FootnoteText"/>
      </w:pPr>
      <w:r>
        <w:rPr>
          <w:rStyle w:val="FootnoteReference"/>
        </w:rPr>
        <w:footnoteRef/>
      </w:r>
      <w:r>
        <w:t xml:space="preserve"> Cross-references for "Blessed": Num 24:9-10; 1Sam 24:19.</w:t>
      </w:r>
    </w:p>
  </w:footnote>
  <w:footnote w:id="5642">
    <w:p>
      <w:pPr>
        <w:pStyle w:val="FootnoteText"/>
      </w:pPr>
      <w:r>
        <w:rPr>
          <w:rStyle w:val="FootnoteReference"/>
        </w:rPr>
        <w:footnoteRef/>
      </w:r>
      <w:r>
        <w:t xml:space="preserve"> Cross-references for "And David": 1Sam 16:1; 1Sam 16:13.</w:t>
      </w:r>
    </w:p>
  </w:footnote>
  <w:footnote w:id="5643">
    <w:p>
      <w:pPr>
        <w:pStyle w:val="FootnoteText"/>
      </w:pPr>
      <w:r>
        <w:rPr>
          <w:rStyle w:val="FootnoteReference"/>
        </w:rPr>
        <w:footnoteRef/>
      </w:r>
      <w:r>
        <w:t xml:space="preserve"> Translation note: Greek keeps rough salvation phrasing here.</w:t>
      </w:r>
    </w:p>
  </w:footnote>
  <w:footnote w:id="5644">
    <w:p>
      <w:pPr>
        <w:pStyle w:val="FootnoteText"/>
      </w:pPr>
      <w:r>
        <w:rPr>
          <w:rStyle w:val="FootnoteReference"/>
        </w:rPr>
        <w:footnoteRef/>
      </w:r>
      <w:r>
        <w:t xml:space="preserve"> Cross-references for "Achish": 1Sam 21:10; 1Kgs 2:40.</w:t>
      </w:r>
    </w:p>
  </w:footnote>
  <w:footnote w:id="5645">
    <w:p>
      <w:pPr>
        <w:pStyle w:val="FootnoteText"/>
      </w:pPr>
      <w:r>
        <w:rPr>
          <w:rStyle w:val="FootnoteReference"/>
        </w:rPr>
        <w:footnoteRef/>
      </w:r>
      <w:r>
        <w:t xml:space="preserve"> Personal name: Maoch. Personal-name meaning: Maoch — oppression. Source form: Maoch.</w:t>
      </w:r>
    </w:p>
  </w:footnote>
  <w:footnote w:id="5646">
    <w:p>
      <w:pPr>
        <w:pStyle w:val="FootnoteText"/>
      </w:pPr>
      <w:r>
        <w:rPr>
          <w:rStyle w:val="FootnoteReference"/>
        </w:rPr>
        <w:footnoteRef/>
      </w:r>
      <w:r>
        <w:t xml:space="preserve"> People-name: Jezreelite. People-name meaning: Jezreelite — person of Jezreel; God sows. Source form: Jezreelite.</w:t>
      </w:r>
    </w:p>
  </w:footnote>
  <w:footnote w:id="5647">
    <w:p>
      <w:pPr>
        <w:pStyle w:val="FootnoteText"/>
      </w:pPr>
      <w:r>
        <w:rPr>
          <w:rStyle w:val="FootnoteReference"/>
        </w:rPr>
        <w:footnoteRef/>
      </w:r>
      <w:r>
        <w:t xml:space="preserve"> Translation note: Greek uses sit language here.</w:t>
      </w:r>
    </w:p>
  </w:footnote>
  <w:footnote w:id="5648">
    <w:p>
      <w:pPr>
        <w:pStyle w:val="FootnoteText"/>
      </w:pPr>
      <w:r>
        <w:rPr>
          <w:rStyle w:val="FootnoteReference"/>
        </w:rPr>
        <w:footnoteRef/>
      </w:r>
      <w:r>
        <w:t xml:space="preserve"> Cross-references for "Ziklag": 1Sam 19:5; 1Sam 30:1.</w:t>
      </w:r>
    </w:p>
  </w:footnote>
  <w:footnote w:id="5649">
    <w:p>
      <w:pPr>
        <w:pStyle w:val="FootnoteText"/>
      </w:pPr>
      <w:r>
        <w:rPr>
          <w:rStyle w:val="FootnoteReference"/>
        </w:rPr>
        <w:footnoteRef/>
      </w:r>
      <w:r>
        <w:t xml:space="preserve"> Cross-references for "the Geshurites": Josh 13:2; Josh 13:13.</w:t>
      </w:r>
    </w:p>
  </w:footnote>
  <w:footnote w:id="5650">
    <w:p>
      <w:pPr>
        <w:pStyle w:val="FootnoteText"/>
      </w:pPr>
      <w:r>
        <w:rPr>
          <w:rStyle w:val="FootnoteReference"/>
        </w:rPr>
        <w:footnoteRef/>
      </w:r>
      <w:r>
        <w:t xml:space="preserve"> People-name: Amalekite. People-name meaning: Amalekite — a people that licks up. Source form: Amalekite.</w:t>
      </w:r>
    </w:p>
  </w:footnote>
  <w:footnote w:id="5651">
    <w:p>
      <w:pPr>
        <w:pStyle w:val="FootnoteText"/>
      </w:pPr>
      <w:r>
        <w:rPr>
          <w:rStyle w:val="FootnoteReference"/>
        </w:rPr>
        <w:footnoteRef/>
      </w:r>
      <w:r>
        <w:t xml:space="preserve"> Cross-references for "And David": Gen 27:19-20; Gen 27:24.</w:t>
      </w:r>
    </w:p>
  </w:footnote>
  <w:footnote w:id="5652">
    <w:p>
      <w:pPr>
        <w:pStyle w:val="FootnoteText"/>
      </w:pPr>
      <w:r>
        <w:rPr>
          <w:rStyle w:val="FootnoteReference"/>
        </w:rPr>
        <w:footnoteRef/>
      </w:r>
      <w:r>
        <w:t xml:space="preserve"> People-name: Jerahmeelites. People-name meaning: Jerahmeelites — the mercy, or the beloved, of God. Source form: Jerahmeelites.</w:t>
      </w:r>
    </w:p>
  </w:footnote>
  <w:footnote w:id="5653">
    <w:p>
      <w:pPr>
        <w:pStyle w:val="FootnoteText"/>
      </w:pPr>
      <w:r>
        <w:rPr>
          <w:rStyle w:val="FootnoteReference"/>
        </w:rPr>
        <w:footnoteRef/>
      </w:r>
      <w:r>
        <w:t xml:space="preserve"> Translation note: Greek says this was his rule and sat in countryside of foreigners here.</w:t>
      </w:r>
    </w:p>
  </w:footnote>
  <w:footnote w:id="5654">
    <w:p>
      <w:pPr>
        <w:pStyle w:val="FootnoteText"/>
      </w:pPr>
      <w:r>
        <w:rPr>
          <w:rStyle w:val="FootnoteReference"/>
        </w:rPr>
        <w:footnoteRef/>
      </w:r>
      <w:r>
        <w:t xml:space="preserve"> Translation note: Greek says in knowing you will know.</w:t>
      </w:r>
    </w:p>
  </w:footnote>
  <w:footnote w:id="5655">
    <w:p>
      <w:pPr>
        <w:pStyle w:val="FootnoteText"/>
      </w:pPr>
      <w:r>
        <w:rPr>
          <w:rStyle w:val="FootnoteReference"/>
        </w:rPr>
        <w:footnoteRef/>
      </w:r>
      <w:r>
        <w:t xml:space="preserve"> Cross-references for "Samuel": 1Sam 25:1; Isa 57:1-2.</w:t>
      </w:r>
    </w:p>
  </w:footnote>
  <w:footnote w:id="5656">
    <w:p>
      <w:pPr>
        <w:pStyle w:val="FootnoteText"/>
      </w:pPr>
      <w:r>
        <w:rPr>
          <w:rStyle w:val="FootnoteReference"/>
        </w:rPr>
        <w:footnoteRef/>
      </w:r>
      <w:r>
        <w:t xml:space="preserve"> Cross-references for "Shunem": Josh 19:18; 2Kgs 4:8.</w:t>
      </w:r>
    </w:p>
  </w:footnote>
  <w:footnote w:id="5657">
    <w:p>
      <w:pPr>
        <w:pStyle w:val="FootnoteText"/>
      </w:pPr>
      <w:r>
        <w:rPr>
          <w:rStyle w:val="FootnoteReference"/>
        </w:rPr>
        <w:footnoteRef/>
      </w:r>
      <w:r>
        <w:t xml:space="preserve"> Place name: Gilboa. Place-name meaning: Gilboa — revolution of inquiry. Source form: Gilboa. Greek form: γελβουε.</w:t>
      </w:r>
    </w:p>
  </w:footnote>
  <w:footnote w:id="5658">
    <w:p>
      <w:pPr>
        <w:pStyle w:val="FootnoteText"/>
      </w:pPr>
      <w:r>
        <w:rPr>
          <w:rStyle w:val="FootnoteReference"/>
        </w:rPr>
        <w:footnoteRef/>
      </w:r>
      <w:r>
        <w:t xml:space="preserve"> Cross-references for "inquired": 1Sam 14:37; 1Chr 10:14.</w:t>
      </w:r>
    </w:p>
  </w:footnote>
  <w:footnote w:id="5659">
    <w:p>
      <w:pPr>
        <w:pStyle w:val="FootnoteText"/>
      </w:pPr>
      <w:r>
        <w:rPr>
          <w:rStyle w:val="FootnoteReference"/>
        </w:rPr>
        <w:footnoteRef/>
      </w:r>
      <w:r>
        <w:t xml:space="preserve"> Translation note: Greek uses ventriloquist wording here. Current line keeps it.</w:t>
      </w:r>
    </w:p>
  </w:footnote>
  <w:footnote w:id="5660">
    <w:p>
      <w:pPr>
        <w:pStyle w:val="FootnoteText"/>
      </w:pPr>
      <w:r>
        <w:rPr>
          <w:rStyle w:val="FootnoteReference"/>
        </w:rPr>
        <w:footnoteRef/>
      </w:r>
      <w:r>
        <w:t xml:space="preserve"> Transliterated proper noun: Endor. Standard English equivalent: Endor. Source form: Endor. Greek form: αενδωρ. Name meaning: fountain, eye of generation, or of habitation.</w:t>
      </w:r>
    </w:p>
  </w:footnote>
  <w:footnote w:id="5661">
    <w:p>
      <w:pPr>
        <w:pStyle w:val="FootnoteText"/>
      </w:pPr>
      <w:r>
        <w:rPr>
          <w:rStyle w:val="FootnoteReference"/>
        </w:rPr>
        <w:footnoteRef/>
      </w:r>
      <w:r>
        <w:t xml:space="preserve"> Cross-references for "Endor": Josh 17:11; Ps 83:10.</w:t>
      </w:r>
    </w:p>
  </w:footnote>
  <w:footnote w:id="5662">
    <w:p>
      <w:pPr>
        <w:pStyle w:val="FootnoteText"/>
      </w:pPr>
      <w:r>
        <w:rPr>
          <w:rStyle w:val="FootnoteReference"/>
        </w:rPr>
        <w:footnoteRef/>
      </w:r>
      <w:r>
        <w:t xml:space="preserve"> Cross-references for "disguised": 1Kgs 14:2-3; 1Kgs 22:30.</w:t>
      </w:r>
    </w:p>
  </w:footnote>
  <w:footnote w:id="5663">
    <w:p>
      <w:pPr>
        <w:pStyle w:val="FootnoteText"/>
      </w:pPr>
      <w:r>
        <w:rPr>
          <w:rStyle w:val="FootnoteReference"/>
        </w:rPr>
        <w:footnoteRef/>
      </w:r>
      <w:r>
        <w:t xml:space="preserve"> Translation note: Greek says ventriloquist here.</w:t>
      </w:r>
    </w:p>
  </w:footnote>
  <w:footnote w:id="5664">
    <w:p>
      <w:pPr>
        <w:pStyle w:val="FootnoteText"/>
      </w:pPr>
      <w:r>
        <w:rPr>
          <w:rStyle w:val="FootnoteReference"/>
        </w:rPr>
        <w:footnoteRef/>
      </w:r>
      <w:r>
        <w:t xml:space="preserve"> Translation note: Greek uses the distinctive term engastrimythoi. The translation keeps that term rather than replacing it with the more traditional familiar spirits.</w:t>
      </w:r>
    </w:p>
  </w:footnote>
  <w:footnote w:id="5665">
    <w:p>
      <w:pPr>
        <w:pStyle w:val="FootnoteText"/>
      </w:pPr>
      <w:r>
        <w:rPr>
          <w:rStyle w:val="FootnoteReference"/>
        </w:rPr>
        <w:footnoteRef/>
      </w:r>
      <w:r>
        <w:t xml:space="preserve"> Translation note: Greek names these practitioners with more specific terms than later standard English labels. The translation keeps those Greek designations.</w:t>
      </w:r>
    </w:p>
  </w:footnote>
  <w:footnote w:id="5666">
    <w:p>
      <w:pPr>
        <w:pStyle w:val="FootnoteText"/>
      </w:pPr>
      <w:r>
        <w:rPr>
          <w:rStyle w:val="FootnoteReference"/>
        </w:rPr>
        <w:footnoteRef/>
      </w:r>
      <w:r>
        <w:t xml:space="preserve"> Translation note: Greek keeps deceive-me wording.</w:t>
      </w:r>
    </w:p>
  </w:footnote>
  <w:footnote w:id="5667">
    <w:p>
      <w:pPr>
        <w:pStyle w:val="FootnoteText"/>
      </w:pPr>
      <w:r>
        <w:rPr>
          <w:rStyle w:val="FootnoteReference"/>
        </w:rPr>
        <w:footnoteRef/>
      </w:r>
      <w:r>
        <w:t xml:space="preserve"> Translation note: Greek says an upright man coming up from the earth.</w:t>
      </w:r>
    </w:p>
  </w:footnote>
  <w:footnote w:id="5668">
    <w:p>
      <w:pPr>
        <w:pStyle w:val="FootnoteText"/>
      </w:pPr>
      <w:r>
        <w:rPr>
          <w:rStyle w:val="FootnoteReference"/>
        </w:rPr>
        <w:footnoteRef/>
      </w:r>
      <w:r>
        <w:t xml:space="preserve"> Translation note: Greek says disturbed me here. Current line keeps that wording.</w:t>
      </w:r>
    </w:p>
  </w:footnote>
  <w:footnote w:id="5669">
    <w:p>
      <w:pPr>
        <w:pStyle w:val="FootnoteText"/>
      </w:pPr>
      <w:r>
        <w:rPr>
          <w:rStyle w:val="FootnoteReference"/>
        </w:rPr>
        <w:footnoteRef/>
      </w:r>
      <w:r>
        <w:t xml:space="preserve"> Cross-references for "the Lord": 1Sam 12:25; 1Sam 31:1-6.</w:t>
      </w:r>
    </w:p>
  </w:footnote>
  <w:footnote w:id="5670">
    <w:p>
      <w:pPr>
        <w:pStyle w:val="FootnoteText"/>
      </w:pPr>
      <w:r>
        <w:rPr>
          <w:rStyle w:val="FootnoteReference"/>
        </w:rPr>
        <w:footnoteRef/>
      </w:r>
      <w:r>
        <w:t xml:space="preserve"> Translation note: Greek says camp of Israel here. Current line keeps that wording.</w:t>
      </w:r>
    </w:p>
  </w:footnote>
  <w:footnote w:id="5671">
    <w:p>
      <w:pPr>
        <w:pStyle w:val="FootnoteText"/>
      </w:pPr>
      <w:r>
        <w:rPr>
          <w:rStyle w:val="FootnoteReference"/>
        </w:rPr>
        <w:footnoteRef/>
      </w:r>
      <w:r>
        <w:t xml:space="preserve"> Translation note: Greek keeps the life-in-hand idiom here. Current line preserves it.</w:t>
      </w:r>
    </w:p>
  </w:footnote>
  <w:footnote w:id="5672">
    <w:p>
      <w:pPr>
        <w:pStyle w:val="FootnoteText"/>
      </w:pPr>
      <w:r>
        <w:rPr>
          <w:rStyle w:val="FootnoteReference"/>
        </w:rPr>
        <w:footnoteRef/>
      </w:r>
      <w:r>
        <w:t xml:space="preserve"> Cross-references for "Aphek": Josh 19:30; 1Sam 4:1.</w:t>
      </w:r>
    </w:p>
  </w:footnote>
  <w:footnote w:id="5673">
    <w:p>
      <w:pPr>
        <w:pStyle w:val="FootnoteText"/>
      </w:pPr>
      <w:r>
        <w:rPr>
          <w:rStyle w:val="FootnoteReference"/>
        </w:rPr>
        <w:footnoteRef/>
      </w:r>
      <w:r>
        <w:t xml:space="preserve"> Cross-references for "these days": 1Sam 27:7.</w:t>
      </w:r>
    </w:p>
  </w:footnote>
  <w:footnote w:id="5674">
    <w:p>
      <w:pPr>
        <w:pStyle w:val="FootnoteText"/>
      </w:pPr>
      <w:r>
        <w:rPr>
          <w:rStyle w:val="FootnoteReference"/>
        </w:rPr>
        <w:footnoteRef/>
      </w:r>
      <w:r>
        <w:t xml:space="preserve"> Translation note: Greek says these days, this second year here.</w:t>
      </w:r>
    </w:p>
  </w:footnote>
  <w:footnote w:id="5675">
    <w:p>
      <w:pPr>
        <w:pStyle w:val="FootnoteText"/>
      </w:pPr>
      <w:r>
        <w:rPr>
          <w:rStyle w:val="FootnoteReference"/>
        </w:rPr>
        <w:footnoteRef/>
      </w:r>
      <w:r>
        <w:t xml:space="preserve"> Translation note: Greek says let him not become a plotter against the camp.</w:t>
      </w:r>
    </w:p>
  </w:footnote>
  <w:footnote w:id="5676">
    <w:p>
      <w:pPr>
        <w:pStyle w:val="FootnoteText"/>
      </w:pPr>
      <w:r>
        <w:rPr>
          <w:rStyle w:val="FootnoteReference"/>
        </w:rPr>
        <w:footnoteRef/>
      </w:r>
      <w:r>
        <w:t xml:space="preserve"> Cross-references for "the Lord": Deut 10:20; 1Sam 20:3.</w:t>
      </w:r>
    </w:p>
  </w:footnote>
  <w:footnote w:id="5677">
    <w:p>
      <w:pPr>
        <w:pStyle w:val="FootnoteText"/>
      </w:pPr>
      <w:r>
        <w:rPr>
          <w:rStyle w:val="FootnoteReference"/>
        </w:rPr>
        <w:footnoteRef/>
      </w:r>
      <w:r>
        <w:t xml:space="preserve"> Translation note: Greek says upright here. Current line keeps that wording.</w:t>
      </w:r>
    </w:p>
  </w:footnote>
  <w:footnote w:id="5678">
    <w:p>
      <w:pPr>
        <w:pStyle w:val="FootnoteText"/>
      </w:pPr>
      <w:r>
        <w:rPr>
          <w:rStyle w:val="FootnoteReference"/>
        </w:rPr>
        <w:footnoteRef/>
      </w:r>
      <w:r>
        <w:t xml:space="preserve"> Translation note: Greek uses strong-question force here. Current wording stays close to that line.</w:t>
      </w:r>
    </w:p>
  </w:footnote>
  <w:footnote w:id="5679">
    <w:p>
      <w:pPr>
        <w:pStyle w:val="FootnoteText"/>
      </w:pPr>
      <w:r>
        <w:rPr>
          <w:rStyle w:val="FootnoteReference"/>
        </w:rPr>
        <w:footnoteRef/>
      </w:r>
      <w:r>
        <w:t xml:space="preserve"> Cross-references for "burned": Ps 34:19; Heb 12:6.</w:t>
      </w:r>
    </w:p>
  </w:footnote>
  <w:footnote w:id="5680">
    <w:p>
      <w:pPr>
        <w:pStyle w:val="FootnoteText"/>
      </w:pPr>
      <w:r>
        <w:rPr>
          <w:rStyle w:val="FootnoteReference"/>
        </w:rPr>
        <w:footnoteRef/>
      </w:r>
      <w:r>
        <w:t xml:space="preserve"> Cross-references for "lifted up": Gen 37:33-35; Num 14:1.</w:t>
      </w:r>
    </w:p>
  </w:footnote>
  <w:footnote w:id="5681">
    <w:p>
      <w:pPr>
        <w:pStyle w:val="FootnoteText"/>
      </w:pPr>
      <w:r>
        <w:rPr>
          <w:rStyle w:val="FootnoteReference"/>
        </w:rPr>
        <w:footnoteRef/>
      </w:r>
      <w:r>
        <w:t xml:space="preserve"> Cross-references for "was greatly": Gen 32:7; Ps 25:17.</w:t>
      </w:r>
    </w:p>
  </w:footnote>
  <w:footnote w:id="5682">
    <w:p>
      <w:pPr>
        <w:pStyle w:val="FootnoteText"/>
      </w:pPr>
      <w:r>
        <w:rPr>
          <w:rStyle w:val="FootnoteReference"/>
        </w:rPr>
        <w:footnoteRef/>
      </w:r>
      <w:r>
        <w:t xml:space="preserve"> Translation note: The Greek keeps the bodily-strength idiom. The draft preserves the familiar expression because it matches the source closely and clearly. Existing English witnesses do not require a wording change here.</w:t>
      </w:r>
    </w:p>
  </w:footnote>
  <w:footnote w:id="5683">
    <w:p>
      <w:pPr>
        <w:pStyle w:val="FootnoteText"/>
      </w:pPr>
      <w:r>
        <w:rPr>
          <w:rStyle w:val="FootnoteReference"/>
        </w:rPr>
        <w:footnoteRef/>
      </w:r>
      <w:r>
        <w:t xml:space="preserve"> Cross-references for "Abiathar": 1Sam 22:20-21; 1Sam 23:2-9.</w:t>
      </w:r>
    </w:p>
  </w:footnote>
  <w:footnote w:id="5684">
    <w:p>
      <w:pPr>
        <w:pStyle w:val="FootnoteText"/>
      </w:pPr>
      <w:r>
        <w:rPr>
          <w:rStyle w:val="FootnoteReference"/>
        </w:rPr>
        <w:footnoteRef/>
      </w:r>
      <w:r>
        <w:t xml:space="preserve"> Cross-references for "inquired": Judg 20:18; Judg 20:23.</w:t>
      </w:r>
    </w:p>
  </w:footnote>
  <w:footnote w:id="5685">
    <w:p>
      <w:pPr>
        <w:pStyle w:val="FootnoteText"/>
      </w:pPr>
      <w:r>
        <w:rPr>
          <w:rStyle w:val="FootnoteReference"/>
        </w:rPr>
        <w:footnoteRef/>
      </w:r>
      <w:r>
        <w:t xml:space="preserve"> Cross-references for "gave him": Deut 15:7-11; Deut 23:7.</w:t>
      </w:r>
    </w:p>
  </w:footnote>
  <w:footnote w:id="5686">
    <w:p>
      <w:pPr>
        <w:pStyle w:val="FootnoteText"/>
      </w:pPr>
      <w:r>
        <w:rPr>
          <w:rStyle w:val="FootnoteReference"/>
        </w:rPr>
        <w:footnoteRef/>
      </w:r>
      <w:r>
        <w:t xml:space="preserve"> Cross-references for "his spirit": Judg 15:19; 1Sam 14:27.</w:t>
      </w:r>
    </w:p>
  </w:footnote>
  <w:footnote w:id="5687">
    <w:p>
      <w:pPr>
        <w:pStyle w:val="FootnoteText"/>
      </w:pPr>
      <w:r>
        <w:rPr>
          <w:rStyle w:val="FootnoteReference"/>
        </w:rPr>
        <w:footnoteRef/>
      </w:r>
      <w:r>
        <w:t xml:space="preserve"> People-name: Cherethites. People-name meaning: Cherethites — who cut or tear away. Source form: Cherethites.</w:t>
      </w:r>
    </w:p>
  </w:footnote>
  <w:footnote w:id="5688">
    <w:p>
      <w:pPr>
        <w:pStyle w:val="FootnoteText"/>
      </w:pPr>
      <w:r>
        <w:rPr>
          <w:rStyle w:val="FootnoteReference"/>
        </w:rPr>
        <w:footnoteRef/>
      </w:r>
      <w:r>
        <w:t xml:space="preserve"> Cross-references for "Caleb": Josh 14:13; Josh 15:13.</w:t>
      </w:r>
    </w:p>
  </w:footnote>
  <w:footnote w:id="5689">
    <w:p>
      <w:pPr>
        <w:pStyle w:val="FootnoteText"/>
      </w:pPr>
      <w:r>
        <w:rPr>
          <w:rStyle w:val="FootnoteReference"/>
        </w:rPr>
        <w:footnoteRef/>
      </w:r>
      <w:r>
        <w:t xml:space="preserve"> Cross-references for "Swear": Josh 2:12; Josh 9:15.</w:t>
      </w:r>
    </w:p>
  </w:footnote>
  <w:footnote w:id="5690">
    <w:p>
      <w:pPr>
        <w:pStyle w:val="FootnoteText"/>
      </w:pPr>
      <w:r>
        <w:rPr>
          <w:rStyle w:val="FootnoteReference"/>
        </w:rPr>
        <w:footnoteRef/>
      </w:r>
      <w:r>
        <w:t xml:space="preserve"> Translation note: Greek keeps hand-over idiom here.</w:t>
      </w:r>
    </w:p>
  </w:footnote>
  <w:footnote w:id="5691">
    <w:p>
      <w:pPr>
        <w:pStyle w:val="FootnoteText"/>
      </w:pPr>
      <w:r>
        <w:rPr>
          <w:rStyle w:val="FootnoteReference"/>
        </w:rPr>
        <w:footnoteRef/>
      </w:r>
      <w:r>
        <w:t xml:space="preserve"> Translation note: Greek paints the camp spread over the land. Current line keeps that image.</w:t>
      </w:r>
    </w:p>
  </w:footnote>
  <w:footnote w:id="5692">
    <w:p>
      <w:pPr>
        <w:pStyle w:val="FootnoteText"/>
      </w:pPr>
      <w:r>
        <w:rPr>
          <w:rStyle w:val="FootnoteReference"/>
        </w:rPr>
        <w:footnoteRef/>
      </w:r>
      <w:r>
        <w:t xml:space="preserve"> Cross-references for "eating": Exod 32:6; Exod 32:17-19.</w:t>
      </w:r>
    </w:p>
  </w:footnote>
  <w:footnote w:id="5693">
    <w:p>
      <w:pPr>
        <w:pStyle w:val="FootnoteText"/>
      </w:pPr>
      <w:r>
        <w:rPr>
          <w:rStyle w:val="FootnoteReference"/>
        </w:rPr>
        <w:footnoteRef/>
      </w:r>
      <w:r>
        <w:t xml:space="preserve"> Cross-references for "and there": Judg 4:16; 1Sam 11:11.</w:t>
      </w:r>
    </w:p>
  </w:footnote>
  <w:footnote w:id="5694">
    <w:p>
      <w:pPr>
        <w:pStyle w:val="FootnoteText"/>
      </w:pPr>
      <w:r>
        <w:rPr>
          <w:rStyle w:val="FootnoteReference"/>
        </w:rPr>
        <w:footnoteRef/>
      </w:r>
      <w:r>
        <w:t xml:space="preserve"> People-name: Amalekites. People-name meaning: Amalekites — a people that licks up. Source form: Amalekites.</w:t>
      </w:r>
    </w:p>
  </w:footnote>
  <w:footnote w:id="5695">
    <w:p>
      <w:pPr>
        <w:pStyle w:val="FootnoteText"/>
      </w:pPr>
      <w:r>
        <w:rPr>
          <w:rStyle w:val="FootnoteReference"/>
        </w:rPr>
        <w:footnoteRef/>
      </w:r>
      <w:r>
        <w:t xml:space="preserve"> Cross-references for "two hundred men": 1Sam 30:10.</w:t>
      </w:r>
    </w:p>
  </w:footnote>
  <w:footnote w:id="5696">
    <w:p>
      <w:pPr>
        <w:pStyle w:val="FootnoteText"/>
      </w:pPr>
      <w:r>
        <w:rPr>
          <w:rStyle w:val="FootnoteReference"/>
        </w:rPr>
        <w:footnoteRef/>
      </w:r>
      <w:r>
        <w:t xml:space="preserve"> Translation note: Greek uses peace-idiom here. Current line keeps that greeting form.</w:t>
      </w:r>
    </w:p>
  </w:footnote>
  <w:footnote w:id="5697">
    <w:p>
      <w:pPr>
        <w:pStyle w:val="FootnoteText"/>
      </w:pPr>
      <w:r>
        <w:rPr>
          <w:rStyle w:val="FootnoteReference"/>
        </w:rPr>
        <w:footnoteRef/>
      </w:r>
      <w:r>
        <w:t xml:space="preserve"> Translation note: Greek uses a sharper insult phrase here rather than a smoother label.</w:t>
      </w:r>
    </w:p>
  </w:footnote>
  <w:footnote w:id="5698">
    <w:p>
      <w:pPr>
        <w:pStyle w:val="FootnoteText"/>
      </w:pPr>
      <w:r>
        <w:rPr>
          <w:rStyle w:val="FootnoteReference"/>
        </w:rPr>
        <w:footnoteRef/>
      </w:r>
      <w:r>
        <w:t xml:space="preserve"> Cross-references for "Aroer": Josh 13:16.</w:t>
      </w:r>
    </w:p>
  </w:footnote>
  <w:footnote w:id="5699">
    <w:p>
      <w:pPr>
        <w:pStyle w:val="FootnoteText"/>
      </w:pPr>
      <w:r>
        <w:rPr>
          <w:rStyle w:val="FootnoteReference"/>
        </w:rPr>
        <w:footnoteRef/>
      </w:r>
      <w:r>
        <w:t xml:space="preserve"> Place name: Siphmoth. Place-name meaning: Siphmoth — fruitful places. Source form: Siphmoth. Greek form: σαφι.</w:t>
      </w:r>
    </w:p>
  </w:footnote>
  <w:footnote w:id="5700">
    <w:p>
      <w:pPr>
        <w:pStyle w:val="FootnoteText"/>
      </w:pPr>
      <w:r>
        <w:rPr>
          <w:rStyle w:val="FootnoteReference"/>
        </w:rPr>
        <w:footnoteRef/>
      </w:r>
      <w:r>
        <w:t xml:space="preserve"> Cross-references for "Jerahmeelites": 1Sam 27:10; 1Chr 2:9.</w:t>
      </w:r>
    </w:p>
  </w:footnote>
  <w:footnote w:id="5701">
    <w:p>
      <w:pPr>
        <w:pStyle w:val="FootnoteText"/>
      </w:pPr>
      <w:r>
        <w:rPr>
          <w:rStyle w:val="FootnoteReference"/>
        </w:rPr>
        <w:footnoteRef/>
      </w:r>
      <w:r>
        <w:t xml:space="preserve"> Cross-references for "Hebron": Josh 14:13-14; 2Sam 2:1.</w:t>
      </w:r>
    </w:p>
  </w:footnote>
  <w:footnote w:id="5702">
    <w:p>
      <w:pPr>
        <w:pStyle w:val="FootnoteText"/>
      </w:pPr>
      <w:r>
        <w:rPr>
          <w:rStyle w:val="FootnoteReference"/>
        </w:rPr>
        <w:footnoteRef/>
      </w:r>
      <w:r>
        <w:t xml:space="preserve"> Cross-references for "Gilboa": 1Sam 28:4; 2Sam 1:21.</w:t>
      </w:r>
    </w:p>
  </w:footnote>
  <w:footnote w:id="5703">
    <w:p>
      <w:pPr>
        <w:pStyle w:val="FootnoteText"/>
      </w:pPr>
      <w:r>
        <w:rPr>
          <w:rStyle w:val="FootnoteReference"/>
        </w:rPr>
        <w:footnoteRef/>
      </w:r>
      <w:r>
        <w:t xml:space="preserve"> Cross-references for "Jonathan": 1Sam 13:2; 1Sam 13:16.</w:t>
      </w:r>
    </w:p>
  </w:footnote>
  <w:footnote w:id="5704">
    <w:p>
      <w:pPr>
        <w:pStyle w:val="FootnoteText"/>
      </w:pPr>
      <w:r>
        <w:rPr>
          <w:rStyle w:val="FootnoteReference"/>
        </w:rPr>
        <w:footnoteRef/>
      </w:r>
      <w:r>
        <w:t xml:space="preserve"> Cross-references for "Draw": Judg 9:54; 1Chr 10:4.</w:t>
      </w:r>
    </w:p>
  </w:footnote>
  <w:footnote w:id="5705">
    <w:p>
      <w:pPr>
        <w:pStyle w:val="FootnoteText"/>
      </w:pPr>
      <w:r>
        <w:rPr>
          <w:rStyle w:val="FootnoteReference"/>
        </w:rPr>
        <w:footnoteRef/>
      </w:r>
      <w:r>
        <w:t xml:space="preserve"> Translation note: Greek repeats the pierce verb in Saul's plea.</w:t>
      </w:r>
    </w:p>
  </w:footnote>
  <w:footnote w:id="5706">
    <w:p>
      <w:pPr>
        <w:pStyle w:val="FootnoteText"/>
      </w:pPr>
      <w:r>
        <w:rPr>
          <w:rStyle w:val="FootnoteReference"/>
        </w:rPr>
        <w:footnoteRef/>
      </w:r>
      <w:r>
        <w:t xml:space="preserve"> Translation note: Greek line states foreigners came and dwelt in the abandoned cities. Current line keeps that direct wording.</w:t>
      </w:r>
    </w:p>
  </w:footnote>
  <w:footnote w:id="5707">
    <w:p>
      <w:pPr>
        <w:pStyle w:val="FootnoteText"/>
      </w:pPr>
      <w:r>
        <w:rPr>
          <w:rStyle w:val="FootnoteReference"/>
        </w:rPr>
        <w:footnoteRef/>
      </w:r>
      <w:r>
        <w:t xml:space="preserve"> Cross-references for "to strip": 1Chr 10:8; 2Chr 20:25.</w:t>
      </w:r>
    </w:p>
  </w:footnote>
  <w:footnote w:id="5708">
    <w:p>
      <w:pPr>
        <w:pStyle w:val="FootnoteText"/>
      </w:pPr>
      <w:r>
        <w:rPr>
          <w:rStyle w:val="FootnoteReference"/>
        </w:rPr>
        <w:footnoteRef/>
      </w:r>
      <w:r>
        <w:t xml:space="preserve"> Cross-references for "Ashtaroth": Judg 2:13.</w:t>
      </w:r>
    </w:p>
  </w:footnote>
  <w:footnote w:id="5709">
    <w:p>
      <w:pPr>
        <w:pStyle w:val="FootnoteText"/>
      </w:pPr>
      <w:r>
        <w:rPr>
          <w:rStyle w:val="FootnoteReference"/>
        </w:rPr>
        <w:footnoteRef/>
      </w:r>
      <w:r>
        <w:t xml:space="preserve"> People-name: Gileadites. People-name meaning: Gileadites — the heap or mass of testimony. Source form: Gileadites.</w:t>
      </w:r>
    </w:p>
  </w:footnote>
  <w:footnote w:id="5710">
    <w:p>
      <w:pPr>
        <w:pStyle w:val="FootnoteText"/>
      </w:pPr>
      <w:r>
        <w:rPr>
          <w:rStyle w:val="FootnoteReference"/>
        </w:rPr>
        <w:footnoteRef/>
      </w:r>
      <w:r>
        <w:t xml:space="preserve"> Cross-references for "their bones": Gen 35:8; 2Sam 2:4-5.</w:t>
      </w:r>
    </w:p>
  </w:footnote>
  <w:footnote w:id="5711">
    <w:p>
      <w:pPr>
        <w:pStyle w:val="FootnoteText"/>
      </w:pPr>
      <w:r>
        <w:rPr>
          <w:rStyle w:val="FootnoteReference"/>
        </w:rPr>
        <w:footnoteRef/>
      </w:r>
      <w:r>
        <w:t xml:space="preserve"> Translation note: Greek keeps burial and mourning together. Current wording preserves that notice.</w:t>
      </w:r>
    </w:p>
  </w:footnote>
  <w:footnote w:id="5712">
    <w:p>
      <w:pPr>
        <w:pStyle w:val="FootnoteText"/>
      </w:pPr>
      <w:r>
        <w:rPr>
          <w:rStyle w:val="FootnoteReference"/>
        </w:rPr>
        <w:footnoteRef/>
      </w:r>
      <w:r>
        <w:t xml:space="preserve"> Cross-references for "Ziklag": 1Sam 27:6.</w:t>
      </w:r>
    </w:p>
  </w:footnote>
  <w:footnote w:id="5713">
    <w:p>
      <w:pPr>
        <w:pStyle w:val="FootnoteText"/>
      </w:pPr>
      <w:r>
        <w:rPr>
          <w:rStyle w:val="FootnoteReference"/>
        </w:rPr>
        <w:footnoteRef/>
      </w:r>
      <w:r>
        <w:t xml:space="preserve"> Cross-references for "the third": Gen 22:4; Hos 6:2.</w:t>
      </w:r>
    </w:p>
  </w:footnote>
  <w:footnote w:id="5714">
    <w:p>
      <w:pPr>
        <w:pStyle w:val="FootnoteText"/>
      </w:pPr>
      <w:r>
        <w:rPr>
          <w:rStyle w:val="FootnoteReference"/>
        </w:rPr>
        <w:footnoteRef/>
      </w:r>
      <w:r>
        <w:t xml:space="preserve"> Translation note: Greek says from camp from people of Saul.</w:t>
      </w:r>
    </w:p>
  </w:footnote>
  <w:footnote w:id="5715">
    <w:p>
      <w:pPr>
        <w:pStyle w:val="FootnoteText"/>
      </w:pPr>
      <w:r>
        <w:rPr>
          <w:rStyle w:val="FootnoteReference"/>
        </w:rPr>
        <w:footnoteRef/>
      </w:r>
      <w:r>
        <w:t xml:space="preserve"> Cross-references for "Mount": 1Sam 28:4; 1Sam 31:1.</w:t>
      </w:r>
    </w:p>
  </w:footnote>
  <w:footnote w:id="5716">
    <w:p>
      <w:pPr>
        <w:pStyle w:val="FootnoteText"/>
      </w:pPr>
      <w:r>
        <w:rPr>
          <w:rStyle w:val="FootnoteReference"/>
        </w:rPr>
        <w:footnoteRef/>
      </w:r>
      <w:r>
        <w:t xml:space="preserve"> Cross-references for "an Amalekite": Gen 14:7; Exod 17:8-16.</w:t>
      </w:r>
    </w:p>
  </w:footnote>
  <w:footnote w:id="5717">
    <w:p>
      <w:pPr>
        <w:pStyle w:val="FootnoteText"/>
      </w:pPr>
      <w:r>
        <w:rPr>
          <w:rStyle w:val="FootnoteReference"/>
        </w:rPr>
        <w:footnoteRef/>
      </w:r>
      <w:r>
        <w:t xml:space="preserve"> Translation note: Greek says terrible darkness seized me.</w:t>
      </w:r>
    </w:p>
  </w:footnote>
  <w:footnote w:id="5718">
    <w:p>
      <w:pPr>
        <w:pStyle w:val="FootnoteText"/>
      </w:pPr>
      <w:r>
        <w:rPr>
          <w:rStyle w:val="FootnoteReference"/>
        </w:rPr>
        <w:footnoteRef/>
      </w:r>
      <w:r>
        <w:t xml:space="preserve"> Translation note: Greek says the kingship-band on his head.</w:t>
      </w:r>
    </w:p>
  </w:footnote>
  <w:footnote w:id="5719">
    <w:p>
      <w:pPr>
        <w:pStyle w:val="FootnoteText"/>
      </w:pPr>
      <w:r>
        <w:rPr>
          <w:rStyle w:val="FootnoteReference"/>
        </w:rPr>
        <w:footnoteRef/>
      </w:r>
      <w:r>
        <w:t xml:space="preserve"> Cross-references for "mouth": 2Sam 1:10.</w:t>
      </w:r>
    </w:p>
  </w:footnote>
  <w:footnote w:id="5720">
    <w:p>
      <w:pPr>
        <w:pStyle w:val="FootnoteText"/>
      </w:pPr>
      <w:r>
        <w:rPr>
          <w:rStyle w:val="FootnoteReference"/>
        </w:rPr>
        <w:footnoteRef/>
      </w:r>
      <w:r>
        <w:t xml:space="preserve"> Cross-references for "lamented": Gen 50:11; 2Sam 1:19.</w:t>
      </w:r>
    </w:p>
  </w:footnote>
  <w:footnote w:id="5721">
    <w:p>
      <w:pPr>
        <w:pStyle w:val="FootnoteText"/>
      </w:pPr>
      <w:r>
        <w:rPr>
          <w:rStyle w:val="FootnoteReference"/>
        </w:rPr>
        <w:footnoteRef/>
      </w:r>
      <w:r>
        <w:t xml:space="preserve"> Cross-references for "teach": Gen 49:8; Deut 4:10.</w:t>
      </w:r>
    </w:p>
  </w:footnote>
  <w:footnote w:id="5722">
    <w:p>
      <w:pPr>
        <w:pStyle w:val="FootnoteText"/>
      </w:pPr>
      <w:r>
        <w:rPr>
          <w:rStyle w:val="FootnoteReference"/>
        </w:rPr>
        <w:footnoteRef/>
      </w:r>
      <w:r>
        <w:t xml:space="preserve"> Cross-references for "uncircumcised": 1Sam 17:26; 1Sam 17:36.</w:t>
      </w:r>
    </w:p>
  </w:footnote>
  <w:footnote w:id="5723">
    <w:p>
      <w:pPr>
        <w:pStyle w:val="FootnoteText"/>
      </w:pPr>
      <w:r>
        <w:rPr>
          <w:rStyle w:val="FootnoteReference"/>
        </w:rPr>
        <w:footnoteRef/>
      </w:r>
      <w:r>
        <w:t xml:space="preserve"> Cross-references for "Mountains": 1Sam 31:1; 1Chr 10:1.</w:t>
      </w:r>
    </w:p>
  </w:footnote>
  <w:footnote w:id="5724">
    <w:p>
      <w:pPr>
        <w:pStyle w:val="FootnoteText"/>
      </w:pPr>
      <w:r>
        <w:rPr>
          <w:rStyle w:val="FootnoteReference"/>
        </w:rPr>
        <w:footnoteRef/>
      </w:r>
      <w:r>
        <w:t xml:space="preserve"> Translation note: Greek says firstfruits not offerings.</w:t>
      </w:r>
    </w:p>
  </w:footnote>
  <w:footnote w:id="5725">
    <w:p>
      <w:pPr>
        <w:pStyle w:val="FootnoteText"/>
      </w:pPr>
      <w:r>
        <w:rPr>
          <w:rStyle w:val="FootnoteReference"/>
        </w:rPr>
        <w:footnoteRef/>
      </w:r>
      <w:r>
        <w:t xml:space="preserve"> Cross-references for "the bow": 1Sam 14:6-14; 1Sam 18:4.</w:t>
      </w:r>
    </w:p>
  </w:footnote>
  <w:footnote w:id="5726">
    <w:p>
      <w:pPr>
        <w:pStyle w:val="FootnoteText"/>
      </w:pPr>
      <w:r>
        <w:rPr>
          <w:rStyle w:val="FootnoteReference"/>
        </w:rPr>
        <w:footnoteRef/>
      </w:r>
      <w:r>
        <w:t xml:space="preserve"> Cross-references for "they were": 1Sam 31:1-5.</w:t>
      </w:r>
    </w:p>
  </w:footnote>
  <w:footnote w:id="5727">
    <w:p>
      <w:pPr>
        <w:pStyle w:val="FootnoteText"/>
      </w:pPr>
      <w:r>
        <w:rPr>
          <w:rStyle w:val="FootnoteReference"/>
        </w:rPr>
        <w:footnoteRef/>
      </w:r>
      <w:r>
        <w:t xml:space="preserve"> Cross-references for "weapons": 2Kgs 2:12; 2Kgs 13:14.</w:t>
      </w:r>
    </w:p>
  </w:footnote>
  <w:footnote w:id="5728">
    <w:p>
      <w:pPr>
        <w:pStyle w:val="FootnoteText"/>
      </w:pPr>
      <w:r>
        <w:rPr>
          <w:rStyle w:val="FootnoteReference"/>
        </w:rPr>
        <w:footnoteRef/>
      </w:r>
      <w:r>
        <w:t xml:space="preserve"> Cross-references for "inquired": Num 27:21; Judg 1:1.</w:t>
      </w:r>
    </w:p>
  </w:footnote>
  <w:footnote w:id="5729">
    <w:p>
      <w:pPr>
        <w:pStyle w:val="FootnoteText"/>
      </w:pPr>
      <w:r>
        <w:rPr>
          <w:rStyle w:val="FootnoteReference"/>
        </w:rPr>
        <w:footnoteRef/>
      </w:r>
      <w:r>
        <w:t xml:space="preserve"> Translation note: Greek says David inquired in the Lord.</w:t>
      </w:r>
    </w:p>
  </w:footnote>
  <w:footnote w:id="5730">
    <w:p>
      <w:pPr>
        <w:pStyle w:val="FootnoteText"/>
      </w:pPr>
      <w:r>
        <w:rPr>
          <w:rStyle w:val="FootnoteReference"/>
        </w:rPr>
        <w:footnoteRef/>
      </w:r>
      <w:r>
        <w:t xml:space="preserve"> Cross-references for "the cities": Josh 21:11-12.</w:t>
      </w:r>
    </w:p>
  </w:footnote>
  <w:footnote w:id="5731">
    <w:p>
      <w:pPr>
        <w:pStyle w:val="FootnoteText"/>
      </w:pPr>
      <w:r>
        <w:rPr>
          <w:rStyle w:val="FootnoteReference"/>
        </w:rPr>
        <w:footnoteRef/>
      </w:r>
      <w:r>
        <w:t xml:space="preserve"> Cross-references for "the men of Judah": Gen 49:8-10; 2Sam 2:11.</w:t>
      </w:r>
    </w:p>
  </w:footnote>
  <w:footnote w:id="5732">
    <w:p>
      <w:pPr>
        <w:pStyle w:val="FootnoteText"/>
      </w:pPr>
      <w:r>
        <w:rPr>
          <w:rStyle w:val="FootnoteReference"/>
        </w:rPr>
        <w:footnoteRef/>
      </w:r>
      <w:r>
        <w:t xml:space="preserve"> Cross-references for "Blessed": Ruth 1:8; Ruth 2:20.</w:t>
      </w:r>
    </w:p>
  </w:footnote>
  <w:footnote w:id="5733">
    <w:p>
      <w:pPr>
        <w:pStyle w:val="FootnoteText"/>
      </w:pPr>
      <w:r>
        <w:rPr>
          <w:rStyle w:val="FootnoteReference"/>
        </w:rPr>
        <w:footnoteRef/>
      </w:r>
      <w:r>
        <w:t xml:space="preserve"> Cross-references for "the Lord": 2Sam 15:20; Ps 57:3.</w:t>
      </w:r>
    </w:p>
  </w:footnote>
  <w:footnote w:id="5734">
    <w:p>
      <w:pPr>
        <w:pStyle w:val="FootnoteText"/>
      </w:pPr>
      <w:r>
        <w:rPr>
          <w:rStyle w:val="FootnoteReference"/>
        </w:rPr>
        <w:footnoteRef/>
      </w:r>
      <w:r>
        <w:t xml:space="preserve"> Cross-references for "let your": Gen 15:1; 1Sam 4:9.</w:t>
      </w:r>
    </w:p>
  </w:footnote>
  <w:footnote w:id="5735">
    <w:p>
      <w:pPr>
        <w:pStyle w:val="FootnoteText"/>
      </w:pPr>
      <w:r>
        <w:rPr>
          <w:rStyle w:val="FootnoteReference"/>
        </w:rPr>
        <w:footnoteRef/>
      </w:r>
      <w:r>
        <w:t xml:space="preserve"> Cross-references for "Abner": 1Sam 14:50; 1Sam 17:55.</w:t>
      </w:r>
    </w:p>
  </w:footnote>
  <w:footnote w:id="5736">
    <w:p>
      <w:pPr>
        <w:pStyle w:val="FootnoteText"/>
      </w:pPr>
      <w:r>
        <w:rPr>
          <w:rStyle w:val="FootnoteReference"/>
        </w:rPr>
        <w:footnoteRef/>
      </w:r>
      <w:r>
        <w:t xml:space="preserve"> Transliterated proper noun: Ishbosheth. Standard English equivalent: Ishbosheth. Source form: Ishbosheth. Greek form: ιεβοσθε. Name meaning: a man of shame.</w:t>
      </w:r>
    </w:p>
  </w:footnote>
  <w:footnote w:id="5737">
    <w:p>
      <w:pPr>
        <w:pStyle w:val="FootnoteText"/>
      </w:pPr>
      <w:r>
        <w:rPr>
          <w:rStyle w:val="FootnoteReference"/>
        </w:rPr>
        <w:footnoteRef/>
      </w:r>
      <w:r>
        <w:t xml:space="preserve"> Transliterated proper noun: Ashurites. Standard English equivalent: Ashurites. Source form: Ashurites. Greek form: αυτον. Name meaning: who is happy; or walks; or looks.</w:t>
      </w:r>
    </w:p>
  </w:footnote>
  <w:footnote w:id="5738">
    <w:p>
      <w:pPr>
        <w:pStyle w:val="FootnoteText"/>
      </w:pPr>
      <w:r>
        <w:rPr>
          <w:rStyle w:val="FootnoteReference"/>
        </w:rPr>
        <w:footnoteRef/>
      </w:r>
      <w:r>
        <w:t xml:space="preserve"> Cross-references for "Ashurites": Gen 30:13; Num 1:40.</w:t>
      </w:r>
    </w:p>
  </w:footnote>
  <w:footnote w:id="5739">
    <w:p>
      <w:pPr>
        <w:pStyle w:val="FootnoteText"/>
      </w:pPr>
      <w:r>
        <w:rPr>
          <w:rStyle w:val="FootnoteReference"/>
        </w:rPr>
        <w:footnoteRef/>
      </w:r>
      <w:r>
        <w:t xml:space="preserve"> Cross-references for "two years": 2Sam 2:10.</w:t>
      </w:r>
    </w:p>
  </w:footnote>
  <w:footnote w:id="5740">
    <w:p>
      <w:pPr>
        <w:pStyle w:val="FootnoteText"/>
      </w:pPr>
      <w:r>
        <w:rPr>
          <w:rStyle w:val="FootnoteReference"/>
        </w:rPr>
        <w:footnoteRef/>
      </w:r>
      <w:r>
        <w:t xml:space="preserve"> Cross-references for "Mahanaim": Gen 32:2; 2Sam 17:14.</w:t>
      </w:r>
    </w:p>
  </w:footnote>
  <w:footnote w:id="5741">
    <w:p>
      <w:pPr>
        <w:pStyle w:val="FootnoteText"/>
      </w:pPr>
      <w:r>
        <w:rPr>
          <w:rStyle w:val="FootnoteReference"/>
        </w:rPr>
        <w:footnoteRef/>
      </w:r>
      <w:r>
        <w:t xml:space="preserve"> Name meaning: Joab (Yoav) — Yahweh is father. David's powerful commander, loyal and dangerous in equal measure.</w:t>
      </w:r>
    </w:p>
  </w:footnote>
  <w:footnote w:id="5742">
    <w:p>
      <w:pPr>
        <w:pStyle w:val="FootnoteText"/>
      </w:pPr>
      <w:r>
        <w:rPr>
          <w:rStyle w:val="FootnoteReference"/>
        </w:rPr>
        <w:footnoteRef/>
      </w:r>
      <w:r>
        <w:t xml:space="preserve"> Cross-references for "Joab": 2Sam 2:18; 2Sam 8:16.</w:t>
      </w:r>
    </w:p>
  </w:footnote>
  <w:footnote w:id="5743">
    <w:p>
      <w:pPr>
        <w:pStyle w:val="FootnoteText"/>
      </w:pPr>
      <w:r>
        <w:rPr>
          <w:rStyle w:val="FootnoteReference"/>
        </w:rPr>
        <w:footnoteRef/>
      </w:r>
      <w:r>
        <w:t xml:space="preserve"> Cross-references for "play before": 2Sam 2:17; 2Sam 2:26-27.</w:t>
      </w:r>
    </w:p>
  </w:footnote>
  <w:footnote w:id="5744">
    <w:p>
      <w:pPr>
        <w:pStyle w:val="FootnoteText"/>
      </w:pPr>
      <w:r>
        <w:rPr>
          <w:rStyle w:val="FootnoteReference"/>
        </w:rPr>
        <w:footnoteRef/>
      </w:r>
      <w:r>
        <w:t xml:space="preserve"> Cross-references for "Abner": 2Sam 3:1.</w:t>
      </w:r>
    </w:p>
  </w:footnote>
  <w:footnote w:id="5745">
    <w:p>
      <w:pPr>
        <w:pStyle w:val="FootnoteText"/>
      </w:pPr>
      <w:r>
        <w:rPr>
          <w:rStyle w:val="FootnoteReference"/>
        </w:rPr>
        <w:footnoteRef/>
      </w:r>
      <w:r>
        <w:t xml:space="preserve"> Cross-references for "three": 1Chr 2:15-16; 1Chr 11:26.</w:t>
      </w:r>
    </w:p>
  </w:footnote>
  <w:footnote w:id="5746">
    <w:p>
      <w:pPr>
        <w:pStyle w:val="FootnoteText"/>
      </w:pPr>
      <w:r>
        <w:rPr>
          <w:rStyle w:val="FootnoteReference"/>
        </w:rPr>
        <w:footnoteRef/>
      </w:r>
      <w:r>
        <w:t xml:space="preserve"> Personal name: Asahel. Personal-name meaning: Asahel — creature of God. Source form: Asahel.</w:t>
      </w:r>
    </w:p>
  </w:footnote>
  <w:footnote w:id="5747">
    <w:p>
      <w:pPr>
        <w:pStyle w:val="FootnoteText"/>
      </w:pPr>
      <w:r>
        <w:rPr>
          <w:rStyle w:val="FootnoteReference"/>
        </w:rPr>
        <w:footnoteRef/>
      </w:r>
      <w:r>
        <w:t xml:space="preserve"> Translation note: Greek says in the belly here rather than the familiar under-the-fifth-rib phrasing.</w:t>
      </w:r>
    </w:p>
  </w:footnote>
  <w:footnote w:id="5748">
    <w:p>
      <w:pPr>
        <w:pStyle w:val="FootnoteText"/>
      </w:pPr>
      <w:r>
        <w:rPr>
          <w:rStyle w:val="FootnoteReference"/>
        </w:rPr>
        <w:footnoteRef/>
      </w:r>
      <w:r>
        <w:t xml:space="preserve"> Transliterated proper noun: Amman. Standard English equivalent: Ammah. Source form: Amman. Greek form: αμμαν. Name meaning: a cubit; mother-city; beginning.</w:t>
      </w:r>
    </w:p>
  </w:footnote>
  <w:footnote w:id="5749">
    <w:p>
      <w:pPr>
        <w:pStyle w:val="FootnoteText"/>
      </w:pPr>
      <w:r>
        <w:rPr>
          <w:rStyle w:val="FootnoteReference"/>
        </w:rPr>
        <w:footnoteRef/>
      </w:r>
      <w:r>
        <w:t xml:space="preserve"> Place name: Giah. Place-name meaning: Giah — to guide; draw out; produce; a groan or sigh. Source form: Giah. Greek form: γαι.</w:t>
      </w:r>
    </w:p>
  </w:footnote>
  <w:footnote w:id="5750">
    <w:p>
      <w:pPr>
        <w:pStyle w:val="FootnoteText"/>
      </w:pPr>
      <w:r>
        <w:rPr>
          <w:rStyle w:val="FootnoteReference"/>
        </w:rPr>
        <w:footnoteRef/>
      </w:r>
      <w:r>
        <w:t xml:space="preserve"> Cross-references for "sword": 2Sam 11:25; Isa 1:20.</w:t>
      </w:r>
    </w:p>
  </w:footnote>
  <w:footnote w:id="5751">
    <w:p>
      <w:pPr>
        <w:pStyle w:val="FootnoteText"/>
      </w:pPr>
      <w:r>
        <w:rPr>
          <w:rStyle w:val="FootnoteReference"/>
        </w:rPr>
        <w:footnoteRef/>
      </w:r>
      <w:r>
        <w:t xml:space="preserve"> Translation note: Greek has a difficult phrase here, literally toward victory. The translation keeps the Septuagint wording visible rather than fully harmonizing it to the Hebrew idiom.</w:t>
      </w:r>
    </w:p>
  </w:footnote>
  <w:footnote w:id="5752">
    <w:p>
      <w:pPr>
        <w:pStyle w:val="FootnoteText"/>
      </w:pPr>
      <w:r>
        <w:rPr>
          <w:rStyle w:val="FootnoteReference"/>
        </w:rPr>
        <w:footnoteRef/>
      </w:r>
      <w:r>
        <w:t xml:space="preserve"> Cross-references for "three hundred": 2Sam 3:1; 1Kgs 20:11.</w:t>
      </w:r>
    </w:p>
  </w:footnote>
  <w:footnote w:id="5753">
    <w:p>
      <w:pPr>
        <w:pStyle w:val="FootnoteText"/>
      </w:pPr>
      <w:r>
        <w:rPr>
          <w:rStyle w:val="FootnoteReference"/>
        </w:rPr>
        <w:footnoteRef/>
      </w:r>
      <w:r>
        <w:t xml:space="preserve"> Cross-references for "went": 2Sam 5:1; Prov 22:29.</w:t>
      </w:r>
    </w:p>
  </w:footnote>
  <w:footnote w:id="5754">
    <w:p>
      <w:pPr>
        <w:pStyle w:val="FootnoteText"/>
      </w:pPr>
      <w:r>
        <w:rPr>
          <w:rStyle w:val="FootnoteReference"/>
        </w:rPr>
        <w:footnoteRef/>
      </w:r>
      <w:r>
        <w:t xml:space="preserve"> Cross-references for "between": Gen 3:15; Ps 45:3-5.</w:t>
      </w:r>
    </w:p>
  </w:footnote>
  <w:footnote w:id="5755">
    <w:p>
      <w:pPr>
        <w:pStyle w:val="FootnoteText"/>
      </w:pPr>
      <w:r>
        <w:rPr>
          <w:rStyle w:val="FootnoteReference"/>
        </w:rPr>
        <w:footnoteRef/>
      </w:r>
      <w:r>
        <w:t xml:space="preserve"> Personal name: Amnon. Personal-name meaning: Amnon — faithful and true; tutor. Source form: Amnon.</w:t>
      </w:r>
    </w:p>
  </w:footnote>
  <w:footnote w:id="5756">
    <w:p>
      <w:pPr>
        <w:pStyle w:val="FootnoteText"/>
      </w:pPr>
      <w:r>
        <w:rPr>
          <w:rStyle w:val="FootnoteReference"/>
        </w:rPr>
        <w:footnoteRef/>
      </w:r>
      <w:r>
        <w:t xml:space="preserve"> Cross-references for "Amnon": Gen 49:3-4; 2Sam 13:1-29.</w:t>
      </w:r>
    </w:p>
  </w:footnote>
  <w:footnote w:id="5757">
    <w:p>
      <w:pPr>
        <w:pStyle w:val="FootnoteText"/>
      </w:pPr>
      <w:r>
        <w:rPr>
          <w:rStyle w:val="FootnoteReference"/>
        </w:rPr>
        <w:footnoteRef/>
      </w:r>
      <w:r>
        <w:t xml:space="preserve"> Cross-references for "Abigail": 1Sam 25:3; 1Sam 25:42.</w:t>
      </w:r>
    </w:p>
  </w:footnote>
  <w:footnote w:id="5758">
    <w:p>
      <w:pPr>
        <w:pStyle w:val="FootnoteText"/>
      </w:pPr>
      <w:r>
        <w:rPr>
          <w:rStyle w:val="FootnoteReference"/>
        </w:rPr>
        <w:footnoteRef/>
      </w:r>
      <w:r>
        <w:t xml:space="preserve"> Name meaning: Absalom (Avshalom) — Father of peace. David's son whose peaceful name contrasts with rebellion and grief.</w:t>
      </w:r>
    </w:p>
  </w:footnote>
  <w:footnote w:id="5759">
    <w:p>
      <w:pPr>
        <w:pStyle w:val="FootnoteText"/>
      </w:pPr>
      <w:r>
        <w:rPr>
          <w:rStyle w:val="FootnoteReference"/>
        </w:rPr>
        <w:footnoteRef/>
      </w:r>
      <w:r>
        <w:t xml:space="preserve"> Personal name: Adonijah. Personal-name meaning: Adonijah — the Lord is my master. Source form: Adonijah.</w:t>
      </w:r>
    </w:p>
  </w:footnote>
  <w:footnote w:id="5760">
    <w:p>
      <w:pPr>
        <w:pStyle w:val="FootnoteText"/>
      </w:pPr>
      <w:r>
        <w:rPr>
          <w:rStyle w:val="FootnoteReference"/>
        </w:rPr>
        <w:footnoteRef/>
      </w:r>
      <w:r>
        <w:t xml:space="preserve"> Personal name: Haggith. Personal-name meaning: Haggith — rejoicing. Source form: Haggith.</w:t>
      </w:r>
    </w:p>
  </w:footnote>
  <w:footnote w:id="5761">
    <w:p>
      <w:pPr>
        <w:pStyle w:val="FootnoteText"/>
      </w:pPr>
      <w:r>
        <w:rPr>
          <w:rStyle w:val="FootnoteReference"/>
        </w:rPr>
        <w:footnoteRef/>
      </w:r>
      <w:r>
        <w:t xml:space="preserve"> Personal name: Shephatiah. Personal-name meaning: Shephatiah — the Lord that judges. Source form: Shephatiah.</w:t>
      </w:r>
    </w:p>
  </w:footnote>
  <w:footnote w:id="5762">
    <w:p>
      <w:pPr>
        <w:pStyle w:val="FootnoteText"/>
      </w:pPr>
      <w:r>
        <w:rPr>
          <w:rStyle w:val="FootnoteReference"/>
        </w:rPr>
        <w:footnoteRef/>
      </w:r>
      <w:r>
        <w:t xml:space="preserve"> Personal name: Abital. Personal-name meaning: Abital — the father of the dew; or of the shadow. Source form: Abital.</w:t>
      </w:r>
    </w:p>
  </w:footnote>
  <w:footnote w:id="5763">
    <w:p>
      <w:pPr>
        <w:pStyle w:val="FootnoteText"/>
      </w:pPr>
      <w:r>
        <w:rPr>
          <w:rStyle w:val="FootnoteReference"/>
        </w:rPr>
        <w:footnoteRef/>
      </w:r>
      <w:r>
        <w:t xml:space="preserve"> Cross-references for "Adonijah": 1Kgs 1:5-18; 1Kgs 2:13-25.</w:t>
      </w:r>
    </w:p>
  </w:footnote>
  <w:footnote w:id="5764">
    <w:p>
      <w:pPr>
        <w:pStyle w:val="FootnoteText"/>
      </w:pPr>
      <w:r>
        <w:rPr>
          <w:rStyle w:val="FootnoteReference"/>
        </w:rPr>
        <w:footnoteRef/>
      </w:r>
      <w:r>
        <w:t xml:space="preserve"> Cross-references for "Abner": 2Sam 2:8-9; 2Kgs 10:23.</w:t>
      </w:r>
    </w:p>
  </w:footnote>
  <w:footnote w:id="5765">
    <w:p>
      <w:pPr>
        <w:pStyle w:val="FootnoteText"/>
      </w:pPr>
      <w:r>
        <w:rPr>
          <w:rStyle w:val="FootnoteReference"/>
        </w:rPr>
        <w:footnoteRef/>
      </w:r>
      <w:r>
        <w:t xml:space="preserve"> Personal name: Rizpah. Personal-name meaning: Rizpah — bed; extension; a coal. Source form: Rizpah.</w:t>
      </w:r>
    </w:p>
  </w:footnote>
  <w:footnote w:id="5766">
    <w:p>
      <w:pPr>
        <w:pStyle w:val="FootnoteText"/>
      </w:pPr>
      <w:r>
        <w:rPr>
          <w:rStyle w:val="FootnoteReference"/>
        </w:rPr>
        <w:footnoteRef/>
      </w:r>
      <w:r>
        <w:t xml:space="preserve"> Personal name: Aiah. Personal-name meaning: Aiah — vulture, raven; an isle; alas, where is it?. Source form: Aiah.</w:t>
      </w:r>
    </w:p>
  </w:footnote>
  <w:footnote w:id="5767">
    <w:p>
      <w:pPr>
        <w:pStyle w:val="FootnoteText"/>
      </w:pPr>
      <w:r>
        <w:rPr>
          <w:rStyle w:val="FootnoteReference"/>
        </w:rPr>
        <w:footnoteRef/>
      </w:r>
      <w:r>
        <w:t xml:space="preserve"> Transliterated proper noun: Mephibosthe. Standard English equivalent: Ishbosheth. Source form: Mephibosthe. Greek form: μεμφιβοσθε. Name meaning: a man of shame.</w:t>
      </w:r>
    </w:p>
  </w:footnote>
  <w:footnote w:id="5768">
    <w:p>
      <w:pPr>
        <w:pStyle w:val="FootnoteText"/>
      </w:pPr>
      <w:r>
        <w:rPr>
          <w:rStyle w:val="FootnoteReference"/>
        </w:rPr>
        <w:footnoteRef/>
      </w:r>
      <w:r>
        <w:t xml:space="preserve"> Cross-references for "Rizpah": 2Sam 21:8-11.</w:t>
      </w:r>
    </w:p>
  </w:footnote>
  <w:footnote w:id="5769">
    <w:p>
      <w:pPr>
        <w:pStyle w:val="FootnoteText"/>
      </w:pPr>
      <w:r>
        <w:rPr>
          <w:rStyle w:val="FootnoteReference"/>
        </w:rPr>
        <w:footnoteRef/>
      </w:r>
      <w:r>
        <w:t xml:space="preserve"> Cross-references for "Abner": Ps 76:10; Mark 6:18-19.</w:t>
      </w:r>
    </w:p>
  </w:footnote>
  <w:footnote w:id="5770">
    <w:p>
      <w:pPr>
        <w:pStyle w:val="FootnoteText"/>
      </w:pPr>
      <w:r>
        <w:rPr>
          <w:rStyle w:val="FootnoteReference"/>
        </w:rPr>
        <w:footnoteRef/>
      </w:r>
      <w:r>
        <w:t xml:space="preserve"> Translation note: Greek says Am I a dog's head and I did mercy with house of Saul.</w:t>
      </w:r>
    </w:p>
  </w:footnote>
  <w:footnote w:id="5771">
    <w:p>
      <w:pPr>
        <w:pStyle w:val="FootnoteText"/>
      </w:pPr>
      <w:r>
        <w:rPr>
          <w:rStyle w:val="FootnoteReference"/>
        </w:rPr>
        <w:footnoteRef/>
      </w:r>
      <w:r>
        <w:t xml:space="preserve"> Cross-references for "as the Lord": 1Sam 15:28; 1Sam 16:1-13.</w:t>
      </w:r>
    </w:p>
  </w:footnote>
  <w:footnote w:id="5772">
    <w:p>
      <w:pPr>
        <w:pStyle w:val="FootnoteText"/>
      </w:pPr>
      <w:r>
        <w:rPr>
          <w:rStyle w:val="FootnoteReference"/>
        </w:rPr>
        <w:footnoteRef/>
      </w:r>
      <w:r>
        <w:t xml:space="preserve"> Cross-references for "from Dan": Judg 20:1; 2Sam 17:11.</w:t>
      </w:r>
    </w:p>
  </w:footnote>
  <w:footnote w:id="5773">
    <w:p>
      <w:pPr>
        <w:pStyle w:val="FootnoteText"/>
      </w:pPr>
      <w:r>
        <w:rPr>
          <w:rStyle w:val="FootnoteReference"/>
        </w:rPr>
        <w:footnoteRef/>
      </w:r>
      <w:r>
        <w:t xml:space="preserve"> Cross-references for "Make": Ps 62:9; Luke 16:5-8.</w:t>
      </w:r>
    </w:p>
  </w:footnote>
  <w:footnote w:id="5774">
    <w:p>
      <w:pPr>
        <w:pStyle w:val="FootnoteText"/>
      </w:pPr>
      <w:r>
        <w:rPr>
          <w:rStyle w:val="FootnoteReference"/>
        </w:rPr>
        <w:footnoteRef/>
      </w:r>
      <w:r>
        <w:t xml:space="preserve"> Cross-references for "Michal": 1Sam 18:20-28; 1Sam 19:11-17.</w:t>
      </w:r>
    </w:p>
  </w:footnote>
  <w:footnote w:id="5775">
    <w:p>
      <w:pPr>
        <w:pStyle w:val="FootnoteText"/>
      </w:pPr>
      <w:r>
        <w:rPr>
          <w:rStyle w:val="FootnoteReference"/>
        </w:rPr>
        <w:footnoteRef/>
      </w:r>
      <w:r>
        <w:t xml:space="preserve"> Cross-references for "Ishbosheth": 2Sam 2:10.</w:t>
      </w:r>
    </w:p>
  </w:footnote>
  <w:footnote w:id="5776">
    <w:p>
      <w:pPr>
        <w:pStyle w:val="FootnoteText"/>
      </w:pPr>
      <w:r>
        <w:rPr>
          <w:rStyle w:val="FootnoteReference"/>
        </w:rPr>
        <w:footnoteRef/>
      </w:r>
      <w:r>
        <w:t xml:space="preserve"> Place name: Bahurim. Place-name meaning: Bahurim — choice; warlike; valiant. Source form: Bahurim. Greek form: βαρακιμ.</w:t>
      </w:r>
    </w:p>
  </w:footnote>
  <w:footnote w:id="5777">
    <w:p>
      <w:pPr>
        <w:pStyle w:val="FootnoteText"/>
      </w:pPr>
      <w:r>
        <w:rPr>
          <w:rStyle w:val="FootnoteReference"/>
        </w:rPr>
        <w:footnoteRef/>
      </w:r>
      <w:r>
        <w:t xml:space="preserve"> Cross-references for "Bahurim": 2Sam 16:5; 2Sam 17:18.</w:t>
      </w:r>
    </w:p>
  </w:footnote>
  <w:footnote w:id="5778">
    <w:p>
      <w:pPr>
        <w:pStyle w:val="FootnoteText"/>
      </w:pPr>
      <w:r>
        <w:rPr>
          <w:rStyle w:val="FootnoteReference"/>
        </w:rPr>
        <w:footnoteRef/>
      </w:r>
      <w:r>
        <w:t xml:space="preserve"> Cross-references for "By the hand": Ps 89:3-4; Ps 89:19-23.</w:t>
      </w:r>
    </w:p>
  </w:footnote>
  <w:footnote w:id="5779">
    <w:p>
      <w:pPr>
        <w:pStyle w:val="FootnoteText"/>
      </w:pPr>
      <w:r>
        <w:rPr>
          <w:rStyle w:val="FootnoteReference"/>
        </w:rPr>
        <w:footnoteRef/>
      </w:r>
      <w:r>
        <w:t xml:space="preserve"> Cross-references for "Benjamin": 1Sam 10:20-21; 1Chr 12:29.</w:t>
      </w:r>
    </w:p>
  </w:footnote>
  <w:footnote w:id="5780">
    <w:p>
      <w:pPr>
        <w:pStyle w:val="FootnoteText"/>
      </w:pPr>
      <w:r>
        <w:rPr>
          <w:rStyle w:val="FootnoteReference"/>
        </w:rPr>
        <w:footnoteRef/>
      </w:r>
      <w:r>
        <w:t xml:space="preserve"> Cross-references for "David": Gen 26:30; Gen 31:54.</w:t>
      </w:r>
    </w:p>
  </w:footnote>
  <w:footnote w:id="5781">
    <w:p>
      <w:pPr>
        <w:pStyle w:val="FootnoteText"/>
      </w:pPr>
      <w:r>
        <w:rPr>
          <w:rStyle w:val="FootnoteReference"/>
        </w:rPr>
        <w:footnoteRef/>
      </w:r>
      <w:r>
        <w:t xml:space="preserve"> Translation note: Greek says gather to my lord the king here. Current line keeps that wording.</w:t>
      </w:r>
    </w:p>
  </w:footnote>
  <w:footnote w:id="5782">
    <w:p>
      <w:pPr>
        <w:pStyle w:val="FootnoteText"/>
      </w:pPr>
      <w:r>
        <w:rPr>
          <w:rStyle w:val="FootnoteReference"/>
        </w:rPr>
        <w:footnoteRef/>
      </w:r>
      <w:r>
        <w:t xml:space="preserve"> Cross-references for "reign over": 1Kgs 11:37; Ps 20:4.</w:t>
      </w:r>
    </w:p>
  </w:footnote>
  <w:footnote w:id="5783">
    <w:p>
      <w:pPr>
        <w:pStyle w:val="FootnoteText"/>
      </w:pPr>
      <w:r>
        <w:rPr>
          <w:rStyle w:val="FootnoteReference"/>
        </w:rPr>
        <w:footnoteRef/>
      </w:r>
      <w:r>
        <w:t xml:space="preserve"> Translation note: Greek keeps the raid-and-spoil line direct. Current wording preserves it.</w:t>
      </w:r>
    </w:p>
  </w:footnote>
  <w:footnote w:id="5784">
    <w:p>
      <w:pPr>
        <w:pStyle w:val="FootnoteText"/>
      </w:pPr>
      <w:r>
        <w:rPr>
          <w:rStyle w:val="FootnoteReference"/>
        </w:rPr>
        <w:footnoteRef/>
      </w:r>
      <w:r>
        <w:t xml:space="preserve"> Cross-references for "that he came": 2Sam 3:27; 2Kgs 18:32.</w:t>
      </w:r>
    </w:p>
  </w:footnote>
  <w:footnote w:id="5785">
    <w:p>
      <w:pPr>
        <w:pStyle w:val="FootnoteText"/>
      </w:pPr>
      <w:r>
        <w:rPr>
          <w:rStyle w:val="FootnoteReference"/>
        </w:rPr>
        <w:footnoteRef/>
      </w:r>
      <w:r>
        <w:t xml:space="preserve"> Cross-references for "for the blood": 2Sam 2:19-23.</w:t>
      </w:r>
    </w:p>
  </w:footnote>
  <w:footnote w:id="5786">
    <w:p>
      <w:pPr>
        <w:pStyle w:val="FootnoteText"/>
      </w:pPr>
      <w:r>
        <w:rPr>
          <w:rStyle w:val="FootnoteReference"/>
        </w:rPr>
        <w:footnoteRef/>
      </w:r>
      <w:r>
        <w:t xml:space="preserve"> Cross-references for "let there": 1Sam 2:32-36; 2Kgs 5:27.</w:t>
      </w:r>
    </w:p>
  </w:footnote>
  <w:footnote w:id="5787">
    <w:p>
      <w:pPr>
        <w:pStyle w:val="FootnoteText"/>
      </w:pPr>
      <w:r>
        <w:rPr>
          <w:rStyle w:val="FootnoteReference"/>
        </w:rPr>
        <w:footnoteRef/>
      </w:r>
      <w:r>
        <w:t xml:space="preserve"> Translation note: Greek literally says lacking breads here.</w:t>
      </w:r>
    </w:p>
  </w:footnote>
  <w:footnote w:id="5788">
    <w:p>
      <w:pPr>
        <w:pStyle w:val="FootnoteText"/>
      </w:pPr>
      <w:r>
        <w:rPr>
          <w:rStyle w:val="FootnoteReference"/>
        </w:rPr>
        <w:footnoteRef/>
      </w:r>
      <w:r>
        <w:t xml:space="preserve"> Cross-references for "bier": Luke 7:14.</w:t>
      </w:r>
    </w:p>
  </w:footnote>
  <w:footnote w:id="5789">
    <w:p>
      <w:pPr>
        <w:pStyle w:val="FootnoteText"/>
      </w:pPr>
      <w:r>
        <w:rPr>
          <w:rStyle w:val="FootnoteReference"/>
        </w:rPr>
        <w:footnoteRef/>
      </w:r>
      <w:r>
        <w:t xml:space="preserve"> Cross-references for "lifted": 1Sam 30:4; 2Sam 1:12.</w:t>
      </w:r>
    </w:p>
  </w:footnote>
  <w:footnote w:id="5790">
    <w:p>
      <w:pPr>
        <w:pStyle w:val="FootnoteText"/>
      </w:pPr>
      <w:r>
        <w:rPr>
          <w:rStyle w:val="FootnoteReference"/>
        </w:rPr>
        <w:footnoteRef/>
      </w:r>
      <w:r>
        <w:t xml:space="preserve"> Cross-references for "hands": Judg 16:21; Ps 107:10-11.</w:t>
      </w:r>
    </w:p>
  </w:footnote>
  <w:footnote w:id="5791">
    <w:p>
      <w:pPr>
        <w:pStyle w:val="FootnoteText"/>
      </w:pPr>
      <w:r>
        <w:rPr>
          <w:rStyle w:val="FootnoteReference"/>
        </w:rPr>
        <w:footnoteRef/>
      </w:r>
      <w:r>
        <w:t xml:space="preserve"> Cross-references for "The Lord": 1Kgs 2:5-6; 1Kgs 2:33-34.</w:t>
      </w:r>
    </w:p>
  </w:footnote>
  <w:footnote w:id="5792">
    <w:p>
      <w:pPr>
        <w:pStyle w:val="FootnoteText"/>
      </w:pPr>
      <w:r>
        <w:rPr>
          <w:rStyle w:val="FootnoteReference"/>
        </w:rPr>
        <w:footnoteRef/>
      </w:r>
      <w:r>
        <w:t xml:space="preserve"> Cross-references for "his hands": 2Sam 17:2; Ezra 4:4.</w:t>
      </w:r>
    </w:p>
  </w:footnote>
  <w:footnote w:id="5793">
    <w:p>
      <w:pPr>
        <w:pStyle w:val="FootnoteText"/>
      </w:pPr>
      <w:r>
        <w:rPr>
          <w:rStyle w:val="FootnoteReference"/>
        </w:rPr>
        <w:footnoteRef/>
      </w:r>
      <w:r>
        <w:t xml:space="preserve"> Translation note: Greek says leaders of bands here and Mephibosthe. Current line keeps both.</w:t>
      </w:r>
    </w:p>
  </w:footnote>
  <w:footnote w:id="5794">
    <w:p>
      <w:pPr>
        <w:pStyle w:val="FootnoteText"/>
      </w:pPr>
      <w:r>
        <w:rPr>
          <w:rStyle w:val="FootnoteReference"/>
        </w:rPr>
        <w:footnoteRef/>
      </w:r>
      <w:r>
        <w:t xml:space="preserve"> Personal name: Baana. Personal-name meaning: Baana — in the answer; in affliction. Source form: Baana.</w:t>
      </w:r>
    </w:p>
  </w:footnote>
  <w:footnote w:id="5795">
    <w:p>
      <w:pPr>
        <w:pStyle w:val="FootnoteText"/>
      </w:pPr>
      <w:r>
        <w:rPr>
          <w:rStyle w:val="FootnoteReference"/>
        </w:rPr>
        <w:footnoteRef/>
      </w:r>
      <w:r>
        <w:t xml:space="preserve"> People-name: Beerothite. People-name meaning: Beerothite — wells; explaining. Source form: Beerothite.</w:t>
      </w:r>
    </w:p>
  </w:footnote>
  <w:footnote w:id="5796">
    <w:p>
      <w:pPr>
        <w:pStyle w:val="FootnoteText"/>
      </w:pPr>
      <w:r>
        <w:rPr>
          <w:rStyle w:val="FootnoteReference"/>
        </w:rPr>
        <w:footnoteRef/>
      </w:r>
      <w:r>
        <w:t xml:space="preserve"> Cross-references for "Beeroth": Josh 9:17; Josh 18:25.</w:t>
      </w:r>
    </w:p>
  </w:footnote>
  <w:footnote w:id="5797">
    <w:p>
      <w:pPr>
        <w:pStyle w:val="FootnoteText"/>
      </w:pPr>
      <w:r>
        <w:rPr>
          <w:rStyle w:val="FootnoteReference"/>
        </w:rPr>
        <w:footnoteRef/>
      </w:r>
      <w:r>
        <w:t xml:space="preserve"> People-name: Beerothites. People-name meaning: Beerothites — wells; explaining. Source form: Beerothites.</w:t>
      </w:r>
    </w:p>
  </w:footnote>
  <w:footnote w:id="5798">
    <w:p>
      <w:pPr>
        <w:pStyle w:val="FootnoteText"/>
      </w:pPr>
      <w:r>
        <w:rPr>
          <w:rStyle w:val="FootnoteReference"/>
        </w:rPr>
        <w:footnoteRef/>
      </w:r>
      <w:r>
        <w:t xml:space="preserve"> Cross-references for "Jonathan": 2Sam 9:3.</w:t>
      </w:r>
    </w:p>
  </w:footnote>
  <w:footnote w:id="5799">
    <w:p>
      <w:pPr>
        <w:pStyle w:val="FootnoteText"/>
      </w:pPr>
      <w:r>
        <w:rPr>
          <w:rStyle w:val="FootnoteReference"/>
        </w:rPr>
        <w:footnoteRef/>
      </w:r>
      <w:r>
        <w:t xml:space="preserve"> Transliterated proper noun: Mephibosthe. Standard English equivalent: Mephibosheth. Source form: Mephibosthe. Greek form: μεμφιβοσθε. Name meaning: out of my mouth proceeds reproach.</w:t>
      </w:r>
    </w:p>
  </w:footnote>
  <w:footnote w:id="5800">
    <w:p>
      <w:pPr>
        <w:pStyle w:val="FootnoteText"/>
      </w:pPr>
      <w:r>
        <w:rPr>
          <w:rStyle w:val="FootnoteReference"/>
        </w:rPr>
        <w:footnoteRef/>
      </w:r>
      <w:r>
        <w:t xml:space="preserve"> Translation note: Greek says stricken in feet here. Current line keeps that wording.</w:t>
      </w:r>
    </w:p>
  </w:footnote>
  <w:footnote w:id="5801">
    <w:p>
      <w:pPr>
        <w:pStyle w:val="FootnoteText"/>
      </w:pPr>
      <w:r>
        <w:rPr>
          <w:rStyle w:val="FootnoteReference"/>
        </w:rPr>
        <w:footnoteRef/>
      </w:r>
      <w:r>
        <w:t xml:space="preserve"> Name meaning: Mephibosthe (Mephibosheth) — From the mouth of shame; dispeller of shame. Jonathan's son whom David restored to table fellowship.</w:t>
      </w:r>
    </w:p>
  </w:footnote>
  <w:footnote w:id="5802">
    <w:p>
      <w:pPr>
        <w:pStyle w:val="FootnoteText"/>
      </w:pPr>
      <w:r>
        <w:rPr>
          <w:rStyle w:val="FootnoteReference"/>
        </w:rPr>
        <w:footnoteRef/>
      </w:r>
      <w:r>
        <w:t xml:space="preserve"> Cross-references for "went": 2Chr 24:25; 2Chr 25:27.</w:t>
      </w:r>
    </w:p>
  </w:footnote>
  <w:footnote w:id="5803">
    <w:p>
      <w:pPr>
        <w:pStyle w:val="FootnoteText"/>
      </w:pPr>
      <w:r>
        <w:rPr>
          <w:rStyle w:val="FootnoteReference"/>
        </w:rPr>
        <w:footnoteRef/>
      </w:r>
      <w:r>
        <w:t xml:space="preserve"> Translation note: Greek says doorkeeper cleaning wheat and they escaped notice.</w:t>
      </w:r>
    </w:p>
  </w:footnote>
  <w:footnote w:id="5804">
    <w:p>
      <w:pPr>
        <w:pStyle w:val="FootnoteText"/>
      </w:pPr>
      <w:r>
        <w:rPr>
          <w:rStyle w:val="FootnoteReference"/>
        </w:rPr>
        <w:footnoteRef/>
      </w:r>
      <w:r>
        <w:t xml:space="preserve"> Cross-references for "took his head": 1Sam 17:54; 1Sam 31:9.</w:t>
      </w:r>
    </w:p>
  </w:footnote>
  <w:footnote w:id="5805">
    <w:p>
      <w:pPr>
        <w:pStyle w:val="FootnoteText"/>
      </w:pPr>
      <w:r>
        <w:rPr>
          <w:rStyle w:val="FootnoteReference"/>
        </w:rPr>
        <w:footnoteRef/>
      </w:r>
      <w:r>
        <w:t xml:space="preserve"> Cross-references for "sought": 1Sam 18:11; 1Sam 19:2-11.</w:t>
      </w:r>
    </w:p>
  </w:footnote>
  <w:footnote w:id="5806">
    <w:p>
      <w:pPr>
        <w:pStyle w:val="FootnoteText"/>
      </w:pPr>
      <w:r>
        <w:rPr>
          <w:rStyle w:val="FootnoteReference"/>
        </w:rPr>
        <w:footnoteRef/>
      </w:r>
      <w:r>
        <w:t xml:space="preserve"> Translation note: Greek witness uses this name form here. Current line keeps transmitted Greek naming.</w:t>
      </w:r>
    </w:p>
  </w:footnote>
  <w:footnote w:id="5807">
    <w:p>
      <w:pPr>
        <w:pStyle w:val="FootnoteText"/>
      </w:pPr>
      <w:r>
        <w:rPr>
          <w:rStyle w:val="FootnoteReference"/>
        </w:rPr>
        <w:footnoteRef/>
      </w:r>
      <w:r>
        <w:t xml:space="preserve"> Cross-references for "hanged": Deut 21:22-23; 2Sam 21:9.</w:t>
      </w:r>
    </w:p>
  </w:footnote>
  <w:footnote w:id="5808">
    <w:p>
      <w:pPr>
        <w:pStyle w:val="FootnoteText"/>
      </w:pPr>
      <w:r>
        <w:rPr>
          <w:rStyle w:val="FootnoteReference"/>
        </w:rPr>
        <w:footnoteRef/>
      </w:r>
      <w:r>
        <w:t xml:space="preserve"> Translation note: Greek says pool here. Current line keeps that wording.</w:t>
      </w:r>
    </w:p>
  </w:footnote>
  <w:footnote w:id="5809">
    <w:p>
      <w:pPr>
        <w:pStyle w:val="FootnoteText"/>
      </w:pPr>
      <w:r>
        <w:rPr>
          <w:rStyle w:val="FootnoteReference"/>
        </w:rPr>
        <w:footnoteRef/>
      </w:r>
      <w:r>
        <w:t xml:space="preserve"> Translation note: The Greek uses shepherd language directly. The current wording preserves that metaphor.</w:t>
      </w:r>
    </w:p>
  </w:footnote>
  <w:footnote w:id="5810">
    <w:p>
      <w:pPr>
        <w:pStyle w:val="FootnoteText"/>
      </w:pPr>
      <w:r>
        <w:rPr>
          <w:rStyle w:val="FootnoteReference"/>
        </w:rPr>
        <w:footnoteRef/>
      </w:r>
      <w:r>
        <w:t xml:space="preserve"> Cross-references for "made": 1Sam 11:15; 2Kgs 11:17.</w:t>
      </w:r>
    </w:p>
  </w:footnote>
  <w:footnote w:id="5811">
    <w:p>
      <w:pPr>
        <w:pStyle w:val="FootnoteText"/>
      </w:pPr>
      <w:r>
        <w:rPr>
          <w:rStyle w:val="FootnoteReference"/>
        </w:rPr>
        <w:footnoteRef/>
      </w:r>
      <w:r>
        <w:t xml:space="preserve"> Cross-references for "thirty": Luke 3:23.</w:t>
      </w:r>
    </w:p>
  </w:footnote>
  <w:footnote w:id="5812">
    <w:p>
      <w:pPr>
        <w:pStyle w:val="FootnoteText"/>
      </w:pPr>
      <w:r>
        <w:rPr>
          <w:rStyle w:val="FootnoteReference"/>
        </w:rPr>
        <w:footnoteRef/>
      </w:r>
      <w:r>
        <w:t xml:space="preserve"> Cross-references for "seven years": 2Sam 2:11; 1Kgs 2:11.</w:t>
      </w:r>
    </w:p>
  </w:footnote>
  <w:footnote w:id="5813">
    <w:p>
      <w:pPr>
        <w:pStyle w:val="FootnoteText"/>
      </w:pPr>
      <w:r>
        <w:rPr>
          <w:rStyle w:val="FootnoteReference"/>
        </w:rPr>
        <w:footnoteRef/>
      </w:r>
      <w:r>
        <w:t xml:space="preserve"> Translation note: Greek states the regnal scope directly. Current wording preserves it.</w:t>
      </w:r>
    </w:p>
  </w:footnote>
  <w:footnote w:id="5814">
    <w:p>
      <w:pPr>
        <w:pStyle w:val="FootnoteText"/>
      </w:pPr>
      <w:r>
        <w:rPr>
          <w:rStyle w:val="FootnoteReference"/>
        </w:rPr>
        <w:footnoteRef/>
      </w:r>
      <w:r>
        <w:t xml:space="preserve"> Cross-references for "Jerusalem": Gen 14:18; Josh 10:3.</w:t>
      </w:r>
    </w:p>
  </w:footnote>
  <w:footnote w:id="5815">
    <w:p>
      <w:pPr>
        <w:pStyle w:val="FootnoteText"/>
      </w:pPr>
      <w:r>
        <w:rPr>
          <w:rStyle w:val="FootnoteReference"/>
        </w:rPr>
        <w:footnoteRef/>
      </w:r>
      <w:r>
        <w:t xml:space="preserve"> Translation note: Greek says blind and lame withstood him.</w:t>
      </w:r>
    </w:p>
  </w:footnote>
  <w:footnote w:id="5816">
    <w:p>
      <w:pPr>
        <w:pStyle w:val="FootnoteText"/>
      </w:pPr>
      <w:r>
        <w:rPr>
          <w:rStyle w:val="FootnoteReference"/>
        </w:rPr>
        <w:footnoteRef/>
      </w:r>
      <w:r>
        <w:t xml:space="preserve"> Cross-references for "Zion": Ps 2:6; Ps 9:11.</w:t>
      </w:r>
    </w:p>
  </w:footnote>
  <w:footnote w:id="5817">
    <w:p>
      <w:pPr>
        <w:pStyle w:val="FootnoteText"/>
      </w:pPr>
      <w:r>
        <w:rPr>
          <w:rStyle w:val="FootnoteReference"/>
        </w:rPr>
        <w:footnoteRef/>
      </w:r>
      <w:r>
        <w:t xml:space="preserve"> MT/LXX note: Greek differs sharply from MT gutter wording here.</w:t>
      </w:r>
    </w:p>
  </w:footnote>
  <w:footnote w:id="5818">
    <w:p>
      <w:pPr>
        <w:pStyle w:val="FootnoteText"/>
      </w:pPr>
      <w:r>
        <w:rPr>
          <w:rStyle w:val="FootnoteReference"/>
        </w:rPr>
        <w:footnoteRef/>
      </w:r>
      <w:r>
        <w:t xml:space="preserve"> Cross-references for "City": 2Sam 5:7.</w:t>
      </w:r>
    </w:p>
  </w:footnote>
  <w:footnote w:id="5819">
    <w:p>
      <w:pPr>
        <w:pStyle w:val="FootnoteText"/>
      </w:pPr>
      <w:r>
        <w:rPr>
          <w:rStyle w:val="FootnoteReference"/>
        </w:rPr>
        <w:footnoteRef/>
      </w:r>
      <w:r>
        <w:t xml:space="preserve"> Greek LXX divine name/title: Kyrios Pantokrator (Κύριος παντοκράτωρ) — Lord Almighty; Lord all-ruler. Common English rendering: Lord Almighty. The LXX often renders the Hebrew hosts title with Kyrios Pantokrator, translated Lord Almighty.</w:t>
      </w:r>
    </w:p>
  </w:footnote>
  <w:footnote w:id="5820">
    <w:p>
      <w:pPr>
        <w:pStyle w:val="FootnoteText"/>
      </w:pPr>
      <w:r>
        <w:rPr>
          <w:rStyle w:val="FootnoteReference"/>
        </w:rPr>
        <w:footnoteRef/>
      </w:r>
      <w:r>
        <w:t xml:space="preserve"> Cross-references for "the Lord": Gen 21:22; Ps 46:7.</w:t>
      </w:r>
    </w:p>
  </w:footnote>
  <w:footnote w:id="5821">
    <w:p>
      <w:pPr>
        <w:pStyle w:val="FootnoteText"/>
      </w:pPr>
      <w:r>
        <w:rPr>
          <w:rStyle w:val="FootnoteReference"/>
        </w:rPr>
        <w:footnoteRef/>
      </w:r>
      <w:r>
        <w:t xml:space="preserve"> Personal name: Hiram. Personal-name meaning: Hiram — exaltation of life; a destroyer. Source form: Hiram.</w:t>
      </w:r>
    </w:p>
  </w:footnote>
  <w:footnote w:id="5822">
    <w:p>
      <w:pPr>
        <w:pStyle w:val="FootnoteText"/>
      </w:pPr>
      <w:r>
        <w:rPr>
          <w:rStyle w:val="FootnoteReference"/>
        </w:rPr>
        <w:footnoteRef/>
      </w:r>
      <w:r>
        <w:t xml:space="preserve"> Cross-references for "Hiram": 1Kgs 5:1-2; 1Kgs 5:8-9.</w:t>
      </w:r>
    </w:p>
  </w:footnote>
  <w:footnote w:id="5823">
    <w:p>
      <w:pPr>
        <w:pStyle w:val="FootnoteText"/>
      </w:pPr>
      <w:r>
        <w:rPr>
          <w:rStyle w:val="FootnoteReference"/>
        </w:rPr>
        <w:footnoteRef/>
      </w:r>
      <w:r>
        <w:t xml:space="preserve"> Cross-references for "David": 2Sam 7:16; 1Chr 14:2.</w:t>
      </w:r>
    </w:p>
  </w:footnote>
  <w:footnote w:id="5824">
    <w:p>
      <w:pPr>
        <w:pStyle w:val="FootnoteText"/>
      </w:pPr>
      <w:r>
        <w:rPr>
          <w:rStyle w:val="FootnoteReference"/>
        </w:rPr>
        <w:footnoteRef/>
      </w:r>
      <w:r>
        <w:t xml:space="preserve"> Cross-references for "the names": 1Chr 3:5-9; 1Chr 14:4.</w:t>
      </w:r>
    </w:p>
  </w:footnote>
  <w:footnote w:id="5825">
    <w:p>
      <w:pPr>
        <w:pStyle w:val="FootnoteText"/>
      </w:pPr>
      <w:r>
        <w:rPr>
          <w:rStyle w:val="FootnoteReference"/>
        </w:rPr>
        <w:footnoteRef/>
      </w:r>
      <w:r>
        <w:t xml:space="preserve"> Transliterated proper noun: Shammuah. Standard English equivalent: Shammuah. Source form: Shammuah. Greek form: σαμμους. Name meaning: he that is heard; he that is obeyed.</w:t>
      </w:r>
    </w:p>
  </w:footnote>
  <w:footnote w:id="5826">
    <w:p>
      <w:pPr>
        <w:pStyle w:val="FootnoteText"/>
      </w:pPr>
      <w:r>
        <w:rPr>
          <w:rStyle w:val="FootnoteReference"/>
        </w:rPr>
        <w:footnoteRef/>
      </w:r>
      <w:r>
        <w:t xml:space="preserve"> Personal name: Shobab. Personal-name meaning: Shobab — returned; turned back; a spark. Source form: Shobab.</w:t>
      </w:r>
    </w:p>
  </w:footnote>
  <w:footnote w:id="5827">
    <w:p>
      <w:pPr>
        <w:pStyle w:val="FootnoteText"/>
      </w:pPr>
      <w:r>
        <w:rPr>
          <w:rStyle w:val="FootnoteReference"/>
        </w:rPr>
        <w:footnoteRef/>
      </w:r>
      <w:r>
        <w:t xml:space="preserve"> Name meaning: Nathan (Natan) — He gave; gift. Prophet who confronted David and guarded the promise line.</w:t>
      </w:r>
    </w:p>
  </w:footnote>
  <w:footnote w:id="5828">
    <w:p>
      <w:pPr>
        <w:pStyle w:val="FootnoteText"/>
      </w:pPr>
      <w:r>
        <w:rPr>
          <w:rStyle w:val="FootnoteReference"/>
        </w:rPr>
        <w:footnoteRef/>
      </w:r>
      <w:r>
        <w:t xml:space="preserve"> Personal name: Ibhar. Personal-name meaning: Ibhar — election; he that is chosen. Source form: Ibhar.</w:t>
      </w:r>
    </w:p>
  </w:footnote>
  <w:footnote w:id="5829">
    <w:p>
      <w:pPr>
        <w:pStyle w:val="FootnoteText"/>
      </w:pPr>
      <w:r>
        <w:rPr>
          <w:rStyle w:val="FootnoteReference"/>
        </w:rPr>
        <w:footnoteRef/>
      </w:r>
      <w:r>
        <w:t xml:space="preserve"> Personal name: Elishua. Personal-name meaning: Elishua — God is my salvation. Source form: Elishua.</w:t>
      </w:r>
    </w:p>
  </w:footnote>
  <w:footnote w:id="5830">
    <w:p>
      <w:pPr>
        <w:pStyle w:val="FootnoteText"/>
      </w:pPr>
      <w:r>
        <w:rPr>
          <w:rStyle w:val="FootnoteReference"/>
        </w:rPr>
        <w:footnoteRef/>
      </w:r>
      <w:r>
        <w:t xml:space="preserve"> Cross-references for "Elishua": 1Chr 3:6; 1Chr 14:5.</w:t>
      </w:r>
    </w:p>
  </w:footnote>
  <w:footnote w:id="5831">
    <w:p>
      <w:pPr>
        <w:pStyle w:val="FootnoteText"/>
      </w:pPr>
      <w:r>
        <w:rPr>
          <w:rStyle w:val="FootnoteReference"/>
        </w:rPr>
        <w:footnoteRef/>
      </w:r>
      <w:r>
        <w:t xml:space="preserve"> Personal name: Eliada. Personal-name meaning: Eliada — knowledge of God. Source form: Eliada.</w:t>
      </w:r>
    </w:p>
  </w:footnote>
  <w:footnote w:id="5832">
    <w:p>
      <w:pPr>
        <w:pStyle w:val="FootnoteText"/>
      </w:pPr>
      <w:r>
        <w:rPr>
          <w:rStyle w:val="FootnoteReference"/>
        </w:rPr>
        <w:footnoteRef/>
      </w:r>
      <w:r>
        <w:t xml:space="preserve"> Transliterated proper noun: Elpalet. Standard English equivalent: Elpalet. Source form: Elpalet. Greek form: ελφαλατ. Name meaning: the God of deliverance.</w:t>
      </w:r>
    </w:p>
  </w:footnote>
  <w:footnote w:id="5833">
    <w:p>
      <w:pPr>
        <w:pStyle w:val="FootnoteText"/>
      </w:pPr>
      <w:r>
        <w:rPr>
          <w:rStyle w:val="FootnoteReference"/>
        </w:rPr>
        <w:footnoteRef/>
      </w:r>
      <w:r>
        <w:t xml:space="preserve"> Transliterated proper noun: Eliphalet. Standard English equivalent: Eliphalet. Source form: Eliphalet. Greek form: ελιφαλαθ. Name meaning: the God of deliverance.</w:t>
      </w:r>
    </w:p>
  </w:footnote>
  <w:footnote w:id="5834">
    <w:p>
      <w:pPr>
        <w:pStyle w:val="FootnoteText"/>
      </w:pPr>
      <w:r>
        <w:rPr>
          <w:rStyle w:val="FootnoteReference"/>
        </w:rPr>
        <w:footnoteRef/>
      </w:r>
      <w:r>
        <w:t xml:space="preserve"> Cross-references for "Eliada": 1Chr 14:7.</w:t>
      </w:r>
    </w:p>
  </w:footnote>
  <w:footnote w:id="5835">
    <w:p>
      <w:pPr>
        <w:pStyle w:val="FootnoteText"/>
      </w:pPr>
      <w:r>
        <w:rPr>
          <w:rStyle w:val="FootnoteReference"/>
        </w:rPr>
        <w:footnoteRef/>
      </w:r>
      <w:r>
        <w:t xml:space="preserve"> Cross-references for "the Valley": Gen 14:5; Josh 15:8.</w:t>
      </w:r>
    </w:p>
  </w:footnote>
  <w:footnote w:id="5836">
    <w:p>
      <w:pPr>
        <w:pStyle w:val="FootnoteText"/>
      </w:pPr>
      <w:r>
        <w:rPr>
          <w:rStyle w:val="FootnoteReference"/>
        </w:rPr>
        <w:footnoteRef/>
      </w:r>
      <w:r>
        <w:t xml:space="preserve"> Transliterated proper noun: Titans. Standard English equivalent: Rephaim. Source form: Titans. Greek form: τιτανων. Name meaning: giants; physicians; relaxed.</w:t>
      </w:r>
    </w:p>
  </w:footnote>
  <w:footnote w:id="5837">
    <w:p>
      <w:pPr>
        <w:pStyle w:val="FootnoteText"/>
      </w:pPr>
      <w:r>
        <w:rPr>
          <w:rStyle w:val="FootnoteReference"/>
        </w:rPr>
        <w:footnoteRef/>
      </w:r>
      <w:r>
        <w:t xml:space="preserve"> Cross-references for "inquired": 1Sam 23:2; 1Sam 23:4.</w:t>
      </w:r>
    </w:p>
  </w:footnote>
  <w:footnote w:id="5838">
    <w:p>
      <w:pPr>
        <w:pStyle w:val="FootnoteText"/>
      </w:pPr>
      <w:r>
        <w:rPr>
          <w:rStyle w:val="FootnoteReference"/>
        </w:rPr>
        <w:footnoteRef/>
      </w:r>
      <w:r>
        <w:t xml:space="preserve"> Translation note: Greek doubles deliver-language here. Current line keeps that emphasis.</w:t>
      </w:r>
    </w:p>
  </w:footnote>
  <w:footnote w:id="5839">
    <w:p>
      <w:pPr>
        <w:pStyle w:val="FootnoteText"/>
      </w:pPr>
      <w:r>
        <w:rPr>
          <w:rStyle w:val="FootnoteReference"/>
        </w:rPr>
        <w:footnoteRef/>
      </w:r>
      <w:r>
        <w:t xml:space="preserve"> Cross-references for "David": Deut 7:5; Deut 7:25.</w:t>
      </w:r>
    </w:p>
  </w:footnote>
  <w:footnote w:id="5840">
    <w:p>
      <w:pPr>
        <w:pStyle w:val="FootnoteText"/>
      </w:pPr>
      <w:r>
        <w:rPr>
          <w:rStyle w:val="FootnoteReference"/>
        </w:rPr>
        <w:footnoteRef/>
      </w:r>
      <w:r>
        <w:t xml:space="preserve"> Cross-references for "inquired": 2Sam 5:19.</w:t>
      </w:r>
    </w:p>
  </w:footnote>
  <w:footnote w:id="5841">
    <w:p>
      <w:pPr>
        <w:pStyle w:val="FootnoteText"/>
      </w:pPr>
      <w:r>
        <w:rPr>
          <w:rStyle w:val="FootnoteReference"/>
        </w:rPr>
        <w:footnoteRef/>
      </w:r>
      <w:r>
        <w:t xml:space="preserve"> Personal name: Uzzah. Personal-name meaning: Uzzah — strength; goat. Source form: Uzzah.</w:t>
      </w:r>
    </w:p>
  </w:footnote>
  <w:footnote w:id="5842">
    <w:p>
      <w:pPr>
        <w:pStyle w:val="FootnoteText"/>
      </w:pPr>
      <w:r>
        <w:rPr>
          <w:rStyle w:val="FootnoteReference"/>
        </w:rPr>
        <w:footnoteRef/>
      </w:r>
      <w:r>
        <w:t xml:space="preserve"> Cross-references for "David": 1Sam 10:5; 1Sam 16:16.</w:t>
      </w:r>
    </w:p>
  </w:footnote>
  <w:footnote w:id="5843">
    <w:p>
      <w:pPr>
        <w:pStyle w:val="FootnoteText"/>
      </w:pPr>
      <w:r>
        <w:rPr>
          <w:rStyle w:val="FootnoteReference"/>
        </w:rPr>
        <w:footnoteRef/>
      </w:r>
      <w:r>
        <w:t xml:space="preserve"> Transliterated proper noun: Nachon. Standard English equivalent: Nachon. Source form: Nachon. Greek form: κατασχειν. Name meaning: ready; sure.</w:t>
      </w:r>
    </w:p>
  </w:footnote>
  <w:footnote w:id="5844">
    <w:p>
      <w:pPr>
        <w:pStyle w:val="FootnoteText"/>
      </w:pPr>
      <w:r>
        <w:rPr>
          <w:rStyle w:val="FootnoteReference"/>
        </w:rPr>
        <w:footnoteRef/>
      </w:r>
      <w:r>
        <w:t xml:space="preserve"> Translation note: Greek uses both locative phrases in sequence. The fresh line keeps both rather than compressing them.</w:t>
      </w:r>
    </w:p>
  </w:footnote>
  <w:footnote w:id="5845">
    <w:p>
      <w:pPr>
        <w:pStyle w:val="FootnoteText"/>
      </w:pPr>
      <w:r>
        <w:rPr>
          <w:rStyle w:val="FootnoteReference"/>
        </w:rPr>
        <w:footnoteRef/>
      </w:r>
      <w:r>
        <w:t xml:space="preserve"> Personal name: Obededom. Personal-name meaning: Obededom — servant of Edom. Source form: Obededom.</w:t>
      </w:r>
    </w:p>
  </w:footnote>
  <w:footnote w:id="5846">
    <w:p>
      <w:pPr>
        <w:pStyle w:val="FootnoteText"/>
      </w:pPr>
      <w:r>
        <w:rPr>
          <w:rStyle w:val="FootnoteReference"/>
        </w:rPr>
        <w:footnoteRef/>
      </w:r>
      <w:r>
        <w:t xml:space="preserve"> People-name: Gittite. People-name meaning: Gittites — men of Gath, ie., of a wine-press. Standard English equivalent: Gittites. Source form: Gittite.</w:t>
      </w:r>
    </w:p>
  </w:footnote>
  <w:footnote w:id="5847">
    <w:p>
      <w:pPr>
        <w:pStyle w:val="FootnoteText"/>
      </w:pPr>
      <w:r>
        <w:rPr>
          <w:rStyle w:val="FootnoteReference"/>
        </w:rPr>
        <w:footnoteRef/>
      </w:r>
      <w:r>
        <w:t xml:space="preserve"> Cross-references for "Obededom": 1Chr 13:13-14; 1Chr 15:18.</w:t>
      </w:r>
    </w:p>
  </w:footnote>
  <w:footnote w:id="5848">
    <w:p>
      <w:pPr>
        <w:pStyle w:val="FootnoteText"/>
      </w:pPr>
      <w:r>
        <w:rPr>
          <w:rStyle w:val="FootnoteReference"/>
        </w:rPr>
        <w:footnoteRef/>
      </w:r>
      <w:r>
        <w:t xml:space="preserve"> Cross-references for "the Lord blessed": Gen 30:27; Gen 39:5.</w:t>
      </w:r>
    </w:p>
  </w:footnote>
  <w:footnote w:id="5849">
    <w:p>
      <w:pPr>
        <w:pStyle w:val="FootnoteText"/>
      </w:pPr>
      <w:r>
        <w:rPr>
          <w:rStyle w:val="FootnoteReference"/>
        </w:rPr>
        <w:footnoteRef/>
      </w:r>
      <w:r>
        <w:t xml:space="preserve"> Translation note: Greek says ark of the Lord from house of Abeddara.</w:t>
      </w:r>
    </w:p>
  </w:footnote>
  <w:footnote w:id="5850">
    <w:p>
      <w:pPr>
        <w:pStyle w:val="FootnoteText"/>
      </w:pPr>
      <w:r>
        <w:rPr>
          <w:rStyle w:val="FootnoteReference"/>
        </w:rPr>
        <w:footnoteRef/>
      </w:r>
      <w:r>
        <w:t xml:space="preserve"> Cross-references for "David": Ps 132:18.</w:t>
      </w:r>
    </w:p>
  </w:footnote>
  <w:footnote w:id="5851">
    <w:p>
      <w:pPr>
        <w:pStyle w:val="FootnoteText"/>
      </w:pPr>
      <w:r>
        <w:rPr>
          <w:rStyle w:val="FootnoteReference"/>
        </w:rPr>
        <w:footnoteRef/>
      </w:r>
      <w:r>
        <w:t xml:space="preserve"> Cross-references for "Michal": 2Sam 3:14.</w:t>
      </w:r>
    </w:p>
  </w:footnote>
  <w:footnote w:id="5852">
    <w:p>
      <w:pPr>
        <w:pStyle w:val="FootnoteText"/>
      </w:pPr>
      <w:r>
        <w:rPr>
          <w:rStyle w:val="FootnoteReference"/>
        </w:rPr>
        <w:footnoteRef/>
      </w:r>
      <w:r>
        <w:t xml:space="preserve"> Cross-references for "offered": 1Kgs 8:5; 1Kgs 8:62-65.</w:t>
      </w:r>
    </w:p>
  </w:footnote>
  <w:footnote w:id="5853">
    <w:p>
      <w:pPr>
        <w:pStyle w:val="FootnoteText"/>
      </w:pPr>
      <w:r>
        <w:rPr>
          <w:rStyle w:val="FootnoteReference"/>
        </w:rPr>
        <w:footnoteRef/>
      </w:r>
      <w:r>
        <w:t xml:space="preserve"> Translation note: Greek gives this food list here.</w:t>
      </w:r>
    </w:p>
  </w:footnote>
  <w:footnote w:id="5854">
    <w:p>
      <w:pPr>
        <w:pStyle w:val="FootnoteText"/>
      </w:pPr>
      <w:r>
        <w:rPr>
          <w:rStyle w:val="FootnoteReference"/>
        </w:rPr>
        <w:footnoteRef/>
      </w:r>
      <w:r>
        <w:t xml:space="preserve"> Cross-references for "bless": Gen 18:19; Josh 24:15.</w:t>
      </w:r>
    </w:p>
  </w:footnote>
  <w:footnote w:id="5855">
    <w:p>
      <w:pPr>
        <w:pStyle w:val="FootnoteText"/>
      </w:pPr>
      <w:r>
        <w:rPr>
          <w:rStyle w:val="FootnoteReference"/>
        </w:rPr>
        <w:footnoteRef/>
      </w:r>
      <w:r>
        <w:t xml:space="preserve"> Cross-references for "chose": 1Sam 13:14; 1Sam 15:28.</w:t>
      </w:r>
    </w:p>
  </w:footnote>
  <w:footnote w:id="5856">
    <w:p>
      <w:pPr>
        <w:pStyle w:val="FootnoteText"/>
      </w:pPr>
      <w:r>
        <w:rPr>
          <w:rStyle w:val="FootnoteReference"/>
        </w:rPr>
        <w:footnoteRef/>
      </w:r>
      <w:r>
        <w:t xml:space="preserve"> Translation note: Greek has both verbs here.</w:t>
      </w:r>
    </w:p>
  </w:footnote>
  <w:footnote w:id="5857">
    <w:p>
      <w:pPr>
        <w:pStyle w:val="FootnoteText"/>
      </w:pPr>
      <w:r>
        <w:rPr>
          <w:rStyle w:val="FootnoteReference"/>
        </w:rPr>
        <w:footnoteRef/>
      </w:r>
      <w:r>
        <w:t xml:space="preserve"> Cross-references for "Michal": 1Sam 1:6-8; Isa 4:1.</w:t>
      </w:r>
    </w:p>
  </w:footnote>
  <w:footnote w:id="5858">
    <w:p>
      <w:pPr>
        <w:pStyle w:val="FootnoteText"/>
      </w:pPr>
      <w:r>
        <w:rPr>
          <w:rStyle w:val="FootnoteReference"/>
        </w:rPr>
        <w:footnoteRef/>
      </w:r>
      <w:r>
        <w:t xml:space="preserve"> Cross-references for "the Lord": Josh 21:44; Josh 23:1.</w:t>
      </w:r>
    </w:p>
  </w:footnote>
  <w:footnote w:id="5859">
    <w:p>
      <w:pPr>
        <w:pStyle w:val="FootnoteText"/>
      </w:pPr>
      <w:r>
        <w:rPr>
          <w:rStyle w:val="FootnoteReference"/>
        </w:rPr>
        <w:footnoteRef/>
      </w:r>
      <w:r>
        <w:t xml:space="preserve"> Cross-references for "Nathan": 2Sam 12:1; 1Chr 29:29.</w:t>
      </w:r>
    </w:p>
  </w:footnote>
  <w:footnote w:id="5860">
    <w:p>
      <w:pPr>
        <w:pStyle w:val="FootnoteText"/>
      </w:pPr>
      <w:r>
        <w:rPr>
          <w:rStyle w:val="FootnoteReference"/>
        </w:rPr>
        <w:footnoteRef/>
      </w:r>
      <w:r>
        <w:t xml:space="preserve"> Translation note: Greek gives Nathan's advice with the in-your-heart line directly. Current wording preserves that counsel formula.</w:t>
      </w:r>
    </w:p>
  </w:footnote>
  <w:footnote w:id="5861">
    <w:p>
      <w:pPr>
        <w:pStyle w:val="FootnoteText"/>
      </w:pPr>
      <w:r>
        <w:rPr>
          <w:rStyle w:val="FootnoteReference"/>
        </w:rPr>
        <w:footnoteRef/>
      </w:r>
      <w:r>
        <w:t xml:space="preserve"> Cross-references for "that night": Num 12:6; 1Chr 17:3.</w:t>
      </w:r>
    </w:p>
  </w:footnote>
  <w:footnote w:id="5862">
    <w:p>
      <w:pPr>
        <w:pStyle w:val="FootnoteText"/>
      </w:pPr>
      <w:r>
        <w:rPr>
          <w:rStyle w:val="FootnoteReference"/>
        </w:rPr>
        <w:footnoteRef/>
      </w:r>
      <w:r>
        <w:t xml:space="preserve"> Cross-references for "I have not": Josh 18:1; 1Kgs 8:16.</w:t>
      </w:r>
    </w:p>
  </w:footnote>
  <w:footnote w:id="5863">
    <w:p>
      <w:pPr>
        <w:pStyle w:val="FootnoteText"/>
      </w:pPr>
      <w:r>
        <w:rPr>
          <w:rStyle w:val="FootnoteReference"/>
        </w:rPr>
        <w:footnoteRef/>
      </w:r>
      <w:r>
        <w:t xml:space="preserve"> Translation note: Greek has one tribe of Israel.</w:t>
      </w:r>
    </w:p>
  </w:footnote>
  <w:footnote w:id="5864">
    <w:p>
      <w:pPr>
        <w:pStyle w:val="FootnoteText"/>
      </w:pPr>
      <w:r>
        <w:rPr>
          <w:rStyle w:val="FootnoteReference"/>
        </w:rPr>
        <w:footnoteRef/>
      </w:r>
      <w:r>
        <w:t xml:space="preserve"> Cross-references for "And I was": 1Sam 18:14; 2Sam 5:10.</w:t>
      </w:r>
    </w:p>
  </w:footnote>
  <w:footnote w:id="5865">
    <w:p>
      <w:pPr>
        <w:pStyle w:val="FootnoteText"/>
      </w:pPr>
      <w:r>
        <w:rPr>
          <w:rStyle w:val="FootnoteReference"/>
        </w:rPr>
        <w:footnoteRef/>
      </w:r>
      <w:r>
        <w:t xml:space="preserve"> Translation note: Greek says he will tabernacle by himself and no longer be anxious.</w:t>
      </w:r>
    </w:p>
  </w:footnote>
  <w:footnote w:id="5866">
    <w:p>
      <w:pPr>
        <w:pStyle w:val="FootnoteText"/>
      </w:pPr>
      <w:r>
        <w:rPr>
          <w:rStyle w:val="FootnoteReference"/>
        </w:rPr>
        <w:footnoteRef/>
      </w:r>
      <w:r>
        <w:t xml:space="preserve"> Cross-references for "sleep": Deut 31:16; 1Kgs 1:21.</w:t>
      </w:r>
    </w:p>
  </w:footnote>
  <w:footnote w:id="5867">
    <w:p>
      <w:pPr>
        <w:pStyle w:val="FootnoteText"/>
      </w:pPr>
      <w:r>
        <w:rPr>
          <w:rStyle w:val="FootnoteReference"/>
        </w:rPr>
        <w:footnoteRef/>
      </w:r>
      <w:r>
        <w:t xml:space="preserve"> Translation note: Greek uses body-source language in the dynastic promise. Current wording preserves that phrase.</w:t>
      </w:r>
    </w:p>
  </w:footnote>
  <w:footnote w:id="5868">
    <w:p>
      <w:pPr>
        <w:pStyle w:val="FootnoteText"/>
      </w:pPr>
      <w:r>
        <w:rPr>
          <w:rStyle w:val="FootnoteReference"/>
        </w:rPr>
        <w:footnoteRef/>
      </w:r>
      <w:r>
        <w:t xml:space="preserve"> Cross-references for "I will be": 1Chr 17:13; 1Chr 28:6.</w:t>
      </w:r>
    </w:p>
  </w:footnote>
  <w:footnote w:id="5869">
    <w:p>
      <w:pPr>
        <w:pStyle w:val="FootnoteText"/>
      </w:pPr>
      <w:r>
        <w:rPr>
          <w:rStyle w:val="FootnoteReference"/>
        </w:rPr>
        <w:footnoteRef/>
      </w:r>
      <w:r>
        <w:t xml:space="preserve"> Cross-references for "But my": 1Sam 19:24; 2Sam 7:14.</w:t>
      </w:r>
    </w:p>
  </w:footnote>
  <w:footnote w:id="5870">
    <w:p>
      <w:pPr>
        <w:pStyle w:val="FootnoteText"/>
      </w:pPr>
      <w:r>
        <w:rPr>
          <w:rStyle w:val="FootnoteReference"/>
        </w:rPr>
        <w:footnoteRef/>
      </w:r>
      <w:r>
        <w:t xml:space="preserve"> Cross-references for "Who am I": Gen 32:10; Exod 3:11.</w:t>
      </w:r>
    </w:p>
  </w:footnote>
  <w:footnote w:id="5871">
    <w:p>
      <w:pPr>
        <w:pStyle w:val="FootnoteText"/>
      </w:pPr>
      <w:r>
        <w:rPr>
          <w:rStyle w:val="FootnoteReference"/>
        </w:rPr>
        <w:footnoteRef/>
      </w:r>
      <w:r>
        <w:t xml:space="preserve"> Cross-references for "And this": Num 16:9; Num 16:13.</w:t>
      </w:r>
    </w:p>
  </w:footnote>
  <w:footnote w:id="5872">
    <w:p>
      <w:pPr>
        <w:pStyle w:val="FootnoteText"/>
      </w:pPr>
      <w:r>
        <w:rPr>
          <w:rStyle w:val="FootnoteReference"/>
        </w:rPr>
        <w:footnoteRef/>
      </w:r>
      <w:r>
        <w:t xml:space="preserve"> Translation note: The line is difficult and widely debated. Main text stays close to the Greek wording rather than choosing a smoother paraphrase.</w:t>
      </w:r>
    </w:p>
  </w:footnote>
  <w:footnote w:id="5873">
    <w:p>
      <w:pPr>
        <w:pStyle w:val="FootnoteText"/>
      </w:pPr>
      <w:r>
        <w:rPr>
          <w:rStyle w:val="FootnoteReference"/>
        </w:rPr>
        <w:footnoteRef/>
      </w:r>
      <w:r>
        <w:t xml:space="preserve"> Cross-references for "none": Exod 15:11; Deut 4:35.</w:t>
      </w:r>
    </w:p>
  </w:footnote>
  <w:footnote w:id="5874">
    <w:p>
      <w:pPr>
        <w:pStyle w:val="FootnoteText"/>
      </w:pPr>
      <w:r>
        <w:rPr>
          <w:rStyle w:val="FootnoteReference"/>
        </w:rPr>
        <w:footnoteRef/>
      </w:r>
      <w:r>
        <w:t xml:space="preserve"> Translation note: Greek says led him here. Current line keeps that wording.</w:t>
      </w:r>
    </w:p>
  </w:footnote>
  <w:footnote w:id="5875">
    <w:p>
      <w:pPr>
        <w:pStyle w:val="FootnoteText"/>
      </w:pPr>
      <w:r>
        <w:rPr>
          <w:rStyle w:val="FootnoteReference"/>
        </w:rPr>
        <w:footnoteRef/>
      </w:r>
      <w:r>
        <w:t xml:space="preserve"> Cross-references for "found": 1Chr 17:25-26; Ps 10:17.</w:t>
      </w:r>
    </w:p>
  </w:footnote>
  <w:footnote w:id="5876">
    <w:p>
      <w:pPr>
        <w:pStyle w:val="FootnoteText"/>
      </w:pPr>
      <w:r>
        <w:rPr>
          <w:rStyle w:val="FootnoteReference"/>
        </w:rPr>
        <w:footnoteRef/>
      </w:r>
      <w:r>
        <w:t xml:space="preserve"> Translation note: Greek says begin and bless here. Current line keeps it.</w:t>
      </w:r>
    </w:p>
  </w:footnote>
  <w:footnote w:id="5877">
    <w:p>
      <w:pPr>
        <w:pStyle w:val="FootnoteText"/>
      </w:pPr>
      <w:r>
        <w:rPr>
          <w:rStyle w:val="FootnoteReference"/>
        </w:rPr>
        <w:footnoteRef/>
      </w:r>
      <w:r>
        <w:t xml:space="preserve"> Cross-references for "measured": 2Sam 12:31.</w:t>
      </w:r>
    </w:p>
  </w:footnote>
  <w:footnote w:id="5878">
    <w:p>
      <w:pPr>
        <w:pStyle w:val="FootnoteText"/>
      </w:pPr>
      <w:r>
        <w:rPr>
          <w:rStyle w:val="FootnoteReference"/>
        </w:rPr>
        <w:footnoteRef/>
      </w:r>
      <w:r>
        <w:t xml:space="preserve"> Translation note: Greek keeps the line-measure wording here.</w:t>
      </w:r>
    </w:p>
  </w:footnote>
  <w:footnote w:id="5879">
    <w:p>
      <w:pPr>
        <w:pStyle w:val="FootnoteText"/>
      </w:pPr>
      <w:r>
        <w:rPr>
          <w:rStyle w:val="FootnoteReference"/>
        </w:rPr>
        <w:footnoteRef/>
      </w:r>
      <w:r>
        <w:t xml:space="preserve"> Transliterated proper noun: Adraazar. Standard English equivalent: Hadadezer. Source form: Adraazar. Greek form: αδρααζαρ. Name meaning: beauty of assistance.</w:t>
      </w:r>
    </w:p>
  </w:footnote>
  <w:footnote w:id="5880">
    <w:p>
      <w:pPr>
        <w:pStyle w:val="FootnoteText"/>
      </w:pPr>
      <w:r>
        <w:rPr>
          <w:rStyle w:val="FootnoteReference"/>
        </w:rPr>
        <w:footnoteRef/>
      </w:r>
      <w:r>
        <w:t xml:space="preserve"> Transliterated proper noun: Raab. Standard English equivalent: Rehob. Source form: Raab. Greek form: ρααβ. Name meaning: breadth; space; extent.</w:t>
      </w:r>
    </w:p>
  </w:footnote>
  <w:footnote w:id="5881">
    <w:p>
      <w:pPr>
        <w:pStyle w:val="FootnoteText"/>
      </w:pPr>
      <w:r>
        <w:rPr>
          <w:rStyle w:val="FootnoteReference"/>
        </w:rPr>
        <w:footnoteRef/>
      </w:r>
      <w:r>
        <w:t xml:space="preserve"> Place name: Souba. Place-name meaning: Zobah — an army; warring. Standard English equivalent: Zobah. Source form: Souba. Greek form: σουβα.</w:t>
      </w:r>
    </w:p>
  </w:footnote>
  <w:footnote w:id="5882">
    <w:p>
      <w:pPr>
        <w:pStyle w:val="FootnoteText"/>
      </w:pPr>
      <w:r>
        <w:rPr>
          <w:rStyle w:val="FootnoteReference"/>
        </w:rPr>
        <w:footnoteRef/>
      </w:r>
      <w:r>
        <w:t xml:space="preserve"> Cross-references for "Hadadezer": 1Chr 18:3.</w:t>
      </w:r>
    </w:p>
  </w:footnote>
  <w:footnote w:id="5883">
    <w:p>
      <w:pPr>
        <w:pStyle w:val="FootnoteText"/>
      </w:pPr>
      <w:r>
        <w:rPr>
          <w:rStyle w:val="FootnoteReference"/>
        </w:rPr>
        <w:footnoteRef/>
      </w:r>
      <w:r>
        <w:t xml:space="preserve"> Cross-references for "chariots": Deut 17:16; Josh 11:6.</w:t>
      </w:r>
    </w:p>
  </w:footnote>
  <w:footnote w:id="5884">
    <w:p>
      <w:pPr>
        <w:pStyle w:val="FootnoteText"/>
      </w:pPr>
      <w:r>
        <w:rPr>
          <w:rStyle w:val="FootnoteReference"/>
        </w:rPr>
        <w:footnoteRef/>
      </w:r>
      <w:r>
        <w:t xml:space="preserve"> Cross-references for "Zobah": 2Chr 8:3.</w:t>
      </w:r>
    </w:p>
  </w:footnote>
  <w:footnote w:id="5885">
    <w:p>
      <w:pPr>
        <w:pStyle w:val="FootnoteText"/>
      </w:pPr>
      <w:r>
        <w:rPr>
          <w:rStyle w:val="FootnoteReference"/>
        </w:rPr>
        <w:footnoteRef/>
      </w:r>
      <w:r>
        <w:t xml:space="preserve"> Cross-references for "became": 2Sam 8:2.</w:t>
      </w:r>
    </w:p>
  </w:footnote>
  <w:footnote w:id="5886">
    <w:p>
      <w:pPr>
        <w:pStyle w:val="FootnoteText"/>
      </w:pPr>
      <w:r>
        <w:rPr>
          <w:rStyle w:val="FootnoteReference"/>
        </w:rPr>
        <w:footnoteRef/>
      </w:r>
      <w:r>
        <w:t xml:space="preserve"> Personal name: Shishak. Personal-name meaning: Shishak — present of the bag; of the pot; of the thigh. Source form: Shishak.</w:t>
      </w:r>
    </w:p>
  </w:footnote>
  <w:footnote w:id="5887">
    <w:p>
      <w:pPr>
        <w:pStyle w:val="FootnoteText"/>
      </w:pPr>
      <w:r>
        <w:rPr>
          <w:rStyle w:val="FootnoteReference"/>
        </w:rPr>
        <w:footnoteRef/>
      </w:r>
      <w:r>
        <w:t xml:space="preserve"> Personal name: Toi. Personal-name meaning: Toi — who wanders. Source form: Toi.</w:t>
      </w:r>
    </w:p>
  </w:footnote>
  <w:footnote w:id="5888">
    <w:p>
      <w:pPr>
        <w:pStyle w:val="FootnoteText"/>
      </w:pPr>
      <w:r>
        <w:rPr>
          <w:rStyle w:val="FootnoteReference"/>
        </w:rPr>
        <w:footnoteRef/>
      </w:r>
      <w:r>
        <w:t xml:space="preserve"> Cross-references for "Hamath": Amos 6:2.</w:t>
      </w:r>
    </w:p>
  </w:footnote>
  <w:footnote w:id="5889">
    <w:p>
      <w:pPr>
        <w:pStyle w:val="FootnoteText"/>
      </w:pPr>
      <w:r>
        <w:rPr>
          <w:rStyle w:val="FootnoteReference"/>
        </w:rPr>
        <w:footnoteRef/>
      </w:r>
      <w:r>
        <w:t xml:space="preserve"> Transliterated proper noun: Ieddouran. Standard English equivalent: Joram. Source form: Ieddouran. Greek form: ιεδδουραν. Name meaning: to cast; elevated.</w:t>
      </w:r>
    </w:p>
  </w:footnote>
  <w:footnote w:id="5890">
    <w:p>
      <w:pPr>
        <w:pStyle w:val="FootnoteText"/>
      </w:pPr>
      <w:r>
        <w:rPr>
          <w:rStyle w:val="FootnoteReference"/>
        </w:rPr>
        <w:footnoteRef/>
      </w:r>
      <w:r>
        <w:t xml:space="preserve"> Translation note: Greek says ask him the things of peace and bless him.</w:t>
      </w:r>
    </w:p>
  </w:footnote>
  <w:footnote w:id="5891">
    <w:p>
      <w:pPr>
        <w:pStyle w:val="FootnoteText"/>
      </w:pPr>
      <w:r>
        <w:rPr>
          <w:rStyle w:val="FootnoteReference"/>
        </w:rPr>
        <w:footnoteRef/>
      </w:r>
      <w:r>
        <w:t xml:space="preserve"> Cross-references for "Joram": 1Chr 18:10.</w:t>
      </w:r>
    </w:p>
  </w:footnote>
  <w:footnote w:id="5892">
    <w:p>
      <w:pPr>
        <w:pStyle w:val="FootnoteText"/>
      </w:pPr>
      <w:r>
        <w:rPr>
          <w:rStyle w:val="FootnoteReference"/>
        </w:rPr>
        <w:footnoteRef/>
      </w:r>
      <w:r>
        <w:t xml:space="preserve"> People-name: Edomites. People-name meaning: Edomites — people of Edom; red. Source form: Edomites.</w:t>
      </w:r>
    </w:p>
  </w:footnote>
  <w:footnote w:id="5893">
    <w:p>
      <w:pPr>
        <w:pStyle w:val="FootnoteText"/>
      </w:pPr>
      <w:r>
        <w:rPr>
          <w:rStyle w:val="FootnoteReference"/>
        </w:rPr>
        <w:footnoteRef/>
      </w:r>
      <w:r>
        <w:t xml:space="preserve"> Cross-references for "the Lord": 2Sam 8:6; Ps 121:4-8.</w:t>
      </w:r>
    </w:p>
  </w:footnote>
  <w:footnote w:id="5894">
    <w:p>
      <w:pPr>
        <w:pStyle w:val="FootnoteText"/>
      </w:pPr>
      <w:r>
        <w:rPr>
          <w:rStyle w:val="FootnoteReference"/>
        </w:rPr>
        <w:footnoteRef/>
      </w:r>
      <w:r>
        <w:t xml:space="preserve"> Cross-references for "Joab": 2Sam 19:13; 2Sam 20:23.</w:t>
      </w:r>
    </w:p>
  </w:footnote>
  <w:footnote w:id="5895">
    <w:p>
      <w:pPr>
        <w:pStyle w:val="FootnoteText"/>
      </w:pPr>
      <w:r>
        <w:rPr>
          <w:rStyle w:val="FootnoteReference"/>
        </w:rPr>
        <w:footnoteRef/>
      </w:r>
      <w:r>
        <w:t xml:space="preserve"> Personal name: Jehoshaphat. Personal-name meaning: Jehoshaphat — the Lord is judge. Source form: Jehoshaphat.</w:t>
      </w:r>
    </w:p>
  </w:footnote>
  <w:footnote w:id="5896">
    <w:p>
      <w:pPr>
        <w:pStyle w:val="FootnoteText"/>
      </w:pPr>
      <w:r>
        <w:rPr>
          <w:rStyle w:val="FootnoteReference"/>
        </w:rPr>
        <w:footnoteRef/>
      </w:r>
      <w:r>
        <w:t xml:space="preserve"> Personal name: Zadok. Personal-name meaning: Zadok — just; righteous. Source form: Zadok.</w:t>
      </w:r>
    </w:p>
  </w:footnote>
  <w:footnote w:id="5897">
    <w:p>
      <w:pPr>
        <w:pStyle w:val="FootnoteText"/>
      </w:pPr>
      <w:r>
        <w:rPr>
          <w:rStyle w:val="FootnoteReference"/>
        </w:rPr>
        <w:footnoteRef/>
      </w:r>
      <w:r>
        <w:t xml:space="preserve"> Cross-references for "Zadok": 1Chr 6:8; 1Chr 6:53.</w:t>
      </w:r>
    </w:p>
  </w:footnote>
  <w:footnote w:id="5898">
    <w:p>
      <w:pPr>
        <w:pStyle w:val="FootnoteText"/>
      </w:pPr>
      <w:r>
        <w:rPr>
          <w:rStyle w:val="FootnoteReference"/>
        </w:rPr>
        <w:footnoteRef/>
      </w:r>
      <w:r>
        <w:t xml:space="preserve"> Cross-references for "Benaiah": 1Kgs 1:44; 1Kgs 2:34-35.</w:t>
      </w:r>
    </w:p>
  </w:footnote>
  <w:footnote w:id="5899">
    <w:p>
      <w:pPr>
        <w:pStyle w:val="FootnoteText"/>
      </w:pPr>
      <w:r>
        <w:rPr>
          <w:rStyle w:val="FootnoteReference"/>
        </w:rPr>
        <w:footnoteRef/>
      </w:r>
      <w:r>
        <w:t xml:space="preserve"> Personal name: Jehoiada. Personal-name meaning: Jehoiada — knowledge of the Lord. Source form: Jehoiada.</w:t>
      </w:r>
    </w:p>
  </w:footnote>
  <w:footnote w:id="5900">
    <w:p>
      <w:pPr>
        <w:pStyle w:val="FootnoteText"/>
      </w:pPr>
      <w:r>
        <w:rPr>
          <w:rStyle w:val="FootnoteReference"/>
        </w:rPr>
        <w:footnoteRef/>
      </w:r>
      <w:r>
        <w:t xml:space="preserve"> People-name: Pelethites. People-name meaning: Pelethites — judges; destroyers. Source form: Pelethites.</w:t>
      </w:r>
    </w:p>
  </w:footnote>
  <w:footnote w:id="5901">
    <w:p>
      <w:pPr>
        <w:pStyle w:val="FootnoteText"/>
      </w:pPr>
      <w:r>
        <w:rPr>
          <w:rStyle w:val="FootnoteReference"/>
        </w:rPr>
        <w:footnoteRef/>
      </w:r>
      <w:r>
        <w:t xml:space="preserve"> Cross-references for "a servant": Gen 15:2-3; Gen 24:2.</w:t>
      </w:r>
    </w:p>
  </w:footnote>
  <w:footnote w:id="5902">
    <w:p>
      <w:pPr>
        <w:pStyle w:val="FootnoteText"/>
      </w:pPr>
      <w:r>
        <w:rPr>
          <w:rStyle w:val="FootnoteReference"/>
        </w:rPr>
        <w:footnoteRef/>
      </w:r>
      <w:r>
        <w:t xml:space="preserve"> Personal name: Ziba. Personal-name meaning: Ziba — army; fight; strength. Source form: Ziba.</w:t>
      </w:r>
    </w:p>
  </w:footnote>
  <w:footnote w:id="5903">
    <w:p>
      <w:pPr>
        <w:pStyle w:val="FootnoteText"/>
      </w:pPr>
      <w:r>
        <w:rPr>
          <w:rStyle w:val="FootnoteReference"/>
        </w:rPr>
        <w:footnoteRef/>
      </w:r>
      <w:r>
        <w:t xml:space="preserve"> Cross-references for "Machir": 2Sam 17:27-29.</w:t>
      </w:r>
    </w:p>
  </w:footnote>
  <w:footnote w:id="5904">
    <w:p>
      <w:pPr>
        <w:pStyle w:val="FootnoteText"/>
      </w:pPr>
      <w:r>
        <w:rPr>
          <w:rStyle w:val="FootnoteReference"/>
        </w:rPr>
        <w:footnoteRef/>
      </w:r>
      <w:r>
        <w:t xml:space="preserve"> Transliterated proper noun: Lodebar. Standard English equivalent: Lodebar. Source form: Lodebar. Greek form: λαδαβαρ. Name meaning: no pasture; no word.</w:t>
      </w:r>
    </w:p>
  </w:footnote>
  <w:footnote w:id="5905">
    <w:p>
      <w:pPr>
        <w:pStyle w:val="FootnoteText"/>
      </w:pPr>
      <w:r>
        <w:rPr>
          <w:rStyle w:val="FootnoteReference"/>
        </w:rPr>
        <w:footnoteRef/>
      </w:r>
      <w:r>
        <w:t xml:space="preserve"> Cross-references for "Mephibosheth": 1Chr 8:34; 1Chr 9:40.</w:t>
      </w:r>
    </w:p>
  </w:footnote>
  <w:footnote w:id="5906">
    <w:p>
      <w:pPr>
        <w:pStyle w:val="FootnoteText"/>
      </w:pPr>
      <w:r>
        <w:rPr>
          <w:rStyle w:val="FootnoteReference"/>
        </w:rPr>
        <w:footnoteRef/>
      </w:r>
      <w:r>
        <w:t xml:space="preserve"> Translation note: Greek keeps emphatic do-mercy phrase.</w:t>
      </w:r>
    </w:p>
  </w:footnote>
  <w:footnote w:id="5907">
    <w:p>
      <w:pPr>
        <w:pStyle w:val="FootnoteText"/>
      </w:pPr>
      <w:r>
        <w:rPr>
          <w:rStyle w:val="FootnoteReference"/>
        </w:rPr>
        <w:footnoteRef/>
      </w:r>
      <w:r>
        <w:t xml:space="preserve"> Cross-references for "eat bread": 2Sam 9:11; 2Sam 19:28.</w:t>
      </w:r>
    </w:p>
  </w:footnote>
  <w:footnote w:id="5908">
    <w:p>
      <w:pPr>
        <w:pStyle w:val="FootnoteText"/>
      </w:pPr>
      <w:r>
        <w:rPr>
          <w:rStyle w:val="FootnoteReference"/>
        </w:rPr>
        <w:footnoteRef/>
      </w:r>
      <w:r>
        <w:t xml:space="preserve"> Cross-references for "I have given": 1Sam 9:1; 2Sam 16:4.</w:t>
      </w:r>
    </w:p>
  </w:footnote>
  <w:footnote w:id="5909">
    <w:p>
      <w:pPr>
        <w:pStyle w:val="FootnoteText"/>
      </w:pPr>
      <w:r>
        <w:rPr>
          <w:rStyle w:val="FootnoteReference"/>
        </w:rPr>
        <w:footnoteRef/>
      </w:r>
      <w:r>
        <w:t xml:space="preserve"> Translation note: Greek has plural breads here before singular bread at the table.</w:t>
      </w:r>
    </w:p>
  </w:footnote>
  <w:footnote w:id="5910">
    <w:p>
      <w:pPr>
        <w:pStyle w:val="FootnoteText"/>
      </w:pPr>
      <w:r>
        <w:rPr>
          <w:rStyle w:val="FootnoteReference"/>
        </w:rPr>
        <w:footnoteRef/>
      </w:r>
      <w:r>
        <w:t xml:space="preserve"> Cross-references for "Ziba": 2Sam 19:17.</w:t>
      </w:r>
    </w:p>
  </w:footnote>
  <w:footnote w:id="5911">
    <w:p>
      <w:pPr>
        <w:pStyle w:val="FootnoteText"/>
      </w:pPr>
      <w:r>
        <w:rPr>
          <w:rStyle w:val="FootnoteReference"/>
        </w:rPr>
        <w:footnoteRef/>
      </w:r>
      <w:r>
        <w:t xml:space="preserve"> Personal name: Micha. Personal-name meaning: Micha — who is like to God?. Source form: Micha.</w:t>
      </w:r>
    </w:p>
  </w:footnote>
  <w:footnote w:id="5912">
    <w:p>
      <w:pPr>
        <w:pStyle w:val="FootnoteText"/>
      </w:pPr>
      <w:r>
        <w:rPr>
          <w:rStyle w:val="FootnoteReference"/>
        </w:rPr>
        <w:footnoteRef/>
      </w:r>
      <w:r>
        <w:t xml:space="preserve"> Cross-references for "servants": Mic 7:5-6.</w:t>
      </w:r>
    </w:p>
  </w:footnote>
  <w:footnote w:id="5913">
    <w:p>
      <w:pPr>
        <w:pStyle w:val="FootnoteText"/>
      </w:pPr>
      <w:r>
        <w:rPr>
          <w:rStyle w:val="FootnoteReference"/>
        </w:rPr>
        <w:footnoteRef/>
      </w:r>
      <w:r>
        <w:t xml:space="preserve"> Cross-references for "was lame": 2Sam 9:3.</w:t>
      </w:r>
    </w:p>
  </w:footnote>
  <w:footnote w:id="5914">
    <w:p>
      <w:pPr>
        <w:pStyle w:val="FootnoteText"/>
      </w:pPr>
      <w:r>
        <w:rPr>
          <w:rStyle w:val="FootnoteReference"/>
        </w:rPr>
        <w:footnoteRef/>
      </w:r>
      <w:r>
        <w:t xml:space="preserve"> Personal name: Hanun. Personal-name meaning: Hanun — gracious; merciful. Source form: Hanun.</w:t>
      </w:r>
    </w:p>
  </w:footnote>
  <w:footnote w:id="5915">
    <w:p>
      <w:pPr>
        <w:pStyle w:val="FootnoteText"/>
      </w:pPr>
      <w:r>
        <w:rPr>
          <w:rStyle w:val="FootnoteReference"/>
        </w:rPr>
        <w:footnoteRef/>
      </w:r>
      <w:r>
        <w:t xml:space="preserve"> Cross-references for "Nahash": 1Sam 11:1.</w:t>
      </w:r>
    </w:p>
  </w:footnote>
  <w:footnote w:id="5916">
    <w:p>
      <w:pPr>
        <w:pStyle w:val="FootnoteText"/>
      </w:pPr>
      <w:r>
        <w:rPr>
          <w:rStyle w:val="FootnoteReference"/>
        </w:rPr>
        <w:footnoteRef/>
      </w:r>
      <w:r>
        <w:t xml:space="preserve"> Translation note: Greek uses mercy wording here. The translation keeps that wording.</w:t>
      </w:r>
    </w:p>
  </w:footnote>
  <w:footnote w:id="5917">
    <w:p>
      <w:pPr>
        <w:pStyle w:val="FootnoteText"/>
      </w:pPr>
      <w:r>
        <w:rPr>
          <w:rStyle w:val="FootnoteReference"/>
        </w:rPr>
        <w:footnoteRef/>
      </w:r>
      <w:r>
        <w:t xml:space="preserve"> Translation note: Greek gives a three-part accusation and does not say overthrow here. The translation keeps the Greek sequence.</w:t>
      </w:r>
    </w:p>
  </w:footnote>
  <w:footnote w:id="5918">
    <w:p>
      <w:pPr>
        <w:pStyle w:val="FootnoteText"/>
      </w:pPr>
      <w:r>
        <w:rPr>
          <w:rStyle w:val="FootnoteReference"/>
        </w:rPr>
        <w:footnoteRef/>
      </w:r>
      <w:r>
        <w:t xml:space="preserve"> Cross-references for "and shaved": Lev 19:27; 1Chr 19:3-4.</w:t>
      </w:r>
    </w:p>
  </w:footnote>
  <w:footnote w:id="5919">
    <w:p>
      <w:pPr>
        <w:pStyle w:val="FootnoteText"/>
      </w:pPr>
      <w:r>
        <w:rPr>
          <w:rStyle w:val="FootnoteReference"/>
        </w:rPr>
        <w:footnoteRef/>
      </w:r>
      <w:r>
        <w:t xml:space="preserve"> Cross-references for "Jericho": Josh 6:24-26; 1Kgs 16:34.</w:t>
      </w:r>
    </w:p>
  </w:footnote>
  <w:footnote w:id="5920">
    <w:p>
      <w:pPr>
        <w:pStyle w:val="FootnoteText"/>
      </w:pPr>
      <w:r>
        <w:rPr>
          <w:rStyle w:val="FootnoteReference"/>
        </w:rPr>
        <w:footnoteRef/>
      </w:r>
      <w:r>
        <w:t xml:space="preserve"> Translation note: Greek says put to shame here. Current line keeps that wording.</w:t>
      </w:r>
    </w:p>
  </w:footnote>
  <w:footnote w:id="5921">
    <w:p>
      <w:pPr>
        <w:pStyle w:val="FootnoteText"/>
      </w:pPr>
      <w:r>
        <w:rPr>
          <w:rStyle w:val="FootnoteReference"/>
        </w:rPr>
        <w:footnoteRef/>
      </w:r>
      <w:r>
        <w:t xml:space="preserve"> Transliterated proper noun: Bethrehob. Standard English equivalent: Bethrehob. Source form: Bethrehob. Greek form: βαιθροωβ. Name meaning: house of spaciousness.</w:t>
      </w:r>
    </w:p>
  </w:footnote>
  <w:footnote w:id="5922">
    <w:p>
      <w:pPr>
        <w:pStyle w:val="FootnoteText"/>
      </w:pPr>
      <w:r>
        <w:rPr>
          <w:rStyle w:val="FootnoteReference"/>
        </w:rPr>
        <w:footnoteRef/>
      </w:r>
      <w:r>
        <w:t xml:space="preserve"> Transliterated proper noun: Ishtob. Standard English equivalent: Ishtob. Source form: Ishtob. Greek form: ιστωβ. Name meaning: good man.</w:t>
      </w:r>
    </w:p>
  </w:footnote>
  <w:footnote w:id="5923">
    <w:p>
      <w:pPr>
        <w:pStyle w:val="FootnoteText"/>
      </w:pPr>
      <w:r>
        <w:rPr>
          <w:rStyle w:val="FootnoteReference"/>
        </w:rPr>
        <w:footnoteRef/>
      </w:r>
      <w:r>
        <w:t xml:space="preserve"> Cross-references for "Ishtob": Judg 11:3; Judg 11:5.</w:t>
      </w:r>
    </w:p>
  </w:footnote>
  <w:footnote w:id="5924">
    <w:p>
      <w:pPr>
        <w:pStyle w:val="FootnoteText"/>
      </w:pPr>
      <w:r>
        <w:rPr>
          <w:rStyle w:val="FootnoteReference"/>
        </w:rPr>
        <w:footnoteRef/>
      </w:r>
      <w:r>
        <w:t xml:space="preserve"> Place name: Souba. Place-name meaning: Zobah — an army; warring. Standard English equivalent: Zobah. Source form: Souba. Greek form: σουβα.</w:t>
      </w:r>
    </w:p>
  </w:footnote>
  <w:footnote w:id="5925">
    <w:p>
      <w:pPr>
        <w:pStyle w:val="FootnoteText"/>
      </w:pPr>
      <w:r>
        <w:rPr>
          <w:rStyle w:val="FootnoteReference"/>
        </w:rPr>
        <w:footnoteRef/>
      </w:r>
      <w:r>
        <w:t xml:space="preserve"> Cross-references for "Rehob": Num 13:21; Josh 19:28.</w:t>
      </w:r>
    </w:p>
  </w:footnote>
  <w:footnote w:id="5926">
    <w:p>
      <w:pPr>
        <w:pStyle w:val="FootnoteText"/>
      </w:pPr>
      <w:r>
        <w:rPr>
          <w:rStyle w:val="FootnoteReference"/>
        </w:rPr>
        <w:footnoteRef/>
      </w:r>
      <w:r>
        <w:t xml:space="preserve"> Cross-references for "the Lord": Judg 10:15; 1Sam 3:18.</w:t>
      </w:r>
    </w:p>
  </w:footnote>
  <w:footnote w:id="5927">
    <w:p>
      <w:pPr>
        <w:pStyle w:val="FootnoteText"/>
      </w:pPr>
      <w:r>
        <w:rPr>
          <w:rStyle w:val="FootnoteReference"/>
        </w:rPr>
        <w:footnoteRef/>
      </w:r>
      <w:r>
        <w:t xml:space="preserve"> Cross-references for "they fled": 1Kgs 20:13-21; 1Kgs 20:28-30.</w:t>
      </w:r>
    </w:p>
  </w:footnote>
  <w:footnote w:id="5928">
    <w:p>
      <w:pPr>
        <w:pStyle w:val="FootnoteText"/>
      </w:pPr>
      <w:r>
        <w:rPr>
          <w:rStyle w:val="FootnoteReference"/>
        </w:rPr>
        <w:footnoteRef/>
      </w:r>
      <w:r>
        <w:t xml:space="preserve"> Cross-references for "gathered": Ps 2:1; Isa 8:9-10.</w:t>
      </w:r>
    </w:p>
  </w:footnote>
  <w:footnote w:id="5929">
    <w:p>
      <w:pPr>
        <w:pStyle w:val="FootnoteText"/>
      </w:pPr>
      <w:r>
        <w:rPr>
          <w:rStyle w:val="FootnoteReference"/>
        </w:rPr>
        <w:footnoteRef/>
      </w:r>
      <w:r>
        <w:t xml:space="preserve"> Transliterated proper noun: Adraazar. Standard English equivalent: Hadarezer. Source form: Adraazar. Greek form: αδρααζαρ. Name meaning: beauty of assistance.</w:t>
      </w:r>
    </w:p>
  </w:footnote>
  <w:footnote w:id="5930">
    <w:p>
      <w:pPr>
        <w:pStyle w:val="FootnoteText"/>
      </w:pPr>
      <w:r>
        <w:rPr>
          <w:rStyle w:val="FootnoteReference"/>
        </w:rPr>
        <w:footnoteRef/>
      </w:r>
      <w:r>
        <w:t xml:space="preserve"> Place name: Helam. Place-name meaning: Helam — their army; their trouble. Source form: Helam. Greek form: χαλαμακ.</w:t>
      </w:r>
    </w:p>
  </w:footnote>
  <w:footnote w:id="5931">
    <w:p>
      <w:pPr>
        <w:pStyle w:val="FootnoteText"/>
      </w:pPr>
      <w:r>
        <w:rPr>
          <w:rStyle w:val="FootnoteReference"/>
        </w:rPr>
        <w:footnoteRef/>
      </w:r>
      <w:r>
        <w:t xml:space="preserve"> Personal name: Shobach. Personal-name meaning: Shobach — your bonds; your chains. Source form: Shobach.</w:t>
      </w:r>
    </w:p>
  </w:footnote>
  <w:footnote w:id="5932">
    <w:p>
      <w:pPr>
        <w:pStyle w:val="FootnoteText"/>
      </w:pPr>
      <w:r>
        <w:rPr>
          <w:rStyle w:val="FootnoteReference"/>
        </w:rPr>
        <w:footnoteRef/>
      </w:r>
      <w:r>
        <w:t xml:space="preserve"> Cross-references for "Hadarezer": 2Sam 8:3-8; 1Chr 18:3.</w:t>
      </w:r>
    </w:p>
  </w:footnote>
  <w:footnote w:id="5933">
    <w:p>
      <w:pPr>
        <w:pStyle w:val="FootnoteText"/>
      </w:pPr>
      <w:r>
        <w:rPr>
          <w:rStyle w:val="FootnoteReference"/>
        </w:rPr>
        <w:footnoteRef/>
      </w:r>
      <w:r>
        <w:t xml:space="preserve"> Cross-references for "he gathered": 1Chr 19:17.</w:t>
      </w:r>
    </w:p>
  </w:footnote>
  <w:footnote w:id="5934">
    <w:p>
      <w:pPr>
        <w:pStyle w:val="FootnoteText"/>
      </w:pPr>
      <w:r>
        <w:rPr>
          <w:rStyle w:val="FootnoteReference"/>
        </w:rPr>
        <w:footnoteRef/>
      </w:r>
      <w:r>
        <w:t xml:space="preserve"> Cross-references for "fled": 2Sam 8:4; Ps 18:38.</w:t>
      </w:r>
    </w:p>
  </w:footnote>
  <w:footnote w:id="5935">
    <w:p>
      <w:pPr>
        <w:pStyle w:val="FootnoteText"/>
      </w:pPr>
      <w:r>
        <w:rPr>
          <w:rStyle w:val="FootnoteReference"/>
        </w:rPr>
        <w:footnoteRef/>
      </w:r>
      <w:r>
        <w:t xml:space="preserve"> Cross-references for "servants": Gen 14:1-5; Josh 11:10.</w:t>
      </w:r>
    </w:p>
  </w:footnote>
  <w:footnote w:id="5936">
    <w:p>
      <w:pPr>
        <w:pStyle w:val="FootnoteText"/>
      </w:pPr>
      <w:r>
        <w:rPr>
          <w:rStyle w:val="FootnoteReference"/>
        </w:rPr>
        <w:footnoteRef/>
      </w:r>
      <w:r>
        <w:t xml:space="preserve"> Translation note: Greek line is sharper than a smoother made-peace summary. Current line keeps that shift of allegiance.</w:t>
      </w:r>
    </w:p>
  </w:footnote>
  <w:footnote w:id="5937">
    <w:p>
      <w:pPr>
        <w:pStyle w:val="FootnoteText"/>
      </w:pPr>
      <w:r>
        <w:rPr>
          <w:rStyle w:val="FootnoteReference"/>
        </w:rPr>
        <w:footnoteRef/>
      </w:r>
      <w:r>
        <w:t xml:space="preserve"> Cross-references for "David sent": 1Chr 20:1; Zech 14:3.</w:t>
      </w:r>
    </w:p>
  </w:footnote>
  <w:footnote w:id="5938">
    <w:p>
      <w:pPr>
        <w:pStyle w:val="FootnoteText"/>
      </w:pPr>
      <w:r>
        <w:rPr>
          <w:rStyle w:val="FootnoteReference"/>
        </w:rPr>
        <w:footnoteRef/>
      </w:r>
      <w:r>
        <w:t xml:space="preserve"> Translation note: Greek says season of the campaigns of kings.</w:t>
      </w:r>
    </w:p>
  </w:footnote>
  <w:footnote w:id="5939">
    <w:p>
      <w:pPr>
        <w:pStyle w:val="FootnoteText"/>
      </w:pPr>
      <w:r>
        <w:rPr>
          <w:rStyle w:val="FootnoteReference"/>
        </w:rPr>
        <w:footnoteRef/>
      </w:r>
      <w:r>
        <w:t xml:space="preserve"> Cross-references for "the roof of": Deut 22:8; Jer 19:13.</w:t>
      </w:r>
    </w:p>
  </w:footnote>
  <w:footnote w:id="5940">
    <w:p>
      <w:pPr>
        <w:pStyle w:val="FootnoteText"/>
      </w:pPr>
      <w:r>
        <w:rPr>
          <w:rStyle w:val="FootnoteReference"/>
        </w:rPr>
        <w:footnoteRef/>
      </w:r>
      <w:r>
        <w:t xml:space="preserve"> Translation note: Greek says very beautiful in appearance.</w:t>
      </w:r>
    </w:p>
  </w:footnote>
  <w:footnote w:id="5941">
    <w:p>
      <w:pPr>
        <w:pStyle w:val="FootnoteText"/>
      </w:pPr>
      <w:r>
        <w:rPr>
          <w:rStyle w:val="FootnoteReference"/>
        </w:rPr>
        <w:footnoteRef/>
      </w:r>
      <w:r>
        <w:t xml:space="preserve"> Cross-references for "sent": Jer 5:8; Hos 7:6-7.</w:t>
      </w:r>
    </w:p>
  </w:footnote>
  <w:footnote w:id="5942">
    <w:p>
      <w:pPr>
        <w:pStyle w:val="FootnoteText"/>
      </w:pPr>
      <w:r>
        <w:rPr>
          <w:rStyle w:val="FootnoteReference"/>
        </w:rPr>
        <w:footnoteRef/>
      </w:r>
      <w:r>
        <w:t xml:space="preserve"> Personal name: Bathsheba. Personal-name meaning: Bathsheba — the seventh daughter; the daughter of satiety. Source form: Bathsheba.</w:t>
      </w:r>
    </w:p>
  </w:footnote>
  <w:footnote w:id="5943">
    <w:p>
      <w:pPr>
        <w:pStyle w:val="FootnoteText"/>
      </w:pPr>
      <w:r>
        <w:rPr>
          <w:rStyle w:val="FootnoteReference"/>
        </w:rPr>
        <w:footnoteRef/>
      </w:r>
      <w:r>
        <w:t xml:space="preserve"> Transliterated proper noun: Ourias. Standard English equivalent: Uriah. Source form: Ourias. Greek form: ουριου. Name meaning: the Lord is my light or fire.</w:t>
      </w:r>
    </w:p>
  </w:footnote>
  <w:footnote w:id="5944">
    <w:p>
      <w:pPr>
        <w:pStyle w:val="FootnoteText"/>
      </w:pPr>
      <w:r>
        <w:rPr>
          <w:rStyle w:val="FootnoteReference"/>
        </w:rPr>
        <w:footnoteRef/>
      </w:r>
      <w:r>
        <w:t xml:space="preserve"> Name meaning: Ourias (Uriah) — Yahweh is my light. The Hittite whose faithful conduct exposed David's sin.</w:t>
      </w:r>
    </w:p>
  </w:footnote>
  <w:footnote w:id="5945">
    <w:p>
      <w:pPr>
        <w:pStyle w:val="FootnoteText"/>
      </w:pPr>
      <w:r>
        <w:rPr>
          <w:rStyle w:val="FootnoteReference"/>
        </w:rPr>
        <w:footnoteRef/>
      </w:r>
      <w:r>
        <w:t xml:space="preserve"> Cross-references for "sent messengers": Gen 39:7; Job 31:9-11.</w:t>
      </w:r>
    </w:p>
  </w:footnote>
  <w:footnote w:id="5946">
    <w:p>
      <w:pPr>
        <w:pStyle w:val="FootnoteText"/>
      </w:pPr>
      <w:r>
        <w:rPr>
          <w:rStyle w:val="FootnoteReference"/>
        </w:rPr>
        <w:footnoteRef/>
      </w:r>
      <w:r>
        <w:t xml:space="preserve"> Cross-references for "I am with child": Deut 22:22; Prov 6:34.</w:t>
      </w:r>
    </w:p>
  </w:footnote>
  <w:footnote w:id="5947">
    <w:p>
      <w:pPr>
        <w:pStyle w:val="FootnoteText"/>
      </w:pPr>
      <w:r>
        <w:rPr>
          <w:rStyle w:val="FootnoteReference"/>
        </w:rPr>
        <w:footnoteRef/>
      </w:r>
      <w:r>
        <w:t xml:space="preserve"> Cross-references for "Go down": Ps 44:21; Isa 29:15.</w:t>
      </w:r>
    </w:p>
  </w:footnote>
  <w:footnote w:id="5948">
    <w:p>
      <w:pPr>
        <w:pStyle w:val="FootnoteText"/>
      </w:pPr>
      <w:r>
        <w:rPr>
          <w:rStyle w:val="FootnoteReference"/>
        </w:rPr>
        <w:footnoteRef/>
      </w:r>
      <w:r>
        <w:t xml:space="preserve"> Cross-references for "The ark": 1Sam 4:4; 1Sam 14:18.</w:t>
      </w:r>
    </w:p>
  </w:footnote>
  <w:footnote w:id="5949">
    <w:p>
      <w:pPr>
        <w:pStyle w:val="FootnoteText"/>
      </w:pPr>
      <w:r>
        <w:rPr>
          <w:rStyle w:val="FootnoteReference"/>
        </w:rPr>
        <w:footnoteRef/>
      </w:r>
      <w:r>
        <w:t xml:space="preserve"> Translation note: Greek says face of field here. Current line keeps that wording.</w:t>
      </w:r>
    </w:p>
  </w:footnote>
  <w:footnote w:id="5950">
    <w:p>
      <w:pPr>
        <w:pStyle w:val="FootnoteText"/>
      </w:pPr>
      <w:r>
        <w:rPr>
          <w:rStyle w:val="FootnoteReference"/>
        </w:rPr>
        <w:footnoteRef/>
      </w:r>
      <w:r>
        <w:t xml:space="preserve"> Cross-references for "made him": Gen 19:32-35; Exod 32:21.</w:t>
      </w:r>
    </w:p>
  </w:footnote>
  <w:footnote w:id="5951">
    <w:p>
      <w:pPr>
        <w:pStyle w:val="FootnoteText"/>
      </w:pPr>
      <w:r>
        <w:rPr>
          <w:rStyle w:val="FootnoteReference"/>
        </w:rPr>
        <w:footnoteRef/>
      </w:r>
      <w:r>
        <w:t xml:space="preserve"> Cross-references for "wrote a letter": 1Kgs 21:8-10; Ps 19:13.</w:t>
      </w:r>
    </w:p>
  </w:footnote>
  <w:footnote w:id="5952">
    <w:p>
      <w:pPr>
        <w:pStyle w:val="FootnoteText"/>
      </w:pPr>
      <w:r>
        <w:rPr>
          <w:rStyle w:val="FootnoteReference"/>
        </w:rPr>
        <w:footnoteRef/>
      </w:r>
      <w:r>
        <w:t xml:space="preserve"> Cross-references for "and die": 2Sam 12:9.</w:t>
      </w:r>
    </w:p>
  </w:footnote>
  <w:footnote w:id="5953">
    <w:p>
      <w:pPr>
        <w:pStyle w:val="FootnoteText"/>
      </w:pPr>
      <w:r>
        <w:rPr>
          <w:rStyle w:val="FootnoteReference"/>
        </w:rPr>
        <w:footnoteRef/>
      </w:r>
      <w:r>
        <w:t xml:space="preserve"> Cross-references for "Abimelech": Judg 9:53.</w:t>
      </w:r>
    </w:p>
  </w:footnote>
  <w:footnote w:id="5954">
    <w:p>
      <w:pPr>
        <w:pStyle w:val="FootnoteText"/>
      </w:pPr>
      <w:r>
        <w:rPr>
          <w:rStyle w:val="FootnoteReference"/>
        </w:rPr>
        <w:footnoteRef/>
      </w:r>
      <w:r>
        <w:t xml:space="preserve"> Translation note: Greek says piece of millstone here. Current line keeps that wording.</w:t>
      </w:r>
    </w:p>
  </w:footnote>
  <w:footnote w:id="5955">
    <w:p>
      <w:pPr>
        <w:pStyle w:val="FootnoteText"/>
      </w:pPr>
      <w:r>
        <w:rPr>
          <w:rStyle w:val="FootnoteReference"/>
        </w:rPr>
        <w:footnoteRef/>
      </w:r>
      <w:r>
        <w:t xml:space="preserve"> Translation note: Greek expands the messenger scene here. Current line keeps that fuller report.</w:t>
      </w:r>
    </w:p>
  </w:footnote>
  <w:footnote w:id="5956">
    <w:p>
      <w:pPr>
        <w:pStyle w:val="FootnoteText"/>
      </w:pPr>
      <w:r>
        <w:rPr>
          <w:rStyle w:val="FootnoteReference"/>
        </w:rPr>
        <w:footnoteRef/>
      </w:r>
      <w:r>
        <w:t xml:space="preserve"> Translation note: Greek says once thus and once thus the sword will eat.</w:t>
      </w:r>
    </w:p>
  </w:footnote>
  <w:footnote w:id="5957">
    <w:p>
      <w:pPr>
        <w:pStyle w:val="FootnoteText"/>
      </w:pPr>
      <w:r>
        <w:rPr>
          <w:rStyle w:val="FootnoteReference"/>
        </w:rPr>
        <w:footnoteRef/>
      </w:r>
      <w:r>
        <w:t xml:space="preserve"> Cross-references for "she mourned": Gen 27:41; 2Sam 3:31.</w:t>
      </w:r>
    </w:p>
  </w:footnote>
  <w:footnote w:id="5958">
    <w:p>
      <w:pPr>
        <w:pStyle w:val="FootnoteText"/>
      </w:pPr>
      <w:r>
        <w:rPr>
          <w:rStyle w:val="FootnoteReference"/>
        </w:rPr>
        <w:footnoteRef/>
      </w:r>
      <w:r>
        <w:t xml:space="preserve"> Cross-references for "the Lord": 2Sam 7:1-5; 2Sam 24:11-13.</w:t>
      </w:r>
    </w:p>
  </w:footnote>
  <w:footnote w:id="5959">
    <w:p>
      <w:pPr>
        <w:pStyle w:val="FootnoteText"/>
      </w:pPr>
      <w:r>
        <w:rPr>
          <w:rStyle w:val="FootnoteReference"/>
        </w:rPr>
        <w:footnoteRef/>
      </w:r>
      <w:r>
        <w:t xml:space="preserve"> Cross-references for "one little": 2Sam 11:3; Prov 5:18-19.</w:t>
      </w:r>
    </w:p>
  </w:footnote>
  <w:footnote w:id="5960">
    <w:p>
      <w:pPr>
        <w:pStyle w:val="FootnoteText"/>
      </w:pPr>
      <w:r>
        <w:rPr>
          <w:rStyle w:val="FootnoteReference"/>
        </w:rPr>
        <w:footnoteRef/>
      </w:r>
      <w:r>
        <w:t xml:space="preserve"> Translation note: Greek adds those tenderness verbs before the domestic details.</w:t>
      </w:r>
    </w:p>
  </w:footnote>
  <w:footnote w:id="5961">
    <w:p>
      <w:pPr>
        <w:pStyle w:val="FootnoteText"/>
      </w:pPr>
      <w:r>
        <w:rPr>
          <w:rStyle w:val="FootnoteReference"/>
        </w:rPr>
        <w:footnoteRef/>
      </w:r>
      <w:r>
        <w:t xml:space="preserve"> Translation note: Greek doubles the traveler language. The translation keeps the repetition visible.</w:t>
      </w:r>
    </w:p>
  </w:footnote>
  <w:footnote w:id="5962">
    <w:p>
      <w:pPr>
        <w:pStyle w:val="FootnoteText"/>
      </w:pPr>
      <w:r>
        <w:rPr>
          <w:rStyle w:val="FootnoteReference"/>
        </w:rPr>
        <w:footnoteRef/>
      </w:r>
      <w:r>
        <w:t xml:space="preserve"> Cross-references for "took the": 2Sam 11:3-4.</w:t>
      </w:r>
    </w:p>
  </w:footnote>
  <w:footnote w:id="5963">
    <w:p>
      <w:pPr>
        <w:pStyle w:val="FootnoteText"/>
      </w:pPr>
      <w:r>
        <w:rPr>
          <w:rStyle w:val="FootnoteReference"/>
        </w:rPr>
        <w:footnoteRef/>
      </w:r>
      <w:r>
        <w:t xml:space="preserve"> Cross-references for "As the Lord": 1Sam 14:39.</w:t>
      </w:r>
    </w:p>
  </w:footnote>
  <w:footnote w:id="5964">
    <w:p>
      <w:pPr>
        <w:pStyle w:val="FootnoteText"/>
      </w:pPr>
      <w:r>
        <w:rPr>
          <w:rStyle w:val="FootnoteReference"/>
        </w:rPr>
        <w:footnoteRef/>
      </w:r>
      <w:r>
        <w:t xml:space="preserve"> Translation note: Greek states David's verdict with sevenfold repayment language. Current wording preserves it.</w:t>
      </w:r>
    </w:p>
  </w:footnote>
  <w:footnote w:id="5965">
    <w:p>
      <w:pPr>
        <w:pStyle w:val="FootnoteText"/>
      </w:pPr>
      <w:r>
        <w:rPr>
          <w:rStyle w:val="FootnoteReference"/>
        </w:rPr>
        <w:footnoteRef/>
      </w:r>
      <w:r>
        <w:t xml:space="preserve"> Translation note: Greek keeps the bosom image here. Current line preserves it.</w:t>
      </w:r>
    </w:p>
  </w:footnote>
  <w:footnote w:id="5966">
    <w:p>
      <w:pPr>
        <w:pStyle w:val="FootnoteText"/>
      </w:pPr>
      <w:r>
        <w:rPr>
          <w:rStyle w:val="FootnoteReference"/>
        </w:rPr>
        <w:footnoteRef/>
      </w:r>
      <w:r>
        <w:t xml:space="preserve"> Translation note: Greek uses a harder depreciating verb here.</w:t>
      </w:r>
    </w:p>
  </w:footnote>
  <w:footnote w:id="5967">
    <w:p>
      <w:pPr>
        <w:pStyle w:val="FootnoteText"/>
      </w:pPr>
      <w:r>
        <w:rPr>
          <w:rStyle w:val="FootnoteReference"/>
        </w:rPr>
        <w:footnoteRef/>
      </w:r>
      <w:r>
        <w:t xml:space="preserve"> Cross-references for "the sword": 2Sam 13:28-29; 2Sam 18:14-15.</w:t>
      </w:r>
    </w:p>
  </w:footnote>
  <w:footnote w:id="5968">
    <w:p>
      <w:pPr>
        <w:pStyle w:val="FootnoteText"/>
      </w:pPr>
      <w:r>
        <w:rPr>
          <w:rStyle w:val="FootnoteReference"/>
        </w:rPr>
        <w:footnoteRef/>
      </w:r>
      <w:r>
        <w:t xml:space="preserve"> Translation note: Greek says raise evils here. Current line keeps that direct wording.</w:t>
      </w:r>
    </w:p>
  </w:footnote>
  <w:footnote w:id="5969">
    <w:p>
      <w:pPr>
        <w:pStyle w:val="FootnoteText"/>
      </w:pPr>
      <w:r>
        <w:rPr>
          <w:rStyle w:val="FootnoteReference"/>
        </w:rPr>
        <w:footnoteRef/>
      </w:r>
      <w:r>
        <w:t xml:space="preserve"> Cross-references for "I will take": Deut 28:30; 2Sam 16:21-22.</w:t>
      </w:r>
    </w:p>
  </w:footnote>
  <w:footnote w:id="5970">
    <w:p>
      <w:pPr>
        <w:pStyle w:val="FootnoteText"/>
      </w:pPr>
      <w:r>
        <w:rPr>
          <w:rStyle w:val="FootnoteReference"/>
        </w:rPr>
        <w:footnoteRef/>
      </w:r>
      <w:r>
        <w:t xml:space="preserve"> Cross-references for "David": 1Sam 15:20; 1Sam 15:24.</w:t>
      </w:r>
    </w:p>
  </w:footnote>
  <w:footnote w:id="5971">
    <w:p>
      <w:pPr>
        <w:pStyle w:val="FootnoteText"/>
      </w:pPr>
      <w:r>
        <w:rPr>
          <w:rStyle w:val="FootnoteReference"/>
        </w:rPr>
        <w:footnoteRef/>
      </w:r>
      <w:r>
        <w:t xml:space="preserve"> Translation note: The Greek verb suggests passing over or transferring away. This draft keeps the movement image visible rather than replacing it immediately with a more familiar abstract formula.</w:t>
      </w:r>
    </w:p>
  </w:footnote>
  <w:footnote w:id="5972">
    <w:p>
      <w:pPr>
        <w:pStyle w:val="FootnoteText"/>
      </w:pPr>
      <w:r>
        <w:rPr>
          <w:rStyle w:val="FootnoteReference"/>
        </w:rPr>
        <w:footnoteRef/>
      </w:r>
      <w:r>
        <w:t xml:space="preserve"> Cross-references for "struck the child": Deut 32:39; 1Sam 25:38.</w:t>
      </w:r>
    </w:p>
  </w:footnote>
  <w:footnote w:id="5973">
    <w:p>
      <w:pPr>
        <w:pStyle w:val="FootnoteText"/>
      </w:pPr>
      <w:r>
        <w:rPr>
          <w:rStyle w:val="FootnoteReference"/>
        </w:rPr>
        <w:footnoteRef/>
      </w:r>
      <w:r>
        <w:t xml:space="preserve"> Cross-references for "fasted": Ps 69:10; Isa 22:12.</w:t>
      </w:r>
    </w:p>
  </w:footnote>
  <w:footnote w:id="5974">
    <w:p>
      <w:pPr>
        <w:pStyle w:val="FootnoteText"/>
      </w:pPr>
      <w:r>
        <w:rPr>
          <w:rStyle w:val="FootnoteReference"/>
        </w:rPr>
        <w:footnoteRef/>
      </w:r>
      <w:r>
        <w:t xml:space="preserve"> Cross-references for "the elders": 1Sam 28:23; 2Sam 3:35.</w:t>
      </w:r>
    </w:p>
  </w:footnote>
  <w:footnote w:id="5975">
    <w:p>
      <w:pPr>
        <w:pStyle w:val="FootnoteText"/>
      </w:pPr>
      <w:r>
        <w:rPr>
          <w:rStyle w:val="FootnoteReference"/>
        </w:rPr>
        <w:footnoteRef/>
      </w:r>
      <w:r>
        <w:t xml:space="preserve"> Cross-references for "seventh day": Num 20:15; 2Sam 12:18.</w:t>
      </w:r>
    </w:p>
  </w:footnote>
  <w:footnote w:id="5976">
    <w:p>
      <w:pPr>
        <w:pStyle w:val="FootnoteText"/>
      </w:pPr>
      <w:r>
        <w:rPr>
          <w:rStyle w:val="FootnoteReference"/>
        </w:rPr>
        <w:footnoteRef/>
      </w:r>
      <w:r>
        <w:t xml:space="preserve"> Translation note: Greek says he will do evil or harm.</w:t>
      </w:r>
    </w:p>
  </w:footnote>
  <w:footnote w:id="5977">
    <w:p>
      <w:pPr>
        <w:pStyle w:val="FootnoteText"/>
      </w:pPr>
      <w:r>
        <w:rPr>
          <w:rStyle w:val="FootnoteReference"/>
        </w:rPr>
        <w:footnoteRef/>
      </w:r>
      <w:r>
        <w:t xml:space="preserve"> Cross-references for "anointed": Ruth 3:3; Eccl 9:8.</w:t>
      </w:r>
    </w:p>
  </w:footnote>
  <w:footnote w:id="5978">
    <w:p>
      <w:pPr>
        <w:pStyle w:val="FootnoteText"/>
      </w:pPr>
      <w:r>
        <w:rPr>
          <w:rStyle w:val="FootnoteReference"/>
        </w:rPr>
        <w:footnoteRef/>
      </w:r>
      <w:r>
        <w:t xml:space="preserve"> Translation note: Greek says house of God and bowed down to him.</w:t>
      </w:r>
    </w:p>
  </w:footnote>
  <w:footnote w:id="5979">
    <w:p>
      <w:pPr>
        <w:pStyle w:val="FootnoteText"/>
      </w:pPr>
      <w:r>
        <w:rPr>
          <w:rStyle w:val="FootnoteReference"/>
        </w:rPr>
        <w:footnoteRef/>
      </w:r>
      <w:r>
        <w:t xml:space="preserve"> Cross-references for "I fasted": Isa 38:1-3; Isa 38:5.</w:t>
      </w:r>
    </w:p>
  </w:footnote>
  <w:footnote w:id="5980">
    <w:p>
      <w:pPr>
        <w:pStyle w:val="FootnoteText"/>
      </w:pPr>
      <w:r>
        <w:rPr>
          <w:rStyle w:val="FootnoteReference"/>
        </w:rPr>
        <w:footnoteRef/>
      </w:r>
      <w:r>
        <w:t xml:space="preserve"> Name meaning: Solomon (Shelomoh) — Peaceable; peaceful. Brought peace and built the Temple.</w:t>
      </w:r>
    </w:p>
  </w:footnote>
  <w:footnote w:id="5981">
    <w:p>
      <w:pPr>
        <w:pStyle w:val="FootnoteText"/>
      </w:pPr>
      <w:r>
        <w:rPr>
          <w:rStyle w:val="FootnoteReference"/>
        </w:rPr>
        <w:footnoteRef/>
      </w:r>
      <w:r>
        <w:t xml:space="preserve"> Cross-references for "Nathan": 2Sam 7:4; 2Sam 12:1-14.</w:t>
      </w:r>
    </w:p>
  </w:footnote>
  <w:footnote w:id="5982">
    <w:p>
      <w:pPr>
        <w:pStyle w:val="FootnoteText"/>
      </w:pPr>
      <w:r>
        <w:rPr>
          <w:rStyle w:val="FootnoteReference"/>
        </w:rPr>
        <w:footnoteRef/>
      </w:r>
      <w:r>
        <w:t xml:space="preserve"> Cross-references for "Joab": 2Sam 11:25; 1Chr 20:1.</w:t>
      </w:r>
    </w:p>
  </w:footnote>
  <w:footnote w:id="5983">
    <w:p>
      <w:pPr>
        <w:pStyle w:val="FootnoteText"/>
      </w:pPr>
      <w:r>
        <w:rPr>
          <w:rStyle w:val="FootnoteReference"/>
        </w:rPr>
        <w:footnoteRef/>
      </w:r>
      <w:r>
        <w:t xml:space="preserve"> Cross-references for "Rabbah": Deut 3:11; 2Sam 11:1.</w:t>
      </w:r>
    </w:p>
  </w:footnote>
  <w:footnote w:id="5984">
    <w:p>
      <w:pPr>
        <w:pStyle w:val="FootnoteText"/>
      </w:pPr>
      <w:r>
        <w:rPr>
          <w:rStyle w:val="FootnoteReference"/>
        </w:rPr>
        <w:footnoteRef/>
      </w:r>
      <w:r>
        <w:t xml:space="preserve"> Cross-references for "took": 1Chr 20:2.</w:t>
      </w:r>
    </w:p>
  </w:footnote>
  <w:footnote w:id="5985">
    <w:p>
      <w:pPr>
        <w:pStyle w:val="FootnoteText"/>
      </w:pPr>
      <w:r>
        <w:rPr>
          <w:rStyle w:val="FootnoteReference"/>
        </w:rPr>
        <w:footnoteRef/>
      </w:r>
      <w:r>
        <w:t xml:space="preserve"> Translation note: Greek says it was on David's head.</w:t>
      </w:r>
    </w:p>
  </w:footnote>
  <w:footnote w:id="5986">
    <w:p>
      <w:pPr>
        <w:pStyle w:val="FootnoteText"/>
      </w:pPr>
      <w:r>
        <w:rPr>
          <w:rStyle w:val="FootnoteReference"/>
        </w:rPr>
        <w:footnoteRef/>
      </w:r>
      <w:r>
        <w:t xml:space="preserve"> Cross-references for "Absalom": 2Sam 3:2-3; 1Chr 3:2.</w:t>
      </w:r>
    </w:p>
  </w:footnote>
  <w:footnote w:id="5987">
    <w:p>
      <w:pPr>
        <w:pStyle w:val="FootnoteText"/>
      </w:pPr>
      <w:r>
        <w:rPr>
          <w:rStyle w:val="FootnoteReference"/>
        </w:rPr>
        <w:footnoteRef/>
      </w:r>
      <w:r>
        <w:t xml:space="preserve"> Personal name: Jonadab. Personal-name meaning: Jonadab — free giver; liberality. Source form: Jonadab.</w:t>
      </w:r>
    </w:p>
  </w:footnote>
  <w:footnote w:id="5988">
    <w:p>
      <w:pPr>
        <w:pStyle w:val="FootnoteText"/>
      </w:pPr>
      <w:r>
        <w:rPr>
          <w:rStyle w:val="FootnoteReference"/>
        </w:rPr>
        <w:footnoteRef/>
      </w:r>
      <w:r>
        <w:t xml:space="preserve"> Personal name: Shimeah. Personal-name meaning: Shimeah — that hears, or obeys; perdition. Source form: Shimeah.</w:t>
      </w:r>
    </w:p>
  </w:footnote>
  <w:footnote w:id="5989">
    <w:p>
      <w:pPr>
        <w:pStyle w:val="FootnoteText"/>
      </w:pPr>
      <w:r>
        <w:rPr>
          <w:rStyle w:val="FootnoteReference"/>
        </w:rPr>
        <w:footnoteRef/>
      </w:r>
      <w:r>
        <w:t xml:space="preserve"> Cross-references for "Shimeah": 1Sam 16:9; 2Sam 13:32.</w:t>
      </w:r>
    </w:p>
  </w:footnote>
  <w:footnote w:id="5990">
    <w:p>
      <w:pPr>
        <w:pStyle w:val="FootnoteText"/>
      </w:pPr>
      <w:r>
        <w:rPr>
          <w:rStyle w:val="FootnoteReference"/>
        </w:rPr>
        <w:footnoteRef/>
      </w:r>
      <w:r>
        <w:t xml:space="preserve"> Cross-references for "my brother": Lev 18:9; Lev 20:17.</w:t>
      </w:r>
    </w:p>
  </w:footnote>
  <w:footnote w:id="5991">
    <w:p>
      <w:pPr>
        <w:pStyle w:val="FootnoteText"/>
      </w:pPr>
      <w:r>
        <w:rPr>
          <w:rStyle w:val="FootnoteReference"/>
        </w:rPr>
        <w:footnoteRef/>
      </w:r>
      <w:r>
        <w:t xml:space="preserve"> Translation note: Greek repeats the morsel idea with both verb and noun. The fresh line keeps that repetition visible.</w:t>
      </w:r>
    </w:p>
  </w:footnote>
  <w:footnote w:id="5992">
    <w:p>
      <w:pPr>
        <w:pStyle w:val="FootnoteText"/>
      </w:pPr>
      <w:r>
        <w:rPr>
          <w:rStyle w:val="FootnoteReference"/>
        </w:rPr>
        <w:footnoteRef/>
      </w:r>
      <w:r>
        <w:t xml:space="preserve"> Translation note: Greek says before my eyes and from her hand here. Current line keeps both.</w:t>
      </w:r>
    </w:p>
  </w:footnote>
  <w:footnote w:id="5993">
    <w:p>
      <w:pPr>
        <w:pStyle w:val="FootnoteText"/>
      </w:pPr>
      <w:r>
        <w:rPr>
          <w:rStyle w:val="FootnoteReference"/>
        </w:rPr>
        <w:footnoteRef/>
      </w:r>
      <w:r>
        <w:t xml:space="preserve"> Cross-references for "and made cakes": 2Sam 13:8.</w:t>
      </w:r>
    </w:p>
  </w:footnote>
  <w:footnote w:id="5994">
    <w:p>
      <w:pPr>
        <w:pStyle w:val="FootnoteText"/>
      </w:pPr>
      <w:r>
        <w:rPr>
          <w:rStyle w:val="FootnoteReference"/>
        </w:rPr>
        <w:footnoteRef/>
      </w:r>
      <w:r>
        <w:t xml:space="preserve"> Cross-references for "And Amnon": Gen 45:1; Judg 3:19.</w:t>
      </w:r>
    </w:p>
  </w:footnote>
  <w:footnote w:id="5995">
    <w:p>
      <w:pPr>
        <w:pStyle w:val="FootnoteText"/>
      </w:pPr>
      <w:r>
        <w:rPr>
          <w:rStyle w:val="FootnoteReference"/>
        </w:rPr>
        <w:footnoteRef/>
      </w:r>
      <w:r>
        <w:t xml:space="preserve"> Cross-references for "folly": Gen 34:7; Judg 19:23.</w:t>
      </w:r>
    </w:p>
  </w:footnote>
  <w:footnote w:id="5996">
    <w:p>
      <w:pPr>
        <w:pStyle w:val="FootnoteText"/>
      </w:pPr>
      <w:r>
        <w:rPr>
          <w:rStyle w:val="FootnoteReference"/>
        </w:rPr>
        <w:footnoteRef/>
      </w:r>
      <w:r>
        <w:t xml:space="preserve"> Cross-references for "hated her": Ezek 23:17.</w:t>
      </w:r>
    </w:p>
  </w:footnote>
  <w:footnote w:id="5997">
    <w:p>
      <w:pPr>
        <w:pStyle w:val="FootnoteText"/>
      </w:pPr>
      <w:r>
        <w:rPr>
          <w:rStyle w:val="FootnoteReference"/>
        </w:rPr>
        <w:footnoteRef/>
      </w:r>
      <w:r>
        <w:t xml:space="preserve"> Translation note: The Greek intensifies the reversal directly. The current wording preserves that line.</w:t>
      </w:r>
    </w:p>
  </w:footnote>
  <w:footnote w:id="5998">
    <w:p>
      <w:pPr>
        <w:pStyle w:val="FootnoteText"/>
      </w:pPr>
      <w:r>
        <w:rPr>
          <w:rStyle w:val="FootnoteReference"/>
        </w:rPr>
        <w:footnoteRef/>
      </w:r>
      <w:r>
        <w:t xml:space="preserve"> Translation note: Greek says be deaf here. Current line keeps that stronger image.</w:t>
      </w:r>
    </w:p>
  </w:footnote>
  <w:footnote w:id="5999">
    <w:p>
      <w:pPr>
        <w:pStyle w:val="FootnoteText"/>
      </w:pPr>
      <w:r>
        <w:rPr>
          <w:rStyle w:val="FootnoteReference"/>
        </w:rPr>
        <w:footnoteRef/>
      </w:r>
      <w:r>
        <w:t xml:space="preserve"> Cross-references for "desolate": Gen 34:2; Gen 46:15.</w:t>
      </w:r>
    </w:p>
  </w:footnote>
  <w:footnote w:id="6000">
    <w:p>
      <w:pPr>
        <w:pStyle w:val="FootnoteText"/>
      </w:pPr>
      <w:r>
        <w:rPr>
          <w:rStyle w:val="FootnoteReference"/>
        </w:rPr>
        <w:footnoteRef/>
      </w:r>
      <w:r>
        <w:t xml:space="preserve"> Cross-references for "hated": Lev 19:17-18; Prov 10:18.</w:t>
      </w:r>
    </w:p>
  </w:footnote>
  <w:footnote w:id="6001">
    <w:p>
      <w:pPr>
        <w:pStyle w:val="FootnoteText"/>
      </w:pPr>
      <w:r>
        <w:rPr>
          <w:rStyle w:val="FootnoteReference"/>
        </w:rPr>
        <w:footnoteRef/>
      </w:r>
      <w:r>
        <w:t xml:space="preserve"> Place name: Baal-hazor. Place-name meaning: Baalhazor — Baal's village; lord of the enclosure. Standard English equivalent: Baalhazor. Source form: Baal-hazor. Greek form: βελασωρ.</w:t>
      </w:r>
    </w:p>
  </w:footnote>
  <w:footnote w:id="6002">
    <w:p>
      <w:pPr>
        <w:pStyle w:val="FootnoteText"/>
      </w:pPr>
      <w:r>
        <w:rPr>
          <w:rStyle w:val="FootnoteReference"/>
        </w:rPr>
        <w:footnoteRef/>
      </w:r>
      <w:r>
        <w:t xml:space="preserve"> Cross-references for "Let the king": 2Sam 11:8-15; Ps 12:2.</w:t>
      </w:r>
    </w:p>
  </w:footnote>
  <w:footnote w:id="6003">
    <w:p>
      <w:pPr>
        <w:pStyle w:val="FootnoteText"/>
      </w:pPr>
      <w:r>
        <w:rPr>
          <w:rStyle w:val="FootnoteReference"/>
        </w:rPr>
        <w:footnoteRef/>
      </w:r>
      <w:r>
        <w:t xml:space="preserve"> Cross-references for "pressed": Gen 19:2-3; Judg 19:7-10.</w:t>
      </w:r>
    </w:p>
  </w:footnote>
  <w:footnote w:id="6004">
    <w:p>
      <w:pPr>
        <w:pStyle w:val="FootnoteText"/>
      </w:pPr>
      <w:r>
        <w:rPr>
          <w:rStyle w:val="FootnoteReference"/>
        </w:rPr>
        <w:footnoteRef/>
      </w:r>
      <w:r>
        <w:t xml:space="preserve"> Cross-references for "Absalom": Prov 26:24-26.</w:t>
      </w:r>
    </w:p>
  </w:footnote>
  <w:footnote w:id="6005">
    <w:p>
      <w:pPr>
        <w:pStyle w:val="FootnoteText"/>
      </w:pPr>
      <w:r>
        <w:rPr>
          <w:rStyle w:val="FootnoteReference"/>
        </w:rPr>
        <w:footnoteRef/>
      </w:r>
      <w:r>
        <w:t xml:space="preserve"> Cross-references for "commanded": Exod 1:16-17; 1Sam 22:17-18.</w:t>
      </w:r>
    </w:p>
  </w:footnote>
  <w:footnote w:id="6006">
    <w:p>
      <w:pPr>
        <w:pStyle w:val="FootnoteText"/>
      </w:pPr>
      <w:r>
        <w:rPr>
          <w:rStyle w:val="FootnoteReference"/>
        </w:rPr>
        <w:footnoteRef/>
      </w:r>
      <w:r>
        <w:t xml:space="preserve"> Translation note: Greek says be manly and become sons of strength.</w:t>
      </w:r>
    </w:p>
  </w:footnote>
  <w:footnote w:id="6007">
    <w:p>
      <w:pPr>
        <w:pStyle w:val="FootnoteText"/>
      </w:pPr>
      <w:r>
        <w:rPr>
          <w:rStyle w:val="FootnoteReference"/>
        </w:rPr>
        <w:footnoteRef/>
      </w:r>
      <w:r>
        <w:t xml:space="preserve"> Cross-references for "mule": Gen 36:24; Lev 19:19.</w:t>
      </w:r>
    </w:p>
  </w:footnote>
  <w:footnote w:id="6008">
    <w:p>
      <w:pPr>
        <w:pStyle w:val="FootnoteText"/>
      </w:pPr>
      <w:r>
        <w:rPr>
          <w:rStyle w:val="FootnoteReference"/>
        </w:rPr>
        <w:footnoteRef/>
      </w:r>
      <w:r>
        <w:t xml:space="preserve"> Cross-references for "all his servants": 2Sam 1:11; 2Sam 3:31.</w:t>
      </w:r>
    </w:p>
  </w:footnote>
  <w:footnote w:id="6009">
    <w:p>
      <w:pPr>
        <w:pStyle w:val="FootnoteText"/>
      </w:pPr>
      <w:r>
        <w:rPr>
          <w:rStyle w:val="FootnoteReference"/>
        </w:rPr>
        <w:footnoteRef/>
      </w:r>
      <w:r>
        <w:t xml:space="preserve"> Cross-references for "Jonadab": 2Sam 13:3-5.</w:t>
      </w:r>
    </w:p>
  </w:footnote>
  <w:footnote w:id="6010">
    <w:p>
      <w:pPr>
        <w:pStyle w:val="FootnoteText"/>
      </w:pPr>
      <w:r>
        <w:rPr>
          <w:rStyle w:val="FootnoteReference"/>
        </w:rPr>
        <w:footnoteRef/>
      </w:r>
      <w:r>
        <w:t xml:space="preserve"> Translation note: Greek says let not king say here. Current line keeps that wording.</w:t>
      </w:r>
    </w:p>
  </w:footnote>
  <w:footnote w:id="6011">
    <w:p>
      <w:pPr>
        <w:pStyle w:val="FootnoteText"/>
      </w:pPr>
      <w:r>
        <w:rPr>
          <w:rStyle w:val="FootnoteReference"/>
        </w:rPr>
        <w:footnoteRef/>
      </w:r>
      <w:r>
        <w:t xml:space="preserve"> Cross-references for "let not my lord": 2Sam 19:19.</w:t>
      </w:r>
    </w:p>
  </w:footnote>
  <w:footnote w:id="6012">
    <w:p>
      <w:pPr>
        <w:pStyle w:val="FootnoteText"/>
      </w:pPr>
      <w:r>
        <w:rPr>
          <w:rStyle w:val="FootnoteReference"/>
        </w:rPr>
        <w:footnoteRef/>
      </w:r>
      <w:r>
        <w:t xml:space="preserve"> Cross-references for "Absalom fled": Gen 4:8-14; 2Sam 13:38.</w:t>
      </w:r>
    </w:p>
  </w:footnote>
  <w:footnote w:id="6013">
    <w:p>
      <w:pPr>
        <w:pStyle w:val="FootnoteText"/>
      </w:pPr>
      <w:r>
        <w:rPr>
          <w:rStyle w:val="FootnoteReference"/>
        </w:rPr>
        <w:footnoteRef/>
      </w:r>
      <w:r>
        <w:t xml:space="preserve"> Cross-references for "Talmai": 2Sam 3:3; 1Chr 3:2.</w:t>
      </w:r>
    </w:p>
  </w:footnote>
  <w:footnote w:id="6014">
    <w:p>
      <w:pPr>
        <w:pStyle w:val="FootnoteText"/>
      </w:pPr>
      <w:r>
        <w:rPr>
          <w:rStyle w:val="FootnoteReference"/>
        </w:rPr>
        <w:footnoteRef/>
      </w:r>
      <w:r>
        <w:t xml:space="preserve"> Place name: Geshur. Place-name meaning: Geshur — sight of the valley; a walled valley. Source form: Geshur. Greek form: γεδσουρ.</w:t>
      </w:r>
    </w:p>
  </w:footnote>
  <w:footnote w:id="6015">
    <w:p>
      <w:pPr>
        <w:pStyle w:val="FootnoteText"/>
      </w:pPr>
      <w:r>
        <w:rPr>
          <w:rStyle w:val="FootnoteReference"/>
        </w:rPr>
        <w:footnoteRef/>
      </w:r>
      <w:r>
        <w:t xml:space="preserve"> Cross-references for "comforted": Gen 24:67; Gen 37:35.</w:t>
      </w:r>
    </w:p>
  </w:footnote>
  <w:footnote w:id="6016">
    <w:p>
      <w:pPr>
        <w:pStyle w:val="FootnoteText"/>
      </w:pPr>
      <w:r>
        <w:rPr>
          <w:rStyle w:val="FootnoteReference"/>
        </w:rPr>
        <w:footnoteRef/>
      </w:r>
      <w:r>
        <w:t xml:space="preserve"> Cross-references for "Joab": 2Sam 2:18; 1Chr 2:16.</w:t>
      </w:r>
    </w:p>
  </w:footnote>
  <w:footnote w:id="6017">
    <w:p>
      <w:pPr>
        <w:pStyle w:val="FootnoteText"/>
      </w:pPr>
      <w:r>
        <w:rPr>
          <w:rStyle w:val="FootnoteReference"/>
        </w:rPr>
        <w:footnoteRef/>
      </w:r>
      <w:r>
        <w:t xml:space="preserve"> Place name: Tekoa. Place-name meaning: Tekoa — trumpet; that is confirmed. Source form: Tekoa. Greek form: θεκωε.</w:t>
      </w:r>
    </w:p>
  </w:footnote>
  <w:footnote w:id="6018">
    <w:p>
      <w:pPr>
        <w:pStyle w:val="FootnoteText"/>
      </w:pPr>
      <w:r>
        <w:rPr>
          <w:rStyle w:val="FootnoteReference"/>
        </w:rPr>
        <w:footnoteRef/>
      </w:r>
      <w:r>
        <w:t xml:space="preserve"> Translation note: Greek says wise woman and you will be as a mourning woman.</w:t>
      </w:r>
    </w:p>
  </w:footnote>
  <w:footnote w:id="6019">
    <w:p>
      <w:pPr>
        <w:pStyle w:val="FootnoteText"/>
      </w:pPr>
      <w:r>
        <w:rPr>
          <w:rStyle w:val="FootnoteReference"/>
        </w:rPr>
        <w:footnoteRef/>
      </w:r>
      <w:r>
        <w:t xml:space="preserve"> Cross-references for "mourning": Ruth 3:3; 2Sam 11:26.</w:t>
      </w:r>
    </w:p>
  </w:footnote>
  <w:footnote w:id="6020">
    <w:p>
      <w:pPr>
        <w:pStyle w:val="FootnoteText"/>
      </w:pPr>
      <w:r>
        <w:rPr>
          <w:rStyle w:val="FootnoteReference"/>
        </w:rPr>
        <w:footnoteRef/>
      </w:r>
      <w:r>
        <w:t xml:space="preserve"> Cross-references for "put the words": Exod 4:15; Num 23:5.</w:t>
      </w:r>
    </w:p>
  </w:footnote>
  <w:footnote w:id="6021">
    <w:p>
      <w:pPr>
        <w:pStyle w:val="FootnoteText"/>
      </w:pPr>
      <w:r>
        <w:rPr>
          <w:rStyle w:val="FootnoteReference"/>
        </w:rPr>
        <w:footnoteRef/>
      </w:r>
      <w:r>
        <w:t xml:space="preserve"> Transliterated proper noun: Tekoah. Standard English equivalent: Tekoah. Source form: Tekoah. Greek form: θεκωιτις. Name meaning: trumpet; confirmed.</w:t>
      </w:r>
    </w:p>
  </w:footnote>
  <w:footnote w:id="6022">
    <w:p>
      <w:pPr>
        <w:pStyle w:val="FootnoteText"/>
      </w:pPr>
      <w:r>
        <w:rPr>
          <w:rStyle w:val="FootnoteReference"/>
        </w:rPr>
        <w:footnoteRef/>
      </w:r>
      <w:r>
        <w:t xml:space="preserve"> Cross-references for "fell on her": 1Sam 20:41; 1Sam 25:23.</w:t>
      </w:r>
    </w:p>
  </w:footnote>
  <w:footnote w:id="6023">
    <w:p>
      <w:pPr>
        <w:pStyle w:val="FootnoteText"/>
      </w:pPr>
      <w:r>
        <w:rPr>
          <w:rStyle w:val="FootnoteReference"/>
        </w:rPr>
        <w:footnoteRef/>
      </w:r>
      <w:r>
        <w:t xml:space="preserve"> Translation note: Greek uses a stark widow-woman self-description. Current wording preserves it.</w:t>
      </w:r>
    </w:p>
  </w:footnote>
  <w:footnote w:id="6024">
    <w:p>
      <w:pPr>
        <w:pStyle w:val="FootnoteText"/>
      </w:pPr>
      <w:r>
        <w:rPr>
          <w:rStyle w:val="FootnoteReference"/>
        </w:rPr>
        <w:footnoteRef/>
      </w:r>
      <w:r>
        <w:t xml:space="preserve"> Cross-references for "the whole": Gen 4:14; Num 35:19.</w:t>
      </w:r>
    </w:p>
  </w:footnote>
  <w:footnote w:id="6025">
    <w:p>
      <w:pPr>
        <w:pStyle w:val="FootnoteText"/>
      </w:pPr>
      <w:r>
        <w:rPr>
          <w:rStyle w:val="FootnoteReference"/>
        </w:rPr>
        <w:footnoteRef/>
      </w:r>
      <w:r>
        <w:t xml:space="preserve"> Cross-references for "and the king": Num 35:33; Deut 21:1-9.</w:t>
      </w:r>
    </w:p>
  </w:footnote>
  <w:footnote w:id="6026">
    <w:p>
      <w:pPr>
        <w:pStyle w:val="FootnoteText"/>
      </w:pPr>
      <w:r>
        <w:rPr>
          <w:rStyle w:val="FootnoteReference"/>
        </w:rPr>
        <w:footnoteRef/>
      </w:r>
      <w:r>
        <w:t xml:space="preserve"> Cross-references for "Let the king": Gen 14:22; Gen 24:2-3.</w:t>
      </w:r>
    </w:p>
  </w:footnote>
  <w:footnote w:id="6027">
    <w:p>
      <w:pPr>
        <w:pStyle w:val="FootnoteText"/>
      </w:pPr>
      <w:r>
        <w:rPr>
          <w:rStyle w:val="FootnoteReference"/>
        </w:rPr>
        <w:footnoteRef/>
      </w:r>
      <w:r>
        <w:t xml:space="preserve"> Translation note: Greek says that the avenger of blood not multiply to destroy.</w:t>
      </w:r>
    </w:p>
  </w:footnote>
  <w:footnote w:id="6028">
    <w:p>
      <w:pPr>
        <w:pStyle w:val="FootnoteText"/>
      </w:pPr>
      <w:r>
        <w:rPr>
          <w:rStyle w:val="FootnoteReference"/>
        </w:rPr>
        <w:footnoteRef/>
      </w:r>
      <w:r>
        <w:t xml:space="preserve"> Cross-references for "people": 2Sam 7:8.</w:t>
      </w:r>
    </w:p>
  </w:footnote>
  <w:footnote w:id="6029">
    <w:p>
      <w:pPr>
        <w:pStyle w:val="FootnoteText"/>
      </w:pPr>
      <w:r>
        <w:rPr>
          <w:rStyle w:val="FootnoteReference"/>
        </w:rPr>
        <w:footnoteRef/>
      </w:r>
      <w:r>
        <w:t xml:space="preserve"> Translation note: Greek says in death we will die and banished not remain banished.</w:t>
      </w:r>
    </w:p>
  </w:footnote>
  <w:footnote w:id="6030">
    <w:p>
      <w:pPr>
        <w:pStyle w:val="FootnoteText"/>
      </w:pPr>
      <w:r>
        <w:rPr>
          <w:rStyle w:val="FootnoteReference"/>
        </w:rPr>
        <w:footnoteRef/>
      </w:r>
      <w:r>
        <w:t xml:space="preserve"> MT/LXX note: The Septuagint motive clause differs from the Masoretic fear formula. The fresh line follows the Greek wording about being seen.</w:t>
      </w:r>
    </w:p>
  </w:footnote>
  <w:footnote w:id="6031">
    <w:p>
      <w:pPr>
        <w:pStyle w:val="FootnoteText"/>
      </w:pPr>
      <w:r>
        <w:rPr>
          <w:rStyle w:val="FootnoteReference"/>
        </w:rPr>
        <w:footnoteRef/>
      </w:r>
      <w:r>
        <w:t xml:space="preserve"> Translation note: Phrase difficult, but Greek uses cultic wording here. NETS pulls toward offering, while LES and LES2 keep sacrifice language; the draft keeps the sacrificial image visible instead of smoothing to security or comfort.</w:t>
      </w:r>
    </w:p>
  </w:footnote>
  <w:footnote w:id="6032">
    <w:p>
      <w:pPr>
        <w:pStyle w:val="FootnoteText"/>
      </w:pPr>
      <w:r>
        <w:rPr>
          <w:rStyle w:val="FootnoteReference"/>
        </w:rPr>
        <w:footnoteRef/>
      </w:r>
      <w:r>
        <w:t xml:space="preserve"> Cross-references for "as an angel": 1Sam 29:9; 2Sam 14:20.</w:t>
      </w:r>
    </w:p>
  </w:footnote>
  <w:footnote w:id="6033">
    <w:p>
      <w:pPr>
        <w:pStyle w:val="FootnoteText"/>
      </w:pPr>
      <w:r>
        <w:rPr>
          <w:rStyle w:val="FootnoteReference"/>
        </w:rPr>
        <w:footnoteRef/>
      </w:r>
      <w:r>
        <w:t xml:space="preserve"> Cross-references for "of Joab": 2Sam 3:27; 2Sam 3:29.</w:t>
      </w:r>
    </w:p>
  </w:footnote>
  <w:footnote w:id="6034">
    <w:p>
      <w:pPr>
        <w:pStyle w:val="FootnoteText"/>
      </w:pPr>
      <w:r>
        <w:rPr>
          <w:rStyle w:val="FootnoteReference"/>
        </w:rPr>
        <w:footnoteRef/>
      </w:r>
      <w:r>
        <w:t xml:space="preserve"> Translation note: Greek says Joab put these words in the servant's mouth. The translation keeps the idiom direct.</w:t>
      </w:r>
    </w:p>
  </w:footnote>
  <w:footnote w:id="6035">
    <w:p>
      <w:pPr>
        <w:pStyle w:val="FootnoteText"/>
      </w:pPr>
      <w:r>
        <w:rPr>
          <w:rStyle w:val="FootnoteReference"/>
        </w:rPr>
        <w:footnoteRef/>
      </w:r>
      <w:r>
        <w:t xml:space="preserve"> Cross-references for "to know": Gen 3:5; Job 38:16-41.</w:t>
      </w:r>
    </w:p>
  </w:footnote>
  <w:footnote w:id="6036">
    <w:p>
      <w:pPr>
        <w:pStyle w:val="FootnoteText"/>
      </w:pPr>
      <w:r>
        <w:rPr>
          <w:rStyle w:val="FootnoteReference"/>
        </w:rPr>
        <w:footnoteRef/>
      </w:r>
      <w:r>
        <w:t xml:space="preserve"> Cross-references for "I have done": 1Sam 14:39; 2Sam 14:11.</w:t>
      </w:r>
    </w:p>
  </w:footnote>
  <w:footnote w:id="6037">
    <w:p>
      <w:pPr>
        <w:pStyle w:val="FootnoteText"/>
      </w:pPr>
      <w:r>
        <w:rPr>
          <w:rStyle w:val="FootnoteReference"/>
        </w:rPr>
        <w:footnoteRef/>
      </w:r>
      <w:r>
        <w:t xml:space="preserve"> Cross-references for "I have found": Gen 6:8; Exod 33:16-17.</w:t>
      </w:r>
    </w:p>
  </w:footnote>
  <w:footnote w:id="6038">
    <w:p>
      <w:pPr>
        <w:pStyle w:val="FootnoteText"/>
      </w:pPr>
      <w:r>
        <w:rPr>
          <w:rStyle w:val="FootnoteReference"/>
        </w:rPr>
        <w:footnoteRef/>
      </w:r>
      <w:r>
        <w:t xml:space="preserve"> Translation note: Greek says done the word here. Current line keeps that phrasing.</w:t>
      </w:r>
    </w:p>
  </w:footnote>
  <w:footnote w:id="6039">
    <w:p>
      <w:pPr>
        <w:pStyle w:val="FootnoteText"/>
      </w:pPr>
      <w:r>
        <w:rPr>
          <w:rStyle w:val="FootnoteReference"/>
        </w:rPr>
        <w:footnoteRef/>
      </w:r>
      <w:r>
        <w:t xml:space="preserve"> Cross-references for "Geshur": 2Sam 3:3; 2Sam 13:37.</w:t>
      </w:r>
    </w:p>
  </w:footnote>
  <w:footnote w:id="6040">
    <w:p>
      <w:pPr>
        <w:pStyle w:val="FootnoteText"/>
      </w:pPr>
      <w:r>
        <w:rPr>
          <w:rStyle w:val="FootnoteReference"/>
        </w:rPr>
        <w:footnoteRef/>
      </w:r>
      <w:r>
        <w:t xml:space="preserve"> Cross-references for "let him not": Gen 43:3; Exod 10:28.</w:t>
      </w:r>
    </w:p>
  </w:footnote>
  <w:footnote w:id="6041">
    <w:p>
      <w:pPr>
        <w:pStyle w:val="FootnoteText"/>
      </w:pPr>
      <w:r>
        <w:rPr>
          <w:rStyle w:val="FootnoteReference"/>
        </w:rPr>
        <w:footnoteRef/>
      </w:r>
      <w:r>
        <w:t xml:space="preserve"> Cross-references for "From the sole": Deut 28:35; Job 2:7.</w:t>
      </w:r>
    </w:p>
  </w:footnote>
  <w:footnote w:id="6042">
    <w:p>
      <w:pPr>
        <w:pStyle w:val="FootnoteText"/>
      </w:pPr>
      <w:r>
        <w:rPr>
          <w:rStyle w:val="FootnoteReference"/>
        </w:rPr>
        <w:footnoteRef/>
      </w:r>
      <w:r>
        <w:t xml:space="preserve"> Translation note: Greek keeps temporal idiom here.</w:t>
      </w:r>
    </w:p>
  </w:footnote>
  <w:footnote w:id="6043">
    <w:p>
      <w:pPr>
        <w:pStyle w:val="FootnoteText"/>
      </w:pPr>
      <w:r>
        <w:rPr>
          <w:rStyle w:val="FootnoteReference"/>
        </w:rPr>
        <w:footnoteRef/>
      </w:r>
      <w:r>
        <w:t xml:space="preserve"> Cross-references for "two hundred shekels": Gen 23:16; Lev 19:36.</w:t>
      </w:r>
    </w:p>
  </w:footnote>
  <w:footnote w:id="6044">
    <w:p>
      <w:pPr>
        <w:pStyle w:val="FootnoteText"/>
      </w:pPr>
      <w:r>
        <w:rPr>
          <w:rStyle w:val="FootnoteReference"/>
        </w:rPr>
        <w:footnoteRef/>
      </w:r>
      <w:r>
        <w:t xml:space="preserve"> Cross-references for "born": 2Sam 18:18; Job 18:16-19.</w:t>
      </w:r>
    </w:p>
  </w:footnote>
  <w:footnote w:id="6045">
    <w:p>
      <w:pPr>
        <w:pStyle w:val="FootnoteText"/>
      </w:pPr>
      <w:r>
        <w:rPr>
          <w:rStyle w:val="FootnoteReference"/>
        </w:rPr>
        <w:footnoteRef/>
      </w:r>
      <w:r>
        <w:t xml:space="preserve"> Translation note: Greek uses face-of-king wording here. Current line keeps it.</w:t>
      </w:r>
    </w:p>
  </w:footnote>
  <w:footnote w:id="6046">
    <w:p>
      <w:pPr>
        <w:pStyle w:val="FootnoteText"/>
      </w:pPr>
      <w:r>
        <w:rPr>
          <w:rStyle w:val="FootnoteReference"/>
        </w:rPr>
        <w:footnoteRef/>
      </w:r>
      <w:r>
        <w:t xml:space="preserve"> Cross-references for "if there": Gen 3:12; 1Sam 15:13.</w:t>
      </w:r>
    </w:p>
  </w:footnote>
  <w:footnote w:id="6047">
    <w:p>
      <w:pPr>
        <w:pStyle w:val="FootnoteText"/>
      </w:pPr>
      <w:r>
        <w:rPr>
          <w:rStyle w:val="FootnoteReference"/>
        </w:rPr>
        <w:footnoteRef/>
      </w:r>
      <w:r>
        <w:t xml:space="preserve"> Cross-references for "kissed Absalom": Gen 27:26; Gen 33:4.</w:t>
      </w:r>
    </w:p>
  </w:footnote>
  <w:footnote w:id="6048">
    <w:p>
      <w:pPr>
        <w:pStyle w:val="FootnoteText"/>
      </w:pPr>
      <w:r>
        <w:rPr>
          <w:rStyle w:val="FootnoteReference"/>
        </w:rPr>
        <w:footnoteRef/>
      </w:r>
      <w:r>
        <w:t xml:space="preserve"> Translation note: The Greek ends with a direct reconciliation gesture. The current wording keeps that line explicit.</w:t>
      </w:r>
    </w:p>
  </w:footnote>
  <w:footnote w:id="6049">
    <w:p>
      <w:pPr>
        <w:pStyle w:val="FootnoteText"/>
      </w:pPr>
      <w:r>
        <w:rPr>
          <w:rStyle w:val="FootnoteReference"/>
        </w:rPr>
        <w:footnoteRef/>
      </w:r>
      <w:r>
        <w:t xml:space="preserve"> Cross-references for "Absalom": Deut 17:16; 1Sam 8:11.</w:t>
      </w:r>
    </w:p>
  </w:footnote>
  <w:footnote w:id="6050">
    <w:p>
      <w:pPr>
        <w:pStyle w:val="FootnoteText"/>
      </w:pPr>
      <w:r>
        <w:rPr>
          <w:rStyle w:val="FootnoteReference"/>
        </w:rPr>
        <w:footnoteRef/>
      </w:r>
      <w:r>
        <w:t xml:space="preserve"> Translation note: Greek doubles judgment here. Current line keeps that wording.</w:t>
      </w:r>
    </w:p>
  </w:footnote>
  <w:footnote w:id="6051">
    <w:p>
      <w:pPr>
        <w:pStyle w:val="FootnoteText"/>
      </w:pPr>
      <w:r>
        <w:rPr>
          <w:rStyle w:val="FootnoteReference"/>
        </w:rPr>
        <w:footnoteRef/>
      </w:r>
      <w:r>
        <w:t xml:space="preserve"> Cross-references for "there is": Exod 20:12; Exod 21:17.</w:t>
      </w:r>
    </w:p>
  </w:footnote>
  <w:footnote w:id="6052">
    <w:p>
      <w:pPr>
        <w:pStyle w:val="FootnoteText"/>
      </w:pPr>
      <w:r>
        <w:rPr>
          <w:rStyle w:val="FootnoteReference"/>
        </w:rPr>
        <w:footnoteRef/>
      </w:r>
      <w:r>
        <w:t xml:space="preserve"> Cross-references for "and kissed": 2Sam 14:33.</w:t>
      </w:r>
    </w:p>
  </w:footnote>
  <w:footnote w:id="6053">
    <w:p>
      <w:pPr>
        <w:pStyle w:val="FootnoteText"/>
      </w:pPr>
      <w:r>
        <w:rPr>
          <w:rStyle w:val="FootnoteReference"/>
        </w:rPr>
        <w:footnoteRef/>
      </w:r>
      <w:r>
        <w:t xml:space="preserve"> Translation note: The Greek verb suggests taking the heart as one’s own. The draft keeps the manipulative political image sharp rather than reducing it to simple popularity.</w:t>
      </w:r>
    </w:p>
  </w:footnote>
  <w:footnote w:id="6054">
    <w:p>
      <w:pPr>
        <w:pStyle w:val="FootnoteText"/>
      </w:pPr>
      <w:r>
        <w:rPr>
          <w:rStyle w:val="FootnoteReference"/>
        </w:rPr>
        <w:footnoteRef/>
      </w:r>
      <w:r>
        <w:t xml:space="preserve"> Cross-references for "forty years": 1Sam 16:1; 1Sam 16:13.</w:t>
      </w:r>
    </w:p>
  </w:footnote>
  <w:footnote w:id="6055">
    <w:p>
      <w:pPr>
        <w:pStyle w:val="FootnoteText"/>
      </w:pPr>
      <w:r>
        <w:rPr>
          <w:rStyle w:val="FootnoteReference"/>
        </w:rPr>
        <w:footnoteRef/>
      </w:r>
      <w:r>
        <w:t xml:space="preserve"> Cross-references for "Geshur": 2Sam 13:37-38; 2Sam 14:23.</w:t>
      </w:r>
    </w:p>
  </w:footnote>
  <w:footnote w:id="6056">
    <w:p>
      <w:pPr>
        <w:pStyle w:val="FootnoteText"/>
      </w:pPr>
      <w:r>
        <w:rPr>
          <w:rStyle w:val="FootnoteReference"/>
        </w:rPr>
        <w:footnoteRef/>
      </w:r>
      <w:r>
        <w:t xml:space="preserve"> Cross-references for "spies": 2Sam 13:28; 2Sam 14:30.</w:t>
      </w:r>
    </w:p>
  </w:footnote>
  <w:footnote w:id="6057">
    <w:p>
      <w:pPr>
        <w:pStyle w:val="FootnoteText"/>
      </w:pPr>
      <w:r>
        <w:rPr>
          <w:rStyle w:val="FootnoteReference"/>
        </w:rPr>
        <w:footnoteRef/>
      </w:r>
      <w:r>
        <w:t xml:space="preserve"> Cross-references for "their simplicity": Gen 20:5; 1Sam 22:15.</w:t>
      </w:r>
    </w:p>
  </w:footnote>
  <w:footnote w:id="6058">
    <w:p>
      <w:pPr>
        <w:pStyle w:val="FootnoteText"/>
      </w:pPr>
      <w:r>
        <w:rPr>
          <w:rStyle w:val="FootnoteReference"/>
        </w:rPr>
        <w:footnoteRef/>
      </w:r>
      <w:r>
        <w:t xml:space="preserve"> Personal name: Ahithophel. Personal-name meaning: Ahithophel — brother of ruin or folly. Source form: Ahithophel.</w:t>
      </w:r>
    </w:p>
  </w:footnote>
  <w:footnote w:id="6059">
    <w:p>
      <w:pPr>
        <w:pStyle w:val="FootnoteText"/>
      </w:pPr>
      <w:r>
        <w:rPr>
          <w:rStyle w:val="FootnoteReference"/>
        </w:rPr>
        <w:footnoteRef/>
      </w:r>
      <w:r>
        <w:t xml:space="preserve"> Transliterated proper noun: Gilonite. Standard English equivalent: Gilonite. Source form: Gilonite. Greek form: γελμωναιον. Name meaning: person of Giloh; he that rejoices; he that overturns.</w:t>
      </w:r>
    </w:p>
  </w:footnote>
  <w:footnote w:id="6060">
    <w:p>
      <w:pPr>
        <w:pStyle w:val="FootnoteText"/>
      </w:pPr>
      <w:r>
        <w:rPr>
          <w:rStyle w:val="FootnoteReference"/>
        </w:rPr>
        <w:footnoteRef/>
      </w:r>
      <w:r>
        <w:t xml:space="preserve"> Place name: Giloh. Place-name meaning: Giloh — he that rejoices; he that overturns. Source form: Giloh. Greek form: γωλα.</w:t>
      </w:r>
    </w:p>
  </w:footnote>
  <w:footnote w:id="6061">
    <w:p>
      <w:pPr>
        <w:pStyle w:val="FootnoteText"/>
      </w:pPr>
      <w:r>
        <w:rPr>
          <w:rStyle w:val="FootnoteReference"/>
        </w:rPr>
        <w:footnoteRef/>
      </w:r>
      <w:r>
        <w:t xml:space="preserve"> Translation note: Greek witness differs in title/ethnicon here. Current line follows the Greek form.</w:t>
      </w:r>
    </w:p>
  </w:footnote>
  <w:footnote w:id="6062">
    <w:p>
      <w:pPr>
        <w:pStyle w:val="FootnoteText"/>
      </w:pPr>
      <w:r>
        <w:rPr>
          <w:rStyle w:val="FootnoteReference"/>
        </w:rPr>
        <w:footnoteRef/>
      </w:r>
      <w:r>
        <w:t xml:space="preserve"> Cross-references for "Ahithophel": 2Sam 15:31; 2Sam 16:20-23.</w:t>
      </w:r>
    </w:p>
  </w:footnote>
  <w:footnote w:id="6063">
    <w:p>
      <w:pPr>
        <w:pStyle w:val="FootnoteText"/>
      </w:pPr>
      <w:r>
        <w:rPr>
          <w:rStyle w:val="FootnoteReference"/>
        </w:rPr>
        <w:footnoteRef/>
      </w:r>
      <w:r>
        <w:t xml:space="preserve"> Translation note: Greek says there is no salvation for us from before Absalom.</w:t>
      </w:r>
    </w:p>
  </w:footnote>
  <w:footnote w:id="6064">
    <w:p>
      <w:pPr>
        <w:pStyle w:val="FootnoteText"/>
      </w:pPr>
      <w:r>
        <w:rPr>
          <w:rStyle w:val="FootnoteReference"/>
        </w:rPr>
        <w:footnoteRef/>
      </w:r>
      <w:r>
        <w:t xml:space="preserve"> Cross-references for "behold": Prov 18:24; Luke 22:28-29.</w:t>
      </w:r>
    </w:p>
  </w:footnote>
  <w:footnote w:id="6065">
    <w:p>
      <w:pPr>
        <w:pStyle w:val="FootnoteText"/>
      </w:pPr>
      <w:r>
        <w:rPr>
          <w:rStyle w:val="FootnoteReference"/>
        </w:rPr>
        <w:footnoteRef/>
      </w:r>
      <w:r>
        <w:t xml:space="preserve"> Cross-references for "ten women": 2Sam 12:11; 2Sam 16:21-22.</w:t>
      </w:r>
    </w:p>
  </w:footnote>
  <w:footnote w:id="6066">
    <w:p>
      <w:pPr>
        <w:pStyle w:val="FootnoteText"/>
      </w:pPr>
      <w:r>
        <w:rPr>
          <w:rStyle w:val="FootnoteReference"/>
        </w:rPr>
        <w:footnoteRef/>
      </w:r>
      <w:r>
        <w:t xml:space="preserve"> Transliterated proper noun: Chetti. Standard English equivalent: Cherethites. Source form: Chetti. Greek form: χεττι. Name meaning: who cut or tear away.</w:t>
      </w:r>
    </w:p>
  </w:footnote>
  <w:footnote w:id="6067">
    <w:p>
      <w:pPr>
        <w:pStyle w:val="FootnoteText"/>
      </w:pPr>
      <w:r>
        <w:rPr>
          <w:rStyle w:val="FootnoteReference"/>
        </w:rPr>
        <w:footnoteRef/>
      </w:r>
      <w:r>
        <w:t xml:space="preserve"> Cross-references for "Cherethites": 1Sam 30:14; 2Sam 8:18.</w:t>
      </w:r>
    </w:p>
  </w:footnote>
  <w:footnote w:id="6068">
    <w:p>
      <w:pPr>
        <w:pStyle w:val="FootnoteText"/>
      </w:pPr>
      <w:r>
        <w:rPr>
          <w:rStyle w:val="FootnoteReference"/>
        </w:rPr>
        <w:footnoteRef/>
      </w:r>
      <w:r>
        <w:t xml:space="preserve"> Personal name: Ittai. Personal-name meaning: Ittai — strong; my sign; a plowshare. Source form: Ittai.</w:t>
      </w:r>
    </w:p>
  </w:footnote>
  <w:footnote w:id="6069">
    <w:p>
      <w:pPr>
        <w:pStyle w:val="FootnoteText"/>
      </w:pPr>
      <w:r>
        <w:rPr>
          <w:rStyle w:val="FootnoteReference"/>
        </w:rPr>
        <w:footnoteRef/>
      </w:r>
      <w:r>
        <w:t xml:space="preserve"> Cross-references for "Ittai": Ruth 1:11-13; 2Sam 18:2.</w:t>
      </w:r>
    </w:p>
  </w:footnote>
  <w:footnote w:id="6070">
    <w:p>
      <w:pPr>
        <w:pStyle w:val="FootnoteText"/>
      </w:pPr>
      <w:r>
        <w:rPr>
          <w:rStyle w:val="FootnoteReference"/>
        </w:rPr>
        <w:footnoteRef/>
      </w:r>
      <w:r>
        <w:t xml:space="preserve"> Cross-references for "mercy": 2Sam 2:6; Ps 25:10.</w:t>
      </w:r>
    </w:p>
  </w:footnote>
  <w:footnote w:id="6071">
    <w:p>
      <w:pPr>
        <w:pStyle w:val="FootnoteText"/>
      </w:pPr>
      <w:r>
        <w:rPr>
          <w:rStyle w:val="FootnoteReference"/>
        </w:rPr>
        <w:footnoteRef/>
      </w:r>
      <w:r>
        <w:t xml:space="preserve"> Cross-references for "As the Lord": 1Sam 20:3; 1Sam 25:26.</w:t>
      </w:r>
    </w:p>
  </w:footnote>
  <w:footnote w:id="6072">
    <w:p>
      <w:pPr>
        <w:pStyle w:val="FootnoteText"/>
      </w:pPr>
      <w:r>
        <w:rPr>
          <w:rStyle w:val="FootnoteReference"/>
        </w:rPr>
        <w:footnoteRef/>
      </w:r>
      <w:r>
        <w:t xml:space="preserve"> Cross-references for "Kidron": 1Kgs 2:37; John 18:1.</w:t>
      </w:r>
    </w:p>
  </w:footnote>
  <w:footnote w:id="6073">
    <w:p>
      <w:pPr>
        <w:pStyle w:val="FootnoteText"/>
      </w:pPr>
      <w:r>
        <w:rPr>
          <w:rStyle w:val="FootnoteReference"/>
        </w:rPr>
        <w:footnoteRef/>
      </w:r>
      <w:r>
        <w:t xml:space="preserve"> Cross-references for "Zadok": 2Sam 8:17; 2Sam 15:27.</w:t>
      </w:r>
    </w:p>
  </w:footnote>
  <w:footnote w:id="6074">
    <w:p>
      <w:pPr>
        <w:pStyle w:val="FootnoteText"/>
      </w:pPr>
      <w:r>
        <w:rPr>
          <w:rStyle w:val="FootnoteReference"/>
        </w:rPr>
        <w:footnoteRef/>
      </w:r>
      <w:r>
        <w:t xml:space="preserve"> Translation note: The Greek uses the ark phrase directly. The current wording preserves it.</w:t>
      </w:r>
    </w:p>
  </w:footnote>
  <w:footnote w:id="6075">
    <w:p>
      <w:pPr>
        <w:pStyle w:val="FootnoteText"/>
      </w:pPr>
      <w:r>
        <w:rPr>
          <w:rStyle w:val="FootnoteReference"/>
        </w:rPr>
        <w:footnoteRef/>
      </w:r>
      <w:r>
        <w:t xml:space="preserve"> Cross-references for "the ascent": Zech 14:4; Luke 19:29.</w:t>
      </w:r>
    </w:p>
  </w:footnote>
  <w:footnote w:id="6076">
    <w:p>
      <w:pPr>
        <w:pStyle w:val="FootnoteText"/>
      </w:pPr>
      <w:r>
        <w:rPr>
          <w:rStyle w:val="FootnoteReference"/>
        </w:rPr>
        <w:footnoteRef/>
      </w:r>
      <w:r>
        <w:t xml:space="preserve"> Translation note: Greek repeats going up and says he was going barefoot.</w:t>
      </w:r>
    </w:p>
  </w:footnote>
  <w:footnote w:id="6077">
    <w:p>
      <w:pPr>
        <w:pStyle w:val="FootnoteText"/>
      </w:pPr>
      <w:r>
        <w:rPr>
          <w:rStyle w:val="FootnoteReference"/>
        </w:rPr>
        <w:footnoteRef/>
      </w:r>
      <w:r>
        <w:t xml:space="preserve"> Cross-references for "Ahithophel": 2Sam 15:12; Ps 3:1.</w:t>
      </w:r>
    </w:p>
  </w:footnote>
  <w:footnote w:id="6078">
    <w:p>
      <w:pPr>
        <w:pStyle w:val="FootnoteText"/>
      </w:pPr>
      <w:r>
        <w:rPr>
          <w:rStyle w:val="FootnoteReference"/>
        </w:rPr>
        <w:footnoteRef/>
      </w:r>
      <w:r>
        <w:t xml:space="preserve"> Personal name: Cushi. Personal-name meaning: Cushi — Ethiopians; blackness. Source form: Cushi.</w:t>
      </w:r>
    </w:p>
  </w:footnote>
  <w:footnote w:id="6079">
    <w:p>
      <w:pPr>
        <w:pStyle w:val="FootnoteText"/>
      </w:pPr>
      <w:r>
        <w:rPr>
          <w:rStyle w:val="FootnoteReference"/>
        </w:rPr>
        <w:footnoteRef/>
      </w:r>
      <w:r>
        <w:t xml:space="preserve"> Cross-references for "return": Josh 8:2; 2Sam 15:20.</w:t>
      </w:r>
    </w:p>
  </w:footnote>
  <w:footnote w:id="6080">
    <w:p>
      <w:pPr>
        <w:pStyle w:val="FootnoteText"/>
      </w:pPr>
      <w:r>
        <w:rPr>
          <w:rStyle w:val="FootnoteReference"/>
        </w:rPr>
        <w:footnoteRef/>
      </w:r>
      <w:r>
        <w:t xml:space="preserve"> Translation note: Greek uses scatter language for undoing counsel. Current line keeps that image.</w:t>
      </w:r>
    </w:p>
  </w:footnote>
  <w:footnote w:id="6081">
    <w:p>
      <w:pPr>
        <w:pStyle w:val="FootnoteText"/>
      </w:pPr>
      <w:r>
        <w:rPr>
          <w:rStyle w:val="FootnoteReference"/>
        </w:rPr>
        <w:footnoteRef/>
      </w:r>
      <w:r>
        <w:t xml:space="preserve"> Cross-references for "their two sons": 2Sam 15:27; 2Sam 17:17.</w:t>
      </w:r>
    </w:p>
  </w:footnote>
  <w:footnote w:id="6082">
    <w:p>
      <w:pPr>
        <w:pStyle w:val="FootnoteText"/>
      </w:pPr>
      <w:r>
        <w:rPr>
          <w:rStyle w:val="FootnoteReference"/>
        </w:rPr>
        <w:footnoteRef/>
      </w:r>
      <w:r>
        <w:t xml:space="preserve"> Cross-references for "Absalom": 2Sam 16:15.</w:t>
      </w:r>
    </w:p>
  </w:footnote>
  <w:footnote w:id="6083">
    <w:p>
      <w:pPr>
        <w:pStyle w:val="FootnoteText"/>
      </w:pPr>
      <w:r>
        <w:rPr>
          <w:rStyle w:val="FootnoteReference"/>
        </w:rPr>
        <w:footnoteRef/>
      </w:r>
      <w:r>
        <w:t xml:space="preserve"> Cross-references for "Ziba": 2Sam 9:2; 2Sam 9:9-12.</w:t>
      </w:r>
    </w:p>
  </w:footnote>
  <w:footnote w:id="6084">
    <w:p>
      <w:pPr>
        <w:pStyle w:val="FootnoteText"/>
      </w:pPr>
      <w:r>
        <w:rPr>
          <w:rStyle w:val="FootnoteReference"/>
        </w:rPr>
        <w:footnoteRef/>
      </w:r>
      <w:r>
        <w:t xml:space="preserve"> Translation note: The fresh line keeps a simple topographical reading for the Greek phrase rather than importing another textual interpretation.</w:t>
      </w:r>
    </w:p>
  </w:footnote>
  <w:footnote w:id="6085">
    <w:p>
      <w:pPr>
        <w:pStyle w:val="FootnoteText"/>
      </w:pPr>
      <w:r>
        <w:rPr>
          <w:rStyle w:val="FootnoteReference"/>
        </w:rPr>
        <w:footnoteRef/>
      </w:r>
      <w:r>
        <w:t xml:space="preserve"> Translation note: Greek gives direct purpose clauses for supplies.</w:t>
      </w:r>
    </w:p>
  </w:footnote>
  <w:footnote w:id="6086">
    <w:p>
      <w:pPr>
        <w:pStyle w:val="FootnoteText"/>
      </w:pPr>
      <w:r>
        <w:rPr>
          <w:rStyle w:val="FootnoteReference"/>
        </w:rPr>
        <w:footnoteRef/>
      </w:r>
      <w:r>
        <w:t xml:space="preserve"> Cross-references for "where is": 2Sam 9:9-10; Ps 88:18.</w:t>
      </w:r>
    </w:p>
  </w:footnote>
  <w:footnote w:id="6087">
    <w:p>
      <w:pPr>
        <w:pStyle w:val="FootnoteText"/>
      </w:pPr>
      <w:r>
        <w:rPr>
          <w:rStyle w:val="FootnoteReference"/>
        </w:rPr>
        <w:footnoteRef/>
      </w:r>
      <w:r>
        <w:t xml:space="preserve"> Cross-references for "Behold": Exod 23:8; Deut 19:15.</w:t>
      </w:r>
    </w:p>
  </w:footnote>
  <w:footnote w:id="6088">
    <w:p>
      <w:pPr>
        <w:pStyle w:val="FootnoteText"/>
      </w:pPr>
      <w:r>
        <w:rPr>
          <w:rStyle w:val="FootnoteReference"/>
        </w:rPr>
        <w:footnoteRef/>
      </w:r>
      <w:r>
        <w:t xml:space="preserve"> Cross-references for "Bahurim": Josh 21:18; 2Sam 3:16.</w:t>
      </w:r>
    </w:p>
  </w:footnote>
  <w:footnote w:id="6089">
    <w:p>
      <w:pPr>
        <w:pStyle w:val="FootnoteText"/>
      </w:pPr>
      <w:r>
        <w:rPr>
          <w:rStyle w:val="FootnoteReference"/>
        </w:rPr>
        <w:footnoteRef/>
      </w:r>
      <w:r>
        <w:t xml:space="preserve"> Cross-references for "returned": Judg 9:24; Judg 9:56-57.</w:t>
      </w:r>
    </w:p>
  </w:footnote>
  <w:footnote w:id="6090">
    <w:p>
      <w:pPr>
        <w:pStyle w:val="FootnoteText"/>
      </w:pPr>
      <w:r>
        <w:rPr>
          <w:rStyle w:val="FootnoteReference"/>
        </w:rPr>
        <w:footnoteRef/>
      </w:r>
      <w:r>
        <w:t xml:space="preserve"> Translation note: Greek uses the plural bloods, a forceful idiom for bloodguilt. The translation keeps that rhetorical plural.</w:t>
      </w:r>
    </w:p>
  </w:footnote>
  <w:footnote w:id="6091">
    <w:p>
      <w:pPr>
        <w:pStyle w:val="FootnoteText"/>
      </w:pPr>
      <w:r>
        <w:rPr>
          <w:rStyle w:val="FootnoteReference"/>
        </w:rPr>
        <w:footnoteRef/>
      </w:r>
      <w:r>
        <w:t xml:space="preserve"> Cross-references for "Abishai": 1Sam 26:6-8; 2Sam 3:30.</w:t>
      </w:r>
    </w:p>
  </w:footnote>
  <w:footnote w:id="6092">
    <w:p>
      <w:pPr>
        <w:pStyle w:val="FootnoteText"/>
      </w:pPr>
      <w:r>
        <w:rPr>
          <w:rStyle w:val="FootnoteReference"/>
        </w:rPr>
        <w:footnoteRef/>
      </w:r>
      <w:r>
        <w:t xml:space="preserve"> Cross-references for "Behold": 2Sam 12:11-12.</w:t>
      </w:r>
    </w:p>
  </w:footnote>
  <w:footnote w:id="6093">
    <w:p>
      <w:pPr>
        <w:pStyle w:val="FootnoteText"/>
      </w:pPr>
      <w:r>
        <w:rPr>
          <w:rStyle w:val="FootnoteReference"/>
        </w:rPr>
        <w:footnoteRef/>
      </w:r>
      <w:r>
        <w:t xml:space="preserve"> Translation note: Greek says my son who came out of my belly.</w:t>
      </w:r>
    </w:p>
  </w:footnote>
  <w:footnote w:id="6094">
    <w:p>
      <w:pPr>
        <w:pStyle w:val="FootnoteText"/>
      </w:pPr>
      <w:r>
        <w:rPr>
          <w:rStyle w:val="FootnoteReference"/>
        </w:rPr>
        <w:footnoteRef/>
      </w:r>
      <w:r>
        <w:t xml:space="preserve"> Cross-references for "the Lord": Gen 29:32-33; Exod 2:24-25.</w:t>
      </w:r>
    </w:p>
  </w:footnote>
  <w:footnote w:id="6095">
    <w:p>
      <w:pPr>
        <w:pStyle w:val="FootnoteText"/>
      </w:pPr>
      <w:r>
        <w:rPr>
          <w:rStyle w:val="FootnoteReference"/>
        </w:rPr>
        <w:footnoteRef/>
      </w:r>
      <w:r>
        <w:t xml:space="preserve"> Cross-references for "Absalom": 2Sam 15:37.</w:t>
      </w:r>
    </w:p>
  </w:footnote>
  <w:footnote w:id="6096">
    <w:p>
      <w:pPr>
        <w:pStyle w:val="FootnoteText"/>
      </w:pPr>
      <w:r>
        <w:rPr>
          <w:rStyle w:val="FootnoteReference"/>
        </w:rPr>
        <w:footnoteRef/>
      </w:r>
      <w:r>
        <w:t xml:space="preserve"> Cross-references for "Go in": Gen 6:4; Gen 38:16.</w:t>
      </w:r>
    </w:p>
  </w:footnote>
  <w:footnote w:id="6097">
    <w:p>
      <w:pPr>
        <w:pStyle w:val="FootnoteText"/>
      </w:pPr>
      <w:r>
        <w:rPr>
          <w:rStyle w:val="FootnoteReference"/>
        </w:rPr>
        <w:footnoteRef/>
      </w:r>
      <w:r>
        <w:t xml:space="preserve"> Translation note: Greek says put your father to shame and hands strengthened.</w:t>
      </w:r>
    </w:p>
  </w:footnote>
  <w:footnote w:id="6098">
    <w:p>
      <w:pPr>
        <w:pStyle w:val="FootnoteText"/>
      </w:pPr>
      <w:r>
        <w:rPr>
          <w:rStyle w:val="FootnoteReference"/>
        </w:rPr>
        <w:footnoteRef/>
      </w:r>
      <w:r>
        <w:t xml:space="preserve"> Cross-references for "went in": Num 25:6; 2Sam 12:11-12.</w:t>
      </w:r>
    </w:p>
  </w:footnote>
  <w:footnote w:id="6099">
    <w:p>
      <w:pPr>
        <w:pStyle w:val="FootnoteText"/>
      </w:pPr>
      <w:r>
        <w:rPr>
          <w:rStyle w:val="FootnoteReference"/>
        </w:rPr>
        <w:footnoteRef/>
      </w:r>
      <w:r>
        <w:t xml:space="preserve"> Cross-references for "as if": Num 27:21; 1Sam 30:8.</w:t>
      </w:r>
    </w:p>
  </w:footnote>
  <w:footnote w:id="6100">
    <w:p>
      <w:pPr>
        <w:pStyle w:val="FootnoteText"/>
      </w:pPr>
      <w:r>
        <w:rPr>
          <w:rStyle w:val="FootnoteReference"/>
        </w:rPr>
        <w:footnoteRef/>
      </w:r>
      <w:r>
        <w:t xml:space="preserve"> Cross-references for "weary": Deut 25:18; 2Sam 16:14.</w:t>
      </w:r>
    </w:p>
  </w:footnote>
  <w:footnote w:id="6101">
    <w:p>
      <w:pPr>
        <w:pStyle w:val="FootnoteText"/>
      </w:pPr>
      <w:r>
        <w:rPr>
          <w:rStyle w:val="FootnoteReference"/>
        </w:rPr>
        <w:footnoteRef/>
      </w:r>
      <w:r>
        <w:t xml:space="preserve"> Translation note: Greek has bride-return image here.</w:t>
      </w:r>
    </w:p>
  </w:footnote>
  <w:footnote w:id="6102">
    <w:p>
      <w:pPr>
        <w:pStyle w:val="FootnoteText"/>
      </w:pPr>
      <w:r>
        <w:rPr>
          <w:rStyle w:val="FootnoteReference"/>
        </w:rPr>
        <w:footnoteRef/>
      </w:r>
      <w:r>
        <w:t xml:space="preserve"> Cross-references for "saying": 2Sam 17:6.</w:t>
      </w:r>
    </w:p>
  </w:footnote>
  <w:footnote w:id="6103">
    <w:p>
      <w:pPr>
        <w:pStyle w:val="FootnoteText"/>
      </w:pPr>
      <w:r>
        <w:rPr>
          <w:rStyle w:val="FootnoteReference"/>
        </w:rPr>
        <w:footnoteRef/>
      </w:r>
      <w:r>
        <w:t xml:space="preserve"> Cross-references for "not good": Prov 31:8.</w:t>
      </w:r>
    </w:p>
  </w:footnote>
  <w:footnote w:id="6104">
    <w:p>
      <w:pPr>
        <w:pStyle w:val="FootnoteText"/>
      </w:pPr>
      <w:r>
        <w:rPr>
          <w:rStyle w:val="FootnoteReference"/>
        </w:rPr>
        <w:footnoteRef/>
      </w:r>
      <w:r>
        <w:t xml:space="preserve"> Translation note: Greek adds wild boar image here.</w:t>
      </w:r>
    </w:p>
  </w:footnote>
  <w:footnote w:id="6105">
    <w:p>
      <w:pPr>
        <w:pStyle w:val="FootnoteText"/>
      </w:pPr>
      <w:r>
        <w:rPr>
          <w:rStyle w:val="FootnoteReference"/>
        </w:rPr>
        <w:footnoteRef/>
      </w:r>
      <w:r>
        <w:t xml:space="preserve"> Translation note: Greek says hills or places here rather than pits. The translation keeps the Greek terrain wording.</w:t>
      </w:r>
    </w:p>
  </w:footnote>
  <w:footnote w:id="6106">
    <w:p>
      <w:pPr>
        <w:pStyle w:val="FootnoteText"/>
      </w:pPr>
      <w:r>
        <w:rPr>
          <w:rStyle w:val="FootnoteReference"/>
        </w:rPr>
        <w:footnoteRef/>
      </w:r>
      <w:r>
        <w:t xml:space="preserve"> Cross-references for "heart": 2Sam 1:23; 2Sam 23:20.</w:t>
      </w:r>
    </w:p>
  </w:footnote>
  <w:footnote w:id="6107">
    <w:p>
      <w:pPr>
        <w:pStyle w:val="FootnoteText"/>
      </w:pPr>
      <w:r>
        <w:rPr>
          <w:rStyle w:val="FootnoteReference"/>
        </w:rPr>
        <w:footnoteRef/>
      </w:r>
      <w:r>
        <w:t xml:space="preserve"> Cross-references for "all Israel": Judg 20:1; 2Sam 24:2.</w:t>
      </w:r>
    </w:p>
  </w:footnote>
  <w:footnote w:id="6108">
    <w:p>
      <w:pPr>
        <w:pStyle w:val="FootnoteText"/>
      </w:pPr>
      <w:r>
        <w:rPr>
          <w:rStyle w:val="FootnoteReference"/>
        </w:rPr>
        <w:footnoteRef/>
      </w:r>
      <w:r>
        <w:t xml:space="preserve"> Translation note: Greek differs slightly from smoother English traditions here.</w:t>
      </w:r>
    </w:p>
  </w:footnote>
  <w:footnote w:id="6109">
    <w:p>
      <w:pPr>
        <w:pStyle w:val="FootnoteText"/>
      </w:pPr>
      <w:r>
        <w:rPr>
          <w:rStyle w:val="FootnoteReference"/>
        </w:rPr>
        <w:footnoteRef/>
      </w:r>
      <w:r>
        <w:t xml:space="preserve"> Cross-references for "the Lord": Gen 32:28; Exod 9:16.</w:t>
      </w:r>
    </w:p>
  </w:footnote>
  <w:footnote w:id="6110">
    <w:p>
      <w:pPr>
        <w:pStyle w:val="FootnoteText"/>
      </w:pPr>
      <w:r>
        <w:rPr>
          <w:rStyle w:val="FootnoteReference"/>
        </w:rPr>
        <w:footnoteRef/>
      </w:r>
      <w:r>
        <w:t xml:space="preserve"> Translation note: Greek says counsel scattered.</w:t>
      </w:r>
    </w:p>
  </w:footnote>
  <w:footnote w:id="6111">
    <w:p>
      <w:pPr>
        <w:pStyle w:val="FootnoteText"/>
      </w:pPr>
      <w:r>
        <w:rPr>
          <w:rStyle w:val="FootnoteReference"/>
        </w:rPr>
        <w:footnoteRef/>
      </w:r>
      <w:r>
        <w:t xml:space="preserve"> Cross-references for "Zadok": 2Sam 15:35.</w:t>
      </w:r>
    </w:p>
  </w:footnote>
  <w:footnote w:id="6112">
    <w:p>
      <w:pPr>
        <w:pStyle w:val="FootnoteText"/>
      </w:pPr>
      <w:r>
        <w:rPr>
          <w:rStyle w:val="FootnoteReference"/>
        </w:rPr>
        <w:footnoteRef/>
      </w:r>
      <w:r>
        <w:t xml:space="preserve"> Name meaning: Sadok (Zadok) — Righteous. Priest whose line became central to temple priesthood.</w:t>
      </w:r>
    </w:p>
  </w:footnote>
  <w:footnote w:id="6113">
    <w:p>
      <w:pPr>
        <w:pStyle w:val="FootnoteText"/>
      </w:pPr>
      <w:r>
        <w:rPr>
          <w:rStyle w:val="FootnoteReference"/>
        </w:rPr>
        <w:footnoteRef/>
      </w:r>
      <w:r>
        <w:t xml:space="preserve"> Cross-references for "lodge": 2Sam 15:28.</w:t>
      </w:r>
    </w:p>
  </w:footnote>
  <w:footnote w:id="6114">
    <w:p>
      <w:pPr>
        <w:pStyle w:val="FootnoteText"/>
      </w:pPr>
      <w:r>
        <w:rPr>
          <w:rStyle w:val="FootnoteReference"/>
        </w:rPr>
        <w:footnoteRef/>
      </w:r>
      <w:r>
        <w:t xml:space="preserve"> Cross-references for "Jonathan": 2Sam 15:27; 2Sam 15:36.</w:t>
      </w:r>
    </w:p>
  </w:footnote>
  <w:footnote w:id="6115">
    <w:p>
      <w:pPr>
        <w:pStyle w:val="FootnoteText"/>
      </w:pPr>
      <w:r>
        <w:rPr>
          <w:rStyle w:val="FootnoteReference"/>
        </w:rPr>
        <w:footnoteRef/>
      </w:r>
      <w:r>
        <w:t xml:space="preserve"> Cross-references for "Bahurim": 2Sam 3:16; 2Sam 16:5.</w:t>
      </w:r>
    </w:p>
  </w:footnote>
  <w:footnote w:id="6116">
    <w:p>
      <w:pPr>
        <w:pStyle w:val="FootnoteText"/>
      </w:pPr>
      <w:r>
        <w:rPr>
          <w:rStyle w:val="FootnoteReference"/>
        </w:rPr>
        <w:footnoteRef/>
      </w:r>
      <w:r>
        <w:t xml:space="preserve"> Translation note: Greek says they passed a little beyond the water.</w:t>
      </w:r>
    </w:p>
  </w:footnote>
  <w:footnote w:id="6117">
    <w:p>
      <w:pPr>
        <w:pStyle w:val="FootnoteText"/>
      </w:pPr>
      <w:r>
        <w:rPr>
          <w:rStyle w:val="FootnoteReference"/>
        </w:rPr>
        <w:footnoteRef/>
      </w:r>
      <w:r>
        <w:t xml:space="preserve"> Translation note: Greek line matches current rendering closely here.</w:t>
      </w:r>
    </w:p>
  </w:footnote>
  <w:footnote w:id="6118">
    <w:p>
      <w:pPr>
        <w:pStyle w:val="FootnoteText"/>
      </w:pPr>
      <w:r>
        <w:rPr>
          <w:rStyle w:val="FootnoteReference"/>
        </w:rPr>
        <w:footnoteRef/>
      </w:r>
      <w:r>
        <w:t xml:space="preserve"> Translation note: Greek says his counsel had not been done and he gave orders to his house.</w:t>
      </w:r>
    </w:p>
  </w:footnote>
  <w:footnote w:id="6119">
    <w:p>
      <w:pPr>
        <w:pStyle w:val="FootnoteText"/>
      </w:pPr>
      <w:r>
        <w:rPr>
          <w:rStyle w:val="FootnoteReference"/>
        </w:rPr>
        <w:footnoteRef/>
      </w:r>
      <w:r>
        <w:t xml:space="preserve"> Cross-references for "and hanged": 1Sam 31:4-5; 2Sam 15:31.</w:t>
      </w:r>
    </w:p>
  </w:footnote>
  <w:footnote w:id="6120">
    <w:p>
      <w:pPr>
        <w:pStyle w:val="FootnoteText"/>
      </w:pPr>
      <w:r>
        <w:rPr>
          <w:rStyle w:val="FootnoteReference"/>
        </w:rPr>
        <w:footnoteRef/>
      </w:r>
      <w:r>
        <w:t xml:space="preserve"> Cross-references for "Mahanaim": Gen 32:2; Josh 13:26.</w:t>
      </w:r>
    </w:p>
  </w:footnote>
  <w:footnote w:id="6121">
    <w:p>
      <w:pPr>
        <w:pStyle w:val="FootnoteText"/>
      </w:pPr>
      <w:r>
        <w:rPr>
          <w:rStyle w:val="FootnoteReference"/>
        </w:rPr>
        <w:footnoteRef/>
      </w:r>
      <w:r>
        <w:t xml:space="preserve"> Personal name: Amasa. Personal-name meaning: Amasa — sparing the people. Source form: Amasa.</w:t>
      </w:r>
    </w:p>
  </w:footnote>
  <w:footnote w:id="6122">
    <w:p>
      <w:pPr>
        <w:pStyle w:val="FootnoteText"/>
      </w:pPr>
      <w:r>
        <w:rPr>
          <w:rStyle w:val="FootnoteReference"/>
        </w:rPr>
        <w:footnoteRef/>
      </w:r>
      <w:r>
        <w:t xml:space="preserve"> Personal name: Ithra. Personal-name meaning: Ithra — abundance; excellence. Source form: Ithra.</w:t>
      </w:r>
    </w:p>
  </w:footnote>
  <w:footnote w:id="6123">
    <w:p>
      <w:pPr>
        <w:pStyle w:val="FootnoteText"/>
      </w:pPr>
      <w:r>
        <w:rPr>
          <w:rStyle w:val="FootnoteReference"/>
        </w:rPr>
        <w:footnoteRef/>
      </w:r>
      <w:r>
        <w:t xml:space="preserve"> Cross-references for "Amasa": 2Sam 19:13; 2Sam 20:4.</w:t>
      </w:r>
    </w:p>
  </w:footnote>
  <w:footnote w:id="6124">
    <w:p>
      <w:pPr>
        <w:pStyle w:val="FootnoteText"/>
      </w:pPr>
      <w:r>
        <w:rPr>
          <w:rStyle w:val="FootnoteReference"/>
        </w:rPr>
        <w:footnoteRef/>
      </w:r>
      <w:r>
        <w:t xml:space="preserve"> Cross-references for "Machir": 2Sam 9:4.</w:t>
      </w:r>
    </w:p>
  </w:footnote>
  <w:footnote w:id="6125">
    <w:p>
      <w:pPr>
        <w:pStyle w:val="FootnoteText"/>
      </w:pPr>
      <w:r>
        <w:rPr>
          <w:rStyle w:val="FootnoteReference"/>
        </w:rPr>
        <w:footnoteRef/>
      </w:r>
      <w:r>
        <w:t xml:space="preserve"> Personal name: Barzillai. Personal-name meaning: Barzillai — son of contempt; made of iron. Source form: Barzillai.</w:t>
      </w:r>
    </w:p>
  </w:footnote>
  <w:footnote w:id="6126">
    <w:p>
      <w:pPr>
        <w:pStyle w:val="FootnoteText"/>
      </w:pPr>
      <w:r>
        <w:rPr>
          <w:rStyle w:val="FootnoteReference"/>
        </w:rPr>
        <w:footnoteRef/>
      </w:r>
      <w:r>
        <w:t xml:space="preserve"> Place name: Rogelim. Place-name meaning: Rogelim — a foot or footman. Source form: Rogelim. Greek form: ρωγελλιμ.</w:t>
      </w:r>
    </w:p>
  </w:footnote>
  <w:footnote w:id="6127">
    <w:p>
      <w:pPr>
        <w:pStyle w:val="FootnoteText"/>
      </w:pPr>
      <w:r>
        <w:rPr>
          <w:rStyle w:val="FootnoteReference"/>
        </w:rPr>
        <w:footnoteRef/>
      </w:r>
      <w:r>
        <w:t xml:space="preserve"> Cross-references for "beds": 1Sam 25:18; 2Sam 16:1-2.</w:t>
      </w:r>
    </w:p>
  </w:footnote>
  <w:footnote w:id="6128">
    <w:p>
      <w:pPr>
        <w:pStyle w:val="FootnoteText"/>
      </w:pPr>
      <w:r>
        <w:rPr>
          <w:rStyle w:val="FootnoteReference"/>
        </w:rPr>
        <w:footnoteRef/>
      </w:r>
      <w:r>
        <w:t xml:space="preserve"> Cross-references for "to eat": 2Sam 17:2; Ps 34:8-10.</w:t>
      </w:r>
    </w:p>
  </w:footnote>
  <w:footnote w:id="6129">
    <w:p>
      <w:pPr>
        <w:pStyle w:val="FootnoteText"/>
      </w:pPr>
      <w:r>
        <w:rPr>
          <w:rStyle w:val="FootnoteReference"/>
        </w:rPr>
        <w:footnoteRef/>
      </w:r>
      <w:r>
        <w:t xml:space="preserve"> Cross-references for "the hand of Joab": 2Sam 10:7-10.</w:t>
      </w:r>
    </w:p>
  </w:footnote>
  <w:footnote w:id="6130">
    <w:p>
      <w:pPr>
        <w:pStyle w:val="FootnoteText"/>
      </w:pPr>
      <w:r>
        <w:rPr>
          <w:rStyle w:val="FootnoteReference"/>
        </w:rPr>
        <w:footnoteRef/>
      </w:r>
      <w:r>
        <w:t xml:space="preserve"> Translation note: Greek keeps doubled go-out wording.</w:t>
      </w:r>
    </w:p>
  </w:footnote>
  <w:footnote w:id="6131">
    <w:p>
      <w:pPr>
        <w:pStyle w:val="FootnoteText"/>
      </w:pPr>
      <w:r>
        <w:rPr>
          <w:rStyle w:val="FootnoteReference"/>
        </w:rPr>
        <w:footnoteRef/>
      </w:r>
      <w:r>
        <w:t xml:space="preserve"> Cross-references for "if we flee": 2Sam 17:2; 1Kgs 22:31.</w:t>
      </w:r>
    </w:p>
  </w:footnote>
  <w:footnote w:id="6132">
    <w:p>
      <w:pPr>
        <w:pStyle w:val="FootnoteText"/>
      </w:pPr>
      <w:r>
        <w:rPr>
          <w:rStyle w:val="FootnoteReference"/>
        </w:rPr>
        <w:footnoteRef/>
      </w:r>
      <w:r>
        <w:t xml:space="preserve"> Translation note: Greek says they will not set heart on us.</w:t>
      </w:r>
    </w:p>
  </w:footnote>
  <w:footnote w:id="6133">
    <w:p>
      <w:pPr>
        <w:pStyle w:val="FootnoteText"/>
      </w:pPr>
      <w:r>
        <w:rPr>
          <w:rStyle w:val="FootnoteReference"/>
        </w:rPr>
        <w:footnoteRef/>
      </w:r>
      <w:r>
        <w:t xml:space="preserve"> Cross-references for "by hundreds": 1Sam 29:2; 2Sam 18:1.</w:t>
      </w:r>
    </w:p>
  </w:footnote>
  <w:footnote w:id="6134">
    <w:p>
      <w:pPr>
        <w:pStyle w:val="FootnoteText"/>
      </w:pPr>
      <w:r>
        <w:rPr>
          <w:rStyle w:val="FootnoteReference"/>
        </w:rPr>
        <w:footnoteRef/>
      </w:r>
      <w:r>
        <w:t xml:space="preserve"> Translation note: Greek keeps direct spare wording here.</w:t>
      </w:r>
    </w:p>
  </w:footnote>
  <w:footnote w:id="6135">
    <w:p>
      <w:pPr>
        <w:pStyle w:val="FootnoteText"/>
      </w:pPr>
      <w:r>
        <w:rPr>
          <w:rStyle w:val="FootnoteReference"/>
        </w:rPr>
        <w:footnoteRef/>
      </w:r>
      <w:r>
        <w:t xml:space="preserve"> Cross-references for "all the people": 2Sam 18:12.</w:t>
      </w:r>
    </w:p>
  </w:footnote>
  <w:footnote w:id="6136">
    <w:p>
      <w:pPr>
        <w:pStyle w:val="FootnoteText"/>
      </w:pPr>
      <w:r>
        <w:rPr>
          <w:rStyle w:val="FootnoteReference"/>
        </w:rPr>
        <w:footnoteRef/>
      </w:r>
      <w:r>
        <w:t xml:space="preserve"> Cross-references for "twenty thousand men": 2Sam 2:26; 2Sam 2:31.</w:t>
      </w:r>
    </w:p>
  </w:footnote>
  <w:footnote w:id="6137">
    <w:p>
      <w:pPr>
        <w:pStyle w:val="FootnoteText"/>
      </w:pPr>
      <w:r>
        <w:rPr>
          <w:rStyle w:val="FootnoteReference"/>
        </w:rPr>
        <w:footnoteRef/>
      </w:r>
      <w:r>
        <w:t xml:space="preserve"> Cross-references for "his head": 2Sam 14:26; 2Sam 17:23.</w:t>
      </w:r>
    </w:p>
  </w:footnote>
  <w:footnote w:id="6138">
    <w:p>
      <w:pPr>
        <w:pStyle w:val="FootnoteText"/>
      </w:pPr>
      <w:r>
        <w:rPr>
          <w:rStyle w:val="FootnoteReference"/>
        </w:rPr>
        <w:footnoteRef/>
      </w:r>
      <w:r>
        <w:t xml:space="preserve"> Translation note: Greek keeps the silver-shekel refusal line here.</w:t>
      </w:r>
    </w:p>
  </w:footnote>
  <w:footnote w:id="6139">
    <w:p>
      <w:pPr>
        <w:pStyle w:val="FootnoteText"/>
      </w:pPr>
      <w:r>
        <w:rPr>
          <w:rStyle w:val="FootnoteReference"/>
        </w:rPr>
        <w:footnoteRef/>
      </w:r>
      <w:r>
        <w:t xml:space="preserve"> Cross-references for "in our hearing": 2Sam 18:5.</w:t>
      </w:r>
    </w:p>
  </w:footnote>
  <w:footnote w:id="6140">
    <w:p>
      <w:pPr>
        <w:pStyle w:val="FootnoteText"/>
      </w:pPr>
      <w:r>
        <w:rPr>
          <w:rStyle w:val="FootnoteReference"/>
        </w:rPr>
        <w:footnoteRef/>
      </w:r>
      <w:r>
        <w:t xml:space="preserve"> Cross-references for "the King's": Gen 14:17.</w:t>
      </w:r>
    </w:p>
  </w:footnote>
  <w:footnote w:id="6141">
    <w:p>
      <w:pPr>
        <w:pStyle w:val="FootnoteText"/>
      </w:pPr>
      <w:r>
        <w:rPr>
          <w:rStyle w:val="FootnoteReference"/>
        </w:rPr>
        <w:footnoteRef/>
      </w:r>
      <w:r>
        <w:t xml:space="preserve"> Cross-references for "Ahimaaz": 2Sam 15:36; 2Sam 17:17.</w:t>
      </w:r>
    </w:p>
  </w:footnote>
  <w:footnote w:id="6142">
    <w:p>
      <w:pPr>
        <w:pStyle w:val="FootnoteText"/>
      </w:pPr>
      <w:r>
        <w:rPr>
          <w:rStyle w:val="FootnoteReference"/>
        </w:rPr>
        <w:footnoteRef/>
      </w:r>
      <w:r>
        <w:t xml:space="preserve"> Translation note: Greek states the restriction with the bearer-of-good-news line directly. Current wording preserves that wording.</w:t>
      </w:r>
    </w:p>
  </w:footnote>
  <w:footnote w:id="6143">
    <w:p>
      <w:pPr>
        <w:pStyle w:val="FootnoteText"/>
      </w:pPr>
      <w:r>
        <w:rPr>
          <w:rStyle w:val="FootnoteReference"/>
        </w:rPr>
        <w:footnoteRef/>
      </w:r>
      <w:r>
        <w:t xml:space="preserve"> Cross-references for "between": 1Sam 4:13; 2Sam 18:4.</w:t>
      </w:r>
    </w:p>
  </w:footnote>
  <w:footnote w:id="6144">
    <w:p>
      <w:pPr>
        <w:pStyle w:val="FootnoteText"/>
      </w:pPr>
      <w:r>
        <w:rPr>
          <w:rStyle w:val="FootnoteReference"/>
        </w:rPr>
        <w:footnoteRef/>
      </w:r>
      <w:r>
        <w:t xml:space="preserve"> Cross-references for "He is a good": 1Kgs 1:42; Prov 25:13.</w:t>
      </w:r>
    </w:p>
  </w:footnote>
  <w:footnote w:id="6145">
    <w:p>
      <w:pPr>
        <w:pStyle w:val="FootnoteText"/>
      </w:pPr>
      <w:r>
        <w:rPr>
          <w:rStyle w:val="FootnoteReference"/>
        </w:rPr>
        <w:footnoteRef/>
      </w:r>
      <w:r>
        <w:t xml:space="preserve"> Cross-references for "Blessed": Gen 14:20; Gen 24:27.</w:t>
      </w:r>
    </w:p>
  </w:footnote>
  <w:footnote w:id="6146">
    <w:p>
      <w:pPr>
        <w:pStyle w:val="FootnoteText"/>
      </w:pPr>
      <w:r>
        <w:rPr>
          <w:rStyle w:val="FootnoteReference"/>
        </w:rPr>
        <w:footnoteRef/>
      </w:r>
      <w:r>
        <w:t xml:space="preserve"> Translation note: Greek says shut up the men here. Current line keeps that wording.</w:t>
      </w:r>
    </w:p>
  </w:footnote>
  <w:footnote w:id="6147">
    <w:p>
      <w:pPr>
        <w:pStyle w:val="FootnoteText"/>
      </w:pPr>
      <w:r>
        <w:rPr>
          <w:rStyle w:val="FootnoteReference"/>
        </w:rPr>
        <w:footnoteRef/>
      </w:r>
      <w:r>
        <w:t xml:space="preserve"> Cross-references for "the Lord": Deut 32:35-36; 2Sam 18:19.</w:t>
      </w:r>
    </w:p>
  </w:footnote>
  <w:footnote w:id="6148">
    <w:p>
      <w:pPr>
        <w:pStyle w:val="FootnoteText"/>
      </w:pPr>
      <w:r>
        <w:rPr>
          <w:rStyle w:val="FootnoteReference"/>
        </w:rPr>
        <w:footnoteRef/>
      </w:r>
      <w:r>
        <w:t xml:space="preserve"> Cross-references for "the enemies": Judg 5:31; Ps 68:1-2.</w:t>
      </w:r>
    </w:p>
  </w:footnote>
  <w:footnote w:id="6149">
    <w:p>
      <w:pPr>
        <w:pStyle w:val="FootnoteText"/>
      </w:pPr>
      <w:r>
        <w:rPr>
          <w:rStyle w:val="FootnoteReference"/>
        </w:rPr>
        <w:footnoteRef/>
      </w:r>
      <w:r>
        <w:t xml:space="preserve"> Translation note: Greek says was troubled here. Current line keeps that wording.</w:t>
      </w:r>
    </w:p>
  </w:footnote>
  <w:footnote w:id="6150">
    <w:p>
      <w:pPr>
        <w:pStyle w:val="FootnoteText"/>
      </w:pPr>
      <w:r>
        <w:rPr>
          <w:rStyle w:val="FootnoteReference"/>
        </w:rPr>
        <w:footnoteRef/>
      </w:r>
      <w:r>
        <w:t xml:space="preserve"> Translation note: Greek says slipping here. Current line keeps that wording.</w:t>
      </w:r>
    </w:p>
  </w:footnote>
  <w:footnote w:id="6151">
    <w:p>
      <w:pPr>
        <w:pStyle w:val="FootnoteText"/>
      </w:pPr>
      <w:r>
        <w:rPr>
          <w:rStyle w:val="FootnoteReference"/>
        </w:rPr>
        <w:footnoteRef/>
      </w:r>
      <w:r>
        <w:t xml:space="preserve"> Translation note: Greek row here contains David's lament clause.</w:t>
      </w:r>
    </w:p>
  </w:footnote>
  <w:footnote w:id="6152">
    <w:p>
      <w:pPr>
        <w:pStyle w:val="FootnoteText"/>
      </w:pPr>
      <w:r>
        <w:rPr>
          <w:rStyle w:val="FootnoteReference"/>
        </w:rPr>
        <w:footnoteRef/>
      </w:r>
      <w:r>
        <w:t xml:space="preserve"> Translation note: Greek gives Joab's rebuke here as shame of servants rescuing king.</w:t>
      </w:r>
    </w:p>
  </w:footnote>
  <w:footnote w:id="6153">
    <w:p>
      <w:pPr>
        <w:pStyle w:val="FootnoteText"/>
      </w:pPr>
      <w:r>
        <w:rPr>
          <w:rStyle w:val="FootnoteReference"/>
        </w:rPr>
        <w:footnoteRef/>
      </w:r>
      <w:r>
        <w:t xml:space="preserve"> MT/LXX note: LXX here keeps Joab's accusation line without the MT comfort speech.</w:t>
      </w:r>
    </w:p>
  </w:footnote>
  <w:footnote w:id="6154">
    <w:p>
      <w:pPr>
        <w:pStyle w:val="FootnoteText"/>
      </w:pPr>
      <w:r>
        <w:rPr>
          <w:rStyle w:val="FootnoteReference"/>
        </w:rPr>
        <w:footnoteRef/>
      </w:r>
      <w:r>
        <w:t xml:space="preserve"> Translation note: Greek says lodge here. Current line keeps that wording.</w:t>
      </w:r>
    </w:p>
  </w:footnote>
  <w:footnote w:id="6155">
    <w:p>
      <w:pPr>
        <w:pStyle w:val="FootnoteText"/>
      </w:pPr>
      <w:r>
        <w:rPr>
          <w:rStyle w:val="FootnoteReference"/>
        </w:rPr>
        <w:footnoteRef/>
      </w:r>
      <w:r>
        <w:t xml:space="preserve"> Translation note: Greek row here contains gate scene plus Israel fled.</w:t>
      </w:r>
    </w:p>
  </w:footnote>
  <w:footnote w:id="6156">
    <w:p>
      <w:pPr>
        <w:pStyle w:val="FootnoteText"/>
      </w:pPr>
      <w:r>
        <w:rPr>
          <w:rStyle w:val="FootnoteReference"/>
        </w:rPr>
        <w:footnoteRef/>
      </w:r>
      <w:r>
        <w:t xml:space="preserve"> MT/LXX note: The Septuagint line differs from the Masoretic Absalom-focused wording and is translated as written. The Greek stresses that David has fled from both land and kingdom.</w:t>
      </w:r>
    </w:p>
  </w:footnote>
  <w:footnote w:id="6157">
    <w:p>
      <w:pPr>
        <w:pStyle w:val="FootnoteText"/>
      </w:pPr>
      <w:r>
        <w:rPr>
          <w:rStyle w:val="FootnoteReference"/>
        </w:rPr>
        <w:footnoteRef/>
      </w:r>
      <w:r>
        <w:t xml:space="preserve"> Cross-references for "why are": Matt 5:16; 2Thess 3:9.</w:t>
      </w:r>
    </w:p>
  </w:footnote>
  <w:footnote w:id="6158">
    <w:p>
      <w:pPr>
        <w:pStyle w:val="FootnoteText"/>
      </w:pPr>
      <w:r>
        <w:rPr>
          <w:rStyle w:val="FootnoteReference"/>
        </w:rPr>
        <w:footnoteRef/>
      </w:r>
      <w:r>
        <w:t xml:space="preserve"> Translation note: LXX includes this appeal line here.</w:t>
      </w:r>
    </w:p>
  </w:footnote>
  <w:footnote w:id="6159">
    <w:p>
      <w:pPr>
        <w:pStyle w:val="FootnoteText"/>
      </w:pPr>
      <w:r>
        <w:rPr>
          <w:rStyle w:val="FootnoteReference"/>
        </w:rPr>
        <w:footnoteRef/>
      </w:r>
      <w:r>
        <w:t xml:space="preserve"> Translation note: Greek says thus may he add here. Current line keeps that oath form.</w:t>
      </w:r>
    </w:p>
  </w:footnote>
  <w:footnote w:id="6160">
    <w:p>
      <w:pPr>
        <w:pStyle w:val="FootnoteText"/>
      </w:pPr>
      <w:r>
        <w:rPr>
          <w:rStyle w:val="FootnoteReference"/>
        </w:rPr>
        <w:footnoteRef/>
      </w:r>
      <w:r>
        <w:t xml:space="preserve"> Translation note: Greek uses the familiar idiom of inclining the heart. The translation keeps that phrase close.</w:t>
      </w:r>
    </w:p>
  </w:footnote>
  <w:footnote w:id="6161">
    <w:p>
      <w:pPr>
        <w:pStyle w:val="FootnoteText"/>
      </w:pPr>
      <w:r>
        <w:rPr>
          <w:rStyle w:val="FootnoteReference"/>
        </w:rPr>
        <w:footnoteRef/>
      </w:r>
      <w:r>
        <w:t xml:space="preserve"> Translation note: Greek says made straight for Jordan here. Current line keeps that wording.</w:t>
      </w:r>
    </w:p>
  </w:footnote>
  <w:footnote w:id="6162">
    <w:p>
      <w:pPr>
        <w:pStyle w:val="FootnoteText"/>
      </w:pPr>
      <w:r>
        <w:rPr>
          <w:rStyle w:val="FootnoteReference"/>
        </w:rPr>
        <w:footnoteRef/>
      </w:r>
      <w:r>
        <w:t xml:space="preserve"> Translation note: LXX here has a different Jordan crossing scene before Shimei falls on his face.</w:t>
      </w:r>
    </w:p>
  </w:footnote>
  <w:footnote w:id="6163">
    <w:p>
      <w:pPr>
        <w:pStyle w:val="FootnoteText"/>
      </w:pPr>
      <w:r>
        <w:rPr>
          <w:rStyle w:val="FootnoteReference"/>
        </w:rPr>
        <w:footnoteRef/>
      </w:r>
      <w:r>
        <w:t xml:space="preserve"> MT/LXX note: The Septuagint places Shimei's plea here rather than the Masoretic confession line. The translation follows the Greek content.</w:t>
      </w:r>
    </w:p>
  </w:footnote>
  <w:footnote w:id="6164">
    <w:p>
      <w:pPr>
        <w:pStyle w:val="FootnoteText"/>
      </w:pPr>
      <w:r>
        <w:rPr>
          <w:rStyle w:val="FootnoteReference"/>
        </w:rPr>
        <w:footnoteRef/>
      </w:r>
      <w:r>
        <w:t xml:space="preserve"> Translation note: LXX here gives Abessa's death-demand line instead of David's reply.</w:t>
      </w:r>
    </w:p>
  </w:footnote>
  <w:footnote w:id="6165">
    <w:p>
      <w:pPr>
        <w:pStyle w:val="FootnoteText"/>
      </w:pPr>
      <w:r>
        <w:rPr>
          <w:rStyle w:val="FootnoteReference"/>
        </w:rPr>
        <w:footnoteRef/>
      </w:r>
      <w:r>
        <w:t xml:space="preserve"> Translation note: Greek says enemy here. Current line keeps that wording.</w:t>
      </w:r>
    </w:p>
  </w:footnote>
  <w:footnote w:id="6166">
    <w:p>
      <w:pPr>
        <w:pStyle w:val="FootnoteText"/>
      </w:pPr>
      <w:r>
        <w:rPr>
          <w:rStyle w:val="FootnoteReference"/>
        </w:rPr>
        <w:footnoteRef/>
      </w:r>
      <w:r>
        <w:t xml:space="preserve"> Translation note: Greek keeps concrete mourning-neglect details.</w:t>
      </w:r>
    </w:p>
  </w:footnote>
  <w:footnote w:id="6167">
    <w:p>
      <w:pPr>
        <w:pStyle w:val="FootnoteText"/>
      </w:pPr>
      <w:r>
        <w:rPr>
          <w:rStyle w:val="FootnoteReference"/>
        </w:rPr>
        <w:footnoteRef/>
      </w:r>
      <w:r>
        <w:t xml:space="preserve"> Translation note: Greek says like an angel of God.</w:t>
      </w:r>
    </w:p>
  </w:footnote>
  <w:footnote w:id="6168">
    <w:p>
      <w:pPr>
        <w:pStyle w:val="FootnoteText"/>
      </w:pPr>
      <w:r>
        <w:rPr>
          <w:rStyle w:val="FootnoteReference"/>
        </w:rPr>
        <w:footnoteRef/>
      </w:r>
      <w:r>
        <w:t xml:space="preserve"> Translation note: Greek says field rather than the broader land. The fresh line keeps the narrower noun.</w:t>
      </w:r>
    </w:p>
  </w:footnote>
  <w:footnote w:id="6169">
    <w:p>
      <w:pPr>
        <w:pStyle w:val="FootnoteText"/>
      </w:pPr>
      <w:r>
        <w:rPr>
          <w:rStyle w:val="FootnoteReference"/>
        </w:rPr>
        <w:footnoteRef/>
      </w:r>
      <w:r>
        <w:t xml:space="preserve"> MT/LXX note: The Septuagint places the travel scene here rather than the Masoretic background notice. The translation follows the Greek content.</w:t>
      </w:r>
    </w:p>
  </w:footnote>
  <w:footnote w:id="6170">
    <w:p>
      <w:pPr>
        <w:pStyle w:val="FootnoteText"/>
      </w:pPr>
      <w:r>
        <w:rPr>
          <w:rStyle w:val="FootnoteReference"/>
        </w:rPr>
        <w:footnoteRef/>
      </w:r>
      <w:r>
        <w:t xml:space="preserve"> Translation note: Greek uses an age idiom literally meaning a son of eighty years. The translation keeps that idiom relatively visible.</w:t>
      </w:r>
    </w:p>
  </w:footnote>
  <w:footnote w:id="6171">
    <w:p>
      <w:pPr>
        <w:pStyle w:val="FootnoteText"/>
      </w:pPr>
      <w:r>
        <w:rPr>
          <w:rStyle w:val="FootnoteReference"/>
        </w:rPr>
        <w:footnoteRef/>
      </w:r>
      <w:r>
        <w:t xml:space="preserve"> Translation note: Greek says How many are days of years of my life?</w:t>
      </w:r>
    </w:p>
  </w:footnote>
  <w:footnote w:id="6172">
    <w:p>
      <w:pPr>
        <w:pStyle w:val="FootnoteText"/>
      </w:pPr>
      <w:r>
        <w:rPr>
          <w:rStyle w:val="FootnoteReference"/>
        </w:rPr>
        <w:footnoteRef/>
      </w:r>
      <w:r>
        <w:t xml:space="preserve"> MT/LXX note: The Septuagint places Barzillai's age-and-weakness speech here rather than the Masoretic shorter travel line. The translation follows the Greek content.</w:t>
      </w:r>
    </w:p>
  </w:footnote>
  <w:footnote w:id="6173">
    <w:p>
      <w:pPr>
        <w:pStyle w:val="FootnoteText"/>
      </w:pPr>
      <w:r>
        <w:rPr>
          <w:rStyle w:val="FootnoteReference"/>
        </w:rPr>
        <w:footnoteRef/>
      </w:r>
      <w:r>
        <w:t xml:space="preserve"> Translation note: Greek says your servant will cross a little way with the king.</w:t>
      </w:r>
    </w:p>
  </w:footnote>
  <w:footnote w:id="6174">
    <w:p>
      <w:pPr>
        <w:pStyle w:val="FootnoteText"/>
      </w:pPr>
      <w:r>
        <w:rPr>
          <w:rStyle w:val="FootnoteReference"/>
        </w:rPr>
        <w:footnoteRef/>
      </w:r>
      <w:r>
        <w:t xml:space="preserve"> Personal name: Chimham. Personal-name meaning: Chimham — as they; like to them. Source form: Chimham.</w:t>
      </w:r>
    </w:p>
  </w:footnote>
  <w:footnote w:id="6175">
    <w:p>
      <w:pPr>
        <w:pStyle w:val="FootnoteText"/>
      </w:pPr>
      <w:r>
        <w:rPr>
          <w:rStyle w:val="FootnoteReference"/>
        </w:rPr>
        <w:footnoteRef/>
      </w:r>
      <w:r>
        <w:t xml:space="preserve"> MT/LXX note: The Septuagint places Barzillai's request here rather than the Masoretic royal reply. The translation follows the Greek content.</w:t>
      </w:r>
    </w:p>
  </w:footnote>
  <w:footnote w:id="6176">
    <w:p>
      <w:pPr>
        <w:pStyle w:val="FootnoteText"/>
      </w:pPr>
      <w:r>
        <w:rPr>
          <w:rStyle w:val="FootnoteReference"/>
        </w:rPr>
        <w:footnoteRef/>
      </w:r>
      <w:r>
        <w:t xml:space="preserve"> MT/LXX note: The Septuagint places the Chimham line here rather than the Masoretic farewell notice. The translation follows the Greek content.</w:t>
      </w:r>
    </w:p>
  </w:footnote>
  <w:footnote w:id="6177">
    <w:p>
      <w:pPr>
        <w:pStyle w:val="FootnoteText"/>
      </w:pPr>
      <w:r>
        <w:rPr>
          <w:rStyle w:val="FootnoteReference"/>
        </w:rPr>
        <w:footnoteRef/>
      </w:r>
      <w:r>
        <w:t xml:space="preserve"> Cross-references for "all the people": Gen 49:10; 2Sam 19:11-15.</w:t>
      </w:r>
    </w:p>
  </w:footnote>
  <w:footnote w:id="6178">
    <w:p>
      <w:pPr>
        <w:pStyle w:val="FootnoteText"/>
      </w:pPr>
      <w:r>
        <w:rPr>
          <w:rStyle w:val="FootnoteReference"/>
        </w:rPr>
        <w:footnoteRef/>
      </w:r>
      <w:r>
        <w:t xml:space="preserve"> Translation note: Greek verse numbering here carries crossing scene.</w:t>
      </w:r>
    </w:p>
  </w:footnote>
  <w:footnote w:id="6179">
    <w:p>
      <w:pPr>
        <w:pStyle w:val="FootnoteText"/>
      </w:pPr>
      <w:r>
        <w:rPr>
          <w:rStyle w:val="FootnoteReference"/>
        </w:rPr>
        <w:footnoteRef/>
      </w:r>
      <w:r>
        <w:t xml:space="preserve"> Translation note: Greek says men of Iouda steal you away.</w:t>
      </w:r>
    </w:p>
  </w:footnote>
  <w:footnote w:id="6180">
    <w:p>
      <w:pPr>
        <w:pStyle w:val="FootnoteText"/>
      </w:pPr>
      <w:r>
        <w:rPr>
          <w:rStyle w:val="FootnoteReference"/>
        </w:rPr>
        <w:footnoteRef/>
      </w:r>
      <w:r>
        <w:t xml:space="preserve"> Translation note: Greek says did we eat by eating from the king.</w:t>
      </w:r>
    </w:p>
  </w:footnote>
  <w:footnote w:id="6181">
    <w:p>
      <w:pPr>
        <w:pStyle w:val="FootnoteText"/>
      </w:pPr>
      <w:r>
        <w:rPr>
          <w:rStyle w:val="FootnoteReference"/>
        </w:rPr>
        <w:footnoteRef/>
      </w:r>
      <w:r>
        <w:t xml:space="preserve"> Cross-references for "And there": 2Sam 19:41-43; Ps 34:19.</w:t>
      </w:r>
    </w:p>
  </w:footnote>
  <w:footnote w:id="6182">
    <w:p>
      <w:pPr>
        <w:pStyle w:val="FootnoteText"/>
      </w:pPr>
      <w:r>
        <w:rPr>
          <w:rStyle w:val="FootnoteReference"/>
        </w:rPr>
        <w:footnoteRef/>
      </w:r>
      <w:r>
        <w:t xml:space="preserve"> Translation note: Greek uses a moral descriptor instead of the Hebrew idiom son of Belial. The translation keeps the Septuagint's wording.</w:t>
      </w:r>
    </w:p>
  </w:footnote>
  <w:footnote w:id="6183">
    <w:p>
      <w:pPr>
        <w:pStyle w:val="FootnoteText"/>
      </w:pPr>
      <w:r>
        <w:rPr>
          <w:rStyle w:val="FootnoteReference"/>
        </w:rPr>
        <w:footnoteRef/>
      </w:r>
      <w:r>
        <w:t xml:space="preserve"> Personal name: Bichri. Personal-name meaning: Bichri — first-born; first fruits. Source form: Bichri.</w:t>
      </w:r>
    </w:p>
  </w:footnote>
  <w:footnote w:id="6184">
    <w:p>
      <w:pPr>
        <w:pStyle w:val="FootnoteText"/>
      </w:pPr>
      <w:r>
        <w:rPr>
          <w:rStyle w:val="FootnoteReference"/>
        </w:rPr>
        <w:footnoteRef/>
      </w:r>
      <w:r>
        <w:t xml:space="preserve"> Cross-references for "every man": 2Sam 19:41; Ps 62:9.</w:t>
      </w:r>
    </w:p>
  </w:footnote>
  <w:footnote w:id="6185">
    <w:p>
      <w:pPr>
        <w:pStyle w:val="FootnoteText"/>
      </w:pPr>
      <w:r>
        <w:rPr>
          <w:rStyle w:val="FootnoteReference"/>
        </w:rPr>
        <w:footnoteRef/>
      </w:r>
      <w:r>
        <w:t xml:space="preserve"> Cross-references for "ten women": 2Sam 15:16; 2Sam 16:21-22.</w:t>
      </w:r>
    </w:p>
  </w:footnote>
  <w:footnote w:id="6186">
    <w:p>
      <w:pPr>
        <w:pStyle w:val="FootnoteText"/>
      </w:pPr>
      <w:r>
        <w:rPr>
          <w:rStyle w:val="FootnoteReference"/>
        </w:rPr>
        <w:footnoteRef/>
      </w:r>
      <w:r>
        <w:t xml:space="preserve"> Translation note: Greek gives the fuller custody line here. The translation follows that fuller form.</w:t>
      </w:r>
    </w:p>
  </w:footnote>
  <w:footnote w:id="6187">
    <w:p>
      <w:pPr>
        <w:pStyle w:val="FootnoteText"/>
      </w:pPr>
      <w:r>
        <w:rPr>
          <w:rStyle w:val="FootnoteReference"/>
        </w:rPr>
        <w:footnoteRef/>
      </w:r>
      <w:r>
        <w:t xml:space="preserve"> Cross-references for "Amasa": 2Sam 17:25; 2Sam 19:13.</w:t>
      </w:r>
    </w:p>
  </w:footnote>
  <w:footnote w:id="6188">
    <w:p>
      <w:pPr>
        <w:pStyle w:val="FootnoteText"/>
      </w:pPr>
      <w:r>
        <w:rPr>
          <w:rStyle w:val="FootnoteReference"/>
        </w:rPr>
        <w:footnoteRef/>
      </w:r>
      <w:r>
        <w:t xml:space="preserve"> Cross-references for "Abishai": 1Sam 26:6; 2Sam 2:18.</w:t>
      </w:r>
    </w:p>
  </w:footnote>
  <w:footnote w:id="6189">
    <w:p>
      <w:pPr>
        <w:pStyle w:val="FootnoteText"/>
      </w:pPr>
      <w:r>
        <w:rPr>
          <w:rStyle w:val="FootnoteReference"/>
        </w:rPr>
        <w:footnoteRef/>
      </w:r>
      <w:r>
        <w:t xml:space="preserve"> Translation note: Greek ends with an eyes-warning line. Current wording preserves the sense in standard English.</w:t>
      </w:r>
    </w:p>
  </w:footnote>
  <w:footnote w:id="6190">
    <w:p>
      <w:pPr>
        <w:pStyle w:val="FootnoteText"/>
      </w:pPr>
      <w:r>
        <w:rPr>
          <w:rStyle w:val="FootnoteReference"/>
        </w:rPr>
        <w:footnoteRef/>
      </w:r>
      <w:r>
        <w:t xml:space="preserve"> People-name: Cherethite. People-name meaning: Cherethites — who cut or tear away. Standard English equivalent: Cherethites. Source form: Cherethite.</w:t>
      </w:r>
    </w:p>
  </w:footnote>
  <w:footnote w:id="6191">
    <w:p>
      <w:pPr>
        <w:pStyle w:val="FootnoteText"/>
      </w:pPr>
      <w:r>
        <w:rPr>
          <w:rStyle w:val="FootnoteReference"/>
        </w:rPr>
        <w:footnoteRef/>
      </w:r>
      <w:r>
        <w:t xml:space="preserve"> Cross-references for "in Gibeon": 2Sam 2:13; 2Sam 3:30.</w:t>
      </w:r>
    </w:p>
  </w:footnote>
  <w:footnote w:id="6192">
    <w:p>
      <w:pPr>
        <w:pStyle w:val="FootnoteText"/>
      </w:pPr>
      <w:r>
        <w:rPr>
          <w:rStyle w:val="FootnoteReference"/>
        </w:rPr>
        <w:footnoteRef/>
      </w:r>
      <w:r>
        <w:t xml:space="preserve"> Translation note: Greek says the sword came out and fell.</w:t>
      </w:r>
    </w:p>
  </w:footnote>
  <w:footnote w:id="6193">
    <w:p>
      <w:pPr>
        <w:pStyle w:val="FootnoteText"/>
      </w:pPr>
      <w:r>
        <w:rPr>
          <w:rStyle w:val="FootnoteReference"/>
        </w:rPr>
        <w:footnoteRef/>
      </w:r>
      <w:r>
        <w:t xml:space="preserve"> Cross-references for "to kiss him": Matt 26:48-49; Luke 22:47-48.</w:t>
      </w:r>
    </w:p>
  </w:footnote>
  <w:footnote w:id="6194">
    <w:p>
      <w:pPr>
        <w:pStyle w:val="FootnoteText"/>
      </w:pPr>
      <w:r>
        <w:rPr>
          <w:rStyle w:val="FootnoteReference"/>
        </w:rPr>
        <w:footnoteRef/>
      </w:r>
      <w:r>
        <w:t xml:space="preserve"> Translation note: Greek says struck him in the psoa or belly-flank area.</w:t>
      </w:r>
    </w:p>
  </w:footnote>
  <w:footnote w:id="6195">
    <w:p>
      <w:pPr>
        <w:pStyle w:val="FootnoteText"/>
      </w:pPr>
      <w:r>
        <w:rPr>
          <w:rStyle w:val="FootnoteReference"/>
        </w:rPr>
        <w:footnoteRef/>
      </w:r>
      <w:r>
        <w:t xml:space="preserve"> Translation note: Greek says threw garment over him.</w:t>
      </w:r>
    </w:p>
  </w:footnote>
  <w:footnote w:id="6196">
    <w:p>
      <w:pPr>
        <w:pStyle w:val="FootnoteText"/>
      </w:pPr>
      <w:r>
        <w:rPr>
          <w:rStyle w:val="FootnoteReference"/>
        </w:rPr>
        <w:footnoteRef/>
      </w:r>
      <w:r>
        <w:t xml:space="preserve"> Cross-references for "Abel": 1Kgs 15:20; 2Kgs 15:29.</w:t>
      </w:r>
    </w:p>
  </w:footnote>
  <w:footnote w:id="6197">
    <w:p>
      <w:pPr>
        <w:pStyle w:val="FootnoteText"/>
      </w:pPr>
      <w:r>
        <w:rPr>
          <w:rStyle w:val="FootnoteReference"/>
        </w:rPr>
        <w:footnoteRef/>
      </w:r>
      <w:r>
        <w:t xml:space="preserve"> Cross-references for "Hear the words": 1Sam 25:24; 2Sam 14:12.</w:t>
      </w:r>
    </w:p>
  </w:footnote>
  <w:footnote w:id="6198">
    <w:p>
      <w:pPr>
        <w:pStyle w:val="FootnoteText"/>
      </w:pPr>
      <w:r>
        <w:rPr>
          <w:rStyle w:val="FootnoteReference"/>
        </w:rPr>
        <w:footnoteRef/>
      </w:r>
      <w:r>
        <w:t xml:space="preserve"> Cross-references for "a mother": Judg 5:7; Ezek 16:45-49.</w:t>
      </w:r>
    </w:p>
  </w:footnote>
  <w:footnote w:id="6199">
    <w:p>
      <w:pPr>
        <w:pStyle w:val="FootnoteText"/>
      </w:pPr>
      <w:r>
        <w:rPr>
          <w:rStyle w:val="FootnoteReference"/>
        </w:rPr>
        <w:footnoteRef/>
      </w:r>
      <w:r>
        <w:t xml:space="preserve"> Cross-references for "Far be it": 2Sam 23:17; Job 21:16.</w:t>
      </w:r>
    </w:p>
  </w:footnote>
  <w:footnote w:id="6200">
    <w:p>
      <w:pPr>
        <w:pStyle w:val="FootnoteText"/>
      </w:pPr>
      <w:r>
        <w:rPr>
          <w:rStyle w:val="FootnoteReference"/>
        </w:rPr>
        <w:footnoteRef/>
      </w:r>
      <w:r>
        <w:t xml:space="preserve"> Translation note: Greek opens the reply with that line and keeps the Sheba Bochori forms.</w:t>
      </w:r>
    </w:p>
  </w:footnote>
  <w:footnote w:id="6201">
    <w:p>
      <w:pPr>
        <w:pStyle w:val="FootnoteText"/>
      </w:pPr>
      <w:r>
        <w:rPr>
          <w:rStyle w:val="FootnoteReference"/>
        </w:rPr>
        <w:footnoteRef/>
      </w:r>
      <w:r>
        <w:t xml:space="preserve"> Cross-references for "a man": Judg 2:9; Judg 7:24.</w:t>
      </w:r>
    </w:p>
  </w:footnote>
  <w:footnote w:id="6202">
    <w:p>
      <w:pPr>
        <w:pStyle w:val="FootnoteText"/>
      </w:pPr>
      <w:r>
        <w:rPr>
          <w:rStyle w:val="FootnoteReference"/>
        </w:rPr>
        <w:footnoteRef/>
      </w:r>
      <w:r>
        <w:t xml:space="preserve"> Cross-references for "in her wisdom": Eccl 7:19; Eccl 9:14-18.</w:t>
      </w:r>
    </w:p>
  </w:footnote>
  <w:footnote w:id="6203">
    <w:p>
      <w:pPr>
        <w:pStyle w:val="FootnoteText"/>
      </w:pPr>
      <w:r>
        <w:rPr>
          <w:rStyle w:val="FootnoteReference"/>
        </w:rPr>
        <w:footnoteRef/>
      </w:r>
      <w:r>
        <w:t xml:space="preserve"> Translation note: Greek says they removed head of Sheba and threw it to Ioab.</w:t>
      </w:r>
    </w:p>
  </w:footnote>
  <w:footnote w:id="6204">
    <w:p>
      <w:pPr>
        <w:pStyle w:val="FootnoteText"/>
      </w:pPr>
      <w:r>
        <w:rPr>
          <w:rStyle w:val="FootnoteReference"/>
        </w:rPr>
        <w:footnoteRef/>
      </w:r>
      <w:r>
        <w:t xml:space="preserve"> Cross-references for "and Benaiah": 2Sam 20:7.</w:t>
      </w:r>
    </w:p>
  </w:footnote>
  <w:footnote w:id="6205">
    <w:p>
      <w:pPr>
        <w:pStyle w:val="FootnoteText"/>
      </w:pPr>
      <w:r>
        <w:rPr>
          <w:rStyle w:val="FootnoteReference"/>
        </w:rPr>
        <w:footnoteRef/>
      </w:r>
      <w:r>
        <w:t xml:space="preserve"> Personal name: Adoniram. Personal-name meaning: Adoniram — my Lord is most high; Lord of might and elevation. Source form: Adoniram.</w:t>
      </w:r>
    </w:p>
  </w:footnote>
  <w:footnote w:id="6206">
    <w:p>
      <w:pPr>
        <w:pStyle w:val="FootnoteText"/>
      </w:pPr>
      <w:r>
        <w:rPr>
          <w:rStyle w:val="FootnoteReference"/>
        </w:rPr>
        <w:footnoteRef/>
      </w:r>
      <w:r>
        <w:t xml:space="preserve"> Personal name: Ahilud. Personal-name meaning: Ahilud — a brother born, or begotten. Source form: Ahilud.</w:t>
      </w:r>
    </w:p>
  </w:footnote>
  <w:footnote w:id="6207">
    <w:p>
      <w:pPr>
        <w:pStyle w:val="FootnoteText"/>
      </w:pPr>
      <w:r>
        <w:rPr>
          <w:rStyle w:val="FootnoteReference"/>
        </w:rPr>
        <w:footnoteRef/>
      </w:r>
      <w:r>
        <w:t xml:space="preserve"> Cross-references for "recorder": 1Kgs 4:3.</w:t>
      </w:r>
    </w:p>
  </w:footnote>
  <w:footnote w:id="6208">
    <w:p>
      <w:pPr>
        <w:pStyle w:val="FootnoteText"/>
      </w:pPr>
      <w:r>
        <w:rPr>
          <w:rStyle w:val="FootnoteReference"/>
        </w:rPr>
        <w:footnoteRef/>
      </w:r>
      <w:r>
        <w:t xml:space="preserve"> Personal name: Sheva. Personal-name meaning: Sheva — vanity; elevation; fame; tumult. Source form: Sheva.</w:t>
      </w:r>
    </w:p>
  </w:footnote>
  <w:footnote w:id="6209">
    <w:p>
      <w:pPr>
        <w:pStyle w:val="FootnoteText"/>
      </w:pPr>
      <w:r>
        <w:rPr>
          <w:rStyle w:val="FootnoteReference"/>
        </w:rPr>
        <w:footnoteRef/>
      </w:r>
      <w:r>
        <w:t xml:space="preserve"> Cross-references for "Sheva": 2Sam 8:17; 1Kgs 4:4.</w:t>
      </w:r>
    </w:p>
  </w:footnote>
  <w:footnote w:id="6210">
    <w:p>
      <w:pPr>
        <w:pStyle w:val="FootnoteText"/>
      </w:pPr>
      <w:r>
        <w:rPr>
          <w:rStyle w:val="FootnoteReference"/>
        </w:rPr>
        <w:footnoteRef/>
      </w:r>
      <w:r>
        <w:t xml:space="preserve"> Personal name: Ira. Personal-name meaning: Ira — watchman; making bare; pouring out. Source form: Ira.</w:t>
      </w:r>
    </w:p>
  </w:footnote>
  <w:footnote w:id="6211">
    <w:p>
      <w:pPr>
        <w:pStyle w:val="FootnoteText"/>
      </w:pPr>
      <w:r>
        <w:rPr>
          <w:rStyle w:val="FootnoteReference"/>
        </w:rPr>
        <w:footnoteRef/>
      </w:r>
      <w:r>
        <w:t xml:space="preserve"> People-name: Jairite. People-name meaning: Jairite — my light; who diffuses light. Source form: Jairite.</w:t>
      </w:r>
    </w:p>
  </w:footnote>
  <w:footnote w:id="6212">
    <w:p>
      <w:pPr>
        <w:pStyle w:val="FootnoteText"/>
      </w:pPr>
      <w:r>
        <w:rPr>
          <w:rStyle w:val="FootnoteReference"/>
        </w:rPr>
        <w:footnoteRef/>
      </w:r>
      <w:r>
        <w:t xml:space="preserve"> Cross-references for "Jairite": Judg 10:4-5.</w:t>
      </w:r>
    </w:p>
  </w:footnote>
  <w:footnote w:id="6213">
    <w:p>
      <w:pPr>
        <w:pStyle w:val="FootnoteText"/>
      </w:pPr>
      <w:r>
        <w:rPr>
          <w:rStyle w:val="FootnoteReference"/>
        </w:rPr>
        <w:footnoteRef/>
      </w:r>
      <w:r>
        <w:t xml:space="preserve"> Translation note: Greek uses the face-of-the-Lord idiom directly. Current wording preserves it.</w:t>
      </w:r>
    </w:p>
  </w:footnote>
  <w:footnote w:id="6214">
    <w:p>
      <w:pPr>
        <w:pStyle w:val="FootnoteText"/>
      </w:pPr>
      <w:r>
        <w:rPr>
          <w:rStyle w:val="FootnoteReference"/>
        </w:rPr>
        <w:footnoteRef/>
      </w:r>
      <w:r>
        <w:t xml:space="preserve"> People-name: Gibeonites. People-name meaning: Gibeonites — hill; cup; thing lifted up. Source form: Gibeonites.</w:t>
      </w:r>
    </w:p>
  </w:footnote>
  <w:footnote w:id="6215">
    <w:p>
      <w:pPr>
        <w:pStyle w:val="FootnoteText"/>
      </w:pPr>
      <w:r>
        <w:rPr>
          <w:rStyle w:val="FootnoteReference"/>
        </w:rPr>
        <w:footnoteRef/>
      </w:r>
      <w:r>
        <w:t xml:space="preserve"> Cross-references for "of the Lord": Num 27:21; 1Sam 23:2.</w:t>
      </w:r>
    </w:p>
  </w:footnote>
  <w:footnote w:id="6216">
    <w:p>
      <w:pPr>
        <w:pStyle w:val="FootnoteText"/>
      </w:pPr>
      <w:r>
        <w:rPr>
          <w:rStyle w:val="FootnoteReference"/>
        </w:rPr>
        <w:footnoteRef/>
      </w:r>
      <w:r>
        <w:t xml:space="preserve"> Cross-references for "Now the": Josh 9:3-21.</w:t>
      </w:r>
    </w:p>
  </w:footnote>
  <w:footnote w:id="6217">
    <w:p>
      <w:pPr>
        <w:pStyle w:val="FootnoteText"/>
      </w:pPr>
      <w:r>
        <w:rPr>
          <w:rStyle w:val="FootnoteReference"/>
        </w:rPr>
        <w:footnoteRef/>
      </w:r>
      <w:r>
        <w:t xml:space="preserve"> Translation note: Greek uses the form Amorrite and states their origin directly. The translation keeps that wording.</w:t>
      </w:r>
    </w:p>
  </w:footnote>
  <w:footnote w:id="6218">
    <w:p>
      <w:pPr>
        <w:pStyle w:val="FootnoteText"/>
      </w:pPr>
      <w:r>
        <w:rPr>
          <w:rStyle w:val="FootnoteReference"/>
        </w:rPr>
        <w:footnoteRef/>
      </w:r>
      <w:r>
        <w:t xml:space="preserve"> Cross-references for "bless": 2Sam 20:19.</w:t>
      </w:r>
    </w:p>
  </w:footnote>
  <w:footnote w:id="6219">
    <w:p>
      <w:pPr>
        <w:pStyle w:val="FootnoteText"/>
      </w:pPr>
      <w:r>
        <w:rPr>
          <w:rStyle w:val="FootnoteReference"/>
        </w:rPr>
        <w:footnoteRef/>
      </w:r>
      <w:r>
        <w:t xml:space="preserve"> Cross-references for "The man": 2Sam 21:1; Matt 7:2.</w:t>
      </w:r>
    </w:p>
  </w:footnote>
  <w:footnote w:id="6220">
    <w:p>
      <w:pPr>
        <w:pStyle w:val="FootnoteText"/>
      </w:pPr>
      <w:r>
        <w:rPr>
          <w:rStyle w:val="FootnoteReference"/>
        </w:rPr>
        <w:footnoteRef/>
      </w:r>
      <w:r>
        <w:t xml:space="preserve"> Cross-references for "Mephibosheth": 2Sam 4:4; 2Sam 9:10.</w:t>
      </w:r>
    </w:p>
  </w:footnote>
  <w:footnote w:id="6221">
    <w:p>
      <w:pPr>
        <w:pStyle w:val="FootnoteText"/>
      </w:pPr>
      <w:r>
        <w:rPr>
          <w:rStyle w:val="FootnoteReference"/>
        </w:rPr>
        <w:footnoteRef/>
      </w:r>
      <w:r>
        <w:t xml:space="preserve"> Cross-references for "Rizpah": 2Sam 3:7.</w:t>
      </w:r>
    </w:p>
  </w:footnote>
  <w:footnote w:id="6222">
    <w:p>
      <w:pPr>
        <w:pStyle w:val="FootnoteText"/>
      </w:pPr>
      <w:r>
        <w:rPr>
          <w:rStyle w:val="FootnoteReference"/>
        </w:rPr>
        <w:footnoteRef/>
      </w:r>
      <w:r>
        <w:t xml:space="preserve"> Personal name: Adriel. Personal-name meaning: Adriel — the flock of God. Source form: Adriel.</w:t>
      </w:r>
    </w:p>
  </w:footnote>
  <w:footnote w:id="6223">
    <w:p>
      <w:pPr>
        <w:pStyle w:val="FootnoteText"/>
      </w:pPr>
      <w:r>
        <w:rPr>
          <w:rStyle w:val="FootnoteReference"/>
        </w:rPr>
        <w:footnoteRef/>
      </w:r>
      <w:r>
        <w:t xml:space="preserve"> Translation note: Greek says they exposed them to the sun on the mountain before the Lord.</w:t>
      </w:r>
    </w:p>
  </w:footnote>
  <w:footnote w:id="6224">
    <w:p>
      <w:pPr>
        <w:pStyle w:val="FootnoteText"/>
      </w:pPr>
      <w:r>
        <w:rPr>
          <w:rStyle w:val="FootnoteReference"/>
        </w:rPr>
        <w:footnoteRef/>
      </w:r>
      <w:r>
        <w:t xml:space="preserve"> Cross-references for "before the Lord": Exod 20:5; Num 35:31-34.</w:t>
      </w:r>
    </w:p>
  </w:footnote>
  <w:footnote w:id="6225">
    <w:p>
      <w:pPr>
        <w:pStyle w:val="FootnoteText"/>
      </w:pPr>
      <w:r>
        <w:rPr>
          <w:rStyle w:val="FootnoteReference"/>
        </w:rPr>
        <w:footnoteRef/>
      </w:r>
      <w:r>
        <w:t xml:space="preserve"> Cross-references for "Rizpah": 2Sam 3:7; 2Sam 21:8.</w:t>
      </w:r>
    </w:p>
  </w:footnote>
  <w:footnote w:id="6226">
    <w:p>
      <w:pPr>
        <w:pStyle w:val="FootnoteText"/>
      </w:pPr>
      <w:r>
        <w:rPr>
          <w:rStyle w:val="FootnoteReference"/>
        </w:rPr>
        <w:footnoteRef/>
      </w:r>
      <w:r>
        <w:t xml:space="preserve"> Cross-references for "the bones of Saul": 1Sam 31:11-13; 2Sam 2:5-7.</w:t>
      </w:r>
    </w:p>
  </w:footnote>
  <w:footnote w:id="6227">
    <w:p>
      <w:pPr>
        <w:pStyle w:val="FootnoteText"/>
      </w:pPr>
      <w:r>
        <w:rPr>
          <w:rStyle w:val="FootnoteReference"/>
        </w:rPr>
        <w:footnoteRef/>
      </w:r>
      <w:r>
        <w:t xml:space="preserve"> Translation note: Greek uses a stronger verb than simply took the bones. The translation keeps that force explicit.</w:t>
      </w:r>
    </w:p>
  </w:footnote>
  <w:footnote w:id="6228">
    <w:p>
      <w:pPr>
        <w:pStyle w:val="FootnoteText"/>
      </w:pPr>
      <w:r>
        <w:rPr>
          <w:rStyle w:val="FootnoteReference"/>
        </w:rPr>
        <w:footnoteRef/>
      </w:r>
      <w:r>
        <w:t xml:space="preserve"> Translation note: Greek literally says ones exposed to the sun. Other traditions often smooth this to those hanged.</w:t>
      </w:r>
    </w:p>
  </w:footnote>
  <w:footnote w:id="6229">
    <w:p>
      <w:pPr>
        <w:pStyle w:val="FootnoteText"/>
      </w:pPr>
      <w:r>
        <w:rPr>
          <w:rStyle w:val="FootnoteReference"/>
        </w:rPr>
        <w:footnoteRef/>
      </w:r>
      <w:r>
        <w:t xml:space="preserve"> Cross-references for "buried": 2Sam 3:32; 2Sam 4:12.</w:t>
      </w:r>
    </w:p>
  </w:footnote>
  <w:footnote w:id="6230">
    <w:p>
      <w:pPr>
        <w:pStyle w:val="FootnoteText"/>
      </w:pPr>
      <w:r>
        <w:rPr>
          <w:rStyle w:val="FootnoteReference"/>
        </w:rPr>
        <w:footnoteRef/>
      </w:r>
      <w:r>
        <w:t xml:space="preserve"> Translation note: Greek says exposed to the sun here, not hanged. Current line keeps that wording.</w:t>
      </w:r>
    </w:p>
  </w:footnote>
  <w:footnote w:id="6231">
    <w:p>
      <w:pPr>
        <w:pStyle w:val="FootnoteText"/>
      </w:pPr>
      <w:r>
        <w:rPr>
          <w:rStyle w:val="FootnoteReference"/>
        </w:rPr>
        <w:footnoteRef/>
      </w:r>
      <w:r>
        <w:t xml:space="preserve"> Personal name: Rapha. Personal-name meaning: Rapha — healing; comfort. Source form: Rapha.</w:t>
      </w:r>
    </w:p>
  </w:footnote>
  <w:footnote w:id="6232">
    <w:p>
      <w:pPr>
        <w:pStyle w:val="FootnoteText"/>
      </w:pPr>
      <w:r>
        <w:rPr>
          <w:rStyle w:val="FootnoteReference"/>
        </w:rPr>
        <w:footnoteRef/>
      </w:r>
      <w:r>
        <w:t xml:space="preserve"> Cross-references for "Abishai": 2Sam 20:6-10.</w:t>
      </w:r>
    </w:p>
  </w:footnote>
  <w:footnote w:id="6233">
    <w:p>
      <w:pPr>
        <w:pStyle w:val="FootnoteText"/>
      </w:pPr>
      <w:r>
        <w:rPr>
          <w:rStyle w:val="FootnoteReference"/>
        </w:rPr>
        <w:footnoteRef/>
      </w:r>
      <w:r>
        <w:t xml:space="preserve"> Translation note: Greek says lamp not light here.</w:t>
      </w:r>
    </w:p>
  </w:footnote>
  <w:footnote w:id="6234">
    <w:p>
      <w:pPr>
        <w:pStyle w:val="FootnoteText"/>
      </w:pPr>
      <w:r>
        <w:rPr>
          <w:rStyle w:val="FootnoteReference"/>
        </w:rPr>
        <w:footnoteRef/>
      </w:r>
      <w:r>
        <w:t xml:space="preserve"> Place name: Gob. Place-name meaning: Gob — cistern; grasshopper. Source form: Gob. Greek form: γοβ.</w:t>
      </w:r>
    </w:p>
  </w:footnote>
  <w:footnote w:id="6235">
    <w:p>
      <w:pPr>
        <w:pStyle w:val="FootnoteText"/>
      </w:pPr>
      <w:r>
        <w:rPr>
          <w:rStyle w:val="FootnoteReference"/>
        </w:rPr>
        <w:footnoteRef/>
      </w:r>
      <w:r>
        <w:t xml:space="preserve"> Personal name: Elhanan. Personal-name meaning: Elhanan — grace, or gift, or mercy of God. Source form: Elhanan.</w:t>
      </w:r>
    </w:p>
  </w:footnote>
  <w:footnote w:id="6236">
    <w:p>
      <w:pPr>
        <w:pStyle w:val="FootnoteText"/>
      </w:pPr>
      <w:r>
        <w:rPr>
          <w:rStyle w:val="FootnoteReference"/>
        </w:rPr>
        <w:footnoteRef/>
      </w:r>
      <w:r>
        <w:t xml:space="preserve"> Cross-references for "Elhanan": 1Chr 11:26.</w:t>
      </w:r>
    </w:p>
  </w:footnote>
  <w:footnote w:id="6237">
    <w:p>
      <w:pPr>
        <w:pStyle w:val="FootnoteText"/>
      </w:pPr>
      <w:r>
        <w:rPr>
          <w:rStyle w:val="FootnoteReference"/>
        </w:rPr>
        <w:footnoteRef/>
      </w:r>
      <w:r>
        <w:t xml:space="preserve"> Cross-references for "Jonathan": 1Chr 27:32.</w:t>
      </w:r>
    </w:p>
  </w:footnote>
  <w:footnote w:id="6238">
    <w:p>
      <w:pPr>
        <w:pStyle w:val="FootnoteText"/>
      </w:pPr>
      <w:r>
        <w:rPr>
          <w:rStyle w:val="FootnoteReference"/>
        </w:rPr>
        <w:footnoteRef/>
      </w:r>
      <w:r>
        <w:t xml:space="preserve"> Cross-references for "four": 1Chr 20:8.</w:t>
      </w:r>
    </w:p>
  </w:footnote>
  <w:footnote w:id="6239">
    <w:p>
      <w:pPr>
        <w:pStyle w:val="FootnoteText"/>
      </w:pPr>
      <w:r>
        <w:rPr>
          <w:rStyle w:val="FootnoteReference"/>
        </w:rPr>
        <w:footnoteRef/>
      </w:r>
      <w:r>
        <w:t xml:space="preserve"> Cross-references for "David": Ps 50:14; Ps 103:1-6.</w:t>
      </w:r>
    </w:p>
  </w:footnote>
  <w:footnote w:id="6240">
    <w:p>
      <w:pPr>
        <w:pStyle w:val="FootnoteText"/>
      </w:pPr>
      <w:r>
        <w:rPr>
          <w:rStyle w:val="FootnoteReference"/>
        </w:rPr>
        <w:footnoteRef/>
      </w:r>
      <w:r>
        <w:t xml:space="preserve"> Translation note: Greek closes the title-chain with a personal dative turn. Current wording keeps that compact ending.</w:t>
      </w:r>
    </w:p>
  </w:footnote>
  <w:footnote w:id="6241">
    <w:p>
      <w:pPr>
        <w:pStyle w:val="FootnoteText"/>
      </w:pPr>
      <w:r>
        <w:rPr>
          <w:rStyle w:val="FootnoteReference"/>
        </w:rPr>
        <w:footnoteRef/>
      </w:r>
      <w:r>
        <w:t xml:space="preserve"> Cross-references for "in him": Heb 2:13.</w:t>
      </w:r>
    </w:p>
  </w:footnote>
  <w:footnote w:id="6242">
    <w:p>
      <w:pPr>
        <w:pStyle w:val="FootnoteText"/>
      </w:pPr>
      <w:r>
        <w:rPr>
          <w:rStyle w:val="FootnoteReference"/>
        </w:rPr>
        <w:footnoteRef/>
      </w:r>
      <w:r>
        <w:t xml:space="preserve"> Cross-references for "worthy": Neh 9:5; Ps 18:3.</w:t>
      </w:r>
    </w:p>
  </w:footnote>
  <w:footnote w:id="6243">
    <w:p>
      <w:pPr>
        <w:pStyle w:val="FootnoteText"/>
      </w:pPr>
      <w:r>
        <w:rPr>
          <w:rStyle w:val="FootnoteReference"/>
        </w:rPr>
        <w:footnoteRef/>
      </w:r>
      <w:r>
        <w:t xml:space="preserve"> Cross-references for "my cry": Jas 5:4.</w:t>
      </w:r>
    </w:p>
  </w:footnote>
  <w:footnote w:id="6244">
    <w:p>
      <w:pPr>
        <w:pStyle w:val="FootnoteText"/>
      </w:pPr>
      <w:r>
        <w:rPr>
          <w:rStyle w:val="FootnoteReference"/>
        </w:rPr>
        <w:footnoteRef/>
      </w:r>
      <w:r>
        <w:t xml:space="preserve"> Cross-references for "the earth": Judg 5:4; Ps 18:7.</w:t>
      </w:r>
    </w:p>
  </w:footnote>
  <w:footnote w:id="6245">
    <w:p>
      <w:pPr>
        <w:pStyle w:val="FootnoteText"/>
      </w:pPr>
      <w:r>
        <w:rPr>
          <w:rStyle w:val="FootnoteReference"/>
        </w:rPr>
        <w:footnoteRef/>
      </w:r>
      <w:r>
        <w:t xml:space="preserve"> Cross-references for "went": Exod 15:7-8; Exod 19:18.</w:t>
      </w:r>
    </w:p>
  </w:footnote>
  <w:footnote w:id="6246">
    <w:p>
      <w:pPr>
        <w:pStyle w:val="FootnoteText"/>
      </w:pPr>
      <w:r>
        <w:rPr>
          <w:rStyle w:val="FootnoteReference"/>
        </w:rPr>
        <w:footnoteRef/>
      </w:r>
      <w:r>
        <w:t xml:space="preserve"> Cross-references for "made": 2Sam 22:10; Ps 18:11-12.</w:t>
      </w:r>
    </w:p>
  </w:footnote>
  <w:footnote w:id="6247">
    <w:p>
      <w:pPr>
        <w:pStyle w:val="FootnoteText"/>
      </w:pPr>
      <w:r>
        <w:rPr>
          <w:rStyle w:val="FootnoteReference"/>
        </w:rPr>
        <w:footnoteRef/>
      </w:r>
      <w:r>
        <w:t xml:space="preserve"> Cross-references for "coals of fire": 2Sam 22:9.</w:t>
      </w:r>
    </w:p>
  </w:footnote>
  <w:footnote w:id="6248">
    <w:p>
      <w:pPr>
        <w:pStyle w:val="FootnoteText"/>
      </w:pPr>
      <w:r>
        <w:rPr>
          <w:rStyle w:val="FootnoteReference"/>
        </w:rPr>
        <w:footnoteRef/>
      </w:r>
      <w:r>
        <w:t xml:space="preserve"> Cross-references for "thundered": Exod 19:6; Judg 5:20.</w:t>
      </w:r>
    </w:p>
  </w:footnote>
  <w:footnote w:id="6249">
    <w:p>
      <w:pPr>
        <w:pStyle w:val="FootnoteText"/>
      </w:pPr>
      <w:r>
        <w:rPr>
          <w:rStyle w:val="FootnoteReference"/>
        </w:rPr>
        <w:footnoteRef/>
      </w:r>
      <w:r>
        <w:t xml:space="preserve"> Cross-references for "arrows": Deut 32:23; Josh 10:10.</w:t>
      </w:r>
    </w:p>
  </w:footnote>
  <w:footnote w:id="6250">
    <w:p>
      <w:pPr>
        <w:pStyle w:val="FootnoteText"/>
      </w:pPr>
      <w:r>
        <w:rPr>
          <w:rStyle w:val="FootnoteReference"/>
        </w:rPr>
        <w:footnoteRef/>
      </w:r>
      <w:r>
        <w:t xml:space="preserve"> Cross-references for "the channels": Exod 14:21-27; Exod 15:8-10.</w:t>
      </w:r>
    </w:p>
  </w:footnote>
  <w:footnote w:id="6251">
    <w:p>
      <w:pPr>
        <w:pStyle w:val="FootnoteText"/>
      </w:pPr>
      <w:r>
        <w:rPr>
          <w:rStyle w:val="FootnoteReference"/>
        </w:rPr>
        <w:footnoteRef/>
      </w:r>
      <w:r>
        <w:t xml:space="preserve"> Cross-references for "sent": Ps 18:16; Ps 144:7.</w:t>
      </w:r>
    </w:p>
  </w:footnote>
  <w:footnote w:id="6252">
    <w:p>
      <w:pPr>
        <w:pStyle w:val="FootnoteText"/>
      </w:pPr>
      <w:r>
        <w:rPr>
          <w:rStyle w:val="FootnoteReference"/>
        </w:rPr>
        <w:footnoteRef/>
      </w:r>
      <w:r>
        <w:t xml:space="preserve"> Cross-references for "the Lord": Ps 71:20-21; Isa 26:19.</w:t>
      </w:r>
    </w:p>
  </w:footnote>
  <w:footnote w:id="6253">
    <w:p>
      <w:pPr>
        <w:pStyle w:val="FootnoteText"/>
      </w:pPr>
      <w:r>
        <w:rPr>
          <w:rStyle w:val="FootnoteReference"/>
        </w:rPr>
        <w:footnoteRef/>
      </w:r>
      <w:r>
        <w:t xml:space="preserve"> Cross-references for "brought": Gen 26:22; 1Chr 4:10.</w:t>
      </w:r>
    </w:p>
  </w:footnote>
  <w:footnote w:id="6254">
    <w:p>
      <w:pPr>
        <w:pStyle w:val="FootnoteText"/>
      </w:pPr>
      <w:r>
        <w:rPr>
          <w:rStyle w:val="FootnoteReference"/>
        </w:rPr>
        <w:footnoteRef/>
      </w:r>
      <w:r>
        <w:t xml:space="preserve"> Cross-references for "cleanness": Job 17:9; Ps 24:4.</w:t>
      </w:r>
    </w:p>
  </w:footnote>
  <w:footnote w:id="6255">
    <w:p>
      <w:pPr>
        <w:pStyle w:val="FootnoteText"/>
      </w:pPr>
      <w:r>
        <w:rPr>
          <w:rStyle w:val="FootnoteReference"/>
        </w:rPr>
        <w:footnoteRef/>
      </w:r>
      <w:r>
        <w:t xml:space="preserve"> Cross-references for "the ways": Gen 18:19; Ps 119:1.</w:t>
      </w:r>
    </w:p>
  </w:footnote>
  <w:footnote w:id="6256">
    <w:p>
      <w:pPr>
        <w:pStyle w:val="FootnoteText"/>
      </w:pPr>
      <w:r>
        <w:rPr>
          <w:rStyle w:val="FootnoteReference"/>
        </w:rPr>
        <w:footnoteRef/>
      </w:r>
      <w:r>
        <w:t xml:space="preserve"> Cross-references for "judgments": Deut 6:1-2; Deut 7:12.</w:t>
      </w:r>
    </w:p>
  </w:footnote>
  <w:footnote w:id="6257">
    <w:p>
      <w:pPr>
        <w:pStyle w:val="FootnoteText"/>
      </w:pPr>
      <w:r>
        <w:rPr>
          <w:rStyle w:val="FootnoteReference"/>
        </w:rPr>
        <w:footnoteRef/>
      </w:r>
      <w:r>
        <w:t xml:space="preserve"> Cross-references for "lamp": Job 29:3; Ps 27:1.</w:t>
      </w:r>
    </w:p>
  </w:footnote>
  <w:footnote w:id="6258">
    <w:p>
      <w:pPr>
        <w:pStyle w:val="FootnoteText"/>
      </w:pPr>
      <w:r>
        <w:rPr>
          <w:rStyle w:val="FootnoteReference"/>
        </w:rPr>
        <w:footnoteRef/>
      </w:r>
      <w:r>
        <w:t xml:space="preserve"> Translation note: Greek keeps the lamp-and-darkness parallel explicit. Current wording preserves it.</w:t>
      </w:r>
    </w:p>
  </w:footnote>
  <w:footnote w:id="6259">
    <w:p>
      <w:pPr>
        <w:pStyle w:val="FootnoteText"/>
      </w:pPr>
      <w:r>
        <w:rPr>
          <w:rStyle w:val="FootnoteReference"/>
        </w:rPr>
        <w:footnoteRef/>
      </w:r>
      <w:r>
        <w:t xml:space="preserve"> Cross-references for "his way": Deut 32:4; Dan 4:37.</w:t>
      </w:r>
    </w:p>
  </w:footnote>
  <w:footnote w:id="6260">
    <w:p>
      <w:pPr>
        <w:pStyle w:val="FootnoteText"/>
      </w:pPr>
      <w:r>
        <w:rPr>
          <w:rStyle w:val="FootnoteReference"/>
        </w:rPr>
        <w:footnoteRef/>
      </w:r>
      <w:r>
        <w:t xml:space="preserve"> Cross-references for "For who": Deut 32:31; Deut 32:39.</w:t>
      </w:r>
    </w:p>
  </w:footnote>
  <w:footnote w:id="6261">
    <w:p>
      <w:pPr>
        <w:pStyle w:val="FootnoteText"/>
      </w:pPr>
      <w:r>
        <w:rPr>
          <w:rStyle w:val="FootnoteReference"/>
        </w:rPr>
        <w:footnoteRef/>
      </w:r>
      <w:r>
        <w:t xml:space="preserve"> Cross-references for "my way": Heb 13:21.</w:t>
      </w:r>
    </w:p>
  </w:footnote>
  <w:footnote w:id="6262">
    <w:p>
      <w:pPr>
        <w:pStyle w:val="FootnoteText"/>
      </w:pPr>
      <w:r>
        <w:rPr>
          <w:rStyle w:val="FootnoteReference"/>
        </w:rPr>
        <w:footnoteRef/>
      </w:r>
      <w:r>
        <w:t xml:space="preserve"> Cross-references for "the shield": Gen 15:1; Ps 84:11.</w:t>
      </w:r>
    </w:p>
  </w:footnote>
  <w:footnote w:id="6263">
    <w:p>
      <w:pPr>
        <w:pStyle w:val="FootnoteText"/>
      </w:pPr>
      <w:r>
        <w:rPr>
          <w:rStyle w:val="FootnoteReference"/>
        </w:rPr>
        <w:footnoteRef/>
      </w:r>
      <w:r>
        <w:t xml:space="preserve"> Translation note: Greek says will not turn back until I finish them.</w:t>
      </w:r>
    </w:p>
  </w:footnote>
  <w:footnote w:id="6264">
    <w:p>
      <w:pPr>
        <w:pStyle w:val="FootnoteText"/>
      </w:pPr>
      <w:r>
        <w:rPr>
          <w:rStyle w:val="FootnoteReference"/>
        </w:rPr>
        <w:footnoteRef/>
      </w:r>
      <w:r>
        <w:t xml:space="preserve"> Cross-references for "head": Deut 28:13; 2Sam 8:1-14.</w:t>
      </w:r>
    </w:p>
  </w:footnote>
  <w:footnote w:id="6265">
    <w:p>
      <w:pPr>
        <w:pStyle w:val="FootnoteText"/>
      </w:pPr>
      <w:r>
        <w:rPr>
          <w:rStyle w:val="FootnoteReference"/>
        </w:rPr>
        <w:footnoteRef/>
      </w:r>
      <w:r>
        <w:t xml:space="preserve"> Cross-references for "among": Rom 15:9.</w:t>
      </w:r>
    </w:p>
  </w:footnote>
  <w:footnote w:id="6266">
    <w:p>
      <w:pPr>
        <w:pStyle w:val="FootnoteText"/>
      </w:pPr>
      <w:r>
        <w:rPr>
          <w:rStyle w:val="FootnoteReference"/>
        </w:rPr>
        <w:footnoteRef/>
      </w:r>
      <w:r>
        <w:t xml:space="preserve"> Cross-references for "his anointed": Ps 18:50; Ps 89:20.</w:t>
      </w:r>
    </w:p>
  </w:footnote>
  <w:footnote w:id="6267">
    <w:p>
      <w:pPr>
        <w:pStyle w:val="FootnoteText"/>
      </w:pPr>
      <w:r>
        <w:rPr>
          <w:rStyle w:val="FootnoteReference"/>
        </w:rPr>
        <w:footnoteRef/>
      </w:r>
      <w:r>
        <w:t xml:space="preserve"> Cross-references for "the last": Gen 49:1; Deut 33:1.</w:t>
      </w:r>
    </w:p>
  </w:footnote>
  <w:footnote w:id="6268">
    <w:p>
      <w:pPr>
        <w:pStyle w:val="FootnoteText"/>
      </w:pPr>
      <w:r>
        <w:rPr>
          <w:rStyle w:val="FootnoteReference"/>
        </w:rPr>
        <w:footnoteRef/>
      </w:r>
      <w:r>
        <w:t xml:space="preserve"> Translation note: The draft stays close to the Greek adjectives in this difficult opening line rather than importing familiar traditional paraphrase. NETS, LES, LES2, and SAAS preserve this faithful-language side of the verse.</w:t>
      </w:r>
    </w:p>
  </w:footnote>
  <w:footnote w:id="6269">
    <w:p>
      <w:pPr>
        <w:pStyle w:val="FootnoteText"/>
      </w:pPr>
      <w:r>
        <w:rPr>
          <w:rStyle w:val="FootnoteReference"/>
        </w:rPr>
        <w:footnoteRef/>
      </w:r>
      <w:r>
        <w:t xml:space="preserve"> Cross-references for "morning": Hos 6:3.</w:t>
      </w:r>
    </w:p>
  </w:footnote>
  <w:footnote w:id="6270">
    <w:p>
      <w:pPr>
        <w:pStyle w:val="FootnoteText"/>
      </w:pPr>
      <w:r>
        <w:rPr>
          <w:rStyle w:val="FootnoteReference"/>
        </w:rPr>
        <w:footnoteRef/>
      </w:r>
      <w:r>
        <w:t xml:space="preserve"> Cross-references for "all my salvation": Ps 62:2; Ps 119:81.</w:t>
      </w:r>
    </w:p>
  </w:footnote>
  <w:footnote w:id="6271">
    <w:p>
      <w:pPr>
        <w:pStyle w:val="FootnoteText"/>
      </w:pPr>
      <w:r>
        <w:rPr>
          <w:rStyle w:val="FootnoteReference"/>
        </w:rPr>
        <w:footnoteRef/>
      </w:r>
      <w:r>
        <w:t xml:space="preserve"> Cross-references for "and they shall": 2Sam 22:8-10; Isa 27:4.</w:t>
      </w:r>
    </w:p>
  </w:footnote>
  <w:footnote w:id="6272">
    <w:p>
      <w:pPr>
        <w:pStyle w:val="FootnoteText"/>
      </w:pPr>
      <w:r>
        <w:rPr>
          <w:rStyle w:val="FootnoteReference"/>
        </w:rPr>
        <w:footnoteRef/>
      </w:r>
      <w:r>
        <w:t xml:space="preserve"> Translation note: Greek reads in their shame here. Other traditions often read in that place instead.</w:t>
      </w:r>
    </w:p>
  </w:footnote>
  <w:footnote w:id="6273">
    <w:p>
      <w:pPr>
        <w:pStyle w:val="FootnoteText"/>
      </w:pPr>
      <w:r>
        <w:rPr>
          <w:rStyle w:val="FootnoteReference"/>
        </w:rPr>
        <w:footnoteRef/>
      </w:r>
      <w:r>
        <w:t xml:space="preserve"> Translation note: Greek keeps different names and says wounded rather than slain.</w:t>
      </w:r>
    </w:p>
  </w:footnote>
  <w:footnote w:id="6274">
    <w:p>
      <w:pPr>
        <w:pStyle w:val="FootnoteText"/>
      </w:pPr>
      <w:r>
        <w:rPr>
          <w:rStyle w:val="FootnoteReference"/>
        </w:rPr>
        <w:footnoteRef/>
      </w:r>
      <w:r>
        <w:t xml:space="preserve"> Cross-references for "Eleazar": 1Chr 11:12-14; 1Chr 27:4.</w:t>
      </w:r>
    </w:p>
  </w:footnote>
  <w:footnote w:id="6275">
    <w:p>
      <w:pPr>
        <w:pStyle w:val="FootnoteText"/>
      </w:pPr>
      <w:r>
        <w:rPr>
          <w:rStyle w:val="FootnoteReference"/>
        </w:rPr>
        <w:footnoteRef/>
      </w:r>
      <w:r>
        <w:t xml:space="preserve"> Translation note: Greek genealogy differs sharply here.</w:t>
      </w:r>
    </w:p>
  </w:footnote>
  <w:footnote w:id="6276">
    <w:p>
      <w:pPr>
        <w:pStyle w:val="FootnoteText"/>
      </w:pPr>
      <w:r>
        <w:rPr>
          <w:rStyle w:val="FootnoteReference"/>
        </w:rPr>
        <w:footnoteRef/>
      </w:r>
      <w:r>
        <w:t xml:space="preserve"> Cross-references for "the Lord": Josh 10:10; Josh 10:42.</w:t>
      </w:r>
    </w:p>
  </w:footnote>
  <w:footnote w:id="6277">
    <w:p>
      <w:pPr>
        <w:pStyle w:val="FootnoteText"/>
      </w:pPr>
      <w:r>
        <w:rPr>
          <w:rStyle w:val="FootnoteReference"/>
        </w:rPr>
        <w:footnoteRef/>
      </w:r>
      <w:r>
        <w:t xml:space="preserve"> Cross-references for "the Lord": 2Sam 23:10; Ps 3:8.</w:t>
      </w:r>
    </w:p>
  </w:footnote>
  <w:footnote w:id="6278">
    <w:p>
      <w:pPr>
        <w:pStyle w:val="FootnoteText"/>
      </w:pPr>
      <w:r>
        <w:rPr>
          <w:rStyle w:val="FootnoteReference"/>
        </w:rPr>
        <w:footnoteRef/>
      </w:r>
      <w:r>
        <w:t xml:space="preserve"> Cross-references for "three": Exod 14:7; 2Sam 23:8.</w:t>
      </w:r>
    </w:p>
  </w:footnote>
  <w:footnote w:id="6279">
    <w:p>
      <w:pPr>
        <w:pStyle w:val="FootnoteText"/>
      </w:pPr>
      <w:r>
        <w:rPr>
          <w:rStyle w:val="FootnoteReference"/>
        </w:rPr>
        <w:footnoteRef/>
      </w:r>
      <w:r>
        <w:t xml:space="preserve"> Cross-references for "garrison": 1Sam 10:5; 1Sam 13:4.</w:t>
      </w:r>
    </w:p>
  </w:footnote>
  <w:footnote w:id="6280">
    <w:p>
      <w:pPr>
        <w:pStyle w:val="FootnoteText"/>
      </w:pPr>
      <w:r>
        <w:rPr>
          <w:rStyle w:val="FootnoteReference"/>
        </w:rPr>
        <w:footnoteRef/>
      </w:r>
      <w:r>
        <w:t xml:space="preserve"> Cross-references for "Bethlehem": John 4:14.</w:t>
      </w:r>
    </w:p>
  </w:footnote>
  <w:footnote w:id="6281">
    <w:p>
      <w:pPr>
        <w:pStyle w:val="FootnoteText"/>
      </w:pPr>
      <w:r>
        <w:rPr>
          <w:rStyle w:val="FootnoteReference"/>
        </w:rPr>
        <w:footnoteRef/>
      </w:r>
      <w:r>
        <w:t xml:space="preserve"> Cross-references for "the three": 1Sam 19:5; 2Sam 23:9.</w:t>
      </w:r>
    </w:p>
  </w:footnote>
  <w:footnote w:id="6282">
    <w:p>
      <w:pPr>
        <w:pStyle w:val="FootnoteText"/>
      </w:pPr>
      <w:r>
        <w:rPr>
          <w:rStyle w:val="FootnoteReference"/>
        </w:rPr>
        <w:footnoteRef/>
      </w:r>
      <w:r>
        <w:t xml:space="preserve"> Translation note: Greek says broke through camp here. Current line keeps that wording.</w:t>
      </w:r>
    </w:p>
  </w:footnote>
  <w:footnote w:id="6283">
    <w:p>
      <w:pPr>
        <w:pStyle w:val="FootnoteText"/>
      </w:pPr>
      <w:r>
        <w:rPr>
          <w:rStyle w:val="FootnoteReference"/>
        </w:rPr>
        <w:footnoteRef/>
      </w:r>
      <w:r>
        <w:t xml:space="preserve"> Cross-references for "Be it far": Gen 44:17; 1Sam 2:30.</w:t>
      </w:r>
    </w:p>
  </w:footnote>
  <w:footnote w:id="6284">
    <w:p>
      <w:pPr>
        <w:pStyle w:val="FootnoteText"/>
      </w:pPr>
      <w:r>
        <w:rPr>
          <w:rStyle w:val="FootnoteReference"/>
        </w:rPr>
        <w:footnoteRef/>
      </w:r>
      <w:r>
        <w:t xml:space="preserve"> Cross-references for "Abishai": 1Sam 26:6-8; 2Sam 2:18.</w:t>
      </w:r>
    </w:p>
  </w:footnote>
  <w:footnote w:id="6285">
    <w:p>
      <w:pPr>
        <w:pStyle w:val="FootnoteText"/>
      </w:pPr>
      <w:r>
        <w:rPr>
          <w:rStyle w:val="FootnoteReference"/>
        </w:rPr>
        <w:footnoteRef/>
      </w:r>
      <w:r>
        <w:t xml:space="preserve"> Cross-references for "Benaiah": 2Sam 8:18; 2Sam 20:23.</w:t>
      </w:r>
    </w:p>
  </w:footnote>
  <w:footnote w:id="6286">
    <w:p>
      <w:pPr>
        <w:pStyle w:val="FootnoteText"/>
      </w:pPr>
      <w:r>
        <w:rPr>
          <w:rStyle w:val="FootnoteReference"/>
        </w:rPr>
        <w:footnoteRef/>
      </w:r>
      <w:r>
        <w:t xml:space="preserve"> Cross-references for "Asahel": 2Sam 2:18; 1Chr 11:26.</w:t>
      </w:r>
    </w:p>
  </w:footnote>
  <w:footnote w:id="6287">
    <w:p>
      <w:pPr>
        <w:pStyle w:val="FootnoteText"/>
      </w:pPr>
      <w:r>
        <w:rPr>
          <w:rStyle w:val="FootnoteReference"/>
        </w:rPr>
        <w:footnoteRef/>
      </w:r>
      <w:r>
        <w:t xml:space="preserve"> Cross-references for "Shammah": 1Chr 11:27-28.</w:t>
      </w:r>
    </w:p>
  </w:footnote>
  <w:footnote w:id="6288">
    <w:p>
      <w:pPr>
        <w:pStyle w:val="FootnoteText"/>
      </w:pPr>
      <w:r>
        <w:rPr>
          <w:rStyle w:val="FootnoteReference"/>
        </w:rPr>
        <w:footnoteRef/>
      </w:r>
      <w:r>
        <w:t xml:space="preserve"> People-name: Harodite. People-name meaning: Harodite — astonishment; fear. Source form: Harodite.</w:t>
      </w:r>
    </w:p>
  </w:footnote>
  <w:footnote w:id="6289">
    <w:p>
      <w:pPr>
        <w:pStyle w:val="FootnoteText"/>
      </w:pPr>
      <w:r>
        <w:rPr>
          <w:rStyle w:val="FootnoteReference"/>
        </w:rPr>
        <w:footnoteRef/>
      </w:r>
      <w:r>
        <w:t xml:space="preserve"> Personal name: Elika. Personal-name meaning: Elika — pelican of God. Source form: Elika.</w:t>
      </w:r>
    </w:p>
  </w:footnote>
  <w:footnote w:id="6290">
    <w:p>
      <w:pPr>
        <w:pStyle w:val="FootnoteText"/>
      </w:pPr>
      <w:r>
        <w:rPr>
          <w:rStyle w:val="FootnoteReference"/>
        </w:rPr>
        <w:footnoteRef/>
      </w:r>
      <w:r>
        <w:t xml:space="preserve"> Translation note: Greek gives a terse transliterated name list. Current wording preserves it.</w:t>
      </w:r>
    </w:p>
  </w:footnote>
  <w:footnote w:id="6291">
    <w:p>
      <w:pPr>
        <w:pStyle w:val="FootnoteText"/>
      </w:pPr>
      <w:r>
        <w:rPr>
          <w:rStyle w:val="FootnoteReference"/>
        </w:rPr>
        <w:footnoteRef/>
      </w:r>
      <w:r>
        <w:t xml:space="preserve"> Personal name: Helez. Personal-name meaning: Helez — armed; set free. Source form: Helez.</w:t>
      </w:r>
    </w:p>
  </w:footnote>
  <w:footnote w:id="6292">
    <w:p>
      <w:pPr>
        <w:pStyle w:val="FootnoteText"/>
      </w:pPr>
      <w:r>
        <w:rPr>
          <w:rStyle w:val="FootnoteReference"/>
        </w:rPr>
        <w:footnoteRef/>
      </w:r>
      <w:r>
        <w:t xml:space="preserve"> Personal name: Ikkesh. Personal-name meaning: Ikkesh — forward; wicked. Source form: Ikkesh.</w:t>
      </w:r>
    </w:p>
  </w:footnote>
  <w:footnote w:id="6293">
    <w:p>
      <w:pPr>
        <w:pStyle w:val="FootnoteText"/>
      </w:pPr>
      <w:r>
        <w:rPr>
          <w:rStyle w:val="FootnoteReference"/>
        </w:rPr>
        <w:footnoteRef/>
      </w:r>
      <w:r>
        <w:t xml:space="preserve"> Cross-references for "Abiezer": 1Chr 11:28; 1Chr 27:12.</w:t>
      </w:r>
    </w:p>
  </w:footnote>
  <w:footnote w:id="6294">
    <w:p>
      <w:pPr>
        <w:pStyle w:val="FootnoteText"/>
      </w:pPr>
      <w:r>
        <w:rPr>
          <w:rStyle w:val="FootnoteReference"/>
        </w:rPr>
        <w:footnoteRef/>
      </w:r>
      <w:r>
        <w:t xml:space="preserve"> Transliterated proper noun: Anathothite. Standard English equivalent: Antothite. Source form: Anathothite. Greek form: αναθωθιτης. Name meaning: answer; song; poverty.</w:t>
      </w:r>
    </w:p>
  </w:footnote>
  <w:footnote w:id="6295">
    <w:p>
      <w:pPr>
        <w:pStyle w:val="FootnoteText"/>
      </w:pPr>
      <w:r>
        <w:rPr>
          <w:rStyle w:val="FootnoteReference"/>
        </w:rPr>
        <w:footnoteRef/>
      </w:r>
      <w:r>
        <w:t xml:space="preserve"> People-name: Hushathite. People-name meaning: Hushathite — man of haste, or of silence. Source form: Hushathite.</w:t>
      </w:r>
    </w:p>
  </w:footnote>
  <w:footnote w:id="6296">
    <w:p>
      <w:pPr>
        <w:pStyle w:val="FootnoteText"/>
      </w:pPr>
      <w:r>
        <w:rPr>
          <w:rStyle w:val="FootnoteReference"/>
        </w:rPr>
        <w:footnoteRef/>
      </w:r>
      <w:r>
        <w:t xml:space="preserve"> People-name: Netophathite. People-name meaning: Netophathites — people of Netophah; dripping/distillation. Standard English equivalent: Netophathites. Source form: Netophathite.</w:t>
      </w:r>
    </w:p>
  </w:footnote>
  <w:footnote w:id="6297">
    <w:p>
      <w:pPr>
        <w:pStyle w:val="FootnoteText"/>
      </w:pPr>
      <w:r>
        <w:rPr>
          <w:rStyle w:val="FootnoteReference"/>
        </w:rPr>
        <w:footnoteRef/>
      </w:r>
      <w:r>
        <w:t xml:space="preserve"> Cross-references for "Ittai": 1Chr 11:31.</w:t>
      </w:r>
    </w:p>
  </w:footnote>
  <w:footnote w:id="6298">
    <w:p>
      <w:pPr>
        <w:pStyle w:val="FootnoteText"/>
      </w:pPr>
      <w:r>
        <w:rPr>
          <w:rStyle w:val="FootnoteReference"/>
        </w:rPr>
        <w:footnoteRef/>
      </w:r>
      <w:r>
        <w:t xml:space="preserve"> Personal name: Ribai. Personal-name meaning: Ribai — strife. Source form: Ribai.</w:t>
      </w:r>
    </w:p>
  </w:footnote>
  <w:footnote w:id="6299">
    <w:p>
      <w:pPr>
        <w:pStyle w:val="FootnoteText"/>
      </w:pPr>
      <w:r>
        <w:rPr>
          <w:rStyle w:val="FootnoteReference"/>
        </w:rPr>
        <w:footnoteRef/>
      </w:r>
      <w:r>
        <w:t xml:space="preserve"> Cross-references for "Benaiah": 1Chr 11:31; 1Chr 27:14.</w:t>
      </w:r>
    </w:p>
  </w:footnote>
  <w:footnote w:id="6300">
    <w:p>
      <w:pPr>
        <w:pStyle w:val="FootnoteText"/>
      </w:pPr>
      <w:r>
        <w:rPr>
          <w:rStyle w:val="FootnoteReference"/>
        </w:rPr>
        <w:footnoteRef/>
      </w:r>
      <w:r>
        <w:t xml:space="preserve"> Personal name: Huri. Personal-name meaning: Huri — their liberty; their whiteness; their hole. Source form: Huri.</w:t>
      </w:r>
    </w:p>
  </w:footnote>
  <w:footnote w:id="6301">
    <w:p>
      <w:pPr>
        <w:pStyle w:val="FootnoteText"/>
      </w:pPr>
      <w:r>
        <w:rPr>
          <w:rStyle w:val="FootnoteReference"/>
        </w:rPr>
        <w:footnoteRef/>
      </w:r>
      <w:r>
        <w:t xml:space="preserve"> Transliterated proper noun: Azmaveth. Standard English equivalent: Azmaveth. Source form: Azmaveth. Greek form: αζμωθ. Name meaning: strong death; a he-goat.</w:t>
      </w:r>
    </w:p>
  </w:footnote>
  <w:footnote w:id="6302">
    <w:p>
      <w:pPr>
        <w:pStyle w:val="FootnoteText"/>
      </w:pPr>
      <w:r>
        <w:rPr>
          <w:rStyle w:val="FootnoteReference"/>
        </w:rPr>
        <w:footnoteRef/>
      </w:r>
      <w:r>
        <w:t xml:space="preserve"> Personal name: Eliahba. Personal-name meaning: Eliahba — my God the Father. Source form: Eliahba.</w:t>
      </w:r>
    </w:p>
  </w:footnote>
  <w:footnote w:id="6303">
    <w:p>
      <w:pPr>
        <w:pStyle w:val="FootnoteText"/>
      </w:pPr>
      <w:r>
        <w:rPr>
          <w:rStyle w:val="FootnoteReference"/>
        </w:rPr>
        <w:footnoteRef/>
      </w:r>
      <w:r>
        <w:t xml:space="preserve"> People-name: Shaalbonite. People-name meaning: Shaalbonite — a fox's building. Source form: Shaalbonite.</w:t>
      </w:r>
    </w:p>
  </w:footnote>
  <w:footnote w:id="6304">
    <w:p>
      <w:pPr>
        <w:pStyle w:val="FootnoteText"/>
      </w:pPr>
      <w:r>
        <w:rPr>
          <w:rStyle w:val="FootnoteReference"/>
        </w:rPr>
        <w:footnoteRef/>
      </w:r>
      <w:r>
        <w:t xml:space="preserve"> Personal name: Jashen. Personal-name meaning: Jashen — ancient; sleeping. Source form: Jashen.</w:t>
      </w:r>
    </w:p>
  </w:footnote>
  <w:footnote w:id="6305">
    <w:p>
      <w:pPr>
        <w:pStyle w:val="FootnoteText"/>
      </w:pPr>
      <w:r>
        <w:rPr>
          <w:rStyle w:val="FootnoteReference"/>
        </w:rPr>
        <w:footnoteRef/>
      </w:r>
      <w:r>
        <w:t xml:space="preserve"> Cross-references for "Jashen": 1Chr 11:34.</w:t>
      </w:r>
    </w:p>
  </w:footnote>
  <w:footnote w:id="6306">
    <w:p>
      <w:pPr>
        <w:pStyle w:val="FootnoteText"/>
      </w:pPr>
      <w:r>
        <w:rPr>
          <w:rStyle w:val="FootnoteReference"/>
        </w:rPr>
        <w:footnoteRef/>
      </w:r>
      <w:r>
        <w:t xml:space="preserve"> Cross-references for "Shammah": 1Chr 11:27.</w:t>
      </w:r>
    </w:p>
  </w:footnote>
  <w:footnote w:id="6307">
    <w:p>
      <w:pPr>
        <w:pStyle w:val="FootnoteText"/>
      </w:pPr>
      <w:r>
        <w:rPr>
          <w:rStyle w:val="FootnoteReference"/>
        </w:rPr>
        <w:footnoteRef/>
      </w:r>
      <w:r>
        <w:t xml:space="preserve"> People-name: Hararite. People-name meaning: Hararite — mountain person. Source form: Hararite.</w:t>
      </w:r>
    </w:p>
  </w:footnote>
  <w:footnote w:id="6308">
    <w:p>
      <w:pPr>
        <w:pStyle w:val="FootnoteText"/>
      </w:pPr>
      <w:r>
        <w:rPr>
          <w:rStyle w:val="FootnoteReference"/>
        </w:rPr>
        <w:footnoteRef/>
      </w:r>
      <w:r>
        <w:t xml:space="preserve"> Transliterated proper noun: Eliphaleth. Standard English equivalent: Eliphelet. Source form: Eliphaleth. Greek form: αλιφαλεθ. Name meaning: God is deliverance.</w:t>
      </w:r>
    </w:p>
  </w:footnote>
  <w:footnote w:id="6309">
    <w:p>
      <w:pPr>
        <w:pStyle w:val="FootnoteText"/>
      </w:pPr>
      <w:r>
        <w:rPr>
          <w:rStyle w:val="FootnoteReference"/>
        </w:rPr>
        <w:footnoteRef/>
      </w:r>
      <w:r>
        <w:t xml:space="preserve"> Personal name: Ahasbai. Personal-name meaning: Ahasbai — trusting in me; a grown-up brother. Source form: Ahasbai.</w:t>
      </w:r>
    </w:p>
  </w:footnote>
  <w:footnote w:id="6310">
    <w:p>
      <w:pPr>
        <w:pStyle w:val="FootnoteText"/>
      </w:pPr>
      <w:r>
        <w:rPr>
          <w:rStyle w:val="FootnoteReference"/>
        </w:rPr>
        <w:footnoteRef/>
      </w:r>
      <w:r>
        <w:t xml:space="preserve"> Transliterated proper noun: Maachathite. Standard English equivalent: Maachathite. Source form: Maachathite. Greek form: μααχατι. Name meaning: person of Maachah; oppression/squeezing.</w:t>
      </w:r>
    </w:p>
  </w:footnote>
  <w:footnote w:id="6311">
    <w:p>
      <w:pPr>
        <w:pStyle w:val="FootnoteText"/>
      </w:pPr>
      <w:r>
        <w:rPr>
          <w:rStyle w:val="FootnoteReference"/>
        </w:rPr>
        <w:footnoteRef/>
      </w:r>
      <w:r>
        <w:t xml:space="preserve"> Transliterated proper noun: Hezrai. Standard English equivalent: Hezrai. Source form: Hezrai. Greek form: φαραι. Name meaning: an entry or vestibule.</w:t>
      </w:r>
    </w:p>
  </w:footnote>
  <w:footnote w:id="6312">
    <w:p>
      <w:pPr>
        <w:pStyle w:val="FootnoteText"/>
      </w:pPr>
      <w:r>
        <w:rPr>
          <w:rStyle w:val="FootnoteReference"/>
        </w:rPr>
        <w:footnoteRef/>
      </w:r>
      <w:r>
        <w:t xml:space="preserve"> Personal name: Paarai. Personal-name meaning: Paarai — opening. Source form: Paarai.</w:t>
      </w:r>
    </w:p>
  </w:footnote>
  <w:footnote w:id="6313">
    <w:p>
      <w:pPr>
        <w:pStyle w:val="FootnoteText"/>
      </w:pPr>
      <w:r>
        <w:rPr>
          <w:rStyle w:val="FootnoteReference"/>
        </w:rPr>
        <w:footnoteRef/>
      </w:r>
      <w:r>
        <w:t xml:space="preserve"> Cross-references for "Hezrai": 1Chr 11:37.</w:t>
      </w:r>
    </w:p>
  </w:footnote>
  <w:footnote w:id="6314">
    <w:p>
      <w:pPr>
        <w:pStyle w:val="FootnoteText"/>
      </w:pPr>
      <w:r>
        <w:rPr>
          <w:rStyle w:val="FootnoteReference"/>
        </w:rPr>
        <w:footnoteRef/>
      </w:r>
      <w:r>
        <w:t xml:space="preserve"> Cross-references for "Igal": 1Chr 11:38.</w:t>
      </w:r>
    </w:p>
  </w:footnote>
  <w:footnote w:id="6315">
    <w:p>
      <w:pPr>
        <w:pStyle w:val="FootnoteText"/>
      </w:pPr>
      <w:r>
        <w:rPr>
          <w:rStyle w:val="FootnoteReference"/>
        </w:rPr>
        <w:footnoteRef/>
      </w:r>
      <w:r>
        <w:t xml:space="preserve"> Personal name: Zelek. Personal-name meaning: Zelek — the shadow or noise of him that licks or laps. Source form: Zelek.</w:t>
      </w:r>
    </w:p>
  </w:footnote>
  <w:footnote w:id="6316">
    <w:p>
      <w:pPr>
        <w:pStyle w:val="FootnoteText"/>
      </w:pPr>
      <w:r>
        <w:rPr>
          <w:rStyle w:val="FootnoteReference"/>
        </w:rPr>
        <w:footnoteRef/>
      </w:r>
      <w:r>
        <w:t xml:space="preserve"> Cross-references for "Zelek": 1Chr 11:39.</w:t>
      </w:r>
    </w:p>
  </w:footnote>
  <w:footnote w:id="6317">
    <w:p>
      <w:pPr>
        <w:pStyle w:val="FootnoteText"/>
      </w:pPr>
      <w:r>
        <w:rPr>
          <w:rStyle w:val="FootnoteReference"/>
        </w:rPr>
        <w:footnoteRef/>
      </w:r>
      <w:r>
        <w:t xml:space="preserve"> People-name: Ithrite. People-name meaning: Ithrite — Jetherite; one who excels. Source form: Ithrite.</w:t>
      </w:r>
    </w:p>
  </w:footnote>
  <w:footnote w:id="6318">
    <w:p>
      <w:pPr>
        <w:pStyle w:val="FootnoteText"/>
      </w:pPr>
      <w:r>
        <w:rPr>
          <w:rStyle w:val="FootnoteReference"/>
        </w:rPr>
        <w:footnoteRef/>
      </w:r>
      <w:r>
        <w:t xml:space="preserve"> Transliterated proper noun: Gareb. Standard English equivalent: Gareb. Source form: Gareb. Greek form: γαρηβ. Name meaning: a scab.</w:t>
      </w:r>
    </w:p>
  </w:footnote>
  <w:footnote w:id="6319">
    <w:p>
      <w:pPr>
        <w:pStyle w:val="FootnoteText"/>
      </w:pPr>
      <w:r>
        <w:rPr>
          <w:rStyle w:val="FootnoteReference"/>
        </w:rPr>
        <w:footnoteRef/>
      </w:r>
      <w:r>
        <w:t xml:space="preserve"> Cross-references for "Uriah": 2Sam 11:3; 2Sam 11:6-27.</w:t>
      </w:r>
    </w:p>
  </w:footnote>
  <w:footnote w:id="6320">
    <w:p>
      <w:pPr>
        <w:pStyle w:val="FootnoteText"/>
      </w:pPr>
      <w:r>
        <w:rPr>
          <w:rStyle w:val="FootnoteReference"/>
        </w:rPr>
        <w:footnoteRef/>
      </w:r>
      <w:r>
        <w:t xml:space="preserve"> Translation note: Greek states the provocation here with the Lord's anger, not a secondary agent. Current wording preserves that source-row theology.</w:t>
      </w:r>
    </w:p>
  </w:footnote>
  <w:footnote w:id="6321">
    <w:p>
      <w:pPr>
        <w:pStyle w:val="FootnoteText"/>
      </w:pPr>
      <w:r>
        <w:rPr>
          <w:rStyle w:val="FootnoteReference"/>
        </w:rPr>
        <w:footnoteRef/>
      </w:r>
      <w:r>
        <w:t xml:space="preserve"> Cross-references for "again": 2Sam 21:1-14.</w:t>
      </w:r>
    </w:p>
  </w:footnote>
  <w:footnote w:id="6322">
    <w:p>
      <w:pPr>
        <w:pStyle w:val="FootnoteText"/>
      </w:pPr>
      <w:r>
        <w:rPr>
          <w:rStyle w:val="FootnoteReference"/>
        </w:rPr>
        <w:footnoteRef/>
      </w:r>
      <w:r>
        <w:t xml:space="preserve"> Cross-references for "Joab": 2Sam 2:13; 2Sam 8:16.</w:t>
      </w:r>
    </w:p>
  </w:footnote>
  <w:footnote w:id="6323">
    <w:p>
      <w:pPr>
        <w:pStyle w:val="FootnoteText"/>
      </w:pPr>
      <w:r>
        <w:rPr>
          <w:rStyle w:val="FootnoteReference"/>
        </w:rPr>
        <w:footnoteRef/>
      </w:r>
      <w:r>
        <w:t xml:space="preserve"> Translation note: Greek says that title and omits Judah here.</w:t>
      </w:r>
    </w:p>
  </w:footnote>
  <w:footnote w:id="6324">
    <w:p>
      <w:pPr>
        <w:pStyle w:val="FootnoteText"/>
      </w:pPr>
      <w:r>
        <w:rPr>
          <w:rStyle w:val="FootnoteReference"/>
        </w:rPr>
        <w:footnoteRef/>
      </w:r>
      <w:r>
        <w:t xml:space="preserve"> Cross-references for "went out": Exod 1:17; Acts 5:29.</w:t>
      </w:r>
    </w:p>
  </w:footnote>
  <w:footnote w:id="6325">
    <w:p>
      <w:pPr>
        <w:pStyle w:val="FootnoteText"/>
      </w:pPr>
      <w:r>
        <w:rPr>
          <w:rStyle w:val="FootnoteReference"/>
        </w:rPr>
        <w:footnoteRef/>
      </w:r>
      <w:r>
        <w:t xml:space="preserve"> Translation note: Greek uses a prevailed-word line here. Current wording preserves it.</w:t>
      </w:r>
    </w:p>
  </w:footnote>
  <w:footnote w:id="6326">
    <w:p>
      <w:pPr>
        <w:pStyle w:val="FootnoteText"/>
      </w:pPr>
      <w:r>
        <w:rPr>
          <w:rStyle w:val="FootnoteReference"/>
        </w:rPr>
        <w:footnoteRef/>
      </w:r>
      <w:r>
        <w:t xml:space="preserve"> Cross-references for "Aroer": Deut 2:36; Josh 13:9.</w:t>
      </w:r>
    </w:p>
  </w:footnote>
  <w:footnote w:id="6327">
    <w:p>
      <w:pPr>
        <w:pStyle w:val="FootnoteText"/>
      </w:pPr>
      <w:r>
        <w:rPr>
          <w:rStyle w:val="FootnoteReference"/>
        </w:rPr>
        <w:footnoteRef/>
      </w:r>
      <w:r>
        <w:t xml:space="preserve"> Cross-references for "Gilead": Gen 31:21; Gen 31:47-48.</w:t>
      </w:r>
    </w:p>
  </w:footnote>
  <w:footnote w:id="6328">
    <w:p>
      <w:pPr>
        <w:pStyle w:val="FootnoteText"/>
      </w:pPr>
      <w:r>
        <w:rPr>
          <w:rStyle w:val="FootnoteReference"/>
        </w:rPr>
        <w:footnoteRef/>
      </w:r>
      <w:r>
        <w:t xml:space="preserve"> Transliterated proper noun: Tahtim-hodshi. Standard English equivalent: Tahtim-hodshi. Source form: Tahtim-hodshi. Name meaning: lower/new land.</w:t>
      </w:r>
    </w:p>
  </w:footnote>
  <w:footnote w:id="6329">
    <w:p>
      <w:pPr>
        <w:pStyle w:val="FootnoteText"/>
      </w:pPr>
      <w:r>
        <w:rPr>
          <w:rStyle w:val="FootnoteReference"/>
        </w:rPr>
        <w:footnoteRef/>
      </w:r>
      <w:r>
        <w:t xml:space="preserve"> Cross-references for "Tyre": Josh 19:29.</w:t>
      </w:r>
    </w:p>
  </w:footnote>
  <w:footnote w:id="6330">
    <w:p>
      <w:pPr>
        <w:pStyle w:val="FootnoteText"/>
      </w:pPr>
      <w:r>
        <w:rPr>
          <w:rStyle w:val="FootnoteReference"/>
        </w:rPr>
        <w:footnoteRef/>
      </w:r>
      <w:r>
        <w:t xml:space="preserve"> Cross-references for "eight hundred thousand": 1Chr 21:5-6; 1Chr 27:23-24.</w:t>
      </w:r>
    </w:p>
  </w:footnote>
  <w:footnote w:id="6331">
    <w:p>
      <w:pPr>
        <w:pStyle w:val="FootnoteText"/>
      </w:pPr>
      <w:r>
        <w:rPr>
          <w:rStyle w:val="FootnoteReference"/>
        </w:rPr>
        <w:footnoteRef/>
      </w:r>
      <w:r>
        <w:t xml:space="preserve"> Cross-references for "David's heart": 1Sam 24:5; John 8:9.</w:t>
      </w:r>
    </w:p>
  </w:footnote>
  <w:footnote w:id="6332">
    <w:p>
      <w:pPr>
        <w:pStyle w:val="FootnoteText"/>
      </w:pPr>
      <w:r>
        <w:rPr>
          <w:rStyle w:val="FootnoteReference"/>
        </w:rPr>
        <w:footnoteRef/>
      </w:r>
      <w:r>
        <w:t xml:space="preserve"> Cross-references for "seer": 1Sam 9:9.</w:t>
      </w:r>
    </w:p>
  </w:footnote>
  <w:footnote w:id="6333">
    <w:p>
      <w:pPr>
        <w:pStyle w:val="FootnoteText"/>
      </w:pPr>
      <w:r>
        <w:rPr>
          <w:rStyle w:val="FootnoteReference"/>
        </w:rPr>
        <w:footnoteRef/>
      </w:r>
      <w:r>
        <w:t xml:space="preserve"> Translation note: Greek says three days of death to be in your land.</w:t>
      </w:r>
    </w:p>
  </w:footnote>
  <w:footnote w:id="6334">
    <w:p>
      <w:pPr>
        <w:pStyle w:val="FootnoteText"/>
      </w:pPr>
      <w:r>
        <w:rPr>
          <w:rStyle w:val="FootnoteReference"/>
        </w:rPr>
        <w:footnoteRef/>
      </w:r>
      <w:r>
        <w:t xml:space="preserve"> Cross-references for "the Lord": Num 16:46-49; Num 25:9.</w:t>
      </w:r>
    </w:p>
  </w:footnote>
  <w:footnote w:id="6335">
    <w:p>
      <w:pPr>
        <w:pStyle w:val="FootnoteText"/>
      </w:pPr>
      <w:r>
        <w:rPr>
          <w:rStyle w:val="FootnoteReference"/>
        </w:rPr>
        <w:footnoteRef/>
      </w:r>
      <w:r>
        <w:t xml:space="preserve"> Translation note: Greek gives angel of God first and angel of the Lord second.</w:t>
      </w:r>
    </w:p>
  </w:footnote>
  <w:footnote w:id="6336">
    <w:p>
      <w:pPr>
        <w:pStyle w:val="FootnoteText"/>
      </w:pPr>
      <w:r>
        <w:rPr>
          <w:rStyle w:val="FootnoteReference"/>
        </w:rPr>
        <w:footnoteRef/>
      </w:r>
      <w:r>
        <w:t xml:space="preserve"> Personal name: Araunah. Personal-name meaning: Araunah — ark; song; joyful cry. Source form: Araunah.</w:t>
      </w:r>
    </w:p>
  </w:footnote>
  <w:footnote w:id="6337">
    <w:p>
      <w:pPr>
        <w:pStyle w:val="FootnoteText"/>
      </w:pPr>
      <w:r>
        <w:rPr>
          <w:rStyle w:val="FootnoteReference"/>
        </w:rPr>
        <w:footnoteRef/>
      </w:r>
      <w:r>
        <w:t xml:space="preserve"> Cross-references for "the angel": Exod 12:23; 2Kgs 19:35.</w:t>
      </w:r>
    </w:p>
  </w:footnote>
  <w:footnote w:id="6338">
    <w:p>
      <w:pPr>
        <w:pStyle w:val="FootnoteText"/>
      </w:pPr>
      <w:r>
        <w:rPr>
          <w:rStyle w:val="FootnoteReference"/>
        </w:rPr>
        <w:footnoteRef/>
      </w:r>
      <w:r>
        <w:t xml:space="preserve"> Translation note: Greek has David call himself the shepherd. The translation keeps that self-description explicit.</w:t>
      </w:r>
    </w:p>
  </w:footnote>
  <w:footnote w:id="6339">
    <w:p>
      <w:pPr>
        <w:pStyle w:val="FootnoteText"/>
      </w:pPr>
      <w:r>
        <w:rPr>
          <w:rStyle w:val="FootnoteReference"/>
        </w:rPr>
        <w:footnoteRef/>
      </w:r>
      <w:r>
        <w:t xml:space="preserve"> Cross-references for "these sheep": 1Kgs 22:17; Ps 44:11.</w:t>
      </w:r>
    </w:p>
  </w:footnote>
  <w:footnote w:id="6340">
    <w:p>
      <w:pPr>
        <w:pStyle w:val="FootnoteText"/>
      </w:pPr>
      <w:r>
        <w:rPr>
          <w:rStyle w:val="FootnoteReference"/>
        </w:rPr>
        <w:footnoteRef/>
      </w:r>
      <w:r>
        <w:t xml:space="preserve"> Cross-references for "Araunah": 2Sam 24:16.</w:t>
      </w:r>
    </w:p>
  </w:footnote>
  <w:footnote w:id="6341">
    <w:p>
      <w:pPr>
        <w:pStyle w:val="FootnoteText"/>
      </w:pPr>
      <w:r>
        <w:rPr>
          <w:rStyle w:val="FootnoteReference"/>
        </w:rPr>
        <w:footnoteRef/>
      </w:r>
      <w:r>
        <w:t xml:space="preserve"> Cross-references for "as the Lord": Gen 6:22; 1Chr 21:19.</w:t>
      </w:r>
    </w:p>
  </w:footnote>
  <w:footnote w:id="6342">
    <w:p>
      <w:pPr>
        <w:pStyle w:val="FootnoteText"/>
      </w:pPr>
      <w:r>
        <w:rPr>
          <w:rStyle w:val="FootnoteReference"/>
        </w:rPr>
        <w:footnoteRef/>
      </w:r>
      <w:r>
        <w:t xml:space="preserve"> Cross-references for "bowed": Gen 18:2; Ruth 2:10.</w:t>
      </w:r>
    </w:p>
  </w:footnote>
  <w:footnote w:id="6343">
    <w:p>
      <w:pPr>
        <w:pStyle w:val="FootnoteText"/>
      </w:pPr>
      <w:r>
        <w:rPr>
          <w:rStyle w:val="FootnoteReference"/>
        </w:rPr>
        <w:footnoteRef/>
      </w:r>
      <w:r>
        <w:t xml:space="preserve"> Cross-references for "To buy": Gen 23:8-16; 1Chr 21:22.</w:t>
      </w:r>
    </w:p>
  </w:footnote>
  <w:footnote w:id="6344">
    <w:p>
      <w:pPr>
        <w:pStyle w:val="FootnoteText"/>
      </w:pPr>
      <w:r>
        <w:rPr>
          <w:rStyle w:val="FootnoteReference"/>
        </w:rPr>
        <w:footnoteRef/>
      </w:r>
      <w:r>
        <w:t xml:space="preserve"> Cross-references for "Let my lord": Gen 23:11; 1Chr 21:22.</w:t>
      </w:r>
    </w:p>
  </w:footnote>
  <w:footnote w:id="6345">
    <w:p>
      <w:pPr>
        <w:pStyle w:val="FootnoteText"/>
      </w:pPr>
      <w:r>
        <w:rPr>
          <w:rStyle w:val="FootnoteReference"/>
        </w:rPr>
        <w:footnoteRef/>
      </w:r>
      <w:r>
        <w:t xml:space="preserve"> Translation note: Greek literally says the wheels, not threshing instruments. The translation follows that noun closely.</w:t>
      </w:r>
    </w:p>
  </w:footnote>
  <w:footnote w:id="6346">
    <w:p>
      <w:pPr>
        <w:pStyle w:val="FootnoteText"/>
      </w:pPr>
      <w:r>
        <w:rPr>
          <w:rStyle w:val="FootnoteReference"/>
        </w:rPr>
        <w:footnoteRef/>
      </w:r>
      <w:r>
        <w:t xml:space="preserve"> Cross-references for "the Lord": Job 42:8-9; Ps 20:3-4.</w:t>
      </w:r>
    </w:p>
  </w:footnote>
  <w:footnote w:id="6347">
    <w:p>
      <w:pPr>
        <w:pStyle w:val="FootnoteText"/>
      </w:pPr>
      <w:r>
        <w:rPr>
          <w:rStyle w:val="FootnoteReference"/>
        </w:rPr>
        <w:footnoteRef/>
      </w:r>
      <w:r>
        <w:t xml:space="preserve"> Cross-references for "built there": Gen 8:20; Gen 22:9.</w:t>
      </w:r>
    </w:p>
  </w:footnote>
  <w:footnote w:id="6348">
    <w:p>
      <w:pPr>
        <w:pStyle w:val="FootnoteText"/>
      </w:pPr>
      <w:r>
        <w:rPr>
          <w:rStyle w:val="FootnoteReference"/>
        </w:rPr>
        <w:footnoteRef/>
      </w:r>
      <w:r>
        <w:t xml:space="preserve"> Translation note: The Greek here contains an unexpected Solomon clause. Manual Logos export shows NETS and LES and LES2 retaining it, so this draft keeps the expansion visible rather than silently omitting it.</w:t>
      </w:r>
    </w:p>
  </w:footnote>
  <w:footnote w:id="6349">
    <w:p>
      <w:pPr>
        <w:pStyle w:val="FootnoteText"/>
      </w:pPr>
      <w:r>
        <w:rPr>
          <w:rStyle w:val="FootnoteReference"/>
        </w:rPr>
        <w:footnoteRef/>
      </w:r>
      <w:r>
        <w:t xml:space="preserve"> Translation note: Greek says warming him here. Current line keeps that wording.</w:t>
      </w:r>
    </w:p>
  </w:footnote>
  <w:footnote w:id="6350">
    <w:p>
      <w:pPr>
        <w:pStyle w:val="FootnoteText"/>
      </w:pPr>
      <w:r>
        <w:rPr>
          <w:rStyle w:val="FootnoteReference"/>
        </w:rPr>
        <w:footnoteRef/>
      </w:r>
      <w:r>
        <w:t xml:space="preserve"> Personal name: Abishag. Personal-name meaning: Abishag — ignorance of the father. Source form: Abishag.</w:t>
      </w:r>
    </w:p>
  </w:footnote>
  <w:footnote w:id="6351">
    <w:p>
      <w:pPr>
        <w:pStyle w:val="FootnoteText"/>
      </w:pPr>
      <w:r>
        <w:rPr>
          <w:rStyle w:val="FootnoteReference"/>
        </w:rPr>
        <w:footnoteRef/>
      </w:r>
      <w:r>
        <w:t xml:space="preserve"> People-name: Shunammite. People-name meaning: Shunammite — person of Shunem; double resting place. Source form: Shunammite.</w:t>
      </w:r>
    </w:p>
  </w:footnote>
  <w:footnote w:id="6352">
    <w:p>
      <w:pPr>
        <w:pStyle w:val="FootnoteText"/>
      </w:pPr>
      <w:r>
        <w:rPr>
          <w:rStyle w:val="FootnoteReference"/>
        </w:rPr>
        <w:footnoteRef/>
      </w:r>
      <w:r>
        <w:t xml:space="preserve"> Cross-references for "Abishag": 1Kgs 2:17-25.</w:t>
      </w:r>
    </w:p>
  </w:footnote>
  <w:footnote w:id="6353">
    <w:p>
      <w:pPr>
        <w:pStyle w:val="FootnoteText"/>
      </w:pPr>
      <w:r>
        <w:rPr>
          <w:rStyle w:val="FootnoteReference"/>
        </w:rPr>
        <w:footnoteRef/>
      </w:r>
      <w:r>
        <w:t xml:space="preserve"> Cross-references for "Adonijah": 2Sam 3:4; 1Chr 3:2.</w:t>
      </w:r>
    </w:p>
  </w:footnote>
  <w:footnote w:id="6354">
    <w:p>
      <w:pPr>
        <w:pStyle w:val="FootnoteText"/>
      </w:pPr>
      <w:r>
        <w:rPr>
          <w:rStyle w:val="FootnoteReference"/>
        </w:rPr>
        <w:footnoteRef/>
      </w:r>
      <w:r>
        <w:t xml:space="preserve"> Cross-references for "very": 1Sam 9:2; 1Sam 10:23.</w:t>
      </w:r>
    </w:p>
  </w:footnote>
  <w:footnote w:id="6355">
    <w:p>
      <w:pPr>
        <w:pStyle w:val="FootnoteText"/>
      </w:pPr>
      <w:r>
        <w:rPr>
          <w:rStyle w:val="FootnoteReference"/>
        </w:rPr>
        <w:footnoteRef/>
      </w:r>
      <w:r>
        <w:t xml:space="preserve"> Cross-references for "Joab": 2Sam 8:16; 2Sam 20:23.</w:t>
      </w:r>
    </w:p>
  </w:footnote>
  <w:footnote w:id="6356">
    <w:p>
      <w:pPr>
        <w:pStyle w:val="FootnoteText"/>
      </w:pPr>
      <w:r>
        <w:rPr>
          <w:rStyle w:val="FootnoteReference"/>
        </w:rPr>
        <w:footnoteRef/>
      </w:r>
      <w:r>
        <w:t xml:space="preserve"> Cross-references for "Zadok": 2Sam 8:17-18; 2Sam 20:25.</w:t>
      </w:r>
    </w:p>
  </w:footnote>
  <w:footnote w:id="6357">
    <w:p>
      <w:pPr>
        <w:pStyle w:val="FootnoteText"/>
      </w:pPr>
      <w:r>
        <w:rPr>
          <w:rStyle w:val="FootnoteReference"/>
        </w:rPr>
        <w:footnoteRef/>
      </w:r>
      <w:r>
        <w:t xml:space="preserve"> Personal name: Rei. Personal-name meaning: Rei — my shepherd; my companion; my friend. Source form: Rei.</w:t>
      </w:r>
    </w:p>
  </w:footnote>
  <w:footnote w:id="6358">
    <w:p>
      <w:pPr>
        <w:pStyle w:val="FootnoteText"/>
      </w:pPr>
      <w:r>
        <w:rPr>
          <w:rStyle w:val="FootnoteReference"/>
        </w:rPr>
        <w:footnoteRef/>
      </w:r>
      <w:r>
        <w:t xml:space="preserve"> Transliterated proper noun: Zoheleth. Standard English equivalent: Zoheleth. Source form: Zoheleth. Greek form: ζωελεθ. Name meaning: that creeps, slides, or draws.</w:t>
      </w:r>
    </w:p>
  </w:footnote>
  <w:footnote w:id="6359">
    <w:p>
      <w:pPr>
        <w:pStyle w:val="FootnoteText"/>
      </w:pPr>
      <w:r>
        <w:rPr>
          <w:rStyle w:val="FootnoteReference"/>
        </w:rPr>
        <w:footnoteRef/>
      </w:r>
      <w:r>
        <w:t xml:space="preserve"> Cross-references for "Enrogel": 2Sam 17:17.</w:t>
      </w:r>
    </w:p>
  </w:footnote>
  <w:footnote w:id="6360">
    <w:p>
      <w:pPr>
        <w:pStyle w:val="FootnoteText"/>
      </w:pPr>
      <w:r>
        <w:rPr>
          <w:rStyle w:val="FootnoteReference"/>
        </w:rPr>
        <w:footnoteRef/>
      </w:r>
      <w:r>
        <w:t xml:space="preserve"> Cross-references for "Nathan": 2Sam 7:12-17; 2Sam 12:24-25.</w:t>
      </w:r>
    </w:p>
  </w:footnote>
  <w:footnote w:id="6361">
    <w:p>
      <w:pPr>
        <w:pStyle w:val="FootnoteText"/>
      </w:pPr>
      <w:r>
        <w:rPr>
          <w:rStyle w:val="FootnoteReference"/>
        </w:rPr>
        <w:footnoteRef/>
      </w:r>
      <w:r>
        <w:t xml:space="preserve"> Cross-references for "let me": Prov 11:14; Prov 20:18.</w:t>
      </w:r>
    </w:p>
  </w:footnote>
  <w:footnote w:id="6362">
    <w:p>
      <w:pPr>
        <w:pStyle w:val="FootnoteText"/>
      </w:pPr>
      <w:r>
        <w:rPr>
          <w:rStyle w:val="FootnoteReference"/>
        </w:rPr>
        <w:footnoteRef/>
      </w:r>
      <w:r>
        <w:t xml:space="preserve"> Translation note: Greek frames this as a direct question here. Current line keeps that form.</w:t>
      </w:r>
    </w:p>
  </w:footnote>
  <w:footnote w:id="6363">
    <w:p>
      <w:pPr>
        <w:pStyle w:val="FootnoteText"/>
      </w:pPr>
      <w:r>
        <w:rPr>
          <w:rStyle w:val="FootnoteReference"/>
        </w:rPr>
        <w:footnoteRef/>
      </w:r>
      <w:r>
        <w:t xml:space="preserve"> Cross-references for "very old": 1Kgs 1:2-4.</w:t>
      </w:r>
    </w:p>
  </w:footnote>
  <w:footnote w:id="6364">
    <w:p>
      <w:pPr>
        <w:pStyle w:val="FootnoteText"/>
      </w:pPr>
      <w:r>
        <w:rPr>
          <w:rStyle w:val="FootnoteReference"/>
        </w:rPr>
        <w:footnoteRef/>
      </w:r>
      <w:r>
        <w:t xml:space="preserve"> Cross-references for "bowed": 1Sam 20:41; 1Sam 24:8.</w:t>
      </w:r>
    </w:p>
  </w:footnote>
  <w:footnote w:id="6365">
    <w:p>
      <w:pPr>
        <w:pStyle w:val="FootnoteText"/>
      </w:pPr>
      <w:r>
        <w:rPr>
          <w:rStyle w:val="FootnoteReference"/>
        </w:rPr>
        <w:footnoteRef/>
      </w:r>
      <w:r>
        <w:t xml:space="preserve"> Cross-references for "My lord": Gen 18:12; 1Pet 3:6.</w:t>
      </w:r>
    </w:p>
  </w:footnote>
  <w:footnote w:id="6366">
    <w:p>
      <w:pPr>
        <w:pStyle w:val="FootnoteText"/>
      </w:pPr>
      <w:r>
        <w:rPr>
          <w:rStyle w:val="FootnoteReference"/>
        </w:rPr>
        <w:footnoteRef/>
      </w:r>
      <w:r>
        <w:t xml:space="preserve"> Cross-references for "Adonijah": 2Sam 15:10; 1Kgs 1:5.</w:t>
      </w:r>
    </w:p>
  </w:footnote>
  <w:footnote w:id="6367">
    <w:p>
      <w:pPr>
        <w:pStyle w:val="FootnoteText"/>
      </w:pPr>
      <w:r>
        <w:rPr>
          <w:rStyle w:val="FootnoteReference"/>
        </w:rPr>
        <w:footnoteRef/>
      </w:r>
      <w:r>
        <w:t xml:space="preserve"> Translation note: Greek ends with a direct contrast line. Current wording preserves it.</w:t>
      </w:r>
    </w:p>
  </w:footnote>
  <w:footnote w:id="6368">
    <w:p>
      <w:pPr>
        <w:pStyle w:val="FootnoteText"/>
      </w:pPr>
      <w:r>
        <w:rPr>
          <w:rStyle w:val="FootnoteReference"/>
        </w:rPr>
        <w:footnoteRef/>
      </w:r>
      <w:r>
        <w:t xml:space="preserve"> Cross-references for "the eyes": 2Chr 20:12; Ps 25:15.</w:t>
      </w:r>
    </w:p>
  </w:footnote>
  <w:footnote w:id="6369">
    <w:p>
      <w:pPr>
        <w:pStyle w:val="FootnoteText"/>
      </w:pPr>
      <w:r>
        <w:rPr>
          <w:rStyle w:val="FootnoteReference"/>
        </w:rPr>
        <w:footnoteRef/>
      </w:r>
      <w:r>
        <w:t xml:space="preserve"> Cross-references for "reign": 1Kgs 1:5; 1Kgs 1:13.</w:t>
      </w:r>
    </w:p>
  </w:footnote>
  <w:footnote w:id="6370">
    <w:p>
      <w:pPr>
        <w:pStyle w:val="FootnoteText"/>
      </w:pPr>
      <w:r>
        <w:rPr>
          <w:rStyle w:val="FootnoteReference"/>
        </w:rPr>
        <w:footnoteRef/>
      </w:r>
      <w:r>
        <w:t xml:space="preserve"> Translation note: Greek keeps direct royal acclamation.</w:t>
      </w:r>
    </w:p>
  </w:footnote>
  <w:footnote w:id="6371">
    <w:p>
      <w:pPr>
        <w:pStyle w:val="FootnoteText"/>
      </w:pPr>
      <w:r>
        <w:rPr>
          <w:rStyle w:val="FootnoteReference"/>
        </w:rPr>
        <w:footnoteRef/>
      </w:r>
      <w:r>
        <w:t xml:space="preserve"> Cross-references for "As the": Judg 8:19; 1Sam 14:39.</w:t>
      </w:r>
    </w:p>
  </w:footnote>
  <w:footnote w:id="6372">
    <w:p>
      <w:pPr>
        <w:pStyle w:val="FootnoteText"/>
      </w:pPr>
      <w:r>
        <w:rPr>
          <w:rStyle w:val="FootnoteReference"/>
        </w:rPr>
        <w:footnoteRef/>
      </w:r>
      <w:r>
        <w:t xml:space="preserve"> Cross-references for "Zadok": 1Kgs 1:8; 1Kgs 1:26.</w:t>
      </w:r>
    </w:p>
  </w:footnote>
  <w:footnote w:id="6373">
    <w:p>
      <w:pPr>
        <w:pStyle w:val="FootnoteText"/>
      </w:pPr>
      <w:r>
        <w:rPr>
          <w:rStyle w:val="FootnoteReference"/>
        </w:rPr>
        <w:footnoteRef/>
      </w:r>
      <w:r>
        <w:t xml:space="preserve"> Cross-references for "Take": 2Sam 20:6.</w:t>
      </w:r>
    </w:p>
  </w:footnote>
  <w:footnote w:id="6374">
    <w:p>
      <w:pPr>
        <w:pStyle w:val="FootnoteText"/>
      </w:pPr>
      <w:r>
        <w:rPr>
          <w:rStyle w:val="FootnoteReference"/>
        </w:rPr>
        <w:footnoteRef/>
      </w:r>
      <w:r>
        <w:t xml:space="preserve"> Cross-references for "Zadok": 1Sam 10:1; 1Sam 16:3.</w:t>
      </w:r>
    </w:p>
  </w:footnote>
  <w:footnote w:id="6375">
    <w:p>
      <w:pPr>
        <w:pStyle w:val="FootnoteText"/>
      </w:pPr>
      <w:r>
        <w:rPr>
          <w:rStyle w:val="FootnoteReference"/>
        </w:rPr>
        <w:footnoteRef/>
      </w:r>
      <w:r>
        <w:t xml:space="preserve"> Cross-references for "the Lord": 1Sam 25:29; 1Chr 17:27.</w:t>
      </w:r>
    </w:p>
  </w:footnote>
  <w:footnote w:id="6376">
    <w:p>
      <w:pPr>
        <w:pStyle w:val="FootnoteText"/>
      </w:pPr>
      <w:r>
        <w:rPr>
          <w:rStyle w:val="FootnoteReference"/>
        </w:rPr>
        <w:footnoteRef/>
      </w:r>
      <w:r>
        <w:t xml:space="preserve"> Cross-references for "as the": Exod 3:12; Josh 1:5.</w:t>
      </w:r>
    </w:p>
  </w:footnote>
  <w:footnote w:id="6377">
    <w:p>
      <w:pPr>
        <w:pStyle w:val="FootnoteText"/>
      </w:pPr>
      <w:r>
        <w:rPr>
          <w:rStyle w:val="FootnoteReference"/>
        </w:rPr>
        <w:footnoteRef/>
      </w:r>
      <w:r>
        <w:t xml:space="preserve"> Cross-references for "Zadok": 1Kgs 1:8; 1Kgs 1:26.</w:t>
      </w:r>
    </w:p>
  </w:footnote>
  <w:footnote w:id="6378">
    <w:p>
      <w:pPr>
        <w:pStyle w:val="FootnoteText"/>
      </w:pPr>
      <w:r>
        <w:rPr>
          <w:rStyle w:val="FootnoteReference"/>
        </w:rPr>
        <w:footnoteRef/>
      </w:r>
      <w:r>
        <w:t xml:space="preserve"> Cross-references for "anointed": 1Chr 29:22.</w:t>
      </w:r>
    </w:p>
  </w:footnote>
  <w:footnote w:id="6379">
    <w:p>
      <w:pPr>
        <w:pStyle w:val="FootnoteText"/>
      </w:pPr>
      <w:r>
        <w:rPr>
          <w:rStyle w:val="FootnoteReference"/>
        </w:rPr>
        <w:footnoteRef/>
      </w:r>
      <w:r>
        <w:t xml:space="preserve"> Cross-references for "Jonathan": 2Sam 15:36; 2Sam 17:17.</w:t>
      </w:r>
    </w:p>
  </w:footnote>
  <w:footnote w:id="6380">
    <w:p>
      <w:pPr>
        <w:pStyle w:val="FootnoteText"/>
      </w:pPr>
      <w:r>
        <w:rPr>
          <w:rStyle w:val="FootnoteReference"/>
        </w:rPr>
        <w:footnoteRef/>
      </w:r>
      <w:r>
        <w:t xml:space="preserve"> Cross-references for "Gihon": 2Chr 32:30.</w:t>
      </w:r>
    </w:p>
  </w:footnote>
  <w:footnote w:id="6381">
    <w:p>
      <w:pPr>
        <w:pStyle w:val="FootnoteText"/>
      </w:pPr>
      <w:r>
        <w:rPr>
          <w:rStyle w:val="FootnoteReference"/>
        </w:rPr>
        <w:footnoteRef/>
      </w:r>
      <w:r>
        <w:t xml:space="preserve"> Cross-references for "bless": Exod 12:32; 2Sam 8:10.</w:t>
      </w:r>
    </w:p>
  </w:footnote>
  <w:footnote w:id="6382">
    <w:p>
      <w:pPr>
        <w:pStyle w:val="FootnoteText"/>
      </w:pPr>
      <w:r>
        <w:rPr>
          <w:rStyle w:val="FootnoteReference"/>
        </w:rPr>
        <w:footnoteRef/>
      </w:r>
      <w:r>
        <w:t xml:space="preserve"> Translation note: Greek says make Solomon's name better and enlarge his throne.</w:t>
      </w:r>
    </w:p>
  </w:footnote>
  <w:footnote w:id="6383">
    <w:p>
      <w:pPr>
        <w:pStyle w:val="FootnoteText"/>
      </w:pPr>
      <w:r>
        <w:rPr>
          <w:rStyle w:val="FootnoteReference"/>
        </w:rPr>
        <w:footnoteRef/>
      </w:r>
      <w:r>
        <w:t xml:space="preserve"> Cross-references for "Blessed": Gen 14:20; 1Chr 29:10.</w:t>
      </w:r>
    </w:p>
  </w:footnote>
  <w:footnote w:id="6384">
    <w:p>
      <w:pPr>
        <w:pStyle w:val="FootnoteText"/>
      </w:pPr>
      <w:r>
        <w:rPr>
          <w:rStyle w:val="FootnoteReference"/>
        </w:rPr>
        <w:footnoteRef/>
      </w:r>
      <w:r>
        <w:t xml:space="preserve"> Cross-references for "Go to": 2Sam 14:24; 2Sam 14:28.</w:t>
      </w:r>
    </w:p>
  </w:footnote>
  <w:footnote w:id="6385">
    <w:p>
      <w:pPr>
        <w:pStyle w:val="FootnoteText"/>
      </w:pPr>
      <w:r>
        <w:rPr>
          <w:rStyle w:val="FootnoteReference"/>
        </w:rPr>
        <w:footnoteRef/>
      </w:r>
      <w:r>
        <w:t xml:space="preserve"> Cross-references for "the days": Gen 47:29; Deut 31:14.</w:t>
      </w:r>
    </w:p>
  </w:footnote>
  <w:footnote w:id="6386">
    <w:p>
      <w:pPr>
        <w:pStyle w:val="FootnoteText"/>
      </w:pPr>
      <w:r>
        <w:rPr>
          <w:rStyle w:val="FootnoteReference"/>
        </w:rPr>
        <w:footnoteRef/>
      </w:r>
      <w:r>
        <w:t xml:space="preserve"> Cross-references for "written": Deut 17:18-20; Mal 4:4.</w:t>
      </w:r>
    </w:p>
  </w:footnote>
  <w:footnote w:id="6387">
    <w:p>
      <w:pPr>
        <w:pStyle w:val="FootnoteText"/>
      </w:pPr>
      <w:r>
        <w:rPr>
          <w:rStyle w:val="FootnoteReference"/>
        </w:rPr>
        <w:footnoteRef/>
      </w:r>
      <w:r>
        <w:t xml:space="preserve"> Cross-references for "that the Lord": Gen 18:19; Deut 7:12.</w:t>
      </w:r>
    </w:p>
  </w:footnote>
  <w:footnote w:id="6388">
    <w:p>
      <w:pPr>
        <w:pStyle w:val="FootnoteText"/>
      </w:pPr>
      <w:r>
        <w:rPr>
          <w:rStyle w:val="FootnoteReference"/>
        </w:rPr>
        <w:footnoteRef/>
      </w:r>
      <w:r>
        <w:t xml:space="preserve"> Translation note: Greek frames the promise with destroyed-language rather than fail-language.</w:t>
      </w:r>
    </w:p>
  </w:footnote>
  <w:footnote w:id="6389">
    <w:p>
      <w:pPr>
        <w:pStyle w:val="FootnoteText"/>
      </w:pPr>
      <w:r>
        <w:rPr>
          <w:rStyle w:val="FootnoteReference"/>
        </w:rPr>
        <w:footnoteRef/>
      </w:r>
      <w:r>
        <w:t xml:space="preserve"> Cross-references for "Joab": 2Sam 3:39; 2Sam 18:5.</w:t>
      </w:r>
    </w:p>
  </w:footnote>
  <w:footnote w:id="6390">
    <w:p>
      <w:pPr>
        <w:pStyle w:val="FootnoteText"/>
      </w:pPr>
      <w:r>
        <w:rPr>
          <w:rStyle w:val="FootnoteReference"/>
        </w:rPr>
        <w:footnoteRef/>
      </w:r>
      <w:r>
        <w:t xml:space="preserve"> Translation note: Greek wording is vivid and awkward here. Current line keeps the blood imagery rather than smoothing it away.</w:t>
      </w:r>
    </w:p>
  </w:footnote>
  <w:footnote w:id="6391">
    <w:p>
      <w:pPr>
        <w:pStyle w:val="FootnoteText"/>
      </w:pPr>
      <w:r>
        <w:rPr>
          <w:rStyle w:val="FootnoteReference"/>
        </w:rPr>
        <w:footnoteRef/>
      </w:r>
      <w:r>
        <w:t xml:space="preserve"> Cross-references for "Barzillai": 2Sam 17:27-29; 2Sam 19:31-40.</w:t>
      </w:r>
    </w:p>
  </w:footnote>
  <w:footnote w:id="6392">
    <w:p>
      <w:pPr>
        <w:pStyle w:val="FootnoteText"/>
      </w:pPr>
      <w:r>
        <w:rPr>
          <w:rStyle w:val="FootnoteReference"/>
        </w:rPr>
        <w:footnoteRef/>
      </w:r>
      <w:r>
        <w:t xml:space="preserve"> Cross-references for "Shimei": 2Sam 16:5-8; 1Kgs 2:36-46.</w:t>
      </w:r>
    </w:p>
  </w:footnote>
  <w:footnote w:id="6393">
    <w:p>
      <w:pPr>
        <w:pStyle w:val="FootnoteText"/>
      </w:pPr>
      <w:r>
        <w:rPr>
          <w:rStyle w:val="FootnoteReference"/>
        </w:rPr>
        <w:footnoteRef/>
      </w:r>
      <w:r>
        <w:t xml:space="preserve"> Translation note: Greek says day when I was going to the Camps.</w:t>
      </w:r>
    </w:p>
  </w:footnote>
  <w:footnote w:id="6394">
    <w:p>
      <w:pPr>
        <w:pStyle w:val="FootnoteText"/>
      </w:pPr>
      <w:r>
        <w:rPr>
          <w:rStyle w:val="FootnoteReference"/>
        </w:rPr>
        <w:footnoteRef/>
      </w:r>
      <w:r>
        <w:t xml:space="preserve"> Cross-references for "hold him": Exod 20:7; Exod 22:28.</w:t>
      </w:r>
    </w:p>
  </w:footnote>
  <w:footnote w:id="6395">
    <w:p>
      <w:pPr>
        <w:pStyle w:val="FootnoteText"/>
      </w:pPr>
      <w:r>
        <w:rPr>
          <w:rStyle w:val="FootnoteReference"/>
        </w:rPr>
        <w:footnoteRef/>
      </w:r>
      <w:r>
        <w:t xml:space="preserve"> Cross-references for "reigned over": 2Sam 5:4; 1Chr 29:26-27.</w:t>
      </w:r>
    </w:p>
  </w:footnote>
  <w:footnote w:id="6396">
    <w:p>
      <w:pPr>
        <w:pStyle w:val="FootnoteText"/>
      </w:pPr>
      <w:r>
        <w:rPr>
          <w:rStyle w:val="FootnoteReference"/>
        </w:rPr>
        <w:footnoteRef/>
      </w:r>
      <w:r>
        <w:t xml:space="preserve"> Cross-references for "his kingdom": 2Sam 7:12-13; 2Sam 7:29.</w:t>
      </w:r>
    </w:p>
  </w:footnote>
  <w:footnote w:id="6397">
    <w:p>
      <w:pPr>
        <w:pStyle w:val="FootnoteText"/>
      </w:pPr>
      <w:r>
        <w:rPr>
          <w:rStyle w:val="FootnoteReference"/>
        </w:rPr>
        <w:footnoteRef/>
      </w:r>
      <w:r>
        <w:t xml:space="preserve"> Cross-references for "Adonijah": 1Kgs 1:5-10; 1Kgs 1:50-53.</w:t>
      </w:r>
    </w:p>
  </w:footnote>
  <w:footnote w:id="6398">
    <w:p>
      <w:pPr>
        <w:pStyle w:val="FootnoteText"/>
      </w:pPr>
      <w:r>
        <w:rPr>
          <w:rStyle w:val="FootnoteReference"/>
        </w:rPr>
        <w:footnoteRef/>
      </w:r>
      <w:r>
        <w:t xml:space="preserve"> Cross-references for "Abishag": 2Sam 3:7; 2Sam 12:8.</w:t>
      </w:r>
    </w:p>
  </w:footnote>
  <w:footnote w:id="6399">
    <w:p>
      <w:pPr>
        <w:pStyle w:val="FootnoteText"/>
      </w:pPr>
      <w:r>
        <w:rPr>
          <w:rStyle w:val="FootnoteReference"/>
        </w:rPr>
        <w:footnoteRef/>
      </w:r>
      <w:r>
        <w:t xml:space="preserve"> Translation note: Greek says king kissed her.</w:t>
      </w:r>
    </w:p>
  </w:footnote>
  <w:footnote w:id="6400">
    <w:p>
      <w:pPr>
        <w:pStyle w:val="FootnoteText"/>
      </w:pPr>
      <w:r>
        <w:rPr>
          <w:rStyle w:val="FootnoteReference"/>
        </w:rPr>
        <w:footnoteRef/>
      </w:r>
      <w:r>
        <w:t xml:space="preserve"> Cross-references for "she sat": Ps 45:9; Ps 110:1.</w:t>
      </w:r>
    </w:p>
  </w:footnote>
  <w:footnote w:id="6401">
    <w:p>
      <w:pPr>
        <w:pStyle w:val="FootnoteText"/>
      </w:pPr>
      <w:r>
        <w:rPr>
          <w:rStyle w:val="FootnoteReference"/>
        </w:rPr>
        <w:footnoteRef/>
      </w:r>
      <w:r>
        <w:t xml:space="preserve"> Cross-references for "Let Abishag": 2Sam 16:21-22.</w:t>
      </w:r>
    </w:p>
  </w:footnote>
  <w:footnote w:id="6402">
    <w:p>
      <w:pPr>
        <w:pStyle w:val="FootnoteText"/>
      </w:pPr>
      <w:r>
        <w:rPr>
          <w:rStyle w:val="FootnoteReference"/>
        </w:rPr>
        <w:footnoteRef/>
      </w:r>
      <w:r>
        <w:t xml:space="preserve"> Cross-references for "the kingdom": 1Kgs 1:5-7; 1Kgs 1:11.</w:t>
      </w:r>
    </w:p>
  </w:footnote>
  <w:footnote w:id="6403">
    <w:p>
      <w:pPr>
        <w:pStyle w:val="FootnoteText"/>
      </w:pPr>
      <w:r>
        <w:rPr>
          <w:rStyle w:val="FootnoteReference"/>
        </w:rPr>
        <w:footnoteRef/>
      </w:r>
      <w:r>
        <w:t xml:space="preserve"> Cross-references for "as the Lord": 1Kgs 1:29.</w:t>
      </w:r>
    </w:p>
  </w:footnote>
  <w:footnote w:id="6404">
    <w:p>
      <w:pPr>
        <w:pStyle w:val="FootnoteText"/>
      </w:pPr>
      <w:r>
        <w:rPr>
          <w:rStyle w:val="FootnoteReference"/>
        </w:rPr>
        <w:footnoteRef/>
      </w:r>
      <w:r>
        <w:t xml:space="preserve"> Cross-references for "Abiathar": 1Kgs 1:7; 1Kgs 1:25.</w:t>
      </w:r>
    </w:p>
  </w:footnote>
  <w:footnote w:id="6405">
    <w:p>
      <w:pPr>
        <w:pStyle w:val="FootnoteText"/>
      </w:pPr>
      <w:r>
        <w:rPr>
          <w:rStyle w:val="FootnoteReference"/>
        </w:rPr>
        <w:footnoteRef/>
      </w:r>
      <w:r>
        <w:t xml:space="preserve"> Cross-references for "Joab had": Deut 32:35; 2Sam 18:2.</w:t>
      </w:r>
    </w:p>
  </w:footnote>
  <w:footnote w:id="6406">
    <w:p>
      <w:pPr>
        <w:pStyle w:val="FootnoteText"/>
      </w:pPr>
      <w:r>
        <w:rPr>
          <w:rStyle w:val="FootnoteReference"/>
        </w:rPr>
        <w:footnoteRef/>
      </w:r>
      <w:r>
        <w:t xml:space="preserve"> Translation note: Greek says I will not come out, because I will die here.</w:t>
      </w:r>
    </w:p>
  </w:footnote>
  <w:footnote w:id="6407">
    <w:p>
      <w:pPr>
        <w:pStyle w:val="FootnoteText"/>
      </w:pPr>
      <w:r>
        <w:rPr>
          <w:rStyle w:val="FootnoteReference"/>
        </w:rPr>
        <w:footnoteRef/>
      </w:r>
      <w:r>
        <w:t xml:space="preserve"> Cross-references for "and from": 2Sam 3:28.</w:t>
      </w:r>
    </w:p>
  </w:footnote>
  <w:footnote w:id="6408">
    <w:p>
      <w:pPr>
        <w:pStyle w:val="FootnoteText"/>
      </w:pPr>
      <w:r>
        <w:rPr>
          <w:rStyle w:val="FootnoteReference"/>
        </w:rPr>
        <w:footnoteRef/>
      </w:r>
      <w:r>
        <w:t xml:space="preserve"> Translation note: Greek says because he met two men more righteous and better than he and killed them.</w:t>
      </w:r>
    </w:p>
  </w:footnote>
  <w:footnote w:id="6409">
    <w:p>
      <w:pPr>
        <w:pStyle w:val="FootnoteText"/>
      </w:pPr>
      <w:r>
        <w:rPr>
          <w:rStyle w:val="FootnoteReference"/>
        </w:rPr>
        <w:footnoteRef/>
      </w:r>
      <w:r>
        <w:t xml:space="preserve"> Cross-references for "two men": 2Sam 3:27; 2Sam 20:10.</w:t>
      </w:r>
    </w:p>
  </w:footnote>
  <w:footnote w:id="6410">
    <w:p>
      <w:pPr>
        <w:pStyle w:val="FootnoteText"/>
      </w:pPr>
      <w:r>
        <w:rPr>
          <w:rStyle w:val="FootnoteReference"/>
        </w:rPr>
        <w:footnoteRef/>
      </w:r>
      <w:r>
        <w:t xml:space="preserve"> Translation note: Greek says their blood returned upon his head.</w:t>
      </w:r>
    </w:p>
  </w:footnote>
  <w:footnote w:id="6411">
    <w:p>
      <w:pPr>
        <w:pStyle w:val="FootnoteText"/>
      </w:pPr>
      <w:r>
        <w:rPr>
          <w:rStyle w:val="FootnoteReference"/>
        </w:rPr>
        <w:footnoteRef/>
      </w:r>
      <w:r>
        <w:t xml:space="preserve"> Cross-references for "his house": Ps 89:29; Ps 89:36-37.</w:t>
      </w:r>
    </w:p>
  </w:footnote>
  <w:footnote w:id="6412">
    <w:p>
      <w:pPr>
        <w:pStyle w:val="FootnoteText"/>
      </w:pPr>
      <w:r>
        <w:rPr>
          <w:rStyle w:val="FootnoteReference"/>
        </w:rPr>
        <w:footnoteRef/>
      </w:r>
      <w:r>
        <w:t xml:space="preserve"> Cross-references for "Benaiah": 1Kgs 2:25; 1Kgs 2:31.</w:t>
      </w:r>
    </w:p>
  </w:footnote>
  <w:footnote w:id="6413">
    <w:p>
      <w:pPr>
        <w:pStyle w:val="FootnoteText"/>
      </w:pPr>
      <w:r>
        <w:rPr>
          <w:rStyle w:val="FootnoteReference"/>
        </w:rPr>
        <w:footnoteRef/>
      </w:r>
      <w:r>
        <w:t xml:space="preserve"> Cross-references for "Zadok": Num 25:11-13; 1Sam 2:35.</w:t>
      </w:r>
    </w:p>
  </w:footnote>
  <w:footnote w:id="6414">
    <w:p>
      <w:pPr>
        <w:pStyle w:val="FootnoteText"/>
      </w:pPr>
      <w:r>
        <w:rPr>
          <w:rStyle w:val="FootnoteReference"/>
        </w:rPr>
        <w:footnoteRef/>
      </w:r>
      <w:r>
        <w:t xml:space="preserve"> Place name: Baalath. Place-name meaning: Baalath — a rejoicing; our proud lord. Source form: Baalath. Greek form: βααλαθ.</w:t>
      </w:r>
    </w:p>
  </w:footnote>
  <w:footnote w:id="6415">
    <w:p>
      <w:pPr>
        <w:pStyle w:val="FootnoteText"/>
      </w:pPr>
      <w:r>
        <w:rPr>
          <w:rStyle w:val="FootnoteReference"/>
        </w:rPr>
        <w:footnoteRef/>
      </w:r>
      <w:r>
        <w:t xml:space="preserve"> Translation note: The Greek text here contains long expansion after verse 35. The available witnesses confirm Rahlfs and Swete and NETS and LES and LES2 all retain it as 35a-35o in main text. This draft leaves added block in place so textual shape of witness remains visible.</w:t>
      </w:r>
    </w:p>
  </w:footnote>
  <w:footnote w:id="6416">
    <w:p>
      <w:pPr>
        <w:pStyle w:val="FootnoteText"/>
      </w:pPr>
      <w:r>
        <w:rPr>
          <w:rStyle w:val="FootnoteReference"/>
        </w:rPr>
        <w:footnoteRef/>
      </w:r>
      <w:r>
        <w:t xml:space="preserve"> MT/LXX note: The Septuagint verse expands far beyond the shorter Hebrew-aligned form here. The rendering follows the longer Greek narrative rather than collapsing it to the MT-shaped line.</w:t>
      </w:r>
    </w:p>
  </w:footnote>
  <w:footnote w:id="6417">
    <w:p>
      <w:pPr>
        <w:pStyle w:val="FootnoteText"/>
      </w:pPr>
      <w:r>
        <w:rPr>
          <w:rStyle w:val="FootnoteReference"/>
        </w:rPr>
        <w:footnoteRef/>
      </w:r>
      <w:r>
        <w:t xml:space="preserve"> Cross-references for "Shimei": 2Sam 16:5-9; 1Kgs 2:8-9.</w:t>
      </w:r>
    </w:p>
  </w:footnote>
  <w:footnote w:id="6418">
    <w:p>
      <w:pPr>
        <w:pStyle w:val="FootnoteText"/>
      </w:pPr>
      <w:r>
        <w:rPr>
          <w:rStyle w:val="FootnoteReference"/>
        </w:rPr>
        <w:footnoteRef/>
      </w:r>
      <w:r>
        <w:t xml:space="preserve"> Cross-references for "Achish": 1Sam 21:10; 1Sam 27:2-3.</w:t>
      </w:r>
    </w:p>
  </w:footnote>
  <w:footnote w:id="6419">
    <w:p>
      <w:pPr>
        <w:pStyle w:val="FootnoteText"/>
      </w:pPr>
      <w:r>
        <w:rPr>
          <w:rStyle w:val="FootnoteReference"/>
        </w:rPr>
        <w:footnoteRef/>
      </w:r>
      <w:r>
        <w:t xml:space="preserve"> Cross-references for "Did I not": 1Kgs 2:36-38; Ps 15:4.</w:t>
      </w:r>
    </w:p>
  </w:footnote>
  <w:footnote w:id="6420">
    <w:p>
      <w:pPr>
        <w:pStyle w:val="FootnoteText"/>
      </w:pPr>
      <w:r>
        <w:rPr>
          <w:rStyle w:val="FootnoteReference"/>
        </w:rPr>
        <w:footnoteRef/>
      </w:r>
      <w:r>
        <w:t xml:space="preserve"> Translation note: Greek says testify against you here. Current line keeps that wording.</w:t>
      </w:r>
    </w:p>
  </w:footnote>
  <w:footnote w:id="6421">
    <w:p>
      <w:pPr>
        <w:pStyle w:val="FootnoteText"/>
      </w:pPr>
      <w:r>
        <w:rPr>
          <w:rStyle w:val="FootnoteReference"/>
        </w:rPr>
        <w:footnoteRef/>
      </w:r>
      <w:r>
        <w:t xml:space="preserve"> Cross-references for "commandment": 2Chr 30:12; Eccl 8:2.</w:t>
      </w:r>
    </w:p>
  </w:footnote>
  <w:footnote w:id="6422">
    <w:p>
      <w:pPr>
        <w:pStyle w:val="FootnoteText"/>
      </w:pPr>
      <w:r>
        <w:rPr>
          <w:rStyle w:val="FootnoteReference"/>
        </w:rPr>
        <w:footnoteRef/>
      </w:r>
      <w:r>
        <w:t xml:space="preserve"> Cross-references for "blessed": Ps 21:6; Ps 72:17.</w:t>
      </w:r>
    </w:p>
  </w:footnote>
  <w:footnote w:id="6423">
    <w:p>
      <w:pPr>
        <w:pStyle w:val="FootnoteText"/>
      </w:pPr>
      <w:r>
        <w:rPr>
          <w:rStyle w:val="FootnoteReference"/>
        </w:rPr>
        <w:footnoteRef/>
      </w:r>
      <w:r>
        <w:t xml:space="preserve"> Divine or supernatural name: Azariah. Divine/supernatural-name meaning: Azariah — he that hears the Lord. Source form: Azariah.</w:t>
      </w:r>
    </w:p>
  </w:footnote>
  <w:footnote w:id="6424">
    <w:p>
      <w:pPr>
        <w:pStyle w:val="FootnoteText"/>
      </w:pPr>
      <w:r>
        <w:rPr>
          <w:rStyle w:val="FootnoteReference"/>
        </w:rPr>
        <w:footnoteRef/>
      </w:r>
      <w:r>
        <w:t xml:space="preserve"> Transliterated proper noun: Souba. Standard English equivalent: Shisha. Source form: Souba. Greek form: σουβα. Name meaning: of marble; pleasant.</w:t>
      </w:r>
    </w:p>
  </w:footnote>
  <w:footnote w:id="6425">
    <w:p>
      <w:pPr>
        <w:pStyle w:val="FootnoteText"/>
      </w:pPr>
      <w:r>
        <w:rPr>
          <w:rStyle w:val="FootnoteReference"/>
        </w:rPr>
        <w:footnoteRef/>
      </w:r>
      <w:r>
        <w:t xml:space="preserve"> Personal name: Abi. Personal-name meaning: Abi — my father. Source form: Abi.</w:t>
      </w:r>
    </w:p>
  </w:footnote>
  <w:footnote w:id="6426">
    <w:p>
      <w:pPr>
        <w:pStyle w:val="FootnoteText"/>
      </w:pPr>
      <w:r>
        <w:rPr>
          <w:rStyle w:val="FootnoteReference"/>
        </w:rPr>
        <w:footnoteRef/>
      </w:r>
      <w:r>
        <w:t xml:space="preserve"> Translation note: Another long Greek addition stands after verse 46. Main text keeps that plus-material rather than silently compressing the chapter to a shorter form.</w:t>
      </w:r>
    </w:p>
  </w:footnote>
  <w:footnote w:id="6427">
    <w:p>
      <w:pPr>
        <w:pStyle w:val="FootnoteText"/>
      </w:pPr>
      <w:r>
        <w:rPr>
          <w:rStyle w:val="FootnoteReference"/>
        </w:rPr>
        <w:footnoteRef/>
      </w:r>
      <w:r>
        <w:t xml:space="preserve"> Cross-references for "loved": Deut 6:5; Deut 10:12.</w:t>
      </w:r>
    </w:p>
  </w:footnote>
  <w:footnote w:id="6428">
    <w:p>
      <w:pPr>
        <w:pStyle w:val="FootnoteText"/>
      </w:pPr>
      <w:r>
        <w:rPr>
          <w:rStyle w:val="FootnoteReference"/>
        </w:rPr>
        <w:footnoteRef/>
      </w:r>
      <w:r>
        <w:t xml:space="preserve"> Cross-references for "Gibeon": Josh 9:3; Josh 10:2.</w:t>
      </w:r>
    </w:p>
  </w:footnote>
  <w:footnote w:id="6429">
    <w:p>
      <w:pPr>
        <w:pStyle w:val="FootnoteText"/>
      </w:pPr>
      <w:r>
        <w:rPr>
          <w:rStyle w:val="FootnoteReference"/>
        </w:rPr>
        <w:footnoteRef/>
      </w:r>
      <w:r>
        <w:t xml:space="preserve"> Cross-references for "the Lord": 1Kgs 9:2.</w:t>
      </w:r>
    </w:p>
  </w:footnote>
  <w:footnote w:id="6430">
    <w:p>
      <w:pPr>
        <w:pStyle w:val="FootnoteText"/>
      </w:pPr>
      <w:r>
        <w:rPr>
          <w:rStyle w:val="FootnoteReference"/>
        </w:rPr>
        <w:footnoteRef/>
      </w:r>
      <w:r>
        <w:t xml:space="preserve"> Cross-references for "mercy": Ps 13:6; Ps 116:7.</w:t>
      </w:r>
    </w:p>
  </w:footnote>
  <w:footnote w:id="6431">
    <w:p>
      <w:pPr>
        <w:pStyle w:val="FootnoteText"/>
      </w:pPr>
      <w:r>
        <w:rPr>
          <w:rStyle w:val="FootnoteReference"/>
        </w:rPr>
        <w:footnoteRef/>
      </w:r>
      <w:r>
        <w:t xml:space="preserve"> Translation note: The Greek asks for a hearing heart. This draft keeps the listening image explicit instead of replacing it with a more generalized wisdom expression.</w:t>
      </w:r>
    </w:p>
  </w:footnote>
  <w:footnote w:id="6432">
    <w:p>
      <w:pPr>
        <w:pStyle w:val="FootnoteText"/>
      </w:pPr>
      <w:r>
        <w:rPr>
          <w:rStyle w:val="FootnoteReference"/>
        </w:rPr>
        <w:footnoteRef/>
      </w:r>
      <w:r>
        <w:t xml:space="preserve"> Cross-references for "to judge": 1Kgs 3:28; Ps 72:1-2.</w:t>
      </w:r>
    </w:p>
  </w:footnote>
  <w:footnote w:id="6433">
    <w:p>
      <w:pPr>
        <w:pStyle w:val="FootnoteText"/>
      </w:pPr>
      <w:r>
        <w:rPr>
          <w:rStyle w:val="FootnoteReference"/>
        </w:rPr>
        <w:footnoteRef/>
      </w:r>
      <w:r>
        <w:t xml:space="preserve"> Translation note: Greek says many days rather than long life.</w:t>
      </w:r>
    </w:p>
  </w:footnote>
  <w:footnote w:id="6434">
    <w:p>
      <w:pPr>
        <w:pStyle w:val="FootnoteText"/>
      </w:pPr>
      <w:r>
        <w:rPr>
          <w:rStyle w:val="FootnoteReference"/>
        </w:rPr>
        <w:footnoteRef/>
      </w:r>
      <w:r>
        <w:t xml:space="preserve"> Cross-references for "I have done": Ps 10:17; Isa 65:24.</w:t>
      </w:r>
    </w:p>
  </w:footnote>
  <w:footnote w:id="6435">
    <w:p>
      <w:pPr>
        <w:pStyle w:val="FootnoteText"/>
      </w:pPr>
      <w:r>
        <w:rPr>
          <w:rStyle w:val="FootnoteReference"/>
        </w:rPr>
        <w:footnoteRef/>
      </w:r>
      <w:r>
        <w:t xml:space="preserve"> Cross-references for "riches": 1Kgs 4:21-24; 1Kgs 10:23-29.</w:t>
      </w:r>
    </w:p>
  </w:footnote>
  <w:footnote w:id="6436">
    <w:p>
      <w:pPr>
        <w:pStyle w:val="FootnoteText"/>
      </w:pPr>
      <w:r>
        <w:rPr>
          <w:rStyle w:val="FootnoteReference"/>
        </w:rPr>
        <w:footnoteRef/>
      </w:r>
      <w:r>
        <w:t xml:space="preserve"> Cross-references for "awoke": Gen 41:7; Jer 31:26.</w:t>
      </w:r>
    </w:p>
  </w:footnote>
  <w:footnote w:id="6437">
    <w:p>
      <w:pPr>
        <w:pStyle w:val="FootnoteText"/>
      </w:pPr>
      <w:r>
        <w:rPr>
          <w:rStyle w:val="FootnoteReference"/>
        </w:rPr>
        <w:footnoteRef/>
      </w:r>
      <w:r>
        <w:t xml:space="preserve"> Cross-references for "stood": Exod 18:13; Exod 18:16.</w:t>
      </w:r>
    </w:p>
  </w:footnote>
  <w:footnote w:id="6438">
    <w:p>
      <w:pPr>
        <w:pStyle w:val="FootnoteText"/>
      </w:pPr>
      <w:r>
        <w:rPr>
          <w:rStyle w:val="FootnoteReference"/>
        </w:rPr>
        <w:footnoteRef/>
      </w:r>
      <w:r>
        <w:t xml:space="preserve"> Cross-references for "took": 1Kgs 3:21.</w:t>
      </w:r>
    </w:p>
  </w:footnote>
  <w:footnote w:id="6439">
    <w:p>
      <w:pPr>
        <w:pStyle w:val="FootnoteText"/>
      </w:pPr>
      <w:r>
        <w:rPr>
          <w:rStyle w:val="FootnoteReference"/>
        </w:rPr>
        <w:footnoteRef/>
      </w:r>
      <w:r>
        <w:t xml:space="preserve"> Cross-references for "Divide": 1Kgs 3:28; Prov 25:8.</w:t>
      </w:r>
    </w:p>
  </w:footnote>
  <w:footnote w:id="6440">
    <w:p>
      <w:pPr>
        <w:pStyle w:val="FootnoteText"/>
      </w:pPr>
      <w:r>
        <w:rPr>
          <w:rStyle w:val="FootnoteReference"/>
        </w:rPr>
        <w:footnoteRef/>
      </w:r>
      <w:r>
        <w:t xml:space="preserve"> Translation note: Greek keeps bodily compassion expression.</w:t>
      </w:r>
    </w:p>
  </w:footnote>
  <w:footnote w:id="6441">
    <w:p>
      <w:pPr>
        <w:pStyle w:val="FootnoteText"/>
      </w:pPr>
      <w:r>
        <w:rPr>
          <w:rStyle w:val="FootnoteReference"/>
        </w:rPr>
        <w:footnoteRef/>
      </w:r>
      <w:r>
        <w:t xml:space="preserve"> Cross-references for "give her": Rom 1:31; 2Tim 3:3.</w:t>
      </w:r>
    </w:p>
  </w:footnote>
  <w:footnote w:id="6442">
    <w:p>
      <w:pPr>
        <w:pStyle w:val="FootnoteText"/>
      </w:pPr>
      <w:r>
        <w:rPr>
          <w:rStyle w:val="FootnoteReference"/>
        </w:rPr>
        <w:footnoteRef/>
      </w:r>
      <w:r>
        <w:t xml:space="preserve"> Cross-references for "feared": Exod 14:31; Josh 4:14.</w:t>
      </w:r>
    </w:p>
  </w:footnote>
  <w:footnote w:id="6443">
    <w:p>
      <w:pPr>
        <w:pStyle w:val="FootnoteText"/>
      </w:pPr>
      <w:r>
        <w:rPr>
          <w:rStyle w:val="FootnoteReference"/>
        </w:rPr>
        <w:footnoteRef/>
      </w:r>
      <w:r>
        <w:t xml:space="preserve"> Cross-references for "Azariah": 1Chr 6:8-10; 1Chr 27:17.</w:t>
      </w:r>
    </w:p>
  </w:footnote>
  <w:footnote w:id="6444">
    <w:p>
      <w:pPr>
        <w:pStyle w:val="FootnoteText"/>
      </w:pPr>
      <w:r>
        <w:rPr>
          <w:rStyle w:val="FootnoteReference"/>
        </w:rPr>
        <w:footnoteRef/>
      </w:r>
      <w:r>
        <w:t xml:space="preserve"> Personal name: Elihoreph. Personal-name meaning: Elihoreph — god of winter, or of youth. Source form: Elihoreph.</w:t>
      </w:r>
    </w:p>
  </w:footnote>
  <w:footnote w:id="6445">
    <w:p>
      <w:pPr>
        <w:pStyle w:val="FootnoteText"/>
      </w:pPr>
      <w:r>
        <w:rPr>
          <w:rStyle w:val="FootnoteReference"/>
        </w:rPr>
        <w:footnoteRef/>
      </w:r>
      <w:r>
        <w:t xml:space="preserve"> Transliterated proper noun: Saba. Standard English equivalent: Shisha. Source form: Saba. Greek form: σαβα. Name meaning: of marble; pleasant.</w:t>
      </w:r>
    </w:p>
  </w:footnote>
  <w:footnote w:id="6446">
    <w:p>
      <w:pPr>
        <w:pStyle w:val="FootnoteText"/>
      </w:pPr>
      <w:r>
        <w:rPr>
          <w:rStyle w:val="FootnoteReference"/>
        </w:rPr>
        <w:footnoteRef/>
      </w:r>
      <w:r>
        <w:t xml:space="preserve"> Cross-references for "Shisha": 2Sam 20:25; 1Chr 18:6.</w:t>
      </w:r>
    </w:p>
  </w:footnote>
  <w:footnote w:id="6447">
    <w:p>
      <w:pPr>
        <w:pStyle w:val="FootnoteText"/>
      </w:pPr>
      <w:r>
        <w:rPr>
          <w:rStyle w:val="FootnoteReference"/>
        </w:rPr>
        <w:footnoteRef/>
      </w:r>
      <w:r>
        <w:t xml:space="preserve"> Transliterated proper noun: Ornia. Standard English equivalent: Azariah. Source form: Ornia. Greek form: ορνια. Name meaning: he that hears the Lord.</w:t>
      </w:r>
    </w:p>
  </w:footnote>
  <w:footnote w:id="6448">
    <w:p>
      <w:pPr>
        <w:pStyle w:val="FootnoteText"/>
      </w:pPr>
      <w:r>
        <w:rPr>
          <w:rStyle w:val="FootnoteReference"/>
        </w:rPr>
        <w:footnoteRef/>
      </w:r>
      <w:r>
        <w:t xml:space="preserve"> Cross-references for "son of Nathan": 2Sam 7:2; 2Sam 12:1-15.</w:t>
      </w:r>
    </w:p>
  </w:footnote>
  <w:footnote w:id="6449">
    <w:p>
      <w:pPr>
        <w:pStyle w:val="FootnoteText"/>
      </w:pPr>
      <w:r>
        <w:rPr>
          <w:rStyle w:val="FootnoteReference"/>
        </w:rPr>
        <w:footnoteRef/>
      </w:r>
      <w:r>
        <w:t xml:space="preserve"> Personal name: Zabud. Personal-name meaning: Zabud — given; gift. Source form: Zabud.</w:t>
      </w:r>
    </w:p>
  </w:footnote>
  <w:footnote w:id="6450">
    <w:p>
      <w:pPr>
        <w:pStyle w:val="FootnoteText"/>
      </w:pPr>
      <w:r>
        <w:rPr>
          <w:rStyle w:val="FootnoteReference"/>
        </w:rPr>
        <w:footnoteRef/>
      </w:r>
      <w:r>
        <w:t xml:space="preserve"> Personal name: Saph. Personal-name meaning: Saph — rushes; sea-moss. Source form: Saph.</w:t>
      </w:r>
    </w:p>
  </w:footnote>
  <w:footnote w:id="6451">
    <w:p>
      <w:pPr>
        <w:pStyle w:val="FootnoteText"/>
      </w:pPr>
      <w:r>
        <w:rPr>
          <w:rStyle w:val="FootnoteReference"/>
        </w:rPr>
        <w:footnoteRef/>
      </w:r>
      <w:r>
        <w:t xml:space="preserve"> Cross-references for "Adoniram": 2Sam 20:24; 1Kgs 12:18.</w:t>
      </w:r>
    </w:p>
  </w:footnote>
  <w:footnote w:id="6452">
    <w:p>
      <w:pPr>
        <w:pStyle w:val="FootnoteText"/>
      </w:pPr>
      <w:r>
        <w:rPr>
          <w:rStyle w:val="FootnoteReference"/>
        </w:rPr>
        <w:footnoteRef/>
      </w:r>
      <w:r>
        <w:t xml:space="preserve"> Personal name: Abda. Personal-name meaning: Abda — a servant; servitude. Source form: Abda.</w:t>
      </w:r>
    </w:p>
  </w:footnote>
  <w:footnote w:id="6453">
    <w:p>
      <w:pPr>
        <w:pStyle w:val="FootnoteText"/>
      </w:pPr>
      <w:r>
        <w:rPr>
          <w:rStyle w:val="FootnoteReference"/>
        </w:rPr>
        <w:footnoteRef/>
      </w:r>
      <w:r>
        <w:t xml:space="preserve"> Personal name: Ben-Hur. Personal-name meaning: Ben-Hur — son of Hur; son of whiteness/nobility. Source form: Ben-Hur.</w:t>
      </w:r>
    </w:p>
  </w:footnote>
  <w:footnote w:id="6454">
    <w:p>
      <w:pPr>
        <w:pStyle w:val="FootnoteText"/>
      </w:pPr>
      <w:r>
        <w:rPr>
          <w:rStyle w:val="FootnoteReference"/>
        </w:rPr>
        <w:footnoteRef/>
      </w:r>
      <w:r>
        <w:t xml:space="preserve"> Place name: Makaz. Place-name meaning: Makaz — end; boundary. Source form: Makaz. Greek form: μαχεμας.</w:t>
      </w:r>
    </w:p>
  </w:footnote>
  <w:footnote w:id="6455">
    <w:p>
      <w:pPr>
        <w:pStyle w:val="FootnoteText"/>
      </w:pPr>
      <w:r>
        <w:rPr>
          <w:rStyle w:val="FootnoteReference"/>
        </w:rPr>
        <w:footnoteRef/>
      </w:r>
      <w:r>
        <w:t xml:space="preserve"> Place name: Shaalbim. Place-name meaning: Shaalbim — that beholds the heart. Source form: Shaalbim.</w:t>
      </w:r>
    </w:p>
  </w:footnote>
  <w:footnote w:id="6456">
    <w:p>
      <w:pPr>
        <w:pStyle w:val="FootnoteText"/>
      </w:pPr>
      <w:r>
        <w:rPr>
          <w:rStyle w:val="FootnoteReference"/>
        </w:rPr>
        <w:footnoteRef/>
      </w:r>
      <w:r>
        <w:t xml:space="preserve"> Transliterated proper noun: Elon-beth-hanan. Standard English equivalent: Elon-beth-hanan. Source form: Elon-beth-hanan. Greek form: βαιθαναν. Name meaning: the house of grace or mercy.</w:t>
      </w:r>
    </w:p>
  </w:footnote>
  <w:footnote w:id="6457">
    <w:p>
      <w:pPr>
        <w:pStyle w:val="FootnoteText"/>
      </w:pPr>
      <w:r>
        <w:rPr>
          <w:rStyle w:val="FootnoteReference"/>
        </w:rPr>
        <w:footnoteRef/>
      </w:r>
      <w:r>
        <w:t xml:space="preserve"> Cross-references for "Shaalbim": Josh 19:42.</w:t>
      </w:r>
    </w:p>
  </w:footnote>
  <w:footnote w:id="6458">
    <w:p>
      <w:pPr>
        <w:pStyle w:val="FootnoteText"/>
      </w:pPr>
      <w:r>
        <w:rPr>
          <w:rStyle w:val="FootnoteReference"/>
        </w:rPr>
        <w:footnoteRef/>
      </w:r>
      <w:r>
        <w:t xml:space="preserve"> Cross-references for "Hepher": Josh 12:17; Josh 17:2.</w:t>
      </w:r>
    </w:p>
  </w:footnote>
  <w:footnote w:id="6459">
    <w:p>
      <w:pPr>
        <w:pStyle w:val="FootnoteText"/>
      </w:pPr>
      <w:r>
        <w:rPr>
          <w:rStyle w:val="FootnoteReference"/>
        </w:rPr>
        <w:footnoteRef/>
      </w:r>
      <w:r>
        <w:t xml:space="preserve"> Personal name: Abinadab. Personal-name meaning: Abinadab — father of a vow, or of willingness. Source form: Abinadab.</w:t>
      </w:r>
    </w:p>
  </w:footnote>
  <w:footnote w:id="6460">
    <w:p>
      <w:pPr>
        <w:pStyle w:val="FootnoteText"/>
      </w:pPr>
      <w:r>
        <w:rPr>
          <w:rStyle w:val="FootnoteReference"/>
        </w:rPr>
        <w:footnoteRef/>
      </w:r>
      <w:r>
        <w:t xml:space="preserve"> Personal name: Taphath. Personal-name meaning: Taphath — distillation; drop. Source form: Taphath.</w:t>
      </w:r>
    </w:p>
  </w:footnote>
  <w:footnote w:id="6461">
    <w:p>
      <w:pPr>
        <w:pStyle w:val="FootnoteText"/>
      </w:pPr>
      <w:r>
        <w:rPr>
          <w:rStyle w:val="FootnoteReference"/>
        </w:rPr>
        <w:footnoteRef/>
      </w:r>
      <w:r>
        <w:t xml:space="preserve"> Transliterated proper noun: Bakcha. Standard English equivalent: Baana. Source form: Bakcha. Greek form: βακχα. Name meaning: in the answer; in affliction.</w:t>
      </w:r>
    </w:p>
  </w:footnote>
  <w:footnote w:id="6462">
    <w:p>
      <w:pPr>
        <w:pStyle w:val="FootnoteText"/>
      </w:pPr>
      <w:r>
        <w:rPr>
          <w:rStyle w:val="FootnoteReference"/>
        </w:rPr>
        <w:footnoteRef/>
      </w:r>
      <w:r>
        <w:t xml:space="preserve"> Place name: Taanach. Place-name meaning: Taanach — who humbles thee; who answers thee. Source form: Taanach. Greek form: θααναχ.</w:t>
      </w:r>
    </w:p>
  </w:footnote>
  <w:footnote w:id="6463">
    <w:p>
      <w:pPr>
        <w:pStyle w:val="FootnoteText"/>
      </w:pPr>
      <w:r>
        <w:rPr>
          <w:rStyle w:val="FootnoteReference"/>
        </w:rPr>
        <w:footnoteRef/>
      </w:r>
      <w:r>
        <w:t xml:space="preserve"> Transliterated proper noun: Mekedo. Standard English equivalent: Megiddo. Source form: Mekedo. Greek form: μεκεδω. Name meaning: his precious fruit; declaring a message.</w:t>
      </w:r>
    </w:p>
  </w:footnote>
  <w:footnote w:id="6464">
    <w:p>
      <w:pPr>
        <w:pStyle w:val="FootnoteText"/>
      </w:pPr>
      <w:r>
        <w:rPr>
          <w:rStyle w:val="FootnoteReference"/>
        </w:rPr>
        <w:footnoteRef/>
      </w:r>
      <w:r>
        <w:t xml:space="preserve"> Transliterated proper noun: Beth-shean. Standard English equivalent: Beth-shean. Source form: Beth-shean. Greek form: σεσαθαν. Name meaning: house of rest.</w:t>
      </w:r>
    </w:p>
  </w:footnote>
  <w:footnote w:id="6465">
    <w:p>
      <w:pPr>
        <w:pStyle w:val="FootnoteText"/>
      </w:pPr>
      <w:r>
        <w:rPr>
          <w:rStyle w:val="FootnoteReference"/>
        </w:rPr>
        <w:footnoteRef/>
      </w:r>
      <w:r>
        <w:t xml:space="preserve"> Transliterated proper noun: Ebelmaola. Standard English equivalent: Abelmeholah. Source form: Ebelmaola. Greek form: εβελμαωλα. Name meaning: mourning of sickness.</w:t>
      </w:r>
    </w:p>
  </w:footnote>
  <w:footnote w:id="6466">
    <w:p>
      <w:pPr>
        <w:pStyle w:val="FootnoteText"/>
      </w:pPr>
      <w:r>
        <w:rPr>
          <w:rStyle w:val="FootnoteReference"/>
        </w:rPr>
        <w:footnoteRef/>
      </w:r>
      <w:r>
        <w:t xml:space="preserve"> Cross-references for "Taanach": Josh 17:11; Judg 5:19.</w:t>
      </w:r>
    </w:p>
  </w:footnote>
  <w:footnote w:id="6467">
    <w:p>
      <w:pPr>
        <w:pStyle w:val="FootnoteText"/>
      </w:pPr>
      <w:r>
        <w:rPr>
          <w:rStyle w:val="FootnoteReference"/>
        </w:rPr>
        <w:footnoteRef/>
      </w:r>
      <w:r>
        <w:t xml:space="preserve"> Personal name: Gibbar. Personal-name meaning: Gibbar — strong, manly. Source form: Gibbar.</w:t>
      </w:r>
    </w:p>
  </w:footnote>
  <w:footnote w:id="6468">
    <w:p>
      <w:pPr>
        <w:pStyle w:val="FootnoteText"/>
      </w:pPr>
      <w:r>
        <w:rPr>
          <w:rStyle w:val="FootnoteReference"/>
        </w:rPr>
        <w:footnoteRef/>
      </w:r>
      <w:r>
        <w:t xml:space="preserve"> Translation note: This LXX verse keeps a different district line here, with line-measure of Eregaba in Basan.</w:t>
      </w:r>
    </w:p>
  </w:footnote>
  <w:footnote w:id="6469">
    <w:p>
      <w:pPr>
        <w:pStyle w:val="FootnoteText"/>
      </w:pPr>
      <w:r>
        <w:rPr>
          <w:rStyle w:val="FootnoteReference"/>
        </w:rPr>
        <w:footnoteRef/>
      </w:r>
      <w:r>
        <w:t xml:space="preserve"> Personal name: Ahinadab. Personal-name meaning: Ahinadab — a willing brother; brother of a vow. Source form: Ahinadab.</w:t>
      </w:r>
    </w:p>
  </w:footnote>
  <w:footnote w:id="6470">
    <w:p>
      <w:pPr>
        <w:pStyle w:val="FootnoteText"/>
      </w:pPr>
      <w:r>
        <w:rPr>
          <w:rStyle w:val="FootnoteReference"/>
        </w:rPr>
        <w:footnoteRef/>
      </w:r>
      <w:r>
        <w:t xml:space="preserve"> Cross-references for "Mahanaim": Gen 32:2; 2Sam 2:8.</w:t>
      </w:r>
    </w:p>
  </w:footnote>
  <w:footnote w:id="6471">
    <w:p>
      <w:pPr>
        <w:pStyle w:val="FootnoteText"/>
      </w:pPr>
      <w:r>
        <w:rPr>
          <w:rStyle w:val="FootnoteReference"/>
        </w:rPr>
        <w:footnoteRef/>
      </w:r>
      <w:r>
        <w:t xml:space="preserve"> Cross-references for "Naphtali": Josh 19:32-39.</w:t>
      </w:r>
    </w:p>
  </w:footnote>
  <w:footnote w:id="6472">
    <w:p>
      <w:pPr>
        <w:pStyle w:val="FootnoteText"/>
      </w:pPr>
      <w:r>
        <w:rPr>
          <w:rStyle w:val="FootnoteReference"/>
        </w:rPr>
        <w:footnoteRef/>
      </w:r>
      <w:r>
        <w:t xml:space="preserve"> Personal name: Adai. Personal-name meaning: Uri — my light, my fire. Standard English equivalent: Uri. Source form: Adai.</w:t>
      </w:r>
    </w:p>
  </w:footnote>
  <w:footnote w:id="6473">
    <w:p>
      <w:pPr>
        <w:pStyle w:val="FootnoteText"/>
      </w:pPr>
      <w:r>
        <w:rPr>
          <w:rStyle w:val="FootnoteReference"/>
        </w:rPr>
        <w:footnoteRef/>
      </w:r>
      <w:r>
        <w:t xml:space="preserve"> Translation note: Greek says Nasiph one here. Current line keeps that wording.</w:t>
      </w:r>
    </w:p>
  </w:footnote>
  <w:footnote w:id="6474">
    <w:p>
      <w:pPr>
        <w:pStyle w:val="FootnoteText"/>
      </w:pPr>
      <w:r>
        <w:rPr>
          <w:rStyle w:val="FootnoteReference"/>
        </w:rPr>
        <w:footnoteRef/>
      </w:r>
      <w:r>
        <w:t xml:space="preserve"> MT/LXX note: The Septuagint verse here is a short district note rather than the longer Masoretic district description. The translation follows the Greek line as written.</w:t>
      </w:r>
    </w:p>
  </w:footnote>
  <w:footnote w:id="6475">
    <w:p>
      <w:pPr>
        <w:pStyle w:val="FootnoteText"/>
      </w:pPr>
      <w:r>
        <w:rPr>
          <w:rStyle w:val="FootnoteReference"/>
        </w:rPr>
        <w:footnoteRef/>
      </w:r>
      <w:r>
        <w:t xml:space="preserve"> MT/LXX note: The Septuagint places a court-provision summary here rather than the Masoretic Hiram notice. The translation follows the Greek content.</w:t>
      </w:r>
    </w:p>
  </w:footnote>
  <w:footnote w:id="6476">
    <w:p>
      <w:pPr>
        <w:pStyle w:val="FootnoteText"/>
      </w:pPr>
      <w:r>
        <w:rPr>
          <w:rStyle w:val="FootnoteReference"/>
        </w:rPr>
        <w:footnoteRef/>
      </w:r>
      <w:r>
        <w:t xml:space="preserve"> MT/LXX note: The Septuagint places a provisions line here rather than the Masoretic Hiram message. The translation follows the Greek content.</w:t>
      </w:r>
    </w:p>
  </w:footnote>
  <w:footnote w:id="6477">
    <w:p>
      <w:pPr>
        <w:pStyle w:val="FootnoteText"/>
      </w:pPr>
      <w:r>
        <w:rPr>
          <w:rStyle w:val="FootnoteReference"/>
        </w:rPr>
        <w:footnoteRef/>
      </w:r>
      <w:r>
        <w:t xml:space="preserve"> MT/LXX note: The Septuagint places a provisions line here rather than the Masoretic temple-explanation verse. The translation follows the Greek content.</w:t>
      </w:r>
    </w:p>
  </w:footnote>
  <w:footnote w:id="6478">
    <w:p>
      <w:pPr>
        <w:pStyle w:val="FootnoteText"/>
      </w:pPr>
      <w:r>
        <w:rPr>
          <w:rStyle w:val="FootnoteReference"/>
        </w:rPr>
        <w:footnoteRef/>
      </w:r>
      <w:r>
        <w:t xml:space="preserve"> MT/LXX note: This LXX verse number carries the Solomon-wisdom line rather than the MT shipping line.</w:t>
      </w:r>
    </w:p>
  </w:footnote>
  <w:footnote w:id="6479">
    <w:p>
      <w:pPr>
        <w:pStyle w:val="FootnoteText"/>
      </w:pPr>
      <w:r>
        <w:rPr>
          <w:rStyle w:val="FootnoteReference"/>
        </w:rPr>
        <w:footnoteRef/>
      </w:r>
      <w:r>
        <w:t xml:space="preserve"> MT/LXX note: The Septuagint places the wisdom line here rather than the Masoretic timber-supply verse. The translation follows the Greek content.</w:t>
      </w:r>
    </w:p>
  </w:footnote>
  <w:footnote w:id="6480">
    <w:p>
      <w:pPr>
        <w:pStyle w:val="FootnoteText"/>
      </w:pPr>
      <w:r>
        <w:rPr>
          <w:rStyle w:val="FootnoteReference"/>
        </w:rPr>
        <w:footnoteRef/>
      </w:r>
      <w:r>
        <w:t xml:space="preserve"> MT/LXX note: The Septuagint verse here gives Solomon's wisdom comparison list rather than the Masoretic note about supplies for Hiram. The translation follows the Greek content.</w:t>
      </w:r>
    </w:p>
  </w:footnote>
  <w:footnote w:id="6481">
    <w:p>
      <w:pPr>
        <w:pStyle w:val="FootnoteText"/>
      </w:pPr>
      <w:r>
        <w:rPr>
          <w:rStyle w:val="FootnoteReference"/>
        </w:rPr>
        <w:footnoteRef/>
      </w:r>
      <w:r>
        <w:t xml:space="preserve"> Transliterated proper noun: Gaithan. Standard English equivalent: Ethan. Source form: Gaithan. Greek form: γαιθαν. Name meaning: strong; the gift of the island.</w:t>
      </w:r>
    </w:p>
  </w:footnote>
  <w:footnote w:id="6482">
    <w:p>
      <w:pPr>
        <w:pStyle w:val="FootnoteText"/>
      </w:pPr>
      <w:r>
        <w:rPr>
          <w:rStyle w:val="FootnoteReference"/>
        </w:rPr>
        <w:footnoteRef/>
      </w:r>
      <w:r>
        <w:t xml:space="preserve"> Personal name: Darda. Personal-name meaning: Darda — home of knowledge. Source form: Darda.</w:t>
      </w:r>
    </w:p>
  </w:footnote>
  <w:footnote w:id="6483">
    <w:p>
      <w:pPr>
        <w:pStyle w:val="FootnoteText"/>
      </w:pPr>
      <w:r>
        <w:rPr>
          <w:rStyle w:val="FootnoteReference"/>
        </w:rPr>
        <w:footnoteRef/>
      </w:r>
      <w:r>
        <w:t xml:space="preserve"> Personal name: Mal. Personal-name meaning: Mahol — dance; round dance. Standard English equivalent: Mahol. Source form: Mal.</w:t>
      </w:r>
    </w:p>
  </w:footnote>
  <w:footnote w:id="6484">
    <w:p>
      <w:pPr>
        <w:pStyle w:val="FootnoteText"/>
      </w:pPr>
      <w:r>
        <w:rPr>
          <w:rStyle w:val="FootnoteReference"/>
        </w:rPr>
        <w:footnoteRef/>
      </w:r>
      <w:r>
        <w:t xml:space="preserve"> MT/LXX note: The Septuagint verse here preserves Solomon's sayings and songs rather than the Masoretic note about peace with Hiram. The translation follows the Greek content.</w:t>
      </w:r>
    </w:p>
  </w:footnote>
  <w:footnote w:id="6485">
    <w:p>
      <w:pPr>
        <w:pStyle w:val="FootnoteText"/>
      </w:pPr>
      <w:r>
        <w:rPr>
          <w:rStyle w:val="FootnoteReference"/>
        </w:rPr>
        <w:footnoteRef/>
      </w:r>
      <w:r>
        <w:t xml:space="preserve"> Translation note: Greek tradition here is much longer than the short Brenton line. Current line keeps the expansion.</w:t>
      </w:r>
    </w:p>
  </w:footnote>
  <w:footnote w:id="6486">
    <w:p>
      <w:pPr>
        <w:pStyle w:val="FootnoteText"/>
      </w:pPr>
      <w:r>
        <w:rPr>
          <w:rStyle w:val="FootnoteReference"/>
        </w:rPr>
        <w:footnoteRef/>
      </w:r>
      <w:r>
        <w:t xml:space="preserve"> Translation note: Greek line matches current wording closely here.</w:t>
      </w:r>
    </w:p>
  </w:footnote>
  <w:footnote w:id="6487">
    <w:p>
      <w:pPr>
        <w:pStyle w:val="FootnoteText"/>
      </w:pPr>
      <w:r>
        <w:rPr>
          <w:rStyle w:val="FootnoteReference"/>
        </w:rPr>
        <w:footnoteRef/>
      </w:r>
      <w:r>
        <w:t xml:space="preserve"> Translation note: Greek keeps foot-image here.</w:t>
      </w:r>
    </w:p>
  </w:footnote>
  <w:footnote w:id="6488">
    <w:p>
      <w:pPr>
        <w:pStyle w:val="FootnoteText"/>
      </w:pPr>
      <w:r>
        <w:rPr>
          <w:rStyle w:val="FootnoteReference"/>
        </w:rPr>
        <w:footnoteRef/>
      </w:r>
      <w:r>
        <w:t xml:space="preserve"> MT/LXX note: The Septuagint places Solomon's rest-and-security line here rather than the Masoretic building-work verse. The translation follows the Greek content.</w:t>
      </w:r>
    </w:p>
  </w:footnote>
  <w:footnote w:id="6489">
    <w:p>
      <w:pPr>
        <w:pStyle w:val="FootnoteText"/>
      </w:pPr>
      <w:r>
        <w:rPr>
          <w:rStyle w:val="FootnoteReference"/>
        </w:rPr>
        <w:footnoteRef/>
      </w:r>
      <w:r>
        <w:t xml:space="preserve"> Cross-references for "And it came": Judg 11:26; 2Chr 3:1-2.</w:t>
      </w:r>
    </w:p>
  </w:footnote>
  <w:footnote w:id="6490">
    <w:p>
      <w:pPr>
        <w:pStyle w:val="FootnoteText"/>
      </w:pPr>
      <w:r>
        <w:rPr>
          <w:rStyle w:val="FootnoteReference"/>
        </w:rPr>
        <w:footnoteRef/>
      </w:r>
      <w:r>
        <w:t xml:space="preserve"> MT/LXX note: Greek tradition here is expanded beyond the shorter MT line. Current line keeps the longer Greek notice.</w:t>
      </w:r>
    </w:p>
  </w:footnote>
  <w:footnote w:id="6491">
    <w:p>
      <w:pPr>
        <w:pStyle w:val="FootnoteText"/>
      </w:pPr>
      <w:r>
        <w:rPr>
          <w:rStyle w:val="FootnoteReference"/>
        </w:rPr>
        <w:footnoteRef/>
      </w:r>
      <w:r>
        <w:t xml:space="preserve"> Translation note: Greek architecture terms stay rough here.</w:t>
      </w:r>
    </w:p>
  </w:footnote>
  <w:footnote w:id="6492">
    <w:p>
      <w:pPr>
        <w:pStyle w:val="FootnoteText"/>
      </w:pPr>
      <w:r>
        <w:rPr>
          <w:rStyle w:val="FootnoteReference"/>
        </w:rPr>
        <w:footnoteRef/>
      </w:r>
      <w:r>
        <w:t xml:space="preserve"> Translation note: Greek says not heard here. Current line keeps that wording.</w:t>
      </w:r>
    </w:p>
  </w:footnote>
  <w:footnote w:id="6493">
    <w:p>
      <w:pPr>
        <w:pStyle w:val="FootnoteText"/>
      </w:pPr>
      <w:r>
        <w:rPr>
          <w:rStyle w:val="FootnoteReference"/>
        </w:rPr>
        <w:footnoteRef/>
      </w:r>
      <w:r>
        <w:t xml:space="preserve"> Cross-references for "he built": 1Kgs 6:14; 1Kgs 6:38.</w:t>
      </w:r>
    </w:p>
  </w:footnote>
  <w:footnote w:id="6494">
    <w:p>
      <w:pPr>
        <w:pStyle w:val="FootnoteText"/>
      </w:pPr>
      <w:r>
        <w:rPr>
          <w:rStyle w:val="FootnoteReference"/>
        </w:rPr>
        <w:footnoteRef/>
      </w:r>
      <w:r>
        <w:t xml:space="preserve"> Translation note: Greek says continuously with woods here. Current line keeps that wording.</w:t>
      </w:r>
    </w:p>
  </w:footnote>
  <w:footnote w:id="6495">
    <w:p>
      <w:pPr>
        <w:pStyle w:val="FootnoteText"/>
      </w:pPr>
      <w:r>
        <w:rPr>
          <w:rStyle w:val="FootnoteReference"/>
        </w:rPr>
        <w:footnoteRef/>
      </w:r>
      <w:r>
        <w:t xml:space="preserve"> Cross-references for "Twenty cubits": 1Kgs 6:2-3.</w:t>
      </w:r>
    </w:p>
  </w:footnote>
  <w:footnote w:id="6496">
    <w:p>
      <w:pPr>
        <w:pStyle w:val="FootnoteText"/>
      </w:pPr>
      <w:r>
        <w:rPr>
          <w:rStyle w:val="FootnoteReference"/>
        </w:rPr>
        <w:footnoteRef/>
      </w:r>
      <w:r>
        <w:t xml:space="preserve"> Translation note: Greek says touched wing to wing.</w:t>
      </w:r>
    </w:p>
  </w:footnote>
  <w:footnote w:id="6497">
    <w:p>
      <w:pPr>
        <w:pStyle w:val="FootnoteText"/>
      </w:pPr>
      <w:r>
        <w:rPr>
          <w:rStyle w:val="FootnoteReference"/>
        </w:rPr>
        <w:footnoteRef/>
      </w:r>
      <w:r>
        <w:t xml:space="preserve"> Cross-references for "doors": John 10:9; John 14:6.</w:t>
      </w:r>
    </w:p>
  </w:footnote>
  <w:footnote w:id="6498">
    <w:p>
      <w:pPr>
        <w:pStyle w:val="FootnoteText"/>
      </w:pPr>
      <w:r>
        <w:rPr>
          <w:rStyle w:val="FootnoteReference"/>
        </w:rPr>
        <w:footnoteRef/>
      </w:r>
      <w:r>
        <w:t xml:space="preserve"> Transliterated proper noun: Tyrian. Standard English equivalent: Tyre. Source form: Tyrian. Greek form: τυριος. Name meaning: strength; rock; sharp.</w:t>
      </w:r>
    </w:p>
  </w:footnote>
  <w:footnote w:id="6499">
    <w:p>
      <w:pPr>
        <w:pStyle w:val="FootnoteText"/>
      </w:pPr>
      <w:r>
        <w:rPr>
          <w:rStyle w:val="FootnoteReference"/>
        </w:rPr>
        <w:footnoteRef/>
      </w:r>
      <w:r>
        <w:t xml:space="preserve"> Translation note: Greek verse numbering here carries artisan notice, not forest-house line.</w:t>
      </w:r>
    </w:p>
  </w:footnote>
  <w:footnote w:id="6500">
    <w:p>
      <w:pPr>
        <w:pStyle w:val="FootnoteText"/>
      </w:pPr>
      <w:r>
        <w:rPr>
          <w:rStyle w:val="FootnoteReference"/>
        </w:rPr>
        <w:footnoteRef/>
      </w:r>
      <w:r>
        <w:t xml:space="preserve"> Translation note: Greek says circumference here. Current line keeps that wording.</w:t>
      </w:r>
    </w:p>
  </w:footnote>
  <w:footnote w:id="6501">
    <w:p>
      <w:pPr>
        <w:pStyle w:val="FootnoteText"/>
      </w:pPr>
      <w:r>
        <w:rPr>
          <w:rStyle w:val="FootnoteReference"/>
        </w:rPr>
        <w:footnoteRef/>
      </w:r>
      <w:r>
        <w:t xml:space="preserve"> Translation note: Greek says capitals here. Current line keeps that wording.</w:t>
      </w:r>
    </w:p>
  </w:footnote>
  <w:footnote w:id="6502">
    <w:p>
      <w:pPr>
        <w:pStyle w:val="FootnoteText"/>
      </w:pPr>
      <w:r>
        <w:rPr>
          <w:rStyle w:val="FootnoteReference"/>
        </w:rPr>
        <w:footnoteRef/>
      </w:r>
      <w:r>
        <w:t xml:space="preserve"> Translation note: Greek says hanging work and row upon row here. Current line keeps that wording.</w:t>
      </w:r>
    </w:p>
  </w:footnote>
  <w:footnote w:id="6503">
    <w:p>
      <w:pPr>
        <w:pStyle w:val="FootnoteText"/>
      </w:pPr>
      <w:r>
        <w:rPr>
          <w:rStyle w:val="FootnoteReference"/>
        </w:rPr>
        <w:footnoteRef/>
      </w:r>
      <w:r>
        <w:t xml:space="preserve"> MT/LXX note: The Septuagint places the pillar-setting line here rather than the Masoretic judgment-porch verse. The translation follows the Greek content.</w:t>
      </w:r>
    </w:p>
  </w:footnote>
  <w:footnote w:id="6504">
    <w:p>
      <w:pPr>
        <w:pStyle w:val="FootnoteText"/>
      </w:pPr>
      <w:r>
        <w:rPr>
          <w:rStyle w:val="FootnoteReference"/>
        </w:rPr>
        <w:footnoteRef/>
      </w:r>
      <w:r>
        <w:t xml:space="preserve"> MT/LXX note: The Septuagint places a pillar-capital line here rather than the Masoretic palace-building verse. The translation follows the Greek content.</w:t>
      </w:r>
    </w:p>
  </w:footnote>
  <w:footnote w:id="6505">
    <w:p>
      <w:pPr>
        <w:pStyle w:val="FootnoteText"/>
      </w:pPr>
      <w:r>
        <w:rPr>
          <w:rStyle w:val="FootnoteReference"/>
        </w:rPr>
        <w:footnoteRef/>
      </w:r>
      <w:r>
        <w:t xml:space="preserve"> MT/LXX note: The Septuagint verse here describes a building element and differs substantially from the Masoretic costly-stones verse. The translation keeps a neutral structural term rather than overcommitting to chamber.</w:t>
      </w:r>
    </w:p>
  </w:footnote>
  <w:footnote w:id="6506">
    <w:p>
      <w:pPr>
        <w:pStyle w:val="FootnoteText"/>
      </w:pPr>
      <w:r>
        <w:rPr>
          <w:rStyle w:val="FootnoteReference"/>
        </w:rPr>
        <w:footnoteRef/>
      </w:r>
      <w:r>
        <w:t xml:space="preserve"> MT/LXX note: The Septuagint places the Sea-dimensions line here rather than the Masoretic foundation verse. The translation follows the Greek content.</w:t>
      </w:r>
    </w:p>
  </w:footnote>
  <w:footnote w:id="6507">
    <w:p>
      <w:pPr>
        <w:pStyle w:val="FootnoteText"/>
      </w:pPr>
      <w:r>
        <w:rPr>
          <w:rStyle w:val="FootnoteReference"/>
        </w:rPr>
        <w:footnoteRef/>
      </w:r>
      <w:r>
        <w:t xml:space="preserve"> MT/LXX note: The Septuagint assigns another Sea-support line to this verse number rather than the Masoretic building-material verse. The translation follows the Greek content.</w:t>
      </w:r>
    </w:p>
  </w:footnote>
  <w:footnote w:id="6508">
    <w:p>
      <w:pPr>
        <w:pStyle w:val="FootnoteText"/>
      </w:pPr>
      <w:r>
        <w:rPr>
          <w:rStyle w:val="FootnoteReference"/>
        </w:rPr>
        <w:footnoteRef/>
      </w:r>
      <w:r>
        <w:t xml:space="preserve"> MT/LXX note: The Septuagint verse here contains the sea-support description rather than the Masoretic note that Solomon sent for Hiram. The translation follows the Greek content.</w:t>
      </w:r>
    </w:p>
  </w:footnote>
  <w:footnote w:id="6509">
    <w:p>
      <w:pPr>
        <w:pStyle w:val="FootnoteText"/>
      </w:pPr>
      <w:r>
        <w:rPr>
          <w:rStyle w:val="FootnoteReference"/>
        </w:rPr>
        <w:footnoteRef/>
      </w:r>
      <w:r>
        <w:t xml:space="preserve"> MT/LXX note: The Septuagint assigns a different basin-support line to this verse number than the Masoretic text does. The translation follows the Greek content.</w:t>
      </w:r>
    </w:p>
  </w:footnote>
  <w:footnote w:id="6510">
    <w:p>
      <w:pPr>
        <w:pStyle w:val="FootnoteText"/>
      </w:pPr>
      <w:r>
        <w:rPr>
          <w:rStyle w:val="FootnoteReference"/>
        </w:rPr>
        <w:footnoteRef/>
      </w:r>
      <w:r>
        <w:t xml:space="preserve"> Translation note: LXX here gives the stand dimensions directly.</w:t>
      </w:r>
    </w:p>
  </w:footnote>
  <w:footnote w:id="6511">
    <w:p>
      <w:pPr>
        <w:pStyle w:val="FootnoteText"/>
      </w:pPr>
      <w:r>
        <w:rPr>
          <w:rStyle w:val="FootnoteReference"/>
        </w:rPr>
        <w:footnoteRef/>
      </w:r>
      <w:r>
        <w:t xml:space="preserve"> MT/LXX note: This Septuagint verse describes stand or base construction rather than the Masoretic pillar measurements. The translation keeps the Greek architectural terms.</w:t>
      </w:r>
    </w:p>
  </w:footnote>
  <w:footnote w:id="6512">
    <w:p>
      <w:pPr>
        <w:pStyle w:val="FootnoteText"/>
      </w:pPr>
      <w:r>
        <w:rPr>
          <w:rStyle w:val="FootnoteReference"/>
        </w:rPr>
        <w:footnoteRef/>
      </w:r>
      <w:r>
        <w:t xml:space="preserve"> MT/LXX note: The Septuagint places the basin-stand line here rather than the Masoretic capital-networks verse. The translation follows the Greek content.</w:t>
      </w:r>
    </w:p>
  </w:footnote>
  <w:footnote w:id="6513">
    <w:p>
      <w:pPr>
        <w:pStyle w:val="FootnoteText"/>
      </w:pPr>
      <w:r>
        <w:rPr>
          <w:rStyle w:val="FootnoteReference"/>
        </w:rPr>
        <w:footnoteRef/>
      </w:r>
      <w:r>
        <w:t xml:space="preserve"> MT/LXX note: The Septuagint places a basin-stand detail here rather than the Masoretic pillar decoration verse. The translation follows the Greek content.</w:t>
      </w:r>
    </w:p>
  </w:footnote>
  <w:footnote w:id="6514">
    <w:p>
      <w:pPr>
        <w:pStyle w:val="FootnoteText"/>
      </w:pPr>
      <w:r>
        <w:rPr>
          <w:rStyle w:val="FootnoteReference"/>
        </w:rPr>
        <w:footnoteRef/>
      </w:r>
      <w:r>
        <w:t xml:space="preserve"> Translation note: Greek literally says shoulders for the stand or base structures. The translation keeps that noun rather than replacing it with a cleaner architectural term.</w:t>
      </w:r>
    </w:p>
  </w:footnote>
  <w:footnote w:id="6515">
    <w:p>
      <w:pPr>
        <w:pStyle w:val="FootnoteText"/>
      </w:pPr>
      <w:r>
        <w:rPr>
          <w:rStyle w:val="FootnoteReference"/>
        </w:rPr>
        <w:footnoteRef/>
      </w:r>
      <w:r>
        <w:t xml:space="preserve"> Translation note: Greek uses enclosure wording here rather than a smoother borders paraphrase. Current line keeps that.</w:t>
      </w:r>
    </w:p>
  </w:footnote>
  <w:footnote w:id="6516">
    <w:p>
      <w:pPr>
        <w:pStyle w:val="FootnoteText"/>
      </w:pPr>
      <w:r>
        <w:rPr>
          <w:rStyle w:val="FootnoteReference"/>
        </w:rPr>
        <w:footnoteRef/>
      </w:r>
      <w:r>
        <w:t xml:space="preserve"> Cross-references for "he made": Exod 30:18-21; Exod 38:8.</w:t>
      </w:r>
    </w:p>
  </w:footnote>
  <w:footnote w:id="6517">
    <w:p>
      <w:pPr>
        <w:pStyle w:val="FootnoteText"/>
      </w:pPr>
      <w:r>
        <w:rPr>
          <w:rStyle w:val="FootnoteReference"/>
        </w:rPr>
        <w:footnoteRef/>
      </w:r>
      <w:r>
        <w:t xml:space="preserve"> MT/LXX note: The Septuagint verse here follows a different vessel line from the Masoretic sea-knops verse. The translation follows the Greek basin material as written.</w:t>
      </w:r>
    </w:p>
  </w:footnote>
  <w:footnote w:id="6518">
    <w:p>
      <w:pPr>
        <w:pStyle w:val="FootnoteText"/>
      </w:pPr>
      <w:r>
        <w:rPr>
          <w:rStyle w:val="FootnoteReference"/>
        </w:rPr>
        <w:footnoteRef/>
      </w:r>
      <w:r>
        <w:t xml:space="preserve"> MT/LXX note: This LXX verse number carries the ten-stands placement line rather than the MT twelve-oxen line.</w:t>
      </w:r>
    </w:p>
  </w:footnote>
  <w:footnote w:id="6519">
    <w:p>
      <w:pPr>
        <w:pStyle w:val="FootnoteText"/>
      </w:pPr>
      <w:r>
        <w:rPr>
          <w:rStyle w:val="FootnoteReference"/>
        </w:rPr>
        <w:footnoteRef/>
      </w:r>
      <w:r>
        <w:t xml:space="preserve"> Translation note: Greek says twisted works here. Current line keeps that wording.</w:t>
      </w:r>
    </w:p>
  </w:footnote>
  <w:footnote w:id="6520">
    <w:p>
      <w:pPr>
        <w:pStyle w:val="FootnoteText"/>
      </w:pPr>
      <w:r>
        <w:rPr>
          <w:rStyle w:val="FootnoteReference"/>
        </w:rPr>
        <w:footnoteRef/>
      </w:r>
      <w:r>
        <w:t xml:space="preserve"> MT/LXX note: The Septuagint places the pomegranate-count line here rather than the Masoretic base-description verse. The translation follows the Greek content.</w:t>
      </w:r>
    </w:p>
  </w:footnote>
  <w:footnote w:id="6521">
    <w:p>
      <w:pPr>
        <w:pStyle w:val="FootnoteText"/>
      </w:pPr>
      <w:r>
        <w:rPr>
          <w:rStyle w:val="FootnoteReference"/>
        </w:rPr>
        <w:footnoteRef/>
      </w:r>
      <w:r>
        <w:t xml:space="preserve"> MT/LXX note: The Septuagint places a list line here rather than the Masoretic decorative description. The translation follows the Greek content.</w:t>
      </w:r>
    </w:p>
  </w:footnote>
  <w:footnote w:id="6522">
    <w:p>
      <w:pPr>
        <w:pStyle w:val="FootnoteText"/>
      </w:pPr>
      <w:r>
        <w:rPr>
          <w:rStyle w:val="FootnoteReference"/>
        </w:rPr>
        <w:footnoteRef/>
      </w:r>
      <w:r>
        <w:t xml:space="preserve"> Translation note: Current source row carries a longer vessel-summary line here including forty-eight pillars.</w:t>
      </w:r>
    </w:p>
  </w:footnote>
  <w:footnote w:id="6523">
    <w:p>
      <w:pPr>
        <w:pStyle w:val="FootnoteText"/>
      </w:pPr>
      <w:r>
        <w:rPr>
          <w:rStyle w:val="FootnoteReference"/>
        </w:rPr>
        <w:footnoteRef/>
      </w:r>
      <w:r>
        <w:t xml:space="preserve"> Place name: Zarethan. Place-name meaning: Zarethan — tribulation; perplexity. Source form: Zarethan. Greek form: αυτα.</w:t>
      </w:r>
    </w:p>
  </w:footnote>
  <w:footnote w:id="6524">
    <w:p>
      <w:pPr>
        <w:pStyle w:val="FootnoteText"/>
      </w:pPr>
      <w:r>
        <w:rPr>
          <w:rStyle w:val="FootnoteReference"/>
        </w:rPr>
        <w:footnoteRef/>
      </w:r>
      <w:r>
        <w:t xml:space="preserve"> MT/LXX note: The Septuagint verse here gives a completion notice for the temple work rather than the Masoretic note about the ten bases. The translation follows the Greek content.</w:t>
      </w:r>
    </w:p>
  </w:footnote>
  <w:footnote w:id="6525">
    <w:p>
      <w:pPr>
        <w:pStyle w:val="FootnoteText"/>
      </w:pPr>
      <w:r>
        <w:rPr>
          <w:rStyle w:val="FootnoteReference"/>
        </w:rPr>
        <w:footnoteRef/>
      </w:r>
      <w:r>
        <w:t xml:space="preserve"> Translation note: Greek line matches current wording closely here.</w:t>
      </w:r>
    </w:p>
  </w:footnote>
  <w:footnote w:id="6526">
    <w:p>
      <w:pPr>
        <w:pStyle w:val="FootnoteText"/>
      </w:pPr>
      <w:r>
        <w:rPr>
          <w:rStyle w:val="FootnoteReference"/>
        </w:rPr>
        <w:footnoteRef/>
      </w:r>
      <w:r>
        <w:t xml:space="preserve"> MT/LXX note: The Septuagint places the palace-building line here rather than the Masoretic basin-base verse. The translation follows the Greek content.</w:t>
      </w:r>
    </w:p>
  </w:footnote>
  <w:footnote w:id="6527">
    <w:p>
      <w:pPr>
        <w:pStyle w:val="FootnoteText"/>
      </w:pPr>
      <w:r>
        <w:rPr>
          <w:rStyle w:val="FootnoteReference"/>
        </w:rPr>
        <w:footnoteRef/>
      </w:r>
      <w:r>
        <w:t xml:space="preserve"> MT/LXX note: This Septuagint verse contains another building detail rather than the Masoretic Hiram-summary line. The translation follows the Greek content at this verse number.</w:t>
      </w:r>
    </w:p>
  </w:footnote>
  <w:footnote w:id="6528">
    <w:p>
      <w:pPr>
        <w:pStyle w:val="FootnoteText"/>
      </w:pPr>
      <w:r>
        <w:rPr>
          <w:rStyle w:val="FootnoteReference"/>
        </w:rPr>
        <w:footnoteRef/>
      </w:r>
      <w:r>
        <w:t xml:space="preserve"> Translation note: Greek uses a small-structure term in an architectural notice. The translation keeps it somewhat open rather than overcommitting to chambers.</w:t>
      </w:r>
    </w:p>
  </w:footnote>
  <w:footnote w:id="6529">
    <w:p>
      <w:pPr>
        <w:pStyle w:val="FootnoteText"/>
      </w:pPr>
      <w:r>
        <w:rPr>
          <w:rStyle w:val="FootnoteReference"/>
        </w:rPr>
        <w:footnoteRef/>
      </w:r>
      <w:r>
        <w:t xml:space="preserve"> Translation note: The Septuagint preserves a different architectural item list at this verse numbering point. The translation follows the Greek wording.</w:t>
      </w:r>
    </w:p>
  </w:footnote>
  <w:footnote w:id="6530">
    <w:p>
      <w:pPr>
        <w:pStyle w:val="FootnoteText"/>
      </w:pPr>
      <w:r>
        <w:rPr>
          <w:rStyle w:val="FootnoteReference"/>
        </w:rPr>
        <w:footnoteRef/>
      </w:r>
      <w:r>
        <w:t xml:space="preserve"> MT/LXX note: The Septuagint places an architectural line here rather than the Masoretic pomegranate count. The translation follows the Greek content.</w:t>
      </w:r>
    </w:p>
  </w:footnote>
  <w:footnote w:id="6531">
    <w:p>
      <w:pPr>
        <w:pStyle w:val="FootnoteText"/>
      </w:pPr>
      <w:r>
        <w:rPr>
          <w:rStyle w:val="FootnoteReference"/>
        </w:rPr>
        <w:footnoteRef/>
      </w:r>
      <w:r>
        <w:t xml:space="preserve"> MT/LXX note: The Septuagint places the porch-description line here rather than the Masoretic basin list. The translation follows the Greek content.</w:t>
      </w:r>
    </w:p>
  </w:footnote>
  <w:footnote w:id="6532">
    <w:p>
      <w:pPr>
        <w:pStyle w:val="FootnoteText"/>
      </w:pPr>
      <w:r>
        <w:rPr>
          <w:rStyle w:val="FootnoteReference"/>
        </w:rPr>
        <w:footnoteRef/>
      </w:r>
      <w:r>
        <w:t xml:space="preserve"> MT/LXX note: The Septuagint verse here preserves an architectural notice rather than the Masoretic sea-support verse. The translation follows the Greek content at this verse number.</w:t>
      </w:r>
    </w:p>
  </w:footnote>
  <w:footnote w:id="6533">
    <w:p>
      <w:pPr>
        <w:pStyle w:val="FootnoteText"/>
      </w:pPr>
      <w:r>
        <w:rPr>
          <w:rStyle w:val="FootnoteReference"/>
        </w:rPr>
        <w:footnoteRef/>
      </w:r>
      <w:r>
        <w:t xml:space="preserve"> MT/LXX note: Greek describes the dressing of the stones with an interval phrase. The translation keeps that wording, and this verse differs from the Masoretic casting notice.</w:t>
      </w:r>
    </w:p>
  </w:footnote>
  <w:footnote w:id="6534">
    <w:p>
      <w:pPr>
        <w:pStyle w:val="FootnoteText"/>
      </w:pPr>
      <w:r>
        <w:rPr>
          <w:rStyle w:val="FootnoteReference"/>
        </w:rPr>
        <w:footnoteRef/>
      </w:r>
      <w:r>
        <w:t xml:space="preserve"> Translation note: Greek row here is stone-foundation clause.</w:t>
      </w:r>
    </w:p>
  </w:footnote>
  <w:footnote w:id="6535">
    <w:p>
      <w:pPr>
        <w:pStyle w:val="FootnoteText"/>
      </w:pPr>
      <w:r>
        <w:rPr>
          <w:rStyle w:val="FootnoteReference"/>
        </w:rPr>
        <w:footnoteRef/>
      </w:r>
      <w:r>
        <w:t xml:space="preserve"> MT/LXX note: The Septuagint places a court-construction line here rather than the Masoretic lampstand verse. The translation follows the Greek content.</w:t>
      </w:r>
    </w:p>
  </w:footnote>
  <w:footnote w:id="6536">
    <w:p>
      <w:pPr>
        <w:pStyle w:val="FootnoteText"/>
      </w:pPr>
      <w:r>
        <w:rPr>
          <w:rStyle w:val="FootnoteReference"/>
        </w:rPr>
        <w:footnoteRef/>
      </w:r>
      <w:r>
        <w:t xml:space="preserve"> Translation note: Greek says Salomon completed his whole house.</w:t>
      </w:r>
    </w:p>
  </w:footnote>
  <w:footnote w:id="6537">
    <w:p>
      <w:pPr>
        <w:pStyle w:val="FootnoteText"/>
      </w:pPr>
      <w:r>
        <w:rPr>
          <w:rStyle w:val="FootnoteReference"/>
        </w:rPr>
        <w:footnoteRef/>
      </w:r>
      <w:r>
        <w:t xml:space="preserve"> Cross-references for "Solomon": 2Chr 5:2-10.</w:t>
      </w:r>
    </w:p>
  </w:footnote>
  <w:footnote w:id="6538">
    <w:p>
      <w:pPr>
        <w:pStyle w:val="FootnoteText"/>
      </w:pPr>
      <w:r>
        <w:rPr>
          <w:rStyle w:val="FootnoteReference"/>
        </w:rPr>
        <w:footnoteRef/>
      </w:r>
      <w:r>
        <w:t xml:space="preserve"> Translation note: Greek includes the twenty-year completion notice here.</w:t>
      </w:r>
    </w:p>
  </w:footnote>
  <w:footnote w:id="6539">
    <w:p>
      <w:pPr>
        <w:pStyle w:val="FootnoteText"/>
      </w:pPr>
      <w:r>
        <w:rPr>
          <w:rStyle w:val="FootnoteReference"/>
        </w:rPr>
        <w:footnoteRef/>
      </w:r>
      <w:r>
        <w:t xml:space="preserve"> MT/LXX note: The Septuagint keeps only a short date line here rather than the longer Masoretic festival notice. The translation follows the Greek wording.</w:t>
      </w:r>
    </w:p>
  </w:footnote>
  <w:footnote w:id="6540">
    <w:p>
      <w:pPr>
        <w:pStyle w:val="FootnoteText"/>
      </w:pPr>
      <w:r>
        <w:rPr>
          <w:rStyle w:val="FootnoteReference"/>
        </w:rPr>
        <w:footnoteRef/>
      </w:r>
      <w:r>
        <w:t xml:space="preserve"> Cross-references for "sacrificing sheep": 2Sam 6:13; 1Kgs 8:62-63.</w:t>
      </w:r>
    </w:p>
  </w:footnote>
  <w:footnote w:id="6541">
    <w:p>
      <w:pPr>
        <w:pStyle w:val="FootnoteText"/>
      </w:pPr>
      <w:r>
        <w:rPr>
          <w:rStyle w:val="FootnoteReference"/>
        </w:rPr>
        <w:footnoteRef/>
      </w:r>
      <w:r>
        <w:t xml:space="preserve"> Cross-references for "And the priests": 2Sam 6:17; 1Kgs 8:4.</w:t>
      </w:r>
    </w:p>
  </w:footnote>
  <w:footnote w:id="6542">
    <w:p>
      <w:pPr>
        <w:pStyle w:val="FootnoteText"/>
      </w:pPr>
      <w:r>
        <w:rPr>
          <w:rStyle w:val="FootnoteReference"/>
        </w:rPr>
        <w:footnoteRef/>
      </w:r>
      <w:r>
        <w:t xml:space="preserve"> Cross-references for "holy place": 2Chr 5:9.</w:t>
      </w:r>
    </w:p>
  </w:footnote>
  <w:footnote w:id="6543">
    <w:p>
      <w:pPr>
        <w:pStyle w:val="FootnoteText"/>
      </w:pPr>
      <w:r>
        <w:rPr>
          <w:rStyle w:val="FootnoteReference"/>
        </w:rPr>
        <w:footnoteRef/>
      </w:r>
      <w:r>
        <w:t xml:space="preserve"> Translation note: Greek keeps the ark contents statement very direct. Current wording preserves that covenant-tablets line.</w:t>
      </w:r>
    </w:p>
  </w:footnote>
  <w:footnote w:id="6544">
    <w:p>
      <w:pPr>
        <w:pStyle w:val="FootnoteText"/>
      </w:pPr>
      <w:r>
        <w:rPr>
          <w:rStyle w:val="FootnoteReference"/>
        </w:rPr>
        <w:footnoteRef/>
      </w:r>
      <w:r>
        <w:t xml:space="preserve"> Cross-references for "nothing": Exod 25:21; Deut 10:2.</w:t>
      </w:r>
    </w:p>
  </w:footnote>
  <w:footnote w:id="6545">
    <w:p>
      <w:pPr>
        <w:pStyle w:val="FootnoteText"/>
      </w:pPr>
      <w:r>
        <w:rPr>
          <w:rStyle w:val="FootnoteReference"/>
        </w:rPr>
        <w:footnoteRef/>
      </w:r>
      <w:r>
        <w:t xml:space="preserve"> Cross-references for "blessed all": Josh 22:6; 2Sam 6:18.</w:t>
      </w:r>
    </w:p>
  </w:footnote>
  <w:footnote w:id="6546">
    <w:p>
      <w:pPr>
        <w:pStyle w:val="FootnoteText"/>
      </w:pPr>
      <w:r>
        <w:rPr>
          <w:rStyle w:val="FootnoteReference"/>
        </w:rPr>
        <w:footnoteRef/>
      </w:r>
      <w:r>
        <w:t xml:space="preserve"> Cross-references for "Blessed": 1Chr 29:10; 1Chr 29:20.</w:t>
      </w:r>
    </w:p>
  </w:footnote>
  <w:footnote w:id="6547">
    <w:p>
      <w:pPr>
        <w:pStyle w:val="FootnoteText"/>
      </w:pPr>
      <w:r>
        <w:rPr>
          <w:rStyle w:val="FootnoteReference"/>
        </w:rPr>
        <w:footnoteRef/>
      </w:r>
      <w:r>
        <w:t xml:space="preserve"> Cross-references for "I chose": 1Chr 17:5-6; Ps 132:13.</w:t>
      </w:r>
    </w:p>
  </w:footnote>
  <w:footnote w:id="6548">
    <w:p>
      <w:pPr>
        <w:pStyle w:val="FootnoteText"/>
      </w:pPr>
      <w:r>
        <w:rPr>
          <w:rStyle w:val="FootnoteReference"/>
        </w:rPr>
        <w:footnoteRef/>
      </w:r>
      <w:r>
        <w:t xml:space="preserve"> Translation note: Greek says scepter here rather than tribe. The translation keeps the Septuagint wording visible.</w:t>
      </w:r>
    </w:p>
  </w:footnote>
  <w:footnote w:id="6549">
    <w:p>
      <w:pPr>
        <w:pStyle w:val="FootnoteText"/>
      </w:pPr>
      <w:r>
        <w:rPr>
          <w:rStyle w:val="FootnoteReference"/>
        </w:rPr>
        <w:footnoteRef/>
      </w:r>
      <w:r>
        <w:t xml:space="preserve"> Cross-references for "as the Lord": 1Chr 28:5-6.</w:t>
      </w:r>
    </w:p>
  </w:footnote>
  <w:footnote w:id="6550">
    <w:p>
      <w:pPr>
        <w:pStyle w:val="FootnoteText"/>
      </w:pPr>
      <w:r>
        <w:rPr>
          <w:rStyle w:val="FootnoteReference"/>
        </w:rPr>
        <w:footnoteRef/>
      </w:r>
      <w:r>
        <w:t xml:space="preserve"> Cross-references for "the covenant": Exod 34:28; Deut 9:9.</w:t>
      </w:r>
    </w:p>
  </w:footnote>
  <w:footnote w:id="6551">
    <w:p>
      <w:pPr>
        <w:pStyle w:val="FootnoteText"/>
      </w:pPr>
      <w:r>
        <w:rPr>
          <w:rStyle w:val="FootnoteReference"/>
        </w:rPr>
        <w:footnoteRef/>
      </w:r>
      <w:r>
        <w:t xml:space="preserve"> Cross-references for "stood before the altar": 1Kgs 8:54; 2Kgs 11:14.</w:t>
      </w:r>
    </w:p>
  </w:footnote>
  <w:footnote w:id="6552">
    <w:p>
      <w:pPr>
        <w:pStyle w:val="FootnoteText"/>
      </w:pPr>
      <w:r>
        <w:rPr>
          <w:rStyle w:val="FootnoteReference"/>
        </w:rPr>
        <w:footnoteRef/>
      </w:r>
      <w:r>
        <w:t xml:space="preserve"> Translation note: Greek marks Solomon's prayer stance with that gesture. Current wording preserves it.</w:t>
      </w:r>
    </w:p>
  </w:footnote>
  <w:footnote w:id="6553">
    <w:p>
      <w:pPr>
        <w:pStyle w:val="FootnoteText"/>
      </w:pPr>
      <w:r>
        <w:rPr>
          <w:rStyle w:val="FootnoteReference"/>
        </w:rPr>
        <w:footnoteRef/>
      </w:r>
      <w:r>
        <w:t xml:space="preserve"> Cross-references for "Lord God": Gen 33:20; Exod 3:15.</w:t>
      </w:r>
    </w:p>
  </w:footnote>
  <w:footnote w:id="6554">
    <w:p>
      <w:pPr>
        <w:pStyle w:val="FootnoteText"/>
      </w:pPr>
      <w:r>
        <w:rPr>
          <w:rStyle w:val="FootnoteReference"/>
        </w:rPr>
        <w:footnoteRef/>
      </w:r>
      <w:r>
        <w:t xml:space="preserve"> Translation note: Greek phrases the Davidic promise with not be lifted away from before me. Current wording preserves that promise formula.</w:t>
      </w:r>
    </w:p>
  </w:footnote>
  <w:footnote w:id="6555">
    <w:p>
      <w:pPr>
        <w:pStyle w:val="FootnoteText"/>
      </w:pPr>
      <w:r>
        <w:rPr>
          <w:rStyle w:val="FootnoteReference"/>
        </w:rPr>
        <w:footnoteRef/>
      </w:r>
      <w:r>
        <w:t xml:space="preserve"> Cross-references for "And now": Exod 24:10; 1Sam 1:17.</w:t>
      </w:r>
    </w:p>
  </w:footnote>
  <w:footnote w:id="6556">
    <w:p>
      <w:pPr>
        <w:pStyle w:val="FootnoteText"/>
      </w:pPr>
      <w:r>
        <w:rPr>
          <w:rStyle w:val="FootnoteReference"/>
        </w:rPr>
        <w:footnoteRef/>
      </w:r>
      <w:r>
        <w:t xml:space="preserve"> Translation note: Greek says My name will be there.</w:t>
      </w:r>
    </w:p>
  </w:footnote>
  <w:footnote w:id="6557">
    <w:p>
      <w:pPr>
        <w:pStyle w:val="FootnoteText"/>
      </w:pPr>
      <w:r>
        <w:rPr>
          <w:rStyle w:val="FootnoteReference"/>
        </w:rPr>
        <w:footnoteRef/>
      </w:r>
      <w:r>
        <w:t xml:space="preserve"> Cross-references for "My name": Exod 20:24; Deut 12:11.</w:t>
      </w:r>
    </w:p>
  </w:footnote>
  <w:footnote w:id="6558">
    <w:p>
      <w:pPr>
        <w:pStyle w:val="FootnoteText"/>
      </w:pPr>
      <w:r>
        <w:rPr>
          <w:rStyle w:val="FootnoteReference"/>
        </w:rPr>
        <w:footnoteRef/>
      </w:r>
      <w:r>
        <w:t xml:space="preserve"> Translation note: Greek uses a head-return judgment idiom. Current wording keeps the idiom rather than flattening it to a generic punishment line.</w:t>
      </w:r>
    </w:p>
  </w:footnote>
  <w:footnote w:id="6559">
    <w:p>
      <w:pPr>
        <w:pStyle w:val="FootnoteText"/>
      </w:pPr>
      <w:r>
        <w:rPr>
          <w:rStyle w:val="FootnoteReference"/>
        </w:rPr>
        <w:footnoteRef/>
      </w:r>
      <w:r>
        <w:t xml:space="preserve"> Cross-references for "pray": Ezra 9:5-15; Neh 9:1-3.</w:t>
      </w:r>
    </w:p>
  </w:footnote>
  <w:footnote w:id="6560">
    <w:p>
      <w:pPr>
        <w:pStyle w:val="FootnoteText"/>
      </w:pPr>
      <w:r>
        <w:rPr>
          <w:rStyle w:val="FootnoteReference"/>
        </w:rPr>
        <w:footnoteRef/>
      </w:r>
      <w:r>
        <w:t xml:space="preserve"> Cross-references for "heaven": Lev 26:19; Deut 11:17.</w:t>
      </w:r>
    </w:p>
  </w:footnote>
  <w:footnote w:id="6561">
    <w:p>
      <w:pPr>
        <w:pStyle w:val="FootnoteText"/>
      </w:pPr>
      <w:r>
        <w:rPr>
          <w:rStyle w:val="FootnoteReference"/>
        </w:rPr>
        <w:footnoteRef/>
      </w:r>
      <w:r>
        <w:t xml:space="preserve"> Translation note: The Greek keeps the name formula explicit. The current wording preserves that line.</w:t>
      </w:r>
    </w:p>
  </w:footnote>
  <w:footnote w:id="6562">
    <w:p>
      <w:pPr>
        <w:pStyle w:val="FootnoteText"/>
      </w:pPr>
      <w:r>
        <w:rPr>
          <w:rStyle w:val="FootnoteReference"/>
        </w:rPr>
        <w:footnoteRef/>
      </w:r>
      <w:r>
        <w:t xml:space="preserve"> Translation note: Greek says be gracious to the sins and show them the good way.</w:t>
      </w:r>
    </w:p>
  </w:footnote>
  <w:footnote w:id="6563">
    <w:p>
      <w:pPr>
        <w:pStyle w:val="FootnoteText"/>
      </w:pPr>
      <w:r>
        <w:rPr>
          <w:rStyle w:val="FootnoteReference"/>
        </w:rPr>
        <w:footnoteRef/>
      </w:r>
      <w:r>
        <w:t xml:space="preserve"> Cross-references for "the good way": 1Sam 12:23; 2Chr 6:26-27.</w:t>
      </w:r>
    </w:p>
  </w:footnote>
  <w:footnote w:id="6564">
    <w:p>
      <w:pPr>
        <w:pStyle w:val="FootnoteText"/>
      </w:pPr>
      <w:r>
        <w:rPr>
          <w:rStyle w:val="FootnoteReference"/>
        </w:rPr>
        <w:footnoteRef/>
      </w:r>
      <w:r>
        <w:t xml:space="preserve"> Translation note: Greek says every encounter and every pain.</w:t>
      </w:r>
    </w:p>
  </w:footnote>
  <w:footnote w:id="6565">
    <w:p>
      <w:pPr>
        <w:pStyle w:val="FootnoteText"/>
      </w:pPr>
      <w:r>
        <w:rPr>
          <w:rStyle w:val="FootnoteReference"/>
        </w:rPr>
        <w:footnoteRef/>
      </w:r>
      <w:r>
        <w:t xml:space="preserve"> Cross-references for "prayer": 2Chr 20:5-13; Ps 50:15.</w:t>
      </w:r>
    </w:p>
  </w:footnote>
  <w:footnote w:id="6566">
    <w:p>
      <w:pPr>
        <w:pStyle w:val="FootnoteText"/>
      </w:pPr>
      <w:r>
        <w:rPr>
          <w:rStyle w:val="FootnoteReference"/>
        </w:rPr>
        <w:footnoteRef/>
      </w:r>
      <w:r>
        <w:t xml:space="preserve"> Translation note: Greek says touch of his own heart here.</w:t>
      </w:r>
    </w:p>
  </w:footnote>
  <w:footnote w:id="6567">
    <w:p>
      <w:pPr>
        <w:pStyle w:val="FootnoteText"/>
      </w:pPr>
      <w:r>
        <w:rPr>
          <w:rStyle w:val="FootnoteReference"/>
        </w:rPr>
        <w:footnoteRef/>
      </w:r>
      <w:r>
        <w:t xml:space="preserve"> Translation note: Greek keeps the name-upon formula here.</w:t>
      </w:r>
    </w:p>
  </w:footnote>
  <w:footnote w:id="6568">
    <w:p>
      <w:pPr>
        <w:pStyle w:val="FootnoteText"/>
      </w:pPr>
      <w:r>
        <w:rPr>
          <w:rStyle w:val="FootnoteReference"/>
        </w:rPr>
        <w:footnoteRef/>
      </w:r>
      <w:r>
        <w:t xml:space="preserve"> Cross-references for "this house": 1Kgs 8:29.</w:t>
      </w:r>
    </w:p>
  </w:footnote>
  <w:footnote w:id="6569">
    <w:p>
      <w:pPr>
        <w:pStyle w:val="FootnoteText"/>
      </w:pPr>
      <w:r>
        <w:rPr>
          <w:rStyle w:val="FootnoteReference"/>
        </w:rPr>
        <w:footnoteRef/>
      </w:r>
      <w:r>
        <w:t xml:space="preserve"> Translation note: Greek says pray in name of the Lord here. Current line keeps that wording.</w:t>
      </w:r>
    </w:p>
  </w:footnote>
  <w:footnote w:id="6570">
    <w:p>
      <w:pPr>
        <w:pStyle w:val="FootnoteText"/>
      </w:pPr>
      <w:r>
        <w:rPr>
          <w:rStyle w:val="FootnoteReference"/>
        </w:rPr>
        <w:footnoteRef/>
      </w:r>
      <w:r>
        <w:t xml:space="preserve"> Translation note: Greek keeps that repentance sequence before turn and entreat.</w:t>
      </w:r>
    </w:p>
  </w:footnote>
  <w:footnote w:id="6571">
    <w:p>
      <w:pPr>
        <w:pStyle w:val="FootnoteText"/>
      </w:pPr>
      <w:r>
        <w:rPr>
          <w:rStyle w:val="FootnoteReference"/>
        </w:rPr>
        <w:footnoteRef/>
      </w:r>
      <w:r>
        <w:t xml:space="preserve"> Cross-references for "saying": Ezra 9:6-7; Neh 1:6-11.</w:t>
      </w:r>
    </w:p>
  </w:footnote>
  <w:footnote w:id="6572">
    <w:p>
      <w:pPr>
        <w:pStyle w:val="FootnoteText"/>
      </w:pPr>
      <w:r>
        <w:rPr>
          <w:rStyle w:val="FootnoteReference"/>
        </w:rPr>
        <w:footnoteRef/>
      </w:r>
      <w:r>
        <w:t xml:space="preserve"> Translation note: Greek says into compassions here. Current line keeps that wording.</w:t>
      </w:r>
    </w:p>
  </w:footnote>
  <w:footnote w:id="6573">
    <w:p>
      <w:pPr>
        <w:pStyle w:val="FootnoteText"/>
      </w:pPr>
      <w:r>
        <w:rPr>
          <w:rStyle w:val="FootnoteReference"/>
        </w:rPr>
        <w:footnoteRef/>
      </w:r>
      <w:r>
        <w:t xml:space="preserve"> Translation note: The Greek text appends a poetic notice and citation after the prayer. Manual Logos export confirms the addition across NETS LES LES2 SAAS and both Greek witnesses so this draft keeps it visible.</w:t>
      </w:r>
    </w:p>
  </w:footnote>
  <w:footnote w:id="6574">
    <w:p>
      <w:pPr>
        <w:pStyle w:val="FootnoteText"/>
      </w:pPr>
      <w:r>
        <w:rPr>
          <w:rStyle w:val="FootnoteReference"/>
        </w:rPr>
        <w:footnoteRef/>
      </w:r>
      <w:r>
        <w:t xml:space="preserve"> Cross-references for "when Solomon": Luke 11:1; Luke 22:45.</w:t>
      </w:r>
    </w:p>
  </w:footnote>
  <w:footnote w:id="6575">
    <w:p>
      <w:pPr>
        <w:pStyle w:val="FootnoteText"/>
      </w:pPr>
      <w:r>
        <w:rPr>
          <w:rStyle w:val="FootnoteReference"/>
        </w:rPr>
        <w:footnoteRef/>
      </w:r>
      <w:r>
        <w:t xml:space="preserve"> Translation note: Greek keeps posture details direct.</w:t>
      </w:r>
    </w:p>
  </w:footnote>
  <w:footnote w:id="6576">
    <w:p>
      <w:pPr>
        <w:pStyle w:val="FootnoteText"/>
      </w:pPr>
      <w:r>
        <w:rPr>
          <w:rStyle w:val="FootnoteReference"/>
        </w:rPr>
        <w:footnoteRef/>
      </w:r>
      <w:r>
        <w:t xml:space="preserve"> Cross-references for "blessed": Num 6:23-26; 2Sam 6:18.</w:t>
      </w:r>
    </w:p>
  </w:footnote>
  <w:footnote w:id="6577">
    <w:p>
      <w:pPr>
        <w:pStyle w:val="FootnoteText"/>
      </w:pPr>
      <w:r>
        <w:rPr>
          <w:rStyle w:val="FootnoteReference"/>
        </w:rPr>
        <w:footnoteRef/>
      </w:r>
      <w:r>
        <w:t xml:space="preserve"> Cross-references for "failed": 1Sam 3:19; 2Kgs 10:10.</w:t>
      </w:r>
    </w:p>
  </w:footnote>
  <w:footnote w:id="6578">
    <w:p>
      <w:pPr>
        <w:pStyle w:val="FootnoteText"/>
      </w:pPr>
      <w:r>
        <w:rPr>
          <w:rStyle w:val="FootnoteReference"/>
        </w:rPr>
        <w:footnoteRef/>
      </w:r>
      <w:r>
        <w:t xml:space="preserve"> Cross-references for "incline": Ps 110:3; Ps 119:36.</w:t>
      </w:r>
    </w:p>
  </w:footnote>
  <w:footnote w:id="6579">
    <w:p>
      <w:pPr>
        <w:pStyle w:val="FootnoteText"/>
      </w:pPr>
      <w:r>
        <w:rPr>
          <w:rStyle w:val="FootnoteReference"/>
        </w:rPr>
        <w:footnoteRef/>
      </w:r>
      <w:r>
        <w:t xml:space="preserve"> Translation note: Greek keeps judicial phrasing plus the day-matter formula; the English smooths the formula as each day's matter on its day.</w:t>
      </w:r>
    </w:p>
  </w:footnote>
  <w:footnote w:id="6580">
    <w:p>
      <w:pPr>
        <w:pStyle w:val="FootnoteText"/>
      </w:pPr>
      <w:r>
        <w:rPr>
          <w:rStyle w:val="FootnoteReference"/>
        </w:rPr>
        <w:footnoteRef/>
      </w:r>
      <w:r>
        <w:t xml:space="preserve"> Cross-references for "that all": Josh 4:24; 1Sam 17:46.</w:t>
      </w:r>
    </w:p>
  </w:footnote>
  <w:footnote w:id="6581">
    <w:p>
      <w:pPr>
        <w:pStyle w:val="FootnoteText"/>
      </w:pPr>
      <w:r>
        <w:rPr>
          <w:rStyle w:val="FootnoteReference"/>
        </w:rPr>
        <w:footnoteRef/>
      </w:r>
      <w:r>
        <w:t xml:space="preserve"> Cross-references for "perfect": Gen 17:1; Deut 18:13.</w:t>
      </w:r>
    </w:p>
  </w:footnote>
  <w:footnote w:id="6582">
    <w:p>
      <w:pPr>
        <w:pStyle w:val="FootnoteText"/>
      </w:pPr>
      <w:r>
        <w:rPr>
          <w:rStyle w:val="FootnoteReference"/>
        </w:rPr>
        <w:footnoteRef/>
      </w:r>
      <w:r>
        <w:t xml:space="preserve"> Translation note: Greek repeats the sacrifice phrase here.</w:t>
      </w:r>
    </w:p>
  </w:footnote>
  <w:footnote w:id="6583">
    <w:p>
      <w:pPr>
        <w:pStyle w:val="FootnoteText"/>
      </w:pPr>
      <w:r>
        <w:rPr>
          <w:rStyle w:val="FootnoteReference"/>
        </w:rPr>
        <w:footnoteRef/>
      </w:r>
      <w:r>
        <w:t xml:space="preserve"> Cross-references for "dedicated": Num 7:10-11; Num 7:84-88.</w:t>
      </w:r>
    </w:p>
  </w:footnote>
  <w:footnote w:id="6584">
    <w:p>
      <w:pPr>
        <w:pStyle w:val="FootnoteText"/>
      </w:pPr>
      <w:r>
        <w:rPr>
          <w:rStyle w:val="FootnoteReference"/>
        </w:rPr>
        <w:footnoteRef/>
      </w:r>
      <w:r>
        <w:t xml:space="preserve"> Translation note: Greek uses a consecration verb here. The translation keeps that wording.</w:t>
      </w:r>
    </w:p>
  </w:footnote>
  <w:footnote w:id="6585">
    <w:p>
      <w:pPr>
        <w:pStyle w:val="FootnoteText"/>
      </w:pPr>
      <w:r>
        <w:rPr>
          <w:rStyle w:val="FootnoteReference"/>
        </w:rPr>
        <w:footnoteRef/>
      </w:r>
      <w:r>
        <w:t xml:space="preserve"> Cross-references for "a great": 2Chr 30:13; Ps 40:9-10.</w:t>
      </w:r>
    </w:p>
  </w:footnote>
  <w:footnote w:id="6586">
    <w:p>
      <w:pPr>
        <w:pStyle w:val="FootnoteText"/>
      </w:pPr>
      <w:r>
        <w:rPr>
          <w:rStyle w:val="FootnoteReference"/>
        </w:rPr>
        <w:footnoteRef/>
      </w:r>
      <w:r>
        <w:t xml:space="preserve"> Translation note: Greek says led/kept feast here.</w:t>
      </w:r>
    </w:p>
  </w:footnote>
  <w:footnote w:id="6587">
    <w:p>
      <w:pPr>
        <w:pStyle w:val="FootnoteText"/>
      </w:pPr>
      <w:r>
        <w:rPr>
          <w:rStyle w:val="FootnoteReference"/>
        </w:rPr>
        <w:footnoteRef/>
      </w:r>
      <w:r>
        <w:t xml:space="preserve"> Cross-references for "the eighth day": 1Kgs 8:1; 2Chr 7:10.</w:t>
      </w:r>
    </w:p>
  </w:footnote>
  <w:footnote w:id="6588">
    <w:p>
      <w:pPr>
        <w:pStyle w:val="FootnoteText"/>
      </w:pPr>
      <w:r>
        <w:rPr>
          <w:rStyle w:val="FootnoteReference"/>
        </w:rPr>
        <w:footnoteRef/>
      </w:r>
      <w:r>
        <w:t xml:space="preserve"> Translation note: Greek keeps both expressions here.</w:t>
      </w:r>
    </w:p>
  </w:footnote>
  <w:footnote w:id="6589">
    <w:p>
      <w:pPr>
        <w:pStyle w:val="FootnoteText"/>
      </w:pPr>
      <w:r>
        <w:rPr>
          <w:rStyle w:val="FootnoteReference"/>
        </w:rPr>
        <w:footnoteRef/>
      </w:r>
      <w:r>
        <w:t xml:space="preserve"> Cross-references for "it came": 1Kgs 6:37-38; 1Kgs 7:1.</w:t>
      </w:r>
    </w:p>
  </w:footnote>
  <w:footnote w:id="6590">
    <w:p>
      <w:pPr>
        <w:pStyle w:val="FootnoteText"/>
      </w:pPr>
      <w:r>
        <w:rPr>
          <w:rStyle w:val="FootnoteReference"/>
        </w:rPr>
        <w:footnoteRef/>
      </w:r>
      <w:r>
        <w:t xml:space="preserve"> Cross-references for "as he": 1Kgs 3:5; 1Kgs 11:9.</w:t>
      </w:r>
    </w:p>
  </w:footnote>
  <w:footnote w:id="6591">
    <w:p>
      <w:pPr>
        <w:pStyle w:val="FootnoteText"/>
      </w:pPr>
      <w:r>
        <w:rPr>
          <w:rStyle w:val="FootnoteReference"/>
        </w:rPr>
        <w:footnoteRef/>
      </w:r>
      <w:r>
        <w:t xml:space="preserve"> Cross-references for "I have heard": 2Kgs 20:5; Ps 10:17.</w:t>
      </w:r>
    </w:p>
  </w:footnote>
  <w:footnote w:id="6592">
    <w:p>
      <w:pPr>
        <w:pStyle w:val="FootnoteText"/>
      </w:pPr>
      <w:r>
        <w:rPr>
          <w:rStyle w:val="FootnoteReference"/>
        </w:rPr>
        <w:footnoteRef/>
      </w:r>
      <w:r>
        <w:t xml:space="preserve"> Translation note: Greek repeats prayer-language and ends with all the days rather than a smoother perpetually paraphrase.</w:t>
      </w:r>
    </w:p>
  </w:footnote>
  <w:footnote w:id="6593">
    <w:p>
      <w:pPr>
        <w:pStyle w:val="FootnoteText"/>
      </w:pPr>
      <w:r>
        <w:rPr>
          <w:rStyle w:val="FootnoteReference"/>
        </w:rPr>
        <w:footnoteRef/>
      </w:r>
      <w:r>
        <w:t xml:space="preserve"> Translation note: Greek doubles the turn-away verb.</w:t>
      </w:r>
    </w:p>
  </w:footnote>
  <w:footnote w:id="6594">
    <w:p>
      <w:pPr>
        <w:pStyle w:val="FootnoteText"/>
      </w:pPr>
      <w:r>
        <w:rPr>
          <w:rStyle w:val="FootnoteReference"/>
        </w:rPr>
        <w:footnoteRef/>
      </w:r>
      <w:r>
        <w:t xml:space="preserve"> Cross-references for "this house": 1Kgs 9:3; 2Kgs 25:9.</w:t>
      </w:r>
    </w:p>
  </w:footnote>
  <w:footnote w:id="6595">
    <w:p>
      <w:pPr>
        <w:pStyle w:val="FootnoteText"/>
      </w:pPr>
      <w:r>
        <w:rPr>
          <w:rStyle w:val="FootnoteReference"/>
        </w:rPr>
        <w:footnoteRef/>
      </w:r>
      <w:r>
        <w:t xml:space="preserve"> Translation note: Greek says Israel will become for ruin and for proverb.</w:t>
      </w:r>
    </w:p>
  </w:footnote>
  <w:footnote w:id="6596">
    <w:p>
      <w:pPr>
        <w:pStyle w:val="FootnoteText"/>
      </w:pPr>
      <w:r>
        <w:rPr>
          <w:rStyle w:val="FootnoteReference"/>
        </w:rPr>
        <w:footnoteRef/>
      </w:r>
      <w:r>
        <w:t xml:space="preserve"> Translation note: Greek says from house of slavery.</w:t>
      </w:r>
    </w:p>
  </w:footnote>
  <w:footnote w:id="6597">
    <w:p>
      <w:pPr>
        <w:pStyle w:val="FootnoteText"/>
      </w:pPr>
      <w:r>
        <w:rPr>
          <w:rStyle w:val="FootnoteReference"/>
        </w:rPr>
        <w:footnoteRef/>
      </w:r>
      <w:r>
        <w:t xml:space="preserve"> Cross-references for "Therefore": Jer 12:7-8.</w:t>
      </w:r>
    </w:p>
  </w:footnote>
  <w:footnote w:id="6598">
    <w:p>
      <w:pPr>
        <w:pStyle w:val="FootnoteText"/>
      </w:pPr>
      <w:r>
        <w:rPr>
          <w:rStyle w:val="FootnoteReference"/>
        </w:rPr>
        <w:footnoteRef/>
      </w:r>
      <w:r>
        <w:t xml:space="preserve"> Cross-references for "of Galilee": Josh 20:7.</w:t>
      </w:r>
    </w:p>
  </w:footnote>
  <w:footnote w:id="6599">
    <w:p>
      <w:pPr>
        <w:pStyle w:val="FootnoteText"/>
      </w:pPr>
      <w:r>
        <w:rPr>
          <w:rStyle w:val="FootnoteReference"/>
        </w:rPr>
        <w:footnoteRef/>
      </w:r>
      <w:r>
        <w:t xml:space="preserve"> Cross-references for "Eziongeber": Num 33:35; Deut 2:8.</w:t>
      </w:r>
    </w:p>
  </w:footnote>
  <w:footnote w:id="6600">
    <w:p>
      <w:pPr>
        <w:pStyle w:val="FootnoteText"/>
      </w:pPr>
      <w:r>
        <w:rPr>
          <w:rStyle w:val="FootnoteReference"/>
        </w:rPr>
        <w:footnoteRef/>
      </w:r>
      <w:r>
        <w:t xml:space="preserve"> Transliterated proper noun: Elath. Standard English equivalent: Eloth. Source form: Elath. Greek form: αιλαθ. Name meaning: a hind; strength; an oak.</w:t>
      </w:r>
    </w:p>
  </w:footnote>
  <w:footnote w:id="6601">
    <w:p>
      <w:pPr>
        <w:pStyle w:val="FootnoteText"/>
      </w:pPr>
      <w:r>
        <w:rPr>
          <w:rStyle w:val="FootnoteReference"/>
        </w:rPr>
        <w:footnoteRef/>
      </w:r>
      <w:r>
        <w:t xml:space="preserve"> MT/LXX note: MT 1 Kings 9:15-25 is not present at this LXX-numbered point in the Greek source used here. This edition resumes with Solomon's ship at Eziongeber.</w:t>
      </w:r>
    </w:p>
  </w:footnote>
  <w:footnote w:id="6602">
    <w:p>
      <w:pPr>
        <w:pStyle w:val="FootnoteText"/>
      </w:pPr>
      <w:r>
        <w:rPr>
          <w:rStyle w:val="FootnoteReference"/>
        </w:rPr>
        <w:footnoteRef/>
      </w:r>
      <w:r>
        <w:t xml:space="preserve"> Cross-references for "his servants": 1Kgs 5:6; 1Kgs 5:9.</w:t>
      </w:r>
    </w:p>
  </w:footnote>
  <w:footnote w:id="6603">
    <w:p>
      <w:pPr>
        <w:pStyle w:val="FootnoteText"/>
      </w:pPr>
      <w:r>
        <w:rPr>
          <w:rStyle w:val="FootnoteReference"/>
        </w:rPr>
        <w:footnoteRef/>
      </w:r>
      <w:r>
        <w:t xml:space="preserve"> Translation note: Greek uses vivid seafaring wording here. Current wording preserves it.</w:t>
      </w:r>
    </w:p>
  </w:footnote>
  <w:footnote w:id="6604">
    <w:p>
      <w:pPr>
        <w:pStyle w:val="FootnoteText"/>
      </w:pPr>
      <w:r>
        <w:rPr>
          <w:rStyle w:val="FootnoteReference"/>
        </w:rPr>
        <w:footnoteRef/>
      </w:r>
      <w:r>
        <w:t xml:space="preserve"> Cross-references for "Ophir": Gen 10:29; 1Kgs 10:11.</w:t>
      </w:r>
    </w:p>
  </w:footnote>
  <w:footnote w:id="6605">
    <w:p>
      <w:pPr>
        <w:pStyle w:val="FootnoteText"/>
      </w:pPr>
      <w:r>
        <w:rPr>
          <w:rStyle w:val="FootnoteReference"/>
        </w:rPr>
        <w:footnoteRef/>
      </w:r>
      <w:r>
        <w:t xml:space="preserve"> Cross-references for "Sheba": Gen 10:7; Gen 10:28.</w:t>
      </w:r>
    </w:p>
  </w:footnote>
  <w:footnote w:id="6606">
    <w:p>
      <w:pPr>
        <w:pStyle w:val="FootnoteText"/>
      </w:pPr>
      <w:r>
        <w:rPr>
          <w:rStyle w:val="FootnoteReference"/>
        </w:rPr>
        <w:footnoteRef/>
      </w:r>
      <w:r>
        <w:t xml:space="preserve"> Translation note: Greek says very heavy force here. Current line keeps that wording.</w:t>
      </w:r>
    </w:p>
  </w:footnote>
  <w:footnote w:id="6607">
    <w:p>
      <w:pPr>
        <w:pStyle w:val="FootnoteText"/>
      </w:pPr>
      <w:r>
        <w:rPr>
          <w:rStyle w:val="FootnoteReference"/>
        </w:rPr>
        <w:footnoteRef/>
      </w:r>
      <w:r>
        <w:t xml:space="preserve"> Cross-references for "spices": Exod 25:6; 2Kgs 20:13.</w:t>
      </w:r>
    </w:p>
  </w:footnote>
  <w:footnote w:id="6608">
    <w:p>
      <w:pPr>
        <w:pStyle w:val="FootnoteText"/>
      </w:pPr>
      <w:r>
        <w:rPr>
          <w:rStyle w:val="FootnoteReference"/>
        </w:rPr>
        <w:footnoteRef/>
      </w:r>
      <w:r>
        <w:t xml:space="preserve"> Cross-references for "cupbearers": 2Kgs 16:18; 1Chr 9:18.</w:t>
      </w:r>
    </w:p>
  </w:footnote>
  <w:footnote w:id="6609">
    <w:p>
      <w:pPr>
        <w:pStyle w:val="FootnoteText"/>
      </w:pPr>
      <w:r>
        <w:rPr>
          <w:rStyle w:val="FootnoteReference"/>
        </w:rPr>
        <w:footnoteRef/>
      </w:r>
      <w:r>
        <w:t xml:space="preserve"> Translation note: Greek says she was beside herself.</w:t>
      </w:r>
    </w:p>
  </w:footnote>
  <w:footnote w:id="6610">
    <w:p>
      <w:pPr>
        <w:pStyle w:val="FootnoteText"/>
      </w:pPr>
      <w:r>
        <w:rPr>
          <w:rStyle w:val="FootnoteReference"/>
        </w:rPr>
        <w:footnoteRef/>
      </w:r>
      <w:r>
        <w:t xml:space="preserve"> Cross-references for "blessed": 1Kgs 5:7; Ps 72:17-19.</w:t>
      </w:r>
    </w:p>
  </w:footnote>
  <w:footnote w:id="6611">
    <w:p>
      <w:pPr>
        <w:pStyle w:val="FootnoteText"/>
      </w:pPr>
      <w:r>
        <w:rPr>
          <w:rStyle w:val="FootnoteReference"/>
        </w:rPr>
        <w:footnoteRef/>
      </w:r>
      <w:r>
        <w:t xml:space="preserve"> Cross-references for "she gave": 1Kgs 9:14; 1Kgs 10:2.</w:t>
      </w:r>
    </w:p>
  </w:footnote>
  <w:footnote w:id="6612">
    <w:p>
      <w:pPr>
        <w:pStyle w:val="FootnoteText"/>
      </w:pPr>
      <w:r>
        <w:rPr>
          <w:rStyle w:val="FootnoteReference"/>
        </w:rPr>
        <w:footnoteRef/>
      </w:r>
      <w:r>
        <w:t xml:space="preserve"> Translation note: Greek says such multitude of spices had not come again.</w:t>
      </w:r>
    </w:p>
  </w:footnote>
  <w:footnote w:id="6613">
    <w:p>
      <w:pPr>
        <w:pStyle w:val="FootnoteText"/>
      </w:pPr>
      <w:r>
        <w:rPr>
          <w:rStyle w:val="FootnoteReference"/>
        </w:rPr>
        <w:footnoteRef/>
      </w:r>
      <w:r>
        <w:t xml:space="preserve"> Cross-references for "from Ophir": 1Kgs 9:27-28; 2Chr 8:18.</w:t>
      </w:r>
    </w:p>
  </w:footnote>
  <w:footnote w:id="6614">
    <w:p>
      <w:pPr>
        <w:pStyle w:val="FootnoteText"/>
      </w:pPr>
      <w:r>
        <w:rPr>
          <w:rStyle w:val="FootnoteReference"/>
        </w:rPr>
        <w:footnoteRef/>
      </w:r>
      <w:r>
        <w:t xml:space="preserve"> Cross-references for "harps": 1Chr 23:5; 1Chr 25:1-31.</w:t>
      </w:r>
    </w:p>
  </w:footnote>
  <w:footnote w:id="6615">
    <w:p>
      <w:pPr>
        <w:pStyle w:val="FootnoteText"/>
      </w:pPr>
      <w:r>
        <w:rPr>
          <w:rStyle w:val="FootnoteReference"/>
        </w:rPr>
        <w:footnoteRef/>
      </w:r>
      <w:r>
        <w:t xml:space="preserve"> Cross-references for "was six hundred": 1Kgs 9:28.</w:t>
      </w:r>
    </w:p>
  </w:footnote>
  <w:footnote w:id="6616">
    <w:p>
      <w:pPr>
        <w:pStyle w:val="FootnoteText"/>
      </w:pPr>
      <w:r>
        <w:rPr>
          <w:rStyle w:val="FootnoteReference"/>
        </w:rPr>
        <w:footnoteRef/>
      </w:r>
      <w:r>
        <w:t xml:space="preserve"> Cross-references for "all the kings": 1Chr 9:24; 2Chr 9:13-14.</w:t>
      </w:r>
    </w:p>
  </w:footnote>
  <w:footnote w:id="6617">
    <w:p>
      <w:pPr>
        <w:pStyle w:val="FootnoteText"/>
      </w:pPr>
      <w:r>
        <w:rPr>
          <w:rStyle w:val="FootnoteReference"/>
        </w:rPr>
        <w:footnoteRef/>
      </w:r>
      <w:r>
        <w:t xml:space="preserve"> Cross-references for "in the House": 1Kgs 7:2.</w:t>
      </w:r>
    </w:p>
  </w:footnote>
  <w:footnote w:id="6618">
    <w:p>
      <w:pPr>
        <w:pStyle w:val="FootnoteText"/>
      </w:pPr>
      <w:r>
        <w:rPr>
          <w:rStyle w:val="FootnoteReference"/>
        </w:rPr>
        <w:footnoteRef/>
      </w:r>
      <w:r>
        <w:t xml:space="preserve"> Cross-references for "ivory": 1Kgs 10:22; 1Kgs 22:39.</w:t>
      </w:r>
    </w:p>
  </w:footnote>
  <w:footnote w:id="6619">
    <w:p>
      <w:pPr>
        <w:pStyle w:val="FootnoteText"/>
      </w:pPr>
      <w:r>
        <w:rPr>
          <w:rStyle w:val="FootnoteReference"/>
        </w:rPr>
        <w:footnoteRef/>
      </w:r>
      <w:r>
        <w:t xml:space="preserve"> Cross-references for "lions": Gen 49:9; Num 23:24.</w:t>
      </w:r>
    </w:p>
  </w:footnote>
  <w:footnote w:id="6620">
    <w:p>
      <w:pPr>
        <w:pStyle w:val="FootnoteText"/>
      </w:pPr>
      <w:r>
        <w:rPr>
          <w:rStyle w:val="FootnoteReference"/>
        </w:rPr>
        <w:footnoteRef/>
      </w:r>
      <w:r>
        <w:t xml:space="preserve"> Cross-references for "drinking": 2Chr 9:20-22.</w:t>
      </w:r>
    </w:p>
  </w:footnote>
  <w:footnote w:id="6621">
    <w:p>
      <w:pPr>
        <w:pStyle w:val="FootnoteText"/>
      </w:pPr>
      <w:r>
        <w:rPr>
          <w:rStyle w:val="FootnoteReference"/>
        </w:rPr>
        <w:footnoteRef/>
      </w:r>
      <w:r>
        <w:t xml:space="preserve"> Cross-references for "and mules": Gen 36:24; 1Kgs 1:33.</w:t>
      </w:r>
    </w:p>
  </w:footnote>
  <w:footnote w:id="6622">
    <w:p>
      <w:pPr>
        <w:pStyle w:val="FootnoteText"/>
      </w:pPr>
      <w:r>
        <w:rPr>
          <w:rStyle w:val="FootnoteReference"/>
        </w:rPr>
        <w:footnoteRef/>
      </w:r>
      <w:r>
        <w:t xml:space="preserve"> Cross-references for "Solomon": Deut 17:16; 1Kgs 4:26.</w:t>
      </w:r>
    </w:p>
  </w:footnote>
  <w:footnote w:id="6623">
    <w:p>
      <w:pPr>
        <w:pStyle w:val="FootnoteText"/>
      </w:pPr>
      <w:r>
        <w:rPr>
          <w:rStyle w:val="FootnoteReference"/>
        </w:rPr>
        <w:footnoteRef/>
      </w:r>
      <w:r>
        <w:t xml:space="preserve"> Translation note: Greek appears to specify breeding mares rather than speaking only of chariots in general. The translation keeps that more specific animal wording.</w:t>
      </w:r>
    </w:p>
  </w:footnote>
  <w:footnote w:id="6624">
    <w:p>
      <w:pPr>
        <w:pStyle w:val="FootnoteText"/>
      </w:pPr>
      <w:r>
        <w:rPr>
          <w:rStyle w:val="FootnoteReference"/>
        </w:rPr>
        <w:footnoteRef/>
      </w:r>
      <w:r>
        <w:t xml:space="preserve"> Place name: Kue. Place-name meaning: Kue — Cilician region. Source form: Kue. Greek form: θεκουε.</w:t>
      </w:r>
    </w:p>
  </w:footnote>
  <w:footnote w:id="6625">
    <w:p>
      <w:pPr>
        <w:pStyle w:val="FootnoteText"/>
      </w:pPr>
      <w:r>
        <w:rPr>
          <w:rStyle w:val="FootnoteReference"/>
        </w:rPr>
        <w:footnoteRef/>
      </w:r>
      <w:r>
        <w:t xml:space="preserve"> Translation note: Greek gives one hundred and fifty prices here.</w:t>
      </w:r>
    </w:p>
  </w:footnote>
  <w:footnote w:id="6626">
    <w:p>
      <w:pPr>
        <w:pStyle w:val="FootnoteText"/>
      </w:pPr>
      <w:r>
        <w:rPr>
          <w:rStyle w:val="FootnoteReference"/>
        </w:rPr>
        <w:footnoteRef/>
      </w:r>
      <w:r>
        <w:t xml:space="preserve"> Cross-references for "the kings": Josh 1:4; 2Kgs 7:6.</w:t>
      </w:r>
    </w:p>
  </w:footnote>
  <w:footnote w:id="6627">
    <w:p>
      <w:pPr>
        <w:pStyle w:val="FootnoteText"/>
      </w:pPr>
      <w:r>
        <w:rPr>
          <w:rStyle w:val="FootnoteReference"/>
        </w:rPr>
        <w:footnoteRef/>
      </w:r>
      <w:r>
        <w:t xml:space="preserve"> Translation note: Greek says after their idols and Solomon clung to love.</w:t>
      </w:r>
    </w:p>
  </w:footnote>
  <w:footnote w:id="6628">
    <w:p>
      <w:pPr>
        <w:pStyle w:val="FootnoteText"/>
      </w:pPr>
      <w:r>
        <w:rPr>
          <w:rStyle w:val="FootnoteReference"/>
        </w:rPr>
        <w:footnoteRef/>
      </w:r>
      <w:r>
        <w:t xml:space="preserve"> Cross-references for "Solomon": Gen 2:24; Gen 34:3.</w:t>
      </w:r>
    </w:p>
  </w:footnote>
  <w:footnote w:id="6629">
    <w:p>
      <w:pPr>
        <w:pStyle w:val="FootnoteText"/>
      </w:pPr>
      <w:r>
        <w:rPr>
          <w:rStyle w:val="FootnoteReference"/>
        </w:rPr>
        <w:footnoteRef/>
      </w:r>
      <w:r>
        <w:t xml:space="preserve"> Cross-references for "his heart": 1Kgs 6:12-13; 1Kgs 8:61.</w:t>
      </w:r>
    </w:p>
  </w:footnote>
  <w:footnote w:id="6630">
    <w:p>
      <w:pPr>
        <w:pStyle w:val="FootnoteText"/>
      </w:pPr>
      <w:r>
        <w:rPr>
          <w:rStyle w:val="FootnoteReference"/>
        </w:rPr>
        <w:footnoteRef/>
      </w:r>
      <w:r>
        <w:t xml:space="preserve"> Translation note: Greek says both here. Current line keeps both.</w:t>
      </w:r>
    </w:p>
  </w:footnote>
  <w:footnote w:id="6631">
    <w:p>
      <w:pPr>
        <w:pStyle w:val="FootnoteText"/>
      </w:pPr>
      <w:r>
        <w:rPr>
          <w:rStyle w:val="FootnoteReference"/>
        </w:rPr>
        <w:footnoteRef/>
      </w:r>
      <w:r>
        <w:t xml:space="preserve"> Cross-references for "his heart": Deut 7:4; 1Kgs 11:2-3.</w:t>
      </w:r>
    </w:p>
  </w:footnote>
  <w:footnote w:id="6632">
    <w:p>
      <w:pPr>
        <w:pStyle w:val="FootnoteText"/>
      </w:pPr>
      <w:r>
        <w:rPr>
          <w:rStyle w:val="FootnoteReference"/>
        </w:rPr>
        <w:footnoteRef/>
      </w:r>
      <w:r>
        <w:t xml:space="preserve"> Cross-references for "commanded": 1Kgs 6:12-13; 1Kgs 9:4-7.</w:t>
      </w:r>
    </w:p>
  </w:footnote>
  <w:footnote w:id="6633">
    <w:p>
      <w:pPr>
        <w:pStyle w:val="FootnoteText"/>
      </w:pPr>
      <w:r>
        <w:rPr>
          <w:rStyle w:val="FootnoteReference"/>
        </w:rPr>
        <w:footnoteRef/>
      </w:r>
      <w:r>
        <w:t xml:space="preserve"> Translation note: Greek doubles the tearing verb here.</w:t>
      </w:r>
    </w:p>
  </w:footnote>
  <w:footnote w:id="6634">
    <w:p>
      <w:pPr>
        <w:pStyle w:val="FootnoteText"/>
      </w:pPr>
      <w:r>
        <w:rPr>
          <w:rStyle w:val="FootnoteReference"/>
        </w:rPr>
        <w:footnoteRef/>
      </w:r>
      <w:r>
        <w:t xml:space="preserve"> Cross-references for "the Lord": 1Sam 26:19; 2Sam 24:1.</w:t>
      </w:r>
    </w:p>
  </w:footnote>
  <w:footnote w:id="6635">
    <w:p>
      <w:pPr>
        <w:pStyle w:val="FootnoteText"/>
      </w:pPr>
      <w:r>
        <w:rPr>
          <w:rStyle w:val="FootnoteReference"/>
        </w:rPr>
        <w:footnoteRef/>
      </w:r>
      <w:r>
        <w:t xml:space="preserve"> Transliterated proper noun: Eliadae. Standard English equivalent: Eliada. Source form: Eliadae. Greek form: ελιαδαε. Name meaning: knowledge of God.</w:t>
      </w:r>
    </w:p>
  </w:footnote>
  <w:footnote w:id="6636">
    <w:p>
      <w:pPr>
        <w:pStyle w:val="FootnoteText"/>
      </w:pPr>
      <w:r>
        <w:rPr>
          <w:rStyle w:val="FootnoteReference"/>
        </w:rPr>
        <w:footnoteRef/>
      </w:r>
      <w:r>
        <w:t xml:space="preserve"> Transliterated proper noun: Raemmath. Standard English equivalent: Ramah. Source form: Raemmath. Greek form: ραεμμαθ. Name meaning: height; exalted place.</w:t>
      </w:r>
    </w:p>
  </w:footnote>
  <w:footnote w:id="6637">
    <w:p>
      <w:pPr>
        <w:pStyle w:val="FootnoteText"/>
      </w:pPr>
      <w:r>
        <w:rPr>
          <w:rStyle w:val="FootnoteReference"/>
        </w:rPr>
        <w:footnoteRef/>
      </w:r>
      <w:r>
        <w:t xml:space="preserve"> Transliterated proper noun: Adrazar. Standard English equivalent: Hadadezer. Source form: Adrazar. Greek form: αδραζαρ. Name meaning: beauty of assistance.</w:t>
      </w:r>
    </w:p>
  </w:footnote>
  <w:footnote w:id="6638">
    <w:p>
      <w:pPr>
        <w:pStyle w:val="FootnoteText"/>
      </w:pPr>
      <w:r>
        <w:rPr>
          <w:rStyle w:val="FootnoteReference"/>
        </w:rPr>
        <w:footnoteRef/>
      </w:r>
      <w:r>
        <w:t xml:space="preserve"> Place name: Souba. Place-name meaning: Zobah — an army; warring. Standard English equivalent: Zobah. Source form: Souba. Greek form: σουβα.</w:t>
      </w:r>
    </w:p>
  </w:footnote>
  <w:footnote w:id="6639">
    <w:p>
      <w:pPr>
        <w:pStyle w:val="FootnoteText"/>
      </w:pPr>
      <w:r>
        <w:rPr>
          <w:rStyle w:val="FootnoteReference"/>
        </w:rPr>
        <w:footnoteRef/>
      </w:r>
      <w:r>
        <w:t xml:space="preserve"> Cross-references for "when David": 2Sam 8:14; 1Chr 18:12-13.</w:t>
      </w:r>
    </w:p>
  </w:footnote>
  <w:footnote w:id="6640">
    <w:p>
      <w:pPr>
        <w:pStyle w:val="FootnoteText"/>
      </w:pPr>
      <w:r>
        <w:rPr>
          <w:rStyle w:val="FootnoteReference"/>
        </w:rPr>
        <w:footnoteRef/>
      </w:r>
      <w:r>
        <w:t xml:space="preserve"> Cross-references for "Hadad": Exod 2:1-10; 2Sam 4:4.</w:t>
      </w:r>
    </w:p>
  </w:footnote>
  <w:footnote w:id="6641">
    <w:p>
      <w:pPr>
        <w:pStyle w:val="FootnoteText"/>
      </w:pPr>
      <w:r>
        <w:rPr>
          <w:rStyle w:val="FootnoteReference"/>
        </w:rPr>
        <w:footnoteRef/>
      </w:r>
      <w:r>
        <w:t xml:space="preserve"> Cross-references for "Midian": Gen 25:2; Gen 25:4.</w:t>
      </w:r>
    </w:p>
  </w:footnote>
  <w:footnote w:id="6642">
    <w:p>
      <w:pPr>
        <w:pStyle w:val="FootnoteText"/>
      </w:pPr>
      <w:r>
        <w:rPr>
          <w:rStyle w:val="FootnoteReference"/>
        </w:rPr>
        <w:footnoteRef/>
      </w:r>
      <w:r>
        <w:t xml:space="preserve"> Translation note: Greek literally says bread. The translation keeps that concrete noun rather than smoothing fully to provision.</w:t>
      </w:r>
    </w:p>
  </w:footnote>
  <w:footnote w:id="6643">
    <w:p>
      <w:pPr>
        <w:pStyle w:val="FootnoteText"/>
      </w:pPr>
      <w:r>
        <w:rPr>
          <w:rStyle w:val="FootnoteReference"/>
        </w:rPr>
        <w:footnoteRef/>
      </w:r>
      <w:r>
        <w:t xml:space="preserve"> Cross-references for "found": Gen 39:4; Gen 39:21.</w:t>
      </w:r>
    </w:p>
  </w:footnote>
  <w:footnote w:id="6644">
    <w:p>
      <w:pPr>
        <w:pStyle w:val="FootnoteText"/>
      </w:pPr>
      <w:r>
        <w:rPr>
          <w:rStyle w:val="FootnoteReference"/>
        </w:rPr>
        <w:footnoteRef/>
      </w:r>
      <w:r>
        <w:t xml:space="preserve"> Personal name: Tahpenes. Personal-name meaning: Tahpenes — standard; flight; temptation. Source form: Tahpenes.</w:t>
      </w:r>
    </w:p>
  </w:footnote>
  <w:footnote w:id="6645">
    <w:p>
      <w:pPr>
        <w:pStyle w:val="FootnoteText"/>
      </w:pPr>
      <w:r>
        <w:rPr>
          <w:rStyle w:val="FootnoteReference"/>
        </w:rPr>
        <w:footnoteRef/>
      </w:r>
      <w:r>
        <w:t xml:space="preserve"> Personal name: Genubath. Personal-name meaning: Genubath — theft; robbery. Source form: Genubath.</w:t>
      </w:r>
    </w:p>
  </w:footnote>
  <w:footnote w:id="6646">
    <w:p>
      <w:pPr>
        <w:pStyle w:val="FootnoteText"/>
      </w:pPr>
      <w:r>
        <w:rPr>
          <w:rStyle w:val="FootnoteReference"/>
        </w:rPr>
        <w:footnoteRef/>
      </w:r>
      <w:r>
        <w:t xml:space="preserve"> Cross-references for "weaned": Gen 21:7; 1Sam 1:24.</w:t>
      </w:r>
    </w:p>
  </w:footnote>
  <w:footnote w:id="6647">
    <w:p>
      <w:pPr>
        <w:pStyle w:val="FootnoteText"/>
      </w:pPr>
      <w:r>
        <w:rPr>
          <w:rStyle w:val="FootnoteReference"/>
        </w:rPr>
        <w:footnoteRef/>
      </w:r>
      <w:r>
        <w:t xml:space="preserve"> Cross-references for "Hadad": Exod 4:19; 1Kgs 2:10.</w:t>
      </w:r>
    </w:p>
  </w:footnote>
  <w:footnote w:id="6648">
    <w:p>
      <w:pPr>
        <w:pStyle w:val="FootnoteText"/>
      </w:pPr>
      <w:r>
        <w:rPr>
          <w:rStyle w:val="FootnoteReference"/>
        </w:rPr>
        <w:footnoteRef/>
      </w:r>
      <w:r>
        <w:t xml:space="preserve"> Name meaning: Jeroboam (Yarov'am) — The people increase; he contends for the people. First king of the northern kingdom after the split.</w:t>
      </w:r>
    </w:p>
  </w:footnote>
  <w:footnote w:id="6649">
    <w:p>
      <w:pPr>
        <w:pStyle w:val="FootnoteText"/>
      </w:pPr>
      <w:r>
        <w:rPr>
          <w:rStyle w:val="FootnoteReference"/>
        </w:rPr>
        <w:footnoteRef/>
      </w:r>
      <w:r>
        <w:t xml:space="preserve"> Personal name: Nebat. Personal-name meaning: Nebat — that beholds. Source form: Nebat.</w:t>
      </w:r>
    </w:p>
  </w:footnote>
  <w:footnote w:id="6650">
    <w:p>
      <w:pPr>
        <w:pStyle w:val="FootnoteText"/>
      </w:pPr>
      <w:r>
        <w:rPr>
          <w:rStyle w:val="FootnoteReference"/>
        </w:rPr>
        <w:footnoteRef/>
      </w:r>
      <w:r>
        <w:t xml:space="preserve"> People-name: Ephrathite. People-name meaning: Ephrathite — abundance; bearing fruit. Source form: Ephrathite.</w:t>
      </w:r>
    </w:p>
  </w:footnote>
  <w:footnote w:id="6651">
    <w:p>
      <w:pPr>
        <w:pStyle w:val="FootnoteText"/>
      </w:pPr>
      <w:r>
        <w:rPr>
          <w:rStyle w:val="FootnoteReference"/>
        </w:rPr>
        <w:footnoteRef/>
      </w:r>
      <w:r>
        <w:t xml:space="preserve"> Transliterated proper noun: Zereda. Standard English equivalent: Zereda. Source form: Zereda. Greek form: χηρας. Name meaning: ambush; change of dominion.</w:t>
      </w:r>
    </w:p>
  </w:footnote>
  <w:footnote w:id="6652">
    <w:p>
      <w:pPr>
        <w:pStyle w:val="FootnoteText"/>
      </w:pPr>
      <w:r>
        <w:rPr>
          <w:rStyle w:val="FootnoteReference"/>
        </w:rPr>
        <w:footnoteRef/>
      </w:r>
      <w:r>
        <w:t xml:space="preserve"> Cross-references for "Jeroboam": 1Kgs 11:11; 1Kgs 11:28.</w:t>
      </w:r>
    </w:p>
  </w:footnote>
  <w:footnote w:id="6653">
    <w:p>
      <w:pPr>
        <w:pStyle w:val="FootnoteText"/>
      </w:pPr>
      <w:r>
        <w:rPr>
          <w:rStyle w:val="FootnoteReference"/>
        </w:rPr>
        <w:footnoteRef/>
      </w:r>
      <w:r>
        <w:t xml:space="preserve"> Cross-references for "Solomon": 1Kgs 9:15; 1Kgs 9:24.</w:t>
      </w:r>
    </w:p>
  </w:footnote>
  <w:footnote w:id="6654">
    <w:p>
      <w:pPr>
        <w:pStyle w:val="FootnoteText"/>
      </w:pPr>
      <w:r>
        <w:rPr>
          <w:rStyle w:val="FootnoteReference"/>
        </w:rPr>
        <w:footnoteRef/>
      </w:r>
      <w:r>
        <w:t xml:space="preserve"> Cross-references for "the house": Josh 18:5; Judg 1:22-23.</w:t>
      </w:r>
    </w:p>
  </w:footnote>
  <w:footnote w:id="6655">
    <w:p>
      <w:pPr>
        <w:pStyle w:val="FootnoteText"/>
      </w:pPr>
      <w:r>
        <w:rPr>
          <w:rStyle w:val="FootnoteReference"/>
        </w:rPr>
        <w:footnoteRef/>
      </w:r>
      <w:r>
        <w:t xml:space="preserve"> Cross-references for "Ahijah": 1Kgs 12:15; 1Kgs 14:2.</w:t>
      </w:r>
    </w:p>
  </w:footnote>
  <w:footnote w:id="6656">
    <w:p>
      <w:pPr>
        <w:pStyle w:val="FootnoteText"/>
      </w:pPr>
      <w:r>
        <w:rPr>
          <w:rStyle w:val="FootnoteReference"/>
        </w:rPr>
        <w:footnoteRef/>
      </w:r>
      <w:r>
        <w:t xml:space="preserve"> Transliterated proper noun: Shilonite. Standard English equivalent: Shilonite. Source form: Shilonite. Greek form: σηλωνιτης. Name meaning: person of Shiloh; peaceful/resting place.</w:t>
      </w:r>
    </w:p>
  </w:footnote>
  <w:footnote w:id="6657">
    <w:p>
      <w:pPr>
        <w:pStyle w:val="FootnoteText"/>
      </w:pPr>
      <w:r>
        <w:rPr>
          <w:rStyle w:val="FootnoteReference"/>
        </w:rPr>
        <w:footnoteRef/>
      </w:r>
      <w:r>
        <w:t xml:space="preserve"> Translation note: Greek explicitly says the prophet turned Jeroboam aside from the road. The translation keeps that action.</w:t>
      </w:r>
    </w:p>
  </w:footnote>
  <w:footnote w:id="6658">
    <w:p>
      <w:pPr>
        <w:pStyle w:val="FootnoteText"/>
      </w:pPr>
      <w:r>
        <w:rPr>
          <w:rStyle w:val="FootnoteReference"/>
        </w:rPr>
        <w:footnoteRef/>
      </w:r>
      <w:r>
        <w:t xml:space="preserve"> Translation note: Greek says their king, provocation here. Current line keeps that wording.</w:t>
      </w:r>
    </w:p>
  </w:footnote>
  <w:footnote w:id="6659">
    <w:p>
      <w:pPr>
        <w:pStyle w:val="FootnoteText"/>
      </w:pPr>
      <w:r>
        <w:rPr>
          <w:rStyle w:val="FootnoteReference"/>
        </w:rPr>
        <w:footnoteRef/>
      </w:r>
      <w:r>
        <w:t xml:space="preserve"> Cross-references for "I will take": Exod 20:5-6.</w:t>
      </w:r>
    </w:p>
  </w:footnote>
  <w:footnote w:id="6660">
    <w:p>
      <w:pPr>
        <w:pStyle w:val="FootnoteText"/>
      </w:pPr>
      <w:r>
        <w:rPr>
          <w:rStyle w:val="FootnoteReference"/>
        </w:rPr>
        <w:footnoteRef/>
      </w:r>
      <w:r>
        <w:t xml:space="preserve"> Cross-references for "David": 2Sam 7:16; 2Sam 7:29.</w:t>
      </w:r>
    </w:p>
  </w:footnote>
  <w:footnote w:id="6661">
    <w:p>
      <w:pPr>
        <w:pStyle w:val="FootnoteText"/>
      </w:pPr>
      <w:r>
        <w:rPr>
          <w:rStyle w:val="FootnoteReference"/>
        </w:rPr>
        <w:footnoteRef/>
      </w:r>
      <w:r>
        <w:t xml:space="preserve"> Translation note: Greek says faithful house here.</w:t>
      </w:r>
    </w:p>
  </w:footnote>
  <w:footnote w:id="6662">
    <w:p>
      <w:pPr>
        <w:pStyle w:val="FootnoteText"/>
      </w:pPr>
      <w:r>
        <w:rPr>
          <w:rStyle w:val="FootnoteReference"/>
        </w:rPr>
        <w:footnoteRef/>
      </w:r>
      <w:r>
        <w:t xml:space="preserve"> Cross-references for "Solomon sought": 2Chr 16:10; Prov 21:30.</w:t>
      </w:r>
    </w:p>
  </w:footnote>
  <w:footnote w:id="6663">
    <w:p>
      <w:pPr>
        <w:pStyle w:val="FootnoteText"/>
      </w:pPr>
      <w:r>
        <w:rPr>
          <w:rStyle w:val="FootnoteReference"/>
        </w:rPr>
        <w:footnoteRef/>
      </w:r>
      <w:r>
        <w:t xml:space="preserve"> Cross-references for "rest": 2Chr 9:29-31.</w:t>
      </w:r>
    </w:p>
  </w:footnote>
  <w:footnote w:id="6664">
    <w:p>
      <w:pPr>
        <w:pStyle w:val="FootnoteText"/>
      </w:pPr>
      <w:r>
        <w:rPr>
          <w:rStyle w:val="FootnoteReference"/>
        </w:rPr>
        <w:footnoteRef/>
      </w:r>
      <w:r>
        <w:t xml:space="preserve"> Cross-references for "forty years": 1Kgs 2:11.</w:t>
      </w:r>
    </w:p>
  </w:footnote>
  <w:footnote w:id="6665">
    <w:p>
      <w:pPr>
        <w:pStyle w:val="FootnoteText"/>
      </w:pPr>
      <w:r>
        <w:rPr>
          <w:rStyle w:val="FootnoteReference"/>
        </w:rPr>
        <w:footnoteRef/>
      </w:r>
      <w:r>
        <w:t xml:space="preserve"> Cross-references for "slept": Deut 31:16; 1Kgs 1:21.</w:t>
      </w:r>
    </w:p>
  </w:footnote>
  <w:footnote w:id="6666">
    <w:p>
      <w:pPr>
        <w:pStyle w:val="FootnoteText"/>
      </w:pPr>
      <w:r>
        <w:rPr>
          <w:rStyle w:val="FootnoteReference"/>
        </w:rPr>
        <w:footnoteRef/>
      </w:r>
      <w:r>
        <w:t xml:space="preserve"> Name meaning: Rehoboam (Rechav'am) — The people are enlarged. Solomon's son whose reign split the kingdom.</w:t>
      </w:r>
    </w:p>
  </w:footnote>
  <w:footnote w:id="6667">
    <w:p>
      <w:pPr>
        <w:pStyle w:val="FootnoteText"/>
      </w:pPr>
      <w:r>
        <w:rPr>
          <w:rStyle w:val="FootnoteReference"/>
        </w:rPr>
        <w:footnoteRef/>
      </w:r>
      <w:r>
        <w:t xml:space="preserve"> Cross-references for "Rehoboam": 1Kgs 11:43; 2Chr 10:1-19.</w:t>
      </w:r>
    </w:p>
  </w:footnote>
  <w:footnote w:id="6668">
    <w:p>
      <w:pPr>
        <w:pStyle w:val="FootnoteText"/>
      </w:pPr>
      <w:r>
        <w:rPr>
          <w:rStyle w:val="FootnoteReference"/>
        </w:rPr>
        <w:footnoteRef/>
      </w:r>
      <w:r>
        <w:t xml:space="preserve"> Cross-references for "our yoke": 1Sam 8:11-18; 1Kgs 4:7.</w:t>
      </w:r>
    </w:p>
  </w:footnote>
  <w:footnote w:id="6669">
    <w:p>
      <w:pPr>
        <w:pStyle w:val="FootnoteText"/>
      </w:pPr>
      <w:r>
        <w:rPr>
          <w:rStyle w:val="FootnoteReference"/>
        </w:rPr>
        <w:footnoteRef/>
      </w:r>
      <w:r>
        <w:t xml:space="preserve"> Cross-references for "speak good": 2Sam 15:3-6; 1Kgs 12:13.</w:t>
      </w:r>
    </w:p>
  </w:footnote>
  <w:footnote w:id="6670">
    <w:p>
      <w:pPr>
        <w:pStyle w:val="FootnoteText"/>
      </w:pPr>
      <w:r>
        <w:rPr>
          <w:rStyle w:val="FootnoteReference"/>
        </w:rPr>
        <w:footnoteRef/>
      </w:r>
      <w:r>
        <w:t xml:space="preserve"> Translation note: Greek says those standing before his face.</w:t>
      </w:r>
    </w:p>
  </w:footnote>
  <w:footnote w:id="6671">
    <w:p>
      <w:pPr>
        <w:pStyle w:val="FootnoteText"/>
      </w:pPr>
      <w:r>
        <w:rPr>
          <w:rStyle w:val="FootnoteReference"/>
        </w:rPr>
        <w:footnoteRef/>
      </w:r>
      <w:r>
        <w:t xml:space="preserve"> Cross-references for "I will add": Exod 1:13-14; Exod 5:5-9.</w:t>
      </w:r>
    </w:p>
  </w:footnote>
  <w:footnote w:id="6672">
    <w:p>
      <w:pPr>
        <w:pStyle w:val="FootnoteText"/>
      </w:pPr>
      <w:r>
        <w:rPr>
          <w:rStyle w:val="FootnoteReference"/>
        </w:rPr>
        <w:footnoteRef/>
      </w:r>
      <w:r>
        <w:t xml:space="preserve"> Cross-references for "answered": Gen 42:7; Gen 42:30.</w:t>
      </w:r>
    </w:p>
  </w:footnote>
  <w:footnote w:id="6673">
    <w:p>
      <w:pPr>
        <w:pStyle w:val="FootnoteText"/>
      </w:pPr>
      <w:r>
        <w:rPr>
          <w:rStyle w:val="FootnoteReference"/>
        </w:rPr>
        <w:footnoteRef/>
      </w:r>
      <w:r>
        <w:t xml:space="preserve"> Cross-references for "the counsel": 2Chr 22:4-5; Prov 12:5.</w:t>
      </w:r>
    </w:p>
  </w:footnote>
  <w:footnote w:id="6674">
    <w:p>
      <w:pPr>
        <w:pStyle w:val="FootnoteText"/>
      </w:pPr>
      <w:r>
        <w:rPr>
          <w:rStyle w:val="FootnoteReference"/>
        </w:rPr>
        <w:footnoteRef/>
      </w:r>
      <w:r>
        <w:t xml:space="preserve"> Translation note: Greek uses add-upon-your-yoke wording. Current wording preserves that line.</w:t>
      </w:r>
    </w:p>
  </w:footnote>
  <w:footnote w:id="6675">
    <w:p>
      <w:pPr>
        <w:pStyle w:val="FootnoteText"/>
      </w:pPr>
      <w:r>
        <w:rPr>
          <w:rStyle w:val="FootnoteReference"/>
        </w:rPr>
        <w:footnoteRef/>
      </w:r>
      <w:r>
        <w:t xml:space="preserve"> Cross-references for "that he might": 1Sam 15:29; 2Sam 17:14.</w:t>
      </w:r>
    </w:p>
  </w:footnote>
  <w:footnote w:id="6676">
    <w:p>
      <w:pPr>
        <w:pStyle w:val="FootnoteText"/>
      </w:pPr>
      <w:r>
        <w:rPr>
          <w:rStyle w:val="FootnoteReference"/>
        </w:rPr>
        <w:footnoteRef/>
      </w:r>
      <w:r>
        <w:t xml:space="preserve"> Cross-references for "to your tents": 1Kgs 22:17; 1Kgs 22:36.</w:t>
      </w:r>
    </w:p>
  </w:footnote>
  <w:footnote w:id="6677">
    <w:p>
      <w:pPr>
        <w:pStyle w:val="FootnoteText"/>
      </w:pPr>
      <w:r>
        <w:rPr>
          <w:rStyle w:val="FootnoteReference"/>
        </w:rPr>
        <w:footnoteRef/>
      </w:r>
      <w:r>
        <w:t xml:space="preserve"> Translation note: Greek uses a shepherding metaphor in the secession cry. The translation keeps it rather than smoothing it away.</w:t>
      </w:r>
    </w:p>
  </w:footnote>
  <w:footnote w:id="6678">
    <w:p>
      <w:pPr>
        <w:pStyle w:val="FootnoteText"/>
      </w:pPr>
      <w:r>
        <w:rPr>
          <w:rStyle w:val="FootnoteReference"/>
        </w:rPr>
        <w:footnoteRef/>
      </w:r>
      <w:r>
        <w:t xml:space="preserve"> Cross-references for "all Israel": Exod 17:4; Num 14:10.</w:t>
      </w:r>
    </w:p>
  </w:footnote>
  <w:footnote w:id="6679">
    <w:p>
      <w:pPr>
        <w:pStyle w:val="FootnoteText"/>
      </w:pPr>
      <w:r>
        <w:rPr>
          <w:rStyle w:val="FootnoteReference"/>
        </w:rPr>
        <w:footnoteRef/>
      </w:r>
      <w:r>
        <w:t xml:space="preserve"> Cross-references for "Israel": 1Sam 10:19; 2Kgs 17:21.</w:t>
      </w:r>
    </w:p>
  </w:footnote>
  <w:footnote w:id="6680">
    <w:p>
      <w:pPr>
        <w:pStyle w:val="FootnoteText"/>
      </w:pPr>
      <w:r>
        <w:rPr>
          <w:rStyle w:val="FootnoteReference"/>
        </w:rPr>
        <w:footnoteRef/>
      </w:r>
      <w:r>
        <w:t xml:space="preserve"> Cross-references for "and made him": 1Sam 10:24; Hos 8:4.</w:t>
      </w:r>
    </w:p>
  </w:footnote>
  <w:footnote w:id="6681">
    <w:p>
      <w:pPr>
        <w:pStyle w:val="FootnoteText"/>
      </w:pPr>
      <w:r>
        <w:rPr>
          <w:rStyle w:val="FootnoteReference"/>
        </w:rPr>
        <w:footnoteRef/>
      </w:r>
      <w:r>
        <w:t xml:space="preserve"> Translation note: Greek says except scepter of Iouda and Beniamin alone.</w:t>
      </w:r>
    </w:p>
  </w:footnote>
  <w:footnote w:id="6682">
    <w:p>
      <w:pPr>
        <w:pStyle w:val="FootnoteText"/>
      </w:pPr>
      <w:r>
        <w:rPr>
          <w:rStyle w:val="FootnoteReference"/>
        </w:rPr>
        <w:footnoteRef/>
      </w:r>
      <w:r>
        <w:t xml:space="preserve"> Translation note: Greek says scepter of Benjamin and one hundred twenty thousand young men here.</w:t>
      </w:r>
    </w:p>
  </w:footnote>
  <w:footnote w:id="6683">
    <w:p>
      <w:pPr>
        <w:pStyle w:val="FootnoteText"/>
      </w:pPr>
      <w:r>
        <w:rPr>
          <w:rStyle w:val="FootnoteReference"/>
        </w:rPr>
        <w:footnoteRef/>
      </w:r>
      <w:r>
        <w:t xml:space="preserve"> Personal name: Shemaiah. Personal-name meaning: Shemaiah — that hears or obeys the Lord. Source form: Shemaiah.</w:t>
      </w:r>
    </w:p>
  </w:footnote>
  <w:footnote w:id="6684">
    <w:p>
      <w:pPr>
        <w:pStyle w:val="FootnoteText"/>
      </w:pPr>
      <w:r>
        <w:rPr>
          <w:rStyle w:val="FootnoteReference"/>
        </w:rPr>
        <w:footnoteRef/>
      </w:r>
      <w:r>
        <w:t xml:space="preserve"> Cross-references for "Shemaiah": 2Chr 11:2; 2Chr 12:5.</w:t>
      </w:r>
    </w:p>
  </w:footnote>
  <w:footnote w:id="6685">
    <w:p>
      <w:pPr>
        <w:pStyle w:val="FootnoteText"/>
      </w:pPr>
      <w:r>
        <w:rPr>
          <w:rStyle w:val="FootnoteReference"/>
        </w:rPr>
        <w:footnoteRef/>
      </w:r>
      <w:r>
        <w:t xml:space="preserve"> Personal name: Anan. Personal-name meaning: Anan — cloud; prophecy. Source form: Anan.</w:t>
      </w:r>
    </w:p>
  </w:footnote>
  <w:footnote w:id="6686">
    <w:p>
      <w:pPr>
        <w:pStyle w:val="FootnoteText"/>
      </w:pPr>
      <w:r>
        <w:rPr>
          <w:rStyle w:val="FootnoteReference"/>
        </w:rPr>
        <w:footnoteRef/>
      </w:r>
      <w:r>
        <w:t xml:space="preserve"> People-name: Elamite. People-name meaning: Elamite — a young man; a virgin; a secret. Source form: Elamite.</w:t>
      </w:r>
    </w:p>
  </w:footnote>
  <w:footnote w:id="6687">
    <w:p>
      <w:pPr>
        <w:pStyle w:val="FootnoteText"/>
      </w:pPr>
      <w:r>
        <w:rPr>
          <w:rStyle w:val="FootnoteReference"/>
        </w:rPr>
        <w:footnoteRef/>
      </w:r>
      <w:r>
        <w:t xml:space="preserve"> MT/LXX note: Greek tradition contains very large expanded narrative block after oracle forbidding war. The available witnesses confirm Rahlfs and Swete and NETS and LES and LES2 retain it in main text after verse 24. This draft keeps Greek expansion in main text; it is meaningful variation beyond MT and is not confirmed here by DSS evidence or secure BC quotation.</w:t>
      </w:r>
    </w:p>
  </w:footnote>
  <w:footnote w:id="6688">
    <w:p>
      <w:pPr>
        <w:pStyle w:val="FootnoteText"/>
      </w:pPr>
      <w:r>
        <w:rPr>
          <w:rStyle w:val="FootnoteReference"/>
        </w:rPr>
        <w:footnoteRef/>
      </w:r>
      <w:r>
        <w:t xml:space="preserve"> Cross-references for "built": 1Kgs 9:15; 1Kgs 9:17-18.</w:t>
      </w:r>
    </w:p>
  </w:footnote>
  <w:footnote w:id="6689">
    <w:p>
      <w:pPr>
        <w:pStyle w:val="FootnoteText"/>
      </w:pPr>
      <w:r>
        <w:rPr>
          <w:rStyle w:val="FootnoteReference"/>
        </w:rPr>
        <w:footnoteRef/>
      </w:r>
      <w:r>
        <w:t xml:space="preserve"> Cross-references for "said in his heart": Ps 14:1; Mark 2:6-8.</w:t>
      </w:r>
    </w:p>
  </w:footnote>
  <w:footnote w:id="6690">
    <w:p>
      <w:pPr>
        <w:pStyle w:val="FootnoteText"/>
      </w:pPr>
      <w:r>
        <w:rPr>
          <w:rStyle w:val="FootnoteReference"/>
        </w:rPr>
        <w:footnoteRef/>
      </w:r>
      <w:r>
        <w:t xml:space="preserve"> Translation note: Greek says turn back here. Current line keeps that wording.</w:t>
      </w:r>
    </w:p>
  </w:footnote>
  <w:footnote w:id="6691">
    <w:p>
      <w:pPr>
        <w:pStyle w:val="FootnoteText"/>
      </w:pPr>
      <w:r>
        <w:rPr>
          <w:rStyle w:val="FootnoteReference"/>
        </w:rPr>
        <w:footnoteRef/>
      </w:r>
      <w:r>
        <w:t xml:space="preserve"> Cross-references for "took counsel": Exod 1:10; 1Kgs 12:8-9.</w:t>
      </w:r>
    </w:p>
  </w:footnote>
  <w:footnote w:id="6692">
    <w:p>
      <w:pPr>
        <w:pStyle w:val="FootnoteText"/>
      </w:pPr>
      <w:r>
        <w:rPr>
          <w:rStyle w:val="FootnoteReference"/>
        </w:rPr>
        <w:footnoteRef/>
      </w:r>
      <w:r>
        <w:t xml:space="preserve"> Translation note: Greek uses an enough-for-you formula here. Current wording preserves it.</w:t>
      </w:r>
    </w:p>
  </w:footnote>
  <w:footnote w:id="6693">
    <w:p>
      <w:pPr>
        <w:pStyle w:val="FootnoteText"/>
      </w:pPr>
      <w:r>
        <w:rPr>
          <w:rStyle w:val="FootnoteReference"/>
        </w:rPr>
        <w:footnoteRef/>
      </w:r>
      <w:r>
        <w:t xml:space="preserve"> Cross-references for "Bethel": Gen 12:8; Gen 28:19.</w:t>
      </w:r>
    </w:p>
  </w:footnote>
  <w:footnote w:id="6694">
    <w:p>
      <w:pPr>
        <w:pStyle w:val="FootnoteText"/>
      </w:pPr>
      <w:r>
        <w:rPr>
          <w:rStyle w:val="FootnoteReference"/>
        </w:rPr>
        <w:footnoteRef/>
      </w:r>
      <w:r>
        <w:t xml:space="preserve"> Cross-references for "priests": Num 3:10; 1Kgs 13:33.</w:t>
      </w:r>
    </w:p>
  </w:footnote>
  <w:footnote w:id="6695">
    <w:p>
      <w:pPr>
        <w:pStyle w:val="FootnoteText"/>
      </w:pPr>
      <w:r>
        <w:rPr>
          <w:rStyle w:val="FootnoteReference"/>
        </w:rPr>
        <w:footnoteRef/>
      </w:r>
      <w:r>
        <w:t xml:space="preserve"> Translation note: Greek phrases the comparison with the feast in the land of Judah. The translation keeps that wording.</w:t>
      </w:r>
    </w:p>
  </w:footnote>
  <w:footnote w:id="6696">
    <w:p>
      <w:pPr>
        <w:pStyle w:val="FootnoteText"/>
      </w:pPr>
      <w:r>
        <w:rPr>
          <w:rStyle w:val="FootnoteReference"/>
        </w:rPr>
        <w:footnoteRef/>
      </w:r>
      <w:r>
        <w:t xml:space="preserve"> Translation note: Greek says devised from his own heart here.</w:t>
      </w:r>
    </w:p>
  </w:footnote>
  <w:footnote w:id="6697">
    <w:p>
      <w:pPr>
        <w:pStyle w:val="FootnoteText"/>
      </w:pPr>
      <w:r>
        <w:rPr>
          <w:rStyle w:val="FootnoteReference"/>
        </w:rPr>
        <w:footnoteRef/>
      </w:r>
      <w:r>
        <w:t xml:space="preserve"> Cross-references for "by the word": 1Kgs 13:5; 1Kgs 13:9.</w:t>
      </w:r>
    </w:p>
  </w:footnote>
  <w:footnote w:id="6698">
    <w:p>
      <w:pPr>
        <w:pStyle w:val="FootnoteText"/>
      </w:pPr>
      <w:r>
        <w:rPr>
          <w:rStyle w:val="FootnoteReference"/>
        </w:rPr>
        <w:footnoteRef/>
      </w:r>
      <w:r>
        <w:t xml:space="preserve"> Translation note: Greek says cried against here. Current line keeps that wording.</w:t>
      </w:r>
    </w:p>
  </w:footnote>
  <w:footnote w:id="6699">
    <w:p>
      <w:pPr>
        <w:pStyle w:val="FootnoteText"/>
      </w:pPr>
      <w:r>
        <w:rPr>
          <w:rStyle w:val="FootnoteReference"/>
        </w:rPr>
        <w:footnoteRef/>
      </w:r>
      <w:r>
        <w:t xml:space="preserve"> Cross-references for "his hand": Gen 19:11; 2Kgs 6:18-20.</w:t>
      </w:r>
    </w:p>
  </w:footnote>
  <w:footnote w:id="6700">
    <w:p>
      <w:pPr>
        <w:pStyle w:val="FootnoteText"/>
      </w:pPr>
      <w:r>
        <w:rPr>
          <w:rStyle w:val="FootnoteReference"/>
        </w:rPr>
        <w:footnoteRef/>
      </w:r>
      <w:r>
        <w:t xml:space="preserve"> Translation note: Greek says he could not turn his hand back to himself.</w:t>
      </w:r>
    </w:p>
  </w:footnote>
  <w:footnote w:id="6701">
    <w:p>
      <w:pPr>
        <w:pStyle w:val="FootnoteText"/>
      </w:pPr>
      <w:r>
        <w:rPr>
          <w:rStyle w:val="FootnoteReference"/>
        </w:rPr>
        <w:footnoteRef/>
      </w:r>
      <w:r>
        <w:t xml:space="preserve"> Translation note: Greek says entreat face of the Lord here. Current line keeps that wording.</w:t>
      </w:r>
    </w:p>
  </w:footnote>
  <w:footnote w:id="6702">
    <w:p>
      <w:pPr>
        <w:pStyle w:val="FootnoteText"/>
      </w:pPr>
      <w:r>
        <w:rPr>
          <w:rStyle w:val="FootnoteReference"/>
        </w:rPr>
        <w:footnoteRef/>
      </w:r>
      <w:r>
        <w:t xml:space="preserve"> Cross-references for "I will give": 1Sam 9:7-8; 2Kgs 5:15.</w:t>
      </w:r>
    </w:p>
  </w:footnote>
  <w:footnote w:id="6703">
    <w:p>
      <w:pPr>
        <w:pStyle w:val="FootnoteText"/>
      </w:pPr>
      <w:r>
        <w:rPr>
          <w:rStyle w:val="FootnoteReference"/>
        </w:rPr>
        <w:footnoteRef/>
      </w:r>
      <w:r>
        <w:t xml:space="preserve"> Translation note: The Greek uses strong negation twice. The current wording preserves that force.</w:t>
      </w:r>
    </w:p>
  </w:footnote>
  <w:footnote w:id="6704">
    <w:p>
      <w:pPr>
        <w:pStyle w:val="FootnoteText"/>
      </w:pPr>
      <w:r>
        <w:rPr>
          <w:rStyle w:val="FootnoteReference"/>
        </w:rPr>
        <w:footnoteRef/>
      </w:r>
      <w:r>
        <w:t xml:space="preserve"> Cross-references for "Eat no bread": Num 16:26; Deut 13:13-18.</w:t>
      </w:r>
    </w:p>
  </w:footnote>
  <w:footnote w:id="6705">
    <w:p>
      <w:pPr>
        <w:pStyle w:val="FootnoteText"/>
      </w:pPr>
      <w:r>
        <w:rPr>
          <w:rStyle w:val="FootnoteReference"/>
        </w:rPr>
        <w:footnoteRef/>
      </w:r>
      <w:r>
        <w:t xml:space="preserve"> Translation note: Greek says recounted here. Current line keeps that wording.</w:t>
      </w:r>
    </w:p>
  </w:footnote>
  <w:footnote w:id="6706">
    <w:p>
      <w:pPr>
        <w:pStyle w:val="FootnoteText"/>
      </w:pPr>
      <w:r>
        <w:rPr>
          <w:rStyle w:val="FootnoteReference"/>
        </w:rPr>
        <w:footnoteRef/>
      </w:r>
      <w:r>
        <w:t xml:space="preserve"> Cross-references for "sitting": 1Kgs 19:4; John 4:6.</w:t>
      </w:r>
    </w:p>
  </w:footnote>
  <w:footnote w:id="6707">
    <w:p>
      <w:pPr>
        <w:pStyle w:val="FootnoteText"/>
      </w:pPr>
      <w:r>
        <w:rPr>
          <w:rStyle w:val="FootnoteReference"/>
        </w:rPr>
        <w:footnoteRef/>
      </w:r>
      <w:r>
        <w:t xml:space="preserve"> Cross-references for "by the word": 1Kgs 13:1; 1Kgs 20:35.</w:t>
      </w:r>
    </w:p>
  </w:footnote>
  <w:footnote w:id="6708">
    <w:p>
      <w:pPr>
        <w:pStyle w:val="FootnoteText"/>
      </w:pPr>
      <w:r>
        <w:rPr>
          <w:rStyle w:val="FootnoteReference"/>
        </w:rPr>
        <w:footnoteRef/>
      </w:r>
      <w:r>
        <w:t xml:space="preserve"> Cross-references for "an angel": Num 22:35; Judg 6:11-12.</w:t>
      </w:r>
    </w:p>
  </w:footnote>
  <w:footnote w:id="6709">
    <w:p>
      <w:pPr>
        <w:pStyle w:val="FootnoteText"/>
      </w:pPr>
      <w:r>
        <w:rPr>
          <w:rStyle w:val="FootnoteReference"/>
        </w:rPr>
        <w:footnoteRef/>
      </w:r>
      <w:r>
        <w:t xml:space="preserve"> Cross-references for "the word of the Lord": Gen 22:11; Num 23:5.</w:t>
      </w:r>
    </w:p>
  </w:footnote>
  <w:footnote w:id="6710">
    <w:p>
      <w:pPr>
        <w:pStyle w:val="FootnoteText"/>
      </w:pPr>
      <w:r>
        <w:rPr>
          <w:rStyle w:val="FootnoteReference"/>
        </w:rPr>
        <w:footnoteRef/>
      </w:r>
      <w:r>
        <w:t xml:space="preserve"> Translation note: Greek says embittered/defied here.</w:t>
      </w:r>
    </w:p>
  </w:footnote>
  <w:footnote w:id="6711">
    <w:p>
      <w:pPr>
        <w:pStyle w:val="FootnoteText"/>
      </w:pPr>
      <w:r>
        <w:rPr>
          <w:rStyle w:val="FootnoteReference"/>
        </w:rPr>
        <w:footnoteRef/>
      </w:r>
      <w:r>
        <w:t xml:space="preserve"> Translation note: The Greek uses strong negation in the judgment sentence. The current wording keeps that force explicit.</w:t>
      </w:r>
    </w:p>
  </w:footnote>
  <w:footnote w:id="6712">
    <w:p>
      <w:pPr>
        <w:pStyle w:val="FootnoteText"/>
      </w:pPr>
      <w:r>
        <w:rPr>
          <w:rStyle w:val="FootnoteReference"/>
        </w:rPr>
        <w:footnoteRef/>
      </w:r>
      <w:r>
        <w:t xml:space="preserve"> Cross-references for "a lion": 1Kgs 20:36; 2Kgs 2:24.</w:t>
      </w:r>
    </w:p>
  </w:footnote>
  <w:footnote w:id="6713">
    <w:p>
      <w:pPr>
        <w:pStyle w:val="FootnoteText"/>
      </w:pPr>
      <w:r>
        <w:rPr>
          <w:rStyle w:val="FootnoteReference"/>
        </w:rPr>
        <w:footnoteRef/>
      </w:r>
      <w:r>
        <w:t xml:space="preserve"> Cross-references for "the man": Lev 10:3; 2Sam 12:10.</w:t>
      </w:r>
    </w:p>
  </w:footnote>
  <w:footnote w:id="6714">
    <w:p>
      <w:pPr>
        <w:pStyle w:val="FootnoteText"/>
      </w:pPr>
      <w:r>
        <w:rPr>
          <w:rStyle w:val="FootnoteReference"/>
        </w:rPr>
        <w:footnoteRef/>
      </w:r>
      <w:r>
        <w:t xml:space="preserve"> Translation note: Greek describes the prophet as one who failed to heed the Lord's word. The translation keeps that disobedience force with a stronger English verb.</w:t>
      </w:r>
    </w:p>
  </w:footnote>
  <w:footnote w:id="6715">
    <w:p>
      <w:pPr>
        <w:pStyle w:val="FootnoteText"/>
      </w:pPr>
      <w:r>
        <w:rPr>
          <w:rStyle w:val="FootnoteReference"/>
        </w:rPr>
        <w:footnoteRef/>
      </w:r>
      <w:r>
        <w:t xml:space="preserve"> Cross-references for "the lion had": Lev 10:2; Lev 10:5.</w:t>
      </w:r>
    </w:p>
  </w:footnote>
  <w:footnote w:id="6716">
    <w:p>
      <w:pPr>
        <w:pStyle w:val="FootnoteText"/>
      </w:pPr>
      <w:r>
        <w:rPr>
          <w:rStyle w:val="FootnoteReference"/>
        </w:rPr>
        <w:footnoteRef/>
      </w:r>
      <w:r>
        <w:t xml:space="preserve"> Translation note: Greek keeps the mourning cry very short and stark. Current wording preserves that lament line.</w:t>
      </w:r>
    </w:p>
  </w:footnote>
  <w:footnote w:id="6717">
    <w:p>
      <w:pPr>
        <w:pStyle w:val="FootnoteText"/>
      </w:pPr>
      <w:r>
        <w:rPr>
          <w:rStyle w:val="FootnoteReference"/>
        </w:rPr>
        <w:footnoteRef/>
      </w:r>
      <w:r>
        <w:t xml:space="preserve"> Cross-references for "the houses": Lev 26:30; 1Kgs 12:29.</w:t>
      </w:r>
    </w:p>
  </w:footnote>
  <w:footnote w:id="6718">
    <w:p>
      <w:pPr>
        <w:pStyle w:val="FootnoteText"/>
      </w:pPr>
      <w:r>
        <w:rPr>
          <w:rStyle w:val="FootnoteReference"/>
        </w:rPr>
        <w:footnoteRef/>
      </w:r>
      <w:r>
        <w:t xml:space="preserve"> Cross-references for "Jeroboam": 1Kgs 12:31-33; 2Chr 11:15.</w:t>
      </w:r>
    </w:p>
  </w:footnote>
  <w:footnote w:id="6719">
    <w:p>
      <w:pPr>
        <w:pStyle w:val="FootnoteText"/>
      </w:pPr>
      <w:r>
        <w:rPr>
          <w:rStyle w:val="FootnoteReference"/>
        </w:rPr>
        <w:footnoteRef/>
      </w:r>
      <w:r>
        <w:t xml:space="preserve"> Translation note: Greek uses filled-his-hand idiom here. Current line keeps idiom closer than consecrated.</w:t>
      </w:r>
    </w:p>
  </w:footnote>
  <w:footnote w:id="6720">
    <w:p>
      <w:pPr>
        <w:pStyle w:val="FootnoteText"/>
      </w:pPr>
      <w:r>
        <w:rPr>
          <w:rStyle w:val="FootnoteReference"/>
        </w:rPr>
        <w:footnoteRef/>
      </w:r>
      <w:r>
        <w:t xml:space="preserve"> Cross-references for "became sin": 1Kgs 12:30; 2Kgs 10:31.</w:t>
      </w:r>
    </w:p>
  </w:footnote>
  <w:footnote w:id="6721">
    <w:p>
      <w:pPr>
        <w:pStyle w:val="FootnoteText"/>
      </w:pPr>
      <w:r>
        <w:rPr>
          <w:rStyle w:val="FootnoteReference"/>
        </w:rPr>
        <w:footnoteRef/>
      </w:r>
      <w:r>
        <w:t xml:space="preserve"> Cross-references for "Rehoboam": 1Kgs 11:43; 2Chr 12:13.</w:t>
      </w:r>
    </w:p>
  </w:footnote>
  <w:footnote w:id="6722">
    <w:p>
      <w:pPr>
        <w:pStyle w:val="FootnoteText"/>
      </w:pPr>
      <w:r>
        <w:rPr>
          <w:rStyle w:val="FootnoteReference"/>
        </w:rPr>
        <w:footnoteRef/>
      </w:r>
      <w:r>
        <w:t xml:space="preserve"> Translation note: Greek name-there formula kept here. Current line follows it.</w:t>
      </w:r>
    </w:p>
  </w:footnote>
  <w:footnote w:id="6723">
    <w:p>
      <w:pPr>
        <w:pStyle w:val="FootnoteText"/>
      </w:pPr>
      <w:r>
        <w:rPr>
          <w:rStyle w:val="FootnoteReference"/>
        </w:rPr>
        <w:footnoteRef/>
      </w:r>
      <w:r>
        <w:t xml:space="preserve"> MT/LXX note: MT 1 Kings 14:1-20 is not present at this LXX-numbered point in the Greek source used here. This edition begins this chapter with Rehoboam reigning in Judah.</w:t>
      </w:r>
    </w:p>
  </w:footnote>
  <w:footnote w:id="6724">
    <w:p>
      <w:pPr>
        <w:pStyle w:val="FootnoteText"/>
      </w:pPr>
      <w:r>
        <w:rPr>
          <w:rStyle w:val="FootnoteReference"/>
        </w:rPr>
        <w:footnoteRef/>
      </w:r>
      <w:r>
        <w:t xml:space="preserve"> Cross-references for "built": Deut 12:2; 1Kgs 3:2.</w:t>
      </w:r>
    </w:p>
  </w:footnote>
  <w:footnote w:id="6725">
    <w:p>
      <w:pPr>
        <w:pStyle w:val="FootnoteText"/>
      </w:pPr>
      <w:r>
        <w:rPr>
          <w:rStyle w:val="FootnoteReference"/>
        </w:rPr>
        <w:footnoteRef/>
      </w:r>
      <w:r>
        <w:t xml:space="preserve"> Cross-references for "Shishak": 1Kgs 11:40; 2Chr 12:2-4.</w:t>
      </w:r>
    </w:p>
  </w:footnote>
  <w:footnote w:id="6726">
    <w:p>
      <w:pPr>
        <w:pStyle w:val="FootnoteText"/>
      </w:pPr>
      <w:r>
        <w:rPr>
          <w:rStyle w:val="FootnoteReference"/>
        </w:rPr>
        <w:footnoteRef/>
      </w:r>
      <w:r>
        <w:t xml:space="preserve"> Place name: Souba. Place-name meaning: Zobah — an army; warring. Standard English equivalent: Zobah. Source form: Souba. Greek form: σουβα.</w:t>
      </w:r>
    </w:p>
  </w:footnote>
  <w:footnote w:id="6727">
    <w:p>
      <w:pPr>
        <w:pStyle w:val="FootnoteText"/>
      </w:pPr>
      <w:r>
        <w:rPr>
          <w:rStyle w:val="FootnoteReference"/>
        </w:rPr>
        <w:footnoteRef/>
      </w:r>
      <w:r>
        <w:t xml:space="preserve"> Cross-references for "made": Lam 4:1-2.</w:t>
      </w:r>
    </w:p>
  </w:footnote>
  <w:footnote w:id="6728">
    <w:p>
      <w:pPr>
        <w:pStyle w:val="FootnoteText"/>
      </w:pPr>
      <w:r>
        <w:rPr>
          <w:rStyle w:val="FootnoteReference"/>
        </w:rPr>
        <w:footnoteRef/>
      </w:r>
      <w:r>
        <w:t xml:space="preserve"> Cross-references for "Rehoboam": 1Kgs 11:43; 1Kgs 14:20.</w:t>
      </w:r>
    </w:p>
  </w:footnote>
  <w:footnote w:id="6729">
    <w:p>
      <w:pPr>
        <w:pStyle w:val="FootnoteText"/>
      </w:pPr>
      <w:r>
        <w:rPr>
          <w:rStyle w:val="FootnoteReference"/>
        </w:rPr>
        <w:footnoteRef/>
      </w:r>
      <w:r>
        <w:t xml:space="preserve"> Personal name: Abijam. Personal-name meaning: Abijam — father of the sea. Source form: Abijam.</w:t>
      </w:r>
    </w:p>
  </w:footnote>
  <w:footnote w:id="6730">
    <w:p>
      <w:pPr>
        <w:pStyle w:val="FootnoteText"/>
      </w:pPr>
      <w:r>
        <w:rPr>
          <w:rStyle w:val="FootnoteReference"/>
        </w:rPr>
        <w:footnoteRef/>
      </w:r>
      <w:r>
        <w:t xml:space="preserve"> Cross-references for "his mother's": 1Kgs 15:13; 2Chr 11:20-22.</w:t>
      </w:r>
    </w:p>
  </w:footnote>
  <w:footnote w:id="6731">
    <w:p>
      <w:pPr>
        <w:pStyle w:val="FootnoteText"/>
      </w:pPr>
      <w:r>
        <w:rPr>
          <w:rStyle w:val="FootnoteReference"/>
        </w:rPr>
        <w:footnoteRef/>
      </w:r>
      <w:r>
        <w:t xml:space="preserve"> Translation note: Greek uses perfect-heart language in the regnal assessment. Current wording preserves it.</w:t>
      </w:r>
    </w:p>
  </w:footnote>
  <w:footnote w:id="6732">
    <w:p>
      <w:pPr>
        <w:pStyle w:val="FootnoteText"/>
      </w:pPr>
      <w:r>
        <w:rPr>
          <w:rStyle w:val="FootnoteReference"/>
        </w:rPr>
        <w:footnoteRef/>
      </w:r>
      <w:r>
        <w:t xml:space="preserve"> Cross-references for "and his heart": 1Kgs 3:14; 1Kgs 11:4.</w:t>
      </w:r>
    </w:p>
  </w:footnote>
  <w:footnote w:id="6733">
    <w:p>
      <w:pPr>
        <w:pStyle w:val="FootnoteText"/>
      </w:pPr>
      <w:r>
        <w:rPr>
          <w:rStyle w:val="FootnoteReference"/>
        </w:rPr>
        <w:footnoteRef/>
      </w:r>
      <w:r>
        <w:t xml:space="preserve"> Cross-references for "and to establish": Ps 87:5; Isa 9:7.</w:t>
      </w:r>
    </w:p>
  </w:footnote>
  <w:footnote w:id="6734">
    <w:p>
      <w:pPr>
        <w:pStyle w:val="FootnoteText"/>
      </w:pPr>
      <w:r>
        <w:rPr>
          <w:rStyle w:val="FootnoteReference"/>
        </w:rPr>
        <w:footnoteRef/>
      </w:r>
      <w:r>
        <w:t xml:space="preserve"> Cross-references for "David": 1Kgs 14:8; 1Kgs 15:3.</w:t>
      </w:r>
    </w:p>
  </w:footnote>
  <w:footnote w:id="6735">
    <w:p>
      <w:pPr>
        <w:pStyle w:val="FootnoteText"/>
      </w:pPr>
      <w:r>
        <w:rPr>
          <w:rStyle w:val="FootnoteReference"/>
        </w:rPr>
        <w:footnoteRef/>
      </w:r>
      <w:r>
        <w:t xml:space="preserve"> Cross-references for "the rest": 1Kgs 14:29; 2Chr 13:2.</w:t>
      </w:r>
    </w:p>
  </w:footnote>
  <w:footnote w:id="6736">
    <w:p>
      <w:pPr>
        <w:pStyle w:val="FootnoteText"/>
      </w:pPr>
      <w:r>
        <w:rPr>
          <w:rStyle w:val="FootnoteReference"/>
        </w:rPr>
        <w:footnoteRef/>
      </w:r>
      <w:r>
        <w:t xml:space="preserve"> Cross-references for "Abijam": 1Kgs 14:1; 1Kgs 14:31.</w:t>
      </w:r>
    </w:p>
  </w:footnote>
  <w:footnote w:id="6737">
    <w:p>
      <w:pPr>
        <w:pStyle w:val="FootnoteText"/>
      </w:pPr>
      <w:r>
        <w:rPr>
          <w:rStyle w:val="FootnoteReference"/>
        </w:rPr>
        <w:footnoteRef/>
      </w:r>
      <w:r>
        <w:t xml:space="preserve"> Name meaning: Asa (Asa) — Healer; physician. Judahite king remembered for reforms and imperfect late reliance.</w:t>
      </w:r>
    </w:p>
  </w:footnote>
  <w:footnote w:id="6738">
    <w:p>
      <w:pPr>
        <w:pStyle w:val="FootnoteText"/>
      </w:pPr>
      <w:r>
        <w:rPr>
          <w:rStyle w:val="FootnoteReference"/>
        </w:rPr>
        <w:footnoteRef/>
      </w:r>
      <w:r>
        <w:t xml:space="preserve"> Cross-references for "mother's": 1Kgs 15:2; 1Kgs 15:13.</w:t>
      </w:r>
    </w:p>
  </w:footnote>
  <w:footnote w:id="6739">
    <w:p>
      <w:pPr>
        <w:pStyle w:val="FootnoteText"/>
      </w:pPr>
      <w:r>
        <w:rPr>
          <w:rStyle w:val="FootnoteReference"/>
        </w:rPr>
        <w:footnoteRef/>
      </w:r>
      <w:r>
        <w:t xml:space="preserve"> Cross-references for "his mother": Deut 13:6-11; Deut 33:9.</w:t>
      </w:r>
    </w:p>
  </w:footnote>
  <w:footnote w:id="6740">
    <w:p>
      <w:pPr>
        <w:pStyle w:val="FootnoteText"/>
      </w:pPr>
      <w:r>
        <w:rPr>
          <w:rStyle w:val="FootnoteReference"/>
        </w:rPr>
        <w:footnoteRef/>
      </w:r>
      <w:r>
        <w:t xml:space="preserve"> Cross-references for "the high places": 1Kgs 22:43; 2Kgs 12:3.</w:t>
      </w:r>
    </w:p>
  </w:footnote>
  <w:footnote w:id="6741">
    <w:p>
      <w:pPr>
        <w:pStyle w:val="FootnoteText"/>
      </w:pPr>
      <w:r>
        <w:rPr>
          <w:rStyle w:val="FootnoteReference"/>
        </w:rPr>
        <w:footnoteRef/>
      </w:r>
      <w:r>
        <w:t xml:space="preserve"> Cross-references for "he brought": 1Kgs 7:51; 1Chr 26:26-28.</w:t>
      </w:r>
    </w:p>
  </w:footnote>
  <w:footnote w:id="6742">
    <w:p>
      <w:pPr>
        <w:pStyle w:val="FootnoteText"/>
      </w:pPr>
      <w:r>
        <w:rPr>
          <w:rStyle w:val="FootnoteReference"/>
        </w:rPr>
        <w:footnoteRef/>
      </w:r>
      <w:r>
        <w:t xml:space="preserve"> Personal name: Baasha. Personal-name meaning: Baasha — he that seeks, or lays waste. Source form: Baasha.</w:t>
      </w:r>
    </w:p>
  </w:footnote>
  <w:footnote w:id="6743">
    <w:p>
      <w:pPr>
        <w:pStyle w:val="FootnoteText"/>
      </w:pPr>
      <w:r>
        <w:rPr>
          <w:rStyle w:val="FootnoteReference"/>
        </w:rPr>
        <w:footnoteRef/>
      </w:r>
      <w:r>
        <w:t xml:space="preserve"> Cross-references for "Baasha": 1Kgs 15:27; 2Chr 16:1-6.</w:t>
      </w:r>
    </w:p>
  </w:footnote>
  <w:footnote w:id="6744">
    <w:p>
      <w:pPr>
        <w:pStyle w:val="FootnoteText"/>
      </w:pPr>
      <w:r>
        <w:rPr>
          <w:rStyle w:val="FootnoteReference"/>
        </w:rPr>
        <w:footnoteRef/>
      </w:r>
      <w:r>
        <w:t xml:space="preserve"> Personal name: Ben-hadad. Personal-name meaning: Ben-hadad — son of Hadad; son of noise. Source form: Ben-hadad.</w:t>
      </w:r>
    </w:p>
  </w:footnote>
  <w:footnote w:id="6745">
    <w:p>
      <w:pPr>
        <w:pStyle w:val="FootnoteText"/>
      </w:pPr>
      <w:r>
        <w:rPr>
          <w:rStyle w:val="FootnoteReference"/>
        </w:rPr>
        <w:footnoteRef/>
      </w:r>
      <w:r>
        <w:t xml:space="preserve"> Transliterated proper noun: Tabrimon. Standard English equivalent: Tabrimon. Source form: Tabrimon. Greek form: ταβερεμμαν. Name meaning: good pomegranate; the navel; the middle.</w:t>
      </w:r>
    </w:p>
  </w:footnote>
  <w:footnote w:id="6746">
    <w:p>
      <w:pPr>
        <w:pStyle w:val="FootnoteText"/>
      </w:pPr>
      <w:r>
        <w:rPr>
          <w:rStyle w:val="FootnoteReference"/>
        </w:rPr>
        <w:footnoteRef/>
      </w:r>
      <w:r>
        <w:t xml:space="preserve"> Personal name: Hezion. Personal-name meaning: Hezion — vision; revelation. Source form: Hezion.</w:t>
      </w:r>
    </w:p>
  </w:footnote>
  <w:footnote w:id="6747">
    <w:p>
      <w:pPr>
        <w:pStyle w:val="FootnoteText"/>
      </w:pPr>
      <w:r>
        <w:rPr>
          <w:rStyle w:val="FootnoteReference"/>
        </w:rPr>
        <w:footnoteRef/>
      </w:r>
      <w:r>
        <w:t xml:space="preserve"> Cross-references for "Damascus": Gen 14:15; Gen 15:2.</w:t>
      </w:r>
    </w:p>
  </w:footnote>
  <w:footnote w:id="6748">
    <w:p>
      <w:pPr>
        <w:pStyle w:val="FootnoteText"/>
      </w:pPr>
      <w:r>
        <w:rPr>
          <w:rStyle w:val="FootnoteReference"/>
        </w:rPr>
        <w:footnoteRef/>
      </w:r>
      <w:r>
        <w:t xml:space="preserve"> Translation note: Greek says scatter your covenant.</w:t>
      </w:r>
    </w:p>
  </w:footnote>
  <w:footnote w:id="6749">
    <w:p>
      <w:pPr>
        <w:pStyle w:val="FootnoteText"/>
      </w:pPr>
      <w:r>
        <w:rPr>
          <w:rStyle w:val="FootnoteReference"/>
        </w:rPr>
        <w:footnoteRef/>
      </w:r>
      <w:r>
        <w:t xml:space="preserve"> Translation note: Greek says son of Ader; the text uses the standard English name Ben-hadad.</w:t>
      </w:r>
    </w:p>
  </w:footnote>
  <w:footnote w:id="6750">
    <w:p>
      <w:pPr>
        <w:pStyle w:val="FootnoteText"/>
      </w:pPr>
      <w:r>
        <w:rPr>
          <w:rStyle w:val="FootnoteReference"/>
        </w:rPr>
        <w:footnoteRef/>
      </w:r>
      <w:r>
        <w:t xml:space="preserve"> Place name: Ijon. Place-name meaning: Ijon — look; eye; fountain. Source form: Ijon. Greek form: των.</w:t>
      </w:r>
    </w:p>
  </w:footnote>
  <w:footnote w:id="6751">
    <w:p>
      <w:pPr>
        <w:pStyle w:val="FootnoteText"/>
      </w:pPr>
      <w:r>
        <w:rPr>
          <w:rStyle w:val="FootnoteReference"/>
        </w:rPr>
        <w:footnoteRef/>
      </w:r>
      <w:r>
        <w:t xml:space="preserve"> Transliterated proper noun: Abel-beth-maachah. Standard English equivalent: Abel-beth-maachah. Source form: Abel-beth-maachah. Greek form: αβελμαα. Name meaning: mourning to the house of Maachah.</w:t>
      </w:r>
    </w:p>
  </w:footnote>
  <w:footnote w:id="6752">
    <w:p>
      <w:pPr>
        <w:pStyle w:val="FootnoteText"/>
      </w:pPr>
      <w:r>
        <w:rPr>
          <w:rStyle w:val="FootnoteReference"/>
        </w:rPr>
        <w:footnoteRef/>
      </w:r>
      <w:r>
        <w:t xml:space="preserve"> Transliterated proper noun: Cinneroth. Standard English equivalent: Cinneroth. Source form: Cinneroth. Greek form: χεζραθ. Name meaning: harps; lyres.</w:t>
      </w:r>
    </w:p>
  </w:footnote>
  <w:footnote w:id="6753">
    <w:p>
      <w:pPr>
        <w:pStyle w:val="FootnoteText"/>
      </w:pPr>
      <w:r>
        <w:rPr>
          <w:rStyle w:val="FootnoteReference"/>
        </w:rPr>
        <w:footnoteRef/>
      </w:r>
      <w:r>
        <w:t xml:space="preserve"> Cross-references for "Ijon": 2Kgs 15:29; Ezek 48:1.</w:t>
      </w:r>
    </w:p>
  </w:footnote>
  <w:footnote w:id="6754">
    <w:p>
      <w:pPr>
        <w:pStyle w:val="FootnoteText"/>
      </w:pPr>
      <w:r>
        <w:rPr>
          <w:rStyle w:val="FootnoteReference"/>
        </w:rPr>
        <w:footnoteRef/>
      </w:r>
      <w:r>
        <w:t xml:space="preserve"> Cross-references for "when Baasha": 2Chr 16:5.</w:t>
      </w:r>
    </w:p>
  </w:footnote>
  <w:footnote w:id="6755">
    <w:p>
      <w:pPr>
        <w:pStyle w:val="FootnoteText"/>
      </w:pPr>
      <w:r>
        <w:rPr>
          <w:rStyle w:val="FootnoteReference"/>
        </w:rPr>
        <w:footnoteRef/>
      </w:r>
      <w:r>
        <w:t xml:space="preserve"> Translation note: Greek says without exception here. Current line keeps that wording.</w:t>
      </w:r>
    </w:p>
  </w:footnote>
  <w:footnote w:id="6756">
    <w:p>
      <w:pPr>
        <w:pStyle w:val="FootnoteText"/>
      </w:pPr>
      <w:r>
        <w:rPr>
          <w:rStyle w:val="FootnoteReference"/>
        </w:rPr>
        <w:footnoteRef/>
      </w:r>
      <w:r>
        <w:t xml:space="preserve"> Cross-references for "in the time": 2Chr 16:12-14; Ps 90:10.</w:t>
      </w:r>
    </w:p>
  </w:footnote>
  <w:footnote w:id="6757">
    <w:p>
      <w:pPr>
        <w:pStyle w:val="FootnoteText"/>
      </w:pPr>
      <w:r>
        <w:rPr>
          <w:rStyle w:val="FootnoteReference"/>
        </w:rPr>
        <w:footnoteRef/>
      </w:r>
      <w:r>
        <w:t xml:space="preserve"> Translation note: Greek says pain in his feet here rather than disease language.</w:t>
      </w:r>
    </w:p>
  </w:footnote>
  <w:footnote w:id="6758">
    <w:p>
      <w:pPr>
        <w:pStyle w:val="FootnoteText"/>
      </w:pPr>
      <w:r>
        <w:rPr>
          <w:rStyle w:val="FootnoteReference"/>
        </w:rPr>
        <w:footnoteRef/>
      </w:r>
      <w:r>
        <w:t xml:space="preserve"> Cross-references for "was buried": 2Chr 16:14.</w:t>
      </w:r>
    </w:p>
  </w:footnote>
  <w:footnote w:id="6759">
    <w:p>
      <w:pPr>
        <w:pStyle w:val="FootnoteText"/>
      </w:pPr>
      <w:r>
        <w:rPr>
          <w:rStyle w:val="FootnoteReference"/>
        </w:rPr>
        <w:footnoteRef/>
      </w:r>
      <w:r>
        <w:t xml:space="preserve"> Cross-references for "Nadab": 1Kgs 14:12; 1Kgs 14:20.</w:t>
      </w:r>
    </w:p>
  </w:footnote>
  <w:footnote w:id="6760">
    <w:p>
      <w:pPr>
        <w:pStyle w:val="FootnoteText"/>
      </w:pPr>
      <w:r>
        <w:rPr>
          <w:rStyle w:val="FootnoteReference"/>
        </w:rPr>
        <w:footnoteRef/>
      </w:r>
      <w:r>
        <w:t xml:space="preserve"> Cross-references for "he did evil": 1Kgs 16:7; 1Kgs 16:25.</w:t>
      </w:r>
    </w:p>
  </w:footnote>
  <w:footnote w:id="6761">
    <w:p>
      <w:pPr>
        <w:pStyle w:val="FootnoteText"/>
      </w:pPr>
      <w:r>
        <w:rPr>
          <w:rStyle w:val="FootnoteReference"/>
        </w:rPr>
        <w:footnoteRef/>
      </w:r>
      <w:r>
        <w:t xml:space="preserve"> Cross-references for "conspired": 1Kgs 16:9; 2Kgs 12:20.</w:t>
      </w:r>
    </w:p>
  </w:footnote>
  <w:footnote w:id="6762">
    <w:p>
      <w:pPr>
        <w:pStyle w:val="FootnoteText"/>
      </w:pPr>
      <w:r>
        <w:rPr>
          <w:rStyle w:val="FootnoteReference"/>
        </w:rPr>
        <w:footnoteRef/>
      </w:r>
      <w:r>
        <w:t xml:space="preserve"> Translation note: Greek says no breathing thing here. Current line keeps that wording.</w:t>
      </w:r>
    </w:p>
  </w:footnote>
  <w:footnote w:id="6763">
    <w:p>
      <w:pPr>
        <w:pStyle w:val="FootnoteText"/>
      </w:pPr>
      <w:r>
        <w:rPr>
          <w:rStyle w:val="FootnoteReference"/>
        </w:rPr>
        <w:footnoteRef/>
      </w:r>
      <w:r>
        <w:t xml:space="preserve"> Cross-references for "the sins": 1Kgs 14:9-16; 1Kgs 15:26.</w:t>
      </w:r>
    </w:p>
  </w:footnote>
  <w:footnote w:id="6764">
    <w:p>
      <w:pPr>
        <w:pStyle w:val="FootnoteText"/>
      </w:pPr>
      <w:r>
        <w:rPr>
          <w:rStyle w:val="FootnoteReference"/>
        </w:rPr>
        <w:footnoteRef/>
      </w:r>
      <w:r>
        <w:t xml:space="preserve"> Cross-references for "he did evil": 1Kgs 15:26.</w:t>
      </w:r>
    </w:p>
  </w:footnote>
  <w:footnote w:id="6765">
    <w:p>
      <w:pPr>
        <w:pStyle w:val="FootnoteText"/>
      </w:pPr>
      <w:r>
        <w:rPr>
          <w:rStyle w:val="FootnoteReference"/>
        </w:rPr>
        <w:footnoteRef/>
      </w:r>
      <w:r>
        <w:t xml:space="preserve"> Personal name: Jehu. Personal-name meaning: Jehu — himself who exists. Source form: Jehu.</w:t>
      </w:r>
    </w:p>
  </w:footnote>
  <w:footnote w:id="6766">
    <w:p>
      <w:pPr>
        <w:pStyle w:val="FootnoteText"/>
      </w:pPr>
      <w:r>
        <w:rPr>
          <w:rStyle w:val="FootnoteReference"/>
        </w:rPr>
        <w:footnoteRef/>
      </w:r>
      <w:r>
        <w:t xml:space="preserve"> Personal name: Anani. Personal-name meaning: Anani — a cloud; prophecy; divination. Source form: Anani.</w:t>
      </w:r>
    </w:p>
  </w:footnote>
  <w:footnote w:id="6767">
    <w:p>
      <w:pPr>
        <w:pStyle w:val="FootnoteText"/>
      </w:pPr>
      <w:r>
        <w:rPr>
          <w:rStyle w:val="FootnoteReference"/>
        </w:rPr>
        <w:footnoteRef/>
      </w:r>
      <w:r>
        <w:t xml:space="preserve"> Cross-references for "Jehu": 1Kgs 16:7; 2Chr 19:2.</w:t>
      </w:r>
    </w:p>
  </w:footnote>
  <w:footnote w:id="6768">
    <w:p>
      <w:pPr>
        <w:pStyle w:val="FootnoteText"/>
      </w:pPr>
      <w:r>
        <w:rPr>
          <w:rStyle w:val="FootnoteReference"/>
        </w:rPr>
        <w:footnoteRef/>
      </w:r>
      <w:r>
        <w:t xml:space="preserve"> Translation note: Greek says from the earth here and keeps vanities at the end.</w:t>
      </w:r>
    </w:p>
  </w:footnote>
  <w:footnote w:id="6769">
    <w:p>
      <w:pPr>
        <w:pStyle w:val="FootnoteText"/>
      </w:pPr>
      <w:r>
        <w:rPr>
          <w:rStyle w:val="FootnoteReference"/>
        </w:rPr>
        <w:footnoteRef/>
      </w:r>
      <w:r>
        <w:t xml:space="preserve"> Cross-references for "the rest": 1Kgs 14:19; 1Kgs 15:31.</w:t>
      </w:r>
    </w:p>
  </w:footnote>
  <w:footnote w:id="6770">
    <w:p>
      <w:pPr>
        <w:pStyle w:val="FootnoteText"/>
      </w:pPr>
      <w:r>
        <w:rPr>
          <w:rStyle w:val="FootnoteReference"/>
        </w:rPr>
        <w:footnoteRef/>
      </w:r>
      <w:r>
        <w:t xml:space="preserve"> Cross-references for "Baasha": 1Kgs 14:20; 1Kgs 15:25.</w:t>
      </w:r>
    </w:p>
  </w:footnote>
  <w:footnote w:id="6771">
    <w:p>
      <w:pPr>
        <w:pStyle w:val="FootnoteText"/>
      </w:pPr>
      <w:r>
        <w:rPr>
          <w:rStyle w:val="FootnoteReference"/>
        </w:rPr>
        <w:footnoteRef/>
      </w:r>
      <w:r>
        <w:t xml:space="preserve"> Cross-references for "the hand": 1Kgs 16:1-2.</w:t>
      </w:r>
    </w:p>
  </w:footnote>
  <w:footnote w:id="6772">
    <w:p>
      <w:pPr>
        <w:pStyle w:val="FootnoteText"/>
      </w:pPr>
      <w:r>
        <w:rPr>
          <w:rStyle w:val="FootnoteReference"/>
        </w:rPr>
        <w:footnoteRef/>
      </w:r>
      <w:r>
        <w:t xml:space="preserve"> Translation note: Greek leaves this compact and abrupt. Current line keeps that direct ending.</w:t>
      </w:r>
    </w:p>
  </w:footnote>
  <w:footnote w:id="6773">
    <w:p>
      <w:pPr>
        <w:pStyle w:val="FootnoteText"/>
      </w:pPr>
      <w:r>
        <w:rPr>
          <w:rStyle w:val="FootnoteReference"/>
        </w:rPr>
        <w:footnoteRef/>
      </w:r>
      <w:r>
        <w:t xml:space="preserve"> Cross-references for "conspired": 1Kgs 15:27; 2Kgs 9:14.</w:t>
      </w:r>
    </w:p>
  </w:footnote>
  <w:footnote w:id="6774">
    <w:p>
      <w:pPr>
        <w:pStyle w:val="FootnoteText"/>
      </w:pPr>
      <w:r>
        <w:rPr>
          <w:rStyle w:val="FootnoteReference"/>
        </w:rPr>
        <w:footnoteRef/>
      </w:r>
      <w:r>
        <w:t xml:space="preserve"> Personal name: Osa. Personal-name meaning: Ohel — tent; tabernacle; brightness. Standard English equivalent: Ohel. Source form: Osa.</w:t>
      </w:r>
    </w:p>
  </w:footnote>
  <w:footnote w:id="6775">
    <w:p>
      <w:pPr>
        <w:pStyle w:val="FootnoteText"/>
      </w:pPr>
      <w:r>
        <w:rPr>
          <w:rStyle w:val="FootnoteReference"/>
        </w:rPr>
        <w:footnoteRef/>
      </w:r>
      <w:r>
        <w:t xml:space="preserve"> Cross-references for "Zimri": 2Kgs 9:31.</w:t>
      </w:r>
    </w:p>
  </w:footnote>
  <w:footnote w:id="6776">
    <w:p>
      <w:pPr>
        <w:pStyle w:val="FootnoteText"/>
      </w:pPr>
      <w:r>
        <w:rPr>
          <w:rStyle w:val="FootnoteReference"/>
        </w:rPr>
        <w:footnoteRef/>
      </w:r>
      <w:r>
        <w:t xml:space="preserve"> Translation note: Greek repeats temporal sequence here.</w:t>
      </w:r>
    </w:p>
  </w:footnote>
  <w:footnote w:id="6777">
    <w:p>
      <w:pPr>
        <w:pStyle w:val="FootnoteText"/>
      </w:pPr>
      <w:r>
        <w:rPr>
          <w:rStyle w:val="FootnoteReference"/>
        </w:rPr>
        <w:footnoteRef/>
      </w:r>
      <w:r>
        <w:t xml:space="preserve"> Cross-references for "vanities": Deut 32:21; 1Sam 12:21.</w:t>
      </w:r>
    </w:p>
  </w:footnote>
  <w:footnote w:id="6778">
    <w:p>
      <w:pPr>
        <w:pStyle w:val="FootnoteText"/>
      </w:pPr>
      <w:r>
        <w:rPr>
          <w:rStyle w:val="FootnoteReference"/>
        </w:rPr>
        <w:footnoteRef/>
      </w:r>
      <w:r>
        <w:t xml:space="preserve"> Cross-references for "seven": 1Kgs 16:8; 2Kgs 9:31.</w:t>
      </w:r>
    </w:p>
  </w:footnote>
  <w:footnote w:id="6779">
    <w:p>
      <w:pPr>
        <w:pStyle w:val="FootnoteText"/>
      </w:pPr>
      <w:r>
        <w:rPr>
          <w:rStyle w:val="FootnoteReference"/>
        </w:rPr>
        <w:footnoteRef/>
      </w:r>
      <w:r>
        <w:t xml:space="preserve"> Personal name: Omri. Personal-name meaning: Omri — sheaf of corn. Source form: Omri.</w:t>
      </w:r>
    </w:p>
  </w:footnote>
  <w:footnote w:id="6780">
    <w:p>
      <w:pPr>
        <w:pStyle w:val="FootnoteText"/>
      </w:pPr>
      <w:r>
        <w:rPr>
          <w:rStyle w:val="FootnoteReference"/>
        </w:rPr>
        <w:footnoteRef/>
      </w:r>
      <w:r>
        <w:t xml:space="preserve"> Cross-references for "Omri": 1Kgs 16:30; 2Kgs 8:26.</w:t>
      </w:r>
    </w:p>
  </w:footnote>
  <w:footnote w:id="6781">
    <w:p>
      <w:pPr>
        <w:pStyle w:val="FootnoteText"/>
      </w:pPr>
      <w:r>
        <w:rPr>
          <w:rStyle w:val="FootnoteReference"/>
        </w:rPr>
        <w:footnoteRef/>
      </w:r>
      <w:r>
        <w:t xml:space="preserve"> Cross-references for "besieged Tirzah": Judg 9:45; Judg 9:50.</w:t>
      </w:r>
    </w:p>
  </w:footnote>
  <w:footnote w:id="6782">
    <w:p>
      <w:pPr>
        <w:pStyle w:val="FootnoteText"/>
      </w:pPr>
      <w:r>
        <w:rPr>
          <w:rStyle w:val="FootnoteReference"/>
        </w:rPr>
        <w:footnoteRef/>
      </w:r>
      <w:r>
        <w:t xml:space="preserve"> Cross-references for "in his": 1Kgs 12:28; 1Kgs 14:16.</w:t>
      </w:r>
    </w:p>
  </w:footnote>
  <w:footnote w:id="6783">
    <w:p>
      <w:pPr>
        <w:pStyle w:val="FootnoteText"/>
      </w:pPr>
      <w:r>
        <w:rPr>
          <w:rStyle w:val="FootnoteReference"/>
        </w:rPr>
        <w:footnoteRef/>
      </w:r>
      <w:r>
        <w:t xml:space="preserve"> Cross-references for "the rest": 1Kgs 14:19; 1Kgs 15:31.</w:t>
      </w:r>
    </w:p>
  </w:footnote>
  <w:footnote w:id="6784">
    <w:p>
      <w:pPr>
        <w:pStyle w:val="FootnoteText"/>
      </w:pPr>
      <w:r>
        <w:rPr>
          <w:rStyle w:val="FootnoteReference"/>
        </w:rPr>
        <w:footnoteRef/>
      </w:r>
      <w:r>
        <w:t xml:space="preserve"> Cross-references for "divided": 1Kgs 15:25; 1Kgs 15:28.</w:t>
      </w:r>
    </w:p>
  </w:footnote>
  <w:footnote w:id="6785">
    <w:p>
      <w:pPr>
        <w:pStyle w:val="FootnoteText"/>
      </w:pPr>
      <w:r>
        <w:rPr>
          <w:rStyle w:val="FootnoteReference"/>
        </w:rPr>
        <w:footnoteRef/>
      </w:r>
      <w:r>
        <w:t xml:space="preserve"> Personal name: Tibni. Personal-name meaning: Tibni — straw; hay. Source form: Tibni.</w:t>
      </w:r>
    </w:p>
  </w:footnote>
  <w:footnote w:id="6786">
    <w:p>
      <w:pPr>
        <w:pStyle w:val="FootnoteText"/>
      </w:pPr>
      <w:r>
        <w:rPr>
          <w:rStyle w:val="FootnoteReference"/>
        </w:rPr>
        <w:footnoteRef/>
      </w:r>
      <w:r>
        <w:t xml:space="preserve"> Personal name: Ginath. Personal-name meaning: Ginath — a garden. Source form: Ginath.</w:t>
      </w:r>
    </w:p>
  </w:footnote>
  <w:footnote w:id="6787">
    <w:p>
      <w:pPr>
        <w:pStyle w:val="FootnoteText"/>
      </w:pPr>
      <w:r>
        <w:rPr>
          <w:rStyle w:val="FootnoteReference"/>
        </w:rPr>
        <w:footnoteRef/>
      </w:r>
      <w:r>
        <w:t xml:space="preserve"> Cross-references for "the thirty": 1Kgs 16:10; 1Kgs 16:15.</w:t>
      </w:r>
    </w:p>
  </w:footnote>
  <w:footnote w:id="6788">
    <w:p>
      <w:pPr>
        <w:pStyle w:val="FootnoteText"/>
      </w:pPr>
      <w:r>
        <w:rPr>
          <w:rStyle w:val="FootnoteReference"/>
        </w:rPr>
        <w:footnoteRef/>
      </w:r>
      <w:r>
        <w:t xml:space="preserve"> Personal name: Shemer. Personal-name meaning: Shemer — guardian; thorn. Source form: Shemer.</w:t>
      </w:r>
    </w:p>
  </w:footnote>
  <w:footnote w:id="6789">
    <w:p>
      <w:pPr>
        <w:pStyle w:val="FootnoteText"/>
      </w:pPr>
      <w:r>
        <w:rPr>
          <w:rStyle w:val="FootnoteReference"/>
        </w:rPr>
        <w:footnoteRef/>
      </w:r>
      <w:r>
        <w:t xml:space="preserve"> Cross-references for "did worse": 1Kgs 14:9; 1Kgs 16:30-31.</w:t>
      </w:r>
    </w:p>
  </w:footnote>
  <w:footnote w:id="6790">
    <w:p>
      <w:pPr>
        <w:pStyle w:val="FootnoteText"/>
      </w:pPr>
      <w:r>
        <w:rPr>
          <w:rStyle w:val="FootnoteReference"/>
        </w:rPr>
        <w:footnoteRef/>
      </w:r>
      <w:r>
        <w:t xml:space="preserve"> Cross-references for "he walked": 1Kgs 12:26-33; 1Kgs 13:33-34.</w:t>
      </w:r>
    </w:p>
  </w:footnote>
  <w:footnote w:id="6791">
    <w:p>
      <w:pPr>
        <w:pStyle w:val="FootnoteText"/>
      </w:pPr>
      <w:r>
        <w:rPr>
          <w:rStyle w:val="FootnoteReference"/>
        </w:rPr>
        <w:footnoteRef/>
      </w:r>
      <w:r>
        <w:t xml:space="preserve"> Cross-references for "the rest": 1Kgs 15:31; 1Kgs 16:5.</w:t>
      </w:r>
    </w:p>
  </w:footnote>
  <w:footnote w:id="6792">
    <w:p>
      <w:pPr>
        <w:pStyle w:val="FootnoteText"/>
      </w:pPr>
      <w:r>
        <w:rPr>
          <w:rStyle w:val="FootnoteReference"/>
        </w:rPr>
        <w:footnoteRef/>
      </w:r>
      <w:r>
        <w:t xml:space="preserve"> Name meaning: Ahab (Achav) — Father's brother; uncle. Northern king whose reign is remembered for Baal worship and Elijah's confrontation.</w:t>
      </w:r>
    </w:p>
  </w:footnote>
  <w:footnote w:id="6793">
    <w:p>
      <w:pPr>
        <w:pStyle w:val="FootnoteText"/>
      </w:pPr>
      <w:r>
        <w:rPr>
          <w:rStyle w:val="FootnoteReference"/>
        </w:rPr>
        <w:footnoteRef/>
      </w:r>
      <w:r>
        <w:t xml:space="preserve"> Personal name: Azubah. Personal-name meaning: Azubah — forsaken. Source form: Azubah.</w:t>
      </w:r>
    </w:p>
  </w:footnote>
  <w:footnote w:id="6794">
    <w:p>
      <w:pPr>
        <w:pStyle w:val="FootnoteText"/>
      </w:pPr>
      <w:r>
        <w:rPr>
          <w:rStyle w:val="FootnoteReference"/>
        </w:rPr>
        <w:footnoteRef/>
      </w:r>
      <w:r>
        <w:t xml:space="preserve"> Personal name: Shilhi. Personal-name meaning: Shilhi — bough; weapon; armor. Source form: Shilhi.</w:t>
      </w:r>
    </w:p>
  </w:footnote>
  <w:footnote w:id="6795">
    <w:p>
      <w:pPr>
        <w:pStyle w:val="FootnoteText"/>
      </w:pPr>
      <w:r>
        <w:rPr>
          <w:rStyle w:val="FootnoteReference"/>
        </w:rPr>
        <w:footnoteRef/>
      </w:r>
      <w:r>
        <w:t xml:space="preserve"> Translation note: The Greek text inserts a large Jehoshaphat block into the Omri notice. Main text keeps that expanded witness rather than collapsing to the shorter form.</w:t>
      </w:r>
    </w:p>
  </w:footnote>
  <w:footnote w:id="6796">
    <w:p>
      <w:pPr>
        <w:pStyle w:val="FootnoteText"/>
      </w:pPr>
      <w:r>
        <w:rPr>
          <w:rStyle w:val="FootnoteReference"/>
        </w:rPr>
        <w:footnoteRef/>
      </w:r>
      <w:r>
        <w:t xml:space="preserve"> Cross-references for "Samaria": 1Kgs 16:24.</w:t>
      </w:r>
    </w:p>
  </w:footnote>
  <w:footnote w:id="6797">
    <w:p>
      <w:pPr>
        <w:pStyle w:val="FootnoteText"/>
      </w:pPr>
      <w:r>
        <w:rPr>
          <w:rStyle w:val="FootnoteReference"/>
        </w:rPr>
        <w:footnoteRef/>
      </w:r>
      <w:r>
        <w:t xml:space="preserve"> Translation note: Greek says not enough for him here. Current line keeps that wording.</w:t>
      </w:r>
    </w:p>
  </w:footnote>
  <w:footnote w:id="6798">
    <w:p>
      <w:pPr>
        <w:pStyle w:val="FootnoteText"/>
      </w:pPr>
      <w:r>
        <w:rPr>
          <w:rStyle w:val="FootnoteReference"/>
        </w:rPr>
        <w:footnoteRef/>
      </w:r>
      <w:r>
        <w:t xml:space="preserve"> Personal name: Jezebel. Personal-name meaning: Jezebel — chaste. Source form: Jezebel.</w:t>
      </w:r>
    </w:p>
  </w:footnote>
  <w:footnote w:id="6799">
    <w:p>
      <w:pPr>
        <w:pStyle w:val="FootnoteText"/>
      </w:pPr>
      <w:r>
        <w:rPr>
          <w:rStyle w:val="FootnoteReference"/>
        </w:rPr>
        <w:footnoteRef/>
      </w:r>
      <w:r>
        <w:t xml:space="preserve"> Personal name: Ethbaal. Personal-name meaning: Ethbaal — toward the idol, or with Baal. Source form: Ethbaal.</w:t>
      </w:r>
    </w:p>
  </w:footnote>
  <w:footnote w:id="6800">
    <w:p>
      <w:pPr>
        <w:pStyle w:val="FootnoteText"/>
      </w:pPr>
      <w:r>
        <w:rPr>
          <w:rStyle w:val="FootnoteReference"/>
        </w:rPr>
        <w:footnoteRef/>
      </w:r>
      <w:r>
        <w:t xml:space="preserve"> Cross-references for "Jezebel": 1Kgs 18:4; 1Kgs 18:19.</w:t>
      </w:r>
    </w:p>
  </w:footnote>
  <w:footnote w:id="6801">
    <w:p>
      <w:pPr>
        <w:pStyle w:val="FootnoteText"/>
      </w:pPr>
      <w:r>
        <w:rPr>
          <w:rStyle w:val="FootnoteReference"/>
        </w:rPr>
        <w:footnoteRef/>
      </w:r>
      <w:r>
        <w:t xml:space="preserve"> Cross-references for "made a grove": Exod 34:13; 2Kgs 13:6.</w:t>
      </w:r>
    </w:p>
  </w:footnote>
  <w:footnote w:id="6802">
    <w:p>
      <w:pPr>
        <w:pStyle w:val="FootnoteText"/>
      </w:pPr>
      <w:r>
        <w:rPr>
          <w:rStyle w:val="FootnoteReference"/>
        </w:rPr>
        <w:footnoteRef/>
      </w:r>
      <w:r>
        <w:t xml:space="preserve"> Personal name: Hiel. Personal-name meaning: Hiel — God lives; the life of God. Source form: Hiel.</w:t>
      </w:r>
    </w:p>
  </w:footnote>
  <w:footnote w:id="6803">
    <w:p>
      <w:pPr>
        <w:pStyle w:val="FootnoteText"/>
      </w:pPr>
      <w:r>
        <w:rPr>
          <w:rStyle w:val="FootnoteReference"/>
        </w:rPr>
        <w:footnoteRef/>
      </w:r>
      <w:r>
        <w:t xml:space="preserve"> People-name: Bethelite. People-name meaning: Bethelite — the house of God. Source form: Bethelite.</w:t>
      </w:r>
    </w:p>
  </w:footnote>
  <w:footnote w:id="6804">
    <w:p>
      <w:pPr>
        <w:pStyle w:val="FootnoteText"/>
      </w:pPr>
      <w:r>
        <w:rPr>
          <w:rStyle w:val="FootnoteReference"/>
        </w:rPr>
        <w:footnoteRef/>
      </w:r>
      <w:r>
        <w:t xml:space="preserve"> Personal name: Segub. Personal-name meaning: Segub — fortified; raised. Source form: Segub.</w:t>
      </w:r>
    </w:p>
  </w:footnote>
  <w:footnote w:id="6805">
    <w:p>
      <w:pPr>
        <w:pStyle w:val="FootnoteText"/>
      </w:pPr>
      <w:r>
        <w:rPr>
          <w:rStyle w:val="FootnoteReference"/>
        </w:rPr>
        <w:footnoteRef/>
      </w:r>
      <w:r>
        <w:t xml:space="preserve"> Translation note: Greek ties Jerichō's rebuilding to firstborn and youngest son directly. Current line keeps that construction.</w:t>
      </w:r>
    </w:p>
  </w:footnote>
  <w:footnote w:id="6806">
    <w:p>
      <w:pPr>
        <w:pStyle w:val="FootnoteText"/>
      </w:pPr>
      <w:r>
        <w:rPr>
          <w:rStyle w:val="FootnoteReference"/>
        </w:rPr>
        <w:footnoteRef/>
      </w:r>
      <w:r>
        <w:t xml:space="preserve"> Name meaning: Elijah (Eliyahu) — My God is Yahweh. Confronted Baal worship with the truth that Yahweh alone is God.</w:t>
      </w:r>
    </w:p>
  </w:footnote>
  <w:footnote w:id="6807">
    <w:p>
      <w:pPr>
        <w:pStyle w:val="FootnoteText"/>
      </w:pPr>
      <w:r>
        <w:rPr>
          <w:rStyle w:val="FootnoteReference"/>
        </w:rPr>
        <w:footnoteRef/>
      </w:r>
      <w:r>
        <w:t xml:space="preserve"> Personal name: Tishbite. Personal-name meaning: Tishbite — that makes captive. Source form: Tishbite.</w:t>
      </w:r>
    </w:p>
  </w:footnote>
  <w:footnote w:id="6808">
    <w:p>
      <w:pPr>
        <w:pStyle w:val="FootnoteText"/>
      </w:pPr>
      <w:r>
        <w:rPr>
          <w:rStyle w:val="FootnoteReference"/>
        </w:rPr>
        <w:footnoteRef/>
      </w:r>
      <w:r>
        <w:t xml:space="preserve"> Cross-references for "Elijah": Matt 11:14; Matt 16:14.</w:t>
      </w:r>
    </w:p>
  </w:footnote>
  <w:footnote w:id="6809">
    <w:p>
      <w:pPr>
        <w:pStyle w:val="FootnoteText"/>
      </w:pPr>
      <w:r>
        <w:rPr>
          <w:rStyle w:val="FootnoteReference"/>
        </w:rPr>
        <w:footnoteRef/>
      </w:r>
      <w:r>
        <w:t xml:space="preserve"> Place name: Cherith. Place-name meaning: Cherith — cutting; piercing; slaying. Source form: Cherith. Greek form: χορραθ.</w:t>
      </w:r>
    </w:p>
  </w:footnote>
  <w:footnote w:id="6810">
    <w:p>
      <w:pPr>
        <w:pStyle w:val="FootnoteText"/>
      </w:pPr>
      <w:r>
        <w:rPr>
          <w:rStyle w:val="FootnoteReference"/>
        </w:rPr>
        <w:footnoteRef/>
      </w:r>
      <w:r>
        <w:t xml:space="preserve"> Cross-references for "I have commanded": Num 20:8; 1Kgs 17:9.</w:t>
      </w:r>
    </w:p>
  </w:footnote>
  <w:footnote w:id="6811">
    <w:p>
      <w:pPr>
        <w:pStyle w:val="FootnoteText"/>
      </w:pPr>
      <w:r>
        <w:rPr>
          <w:rStyle w:val="FootnoteReference"/>
        </w:rPr>
        <w:footnoteRef/>
      </w:r>
      <w:r>
        <w:t xml:space="preserve"> Translation note: Greek gives the provision promise with ravens and wadi together. Current wording preserves that line.</w:t>
      </w:r>
    </w:p>
  </w:footnote>
  <w:footnote w:id="6812">
    <w:p>
      <w:pPr>
        <w:pStyle w:val="FootnoteText"/>
      </w:pPr>
      <w:r>
        <w:rPr>
          <w:rStyle w:val="FootnoteReference"/>
        </w:rPr>
        <w:footnoteRef/>
      </w:r>
      <w:r>
        <w:t xml:space="preserve"> Cross-references for "did according": 1Kgs 19:9; Prov 3:5.</w:t>
      </w:r>
    </w:p>
  </w:footnote>
  <w:footnote w:id="6813">
    <w:p>
      <w:pPr>
        <w:pStyle w:val="FootnoteText"/>
      </w:pPr>
      <w:r>
        <w:rPr>
          <w:rStyle w:val="FootnoteReference"/>
        </w:rPr>
        <w:footnoteRef/>
      </w:r>
      <w:r>
        <w:t xml:space="preserve"> Cross-references for "the ravens": Exod 16:35; Num 11:23.</w:t>
      </w:r>
    </w:p>
  </w:footnote>
  <w:footnote w:id="6814">
    <w:p>
      <w:pPr>
        <w:pStyle w:val="FootnoteText"/>
      </w:pPr>
      <w:r>
        <w:rPr>
          <w:rStyle w:val="FootnoteReference"/>
        </w:rPr>
        <w:footnoteRef/>
      </w:r>
      <w:r>
        <w:t xml:space="preserve"> Cross-references for "the word": Gen 22:14; 1Kgs 17:2.</w:t>
      </w:r>
    </w:p>
  </w:footnote>
  <w:footnote w:id="6815">
    <w:p>
      <w:pPr>
        <w:pStyle w:val="FootnoteText"/>
      </w:pPr>
      <w:r>
        <w:rPr>
          <w:rStyle w:val="FootnoteReference"/>
        </w:rPr>
        <w:footnoteRef/>
      </w:r>
      <w:r>
        <w:t xml:space="preserve"> Cross-references for "widow woman": Judg 7:2; Judg 7:4.</w:t>
      </w:r>
    </w:p>
  </w:footnote>
  <w:footnote w:id="6816">
    <w:p>
      <w:pPr>
        <w:pStyle w:val="FootnoteText"/>
      </w:pPr>
      <w:r>
        <w:rPr>
          <w:rStyle w:val="FootnoteReference"/>
        </w:rPr>
        <w:footnoteRef/>
      </w:r>
      <w:r>
        <w:t xml:space="preserve"> Cross-references for "fetch me": Gen 21:15; Gen 24:17.</w:t>
      </w:r>
    </w:p>
  </w:footnote>
  <w:footnote w:id="6817">
    <w:p>
      <w:pPr>
        <w:pStyle w:val="FootnoteText"/>
      </w:pPr>
      <w:r>
        <w:rPr>
          <w:rStyle w:val="FootnoteReference"/>
        </w:rPr>
        <w:footnoteRef/>
      </w:r>
      <w:r>
        <w:t xml:space="preserve"> Cross-references for "a morsel": Gen 18:5; 1Kgs 17:9.</w:t>
      </w:r>
    </w:p>
  </w:footnote>
  <w:footnote w:id="6818">
    <w:p>
      <w:pPr>
        <w:pStyle w:val="FootnoteText"/>
      </w:pPr>
      <w:r>
        <w:rPr>
          <w:rStyle w:val="FootnoteReference"/>
        </w:rPr>
        <w:footnoteRef/>
      </w:r>
      <w:r>
        <w:t xml:space="preserve"> Cross-references for "As the Lord": 1Sam 14:39; 1Sam 14:45.</w:t>
      </w:r>
    </w:p>
  </w:footnote>
  <w:footnote w:id="6819">
    <w:p>
      <w:pPr>
        <w:pStyle w:val="FootnoteText"/>
      </w:pPr>
      <w:r>
        <w:rPr>
          <w:rStyle w:val="FootnoteReference"/>
        </w:rPr>
        <w:footnoteRef/>
      </w:r>
      <w:r>
        <w:t xml:space="preserve"> Translation note: Greek says as much as a handful of flour.</w:t>
      </w:r>
    </w:p>
  </w:footnote>
  <w:footnote w:id="6820">
    <w:p>
      <w:pPr>
        <w:pStyle w:val="FootnoteText"/>
      </w:pPr>
      <w:r>
        <w:rPr>
          <w:rStyle w:val="FootnoteReference"/>
        </w:rPr>
        <w:footnoteRef/>
      </w:r>
      <w:r>
        <w:t xml:space="preserve"> Cross-references for "first": Prov 3:9; Mal 3:10.</w:t>
      </w:r>
    </w:p>
  </w:footnote>
  <w:footnote w:id="6821">
    <w:p>
      <w:pPr>
        <w:pStyle w:val="FootnoteText"/>
      </w:pPr>
      <w:r>
        <w:rPr>
          <w:rStyle w:val="FootnoteReference"/>
        </w:rPr>
        <w:footnoteRef/>
      </w:r>
      <w:r>
        <w:t xml:space="preserve"> Cross-references for "the son of the woman": Gen 22:1-2; 2Kgs 4:18-20.</w:t>
      </w:r>
    </w:p>
  </w:footnote>
  <w:footnote w:id="6822">
    <w:p>
      <w:pPr>
        <w:pStyle w:val="FootnoteText"/>
      </w:pPr>
      <w:r>
        <w:rPr>
          <w:rStyle w:val="FootnoteReference"/>
        </w:rPr>
        <w:footnoteRef/>
      </w:r>
      <w:r>
        <w:t xml:space="preserve"> Cross-references for "the word": Eccl 12:10; 1Thess 2:13.</w:t>
      </w:r>
    </w:p>
  </w:footnote>
  <w:footnote w:id="6823">
    <w:p>
      <w:pPr>
        <w:pStyle w:val="FootnoteText"/>
      </w:pPr>
      <w:r>
        <w:rPr>
          <w:rStyle w:val="FootnoteReference"/>
        </w:rPr>
        <w:footnoteRef/>
      </w:r>
      <w:r>
        <w:t xml:space="preserve"> Cross-references for "after many days": Luke 4:25; Jas 5:17.</w:t>
      </w:r>
    </w:p>
  </w:footnote>
  <w:footnote w:id="6824">
    <w:p>
      <w:pPr>
        <w:pStyle w:val="FootnoteText"/>
      </w:pPr>
      <w:r>
        <w:rPr>
          <w:rStyle w:val="FootnoteReference"/>
        </w:rPr>
        <w:footnoteRef/>
      </w:r>
      <w:r>
        <w:t xml:space="preserve"> Personal name: Obadiah. Personal-name meaning: Obadiah — servant of the Lord. Source form: Obadiah.</w:t>
      </w:r>
    </w:p>
  </w:footnote>
  <w:footnote w:id="6825">
    <w:p>
      <w:pPr>
        <w:pStyle w:val="FootnoteText"/>
      </w:pPr>
      <w:r>
        <w:rPr>
          <w:rStyle w:val="FootnoteReference"/>
        </w:rPr>
        <w:footnoteRef/>
      </w:r>
      <w:r>
        <w:t xml:space="preserve"> Cross-references for "in a cave": Heb 11:38.</w:t>
      </w:r>
    </w:p>
  </w:footnote>
  <w:footnote w:id="6826">
    <w:p>
      <w:pPr>
        <w:pStyle w:val="FootnoteText"/>
      </w:pPr>
      <w:r>
        <w:rPr>
          <w:rStyle w:val="FootnoteReference"/>
        </w:rPr>
        <w:footnoteRef/>
      </w:r>
      <w:r>
        <w:t xml:space="preserve"> Cross-references for "grass": Ps 104:14; Jer 14:5-6.</w:t>
      </w:r>
    </w:p>
  </w:footnote>
  <w:footnote w:id="6827">
    <w:p>
      <w:pPr>
        <w:pStyle w:val="FootnoteText"/>
      </w:pPr>
      <w:r>
        <w:rPr>
          <w:rStyle w:val="FootnoteReference"/>
        </w:rPr>
        <w:footnoteRef/>
      </w:r>
      <w:r>
        <w:t xml:space="preserve"> Cross-references for "Ahab went": Jer 14:3.</w:t>
      </w:r>
    </w:p>
  </w:footnote>
  <w:footnote w:id="6828">
    <w:p>
      <w:pPr>
        <w:pStyle w:val="FootnoteText"/>
      </w:pPr>
      <w:r>
        <w:rPr>
          <w:rStyle w:val="FootnoteReference"/>
        </w:rPr>
        <w:footnoteRef/>
      </w:r>
      <w:r>
        <w:t xml:space="preserve"> Cross-references for "my lord Elijah": Gen 18:12; Gen 44:16.</w:t>
      </w:r>
    </w:p>
  </w:footnote>
  <w:footnote w:id="6829">
    <w:p>
      <w:pPr>
        <w:pStyle w:val="FootnoteText"/>
      </w:pPr>
      <w:r>
        <w:rPr>
          <w:rStyle w:val="FootnoteReference"/>
        </w:rPr>
        <w:footnoteRef/>
      </w:r>
      <w:r>
        <w:t xml:space="preserve"> Translation note: Greek keeps Elijah's self-identification abrupt and brief. Current wording preserves it.</w:t>
      </w:r>
    </w:p>
  </w:footnote>
  <w:footnote w:id="6830">
    <w:p>
      <w:pPr>
        <w:pStyle w:val="FootnoteText"/>
      </w:pPr>
      <w:r>
        <w:rPr>
          <w:rStyle w:val="FootnoteReference"/>
        </w:rPr>
        <w:footnoteRef/>
      </w:r>
      <w:r>
        <w:t xml:space="preserve"> Cross-references for "What have I sinned": Exod 5:21; 1Kgs 17:18.</w:t>
      </w:r>
    </w:p>
  </w:footnote>
  <w:footnote w:id="6831">
    <w:p>
      <w:pPr>
        <w:pStyle w:val="FootnoteText"/>
      </w:pPr>
      <w:r>
        <w:rPr>
          <w:rStyle w:val="FootnoteReference"/>
        </w:rPr>
        <w:footnoteRef/>
      </w:r>
      <w:r>
        <w:t xml:space="preserve"> Cross-references for "the Lord": 1Sam 29:6; 1Kgs 1:29.</w:t>
      </w:r>
    </w:p>
  </w:footnote>
  <w:footnote w:id="6832">
    <w:p>
      <w:pPr>
        <w:pStyle w:val="FootnoteText"/>
      </w:pPr>
      <w:r>
        <w:rPr>
          <w:rStyle w:val="FootnoteReference"/>
        </w:rPr>
        <w:footnoteRef/>
      </w:r>
      <w:r>
        <w:t xml:space="preserve"> Translation note: Greek uses oath-binding language for the search. Current wording keeps that line explicit.</w:t>
      </w:r>
    </w:p>
  </w:footnote>
  <w:footnote w:id="6833">
    <w:p>
      <w:pPr>
        <w:pStyle w:val="FootnoteText"/>
      </w:pPr>
      <w:r>
        <w:rPr>
          <w:rStyle w:val="FootnoteReference"/>
        </w:rPr>
        <w:footnoteRef/>
      </w:r>
      <w:r>
        <w:t xml:space="preserve"> Cross-references for "the Spirit of the Lord": 2Kgs 2:11; 2Kgs 2:16.</w:t>
      </w:r>
    </w:p>
  </w:footnote>
  <w:footnote w:id="6834">
    <w:p>
      <w:pPr>
        <w:pStyle w:val="FootnoteText"/>
      </w:pPr>
      <w:r>
        <w:rPr>
          <w:rStyle w:val="FootnoteReference"/>
        </w:rPr>
        <w:footnoteRef/>
      </w:r>
      <w:r>
        <w:t xml:space="preserve"> Translation note: Greek says carry you to place that I do not know.</w:t>
      </w:r>
    </w:p>
  </w:footnote>
  <w:footnote w:id="6835">
    <w:p>
      <w:pPr>
        <w:pStyle w:val="FootnoteText"/>
      </w:pPr>
      <w:r>
        <w:rPr>
          <w:rStyle w:val="FootnoteReference"/>
        </w:rPr>
        <w:footnoteRef/>
      </w:r>
      <w:r>
        <w:t xml:space="preserve"> Cross-references for "what I did": Gen 20:4-5; 1Kgs 18:4.</w:t>
      </w:r>
    </w:p>
  </w:footnote>
  <w:footnote w:id="6836">
    <w:p>
      <w:pPr>
        <w:pStyle w:val="FootnoteText"/>
      </w:pPr>
      <w:r>
        <w:rPr>
          <w:rStyle w:val="FootnoteReference"/>
        </w:rPr>
        <w:footnoteRef/>
      </w:r>
      <w:r>
        <w:t xml:space="preserve"> Translation note: Greek ends Obadiah's fear with a blunt kill-me line. Current wording preserves that direct fear.</w:t>
      </w:r>
    </w:p>
  </w:footnote>
  <w:footnote w:id="6837">
    <w:p>
      <w:pPr>
        <w:pStyle w:val="FootnoteText"/>
      </w:pPr>
      <w:r>
        <w:rPr>
          <w:rStyle w:val="FootnoteReference"/>
        </w:rPr>
        <w:footnoteRef/>
      </w:r>
      <w:r>
        <w:t xml:space="preserve"> Cross-references for "As the Lord": 1Kgs 18:10; Heb 6:16-17.</w:t>
      </w:r>
    </w:p>
  </w:footnote>
  <w:footnote w:id="6838">
    <w:p>
      <w:pPr>
        <w:pStyle w:val="FootnoteText"/>
      </w:pPr>
      <w:r>
        <w:rPr>
          <w:rStyle w:val="FootnoteReference"/>
        </w:rPr>
        <w:footnoteRef/>
      </w:r>
      <w:r>
        <w:t xml:space="preserve"> Transliterated proper noun: Baalim. Standard English equivalent: Baalim. Source form: Baalim. Greek form: βααλιμ. Name meaning: idols; masters; false gods.</w:t>
      </w:r>
    </w:p>
  </w:footnote>
  <w:footnote w:id="6839">
    <w:p>
      <w:pPr>
        <w:pStyle w:val="FootnoteText"/>
      </w:pPr>
      <w:r>
        <w:rPr>
          <w:rStyle w:val="FootnoteReference"/>
        </w:rPr>
        <w:footnoteRef/>
      </w:r>
      <w:r>
        <w:t xml:space="preserve"> Cross-references for "Mount Carmel": Josh 19:26; 1Sam 15:12.</w:t>
      </w:r>
    </w:p>
  </w:footnote>
  <w:footnote w:id="6840">
    <w:p>
      <w:pPr>
        <w:pStyle w:val="FootnoteText"/>
      </w:pPr>
      <w:r>
        <w:rPr>
          <w:rStyle w:val="FootnoteReference"/>
        </w:rPr>
        <w:footnoteRef/>
      </w:r>
      <w:r>
        <w:t xml:space="preserve"> Cross-references for "gathered": 1Kgs 22:9.</w:t>
      </w:r>
    </w:p>
  </w:footnote>
  <w:footnote w:id="6841">
    <w:p>
      <w:pPr>
        <w:pStyle w:val="FootnoteText"/>
      </w:pPr>
      <w:r>
        <w:rPr>
          <w:rStyle w:val="FootnoteReference"/>
        </w:rPr>
        <w:footnoteRef/>
      </w:r>
      <w:r>
        <w:t xml:space="preserve"> Cross-references for "How long": Deut 4:35; 2Kgs 17:41.</w:t>
      </w:r>
    </w:p>
  </w:footnote>
  <w:footnote w:id="6842">
    <w:p>
      <w:pPr>
        <w:pStyle w:val="FootnoteText"/>
      </w:pPr>
      <w:r>
        <w:rPr>
          <w:rStyle w:val="FootnoteReference"/>
        </w:rPr>
        <w:footnoteRef/>
      </w:r>
      <w:r>
        <w:t xml:space="preserve"> Translation note: Greek says butcher it here. Current line keeps stronger verb.</w:t>
      </w:r>
    </w:p>
  </w:footnote>
  <w:footnote w:id="6843">
    <w:p>
      <w:pPr>
        <w:pStyle w:val="FootnoteText"/>
      </w:pPr>
      <w:r>
        <w:rPr>
          <w:rStyle w:val="FootnoteReference"/>
        </w:rPr>
        <w:footnoteRef/>
      </w:r>
      <w:r>
        <w:t xml:space="preserve"> Translation note: Greek uses active invocation wording here. Current wording uses call on the name to align the OT/NT call-on-name formula; aloud reflects βοᾶτε.</w:t>
      </w:r>
    </w:p>
  </w:footnote>
  <w:footnote w:id="6844">
    <w:p>
      <w:pPr>
        <w:pStyle w:val="FootnoteText"/>
      </w:pPr>
      <w:r>
        <w:rPr>
          <w:rStyle w:val="FootnoteReference"/>
        </w:rPr>
        <w:footnoteRef/>
      </w:r>
      <w:r>
        <w:t xml:space="preserve"> Cross-references for "and said": 2Sam 14:19.</w:t>
      </w:r>
    </w:p>
  </w:footnote>
  <w:footnote w:id="6845">
    <w:p>
      <w:pPr>
        <w:pStyle w:val="FootnoteText"/>
      </w:pPr>
      <w:r>
        <w:rPr>
          <w:rStyle w:val="FootnoteReference"/>
        </w:rPr>
        <w:footnoteRef/>
      </w:r>
      <w:r>
        <w:t xml:space="preserve"> Cross-references for "from morning": Matt 6:7.</w:t>
      </w:r>
    </w:p>
  </w:footnote>
  <w:footnote w:id="6846">
    <w:p>
      <w:pPr>
        <w:pStyle w:val="FootnoteText"/>
      </w:pPr>
      <w:r>
        <w:rPr>
          <w:rStyle w:val="FootnoteReference"/>
        </w:rPr>
        <w:footnoteRef/>
      </w:r>
      <w:r>
        <w:t xml:space="preserve"> Translation note: Greek says there was no voice and there was no hearing.</w:t>
      </w:r>
    </w:p>
  </w:footnote>
  <w:footnote w:id="6847">
    <w:p>
      <w:pPr>
        <w:pStyle w:val="FootnoteText"/>
      </w:pPr>
      <w:r>
        <w:rPr>
          <w:rStyle w:val="FootnoteReference"/>
        </w:rPr>
        <w:footnoteRef/>
      </w:r>
      <w:r>
        <w:t xml:space="preserve"> Cross-references for "Elijah": 1Kgs 22:15; 2Chr 25:8.</w:t>
      </w:r>
    </w:p>
  </w:footnote>
  <w:footnote w:id="6848">
    <w:p>
      <w:pPr>
        <w:pStyle w:val="FootnoteText"/>
      </w:pPr>
      <w:r>
        <w:rPr>
          <w:rStyle w:val="FootnoteReference"/>
        </w:rPr>
        <w:footnoteRef/>
      </w:r>
      <w:r>
        <w:t xml:space="preserve"> Cross-references for "cut themselves": Lev 19:28; Deut 14:1.</w:t>
      </w:r>
    </w:p>
  </w:footnote>
  <w:footnote w:id="6849">
    <w:p>
      <w:pPr>
        <w:pStyle w:val="FootnoteText"/>
      </w:pPr>
      <w:r>
        <w:rPr>
          <w:rStyle w:val="FootnoteReference"/>
        </w:rPr>
        <w:footnoteRef/>
      </w:r>
      <w:r>
        <w:t xml:space="preserve"> Cross-references for "prophesied": 1Sam 18:10; 1Kgs 22:10.</w:t>
      </w:r>
    </w:p>
  </w:footnote>
  <w:footnote w:id="6850">
    <w:p>
      <w:pPr>
        <w:pStyle w:val="FootnoteText"/>
      </w:pPr>
      <w:r>
        <w:rPr>
          <w:rStyle w:val="FootnoteReference"/>
        </w:rPr>
        <w:footnoteRef/>
      </w:r>
      <w:r>
        <w:t xml:space="preserve"> Cross-references for "twelve stones": Exod 24:4; Josh 4:3-4.</w:t>
      </w:r>
    </w:p>
  </w:footnote>
  <w:footnote w:id="6851">
    <w:p>
      <w:pPr>
        <w:pStyle w:val="FootnoteText"/>
      </w:pPr>
      <w:r>
        <w:rPr>
          <w:rStyle w:val="FootnoteReference"/>
        </w:rPr>
        <w:footnoteRef/>
      </w:r>
      <w:r>
        <w:t xml:space="preserve"> Cross-references for "in the name": 1Cor 10:31; Col 3:17.</w:t>
      </w:r>
    </w:p>
  </w:footnote>
  <w:footnote w:id="6852">
    <w:p>
      <w:pPr>
        <w:pStyle w:val="FootnoteText"/>
      </w:pPr>
      <w:r>
        <w:rPr>
          <w:rStyle w:val="FootnoteReference"/>
        </w:rPr>
        <w:footnoteRef/>
      </w:r>
      <w:r>
        <w:t xml:space="preserve"> Cross-references for "the trench": 1Kgs 18:32; 1Kgs 18:38.</w:t>
      </w:r>
    </w:p>
  </w:footnote>
  <w:footnote w:id="6853">
    <w:p>
      <w:pPr>
        <w:pStyle w:val="FootnoteText"/>
      </w:pPr>
      <w:r>
        <w:rPr>
          <w:rStyle w:val="FootnoteReference"/>
        </w:rPr>
        <w:footnoteRef/>
      </w:r>
      <w:r>
        <w:t xml:space="preserve"> Cross-references for "Lord God": Gen 26:24; Gen 31:53.</w:t>
      </w:r>
    </w:p>
  </w:footnote>
  <w:footnote w:id="6854">
    <w:p>
      <w:pPr>
        <w:pStyle w:val="FootnoteText"/>
      </w:pPr>
      <w:r>
        <w:rPr>
          <w:rStyle w:val="FootnoteReference"/>
        </w:rPr>
        <w:footnoteRef/>
      </w:r>
      <w:r>
        <w:t xml:space="preserve"> Translation note: Greek adds today by fire and because of you I have done these works.</w:t>
      </w:r>
    </w:p>
  </w:footnote>
  <w:footnote w:id="6855">
    <w:p>
      <w:pPr>
        <w:pStyle w:val="FootnoteText"/>
      </w:pPr>
      <w:r>
        <w:rPr>
          <w:rStyle w:val="FootnoteReference"/>
        </w:rPr>
        <w:footnoteRef/>
      </w:r>
      <w:r>
        <w:t xml:space="preserve"> Cross-references for "fire": Lev 10:2; 1Kgs 18:24.</w:t>
      </w:r>
    </w:p>
  </w:footnote>
  <w:footnote w:id="6856">
    <w:p>
      <w:pPr>
        <w:pStyle w:val="FootnoteText"/>
      </w:pPr>
      <w:r>
        <w:rPr>
          <w:rStyle w:val="FootnoteReference"/>
        </w:rPr>
        <w:footnoteRef/>
      </w:r>
      <w:r>
        <w:t xml:space="preserve"> Cross-references for "the Lord": 1Kgs 18:21; 1Kgs 18:24.</w:t>
      </w:r>
    </w:p>
  </w:footnote>
  <w:footnote w:id="6857">
    <w:p>
      <w:pPr>
        <w:pStyle w:val="FootnoteText"/>
      </w:pPr>
      <w:r>
        <w:rPr>
          <w:rStyle w:val="FootnoteReference"/>
        </w:rPr>
        <w:footnoteRef/>
      </w:r>
      <w:r>
        <w:t xml:space="preserve"> Cross-references for "Kishon": Judg 5:21.</w:t>
      </w:r>
    </w:p>
  </w:footnote>
  <w:footnote w:id="6858">
    <w:p>
      <w:pPr>
        <w:pStyle w:val="FootnoteText"/>
      </w:pPr>
      <w:r>
        <w:rPr>
          <w:rStyle w:val="FootnoteReference"/>
        </w:rPr>
        <w:footnoteRef/>
      </w:r>
      <w:r>
        <w:t xml:space="preserve"> Cross-references for "a sound": 1Kgs 17:1; 1Kgs 18:1.</w:t>
      </w:r>
    </w:p>
  </w:footnote>
  <w:footnote w:id="6859">
    <w:p>
      <w:pPr>
        <w:pStyle w:val="FootnoteText"/>
      </w:pPr>
      <w:r>
        <w:rPr>
          <w:rStyle w:val="FootnoteReference"/>
        </w:rPr>
        <w:footnoteRef/>
      </w:r>
      <w:r>
        <w:t xml:space="preserve"> Cross-references for "Elijah": 1Kgs 18:19; Matt 14:23.</w:t>
      </w:r>
    </w:p>
  </w:footnote>
  <w:footnote w:id="6860">
    <w:p>
      <w:pPr>
        <w:pStyle w:val="FootnoteText"/>
      </w:pPr>
      <w:r>
        <w:rPr>
          <w:rStyle w:val="FootnoteReference"/>
        </w:rPr>
        <w:footnoteRef/>
      </w:r>
      <w:r>
        <w:t xml:space="preserve"> Cross-references for "Go up": Ps 5:3; Luke 18:1.</w:t>
      </w:r>
    </w:p>
  </w:footnote>
  <w:footnote w:id="6861">
    <w:p>
      <w:pPr>
        <w:pStyle w:val="FootnoteText"/>
      </w:pPr>
      <w:r>
        <w:rPr>
          <w:rStyle w:val="FootnoteReference"/>
        </w:rPr>
        <w:footnoteRef/>
      </w:r>
      <w:r>
        <w:t xml:space="preserve"> Cross-references for "a little cloud": Job 8:7; Zech 4:10.</w:t>
      </w:r>
    </w:p>
  </w:footnote>
  <w:footnote w:id="6862">
    <w:p>
      <w:pPr>
        <w:pStyle w:val="FootnoteText"/>
      </w:pPr>
      <w:r>
        <w:rPr>
          <w:rStyle w:val="FootnoteReference"/>
        </w:rPr>
        <w:footnoteRef/>
      </w:r>
      <w:r>
        <w:t xml:space="preserve"> Translation note: Greek says little cloud like a man's footprint.</w:t>
      </w:r>
    </w:p>
  </w:footnote>
  <w:footnote w:id="6863">
    <w:p>
      <w:pPr>
        <w:pStyle w:val="FootnoteText"/>
      </w:pPr>
      <w:r>
        <w:rPr>
          <w:rStyle w:val="FootnoteReference"/>
        </w:rPr>
        <w:footnoteRef/>
      </w:r>
      <w:r>
        <w:t xml:space="preserve"> Cross-references for "Ahab": Josh 19:18; 2Sam 2:9.</w:t>
      </w:r>
    </w:p>
  </w:footnote>
  <w:footnote w:id="6864">
    <w:p>
      <w:pPr>
        <w:pStyle w:val="FootnoteText"/>
      </w:pPr>
      <w:r>
        <w:rPr>
          <w:rStyle w:val="FootnoteReference"/>
        </w:rPr>
        <w:footnoteRef/>
      </w:r>
      <w:r>
        <w:t xml:space="preserve"> Cross-references for "the hand": 2Kgs 3:15; Isa 8:11.</w:t>
      </w:r>
    </w:p>
  </w:footnote>
  <w:footnote w:id="6865">
    <w:p>
      <w:pPr>
        <w:pStyle w:val="FootnoteText"/>
      </w:pPr>
      <w:r>
        <w:rPr>
          <w:rStyle w:val="FootnoteReference"/>
        </w:rPr>
        <w:footnoteRef/>
      </w:r>
      <w:r>
        <w:t xml:space="preserve"> Cross-references for "Ahab": 1Kgs 16:31; 1Kgs 21:5-7.</w:t>
      </w:r>
    </w:p>
  </w:footnote>
  <w:footnote w:id="6866">
    <w:p>
      <w:pPr>
        <w:pStyle w:val="FootnoteText"/>
      </w:pPr>
      <w:r>
        <w:rPr>
          <w:rStyle w:val="FootnoteReference"/>
        </w:rPr>
        <w:footnoteRef/>
      </w:r>
      <w:r>
        <w:t xml:space="preserve"> Cross-references for "Beersheba": Gen 21:31; 1Kgs 4:25.</w:t>
      </w:r>
    </w:p>
  </w:footnote>
  <w:footnote w:id="6867">
    <w:p>
      <w:pPr>
        <w:pStyle w:val="FootnoteText"/>
      </w:pPr>
      <w:r>
        <w:rPr>
          <w:rStyle w:val="FootnoteReference"/>
        </w:rPr>
        <w:footnoteRef/>
      </w:r>
      <w:r>
        <w:t xml:space="preserve"> Translation note: Greek says he asked for his life to die.</w:t>
      </w:r>
    </w:p>
  </w:footnote>
  <w:footnote w:id="6868">
    <w:p>
      <w:pPr>
        <w:pStyle w:val="FootnoteText"/>
      </w:pPr>
      <w:r>
        <w:rPr>
          <w:rStyle w:val="FootnoteReference"/>
        </w:rPr>
        <w:footnoteRef/>
      </w:r>
      <w:r>
        <w:t xml:space="preserve"> Cross-references for "better": Amos 6:2; Nah 3:8.</w:t>
      </w:r>
    </w:p>
  </w:footnote>
  <w:footnote w:id="6869">
    <w:p>
      <w:pPr>
        <w:pStyle w:val="FootnoteText"/>
      </w:pPr>
      <w:r>
        <w:rPr>
          <w:rStyle w:val="FootnoteReference"/>
        </w:rPr>
        <w:footnoteRef/>
      </w:r>
      <w:r>
        <w:t xml:space="preserve"> Cross-references for "cake": 1Kgs 17:6; 1Kgs 17:9-15.</w:t>
      </w:r>
    </w:p>
  </w:footnote>
  <w:footnote w:id="6870">
    <w:p>
      <w:pPr>
        <w:pStyle w:val="FootnoteText"/>
      </w:pPr>
      <w:r>
        <w:rPr>
          <w:rStyle w:val="FootnoteReference"/>
        </w:rPr>
        <w:footnoteRef/>
      </w:r>
      <w:r>
        <w:t xml:space="preserve"> Cross-references for "the angel": 1Kgs 19:5.</w:t>
      </w:r>
    </w:p>
  </w:footnote>
  <w:footnote w:id="6871">
    <w:p>
      <w:pPr>
        <w:pStyle w:val="FootnoteText"/>
      </w:pPr>
      <w:r>
        <w:rPr>
          <w:rStyle w:val="FootnoteReference"/>
        </w:rPr>
        <w:footnoteRef/>
      </w:r>
      <w:r>
        <w:t xml:space="preserve"> Cross-references for "in the strength": Dan 1:15; 2Cor 12:9.</w:t>
      </w:r>
    </w:p>
  </w:footnote>
  <w:footnote w:id="6872">
    <w:p>
      <w:pPr>
        <w:pStyle w:val="FootnoteText"/>
      </w:pPr>
      <w:r>
        <w:rPr>
          <w:rStyle w:val="FootnoteReference"/>
        </w:rPr>
        <w:footnoteRef/>
      </w:r>
      <w:r>
        <w:t xml:space="preserve"> Translation note: Greek says the Lord Almighty and utterly alone.</w:t>
      </w:r>
    </w:p>
  </w:footnote>
  <w:footnote w:id="6873">
    <w:p>
      <w:pPr>
        <w:pStyle w:val="FootnoteText"/>
      </w:pPr>
      <w:r>
        <w:rPr>
          <w:rStyle w:val="FootnoteReference"/>
        </w:rPr>
        <w:footnoteRef/>
      </w:r>
      <w:r>
        <w:t xml:space="preserve"> Cross-references for "they seek my life": 1Kgs 18:10; 1Kgs 18:17.</w:t>
      </w:r>
    </w:p>
  </w:footnote>
  <w:footnote w:id="6874">
    <w:p>
      <w:pPr>
        <w:pStyle w:val="FootnoteText"/>
      </w:pPr>
      <w:r>
        <w:rPr>
          <w:rStyle w:val="FootnoteReference"/>
        </w:rPr>
        <w:footnoteRef/>
      </w:r>
      <w:r>
        <w:t xml:space="preserve"> Cross-references for "and a great": Exod 19:16; Exod 20:18.</w:t>
      </w:r>
    </w:p>
  </w:footnote>
  <w:footnote w:id="6875">
    <w:p>
      <w:pPr>
        <w:pStyle w:val="FootnoteText"/>
      </w:pPr>
      <w:r>
        <w:rPr>
          <w:rStyle w:val="FootnoteReference"/>
        </w:rPr>
        <w:footnoteRef/>
      </w:r>
      <w:r>
        <w:t xml:space="preserve"> Cross-references for "I have been": 1Kgs 19:9-10; Isa 62:1.</w:t>
      </w:r>
    </w:p>
  </w:footnote>
  <w:footnote w:id="6876">
    <w:p>
      <w:pPr>
        <w:pStyle w:val="FootnoteText"/>
      </w:pPr>
      <w:r>
        <w:rPr>
          <w:rStyle w:val="FootnoteReference"/>
        </w:rPr>
        <w:footnoteRef/>
      </w:r>
      <w:r>
        <w:t xml:space="preserve"> Translation note: Greek intensifies with utterly alone.</w:t>
      </w:r>
    </w:p>
  </w:footnote>
  <w:footnote w:id="6877">
    <w:p>
      <w:pPr>
        <w:pStyle w:val="FootnoteText"/>
      </w:pPr>
      <w:r>
        <w:rPr>
          <w:rStyle w:val="FootnoteReference"/>
        </w:rPr>
        <w:footnoteRef/>
      </w:r>
      <w:r>
        <w:t xml:space="preserve"> Cross-references for "anoint": Isa 45:1; Jer 1:10.</w:t>
      </w:r>
    </w:p>
  </w:footnote>
  <w:footnote w:id="6878">
    <w:p>
      <w:pPr>
        <w:pStyle w:val="FootnoteText"/>
      </w:pPr>
      <w:r>
        <w:rPr>
          <w:rStyle w:val="FootnoteReference"/>
        </w:rPr>
        <w:footnoteRef/>
      </w:r>
      <w:r>
        <w:t xml:space="preserve"> Personal name: Hazael. Personal-name meaning: Hazael — that sees God. Source form: Hazael.</w:t>
      </w:r>
    </w:p>
  </w:footnote>
  <w:footnote w:id="6879">
    <w:p>
      <w:pPr>
        <w:pStyle w:val="FootnoteText"/>
      </w:pPr>
      <w:r>
        <w:rPr>
          <w:rStyle w:val="FootnoteReference"/>
        </w:rPr>
        <w:footnoteRef/>
      </w:r>
      <w:r>
        <w:t xml:space="preserve"> Cross-references for "Jehu": 2Kgs 9:1-3; 2Kgs 9:6-14.</w:t>
      </w:r>
    </w:p>
  </w:footnote>
  <w:footnote w:id="6880">
    <w:p>
      <w:pPr>
        <w:pStyle w:val="FootnoteText"/>
      </w:pPr>
      <w:r>
        <w:rPr>
          <w:rStyle w:val="FootnoteReference"/>
        </w:rPr>
        <w:footnoteRef/>
      </w:r>
      <w:r>
        <w:t xml:space="preserve"> Personal name: Nimshi. Personal-name meaning: Nimshi — rescued from danger. Source form: Nimshi.</w:t>
      </w:r>
    </w:p>
  </w:footnote>
  <w:footnote w:id="6881">
    <w:p>
      <w:pPr>
        <w:pStyle w:val="FootnoteText"/>
      </w:pPr>
      <w:r>
        <w:rPr>
          <w:rStyle w:val="FootnoteReference"/>
        </w:rPr>
        <w:footnoteRef/>
      </w:r>
      <w:r>
        <w:t xml:space="preserve"> Name meaning: Elisha (Elisha) — My God is salvation. Continued Elijah’s work; brought salvation and healing.</w:t>
      </w:r>
    </w:p>
  </w:footnote>
  <w:footnote w:id="6882">
    <w:p>
      <w:pPr>
        <w:pStyle w:val="FootnoteText"/>
      </w:pPr>
      <w:r>
        <w:rPr>
          <w:rStyle w:val="FootnoteReference"/>
        </w:rPr>
        <w:footnoteRef/>
      </w:r>
      <w:r>
        <w:t xml:space="preserve"> Cross-references for "the sword of Hazael": 2Kgs 8:12; 2Kgs 10:32.</w:t>
      </w:r>
    </w:p>
  </w:footnote>
  <w:footnote w:id="6883">
    <w:p>
      <w:pPr>
        <w:pStyle w:val="FootnoteText"/>
      </w:pPr>
      <w:r>
        <w:rPr>
          <w:rStyle w:val="FootnoteReference"/>
        </w:rPr>
        <w:footnoteRef/>
      </w:r>
      <w:r>
        <w:t xml:space="preserve"> Cross-references for "every mouth": Job 31:27; Ps 2:12.</w:t>
      </w:r>
    </w:p>
  </w:footnote>
  <w:footnote w:id="6884">
    <w:p>
      <w:pPr>
        <w:pStyle w:val="FootnoteText"/>
      </w:pPr>
      <w:r>
        <w:rPr>
          <w:rStyle w:val="FootnoteReference"/>
        </w:rPr>
        <w:footnoteRef/>
      </w:r>
      <w:r>
        <w:t xml:space="preserve"> Cross-references for "Elisha": 1Kgs 19:16.</w:t>
      </w:r>
    </w:p>
  </w:footnote>
  <w:footnote w:id="6885">
    <w:p>
      <w:pPr>
        <w:pStyle w:val="FootnoteText"/>
      </w:pPr>
      <w:r>
        <w:rPr>
          <w:rStyle w:val="FootnoteReference"/>
        </w:rPr>
        <w:footnoteRef/>
      </w:r>
      <w:r>
        <w:t xml:space="preserve"> Cross-references for "ministered": Exod 24:13; Num 27:18-20.</w:t>
      </w:r>
    </w:p>
  </w:footnote>
  <w:footnote w:id="6886">
    <w:p>
      <w:pPr>
        <w:pStyle w:val="FootnoteText"/>
      </w:pPr>
      <w:r>
        <w:rPr>
          <w:rStyle w:val="FootnoteReference"/>
        </w:rPr>
        <w:footnoteRef/>
      </w:r>
      <w:r>
        <w:t xml:space="preserve"> Translation note: Greek says beside threshing floor here. Current line keeps that detail.</w:t>
      </w:r>
    </w:p>
  </w:footnote>
  <w:footnote w:id="6887">
    <w:p>
      <w:pPr>
        <w:pStyle w:val="FootnoteText"/>
      </w:pPr>
      <w:r>
        <w:rPr>
          <w:rStyle w:val="FootnoteReference"/>
        </w:rPr>
        <w:footnoteRef/>
      </w:r>
      <w:r>
        <w:t xml:space="preserve"> Translation note: Greek says garden of vegetables here. Current line keeps that wording.</w:t>
      </w:r>
    </w:p>
  </w:footnote>
  <w:footnote w:id="6888">
    <w:p>
      <w:pPr>
        <w:pStyle w:val="FootnoteText"/>
      </w:pPr>
      <w:r>
        <w:rPr>
          <w:rStyle w:val="FootnoteReference"/>
        </w:rPr>
        <w:footnoteRef/>
      </w:r>
      <w:r>
        <w:t xml:space="preserve"> MT/LXX note: The Septuagint verse here belongs to the Naboth vineyard scene rather than the Masoretic Syrian demand line. The translation follows the Greek content.</w:t>
      </w:r>
    </w:p>
  </w:footnote>
  <w:footnote w:id="6889">
    <w:p>
      <w:pPr>
        <w:pStyle w:val="FootnoteText"/>
      </w:pPr>
      <w:r>
        <w:rPr>
          <w:rStyle w:val="FootnoteReference"/>
        </w:rPr>
        <w:footnoteRef/>
      </w:r>
      <w:r>
        <w:t xml:space="preserve"> MT/LXX note: This LXX verse number carries the Naboth complaint line rather than the MT Ben-hadad threat line.</w:t>
      </w:r>
    </w:p>
  </w:footnote>
  <w:footnote w:id="6890">
    <w:p>
      <w:pPr>
        <w:pStyle w:val="FootnoteText"/>
      </w:pPr>
      <w:r>
        <w:rPr>
          <w:rStyle w:val="FootnoteReference"/>
        </w:rPr>
        <w:footnoteRef/>
      </w:r>
      <w:r>
        <w:t xml:space="preserve"> Translation note: Greek says become your own man here.</w:t>
      </w:r>
    </w:p>
  </w:footnote>
  <w:footnote w:id="6891">
    <w:p>
      <w:pPr>
        <w:pStyle w:val="FootnoteText"/>
      </w:pPr>
      <w:r>
        <w:rPr>
          <w:rStyle w:val="FootnoteReference"/>
        </w:rPr>
        <w:footnoteRef/>
      </w:r>
      <w:r>
        <w:t xml:space="preserve"> Translation note: Greek verse numbering here carries Naboth letters line.</w:t>
      </w:r>
    </w:p>
  </w:footnote>
  <w:footnote w:id="6892">
    <w:p>
      <w:pPr>
        <w:pStyle w:val="FootnoteText"/>
      </w:pPr>
      <w:r>
        <w:rPr>
          <w:rStyle w:val="FootnoteReference"/>
        </w:rPr>
        <w:footnoteRef/>
      </w:r>
      <w:r>
        <w:t xml:space="preserve"> Translation note: Greek verse numbering here carries Naboth witness setup.</w:t>
      </w:r>
    </w:p>
  </w:footnote>
  <w:footnote w:id="6893">
    <w:p>
      <w:pPr>
        <w:pStyle w:val="FootnoteText"/>
      </w:pPr>
      <w:r>
        <w:rPr>
          <w:rStyle w:val="FootnoteReference"/>
        </w:rPr>
        <w:footnoteRef/>
      </w:r>
      <w:r>
        <w:t xml:space="preserve"> MT/LXX note: This LXX verse number carries the Naboth fast line rather than the MT Ben-hadad war line.</w:t>
      </w:r>
    </w:p>
  </w:footnote>
  <w:footnote w:id="6894">
    <w:p>
      <w:pPr>
        <w:pStyle w:val="FootnoteText"/>
      </w:pPr>
      <w:r>
        <w:rPr>
          <w:rStyle w:val="FootnoteReference"/>
        </w:rPr>
        <w:footnoteRef/>
      </w:r>
      <w:r>
        <w:t xml:space="preserve"> Translation note: Greek verse numbering here carries Naboth accusation scene.</w:t>
      </w:r>
    </w:p>
  </w:footnote>
  <w:footnote w:id="6895">
    <w:p>
      <w:pPr>
        <w:pStyle w:val="FootnoteText"/>
      </w:pPr>
      <w:r>
        <w:rPr>
          <w:rStyle w:val="FootnoteReference"/>
        </w:rPr>
        <w:footnoteRef/>
      </w:r>
      <w:r>
        <w:t xml:space="preserve"> Translation note: Greek says stoned and dead here. Current line keeps that wording.</w:t>
      </w:r>
    </w:p>
  </w:footnote>
  <w:footnote w:id="6896">
    <w:p>
      <w:pPr>
        <w:pStyle w:val="FootnoteText"/>
      </w:pPr>
      <w:r>
        <w:rPr>
          <w:rStyle w:val="FootnoteReference"/>
        </w:rPr>
        <w:footnoteRef/>
      </w:r>
      <w:r>
        <w:t xml:space="preserve"> MT/LXX note: The Septuagint assigns Jezebel's vineyard speech to this verse number rather than the Masoretic battle-count verse. The translation follows the Greek content.</w:t>
      </w:r>
    </w:p>
  </w:footnote>
  <w:footnote w:id="6897">
    <w:p>
      <w:pPr>
        <w:pStyle w:val="FootnoteText"/>
      </w:pPr>
      <w:r>
        <w:rPr>
          <w:rStyle w:val="FootnoteReference"/>
        </w:rPr>
        <w:footnoteRef/>
      </w:r>
      <w:r>
        <w:t xml:space="preserve"> MT/LXX note: The Septuagint assigns an Elijah line to this verse number rather than the Masoretic battle movement verse. The translation follows the Greek content.</w:t>
      </w:r>
    </w:p>
  </w:footnote>
  <w:footnote w:id="6898">
    <w:p>
      <w:pPr>
        <w:pStyle w:val="FootnoteText"/>
      </w:pPr>
      <w:r>
        <w:rPr>
          <w:rStyle w:val="FootnoteReference"/>
        </w:rPr>
        <w:footnoteRef/>
      </w:r>
      <w:r>
        <w:t xml:space="preserve"> MT/LXX note: The Septuagint assigns Naboth's vineyard material to this verse number rather than the Masoretic battle order. The translation follows the Greek content.</w:t>
      </w:r>
    </w:p>
  </w:footnote>
  <w:footnote w:id="6899">
    <w:p>
      <w:pPr>
        <w:pStyle w:val="FootnoteText"/>
      </w:pPr>
      <w:r>
        <w:rPr>
          <w:rStyle w:val="FootnoteReference"/>
        </w:rPr>
        <w:footnoteRef/>
      </w:r>
      <w:r>
        <w:t xml:space="preserve"> MT/LXX note: The Septuagint assigns part of Naboth's judgment oracle to this verse number rather than the Masoretic battle movement line. The translation follows the Greek content.</w:t>
      </w:r>
    </w:p>
  </w:footnote>
  <w:footnote w:id="6900">
    <w:p>
      <w:pPr>
        <w:pStyle w:val="FootnoteText"/>
      </w:pPr>
      <w:r>
        <w:rPr>
          <w:rStyle w:val="FootnoteReference"/>
        </w:rPr>
        <w:footnoteRef/>
      </w:r>
      <w:r>
        <w:t xml:space="preserve"> Translation note: Greek keeps plural evils here.</w:t>
      </w:r>
    </w:p>
  </w:footnote>
  <w:footnote w:id="6901">
    <w:p>
      <w:pPr>
        <w:pStyle w:val="FootnoteText"/>
      </w:pPr>
      <w:r>
        <w:rPr>
          <w:rStyle w:val="FootnoteReference"/>
        </w:rPr>
        <w:footnoteRef/>
      </w:r>
      <w:r>
        <w:t xml:space="preserve"> MT/LXX note: The Septuagint verse here carries a judgment sentence on Ahab's house rather than the Masoretic prophetic military warning. The translation follows the Greek content.</w:t>
      </w:r>
    </w:p>
  </w:footnote>
  <w:footnote w:id="6902">
    <w:p>
      <w:pPr>
        <w:pStyle w:val="FootnoteText"/>
      </w:pPr>
      <w:r>
        <w:rPr>
          <w:rStyle w:val="FootnoteReference"/>
        </w:rPr>
        <w:footnoteRef/>
      </w:r>
      <w:r>
        <w:t xml:space="preserve"> MT/LXX note: LXX here gives the Jezebel judgment line instead of the MT demand speech.</w:t>
      </w:r>
    </w:p>
  </w:footnote>
  <w:footnote w:id="6903">
    <w:p>
      <w:pPr>
        <w:pStyle w:val="FootnoteText"/>
      </w:pPr>
      <w:r>
        <w:rPr>
          <w:rStyle w:val="FootnoteReference"/>
        </w:rPr>
        <w:footnoteRef/>
      </w:r>
      <w:r>
        <w:t xml:space="preserve"> MT/LXX note: LXX here gives the verdict on Ahab instead of the MT war counsel.</w:t>
      </w:r>
    </w:p>
  </w:footnote>
  <w:footnote w:id="6904">
    <w:p>
      <w:pPr>
        <w:pStyle w:val="FootnoteText"/>
      </w:pPr>
      <w:r>
        <w:rPr>
          <w:rStyle w:val="FootnoteReference"/>
        </w:rPr>
        <w:footnoteRef/>
      </w:r>
      <w:r>
        <w:t xml:space="preserve"> Translation note: Greek names Elijah here.</w:t>
      </w:r>
    </w:p>
  </w:footnote>
  <w:footnote w:id="6905">
    <w:p>
      <w:pPr>
        <w:pStyle w:val="FootnoteText"/>
      </w:pPr>
      <w:r>
        <w:rPr>
          <w:rStyle w:val="FootnoteReference"/>
        </w:rPr>
        <w:footnoteRef/>
      </w:r>
      <w:r>
        <w:t xml:space="preserve"> MT/LXX note: The Septuagint assigns an Ahab-judgment line to this verse number rather than the Masoretic battle summary. The translation follows the Greek content and uses cut to the heart for the emotional-piercing verb.</w:t>
      </w:r>
    </w:p>
  </w:footnote>
  <w:footnote w:id="6906">
    <w:p>
      <w:pPr>
        <w:pStyle w:val="FootnoteText"/>
      </w:pPr>
      <w:r>
        <w:rPr>
          <w:rStyle w:val="FootnoteReference"/>
        </w:rPr>
        <w:footnoteRef/>
      </w:r>
      <w:r>
        <w:t xml:space="preserve"> MT/LXX note: Greek proper name differs from MT here.</w:t>
      </w:r>
    </w:p>
  </w:footnote>
  <w:footnote w:id="6907">
    <w:p>
      <w:pPr>
        <w:pStyle w:val="FootnoteText"/>
      </w:pPr>
      <w:r>
        <w:rPr>
          <w:rStyle w:val="FootnoteReference"/>
        </w:rPr>
        <w:footnoteRef/>
      </w:r>
      <w:r>
        <w:t xml:space="preserve"> Translation note: Greek verse numbering here gives only sending line.</w:t>
      </w:r>
    </w:p>
  </w:footnote>
  <w:footnote w:id="6908">
    <w:p>
      <w:pPr>
        <w:pStyle w:val="FootnoteText"/>
      </w:pPr>
      <w:r>
        <w:rPr>
          <w:rStyle w:val="FootnoteReference"/>
        </w:rPr>
        <w:footnoteRef/>
      </w:r>
      <w:r>
        <w:t xml:space="preserve"> MT/LXX note: The Septuagint assigns another Ben-hadad demand line to this verse number rather than the Masoretic Naboth refusal. The translation follows the Greek content.</w:t>
      </w:r>
    </w:p>
  </w:footnote>
  <w:footnote w:id="6909">
    <w:p>
      <w:pPr>
        <w:pStyle w:val="FootnoteText"/>
      </w:pPr>
      <w:r>
        <w:rPr>
          <w:rStyle w:val="FootnoteReference"/>
        </w:rPr>
        <w:footnoteRef/>
      </w:r>
      <w:r>
        <w:t xml:space="preserve"> MT/LXX note: LXX here gives a submission reply instead of the MT Naboth scene.</w:t>
      </w:r>
    </w:p>
  </w:footnote>
  <w:footnote w:id="6910">
    <w:p>
      <w:pPr>
        <w:pStyle w:val="FootnoteText"/>
      </w:pPr>
      <w:r>
        <w:rPr>
          <w:rStyle w:val="FootnoteReference"/>
        </w:rPr>
        <w:footnoteRef/>
      </w:r>
      <w:r>
        <w:t xml:space="preserve"> Translation note: Greek says desires of their eyes.</w:t>
      </w:r>
    </w:p>
  </w:footnote>
  <w:footnote w:id="6911">
    <w:p>
      <w:pPr>
        <w:pStyle w:val="FootnoteText"/>
      </w:pPr>
      <w:r>
        <w:rPr>
          <w:rStyle w:val="FootnoteReference"/>
        </w:rPr>
        <w:footnoteRef/>
      </w:r>
      <w:r>
        <w:t xml:space="preserve"> Translation note: Greek says this man is seeking evil. The translation keeps the phrase direct and close.</w:t>
      </w:r>
    </w:p>
  </w:footnote>
  <w:footnote w:id="6912">
    <w:p>
      <w:pPr>
        <w:pStyle w:val="FootnoteText"/>
      </w:pPr>
      <w:r>
        <w:rPr>
          <w:rStyle w:val="FootnoteReference"/>
        </w:rPr>
        <w:footnoteRef/>
      </w:r>
      <w:r>
        <w:t xml:space="preserve"> Cross-references for "the elders": Num 11:16; Deut 16:18-19.</w:t>
      </w:r>
    </w:p>
  </w:footnote>
  <w:footnote w:id="6913">
    <w:p>
      <w:pPr>
        <w:pStyle w:val="FootnoteText"/>
      </w:pPr>
      <w:r>
        <w:rPr>
          <w:rStyle w:val="FootnoteReference"/>
        </w:rPr>
        <w:footnoteRef/>
      </w:r>
      <w:r>
        <w:t xml:space="preserve"> MT/LXX note: The Septuagint assigns a Ben-hadad messenger line to this verse number rather than the Masoretic Jezebel letter verse. The translation follows the Greek content.</w:t>
      </w:r>
    </w:p>
  </w:footnote>
  <w:footnote w:id="6914">
    <w:p>
      <w:pPr>
        <w:pStyle w:val="FootnoteText"/>
      </w:pPr>
      <w:r>
        <w:rPr>
          <w:rStyle w:val="FootnoteReference"/>
        </w:rPr>
        <w:footnoteRef/>
      </w:r>
      <w:r>
        <w:t xml:space="preserve"> MT/LXX note: The Septuagint places a proverb line here rather than the Masoretic Jezebel action verse. The translation follows the Greek content.</w:t>
      </w:r>
    </w:p>
  </w:footnote>
  <w:footnote w:id="6915">
    <w:p>
      <w:pPr>
        <w:pStyle w:val="FootnoteText"/>
      </w:pPr>
      <w:r>
        <w:rPr>
          <w:rStyle w:val="FootnoteReference"/>
        </w:rPr>
        <w:footnoteRef/>
      </w:r>
      <w:r>
        <w:t xml:space="preserve"> Translation note: Greek says build palisade here. Current line keeps that wording.</w:t>
      </w:r>
    </w:p>
  </w:footnote>
  <w:footnote w:id="6916">
    <w:p>
      <w:pPr>
        <w:pStyle w:val="FootnoteText"/>
      </w:pPr>
      <w:r>
        <w:rPr>
          <w:rStyle w:val="FootnoteReference"/>
        </w:rPr>
        <w:footnoteRef/>
      </w:r>
      <w:r>
        <w:t xml:space="preserve"> Translation note: Current source row carries the great-crowd oracle line at this reference.</w:t>
      </w:r>
    </w:p>
  </w:footnote>
  <w:footnote w:id="6917">
    <w:p>
      <w:pPr>
        <w:pStyle w:val="FootnoteText"/>
      </w:pPr>
      <w:r>
        <w:rPr>
          <w:rStyle w:val="FootnoteReference"/>
        </w:rPr>
        <w:footnoteRef/>
      </w:r>
      <w:r>
        <w:t xml:space="preserve"> Translation note: Greek wording here is compact and concrete. Current line keeps it close.</w:t>
      </w:r>
    </w:p>
  </w:footnote>
  <w:footnote w:id="6918">
    <w:p>
      <w:pPr>
        <w:pStyle w:val="FootnoteText"/>
      </w:pPr>
      <w:r>
        <w:rPr>
          <w:rStyle w:val="FootnoteReference"/>
        </w:rPr>
        <w:footnoteRef/>
      </w:r>
      <w:r>
        <w:t xml:space="preserve"> Translation note: Greek says every son of strength.</w:t>
      </w:r>
    </w:p>
  </w:footnote>
  <w:footnote w:id="6919">
    <w:p>
      <w:pPr>
        <w:pStyle w:val="FootnoteText"/>
      </w:pPr>
      <w:r>
        <w:rPr>
          <w:rStyle w:val="FootnoteReference"/>
        </w:rPr>
        <w:footnoteRef/>
      </w:r>
      <w:r>
        <w:t xml:space="preserve"> MT/LXX note: Greek differs sharply here from the Naboth-MT context. Current line keeps the Greek battle scene.</w:t>
      </w:r>
    </w:p>
  </w:footnote>
  <w:footnote w:id="6920">
    <w:p>
      <w:pPr>
        <w:pStyle w:val="FootnoteText"/>
      </w:pPr>
      <w:r>
        <w:rPr>
          <w:rStyle w:val="FootnoteReference"/>
        </w:rPr>
        <w:footnoteRef/>
      </w:r>
      <w:r>
        <w:t xml:space="preserve"> MT/LXX note: LXX here gives the city sortie line instead of the MT Naboth judgment speech.</w:t>
      </w:r>
    </w:p>
  </w:footnote>
  <w:footnote w:id="6921">
    <w:p>
      <w:pPr>
        <w:pStyle w:val="FootnoteText"/>
      </w:pPr>
      <w:r>
        <w:rPr>
          <w:rStyle w:val="FootnoteReference"/>
        </w:rPr>
        <w:footnoteRef/>
      </w:r>
      <w:r>
        <w:t xml:space="preserve"> MT/LXX note: The Septuagint assigns a battle line to this verse number rather than the Masoretic Elijah exchange. The translation follows the Greek content.</w:t>
      </w:r>
    </w:p>
  </w:footnote>
  <w:footnote w:id="6922">
    <w:p>
      <w:pPr>
        <w:pStyle w:val="FootnoteText"/>
      </w:pPr>
      <w:r>
        <w:rPr>
          <w:rStyle w:val="FootnoteReference"/>
        </w:rPr>
        <w:footnoteRef/>
      </w:r>
      <w:r>
        <w:t xml:space="preserve"> MT/LXX note: Greek judgment formula here differs from MT phrasing.</w:t>
      </w:r>
    </w:p>
  </w:footnote>
  <w:footnote w:id="6923">
    <w:p>
      <w:pPr>
        <w:pStyle w:val="FootnoteText"/>
      </w:pPr>
      <w:r>
        <w:rPr>
          <w:rStyle w:val="FootnoteReference"/>
        </w:rPr>
        <w:footnoteRef/>
      </w:r>
      <w:r>
        <w:t xml:space="preserve"> MT/LXX note: The Septuagint verse here continues the military warning about Syria rather than the Masoretic judgment oracle on Ahab's house. The translation follows the Greek content.</w:t>
      </w:r>
    </w:p>
  </w:footnote>
  <w:footnote w:id="6924">
    <w:p>
      <w:pPr>
        <w:pStyle w:val="FootnoteText"/>
      </w:pPr>
      <w:r>
        <w:rPr>
          <w:rStyle w:val="FootnoteReference"/>
        </w:rPr>
        <w:footnoteRef/>
      </w:r>
      <w:r>
        <w:t xml:space="preserve"> Translation note: Greek says god of valleys here. Current line keeps that wording.</w:t>
      </w:r>
    </w:p>
  </w:footnote>
  <w:footnote w:id="6925">
    <w:p>
      <w:pPr>
        <w:pStyle w:val="FootnoteText"/>
      </w:pPr>
      <w:r>
        <w:rPr>
          <w:rStyle w:val="FootnoteReference"/>
        </w:rPr>
        <w:footnoteRef/>
      </w:r>
      <w:r>
        <w:t xml:space="preserve"> Translation note: Greek repeats force-for-force and horse-for-horse here. Current line keeps that wording.</w:t>
      </w:r>
    </w:p>
  </w:footnote>
  <w:footnote w:id="6926">
    <w:p>
      <w:pPr>
        <w:pStyle w:val="FootnoteText"/>
      </w:pPr>
      <w:r>
        <w:rPr>
          <w:rStyle w:val="FootnoteReference"/>
        </w:rPr>
        <w:footnoteRef/>
      </w:r>
      <w:r>
        <w:t xml:space="preserve"> MT/LXX note: The Septuagint places a war-preparation line here rather than the Masoretic idolatry verdict. The translation follows the Greek content.</w:t>
      </w:r>
    </w:p>
  </w:footnote>
  <w:footnote w:id="6927">
    <w:p>
      <w:pPr>
        <w:pStyle w:val="FootnoteText"/>
      </w:pPr>
      <w:r>
        <w:rPr>
          <w:rStyle w:val="FootnoteReference"/>
        </w:rPr>
        <w:footnoteRef/>
      </w:r>
      <w:r>
        <w:t xml:space="preserve"> Translation note: The Septuagint verse here has the man of God approaching the king rather than the Hebrew line naming Elijah. The translation follows the Greek content at this verse number.</w:t>
      </w:r>
    </w:p>
  </w:footnote>
  <w:footnote w:id="6928">
    <w:p>
      <w:pPr>
        <w:pStyle w:val="FootnoteText"/>
      </w:pPr>
      <w:r>
        <w:rPr>
          <w:rStyle w:val="FootnoteReference"/>
        </w:rPr>
        <w:footnoteRef/>
      </w:r>
      <w:r>
        <w:t xml:space="preserve"> MT/LXX note: The Septuagint verse here contains a battle report rather than the Masoretic note about Ahab humbling himself. The translation follows the Greek content at this verse number.</w:t>
      </w:r>
    </w:p>
  </w:footnote>
  <w:footnote w:id="6929">
    <w:p>
      <w:pPr>
        <w:pStyle w:val="FootnoteText"/>
      </w:pPr>
      <w:r>
        <w:rPr>
          <w:rStyle w:val="FootnoteReference"/>
        </w:rPr>
        <w:footnoteRef/>
      </w:r>
      <w:r>
        <w:t xml:space="preserve"> Cross-references for "in the third": 1Kgs 22:1; Matt 12:40.</w:t>
      </w:r>
    </w:p>
  </w:footnote>
  <w:footnote w:id="6930">
    <w:p>
      <w:pPr>
        <w:pStyle w:val="FootnoteText"/>
      </w:pPr>
      <w:r>
        <w:rPr>
          <w:rStyle w:val="FootnoteReference"/>
        </w:rPr>
        <w:footnoteRef/>
      </w:r>
      <w:r>
        <w:t xml:space="preserve"> Cross-references for "Ramoth": Deut 4:43; Josh 20:8.</w:t>
      </w:r>
    </w:p>
  </w:footnote>
  <w:footnote w:id="6931">
    <w:p>
      <w:pPr>
        <w:pStyle w:val="FootnoteText"/>
      </w:pPr>
      <w:r>
        <w:rPr>
          <w:rStyle w:val="FootnoteReference"/>
        </w:rPr>
        <w:footnoteRef/>
      </w:r>
      <w:r>
        <w:t xml:space="preserve"> Cross-references for "Go up": 1Kgs 22:15; 1Kgs 22:22-23.</w:t>
      </w:r>
    </w:p>
  </w:footnote>
  <w:footnote w:id="6932">
    <w:p>
      <w:pPr>
        <w:pStyle w:val="FootnoteText"/>
      </w:pPr>
      <w:r>
        <w:rPr>
          <w:rStyle w:val="FootnoteReference"/>
        </w:rPr>
        <w:footnoteRef/>
      </w:r>
      <w:r>
        <w:t xml:space="preserve"> Cross-references for "Is there not": 2Kgs 3:11-13; 2Chr 18:6-7.</w:t>
      </w:r>
    </w:p>
  </w:footnote>
  <w:footnote w:id="6933">
    <w:p>
      <w:pPr>
        <w:pStyle w:val="FootnoteText"/>
      </w:pPr>
      <w:r>
        <w:rPr>
          <w:rStyle w:val="FootnoteReference"/>
        </w:rPr>
        <w:footnoteRef/>
      </w:r>
      <w:r>
        <w:t xml:space="preserve"> Cross-references for "good": 1Kgs 22:13; Isa 30:10.</w:t>
      </w:r>
    </w:p>
  </w:footnote>
  <w:footnote w:id="6934">
    <w:p>
      <w:pPr>
        <w:pStyle w:val="FootnoteText"/>
      </w:pPr>
      <w:r>
        <w:rPr>
          <w:rStyle w:val="FootnoteReference"/>
        </w:rPr>
        <w:footnoteRef/>
      </w:r>
      <w:r>
        <w:t xml:space="preserve"> Personal name: Micaiah. Personal-name meaning: Micaiah — who is like to God?. Source form: Micaiah.</w:t>
      </w:r>
    </w:p>
  </w:footnote>
  <w:footnote w:id="6935">
    <w:p>
      <w:pPr>
        <w:pStyle w:val="FootnoteText"/>
      </w:pPr>
      <w:r>
        <w:rPr>
          <w:rStyle w:val="FootnoteReference"/>
        </w:rPr>
        <w:footnoteRef/>
      </w:r>
      <w:r>
        <w:t xml:space="preserve"> Personal name: Imlah. Personal-name meaning: Imlah — plentitude; circumcision. Source form: Imlah.</w:t>
      </w:r>
    </w:p>
  </w:footnote>
  <w:footnote w:id="6936">
    <w:p>
      <w:pPr>
        <w:pStyle w:val="FootnoteText"/>
      </w:pPr>
      <w:r>
        <w:rPr>
          <w:rStyle w:val="FootnoteReference"/>
        </w:rPr>
        <w:footnoteRef/>
      </w:r>
      <w:r>
        <w:t xml:space="preserve"> Translation note: Greek says ask Lord by him here. Current line keeps that wording.</w:t>
      </w:r>
    </w:p>
  </w:footnote>
  <w:footnote w:id="6937">
    <w:p>
      <w:pPr>
        <w:pStyle w:val="FootnoteText"/>
      </w:pPr>
      <w:r>
        <w:rPr>
          <w:rStyle w:val="FootnoteReference"/>
        </w:rPr>
        <w:footnoteRef/>
      </w:r>
      <w:r>
        <w:t xml:space="preserve"> Translation note: Greek says the kings were armed rather than robed. The translation follows that Septuagint reading.</w:t>
      </w:r>
    </w:p>
  </w:footnote>
  <w:footnote w:id="6938">
    <w:p>
      <w:pPr>
        <w:pStyle w:val="FootnoteText"/>
      </w:pPr>
      <w:r>
        <w:rPr>
          <w:rStyle w:val="FootnoteReference"/>
        </w:rPr>
        <w:footnoteRef/>
      </w:r>
      <w:r>
        <w:t xml:space="preserve"> Cross-references for "all the prophets": 1Kgs 18:29; 2Chr 18:9-11.</w:t>
      </w:r>
    </w:p>
  </w:footnote>
  <w:footnote w:id="6939">
    <w:p>
      <w:pPr>
        <w:pStyle w:val="FootnoteText"/>
      </w:pPr>
      <w:r>
        <w:rPr>
          <w:rStyle w:val="FootnoteReference"/>
        </w:rPr>
        <w:footnoteRef/>
      </w:r>
      <w:r>
        <w:t xml:space="preserve"> Personal name: Chenaanah. Personal-name meaning: Chenaanah — broken in pieces. Source form: Chenaanah.</w:t>
      </w:r>
    </w:p>
  </w:footnote>
  <w:footnote w:id="6940">
    <w:p>
      <w:pPr>
        <w:pStyle w:val="FootnoteText"/>
      </w:pPr>
      <w:r>
        <w:rPr>
          <w:rStyle w:val="FootnoteReference"/>
        </w:rPr>
        <w:footnoteRef/>
      </w:r>
      <w:r>
        <w:t xml:space="preserve"> Cross-references for "Go up": 1Kgs 22:6-15; 1Kgs 22:32-36.</w:t>
      </w:r>
    </w:p>
  </w:footnote>
  <w:footnote w:id="6941">
    <w:p>
      <w:pPr>
        <w:pStyle w:val="FootnoteText"/>
      </w:pPr>
      <w:r>
        <w:rPr>
          <w:rStyle w:val="FootnoteReference"/>
        </w:rPr>
        <w:footnoteRef/>
      </w:r>
      <w:r>
        <w:t xml:space="preserve"> Cross-references for "Behold now": Ps 10:11; Ps 11:1.</w:t>
      </w:r>
    </w:p>
  </w:footnote>
  <w:footnote w:id="6942">
    <w:p>
      <w:pPr>
        <w:pStyle w:val="FootnoteText"/>
      </w:pPr>
      <w:r>
        <w:rPr>
          <w:rStyle w:val="FootnoteReference"/>
        </w:rPr>
        <w:footnoteRef/>
      </w:r>
      <w:r>
        <w:t xml:space="preserve"> Translation note: Greek uses the vivid idiom with one mouth. The translation keeps that image instead of smoothing it away.</w:t>
      </w:r>
    </w:p>
  </w:footnote>
  <w:footnote w:id="6943">
    <w:p>
      <w:pPr>
        <w:pStyle w:val="FootnoteText"/>
      </w:pPr>
      <w:r>
        <w:rPr>
          <w:rStyle w:val="FootnoteReference"/>
        </w:rPr>
        <w:footnoteRef/>
      </w:r>
      <w:r>
        <w:t xml:space="preserve"> Translation note: Greek leaves the object unstated in this clause. The translation keeps that compact form rather than supplying it from context.</w:t>
      </w:r>
    </w:p>
  </w:footnote>
  <w:footnote w:id="6944">
    <w:p>
      <w:pPr>
        <w:pStyle w:val="FootnoteText"/>
      </w:pPr>
      <w:r>
        <w:rPr>
          <w:rStyle w:val="FootnoteReference"/>
        </w:rPr>
        <w:footnoteRef/>
      </w:r>
      <w:r>
        <w:t xml:space="preserve"> Cross-references for "I saw": 1Sam 9:9; Jer 1:11-16.</w:t>
      </w:r>
    </w:p>
  </w:footnote>
  <w:footnote w:id="6945">
    <w:p>
      <w:pPr>
        <w:pStyle w:val="FootnoteText"/>
      </w:pPr>
      <w:r>
        <w:rPr>
          <w:rStyle w:val="FootnoteReference"/>
        </w:rPr>
        <w:footnoteRef/>
      </w:r>
      <w:r>
        <w:t xml:space="preserve"> Cross-references for "Did I not tell": 1Kgs 22:8; Prov 10:24.</w:t>
      </w:r>
    </w:p>
  </w:footnote>
  <w:footnote w:id="6946">
    <w:p>
      <w:pPr>
        <w:pStyle w:val="FootnoteText"/>
      </w:pPr>
      <w:r>
        <w:rPr>
          <w:rStyle w:val="FootnoteReference"/>
        </w:rPr>
        <w:footnoteRef/>
      </w:r>
      <w:r>
        <w:t xml:space="preserve"> Cross-references for "I saw the Lord": 2Chr 18:18-22; Isa 6:1-3.</w:t>
      </w:r>
    </w:p>
  </w:footnote>
  <w:footnote w:id="6947">
    <w:p>
      <w:pPr>
        <w:pStyle w:val="FootnoteText"/>
      </w:pPr>
      <w:r>
        <w:rPr>
          <w:rStyle w:val="FootnoteReference"/>
        </w:rPr>
        <w:footnoteRef/>
      </w:r>
      <w:r>
        <w:t xml:space="preserve"> Cross-references for "a lying spirit": Job 1:8-11; Job 2:4-6.</w:t>
      </w:r>
    </w:p>
  </w:footnote>
  <w:footnote w:id="6948">
    <w:p>
      <w:pPr>
        <w:pStyle w:val="FootnoteText"/>
      </w:pPr>
      <w:r>
        <w:rPr>
          <w:rStyle w:val="FootnoteReference"/>
        </w:rPr>
        <w:footnoteRef/>
      </w:r>
      <w:r>
        <w:t xml:space="preserve"> Cross-references for "the Lord": Exod 4:21; Exod 10:20.</w:t>
      </w:r>
    </w:p>
  </w:footnote>
  <w:footnote w:id="6949">
    <w:p>
      <w:pPr>
        <w:pStyle w:val="FootnoteText"/>
      </w:pPr>
      <w:r>
        <w:rPr>
          <w:rStyle w:val="FootnoteReference"/>
        </w:rPr>
        <w:footnoteRef/>
      </w:r>
      <w:r>
        <w:t xml:space="preserve"> Cross-references for "Zedekiah": 1Kgs 22:11.</w:t>
      </w:r>
    </w:p>
  </w:footnote>
  <w:footnote w:id="6950">
    <w:p>
      <w:pPr>
        <w:pStyle w:val="FootnoteText"/>
      </w:pPr>
      <w:r>
        <w:rPr>
          <w:rStyle w:val="FootnoteReference"/>
        </w:rPr>
        <w:footnoteRef/>
      </w:r>
      <w:r>
        <w:t xml:space="preserve"> Cross-references for "Behold": Num 31:8; Isa 9:14-16.</w:t>
      </w:r>
    </w:p>
  </w:footnote>
  <w:footnote w:id="6951">
    <w:p>
      <w:pPr>
        <w:pStyle w:val="FootnoteText"/>
      </w:pPr>
      <w:r>
        <w:rPr>
          <w:rStyle w:val="FootnoteReference"/>
        </w:rPr>
        <w:footnoteRef/>
      </w:r>
      <w:r>
        <w:t xml:space="preserve"> Divine or supernatural name: Amon. Divine/supernatural-name meaning: Amon — faithful; true. Source form: Amon.</w:t>
      </w:r>
    </w:p>
  </w:footnote>
  <w:footnote w:id="6952">
    <w:p>
      <w:pPr>
        <w:pStyle w:val="FootnoteText"/>
      </w:pPr>
      <w:r>
        <w:rPr>
          <w:rStyle w:val="FootnoteReference"/>
        </w:rPr>
        <w:footnoteRef/>
      </w:r>
      <w:r>
        <w:t xml:space="preserve"> Cross-references for "bread of affliction": Deut 16:3; Ps 80:5.</w:t>
      </w:r>
    </w:p>
  </w:footnote>
  <w:footnote w:id="6953">
    <w:p>
      <w:pPr>
        <w:pStyle w:val="FootnoteText"/>
      </w:pPr>
      <w:r>
        <w:rPr>
          <w:rStyle w:val="FootnoteReference"/>
        </w:rPr>
        <w:footnoteRef/>
      </w:r>
      <w:r>
        <w:t xml:space="preserve"> Cross-references for "and enter into the battle": 1Kgs 22:10; Ps 12:2.</w:t>
      </w:r>
    </w:p>
  </w:footnote>
  <w:footnote w:id="6954">
    <w:p>
      <w:pPr>
        <w:pStyle w:val="FootnoteText"/>
      </w:pPr>
      <w:r>
        <w:rPr>
          <w:rStyle w:val="FootnoteReference"/>
        </w:rPr>
        <w:footnoteRef/>
      </w:r>
      <w:r>
        <w:t xml:space="preserve"> Cross-references for "Fight": 1Kgs 20:33-42.</w:t>
      </w:r>
    </w:p>
  </w:footnote>
  <w:footnote w:id="6955">
    <w:p>
      <w:pPr>
        <w:pStyle w:val="FootnoteText"/>
      </w:pPr>
      <w:r>
        <w:rPr>
          <w:rStyle w:val="FootnoteReference"/>
        </w:rPr>
        <w:footnoteRef/>
      </w:r>
      <w:r>
        <w:t xml:space="preserve"> Cross-references for "Jehoshaphat": Exod 14:10; 2Chr 18:31.</w:t>
      </w:r>
    </w:p>
  </w:footnote>
  <w:footnote w:id="6956">
    <w:p>
      <w:pPr>
        <w:pStyle w:val="FootnoteText"/>
      </w:pPr>
      <w:r>
        <w:rPr>
          <w:rStyle w:val="FootnoteReference"/>
        </w:rPr>
        <w:footnoteRef/>
      </w:r>
      <w:r>
        <w:t xml:space="preserve"> Cross-references for "wounded": 2Chr 18:30; 2Chr 35:23.</w:t>
      </w:r>
    </w:p>
  </w:footnote>
  <w:footnote w:id="6957">
    <w:p>
      <w:pPr>
        <w:pStyle w:val="FootnoteText"/>
      </w:pPr>
      <w:r>
        <w:rPr>
          <w:rStyle w:val="FootnoteReference"/>
        </w:rPr>
        <w:footnoteRef/>
      </w:r>
      <w:r>
        <w:t xml:space="preserve"> Translation note: Greek says accurately and between lung and breastplate.</w:t>
      </w:r>
    </w:p>
  </w:footnote>
  <w:footnote w:id="6958">
    <w:p>
      <w:pPr>
        <w:pStyle w:val="FootnoteText"/>
      </w:pPr>
      <w:r>
        <w:rPr>
          <w:rStyle w:val="FootnoteReference"/>
        </w:rPr>
        <w:footnoteRef/>
      </w:r>
      <w:r>
        <w:t xml:space="preserve"> Cross-references for "and the dogs": Josh 23:14-15; 1Kgs 21:19.</w:t>
      </w:r>
    </w:p>
  </w:footnote>
  <w:footnote w:id="6959">
    <w:p>
      <w:pPr>
        <w:pStyle w:val="FootnoteText"/>
      </w:pPr>
      <w:r>
        <w:rPr>
          <w:rStyle w:val="FootnoteReference"/>
        </w:rPr>
        <w:footnoteRef/>
      </w:r>
      <w:r>
        <w:t xml:space="preserve"> Cross-references for "the rest": 1Kgs 14:19; 1Kgs 15:23.</w:t>
      </w:r>
    </w:p>
  </w:footnote>
  <w:footnote w:id="6960">
    <w:p>
      <w:pPr>
        <w:pStyle w:val="FootnoteText"/>
      </w:pPr>
      <w:r>
        <w:rPr>
          <w:rStyle w:val="FootnoteReference"/>
        </w:rPr>
        <w:footnoteRef/>
      </w:r>
      <w:r>
        <w:t xml:space="preserve"> Translation note: Greek includes the ivory-house detail in the royal summary. Current wording preserves it.</w:t>
      </w:r>
    </w:p>
  </w:footnote>
  <w:footnote w:id="6961">
    <w:p>
      <w:pPr>
        <w:pStyle w:val="FootnoteText"/>
      </w:pPr>
      <w:r>
        <w:rPr>
          <w:rStyle w:val="FootnoteReference"/>
        </w:rPr>
        <w:footnoteRef/>
      </w:r>
      <w:r>
        <w:t xml:space="preserve"> Cross-references for "slept": Deut 31:16; 2Sam 7:12.</w:t>
      </w:r>
    </w:p>
  </w:footnote>
  <w:footnote w:id="6962">
    <w:p>
      <w:pPr>
        <w:pStyle w:val="FootnoteText"/>
      </w:pPr>
      <w:r>
        <w:rPr>
          <w:rStyle w:val="FootnoteReference"/>
        </w:rPr>
        <w:footnoteRef/>
      </w:r>
      <w:r>
        <w:t xml:space="preserve"> Personal name: Ahaziah. Personal-name meaning: Ahaziah — seizure; vision of the Lord. Source form: Ahaziah.</w:t>
      </w:r>
    </w:p>
  </w:footnote>
  <w:footnote w:id="6963">
    <w:p>
      <w:pPr>
        <w:pStyle w:val="FootnoteText"/>
      </w:pPr>
      <w:r>
        <w:rPr>
          <w:rStyle w:val="FootnoteReference"/>
        </w:rPr>
        <w:footnoteRef/>
      </w:r>
      <w:r>
        <w:t xml:space="preserve"> Cross-references for "Jehoshaphat": 1Kgs 22:2; 1Chr 3:10.</w:t>
      </w:r>
    </w:p>
  </w:footnote>
  <w:footnote w:id="6964">
    <w:p>
      <w:pPr>
        <w:pStyle w:val="FootnoteText"/>
      </w:pPr>
      <w:r>
        <w:rPr>
          <w:rStyle w:val="FootnoteReference"/>
        </w:rPr>
        <w:footnoteRef/>
      </w:r>
      <w:r>
        <w:t xml:space="preserve"> Cross-references for "and his mother's": 1Kgs 14:21; 1Kgs 15:2.</w:t>
      </w:r>
    </w:p>
  </w:footnote>
  <w:footnote w:id="6965">
    <w:p>
      <w:pPr>
        <w:pStyle w:val="FootnoteText"/>
      </w:pPr>
      <w:r>
        <w:rPr>
          <w:rStyle w:val="FootnoteReference"/>
        </w:rPr>
        <w:footnoteRef/>
      </w:r>
      <w:r>
        <w:t xml:space="preserve"> Cross-references for "he walked": 1Kgs 15:11; 1Kgs 15:14.</w:t>
      </w:r>
    </w:p>
  </w:footnote>
  <w:footnote w:id="6966">
    <w:p>
      <w:pPr>
        <w:pStyle w:val="FootnoteText"/>
      </w:pPr>
      <w:r>
        <w:rPr>
          <w:rStyle w:val="FootnoteReference"/>
        </w:rPr>
        <w:footnoteRef/>
      </w:r>
      <w:r>
        <w:t xml:space="preserve"> Translation note: Greek uses the did-not-turn-aside line directly. Current wording preserves it.</w:t>
      </w:r>
    </w:p>
  </w:footnote>
  <w:footnote w:id="6967">
    <w:p>
      <w:pPr>
        <w:pStyle w:val="FootnoteText"/>
      </w:pPr>
      <w:r>
        <w:rPr>
          <w:rStyle w:val="FootnoteReference"/>
        </w:rPr>
        <w:footnoteRef/>
      </w:r>
      <w:r>
        <w:t xml:space="preserve"> MT/LXX note: The Septuagint verse here gives a cultic notice rather than the Masoretic peace note. The translation follows the Greek content.</w:t>
      </w:r>
    </w:p>
  </w:footnote>
  <w:footnote w:id="6968">
    <w:p>
      <w:pPr>
        <w:pStyle w:val="FootnoteText"/>
      </w:pPr>
      <w:r>
        <w:rPr>
          <w:rStyle w:val="FootnoteReference"/>
        </w:rPr>
        <w:footnoteRef/>
      </w:r>
      <w:r>
        <w:t xml:space="preserve"> Personal name: Jehoram. Personal-name meaning: Jehoram — exaltation of the Lord. Source form: Jehoram.</w:t>
      </w:r>
    </w:p>
  </w:footnote>
  <w:footnote w:id="6969">
    <w:p>
      <w:pPr>
        <w:pStyle w:val="FootnoteText"/>
      </w:pPr>
      <w:r>
        <w:rPr>
          <w:rStyle w:val="FootnoteReference"/>
        </w:rPr>
        <w:footnoteRef/>
      </w:r>
      <w:r>
        <w:t xml:space="preserve"> Translation note: Greek says in place of him here. Current line keeps that wording.</w:t>
      </w:r>
    </w:p>
  </w:footnote>
  <w:footnote w:id="6970">
    <w:p>
      <w:pPr>
        <w:pStyle w:val="FootnoteText"/>
      </w:pPr>
      <w:r>
        <w:rPr>
          <w:rStyle w:val="FootnoteReference"/>
        </w:rPr>
        <w:footnoteRef/>
      </w:r>
      <w:r>
        <w:t xml:space="preserve"> Cross-references for "Moab": Num 24:7; 2Sam 8:2.</w:t>
      </w:r>
    </w:p>
  </w:footnote>
  <w:footnote w:id="6971">
    <w:p>
      <w:pPr>
        <w:pStyle w:val="FootnoteText"/>
      </w:pPr>
      <w:r>
        <w:rPr>
          <w:rStyle w:val="FootnoteReference"/>
        </w:rPr>
        <w:footnoteRef/>
      </w:r>
      <w:r>
        <w:t xml:space="preserve"> Translation note: Greek asks whether he will live from the sickness. The translation keeps that phrasing.</w:t>
      </w:r>
    </w:p>
  </w:footnote>
  <w:footnote w:id="6972">
    <w:p>
      <w:pPr>
        <w:pStyle w:val="FootnoteText"/>
      </w:pPr>
      <w:r>
        <w:rPr>
          <w:rStyle w:val="FootnoteReference"/>
        </w:rPr>
        <w:footnoteRef/>
      </w:r>
      <w:r>
        <w:t xml:space="preserve"> Cross-references for "whether": 1Kgs 14:3; 2Kgs 8:7-10.</w:t>
      </w:r>
    </w:p>
  </w:footnote>
  <w:footnote w:id="6973">
    <w:p>
      <w:pPr>
        <w:pStyle w:val="FootnoteText"/>
      </w:pPr>
      <w:r>
        <w:rPr>
          <w:rStyle w:val="FootnoteReference"/>
        </w:rPr>
        <w:footnoteRef/>
      </w:r>
      <w:r>
        <w:t xml:space="preserve"> Translation note: In this prophetic encounter the Greek says angel of the Lord. The current wording follows the project rule for overt divine-encounter scenes.</w:t>
      </w:r>
    </w:p>
  </w:footnote>
  <w:footnote w:id="6974">
    <w:p>
      <w:pPr>
        <w:pStyle w:val="FootnoteText"/>
      </w:pPr>
      <w:r>
        <w:rPr>
          <w:rStyle w:val="FootnoteReference"/>
        </w:rPr>
        <w:footnoteRef/>
      </w:r>
      <w:r>
        <w:t xml:space="preserve"> Cross-references for "angel": 1Kgs 19:5; 1Kgs 19:7.</w:t>
      </w:r>
    </w:p>
  </w:footnote>
  <w:footnote w:id="6975">
    <w:p>
      <w:pPr>
        <w:pStyle w:val="FootnoteText"/>
      </w:pPr>
      <w:r>
        <w:rPr>
          <w:rStyle w:val="FootnoteReference"/>
        </w:rPr>
        <w:footnoteRef/>
      </w:r>
      <w:r>
        <w:t xml:space="preserve"> Translation note: Greek keeps transparent divine title here.</w:t>
      </w:r>
    </w:p>
  </w:footnote>
  <w:footnote w:id="6976">
    <w:p>
      <w:pPr>
        <w:pStyle w:val="FootnoteText"/>
      </w:pPr>
      <w:r>
        <w:rPr>
          <w:rStyle w:val="FootnoteReference"/>
        </w:rPr>
        <w:footnoteRef/>
      </w:r>
      <w:r>
        <w:t xml:space="preserve"> Translation note: Greek gives a terse identifying description. Current wording preserves it.</w:t>
      </w:r>
    </w:p>
  </w:footnote>
  <w:footnote w:id="6977">
    <w:p>
      <w:pPr>
        <w:pStyle w:val="FootnoteText"/>
      </w:pPr>
      <w:r>
        <w:rPr>
          <w:rStyle w:val="FootnoteReference"/>
        </w:rPr>
        <w:footnoteRef/>
      </w:r>
      <w:r>
        <w:t xml:space="preserve"> Translation note: Greek says let my life be precious in your eyes.</w:t>
      </w:r>
    </w:p>
  </w:footnote>
  <w:footnote w:id="6978">
    <w:p>
      <w:pPr>
        <w:pStyle w:val="FootnoteText"/>
      </w:pPr>
      <w:r>
        <w:rPr>
          <w:rStyle w:val="FootnoteReference"/>
        </w:rPr>
        <w:footnoteRef/>
      </w:r>
      <w:r>
        <w:t xml:space="preserve"> Cross-references for "Behold": 2Kgs 1:10-11.</w:t>
      </w:r>
    </w:p>
  </w:footnote>
  <w:footnote w:id="6979">
    <w:p>
      <w:pPr>
        <w:pStyle w:val="FootnoteText"/>
      </w:pPr>
      <w:r>
        <w:rPr>
          <w:rStyle w:val="FootnoteReference"/>
        </w:rPr>
        <w:footnoteRef/>
      </w:r>
      <w:r>
        <w:t xml:space="preserve"> Translation note: Greek turns from the question into that abrupt line here.</w:t>
      </w:r>
    </w:p>
  </w:footnote>
  <w:footnote w:id="6980">
    <w:p>
      <w:pPr>
        <w:pStyle w:val="FootnoteText"/>
      </w:pPr>
      <w:r>
        <w:rPr>
          <w:rStyle w:val="FootnoteReference"/>
        </w:rPr>
        <w:footnoteRef/>
      </w:r>
      <w:r>
        <w:t xml:space="preserve"> Cross-references for "in the Book": 1Kgs 14:19; 1Kgs 22:39.</w:t>
      </w:r>
    </w:p>
  </w:footnote>
  <w:footnote w:id="6981">
    <w:p>
      <w:pPr>
        <w:pStyle w:val="FootnoteText"/>
      </w:pPr>
      <w:r>
        <w:rPr>
          <w:rStyle w:val="FootnoteReference"/>
        </w:rPr>
        <w:footnoteRef/>
      </w:r>
      <w:r>
        <w:t xml:space="preserve"> Translation note: The Greek text appends a long Joram notice to the Ahaziah summary. Main text keeps that expanded witness rather than compressing to the shorter form.</w:t>
      </w:r>
    </w:p>
  </w:footnote>
  <w:footnote w:id="6982">
    <w:p>
      <w:pPr>
        <w:pStyle w:val="FootnoteText"/>
      </w:pPr>
      <w:r>
        <w:rPr>
          <w:rStyle w:val="FootnoteReference"/>
        </w:rPr>
        <w:footnoteRef/>
      </w:r>
      <w:r>
        <w:t xml:space="preserve"> Cross-references for "Elisha": 1Kgs 19:16-21.</w:t>
      </w:r>
    </w:p>
  </w:footnote>
  <w:footnote w:id="6983">
    <w:p>
      <w:pPr>
        <w:pStyle w:val="FootnoteText"/>
      </w:pPr>
      <w:r>
        <w:rPr>
          <w:rStyle w:val="FootnoteReference"/>
        </w:rPr>
        <w:footnoteRef/>
      </w:r>
      <w:r>
        <w:t xml:space="preserve"> Cross-references for "As the Lord": 1Sam 1:26; 1Sam 17:55.</w:t>
      </w:r>
    </w:p>
  </w:footnote>
  <w:footnote w:id="6984">
    <w:p>
      <w:pPr>
        <w:pStyle w:val="FootnoteText"/>
      </w:pPr>
      <w:r>
        <w:rPr>
          <w:rStyle w:val="FootnoteReference"/>
        </w:rPr>
        <w:footnoteRef/>
      </w:r>
      <w:r>
        <w:t xml:space="preserve"> Cross-references for "And the sons": 1Sam 10:10-12; 1Sam 19:20.</w:t>
      </w:r>
    </w:p>
  </w:footnote>
  <w:footnote w:id="6985">
    <w:p>
      <w:pPr>
        <w:pStyle w:val="FootnoteText"/>
      </w:pPr>
      <w:r>
        <w:rPr>
          <w:rStyle w:val="FootnoteReference"/>
        </w:rPr>
        <w:footnoteRef/>
      </w:r>
      <w:r>
        <w:t xml:space="preserve"> Translation note: Greek uses a fuller spatial phrase. The translation keeps that wording close.</w:t>
      </w:r>
    </w:p>
  </w:footnote>
  <w:footnote w:id="6986">
    <w:p>
      <w:pPr>
        <w:pStyle w:val="FootnoteText"/>
      </w:pPr>
      <w:r>
        <w:rPr>
          <w:rStyle w:val="FootnoteReference"/>
        </w:rPr>
        <w:footnoteRef/>
      </w:r>
      <w:r>
        <w:t xml:space="preserve"> Cross-references for "Jericho": Josh 6:26; 1Kgs 16:34.</w:t>
      </w:r>
    </w:p>
  </w:footnote>
  <w:footnote w:id="6987">
    <w:p>
      <w:pPr>
        <w:pStyle w:val="FootnoteText"/>
      </w:pPr>
      <w:r>
        <w:rPr>
          <w:rStyle w:val="FootnoteReference"/>
        </w:rPr>
        <w:footnoteRef/>
      </w:r>
      <w:r>
        <w:t xml:space="preserve"> Translation note: Greek says from over your head. The translation keeps that vivid phrase.</w:t>
      </w:r>
    </w:p>
  </w:footnote>
  <w:footnote w:id="6988">
    <w:p>
      <w:pPr>
        <w:pStyle w:val="FootnoteText"/>
      </w:pPr>
      <w:r>
        <w:rPr>
          <w:rStyle w:val="FootnoteReference"/>
        </w:rPr>
        <w:footnoteRef/>
      </w:r>
      <w:r>
        <w:t xml:space="preserve"> Cross-references for "fifty men": 1Kgs 18:4; 1Kgs 18:13.</w:t>
      </w:r>
    </w:p>
  </w:footnote>
  <w:footnote w:id="6989">
    <w:p>
      <w:pPr>
        <w:pStyle w:val="FootnoteText"/>
      </w:pPr>
      <w:r>
        <w:rPr>
          <w:rStyle w:val="FootnoteReference"/>
        </w:rPr>
        <w:footnoteRef/>
      </w:r>
      <w:r>
        <w:t xml:space="preserve"> Cross-references for "Ask what": Num 27:16-23; Deut 34:9.</w:t>
      </w:r>
    </w:p>
  </w:footnote>
  <w:footnote w:id="6990">
    <w:p>
      <w:pPr>
        <w:pStyle w:val="FootnoteText"/>
      </w:pPr>
      <w:r>
        <w:rPr>
          <w:rStyle w:val="FootnoteReference"/>
        </w:rPr>
        <w:footnoteRef/>
      </w:r>
      <w:r>
        <w:t xml:space="preserve"> Translation note: The Greek keeps a doubling expression here. This draft leaves that wording visible instead of reducing it immediately to smoother inheritance idiom. NETS, LES, LES2, and SAAS preserve the twofold language as well.</w:t>
      </w:r>
    </w:p>
  </w:footnote>
  <w:footnote w:id="6991">
    <w:p>
      <w:pPr>
        <w:pStyle w:val="FootnoteText"/>
      </w:pPr>
      <w:r>
        <w:rPr>
          <w:rStyle w:val="FootnoteReference"/>
        </w:rPr>
        <w:footnoteRef/>
      </w:r>
      <w:r>
        <w:t xml:space="preserve"> Translation note: Greek says you made the asking hard and being taken up.</w:t>
      </w:r>
    </w:p>
  </w:footnote>
  <w:footnote w:id="6992">
    <w:p>
      <w:pPr>
        <w:pStyle w:val="FootnoteText"/>
      </w:pPr>
      <w:r>
        <w:rPr>
          <w:rStyle w:val="FootnoteReference"/>
        </w:rPr>
        <w:footnoteRef/>
      </w:r>
      <w:r>
        <w:t xml:space="preserve"> Cross-references for "into heaven": Mark 16:19.</w:t>
      </w:r>
    </w:p>
  </w:footnote>
  <w:footnote w:id="6993">
    <w:p>
      <w:pPr>
        <w:pStyle w:val="FootnoteText"/>
      </w:pPr>
      <w:r>
        <w:rPr>
          <w:rStyle w:val="FootnoteReference"/>
        </w:rPr>
        <w:footnoteRef/>
      </w:r>
      <w:r>
        <w:t xml:space="preserve"> Translation note: Greek includes first strike that did not divide.</w:t>
      </w:r>
    </w:p>
  </w:footnote>
  <w:footnote w:id="6994">
    <w:p>
      <w:pPr>
        <w:pStyle w:val="FootnoteText"/>
      </w:pPr>
      <w:r>
        <w:rPr>
          <w:rStyle w:val="FootnoteReference"/>
        </w:rPr>
        <w:footnoteRef/>
      </w:r>
      <w:r>
        <w:t xml:space="preserve"> Cross-references for "Where is": Judg 6:13; 1Kgs 18:36-39.</w:t>
      </w:r>
    </w:p>
  </w:footnote>
  <w:footnote w:id="6995">
    <w:p>
      <w:pPr>
        <w:pStyle w:val="FootnoteText"/>
      </w:pPr>
      <w:r>
        <w:rPr>
          <w:rStyle w:val="FootnoteReference"/>
        </w:rPr>
        <w:footnoteRef/>
      </w:r>
      <w:r>
        <w:t xml:space="preserve"> Cross-references for "The spirit": Num 11:25-29; Num 27:20.</w:t>
      </w:r>
    </w:p>
  </w:footnote>
  <w:footnote w:id="6996">
    <w:p>
      <w:pPr>
        <w:pStyle w:val="FootnoteText"/>
      </w:pPr>
      <w:r>
        <w:rPr>
          <w:rStyle w:val="FootnoteReference"/>
        </w:rPr>
        <w:footnoteRef/>
      </w:r>
      <w:r>
        <w:t xml:space="preserve"> Cross-references for "the Spirit": 1Kgs 18:12; Ezek 3:14.</w:t>
      </w:r>
    </w:p>
  </w:footnote>
  <w:footnote w:id="6997">
    <w:p>
      <w:pPr>
        <w:pStyle w:val="FootnoteText"/>
      </w:pPr>
      <w:r>
        <w:rPr>
          <w:rStyle w:val="FootnoteReference"/>
        </w:rPr>
        <w:footnoteRef/>
      </w:r>
      <w:r>
        <w:t xml:space="preserve"> Cross-references for "barren": Exod 23:26; Deut 28:2-4.</w:t>
      </w:r>
    </w:p>
  </w:footnote>
  <w:footnote w:id="6998">
    <w:p>
      <w:pPr>
        <w:pStyle w:val="FootnoteText"/>
      </w:pPr>
      <w:r>
        <w:rPr>
          <w:rStyle w:val="FootnoteReference"/>
        </w:rPr>
        <w:footnoteRef/>
      </w:r>
      <w:r>
        <w:t xml:space="preserve"> Cross-references for "I have healed": Ezek 47:8-11; 1Cor 1:18-28.</w:t>
      </w:r>
    </w:p>
  </w:footnote>
  <w:footnote w:id="6999">
    <w:p>
      <w:pPr>
        <w:pStyle w:val="FootnoteText"/>
      </w:pPr>
      <w:r>
        <w:rPr>
          <w:rStyle w:val="FootnoteReference"/>
        </w:rPr>
        <w:footnoteRef/>
      </w:r>
      <w:r>
        <w:t xml:space="preserve"> Cross-references for "Bethel": 1Kgs 12:28-32; Hos 4:15.</w:t>
      </w:r>
    </w:p>
  </w:footnote>
  <w:footnote w:id="7000">
    <w:p>
      <w:pPr>
        <w:pStyle w:val="FootnoteText"/>
      </w:pPr>
      <w:r>
        <w:rPr>
          <w:rStyle w:val="FootnoteReference"/>
        </w:rPr>
        <w:footnoteRef/>
      </w:r>
      <w:r>
        <w:t xml:space="preserve"> Cross-references for "cursed them": Gen 9:25; Deut 28:15-26.</w:t>
      </w:r>
    </w:p>
  </w:footnote>
  <w:footnote w:id="7001">
    <w:p>
      <w:pPr>
        <w:pStyle w:val="FootnoteText"/>
      </w:pPr>
      <w:r>
        <w:rPr>
          <w:rStyle w:val="FootnoteReference"/>
        </w:rPr>
        <w:footnoteRef/>
      </w:r>
      <w:r>
        <w:t xml:space="preserve"> Cross-references for "Mount Carmel": 1Kgs 18:19; 1Kgs 18:42.</w:t>
      </w:r>
    </w:p>
  </w:footnote>
  <w:footnote w:id="7002">
    <w:p>
      <w:pPr>
        <w:pStyle w:val="FootnoteText"/>
      </w:pPr>
      <w:r>
        <w:rPr>
          <w:rStyle w:val="FootnoteReference"/>
        </w:rPr>
        <w:footnoteRef/>
      </w:r>
      <w:r>
        <w:t xml:space="preserve"> Translation note: Greek gives a plain travel notice from Carmel back to Samaria. Current wording preserves that sequence.</w:t>
      </w:r>
    </w:p>
  </w:footnote>
  <w:footnote w:id="7003">
    <w:p>
      <w:pPr>
        <w:pStyle w:val="FootnoteText"/>
      </w:pPr>
      <w:r>
        <w:rPr>
          <w:rStyle w:val="FootnoteReference"/>
        </w:rPr>
        <w:footnoteRef/>
      </w:r>
      <w:r>
        <w:t xml:space="preserve"> Cross-references for "Baal": 1Kgs 16:31-32; 2Kgs 10:18.</w:t>
      </w:r>
    </w:p>
  </w:footnote>
  <w:footnote w:id="7004">
    <w:p>
      <w:pPr>
        <w:pStyle w:val="FootnoteText"/>
      </w:pPr>
      <w:r>
        <w:rPr>
          <w:rStyle w:val="FootnoteReference"/>
        </w:rPr>
        <w:footnoteRef/>
      </w:r>
      <w:r>
        <w:t xml:space="preserve"> Transliterated proper noun: Mesha. Standard English equivalent: Mesha. Source form: Mesha. Greek form: μωσα. Name meaning: burden; salvation.</w:t>
      </w:r>
    </w:p>
  </w:footnote>
  <w:footnote w:id="7005">
    <w:p>
      <w:pPr>
        <w:pStyle w:val="FootnoteText"/>
      </w:pPr>
      <w:r>
        <w:rPr>
          <w:rStyle w:val="FootnoteReference"/>
        </w:rPr>
        <w:footnoteRef/>
      </w:r>
      <w:r>
        <w:t xml:space="preserve"> Cross-references for "lambs": Isa 16:1.</w:t>
      </w:r>
    </w:p>
  </w:footnote>
  <w:footnote w:id="7006">
    <w:p>
      <w:pPr>
        <w:pStyle w:val="FootnoteText"/>
      </w:pPr>
      <w:r>
        <w:rPr>
          <w:rStyle w:val="FootnoteReference"/>
        </w:rPr>
        <w:footnoteRef/>
      </w:r>
      <w:r>
        <w:t xml:space="preserve"> Cross-references for "Edom": 1Kgs 22:27.</w:t>
      </w:r>
    </w:p>
  </w:footnote>
  <w:footnote w:id="7007">
    <w:p>
      <w:pPr>
        <w:pStyle w:val="FootnoteText"/>
      </w:pPr>
      <w:r>
        <w:rPr>
          <w:rStyle w:val="FootnoteReference"/>
        </w:rPr>
        <w:footnoteRef/>
      </w:r>
      <w:r>
        <w:t xml:space="preserve"> Cross-references for "the Lord": Gen 4:13; 2Kgs 6:33.</w:t>
      </w:r>
    </w:p>
  </w:footnote>
  <w:footnote w:id="7008">
    <w:p>
      <w:pPr>
        <w:pStyle w:val="FootnoteText"/>
      </w:pPr>
      <w:r>
        <w:rPr>
          <w:rStyle w:val="FootnoteReference"/>
        </w:rPr>
        <w:footnoteRef/>
      </w:r>
      <w:r>
        <w:t xml:space="preserve"> Cross-references for "Is there not here": 1Kgs 22:7; Ps 74:9.</w:t>
      </w:r>
    </w:p>
  </w:footnote>
  <w:footnote w:id="7009">
    <w:p>
      <w:pPr>
        <w:pStyle w:val="FootnoteText"/>
      </w:pPr>
      <w:r>
        <w:rPr>
          <w:rStyle w:val="FootnoteReference"/>
        </w:rPr>
        <w:footnoteRef/>
      </w:r>
      <w:r>
        <w:t xml:space="preserve"> Translation note: Greek says poured water on hands here. Current line keeps that wording.</w:t>
      </w:r>
    </w:p>
  </w:footnote>
  <w:footnote w:id="7010">
    <w:p>
      <w:pPr>
        <w:pStyle w:val="FootnoteText"/>
      </w:pPr>
      <w:r>
        <w:rPr>
          <w:rStyle w:val="FootnoteReference"/>
        </w:rPr>
        <w:footnoteRef/>
      </w:r>
      <w:r>
        <w:t xml:space="preserve"> Cross-references for "The word": 1Sam 3:19-21; 2Kgs 2:14-15.</w:t>
      </w:r>
    </w:p>
  </w:footnote>
  <w:footnote w:id="7011">
    <w:p>
      <w:pPr>
        <w:pStyle w:val="FootnoteText"/>
      </w:pPr>
      <w:r>
        <w:rPr>
          <w:rStyle w:val="FootnoteReference"/>
        </w:rPr>
        <w:footnoteRef/>
      </w:r>
      <w:r>
        <w:t xml:space="preserve"> Translation note: Greek uses the compact idiom directly. The translation keeps that form.</w:t>
      </w:r>
    </w:p>
  </w:footnote>
  <w:footnote w:id="7012">
    <w:p>
      <w:pPr>
        <w:pStyle w:val="FootnoteText"/>
      </w:pPr>
      <w:r>
        <w:rPr>
          <w:rStyle w:val="FootnoteReference"/>
        </w:rPr>
        <w:footnoteRef/>
      </w:r>
      <w:r>
        <w:t xml:space="preserve"> Cross-references for "the prophets": 1Kgs 18:19; 1Kgs 22:6.</w:t>
      </w:r>
    </w:p>
  </w:footnote>
  <w:footnote w:id="7013">
    <w:p>
      <w:pPr>
        <w:pStyle w:val="FootnoteText"/>
      </w:pPr>
      <w:r>
        <w:rPr>
          <w:rStyle w:val="FootnoteReference"/>
        </w:rPr>
        <w:footnoteRef/>
      </w:r>
      <w:r>
        <w:t xml:space="preserve"> Cross-references for "As the Lord": 1Kgs 17:1; 1Kgs 18:15.</w:t>
      </w:r>
    </w:p>
  </w:footnote>
  <w:footnote w:id="7014">
    <w:p>
      <w:pPr>
        <w:pStyle w:val="FootnoteText"/>
      </w:pPr>
      <w:r>
        <w:rPr>
          <w:rStyle w:val="FootnoteReference"/>
        </w:rPr>
        <w:footnoteRef/>
      </w:r>
      <w:r>
        <w:t xml:space="preserve"> Cross-references for "bring me": 1Sam 10:5; 1Sam 16:23.</w:t>
      </w:r>
    </w:p>
  </w:footnote>
  <w:footnote w:id="7015">
    <w:p>
      <w:pPr>
        <w:pStyle w:val="FootnoteText"/>
      </w:pPr>
      <w:r>
        <w:rPr>
          <w:rStyle w:val="FootnoteReference"/>
        </w:rPr>
        <w:footnoteRef/>
      </w:r>
      <w:r>
        <w:t xml:space="preserve"> Translation note: Greek names possessions or beasts and then cattle. The translation keeps the broader first term rather than narrowing both to livestock types.</w:t>
      </w:r>
    </w:p>
  </w:footnote>
  <w:footnote w:id="7016">
    <w:p>
      <w:pPr>
        <w:pStyle w:val="FootnoteText"/>
      </w:pPr>
      <w:r>
        <w:rPr>
          <w:rStyle w:val="FootnoteReference"/>
        </w:rPr>
        <w:footnoteRef/>
      </w:r>
      <w:r>
        <w:t xml:space="preserve"> Cross-references for "And this": 1Kgs 3:13; Jer 32:17.</w:t>
      </w:r>
    </w:p>
  </w:footnote>
  <w:footnote w:id="7017">
    <w:p>
      <w:pPr>
        <w:pStyle w:val="FootnoteText"/>
      </w:pPr>
      <w:r>
        <w:rPr>
          <w:rStyle w:val="FootnoteReference"/>
        </w:rPr>
        <w:footnoteRef/>
      </w:r>
      <w:r>
        <w:t xml:space="preserve"> Cross-references for "filled": Ps 78:15-16; Ps 78:20.</w:t>
      </w:r>
    </w:p>
  </w:footnote>
  <w:footnote w:id="7018">
    <w:p>
      <w:pPr>
        <w:pStyle w:val="FootnoteText"/>
      </w:pPr>
      <w:r>
        <w:rPr>
          <w:rStyle w:val="FootnoteReference"/>
        </w:rPr>
        <w:footnoteRef/>
      </w:r>
      <w:r>
        <w:t xml:space="preserve"> Cross-references for "This is blood": 2Kgs 6:18-20; 2Kgs 7:6.</w:t>
      </w:r>
    </w:p>
  </w:footnote>
  <w:footnote w:id="7019">
    <w:p>
      <w:pPr>
        <w:pStyle w:val="FootnoteText"/>
      </w:pPr>
      <w:r>
        <w:rPr>
          <w:rStyle w:val="FootnoteReference"/>
        </w:rPr>
        <w:footnoteRef/>
      </w:r>
      <w:r>
        <w:t xml:space="preserve"> Cross-references for "stopped": Gen 26:15; Gen 26:18.</w:t>
      </w:r>
    </w:p>
  </w:footnote>
  <w:footnote w:id="7020">
    <w:p>
      <w:pPr>
        <w:pStyle w:val="FootnoteText"/>
      </w:pPr>
      <w:r>
        <w:rPr>
          <w:rStyle w:val="FootnoteReference"/>
        </w:rPr>
        <w:footnoteRef/>
      </w:r>
      <w:r>
        <w:t xml:space="preserve"> Transliterated proper noun: Kirharaseth. Standard English equivalent: Kirharaseth. Source form: Kirharaseth. Greek form: καθειλον. Name meaning: city of the sun; wall of burnt brick.</w:t>
      </w:r>
    </w:p>
  </w:footnote>
  <w:footnote w:id="7021">
    <w:p>
      <w:pPr>
        <w:pStyle w:val="FootnoteText"/>
      </w:pPr>
      <w:r>
        <w:rPr>
          <w:rStyle w:val="FootnoteReference"/>
        </w:rPr>
        <w:footnoteRef/>
      </w:r>
      <w:r>
        <w:t xml:space="preserve"> Cross-references for "offered him": Gen 22:2; Gen 22:13.</w:t>
      </w:r>
    </w:p>
  </w:footnote>
  <w:footnote w:id="7022">
    <w:p>
      <w:pPr>
        <w:pStyle w:val="FootnoteText"/>
      </w:pPr>
      <w:r>
        <w:rPr>
          <w:rStyle w:val="FootnoteReference"/>
        </w:rPr>
        <w:footnoteRef/>
      </w:r>
      <w:r>
        <w:t xml:space="preserve"> Translation note: Greek says great regret/remorse upon Israel.</w:t>
      </w:r>
    </w:p>
  </w:footnote>
  <w:footnote w:id="7023">
    <w:p>
      <w:pPr>
        <w:pStyle w:val="FootnoteText"/>
      </w:pPr>
      <w:r>
        <w:rPr>
          <w:rStyle w:val="FootnoteReference"/>
        </w:rPr>
        <w:footnoteRef/>
      </w:r>
      <w:r>
        <w:t xml:space="preserve"> Cross-references for "sons": 2Kgs 2:3; 2Kgs 2:5.</w:t>
      </w:r>
    </w:p>
  </w:footnote>
  <w:footnote w:id="7024">
    <w:p>
      <w:pPr>
        <w:pStyle w:val="FootnoteText"/>
      </w:pPr>
      <w:r>
        <w:rPr>
          <w:rStyle w:val="FootnoteReference"/>
        </w:rPr>
        <w:footnoteRef/>
      </w:r>
      <w:r>
        <w:t xml:space="preserve"> Cross-references for "What shall I": 2Kgs 2:9; 2Kgs 6:26-27.</w:t>
      </w:r>
    </w:p>
  </w:footnote>
  <w:footnote w:id="7025">
    <w:p>
      <w:pPr>
        <w:pStyle w:val="FootnoteText"/>
      </w:pPr>
      <w:r>
        <w:rPr>
          <w:rStyle w:val="FootnoteReference"/>
        </w:rPr>
        <w:footnoteRef/>
      </w:r>
      <w:r>
        <w:t xml:space="preserve"> Cross-references for "empty vessels": 2Kgs 3:16; John 2:7.</w:t>
      </w:r>
    </w:p>
  </w:footnote>
  <w:footnote w:id="7026">
    <w:p>
      <w:pPr>
        <w:pStyle w:val="FootnoteText"/>
      </w:pPr>
      <w:r>
        <w:rPr>
          <w:rStyle w:val="FootnoteReference"/>
        </w:rPr>
        <w:footnoteRef/>
      </w:r>
      <w:r>
        <w:t xml:space="preserve"> Cross-references for "she went": 1Kgs 17:15-16; 2Kgs 5:11.</w:t>
      </w:r>
    </w:p>
  </w:footnote>
  <w:footnote w:id="7027">
    <w:p>
      <w:pPr>
        <w:pStyle w:val="FootnoteText"/>
      </w:pPr>
      <w:r>
        <w:rPr>
          <w:rStyle w:val="FootnoteReference"/>
        </w:rPr>
        <w:footnoteRef/>
      </w:r>
      <w:r>
        <w:t xml:space="preserve"> Cross-references for "And the oil": Josh 5:12; 1Kgs 17:14.</w:t>
      </w:r>
    </w:p>
  </w:footnote>
  <w:footnote w:id="7028">
    <w:p>
      <w:pPr>
        <w:pStyle w:val="FootnoteText"/>
      </w:pPr>
      <w:r>
        <w:rPr>
          <w:rStyle w:val="FootnoteReference"/>
        </w:rPr>
        <w:footnoteRef/>
      </w:r>
      <w:r>
        <w:t xml:space="preserve"> Cross-references for "Shunem": Josh 19:18; 1Sam 28:4.</w:t>
      </w:r>
    </w:p>
  </w:footnote>
  <w:footnote w:id="7029">
    <w:p>
      <w:pPr>
        <w:pStyle w:val="FootnoteText"/>
      </w:pPr>
      <w:r>
        <w:rPr>
          <w:rStyle w:val="FootnoteReference"/>
        </w:rPr>
        <w:footnoteRef/>
      </w:r>
      <w:r>
        <w:t xml:space="preserve"> Cross-references for "man of God": Deut 33:1; 1Kgs 13:1.</w:t>
      </w:r>
    </w:p>
  </w:footnote>
  <w:footnote w:id="7030">
    <w:p>
      <w:pPr>
        <w:pStyle w:val="FootnoteText"/>
      </w:pPr>
      <w:r>
        <w:rPr>
          <w:rStyle w:val="FootnoteReference"/>
        </w:rPr>
        <w:footnoteRef/>
      </w:r>
      <w:r>
        <w:t xml:space="preserve"> Cross-references for "Let us": Isa 32:8; Matt 10:41-42.</w:t>
      </w:r>
    </w:p>
  </w:footnote>
  <w:footnote w:id="7031">
    <w:p>
      <w:pPr>
        <w:pStyle w:val="FootnoteText"/>
      </w:pPr>
      <w:r>
        <w:rPr>
          <w:rStyle w:val="FootnoteReference"/>
        </w:rPr>
        <w:footnoteRef/>
      </w:r>
      <w:r>
        <w:t xml:space="preserve"> Personal name: Gehazi. Personal-name meaning: Gehazi — valley of sight. Source form: Gehazi.</w:t>
      </w:r>
    </w:p>
  </w:footnote>
  <w:footnote w:id="7032">
    <w:p>
      <w:pPr>
        <w:pStyle w:val="FootnoteText"/>
      </w:pPr>
      <w:r>
        <w:rPr>
          <w:rStyle w:val="FootnoteReference"/>
        </w:rPr>
        <w:footnoteRef/>
      </w:r>
      <w:r>
        <w:t xml:space="preserve"> Cross-references for "Gehazi": 2Kgs 4:29-31; 2Kgs 5:20-27.</w:t>
      </w:r>
    </w:p>
  </w:footnote>
  <w:footnote w:id="7033">
    <w:p>
      <w:pPr>
        <w:pStyle w:val="FootnoteText"/>
      </w:pPr>
      <w:r>
        <w:rPr>
          <w:rStyle w:val="FootnoteReference"/>
        </w:rPr>
        <w:footnoteRef/>
      </w:r>
      <w:r>
        <w:t xml:space="preserve"> Cross-references for "to the king": Gen 14:24; 2Sam 19:32-38.</w:t>
      </w:r>
    </w:p>
  </w:footnote>
  <w:footnote w:id="7034">
    <w:p>
      <w:pPr>
        <w:pStyle w:val="FootnoteText"/>
      </w:pPr>
      <w:r>
        <w:rPr>
          <w:rStyle w:val="FootnoteReference"/>
        </w:rPr>
        <w:footnoteRef/>
      </w:r>
      <w:r>
        <w:t xml:space="preserve"> Translation note: Greek phrases the offer as a word for the king or commander. The translation keeps that wording close.</w:t>
      </w:r>
    </w:p>
  </w:footnote>
  <w:footnote w:id="7035">
    <w:p>
      <w:pPr>
        <w:pStyle w:val="FootnoteText"/>
      </w:pPr>
      <w:r>
        <w:rPr>
          <w:rStyle w:val="FootnoteReference"/>
        </w:rPr>
        <w:footnoteRef/>
      </w:r>
      <w:r>
        <w:t xml:space="preserve"> Cross-references for "my lord": 2Kgs 2:19.</w:t>
      </w:r>
    </w:p>
  </w:footnote>
  <w:footnote w:id="7036">
    <w:p>
      <w:pPr>
        <w:pStyle w:val="FootnoteText"/>
      </w:pPr>
      <w:r>
        <w:rPr>
          <w:rStyle w:val="FootnoteReference"/>
        </w:rPr>
        <w:footnoteRef/>
      </w:r>
      <w:r>
        <w:t xml:space="preserve"> Cross-references for "to the reapers": Ruth 2:4.</w:t>
      </w:r>
    </w:p>
  </w:footnote>
  <w:footnote w:id="7037">
    <w:p>
      <w:pPr>
        <w:pStyle w:val="FootnoteText"/>
      </w:pPr>
      <w:r>
        <w:rPr>
          <w:rStyle w:val="FootnoteReference"/>
        </w:rPr>
        <w:footnoteRef/>
      </w:r>
      <w:r>
        <w:t xml:space="preserve"> Cross-references for "My head": Job 14:1-2; Jer 4:19.</w:t>
      </w:r>
    </w:p>
  </w:footnote>
  <w:footnote w:id="7038">
    <w:p>
      <w:pPr>
        <w:pStyle w:val="FootnoteText"/>
      </w:pPr>
      <w:r>
        <w:rPr>
          <w:rStyle w:val="FootnoteReference"/>
        </w:rPr>
        <w:footnoteRef/>
      </w:r>
      <w:r>
        <w:t xml:space="preserve"> Cross-references for "his mother": Isa 49:15; Isa 66:13.</w:t>
      </w:r>
    </w:p>
  </w:footnote>
  <w:footnote w:id="7039">
    <w:p>
      <w:pPr>
        <w:pStyle w:val="FootnoteText"/>
      </w:pPr>
      <w:r>
        <w:rPr>
          <w:rStyle w:val="FootnoteReference"/>
        </w:rPr>
        <w:footnoteRef/>
      </w:r>
      <w:r>
        <w:t xml:space="preserve"> Cross-references for "the bed": 1Kgs 17:19; 2Kgs 4:10.</w:t>
      </w:r>
    </w:p>
  </w:footnote>
  <w:footnote w:id="7040">
    <w:p>
      <w:pPr>
        <w:pStyle w:val="FootnoteText"/>
      </w:pPr>
      <w:r>
        <w:rPr>
          <w:rStyle w:val="FootnoteReference"/>
        </w:rPr>
        <w:footnoteRef/>
      </w:r>
      <w:r>
        <w:t xml:space="preserve"> Cross-references for "new moon": Num 10:10; Num 28:11.</w:t>
      </w:r>
    </w:p>
  </w:footnote>
  <w:footnote w:id="7041">
    <w:p>
      <w:pPr>
        <w:pStyle w:val="FootnoteText"/>
      </w:pPr>
      <w:r>
        <w:rPr>
          <w:rStyle w:val="FootnoteReference"/>
        </w:rPr>
        <w:footnoteRef/>
      </w:r>
      <w:r>
        <w:t xml:space="preserve"> Cross-references for "hid it from me": Gen 18:17; 2Sam 7:3.</w:t>
      </w:r>
    </w:p>
  </w:footnote>
  <w:footnote w:id="7042">
    <w:p>
      <w:pPr>
        <w:pStyle w:val="FootnoteText"/>
      </w:pPr>
      <w:r>
        <w:rPr>
          <w:rStyle w:val="FootnoteReference"/>
        </w:rPr>
        <w:footnoteRef/>
      </w:r>
      <w:r>
        <w:t xml:space="preserve"> Cross-references for "Do not": 2Kgs 4:16.</w:t>
      </w:r>
    </w:p>
  </w:footnote>
  <w:footnote w:id="7043">
    <w:p>
      <w:pPr>
        <w:pStyle w:val="FootnoteText"/>
      </w:pPr>
      <w:r>
        <w:rPr>
          <w:rStyle w:val="FootnoteReference"/>
        </w:rPr>
        <w:footnoteRef/>
      </w:r>
      <w:r>
        <w:t xml:space="preserve"> Cross-references for "take my": Exod 4:17; 2Kgs 2:14.</w:t>
      </w:r>
    </w:p>
  </w:footnote>
  <w:footnote w:id="7044">
    <w:p>
      <w:pPr>
        <w:pStyle w:val="FootnoteText"/>
      </w:pPr>
      <w:r>
        <w:rPr>
          <w:rStyle w:val="FootnoteReference"/>
        </w:rPr>
        <w:footnoteRef/>
      </w:r>
      <w:r>
        <w:t xml:space="preserve"> Translation note: Greek says you shall not bless him and shall not answer him.</w:t>
      </w:r>
    </w:p>
  </w:footnote>
  <w:footnote w:id="7045">
    <w:p>
      <w:pPr>
        <w:pStyle w:val="FootnoteText"/>
      </w:pPr>
      <w:r>
        <w:rPr>
          <w:rStyle w:val="FootnoteReference"/>
        </w:rPr>
        <w:footnoteRef/>
      </w:r>
      <w:r>
        <w:t xml:space="preserve"> Cross-references for "As the Lord": 2Kgs 2:2; 2Kgs 2:4.</w:t>
      </w:r>
    </w:p>
  </w:footnote>
  <w:footnote w:id="7046">
    <w:p>
      <w:pPr>
        <w:pStyle w:val="FootnoteText"/>
      </w:pPr>
      <w:r>
        <w:rPr>
          <w:rStyle w:val="FootnoteReference"/>
        </w:rPr>
        <w:footnoteRef/>
      </w:r>
      <w:r>
        <w:t xml:space="preserve"> Cross-references for "hearing": 1Kgs 18:26; 1Kgs 18:29.</w:t>
      </w:r>
    </w:p>
  </w:footnote>
  <w:footnote w:id="7047">
    <w:p>
      <w:pPr>
        <w:pStyle w:val="FootnoteText"/>
      </w:pPr>
      <w:r>
        <w:rPr>
          <w:rStyle w:val="FootnoteReference"/>
        </w:rPr>
        <w:footnoteRef/>
      </w:r>
      <w:r>
        <w:t xml:space="preserve"> Cross-references for "shut the door": 2Kgs 4:4; Matt 6:6.</w:t>
      </w:r>
    </w:p>
  </w:footnote>
  <w:footnote w:id="7048">
    <w:p>
      <w:pPr>
        <w:pStyle w:val="FootnoteText"/>
      </w:pPr>
      <w:r>
        <w:rPr>
          <w:rStyle w:val="FootnoteReference"/>
        </w:rPr>
        <w:footnoteRef/>
      </w:r>
      <w:r>
        <w:t xml:space="preserve"> Translation note: Greek uses a bending verb here. The translation keeps that motion visible.</w:t>
      </w:r>
    </w:p>
  </w:footnote>
  <w:footnote w:id="7049">
    <w:p>
      <w:pPr>
        <w:pStyle w:val="FootnoteText"/>
      </w:pPr>
      <w:r>
        <w:rPr>
          <w:rStyle w:val="FootnoteReference"/>
        </w:rPr>
        <w:footnoteRef/>
      </w:r>
      <w:r>
        <w:t xml:space="preserve"> Cross-references for "Call this Shunammite": 2Kgs 4:12.</w:t>
      </w:r>
    </w:p>
  </w:footnote>
  <w:footnote w:id="7050">
    <w:p>
      <w:pPr>
        <w:pStyle w:val="FootnoteText"/>
      </w:pPr>
      <w:r>
        <w:rPr>
          <w:rStyle w:val="FootnoteReference"/>
        </w:rPr>
        <w:footnoteRef/>
      </w:r>
      <w:r>
        <w:t xml:space="preserve"> Cross-references for "fell at his feet": 1Kgs 17:24; 2Kgs 2:15.</w:t>
      </w:r>
    </w:p>
  </w:footnote>
  <w:footnote w:id="7051">
    <w:p>
      <w:pPr>
        <w:pStyle w:val="FootnoteText"/>
      </w:pPr>
      <w:r>
        <w:rPr>
          <w:rStyle w:val="FootnoteReference"/>
        </w:rPr>
        <w:footnoteRef/>
      </w:r>
      <w:r>
        <w:t xml:space="preserve"> Cross-references for "Elisha": 1Sam 7:16-17; 2Kgs 2:1.</w:t>
      </w:r>
    </w:p>
  </w:footnote>
  <w:footnote w:id="7052">
    <w:p>
      <w:pPr>
        <w:pStyle w:val="FootnoteText"/>
      </w:pPr>
      <w:r>
        <w:rPr>
          <w:rStyle w:val="FootnoteReference"/>
        </w:rPr>
        <w:footnoteRef/>
      </w:r>
      <w:r>
        <w:t xml:space="preserve"> Translation note: Greek says boil stew for sons of prophets.</w:t>
      </w:r>
    </w:p>
  </w:footnote>
  <w:footnote w:id="7053">
    <w:p>
      <w:pPr>
        <w:pStyle w:val="FootnoteText"/>
      </w:pPr>
      <w:r>
        <w:rPr>
          <w:rStyle w:val="FootnoteReference"/>
        </w:rPr>
        <w:footnoteRef/>
      </w:r>
      <w:r>
        <w:t xml:space="preserve"> Cross-references for "Death": Exod 10:17; Exod 15:23.</w:t>
      </w:r>
    </w:p>
  </w:footnote>
  <w:footnote w:id="7054">
    <w:p>
      <w:pPr>
        <w:pStyle w:val="FootnoteText"/>
      </w:pPr>
      <w:r>
        <w:rPr>
          <w:rStyle w:val="FootnoteReference"/>
        </w:rPr>
        <w:footnoteRef/>
      </w:r>
      <w:r>
        <w:t xml:space="preserve"> Transliterated proper noun: Baalshalisha. Standard English equivalent: Baalshalisha. Source form: Baalshalisha. Greek form: βαιθσαρισα. Name meaning: the god that presides over three; the third idol.</w:t>
      </w:r>
    </w:p>
  </w:footnote>
  <w:footnote w:id="7055">
    <w:p>
      <w:pPr>
        <w:pStyle w:val="FootnoteText"/>
      </w:pPr>
      <w:r>
        <w:rPr>
          <w:rStyle w:val="FootnoteReference"/>
        </w:rPr>
        <w:footnoteRef/>
      </w:r>
      <w:r>
        <w:t xml:space="preserve"> Cross-references for "Baalshalisha": 1Sam 9:4; 1Sam 9:7.</w:t>
      </w:r>
    </w:p>
  </w:footnote>
  <w:footnote w:id="7056">
    <w:p>
      <w:pPr>
        <w:pStyle w:val="FootnoteText"/>
      </w:pPr>
      <w:r>
        <w:rPr>
          <w:rStyle w:val="FootnoteReference"/>
        </w:rPr>
        <w:footnoteRef/>
      </w:r>
      <w:r>
        <w:t xml:space="preserve"> Cross-references for "Naaman": Luke 4:27.</w:t>
      </w:r>
    </w:p>
  </w:footnote>
  <w:footnote w:id="7057">
    <w:p>
      <w:pPr>
        <w:pStyle w:val="FootnoteText"/>
      </w:pPr>
      <w:r>
        <w:rPr>
          <w:rStyle w:val="FootnoteReference"/>
        </w:rPr>
        <w:footnoteRef/>
      </w:r>
      <w:r>
        <w:t xml:space="preserve"> Translation note: Greek says the Lord gave salvation to Syria.</w:t>
      </w:r>
    </w:p>
  </w:footnote>
  <w:footnote w:id="7058">
    <w:p>
      <w:pPr>
        <w:pStyle w:val="FootnoteText"/>
      </w:pPr>
      <w:r>
        <w:rPr>
          <w:rStyle w:val="FootnoteReference"/>
        </w:rPr>
        <w:footnoteRef/>
      </w:r>
      <w:r>
        <w:t xml:space="preserve"> Cross-references for "he would": 2Kgs 5:8; Matt 8:2-3.</w:t>
      </w:r>
    </w:p>
  </w:footnote>
  <w:footnote w:id="7059">
    <w:p>
      <w:pPr>
        <w:pStyle w:val="FootnoteText"/>
      </w:pPr>
      <w:r>
        <w:rPr>
          <w:rStyle w:val="FootnoteReference"/>
        </w:rPr>
        <w:footnoteRef/>
      </w:r>
      <w:r>
        <w:t xml:space="preserve"> Cross-references for "and took": Num 22:7; Num 22:17-18.</w:t>
      </w:r>
    </w:p>
  </w:footnote>
  <w:footnote w:id="7060">
    <w:p>
      <w:pPr>
        <w:pStyle w:val="FootnoteText"/>
      </w:pPr>
      <w:r>
        <w:rPr>
          <w:rStyle w:val="FootnoteReference"/>
        </w:rPr>
        <w:footnoteRef/>
      </w:r>
      <w:r>
        <w:t xml:space="preserve"> Translation note: The Greek explicitly says in his hand. The current wording keeps that line visible.</w:t>
      </w:r>
    </w:p>
  </w:footnote>
  <w:footnote w:id="7061">
    <w:p>
      <w:pPr>
        <w:pStyle w:val="FootnoteText"/>
      </w:pPr>
      <w:r>
        <w:rPr>
          <w:rStyle w:val="FootnoteReference"/>
        </w:rPr>
        <w:footnoteRef/>
      </w:r>
      <w:r>
        <w:t xml:space="preserve"> Translation note: Greek uses removal-from-disease wording here. Current wording preserves it.</w:t>
      </w:r>
    </w:p>
  </w:footnote>
  <w:footnote w:id="7062">
    <w:p>
      <w:pPr>
        <w:pStyle w:val="FootnoteText"/>
      </w:pPr>
      <w:r>
        <w:rPr>
          <w:rStyle w:val="FootnoteReference"/>
        </w:rPr>
        <w:footnoteRef/>
      </w:r>
      <w:r>
        <w:t xml:space="preserve"> Translation note: Greek uses a purpose or result clause that can be rendered with jussive force. The translation keeps the direct invitation tone.</w:t>
      </w:r>
    </w:p>
  </w:footnote>
  <w:footnote w:id="7063">
    <w:p>
      <w:pPr>
        <w:pStyle w:val="FootnoteText"/>
      </w:pPr>
      <w:r>
        <w:rPr>
          <w:rStyle w:val="FootnoteReference"/>
        </w:rPr>
        <w:footnoteRef/>
      </w:r>
      <w:r>
        <w:t xml:space="preserve"> Cross-references for "sent a messenger": Matt 15:23-26.</w:t>
      </w:r>
    </w:p>
  </w:footnote>
  <w:footnote w:id="7064">
    <w:p>
      <w:pPr>
        <w:pStyle w:val="FootnoteText"/>
      </w:pPr>
      <w:r>
        <w:rPr>
          <w:rStyle w:val="FootnoteReference"/>
        </w:rPr>
        <w:footnoteRef/>
      </w:r>
      <w:r>
        <w:t xml:space="preserve"> Cross-references for "Naaman": Prov 13:10; Matt 8:8.</w:t>
      </w:r>
    </w:p>
  </w:footnote>
  <w:footnote w:id="7065">
    <w:p>
      <w:pPr>
        <w:pStyle w:val="FootnoteText"/>
      </w:pPr>
      <w:r>
        <w:rPr>
          <w:rStyle w:val="FootnoteReference"/>
        </w:rPr>
        <w:footnoteRef/>
      </w:r>
      <w:r>
        <w:t xml:space="preserve"> Place name: Abana. Place-name meaning: Abana — made of stone; a building. Source form: Abana. Greek form: αβανα.</w:t>
      </w:r>
    </w:p>
  </w:footnote>
  <w:footnote w:id="7066">
    <w:p>
      <w:pPr>
        <w:pStyle w:val="FootnoteText"/>
      </w:pPr>
      <w:r>
        <w:rPr>
          <w:rStyle w:val="FootnoteReference"/>
        </w:rPr>
        <w:footnoteRef/>
      </w:r>
      <w:r>
        <w:t xml:space="preserve"> Place name: Pharpar. Place-name meaning: Pharpar — that produces fruit. Source form: Pharpar. Greek form: φαρφαρ.</w:t>
      </w:r>
    </w:p>
  </w:footnote>
  <w:footnote w:id="7067">
    <w:p>
      <w:pPr>
        <w:pStyle w:val="FootnoteText"/>
      </w:pPr>
      <w:r>
        <w:rPr>
          <w:rStyle w:val="FootnoteReference"/>
        </w:rPr>
        <w:footnoteRef/>
      </w:r>
      <w:r>
        <w:t xml:space="preserve"> Cross-references for "better": Josh 3:15-17; 2Kgs 2:8.</w:t>
      </w:r>
    </w:p>
  </w:footnote>
  <w:footnote w:id="7068">
    <w:p>
      <w:pPr>
        <w:pStyle w:val="FootnoteText"/>
      </w:pPr>
      <w:r>
        <w:rPr>
          <w:rStyle w:val="FootnoteReference"/>
        </w:rPr>
        <w:footnoteRef/>
      </w:r>
      <w:r>
        <w:t xml:space="preserve"> Cross-references for "his servants": 1Sam 25:14-17; 1Kgs 20:23.</w:t>
      </w:r>
    </w:p>
  </w:footnote>
  <w:footnote w:id="7069">
    <w:p>
      <w:pPr>
        <w:pStyle w:val="FootnoteText"/>
      </w:pPr>
      <w:r>
        <w:rPr>
          <w:rStyle w:val="FootnoteReference"/>
        </w:rPr>
        <w:footnoteRef/>
      </w:r>
      <w:r>
        <w:t xml:space="preserve"> Cross-references for "according to": 2Chr 20:20; John 2:5.</w:t>
      </w:r>
    </w:p>
  </w:footnote>
  <w:footnote w:id="7070">
    <w:p>
      <w:pPr>
        <w:pStyle w:val="FootnoteText"/>
      </w:pPr>
      <w:r>
        <w:rPr>
          <w:rStyle w:val="FootnoteReference"/>
        </w:rPr>
        <w:footnoteRef/>
      </w:r>
      <w:r>
        <w:t xml:space="preserve"> Cross-references for "he returned": Luke 17:15-18.</w:t>
      </w:r>
    </w:p>
  </w:footnote>
  <w:footnote w:id="7071">
    <w:p>
      <w:pPr>
        <w:pStyle w:val="FootnoteText"/>
      </w:pPr>
      <w:r>
        <w:rPr>
          <w:rStyle w:val="FootnoteReference"/>
        </w:rPr>
        <w:footnoteRef/>
      </w:r>
      <w:r>
        <w:t xml:space="preserve"> Cross-references for "As the Lord": 1Kgs 17:1; 1Kgs 18:15.</w:t>
      </w:r>
    </w:p>
  </w:footnote>
  <w:footnote w:id="7072">
    <w:p>
      <w:pPr>
        <w:pStyle w:val="FootnoteText"/>
      </w:pPr>
      <w:r>
        <w:rPr>
          <w:rStyle w:val="FootnoteReference"/>
        </w:rPr>
        <w:footnoteRef/>
      </w:r>
      <w:r>
        <w:t xml:space="preserve"> Translation note: Greek says red earth here. Current line keeps that wording.</w:t>
      </w:r>
    </w:p>
  </w:footnote>
  <w:footnote w:id="7073">
    <w:p>
      <w:pPr>
        <w:pStyle w:val="FootnoteText"/>
      </w:pPr>
      <w:r>
        <w:rPr>
          <w:rStyle w:val="FootnoteReference"/>
        </w:rPr>
        <w:footnoteRef/>
      </w:r>
      <w:r>
        <w:t xml:space="preserve"> Cross-references for "and I bow": Exod 20:5; 1Kgs 19:18.</w:t>
      </w:r>
    </w:p>
  </w:footnote>
  <w:footnote w:id="7074">
    <w:p>
      <w:pPr>
        <w:pStyle w:val="FootnoteText"/>
      </w:pPr>
      <w:r>
        <w:rPr>
          <w:rStyle w:val="FootnoteReference"/>
        </w:rPr>
        <w:footnoteRef/>
      </w:r>
      <w:r>
        <w:t xml:space="preserve"> Translation note: Greek repeats bowing in house of Remman.</w:t>
      </w:r>
    </w:p>
  </w:footnote>
  <w:footnote w:id="7075">
    <w:p>
      <w:pPr>
        <w:pStyle w:val="FootnoteText"/>
      </w:pPr>
      <w:r>
        <w:rPr>
          <w:rStyle w:val="FootnoteReference"/>
        </w:rPr>
        <w:footnoteRef/>
      </w:r>
      <w:r>
        <w:t xml:space="preserve"> Cross-references for "Go in peace": Exod 4:18; 1Sam 1:17.</w:t>
      </w:r>
    </w:p>
  </w:footnote>
  <w:footnote w:id="7076">
    <w:p>
      <w:pPr>
        <w:pStyle w:val="FootnoteText"/>
      </w:pPr>
      <w:r>
        <w:rPr>
          <w:rStyle w:val="FootnoteReference"/>
        </w:rPr>
        <w:footnoteRef/>
      </w:r>
      <w:r>
        <w:t xml:space="preserve"> Cross-references for "Gehazi": 2Kgs 4:12; 2Kgs 4:31.</w:t>
      </w:r>
    </w:p>
  </w:footnote>
  <w:footnote w:id="7077">
    <w:p>
      <w:pPr>
        <w:pStyle w:val="FootnoteText"/>
      </w:pPr>
      <w:r>
        <w:rPr>
          <w:rStyle w:val="FootnoteReference"/>
        </w:rPr>
        <w:footnoteRef/>
      </w:r>
      <w:r>
        <w:t xml:space="preserve"> Translation note: Greek keeps direct oath-pursuit line.</w:t>
      </w:r>
    </w:p>
  </w:footnote>
  <w:footnote w:id="7078">
    <w:p>
      <w:pPr>
        <w:pStyle w:val="FootnoteText"/>
      </w:pPr>
      <w:r>
        <w:rPr>
          <w:rStyle w:val="FootnoteReference"/>
        </w:rPr>
        <w:footnoteRef/>
      </w:r>
      <w:r>
        <w:t xml:space="preserve"> Cross-references for "the sons": 1Kgs 20:35; 2Kgs 2:3.</w:t>
      </w:r>
    </w:p>
  </w:footnote>
  <w:footnote w:id="7079">
    <w:p>
      <w:pPr>
        <w:pStyle w:val="FootnoteText"/>
      </w:pPr>
      <w:r>
        <w:rPr>
          <w:rStyle w:val="FootnoteReference"/>
        </w:rPr>
        <w:footnoteRef/>
      </w:r>
      <w:r>
        <w:t xml:space="preserve"> Translation note: Greek says two exchangeable garments, changes of garments.</w:t>
      </w:r>
    </w:p>
  </w:footnote>
  <w:footnote w:id="7080">
    <w:p>
      <w:pPr>
        <w:pStyle w:val="FootnoteText"/>
      </w:pPr>
      <w:r>
        <w:rPr>
          <w:rStyle w:val="FootnoteReference"/>
        </w:rPr>
        <w:footnoteRef/>
      </w:r>
      <w:r>
        <w:t xml:space="preserve"> Cross-references for "bound": 2Kgs 12:10.</w:t>
      </w:r>
    </w:p>
  </w:footnote>
  <w:footnote w:id="7081">
    <w:p>
      <w:pPr>
        <w:pStyle w:val="FootnoteText"/>
      </w:pPr>
      <w:r>
        <w:rPr>
          <w:rStyle w:val="FootnoteReference"/>
        </w:rPr>
        <w:footnoteRef/>
      </w:r>
      <w:r>
        <w:t xml:space="preserve"> Translation note: Greek says two bags here. Current line keeps that wording.</w:t>
      </w:r>
    </w:p>
  </w:footnote>
  <w:footnote w:id="7082">
    <w:p>
      <w:pPr>
        <w:pStyle w:val="FootnoteText"/>
      </w:pPr>
      <w:r>
        <w:rPr>
          <w:rStyle w:val="FootnoteReference"/>
        </w:rPr>
        <w:footnoteRef/>
      </w:r>
      <w:r>
        <w:t xml:space="preserve"> Translation note: Greek says my heart went with you when Naaman turned back.</w:t>
      </w:r>
    </w:p>
  </w:footnote>
  <w:footnote w:id="7083">
    <w:p>
      <w:pPr>
        <w:pStyle w:val="FootnoteText"/>
      </w:pPr>
      <w:r>
        <w:rPr>
          <w:rStyle w:val="FootnoteReference"/>
        </w:rPr>
        <w:footnoteRef/>
      </w:r>
      <w:r>
        <w:t xml:space="preserve"> Cross-references for "the sons": 1Kgs 20:35; 2Kgs 2:3.</w:t>
      </w:r>
    </w:p>
  </w:footnote>
  <w:footnote w:id="7084">
    <w:p>
      <w:pPr>
        <w:pStyle w:val="FootnoteText"/>
      </w:pPr>
      <w:r>
        <w:rPr>
          <w:rStyle w:val="FootnoteReference"/>
        </w:rPr>
        <w:footnoteRef/>
      </w:r>
      <w:r>
        <w:t xml:space="preserve"> Cross-references for "master": 2Kgs 3:10; 2Kgs 6:15.</w:t>
      </w:r>
    </w:p>
  </w:footnote>
  <w:footnote w:id="7085">
    <w:p>
      <w:pPr>
        <w:pStyle w:val="FootnoteText"/>
      </w:pPr>
      <w:r>
        <w:rPr>
          <w:rStyle w:val="FootnoteReference"/>
        </w:rPr>
        <w:footnoteRef/>
      </w:r>
      <w:r>
        <w:t xml:space="preserve"> Cross-references for "Beware": 1Kgs 20:13; 1Kgs 20:28.</w:t>
      </w:r>
    </w:p>
  </w:footnote>
  <w:footnote w:id="7086">
    <w:p>
      <w:pPr>
        <w:pStyle w:val="FootnoteText"/>
      </w:pPr>
      <w:r>
        <w:rPr>
          <w:rStyle w:val="FootnoteReference"/>
        </w:rPr>
        <w:footnoteRef/>
      </w:r>
      <w:r>
        <w:t xml:space="preserve"> Cross-references for "sent to the place": Exod 9:20-21; 1Kgs 20:15.</w:t>
      </w:r>
    </w:p>
  </w:footnote>
  <w:footnote w:id="7087">
    <w:p>
      <w:pPr>
        <w:pStyle w:val="FootnoteText"/>
      </w:pPr>
      <w:r>
        <w:rPr>
          <w:rStyle w:val="FootnoteReference"/>
        </w:rPr>
        <w:footnoteRef/>
      </w:r>
      <w:r>
        <w:t xml:space="preserve"> Cross-references for "Elisha": 2Kgs 5:3; 2Kgs 5:8.</w:t>
      </w:r>
    </w:p>
  </w:footnote>
  <w:footnote w:id="7088">
    <w:p>
      <w:pPr>
        <w:pStyle w:val="FootnoteText"/>
      </w:pPr>
      <w:r>
        <w:rPr>
          <w:rStyle w:val="FootnoteReference"/>
        </w:rPr>
        <w:footnoteRef/>
      </w:r>
      <w:r>
        <w:t xml:space="preserve"> Cross-references for "Dothan": Gen 37:17.</w:t>
      </w:r>
    </w:p>
  </w:footnote>
  <w:footnote w:id="7089">
    <w:p>
      <w:pPr>
        <w:pStyle w:val="FootnoteText"/>
      </w:pPr>
      <w:r>
        <w:rPr>
          <w:rStyle w:val="FootnoteReference"/>
        </w:rPr>
        <w:footnoteRef/>
      </w:r>
      <w:r>
        <w:t xml:space="preserve"> Cross-references for "servant": Exod 24:13; 1Kgs 19:21.</w:t>
      </w:r>
    </w:p>
  </w:footnote>
  <w:footnote w:id="7090">
    <w:p>
      <w:pPr>
        <w:pStyle w:val="FootnoteText"/>
      </w:pPr>
      <w:r>
        <w:rPr>
          <w:rStyle w:val="FootnoteReference"/>
        </w:rPr>
        <w:footnoteRef/>
      </w:r>
      <w:r>
        <w:t xml:space="preserve"> Cross-references for "prayed": Ps 91:15; Jas 5:16-18.</w:t>
      </w:r>
    </w:p>
  </w:footnote>
  <w:footnote w:id="7091">
    <w:p>
      <w:pPr>
        <w:pStyle w:val="FootnoteText"/>
      </w:pPr>
      <w:r>
        <w:rPr>
          <w:rStyle w:val="FootnoteReference"/>
        </w:rPr>
        <w:footnoteRef/>
      </w:r>
      <w:r>
        <w:t xml:space="preserve"> Translation note: Greek says the mountain was full of horses and chariots of fire around Elisaie.</w:t>
      </w:r>
    </w:p>
  </w:footnote>
  <w:footnote w:id="7092">
    <w:p>
      <w:pPr>
        <w:pStyle w:val="FootnoteText"/>
      </w:pPr>
      <w:r>
        <w:rPr>
          <w:rStyle w:val="FootnoteReference"/>
        </w:rPr>
        <w:footnoteRef/>
      </w:r>
      <w:r>
        <w:t xml:space="preserve"> Translation note: Greek gives a compact prayer clause. The translation keeps it concise.</w:t>
      </w:r>
    </w:p>
  </w:footnote>
  <w:footnote w:id="7093">
    <w:p>
      <w:pPr>
        <w:pStyle w:val="FootnoteText"/>
      </w:pPr>
      <w:r>
        <w:rPr>
          <w:rStyle w:val="FootnoteReference"/>
        </w:rPr>
        <w:footnoteRef/>
      </w:r>
      <w:r>
        <w:t xml:space="preserve"> Cross-references for "opened": Judg 20:40-42; Luke 16:23.</w:t>
      </w:r>
    </w:p>
  </w:footnote>
  <w:footnote w:id="7094">
    <w:p>
      <w:pPr>
        <w:pStyle w:val="FootnoteText"/>
      </w:pPr>
      <w:r>
        <w:rPr>
          <w:rStyle w:val="FootnoteReference"/>
        </w:rPr>
        <w:footnoteRef/>
      </w:r>
      <w:r>
        <w:t xml:space="preserve"> Translation note: The Greek keeps Elisha's mercy command direct. The current wording preserves it.</w:t>
      </w:r>
    </w:p>
  </w:footnote>
  <w:footnote w:id="7095">
    <w:p>
      <w:pPr>
        <w:pStyle w:val="FootnoteText"/>
      </w:pPr>
      <w:r>
        <w:rPr>
          <w:rStyle w:val="FootnoteReference"/>
        </w:rPr>
        <w:footnoteRef/>
      </w:r>
      <w:r>
        <w:t xml:space="preserve"> Cross-references for "Set bread": Prov 25:21-22; Matt 5:44.</w:t>
      </w:r>
    </w:p>
  </w:footnote>
  <w:footnote w:id="7096">
    <w:p>
      <w:pPr>
        <w:pStyle w:val="FootnoteText"/>
      </w:pPr>
      <w:r>
        <w:rPr>
          <w:rStyle w:val="FootnoteReference"/>
        </w:rPr>
        <w:footnoteRef/>
      </w:r>
      <w:r>
        <w:t xml:space="preserve"> Cross-references for "gathered": Deut 28:52; 1Kgs 20:1.</w:t>
      </w:r>
    </w:p>
  </w:footnote>
  <w:footnote w:id="7097">
    <w:p>
      <w:pPr>
        <w:pStyle w:val="FootnoteText"/>
      </w:pPr>
      <w:r>
        <w:rPr>
          <w:rStyle w:val="FootnoteReference"/>
        </w:rPr>
        <w:footnoteRef/>
      </w:r>
      <w:r>
        <w:t xml:space="preserve"> Cross-references for "a great famine": 1Kgs 18:2; 2Kgs 6:28-29.</w:t>
      </w:r>
    </w:p>
  </w:footnote>
  <w:footnote w:id="7098">
    <w:p>
      <w:pPr>
        <w:pStyle w:val="FootnoteText"/>
      </w:pPr>
      <w:r>
        <w:rPr>
          <w:rStyle w:val="FootnoteReference"/>
        </w:rPr>
        <w:footnoteRef/>
      </w:r>
      <w:r>
        <w:t xml:space="preserve"> Translation note: Greek gives fifty shekels here.</w:t>
      </w:r>
    </w:p>
  </w:footnote>
  <w:footnote w:id="7099">
    <w:p>
      <w:pPr>
        <w:pStyle w:val="FootnoteText"/>
      </w:pPr>
      <w:r>
        <w:rPr>
          <w:rStyle w:val="FootnoteReference"/>
        </w:rPr>
        <w:footnoteRef/>
      </w:r>
      <w:r>
        <w:t xml:space="preserve"> Cross-references for "my lord": 2Sam 14:4; Isa 10:3.</w:t>
      </w:r>
    </w:p>
  </w:footnote>
  <w:footnote w:id="7100">
    <w:p>
      <w:pPr>
        <w:pStyle w:val="FootnoteText"/>
      </w:pPr>
      <w:r>
        <w:rPr>
          <w:rStyle w:val="FootnoteReference"/>
        </w:rPr>
        <w:footnoteRef/>
      </w:r>
      <w:r>
        <w:t xml:space="preserve"> Translation note: Greek reports the woman's proposal directly and starkly. Current wording preserves that horror without smoothing.</w:t>
      </w:r>
    </w:p>
  </w:footnote>
  <w:footnote w:id="7101">
    <w:p>
      <w:pPr>
        <w:pStyle w:val="FootnoteText"/>
      </w:pPr>
      <w:r>
        <w:rPr>
          <w:rStyle w:val="FootnoteReference"/>
        </w:rPr>
        <w:footnoteRef/>
      </w:r>
      <w:r>
        <w:t xml:space="preserve"> Cross-references for "if the head": 1Kgs 18:17; 1Kgs 19:2.</w:t>
      </w:r>
    </w:p>
  </w:footnote>
  <w:footnote w:id="7102">
    <w:p>
      <w:pPr>
        <w:pStyle w:val="FootnoteText"/>
      </w:pPr>
      <w:r>
        <w:rPr>
          <w:rStyle w:val="FootnoteReference"/>
        </w:rPr>
        <w:footnoteRef/>
      </w:r>
      <w:r>
        <w:t xml:space="preserve"> Cross-references for "the elders": Ezek 8:1; Ezek 14:1.</w:t>
      </w:r>
    </w:p>
  </w:footnote>
  <w:footnote w:id="7103">
    <w:p>
      <w:pPr>
        <w:pStyle w:val="FootnoteText"/>
      </w:pPr>
      <w:r>
        <w:rPr>
          <w:rStyle w:val="FootnoteReference"/>
        </w:rPr>
        <w:footnoteRef/>
      </w:r>
      <w:r>
        <w:t xml:space="preserve"> Translation note: Greek keeps son-of-a-murderer line here.</w:t>
      </w:r>
    </w:p>
  </w:footnote>
  <w:footnote w:id="7104">
    <w:p>
      <w:pPr>
        <w:pStyle w:val="FootnoteText"/>
      </w:pPr>
      <w:r>
        <w:rPr>
          <w:rStyle w:val="FootnoteReference"/>
        </w:rPr>
        <w:footnoteRef/>
      </w:r>
      <w:r>
        <w:t xml:space="preserve"> Cross-references for "wait for the": Ps 27:14; Ps 37:7.</w:t>
      </w:r>
    </w:p>
  </w:footnote>
  <w:footnote w:id="7105">
    <w:p>
      <w:pPr>
        <w:pStyle w:val="FootnoteText"/>
      </w:pPr>
      <w:r>
        <w:rPr>
          <w:rStyle w:val="FootnoteReference"/>
        </w:rPr>
        <w:footnoteRef/>
      </w:r>
      <w:r>
        <w:t xml:space="preserve"> Cross-references for "Elisha said": 1Kgs 22:19; 2Kgs 6:33.</w:t>
      </w:r>
    </w:p>
  </w:footnote>
  <w:footnote w:id="7106">
    <w:p>
      <w:pPr>
        <w:pStyle w:val="FootnoteText"/>
      </w:pPr>
      <w:r>
        <w:rPr>
          <w:rStyle w:val="FootnoteReference"/>
        </w:rPr>
        <w:footnoteRef/>
      </w:r>
      <w:r>
        <w:t xml:space="preserve"> Cross-references for "if the Lord": Gen 18:12-14; Num 11:21-23.</w:t>
      </w:r>
    </w:p>
  </w:footnote>
  <w:footnote w:id="7107">
    <w:p>
      <w:pPr>
        <w:pStyle w:val="FootnoteText"/>
      </w:pPr>
      <w:r>
        <w:rPr>
          <w:rStyle w:val="FootnoteReference"/>
        </w:rPr>
        <w:footnoteRef/>
      </w:r>
      <w:r>
        <w:t xml:space="preserve"> Translation note: Greek says floodgates in heaven here.</w:t>
      </w:r>
    </w:p>
  </w:footnote>
  <w:footnote w:id="7108">
    <w:p>
      <w:pPr>
        <w:pStyle w:val="FootnoteText"/>
      </w:pPr>
      <w:r>
        <w:rPr>
          <w:rStyle w:val="FootnoteReference"/>
        </w:rPr>
        <w:footnoteRef/>
      </w:r>
      <w:r>
        <w:t xml:space="preserve"> Cross-references for "let us fall": 1Chr 12:19; Jer 37:13-14.</w:t>
      </w:r>
    </w:p>
  </w:footnote>
  <w:footnote w:id="7109">
    <w:p>
      <w:pPr>
        <w:pStyle w:val="FootnoteText"/>
      </w:pPr>
      <w:r>
        <w:rPr>
          <w:rStyle w:val="FootnoteReference"/>
        </w:rPr>
        <w:footnoteRef/>
      </w:r>
      <w:r>
        <w:t xml:space="preserve"> Translation note: Greek uses a direct life-preserving verb. The translation keeps that force.</w:t>
      </w:r>
    </w:p>
  </w:footnote>
  <w:footnote w:id="7110">
    <w:p>
      <w:pPr>
        <w:pStyle w:val="FootnoteText"/>
      </w:pPr>
      <w:r>
        <w:rPr>
          <w:rStyle w:val="FootnoteReference"/>
        </w:rPr>
        <w:footnoteRef/>
      </w:r>
      <w:r>
        <w:t xml:space="preserve"> Cross-references for "behold": Lev 27:8; Lev 27:26.</w:t>
      </w:r>
    </w:p>
  </w:footnote>
  <w:footnote w:id="7111">
    <w:p>
      <w:pPr>
        <w:pStyle w:val="FootnoteText"/>
      </w:pPr>
      <w:r>
        <w:rPr>
          <w:rStyle w:val="FootnoteReference"/>
        </w:rPr>
        <w:footnoteRef/>
      </w:r>
      <w:r>
        <w:t xml:space="preserve"> Cross-references for "the Lord": 2Sam 5:24; 2Kgs 3:22.</w:t>
      </w:r>
    </w:p>
  </w:footnote>
  <w:footnote w:id="7112">
    <w:p>
      <w:pPr>
        <w:pStyle w:val="FootnoteText"/>
      </w:pPr>
      <w:r>
        <w:rPr>
          <w:rStyle w:val="FootnoteReference"/>
        </w:rPr>
        <w:footnoteRef/>
      </w:r>
      <w:r>
        <w:t xml:space="preserve"> Translation note: Greek uses singular collective sound phrases for chariot, horse, and force. The translation keeps that wording.</w:t>
      </w:r>
    </w:p>
  </w:footnote>
  <w:footnote w:id="7113">
    <w:p>
      <w:pPr>
        <w:pStyle w:val="FootnoteText"/>
      </w:pPr>
      <w:r>
        <w:rPr>
          <w:rStyle w:val="FootnoteReference"/>
        </w:rPr>
        <w:footnoteRef/>
      </w:r>
      <w:r>
        <w:t xml:space="preserve"> Cross-references for "their horses": Ps 20:7-8; Ps 33:17.</w:t>
      </w:r>
    </w:p>
  </w:footnote>
  <w:footnote w:id="7114">
    <w:p>
      <w:pPr>
        <w:pStyle w:val="FootnoteText"/>
      </w:pPr>
      <w:r>
        <w:rPr>
          <w:rStyle w:val="FootnoteReference"/>
        </w:rPr>
        <w:footnoteRef/>
      </w:r>
      <w:r>
        <w:t xml:space="preserve"> Translation note: Project keeps skin-disease wording here instead of lepers.</w:t>
      </w:r>
    </w:p>
  </w:footnote>
  <w:footnote w:id="7115">
    <w:p>
      <w:pPr>
        <w:pStyle w:val="FootnoteText"/>
      </w:pPr>
      <w:r>
        <w:rPr>
          <w:rStyle w:val="FootnoteReference"/>
        </w:rPr>
        <w:footnoteRef/>
      </w:r>
      <w:r>
        <w:t xml:space="preserve"> Cross-references for "This day": 2Kgs 7:6; Isa 41:27.</w:t>
      </w:r>
    </w:p>
  </w:footnote>
  <w:footnote w:id="7116">
    <w:p>
      <w:pPr>
        <w:pStyle w:val="FootnoteText"/>
      </w:pPr>
      <w:r>
        <w:rPr>
          <w:rStyle w:val="FootnoteReference"/>
        </w:rPr>
        <w:footnoteRef/>
      </w:r>
      <w:r>
        <w:t xml:space="preserve"> Translation note: Greek says good news here and later lawlessness will find us.</w:t>
      </w:r>
    </w:p>
  </w:footnote>
  <w:footnote w:id="7117">
    <w:p>
      <w:pPr>
        <w:pStyle w:val="FootnoteText"/>
      </w:pPr>
      <w:r>
        <w:rPr>
          <w:rStyle w:val="FootnoteReference"/>
        </w:rPr>
        <w:footnoteRef/>
      </w:r>
      <w:r>
        <w:t xml:space="preserve"> Translation note: Greek says no man and no human voice, only horses tied and donkeys.</w:t>
      </w:r>
    </w:p>
  </w:footnote>
  <w:footnote w:id="7118">
    <w:p>
      <w:pPr>
        <w:pStyle w:val="FootnoteText"/>
      </w:pPr>
      <w:r>
        <w:rPr>
          <w:rStyle w:val="FootnoteReference"/>
        </w:rPr>
        <w:footnoteRef/>
      </w:r>
      <w:r>
        <w:t xml:space="preserve"> Translation note: Greek says when they come out from city.</w:t>
      </w:r>
    </w:p>
  </w:footnote>
  <w:footnote w:id="7119">
    <w:p>
      <w:pPr>
        <w:pStyle w:val="FootnoteText"/>
      </w:pPr>
      <w:r>
        <w:rPr>
          <w:rStyle w:val="FootnoteReference"/>
        </w:rPr>
        <w:footnoteRef/>
      </w:r>
      <w:r>
        <w:t xml:space="preserve"> Translation note: Greek says failed here. Current line keeps that wording.</w:t>
      </w:r>
    </w:p>
  </w:footnote>
  <w:footnote w:id="7120">
    <w:p>
      <w:pPr>
        <w:pStyle w:val="FootnoteText"/>
      </w:pPr>
      <w:r>
        <w:rPr>
          <w:rStyle w:val="FootnoteReference"/>
        </w:rPr>
        <w:footnoteRef/>
      </w:r>
      <w:r>
        <w:t xml:space="preserve"> Cross-references for "vessels": Isa 22:24; Esth 1:7.</w:t>
      </w:r>
    </w:p>
  </w:footnote>
  <w:footnote w:id="7121">
    <w:p>
      <w:pPr>
        <w:pStyle w:val="FootnoteText"/>
      </w:pPr>
      <w:r>
        <w:rPr>
          <w:rStyle w:val="FootnoteReference"/>
        </w:rPr>
        <w:footnoteRef/>
      </w:r>
      <w:r>
        <w:t xml:space="preserve"> Cross-references for "according to": Num 23:19; 2Kgs 7:1.</w:t>
      </w:r>
    </w:p>
  </w:footnote>
  <w:footnote w:id="7122">
    <w:p>
      <w:pPr>
        <w:pStyle w:val="FootnoteText"/>
      </w:pPr>
      <w:r>
        <w:rPr>
          <w:rStyle w:val="FootnoteReference"/>
        </w:rPr>
        <w:footnoteRef/>
      </w:r>
      <w:r>
        <w:t xml:space="preserve"> Translation note: Greek says officer on whose hand king leaned.</w:t>
      </w:r>
    </w:p>
  </w:footnote>
  <w:footnote w:id="7123">
    <w:p>
      <w:pPr>
        <w:pStyle w:val="FootnoteText"/>
      </w:pPr>
      <w:r>
        <w:rPr>
          <w:rStyle w:val="FootnoteReference"/>
        </w:rPr>
        <w:footnoteRef/>
      </w:r>
      <w:r>
        <w:t xml:space="preserve"> Translation note: Greek keeps direct price formula.</w:t>
      </w:r>
    </w:p>
  </w:footnote>
  <w:footnote w:id="7124">
    <w:p>
      <w:pPr>
        <w:pStyle w:val="FootnoteText"/>
      </w:pPr>
      <w:r>
        <w:rPr>
          <w:rStyle w:val="FootnoteReference"/>
        </w:rPr>
        <w:footnoteRef/>
      </w:r>
      <w:r>
        <w:t xml:space="preserve"> Cross-references for "whose son": 2Kgs 4:18; 2Kgs 4:31-35.</w:t>
      </w:r>
    </w:p>
  </w:footnote>
  <w:footnote w:id="7125">
    <w:p>
      <w:pPr>
        <w:pStyle w:val="FootnoteText"/>
      </w:pPr>
      <w:r>
        <w:rPr>
          <w:rStyle w:val="FootnoteReference"/>
        </w:rPr>
        <w:footnoteRef/>
      </w:r>
      <w:r>
        <w:t xml:space="preserve"> Cross-references for "Gehazi": 2Kgs 5:20-27; 2Kgs 7:3.</w:t>
      </w:r>
    </w:p>
  </w:footnote>
  <w:footnote w:id="7126">
    <w:p>
      <w:pPr>
        <w:pStyle w:val="FootnoteText"/>
      </w:pPr>
      <w:r>
        <w:rPr>
          <w:rStyle w:val="FootnoteReference"/>
        </w:rPr>
        <w:footnoteRef/>
      </w:r>
      <w:r>
        <w:t xml:space="preserve"> Cross-references for "the woman": Ruth 2:3; Prov 16:9.</w:t>
      </w:r>
    </w:p>
  </w:footnote>
  <w:footnote w:id="7127">
    <w:p>
      <w:pPr>
        <w:pStyle w:val="FootnoteText"/>
      </w:pPr>
      <w:r>
        <w:rPr>
          <w:rStyle w:val="FootnoteReference"/>
        </w:rPr>
        <w:footnoteRef/>
      </w:r>
      <w:r>
        <w:t xml:space="preserve"> Translation note: Greek says Elisaie restored dead son to life.</w:t>
      </w:r>
    </w:p>
  </w:footnote>
  <w:footnote w:id="7128">
    <w:p>
      <w:pPr>
        <w:pStyle w:val="FootnoteText"/>
      </w:pPr>
      <w:r>
        <w:rPr>
          <w:rStyle w:val="FootnoteReference"/>
        </w:rPr>
        <w:footnoteRef/>
      </w:r>
      <w:r>
        <w:t xml:space="preserve"> Translation note: Greek says recounted here. Current line keeps that fuller verb.</w:t>
      </w:r>
    </w:p>
  </w:footnote>
  <w:footnote w:id="7129">
    <w:p>
      <w:pPr>
        <w:pStyle w:val="FootnoteText"/>
      </w:pPr>
      <w:r>
        <w:rPr>
          <w:rStyle w:val="FootnoteReference"/>
        </w:rPr>
        <w:footnoteRef/>
      </w:r>
      <w:r>
        <w:t xml:space="preserve"> Cross-references for "Restore all": Deut 22:2; Judg 11:13.</w:t>
      </w:r>
    </w:p>
  </w:footnote>
  <w:footnote w:id="7130">
    <w:p>
      <w:pPr>
        <w:pStyle w:val="FootnoteText"/>
      </w:pPr>
      <w:r>
        <w:rPr>
          <w:rStyle w:val="FootnoteReference"/>
        </w:rPr>
        <w:footnoteRef/>
      </w:r>
      <w:r>
        <w:t xml:space="preserve"> Cross-references for "Damascus": Gen 14:15; 1Kgs 11:24.</w:t>
      </w:r>
    </w:p>
  </w:footnote>
  <w:footnote w:id="7131">
    <w:p>
      <w:pPr>
        <w:pStyle w:val="FootnoteText"/>
      </w:pPr>
      <w:r>
        <w:rPr>
          <w:rStyle w:val="FootnoteReference"/>
        </w:rPr>
        <w:footnoteRef/>
      </w:r>
      <w:r>
        <w:t xml:space="preserve"> Translation note: Greek closes the report with here-language. Current wording preserves it.</w:t>
      </w:r>
    </w:p>
  </w:footnote>
  <w:footnote w:id="7132">
    <w:p>
      <w:pPr>
        <w:pStyle w:val="FootnoteText"/>
      </w:pPr>
      <w:r>
        <w:rPr>
          <w:rStyle w:val="FootnoteReference"/>
        </w:rPr>
        <w:footnoteRef/>
      </w:r>
      <w:r>
        <w:t xml:space="preserve"> Cross-references for "Hazael": 1Kgs 19:15.</w:t>
      </w:r>
    </w:p>
  </w:footnote>
  <w:footnote w:id="7133">
    <w:p>
      <w:pPr>
        <w:pStyle w:val="FootnoteText"/>
      </w:pPr>
      <w:r>
        <w:rPr>
          <w:rStyle w:val="FootnoteReference"/>
        </w:rPr>
        <w:footnoteRef/>
      </w:r>
      <w:r>
        <w:t xml:space="preserve"> Cross-references for "Hazael": 1Kgs 19:15.</w:t>
      </w:r>
    </w:p>
  </w:footnote>
  <w:footnote w:id="7134">
    <w:p>
      <w:pPr>
        <w:pStyle w:val="FootnoteText"/>
      </w:pPr>
      <w:r>
        <w:rPr>
          <w:rStyle w:val="FootnoteReference"/>
        </w:rPr>
        <w:footnoteRef/>
      </w:r>
      <w:r>
        <w:t xml:space="preserve"> Cross-references for "the Lord": Gen 41:39; 2Kgs 8:13.</w:t>
      </w:r>
    </w:p>
  </w:footnote>
  <w:footnote w:id="7135">
    <w:p>
      <w:pPr>
        <w:pStyle w:val="FootnoteText"/>
      </w:pPr>
      <w:r>
        <w:rPr>
          <w:rStyle w:val="FootnoteReference"/>
        </w:rPr>
        <w:footnoteRef/>
      </w:r>
      <w:r>
        <w:t xml:space="preserve"> Cross-references for "wept": Gen 45:2; Ps 119:136.</w:t>
      </w:r>
    </w:p>
  </w:footnote>
  <w:footnote w:id="7136">
    <w:p>
      <w:pPr>
        <w:pStyle w:val="FootnoteText"/>
      </w:pPr>
      <w:r>
        <w:rPr>
          <w:rStyle w:val="FootnoteReference"/>
        </w:rPr>
        <w:footnoteRef/>
      </w:r>
      <w:r>
        <w:t xml:space="preserve"> Cross-references for "my lord": 1Kgs 18:13; 2Kgs 4:28.</w:t>
      </w:r>
    </w:p>
  </w:footnote>
  <w:footnote w:id="7137">
    <w:p>
      <w:pPr>
        <w:pStyle w:val="FootnoteText"/>
      </w:pPr>
      <w:r>
        <w:rPr>
          <w:rStyle w:val="FootnoteReference"/>
        </w:rPr>
        <w:footnoteRef/>
      </w:r>
      <w:r>
        <w:t xml:space="preserve"> Translation note: Greek line matches current rendering closely here.</w:t>
      </w:r>
    </w:p>
  </w:footnote>
  <w:footnote w:id="7138">
    <w:p>
      <w:pPr>
        <w:pStyle w:val="FootnoteText"/>
      </w:pPr>
      <w:r>
        <w:rPr>
          <w:rStyle w:val="FootnoteReference"/>
        </w:rPr>
        <w:footnoteRef/>
      </w:r>
      <w:r>
        <w:t xml:space="preserve"> Cross-references for "he should do": Jer 17:9; Matt 26:33-35.</w:t>
      </w:r>
    </w:p>
  </w:footnote>
  <w:footnote w:id="7139">
    <w:p>
      <w:pPr>
        <w:pStyle w:val="FootnoteText"/>
      </w:pPr>
      <w:r>
        <w:rPr>
          <w:rStyle w:val="FootnoteReference"/>
        </w:rPr>
        <w:footnoteRef/>
      </w:r>
      <w:r>
        <w:t xml:space="preserve"> Cross-references for "And it came": 1Sam 16:12-13; 1Sam 24:4-7.</w:t>
      </w:r>
    </w:p>
  </w:footnote>
  <w:footnote w:id="7140">
    <w:p>
      <w:pPr>
        <w:pStyle w:val="FootnoteText"/>
      </w:pPr>
      <w:r>
        <w:rPr>
          <w:rStyle w:val="FootnoteReference"/>
        </w:rPr>
        <w:footnoteRef/>
      </w:r>
      <w:r>
        <w:t xml:space="preserve"> Cross-references for "Jehoram": 1Kgs 22:50; 2Kgs 1:17.</w:t>
      </w:r>
    </w:p>
  </w:footnote>
  <w:footnote w:id="7141">
    <w:p>
      <w:pPr>
        <w:pStyle w:val="FootnoteText"/>
      </w:pPr>
      <w:r>
        <w:rPr>
          <w:rStyle w:val="FootnoteReference"/>
        </w:rPr>
        <w:footnoteRef/>
      </w:r>
      <w:r>
        <w:t xml:space="preserve"> Cross-references for "in the way": 1Kgs 22:52-53; 2Kgs 3:2-3.</w:t>
      </w:r>
    </w:p>
  </w:footnote>
  <w:footnote w:id="7142">
    <w:p>
      <w:pPr>
        <w:pStyle w:val="FootnoteText"/>
      </w:pPr>
      <w:r>
        <w:rPr>
          <w:rStyle w:val="FootnoteReference"/>
        </w:rPr>
        <w:footnoteRef/>
      </w:r>
      <w:r>
        <w:t xml:space="preserve"> Cross-references for "Edom": Gen 27:40; 2Kgs 3:9.</w:t>
      </w:r>
    </w:p>
  </w:footnote>
  <w:footnote w:id="7143">
    <w:p>
      <w:pPr>
        <w:pStyle w:val="FootnoteText"/>
      </w:pPr>
      <w:r>
        <w:rPr>
          <w:rStyle w:val="FootnoteReference"/>
        </w:rPr>
        <w:footnoteRef/>
      </w:r>
      <w:r>
        <w:t xml:space="preserve"> Transliterated proper noun: Sior. Standard English equivalent: Zair. Source form: Sior. Greek form: σιωρ. Name meaning: little; afflicted; in tribulation.</w:t>
      </w:r>
    </w:p>
  </w:footnote>
  <w:footnote w:id="7144">
    <w:p>
      <w:pPr>
        <w:pStyle w:val="FootnoteText"/>
      </w:pPr>
      <w:r>
        <w:rPr>
          <w:rStyle w:val="FootnoteReference"/>
        </w:rPr>
        <w:footnoteRef/>
      </w:r>
      <w:r>
        <w:t xml:space="preserve"> Translation note: Greek keeps the encirclement line explicit. Current wording preserves it.</w:t>
      </w:r>
    </w:p>
  </w:footnote>
  <w:footnote w:id="7145">
    <w:p>
      <w:pPr>
        <w:pStyle w:val="FootnoteText"/>
      </w:pPr>
      <w:r>
        <w:rPr>
          <w:rStyle w:val="FootnoteReference"/>
        </w:rPr>
        <w:footnoteRef/>
      </w:r>
      <w:r>
        <w:t xml:space="preserve"> Cross-references for "Zair": 2Kgs 8:21.</w:t>
      </w:r>
    </w:p>
  </w:footnote>
  <w:footnote w:id="7146">
    <w:p>
      <w:pPr>
        <w:pStyle w:val="FootnoteText"/>
      </w:pPr>
      <w:r>
        <w:rPr>
          <w:rStyle w:val="FootnoteReference"/>
        </w:rPr>
        <w:footnoteRef/>
      </w:r>
      <w:r>
        <w:t xml:space="preserve"> Cross-references for "Libnah": Josh 21:13; 2Kgs 19:8.</w:t>
      </w:r>
    </w:p>
  </w:footnote>
  <w:footnote w:id="7147">
    <w:p>
      <w:pPr>
        <w:pStyle w:val="FootnoteText"/>
      </w:pPr>
      <w:r>
        <w:rPr>
          <w:rStyle w:val="FootnoteReference"/>
        </w:rPr>
        <w:footnoteRef/>
      </w:r>
      <w:r>
        <w:t xml:space="preserve"> Cross-references for "slept": 1Kgs 2:10; 1Kgs 11:43.</w:t>
      </w:r>
    </w:p>
  </w:footnote>
  <w:footnote w:id="7148">
    <w:p>
      <w:pPr>
        <w:pStyle w:val="FootnoteText"/>
      </w:pPr>
      <w:r>
        <w:rPr>
          <w:rStyle w:val="FootnoteReference"/>
        </w:rPr>
        <w:footnoteRef/>
      </w:r>
      <w:r>
        <w:t xml:space="preserve"> Cross-references for "one year": 2Kgs 9:21-27; 2Chr 22:5-8.</w:t>
      </w:r>
    </w:p>
  </w:footnote>
  <w:footnote w:id="7149">
    <w:p>
      <w:pPr>
        <w:pStyle w:val="FootnoteText"/>
      </w:pPr>
      <w:r>
        <w:rPr>
          <w:rStyle w:val="FootnoteReference"/>
        </w:rPr>
        <w:footnoteRef/>
      </w:r>
      <w:r>
        <w:t xml:space="preserve"> Personal name: Athaliah. Personal-name meaning: Athaliah — the time of the Lord. Source form: Athaliah.</w:t>
      </w:r>
    </w:p>
  </w:footnote>
  <w:footnote w:id="7150">
    <w:p>
      <w:pPr>
        <w:pStyle w:val="FootnoteText"/>
      </w:pPr>
      <w:r>
        <w:rPr>
          <w:rStyle w:val="FootnoteReference"/>
        </w:rPr>
        <w:footnoteRef/>
      </w:r>
      <w:r>
        <w:t xml:space="preserve"> Cross-references for "he walked": 2Kgs 8:18.</w:t>
      </w:r>
    </w:p>
  </w:footnote>
  <w:footnote w:id="7151">
    <w:p>
      <w:pPr>
        <w:pStyle w:val="FootnoteText"/>
      </w:pPr>
      <w:r>
        <w:rPr>
          <w:rStyle w:val="FootnoteReference"/>
        </w:rPr>
        <w:footnoteRef/>
      </w:r>
      <w:r>
        <w:t xml:space="preserve"> Cross-references for "Hazael": 1Kgs 19:17; 2Kgs 8:12-13.</w:t>
      </w:r>
    </w:p>
  </w:footnote>
  <w:footnote w:id="7152">
    <w:p>
      <w:pPr>
        <w:pStyle w:val="FootnoteText"/>
      </w:pPr>
      <w:r>
        <w:rPr>
          <w:rStyle w:val="FootnoteReference"/>
        </w:rPr>
        <w:footnoteRef/>
      </w:r>
      <w:r>
        <w:t xml:space="preserve"> Cross-references for "Joram": 2Kgs 9:15.</w:t>
      </w:r>
    </w:p>
  </w:footnote>
  <w:footnote w:id="7153">
    <w:p>
      <w:pPr>
        <w:pStyle w:val="FootnoteText"/>
      </w:pPr>
      <w:r>
        <w:rPr>
          <w:rStyle w:val="FootnoteReference"/>
        </w:rPr>
        <w:footnoteRef/>
      </w:r>
      <w:r>
        <w:t xml:space="preserve"> Translation note: Greek uses an indefinite plural subject for the wounds. The translation keeps that wording instead of importing Syrians from the Hebrew line.</w:t>
      </w:r>
    </w:p>
  </w:footnote>
  <w:footnote w:id="7154">
    <w:p>
      <w:pPr>
        <w:pStyle w:val="FootnoteText"/>
      </w:pPr>
      <w:r>
        <w:rPr>
          <w:rStyle w:val="FootnoteReference"/>
        </w:rPr>
        <w:footnoteRef/>
      </w:r>
      <w:r>
        <w:t xml:space="preserve"> Cross-references for "Jehu": 1Kgs 19:16-17; 2Kgs 9:14.</w:t>
      </w:r>
    </w:p>
  </w:footnote>
  <w:footnote w:id="7155">
    <w:p>
      <w:pPr>
        <w:pStyle w:val="FootnoteText"/>
      </w:pPr>
      <w:r>
        <w:rPr>
          <w:rStyle w:val="FootnoteReference"/>
        </w:rPr>
        <w:footnoteRef/>
      </w:r>
      <w:r>
        <w:t xml:space="preserve"> Cross-references for "pour it": Exod 29:7; Lev 8:12.</w:t>
      </w:r>
    </w:p>
  </w:footnote>
  <w:footnote w:id="7156">
    <w:p>
      <w:pPr>
        <w:pStyle w:val="FootnoteText"/>
      </w:pPr>
      <w:r>
        <w:rPr>
          <w:rStyle w:val="FootnoteReference"/>
        </w:rPr>
        <w:footnoteRef/>
      </w:r>
      <w:r>
        <w:t xml:space="preserve"> Cross-references for "I have anointed": 1Kgs 1:34; 1Kgs 19:16.</w:t>
      </w:r>
    </w:p>
  </w:footnote>
  <w:footnote w:id="7157">
    <w:p>
      <w:pPr>
        <w:pStyle w:val="FootnoteText"/>
      </w:pPr>
      <w:r>
        <w:rPr>
          <w:rStyle w:val="FootnoteReference"/>
        </w:rPr>
        <w:footnoteRef/>
      </w:r>
      <w:r>
        <w:t xml:space="preserve"> Translation note: Greek pairs the destroy-house command with avenging the blood of the Lord's servants. Current wording preserves that judgment sequence.</w:t>
      </w:r>
    </w:p>
  </w:footnote>
  <w:footnote w:id="7158">
    <w:p>
      <w:pPr>
        <w:pStyle w:val="FootnoteText"/>
      </w:pPr>
      <w:r>
        <w:rPr>
          <w:rStyle w:val="FootnoteReference"/>
        </w:rPr>
        <w:footnoteRef/>
      </w:r>
      <w:r>
        <w:t xml:space="preserve"> Cross-references for "I will cut off": 1Kgs 14:10-11; 1Kgs 21:21-22.</w:t>
      </w:r>
    </w:p>
  </w:footnote>
  <w:footnote w:id="7159">
    <w:p>
      <w:pPr>
        <w:pStyle w:val="FootnoteText"/>
      </w:pPr>
      <w:r>
        <w:rPr>
          <w:rStyle w:val="FootnoteReference"/>
        </w:rPr>
        <w:footnoteRef/>
      </w:r>
      <w:r>
        <w:t xml:space="preserve"> Cross-references for "like the house": 1Kgs 14:10-11; 1Kgs 15:29.</w:t>
      </w:r>
    </w:p>
  </w:footnote>
  <w:footnote w:id="7160">
    <w:p>
      <w:pPr>
        <w:pStyle w:val="FootnoteText"/>
      </w:pPr>
      <w:r>
        <w:rPr>
          <w:rStyle w:val="FootnoteReference"/>
        </w:rPr>
        <w:footnoteRef/>
      </w:r>
      <w:r>
        <w:t xml:space="preserve"> Cross-references for "the dogs": 1Kgs 21:23; 2Kgs 9:35-36.</w:t>
      </w:r>
    </w:p>
  </w:footnote>
  <w:footnote w:id="7161">
    <w:p>
      <w:pPr>
        <w:pStyle w:val="FootnoteText"/>
      </w:pPr>
      <w:r>
        <w:rPr>
          <w:rStyle w:val="FootnoteReference"/>
        </w:rPr>
        <w:footnoteRef/>
      </w:r>
      <w:r>
        <w:t xml:space="preserve"> Cross-references for "Is all well": 2Kgs 4:26; 2Kgs 5:21.</w:t>
      </w:r>
    </w:p>
  </w:footnote>
  <w:footnote w:id="7162">
    <w:p>
      <w:pPr>
        <w:pStyle w:val="FootnoteText"/>
      </w:pPr>
      <w:r>
        <w:rPr>
          <w:rStyle w:val="FootnoteReference"/>
        </w:rPr>
        <w:footnoteRef/>
      </w:r>
      <w:r>
        <w:t xml:space="preserve"> Cross-references for "Thus and thus": 2Kgs 9:6-10.</w:t>
      </w:r>
    </w:p>
  </w:footnote>
  <w:footnote w:id="7163">
    <w:p>
      <w:pPr>
        <w:pStyle w:val="FootnoteText"/>
      </w:pPr>
      <w:r>
        <w:rPr>
          <w:rStyle w:val="FootnoteReference"/>
        </w:rPr>
        <w:footnoteRef/>
      </w:r>
      <w:r>
        <w:t xml:space="preserve"> Cross-references for "conspired": 1Kgs 15:27; 1Kgs 16:7.</w:t>
      </w:r>
    </w:p>
  </w:footnote>
  <w:footnote w:id="7164">
    <w:p>
      <w:pPr>
        <w:pStyle w:val="FootnoteText"/>
      </w:pPr>
      <w:r>
        <w:rPr>
          <w:rStyle w:val="FootnoteReference"/>
        </w:rPr>
        <w:footnoteRef/>
      </w:r>
      <w:r>
        <w:t xml:space="preserve"> Cross-references for "returned": 2Kgs 8:29; 2Chr 22:6.</w:t>
      </w:r>
    </w:p>
  </w:footnote>
  <w:footnote w:id="7165">
    <w:p>
      <w:pPr>
        <w:pStyle w:val="FootnoteText"/>
      </w:pPr>
      <w:r>
        <w:rPr>
          <w:rStyle w:val="FootnoteReference"/>
        </w:rPr>
        <w:footnoteRef/>
      </w:r>
      <w:r>
        <w:t xml:space="preserve"> Translation note: Greek says If your soul is with me.</w:t>
      </w:r>
    </w:p>
  </w:footnote>
  <w:footnote w:id="7166">
    <w:p>
      <w:pPr>
        <w:pStyle w:val="FootnoteText"/>
      </w:pPr>
      <w:r>
        <w:rPr>
          <w:rStyle w:val="FootnoteReference"/>
        </w:rPr>
        <w:footnoteRef/>
      </w:r>
      <w:r>
        <w:t xml:space="preserve"> Cross-references for "and Ahaziah": 2Kgs 8:28-29; 2Chr 22:6-7.</w:t>
      </w:r>
    </w:p>
  </w:footnote>
  <w:footnote w:id="7167">
    <w:p>
      <w:pPr>
        <w:pStyle w:val="FootnoteText"/>
      </w:pPr>
      <w:r>
        <w:rPr>
          <w:rStyle w:val="FootnoteReference"/>
        </w:rPr>
        <w:footnoteRef/>
      </w:r>
      <w:r>
        <w:t xml:space="preserve"> Cross-references for "Is it peace": 1Sam 16:4; 1Sam 17:22.</w:t>
      </w:r>
    </w:p>
  </w:footnote>
  <w:footnote w:id="7168">
    <w:p>
      <w:pPr>
        <w:pStyle w:val="FootnoteText"/>
      </w:pPr>
      <w:r>
        <w:rPr>
          <w:rStyle w:val="FootnoteReference"/>
        </w:rPr>
        <w:footnoteRef/>
      </w:r>
      <w:r>
        <w:t xml:space="preserve"> Translation note: Greek asks the question directly in a sharper form than the common idiom. The translation keeps that edge.</w:t>
      </w:r>
    </w:p>
  </w:footnote>
  <w:footnote w:id="7169">
    <w:p>
      <w:pPr>
        <w:pStyle w:val="FootnoteText"/>
      </w:pPr>
      <w:r>
        <w:rPr>
          <w:rStyle w:val="FootnoteReference"/>
        </w:rPr>
        <w:footnoteRef/>
      </w:r>
      <w:r>
        <w:t xml:space="preserve"> Translation note: Greek uses a blunt idiom. The translation keeps its abrupt force.</w:t>
      </w:r>
    </w:p>
  </w:footnote>
  <w:footnote w:id="7170">
    <w:p>
      <w:pPr>
        <w:pStyle w:val="FootnoteText"/>
      </w:pPr>
      <w:r>
        <w:rPr>
          <w:rStyle w:val="FootnoteReference"/>
        </w:rPr>
        <w:footnoteRef/>
      </w:r>
      <w:r>
        <w:t xml:space="preserve"> Cross-references for "driving": Hab 1:6; Hab 3:12.</w:t>
      </w:r>
    </w:p>
  </w:footnote>
  <w:footnote w:id="7171">
    <w:p>
      <w:pPr>
        <w:pStyle w:val="FootnoteText"/>
      </w:pPr>
      <w:r>
        <w:rPr>
          <w:rStyle w:val="FootnoteReference"/>
        </w:rPr>
        <w:footnoteRef/>
      </w:r>
      <w:r>
        <w:t xml:space="preserve"> Cross-references for "Joram": 2Chr 22:7.</w:t>
      </w:r>
    </w:p>
  </w:footnote>
  <w:footnote w:id="7172">
    <w:p>
      <w:pPr>
        <w:pStyle w:val="FootnoteText"/>
      </w:pPr>
      <w:r>
        <w:rPr>
          <w:rStyle w:val="FootnoteReference"/>
        </w:rPr>
        <w:footnoteRef/>
      </w:r>
      <w:r>
        <w:t xml:space="preserve"> Translation note: Greek uses a direct imperative for yoking the chariot. The English keeps that concise command.</w:t>
      </w:r>
    </w:p>
  </w:footnote>
  <w:footnote w:id="7173">
    <w:p>
      <w:pPr>
        <w:pStyle w:val="FootnoteText"/>
      </w:pPr>
      <w:r>
        <w:rPr>
          <w:rStyle w:val="FootnoteReference"/>
        </w:rPr>
        <w:footnoteRef/>
      </w:r>
      <w:r>
        <w:t xml:space="preserve"> Cross-references for "Is it peace": 2Kgs 9:17.</w:t>
      </w:r>
    </w:p>
  </w:footnote>
  <w:footnote w:id="7174">
    <w:p>
      <w:pPr>
        <w:pStyle w:val="FootnoteText"/>
      </w:pPr>
      <w:r>
        <w:rPr>
          <w:rStyle w:val="FootnoteReference"/>
        </w:rPr>
        <w:footnoteRef/>
      </w:r>
      <w:r>
        <w:t xml:space="preserve"> Personal name: Bidkar. Personal-name meaning: Bidkar — in compunction, or sharp pain. Source form: Bidkar.</w:t>
      </w:r>
    </w:p>
  </w:footnote>
  <w:footnote w:id="7175">
    <w:p>
      <w:pPr>
        <w:pStyle w:val="FootnoteText"/>
      </w:pPr>
      <w:r>
        <w:rPr>
          <w:rStyle w:val="FootnoteReference"/>
        </w:rPr>
        <w:footnoteRef/>
      </w:r>
      <w:r>
        <w:t xml:space="preserve"> Cross-references for "the Lord": 1Kgs 21:19; 1Kgs 21:24-29.</w:t>
      </w:r>
    </w:p>
  </w:footnote>
  <w:footnote w:id="7176">
    <w:p>
      <w:pPr>
        <w:pStyle w:val="FootnoteText"/>
      </w:pPr>
      <w:r>
        <w:rPr>
          <w:rStyle w:val="FootnoteReference"/>
        </w:rPr>
        <w:footnoteRef/>
      </w:r>
      <w:r>
        <w:t xml:space="preserve"> Translation note: Greek says the Lord took up this burden against him.</w:t>
      </w:r>
    </w:p>
  </w:footnote>
  <w:footnote w:id="7177">
    <w:p>
      <w:pPr>
        <w:pStyle w:val="FootnoteText"/>
      </w:pPr>
      <w:r>
        <w:rPr>
          <w:rStyle w:val="FootnoteReference"/>
        </w:rPr>
        <w:footnoteRef/>
      </w:r>
      <w:r>
        <w:t xml:space="preserve"> Cross-references for "of his sons": Deut 24:16; 2Chr 24:25.</w:t>
      </w:r>
    </w:p>
  </w:footnote>
  <w:footnote w:id="7178">
    <w:p>
      <w:pPr>
        <w:pStyle w:val="FootnoteText"/>
      </w:pPr>
      <w:r>
        <w:rPr>
          <w:rStyle w:val="FootnoteReference"/>
        </w:rPr>
        <w:footnoteRef/>
      </w:r>
      <w:r>
        <w:t xml:space="preserve"> Cross-references for "Ahaziah": Num 16:26; 2Kgs 8:29.</w:t>
      </w:r>
    </w:p>
  </w:footnote>
  <w:footnote w:id="7179">
    <w:p>
      <w:pPr>
        <w:pStyle w:val="FootnoteText"/>
      </w:pPr>
      <w:r>
        <w:rPr>
          <w:rStyle w:val="FootnoteReference"/>
        </w:rPr>
        <w:footnoteRef/>
      </w:r>
      <w:r>
        <w:t xml:space="preserve"> Place name: Gur. Place-name meaning: Gur — the young of a beast; a whelp. Source form: Gur. Greek form: γε.</w:t>
      </w:r>
    </w:p>
  </w:footnote>
  <w:footnote w:id="7180">
    <w:p>
      <w:pPr>
        <w:pStyle w:val="FootnoteText"/>
      </w:pPr>
      <w:r>
        <w:rPr>
          <w:rStyle w:val="FootnoteReference"/>
        </w:rPr>
        <w:footnoteRef/>
      </w:r>
      <w:r>
        <w:t xml:space="preserve"> Place name: Ibleam. Place-name meaning: Ibleam — ancient people; people decreasing. Source form: Ibleam. Greek form: ιεβλααμ.</w:t>
      </w:r>
    </w:p>
  </w:footnote>
  <w:footnote w:id="7181">
    <w:p>
      <w:pPr>
        <w:pStyle w:val="FootnoteText"/>
      </w:pPr>
      <w:r>
        <w:rPr>
          <w:rStyle w:val="FootnoteReference"/>
        </w:rPr>
        <w:footnoteRef/>
      </w:r>
      <w:r>
        <w:t xml:space="preserve"> Translation note: Greek gives those place forms here.</w:t>
      </w:r>
    </w:p>
  </w:footnote>
  <w:footnote w:id="7182">
    <w:p>
      <w:pPr>
        <w:pStyle w:val="FootnoteText"/>
      </w:pPr>
      <w:r>
        <w:rPr>
          <w:rStyle w:val="FootnoteReference"/>
        </w:rPr>
        <w:footnoteRef/>
      </w:r>
      <w:r>
        <w:t xml:space="preserve"> Cross-references for "in the eleventh": 2Kgs 8:16; 2Kgs 8:24.</w:t>
      </w:r>
    </w:p>
  </w:footnote>
  <w:footnote w:id="7183">
    <w:p>
      <w:pPr>
        <w:pStyle w:val="FootnoteText"/>
      </w:pPr>
      <w:r>
        <w:rPr>
          <w:rStyle w:val="FootnoteReference"/>
        </w:rPr>
        <w:footnoteRef/>
      </w:r>
      <w:r>
        <w:t xml:space="preserve"> Cross-references for "Jezebel": 1Kgs 19:1-2.</w:t>
      </w:r>
    </w:p>
  </w:footnote>
  <w:footnote w:id="7184">
    <w:p>
      <w:pPr>
        <w:pStyle w:val="FootnoteText"/>
      </w:pPr>
      <w:r>
        <w:rPr>
          <w:rStyle w:val="FootnoteReference"/>
        </w:rPr>
        <w:footnoteRef/>
      </w:r>
      <w:r>
        <w:t xml:space="preserve"> Cross-references for "Zimri": 1Kgs 16:9-20.</w:t>
      </w:r>
    </w:p>
  </w:footnote>
  <w:footnote w:id="7185">
    <w:p>
      <w:pPr>
        <w:pStyle w:val="FootnoteText"/>
      </w:pPr>
      <w:r>
        <w:rPr>
          <w:rStyle w:val="FootnoteReference"/>
        </w:rPr>
        <w:footnoteRef/>
      </w:r>
      <w:r>
        <w:t xml:space="preserve"> Cross-references for "eunuchs": Acts 12:20; Esth 1:10.</w:t>
      </w:r>
    </w:p>
  </w:footnote>
  <w:footnote w:id="7186">
    <w:p>
      <w:pPr>
        <w:pStyle w:val="FootnoteText"/>
      </w:pPr>
      <w:r>
        <w:rPr>
          <w:rStyle w:val="FootnoteReference"/>
        </w:rPr>
        <w:footnoteRef/>
      </w:r>
      <w:r>
        <w:t xml:space="preserve"> Translation note: Greek says see now to this cursed woman and bury her.</w:t>
      </w:r>
    </w:p>
  </w:footnote>
  <w:footnote w:id="7187">
    <w:p>
      <w:pPr>
        <w:pStyle w:val="FootnoteText"/>
      </w:pPr>
      <w:r>
        <w:rPr>
          <w:rStyle w:val="FootnoteReference"/>
        </w:rPr>
        <w:footnoteRef/>
      </w:r>
      <w:r>
        <w:t xml:space="preserve"> Cross-references for "this cursed woman": 1Kgs 21:25; Prov 10:7.</w:t>
      </w:r>
    </w:p>
  </w:footnote>
  <w:footnote w:id="7188">
    <w:p>
      <w:pPr>
        <w:pStyle w:val="FootnoteText"/>
      </w:pPr>
      <w:r>
        <w:rPr>
          <w:rStyle w:val="FootnoteReference"/>
        </w:rPr>
        <w:footnoteRef/>
      </w:r>
      <w:r>
        <w:t xml:space="preserve"> Cross-references for "This is": 1Kgs 21:23.</w:t>
      </w:r>
    </w:p>
  </w:footnote>
  <w:footnote w:id="7189">
    <w:p>
      <w:pPr>
        <w:pStyle w:val="FootnoteText"/>
      </w:pPr>
      <w:r>
        <w:rPr>
          <w:rStyle w:val="FootnoteReference"/>
        </w:rPr>
        <w:footnoteRef/>
      </w:r>
      <w:r>
        <w:t xml:space="preserve"> Cross-references for "seventy sons": Judg 8:30; Judg 10:4.</w:t>
      </w:r>
    </w:p>
  </w:footnote>
  <w:footnote w:id="7190">
    <w:p>
      <w:pPr>
        <w:pStyle w:val="FootnoteText"/>
      </w:pPr>
      <w:r>
        <w:rPr>
          <w:rStyle w:val="FootnoteReference"/>
        </w:rPr>
        <w:footnoteRef/>
      </w:r>
      <w:r>
        <w:t xml:space="preserve"> Cross-references for "fight for": 2Sam 2:12-17; 1Kgs 12:21.</w:t>
      </w:r>
    </w:p>
  </w:footnote>
  <w:footnote w:id="7191">
    <w:p>
      <w:pPr>
        <w:pStyle w:val="FootnoteText"/>
      </w:pPr>
      <w:r>
        <w:rPr>
          <w:rStyle w:val="FootnoteReference"/>
        </w:rPr>
        <w:footnoteRef/>
      </w:r>
      <w:r>
        <w:t xml:space="preserve"> Cross-references for "Behold": 2Kgs 9:24; 2Kgs 9:27.</w:t>
      </w:r>
    </w:p>
  </w:footnote>
  <w:footnote w:id="7192">
    <w:p>
      <w:pPr>
        <w:pStyle w:val="FootnoteText"/>
      </w:pPr>
      <w:r>
        <w:rPr>
          <w:rStyle w:val="FootnoteReference"/>
        </w:rPr>
        <w:footnoteRef/>
      </w:r>
      <w:r>
        <w:t xml:space="preserve"> Translation note: Greek says a second letter and the great men of the city rearing them.</w:t>
      </w:r>
    </w:p>
  </w:footnote>
  <w:footnote w:id="7193">
    <w:p>
      <w:pPr>
        <w:pStyle w:val="FootnoteText"/>
      </w:pPr>
      <w:r>
        <w:rPr>
          <w:rStyle w:val="FootnoteReference"/>
        </w:rPr>
        <w:footnoteRef/>
      </w:r>
      <w:r>
        <w:t xml:space="preserve"> Cross-references for "I conspired": 2Kgs 9:14-24; Hos 1:4.</w:t>
      </w:r>
    </w:p>
  </w:footnote>
  <w:footnote w:id="7194">
    <w:p>
      <w:pPr>
        <w:pStyle w:val="FootnoteText"/>
      </w:pPr>
      <w:r>
        <w:rPr>
          <w:rStyle w:val="FootnoteReference"/>
        </w:rPr>
        <w:footnoteRef/>
      </w:r>
      <w:r>
        <w:t xml:space="preserve"> Cross-references for "his priests": 1Kgs 18:19; 1Kgs 18:40.</w:t>
      </w:r>
    </w:p>
  </w:footnote>
  <w:footnote w:id="7195">
    <w:p>
      <w:pPr>
        <w:pStyle w:val="FootnoteText"/>
      </w:pPr>
      <w:r>
        <w:rPr>
          <w:rStyle w:val="FootnoteReference"/>
        </w:rPr>
        <w:footnoteRef/>
      </w:r>
      <w:r>
        <w:t xml:space="preserve"> Place name: Beth-eked. Place-name meaning: Beth-eked — house of shearing; shearing house. Source form: Beth-eked. Greek form: βαιθακαδ.</w:t>
      </w:r>
    </w:p>
  </w:footnote>
  <w:footnote w:id="7196">
    <w:p>
      <w:pPr>
        <w:pStyle w:val="FootnoteText"/>
      </w:pPr>
      <w:r>
        <w:rPr>
          <w:rStyle w:val="FootnoteReference"/>
        </w:rPr>
        <w:footnoteRef/>
      </w:r>
      <w:r>
        <w:t xml:space="preserve"> Translation note: Greek says sons of the ruling lady.</w:t>
      </w:r>
    </w:p>
  </w:footnote>
  <w:footnote w:id="7197">
    <w:p>
      <w:pPr>
        <w:pStyle w:val="FootnoteText"/>
      </w:pPr>
      <w:r>
        <w:rPr>
          <w:rStyle w:val="FootnoteReference"/>
        </w:rPr>
        <w:footnoteRef/>
      </w:r>
      <w:r>
        <w:t xml:space="preserve"> Transliterated proper noun: Jehonadab. Standard English equivalent: Jehonadab. Source form: Jehonadab. Greek form: ιωναδαβ. Name meaning: free giver; liberality.</w:t>
      </w:r>
    </w:p>
  </w:footnote>
  <w:footnote w:id="7198">
    <w:p>
      <w:pPr>
        <w:pStyle w:val="FootnoteText"/>
      </w:pPr>
      <w:r>
        <w:rPr>
          <w:rStyle w:val="FootnoteReference"/>
        </w:rPr>
        <w:footnoteRef/>
      </w:r>
      <w:r>
        <w:t xml:space="preserve"> Translation note: Greek keeps straight-heart idiom.</w:t>
      </w:r>
    </w:p>
  </w:footnote>
  <w:footnote w:id="7199">
    <w:p>
      <w:pPr>
        <w:pStyle w:val="FootnoteText"/>
      </w:pPr>
      <w:r>
        <w:rPr>
          <w:rStyle w:val="FootnoteReference"/>
        </w:rPr>
        <w:footnoteRef/>
      </w:r>
      <w:r>
        <w:t xml:space="preserve"> Cross-references for "Jehonadab": Jer 35:6; Jer 35:8.</w:t>
      </w:r>
    </w:p>
  </w:footnote>
  <w:footnote w:id="7200">
    <w:p>
      <w:pPr>
        <w:pStyle w:val="FootnoteText"/>
      </w:pPr>
      <w:r>
        <w:rPr>
          <w:rStyle w:val="FootnoteReference"/>
        </w:rPr>
        <w:footnoteRef/>
      </w:r>
      <w:r>
        <w:t xml:space="preserve"> Cross-references for "Come with me": Num 23:4; Num 24:13-16.</w:t>
      </w:r>
    </w:p>
  </w:footnote>
  <w:footnote w:id="7201">
    <w:p>
      <w:pPr>
        <w:pStyle w:val="FootnoteText"/>
      </w:pPr>
      <w:r>
        <w:rPr>
          <w:rStyle w:val="FootnoteReference"/>
        </w:rPr>
        <w:footnoteRef/>
      </w:r>
      <w:r>
        <w:t xml:space="preserve"> Cross-references for "Ahab served Baal": 1Kgs 16:31-32; 1Kgs 18:19.</w:t>
      </w:r>
    </w:p>
  </w:footnote>
  <w:footnote w:id="7202">
    <w:p>
      <w:pPr>
        <w:pStyle w:val="FootnoteText"/>
      </w:pPr>
      <w:r>
        <w:rPr>
          <w:rStyle w:val="FootnoteReference"/>
        </w:rPr>
        <w:footnoteRef/>
      </w:r>
      <w:r>
        <w:t xml:space="preserve"> Cross-references for "all the prophets": 1Kgs 22:6; 2Kgs 3:13.</w:t>
      </w:r>
    </w:p>
  </w:footnote>
  <w:footnote w:id="7203">
    <w:p>
      <w:pPr>
        <w:pStyle w:val="FootnoteText"/>
      </w:pPr>
      <w:r>
        <w:rPr>
          <w:rStyle w:val="FootnoteReference"/>
        </w:rPr>
        <w:footnoteRef/>
      </w:r>
      <w:r>
        <w:t xml:space="preserve"> Translation note: Greek says servants here. The translation keeps that wording instead of switching to worshippers.</w:t>
      </w:r>
    </w:p>
  </w:footnote>
  <w:footnote w:id="7204">
    <w:p>
      <w:pPr>
        <w:pStyle w:val="FootnoteText"/>
      </w:pPr>
      <w:r>
        <w:rPr>
          <w:rStyle w:val="FootnoteReference"/>
        </w:rPr>
        <w:footnoteRef/>
      </w:r>
      <w:r>
        <w:t xml:space="preserve"> Cross-references for "the house of Baal": 1Kgs 16:32.</w:t>
      </w:r>
    </w:p>
  </w:footnote>
  <w:footnote w:id="7205">
    <w:p>
      <w:pPr>
        <w:pStyle w:val="FootnoteText"/>
      </w:pPr>
      <w:r>
        <w:rPr>
          <w:rStyle w:val="FootnoteReference"/>
        </w:rPr>
        <w:footnoteRef/>
      </w:r>
      <w:r>
        <w:t xml:space="preserve"> Translation note: Greek says house of Baal filled from mouth to mouth.</w:t>
      </w:r>
    </w:p>
  </w:footnote>
  <w:footnote w:id="7206">
    <w:p>
      <w:pPr>
        <w:pStyle w:val="FootnoteText"/>
      </w:pPr>
      <w:r>
        <w:rPr>
          <w:rStyle w:val="FootnoteReference"/>
        </w:rPr>
        <w:footnoteRef/>
      </w:r>
      <w:r>
        <w:t xml:space="preserve"> Cross-references for "Jehonadab": 2Kgs 10:15.</w:t>
      </w:r>
    </w:p>
  </w:footnote>
  <w:footnote w:id="7207">
    <w:p>
      <w:pPr>
        <w:pStyle w:val="FootnoteText"/>
      </w:pPr>
      <w:r>
        <w:rPr>
          <w:rStyle w:val="FootnoteReference"/>
        </w:rPr>
        <w:footnoteRef/>
      </w:r>
      <w:r>
        <w:t xml:space="preserve"> Translation note: Greek keeps the line very plain here. Current line preserves that.</w:t>
      </w:r>
    </w:p>
  </w:footnote>
  <w:footnote w:id="7208">
    <w:p>
      <w:pPr>
        <w:pStyle w:val="FootnoteText"/>
      </w:pPr>
      <w:r>
        <w:rPr>
          <w:rStyle w:val="FootnoteReference"/>
        </w:rPr>
        <w:footnoteRef/>
      </w:r>
      <w:r>
        <w:t xml:space="preserve"> Translation note: Greek includes the reflexive phrase and the positional detail outside. The translation keeps those elements visible.</w:t>
      </w:r>
    </w:p>
  </w:footnote>
  <w:footnote w:id="7209">
    <w:p>
      <w:pPr>
        <w:pStyle w:val="FootnoteText"/>
      </w:pPr>
      <w:r>
        <w:rPr>
          <w:rStyle w:val="FootnoteReference"/>
        </w:rPr>
        <w:footnoteRef/>
      </w:r>
      <w:r>
        <w:t xml:space="preserve"> Cross-references for "Go in": Exod 32:27; Deut 13:6-11.</w:t>
      </w:r>
    </w:p>
  </w:footnote>
  <w:footnote w:id="7210">
    <w:p>
      <w:pPr>
        <w:pStyle w:val="FootnoteText"/>
      </w:pPr>
      <w:r>
        <w:rPr>
          <w:rStyle w:val="FootnoteReference"/>
        </w:rPr>
        <w:footnoteRef/>
      </w:r>
      <w:r>
        <w:t xml:space="preserve"> Translation note: Greek says runners and officers.</w:t>
      </w:r>
    </w:p>
  </w:footnote>
  <w:footnote w:id="7211">
    <w:p>
      <w:pPr>
        <w:pStyle w:val="FootnoteText"/>
      </w:pPr>
      <w:r>
        <w:rPr>
          <w:rStyle w:val="FootnoteReference"/>
        </w:rPr>
        <w:footnoteRef/>
      </w:r>
      <w:r>
        <w:t xml:space="preserve"> Cross-references for "the sins": 1Kgs 12:28-30; 1Kgs 13:33-34.</w:t>
      </w:r>
    </w:p>
  </w:footnote>
  <w:footnote w:id="7212">
    <w:p>
      <w:pPr>
        <w:pStyle w:val="FootnoteText"/>
      </w:pPr>
      <w:r>
        <w:rPr>
          <w:rStyle w:val="FootnoteReference"/>
        </w:rPr>
        <w:footnoteRef/>
      </w:r>
      <w:r>
        <w:t xml:space="preserve"> Translation note: Greek keeps the residual-sin note in that form. Current wording preserves it.</w:t>
      </w:r>
    </w:p>
  </w:footnote>
  <w:footnote w:id="7213">
    <w:p>
      <w:pPr>
        <w:pStyle w:val="FootnoteText"/>
      </w:pPr>
      <w:r>
        <w:rPr>
          <w:rStyle w:val="FootnoteReference"/>
        </w:rPr>
        <w:footnoteRef/>
      </w:r>
      <w:r>
        <w:t xml:space="preserve"> Translation note: Greek phrases the promise directly in terms of sons of a fourth generation sitting on the throne. The English keeps that wording close.</w:t>
      </w:r>
    </w:p>
  </w:footnote>
  <w:footnote w:id="7214">
    <w:p>
      <w:pPr>
        <w:pStyle w:val="FootnoteText"/>
      </w:pPr>
      <w:r>
        <w:rPr>
          <w:rStyle w:val="FootnoteReference"/>
        </w:rPr>
        <w:footnoteRef/>
      </w:r>
      <w:r>
        <w:t xml:space="preserve"> Cross-references for "walk": Deut 5:33; Deut 10:12-13.</w:t>
      </w:r>
    </w:p>
  </w:footnote>
  <w:footnote w:id="7215">
    <w:p>
      <w:pPr>
        <w:pStyle w:val="FootnoteText"/>
      </w:pPr>
      <w:r>
        <w:rPr>
          <w:rStyle w:val="FootnoteReference"/>
        </w:rPr>
        <w:footnoteRef/>
      </w:r>
      <w:r>
        <w:t xml:space="preserve"> Cross-references for "Hazael": 1Kgs 19:17; 2Kgs 8:12.</w:t>
      </w:r>
    </w:p>
  </w:footnote>
  <w:footnote w:id="7216">
    <w:p>
      <w:pPr>
        <w:pStyle w:val="FootnoteText"/>
      </w:pPr>
      <w:r>
        <w:rPr>
          <w:rStyle w:val="FootnoteReference"/>
        </w:rPr>
        <w:footnoteRef/>
      </w:r>
      <w:r>
        <w:t xml:space="preserve"> Cross-references for "the land of Gilead": Num 32:33-42; Deut 3:12-17.</w:t>
      </w:r>
    </w:p>
  </w:footnote>
  <w:footnote w:id="7217">
    <w:p>
      <w:pPr>
        <w:pStyle w:val="FootnoteText"/>
      </w:pPr>
      <w:r>
        <w:rPr>
          <w:rStyle w:val="FootnoteReference"/>
        </w:rPr>
        <w:footnoteRef/>
      </w:r>
      <w:r>
        <w:t xml:space="preserve"> Cross-references for "Jehu slept": 2Sam 7:12; 1Kgs 1:21.</w:t>
      </w:r>
    </w:p>
  </w:footnote>
  <w:footnote w:id="7218">
    <w:p>
      <w:pPr>
        <w:pStyle w:val="FootnoteText"/>
      </w:pPr>
      <w:r>
        <w:rPr>
          <w:rStyle w:val="FootnoteReference"/>
        </w:rPr>
        <w:footnoteRef/>
      </w:r>
      <w:r>
        <w:t xml:space="preserve"> Personal name: Jehoahaz. Personal-name meaning: Jehoahaz — possession of the Lord. Source form: Jehoahaz.</w:t>
      </w:r>
    </w:p>
  </w:footnote>
  <w:footnote w:id="7219">
    <w:p>
      <w:pPr>
        <w:pStyle w:val="FootnoteText"/>
      </w:pPr>
      <w:r>
        <w:rPr>
          <w:rStyle w:val="FootnoteReference"/>
        </w:rPr>
        <w:footnoteRef/>
      </w:r>
      <w:r>
        <w:t xml:space="preserve"> Cross-references for "Athaliah": 2Chr 22:10; 2Chr 24:7.</w:t>
      </w:r>
    </w:p>
  </w:footnote>
  <w:footnote w:id="7220">
    <w:p>
      <w:pPr>
        <w:pStyle w:val="FootnoteText"/>
      </w:pPr>
      <w:r>
        <w:rPr>
          <w:rStyle w:val="FootnoteReference"/>
        </w:rPr>
        <w:footnoteRef/>
      </w:r>
      <w:r>
        <w:t xml:space="preserve"> Cross-references for "Joram": 2Kgs 8:16.</w:t>
      </w:r>
    </w:p>
  </w:footnote>
  <w:footnote w:id="7221">
    <w:p>
      <w:pPr>
        <w:pStyle w:val="FootnoteText"/>
      </w:pPr>
      <w:r>
        <w:rPr>
          <w:rStyle w:val="FootnoteReference"/>
        </w:rPr>
        <w:footnoteRef/>
      </w:r>
      <w:r>
        <w:t xml:space="preserve"> Translation note: Greek says stole him and bedchamber here. Current line keeps that wording.</w:t>
      </w:r>
    </w:p>
  </w:footnote>
  <w:footnote w:id="7222">
    <w:p>
      <w:pPr>
        <w:pStyle w:val="FootnoteText"/>
      </w:pPr>
      <w:r>
        <w:rPr>
          <w:rStyle w:val="FootnoteReference"/>
        </w:rPr>
        <w:footnoteRef/>
      </w:r>
      <w:r>
        <w:t xml:space="preserve"> Cross-references for "the seventh": 2Chr 23:1-15.</w:t>
      </w:r>
    </w:p>
  </w:footnote>
  <w:footnote w:id="7223">
    <w:p>
      <w:pPr>
        <w:pStyle w:val="FootnoteText"/>
      </w:pPr>
      <w:r>
        <w:rPr>
          <w:rStyle w:val="FootnoteReference"/>
        </w:rPr>
        <w:footnoteRef/>
      </w:r>
      <w:r>
        <w:t xml:space="preserve"> Translation note: Greek preserves difficult group names here.</w:t>
      </w:r>
    </w:p>
  </w:footnote>
  <w:footnote w:id="7224">
    <w:p>
      <w:pPr>
        <w:pStyle w:val="FootnoteText"/>
      </w:pPr>
      <w:r>
        <w:rPr>
          <w:rStyle w:val="FootnoteReference"/>
        </w:rPr>
        <w:footnoteRef/>
      </w:r>
      <w:r>
        <w:t xml:space="preserve"> Translation note: Greek opens with a this-is-the-word formula. Current wording preserves it.</w:t>
      </w:r>
    </w:p>
  </w:footnote>
  <w:footnote w:id="7225">
    <w:p>
      <w:pPr>
        <w:pStyle w:val="FootnoteText"/>
      </w:pPr>
      <w:r>
        <w:rPr>
          <w:rStyle w:val="FootnoteReference"/>
        </w:rPr>
        <w:footnoteRef/>
      </w:r>
      <w:r>
        <w:t xml:space="preserve"> Translation note: Greek uses hands idiom for the guard groups. Current wording preserves the division sense in context.</w:t>
      </w:r>
    </w:p>
  </w:footnote>
  <w:footnote w:id="7226">
    <w:p>
      <w:pPr>
        <w:pStyle w:val="FootnoteText"/>
      </w:pPr>
      <w:r>
        <w:rPr>
          <w:rStyle w:val="FootnoteReference"/>
        </w:rPr>
        <w:footnoteRef/>
      </w:r>
      <w:r>
        <w:t xml:space="preserve"> Translation note: Greek says be with king in his going out and coming in.</w:t>
      </w:r>
    </w:p>
  </w:footnote>
  <w:footnote w:id="7227">
    <w:p>
      <w:pPr>
        <w:pStyle w:val="FootnoteText"/>
      </w:pPr>
      <w:r>
        <w:rPr>
          <w:rStyle w:val="FootnoteReference"/>
        </w:rPr>
        <w:footnoteRef/>
      </w:r>
      <w:r>
        <w:t xml:space="preserve"> Cross-references for "King David's spears": 1Sam 21:9; 2Sam 8:7.</w:t>
      </w:r>
    </w:p>
  </w:footnote>
  <w:footnote w:id="7228">
    <w:p>
      <w:pPr>
        <w:pStyle w:val="FootnoteText"/>
      </w:pPr>
      <w:r>
        <w:rPr>
          <w:rStyle w:val="FootnoteReference"/>
        </w:rPr>
        <w:footnoteRef/>
      </w:r>
      <w:r>
        <w:t xml:space="preserve"> Cross-references for "by the altar": Exod 40:6; 2Chr 6:12.</w:t>
      </w:r>
    </w:p>
  </w:footnote>
  <w:footnote w:id="7229">
    <w:p>
      <w:pPr>
        <w:pStyle w:val="FootnoteText"/>
      </w:pPr>
      <w:r>
        <w:rPr>
          <w:rStyle w:val="FootnoteReference"/>
        </w:rPr>
        <w:footnoteRef/>
      </w:r>
      <w:r>
        <w:t xml:space="preserve"> Cross-references for "he brought": 2Kgs 11:2; 2Kgs 11:4.</w:t>
      </w:r>
    </w:p>
  </w:footnote>
  <w:footnote w:id="7230">
    <w:p>
      <w:pPr>
        <w:pStyle w:val="FootnoteText"/>
      </w:pPr>
      <w:r>
        <w:rPr>
          <w:rStyle w:val="FootnoteReference"/>
        </w:rPr>
        <w:footnoteRef/>
      </w:r>
      <w:r>
        <w:t xml:space="preserve"> Cross-references for "all the people": 1Kgs 1:39-40; 1Chr 12:40.</w:t>
      </w:r>
    </w:p>
  </w:footnote>
  <w:footnote w:id="7231">
    <w:p>
      <w:pPr>
        <w:pStyle w:val="FootnoteText"/>
      </w:pPr>
      <w:r>
        <w:rPr>
          <w:rStyle w:val="FootnoteReference"/>
        </w:rPr>
        <w:footnoteRef/>
      </w:r>
      <w:r>
        <w:t xml:space="preserve"> Translation note: Greek says from within ranks here. Current line keeps that wording.</w:t>
      </w:r>
    </w:p>
  </w:footnote>
  <w:footnote w:id="7232">
    <w:p>
      <w:pPr>
        <w:pStyle w:val="FootnoteText"/>
      </w:pPr>
      <w:r>
        <w:rPr>
          <w:rStyle w:val="FootnoteReference"/>
        </w:rPr>
        <w:footnoteRef/>
      </w:r>
      <w:r>
        <w:t xml:space="preserve"> Cross-references for "made a covenant": Deut 5:2-3; Deut 29:1-15.</w:t>
      </w:r>
    </w:p>
  </w:footnote>
  <w:footnote w:id="7233">
    <w:p>
      <w:pPr>
        <w:pStyle w:val="FootnoteText"/>
      </w:pPr>
      <w:r>
        <w:rPr>
          <w:rStyle w:val="FootnoteReference"/>
        </w:rPr>
        <w:footnoteRef/>
      </w:r>
      <w:r>
        <w:t xml:space="preserve"> Personal name: Matthan. Personal-name meaning: Matthan — gifts; rains. Source form: Matthan.</w:t>
      </w:r>
    </w:p>
  </w:footnote>
  <w:footnote w:id="7234">
    <w:p>
      <w:pPr>
        <w:pStyle w:val="FootnoteText"/>
      </w:pPr>
      <w:r>
        <w:rPr>
          <w:rStyle w:val="FootnoteReference"/>
        </w:rPr>
        <w:footnoteRef/>
      </w:r>
      <w:r>
        <w:t xml:space="preserve"> Cross-references for "took": 2Kgs 11:4-11.</w:t>
      </w:r>
    </w:p>
  </w:footnote>
  <w:footnote w:id="7235">
    <w:p>
      <w:pPr>
        <w:pStyle w:val="FootnoteText"/>
      </w:pPr>
      <w:r>
        <w:rPr>
          <w:rStyle w:val="FootnoteReference"/>
        </w:rPr>
        <w:footnoteRef/>
      </w:r>
      <w:r>
        <w:t xml:space="preserve"> Translation note: Greek preserves these group names here. Current line keeps them.</w:t>
      </w:r>
    </w:p>
  </w:footnote>
  <w:footnote w:id="7236">
    <w:p>
      <w:pPr>
        <w:pStyle w:val="FootnoteText"/>
      </w:pPr>
      <w:r>
        <w:rPr>
          <w:rStyle w:val="FootnoteReference"/>
        </w:rPr>
        <w:footnoteRef/>
      </w:r>
      <w:r>
        <w:t xml:space="preserve"> Cross-references for "rejoiced": 2Kgs 11:14; 2Chr 23:21.</w:t>
      </w:r>
    </w:p>
  </w:footnote>
  <w:footnote w:id="7237">
    <w:p>
      <w:pPr>
        <w:pStyle w:val="FootnoteText"/>
      </w:pPr>
      <w:r>
        <w:rPr>
          <w:rStyle w:val="FootnoteReference"/>
        </w:rPr>
        <w:footnoteRef/>
      </w:r>
      <w:r>
        <w:t xml:space="preserve"> MT/LXX note: The Septuagint gives the short accession statement here rather than the Masoretic fuller regnal formula. The translation follows the Greek content.</w:t>
      </w:r>
    </w:p>
  </w:footnote>
  <w:footnote w:id="7238">
    <w:p>
      <w:pPr>
        <w:pStyle w:val="FootnoteText"/>
      </w:pPr>
      <w:r>
        <w:rPr>
          <w:rStyle w:val="FootnoteReference"/>
        </w:rPr>
        <w:footnoteRef/>
      </w:r>
      <w:r>
        <w:t xml:space="preserve"> MT/LXX note: The Septuagint gives the accession notice here rather than the Masoretic evaluation summary. The translation follows the Greek content.</w:t>
      </w:r>
    </w:p>
  </w:footnote>
  <w:footnote w:id="7239">
    <w:p>
      <w:pPr>
        <w:pStyle w:val="FootnoteText"/>
      </w:pPr>
      <w:r>
        <w:rPr>
          <w:rStyle w:val="FootnoteReference"/>
        </w:rPr>
        <w:footnoteRef/>
      </w:r>
      <w:r>
        <w:t xml:space="preserve"> MT/LXX note: The Septuagint places the evaluation verse here rather than the Masoretic high-place notice. The translation follows the Greek content.</w:t>
      </w:r>
    </w:p>
  </w:footnote>
  <w:footnote w:id="7240">
    <w:p>
      <w:pPr>
        <w:pStyle w:val="FootnoteText"/>
      </w:pPr>
      <w:r>
        <w:rPr>
          <w:rStyle w:val="FootnoteReference"/>
        </w:rPr>
        <w:footnoteRef/>
      </w:r>
      <w:r>
        <w:t xml:space="preserve"> MT/LXX note: LXX here has the high-places notice instead of the MT money collection verse.</w:t>
      </w:r>
    </w:p>
  </w:footnote>
  <w:footnote w:id="7241">
    <w:p>
      <w:pPr>
        <w:pStyle w:val="FootnoteText"/>
      </w:pPr>
      <w:r>
        <w:rPr>
          <w:rStyle w:val="FootnoteReference"/>
        </w:rPr>
        <w:footnoteRef/>
      </w:r>
      <w:r>
        <w:t xml:space="preserve"> MT/LXX note: The Septuagint places the silver-collection line here rather than the Masoretic repair-order verse. The translation follows the Greek content.</w:t>
      </w:r>
    </w:p>
  </w:footnote>
  <w:footnote w:id="7242">
    <w:p>
      <w:pPr>
        <w:pStyle w:val="FootnoteText"/>
      </w:pPr>
      <w:r>
        <w:rPr>
          <w:rStyle w:val="FootnoteReference"/>
        </w:rPr>
        <w:footnoteRef/>
      </w:r>
      <w:r>
        <w:t xml:space="preserve"> Cross-references for "the priests": 1Sam 2:29-30; 2Chr 29:34.</w:t>
      </w:r>
    </w:p>
  </w:footnote>
  <w:footnote w:id="7243">
    <w:p>
      <w:pPr>
        <w:pStyle w:val="FootnoteText"/>
      </w:pPr>
      <w:r>
        <w:rPr>
          <w:rStyle w:val="FootnoteReference"/>
        </w:rPr>
        <w:footnoteRef/>
      </w:r>
      <w:r>
        <w:t xml:space="preserve"> Translation note: Greek states directly that the priests had not repaired the breach.</w:t>
      </w:r>
    </w:p>
  </w:footnote>
  <w:footnote w:id="7244">
    <w:p>
      <w:pPr>
        <w:pStyle w:val="FootnoteText"/>
      </w:pPr>
      <w:r>
        <w:rPr>
          <w:rStyle w:val="FootnoteReference"/>
        </w:rPr>
        <w:footnoteRef/>
      </w:r>
      <w:r>
        <w:t xml:space="preserve"> Cross-references for "the priests": 2Kgs 22:4; 2Kgs 23:4.</w:t>
      </w:r>
    </w:p>
  </w:footnote>
  <w:footnote w:id="7245">
    <w:p>
      <w:pPr>
        <w:pStyle w:val="FootnoteText"/>
      </w:pPr>
      <w:r>
        <w:rPr>
          <w:rStyle w:val="FootnoteReference"/>
        </w:rPr>
        <w:footnoteRef/>
      </w:r>
      <w:r>
        <w:t xml:space="preserve"> MT/LXX note: This LXX verse number carries the priestly agreement line rather than the MT collection order.</w:t>
      </w:r>
    </w:p>
  </w:footnote>
  <w:footnote w:id="7246">
    <w:p>
      <w:pPr>
        <w:pStyle w:val="FootnoteText"/>
      </w:pPr>
      <w:r>
        <w:rPr>
          <w:rStyle w:val="FootnoteReference"/>
        </w:rPr>
        <w:footnoteRef/>
      </w:r>
      <w:r>
        <w:t xml:space="preserve"> Translation note: Greek says they tied and counted the silver.</w:t>
      </w:r>
    </w:p>
  </w:footnote>
  <w:footnote w:id="7247">
    <w:p>
      <w:pPr>
        <w:pStyle w:val="FootnoteText"/>
      </w:pPr>
      <w:r>
        <w:rPr>
          <w:rStyle w:val="FootnoteReference"/>
        </w:rPr>
        <w:footnoteRef/>
      </w:r>
      <w:r>
        <w:t xml:space="preserve"> Translation note: The Septuagint verse here lists vessels not made from the temple silver rather than only stating that funds went to the workmen. The translation follows the Greek exception clause and list.</w:t>
      </w:r>
    </w:p>
  </w:footnote>
  <w:footnote w:id="7248">
    <w:p>
      <w:pPr>
        <w:pStyle w:val="FootnoteText"/>
      </w:pPr>
      <w:r>
        <w:rPr>
          <w:rStyle w:val="FootnoteReference"/>
        </w:rPr>
        <w:footnoteRef/>
      </w:r>
      <w:r>
        <w:t xml:space="preserve"> MT/LXX note: The Septuagint verse here discusses priestly silver allocation rather than the Masoretic notice about Hazael's campaign. The translation follows the Greek content.</w:t>
      </w:r>
    </w:p>
  </w:footnote>
  <w:footnote w:id="7249">
    <w:p>
      <w:pPr>
        <w:pStyle w:val="FootnoteText"/>
      </w:pPr>
      <w:r>
        <w:rPr>
          <w:rStyle w:val="FootnoteReference"/>
        </w:rPr>
        <w:footnoteRef/>
      </w:r>
      <w:r>
        <w:t xml:space="preserve"> Translation note: Greek keeps set-his-face idiom.</w:t>
      </w:r>
    </w:p>
  </w:footnote>
  <w:footnote w:id="7250">
    <w:p>
      <w:pPr>
        <w:pStyle w:val="FootnoteText"/>
      </w:pPr>
      <w:r>
        <w:rPr>
          <w:rStyle w:val="FootnoteReference"/>
        </w:rPr>
        <w:footnoteRef/>
      </w:r>
      <w:r>
        <w:t xml:space="preserve"> MT/LXX note: This Septuagint verse contains the payment-to-Hazael narrative rather than the Masoretic acts-summary notice at this verse number. The translation follows the Greek content.</w:t>
      </w:r>
    </w:p>
  </w:footnote>
  <w:footnote w:id="7251">
    <w:p>
      <w:pPr>
        <w:pStyle w:val="FootnoteText"/>
      </w:pPr>
      <w:r>
        <w:rPr>
          <w:rStyle w:val="FootnoteReference"/>
        </w:rPr>
        <w:footnoteRef/>
      </w:r>
      <w:r>
        <w:t xml:space="preserve"> MT/LXX note: Greek differs from MT map wording here.</w:t>
      </w:r>
    </w:p>
  </w:footnote>
  <w:footnote w:id="7252">
    <w:p>
      <w:pPr>
        <w:pStyle w:val="FootnoteText"/>
      </w:pPr>
      <w:r>
        <w:rPr>
          <w:rStyle w:val="FootnoteReference"/>
        </w:rPr>
        <w:footnoteRef/>
      </w:r>
      <w:r>
        <w:t xml:space="preserve"> Personal name: Shomer. Personal-name meaning: Shomer — keeper; dregs. Source form: Shomer.</w:t>
      </w:r>
    </w:p>
  </w:footnote>
  <w:footnote w:id="7253">
    <w:p>
      <w:pPr>
        <w:pStyle w:val="FootnoteText"/>
      </w:pPr>
      <w:r>
        <w:rPr>
          <w:rStyle w:val="FootnoteReference"/>
        </w:rPr>
        <w:footnoteRef/>
      </w:r>
      <w:r>
        <w:t xml:space="preserve"> Personal name: Amaziah. Personal-name meaning: Amaziah — the strength of the Lord. Source form: Amaziah.</w:t>
      </w:r>
    </w:p>
  </w:footnote>
  <w:footnote w:id="7254">
    <w:p>
      <w:pPr>
        <w:pStyle w:val="FootnoteText"/>
      </w:pPr>
      <w:r>
        <w:rPr>
          <w:rStyle w:val="FootnoteReference"/>
        </w:rPr>
        <w:footnoteRef/>
      </w:r>
      <w:r>
        <w:t xml:space="preserve"> Cross-references for "Jehoahaz": 2Kgs 10:35.</w:t>
      </w:r>
    </w:p>
  </w:footnote>
  <w:footnote w:id="7255">
    <w:p>
      <w:pPr>
        <w:pStyle w:val="FootnoteText"/>
      </w:pPr>
      <w:r>
        <w:rPr>
          <w:rStyle w:val="FootnoteReference"/>
        </w:rPr>
        <w:footnoteRef/>
      </w:r>
      <w:r>
        <w:t xml:space="preserve"> Cross-references for "Hazael": 1Kgs 19:17; 2Kgs 8:12-13.</w:t>
      </w:r>
    </w:p>
  </w:footnote>
  <w:footnote w:id="7256">
    <w:p>
      <w:pPr>
        <w:pStyle w:val="FootnoteText"/>
      </w:pPr>
      <w:r>
        <w:rPr>
          <w:rStyle w:val="FootnoteReference"/>
        </w:rPr>
        <w:footnoteRef/>
      </w:r>
      <w:r>
        <w:t xml:space="preserve"> Cross-references for "Jehoahaz": Num 21:7; Judg 6:6-7.</w:t>
      </w:r>
    </w:p>
  </w:footnote>
  <w:footnote w:id="7257">
    <w:p>
      <w:pPr>
        <w:pStyle w:val="FootnoteText"/>
      </w:pPr>
      <w:r>
        <w:rPr>
          <w:rStyle w:val="FootnoteReference"/>
        </w:rPr>
        <w:footnoteRef/>
      </w:r>
      <w:r>
        <w:t xml:space="preserve"> Cross-references for "walked": 1Kgs 15:3; 1Kgs 16:26.</w:t>
      </w:r>
    </w:p>
  </w:footnote>
  <w:footnote w:id="7258">
    <w:p>
      <w:pPr>
        <w:pStyle w:val="FootnoteText"/>
      </w:pPr>
      <w:r>
        <w:rPr>
          <w:rStyle w:val="FootnoteReference"/>
        </w:rPr>
        <w:footnoteRef/>
      </w:r>
      <w:r>
        <w:t xml:space="preserve"> Cross-references for "fifty horsemen": 1Sam 13:6-7; 1Sam 13:15.</w:t>
      </w:r>
    </w:p>
  </w:footnote>
  <w:footnote w:id="7259">
    <w:p>
      <w:pPr>
        <w:pStyle w:val="FootnoteText"/>
      </w:pPr>
      <w:r>
        <w:rPr>
          <w:rStyle w:val="FootnoteReference"/>
        </w:rPr>
        <w:footnoteRef/>
      </w:r>
      <w:r>
        <w:t xml:space="preserve"> Cross-references for "the rest": 2Kgs 10:34-35.</w:t>
      </w:r>
    </w:p>
  </w:footnote>
  <w:footnote w:id="7260">
    <w:p>
      <w:pPr>
        <w:pStyle w:val="FootnoteText"/>
      </w:pPr>
      <w:r>
        <w:rPr>
          <w:rStyle w:val="FootnoteReference"/>
        </w:rPr>
        <w:footnoteRef/>
      </w:r>
      <w:r>
        <w:t xml:space="preserve"> Cross-references for "buried him": 1Kgs 14:13; 2Kgs 10:35.</w:t>
      </w:r>
    </w:p>
  </w:footnote>
  <w:footnote w:id="7261">
    <w:p>
      <w:pPr>
        <w:pStyle w:val="FootnoteText"/>
      </w:pPr>
      <w:r>
        <w:rPr>
          <w:rStyle w:val="FootnoteReference"/>
        </w:rPr>
        <w:footnoteRef/>
      </w:r>
      <w:r>
        <w:t xml:space="preserve"> Cross-references for "the rest": 2Kgs 13:14-25; 2Kgs 14:15.</w:t>
      </w:r>
    </w:p>
  </w:footnote>
  <w:footnote w:id="7262">
    <w:p>
      <w:pPr>
        <w:pStyle w:val="FootnoteText"/>
      </w:pPr>
      <w:r>
        <w:rPr>
          <w:rStyle w:val="FootnoteReference"/>
        </w:rPr>
        <w:footnoteRef/>
      </w:r>
      <w:r>
        <w:t xml:space="preserve"> Translation note: Greek uses a power/deeds term in the annal formula. Current wording preserves it.</w:t>
      </w:r>
    </w:p>
  </w:footnote>
  <w:footnote w:id="7263">
    <w:p>
      <w:pPr>
        <w:pStyle w:val="FootnoteText"/>
      </w:pPr>
      <w:r>
        <w:rPr>
          <w:rStyle w:val="FootnoteReference"/>
        </w:rPr>
        <w:footnoteRef/>
      </w:r>
      <w:r>
        <w:t xml:space="preserve"> Cross-references for "slept": 2Sam 7:12; 1Kgs 1:21.</w:t>
      </w:r>
    </w:p>
  </w:footnote>
  <w:footnote w:id="7264">
    <w:p>
      <w:pPr>
        <w:pStyle w:val="FootnoteText"/>
      </w:pPr>
      <w:r>
        <w:rPr>
          <w:rStyle w:val="FootnoteReference"/>
        </w:rPr>
        <w:footnoteRef/>
      </w:r>
      <w:r>
        <w:t xml:space="preserve"> Translation note: Greek line matches current rendering closely here.</w:t>
      </w:r>
    </w:p>
  </w:footnote>
  <w:footnote w:id="7265">
    <w:p>
      <w:pPr>
        <w:pStyle w:val="FootnoteText"/>
      </w:pPr>
      <w:r>
        <w:rPr>
          <w:rStyle w:val="FootnoteReference"/>
        </w:rPr>
        <w:footnoteRef/>
      </w:r>
      <w:r>
        <w:t xml:space="preserve"> Cross-references for "he died": Ps 12:1; Isa 57:1.</w:t>
      </w:r>
    </w:p>
  </w:footnote>
  <w:footnote w:id="7266">
    <w:p>
      <w:pPr>
        <w:pStyle w:val="FootnoteText"/>
      </w:pPr>
      <w:r>
        <w:rPr>
          <w:rStyle w:val="FootnoteReference"/>
        </w:rPr>
        <w:footnoteRef/>
      </w:r>
      <w:r>
        <w:t xml:space="preserve"> Cross-references for "Elisha": Gen 49:24; 2Kgs 4:34.</w:t>
      </w:r>
    </w:p>
  </w:footnote>
  <w:footnote w:id="7267">
    <w:p>
      <w:pPr>
        <w:pStyle w:val="FootnoteText"/>
      </w:pPr>
      <w:r>
        <w:rPr>
          <w:rStyle w:val="FootnoteReference"/>
        </w:rPr>
        <w:footnoteRef/>
      </w:r>
      <w:r>
        <w:t xml:space="preserve"> Cross-references for "Open": 2Kgs 5:10-14; John 2:5-8.</w:t>
      </w:r>
    </w:p>
  </w:footnote>
  <w:footnote w:id="7268">
    <w:p>
      <w:pPr>
        <w:pStyle w:val="FootnoteText"/>
      </w:pPr>
      <w:r>
        <w:rPr>
          <w:rStyle w:val="FootnoteReference"/>
        </w:rPr>
        <w:footnoteRef/>
      </w:r>
      <w:r>
        <w:t xml:space="preserve"> Translation note: Greek says salvation here rather than deliverance. The translation keeps that wording.</w:t>
      </w:r>
    </w:p>
  </w:footnote>
  <w:footnote w:id="7269">
    <w:p>
      <w:pPr>
        <w:pStyle w:val="FootnoteText"/>
      </w:pPr>
      <w:r>
        <w:rPr>
          <w:rStyle w:val="FootnoteReference"/>
        </w:rPr>
        <w:footnoteRef/>
      </w:r>
      <w:r>
        <w:t xml:space="preserve"> Cross-references for "the man of God": 2Kgs 1:9-15; 2Kgs 4:16.</w:t>
      </w:r>
    </w:p>
  </w:footnote>
  <w:footnote w:id="7270">
    <w:p>
      <w:pPr>
        <w:pStyle w:val="FootnoteText"/>
      </w:pPr>
      <w:r>
        <w:rPr>
          <w:rStyle w:val="FootnoteReference"/>
        </w:rPr>
        <w:footnoteRef/>
      </w:r>
      <w:r>
        <w:t xml:space="preserve"> Cross-references for "buried him": 2Chr 24:16; Acts 8:2.</w:t>
      </w:r>
    </w:p>
  </w:footnote>
  <w:footnote w:id="7271">
    <w:p>
      <w:pPr>
        <w:pStyle w:val="FootnoteText"/>
      </w:pPr>
      <w:r>
        <w:rPr>
          <w:rStyle w:val="FootnoteReference"/>
        </w:rPr>
        <w:footnoteRef/>
      </w:r>
      <w:r>
        <w:t xml:space="preserve"> Cross-references for "touched": 2Kgs 4:35; Isa 26:19.</w:t>
      </w:r>
    </w:p>
  </w:footnote>
  <w:footnote w:id="7272">
    <w:p>
      <w:pPr>
        <w:pStyle w:val="FootnoteText"/>
      </w:pPr>
      <w:r>
        <w:rPr>
          <w:rStyle w:val="FootnoteReference"/>
        </w:rPr>
        <w:footnoteRef/>
      </w:r>
      <w:r>
        <w:t xml:space="preserve"> Cross-references for "Hazael": 2Kgs 8:12; 2Kgs 13:3-7.</w:t>
      </w:r>
    </w:p>
  </w:footnote>
  <w:footnote w:id="7273">
    <w:p>
      <w:pPr>
        <w:pStyle w:val="FootnoteText"/>
      </w:pPr>
      <w:r>
        <w:rPr>
          <w:rStyle w:val="FootnoteReference"/>
        </w:rPr>
        <w:footnoteRef/>
      </w:r>
      <w:r>
        <w:t xml:space="preserve"> Cross-references for "the Lord": Exod 33:19; Exod 34:6-7.</w:t>
      </w:r>
    </w:p>
  </w:footnote>
  <w:footnote w:id="7274">
    <w:p>
      <w:pPr>
        <w:pStyle w:val="FootnoteText"/>
      </w:pPr>
      <w:r>
        <w:rPr>
          <w:rStyle w:val="FootnoteReference"/>
        </w:rPr>
        <w:footnoteRef/>
      </w:r>
      <w:r>
        <w:t xml:space="preserve"> Translation note: Greek says he did not cast them from before his face.</w:t>
      </w:r>
    </w:p>
  </w:footnote>
  <w:footnote w:id="7275">
    <w:p>
      <w:pPr>
        <w:pStyle w:val="FootnoteText"/>
      </w:pPr>
      <w:r>
        <w:rPr>
          <w:rStyle w:val="FootnoteReference"/>
        </w:rPr>
        <w:footnoteRef/>
      </w:r>
      <w:r>
        <w:t xml:space="preserve"> Cross-references for "Hazael": Ps 125:3; Luke 18:7.</w:t>
      </w:r>
    </w:p>
  </w:footnote>
  <w:footnote w:id="7276">
    <w:p>
      <w:pPr>
        <w:pStyle w:val="FootnoteText"/>
      </w:pPr>
      <w:r>
        <w:rPr>
          <w:rStyle w:val="FootnoteReference"/>
        </w:rPr>
        <w:footnoteRef/>
      </w:r>
      <w:r>
        <w:t xml:space="preserve"> Translation note: Greek has son of Ader; the text uses the standard English name Ben-hadad.</w:t>
      </w:r>
    </w:p>
  </w:footnote>
  <w:footnote w:id="7277">
    <w:p>
      <w:pPr>
        <w:pStyle w:val="FootnoteText"/>
      </w:pPr>
      <w:r>
        <w:rPr>
          <w:rStyle w:val="FootnoteReference"/>
        </w:rPr>
        <w:footnoteRef/>
      </w:r>
      <w:r>
        <w:t xml:space="preserve"> Cross-references for "Joash": 2Kgs 13:10; 2Kgs 14:15.</w:t>
      </w:r>
    </w:p>
  </w:footnote>
  <w:footnote w:id="7278">
    <w:p>
      <w:pPr>
        <w:pStyle w:val="FootnoteText"/>
      </w:pPr>
      <w:r>
        <w:rPr>
          <w:rStyle w:val="FootnoteReference"/>
        </w:rPr>
        <w:footnoteRef/>
      </w:r>
      <w:r>
        <w:t xml:space="preserve"> Name meaning: Ezra (Ezra) — Help. Helped restore the Law and the people after exile.</w:t>
      </w:r>
    </w:p>
  </w:footnote>
  <w:footnote w:id="7279">
    <w:p>
      <w:pPr>
        <w:pStyle w:val="FootnoteText"/>
      </w:pPr>
      <w:r>
        <w:rPr>
          <w:rStyle w:val="FootnoteReference"/>
        </w:rPr>
        <w:footnoteRef/>
      </w:r>
      <w:r>
        <w:t xml:space="preserve"> Personal name: Jehoaddan. Personal-name meaning: Jehoaddan — pleasure, or time, of the Lord. Source form: Jehoaddan.</w:t>
      </w:r>
    </w:p>
  </w:footnote>
  <w:footnote w:id="7280">
    <w:p>
      <w:pPr>
        <w:pStyle w:val="FootnoteText"/>
      </w:pPr>
      <w:r>
        <w:rPr>
          <w:rStyle w:val="FootnoteReference"/>
        </w:rPr>
        <w:footnoteRef/>
      </w:r>
      <w:r>
        <w:t xml:space="preserve"> Cross-references for "he did": 1Kgs 11:4; 1Kgs 15:3.</w:t>
      </w:r>
    </w:p>
  </w:footnote>
  <w:footnote w:id="7281">
    <w:p>
      <w:pPr>
        <w:pStyle w:val="FootnoteText"/>
      </w:pPr>
      <w:r>
        <w:rPr>
          <w:rStyle w:val="FootnoteReference"/>
        </w:rPr>
        <w:footnoteRef/>
      </w:r>
      <w:r>
        <w:t xml:space="preserve"> Cross-references for "the high places": 2Kgs 12:3; 2Kgs 15:4.</w:t>
      </w:r>
    </w:p>
  </w:footnote>
  <w:footnote w:id="7282">
    <w:p>
      <w:pPr>
        <w:pStyle w:val="FootnoteText"/>
      </w:pPr>
      <w:r>
        <w:rPr>
          <w:rStyle w:val="FootnoteReference"/>
        </w:rPr>
        <w:footnoteRef/>
      </w:r>
      <w:r>
        <w:t xml:space="preserve"> Cross-references for "his servants": 2Kgs 12:20-21; 2Chr 25:3-4.</w:t>
      </w:r>
    </w:p>
  </w:footnote>
  <w:footnote w:id="7283">
    <w:p>
      <w:pPr>
        <w:pStyle w:val="FootnoteText"/>
      </w:pPr>
      <w:r>
        <w:rPr>
          <w:rStyle w:val="FootnoteReference"/>
        </w:rPr>
        <w:footnoteRef/>
      </w:r>
      <w:r>
        <w:t xml:space="preserve"> Translation note: Greek says each shall die in his own sin.</w:t>
      </w:r>
    </w:p>
  </w:footnote>
  <w:footnote w:id="7284">
    <w:p>
      <w:pPr>
        <w:pStyle w:val="FootnoteText"/>
      </w:pPr>
      <w:r>
        <w:rPr>
          <w:rStyle w:val="FootnoteReference"/>
        </w:rPr>
        <w:footnoteRef/>
      </w:r>
      <w:r>
        <w:t xml:space="preserve"> Cross-references for "the Valley of Salt": 2Sam 8:13; 1Chr 18:12.</w:t>
      </w:r>
    </w:p>
  </w:footnote>
  <w:footnote w:id="7285">
    <w:p>
      <w:pPr>
        <w:pStyle w:val="FootnoteText"/>
      </w:pPr>
      <w:r>
        <w:rPr>
          <w:rStyle w:val="FootnoteReference"/>
        </w:rPr>
        <w:footnoteRef/>
      </w:r>
      <w:r>
        <w:t xml:space="preserve"> Place name: Petra. Place-name meaning: Petra — rock. Source form: Petra. Greek form: πετραν.</w:t>
      </w:r>
    </w:p>
  </w:footnote>
  <w:footnote w:id="7286">
    <w:p>
      <w:pPr>
        <w:pStyle w:val="FootnoteText"/>
      </w:pPr>
      <w:r>
        <w:rPr>
          <w:rStyle w:val="FootnoteReference"/>
        </w:rPr>
        <w:footnoteRef/>
      </w:r>
      <w:r>
        <w:t xml:space="preserve"> Cross-references for "Amaziah": 2Chr 25:17-24.</w:t>
      </w:r>
    </w:p>
  </w:footnote>
  <w:footnote w:id="7287">
    <w:p>
      <w:pPr>
        <w:pStyle w:val="FootnoteText"/>
      </w:pPr>
      <w:r>
        <w:rPr>
          <w:rStyle w:val="FootnoteReference"/>
        </w:rPr>
        <w:footnoteRef/>
      </w:r>
      <w:r>
        <w:t xml:space="preserve"> Cross-references for "Amaziah": 2Chr 25:16; 2Chr 25:20.</w:t>
      </w:r>
    </w:p>
  </w:footnote>
  <w:footnote w:id="7288">
    <w:p>
      <w:pPr>
        <w:pStyle w:val="FootnoteText"/>
      </w:pPr>
      <w:r>
        <w:rPr>
          <w:rStyle w:val="FootnoteReference"/>
        </w:rPr>
        <w:footnoteRef/>
      </w:r>
      <w:r>
        <w:t xml:space="preserve"> Cross-references for "the gate of Ephraim": 2Chr 25:23-24; Neh 8:16.</w:t>
      </w:r>
    </w:p>
  </w:footnote>
  <w:footnote w:id="7289">
    <w:p>
      <w:pPr>
        <w:pStyle w:val="FootnoteText"/>
      </w:pPr>
      <w:r>
        <w:rPr>
          <w:rStyle w:val="FootnoteReference"/>
        </w:rPr>
        <w:footnoteRef/>
      </w:r>
      <w:r>
        <w:t xml:space="preserve"> Translation note: Greek keeps tore-down wording and LXX names.</w:t>
      </w:r>
    </w:p>
  </w:footnote>
  <w:footnote w:id="7290">
    <w:p>
      <w:pPr>
        <w:pStyle w:val="FootnoteText"/>
      </w:pPr>
      <w:r>
        <w:rPr>
          <w:rStyle w:val="FootnoteReference"/>
        </w:rPr>
        <w:footnoteRef/>
      </w:r>
      <w:r>
        <w:t xml:space="preserve"> Cross-references for "the rest": 1Kgs 14:19-20; 2Kgs 10:34-35.</w:t>
      </w:r>
    </w:p>
  </w:footnote>
  <w:footnote w:id="7291">
    <w:p>
      <w:pPr>
        <w:pStyle w:val="FootnoteText"/>
      </w:pPr>
      <w:r>
        <w:rPr>
          <w:rStyle w:val="FootnoteReference"/>
        </w:rPr>
        <w:footnoteRef/>
      </w:r>
      <w:r>
        <w:t xml:space="preserve"> Cross-references for "was buried": 2Kgs 13:9.</w:t>
      </w:r>
    </w:p>
  </w:footnote>
  <w:footnote w:id="7292">
    <w:p>
      <w:pPr>
        <w:pStyle w:val="FootnoteText"/>
      </w:pPr>
      <w:r>
        <w:rPr>
          <w:rStyle w:val="FootnoteReference"/>
        </w:rPr>
        <w:footnoteRef/>
      </w:r>
      <w:r>
        <w:t xml:space="preserve"> Cross-references for "Amaziah": 2Kgs 13:10; 2Kgs 14:1-2.</w:t>
      </w:r>
    </w:p>
  </w:footnote>
  <w:footnote w:id="7293">
    <w:p>
      <w:pPr>
        <w:pStyle w:val="FootnoteText"/>
      </w:pPr>
      <w:r>
        <w:rPr>
          <w:rStyle w:val="FootnoteReference"/>
        </w:rPr>
        <w:footnoteRef/>
      </w:r>
      <w:r>
        <w:t xml:space="preserve"> Cross-references for "fled to Lachish": Josh 10:31; Mic 1:13.</w:t>
      </w:r>
    </w:p>
  </w:footnote>
  <w:footnote w:id="7294">
    <w:p>
      <w:pPr>
        <w:pStyle w:val="FootnoteText"/>
      </w:pPr>
      <w:r>
        <w:rPr>
          <w:rStyle w:val="FootnoteReference"/>
        </w:rPr>
        <w:footnoteRef/>
      </w:r>
      <w:r>
        <w:t xml:space="preserve"> Cross-references for "he was buried": 1Kgs 2:10; 1Kgs 11:43.</w:t>
      </w:r>
    </w:p>
  </w:footnote>
  <w:footnote w:id="7295">
    <w:p>
      <w:pPr>
        <w:pStyle w:val="FootnoteText"/>
      </w:pPr>
      <w:r>
        <w:rPr>
          <w:rStyle w:val="FootnoteReference"/>
        </w:rPr>
        <w:footnoteRef/>
      </w:r>
      <w:r>
        <w:t xml:space="preserve"> Cross-references for "Azariah": 2Kgs 15:13; 2Chr 26:1.</w:t>
      </w:r>
    </w:p>
  </w:footnote>
  <w:footnote w:id="7296">
    <w:p>
      <w:pPr>
        <w:pStyle w:val="FootnoteText"/>
      </w:pPr>
      <w:r>
        <w:rPr>
          <w:rStyle w:val="FootnoteReference"/>
        </w:rPr>
        <w:footnoteRef/>
      </w:r>
      <w:r>
        <w:t xml:space="preserve"> Cross-references for "Elath": Deut 2:8; 1Kgs 9:26.</w:t>
      </w:r>
    </w:p>
  </w:footnote>
  <w:footnote w:id="7297">
    <w:p>
      <w:pPr>
        <w:pStyle w:val="FootnoteText"/>
      </w:pPr>
      <w:r>
        <w:rPr>
          <w:rStyle w:val="FootnoteReference"/>
        </w:rPr>
        <w:footnoteRef/>
      </w:r>
      <w:r>
        <w:t xml:space="preserve"> Cross-references for "the fifteenth": 2Kgs 14:17.</w:t>
      </w:r>
    </w:p>
  </w:footnote>
  <w:footnote w:id="7298">
    <w:p>
      <w:pPr>
        <w:pStyle w:val="FootnoteText"/>
      </w:pPr>
      <w:r>
        <w:rPr>
          <w:rStyle w:val="FootnoteReference"/>
        </w:rPr>
        <w:footnoteRef/>
      </w:r>
      <w:r>
        <w:t xml:space="preserve"> Name meaning: Jonah (Yonah) — Dove. Fled yet brought salvation to Nineveh.</w:t>
      </w:r>
    </w:p>
  </w:footnote>
  <w:footnote w:id="7299">
    <w:p>
      <w:pPr>
        <w:pStyle w:val="FootnoteText"/>
      </w:pPr>
      <w:r>
        <w:rPr>
          <w:rStyle w:val="FootnoteReference"/>
        </w:rPr>
        <w:footnoteRef/>
      </w:r>
      <w:r>
        <w:t xml:space="preserve"> Cross-references for "Jonah": Jonah 1:1; Matt 12:39-40.</w:t>
      </w:r>
    </w:p>
  </w:footnote>
  <w:footnote w:id="7300">
    <w:p>
      <w:pPr>
        <w:pStyle w:val="FootnoteText"/>
      </w:pPr>
      <w:r>
        <w:rPr>
          <w:rStyle w:val="FootnoteReference"/>
        </w:rPr>
        <w:footnoteRef/>
      </w:r>
      <w:r>
        <w:t xml:space="preserve"> Cross-references for "saw the affliction": Exod 3:7; Exod 3:9.</w:t>
      </w:r>
    </w:p>
  </w:footnote>
  <w:footnote w:id="7301">
    <w:p>
      <w:pPr>
        <w:pStyle w:val="FootnoteText"/>
      </w:pPr>
      <w:r>
        <w:rPr>
          <w:rStyle w:val="FootnoteReference"/>
        </w:rPr>
        <w:footnoteRef/>
      </w:r>
      <w:r>
        <w:t xml:space="preserve"> Cross-references for "blot out": Exod 32:32-33; Deut 9:14.</w:t>
      </w:r>
    </w:p>
  </w:footnote>
  <w:footnote w:id="7302">
    <w:p>
      <w:pPr>
        <w:pStyle w:val="FootnoteText"/>
      </w:pPr>
      <w:r>
        <w:rPr>
          <w:rStyle w:val="FootnoteReference"/>
        </w:rPr>
        <w:footnoteRef/>
      </w:r>
      <w:r>
        <w:t xml:space="preserve"> Cross-references for "the rest": 2Kgs 14:15.</w:t>
      </w:r>
    </w:p>
  </w:footnote>
  <w:footnote w:id="7303">
    <w:p>
      <w:pPr>
        <w:pStyle w:val="FootnoteText"/>
      </w:pPr>
      <w:r>
        <w:rPr>
          <w:rStyle w:val="FootnoteReference"/>
        </w:rPr>
        <w:footnoteRef/>
      </w:r>
      <w:r>
        <w:t xml:space="preserve"> Name meaning: Zechariah (Zekharyah) — Yahweh remembers. God remembered His covenant promises.</w:t>
      </w:r>
    </w:p>
  </w:footnote>
  <w:footnote w:id="7304">
    <w:p>
      <w:pPr>
        <w:pStyle w:val="FootnoteText"/>
      </w:pPr>
      <w:r>
        <w:rPr>
          <w:rStyle w:val="FootnoteReference"/>
        </w:rPr>
        <w:footnoteRef/>
      </w:r>
      <w:r>
        <w:t xml:space="preserve"> Cross-references for "Azariah": 2Kgs 14:21; 2Kgs 15:13.</w:t>
      </w:r>
    </w:p>
  </w:footnote>
  <w:footnote w:id="7305">
    <w:p>
      <w:pPr>
        <w:pStyle w:val="FootnoteText"/>
      </w:pPr>
      <w:r>
        <w:rPr>
          <w:rStyle w:val="FootnoteReference"/>
        </w:rPr>
        <w:footnoteRef/>
      </w:r>
      <w:r>
        <w:t xml:space="preserve"> Personal name: Jecoliah. Personal-name meaning: Jecoliah — perfection, or power, of the Lord. Source form: Jecoliah.</w:t>
      </w:r>
    </w:p>
  </w:footnote>
  <w:footnote w:id="7306">
    <w:p>
      <w:pPr>
        <w:pStyle w:val="FootnoteText"/>
      </w:pPr>
      <w:r>
        <w:rPr>
          <w:rStyle w:val="FootnoteReference"/>
        </w:rPr>
        <w:footnoteRef/>
      </w:r>
      <w:r>
        <w:t xml:space="preserve"> Cross-references for "the high places": 1Kgs 15:14; 1Kgs 22:43.</w:t>
      </w:r>
    </w:p>
  </w:footnote>
  <w:footnote w:id="7307">
    <w:p>
      <w:pPr>
        <w:pStyle w:val="FootnoteText"/>
      </w:pPr>
      <w:r>
        <w:rPr>
          <w:rStyle w:val="FootnoteReference"/>
        </w:rPr>
        <w:footnoteRef/>
      </w:r>
      <w:r>
        <w:t xml:space="preserve"> Cross-references for "the Lord": 2Sam 3:29; 2Chr 26:16-20.</w:t>
      </w:r>
    </w:p>
  </w:footnote>
  <w:footnote w:id="7308">
    <w:p>
      <w:pPr>
        <w:pStyle w:val="FootnoteText"/>
      </w:pPr>
      <w:r>
        <w:rPr>
          <w:rStyle w:val="FootnoteReference"/>
        </w:rPr>
        <w:footnoteRef/>
      </w:r>
      <w:r>
        <w:t xml:space="preserve"> Cross-references for "Azariah": 2Kgs 15:1; 2Kgs 15:6-7.</w:t>
      </w:r>
    </w:p>
  </w:footnote>
  <w:footnote w:id="7309">
    <w:p>
      <w:pPr>
        <w:pStyle w:val="FootnoteText"/>
      </w:pPr>
      <w:r>
        <w:rPr>
          <w:rStyle w:val="FootnoteReference"/>
        </w:rPr>
        <w:footnoteRef/>
      </w:r>
      <w:r>
        <w:t xml:space="preserve"> Cross-references for "the thirty": 2Kgs 14:16-17; 2Kgs 14:21.</w:t>
      </w:r>
    </w:p>
  </w:footnote>
  <w:footnote w:id="7310">
    <w:p>
      <w:pPr>
        <w:pStyle w:val="FootnoteText"/>
      </w:pPr>
      <w:r>
        <w:rPr>
          <w:rStyle w:val="FootnoteReference"/>
        </w:rPr>
        <w:footnoteRef/>
      </w:r>
      <w:r>
        <w:t xml:space="preserve"> Cross-references for "as his": 2Kgs 10:29; 2Kgs 10:31.</w:t>
      </w:r>
    </w:p>
  </w:footnote>
  <w:footnote w:id="7311">
    <w:p>
      <w:pPr>
        <w:pStyle w:val="FootnoteText"/>
      </w:pPr>
      <w:r>
        <w:rPr>
          <w:rStyle w:val="FootnoteReference"/>
        </w:rPr>
        <w:footnoteRef/>
      </w:r>
      <w:r>
        <w:t xml:space="preserve"> Cross-references for "the word": 2Kgs 10:30.</w:t>
      </w:r>
    </w:p>
  </w:footnote>
  <w:footnote w:id="7312">
    <w:p>
      <w:pPr>
        <w:pStyle w:val="FootnoteText"/>
      </w:pPr>
      <w:r>
        <w:rPr>
          <w:rStyle w:val="FootnoteReference"/>
        </w:rPr>
        <w:footnoteRef/>
      </w:r>
      <w:r>
        <w:t xml:space="preserve"> Personal name: Menahem. Personal-name meaning: Menahem — comforter; who conducts them; preparation of heat. Source form: Menahem.</w:t>
      </w:r>
    </w:p>
  </w:footnote>
  <w:footnote w:id="7313">
    <w:p>
      <w:pPr>
        <w:pStyle w:val="FootnoteText"/>
      </w:pPr>
      <w:r>
        <w:rPr>
          <w:rStyle w:val="FootnoteReference"/>
        </w:rPr>
        <w:footnoteRef/>
      </w:r>
      <w:r>
        <w:t xml:space="preserve"> Translation note: Greek explicitly says the pregnant women he ripped open.</w:t>
      </w:r>
    </w:p>
  </w:footnote>
  <w:footnote w:id="7314">
    <w:p>
      <w:pPr>
        <w:pStyle w:val="FootnoteText"/>
      </w:pPr>
      <w:r>
        <w:rPr>
          <w:rStyle w:val="FootnoteReference"/>
        </w:rPr>
        <w:footnoteRef/>
      </w:r>
      <w:r>
        <w:t xml:space="preserve"> Transliterated proper noun: Pul. Standard English equivalent: Pul. Source form: Pul. Greek form: φουλ. Name meaning: bean; destruction.</w:t>
      </w:r>
    </w:p>
  </w:footnote>
  <w:footnote w:id="7315">
    <w:p>
      <w:pPr>
        <w:pStyle w:val="FootnoteText"/>
      </w:pPr>
      <w:r>
        <w:rPr>
          <w:rStyle w:val="FootnoteReference"/>
        </w:rPr>
        <w:footnoteRef/>
      </w:r>
      <w:r>
        <w:t xml:space="preserve"> Cross-references for "Menahem": 2Kgs 12:18; 2Kgs 16:8.</w:t>
      </w:r>
    </w:p>
  </w:footnote>
  <w:footnote w:id="7316">
    <w:p>
      <w:pPr>
        <w:pStyle w:val="FootnoteText"/>
      </w:pPr>
      <w:r>
        <w:rPr>
          <w:rStyle w:val="FootnoteReference"/>
        </w:rPr>
        <w:footnoteRef/>
      </w:r>
      <w:r>
        <w:t xml:space="preserve"> Cross-references for "Menahem": 2Kgs 23:35.</w:t>
      </w:r>
    </w:p>
  </w:footnote>
  <w:footnote w:id="7317">
    <w:p>
      <w:pPr>
        <w:pStyle w:val="FootnoteText"/>
      </w:pPr>
      <w:r>
        <w:rPr>
          <w:rStyle w:val="FootnoteReference"/>
        </w:rPr>
        <w:footnoteRef/>
      </w:r>
      <w:r>
        <w:t xml:space="preserve"> Translation note: Greek says upon every mighty man of strength.</w:t>
      </w:r>
    </w:p>
  </w:footnote>
  <w:footnote w:id="7318">
    <w:p>
      <w:pPr>
        <w:pStyle w:val="FootnoteText"/>
      </w:pPr>
      <w:r>
        <w:rPr>
          <w:rStyle w:val="FootnoteReference"/>
        </w:rPr>
        <w:footnoteRef/>
      </w:r>
      <w:r>
        <w:t xml:space="preserve"> Personal name: Pekahiah. Personal-name meaning: Pekahiah — it is the Lord that opens. Source form: Pekahiah.</w:t>
      </w:r>
    </w:p>
  </w:footnote>
  <w:footnote w:id="7319">
    <w:p>
      <w:pPr>
        <w:pStyle w:val="FootnoteText"/>
      </w:pPr>
      <w:r>
        <w:rPr>
          <w:rStyle w:val="FootnoteReference"/>
        </w:rPr>
        <w:footnoteRef/>
      </w:r>
      <w:r>
        <w:t xml:space="preserve"> Personal name: Pekah. Personal-name meaning: Pekah — he that opens; that is at liberty. Source form: Pekah.</w:t>
      </w:r>
    </w:p>
  </w:footnote>
  <w:footnote w:id="7320">
    <w:p>
      <w:pPr>
        <w:pStyle w:val="FootnoteText"/>
      </w:pPr>
      <w:r>
        <w:rPr>
          <w:rStyle w:val="FootnoteReference"/>
        </w:rPr>
        <w:footnoteRef/>
      </w:r>
      <w:r>
        <w:t xml:space="preserve"> Personal name: Remaliah. Personal-name meaning: Remaliah — the exaltation of the Lord. Source form: Remaliah.</w:t>
      </w:r>
    </w:p>
  </w:footnote>
  <w:footnote w:id="7321">
    <w:p>
      <w:pPr>
        <w:pStyle w:val="FootnoteText"/>
      </w:pPr>
      <w:r>
        <w:rPr>
          <w:rStyle w:val="FootnoteReference"/>
        </w:rPr>
        <w:footnoteRef/>
      </w:r>
      <w:r>
        <w:t xml:space="preserve"> MT/LXX note: Greek preserves a different group designation here than the Masoretic Gileadite reading. The translation follows the Greek wording.</w:t>
      </w:r>
    </w:p>
  </w:footnote>
  <w:footnote w:id="7322">
    <w:p>
      <w:pPr>
        <w:pStyle w:val="FootnoteText"/>
      </w:pPr>
      <w:r>
        <w:rPr>
          <w:rStyle w:val="FootnoteReference"/>
        </w:rPr>
        <w:footnoteRef/>
      </w:r>
      <w:r>
        <w:t xml:space="preserve"> Cross-references for "Pekah": 2Kgs 15:27; 2Chr 28:6.</w:t>
      </w:r>
    </w:p>
  </w:footnote>
  <w:footnote w:id="7323">
    <w:p>
      <w:pPr>
        <w:pStyle w:val="FootnoteText"/>
      </w:pPr>
      <w:r>
        <w:rPr>
          <w:rStyle w:val="FootnoteReference"/>
        </w:rPr>
        <w:footnoteRef/>
      </w:r>
      <w:r>
        <w:t xml:space="preserve"> Cross-references for "Pekah": 2Kgs 15:25; 2Kgs 15:37.</w:t>
      </w:r>
    </w:p>
  </w:footnote>
  <w:footnote w:id="7324">
    <w:p>
      <w:pPr>
        <w:pStyle w:val="FootnoteText"/>
      </w:pPr>
      <w:r>
        <w:rPr>
          <w:rStyle w:val="FootnoteReference"/>
        </w:rPr>
        <w:footnoteRef/>
      </w:r>
      <w:r>
        <w:t xml:space="preserve"> Cross-references for "evil": 2Kgs 13:2; 2Kgs 13:6.</w:t>
      </w:r>
    </w:p>
  </w:footnote>
  <w:footnote w:id="7325">
    <w:p>
      <w:pPr>
        <w:pStyle w:val="FootnoteText"/>
      </w:pPr>
      <w:r>
        <w:rPr>
          <w:rStyle w:val="FootnoteReference"/>
        </w:rPr>
        <w:footnoteRef/>
      </w:r>
      <w:r>
        <w:t xml:space="preserve"> Transliterated proper noun: Tiglathpileser. Standard English equivalent: Tiglathpileser. Source form: Tiglathpileser. Greek form: θαγλαθφελλασαρ. Name meaning: that binds or takes away captivity.</w:t>
      </w:r>
    </w:p>
  </w:footnote>
  <w:footnote w:id="7326">
    <w:p>
      <w:pPr>
        <w:pStyle w:val="FootnoteText"/>
      </w:pPr>
      <w:r>
        <w:rPr>
          <w:rStyle w:val="FootnoteReference"/>
        </w:rPr>
        <w:footnoteRef/>
      </w:r>
      <w:r>
        <w:t xml:space="preserve"> Translation note: Greek says deported/relocated them here.</w:t>
      </w:r>
    </w:p>
  </w:footnote>
  <w:footnote w:id="7327">
    <w:p>
      <w:pPr>
        <w:pStyle w:val="FootnoteText"/>
      </w:pPr>
      <w:r>
        <w:rPr>
          <w:rStyle w:val="FootnoteReference"/>
        </w:rPr>
        <w:footnoteRef/>
      </w:r>
      <w:r>
        <w:t xml:space="preserve"> Cross-references for "Tiglathpileser": 2Kgs 16:7; 1Chr 5:6.</w:t>
      </w:r>
    </w:p>
  </w:footnote>
  <w:footnote w:id="7328">
    <w:p>
      <w:pPr>
        <w:pStyle w:val="FootnoteText"/>
      </w:pPr>
      <w:r>
        <w:rPr>
          <w:rStyle w:val="FootnoteReference"/>
        </w:rPr>
        <w:footnoteRef/>
      </w:r>
      <w:r>
        <w:t xml:space="preserve"> Cross-references for "made": 2Kgs 15:10; 2Kgs 15:25.</w:t>
      </w:r>
    </w:p>
  </w:footnote>
  <w:footnote w:id="7329">
    <w:p>
      <w:pPr>
        <w:pStyle w:val="FootnoteText"/>
      </w:pPr>
      <w:r>
        <w:rPr>
          <w:rStyle w:val="FootnoteReference"/>
        </w:rPr>
        <w:footnoteRef/>
      </w:r>
      <w:r>
        <w:t xml:space="preserve"> Cross-references for "Jotham": 2Kgs 15:7; 1Chr 3:12.</w:t>
      </w:r>
    </w:p>
  </w:footnote>
  <w:footnote w:id="7330">
    <w:p>
      <w:pPr>
        <w:pStyle w:val="FootnoteText"/>
      </w:pPr>
      <w:r>
        <w:rPr>
          <w:rStyle w:val="FootnoteReference"/>
        </w:rPr>
        <w:footnoteRef/>
      </w:r>
      <w:r>
        <w:t xml:space="preserve"> Personal name: Jerusha. Personal-name meaning: Jerusha — banished; possession; inheritance. Source form: Jerusha.</w:t>
      </w:r>
    </w:p>
  </w:footnote>
  <w:footnote w:id="7331">
    <w:p>
      <w:pPr>
        <w:pStyle w:val="FootnoteText"/>
      </w:pPr>
      <w:r>
        <w:rPr>
          <w:rStyle w:val="FootnoteReference"/>
        </w:rPr>
        <w:footnoteRef/>
      </w:r>
      <w:r>
        <w:t xml:space="preserve"> Cross-references for "Jerusha": 2Chr 27:1.</w:t>
      </w:r>
    </w:p>
  </w:footnote>
  <w:footnote w:id="7332">
    <w:p>
      <w:pPr>
        <w:pStyle w:val="FootnoteText"/>
      </w:pPr>
      <w:r>
        <w:rPr>
          <w:rStyle w:val="FootnoteReference"/>
        </w:rPr>
        <w:footnoteRef/>
      </w:r>
      <w:r>
        <w:t xml:space="preserve"> Personal name: Uzziah. Personal-name meaning: Uzziah — the strength, or kid, of the Lord. Source form: Uzziah.</w:t>
      </w:r>
    </w:p>
  </w:footnote>
  <w:footnote w:id="7333">
    <w:p>
      <w:pPr>
        <w:pStyle w:val="FootnoteText"/>
      </w:pPr>
      <w:r>
        <w:rPr>
          <w:rStyle w:val="FootnoteReference"/>
        </w:rPr>
        <w:footnoteRef/>
      </w:r>
      <w:r>
        <w:t xml:space="preserve"> Translation note: Greek includes that building detail in the regnal notice. Current wording preserves it.</w:t>
      </w:r>
    </w:p>
  </w:footnote>
  <w:footnote w:id="7334">
    <w:p>
      <w:pPr>
        <w:pStyle w:val="FootnoteText"/>
      </w:pPr>
      <w:r>
        <w:rPr>
          <w:rStyle w:val="FootnoteReference"/>
        </w:rPr>
        <w:footnoteRef/>
      </w:r>
      <w:r>
        <w:t xml:space="preserve"> Cross-references for "the rest": 2Kgs 15:6-7; 2Chr 27:4-9.</w:t>
      </w:r>
    </w:p>
  </w:footnote>
  <w:footnote w:id="7335">
    <w:p>
      <w:pPr>
        <w:pStyle w:val="FootnoteText"/>
      </w:pPr>
      <w:r>
        <w:rPr>
          <w:rStyle w:val="FootnoteReference"/>
        </w:rPr>
        <w:footnoteRef/>
      </w:r>
      <w:r>
        <w:t xml:space="preserve"> Cross-references for "In those days": 2Kgs 16:3; Isa 38:1-22.</w:t>
      </w:r>
    </w:p>
  </w:footnote>
  <w:footnote w:id="7336">
    <w:p>
      <w:pPr>
        <w:pStyle w:val="FootnoteText"/>
      </w:pPr>
      <w:r>
        <w:rPr>
          <w:rStyle w:val="FootnoteReference"/>
        </w:rPr>
        <w:footnoteRef/>
      </w:r>
      <w:r>
        <w:t xml:space="preserve"> Personal name: Rezin. Personal-name meaning: Rezin — good will; firm one. Source form: Rezin.</w:t>
      </w:r>
    </w:p>
  </w:footnote>
  <w:footnote w:id="7337">
    <w:p>
      <w:pPr>
        <w:pStyle w:val="FootnoteText"/>
      </w:pPr>
      <w:r>
        <w:rPr>
          <w:rStyle w:val="FootnoteReference"/>
        </w:rPr>
        <w:footnoteRef/>
      </w:r>
      <w:r>
        <w:t xml:space="preserve"> Cross-references for "Jotham": 2Sam 7:12; 1Kgs 1:2.</w:t>
      </w:r>
    </w:p>
  </w:footnote>
  <w:footnote w:id="7338">
    <w:p>
      <w:pPr>
        <w:pStyle w:val="FootnoteText"/>
      </w:pPr>
      <w:r>
        <w:rPr>
          <w:rStyle w:val="FootnoteReference"/>
        </w:rPr>
        <w:footnoteRef/>
      </w:r>
      <w:r>
        <w:t xml:space="preserve"> Personal name: Ahaz. Personal-name meaning: Ahaz — one that takes or possesses. Source form: Ahaz.</w:t>
      </w:r>
    </w:p>
  </w:footnote>
  <w:footnote w:id="7339">
    <w:p>
      <w:pPr>
        <w:pStyle w:val="FootnoteText"/>
      </w:pPr>
      <w:r>
        <w:rPr>
          <w:rStyle w:val="FootnoteReference"/>
        </w:rPr>
        <w:footnoteRef/>
      </w:r>
      <w:r>
        <w:t xml:space="preserve"> Cross-references for "seventeenth": 2Kgs 15:27-30; 2Kgs 15:32-33.</w:t>
      </w:r>
    </w:p>
  </w:footnote>
  <w:footnote w:id="7340">
    <w:p>
      <w:pPr>
        <w:pStyle w:val="FootnoteText"/>
      </w:pPr>
      <w:r>
        <w:rPr>
          <w:rStyle w:val="FootnoteReference"/>
        </w:rPr>
        <w:footnoteRef/>
      </w:r>
      <w:r>
        <w:t xml:space="preserve"> Cross-references for "did not": 1Kgs 3:14; 1Kgs 9:4.</w:t>
      </w:r>
    </w:p>
  </w:footnote>
  <w:footnote w:id="7341">
    <w:p>
      <w:pPr>
        <w:pStyle w:val="FootnoteText"/>
      </w:pPr>
      <w:r>
        <w:rPr>
          <w:rStyle w:val="FootnoteReference"/>
        </w:rPr>
        <w:footnoteRef/>
      </w:r>
      <w:r>
        <w:t xml:space="preserve"> Cross-references for "he walked": 1Kgs 12:28-30; 1Kgs 16:31-33.</w:t>
      </w:r>
    </w:p>
  </w:footnote>
  <w:footnote w:id="7342">
    <w:p>
      <w:pPr>
        <w:pStyle w:val="FootnoteText"/>
      </w:pPr>
      <w:r>
        <w:rPr>
          <w:rStyle w:val="FootnoteReference"/>
        </w:rPr>
        <w:footnoteRef/>
      </w:r>
      <w:r>
        <w:t xml:space="preserve"> Cross-references for "on the hills": Deut 12:2; 1Kgs 14:23.</w:t>
      </w:r>
    </w:p>
  </w:footnote>
  <w:footnote w:id="7343">
    <w:p>
      <w:pPr>
        <w:pStyle w:val="FootnoteText"/>
      </w:pPr>
      <w:r>
        <w:rPr>
          <w:rStyle w:val="FootnoteReference"/>
        </w:rPr>
        <w:footnoteRef/>
      </w:r>
      <w:r>
        <w:t xml:space="preserve"> Cross-references for "Rezin": 2Kgs 15:37; 2Chr 28:5-15.</w:t>
      </w:r>
    </w:p>
  </w:footnote>
  <w:footnote w:id="7344">
    <w:p>
      <w:pPr>
        <w:pStyle w:val="FootnoteText"/>
      </w:pPr>
      <w:r>
        <w:rPr>
          <w:rStyle w:val="FootnoteReference"/>
        </w:rPr>
        <w:footnoteRef/>
      </w:r>
      <w:r>
        <w:t xml:space="preserve"> Cross-references for "Elath": 1Kgs 9:26; 2Chr 26:2.</w:t>
      </w:r>
    </w:p>
  </w:footnote>
  <w:footnote w:id="7345">
    <w:p>
      <w:pPr>
        <w:pStyle w:val="FootnoteText"/>
      </w:pPr>
      <w:r>
        <w:rPr>
          <w:rStyle w:val="FootnoteReference"/>
        </w:rPr>
        <w:footnoteRef/>
      </w:r>
      <w:r>
        <w:t xml:space="preserve"> Transliterated proper noun: Judeans. Standard English equivalent: Jews. Source form: Judeans. Greek form: ιουδαιους. Name meaning: People of Judah; Judeans.</w:t>
      </w:r>
    </w:p>
  </w:footnote>
  <w:footnote w:id="7346">
    <w:p>
      <w:pPr>
        <w:pStyle w:val="FootnoteText"/>
      </w:pPr>
      <w:r>
        <w:rPr>
          <w:rStyle w:val="FootnoteReference"/>
        </w:rPr>
        <w:footnoteRef/>
      </w:r>
      <w:r>
        <w:t xml:space="preserve"> Cross-references for "Tiglathpileser": 2Kgs 15:29; 1Chr 5:26.</w:t>
      </w:r>
    </w:p>
  </w:footnote>
  <w:footnote w:id="7347">
    <w:p>
      <w:pPr>
        <w:pStyle w:val="FootnoteText"/>
      </w:pPr>
      <w:r>
        <w:rPr>
          <w:rStyle w:val="FootnoteReference"/>
        </w:rPr>
        <w:footnoteRef/>
      </w:r>
      <w:r>
        <w:t xml:space="preserve"> Translation note: Greek ends the appeal with that live threat wording.</w:t>
      </w:r>
    </w:p>
  </w:footnote>
  <w:footnote w:id="7348">
    <w:p>
      <w:pPr>
        <w:pStyle w:val="FootnoteText"/>
      </w:pPr>
      <w:r>
        <w:rPr>
          <w:rStyle w:val="FootnoteReference"/>
        </w:rPr>
        <w:footnoteRef/>
      </w:r>
      <w:r>
        <w:t xml:space="preserve"> Cross-references for "the silver": 2Kgs 12:17-18; 2Kgs 16:17-18.</w:t>
      </w:r>
    </w:p>
  </w:footnote>
  <w:footnote w:id="7349">
    <w:p>
      <w:pPr>
        <w:pStyle w:val="FootnoteText"/>
      </w:pPr>
      <w:r>
        <w:rPr>
          <w:rStyle w:val="FootnoteReference"/>
        </w:rPr>
        <w:footnoteRef/>
      </w:r>
      <w:r>
        <w:t xml:space="preserve"> Cross-references for "went up": 2Chr 28:5; Amos 1:3-5.</w:t>
      </w:r>
    </w:p>
  </w:footnote>
  <w:footnote w:id="7350">
    <w:p>
      <w:pPr>
        <w:pStyle w:val="FootnoteText"/>
      </w:pPr>
      <w:r>
        <w:rPr>
          <w:rStyle w:val="FootnoteReference"/>
        </w:rPr>
        <w:footnoteRef/>
      </w:r>
      <w:r>
        <w:t xml:space="preserve"> Transliterated proper noun: Ourias. Standard English equivalent: Urijah. Source form: Ourias. Greek form: ουριαν. Name meaning: the Lord is my light or fire.</w:t>
      </w:r>
    </w:p>
  </w:footnote>
  <w:footnote w:id="7351">
    <w:p>
      <w:pPr>
        <w:pStyle w:val="FootnoteText"/>
      </w:pPr>
      <w:r>
        <w:rPr>
          <w:rStyle w:val="FootnoteReference"/>
        </w:rPr>
        <w:footnoteRef/>
      </w:r>
      <w:r>
        <w:t xml:space="preserve"> Translation note: Greek says likeness of altar here. Current line keeps that wording.</w:t>
      </w:r>
    </w:p>
  </w:footnote>
  <w:footnote w:id="7352">
    <w:p>
      <w:pPr>
        <w:pStyle w:val="FootnoteText"/>
      </w:pPr>
      <w:r>
        <w:rPr>
          <w:rStyle w:val="FootnoteReference"/>
        </w:rPr>
        <w:footnoteRef/>
      </w:r>
      <w:r>
        <w:t xml:space="preserve"> Cross-references for "Urijah": Isa 8:2.</w:t>
      </w:r>
    </w:p>
  </w:footnote>
  <w:footnote w:id="7353">
    <w:p>
      <w:pPr>
        <w:pStyle w:val="FootnoteText"/>
      </w:pPr>
      <w:r>
        <w:rPr>
          <w:rStyle w:val="FootnoteReference"/>
        </w:rPr>
        <w:footnoteRef/>
      </w:r>
      <w:r>
        <w:t xml:space="preserve"> Cross-references for "the altar": 2Kgs 16:10-12.</w:t>
      </w:r>
    </w:p>
  </w:footnote>
  <w:footnote w:id="7354">
    <w:p>
      <w:pPr>
        <w:pStyle w:val="FootnoteText"/>
      </w:pPr>
      <w:r>
        <w:rPr>
          <w:rStyle w:val="FootnoteReference"/>
        </w:rPr>
        <w:footnoteRef/>
      </w:r>
      <w:r>
        <w:t xml:space="preserve"> Cross-references for "the morning": Exod 29:39-41; Num 28:2-10.</w:t>
      </w:r>
    </w:p>
  </w:footnote>
  <w:footnote w:id="7355">
    <w:p>
      <w:pPr>
        <w:pStyle w:val="FootnoteText"/>
      </w:pPr>
      <w:r>
        <w:rPr>
          <w:rStyle w:val="FootnoteReference"/>
        </w:rPr>
        <w:footnoteRef/>
      </w:r>
      <w:r>
        <w:t xml:space="preserve"> Translation note: Greek closes the command with a distinct clause about the bronze altar. The translation keeps the established rendering.</w:t>
      </w:r>
    </w:p>
  </w:footnote>
  <w:footnote w:id="7356">
    <w:p>
      <w:pPr>
        <w:pStyle w:val="FootnoteText"/>
      </w:pPr>
      <w:r>
        <w:rPr>
          <w:rStyle w:val="FootnoteReference"/>
        </w:rPr>
        <w:footnoteRef/>
      </w:r>
      <w:r>
        <w:t xml:space="preserve"> Translation note: Greek says king cut down frames of the bases.</w:t>
      </w:r>
    </w:p>
  </w:footnote>
  <w:footnote w:id="7357">
    <w:p>
      <w:pPr>
        <w:pStyle w:val="FootnoteText"/>
      </w:pPr>
      <w:r>
        <w:rPr>
          <w:rStyle w:val="FootnoteReference"/>
        </w:rPr>
        <w:footnoteRef/>
      </w:r>
      <w:r>
        <w:t xml:space="preserve"> Cross-references for "buried": 2Kgs 21:18; 2Kgs 21:26.</w:t>
      </w:r>
    </w:p>
  </w:footnote>
  <w:footnote w:id="7358">
    <w:p>
      <w:pPr>
        <w:pStyle w:val="FootnoteText"/>
      </w:pPr>
      <w:r>
        <w:rPr>
          <w:rStyle w:val="FootnoteReference"/>
        </w:rPr>
        <w:footnoteRef/>
      </w:r>
      <w:r>
        <w:t xml:space="preserve"> Name meaning: Hezekiah (Chizqiyahu) — Yahweh strengthens. Judahite king strengthened by the LORD during Assyrian threat.</w:t>
      </w:r>
    </w:p>
  </w:footnote>
  <w:footnote w:id="7359">
    <w:p>
      <w:pPr>
        <w:pStyle w:val="FootnoteText"/>
      </w:pPr>
      <w:r>
        <w:rPr>
          <w:rStyle w:val="FootnoteReference"/>
        </w:rPr>
        <w:footnoteRef/>
      </w:r>
      <w:r>
        <w:t xml:space="preserve"> Cross-references for "In the twelfth": 2Kgs 15:30; 2Kgs 17:1.</w:t>
      </w:r>
    </w:p>
  </w:footnote>
  <w:footnote w:id="7360">
    <w:p>
      <w:pPr>
        <w:pStyle w:val="FootnoteText"/>
      </w:pPr>
      <w:r>
        <w:rPr>
          <w:rStyle w:val="FootnoteReference"/>
        </w:rPr>
        <w:footnoteRef/>
      </w:r>
      <w:r>
        <w:t xml:space="preserve"> Personal name: Shalmaneser. Personal-name meaning: Shalmaneser — peace; tied; chained; perfection; retribution. Source form: Shalmaneser.</w:t>
      </w:r>
    </w:p>
  </w:footnote>
  <w:footnote w:id="7361">
    <w:p>
      <w:pPr>
        <w:pStyle w:val="FootnoteText"/>
      </w:pPr>
      <w:r>
        <w:rPr>
          <w:rStyle w:val="FootnoteReference"/>
        </w:rPr>
        <w:footnoteRef/>
      </w:r>
      <w:r>
        <w:t xml:space="preserve"> Cross-references for "Shalmaneser": 2Kgs 18:9; Hos 10:14.</w:t>
      </w:r>
    </w:p>
  </w:footnote>
  <w:footnote w:id="7362">
    <w:p>
      <w:pPr>
        <w:pStyle w:val="FootnoteText"/>
      </w:pPr>
      <w:r>
        <w:rPr>
          <w:rStyle w:val="FootnoteReference"/>
        </w:rPr>
        <w:footnoteRef/>
      </w:r>
      <w:r>
        <w:t xml:space="preserve"> Translation note: Greek says found wrongdoing in Hoshea.</w:t>
      </w:r>
    </w:p>
  </w:footnote>
  <w:footnote w:id="7363">
    <w:p>
      <w:pPr>
        <w:pStyle w:val="FootnoteText"/>
      </w:pPr>
      <w:r>
        <w:rPr>
          <w:rStyle w:val="FootnoteReference"/>
        </w:rPr>
        <w:footnoteRef/>
      </w:r>
      <w:r>
        <w:t xml:space="preserve"> Cross-references for "king of Egypt": 2Kgs 18:21; Isa 30:1-4.</w:t>
      </w:r>
    </w:p>
  </w:footnote>
  <w:footnote w:id="7364">
    <w:p>
      <w:pPr>
        <w:pStyle w:val="FootnoteText"/>
      </w:pPr>
      <w:r>
        <w:rPr>
          <w:rStyle w:val="FootnoteReference"/>
        </w:rPr>
        <w:footnoteRef/>
      </w:r>
      <w:r>
        <w:t xml:space="preserve"> Cross-references for "three years": 2Kgs 25:1-3; Jer 52:4-5.</w:t>
      </w:r>
    </w:p>
  </w:footnote>
  <w:footnote w:id="7365">
    <w:p>
      <w:pPr>
        <w:pStyle w:val="FootnoteText"/>
      </w:pPr>
      <w:r>
        <w:rPr>
          <w:rStyle w:val="FootnoteReference"/>
        </w:rPr>
        <w:footnoteRef/>
      </w:r>
      <w:r>
        <w:t xml:space="preserve"> Place name: Halah. Place-name meaning: Halah — a moist table. Source form: Halah. Greek form: αλαε.</w:t>
      </w:r>
    </w:p>
  </w:footnote>
  <w:footnote w:id="7366">
    <w:p>
      <w:pPr>
        <w:pStyle w:val="FootnoteText"/>
      </w:pPr>
      <w:r>
        <w:rPr>
          <w:rStyle w:val="FootnoteReference"/>
        </w:rPr>
        <w:footnoteRef/>
      </w:r>
      <w:r>
        <w:t xml:space="preserve"> Place name: Gozan. Place-name meaning: Gozan — fleece; pasture; who nourisheth the body. Source form: Gozan. Greek form: γωζαν.</w:t>
      </w:r>
    </w:p>
  </w:footnote>
  <w:footnote w:id="7367">
    <w:p>
      <w:pPr>
        <w:pStyle w:val="FootnoteText"/>
      </w:pPr>
      <w:r>
        <w:rPr>
          <w:rStyle w:val="FootnoteReference"/>
        </w:rPr>
        <w:footnoteRef/>
      </w:r>
      <w:r>
        <w:t xml:space="preserve"> People-name: Medes. People-name meaning: Medes — people of Media. Source form: Medes.</w:t>
      </w:r>
    </w:p>
  </w:footnote>
  <w:footnote w:id="7368">
    <w:p>
      <w:pPr>
        <w:pStyle w:val="FootnoteText"/>
      </w:pPr>
      <w:r>
        <w:rPr>
          <w:rStyle w:val="FootnoteReference"/>
        </w:rPr>
        <w:footnoteRef/>
      </w:r>
      <w:r>
        <w:t xml:space="preserve"> Translation note: Greek keeps the deportation-settlement geography explicit. Current wording stays close to that line.</w:t>
      </w:r>
    </w:p>
  </w:footnote>
  <w:footnote w:id="7369">
    <w:p>
      <w:pPr>
        <w:pStyle w:val="FootnoteText"/>
      </w:pPr>
      <w:r>
        <w:rPr>
          <w:rStyle w:val="FootnoteReference"/>
        </w:rPr>
        <w:footnoteRef/>
      </w:r>
      <w:r>
        <w:t xml:space="preserve"> Cross-references for "Halah": 2Kgs 19:12; 1Chr 5:26.</w:t>
      </w:r>
    </w:p>
  </w:footnote>
  <w:footnote w:id="7370">
    <w:p>
      <w:pPr>
        <w:pStyle w:val="FootnoteText"/>
      </w:pPr>
      <w:r>
        <w:rPr>
          <w:rStyle w:val="FootnoteReference"/>
        </w:rPr>
        <w:footnoteRef/>
      </w:r>
      <w:r>
        <w:t xml:space="preserve"> Cross-references for "sinned": Deut 31:16-17; Deut 31:29.</w:t>
      </w:r>
    </w:p>
  </w:footnote>
  <w:footnote w:id="7371">
    <w:p>
      <w:pPr>
        <w:pStyle w:val="FootnoteText"/>
      </w:pPr>
      <w:r>
        <w:rPr>
          <w:rStyle w:val="FootnoteReference"/>
        </w:rPr>
        <w:footnoteRef/>
      </w:r>
      <w:r>
        <w:t xml:space="preserve"> Translation note: Greek says from under the hand of Pharaoh.</w:t>
      </w:r>
    </w:p>
  </w:footnote>
  <w:footnote w:id="7372">
    <w:p>
      <w:pPr>
        <w:pStyle w:val="FootnoteText"/>
      </w:pPr>
      <w:r>
        <w:rPr>
          <w:rStyle w:val="FootnoteReference"/>
        </w:rPr>
        <w:footnoteRef/>
      </w:r>
      <w:r>
        <w:t xml:space="preserve"> Cross-references for "walked": Lev 18:3; Lev 18:27-30.</w:t>
      </w:r>
    </w:p>
  </w:footnote>
  <w:footnote w:id="7373">
    <w:p>
      <w:pPr>
        <w:pStyle w:val="FootnoteText"/>
      </w:pPr>
      <w:r>
        <w:rPr>
          <w:rStyle w:val="FootnoteReference"/>
        </w:rPr>
        <w:footnoteRef/>
      </w:r>
      <w:r>
        <w:t xml:space="preserve"> Cross-references for "secretly": Deut 13:6; Deut 27:15.</w:t>
      </w:r>
    </w:p>
  </w:footnote>
  <w:footnote w:id="7374">
    <w:p>
      <w:pPr>
        <w:pStyle w:val="FootnoteText"/>
      </w:pPr>
      <w:r>
        <w:rPr>
          <w:rStyle w:val="FootnoteReference"/>
        </w:rPr>
        <w:footnoteRef/>
      </w:r>
      <w:r>
        <w:t xml:space="preserve"> Cross-references for "they set": Exod 34:13; Lev 26:1.</w:t>
      </w:r>
    </w:p>
  </w:footnote>
  <w:footnote w:id="7375">
    <w:p>
      <w:pPr>
        <w:pStyle w:val="FootnoteText"/>
      </w:pPr>
      <w:r>
        <w:rPr>
          <w:rStyle w:val="FootnoteReference"/>
        </w:rPr>
        <w:footnoteRef/>
      </w:r>
      <w:r>
        <w:t xml:space="preserve"> Translation note: Greek has pillars here, not images, and ends with a leafy or shady tree.</w:t>
      </w:r>
    </w:p>
  </w:footnote>
  <w:footnote w:id="7376">
    <w:p>
      <w:pPr>
        <w:pStyle w:val="FootnoteText"/>
      </w:pPr>
      <w:r>
        <w:rPr>
          <w:rStyle w:val="FootnoteReference"/>
        </w:rPr>
        <w:footnoteRef/>
      </w:r>
      <w:r>
        <w:t xml:space="preserve"> Cross-references for "to provoke": 2Kgs 21:6; Ps 78:56-58.</w:t>
      </w:r>
    </w:p>
  </w:footnote>
  <w:footnote w:id="7377">
    <w:p>
      <w:pPr>
        <w:pStyle w:val="FootnoteText"/>
      </w:pPr>
      <w:r>
        <w:rPr>
          <w:rStyle w:val="FootnoteReference"/>
        </w:rPr>
        <w:footnoteRef/>
      </w:r>
      <w:r>
        <w:t xml:space="preserve"> Cross-references for "testified": Deut 8:19; Deut 31:21.</w:t>
      </w:r>
    </w:p>
  </w:footnote>
  <w:footnote w:id="7378">
    <w:p>
      <w:pPr>
        <w:pStyle w:val="FootnoteText"/>
      </w:pPr>
      <w:r>
        <w:rPr>
          <w:rStyle w:val="FootnoteReference"/>
        </w:rPr>
        <w:footnoteRef/>
      </w:r>
      <w:r>
        <w:t xml:space="preserve"> Translation note: Greek says by hand of all his prophets, every seer.</w:t>
      </w:r>
    </w:p>
  </w:footnote>
  <w:footnote w:id="7379">
    <w:p>
      <w:pPr>
        <w:pStyle w:val="FootnoteText"/>
      </w:pPr>
      <w:r>
        <w:rPr>
          <w:rStyle w:val="FootnoteReference"/>
        </w:rPr>
        <w:footnoteRef/>
      </w:r>
      <w:r>
        <w:t xml:space="preserve"> Cross-references for "testimonies": Deut 6:17-18; 2Chr 36:15-16.</w:t>
      </w:r>
    </w:p>
  </w:footnote>
  <w:footnote w:id="7380">
    <w:p>
      <w:pPr>
        <w:pStyle w:val="FootnoteText"/>
      </w:pPr>
      <w:r>
        <w:rPr>
          <w:rStyle w:val="FootnoteReference"/>
        </w:rPr>
        <w:footnoteRef/>
      </w:r>
      <w:r>
        <w:t xml:space="preserve"> Translation note: Greek repeats testimony language here.</w:t>
      </w:r>
    </w:p>
  </w:footnote>
  <w:footnote w:id="7381">
    <w:p>
      <w:pPr>
        <w:pStyle w:val="FootnoteText"/>
      </w:pPr>
      <w:r>
        <w:rPr>
          <w:rStyle w:val="FootnoteReference"/>
        </w:rPr>
        <w:footnoteRef/>
      </w:r>
      <w:r>
        <w:t xml:space="preserve"> Cross-references for "Baal": 1Kgs 16:31; 1Kgs 22:53.</w:t>
      </w:r>
    </w:p>
  </w:footnote>
  <w:footnote w:id="7382">
    <w:p>
      <w:pPr>
        <w:pStyle w:val="FootnoteText"/>
      </w:pPr>
      <w:r>
        <w:rPr>
          <w:rStyle w:val="FootnoteReference"/>
        </w:rPr>
        <w:footnoteRef/>
      </w:r>
      <w:r>
        <w:t xml:space="preserve"> Cross-references for "sold": 1Kgs 21:20; 1Kgs 21:25.</w:t>
      </w:r>
    </w:p>
  </w:footnote>
  <w:footnote w:id="7383">
    <w:p>
      <w:pPr>
        <w:pStyle w:val="FootnoteText"/>
      </w:pPr>
      <w:r>
        <w:rPr>
          <w:rStyle w:val="FootnoteReference"/>
        </w:rPr>
        <w:footnoteRef/>
      </w:r>
      <w:r>
        <w:t xml:space="preserve"> Cross-references for "removed": Deut 29:20-28; Deut 32:21-26.</w:t>
      </w:r>
    </w:p>
  </w:footnote>
  <w:footnote w:id="7384">
    <w:p>
      <w:pPr>
        <w:pStyle w:val="FootnoteText"/>
      </w:pPr>
      <w:r>
        <w:rPr>
          <w:rStyle w:val="FootnoteReference"/>
        </w:rPr>
        <w:footnoteRef/>
      </w:r>
      <w:r>
        <w:t xml:space="preserve"> Translation note: Greek explicitly turns the charge toward Judah too. Current wording preserves that added indictment.</w:t>
      </w:r>
    </w:p>
  </w:footnote>
  <w:footnote w:id="7385">
    <w:p>
      <w:pPr>
        <w:pStyle w:val="FootnoteText"/>
      </w:pPr>
      <w:r>
        <w:rPr>
          <w:rStyle w:val="FootnoteReference"/>
        </w:rPr>
        <w:footnoteRef/>
      </w:r>
      <w:r>
        <w:t xml:space="preserve"> Cross-references for "walked": 2Kgs 8:18; 2Kgs 8:27.</w:t>
      </w:r>
    </w:p>
  </w:footnote>
  <w:footnote w:id="7386">
    <w:p>
      <w:pPr>
        <w:pStyle w:val="FootnoteText"/>
      </w:pPr>
      <w:r>
        <w:rPr>
          <w:rStyle w:val="FootnoteReference"/>
        </w:rPr>
        <w:footnoteRef/>
      </w:r>
      <w:r>
        <w:t xml:space="preserve"> Cross-references for "rejected": 1Sam 15:23; 1Sam 15:26.</w:t>
      </w:r>
    </w:p>
  </w:footnote>
  <w:footnote w:id="7387">
    <w:p>
      <w:pPr>
        <w:pStyle w:val="FootnoteText"/>
      </w:pPr>
      <w:r>
        <w:rPr>
          <w:rStyle w:val="FootnoteReference"/>
        </w:rPr>
        <w:footnoteRef/>
      </w:r>
      <w:r>
        <w:t xml:space="preserve"> Cross-references for "they made": 1Kgs 12:19-20; 2Chr 10:15-19.</w:t>
      </w:r>
    </w:p>
  </w:footnote>
  <w:footnote w:id="7388">
    <w:p>
      <w:pPr>
        <w:pStyle w:val="FootnoteText"/>
      </w:pPr>
      <w:r>
        <w:rPr>
          <w:rStyle w:val="FootnoteReference"/>
        </w:rPr>
        <w:footnoteRef/>
      </w:r>
      <w:r>
        <w:t xml:space="preserve"> Cross-references for "the Lord": 2Kgs 17:18; 2Kgs 17:20.</w:t>
      </w:r>
    </w:p>
  </w:footnote>
  <w:footnote w:id="7389">
    <w:p>
      <w:pPr>
        <w:pStyle w:val="FootnoteText"/>
      </w:pPr>
      <w:r>
        <w:rPr>
          <w:rStyle w:val="FootnoteReference"/>
        </w:rPr>
        <w:footnoteRef/>
      </w:r>
      <w:r>
        <w:t xml:space="preserve"> Cross-references for "Babylon": 2Kgs 17:30; 2Chr 33:11.</w:t>
      </w:r>
    </w:p>
  </w:footnote>
  <w:footnote w:id="7390">
    <w:p>
      <w:pPr>
        <w:pStyle w:val="FootnoteText"/>
      </w:pPr>
      <w:r>
        <w:rPr>
          <w:rStyle w:val="FootnoteReference"/>
        </w:rPr>
        <w:footnoteRef/>
      </w:r>
      <w:r>
        <w:t xml:space="preserve"> Place name: Cuthah. Place-name meaning: Cuthah — burning. Source form: Cuthah. Greek form: χουνθα.</w:t>
      </w:r>
    </w:p>
  </w:footnote>
  <w:footnote w:id="7391">
    <w:p>
      <w:pPr>
        <w:pStyle w:val="FootnoteText"/>
      </w:pPr>
      <w:r>
        <w:rPr>
          <w:rStyle w:val="FootnoteReference"/>
        </w:rPr>
        <w:footnoteRef/>
      </w:r>
      <w:r>
        <w:t xml:space="preserve"> Transliterated proper noun: Ava. Standard English equivalent: Ava. Source form: Ava. Greek form: αια. Name meaning: iniquity.</w:t>
      </w:r>
    </w:p>
  </w:footnote>
  <w:footnote w:id="7392">
    <w:p>
      <w:pPr>
        <w:pStyle w:val="FootnoteText"/>
      </w:pPr>
      <w:r>
        <w:rPr>
          <w:rStyle w:val="FootnoteReference"/>
        </w:rPr>
        <w:footnoteRef/>
      </w:r>
      <w:r>
        <w:t xml:space="preserve"> Place name: Sepharvaim. Place-name meaning: Sepharvaim — the two books; the two scribes. Source form: Sepharvaim. Greek form: σεπφαρουαιν.</w:t>
      </w:r>
    </w:p>
  </w:footnote>
  <w:footnote w:id="7393">
    <w:p>
      <w:pPr>
        <w:pStyle w:val="FootnoteText"/>
      </w:pPr>
      <w:r>
        <w:rPr>
          <w:rStyle w:val="FootnoteReference"/>
        </w:rPr>
        <w:footnoteRef/>
      </w:r>
      <w:r>
        <w:t xml:space="preserve"> Cross-references for "the Lord sent": 1Kgs 13:24; 1Kgs 20:36.</w:t>
      </w:r>
    </w:p>
  </w:footnote>
  <w:footnote w:id="7394">
    <w:p>
      <w:pPr>
        <w:pStyle w:val="FootnoteText"/>
      </w:pPr>
      <w:r>
        <w:rPr>
          <w:rStyle w:val="FootnoteReference"/>
        </w:rPr>
        <w:footnoteRef/>
      </w:r>
      <w:r>
        <w:t xml:space="preserve"> Translation note: Greek says judgment of the god of the land here.</w:t>
      </w:r>
    </w:p>
  </w:footnote>
  <w:footnote w:id="7395">
    <w:p>
      <w:pPr>
        <w:pStyle w:val="FootnoteText"/>
      </w:pPr>
      <w:r>
        <w:rPr>
          <w:rStyle w:val="FootnoteReference"/>
        </w:rPr>
        <w:footnoteRef/>
      </w:r>
      <w:r>
        <w:t xml:space="preserve"> Cross-references for "one of the priests": Judg 17:13; 1Kgs 12:31.</w:t>
      </w:r>
    </w:p>
  </w:footnote>
  <w:footnote w:id="7396">
    <w:p>
      <w:pPr>
        <w:pStyle w:val="FootnoteText"/>
      </w:pPr>
      <w:r>
        <w:rPr>
          <w:rStyle w:val="FootnoteReference"/>
        </w:rPr>
        <w:footnoteRef/>
      </w:r>
      <w:r>
        <w:t xml:space="preserve"> Cross-references for "in Bethel": 1Kgs 12:29-32.</w:t>
      </w:r>
    </w:p>
  </w:footnote>
  <w:footnote w:id="7397">
    <w:p>
      <w:pPr>
        <w:pStyle w:val="FootnoteText"/>
      </w:pPr>
      <w:r>
        <w:rPr>
          <w:rStyle w:val="FootnoteReference"/>
        </w:rPr>
        <w:footnoteRef/>
      </w:r>
      <w:r>
        <w:t xml:space="preserve"> People-name: Samaritans. People-name meaning: Samaritans — people of Samaria; watch-mountain. Source form: Samaritans.</w:t>
      </w:r>
    </w:p>
  </w:footnote>
  <w:footnote w:id="7398">
    <w:p>
      <w:pPr>
        <w:pStyle w:val="FootnoteText"/>
      </w:pPr>
      <w:r>
        <w:rPr>
          <w:rStyle w:val="FootnoteReference"/>
        </w:rPr>
        <w:footnoteRef/>
      </w:r>
      <w:r>
        <w:t xml:space="preserve"> Cross-references for "Babylon": 2Kgs 17:24.</w:t>
      </w:r>
    </w:p>
  </w:footnote>
  <w:footnote w:id="7399">
    <w:p>
      <w:pPr>
        <w:pStyle w:val="FootnoteText"/>
      </w:pPr>
      <w:r>
        <w:rPr>
          <w:rStyle w:val="FootnoteReference"/>
        </w:rPr>
        <w:footnoteRef/>
      </w:r>
      <w:r>
        <w:t xml:space="preserve"> Transliterated proper noun: Succothbenoth. Standard English equivalent: Succothbenoth. Source form: Succothbenoth. Greek form: σοκχωθβαινιθ. Name meaning: the tents of daughters, or young women; or prostitutes.</w:t>
      </w:r>
    </w:p>
  </w:footnote>
  <w:footnote w:id="7400">
    <w:p>
      <w:pPr>
        <w:pStyle w:val="FootnoteText"/>
      </w:pPr>
      <w:r>
        <w:rPr>
          <w:rStyle w:val="FootnoteReference"/>
        </w:rPr>
        <w:footnoteRef/>
      </w:r>
      <w:r>
        <w:t xml:space="preserve"> Place name: Cuth. Place-name meaning: Cuth — burning. Source form: Cuth. Greek form: χουθ.</w:t>
      </w:r>
    </w:p>
  </w:footnote>
  <w:footnote w:id="7401">
    <w:p>
      <w:pPr>
        <w:pStyle w:val="FootnoteText"/>
      </w:pPr>
      <w:r>
        <w:rPr>
          <w:rStyle w:val="FootnoteReference"/>
        </w:rPr>
        <w:footnoteRef/>
      </w:r>
      <w:r>
        <w:t xml:space="preserve"> Divine or supernatural name: Nergal. Divine/supernatural-name meaning: Nergal — the great man; the hero. Source form: Nergal.</w:t>
      </w:r>
    </w:p>
  </w:footnote>
  <w:footnote w:id="7402">
    <w:p>
      <w:pPr>
        <w:pStyle w:val="FootnoteText"/>
      </w:pPr>
      <w:r>
        <w:rPr>
          <w:rStyle w:val="FootnoteReference"/>
        </w:rPr>
        <w:footnoteRef/>
      </w:r>
      <w:r>
        <w:t xml:space="preserve"> Divine or supernatural name: Ashima. Divine/supernatural-name meaning: Ashima — crime; offense. Source form: Ashima.</w:t>
      </w:r>
    </w:p>
  </w:footnote>
  <w:footnote w:id="7403">
    <w:p>
      <w:pPr>
        <w:pStyle w:val="FootnoteText"/>
      </w:pPr>
      <w:r>
        <w:rPr>
          <w:rStyle w:val="FootnoteReference"/>
        </w:rPr>
        <w:footnoteRef/>
      </w:r>
      <w:r>
        <w:t xml:space="preserve"> Divine or supernatural name: Tartak. Divine/supernatural-name meaning: Tartak — chained; bound; shut up. Source form: Tartak.</w:t>
      </w:r>
    </w:p>
  </w:footnote>
  <w:footnote w:id="7404">
    <w:p>
      <w:pPr>
        <w:pStyle w:val="FootnoteText"/>
      </w:pPr>
      <w:r>
        <w:rPr>
          <w:rStyle w:val="FootnoteReference"/>
        </w:rPr>
        <w:footnoteRef/>
      </w:r>
      <w:r>
        <w:t xml:space="preserve"> Divine or supernatural name: Adrammelech. Divine/supernatural-name meaning: Adrammelech — the cloak, glory, grandeur or power of the king. Source form: Adrammelech.</w:t>
      </w:r>
    </w:p>
  </w:footnote>
  <w:footnote w:id="7405">
    <w:p>
      <w:pPr>
        <w:pStyle w:val="FootnoteText"/>
      </w:pPr>
      <w:r>
        <w:rPr>
          <w:rStyle w:val="FootnoteReference"/>
        </w:rPr>
        <w:footnoteRef/>
      </w:r>
      <w:r>
        <w:t xml:space="preserve"> Divine or supernatural name: Anammelech. Divine/supernatural-name meaning: Anammelech — answer; poverty of the king. Source form: Anammelech.</w:t>
      </w:r>
    </w:p>
  </w:footnote>
  <w:footnote w:id="7406">
    <w:p>
      <w:pPr>
        <w:pStyle w:val="FootnoteText"/>
      </w:pPr>
      <w:r>
        <w:rPr>
          <w:rStyle w:val="FootnoteReference"/>
        </w:rPr>
        <w:footnoteRef/>
      </w:r>
      <w:r>
        <w:t xml:space="preserve"> Translation note: Greek keeps these LXX name forms.</w:t>
      </w:r>
    </w:p>
  </w:footnote>
  <w:footnote w:id="7407">
    <w:p>
      <w:pPr>
        <w:pStyle w:val="FootnoteText"/>
      </w:pPr>
      <w:r>
        <w:rPr>
          <w:rStyle w:val="FootnoteReference"/>
        </w:rPr>
        <w:footnoteRef/>
      </w:r>
      <w:r>
        <w:t xml:space="preserve"> Cross-references for "the houses": 1Kgs 13:31; 2Kgs 17:29.</w:t>
      </w:r>
    </w:p>
  </w:footnote>
  <w:footnote w:id="7408">
    <w:p>
      <w:pPr>
        <w:pStyle w:val="FootnoteText"/>
      </w:pPr>
      <w:r>
        <w:rPr>
          <w:rStyle w:val="FootnoteReference"/>
        </w:rPr>
        <w:footnoteRef/>
      </w:r>
      <w:r>
        <w:t xml:space="preserve"> Cross-references for "They feared": 1Kgs 18:21; 2Kgs 17:41.</w:t>
      </w:r>
    </w:p>
  </w:footnote>
  <w:footnote w:id="7409">
    <w:p>
      <w:pPr>
        <w:pStyle w:val="FootnoteText"/>
      </w:pPr>
      <w:r>
        <w:rPr>
          <w:rStyle w:val="FootnoteReference"/>
        </w:rPr>
        <w:footnoteRef/>
      </w:r>
      <w:r>
        <w:t xml:space="preserve"> MT/LXX note: Logos export confirms the LXX affirmative wording: they fear and act according to their own judgment, unlike the MT-style negated wording.</w:t>
      </w:r>
    </w:p>
  </w:footnote>
  <w:footnote w:id="7410">
    <w:p>
      <w:pPr>
        <w:pStyle w:val="FootnoteText"/>
      </w:pPr>
      <w:r>
        <w:rPr>
          <w:rStyle w:val="FootnoteReference"/>
        </w:rPr>
        <w:footnoteRef/>
      </w:r>
      <w:r>
        <w:t xml:space="preserve"> Cross-references for "whom he named Israel": Gen 32:28; Gen 33:20.</w:t>
      </w:r>
    </w:p>
  </w:footnote>
  <w:footnote w:id="7411">
    <w:p>
      <w:pPr>
        <w:pStyle w:val="FootnoteText"/>
      </w:pPr>
      <w:r>
        <w:rPr>
          <w:rStyle w:val="FootnoteReference"/>
        </w:rPr>
        <w:footnoteRef/>
      </w:r>
      <w:r>
        <w:t xml:space="preserve"> Translation note: Logos export confirms this ongoing formula and the LXX affirmative wording in the verse.</w:t>
      </w:r>
    </w:p>
  </w:footnote>
  <w:footnote w:id="7412">
    <w:p>
      <w:pPr>
        <w:pStyle w:val="FootnoteText"/>
      </w:pPr>
      <w:r>
        <w:rPr>
          <w:rStyle w:val="FootnoteReference"/>
        </w:rPr>
        <w:footnoteRef/>
      </w:r>
      <w:r>
        <w:t xml:space="preserve"> Cross-references for "fear other gods": Judg 6:10; Jer 10:5.</w:t>
      </w:r>
    </w:p>
  </w:footnote>
  <w:footnote w:id="7413">
    <w:p>
      <w:pPr>
        <w:pStyle w:val="FootnoteText"/>
      </w:pPr>
      <w:r>
        <w:rPr>
          <w:rStyle w:val="FootnoteReference"/>
        </w:rPr>
        <w:footnoteRef/>
      </w:r>
      <w:r>
        <w:t xml:space="preserve"> Cross-references for "wrote for you": Deut 31:9; Deut 31:11.</w:t>
      </w:r>
    </w:p>
  </w:footnote>
  <w:footnote w:id="7414">
    <w:p>
      <w:pPr>
        <w:pStyle w:val="FootnoteText"/>
      </w:pPr>
      <w:r>
        <w:rPr>
          <w:rStyle w:val="FootnoteReference"/>
        </w:rPr>
        <w:footnoteRef/>
      </w:r>
      <w:r>
        <w:t xml:space="preserve"> Cross-references for "the Lord": 1Sam 12:24; 2Kgs 17:36.</w:t>
      </w:r>
    </w:p>
  </w:footnote>
  <w:footnote w:id="7415">
    <w:p>
      <w:pPr>
        <w:pStyle w:val="FootnoteText"/>
      </w:pPr>
      <w:r>
        <w:rPr>
          <w:rStyle w:val="FootnoteReference"/>
        </w:rPr>
        <w:footnoteRef/>
      </w:r>
      <w:r>
        <w:t xml:space="preserve"> Cross-references for "these nations": Josh 24:14-20; 1Kgs 18:21.</w:t>
      </w:r>
    </w:p>
  </w:footnote>
  <w:footnote w:id="7416">
    <w:p>
      <w:pPr>
        <w:pStyle w:val="FootnoteText"/>
      </w:pPr>
      <w:r>
        <w:rPr>
          <w:rStyle w:val="FootnoteReference"/>
        </w:rPr>
        <w:footnoteRef/>
      </w:r>
      <w:r>
        <w:t xml:space="preserve"> Cross-references for "in the third": 2Kgs 15:30; 2Kgs 17:1.</w:t>
      </w:r>
    </w:p>
  </w:footnote>
  <w:footnote w:id="7417">
    <w:p>
      <w:pPr>
        <w:pStyle w:val="FootnoteText"/>
      </w:pPr>
      <w:r>
        <w:rPr>
          <w:rStyle w:val="FootnoteReference"/>
        </w:rPr>
        <w:footnoteRef/>
      </w:r>
      <w:r>
        <w:t xml:space="preserve"> Cross-references for "removed": Lev 26:30; 1Kgs 3:2-3.</w:t>
      </w:r>
    </w:p>
  </w:footnote>
  <w:footnote w:id="7418">
    <w:p>
      <w:pPr>
        <w:pStyle w:val="FootnoteText"/>
      </w:pPr>
      <w:r>
        <w:rPr>
          <w:rStyle w:val="FootnoteReference"/>
        </w:rPr>
        <w:footnoteRef/>
      </w:r>
      <w:r>
        <w:t xml:space="preserve"> Transliterated proper noun: Nehushtan. Standard English equivalent: Nehushtan. Source form: Nehushtan. Greek form: νεεσθαν. Name meaning: a trifling thing of brass.</w:t>
      </w:r>
    </w:p>
  </w:footnote>
  <w:footnote w:id="7419">
    <w:p>
      <w:pPr>
        <w:pStyle w:val="FootnoteText"/>
      </w:pPr>
      <w:r>
        <w:rPr>
          <w:rStyle w:val="FootnoteReference"/>
        </w:rPr>
        <w:footnoteRef/>
      </w:r>
      <w:r>
        <w:t xml:space="preserve"> Translation note: Greek says cut down here. Current line keeps that verb.</w:t>
      </w:r>
    </w:p>
  </w:footnote>
  <w:footnote w:id="7420">
    <w:p>
      <w:pPr>
        <w:pStyle w:val="FootnoteText"/>
      </w:pPr>
      <w:r>
        <w:rPr>
          <w:rStyle w:val="FootnoteReference"/>
        </w:rPr>
        <w:footnoteRef/>
      </w:r>
      <w:r>
        <w:t xml:space="preserve"> Cross-references for "after him": 2Kgs 19:15-19; 2Kgs 23:25.</w:t>
      </w:r>
    </w:p>
  </w:footnote>
  <w:footnote w:id="7421">
    <w:p>
      <w:pPr>
        <w:pStyle w:val="FootnoteText"/>
      </w:pPr>
      <w:r>
        <w:rPr>
          <w:rStyle w:val="FootnoteReference"/>
        </w:rPr>
        <w:footnoteRef/>
      </w:r>
      <w:r>
        <w:t xml:space="preserve"> Cross-references for "kept": 2Kgs 17:13; 2Kgs 17:16.</w:t>
      </w:r>
    </w:p>
  </w:footnote>
  <w:footnote w:id="7422">
    <w:p>
      <w:pPr>
        <w:pStyle w:val="FootnoteText"/>
      </w:pPr>
      <w:r>
        <w:rPr>
          <w:rStyle w:val="FootnoteReference"/>
        </w:rPr>
        <w:footnoteRef/>
      </w:r>
      <w:r>
        <w:t xml:space="preserve"> Cross-references for "And the Lord": Gen 21:22; Gen 39:2-3.</w:t>
      </w:r>
    </w:p>
  </w:footnote>
  <w:footnote w:id="7423">
    <w:p>
      <w:pPr>
        <w:pStyle w:val="FootnoteText"/>
      </w:pPr>
      <w:r>
        <w:rPr>
          <w:rStyle w:val="FootnoteReference"/>
        </w:rPr>
        <w:footnoteRef/>
      </w:r>
      <w:r>
        <w:t xml:space="preserve"> Cross-references for "the Philistines": 1Chr 4:41; 2Chr 28:18.</w:t>
      </w:r>
    </w:p>
  </w:footnote>
  <w:footnote w:id="7424">
    <w:p>
      <w:pPr>
        <w:pStyle w:val="FootnoteText"/>
      </w:pPr>
      <w:r>
        <w:rPr>
          <w:rStyle w:val="FootnoteReference"/>
        </w:rPr>
        <w:footnoteRef/>
      </w:r>
      <w:r>
        <w:t xml:space="preserve"> Cross-references for "the fourth year": 2Kgs 17:4-6; 2Kgs 18:1.</w:t>
      </w:r>
    </w:p>
  </w:footnote>
  <w:footnote w:id="7425">
    <w:p>
      <w:pPr>
        <w:pStyle w:val="FootnoteText"/>
      </w:pPr>
      <w:r>
        <w:rPr>
          <w:rStyle w:val="FootnoteReference"/>
        </w:rPr>
        <w:footnoteRef/>
      </w:r>
      <w:r>
        <w:t xml:space="preserve"> Cross-references for "Moses": Num 12:7; Deut 34:5.</w:t>
      </w:r>
    </w:p>
  </w:footnote>
  <w:footnote w:id="7426">
    <w:p>
      <w:pPr>
        <w:pStyle w:val="FootnoteText"/>
      </w:pPr>
      <w:r>
        <w:rPr>
          <w:rStyle w:val="FootnoteReference"/>
        </w:rPr>
        <w:footnoteRef/>
      </w:r>
      <w:r>
        <w:t xml:space="preserve"> Translation note: The Greek doubles the indictment: they did not listen and they did not do. The current wording keeps both failures visible.</w:t>
      </w:r>
    </w:p>
  </w:footnote>
  <w:footnote w:id="7427">
    <w:p>
      <w:pPr>
        <w:pStyle w:val="FootnoteText"/>
      </w:pPr>
      <w:r>
        <w:rPr>
          <w:rStyle w:val="FootnoteReference"/>
        </w:rPr>
        <w:footnoteRef/>
      </w:r>
      <w:r>
        <w:t xml:space="preserve"> Cross-references for "the fourteenth": 2Chr 32:1-23; Isa 36:1-22.</w:t>
      </w:r>
    </w:p>
  </w:footnote>
  <w:footnote w:id="7428">
    <w:p>
      <w:pPr>
        <w:pStyle w:val="FootnoteText"/>
      </w:pPr>
      <w:r>
        <w:rPr>
          <w:rStyle w:val="FootnoteReference"/>
        </w:rPr>
        <w:footnoteRef/>
      </w:r>
      <w:r>
        <w:t xml:space="preserve"> Personal name: Sennacherib. Personal-name meaning: Sennacherib — bramble of destruction. Source form: Sennacherib.</w:t>
      </w:r>
    </w:p>
  </w:footnote>
  <w:footnote w:id="7429">
    <w:p>
      <w:pPr>
        <w:pStyle w:val="FootnoteText"/>
      </w:pPr>
      <w:r>
        <w:rPr>
          <w:rStyle w:val="FootnoteReference"/>
        </w:rPr>
        <w:footnoteRef/>
      </w:r>
      <w:r>
        <w:t xml:space="preserve"> Translation note: Greek keeps burden-bearing wording here.</w:t>
      </w:r>
    </w:p>
  </w:footnote>
  <w:footnote w:id="7430">
    <w:p>
      <w:pPr>
        <w:pStyle w:val="FootnoteText"/>
      </w:pPr>
      <w:r>
        <w:rPr>
          <w:rStyle w:val="FootnoteReference"/>
        </w:rPr>
        <w:footnoteRef/>
      </w:r>
      <w:r>
        <w:t xml:space="preserve"> Personal name: Tartan. Personal-name meaning: Tartan — a general (official title). Source form: Tartan.</w:t>
      </w:r>
    </w:p>
  </w:footnote>
  <w:footnote w:id="7431">
    <w:p>
      <w:pPr>
        <w:pStyle w:val="FootnoteText"/>
      </w:pPr>
      <w:r>
        <w:rPr>
          <w:rStyle w:val="FootnoteReference"/>
        </w:rPr>
        <w:footnoteRef/>
      </w:r>
      <w:r>
        <w:t xml:space="preserve"> Transliterated proper noun: Rabsaris. Standard English equivalent: Rabsaris. Source form: Rabsaris. Greek form: ραφις. Name meaning: chief of the eunuchs.</w:t>
      </w:r>
    </w:p>
  </w:footnote>
  <w:footnote w:id="7432">
    <w:p>
      <w:pPr>
        <w:pStyle w:val="FootnoteText"/>
      </w:pPr>
      <w:r>
        <w:rPr>
          <w:rStyle w:val="FootnoteReference"/>
        </w:rPr>
        <w:footnoteRef/>
      </w:r>
      <w:r>
        <w:t xml:space="preserve"> Personal name: Rabshakeh. Personal-name meaning: Rabshakeh — cup-bearer of the prince. Source form: Rabshakeh.</w:t>
      </w:r>
    </w:p>
  </w:footnote>
  <w:footnote w:id="7433">
    <w:p>
      <w:pPr>
        <w:pStyle w:val="FootnoteText"/>
      </w:pPr>
      <w:r>
        <w:rPr>
          <w:rStyle w:val="FootnoteReference"/>
        </w:rPr>
        <w:footnoteRef/>
      </w:r>
      <w:r>
        <w:t xml:space="preserve"> Cross-references for "the conduit of the upper pool": 2Kgs 20:20; Isa 7:3.</w:t>
      </w:r>
    </w:p>
  </w:footnote>
  <w:footnote w:id="7434">
    <w:p>
      <w:pPr>
        <w:pStyle w:val="FootnoteText"/>
      </w:pPr>
      <w:r>
        <w:rPr>
          <w:rStyle w:val="FootnoteReference"/>
        </w:rPr>
        <w:footnoteRef/>
      </w:r>
      <w:r>
        <w:t xml:space="preserve"> Personal name: Eliakim. Personal-name meaning: Eliakim — resurrection of God. Source form: Eliakim.</w:t>
      </w:r>
    </w:p>
  </w:footnote>
  <w:footnote w:id="7435">
    <w:p>
      <w:pPr>
        <w:pStyle w:val="FootnoteText"/>
      </w:pPr>
      <w:r>
        <w:rPr>
          <w:rStyle w:val="FootnoteReference"/>
        </w:rPr>
        <w:footnoteRef/>
      </w:r>
      <w:r>
        <w:t xml:space="preserve"> Personal name: Hilkiah. Personal-name meaning: Hilkiah — God is my portion. Source form: Hilkiah.</w:t>
      </w:r>
    </w:p>
  </w:footnote>
  <w:footnote w:id="7436">
    <w:p>
      <w:pPr>
        <w:pStyle w:val="FootnoteText"/>
      </w:pPr>
      <w:r>
        <w:rPr>
          <w:rStyle w:val="FootnoteReference"/>
        </w:rPr>
        <w:footnoteRef/>
      </w:r>
      <w:r>
        <w:t xml:space="preserve"> Transliterated proper noun: Shebna. Standard English equivalent: Shebna. Source form: Shebna. Greek form: σομνας. Name meaning: who rests himself; who is now captive.</w:t>
      </w:r>
    </w:p>
  </w:footnote>
  <w:footnote w:id="7437">
    <w:p>
      <w:pPr>
        <w:pStyle w:val="FootnoteText"/>
      </w:pPr>
      <w:r>
        <w:rPr>
          <w:rStyle w:val="FootnoteReference"/>
        </w:rPr>
        <w:footnoteRef/>
      </w:r>
      <w:r>
        <w:t xml:space="preserve"> Personal name: Joah. Personal-name meaning: Joah — fraternity; brother of the Lord. Source form: Joah.</w:t>
      </w:r>
    </w:p>
  </w:footnote>
  <w:footnote w:id="7438">
    <w:p>
      <w:pPr>
        <w:pStyle w:val="FootnoteText"/>
      </w:pPr>
      <w:r>
        <w:rPr>
          <w:rStyle w:val="FootnoteReference"/>
        </w:rPr>
        <w:footnoteRef/>
      </w:r>
      <w:r>
        <w:t xml:space="preserve"> Personal name: Asaph. Personal-name meaning: Asaph — who gathers together. Source form: Asaph.</w:t>
      </w:r>
    </w:p>
  </w:footnote>
  <w:footnote w:id="7439">
    <w:p>
      <w:pPr>
        <w:pStyle w:val="FootnoteText"/>
      </w:pPr>
      <w:r>
        <w:rPr>
          <w:rStyle w:val="FootnoteReference"/>
        </w:rPr>
        <w:footnoteRef/>
      </w:r>
      <w:r>
        <w:t xml:space="preserve"> Cross-references for "Eliakim": 2Kgs 19:2; Isa 22:20-24.</w:t>
      </w:r>
    </w:p>
  </w:footnote>
  <w:footnote w:id="7440">
    <w:p>
      <w:pPr>
        <w:pStyle w:val="FootnoteText"/>
      </w:pPr>
      <w:r>
        <w:rPr>
          <w:rStyle w:val="FootnoteReference"/>
        </w:rPr>
        <w:footnoteRef/>
      </w:r>
      <w:r>
        <w:t xml:space="preserve"> Translation note: The Greek uses the broken-reed taunt directly. The current wording keeps that image explicit.</w:t>
      </w:r>
    </w:p>
  </w:footnote>
  <w:footnote w:id="7441">
    <w:p>
      <w:pPr>
        <w:pStyle w:val="FootnoteText"/>
      </w:pPr>
      <w:r>
        <w:rPr>
          <w:rStyle w:val="FootnoteReference"/>
        </w:rPr>
        <w:footnoteRef/>
      </w:r>
      <w:r>
        <w:t xml:space="preserve"> Cross-references for "So is Pharaoh": 2Kgs 17:4; Jer 46:17.</w:t>
      </w:r>
    </w:p>
  </w:footnote>
  <w:footnote w:id="7442">
    <w:p>
      <w:pPr>
        <w:pStyle w:val="FootnoteText"/>
      </w:pPr>
      <w:r>
        <w:rPr>
          <w:rStyle w:val="FootnoteReference"/>
        </w:rPr>
        <w:footnoteRef/>
      </w:r>
      <w:r>
        <w:t xml:space="preserve"> Cross-references for "whose high places": 2Kgs 18:4; 2Chr 31:1.</w:t>
      </w:r>
    </w:p>
  </w:footnote>
  <w:footnote w:id="7443">
    <w:p>
      <w:pPr>
        <w:pStyle w:val="FootnoteText"/>
      </w:pPr>
      <w:r>
        <w:rPr>
          <w:rStyle w:val="FootnoteReference"/>
        </w:rPr>
        <w:footnoteRef/>
      </w:r>
      <w:r>
        <w:t xml:space="preserve"> Cross-references for "chariots": Ps 20:7-8.</w:t>
      </w:r>
    </w:p>
  </w:footnote>
  <w:footnote w:id="7444">
    <w:p>
      <w:pPr>
        <w:pStyle w:val="FootnoteText"/>
      </w:pPr>
      <w:r>
        <w:rPr>
          <w:rStyle w:val="FootnoteReference"/>
        </w:rPr>
        <w:footnoteRef/>
      </w:r>
      <w:r>
        <w:t xml:space="preserve"> Personal name: Judean. Personal-name meaning: Jews — People of Judah; Judeans. Standard English equivalent: Jews. Source form: Judean.</w:t>
      </w:r>
    </w:p>
  </w:footnote>
  <w:footnote w:id="7445">
    <w:p>
      <w:pPr>
        <w:pStyle w:val="FootnoteText"/>
      </w:pPr>
      <w:r>
        <w:rPr>
          <w:rStyle w:val="FootnoteReference"/>
        </w:rPr>
        <w:footnoteRef/>
      </w:r>
      <w:r>
        <w:t xml:space="preserve"> Translation note: Greek frames the protest as a direct question. The translation keeps that explicit form.</w:t>
      </w:r>
    </w:p>
  </w:footnote>
  <w:footnote w:id="7446">
    <w:p>
      <w:pPr>
        <w:pStyle w:val="FootnoteText"/>
      </w:pPr>
      <w:r>
        <w:rPr>
          <w:rStyle w:val="FootnoteReference"/>
        </w:rPr>
        <w:footnoteRef/>
      </w:r>
      <w:r>
        <w:t xml:space="preserve"> Translation note: Greek says dung and urine here. Current line keeps that blunt wording.</w:t>
      </w:r>
    </w:p>
  </w:footnote>
  <w:footnote w:id="7447">
    <w:p>
      <w:pPr>
        <w:pStyle w:val="FootnoteText"/>
      </w:pPr>
      <w:r>
        <w:rPr>
          <w:rStyle w:val="FootnoteReference"/>
        </w:rPr>
        <w:footnoteRef/>
      </w:r>
      <w:r>
        <w:t xml:space="preserve"> Cross-references for "Rabshakeh": 2Chr 32:18; Isa 36:13-18.</w:t>
      </w:r>
    </w:p>
  </w:footnote>
  <w:footnote w:id="7448">
    <w:p>
      <w:pPr>
        <w:pStyle w:val="FootnoteText"/>
      </w:pPr>
      <w:r>
        <w:rPr>
          <w:rStyle w:val="FootnoteReference"/>
        </w:rPr>
        <w:footnoteRef/>
      </w:r>
      <w:r>
        <w:t xml:space="preserve"> Cross-references for "Let not": 2Chr 32:11; 2Chr 32:15.</w:t>
      </w:r>
    </w:p>
  </w:footnote>
  <w:footnote w:id="7449">
    <w:p>
      <w:pPr>
        <w:pStyle w:val="FootnoteText"/>
      </w:pPr>
      <w:r>
        <w:rPr>
          <w:rStyle w:val="FootnoteReference"/>
        </w:rPr>
        <w:footnoteRef/>
      </w:r>
      <w:r>
        <w:t xml:space="preserve"> Cross-references for "make you": 2Kgs 18:22; 2Kgs 19:10.</w:t>
      </w:r>
    </w:p>
  </w:footnote>
  <w:footnote w:id="7450">
    <w:p>
      <w:pPr>
        <w:pStyle w:val="FootnoteText"/>
      </w:pPr>
      <w:r>
        <w:rPr>
          <w:rStyle w:val="FootnoteReference"/>
        </w:rPr>
        <w:footnoteRef/>
      </w:r>
      <w:r>
        <w:t xml:space="preserve"> Translation note: Greek says make a blessing with me.</w:t>
      </w:r>
    </w:p>
  </w:footnote>
  <w:footnote w:id="7451">
    <w:p>
      <w:pPr>
        <w:pStyle w:val="FootnoteText"/>
      </w:pPr>
      <w:r>
        <w:rPr>
          <w:rStyle w:val="FootnoteReference"/>
        </w:rPr>
        <w:footnoteRef/>
      </w:r>
      <w:r>
        <w:t xml:space="preserve"> Cross-references for "I come": 2Kgs 17:6; 2Kgs 17:23.</w:t>
      </w:r>
    </w:p>
  </w:footnote>
  <w:footnote w:id="7452">
    <w:p>
      <w:pPr>
        <w:pStyle w:val="FootnoteText"/>
      </w:pPr>
      <w:r>
        <w:rPr>
          <w:rStyle w:val="FootnoteReference"/>
        </w:rPr>
        <w:footnoteRef/>
      </w:r>
      <w:r>
        <w:t xml:space="preserve"> Translation note: Greek keeps fuller land list here.</w:t>
      </w:r>
    </w:p>
  </w:footnote>
  <w:footnote w:id="7453">
    <w:p>
      <w:pPr>
        <w:pStyle w:val="FootnoteText"/>
      </w:pPr>
      <w:r>
        <w:rPr>
          <w:rStyle w:val="FootnoteReference"/>
        </w:rPr>
        <w:footnoteRef/>
      </w:r>
      <w:r>
        <w:t xml:space="preserve"> Place name: Arpad. Place-name meaning: Arpad — the light of redemption. Source form: Arpad. Greek form: αρφαδ.</w:t>
      </w:r>
    </w:p>
  </w:footnote>
  <w:footnote w:id="7454">
    <w:p>
      <w:pPr>
        <w:pStyle w:val="FootnoteText"/>
      </w:pPr>
      <w:r>
        <w:rPr>
          <w:rStyle w:val="FootnoteReference"/>
        </w:rPr>
        <w:footnoteRef/>
      </w:r>
      <w:r>
        <w:t xml:space="preserve"> Cross-references for "have they delivered": 2Kgs 17:6; 2Kgs 17:23-24.</w:t>
      </w:r>
    </w:p>
  </w:footnote>
  <w:footnote w:id="7455">
    <w:p>
      <w:pPr>
        <w:pStyle w:val="FootnoteText"/>
      </w:pPr>
      <w:r>
        <w:rPr>
          <w:rStyle w:val="FootnoteReference"/>
        </w:rPr>
        <w:footnoteRef/>
      </w:r>
      <w:r>
        <w:t xml:space="preserve"> Cross-references for "that the Lord": Exod 5:2; 2Chr 32:15.</w:t>
      </w:r>
    </w:p>
  </w:footnote>
  <w:footnote w:id="7456">
    <w:p>
      <w:pPr>
        <w:pStyle w:val="FootnoteText"/>
      </w:pPr>
      <w:r>
        <w:rPr>
          <w:rStyle w:val="FootnoteReference"/>
        </w:rPr>
        <w:footnoteRef/>
      </w:r>
      <w:r>
        <w:t xml:space="preserve"> Cross-references for "when King": Isa 37:1-7.</w:t>
      </w:r>
    </w:p>
  </w:footnote>
  <w:footnote w:id="7457">
    <w:p>
      <w:pPr>
        <w:pStyle w:val="FootnoteText"/>
      </w:pPr>
      <w:r>
        <w:rPr>
          <w:rStyle w:val="FootnoteReference"/>
        </w:rPr>
        <w:footnoteRef/>
      </w:r>
      <w:r>
        <w:t xml:space="preserve"> Cross-references for "he sent Eliakim": 2Kgs 18:18; 2Kgs 22:13-14.</w:t>
      </w:r>
    </w:p>
  </w:footnote>
  <w:footnote w:id="7458">
    <w:p>
      <w:pPr>
        <w:pStyle w:val="FootnoteText"/>
      </w:pPr>
      <w:r>
        <w:rPr>
          <w:rStyle w:val="FootnoteReference"/>
        </w:rPr>
        <w:footnoteRef/>
      </w:r>
      <w:r>
        <w:t xml:space="preserve"> Name meaning: Isaiah (Yeshayahu) — Yahweh saves. Prophesied the coming Savior.</w:t>
      </w:r>
    </w:p>
  </w:footnote>
  <w:footnote w:id="7459">
    <w:p>
      <w:pPr>
        <w:pStyle w:val="FootnoteText"/>
      </w:pPr>
      <w:r>
        <w:rPr>
          <w:rStyle w:val="FootnoteReference"/>
        </w:rPr>
        <w:footnoteRef/>
      </w:r>
      <w:r>
        <w:t xml:space="preserve"> Personal name: Amoz. Personal-name meaning: Amoz — strong; robust. Source form: Amoz.</w:t>
      </w:r>
    </w:p>
  </w:footnote>
  <w:footnote w:id="7460">
    <w:p>
      <w:pPr>
        <w:pStyle w:val="FootnoteText"/>
      </w:pPr>
      <w:r>
        <w:rPr>
          <w:rStyle w:val="FootnoteReference"/>
        </w:rPr>
        <w:footnoteRef/>
      </w:r>
      <w:r>
        <w:t xml:space="preserve"> Cross-references for "This day": 2Kgs 18:29; Ps 39:11.</w:t>
      </w:r>
    </w:p>
  </w:footnote>
  <w:footnote w:id="7461">
    <w:p>
      <w:pPr>
        <w:pStyle w:val="FootnoteText"/>
      </w:pPr>
      <w:r>
        <w:rPr>
          <w:rStyle w:val="FootnoteReference"/>
        </w:rPr>
        <w:footnoteRef/>
      </w:r>
      <w:r>
        <w:t xml:space="preserve"> Cross-references for "the Lord": Gen 22:14; Deut 32:36.</w:t>
      </w:r>
    </w:p>
  </w:footnote>
  <w:footnote w:id="7462">
    <w:p>
      <w:pPr>
        <w:pStyle w:val="FootnoteText"/>
      </w:pPr>
      <w:r>
        <w:rPr>
          <w:rStyle w:val="FootnoteReference"/>
        </w:rPr>
        <w:footnoteRef/>
      </w:r>
      <w:r>
        <w:t xml:space="preserve"> Cross-references for "Isaiah": Isa 37:6; Isa 37:7-38.</w:t>
      </w:r>
    </w:p>
  </w:footnote>
  <w:footnote w:id="7463">
    <w:p>
      <w:pPr>
        <w:pStyle w:val="FootnoteText"/>
      </w:pPr>
      <w:r>
        <w:rPr>
          <w:rStyle w:val="FootnoteReference"/>
        </w:rPr>
        <w:footnoteRef/>
      </w:r>
      <w:r>
        <w:t xml:space="preserve"> Cross-references for "Libnah": Josh 10:29; Josh 12:15.</w:t>
      </w:r>
    </w:p>
  </w:footnote>
  <w:footnote w:id="7464">
    <w:p>
      <w:pPr>
        <w:pStyle w:val="FootnoteText"/>
      </w:pPr>
      <w:r>
        <w:rPr>
          <w:rStyle w:val="FootnoteReference"/>
        </w:rPr>
        <w:footnoteRef/>
      </w:r>
      <w:r>
        <w:t xml:space="preserve"> Personal name: Tirhakah. Personal-name meaning: Tirhakah — inquirer; examiner; dull observer. Source form: Tirhakah.</w:t>
      </w:r>
    </w:p>
  </w:footnote>
  <w:footnote w:id="7465">
    <w:p>
      <w:pPr>
        <w:pStyle w:val="FootnoteText"/>
      </w:pPr>
      <w:r>
        <w:rPr>
          <w:rStyle w:val="FootnoteReference"/>
        </w:rPr>
        <w:footnoteRef/>
      </w:r>
      <w:r>
        <w:t xml:space="preserve"> People-name: Ethiopians. People-name meaning: Ethiopians — blackness; heat. Source form: Ethiopians.</w:t>
      </w:r>
    </w:p>
  </w:footnote>
  <w:footnote w:id="7466">
    <w:p>
      <w:pPr>
        <w:pStyle w:val="FootnoteText"/>
      </w:pPr>
      <w:r>
        <w:rPr>
          <w:rStyle w:val="FootnoteReference"/>
        </w:rPr>
        <w:footnoteRef/>
      </w:r>
      <w:r>
        <w:t xml:space="preserve"> Cross-references for "sent": 2Kgs 18:17.</w:t>
      </w:r>
    </w:p>
  </w:footnote>
  <w:footnote w:id="7467">
    <w:p>
      <w:pPr>
        <w:pStyle w:val="FootnoteText"/>
      </w:pPr>
      <w:r>
        <w:rPr>
          <w:rStyle w:val="FootnoteReference"/>
        </w:rPr>
        <w:footnoteRef/>
      </w:r>
      <w:r>
        <w:t xml:space="preserve"> Cross-references for "Gozan": 2Kgs 17:6; 1Chr 5:26.</w:t>
      </w:r>
    </w:p>
  </w:footnote>
  <w:footnote w:id="7468">
    <w:p>
      <w:pPr>
        <w:pStyle w:val="FootnoteText"/>
      </w:pPr>
      <w:r>
        <w:rPr>
          <w:rStyle w:val="FootnoteReference"/>
        </w:rPr>
        <w:footnoteRef/>
      </w:r>
      <w:r>
        <w:t xml:space="preserve"> Place name: Rezeph. Place-name meaning: Rezeph — pavement; burning coal. Source form: Rezeph. Greek form: ραφες.</w:t>
      </w:r>
    </w:p>
  </w:footnote>
  <w:footnote w:id="7469">
    <w:p>
      <w:pPr>
        <w:pStyle w:val="FootnoteText"/>
      </w:pPr>
      <w:r>
        <w:rPr>
          <w:rStyle w:val="FootnoteReference"/>
        </w:rPr>
        <w:footnoteRef/>
      </w:r>
      <w:r>
        <w:t xml:space="preserve"> Cross-references for "Arpad": 2Kgs 18:34; Isa 37:13-20.</w:t>
      </w:r>
    </w:p>
  </w:footnote>
  <w:footnote w:id="7470">
    <w:p>
      <w:pPr>
        <w:pStyle w:val="FootnoteText"/>
      </w:pPr>
      <w:r>
        <w:rPr>
          <w:rStyle w:val="FootnoteReference"/>
        </w:rPr>
        <w:footnoteRef/>
      </w:r>
      <w:r>
        <w:t xml:space="preserve"> Cross-references for "Hezekiah": Isa 37:14.</w:t>
      </w:r>
    </w:p>
  </w:footnote>
  <w:footnote w:id="7471">
    <w:p>
      <w:pPr>
        <w:pStyle w:val="FootnoteText"/>
      </w:pPr>
      <w:r>
        <w:rPr>
          <w:rStyle w:val="FootnoteReference"/>
        </w:rPr>
        <w:footnoteRef/>
      </w:r>
      <w:r>
        <w:t xml:space="preserve"> Cross-references for "Open": 1Kgs 8:29; 2Chr 6:40.</w:t>
      </w:r>
    </w:p>
  </w:footnote>
  <w:footnote w:id="7472">
    <w:p>
      <w:pPr>
        <w:pStyle w:val="FootnoteText"/>
      </w:pPr>
      <w:r>
        <w:rPr>
          <w:rStyle w:val="FootnoteReference"/>
        </w:rPr>
        <w:footnoteRef/>
      </w:r>
      <w:r>
        <w:t xml:space="preserve"> Cross-references for "the kings": 2Kgs 16:9; 2Kgs 17:6.</w:t>
      </w:r>
    </w:p>
  </w:footnote>
  <w:footnote w:id="7473">
    <w:p>
      <w:pPr>
        <w:pStyle w:val="FootnoteText"/>
      </w:pPr>
      <w:r>
        <w:rPr>
          <w:rStyle w:val="FootnoteReference"/>
        </w:rPr>
        <w:footnoteRef/>
      </w:r>
      <w:r>
        <w:t xml:space="preserve"> Translation note: Greek piles the rebuke questions and lands on the Holy One of Israel. Current wording preserves that force.</w:t>
      </w:r>
    </w:p>
  </w:footnote>
  <w:footnote w:id="7474">
    <w:p>
      <w:pPr>
        <w:pStyle w:val="FootnoteText"/>
      </w:pPr>
      <w:r>
        <w:rPr>
          <w:rStyle w:val="FootnoteReference"/>
        </w:rPr>
        <w:footnoteRef/>
      </w:r>
      <w:r>
        <w:t xml:space="preserve"> Hebrew divine name/title: Qedosh Yisrael (</w:t>
      </w:r>
      <w:r>
        <w:rPr>
          <w:lang w:val="he-IL" w:bidi="he-IL"/>
          <w:rtl/>
        </w:rPr>
        <w:t xml:space="preserve">קְדוֹשׁ יִשְׂרָאֵל</w:t>
      </w:r>
      <w:r>
        <w:t xml:space="preserve">) — Holy One of Israel. Common English rendering: Holy One of Israel. A major prophetic title, especially in Isaiah, exalting God’s transcendence and covenant holiness.</w:t>
      </w:r>
    </w:p>
  </w:footnote>
  <w:footnote w:id="7475">
    <w:p>
      <w:pPr>
        <w:pStyle w:val="FootnoteText"/>
      </w:pPr>
      <w:r>
        <w:rPr>
          <w:rStyle w:val="FootnoteReference"/>
        </w:rPr>
        <w:footnoteRef/>
      </w:r>
      <w:r>
        <w:t xml:space="preserve"> Greek LXX divine name/title: Ho Hagios tou Israel (ὁ ἅγιος τοῦ Ἰσραήλ) — Holy One of Israel. Common English rendering: Holy One of Israel. The LXX keeps the prophetic title Holy One of Israel.</w:t>
      </w:r>
    </w:p>
  </w:footnote>
  <w:footnote w:id="7476">
    <w:p>
      <w:pPr>
        <w:pStyle w:val="FootnoteText"/>
      </w:pPr>
      <w:r>
        <w:rPr>
          <w:rStyle w:val="FootnoteReference"/>
        </w:rPr>
        <w:footnoteRef/>
      </w:r>
      <w:r>
        <w:t xml:space="preserve"> Cross-references for "the Holy One": Ps 71:22; Isa 5:24.</w:t>
      </w:r>
    </w:p>
  </w:footnote>
  <w:footnote w:id="7477">
    <w:p>
      <w:pPr>
        <w:pStyle w:val="FootnoteText"/>
      </w:pPr>
      <w:r>
        <w:rPr>
          <w:rStyle w:val="FootnoteReference"/>
        </w:rPr>
        <w:footnoteRef/>
      </w:r>
      <w:r>
        <w:t xml:space="preserve"> Translation note: Greek says by hand of your messengers here. Current line keeps that phrase.</w:t>
      </w:r>
    </w:p>
  </w:footnote>
  <w:footnote w:id="7478">
    <w:p>
      <w:pPr>
        <w:pStyle w:val="FootnoteText"/>
      </w:pPr>
      <w:r>
        <w:rPr>
          <w:rStyle w:val="FootnoteReference"/>
        </w:rPr>
        <w:footnoteRef/>
      </w:r>
      <w:r>
        <w:t xml:space="preserve"> Cross-references for "messengers": 2Kgs 18:17; 2Chr 32:17.</w:t>
      </w:r>
    </w:p>
  </w:footnote>
  <w:footnote w:id="7479">
    <w:p>
      <w:pPr>
        <w:pStyle w:val="FootnoteText"/>
      </w:pPr>
      <w:r>
        <w:rPr>
          <w:rStyle w:val="FootnoteReference"/>
        </w:rPr>
        <w:footnoteRef/>
      </w:r>
      <w:r>
        <w:t xml:space="preserve"> Cross-references for "with the sole": Exod 15:9; 2Sam 17:13.</w:t>
      </w:r>
    </w:p>
  </w:footnote>
  <w:footnote w:id="7480">
    <w:p>
      <w:pPr>
        <w:pStyle w:val="FootnoteText"/>
      </w:pPr>
      <w:r>
        <w:rPr>
          <w:rStyle w:val="FootnoteReference"/>
        </w:rPr>
        <w:footnoteRef/>
      </w:r>
      <w:r>
        <w:t xml:space="preserve"> Cross-references for "They were": Ps 92:7; Ps 102:11.</w:t>
      </w:r>
    </w:p>
  </w:footnote>
  <w:footnote w:id="7481">
    <w:p>
      <w:pPr>
        <w:pStyle w:val="FootnoteText"/>
      </w:pPr>
      <w:r>
        <w:rPr>
          <w:rStyle w:val="FootnoteReference"/>
        </w:rPr>
        <w:footnoteRef/>
      </w:r>
      <w:r>
        <w:t xml:space="preserve"> Translation note: Greek line matches current rendering closely here.</w:t>
      </w:r>
    </w:p>
  </w:footnote>
  <w:footnote w:id="7482">
    <w:p>
      <w:pPr>
        <w:pStyle w:val="FootnoteText"/>
      </w:pPr>
      <w:r>
        <w:rPr>
          <w:rStyle w:val="FootnoteReference"/>
        </w:rPr>
        <w:footnoteRef/>
      </w:r>
      <w:r>
        <w:t xml:space="preserve"> Translation note: Greek uses the full sitting-going-out-going-in formula. Current wording preserves that surveillance line.</w:t>
      </w:r>
    </w:p>
  </w:footnote>
  <w:footnote w:id="7483">
    <w:p>
      <w:pPr>
        <w:pStyle w:val="FootnoteText"/>
      </w:pPr>
      <w:r>
        <w:rPr>
          <w:rStyle w:val="FootnoteReference"/>
        </w:rPr>
        <w:footnoteRef/>
      </w:r>
      <w:r>
        <w:t xml:space="preserve"> Translation note: Greek uses forceful restraint imagery. Current wording preserves it.</w:t>
      </w:r>
    </w:p>
  </w:footnote>
  <w:footnote w:id="7484">
    <w:p>
      <w:pPr>
        <w:pStyle w:val="FootnoteText"/>
      </w:pPr>
      <w:r>
        <w:rPr>
          <w:rStyle w:val="FootnoteReference"/>
        </w:rPr>
        <w:footnoteRef/>
      </w:r>
      <w:r>
        <w:t xml:space="preserve"> Cross-references for "I will put": Job 41:2; Ps 32:9.</w:t>
      </w:r>
    </w:p>
  </w:footnote>
  <w:footnote w:id="7485">
    <w:p>
      <w:pPr>
        <w:pStyle w:val="FootnoteText"/>
      </w:pPr>
      <w:r>
        <w:rPr>
          <w:rStyle w:val="FootnoteReference"/>
        </w:rPr>
        <w:footnoteRef/>
      </w:r>
      <w:r>
        <w:t xml:space="preserve"> Translation note: Greek uses two distinct spontaneous-growth expressions. The translation keeps both.</w:t>
      </w:r>
    </w:p>
  </w:footnote>
  <w:footnote w:id="7486">
    <w:p>
      <w:pPr>
        <w:pStyle w:val="FootnoteText"/>
      </w:pPr>
      <w:r>
        <w:rPr>
          <w:rStyle w:val="FootnoteReference"/>
        </w:rPr>
        <w:footnoteRef/>
      </w:r>
      <w:r>
        <w:t xml:space="preserve"> Translation note: Greek keeps the rootedness-and-fruit image direct. Current wording preserves that restoration picture.</w:t>
      </w:r>
    </w:p>
  </w:footnote>
  <w:footnote w:id="7487">
    <w:p>
      <w:pPr>
        <w:pStyle w:val="FootnoteText"/>
      </w:pPr>
      <w:r>
        <w:rPr>
          <w:rStyle w:val="FootnoteReference"/>
        </w:rPr>
        <w:footnoteRef/>
      </w:r>
      <w:r>
        <w:t xml:space="preserve"> Cross-references for "The zeal": Isa 9:7; Isa 59:17.</w:t>
      </w:r>
    </w:p>
  </w:footnote>
  <w:footnote w:id="7488">
    <w:p>
      <w:pPr>
        <w:pStyle w:val="FootnoteText"/>
      </w:pPr>
      <w:r>
        <w:rPr>
          <w:rStyle w:val="FootnoteReference"/>
        </w:rPr>
        <w:footnoteRef/>
      </w:r>
      <w:r>
        <w:t xml:space="preserve"> Cross-references for "By the way": 2Kgs 19:28; 2Kgs 19:36.</w:t>
      </w:r>
    </w:p>
  </w:footnote>
  <w:footnote w:id="7489">
    <w:p>
      <w:pPr>
        <w:pStyle w:val="FootnoteText"/>
      </w:pPr>
      <w:r>
        <w:rPr>
          <w:rStyle w:val="FootnoteReference"/>
        </w:rPr>
        <w:footnoteRef/>
      </w:r>
      <w:r>
        <w:t xml:space="preserve"> Cross-references for "my servant": 1Kgs 11:12-13; 1Kgs 15:4.</w:t>
      </w:r>
    </w:p>
  </w:footnote>
  <w:footnote w:id="7490">
    <w:p>
      <w:pPr>
        <w:pStyle w:val="FootnoteText"/>
      </w:pPr>
      <w:r>
        <w:rPr>
          <w:rStyle w:val="FootnoteReference"/>
        </w:rPr>
        <w:footnoteRef/>
      </w:r>
      <w:r>
        <w:t xml:space="preserve"> Cross-references for "Sennacherib": 2Kgs 19:7; 2Kgs 19:28.</w:t>
      </w:r>
    </w:p>
  </w:footnote>
  <w:footnote w:id="7491">
    <w:p>
      <w:pPr>
        <w:pStyle w:val="FootnoteText"/>
      </w:pPr>
      <w:r>
        <w:rPr>
          <w:rStyle w:val="FootnoteReference"/>
        </w:rPr>
        <w:footnoteRef/>
      </w:r>
      <w:r>
        <w:t xml:space="preserve"> Translation note: Greek says while he was bowing in the house of his god.</w:t>
      </w:r>
    </w:p>
  </w:footnote>
  <w:footnote w:id="7492">
    <w:p>
      <w:pPr>
        <w:pStyle w:val="FootnoteText"/>
      </w:pPr>
      <w:r>
        <w:rPr>
          <w:rStyle w:val="FootnoteReference"/>
        </w:rPr>
        <w:footnoteRef/>
      </w:r>
      <w:r>
        <w:t xml:space="preserve"> Divine or supernatural name: Nisroch. Divine/supernatural-name meaning: Nisroch — flight; proof; temptation; delicate. Source form: Nisroch.</w:t>
      </w:r>
    </w:p>
  </w:footnote>
  <w:footnote w:id="7493">
    <w:p>
      <w:pPr>
        <w:pStyle w:val="FootnoteText"/>
      </w:pPr>
      <w:r>
        <w:rPr>
          <w:rStyle w:val="FootnoteReference"/>
        </w:rPr>
        <w:footnoteRef/>
      </w:r>
      <w:r>
        <w:t xml:space="preserve"> Personal name: Sharezer. Personal-name meaning: Sharezer — overseer of the treasury, or of the storehouse. Source form: Sharezer.</w:t>
      </w:r>
    </w:p>
  </w:footnote>
  <w:footnote w:id="7494">
    <w:p>
      <w:pPr>
        <w:pStyle w:val="FootnoteText"/>
      </w:pPr>
      <w:r>
        <w:rPr>
          <w:rStyle w:val="FootnoteReference"/>
        </w:rPr>
        <w:footnoteRef/>
      </w:r>
      <w:r>
        <w:t xml:space="preserve"> Personal name: Esarhaddon. Personal-name meaning: Esarhaddon — that closes the point; joy; cheerfulness. Source form: Esarhaddon.</w:t>
      </w:r>
    </w:p>
  </w:footnote>
  <w:footnote w:id="7495">
    <w:p>
      <w:pPr>
        <w:pStyle w:val="FootnoteText"/>
      </w:pPr>
      <w:r>
        <w:rPr>
          <w:rStyle w:val="FootnoteReference"/>
        </w:rPr>
        <w:footnoteRef/>
      </w:r>
      <w:r>
        <w:t xml:space="preserve"> Cross-references for "Nisroch": Deut 32:31; 2Kgs 18:5.</w:t>
      </w:r>
    </w:p>
  </w:footnote>
  <w:footnote w:id="7496">
    <w:p>
      <w:pPr>
        <w:pStyle w:val="FootnoteText"/>
      </w:pPr>
      <w:r>
        <w:rPr>
          <w:rStyle w:val="FootnoteReference"/>
        </w:rPr>
        <w:footnoteRef/>
      </w:r>
      <w:r>
        <w:t xml:space="preserve"> Cross-references for "the prophet": 2Kgs 19:2; 2Kgs 19:20.</w:t>
      </w:r>
    </w:p>
  </w:footnote>
  <w:footnote w:id="7497">
    <w:p>
      <w:pPr>
        <w:pStyle w:val="FootnoteText"/>
      </w:pPr>
      <w:r>
        <w:rPr>
          <w:rStyle w:val="FootnoteReference"/>
        </w:rPr>
        <w:footnoteRef/>
      </w:r>
      <w:r>
        <w:t xml:space="preserve"> Cross-references for "remember": Gen 8:1; Neh 5:19.</w:t>
      </w:r>
    </w:p>
  </w:footnote>
  <w:footnote w:id="7498">
    <w:p>
      <w:pPr>
        <w:pStyle w:val="FootnoteText"/>
      </w:pPr>
      <w:r>
        <w:rPr>
          <w:rStyle w:val="FootnoteReference"/>
        </w:rPr>
        <w:footnoteRef/>
      </w:r>
      <w:r>
        <w:t xml:space="preserve"> Cross-references for "court": 1Kgs 7:8; 2Kgs 22:14.</w:t>
      </w:r>
    </w:p>
  </w:footnote>
  <w:footnote w:id="7499">
    <w:p>
      <w:pPr>
        <w:pStyle w:val="FootnoteText"/>
      </w:pPr>
      <w:r>
        <w:rPr>
          <w:rStyle w:val="FootnoteReference"/>
        </w:rPr>
        <w:footnoteRef/>
      </w:r>
      <w:r>
        <w:t xml:space="preserve"> Translation note: Greek says leader of my people here.</w:t>
      </w:r>
    </w:p>
  </w:footnote>
  <w:footnote w:id="7500">
    <w:p>
      <w:pPr>
        <w:pStyle w:val="FootnoteText"/>
      </w:pPr>
      <w:r>
        <w:rPr>
          <w:rStyle w:val="FootnoteReference"/>
        </w:rPr>
        <w:footnoteRef/>
      </w:r>
      <w:r>
        <w:t xml:space="preserve"> Cross-references for "I will heal": Exod 15:26; Deut 32:39.</w:t>
      </w:r>
    </w:p>
  </w:footnote>
  <w:footnote w:id="7501">
    <w:p>
      <w:pPr>
        <w:pStyle w:val="FootnoteText"/>
      </w:pPr>
      <w:r>
        <w:rPr>
          <w:rStyle w:val="FootnoteReference"/>
        </w:rPr>
        <w:footnoteRef/>
      </w:r>
      <w:r>
        <w:t xml:space="preserve"> Cross-references for "I will add": Ps 116:15; Acts 27:24.</w:t>
      </w:r>
    </w:p>
  </w:footnote>
  <w:footnote w:id="7502">
    <w:p>
      <w:pPr>
        <w:pStyle w:val="FootnoteText"/>
      </w:pPr>
      <w:r>
        <w:rPr>
          <w:rStyle w:val="FootnoteReference"/>
        </w:rPr>
        <w:footnoteRef/>
      </w:r>
      <w:r>
        <w:t xml:space="preserve"> Translation note: Greek frames the sign as a direct choice between forward and backward movement of the shadow. Current wording preserves that form.</w:t>
      </w:r>
    </w:p>
  </w:footnote>
  <w:footnote w:id="7503">
    <w:p>
      <w:pPr>
        <w:pStyle w:val="FootnoteText"/>
      </w:pPr>
      <w:r>
        <w:rPr>
          <w:rStyle w:val="FootnoteReference"/>
        </w:rPr>
        <w:footnoteRef/>
      </w:r>
      <w:r>
        <w:t xml:space="preserve"> Transliterated proper noun: Berodachbaladan. Standard English equivalent: Berodachbaladan. Source form: Berodachbaladan. Greek form: μαρωδαχβαλαδαν. Name meaning: the son of death.</w:t>
      </w:r>
    </w:p>
  </w:footnote>
  <w:footnote w:id="7504">
    <w:p>
      <w:pPr>
        <w:pStyle w:val="FootnoteText"/>
      </w:pPr>
      <w:r>
        <w:rPr>
          <w:rStyle w:val="FootnoteReference"/>
        </w:rPr>
        <w:footnoteRef/>
      </w:r>
      <w:r>
        <w:t xml:space="preserve"> Personal name: Baladan. Personal-name meaning: Baladan — one without judgment. Source form: Baladan.</w:t>
      </w:r>
    </w:p>
  </w:footnote>
  <w:footnote w:id="7505">
    <w:p>
      <w:pPr>
        <w:pStyle w:val="FootnoteText"/>
      </w:pPr>
      <w:r>
        <w:rPr>
          <w:rStyle w:val="FootnoteReference"/>
        </w:rPr>
        <w:footnoteRef/>
      </w:r>
      <w:r>
        <w:t xml:space="preserve"> Cross-references for "Berodachbaladan": Isa 39:1-8.</w:t>
      </w:r>
    </w:p>
  </w:footnote>
  <w:footnote w:id="7506">
    <w:p>
      <w:pPr>
        <w:pStyle w:val="FootnoteText"/>
      </w:pPr>
      <w:r>
        <w:rPr>
          <w:rStyle w:val="FootnoteReference"/>
        </w:rPr>
        <w:footnoteRef/>
      </w:r>
      <w:r>
        <w:t xml:space="preserve"> Cross-references for "showed": 2Chr 32:27; Isa 39:2.</w:t>
      </w:r>
    </w:p>
  </w:footnote>
  <w:footnote w:id="7507">
    <w:p>
      <w:pPr>
        <w:pStyle w:val="FootnoteText"/>
      </w:pPr>
      <w:r>
        <w:rPr>
          <w:rStyle w:val="FootnoteReference"/>
        </w:rPr>
        <w:footnoteRef/>
      </w:r>
      <w:r>
        <w:t xml:space="preserve"> Translation note: Greek says his whole house of nechotha, his treasure-house.</w:t>
      </w:r>
    </w:p>
  </w:footnote>
  <w:footnote w:id="7508">
    <w:p>
      <w:pPr>
        <w:pStyle w:val="FootnoteText"/>
      </w:pPr>
      <w:r>
        <w:rPr>
          <w:rStyle w:val="FootnoteReference"/>
        </w:rPr>
        <w:footnoteRef/>
      </w:r>
      <w:r>
        <w:t xml:space="preserve"> Cross-references for "Hear": 1Kgs 22:19; 2Kgs 7:1.</w:t>
      </w:r>
    </w:p>
  </w:footnote>
  <w:footnote w:id="7509">
    <w:p>
      <w:pPr>
        <w:pStyle w:val="FootnoteText"/>
      </w:pPr>
      <w:r>
        <w:rPr>
          <w:rStyle w:val="FootnoteReference"/>
        </w:rPr>
        <w:footnoteRef/>
      </w:r>
      <w:r>
        <w:t xml:space="preserve"> Cross-references for "Good": Lev 10:3; 1Sam 3:18.</w:t>
      </w:r>
    </w:p>
  </w:footnote>
  <w:footnote w:id="7510">
    <w:p>
      <w:pPr>
        <w:pStyle w:val="FootnoteText"/>
      </w:pPr>
      <w:r>
        <w:rPr>
          <w:rStyle w:val="FootnoteReference"/>
        </w:rPr>
        <w:footnoteRef/>
      </w:r>
      <w:r>
        <w:t xml:space="preserve"> Translation note: The Greek names the waterworks directly. The current wording preserves that line.</w:t>
      </w:r>
    </w:p>
  </w:footnote>
  <w:footnote w:id="7511">
    <w:p>
      <w:pPr>
        <w:pStyle w:val="FootnoteText"/>
      </w:pPr>
      <w:r>
        <w:rPr>
          <w:rStyle w:val="FootnoteReference"/>
        </w:rPr>
        <w:footnoteRef/>
      </w:r>
      <w:r>
        <w:t xml:space="preserve"> Cross-references for "the book": 1Kgs 14:19; 1Kgs 15:7.</w:t>
      </w:r>
    </w:p>
  </w:footnote>
  <w:footnote w:id="7512">
    <w:p>
      <w:pPr>
        <w:pStyle w:val="FootnoteText"/>
      </w:pPr>
      <w:r>
        <w:rPr>
          <w:rStyle w:val="FootnoteReference"/>
        </w:rPr>
        <w:footnoteRef/>
      </w:r>
      <w:r>
        <w:t xml:space="preserve"> Cross-references for "slept": 1Kgs 2:10; 1Kgs 11:43.</w:t>
      </w:r>
    </w:p>
  </w:footnote>
  <w:footnote w:id="7513">
    <w:p>
      <w:pPr>
        <w:pStyle w:val="FootnoteText"/>
      </w:pPr>
      <w:r>
        <w:rPr>
          <w:rStyle w:val="FootnoteReference"/>
        </w:rPr>
        <w:footnoteRef/>
      </w:r>
      <w:r>
        <w:t xml:space="preserve"> Cross-references for "was twelve": 2Kgs 20:21; 1Chr 3:13.</w:t>
      </w:r>
    </w:p>
  </w:footnote>
  <w:footnote w:id="7514">
    <w:p>
      <w:pPr>
        <w:pStyle w:val="FootnoteText"/>
      </w:pPr>
      <w:r>
        <w:rPr>
          <w:rStyle w:val="FootnoteReference"/>
        </w:rPr>
        <w:footnoteRef/>
      </w:r>
      <w:r>
        <w:t xml:space="preserve"> Personal name: Hephzibah. Personal-name meaning: Hephzibah — my delight is in her. Source form: Hephzibah.</w:t>
      </w:r>
    </w:p>
  </w:footnote>
  <w:footnote w:id="7515">
    <w:p>
      <w:pPr>
        <w:pStyle w:val="FootnoteText"/>
      </w:pPr>
      <w:r>
        <w:rPr>
          <w:rStyle w:val="FootnoteReference"/>
        </w:rPr>
        <w:footnoteRef/>
      </w:r>
      <w:r>
        <w:t xml:space="preserve"> Cross-references for "And he did": 2Kgs 16:2-4; 2Kgs 21:7.</w:t>
      </w:r>
    </w:p>
  </w:footnote>
  <w:footnote w:id="7516">
    <w:p>
      <w:pPr>
        <w:pStyle w:val="FootnoteText"/>
      </w:pPr>
      <w:r>
        <w:rPr>
          <w:rStyle w:val="FootnoteReference"/>
        </w:rPr>
        <w:footnoteRef/>
      </w:r>
      <w:r>
        <w:t xml:space="preserve"> Translation note: Greek says turned back here. Current line keeps that return-to-evil nuance.</w:t>
      </w:r>
    </w:p>
  </w:footnote>
  <w:footnote w:id="7517">
    <w:p>
      <w:pPr>
        <w:pStyle w:val="FootnoteText"/>
      </w:pPr>
      <w:r>
        <w:rPr>
          <w:rStyle w:val="FootnoteReference"/>
        </w:rPr>
        <w:footnoteRef/>
      </w:r>
      <w:r>
        <w:t xml:space="preserve"> Cross-references for "the high places": 2Kgs 18:4; 2Kgs 18:22.</w:t>
      </w:r>
    </w:p>
  </w:footnote>
  <w:footnote w:id="7518">
    <w:p>
      <w:pPr>
        <w:pStyle w:val="FootnoteText"/>
      </w:pPr>
      <w:r>
        <w:rPr>
          <w:rStyle w:val="FootnoteReference"/>
        </w:rPr>
        <w:footnoteRef/>
      </w:r>
      <w:r>
        <w:t xml:space="preserve"> Cross-references for "he built": 2Kgs 16:10-16; Jer 32:34.</w:t>
      </w:r>
    </w:p>
  </w:footnote>
  <w:footnote w:id="7519">
    <w:p>
      <w:pPr>
        <w:pStyle w:val="FootnoteText"/>
      </w:pPr>
      <w:r>
        <w:rPr>
          <w:rStyle w:val="FootnoteReference"/>
        </w:rPr>
        <w:footnoteRef/>
      </w:r>
      <w:r>
        <w:t xml:space="preserve"> Cross-references for "in the two courts": 1Kgs 6:36; 1Kgs 7:12.</w:t>
      </w:r>
    </w:p>
  </w:footnote>
  <w:footnote w:id="7520">
    <w:p>
      <w:pPr>
        <w:pStyle w:val="FootnoteText"/>
      </w:pPr>
      <w:r>
        <w:rPr>
          <w:rStyle w:val="FootnoteReference"/>
        </w:rPr>
        <w:footnoteRef/>
      </w:r>
      <w:r>
        <w:t xml:space="preserve"> Cross-references for "he made": Lev 18:21; Lev 20:2-3.</w:t>
      </w:r>
    </w:p>
  </w:footnote>
  <w:footnote w:id="7521">
    <w:p>
      <w:pPr>
        <w:pStyle w:val="FootnoteText"/>
      </w:pPr>
      <w:r>
        <w:rPr>
          <w:rStyle w:val="FootnoteReference"/>
        </w:rPr>
        <w:footnoteRef/>
      </w:r>
      <w:r>
        <w:t xml:space="preserve"> Translation note: Greek uses a noun literally meaning knowers for one class of occult practitioners. The translation keeps the term close rather than defaulting entirely to wizards.</w:t>
      </w:r>
    </w:p>
  </w:footnote>
  <w:footnote w:id="7522">
    <w:p>
      <w:pPr>
        <w:pStyle w:val="FootnoteText"/>
      </w:pPr>
      <w:r>
        <w:rPr>
          <w:rStyle w:val="FootnoteReference"/>
        </w:rPr>
        <w:footnoteRef/>
      </w:r>
      <w:r>
        <w:t xml:space="preserve"> Cross-references for "he set": 2Kgs 23:6; 2Chr 33:7.</w:t>
      </w:r>
    </w:p>
  </w:footnote>
  <w:footnote w:id="7523">
    <w:p>
      <w:pPr>
        <w:pStyle w:val="FootnoteText"/>
      </w:pPr>
      <w:r>
        <w:rPr>
          <w:rStyle w:val="FootnoteReference"/>
        </w:rPr>
        <w:footnoteRef/>
      </w:r>
      <w:r>
        <w:t xml:space="preserve"> Translation note: Greek keeps grove-language here. Current line stays with the Greek wording.</w:t>
      </w:r>
    </w:p>
  </w:footnote>
  <w:footnote w:id="7524">
    <w:p>
      <w:pPr>
        <w:pStyle w:val="FootnoteText"/>
      </w:pPr>
      <w:r>
        <w:rPr>
          <w:rStyle w:val="FootnoteReference"/>
        </w:rPr>
        <w:footnoteRef/>
      </w:r>
      <w:r>
        <w:t xml:space="preserve"> Translation note: Greek keeps foot image here.</w:t>
      </w:r>
    </w:p>
  </w:footnote>
  <w:footnote w:id="7525">
    <w:p>
      <w:pPr>
        <w:pStyle w:val="FootnoteText"/>
      </w:pPr>
      <w:r>
        <w:rPr>
          <w:rStyle w:val="FootnoteReference"/>
        </w:rPr>
        <w:footnoteRef/>
      </w:r>
      <w:r>
        <w:t xml:space="preserve"> Cross-references for "I am bringing": 2Kgs 22:16; Dan 9:12.</w:t>
      </w:r>
    </w:p>
  </w:footnote>
  <w:footnote w:id="7526">
    <w:p>
      <w:pPr>
        <w:pStyle w:val="FootnoteText"/>
      </w:pPr>
      <w:r>
        <w:rPr>
          <w:rStyle w:val="FootnoteReference"/>
        </w:rPr>
        <w:footnoteRef/>
      </w:r>
      <w:r>
        <w:t xml:space="preserve"> Translation note: Greek uses the ringing-ears judgment formula. Current wording preserves that warning.</w:t>
      </w:r>
    </w:p>
  </w:footnote>
  <w:footnote w:id="7527">
    <w:p>
      <w:pPr>
        <w:pStyle w:val="FootnoteText"/>
      </w:pPr>
      <w:r>
        <w:rPr>
          <w:rStyle w:val="FootnoteReference"/>
        </w:rPr>
        <w:footnoteRef/>
      </w:r>
      <w:r>
        <w:t xml:space="preserve"> Cross-references for "I will stretch": 2Kgs 17:6; Isa 10:22.</w:t>
      </w:r>
    </w:p>
  </w:footnote>
  <w:footnote w:id="7528">
    <w:p>
      <w:pPr>
        <w:pStyle w:val="FootnoteText"/>
      </w:pPr>
      <w:r>
        <w:rPr>
          <w:rStyle w:val="FootnoteReference"/>
        </w:rPr>
        <w:footnoteRef/>
      </w:r>
      <w:r>
        <w:t xml:space="preserve"> Translation note: Greek uses measuring tools and wiped-vessel imagery for judgment. Current wording preserves that image-cluster.</w:t>
      </w:r>
    </w:p>
  </w:footnote>
  <w:footnote w:id="7529">
    <w:p>
      <w:pPr>
        <w:pStyle w:val="FootnoteText"/>
      </w:pPr>
      <w:r>
        <w:rPr>
          <w:rStyle w:val="FootnoteReference"/>
        </w:rPr>
        <w:footnoteRef/>
      </w:r>
      <w:r>
        <w:t xml:space="preserve"> Cross-references for "And I will": Deut 31:17; 2Chr 15:2.</w:t>
      </w:r>
    </w:p>
  </w:footnote>
  <w:footnote w:id="7530">
    <w:p>
      <w:pPr>
        <w:pStyle w:val="FootnoteText"/>
      </w:pPr>
      <w:r>
        <w:rPr>
          <w:rStyle w:val="FootnoteReference"/>
        </w:rPr>
        <w:footnoteRef/>
      </w:r>
      <w:r>
        <w:t xml:space="preserve"> Cross-references for "Manasseh": Num 35:33; Deut 21:8-9.</w:t>
      </w:r>
    </w:p>
  </w:footnote>
  <w:footnote w:id="7531">
    <w:p>
      <w:pPr>
        <w:pStyle w:val="FootnoteText"/>
      </w:pPr>
      <w:r>
        <w:rPr>
          <w:rStyle w:val="FootnoteReference"/>
        </w:rPr>
        <w:footnoteRef/>
      </w:r>
      <w:r>
        <w:t xml:space="preserve"> Translation note: Greek uses the vivid phrase from mouth to mouth. The translation keeps that image.</w:t>
      </w:r>
    </w:p>
  </w:footnote>
  <w:footnote w:id="7532">
    <w:p>
      <w:pPr>
        <w:pStyle w:val="FootnoteText"/>
      </w:pPr>
      <w:r>
        <w:rPr>
          <w:rStyle w:val="FootnoteReference"/>
        </w:rPr>
        <w:footnoteRef/>
      </w:r>
      <w:r>
        <w:t xml:space="preserve"> Cross-references for "the rest": 2Kgs 20:20-21; 2Chr 33:1-20.</w:t>
      </w:r>
    </w:p>
  </w:footnote>
  <w:footnote w:id="7533">
    <w:p>
      <w:pPr>
        <w:pStyle w:val="FootnoteText"/>
      </w:pPr>
      <w:r>
        <w:rPr>
          <w:rStyle w:val="FootnoteReference"/>
        </w:rPr>
        <w:footnoteRef/>
      </w:r>
      <w:r>
        <w:t xml:space="preserve"> Cross-references for "and was buried": 2Chr 21:20; 2Chr 24:16.</w:t>
      </w:r>
    </w:p>
  </w:footnote>
  <w:footnote w:id="7534">
    <w:p>
      <w:pPr>
        <w:pStyle w:val="FootnoteText"/>
      </w:pPr>
      <w:r>
        <w:rPr>
          <w:rStyle w:val="FootnoteReference"/>
        </w:rPr>
        <w:footnoteRef/>
      </w:r>
      <w:r>
        <w:t xml:space="preserve"> Cross-references for "Amon": 1Chr 3:14; 2Chr 33:21-23.</w:t>
      </w:r>
    </w:p>
  </w:footnote>
  <w:footnote w:id="7535">
    <w:p>
      <w:pPr>
        <w:pStyle w:val="FootnoteText"/>
      </w:pPr>
      <w:r>
        <w:rPr>
          <w:rStyle w:val="FootnoteReference"/>
        </w:rPr>
        <w:footnoteRef/>
      </w:r>
      <w:r>
        <w:t xml:space="preserve"> Personal name: Meshullemeth. Personal-name meaning: Meshullemeth — repaid; devoted; peaceable. Source form: Meshullemeth.</w:t>
      </w:r>
    </w:p>
  </w:footnote>
  <w:footnote w:id="7536">
    <w:p>
      <w:pPr>
        <w:pStyle w:val="FootnoteText"/>
      </w:pPr>
      <w:r>
        <w:rPr>
          <w:rStyle w:val="FootnoteReference"/>
        </w:rPr>
        <w:footnoteRef/>
      </w:r>
      <w:r>
        <w:t xml:space="preserve"> Personal name: Haruz. Personal-name meaning: Haruz — careful. Source form: Haruz.</w:t>
      </w:r>
    </w:p>
  </w:footnote>
  <w:footnote w:id="7537">
    <w:p>
      <w:pPr>
        <w:pStyle w:val="FootnoteText"/>
      </w:pPr>
      <w:r>
        <w:rPr>
          <w:rStyle w:val="FootnoteReference"/>
        </w:rPr>
        <w:footnoteRef/>
      </w:r>
      <w:r>
        <w:t xml:space="preserve"> Place name: Jotbah. Place-name meaning: Jotbah — goodness. Source form: Jotbah. Greek form: ιετεβα.</w:t>
      </w:r>
    </w:p>
  </w:footnote>
  <w:footnote w:id="7538">
    <w:p>
      <w:pPr>
        <w:pStyle w:val="FootnoteText"/>
      </w:pPr>
      <w:r>
        <w:rPr>
          <w:rStyle w:val="FootnoteReference"/>
        </w:rPr>
        <w:footnoteRef/>
      </w:r>
      <w:r>
        <w:t xml:space="preserve"> Name meaning: Josiah (Yoshiyahu) — Yahweh supports; Yahweh heals. Reforming king whose name fits the restoration of covenant worship.</w:t>
      </w:r>
    </w:p>
  </w:footnote>
  <w:footnote w:id="7539">
    <w:p>
      <w:pPr>
        <w:pStyle w:val="FootnoteText"/>
      </w:pPr>
      <w:r>
        <w:rPr>
          <w:rStyle w:val="FootnoteReference"/>
        </w:rPr>
        <w:footnoteRef/>
      </w:r>
      <w:r>
        <w:t xml:space="preserve"> Cross-references for "made Josiah": 1Sam 11:15; 2Sam 5:3.</w:t>
      </w:r>
    </w:p>
  </w:footnote>
  <w:footnote w:id="7540">
    <w:p>
      <w:pPr>
        <w:pStyle w:val="FootnoteText"/>
      </w:pPr>
      <w:r>
        <w:rPr>
          <w:rStyle w:val="FootnoteReference"/>
        </w:rPr>
        <w:footnoteRef/>
      </w:r>
      <w:r>
        <w:t xml:space="preserve"> Cross-references for "in the garden": 2Kgs 21:18.</w:t>
      </w:r>
    </w:p>
  </w:footnote>
  <w:footnote w:id="7541">
    <w:p>
      <w:pPr>
        <w:pStyle w:val="FootnoteText"/>
      </w:pPr>
      <w:r>
        <w:rPr>
          <w:rStyle w:val="FootnoteReference"/>
        </w:rPr>
        <w:footnoteRef/>
      </w:r>
      <w:r>
        <w:t xml:space="preserve"> Cross-references for "Josiah": 1Kgs 13:2; 2Chr 34:1.</w:t>
      </w:r>
    </w:p>
  </w:footnote>
  <w:footnote w:id="7542">
    <w:p>
      <w:pPr>
        <w:pStyle w:val="FootnoteText"/>
      </w:pPr>
      <w:r>
        <w:rPr>
          <w:rStyle w:val="FootnoteReference"/>
        </w:rPr>
        <w:footnoteRef/>
      </w:r>
      <w:r>
        <w:t xml:space="preserve"> Personal name: Jedidah. Personal-name meaning: Jedidah — well beloved; amiable. Source form: Jedidah.</w:t>
      </w:r>
    </w:p>
  </w:footnote>
  <w:footnote w:id="7543">
    <w:p>
      <w:pPr>
        <w:pStyle w:val="FootnoteText"/>
      </w:pPr>
      <w:r>
        <w:rPr>
          <w:rStyle w:val="FootnoteReference"/>
        </w:rPr>
        <w:footnoteRef/>
      </w:r>
      <w:r>
        <w:t xml:space="preserve"> Personal name: Adaiah. Personal-name meaning: Adaiah — the witness of the Lord. Source form: Adaiah.</w:t>
      </w:r>
    </w:p>
  </w:footnote>
  <w:footnote w:id="7544">
    <w:p>
      <w:pPr>
        <w:pStyle w:val="FootnoteText"/>
      </w:pPr>
      <w:r>
        <w:rPr>
          <w:rStyle w:val="FootnoteReference"/>
        </w:rPr>
        <w:footnoteRef/>
      </w:r>
      <w:r>
        <w:t xml:space="preserve"> Transliterated proper noun: Boscath. Standard English equivalent: Boscath. Source form: Boscath. Greek form: βασουρωθ. Name meaning: in poverty.</w:t>
      </w:r>
    </w:p>
  </w:footnote>
  <w:footnote w:id="7545">
    <w:p>
      <w:pPr>
        <w:pStyle w:val="FootnoteText"/>
      </w:pPr>
      <w:r>
        <w:rPr>
          <w:rStyle w:val="FootnoteReference"/>
        </w:rPr>
        <w:footnoteRef/>
      </w:r>
      <w:r>
        <w:t xml:space="preserve"> Cross-references for "right": 2Kgs 16:2; 2Kgs 18:3.</w:t>
      </w:r>
    </w:p>
  </w:footnote>
  <w:footnote w:id="7546">
    <w:p>
      <w:pPr>
        <w:pStyle w:val="FootnoteText"/>
      </w:pPr>
      <w:r>
        <w:rPr>
          <w:rStyle w:val="FootnoteReference"/>
        </w:rPr>
        <w:footnoteRef/>
      </w:r>
      <w:r>
        <w:t xml:space="preserve"> Personal name: Azaliah. Personal-name meaning: Azaliah — near the Lord. Source form: Azaliah.</w:t>
      </w:r>
    </w:p>
  </w:footnote>
  <w:footnote w:id="7547">
    <w:p>
      <w:pPr>
        <w:pStyle w:val="FootnoteText"/>
      </w:pPr>
      <w:r>
        <w:rPr>
          <w:rStyle w:val="FootnoteReference"/>
        </w:rPr>
        <w:footnoteRef/>
      </w:r>
      <w:r>
        <w:t xml:space="preserve"> Personal name: Meshullam. Personal-name meaning: Meshullam — friend; repaid; devoted. Source form: Meshullam.</w:t>
      </w:r>
    </w:p>
  </w:footnote>
  <w:footnote w:id="7548">
    <w:p>
      <w:pPr>
        <w:pStyle w:val="FootnoteText"/>
      </w:pPr>
      <w:r>
        <w:rPr>
          <w:rStyle w:val="FootnoteReference"/>
        </w:rPr>
        <w:footnoteRef/>
      </w:r>
      <w:r>
        <w:t xml:space="preserve"> Cross-references for "Hilkiah": 1Chr 6:13; 1Chr 9:11.</w:t>
      </w:r>
    </w:p>
  </w:footnote>
  <w:footnote w:id="7549">
    <w:p>
      <w:pPr>
        <w:pStyle w:val="FootnoteText"/>
      </w:pPr>
      <w:r>
        <w:rPr>
          <w:rStyle w:val="FootnoteReference"/>
        </w:rPr>
        <w:footnoteRef/>
      </w:r>
      <w:r>
        <w:t xml:space="preserve"> Translation note: Greek says strengthen the breach here. Current line keeps that concrete wording.</w:t>
      </w:r>
    </w:p>
  </w:footnote>
  <w:footnote w:id="7550">
    <w:p>
      <w:pPr>
        <w:pStyle w:val="FootnoteText"/>
      </w:pPr>
      <w:r>
        <w:rPr>
          <w:rStyle w:val="FootnoteReference"/>
        </w:rPr>
        <w:footnoteRef/>
      </w:r>
      <w:r>
        <w:t xml:space="preserve"> Cross-references for "carpenters": Exod 28:11; Exod 35:35.</w:t>
      </w:r>
    </w:p>
  </w:footnote>
  <w:footnote w:id="7551">
    <w:p>
      <w:pPr>
        <w:pStyle w:val="FootnoteText"/>
      </w:pPr>
      <w:r>
        <w:rPr>
          <w:rStyle w:val="FootnoteReference"/>
        </w:rPr>
        <w:footnoteRef/>
      </w:r>
      <w:r>
        <w:t xml:space="preserve"> Cross-references for "Shaphan": 2Kgs 22:3; 2Kgs 22:12.</w:t>
      </w:r>
    </w:p>
  </w:footnote>
  <w:footnote w:id="7552">
    <w:p>
      <w:pPr>
        <w:pStyle w:val="FootnoteText"/>
      </w:pPr>
      <w:r>
        <w:rPr>
          <w:rStyle w:val="FootnoteReference"/>
        </w:rPr>
        <w:footnoteRef/>
      </w:r>
      <w:r>
        <w:t xml:space="preserve"> Translation note: Greek says poured out the silver here.</w:t>
      </w:r>
    </w:p>
  </w:footnote>
  <w:footnote w:id="7553">
    <w:p>
      <w:pPr>
        <w:pStyle w:val="FootnoteText"/>
      </w:pPr>
      <w:r>
        <w:rPr>
          <w:rStyle w:val="FootnoteReference"/>
        </w:rPr>
        <w:footnoteRef/>
      </w:r>
      <w:r>
        <w:t xml:space="preserve"> Cross-references for "Shaphan": Deut 31:9-13; 2Chr 34:18.</w:t>
      </w:r>
    </w:p>
  </w:footnote>
  <w:footnote w:id="7554">
    <w:p>
      <w:pPr>
        <w:pStyle w:val="FootnoteText"/>
      </w:pPr>
      <w:r>
        <w:rPr>
          <w:rStyle w:val="FootnoteReference"/>
        </w:rPr>
        <w:footnoteRef/>
      </w:r>
      <w:r>
        <w:t xml:space="preserve"> Personal name: Ahikam. Personal-name meaning: Ahikam — a brother who raises up or avenges. Source form: Ahikam.</w:t>
      </w:r>
    </w:p>
  </w:footnote>
  <w:footnote w:id="7555">
    <w:p>
      <w:pPr>
        <w:pStyle w:val="FootnoteText"/>
      </w:pPr>
      <w:r>
        <w:rPr>
          <w:rStyle w:val="FootnoteReference"/>
        </w:rPr>
        <w:footnoteRef/>
      </w:r>
      <w:r>
        <w:t xml:space="preserve"> Transliterated proper noun: Michaiah. Standard English equivalent: Michaiah. Source form: Michaiah. Greek form: μιχαιου. Name meaning: Who is like Yahweh?.</w:t>
      </w:r>
    </w:p>
  </w:footnote>
  <w:footnote w:id="7556">
    <w:p>
      <w:pPr>
        <w:pStyle w:val="FootnoteText"/>
      </w:pPr>
      <w:r>
        <w:rPr>
          <w:rStyle w:val="FootnoteReference"/>
        </w:rPr>
        <w:footnoteRef/>
      </w:r>
      <w:r>
        <w:t xml:space="preserve"> Personal name: Asaiah. Personal-name meaning: Asaiah — the Lord hath wrought. Source form: Asaiah.</w:t>
      </w:r>
    </w:p>
  </w:footnote>
  <w:footnote w:id="7557">
    <w:p>
      <w:pPr>
        <w:pStyle w:val="FootnoteText"/>
      </w:pPr>
      <w:r>
        <w:rPr>
          <w:rStyle w:val="FootnoteReference"/>
        </w:rPr>
        <w:footnoteRef/>
      </w:r>
      <w:r>
        <w:t xml:space="preserve"> Cross-references for "Ahikam": 2Kgs 22:9; Jer 26:22.</w:t>
      </w:r>
    </w:p>
  </w:footnote>
  <w:footnote w:id="7558">
    <w:p>
      <w:pPr>
        <w:pStyle w:val="FootnoteText"/>
      </w:pPr>
      <w:r>
        <w:rPr>
          <w:rStyle w:val="FootnoteReference"/>
        </w:rPr>
        <w:footnoteRef/>
      </w:r>
      <w:r>
        <w:t xml:space="preserve"> Translation note: Greek says anger of the Lord burns in us.</w:t>
      </w:r>
    </w:p>
  </w:footnote>
  <w:footnote w:id="7559">
    <w:p>
      <w:pPr>
        <w:pStyle w:val="FootnoteText"/>
      </w:pPr>
      <w:r>
        <w:rPr>
          <w:rStyle w:val="FootnoteReference"/>
        </w:rPr>
        <w:footnoteRef/>
      </w:r>
      <w:r>
        <w:t xml:space="preserve"> Cross-references for "because our fathers": 2Chr 29:6; 2Chr 34:21.</w:t>
      </w:r>
    </w:p>
  </w:footnote>
  <w:footnote w:id="7560">
    <w:p>
      <w:pPr>
        <w:pStyle w:val="FootnoteText"/>
      </w:pPr>
      <w:r>
        <w:rPr>
          <w:rStyle w:val="FootnoteReference"/>
        </w:rPr>
        <w:footnoteRef/>
      </w:r>
      <w:r>
        <w:t xml:space="preserve"> Personal name: Huldah. Personal-name meaning: Huldah — the world. Source form: Huldah.</w:t>
      </w:r>
    </w:p>
  </w:footnote>
  <w:footnote w:id="7561">
    <w:p>
      <w:pPr>
        <w:pStyle w:val="FootnoteText"/>
      </w:pPr>
      <w:r>
        <w:rPr>
          <w:rStyle w:val="FootnoteReference"/>
        </w:rPr>
        <w:footnoteRef/>
      </w:r>
      <w:r>
        <w:t xml:space="preserve"> Cross-references for "prophetess": Exod 15:20; Judg 4:4.</w:t>
      </w:r>
    </w:p>
  </w:footnote>
  <w:footnote w:id="7562">
    <w:p>
      <w:pPr>
        <w:pStyle w:val="FootnoteText"/>
      </w:pPr>
      <w:r>
        <w:rPr>
          <w:rStyle w:val="FootnoteReference"/>
        </w:rPr>
        <w:footnoteRef/>
      </w:r>
      <w:r>
        <w:t xml:space="preserve"> Personal name: Tikvah. Personal-name meaning: Tikvah — hope; a little line; congregation. Source form: Tikvah.</w:t>
      </w:r>
    </w:p>
  </w:footnote>
  <w:footnote w:id="7563">
    <w:p>
      <w:pPr>
        <w:pStyle w:val="FootnoteText"/>
      </w:pPr>
      <w:r>
        <w:rPr>
          <w:rStyle w:val="FootnoteReference"/>
        </w:rPr>
        <w:footnoteRef/>
      </w:r>
      <w:r>
        <w:t xml:space="preserve"> Personal name: Harhas. Personal-name meaning: Harhas — anger; heat of confidence. Source form: Harhas.</w:t>
      </w:r>
    </w:p>
  </w:footnote>
  <w:footnote w:id="7564">
    <w:p>
      <w:pPr>
        <w:pStyle w:val="FootnoteText"/>
      </w:pPr>
      <w:r>
        <w:rPr>
          <w:rStyle w:val="FootnoteReference"/>
        </w:rPr>
        <w:footnoteRef/>
      </w:r>
      <w:r>
        <w:t xml:space="preserve"> Translation note: Greek gives different household names and location details here, including Maseña.</w:t>
      </w:r>
    </w:p>
  </w:footnote>
  <w:footnote w:id="7565">
    <w:p>
      <w:pPr>
        <w:pStyle w:val="FootnoteText"/>
      </w:pPr>
      <w:r>
        <w:rPr>
          <w:rStyle w:val="FootnoteReference"/>
        </w:rPr>
        <w:footnoteRef/>
      </w:r>
      <w:r>
        <w:t xml:space="preserve"> Cross-references for "Behold": 2Kgs 20:17; 2Kgs 21:12-13.</w:t>
      </w:r>
    </w:p>
  </w:footnote>
  <w:footnote w:id="7566">
    <w:p>
      <w:pPr>
        <w:pStyle w:val="FootnoteText"/>
      </w:pPr>
      <w:r>
        <w:rPr>
          <w:rStyle w:val="FootnoteReference"/>
        </w:rPr>
        <w:footnoteRef/>
      </w:r>
      <w:r>
        <w:t xml:space="preserve"> Cross-references for "the works": Ps 115:4-8; Isa 2:8-9.</w:t>
      </w:r>
    </w:p>
  </w:footnote>
  <w:footnote w:id="7567">
    <w:p>
      <w:pPr>
        <w:pStyle w:val="FootnoteText"/>
      </w:pPr>
      <w:r>
        <w:rPr>
          <w:rStyle w:val="FootnoteReference"/>
        </w:rPr>
        <w:footnoteRef/>
      </w:r>
      <w:r>
        <w:t xml:space="preserve"> Translation note: Greek says your heart was softened and you felt shame from before the Lord.</w:t>
      </w:r>
    </w:p>
  </w:footnote>
  <w:footnote w:id="7568">
    <w:p>
      <w:pPr>
        <w:pStyle w:val="FootnoteText"/>
      </w:pPr>
      <w:r>
        <w:rPr>
          <w:rStyle w:val="FootnoteReference"/>
        </w:rPr>
        <w:footnoteRef/>
      </w:r>
      <w:r>
        <w:t xml:space="preserve"> Cross-references for "a desolation": Lev 26:31-32; Deut 29:23.</w:t>
      </w:r>
    </w:p>
  </w:footnote>
  <w:footnote w:id="7569">
    <w:p>
      <w:pPr>
        <w:pStyle w:val="FootnoteText"/>
      </w:pPr>
      <w:r>
        <w:rPr>
          <w:rStyle w:val="FootnoteReference"/>
        </w:rPr>
        <w:footnoteRef/>
      </w:r>
      <w:r>
        <w:t xml:space="preserve"> Cross-references for "gathered": 2Kgs 23:29-30; Ps 37:37.</w:t>
      </w:r>
    </w:p>
  </w:footnote>
  <w:footnote w:id="7570">
    <w:p>
      <w:pPr>
        <w:pStyle w:val="FootnoteText"/>
      </w:pPr>
      <w:r>
        <w:rPr>
          <w:rStyle w:val="FootnoteReference"/>
        </w:rPr>
        <w:footnoteRef/>
      </w:r>
      <w:r>
        <w:t xml:space="preserve"> Translation note: Greek uses a gathered-to-himself line. Current wording preserves it.</w:t>
      </w:r>
    </w:p>
  </w:footnote>
  <w:footnote w:id="7571">
    <w:p>
      <w:pPr>
        <w:pStyle w:val="FootnoteText"/>
      </w:pPr>
      <w:r>
        <w:rPr>
          <w:rStyle w:val="FootnoteReference"/>
        </w:rPr>
        <w:footnoteRef/>
      </w:r>
      <w:r>
        <w:t xml:space="preserve"> Translation note: Greek says all the people from small to great.</w:t>
      </w:r>
    </w:p>
  </w:footnote>
  <w:footnote w:id="7572">
    <w:p>
      <w:pPr>
        <w:pStyle w:val="FootnoteText"/>
      </w:pPr>
      <w:r>
        <w:rPr>
          <w:rStyle w:val="FootnoteReference"/>
        </w:rPr>
        <w:footnoteRef/>
      </w:r>
      <w:r>
        <w:t xml:space="preserve"> Cross-references for "he read": Deut 31:10-13; 2Chr 17:9.</w:t>
      </w:r>
    </w:p>
  </w:footnote>
  <w:footnote w:id="7573">
    <w:p>
      <w:pPr>
        <w:pStyle w:val="FootnoteText"/>
      </w:pPr>
      <w:r>
        <w:rPr>
          <w:rStyle w:val="FootnoteReference"/>
        </w:rPr>
        <w:footnoteRef/>
      </w:r>
      <w:r>
        <w:t xml:space="preserve"> Cross-references for "stood": 2Kgs 11:14; 2Kgs 11:17.</w:t>
      </w:r>
    </w:p>
  </w:footnote>
  <w:footnote w:id="7574">
    <w:p>
      <w:pPr>
        <w:pStyle w:val="FootnoteText"/>
      </w:pPr>
      <w:r>
        <w:rPr>
          <w:rStyle w:val="FootnoteReference"/>
        </w:rPr>
        <w:footnoteRef/>
      </w:r>
      <w:r>
        <w:t xml:space="preserve"> Cross-references for "the keepers": 2Kgs 22:4; 1Chr 26:1-19.</w:t>
      </w:r>
    </w:p>
  </w:footnote>
  <w:footnote w:id="7575">
    <w:p>
      <w:pPr>
        <w:pStyle w:val="FootnoteText"/>
      </w:pPr>
      <w:r>
        <w:rPr>
          <w:rStyle w:val="FootnoteReference"/>
        </w:rPr>
        <w:footnoteRef/>
      </w:r>
      <w:r>
        <w:t xml:space="preserve"> Translation note: Greek says keepers of threshold.</w:t>
      </w:r>
    </w:p>
  </w:footnote>
  <w:footnote w:id="7576">
    <w:p>
      <w:pPr>
        <w:pStyle w:val="FootnoteText"/>
      </w:pPr>
      <w:r>
        <w:rPr>
          <w:rStyle w:val="FootnoteReference"/>
        </w:rPr>
        <w:footnoteRef/>
      </w:r>
      <w:r>
        <w:t xml:space="preserve"> Translation note: Greek uses a specific celestial term here. The translation keeps it transliterated rather than interpreting it.</w:t>
      </w:r>
    </w:p>
  </w:footnote>
  <w:footnote w:id="7577">
    <w:p>
      <w:pPr>
        <w:pStyle w:val="FootnoteText"/>
      </w:pPr>
      <w:r>
        <w:rPr>
          <w:rStyle w:val="FootnoteReference"/>
        </w:rPr>
        <w:footnoteRef/>
      </w:r>
      <w:r>
        <w:t xml:space="preserve"> Cross-references for "the grove": Judg 3:7; 1Kgs 14:23.</w:t>
      </w:r>
    </w:p>
  </w:footnote>
  <w:footnote w:id="7578">
    <w:p>
      <w:pPr>
        <w:pStyle w:val="FootnoteText"/>
      </w:pPr>
      <w:r>
        <w:rPr>
          <w:rStyle w:val="FootnoteReference"/>
        </w:rPr>
        <w:footnoteRef/>
      </w:r>
      <w:r>
        <w:t xml:space="preserve"> Translation note: Greek says wadi or winter-torrent here. Current line keeps the terrain word.</w:t>
      </w:r>
    </w:p>
  </w:footnote>
  <w:footnote w:id="7579">
    <w:p>
      <w:pPr>
        <w:pStyle w:val="FootnoteText"/>
      </w:pPr>
      <w:r>
        <w:rPr>
          <w:rStyle w:val="FootnoteReference"/>
        </w:rPr>
        <w:footnoteRef/>
      </w:r>
      <w:r>
        <w:t xml:space="preserve"> Cross-references for "Beersheba": Gen 21:31; Gen 26:23.</w:t>
      </w:r>
    </w:p>
  </w:footnote>
  <w:footnote w:id="7580">
    <w:p>
      <w:pPr>
        <w:pStyle w:val="FootnoteText"/>
      </w:pPr>
      <w:r>
        <w:rPr>
          <w:rStyle w:val="FootnoteReference"/>
        </w:rPr>
        <w:footnoteRef/>
      </w:r>
      <w:r>
        <w:t xml:space="preserve"> Translation note: Greek says house of the gates here.</w:t>
      </w:r>
    </w:p>
  </w:footnote>
  <w:footnote w:id="7581">
    <w:p>
      <w:pPr>
        <w:pStyle w:val="FootnoteText"/>
      </w:pPr>
      <w:r>
        <w:rPr>
          <w:rStyle w:val="FootnoteReference"/>
        </w:rPr>
        <w:footnoteRef/>
      </w:r>
      <w:r>
        <w:t xml:space="preserve"> Cross-references for "the priests": Ezek 44:10-14; Mal 2:8-9.</w:t>
      </w:r>
    </w:p>
  </w:footnote>
  <w:footnote w:id="7582">
    <w:p>
      <w:pPr>
        <w:pStyle w:val="FootnoteText"/>
      </w:pPr>
      <w:r>
        <w:rPr>
          <w:rStyle w:val="FootnoteReference"/>
        </w:rPr>
        <w:footnoteRef/>
      </w:r>
      <w:r>
        <w:t xml:space="preserve"> Place name: Topheth. Place-name meaning: Topheth — drum; place of burning/betrayal. Source form: Topheth. Greek form: ταφεθ.</w:t>
      </w:r>
    </w:p>
  </w:footnote>
  <w:footnote w:id="7583">
    <w:p>
      <w:pPr>
        <w:pStyle w:val="FootnoteText"/>
      </w:pPr>
      <w:r>
        <w:rPr>
          <w:rStyle w:val="FootnoteReference"/>
        </w:rPr>
        <w:footnoteRef/>
      </w:r>
      <w:r>
        <w:t xml:space="preserve"> Divine or supernatural name: Moloch. Divine/supernatural-name meaning: Moloch — king. Source form: Moloch.</w:t>
      </w:r>
    </w:p>
  </w:footnote>
  <w:footnote w:id="7584">
    <w:p>
      <w:pPr>
        <w:pStyle w:val="FootnoteText"/>
      </w:pPr>
      <w:r>
        <w:rPr>
          <w:rStyle w:val="FootnoteReference"/>
        </w:rPr>
        <w:footnoteRef/>
      </w:r>
      <w:r>
        <w:t xml:space="preserve"> Cross-references for "Topheth": Isa 30:33; Jer 7:31-32.</w:t>
      </w:r>
    </w:p>
  </w:footnote>
  <w:footnote w:id="7585">
    <w:p>
      <w:pPr>
        <w:pStyle w:val="FootnoteText"/>
      </w:pPr>
      <w:r>
        <w:rPr>
          <w:rStyle w:val="FootnoteReference"/>
        </w:rPr>
        <w:footnoteRef/>
      </w:r>
      <w:r>
        <w:t xml:space="preserve"> Cross-references for "the sun": 2Kgs 23:5; 2Chr 14:5.</w:t>
      </w:r>
    </w:p>
  </w:footnote>
  <w:footnote w:id="7586">
    <w:p>
      <w:pPr>
        <w:pStyle w:val="FootnoteText"/>
      </w:pPr>
      <w:r>
        <w:rPr>
          <w:rStyle w:val="FootnoteReference"/>
        </w:rPr>
        <w:footnoteRef/>
      </w:r>
      <w:r>
        <w:t xml:space="preserve"> Translation note: Greek says suburbs here. Current line keeps that wording.</w:t>
      </w:r>
    </w:p>
  </w:footnote>
  <w:footnote w:id="7587">
    <w:p>
      <w:pPr>
        <w:pStyle w:val="FootnoteText"/>
      </w:pPr>
      <w:r>
        <w:rPr>
          <w:rStyle w:val="FootnoteReference"/>
        </w:rPr>
        <w:footnoteRef/>
      </w:r>
      <w:r>
        <w:t xml:space="preserve"> Cross-references for "which Manasseh": 2Kgs 21:5; 2Kgs 21:21-22.</w:t>
      </w:r>
    </w:p>
  </w:footnote>
  <w:footnote w:id="7588">
    <w:p>
      <w:pPr>
        <w:pStyle w:val="FootnoteText"/>
      </w:pPr>
      <w:r>
        <w:rPr>
          <w:rStyle w:val="FootnoteReference"/>
        </w:rPr>
        <w:footnoteRef/>
      </w:r>
      <w:r>
        <w:t xml:space="preserve"> Cross-references for "Solomon": 1Kgs 11:7; Neh 13:26.</w:t>
      </w:r>
    </w:p>
  </w:footnote>
  <w:footnote w:id="7589">
    <w:p>
      <w:pPr>
        <w:pStyle w:val="FootnoteText"/>
      </w:pPr>
      <w:r>
        <w:rPr>
          <w:rStyle w:val="FootnoteReference"/>
        </w:rPr>
        <w:footnoteRef/>
      </w:r>
      <w:r>
        <w:t xml:space="preserve"> Divine or supernatural name: Ashtoreth. Divine/supernatural-name meaning: Ashtoreth — flocks; sheep; riches. Source form: Ashtoreth.</w:t>
      </w:r>
    </w:p>
  </w:footnote>
  <w:footnote w:id="7590">
    <w:p>
      <w:pPr>
        <w:pStyle w:val="FootnoteText"/>
      </w:pPr>
      <w:r>
        <w:rPr>
          <w:rStyle w:val="FootnoteReference"/>
        </w:rPr>
        <w:footnoteRef/>
      </w:r>
      <w:r>
        <w:t xml:space="preserve"> Translation note: Greek uses abhorrence labels for these gods here.</w:t>
      </w:r>
    </w:p>
  </w:footnote>
  <w:footnote w:id="7591">
    <w:p>
      <w:pPr>
        <w:pStyle w:val="FootnoteText"/>
      </w:pPr>
      <w:r>
        <w:rPr>
          <w:rStyle w:val="FootnoteReference"/>
        </w:rPr>
        <w:footnoteRef/>
      </w:r>
      <w:r>
        <w:t xml:space="preserve"> Cross-references for "the altar": 1Kgs 12:28-33; 1Kgs 14:16.</w:t>
      </w:r>
    </w:p>
  </w:footnote>
  <w:footnote w:id="7592">
    <w:p>
      <w:pPr>
        <w:pStyle w:val="FootnoteText"/>
      </w:pPr>
      <w:r>
        <w:rPr>
          <w:rStyle w:val="FootnoteReference"/>
        </w:rPr>
        <w:footnoteRef/>
      </w:r>
      <w:r>
        <w:t xml:space="preserve"> Translation note: Greek sequence keeps grove-burning at end.</w:t>
      </w:r>
    </w:p>
  </w:footnote>
  <w:footnote w:id="7593">
    <w:p>
      <w:pPr>
        <w:pStyle w:val="FootnoteText"/>
      </w:pPr>
      <w:r>
        <w:rPr>
          <w:rStyle w:val="FootnoteReference"/>
        </w:rPr>
        <w:footnoteRef/>
      </w:r>
      <w:r>
        <w:t xml:space="preserve"> Translation note: Greek says city here. The translation keeps that location wording.</w:t>
      </w:r>
    </w:p>
  </w:footnote>
  <w:footnote w:id="7594">
    <w:p>
      <w:pPr>
        <w:pStyle w:val="FootnoteText"/>
      </w:pPr>
      <w:r>
        <w:rPr>
          <w:rStyle w:val="FootnoteReference"/>
        </w:rPr>
        <w:footnoteRef/>
      </w:r>
      <w:r>
        <w:t xml:space="preserve"> Cross-references for "burned": 1Kgs 13:1-2; 1Kgs 13:32.</w:t>
      </w:r>
    </w:p>
  </w:footnote>
  <w:footnote w:id="7595">
    <w:p>
      <w:pPr>
        <w:pStyle w:val="FootnoteText"/>
      </w:pPr>
      <w:r>
        <w:rPr>
          <w:rStyle w:val="FootnoteReference"/>
        </w:rPr>
        <w:footnoteRef/>
      </w:r>
      <w:r>
        <w:t xml:space="preserve"> Translation note: Greek says marker here. Current line keeps that wording.</w:t>
      </w:r>
    </w:p>
  </w:footnote>
  <w:footnote w:id="7596">
    <w:p>
      <w:pPr>
        <w:pStyle w:val="FootnoteText"/>
      </w:pPr>
      <w:r>
        <w:rPr>
          <w:rStyle w:val="FootnoteReference"/>
        </w:rPr>
        <w:footnoteRef/>
      </w:r>
      <w:r>
        <w:t xml:space="preserve"> Translation note: Greek keeps the bones notice in blunt command form. Current wording preserves it.</w:t>
      </w:r>
    </w:p>
  </w:footnote>
  <w:footnote w:id="7597">
    <w:p>
      <w:pPr>
        <w:pStyle w:val="FootnoteText"/>
      </w:pPr>
      <w:r>
        <w:rPr>
          <w:rStyle w:val="FootnoteReference"/>
        </w:rPr>
        <w:footnoteRef/>
      </w:r>
      <w:r>
        <w:t xml:space="preserve"> Cross-references for "the bones of the prophet": 1Kgs 13:1-22; 1Kgs 13:31.</w:t>
      </w:r>
    </w:p>
  </w:footnote>
  <w:footnote w:id="7598">
    <w:p>
      <w:pPr>
        <w:pStyle w:val="FootnoteText"/>
      </w:pPr>
      <w:r>
        <w:rPr>
          <w:rStyle w:val="FootnoteReference"/>
        </w:rPr>
        <w:footnoteRef/>
      </w:r>
      <w:r>
        <w:t xml:space="preserve"> Cross-references for "the houses": 1Kgs 12:31; 1Kgs 13:32.</w:t>
      </w:r>
    </w:p>
  </w:footnote>
  <w:footnote w:id="7599">
    <w:p>
      <w:pPr>
        <w:pStyle w:val="FootnoteText"/>
      </w:pPr>
      <w:r>
        <w:rPr>
          <w:rStyle w:val="FootnoteReference"/>
        </w:rPr>
        <w:footnoteRef/>
      </w:r>
      <w:r>
        <w:t xml:space="preserve"> Translation note: Greek simply says to provoke the Lord. The translation keeps that clause without adding anger beyond the text.</w:t>
      </w:r>
    </w:p>
  </w:footnote>
  <w:footnote w:id="7600">
    <w:p>
      <w:pPr>
        <w:pStyle w:val="FootnoteText"/>
      </w:pPr>
      <w:r>
        <w:rPr>
          <w:rStyle w:val="FootnoteReference"/>
        </w:rPr>
        <w:footnoteRef/>
      </w:r>
      <w:r>
        <w:t xml:space="preserve"> Cross-references for "burned": 2Chr 34:5.</w:t>
      </w:r>
    </w:p>
  </w:footnote>
  <w:footnote w:id="7601">
    <w:p>
      <w:pPr>
        <w:pStyle w:val="FootnoteText"/>
      </w:pPr>
      <w:r>
        <w:rPr>
          <w:rStyle w:val="FootnoteReference"/>
        </w:rPr>
        <w:footnoteRef/>
      </w:r>
      <w:r>
        <w:t xml:space="preserve"> Cross-references for "Keep": 2Chr 35:1-19.</w:t>
      </w:r>
    </w:p>
  </w:footnote>
  <w:footnote w:id="7602">
    <w:p>
      <w:pPr>
        <w:pStyle w:val="FootnoteText"/>
      </w:pPr>
      <w:r>
        <w:rPr>
          <w:rStyle w:val="FootnoteReference"/>
        </w:rPr>
        <w:footnoteRef/>
      </w:r>
      <w:r>
        <w:t xml:space="preserve"> Cross-references for "of the kings": 2Chr 30:1-3; 2Chr 30:13-20.</w:t>
      </w:r>
    </w:p>
  </w:footnote>
  <w:footnote w:id="7603">
    <w:p>
      <w:pPr>
        <w:pStyle w:val="FootnoteText"/>
      </w:pPr>
      <w:r>
        <w:rPr>
          <w:rStyle w:val="FootnoteReference"/>
        </w:rPr>
        <w:footnoteRef/>
      </w:r>
      <w:r>
        <w:t xml:space="preserve"> Translation note: The Greek uses an unusual pair here. The current wording preserves those categories rather than harmonizing them to a more familiar list.</w:t>
      </w:r>
    </w:p>
  </w:footnote>
  <w:footnote w:id="7604">
    <w:p>
      <w:pPr>
        <w:pStyle w:val="FootnoteText"/>
      </w:pPr>
      <w:r>
        <w:rPr>
          <w:rStyle w:val="FootnoteReference"/>
        </w:rPr>
        <w:footnoteRef/>
      </w:r>
      <w:r>
        <w:t xml:space="preserve"> Cross-references for "the book": 2Kgs 22:8-13; 2Chr 34:14-19.</w:t>
      </w:r>
    </w:p>
  </w:footnote>
  <w:footnote w:id="7605">
    <w:p>
      <w:pPr>
        <w:pStyle w:val="FootnoteText"/>
      </w:pPr>
      <w:r>
        <w:rPr>
          <w:rStyle w:val="FootnoteReference"/>
        </w:rPr>
        <w:footnoteRef/>
      </w:r>
      <w:r>
        <w:t xml:space="preserve"> Translation note: The Greek keeps the full triad of covenant devotion. The current wording preserves all three terms directly.</w:t>
      </w:r>
    </w:p>
  </w:footnote>
  <w:footnote w:id="7606">
    <w:p>
      <w:pPr>
        <w:pStyle w:val="FootnoteText"/>
      </w:pPr>
      <w:r>
        <w:rPr>
          <w:rStyle w:val="FootnoteReference"/>
        </w:rPr>
        <w:footnoteRef/>
      </w:r>
      <w:r>
        <w:t xml:space="preserve"> Cross-references for "I will remove": Deut 29:27-28; 2Kgs 17:18.</w:t>
      </w:r>
    </w:p>
  </w:footnote>
  <w:footnote w:id="7607">
    <w:p>
      <w:pPr>
        <w:pStyle w:val="FootnoteText"/>
      </w:pPr>
      <w:r>
        <w:rPr>
          <w:rStyle w:val="FootnoteReference"/>
        </w:rPr>
        <w:footnoteRef/>
      </w:r>
      <w:r>
        <w:t xml:space="preserve"> Cross-references for "the rest": 2Kgs 20:20.</w:t>
      </w:r>
    </w:p>
  </w:footnote>
  <w:footnote w:id="7608">
    <w:p>
      <w:pPr>
        <w:pStyle w:val="FootnoteText"/>
      </w:pPr>
      <w:r>
        <w:rPr>
          <w:rStyle w:val="FootnoteReference"/>
        </w:rPr>
        <w:footnoteRef/>
      </w:r>
      <w:r>
        <w:t xml:space="preserve"> Transliterated proper noun: Necho. Standard English equivalent: Pharaohnechoh. Source form: Necho. Greek form: νεχαω. Name meaning: lame; beaten.</w:t>
      </w:r>
    </w:p>
  </w:footnote>
  <w:footnote w:id="7609">
    <w:p>
      <w:pPr>
        <w:pStyle w:val="FootnoteText"/>
      </w:pPr>
      <w:r>
        <w:rPr>
          <w:rStyle w:val="FootnoteReference"/>
        </w:rPr>
        <w:footnoteRef/>
      </w:r>
      <w:r>
        <w:t xml:space="preserve"> Cross-references for "Euphrates": 2Kgs 24:7; 2Chr 35:20.</w:t>
      </w:r>
    </w:p>
  </w:footnote>
  <w:footnote w:id="7610">
    <w:p>
      <w:pPr>
        <w:pStyle w:val="FootnoteText"/>
      </w:pPr>
      <w:r>
        <w:rPr>
          <w:rStyle w:val="FootnoteReference"/>
        </w:rPr>
        <w:footnoteRef/>
      </w:r>
      <w:r>
        <w:t xml:space="preserve"> Cross-references for "servants": 1Kgs 22:33-38; 2Kgs 9:28.</w:t>
      </w:r>
    </w:p>
  </w:footnote>
  <w:footnote w:id="7611">
    <w:p>
      <w:pPr>
        <w:pStyle w:val="FootnoteText"/>
      </w:pPr>
      <w:r>
        <w:rPr>
          <w:rStyle w:val="FootnoteReference"/>
        </w:rPr>
        <w:footnoteRef/>
      </w:r>
      <w:r>
        <w:t xml:space="preserve"> Cross-references for "Jehoahaz": 1Chr 3:15; Jer 22:11.</w:t>
      </w:r>
    </w:p>
  </w:footnote>
  <w:footnote w:id="7612">
    <w:p>
      <w:pPr>
        <w:pStyle w:val="FootnoteText"/>
      </w:pPr>
      <w:r>
        <w:rPr>
          <w:rStyle w:val="FootnoteReference"/>
        </w:rPr>
        <w:footnoteRef/>
      </w:r>
      <w:r>
        <w:t xml:space="preserve"> Personal name: Hamutal. Personal-name meaning: Hamutal — the shadow of his heat. Source form: Hamutal.</w:t>
      </w:r>
    </w:p>
  </w:footnote>
  <w:footnote w:id="7613">
    <w:p>
      <w:pPr>
        <w:pStyle w:val="FootnoteText"/>
      </w:pPr>
      <w:r>
        <w:rPr>
          <w:rStyle w:val="FootnoteReference"/>
        </w:rPr>
        <w:footnoteRef/>
      </w:r>
      <w:r>
        <w:t xml:space="preserve"> Name meaning: Jeremiah (Yirmeyahu) — Yahweh exalts; Yahweh throws. Exalted God even while weeping over Jerusalem.</w:t>
      </w:r>
    </w:p>
  </w:footnote>
  <w:footnote w:id="7614">
    <w:p>
      <w:pPr>
        <w:pStyle w:val="FootnoteText"/>
      </w:pPr>
      <w:r>
        <w:rPr>
          <w:rStyle w:val="FootnoteReference"/>
        </w:rPr>
        <w:footnoteRef/>
      </w:r>
      <w:r>
        <w:t xml:space="preserve"> Cross-references for "Riblah": Num 34:11; 2Kgs 25:6.</w:t>
      </w:r>
    </w:p>
  </w:footnote>
  <w:footnote w:id="7615">
    <w:p>
      <w:pPr>
        <w:pStyle w:val="FootnoteText"/>
      </w:pPr>
      <w:r>
        <w:rPr>
          <w:rStyle w:val="FootnoteReference"/>
        </w:rPr>
        <w:footnoteRef/>
      </w:r>
      <w:r>
        <w:t xml:space="preserve"> Cross-references for "Eliakim": Josh 18:18; 2Chr 36:3-4.</w:t>
      </w:r>
    </w:p>
  </w:footnote>
  <w:footnote w:id="7616">
    <w:p>
      <w:pPr>
        <w:pStyle w:val="FootnoteText"/>
      </w:pPr>
      <w:r>
        <w:rPr>
          <w:rStyle w:val="FootnoteReference"/>
        </w:rPr>
        <w:footnoteRef/>
      </w:r>
      <w:r>
        <w:t xml:space="preserve"> Personal name: Joakim. Personal-name meaning: Joakim — rising or establishing of the Lord. Source form: Joakim.</w:t>
      </w:r>
    </w:p>
  </w:footnote>
  <w:footnote w:id="7617">
    <w:p>
      <w:pPr>
        <w:pStyle w:val="FootnoteText"/>
      </w:pPr>
      <w:r>
        <w:rPr>
          <w:rStyle w:val="FootnoteReference"/>
        </w:rPr>
        <w:footnoteRef/>
      </w:r>
      <w:r>
        <w:t xml:space="preserve"> Translation note: Greek states the royal renaming directly and then says he brought Jehoahaz into Egypt. Current wording preserves that sequence.</w:t>
      </w:r>
    </w:p>
  </w:footnote>
  <w:footnote w:id="7618">
    <w:p>
      <w:pPr>
        <w:pStyle w:val="FootnoteText"/>
      </w:pPr>
      <w:r>
        <w:rPr>
          <w:rStyle w:val="FootnoteReference"/>
        </w:rPr>
        <w:footnoteRef/>
      </w:r>
      <w:r>
        <w:t xml:space="preserve"> Cross-references for "the silver": 2Kgs 23:33.</w:t>
      </w:r>
    </w:p>
  </w:footnote>
  <w:footnote w:id="7619">
    <w:p>
      <w:pPr>
        <w:pStyle w:val="FootnoteText"/>
      </w:pPr>
      <w:r>
        <w:rPr>
          <w:rStyle w:val="FootnoteReference"/>
        </w:rPr>
        <w:footnoteRef/>
      </w:r>
      <w:r>
        <w:t xml:space="preserve"> Translation note: Greek says according to his assessment here. Current line keeps that wording.</w:t>
      </w:r>
    </w:p>
  </w:footnote>
  <w:footnote w:id="7620">
    <w:p>
      <w:pPr>
        <w:pStyle w:val="FootnoteText"/>
      </w:pPr>
      <w:r>
        <w:rPr>
          <w:rStyle w:val="FootnoteReference"/>
        </w:rPr>
        <w:footnoteRef/>
      </w:r>
      <w:r>
        <w:t xml:space="preserve"> Transliterated proper noun: Zebudah. Standard English equivalent: Zebudah. Source form: Zebudah. Greek form: ιελδαφ. Name meaning: endowed; endowing.</w:t>
      </w:r>
    </w:p>
  </w:footnote>
  <w:footnote w:id="7621">
    <w:p>
      <w:pPr>
        <w:pStyle w:val="FootnoteText"/>
      </w:pPr>
      <w:r>
        <w:rPr>
          <w:rStyle w:val="FootnoteReference"/>
        </w:rPr>
        <w:footnoteRef/>
      </w:r>
      <w:r>
        <w:t xml:space="preserve"> Personal name: Pedaiah. Personal-name meaning: Pedaiah — redemption of the Lord. Source form: Pedaiah.</w:t>
      </w:r>
    </w:p>
  </w:footnote>
  <w:footnote w:id="7622">
    <w:p>
      <w:pPr>
        <w:pStyle w:val="FootnoteText"/>
      </w:pPr>
      <w:r>
        <w:rPr>
          <w:rStyle w:val="FootnoteReference"/>
        </w:rPr>
        <w:footnoteRef/>
      </w:r>
      <w:r>
        <w:t xml:space="preserve"> Place name: Rumah. Place-name meaning: Rumah — exalted; sublime; rejected. Source form: Rumah. Greek form: ρουμα.</w:t>
      </w:r>
    </w:p>
  </w:footnote>
  <w:footnote w:id="7623">
    <w:p>
      <w:pPr>
        <w:pStyle w:val="FootnoteText"/>
      </w:pPr>
      <w:r>
        <w:rPr>
          <w:rStyle w:val="FootnoteReference"/>
        </w:rPr>
        <w:footnoteRef/>
      </w:r>
      <w:r>
        <w:t xml:space="preserve"> Cross-references for "he did": Jer 22:13-17; Jer 26:20-23.</w:t>
      </w:r>
    </w:p>
  </w:footnote>
  <w:footnote w:id="7624">
    <w:p>
      <w:pPr>
        <w:pStyle w:val="FootnoteText"/>
      </w:pPr>
      <w:r>
        <w:rPr>
          <w:rStyle w:val="FootnoteReference"/>
        </w:rPr>
        <w:footnoteRef/>
      </w:r>
      <w:r>
        <w:t xml:space="preserve"> Cross-references for "his days": 2Kgs 17:5; 2Chr 36:6-21.</w:t>
      </w:r>
    </w:p>
  </w:footnote>
  <w:footnote w:id="7625">
    <w:p>
      <w:pPr>
        <w:pStyle w:val="FootnoteText"/>
      </w:pPr>
      <w:r>
        <w:rPr>
          <w:rStyle w:val="FootnoteReference"/>
        </w:rPr>
        <w:footnoteRef/>
      </w:r>
      <w:r>
        <w:t xml:space="preserve"> Name meaning: Nebuchadnezzar (Nabu-kudurri-usur) — Nabu, protect my boundary or heir. Babylonian king used as an instrument of judgment against Judah.</w:t>
      </w:r>
    </w:p>
  </w:footnote>
  <w:footnote w:id="7626">
    <w:p>
      <w:pPr>
        <w:pStyle w:val="FootnoteText"/>
      </w:pPr>
      <w:r>
        <w:rPr>
          <w:rStyle w:val="FootnoteReference"/>
        </w:rPr>
        <w:footnoteRef/>
      </w:r>
      <w:r>
        <w:t xml:space="preserve"> Cross-references for "the Lord": Deut 28:49-50; 2Kgs 6:23.</w:t>
      </w:r>
    </w:p>
  </w:footnote>
  <w:footnote w:id="7627">
    <w:p>
      <w:pPr>
        <w:pStyle w:val="FootnoteText"/>
      </w:pPr>
      <w:r>
        <w:rPr>
          <w:rStyle w:val="FootnoteReference"/>
        </w:rPr>
        <w:footnoteRef/>
      </w:r>
      <w:r>
        <w:t xml:space="preserve"> Cross-references for "the rest": 2Chr 36:8; Jer 22:13-17.</w:t>
      </w:r>
    </w:p>
  </w:footnote>
  <w:footnote w:id="7628">
    <w:p>
      <w:pPr>
        <w:pStyle w:val="FootnoteText"/>
      </w:pPr>
      <w:r>
        <w:rPr>
          <w:rStyle w:val="FootnoteReference"/>
        </w:rPr>
        <w:footnoteRef/>
      </w:r>
      <w:r>
        <w:t xml:space="preserve"> Cross-references for "slept": 2Chr 36:6; 2Chr 36:8.</w:t>
      </w:r>
    </w:p>
  </w:footnote>
  <w:footnote w:id="7629">
    <w:p>
      <w:pPr>
        <w:pStyle w:val="FootnoteText"/>
      </w:pPr>
      <w:r>
        <w:rPr>
          <w:rStyle w:val="FootnoteReference"/>
        </w:rPr>
        <w:footnoteRef/>
      </w:r>
      <w:r>
        <w:t xml:space="preserve"> Translation note: Greek uses no-longer-added language for Egypt's king. Current wording preserves that formula.</w:t>
      </w:r>
    </w:p>
  </w:footnote>
  <w:footnote w:id="7630">
    <w:p>
      <w:pPr>
        <w:pStyle w:val="FootnoteText"/>
      </w:pPr>
      <w:r>
        <w:rPr>
          <w:rStyle w:val="FootnoteReference"/>
        </w:rPr>
        <w:footnoteRef/>
      </w:r>
      <w:r>
        <w:t xml:space="preserve"> Cross-references for "eighteen years": 2Chr 36:9.</w:t>
      </w:r>
    </w:p>
  </w:footnote>
  <w:footnote w:id="7631">
    <w:p>
      <w:pPr>
        <w:pStyle w:val="FootnoteText"/>
      </w:pPr>
      <w:r>
        <w:rPr>
          <w:rStyle w:val="FootnoteReference"/>
        </w:rPr>
        <w:footnoteRef/>
      </w:r>
      <w:r>
        <w:t xml:space="preserve"> Personal name: Nehushta. Personal-name meaning: Nehushta — made of brass. Source form: Nehushta.</w:t>
      </w:r>
    </w:p>
  </w:footnote>
  <w:footnote w:id="7632">
    <w:p>
      <w:pPr>
        <w:pStyle w:val="FootnoteText"/>
      </w:pPr>
      <w:r>
        <w:rPr>
          <w:rStyle w:val="FootnoteReference"/>
        </w:rPr>
        <w:footnoteRef/>
      </w:r>
      <w:r>
        <w:t xml:space="preserve"> Personal name: Elnathan. Personal-name meaning: Elnathan — God hath given; the gift of God. Source form: Elnathan.</w:t>
      </w:r>
    </w:p>
  </w:footnote>
  <w:footnote w:id="7633">
    <w:p>
      <w:pPr>
        <w:pStyle w:val="FootnoteText"/>
      </w:pPr>
      <w:r>
        <w:rPr>
          <w:rStyle w:val="FootnoteReference"/>
        </w:rPr>
        <w:footnoteRef/>
      </w:r>
      <w:r>
        <w:t xml:space="preserve"> Cross-references for "At that time": Dan 1:1-2.</w:t>
      </w:r>
    </w:p>
  </w:footnote>
  <w:footnote w:id="7634">
    <w:p>
      <w:pPr>
        <w:pStyle w:val="FootnoteText"/>
      </w:pPr>
      <w:r>
        <w:rPr>
          <w:rStyle w:val="FootnoteReference"/>
        </w:rPr>
        <w:footnoteRef/>
      </w:r>
      <w:r>
        <w:t xml:space="preserve"> Cross-references for "took him": 2Kgs 25:27; Jer 52:28.</w:t>
      </w:r>
    </w:p>
  </w:footnote>
  <w:footnote w:id="7635">
    <w:p>
      <w:pPr>
        <w:pStyle w:val="FootnoteText"/>
      </w:pPr>
      <w:r>
        <w:rPr>
          <w:rStyle w:val="FootnoteReference"/>
        </w:rPr>
        <w:footnoteRef/>
      </w:r>
      <w:r>
        <w:t xml:space="preserve"> Cross-references for "he carried": 2Kgs 20:17; Isa 39:6.</w:t>
      </w:r>
    </w:p>
  </w:footnote>
  <w:footnote w:id="7636">
    <w:p>
      <w:pPr>
        <w:pStyle w:val="FootnoteText"/>
      </w:pPr>
      <w:r>
        <w:rPr>
          <w:rStyle w:val="FootnoteReference"/>
        </w:rPr>
        <w:footnoteRef/>
      </w:r>
      <w:r>
        <w:t xml:space="preserve"> Translation note: Greek has the ordinary fulfillment formula here. The English keeps it plain and direct.</w:t>
      </w:r>
    </w:p>
  </w:footnote>
  <w:footnote w:id="7637">
    <w:p>
      <w:pPr>
        <w:pStyle w:val="FootnoteText"/>
      </w:pPr>
      <w:r>
        <w:rPr>
          <w:rStyle w:val="FootnoteReference"/>
        </w:rPr>
        <w:footnoteRef/>
      </w:r>
      <w:r>
        <w:t xml:space="preserve"> Cross-references for "Jerusalem": 2Chr 36:9-10; Jer 24:1-5.</w:t>
      </w:r>
    </w:p>
  </w:footnote>
  <w:footnote w:id="7638">
    <w:p>
      <w:pPr>
        <w:pStyle w:val="FootnoteText"/>
      </w:pPr>
      <w:r>
        <w:rPr>
          <w:rStyle w:val="FootnoteReference"/>
        </w:rPr>
        <w:footnoteRef/>
      </w:r>
      <w:r>
        <w:t xml:space="preserve"> Translation note: Greek says smith here. Current line keeps that wording.</w:t>
      </w:r>
    </w:p>
  </w:footnote>
  <w:footnote w:id="7639">
    <w:p>
      <w:pPr>
        <w:pStyle w:val="FootnoteText"/>
      </w:pPr>
      <w:r>
        <w:rPr>
          <w:rStyle w:val="FootnoteReference"/>
        </w:rPr>
        <w:footnoteRef/>
      </w:r>
      <w:r>
        <w:t xml:space="preserve"> Cross-references for "seven thousand": Jer 29:2; Jer 52:28.</w:t>
      </w:r>
    </w:p>
  </w:footnote>
  <w:footnote w:id="7640">
    <w:p>
      <w:pPr>
        <w:pStyle w:val="FootnoteText"/>
      </w:pPr>
      <w:r>
        <w:rPr>
          <w:rStyle w:val="FootnoteReference"/>
        </w:rPr>
        <w:footnoteRef/>
      </w:r>
      <w:r>
        <w:t xml:space="preserve"> Personal name: Mattaniah. Personal-name meaning: Mattaniah — gift, or hope, of the Lord. Source form: Mattaniah.</w:t>
      </w:r>
    </w:p>
  </w:footnote>
  <w:footnote w:id="7641">
    <w:p>
      <w:pPr>
        <w:pStyle w:val="FootnoteText"/>
      </w:pPr>
      <w:r>
        <w:rPr>
          <w:rStyle w:val="FootnoteReference"/>
        </w:rPr>
        <w:footnoteRef/>
      </w:r>
      <w:r>
        <w:t xml:space="preserve"> Cross-references for "Zedekiah": 2Chr 36:11; Jer 37:1.</w:t>
      </w:r>
    </w:p>
  </w:footnote>
  <w:footnote w:id="7642">
    <w:p>
      <w:pPr>
        <w:pStyle w:val="FootnoteText"/>
      </w:pPr>
      <w:r>
        <w:rPr>
          <w:rStyle w:val="FootnoteReference"/>
        </w:rPr>
        <w:footnoteRef/>
      </w:r>
      <w:r>
        <w:t xml:space="preserve"> Cross-references for "And he did": 2Kgs 23:37; 2Chr 36:12.</w:t>
      </w:r>
    </w:p>
  </w:footnote>
  <w:footnote w:id="7643">
    <w:p>
      <w:pPr>
        <w:pStyle w:val="FootnoteText"/>
      </w:pPr>
      <w:r>
        <w:rPr>
          <w:rStyle w:val="FootnoteReference"/>
        </w:rPr>
        <w:footnoteRef/>
      </w:r>
      <w:r>
        <w:t xml:space="preserve"> Cross-references for "Zedekiah": 2Chr 36:13; Jer 27:12-15.</w:t>
      </w:r>
    </w:p>
  </w:footnote>
  <w:footnote w:id="7644">
    <w:p>
      <w:pPr>
        <w:pStyle w:val="FootnoteText"/>
      </w:pPr>
      <w:r>
        <w:rPr>
          <w:rStyle w:val="FootnoteReference"/>
        </w:rPr>
        <w:footnoteRef/>
      </w:r>
      <w:r>
        <w:t xml:space="preserve"> Cross-references for "in the ninth": 2Chr 36:17-21; Jer 34:2.</w:t>
      </w:r>
    </w:p>
  </w:footnote>
  <w:footnote w:id="7645">
    <w:p>
      <w:pPr>
        <w:pStyle w:val="FootnoteText"/>
      </w:pPr>
      <w:r>
        <w:rPr>
          <w:rStyle w:val="FootnoteReference"/>
        </w:rPr>
        <w:footnoteRef/>
      </w:r>
      <w:r>
        <w:t xml:space="preserve"> Translation note: Greek uses a siege-wall term here. The translation keeps that image in natural English.</w:t>
      </w:r>
    </w:p>
  </w:footnote>
  <w:footnote w:id="7646">
    <w:p>
      <w:pPr>
        <w:pStyle w:val="FootnoteText"/>
      </w:pPr>
      <w:r>
        <w:rPr>
          <w:rStyle w:val="FootnoteReference"/>
        </w:rPr>
        <w:footnoteRef/>
      </w:r>
      <w:r>
        <w:t xml:space="preserve"> Translation note: Greek gives the siege notice in compact form. Current wording preserves it.</w:t>
      </w:r>
    </w:p>
  </w:footnote>
  <w:footnote w:id="7647">
    <w:p>
      <w:pPr>
        <w:pStyle w:val="FootnoteText"/>
      </w:pPr>
      <w:r>
        <w:rPr>
          <w:rStyle w:val="FootnoteReference"/>
        </w:rPr>
        <w:footnoteRef/>
      </w:r>
      <w:r>
        <w:t xml:space="preserve"> Cross-references for "the ninth day": Jer 39:2; Jer 52:6.</w:t>
      </w:r>
    </w:p>
  </w:footnote>
  <w:footnote w:id="7648">
    <w:p>
      <w:pPr>
        <w:pStyle w:val="FootnoteText"/>
      </w:pPr>
      <w:r>
        <w:rPr>
          <w:rStyle w:val="FootnoteReference"/>
        </w:rPr>
        <w:footnoteRef/>
      </w:r>
      <w:r>
        <w:t xml:space="preserve"> Translation note: The Greek narrative closely matches the usual account but phrases the escape route plainly as the gate between the walls. The translation keeps that wording close.</w:t>
      </w:r>
    </w:p>
  </w:footnote>
  <w:footnote w:id="7649">
    <w:p>
      <w:pPr>
        <w:pStyle w:val="FootnoteText"/>
      </w:pPr>
      <w:r>
        <w:rPr>
          <w:rStyle w:val="FootnoteReference"/>
        </w:rPr>
        <w:footnoteRef/>
      </w:r>
      <w:r>
        <w:t xml:space="preserve"> Cross-references for "and overtook": Isa 30:16; Jer 24:8.</w:t>
      </w:r>
    </w:p>
  </w:footnote>
  <w:footnote w:id="7650">
    <w:p>
      <w:pPr>
        <w:pStyle w:val="FootnoteText"/>
      </w:pPr>
      <w:r>
        <w:rPr>
          <w:rStyle w:val="FootnoteReference"/>
        </w:rPr>
        <w:footnoteRef/>
      </w:r>
      <w:r>
        <w:t xml:space="preserve"> Cross-references for "Riblah": 2Kgs 23:33; Jer 52:9.</w:t>
      </w:r>
    </w:p>
  </w:footnote>
  <w:footnote w:id="7651">
    <w:p>
      <w:pPr>
        <w:pStyle w:val="FootnoteText"/>
      </w:pPr>
      <w:r>
        <w:rPr>
          <w:rStyle w:val="FootnoteReference"/>
        </w:rPr>
        <w:footnoteRef/>
      </w:r>
      <w:r>
        <w:t xml:space="preserve"> Cross-references for "bound him": Judg 16:21; 2Chr 33:11.</w:t>
      </w:r>
    </w:p>
  </w:footnote>
  <w:footnote w:id="7652">
    <w:p>
      <w:pPr>
        <w:pStyle w:val="FootnoteText"/>
      </w:pPr>
      <w:r>
        <w:rPr>
          <w:rStyle w:val="FootnoteReference"/>
        </w:rPr>
        <w:footnoteRef/>
      </w:r>
      <w:r>
        <w:t xml:space="preserve"> Cross-references for "in the fifth month": Jer 52:12-14; Zech 8:19.</w:t>
      </w:r>
    </w:p>
  </w:footnote>
  <w:footnote w:id="7653">
    <w:p>
      <w:pPr>
        <w:pStyle w:val="FootnoteText"/>
      </w:pPr>
      <w:r>
        <w:rPr>
          <w:rStyle w:val="FootnoteReference"/>
        </w:rPr>
        <w:footnoteRef/>
      </w:r>
      <w:r>
        <w:t xml:space="preserve"> Personal name: Nebuzaradan. Personal-name meaning: Nebuzaradan — fruits or prophecies of judgment. Source form: Nebuzaradan.</w:t>
      </w:r>
    </w:p>
  </w:footnote>
  <w:footnote w:id="7654">
    <w:p>
      <w:pPr>
        <w:pStyle w:val="FootnoteText"/>
      </w:pPr>
      <w:r>
        <w:rPr>
          <w:rStyle w:val="FootnoteReference"/>
        </w:rPr>
        <w:footnoteRef/>
      </w:r>
      <w:r>
        <w:t xml:space="preserve"> Cross-references for "the king's": Jer 34:22; Jer 37:8.</w:t>
      </w:r>
    </w:p>
  </w:footnote>
  <w:footnote w:id="7655">
    <w:p>
      <w:pPr>
        <w:pStyle w:val="FootnoteText"/>
      </w:pPr>
      <w:r>
        <w:rPr>
          <w:rStyle w:val="FootnoteReference"/>
        </w:rPr>
        <w:footnoteRef/>
      </w:r>
      <w:r>
        <w:t xml:space="preserve"> Cross-references for "the rest": Jer 15:1-2; Jer 39:9.</w:t>
      </w:r>
    </w:p>
  </w:footnote>
  <w:footnote w:id="7656">
    <w:p>
      <w:pPr>
        <w:pStyle w:val="FootnoteText"/>
      </w:pPr>
      <w:r>
        <w:rPr>
          <w:rStyle w:val="FootnoteReference"/>
        </w:rPr>
        <w:footnoteRef/>
      </w:r>
      <w:r>
        <w:t xml:space="preserve"> Cross-references for "pillars": Exod 27:3; 1Kgs 7:15.</w:t>
      </w:r>
    </w:p>
  </w:footnote>
  <w:footnote w:id="7657">
    <w:p>
      <w:pPr>
        <w:pStyle w:val="FootnoteText"/>
      </w:pPr>
      <w:r>
        <w:rPr>
          <w:rStyle w:val="FootnoteReference"/>
        </w:rPr>
        <w:footnoteRef/>
      </w:r>
      <w:r>
        <w:t xml:space="preserve"> Translation note: Greek preserves this base-term here. Current line keeps it.</w:t>
      </w:r>
    </w:p>
  </w:footnote>
  <w:footnote w:id="7658">
    <w:p>
      <w:pPr>
        <w:pStyle w:val="FootnoteText"/>
      </w:pPr>
      <w:r>
        <w:rPr>
          <w:rStyle w:val="FootnoteReference"/>
        </w:rPr>
        <w:footnoteRef/>
      </w:r>
      <w:r>
        <w:t xml:space="preserve"> Cross-references for "the pots": Exod 27:3; Exod 38:3.</w:t>
      </w:r>
    </w:p>
  </w:footnote>
  <w:footnote w:id="7659">
    <w:p>
      <w:pPr>
        <w:pStyle w:val="FootnoteText"/>
      </w:pPr>
      <w:r>
        <w:rPr>
          <w:rStyle w:val="FootnoteReference"/>
        </w:rPr>
        <w:footnoteRef/>
      </w:r>
      <w:r>
        <w:t xml:space="preserve"> Cross-references for "one pillar": 1Kgs 7:15-16; Jer 52:21-23.</w:t>
      </w:r>
    </w:p>
  </w:footnote>
  <w:footnote w:id="7660">
    <w:p>
      <w:pPr>
        <w:pStyle w:val="FootnoteText"/>
      </w:pPr>
      <w:r>
        <w:rPr>
          <w:rStyle w:val="FootnoteReference"/>
        </w:rPr>
        <w:footnoteRef/>
      </w:r>
      <w:r>
        <w:t xml:space="preserve"> Personal name: Seraiah. Personal-name meaning: Seraiah — prince of the Lord. Source form: Seraiah.</w:t>
      </w:r>
    </w:p>
  </w:footnote>
  <w:footnote w:id="7661">
    <w:p>
      <w:pPr>
        <w:pStyle w:val="FootnoteText"/>
      </w:pPr>
      <w:r>
        <w:rPr>
          <w:rStyle w:val="FootnoteReference"/>
        </w:rPr>
        <w:footnoteRef/>
      </w:r>
      <w:r>
        <w:t xml:space="preserve"> Cross-references for "Seraiah": 1Chr 6:14; Ezra 7:1.</w:t>
      </w:r>
    </w:p>
  </w:footnote>
  <w:footnote w:id="7662">
    <w:p>
      <w:pPr>
        <w:pStyle w:val="FootnoteText"/>
      </w:pPr>
      <w:r>
        <w:rPr>
          <w:rStyle w:val="FootnoteReference"/>
        </w:rPr>
        <w:footnoteRef/>
      </w:r>
      <w:r>
        <w:t xml:space="preserve"> Translation note: Greek keeps this court idiom here. Current line preserves it.</w:t>
      </w:r>
    </w:p>
  </w:footnote>
  <w:footnote w:id="7663">
    <w:p>
      <w:pPr>
        <w:pStyle w:val="FootnoteText"/>
      </w:pPr>
      <w:r>
        <w:rPr>
          <w:rStyle w:val="FootnoteReference"/>
        </w:rPr>
        <w:footnoteRef/>
      </w:r>
      <w:r>
        <w:t xml:space="preserve"> Cross-references for "and brought": Jer 52:26-27; Lam 4:16.</w:t>
      </w:r>
    </w:p>
  </w:footnote>
  <w:footnote w:id="7664">
    <w:p>
      <w:pPr>
        <w:pStyle w:val="FootnoteText"/>
      </w:pPr>
      <w:r>
        <w:rPr>
          <w:rStyle w:val="FootnoteReference"/>
        </w:rPr>
        <w:footnoteRef/>
      </w:r>
      <w:r>
        <w:t xml:space="preserve"> Personal name: Gedaliah. Personal-name meaning: Gedaliah — Yahweh is great; Yahweh has magnified. Source form: Gedaliah.</w:t>
      </w:r>
    </w:p>
  </w:footnote>
  <w:footnote w:id="7665">
    <w:p>
      <w:pPr>
        <w:pStyle w:val="FootnoteText"/>
      </w:pPr>
      <w:r>
        <w:rPr>
          <w:rStyle w:val="FootnoteReference"/>
        </w:rPr>
        <w:footnoteRef/>
      </w:r>
      <w:r>
        <w:t xml:space="preserve"> Cross-references for "Gedaliah": 2Kgs 25:25; Jer 39:14.</w:t>
      </w:r>
    </w:p>
  </w:footnote>
  <w:footnote w:id="7666">
    <w:p>
      <w:pPr>
        <w:pStyle w:val="FootnoteText"/>
      </w:pPr>
      <w:r>
        <w:rPr>
          <w:rStyle w:val="FootnoteReference"/>
        </w:rPr>
        <w:footnoteRef/>
      </w:r>
      <w:r>
        <w:t xml:space="preserve"> Cross-references for "Mizpah": Gen 31:49.</w:t>
      </w:r>
    </w:p>
  </w:footnote>
  <w:footnote w:id="7667">
    <w:p>
      <w:pPr>
        <w:pStyle w:val="FootnoteText"/>
      </w:pPr>
      <w:r>
        <w:rPr>
          <w:rStyle w:val="FootnoteReference"/>
        </w:rPr>
        <w:footnoteRef/>
      </w:r>
      <w:r>
        <w:t xml:space="preserve"> Personal name: Nethaniah. Personal-name meaning: Nethaniah — the gift of the Lord. Source form: Nethaniah.</w:t>
      </w:r>
    </w:p>
  </w:footnote>
  <w:footnote w:id="7668">
    <w:p>
      <w:pPr>
        <w:pStyle w:val="FootnoteText"/>
      </w:pPr>
      <w:r>
        <w:rPr>
          <w:rStyle w:val="FootnoteReference"/>
        </w:rPr>
        <w:footnoteRef/>
      </w:r>
      <w:r>
        <w:t xml:space="preserve"> Personal name: Johanan. Personal-name meaning: Johanan — who is liberal or merciful. Source form: Johanan.</w:t>
      </w:r>
    </w:p>
  </w:footnote>
  <w:footnote w:id="7669">
    <w:p>
      <w:pPr>
        <w:pStyle w:val="FootnoteText"/>
      </w:pPr>
      <w:r>
        <w:rPr>
          <w:rStyle w:val="FootnoteReference"/>
        </w:rPr>
        <w:footnoteRef/>
      </w:r>
      <w:r>
        <w:t xml:space="preserve"> Transliterated proper noun: Careah. Standard English equivalent: Careah. Source form: Careah. Greek form: καρηε. Name meaning: bald; ice.</w:t>
      </w:r>
    </w:p>
  </w:footnote>
  <w:footnote w:id="7670">
    <w:p>
      <w:pPr>
        <w:pStyle w:val="FootnoteText"/>
      </w:pPr>
      <w:r>
        <w:rPr>
          <w:rStyle w:val="FootnoteReference"/>
        </w:rPr>
        <w:footnoteRef/>
      </w:r>
      <w:r>
        <w:t xml:space="preserve"> Personal name: Tanhumeth. Personal-name meaning: Tanhumeth — consolation; repentance. Source form: Tanhumeth.</w:t>
      </w:r>
    </w:p>
  </w:footnote>
  <w:footnote w:id="7671">
    <w:p>
      <w:pPr>
        <w:pStyle w:val="FootnoteText"/>
      </w:pPr>
      <w:r>
        <w:rPr>
          <w:rStyle w:val="FootnoteReference"/>
        </w:rPr>
        <w:footnoteRef/>
      </w:r>
      <w:r>
        <w:t xml:space="preserve"> Translation note: Greek keeps Massēphath form here. Current line follows it.</w:t>
      </w:r>
    </w:p>
  </w:footnote>
  <w:footnote w:id="7672">
    <w:p>
      <w:pPr>
        <w:pStyle w:val="FootnoteText"/>
      </w:pPr>
      <w:r>
        <w:rPr>
          <w:rStyle w:val="FootnoteReference"/>
        </w:rPr>
        <w:footnoteRef/>
      </w:r>
      <w:r>
        <w:t xml:space="preserve"> Cross-references for "seventh": Zech 7:5; Zech 8:19.</w:t>
      </w:r>
    </w:p>
  </w:footnote>
  <w:footnote w:id="7673">
    <w:p>
      <w:pPr>
        <w:pStyle w:val="FootnoteText"/>
      </w:pPr>
      <w:r>
        <w:rPr>
          <w:rStyle w:val="FootnoteReference"/>
        </w:rPr>
        <w:footnoteRef/>
      </w:r>
      <w:r>
        <w:t xml:space="preserve"> Translation note: The Greek narrative preserves its own place-name form. The translation follows it.</w:t>
      </w:r>
    </w:p>
  </w:footnote>
  <w:footnote w:id="7674">
    <w:p>
      <w:pPr>
        <w:pStyle w:val="FootnoteText"/>
      </w:pPr>
      <w:r>
        <w:rPr>
          <w:rStyle w:val="FootnoteReference"/>
        </w:rPr>
        <w:footnoteRef/>
      </w:r>
      <w:r>
        <w:t xml:space="preserve"> Personal name: Evilmerodach. Personal-name meaning: Evilmerodach — the fool of Merodach; the fool grinds bitterly. Source form: Evilmerodach.</w:t>
      </w:r>
    </w:p>
  </w:footnote>
  <w:footnote w:id="7675">
    <w:p>
      <w:pPr>
        <w:pStyle w:val="FootnoteText"/>
      </w:pPr>
      <w:r>
        <w:rPr>
          <w:rStyle w:val="FootnoteReference"/>
        </w:rPr>
        <w:footnoteRef/>
      </w:r>
      <w:r>
        <w:t xml:space="preserve"> Cross-references for "king of Babylon": Prov 21:1.</w:t>
      </w:r>
    </w:p>
  </w:footnote>
  <w:footnote w:id="7676">
    <w:p>
      <w:pPr>
        <w:pStyle w:val="FootnoteText"/>
      </w:pPr>
      <w:r>
        <w:rPr>
          <w:rStyle w:val="FootnoteReference"/>
        </w:rPr>
        <w:footnoteRef/>
      </w:r>
      <w:r>
        <w:t xml:space="preserve"> Translation note: Greek says lifted up the head of Ioakim.</w:t>
      </w:r>
    </w:p>
  </w:footnote>
  <w:footnote w:id="7677">
    <w:p>
      <w:pPr>
        <w:pStyle w:val="FootnoteText"/>
      </w:pPr>
      <w:r>
        <w:rPr>
          <w:rStyle w:val="FootnoteReference"/>
        </w:rPr>
        <w:footnoteRef/>
      </w:r>
      <w:r>
        <w:t xml:space="preserve"> Cross-references for "changed": Gen 41:14; Gen 41:42.</w:t>
      </w:r>
    </w:p>
  </w:footnote>
  <w:footnote w:id="7678">
    <w:p>
      <w:pPr>
        <w:pStyle w:val="FootnoteText"/>
      </w:pPr>
      <w:r>
        <w:rPr>
          <w:rStyle w:val="FootnoteReference"/>
        </w:rPr>
        <w:footnoteRef/>
      </w:r>
      <w:r>
        <w:t xml:space="preserve"> Translation note: Greek repeats the provision noun for emphasis. Current wording preserves that continuity.</w:t>
      </w:r>
    </w:p>
  </w:footnote>
  <w:footnote w:id="7679">
    <w:p>
      <w:pPr>
        <w:pStyle w:val="FootnoteText"/>
      </w:pPr>
      <w:r>
        <w:rPr>
          <w:rStyle w:val="FootnoteReference"/>
        </w:rPr>
        <w:footnoteRef/>
      </w:r>
      <w:r>
        <w:t xml:space="preserve"> Cross-references for "all the days of his life": Gen 48:15-16.</w:t>
      </w:r>
    </w:p>
  </w:footnote>
  <w:footnote w:id="7680">
    <w:p>
      <w:pPr>
        <w:pStyle w:val="FootnoteText"/>
      </w:pPr>
      <w:r>
        <w:rPr>
          <w:rStyle w:val="FootnoteReference"/>
        </w:rPr>
        <w:footnoteRef/>
      </w:r>
      <w:r>
        <w:t xml:space="preserve"> Cross-references for "Kenan": Gen 5:12-14; Luke 3:37.</w:t>
      </w:r>
    </w:p>
  </w:footnote>
  <w:footnote w:id="7681">
    <w:p>
      <w:pPr>
        <w:pStyle w:val="FootnoteText"/>
      </w:pPr>
      <w:r>
        <w:rPr>
          <w:rStyle w:val="FootnoteReference"/>
        </w:rPr>
        <w:footnoteRef/>
      </w:r>
      <w:r>
        <w:t xml:space="preserve"> Cross-references for "Methuselah": Gen 5:25-27; Luke 3:37.</w:t>
      </w:r>
    </w:p>
  </w:footnote>
  <w:footnote w:id="7682">
    <w:p>
      <w:pPr>
        <w:pStyle w:val="FootnoteText"/>
      </w:pPr>
      <w:r>
        <w:rPr>
          <w:rStyle w:val="FootnoteReference"/>
        </w:rPr>
        <w:footnoteRef/>
      </w:r>
      <w:r>
        <w:t xml:space="preserve"> Cross-references for "Noah": Gen 5:32; Gen 6:8-9.</w:t>
      </w:r>
    </w:p>
  </w:footnote>
  <w:footnote w:id="7683">
    <w:p>
      <w:pPr>
        <w:pStyle w:val="FootnoteText"/>
      </w:pPr>
      <w:r>
        <w:rPr>
          <w:rStyle w:val="FootnoteReference"/>
        </w:rPr>
        <w:footnoteRef/>
      </w:r>
      <w:r>
        <w:t xml:space="preserve"> Cross-references for "Tarshish": Ps 72:10; Isa 66:19.</w:t>
      </w:r>
    </w:p>
  </w:footnote>
  <w:footnote w:id="7684">
    <w:p>
      <w:pPr>
        <w:pStyle w:val="FootnoteText"/>
      </w:pPr>
      <w:r>
        <w:rPr>
          <w:rStyle w:val="FootnoteReference"/>
        </w:rPr>
        <w:footnoteRef/>
      </w:r>
      <w:r>
        <w:t xml:space="preserve"> Cross-references for "Sabta": Gen 10:7.</w:t>
      </w:r>
    </w:p>
  </w:footnote>
  <w:footnote w:id="7685">
    <w:p>
      <w:pPr>
        <w:pStyle w:val="FootnoteText"/>
      </w:pPr>
      <w:r>
        <w:rPr>
          <w:rStyle w:val="FootnoteReference"/>
        </w:rPr>
        <w:footnoteRef/>
      </w:r>
      <w:r>
        <w:t xml:space="preserve"> Cross-references for "Sons of Shem": Gen 10:22-32; Gen 11:10.</w:t>
      </w:r>
    </w:p>
  </w:footnote>
  <w:footnote w:id="7686">
    <w:p>
      <w:pPr>
        <w:pStyle w:val="FootnoteText"/>
      </w:pPr>
      <w:r>
        <w:rPr>
          <w:rStyle w:val="FootnoteReference"/>
        </w:rPr>
        <w:footnoteRef/>
      </w:r>
      <w:r>
        <w:t xml:space="preserve"> MT/LXX note: MT 1 Chronicles 1:11-16 is not present at this LXX-numbered point in the Greek source used here. This edition resumes with the sons of Shem.</w:t>
      </w:r>
    </w:p>
  </w:footnote>
  <w:footnote w:id="7687">
    <w:p>
      <w:pPr>
        <w:pStyle w:val="FootnoteText"/>
      </w:pPr>
      <w:r>
        <w:rPr>
          <w:rStyle w:val="FootnoteReference"/>
        </w:rPr>
        <w:footnoteRef/>
      </w:r>
      <w:r>
        <w:t xml:space="preserve"> Cross-references for "Shelah": Luke 3:35.</w:t>
      </w:r>
    </w:p>
  </w:footnote>
  <w:footnote w:id="7688">
    <w:p>
      <w:pPr>
        <w:pStyle w:val="FootnoteText"/>
      </w:pPr>
      <w:r>
        <w:rPr>
          <w:rStyle w:val="FootnoteReference"/>
        </w:rPr>
        <w:footnoteRef/>
      </w:r>
      <w:r>
        <w:t xml:space="preserve"> MT/LXX note: MT 1 Chronicles 1:18-23 is not present at this LXX-numbered point in the Greek source used here. This edition resumes with Shelah.</w:t>
      </w:r>
    </w:p>
  </w:footnote>
  <w:footnote w:id="7689">
    <w:p>
      <w:pPr>
        <w:pStyle w:val="FootnoteText"/>
      </w:pPr>
      <w:r>
        <w:rPr>
          <w:rStyle w:val="FootnoteReference"/>
        </w:rPr>
        <w:footnoteRef/>
      </w:r>
      <w:r>
        <w:t xml:space="preserve"> Cross-references for "Eber": Luke 3:35.</w:t>
      </w:r>
    </w:p>
  </w:footnote>
  <w:footnote w:id="7690">
    <w:p>
      <w:pPr>
        <w:pStyle w:val="FootnoteText"/>
      </w:pPr>
      <w:r>
        <w:rPr>
          <w:rStyle w:val="FootnoteReference"/>
        </w:rPr>
        <w:footnoteRef/>
      </w:r>
      <w:r>
        <w:t xml:space="preserve"> Cross-references for "Serug": Luke 3:35.</w:t>
      </w:r>
    </w:p>
  </w:footnote>
  <w:footnote w:id="7691">
    <w:p>
      <w:pPr>
        <w:pStyle w:val="FootnoteText"/>
      </w:pPr>
      <w:r>
        <w:rPr>
          <w:rStyle w:val="FootnoteReference"/>
        </w:rPr>
        <w:footnoteRef/>
      </w:r>
      <w:r>
        <w:t xml:space="preserve"> Cross-references for "Isaac": Gen 17:19-21; Gen 21:2-5.</w:t>
      </w:r>
    </w:p>
  </w:footnote>
  <w:footnote w:id="7692">
    <w:p>
      <w:pPr>
        <w:pStyle w:val="FootnoteText"/>
      </w:pPr>
      <w:r>
        <w:rPr>
          <w:rStyle w:val="FootnoteReference"/>
        </w:rPr>
        <w:footnoteRef/>
      </w:r>
      <w:r>
        <w:t xml:space="preserve"> Cross-references for "the firstborn": Gen 25:12-16.</w:t>
      </w:r>
    </w:p>
  </w:footnote>
  <w:footnote w:id="7693">
    <w:p>
      <w:pPr>
        <w:pStyle w:val="FootnoteText"/>
      </w:pPr>
      <w:r>
        <w:rPr>
          <w:rStyle w:val="FootnoteReference"/>
        </w:rPr>
        <w:footnoteRef/>
      </w:r>
      <w:r>
        <w:t xml:space="preserve"> Cross-references for "Hadad": Gen 25:15.</w:t>
      </w:r>
    </w:p>
  </w:footnote>
  <w:footnote w:id="7694">
    <w:p>
      <w:pPr>
        <w:pStyle w:val="FootnoteText"/>
      </w:pPr>
      <w:r>
        <w:rPr>
          <w:rStyle w:val="FootnoteReference"/>
        </w:rPr>
        <w:footnoteRef/>
      </w:r>
      <w:r>
        <w:t xml:space="preserve"> Cross-references for "Jetur": Gen 25:15.</w:t>
      </w:r>
    </w:p>
  </w:footnote>
  <w:footnote w:id="7695">
    <w:p>
      <w:pPr>
        <w:pStyle w:val="FootnoteText"/>
      </w:pPr>
      <w:r>
        <w:rPr>
          <w:rStyle w:val="FootnoteReference"/>
        </w:rPr>
        <w:footnoteRef/>
      </w:r>
      <w:r>
        <w:t xml:space="preserve"> Cross-references for "Midian": Gen 37:28; Exod 2:15-16.</w:t>
      </w:r>
    </w:p>
  </w:footnote>
  <w:footnote w:id="7696">
    <w:p>
      <w:pPr>
        <w:pStyle w:val="FootnoteText"/>
      </w:pPr>
      <w:r>
        <w:rPr>
          <w:rStyle w:val="FootnoteReference"/>
        </w:rPr>
        <w:footnoteRef/>
      </w:r>
      <w:r>
        <w:t xml:space="preserve"> Cross-references for "Ephah": Isa 60:6.</w:t>
      </w:r>
    </w:p>
  </w:footnote>
  <w:footnote w:id="7697">
    <w:p>
      <w:pPr>
        <w:pStyle w:val="FootnoteText"/>
      </w:pPr>
      <w:r>
        <w:rPr>
          <w:rStyle w:val="FootnoteReference"/>
        </w:rPr>
        <w:footnoteRef/>
      </w:r>
      <w:r>
        <w:t xml:space="preserve"> Personal name: Abida. Personal-name meaning: Abida — father of knowledge. Source form: Abida.</w:t>
      </w:r>
    </w:p>
  </w:footnote>
  <w:footnote w:id="7698">
    <w:p>
      <w:pPr>
        <w:pStyle w:val="FootnoteText"/>
      </w:pPr>
      <w:r>
        <w:rPr>
          <w:rStyle w:val="FootnoteReference"/>
        </w:rPr>
        <w:footnoteRef/>
      </w:r>
      <w:r>
        <w:t xml:space="preserve"> Cross-references for "Abraham": Gen 21:2-3; Matt 1:2.</w:t>
      </w:r>
    </w:p>
  </w:footnote>
  <w:footnote w:id="7699">
    <w:p>
      <w:pPr>
        <w:pStyle w:val="FootnoteText"/>
      </w:pPr>
      <w:r>
        <w:rPr>
          <w:rStyle w:val="FootnoteReference"/>
        </w:rPr>
        <w:footnoteRef/>
      </w:r>
      <w:r>
        <w:t xml:space="preserve"> Translation note: Greek compresses this genealogy into a short summary line. Current wording preserves it.</w:t>
      </w:r>
    </w:p>
  </w:footnote>
  <w:footnote w:id="7700">
    <w:p>
      <w:pPr>
        <w:pStyle w:val="FootnoteText"/>
      </w:pPr>
      <w:r>
        <w:rPr>
          <w:rStyle w:val="FootnoteReference"/>
        </w:rPr>
        <w:footnoteRef/>
      </w:r>
      <w:r>
        <w:t xml:space="preserve"> Cross-references for "Sons of Esau": Gen 36:4-5; Gen 36:9-10.</w:t>
      </w:r>
    </w:p>
  </w:footnote>
  <w:footnote w:id="7701">
    <w:p>
      <w:pPr>
        <w:pStyle w:val="FootnoteText"/>
      </w:pPr>
      <w:r>
        <w:rPr>
          <w:rStyle w:val="FootnoteReference"/>
        </w:rPr>
        <w:footnoteRef/>
      </w:r>
      <w:r>
        <w:t xml:space="preserve"> Cross-references for "Teman": Gen 36:11-15; 1Chr 1:53.</w:t>
      </w:r>
    </w:p>
  </w:footnote>
  <w:footnote w:id="7702">
    <w:p>
      <w:pPr>
        <w:pStyle w:val="FootnoteText"/>
      </w:pPr>
      <w:r>
        <w:rPr>
          <w:rStyle w:val="FootnoteReference"/>
        </w:rPr>
        <w:footnoteRef/>
      </w:r>
      <w:r>
        <w:t xml:space="preserve"> Cross-references for "Reuel": Gen 36:4.</w:t>
      </w:r>
    </w:p>
  </w:footnote>
  <w:footnote w:id="7703">
    <w:p>
      <w:pPr>
        <w:pStyle w:val="FootnoteText"/>
      </w:pPr>
      <w:r>
        <w:rPr>
          <w:rStyle w:val="FootnoteReference"/>
        </w:rPr>
        <w:footnoteRef/>
      </w:r>
      <w:r>
        <w:t xml:space="preserve"> Transliterated proper noun: Alian. Standard English equivalent: Alian. Source form: Alian. Greek form: αια. Name meaning: high.</w:t>
      </w:r>
    </w:p>
  </w:footnote>
  <w:footnote w:id="7704">
    <w:p>
      <w:pPr>
        <w:pStyle w:val="FootnoteText"/>
      </w:pPr>
      <w:r>
        <w:rPr>
          <w:rStyle w:val="FootnoteReference"/>
        </w:rPr>
        <w:footnoteRef/>
      </w:r>
      <w:r>
        <w:t xml:space="preserve"> Transliterated proper noun: Shephi. Standard English equivalent: Shephi. Source form: Shephi. Name meaning: beholder; honeycomb; garment.</w:t>
      </w:r>
    </w:p>
  </w:footnote>
  <w:footnote w:id="7705">
    <w:p>
      <w:pPr>
        <w:pStyle w:val="FootnoteText"/>
      </w:pPr>
      <w:r>
        <w:rPr>
          <w:rStyle w:val="FootnoteReference"/>
        </w:rPr>
        <w:footnoteRef/>
      </w:r>
      <w:r>
        <w:t xml:space="preserve"> Cross-references for "Alian": Gen 36:23.</w:t>
      </w:r>
    </w:p>
  </w:footnote>
  <w:footnote w:id="7706">
    <w:p>
      <w:pPr>
        <w:pStyle w:val="FootnoteText"/>
      </w:pPr>
      <w:r>
        <w:rPr>
          <w:rStyle w:val="FootnoteReference"/>
        </w:rPr>
        <w:footnoteRef/>
      </w:r>
      <w:r>
        <w:t xml:space="preserve"> Personal name: Bilhan. Personal-name meaning: Bilhan — who is old or confused. Source form: Bilhan.</w:t>
      </w:r>
    </w:p>
  </w:footnote>
  <w:footnote w:id="7707">
    <w:p>
      <w:pPr>
        <w:pStyle w:val="FootnoteText"/>
      </w:pPr>
      <w:r>
        <w:rPr>
          <w:rStyle w:val="FootnoteReference"/>
        </w:rPr>
        <w:footnoteRef/>
      </w:r>
      <w:r>
        <w:t xml:space="preserve"> Transliterated proper noun: Jakan. Standard English equivalent: Jakan. Source form: Jakan. Greek form: ιωκαν. Name meaning: he that troubleth.</w:t>
      </w:r>
    </w:p>
  </w:footnote>
  <w:footnote w:id="7708">
    <w:p>
      <w:pPr>
        <w:pStyle w:val="FootnoteText"/>
      </w:pPr>
      <w:r>
        <w:rPr>
          <w:rStyle w:val="FootnoteReference"/>
        </w:rPr>
        <w:footnoteRef/>
      </w:r>
      <w:r>
        <w:t xml:space="preserve"> Cross-references for "Jakan": Gen 10:23; Gen 36:28.</w:t>
      </w:r>
    </w:p>
  </w:footnote>
  <w:footnote w:id="7709">
    <w:p>
      <w:pPr>
        <w:pStyle w:val="FootnoteText"/>
      </w:pPr>
      <w:r>
        <w:rPr>
          <w:rStyle w:val="FootnoteReference"/>
        </w:rPr>
        <w:footnoteRef/>
      </w:r>
      <w:r>
        <w:t xml:space="preserve"> Cross-references for "Bozrah": Isa 34:6; Isa 63:1.</w:t>
      </w:r>
    </w:p>
  </w:footnote>
  <w:footnote w:id="7710">
    <w:p>
      <w:pPr>
        <w:pStyle w:val="FootnoteText"/>
      </w:pPr>
      <w:r>
        <w:rPr>
          <w:rStyle w:val="FootnoteReference"/>
        </w:rPr>
        <w:footnoteRef/>
      </w:r>
      <w:r>
        <w:t xml:space="preserve"> Cross-references for "Jobab": Gen 10:29.</w:t>
      </w:r>
    </w:p>
  </w:footnote>
  <w:footnote w:id="7711">
    <w:p>
      <w:pPr>
        <w:pStyle w:val="FootnoteText"/>
      </w:pPr>
      <w:r>
        <w:rPr>
          <w:rStyle w:val="FootnoteReference"/>
        </w:rPr>
        <w:footnoteRef/>
      </w:r>
      <w:r>
        <w:t xml:space="preserve"> Cross-references for "Hadad": Gen 36:35.</w:t>
      </w:r>
    </w:p>
  </w:footnote>
  <w:footnote w:id="7712">
    <w:p>
      <w:pPr>
        <w:pStyle w:val="FootnoteText"/>
      </w:pPr>
      <w:r>
        <w:rPr>
          <w:rStyle w:val="FootnoteReference"/>
        </w:rPr>
        <w:footnoteRef/>
      </w:r>
      <w:r>
        <w:t xml:space="preserve"> Cross-references for "Samlah": Gen 36:36.</w:t>
      </w:r>
    </w:p>
  </w:footnote>
  <w:footnote w:id="7713">
    <w:p>
      <w:pPr>
        <w:pStyle w:val="FootnoteText"/>
      </w:pPr>
      <w:r>
        <w:rPr>
          <w:rStyle w:val="FootnoteReference"/>
        </w:rPr>
        <w:footnoteRef/>
      </w:r>
      <w:r>
        <w:t xml:space="preserve"> Cross-references for "Achbor": Gen 36:38.</w:t>
      </w:r>
    </w:p>
  </w:footnote>
  <w:footnote w:id="7714">
    <w:p>
      <w:pPr>
        <w:pStyle w:val="FootnoteText"/>
      </w:pPr>
      <w:r>
        <w:rPr>
          <w:rStyle w:val="FootnoteReference"/>
        </w:rPr>
        <w:footnoteRef/>
      </w:r>
      <w:r>
        <w:t xml:space="preserve"> Cross-references for "Hadad": Gen 36:39.</w:t>
      </w:r>
    </w:p>
  </w:footnote>
  <w:footnote w:id="7715">
    <w:p>
      <w:pPr>
        <w:pStyle w:val="FootnoteText"/>
      </w:pPr>
      <w:r>
        <w:rPr>
          <w:rStyle w:val="FootnoteReference"/>
        </w:rPr>
        <w:footnoteRef/>
      </w:r>
      <w:r>
        <w:t xml:space="preserve"> Personal name: Jetheth. Personal-name meaning: Jetheth — giving. Source form: Jetheth.</w:t>
      </w:r>
    </w:p>
  </w:footnote>
  <w:footnote w:id="7716">
    <w:p>
      <w:pPr>
        <w:pStyle w:val="FootnoteText"/>
      </w:pPr>
      <w:r>
        <w:rPr>
          <w:rStyle w:val="FootnoteReference"/>
        </w:rPr>
        <w:footnoteRef/>
      </w:r>
      <w:r>
        <w:t xml:space="preserve"> Cross-references for "Kenaz": Gen 36:11.</w:t>
      </w:r>
    </w:p>
  </w:footnote>
  <w:footnote w:id="7717">
    <w:p>
      <w:pPr>
        <w:pStyle w:val="FootnoteText"/>
      </w:pPr>
      <w:r>
        <w:rPr>
          <w:rStyle w:val="FootnoteReference"/>
        </w:rPr>
        <w:footnoteRef/>
      </w:r>
      <w:r>
        <w:t xml:space="preserve"> Personal name: Iram. Personal-name meaning: Iram — the effusion of them; a high heap. Source form: Iram.</w:t>
      </w:r>
    </w:p>
  </w:footnote>
  <w:footnote w:id="7718">
    <w:p>
      <w:pPr>
        <w:pStyle w:val="FootnoteText"/>
      </w:pPr>
      <w:r>
        <w:rPr>
          <w:rStyle w:val="FootnoteReference"/>
        </w:rPr>
        <w:footnoteRef/>
      </w:r>
      <w:r>
        <w:t xml:space="preserve"> Translation note: Greek opens with a compact name-heading formula. Current wording preserves that register line.</w:t>
      </w:r>
    </w:p>
  </w:footnote>
  <w:footnote w:id="7719">
    <w:p>
      <w:pPr>
        <w:pStyle w:val="FootnoteText"/>
      </w:pPr>
      <w:r>
        <w:rPr>
          <w:rStyle w:val="FootnoteReference"/>
        </w:rPr>
        <w:footnoteRef/>
      </w:r>
      <w:r>
        <w:t xml:space="preserve"> Cross-references for "Israel": Gen 32:28; Gen 49:2.</w:t>
      </w:r>
    </w:p>
  </w:footnote>
  <w:footnote w:id="7720">
    <w:p>
      <w:pPr>
        <w:pStyle w:val="FootnoteText"/>
      </w:pPr>
      <w:r>
        <w:rPr>
          <w:rStyle w:val="FootnoteReference"/>
        </w:rPr>
        <w:footnoteRef/>
      </w:r>
      <w:r>
        <w:t xml:space="preserve"> Cross-references for "Joseph": Gen 30:24.</w:t>
      </w:r>
    </w:p>
  </w:footnote>
  <w:footnote w:id="7721">
    <w:p>
      <w:pPr>
        <w:pStyle w:val="FootnoteText"/>
      </w:pPr>
      <w:r>
        <w:rPr>
          <w:rStyle w:val="FootnoteReference"/>
        </w:rPr>
        <w:footnoteRef/>
      </w:r>
      <w:r>
        <w:t xml:space="preserve"> Translation note: Greek gives a terse tribal name list here. Current wording preserves that compact register.</w:t>
      </w:r>
    </w:p>
  </w:footnote>
  <w:footnote w:id="7722">
    <w:p>
      <w:pPr>
        <w:pStyle w:val="FootnoteText"/>
      </w:pPr>
      <w:r>
        <w:rPr>
          <w:rStyle w:val="FootnoteReference"/>
        </w:rPr>
        <w:footnoteRef/>
      </w:r>
      <w:r>
        <w:t xml:space="preserve"> Cross-references for "Tamar": Gen 38:13-30; Ruth 4:12.</w:t>
      </w:r>
    </w:p>
  </w:footnote>
  <w:footnote w:id="7723">
    <w:p>
      <w:pPr>
        <w:pStyle w:val="FootnoteText"/>
      </w:pPr>
      <w:r>
        <w:rPr>
          <w:rStyle w:val="FootnoteReference"/>
        </w:rPr>
        <w:footnoteRef/>
      </w:r>
      <w:r>
        <w:t xml:space="preserve"> Cross-references for "Hezron": Gen 46:12; Num 26:21.</w:t>
      </w:r>
    </w:p>
  </w:footnote>
  <w:footnote w:id="7724">
    <w:p>
      <w:pPr>
        <w:pStyle w:val="FootnoteText"/>
      </w:pPr>
      <w:r>
        <w:rPr>
          <w:rStyle w:val="FootnoteReference"/>
        </w:rPr>
        <w:footnoteRef/>
      </w:r>
      <w:r>
        <w:t xml:space="preserve"> Personal name: Hamul. Personal-name meaning: Hamul — godly; merciful. Source form: Hamul.</w:t>
      </w:r>
    </w:p>
  </w:footnote>
  <w:footnote w:id="7725">
    <w:p>
      <w:pPr>
        <w:pStyle w:val="FootnoteText"/>
      </w:pPr>
      <w:r>
        <w:rPr>
          <w:rStyle w:val="FootnoteReference"/>
        </w:rPr>
        <w:footnoteRef/>
      </w:r>
      <w:r>
        <w:t xml:space="preserve"> Cross-references for "Zimri": Num 25:14; 1Kgs 16:9-10.</w:t>
      </w:r>
    </w:p>
  </w:footnote>
  <w:footnote w:id="7726">
    <w:p>
      <w:pPr>
        <w:pStyle w:val="FootnoteText"/>
      </w:pPr>
      <w:r>
        <w:rPr>
          <w:rStyle w:val="FootnoteReference"/>
        </w:rPr>
        <w:footnoteRef/>
      </w:r>
      <w:r>
        <w:t xml:space="preserve"> Personal name: Calcol. Personal-name meaning: Calcol — nourishing. Source form: Calcol.</w:t>
      </w:r>
    </w:p>
  </w:footnote>
  <w:footnote w:id="7727">
    <w:p>
      <w:pPr>
        <w:pStyle w:val="FootnoteText"/>
      </w:pPr>
      <w:r>
        <w:rPr>
          <w:rStyle w:val="FootnoteReference"/>
        </w:rPr>
        <w:footnoteRef/>
      </w:r>
      <w:r>
        <w:t xml:space="preserve"> Personal name: Dara. Personal-name meaning: Dara — pearl of wisdom; home of knowledge. Source form: Dara.</w:t>
      </w:r>
    </w:p>
  </w:footnote>
  <w:footnote w:id="7728">
    <w:p>
      <w:pPr>
        <w:pStyle w:val="FootnoteText"/>
      </w:pPr>
      <w:r>
        <w:rPr>
          <w:rStyle w:val="FootnoteReference"/>
        </w:rPr>
        <w:footnoteRef/>
      </w:r>
      <w:r>
        <w:t xml:space="preserve"> Cross-references for "Carmi": 1Chr 4:1.</w:t>
      </w:r>
    </w:p>
  </w:footnote>
  <w:footnote w:id="7729">
    <w:p>
      <w:pPr>
        <w:pStyle w:val="FootnoteText"/>
      </w:pPr>
      <w:r>
        <w:rPr>
          <w:rStyle w:val="FootnoteReference"/>
        </w:rPr>
        <w:footnoteRef/>
      </w:r>
      <w:r>
        <w:t xml:space="preserve"> Cross-references for "Ethan": 1Chr 2:6.</w:t>
      </w:r>
    </w:p>
  </w:footnote>
  <w:footnote w:id="7730">
    <w:p>
      <w:pPr>
        <w:pStyle w:val="FootnoteText"/>
      </w:pPr>
      <w:r>
        <w:rPr>
          <w:rStyle w:val="FootnoteReference"/>
        </w:rPr>
        <w:footnoteRef/>
      </w:r>
      <w:r>
        <w:t xml:space="preserve"> Personal name: Jerahmeel. Personal-name meaning: Jerahmeel — the mercy, or the beloved, of God. Source form: Jerahmeel.</w:t>
      </w:r>
    </w:p>
  </w:footnote>
  <w:footnote w:id="7731">
    <w:p>
      <w:pPr>
        <w:pStyle w:val="FootnoteText"/>
      </w:pPr>
      <w:r>
        <w:rPr>
          <w:rStyle w:val="FootnoteReference"/>
        </w:rPr>
        <w:footnoteRef/>
      </w:r>
      <w:r>
        <w:t xml:space="preserve"> Personal name: Ram. Personal-name meaning: Ram — elevated; sublime. Source form: Ram.</w:t>
      </w:r>
    </w:p>
  </w:footnote>
  <w:footnote w:id="7732">
    <w:p>
      <w:pPr>
        <w:pStyle w:val="FootnoteText"/>
      </w:pPr>
      <w:r>
        <w:rPr>
          <w:rStyle w:val="FootnoteReference"/>
        </w:rPr>
        <w:footnoteRef/>
      </w:r>
      <w:r>
        <w:t xml:space="preserve"> Cross-references for "Jerahmeel": 1Chr 2:25-33.</w:t>
      </w:r>
    </w:p>
  </w:footnote>
  <w:footnote w:id="7733">
    <w:p>
      <w:pPr>
        <w:pStyle w:val="FootnoteText"/>
      </w:pPr>
      <w:r>
        <w:rPr>
          <w:rStyle w:val="FootnoteReference"/>
        </w:rPr>
        <w:footnoteRef/>
      </w:r>
      <w:r>
        <w:t xml:space="preserve"> Cross-references for "Amminadab": Ruth 4:19-20; Matt 1:4.</w:t>
      </w:r>
    </w:p>
  </w:footnote>
  <w:footnote w:id="7734">
    <w:p>
      <w:pPr>
        <w:pStyle w:val="FootnoteText"/>
      </w:pPr>
      <w:r>
        <w:rPr>
          <w:rStyle w:val="FootnoteReference"/>
        </w:rPr>
        <w:footnoteRef/>
      </w:r>
      <w:r>
        <w:t xml:space="preserve"> Cross-references for "Jesse": Ruth 4:22; 1Sam 16:1.</w:t>
      </w:r>
    </w:p>
  </w:footnote>
  <w:footnote w:id="7735">
    <w:p>
      <w:pPr>
        <w:pStyle w:val="FootnoteText"/>
      </w:pPr>
      <w:r>
        <w:rPr>
          <w:rStyle w:val="FootnoteReference"/>
        </w:rPr>
        <w:footnoteRef/>
      </w:r>
      <w:r>
        <w:t xml:space="preserve"> Cross-references for "his firstborn": 1Sam 16:6-13; 1Sam 17:13.</w:t>
      </w:r>
    </w:p>
  </w:footnote>
  <w:footnote w:id="7736">
    <w:p>
      <w:pPr>
        <w:pStyle w:val="FootnoteText"/>
      </w:pPr>
      <w:r>
        <w:rPr>
          <w:rStyle w:val="FootnoteReference"/>
        </w:rPr>
        <w:footnoteRef/>
      </w:r>
      <w:r>
        <w:t xml:space="preserve"> Transliterated proper noun: Shimma. Standard English equivalent: Shimma. Source form: Shimma. Greek form: σαμαα. Name meaning: that hears, or obeys; perdition.</w:t>
      </w:r>
    </w:p>
  </w:footnote>
  <w:footnote w:id="7737">
    <w:p>
      <w:pPr>
        <w:pStyle w:val="FootnoteText"/>
      </w:pPr>
      <w:r>
        <w:rPr>
          <w:rStyle w:val="FootnoteReference"/>
        </w:rPr>
        <w:footnoteRef/>
      </w:r>
      <w:r>
        <w:t xml:space="preserve"> Personal name: Nathanael. Personal-name meaning: Nathanael — the gift of God. Source form: Nathanael.</w:t>
      </w:r>
    </w:p>
  </w:footnote>
  <w:footnote w:id="7738">
    <w:p>
      <w:pPr>
        <w:pStyle w:val="FootnoteText"/>
      </w:pPr>
      <w:r>
        <w:rPr>
          <w:rStyle w:val="FootnoteReference"/>
        </w:rPr>
        <w:footnoteRef/>
      </w:r>
      <w:r>
        <w:t xml:space="preserve"> Personal name: Raddai. Personal-name meaning: Raddai — ruling; coming down. Source form: Raddai.</w:t>
      </w:r>
    </w:p>
  </w:footnote>
  <w:footnote w:id="7739">
    <w:p>
      <w:pPr>
        <w:pStyle w:val="FootnoteText"/>
      </w:pPr>
      <w:r>
        <w:rPr>
          <w:rStyle w:val="FootnoteReference"/>
        </w:rPr>
        <w:footnoteRef/>
      </w:r>
      <w:r>
        <w:t xml:space="preserve"> Personal name: Ozem. Personal-name meaning: Ozem — that fasts; their eagerness. Source form: Ozem.</w:t>
      </w:r>
    </w:p>
  </w:footnote>
  <w:footnote w:id="7740">
    <w:p>
      <w:pPr>
        <w:pStyle w:val="FootnoteText"/>
      </w:pPr>
      <w:r>
        <w:rPr>
          <w:rStyle w:val="FootnoteReference"/>
        </w:rPr>
        <w:footnoteRef/>
      </w:r>
      <w:r>
        <w:t xml:space="preserve"> Cross-references for "David": 1Sam 16:10-11; 1Sam 17:12-14.</w:t>
      </w:r>
    </w:p>
  </w:footnote>
  <w:footnote w:id="7741">
    <w:p>
      <w:pPr>
        <w:pStyle w:val="FootnoteText"/>
      </w:pPr>
      <w:r>
        <w:rPr>
          <w:rStyle w:val="FootnoteReference"/>
        </w:rPr>
        <w:footnoteRef/>
      </w:r>
      <w:r>
        <w:t xml:space="preserve"> Cross-references for "Amasa": 2Sam 17:25; 2Sam 19:13.</w:t>
      </w:r>
    </w:p>
  </w:footnote>
  <w:footnote w:id="7742">
    <w:p>
      <w:pPr>
        <w:pStyle w:val="FootnoteText"/>
      </w:pPr>
      <w:r>
        <w:rPr>
          <w:rStyle w:val="FootnoteReference"/>
        </w:rPr>
        <w:footnoteRef/>
      </w:r>
      <w:r>
        <w:t xml:space="preserve"> Transliterated proper noun: Iothor. Standard English equivalent: Jether. Source form: Iothor. Greek form: ιοθορ. Name meaning: he that excels.</w:t>
      </w:r>
    </w:p>
  </w:footnote>
  <w:footnote w:id="7743">
    <w:p>
      <w:pPr>
        <w:pStyle w:val="FootnoteText"/>
      </w:pPr>
      <w:r>
        <w:rPr>
          <w:rStyle w:val="FootnoteReference"/>
        </w:rPr>
        <w:footnoteRef/>
      </w:r>
      <w:r>
        <w:t xml:space="preserve"> Cross-references for "Caleb": 1Chr 2:9; 1Chr 2:42.</w:t>
      </w:r>
    </w:p>
  </w:footnote>
  <w:footnote w:id="7744">
    <w:p>
      <w:pPr>
        <w:pStyle w:val="FootnoteText"/>
      </w:pPr>
      <w:r>
        <w:rPr>
          <w:rStyle w:val="FootnoteReference"/>
        </w:rPr>
        <w:footnoteRef/>
      </w:r>
      <w:r>
        <w:t xml:space="preserve"> Personal name: Jerioth. Personal-name meaning: Jerioth — kettles; breaking asunder. Source form: Jerioth.</w:t>
      </w:r>
    </w:p>
  </w:footnote>
  <w:footnote w:id="7745">
    <w:p>
      <w:pPr>
        <w:pStyle w:val="FootnoteText"/>
      </w:pPr>
      <w:r>
        <w:rPr>
          <w:rStyle w:val="FootnoteReference"/>
        </w:rPr>
        <w:footnoteRef/>
      </w:r>
      <w:r>
        <w:t xml:space="preserve"> Transliterated proper noun: Ioasar. Standard English equivalent: Jesher. Source form: Ioasar. Greek form: ιωασαρ. Name meaning: right; singing.</w:t>
      </w:r>
    </w:p>
  </w:footnote>
  <w:footnote w:id="7746">
    <w:p>
      <w:pPr>
        <w:pStyle w:val="FootnoteText"/>
      </w:pPr>
      <w:r>
        <w:rPr>
          <w:rStyle w:val="FootnoteReference"/>
        </w:rPr>
        <w:footnoteRef/>
      </w:r>
      <w:r>
        <w:t xml:space="preserve"> Personal name: Ephrath. Personal-name meaning: Ephrath — abundance; bearing fruit. Source form: Ephrath.</w:t>
      </w:r>
    </w:p>
  </w:footnote>
  <w:footnote w:id="7747">
    <w:p>
      <w:pPr>
        <w:pStyle w:val="FootnoteText"/>
      </w:pPr>
      <w:r>
        <w:rPr>
          <w:rStyle w:val="FootnoteReference"/>
        </w:rPr>
        <w:footnoteRef/>
      </w:r>
      <w:r>
        <w:t xml:space="preserve"> Cross-references for "Ephrath": 1Chr 2:24; 1Chr 2:50.</w:t>
      </w:r>
    </w:p>
  </w:footnote>
  <w:footnote w:id="7748">
    <w:p>
      <w:pPr>
        <w:pStyle w:val="FootnoteText"/>
      </w:pPr>
      <w:r>
        <w:rPr>
          <w:rStyle w:val="FootnoteReference"/>
        </w:rPr>
        <w:footnoteRef/>
      </w:r>
      <w:r>
        <w:t xml:space="preserve"> Cross-references for "Machir": Gen 50:23; Num 26:29.</w:t>
      </w:r>
    </w:p>
  </w:footnote>
  <w:footnote w:id="7749">
    <w:p>
      <w:pPr>
        <w:pStyle w:val="FootnoteText"/>
      </w:pPr>
      <w:r>
        <w:rPr>
          <w:rStyle w:val="FootnoteReference"/>
        </w:rPr>
        <w:footnoteRef/>
      </w:r>
      <w:r>
        <w:t xml:space="preserve"> Cross-references for "Jair": Num 32:41; Deut 3:14.</w:t>
      </w:r>
    </w:p>
  </w:footnote>
  <w:footnote w:id="7750">
    <w:p>
      <w:pPr>
        <w:pStyle w:val="FootnoteText"/>
      </w:pPr>
      <w:r>
        <w:rPr>
          <w:rStyle w:val="FootnoteReference"/>
        </w:rPr>
        <w:footnoteRef/>
      </w:r>
      <w:r>
        <w:t xml:space="preserve"> Cross-references for "Geshur": Josh 13:13; 2Sam 13:38.</w:t>
      </w:r>
    </w:p>
  </w:footnote>
  <w:footnote w:id="7751">
    <w:p>
      <w:pPr>
        <w:pStyle w:val="FootnoteText"/>
      </w:pPr>
      <w:r>
        <w:rPr>
          <w:rStyle w:val="FootnoteReference"/>
        </w:rPr>
        <w:footnoteRef/>
      </w:r>
      <w:r>
        <w:t xml:space="preserve"> Transliterated proper noun: Ashur. Standard English equivalent: Ashur. Source form: Ashur. Greek form: ασχωδ. Name meaning: who is happy; or walks; or looks.</w:t>
      </w:r>
    </w:p>
  </w:footnote>
  <w:footnote w:id="7752">
    <w:p>
      <w:pPr>
        <w:pStyle w:val="FootnoteText"/>
      </w:pPr>
      <w:r>
        <w:rPr>
          <w:rStyle w:val="FootnoteReference"/>
        </w:rPr>
        <w:footnoteRef/>
      </w:r>
      <w:r>
        <w:t xml:space="preserve"> Cross-references for "Ashur": 1Chr 4:5.</w:t>
      </w:r>
    </w:p>
  </w:footnote>
  <w:footnote w:id="7753">
    <w:p>
      <w:pPr>
        <w:pStyle w:val="FootnoteText"/>
      </w:pPr>
      <w:r>
        <w:rPr>
          <w:rStyle w:val="FootnoteReference"/>
        </w:rPr>
        <w:footnoteRef/>
      </w:r>
      <w:r>
        <w:t xml:space="preserve"> Cross-references for "Jerahmeel": 1Chr 2:9.</w:t>
      </w:r>
    </w:p>
  </w:footnote>
  <w:footnote w:id="7754">
    <w:p>
      <w:pPr>
        <w:pStyle w:val="FootnoteText"/>
      </w:pPr>
      <w:r>
        <w:rPr>
          <w:rStyle w:val="FootnoteReference"/>
        </w:rPr>
        <w:footnoteRef/>
      </w:r>
      <w:r>
        <w:t xml:space="preserve"> Personal name: Atarah. Personal-name meaning: Atarah — a crown. Source form: Atarah.</w:t>
      </w:r>
    </w:p>
  </w:footnote>
  <w:footnote w:id="7755">
    <w:p>
      <w:pPr>
        <w:pStyle w:val="FootnoteText"/>
      </w:pPr>
      <w:r>
        <w:rPr>
          <w:rStyle w:val="FootnoteReference"/>
        </w:rPr>
        <w:footnoteRef/>
      </w:r>
      <w:r>
        <w:t xml:space="preserve"> Personal name: Maaz. Personal-name meaning: Maaz — wood; wooden. Source form: Maaz.</w:t>
      </w:r>
    </w:p>
  </w:footnote>
  <w:footnote w:id="7756">
    <w:p>
      <w:pPr>
        <w:pStyle w:val="FootnoteText"/>
      </w:pPr>
      <w:r>
        <w:rPr>
          <w:rStyle w:val="FootnoteReference"/>
        </w:rPr>
        <w:footnoteRef/>
      </w:r>
      <w:r>
        <w:t xml:space="preserve"> Personal name: Eker. Personal-name meaning: Eker — barren, feeble. Source form: Eker.</w:t>
      </w:r>
    </w:p>
  </w:footnote>
  <w:footnote w:id="7757">
    <w:p>
      <w:pPr>
        <w:pStyle w:val="FootnoteText"/>
      </w:pPr>
      <w:r>
        <w:rPr>
          <w:rStyle w:val="FootnoteReference"/>
        </w:rPr>
        <w:footnoteRef/>
      </w:r>
      <w:r>
        <w:t xml:space="preserve"> Cross-references for "Onam": 1Chr 2:26.</w:t>
      </w:r>
    </w:p>
  </w:footnote>
  <w:footnote w:id="7758">
    <w:p>
      <w:pPr>
        <w:pStyle w:val="FootnoteText"/>
      </w:pPr>
      <w:r>
        <w:rPr>
          <w:rStyle w:val="FootnoteReference"/>
        </w:rPr>
        <w:footnoteRef/>
      </w:r>
      <w:r>
        <w:t xml:space="preserve"> Personal name: Shammai. Personal-name meaning: Shammai — my name; my desolations. Source form: Shammai.</w:t>
      </w:r>
    </w:p>
  </w:footnote>
  <w:footnote w:id="7759">
    <w:p>
      <w:pPr>
        <w:pStyle w:val="FootnoteText"/>
      </w:pPr>
      <w:r>
        <w:rPr>
          <w:rStyle w:val="FootnoteReference"/>
        </w:rPr>
        <w:footnoteRef/>
      </w:r>
      <w:r>
        <w:t xml:space="preserve"> Personal name: Jedaiah. Personal-name meaning: Jedaiah — the hand of the Lord; confessing the Lord. Source form: Jedaiah.</w:t>
      </w:r>
    </w:p>
  </w:footnote>
  <w:footnote w:id="7760">
    <w:p>
      <w:pPr>
        <w:pStyle w:val="FootnoteText"/>
      </w:pPr>
      <w:r>
        <w:rPr>
          <w:rStyle w:val="FootnoteReference"/>
        </w:rPr>
        <w:footnoteRef/>
      </w:r>
      <w:r>
        <w:t xml:space="preserve"> Personal name: Abishur. Personal-name meaning: Abishur — father of the wall; father of uprightness. Source form: Abishur.</w:t>
      </w:r>
    </w:p>
  </w:footnote>
  <w:footnote w:id="7761">
    <w:p>
      <w:pPr>
        <w:pStyle w:val="FootnoteText"/>
      </w:pPr>
      <w:r>
        <w:rPr>
          <w:rStyle w:val="FootnoteReference"/>
        </w:rPr>
        <w:footnoteRef/>
      </w:r>
      <w:r>
        <w:t xml:space="preserve"> Personal name: Molid. Personal-name meaning: Molid — nativity; generation. Source form: Molid.</w:t>
      </w:r>
    </w:p>
  </w:footnote>
  <w:footnote w:id="7762">
    <w:p>
      <w:pPr>
        <w:pStyle w:val="FootnoteText"/>
      </w:pPr>
      <w:r>
        <w:rPr>
          <w:rStyle w:val="FootnoteReference"/>
        </w:rPr>
        <w:footnoteRef/>
      </w:r>
      <w:r>
        <w:t xml:space="preserve"> Cross-references for "Nadab": 1Chr 2:28.</w:t>
      </w:r>
    </w:p>
  </w:footnote>
  <w:footnote w:id="7763">
    <w:p>
      <w:pPr>
        <w:pStyle w:val="FootnoteText"/>
      </w:pPr>
      <w:r>
        <w:rPr>
          <w:rStyle w:val="FootnoteReference"/>
        </w:rPr>
        <w:footnoteRef/>
      </w:r>
      <w:r>
        <w:t xml:space="preserve"> Personal name: Seled. Personal-name meaning: Seled — affliction; warning. Source form: Seled.</w:t>
      </w:r>
    </w:p>
  </w:footnote>
  <w:footnote w:id="7764">
    <w:p>
      <w:pPr>
        <w:pStyle w:val="FootnoteText"/>
      </w:pPr>
      <w:r>
        <w:rPr>
          <w:rStyle w:val="FootnoteReference"/>
        </w:rPr>
        <w:footnoteRef/>
      </w:r>
      <w:r>
        <w:t xml:space="preserve"> Personal name: Appaim. Personal-name meaning: Appaim — face; nostrils. Source form: Appaim.</w:t>
      </w:r>
    </w:p>
  </w:footnote>
  <w:footnote w:id="7765">
    <w:p>
      <w:pPr>
        <w:pStyle w:val="FootnoteText"/>
      </w:pPr>
      <w:r>
        <w:rPr>
          <w:rStyle w:val="FootnoteReference"/>
        </w:rPr>
        <w:footnoteRef/>
      </w:r>
      <w:r>
        <w:t xml:space="preserve"> Personal name: Ishi. Personal-name meaning: Ishi — salvation. Source form: Ishi.</w:t>
      </w:r>
    </w:p>
  </w:footnote>
  <w:footnote w:id="7766">
    <w:p>
      <w:pPr>
        <w:pStyle w:val="FootnoteText"/>
      </w:pPr>
      <w:r>
        <w:rPr>
          <w:rStyle w:val="FootnoteReference"/>
        </w:rPr>
        <w:footnoteRef/>
      </w:r>
      <w:r>
        <w:t xml:space="preserve"> Personal name: Sheshan. Personal-name meaning: Sheshan — lily; rose; joy; flax. Source form: Sheshan.</w:t>
      </w:r>
    </w:p>
  </w:footnote>
  <w:footnote w:id="7767">
    <w:p>
      <w:pPr>
        <w:pStyle w:val="FootnoteText"/>
      </w:pPr>
      <w:r>
        <w:rPr>
          <w:rStyle w:val="FootnoteReference"/>
        </w:rPr>
        <w:footnoteRef/>
      </w:r>
      <w:r>
        <w:t xml:space="preserve"> Personal name: Ahlai. Personal-name meaning: Ahlai — beseeching; sorrowing; expecting. Source form: Ahlai.</w:t>
      </w:r>
    </w:p>
  </w:footnote>
  <w:footnote w:id="7768">
    <w:p>
      <w:pPr>
        <w:pStyle w:val="FootnoteText"/>
      </w:pPr>
      <w:r>
        <w:rPr>
          <w:rStyle w:val="FootnoteReference"/>
        </w:rPr>
        <w:footnoteRef/>
      </w:r>
      <w:r>
        <w:t xml:space="preserve"> Cross-references for "Peleth": Num 16:1.</w:t>
      </w:r>
    </w:p>
  </w:footnote>
  <w:footnote w:id="7769">
    <w:p>
      <w:pPr>
        <w:pStyle w:val="FootnoteText"/>
      </w:pPr>
      <w:r>
        <w:rPr>
          <w:rStyle w:val="FootnoteReference"/>
        </w:rPr>
        <w:footnoteRef/>
      </w:r>
      <w:r>
        <w:t xml:space="preserve"> Personal name: Zaza. Personal-name meaning: Zaza — belonging to all. Source form: Zaza.</w:t>
      </w:r>
    </w:p>
  </w:footnote>
  <w:footnote w:id="7770">
    <w:p>
      <w:pPr>
        <w:pStyle w:val="FootnoteText"/>
      </w:pPr>
      <w:r>
        <w:rPr>
          <w:rStyle w:val="FootnoteReference"/>
        </w:rPr>
        <w:footnoteRef/>
      </w:r>
      <w:r>
        <w:t xml:space="preserve"> Cross-references for "no sons": Num 27:3-4; Num 27:8.</w:t>
      </w:r>
    </w:p>
  </w:footnote>
  <w:footnote w:id="7771">
    <w:p>
      <w:pPr>
        <w:pStyle w:val="FootnoteText"/>
      </w:pPr>
      <w:r>
        <w:rPr>
          <w:rStyle w:val="FootnoteReference"/>
        </w:rPr>
        <w:footnoteRef/>
      </w:r>
      <w:r>
        <w:t xml:space="preserve"> Personal name: Jekuthiel. Personal-name meaning: Jekuthiel — hope, or congregation, of the Lord. Source form: Jekuthiel.</w:t>
      </w:r>
    </w:p>
  </w:footnote>
  <w:footnote w:id="7772">
    <w:p>
      <w:pPr>
        <w:pStyle w:val="FootnoteText"/>
      </w:pPr>
      <w:r>
        <w:rPr>
          <w:rStyle w:val="FootnoteReference"/>
        </w:rPr>
        <w:footnoteRef/>
      </w:r>
      <w:r>
        <w:t xml:space="preserve"> Cross-references for "his daughter": 1Chr 2:31.</w:t>
      </w:r>
    </w:p>
  </w:footnote>
  <w:footnote w:id="7773">
    <w:p>
      <w:pPr>
        <w:pStyle w:val="FootnoteText"/>
      </w:pPr>
      <w:r>
        <w:rPr>
          <w:rStyle w:val="FootnoteReference"/>
        </w:rPr>
        <w:footnoteRef/>
      </w:r>
      <w:r>
        <w:t xml:space="preserve"> Personal name: Attai. Personal-name meaning: Attai — my hour or time. Source form: Attai.</w:t>
      </w:r>
    </w:p>
  </w:footnote>
  <w:footnote w:id="7774">
    <w:p>
      <w:pPr>
        <w:pStyle w:val="FootnoteText"/>
      </w:pPr>
      <w:r>
        <w:rPr>
          <w:rStyle w:val="FootnoteReference"/>
        </w:rPr>
        <w:footnoteRef/>
      </w:r>
      <w:r>
        <w:t xml:space="preserve"> Personal name: Zabad. Personal-name meaning: Zabad — dowry; endowed. Source form: Zabad.</w:t>
      </w:r>
    </w:p>
  </w:footnote>
  <w:footnote w:id="7775">
    <w:p>
      <w:pPr>
        <w:pStyle w:val="FootnoteText"/>
      </w:pPr>
      <w:r>
        <w:rPr>
          <w:rStyle w:val="FootnoteReference"/>
        </w:rPr>
        <w:footnoteRef/>
      </w:r>
      <w:r>
        <w:t xml:space="preserve"> Cross-references for "Zabad": 1Chr 11:41.</w:t>
      </w:r>
    </w:p>
  </w:footnote>
  <w:footnote w:id="7776">
    <w:p>
      <w:pPr>
        <w:pStyle w:val="FootnoteText"/>
      </w:pPr>
      <w:r>
        <w:rPr>
          <w:rStyle w:val="FootnoteReference"/>
        </w:rPr>
        <w:footnoteRef/>
      </w:r>
      <w:r>
        <w:t xml:space="preserve"> Personal name: Ephlal. Personal-name meaning: Ephlal — judging; praying. Source form: Ephlal.</w:t>
      </w:r>
    </w:p>
  </w:footnote>
  <w:footnote w:id="7777">
    <w:p>
      <w:pPr>
        <w:pStyle w:val="FootnoteText"/>
      </w:pPr>
      <w:r>
        <w:rPr>
          <w:rStyle w:val="FootnoteReference"/>
        </w:rPr>
        <w:footnoteRef/>
      </w:r>
      <w:r>
        <w:t xml:space="preserve"> Cross-references for "Obed": Ruth 4:17.</w:t>
      </w:r>
    </w:p>
  </w:footnote>
  <w:footnote w:id="7778">
    <w:p>
      <w:pPr>
        <w:pStyle w:val="FootnoteText"/>
      </w:pPr>
      <w:r>
        <w:rPr>
          <w:rStyle w:val="FootnoteReference"/>
        </w:rPr>
        <w:footnoteRef/>
      </w:r>
      <w:r>
        <w:t xml:space="preserve"> Cross-references for "Jehu": 2Kgs 9:2.</w:t>
      </w:r>
    </w:p>
  </w:footnote>
  <w:footnote w:id="7779">
    <w:p>
      <w:pPr>
        <w:pStyle w:val="FootnoteText"/>
      </w:pPr>
      <w:r>
        <w:rPr>
          <w:rStyle w:val="FootnoteReference"/>
        </w:rPr>
        <w:footnoteRef/>
      </w:r>
      <w:r>
        <w:t xml:space="preserve"> Cross-references for "Helez": 2Sam 23:26.</w:t>
      </w:r>
    </w:p>
  </w:footnote>
  <w:footnote w:id="7780">
    <w:p>
      <w:pPr>
        <w:pStyle w:val="FootnoteText"/>
      </w:pPr>
      <w:r>
        <w:rPr>
          <w:rStyle w:val="FootnoteReference"/>
        </w:rPr>
        <w:footnoteRef/>
      </w:r>
      <w:r>
        <w:t xml:space="preserve"> Personal name: Eleasah. Personal-name meaning: Eleasah — the doings of God. Source form: Eleasah.</w:t>
      </w:r>
    </w:p>
  </w:footnote>
  <w:footnote w:id="7781">
    <w:p>
      <w:pPr>
        <w:pStyle w:val="FootnoteText"/>
      </w:pPr>
      <w:r>
        <w:rPr>
          <w:rStyle w:val="FootnoteReference"/>
        </w:rPr>
        <w:footnoteRef/>
      </w:r>
      <w:r>
        <w:t xml:space="preserve"> Transliterated proper noun: Sisamai. Standard English equivalent: Sisamai. Source form: Sisamai. Greek form: σοσομαι. Name meaning: house; blindness.</w:t>
      </w:r>
    </w:p>
  </w:footnote>
  <w:footnote w:id="7782">
    <w:p>
      <w:pPr>
        <w:pStyle w:val="FootnoteText"/>
      </w:pPr>
      <w:r>
        <w:rPr>
          <w:rStyle w:val="FootnoteReference"/>
        </w:rPr>
        <w:footnoteRef/>
      </w:r>
      <w:r>
        <w:t xml:space="preserve"> Cross-references for "Shallum": 2Kgs 15:10.</w:t>
      </w:r>
    </w:p>
  </w:footnote>
  <w:footnote w:id="7783">
    <w:p>
      <w:pPr>
        <w:pStyle w:val="FootnoteText"/>
      </w:pPr>
      <w:r>
        <w:rPr>
          <w:rStyle w:val="FootnoteReference"/>
        </w:rPr>
        <w:footnoteRef/>
      </w:r>
      <w:r>
        <w:t xml:space="preserve"> Cross-references for "Elishama": Num 1:10; 2Kgs 25:25.</w:t>
      </w:r>
    </w:p>
  </w:footnote>
  <w:footnote w:id="7784">
    <w:p>
      <w:pPr>
        <w:pStyle w:val="FootnoteText"/>
      </w:pPr>
      <w:r>
        <w:rPr>
          <w:rStyle w:val="FootnoteReference"/>
        </w:rPr>
        <w:footnoteRef/>
      </w:r>
      <w:r>
        <w:t xml:space="preserve"> Cross-references for "Caleb": 1Chr 2:9; 1Chr 2:18-19.</w:t>
      </w:r>
    </w:p>
  </w:footnote>
  <w:footnote w:id="7785">
    <w:p>
      <w:pPr>
        <w:pStyle w:val="FootnoteText"/>
      </w:pPr>
      <w:r>
        <w:rPr>
          <w:rStyle w:val="FootnoteReference"/>
        </w:rPr>
        <w:footnoteRef/>
      </w:r>
      <w:r>
        <w:t xml:space="preserve"> Place name: Mareshah. Place-name meaning: Mareshah — from the beginning; an inheritance. Source form: Mareshah. Greek form: μαρισα.</w:t>
      </w:r>
    </w:p>
  </w:footnote>
  <w:footnote w:id="7786">
    <w:p>
      <w:pPr>
        <w:pStyle w:val="FootnoteText"/>
      </w:pPr>
      <w:r>
        <w:rPr>
          <w:rStyle w:val="FootnoteReference"/>
        </w:rPr>
        <w:footnoteRef/>
      </w:r>
      <w:r>
        <w:t xml:space="preserve"> Personal name: Jorkeam. Personal-name meaning: Jorkeam — green people; grasslike folks. Source form: Jorkeam.</w:t>
      </w:r>
    </w:p>
  </w:footnote>
  <w:footnote w:id="7787">
    <w:p>
      <w:pPr>
        <w:pStyle w:val="FootnoteText"/>
      </w:pPr>
      <w:r>
        <w:rPr>
          <w:rStyle w:val="FootnoteReference"/>
        </w:rPr>
        <w:footnoteRef/>
      </w:r>
      <w:r>
        <w:t xml:space="preserve"> Cross-references for "Bethzur": Josh 15:58; 1Chr 6:7.</w:t>
      </w:r>
    </w:p>
  </w:footnote>
  <w:footnote w:id="7788">
    <w:p>
      <w:pPr>
        <w:pStyle w:val="FootnoteText"/>
      </w:pPr>
      <w:r>
        <w:rPr>
          <w:rStyle w:val="FootnoteReference"/>
        </w:rPr>
        <w:footnoteRef/>
      </w:r>
      <w:r>
        <w:t xml:space="preserve"> Personal name: Gazez. Personal-name meaning: Gazez — a passing over. Source form: Gazez.</w:t>
      </w:r>
    </w:p>
  </w:footnote>
  <w:footnote w:id="7789">
    <w:p>
      <w:pPr>
        <w:pStyle w:val="FootnoteText"/>
      </w:pPr>
      <w:r>
        <w:rPr>
          <w:rStyle w:val="FootnoteReference"/>
        </w:rPr>
        <w:footnoteRef/>
      </w:r>
      <w:r>
        <w:t xml:space="preserve"> Personal name: Jahdai. Personal-name meaning: Jahdai — Yah leads. Source form: Jahdai.</w:t>
      </w:r>
    </w:p>
  </w:footnote>
  <w:footnote w:id="7790">
    <w:p>
      <w:pPr>
        <w:pStyle w:val="FootnoteText"/>
      </w:pPr>
      <w:r>
        <w:rPr>
          <w:rStyle w:val="FootnoteReference"/>
        </w:rPr>
        <w:footnoteRef/>
      </w:r>
      <w:r>
        <w:t xml:space="preserve"> Personal name: Regem. Personal-name meaning: Regem — that stones or is stoned; purple. Source form: Regem.</w:t>
      </w:r>
    </w:p>
  </w:footnote>
  <w:footnote w:id="7791">
    <w:p>
      <w:pPr>
        <w:pStyle w:val="FootnoteText"/>
      </w:pPr>
      <w:r>
        <w:rPr>
          <w:rStyle w:val="FootnoteReference"/>
        </w:rPr>
        <w:footnoteRef/>
      </w:r>
      <w:r>
        <w:t xml:space="preserve"> Personal name: Shaaph. Personal-name meaning: Shaaph — division; branch. Source form: Shaaph.</w:t>
      </w:r>
    </w:p>
  </w:footnote>
  <w:footnote w:id="7792">
    <w:p>
      <w:pPr>
        <w:pStyle w:val="FootnoteText"/>
      </w:pPr>
      <w:r>
        <w:rPr>
          <w:rStyle w:val="FootnoteReference"/>
        </w:rPr>
        <w:footnoteRef/>
      </w:r>
      <w:r>
        <w:t xml:space="preserve"> Cross-references for "concubine": Gen 25:5-6; 1Chr 2:46.</w:t>
      </w:r>
    </w:p>
  </w:footnote>
  <w:footnote w:id="7793">
    <w:p>
      <w:pPr>
        <w:pStyle w:val="FootnoteText"/>
      </w:pPr>
      <w:r>
        <w:rPr>
          <w:rStyle w:val="FootnoteReference"/>
        </w:rPr>
        <w:footnoteRef/>
      </w:r>
      <w:r>
        <w:t xml:space="preserve"> Personal name: Sheber. Personal-name meaning: Sheber — breaking; hope. Source form: Sheber.</w:t>
      </w:r>
    </w:p>
  </w:footnote>
  <w:footnote w:id="7794">
    <w:p>
      <w:pPr>
        <w:pStyle w:val="FootnoteText"/>
      </w:pPr>
      <w:r>
        <w:rPr>
          <w:rStyle w:val="FootnoteReference"/>
        </w:rPr>
        <w:footnoteRef/>
      </w:r>
      <w:r>
        <w:t xml:space="preserve"> Transliterated proper noun: Madmannah. Standard English equivalent: Madmannah. Source form: Madmannah. Greek form: μαρμηνα. Name meaning: measure of a gift; preparation of a garment.</w:t>
      </w:r>
    </w:p>
  </w:footnote>
  <w:footnote w:id="7795">
    <w:p>
      <w:pPr>
        <w:pStyle w:val="FootnoteText"/>
      </w:pPr>
      <w:r>
        <w:rPr>
          <w:rStyle w:val="FootnoteReference"/>
        </w:rPr>
        <w:footnoteRef/>
      </w:r>
      <w:r>
        <w:t xml:space="preserve"> Place name: Machbenah. Place-name meaning: Machbenah — poverty; the smiting of his son. Source form: Machbenah. Greek form: μαχαβηνα.</w:t>
      </w:r>
    </w:p>
  </w:footnote>
  <w:footnote w:id="7796">
    <w:p>
      <w:pPr>
        <w:pStyle w:val="FootnoteText"/>
      </w:pPr>
      <w:r>
        <w:rPr>
          <w:rStyle w:val="FootnoteReference"/>
        </w:rPr>
        <w:footnoteRef/>
      </w:r>
      <w:r>
        <w:t xml:space="preserve"> Cross-references for "Kirjathjearim": Josh 15:9; Josh 15:60.</w:t>
      </w:r>
    </w:p>
  </w:footnote>
  <w:footnote w:id="7797">
    <w:p>
      <w:pPr>
        <w:pStyle w:val="FootnoteText"/>
      </w:pPr>
      <w:r>
        <w:rPr>
          <w:rStyle w:val="FootnoteReference"/>
        </w:rPr>
        <w:footnoteRef/>
      </w:r>
      <w:r>
        <w:t xml:space="preserve"> Cross-references for "Bethlehem": Gen 35:19; Ruth 1:19.</w:t>
      </w:r>
    </w:p>
  </w:footnote>
  <w:footnote w:id="7798">
    <w:p>
      <w:pPr>
        <w:pStyle w:val="FootnoteText"/>
      </w:pPr>
      <w:r>
        <w:rPr>
          <w:rStyle w:val="FootnoteReference"/>
        </w:rPr>
        <w:footnoteRef/>
      </w:r>
      <w:r>
        <w:t xml:space="preserve"> Personal name: Hareph. Personal-name meaning: Hareph — winter; reproach. Source form: Hareph.</w:t>
      </w:r>
    </w:p>
  </w:footnote>
  <w:footnote w:id="7799">
    <w:p>
      <w:pPr>
        <w:pStyle w:val="FootnoteText"/>
      </w:pPr>
      <w:r>
        <w:rPr>
          <w:rStyle w:val="FootnoteReference"/>
        </w:rPr>
        <w:footnoteRef/>
      </w:r>
      <w:r>
        <w:t xml:space="preserve"> Transliterated proper noun: Bethgader. Standard English equivalent: Bethgader. Source form: Bethgader. Greek form: βαιθγεδωρ. Name meaning: a house for a mouse.</w:t>
      </w:r>
    </w:p>
  </w:footnote>
  <w:footnote w:id="7800">
    <w:p>
      <w:pPr>
        <w:pStyle w:val="FootnoteText"/>
      </w:pPr>
      <w:r>
        <w:rPr>
          <w:rStyle w:val="FootnoteReference"/>
        </w:rPr>
        <w:footnoteRef/>
      </w:r>
      <w:r>
        <w:t xml:space="preserve"> Personal name: Haroeh. Personal-name meaning: Haroeh — the seer; the watcher. Source form: Haroeh.</w:t>
      </w:r>
    </w:p>
  </w:footnote>
  <w:footnote w:id="7801">
    <w:p>
      <w:pPr>
        <w:pStyle w:val="FootnoteText"/>
      </w:pPr>
      <w:r>
        <w:rPr>
          <w:rStyle w:val="FootnoteReference"/>
        </w:rPr>
        <w:footnoteRef/>
      </w:r>
      <w:r>
        <w:t xml:space="preserve"> Transliterated proper noun: Manahethites. Standard English equivalent: Manahethites. Source form: Manahethites. Greek form: αμμανιθ. Name meaning: my lady; my prince of rest.</w:t>
      </w:r>
    </w:p>
  </w:footnote>
  <w:footnote w:id="7802">
    <w:p>
      <w:pPr>
        <w:pStyle w:val="FootnoteText"/>
      </w:pPr>
      <w:r>
        <w:rPr>
          <w:rStyle w:val="FootnoteReference"/>
        </w:rPr>
        <w:footnoteRef/>
      </w:r>
      <w:r>
        <w:t xml:space="preserve"> Cross-references for "Haroeh": 1Chr 4:2.</w:t>
      </w:r>
    </w:p>
  </w:footnote>
  <w:footnote w:id="7803">
    <w:p>
      <w:pPr>
        <w:pStyle w:val="FootnoteText"/>
      </w:pPr>
      <w:r>
        <w:rPr>
          <w:rStyle w:val="FootnoteReference"/>
        </w:rPr>
        <w:footnoteRef/>
      </w:r>
      <w:r>
        <w:t xml:space="preserve"> People-name: Ithrites. People-name meaning: Ithrite — Jetherite; one who excels. Standard English equivalent: Ithrite. Source form: Ithrites.</w:t>
      </w:r>
    </w:p>
  </w:footnote>
  <w:footnote w:id="7804">
    <w:p>
      <w:pPr>
        <w:pStyle w:val="FootnoteText"/>
      </w:pPr>
      <w:r>
        <w:rPr>
          <w:rStyle w:val="FootnoteReference"/>
        </w:rPr>
        <w:footnoteRef/>
      </w:r>
      <w:r>
        <w:t xml:space="preserve"> Transliterated proper noun: Puhites. Standard English equivalent: Puhites. Source form: Puhites. Greek form: πολις. Name meaning: people of Puvah; splendid branch.</w:t>
      </w:r>
    </w:p>
  </w:footnote>
  <w:footnote w:id="7805">
    <w:p>
      <w:pPr>
        <w:pStyle w:val="FootnoteText"/>
      </w:pPr>
      <w:r>
        <w:rPr>
          <w:rStyle w:val="FootnoteReference"/>
        </w:rPr>
        <w:footnoteRef/>
      </w:r>
      <w:r>
        <w:t xml:space="preserve"> People-name: Shumathites. People-name meaning: Shumathites — people of Shumah; desolation. Source form: Shumathites.</w:t>
      </w:r>
    </w:p>
  </w:footnote>
  <w:footnote w:id="7806">
    <w:p>
      <w:pPr>
        <w:pStyle w:val="FootnoteText"/>
      </w:pPr>
      <w:r>
        <w:rPr>
          <w:rStyle w:val="FootnoteReference"/>
        </w:rPr>
        <w:footnoteRef/>
      </w:r>
      <w:r>
        <w:t xml:space="preserve"> People-name: Mishraites. People-name meaning: Mishraites — spread abroad. Source form: Mishraites.</w:t>
      </w:r>
    </w:p>
  </w:footnote>
  <w:footnote w:id="7807">
    <w:p>
      <w:pPr>
        <w:pStyle w:val="FootnoteText"/>
      </w:pPr>
      <w:r>
        <w:rPr>
          <w:rStyle w:val="FootnoteReference"/>
        </w:rPr>
        <w:footnoteRef/>
      </w:r>
      <w:r>
        <w:t xml:space="preserve"> Transliterated proper noun: Zareathites. Standard English equivalent: Zareathites. Source form: Zareathites. Greek form: σαραθαιοι. Name meaning: people of Zorah; leprosy/hornet-town.</w:t>
      </w:r>
    </w:p>
  </w:footnote>
  <w:footnote w:id="7808">
    <w:p>
      <w:pPr>
        <w:pStyle w:val="FootnoteText"/>
      </w:pPr>
      <w:r>
        <w:rPr>
          <w:rStyle w:val="FootnoteReference"/>
        </w:rPr>
        <w:footnoteRef/>
      </w:r>
      <w:r>
        <w:t xml:space="preserve"> Cross-references for "Ithrites": 2Sam 23:38; 1Chr 11:40.</w:t>
      </w:r>
    </w:p>
  </w:footnote>
  <w:footnote w:id="7809">
    <w:p>
      <w:pPr>
        <w:pStyle w:val="FootnoteText"/>
      </w:pPr>
      <w:r>
        <w:rPr>
          <w:rStyle w:val="FootnoteReference"/>
        </w:rPr>
        <w:footnoteRef/>
      </w:r>
      <w:r>
        <w:t xml:space="preserve"> Cross-references for "Bethlehem": 1Chr 2:51.</w:t>
      </w:r>
    </w:p>
  </w:footnote>
  <w:footnote w:id="7810">
    <w:p>
      <w:pPr>
        <w:pStyle w:val="FootnoteText"/>
      </w:pPr>
      <w:r>
        <w:rPr>
          <w:rStyle w:val="FootnoteReference"/>
        </w:rPr>
        <w:footnoteRef/>
      </w:r>
      <w:r>
        <w:t xml:space="preserve"> People-name: Netophathites. People-name meaning: Netophathites — people of Netophah; dripping/distillation. Source form: Netophathites.</w:t>
      </w:r>
    </w:p>
  </w:footnote>
  <w:footnote w:id="7811">
    <w:p>
      <w:pPr>
        <w:pStyle w:val="FootnoteText"/>
      </w:pPr>
      <w:r>
        <w:rPr>
          <w:rStyle w:val="FootnoteReference"/>
        </w:rPr>
        <w:footnoteRef/>
      </w:r>
      <w:r>
        <w:t xml:space="preserve"> Cross-references for "Rechab": 2Kgs 10:15; Jer 35:2-8.</w:t>
      </w:r>
    </w:p>
  </w:footnote>
  <w:footnote w:id="7812">
    <w:p>
      <w:pPr>
        <w:pStyle w:val="FootnoteText"/>
      </w:pPr>
      <w:r>
        <w:rPr>
          <w:rStyle w:val="FootnoteReference"/>
        </w:rPr>
        <w:footnoteRef/>
      </w:r>
      <w:r>
        <w:t xml:space="preserve"> Cross-references for "Amnon": 2Sam 13:1; 2Sam 13:29.</w:t>
      </w:r>
    </w:p>
  </w:footnote>
  <w:footnote w:id="7813">
    <w:p>
      <w:pPr>
        <w:pStyle w:val="FootnoteText"/>
      </w:pPr>
      <w:r>
        <w:rPr>
          <w:rStyle w:val="FootnoteReference"/>
        </w:rPr>
        <w:footnoteRef/>
      </w:r>
      <w:r>
        <w:t xml:space="preserve"> Cross-references for "Absalom": 2Sam 13:1; 2Sam 13:20-28.</w:t>
      </w:r>
    </w:p>
  </w:footnote>
  <w:footnote w:id="7814">
    <w:p>
      <w:pPr>
        <w:pStyle w:val="FootnoteText"/>
      </w:pPr>
      <w:r>
        <w:rPr>
          <w:rStyle w:val="FootnoteReference"/>
        </w:rPr>
        <w:footnoteRef/>
      </w:r>
      <w:r>
        <w:t xml:space="preserve"> Personal name: Ithream. Personal-name meaning: Ithream — excellence of the people. Source form: Ithream.</w:t>
      </w:r>
    </w:p>
  </w:footnote>
  <w:footnote w:id="7815">
    <w:p>
      <w:pPr>
        <w:pStyle w:val="FootnoteText"/>
      </w:pPr>
      <w:r>
        <w:rPr>
          <w:rStyle w:val="FootnoteReference"/>
        </w:rPr>
        <w:footnoteRef/>
      </w:r>
      <w:r>
        <w:t xml:space="preserve"> Personal name: Eglah. Personal-name meaning: Eglah — heifer; chariot; round. Source form: Eglah.</w:t>
      </w:r>
    </w:p>
  </w:footnote>
  <w:footnote w:id="7816">
    <w:p>
      <w:pPr>
        <w:pStyle w:val="FootnoteText"/>
      </w:pPr>
      <w:r>
        <w:rPr>
          <w:rStyle w:val="FootnoteReference"/>
        </w:rPr>
        <w:footnoteRef/>
      </w:r>
      <w:r>
        <w:t xml:space="preserve"> Cross-references for "Eglah": 2Sam 3:5; 2Sam 6:23.</w:t>
      </w:r>
    </w:p>
  </w:footnote>
  <w:footnote w:id="7817">
    <w:p>
      <w:pPr>
        <w:pStyle w:val="FootnoteText"/>
      </w:pPr>
      <w:r>
        <w:rPr>
          <w:rStyle w:val="FootnoteReference"/>
        </w:rPr>
        <w:footnoteRef/>
      </w:r>
      <w:r>
        <w:t xml:space="preserve"> Personal name: Shimea. Personal-name meaning: Shimea — that hears, or obeys; perdition. Source form: Shimea.</w:t>
      </w:r>
    </w:p>
  </w:footnote>
  <w:footnote w:id="7818">
    <w:p>
      <w:pPr>
        <w:pStyle w:val="FootnoteText"/>
      </w:pPr>
      <w:r>
        <w:rPr>
          <w:rStyle w:val="FootnoteReference"/>
        </w:rPr>
        <w:footnoteRef/>
      </w:r>
      <w:r>
        <w:t xml:space="preserve"> Cross-references for "Shimea": 2Sam 5:14; 1Chr 14:4.</w:t>
      </w:r>
    </w:p>
  </w:footnote>
  <w:footnote w:id="7819">
    <w:p>
      <w:pPr>
        <w:pStyle w:val="FootnoteText"/>
      </w:pPr>
      <w:r>
        <w:rPr>
          <w:rStyle w:val="FootnoteReference"/>
        </w:rPr>
        <w:footnoteRef/>
      </w:r>
      <w:r>
        <w:t xml:space="preserve"> Cross-references for "Elishama": 2Sam 5:15; 1Chr 14:5.</w:t>
      </w:r>
    </w:p>
  </w:footnote>
  <w:footnote w:id="7820">
    <w:p>
      <w:pPr>
        <w:pStyle w:val="FootnoteText"/>
      </w:pPr>
      <w:r>
        <w:rPr>
          <w:rStyle w:val="FootnoteReference"/>
        </w:rPr>
        <w:footnoteRef/>
      </w:r>
      <w:r>
        <w:t xml:space="preserve"> Personal name: Eliphelet. Personal-name meaning: Eliphelet — God is deliverance. Source form: Eliphelet.</w:t>
      </w:r>
    </w:p>
  </w:footnote>
  <w:footnote w:id="7821">
    <w:p>
      <w:pPr>
        <w:pStyle w:val="FootnoteText"/>
      </w:pPr>
      <w:r>
        <w:rPr>
          <w:rStyle w:val="FootnoteReference"/>
        </w:rPr>
        <w:footnoteRef/>
      </w:r>
      <w:r>
        <w:t xml:space="preserve"> Personal name: Nogah. Personal-name meaning: Nogah — brightness; clearness. Source form: Nogah.</w:t>
      </w:r>
    </w:p>
  </w:footnote>
  <w:footnote w:id="7822">
    <w:p>
      <w:pPr>
        <w:pStyle w:val="FootnoteText"/>
      </w:pPr>
      <w:r>
        <w:rPr>
          <w:rStyle w:val="FootnoteReference"/>
        </w:rPr>
        <w:footnoteRef/>
      </w:r>
      <w:r>
        <w:t xml:space="preserve"> Cross-references for "Nogah": 2Sam 5:15-16.</w:t>
      </w:r>
    </w:p>
  </w:footnote>
  <w:footnote w:id="7823">
    <w:p>
      <w:pPr>
        <w:pStyle w:val="FootnoteText"/>
      </w:pPr>
      <w:r>
        <w:rPr>
          <w:rStyle w:val="FootnoteReference"/>
        </w:rPr>
        <w:footnoteRef/>
      </w:r>
      <w:r>
        <w:t xml:space="preserve"> Cross-references for "Eliada": 1Chr 14:7.</w:t>
      </w:r>
    </w:p>
  </w:footnote>
  <w:footnote w:id="7824">
    <w:p>
      <w:pPr>
        <w:pStyle w:val="FootnoteText"/>
      </w:pPr>
      <w:r>
        <w:rPr>
          <w:rStyle w:val="FootnoteReference"/>
        </w:rPr>
        <w:footnoteRef/>
      </w:r>
      <w:r>
        <w:t xml:space="preserve"> Cross-references for "of the concubines": 2Sam 5:13.</w:t>
      </w:r>
    </w:p>
  </w:footnote>
  <w:footnote w:id="7825">
    <w:p>
      <w:pPr>
        <w:pStyle w:val="FootnoteText"/>
      </w:pPr>
      <w:r>
        <w:rPr>
          <w:rStyle w:val="FootnoteReference"/>
        </w:rPr>
        <w:footnoteRef/>
      </w:r>
      <w:r>
        <w:t xml:space="preserve"> Cross-references for "Rehoboam": 1Kgs 11:43; 1Kgs 14:31.</w:t>
      </w:r>
    </w:p>
  </w:footnote>
  <w:footnote w:id="7826">
    <w:p>
      <w:pPr>
        <w:pStyle w:val="FootnoteText"/>
      </w:pPr>
      <w:r>
        <w:rPr>
          <w:rStyle w:val="FootnoteReference"/>
        </w:rPr>
        <w:footnoteRef/>
      </w:r>
      <w:r>
        <w:t xml:space="preserve"> Cross-references for "Joram": 1Kgs 22:50; 2Chr 21:1.</w:t>
      </w:r>
    </w:p>
  </w:footnote>
  <w:footnote w:id="7827">
    <w:p>
      <w:pPr>
        <w:pStyle w:val="FootnoteText"/>
      </w:pPr>
      <w:r>
        <w:rPr>
          <w:rStyle w:val="FootnoteReference"/>
        </w:rPr>
        <w:footnoteRef/>
      </w:r>
      <w:r>
        <w:t xml:space="preserve"> Cross-references for "Amaziah": 2Kgs 14:1; 2Chr 25:1.</w:t>
      </w:r>
    </w:p>
  </w:footnote>
  <w:footnote w:id="7828">
    <w:p>
      <w:pPr>
        <w:pStyle w:val="FootnoteText"/>
      </w:pPr>
      <w:r>
        <w:rPr>
          <w:rStyle w:val="FootnoteReference"/>
        </w:rPr>
        <w:footnoteRef/>
      </w:r>
      <w:r>
        <w:t xml:space="preserve"> Cross-references for "Ahaz": 2Kgs 16:1; 2Chr 28:1-8.</w:t>
      </w:r>
    </w:p>
  </w:footnote>
  <w:footnote w:id="7829">
    <w:p>
      <w:pPr>
        <w:pStyle w:val="FootnoteText"/>
      </w:pPr>
      <w:r>
        <w:rPr>
          <w:rStyle w:val="FootnoteReference"/>
        </w:rPr>
        <w:footnoteRef/>
      </w:r>
      <w:r>
        <w:t xml:space="preserve"> Cross-references for "Amon": 2Kgs 21:19; 2Chr 33:20-21.</w:t>
      </w:r>
    </w:p>
  </w:footnote>
  <w:footnote w:id="7830">
    <w:p>
      <w:pPr>
        <w:pStyle w:val="FootnoteText"/>
      </w:pPr>
      <w:r>
        <w:rPr>
          <w:rStyle w:val="FootnoteReference"/>
        </w:rPr>
        <w:footnoteRef/>
      </w:r>
      <w:r>
        <w:t xml:space="preserve"> Personal name: Jeconiah. Personal-name meaning: Jeconiah — preparation, or stability, of the Lord. Source form: Jeconiah.</w:t>
      </w:r>
    </w:p>
  </w:footnote>
  <w:footnote w:id="7831">
    <w:p>
      <w:pPr>
        <w:pStyle w:val="FootnoteText"/>
      </w:pPr>
      <w:r>
        <w:rPr>
          <w:rStyle w:val="FootnoteReference"/>
        </w:rPr>
        <w:footnoteRef/>
      </w:r>
      <w:r>
        <w:t xml:space="preserve"> Cross-references for "Jeconiah": 2Kgs 24:6; 2Kgs 24:8.</w:t>
      </w:r>
    </w:p>
  </w:footnote>
  <w:footnote w:id="7832">
    <w:p>
      <w:pPr>
        <w:pStyle w:val="FootnoteText"/>
      </w:pPr>
      <w:r>
        <w:rPr>
          <w:rStyle w:val="FootnoteReference"/>
        </w:rPr>
        <w:footnoteRef/>
      </w:r>
      <w:r>
        <w:t xml:space="preserve"> Personal name: Shealtiel. Personal-name meaning: Shealtiel — asked or lent of God. Source form: Shealtiel.</w:t>
      </w:r>
    </w:p>
  </w:footnote>
  <w:footnote w:id="7833">
    <w:p>
      <w:pPr>
        <w:pStyle w:val="FootnoteText"/>
      </w:pPr>
      <w:r>
        <w:rPr>
          <w:rStyle w:val="FootnoteReference"/>
        </w:rPr>
        <w:footnoteRef/>
      </w:r>
      <w:r>
        <w:t xml:space="preserve"> Transliterated proper noun: Shenazar. Standard English equivalent: Shenazar. Source form: Shenazar. Greek form: σανεσαρ. Name meaning: treasurer of a tooth.</w:t>
      </w:r>
    </w:p>
  </w:footnote>
  <w:footnote w:id="7834">
    <w:p>
      <w:pPr>
        <w:pStyle w:val="FootnoteText"/>
      </w:pPr>
      <w:r>
        <w:rPr>
          <w:rStyle w:val="FootnoteReference"/>
        </w:rPr>
        <w:footnoteRef/>
      </w:r>
      <w:r>
        <w:t xml:space="preserve"> Transliterated proper noun: Jecamiah. Standard English equivalent: Jecamiah. Source form: Jecamiah. Greek form: ιεκεμια. Name meaning: resurrection, or confirmation, or revenge, of the Lord.</w:t>
      </w:r>
    </w:p>
  </w:footnote>
  <w:footnote w:id="7835">
    <w:p>
      <w:pPr>
        <w:pStyle w:val="FootnoteText"/>
      </w:pPr>
      <w:r>
        <w:rPr>
          <w:rStyle w:val="FootnoteReference"/>
        </w:rPr>
        <w:footnoteRef/>
      </w:r>
      <w:r>
        <w:t xml:space="preserve"> Personal name: Hoshama. Personal-name meaning: Hoshama — heard; he obeys. Source form: Hoshama.</w:t>
      </w:r>
    </w:p>
  </w:footnote>
  <w:footnote w:id="7836">
    <w:p>
      <w:pPr>
        <w:pStyle w:val="FootnoteText"/>
      </w:pPr>
      <w:r>
        <w:rPr>
          <w:rStyle w:val="FootnoteReference"/>
        </w:rPr>
        <w:footnoteRef/>
      </w:r>
      <w:r>
        <w:t xml:space="preserve"> Personal name: Zerubbabel. Personal-name meaning: Zerubbabel — a stranger at Babylon; dispersion of confusion. Source form: Zerubbabel.</w:t>
      </w:r>
    </w:p>
  </w:footnote>
  <w:footnote w:id="7837">
    <w:p>
      <w:pPr>
        <w:pStyle w:val="FootnoteText"/>
      </w:pPr>
      <w:r>
        <w:rPr>
          <w:rStyle w:val="FootnoteReference"/>
        </w:rPr>
        <w:footnoteRef/>
      </w:r>
      <w:r>
        <w:t xml:space="preserve"> Personal name: Hananiah. Personal-name meaning: Hananiah — grace; mercy; gift of the Lord. Source form: Hananiah.</w:t>
      </w:r>
    </w:p>
  </w:footnote>
  <w:footnote w:id="7838">
    <w:p>
      <w:pPr>
        <w:pStyle w:val="FootnoteText"/>
      </w:pPr>
      <w:r>
        <w:rPr>
          <w:rStyle w:val="FootnoteReference"/>
        </w:rPr>
        <w:footnoteRef/>
      </w:r>
      <w:r>
        <w:t xml:space="preserve"> Cross-references for "Zerubbabel": Ezra 2:2; Ezra 3:2.</w:t>
      </w:r>
    </w:p>
  </w:footnote>
  <w:footnote w:id="7839">
    <w:p>
      <w:pPr>
        <w:pStyle w:val="FootnoteText"/>
      </w:pPr>
      <w:r>
        <w:rPr>
          <w:rStyle w:val="FootnoteReference"/>
        </w:rPr>
        <w:footnoteRef/>
      </w:r>
      <w:r>
        <w:t xml:space="preserve"> Personal name: Hashubah. Personal-name meaning: Hashubah — estimation; thought. Source form: Hashubah.</w:t>
      </w:r>
    </w:p>
  </w:footnote>
  <w:footnote w:id="7840">
    <w:p>
      <w:pPr>
        <w:pStyle w:val="FootnoteText"/>
      </w:pPr>
      <w:r>
        <w:rPr>
          <w:rStyle w:val="FootnoteReference"/>
        </w:rPr>
        <w:footnoteRef/>
      </w:r>
      <w:r>
        <w:t xml:space="preserve"> Personal name: Ohel. Personal-name meaning: Ohel — tent; tabernacle; brightness. Source form: Ohel.</w:t>
      </w:r>
    </w:p>
  </w:footnote>
  <w:footnote w:id="7841">
    <w:p>
      <w:pPr>
        <w:pStyle w:val="FootnoteText"/>
      </w:pPr>
      <w:r>
        <w:rPr>
          <w:rStyle w:val="FootnoteReference"/>
        </w:rPr>
        <w:footnoteRef/>
      </w:r>
      <w:r>
        <w:t xml:space="preserve"> Personal name: Berechiah. Personal-name meaning: Berechiah — speaking well of the Lord. Source form: Berechiah.</w:t>
      </w:r>
    </w:p>
  </w:footnote>
  <w:footnote w:id="7842">
    <w:p>
      <w:pPr>
        <w:pStyle w:val="FootnoteText"/>
      </w:pPr>
      <w:r>
        <w:rPr>
          <w:rStyle w:val="FootnoteReference"/>
        </w:rPr>
        <w:footnoteRef/>
      </w:r>
      <w:r>
        <w:t xml:space="preserve"> Personal name: Hasadiah. Personal-name meaning: Hasadiah — the mercy of the Lord. Source form: Hasadiah.</w:t>
      </w:r>
    </w:p>
  </w:footnote>
  <w:footnote w:id="7843">
    <w:p>
      <w:pPr>
        <w:pStyle w:val="FootnoteText"/>
      </w:pPr>
      <w:r>
        <w:rPr>
          <w:rStyle w:val="FootnoteReference"/>
        </w:rPr>
        <w:footnoteRef/>
      </w:r>
      <w:r>
        <w:t xml:space="preserve"> Personal name: Jushabhesed. Personal-name meaning: Jushabhesed — dwelling-place; change of mercy. Source form: Jushabhesed.</w:t>
      </w:r>
    </w:p>
  </w:footnote>
  <w:footnote w:id="7844">
    <w:p>
      <w:pPr>
        <w:pStyle w:val="FootnoteText"/>
      </w:pPr>
      <w:r>
        <w:rPr>
          <w:rStyle w:val="FootnoteReference"/>
        </w:rPr>
        <w:footnoteRef/>
      </w:r>
      <w:r>
        <w:t xml:space="preserve"> Personal name: Pelatiah. Personal-name meaning: Pelatiah — let the Lord deliver; deliverance of the Lord. Source form: Pelatiah.</w:t>
      </w:r>
    </w:p>
  </w:footnote>
  <w:footnote w:id="7845">
    <w:p>
      <w:pPr>
        <w:pStyle w:val="FootnoteText"/>
      </w:pPr>
      <w:r>
        <w:rPr>
          <w:rStyle w:val="FootnoteReference"/>
        </w:rPr>
        <w:footnoteRef/>
      </w:r>
      <w:r>
        <w:t xml:space="preserve"> Transliterated proper noun: Jesaiah. Standard English equivalent: Jesaiah. Source form: Jesaiah. Greek form: ισαια. Name meaning: health, or salvation, of the Lord.</w:t>
      </w:r>
    </w:p>
  </w:footnote>
  <w:footnote w:id="7846">
    <w:p>
      <w:pPr>
        <w:pStyle w:val="FootnoteText"/>
      </w:pPr>
      <w:r>
        <w:rPr>
          <w:rStyle w:val="FootnoteReference"/>
        </w:rPr>
        <w:footnoteRef/>
      </w:r>
      <w:r>
        <w:t xml:space="preserve"> Personal name: Rephaiah. Personal-name meaning: Rephaiah — medicine or refreshment of the Lord. Source form: Rephaiah.</w:t>
      </w:r>
    </w:p>
  </w:footnote>
  <w:footnote w:id="7847">
    <w:p>
      <w:pPr>
        <w:pStyle w:val="FootnoteText"/>
      </w:pPr>
      <w:r>
        <w:rPr>
          <w:rStyle w:val="FootnoteReference"/>
        </w:rPr>
        <w:footnoteRef/>
      </w:r>
      <w:r>
        <w:t xml:space="preserve"> Personal name: Shecaniah. Personal-name meaning: Shecaniah — habitation of the Lord. Source form: Shecaniah.</w:t>
      </w:r>
    </w:p>
  </w:footnote>
  <w:footnote w:id="7848">
    <w:p>
      <w:pPr>
        <w:pStyle w:val="FootnoteText"/>
      </w:pPr>
      <w:r>
        <w:rPr>
          <w:rStyle w:val="FootnoteReference"/>
        </w:rPr>
        <w:footnoteRef/>
      </w:r>
      <w:r>
        <w:t xml:space="preserve"> Translation note: Name list follows Greek directly here.</w:t>
      </w:r>
    </w:p>
  </w:footnote>
  <w:footnote w:id="7849">
    <w:p>
      <w:pPr>
        <w:pStyle w:val="FootnoteText"/>
      </w:pPr>
      <w:r>
        <w:rPr>
          <w:rStyle w:val="FootnoteReference"/>
        </w:rPr>
        <w:footnoteRef/>
      </w:r>
      <w:r>
        <w:t xml:space="preserve"> Personal name: Hattush. Personal-name meaning: Hattush — forsaking sin. Source form: Hattush.</w:t>
      </w:r>
    </w:p>
  </w:footnote>
  <w:footnote w:id="7850">
    <w:p>
      <w:pPr>
        <w:pStyle w:val="FootnoteText"/>
      </w:pPr>
      <w:r>
        <w:rPr>
          <w:rStyle w:val="FootnoteReference"/>
        </w:rPr>
        <w:footnoteRef/>
      </w:r>
      <w:r>
        <w:t xml:space="preserve"> Personal name: Bariah. Personal-name meaning: Bariah — in fellowship. Source form: Bariah.</w:t>
      </w:r>
    </w:p>
  </w:footnote>
  <w:footnote w:id="7851">
    <w:p>
      <w:pPr>
        <w:pStyle w:val="FootnoteText"/>
      </w:pPr>
      <w:r>
        <w:rPr>
          <w:rStyle w:val="FootnoteReference"/>
        </w:rPr>
        <w:footnoteRef/>
      </w:r>
      <w:r>
        <w:t xml:space="preserve"> Personal name: Neariah. Personal-name meaning: Neariah — child of the Lord. Source form: Neariah.</w:t>
      </w:r>
    </w:p>
  </w:footnote>
  <w:footnote w:id="7852">
    <w:p>
      <w:pPr>
        <w:pStyle w:val="FootnoteText"/>
      </w:pPr>
      <w:r>
        <w:rPr>
          <w:rStyle w:val="FootnoteReference"/>
        </w:rPr>
        <w:footnoteRef/>
      </w:r>
      <w:r>
        <w:t xml:space="preserve"> Cross-references for "Hattush": Ezra 8:2.</w:t>
      </w:r>
    </w:p>
  </w:footnote>
  <w:footnote w:id="7853">
    <w:p>
      <w:pPr>
        <w:pStyle w:val="FootnoteText"/>
      </w:pPr>
      <w:r>
        <w:rPr>
          <w:rStyle w:val="FootnoteReference"/>
        </w:rPr>
        <w:footnoteRef/>
      </w:r>
      <w:r>
        <w:t xml:space="preserve"> Personal name: Elioenai. Personal-name meaning: Elioenai — toward him are mine eyes; or to him are my fountains. Source form: Elioenai.</w:t>
      </w:r>
    </w:p>
  </w:footnote>
  <w:footnote w:id="7854">
    <w:p>
      <w:pPr>
        <w:pStyle w:val="FootnoteText"/>
      </w:pPr>
      <w:r>
        <w:rPr>
          <w:rStyle w:val="FootnoteReference"/>
        </w:rPr>
        <w:footnoteRef/>
      </w:r>
      <w:r>
        <w:t xml:space="preserve"> Cross-references for "Hezekiah": 1Chr 3:23.</w:t>
      </w:r>
    </w:p>
  </w:footnote>
  <w:footnote w:id="7855">
    <w:p>
      <w:pPr>
        <w:pStyle w:val="FootnoteText"/>
      </w:pPr>
      <w:r>
        <w:rPr>
          <w:rStyle w:val="FootnoteReference"/>
        </w:rPr>
        <w:footnoteRef/>
      </w:r>
      <w:r>
        <w:t xml:space="preserve"> Personal name: Azrikam. Personal-name meaning: Azrikam — help, revenging. Source form: Azrikam.</w:t>
      </w:r>
    </w:p>
  </w:footnote>
  <w:footnote w:id="7856">
    <w:p>
      <w:pPr>
        <w:pStyle w:val="FootnoteText"/>
      </w:pPr>
      <w:r>
        <w:rPr>
          <w:rStyle w:val="FootnoteReference"/>
        </w:rPr>
        <w:footnoteRef/>
      </w:r>
      <w:r>
        <w:t xml:space="preserve"> Transliterated proper noun: Hodaiah. Standard English equivalent: Hodaiah. Source form: Hodaiah. Greek form: οδουια. Name meaning: the praise of the Lord.</w:t>
      </w:r>
    </w:p>
  </w:footnote>
  <w:footnote w:id="7857">
    <w:p>
      <w:pPr>
        <w:pStyle w:val="FootnoteText"/>
      </w:pPr>
      <w:r>
        <w:rPr>
          <w:rStyle w:val="FootnoteReference"/>
        </w:rPr>
        <w:footnoteRef/>
      </w:r>
      <w:r>
        <w:t xml:space="preserve"> Personal name: Eliashib. Personal-name meaning: Eliashib — the God of conversion. Source form: Eliashib.</w:t>
      </w:r>
    </w:p>
  </w:footnote>
  <w:footnote w:id="7858">
    <w:p>
      <w:pPr>
        <w:pStyle w:val="FootnoteText"/>
      </w:pPr>
      <w:r>
        <w:rPr>
          <w:rStyle w:val="FootnoteReference"/>
        </w:rPr>
        <w:footnoteRef/>
      </w:r>
      <w:r>
        <w:t xml:space="preserve"> Personal name: Pelaiah. Personal-name meaning: Pelaiah — the Lord's secret or miracle. Source form: Pelaiah.</w:t>
      </w:r>
    </w:p>
  </w:footnote>
  <w:footnote w:id="7859">
    <w:p>
      <w:pPr>
        <w:pStyle w:val="FootnoteText"/>
      </w:pPr>
      <w:r>
        <w:rPr>
          <w:rStyle w:val="FootnoteReference"/>
        </w:rPr>
        <w:footnoteRef/>
      </w:r>
      <w:r>
        <w:t xml:space="preserve"> Personal name: Akkub. Personal-name meaning: Akkub — foot-print; supplanting; crookedness; lewdness. Source form: Akkub.</w:t>
      </w:r>
    </w:p>
  </w:footnote>
  <w:footnote w:id="7860">
    <w:p>
      <w:pPr>
        <w:pStyle w:val="FootnoteText"/>
      </w:pPr>
      <w:r>
        <w:rPr>
          <w:rStyle w:val="FootnoteReference"/>
        </w:rPr>
        <w:footnoteRef/>
      </w:r>
      <w:r>
        <w:t xml:space="preserve"> Transliterated proper noun: Dalaiah. Standard English equivalent: Dalaiah. Source form: Dalaiah. Greek form: δαλαια. Name meaning: the poor of the Lord.</w:t>
      </w:r>
    </w:p>
  </w:footnote>
  <w:footnote w:id="7861">
    <w:p>
      <w:pPr>
        <w:pStyle w:val="FootnoteText"/>
      </w:pPr>
      <w:r>
        <w:rPr>
          <w:rStyle w:val="FootnoteReference"/>
        </w:rPr>
        <w:footnoteRef/>
      </w:r>
      <w:r>
        <w:t xml:space="preserve"> Cross-references for "Carmi": 1Chr 2:9; 1Chr 2:18.</w:t>
      </w:r>
    </w:p>
  </w:footnote>
  <w:footnote w:id="7862">
    <w:p>
      <w:pPr>
        <w:pStyle w:val="FootnoteText"/>
      </w:pPr>
      <w:r>
        <w:rPr>
          <w:rStyle w:val="FootnoteReference"/>
        </w:rPr>
        <w:footnoteRef/>
      </w:r>
      <w:r>
        <w:t xml:space="preserve"> Personal name: Reaiah. Personal-name meaning: Reaiah — vision of the Lord. Source form: Reaiah.</w:t>
      </w:r>
    </w:p>
  </w:footnote>
  <w:footnote w:id="7863">
    <w:p>
      <w:pPr>
        <w:pStyle w:val="FootnoteText"/>
      </w:pPr>
      <w:r>
        <w:rPr>
          <w:rStyle w:val="FootnoteReference"/>
        </w:rPr>
        <w:footnoteRef/>
      </w:r>
      <w:r>
        <w:t xml:space="preserve"> Personal name: Jahath. Personal-name meaning: Jahath — broken in pieces; descending. Source form: Jahath.</w:t>
      </w:r>
    </w:p>
  </w:footnote>
  <w:footnote w:id="7864">
    <w:p>
      <w:pPr>
        <w:pStyle w:val="FootnoteText"/>
      </w:pPr>
      <w:r>
        <w:rPr>
          <w:rStyle w:val="FootnoteReference"/>
        </w:rPr>
        <w:footnoteRef/>
      </w:r>
      <w:r>
        <w:t xml:space="preserve"> Personal name: Ahumai. Personal-name meaning: Ahumai — a meadow of waters; a brother of waters. Source form: Ahumai.</w:t>
      </w:r>
    </w:p>
  </w:footnote>
  <w:footnote w:id="7865">
    <w:p>
      <w:pPr>
        <w:pStyle w:val="FootnoteText"/>
      </w:pPr>
      <w:r>
        <w:rPr>
          <w:rStyle w:val="FootnoteReference"/>
        </w:rPr>
        <w:footnoteRef/>
      </w:r>
      <w:r>
        <w:t xml:space="preserve"> Personal name: Lahad. Personal-name meaning: Lahad — praising; to confess. Source form: Lahad.</w:t>
      </w:r>
    </w:p>
  </w:footnote>
  <w:footnote w:id="7866">
    <w:p>
      <w:pPr>
        <w:pStyle w:val="FootnoteText"/>
      </w:pPr>
      <w:r>
        <w:rPr>
          <w:rStyle w:val="FootnoteReference"/>
        </w:rPr>
        <w:footnoteRef/>
      </w:r>
      <w:r>
        <w:t xml:space="preserve"> Cross-references for "Reaiah": 1Chr 2:52.</w:t>
      </w:r>
    </w:p>
  </w:footnote>
  <w:footnote w:id="7867">
    <w:p>
      <w:pPr>
        <w:pStyle w:val="FootnoteText"/>
      </w:pPr>
      <w:r>
        <w:rPr>
          <w:rStyle w:val="FootnoteReference"/>
        </w:rPr>
        <w:footnoteRef/>
      </w:r>
      <w:r>
        <w:t xml:space="preserve"> Cross-references for "Etam": Judg 15:11; 2Chr 11:6.</w:t>
      </w:r>
    </w:p>
  </w:footnote>
  <w:footnote w:id="7868">
    <w:p>
      <w:pPr>
        <w:pStyle w:val="FootnoteText"/>
      </w:pPr>
      <w:r>
        <w:rPr>
          <w:rStyle w:val="FootnoteReference"/>
        </w:rPr>
        <w:footnoteRef/>
      </w:r>
      <w:r>
        <w:t xml:space="preserve"> Personal name: Idbash. Personal-name meaning: Idbash — flowing with honey; the land of destruction. Source form: Idbash.</w:t>
      </w:r>
    </w:p>
  </w:footnote>
  <w:footnote w:id="7869">
    <w:p>
      <w:pPr>
        <w:pStyle w:val="FootnoteText"/>
      </w:pPr>
      <w:r>
        <w:rPr>
          <w:rStyle w:val="FootnoteReference"/>
        </w:rPr>
        <w:footnoteRef/>
      </w:r>
      <w:r>
        <w:t xml:space="preserve"> Transliterated proper noun: Hazelelponi. Standard English equivalent: Hazelelponi. Source form: Hazelelponi. Greek form: εσηλεββων. Name meaning: sorrow of countenance.</w:t>
      </w:r>
    </w:p>
  </w:footnote>
  <w:footnote w:id="7870">
    <w:p>
      <w:pPr>
        <w:pStyle w:val="FootnoteText"/>
      </w:pPr>
      <w:r>
        <w:rPr>
          <w:rStyle w:val="FootnoteReference"/>
        </w:rPr>
        <w:footnoteRef/>
      </w:r>
      <w:r>
        <w:t xml:space="preserve"> Cross-references for "Gedor": Josh 15:36; 1Chr 4:18.</w:t>
      </w:r>
    </w:p>
  </w:footnote>
  <w:footnote w:id="7871">
    <w:p>
      <w:pPr>
        <w:pStyle w:val="FootnoteText"/>
      </w:pPr>
      <w:r>
        <w:rPr>
          <w:rStyle w:val="FootnoteReference"/>
        </w:rPr>
        <w:footnoteRef/>
      </w:r>
      <w:r>
        <w:t xml:space="preserve"> Personal name: Helah. Personal-name meaning: Helah — rust; worldly; wife of Ashur. Source form: Helah.</w:t>
      </w:r>
    </w:p>
  </w:footnote>
  <w:footnote w:id="7872">
    <w:p>
      <w:pPr>
        <w:pStyle w:val="FootnoteText"/>
      </w:pPr>
      <w:r>
        <w:rPr>
          <w:rStyle w:val="FootnoteReference"/>
        </w:rPr>
        <w:footnoteRef/>
      </w:r>
      <w:r>
        <w:t xml:space="preserve"> Transliterated proper noun: Naarah. Standard English equivalent: Naarah. Source form: Naarah. Name meaning: young person.</w:t>
      </w:r>
    </w:p>
  </w:footnote>
  <w:footnote w:id="7873">
    <w:p>
      <w:pPr>
        <w:pStyle w:val="FootnoteText"/>
      </w:pPr>
      <w:r>
        <w:rPr>
          <w:rStyle w:val="FootnoteReference"/>
        </w:rPr>
        <w:footnoteRef/>
      </w:r>
      <w:r>
        <w:t xml:space="preserve"> Transliterated proper noun: Ahuzam. Standard English equivalent: Ahuzam. Source form: Ahuzam. Greek form: ωχαζαμ. Name meaning: their taking or possessing vision.</w:t>
      </w:r>
    </w:p>
  </w:footnote>
  <w:footnote w:id="7874">
    <w:p>
      <w:pPr>
        <w:pStyle w:val="FootnoteText"/>
      </w:pPr>
      <w:r>
        <w:rPr>
          <w:rStyle w:val="FootnoteReference"/>
        </w:rPr>
        <w:footnoteRef/>
      </w:r>
      <w:r>
        <w:t xml:space="preserve"> Personal name: Haahashtari. Personal-name meaning: Haahashtari — a runner. Source form: Haahashtari.</w:t>
      </w:r>
    </w:p>
  </w:footnote>
  <w:footnote w:id="7875">
    <w:p>
      <w:pPr>
        <w:pStyle w:val="FootnoteText"/>
      </w:pPr>
      <w:r>
        <w:rPr>
          <w:rStyle w:val="FootnoteReference"/>
        </w:rPr>
        <w:footnoteRef/>
      </w:r>
      <w:r>
        <w:t xml:space="preserve"> Personal name: Zereth. Personal-name meaning: Zereth — perplexity. Source form: Zereth.</w:t>
      </w:r>
    </w:p>
  </w:footnote>
  <w:footnote w:id="7876">
    <w:p>
      <w:pPr>
        <w:pStyle w:val="FootnoteText"/>
      </w:pPr>
      <w:r>
        <w:rPr>
          <w:rStyle w:val="FootnoteReference"/>
        </w:rPr>
        <w:footnoteRef/>
      </w:r>
      <w:r>
        <w:t xml:space="preserve"> Transliterated proper noun: Jezoar. Standard English equivalent: Jezoar. Source form: Jezoar. Name meaning: clear; white.</w:t>
      </w:r>
    </w:p>
  </w:footnote>
  <w:footnote w:id="7877">
    <w:p>
      <w:pPr>
        <w:pStyle w:val="FootnoteText"/>
      </w:pPr>
      <w:r>
        <w:rPr>
          <w:rStyle w:val="FootnoteReference"/>
        </w:rPr>
        <w:footnoteRef/>
      </w:r>
      <w:r>
        <w:t xml:space="preserve"> Personal name: Ethnan. Personal-name meaning: Ethnan — gift. Source form: Ethnan.</w:t>
      </w:r>
    </w:p>
  </w:footnote>
  <w:footnote w:id="7878">
    <w:p>
      <w:pPr>
        <w:pStyle w:val="FootnoteText"/>
      </w:pPr>
      <w:r>
        <w:rPr>
          <w:rStyle w:val="FootnoteReference"/>
        </w:rPr>
        <w:footnoteRef/>
      </w:r>
      <w:r>
        <w:t xml:space="preserve"> Personal name: Anub. Personal-name meaning: Anub — a grape; a knot. Source form: Anub.</w:t>
      </w:r>
    </w:p>
  </w:footnote>
  <w:footnote w:id="7879">
    <w:p>
      <w:pPr>
        <w:pStyle w:val="FootnoteText"/>
      </w:pPr>
      <w:r>
        <w:rPr>
          <w:rStyle w:val="FootnoteReference"/>
        </w:rPr>
        <w:footnoteRef/>
      </w:r>
      <w:r>
        <w:t xml:space="preserve"> Personal name: Zobebah. Personal-name meaning: Zobebah — an army; warring. Source form: Zobebah.</w:t>
      </w:r>
    </w:p>
  </w:footnote>
  <w:footnote w:id="7880">
    <w:p>
      <w:pPr>
        <w:pStyle w:val="FootnoteText"/>
      </w:pPr>
      <w:r>
        <w:rPr>
          <w:rStyle w:val="FootnoteReference"/>
        </w:rPr>
        <w:footnoteRef/>
      </w:r>
      <w:r>
        <w:t xml:space="preserve"> Personal name: Harum. Personal-name meaning: Harum — high; throwing down. Source form: Harum.</w:t>
      </w:r>
    </w:p>
  </w:footnote>
  <w:footnote w:id="7881">
    <w:p>
      <w:pPr>
        <w:pStyle w:val="FootnoteText"/>
      </w:pPr>
      <w:r>
        <w:rPr>
          <w:rStyle w:val="FootnoteReference"/>
        </w:rPr>
        <w:footnoteRef/>
      </w:r>
      <w:r>
        <w:t xml:space="preserve"> Transliterated proper noun: Jabez. Standard English equivalent: Jabez. Source form: Jabez. Greek form: ιγαβης. Name meaning: sorrow; trouble.</w:t>
      </w:r>
    </w:p>
  </w:footnote>
  <w:footnote w:id="7882">
    <w:p>
      <w:pPr>
        <w:pStyle w:val="FootnoteText"/>
      </w:pPr>
      <w:r>
        <w:rPr>
          <w:rStyle w:val="FootnoteReference"/>
        </w:rPr>
        <w:footnoteRef/>
      </w:r>
      <w:r>
        <w:t xml:space="preserve"> Cross-references for "more": Gen 34:19; Isa 43:4.</w:t>
      </w:r>
    </w:p>
  </w:footnote>
  <w:footnote w:id="7883">
    <w:p>
      <w:pPr>
        <w:pStyle w:val="FootnoteText"/>
      </w:pPr>
      <w:r>
        <w:rPr>
          <w:rStyle w:val="FootnoteReference"/>
        </w:rPr>
        <w:footnoteRef/>
      </w:r>
      <w:r>
        <w:t xml:space="preserve"> Cross-references for "called": Gen 12:8; 1Chr 16:8.</w:t>
      </w:r>
    </w:p>
  </w:footnote>
  <w:footnote w:id="7884">
    <w:p>
      <w:pPr>
        <w:pStyle w:val="FootnoteText"/>
      </w:pPr>
      <w:r>
        <w:rPr>
          <w:rStyle w:val="FootnoteReference"/>
        </w:rPr>
        <w:footnoteRef/>
      </w:r>
      <w:r>
        <w:t xml:space="preserve"> Translation note: Greek says make knowledge here. Current line keeps that unusual phrase.</w:t>
      </w:r>
    </w:p>
  </w:footnote>
  <w:footnote w:id="7885">
    <w:p>
      <w:pPr>
        <w:pStyle w:val="FootnoteText"/>
      </w:pPr>
      <w:r>
        <w:rPr>
          <w:rStyle w:val="FootnoteReference"/>
        </w:rPr>
        <w:footnoteRef/>
      </w:r>
      <w:r>
        <w:t xml:space="preserve"> Translation note: Greek preserves different name forms and structure. The translation follows them.</w:t>
      </w:r>
    </w:p>
  </w:footnote>
  <w:footnote w:id="7886">
    <w:p>
      <w:pPr>
        <w:pStyle w:val="FootnoteText"/>
      </w:pPr>
      <w:r>
        <w:rPr>
          <w:rStyle w:val="FootnoteReference"/>
        </w:rPr>
        <w:footnoteRef/>
      </w:r>
      <w:r>
        <w:t xml:space="preserve"> Personal name: Eshton. Personal-name meaning: Eshton — rest; quiet. Source form: Eshton.</w:t>
      </w:r>
    </w:p>
  </w:footnote>
  <w:footnote w:id="7887">
    <w:p>
      <w:pPr>
        <w:pStyle w:val="FootnoteText"/>
      </w:pPr>
      <w:r>
        <w:rPr>
          <w:rStyle w:val="FootnoteReference"/>
        </w:rPr>
        <w:footnoteRef/>
      </w:r>
      <w:r>
        <w:t xml:space="preserve"> Cross-references for "Kenaz": Josh 15:17; Judg 1:13.</w:t>
      </w:r>
    </w:p>
  </w:footnote>
  <w:footnote w:id="7888">
    <w:p>
      <w:pPr>
        <w:pStyle w:val="FootnoteText"/>
      </w:pPr>
      <w:r>
        <w:rPr>
          <w:rStyle w:val="FootnoteReference"/>
        </w:rPr>
        <w:footnoteRef/>
      </w:r>
      <w:r>
        <w:t xml:space="preserve"> Personal name: Gothoniel. Personal-name meaning: Gothoniel — the hour of God. Source form: Gothoniel.</w:t>
      </w:r>
    </w:p>
  </w:footnote>
  <w:footnote w:id="7889">
    <w:p>
      <w:pPr>
        <w:pStyle w:val="FootnoteText"/>
      </w:pPr>
      <w:r>
        <w:rPr>
          <w:rStyle w:val="FootnoteReference"/>
        </w:rPr>
        <w:footnoteRef/>
      </w:r>
      <w:r>
        <w:t xml:space="preserve"> Personal name: Hathath. Personal-name meaning: Hathath — fear. Source form: Hathath.</w:t>
      </w:r>
    </w:p>
  </w:footnote>
  <w:footnote w:id="7890">
    <w:p>
      <w:pPr>
        <w:pStyle w:val="FootnoteText"/>
      </w:pPr>
      <w:r>
        <w:rPr>
          <w:rStyle w:val="FootnoteReference"/>
        </w:rPr>
        <w:footnoteRef/>
      </w:r>
      <w:r>
        <w:t xml:space="preserve"> Cross-references for "Caleb": Num 13:6; Num 13:30.</w:t>
      </w:r>
    </w:p>
  </w:footnote>
  <w:footnote w:id="7891">
    <w:p>
      <w:pPr>
        <w:pStyle w:val="FootnoteText"/>
      </w:pPr>
      <w:r>
        <w:rPr>
          <w:rStyle w:val="FootnoteReference"/>
        </w:rPr>
        <w:footnoteRef/>
      </w:r>
      <w:r>
        <w:t xml:space="preserve"> Personal name: Era. Personal-name meaning: Arah — the way; a traveler. Standard English equivalent: Arah. Source form: Era.</w:t>
      </w:r>
    </w:p>
  </w:footnote>
  <w:footnote w:id="7892">
    <w:p>
      <w:pPr>
        <w:pStyle w:val="FootnoteText"/>
      </w:pPr>
      <w:r>
        <w:rPr>
          <w:rStyle w:val="FootnoteReference"/>
        </w:rPr>
        <w:footnoteRef/>
      </w:r>
      <w:r>
        <w:t xml:space="preserve"> Personal name: Naam. Personal-name meaning: Naam — fair; pleasant. Source form: Naam.</w:t>
      </w:r>
    </w:p>
  </w:footnote>
  <w:footnote w:id="7893">
    <w:p>
      <w:pPr>
        <w:pStyle w:val="FootnoteText"/>
      </w:pPr>
      <w:r>
        <w:rPr>
          <w:rStyle w:val="FootnoteReference"/>
        </w:rPr>
        <w:footnoteRef/>
      </w:r>
      <w:r>
        <w:t xml:space="preserve"> Transliterated proper noun: Jehaleleel. Standard English equivalent: Jehaleleel. Source form: Jehaleleel. Greek form: γεσεηλ. Name meaning: praising God; clearness of God.</w:t>
      </w:r>
    </w:p>
  </w:footnote>
  <w:footnote w:id="7894">
    <w:p>
      <w:pPr>
        <w:pStyle w:val="FootnoteText"/>
      </w:pPr>
      <w:r>
        <w:rPr>
          <w:rStyle w:val="FootnoteReference"/>
        </w:rPr>
        <w:footnoteRef/>
      </w:r>
      <w:r>
        <w:t xml:space="preserve"> Personal name: Tiria. Personal-name meaning: Tiria — searching out. Source form: Tiria.</w:t>
      </w:r>
    </w:p>
  </w:footnote>
  <w:footnote w:id="7895">
    <w:p>
      <w:pPr>
        <w:pStyle w:val="FootnoteText"/>
      </w:pPr>
      <w:r>
        <w:rPr>
          <w:rStyle w:val="FootnoteReference"/>
        </w:rPr>
        <w:footnoteRef/>
      </w:r>
      <w:r>
        <w:t xml:space="preserve"> Cross-references for "Ezra": 1Chr 4:16.</w:t>
      </w:r>
    </w:p>
  </w:footnote>
  <w:footnote w:id="7896">
    <w:p>
      <w:pPr>
        <w:pStyle w:val="FootnoteText"/>
      </w:pPr>
      <w:r>
        <w:rPr>
          <w:rStyle w:val="FootnoteReference"/>
        </w:rPr>
        <w:footnoteRef/>
      </w:r>
      <w:r>
        <w:t xml:space="preserve"> Personal name: Mered. Personal-name meaning: Mered — rebellious, ruling. Source form: Mered.</w:t>
      </w:r>
    </w:p>
  </w:footnote>
  <w:footnote w:id="7897">
    <w:p>
      <w:pPr>
        <w:pStyle w:val="FootnoteText"/>
      </w:pPr>
      <w:r>
        <w:rPr>
          <w:rStyle w:val="FootnoteReference"/>
        </w:rPr>
        <w:footnoteRef/>
      </w:r>
      <w:r>
        <w:t xml:space="preserve"> Personal name: Jalon. Personal-name meaning: Jalon — tarrying; murmuring. Source form: Jalon.</w:t>
      </w:r>
    </w:p>
  </w:footnote>
  <w:footnote w:id="7898">
    <w:p>
      <w:pPr>
        <w:pStyle w:val="FootnoteText"/>
      </w:pPr>
      <w:r>
        <w:rPr>
          <w:rStyle w:val="FootnoteReference"/>
        </w:rPr>
        <w:footnoteRef/>
      </w:r>
      <w:r>
        <w:t xml:space="preserve"> Transliterated proper noun: Jehudijah. Standard English equivalent: Jehudijah. Source form: Jehudijah. Greek form: ιεκθιηλ. Name meaning: the praise of the Lord.</w:t>
      </w:r>
    </w:p>
  </w:footnote>
  <w:footnote w:id="7899">
    <w:p>
      <w:pPr>
        <w:pStyle w:val="FootnoteText"/>
      </w:pPr>
      <w:r>
        <w:rPr>
          <w:rStyle w:val="FootnoteReference"/>
        </w:rPr>
        <w:footnoteRef/>
      </w:r>
      <w:r>
        <w:t xml:space="preserve"> Transliterated proper noun: Zanoah. Standard English equivalent: Zanoah. Source form: Zanoah. Greek form: ζανω. Name meaning: forgetfulness; desertion.</w:t>
      </w:r>
    </w:p>
  </w:footnote>
  <w:footnote w:id="7900">
    <w:p>
      <w:pPr>
        <w:pStyle w:val="FootnoteText"/>
      </w:pPr>
      <w:r>
        <w:rPr>
          <w:rStyle w:val="FootnoteReference"/>
        </w:rPr>
        <w:footnoteRef/>
      </w:r>
      <w:r>
        <w:t xml:space="preserve"> Cross-references for "Jehudijah": 1Chr 4:19.</w:t>
      </w:r>
    </w:p>
  </w:footnote>
  <w:footnote w:id="7901">
    <w:p>
      <w:pPr>
        <w:pStyle w:val="FootnoteText"/>
      </w:pPr>
      <w:r>
        <w:rPr>
          <w:rStyle w:val="FootnoteReference"/>
        </w:rPr>
        <w:footnoteRef/>
      </w:r>
      <w:r>
        <w:t xml:space="preserve"> Transliterated proper noun: Idouia. Standard English equivalent: Hodiah. Source form: Idouia. Greek form: ιδουιας. Name meaning: the praise of the Lord.</w:t>
      </w:r>
    </w:p>
  </w:footnote>
  <w:footnote w:id="7902">
    <w:p>
      <w:pPr>
        <w:pStyle w:val="FootnoteText"/>
      </w:pPr>
      <w:r>
        <w:rPr>
          <w:rStyle w:val="FootnoteReference"/>
        </w:rPr>
        <w:footnoteRef/>
      </w:r>
      <w:r>
        <w:t xml:space="preserve"> Transliterated proper noun: Nachem. Standard English equivalent: Naham. Source form: Nachem. Greek form: ναχεμ. Name meaning: comforter; leader.</w:t>
      </w:r>
    </w:p>
  </w:footnote>
  <w:footnote w:id="7903">
    <w:p>
      <w:pPr>
        <w:pStyle w:val="FootnoteText"/>
      </w:pPr>
      <w:r>
        <w:rPr>
          <w:rStyle w:val="FootnoteReference"/>
        </w:rPr>
        <w:footnoteRef/>
      </w:r>
      <w:r>
        <w:t xml:space="preserve"> Transliterated proper noun: Semeion. Standard English equivalent: Shimon. Source form: Semeion. Greek form: σεμειων. Name meaning: providing well; fatness; oil.</w:t>
      </w:r>
    </w:p>
  </w:footnote>
  <w:footnote w:id="7904">
    <w:p>
      <w:pPr>
        <w:pStyle w:val="FootnoteText"/>
      </w:pPr>
      <w:r>
        <w:rPr>
          <w:rStyle w:val="FootnoteReference"/>
        </w:rPr>
        <w:footnoteRef/>
      </w:r>
      <w:r>
        <w:t xml:space="preserve"> Transliterated proper noun: Esthemoe. Standard English equivalent: Eshtemoa. Source form: Esthemoe. Greek form: εσθεμωη. Name meaning: the bosom of a woman.</w:t>
      </w:r>
    </w:p>
  </w:footnote>
  <w:footnote w:id="7905">
    <w:p>
      <w:pPr>
        <w:pStyle w:val="FootnoteText"/>
      </w:pPr>
      <w:r>
        <w:rPr>
          <w:rStyle w:val="FootnoteReference"/>
        </w:rPr>
        <w:footnoteRef/>
      </w:r>
      <w:r>
        <w:t xml:space="preserve"> Transliterated proper noun: Machathi. Standard English equivalent: Maachathite. Source form: Machathi. Greek form: μαχαθι. Name meaning: person of Maachah; oppression/squeezing.</w:t>
      </w:r>
    </w:p>
  </w:footnote>
  <w:footnote w:id="7906">
    <w:p>
      <w:pPr>
        <w:pStyle w:val="FootnoteText"/>
      </w:pPr>
      <w:r>
        <w:rPr>
          <w:rStyle w:val="FootnoteReference"/>
        </w:rPr>
        <w:footnoteRef/>
      </w:r>
      <w:r>
        <w:t xml:space="preserve"> Cross-references for "Hodiah": 1Chr 4:18.</w:t>
      </w:r>
    </w:p>
  </w:footnote>
  <w:footnote w:id="7907">
    <w:p>
      <w:pPr>
        <w:pStyle w:val="FootnoteText"/>
      </w:pPr>
      <w:r>
        <w:rPr>
          <w:rStyle w:val="FootnoteReference"/>
        </w:rPr>
        <w:footnoteRef/>
      </w:r>
      <w:r>
        <w:t xml:space="preserve"> Transliterated proper noun: Semeion. Standard English equivalent: Shimon. Source form: Semeion. Greek form: σεμιων. Name meaning: providing well; fatness; oil.</w:t>
      </w:r>
    </w:p>
  </w:footnote>
  <w:footnote w:id="7908">
    <w:p>
      <w:pPr>
        <w:pStyle w:val="FootnoteText"/>
      </w:pPr>
      <w:r>
        <w:rPr>
          <w:rStyle w:val="FootnoteReference"/>
        </w:rPr>
        <w:footnoteRef/>
      </w:r>
      <w:r>
        <w:t xml:space="preserve"> Transliterated proper noun: Rana. Standard English equivalent: Rinnah. Source form: Rana. Greek form: ρανα. Name meaning: song; rejoicing.</w:t>
      </w:r>
    </w:p>
  </w:footnote>
  <w:footnote w:id="7909">
    <w:p>
      <w:pPr>
        <w:pStyle w:val="FootnoteText"/>
      </w:pPr>
      <w:r>
        <w:rPr>
          <w:rStyle w:val="FootnoteReference"/>
        </w:rPr>
        <w:footnoteRef/>
      </w:r>
      <w:r>
        <w:t xml:space="preserve"> Personal name: Tilon. Personal-name meaning: Tilon — murmuring. Source form: Tilon.</w:t>
      </w:r>
    </w:p>
  </w:footnote>
  <w:footnote w:id="7910">
    <w:p>
      <w:pPr>
        <w:pStyle w:val="FootnoteText"/>
      </w:pPr>
      <w:r>
        <w:rPr>
          <w:rStyle w:val="FootnoteReference"/>
        </w:rPr>
        <w:footnoteRef/>
      </w:r>
      <w:r>
        <w:t xml:space="preserve"> Transliterated proper noun: Zoath. Standard English equivalent: Zoheth. Source form: Zoath. Greek form: ζωαθ. Name meaning: separation; amazing.</w:t>
      </w:r>
    </w:p>
  </w:footnote>
  <w:footnote w:id="7911">
    <w:p>
      <w:pPr>
        <w:pStyle w:val="FootnoteText"/>
      </w:pPr>
      <w:r>
        <w:rPr>
          <w:rStyle w:val="FootnoteReference"/>
        </w:rPr>
        <w:footnoteRef/>
      </w:r>
      <w:r>
        <w:t xml:space="preserve"> Personal name: Laadah. Personal-name meaning: Laadah — to assemble together; to testify; passing over. Source form: Laadah.</w:t>
      </w:r>
    </w:p>
  </w:footnote>
  <w:footnote w:id="7912">
    <w:p>
      <w:pPr>
        <w:pStyle w:val="FootnoteText"/>
      </w:pPr>
      <w:r>
        <w:rPr>
          <w:rStyle w:val="FootnoteReference"/>
        </w:rPr>
        <w:footnoteRef/>
      </w:r>
      <w:r>
        <w:t xml:space="preserve"> Transliterated proper noun: Chozeba. Standard English equivalent: Chozeba. Source form: Chozeba. Greek form: χωζηβα. Name meaning: men liers in wait.</w:t>
      </w:r>
    </w:p>
  </w:footnote>
  <w:footnote w:id="7913">
    <w:p>
      <w:pPr>
        <w:pStyle w:val="FootnoteText"/>
      </w:pPr>
      <w:r>
        <w:rPr>
          <w:rStyle w:val="FootnoteReference"/>
        </w:rPr>
        <w:footnoteRef/>
      </w:r>
      <w:r>
        <w:t xml:space="preserve"> Personal name: Saraph. Personal-name meaning: Saraph — burning one; fiery serpent. Source form: Saraph.</w:t>
      </w:r>
    </w:p>
  </w:footnote>
  <w:footnote w:id="7914">
    <w:p>
      <w:pPr>
        <w:pStyle w:val="FootnoteText"/>
      </w:pPr>
      <w:r>
        <w:rPr>
          <w:rStyle w:val="FootnoteReference"/>
        </w:rPr>
        <w:footnoteRef/>
      </w:r>
      <w:r>
        <w:t xml:space="preserve"> Cross-references for "Nemuel": Gen 46:10; Exod 6:15.</w:t>
      </w:r>
    </w:p>
  </w:footnote>
  <w:footnote w:id="7915">
    <w:p>
      <w:pPr>
        <w:pStyle w:val="FootnoteText"/>
      </w:pPr>
      <w:r>
        <w:rPr>
          <w:rStyle w:val="FootnoteReference"/>
        </w:rPr>
        <w:footnoteRef/>
      </w:r>
      <w:r>
        <w:t xml:space="preserve"> Personal name: Jarib. Personal-name meaning: Jarib — fighting; chiding; multiplying; avenging. Source form: Jarib.</w:t>
      </w:r>
    </w:p>
  </w:footnote>
  <w:footnote w:id="7916">
    <w:p>
      <w:pPr>
        <w:pStyle w:val="FootnoteText"/>
      </w:pPr>
      <w:r>
        <w:rPr>
          <w:rStyle w:val="FootnoteReference"/>
        </w:rPr>
        <w:footnoteRef/>
      </w:r>
      <w:r>
        <w:t xml:space="preserve"> Cross-references for "Beersheba": Josh 15:28-29; Josh 19:2-3.</w:t>
      </w:r>
    </w:p>
  </w:footnote>
  <w:footnote w:id="7917">
    <w:p>
      <w:pPr>
        <w:pStyle w:val="FootnoteText"/>
      </w:pPr>
      <w:r>
        <w:rPr>
          <w:rStyle w:val="FootnoteReference"/>
        </w:rPr>
        <w:footnoteRef/>
      </w:r>
      <w:r>
        <w:t xml:space="preserve"> Cross-references for "Bilhah": Josh 19:3.</w:t>
      </w:r>
    </w:p>
  </w:footnote>
  <w:footnote w:id="7918">
    <w:p>
      <w:pPr>
        <w:pStyle w:val="FootnoteText"/>
      </w:pPr>
      <w:r>
        <w:rPr>
          <w:rStyle w:val="FootnoteReference"/>
        </w:rPr>
        <w:footnoteRef/>
      </w:r>
      <w:r>
        <w:t xml:space="preserve"> Place name: Ezem. Place-name meaning: Ezem — a bone. Source form: Ezem.</w:t>
      </w:r>
    </w:p>
  </w:footnote>
  <w:footnote w:id="7919">
    <w:p>
      <w:pPr>
        <w:pStyle w:val="FootnoteText"/>
      </w:pPr>
      <w:r>
        <w:rPr>
          <w:rStyle w:val="FootnoteReference"/>
        </w:rPr>
        <w:footnoteRef/>
      </w:r>
      <w:r>
        <w:t xml:space="preserve"> Place name: Tolad. Place-name meaning: Tolad — a generation. Source form: Tolad. Greek form: θουλαδ.</w:t>
      </w:r>
    </w:p>
  </w:footnote>
  <w:footnote w:id="7920">
    <w:p>
      <w:pPr>
        <w:pStyle w:val="FootnoteText"/>
      </w:pPr>
      <w:r>
        <w:rPr>
          <w:rStyle w:val="FootnoteReference"/>
        </w:rPr>
        <w:footnoteRef/>
      </w:r>
      <w:r>
        <w:t xml:space="preserve"> Cross-references for "Bethuel": Josh 19:4.</w:t>
      </w:r>
    </w:p>
  </w:footnote>
  <w:footnote w:id="7921">
    <w:p>
      <w:pPr>
        <w:pStyle w:val="FootnoteText"/>
      </w:pPr>
      <w:r>
        <w:rPr>
          <w:rStyle w:val="FootnoteReference"/>
        </w:rPr>
        <w:footnoteRef/>
      </w:r>
      <w:r>
        <w:t xml:space="preserve"> Cross-references for "Etam": Josh 19:7.</w:t>
      </w:r>
    </w:p>
  </w:footnote>
  <w:footnote w:id="7922">
    <w:p>
      <w:pPr>
        <w:pStyle w:val="FootnoteText"/>
      </w:pPr>
      <w:r>
        <w:rPr>
          <w:rStyle w:val="FootnoteReference"/>
        </w:rPr>
        <w:footnoteRef/>
      </w:r>
      <w:r>
        <w:t xml:space="preserve"> Cross-references for "Baal": Josh 19:8.</w:t>
      </w:r>
    </w:p>
  </w:footnote>
  <w:footnote w:id="7923">
    <w:p>
      <w:pPr>
        <w:pStyle w:val="FootnoteText"/>
      </w:pPr>
      <w:r>
        <w:rPr>
          <w:rStyle w:val="FootnoteReference"/>
        </w:rPr>
        <w:footnoteRef/>
      </w:r>
      <w:r>
        <w:t xml:space="preserve"> Personal name: Joshah. Personal-name meaning: Joshah — being; forgetting; owing. Source form: Joshah.</w:t>
      </w:r>
    </w:p>
  </w:footnote>
  <w:footnote w:id="7924">
    <w:p>
      <w:pPr>
        <w:pStyle w:val="FootnoteText"/>
      </w:pPr>
      <w:r>
        <w:rPr>
          <w:rStyle w:val="FootnoteReference"/>
        </w:rPr>
        <w:footnoteRef/>
      </w:r>
      <w:r>
        <w:t xml:space="preserve"> Personal name: Jaakobah. Personal-name meaning: Jaakobah — supplanter; deceiver; the heel. Source form: Jaakobah.</w:t>
      </w:r>
    </w:p>
  </w:footnote>
  <w:footnote w:id="7925">
    <w:p>
      <w:pPr>
        <w:pStyle w:val="FootnoteText"/>
      </w:pPr>
      <w:r>
        <w:rPr>
          <w:rStyle w:val="FootnoteReference"/>
        </w:rPr>
        <w:footnoteRef/>
      </w:r>
      <w:r>
        <w:t xml:space="preserve"> Personal name: Adiel. Personal-name meaning: Adiel — the witness of the Lord. Source form: Adiel.</w:t>
      </w:r>
    </w:p>
  </w:footnote>
  <w:footnote w:id="7926">
    <w:p>
      <w:pPr>
        <w:pStyle w:val="FootnoteText"/>
      </w:pPr>
      <w:r>
        <w:rPr>
          <w:rStyle w:val="FootnoteReference"/>
        </w:rPr>
        <w:footnoteRef/>
      </w:r>
      <w:r>
        <w:t xml:space="preserve"> Personal name: Ziza. Personal-name meaning: Ziza — shining; going back. Source form: Ziza.</w:t>
      </w:r>
    </w:p>
  </w:footnote>
  <w:footnote w:id="7927">
    <w:p>
      <w:pPr>
        <w:pStyle w:val="FootnoteText"/>
      </w:pPr>
      <w:r>
        <w:rPr>
          <w:rStyle w:val="FootnoteReference"/>
        </w:rPr>
        <w:footnoteRef/>
      </w:r>
      <w:r>
        <w:t xml:space="preserve"> Personal name: Shiphi. Personal-name meaning: Shiphi — multitude. Source form: Shiphi.</w:t>
      </w:r>
    </w:p>
  </w:footnote>
  <w:footnote w:id="7928">
    <w:p>
      <w:pPr>
        <w:pStyle w:val="FootnoteText"/>
      </w:pPr>
      <w:r>
        <w:rPr>
          <w:rStyle w:val="FootnoteReference"/>
        </w:rPr>
        <w:footnoteRef/>
      </w:r>
      <w:r>
        <w:t xml:space="preserve"> Personal name: Shimri. Personal-name meaning: Shimri — thorn; dregs. Source form: Shimri.</w:t>
      </w:r>
    </w:p>
  </w:footnote>
  <w:footnote w:id="7929">
    <w:p>
      <w:pPr>
        <w:pStyle w:val="FootnoteText"/>
      </w:pPr>
      <w:r>
        <w:rPr>
          <w:rStyle w:val="FootnoteReference"/>
        </w:rPr>
        <w:footnoteRef/>
      </w:r>
      <w:r>
        <w:t xml:space="preserve"> Translation note: Greek gives a compact genealogy chain. Current wording preserves the source-row sequence.</w:t>
      </w:r>
    </w:p>
  </w:footnote>
  <w:footnote w:id="7930">
    <w:p>
      <w:pPr>
        <w:pStyle w:val="FootnoteText"/>
      </w:pPr>
      <w:r>
        <w:rPr>
          <w:rStyle w:val="FootnoteReference"/>
        </w:rPr>
        <w:footnoteRef/>
      </w:r>
      <w:r>
        <w:t xml:space="preserve"> Cross-references for "Hezekiah": 2Kgs 18:8-12; Isa 14:28-32.</w:t>
      </w:r>
    </w:p>
  </w:footnote>
  <w:footnote w:id="7931">
    <w:p>
      <w:pPr>
        <w:pStyle w:val="FootnoteText"/>
      </w:pPr>
      <w:r>
        <w:rPr>
          <w:rStyle w:val="FootnoteReference"/>
        </w:rPr>
        <w:footnoteRef/>
      </w:r>
      <w:r>
        <w:t xml:space="preserve"> People-name: Meunites. People-name meaning: Meunites — dwellers; habitation people. Source form: Meunites.</w:t>
      </w:r>
    </w:p>
  </w:footnote>
  <w:footnote w:id="7932">
    <w:p>
      <w:pPr>
        <w:pStyle w:val="FootnoteText"/>
      </w:pPr>
      <w:r>
        <w:rPr>
          <w:rStyle w:val="FootnoteReference"/>
        </w:rPr>
        <w:footnoteRef/>
      </w:r>
      <w:r>
        <w:t xml:space="preserve"> Translation note: The Septuagint preserves a specific ethnic or group name here. The translation keeps that name rather than flattening it into generic habitations.</w:t>
      </w:r>
    </w:p>
  </w:footnote>
  <w:footnote w:id="7933">
    <w:p>
      <w:pPr>
        <w:pStyle w:val="FootnoteText"/>
      </w:pPr>
      <w:r>
        <w:rPr>
          <w:rStyle w:val="FootnoteReference"/>
        </w:rPr>
        <w:footnoteRef/>
      </w:r>
      <w:r>
        <w:t xml:space="preserve"> Cross-references for "Mount Seir": Gen 36:8-9; Deut 1:2.</w:t>
      </w:r>
    </w:p>
  </w:footnote>
  <w:footnote w:id="7934">
    <w:p>
      <w:pPr>
        <w:pStyle w:val="FootnoteText"/>
      </w:pPr>
      <w:r>
        <w:rPr>
          <w:rStyle w:val="FootnoteReference"/>
        </w:rPr>
        <w:footnoteRef/>
      </w:r>
      <w:r>
        <w:t xml:space="preserve"> Translation note: Greek says blessing given to Joseph and not enrolled for firstborn rights.</w:t>
      </w:r>
    </w:p>
  </w:footnote>
  <w:footnote w:id="7935">
    <w:p>
      <w:pPr>
        <w:pStyle w:val="FootnoteText"/>
      </w:pPr>
      <w:r>
        <w:rPr>
          <w:rStyle w:val="FootnoteReference"/>
        </w:rPr>
        <w:footnoteRef/>
      </w:r>
      <w:r>
        <w:t xml:space="preserve"> Cross-references for "Judah": Gen 35:23; Gen 49:8-10.</w:t>
      </w:r>
    </w:p>
  </w:footnote>
  <w:footnote w:id="7936">
    <w:p>
      <w:pPr>
        <w:pStyle w:val="FootnoteText"/>
      </w:pPr>
      <w:r>
        <w:rPr>
          <w:rStyle w:val="FootnoteReference"/>
        </w:rPr>
        <w:footnoteRef/>
      </w:r>
      <w:r>
        <w:t xml:space="preserve"> Cross-references for "Pallu": Gen 46:9; Num 26:5.</w:t>
      </w:r>
    </w:p>
  </w:footnote>
  <w:footnote w:id="7937">
    <w:p>
      <w:pPr>
        <w:pStyle w:val="FootnoteText"/>
      </w:pPr>
      <w:r>
        <w:rPr>
          <w:rStyle w:val="FootnoteReference"/>
        </w:rPr>
        <w:footnoteRef/>
      </w:r>
      <w:r>
        <w:t xml:space="preserve"> Cross-references for "Joel": 1Sam 8:2.</w:t>
      </w:r>
    </w:p>
  </w:footnote>
  <w:footnote w:id="7938">
    <w:p>
      <w:pPr>
        <w:pStyle w:val="FootnoteText"/>
      </w:pPr>
      <w:r>
        <w:rPr>
          <w:rStyle w:val="FootnoteReference"/>
        </w:rPr>
        <w:footnoteRef/>
      </w:r>
      <w:r>
        <w:t xml:space="preserve"> Personal name: Beerah. Personal-name meaning: Beerah — a well; declaring. Source form: Beerah.</w:t>
      </w:r>
    </w:p>
  </w:footnote>
  <w:footnote w:id="7939">
    <w:p>
      <w:pPr>
        <w:pStyle w:val="FootnoteText"/>
      </w:pPr>
      <w:r>
        <w:rPr>
          <w:rStyle w:val="FootnoteReference"/>
        </w:rPr>
        <w:footnoteRef/>
      </w:r>
      <w:r>
        <w:t xml:space="preserve"> Transliterated proper noun: Tilgathpilneser. Standard English equivalent: Tilgathpilneser. Source form: Tilgathpilneser. Greek form: θαγλαθφαλνασαρ. Name meaning: that binds or takes away captivity.</w:t>
      </w:r>
    </w:p>
  </w:footnote>
  <w:footnote w:id="7940">
    <w:p>
      <w:pPr>
        <w:pStyle w:val="FootnoteText"/>
      </w:pPr>
      <w:r>
        <w:rPr>
          <w:rStyle w:val="FootnoteReference"/>
        </w:rPr>
        <w:footnoteRef/>
      </w:r>
      <w:r>
        <w:t xml:space="preserve"> Place name: Assyria. Place-name meaning: Assyria — country of Assur or Ashur. Source form: Assyria. Greek form: ασσουρ.</w:t>
      </w:r>
    </w:p>
  </w:footnote>
  <w:footnote w:id="7941">
    <w:p>
      <w:pPr>
        <w:pStyle w:val="FootnoteText"/>
      </w:pPr>
      <w:r>
        <w:rPr>
          <w:rStyle w:val="FootnoteReference"/>
        </w:rPr>
        <w:footnoteRef/>
      </w:r>
      <w:r>
        <w:t xml:space="preserve"> Cross-references for "Tilgathpilneser": 2Kgs 15:29; 2Kgs 16:7.</w:t>
      </w:r>
    </w:p>
  </w:footnote>
  <w:footnote w:id="7942">
    <w:p>
      <w:pPr>
        <w:pStyle w:val="FootnoteText"/>
      </w:pPr>
      <w:r>
        <w:rPr>
          <w:rStyle w:val="FootnoteReference"/>
        </w:rPr>
        <w:footnoteRef/>
      </w:r>
      <w:r>
        <w:t xml:space="preserve"> Cross-references for "Aroer": Num 32:34; Deut 2:36.</w:t>
      </w:r>
    </w:p>
  </w:footnote>
  <w:footnote w:id="7943">
    <w:p>
      <w:pPr>
        <w:pStyle w:val="FootnoteText"/>
      </w:pPr>
      <w:r>
        <w:rPr>
          <w:rStyle w:val="FootnoteReference"/>
        </w:rPr>
        <w:footnoteRef/>
      </w:r>
      <w:r>
        <w:t xml:space="preserve"> Transliterated proper noun: Baalmeon. Standard English equivalent: Baalmeon. Source form: Baalmeon. Greek form: βεελμαων. Name meaning: idol or master of the house.</w:t>
      </w:r>
    </w:p>
  </w:footnote>
  <w:footnote w:id="7944">
    <w:p>
      <w:pPr>
        <w:pStyle w:val="FootnoteText"/>
      </w:pPr>
      <w:r>
        <w:rPr>
          <w:rStyle w:val="FootnoteReference"/>
        </w:rPr>
        <w:footnoteRef/>
      </w:r>
      <w:r>
        <w:t xml:space="preserve"> Cross-references for "Euphrates": Gen 2:14; 2Kgs 24:7.</w:t>
      </w:r>
    </w:p>
  </w:footnote>
  <w:footnote w:id="7945">
    <w:p>
      <w:pPr>
        <w:pStyle w:val="FootnoteText"/>
      </w:pPr>
      <w:r>
        <w:rPr>
          <w:rStyle w:val="FootnoteReference"/>
        </w:rPr>
        <w:footnoteRef/>
      </w:r>
      <w:r>
        <w:t xml:space="preserve"> Cross-references for "Salcah": Josh 13:11.</w:t>
      </w:r>
    </w:p>
  </w:footnote>
  <w:footnote w:id="7946">
    <w:p>
      <w:pPr>
        <w:pStyle w:val="FootnoteText"/>
      </w:pPr>
      <w:r>
        <w:rPr>
          <w:rStyle w:val="FootnoteReference"/>
        </w:rPr>
        <w:footnoteRef/>
      </w:r>
      <w:r>
        <w:t xml:space="preserve"> Cross-references for "Joel": 1Sam 8:2.</w:t>
      </w:r>
    </w:p>
  </w:footnote>
  <w:footnote w:id="7947">
    <w:p>
      <w:pPr>
        <w:pStyle w:val="FootnoteText"/>
      </w:pPr>
      <w:r>
        <w:rPr>
          <w:rStyle w:val="FootnoteReference"/>
        </w:rPr>
        <w:footnoteRef/>
      </w:r>
      <w:r>
        <w:t xml:space="preserve"> Personal name: Shapham. Personal-name meaning: Shapham — rabbit; wild rat; their lip; their brink. Source form: Shapham.</w:t>
      </w:r>
    </w:p>
  </w:footnote>
  <w:footnote w:id="7948">
    <w:p>
      <w:pPr>
        <w:pStyle w:val="FootnoteText"/>
      </w:pPr>
      <w:r>
        <w:rPr>
          <w:rStyle w:val="FootnoteReference"/>
        </w:rPr>
        <w:footnoteRef/>
      </w:r>
      <w:r>
        <w:t xml:space="preserve"> Cross-references for "Michael": Dan 12:1.</w:t>
      </w:r>
    </w:p>
  </w:footnote>
  <w:footnote w:id="7949">
    <w:p>
      <w:pPr>
        <w:pStyle w:val="FootnoteText"/>
      </w:pPr>
      <w:r>
        <w:rPr>
          <w:rStyle w:val="FootnoteReference"/>
        </w:rPr>
        <w:footnoteRef/>
      </w:r>
      <w:r>
        <w:t xml:space="preserve"> Personal name: Jachan. Personal-name meaning: Jachan — wearing out; oppressing. Source form: Jachan.</w:t>
      </w:r>
    </w:p>
  </w:footnote>
  <w:footnote w:id="7950">
    <w:p>
      <w:pPr>
        <w:pStyle w:val="FootnoteText"/>
      </w:pPr>
      <w:r>
        <w:rPr>
          <w:rStyle w:val="FootnoteReference"/>
        </w:rPr>
        <w:footnoteRef/>
      </w:r>
      <w:r>
        <w:t xml:space="preserve"> Cross-references for "Abihail": Num 3:35.</w:t>
      </w:r>
    </w:p>
  </w:footnote>
  <w:footnote w:id="7951">
    <w:p>
      <w:pPr>
        <w:pStyle w:val="FootnoteText"/>
      </w:pPr>
      <w:r>
        <w:rPr>
          <w:rStyle w:val="FootnoteReference"/>
        </w:rPr>
        <w:footnoteRef/>
      </w:r>
      <w:r>
        <w:t xml:space="preserve"> Personal name: Jeshishai. Personal-name meaning: Jeshishai — ancient; rejoicing exceedingly. Source form: Jeshishai.</w:t>
      </w:r>
    </w:p>
  </w:footnote>
  <w:footnote w:id="7952">
    <w:p>
      <w:pPr>
        <w:pStyle w:val="FootnoteText"/>
      </w:pPr>
      <w:r>
        <w:rPr>
          <w:rStyle w:val="FootnoteReference"/>
        </w:rPr>
        <w:footnoteRef/>
      </w:r>
      <w:r>
        <w:t xml:space="preserve"> Personal name: Abdiel. Personal-name meaning: Abdiel — servant of God. Source form: Abdiel.</w:t>
      </w:r>
    </w:p>
  </w:footnote>
  <w:footnote w:id="7953">
    <w:p>
      <w:pPr>
        <w:pStyle w:val="FootnoteText"/>
      </w:pPr>
      <w:r>
        <w:rPr>
          <w:rStyle w:val="FootnoteReference"/>
        </w:rPr>
        <w:footnoteRef/>
      </w:r>
      <w:r>
        <w:t xml:space="preserve"> Translation note: Greek uses the terse chief-of-house-of-fathers formula here. Current wording preserves that genealogy title.</w:t>
      </w:r>
    </w:p>
  </w:footnote>
  <w:footnote w:id="7954">
    <w:p>
      <w:pPr>
        <w:pStyle w:val="FootnoteText"/>
      </w:pPr>
      <w:r>
        <w:rPr>
          <w:rStyle w:val="FootnoteReference"/>
        </w:rPr>
        <w:footnoteRef/>
      </w:r>
      <w:r>
        <w:t xml:space="preserve"> Cross-references for "Abdiel": Gen 46:24.</w:t>
      </w:r>
    </w:p>
  </w:footnote>
  <w:footnote w:id="7955">
    <w:p>
      <w:pPr>
        <w:pStyle w:val="FootnoteText"/>
      </w:pPr>
      <w:r>
        <w:rPr>
          <w:rStyle w:val="FootnoteReference"/>
        </w:rPr>
        <w:footnoteRef/>
      </w:r>
      <w:r>
        <w:t xml:space="preserve"> Cross-references for "Gilead": Gen 31:23.</w:t>
      </w:r>
    </w:p>
  </w:footnote>
  <w:footnote w:id="7956">
    <w:p>
      <w:pPr>
        <w:pStyle w:val="FootnoteText"/>
      </w:pPr>
      <w:r>
        <w:rPr>
          <w:rStyle w:val="FootnoteReference"/>
        </w:rPr>
        <w:footnoteRef/>
      </w:r>
      <w:r>
        <w:t xml:space="preserve"> Cross-references for "Jotham": Judg 9:5; 2Kgs 15:5.</w:t>
      </w:r>
    </w:p>
  </w:footnote>
  <w:footnote w:id="7957">
    <w:p>
      <w:pPr>
        <w:pStyle w:val="FootnoteText"/>
      </w:pPr>
      <w:r>
        <w:rPr>
          <w:rStyle w:val="FootnoteReference"/>
        </w:rPr>
        <w:footnoteRef/>
      </w:r>
      <w:r>
        <w:t xml:space="preserve"> Cross-references for "Reuben": Gen 29:32; 2Kgs 10:33.</w:t>
      </w:r>
    </w:p>
  </w:footnote>
  <w:footnote w:id="7958">
    <w:p>
      <w:pPr>
        <w:pStyle w:val="FootnoteText"/>
      </w:pPr>
      <w:r>
        <w:rPr>
          <w:rStyle w:val="FootnoteReference"/>
        </w:rPr>
        <w:footnoteRef/>
      </w:r>
      <w:r>
        <w:t xml:space="preserve"> Translation note: Greek speaks of sons of power rather than using the smoother valor idiom. The translation keeps that wording more directly.</w:t>
      </w:r>
    </w:p>
  </w:footnote>
  <w:footnote w:id="7959">
    <w:p>
      <w:pPr>
        <w:pStyle w:val="FootnoteText"/>
      </w:pPr>
      <w:r>
        <w:rPr>
          <w:rStyle w:val="FootnoteReference"/>
        </w:rPr>
        <w:footnoteRef/>
      </w:r>
      <w:r>
        <w:t xml:space="preserve"> Cross-references for "made war": 1Chr 5:10.</w:t>
      </w:r>
    </w:p>
  </w:footnote>
  <w:footnote w:id="7960">
    <w:p>
      <w:pPr>
        <w:pStyle w:val="FootnoteText"/>
      </w:pPr>
      <w:r>
        <w:rPr>
          <w:rStyle w:val="FootnoteReference"/>
        </w:rPr>
        <w:footnoteRef/>
      </w:r>
      <w:r>
        <w:t xml:space="preserve"> Transliterated proper noun: Hagarites. Standard English equivalent: Hagarites. Source form: Hagarites. Greek form: αγαρηνων. Name meaning: Flight; fugitive; sojourner.</w:t>
      </w:r>
    </w:p>
  </w:footnote>
  <w:footnote w:id="7961">
    <w:p>
      <w:pPr>
        <w:pStyle w:val="FootnoteText"/>
      </w:pPr>
      <w:r>
        <w:rPr>
          <w:rStyle w:val="FootnoteReference"/>
        </w:rPr>
        <w:footnoteRef/>
      </w:r>
      <w:r>
        <w:t xml:space="preserve"> Transliterated proper noun: Nephish. Standard English equivalent: Nephish. Source form: Nephish. Greek form: ναφισαιων. Name meaning: the soul; he that rests, refreshes himself, or respires.</w:t>
      </w:r>
    </w:p>
  </w:footnote>
  <w:footnote w:id="7962">
    <w:p>
      <w:pPr>
        <w:pStyle w:val="FootnoteText"/>
      </w:pPr>
      <w:r>
        <w:rPr>
          <w:rStyle w:val="FootnoteReference"/>
        </w:rPr>
        <w:footnoteRef/>
      </w:r>
      <w:r>
        <w:t xml:space="preserve"> Place name: Nodab. Place-name meaning: Nodab — vowing of his own accord. Source form: Nodab. Greek form: ναδαβαιων.</w:t>
      </w:r>
    </w:p>
  </w:footnote>
  <w:footnote w:id="7963">
    <w:p>
      <w:pPr>
        <w:pStyle w:val="FootnoteText"/>
      </w:pPr>
      <w:r>
        <w:rPr>
          <w:rStyle w:val="FootnoteReference"/>
        </w:rPr>
        <w:footnoteRef/>
      </w:r>
      <w:r>
        <w:t xml:space="preserve"> Translation note: Greek says hoped in him here.</w:t>
      </w:r>
    </w:p>
  </w:footnote>
  <w:footnote w:id="7964">
    <w:p>
      <w:pPr>
        <w:pStyle w:val="FootnoteText"/>
      </w:pPr>
      <w:r>
        <w:rPr>
          <w:rStyle w:val="FootnoteReference"/>
        </w:rPr>
        <w:footnoteRef/>
      </w:r>
      <w:r>
        <w:t xml:space="preserve"> Cross-references for "they dwelt": Num 32:33.</w:t>
      </w:r>
    </w:p>
  </w:footnote>
  <w:footnote w:id="7965">
    <w:p>
      <w:pPr>
        <w:pStyle w:val="FootnoteText"/>
      </w:pPr>
      <w:r>
        <w:rPr>
          <w:rStyle w:val="FootnoteReference"/>
        </w:rPr>
        <w:footnoteRef/>
      </w:r>
      <w:r>
        <w:t xml:space="preserve"> Cross-references for "Baalhermon": Josh 13:29-31.</w:t>
      </w:r>
    </w:p>
  </w:footnote>
  <w:footnote w:id="7966">
    <w:p>
      <w:pPr>
        <w:pStyle w:val="FootnoteText"/>
      </w:pPr>
      <w:r>
        <w:rPr>
          <w:rStyle w:val="FootnoteReference"/>
        </w:rPr>
        <w:footnoteRef/>
      </w:r>
      <w:r>
        <w:t xml:space="preserve"> Personal name: Eliel. Personal-name meaning: Eliel — my God. Source form: Eliel.</w:t>
      </w:r>
    </w:p>
  </w:footnote>
  <w:footnote w:id="7967">
    <w:p>
      <w:pPr>
        <w:pStyle w:val="FootnoteText"/>
      </w:pPr>
      <w:r>
        <w:rPr>
          <w:rStyle w:val="FootnoteReference"/>
        </w:rPr>
        <w:footnoteRef/>
      </w:r>
      <w:r>
        <w:t xml:space="preserve"> Personal name: Jahdiel. Personal-name meaning: Jahdiel — the unity, or sharpness, or revenge, of God. Source form: Jahdiel.</w:t>
      </w:r>
    </w:p>
  </w:footnote>
  <w:footnote w:id="7968">
    <w:p>
      <w:pPr>
        <w:pStyle w:val="FootnoteText"/>
      </w:pPr>
      <w:r>
        <w:rPr>
          <w:rStyle w:val="FootnoteReference"/>
        </w:rPr>
        <w:footnoteRef/>
      </w:r>
      <w:r>
        <w:t xml:space="preserve"> Translation note: Greek says men renowned here. Current line keeps that wording.</w:t>
      </w:r>
    </w:p>
  </w:footnote>
  <w:footnote w:id="7969">
    <w:p>
      <w:pPr>
        <w:pStyle w:val="FootnoteText"/>
      </w:pPr>
      <w:r>
        <w:rPr>
          <w:rStyle w:val="FootnoteReference"/>
        </w:rPr>
        <w:footnoteRef/>
      </w:r>
      <w:r>
        <w:t xml:space="preserve"> Cross-references for "after the gods": Judg 2:12; 2Chr 25:14-15.</w:t>
      </w:r>
    </w:p>
  </w:footnote>
  <w:footnote w:id="7970">
    <w:p>
      <w:pPr>
        <w:pStyle w:val="FootnoteText"/>
      </w:pPr>
      <w:r>
        <w:rPr>
          <w:rStyle w:val="FootnoteReference"/>
        </w:rPr>
        <w:footnoteRef/>
      </w:r>
      <w:r>
        <w:t xml:space="preserve"> Translation note: Greek says whored after gods of peoples of land.</w:t>
      </w:r>
    </w:p>
  </w:footnote>
  <w:footnote w:id="7971">
    <w:p>
      <w:pPr>
        <w:pStyle w:val="FootnoteText"/>
      </w:pPr>
      <w:r>
        <w:rPr>
          <w:rStyle w:val="FootnoteReference"/>
        </w:rPr>
        <w:footnoteRef/>
      </w:r>
      <w:r>
        <w:t xml:space="preserve"> Cross-references for "stirred up": 2Sam 24:1; 2Chr 33:11.</w:t>
      </w:r>
    </w:p>
  </w:footnote>
  <w:footnote w:id="7972">
    <w:p>
      <w:pPr>
        <w:pStyle w:val="FootnoteText"/>
      </w:pPr>
      <w:r>
        <w:rPr>
          <w:rStyle w:val="FootnoteReference"/>
        </w:rPr>
        <w:footnoteRef/>
      </w:r>
      <w:r>
        <w:t xml:space="preserve"> Translation note: Greek uses a deportation verb for the Assyrian removal. The translation keeps that exile-language direct.</w:t>
      </w:r>
    </w:p>
  </w:footnote>
  <w:footnote w:id="7973">
    <w:p>
      <w:pPr>
        <w:pStyle w:val="FootnoteText"/>
      </w:pPr>
      <w:r>
        <w:rPr>
          <w:rStyle w:val="FootnoteReference"/>
        </w:rPr>
        <w:footnoteRef/>
      </w:r>
      <w:r>
        <w:t xml:space="preserve"> Transliterated proper noun: Gaddi. Standard English equivalent: Gadites. Source form: Gaddi. Greek form: γαδδι. Name meaning: Fortune; troop.</w:t>
      </w:r>
    </w:p>
  </w:footnote>
  <w:footnote w:id="7974">
    <w:p>
      <w:pPr>
        <w:pStyle w:val="FootnoteText"/>
      </w:pPr>
      <w:r>
        <w:rPr>
          <w:rStyle w:val="FootnoteReference"/>
        </w:rPr>
        <w:footnoteRef/>
      </w:r>
      <w:r>
        <w:t xml:space="preserve"> Place name: Hara. Place-name meaning: Hara — a hill; showing forth. Source form: Hara. Greek form: χαβωρ.</w:t>
      </w:r>
    </w:p>
  </w:footnote>
  <w:footnote w:id="7975">
    <w:p>
      <w:pPr>
        <w:pStyle w:val="FootnoteText"/>
      </w:pPr>
      <w:r>
        <w:rPr>
          <w:rStyle w:val="FootnoteReference"/>
        </w:rPr>
        <w:footnoteRef/>
      </w:r>
      <w:r>
        <w:t xml:space="preserve"> Personal name: Abishua. Personal-name meaning: Abishua — father of salvation. Source form: Abishua.</w:t>
      </w:r>
    </w:p>
  </w:footnote>
  <w:footnote w:id="7976">
    <w:p>
      <w:pPr>
        <w:pStyle w:val="FootnoteText"/>
      </w:pPr>
      <w:r>
        <w:rPr>
          <w:rStyle w:val="FootnoteReference"/>
        </w:rPr>
        <w:footnoteRef/>
      </w:r>
      <w:r>
        <w:t xml:space="preserve"> Personal name: Bukki. Personal-name meaning: Bukki — void. Source form: Bukki.</w:t>
      </w:r>
    </w:p>
  </w:footnote>
  <w:footnote w:id="7977">
    <w:p>
      <w:pPr>
        <w:pStyle w:val="FootnoteText"/>
      </w:pPr>
      <w:r>
        <w:rPr>
          <w:rStyle w:val="FootnoteReference"/>
        </w:rPr>
        <w:footnoteRef/>
      </w:r>
      <w:r>
        <w:t xml:space="preserve"> Personal name: Uzzi. Personal-name meaning: Uzzi — my strength; my kid. Source form: Uzzi.</w:t>
      </w:r>
    </w:p>
  </w:footnote>
  <w:footnote w:id="7978">
    <w:p>
      <w:pPr>
        <w:pStyle w:val="FootnoteText"/>
      </w:pPr>
      <w:r>
        <w:rPr>
          <w:rStyle w:val="FootnoteReference"/>
        </w:rPr>
        <w:footnoteRef/>
      </w:r>
      <w:r>
        <w:t xml:space="preserve"> Personal name: Zerahiah. Personal-name meaning: Zerahiah — the Lord rising; brightness of the Lord. Source form: Zerahiah.</w:t>
      </w:r>
    </w:p>
  </w:footnote>
  <w:footnote w:id="7979">
    <w:p>
      <w:pPr>
        <w:pStyle w:val="FootnoteText"/>
      </w:pPr>
      <w:r>
        <w:rPr>
          <w:rStyle w:val="FootnoteReference"/>
        </w:rPr>
        <w:footnoteRef/>
      </w:r>
      <w:r>
        <w:t xml:space="preserve"> Personal name: Meraioth. Personal-name meaning: Meraioth — bitterness; rebellious; changing. Source form: Meraioth.</w:t>
      </w:r>
    </w:p>
  </w:footnote>
  <w:footnote w:id="7980">
    <w:p>
      <w:pPr>
        <w:pStyle w:val="FootnoteText"/>
      </w:pPr>
      <w:r>
        <w:rPr>
          <w:rStyle w:val="FootnoteReference"/>
        </w:rPr>
        <w:footnoteRef/>
      </w:r>
      <w:r>
        <w:t xml:space="preserve"> Personal name: Amariah. Personal-name meaning: Amariah — Yahweh has spoken; Yahweh has promised. Source form: Amariah.</w:t>
      </w:r>
    </w:p>
  </w:footnote>
  <w:footnote w:id="7981">
    <w:p>
      <w:pPr>
        <w:pStyle w:val="FootnoteText"/>
      </w:pPr>
      <w:r>
        <w:rPr>
          <w:rStyle w:val="FootnoteReference"/>
        </w:rPr>
        <w:footnoteRef/>
      </w:r>
      <w:r>
        <w:t xml:space="preserve"> Personal name: Jehozadak. Personal-name meaning: Jehozadak — Yahweh is righteous; justice of the Lord. Source form: Jehozadak.</w:t>
      </w:r>
    </w:p>
  </w:footnote>
  <w:footnote w:id="7982">
    <w:p>
      <w:pPr>
        <w:pStyle w:val="FootnoteText"/>
      </w:pPr>
      <w:r>
        <w:rPr>
          <w:rStyle w:val="FootnoteReference"/>
        </w:rPr>
        <w:footnoteRef/>
      </w:r>
      <w:r>
        <w:t xml:space="preserve"> Cross-references for "Sons of Levi": Gen 46:11; Exod 6:16.</w:t>
      </w:r>
    </w:p>
  </w:footnote>
  <w:footnote w:id="7983">
    <w:p>
      <w:pPr>
        <w:pStyle w:val="FootnoteText"/>
      </w:pPr>
      <w:r>
        <w:rPr>
          <w:rStyle w:val="FootnoteReference"/>
        </w:rPr>
        <w:footnoteRef/>
      </w:r>
      <w:r>
        <w:t xml:space="preserve"> MT/LXX note: The Septuagint places the Kohath line here rather than the Masoretic Amram-Aaron line. The translation follows the Greek sequence.</w:t>
      </w:r>
    </w:p>
  </w:footnote>
  <w:footnote w:id="7984">
    <w:p>
      <w:pPr>
        <w:pStyle w:val="FootnoteText"/>
      </w:pPr>
      <w:r>
        <w:rPr>
          <w:rStyle w:val="FootnoteReference"/>
        </w:rPr>
        <w:footnoteRef/>
      </w:r>
      <w:r>
        <w:t xml:space="preserve"> MT/LXX note: The Septuagint genealogy at this verse number differs from the Masoretic line. The translation follows the Greek sequence.</w:t>
      </w:r>
    </w:p>
  </w:footnote>
  <w:footnote w:id="7985">
    <w:p>
      <w:pPr>
        <w:pStyle w:val="FootnoteText"/>
      </w:pPr>
      <w:r>
        <w:rPr>
          <w:rStyle w:val="FootnoteReference"/>
        </w:rPr>
        <w:footnoteRef/>
      </w:r>
      <w:r>
        <w:t xml:space="preserve"> Translation note: The Septuagint register places a Merari heading here. The translation follows the Greek sequence.</w:t>
      </w:r>
    </w:p>
  </w:footnote>
  <w:footnote w:id="7986">
    <w:p>
      <w:pPr>
        <w:pStyle w:val="FootnoteText"/>
      </w:pPr>
      <w:r>
        <w:rPr>
          <w:rStyle w:val="FootnoteReference"/>
        </w:rPr>
        <w:footnoteRef/>
      </w:r>
      <w:r>
        <w:t xml:space="preserve"> MT/LXX note: The Septuagint places a Gedson genealogy line here rather than the Masoretic priestly line. The translation follows the Greek sequence.</w:t>
      </w:r>
    </w:p>
  </w:footnote>
  <w:footnote w:id="7987">
    <w:p>
      <w:pPr>
        <w:pStyle w:val="FootnoteText"/>
      </w:pPr>
      <w:r>
        <w:rPr>
          <w:rStyle w:val="FootnoteReference"/>
        </w:rPr>
        <w:footnoteRef/>
      </w:r>
      <w:r>
        <w:t xml:space="preserve"> Transliterated proper noun: Ioach. Standard English equivalent: Joab. Source form: Ioach. Greek form: ιωαχ. Name meaning: Yahweh is father.</w:t>
      </w:r>
    </w:p>
  </w:footnote>
  <w:footnote w:id="7988">
    <w:p>
      <w:pPr>
        <w:pStyle w:val="FootnoteText"/>
      </w:pPr>
      <w:r>
        <w:rPr>
          <w:rStyle w:val="FootnoteReference"/>
        </w:rPr>
        <w:footnoteRef/>
      </w:r>
      <w:r>
        <w:t xml:space="preserve"> Transliterated proper noun: Iethri. Standard English equivalent: Jethri. Source form: Iethri. Greek form: ιεθρι. Name meaning: he that excels.</w:t>
      </w:r>
    </w:p>
  </w:footnote>
  <w:footnote w:id="7989">
    <w:p>
      <w:pPr>
        <w:pStyle w:val="FootnoteText"/>
      </w:pPr>
      <w:r>
        <w:rPr>
          <w:rStyle w:val="FootnoteReference"/>
        </w:rPr>
        <w:footnoteRef/>
      </w:r>
      <w:r>
        <w:t xml:space="preserve"> Translation note: Greek says Zaraia begat Meraioth.</w:t>
      </w:r>
    </w:p>
  </w:footnote>
  <w:footnote w:id="7990">
    <w:p>
      <w:pPr>
        <w:pStyle w:val="FootnoteText"/>
      </w:pPr>
      <w:r>
        <w:rPr>
          <w:rStyle w:val="FootnoteReference"/>
        </w:rPr>
        <w:footnoteRef/>
      </w:r>
      <w:r>
        <w:t xml:space="preserve"> MT/LXX note: The Septuagint genealogy at this verse number differs from the Masoretic line. The translation keeps the Greek sequence.</w:t>
      </w:r>
    </w:p>
  </w:footnote>
  <w:footnote w:id="7991">
    <w:p>
      <w:pPr>
        <w:pStyle w:val="FootnoteText"/>
      </w:pPr>
      <w:r>
        <w:rPr>
          <w:rStyle w:val="FootnoteReference"/>
        </w:rPr>
        <w:footnoteRef/>
      </w:r>
      <w:r>
        <w:t xml:space="preserve"> Personal name: Uriel. Personal-name meaning: Uriel — the Lord is my light or fire. Source form: Uriel.</w:t>
      </w:r>
    </w:p>
  </w:footnote>
  <w:footnote w:id="7992">
    <w:p>
      <w:pPr>
        <w:pStyle w:val="FootnoteText"/>
      </w:pPr>
      <w:r>
        <w:rPr>
          <w:rStyle w:val="FootnoteReference"/>
        </w:rPr>
        <w:footnoteRef/>
      </w:r>
      <w:r>
        <w:t xml:space="preserve"> Translation note: Greek keeps this name chain here. Current line follows transmitted names.</w:t>
      </w:r>
    </w:p>
  </w:footnote>
  <w:footnote w:id="7993">
    <w:p>
      <w:pPr>
        <w:pStyle w:val="FootnoteText"/>
      </w:pPr>
      <w:r>
        <w:rPr>
          <w:rStyle w:val="FootnoteReference"/>
        </w:rPr>
        <w:footnoteRef/>
      </w:r>
      <w:r>
        <w:t xml:space="preserve"> MT/LXX note: The Septuagint genealogy differs from the Masoretic sequence at this point. The translation follows the Greek line rather than harmonizing it.</w:t>
      </w:r>
    </w:p>
  </w:footnote>
  <w:footnote w:id="7994">
    <w:p>
      <w:pPr>
        <w:pStyle w:val="FootnoteText"/>
      </w:pPr>
      <w:r>
        <w:rPr>
          <w:rStyle w:val="FootnoteReference"/>
        </w:rPr>
        <w:footnoteRef/>
      </w:r>
      <w:r>
        <w:t xml:space="preserve"> Personal name: Amasai. Personal-name meaning: Amasai — strong. Source form: Amasai.</w:t>
      </w:r>
    </w:p>
  </w:footnote>
  <w:footnote w:id="7995">
    <w:p>
      <w:pPr>
        <w:pStyle w:val="FootnoteText"/>
      </w:pPr>
      <w:r>
        <w:rPr>
          <w:rStyle w:val="FootnoteReference"/>
        </w:rPr>
        <w:footnoteRef/>
      </w:r>
      <w:r>
        <w:t xml:space="preserve"> Personal name: Zophai. Personal-name meaning: Zophai — watcher; observer. Source form: Zophai.</w:t>
      </w:r>
    </w:p>
  </w:footnote>
  <w:footnote w:id="7996">
    <w:p>
      <w:pPr>
        <w:pStyle w:val="FootnoteText"/>
      </w:pPr>
      <w:r>
        <w:rPr>
          <w:rStyle w:val="FootnoteReference"/>
        </w:rPr>
        <w:footnoteRef/>
      </w:r>
      <w:r>
        <w:t xml:space="preserve"> MT/LXX note: The Septuagint places a genealogy line here rather than the Masoretic priestly line. The translation follows the Greek sequence.</w:t>
      </w:r>
    </w:p>
  </w:footnote>
  <w:footnote w:id="7997">
    <w:p>
      <w:pPr>
        <w:pStyle w:val="FootnoteText"/>
      </w:pPr>
      <w:r>
        <w:rPr>
          <w:rStyle w:val="FootnoteReference"/>
        </w:rPr>
        <w:footnoteRef/>
      </w:r>
      <w:r>
        <w:t xml:space="preserve"> MT/LXX note: The Septuagint places the Samuel line here rather than the Masoretic priestly genealogy. The translation follows the Greek sequence.</w:t>
      </w:r>
    </w:p>
  </w:footnote>
  <w:footnote w:id="7998">
    <w:p>
      <w:pPr>
        <w:pStyle w:val="FootnoteText"/>
      </w:pPr>
      <w:r>
        <w:rPr>
          <w:rStyle w:val="FootnoteReference"/>
        </w:rPr>
        <w:footnoteRef/>
      </w:r>
      <w:r>
        <w:t xml:space="preserve"> Translation note: Genealogy line follows Greek directly.</w:t>
      </w:r>
    </w:p>
  </w:footnote>
  <w:footnote w:id="7999">
    <w:p>
      <w:pPr>
        <w:pStyle w:val="FootnoteText"/>
      </w:pPr>
      <w:r>
        <w:rPr>
          <w:rStyle w:val="FootnoteReference"/>
        </w:rPr>
        <w:footnoteRef/>
      </w:r>
      <w:r>
        <w:t xml:space="preserve"> MT/LXX note: The Septuagint places a genealogy line here rather than the Masoretic Merari heading. The translation follows the Greek sequence.</w:t>
      </w:r>
    </w:p>
  </w:footnote>
  <w:footnote w:id="8000">
    <w:p>
      <w:pPr>
        <w:pStyle w:val="FootnoteText"/>
      </w:pPr>
      <w:r>
        <w:rPr>
          <w:rStyle w:val="FootnoteReference"/>
        </w:rPr>
        <w:footnoteRef/>
      </w:r>
      <w:r>
        <w:t xml:space="preserve"> MT/LXX note: The Septuagint genealogy differs from the Masoretic name sequence at this point. The translation keeps the Greek line rather than harmonizing it.</w:t>
      </w:r>
    </w:p>
  </w:footnote>
  <w:footnote w:id="8001">
    <w:p>
      <w:pPr>
        <w:pStyle w:val="FootnoteText"/>
      </w:pPr>
      <w:r>
        <w:rPr>
          <w:rStyle w:val="FootnoteReference"/>
        </w:rPr>
        <w:footnoteRef/>
      </w:r>
      <w:r>
        <w:t xml:space="preserve"> Personal name: Malchijah. Personal-name meaning: Malchijah — the Lord my king, or my counselor. Source form: Malchijah.</w:t>
      </w:r>
    </w:p>
  </w:footnote>
  <w:footnote w:id="8002">
    <w:p>
      <w:pPr>
        <w:pStyle w:val="FootnoteText"/>
      </w:pPr>
      <w:r>
        <w:rPr>
          <w:rStyle w:val="FootnoteReference"/>
        </w:rPr>
        <w:footnoteRef/>
      </w:r>
      <w:r>
        <w:t xml:space="preserve"> Cross-references for "Zophai": 1Sam 1:1; 1Chr 6:35.</w:t>
      </w:r>
    </w:p>
  </w:footnote>
  <w:footnote w:id="8003">
    <w:p>
      <w:pPr>
        <w:pStyle w:val="FootnoteText"/>
      </w:pPr>
      <w:r>
        <w:rPr>
          <w:rStyle w:val="FootnoteReference"/>
        </w:rPr>
        <w:footnoteRef/>
      </w:r>
      <w:r>
        <w:t xml:space="preserve"> Personal name: Abdi. Personal-name meaning: Abdi — my servant. Source form: Abdi.</w:t>
      </w:r>
    </w:p>
  </w:footnote>
  <w:footnote w:id="8004">
    <w:p>
      <w:pPr>
        <w:pStyle w:val="FootnoteText"/>
      </w:pPr>
      <w:r>
        <w:rPr>
          <w:rStyle w:val="FootnoteReference"/>
        </w:rPr>
        <w:footnoteRef/>
      </w:r>
      <w:r>
        <w:t xml:space="preserve"> Personal name: Bani. Personal-name meaning: Bani — built; sons. Source form: Bani.</w:t>
      </w:r>
    </w:p>
  </w:footnote>
  <w:footnote w:id="8005">
    <w:p>
      <w:pPr>
        <w:pStyle w:val="FootnoteText"/>
      </w:pPr>
      <w:r>
        <w:rPr>
          <w:rStyle w:val="FootnoteReference"/>
        </w:rPr>
        <w:footnoteRef/>
      </w:r>
      <w:r>
        <w:t xml:space="preserve"> Translation note: Greek keeps Semmer form here. Current line follows transmitted name.</w:t>
      </w:r>
    </w:p>
  </w:footnote>
  <w:footnote w:id="8006">
    <w:p>
      <w:pPr>
        <w:pStyle w:val="FootnoteText"/>
      </w:pPr>
      <w:r>
        <w:rPr>
          <w:rStyle w:val="FootnoteReference"/>
        </w:rPr>
        <w:footnoteRef/>
      </w:r>
      <w:r>
        <w:t xml:space="preserve"> Translation note: Greek verse numbering here carries genealogy line.</w:t>
      </w:r>
    </w:p>
  </w:footnote>
  <w:footnote w:id="8007">
    <w:p>
      <w:pPr>
        <w:pStyle w:val="FootnoteText"/>
      </w:pPr>
      <w:r>
        <w:rPr>
          <w:rStyle w:val="FootnoteReference"/>
        </w:rPr>
        <w:footnoteRef/>
      </w:r>
      <w:r>
        <w:t xml:space="preserve"> Translation note: The Greek line stresses both cultic service and atonement. The current wording keeps the LXX cultic formulation explicit.</w:t>
      </w:r>
    </w:p>
  </w:footnote>
  <w:footnote w:id="8008">
    <w:p>
      <w:pPr>
        <w:pStyle w:val="FootnoteText"/>
      </w:pPr>
      <w:r>
        <w:rPr>
          <w:rStyle w:val="FootnoteReference"/>
        </w:rPr>
        <w:footnoteRef/>
      </w:r>
      <w:r>
        <w:t xml:space="preserve"> Translation note: Greek keeps Abishua form here. Current line follows transmitted name.</w:t>
      </w:r>
    </w:p>
  </w:footnote>
  <w:footnote w:id="8009">
    <w:p>
      <w:pPr>
        <w:pStyle w:val="FootnoteText"/>
      </w:pPr>
      <w:r>
        <w:rPr>
          <w:rStyle w:val="FootnoteReference"/>
        </w:rPr>
        <w:footnoteRef/>
      </w:r>
      <w:r>
        <w:t xml:space="preserve"> MT/LXX note: The Septuagint genealogy at this verse number differs from the Masoretic line. The translation keeps the Greek sequence.</w:t>
      </w:r>
    </w:p>
  </w:footnote>
  <w:footnote w:id="8010">
    <w:p>
      <w:pPr>
        <w:pStyle w:val="FootnoteText"/>
      </w:pPr>
      <w:r>
        <w:rPr>
          <w:rStyle w:val="FootnoteReference"/>
        </w:rPr>
        <w:footnoteRef/>
      </w:r>
      <w:r>
        <w:t xml:space="preserve"> MT/LXX note: The Septuagint verse here preserves an allotment notice rather than the Masoretic genealogy line. The translation follows the Greek content at this verse number.</w:t>
      </w:r>
    </w:p>
  </w:footnote>
  <w:footnote w:id="8011">
    <w:p>
      <w:pPr>
        <w:pStyle w:val="FootnoteText"/>
      </w:pPr>
      <w:r>
        <w:rPr>
          <w:rStyle w:val="FootnoteReference"/>
        </w:rPr>
        <w:footnoteRef/>
      </w:r>
      <w:r>
        <w:t xml:space="preserve"> MT/LXX note: The Septuagint verse here continues the allotment material rather than the Masoretic genealogy line. The translation keeps the refuge-city phrase.</w:t>
      </w:r>
    </w:p>
  </w:footnote>
  <w:footnote w:id="8012">
    <w:p>
      <w:pPr>
        <w:pStyle w:val="FootnoteText"/>
      </w:pPr>
      <w:r>
        <w:rPr>
          <w:rStyle w:val="FootnoteReference"/>
        </w:rPr>
        <w:footnoteRef/>
      </w:r>
      <w:r>
        <w:t xml:space="preserve"> Translation note: Greek says surrounding lands here. Current line keeps that wording.</w:t>
      </w:r>
    </w:p>
  </w:footnote>
  <w:footnote w:id="8013">
    <w:p>
      <w:pPr>
        <w:pStyle w:val="FootnoteText"/>
      </w:pPr>
      <w:r>
        <w:rPr>
          <w:rStyle w:val="FootnoteReference"/>
        </w:rPr>
        <w:footnoteRef/>
      </w:r>
      <w:r>
        <w:t xml:space="preserve"> Translation note: Greek keeps Basamys form here. Current line follows it.</w:t>
      </w:r>
    </w:p>
  </w:footnote>
  <w:footnote w:id="8014">
    <w:p>
      <w:pPr>
        <w:pStyle w:val="FootnoteText"/>
      </w:pPr>
      <w:r>
        <w:rPr>
          <w:rStyle w:val="FootnoteReference"/>
        </w:rPr>
        <w:footnoteRef/>
      </w:r>
      <w:r>
        <w:t xml:space="preserve"> Transliterated proper noun: Alemeth. Standard English equivalent: Alemeth. Source form: Alemeth. Greek form: γαλεμεθ. Name meaning: hiding; youth; worlds; upon the dead.</w:t>
      </w:r>
    </w:p>
  </w:footnote>
  <w:footnote w:id="8015">
    <w:p>
      <w:pPr>
        <w:pStyle w:val="FootnoteText"/>
      </w:pPr>
      <w:r>
        <w:rPr>
          <w:rStyle w:val="FootnoteReference"/>
        </w:rPr>
        <w:footnoteRef/>
      </w:r>
      <w:r>
        <w:t xml:space="preserve"> Translation note: Greek keeps Angoch form here. Current line follows it.</w:t>
      </w:r>
    </w:p>
  </w:footnote>
  <w:footnote w:id="8016">
    <w:p>
      <w:pPr>
        <w:pStyle w:val="FootnoteText"/>
      </w:pPr>
      <w:r>
        <w:rPr>
          <w:rStyle w:val="FootnoteReference"/>
        </w:rPr>
        <w:footnoteRef/>
      </w:r>
      <w:r>
        <w:t xml:space="preserve"> Translation note: Greek keeps Gedson form here. Current line keeps it.</w:t>
      </w:r>
    </w:p>
  </w:footnote>
  <w:footnote w:id="8017">
    <w:p>
      <w:pPr>
        <w:pStyle w:val="FootnoteText"/>
      </w:pPr>
      <w:r>
        <w:rPr>
          <w:rStyle w:val="FootnoteReference"/>
        </w:rPr>
        <w:footnoteRef/>
      </w:r>
      <w:r>
        <w:t xml:space="preserve"> MT/LXX note: The Septuagint verse here gives the Merarite allotments rather than the Masoretic service summary. The translation follows the Greek content.</w:t>
      </w:r>
    </w:p>
  </w:footnote>
  <w:footnote w:id="8018">
    <w:p>
      <w:pPr>
        <w:pStyle w:val="FootnoteText"/>
      </w:pPr>
      <w:r>
        <w:rPr>
          <w:rStyle w:val="FootnoteReference"/>
        </w:rPr>
        <w:footnoteRef/>
      </w:r>
      <w:r>
        <w:t xml:space="preserve"> MT/LXX note: The Septuagint places a Merarite allotment line here rather than the Masoretic service-summary line. The translation follows the Greek sequence.</w:t>
      </w:r>
    </w:p>
  </w:footnote>
  <w:footnote w:id="8019">
    <w:p>
      <w:pPr>
        <w:pStyle w:val="FootnoteText"/>
      </w:pPr>
      <w:r>
        <w:rPr>
          <w:rStyle w:val="FootnoteReference"/>
        </w:rPr>
        <w:footnoteRef/>
      </w:r>
      <w:r>
        <w:t xml:space="preserve"> MT/LXX note: This LXX verse number carries the Levite-city grant line rather than the MT Aaronic service line.</w:t>
      </w:r>
    </w:p>
  </w:footnote>
  <w:footnote w:id="8020">
    <w:p>
      <w:pPr>
        <w:pStyle w:val="FootnoteText"/>
      </w:pPr>
      <w:r>
        <w:rPr>
          <w:rStyle w:val="FootnoteReference"/>
        </w:rPr>
        <w:footnoteRef/>
      </w:r>
      <w:r>
        <w:t xml:space="preserve"> MT/LXX note: The Greek phrase is the standard refuge-city expression. This verse also aligns differently from the Masoretic genealogy sequence in this numbering area.</w:t>
      </w:r>
    </w:p>
  </w:footnote>
  <w:footnote w:id="8021">
    <w:p>
      <w:pPr>
        <w:pStyle w:val="FootnoteText"/>
      </w:pPr>
      <w:r>
        <w:rPr>
          <w:rStyle w:val="FootnoteReference"/>
        </w:rPr>
        <w:footnoteRef/>
      </w:r>
      <w:r>
        <w:t xml:space="preserve"> Translation note: The Septuagint place-name here differs from the Hebrew form. The translation keeps the Greek allotment name.</w:t>
      </w:r>
    </w:p>
  </w:footnote>
  <w:footnote w:id="8022">
    <w:p>
      <w:pPr>
        <w:pStyle w:val="FootnoteText"/>
      </w:pPr>
      <w:r>
        <w:rPr>
          <w:rStyle w:val="FootnoteReference"/>
        </w:rPr>
        <w:footnoteRef/>
      </w:r>
      <w:r>
        <w:t xml:space="preserve"> Place name: Eglaim. Place-name meaning: Eglaim — drops of the sea. Source form: Eglaim. Greek form: εγλαμ.</w:t>
      </w:r>
    </w:p>
  </w:footnote>
  <w:footnote w:id="8023">
    <w:p>
      <w:pPr>
        <w:pStyle w:val="FootnoteText"/>
      </w:pPr>
      <w:r>
        <w:rPr>
          <w:rStyle w:val="FootnoteReference"/>
        </w:rPr>
        <w:footnoteRef/>
      </w:r>
      <w:r>
        <w:t xml:space="preserve"> MT/LXX note: The Septuagint places a Manasseh allotment line here rather than the Masoretic Hebron verse. The translation follows the Greek sequence.</w:t>
      </w:r>
    </w:p>
  </w:footnote>
  <w:footnote w:id="8024">
    <w:p>
      <w:pPr>
        <w:pStyle w:val="FootnoteText"/>
      </w:pPr>
      <w:r>
        <w:rPr>
          <w:rStyle w:val="FootnoteReference"/>
        </w:rPr>
        <w:footnoteRef/>
      </w:r>
      <w:r>
        <w:t xml:space="preserve"> MT/LXX note: The Septuagint places another allotment line here rather than the Masoretic Caleb note. The translation follows the Greek sequence.</w:t>
      </w:r>
    </w:p>
  </w:footnote>
  <w:footnote w:id="8025">
    <w:p>
      <w:pPr>
        <w:pStyle w:val="FootnoteText"/>
      </w:pPr>
      <w:r>
        <w:rPr>
          <w:rStyle w:val="FootnoteReference"/>
        </w:rPr>
        <w:footnoteRef/>
      </w:r>
      <w:r>
        <w:t xml:space="preserve"> MT/LXX note: Greek line here terse, fragmentary. Current line keeps brief allotment note without importing fuller MT line.</w:t>
      </w:r>
    </w:p>
  </w:footnote>
  <w:footnote w:id="8026">
    <w:p>
      <w:pPr>
        <w:pStyle w:val="FootnoteText"/>
      </w:pPr>
      <w:r>
        <w:rPr>
          <w:rStyle w:val="FootnoteReference"/>
        </w:rPr>
        <w:footnoteRef/>
      </w:r>
      <w:r>
        <w:t xml:space="preserve"> Translation note: Greek verse here gives Merari towns Remmon and Thachchia.</w:t>
      </w:r>
    </w:p>
  </w:footnote>
  <w:footnote w:id="8027">
    <w:p>
      <w:pPr>
        <w:pStyle w:val="FootnoteText"/>
      </w:pPr>
      <w:r>
        <w:rPr>
          <w:rStyle w:val="FootnoteReference"/>
        </w:rPr>
        <w:footnoteRef/>
      </w:r>
      <w:r>
        <w:t xml:space="preserve"> Translation note: Greek says surrounding lands here. Current line keeps that wording.</w:t>
      </w:r>
    </w:p>
  </w:footnote>
  <w:footnote w:id="8028">
    <w:p>
      <w:pPr>
        <w:pStyle w:val="FootnoteText"/>
      </w:pPr>
      <w:r>
        <w:rPr>
          <w:rStyle w:val="FootnoteReference"/>
        </w:rPr>
        <w:footnoteRef/>
      </w:r>
      <w:r>
        <w:t xml:space="preserve"> Translation note: Greek says surrounding lands here.</w:t>
      </w:r>
    </w:p>
  </w:footnote>
  <w:footnote w:id="8029">
    <w:p>
      <w:pPr>
        <w:pStyle w:val="FootnoteText"/>
      </w:pPr>
      <w:r>
        <w:rPr>
          <w:rStyle w:val="FootnoteReference"/>
        </w:rPr>
        <w:footnoteRef/>
      </w:r>
      <w:r>
        <w:t xml:space="preserve"> MT/LXX note: The Septuagint verse here continues allotment place names rather than the Masoretic introductory line. The translation keeps the Greek names.</w:t>
      </w:r>
    </w:p>
  </w:footnote>
  <w:footnote w:id="8030">
    <w:p>
      <w:pPr>
        <w:pStyle w:val="FootnoteText"/>
      </w:pPr>
      <w:r>
        <w:rPr>
          <w:rStyle w:val="FootnoteReference"/>
        </w:rPr>
        <w:footnoteRef/>
      </w:r>
      <w:r>
        <w:t xml:space="preserve"> Personal name: Jeriel. Personal-name meaning: Jeriel — fear, or vision of God. Source form: Jeriel.</w:t>
      </w:r>
    </w:p>
  </w:footnote>
  <w:footnote w:id="8031">
    <w:p>
      <w:pPr>
        <w:pStyle w:val="FootnoteText"/>
      </w:pPr>
      <w:r>
        <w:rPr>
          <w:rStyle w:val="FootnoteReference"/>
        </w:rPr>
        <w:footnoteRef/>
      </w:r>
      <w:r>
        <w:t xml:space="preserve"> Transliterated proper noun: Jibsam. Standard English equivalent: Jibsam. Source form: Jibsam. Greek form: ιεβασαμ. Name meaning: their drought, their confusion.</w:t>
      </w:r>
    </w:p>
  </w:footnote>
  <w:footnote w:id="8032">
    <w:p>
      <w:pPr>
        <w:pStyle w:val="FootnoteText"/>
      </w:pPr>
      <w:r>
        <w:rPr>
          <w:rStyle w:val="FootnoteReference"/>
        </w:rPr>
        <w:footnoteRef/>
      </w:r>
      <w:r>
        <w:t xml:space="preserve"> Translation note: Greek says power here.</w:t>
      </w:r>
    </w:p>
  </w:footnote>
  <w:footnote w:id="8033">
    <w:p>
      <w:pPr>
        <w:pStyle w:val="FootnoteText"/>
      </w:pPr>
      <w:r>
        <w:rPr>
          <w:rStyle w:val="FootnoteReference"/>
        </w:rPr>
        <w:footnoteRef/>
      </w:r>
      <w:r>
        <w:t xml:space="preserve"> Personal name: Izrahiah. Personal-name meaning: Izrahiah — the Lord ariseth; the clearness of the Lord. Source form: Izrahiah.</w:t>
      </w:r>
    </w:p>
  </w:footnote>
  <w:footnote w:id="8034">
    <w:p>
      <w:pPr>
        <w:pStyle w:val="FootnoteText"/>
      </w:pPr>
      <w:r>
        <w:rPr>
          <w:rStyle w:val="FootnoteReference"/>
        </w:rPr>
        <w:footnoteRef/>
      </w:r>
      <w:r>
        <w:t xml:space="preserve"> Transliterated proper noun: Ishiah. Standard English equivalent: Ishiah. Source form: Ishiah. Greek form: ιεσια. Name meaning: it is the Lord.</w:t>
      </w:r>
    </w:p>
  </w:footnote>
  <w:footnote w:id="8035">
    <w:p>
      <w:pPr>
        <w:pStyle w:val="FootnoteText"/>
      </w:pPr>
      <w:r>
        <w:rPr>
          <w:rStyle w:val="FootnoteReference"/>
        </w:rPr>
        <w:footnoteRef/>
      </w:r>
      <w:r>
        <w:t xml:space="preserve"> Personal name: Becher. Personal-name meaning: Becher — first begotten; first fruits. Source form: Becher.</w:t>
      </w:r>
    </w:p>
  </w:footnote>
  <w:footnote w:id="8036">
    <w:p>
      <w:pPr>
        <w:pStyle w:val="FootnoteText"/>
      </w:pPr>
      <w:r>
        <w:rPr>
          <w:rStyle w:val="FootnoteReference"/>
        </w:rPr>
        <w:footnoteRef/>
      </w:r>
      <w:r>
        <w:t xml:space="preserve"> Personal name: Jediael. Personal-name meaning: Jediael — the science, or knowledge, of God. Source form: Jediael.</w:t>
      </w:r>
    </w:p>
  </w:footnote>
  <w:footnote w:id="8037">
    <w:p>
      <w:pPr>
        <w:pStyle w:val="FootnoteText"/>
      </w:pPr>
      <w:r>
        <w:rPr>
          <w:rStyle w:val="FootnoteReference"/>
        </w:rPr>
        <w:footnoteRef/>
      </w:r>
      <w:r>
        <w:t xml:space="preserve"> Cross-references for "Jediael": 1Chr 7:10-11.</w:t>
      </w:r>
    </w:p>
  </w:footnote>
  <w:footnote w:id="8038">
    <w:p>
      <w:pPr>
        <w:pStyle w:val="FootnoteText"/>
      </w:pPr>
      <w:r>
        <w:rPr>
          <w:rStyle w:val="FootnoteReference"/>
        </w:rPr>
        <w:footnoteRef/>
      </w:r>
      <w:r>
        <w:t xml:space="preserve"> Translation note: Greek says mighty men of power. Traditional English often has mighty men of valor, but the fresh line stays closer to the Greek phrasing.</w:t>
      </w:r>
    </w:p>
  </w:footnote>
  <w:footnote w:id="8039">
    <w:p>
      <w:pPr>
        <w:pStyle w:val="FootnoteText"/>
      </w:pPr>
      <w:r>
        <w:rPr>
          <w:rStyle w:val="FootnoteReference"/>
        </w:rPr>
        <w:footnoteRef/>
      </w:r>
      <w:r>
        <w:t xml:space="preserve"> Transliterated proper noun: Raōm. Standard English equivalent: Ir. Source form: Raōm. Greek form: ραωμ. Name meaning: watchman; city; vision.</w:t>
      </w:r>
    </w:p>
  </w:footnote>
  <w:footnote w:id="8040">
    <w:p>
      <w:pPr>
        <w:pStyle w:val="FootnoteText"/>
      </w:pPr>
      <w:r>
        <w:rPr>
          <w:rStyle w:val="FootnoteReference"/>
        </w:rPr>
        <w:footnoteRef/>
      </w:r>
      <w:r>
        <w:t xml:space="preserve"> Personal name: Aher. Personal-name meaning: Aher — another; following one. Source form: Aher.</w:t>
      </w:r>
    </w:p>
  </w:footnote>
  <w:footnote w:id="8041">
    <w:p>
      <w:pPr>
        <w:pStyle w:val="FootnoteText"/>
      </w:pPr>
      <w:r>
        <w:rPr>
          <w:rStyle w:val="FootnoteReference"/>
        </w:rPr>
        <w:footnoteRef/>
      </w:r>
      <w:r>
        <w:t xml:space="preserve"> Cross-references for "Aher": Gen 46:23; Num 26:38.</w:t>
      </w:r>
    </w:p>
  </w:footnote>
  <w:footnote w:id="8042">
    <w:p>
      <w:pPr>
        <w:pStyle w:val="FootnoteText"/>
      </w:pPr>
      <w:r>
        <w:rPr>
          <w:rStyle w:val="FootnoteReference"/>
        </w:rPr>
        <w:footnoteRef/>
      </w:r>
      <w:r>
        <w:t xml:space="preserve"> Personal name: Jahziel. Personal-name meaning: Jahziel — God sees. Source form: Jahziel.</w:t>
      </w:r>
    </w:p>
  </w:footnote>
  <w:footnote w:id="8043">
    <w:p>
      <w:pPr>
        <w:pStyle w:val="FootnoteText"/>
      </w:pPr>
      <w:r>
        <w:rPr>
          <w:rStyle w:val="FootnoteReference"/>
        </w:rPr>
        <w:footnoteRef/>
      </w:r>
      <w:r>
        <w:t xml:space="preserve"> Cross-references for "Jahziel": Gen 46:24; Num 26:48.</w:t>
      </w:r>
    </w:p>
  </w:footnote>
  <w:footnote w:id="8044">
    <w:p>
      <w:pPr>
        <w:pStyle w:val="FootnoteText"/>
      </w:pPr>
      <w:r>
        <w:rPr>
          <w:rStyle w:val="FootnoteReference"/>
        </w:rPr>
        <w:footnoteRef/>
      </w:r>
      <w:r>
        <w:t xml:space="preserve"> Transliterated proper noun: Ashriel. Standard English equivalent: Ashriel. Source form: Ashriel. Greek form: ασεριηλ. Name meaning: the beatitude of God.</w:t>
      </w:r>
    </w:p>
  </w:footnote>
  <w:footnote w:id="8045">
    <w:p>
      <w:pPr>
        <w:pStyle w:val="FootnoteText"/>
      </w:pPr>
      <w:r>
        <w:rPr>
          <w:rStyle w:val="FootnoteReference"/>
        </w:rPr>
        <w:footnoteRef/>
      </w:r>
      <w:r>
        <w:t xml:space="preserve"> Cross-references for "Machir": Gen 50:23; Num 26:29-34.</w:t>
      </w:r>
    </w:p>
  </w:footnote>
  <w:footnote w:id="8046">
    <w:p>
      <w:pPr>
        <w:pStyle w:val="FootnoteText"/>
      </w:pPr>
      <w:r>
        <w:rPr>
          <w:rStyle w:val="FootnoteReference"/>
        </w:rPr>
        <w:footnoteRef/>
      </w:r>
      <w:r>
        <w:t xml:space="preserve"> Personal name: Ulam. Personal-name meaning: Ulam — the porch; the court; their strength; their folly. Source form: Ulam.</w:t>
      </w:r>
    </w:p>
  </w:footnote>
  <w:footnote w:id="8047">
    <w:p>
      <w:pPr>
        <w:pStyle w:val="FootnoteText"/>
      </w:pPr>
      <w:r>
        <w:rPr>
          <w:rStyle w:val="FootnoteReference"/>
        </w:rPr>
        <w:footnoteRef/>
      </w:r>
      <w:r>
        <w:t xml:space="preserve"> Personal name: Bedan. Personal-name meaning: Bedan — according to judgment. Source form: Bedan.</w:t>
      </w:r>
    </w:p>
  </w:footnote>
  <w:footnote w:id="8048">
    <w:p>
      <w:pPr>
        <w:pStyle w:val="FootnoteText"/>
      </w:pPr>
      <w:r>
        <w:rPr>
          <w:rStyle w:val="FootnoteReference"/>
        </w:rPr>
        <w:footnoteRef/>
      </w:r>
      <w:r>
        <w:t xml:space="preserve"> Cross-references for "Bedan": 1Sam 12:11.</w:t>
      </w:r>
    </w:p>
  </w:footnote>
  <w:footnote w:id="8049">
    <w:p>
      <w:pPr>
        <w:pStyle w:val="FootnoteText"/>
      </w:pPr>
      <w:r>
        <w:rPr>
          <w:rStyle w:val="FootnoteReference"/>
        </w:rPr>
        <w:footnoteRef/>
      </w:r>
      <w:r>
        <w:t xml:space="preserve"> Transliterated proper noun: Ishod. Standard English equivalent: Ishod. Source form: Ishod. Greek form: ισαδεκ. Name meaning: a comely man.</w:t>
      </w:r>
    </w:p>
  </w:footnote>
  <w:footnote w:id="8050">
    <w:p>
      <w:pPr>
        <w:pStyle w:val="FootnoteText"/>
      </w:pPr>
      <w:r>
        <w:rPr>
          <w:rStyle w:val="FootnoteReference"/>
        </w:rPr>
        <w:footnoteRef/>
      </w:r>
      <w:r>
        <w:t xml:space="preserve"> Transliterated proper noun: Mahalah. Standard English equivalent: Mahalah. Source form: Mahalah. Greek form: μαελα. Name meaning: sickness; a company of dancers; a harp.</w:t>
      </w:r>
    </w:p>
  </w:footnote>
  <w:footnote w:id="8051">
    <w:p>
      <w:pPr>
        <w:pStyle w:val="FootnoteText"/>
      </w:pPr>
      <w:r>
        <w:rPr>
          <w:rStyle w:val="FootnoteReference"/>
        </w:rPr>
        <w:footnoteRef/>
      </w:r>
      <w:r>
        <w:t xml:space="preserve"> Personal name: Aniam. Personal-name meaning: Aniam — a people; the strength or sorrow of people. Source form: Aniam.</w:t>
      </w:r>
    </w:p>
  </w:footnote>
  <w:footnote w:id="8052">
    <w:p>
      <w:pPr>
        <w:pStyle w:val="FootnoteText"/>
      </w:pPr>
      <w:r>
        <w:rPr>
          <w:rStyle w:val="FootnoteReference"/>
        </w:rPr>
        <w:footnoteRef/>
      </w:r>
      <w:r>
        <w:t xml:space="preserve"> Transliterated proper noun: Eladah. Standard English equivalent: Eladah. Source form: Eladah. Greek form: ελεαδα. Name meaning: the eternity of God.</w:t>
      </w:r>
    </w:p>
  </w:footnote>
  <w:footnote w:id="8053">
    <w:p>
      <w:pPr>
        <w:pStyle w:val="FootnoteText"/>
      </w:pPr>
      <w:r>
        <w:rPr>
          <w:rStyle w:val="FootnoteReference"/>
        </w:rPr>
        <w:footnoteRef/>
      </w:r>
      <w:r>
        <w:t xml:space="preserve"> Personal name: Elead. Personal-name meaning: Elead — witness of God. Source form: Elead.</w:t>
      </w:r>
    </w:p>
  </w:footnote>
  <w:footnote w:id="8054">
    <w:p>
      <w:pPr>
        <w:pStyle w:val="FootnoteText"/>
      </w:pPr>
      <w:r>
        <w:rPr>
          <w:rStyle w:val="FootnoteReference"/>
        </w:rPr>
        <w:footnoteRef/>
      </w:r>
      <w:r>
        <w:t xml:space="preserve"> Translation note: Greek marks Ephraim's grief with that phrase. Current wording preserves it.</w:t>
      </w:r>
    </w:p>
  </w:footnote>
  <w:footnote w:id="8055">
    <w:p>
      <w:pPr>
        <w:pStyle w:val="FootnoteText"/>
      </w:pPr>
      <w:r>
        <w:rPr>
          <w:rStyle w:val="FootnoteReference"/>
        </w:rPr>
        <w:footnoteRef/>
      </w:r>
      <w:r>
        <w:t xml:space="preserve"> Cross-references for "mourned": Gen 37:34.</w:t>
      </w:r>
    </w:p>
  </w:footnote>
  <w:footnote w:id="8056">
    <w:p>
      <w:pPr>
        <w:pStyle w:val="FootnoteText"/>
      </w:pPr>
      <w:r>
        <w:rPr>
          <w:rStyle w:val="FootnoteReference"/>
        </w:rPr>
        <w:footnoteRef/>
      </w:r>
      <w:r>
        <w:t xml:space="preserve"> Transliterated proper noun: Sherah. Standard English equivalent: Sherah. Source form: Sherah. Greek form: σεηρα. Name meaning: flesh; relationship.</w:t>
      </w:r>
    </w:p>
  </w:footnote>
  <w:footnote w:id="8057">
    <w:p>
      <w:pPr>
        <w:pStyle w:val="FootnoteText"/>
      </w:pPr>
      <w:r>
        <w:rPr>
          <w:rStyle w:val="FootnoteReference"/>
        </w:rPr>
        <w:footnoteRef/>
      </w:r>
      <w:r>
        <w:t xml:space="preserve"> Cross-references for "Bethhoron": Josh 16:3; Josh 16:5.</w:t>
      </w:r>
    </w:p>
  </w:footnote>
  <w:footnote w:id="8058">
    <w:p>
      <w:pPr>
        <w:pStyle w:val="FootnoteText"/>
      </w:pPr>
      <w:r>
        <w:rPr>
          <w:rStyle w:val="FootnoteReference"/>
        </w:rPr>
        <w:footnoteRef/>
      </w:r>
      <w:r>
        <w:t xml:space="preserve"> Transliterated proper noun: Uzzensherah. Standard English equivalent: Uzzensherah. Source form: Uzzensherah. Greek form: σεηρα. Name meaning: ear of the flesh.</w:t>
      </w:r>
    </w:p>
  </w:footnote>
  <w:footnote w:id="8059">
    <w:p>
      <w:pPr>
        <w:pStyle w:val="FootnoteText"/>
      </w:pPr>
      <w:r>
        <w:rPr>
          <w:rStyle w:val="FootnoteReference"/>
        </w:rPr>
        <w:footnoteRef/>
      </w:r>
      <w:r>
        <w:t xml:space="preserve"> Personal name: Rephah. Personal-name meaning: Rephah — healing; comfort. Source form: Rephah.</w:t>
      </w:r>
    </w:p>
  </w:footnote>
  <w:footnote w:id="8060">
    <w:p>
      <w:pPr>
        <w:pStyle w:val="FootnoteText"/>
      </w:pPr>
      <w:r>
        <w:rPr>
          <w:rStyle w:val="FootnoteReference"/>
        </w:rPr>
        <w:footnoteRef/>
      </w:r>
      <w:r>
        <w:t xml:space="preserve"> Personal name: Resheph. Personal-name meaning: Resheph — flame; burning coal. Source form: Resheph.</w:t>
      </w:r>
    </w:p>
  </w:footnote>
  <w:footnote w:id="8061">
    <w:p>
      <w:pPr>
        <w:pStyle w:val="FootnoteText"/>
      </w:pPr>
      <w:r>
        <w:rPr>
          <w:rStyle w:val="FootnoteReference"/>
        </w:rPr>
        <w:footnoteRef/>
      </w:r>
      <w:r>
        <w:t xml:space="preserve"> Personal name: Laadan. Personal-name meaning: Laadan — for pleasure; devouring; judgment. Source form: Laadan.</w:t>
      </w:r>
    </w:p>
  </w:footnote>
  <w:footnote w:id="8062">
    <w:p>
      <w:pPr>
        <w:pStyle w:val="FootnoteText"/>
      </w:pPr>
      <w:r>
        <w:rPr>
          <w:rStyle w:val="FootnoteReference"/>
        </w:rPr>
        <w:footnoteRef/>
      </w:r>
      <w:r>
        <w:t xml:space="preserve"> Translation note: Greek gives a terse chain of descent. Current wording preserves that genealogy rhythm.</w:t>
      </w:r>
    </w:p>
  </w:footnote>
  <w:footnote w:id="8063">
    <w:p>
      <w:pPr>
        <w:pStyle w:val="FootnoteText"/>
      </w:pPr>
      <w:r>
        <w:rPr>
          <w:rStyle w:val="FootnoteReference"/>
        </w:rPr>
        <w:footnoteRef/>
      </w:r>
      <w:r>
        <w:t xml:space="preserve"> Transliterated proper noun: Non. Standard English equivalent: Non. Source form: Non. Greek form: νουμ. Name meaning: posterity; a fish; eternal.</w:t>
      </w:r>
    </w:p>
  </w:footnote>
  <w:footnote w:id="8064">
    <w:p>
      <w:pPr>
        <w:pStyle w:val="FootnoteText"/>
      </w:pPr>
      <w:r>
        <w:rPr>
          <w:rStyle w:val="FootnoteReference"/>
        </w:rPr>
        <w:footnoteRef/>
      </w:r>
      <w:r>
        <w:t xml:space="preserve"> Transliterated proper noun: Jehoshuah. Standard English equivalent: Jehoshuah. Source form: Jehoshuah. Greek form: ιησουε. Name meaning: Yahweh saves.</w:t>
      </w:r>
    </w:p>
  </w:footnote>
  <w:footnote w:id="8065">
    <w:p>
      <w:pPr>
        <w:pStyle w:val="FootnoteText"/>
      </w:pPr>
      <w:r>
        <w:rPr>
          <w:rStyle w:val="FootnoteReference"/>
        </w:rPr>
        <w:footnoteRef/>
      </w:r>
      <w:r>
        <w:t xml:space="preserve"> Cross-references for "Jehoshuah": Exod 17:9-14; Exod 24:13.</w:t>
      </w:r>
    </w:p>
  </w:footnote>
  <w:footnote w:id="8066">
    <w:p>
      <w:pPr>
        <w:pStyle w:val="FootnoteText"/>
      </w:pPr>
      <w:r>
        <w:rPr>
          <w:rStyle w:val="FootnoteReference"/>
        </w:rPr>
        <w:footnoteRef/>
      </w:r>
      <w:r>
        <w:t xml:space="preserve"> Cross-references for "Bethel": Gen 28:19; Josh 16:2.</w:t>
      </w:r>
    </w:p>
  </w:footnote>
  <w:footnote w:id="8067">
    <w:p>
      <w:pPr>
        <w:pStyle w:val="FootnoteText"/>
      </w:pPr>
      <w:r>
        <w:rPr>
          <w:rStyle w:val="FootnoteReference"/>
        </w:rPr>
        <w:footnoteRef/>
      </w:r>
      <w:r>
        <w:t xml:space="preserve"> Place name: Naaran. Place-name meaning: Naaran — young person; youth. Source form: Naaran. Greek form: νααραν.</w:t>
      </w:r>
    </w:p>
  </w:footnote>
  <w:footnote w:id="8068">
    <w:p>
      <w:pPr>
        <w:pStyle w:val="FootnoteText"/>
      </w:pPr>
      <w:r>
        <w:rPr>
          <w:rStyle w:val="FootnoteReference"/>
        </w:rPr>
        <w:footnoteRef/>
      </w:r>
      <w:r>
        <w:t xml:space="preserve"> MT/LXX note: Greek place chain differs from MT here.</w:t>
      </w:r>
    </w:p>
  </w:footnote>
  <w:footnote w:id="8069">
    <w:p>
      <w:pPr>
        <w:pStyle w:val="FootnoteText"/>
      </w:pPr>
      <w:r>
        <w:rPr>
          <w:rStyle w:val="FootnoteReference"/>
        </w:rPr>
        <w:footnoteRef/>
      </w:r>
      <w:r>
        <w:t xml:space="preserve"> Cross-references for "Manasseh": Josh 17:7-11.</w:t>
      </w:r>
    </w:p>
  </w:footnote>
  <w:footnote w:id="8070">
    <w:p>
      <w:pPr>
        <w:pStyle w:val="FootnoteText"/>
      </w:pPr>
      <w:r>
        <w:rPr>
          <w:rStyle w:val="FootnoteReference"/>
        </w:rPr>
        <w:footnoteRef/>
      </w:r>
      <w:r>
        <w:t xml:space="preserve"> Personal name: Imnah. Personal-name meaning: Imnah — right hand; numbering; preparing. Source form: Imnah.</w:t>
      </w:r>
    </w:p>
  </w:footnote>
  <w:footnote w:id="8071">
    <w:p>
      <w:pPr>
        <w:pStyle w:val="FootnoteText"/>
      </w:pPr>
      <w:r>
        <w:rPr>
          <w:rStyle w:val="FootnoteReference"/>
        </w:rPr>
        <w:footnoteRef/>
      </w:r>
      <w:r>
        <w:t xml:space="preserve"> Cross-references for "Imnah": Gen 46:17; Num 26:44-46.</w:t>
      </w:r>
    </w:p>
  </w:footnote>
  <w:footnote w:id="8072">
    <w:p>
      <w:pPr>
        <w:pStyle w:val="FootnoteText"/>
      </w:pPr>
      <w:r>
        <w:rPr>
          <w:rStyle w:val="FootnoteReference"/>
        </w:rPr>
        <w:footnoteRef/>
      </w:r>
      <w:r>
        <w:t xml:space="preserve"> Personal name: Japhlet. Personal-name meaning: Japhlet — delivered; banished. Source form: Japhlet.</w:t>
      </w:r>
    </w:p>
  </w:footnote>
  <w:footnote w:id="8073">
    <w:p>
      <w:pPr>
        <w:pStyle w:val="FootnoteText"/>
      </w:pPr>
      <w:r>
        <w:rPr>
          <w:rStyle w:val="FootnoteReference"/>
        </w:rPr>
        <w:footnoteRef/>
      </w:r>
      <w:r>
        <w:t xml:space="preserve"> Cross-references for "Shomer": 1Chr 7:34.</w:t>
      </w:r>
    </w:p>
  </w:footnote>
  <w:footnote w:id="8074">
    <w:p>
      <w:pPr>
        <w:pStyle w:val="FootnoteText"/>
      </w:pPr>
      <w:r>
        <w:rPr>
          <w:rStyle w:val="FootnoteReference"/>
        </w:rPr>
        <w:footnoteRef/>
      </w:r>
      <w:r>
        <w:t xml:space="preserve"> Personal name: Hotham. Personal-name meaning: Hotham — a seal. Source form: Hotham.</w:t>
      </w:r>
    </w:p>
  </w:footnote>
  <w:footnote w:id="8075">
    <w:p>
      <w:pPr>
        <w:pStyle w:val="FootnoteText"/>
      </w:pPr>
      <w:r>
        <w:rPr>
          <w:rStyle w:val="FootnoteReference"/>
        </w:rPr>
        <w:footnoteRef/>
      </w:r>
      <w:r>
        <w:t xml:space="preserve"> MT/LXX note: The translation keeps the Greek proper-name form rather than the Masoretic spelling.</w:t>
      </w:r>
    </w:p>
  </w:footnote>
  <w:footnote w:id="8076">
    <w:p>
      <w:pPr>
        <w:pStyle w:val="FootnoteText"/>
      </w:pPr>
      <w:r>
        <w:rPr>
          <w:rStyle w:val="FootnoteReference"/>
        </w:rPr>
        <w:footnoteRef/>
      </w:r>
      <w:r>
        <w:t xml:space="preserve"> Personal name: Pasach. Personal-name meaning: Pasach — thy broken piece. Source form: Pasach.</w:t>
      </w:r>
    </w:p>
  </w:footnote>
  <w:footnote w:id="8077">
    <w:p>
      <w:pPr>
        <w:pStyle w:val="FootnoteText"/>
      </w:pPr>
      <w:r>
        <w:rPr>
          <w:rStyle w:val="FootnoteReference"/>
        </w:rPr>
        <w:footnoteRef/>
      </w:r>
      <w:r>
        <w:t xml:space="preserve"> Personal name: Bimhal. Personal-name meaning: Bimhal — circumcised; hastened. Source form: Bimhal.</w:t>
      </w:r>
    </w:p>
  </w:footnote>
  <w:footnote w:id="8078">
    <w:p>
      <w:pPr>
        <w:pStyle w:val="FootnoteText"/>
      </w:pPr>
      <w:r>
        <w:rPr>
          <w:rStyle w:val="FootnoteReference"/>
        </w:rPr>
        <w:footnoteRef/>
      </w:r>
      <w:r>
        <w:t xml:space="preserve"> Transliterated proper noun: Shamer. Standard English equivalent: Shamer. Source form: Shamer. Greek form: σεμμηρ. Name meaning: keeper; thorn; dregs.</w:t>
      </w:r>
    </w:p>
  </w:footnote>
  <w:footnote w:id="8079">
    <w:p>
      <w:pPr>
        <w:pStyle w:val="FootnoteText"/>
      </w:pPr>
      <w:r>
        <w:rPr>
          <w:rStyle w:val="FootnoteReference"/>
        </w:rPr>
        <w:footnoteRef/>
      </w:r>
      <w:r>
        <w:t xml:space="preserve"> Cross-references for "Shamer": 1Chr 7:32.</w:t>
      </w:r>
    </w:p>
  </w:footnote>
  <w:footnote w:id="8080">
    <w:p>
      <w:pPr>
        <w:pStyle w:val="FootnoteText"/>
      </w:pPr>
      <w:r>
        <w:rPr>
          <w:rStyle w:val="FootnoteReference"/>
        </w:rPr>
        <w:footnoteRef/>
      </w:r>
      <w:r>
        <w:t xml:space="preserve"> Personal name: Helem. Personal-name meaning: Helem — dreaming; healing. Source form: Helem.</w:t>
      </w:r>
    </w:p>
  </w:footnote>
  <w:footnote w:id="8081">
    <w:p>
      <w:pPr>
        <w:pStyle w:val="FootnoteText"/>
      </w:pPr>
      <w:r>
        <w:rPr>
          <w:rStyle w:val="FootnoteReference"/>
        </w:rPr>
        <w:footnoteRef/>
      </w:r>
      <w:r>
        <w:t xml:space="preserve"> Personal name: Zophah. Personal-name meaning: Zophah — viol; honeycomb. Source form: Zophah.</w:t>
      </w:r>
    </w:p>
  </w:footnote>
  <w:footnote w:id="8082">
    <w:p>
      <w:pPr>
        <w:pStyle w:val="FootnoteText"/>
      </w:pPr>
      <w:r>
        <w:rPr>
          <w:rStyle w:val="FootnoteReference"/>
        </w:rPr>
        <w:footnoteRef/>
      </w:r>
      <w:r>
        <w:t xml:space="preserve"> Personal name: Selles. Personal-name meaning: Selles — prince; leader. Source form: Selles.</w:t>
      </w:r>
    </w:p>
  </w:footnote>
  <w:footnote w:id="8083">
    <w:p>
      <w:pPr>
        <w:pStyle w:val="FootnoteText"/>
      </w:pPr>
      <w:r>
        <w:rPr>
          <w:rStyle w:val="FootnoteReference"/>
        </w:rPr>
        <w:footnoteRef/>
      </w:r>
      <w:r>
        <w:t xml:space="preserve"> Personal name: Amal. Personal-name meaning: Amal — labor; iniquity. Source form: Amal.</w:t>
      </w:r>
    </w:p>
  </w:footnote>
  <w:footnote w:id="8084">
    <w:p>
      <w:pPr>
        <w:pStyle w:val="FootnoteText"/>
      </w:pPr>
      <w:r>
        <w:rPr>
          <w:rStyle w:val="FootnoteReference"/>
        </w:rPr>
        <w:footnoteRef/>
      </w:r>
      <w:r>
        <w:t xml:space="preserve"> Personal name: Harnepher. Personal-name meaning: Harnepher — the anger of a bull; increasing heat. Source form: Harnepher.</w:t>
      </w:r>
    </w:p>
  </w:footnote>
  <w:footnote w:id="8085">
    <w:p>
      <w:pPr>
        <w:pStyle w:val="FootnoteText"/>
      </w:pPr>
      <w:r>
        <w:rPr>
          <w:rStyle w:val="FootnoteReference"/>
        </w:rPr>
        <w:footnoteRef/>
      </w:r>
      <w:r>
        <w:t xml:space="preserve"> Personal name: Imrah. Personal-name meaning: Imrah — a rebel; waxing bitter; changing. Source form: Imrah.</w:t>
      </w:r>
    </w:p>
  </w:footnote>
  <w:footnote w:id="8086">
    <w:p>
      <w:pPr>
        <w:pStyle w:val="FootnoteText"/>
      </w:pPr>
      <w:r>
        <w:rPr>
          <w:rStyle w:val="FootnoteReference"/>
        </w:rPr>
        <w:footnoteRef/>
      </w:r>
      <w:r>
        <w:t xml:space="preserve"> Personal name: Hod. Personal-name meaning: Hod — praise; confession. Source form: Hod.</w:t>
      </w:r>
    </w:p>
  </w:footnote>
  <w:footnote w:id="8087">
    <w:p>
      <w:pPr>
        <w:pStyle w:val="FootnoteText"/>
      </w:pPr>
      <w:r>
        <w:rPr>
          <w:rStyle w:val="FootnoteReference"/>
        </w:rPr>
        <w:footnoteRef/>
      </w:r>
      <w:r>
        <w:t xml:space="preserve"> Cross-references for "Ithran": 1Chr 7:38.</w:t>
      </w:r>
    </w:p>
  </w:footnote>
  <w:footnote w:id="8088">
    <w:p>
      <w:pPr>
        <w:pStyle w:val="FootnoteText"/>
      </w:pPr>
      <w:r>
        <w:rPr>
          <w:rStyle w:val="FootnoteReference"/>
        </w:rPr>
        <w:footnoteRef/>
      </w:r>
      <w:r>
        <w:t xml:space="preserve"> Personal name: Beera. Personal-name meaning: Beera — a well; declaring. Source form: Beera.</w:t>
      </w:r>
    </w:p>
  </w:footnote>
  <w:footnote w:id="8089">
    <w:p>
      <w:pPr>
        <w:pStyle w:val="FootnoteText"/>
      </w:pPr>
      <w:r>
        <w:rPr>
          <w:rStyle w:val="FootnoteReference"/>
        </w:rPr>
        <w:footnoteRef/>
      </w:r>
      <w:r>
        <w:t xml:space="preserve"> Personal name: Ulla. Personal-name meaning: Ulla — elevation; leaf; young child. Source form: Ulla.</w:t>
      </w:r>
    </w:p>
  </w:footnote>
  <w:footnote w:id="8090">
    <w:p>
      <w:pPr>
        <w:pStyle w:val="FootnoteText"/>
      </w:pPr>
      <w:r>
        <w:rPr>
          <w:rStyle w:val="FootnoteReference"/>
        </w:rPr>
        <w:footnoteRef/>
      </w:r>
      <w:r>
        <w:t xml:space="preserve"> Personal name: Arah. Personal-name meaning: Arah — the way; a traveler. Source form: Arah.</w:t>
      </w:r>
    </w:p>
  </w:footnote>
  <w:footnote w:id="8091">
    <w:p>
      <w:pPr>
        <w:pStyle w:val="FootnoteText"/>
      </w:pPr>
      <w:r>
        <w:rPr>
          <w:rStyle w:val="FootnoteReference"/>
        </w:rPr>
        <w:footnoteRef/>
      </w:r>
      <w:r>
        <w:t xml:space="preserve"> Cross-references for "Bela": Gen 46:21; 1Chr 7:6-12.</w:t>
      </w:r>
    </w:p>
  </w:footnote>
  <w:footnote w:id="8092">
    <w:p>
      <w:pPr>
        <w:pStyle w:val="FootnoteText"/>
      </w:pPr>
      <w:r>
        <w:rPr>
          <w:rStyle w:val="FootnoteReference"/>
        </w:rPr>
        <w:footnoteRef/>
      </w:r>
      <w:r>
        <w:t xml:space="preserve"> Personal name: Aharah. Personal-name meaning: Aharah — a smiling brother; a meadow of a sweet savor. Source form: Aharah.</w:t>
      </w:r>
    </w:p>
  </w:footnote>
  <w:footnote w:id="8093">
    <w:p>
      <w:pPr>
        <w:pStyle w:val="FootnoteText"/>
      </w:pPr>
      <w:r>
        <w:rPr>
          <w:rStyle w:val="FootnoteReference"/>
        </w:rPr>
        <w:footnoteRef/>
      </w:r>
      <w:r>
        <w:t xml:space="preserve"> Translation note: Greek gives a terse ordinal name list. Current wording preserves it.</w:t>
      </w:r>
    </w:p>
  </w:footnote>
  <w:footnote w:id="8094">
    <w:p>
      <w:pPr>
        <w:pStyle w:val="FootnoteText"/>
      </w:pPr>
      <w:r>
        <w:rPr>
          <w:rStyle w:val="FootnoteReference"/>
        </w:rPr>
        <w:footnoteRef/>
      </w:r>
      <w:r>
        <w:t xml:space="preserve"> Personal name: Nohah. Personal-name meaning: Nohah — rest; quiet. Source form: Nohah.</w:t>
      </w:r>
    </w:p>
  </w:footnote>
  <w:footnote w:id="8095">
    <w:p>
      <w:pPr>
        <w:pStyle w:val="FootnoteText"/>
      </w:pPr>
      <w:r>
        <w:rPr>
          <w:rStyle w:val="FootnoteReference"/>
        </w:rPr>
        <w:footnoteRef/>
      </w:r>
      <w:r>
        <w:t xml:space="preserve"> Cross-references for "Gera": Judg 3:15.</w:t>
      </w:r>
    </w:p>
  </w:footnote>
  <w:footnote w:id="8096">
    <w:p>
      <w:pPr>
        <w:pStyle w:val="FootnoteText"/>
      </w:pPr>
      <w:r>
        <w:rPr>
          <w:rStyle w:val="FootnoteReference"/>
        </w:rPr>
        <w:footnoteRef/>
      </w:r>
      <w:r>
        <w:t xml:space="preserve"> Personal name: Shephuphan. Personal-name meaning: Shephuphan — serpent. Source form: Shephuphan.</w:t>
      </w:r>
    </w:p>
  </w:footnote>
  <w:footnote w:id="8097">
    <w:p>
      <w:pPr>
        <w:pStyle w:val="FootnoteText"/>
      </w:pPr>
      <w:r>
        <w:rPr>
          <w:rStyle w:val="FootnoteReference"/>
        </w:rPr>
        <w:footnoteRef/>
      </w:r>
      <w:r>
        <w:t xml:space="preserve"> Personal name: Baara. Personal-name meaning: Baara — a flame; purging. Source form: Baara.</w:t>
      </w:r>
    </w:p>
  </w:footnote>
  <w:footnote w:id="8098">
    <w:p>
      <w:pPr>
        <w:pStyle w:val="FootnoteText"/>
      </w:pPr>
      <w:r>
        <w:rPr>
          <w:rStyle w:val="FootnoteReference"/>
        </w:rPr>
        <w:footnoteRef/>
      </w:r>
      <w:r>
        <w:t xml:space="preserve"> Transliterated proper noun: Malcham. Standard English equivalent: Malcham. Source form: Malcham. Greek form: μελχαμ. Name meaning: their king; their counselor.</w:t>
      </w:r>
    </w:p>
  </w:footnote>
  <w:footnote w:id="8099">
    <w:p>
      <w:pPr>
        <w:pStyle w:val="FootnoteText"/>
      </w:pPr>
      <w:r>
        <w:rPr>
          <w:rStyle w:val="FootnoteReference"/>
        </w:rPr>
        <w:footnoteRef/>
      </w:r>
      <w:r>
        <w:t xml:space="preserve"> Transliterated proper noun: Shachia. Standard English equivalent: Shachia. Source form: Shachia. Greek form: σαβια. Name meaning: protection of the Lord.</w:t>
      </w:r>
    </w:p>
  </w:footnote>
  <w:footnote w:id="8100">
    <w:p>
      <w:pPr>
        <w:pStyle w:val="FootnoteText"/>
      </w:pPr>
      <w:r>
        <w:rPr>
          <w:rStyle w:val="FootnoteReference"/>
        </w:rPr>
        <w:footnoteRef/>
      </w:r>
      <w:r>
        <w:t xml:space="preserve"> Personal name: Abitub. Personal-name meaning: Abitub — father of goodness. Source form: Abitub.</w:t>
      </w:r>
    </w:p>
  </w:footnote>
  <w:footnote w:id="8101">
    <w:p>
      <w:pPr>
        <w:pStyle w:val="FootnoteText"/>
      </w:pPr>
      <w:r>
        <w:rPr>
          <w:rStyle w:val="FootnoteReference"/>
        </w:rPr>
        <w:footnoteRef/>
      </w:r>
      <w:r>
        <w:t xml:space="preserve"> Personal name: Elpaal. Personal-name meaning: Elpaal — God's work. Source form: Elpaal.</w:t>
      </w:r>
    </w:p>
  </w:footnote>
  <w:footnote w:id="8102">
    <w:p>
      <w:pPr>
        <w:pStyle w:val="FootnoteText"/>
      </w:pPr>
      <w:r>
        <w:rPr>
          <w:rStyle w:val="FootnoteReference"/>
        </w:rPr>
        <w:footnoteRef/>
      </w:r>
      <w:r>
        <w:t xml:space="preserve"> Personal name: Misham. Personal-name meaning: Misham — their savior; taking away. Source form: Misham.</w:t>
      </w:r>
    </w:p>
  </w:footnote>
  <w:footnote w:id="8103">
    <w:p>
      <w:pPr>
        <w:pStyle w:val="FootnoteText"/>
      </w:pPr>
      <w:r>
        <w:rPr>
          <w:rStyle w:val="FootnoteReference"/>
        </w:rPr>
        <w:footnoteRef/>
      </w:r>
      <w:r>
        <w:t xml:space="preserve"> Transliterated proper noun: Shamed. Standard English equivalent: Shamed. Source form: Shamed. Greek form: σεμμηρ. Name meaning: destroying; wearing out.</w:t>
      </w:r>
    </w:p>
  </w:footnote>
  <w:footnote w:id="8104">
    <w:p>
      <w:pPr>
        <w:pStyle w:val="FootnoteText"/>
      </w:pPr>
      <w:r>
        <w:rPr>
          <w:rStyle w:val="FootnoteReference"/>
        </w:rPr>
        <w:footnoteRef/>
      </w:r>
      <w:r>
        <w:t xml:space="preserve"> Place name: Ono. Place-name meaning: Ono — grief or strength or iniquity of him. Source form: Ono. Greek form: ωνω.</w:t>
      </w:r>
    </w:p>
  </w:footnote>
  <w:footnote w:id="8105">
    <w:p>
      <w:pPr>
        <w:pStyle w:val="FootnoteText"/>
      </w:pPr>
      <w:r>
        <w:rPr>
          <w:rStyle w:val="FootnoteReference"/>
        </w:rPr>
        <w:footnoteRef/>
      </w:r>
      <w:r>
        <w:t xml:space="preserve"> Place name: Aijalon. Place-name meaning: Aijalon — a chain; strength; a stag. Source form: Aijalon. Greek form: αιλαμ.</w:t>
      </w:r>
    </w:p>
  </w:footnote>
  <w:footnote w:id="8106">
    <w:p>
      <w:pPr>
        <w:pStyle w:val="FootnoteText"/>
      </w:pPr>
      <w:r>
        <w:rPr>
          <w:rStyle w:val="FootnoteReference"/>
        </w:rPr>
        <w:footnoteRef/>
      </w:r>
      <w:r>
        <w:t xml:space="preserve"> Cross-references for "Aijalon": Josh 19:42.</w:t>
      </w:r>
    </w:p>
  </w:footnote>
  <w:footnote w:id="8107">
    <w:p>
      <w:pPr>
        <w:pStyle w:val="FootnoteText"/>
      </w:pPr>
      <w:r>
        <w:rPr>
          <w:rStyle w:val="FootnoteReference"/>
        </w:rPr>
        <w:footnoteRef/>
      </w:r>
      <w:r>
        <w:t xml:space="preserve"> Personal name: Shashak. Personal-name meaning: Shashak — a bag of linen; the sixth bag. Source form: Shashak.</w:t>
      </w:r>
    </w:p>
  </w:footnote>
  <w:footnote w:id="8108">
    <w:p>
      <w:pPr>
        <w:pStyle w:val="FootnoteText"/>
      </w:pPr>
      <w:r>
        <w:rPr>
          <w:rStyle w:val="FootnoteReference"/>
        </w:rPr>
        <w:footnoteRef/>
      </w:r>
      <w:r>
        <w:t xml:space="preserve"> Personal name: Jeremoth. Personal-name meaning: Jeremoth — eminences; one that fears death. Source form: Jeremoth.</w:t>
      </w:r>
    </w:p>
  </w:footnote>
  <w:footnote w:id="8109">
    <w:p>
      <w:pPr>
        <w:pStyle w:val="FootnoteText"/>
      </w:pPr>
      <w:r>
        <w:rPr>
          <w:rStyle w:val="FootnoteReference"/>
        </w:rPr>
        <w:footnoteRef/>
      </w:r>
      <w:r>
        <w:t xml:space="preserve"> Personal name: Zebadiah. Personal-name meaning: Zebadiah — portion of the Lord; the Lord is my portion. Source form: Zebadiah.</w:t>
      </w:r>
    </w:p>
  </w:footnote>
  <w:footnote w:id="8110">
    <w:p>
      <w:pPr>
        <w:pStyle w:val="FootnoteText"/>
      </w:pPr>
      <w:r>
        <w:rPr>
          <w:rStyle w:val="FootnoteReference"/>
        </w:rPr>
        <w:footnoteRef/>
      </w:r>
      <w:r>
        <w:t xml:space="preserve"> Personal name: Oded. Personal-name meaning: Oded — to sustain, hold or lift up. Source form: Oded.</w:t>
      </w:r>
    </w:p>
  </w:footnote>
  <w:footnote w:id="8111">
    <w:p>
      <w:pPr>
        <w:pStyle w:val="FootnoteText"/>
      </w:pPr>
      <w:r>
        <w:rPr>
          <w:rStyle w:val="FootnoteReference"/>
        </w:rPr>
        <w:footnoteRef/>
      </w:r>
      <w:r>
        <w:t xml:space="preserve"> Transliterated proper noun: Ispah. Standard English equivalent: Ispah. Source form: Ispah. Greek form: ιεσφα. Name meaning: a jasper stone.</w:t>
      </w:r>
    </w:p>
  </w:footnote>
  <w:footnote w:id="8112">
    <w:p>
      <w:pPr>
        <w:pStyle w:val="FootnoteText"/>
      </w:pPr>
      <w:r>
        <w:rPr>
          <w:rStyle w:val="FootnoteReference"/>
        </w:rPr>
        <w:footnoteRef/>
      </w:r>
      <w:r>
        <w:t xml:space="preserve"> Personal name: Joha. Personal-name meaning: Joha — who enlivens or gives life. Source form: Joha.</w:t>
      </w:r>
    </w:p>
  </w:footnote>
  <w:footnote w:id="8113">
    <w:p>
      <w:pPr>
        <w:pStyle w:val="FootnoteText"/>
      </w:pPr>
      <w:r>
        <w:rPr>
          <w:rStyle w:val="FootnoteReference"/>
        </w:rPr>
        <w:footnoteRef/>
      </w:r>
      <w:r>
        <w:t xml:space="preserve"> Cross-references for "Beriah": 1Chr 8:13.</w:t>
      </w:r>
    </w:p>
  </w:footnote>
  <w:footnote w:id="8114">
    <w:p>
      <w:pPr>
        <w:pStyle w:val="FootnoteText"/>
      </w:pPr>
      <w:r>
        <w:rPr>
          <w:rStyle w:val="FootnoteReference"/>
        </w:rPr>
        <w:footnoteRef/>
      </w:r>
      <w:r>
        <w:t xml:space="preserve"> Personal name: Ishmerai. Personal-name meaning: Ishmerai — keeper, or keeping. Source form: Ishmerai.</w:t>
      </w:r>
    </w:p>
  </w:footnote>
  <w:footnote w:id="8115">
    <w:p>
      <w:pPr>
        <w:pStyle w:val="FootnoteText"/>
      </w:pPr>
      <w:r>
        <w:rPr>
          <w:rStyle w:val="FootnoteReference"/>
        </w:rPr>
        <w:footnoteRef/>
      </w:r>
      <w:r>
        <w:t xml:space="preserve"> Personal name: Zabdi. Personal-name meaning: Zabdi — dowry; endowed. Source form: Zabdi.</w:t>
      </w:r>
    </w:p>
  </w:footnote>
  <w:footnote w:id="8116">
    <w:p>
      <w:pPr>
        <w:pStyle w:val="FootnoteText"/>
      </w:pPr>
      <w:r>
        <w:rPr>
          <w:rStyle w:val="FootnoteReference"/>
        </w:rPr>
        <w:footnoteRef/>
      </w:r>
      <w:r>
        <w:t xml:space="preserve"> Personal name: Elienai. Personal-name meaning: Elienai — the God of my eyes. Source form: Elienai.</w:t>
      </w:r>
    </w:p>
  </w:footnote>
  <w:footnote w:id="8117">
    <w:p>
      <w:pPr>
        <w:pStyle w:val="FootnoteText"/>
      </w:pPr>
      <w:r>
        <w:rPr>
          <w:rStyle w:val="FootnoteReference"/>
        </w:rPr>
        <w:footnoteRef/>
      </w:r>
      <w:r>
        <w:t xml:space="preserve"> Transliterated proper noun: Zilthai. Standard English equivalent: Zilthai. Source form: Zilthai. Greek form: σαλθι. Name meaning: my shadow; my talk.</w:t>
      </w:r>
    </w:p>
  </w:footnote>
  <w:footnote w:id="8118">
    <w:p>
      <w:pPr>
        <w:pStyle w:val="FootnoteText"/>
      </w:pPr>
      <w:r>
        <w:rPr>
          <w:rStyle w:val="FootnoteReference"/>
        </w:rPr>
        <w:footnoteRef/>
      </w:r>
      <w:r>
        <w:t xml:space="preserve"> Personal name: Beraiah. Personal-name meaning: Beraiah — the choosing of the Lord. Source form: Beraiah.</w:t>
      </w:r>
    </w:p>
  </w:footnote>
  <w:footnote w:id="8119">
    <w:p>
      <w:pPr>
        <w:pStyle w:val="FootnoteText"/>
      </w:pPr>
      <w:r>
        <w:rPr>
          <w:rStyle w:val="FootnoteReference"/>
        </w:rPr>
        <w:footnoteRef/>
      </w:r>
      <w:r>
        <w:t xml:space="preserve"> Personal name: Shimrath. Personal-name meaning: Shimrath — hearing; obedient. Source form: Shimrath.</w:t>
      </w:r>
    </w:p>
  </w:footnote>
  <w:footnote w:id="8120">
    <w:p>
      <w:pPr>
        <w:pStyle w:val="FootnoteText"/>
      </w:pPr>
      <w:r>
        <w:rPr>
          <w:rStyle w:val="FootnoteReference"/>
        </w:rPr>
        <w:footnoteRef/>
      </w:r>
      <w:r>
        <w:t xml:space="preserve"> Personal name: Ishpan. Personal-name meaning: Ishpan — hid; broken in two. Source form: Ishpan.</w:t>
      </w:r>
    </w:p>
  </w:footnote>
  <w:footnote w:id="8121">
    <w:p>
      <w:pPr>
        <w:pStyle w:val="FootnoteText"/>
      </w:pPr>
      <w:r>
        <w:rPr>
          <w:rStyle w:val="FootnoteReference"/>
        </w:rPr>
        <w:footnoteRef/>
      </w:r>
      <w:r>
        <w:t xml:space="preserve"> Transliterated proper noun: Antothijah. Standard English equivalent: Antothijah. Source form: Antothijah. Greek form: αναθωθια. Name meaning: answers or songs of the Lord; afflictions.</w:t>
      </w:r>
    </w:p>
  </w:footnote>
  <w:footnote w:id="8122">
    <w:p>
      <w:pPr>
        <w:pStyle w:val="FootnoteText"/>
      </w:pPr>
      <w:r>
        <w:rPr>
          <w:rStyle w:val="FootnoteReference"/>
        </w:rPr>
        <w:footnoteRef/>
      </w:r>
      <w:r>
        <w:t xml:space="preserve"> Personal name: Shamsherai. Personal-name meaning: Shamsherai — there a singer or conqueror. Source form: Shamsherai.</w:t>
      </w:r>
    </w:p>
  </w:footnote>
  <w:footnote w:id="8123">
    <w:p>
      <w:pPr>
        <w:pStyle w:val="FootnoteText"/>
      </w:pPr>
      <w:r>
        <w:rPr>
          <w:rStyle w:val="FootnoteReference"/>
        </w:rPr>
        <w:footnoteRef/>
      </w:r>
      <w:r>
        <w:t xml:space="preserve"> Personal name: Shehariah. Personal-name meaning: Shehariah — mourning or blackness of the Lord. Source form: Shehariah.</w:t>
      </w:r>
    </w:p>
  </w:footnote>
  <w:footnote w:id="8124">
    <w:p>
      <w:pPr>
        <w:pStyle w:val="FootnoteText"/>
      </w:pPr>
      <w:r>
        <w:rPr>
          <w:rStyle w:val="FootnoteReference"/>
        </w:rPr>
        <w:footnoteRef/>
      </w:r>
      <w:r>
        <w:t xml:space="preserve"> Transliterated proper noun: Jaresiah. Standard English equivalent: Jaresiah. Source form: Jaresiah. Greek form: ιαρασια. Name meaning: the bed of the Lord; the Lord hath taken away; poverty.</w:t>
      </w:r>
    </w:p>
  </w:footnote>
  <w:footnote w:id="8125">
    <w:p>
      <w:pPr>
        <w:pStyle w:val="FootnoteText"/>
      </w:pPr>
      <w:r>
        <w:rPr>
          <w:rStyle w:val="FootnoteReference"/>
        </w:rPr>
        <w:footnoteRef/>
      </w:r>
      <w:r>
        <w:t xml:space="preserve"> Transliterated proper noun: Eliah. Standard English equivalent: Eliah. Source form: Eliah. Greek form: ηλια. Name meaning: God the Lord.</w:t>
      </w:r>
    </w:p>
  </w:footnote>
  <w:footnote w:id="8126">
    <w:p>
      <w:pPr>
        <w:pStyle w:val="FootnoteText"/>
      </w:pPr>
      <w:r>
        <w:rPr>
          <w:rStyle w:val="FootnoteReference"/>
        </w:rPr>
        <w:footnoteRef/>
      </w:r>
      <w:r>
        <w:t xml:space="preserve"> Cross-references for "dwelt": Josh 15:63; Josh 18:28.</w:t>
      </w:r>
    </w:p>
  </w:footnote>
  <w:footnote w:id="8127">
    <w:p>
      <w:pPr>
        <w:pStyle w:val="FootnoteText"/>
      </w:pPr>
      <w:r>
        <w:rPr>
          <w:rStyle w:val="FootnoteReference"/>
        </w:rPr>
        <w:footnoteRef/>
      </w:r>
      <w:r>
        <w:t xml:space="preserve"> Cross-references for "Abdon": 1Chr 9:36-37.</w:t>
      </w:r>
    </w:p>
  </w:footnote>
  <w:footnote w:id="8128">
    <w:p>
      <w:pPr>
        <w:pStyle w:val="FootnoteText"/>
      </w:pPr>
      <w:r>
        <w:rPr>
          <w:rStyle w:val="FootnoteReference"/>
        </w:rPr>
        <w:footnoteRef/>
      </w:r>
      <w:r>
        <w:t xml:space="preserve"> Personal name: Ahio. Personal-name meaning: Ahio — his brother; his brethren. Source form: Ahio.</w:t>
      </w:r>
    </w:p>
  </w:footnote>
  <w:footnote w:id="8129">
    <w:p>
      <w:pPr>
        <w:pStyle w:val="FootnoteText"/>
      </w:pPr>
      <w:r>
        <w:rPr>
          <w:rStyle w:val="FootnoteReference"/>
        </w:rPr>
        <w:footnoteRef/>
      </w:r>
      <w:r>
        <w:t xml:space="preserve"> Personal name: Mikloth. Personal-name meaning: Mikloth — little wants; little voices; looking downward. Source form: Mikloth.</w:t>
      </w:r>
    </w:p>
  </w:footnote>
  <w:footnote w:id="8130">
    <w:p>
      <w:pPr>
        <w:pStyle w:val="FootnoteText"/>
      </w:pPr>
      <w:r>
        <w:rPr>
          <w:rStyle w:val="FootnoteReference"/>
        </w:rPr>
        <w:footnoteRef/>
      </w:r>
      <w:r>
        <w:t xml:space="preserve"> Cross-references for "Kish": 1Sam 9:1; Acts 13:21.</w:t>
      </w:r>
    </w:p>
  </w:footnote>
  <w:footnote w:id="8131">
    <w:p>
      <w:pPr>
        <w:pStyle w:val="FootnoteText"/>
      </w:pPr>
      <w:r>
        <w:rPr>
          <w:rStyle w:val="FootnoteReference"/>
        </w:rPr>
        <w:footnoteRef/>
      </w:r>
      <w:r>
        <w:t xml:space="preserve"> Personal name: Eshbaal. Personal-name meaning: Eshbaal — the fire of the idol, or of the ruler. Source form: Eshbaal.</w:t>
      </w:r>
    </w:p>
  </w:footnote>
  <w:footnote w:id="8132">
    <w:p>
      <w:pPr>
        <w:pStyle w:val="FootnoteText"/>
      </w:pPr>
      <w:r>
        <w:rPr>
          <w:rStyle w:val="FootnoteReference"/>
        </w:rPr>
        <w:footnoteRef/>
      </w:r>
      <w:r>
        <w:t xml:space="preserve"> Transliterated proper noun: Meribbaal. Standard English equivalent: Meribbaal. Source form: Meribbaal. Greek form: μεριβααλ. Name meaning: he that resists Baal; rebellion.</w:t>
      </w:r>
    </w:p>
  </w:footnote>
  <w:footnote w:id="8133">
    <w:p>
      <w:pPr>
        <w:pStyle w:val="FootnoteText"/>
      </w:pPr>
      <w:r>
        <w:rPr>
          <w:rStyle w:val="FootnoteReference"/>
        </w:rPr>
        <w:footnoteRef/>
      </w:r>
      <w:r>
        <w:t xml:space="preserve"> Cross-references for "Meribbaal": 2Sam 4:4; 2Sam 9:6.</w:t>
      </w:r>
    </w:p>
  </w:footnote>
  <w:footnote w:id="8134">
    <w:p>
      <w:pPr>
        <w:pStyle w:val="FootnoteText"/>
      </w:pPr>
      <w:r>
        <w:rPr>
          <w:rStyle w:val="FootnoteReference"/>
        </w:rPr>
        <w:footnoteRef/>
      </w:r>
      <w:r>
        <w:t xml:space="preserve"> Personal name: Pithon. Personal-name meaning: Pithon — mouthful; persuasion. Source form: Pithon.</w:t>
      </w:r>
    </w:p>
  </w:footnote>
  <w:footnote w:id="8135">
    <w:p>
      <w:pPr>
        <w:pStyle w:val="FootnoteText"/>
      </w:pPr>
      <w:r>
        <w:rPr>
          <w:rStyle w:val="FootnoteReference"/>
        </w:rPr>
        <w:footnoteRef/>
      </w:r>
      <w:r>
        <w:t xml:space="preserve"> Personal name: Tarea. Personal-name meaning: Tarea — howling; doing evil. Source form: Tarea.</w:t>
      </w:r>
    </w:p>
  </w:footnote>
  <w:footnote w:id="8136">
    <w:p>
      <w:pPr>
        <w:pStyle w:val="FootnoteText"/>
      </w:pPr>
      <w:r>
        <w:rPr>
          <w:rStyle w:val="FootnoteReference"/>
        </w:rPr>
        <w:footnoteRef/>
      </w:r>
      <w:r>
        <w:t xml:space="preserve"> Cross-references for "Tarea": 1Chr 9:41.</w:t>
      </w:r>
    </w:p>
  </w:footnote>
  <w:footnote w:id="8137">
    <w:p>
      <w:pPr>
        <w:pStyle w:val="FootnoteText"/>
      </w:pPr>
      <w:r>
        <w:rPr>
          <w:rStyle w:val="FootnoteReference"/>
        </w:rPr>
        <w:footnoteRef/>
      </w:r>
      <w:r>
        <w:t xml:space="preserve"> Transliterated proper noun: Jehoadah. Standard English equivalent: Jehoadah. Source form: Jehoadah. Greek form: ιωιαδα. Name meaning: passing over; testimony of the Lord.</w:t>
      </w:r>
    </w:p>
  </w:footnote>
  <w:footnote w:id="8138">
    <w:p>
      <w:pPr>
        <w:pStyle w:val="FootnoteText"/>
      </w:pPr>
      <w:r>
        <w:rPr>
          <w:rStyle w:val="FootnoteReference"/>
        </w:rPr>
        <w:footnoteRef/>
      </w:r>
      <w:r>
        <w:t xml:space="preserve"> Personal name: Moza. Personal-name meaning: Moza — going out; source. Source form: Moza.</w:t>
      </w:r>
    </w:p>
  </w:footnote>
  <w:footnote w:id="8139">
    <w:p>
      <w:pPr>
        <w:pStyle w:val="FootnoteText"/>
      </w:pPr>
      <w:r>
        <w:rPr>
          <w:rStyle w:val="FootnoteReference"/>
        </w:rPr>
        <w:footnoteRef/>
      </w:r>
      <w:r>
        <w:t xml:space="preserve"> Cross-references for "Jehoadah": 1Chr 9:42.</w:t>
      </w:r>
    </w:p>
  </w:footnote>
  <w:footnote w:id="8140">
    <w:p>
      <w:pPr>
        <w:pStyle w:val="FootnoteText"/>
      </w:pPr>
      <w:r>
        <w:rPr>
          <w:rStyle w:val="FootnoteReference"/>
        </w:rPr>
        <w:footnoteRef/>
      </w:r>
      <w:r>
        <w:t xml:space="preserve"> Personal name: Azel. Personal-name meaning: Azel — noble; reserved. Source form: Azel.</w:t>
      </w:r>
    </w:p>
  </w:footnote>
  <w:footnote w:id="8141">
    <w:p>
      <w:pPr>
        <w:pStyle w:val="FootnoteText"/>
      </w:pPr>
      <w:r>
        <w:rPr>
          <w:rStyle w:val="FootnoteReference"/>
        </w:rPr>
        <w:footnoteRef/>
      </w:r>
      <w:r>
        <w:t xml:space="preserve"> Cross-references for "all Israel": Ezra 2:59; Ezra 2:62-63.</w:t>
      </w:r>
    </w:p>
  </w:footnote>
  <w:footnote w:id="8142">
    <w:p>
      <w:pPr>
        <w:pStyle w:val="FootnoteText"/>
      </w:pPr>
      <w:r>
        <w:rPr>
          <w:rStyle w:val="FootnoteReference"/>
        </w:rPr>
        <w:footnoteRef/>
      </w:r>
      <w:r>
        <w:t xml:space="preserve"> Cross-references for "Jerusalem": Neh 11:1; Neh 11:4-9.</w:t>
      </w:r>
    </w:p>
  </w:footnote>
  <w:footnote w:id="8143">
    <w:p>
      <w:pPr>
        <w:pStyle w:val="FootnoteText"/>
      </w:pPr>
      <w:r>
        <w:rPr>
          <w:rStyle w:val="FootnoteReference"/>
        </w:rPr>
        <w:footnoteRef/>
      </w:r>
      <w:r>
        <w:t xml:space="preserve"> Transliterated proper noun: Shilonites. Standard English equivalent: Shilonites. Source form: Shilonites. Greek form: σηλωνι. Name meaning: people of Shiloh; peaceful/resting place.</w:t>
      </w:r>
    </w:p>
  </w:footnote>
  <w:footnote w:id="8144">
    <w:p>
      <w:pPr>
        <w:pStyle w:val="FootnoteText"/>
      </w:pPr>
      <w:r>
        <w:rPr>
          <w:rStyle w:val="FootnoteReference"/>
        </w:rPr>
        <w:footnoteRef/>
      </w:r>
      <w:r>
        <w:t xml:space="preserve"> Cross-references for "Shilonites": Num 26:20; Neh 11:5.</w:t>
      </w:r>
    </w:p>
  </w:footnote>
  <w:footnote w:id="8145">
    <w:p>
      <w:pPr>
        <w:pStyle w:val="FootnoteText"/>
      </w:pPr>
      <w:r>
        <w:rPr>
          <w:rStyle w:val="FootnoteReference"/>
        </w:rPr>
        <w:footnoteRef/>
      </w:r>
      <w:r>
        <w:t xml:space="preserve"> Cross-references for "Zerah": Gen 38:30; Num 26:20.</w:t>
      </w:r>
    </w:p>
  </w:footnote>
  <w:footnote w:id="8146">
    <w:p>
      <w:pPr>
        <w:pStyle w:val="FootnoteText"/>
      </w:pPr>
      <w:r>
        <w:rPr>
          <w:rStyle w:val="FootnoteReference"/>
        </w:rPr>
        <w:footnoteRef/>
      </w:r>
      <w:r>
        <w:t xml:space="preserve"> Personal name: Jeuel. Personal-name meaning: Jeuel — God hath taken away; God heaping up. Source form: Jeuel.</w:t>
      </w:r>
    </w:p>
  </w:footnote>
  <w:footnote w:id="8147">
    <w:p>
      <w:pPr>
        <w:pStyle w:val="FootnoteText"/>
      </w:pPr>
      <w:r>
        <w:rPr>
          <w:rStyle w:val="FootnoteReference"/>
        </w:rPr>
        <w:footnoteRef/>
      </w:r>
      <w:r>
        <w:t xml:space="preserve"> Personal name: Sallu. Personal-name meaning: Sallu — an exaltation; a basket. Source form: Sallu.</w:t>
      </w:r>
    </w:p>
  </w:footnote>
  <w:footnote w:id="8148">
    <w:p>
      <w:pPr>
        <w:pStyle w:val="FootnoteText"/>
      </w:pPr>
      <w:r>
        <w:rPr>
          <w:rStyle w:val="FootnoteReference"/>
        </w:rPr>
        <w:footnoteRef/>
      </w:r>
      <w:r>
        <w:t xml:space="preserve"> Personal name: Senaah. Personal-name meaning: Senaah — bramble; enemy. Source form: Senaah.</w:t>
      </w:r>
    </w:p>
  </w:footnote>
  <w:footnote w:id="8149">
    <w:p>
      <w:pPr>
        <w:pStyle w:val="FootnoteText"/>
      </w:pPr>
      <w:r>
        <w:rPr>
          <w:rStyle w:val="FootnoteReference"/>
        </w:rPr>
        <w:footnoteRef/>
      </w:r>
      <w:r>
        <w:t xml:space="preserve"> Cross-references for "Sallu": Neh 8:4; Neh 10:20.</w:t>
      </w:r>
    </w:p>
  </w:footnote>
  <w:footnote w:id="8150">
    <w:p>
      <w:pPr>
        <w:pStyle w:val="FootnoteText"/>
      </w:pPr>
      <w:r>
        <w:rPr>
          <w:rStyle w:val="FootnoteReference"/>
        </w:rPr>
        <w:footnoteRef/>
      </w:r>
      <w:r>
        <w:t xml:space="preserve"> Translation note: Greek witnesses vary in names here. Current line follows transmitted Greek list.</w:t>
      </w:r>
    </w:p>
  </w:footnote>
  <w:footnote w:id="8151">
    <w:p>
      <w:pPr>
        <w:pStyle w:val="FootnoteText"/>
      </w:pPr>
      <w:r>
        <w:rPr>
          <w:rStyle w:val="FootnoteReference"/>
        </w:rPr>
        <w:footnoteRef/>
      </w:r>
      <w:r>
        <w:t xml:space="preserve"> Personal name: Jehoiarib. Personal-name meaning: Jehoiarib — fighting, or multiplying, of the Lord. Source form: Jehoiarib.</w:t>
      </w:r>
    </w:p>
  </w:footnote>
  <w:footnote w:id="8152">
    <w:p>
      <w:pPr>
        <w:pStyle w:val="FootnoteText"/>
      </w:pPr>
      <w:r>
        <w:rPr>
          <w:rStyle w:val="FootnoteReference"/>
        </w:rPr>
        <w:footnoteRef/>
      </w:r>
      <w:r>
        <w:t xml:space="preserve"> Cross-references for "Jehoiarib": Neh 11:10-24; Neh 12:19.</w:t>
      </w:r>
    </w:p>
  </w:footnote>
  <w:footnote w:id="8153">
    <w:p>
      <w:pPr>
        <w:pStyle w:val="FootnoteText"/>
      </w:pPr>
      <w:r>
        <w:rPr>
          <w:rStyle w:val="FootnoteReference"/>
        </w:rPr>
        <w:footnoteRef/>
      </w:r>
      <w:r>
        <w:t xml:space="preserve"> Cross-references for "Azariah": 1Chr 6:8-15; Neh 10:2.</w:t>
      </w:r>
    </w:p>
  </w:footnote>
  <w:footnote w:id="8154">
    <w:p>
      <w:pPr>
        <w:pStyle w:val="FootnoteText"/>
      </w:pPr>
      <w:r>
        <w:rPr>
          <w:rStyle w:val="FootnoteReference"/>
        </w:rPr>
        <w:footnoteRef/>
      </w:r>
      <w:r>
        <w:t xml:space="preserve"> Transliterated proper noun: Pashur. Standard English equivalent: Pashur. Source form: Pashur. Greek form: πασχωρ. Name meaning: that extends or multiplies the hole; whiteness.</w:t>
      </w:r>
    </w:p>
  </w:footnote>
  <w:footnote w:id="8155">
    <w:p>
      <w:pPr>
        <w:pStyle w:val="FootnoteText"/>
      </w:pPr>
      <w:r>
        <w:rPr>
          <w:rStyle w:val="FootnoteReference"/>
        </w:rPr>
        <w:footnoteRef/>
      </w:r>
      <w:r>
        <w:t xml:space="preserve"> Personal name: Jahzerah. Personal-name meaning: Jahzerah — Yahweh returns; Yahweh helps. Source form: Jahzerah.</w:t>
      </w:r>
    </w:p>
  </w:footnote>
  <w:footnote w:id="8156">
    <w:p>
      <w:pPr>
        <w:pStyle w:val="FootnoteText"/>
      </w:pPr>
      <w:r>
        <w:rPr>
          <w:rStyle w:val="FootnoteReference"/>
        </w:rPr>
        <w:footnoteRef/>
      </w:r>
      <w:r>
        <w:t xml:space="preserve"> Transliterated proper noun: Immer. Standard English equivalent: Immer. Source form: Immer. Greek form: εμμηρ. Name meaning: saying; speaking; a lamb.</w:t>
      </w:r>
    </w:p>
  </w:footnote>
  <w:footnote w:id="8157">
    <w:p>
      <w:pPr>
        <w:pStyle w:val="FootnoteText"/>
      </w:pPr>
      <w:r>
        <w:rPr>
          <w:rStyle w:val="FootnoteReference"/>
        </w:rPr>
        <w:footnoteRef/>
      </w:r>
      <w:r>
        <w:t xml:space="preserve"> Cross-references for "Immer": 1Chr 24:14; Ezra 2:37.</w:t>
      </w:r>
    </w:p>
  </w:footnote>
  <w:footnote w:id="8158">
    <w:p>
      <w:pPr>
        <w:pStyle w:val="FootnoteText"/>
      </w:pPr>
      <w:r>
        <w:rPr>
          <w:rStyle w:val="FootnoteReference"/>
        </w:rPr>
        <w:footnoteRef/>
      </w:r>
      <w:r>
        <w:t xml:space="preserve"> Cross-references for "Shemaiah": Neh 11:15.</w:t>
      </w:r>
    </w:p>
  </w:footnote>
  <w:footnote w:id="8159">
    <w:p>
      <w:pPr>
        <w:pStyle w:val="FootnoteText"/>
      </w:pPr>
      <w:r>
        <w:rPr>
          <w:rStyle w:val="FootnoteReference"/>
        </w:rPr>
        <w:footnoteRef/>
      </w:r>
      <w:r>
        <w:t xml:space="preserve"> Personal name: Hashabiah. Personal-name meaning: Hashabiah — the estimation of the Lord. Source form: Hashabiah.</w:t>
      </w:r>
    </w:p>
  </w:footnote>
  <w:footnote w:id="8160">
    <w:p>
      <w:pPr>
        <w:pStyle w:val="FootnoteText"/>
      </w:pPr>
      <w:r>
        <w:rPr>
          <w:rStyle w:val="FootnoteReference"/>
        </w:rPr>
        <w:footnoteRef/>
      </w:r>
      <w:r>
        <w:t xml:space="preserve"> Personal name: Heresh. Personal-name meaning: Heresh — a carpenter. Source form: Heresh.</w:t>
      </w:r>
    </w:p>
  </w:footnote>
  <w:footnote w:id="8161">
    <w:p>
      <w:pPr>
        <w:pStyle w:val="FootnoteText"/>
      </w:pPr>
      <w:r>
        <w:rPr>
          <w:rStyle w:val="FootnoteReference"/>
        </w:rPr>
        <w:footnoteRef/>
      </w:r>
      <w:r>
        <w:t xml:space="preserve"> Personal name: Galal. Personal-name meaning: Galal — a roll, a wheel. Source form: Galal.</w:t>
      </w:r>
    </w:p>
  </w:footnote>
  <w:footnote w:id="8162">
    <w:p>
      <w:pPr>
        <w:pStyle w:val="FootnoteText"/>
      </w:pPr>
      <w:r>
        <w:rPr>
          <w:rStyle w:val="FootnoteReference"/>
        </w:rPr>
        <w:footnoteRef/>
      </w:r>
      <w:r>
        <w:t xml:space="preserve"> Cross-references for "Mattaniah": 1Chr 12:25; Neh 11:17.</w:t>
      </w:r>
    </w:p>
  </w:footnote>
  <w:footnote w:id="8163">
    <w:p>
      <w:pPr>
        <w:pStyle w:val="FootnoteText"/>
      </w:pPr>
      <w:r>
        <w:rPr>
          <w:rStyle w:val="FootnoteReference"/>
        </w:rPr>
        <w:footnoteRef/>
      </w:r>
      <w:r>
        <w:t xml:space="preserve"> Cross-references for "Obadiah": 1Chr 12:25; 1Chr 25:1.</w:t>
      </w:r>
    </w:p>
  </w:footnote>
  <w:footnote w:id="8164">
    <w:p>
      <w:pPr>
        <w:pStyle w:val="FootnoteText"/>
      </w:pPr>
      <w:r>
        <w:rPr>
          <w:rStyle w:val="FootnoteReference"/>
        </w:rPr>
        <w:footnoteRef/>
      </w:r>
      <w:r>
        <w:t xml:space="preserve"> Personal name: Jeduthun. Personal-name meaning: Jeduthun — his law; giving praise. Source form: Jeduthun.</w:t>
      </w:r>
    </w:p>
  </w:footnote>
  <w:footnote w:id="8165">
    <w:p>
      <w:pPr>
        <w:pStyle w:val="FootnoteText"/>
      </w:pPr>
      <w:r>
        <w:rPr>
          <w:rStyle w:val="FootnoteReference"/>
        </w:rPr>
        <w:footnoteRef/>
      </w:r>
      <w:r>
        <w:t xml:space="preserve"> Cross-references for "Shallum": 1Chr 9:19.</w:t>
      </w:r>
    </w:p>
  </w:footnote>
  <w:footnote w:id="8166">
    <w:p>
      <w:pPr>
        <w:pStyle w:val="FootnoteText"/>
      </w:pPr>
      <w:r>
        <w:rPr>
          <w:rStyle w:val="FootnoteReference"/>
        </w:rPr>
        <w:footnoteRef/>
      </w:r>
      <w:r>
        <w:t xml:space="preserve"> Transliterated proper noun: Talman. Standard English equivalent: Talmon. Source form: Talman. Greek form: ταλμαν. Name meaning: oppressor; violent one.</w:t>
      </w:r>
    </w:p>
  </w:footnote>
  <w:footnote w:id="8167">
    <w:p>
      <w:pPr>
        <w:pStyle w:val="FootnoteText"/>
      </w:pPr>
      <w:r>
        <w:rPr>
          <w:rStyle w:val="FootnoteReference"/>
        </w:rPr>
        <w:footnoteRef/>
      </w:r>
      <w:r>
        <w:t xml:space="preserve"> Cross-references for "the king's": 1Kgs 10:5; 2Kgs 11:19.</w:t>
      </w:r>
    </w:p>
  </w:footnote>
  <w:footnote w:id="8168">
    <w:p>
      <w:pPr>
        <w:pStyle w:val="FootnoteText"/>
      </w:pPr>
      <w:r>
        <w:rPr>
          <w:rStyle w:val="FootnoteReference"/>
        </w:rPr>
        <w:footnoteRef/>
      </w:r>
      <w:r>
        <w:t xml:space="preserve"> People-name: Korahites. People-name meaning: Korahites — descendants of Korah; baldness; ice; frost. Source form: Korahites.</w:t>
      </w:r>
    </w:p>
  </w:footnote>
  <w:footnote w:id="8169">
    <w:p>
      <w:pPr>
        <w:pStyle w:val="FootnoteText"/>
      </w:pPr>
      <w:r>
        <w:rPr>
          <w:rStyle w:val="FootnoteReference"/>
        </w:rPr>
        <w:footnoteRef/>
      </w:r>
      <w:r>
        <w:t xml:space="preserve"> Cross-references for "Phinehas": Num 3:32; Num 4:16.</w:t>
      </w:r>
    </w:p>
  </w:footnote>
  <w:footnote w:id="8170">
    <w:p>
      <w:pPr>
        <w:pStyle w:val="FootnoteText"/>
      </w:pPr>
      <w:r>
        <w:rPr>
          <w:rStyle w:val="FootnoteReference"/>
        </w:rPr>
        <w:footnoteRef/>
      </w:r>
      <w:r>
        <w:t xml:space="preserve"> Cross-references for "Zechariah": 1Chr 26:14.</w:t>
      </w:r>
    </w:p>
  </w:footnote>
  <w:footnote w:id="8171">
    <w:p>
      <w:pPr>
        <w:pStyle w:val="FootnoteText"/>
      </w:pPr>
      <w:r>
        <w:rPr>
          <w:rStyle w:val="FootnoteReference"/>
        </w:rPr>
        <w:footnoteRef/>
      </w:r>
      <w:r>
        <w:t xml:space="preserve"> Personal name: Meshelemiah. Personal-name meaning: Meshelemiah — peace, or perfection, of the Lord. Source form: Meshelemiah.</w:t>
      </w:r>
    </w:p>
  </w:footnote>
  <w:footnote w:id="8172">
    <w:p>
      <w:pPr>
        <w:pStyle w:val="FootnoteText"/>
      </w:pPr>
      <w:r>
        <w:rPr>
          <w:rStyle w:val="FootnoteReference"/>
        </w:rPr>
        <w:footnoteRef/>
      </w:r>
      <w:r>
        <w:t xml:space="preserve"> Cross-references for "in their": 1Chr 9:16; 1Chr 9:25.</w:t>
      </w:r>
    </w:p>
  </w:footnote>
  <w:footnote w:id="8173">
    <w:p>
      <w:pPr>
        <w:pStyle w:val="FootnoteText"/>
      </w:pPr>
      <w:r>
        <w:rPr>
          <w:rStyle w:val="FootnoteReference"/>
        </w:rPr>
        <w:footnoteRef/>
      </w:r>
      <w:r>
        <w:t xml:space="preserve"> Cross-references for "four": 1Chr 26:14-18.</w:t>
      </w:r>
    </w:p>
  </w:footnote>
  <w:footnote w:id="8174">
    <w:p>
      <w:pPr>
        <w:pStyle w:val="FootnoteText"/>
      </w:pPr>
      <w:r>
        <w:rPr>
          <w:rStyle w:val="FootnoteReference"/>
        </w:rPr>
        <w:footnoteRef/>
      </w:r>
      <w:r>
        <w:t xml:space="preserve"> Cross-references for "seven": 2Kgs 11:5; 2Kgs 11:7.</w:t>
      </w:r>
    </w:p>
  </w:footnote>
  <w:footnote w:id="8175">
    <w:p>
      <w:pPr>
        <w:pStyle w:val="FootnoteText"/>
      </w:pPr>
      <w:r>
        <w:rPr>
          <w:rStyle w:val="FootnoteReference"/>
        </w:rPr>
        <w:footnoteRef/>
      </w:r>
      <w:r>
        <w:t xml:space="preserve"> Cross-references for "the oil": Exod 27:20.</w:t>
      </w:r>
    </w:p>
  </w:footnote>
  <w:footnote w:id="8176">
    <w:p>
      <w:pPr>
        <w:pStyle w:val="FootnoteText"/>
      </w:pPr>
      <w:r>
        <w:rPr>
          <w:rStyle w:val="FootnoteReference"/>
        </w:rPr>
        <w:footnoteRef/>
      </w:r>
      <w:r>
        <w:t xml:space="preserve"> Personal name: Mattithiah. Personal-name meaning: Mattithiah — the gift of the Lord. Source form: Mattithiah.</w:t>
      </w:r>
    </w:p>
  </w:footnote>
  <w:footnote w:id="8177">
    <w:p>
      <w:pPr>
        <w:pStyle w:val="FootnoteText"/>
      </w:pPr>
      <w:r>
        <w:rPr>
          <w:rStyle w:val="FootnoteReference"/>
        </w:rPr>
        <w:footnoteRef/>
      </w:r>
      <w:r>
        <w:t xml:space="preserve"> Cross-references for "Shallum": 1Chr 9:17; 1Chr 9:19.</w:t>
      </w:r>
    </w:p>
  </w:footnote>
  <w:footnote w:id="8178">
    <w:p>
      <w:pPr>
        <w:pStyle w:val="FootnoteText"/>
      </w:pPr>
      <w:r>
        <w:rPr>
          <w:rStyle w:val="FootnoteReference"/>
        </w:rPr>
        <w:footnoteRef/>
      </w:r>
      <w:r>
        <w:t xml:space="preserve"> People-name: Korahite. People-name meaning: Korahite — descendant of Korah; baldness; ice; frost. Source form: Korahite.</w:t>
      </w:r>
    </w:p>
  </w:footnote>
  <w:footnote w:id="8179">
    <w:p>
      <w:pPr>
        <w:pStyle w:val="FootnoteText"/>
      </w:pPr>
      <w:r>
        <w:rPr>
          <w:rStyle w:val="FootnoteReference"/>
        </w:rPr>
        <w:footnoteRef/>
      </w:r>
      <w:r>
        <w:t xml:space="preserve"> People-name: Kohathite. People-name meaning: Kohathite — congregation; wrinkle; bluntness. Source form: Kohathite.</w:t>
      </w:r>
    </w:p>
  </w:footnote>
  <w:footnote w:id="8180">
    <w:p>
      <w:pPr>
        <w:pStyle w:val="FootnoteText"/>
      </w:pPr>
      <w:r>
        <w:rPr>
          <w:rStyle w:val="FootnoteReference"/>
        </w:rPr>
        <w:footnoteRef/>
      </w:r>
      <w:r>
        <w:t xml:space="preserve"> Cross-references for "Jerusalem": 1Chr 8:28.</w:t>
      </w:r>
    </w:p>
  </w:footnote>
  <w:footnote w:id="8181">
    <w:p>
      <w:pPr>
        <w:pStyle w:val="FootnoteText"/>
      </w:pPr>
      <w:r>
        <w:rPr>
          <w:rStyle w:val="FootnoteReference"/>
        </w:rPr>
        <w:footnoteRef/>
      </w:r>
      <w:r>
        <w:t xml:space="preserve"> Cross-references for "in Gibeon": 1Chr 8:29-40.</w:t>
      </w:r>
    </w:p>
  </w:footnote>
  <w:footnote w:id="8182">
    <w:p>
      <w:pPr>
        <w:pStyle w:val="FootnoteText"/>
      </w:pPr>
      <w:r>
        <w:rPr>
          <w:rStyle w:val="FootnoteReference"/>
        </w:rPr>
        <w:footnoteRef/>
      </w:r>
      <w:r>
        <w:t xml:space="preserve"> Personal name: Jehiel. Personal-name meaning: Jehiel — God lives. Source form: Jehiel.</w:t>
      </w:r>
    </w:p>
  </w:footnote>
  <w:footnote w:id="8183">
    <w:p>
      <w:pPr>
        <w:pStyle w:val="FootnoteText"/>
      </w:pPr>
      <w:r>
        <w:rPr>
          <w:rStyle w:val="FootnoteReference"/>
        </w:rPr>
        <w:footnoteRef/>
      </w:r>
      <w:r>
        <w:t xml:space="preserve"> Cross-references for "Kish": 1Chr 8:33; 1Chr 9:39.</w:t>
      </w:r>
    </w:p>
  </w:footnote>
  <w:footnote w:id="8184">
    <w:p>
      <w:pPr>
        <w:pStyle w:val="FootnoteText"/>
      </w:pPr>
      <w:r>
        <w:rPr>
          <w:rStyle w:val="FootnoteReference"/>
        </w:rPr>
        <w:footnoteRef/>
      </w:r>
      <w:r>
        <w:t xml:space="preserve"> Cross-references for "Zechariah": 1Chr 8:31.</w:t>
      </w:r>
    </w:p>
  </w:footnote>
  <w:footnote w:id="8185">
    <w:p>
      <w:pPr>
        <w:pStyle w:val="FootnoteText"/>
      </w:pPr>
      <w:r>
        <w:rPr>
          <w:rStyle w:val="FootnoteReference"/>
        </w:rPr>
        <w:footnoteRef/>
      </w:r>
      <w:r>
        <w:t xml:space="preserve"> Cross-references for "Shimeam": 1Chr 8:32.</w:t>
      </w:r>
    </w:p>
  </w:footnote>
  <w:footnote w:id="8186">
    <w:p>
      <w:pPr>
        <w:pStyle w:val="FootnoteText"/>
      </w:pPr>
      <w:r>
        <w:rPr>
          <w:rStyle w:val="FootnoteReference"/>
        </w:rPr>
        <w:footnoteRef/>
      </w:r>
      <w:r>
        <w:t xml:space="preserve"> Cross-references for "and Saul": 1Sam 13:22; 1Sam 14:1.</w:t>
      </w:r>
    </w:p>
  </w:footnote>
  <w:footnote w:id="8187">
    <w:p>
      <w:pPr>
        <w:pStyle w:val="FootnoteText"/>
      </w:pPr>
      <w:r>
        <w:rPr>
          <w:rStyle w:val="FootnoteReference"/>
        </w:rPr>
        <w:footnoteRef/>
      </w:r>
      <w:r>
        <w:t xml:space="preserve"> Cross-references for "Meribbaal": 1Chr 8:34-36.</w:t>
      </w:r>
    </w:p>
  </w:footnote>
  <w:footnote w:id="8188">
    <w:p>
      <w:pPr>
        <w:pStyle w:val="FootnoteText"/>
      </w:pPr>
      <w:r>
        <w:rPr>
          <w:rStyle w:val="FootnoteReference"/>
        </w:rPr>
        <w:footnoteRef/>
      </w:r>
      <w:r>
        <w:t xml:space="preserve"> Personal name: Melech. Personal-name meaning: Melech — king; counselor. Source form: Melech.</w:t>
      </w:r>
    </w:p>
  </w:footnote>
  <w:footnote w:id="8189">
    <w:p>
      <w:pPr>
        <w:pStyle w:val="FootnoteText"/>
      </w:pPr>
      <w:r>
        <w:rPr>
          <w:rStyle w:val="FootnoteReference"/>
        </w:rPr>
        <w:footnoteRef/>
      </w:r>
      <w:r>
        <w:t xml:space="preserve"> Personal name: Tahrea. Personal-name meaning: Tahrea — anger; wicked contention. Source form: Tahrea.</w:t>
      </w:r>
    </w:p>
  </w:footnote>
  <w:footnote w:id="8190">
    <w:p>
      <w:pPr>
        <w:pStyle w:val="FootnoteText"/>
      </w:pPr>
      <w:r>
        <w:rPr>
          <w:rStyle w:val="FootnoteReference"/>
        </w:rPr>
        <w:footnoteRef/>
      </w:r>
      <w:r>
        <w:t xml:space="preserve"> Personal name: Jehoaddah. Personal-name meaning: Jehoaddah — Yahweh has adorned; testimony of Yahweh. Source form: Jehoaddah.</w:t>
      </w:r>
    </w:p>
  </w:footnote>
  <w:footnote w:id="8191">
    <w:p>
      <w:pPr>
        <w:pStyle w:val="FootnoteText"/>
      </w:pPr>
      <w:r>
        <w:rPr>
          <w:rStyle w:val="FootnoteReference"/>
        </w:rPr>
        <w:footnoteRef/>
      </w:r>
      <w:r>
        <w:t xml:space="preserve"> Cross-references for "Rephaiah": 1Chr 8:37.</w:t>
      </w:r>
    </w:p>
  </w:footnote>
  <w:footnote w:id="8192">
    <w:p>
      <w:pPr>
        <w:pStyle w:val="FootnoteText"/>
      </w:pPr>
      <w:r>
        <w:rPr>
          <w:rStyle w:val="FootnoteReference"/>
        </w:rPr>
        <w:footnoteRef/>
      </w:r>
      <w:r>
        <w:t xml:space="preserve"> Cross-references for "Mount": 1Sam 28:4; 1Sam 31:1.</w:t>
      </w:r>
    </w:p>
  </w:footnote>
  <w:footnote w:id="8193">
    <w:p>
      <w:pPr>
        <w:pStyle w:val="FootnoteText"/>
      </w:pPr>
      <w:r>
        <w:rPr>
          <w:rStyle w:val="FootnoteReference"/>
        </w:rPr>
        <w:footnoteRef/>
      </w:r>
      <w:r>
        <w:t xml:space="preserve"> Cross-references for "Jonathan": 1Sam 14:6; 1Sam 14:39-40.</w:t>
      </w:r>
    </w:p>
  </w:footnote>
  <w:footnote w:id="8194">
    <w:p>
      <w:pPr>
        <w:pStyle w:val="FootnoteText"/>
      </w:pPr>
      <w:r>
        <w:rPr>
          <w:rStyle w:val="FootnoteReference"/>
        </w:rPr>
        <w:footnoteRef/>
      </w:r>
      <w:r>
        <w:t xml:space="preserve"> Cross-references for "Draw": Judg 9:54.</w:t>
      </w:r>
    </w:p>
  </w:footnote>
  <w:footnote w:id="8195">
    <w:p>
      <w:pPr>
        <w:pStyle w:val="FootnoteText"/>
      </w:pPr>
      <w:r>
        <w:rPr>
          <w:rStyle w:val="FootnoteReference"/>
        </w:rPr>
        <w:footnoteRef/>
      </w:r>
      <w:r>
        <w:t xml:space="preserve"> Translation note: Greek says mock me here rather than a broader abuse verb.</w:t>
      </w:r>
    </w:p>
  </w:footnote>
  <w:footnote w:id="8196">
    <w:p>
      <w:pPr>
        <w:pStyle w:val="FootnoteText"/>
      </w:pPr>
      <w:r>
        <w:rPr>
          <w:rStyle w:val="FootnoteReference"/>
        </w:rPr>
        <w:footnoteRef/>
      </w:r>
      <w:r>
        <w:t xml:space="preserve"> Cross-references for "Saul": 1Sam 4:10-11; 1Sam 4:18.</w:t>
      </w:r>
    </w:p>
  </w:footnote>
  <w:footnote w:id="8197">
    <w:p>
      <w:pPr>
        <w:pStyle w:val="FootnoteText"/>
      </w:pPr>
      <w:r>
        <w:rPr>
          <w:rStyle w:val="FootnoteReference"/>
        </w:rPr>
        <w:footnoteRef/>
      </w:r>
      <w:r>
        <w:t xml:space="preserve"> Cross-references for "to strip": 1Sam 31:8; 2Kgs 3:23.</w:t>
      </w:r>
    </w:p>
  </w:footnote>
  <w:footnote w:id="8198">
    <w:p>
      <w:pPr>
        <w:pStyle w:val="FootnoteText"/>
      </w:pPr>
      <w:r>
        <w:rPr>
          <w:rStyle w:val="FootnoteReference"/>
        </w:rPr>
        <w:footnoteRef/>
      </w:r>
      <w:r>
        <w:t xml:space="preserve"> Cross-references for "took": 1Sam 31:9-10; 2Sam 1:20.</w:t>
      </w:r>
    </w:p>
  </w:footnote>
  <w:footnote w:id="8199">
    <w:p>
      <w:pPr>
        <w:pStyle w:val="FootnoteText"/>
      </w:pPr>
      <w:r>
        <w:rPr>
          <w:rStyle w:val="FootnoteReference"/>
        </w:rPr>
        <w:footnoteRef/>
      </w:r>
      <w:r>
        <w:t xml:space="preserve"> Cross-references for "fasted": Gen 50:10; 2Sam 3:35.</w:t>
      </w:r>
    </w:p>
  </w:footnote>
  <w:footnote w:id="8200">
    <w:p>
      <w:pPr>
        <w:pStyle w:val="FootnoteText"/>
      </w:pPr>
      <w:r>
        <w:rPr>
          <w:rStyle w:val="FootnoteReference"/>
        </w:rPr>
        <w:footnoteRef/>
      </w:r>
      <w:r>
        <w:t xml:space="preserve"> Translation note: Greek uses ventriloquist wording here. Current line keeps it.</w:t>
      </w:r>
    </w:p>
  </w:footnote>
  <w:footnote w:id="8201">
    <w:p>
      <w:pPr>
        <w:pStyle w:val="FootnoteText"/>
      </w:pPr>
      <w:r>
        <w:rPr>
          <w:rStyle w:val="FootnoteReference"/>
        </w:rPr>
        <w:footnoteRef/>
      </w:r>
      <w:r>
        <w:t xml:space="preserve"> Cross-references for "turned": 1Sam 13:14; 1Sam 15:28.</w:t>
      </w:r>
    </w:p>
  </w:footnote>
  <w:footnote w:id="8202">
    <w:p>
      <w:pPr>
        <w:pStyle w:val="FootnoteText"/>
      </w:pPr>
      <w:r>
        <w:rPr>
          <w:rStyle w:val="FootnoteReference"/>
        </w:rPr>
        <w:footnoteRef/>
      </w:r>
      <w:r>
        <w:t xml:space="preserve"> Cross-references for "all Israel": 2Sam 5:1-16; 1Chr 12:23-40.</w:t>
      </w:r>
    </w:p>
  </w:footnote>
  <w:footnote w:id="8203">
    <w:p>
      <w:pPr>
        <w:pStyle w:val="FootnoteText"/>
      </w:pPr>
      <w:r>
        <w:rPr>
          <w:rStyle w:val="FootnoteReference"/>
        </w:rPr>
        <w:footnoteRef/>
      </w:r>
      <w:r>
        <w:t xml:space="preserve"> Translation note: Greek uses the shepherd metaphor for David's rule. The translation keeps that metaphor instead of reducing it to feed.</w:t>
      </w:r>
    </w:p>
  </w:footnote>
  <w:footnote w:id="8204">
    <w:p>
      <w:pPr>
        <w:pStyle w:val="FootnoteText"/>
      </w:pPr>
      <w:r>
        <w:rPr>
          <w:rStyle w:val="FootnoteReference"/>
        </w:rPr>
        <w:footnoteRef/>
      </w:r>
      <w:r>
        <w:t xml:space="preserve"> Cross-references for "ruler": 2Sam 5:2; 1Kgs 3:9.</w:t>
      </w:r>
    </w:p>
  </w:footnote>
  <w:footnote w:id="8205">
    <w:p>
      <w:pPr>
        <w:pStyle w:val="FootnoteText"/>
      </w:pPr>
      <w:r>
        <w:rPr>
          <w:rStyle w:val="FootnoteReference"/>
        </w:rPr>
        <w:footnoteRef/>
      </w:r>
      <w:r>
        <w:t xml:space="preserve"> Cross-references for "elders": 2Sam 5:3.</w:t>
      </w:r>
    </w:p>
  </w:footnote>
  <w:footnote w:id="8206">
    <w:p>
      <w:pPr>
        <w:pStyle w:val="FootnoteText"/>
      </w:pPr>
      <w:r>
        <w:rPr>
          <w:rStyle w:val="FootnoteReference"/>
        </w:rPr>
        <w:footnoteRef/>
      </w:r>
      <w:r>
        <w:t xml:space="preserve"> Translation note: Greek keeps Chebron and before-Lord phrasing.</w:t>
      </w:r>
    </w:p>
  </w:footnote>
  <w:footnote w:id="8207">
    <w:p>
      <w:pPr>
        <w:pStyle w:val="FootnoteText"/>
      </w:pPr>
      <w:r>
        <w:rPr>
          <w:rStyle w:val="FootnoteReference"/>
        </w:rPr>
        <w:footnoteRef/>
      </w:r>
      <w:r>
        <w:t xml:space="preserve"> Cross-references for "Jebus": Josh 15:63; Josh 18:28.</w:t>
      </w:r>
    </w:p>
  </w:footnote>
  <w:footnote w:id="8208">
    <w:p>
      <w:pPr>
        <w:pStyle w:val="FootnoteText"/>
      </w:pPr>
      <w:r>
        <w:rPr>
          <w:rStyle w:val="FootnoteReference"/>
        </w:rPr>
        <w:footnoteRef/>
      </w:r>
      <w:r>
        <w:t xml:space="preserve"> Cross-references for "Joab": 2Sam 2:18; 2Sam 3:27.</w:t>
      </w:r>
    </w:p>
  </w:footnote>
  <w:footnote w:id="8209">
    <w:p>
      <w:pPr>
        <w:pStyle w:val="FootnoteText"/>
      </w:pPr>
      <w:r>
        <w:rPr>
          <w:rStyle w:val="FootnoteReference"/>
        </w:rPr>
        <w:footnoteRef/>
      </w:r>
      <w:r>
        <w:t xml:space="preserve"> Cross-references for "the City of David": 2Sam 5:7; 1Chr 11:5.</w:t>
      </w:r>
    </w:p>
  </w:footnote>
  <w:footnote w:id="8210">
    <w:p>
      <w:pPr>
        <w:pStyle w:val="FootnoteText"/>
      </w:pPr>
      <w:r>
        <w:rPr>
          <w:rStyle w:val="FootnoteReference"/>
        </w:rPr>
        <w:footnoteRef/>
      </w:r>
      <w:r>
        <w:t xml:space="preserve"> Cross-references for "to make": 2Sam 3:17-18; 2Sam 3:21.</w:t>
      </w:r>
    </w:p>
  </w:footnote>
  <w:footnote w:id="8211">
    <w:p>
      <w:pPr>
        <w:pStyle w:val="FootnoteText"/>
      </w:pPr>
      <w:r>
        <w:rPr>
          <w:rStyle w:val="FootnoteReference"/>
        </w:rPr>
        <w:footnoteRef/>
      </w:r>
      <w:r>
        <w:t xml:space="preserve"> Personal name: Jashobeam. Personal-name meaning: Jashobeam — the people sitting; or captivity of the people. Source form: Jashobeam.</w:t>
      </w:r>
    </w:p>
  </w:footnote>
  <w:footnote w:id="8212">
    <w:p>
      <w:pPr>
        <w:pStyle w:val="FootnoteText"/>
      </w:pPr>
      <w:r>
        <w:rPr>
          <w:rStyle w:val="FootnoteReference"/>
        </w:rPr>
        <w:footnoteRef/>
      </w:r>
      <w:r>
        <w:t xml:space="preserve"> Personal name: Hachmoni. Personal-name meaning: Hachmoni — a wise man. Source form: Hachmoni.</w:t>
      </w:r>
    </w:p>
  </w:footnote>
  <w:footnote w:id="8213">
    <w:p>
      <w:pPr>
        <w:pStyle w:val="FootnoteText"/>
      </w:pPr>
      <w:r>
        <w:rPr>
          <w:rStyle w:val="FootnoteReference"/>
        </w:rPr>
        <w:footnoteRef/>
      </w:r>
      <w:r>
        <w:t xml:space="preserve"> Cross-references for "Jashobeam": 2Sam 23:8; 1Chr 27:2.</w:t>
      </w:r>
    </w:p>
  </w:footnote>
  <w:footnote w:id="8214">
    <w:p>
      <w:pPr>
        <w:pStyle w:val="FootnoteText"/>
      </w:pPr>
      <w:r>
        <w:rPr>
          <w:rStyle w:val="FootnoteReference"/>
        </w:rPr>
        <w:footnoteRef/>
      </w:r>
      <w:r>
        <w:t xml:space="preserve"> Cross-references for "Eleazar": 2Sam 23:9; 1Chr 27:4.</w:t>
      </w:r>
    </w:p>
  </w:footnote>
  <w:footnote w:id="8215">
    <w:p>
      <w:pPr>
        <w:pStyle w:val="FootnoteText"/>
      </w:pPr>
      <w:r>
        <w:rPr>
          <w:rStyle w:val="FootnoteReference"/>
        </w:rPr>
        <w:footnoteRef/>
      </w:r>
      <w:r>
        <w:t xml:space="preserve"> Personal name: Dodo. Personal-name meaning: Dodo — his uncle. Source form: Dodo.</w:t>
      </w:r>
    </w:p>
  </w:footnote>
  <w:footnote w:id="8216">
    <w:p>
      <w:pPr>
        <w:pStyle w:val="FootnoteText"/>
      </w:pPr>
      <w:r>
        <w:rPr>
          <w:rStyle w:val="FootnoteReference"/>
        </w:rPr>
        <w:footnoteRef/>
      </w:r>
      <w:r>
        <w:t xml:space="preserve"> Personal name: Ahohite. Personal-name meaning: Ahohi — brotherly; my thorn or thistle. Standard English equivalent: Ahohi. Source form: Ahohite.</w:t>
      </w:r>
    </w:p>
  </w:footnote>
  <w:footnote w:id="8217">
    <w:p>
      <w:pPr>
        <w:pStyle w:val="FootnoteText"/>
      </w:pPr>
      <w:r>
        <w:rPr>
          <w:rStyle w:val="FootnoteReference"/>
        </w:rPr>
        <w:footnoteRef/>
      </w:r>
      <w:r>
        <w:t xml:space="preserve"> Cross-references for "and the Lord": 1Sam 14:23; 1Sam 19:5.</w:t>
      </w:r>
    </w:p>
  </w:footnote>
  <w:footnote w:id="8218">
    <w:p>
      <w:pPr>
        <w:pStyle w:val="FootnoteText"/>
      </w:pPr>
      <w:r>
        <w:rPr>
          <w:rStyle w:val="FootnoteReference"/>
        </w:rPr>
        <w:footnoteRef/>
      </w:r>
      <w:r>
        <w:t xml:space="preserve"> Cross-references for "the cave": Josh 12:15; 1Sam 22:1.</w:t>
      </w:r>
    </w:p>
  </w:footnote>
  <w:footnote w:id="8219">
    <w:p>
      <w:pPr>
        <w:pStyle w:val="FootnoteText"/>
      </w:pPr>
      <w:r>
        <w:rPr>
          <w:rStyle w:val="FootnoteReference"/>
        </w:rPr>
        <w:footnoteRef/>
      </w:r>
      <w:r>
        <w:t xml:space="preserve"> Translation note: Greek says they drew water from cistern in Bethlehem.</w:t>
      </w:r>
    </w:p>
  </w:footnote>
  <w:footnote w:id="8220">
    <w:p>
      <w:pPr>
        <w:pStyle w:val="FootnoteText"/>
      </w:pPr>
      <w:r>
        <w:rPr>
          <w:rStyle w:val="FootnoteReference"/>
        </w:rPr>
        <w:footnoteRef/>
      </w:r>
      <w:r>
        <w:t xml:space="preserve"> Cross-references for "poured": 1Sam 7:6.</w:t>
      </w:r>
    </w:p>
  </w:footnote>
  <w:footnote w:id="8221">
    <w:p>
      <w:pPr>
        <w:pStyle w:val="FootnoteText"/>
      </w:pPr>
      <w:r>
        <w:rPr>
          <w:rStyle w:val="FootnoteReference"/>
        </w:rPr>
        <w:footnoteRef/>
      </w:r>
      <w:r>
        <w:t xml:space="preserve"> Cross-references for "Shall I": Lev 17:10; Job 31:31.</w:t>
      </w:r>
    </w:p>
  </w:footnote>
  <w:footnote w:id="8222">
    <w:p>
      <w:pPr>
        <w:pStyle w:val="FootnoteText"/>
      </w:pPr>
      <w:r>
        <w:rPr>
          <w:rStyle w:val="FootnoteReference"/>
        </w:rPr>
        <w:footnoteRef/>
      </w:r>
      <w:r>
        <w:t xml:space="preserve"> Cross-references for "Abishai": 1Sam 26:6; 2Sam 2:18.</w:t>
      </w:r>
    </w:p>
  </w:footnote>
  <w:footnote w:id="8223">
    <w:p>
      <w:pPr>
        <w:pStyle w:val="FootnoteText"/>
      </w:pPr>
      <w:r>
        <w:rPr>
          <w:rStyle w:val="FootnoteReference"/>
        </w:rPr>
        <w:footnoteRef/>
      </w:r>
      <w:r>
        <w:t xml:space="preserve"> Cross-references for "Benaiah": 2Sam 8:18; 2Sam 20:23.</w:t>
      </w:r>
    </w:p>
  </w:footnote>
  <w:footnote w:id="8224">
    <w:p>
      <w:pPr>
        <w:pStyle w:val="FootnoteText"/>
      </w:pPr>
      <w:r>
        <w:rPr>
          <w:rStyle w:val="FootnoteReference"/>
        </w:rPr>
        <w:footnoteRef/>
      </w:r>
      <w:r>
        <w:t xml:space="preserve"> Translation note: Greek says Egyptian man, visible man, five cubits tall.</w:t>
      </w:r>
    </w:p>
  </w:footnote>
  <w:footnote w:id="8225">
    <w:p>
      <w:pPr>
        <w:pStyle w:val="FootnoteText"/>
      </w:pPr>
      <w:r>
        <w:rPr>
          <w:rStyle w:val="FootnoteReference"/>
        </w:rPr>
        <w:footnoteRef/>
      </w:r>
      <w:r>
        <w:t xml:space="preserve"> Cross-references for "five": Deut 3:11; 1Sam 17:4.</w:t>
      </w:r>
    </w:p>
  </w:footnote>
  <w:footnote w:id="8226">
    <w:p>
      <w:pPr>
        <w:pStyle w:val="FootnoteText"/>
      </w:pPr>
      <w:r>
        <w:rPr>
          <w:rStyle w:val="FootnoteReference"/>
        </w:rPr>
        <w:footnoteRef/>
      </w:r>
      <w:r>
        <w:t xml:space="preserve"> Cross-references for "David": 2Sam 20:23.</w:t>
      </w:r>
    </w:p>
  </w:footnote>
  <w:footnote w:id="8227">
    <w:p>
      <w:pPr>
        <w:pStyle w:val="FootnoteText"/>
      </w:pPr>
      <w:r>
        <w:rPr>
          <w:rStyle w:val="FootnoteReference"/>
        </w:rPr>
        <w:footnoteRef/>
      </w:r>
      <w:r>
        <w:t xml:space="preserve"> Cross-references for "Asahel": 2Sam 2:18-23; 2Sam 3:30.</w:t>
      </w:r>
    </w:p>
  </w:footnote>
  <w:footnote w:id="8228">
    <w:p>
      <w:pPr>
        <w:pStyle w:val="FootnoteText"/>
      </w:pPr>
      <w:r>
        <w:rPr>
          <w:rStyle w:val="FootnoteReference"/>
        </w:rPr>
        <w:footnoteRef/>
      </w:r>
      <w:r>
        <w:t xml:space="preserve"> Personal name: Shammoth. Personal-name meaning: Shammoth — names; desolations. Source form: Shammoth.</w:t>
      </w:r>
    </w:p>
  </w:footnote>
  <w:footnote w:id="8229">
    <w:p>
      <w:pPr>
        <w:pStyle w:val="FootnoteText"/>
      </w:pPr>
      <w:r>
        <w:rPr>
          <w:rStyle w:val="FootnoteReference"/>
        </w:rPr>
        <w:footnoteRef/>
      </w:r>
      <w:r>
        <w:t xml:space="preserve"> People-name: Pelonite. People-name meaning: Pelonite — falling; secret. Source form: Pelonite.</w:t>
      </w:r>
    </w:p>
  </w:footnote>
  <w:footnote w:id="8230">
    <w:p>
      <w:pPr>
        <w:pStyle w:val="FootnoteText"/>
      </w:pPr>
      <w:r>
        <w:rPr>
          <w:rStyle w:val="FootnoteReference"/>
        </w:rPr>
        <w:footnoteRef/>
      </w:r>
      <w:r>
        <w:t xml:space="preserve"> Cross-references for "Shammoth": 2Sam 23:25; 1Chr 27:8.</w:t>
      </w:r>
    </w:p>
  </w:footnote>
  <w:footnote w:id="8231">
    <w:p>
      <w:pPr>
        <w:pStyle w:val="FootnoteText"/>
      </w:pPr>
      <w:r>
        <w:rPr>
          <w:rStyle w:val="FootnoteReference"/>
        </w:rPr>
        <w:footnoteRef/>
      </w:r>
      <w:r>
        <w:t xml:space="preserve"> Personal name: Sibbecai. Personal-name meaning: Sibbecai — weaver; entangler. Source form: Sibbecai.</w:t>
      </w:r>
    </w:p>
  </w:footnote>
  <w:footnote w:id="8232">
    <w:p>
      <w:pPr>
        <w:pStyle w:val="FootnoteText"/>
      </w:pPr>
      <w:r>
        <w:rPr>
          <w:rStyle w:val="FootnoteReference"/>
        </w:rPr>
        <w:footnoteRef/>
      </w:r>
      <w:r>
        <w:t xml:space="preserve"> Cross-references for "Sibbecai": 2Sam 23:27-28; 1Chr 27:11.</w:t>
      </w:r>
    </w:p>
  </w:footnote>
  <w:footnote w:id="8233">
    <w:p>
      <w:pPr>
        <w:pStyle w:val="FootnoteText"/>
      </w:pPr>
      <w:r>
        <w:rPr>
          <w:rStyle w:val="FootnoteReference"/>
        </w:rPr>
        <w:footnoteRef/>
      </w:r>
      <w:r>
        <w:t xml:space="preserve"> Personal name: Maharai. Personal-name meaning: Maharai — hasting; a hill; from a hill. Source form: Maharai.</w:t>
      </w:r>
    </w:p>
  </w:footnote>
  <w:footnote w:id="8234">
    <w:p>
      <w:pPr>
        <w:pStyle w:val="FootnoteText"/>
      </w:pPr>
      <w:r>
        <w:rPr>
          <w:rStyle w:val="FootnoteReference"/>
        </w:rPr>
        <w:footnoteRef/>
      </w:r>
      <w:r>
        <w:t xml:space="preserve"> Personal name: Heled. Personal-name meaning: Heled — the world; rustiness. Source form: Heled.</w:t>
      </w:r>
    </w:p>
  </w:footnote>
  <w:footnote w:id="8235">
    <w:p>
      <w:pPr>
        <w:pStyle w:val="FootnoteText"/>
      </w:pPr>
      <w:r>
        <w:rPr>
          <w:rStyle w:val="FootnoteReference"/>
        </w:rPr>
        <w:footnoteRef/>
      </w:r>
      <w:r>
        <w:t xml:space="preserve"> Cross-references for "Maharai": 1Chr 27:13.</w:t>
      </w:r>
    </w:p>
  </w:footnote>
  <w:footnote w:id="8236">
    <w:p>
      <w:pPr>
        <w:pStyle w:val="FootnoteText"/>
      </w:pPr>
      <w:r>
        <w:rPr>
          <w:rStyle w:val="FootnoteReference"/>
        </w:rPr>
        <w:footnoteRef/>
      </w:r>
      <w:r>
        <w:t xml:space="preserve"> Transliterated proper noun: Ithai. Standard English equivalent: Ithai. Source form: Ithai. Greek form: αιθι. Name meaning: strong; my sign; a plowshare.</w:t>
      </w:r>
    </w:p>
  </w:footnote>
  <w:footnote w:id="8237">
    <w:p>
      <w:pPr>
        <w:pStyle w:val="FootnoteText"/>
      </w:pPr>
      <w:r>
        <w:rPr>
          <w:rStyle w:val="FootnoteReference"/>
        </w:rPr>
        <w:footnoteRef/>
      </w:r>
      <w:r>
        <w:t xml:space="preserve"> Cross-references for "Ithai": 2Sam 23:29.</w:t>
      </w:r>
    </w:p>
  </w:footnote>
  <w:footnote w:id="8238">
    <w:p>
      <w:pPr>
        <w:pStyle w:val="FootnoteText"/>
      </w:pPr>
      <w:r>
        <w:rPr>
          <w:rStyle w:val="FootnoteReference"/>
        </w:rPr>
        <w:footnoteRef/>
      </w:r>
      <w:r>
        <w:t xml:space="preserve"> Cross-references for "Abiel": 2Sam 23:31.</w:t>
      </w:r>
    </w:p>
  </w:footnote>
  <w:footnote w:id="8239">
    <w:p>
      <w:pPr>
        <w:pStyle w:val="FootnoteText"/>
      </w:pPr>
      <w:r>
        <w:rPr>
          <w:rStyle w:val="FootnoteReference"/>
        </w:rPr>
        <w:footnoteRef/>
      </w:r>
      <w:r>
        <w:t xml:space="preserve"> Personal name: Achim. Personal-name meaning: Achim — preparing; revenging; confirming. Source form: Achim.</w:t>
      </w:r>
    </w:p>
  </w:footnote>
  <w:footnote w:id="8240">
    <w:p>
      <w:pPr>
        <w:pStyle w:val="FootnoteText"/>
      </w:pPr>
      <w:r>
        <w:rPr>
          <w:rStyle w:val="FootnoteReference"/>
        </w:rPr>
        <w:footnoteRef/>
      </w:r>
      <w:r>
        <w:t xml:space="preserve"> Personal name: Sachar. Personal-name meaning: Sachar — wares; a price. Source form: Sachar.</w:t>
      </w:r>
    </w:p>
  </w:footnote>
  <w:footnote w:id="8241">
    <w:p>
      <w:pPr>
        <w:pStyle w:val="FootnoteText"/>
      </w:pPr>
      <w:r>
        <w:rPr>
          <w:rStyle w:val="FootnoteReference"/>
        </w:rPr>
        <w:footnoteRef/>
      </w:r>
      <w:r>
        <w:t xml:space="preserve"> Personal name: Eliphal. Personal-name meaning: Eliphal — a miracle of God. Source form: Eliphal.</w:t>
      </w:r>
    </w:p>
  </w:footnote>
  <w:footnote w:id="8242">
    <w:p>
      <w:pPr>
        <w:pStyle w:val="FootnoteText"/>
      </w:pPr>
      <w:r>
        <w:rPr>
          <w:rStyle w:val="FootnoteReference"/>
        </w:rPr>
        <w:footnoteRef/>
      </w:r>
      <w:r>
        <w:t xml:space="preserve"> Cross-references for "Eliphal": 2Sam 23:34.</w:t>
      </w:r>
    </w:p>
  </w:footnote>
  <w:footnote w:id="8243">
    <w:p>
      <w:pPr>
        <w:pStyle w:val="FootnoteText"/>
      </w:pPr>
      <w:r>
        <w:rPr>
          <w:rStyle w:val="FootnoteReference"/>
        </w:rPr>
        <w:footnoteRef/>
      </w:r>
      <w:r>
        <w:t xml:space="preserve"> People-name: Mecherathite. People-name meaning: Mecherathite — selling; knowledge. Source form: Mecherathite.</w:t>
      </w:r>
    </w:p>
  </w:footnote>
  <w:footnote w:id="8244">
    <w:p>
      <w:pPr>
        <w:pStyle w:val="FootnoteText"/>
      </w:pPr>
      <w:r>
        <w:rPr>
          <w:rStyle w:val="FootnoteReference"/>
        </w:rPr>
        <w:footnoteRef/>
      </w:r>
      <w:r>
        <w:t xml:space="preserve"> Personal name: Naarai. Personal-name meaning: Naarai — young person. Source form: Naarai.</w:t>
      </w:r>
    </w:p>
  </w:footnote>
  <w:footnote w:id="8245">
    <w:p>
      <w:pPr>
        <w:pStyle w:val="FootnoteText"/>
      </w:pPr>
      <w:r>
        <w:rPr>
          <w:rStyle w:val="FootnoteReference"/>
        </w:rPr>
        <w:footnoteRef/>
      </w:r>
      <w:r>
        <w:t xml:space="preserve"> Cross-references for "Joel": 2Sam 23:36.</w:t>
      </w:r>
    </w:p>
  </w:footnote>
  <w:footnote w:id="8246">
    <w:p>
      <w:pPr>
        <w:pStyle w:val="FootnoteText"/>
      </w:pPr>
      <w:r>
        <w:rPr>
          <w:rStyle w:val="FootnoteReference"/>
        </w:rPr>
        <w:footnoteRef/>
      </w:r>
      <w:r>
        <w:t xml:space="preserve"> Personal name: Mibhar. Personal-name meaning: Mibhar — chosen; youth. Source form: Mibhar.</w:t>
      </w:r>
    </w:p>
  </w:footnote>
  <w:footnote w:id="8247">
    <w:p>
      <w:pPr>
        <w:pStyle w:val="FootnoteText"/>
      </w:pPr>
      <w:r>
        <w:rPr>
          <w:rStyle w:val="FootnoteReference"/>
        </w:rPr>
        <w:footnoteRef/>
      </w:r>
      <w:r>
        <w:t xml:space="preserve"> Personal name: Haggeri. Personal-name meaning: Haggeri — a stranger. Source form: Haggeri.</w:t>
      </w:r>
    </w:p>
  </w:footnote>
  <w:footnote w:id="8248">
    <w:p>
      <w:pPr>
        <w:pStyle w:val="FootnoteText"/>
      </w:pPr>
      <w:r>
        <w:rPr>
          <w:rStyle w:val="FootnoteReference"/>
        </w:rPr>
        <w:footnoteRef/>
      </w:r>
      <w:r>
        <w:t xml:space="preserve"> Transliterated proper noun: Iethrite. Standard English equivalent: Ithrite. Source form: Iethrite. Greek form: ιεθηρι. Name meaning: Jetherite; one who excels.</w:t>
      </w:r>
    </w:p>
  </w:footnote>
  <w:footnote w:id="8249">
    <w:p>
      <w:pPr>
        <w:pStyle w:val="FootnoteText"/>
      </w:pPr>
      <w:r>
        <w:rPr>
          <w:rStyle w:val="FootnoteReference"/>
        </w:rPr>
        <w:footnoteRef/>
      </w:r>
      <w:r>
        <w:t xml:space="preserve"> Cross-references for "Ithrite": 2Sam 20:26.</w:t>
      </w:r>
    </w:p>
  </w:footnote>
  <w:footnote w:id="8250">
    <w:p>
      <w:pPr>
        <w:pStyle w:val="FootnoteText"/>
      </w:pPr>
      <w:r>
        <w:rPr>
          <w:rStyle w:val="FootnoteReference"/>
        </w:rPr>
        <w:footnoteRef/>
      </w:r>
      <w:r>
        <w:t xml:space="preserve"> Cross-references for "Uriah": 2Sam 11:6-27; 2Sam 23:39.</w:t>
      </w:r>
    </w:p>
  </w:footnote>
  <w:footnote w:id="8251">
    <w:p>
      <w:pPr>
        <w:pStyle w:val="FootnoteText"/>
      </w:pPr>
      <w:r>
        <w:rPr>
          <w:rStyle w:val="FootnoteReference"/>
        </w:rPr>
        <w:footnoteRef/>
      </w:r>
      <w:r>
        <w:t xml:space="preserve"> Personal name: Adina. Personal-name meaning: Adina — adorned; voluptuous; dainty. Source form: Adina.</w:t>
      </w:r>
    </w:p>
  </w:footnote>
  <w:footnote w:id="8252">
    <w:p>
      <w:pPr>
        <w:pStyle w:val="FootnoteText"/>
      </w:pPr>
      <w:r>
        <w:rPr>
          <w:rStyle w:val="FootnoteReference"/>
        </w:rPr>
        <w:footnoteRef/>
      </w:r>
      <w:r>
        <w:t xml:space="preserve"> Personal name: Shiza. Personal-name meaning: Shiza — this gift. Source form: Shiza.</w:t>
      </w:r>
    </w:p>
  </w:footnote>
  <w:footnote w:id="8253">
    <w:p>
      <w:pPr>
        <w:pStyle w:val="FootnoteText"/>
      </w:pPr>
      <w:r>
        <w:rPr>
          <w:rStyle w:val="FootnoteReference"/>
        </w:rPr>
        <w:footnoteRef/>
      </w:r>
      <w:r>
        <w:t xml:space="preserve"> People-name: Reubenite. People-name meaning: Reubenite — Behold a son. Source form: Reubenite.</w:t>
      </w:r>
    </w:p>
  </w:footnote>
  <w:footnote w:id="8254">
    <w:p>
      <w:pPr>
        <w:pStyle w:val="FootnoteText"/>
      </w:pPr>
      <w:r>
        <w:rPr>
          <w:rStyle w:val="FootnoteReference"/>
        </w:rPr>
        <w:footnoteRef/>
      </w:r>
      <w:r>
        <w:t xml:space="preserve"> Transliterated proper noun: Mithnite. Standard English equivalent: Mithnite. Source form: Mithnite. Greek form: βαιθανι. Name meaning: loin; gift; hope.</w:t>
      </w:r>
    </w:p>
  </w:footnote>
  <w:footnote w:id="8255">
    <w:p>
      <w:pPr>
        <w:pStyle w:val="FootnoteText"/>
      </w:pPr>
      <w:r>
        <w:rPr>
          <w:rStyle w:val="FootnoteReference"/>
        </w:rPr>
        <w:footnoteRef/>
      </w:r>
      <w:r>
        <w:t xml:space="preserve"> Personal name: Elnaam. Personal-name meaning: Elnaam — God's fairness. Source form: Elnaam.</w:t>
      </w:r>
    </w:p>
  </w:footnote>
  <w:footnote w:id="8256">
    <w:p>
      <w:pPr>
        <w:pStyle w:val="FootnoteText"/>
      </w:pPr>
      <w:r>
        <w:rPr>
          <w:rStyle w:val="FootnoteReference"/>
        </w:rPr>
        <w:footnoteRef/>
      </w:r>
      <w:r>
        <w:t xml:space="preserve"> Personal name: Ithmah. Personal-name meaning: Ithmah — an orphan. Source form: Ithmah.</w:t>
      </w:r>
    </w:p>
  </w:footnote>
  <w:footnote w:id="8257">
    <w:p>
      <w:pPr>
        <w:pStyle w:val="FootnoteText"/>
      </w:pPr>
      <w:r>
        <w:rPr>
          <w:rStyle w:val="FootnoteReference"/>
        </w:rPr>
        <w:footnoteRef/>
      </w:r>
      <w:r>
        <w:t xml:space="preserve"> Transliterated proper noun: Jasiel. Standard English equivalent: Jasiel. Source form: Jasiel. Greek form: ιεσιηλ. Name meaning: the strength of God.</w:t>
      </w:r>
    </w:p>
  </w:footnote>
  <w:footnote w:id="8258">
    <w:p>
      <w:pPr>
        <w:pStyle w:val="FootnoteText"/>
      </w:pPr>
      <w:r>
        <w:rPr>
          <w:rStyle w:val="FootnoteReference"/>
        </w:rPr>
        <w:footnoteRef/>
      </w:r>
      <w:r>
        <w:t xml:space="preserve"> Cross-references for "Saul": 1Chr 8:33; 1Chr 9:39.</w:t>
      </w:r>
    </w:p>
  </w:footnote>
  <w:footnote w:id="8259">
    <w:p>
      <w:pPr>
        <w:pStyle w:val="FootnoteText"/>
      </w:pPr>
      <w:r>
        <w:rPr>
          <w:rStyle w:val="FootnoteReference"/>
        </w:rPr>
        <w:footnoteRef/>
      </w:r>
      <w:r>
        <w:t xml:space="preserve"> Cross-references for "Azmaveth": 1Chr 11:33.</w:t>
      </w:r>
    </w:p>
  </w:footnote>
  <w:footnote w:id="8260">
    <w:p>
      <w:pPr>
        <w:pStyle w:val="FootnoteText"/>
      </w:pPr>
      <w:r>
        <w:rPr>
          <w:rStyle w:val="FootnoteReference"/>
        </w:rPr>
        <w:footnoteRef/>
      </w:r>
      <w:r>
        <w:t xml:space="preserve"> Transliterated proper noun: Berachah. Standard English equivalent: Berachah. Source form: Berachah. Greek form: βερχια. Name meaning: blessing; bending the knee.</w:t>
      </w:r>
    </w:p>
  </w:footnote>
  <w:footnote w:id="8261">
    <w:p>
      <w:pPr>
        <w:pStyle w:val="FootnoteText"/>
      </w:pPr>
      <w:r>
        <w:rPr>
          <w:rStyle w:val="FootnoteReference"/>
        </w:rPr>
        <w:footnoteRef/>
      </w:r>
      <w:r>
        <w:t xml:space="preserve"> Transliterated proper noun: Gabaonite. Standard English equivalent: Gibeonite. Source form: Gabaonite. Greek form: γαβαωνιτης. Name meaning: hill; cup; thing lifted up.</w:t>
      </w:r>
    </w:p>
  </w:footnote>
  <w:footnote w:id="8262">
    <w:p>
      <w:pPr>
        <w:pStyle w:val="FootnoteText"/>
      </w:pPr>
      <w:r>
        <w:rPr>
          <w:rStyle w:val="FootnoteReference"/>
        </w:rPr>
        <w:footnoteRef/>
      </w:r>
      <w:r>
        <w:t xml:space="preserve"> Transliterated proper noun: Jozabad. Standard English equivalent: Jozabad. Source form: Jozabad. Greek form: ιωζαβαδ. Name meaning: having a dowry.</w:t>
      </w:r>
    </w:p>
  </w:footnote>
  <w:footnote w:id="8263">
    <w:p>
      <w:pPr>
        <w:pStyle w:val="FootnoteText"/>
      </w:pPr>
      <w:r>
        <w:rPr>
          <w:rStyle w:val="FootnoteReference"/>
        </w:rPr>
        <w:footnoteRef/>
      </w:r>
      <w:r>
        <w:t xml:space="preserve"> Personal name: Eluzai. Personal-name meaning: Eluzai — God is my strength. Source form: Eluzai.</w:t>
      </w:r>
    </w:p>
  </w:footnote>
  <w:footnote w:id="8264">
    <w:p>
      <w:pPr>
        <w:pStyle w:val="FootnoteText"/>
      </w:pPr>
      <w:r>
        <w:rPr>
          <w:rStyle w:val="FootnoteReference"/>
        </w:rPr>
        <w:footnoteRef/>
      </w:r>
      <w:r>
        <w:t xml:space="preserve"> Personal name: Bealiah. Personal-name meaning: Bealiah — the god of an idol; in an assembly. Source form: Bealiah.</w:t>
      </w:r>
    </w:p>
  </w:footnote>
  <w:footnote w:id="8265">
    <w:p>
      <w:pPr>
        <w:pStyle w:val="FootnoteText"/>
      </w:pPr>
      <w:r>
        <w:rPr>
          <w:rStyle w:val="FootnoteReference"/>
        </w:rPr>
        <w:footnoteRef/>
      </w:r>
      <w:r>
        <w:t xml:space="preserve"> Transliterated proper noun: Korhites. Standard English equivalent: Korhites. Source form: Korhites. Name meaning: descendants of Korah; bald/ice-name family.</w:t>
      </w:r>
    </w:p>
  </w:footnote>
  <w:footnote w:id="8266">
    <w:p>
      <w:pPr>
        <w:pStyle w:val="FootnoteText"/>
      </w:pPr>
      <w:r>
        <w:rPr>
          <w:rStyle w:val="FootnoteReference"/>
        </w:rPr>
        <w:footnoteRef/>
      </w:r>
      <w:r>
        <w:t xml:space="preserve"> Translation note: The Septuagint preserves a different name list here. The translation follows that Greek register.</w:t>
      </w:r>
    </w:p>
  </w:footnote>
  <w:footnote w:id="8267">
    <w:p>
      <w:pPr>
        <w:pStyle w:val="FootnoteText"/>
      </w:pPr>
      <w:r>
        <w:rPr>
          <w:rStyle w:val="FootnoteReference"/>
        </w:rPr>
        <w:footnoteRef/>
      </w:r>
      <w:r>
        <w:t xml:space="preserve"> Transliterated proper noun: Jesiah. Standard English equivalent: Jesiah. Source form: Jesiah. Greek form: ιησουνι. Name meaning: sprinkling of the Lord.</w:t>
      </w:r>
    </w:p>
  </w:footnote>
  <w:footnote w:id="8268">
    <w:p>
      <w:pPr>
        <w:pStyle w:val="FootnoteText"/>
      </w:pPr>
      <w:r>
        <w:rPr>
          <w:rStyle w:val="FootnoteReference"/>
        </w:rPr>
        <w:footnoteRef/>
      </w:r>
      <w:r>
        <w:t xml:space="preserve"> Transliterated proper noun: Azareel. Standard English equivalent: Azareel. Source form: Azareel. Greek form: οζριηλ. Name meaning: help of God.</w:t>
      </w:r>
    </w:p>
  </w:footnote>
  <w:footnote w:id="8269">
    <w:p>
      <w:pPr>
        <w:pStyle w:val="FootnoteText"/>
      </w:pPr>
      <w:r>
        <w:rPr>
          <w:rStyle w:val="FootnoteReference"/>
        </w:rPr>
        <w:footnoteRef/>
      </w:r>
      <w:r>
        <w:t xml:space="preserve"> Personal name: Joezer. Personal-name meaning: Joezer — he that aids. Source form: Joezer.</w:t>
      </w:r>
    </w:p>
  </w:footnote>
  <w:footnote w:id="8270">
    <w:p>
      <w:pPr>
        <w:pStyle w:val="FootnoteText"/>
      </w:pPr>
      <w:r>
        <w:rPr>
          <w:rStyle w:val="FootnoteReference"/>
        </w:rPr>
        <w:footnoteRef/>
      </w:r>
      <w:r>
        <w:t xml:space="preserve"> Translation note: LXX here gives only the genealogy line.</w:t>
      </w:r>
    </w:p>
  </w:footnote>
  <w:footnote w:id="8271">
    <w:p>
      <w:pPr>
        <w:pStyle w:val="FootnoteText"/>
      </w:pPr>
      <w:r>
        <w:rPr>
          <w:rStyle w:val="FootnoteReference"/>
        </w:rPr>
        <w:footnoteRef/>
      </w:r>
      <w:r>
        <w:t xml:space="preserve"> Translation note: Greek marks the men as coming from the Gadite group. The translation makes that group identity explicit.</w:t>
      </w:r>
    </w:p>
  </w:footnote>
  <w:footnote w:id="8272">
    <w:p>
      <w:pPr>
        <w:pStyle w:val="FootnoteText"/>
      </w:pPr>
      <w:r>
        <w:rPr>
          <w:rStyle w:val="FootnoteReference"/>
        </w:rPr>
        <w:footnoteRef/>
      </w:r>
      <w:r>
        <w:t xml:space="preserve"> Translation note: Name list follows Greek directly here.</w:t>
      </w:r>
    </w:p>
  </w:footnote>
  <w:footnote w:id="8273">
    <w:p>
      <w:pPr>
        <w:pStyle w:val="FootnoteText"/>
      </w:pPr>
      <w:r>
        <w:rPr>
          <w:rStyle w:val="FootnoteReference"/>
        </w:rPr>
        <w:footnoteRef/>
      </w:r>
      <w:r>
        <w:t xml:space="preserve"> Personal name: Mishmannah. Personal-name meaning: Mishmannah — fatness; taking away provision. Source form: Mishmannah.</w:t>
      </w:r>
    </w:p>
  </w:footnote>
  <w:footnote w:id="8274">
    <w:p>
      <w:pPr>
        <w:pStyle w:val="FootnoteText"/>
      </w:pPr>
      <w:r>
        <w:rPr>
          <w:rStyle w:val="FootnoteReference"/>
        </w:rPr>
        <w:footnoteRef/>
      </w:r>
      <w:r>
        <w:t xml:space="preserve"> Translation note: Roster line follows Greek directly.</w:t>
      </w:r>
    </w:p>
  </w:footnote>
  <w:footnote w:id="8275">
    <w:p>
      <w:pPr>
        <w:pStyle w:val="FootnoteText"/>
      </w:pPr>
      <w:r>
        <w:rPr>
          <w:rStyle w:val="FootnoteReference"/>
        </w:rPr>
        <w:footnoteRef/>
      </w:r>
      <w:r>
        <w:t xml:space="preserve"> Translation note: Greek rank wording kept here.</w:t>
      </w:r>
    </w:p>
  </w:footnote>
  <w:footnote w:id="8276">
    <w:p>
      <w:pPr>
        <w:pStyle w:val="FootnoteText"/>
      </w:pPr>
      <w:r>
        <w:rPr>
          <w:rStyle w:val="FootnoteReference"/>
        </w:rPr>
        <w:footnoteRef/>
      </w:r>
      <w:r>
        <w:t xml:space="preserve"> MT/LXX note: The Septuagint verse here preserves a Jordan-crossing notice rather than the Masoretic arrival-at-the-stronghold line. The translation follows the Greek content.</w:t>
      </w:r>
    </w:p>
  </w:footnote>
  <w:footnote w:id="8277">
    <w:p>
      <w:pPr>
        <w:pStyle w:val="FootnoteText"/>
      </w:pPr>
      <w:r>
        <w:rPr>
          <w:rStyle w:val="FootnoteReference"/>
        </w:rPr>
        <w:footnoteRef/>
      </w:r>
      <w:r>
        <w:t xml:space="preserve"> Translation note: LXX here gives only the short arrival line.</w:t>
      </w:r>
    </w:p>
  </w:footnote>
  <w:footnote w:id="8278">
    <w:p>
      <w:pPr>
        <w:pStyle w:val="FootnoteText"/>
      </w:pPr>
      <w:r>
        <w:rPr>
          <w:rStyle w:val="FootnoteReference"/>
        </w:rPr>
        <w:footnoteRef/>
      </w:r>
      <w:r>
        <w:t xml:space="preserve"> Cross-references for "peace": Gal 6:16; Eph 6:23-24.</w:t>
      </w:r>
    </w:p>
  </w:footnote>
  <w:footnote w:id="8279">
    <w:p>
      <w:pPr>
        <w:pStyle w:val="FootnoteText"/>
      </w:pPr>
      <w:r>
        <w:rPr>
          <w:rStyle w:val="FootnoteReference"/>
        </w:rPr>
        <w:footnoteRef/>
      </w:r>
      <w:r>
        <w:t xml:space="preserve"> Translation note: Greek has David's challenge speech here.</w:t>
      </w:r>
    </w:p>
  </w:footnote>
  <w:footnote w:id="8280">
    <w:p>
      <w:pPr>
        <w:pStyle w:val="FootnoteText"/>
      </w:pPr>
      <w:r>
        <w:rPr>
          <w:rStyle w:val="FootnoteReference"/>
        </w:rPr>
        <w:footnoteRef/>
      </w:r>
      <w:r>
        <w:t xml:space="preserve"> Translation note: Greek says spirit clothed Amasai.</w:t>
      </w:r>
    </w:p>
  </w:footnote>
  <w:footnote w:id="8281">
    <w:p>
      <w:pPr>
        <w:pStyle w:val="FootnoteText"/>
      </w:pPr>
      <w:r>
        <w:rPr>
          <w:rStyle w:val="FootnoteReference"/>
        </w:rPr>
        <w:footnoteRef/>
      </w:r>
      <w:r>
        <w:t xml:space="preserve"> MT/LXX note: The Septuagint verse here keeps the Philistine-war context rather than the Masoretic Manasseh name list. The translation follows the Greek content.</w:t>
      </w:r>
    </w:p>
  </w:footnote>
  <w:footnote w:id="8282">
    <w:p>
      <w:pPr>
        <w:pStyle w:val="FootnoteText"/>
      </w:pPr>
      <w:r>
        <w:rPr>
          <w:rStyle w:val="FootnoteReference"/>
        </w:rPr>
        <w:footnoteRef/>
      </w:r>
      <w:r>
        <w:t xml:space="preserve"> Personal name: Edna. Personal-name meaning: Edna — pleasure; delight. Source form: Edna.</w:t>
      </w:r>
    </w:p>
  </w:footnote>
  <w:footnote w:id="8283">
    <w:p>
      <w:pPr>
        <w:pStyle w:val="FootnoteText"/>
      </w:pPr>
      <w:r>
        <w:rPr>
          <w:rStyle w:val="FootnoteReference"/>
        </w:rPr>
        <w:footnoteRef/>
      </w:r>
      <w:r>
        <w:t xml:space="preserve"> Translation note: Greek compares the growing company with force of God. The translation keeps that strong simile rather than reducing it to a generic great army.</w:t>
      </w:r>
    </w:p>
  </w:footnote>
  <w:footnote w:id="8284">
    <w:p>
      <w:pPr>
        <w:pStyle w:val="FootnoteText"/>
      </w:pPr>
      <w:r>
        <w:rPr>
          <w:rStyle w:val="FootnoteReference"/>
        </w:rPr>
        <w:footnoteRef/>
      </w:r>
      <w:r>
        <w:t xml:space="preserve"> MT/LXX note: Greek witnesses here differ from the MT-shaped host summary. Current line stays with the Greek battle scene.</w:t>
      </w:r>
    </w:p>
  </w:footnote>
  <w:footnote w:id="8285">
    <w:p>
      <w:pPr>
        <w:pStyle w:val="FootnoteText"/>
      </w:pPr>
      <w:r>
        <w:rPr>
          <w:rStyle w:val="FootnoteReference"/>
        </w:rPr>
        <w:footnoteRef/>
      </w:r>
      <w:r>
        <w:t xml:space="preserve"> Translation note: Greek ends the notice with a direct simile: like force of God. The translation keeps that image visible.</w:t>
      </w:r>
    </w:p>
  </w:footnote>
  <w:footnote w:id="8286">
    <w:p>
      <w:pPr>
        <w:pStyle w:val="FootnoteText"/>
      </w:pPr>
      <w:r>
        <w:rPr>
          <w:rStyle w:val="FootnoteReference"/>
        </w:rPr>
        <w:footnoteRef/>
      </w:r>
      <w:r>
        <w:t xml:space="preserve"> MT/LXX note: The Septuagint places a commander-register line here rather than the Masoretic troop count. The translation follows the Greek content.</w:t>
      </w:r>
    </w:p>
  </w:footnote>
  <w:footnote w:id="8287">
    <w:p>
      <w:pPr>
        <w:pStyle w:val="FootnoteText"/>
      </w:pPr>
      <w:r>
        <w:rPr>
          <w:rStyle w:val="FootnoteReference"/>
        </w:rPr>
        <w:footnoteRef/>
      </w:r>
      <w:r>
        <w:t xml:space="preserve"> MT/LXX note: The Septuagint places a Manasseh troop line here rather than the Masoretic Issachar note. The translation follows the Greek content.</w:t>
      </w:r>
    </w:p>
  </w:footnote>
  <w:footnote w:id="8288">
    <w:p>
      <w:pPr>
        <w:pStyle w:val="FootnoteText"/>
      </w:pPr>
      <w:r>
        <w:rPr>
          <w:rStyle w:val="FootnoteReference"/>
        </w:rPr>
        <w:footnoteRef/>
      </w:r>
      <w:r>
        <w:t xml:space="preserve"> MT/LXX note: The Septuagint places the Issachar line here rather than the Masoretic Zebulun line. The translation follows the Greek content.</w:t>
      </w:r>
    </w:p>
  </w:footnote>
  <w:footnote w:id="8289">
    <w:p>
      <w:pPr>
        <w:pStyle w:val="FootnoteText"/>
      </w:pPr>
      <w:r>
        <w:rPr>
          <w:rStyle w:val="FootnoteReference"/>
        </w:rPr>
        <w:footnoteRef/>
      </w:r>
      <w:r>
        <w:t xml:space="preserve"> People-name: Danites. People-name meaning: Danites — He judged. Source form: Danites.</w:t>
      </w:r>
    </w:p>
  </w:footnote>
  <w:footnote w:id="8290">
    <w:p>
      <w:pPr>
        <w:pStyle w:val="FootnoteText"/>
      </w:pPr>
      <w:r>
        <w:rPr>
          <w:rStyle w:val="FootnoteReference"/>
        </w:rPr>
        <w:footnoteRef/>
      </w:r>
      <w:r>
        <w:t xml:space="preserve"> Translation note: Greek line matches current wording closely here.</w:t>
      </w:r>
    </w:p>
  </w:footnote>
  <w:footnote w:id="8291">
    <w:p>
      <w:pPr>
        <w:pStyle w:val="FootnoteText"/>
      </w:pPr>
      <w:r>
        <w:rPr>
          <w:rStyle w:val="FootnoteReference"/>
        </w:rPr>
        <w:footnoteRef/>
      </w:r>
      <w:r>
        <w:t xml:space="preserve"> Translation note: Greek says those bordering them as far as Issachar and beyond brought provisions.</w:t>
      </w:r>
    </w:p>
  </w:footnote>
  <w:footnote w:id="8292">
    <w:p>
      <w:pPr>
        <w:pStyle w:val="FootnoteText"/>
      </w:pPr>
      <w:r>
        <w:rPr>
          <w:rStyle w:val="FootnoteReference"/>
        </w:rPr>
        <w:footnoteRef/>
      </w:r>
      <w:r>
        <w:t xml:space="preserve"> Translation note: Greek says if it has been prospered from the Lord our God.</w:t>
      </w:r>
    </w:p>
  </w:footnote>
  <w:footnote w:id="8293">
    <w:p>
      <w:pPr>
        <w:pStyle w:val="FootnoteText"/>
      </w:pPr>
      <w:r>
        <w:rPr>
          <w:rStyle w:val="FootnoteReference"/>
        </w:rPr>
        <w:footnoteRef/>
      </w:r>
      <w:r>
        <w:t xml:space="preserve"> Cross-references for "left": 1Sam 31:1; 1Chr 10:7.</w:t>
      </w:r>
    </w:p>
  </w:footnote>
  <w:footnote w:id="8294">
    <w:p>
      <w:pPr>
        <w:pStyle w:val="FootnoteText"/>
      </w:pPr>
      <w:r>
        <w:rPr>
          <w:rStyle w:val="FootnoteReference"/>
        </w:rPr>
        <w:footnoteRef/>
      </w:r>
      <w:r>
        <w:t xml:space="preserve"> Cross-references for "the ark": 1Sam 7:1-2; Ps 132:6.</w:t>
      </w:r>
    </w:p>
  </w:footnote>
  <w:footnote w:id="8295">
    <w:p>
      <w:pPr>
        <w:pStyle w:val="FootnoteText"/>
      </w:pPr>
      <w:r>
        <w:rPr>
          <w:rStyle w:val="FootnoteReference"/>
        </w:rPr>
        <w:footnoteRef/>
      </w:r>
      <w:r>
        <w:t xml:space="preserve"> Cross-references for "David": 1Sam 7:1; 2Sam 6:1.</w:t>
      </w:r>
    </w:p>
  </w:footnote>
  <w:footnote w:id="8296">
    <w:p>
      <w:pPr>
        <w:pStyle w:val="FootnoteText"/>
      </w:pPr>
      <w:r>
        <w:rPr>
          <w:rStyle w:val="FootnoteReference"/>
        </w:rPr>
        <w:footnoteRef/>
      </w:r>
      <w:r>
        <w:t xml:space="preserve"> Transliterated proper noun: Iarim. Standard English equivalent: Kirjathjearim. Source form: Iarim. Greek form: ιαριμ. Name meaning: city of woods.</w:t>
      </w:r>
    </w:p>
  </w:footnote>
  <w:footnote w:id="8297">
    <w:p>
      <w:pPr>
        <w:pStyle w:val="FootnoteText"/>
      </w:pPr>
      <w:r>
        <w:rPr>
          <w:rStyle w:val="FootnoteReference"/>
        </w:rPr>
        <w:footnoteRef/>
      </w:r>
      <w:r>
        <w:t xml:space="preserve"> Cross-references for "David": 1Sam 10:5; 2Sam 6:5-23.</w:t>
      </w:r>
    </w:p>
  </w:footnote>
  <w:footnote w:id="8298">
    <w:p>
      <w:pPr>
        <w:pStyle w:val="FootnoteText"/>
      </w:pPr>
      <w:r>
        <w:rPr>
          <w:rStyle w:val="FootnoteReference"/>
        </w:rPr>
        <w:footnoteRef/>
      </w:r>
      <w:r>
        <w:t xml:space="preserve"> Transliterated proper noun: Breach-of-Uzza. Standard English equivalent: Perezuzza. Source form: Breach-of-Uzza. Name meaning: division of Uzza, or of strength.</w:t>
      </w:r>
    </w:p>
  </w:footnote>
  <w:footnote w:id="8299">
    <w:p>
      <w:pPr>
        <w:pStyle w:val="FootnoteText"/>
      </w:pPr>
      <w:r>
        <w:rPr>
          <w:rStyle w:val="FootnoteReference"/>
        </w:rPr>
        <w:footnoteRef/>
      </w:r>
      <w:r>
        <w:t xml:space="preserve"> Cross-references for "Obededom": 2Sam 6:10-11; 1Chr 15:18.</w:t>
      </w:r>
    </w:p>
  </w:footnote>
  <w:footnote w:id="8300">
    <w:p>
      <w:pPr>
        <w:pStyle w:val="FootnoteText"/>
      </w:pPr>
      <w:r>
        <w:rPr>
          <w:rStyle w:val="FootnoteReference"/>
        </w:rPr>
        <w:footnoteRef/>
      </w:r>
      <w:r>
        <w:t xml:space="preserve"> Cross-references for "Hiram": 2Sam 5:11; 2Sam 5:12-16.</w:t>
      </w:r>
    </w:p>
  </w:footnote>
  <w:footnote w:id="8301">
    <w:p>
      <w:pPr>
        <w:pStyle w:val="FootnoteText"/>
      </w:pPr>
      <w:r>
        <w:rPr>
          <w:rStyle w:val="FootnoteReference"/>
        </w:rPr>
        <w:footnoteRef/>
      </w:r>
      <w:r>
        <w:t xml:space="preserve"> Cross-references for "the Lord": 2Sam 7:16; 1Chr 17:17.</w:t>
      </w:r>
    </w:p>
  </w:footnote>
  <w:footnote w:id="8302">
    <w:p>
      <w:pPr>
        <w:pStyle w:val="FootnoteText"/>
      </w:pPr>
      <w:r>
        <w:rPr>
          <w:rStyle w:val="FootnoteReference"/>
        </w:rPr>
        <w:footnoteRef/>
      </w:r>
      <w:r>
        <w:t xml:space="preserve"> Cross-references for "took": Deut 17:17; 2Sam 5:13.</w:t>
      </w:r>
    </w:p>
  </w:footnote>
  <w:footnote w:id="8303">
    <w:p>
      <w:pPr>
        <w:pStyle w:val="FootnoteText"/>
      </w:pPr>
      <w:r>
        <w:rPr>
          <w:rStyle w:val="FootnoteReference"/>
        </w:rPr>
        <w:footnoteRef/>
      </w:r>
      <w:r>
        <w:t xml:space="preserve"> Cross-references for "Shammua": 2Sam 5:14; 1Chr 3:5-9.</w:t>
      </w:r>
    </w:p>
  </w:footnote>
  <w:footnote w:id="8304">
    <w:p>
      <w:pPr>
        <w:pStyle w:val="FootnoteText"/>
      </w:pPr>
      <w:r>
        <w:rPr>
          <w:rStyle w:val="FootnoteReference"/>
        </w:rPr>
        <w:footnoteRef/>
      </w:r>
      <w:r>
        <w:t xml:space="preserve"> Cross-references for "Elishua": 2Sam 5:15; 1Chr 3:6.</w:t>
      </w:r>
    </w:p>
  </w:footnote>
  <w:footnote w:id="8305">
    <w:p>
      <w:pPr>
        <w:pStyle w:val="FootnoteText"/>
      </w:pPr>
      <w:r>
        <w:rPr>
          <w:rStyle w:val="FootnoteReference"/>
        </w:rPr>
        <w:footnoteRef/>
      </w:r>
      <w:r>
        <w:t xml:space="preserve"> Personal name: Beeliada. Personal-name meaning: Beeliada — an open idol. Source form: Beeliada.</w:t>
      </w:r>
    </w:p>
  </w:footnote>
  <w:footnote w:id="8306">
    <w:p>
      <w:pPr>
        <w:pStyle w:val="FootnoteText"/>
      </w:pPr>
      <w:r>
        <w:rPr>
          <w:rStyle w:val="FootnoteReference"/>
        </w:rPr>
        <w:footnoteRef/>
      </w:r>
      <w:r>
        <w:t xml:space="preserve"> Cross-references for "Beeliada": 2Sam 5:16.</w:t>
      </w:r>
    </w:p>
  </w:footnote>
  <w:footnote w:id="8307">
    <w:p>
      <w:pPr>
        <w:pStyle w:val="FootnoteText"/>
      </w:pPr>
      <w:r>
        <w:rPr>
          <w:rStyle w:val="FootnoteReference"/>
        </w:rPr>
        <w:footnoteRef/>
      </w:r>
      <w:r>
        <w:t xml:space="preserve"> Cross-references for "anointed": 2Sam 5:3; 1Chr 11:3.</w:t>
      </w:r>
    </w:p>
  </w:footnote>
  <w:footnote w:id="8308">
    <w:p>
      <w:pPr>
        <w:pStyle w:val="FootnoteText"/>
      </w:pPr>
      <w:r>
        <w:rPr>
          <w:rStyle w:val="FootnoteReference"/>
        </w:rPr>
        <w:footnoteRef/>
      </w:r>
      <w:r>
        <w:t xml:space="preserve"> Cross-references for "the valley": 2Sam 5:18; 2Sam 23:13.</w:t>
      </w:r>
    </w:p>
  </w:footnote>
  <w:footnote w:id="8309">
    <w:p>
      <w:pPr>
        <w:pStyle w:val="FootnoteText"/>
      </w:pPr>
      <w:r>
        <w:rPr>
          <w:rStyle w:val="FootnoteReference"/>
        </w:rPr>
        <w:footnoteRef/>
      </w:r>
      <w:r>
        <w:t xml:space="preserve"> Cross-references for "inquired": 1Sam 23:2-4; 1Sam 23:9-12.</w:t>
      </w:r>
    </w:p>
  </w:footnote>
  <w:footnote w:id="8310">
    <w:p>
      <w:pPr>
        <w:pStyle w:val="FootnoteText"/>
      </w:pPr>
      <w:r>
        <w:rPr>
          <w:rStyle w:val="FootnoteReference"/>
        </w:rPr>
        <w:footnoteRef/>
      </w:r>
      <w:r>
        <w:t xml:space="preserve"> Translation note: Greek says like breaking of waters.</w:t>
      </w:r>
    </w:p>
  </w:footnote>
  <w:footnote w:id="8311">
    <w:p>
      <w:pPr>
        <w:pStyle w:val="FootnoteText"/>
      </w:pPr>
      <w:r>
        <w:rPr>
          <w:rStyle w:val="FootnoteReference"/>
        </w:rPr>
        <w:footnoteRef/>
      </w:r>
      <w:r>
        <w:t xml:space="preserve"> Cross-references for "like the breaking": Exod 14:28; Job 30:14.</w:t>
      </w:r>
    </w:p>
  </w:footnote>
  <w:footnote w:id="8312">
    <w:p>
      <w:pPr>
        <w:pStyle w:val="FootnoteText"/>
      </w:pPr>
      <w:r>
        <w:rPr>
          <w:rStyle w:val="FootnoteReference"/>
        </w:rPr>
        <w:footnoteRef/>
      </w:r>
      <w:r>
        <w:t xml:space="preserve"> Cross-references for "yet again": 2Sam 5:22-25; 1Kgs 20:22.</w:t>
      </w:r>
    </w:p>
  </w:footnote>
  <w:footnote w:id="8313">
    <w:p>
      <w:pPr>
        <w:pStyle w:val="FootnoteText"/>
      </w:pPr>
      <w:r>
        <w:rPr>
          <w:rStyle w:val="FootnoteReference"/>
        </w:rPr>
        <w:footnoteRef/>
      </w:r>
      <w:r>
        <w:t xml:space="preserve"> Cross-references for "inquired": 1Chr 14:10; Ps 27:4.</w:t>
      </w:r>
    </w:p>
  </w:footnote>
  <w:footnote w:id="8314">
    <w:p>
      <w:pPr>
        <w:pStyle w:val="FootnoteText"/>
      </w:pPr>
      <w:r>
        <w:rPr>
          <w:rStyle w:val="FootnoteReference"/>
        </w:rPr>
        <w:footnoteRef/>
      </w:r>
      <w:r>
        <w:t xml:space="preserve"> Cross-references for "did as God": Gen 6:22; Exod 39:42-43.</w:t>
      </w:r>
    </w:p>
  </w:footnote>
  <w:footnote w:id="8315">
    <w:p>
      <w:pPr>
        <w:pStyle w:val="FootnoteText"/>
      </w:pPr>
      <w:r>
        <w:rPr>
          <w:rStyle w:val="FootnoteReference"/>
        </w:rPr>
        <w:footnoteRef/>
      </w:r>
      <w:r>
        <w:t xml:space="preserve"> Cross-references for "houses": 2Sam 5:9; 2Sam 13:7-8.</w:t>
      </w:r>
    </w:p>
  </w:footnote>
  <w:footnote w:id="8316">
    <w:p>
      <w:pPr>
        <w:pStyle w:val="FootnoteText"/>
      </w:pPr>
      <w:r>
        <w:rPr>
          <w:rStyle w:val="FootnoteReference"/>
        </w:rPr>
        <w:footnoteRef/>
      </w:r>
      <w:r>
        <w:t xml:space="preserve"> Cross-references for "to minister": Num 8:13-14; Num 8:24-26.</w:t>
      </w:r>
    </w:p>
  </w:footnote>
  <w:footnote w:id="8317">
    <w:p>
      <w:pPr>
        <w:pStyle w:val="FootnoteText"/>
      </w:pPr>
      <w:r>
        <w:rPr>
          <w:rStyle w:val="FootnoteReference"/>
        </w:rPr>
        <w:footnoteRef/>
      </w:r>
      <w:r>
        <w:t xml:space="preserve"> Cross-references for "to bring up": 2Sam 6:12; 1Chr 15:1.</w:t>
      </w:r>
    </w:p>
  </w:footnote>
  <w:footnote w:id="8318">
    <w:p>
      <w:pPr>
        <w:pStyle w:val="FootnoteText"/>
      </w:pPr>
      <w:r>
        <w:rPr>
          <w:rStyle w:val="FootnoteReference"/>
        </w:rPr>
        <w:footnoteRef/>
      </w:r>
      <w:r>
        <w:t xml:space="preserve"> Cross-references for "Uriel": 1Chr 6:22-24.</w:t>
      </w:r>
    </w:p>
  </w:footnote>
  <w:footnote w:id="8319">
    <w:p>
      <w:pPr>
        <w:pStyle w:val="FootnoteText"/>
      </w:pPr>
      <w:r>
        <w:rPr>
          <w:rStyle w:val="FootnoteReference"/>
        </w:rPr>
        <w:footnoteRef/>
      </w:r>
      <w:r>
        <w:t xml:space="preserve"> Cross-references for "Merari": 1Chr 6:29-30.</w:t>
      </w:r>
    </w:p>
  </w:footnote>
  <w:footnote w:id="8320">
    <w:p>
      <w:pPr>
        <w:pStyle w:val="FootnoteText"/>
      </w:pPr>
      <w:r>
        <w:rPr>
          <w:rStyle w:val="FootnoteReference"/>
        </w:rPr>
        <w:footnoteRef/>
      </w:r>
      <w:r>
        <w:t xml:space="preserve"> Cross-references for "Joel": 1Chr 15:11; 1Chr 23:8.</w:t>
      </w:r>
    </w:p>
  </w:footnote>
  <w:footnote w:id="8321">
    <w:p>
      <w:pPr>
        <w:pStyle w:val="FootnoteText"/>
      </w:pPr>
      <w:r>
        <w:rPr>
          <w:rStyle w:val="FootnoteReference"/>
        </w:rPr>
        <w:footnoteRef/>
      </w:r>
      <w:r>
        <w:t xml:space="preserve"> Cross-references for "Shemaiah": 1Chr 15:11.</w:t>
      </w:r>
    </w:p>
  </w:footnote>
  <w:footnote w:id="8322">
    <w:p>
      <w:pPr>
        <w:pStyle w:val="FootnoteText"/>
      </w:pPr>
      <w:r>
        <w:rPr>
          <w:rStyle w:val="FootnoteReference"/>
        </w:rPr>
        <w:footnoteRef/>
      </w:r>
      <w:r>
        <w:t xml:space="preserve"> Cross-references for "Hebron": Exod 6:18; Num 26:58.</w:t>
      </w:r>
    </w:p>
  </w:footnote>
  <w:footnote w:id="8323">
    <w:p>
      <w:pPr>
        <w:pStyle w:val="FootnoteText"/>
      </w:pPr>
      <w:r>
        <w:rPr>
          <w:rStyle w:val="FootnoteReference"/>
        </w:rPr>
        <w:footnoteRef/>
      </w:r>
      <w:r>
        <w:t xml:space="preserve"> Cross-references for "Uzziel": Exod 6:18; Exod 6:22.</w:t>
      </w:r>
    </w:p>
  </w:footnote>
  <w:footnote w:id="8324">
    <w:p>
      <w:pPr>
        <w:pStyle w:val="FootnoteText"/>
      </w:pPr>
      <w:r>
        <w:rPr>
          <w:rStyle w:val="FootnoteReference"/>
        </w:rPr>
        <w:footnoteRef/>
      </w:r>
      <w:r>
        <w:t xml:space="preserve"> Cross-references for "Zadok": 1Sam 22:20-23; 2Sam 8:17.</w:t>
      </w:r>
    </w:p>
  </w:footnote>
  <w:footnote w:id="8325">
    <w:p>
      <w:pPr>
        <w:pStyle w:val="FootnoteText"/>
      </w:pPr>
      <w:r>
        <w:rPr>
          <w:rStyle w:val="FootnoteReference"/>
        </w:rPr>
        <w:footnoteRef/>
      </w:r>
      <w:r>
        <w:t xml:space="preserve"> Cross-references for "Sanctify": Exod 19:14-15; 1Chr 15:14.</w:t>
      </w:r>
    </w:p>
  </w:footnote>
  <w:footnote w:id="8326">
    <w:p>
      <w:pPr>
        <w:pStyle w:val="FootnoteText"/>
      </w:pPr>
      <w:r>
        <w:rPr>
          <w:rStyle w:val="FootnoteReference"/>
        </w:rPr>
        <w:footnoteRef/>
      </w:r>
      <w:r>
        <w:t xml:space="preserve"> Cross-references for "sanctified": Lev 10:3; 2Chr 29:15.</w:t>
      </w:r>
    </w:p>
  </w:footnote>
  <w:footnote w:id="8327">
    <w:p>
      <w:pPr>
        <w:pStyle w:val="FootnoteText"/>
      </w:pPr>
      <w:r>
        <w:rPr>
          <w:rStyle w:val="FootnoteReference"/>
        </w:rPr>
        <w:footnoteRef/>
      </w:r>
      <w:r>
        <w:t xml:space="preserve"> Cross-references for "And David": 2Chr 30:12; Ezra 7:24-28.</w:t>
      </w:r>
    </w:p>
  </w:footnote>
  <w:footnote w:id="8328">
    <w:p>
      <w:pPr>
        <w:pStyle w:val="FootnoteText"/>
      </w:pPr>
      <w:r>
        <w:rPr>
          <w:rStyle w:val="FootnoteReference"/>
        </w:rPr>
        <w:footnoteRef/>
      </w:r>
      <w:r>
        <w:t xml:space="preserve"> Cross-references for "Heman": 1Sam 8:2; 1Chr 6:33.</w:t>
      </w:r>
    </w:p>
  </w:footnote>
  <w:footnote w:id="8329">
    <w:p>
      <w:pPr>
        <w:pStyle w:val="FootnoteText"/>
      </w:pPr>
      <w:r>
        <w:rPr>
          <w:rStyle w:val="FootnoteReference"/>
        </w:rPr>
        <w:footnoteRef/>
      </w:r>
      <w:r>
        <w:t xml:space="preserve"> Personal name: Kushaiah. Personal-name meaning: Kushaiah — hardness; his gravity; his offense. Source form: Kushaiah.</w:t>
      </w:r>
    </w:p>
  </w:footnote>
  <w:footnote w:id="8330">
    <w:p>
      <w:pPr>
        <w:pStyle w:val="FootnoteText"/>
      </w:pPr>
      <w:r>
        <w:rPr>
          <w:rStyle w:val="FootnoteReference"/>
        </w:rPr>
        <w:footnoteRef/>
      </w:r>
      <w:r>
        <w:t xml:space="preserve"> Translation note: Name list follows Greek directly here.</w:t>
      </w:r>
    </w:p>
  </w:footnote>
  <w:footnote w:id="8331">
    <w:p>
      <w:pPr>
        <w:pStyle w:val="FootnoteText"/>
      </w:pPr>
      <w:r>
        <w:rPr>
          <w:rStyle w:val="FootnoteReference"/>
        </w:rPr>
        <w:footnoteRef/>
      </w:r>
      <w:r>
        <w:t xml:space="preserve"> Cross-references for "Zechariah": 1Chr 16:5-6.</w:t>
      </w:r>
    </w:p>
  </w:footnote>
  <w:footnote w:id="8332">
    <w:p>
      <w:pPr>
        <w:pStyle w:val="FootnoteText"/>
      </w:pPr>
      <w:r>
        <w:rPr>
          <w:rStyle w:val="FootnoteReference"/>
        </w:rPr>
        <w:footnoteRef/>
      </w:r>
      <w:r>
        <w:t xml:space="preserve"> Personal name: Shemiramoth. Personal-name meaning: Shemiramoth — the height of the heavens. Source form: Shemiramoth.</w:t>
      </w:r>
    </w:p>
  </w:footnote>
  <w:footnote w:id="8333">
    <w:p>
      <w:pPr>
        <w:pStyle w:val="FootnoteText"/>
      </w:pPr>
      <w:r>
        <w:rPr>
          <w:rStyle w:val="FootnoteReference"/>
        </w:rPr>
        <w:footnoteRef/>
      </w:r>
      <w:r>
        <w:t xml:space="preserve"> Personal name: Unni. Personal-name meaning: Unni — poor; afflicted; that answers. Source form: Unni.</w:t>
      </w:r>
    </w:p>
  </w:footnote>
  <w:footnote w:id="8334">
    <w:p>
      <w:pPr>
        <w:pStyle w:val="FootnoteText"/>
      </w:pPr>
      <w:r>
        <w:rPr>
          <w:rStyle w:val="FootnoteReference"/>
        </w:rPr>
        <w:footnoteRef/>
      </w:r>
      <w:r>
        <w:t xml:space="preserve"> Personal name: Maaseiah. Personal-name meaning: Maaseiah — the work of the Lord. Source form: Maaseiah.</w:t>
      </w:r>
    </w:p>
  </w:footnote>
  <w:footnote w:id="8335">
    <w:p>
      <w:pPr>
        <w:pStyle w:val="FootnoteText"/>
      </w:pPr>
      <w:r>
        <w:rPr>
          <w:rStyle w:val="FootnoteReference"/>
        </w:rPr>
        <w:footnoteRef/>
      </w:r>
      <w:r>
        <w:t xml:space="preserve"> Personal name: Jeiel. Personal-name meaning: Jeiel — sprinkling of the Lord. Source form: Jeiel.</w:t>
      </w:r>
    </w:p>
  </w:footnote>
  <w:footnote w:id="8336">
    <w:p>
      <w:pPr>
        <w:pStyle w:val="FootnoteText"/>
      </w:pPr>
      <w:r>
        <w:rPr>
          <w:rStyle w:val="FootnoteReference"/>
        </w:rPr>
        <w:footnoteRef/>
      </w:r>
      <w:r>
        <w:t xml:space="preserve"> Cross-references for "alamoth": Ps 46:1.</w:t>
      </w:r>
    </w:p>
  </w:footnote>
  <w:footnote w:id="8337">
    <w:p>
      <w:pPr>
        <w:pStyle w:val="FootnoteText"/>
      </w:pPr>
      <w:r>
        <w:rPr>
          <w:rStyle w:val="FootnoteReference"/>
        </w:rPr>
        <w:footnoteRef/>
      </w:r>
      <w:r>
        <w:t xml:space="preserve"> Personal name: Mattathias. Personal-name meaning: Mattathias — the gift of the Lord. Source form: Mattathias.</w:t>
      </w:r>
    </w:p>
  </w:footnote>
  <w:footnote w:id="8338">
    <w:p>
      <w:pPr>
        <w:pStyle w:val="FootnoteText"/>
      </w:pPr>
      <w:r>
        <w:rPr>
          <w:rStyle w:val="FootnoteReference"/>
        </w:rPr>
        <w:footnoteRef/>
      </w:r>
      <w:r>
        <w:t xml:space="preserve"> Personal name: Chenaniah. Personal-name meaning: Chenaniah — preparation, or disposition, or strength, of the Lord. Source form: Chenaniah.</w:t>
      </w:r>
    </w:p>
  </w:footnote>
  <w:footnote w:id="8339">
    <w:p>
      <w:pPr>
        <w:pStyle w:val="FootnoteText"/>
      </w:pPr>
      <w:r>
        <w:rPr>
          <w:rStyle w:val="FootnoteReference"/>
        </w:rPr>
        <w:footnoteRef/>
      </w:r>
      <w:r>
        <w:t xml:space="preserve"> Personal name: Shebaniah. Personal-name meaning: Shebaniah — the Lord that converts, or recalls from captivity. Source form: Shebaniah.</w:t>
      </w:r>
    </w:p>
  </w:footnote>
  <w:footnote w:id="8340">
    <w:p>
      <w:pPr>
        <w:pStyle w:val="FootnoteText"/>
      </w:pPr>
      <w:r>
        <w:rPr>
          <w:rStyle w:val="FootnoteReference"/>
        </w:rPr>
        <w:footnoteRef/>
      </w:r>
      <w:r>
        <w:t xml:space="preserve"> Cross-references for "the priests": Num 10:8; 1Chr 16:6.</w:t>
      </w:r>
    </w:p>
  </w:footnote>
  <w:footnote w:id="8341">
    <w:p>
      <w:pPr>
        <w:pStyle w:val="FootnoteText"/>
      </w:pPr>
      <w:r>
        <w:rPr>
          <w:rStyle w:val="FootnoteReference"/>
        </w:rPr>
        <w:footnoteRef/>
      </w:r>
      <w:r>
        <w:t xml:space="preserve"> Cross-references for "David": 2Sam 6:12; 2Sam 6:13-23.</w:t>
      </w:r>
    </w:p>
  </w:footnote>
  <w:footnote w:id="8342">
    <w:p>
      <w:pPr>
        <w:pStyle w:val="FootnoteText"/>
      </w:pPr>
      <w:r>
        <w:rPr>
          <w:rStyle w:val="FootnoteReference"/>
        </w:rPr>
        <w:footnoteRef/>
      </w:r>
      <w:r>
        <w:t xml:space="preserve"> Cross-references for "Chenaniah": 1Chr 15:22.</w:t>
      </w:r>
    </w:p>
  </w:footnote>
  <w:footnote w:id="8343">
    <w:p>
      <w:pPr>
        <w:pStyle w:val="FootnoteText"/>
      </w:pPr>
      <w:r>
        <w:rPr>
          <w:rStyle w:val="FootnoteReference"/>
        </w:rPr>
        <w:footnoteRef/>
      </w:r>
      <w:r>
        <w:t xml:space="preserve"> Cross-references for "Michal": 1Sam 18:27-28; 1Sam 19:11-17.</w:t>
      </w:r>
    </w:p>
  </w:footnote>
  <w:footnote w:id="8344">
    <w:p>
      <w:pPr>
        <w:pStyle w:val="FootnoteText"/>
      </w:pPr>
      <w:r>
        <w:rPr>
          <w:rStyle w:val="FootnoteReference"/>
        </w:rPr>
        <w:footnoteRef/>
      </w:r>
      <w:r>
        <w:t xml:space="preserve"> Translation note: The Greek says Michal despised David in her soul. The current wording keeps that inner-language explicit rather than reducing it to a generic attitude.</w:t>
      </w:r>
    </w:p>
  </w:footnote>
  <w:footnote w:id="8345">
    <w:p>
      <w:pPr>
        <w:pStyle w:val="FootnoteText"/>
      </w:pPr>
      <w:r>
        <w:rPr>
          <w:rStyle w:val="FootnoteReference"/>
        </w:rPr>
        <w:footnoteRef/>
      </w:r>
      <w:r>
        <w:t xml:space="preserve"> Cross-references for "they brought": 2Sam 6:17-19; 1Kgs 8:6.</w:t>
      </w:r>
    </w:p>
  </w:footnote>
  <w:footnote w:id="8346">
    <w:p>
      <w:pPr>
        <w:pStyle w:val="FootnoteText"/>
      </w:pPr>
      <w:r>
        <w:rPr>
          <w:rStyle w:val="FootnoteReference"/>
        </w:rPr>
        <w:footnoteRef/>
      </w:r>
      <w:r>
        <w:t xml:space="preserve"> Cross-references for "he appointed": 1Chr 15:16; 1Chr 23:2-6.</w:t>
      </w:r>
    </w:p>
  </w:footnote>
  <w:footnote w:id="8347">
    <w:p>
      <w:pPr>
        <w:pStyle w:val="FootnoteText"/>
      </w:pPr>
      <w:r>
        <w:rPr>
          <w:rStyle w:val="FootnoteReference"/>
        </w:rPr>
        <w:footnoteRef/>
      </w:r>
      <w:r>
        <w:t xml:space="preserve"> Cross-references for "Asaph": 1Chr 6:39; 1Chr 15:16-24.</w:t>
      </w:r>
    </w:p>
  </w:footnote>
  <w:footnote w:id="8348">
    <w:p>
      <w:pPr>
        <w:pStyle w:val="FootnoteText"/>
      </w:pPr>
      <w:r>
        <w:rPr>
          <w:rStyle w:val="FootnoteReference"/>
        </w:rPr>
        <w:footnoteRef/>
      </w:r>
      <w:r>
        <w:t xml:space="preserve"> Translation note: Greek gives a direct rank relation for Zacharias. The translation keeps that structure instead of smoothing it to next to him.</w:t>
      </w:r>
    </w:p>
  </w:footnote>
  <w:footnote w:id="8349">
    <w:p>
      <w:pPr>
        <w:pStyle w:val="FootnoteText"/>
      </w:pPr>
      <w:r>
        <w:rPr>
          <w:rStyle w:val="FootnoteReference"/>
        </w:rPr>
        <w:footnoteRef/>
      </w:r>
      <w:r>
        <w:t xml:space="preserve"> Translation note: Greek gives a compact service notice here. Current wording preserves the continual-before-the-ark wording.</w:t>
      </w:r>
    </w:p>
  </w:footnote>
  <w:footnote w:id="8350">
    <w:p>
      <w:pPr>
        <w:pStyle w:val="FootnoteText"/>
      </w:pPr>
      <w:r>
        <w:rPr>
          <w:rStyle w:val="FootnoteReference"/>
        </w:rPr>
        <w:footnoteRef/>
      </w:r>
      <w:r>
        <w:t xml:space="preserve"> Cross-references for "with trumpets": Num 10:8; 2Chr 5:12-13.</w:t>
      </w:r>
    </w:p>
  </w:footnote>
  <w:footnote w:id="8351">
    <w:p>
      <w:pPr>
        <w:pStyle w:val="FootnoteText"/>
      </w:pPr>
      <w:r>
        <w:rPr>
          <w:rStyle w:val="FootnoteReference"/>
        </w:rPr>
        <w:footnoteRef/>
      </w:r>
      <w:r>
        <w:t xml:space="preserve"> Cross-references for "On that day": 2Sam 22:1; 2Sam 23:1-2.</w:t>
      </w:r>
    </w:p>
  </w:footnote>
  <w:footnote w:id="8352">
    <w:p>
      <w:pPr>
        <w:pStyle w:val="FootnoteText"/>
      </w:pPr>
      <w:r>
        <w:rPr>
          <w:rStyle w:val="FootnoteReference"/>
        </w:rPr>
        <w:footnoteRef/>
      </w:r>
      <w:r>
        <w:t xml:space="preserve"> Cross-references for "Give thanks": 1Chr 16:22-23; 1Chr 16:33.</w:t>
      </w:r>
    </w:p>
  </w:footnote>
  <w:footnote w:id="8353">
    <w:p>
      <w:pPr>
        <w:pStyle w:val="FootnoteText"/>
      </w:pPr>
      <w:r>
        <w:rPr>
          <w:rStyle w:val="FootnoteReference"/>
        </w:rPr>
        <w:footnoteRef/>
      </w:r>
      <w:r>
        <w:t xml:space="preserve"> Cross-references for "Seek": Amos 5:6; Zeph 2:2-3.</w:t>
      </w:r>
    </w:p>
  </w:footnote>
  <w:footnote w:id="8354">
    <w:p>
      <w:pPr>
        <w:pStyle w:val="FootnoteText"/>
      </w:pPr>
      <w:r>
        <w:rPr>
          <w:rStyle w:val="FootnoteReference"/>
        </w:rPr>
        <w:footnoteRef/>
      </w:r>
      <w:r>
        <w:t xml:space="preserve"> Cross-references for "Remember": 1Chr 16:8-9; Ps 103:2.</w:t>
      </w:r>
    </w:p>
  </w:footnote>
  <w:footnote w:id="8355">
    <w:p>
      <w:pPr>
        <w:pStyle w:val="FootnoteText"/>
      </w:pPr>
      <w:r>
        <w:rPr>
          <w:rStyle w:val="FootnoteReference"/>
        </w:rPr>
        <w:footnoteRef/>
      </w:r>
      <w:r>
        <w:t xml:space="preserve"> Cross-references for "his chosen": Exod 19:5-6; Deut 7:6.</w:t>
      </w:r>
    </w:p>
  </w:footnote>
  <w:footnote w:id="8356">
    <w:p>
      <w:pPr>
        <w:pStyle w:val="FootnoteText"/>
      </w:pPr>
      <w:r>
        <w:rPr>
          <w:rStyle w:val="FootnoteReference"/>
        </w:rPr>
        <w:footnoteRef/>
      </w:r>
      <w:r>
        <w:t xml:space="preserve"> Cross-references for "the Lord": Exod 15:2; Ps 63:1.</w:t>
      </w:r>
    </w:p>
  </w:footnote>
  <w:footnote w:id="8357">
    <w:p>
      <w:pPr>
        <w:pStyle w:val="FootnoteText"/>
      </w:pPr>
      <w:r>
        <w:rPr>
          <w:rStyle w:val="FootnoteReference"/>
        </w:rPr>
        <w:footnoteRef/>
      </w:r>
      <w:r>
        <w:t xml:space="preserve"> Cross-references for "inheritance": Num 26:53-56; Deut 32:8.</w:t>
      </w:r>
    </w:p>
  </w:footnote>
  <w:footnote w:id="8358">
    <w:p>
      <w:pPr>
        <w:pStyle w:val="FootnoteText"/>
      </w:pPr>
      <w:r>
        <w:rPr>
          <w:rStyle w:val="FootnoteReference"/>
        </w:rPr>
        <w:footnoteRef/>
      </w:r>
      <w:r>
        <w:t xml:space="preserve"> Cross-references for "they went": Gen 12:10; Gen 20:1.</w:t>
      </w:r>
    </w:p>
  </w:footnote>
  <w:footnote w:id="8359">
    <w:p>
      <w:pPr>
        <w:pStyle w:val="FootnoteText"/>
      </w:pPr>
      <w:r>
        <w:rPr>
          <w:rStyle w:val="FootnoteReference"/>
        </w:rPr>
        <w:footnoteRef/>
      </w:r>
      <w:r>
        <w:t xml:space="preserve"> Cross-references for "touch": 1Kgs 19:16; Ps 105:15.</w:t>
      </w:r>
    </w:p>
  </w:footnote>
  <w:footnote w:id="8360">
    <w:p>
      <w:pPr>
        <w:pStyle w:val="FootnoteText"/>
      </w:pPr>
      <w:r>
        <w:rPr>
          <w:rStyle w:val="FootnoteReference"/>
        </w:rPr>
        <w:footnoteRef/>
      </w:r>
      <w:r>
        <w:t xml:space="preserve"> Cross-references for "Sing": Exod 15:21; 1Chr 16:9.</w:t>
      </w:r>
    </w:p>
  </w:footnote>
  <w:footnote w:id="8361">
    <w:p>
      <w:pPr>
        <w:pStyle w:val="FootnoteText"/>
      </w:pPr>
      <w:r>
        <w:rPr>
          <w:rStyle w:val="FootnoteReference"/>
        </w:rPr>
        <w:footnoteRef/>
      </w:r>
      <w:r>
        <w:t xml:space="preserve"> Translation note: Greek says glory and praise are before him.</w:t>
      </w:r>
    </w:p>
  </w:footnote>
  <w:footnote w:id="8362">
    <w:p>
      <w:pPr>
        <w:pStyle w:val="FootnoteText"/>
      </w:pPr>
      <w:r>
        <w:rPr>
          <w:rStyle w:val="FootnoteReference"/>
        </w:rPr>
        <w:footnoteRef/>
      </w:r>
      <w:r>
        <w:t xml:space="preserve"> Cross-references for "Glory": Ps 8:1; Ps 16:11.</w:t>
      </w:r>
    </w:p>
  </w:footnote>
  <w:footnote w:id="8363">
    <w:p>
      <w:pPr>
        <w:pStyle w:val="FootnoteText"/>
      </w:pPr>
      <w:r>
        <w:rPr>
          <w:rStyle w:val="FootnoteReference"/>
        </w:rPr>
        <w:footnoteRef/>
      </w:r>
      <w:r>
        <w:t xml:space="preserve"> Cross-references for "Give": Ps 29:1-2; Ps 68:34.</w:t>
      </w:r>
    </w:p>
  </w:footnote>
  <w:footnote w:id="8364">
    <w:p>
      <w:pPr>
        <w:pStyle w:val="FootnoteText"/>
      </w:pPr>
      <w:r>
        <w:rPr>
          <w:rStyle w:val="FootnoteReference"/>
        </w:rPr>
        <w:footnoteRef/>
      </w:r>
      <w:r>
        <w:t xml:space="preserve"> Cross-references for "bring": 1Kgs 8:41-43; Ps 68:30-31.</w:t>
      </w:r>
    </w:p>
  </w:footnote>
  <w:footnote w:id="8365">
    <w:p>
      <w:pPr>
        <w:pStyle w:val="FootnoteText"/>
      </w:pPr>
      <w:r>
        <w:rPr>
          <w:rStyle w:val="FootnoteReference"/>
        </w:rPr>
        <w:footnoteRef/>
      </w:r>
      <w:r>
        <w:t xml:space="preserve"> Cross-references for "before him": 1Chr 16:23; 1Chr 16:25.</w:t>
      </w:r>
    </w:p>
  </w:footnote>
  <w:footnote w:id="8366">
    <w:p>
      <w:pPr>
        <w:pStyle w:val="FootnoteText"/>
      </w:pPr>
      <w:r>
        <w:rPr>
          <w:rStyle w:val="FootnoteReference"/>
        </w:rPr>
        <w:footnoteRef/>
      </w:r>
      <w:r>
        <w:t xml:space="preserve"> Cross-references for "the Lord": Ps 93:1-2; Ps 96:10.</w:t>
      </w:r>
    </w:p>
  </w:footnote>
  <w:footnote w:id="8367">
    <w:p>
      <w:pPr>
        <w:pStyle w:val="FootnoteText"/>
      </w:pPr>
      <w:r>
        <w:rPr>
          <w:rStyle w:val="FootnoteReference"/>
        </w:rPr>
        <w:footnoteRef/>
      </w:r>
      <w:r>
        <w:t xml:space="preserve"> Cross-references for "Give thanks": 2Chr 5:13; 2Chr 7:3.</w:t>
      </w:r>
    </w:p>
  </w:footnote>
  <w:footnote w:id="8368">
    <w:p>
      <w:pPr>
        <w:pStyle w:val="FootnoteText"/>
      </w:pPr>
      <w:r>
        <w:rPr>
          <w:rStyle w:val="FootnoteReference"/>
        </w:rPr>
        <w:footnoteRef/>
      </w:r>
      <w:r>
        <w:t xml:space="preserve"> Cross-references for "Save us": Ps 14:7; Ps 53:6.</w:t>
      </w:r>
    </w:p>
  </w:footnote>
  <w:footnote w:id="8369">
    <w:p>
      <w:pPr>
        <w:pStyle w:val="FootnoteText"/>
      </w:pPr>
      <w:r>
        <w:rPr>
          <w:rStyle w:val="FootnoteReference"/>
        </w:rPr>
        <w:footnoteRef/>
      </w:r>
      <w:r>
        <w:t xml:space="preserve"> Translation note: The Greek uses the salvation genitive directly. The current wording keeps that formula close to the source-row line.</w:t>
      </w:r>
    </w:p>
  </w:footnote>
  <w:footnote w:id="8370">
    <w:p>
      <w:pPr>
        <w:pStyle w:val="FootnoteText"/>
      </w:pPr>
      <w:r>
        <w:rPr>
          <w:rStyle w:val="FootnoteReference"/>
        </w:rPr>
        <w:footnoteRef/>
      </w:r>
      <w:r>
        <w:t xml:space="preserve"> Translation note: Greek uses an age-unto-age blessing formula. Current wording preserves it.</w:t>
      </w:r>
    </w:p>
  </w:footnote>
  <w:footnote w:id="8371">
    <w:p>
      <w:pPr>
        <w:pStyle w:val="FootnoteText"/>
      </w:pPr>
      <w:r>
        <w:rPr>
          <w:rStyle w:val="FootnoteReference"/>
        </w:rPr>
        <w:footnoteRef/>
      </w:r>
      <w:r>
        <w:t xml:space="preserve"> Cross-references for "Blessed": 1Kgs 8:15; 1Kgs 8:56.</w:t>
      </w:r>
    </w:p>
  </w:footnote>
  <w:footnote w:id="8372">
    <w:p>
      <w:pPr>
        <w:pStyle w:val="FootnoteText"/>
      </w:pPr>
      <w:r>
        <w:rPr>
          <w:rStyle w:val="FootnoteReference"/>
        </w:rPr>
        <w:footnoteRef/>
      </w:r>
      <w:r>
        <w:t xml:space="preserve"> Cross-references for "before the ark": 1Chr 15:17-24; 1Chr 16:4-6.</w:t>
      </w:r>
    </w:p>
  </w:footnote>
  <w:footnote w:id="8373">
    <w:p>
      <w:pPr>
        <w:pStyle w:val="FootnoteText"/>
      </w:pPr>
      <w:r>
        <w:rPr>
          <w:rStyle w:val="FootnoteReference"/>
        </w:rPr>
        <w:footnoteRef/>
      </w:r>
      <w:r>
        <w:t xml:space="preserve"> Translation note: Greek keeps the day-by-day service formula compact. Current wording preserves that liturgical line.</w:t>
      </w:r>
    </w:p>
  </w:footnote>
  <w:footnote w:id="8374">
    <w:p>
      <w:pPr>
        <w:pStyle w:val="FootnoteText"/>
      </w:pPr>
      <w:r>
        <w:rPr>
          <w:rStyle w:val="FootnoteReference"/>
        </w:rPr>
        <w:footnoteRef/>
      </w:r>
      <w:r>
        <w:t xml:space="preserve"> Cross-references for "Obededom": 1Chr 13:14; 1Chr 26:4-8.</w:t>
      </w:r>
    </w:p>
  </w:footnote>
  <w:footnote w:id="8375">
    <w:p>
      <w:pPr>
        <w:pStyle w:val="FootnoteText"/>
      </w:pPr>
      <w:r>
        <w:rPr>
          <w:rStyle w:val="FootnoteReference"/>
        </w:rPr>
        <w:footnoteRef/>
      </w:r>
      <w:r>
        <w:t xml:space="preserve"> Transliterated proper noun: Ossa. Standard English equivalent: Hosah. Source form: Ossa. Greek form: οσσα. Name meaning: trusting.</w:t>
      </w:r>
    </w:p>
  </w:footnote>
  <w:footnote w:id="8376">
    <w:p>
      <w:pPr>
        <w:pStyle w:val="FootnoteText"/>
      </w:pPr>
      <w:r>
        <w:rPr>
          <w:rStyle w:val="FootnoteReference"/>
        </w:rPr>
        <w:footnoteRef/>
      </w:r>
      <w:r>
        <w:t xml:space="preserve"> Cross-references for "Zadok": 1Chr 12:28.</w:t>
      </w:r>
    </w:p>
  </w:footnote>
  <w:footnote w:id="8377">
    <w:p>
      <w:pPr>
        <w:pStyle w:val="FootnoteText"/>
      </w:pPr>
      <w:r>
        <w:rPr>
          <w:rStyle w:val="FootnoteReference"/>
        </w:rPr>
        <w:footnoteRef/>
      </w:r>
      <w:r>
        <w:t xml:space="preserve"> Cross-references for "to offer": Exod 29:38-42; Num 28:3-8.</w:t>
      </w:r>
    </w:p>
  </w:footnote>
  <w:footnote w:id="8378">
    <w:p>
      <w:pPr>
        <w:pStyle w:val="FootnoteText"/>
      </w:pPr>
      <w:r>
        <w:rPr>
          <w:rStyle w:val="FootnoteReference"/>
        </w:rPr>
        <w:footnoteRef/>
      </w:r>
      <w:r>
        <w:t xml:space="preserve"> Translation note: The Greek stresses the full written scope of the cultic pattern. English LXX witnesses materially support the current comprehensive wording.</w:t>
      </w:r>
    </w:p>
  </w:footnote>
  <w:footnote w:id="8379">
    <w:p>
      <w:pPr>
        <w:pStyle w:val="FootnoteText"/>
      </w:pPr>
      <w:r>
        <w:rPr>
          <w:rStyle w:val="FootnoteReference"/>
        </w:rPr>
        <w:footnoteRef/>
      </w:r>
      <w:r>
        <w:t xml:space="preserve"> Cross-references for "Heman": 1Chr 6:39-47; 1Chr 16:37.</w:t>
      </w:r>
    </w:p>
  </w:footnote>
  <w:footnote w:id="8380">
    <w:p>
      <w:pPr>
        <w:pStyle w:val="FootnoteText"/>
      </w:pPr>
      <w:r>
        <w:rPr>
          <w:rStyle w:val="FootnoteReference"/>
        </w:rPr>
        <w:footnoteRef/>
      </w:r>
      <w:r>
        <w:t xml:space="preserve"> Cross-references for "trumpets": 2Chr 29:25-28; Ps 150:3-6.</w:t>
      </w:r>
    </w:p>
  </w:footnote>
  <w:footnote w:id="8381">
    <w:p>
      <w:pPr>
        <w:pStyle w:val="FootnoteText"/>
      </w:pPr>
      <w:r>
        <w:rPr>
          <w:rStyle w:val="FootnoteReference"/>
        </w:rPr>
        <w:footnoteRef/>
      </w:r>
      <w:r>
        <w:t xml:space="preserve"> Cross-references for "all the people": 2Sam 6:19-20; 1Kgs 8:66.</w:t>
      </w:r>
    </w:p>
  </w:footnote>
  <w:footnote w:id="8382">
    <w:p>
      <w:pPr>
        <w:pStyle w:val="FootnoteText"/>
      </w:pPr>
      <w:r>
        <w:rPr>
          <w:rStyle w:val="FootnoteReference"/>
        </w:rPr>
        <w:footnoteRef/>
      </w:r>
      <w:r>
        <w:t xml:space="preserve"> Cross-references for "as David": 2Sam 7:1; 2Sam 7:2-17.</w:t>
      </w:r>
    </w:p>
  </w:footnote>
  <w:footnote w:id="8383">
    <w:p>
      <w:pPr>
        <w:pStyle w:val="FootnoteText"/>
      </w:pPr>
      <w:r>
        <w:rPr>
          <w:rStyle w:val="FootnoteReference"/>
        </w:rPr>
        <w:footnoteRef/>
      </w:r>
      <w:r>
        <w:t xml:space="preserve"> Cross-references for "Do all": Josh 9:14; 1Sam 16:7.</w:t>
      </w:r>
    </w:p>
  </w:footnote>
  <w:footnote w:id="8384">
    <w:p>
      <w:pPr>
        <w:pStyle w:val="FootnoteText"/>
      </w:pPr>
      <w:r>
        <w:rPr>
          <w:rStyle w:val="FootnoteReference"/>
        </w:rPr>
        <w:footnoteRef/>
      </w:r>
      <w:r>
        <w:t xml:space="preserve"> Cross-references for "dwelt": 2Sam 7:6; 1Kgs 8:27.</w:t>
      </w:r>
    </w:p>
  </w:footnote>
  <w:footnote w:id="8385">
    <w:p>
      <w:pPr>
        <w:pStyle w:val="FootnoteText"/>
      </w:pPr>
      <w:r>
        <w:rPr>
          <w:rStyle w:val="FootnoteReference"/>
        </w:rPr>
        <w:footnoteRef/>
      </w:r>
      <w:r>
        <w:t xml:space="preserve"> Translation note: Greek has a doubled source phrase: from the fold, from behind the sheep. The translation keeps both parts with English articles.</w:t>
      </w:r>
    </w:p>
  </w:footnote>
  <w:footnote w:id="8386">
    <w:p>
      <w:pPr>
        <w:pStyle w:val="FootnoteText"/>
      </w:pPr>
      <w:r>
        <w:rPr>
          <w:rStyle w:val="FootnoteReference"/>
        </w:rPr>
        <w:footnoteRef/>
      </w:r>
      <w:r>
        <w:t xml:space="preserve"> Cross-references for "ruler": 2Sam 6:21; Matt 2:6.</w:t>
      </w:r>
    </w:p>
  </w:footnote>
  <w:footnote w:id="8387">
    <w:p>
      <w:pPr>
        <w:pStyle w:val="FootnoteText"/>
      </w:pPr>
      <w:r>
        <w:rPr>
          <w:rStyle w:val="FootnoteReference"/>
        </w:rPr>
        <w:footnoteRef/>
      </w:r>
      <w:r>
        <w:t xml:space="preserve"> Cross-references for "plant": Ps 44:2; Ps 92:13.</w:t>
      </w:r>
    </w:p>
  </w:footnote>
  <w:footnote w:id="8388">
    <w:p>
      <w:pPr>
        <w:pStyle w:val="FootnoteText"/>
      </w:pPr>
      <w:r>
        <w:rPr>
          <w:rStyle w:val="FootnoteReference"/>
        </w:rPr>
        <w:footnoteRef/>
      </w:r>
      <w:r>
        <w:t xml:space="preserve"> Translation note: Greek says not be anxious anymore here. Current line keeps that wording.</w:t>
      </w:r>
    </w:p>
  </w:footnote>
  <w:footnote w:id="8389">
    <w:p>
      <w:pPr>
        <w:pStyle w:val="FootnoteText"/>
      </w:pPr>
      <w:r>
        <w:rPr>
          <w:rStyle w:val="FootnoteReference"/>
        </w:rPr>
        <w:footnoteRef/>
      </w:r>
      <w:r>
        <w:t xml:space="preserve"> Cross-references for "the Lord": Exod 1:21; 2Sam 7:11.</w:t>
      </w:r>
    </w:p>
  </w:footnote>
  <w:footnote w:id="8390">
    <w:p>
      <w:pPr>
        <w:pStyle w:val="FootnoteText"/>
      </w:pPr>
      <w:r>
        <w:rPr>
          <w:rStyle w:val="FootnoteReference"/>
        </w:rPr>
        <w:footnoteRef/>
      </w:r>
      <w:r>
        <w:t xml:space="preserve"> Cross-references for "I will raise": 2Sam 7:12-13; 2Sam 12:24-25.</w:t>
      </w:r>
    </w:p>
  </w:footnote>
  <w:footnote w:id="8391">
    <w:p>
      <w:pPr>
        <w:pStyle w:val="FootnoteText"/>
      </w:pPr>
      <w:r>
        <w:rPr>
          <w:rStyle w:val="FootnoteReference"/>
        </w:rPr>
        <w:footnoteRef/>
      </w:r>
      <w:r>
        <w:t xml:space="preserve"> Cross-references for "He shall": 1Kgs 5:5; 1Chr 22:9-10.</w:t>
      </w:r>
    </w:p>
  </w:footnote>
  <w:footnote w:id="8392">
    <w:p>
      <w:pPr>
        <w:pStyle w:val="FootnoteText"/>
      </w:pPr>
      <w:r>
        <w:rPr>
          <w:rStyle w:val="FootnoteReference"/>
        </w:rPr>
        <w:footnoteRef/>
      </w:r>
      <w:r>
        <w:t xml:space="preserve"> Cross-references for "I will be": 2Sam 7:14; Ps 89:26-28.</w:t>
      </w:r>
    </w:p>
  </w:footnote>
  <w:footnote w:id="8393">
    <w:p>
      <w:pPr>
        <w:pStyle w:val="FootnoteText"/>
      </w:pPr>
      <w:r>
        <w:rPr>
          <w:rStyle w:val="FootnoteReference"/>
        </w:rPr>
        <w:footnoteRef/>
      </w:r>
      <w:r>
        <w:t xml:space="preserve"> Cross-references for "sat before": 2Sam 7:18; 2Kgs 19:14.</w:t>
      </w:r>
    </w:p>
  </w:footnote>
  <w:footnote w:id="8394">
    <w:p>
      <w:pPr>
        <w:pStyle w:val="FootnoteText"/>
      </w:pPr>
      <w:r>
        <w:rPr>
          <w:rStyle w:val="FootnoteReference"/>
        </w:rPr>
        <w:footnoteRef/>
      </w:r>
      <w:r>
        <w:t xml:space="preserve"> Translation note: Greek says you looked upon me as vision of man.</w:t>
      </w:r>
    </w:p>
  </w:footnote>
  <w:footnote w:id="8395">
    <w:p>
      <w:pPr>
        <w:pStyle w:val="FootnoteText"/>
      </w:pPr>
      <w:r>
        <w:rPr>
          <w:rStyle w:val="FootnoteReference"/>
        </w:rPr>
        <w:footnoteRef/>
      </w:r>
      <w:r>
        <w:t xml:space="preserve"> Cross-references for "none": Exod 15:11; Exod 18:11.</w:t>
      </w:r>
    </w:p>
  </w:footnote>
  <w:footnote w:id="8396">
    <w:p>
      <w:pPr>
        <w:pStyle w:val="FootnoteText"/>
      </w:pPr>
      <w:r>
        <w:rPr>
          <w:rStyle w:val="FootnoteReference"/>
        </w:rPr>
        <w:footnoteRef/>
      </w:r>
      <w:r>
        <w:t xml:space="preserve"> Cross-references for "redeem": Exod 3:7-8; Exod 19:4-6.</w:t>
      </w:r>
    </w:p>
  </w:footnote>
  <w:footnote w:id="8397">
    <w:p>
      <w:pPr>
        <w:pStyle w:val="FootnoteText"/>
      </w:pPr>
      <w:r>
        <w:rPr>
          <w:rStyle w:val="FootnoteReference"/>
        </w:rPr>
        <w:footnoteRef/>
      </w:r>
      <w:r>
        <w:t xml:space="preserve"> Translation note: Greek uses an adjective meaning manifest or conspicuous. The translation keeps that word rather than the smoother glorious.</w:t>
      </w:r>
    </w:p>
  </w:footnote>
  <w:footnote w:id="8398">
    <w:p>
      <w:pPr>
        <w:pStyle w:val="FootnoteText"/>
      </w:pPr>
      <w:r>
        <w:rPr>
          <w:rStyle w:val="FootnoteReference"/>
        </w:rPr>
        <w:footnoteRef/>
      </w:r>
      <w:r>
        <w:t xml:space="preserve"> Translation note: Greek opens with let them say here.</w:t>
      </w:r>
    </w:p>
  </w:footnote>
  <w:footnote w:id="8399">
    <w:p>
      <w:pPr>
        <w:pStyle w:val="FootnoteText"/>
      </w:pPr>
      <w:r>
        <w:rPr>
          <w:rStyle w:val="FootnoteReference"/>
        </w:rPr>
        <w:footnoteRef/>
      </w:r>
      <w:r>
        <w:t xml:space="preserve"> Cross-references for "and let": Ps 90:17.</w:t>
      </w:r>
    </w:p>
  </w:footnote>
  <w:footnote w:id="8400">
    <w:p>
      <w:pPr>
        <w:pStyle w:val="FootnoteText"/>
      </w:pPr>
      <w:r>
        <w:rPr>
          <w:rStyle w:val="FootnoteReference"/>
        </w:rPr>
        <w:footnoteRef/>
      </w:r>
      <w:r>
        <w:t xml:space="preserve"> Cross-references for "found": Ps 10:17; Ezek 36:37.</w:t>
      </w:r>
    </w:p>
  </w:footnote>
  <w:footnote w:id="8401">
    <w:p>
      <w:pPr>
        <w:pStyle w:val="FootnoteText"/>
      </w:pPr>
      <w:r>
        <w:rPr>
          <w:rStyle w:val="FootnoteReference"/>
        </w:rPr>
        <w:footnoteRef/>
      </w:r>
      <w:r>
        <w:t xml:space="preserve"> Cross-references for "Gath": 1Sam 5:8; 1Sam 27:4.</w:t>
      </w:r>
    </w:p>
  </w:footnote>
  <w:footnote w:id="8402">
    <w:p>
      <w:pPr>
        <w:pStyle w:val="FootnoteText"/>
      </w:pPr>
      <w:r>
        <w:rPr>
          <w:rStyle w:val="FootnoteReference"/>
        </w:rPr>
        <w:footnoteRef/>
      </w:r>
      <w:r>
        <w:t xml:space="preserve"> Cross-references for "Hadarezer": 2Sam 8:3.</w:t>
      </w:r>
    </w:p>
  </w:footnote>
  <w:footnote w:id="8403">
    <w:p>
      <w:pPr>
        <w:pStyle w:val="FootnoteText"/>
      </w:pPr>
      <w:r>
        <w:rPr>
          <w:rStyle w:val="FootnoteReference"/>
        </w:rPr>
        <w:footnoteRef/>
      </w:r>
      <w:r>
        <w:t xml:space="preserve"> Place name: Zobah-Hamath. Place-name meaning: Hamath — anger; heat; a wall. Standard English equivalent: Hamath. Source form: Zobah-Hamath. Greek form: ημαθ.</w:t>
      </w:r>
    </w:p>
  </w:footnote>
  <w:footnote w:id="8404">
    <w:p>
      <w:pPr>
        <w:pStyle w:val="FootnoteText"/>
      </w:pPr>
      <w:r>
        <w:rPr>
          <w:rStyle w:val="FootnoteReference"/>
        </w:rPr>
        <w:footnoteRef/>
      </w:r>
      <w:r>
        <w:t xml:space="preserve"> Place name: Souba. Place-name meaning: Zobah — an army; warring. Standard English equivalent: Zobah. Source form: Souba. Greek form: σουβα.</w:t>
      </w:r>
    </w:p>
  </w:footnote>
  <w:footnote w:id="8405">
    <w:p>
      <w:pPr>
        <w:pStyle w:val="FootnoteText"/>
      </w:pPr>
      <w:r>
        <w:rPr>
          <w:rStyle w:val="FootnoteReference"/>
        </w:rPr>
        <w:footnoteRef/>
      </w:r>
      <w:r>
        <w:t xml:space="preserve"> Cross-references for "seven thousand": 2Sam 8:4.</w:t>
      </w:r>
    </w:p>
  </w:footnote>
  <w:footnote w:id="8406">
    <w:p>
      <w:pPr>
        <w:pStyle w:val="FootnoteText"/>
      </w:pPr>
      <w:r>
        <w:rPr>
          <w:rStyle w:val="FootnoteReference"/>
        </w:rPr>
        <w:footnoteRef/>
      </w:r>
      <w:r>
        <w:t xml:space="preserve"> Cross-references for "to help": Isa 8:9-10.</w:t>
      </w:r>
    </w:p>
  </w:footnote>
  <w:footnote w:id="8407">
    <w:p>
      <w:pPr>
        <w:pStyle w:val="FootnoteText"/>
      </w:pPr>
      <w:r>
        <w:rPr>
          <w:rStyle w:val="FootnoteReference"/>
        </w:rPr>
        <w:footnoteRef/>
      </w:r>
      <w:r>
        <w:t xml:space="preserve"> Place name: Tibhath. Place-name meaning: Tibhath — slaughter; security. Source form: Tibhath. Greek form: τα.</w:t>
      </w:r>
    </w:p>
  </w:footnote>
  <w:footnote w:id="8408">
    <w:p>
      <w:pPr>
        <w:pStyle w:val="FootnoteText"/>
      </w:pPr>
      <w:r>
        <w:rPr>
          <w:rStyle w:val="FootnoteReference"/>
        </w:rPr>
        <w:footnoteRef/>
      </w:r>
      <w:r>
        <w:t xml:space="preserve"> Cross-references for "Tibhath": 2Sam 8:8.</w:t>
      </w:r>
    </w:p>
  </w:footnote>
  <w:footnote w:id="8409">
    <w:p>
      <w:pPr>
        <w:pStyle w:val="FootnoteText"/>
      </w:pPr>
      <w:r>
        <w:rPr>
          <w:rStyle w:val="FootnoteReference"/>
        </w:rPr>
        <w:footnoteRef/>
      </w:r>
      <w:r>
        <w:t xml:space="preserve"> Transliterated proper noun: Tou. Standard English equivalent: Tou. Source form: Tou. Greek form: θωα. Name meaning: living; declaring.</w:t>
      </w:r>
    </w:p>
  </w:footnote>
  <w:footnote w:id="8410">
    <w:p>
      <w:pPr>
        <w:pStyle w:val="FootnoteText"/>
      </w:pPr>
      <w:r>
        <w:rPr>
          <w:rStyle w:val="FootnoteReference"/>
        </w:rPr>
        <w:footnoteRef/>
      </w:r>
      <w:r>
        <w:t xml:space="preserve"> Cross-references for "Hadoram": 2Sam 8:10.</w:t>
      </w:r>
    </w:p>
  </w:footnote>
  <w:footnote w:id="8411">
    <w:p>
      <w:pPr>
        <w:pStyle w:val="FootnoteText"/>
      </w:pPr>
      <w:r>
        <w:rPr>
          <w:rStyle w:val="FootnoteReference"/>
        </w:rPr>
        <w:footnoteRef/>
      </w:r>
      <w:r>
        <w:t xml:space="preserve"> Translation note: Greek says ask about peace and bless him.</w:t>
      </w:r>
    </w:p>
  </w:footnote>
  <w:footnote w:id="8412">
    <w:p>
      <w:pPr>
        <w:pStyle w:val="FootnoteText"/>
      </w:pPr>
      <w:r>
        <w:rPr>
          <w:rStyle w:val="FootnoteReference"/>
        </w:rPr>
        <w:footnoteRef/>
      </w:r>
      <w:r>
        <w:t xml:space="preserve"> Translation note: Greek says king David consecrated these to the Lord.</w:t>
      </w:r>
    </w:p>
  </w:footnote>
  <w:footnote w:id="8413">
    <w:p>
      <w:pPr>
        <w:pStyle w:val="FootnoteText"/>
      </w:pPr>
      <w:r>
        <w:rPr>
          <w:rStyle w:val="FootnoteReference"/>
        </w:rPr>
        <w:footnoteRef/>
      </w:r>
      <w:r>
        <w:t xml:space="preserve"> Cross-references for "Amalek": 1Sam 27:8-9; 1Sam 30:13.</w:t>
      </w:r>
    </w:p>
  </w:footnote>
  <w:footnote w:id="8414">
    <w:p>
      <w:pPr>
        <w:pStyle w:val="FootnoteText"/>
      </w:pPr>
      <w:r>
        <w:rPr>
          <w:rStyle w:val="FootnoteReference"/>
        </w:rPr>
        <w:footnoteRef/>
      </w:r>
      <w:r>
        <w:t xml:space="preserve"> Cross-references for "Abishai": 1Chr 19:11.</w:t>
      </w:r>
    </w:p>
  </w:footnote>
  <w:footnote w:id="8415">
    <w:p>
      <w:pPr>
        <w:pStyle w:val="FootnoteText"/>
      </w:pPr>
      <w:r>
        <w:rPr>
          <w:rStyle w:val="FootnoteReference"/>
        </w:rPr>
        <w:footnoteRef/>
      </w:r>
      <w:r>
        <w:t xml:space="preserve"> Cross-references for "garrisons": 1Sam 10:5; 1Sam 13:3.</w:t>
      </w:r>
    </w:p>
  </w:footnote>
  <w:footnote w:id="8416">
    <w:p>
      <w:pPr>
        <w:pStyle w:val="FootnoteText"/>
      </w:pPr>
      <w:r>
        <w:rPr>
          <w:rStyle w:val="FootnoteReference"/>
        </w:rPr>
        <w:footnoteRef/>
      </w:r>
      <w:r>
        <w:t xml:space="preserve"> Cross-references for "David": 1Chr 12:38.</w:t>
      </w:r>
    </w:p>
  </w:footnote>
  <w:footnote w:id="8417">
    <w:p>
      <w:pPr>
        <w:pStyle w:val="FootnoteText"/>
      </w:pPr>
      <w:r>
        <w:rPr>
          <w:rStyle w:val="FootnoteReference"/>
        </w:rPr>
        <w:footnoteRef/>
      </w:r>
      <w:r>
        <w:t xml:space="preserve"> Cross-references for "Joab": 2Sam 8:16; 1Chr 11:6.</w:t>
      </w:r>
    </w:p>
  </w:footnote>
  <w:footnote w:id="8418">
    <w:p>
      <w:pPr>
        <w:pStyle w:val="FootnoteText"/>
      </w:pPr>
      <w:r>
        <w:rPr>
          <w:rStyle w:val="FootnoteReference"/>
        </w:rPr>
        <w:footnoteRef/>
      </w:r>
      <w:r>
        <w:t xml:space="preserve"> Cross-references for "Abiathar": 2Sam 20:25; 1Kgs 2:35.</w:t>
      </w:r>
    </w:p>
  </w:footnote>
  <w:footnote w:id="8419">
    <w:p>
      <w:pPr>
        <w:pStyle w:val="FootnoteText"/>
      </w:pPr>
      <w:r>
        <w:rPr>
          <w:rStyle w:val="FootnoteReference"/>
        </w:rPr>
        <w:footnoteRef/>
      </w:r>
      <w:r>
        <w:t xml:space="preserve"> Personal name: Shavsha. Personal-name meaning: Shavsha — noble; scribe-name form. Source form: Shavsha.</w:t>
      </w:r>
    </w:p>
  </w:footnote>
  <w:footnote w:id="8420">
    <w:p>
      <w:pPr>
        <w:pStyle w:val="FootnoteText"/>
      </w:pPr>
      <w:r>
        <w:rPr>
          <w:rStyle w:val="FootnoteReference"/>
        </w:rPr>
        <w:footnoteRef/>
      </w:r>
      <w:r>
        <w:t xml:space="preserve"> Cross-references for "Benaiah": 2Sam 8:18; 2Sam 15:18.</w:t>
      </w:r>
    </w:p>
  </w:footnote>
  <w:footnote w:id="8421">
    <w:p>
      <w:pPr>
        <w:pStyle w:val="FootnoteText"/>
      </w:pPr>
      <w:r>
        <w:rPr>
          <w:rStyle w:val="FootnoteReference"/>
        </w:rPr>
        <w:footnoteRef/>
      </w:r>
      <w:r>
        <w:t xml:space="preserve"> Cross-references for "Nahash": 1Sam 11:1-2; 1Sam 12:12.</w:t>
      </w:r>
    </w:p>
  </w:footnote>
  <w:footnote w:id="8422">
    <w:p>
      <w:pPr>
        <w:pStyle w:val="FootnoteText"/>
      </w:pPr>
      <w:r>
        <w:rPr>
          <w:rStyle w:val="FootnoteReference"/>
        </w:rPr>
        <w:footnoteRef/>
      </w:r>
      <w:r>
        <w:t xml:space="preserve"> Translation note: Greek says does David honor your father before you.</w:t>
      </w:r>
    </w:p>
  </w:footnote>
  <w:footnote w:id="8423">
    <w:p>
      <w:pPr>
        <w:pStyle w:val="FootnoteText"/>
      </w:pPr>
      <w:r>
        <w:rPr>
          <w:rStyle w:val="FootnoteReference"/>
        </w:rPr>
        <w:footnoteRef/>
      </w:r>
      <w:r>
        <w:t xml:space="preserve"> Cross-references for "to search": Gen 42:9-18; Josh 2:1-3.</w:t>
      </w:r>
    </w:p>
  </w:footnote>
  <w:footnote w:id="8424">
    <w:p>
      <w:pPr>
        <w:pStyle w:val="FootnoteText"/>
      </w:pPr>
      <w:r>
        <w:rPr>
          <w:rStyle w:val="FootnoteReference"/>
        </w:rPr>
        <w:footnoteRef/>
      </w:r>
      <w:r>
        <w:t xml:space="preserve"> Cross-references for "shaved them": Lev 19:27; Isa 15:2.</w:t>
      </w:r>
    </w:p>
  </w:footnote>
  <w:footnote w:id="8425">
    <w:p>
      <w:pPr>
        <w:pStyle w:val="FootnoteText"/>
      </w:pPr>
      <w:r>
        <w:rPr>
          <w:rStyle w:val="FootnoteReference"/>
        </w:rPr>
        <w:footnoteRef/>
      </w:r>
      <w:r>
        <w:t xml:space="preserve"> Cross-references for "your beards": Judg 16:22.</w:t>
      </w:r>
    </w:p>
  </w:footnote>
  <w:footnote w:id="8426">
    <w:p>
      <w:pPr>
        <w:pStyle w:val="FootnoteText"/>
      </w:pPr>
      <w:r>
        <w:rPr>
          <w:rStyle w:val="FootnoteReference"/>
        </w:rPr>
        <w:footnoteRef/>
      </w:r>
      <w:r>
        <w:t xml:space="preserve"> Place name: Souba. Place-name meaning: Zobah — an army; warring. Standard English equivalent: Zobah. Source form: Souba. Greek form: σουβα.</w:t>
      </w:r>
    </w:p>
  </w:footnote>
  <w:footnote w:id="8427">
    <w:p>
      <w:pPr>
        <w:pStyle w:val="FootnoteText"/>
      </w:pPr>
      <w:r>
        <w:rPr>
          <w:rStyle w:val="FootnoteReference"/>
        </w:rPr>
        <w:footnoteRef/>
      </w:r>
      <w:r>
        <w:t xml:space="preserve"> Translation note: Greek names Moocha and Zobah here; translation uses Zobah for Zobah.</w:t>
      </w:r>
    </w:p>
  </w:footnote>
  <w:footnote w:id="8428">
    <w:p>
      <w:pPr>
        <w:pStyle w:val="FootnoteText"/>
      </w:pPr>
      <w:r>
        <w:rPr>
          <w:rStyle w:val="FootnoteReference"/>
        </w:rPr>
        <w:footnoteRef/>
      </w:r>
      <w:r>
        <w:t xml:space="preserve"> Cross-references for "Zobah": 1Sam 14:47; 2Sam 8:3.</w:t>
      </w:r>
    </w:p>
  </w:footnote>
  <w:footnote w:id="8429">
    <w:p>
      <w:pPr>
        <w:pStyle w:val="FootnoteText"/>
      </w:pPr>
      <w:r>
        <w:rPr>
          <w:rStyle w:val="FootnoteReference"/>
        </w:rPr>
        <w:footnoteRef/>
      </w:r>
      <w:r>
        <w:t xml:space="preserve"> Translation note: Greek line matches current rendering closely here.</w:t>
      </w:r>
    </w:p>
  </w:footnote>
  <w:footnote w:id="8430">
    <w:p>
      <w:pPr>
        <w:pStyle w:val="FootnoteText"/>
      </w:pPr>
      <w:r>
        <w:rPr>
          <w:rStyle w:val="FootnoteReference"/>
        </w:rPr>
        <w:footnoteRef/>
      </w:r>
      <w:r>
        <w:t xml:space="preserve"> Cross-references for "hired": Exod 14:9; Judg 4:3.</w:t>
      </w:r>
    </w:p>
  </w:footnote>
  <w:footnote w:id="8431">
    <w:p>
      <w:pPr>
        <w:pStyle w:val="FootnoteText"/>
      </w:pPr>
      <w:r>
        <w:rPr>
          <w:rStyle w:val="FootnoteReference"/>
        </w:rPr>
        <w:footnoteRef/>
      </w:r>
      <w:r>
        <w:t xml:space="preserve"> Cross-references for "Joab": 2Sam 23:8-39; 1Chr 11:6.</w:t>
      </w:r>
    </w:p>
  </w:footnote>
  <w:footnote w:id="8432">
    <w:p>
      <w:pPr>
        <w:pStyle w:val="FootnoteText"/>
      </w:pPr>
      <w:r>
        <w:rPr>
          <w:rStyle w:val="FootnoteReference"/>
        </w:rPr>
        <w:footnoteRef/>
      </w:r>
      <w:r>
        <w:t xml:space="preserve"> Cross-references for "Abishai": 1Chr 11:20; 1Chr 18:12.</w:t>
      </w:r>
    </w:p>
  </w:footnote>
  <w:footnote w:id="8433">
    <w:p>
      <w:pPr>
        <w:pStyle w:val="FootnoteText"/>
      </w:pPr>
      <w:r>
        <w:rPr>
          <w:rStyle w:val="FootnoteReference"/>
        </w:rPr>
        <w:footnoteRef/>
      </w:r>
      <w:r>
        <w:t xml:space="preserve"> Cross-references for "they fled": 1Kgs 20:13; 1Kgs 20:19-21.</w:t>
      </w:r>
    </w:p>
  </w:footnote>
  <w:footnote w:id="8434">
    <w:p>
      <w:pPr>
        <w:pStyle w:val="FootnoteText"/>
      </w:pPr>
      <w:r>
        <w:rPr>
          <w:rStyle w:val="FootnoteReference"/>
        </w:rPr>
        <w:footnoteRef/>
      </w:r>
      <w:r>
        <w:t xml:space="preserve"> Translation note: Greek says Syria saw that Israel routed him.</w:t>
      </w:r>
    </w:p>
  </w:footnote>
  <w:footnote w:id="8435">
    <w:p>
      <w:pPr>
        <w:pStyle w:val="FootnoteText"/>
      </w:pPr>
      <w:r>
        <w:rPr>
          <w:rStyle w:val="FootnoteReference"/>
        </w:rPr>
        <w:footnoteRef/>
      </w:r>
      <w:r>
        <w:t xml:space="preserve"> Personal name: Shophach. Personal-name meaning: Shophach — pouring out. Source form: Shophach.</w:t>
      </w:r>
    </w:p>
  </w:footnote>
  <w:footnote w:id="8436">
    <w:p>
      <w:pPr>
        <w:pStyle w:val="FootnoteText"/>
      </w:pPr>
      <w:r>
        <w:rPr>
          <w:rStyle w:val="FootnoteReference"/>
        </w:rPr>
        <w:footnoteRef/>
      </w:r>
      <w:r>
        <w:t xml:space="preserve"> Cross-references for "Shophach": 2Sam 10:16.</w:t>
      </w:r>
    </w:p>
  </w:footnote>
  <w:footnote w:id="8437">
    <w:p>
      <w:pPr>
        <w:pStyle w:val="FootnoteText"/>
      </w:pPr>
      <w:r>
        <w:rPr>
          <w:rStyle w:val="FootnoteReference"/>
        </w:rPr>
        <w:footnoteRef/>
      </w:r>
      <w:r>
        <w:t xml:space="preserve"> Translation note: Greek keeps reciprocal battle-array wording.</w:t>
      </w:r>
    </w:p>
  </w:footnote>
  <w:footnote w:id="8438">
    <w:p>
      <w:pPr>
        <w:pStyle w:val="FootnoteText"/>
      </w:pPr>
      <w:r>
        <w:rPr>
          <w:rStyle w:val="FootnoteReference"/>
        </w:rPr>
        <w:footnoteRef/>
      </w:r>
      <w:r>
        <w:t xml:space="preserve"> Cross-references for "footmen": 2Sam 10:18.</w:t>
      </w:r>
    </w:p>
  </w:footnote>
  <w:footnote w:id="8439">
    <w:p>
      <w:pPr>
        <w:pStyle w:val="FootnoteText"/>
      </w:pPr>
      <w:r>
        <w:rPr>
          <w:rStyle w:val="FootnoteReference"/>
        </w:rPr>
        <w:footnoteRef/>
      </w:r>
      <w:r>
        <w:t xml:space="preserve"> Cross-references for "the servants": Gen 14:4-5; Josh 9:9-11.</w:t>
      </w:r>
    </w:p>
  </w:footnote>
  <w:footnote w:id="8440">
    <w:p>
      <w:pPr>
        <w:pStyle w:val="FootnoteText"/>
      </w:pPr>
      <w:r>
        <w:rPr>
          <w:rStyle w:val="FootnoteReference"/>
        </w:rPr>
        <w:footnoteRef/>
      </w:r>
      <w:r>
        <w:t xml:space="preserve"> Cross-references for "And it came": 2Sam 11:1.</w:t>
      </w:r>
    </w:p>
  </w:footnote>
  <w:footnote w:id="8441">
    <w:p>
      <w:pPr>
        <w:pStyle w:val="FootnoteText"/>
      </w:pPr>
      <w:r>
        <w:rPr>
          <w:rStyle w:val="FootnoteReference"/>
        </w:rPr>
        <w:footnoteRef/>
      </w:r>
      <w:r>
        <w:t xml:space="preserve"> Translation note: Greek says ruined land of sons of Ammon.</w:t>
      </w:r>
    </w:p>
  </w:footnote>
  <w:footnote w:id="8442">
    <w:p>
      <w:pPr>
        <w:pStyle w:val="FootnoteText"/>
      </w:pPr>
      <w:r>
        <w:rPr>
          <w:rStyle w:val="FootnoteReference"/>
        </w:rPr>
        <w:footnoteRef/>
      </w:r>
      <w:r>
        <w:t xml:space="preserve"> Translation note: Greek says singular precious stone.</w:t>
      </w:r>
    </w:p>
  </w:footnote>
  <w:footnote w:id="8443">
    <w:p>
      <w:pPr>
        <w:pStyle w:val="FootnoteText"/>
      </w:pPr>
      <w:r>
        <w:rPr>
          <w:rStyle w:val="FootnoteReference"/>
        </w:rPr>
        <w:footnoteRef/>
      </w:r>
      <w:r>
        <w:t xml:space="preserve"> Cross-references for "And he brought": 2Sam 8:11-12; 1Chr 18:11.</w:t>
      </w:r>
    </w:p>
  </w:footnote>
  <w:footnote w:id="8444">
    <w:p>
      <w:pPr>
        <w:pStyle w:val="FootnoteText"/>
      </w:pPr>
      <w:r>
        <w:rPr>
          <w:rStyle w:val="FootnoteReference"/>
        </w:rPr>
        <w:footnoteRef/>
      </w:r>
      <w:r>
        <w:t xml:space="preserve"> Translation note: Greek lists the tools here. Current line keeps tool wording rather than stronger paraphrase.</w:t>
      </w:r>
    </w:p>
  </w:footnote>
  <w:footnote w:id="8445">
    <w:p>
      <w:pPr>
        <w:pStyle w:val="FootnoteText"/>
      </w:pPr>
      <w:r>
        <w:rPr>
          <w:rStyle w:val="FootnoteReference"/>
        </w:rPr>
        <w:footnoteRef/>
      </w:r>
      <w:r>
        <w:t xml:space="preserve"> Cross-references for "with saws": Exod 1:14; Josh 9:23.</w:t>
      </w:r>
    </w:p>
  </w:footnote>
  <w:footnote w:id="8446">
    <w:p>
      <w:pPr>
        <w:pStyle w:val="FootnoteText"/>
      </w:pPr>
      <w:r>
        <w:rPr>
          <w:rStyle w:val="FootnoteReference"/>
        </w:rPr>
        <w:footnoteRef/>
      </w:r>
      <w:r>
        <w:t xml:space="preserve"> Cross-references for "Gezer": Josh 12:12; Josh 16:3.</w:t>
      </w:r>
    </w:p>
  </w:footnote>
  <w:footnote w:id="8447">
    <w:p>
      <w:pPr>
        <w:pStyle w:val="FootnoteText"/>
      </w:pPr>
      <w:r>
        <w:rPr>
          <w:rStyle w:val="FootnoteReference"/>
        </w:rPr>
        <w:footnoteRef/>
      </w:r>
      <w:r>
        <w:t xml:space="preserve"> Cross-references for "Jair": 2Sam 21:19.</w:t>
      </w:r>
    </w:p>
  </w:footnote>
  <w:footnote w:id="8448">
    <w:p>
      <w:pPr>
        <w:pStyle w:val="FootnoteText"/>
      </w:pPr>
      <w:r>
        <w:rPr>
          <w:rStyle w:val="FootnoteReference"/>
        </w:rPr>
        <w:footnoteRef/>
      </w:r>
      <w:r>
        <w:t xml:space="preserve"> Personal name: Lahmi. Personal-name meaning: Lahmi — my bread; my war. Source form: Lahmi.</w:t>
      </w:r>
    </w:p>
  </w:footnote>
  <w:footnote w:id="8449">
    <w:p>
      <w:pPr>
        <w:pStyle w:val="FootnoteText"/>
      </w:pPr>
      <w:r>
        <w:rPr>
          <w:rStyle w:val="FootnoteReference"/>
        </w:rPr>
        <w:footnoteRef/>
      </w:r>
      <w:r>
        <w:t xml:space="preserve"> Cross-references for "Shimea": 1Sam 16:9; 1Chr 2:13.</w:t>
      </w:r>
    </w:p>
  </w:footnote>
  <w:footnote w:id="8450">
    <w:p>
      <w:pPr>
        <w:pStyle w:val="FootnoteText"/>
      </w:pPr>
      <w:r>
        <w:rPr>
          <w:rStyle w:val="FootnoteReference"/>
        </w:rPr>
        <w:footnoteRef/>
      </w:r>
      <w:r>
        <w:t xml:space="preserve"> Cross-references for "they fell": Josh 14:12; Eccl 9:11.</w:t>
      </w:r>
    </w:p>
  </w:footnote>
  <w:footnote w:id="8451">
    <w:p>
      <w:pPr>
        <w:pStyle w:val="FootnoteText"/>
      </w:pPr>
      <w:r>
        <w:rPr>
          <w:rStyle w:val="FootnoteReference"/>
        </w:rPr>
        <w:footnoteRef/>
      </w:r>
      <w:r>
        <w:t xml:space="preserve"> Cross-references for "Joab": 2Sam 24:2-4.</w:t>
      </w:r>
    </w:p>
  </w:footnote>
  <w:footnote w:id="8452">
    <w:p>
      <w:pPr>
        <w:pStyle w:val="FootnoteText"/>
      </w:pPr>
      <w:r>
        <w:rPr>
          <w:rStyle w:val="FootnoteReference"/>
        </w:rPr>
        <w:footnoteRef/>
      </w:r>
      <w:r>
        <w:t xml:space="preserve"> Cross-references for "the Lord": 1Chr 19:13; Ps 115:14.</w:t>
      </w:r>
    </w:p>
  </w:footnote>
  <w:footnote w:id="8453">
    <w:p>
      <w:pPr>
        <w:pStyle w:val="FootnoteText"/>
      </w:pPr>
      <w:r>
        <w:rPr>
          <w:rStyle w:val="FootnoteReference"/>
        </w:rPr>
        <w:footnoteRef/>
      </w:r>
      <w:r>
        <w:t xml:space="preserve"> Translation note: Greek says a hundredfold as they are.</w:t>
      </w:r>
    </w:p>
  </w:footnote>
  <w:footnote w:id="8454">
    <w:p>
      <w:pPr>
        <w:pStyle w:val="FootnoteText"/>
      </w:pPr>
      <w:r>
        <w:rPr>
          <w:rStyle w:val="FootnoteReference"/>
        </w:rPr>
        <w:footnoteRef/>
      </w:r>
      <w:r>
        <w:t xml:space="preserve"> Translation note: Greek gives Judah total as four hundred eighty thousand.</w:t>
      </w:r>
    </w:p>
  </w:footnote>
  <w:footnote w:id="8455">
    <w:p>
      <w:pPr>
        <w:pStyle w:val="FootnoteText"/>
      </w:pPr>
      <w:r>
        <w:rPr>
          <w:rStyle w:val="FootnoteReference"/>
        </w:rPr>
        <w:footnoteRef/>
      </w:r>
      <w:r>
        <w:t xml:space="preserve"> Cross-references for "Levi": Num 1:47-49.</w:t>
      </w:r>
    </w:p>
  </w:footnote>
  <w:footnote w:id="8456">
    <w:p>
      <w:pPr>
        <w:pStyle w:val="FootnoteText"/>
      </w:pPr>
      <w:r>
        <w:rPr>
          <w:rStyle w:val="FootnoteReference"/>
        </w:rPr>
        <w:footnoteRef/>
      </w:r>
      <w:r>
        <w:t xml:space="preserve"> Translation note: Greek uses remove-evil language in David's confession. Current wording preserves that plea.</w:t>
      </w:r>
    </w:p>
  </w:footnote>
  <w:footnote w:id="8457">
    <w:p>
      <w:pPr>
        <w:pStyle w:val="FootnoteText"/>
      </w:pPr>
      <w:r>
        <w:rPr>
          <w:rStyle w:val="FootnoteReference"/>
        </w:rPr>
        <w:footnoteRef/>
      </w:r>
      <w:r>
        <w:t xml:space="preserve"> Cross-references for "choose": Josh 24:15; Prov 1:29-31.</w:t>
      </w:r>
    </w:p>
  </w:footnote>
  <w:footnote w:id="8458">
    <w:p>
      <w:pPr>
        <w:pStyle w:val="FootnoteText"/>
      </w:pPr>
      <w:r>
        <w:rPr>
          <w:rStyle w:val="FootnoteReference"/>
        </w:rPr>
        <w:footnoteRef/>
      </w:r>
      <w:r>
        <w:t xml:space="preserve"> Translation note: Greek says sword of the Lord and death in the land.</w:t>
      </w:r>
    </w:p>
  </w:footnote>
  <w:footnote w:id="8459">
    <w:p>
      <w:pPr>
        <w:pStyle w:val="FootnoteText"/>
      </w:pPr>
      <w:r>
        <w:rPr>
          <w:rStyle w:val="FootnoteReference"/>
        </w:rPr>
        <w:footnoteRef/>
      </w:r>
      <w:r>
        <w:t xml:space="preserve"> Cross-references for "the Lord": Num 16:46-49; 2Sam 24:15.</w:t>
      </w:r>
    </w:p>
  </w:footnote>
  <w:footnote w:id="8460">
    <w:p>
      <w:pPr>
        <w:pStyle w:val="FootnoteText"/>
      </w:pPr>
      <w:r>
        <w:rPr>
          <w:rStyle w:val="FootnoteReference"/>
        </w:rPr>
        <w:footnoteRef/>
      </w:r>
      <w:r>
        <w:t xml:space="preserve"> Translation note: Greek says relented over evil here. Current line keeps that wording.</w:t>
      </w:r>
    </w:p>
  </w:footnote>
  <w:footnote w:id="8461">
    <w:p>
      <w:pPr>
        <w:pStyle w:val="FootnoteText"/>
      </w:pPr>
      <w:r>
        <w:rPr>
          <w:rStyle w:val="FootnoteReference"/>
        </w:rPr>
        <w:footnoteRef/>
      </w:r>
      <w:r>
        <w:t xml:space="preserve"> Cross-references for "It is enough": Exod 9:28; 1Kgs 19:4.</w:t>
      </w:r>
    </w:p>
  </w:footnote>
  <w:footnote w:id="8462">
    <w:p>
      <w:pPr>
        <w:pStyle w:val="FootnoteText"/>
      </w:pPr>
      <w:r>
        <w:rPr>
          <w:rStyle w:val="FootnoteReference"/>
        </w:rPr>
        <w:footnoteRef/>
      </w:r>
      <w:r>
        <w:t xml:space="preserve"> Cross-references for "clothed": 1Kgs 21:27; 2Kgs 19:1.</w:t>
      </w:r>
    </w:p>
  </w:footnote>
  <w:footnote w:id="8463">
    <w:p>
      <w:pPr>
        <w:pStyle w:val="FootnoteText"/>
      </w:pPr>
      <w:r>
        <w:rPr>
          <w:rStyle w:val="FootnoteReference"/>
        </w:rPr>
        <w:footnoteRef/>
      </w:r>
      <w:r>
        <w:t xml:space="preserve"> Translation note: Greek uses angel here. The translation keeps the project's angel rendering.</w:t>
      </w:r>
    </w:p>
  </w:footnote>
  <w:footnote w:id="8464">
    <w:p>
      <w:pPr>
        <w:pStyle w:val="FootnoteText"/>
      </w:pPr>
      <w:r>
        <w:rPr>
          <w:rStyle w:val="FootnoteReference"/>
        </w:rPr>
        <w:footnoteRef/>
      </w:r>
      <w:r>
        <w:t xml:space="preserve"> Translation note: Greek says I acted evilly with evil.</w:t>
      </w:r>
    </w:p>
  </w:footnote>
  <w:footnote w:id="8465">
    <w:p>
      <w:pPr>
        <w:pStyle w:val="FootnoteText"/>
      </w:pPr>
      <w:r>
        <w:rPr>
          <w:rStyle w:val="FootnoteReference"/>
        </w:rPr>
        <w:footnoteRef/>
      </w:r>
      <w:r>
        <w:t xml:space="preserve"> Cross-references for "these sheep": 1Kgs 22:17; Ps 44:11.</w:t>
      </w:r>
    </w:p>
  </w:footnote>
  <w:footnote w:id="8466">
    <w:p>
      <w:pPr>
        <w:pStyle w:val="FootnoteText"/>
      </w:pPr>
      <w:r>
        <w:rPr>
          <w:rStyle w:val="FootnoteReference"/>
        </w:rPr>
        <w:footnoteRef/>
      </w:r>
      <w:r>
        <w:t xml:space="preserve"> Cross-references for "the angel": 1Chr 21:11; Acts 8:26-40.</w:t>
      </w:r>
    </w:p>
  </w:footnote>
  <w:footnote w:id="8467">
    <w:p>
      <w:pPr>
        <w:pStyle w:val="FootnoteText"/>
      </w:pPr>
      <w:r>
        <w:rPr>
          <w:rStyle w:val="FootnoteReference"/>
        </w:rPr>
        <w:footnoteRef/>
      </w:r>
      <w:r>
        <w:t xml:space="preserve"> Cross-references for "went up": 2Kgs 5:10-14; John 2:5.</w:t>
      </w:r>
    </w:p>
  </w:footnote>
  <w:footnote w:id="8468">
    <w:p>
      <w:pPr>
        <w:pStyle w:val="FootnoteText"/>
      </w:pPr>
      <w:r>
        <w:rPr>
          <w:rStyle w:val="FootnoteReference"/>
        </w:rPr>
        <w:footnoteRef/>
      </w:r>
      <w:r>
        <w:t xml:space="preserve"> Translation note: Greek gives the scene with a hiding note. Current wording preserves it.</w:t>
      </w:r>
    </w:p>
  </w:footnote>
  <w:footnote w:id="8469">
    <w:p>
      <w:pPr>
        <w:pStyle w:val="FootnoteText"/>
      </w:pPr>
      <w:r>
        <w:rPr>
          <w:rStyle w:val="FootnoteReference"/>
        </w:rPr>
        <w:footnoteRef/>
      </w:r>
      <w:r>
        <w:t xml:space="preserve"> Translation note: Greek says for silver at full worth.</w:t>
      </w:r>
    </w:p>
  </w:footnote>
  <w:footnote w:id="8470">
    <w:p>
      <w:pPr>
        <w:pStyle w:val="FootnoteText"/>
      </w:pPr>
      <w:r>
        <w:rPr>
          <w:rStyle w:val="FootnoteReference"/>
        </w:rPr>
        <w:footnoteRef/>
      </w:r>
      <w:r>
        <w:t xml:space="preserve"> Translation note: Greek says take for yourself here. Current line keeps that wording.</w:t>
      </w:r>
    </w:p>
  </w:footnote>
  <w:footnote w:id="8471">
    <w:p>
      <w:pPr>
        <w:pStyle w:val="FootnoteText"/>
      </w:pPr>
      <w:r>
        <w:rPr>
          <w:rStyle w:val="FootnoteReference"/>
        </w:rPr>
        <w:footnoteRef/>
      </w:r>
      <w:r>
        <w:t xml:space="preserve"> Cross-references for "built there": Exod 20:24-25; Exod 24:4-5.</w:t>
      </w:r>
    </w:p>
  </w:footnote>
  <w:footnote w:id="8472">
    <w:p>
      <w:pPr>
        <w:pStyle w:val="FootnoteText"/>
      </w:pPr>
      <w:r>
        <w:rPr>
          <w:rStyle w:val="FootnoteReference"/>
        </w:rPr>
        <w:footnoteRef/>
      </w:r>
      <w:r>
        <w:t xml:space="preserve"> Translation note: Greek explicitly adds that the fire consumed the whole burnt offering.</w:t>
      </w:r>
    </w:p>
  </w:footnote>
  <w:footnote w:id="8473">
    <w:p>
      <w:pPr>
        <w:pStyle w:val="FootnoteText"/>
      </w:pPr>
      <w:r>
        <w:rPr>
          <w:rStyle w:val="FootnoteReference"/>
        </w:rPr>
        <w:footnoteRef/>
      </w:r>
      <w:r>
        <w:t xml:space="preserve"> Cross-references for "the Lord": 2Sam 24:16; 1Chr 21:15-16.</w:t>
      </w:r>
    </w:p>
  </w:footnote>
  <w:footnote w:id="8474">
    <w:p>
      <w:pPr>
        <w:pStyle w:val="FootnoteText"/>
      </w:pPr>
      <w:r>
        <w:rPr>
          <w:rStyle w:val="FootnoteReference"/>
        </w:rPr>
        <w:footnoteRef/>
      </w:r>
      <w:r>
        <w:t xml:space="preserve"> Cross-references for "Gibeon": 1Kgs 3:4-15; 1Chr 16:39.</w:t>
      </w:r>
    </w:p>
  </w:footnote>
  <w:footnote w:id="8475">
    <w:p>
      <w:pPr>
        <w:pStyle w:val="FootnoteText"/>
      </w:pPr>
      <w:r>
        <w:rPr>
          <w:rStyle w:val="FootnoteReference"/>
        </w:rPr>
        <w:footnoteRef/>
      </w:r>
      <w:r>
        <w:t xml:space="preserve"> Cross-references for "This is the house": Gen 28:17; Deut 12:5-7.</w:t>
      </w:r>
    </w:p>
  </w:footnote>
  <w:footnote w:id="8476">
    <w:p>
      <w:pPr>
        <w:pStyle w:val="FootnoteText"/>
      </w:pPr>
      <w:r>
        <w:rPr>
          <w:rStyle w:val="FootnoteReference"/>
        </w:rPr>
        <w:footnoteRef/>
      </w:r>
      <w:r>
        <w:t xml:space="preserve"> Cross-references for "without weight": 1Kgs 7:47; 1Chr 22:14.</w:t>
      </w:r>
    </w:p>
  </w:footnote>
  <w:footnote w:id="8477">
    <w:p>
      <w:pPr>
        <w:pStyle w:val="FootnoteText"/>
      </w:pPr>
      <w:r>
        <w:rPr>
          <w:rStyle w:val="FootnoteReference"/>
        </w:rPr>
        <w:footnoteRef/>
      </w:r>
      <w:r>
        <w:t xml:space="preserve"> Cross-references for "Solomon": 1Kgs 3:7; 1Chr 29:1.</w:t>
      </w:r>
    </w:p>
  </w:footnote>
  <w:footnote w:id="8478">
    <w:p>
      <w:pPr>
        <w:pStyle w:val="FootnoteText"/>
      </w:pPr>
      <w:r>
        <w:rPr>
          <w:rStyle w:val="FootnoteReference"/>
        </w:rPr>
        <w:footnoteRef/>
      </w:r>
      <w:r>
        <w:t xml:space="preserve"> Translation note: Greek says tender youth and for greatness beyond.</w:t>
      </w:r>
    </w:p>
  </w:footnote>
  <w:footnote w:id="8479">
    <w:p>
      <w:pPr>
        <w:pStyle w:val="FootnoteText"/>
      </w:pPr>
      <w:r>
        <w:rPr>
          <w:rStyle w:val="FootnoteReference"/>
        </w:rPr>
        <w:footnoteRef/>
      </w:r>
      <w:r>
        <w:t xml:space="preserve"> Cross-references for "charged him": Num 27:18-19; Num 27:23.</w:t>
      </w:r>
    </w:p>
  </w:footnote>
  <w:footnote w:id="8480">
    <w:p>
      <w:pPr>
        <w:pStyle w:val="FootnoteText"/>
      </w:pPr>
      <w:r>
        <w:rPr>
          <w:rStyle w:val="FootnoteReference"/>
        </w:rPr>
        <w:footnoteRef/>
      </w:r>
      <w:r>
        <w:t xml:space="preserve"> Translation note: Greek line matches current rendering closely here.</w:t>
      </w:r>
    </w:p>
  </w:footnote>
  <w:footnote w:id="8481">
    <w:p>
      <w:pPr>
        <w:pStyle w:val="FootnoteText"/>
      </w:pPr>
      <w:r>
        <w:rPr>
          <w:rStyle w:val="FootnoteReference"/>
        </w:rPr>
        <w:footnoteRef/>
      </w:r>
      <w:r>
        <w:t xml:space="preserve"> Cross-references for "I will give": 1Kgs 4:20; 1Kgs 4:25.</w:t>
      </w:r>
    </w:p>
  </w:footnote>
  <w:footnote w:id="8482">
    <w:p>
      <w:pPr>
        <w:pStyle w:val="FootnoteText"/>
      </w:pPr>
      <w:r>
        <w:rPr>
          <w:rStyle w:val="FootnoteReference"/>
        </w:rPr>
        <w:footnoteRef/>
      </w:r>
      <w:r>
        <w:t xml:space="preserve"> Cross-references for "He shall build": 2Sam 7:13; 1Kgs 5:5.</w:t>
      </w:r>
    </w:p>
  </w:footnote>
  <w:footnote w:id="8483">
    <w:p>
      <w:pPr>
        <w:pStyle w:val="FootnoteText"/>
      </w:pPr>
      <w:r>
        <w:rPr>
          <w:rStyle w:val="FootnoteReference"/>
        </w:rPr>
        <w:footnoteRef/>
      </w:r>
      <w:r>
        <w:t xml:space="preserve"> Translation note: Greek gives the dynastic oracle in direct covenant language. Current wording preserves it.</w:t>
      </w:r>
    </w:p>
  </w:footnote>
  <w:footnote w:id="8484">
    <w:p>
      <w:pPr>
        <w:pStyle w:val="FootnoteText"/>
      </w:pPr>
      <w:r>
        <w:rPr>
          <w:rStyle w:val="FootnoteReference"/>
        </w:rPr>
        <w:footnoteRef/>
      </w:r>
      <w:r>
        <w:t xml:space="preserve"> Cross-references for "the Lord": 1Chr 22:16; 1Chr 28:20.</w:t>
      </w:r>
    </w:p>
  </w:footnote>
  <w:footnote w:id="8485">
    <w:p>
      <w:pPr>
        <w:pStyle w:val="FootnoteText"/>
      </w:pPr>
      <w:r>
        <w:rPr>
          <w:rStyle w:val="FootnoteReference"/>
        </w:rPr>
        <w:footnoteRef/>
      </w:r>
      <w:r>
        <w:t xml:space="preserve"> Cross-references for "be strong": Deut 31:7-8; Josh 1:6-9.</w:t>
      </w:r>
    </w:p>
  </w:footnote>
  <w:footnote w:id="8486">
    <w:p>
      <w:pPr>
        <w:pStyle w:val="FootnoteText"/>
      </w:pPr>
      <w:r>
        <w:rPr>
          <w:rStyle w:val="FootnoteReference"/>
        </w:rPr>
        <w:footnoteRef/>
      </w:r>
      <w:r>
        <w:t xml:space="preserve"> Translation note: Greek says in my poverty I prepared.</w:t>
      </w:r>
    </w:p>
  </w:footnote>
  <w:footnote w:id="8487">
    <w:p>
      <w:pPr>
        <w:pStyle w:val="FootnoteText"/>
      </w:pPr>
      <w:r>
        <w:rPr>
          <w:rStyle w:val="FootnoteReference"/>
        </w:rPr>
        <w:footnoteRef/>
      </w:r>
      <w:r>
        <w:t xml:space="preserve"> Cross-references for "without weight": 2Kgs 25:16; 1Chr 22:3.</w:t>
      </w:r>
    </w:p>
  </w:footnote>
  <w:footnote w:id="8488">
    <w:p>
      <w:pPr>
        <w:pStyle w:val="FootnoteText"/>
      </w:pPr>
      <w:r>
        <w:rPr>
          <w:rStyle w:val="FootnoteReference"/>
        </w:rPr>
        <w:footnoteRef/>
      </w:r>
      <w:r>
        <w:t xml:space="preserve"> Cross-references for "and the Lord": 1Sam 17:37; 1Sam 20:13.</w:t>
      </w:r>
    </w:p>
  </w:footnote>
  <w:footnote w:id="8489">
    <w:p>
      <w:pPr>
        <w:pStyle w:val="FootnoteText"/>
      </w:pPr>
      <w:r>
        <w:rPr>
          <w:rStyle w:val="FootnoteReference"/>
        </w:rPr>
        <w:footnoteRef/>
      </w:r>
      <w:r>
        <w:t xml:space="preserve"> Cross-references for "before the Lord": Deut 20:4; Josh 10:42.</w:t>
      </w:r>
    </w:p>
  </w:footnote>
  <w:footnote w:id="8490">
    <w:p>
      <w:pPr>
        <w:pStyle w:val="FootnoteText"/>
      </w:pPr>
      <w:r>
        <w:rPr>
          <w:rStyle w:val="FootnoteReference"/>
        </w:rPr>
        <w:footnoteRef/>
      </w:r>
      <w:r>
        <w:t xml:space="preserve"> Translation note: Greek uses the anthropological pair heart and soul together. English LXX witnesses support keeping both terms rather than compressing them into a single abstraction.</w:t>
      </w:r>
    </w:p>
  </w:footnote>
  <w:footnote w:id="8491">
    <w:p>
      <w:pPr>
        <w:pStyle w:val="FootnoteText"/>
      </w:pPr>
      <w:r>
        <w:rPr>
          <w:rStyle w:val="FootnoteReference"/>
        </w:rPr>
        <w:footnoteRef/>
      </w:r>
      <w:r>
        <w:t xml:space="preserve"> Translation note: The Greek phrase is a simple goal phrase pointing to the Lord's name. The English stays close to that form instead of expanding it beyond what the Greek says.</w:t>
      </w:r>
    </w:p>
  </w:footnote>
  <w:footnote w:id="8492">
    <w:p>
      <w:pPr>
        <w:pStyle w:val="FootnoteText"/>
      </w:pPr>
      <w:r>
        <w:rPr>
          <w:rStyle w:val="FootnoteReference"/>
        </w:rPr>
        <w:footnoteRef/>
      </w:r>
      <w:r>
        <w:t xml:space="preserve"> Cross-references for "set your": Deut 4:29; Deut 32:46-47.</w:t>
      </w:r>
    </w:p>
  </w:footnote>
  <w:footnote w:id="8493">
    <w:p>
      <w:pPr>
        <w:pStyle w:val="FootnoteText"/>
      </w:pPr>
      <w:r>
        <w:rPr>
          <w:rStyle w:val="FootnoteReference"/>
        </w:rPr>
        <w:footnoteRef/>
      </w:r>
      <w:r>
        <w:t xml:space="preserve"> Cross-references for "he made": 1Kgs 1:33-39; 1Chr 28:5.</w:t>
      </w:r>
    </w:p>
  </w:footnote>
  <w:footnote w:id="8494">
    <w:p>
      <w:pPr>
        <w:pStyle w:val="FootnoteText"/>
      </w:pPr>
      <w:r>
        <w:rPr>
          <w:rStyle w:val="FootnoteReference"/>
        </w:rPr>
        <w:footnoteRef/>
      </w:r>
      <w:r>
        <w:t xml:space="preserve"> Cross-references for "he gathered": Josh 23:2; Josh 24:1.</w:t>
      </w:r>
    </w:p>
  </w:footnote>
  <w:footnote w:id="8495">
    <w:p>
      <w:pPr>
        <w:pStyle w:val="FootnoteText"/>
      </w:pPr>
      <w:r>
        <w:rPr>
          <w:rStyle w:val="FootnoteReference"/>
        </w:rPr>
        <w:footnoteRef/>
      </w:r>
      <w:r>
        <w:t xml:space="preserve"> Cross-references for "twenty": 1Chr 6:48; 1Chr 9:28-32.</w:t>
      </w:r>
    </w:p>
  </w:footnote>
  <w:footnote w:id="8496">
    <w:p>
      <w:pPr>
        <w:pStyle w:val="FootnoteText"/>
      </w:pPr>
      <w:r>
        <w:rPr>
          <w:rStyle w:val="FootnoteReference"/>
        </w:rPr>
        <w:footnoteRef/>
      </w:r>
      <w:r>
        <w:t xml:space="preserve"> Cross-references for "divided": 2Chr 8:14; 2Chr 29:25.</w:t>
      </w:r>
    </w:p>
  </w:footnote>
  <w:footnote w:id="8497">
    <w:p>
      <w:pPr>
        <w:pStyle w:val="FootnoteText"/>
      </w:pPr>
      <w:r>
        <w:rPr>
          <w:rStyle w:val="FootnoteReference"/>
        </w:rPr>
        <w:footnoteRef/>
      </w:r>
      <w:r>
        <w:t xml:space="preserve"> Cross-references for "Laadan": Exod 6:17.</w:t>
      </w:r>
    </w:p>
  </w:footnote>
  <w:footnote w:id="8498">
    <w:p>
      <w:pPr>
        <w:pStyle w:val="FootnoteText"/>
      </w:pPr>
      <w:r>
        <w:rPr>
          <w:rStyle w:val="FootnoteReference"/>
        </w:rPr>
        <w:footnoteRef/>
      </w:r>
      <w:r>
        <w:t xml:space="preserve"> Cross-references for "Jehiel": 1Chr 15:18; 1Chr 15:20-21.</w:t>
      </w:r>
    </w:p>
  </w:footnote>
  <w:footnote w:id="8499">
    <w:p>
      <w:pPr>
        <w:pStyle w:val="FootnoteText"/>
      </w:pPr>
      <w:r>
        <w:rPr>
          <w:rStyle w:val="FootnoteReference"/>
        </w:rPr>
        <w:footnoteRef/>
      </w:r>
      <w:r>
        <w:t xml:space="preserve"> Personal name: Zetham. Personal-name meaning: Zetham — olive; their olive. Source form: Zetham.</w:t>
      </w:r>
    </w:p>
  </w:footnote>
  <w:footnote w:id="8500">
    <w:p>
      <w:pPr>
        <w:pStyle w:val="FootnoteText"/>
      </w:pPr>
      <w:r>
        <w:rPr>
          <w:rStyle w:val="FootnoteReference"/>
        </w:rPr>
        <w:footnoteRef/>
      </w:r>
      <w:r>
        <w:t xml:space="preserve"> Cross-references for "Sons of Kohath": Exod 6:18; Num 3:27.</w:t>
      </w:r>
    </w:p>
  </w:footnote>
  <w:footnote w:id="8501">
    <w:p>
      <w:pPr>
        <w:pStyle w:val="FootnoteText"/>
      </w:pPr>
      <w:r>
        <w:rPr>
          <w:rStyle w:val="FootnoteReference"/>
        </w:rPr>
        <w:footnoteRef/>
      </w:r>
      <w:r>
        <w:t xml:space="preserve"> Translation note: Greek phrases Aaron's consecration in a very literal holiness formula. The translation keeps that phrase close to the Greek.</w:t>
      </w:r>
    </w:p>
  </w:footnote>
  <w:footnote w:id="8502">
    <w:p>
      <w:pPr>
        <w:pStyle w:val="FootnoteText"/>
      </w:pPr>
      <w:r>
        <w:rPr>
          <w:rStyle w:val="FootnoteReference"/>
        </w:rPr>
        <w:footnoteRef/>
      </w:r>
      <w:r>
        <w:t xml:space="preserve"> Cross-references for "to burn incense": Exod 30:6-10; Exod 30:34-38.</w:t>
      </w:r>
    </w:p>
  </w:footnote>
  <w:footnote w:id="8503">
    <w:p>
      <w:pPr>
        <w:pStyle w:val="FootnoteText"/>
      </w:pPr>
      <w:r>
        <w:rPr>
          <w:rStyle w:val="FootnoteReference"/>
        </w:rPr>
        <w:footnoteRef/>
      </w:r>
      <w:r>
        <w:t xml:space="preserve"> Cross-references for "his sons": 1Chr 26:23-25.</w:t>
      </w:r>
    </w:p>
  </w:footnote>
  <w:footnote w:id="8504">
    <w:p>
      <w:pPr>
        <w:pStyle w:val="FootnoteText"/>
      </w:pPr>
      <w:r>
        <w:rPr>
          <w:rStyle w:val="FootnoteReference"/>
        </w:rPr>
        <w:footnoteRef/>
      </w:r>
      <w:r>
        <w:t xml:space="preserve"> Cross-references for "Gershom": Exod 2:22; Exod 4:20.</w:t>
      </w:r>
    </w:p>
  </w:footnote>
  <w:footnote w:id="8505">
    <w:p>
      <w:pPr>
        <w:pStyle w:val="FootnoteText"/>
      </w:pPr>
      <w:r>
        <w:rPr>
          <w:rStyle w:val="FootnoteReference"/>
        </w:rPr>
        <w:footnoteRef/>
      </w:r>
      <w:r>
        <w:t xml:space="preserve"> Personal name: Shebuel. Personal-name meaning: Shebuel — turning, or captivity, or seat, of God. Source form: Shebuel.</w:t>
      </w:r>
    </w:p>
  </w:footnote>
  <w:footnote w:id="8506">
    <w:p>
      <w:pPr>
        <w:pStyle w:val="FootnoteText"/>
      </w:pPr>
      <w:r>
        <w:rPr>
          <w:rStyle w:val="FootnoteReference"/>
        </w:rPr>
        <w:footnoteRef/>
      </w:r>
      <w:r>
        <w:t xml:space="preserve"> Cross-references for "Shebuel": 1Chr 24:20; 1Chr 25:20.</w:t>
      </w:r>
    </w:p>
  </w:footnote>
  <w:footnote w:id="8507">
    <w:p>
      <w:pPr>
        <w:pStyle w:val="FootnoteText"/>
      </w:pPr>
      <w:r>
        <w:rPr>
          <w:rStyle w:val="FootnoteReference"/>
        </w:rPr>
        <w:footnoteRef/>
      </w:r>
      <w:r>
        <w:t xml:space="preserve"> Personal name: Rehabiah. Personal-name meaning: Rehabiah — breadth, or extent, of the Lord. Source form: Rehabiah.</w:t>
      </w:r>
    </w:p>
  </w:footnote>
  <w:footnote w:id="8508">
    <w:p>
      <w:pPr>
        <w:pStyle w:val="FootnoteText"/>
      </w:pPr>
      <w:r>
        <w:rPr>
          <w:rStyle w:val="FootnoteReference"/>
        </w:rPr>
        <w:footnoteRef/>
      </w:r>
      <w:r>
        <w:t xml:space="preserve"> Cross-references for "Shelomith": 1Chr 24:22; 1Chr 26:26.</w:t>
      </w:r>
    </w:p>
  </w:footnote>
  <w:footnote w:id="8509">
    <w:p>
      <w:pPr>
        <w:pStyle w:val="FootnoteText"/>
      </w:pPr>
      <w:r>
        <w:rPr>
          <w:rStyle w:val="FootnoteReference"/>
        </w:rPr>
        <w:footnoteRef/>
      </w:r>
      <w:r>
        <w:t xml:space="preserve"> Cross-references for "Hebron": 1Chr 15:9; 1Chr 23:12.</w:t>
      </w:r>
    </w:p>
  </w:footnote>
  <w:footnote w:id="8510">
    <w:p>
      <w:pPr>
        <w:pStyle w:val="FootnoteText"/>
      </w:pPr>
      <w:r>
        <w:rPr>
          <w:rStyle w:val="FootnoteReference"/>
        </w:rPr>
        <w:footnoteRef/>
      </w:r>
      <w:r>
        <w:t xml:space="preserve"> Cross-references for "Merari": 1Chr 6:20; 1Chr 6:30.</w:t>
      </w:r>
    </w:p>
  </w:footnote>
  <w:footnote w:id="8511">
    <w:p>
      <w:pPr>
        <w:pStyle w:val="FootnoteText"/>
      </w:pPr>
      <w:r>
        <w:rPr>
          <w:rStyle w:val="FootnoteReference"/>
        </w:rPr>
        <w:footnoteRef/>
      </w:r>
      <w:r>
        <w:t xml:space="preserve"> Cross-references for "had no sons": 1Chr 24:28.</w:t>
      </w:r>
    </w:p>
  </w:footnote>
  <w:footnote w:id="8512">
    <w:p>
      <w:pPr>
        <w:pStyle w:val="FootnoteText"/>
      </w:pPr>
      <w:r>
        <w:rPr>
          <w:rStyle w:val="FootnoteReference"/>
        </w:rPr>
        <w:footnoteRef/>
      </w:r>
      <w:r>
        <w:t xml:space="preserve"> Cross-references for "Jeremoth": 1Chr 24:30.</w:t>
      </w:r>
    </w:p>
  </w:footnote>
  <w:footnote w:id="8513">
    <w:p>
      <w:pPr>
        <w:pStyle w:val="FootnoteText"/>
      </w:pPr>
      <w:r>
        <w:rPr>
          <w:rStyle w:val="FootnoteReference"/>
        </w:rPr>
        <w:footnoteRef/>
      </w:r>
      <w:r>
        <w:t xml:space="preserve"> Translation note: Greek gives the service-age threshold plainly. The translation keeps that direct form.</w:t>
      </w:r>
    </w:p>
  </w:footnote>
  <w:footnote w:id="8514">
    <w:p>
      <w:pPr>
        <w:pStyle w:val="FootnoteText"/>
      </w:pPr>
      <w:r>
        <w:rPr>
          <w:rStyle w:val="FootnoteReference"/>
        </w:rPr>
        <w:footnoteRef/>
      </w:r>
      <w:r>
        <w:t xml:space="preserve"> Cross-references for "twenty": Num 1:3; Num 4:3.</w:t>
      </w:r>
    </w:p>
  </w:footnote>
  <w:footnote w:id="8515">
    <w:p>
      <w:pPr>
        <w:pStyle w:val="FootnoteText"/>
      </w:pPr>
      <w:r>
        <w:rPr>
          <w:rStyle w:val="FootnoteReference"/>
        </w:rPr>
        <w:footnoteRef/>
      </w:r>
      <w:r>
        <w:t xml:space="preserve"> Cross-references for "the Lord": 2Sam 7:1; 2Sam 7:11.</w:t>
      </w:r>
    </w:p>
  </w:footnote>
  <w:footnote w:id="8516">
    <w:p>
      <w:pPr>
        <w:pStyle w:val="FootnoteText"/>
      </w:pPr>
      <w:r>
        <w:rPr>
          <w:rStyle w:val="FootnoteReference"/>
        </w:rPr>
        <w:footnoteRef/>
      </w:r>
      <w:r>
        <w:t xml:space="preserve"> Translation note: Greek says he set them by hand of Aaron to minister.</w:t>
      </w:r>
    </w:p>
  </w:footnote>
  <w:footnote w:id="8517">
    <w:p>
      <w:pPr>
        <w:pStyle w:val="FootnoteText"/>
      </w:pPr>
      <w:r>
        <w:rPr>
          <w:rStyle w:val="FootnoteReference"/>
        </w:rPr>
        <w:footnoteRef/>
      </w:r>
      <w:r>
        <w:t xml:space="preserve"> Cross-references for "the fine flour": Lev 6:20-23; 1Chr 9:29-34.</w:t>
      </w:r>
    </w:p>
  </w:footnote>
  <w:footnote w:id="8518">
    <w:p>
      <w:pPr>
        <w:pStyle w:val="FootnoteText"/>
      </w:pPr>
      <w:r>
        <w:rPr>
          <w:rStyle w:val="FootnoteReference"/>
        </w:rPr>
        <w:footnoteRef/>
      </w:r>
      <w:r>
        <w:t xml:space="preserve"> Cross-references for "stand": 1Chr 6:31-33; 1Chr 9:33.</w:t>
      </w:r>
    </w:p>
  </w:footnote>
  <w:footnote w:id="8519">
    <w:p>
      <w:pPr>
        <w:pStyle w:val="FootnoteText"/>
      </w:pPr>
      <w:r>
        <w:rPr>
          <w:rStyle w:val="FootnoteReference"/>
        </w:rPr>
        <w:footnoteRef/>
      </w:r>
      <w:r>
        <w:t xml:space="preserve"> Translation note: Greek uses a ritual scheduling formula here. Current wording preserves it.</w:t>
      </w:r>
    </w:p>
  </w:footnote>
  <w:footnote w:id="8520">
    <w:p>
      <w:pPr>
        <w:pStyle w:val="FootnoteText"/>
      </w:pPr>
      <w:r>
        <w:rPr>
          <w:rStyle w:val="FootnoteReference"/>
        </w:rPr>
        <w:footnoteRef/>
      </w:r>
      <w:r>
        <w:t xml:space="preserve"> Cross-references for "keep": Num 1:53; 1Kgs 8:4.</w:t>
      </w:r>
    </w:p>
  </w:footnote>
  <w:footnote w:id="8521">
    <w:p>
      <w:pPr>
        <w:pStyle w:val="FootnoteText"/>
      </w:pPr>
      <w:r>
        <w:rPr>
          <w:rStyle w:val="FootnoteReference"/>
        </w:rPr>
        <w:footnoteRef/>
      </w:r>
      <w:r>
        <w:t xml:space="preserve"> Cross-references for "the sons": Exod 6:23; Exod 28:1.</w:t>
      </w:r>
    </w:p>
  </w:footnote>
  <w:footnote w:id="8522">
    <w:p>
      <w:pPr>
        <w:pStyle w:val="FootnoteText"/>
      </w:pPr>
      <w:r>
        <w:rPr>
          <w:rStyle w:val="FootnoteReference"/>
        </w:rPr>
        <w:footnoteRef/>
      </w:r>
      <w:r>
        <w:t xml:space="preserve"> Cross-references for "Nadab": Exod 24:1; Exod 24:9.</w:t>
      </w:r>
    </w:p>
  </w:footnote>
  <w:footnote w:id="8523">
    <w:p>
      <w:pPr>
        <w:pStyle w:val="FootnoteText"/>
      </w:pPr>
      <w:r>
        <w:rPr>
          <w:rStyle w:val="FootnoteReference"/>
        </w:rPr>
        <w:footnoteRef/>
      </w:r>
      <w:r>
        <w:t xml:space="preserve"> Cross-references for "Zadok": 2Sam 20:25; 1Kgs 2:35.</w:t>
      </w:r>
    </w:p>
  </w:footnote>
  <w:footnote w:id="8524">
    <w:p>
      <w:pPr>
        <w:pStyle w:val="FootnoteText"/>
      </w:pPr>
      <w:r>
        <w:rPr>
          <w:rStyle w:val="FootnoteReference"/>
        </w:rPr>
        <w:footnoteRef/>
      </w:r>
      <w:r>
        <w:t xml:space="preserve"> Translation note: Greek expands the comparison a bit more fully. The translation keeps that shape.</w:t>
      </w:r>
    </w:p>
  </w:footnote>
  <w:footnote w:id="8525">
    <w:p>
      <w:pPr>
        <w:pStyle w:val="FootnoteText"/>
      </w:pPr>
      <w:r>
        <w:rPr>
          <w:rStyle w:val="FootnoteReference"/>
        </w:rPr>
        <w:footnoteRef/>
      </w:r>
      <w:r>
        <w:t xml:space="preserve"> Cross-references for "more": 1Chr 15:6-12.</w:t>
      </w:r>
    </w:p>
  </w:footnote>
  <w:footnote w:id="8526">
    <w:p>
      <w:pPr>
        <w:pStyle w:val="FootnoteText"/>
      </w:pPr>
      <w:r>
        <w:rPr>
          <w:rStyle w:val="FootnoteReference"/>
        </w:rPr>
        <w:footnoteRef/>
      </w:r>
      <w:r>
        <w:t xml:space="preserve"> Translation note: Greek says scribe from Levi. The translation keeps that phrase.</w:t>
      </w:r>
    </w:p>
  </w:footnote>
  <w:footnote w:id="8527">
    <w:p>
      <w:pPr>
        <w:pStyle w:val="FootnoteText"/>
      </w:pPr>
      <w:r>
        <w:rPr>
          <w:rStyle w:val="FootnoteReference"/>
        </w:rPr>
        <w:footnoteRef/>
      </w:r>
      <w:r>
        <w:t xml:space="preserve"> Cross-references for "to Jedaiah": Ezra 2:36; Neh 7:39.</w:t>
      </w:r>
    </w:p>
  </w:footnote>
  <w:footnote w:id="8528">
    <w:p>
      <w:pPr>
        <w:pStyle w:val="FootnoteText"/>
      </w:pPr>
      <w:r>
        <w:rPr>
          <w:rStyle w:val="FootnoteReference"/>
        </w:rPr>
        <w:footnoteRef/>
      </w:r>
      <w:r>
        <w:t xml:space="preserve"> Personal name: Harim. Personal-name meaning: Harim — destroyed; dedicated to God. Source form: Harim.</w:t>
      </w:r>
    </w:p>
  </w:footnote>
  <w:footnote w:id="8529">
    <w:p>
      <w:pPr>
        <w:pStyle w:val="FootnoteText"/>
      </w:pPr>
      <w:r>
        <w:rPr>
          <w:rStyle w:val="FootnoteReference"/>
        </w:rPr>
        <w:footnoteRef/>
      </w:r>
      <w:r>
        <w:t xml:space="preserve"> Personal name: Seorim. Personal-name meaning: Seorim — gates; hairs; tempests. Source form: Seorim.</w:t>
      </w:r>
    </w:p>
  </w:footnote>
  <w:footnote w:id="8530">
    <w:p>
      <w:pPr>
        <w:pStyle w:val="FootnoteText"/>
      </w:pPr>
      <w:r>
        <w:rPr>
          <w:rStyle w:val="FootnoteReference"/>
        </w:rPr>
        <w:footnoteRef/>
      </w:r>
      <w:r>
        <w:t xml:space="preserve"> Cross-references for "Harim": Ezra 2:39; Ezra 10:21.</w:t>
      </w:r>
    </w:p>
  </w:footnote>
  <w:footnote w:id="8531">
    <w:p>
      <w:pPr>
        <w:pStyle w:val="FootnoteText"/>
      </w:pPr>
      <w:r>
        <w:rPr>
          <w:rStyle w:val="FootnoteReference"/>
        </w:rPr>
        <w:footnoteRef/>
      </w:r>
      <w:r>
        <w:t xml:space="preserve"> Personal name: Mijamin. Personal-name meaning: Mijamin — right hand. Source form: Mijamin.</w:t>
      </w:r>
    </w:p>
  </w:footnote>
  <w:footnote w:id="8532">
    <w:p>
      <w:pPr>
        <w:pStyle w:val="FootnoteText"/>
      </w:pPr>
      <w:r>
        <w:rPr>
          <w:rStyle w:val="FootnoteReference"/>
        </w:rPr>
        <w:footnoteRef/>
      </w:r>
      <w:r>
        <w:t xml:space="preserve"> Cross-references for "Mijamin": Neh 12:17.</w:t>
      </w:r>
    </w:p>
  </w:footnote>
  <w:footnote w:id="8533">
    <w:p>
      <w:pPr>
        <w:pStyle w:val="FootnoteText"/>
      </w:pPr>
      <w:r>
        <w:rPr>
          <w:rStyle w:val="FootnoteReference"/>
        </w:rPr>
        <w:footnoteRef/>
      </w:r>
      <w:r>
        <w:t xml:space="preserve"> Personal name: Koz. Personal-name meaning: Koz — thorn; end. Source form: Koz.</w:t>
      </w:r>
    </w:p>
  </w:footnote>
  <w:footnote w:id="8534">
    <w:p>
      <w:pPr>
        <w:pStyle w:val="FootnoteText"/>
      </w:pPr>
      <w:r>
        <w:rPr>
          <w:rStyle w:val="FootnoteReference"/>
        </w:rPr>
        <w:footnoteRef/>
      </w:r>
      <w:r>
        <w:t xml:space="preserve"> Cross-references for "Abijah": Neh 12:4; Neh 12:17.</w:t>
      </w:r>
    </w:p>
  </w:footnote>
  <w:footnote w:id="8535">
    <w:p>
      <w:pPr>
        <w:pStyle w:val="FootnoteText"/>
      </w:pPr>
      <w:r>
        <w:rPr>
          <w:rStyle w:val="FootnoteReference"/>
        </w:rPr>
        <w:footnoteRef/>
      </w:r>
      <w:r>
        <w:t xml:space="preserve"> Transliterated proper noun: Jeshuah. Standard English equivalent: Jeshuah. Source form: Jeshuah. Greek form: ιησου. Name meaning: Yahweh saves.</w:t>
      </w:r>
    </w:p>
  </w:footnote>
  <w:footnote w:id="8536">
    <w:p>
      <w:pPr>
        <w:pStyle w:val="FootnoteText"/>
      </w:pPr>
      <w:r>
        <w:rPr>
          <w:rStyle w:val="FootnoteReference"/>
        </w:rPr>
        <w:footnoteRef/>
      </w:r>
      <w:r>
        <w:t xml:space="preserve"> Cross-references for "Jeshuah": Ezra 2:36; Neh 7:39.</w:t>
      </w:r>
    </w:p>
  </w:footnote>
  <w:footnote w:id="8537">
    <w:p>
      <w:pPr>
        <w:pStyle w:val="FootnoteText"/>
      </w:pPr>
      <w:r>
        <w:rPr>
          <w:rStyle w:val="FootnoteReference"/>
        </w:rPr>
        <w:footnoteRef/>
      </w:r>
      <w:r>
        <w:t xml:space="preserve"> Cross-references for "Eliashib": Neh 12:10.</w:t>
      </w:r>
    </w:p>
  </w:footnote>
  <w:footnote w:id="8538">
    <w:p>
      <w:pPr>
        <w:pStyle w:val="FootnoteText"/>
      </w:pPr>
      <w:r>
        <w:rPr>
          <w:rStyle w:val="FootnoteReference"/>
        </w:rPr>
        <w:footnoteRef/>
      </w:r>
      <w:r>
        <w:t xml:space="preserve"> Personal name: Bilgah. Personal-name meaning: Bilgah — ancient countenance. Source form: Bilgah.</w:t>
      </w:r>
    </w:p>
  </w:footnote>
  <w:footnote w:id="8539">
    <w:p>
      <w:pPr>
        <w:pStyle w:val="FootnoteText"/>
      </w:pPr>
      <w:r>
        <w:rPr>
          <w:rStyle w:val="FootnoteReference"/>
        </w:rPr>
        <w:footnoteRef/>
      </w:r>
      <w:r>
        <w:t xml:space="preserve"> Cross-references for "Immer": Ezra 2:37; Ezra 10:20.</w:t>
      </w:r>
    </w:p>
  </w:footnote>
  <w:footnote w:id="8540">
    <w:p>
      <w:pPr>
        <w:pStyle w:val="FootnoteText"/>
      </w:pPr>
      <w:r>
        <w:rPr>
          <w:rStyle w:val="FootnoteReference"/>
        </w:rPr>
        <w:footnoteRef/>
      </w:r>
      <w:r>
        <w:t xml:space="preserve"> Personal name: Hezir. Personal-name meaning: Hezir — a bog; converted. Source form: Hezir.</w:t>
      </w:r>
    </w:p>
  </w:footnote>
  <w:footnote w:id="8541">
    <w:p>
      <w:pPr>
        <w:pStyle w:val="FootnoteText"/>
      </w:pPr>
      <w:r>
        <w:rPr>
          <w:rStyle w:val="FootnoteReference"/>
        </w:rPr>
        <w:footnoteRef/>
      </w:r>
      <w:r>
        <w:t xml:space="preserve"> Personal name: Pethahiah. Personal-name meaning: Pethahiah — the Lord opening; gate of the Lord. Source form: Pethahiah.</w:t>
      </w:r>
    </w:p>
  </w:footnote>
  <w:footnote w:id="8542">
    <w:p>
      <w:pPr>
        <w:pStyle w:val="FootnoteText"/>
      </w:pPr>
      <w:r>
        <w:rPr>
          <w:rStyle w:val="FootnoteReference"/>
        </w:rPr>
        <w:footnoteRef/>
      </w:r>
      <w:r>
        <w:t xml:space="preserve"> Transliterated proper noun: Jehezekel. Standard English equivalent: Jehezekel. Source form: Jehezekel. Greek form: εζεκηλ. Name meaning: strength of God.</w:t>
      </w:r>
    </w:p>
  </w:footnote>
  <w:footnote w:id="8543">
    <w:p>
      <w:pPr>
        <w:pStyle w:val="FootnoteText"/>
      </w:pPr>
      <w:r>
        <w:rPr>
          <w:rStyle w:val="FootnoteReference"/>
        </w:rPr>
        <w:footnoteRef/>
      </w:r>
      <w:r>
        <w:t xml:space="preserve"> Personal name: Gamul. Personal-name meaning: Gamul — a recompense. Source form: Gamul.</w:t>
      </w:r>
    </w:p>
  </w:footnote>
  <w:footnote w:id="8544">
    <w:p>
      <w:pPr>
        <w:pStyle w:val="FootnoteText"/>
      </w:pPr>
      <w:r>
        <w:rPr>
          <w:rStyle w:val="FootnoteReference"/>
        </w:rPr>
        <w:footnoteRef/>
      </w:r>
      <w:r>
        <w:t xml:space="preserve"> Personal name: Delaiah. Personal-name meaning: Delaiah — the poor of the Lord. Source form: Delaiah.</w:t>
      </w:r>
    </w:p>
  </w:footnote>
  <w:footnote w:id="8545">
    <w:p>
      <w:pPr>
        <w:pStyle w:val="FootnoteText"/>
      </w:pPr>
      <w:r>
        <w:rPr>
          <w:rStyle w:val="FootnoteReference"/>
        </w:rPr>
        <w:footnoteRef/>
      </w:r>
      <w:r>
        <w:t xml:space="preserve"> Personal name: Maaziah. Personal-name meaning: Maaziah — consolation/strength of Yahweh. Source form: Maaziah.</w:t>
      </w:r>
    </w:p>
  </w:footnote>
  <w:footnote w:id="8546">
    <w:p>
      <w:pPr>
        <w:pStyle w:val="FootnoteText"/>
      </w:pPr>
      <w:r>
        <w:rPr>
          <w:rStyle w:val="FootnoteReference"/>
        </w:rPr>
        <w:footnoteRef/>
      </w:r>
      <w:r>
        <w:t xml:space="preserve"> Cross-references for "Amram": 1Chr 6:18; 1Chr 23:12-14.</w:t>
      </w:r>
    </w:p>
  </w:footnote>
  <w:footnote w:id="8547">
    <w:p>
      <w:pPr>
        <w:pStyle w:val="FootnoteText"/>
      </w:pPr>
      <w:r>
        <w:rPr>
          <w:rStyle w:val="FootnoteReference"/>
        </w:rPr>
        <w:footnoteRef/>
      </w:r>
      <w:r>
        <w:t xml:space="preserve"> Cross-references for "Rehabiah": 1Chr 23:17.</w:t>
      </w:r>
    </w:p>
  </w:footnote>
  <w:footnote w:id="8548">
    <w:p>
      <w:pPr>
        <w:pStyle w:val="FootnoteText"/>
      </w:pPr>
      <w:r>
        <w:rPr>
          <w:rStyle w:val="FootnoteReference"/>
        </w:rPr>
        <w:footnoteRef/>
      </w:r>
      <w:r>
        <w:t xml:space="preserve"> Transliterated proper noun: Iesias. Standard English equivalent: Isshiah. Source form: Iesias. Greek form: ιεσιας. Name meaning: it is the Lord.</w:t>
      </w:r>
    </w:p>
  </w:footnote>
  <w:footnote w:id="8549">
    <w:p>
      <w:pPr>
        <w:pStyle w:val="FootnoteText"/>
      </w:pPr>
      <w:r>
        <w:rPr>
          <w:rStyle w:val="FootnoteReference"/>
        </w:rPr>
        <w:footnoteRef/>
      </w:r>
      <w:r>
        <w:t xml:space="preserve"> People-name: Izharites. People-name meaning: Izharites — clearness; oil. Source form: Izharites.</w:t>
      </w:r>
    </w:p>
  </w:footnote>
  <w:footnote w:id="8550">
    <w:p>
      <w:pPr>
        <w:pStyle w:val="FootnoteText"/>
      </w:pPr>
      <w:r>
        <w:rPr>
          <w:rStyle w:val="FootnoteReference"/>
        </w:rPr>
        <w:footnoteRef/>
      </w:r>
      <w:r>
        <w:t xml:space="preserve"> Cross-references for "Izharites": Exod 6:21; Num 3:19.</w:t>
      </w:r>
    </w:p>
  </w:footnote>
  <w:footnote w:id="8551">
    <w:p>
      <w:pPr>
        <w:pStyle w:val="FootnoteText"/>
      </w:pPr>
      <w:r>
        <w:rPr>
          <w:rStyle w:val="FootnoteReference"/>
        </w:rPr>
        <w:footnoteRef/>
      </w:r>
      <w:r>
        <w:t xml:space="preserve"> Personal name: Jahaziel. Personal-name meaning: Jahaziel — seeing God. Source form: Jahaziel.</w:t>
      </w:r>
    </w:p>
  </w:footnote>
  <w:footnote w:id="8552">
    <w:p>
      <w:pPr>
        <w:pStyle w:val="FootnoteText"/>
      </w:pPr>
      <w:r>
        <w:rPr>
          <w:rStyle w:val="FootnoteReference"/>
        </w:rPr>
        <w:footnoteRef/>
      </w:r>
      <w:r>
        <w:t xml:space="preserve"> Cross-references for "Michah": 1Chr 23:20.</w:t>
      </w:r>
    </w:p>
  </w:footnote>
  <w:footnote w:id="8553">
    <w:p>
      <w:pPr>
        <w:pStyle w:val="FootnoteText"/>
      </w:pPr>
      <w:r>
        <w:rPr>
          <w:rStyle w:val="FootnoteReference"/>
        </w:rPr>
        <w:footnoteRef/>
      </w:r>
      <w:r>
        <w:t xml:space="preserve"> Cross-references for "Zechariah": 1Chr 15:18; 1Chr 15:20.</w:t>
      </w:r>
    </w:p>
  </w:footnote>
  <w:footnote w:id="8554">
    <w:p>
      <w:pPr>
        <w:pStyle w:val="FootnoteText"/>
      </w:pPr>
      <w:r>
        <w:rPr>
          <w:rStyle w:val="FootnoteReference"/>
        </w:rPr>
        <w:footnoteRef/>
      </w:r>
      <w:r>
        <w:t xml:space="preserve"> Cross-references for "Sons": 1Chr 6:19; 1Chr 23:21.</w:t>
      </w:r>
    </w:p>
  </w:footnote>
  <w:footnote w:id="8555">
    <w:p>
      <w:pPr>
        <w:pStyle w:val="FootnoteText"/>
      </w:pPr>
      <w:r>
        <w:rPr>
          <w:rStyle w:val="FootnoteReference"/>
        </w:rPr>
        <w:footnoteRef/>
      </w:r>
      <w:r>
        <w:t xml:space="preserve"> Cross-references for "Jerahmeel": 1Chr 2:9.</w:t>
      </w:r>
    </w:p>
  </w:footnote>
  <w:footnote w:id="8556">
    <w:p>
      <w:pPr>
        <w:pStyle w:val="FootnoteText"/>
      </w:pPr>
      <w:r>
        <w:rPr>
          <w:rStyle w:val="FootnoteReference"/>
        </w:rPr>
        <w:footnoteRef/>
      </w:r>
      <w:r>
        <w:t xml:space="preserve"> Cross-references for "Mushi": 1Chr 6:47; 1Chr 23:23.</w:t>
      </w:r>
    </w:p>
  </w:footnote>
  <w:footnote w:id="8557">
    <w:p>
      <w:pPr>
        <w:pStyle w:val="FootnoteText"/>
      </w:pPr>
      <w:r>
        <w:rPr>
          <w:rStyle w:val="FootnoteReference"/>
        </w:rPr>
        <w:footnoteRef/>
      </w:r>
      <w:r>
        <w:t xml:space="preserve"> Cross-references for "lots": Num 26:56; 1Chr 24:5-6.</w:t>
      </w:r>
    </w:p>
  </w:footnote>
  <w:footnote w:id="8558">
    <w:p>
      <w:pPr>
        <w:pStyle w:val="FootnoteText"/>
      </w:pPr>
      <w:r>
        <w:rPr>
          <w:rStyle w:val="FootnoteReference"/>
        </w:rPr>
        <w:footnoteRef/>
      </w:r>
      <w:r>
        <w:t xml:space="preserve"> Translation note: Greek keeps that elder-versus-younger contrast here.</w:t>
      </w:r>
    </w:p>
  </w:footnote>
  <w:footnote w:id="8559">
    <w:p>
      <w:pPr>
        <w:pStyle w:val="FootnoteText"/>
      </w:pPr>
      <w:r>
        <w:rPr>
          <w:rStyle w:val="FootnoteReference"/>
        </w:rPr>
        <w:footnoteRef/>
      </w:r>
      <w:r>
        <w:t xml:space="preserve"> Cross-references for "Asaph": 1Chr 6:33; 1Chr 6:39.</w:t>
      </w:r>
    </w:p>
  </w:footnote>
  <w:footnote w:id="8560">
    <w:p>
      <w:pPr>
        <w:pStyle w:val="FootnoteText"/>
      </w:pPr>
      <w:r>
        <w:rPr>
          <w:rStyle w:val="FootnoteReference"/>
        </w:rPr>
        <w:footnoteRef/>
      </w:r>
      <w:r>
        <w:t xml:space="preserve"> Translation note: Greek keeps the uttering-oracular verb and fuller work-list framing here.</w:t>
      </w:r>
    </w:p>
  </w:footnote>
  <w:footnote w:id="8561">
    <w:p>
      <w:pPr>
        <w:pStyle w:val="FootnoteText"/>
      </w:pPr>
      <w:r>
        <w:rPr>
          <w:rStyle w:val="FootnoteReference"/>
        </w:rPr>
        <w:footnoteRef/>
      </w:r>
      <w:r>
        <w:t xml:space="preserve"> Cross-references for "Asaph": 1Chr 6:39; 1Chr 15:17.</w:t>
      </w:r>
    </w:p>
  </w:footnote>
  <w:footnote w:id="8562">
    <w:p>
      <w:pPr>
        <w:pStyle w:val="FootnoteText"/>
      </w:pPr>
      <w:r>
        <w:rPr>
          <w:rStyle w:val="FootnoteReference"/>
        </w:rPr>
        <w:footnoteRef/>
      </w:r>
      <w:r>
        <w:t xml:space="preserve"> Transliterated proper noun: Asarelah. Standard English equivalent: Asarelah. Source form: Asarelah. Greek form: ασαφ. Name meaning: upright toward God; God has turned.</w:t>
      </w:r>
    </w:p>
  </w:footnote>
  <w:footnote w:id="8563">
    <w:p>
      <w:pPr>
        <w:pStyle w:val="FootnoteText"/>
      </w:pPr>
      <w:r>
        <w:rPr>
          <w:rStyle w:val="FootnoteReference"/>
        </w:rPr>
        <w:footnoteRef/>
      </w:r>
      <w:r>
        <w:t xml:space="preserve"> Cross-references for "Jeduthun": 1Chr 9:16; 1Chr 16:41-42.</w:t>
      </w:r>
    </w:p>
  </w:footnote>
  <w:footnote w:id="8564">
    <w:p>
      <w:pPr>
        <w:pStyle w:val="FootnoteText"/>
      </w:pPr>
      <w:r>
        <w:rPr>
          <w:rStyle w:val="FootnoteReference"/>
        </w:rPr>
        <w:footnoteRef/>
      </w:r>
      <w:r>
        <w:t xml:space="preserve"> Transliterated proper noun: Souri. Standard English equivalent: Zeri. Source form: Souri. Greek form: σουρι. Name meaning: built; fashioned; balsam.</w:t>
      </w:r>
    </w:p>
  </w:footnote>
  <w:footnote w:id="8565">
    <w:p>
      <w:pPr>
        <w:pStyle w:val="FootnoteText"/>
      </w:pPr>
      <w:r>
        <w:rPr>
          <w:rStyle w:val="FootnoteReference"/>
        </w:rPr>
        <w:footnoteRef/>
      </w:r>
      <w:r>
        <w:t xml:space="preserve"> Cross-references for "Heman": 1Chr 6:33; 1Chr 15:17.</w:t>
      </w:r>
    </w:p>
  </w:footnote>
  <w:footnote w:id="8566">
    <w:p>
      <w:pPr>
        <w:pStyle w:val="FootnoteText"/>
      </w:pPr>
      <w:r>
        <w:rPr>
          <w:rStyle w:val="FootnoteReference"/>
        </w:rPr>
        <w:footnoteRef/>
      </w:r>
      <w:r>
        <w:t xml:space="preserve"> Personal name: Bukkiah. Personal-name meaning: Bukkiah — the dissipation of the Lord. Source form: Bukkiah.</w:t>
      </w:r>
    </w:p>
  </w:footnote>
  <w:footnote w:id="8567">
    <w:p>
      <w:pPr>
        <w:pStyle w:val="FootnoteText"/>
      </w:pPr>
      <w:r>
        <w:rPr>
          <w:rStyle w:val="FootnoteReference"/>
        </w:rPr>
        <w:footnoteRef/>
      </w:r>
      <w:r>
        <w:t xml:space="preserve"> Personal name: Azarel. Personal-name meaning: Azarel — help of God. Source form: Azarel.</w:t>
      </w:r>
    </w:p>
  </w:footnote>
  <w:footnote w:id="8568">
    <w:p>
      <w:pPr>
        <w:pStyle w:val="FootnoteText"/>
      </w:pPr>
      <w:r>
        <w:rPr>
          <w:rStyle w:val="FootnoteReference"/>
        </w:rPr>
        <w:footnoteRef/>
      </w:r>
      <w:r>
        <w:t xml:space="preserve"> Personal name: Ananias. Personal-name meaning: Ananias — Yahweh has been gracious. Source form: Ananias.</w:t>
      </w:r>
    </w:p>
  </w:footnote>
  <w:footnote w:id="8569">
    <w:p>
      <w:pPr>
        <w:pStyle w:val="FootnoteText"/>
      </w:pPr>
      <w:r>
        <w:rPr>
          <w:rStyle w:val="FootnoteReference"/>
        </w:rPr>
        <w:footnoteRef/>
      </w:r>
      <w:r>
        <w:t xml:space="preserve"> Personal name: Eliathah. Personal-name meaning: Eliathah — thou art my God. Source form: Eliathah.</w:t>
      </w:r>
    </w:p>
  </w:footnote>
  <w:footnote w:id="8570">
    <w:p>
      <w:pPr>
        <w:pStyle w:val="FootnoteText"/>
      </w:pPr>
      <w:r>
        <w:rPr>
          <w:rStyle w:val="FootnoteReference"/>
        </w:rPr>
        <w:footnoteRef/>
      </w:r>
      <w:r>
        <w:t xml:space="preserve"> Personal name: Giddalti. Personal-name meaning: Giddalti — I have magnified. Source form: Giddalti.</w:t>
      </w:r>
    </w:p>
  </w:footnote>
  <w:footnote w:id="8571">
    <w:p>
      <w:pPr>
        <w:pStyle w:val="FootnoteText"/>
      </w:pPr>
      <w:r>
        <w:rPr>
          <w:rStyle w:val="FootnoteReference"/>
        </w:rPr>
        <w:footnoteRef/>
      </w:r>
      <w:r>
        <w:t xml:space="preserve"> Personal name: Romamtiezer. Personal-name meaning: Romamtiezer — exaltation of help. Source form: Romamtiezer.</w:t>
      </w:r>
    </w:p>
  </w:footnote>
  <w:footnote w:id="8572">
    <w:p>
      <w:pPr>
        <w:pStyle w:val="FootnoteText"/>
      </w:pPr>
      <w:r>
        <w:rPr>
          <w:rStyle w:val="FootnoteReference"/>
        </w:rPr>
        <w:footnoteRef/>
      </w:r>
      <w:r>
        <w:t xml:space="preserve"> Personal name: Joshbekashah. Personal-name meaning: Joshbekashah — a hard seat; difficult dwelling. Source form: Joshbekashah.</w:t>
      </w:r>
    </w:p>
  </w:footnote>
  <w:footnote w:id="8573">
    <w:p>
      <w:pPr>
        <w:pStyle w:val="FootnoteText"/>
      </w:pPr>
      <w:r>
        <w:rPr>
          <w:rStyle w:val="FootnoteReference"/>
        </w:rPr>
        <w:footnoteRef/>
      </w:r>
      <w:r>
        <w:t xml:space="preserve"> Personal name: Mallothi. Personal-name meaning: Mallothi — fullness; circumcision. Source form: Mallothi.</w:t>
      </w:r>
    </w:p>
  </w:footnote>
  <w:footnote w:id="8574">
    <w:p>
      <w:pPr>
        <w:pStyle w:val="FootnoteText"/>
      </w:pPr>
      <w:r>
        <w:rPr>
          <w:rStyle w:val="FootnoteReference"/>
        </w:rPr>
        <w:footnoteRef/>
      </w:r>
      <w:r>
        <w:t xml:space="preserve"> Personal name: Hothir. Personal-name meaning: Hothir — excelling; remaining. Source form: Hothir.</w:t>
      </w:r>
    </w:p>
  </w:footnote>
  <w:footnote w:id="8575">
    <w:p>
      <w:pPr>
        <w:pStyle w:val="FootnoteText"/>
      </w:pPr>
      <w:r>
        <w:rPr>
          <w:rStyle w:val="FootnoteReference"/>
        </w:rPr>
        <w:footnoteRef/>
      </w:r>
      <w:r>
        <w:t xml:space="preserve"> Personal name: Mahazioth. Personal-name meaning: Mahazioth — seeing a sign; seeing a letter. Source form: Mahazioth.</w:t>
      </w:r>
    </w:p>
  </w:footnote>
  <w:footnote w:id="8576">
    <w:p>
      <w:pPr>
        <w:pStyle w:val="FootnoteText"/>
      </w:pPr>
      <w:r>
        <w:rPr>
          <w:rStyle w:val="FootnoteReference"/>
        </w:rPr>
        <w:footnoteRef/>
      </w:r>
      <w:r>
        <w:t xml:space="preserve"> Translation note: Greek name list differs here. Current line follows transmitted Greek names.</w:t>
      </w:r>
    </w:p>
  </w:footnote>
  <w:footnote w:id="8577">
    <w:p>
      <w:pPr>
        <w:pStyle w:val="FootnoteText"/>
      </w:pPr>
      <w:r>
        <w:rPr>
          <w:rStyle w:val="FootnoteReference"/>
        </w:rPr>
        <w:footnoteRef/>
      </w:r>
      <w:r>
        <w:t xml:space="preserve"> Cross-references for "God gave": Gen 33:5; 1Chr 28:5.</w:t>
      </w:r>
    </w:p>
  </w:footnote>
  <w:footnote w:id="8578">
    <w:p>
      <w:pPr>
        <w:pStyle w:val="FootnoteText"/>
      </w:pPr>
      <w:r>
        <w:rPr>
          <w:rStyle w:val="FootnoteReference"/>
        </w:rPr>
        <w:footnoteRef/>
      </w:r>
      <w:r>
        <w:t xml:space="preserve"> Translation note: Greek uses the hymn-verb rather than a generic song term. The translation keeps that more specific liturgical wording.</w:t>
      </w:r>
    </w:p>
  </w:footnote>
  <w:footnote w:id="8579">
    <w:p>
      <w:pPr>
        <w:pStyle w:val="FootnoteText"/>
      </w:pPr>
      <w:r>
        <w:rPr>
          <w:rStyle w:val="FootnoteReference"/>
        </w:rPr>
        <w:footnoteRef/>
      </w:r>
      <w:r>
        <w:t xml:space="preserve"> Cross-references for "Asaph": 1Chr 25:1-4.</w:t>
      </w:r>
    </w:p>
  </w:footnote>
  <w:footnote w:id="8580">
    <w:p>
      <w:pPr>
        <w:pStyle w:val="FootnoteText"/>
      </w:pPr>
      <w:r>
        <w:rPr>
          <w:rStyle w:val="FootnoteReference"/>
        </w:rPr>
        <w:footnoteRef/>
      </w:r>
      <w:r>
        <w:t xml:space="preserve"> Cross-references for "two hundred": 1Chr 23:5.</w:t>
      </w:r>
    </w:p>
  </w:footnote>
  <w:footnote w:id="8581">
    <w:p>
      <w:pPr>
        <w:pStyle w:val="FootnoteText"/>
      </w:pPr>
      <w:r>
        <w:rPr>
          <w:rStyle w:val="FootnoteReference"/>
        </w:rPr>
        <w:footnoteRef/>
      </w:r>
      <w:r>
        <w:t xml:space="preserve"> Cross-references for "cast lots": Lev 16:8; 1Sam 14:41-42.</w:t>
      </w:r>
    </w:p>
  </w:footnote>
  <w:footnote w:id="8582">
    <w:p>
      <w:pPr>
        <w:pStyle w:val="FootnoteText"/>
      </w:pPr>
      <w:r>
        <w:rPr>
          <w:rStyle w:val="FootnoteReference"/>
        </w:rPr>
        <w:footnoteRef/>
      </w:r>
      <w:r>
        <w:t xml:space="preserve"> Cross-references for "Joseph": 1Chr 25:2.</w:t>
      </w:r>
    </w:p>
  </w:footnote>
  <w:footnote w:id="8583">
    <w:p>
      <w:pPr>
        <w:pStyle w:val="FootnoteText"/>
      </w:pPr>
      <w:r>
        <w:rPr>
          <w:rStyle w:val="FootnoteReference"/>
        </w:rPr>
        <w:footnoteRef/>
      </w:r>
      <w:r>
        <w:t xml:space="preserve"> Cross-references for "Zaccur": 1Chr 25:2.</w:t>
      </w:r>
    </w:p>
  </w:footnote>
  <w:footnote w:id="8584">
    <w:p>
      <w:pPr>
        <w:pStyle w:val="FootnoteText"/>
      </w:pPr>
      <w:r>
        <w:rPr>
          <w:rStyle w:val="FootnoteReference"/>
        </w:rPr>
        <w:footnoteRef/>
      </w:r>
      <w:r>
        <w:t xml:space="preserve"> Cross-references for "Nethaniah": 1Chr 25:2.</w:t>
      </w:r>
    </w:p>
  </w:footnote>
  <w:footnote w:id="8585">
    <w:p>
      <w:pPr>
        <w:pStyle w:val="FootnoteText"/>
      </w:pPr>
      <w:r>
        <w:rPr>
          <w:rStyle w:val="FootnoteReference"/>
        </w:rPr>
        <w:footnoteRef/>
      </w:r>
      <w:r>
        <w:t xml:space="preserve"> Personal name: Jesharelah. Personal-name meaning: Jesharelah — upright toward God. Source form: Jesharelah.</w:t>
      </w:r>
    </w:p>
  </w:footnote>
  <w:footnote w:id="8586">
    <w:p>
      <w:pPr>
        <w:pStyle w:val="FootnoteText"/>
      </w:pPr>
      <w:r>
        <w:rPr>
          <w:rStyle w:val="FootnoteReference"/>
        </w:rPr>
        <w:footnoteRef/>
      </w:r>
      <w:r>
        <w:t xml:space="preserve"> Cross-references for "Jesharelah": 1Chr 25:2.</w:t>
      </w:r>
    </w:p>
  </w:footnote>
  <w:footnote w:id="8587">
    <w:p>
      <w:pPr>
        <w:pStyle w:val="FootnoteText"/>
      </w:pPr>
      <w:r>
        <w:rPr>
          <w:rStyle w:val="FootnoteReference"/>
        </w:rPr>
        <w:footnoteRef/>
      </w:r>
      <w:r>
        <w:t xml:space="preserve"> Personal name: Jeshaiah. Personal-name meaning: Jeshaiah — salvation of Yahweh. Source form: Jeshaiah.</w:t>
      </w:r>
    </w:p>
  </w:footnote>
  <w:footnote w:id="8588">
    <w:p>
      <w:pPr>
        <w:pStyle w:val="FootnoteText"/>
      </w:pPr>
      <w:r>
        <w:rPr>
          <w:rStyle w:val="FootnoteReference"/>
        </w:rPr>
        <w:footnoteRef/>
      </w:r>
      <w:r>
        <w:t xml:space="preserve"> Cross-references for "Hashabiah": 1Chr 25:3.</w:t>
      </w:r>
    </w:p>
  </w:footnote>
  <w:footnote w:id="8589">
    <w:p>
      <w:pPr>
        <w:pStyle w:val="FootnoteText"/>
      </w:pPr>
      <w:r>
        <w:rPr>
          <w:rStyle w:val="FootnoteReference"/>
        </w:rPr>
        <w:footnoteRef/>
      </w:r>
      <w:r>
        <w:t xml:space="preserve"> Cross-references for "Mahazioth": 1Chr 25:4.</w:t>
      </w:r>
    </w:p>
  </w:footnote>
  <w:footnote w:id="8590">
    <w:p>
      <w:pPr>
        <w:pStyle w:val="FootnoteText"/>
      </w:pPr>
      <w:r>
        <w:rPr>
          <w:rStyle w:val="FootnoteReference"/>
        </w:rPr>
        <w:footnoteRef/>
      </w:r>
      <w:r>
        <w:t xml:space="preserve"> Cross-references for "Romamtiezer": 1Chr 25:4.</w:t>
      </w:r>
    </w:p>
  </w:footnote>
  <w:footnote w:id="8591">
    <w:p>
      <w:pPr>
        <w:pStyle w:val="FootnoteText"/>
      </w:pPr>
      <w:r>
        <w:rPr>
          <w:rStyle w:val="FootnoteReference"/>
        </w:rPr>
        <w:footnoteRef/>
      </w:r>
      <w:r>
        <w:t xml:space="preserve"> Cross-references for "the divisions": 1Chr 23:5; 1Chr 26:14-16.</w:t>
      </w:r>
    </w:p>
  </w:footnote>
  <w:footnote w:id="8592">
    <w:p>
      <w:pPr>
        <w:pStyle w:val="FootnoteText"/>
      </w:pPr>
      <w:r>
        <w:rPr>
          <w:rStyle w:val="FootnoteReference"/>
        </w:rPr>
        <w:footnoteRef/>
      </w:r>
      <w:r>
        <w:t xml:space="preserve"> Personal name: Jathniel. Personal-name meaning: Jathniel — gift of God. Source form: Jathniel.</w:t>
      </w:r>
    </w:p>
  </w:footnote>
  <w:footnote w:id="8593">
    <w:p>
      <w:pPr>
        <w:pStyle w:val="FootnoteText"/>
      </w:pPr>
      <w:r>
        <w:rPr>
          <w:rStyle w:val="FootnoteReference"/>
        </w:rPr>
        <w:footnoteRef/>
      </w:r>
      <w:r>
        <w:t xml:space="preserve"> Transliterated proper noun: Jehohanan. Standard English equivalent: Jehohanan. Source form: Jehohanan. Greek form: ιωαναν. Name meaning: grace, or mercy, or gift, of the Lord.</w:t>
      </w:r>
    </w:p>
  </w:footnote>
  <w:footnote w:id="8594">
    <w:p>
      <w:pPr>
        <w:pStyle w:val="FootnoteText"/>
      </w:pPr>
      <w:r>
        <w:rPr>
          <w:rStyle w:val="FootnoteReference"/>
        </w:rPr>
        <w:footnoteRef/>
      </w:r>
      <w:r>
        <w:t xml:space="preserve"> Translation note: Greek gives a terse ordinal name list. Current wording preserves it.</w:t>
      </w:r>
    </w:p>
  </w:footnote>
  <w:footnote w:id="8595">
    <w:p>
      <w:pPr>
        <w:pStyle w:val="FootnoteText"/>
      </w:pPr>
      <w:r>
        <w:rPr>
          <w:rStyle w:val="FootnoteReference"/>
        </w:rPr>
        <w:footnoteRef/>
      </w:r>
      <w:r>
        <w:t xml:space="preserve"> Cross-references for "Obededom": 1Chr 15:18; 1Chr 15:21.</w:t>
      </w:r>
    </w:p>
  </w:footnote>
  <w:footnote w:id="8596">
    <w:p>
      <w:pPr>
        <w:pStyle w:val="FootnoteText"/>
      </w:pPr>
      <w:r>
        <w:rPr>
          <w:rStyle w:val="FootnoteReference"/>
        </w:rPr>
        <w:footnoteRef/>
      </w:r>
      <w:r>
        <w:t xml:space="preserve"> Personal name: Jehozabad. Personal-name meaning: Jehozabad — the Lord's dowry; having a dowry. Source form: Jehozabad.</w:t>
      </w:r>
    </w:p>
  </w:footnote>
  <w:footnote w:id="8597">
    <w:p>
      <w:pPr>
        <w:pStyle w:val="FootnoteText"/>
      </w:pPr>
      <w:r>
        <w:rPr>
          <w:rStyle w:val="FootnoteReference"/>
        </w:rPr>
        <w:footnoteRef/>
      </w:r>
      <w:r>
        <w:t xml:space="preserve"> Transliterated proper noun: Sacar. Standard English equivalent: Sacar. Source form: Sacar. Greek form: σωχαρ. Name meaning: wares; a price.</w:t>
      </w:r>
    </w:p>
  </w:footnote>
  <w:footnote w:id="8598">
    <w:p>
      <w:pPr>
        <w:pStyle w:val="FootnoteText"/>
      </w:pPr>
      <w:r>
        <w:rPr>
          <w:rStyle w:val="FootnoteReference"/>
        </w:rPr>
        <w:footnoteRef/>
      </w:r>
      <w:r>
        <w:t xml:space="preserve"> Transliterated proper noun: Peulthai. Standard English equivalent: Peulthai. Source form: Peulthai. Greek form: φολλαθι. Name meaning: my works.</w:t>
      </w:r>
    </w:p>
  </w:footnote>
  <w:footnote w:id="8599">
    <w:p>
      <w:pPr>
        <w:pStyle w:val="FootnoteText"/>
      </w:pPr>
      <w:r>
        <w:rPr>
          <w:rStyle w:val="FootnoteReference"/>
        </w:rPr>
        <w:footnoteRef/>
      </w:r>
      <w:r>
        <w:t xml:space="preserve"> Personal name: Othni. Personal-name meaning: Othni — my time; my hour. Source form: Othni.</w:t>
      </w:r>
    </w:p>
  </w:footnote>
  <w:footnote w:id="8600">
    <w:p>
      <w:pPr>
        <w:pStyle w:val="FootnoteText"/>
      </w:pPr>
      <w:r>
        <w:rPr>
          <w:rStyle w:val="FootnoteReference"/>
        </w:rPr>
        <w:footnoteRef/>
      </w:r>
      <w:r>
        <w:t xml:space="preserve"> Personal name: Rephael. Personal-name meaning: Rephael — the physic or medicine of God. Source form: Rephael.</w:t>
      </w:r>
    </w:p>
  </w:footnote>
  <w:footnote w:id="8601">
    <w:p>
      <w:pPr>
        <w:pStyle w:val="FootnoteText"/>
      </w:pPr>
      <w:r>
        <w:rPr>
          <w:rStyle w:val="FootnoteReference"/>
        </w:rPr>
        <w:footnoteRef/>
      </w:r>
      <w:r>
        <w:t xml:space="preserve"> Personal name: Elzabad. Personal-name meaning: Elzabad — the dowry of God. Source form: Elzabad.</w:t>
      </w:r>
    </w:p>
  </w:footnote>
  <w:footnote w:id="8602">
    <w:p>
      <w:pPr>
        <w:pStyle w:val="FootnoteText"/>
      </w:pPr>
      <w:r>
        <w:rPr>
          <w:rStyle w:val="FootnoteReference"/>
        </w:rPr>
        <w:footnoteRef/>
      </w:r>
      <w:r>
        <w:t xml:space="preserve"> Personal name: Semachiah. Personal-name meaning: Semachiah — joined to the Lord. Source form: Semachiah.</w:t>
      </w:r>
    </w:p>
  </w:footnote>
  <w:footnote w:id="8603">
    <w:p>
      <w:pPr>
        <w:pStyle w:val="FootnoteText"/>
      </w:pPr>
      <w:r>
        <w:rPr>
          <w:rStyle w:val="FootnoteReference"/>
        </w:rPr>
        <w:footnoteRef/>
      </w:r>
      <w:r>
        <w:t xml:space="preserve"> Cross-references for "Meshelemiah": 1Chr 26:1; 1Chr 26:14.</w:t>
      </w:r>
    </w:p>
  </w:footnote>
  <w:footnote w:id="8604">
    <w:p>
      <w:pPr>
        <w:pStyle w:val="FootnoteText"/>
      </w:pPr>
      <w:r>
        <w:rPr>
          <w:rStyle w:val="FootnoteReference"/>
        </w:rPr>
        <w:footnoteRef/>
      </w:r>
      <w:r>
        <w:t xml:space="preserve"> Transliterated proper noun: Hosah. Standard English equivalent: Hosah. Source form: Hosah. Greek form: ωσα. Name meaning: trusting.</w:t>
      </w:r>
    </w:p>
  </w:footnote>
  <w:footnote w:id="8605">
    <w:p>
      <w:pPr>
        <w:pStyle w:val="FootnoteText"/>
      </w:pPr>
      <w:r>
        <w:rPr>
          <w:rStyle w:val="FootnoteReference"/>
        </w:rPr>
        <w:footnoteRef/>
      </w:r>
      <w:r>
        <w:t xml:space="preserve"> Cross-references for "Hosah": 1Chr 16:38.</w:t>
      </w:r>
    </w:p>
  </w:footnote>
  <w:footnote w:id="8606">
    <w:p>
      <w:pPr>
        <w:pStyle w:val="FootnoteText"/>
      </w:pPr>
      <w:r>
        <w:rPr>
          <w:rStyle w:val="FootnoteReference"/>
        </w:rPr>
        <w:footnoteRef/>
      </w:r>
      <w:r>
        <w:t xml:space="preserve"> Cross-references for "Zechariah": 1Chr 26:2.</w:t>
      </w:r>
    </w:p>
  </w:footnote>
  <w:footnote w:id="8607">
    <w:p>
      <w:pPr>
        <w:pStyle w:val="FootnoteText"/>
      </w:pPr>
      <w:r>
        <w:rPr>
          <w:rStyle w:val="FootnoteReference"/>
        </w:rPr>
        <w:footnoteRef/>
      </w:r>
      <w:r>
        <w:t xml:space="preserve"> Transliterated proper noun: Asuppim. Standard English equivalent: Asuppim. Source form: Asuppim. Name meaning: collections; storehouses.</w:t>
      </w:r>
    </w:p>
  </w:footnote>
  <w:footnote w:id="8608">
    <w:p>
      <w:pPr>
        <w:pStyle w:val="FootnoteText"/>
      </w:pPr>
      <w:r>
        <w:rPr>
          <w:rStyle w:val="FootnoteReference"/>
        </w:rPr>
        <w:footnoteRef/>
      </w:r>
      <w:r>
        <w:t xml:space="preserve"> Cross-references for "Asuppim": 1Chr 26:17; 2Chr 25:24.</w:t>
      </w:r>
    </w:p>
  </w:footnote>
  <w:footnote w:id="8609">
    <w:p>
      <w:pPr>
        <w:pStyle w:val="FootnoteText"/>
      </w:pPr>
      <w:r>
        <w:rPr>
          <w:rStyle w:val="FootnoteReference"/>
        </w:rPr>
        <w:footnoteRef/>
      </w:r>
      <w:r>
        <w:t xml:space="preserve"> Cross-references for "Hosah": 1Chr 26:10-11.</w:t>
      </w:r>
    </w:p>
  </w:footnote>
  <w:footnote w:id="8610">
    <w:p>
      <w:pPr>
        <w:pStyle w:val="FootnoteText"/>
      </w:pPr>
      <w:r>
        <w:rPr>
          <w:rStyle w:val="FootnoteReference"/>
        </w:rPr>
        <w:footnoteRef/>
      </w:r>
      <w:r>
        <w:t xml:space="preserve"> Translation note: Greek keeps Asuppim form here. Current line keeps that form.</w:t>
      </w:r>
    </w:p>
  </w:footnote>
  <w:footnote w:id="8611">
    <w:p>
      <w:pPr>
        <w:pStyle w:val="FootnoteText"/>
      </w:pPr>
      <w:r>
        <w:rPr>
          <w:rStyle w:val="FootnoteReference"/>
        </w:rPr>
        <w:footnoteRef/>
      </w:r>
      <w:r>
        <w:t xml:space="preserve"> Cross-references for "Asuppim": 1Chr 26:15.</w:t>
      </w:r>
    </w:p>
  </w:footnote>
  <w:footnote w:id="8612">
    <w:p>
      <w:pPr>
        <w:pStyle w:val="FootnoteText"/>
      </w:pPr>
      <w:r>
        <w:rPr>
          <w:rStyle w:val="FootnoteReference"/>
        </w:rPr>
        <w:footnoteRef/>
      </w:r>
      <w:r>
        <w:t xml:space="preserve"> Cross-references for "Kore": Num 16:11.</w:t>
      </w:r>
    </w:p>
  </w:footnote>
  <w:footnote w:id="8613">
    <w:p>
      <w:pPr>
        <w:pStyle w:val="FootnoteText"/>
      </w:pPr>
      <w:r>
        <w:rPr>
          <w:rStyle w:val="FootnoteReference"/>
        </w:rPr>
        <w:footnoteRef/>
      </w:r>
      <w:r>
        <w:t xml:space="preserve"> Cross-references for "dedicated things": 1Kgs 7:51; 1Chr 18:11.</w:t>
      </w:r>
    </w:p>
  </w:footnote>
  <w:footnote w:id="8614">
    <w:p>
      <w:pPr>
        <w:pStyle w:val="FootnoteText"/>
      </w:pPr>
      <w:r>
        <w:rPr>
          <w:rStyle w:val="FootnoteReference"/>
        </w:rPr>
        <w:footnoteRef/>
      </w:r>
      <w:r>
        <w:t xml:space="preserve"> Cross-references for "Laadan": 1Chr 6:17; 1Chr 23:7.</w:t>
      </w:r>
    </w:p>
  </w:footnote>
  <w:footnote w:id="8615">
    <w:p>
      <w:pPr>
        <w:pStyle w:val="FootnoteText"/>
      </w:pPr>
      <w:r>
        <w:rPr>
          <w:rStyle w:val="FootnoteReference"/>
        </w:rPr>
        <w:footnoteRef/>
      </w:r>
      <w:r>
        <w:t xml:space="preserve"> People-name: Gershonite. People-name meaning: Gershonite — his banishment; the change of pilgrimage. Source form: Gershonite.</w:t>
      </w:r>
    </w:p>
  </w:footnote>
  <w:footnote w:id="8616">
    <w:p>
      <w:pPr>
        <w:pStyle w:val="FootnoteText"/>
      </w:pPr>
      <w:r>
        <w:rPr>
          <w:rStyle w:val="FootnoteReference"/>
        </w:rPr>
        <w:footnoteRef/>
      </w:r>
      <w:r>
        <w:t xml:space="preserve"> Personal name: Jehieli. Personal-name meaning: Jehiel — God lives. Standard English equivalent: Jehiel. Source form: Jehieli.</w:t>
      </w:r>
    </w:p>
  </w:footnote>
  <w:footnote w:id="8617">
    <w:p>
      <w:pPr>
        <w:pStyle w:val="FootnoteText"/>
      </w:pPr>
      <w:r>
        <w:rPr>
          <w:rStyle w:val="FootnoteReference"/>
        </w:rPr>
        <w:footnoteRef/>
      </w:r>
      <w:r>
        <w:t xml:space="preserve"> Cross-references for "Jehieli": 1Chr 23:8; 1Chr 29:8.</w:t>
      </w:r>
    </w:p>
  </w:footnote>
  <w:footnote w:id="8618">
    <w:p>
      <w:pPr>
        <w:pStyle w:val="FootnoteText"/>
      </w:pPr>
      <w:r>
        <w:rPr>
          <w:rStyle w:val="FootnoteReference"/>
        </w:rPr>
        <w:footnoteRef/>
      </w:r>
      <w:r>
        <w:t xml:space="preserve"> Cross-references for "Shebuel": 1Chr 23:15-16; 1Chr 24:20.</w:t>
      </w:r>
    </w:p>
  </w:footnote>
  <w:footnote w:id="8619">
    <w:p>
      <w:pPr>
        <w:pStyle w:val="FootnoteText"/>
      </w:pPr>
      <w:r>
        <w:rPr>
          <w:rStyle w:val="FootnoteReference"/>
        </w:rPr>
        <w:footnoteRef/>
      </w:r>
      <w:r>
        <w:t xml:space="preserve"> Cross-references for "Eliezer": Exod 18:4; 1Chr 23:15.</w:t>
      </w:r>
    </w:p>
  </w:footnote>
  <w:footnote w:id="8620">
    <w:p>
      <w:pPr>
        <w:pStyle w:val="FootnoteText"/>
      </w:pPr>
      <w:r>
        <w:rPr>
          <w:rStyle w:val="FootnoteReference"/>
        </w:rPr>
        <w:footnoteRef/>
      </w:r>
      <w:r>
        <w:t xml:space="preserve"> Translation note: Greek says holy things here rather than dedicated things. The translation keeps that wording.</w:t>
      </w:r>
    </w:p>
  </w:footnote>
  <w:footnote w:id="8621">
    <w:p>
      <w:pPr>
        <w:pStyle w:val="FootnoteText"/>
      </w:pPr>
      <w:r>
        <w:rPr>
          <w:rStyle w:val="FootnoteReference"/>
        </w:rPr>
        <w:footnoteRef/>
      </w:r>
      <w:r>
        <w:t xml:space="preserve"> Cross-references for "Samuel": 1Sam 9:9.</w:t>
      </w:r>
    </w:p>
  </w:footnote>
  <w:footnote w:id="8622">
    <w:p>
      <w:pPr>
        <w:pStyle w:val="FootnoteText"/>
      </w:pPr>
      <w:r>
        <w:rPr>
          <w:rStyle w:val="FootnoteReference"/>
        </w:rPr>
        <w:footnoteRef/>
      </w:r>
      <w:r>
        <w:t xml:space="preserve"> Translation note: Greek says over all holy things which they dedicated.</w:t>
      </w:r>
    </w:p>
  </w:footnote>
  <w:footnote w:id="8623">
    <w:p>
      <w:pPr>
        <w:pStyle w:val="FootnoteText"/>
      </w:pPr>
      <w:r>
        <w:rPr>
          <w:rStyle w:val="FootnoteReference"/>
        </w:rPr>
        <w:footnoteRef/>
      </w:r>
      <w:r>
        <w:t xml:space="preserve"> Cross-references for "Izharites": 1Chr 23:12; 1Chr 26:23.</w:t>
      </w:r>
    </w:p>
  </w:footnote>
  <w:footnote w:id="8624">
    <w:p>
      <w:pPr>
        <w:pStyle w:val="FootnoteText"/>
      </w:pPr>
      <w:r>
        <w:rPr>
          <w:rStyle w:val="FootnoteReference"/>
        </w:rPr>
        <w:footnoteRef/>
      </w:r>
      <w:r>
        <w:t xml:space="preserve"> Translation note: Greek says sons of strength here.</w:t>
      </w:r>
    </w:p>
  </w:footnote>
  <w:footnote w:id="8625">
    <w:p>
      <w:pPr>
        <w:pStyle w:val="FootnoteText"/>
      </w:pPr>
      <w:r>
        <w:rPr>
          <w:rStyle w:val="FootnoteReference"/>
        </w:rPr>
        <w:footnoteRef/>
      </w:r>
      <w:r>
        <w:t xml:space="preserve"> Cross-references for "fortieth": 1Kgs 2:11; 1Chr 29:27.</w:t>
      </w:r>
    </w:p>
  </w:footnote>
  <w:footnote w:id="8626">
    <w:p>
      <w:pPr>
        <w:pStyle w:val="FootnoteText"/>
      </w:pPr>
      <w:r>
        <w:rPr>
          <w:rStyle w:val="FootnoteReference"/>
        </w:rPr>
        <w:footnoteRef/>
      </w:r>
      <w:r>
        <w:t xml:space="preserve"> Translation note: Greek says they were sought out and a mighty man was found among them.</w:t>
      </w:r>
    </w:p>
  </w:footnote>
  <w:footnote w:id="8627">
    <w:p>
      <w:pPr>
        <w:pStyle w:val="FootnoteText"/>
      </w:pPr>
      <w:r>
        <w:rPr>
          <w:rStyle w:val="FootnoteReference"/>
        </w:rPr>
        <w:footnoteRef/>
      </w:r>
      <w:r>
        <w:t xml:space="preserve"> Translation note: Greek uses a literal strength phrase where many versions prefer valour. The translation keeps the Greek form.</w:t>
      </w:r>
    </w:p>
  </w:footnote>
  <w:footnote w:id="8628">
    <w:p>
      <w:pPr>
        <w:pStyle w:val="FootnoteText"/>
      </w:pPr>
      <w:r>
        <w:rPr>
          <w:rStyle w:val="FootnoteReference"/>
        </w:rPr>
        <w:footnoteRef/>
      </w:r>
      <w:r>
        <w:t xml:space="preserve"> Translation note: Greek repeats for every matter here.</w:t>
      </w:r>
    </w:p>
  </w:footnote>
  <w:footnote w:id="8629">
    <w:p>
      <w:pPr>
        <w:pStyle w:val="FootnoteText"/>
      </w:pPr>
      <w:r>
        <w:rPr>
          <w:rStyle w:val="FootnoteReference"/>
        </w:rPr>
        <w:footnoteRef/>
      </w:r>
      <w:r>
        <w:t xml:space="preserve"> Cross-references for "month": 1Kgs 4:7; 1Kgs 4:27.</w:t>
      </w:r>
    </w:p>
  </w:footnote>
  <w:footnote w:id="8630">
    <w:p>
      <w:pPr>
        <w:pStyle w:val="FootnoteText"/>
      </w:pPr>
      <w:r>
        <w:rPr>
          <w:rStyle w:val="FootnoteReference"/>
        </w:rPr>
        <w:footnoteRef/>
      </w:r>
      <w:r>
        <w:t xml:space="preserve"> Cross-references for "Jashobeam": 2Sam 23:8; 1Chr 11:11.</w:t>
      </w:r>
    </w:p>
  </w:footnote>
  <w:footnote w:id="8631">
    <w:p>
      <w:pPr>
        <w:pStyle w:val="FootnoteText"/>
      </w:pPr>
      <w:r>
        <w:rPr>
          <w:rStyle w:val="FootnoteReference"/>
        </w:rPr>
        <w:footnoteRef/>
      </w:r>
      <w:r>
        <w:t xml:space="preserve"> Personal name: Zabdiel. Personal-name meaning: Zabdiel — gift/endowment of God. Source form: Zabdiel.</w:t>
      </w:r>
    </w:p>
  </w:footnote>
  <w:footnote w:id="8632">
    <w:p>
      <w:pPr>
        <w:pStyle w:val="FootnoteText"/>
      </w:pPr>
      <w:r>
        <w:rPr>
          <w:rStyle w:val="FootnoteReference"/>
        </w:rPr>
        <w:footnoteRef/>
      </w:r>
      <w:r>
        <w:t xml:space="preserve"> Cross-references for "Perez": Gen 38:29; Num 26:20.</w:t>
      </w:r>
    </w:p>
  </w:footnote>
  <w:footnote w:id="8633">
    <w:p>
      <w:pPr>
        <w:pStyle w:val="FootnoteText"/>
      </w:pPr>
      <w:r>
        <w:rPr>
          <w:rStyle w:val="FootnoteReference"/>
        </w:rPr>
        <w:footnoteRef/>
      </w:r>
      <w:r>
        <w:t xml:space="preserve"> Transliterated proper noun: Dodavah. Standard English equivalent: Dodavah. Source form: Dodavah. Greek form: δωδια. Name meaning: love.</w:t>
      </w:r>
    </w:p>
  </w:footnote>
  <w:footnote w:id="8634">
    <w:p>
      <w:pPr>
        <w:pStyle w:val="FootnoteText"/>
      </w:pPr>
      <w:r>
        <w:rPr>
          <w:rStyle w:val="FootnoteReference"/>
        </w:rPr>
        <w:footnoteRef/>
      </w:r>
      <w:r>
        <w:t xml:space="preserve"> Personal name: Ahohi. Personal-name meaning: Ahohi — brotherly; my thorn or thistle. Source form: Ahohi.</w:t>
      </w:r>
    </w:p>
  </w:footnote>
  <w:footnote w:id="8635">
    <w:p>
      <w:pPr>
        <w:pStyle w:val="FootnoteText"/>
      </w:pPr>
      <w:r>
        <w:rPr>
          <w:rStyle w:val="FootnoteReference"/>
        </w:rPr>
        <w:footnoteRef/>
      </w:r>
      <w:r>
        <w:t xml:space="preserve"> Cross-references for "Benaiah": 1Kgs 4:4; 1Chr 18:17.</w:t>
      </w:r>
    </w:p>
  </w:footnote>
  <w:footnote w:id="8636">
    <w:p>
      <w:pPr>
        <w:pStyle w:val="FootnoteText"/>
      </w:pPr>
      <w:r>
        <w:rPr>
          <w:rStyle w:val="FootnoteReference"/>
        </w:rPr>
        <w:footnoteRef/>
      </w:r>
      <w:r>
        <w:t xml:space="preserve"> Personal name: Ammizabad. Personal-name meaning: Ammizabad — dowry of the people. Source form: Ammizabad.</w:t>
      </w:r>
    </w:p>
  </w:footnote>
  <w:footnote w:id="8637">
    <w:p>
      <w:pPr>
        <w:pStyle w:val="FootnoteText"/>
      </w:pPr>
      <w:r>
        <w:rPr>
          <w:rStyle w:val="FootnoteReference"/>
        </w:rPr>
        <w:footnoteRef/>
      </w:r>
      <w:r>
        <w:t xml:space="preserve"> Cross-references for "Asahel": 2Sam 2:18-23; 2Sam 23:24.</w:t>
      </w:r>
    </w:p>
  </w:footnote>
  <w:footnote w:id="8638">
    <w:p>
      <w:pPr>
        <w:pStyle w:val="FootnoteText"/>
      </w:pPr>
      <w:r>
        <w:rPr>
          <w:rStyle w:val="FootnoteReference"/>
        </w:rPr>
        <w:footnoteRef/>
      </w:r>
      <w:r>
        <w:t xml:space="preserve"> Personal name: Shamhuth. Personal-name meaning: Shamhuth — desolation; destruction. Source form: Shamhuth.</w:t>
      </w:r>
    </w:p>
  </w:footnote>
  <w:footnote w:id="8639">
    <w:p>
      <w:pPr>
        <w:pStyle w:val="FootnoteText"/>
      </w:pPr>
      <w:r>
        <w:rPr>
          <w:rStyle w:val="FootnoteReference"/>
        </w:rPr>
        <w:footnoteRef/>
      </w:r>
      <w:r>
        <w:t xml:space="preserve"> Cross-references for "Shamhuth": 2Sam 23:25; 1Chr 11:27.</w:t>
      </w:r>
    </w:p>
  </w:footnote>
  <w:footnote w:id="8640">
    <w:p>
      <w:pPr>
        <w:pStyle w:val="FootnoteText"/>
      </w:pPr>
      <w:r>
        <w:rPr>
          <w:rStyle w:val="FootnoteReference"/>
        </w:rPr>
        <w:footnoteRef/>
      </w:r>
      <w:r>
        <w:t xml:space="preserve"> Cross-references for "Helez": 1Chr 11:27.</w:t>
      </w:r>
    </w:p>
  </w:footnote>
  <w:footnote w:id="8641">
    <w:p>
      <w:pPr>
        <w:pStyle w:val="FootnoteText"/>
      </w:pPr>
      <w:r>
        <w:rPr>
          <w:rStyle w:val="FootnoteReference"/>
        </w:rPr>
        <w:footnoteRef/>
      </w:r>
      <w:r>
        <w:t xml:space="preserve"> Cross-references for "Sibbecai": 2Sam 21:18; 1Chr 11:29.</w:t>
      </w:r>
    </w:p>
  </w:footnote>
  <w:footnote w:id="8642">
    <w:p>
      <w:pPr>
        <w:pStyle w:val="FootnoteText"/>
      </w:pPr>
      <w:r>
        <w:rPr>
          <w:rStyle w:val="FootnoteReference"/>
        </w:rPr>
        <w:footnoteRef/>
      </w:r>
      <w:r>
        <w:t xml:space="preserve"> Cross-references for "Anetothite": 2Sam 23:27; 1Chr 11:28.</w:t>
      </w:r>
    </w:p>
  </w:footnote>
  <w:footnote w:id="8643">
    <w:p>
      <w:pPr>
        <w:pStyle w:val="FootnoteText"/>
      </w:pPr>
      <w:r>
        <w:rPr>
          <w:rStyle w:val="FootnoteReference"/>
        </w:rPr>
        <w:footnoteRef/>
      </w:r>
      <w:r>
        <w:t xml:space="preserve"> Cross-references for "Maharai": 2Sam 23:28; 1Chr 11:30.</w:t>
      </w:r>
    </w:p>
  </w:footnote>
  <w:footnote w:id="8644">
    <w:p>
      <w:pPr>
        <w:pStyle w:val="FootnoteText"/>
      </w:pPr>
      <w:r>
        <w:rPr>
          <w:rStyle w:val="FootnoteReference"/>
        </w:rPr>
        <w:footnoteRef/>
      </w:r>
      <w:r>
        <w:t xml:space="preserve"> Cross-references for "Benaiah": 2Sam 23:30; 1Chr 11:31.</w:t>
      </w:r>
    </w:p>
  </w:footnote>
  <w:footnote w:id="8645">
    <w:p>
      <w:pPr>
        <w:pStyle w:val="FootnoteText"/>
      </w:pPr>
      <w:r>
        <w:rPr>
          <w:rStyle w:val="FootnoteReference"/>
        </w:rPr>
        <w:footnoteRef/>
      </w:r>
      <w:r>
        <w:t xml:space="preserve"> Cross-references for "Othniel": Judg 3:9; 1Chr 4:13.</w:t>
      </w:r>
    </w:p>
  </w:footnote>
  <w:footnote w:id="8646">
    <w:p>
      <w:pPr>
        <w:pStyle w:val="FootnoteText"/>
      </w:pPr>
      <w:r>
        <w:rPr>
          <w:rStyle w:val="FootnoteReference"/>
        </w:rPr>
        <w:footnoteRef/>
      </w:r>
      <w:r>
        <w:t xml:space="preserve"> Cross-references for "Hashabiah": 1Chr 26:30.</w:t>
      </w:r>
    </w:p>
  </w:footnote>
  <w:footnote w:id="8647">
    <w:p>
      <w:pPr>
        <w:pStyle w:val="FootnoteText"/>
      </w:pPr>
      <w:r>
        <w:rPr>
          <w:rStyle w:val="FootnoteReference"/>
        </w:rPr>
        <w:footnoteRef/>
      </w:r>
      <w:r>
        <w:t xml:space="preserve"> Personal name: Iddo. Personal-name meaning: Iddo — his band; power; praise. Source form: Iddo.</w:t>
      </w:r>
    </w:p>
  </w:footnote>
  <w:footnote w:id="8648">
    <w:p>
      <w:pPr>
        <w:pStyle w:val="FootnoteText"/>
      </w:pPr>
      <w:r>
        <w:rPr>
          <w:rStyle w:val="FootnoteReference"/>
        </w:rPr>
        <w:footnoteRef/>
      </w:r>
      <w:r>
        <w:t xml:space="preserve"> Personal name: Jaasiel. Personal-name meaning: Jaasiel — God's work. Source form: Jaasiel.</w:t>
      </w:r>
    </w:p>
  </w:footnote>
  <w:footnote w:id="8649">
    <w:p>
      <w:pPr>
        <w:pStyle w:val="FootnoteText"/>
      </w:pPr>
      <w:r>
        <w:rPr>
          <w:rStyle w:val="FootnoteReference"/>
        </w:rPr>
        <w:footnoteRef/>
      </w:r>
      <w:r>
        <w:t xml:space="preserve"> Cross-references for "Iddo": 1Kgs 4:14.</w:t>
      </w:r>
    </w:p>
  </w:footnote>
  <w:footnote w:id="8650">
    <w:p>
      <w:pPr>
        <w:pStyle w:val="FootnoteText"/>
      </w:pPr>
      <w:r>
        <w:rPr>
          <w:rStyle w:val="FootnoteReference"/>
        </w:rPr>
        <w:footnoteRef/>
      </w:r>
      <w:r>
        <w:t xml:space="preserve"> Cross-references for "from twenty": Num 1:18.</w:t>
      </w:r>
    </w:p>
  </w:footnote>
  <w:footnote w:id="8651">
    <w:p>
      <w:pPr>
        <w:pStyle w:val="FootnoteText"/>
      </w:pPr>
      <w:r>
        <w:rPr>
          <w:rStyle w:val="FootnoteReference"/>
        </w:rPr>
        <w:footnoteRef/>
      </w:r>
      <w:r>
        <w:t xml:space="preserve"> Translation note: Greek keeps the incomplete census line explicit. Current wording preserves it.</w:t>
      </w:r>
    </w:p>
  </w:footnote>
  <w:footnote w:id="8652">
    <w:p>
      <w:pPr>
        <w:pStyle w:val="FootnoteText"/>
      </w:pPr>
      <w:r>
        <w:rPr>
          <w:rStyle w:val="FootnoteReference"/>
        </w:rPr>
        <w:footnoteRef/>
      </w:r>
      <w:r>
        <w:t xml:space="preserve"> People-name: Esdri. People-name meaning: Abiezrites — descendants of Abiezer; father of help. Standard English equivalent: Abiezrites. Source form: Esdri.</w:t>
      </w:r>
    </w:p>
  </w:footnote>
  <w:footnote w:id="8653">
    <w:p>
      <w:pPr>
        <w:pStyle w:val="FootnoteText"/>
      </w:pPr>
      <w:r>
        <w:rPr>
          <w:rStyle w:val="FootnoteReference"/>
        </w:rPr>
        <w:footnoteRef/>
      </w:r>
      <w:r>
        <w:t xml:space="preserve"> Personal name: Chelub. Personal-name meaning: Chelub — a basket. Source form: Chelub.</w:t>
      </w:r>
    </w:p>
  </w:footnote>
  <w:footnote w:id="8654">
    <w:p>
      <w:pPr>
        <w:pStyle w:val="FootnoteText"/>
      </w:pPr>
      <w:r>
        <w:rPr>
          <w:rStyle w:val="FootnoteReference"/>
        </w:rPr>
        <w:footnoteRef/>
      </w:r>
      <w:r>
        <w:t xml:space="preserve"> People-name: Shiphmite. People-name meaning: Shiphmite — person of Shiphm; fruitful place/people-name form. Source form: Shiphmite.</w:t>
      </w:r>
    </w:p>
  </w:footnote>
  <w:footnote w:id="8655">
    <w:p>
      <w:pPr>
        <w:pStyle w:val="FootnoteText"/>
      </w:pPr>
      <w:r>
        <w:rPr>
          <w:rStyle w:val="FootnoteReference"/>
        </w:rPr>
        <w:footnoteRef/>
      </w:r>
      <w:r>
        <w:t xml:space="preserve"> Cross-references for "And over": 1Kgs 4:7.</w:t>
      </w:r>
    </w:p>
  </w:footnote>
  <w:footnote w:id="8656">
    <w:p>
      <w:pPr>
        <w:pStyle w:val="FootnoteText"/>
      </w:pPr>
      <w:r>
        <w:rPr>
          <w:rStyle w:val="FootnoteReference"/>
        </w:rPr>
        <w:footnoteRef/>
      </w:r>
      <w:r>
        <w:t xml:space="preserve"> People-name: Gederite. People-name meaning: Gederite — a wall. Source form: Gederite.</w:t>
      </w:r>
    </w:p>
  </w:footnote>
  <w:footnote w:id="8657">
    <w:p>
      <w:pPr>
        <w:pStyle w:val="FootnoteText"/>
      </w:pPr>
      <w:r>
        <w:rPr>
          <w:rStyle w:val="FootnoteReference"/>
        </w:rPr>
        <w:footnoteRef/>
      </w:r>
      <w:r>
        <w:t xml:space="preserve"> Cross-references for "Sharon": 1Chr 5:16; Isa 65:10.</w:t>
      </w:r>
    </w:p>
  </w:footnote>
  <w:footnote w:id="8658">
    <w:p>
      <w:pPr>
        <w:pStyle w:val="FootnoteText"/>
      </w:pPr>
      <w:r>
        <w:rPr>
          <w:rStyle w:val="FootnoteReference"/>
        </w:rPr>
        <w:footnoteRef/>
      </w:r>
      <w:r>
        <w:t xml:space="preserve"> Personal name: Shitrai. Personal-name meaning: Shitrai — gatherer of money. Source form: Shitrai.</w:t>
      </w:r>
    </w:p>
  </w:footnote>
  <w:footnote w:id="8659">
    <w:p>
      <w:pPr>
        <w:pStyle w:val="FootnoteText"/>
      </w:pPr>
      <w:r>
        <w:rPr>
          <w:rStyle w:val="FootnoteReference"/>
        </w:rPr>
        <w:footnoteRef/>
      </w:r>
      <w:r>
        <w:t xml:space="preserve"> People-name: Sharonite. People-name meaning: Sharonite — his plain; his song. Source form: Sharonite.</w:t>
      </w:r>
    </w:p>
  </w:footnote>
  <w:footnote w:id="8660">
    <w:p>
      <w:pPr>
        <w:pStyle w:val="FootnoteText"/>
      </w:pPr>
      <w:r>
        <w:rPr>
          <w:rStyle w:val="FootnoteReference"/>
        </w:rPr>
        <w:footnoteRef/>
      </w:r>
      <w:r>
        <w:t xml:space="preserve"> Personal name: Adlai. Personal-name meaning: Adlai — my witness; my ornament. Source form: Adlai.</w:t>
      </w:r>
    </w:p>
  </w:footnote>
  <w:footnote w:id="8661">
    <w:p>
      <w:pPr>
        <w:pStyle w:val="FootnoteText"/>
      </w:pPr>
      <w:r>
        <w:rPr>
          <w:rStyle w:val="FootnoteReference"/>
        </w:rPr>
        <w:footnoteRef/>
      </w:r>
      <w:r>
        <w:t xml:space="preserve"> Personal name: Obil. Personal-name meaning: Obil — that weeps; who deserves to be bewailed. Source form: Obil.</w:t>
      </w:r>
    </w:p>
  </w:footnote>
  <w:footnote w:id="8662">
    <w:p>
      <w:pPr>
        <w:pStyle w:val="FootnoteText"/>
      </w:pPr>
      <w:r>
        <w:rPr>
          <w:rStyle w:val="FootnoteReference"/>
        </w:rPr>
        <w:footnoteRef/>
      </w:r>
      <w:r>
        <w:t xml:space="preserve"> Cross-references for "the Ishmaelite": Gen 47:6.</w:t>
      </w:r>
    </w:p>
  </w:footnote>
  <w:footnote w:id="8663">
    <w:p>
      <w:pPr>
        <w:pStyle w:val="FootnoteText"/>
      </w:pPr>
      <w:r>
        <w:rPr>
          <w:rStyle w:val="FootnoteReference"/>
        </w:rPr>
        <w:footnoteRef/>
      </w:r>
      <w:r>
        <w:t xml:space="preserve"> People-name: Meronothite. People-name meaning: Meronothite — my singing; rejoicing; bearing rule. Source form: Meronothite.</w:t>
      </w:r>
    </w:p>
  </w:footnote>
  <w:footnote w:id="8664">
    <w:p>
      <w:pPr>
        <w:pStyle w:val="FootnoteText"/>
      </w:pPr>
      <w:r>
        <w:rPr>
          <w:rStyle w:val="FootnoteReference"/>
        </w:rPr>
        <w:footnoteRef/>
      </w:r>
      <w:r>
        <w:t xml:space="preserve"> Personal name: Jaziz. Personal-name meaning: Jaziz — brightness; departing. Source form: Jaziz.</w:t>
      </w:r>
    </w:p>
  </w:footnote>
  <w:footnote w:id="8665">
    <w:p>
      <w:pPr>
        <w:pStyle w:val="FootnoteText"/>
      </w:pPr>
      <w:r>
        <w:rPr>
          <w:rStyle w:val="FootnoteReference"/>
        </w:rPr>
        <w:footnoteRef/>
      </w:r>
      <w:r>
        <w:t xml:space="preserve"> Cross-references for "uncle": 2Sam 13:3; 2Sam 21:21.</w:t>
      </w:r>
    </w:p>
  </w:footnote>
  <w:footnote w:id="8666">
    <w:p>
      <w:pPr>
        <w:pStyle w:val="FootnoteText"/>
      </w:pPr>
      <w:r>
        <w:rPr>
          <w:rStyle w:val="FootnoteReference"/>
        </w:rPr>
        <w:footnoteRef/>
      </w:r>
      <w:r>
        <w:t xml:space="preserve"> Cross-references for "Ahithophel": 2Sam 15:12; 2Sam 16:23.</w:t>
      </w:r>
    </w:p>
  </w:footnote>
  <w:footnote w:id="8667">
    <w:p>
      <w:pPr>
        <w:pStyle w:val="FootnoteText"/>
      </w:pPr>
      <w:r>
        <w:rPr>
          <w:rStyle w:val="FootnoteReference"/>
        </w:rPr>
        <w:footnoteRef/>
      </w:r>
      <w:r>
        <w:t xml:space="preserve"> Cross-references for "Abiathar": 1Kgs 1:7.</w:t>
      </w:r>
    </w:p>
  </w:footnote>
  <w:footnote w:id="8668">
    <w:p>
      <w:pPr>
        <w:pStyle w:val="FootnoteText"/>
      </w:pPr>
      <w:r>
        <w:rPr>
          <w:rStyle w:val="FootnoteReference"/>
        </w:rPr>
        <w:footnoteRef/>
      </w:r>
      <w:r>
        <w:t xml:space="preserve"> Cross-references for "assembled": Josh 23:2; Josh 24:1.</w:t>
      </w:r>
    </w:p>
  </w:footnote>
  <w:footnote w:id="8669">
    <w:p>
      <w:pPr>
        <w:pStyle w:val="FootnoteText"/>
      </w:pPr>
      <w:r>
        <w:rPr>
          <w:rStyle w:val="FootnoteReference"/>
        </w:rPr>
        <w:footnoteRef/>
      </w:r>
      <w:r>
        <w:t xml:space="preserve"> Translation note: Greek says rulers of the courses around the body of the king.</w:t>
      </w:r>
    </w:p>
  </w:footnote>
  <w:footnote w:id="8670">
    <w:p>
      <w:pPr>
        <w:pStyle w:val="FootnoteText"/>
      </w:pPr>
      <w:r>
        <w:rPr>
          <w:rStyle w:val="FootnoteReference"/>
        </w:rPr>
        <w:footnoteRef/>
      </w:r>
      <w:r>
        <w:t xml:space="preserve"> Cross-references for "rest": 1Chr 6:31; Ps 132:3-8.</w:t>
      </w:r>
    </w:p>
  </w:footnote>
  <w:footnote w:id="8671">
    <w:p>
      <w:pPr>
        <w:pStyle w:val="FootnoteText"/>
      </w:pPr>
      <w:r>
        <w:rPr>
          <w:rStyle w:val="FootnoteReference"/>
        </w:rPr>
        <w:footnoteRef/>
      </w:r>
      <w:r>
        <w:t xml:space="preserve"> Translation note: Greek says footstool of our Lord and fitting things for dwelling.</w:t>
      </w:r>
    </w:p>
  </w:footnote>
  <w:footnote w:id="8672">
    <w:p>
      <w:pPr>
        <w:pStyle w:val="FootnoteText"/>
      </w:pPr>
      <w:r>
        <w:rPr>
          <w:rStyle w:val="FootnoteReference"/>
        </w:rPr>
        <w:footnoteRef/>
      </w:r>
      <w:r>
        <w:t xml:space="preserve"> Cross-references for "chose me": 1Sam 16:6-13; 2Sam 7:8-16.</w:t>
      </w:r>
    </w:p>
  </w:footnote>
  <w:footnote w:id="8673">
    <w:p>
      <w:pPr>
        <w:pStyle w:val="FootnoteText"/>
      </w:pPr>
      <w:r>
        <w:rPr>
          <w:rStyle w:val="FootnoteReference"/>
        </w:rPr>
        <w:footnoteRef/>
      </w:r>
      <w:r>
        <w:t xml:space="preserve"> Cross-references for "all my sons": 1Chr 3:1-9; 1Chr 14:4-7.</w:t>
      </w:r>
    </w:p>
  </w:footnote>
  <w:footnote w:id="8674">
    <w:p>
      <w:pPr>
        <w:pStyle w:val="FootnoteText"/>
      </w:pPr>
      <w:r>
        <w:rPr>
          <w:rStyle w:val="FootnoteReference"/>
        </w:rPr>
        <w:footnoteRef/>
      </w:r>
      <w:r>
        <w:t xml:space="preserve"> Cross-references for "keep": Ps 119:4; Ps 119:10-11.</w:t>
      </w:r>
    </w:p>
  </w:footnote>
  <w:footnote w:id="8675">
    <w:p>
      <w:pPr>
        <w:pStyle w:val="FootnoteText"/>
      </w:pPr>
      <w:r>
        <w:rPr>
          <w:rStyle w:val="FootnoteReference"/>
        </w:rPr>
        <w:footnoteRef/>
      </w:r>
      <w:r>
        <w:t xml:space="preserve"> Translation note: Greek uses the regular inheritance verb here. The English keeps inherit rather than replacing it with the flatter possess.</w:t>
      </w:r>
    </w:p>
  </w:footnote>
  <w:footnote w:id="8676">
    <w:p>
      <w:pPr>
        <w:pStyle w:val="FootnoteText"/>
      </w:pPr>
      <w:r>
        <w:rPr>
          <w:rStyle w:val="FootnoteReference"/>
        </w:rPr>
        <w:footnoteRef/>
      </w:r>
      <w:r>
        <w:t xml:space="preserve"> Cross-references for "serve him": 1Kgs 8:61; 2Kgs 20:3.</w:t>
      </w:r>
    </w:p>
  </w:footnote>
  <w:footnote w:id="8677">
    <w:p>
      <w:pPr>
        <w:pStyle w:val="FootnoteText"/>
      </w:pPr>
      <w:r>
        <w:rPr>
          <w:rStyle w:val="FootnoteReference"/>
        </w:rPr>
        <w:footnoteRef/>
      </w:r>
      <w:r>
        <w:t xml:space="preserve"> Translation note: The Greek pairs complete heart with willing soul. The current wording preserves both halves of that exhortation.</w:t>
      </w:r>
    </w:p>
  </w:footnote>
  <w:footnote w:id="8678">
    <w:p>
      <w:pPr>
        <w:pStyle w:val="FootnoteText"/>
      </w:pPr>
      <w:r>
        <w:rPr>
          <w:rStyle w:val="FootnoteReference"/>
        </w:rPr>
        <w:footnoteRef/>
      </w:r>
      <w:r>
        <w:t xml:space="preserve"> Cross-references for "David": 1Chr 28:12; 1Chr 28:19.</w:t>
      </w:r>
    </w:p>
  </w:footnote>
  <w:footnote w:id="8679">
    <w:p>
      <w:pPr>
        <w:pStyle w:val="FootnoteText"/>
      </w:pPr>
      <w:r>
        <w:rPr>
          <w:rStyle w:val="FootnoteReference"/>
        </w:rPr>
        <w:footnoteRef/>
      </w:r>
      <w:r>
        <w:t xml:space="preserve"> Translation note: Greek says house of propitiation here. Current line keeps that wording close.</w:t>
      </w:r>
    </w:p>
  </w:footnote>
  <w:footnote w:id="8680">
    <w:p>
      <w:pPr>
        <w:pStyle w:val="FootnoteText"/>
      </w:pPr>
      <w:r>
        <w:rPr>
          <w:rStyle w:val="FootnoteReference"/>
        </w:rPr>
        <w:footnoteRef/>
      </w:r>
      <w:r>
        <w:t xml:space="preserve"> Translation note: Greek says pattern which he had in his spirit.</w:t>
      </w:r>
    </w:p>
  </w:footnote>
  <w:footnote w:id="8681">
    <w:p>
      <w:pPr>
        <w:pStyle w:val="FootnoteText"/>
      </w:pPr>
      <w:r>
        <w:rPr>
          <w:rStyle w:val="FootnoteReference"/>
        </w:rPr>
        <w:footnoteRef/>
      </w:r>
      <w:r>
        <w:t xml:space="preserve"> Translation note: Greek says weight of their weighing here. Current line keeps that wording.</w:t>
      </w:r>
    </w:p>
  </w:footnote>
  <w:footnote w:id="8682">
    <w:p>
      <w:pPr>
        <w:pStyle w:val="FootnoteText"/>
      </w:pPr>
      <w:r>
        <w:rPr>
          <w:rStyle w:val="FootnoteReference"/>
        </w:rPr>
        <w:footnoteRef/>
      </w:r>
      <w:r>
        <w:t xml:space="preserve"> Cross-references for "of gold": 1Chr 28:14.</w:t>
      </w:r>
    </w:p>
  </w:footnote>
  <w:footnote w:id="8683">
    <w:p>
      <w:pPr>
        <w:pStyle w:val="FootnoteText"/>
      </w:pPr>
      <w:r>
        <w:rPr>
          <w:rStyle w:val="FootnoteReference"/>
        </w:rPr>
        <w:footnoteRef/>
      </w:r>
      <w:r>
        <w:t xml:space="preserve"> Translation note: Fragment line follows Greek directly here.</w:t>
      </w:r>
    </w:p>
  </w:footnote>
  <w:footnote w:id="8684">
    <w:p>
      <w:pPr>
        <w:pStyle w:val="FootnoteText"/>
      </w:pPr>
      <w:r>
        <w:rPr>
          <w:rStyle w:val="FootnoteReference"/>
        </w:rPr>
        <w:footnoteRef/>
      </w:r>
      <w:r>
        <w:t xml:space="preserve"> Cross-references for "the Lord": Exod 25:40; Exod 26:30.</w:t>
      </w:r>
    </w:p>
  </w:footnote>
  <w:footnote w:id="8685">
    <w:p>
      <w:pPr>
        <w:pStyle w:val="FootnoteText"/>
      </w:pPr>
      <w:r>
        <w:rPr>
          <w:rStyle w:val="FootnoteReference"/>
        </w:rPr>
        <w:footnoteRef/>
      </w:r>
      <w:r>
        <w:t xml:space="preserve"> Cross-references for "Be strong": Deut 31:7-8; Josh 1:6-9.</w:t>
      </w:r>
    </w:p>
  </w:footnote>
  <w:footnote w:id="8686">
    <w:p>
      <w:pPr>
        <w:pStyle w:val="FootnoteText"/>
      </w:pPr>
      <w:r>
        <w:rPr>
          <w:rStyle w:val="FootnoteReference"/>
        </w:rPr>
        <w:footnoteRef/>
      </w:r>
      <w:r>
        <w:t xml:space="preserve"> Translation note: Greek uses act-like-man language here. Current line keeps direct charge.</w:t>
      </w:r>
    </w:p>
  </w:footnote>
  <w:footnote w:id="8687">
    <w:p>
      <w:pPr>
        <w:pStyle w:val="FootnoteText"/>
      </w:pPr>
      <w:r>
        <w:rPr>
          <w:rStyle w:val="FootnoteReference"/>
        </w:rPr>
        <w:footnoteRef/>
      </w:r>
      <w:r>
        <w:t xml:space="preserve"> Translation note: Greek line keeps the staffing note broad and practical. Current line follows that shape.</w:t>
      </w:r>
    </w:p>
  </w:footnote>
  <w:footnote w:id="8688">
    <w:p>
      <w:pPr>
        <w:pStyle w:val="FootnoteText"/>
      </w:pPr>
      <w:r>
        <w:rPr>
          <w:rStyle w:val="FootnoteReference"/>
        </w:rPr>
        <w:footnoteRef/>
      </w:r>
      <w:r>
        <w:t xml:space="preserve"> Cross-references for "willing": Exod 35:25-26; Exod 35:35.</w:t>
      </w:r>
    </w:p>
  </w:footnote>
  <w:footnote w:id="8689">
    <w:p>
      <w:pPr>
        <w:pStyle w:val="FootnoteText"/>
      </w:pPr>
      <w:r>
        <w:rPr>
          <w:rStyle w:val="FootnoteReference"/>
        </w:rPr>
        <w:footnoteRef/>
      </w:r>
      <w:r>
        <w:t xml:space="preserve"> Cross-references for "young": 1Kgs 3:7; 1Chr 22:5.</w:t>
      </w:r>
    </w:p>
  </w:footnote>
  <w:footnote w:id="8690">
    <w:p>
      <w:pPr>
        <w:pStyle w:val="FootnoteText"/>
      </w:pPr>
      <w:r>
        <w:rPr>
          <w:rStyle w:val="FootnoteReference"/>
        </w:rPr>
        <w:footnoteRef/>
      </w:r>
      <w:r>
        <w:t xml:space="preserve"> Translation note: Greek opens with a with-all-my-strength preparation line. Current wording preserves it.</w:t>
      </w:r>
    </w:p>
  </w:footnote>
  <w:footnote w:id="8691">
    <w:p>
      <w:pPr>
        <w:pStyle w:val="FootnoteText"/>
      </w:pPr>
      <w:r>
        <w:rPr>
          <w:rStyle w:val="FootnoteReference"/>
        </w:rPr>
        <w:footnoteRef/>
      </w:r>
      <w:r>
        <w:t xml:space="preserve"> Cross-references for "With all": 2Chr 31:20-21; Eccl 9:10.</w:t>
      </w:r>
    </w:p>
  </w:footnote>
  <w:footnote w:id="8692">
    <w:p>
      <w:pPr>
        <w:pStyle w:val="FootnoteText"/>
      </w:pPr>
      <w:r>
        <w:rPr>
          <w:rStyle w:val="FootnoteReference"/>
        </w:rPr>
        <w:footnoteRef/>
      </w:r>
      <w:r>
        <w:t xml:space="preserve"> Translation note: Greek says house of holy things.</w:t>
      </w:r>
    </w:p>
  </w:footnote>
  <w:footnote w:id="8693">
    <w:p>
      <w:pPr>
        <w:pStyle w:val="FootnoteText"/>
      </w:pPr>
      <w:r>
        <w:rPr>
          <w:rStyle w:val="FootnoteReference"/>
        </w:rPr>
        <w:footnoteRef/>
      </w:r>
      <w:r>
        <w:t xml:space="preserve"> Translation note: Greek says fill his hands here. Current line keeps that idiom.</w:t>
      </w:r>
    </w:p>
  </w:footnote>
  <w:footnote w:id="8694">
    <w:p>
      <w:pPr>
        <w:pStyle w:val="FootnoteText"/>
      </w:pPr>
      <w:r>
        <w:rPr>
          <w:rStyle w:val="FootnoteReference"/>
        </w:rPr>
        <w:footnoteRef/>
      </w:r>
      <w:r>
        <w:t xml:space="preserve"> Translation note: Greek says ten thousand gold pieces here.</w:t>
      </w:r>
    </w:p>
  </w:footnote>
  <w:footnote w:id="8695">
    <w:p>
      <w:pPr>
        <w:pStyle w:val="FootnoteText"/>
      </w:pPr>
      <w:r>
        <w:rPr>
          <w:rStyle w:val="FootnoteReference"/>
        </w:rPr>
        <w:footnoteRef/>
      </w:r>
      <w:r>
        <w:t xml:space="preserve"> Cross-references for "Jehiel the Gershonite": 1Chr 26:21-22.</w:t>
      </w:r>
    </w:p>
  </w:footnote>
  <w:footnote w:id="8696">
    <w:p>
      <w:pPr>
        <w:pStyle w:val="FootnoteText"/>
      </w:pPr>
      <w:r>
        <w:rPr>
          <w:rStyle w:val="FootnoteReference"/>
        </w:rPr>
        <w:footnoteRef/>
      </w:r>
      <w:r>
        <w:t xml:space="preserve"> Translation note: Greek uses the full-heart willingness line directly. Current wording preserves that voluntary-devotion formula.</w:t>
      </w:r>
    </w:p>
  </w:footnote>
  <w:footnote w:id="8697">
    <w:p>
      <w:pPr>
        <w:pStyle w:val="FootnoteText"/>
      </w:pPr>
      <w:r>
        <w:rPr>
          <w:rStyle w:val="FootnoteReference"/>
        </w:rPr>
        <w:footnoteRef/>
      </w:r>
      <w:r>
        <w:t xml:space="preserve"> Cross-references for "David": Prov 23:15-16; Luke 15:6.</w:t>
      </w:r>
    </w:p>
  </w:footnote>
  <w:footnote w:id="8698">
    <w:p>
      <w:pPr>
        <w:pStyle w:val="FootnoteText"/>
      </w:pPr>
      <w:r>
        <w:rPr>
          <w:rStyle w:val="FootnoteReference"/>
        </w:rPr>
        <w:footnoteRef/>
      </w:r>
      <w:r>
        <w:t xml:space="preserve"> Cross-references for "David blessed": 1Chr 29:20; 2Chr 20:26-28.</w:t>
      </w:r>
    </w:p>
  </w:footnote>
  <w:footnote w:id="8699">
    <w:p>
      <w:pPr>
        <w:pStyle w:val="FootnoteText"/>
      </w:pPr>
      <w:r>
        <w:rPr>
          <w:rStyle w:val="FootnoteReference"/>
        </w:rPr>
        <w:footnoteRef/>
      </w:r>
      <w:r>
        <w:t xml:space="preserve"> Translation note: Greek includes boasting here. Current line keeps that term.</w:t>
      </w:r>
    </w:p>
  </w:footnote>
  <w:footnote w:id="8700">
    <w:p>
      <w:pPr>
        <w:pStyle w:val="FootnoteText"/>
      </w:pPr>
      <w:r>
        <w:rPr>
          <w:rStyle w:val="FootnoteReference"/>
        </w:rPr>
        <w:footnoteRef/>
      </w:r>
      <w:r>
        <w:t xml:space="preserve"> Cross-references for "riches": Deut 8:18; 1Sam 2:7-8.</w:t>
      </w:r>
    </w:p>
  </w:footnote>
  <w:footnote w:id="8701">
    <w:p>
      <w:pPr>
        <w:pStyle w:val="FootnoteText"/>
      </w:pPr>
      <w:r>
        <w:rPr>
          <w:rStyle w:val="FootnoteReference"/>
        </w:rPr>
        <w:footnoteRef/>
      </w:r>
      <w:r>
        <w:t xml:space="preserve"> Cross-references for "who am I": Gen 32:10; 2Sam 7:18.</w:t>
      </w:r>
    </w:p>
  </w:footnote>
  <w:footnote w:id="8702">
    <w:p>
      <w:pPr>
        <w:pStyle w:val="FootnoteText"/>
      </w:pPr>
      <w:r>
        <w:rPr>
          <w:rStyle w:val="FootnoteReference"/>
        </w:rPr>
        <w:footnoteRef/>
      </w:r>
      <w:r>
        <w:t xml:space="preserve"> Cross-references for "Our days": Job 14:2; Ps 90:9.</w:t>
      </w:r>
    </w:p>
  </w:footnote>
  <w:footnote w:id="8703">
    <w:p>
      <w:pPr>
        <w:pStyle w:val="FootnoteText"/>
      </w:pPr>
      <w:r>
        <w:rPr>
          <w:rStyle w:val="FootnoteReference"/>
        </w:rPr>
        <w:footnoteRef/>
      </w:r>
      <w:r>
        <w:t xml:space="preserve"> Translation note: Greek says simplicity of heart and found here willingly giving.</w:t>
      </w:r>
    </w:p>
  </w:footnote>
  <w:footnote w:id="8704">
    <w:p>
      <w:pPr>
        <w:pStyle w:val="FootnoteText"/>
      </w:pPr>
      <w:r>
        <w:rPr>
          <w:rStyle w:val="FootnoteReference"/>
        </w:rPr>
        <w:footnoteRef/>
      </w:r>
      <w:r>
        <w:t xml:space="preserve"> Cross-references for "Lord God": Exod 3:6; Exod 3:15.</w:t>
      </w:r>
    </w:p>
  </w:footnote>
  <w:footnote w:id="8705">
    <w:p>
      <w:pPr>
        <w:pStyle w:val="FootnoteText"/>
      </w:pPr>
      <w:r>
        <w:rPr>
          <w:rStyle w:val="FootnoteReference"/>
        </w:rPr>
        <w:footnoteRef/>
      </w:r>
      <w:r>
        <w:t xml:space="preserve"> Cross-references for "sacrificed": 1Kgs 8:62-65; 2Chr 7:4-9.</w:t>
      </w:r>
    </w:p>
  </w:footnote>
  <w:footnote w:id="8706">
    <w:p>
      <w:pPr>
        <w:pStyle w:val="FootnoteText"/>
      </w:pPr>
      <w:r>
        <w:rPr>
          <w:rStyle w:val="FootnoteReference"/>
        </w:rPr>
        <w:footnoteRef/>
      </w:r>
      <w:r>
        <w:t xml:space="preserve"> Translation note: Greek says sacrifices in abundance for all Israel.</w:t>
      </w:r>
    </w:p>
  </w:footnote>
  <w:footnote w:id="8707">
    <w:p>
      <w:pPr>
        <w:pStyle w:val="FootnoteText"/>
      </w:pPr>
      <w:r>
        <w:rPr>
          <w:rStyle w:val="FootnoteReference"/>
        </w:rPr>
        <w:footnoteRef/>
      </w:r>
      <w:r>
        <w:t xml:space="preserve"> Cross-references for "and anointed": 1Kgs 1:31; 1Kgs 1:34-39.</w:t>
      </w:r>
    </w:p>
  </w:footnote>
  <w:footnote w:id="8708">
    <w:p>
      <w:pPr>
        <w:pStyle w:val="FootnoteText"/>
      </w:pPr>
      <w:r>
        <w:rPr>
          <w:rStyle w:val="FootnoteReference"/>
        </w:rPr>
        <w:footnoteRef/>
      </w:r>
      <w:r>
        <w:t xml:space="preserve"> Translation note: Greek explicitly adds Zadok to priesthood.</w:t>
      </w:r>
    </w:p>
  </w:footnote>
  <w:footnote w:id="8709">
    <w:p>
      <w:pPr>
        <w:pStyle w:val="FootnoteText"/>
      </w:pPr>
      <w:r>
        <w:rPr>
          <w:rStyle w:val="FootnoteReference"/>
        </w:rPr>
        <w:footnoteRef/>
      </w:r>
      <w:r>
        <w:t xml:space="preserve"> Cross-references for "sat on the throne": 1Chr 17:11-12; 1Chr 28:5.</w:t>
      </w:r>
    </w:p>
  </w:footnote>
  <w:footnote w:id="8710">
    <w:p>
      <w:pPr>
        <w:pStyle w:val="FootnoteText"/>
      </w:pPr>
      <w:r>
        <w:rPr>
          <w:rStyle w:val="FootnoteReference"/>
        </w:rPr>
        <w:footnoteRef/>
      </w:r>
      <w:r>
        <w:t xml:space="preserve"> Cross-references for "magnified Solomon": Josh 3:7; Josh 4:14.</w:t>
      </w:r>
    </w:p>
  </w:footnote>
  <w:footnote w:id="8711">
    <w:p>
      <w:pPr>
        <w:pStyle w:val="FootnoteText"/>
      </w:pPr>
      <w:r>
        <w:rPr>
          <w:rStyle w:val="FootnoteReference"/>
        </w:rPr>
        <w:footnoteRef/>
      </w:r>
      <w:r>
        <w:t xml:space="preserve"> Cross-references for "Forty years": 2Sam 5:4-5; 1Kgs 2:11.</w:t>
      </w:r>
    </w:p>
  </w:footnote>
  <w:footnote w:id="8712">
    <w:p>
      <w:pPr>
        <w:pStyle w:val="FootnoteText"/>
      </w:pPr>
      <w:r>
        <w:rPr>
          <w:rStyle w:val="FootnoteReference"/>
        </w:rPr>
        <w:footnoteRef/>
      </w:r>
      <w:r>
        <w:t xml:space="preserve"> Cross-references for "full of days": Gen 35:29; 1Chr 23:1.</w:t>
      </w:r>
    </w:p>
  </w:footnote>
  <w:footnote w:id="8713">
    <w:p>
      <w:pPr>
        <w:pStyle w:val="FootnoteText"/>
      </w:pPr>
      <w:r>
        <w:rPr>
          <w:rStyle w:val="FootnoteReference"/>
        </w:rPr>
        <w:footnoteRef/>
      </w:r>
      <w:r>
        <w:t xml:space="preserve"> Cross-references for "Samuel": 1Sam 9:9.</w:t>
      </w:r>
    </w:p>
  </w:footnote>
  <w:footnote w:id="8714">
    <w:p>
      <w:pPr>
        <w:pStyle w:val="FootnoteText"/>
      </w:pPr>
      <w:r>
        <w:rPr>
          <w:rStyle w:val="FootnoteReference"/>
        </w:rPr>
        <w:footnoteRef/>
      </w:r>
      <w:r>
        <w:t xml:space="preserve"> Cross-references for "was strengthened": 1Kgs 2:12; 1Kgs 2:46.</w:t>
      </w:r>
    </w:p>
  </w:footnote>
  <w:footnote w:id="8715">
    <w:p>
      <w:pPr>
        <w:pStyle w:val="FootnoteText"/>
      </w:pPr>
      <w:r>
        <w:rPr>
          <w:rStyle w:val="FootnoteReference"/>
        </w:rPr>
        <w:footnoteRef/>
      </w:r>
      <w:r>
        <w:t xml:space="preserve"> Cross-references for "Gibeon": 1Kgs 3:4-15; 1Chr 16:39.</w:t>
      </w:r>
    </w:p>
  </w:footnote>
  <w:footnote w:id="8716">
    <w:p>
      <w:pPr>
        <w:pStyle w:val="FootnoteText"/>
      </w:pPr>
      <w:r>
        <w:rPr>
          <w:rStyle w:val="FootnoteReference"/>
        </w:rPr>
        <w:footnoteRef/>
      </w:r>
      <w:r>
        <w:t xml:space="preserve"> Translation note: Greek says tent of testimony of God.</w:t>
      </w:r>
    </w:p>
  </w:footnote>
  <w:footnote w:id="8717">
    <w:p>
      <w:pPr>
        <w:pStyle w:val="FootnoteText"/>
      </w:pPr>
      <w:r>
        <w:rPr>
          <w:rStyle w:val="FootnoteReference"/>
        </w:rPr>
        <w:footnoteRef/>
      </w:r>
      <w:r>
        <w:t xml:space="preserve"> Cross-references for "the ark": 2Sam 6:2; 2Sam 6:17.</w:t>
      </w:r>
    </w:p>
  </w:footnote>
  <w:footnote w:id="8718">
    <w:p>
      <w:pPr>
        <w:pStyle w:val="FootnoteText"/>
      </w:pPr>
      <w:r>
        <w:rPr>
          <w:rStyle w:val="FootnoteReference"/>
        </w:rPr>
        <w:footnoteRef/>
      </w:r>
      <w:r>
        <w:t xml:space="preserve"> Transliterated proper noun: Bezaleel. Standard English equivalent: Bezaleel. Source form: Bezaleel. Greek form: βεσελεηλ. Name meaning: in the shadow of God.</w:t>
      </w:r>
    </w:p>
  </w:footnote>
  <w:footnote w:id="8719">
    <w:p>
      <w:pPr>
        <w:pStyle w:val="FootnoteText"/>
      </w:pPr>
      <w:r>
        <w:rPr>
          <w:rStyle w:val="FootnoteReference"/>
        </w:rPr>
        <w:footnoteRef/>
      </w:r>
      <w:r>
        <w:t xml:space="preserve"> Cross-references for "Bezaleel": Exod 31:2; 1Chr 2:19-20.</w:t>
      </w:r>
    </w:p>
  </w:footnote>
  <w:footnote w:id="8720">
    <w:p>
      <w:pPr>
        <w:pStyle w:val="FootnoteText"/>
      </w:pPr>
      <w:r>
        <w:rPr>
          <w:rStyle w:val="FootnoteReference"/>
        </w:rPr>
        <w:footnoteRef/>
      </w:r>
      <w:r>
        <w:t xml:space="preserve"> Cross-references for "In that night": 1Kgs 3:5-15; Prov 3:5-6.</w:t>
      </w:r>
    </w:p>
  </w:footnote>
  <w:footnote w:id="8721">
    <w:p>
      <w:pPr>
        <w:pStyle w:val="FootnoteText"/>
      </w:pPr>
      <w:r>
        <w:rPr>
          <w:rStyle w:val="FootnoteReference"/>
        </w:rPr>
        <w:footnoteRef/>
      </w:r>
      <w:r>
        <w:t xml:space="preserve"> Cross-references for "give me": 1Kgs 3:9; Ps 119:34.</w:t>
      </w:r>
    </w:p>
  </w:footnote>
  <w:footnote w:id="8722">
    <w:p>
      <w:pPr>
        <w:pStyle w:val="FootnoteText"/>
      </w:pPr>
      <w:r>
        <w:rPr>
          <w:rStyle w:val="FootnoteReference"/>
        </w:rPr>
        <w:footnoteRef/>
      </w:r>
      <w:r>
        <w:t xml:space="preserve"> Translation note: Greek preserves a fuller list and says adversaries. The translation follows that wording.</w:t>
      </w:r>
    </w:p>
  </w:footnote>
  <w:footnote w:id="8723">
    <w:p>
      <w:pPr>
        <w:pStyle w:val="FootnoteText"/>
      </w:pPr>
      <w:r>
        <w:rPr>
          <w:rStyle w:val="FootnoteReference"/>
        </w:rPr>
        <w:footnoteRef/>
      </w:r>
      <w:r>
        <w:t xml:space="preserve"> Cross-references for "I will give": Matt 6:33; Eph 3:20.</w:t>
      </w:r>
    </w:p>
  </w:footnote>
  <w:footnote w:id="8724">
    <w:p>
      <w:pPr>
        <w:pStyle w:val="FootnoteText"/>
      </w:pPr>
      <w:r>
        <w:rPr>
          <w:rStyle w:val="FootnoteReference"/>
        </w:rPr>
        <w:footnoteRef/>
      </w:r>
      <w:r>
        <w:t xml:space="preserve"> Cross-references for "reigned": 1Kgs 4:24-25.</w:t>
      </w:r>
    </w:p>
  </w:footnote>
  <w:footnote w:id="8725">
    <w:p>
      <w:pPr>
        <w:pStyle w:val="FootnoteText"/>
      </w:pPr>
      <w:r>
        <w:rPr>
          <w:rStyle w:val="FootnoteReference"/>
        </w:rPr>
        <w:footnoteRef/>
      </w:r>
      <w:r>
        <w:t xml:space="preserve"> Cross-references for "Solomon": Deut 17:16; 1Kgs 4:26.</w:t>
      </w:r>
    </w:p>
  </w:footnote>
  <w:footnote w:id="8726">
    <w:p>
      <w:pPr>
        <w:pStyle w:val="FootnoteText"/>
      </w:pPr>
      <w:r>
        <w:rPr>
          <w:rStyle w:val="FootnoteReference"/>
        </w:rPr>
        <w:footnoteRef/>
      </w:r>
      <w:r>
        <w:t xml:space="preserve"> Cross-references for "Solomon": 1Kgs 10:28-29; 2Chr 9:28.</w:t>
      </w:r>
    </w:p>
  </w:footnote>
  <w:footnote w:id="8727">
    <w:p>
      <w:pPr>
        <w:pStyle w:val="FootnoteText"/>
      </w:pPr>
      <w:r>
        <w:rPr>
          <w:rStyle w:val="FootnoteReference"/>
        </w:rPr>
        <w:footnoteRef/>
      </w:r>
      <w:r>
        <w:t xml:space="preserve"> Translation note: Greek says they brought by their hands.</w:t>
      </w:r>
    </w:p>
  </w:footnote>
  <w:footnote w:id="8728">
    <w:p>
      <w:pPr>
        <w:pStyle w:val="FootnoteText"/>
      </w:pPr>
      <w:r>
        <w:rPr>
          <w:rStyle w:val="FootnoteReference"/>
        </w:rPr>
        <w:footnoteRef/>
      </w:r>
      <w:r>
        <w:t xml:space="preserve"> Translation note: Greek says perpetual presentation here. Current line keeps that wording.</w:t>
      </w:r>
    </w:p>
  </w:footnote>
  <w:footnote w:id="8729">
    <w:p>
      <w:pPr>
        <w:pStyle w:val="FootnoteText"/>
      </w:pPr>
      <w:r>
        <w:rPr>
          <w:rStyle w:val="FootnoteReference"/>
        </w:rPr>
        <w:footnoteRef/>
      </w:r>
      <w:r>
        <w:t xml:space="preserve"> MT/LXX note: This LXX verse number carries the great-house line rather than the MT long dedication list.</w:t>
      </w:r>
    </w:p>
  </w:footnote>
  <w:footnote w:id="8730">
    <w:p>
      <w:pPr>
        <w:pStyle w:val="FootnoteText"/>
      </w:pPr>
      <w:r>
        <w:rPr>
          <w:rStyle w:val="FootnoteReference"/>
        </w:rPr>
        <w:footnoteRef/>
      </w:r>
      <w:r>
        <w:t xml:space="preserve"> MT/LXX note: The Septuagint places a rhetorical question here rather than the Masoretic statement about the greatness of the house. The translation follows the Greek content.</w:t>
      </w:r>
    </w:p>
  </w:footnote>
  <w:footnote w:id="8731">
    <w:p>
      <w:pPr>
        <w:pStyle w:val="FootnoteText"/>
      </w:pPr>
      <w:r>
        <w:rPr>
          <w:rStyle w:val="FootnoteReference"/>
        </w:rPr>
        <w:footnoteRef/>
      </w:r>
      <w:r>
        <w:t xml:space="preserve"> Translation note: Greek repeats the carving idea with verb and noun. The translation keeps that craft-language visible.</w:t>
      </w:r>
    </w:p>
  </w:footnote>
  <w:footnote w:id="8732">
    <w:p>
      <w:pPr>
        <w:pStyle w:val="FootnoteText"/>
      </w:pPr>
      <w:r>
        <w:rPr>
          <w:rStyle w:val="FootnoteReference"/>
        </w:rPr>
        <w:footnoteRef/>
      </w:r>
      <w:r>
        <w:t xml:space="preserve"> MT/LXX note: This LXX verse number carries the timber request line rather than the MT artisan request line.</w:t>
      </w:r>
    </w:p>
  </w:footnote>
  <w:footnote w:id="8733">
    <w:p>
      <w:pPr>
        <w:pStyle w:val="FootnoteText"/>
      </w:pPr>
      <w:r>
        <w:rPr>
          <w:rStyle w:val="FootnoteReference"/>
        </w:rPr>
        <w:footnoteRef/>
      </w:r>
      <w:r>
        <w:t xml:space="preserve"> MT/LXX note: The Septuagint gives a shorter timber-preparation request rather than the fuller Masoretic list of tree types. The translation follows the Greek line.</w:t>
      </w:r>
    </w:p>
  </w:footnote>
  <w:footnote w:id="8734">
    <w:p>
      <w:pPr>
        <w:pStyle w:val="FootnoteText"/>
      </w:pPr>
      <w:r>
        <w:rPr>
          <w:rStyle w:val="FootnoteReference"/>
        </w:rPr>
        <w:footnoteRef/>
      </w:r>
      <w:r>
        <w:t xml:space="preserve"> Translation note: Greek says kors here. Current line keeps that wording.</w:t>
      </w:r>
    </w:p>
  </w:footnote>
  <w:footnote w:id="8735">
    <w:p>
      <w:pPr>
        <w:pStyle w:val="FootnoteText"/>
      </w:pPr>
      <w:r>
        <w:rPr>
          <w:rStyle w:val="FootnoteReference"/>
        </w:rPr>
        <w:footnoteRef/>
      </w:r>
      <w:r>
        <w:t xml:space="preserve"> MT/LXX note: LXX here gives Chiram's reply rather than the MT provision list.</w:t>
      </w:r>
    </w:p>
  </w:footnote>
  <w:footnote w:id="8736">
    <w:p>
      <w:pPr>
        <w:pStyle w:val="FootnoteText"/>
      </w:pPr>
      <w:r>
        <w:rPr>
          <w:rStyle w:val="FootnoteReference"/>
        </w:rPr>
        <w:footnoteRef/>
      </w:r>
      <w:r>
        <w:t xml:space="preserve"> MT/LXX note: The Septuagint preserves a blessing speech here rather than the Masoretic kingship note. The translation follows the Greek content.</w:t>
      </w:r>
    </w:p>
  </w:footnote>
  <w:footnote w:id="8737">
    <w:p>
      <w:pPr>
        <w:pStyle w:val="FootnoteText"/>
      </w:pPr>
      <w:r>
        <w:rPr>
          <w:rStyle w:val="FootnoteReference"/>
        </w:rPr>
        <w:footnoteRef/>
      </w:r>
      <w:r>
        <w:t xml:space="preserve"> Translation note: Greek says Chiram my father here.</w:t>
      </w:r>
    </w:p>
  </w:footnote>
  <w:footnote w:id="8738">
    <w:p>
      <w:pPr>
        <w:pStyle w:val="FootnoteText"/>
      </w:pPr>
      <w:r>
        <w:rPr>
          <w:rStyle w:val="FootnoteReference"/>
        </w:rPr>
        <w:footnoteRef/>
      </w:r>
      <w:r>
        <w:t xml:space="preserve"> Translation note: Greek says father was Tyrian man.</w:t>
      </w:r>
    </w:p>
  </w:footnote>
  <w:footnote w:id="8739">
    <w:p>
      <w:pPr>
        <w:pStyle w:val="FootnoteText"/>
      </w:pPr>
      <w:r>
        <w:rPr>
          <w:rStyle w:val="FootnoteReference"/>
        </w:rPr>
        <w:footnoteRef/>
      </w:r>
      <w:r>
        <w:t xml:space="preserve"> MT/LXX note: This LXX verse number carries the supply request line rather than the MT craftsman-description line.</w:t>
      </w:r>
    </w:p>
  </w:footnote>
  <w:footnote w:id="8740">
    <w:p>
      <w:pPr>
        <w:pStyle w:val="FootnoteText"/>
      </w:pPr>
      <w:r>
        <w:rPr>
          <w:rStyle w:val="FootnoteReference"/>
        </w:rPr>
        <w:footnoteRef/>
      </w:r>
      <w:r>
        <w:t xml:space="preserve"> MT/LXX note: The Septuagint assigns the timber-shipping line to this verse number rather than the Masoretic supplies request. The translation follows the Greek content.</w:t>
      </w:r>
    </w:p>
  </w:footnote>
  <w:footnote w:id="8741">
    <w:p>
      <w:pPr>
        <w:pStyle w:val="FootnoteText"/>
      </w:pPr>
      <w:r>
        <w:rPr>
          <w:rStyle w:val="FootnoteReference"/>
        </w:rPr>
        <w:footnoteRef/>
      </w:r>
      <w:r>
        <w:t xml:space="preserve"> Translation note: Greek labor-force wording kept here.</w:t>
      </w:r>
    </w:p>
  </w:footnote>
  <w:footnote w:id="8742">
    <w:p>
      <w:pPr>
        <w:pStyle w:val="FootnoteText"/>
      </w:pPr>
      <w:r>
        <w:rPr>
          <w:rStyle w:val="FootnoteReference"/>
        </w:rPr>
        <w:footnoteRef/>
      </w:r>
      <w:r>
        <w:t xml:space="preserve"> Cross-references for "Solomon": 1Kgs 6:1-14.</w:t>
      </w:r>
    </w:p>
  </w:footnote>
  <w:footnote w:id="8743">
    <w:p>
      <w:pPr>
        <w:pStyle w:val="FootnoteText"/>
      </w:pPr>
      <w:r>
        <w:rPr>
          <w:rStyle w:val="FootnoteReference"/>
        </w:rPr>
        <w:footnoteRef/>
      </w:r>
      <w:r>
        <w:t xml:space="preserve"> Place name: Moriah. Place-name meaning: Moriah — bitterness of the Lord. Source form: Moriah. Greek form: αμορια.</w:t>
      </w:r>
    </w:p>
  </w:footnote>
  <w:footnote w:id="8744">
    <w:p>
      <w:pPr>
        <w:pStyle w:val="FootnoteText"/>
      </w:pPr>
      <w:r>
        <w:rPr>
          <w:rStyle w:val="FootnoteReference"/>
        </w:rPr>
        <w:footnoteRef/>
      </w:r>
      <w:r>
        <w:t xml:space="preserve"> Translation note: Greek says mountain of Amoria.</w:t>
      </w:r>
    </w:p>
  </w:footnote>
  <w:footnote w:id="8745">
    <w:p>
      <w:pPr>
        <w:pStyle w:val="FootnoteText"/>
      </w:pPr>
      <w:r>
        <w:rPr>
          <w:rStyle w:val="FootnoteReference"/>
        </w:rPr>
        <w:footnoteRef/>
      </w:r>
      <w:r>
        <w:t xml:space="preserve"> Cross-references for "in the second": 1Kgs 6:1.</w:t>
      </w:r>
    </w:p>
  </w:footnote>
  <w:footnote w:id="8746">
    <w:p>
      <w:pPr>
        <w:pStyle w:val="FootnoteText"/>
      </w:pPr>
      <w:r>
        <w:rPr>
          <w:rStyle w:val="FootnoteReference"/>
        </w:rPr>
        <w:footnoteRef/>
      </w:r>
      <w:r>
        <w:t xml:space="preserve"> Cross-references for "Solomon": 1Chr 28:11-19.</w:t>
      </w:r>
    </w:p>
  </w:footnote>
  <w:footnote w:id="8747">
    <w:p>
      <w:pPr>
        <w:pStyle w:val="FootnoteText"/>
      </w:pPr>
      <w:r>
        <w:rPr>
          <w:rStyle w:val="FootnoteReference"/>
        </w:rPr>
        <w:footnoteRef/>
      </w:r>
      <w:r>
        <w:t xml:space="preserve"> Translation note: Greek keeps the compact vestibule line here.</w:t>
      </w:r>
    </w:p>
  </w:footnote>
  <w:footnote w:id="8748">
    <w:p>
      <w:pPr>
        <w:pStyle w:val="FootnoteText"/>
      </w:pPr>
      <w:r>
        <w:rPr>
          <w:rStyle w:val="FootnoteReference"/>
        </w:rPr>
        <w:footnoteRef/>
      </w:r>
      <w:r>
        <w:t xml:space="preserve"> Cross-references for "precious": 1Chr 29:2; 1Chr 29:8.</w:t>
      </w:r>
    </w:p>
  </w:footnote>
  <w:footnote w:id="8749">
    <w:p>
      <w:pPr>
        <w:pStyle w:val="FootnoteText"/>
      </w:pPr>
      <w:r>
        <w:rPr>
          <w:rStyle w:val="FootnoteReference"/>
        </w:rPr>
        <w:footnoteRef/>
      </w:r>
      <w:r>
        <w:t xml:space="preserve"> Cross-references for "two pillars": 1Kgs 7:15-24; Jer 52:20-23.</w:t>
      </w:r>
    </w:p>
  </w:footnote>
  <w:footnote w:id="8750">
    <w:p>
      <w:pPr>
        <w:pStyle w:val="FootnoteText"/>
      </w:pPr>
      <w:r>
        <w:rPr>
          <w:rStyle w:val="FootnoteReference"/>
        </w:rPr>
        <w:footnoteRef/>
      </w:r>
      <w:r>
        <w:t xml:space="preserve"> Cross-references for "chains": 1Kgs 6:21.</w:t>
      </w:r>
    </w:p>
  </w:footnote>
  <w:footnote w:id="8751">
    <w:p>
      <w:pPr>
        <w:pStyle w:val="FootnoteText"/>
      </w:pPr>
      <w:r>
        <w:rPr>
          <w:rStyle w:val="FootnoteReference"/>
        </w:rPr>
        <w:footnoteRef/>
      </w:r>
      <w:r>
        <w:t xml:space="preserve"> MT/LXX note: LXX/fresh has "ten cubits"; MT comparison has "a cubit".</w:t>
      </w:r>
    </w:p>
  </w:footnote>
  <w:footnote w:id="8752">
    <w:p>
      <w:pPr>
        <w:pStyle w:val="FootnoteText"/>
      </w:pPr>
      <w:r>
        <w:rPr>
          <w:rStyle w:val="FootnoteReference"/>
        </w:rPr>
        <w:footnoteRef/>
      </w:r>
      <w:r>
        <w:t xml:space="preserve"> Cross-references for "three": Matt 28:19-20; Mark 16:15.</w:t>
      </w:r>
    </w:p>
  </w:footnote>
  <w:footnote w:id="8753">
    <w:p>
      <w:pPr>
        <w:pStyle w:val="FootnoteText"/>
      </w:pPr>
      <w:r>
        <w:rPr>
          <w:rStyle w:val="FootnoteReference"/>
        </w:rPr>
        <w:footnoteRef/>
      </w:r>
      <w:r>
        <w:t xml:space="preserve"> Translation note: Greek says their hind parts were inward.</w:t>
      </w:r>
    </w:p>
  </w:footnote>
  <w:footnote w:id="8754">
    <w:p>
      <w:pPr>
        <w:pStyle w:val="FootnoteText"/>
      </w:pPr>
      <w:r>
        <w:rPr>
          <w:rStyle w:val="FootnoteReference"/>
        </w:rPr>
        <w:footnoteRef/>
      </w:r>
      <w:r>
        <w:t xml:space="preserve"> Cross-references for "ten lavers": Exod 30:18-21; 1Kgs 7:38.</w:t>
      </w:r>
    </w:p>
  </w:footnote>
  <w:footnote w:id="8755">
    <w:p>
      <w:pPr>
        <w:pStyle w:val="FootnoteText"/>
      </w:pPr>
      <w:r>
        <w:rPr>
          <w:rStyle w:val="FootnoteReference"/>
        </w:rPr>
        <w:footnoteRef/>
      </w:r>
      <w:r>
        <w:t xml:space="preserve"> Cross-references for "according to": Exod 25:31-40; 1Chr 28:12.</w:t>
      </w:r>
    </w:p>
  </w:footnote>
  <w:footnote w:id="8756">
    <w:p>
      <w:pPr>
        <w:pStyle w:val="FootnoteText"/>
      </w:pPr>
      <w:r>
        <w:rPr>
          <w:rStyle w:val="FootnoteReference"/>
        </w:rPr>
        <w:footnoteRef/>
      </w:r>
      <w:r>
        <w:t xml:space="preserve"> Cross-references for "ten tables": Exod 25:23-30; Exod 37:10-16.</w:t>
      </w:r>
    </w:p>
  </w:footnote>
  <w:footnote w:id="8757">
    <w:p>
      <w:pPr>
        <w:pStyle w:val="FootnoteText"/>
      </w:pPr>
      <w:r>
        <w:rPr>
          <w:rStyle w:val="FootnoteReference"/>
        </w:rPr>
        <w:footnoteRef/>
      </w:r>
      <w:r>
        <w:t xml:space="preserve"> Cross-references for "four hundred": Exod 28:33-34; 1Kgs 7:20.</w:t>
      </w:r>
    </w:p>
  </w:footnote>
  <w:footnote w:id="8758">
    <w:p>
      <w:pPr>
        <w:pStyle w:val="FootnoteText"/>
      </w:pPr>
      <w:r>
        <w:rPr>
          <w:rStyle w:val="FootnoteReference"/>
        </w:rPr>
        <w:footnoteRef/>
      </w:r>
      <w:r>
        <w:t xml:space="preserve"> Cross-references for "lavers": 2Chr 4:6.</w:t>
      </w:r>
    </w:p>
  </w:footnote>
  <w:footnote w:id="8759">
    <w:p>
      <w:pPr>
        <w:pStyle w:val="FootnoteText"/>
      </w:pPr>
      <w:r>
        <w:rPr>
          <w:rStyle w:val="FootnoteReference"/>
        </w:rPr>
        <w:footnoteRef/>
      </w:r>
      <w:r>
        <w:t xml:space="preserve"> Translation note: Greek says house of temple here. Current line keeps that wording.</w:t>
      </w:r>
    </w:p>
  </w:footnote>
  <w:footnote w:id="8760">
    <w:p>
      <w:pPr>
        <w:pStyle w:val="FootnoteText"/>
      </w:pPr>
      <w:r>
        <w:rPr>
          <w:rStyle w:val="FootnoteReference"/>
        </w:rPr>
        <w:footnoteRef/>
      </w:r>
      <w:r>
        <w:t xml:space="preserve"> Translation note: Greek says holy things of David his father.</w:t>
      </w:r>
    </w:p>
  </w:footnote>
  <w:footnote w:id="8761">
    <w:p>
      <w:pPr>
        <w:pStyle w:val="FootnoteText"/>
      </w:pPr>
      <w:r>
        <w:rPr>
          <w:rStyle w:val="FootnoteReference"/>
        </w:rPr>
        <w:footnoteRef/>
      </w:r>
      <w:r>
        <w:t xml:space="preserve"> Cross-references for "Then Solomon": 1Kgs 8:1-11; 1Chr 28:1.</w:t>
      </w:r>
    </w:p>
  </w:footnote>
  <w:footnote w:id="8762">
    <w:p>
      <w:pPr>
        <w:pStyle w:val="FootnoteText"/>
      </w:pPr>
      <w:r>
        <w:rPr>
          <w:rStyle w:val="FootnoteReference"/>
        </w:rPr>
        <w:footnoteRef/>
      </w:r>
      <w:r>
        <w:t xml:space="preserve"> Cross-references for "the Levites": Num 4:15; Josh 3:6.</w:t>
      </w:r>
    </w:p>
  </w:footnote>
  <w:footnote w:id="8763">
    <w:p>
      <w:pPr>
        <w:pStyle w:val="FootnoteText"/>
      </w:pPr>
      <w:r>
        <w:rPr>
          <w:rStyle w:val="FootnoteReference"/>
        </w:rPr>
        <w:footnoteRef/>
      </w:r>
      <w:r>
        <w:t xml:space="preserve"> Cross-references for "the Lord": Exod 19:5; Exod 24:7-8.</w:t>
      </w:r>
    </w:p>
  </w:footnote>
  <w:footnote w:id="8764">
    <w:p>
      <w:pPr>
        <w:pStyle w:val="FootnoteText"/>
      </w:pPr>
      <w:r>
        <w:rPr>
          <w:rStyle w:val="FootnoteReference"/>
        </w:rPr>
        <w:footnoteRef/>
      </w:r>
      <w:r>
        <w:t xml:space="preserve"> Cross-references for "sanctified": Exod 19:10; Exod 19:14-15.</w:t>
      </w:r>
    </w:p>
  </w:footnote>
  <w:footnote w:id="8765">
    <w:p>
      <w:pPr>
        <w:pStyle w:val="FootnoteText"/>
      </w:pPr>
      <w:r>
        <w:rPr>
          <w:rStyle w:val="FootnoteReference"/>
        </w:rPr>
        <w:footnoteRef/>
      </w:r>
      <w:r>
        <w:t xml:space="preserve"> Cross-references for "Asaph": 1Chr 6:33; 1Chr 6:39.</w:t>
      </w:r>
    </w:p>
  </w:footnote>
  <w:footnote w:id="8766">
    <w:p>
      <w:pPr>
        <w:pStyle w:val="FootnoteText"/>
      </w:pPr>
      <w:r>
        <w:rPr>
          <w:rStyle w:val="FootnoteReference"/>
        </w:rPr>
        <w:footnoteRef/>
      </w:r>
      <w:r>
        <w:t xml:space="preserve"> Translation note: Greek says linen robes here. Current line keeps that wording.</w:t>
      </w:r>
    </w:p>
  </w:footnote>
  <w:footnote w:id="8767">
    <w:p>
      <w:pPr>
        <w:pStyle w:val="FootnoteText"/>
      </w:pPr>
      <w:r>
        <w:rPr>
          <w:rStyle w:val="FootnoteReference"/>
        </w:rPr>
        <w:footnoteRef/>
      </w:r>
      <w:r>
        <w:t xml:space="preserve"> Translation note: Greek says one sound and one voice.</w:t>
      </w:r>
    </w:p>
  </w:footnote>
  <w:footnote w:id="8768">
    <w:p>
      <w:pPr>
        <w:pStyle w:val="FootnoteText"/>
      </w:pPr>
      <w:r>
        <w:rPr>
          <w:rStyle w:val="FootnoteReference"/>
        </w:rPr>
        <w:footnoteRef/>
      </w:r>
      <w:r>
        <w:t xml:space="preserve"> Cross-references for "he is good": 1Chr 16:34-41; 2Chr 7:3.</w:t>
      </w:r>
    </w:p>
  </w:footnote>
  <w:footnote w:id="8769">
    <w:p>
      <w:pPr>
        <w:pStyle w:val="FootnoteText"/>
      </w:pPr>
      <w:r>
        <w:rPr>
          <w:rStyle w:val="FootnoteReference"/>
        </w:rPr>
        <w:footnoteRef/>
      </w:r>
      <w:r>
        <w:t xml:space="preserve"> Cross-references for "the glory": Exod 40:35; Isa 6:1-4.</w:t>
      </w:r>
    </w:p>
  </w:footnote>
  <w:footnote w:id="8770">
    <w:p>
      <w:pPr>
        <w:pStyle w:val="FootnoteText"/>
      </w:pPr>
      <w:r>
        <w:rPr>
          <w:rStyle w:val="FootnoteReference"/>
        </w:rPr>
        <w:footnoteRef/>
      </w:r>
      <w:r>
        <w:t xml:space="preserve"> Cross-references for "the Lord": Exod 20:21; Exod 24:15-18.</w:t>
      </w:r>
    </w:p>
  </w:footnote>
  <w:footnote w:id="8771">
    <w:p>
      <w:pPr>
        <w:pStyle w:val="FootnoteText"/>
      </w:pPr>
      <w:r>
        <w:rPr>
          <w:rStyle w:val="FootnoteReference"/>
        </w:rPr>
        <w:footnoteRef/>
      </w:r>
      <w:r>
        <w:t xml:space="preserve"> Cross-references for "turned his face": 1Kgs 8:14.</w:t>
      </w:r>
    </w:p>
  </w:footnote>
  <w:footnote w:id="8772">
    <w:p>
      <w:pPr>
        <w:pStyle w:val="FootnoteText"/>
      </w:pPr>
      <w:r>
        <w:rPr>
          <w:rStyle w:val="FootnoteReference"/>
        </w:rPr>
        <w:footnoteRef/>
      </w:r>
      <w:r>
        <w:t xml:space="preserve"> Cross-references for "Blessed": 1Kgs 8:15; 1Chr 29:10.</w:t>
      </w:r>
    </w:p>
  </w:footnote>
  <w:footnote w:id="8773">
    <w:p>
      <w:pPr>
        <w:pStyle w:val="FootnoteText"/>
      </w:pPr>
      <w:r>
        <w:rPr>
          <w:rStyle w:val="FootnoteReference"/>
        </w:rPr>
        <w:footnoteRef/>
      </w:r>
      <w:r>
        <w:t xml:space="preserve"> Translation note: Greek uses the simple phrase that God's name be there. The translation keeps that direct wording without expanding it beyond the text.</w:t>
      </w:r>
    </w:p>
  </w:footnote>
  <w:footnote w:id="8774">
    <w:p>
      <w:pPr>
        <w:pStyle w:val="FootnoteText"/>
      </w:pPr>
      <w:r>
        <w:rPr>
          <w:rStyle w:val="FootnoteReference"/>
        </w:rPr>
        <w:footnoteRef/>
      </w:r>
      <w:r>
        <w:t xml:space="preserve"> Cross-references for "as the Lord": 1Chr 17:11; 1Chr 28:5.</w:t>
      </w:r>
    </w:p>
  </w:footnote>
  <w:footnote w:id="8775">
    <w:p>
      <w:pPr>
        <w:pStyle w:val="FootnoteText"/>
      </w:pPr>
      <w:r>
        <w:rPr>
          <w:rStyle w:val="FootnoteReference"/>
        </w:rPr>
        <w:footnoteRef/>
      </w:r>
      <w:r>
        <w:t xml:space="preserve"> Translation note: Greek presents Solomon's succession in a direct in-place formulation. The translation keeps that wording close.</w:t>
      </w:r>
    </w:p>
  </w:footnote>
  <w:footnote w:id="8776">
    <w:p>
      <w:pPr>
        <w:pStyle w:val="FootnoteText"/>
      </w:pPr>
      <w:r>
        <w:rPr>
          <w:rStyle w:val="FootnoteReference"/>
        </w:rPr>
        <w:footnoteRef/>
      </w:r>
      <w:r>
        <w:t xml:space="preserve"> Cross-references for "he stood": 1Kgs 8:22-53; 2Kgs 11:14.</w:t>
      </w:r>
    </w:p>
  </w:footnote>
  <w:footnote w:id="8777">
    <w:p>
      <w:pPr>
        <w:pStyle w:val="FootnoteText"/>
      </w:pPr>
      <w:r>
        <w:rPr>
          <w:rStyle w:val="FootnoteReference"/>
        </w:rPr>
        <w:footnoteRef/>
      </w:r>
      <w:r>
        <w:t xml:space="preserve"> Translation note: Greek says Solomon made a bronze base or platform.</w:t>
      </w:r>
    </w:p>
  </w:footnote>
  <w:footnote w:id="8778">
    <w:p>
      <w:pPr>
        <w:pStyle w:val="FootnoteText"/>
      </w:pPr>
      <w:r>
        <w:rPr>
          <w:rStyle w:val="FootnoteReference"/>
        </w:rPr>
        <w:footnoteRef/>
      </w:r>
      <w:r>
        <w:t xml:space="preserve"> Cross-references for "no God": Exod 15:11; Deut 4:39.</w:t>
      </w:r>
    </w:p>
  </w:footnote>
  <w:footnote w:id="8779">
    <w:p>
      <w:pPr>
        <w:pStyle w:val="FootnoteText"/>
      </w:pPr>
      <w:r>
        <w:rPr>
          <w:rStyle w:val="FootnoteReference"/>
        </w:rPr>
        <w:footnoteRef/>
      </w:r>
      <w:r>
        <w:t xml:space="preserve"> Translation note: The Greek uses the covenant-and-mercy formula directly. The current wording preserves it.</w:t>
      </w:r>
    </w:p>
  </w:footnote>
  <w:footnote w:id="8780">
    <w:p>
      <w:pPr>
        <w:pStyle w:val="FootnoteText"/>
      </w:pPr>
      <w:r>
        <w:rPr>
          <w:rStyle w:val="FootnoteReference"/>
        </w:rPr>
        <w:footnoteRef/>
      </w:r>
      <w:r>
        <w:t xml:space="preserve"> Translation note: Greek uses an all-whole-heart phrase. English supplies their from the plural servants in context.</w:t>
      </w:r>
    </w:p>
  </w:footnote>
  <w:footnote w:id="8781">
    <w:p>
      <w:pPr>
        <w:pStyle w:val="FootnoteText"/>
      </w:pPr>
      <w:r>
        <w:rPr>
          <w:rStyle w:val="FootnoteReference"/>
        </w:rPr>
        <w:footnoteRef/>
      </w:r>
      <w:r>
        <w:t xml:space="preserve"> Cross-references for "keep": Ezek 36:37; John 15:14-15.</w:t>
      </w:r>
    </w:p>
  </w:footnote>
  <w:footnote w:id="8782">
    <w:p>
      <w:pPr>
        <w:pStyle w:val="FootnoteText"/>
      </w:pPr>
      <w:r>
        <w:rPr>
          <w:rStyle w:val="FootnoteReference"/>
        </w:rPr>
        <w:footnoteRef/>
      </w:r>
      <w:r>
        <w:t xml:space="preserve"> Translation note: Greek says fail from before me here. Current line keeps that form.</w:t>
      </w:r>
    </w:p>
  </w:footnote>
  <w:footnote w:id="8783">
    <w:p>
      <w:pPr>
        <w:pStyle w:val="FootnoteText"/>
      </w:pPr>
      <w:r>
        <w:rPr>
          <w:rStyle w:val="FootnoteReference"/>
        </w:rPr>
        <w:footnoteRef/>
      </w:r>
      <w:r>
        <w:t xml:space="preserve"> Cross-references for "heaven": 2Chr 2:6; Ps 139:7-10.</w:t>
      </w:r>
    </w:p>
  </w:footnote>
  <w:footnote w:id="8784">
    <w:p>
      <w:pPr>
        <w:pStyle w:val="FootnoteText"/>
      </w:pPr>
      <w:r>
        <w:rPr>
          <w:rStyle w:val="FootnoteReference"/>
        </w:rPr>
        <w:footnoteRef/>
      </w:r>
      <w:r>
        <w:t xml:space="preserve"> Translation note: The Greek uses the established name-there formula here. The current wording keeps that formula consistent.</w:t>
      </w:r>
    </w:p>
  </w:footnote>
  <w:footnote w:id="8785">
    <w:p>
      <w:pPr>
        <w:pStyle w:val="FootnoteText"/>
      </w:pPr>
      <w:r>
        <w:rPr>
          <w:rStyle w:val="FootnoteReference"/>
        </w:rPr>
        <w:footnoteRef/>
      </w:r>
      <w:r>
        <w:t xml:space="preserve"> Cross-references for "toward this place": Dan 6:10.</w:t>
      </w:r>
    </w:p>
  </w:footnote>
  <w:footnote w:id="8786">
    <w:p>
      <w:pPr>
        <w:pStyle w:val="FootnoteText"/>
      </w:pPr>
      <w:r>
        <w:rPr>
          <w:rStyle w:val="FootnoteReference"/>
        </w:rPr>
        <w:footnoteRef/>
      </w:r>
      <w:r>
        <w:t xml:space="preserve"> Cross-references for "from heaven": 2Chr 6:21.</w:t>
      </w:r>
    </w:p>
  </w:footnote>
  <w:footnote w:id="8787">
    <w:p>
      <w:pPr>
        <w:pStyle w:val="FootnoteText"/>
      </w:pPr>
      <w:r>
        <w:rPr>
          <w:rStyle w:val="FootnoteReference"/>
        </w:rPr>
        <w:footnoteRef/>
      </w:r>
      <w:r>
        <w:t xml:space="preserve"> Translation note: The Greek uses the upon-his-head judgment formula directly. The current wording preserves it.</w:t>
      </w:r>
    </w:p>
  </w:footnote>
  <w:footnote w:id="8788">
    <w:p>
      <w:pPr>
        <w:pStyle w:val="FootnoteText"/>
      </w:pPr>
      <w:r>
        <w:rPr>
          <w:rStyle w:val="FootnoteReference"/>
        </w:rPr>
        <w:footnoteRef/>
      </w:r>
      <w:r>
        <w:t xml:space="preserve"> Cross-references for "pray": Ezra 9:5-15; Neh 9:1-37.</w:t>
      </w:r>
    </w:p>
  </w:footnote>
  <w:footnote w:id="8789">
    <w:p>
      <w:pPr>
        <w:pStyle w:val="FootnoteText"/>
      </w:pPr>
      <w:r>
        <w:rPr>
          <w:rStyle w:val="FootnoteReference"/>
        </w:rPr>
        <w:footnoteRef/>
      </w:r>
      <w:r>
        <w:t xml:space="preserve"> Translation note: The Greek here uses praise rather than confession. The current wording keeps that difference explicit.</w:t>
      </w:r>
    </w:p>
  </w:footnote>
  <w:footnote w:id="8790">
    <w:p>
      <w:pPr>
        <w:pStyle w:val="FootnoteText"/>
      </w:pPr>
      <w:r>
        <w:rPr>
          <w:rStyle w:val="FootnoteReference"/>
        </w:rPr>
        <w:footnoteRef/>
      </w:r>
      <w:r>
        <w:t xml:space="preserve"> Cross-references for "turn": Prov 28:13; Ezek 18:27-32.</w:t>
      </w:r>
    </w:p>
  </w:footnote>
  <w:footnote w:id="8791">
    <w:p>
      <w:pPr>
        <w:pStyle w:val="FootnoteText"/>
      </w:pPr>
      <w:r>
        <w:rPr>
          <w:rStyle w:val="FootnoteReference"/>
        </w:rPr>
        <w:footnoteRef/>
      </w:r>
      <w:r>
        <w:t xml:space="preserve"> Cross-references for "good way": Isa 30:21; Jer 6:16.</w:t>
      </w:r>
    </w:p>
  </w:footnote>
  <w:footnote w:id="8792">
    <w:p>
      <w:pPr>
        <w:pStyle w:val="FootnoteText"/>
      </w:pPr>
      <w:r>
        <w:rPr>
          <w:rStyle w:val="FootnoteReference"/>
        </w:rPr>
        <w:footnoteRef/>
      </w:r>
      <w:r>
        <w:t xml:space="preserve"> Translation note: Greek says be merciful to sins of your servants and people.</w:t>
      </w:r>
    </w:p>
  </w:footnote>
  <w:footnote w:id="8793">
    <w:p>
      <w:pPr>
        <w:pStyle w:val="FootnoteText"/>
      </w:pPr>
      <w:r>
        <w:rPr>
          <w:rStyle w:val="FootnoteReference"/>
        </w:rPr>
        <w:footnoteRef/>
      </w:r>
      <w:r>
        <w:t xml:space="preserve"> Translation note: Greek list includes blight and jaundice.</w:t>
      </w:r>
    </w:p>
  </w:footnote>
  <w:footnote w:id="8794">
    <w:p>
      <w:pPr>
        <w:pStyle w:val="FootnoteText"/>
      </w:pPr>
      <w:r>
        <w:rPr>
          <w:rStyle w:val="FootnoteReference"/>
        </w:rPr>
        <w:footnoteRef/>
      </w:r>
      <w:r>
        <w:t xml:space="preserve"> Translation note: Greek says if a man knows his own touch and his own weakness.</w:t>
      </w:r>
    </w:p>
  </w:footnote>
  <w:footnote w:id="8795">
    <w:p>
      <w:pPr>
        <w:pStyle w:val="FootnoteText"/>
      </w:pPr>
      <w:r>
        <w:rPr>
          <w:rStyle w:val="FootnoteReference"/>
        </w:rPr>
        <w:footnoteRef/>
      </w:r>
      <w:r>
        <w:t xml:space="preserve"> Translation note: Greek says toward this place here.</w:t>
      </w:r>
    </w:p>
  </w:footnote>
  <w:footnote w:id="8796">
    <w:p>
      <w:pPr>
        <w:pStyle w:val="FootnoteText"/>
      </w:pPr>
      <w:r>
        <w:rPr>
          <w:rStyle w:val="FootnoteReference"/>
        </w:rPr>
        <w:footnoteRef/>
      </w:r>
      <w:r>
        <w:t xml:space="preserve"> Translation note: Greek says ready dwelling here. Current line keeps that wording.</w:t>
      </w:r>
    </w:p>
  </w:footnote>
  <w:footnote w:id="8797">
    <w:p>
      <w:pPr>
        <w:pStyle w:val="FootnoteText"/>
      </w:pPr>
      <w:r>
        <w:rPr>
          <w:rStyle w:val="FootnoteReference"/>
        </w:rPr>
        <w:footnoteRef/>
      </w:r>
      <w:r>
        <w:t xml:space="preserve"> Cross-references for "this house": Num 6:27; 1Kgs 8:16.</w:t>
      </w:r>
    </w:p>
  </w:footnote>
  <w:footnote w:id="8798">
    <w:p>
      <w:pPr>
        <w:pStyle w:val="FootnoteText"/>
      </w:pPr>
      <w:r>
        <w:rPr>
          <w:rStyle w:val="FootnoteReference"/>
        </w:rPr>
        <w:footnoteRef/>
      </w:r>
      <w:r>
        <w:t xml:space="preserve"> Translation note: The Greek uses directional prayer language here. The current wording keeps that source-row line visible.</w:t>
      </w:r>
    </w:p>
  </w:footnote>
  <w:footnote w:id="8799">
    <w:p>
      <w:pPr>
        <w:pStyle w:val="FootnoteText"/>
      </w:pPr>
      <w:r>
        <w:rPr>
          <w:rStyle w:val="FootnoteReference"/>
        </w:rPr>
        <w:footnoteRef/>
      </w:r>
      <w:r>
        <w:t xml:space="preserve"> Cross-references for "they pray": 2Chr 14:9-12; 2Chr 18:31.</w:t>
      </w:r>
    </w:p>
  </w:footnote>
  <w:footnote w:id="8800">
    <w:p>
      <w:pPr>
        <w:pStyle w:val="FootnoteText"/>
      </w:pPr>
      <w:r>
        <w:rPr>
          <w:rStyle w:val="FootnoteReference"/>
        </w:rPr>
        <w:footnoteRef/>
      </w:r>
      <w:r>
        <w:t xml:space="preserve"> Translation note: Greek says turn heart and entreat you in captivity.</w:t>
      </w:r>
    </w:p>
  </w:footnote>
  <w:footnote w:id="8801">
    <w:p>
      <w:pPr>
        <w:pStyle w:val="FootnoteText"/>
      </w:pPr>
      <w:r>
        <w:rPr>
          <w:rStyle w:val="FootnoteReference"/>
        </w:rPr>
        <w:footnoteRef/>
      </w:r>
      <w:r>
        <w:t xml:space="preserve"> Translation note: Greek says turn toward you here.</w:t>
      </w:r>
    </w:p>
  </w:footnote>
  <w:footnote w:id="8802">
    <w:p>
      <w:pPr>
        <w:pStyle w:val="FootnoteText"/>
      </w:pPr>
      <w:r>
        <w:rPr>
          <w:rStyle w:val="FootnoteReference"/>
        </w:rPr>
        <w:footnoteRef/>
      </w:r>
      <w:r>
        <w:t xml:space="preserve"> Translation note: Greek closes the prayer with rest-place and ark language. Current wording preserves it.</w:t>
      </w:r>
    </w:p>
  </w:footnote>
  <w:footnote w:id="8803">
    <w:p>
      <w:pPr>
        <w:pStyle w:val="FootnoteText"/>
      </w:pPr>
      <w:r>
        <w:rPr>
          <w:rStyle w:val="FootnoteReference"/>
        </w:rPr>
        <w:footnoteRef/>
      </w:r>
      <w:r>
        <w:t xml:space="preserve"> Cross-references for "remember": Ps 132:1; Isa 55:3.</w:t>
      </w:r>
    </w:p>
  </w:footnote>
  <w:footnote w:id="8804">
    <w:p>
      <w:pPr>
        <w:pStyle w:val="FootnoteText"/>
      </w:pPr>
      <w:r>
        <w:rPr>
          <w:rStyle w:val="FootnoteReference"/>
        </w:rPr>
        <w:footnoteRef/>
      </w:r>
      <w:r>
        <w:t xml:space="preserve"> Translation note: Greek closes Solomon's prayer with a mercy-remembrance appeal. Current wording preserves that line.</w:t>
      </w:r>
    </w:p>
  </w:footnote>
  <w:footnote w:id="8805">
    <w:p>
      <w:pPr>
        <w:pStyle w:val="FootnoteText"/>
      </w:pPr>
      <w:r>
        <w:rPr>
          <w:rStyle w:val="FootnoteReference"/>
        </w:rPr>
        <w:footnoteRef/>
      </w:r>
      <w:r>
        <w:t xml:space="preserve"> Cross-references for "when Solomon": 1Kgs 8:54-61; Isa 65:24.</w:t>
      </w:r>
    </w:p>
  </w:footnote>
  <w:footnote w:id="8806">
    <w:p>
      <w:pPr>
        <w:pStyle w:val="FootnoteText"/>
      </w:pPr>
      <w:r>
        <w:rPr>
          <w:rStyle w:val="FootnoteReference"/>
        </w:rPr>
        <w:footnoteRef/>
      </w:r>
      <w:r>
        <w:t xml:space="preserve"> Translation note: Greek keeps fire-coming-down sequence.</w:t>
      </w:r>
    </w:p>
  </w:footnote>
  <w:footnote w:id="8807">
    <w:p>
      <w:pPr>
        <w:pStyle w:val="FootnoteText"/>
      </w:pPr>
      <w:r>
        <w:rPr>
          <w:rStyle w:val="FootnoteReference"/>
        </w:rPr>
        <w:footnoteRef/>
      </w:r>
      <w:r>
        <w:t xml:space="preserve"> Cross-references for "dedicated": Num 7:10; 1Kgs 8:63.</w:t>
      </w:r>
    </w:p>
  </w:footnote>
  <w:footnote w:id="8808">
    <w:p>
      <w:pPr>
        <w:pStyle w:val="FootnoteText"/>
      </w:pPr>
      <w:r>
        <w:rPr>
          <w:rStyle w:val="FootnoteReference"/>
        </w:rPr>
        <w:footnoteRef/>
      </w:r>
      <w:r>
        <w:t xml:space="preserve"> Translation note: Greek line matches current rendering closely here.</w:t>
      </w:r>
    </w:p>
  </w:footnote>
  <w:footnote w:id="8809">
    <w:p>
      <w:pPr>
        <w:pStyle w:val="FootnoteText"/>
      </w:pPr>
      <w:r>
        <w:rPr>
          <w:rStyle w:val="FootnoteReference"/>
        </w:rPr>
        <w:footnoteRef/>
      </w:r>
      <w:r>
        <w:t xml:space="preserve"> Cross-references for "because his mercy": 1Chr 16:34; 2Chr 7:3.</w:t>
      </w:r>
    </w:p>
  </w:footnote>
  <w:footnote w:id="8810">
    <w:p>
      <w:pPr>
        <w:pStyle w:val="FootnoteText"/>
      </w:pPr>
      <w:r>
        <w:rPr>
          <w:rStyle w:val="FootnoteReference"/>
        </w:rPr>
        <w:footnoteRef/>
      </w:r>
      <w:r>
        <w:t xml:space="preserve"> Translation note: Greek says middle of court here. Current line keeps that wording.</w:t>
      </w:r>
    </w:p>
  </w:footnote>
  <w:footnote w:id="8811">
    <w:p>
      <w:pPr>
        <w:pStyle w:val="FootnoteText"/>
      </w:pPr>
      <w:r>
        <w:rPr>
          <w:rStyle w:val="FootnoteReference"/>
        </w:rPr>
        <w:footnoteRef/>
      </w:r>
      <w:r>
        <w:t xml:space="preserve"> Cross-references for "seven days": 1Kgs 8:65; 2Chr 30:23.</w:t>
      </w:r>
    </w:p>
  </w:footnote>
  <w:footnote w:id="8812">
    <w:p>
      <w:pPr>
        <w:pStyle w:val="FootnoteText"/>
      </w:pPr>
      <w:r>
        <w:rPr>
          <w:rStyle w:val="FootnoteReference"/>
        </w:rPr>
        <w:footnoteRef/>
      </w:r>
      <w:r>
        <w:t xml:space="preserve"> Cross-references for "Solomon": 1Kgs 9:1-9; 2Chr 2:1.</w:t>
      </w:r>
    </w:p>
  </w:footnote>
  <w:footnote w:id="8813">
    <w:p>
      <w:pPr>
        <w:pStyle w:val="FootnoteText"/>
      </w:pPr>
      <w:r>
        <w:rPr>
          <w:rStyle w:val="FootnoteReference"/>
        </w:rPr>
        <w:footnoteRef/>
      </w:r>
      <w:r>
        <w:t xml:space="preserve"> Cross-references for "I command": Exod 10:4-6; Ps 105:34.</w:t>
      </w:r>
    </w:p>
  </w:footnote>
  <w:footnote w:id="8814">
    <w:p>
      <w:pPr>
        <w:pStyle w:val="FootnoteText"/>
      </w:pPr>
      <w:r>
        <w:rPr>
          <w:rStyle w:val="FootnoteReference"/>
        </w:rPr>
        <w:footnoteRef/>
      </w:r>
      <w:r>
        <w:t xml:space="preserve"> Cross-references for "my people": Isa 63:19.</w:t>
      </w:r>
    </w:p>
  </w:footnote>
  <w:footnote w:id="8815">
    <w:p>
      <w:pPr>
        <w:pStyle w:val="FootnoteText"/>
      </w:pPr>
      <w:r>
        <w:rPr>
          <w:rStyle w:val="FootnoteReference"/>
        </w:rPr>
        <w:footnoteRef/>
      </w:r>
      <w:r>
        <w:t xml:space="preserve"> Translation note: The Greek uses the name-upon formula for the people here. The current wording keeps that relation explicit.</w:t>
      </w:r>
    </w:p>
  </w:footnote>
  <w:footnote w:id="8816">
    <w:p>
      <w:pPr>
        <w:pStyle w:val="FootnoteText"/>
      </w:pPr>
      <w:r>
        <w:rPr>
          <w:rStyle w:val="FootnoteReference"/>
        </w:rPr>
        <w:footnoteRef/>
      </w:r>
      <w:r>
        <w:t xml:space="preserve"> Translation note: Greek uses shame or abasement language here. Many English versions smooth it to humbled themselves, but the fresh line keeps the sharper Greek sense.</w:t>
      </w:r>
    </w:p>
  </w:footnote>
  <w:footnote w:id="8817">
    <w:p>
      <w:pPr>
        <w:pStyle w:val="FootnoteText"/>
      </w:pPr>
      <w:r>
        <w:rPr>
          <w:rStyle w:val="FootnoteReference"/>
        </w:rPr>
        <w:footnoteRef/>
      </w:r>
      <w:r>
        <w:t xml:space="preserve"> Cross-references for "my name": 1Kgs 8:35; 1Kgs 9:3.</w:t>
      </w:r>
    </w:p>
  </w:footnote>
  <w:footnote w:id="8818">
    <w:p>
      <w:pPr>
        <w:pStyle w:val="FootnoteText"/>
      </w:pPr>
      <w:r>
        <w:rPr>
          <w:rStyle w:val="FootnoteReference"/>
        </w:rPr>
        <w:footnoteRef/>
      </w:r>
      <w:r>
        <w:t xml:space="preserve"> Cross-references for "shall not": 1Kgs 9:5; Jer 33:20-21.</w:t>
      </w:r>
    </w:p>
  </w:footnote>
  <w:footnote w:id="8819">
    <w:p>
      <w:pPr>
        <w:pStyle w:val="FootnoteText"/>
      </w:pPr>
      <w:r>
        <w:rPr>
          <w:rStyle w:val="FootnoteReference"/>
        </w:rPr>
        <w:footnoteRef/>
      </w:r>
      <w:r>
        <w:t xml:space="preserve"> Translation note: Greek says parable and tale here.</w:t>
      </w:r>
    </w:p>
  </w:footnote>
  <w:footnote w:id="8820">
    <w:p>
      <w:pPr>
        <w:pStyle w:val="FootnoteText"/>
      </w:pPr>
      <w:r>
        <w:rPr>
          <w:rStyle w:val="FootnoteReference"/>
        </w:rPr>
        <w:footnoteRef/>
      </w:r>
      <w:r>
        <w:t xml:space="preserve"> Cross-references for "this house": 1Kgs 9:8.</w:t>
      </w:r>
    </w:p>
  </w:footnote>
  <w:footnote w:id="8821">
    <w:p>
      <w:pPr>
        <w:pStyle w:val="FootnoteText"/>
      </w:pPr>
      <w:r>
        <w:rPr>
          <w:rStyle w:val="FootnoteReference"/>
        </w:rPr>
        <w:footnoteRef/>
      </w:r>
      <w:r>
        <w:t xml:space="preserve"> Cross-references for "Because they forsook": Judg 2:12-13; Jer 1:16.</w:t>
      </w:r>
    </w:p>
  </w:footnote>
  <w:footnote w:id="8822">
    <w:p>
      <w:pPr>
        <w:pStyle w:val="FootnoteText"/>
      </w:pPr>
      <w:r>
        <w:rPr>
          <w:rStyle w:val="FootnoteReference"/>
        </w:rPr>
        <w:footnoteRef/>
      </w:r>
      <w:r>
        <w:t xml:space="preserve"> Translation note: Greek uses a physical-grasp idiom for apostasy. The translation keeps that image rather than smoothing it away.</w:t>
      </w:r>
    </w:p>
  </w:footnote>
  <w:footnote w:id="8823">
    <w:p>
      <w:pPr>
        <w:pStyle w:val="FootnoteText"/>
      </w:pPr>
      <w:r>
        <w:rPr>
          <w:rStyle w:val="FootnoteReference"/>
        </w:rPr>
        <w:footnoteRef/>
      </w:r>
      <w:r>
        <w:t xml:space="preserve"> Transliterated proper noun: Hamath-Zobah. Standard English equivalent: Hamathzobah. Source form: Hamath-Zobah. Greek form: αιμαθ. Name meaning: the heat, or the wall, of an army.</w:t>
      </w:r>
    </w:p>
  </w:footnote>
  <w:footnote w:id="8824">
    <w:p>
      <w:pPr>
        <w:pStyle w:val="FootnoteText"/>
      </w:pPr>
      <w:r>
        <w:rPr>
          <w:rStyle w:val="FootnoteReference"/>
        </w:rPr>
        <w:footnoteRef/>
      </w:r>
      <w:r>
        <w:t xml:space="preserve"> Cross-references for "he built": 1Kgs 9:17-19.</w:t>
      </w:r>
    </w:p>
  </w:footnote>
  <w:footnote w:id="8825">
    <w:p>
      <w:pPr>
        <w:pStyle w:val="FootnoteText"/>
      </w:pPr>
      <w:r>
        <w:rPr>
          <w:rStyle w:val="FootnoteReference"/>
        </w:rPr>
        <w:footnoteRef/>
      </w:r>
      <w:r>
        <w:t xml:space="preserve"> Place name: Tadmor. Place-name meaning: Tadmor — the palm-tree; bitterness. Source form: Tadmor. Greek form: θεδμορ.</w:t>
      </w:r>
    </w:p>
  </w:footnote>
  <w:footnote w:id="8826">
    <w:p>
      <w:pPr>
        <w:pStyle w:val="FootnoteText"/>
      </w:pPr>
      <w:r>
        <w:rPr>
          <w:rStyle w:val="FootnoteReference"/>
        </w:rPr>
        <w:footnoteRef/>
      </w:r>
      <w:r>
        <w:t xml:space="preserve"> Cross-references for "Bethhoron": Josh 16:3; Josh 16:5.</w:t>
      </w:r>
    </w:p>
  </w:footnote>
  <w:footnote w:id="8827">
    <w:p>
      <w:pPr>
        <w:pStyle w:val="FootnoteText"/>
      </w:pPr>
      <w:r>
        <w:rPr>
          <w:rStyle w:val="FootnoteReference"/>
        </w:rPr>
        <w:footnoteRef/>
      </w:r>
      <w:r>
        <w:t xml:space="preserve"> Cross-references for "Baalath": Josh 19:44; 1Kgs 9:18.</w:t>
      </w:r>
    </w:p>
  </w:footnote>
  <w:footnote w:id="8828">
    <w:p>
      <w:pPr>
        <w:pStyle w:val="FootnoteText"/>
      </w:pPr>
      <w:r>
        <w:rPr>
          <w:rStyle w:val="FootnoteReference"/>
        </w:rPr>
        <w:footnoteRef/>
      </w:r>
      <w:r>
        <w:t xml:space="preserve"> Translation note: Greek repeats desire here.</w:t>
      </w:r>
    </w:p>
  </w:footnote>
  <w:footnote w:id="8829">
    <w:p>
      <w:pPr>
        <w:pStyle w:val="FootnoteText"/>
      </w:pPr>
      <w:r>
        <w:rPr>
          <w:rStyle w:val="FootnoteReference"/>
        </w:rPr>
        <w:footnoteRef/>
      </w:r>
      <w:r>
        <w:t xml:space="preserve"> Cross-references for "they were men": 1Sam 8:11-12.</w:t>
      </w:r>
    </w:p>
  </w:footnote>
  <w:footnote w:id="8830">
    <w:p>
      <w:pPr>
        <w:pStyle w:val="FootnoteText"/>
      </w:pPr>
      <w:r>
        <w:rPr>
          <w:rStyle w:val="FootnoteReference"/>
        </w:rPr>
        <w:footnoteRef/>
      </w:r>
      <w:r>
        <w:t xml:space="preserve"> Cross-references for "two hundred": 1Kgs 5:16; 1Kgs 9:23.</w:t>
      </w:r>
    </w:p>
  </w:footnote>
  <w:footnote w:id="8831">
    <w:p>
      <w:pPr>
        <w:pStyle w:val="FootnoteText"/>
      </w:pPr>
      <w:r>
        <w:rPr>
          <w:rStyle w:val="FootnoteReference"/>
        </w:rPr>
        <w:footnoteRef/>
      </w:r>
      <w:r>
        <w:t xml:space="preserve"> Cross-references for "holy": Exod 3:5; Exod 29:43.</w:t>
      </w:r>
    </w:p>
  </w:footnote>
  <w:footnote w:id="8832">
    <w:p>
      <w:pPr>
        <w:pStyle w:val="FootnoteText"/>
      </w:pPr>
      <w:r>
        <w:rPr>
          <w:rStyle w:val="FootnoteReference"/>
        </w:rPr>
        <w:footnoteRef/>
      </w:r>
      <w:r>
        <w:t xml:space="preserve"> Cross-references for "on the altar": 1Chr 28:17; 2Chr 4:1.</w:t>
      </w:r>
    </w:p>
  </w:footnote>
  <w:footnote w:id="8833">
    <w:p>
      <w:pPr>
        <w:pStyle w:val="FootnoteText"/>
      </w:pPr>
      <w:r>
        <w:rPr>
          <w:rStyle w:val="FootnoteReference"/>
        </w:rPr>
        <w:footnoteRef/>
      </w:r>
      <w:r>
        <w:t xml:space="preserve"> Translation note: Greek says matter of each day and feast of tents.</w:t>
      </w:r>
    </w:p>
  </w:footnote>
  <w:footnote w:id="8834">
    <w:p>
      <w:pPr>
        <w:pStyle w:val="FootnoteText"/>
      </w:pPr>
      <w:r>
        <w:rPr>
          <w:rStyle w:val="FootnoteReference"/>
        </w:rPr>
        <w:footnoteRef/>
      </w:r>
      <w:r>
        <w:t xml:space="preserve"> Cross-references for "three times": Exod 23:14-17; Deut 16:16.</w:t>
      </w:r>
    </w:p>
  </w:footnote>
  <w:footnote w:id="8835">
    <w:p>
      <w:pPr>
        <w:pStyle w:val="FootnoteText"/>
      </w:pPr>
      <w:r>
        <w:rPr>
          <w:rStyle w:val="FootnoteReference"/>
        </w:rPr>
        <w:footnoteRef/>
      </w:r>
      <w:r>
        <w:t xml:space="preserve"> Translation note: Greek says according to matter of day in its day; the English keeps the day-by-day service schedule while smoothing the phrase.</w:t>
      </w:r>
    </w:p>
  </w:footnote>
  <w:footnote w:id="8836">
    <w:p>
      <w:pPr>
        <w:pStyle w:val="FootnoteText"/>
      </w:pPr>
      <w:r>
        <w:rPr>
          <w:rStyle w:val="FootnoteReference"/>
        </w:rPr>
        <w:footnoteRef/>
      </w:r>
      <w:r>
        <w:t xml:space="preserve"> Cross-references for "Eziongeber": Num 33:35; 1Kgs 9:26-27.</w:t>
      </w:r>
    </w:p>
  </w:footnote>
  <w:footnote w:id="8837">
    <w:p>
      <w:pPr>
        <w:pStyle w:val="FootnoteText"/>
      </w:pPr>
      <w:r>
        <w:rPr>
          <w:rStyle w:val="FootnoteReference"/>
        </w:rPr>
        <w:footnoteRef/>
      </w:r>
      <w:r>
        <w:t xml:space="preserve"> Cross-references for "Sheba": Gen 10:7; Gen 10:28.</w:t>
      </w:r>
    </w:p>
  </w:footnote>
  <w:footnote w:id="8838">
    <w:p>
      <w:pPr>
        <w:pStyle w:val="FootnoteText"/>
      </w:pPr>
      <w:r>
        <w:rPr>
          <w:rStyle w:val="FootnoteReference"/>
        </w:rPr>
        <w:footnoteRef/>
      </w:r>
      <w:r>
        <w:t xml:space="preserve"> Translation note: Greek describes the queen's entourage with force-language stronger than simple company. The fresh line keeps that emphasis visible.</w:t>
      </w:r>
    </w:p>
  </w:footnote>
  <w:footnote w:id="8839">
    <w:p>
      <w:pPr>
        <w:pStyle w:val="FootnoteText"/>
      </w:pPr>
      <w:r>
        <w:rPr>
          <w:rStyle w:val="FootnoteReference"/>
        </w:rPr>
        <w:footnoteRef/>
      </w:r>
      <w:r>
        <w:t xml:space="preserve"> Cross-references for "cupbearers": Neh 1:11.</w:t>
      </w:r>
    </w:p>
  </w:footnote>
  <w:footnote w:id="8840">
    <w:p>
      <w:pPr>
        <w:pStyle w:val="FootnoteText"/>
      </w:pPr>
      <w:r>
        <w:rPr>
          <w:rStyle w:val="FootnoteReference"/>
        </w:rPr>
        <w:footnoteRef/>
      </w:r>
      <w:r>
        <w:t xml:space="preserve"> Cross-references for "Blessed": 1Chr 29:10; 1Chr 29:20.</w:t>
      </w:r>
    </w:p>
  </w:footnote>
  <w:footnote w:id="8841">
    <w:p>
      <w:pPr>
        <w:pStyle w:val="FootnoteText"/>
      </w:pPr>
      <w:r>
        <w:rPr>
          <w:rStyle w:val="FootnoteReference"/>
        </w:rPr>
        <w:footnoteRef/>
      </w:r>
      <w:r>
        <w:t xml:space="preserve"> Translation note: The Greek frames Solomon's kingship explicitly in relation to the Lord. English LXX witnesses support keeping that theocratic phrasing visible.</w:t>
      </w:r>
    </w:p>
  </w:footnote>
  <w:footnote w:id="8842">
    <w:p>
      <w:pPr>
        <w:pStyle w:val="FootnoteText"/>
      </w:pPr>
      <w:r>
        <w:rPr>
          <w:rStyle w:val="FootnoteReference"/>
        </w:rPr>
        <w:footnoteRef/>
      </w:r>
      <w:r>
        <w:t xml:space="preserve"> Translation note: Greek preserves the common pair judgment and righteousness. The rendering keeps that pair instead of swapping in justice for stylistic familiarity.</w:t>
      </w:r>
    </w:p>
  </w:footnote>
  <w:footnote w:id="8843">
    <w:p>
      <w:pPr>
        <w:pStyle w:val="FootnoteText"/>
      </w:pPr>
      <w:r>
        <w:rPr>
          <w:rStyle w:val="FootnoteReference"/>
        </w:rPr>
        <w:footnoteRef/>
      </w:r>
      <w:r>
        <w:t xml:space="preserve"> Cross-references for "she gave": 1Kgs 9:14; 1Kgs 10:10.</w:t>
      </w:r>
    </w:p>
  </w:footnote>
  <w:footnote w:id="8844">
    <w:p>
      <w:pPr>
        <w:pStyle w:val="FootnoteText"/>
      </w:pPr>
      <w:r>
        <w:rPr>
          <w:rStyle w:val="FootnoteReference"/>
        </w:rPr>
        <w:footnoteRef/>
      </w:r>
      <w:r>
        <w:t xml:space="preserve"> Translation note: Greek uses an abundance inventory line here. Current wording preserves it.</w:t>
      </w:r>
    </w:p>
  </w:footnote>
  <w:footnote w:id="8845">
    <w:p>
      <w:pPr>
        <w:pStyle w:val="FootnoteText"/>
      </w:pPr>
      <w:r>
        <w:rPr>
          <w:rStyle w:val="FootnoteReference"/>
        </w:rPr>
        <w:footnoteRef/>
      </w:r>
      <w:r>
        <w:t xml:space="preserve"> Translation note: Greek keeps these LXX forms.</w:t>
      </w:r>
    </w:p>
  </w:footnote>
  <w:footnote w:id="8846">
    <w:p>
      <w:pPr>
        <w:pStyle w:val="FootnoteText"/>
      </w:pPr>
      <w:r>
        <w:rPr>
          <w:rStyle w:val="FootnoteReference"/>
        </w:rPr>
        <w:footnoteRef/>
      </w:r>
      <w:r>
        <w:t xml:space="preserve"> Cross-references for "harps": 1Kgs 10:12; 1Chr 23:5.</w:t>
      </w:r>
    </w:p>
  </w:footnote>
  <w:footnote w:id="8847">
    <w:p>
      <w:pPr>
        <w:pStyle w:val="FootnoteText"/>
      </w:pPr>
      <w:r>
        <w:rPr>
          <w:rStyle w:val="FootnoteReference"/>
        </w:rPr>
        <w:footnoteRef/>
      </w:r>
      <w:r>
        <w:t xml:space="preserve"> Cross-references for "in the house": 1Kgs 7:2.</w:t>
      </w:r>
    </w:p>
  </w:footnote>
  <w:footnote w:id="8848">
    <w:p>
      <w:pPr>
        <w:pStyle w:val="FootnoteText"/>
      </w:pPr>
      <w:r>
        <w:rPr>
          <w:rStyle w:val="FootnoteReference"/>
        </w:rPr>
        <w:footnoteRef/>
      </w:r>
      <w:r>
        <w:t xml:space="preserve"> Cross-references for "two lions": Gen 49:9-10; Num 23:24.</w:t>
      </w:r>
    </w:p>
  </w:footnote>
  <w:footnote w:id="8849">
    <w:p>
      <w:pPr>
        <w:pStyle w:val="FootnoteText"/>
      </w:pPr>
      <w:r>
        <w:rPr>
          <w:rStyle w:val="FootnoteReference"/>
        </w:rPr>
        <w:footnoteRef/>
      </w:r>
      <w:r>
        <w:t xml:space="preserve"> Cross-references for "twelve lions": Matt 19:28; Rev 21:12.</w:t>
      </w:r>
    </w:p>
  </w:footnote>
  <w:footnote w:id="8850">
    <w:p>
      <w:pPr>
        <w:pStyle w:val="FootnoteText"/>
      </w:pPr>
      <w:r>
        <w:rPr>
          <w:rStyle w:val="FootnoteReference"/>
        </w:rPr>
        <w:footnoteRef/>
      </w:r>
      <w:r>
        <w:t xml:space="preserve"> Cross-references for "river": Gen 15:18; Exod 23:31.</w:t>
      </w:r>
    </w:p>
  </w:footnote>
  <w:footnote w:id="8851">
    <w:p>
      <w:pPr>
        <w:pStyle w:val="FootnoteText"/>
      </w:pPr>
      <w:r>
        <w:rPr>
          <w:rStyle w:val="FootnoteReference"/>
        </w:rPr>
        <w:footnoteRef/>
      </w:r>
      <w:r>
        <w:t xml:space="preserve"> Cross-references for "the rest": 1Kgs 11:41-43.</w:t>
      </w:r>
    </w:p>
  </w:footnote>
  <w:footnote w:id="8852">
    <w:p>
      <w:pPr>
        <w:pStyle w:val="FootnoteText"/>
      </w:pPr>
      <w:r>
        <w:rPr>
          <w:rStyle w:val="FootnoteReference"/>
        </w:rPr>
        <w:footnoteRef/>
      </w:r>
      <w:r>
        <w:t xml:space="preserve"> MT/LXX note: Greek names Iōēl here rather than the familiar MT Iddo.</w:t>
      </w:r>
    </w:p>
  </w:footnote>
  <w:footnote w:id="8853">
    <w:p>
      <w:pPr>
        <w:pStyle w:val="FootnoteText"/>
      </w:pPr>
      <w:r>
        <w:rPr>
          <w:rStyle w:val="FootnoteReference"/>
        </w:rPr>
        <w:footnoteRef/>
      </w:r>
      <w:r>
        <w:t xml:space="preserve"> Cross-references for "Solomon": 1Kgs 11:42-43.</w:t>
      </w:r>
    </w:p>
  </w:footnote>
  <w:footnote w:id="8854">
    <w:p>
      <w:pPr>
        <w:pStyle w:val="FootnoteText"/>
      </w:pPr>
      <w:r>
        <w:rPr>
          <w:rStyle w:val="FootnoteReference"/>
        </w:rPr>
        <w:footnoteRef/>
      </w:r>
      <w:r>
        <w:t xml:space="preserve"> Cross-references for "slept": 2Sam 7:12; 1Kgs 1:21.</w:t>
      </w:r>
    </w:p>
  </w:footnote>
  <w:footnote w:id="8855">
    <w:p>
      <w:pPr>
        <w:pStyle w:val="FootnoteText"/>
      </w:pPr>
      <w:r>
        <w:rPr>
          <w:rStyle w:val="FootnoteReference"/>
        </w:rPr>
        <w:footnoteRef/>
      </w:r>
      <w:r>
        <w:t xml:space="preserve"> Cross-references for "Rehoboam": 1Kgs 12:1; 1Chr 3:10.</w:t>
      </w:r>
    </w:p>
  </w:footnote>
  <w:footnote w:id="8856">
    <w:p>
      <w:pPr>
        <w:pStyle w:val="FootnoteText"/>
      </w:pPr>
      <w:r>
        <w:rPr>
          <w:rStyle w:val="FootnoteReference"/>
        </w:rPr>
        <w:footnoteRef/>
      </w:r>
      <w:r>
        <w:t xml:space="preserve"> Cross-references for "Jeroboam": 1Kgs 11:26; 1Kgs 11:28.</w:t>
      </w:r>
    </w:p>
  </w:footnote>
  <w:footnote w:id="8857">
    <w:p>
      <w:pPr>
        <w:pStyle w:val="FootnoteText"/>
      </w:pPr>
      <w:r>
        <w:rPr>
          <w:rStyle w:val="FootnoteReference"/>
        </w:rPr>
        <w:footnoteRef/>
      </w:r>
      <w:r>
        <w:t xml:space="preserve"> Cross-references for "they sent": 1Kgs 12:3.</w:t>
      </w:r>
    </w:p>
  </w:footnote>
  <w:footnote w:id="8858">
    <w:p>
      <w:pPr>
        <w:pStyle w:val="FootnoteText"/>
      </w:pPr>
      <w:r>
        <w:rPr>
          <w:rStyle w:val="FootnoteReference"/>
        </w:rPr>
        <w:footnoteRef/>
      </w:r>
      <w:r>
        <w:t xml:space="preserve"> Cross-references for "come again": 1Kgs 12:5; Prov 3:28.</w:t>
      </w:r>
    </w:p>
  </w:footnote>
  <w:footnote w:id="8859">
    <w:p>
      <w:pPr>
        <w:pStyle w:val="FootnoteText"/>
      </w:pPr>
      <w:r>
        <w:rPr>
          <w:rStyle w:val="FootnoteReference"/>
        </w:rPr>
        <w:footnoteRef/>
      </w:r>
      <w:r>
        <w:t xml:space="preserve"> Translation note: Greek phrases the counsel as becoming for good to the people. Current wording preserves that unusual wording.</w:t>
      </w:r>
    </w:p>
  </w:footnote>
  <w:footnote w:id="8860">
    <w:p>
      <w:pPr>
        <w:pStyle w:val="FootnoteText"/>
      </w:pPr>
      <w:r>
        <w:rPr>
          <w:rStyle w:val="FootnoteReference"/>
        </w:rPr>
        <w:footnoteRef/>
      </w:r>
      <w:r>
        <w:t xml:space="preserve"> Cross-references for "speak good": Gen 49:21; 2Sam 15:2-6.</w:t>
      </w:r>
    </w:p>
  </w:footnote>
  <w:footnote w:id="8861">
    <w:p>
      <w:pPr>
        <w:pStyle w:val="FootnoteText"/>
      </w:pPr>
      <w:r>
        <w:rPr>
          <w:rStyle w:val="FootnoteReference"/>
        </w:rPr>
        <w:footnoteRef/>
      </w:r>
      <w:r>
        <w:t xml:space="preserve"> Cross-references for "My little finger": 1Kgs 12:10-11; Prov 10:14.</w:t>
      </w:r>
    </w:p>
  </w:footnote>
  <w:footnote w:id="8862">
    <w:p>
      <w:pPr>
        <w:pStyle w:val="FootnoteText"/>
      </w:pPr>
      <w:r>
        <w:rPr>
          <w:rStyle w:val="FootnoteReference"/>
        </w:rPr>
        <w:footnoteRef/>
      </w:r>
      <w:r>
        <w:t xml:space="preserve"> Cross-references for "my father": 2Chr 10:4.</w:t>
      </w:r>
    </w:p>
  </w:footnote>
  <w:footnote w:id="8863">
    <w:p>
      <w:pPr>
        <w:pStyle w:val="FootnoteText"/>
      </w:pPr>
      <w:r>
        <w:rPr>
          <w:rStyle w:val="FootnoteReference"/>
        </w:rPr>
        <w:footnoteRef/>
      </w:r>
      <w:r>
        <w:t xml:space="preserve"> Cross-references for "answered": Gen 42:7; Gen 42:30.</w:t>
      </w:r>
    </w:p>
  </w:footnote>
  <w:footnote w:id="8864">
    <w:p>
      <w:pPr>
        <w:pStyle w:val="FootnoteText"/>
      </w:pPr>
      <w:r>
        <w:rPr>
          <w:rStyle w:val="FootnoteReference"/>
        </w:rPr>
        <w:footnoteRef/>
      </w:r>
      <w:r>
        <w:t xml:space="preserve"> Cross-references for "My father": 2Chr 10:10-11; Prov 17:14.</w:t>
      </w:r>
    </w:p>
  </w:footnote>
  <w:footnote w:id="8865">
    <w:p>
      <w:pPr>
        <w:pStyle w:val="FootnoteText"/>
      </w:pPr>
      <w:r>
        <w:rPr>
          <w:rStyle w:val="FootnoteReference"/>
        </w:rPr>
        <w:footnoteRef/>
      </w:r>
      <w:r>
        <w:t xml:space="preserve"> Cross-references for "that the Lord": 1Kgs 11:29-39; John 12:37-39.</w:t>
      </w:r>
    </w:p>
  </w:footnote>
  <w:footnote w:id="8866">
    <w:p>
      <w:pPr>
        <w:pStyle w:val="FootnoteText"/>
      </w:pPr>
      <w:r>
        <w:rPr>
          <w:rStyle w:val="FootnoteReference"/>
        </w:rPr>
        <w:footnoteRef/>
      </w:r>
      <w:r>
        <w:t xml:space="preserve"> Cross-references for "David": 2Sam 7:15-16; 1Kgs 11:13.</w:t>
      </w:r>
    </w:p>
  </w:footnote>
  <w:footnote w:id="8867">
    <w:p>
      <w:pPr>
        <w:pStyle w:val="FootnoteText"/>
      </w:pPr>
      <w:r>
        <w:rPr>
          <w:rStyle w:val="FootnoteReference"/>
        </w:rPr>
        <w:footnoteRef/>
      </w:r>
      <w:r>
        <w:t xml:space="preserve"> Translation note: Greek states the secession cry directly. The translation keeps that form close.</w:t>
      </w:r>
    </w:p>
  </w:footnote>
  <w:footnote w:id="8868">
    <w:p>
      <w:pPr>
        <w:pStyle w:val="FootnoteText"/>
      </w:pPr>
      <w:r>
        <w:rPr>
          <w:rStyle w:val="FootnoteReference"/>
        </w:rPr>
        <w:footnoteRef/>
      </w:r>
      <w:r>
        <w:t xml:space="preserve"> Cross-references for "Hadoram": 1Kgs 4:6; 1Kgs 5:14.</w:t>
      </w:r>
    </w:p>
  </w:footnote>
  <w:footnote w:id="8869">
    <w:p>
      <w:pPr>
        <w:pStyle w:val="FootnoteText"/>
      </w:pPr>
      <w:r>
        <w:rPr>
          <w:rStyle w:val="FootnoteReference"/>
        </w:rPr>
        <w:footnoteRef/>
      </w:r>
      <w:r>
        <w:t xml:space="preserve"> Cross-references for "Israel": 1Kgs 12:19-20; 2Kgs 17:21-23.</w:t>
      </w:r>
    </w:p>
  </w:footnote>
  <w:footnote w:id="8870">
    <w:p>
      <w:pPr>
        <w:pStyle w:val="FootnoteText"/>
      </w:pPr>
      <w:r>
        <w:rPr>
          <w:rStyle w:val="FootnoteReference"/>
        </w:rPr>
        <w:footnoteRef/>
      </w:r>
      <w:r>
        <w:t xml:space="preserve"> Translation note: Greek says young men making war.</w:t>
      </w:r>
    </w:p>
  </w:footnote>
  <w:footnote w:id="8871">
    <w:p>
      <w:pPr>
        <w:pStyle w:val="FootnoteText"/>
      </w:pPr>
      <w:r>
        <w:rPr>
          <w:rStyle w:val="FootnoteReference"/>
        </w:rPr>
        <w:footnoteRef/>
      </w:r>
      <w:r>
        <w:t xml:space="preserve"> Cross-references for "to Shemaiah": 1Kgs 12:22-24; 2Chr 12:5.</w:t>
      </w:r>
    </w:p>
  </w:footnote>
  <w:footnote w:id="8872">
    <w:p>
      <w:pPr>
        <w:pStyle w:val="FootnoteText"/>
      </w:pPr>
      <w:r>
        <w:rPr>
          <w:rStyle w:val="FootnoteReference"/>
        </w:rPr>
        <w:footnoteRef/>
      </w:r>
      <w:r>
        <w:t xml:space="preserve"> Cross-references for "against": Gen 13:8; 2Sam 2:26.</w:t>
      </w:r>
    </w:p>
  </w:footnote>
  <w:footnote w:id="8873">
    <w:p>
      <w:pPr>
        <w:pStyle w:val="FootnoteText"/>
      </w:pPr>
      <w:r>
        <w:rPr>
          <w:rStyle w:val="FootnoteReference"/>
        </w:rPr>
        <w:footnoteRef/>
      </w:r>
      <w:r>
        <w:t xml:space="preserve"> Translation note: Greek phrases the reversal with a turned-back construction. The translation keeps that form close.</w:t>
      </w:r>
    </w:p>
  </w:footnote>
  <w:footnote w:id="8874">
    <w:p>
      <w:pPr>
        <w:pStyle w:val="FootnoteText"/>
      </w:pPr>
      <w:r>
        <w:rPr>
          <w:rStyle w:val="FootnoteReference"/>
        </w:rPr>
        <w:footnoteRef/>
      </w:r>
      <w:r>
        <w:t xml:space="preserve"> Cross-references for "built": 2Chr 8:2-6; 2Chr 14:6-7.</w:t>
      </w:r>
    </w:p>
  </w:footnote>
  <w:footnote w:id="8875">
    <w:p>
      <w:pPr>
        <w:pStyle w:val="FootnoteText"/>
      </w:pPr>
      <w:r>
        <w:rPr>
          <w:rStyle w:val="FootnoteReference"/>
        </w:rPr>
        <w:footnoteRef/>
      </w:r>
      <w:r>
        <w:t xml:space="preserve"> Cross-references for "Bethlehem": Gen 35:19; Josh 19:15.</w:t>
      </w:r>
    </w:p>
  </w:footnote>
  <w:footnote w:id="8876">
    <w:p>
      <w:pPr>
        <w:pStyle w:val="FootnoteText"/>
      </w:pPr>
      <w:r>
        <w:rPr>
          <w:rStyle w:val="FootnoteReference"/>
        </w:rPr>
        <w:footnoteRef/>
      </w:r>
      <w:r>
        <w:t xml:space="preserve"> Cross-references for "Bethzur": Josh 15:58.</w:t>
      </w:r>
    </w:p>
  </w:footnote>
  <w:footnote w:id="8877">
    <w:p>
      <w:pPr>
        <w:pStyle w:val="FootnoteText"/>
      </w:pPr>
      <w:r>
        <w:rPr>
          <w:rStyle w:val="FootnoteReference"/>
        </w:rPr>
        <w:footnoteRef/>
      </w:r>
      <w:r>
        <w:t xml:space="preserve"> Cross-references for "Gath": 1Chr 18:1.</w:t>
      </w:r>
    </w:p>
  </w:footnote>
  <w:footnote w:id="8878">
    <w:p>
      <w:pPr>
        <w:pStyle w:val="FootnoteText"/>
      </w:pPr>
      <w:r>
        <w:rPr>
          <w:rStyle w:val="FootnoteReference"/>
        </w:rPr>
        <w:footnoteRef/>
      </w:r>
      <w:r>
        <w:t xml:space="preserve"> Place name: Adoraim. Place-name meaning: Adoraim — strength of the sea. Source form: Adoraim. Greek form: αδωραιμ.</w:t>
      </w:r>
    </w:p>
  </w:footnote>
  <w:footnote w:id="8879">
    <w:p>
      <w:pPr>
        <w:pStyle w:val="FootnoteText"/>
      </w:pPr>
      <w:r>
        <w:rPr>
          <w:rStyle w:val="FootnoteReference"/>
        </w:rPr>
        <w:footnoteRef/>
      </w:r>
      <w:r>
        <w:t xml:space="preserve"> Cross-references for "Lachish": Josh 10:5; Josh 10:11.</w:t>
      </w:r>
    </w:p>
  </w:footnote>
  <w:footnote w:id="8880">
    <w:p>
      <w:pPr>
        <w:pStyle w:val="FootnoteText"/>
      </w:pPr>
      <w:r>
        <w:rPr>
          <w:rStyle w:val="FootnoteReference"/>
        </w:rPr>
        <w:footnoteRef/>
      </w:r>
      <w:r>
        <w:t xml:space="preserve"> Cross-references for "Zorah": Josh 15:33; Josh 19:41-42.</w:t>
      </w:r>
    </w:p>
  </w:footnote>
  <w:footnote w:id="8881">
    <w:p>
      <w:pPr>
        <w:pStyle w:val="FootnoteText"/>
      </w:pPr>
      <w:r>
        <w:rPr>
          <w:rStyle w:val="FootnoteReference"/>
        </w:rPr>
        <w:footnoteRef/>
      </w:r>
      <w:r>
        <w:t xml:space="preserve"> Cross-references for "he fortified": Isa 22:10-11.</w:t>
      </w:r>
    </w:p>
  </w:footnote>
  <w:footnote w:id="8882">
    <w:p>
      <w:pPr>
        <w:pStyle w:val="FootnoteText"/>
      </w:pPr>
      <w:r>
        <w:rPr>
          <w:rStyle w:val="FootnoteReference"/>
        </w:rPr>
        <w:footnoteRef/>
      </w:r>
      <w:r>
        <w:t xml:space="preserve"> Cross-references for "their possession": Lev 27:30-34; Num 18:21-28.</w:t>
      </w:r>
    </w:p>
  </w:footnote>
  <w:footnote w:id="8883">
    <w:p>
      <w:pPr>
        <w:pStyle w:val="FootnoteText"/>
      </w:pPr>
      <w:r>
        <w:rPr>
          <w:rStyle w:val="FootnoteReference"/>
        </w:rPr>
        <w:footnoteRef/>
      </w:r>
      <w:r>
        <w:t xml:space="preserve"> Cross-references for "to sacrifice": Deut 12:5-6; Deut 12:11.</w:t>
      </w:r>
    </w:p>
  </w:footnote>
  <w:footnote w:id="8884">
    <w:p>
      <w:pPr>
        <w:pStyle w:val="FootnoteText"/>
      </w:pPr>
      <w:r>
        <w:rPr>
          <w:rStyle w:val="FootnoteReference"/>
        </w:rPr>
        <w:footnoteRef/>
      </w:r>
      <w:r>
        <w:t xml:space="preserve"> Cross-references for "strengthened": 2Chr 12:1.</w:t>
      </w:r>
    </w:p>
  </w:footnote>
  <w:footnote w:id="8885">
    <w:p>
      <w:pPr>
        <w:pStyle w:val="FootnoteText"/>
      </w:pPr>
      <w:r>
        <w:rPr>
          <w:rStyle w:val="FootnoteReference"/>
        </w:rPr>
        <w:footnoteRef/>
      </w:r>
      <w:r>
        <w:t xml:space="preserve"> Cross-references for "Eliab": 1Sam 16:6; 1Sam 17:13.</w:t>
      </w:r>
    </w:p>
  </w:footnote>
  <w:footnote w:id="8886">
    <w:p>
      <w:pPr>
        <w:pStyle w:val="FootnoteText"/>
      </w:pPr>
      <w:r>
        <w:rPr>
          <w:rStyle w:val="FootnoteReference"/>
        </w:rPr>
        <w:footnoteRef/>
      </w:r>
      <w:r>
        <w:t xml:space="preserve"> Transliterated proper noun: Shamariah. Standard English equivalent: Shamariah. Source form: Shamariah. Greek form: σαμαριαν. Name meaning: throne or keeping of the Lord.</w:t>
      </w:r>
    </w:p>
  </w:footnote>
  <w:footnote w:id="8887">
    <w:p>
      <w:pPr>
        <w:pStyle w:val="FootnoteText"/>
      </w:pPr>
      <w:r>
        <w:rPr>
          <w:rStyle w:val="FootnoteReference"/>
        </w:rPr>
        <w:footnoteRef/>
      </w:r>
      <w:r>
        <w:t xml:space="preserve"> Personal name: Zaham. Personal-name meaning: Zaham — crime; filthiness; impurity. Source form: Zaham.</w:t>
      </w:r>
    </w:p>
  </w:footnote>
  <w:footnote w:id="8888">
    <w:p>
      <w:pPr>
        <w:pStyle w:val="FootnoteText"/>
      </w:pPr>
      <w:r>
        <w:rPr>
          <w:rStyle w:val="FootnoteReference"/>
        </w:rPr>
        <w:footnoteRef/>
      </w:r>
      <w:r>
        <w:t xml:space="preserve"> Cross-references for "Maachah": 2Chr 11:21; 2Chr 13:2.</w:t>
      </w:r>
    </w:p>
  </w:footnote>
  <w:footnote w:id="8889">
    <w:p>
      <w:pPr>
        <w:pStyle w:val="FootnoteText"/>
      </w:pPr>
      <w:r>
        <w:rPr>
          <w:rStyle w:val="FootnoteReference"/>
        </w:rPr>
        <w:footnoteRef/>
      </w:r>
      <w:r>
        <w:t xml:space="preserve"> Cross-references for "eighteen wives": Deut 17:17; Judg 8:30.</w:t>
      </w:r>
    </w:p>
  </w:footnote>
  <w:footnote w:id="8890">
    <w:p>
      <w:pPr>
        <w:pStyle w:val="FootnoteText"/>
      </w:pPr>
      <w:r>
        <w:rPr>
          <w:rStyle w:val="FootnoteReference"/>
        </w:rPr>
        <w:footnoteRef/>
      </w:r>
      <w:r>
        <w:t xml:space="preserve"> Cross-references for "he forsook": Deut 6:10-12; Deut 8:10-14.</w:t>
      </w:r>
    </w:p>
  </w:footnote>
  <w:footnote w:id="8891">
    <w:p>
      <w:pPr>
        <w:pStyle w:val="FootnoteText"/>
      </w:pPr>
      <w:r>
        <w:rPr>
          <w:rStyle w:val="FootnoteReference"/>
        </w:rPr>
        <w:footnoteRef/>
      </w:r>
      <w:r>
        <w:t xml:space="preserve"> Cross-references for "Shishak": 1Kgs 11:40; 1Kgs 14:24-26.</w:t>
      </w:r>
    </w:p>
  </w:footnote>
  <w:footnote w:id="8892">
    <w:p>
      <w:pPr>
        <w:pStyle w:val="FootnoteText"/>
      </w:pPr>
      <w:r>
        <w:rPr>
          <w:rStyle w:val="FootnoteReference"/>
        </w:rPr>
        <w:footnoteRef/>
      </w:r>
      <w:r>
        <w:t xml:space="preserve"> People-name: Libyans. People-name meaning: Libyans — people of Libya. Source form: Libyans.</w:t>
      </w:r>
    </w:p>
  </w:footnote>
  <w:footnote w:id="8893">
    <w:p>
      <w:pPr>
        <w:pStyle w:val="FootnoteText"/>
      </w:pPr>
      <w:r>
        <w:rPr>
          <w:rStyle w:val="FootnoteReference"/>
        </w:rPr>
        <w:footnoteRef/>
      </w:r>
      <w:r>
        <w:t xml:space="preserve"> Cross-references for "Ethiopians": Gen 10:6-8; 2Chr 14:12.</w:t>
      </w:r>
    </w:p>
  </w:footnote>
  <w:footnote w:id="8894">
    <w:p>
      <w:pPr>
        <w:pStyle w:val="FootnoteText"/>
      </w:pPr>
      <w:r>
        <w:rPr>
          <w:rStyle w:val="FootnoteReference"/>
        </w:rPr>
        <w:footnoteRef/>
      </w:r>
      <w:r>
        <w:t xml:space="preserve"> Cross-references for "Shemaiah": 1Kgs 12:22; 2Chr 11:2.</w:t>
      </w:r>
    </w:p>
  </w:footnote>
  <w:footnote w:id="8895">
    <w:p>
      <w:pPr>
        <w:pStyle w:val="FootnoteText"/>
      </w:pPr>
      <w:r>
        <w:rPr>
          <w:rStyle w:val="FootnoteReference"/>
        </w:rPr>
        <w:footnoteRef/>
      </w:r>
      <w:r>
        <w:t xml:space="preserve"> Translation note: Greek matches Judah's forsaking of the Lord with the Lord's own future forsaking. The translation keeps that mirrored wording.</w:t>
      </w:r>
    </w:p>
  </w:footnote>
  <w:footnote w:id="8896">
    <w:p>
      <w:pPr>
        <w:pStyle w:val="FootnoteText"/>
      </w:pPr>
      <w:r>
        <w:rPr>
          <w:rStyle w:val="FootnoteReference"/>
        </w:rPr>
        <w:footnoteRef/>
      </w:r>
      <w:r>
        <w:t xml:space="preserve"> Cross-references for "the Lord": Exod 9:27; Judg 1:7.</w:t>
      </w:r>
    </w:p>
  </w:footnote>
  <w:footnote w:id="8897">
    <w:p>
      <w:pPr>
        <w:pStyle w:val="FootnoteText"/>
      </w:pPr>
      <w:r>
        <w:rPr>
          <w:rStyle w:val="FootnoteReference"/>
        </w:rPr>
        <w:footnoteRef/>
      </w:r>
      <w:r>
        <w:t xml:space="preserve"> Cross-references for "the Lord": Judg 10:15-16; 1Kgs 21:28-29.</w:t>
      </w:r>
    </w:p>
  </w:footnote>
  <w:footnote w:id="8898">
    <w:p>
      <w:pPr>
        <w:pStyle w:val="FootnoteText"/>
      </w:pPr>
      <w:r>
        <w:rPr>
          <w:rStyle w:val="FootnoteReference"/>
        </w:rPr>
        <w:footnoteRef/>
      </w:r>
      <w:r>
        <w:t xml:space="preserve"> Translation note: Greek says I will give them a little salvation.</w:t>
      </w:r>
    </w:p>
  </w:footnote>
  <w:footnote w:id="8899">
    <w:p>
      <w:pPr>
        <w:pStyle w:val="FootnoteText"/>
      </w:pPr>
      <w:r>
        <w:rPr>
          <w:rStyle w:val="FootnoteReference"/>
        </w:rPr>
        <w:footnoteRef/>
      </w:r>
      <w:r>
        <w:t xml:space="preserve"> Cross-references for "Shishak": 1Kgs 14:25-26.</w:t>
      </w:r>
    </w:p>
  </w:footnote>
  <w:footnote w:id="8900">
    <w:p>
      <w:pPr>
        <w:pStyle w:val="FootnoteText"/>
      </w:pPr>
      <w:r>
        <w:rPr>
          <w:rStyle w:val="FootnoteReference"/>
        </w:rPr>
        <w:footnoteRef/>
      </w:r>
      <w:r>
        <w:t xml:space="preserve"> Translation note: Greek line matches current rendering closely here.</w:t>
      </w:r>
    </w:p>
  </w:footnote>
  <w:footnote w:id="8901">
    <w:p>
      <w:pPr>
        <w:pStyle w:val="FootnoteText"/>
      </w:pPr>
      <w:r>
        <w:rPr>
          <w:rStyle w:val="FootnoteReference"/>
        </w:rPr>
        <w:footnoteRef/>
      </w:r>
      <w:r>
        <w:t xml:space="preserve"> Translation note: The Greek uses the established name-there formula here. The current wording keeps that formula consistent.</w:t>
      </w:r>
    </w:p>
  </w:footnote>
  <w:footnote w:id="8902">
    <w:p>
      <w:pPr>
        <w:pStyle w:val="FootnoteText"/>
      </w:pPr>
      <w:r>
        <w:rPr>
          <w:rStyle w:val="FootnoteReference"/>
        </w:rPr>
        <w:footnoteRef/>
      </w:r>
      <w:r>
        <w:t xml:space="preserve"> Translation note: Greek says the city was chosen for God's name to be called there. The rendering keeps that phrase rather than importing the more familiar put his name there.</w:t>
      </w:r>
    </w:p>
  </w:footnote>
  <w:footnote w:id="8903">
    <w:p>
      <w:pPr>
        <w:pStyle w:val="FootnoteText"/>
      </w:pPr>
      <w:r>
        <w:rPr>
          <w:rStyle w:val="FootnoteReference"/>
        </w:rPr>
        <w:footnoteRef/>
      </w:r>
      <w:r>
        <w:t xml:space="preserve"> Cross-references for "to seek": Deut 5:29; Ps 105:3-4.</w:t>
      </w:r>
    </w:p>
  </w:footnote>
  <w:footnote w:id="8904">
    <w:p>
      <w:pPr>
        <w:pStyle w:val="FootnoteText"/>
      </w:pPr>
      <w:r>
        <w:rPr>
          <w:rStyle w:val="FootnoteReference"/>
        </w:rPr>
        <w:footnoteRef/>
      </w:r>
      <w:r>
        <w:t xml:space="preserve"> Cross-references for "first and last": 2Chr 9:29.</w:t>
      </w:r>
    </w:p>
  </w:footnote>
  <w:footnote w:id="8905">
    <w:p>
      <w:pPr>
        <w:pStyle w:val="FootnoteText"/>
      </w:pPr>
      <w:r>
        <w:rPr>
          <w:rStyle w:val="FootnoteReference"/>
        </w:rPr>
        <w:footnoteRef/>
      </w:r>
      <w:r>
        <w:t xml:space="preserve"> Translation note: Greek says these acts are written in the words of the prophet and the seer. The translation keeps that wording rather than recasting it as a named book formula.</w:t>
      </w:r>
    </w:p>
  </w:footnote>
  <w:footnote w:id="8906">
    <w:p>
      <w:pPr>
        <w:pStyle w:val="FootnoteText"/>
      </w:pPr>
      <w:r>
        <w:rPr>
          <w:rStyle w:val="FootnoteReference"/>
        </w:rPr>
        <w:footnoteRef/>
      </w:r>
      <w:r>
        <w:t xml:space="preserve"> Cross-references for "Abijah": 1Kgs 14:31; 1Chr 3:10.</w:t>
      </w:r>
    </w:p>
  </w:footnote>
  <w:footnote w:id="8907">
    <w:p>
      <w:pPr>
        <w:pStyle w:val="FootnoteText"/>
      </w:pPr>
      <w:r>
        <w:rPr>
          <w:rStyle w:val="FootnoteReference"/>
        </w:rPr>
        <w:footnoteRef/>
      </w:r>
      <w:r>
        <w:t xml:space="preserve"> Cross-references for "In the eighteenth": 1Kgs 15:1-8; 2Chr 12:16.</w:t>
      </w:r>
    </w:p>
  </w:footnote>
  <w:footnote w:id="8908">
    <w:p>
      <w:pPr>
        <w:pStyle w:val="FootnoteText"/>
      </w:pPr>
      <w:r>
        <w:rPr>
          <w:rStyle w:val="FootnoteReference"/>
        </w:rPr>
        <w:footnoteRef/>
      </w:r>
      <w:r>
        <w:t xml:space="preserve"> Cross-references for "And there was": 1Kgs 15:6-7.</w:t>
      </w:r>
    </w:p>
  </w:footnote>
  <w:footnote w:id="8909">
    <w:p>
      <w:pPr>
        <w:pStyle w:val="FootnoteText"/>
      </w:pPr>
      <w:r>
        <w:rPr>
          <w:rStyle w:val="FootnoteReference"/>
        </w:rPr>
        <w:footnoteRef/>
      </w:r>
      <w:r>
        <w:t xml:space="preserve"> Translation note: Greek says with force of mighty warriors.</w:t>
      </w:r>
    </w:p>
  </w:footnote>
  <w:footnote w:id="8910">
    <w:p>
      <w:pPr>
        <w:pStyle w:val="FootnoteText"/>
      </w:pPr>
      <w:r>
        <w:rPr>
          <w:rStyle w:val="FootnoteReference"/>
        </w:rPr>
        <w:footnoteRef/>
      </w:r>
      <w:r>
        <w:t xml:space="preserve"> Cross-references for "four hundred": 1Chr 21:5; 2Chr 11:1.</w:t>
      </w:r>
    </w:p>
  </w:footnote>
  <w:footnote w:id="8911">
    <w:p>
      <w:pPr>
        <w:pStyle w:val="FootnoteText"/>
      </w:pPr>
      <w:r>
        <w:rPr>
          <w:rStyle w:val="FootnoteReference"/>
        </w:rPr>
        <w:footnoteRef/>
      </w:r>
      <w:r>
        <w:t xml:space="preserve"> Place name: Zemaraim. Place-name meaning: Zemaraim — wool; pith. Source form: Zemaraim. Greek form: εφραιμ.</w:t>
      </w:r>
    </w:p>
  </w:footnote>
  <w:footnote w:id="8912">
    <w:p>
      <w:pPr>
        <w:pStyle w:val="FootnoteText"/>
      </w:pPr>
      <w:r>
        <w:rPr>
          <w:rStyle w:val="FootnoteReference"/>
        </w:rPr>
        <w:footnoteRef/>
      </w:r>
      <w:r>
        <w:t xml:space="preserve"> Cross-references for "Zemaraim": Gen 10:18; Josh 18:22.</w:t>
      </w:r>
    </w:p>
  </w:footnote>
  <w:footnote w:id="8913">
    <w:p>
      <w:pPr>
        <w:pStyle w:val="FootnoteText"/>
      </w:pPr>
      <w:r>
        <w:rPr>
          <w:rStyle w:val="FootnoteReference"/>
        </w:rPr>
        <w:footnoteRef/>
      </w:r>
      <w:r>
        <w:t xml:space="preserve"> Cross-references for "the Lord": Judg 11:21-24; Jer 27:5-7.</w:t>
      </w:r>
    </w:p>
  </w:footnote>
  <w:footnote w:id="8914">
    <w:p>
      <w:pPr>
        <w:pStyle w:val="FootnoteText"/>
      </w:pPr>
      <w:r>
        <w:rPr>
          <w:rStyle w:val="FootnoteReference"/>
        </w:rPr>
        <w:footnoteRef/>
      </w:r>
      <w:r>
        <w:t xml:space="preserve"> Cross-references for "rebelled": 1Kgs 11:26; 1Kgs 12:20.</w:t>
      </w:r>
    </w:p>
  </w:footnote>
  <w:footnote w:id="8915">
    <w:p>
      <w:pPr>
        <w:pStyle w:val="FootnoteText"/>
      </w:pPr>
      <w:r>
        <w:rPr>
          <w:rStyle w:val="FootnoteReference"/>
        </w:rPr>
        <w:footnoteRef/>
      </w:r>
      <w:r>
        <w:t xml:space="preserve"> Translation note: Greek says pestilent men, lawless sons.</w:t>
      </w:r>
    </w:p>
  </w:footnote>
  <w:footnote w:id="8916">
    <w:p>
      <w:pPr>
        <w:pStyle w:val="FootnoteText"/>
      </w:pPr>
      <w:r>
        <w:rPr>
          <w:rStyle w:val="FootnoteReference"/>
        </w:rPr>
        <w:footnoteRef/>
      </w:r>
      <w:r>
        <w:t xml:space="preserve"> Translation note: The Greek says they stand against the kingdom of the Lord in the hand of the sons of David. The translation keeps that direct claim.</w:t>
      </w:r>
    </w:p>
  </w:footnote>
  <w:footnote w:id="8917">
    <w:p>
      <w:pPr>
        <w:pStyle w:val="FootnoteText"/>
      </w:pPr>
      <w:r>
        <w:rPr>
          <w:rStyle w:val="FootnoteReference"/>
        </w:rPr>
        <w:footnoteRef/>
      </w:r>
      <w:r>
        <w:t xml:space="preserve"> Cross-references for "the kingdom": 2Chr 9:8; Ps 2:1-6.</w:t>
      </w:r>
    </w:p>
  </w:footnote>
  <w:footnote w:id="8918">
    <w:p>
      <w:pPr>
        <w:pStyle w:val="FootnoteText"/>
      </w:pPr>
      <w:r>
        <w:rPr>
          <w:rStyle w:val="FootnoteReference"/>
        </w:rPr>
        <w:footnoteRef/>
      </w:r>
      <w:r>
        <w:t xml:space="preserve"> Cross-references for "cast out": 2Chr 11:14-15.</w:t>
      </w:r>
    </w:p>
  </w:footnote>
  <w:footnote w:id="8919">
    <w:p>
      <w:pPr>
        <w:pStyle w:val="FootnoteText"/>
      </w:pPr>
      <w:r>
        <w:rPr>
          <w:rStyle w:val="FootnoteReference"/>
        </w:rPr>
        <w:footnoteRef/>
      </w:r>
      <w:r>
        <w:t xml:space="preserve"> Translation note: Greek says fill the hands with a young bull and seven rams.</w:t>
      </w:r>
    </w:p>
  </w:footnote>
  <w:footnote w:id="8920">
    <w:p>
      <w:pPr>
        <w:pStyle w:val="FootnoteText"/>
      </w:pPr>
      <w:r>
        <w:rPr>
          <w:rStyle w:val="FootnoteReference"/>
        </w:rPr>
        <w:footnoteRef/>
      </w:r>
      <w:r>
        <w:t xml:space="preserve"> Cross-references for "the Lord": Exod 19:5-6; 2Chr 11:16-17.</w:t>
      </w:r>
    </w:p>
  </w:footnote>
  <w:footnote w:id="8921">
    <w:p>
      <w:pPr>
        <w:pStyle w:val="FootnoteText"/>
      </w:pPr>
      <w:r>
        <w:rPr>
          <w:rStyle w:val="FootnoteReference"/>
        </w:rPr>
        <w:footnoteRef/>
      </w:r>
      <w:r>
        <w:t xml:space="preserve"> Cross-references for "They burn": Exod 29:38; 2Chr 2:4.</w:t>
      </w:r>
    </w:p>
  </w:footnote>
  <w:footnote w:id="8922">
    <w:p>
      <w:pPr>
        <w:pStyle w:val="FootnoteText"/>
      </w:pPr>
      <w:r>
        <w:rPr>
          <w:rStyle w:val="FootnoteReference"/>
        </w:rPr>
        <w:footnoteRef/>
      </w:r>
      <w:r>
        <w:t xml:space="preserve"> Translation note: Greek keeps a longer compounded worship list here.</w:t>
      </w:r>
    </w:p>
  </w:footnote>
  <w:footnote w:id="8923">
    <w:p>
      <w:pPr>
        <w:pStyle w:val="FootnoteText"/>
      </w:pPr>
      <w:r>
        <w:rPr>
          <w:rStyle w:val="FootnoteReference"/>
        </w:rPr>
        <w:footnoteRef/>
      </w:r>
      <w:r>
        <w:t xml:space="preserve"> Translation note: Greek keeps literal opening phrase here.</w:t>
      </w:r>
    </w:p>
  </w:footnote>
  <w:footnote w:id="8924">
    <w:p>
      <w:pPr>
        <w:pStyle w:val="FootnoteText"/>
      </w:pPr>
      <w:r>
        <w:rPr>
          <w:rStyle w:val="FootnoteReference"/>
        </w:rPr>
        <w:footnoteRef/>
      </w:r>
      <w:r>
        <w:t xml:space="preserve"> Cross-references for "his priests": Num 10:8-9; Num 31:6.</w:t>
      </w:r>
    </w:p>
  </w:footnote>
  <w:footnote w:id="8925">
    <w:p>
      <w:pPr>
        <w:pStyle w:val="FootnoteText"/>
      </w:pPr>
      <w:r>
        <w:rPr>
          <w:rStyle w:val="FootnoteReference"/>
        </w:rPr>
        <w:footnoteRef/>
      </w:r>
      <w:r>
        <w:t xml:space="preserve"> Cross-references for "cried": 2Chr 14:11; 2Chr 18:31.</w:t>
      </w:r>
    </w:p>
  </w:footnote>
  <w:footnote w:id="8926">
    <w:p>
      <w:pPr>
        <w:pStyle w:val="FootnoteText"/>
      </w:pPr>
      <w:r>
        <w:rPr>
          <w:rStyle w:val="FootnoteReference"/>
        </w:rPr>
        <w:footnoteRef/>
      </w:r>
      <w:r>
        <w:t xml:space="preserve"> Cross-references for "five hundred": 2Chr 13:3; 2Chr 13:12.</w:t>
      </w:r>
    </w:p>
  </w:footnote>
  <w:footnote w:id="8927">
    <w:p>
      <w:pPr>
        <w:pStyle w:val="FootnoteText"/>
      </w:pPr>
      <w:r>
        <w:rPr>
          <w:rStyle w:val="FootnoteReference"/>
        </w:rPr>
        <w:footnoteRef/>
      </w:r>
      <w:r>
        <w:t xml:space="preserve"> Cross-references for "he died": 1Kgs 14:20; 1Kgs 15:9.</w:t>
      </w:r>
    </w:p>
  </w:footnote>
  <w:footnote w:id="8928">
    <w:p>
      <w:pPr>
        <w:pStyle w:val="FootnoteText"/>
      </w:pPr>
      <w:r>
        <w:rPr>
          <w:rStyle w:val="FootnoteReference"/>
        </w:rPr>
        <w:footnoteRef/>
      </w:r>
      <w:r>
        <w:t xml:space="preserve"> Cross-references for "fourteen wives": 2Chr 11:21.</w:t>
      </w:r>
    </w:p>
  </w:footnote>
  <w:footnote w:id="8929">
    <w:p>
      <w:pPr>
        <w:pStyle w:val="FootnoteText"/>
      </w:pPr>
      <w:r>
        <w:rPr>
          <w:rStyle w:val="FootnoteReference"/>
        </w:rPr>
        <w:footnoteRef/>
      </w:r>
      <w:r>
        <w:t xml:space="preserve"> Cross-references for "Iddo": 2Chr 9:29; 2Chr 12:15.</w:t>
      </w:r>
    </w:p>
  </w:footnote>
  <w:footnote w:id="8930">
    <w:p>
      <w:pPr>
        <w:pStyle w:val="FootnoteText"/>
      </w:pPr>
      <w:r>
        <w:rPr>
          <w:rStyle w:val="FootnoteReference"/>
        </w:rPr>
        <w:footnoteRef/>
      </w:r>
      <w:r>
        <w:t xml:space="preserve"> Translation note: Greek says good and upright here. Current line keeps that wording.</w:t>
      </w:r>
    </w:p>
  </w:footnote>
  <w:footnote w:id="8931">
    <w:p>
      <w:pPr>
        <w:pStyle w:val="FootnoteText"/>
      </w:pPr>
      <w:r>
        <w:rPr>
          <w:rStyle w:val="FootnoteReference"/>
        </w:rPr>
        <w:footnoteRef/>
      </w:r>
      <w:r>
        <w:t xml:space="preserve"> MT/LXX note: The Septuagint assigns a reform-action line to this verse number rather than the Masoretic summary statement. The translation follows the Greek content.</w:t>
      </w:r>
    </w:p>
  </w:footnote>
  <w:footnote w:id="8932">
    <w:p>
      <w:pPr>
        <w:pStyle w:val="FootnoteText"/>
      </w:pPr>
      <w:r>
        <w:rPr>
          <w:rStyle w:val="FootnoteReference"/>
        </w:rPr>
        <w:footnoteRef/>
      </w:r>
      <w:r>
        <w:t xml:space="preserve"> Cross-references for "the Lord": Josh 23:1; 2Chr 15:15.</w:t>
      </w:r>
    </w:p>
  </w:footnote>
  <w:footnote w:id="8933">
    <w:p>
      <w:pPr>
        <w:pStyle w:val="FootnoteText"/>
      </w:pPr>
      <w:r>
        <w:rPr>
          <w:rStyle w:val="FootnoteReference"/>
        </w:rPr>
        <w:footnoteRef/>
      </w:r>
      <w:r>
        <w:t xml:space="preserve"> Translation note: Greek verse numbering here gives troop count.</w:t>
      </w:r>
    </w:p>
  </w:footnote>
  <w:footnote w:id="8934">
    <w:p>
      <w:pPr>
        <w:pStyle w:val="FootnoteText"/>
      </w:pPr>
      <w:r>
        <w:rPr>
          <w:rStyle w:val="FootnoteReference"/>
        </w:rPr>
        <w:footnoteRef/>
      </w:r>
      <w:r>
        <w:t xml:space="preserve"> Translation note: Greek says force of one million and three hundred chariots.</w:t>
      </w:r>
    </w:p>
  </w:footnote>
  <w:footnote w:id="8935">
    <w:p>
      <w:pPr>
        <w:pStyle w:val="FootnoteText"/>
      </w:pPr>
      <w:r>
        <w:rPr>
          <w:rStyle w:val="FootnoteReference"/>
        </w:rPr>
        <w:footnoteRef/>
      </w:r>
      <w:r>
        <w:t xml:space="preserve"> MT/LXX note: The Septuagint places Asa's battle deployment here rather than the Masoretic enemy-arrival line. The translation follows the Greek content.</w:t>
      </w:r>
    </w:p>
  </w:footnote>
  <w:footnote w:id="8936">
    <w:p>
      <w:pPr>
        <w:pStyle w:val="FootnoteText"/>
      </w:pPr>
      <w:r>
        <w:rPr>
          <w:rStyle w:val="FootnoteReference"/>
        </w:rPr>
        <w:footnoteRef/>
      </w:r>
      <w:r>
        <w:t xml:space="preserve"> Cross-references for "Mareshah": Josh 15:44; Mic 1:15.</w:t>
      </w:r>
    </w:p>
  </w:footnote>
  <w:footnote w:id="8937">
    <w:p>
      <w:pPr>
        <w:pStyle w:val="FootnoteText"/>
      </w:pPr>
      <w:r>
        <w:rPr>
          <w:rStyle w:val="FootnoteReference"/>
        </w:rPr>
        <w:footnoteRef/>
      </w:r>
      <w:r>
        <w:t xml:space="preserve"> Translation note: Greek says not impossible to save here. Current line keeps that wording.</w:t>
      </w:r>
    </w:p>
  </w:footnote>
  <w:footnote w:id="8938">
    <w:p>
      <w:pPr>
        <w:pStyle w:val="FootnoteText"/>
      </w:pPr>
      <w:r>
        <w:rPr>
          <w:rStyle w:val="FootnoteReference"/>
        </w:rPr>
        <w:footnoteRef/>
      </w:r>
      <w:r>
        <w:t xml:space="preserve"> Translation note: LXX here gives only the victory result instead of Asa's prayer.</w:t>
      </w:r>
    </w:p>
  </w:footnote>
  <w:footnote w:id="8939">
    <w:p>
      <w:pPr>
        <w:pStyle w:val="FootnoteText"/>
      </w:pPr>
      <w:r>
        <w:rPr>
          <w:rStyle w:val="FootnoteReference"/>
        </w:rPr>
        <w:footnoteRef/>
      </w:r>
      <w:r>
        <w:t xml:space="preserve"> Cross-references for "Gerar": Gen 10:1; Gen 10:19.</w:t>
      </w:r>
    </w:p>
  </w:footnote>
  <w:footnote w:id="8940">
    <w:p>
      <w:pPr>
        <w:pStyle w:val="FootnoteText"/>
      </w:pPr>
      <w:r>
        <w:rPr>
          <w:rStyle w:val="FootnoteReference"/>
        </w:rPr>
        <w:footnoteRef/>
      </w:r>
      <w:r>
        <w:t xml:space="preserve"> Translation note: Greek says terror of the Lord came upon them.</w:t>
      </w:r>
    </w:p>
  </w:footnote>
  <w:footnote w:id="8941">
    <w:p>
      <w:pPr>
        <w:pStyle w:val="FootnoteText"/>
      </w:pPr>
      <w:r>
        <w:rPr>
          <w:rStyle w:val="FootnoteReference"/>
        </w:rPr>
        <w:footnoteRef/>
      </w:r>
      <w:r>
        <w:t xml:space="preserve"> Cross-references for "The Lord": Deut 20:1; 2Chr 13:12.</w:t>
      </w:r>
    </w:p>
  </w:footnote>
  <w:footnote w:id="8942">
    <w:p>
      <w:pPr>
        <w:pStyle w:val="FootnoteText"/>
      </w:pPr>
      <w:r>
        <w:rPr>
          <w:rStyle w:val="FootnoteReference"/>
        </w:rPr>
        <w:footnoteRef/>
      </w:r>
      <w:r>
        <w:t xml:space="preserve"> Cross-references for "true God": Jer 10:10; John 17:3.</w:t>
      </w:r>
    </w:p>
  </w:footnote>
  <w:footnote w:id="8943">
    <w:p>
      <w:pPr>
        <w:pStyle w:val="FootnoteText"/>
      </w:pPr>
      <w:r>
        <w:rPr>
          <w:rStyle w:val="FootnoteReference"/>
        </w:rPr>
        <w:footnoteRef/>
      </w:r>
      <w:r>
        <w:t xml:space="preserve"> Cross-references for "no peace": Judg 5:6; 1Sam 13:6.</w:t>
      </w:r>
    </w:p>
  </w:footnote>
  <w:footnote w:id="8944">
    <w:p>
      <w:pPr>
        <w:pStyle w:val="FootnoteText"/>
      </w:pPr>
      <w:r>
        <w:rPr>
          <w:rStyle w:val="FootnoteReference"/>
        </w:rPr>
        <w:footnoteRef/>
      </w:r>
      <w:r>
        <w:t xml:space="preserve"> Cross-references for "nation": 2Chr 12:15; 2Chr 13:17.</w:t>
      </w:r>
    </w:p>
  </w:footnote>
  <w:footnote w:id="8945">
    <w:p>
      <w:pPr>
        <w:pStyle w:val="FootnoteText"/>
      </w:pPr>
      <w:r>
        <w:rPr>
          <w:rStyle w:val="FootnoteReference"/>
        </w:rPr>
        <w:footnoteRef/>
      </w:r>
      <w:r>
        <w:t xml:space="preserve"> Cross-references for "your work": Gen 15:1; Ruth 2:12.</w:t>
      </w:r>
    </w:p>
  </w:footnote>
  <w:footnote w:id="8946">
    <w:p>
      <w:pPr>
        <w:pStyle w:val="FootnoteText"/>
      </w:pPr>
      <w:r>
        <w:rPr>
          <w:rStyle w:val="FootnoteReference"/>
        </w:rPr>
        <w:footnoteRef/>
      </w:r>
      <w:r>
        <w:t xml:space="preserve"> Translation note: Greek says prophecy of Adad the prophet.</w:t>
      </w:r>
    </w:p>
  </w:footnote>
  <w:footnote w:id="8947">
    <w:p>
      <w:pPr>
        <w:pStyle w:val="FootnoteText"/>
      </w:pPr>
      <w:r>
        <w:rPr>
          <w:rStyle w:val="FootnoteReference"/>
        </w:rPr>
        <w:footnoteRef/>
      </w:r>
      <w:r>
        <w:t xml:space="preserve"> Translation note: Greek says many from Israel joined themselves to him.</w:t>
      </w:r>
    </w:p>
  </w:footnote>
  <w:footnote w:id="8948">
    <w:p>
      <w:pPr>
        <w:pStyle w:val="FootnoteText"/>
      </w:pPr>
      <w:r>
        <w:rPr>
          <w:rStyle w:val="FootnoteReference"/>
        </w:rPr>
        <w:footnoteRef/>
      </w:r>
      <w:r>
        <w:t xml:space="preserve"> Cross-references for "they saw": Gen 39:3; 1Sam 18:28.</w:t>
      </w:r>
    </w:p>
  </w:footnote>
  <w:footnote w:id="8949">
    <w:p>
      <w:pPr>
        <w:pStyle w:val="FootnoteText"/>
      </w:pPr>
      <w:r>
        <w:rPr>
          <w:rStyle w:val="FootnoteReference"/>
        </w:rPr>
        <w:footnoteRef/>
      </w:r>
      <w:r>
        <w:t xml:space="preserve"> Cross-references for "the third month": Esth 8:9.</w:t>
      </w:r>
    </w:p>
  </w:footnote>
  <w:footnote w:id="8950">
    <w:p>
      <w:pPr>
        <w:pStyle w:val="FootnoteText"/>
      </w:pPr>
      <w:r>
        <w:rPr>
          <w:rStyle w:val="FootnoteReference"/>
        </w:rPr>
        <w:footnoteRef/>
      </w:r>
      <w:r>
        <w:t xml:space="preserve"> Cross-references for "seven hundred": 2Chr 1:6; 2Chr 7:5.</w:t>
      </w:r>
    </w:p>
  </w:footnote>
  <w:footnote w:id="8951">
    <w:p>
      <w:pPr>
        <w:pStyle w:val="FootnoteText"/>
      </w:pPr>
      <w:r>
        <w:rPr>
          <w:rStyle w:val="FootnoteReference"/>
        </w:rPr>
        <w:footnoteRef/>
      </w:r>
      <w:r>
        <w:t xml:space="preserve"> Cross-references for "seek": Deut 4:29; Deut 10:12.</w:t>
      </w:r>
    </w:p>
  </w:footnote>
  <w:footnote w:id="8952">
    <w:p>
      <w:pPr>
        <w:pStyle w:val="FootnoteText"/>
      </w:pPr>
      <w:r>
        <w:rPr>
          <w:rStyle w:val="FootnoteReference"/>
        </w:rPr>
        <w:footnoteRef/>
      </w:r>
      <w:r>
        <w:t xml:space="preserve"> Cross-references for "trumpets": Ps 81:1-4.</w:t>
      </w:r>
    </w:p>
  </w:footnote>
  <w:footnote w:id="8953">
    <w:p>
      <w:pPr>
        <w:pStyle w:val="FootnoteText"/>
      </w:pPr>
      <w:r>
        <w:rPr>
          <w:rStyle w:val="FootnoteReference"/>
        </w:rPr>
        <w:footnoteRef/>
      </w:r>
      <w:r>
        <w:t xml:space="preserve"> Cross-references for "rejoiced": Deut 26:11; 2Chr 23:16-21.</w:t>
      </w:r>
    </w:p>
  </w:footnote>
  <w:footnote w:id="8954">
    <w:p>
      <w:pPr>
        <w:pStyle w:val="FootnoteText"/>
      </w:pPr>
      <w:r>
        <w:rPr>
          <w:rStyle w:val="FootnoteReference"/>
        </w:rPr>
        <w:footnoteRef/>
      </w:r>
      <w:r>
        <w:t xml:space="preserve"> Cross-references for "Maachah": 1Kgs 15:13-24.</w:t>
      </w:r>
    </w:p>
  </w:footnote>
  <w:footnote w:id="8955">
    <w:p>
      <w:pPr>
        <w:pStyle w:val="FootnoteText"/>
      </w:pPr>
      <w:r>
        <w:rPr>
          <w:rStyle w:val="FootnoteReference"/>
        </w:rPr>
        <w:footnoteRef/>
      </w:r>
      <w:r>
        <w:t xml:space="preserve"> Translation note: The Septuagint says Maachah was removed from cultic service to Astarte, not merely from queenship. The translation follows the Greek content.</w:t>
      </w:r>
    </w:p>
  </w:footnote>
  <w:footnote w:id="8956">
    <w:p>
      <w:pPr>
        <w:pStyle w:val="FootnoteText"/>
      </w:pPr>
      <w:r>
        <w:rPr>
          <w:rStyle w:val="FootnoteReference"/>
        </w:rPr>
        <w:footnoteRef/>
      </w:r>
      <w:r>
        <w:t xml:space="preserve"> Cross-references for "brought": 1Kgs 7:51; 1Kgs 15:14-15.</w:t>
      </w:r>
    </w:p>
  </w:footnote>
  <w:footnote w:id="8957">
    <w:p>
      <w:pPr>
        <w:pStyle w:val="FootnoteText"/>
      </w:pPr>
      <w:r>
        <w:rPr>
          <w:rStyle w:val="FootnoteReference"/>
        </w:rPr>
        <w:footnoteRef/>
      </w:r>
      <w:r>
        <w:t xml:space="preserve"> Cross-references for "Ijon": 1Kgs 15:20.</w:t>
      </w:r>
    </w:p>
  </w:footnote>
  <w:footnote w:id="8958">
    <w:p>
      <w:pPr>
        <w:pStyle w:val="FootnoteText"/>
      </w:pPr>
      <w:r>
        <w:rPr>
          <w:rStyle w:val="FootnoteReference"/>
        </w:rPr>
        <w:footnoteRef/>
      </w:r>
      <w:r>
        <w:t xml:space="preserve"> Transliterated proper noun: Abelmaim. Standard English equivalent: Abelmaim. Source form: Abelmaim. Greek form: αβελμαιν. Name meaning: mourning of waters.</w:t>
      </w:r>
    </w:p>
  </w:footnote>
  <w:footnote w:id="8959">
    <w:p>
      <w:pPr>
        <w:pStyle w:val="FootnoteText"/>
      </w:pPr>
      <w:r>
        <w:rPr>
          <w:rStyle w:val="FootnoteReference"/>
        </w:rPr>
        <w:footnoteRef/>
      </w:r>
      <w:r>
        <w:t xml:space="preserve"> Place name: Geba. Place-name meaning: Geba — a hill; cup. Source form: Geba. Greek form: γαβαε.</w:t>
      </w:r>
    </w:p>
  </w:footnote>
  <w:footnote w:id="8960">
    <w:p>
      <w:pPr>
        <w:pStyle w:val="FootnoteText"/>
      </w:pPr>
      <w:r>
        <w:rPr>
          <w:rStyle w:val="FootnoteReference"/>
        </w:rPr>
        <w:footnoteRef/>
      </w:r>
      <w:r>
        <w:t xml:space="preserve"> Cross-references for "Geba": Josh 18:24-26; 1Chr 6:60.</w:t>
      </w:r>
    </w:p>
  </w:footnote>
  <w:footnote w:id="8961">
    <w:p>
      <w:pPr>
        <w:pStyle w:val="FootnoteText"/>
      </w:pPr>
      <w:r>
        <w:rPr>
          <w:rStyle w:val="FootnoteReference"/>
        </w:rPr>
        <w:footnoteRef/>
      </w:r>
      <w:r>
        <w:t xml:space="preserve"> Translation note: Greek says force of Syria escaped from your hand.</w:t>
      </w:r>
    </w:p>
  </w:footnote>
  <w:footnote w:id="8962">
    <w:p>
      <w:pPr>
        <w:pStyle w:val="FootnoteText"/>
      </w:pPr>
      <w:r>
        <w:rPr>
          <w:rStyle w:val="FootnoteReference"/>
        </w:rPr>
        <w:footnoteRef/>
      </w:r>
      <w:r>
        <w:t xml:space="preserve"> Translation note: Greek says strengthen every heart full toward him.</w:t>
      </w:r>
    </w:p>
  </w:footnote>
  <w:footnote w:id="8963">
    <w:p>
      <w:pPr>
        <w:pStyle w:val="FootnoteText"/>
      </w:pPr>
      <w:r>
        <w:rPr>
          <w:rStyle w:val="FootnoteReference"/>
        </w:rPr>
        <w:footnoteRef/>
      </w:r>
      <w:r>
        <w:t xml:space="preserve"> Cross-references for "put him": 2Chr 18:26; Jer 20:2.</w:t>
      </w:r>
    </w:p>
  </w:footnote>
  <w:footnote w:id="8964">
    <w:p>
      <w:pPr>
        <w:pStyle w:val="FootnoteText"/>
      </w:pPr>
      <w:r>
        <w:rPr>
          <w:rStyle w:val="FootnoteReference"/>
        </w:rPr>
        <w:footnoteRef/>
      </w:r>
      <w:r>
        <w:t xml:space="preserve"> Cross-references for "Judah": 1Kgs 15:23; 2Chr 25:26.</w:t>
      </w:r>
    </w:p>
  </w:footnote>
  <w:footnote w:id="8965">
    <w:p>
      <w:pPr>
        <w:pStyle w:val="FootnoteText"/>
      </w:pPr>
      <w:r>
        <w:rPr>
          <w:rStyle w:val="FootnoteReference"/>
        </w:rPr>
        <w:footnoteRef/>
      </w:r>
      <w:r>
        <w:t xml:space="preserve"> Cross-references for "diseased": Matt 7:2; Luke 6:37-38.</w:t>
      </w:r>
    </w:p>
  </w:footnote>
  <w:footnote w:id="8966">
    <w:p>
      <w:pPr>
        <w:pStyle w:val="FootnoteText"/>
      </w:pPr>
      <w:r>
        <w:rPr>
          <w:rStyle w:val="FootnoteReference"/>
        </w:rPr>
        <w:footnoteRef/>
      </w:r>
      <w:r>
        <w:t xml:space="preserve"> Cross-references for "slept": 1Kgs 15:24.</w:t>
      </w:r>
    </w:p>
  </w:footnote>
  <w:footnote w:id="8967">
    <w:p>
      <w:pPr>
        <w:pStyle w:val="FootnoteText"/>
      </w:pPr>
      <w:r>
        <w:rPr>
          <w:rStyle w:val="FootnoteReference"/>
        </w:rPr>
        <w:footnoteRef/>
      </w:r>
      <w:r>
        <w:t xml:space="preserve"> Translation note: Greek says kinds of perfumed ointments.</w:t>
      </w:r>
    </w:p>
  </w:footnote>
  <w:footnote w:id="8968">
    <w:p>
      <w:pPr>
        <w:pStyle w:val="FootnoteText"/>
      </w:pPr>
      <w:r>
        <w:rPr>
          <w:rStyle w:val="FootnoteReference"/>
        </w:rPr>
        <w:footnoteRef/>
      </w:r>
      <w:r>
        <w:t xml:space="preserve"> Cross-references for "Jehoshaphat": 1Kgs 15:24; 1Kgs 22:41.</w:t>
      </w:r>
    </w:p>
  </w:footnote>
  <w:footnote w:id="8969">
    <w:p>
      <w:pPr>
        <w:pStyle w:val="FootnoteText"/>
      </w:pPr>
      <w:r>
        <w:rPr>
          <w:rStyle w:val="FootnoteReference"/>
        </w:rPr>
        <w:footnoteRef/>
      </w:r>
      <w:r>
        <w:t xml:space="preserve"> Cross-references for "in the cities": 2Chr 15:8.</w:t>
      </w:r>
    </w:p>
  </w:footnote>
  <w:footnote w:id="8970">
    <w:p>
      <w:pPr>
        <w:pStyle w:val="FootnoteText"/>
      </w:pPr>
      <w:r>
        <w:rPr>
          <w:rStyle w:val="FootnoteReference"/>
        </w:rPr>
        <w:footnoteRef/>
      </w:r>
      <w:r>
        <w:t xml:space="preserve"> Cross-references for "the Lord": Gen 39:2-3; Gen 39:21.</w:t>
      </w:r>
    </w:p>
  </w:footnote>
  <w:footnote w:id="8971">
    <w:p>
      <w:pPr>
        <w:pStyle w:val="FootnoteText"/>
      </w:pPr>
      <w:r>
        <w:rPr>
          <w:rStyle w:val="FootnoteReference"/>
        </w:rPr>
        <w:footnoteRef/>
      </w:r>
      <w:r>
        <w:t xml:space="preserve"> Cross-references for "walked": Luke 1:6; 1Thess 2:12.</w:t>
      </w:r>
    </w:p>
  </w:footnote>
  <w:footnote w:id="8972">
    <w:p>
      <w:pPr>
        <w:pStyle w:val="FootnoteText"/>
      </w:pPr>
      <w:r>
        <w:rPr>
          <w:rStyle w:val="FootnoteReference"/>
        </w:rPr>
        <w:footnoteRef/>
      </w:r>
      <w:r>
        <w:t xml:space="preserve"> Cross-references for "the Lord": 2Sam 7:25-26; 1Kgs 9:4-5.</w:t>
      </w:r>
    </w:p>
  </w:footnote>
  <w:footnote w:id="8973">
    <w:p>
      <w:pPr>
        <w:pStyle w:val="FootnoteText"/>
      </w:pPr>
      <w:r>
        <w:rPr>
          <w:rStyle w:val="FootnoteReference"/>
        </w:rPr>
        <w:footnoteRef/>
      </w:r>
      <w:r>
        <w:t xml:space="preserve"> Cross-references for "his heart": Deut 28:47; Job 22:26.</w:t>
      </w:r>
    </w:p>
  </w:footnote>
  <w:footnote w:id="8974">
    <w:p>
      <w:pPr>
        <w:pStyle w:val="FootnoteText"/>
      </w:pPr>
      <w:r>
        <w:rPr>
          <w:rStyle w:val="FootnoteReference"/>
        </w:rPr>
        <w:footnoteRef/>
      </w:r>
      <w:r>
        <w:t xml:space="preserve"> Cross-references for "to teach": Deut 33:10; 2Chr 15:3.</w:t>
      </w:r>
    </w:p>
  </w:footnote>
  <w:footnote w:id="8975">
    <w:p>
      <w:pPr>
        <w:pStyle w:val="FootnoteText"/>
      </w:pPr>
      <w:r>
        <w:rPr>
          <w:rStyle w:val="FootnoteReference"/>
        </w:rPr>
        <w:footnoteRef/>
      </w:r>
      <w:r>
        <w:t xml:space="preserve"> Personal name: Tobijah. Personal-name meaning: Tobijah — the Lord is good. Source form: Tobijah.</w:t>
      </w:r>
    </w:p>
  </w:footnote>
  <w:footnote w:id="8976">
    <w:p>
      <w:pPr>
        <w:pStyle w:val="FootnoteText"/>
      </w:pPr>
      <w:r>
        <w:rPr>
          <w:rStyle w:val="FootnoteReference"/>
        </w:rPr>
        <w:footnoteRef/>
      </w:r>
      <w:r>
        <w:t xml:space="preserve"> Cross-references for "priests": Ezra 7:1-6; Mal 2:7.</w:t>
      </w:r>
    </w:p>
  </w:footnote>
  <w:footnote w:id="8977">
    <w:p>
      <w:pPr>
        <w:pStyle w:val="FootnoteText"/>
      </w:pPr>
      <w:r>
        <w:rPr>
          <w:rStyle w:val="FootnoteReference"/>
        </w:rPr>
        <w:footnoteRef/>
      </w:r>
      <w:r>
        <w:t xml:space="preserve"> Cross-references for "the book": Deut 6:6-9; Deut 31:11-13.</w:t>
      </w:r>
    </w:p>
  </w:footnote>
  <w:footnote w:id="8978">
    <w:p>
      <w:pPr>
        <w:pStyle w:val="FootnoteText"/>
      </w:pPr>
      <w:r>
        <w:rPr>
          <w:rStyle w:val="FootnoteReference"/>
        </w:rPr>
        <w:footnoteRef/>
      </w:r>
      <w:r>
        <w:t xml:space="preserve"> People-name: Arabs. People-name meaning: Arabs — multiplying; sowing sedition; a window; a locust. Source form: Arabs.</w:t>
      </w:r>
    </w:p>
  </w:footnote>
  <w:footnote w:id="8979">
    <w:p>
      <w:pPr>
        <w:pStyle w:val="FootnoteText"/>
      </w:pPr>
      <w:r>
        <w:rPr>
          <w:rStyle w:val="FootnoteReference"/>
        </w:rPr>
        <w:footnoteRef/>
      </w:r>
      <w:r>
        <w:t xml:space="preserve"> Cross-references for "brought": 2Sam 8:2; 2Kgs 3:4.</w:t>
      </w:r>
    </w:p>
  </w:footnote>
  <w:footnote w:id="8980">
    <w:p>
      <w:pPr>
        <w:pStyle w:val="FootnoteText"/>
      </w:pPr>
      <w:r>
        <w:rPr>
          <w:rStyle w:val="FootnoteReference"/>
        </w:rPr>
        <w:footnoteRef/>
      </w:r>
      <w:r>
        <w:t xml:space="preserve"> Cross-references for "in Judah": 2Chr 8:2-6; 2Chr 11:5-12.</w:t>
      </w:r>
    </w:p>
  </w:footnote>
  <w:footnote w:id="8981">
    <w:p>
      <w:pPr>
        <w:pStyle w:val="FootnoteText"/>
      </w:pPr>
      <w:r>
        <w:rPr>
          <w:rStyle w:val="FootnoteReference"/>
        </w:rPr>
        <w:footnoteRef/>
      </w:r>
      <w:r>
        <w:t xml:space="preserve"> Personal name: Adnah. Personal-name meaning: Adnah — eternal rest. Source form: Adnah.</w:t>
      </w:r>
    </w:p>
  </w:footnote>
  <w:footnote w:id="8982">
    <w:p>
      <w:pPr>
        <w:pStyle w:val="FootnoteText"/>
      </w:pPr>
      <w:r>
        <w:rPr>
          <w:rStyle w:val="FootnoteReference"/>
        </w:rPr>
        <w:footnoteRef/>
      </w:r>
      <w:r>
        <w:t xml:space="preserve"> Cross-references for "three hundred": 2Chr 11:1; 2Chr 13:3.</w:t>
      </w:r>
    </w:p>
  </w:footnote>
  <w:footnote w:id="8983">
    <w:p>
      <w:pPr>
        <w:pStyle w:val="FootnoteText"/>
      </w:pPr>
      <w:r>
        <w:rPr>
          <w:rStyle w:val="FootnoteReference"/>
        </w:rPr>
        <w:footnoteRef/>
      </w:r>
      <w:r>
        <w:t xml:space="preserve"> Cross-references for "willingly": Judg 5:2; Judg 5:9.</w:t>
      </w:r>
    </w:p>
  </w:footnote>
  <w:footnote w:id="8984">
    <w:p>
      <w:pPr>
        <w:pStyle w:val="FootnoteText"/>
      </w:pPr>
      <w:r>
        <w:rPr>
          <w:rStyle w:val="FootnoteReference"/>
        </w:rPr>
        <w:footnoteRef/>
      </w:r>
      <w:r>
        <w:t xml:space="preserve"> Cross-references for "Ahab": 1Kgs 1:9; Isa 22:12-13.</w:t>
      </w:r>
    </w:p>
  </w:footnote>
  <w:footnote w:id="8985">
    <w:p>
      <w:pPr>
        <w:pStyle w:val="FootnoteText"/>
      </w:pPr>
      <w:r>
        <w:rPr>
          <w:rStyle w:val="FootnoteReference"/>
        </w:rPr>
        <w:footnoteRef/>
      </w:r>
      <w:r>
        <w:t xml:space="preserve"> Translation note: Greek uses a compressed alliance formula. Current wording preserves it.</w:t>
      </w:r>
    </w:p>
  </w:footnote>
  <w:footnote w:id="8986">
    <w:p>
      <w:pPr>
        <w:pStyle w:val="FootnoteText"/>
      </w:pPr>
      <w:r>
        <w:rPr>
          <w:rStyle w:val="FootnoteReference"/>
        </w:rPr>
        <w:footnoteRef/>
      </w:r>
      <w:r>
        <w:t xml:space="preserve"> Cross-references for "prophets": 1Kgs 18:19; 2Kgs 3:13.</w:t>
      </w:r>
    </w:p>
  </w:footnote>
  <w:footnote w:id="8987">
    <w:p>
      <w:pPr>
        <w:pStyle w:val="FootnoteText"/>
      </w:pPr>
      <w:r>
        <w:rPr>
          <w:rStyle w:val="FootnoteReference"/>
        </w:rPr>
        <w:footnoteRef/>
      </w:r>
      <w:r>
        <w:t xml:space="preserve"> Cross-references for "Is there not": 1Kgs 22:7-9; 2Kgs 3:11-13.</w:t>
      </w:r>
    </w:p>
  </w:footnote>
  <w:footnote w:id="8988">
    <w:p>
      <w:pPr>
        <w:pStyle w:val="FootnoteText"/>
      </w:pPr>
      <w:r>
        <w:rPr>
          <w:rStyle w:val="FootnoteReference"/>
        </w:rPr>
        <w:footnoteRef/>
      </w:r>
      <w:r>
        <w:t xml:space="preserve"> Cross-references for "one man": 1Kgs 18:4; 1Kgs 19:10.</w:t>
      </w:r>
    </w:p>
  </w:footnote>
  <w:footnote w:id="8989">
    <w:p>
      <w:pPr>
        <w:pStyle w:val="FootnoteText"/>
      </w:pPr>
      <w:r>
        <w:rPr>
          <w:rStyle w:val="FootnoteReference"/>
        </w:rPr>
        <w:footnoteRef/>
      </w:r>
      <w:r>
        <w:t xml:space="preserve"> Translation note: Greek keeps abrupt phrase here.</w:t>
      </w:r>
    </w:p>
  </w:footnote>
  <w:footnote w:id="8990">
    <w:p>
      <w:pPr>
        <w:pStyle w:val="FootnoteText"/>
      </w:pPr>
      <w:r>
        <w:rPr>
          <w:rStyle w:val="FootnoteReference"/>
        </w:rPr>
        <w:footnoteRef/>
      </w:r>
      <w:r>
        <w:t xml:space="preserve"> Cross-references for "clothed": 2Chr 18:29; Matt 6:29.</w:t>
      </w:r>
    </w:p>
  </w:footnote>
  <w:footnote w:id="8991">
    <w:p>
      <w:pPr>
        <w:pStyle w:val="FootnoteText"/>
      </w:pPr>
      <w:r>
        <w:rPr>
          <w:rStyle w:val="FootnoteReference"/>
        </w:rPr>
        <w:footnoteRef/>
      </w:r>
      <w:r>
        <w:t xml:space="preserve"> Translation note: Greek says broad place here. Current line keeps that wording.</w:t>
      </w:r>
    </w:p>
  </w:footnote>
  <w:footnote w:id="8992">
    <w:p>
      <w:pPr>
        <w:pStyle w:val="FootnoteText"/>
      </w:pPr>
      <w:r>
        <w:rPr>
          <w:rStyle w:val="FootnoteReference"/>
        </w:rPr>
        <w:footnoteRef/>
      </w:r>
      <w:r>
        <w:t xml:space="preserve"> Cross-references for "Thus": Jer 23:17; Jer 23:21.</w:t>
      </w:r>
    </w:p>
  </w:footnote>
  <w:footnote w:id="8993">
    <w:p>
      <w:pPr>
        <w:pStyle w:val="FootnoteText"/>
      </w:pPr>
      <w:r>
        <w:rPr>
          <w:rStyle w:val="FootnoteReference"/>
        </w:rPr>
        <w:footnoteRef/>
      </w:r>
      <w:r>
        <w:t xml:space="preserve"> Cross-references for "Behold": Job 22:13; Ps 10:11.</w:t>
      </w:r>
    </w:p>
  </w:footnote>
  <w:footnote w:id="8994">
    <w:p>
      <w:pPr>
        <w:pStyle w:val="FootnoteText"/>
      </w:pPr>
      <w:r>
        <w:rPr>
          <w:rStyle w:val="FootnoteReference"/>
        </w:rPr>
        <w:footnoteRef/>
      </w:r>
      <w:r>
        <w:t xml:space="preserve"> Translation note: Greek uses the one-mouth idiom. The translation keeps that phrase.</w:t>
      </w:r>
    </w:p>
  </w:footnote>
  <w:footnote w:id="8995">
    <w:p>
      <w:pPr>
        <w:pStyle w:val="FootnoteText"/>
      </w:pPr>
      <w:r>
        <w:rPr>
          <w:rStyle w:val="FootnoteReference"/>
        </w:rPr>
        <w:footnoteRef/>
      </w:r>
      <w:r>
        <w:t xml:space="preserve"> Translation note: Greek says hold back here. Current line keeps that wording.</w:t>
      </w:r>
    </w:p>
  </w:footnote>
  <w:footnote w:id="8996">
    <w:p>
      <w:pPr>
        <w:pStyle w:val="FootnoteText"/>
      </w:pPr>
      <w:r>
        <w:rPr>
          <w:rStyle w:val="FootnoteReference"/>
        </w:rPr>
        <w:footnoteRef/>
      </w:r>
      <w:r>
        <w:t xml:space="preserve"> Cross-references for "he said": Matt 26:64.</w:t>
      </w:r>
    </w:p>
  </w:footnote>
  <w:footnote w:id="8997">
    <w:p>
      <w:pPr>
        <w:pStyle w:val="FootnoteText"/>
      </w:pPr>
      <w:r>
        <w:rPr>
          <w:rStyle w:val="FootnoteReference"/>
        </w:rPr>
        <w:footnoteRef/>
      </w:r>
      <w:r>
        <w:t xml:space="preserve"> Cross-references for "Hear the word": Isa 1:10; Isa 28:14.</w:t>
      </w:r>
    </w:p>
  </w:footnote>
  <w:footnote w:id="8998">
    <w:p>
      <w:pPr>
        <w:pStyle w:val="FootnoteText"/>
      </w:pPr>
      <w:r>
        <w:rPr>
          <w:rStyle w:val="FootnoteReference"/>
        </w:rPr>
        <w:footnoteRef/>
      </w:r>
      <w:r>
        <w:t xml:space="preserve"> Cross-references for "go up": 2Chr 25:8; 2Chr 25:19.</w:t>
      </w:r>
    </w:p>
  </w:footnote>
  <w:footnote w:id="8999">
    <w:p>
      <w:pPr>
        <w:pStyle w:val="FootnoteText"/>
      </w:pPr>
      <w:r>
        <w:rPr>
          <w:rStyle w:val="FootnoteReference"/>
        </w:rPr>
        <w:footnoteRef/>
      </w:r>
      <w:r>
        <w:t xml:space="preserve"> Cross-references for "and the Lord": 2Chr 18:7; 2Chr 18:17.</w:t>
      </w:r>
    </w:p>
  </w:footnote>
  <w:footnote w:id="9000">
    <w:p>
      <w:pPr>
        <w:pStyle w:val="FootnoteText"/>
      </w:pPr>
      <w:r>
        <w:rPr>
          <w:rStyle w:val="FootnoteReference"/>
        </w:rPr>
        <w:footnoteRef/>
      </w:r>
      <w:r>
        <w:t xml:space="preserve"> Cross-references for "Zedekiah": 1Kgs 22:23-25; 2Chr 18:10.</w:t>
      </w:r>
    </w:p>
  </w:footnote>
  <w:footnote w:id="9001">
    <w:p>
      <w:pPr>
        <w:pStyle w:val="FootnoteText"/>
      </w:pPr>
      <w:r>
        <w:rPr>
          <w:rStyle w:val="FootnoteReference"/>
        </w:rPr>
        <w:footnoteRef/>
      </w:r>
      <w:r>
        <w:t xml:space="preserve"> Cross-references for "Behold": Isa 26:11; Jer 28:16-17.</w:t>
      </w:r>
    </w:p>
  </w:footnote>
  <w:footnote w:id="9002">
    <w:p>
      <w:pPr>
        <w:pStyle w:val="FootnoteText"/>
      </w:pPr>
      <w:r>
        <w:rPr>
          <w:rStyle w:val="FootnoteReference"/>
        </w:rPr>
        <w:footnoteRef/>
      </w:r>
      <w:r>
        <w:t xml:space="preserve"> Cross-references for "bread of affliction": Ps 80:5; Ps 102:9.</w:t>
      </w:r>
    </w:p>
  </w:footnote>
  <w:footnote w:id="9003">
    <w:p>
      <w:pPr>
        <w:pStyle w:val="FootnoteText"/>
      </w:pPr>
      <w:r>
        <w:rPr>
          <w:rStyle w:val="FootnoteReference"/>
        </w:rPr>
        <w:footnoteRef/>
      </w:r>
      <w:r>
        <w:t xml:space="preserve"> Cross-references for "I will disguise": 1Sam 28:8; 1Kgs 14:2-6.</w:t>
      </w:r>
    </w:p>
  </w:footnote>
  <w:footnote w:id="9004">
    <w:p>
      <w:pPr>
        <w:pStyle w:val="FootnoteText"/>
      </w:pPr>
      <w:r>
        <w:rPr>
          <w:rStyle w:val="FootnoteReference"/>
        </w:rPr>
        <w:footnoteRef/>
      </w:r>
      <w:r>
        <w:t xml:space="preserve"> Translation note: Greek says do not fight small and great except king of Israel only.</w:t>
      </w:r>
    </w:p>
  </w:footnote>
  <w:footnote w:id="9005">
    <w:p>
      <w:pPr>
        <w:pStyle w:val="FootnoteText"/>
      </w:pPr>
      <w:r>
        <w:rPr>
          <w:rStyle w:val="FootnoteReference"/>
        </w:rPr>
        <w:footnoteRef/>
      </w:r>
      <w:r>
        <w:t xml:space="preserve"> Cross-references for "Jehoshaphat": Exod 14:10; 2Chr 13:14.</w:t>
      </w:r>
    </w:p>
  </w:footnote>
  <w:footnote w:id="9006">
    <w:p>
      <w:pPr>
        <w:pStyle w:val="FootnoteText"/>
      </w:pPr>
      <w:r>
        <w:rPr>
          <w:rStyle w:val="FootnoteReference"/>
        </w:rPr>
        <w:footnoteRef/>
      </w:r>
      <w:r>
        <w:t xml:space="preserve"> Translation note: Greek says between lung and between chest.</w:t>
      </w:r>
    </w:p>
  </w:footnote>
  <w:footnote w:id="9007">
    <w:p>
      <w:pPr>
        <w:pStyle w:val="FootnoteText"/>
      </w:pPr>
      <w:r>
        <w:rPr>
          <w:rStyle w:val="FootnoteReference"/>
        </w:rPr>
        <w:footnoteRef/>
      </w:r>
      <w:r>
        <w:t xml:space="preserve"> Cross-references for "he died": Num 32:23; 2Chr 18:16.</w:t>
      </w:r>
    </w:p>
  </w:footnote>
  <w:footnote w:id="9008">
    <w:p>
      <w:pPr>
        <w:pStyle w:val="FootnoteText"/>
      </w:pPr>
      <w:r>
        <w:rPr>
          <w:rStyle w:val="FootnoteReference"/>
        </w:rPr>
        <w:footnoteRef/>
      </w:r>
      <w:r>
        <w:t xml:space="preserve"> Cross-references for "in peace": 2Chr 18:31-32.</w:t>
      </w:r>
    </w:p>
  </w:footnote>
  <w:footnote w:id="9009">
    <w:p>
      <w:pPr>
        <w:pStyle w:val="FootnoteText"/>
      </w:pPr>
      <w:r>
        <w:rPr>
          <w:rStyle w:val="FootnoteReference"/>
        </w:rPr>
        <w:footnoteRef/>
      </w:r>
      <w:r>
        <w:t xml:space="preserve"> Cross-references for "And Jehu": 1Kgs 16:1; 1Kgs 16:7.</w:t>
      </w:r>
    </w:p>
  </w:footnote>
  <w:footnote w:id="9010">
    <w:p>
      <w:pPr>
        <w:pStyle w:val="FootnoteText"/>
      </w:pPr>
      <w:r>
        <w:rPr>
          <w:rStyle w:val="FootnoteReference"/>
        </w:rPr>
        <w:footnoteRef/>
      </w:r>
      <w:r>
        <w:t xml:space="preserve"> Cross-references for "Beersheba": Gen 21:33; Judg 20:1.</w:t>
      </w:r>
    </w:p>
  </w:footnote>
  <w:footnote w:id="9011">
    <w:p>
      <w:pPr>
        <w:pStyle w:val="FootnoteText"/>
      </w:pPr>
      <w:r>
        <w:rPr>
          <w:rStyle w:val="FootnoteReference"/>
        </w:rPr>
        <w:footnoteRef/>
      </w:r>
      <w:r>
        <w:t xml:space="preserve"> Cross-references for "taking of gifts": Exod 23:8; Deut 16:18-19.</w:t>
      </w:r>
    </w:p>
  </w:footnote>
  <w:footnote w:id="9012">
    <w:p>
      <w:pPr>
        <w:pStyle w:val="FootnoteText"/>
      </w:pPr>
      <w:r>
        <w:rPr>
          <w:rStyle w:val="FootnoteReference"/>
        </w:rPr>
        <w:footnoteRef/>
      </w:r>
      <w:r>
        <w:t xml:space="preserve"> Cross-references for "Levites": Deut 17:8-13; 1Chr 23:4.</w:t>
      </w:r>
    </w:p>
  </w:footnote>
  <w:footnote w:id="9013">
    <w:p>
      <w:pPr>
        <w:pStyle w:val="FootnoteText"/>
      </w:pPr>
      <w:r>
        <w:rPr>
          <w:rStyle w:val="FootnoteReference"/>
        </w:rPr>
        <w:footnoteRef/>
      </w:r>
      <w:r>
        <w:t xml:space="preserve"> Translation note: Greek says for judgment of the Lord and to judge those dwelling in Jerusalem.</w:t>
      </w:r>
    </w:p>
  </w:footnote>
  <w:footnote w:id="9014">
    <w:p>
      <w:pPr>
        <w:pStyle w:val="FootnoteText"/>
      </w:pPr>
      <w:r>
        <w:rPr>
          <w:rStyle w:val="FootnoteReference"/>
        </w:rPr>
        <w:footnoteRef/>
      </w:r>
      <w:r>
        <w:t xml:space="preserve"> Cross-references for "in the fear": Deut 1:16-17; 2Sam 23:3.</w:t>
      </w:r>
    </w:p>
  </w:footnote>
  <w:footnote w:id="9015">
    <w:p>
      <w:pPr>
        <w:pStyle w:val="FootnoteText"/>
      </w:pPr>
      <w:r>
        <w:rPr>
          <w:rStyle w:val="FootnoteReference"/>
        </w:rPr>
        <w:footnoteRef/>
      </w:r>
      <w:r>
        <w:t xml:space="preserve"> Cross-references for "between blood": Deut 17:8-13.</w:t>
      </w:r>
    </w:p>
  </w:footnote>
  <w:footnote w:id="9016">
    <w:p>
      <w:pPr>
        <w:pStyle w:val="FootnoteText"/>
      </w:pPr>
      <w:r>
        <w:rPr>
          <w:rStyle w:val="FootnoteReference"/>
        </w:rPr>
        <w:footnoteRef/>
      </w:r>
      <w:r>
        <w:t xml:space="preserve"> Translation note: Greek uses that judicial wording here.</w:t>
      </w:r>
    </w:p>
  </w:footnote>
  <w:footnote w:id="9017">
    <w:p>
      <w:pPr>
        <w:pStyle w:val="FootnoteText"/>
      </w:pPr>
      <w:r>
        <w:rPr>
          <w:rStyle w:val="FootnoteReference"/>
        </w:rPr>
        <w:footnoteRef/>
      </w:r>
      <w:r>
        <w:t xml:space="preserve"> Cross-references for "Amariah": 1Chr 6:11.</w:t>
      </w:r>
    </w:p>
  </w:footnote>
  <w:footnote w:id="9018">
    <w:p>
      <w:pPr>
        <w:pStyle w:val="FootnoteText"/>
      </w:pPr>
      <w:r>
        <w:rPr>
          <w:rStyle w:val="FootnoteReference"/>
        </w:rPr>
        <w:footnoteRef/>
      </w:r>
      <w:r>
        <w:t xml:space="preserve"> Translation note: Greek ends with good man here. Current line keeps that wording.</w:t>
      </w:r>
    </w:p>
  </w:footnote>
  <w:footnote w:id="9019">
    <w:p>
      <w:pPr>
        <w:pStyle w:val="FootnoteText"/>
      </w:pPr>
      <w:r>
        <w:rPr>
          <w:rStyle w:val="FootnoteReference"/>
        </w:rPr>
        <w:footnoteRef/>
      </w:r>
      <w:r>
        <w:t xml:space="preserve"> Cross-references for "came against": 2Chr 19:2; Jer 10:24.</w:t>
      </w:r>
    </w:p>
  </w:footnote>
  <w:footnote w:id="9020">
    <w:p>
      <w:pPr>
        <w:pStyle w:val="FootnoteText"/>
      </w:pPr>
      <w:r>
        <w:rPr>
          <w:rStyle w:val="FootnoteReference"/>
        </w:rPr>
        <w:footnoteRef/>
      </w:r>
      <w:r>
        <w:t xml:space="preserve"> Cross-references for "Engedi": Josh 15:62; 1Sam 23:29.</w:t>
      </w:r>
    </w:p>
  </w:footnote>
  <w:footnote w:id="9021">
    <w:p>
      <w:pPr>
        <w:pStyle w:val="FootnoteText"/>
      </w:pPr>
      <w:r>
        <w:rPr>
          <w:rStyle w:val="FootnoteReference"/>
        </w:rPr>
        <w:footnoteRef/>
      </w:r>
      <w:r>
        <w:t xml:space="preserve"> Cross-references for "feared": Gen 32:7-11; Gen 32:24-28.</w:t>
      </w:r>
    </w:p>
  </w:footnote>
  <w:footnote w:id="9022">
    <w:p>
      <w:pPr>
        <w:pStyle w:val="FootnoteText"/>
      </w:pPr>
      <w:r>
        <w:rPr>
          <w:rStyle w:val="FootnoteReference"/>
        </w:rPr>
        <w:footnoteRef/>
      </w:r>
      <w:r>
        <w:t xml:space="preserve"> Cross-references for "the cities": 2Chr 19:5; Ps 69:35.</w:t>
      </w:r>
    </w:p>
  </w:footnote>
  <w:footnote w:id="9023">
    <w:p>
      <w:pPr>
        <w:pStyle w:val="FootnoteText"/>
      </w:pPr>
      <w:r>
        <w:rPr>
          <w:rStyle w:val="FootnoteReference"/>
        </w:rPr>
        <w:footnoteRef/>
      </w:r>
      <w:r>
        <w:t xml:space="preserve"> Cross-references for "Jehoshaphat": 2Kgs 19:15-19; 2Chr 6:12-13.</w:t>
      </w:r>
    </w:p>
  </w:footnote>
  <w:footnote w:id="9024">
    <w:p>
      <w:pPr>
        <w:pStyle w:val="FootnoteText"/>
      </w:pPr>
      <w:r>
        <w:rPr>
          <w:rStyle w:val="FootnoteReference"/>
        </w:rPr>
        <w:footnoteRef/>
      </w:r>
      <w:r>
        <w:t xml:space="preserve"> Cross-references for "God in heaven": Deut 4:39; Josh 2:11.</w:t>
      </w:r>
    </w:p>
  </w:footnote>
  <w:footnote w:id="9025">
    <w:p>
      <w:pPr>
        <w:pStyle w:val="FootnoteText"/>
      </w:pPr>
      <w:r>
        <w:rPr>
          <w:rStyle w:val="FootnoteReference"/>
        </w:rPr>
        <w:footnoteRef/>
      </w:r>
      <w:r>
        <w:t xml:space="preserve"> Translation note: Greek uses beloved language for Abraham here. Current wording preserves it.</w:t>
      </w:r>
    </w:p>
  </w:footnote>
  <w:footnote w:id="9026">
    <w:p>
      <w:pPr>
        <w:pStyle w:val="FootnoteText"/>
      </w:pPr>
      <w:r>
        <w:rPr>
          <w:rStyle w:val="FootnoteReference"/>
        </w:rPr>
        <w:footnoteRef/>
      </w:r>
      <w:r>
        <w:t xml:space="preserve"> Translation note: The local Greek text here reads death rather than pestilence. The translation follows that reading rather than harmonizing it.</w:t>
      </w:r>
    </w:p>
  </w:footnote>
  <w:footnote w:id="9027">
    <w:p>
      <w:pPr>
        <w:pStyle w:val="FootnoteText"/>
      </w:pPr>
      <w:r>
        <w:rPr>
          <w:rStyle w:val="FootnoteReference"/>
        </w:rPr>
        <w:footnoteRef/>
      </w:r>
      <w:r>
        <w:t xml:space="preserve"> Translation note: Greek keeps the passage-through line explicit. Current wording preserves that route language.</w:t>
      </w:r>
    </w:p>
  </w:footnote>
  <w:footnote w:id="9028">
    <w:p>
      <w:pPr>
        <w:pStyle w:val="FootnoteText"/>
      </w:pPr>
      <w:r>
        <w:rPr>
          <w:rStyle w:val="FootnoteReference"/>
        </w:rPr>
        <w:footnoteRef/>
      </w:r>
      <w:r>
        <w:t xml:space="preserve"> Cross-references for "our eyes": Ps 25:15; Ps 121:1-2.</w:t>
      </w:r>
    </w:p>
  </w:footnote>
  <w:footnote w:id="9029">
    <w:p>
      <w:pPr>
        <w:pStyle w:val="FootnoteText"/>
      </w:pPr>
      <w:r>
        <w:rPr>
          <w:rStyle w:val="FootnoteReference"/>
        </w:rPr>
        <w:footnoteRef/>
      </w:r>
      <w:r>
        <w:t xml:space="preserve"> Cross-references for "all Judah": Deut 29:10; Ezra 10:1.</w:t>
      </w:r>
    </w:p>
  </w:footnote>
  <w:footnote w:id="9030">
    <w:p>
      <w:pPr>
        <w:pStyle w:val="FootnoteText"/>
      </w:pPr>
      <w:r>
        <w:rPr>
          <w:rStyle w:val="FootnoteReference"/>
        </w:rPr>
        <w:footnoteRef/>
      </w:r>
      <w:r>
        <w:t xml:space="preserve"> Place name: Ziz. Place-name meaning: Ziz — flower; branch; a lock of hair. Source form: Ziz.</w:t>
      </w:r>
    </w:p>
  </w:footnote>
  <w:footnote w:id="9031">
    <w:p>
      <w:pPr>
        <w:pStyle w:val="FootnoteText"/>
      </w:pPr>
      <w:r>
        <w:rPr>
          <w:rStyle w:val="FootnoteReference"/>
        </w:rPr>
        <w:footnoteRef/>
      </w:r>
      <w:r>
        <w:t xml:space="preserve"> Cross-references for "the wilderness": 2Chr 20:20.</w:t>
      </w:r>
    </w:p>
  </w:footnote>
  <w:footnote w:id="9032">
    <w:p>
      <w:pPr>
        <w:pStyle w:val="FootnoteText"/>
      </w:pPr>
      <w:r>
        <w:rPr>
          <w:rStyle w:val="FootnoteReference"/>
        </w:rPr>
        <w:footnoteRef/>
      </w:r>
      <w:r>
        <w:t xml:space="preserve"> Place name: Jeruel. Place-name meaning: Jeruel — fear, or vision of God. Source form: Jeruel. Greek form: ιεριηλ.</w:t>
      </w:r>
    </w:p>
  </w:footnote>
  <w:footnote w:id="9033">
    <w:p>
      <w:pPr>
        <w:pStyle w:val="FootnoteText"/>
      </w:pPr>
      <w:r>
        <w:rPr>
          <w:rStyle w:val="FootnoteReference"/>
        </w:rPr>
        <w:footnoteRef/>
      </w:r>
      <w:r>
        <w:t xml:space="preserve"> Translation note: Greek says salvation here. Current line keeps that wording.</w:t>
      </w:r>
    </w:p>
  </w:footnote>
  <w:footnote w:id="9034">
    <w:p>
      <w:pPr>
        <w:pStyle w:val="FootnoteText"/>
      </w:pPr>
      <w:r>
        <w:rPr>
          <w:rStyle w:val="FootnoteReference"/>
        </w:rPr>
        <w:footnoteRef/>
      </w:r>
      <w:r>
        <w:t xml:space="preserve"> Cross-references for "fell before": Job 1:20; Ps 95:6.</w:t>
      </w:r>
    </w:p>
  </w:footnote>
  <w:footnote w:id="9035">
    <w:p>
      <w:pPr>
        <w:pStyle w:val="FootnoteText"/>
      </w:pPr>
      <w:r>
        <w:rPr>
          <w:rStyle w:val="FootnoteReference"/>
        </w:rPr>
        <w:footnoteRef/>
      </w:r>
      <w:r>
        <w:t xml:space="preserve"> Cross-references for "Levites": 1Chr 15:16-22; 1Chr 16:5.</w:t>
      </w:r>
    </w:p>
  </w:footnote>
  <w:footnote w:id="9036">
    <w:p>
      <w:pPr>
        <w:pStyle w:val="FootnoteText"/>
      </w:pPr>
      <w:r>
        <w:rPr>
          <w:rStyle w:val="FootnoteReference"/>
        </w:rPr>
        <w:footnoteRef/>
      </w:r>
      <w:r>
        <w:t xml:space="preserve"> Cross-references for "Tekoa": 2Sam 14:2; 1Chr 4:5.</w:t>
      </w:r>
    </w:p>
  </w:footnote>
  <w:footnote w:id="9037">
    <w:p>
      <w:pPr>
        <w:pStyle w:val="FootnoteText"/>
      </w:pPr>
      <w:r>
        <w:rPr>
          <w:rStyle w:val="FootnoteReference"/>
        </w:rPr>
        <w:footnoteRef/>
      </w:r>
      <w:r>
        <w:t xml:space="preserve"> Translation note: Greek uses a trust wordplay in command and result. The translation keeps that pattern visible.</w:t>
      </w:r>
    </w:p>
  </w:footnote>
  <w:footnote w:id="9038">
    <w:p>
      <w:pPr>
        <w:pStyle w:val="FootnoteText"/>
      </w:pPr>
      <w:r>
        <w:rPr>
          <w:rStyle w:val="FootnoteReference"/>
        </w:rPr>
        <w:footnoteRef/>
      </w:r>
      <w:r>
        <w:t xml:space="preserve"> Translation note: Greek says give thanks and praise holy things.</w:t>
      </w:r>
    </w:p>
  </w:footnote>
  <w:footnote w:id="9039">
    <w:p>
      <w:pPr>
        <w:pStyle w:val="FootnoteText"/>
      </w:pPr>
      <w:r>
        <w:rPr>
          <w:rStyle w:val="FootnoteReference"/>
        </w:rPr>
        <w:footnoteRef/>
      </w:r>
      <w:r>
        <w:t xml:space="preserve"> Cross-references for "mount Seir": Gen 14:6; Gen 36:8-9.</w:t>
      </w:r>
    </w:p>
  </w:footnote>
  <w:footnote w:id="9040">
    <w:p>
      <w:pPr>
        <w:pStyle w:val="FootnoteText"/>
      </w:pPr>
      <w:r>
        <w:rPr>
          <w:rStyle w:val="FootnoteReference"/>
        </w:rPr>
        <w:footnoteRef/>
      </w:r>
      <w:r>
        <w:t xml:space="preserve"> Translation note: Greek uses a paired destruction phrase. The translation keeps both verbs.</w:t>
      </w:r>
    </w:p>
  </w:footnote>
  <w:footnote w:id="9041">
    <w:p>
      <w:pPr>
        <w:pStyle w:val="FootnoteText"/>
      </w:pPr>
      <w:r>
        <w:rPr>
          <w:rStyle w:val="FootnoteReference"/>
        </w:rPr>
        <w:footnoteRef/>
      </w:r>
      <w:r>
        <w:t xml:space="preserve"> Translation note: Greek keeps that fuller plunder inventory here.</w:t>
      </w:r>
    </w:p>
  </w:footnote>
  <w:footnote w:id="9042">
    <w:p>
      <w:pPr>
        <w:pStyle w:val="FootnoteText"/>
      </w:pPr>
      <w:r>
        <w:rPr>
          <w:rStyle w:val="FootnoteReference"/>
        </w:rPr>
        <w:footnoteRef/>
      </w:r>
      <w:r>
        <w:t xml:space="preserve"> Cross-references for "blessed": Exod 15:1-19; 2Sam 22:1.</w:t>
      </w:r>
    </w:p>
  </w:footnote>
  <w:footnote w:id="9043">
    <w:p>
      <w:pPr>
        <w:pStyle w:val="FootnoteText"/>
      </w:pPr>
      <w:r>
        <w:rPr>
          <w:rStyle w:val="FootnoteReference"/>
        </w:rPr>
        <w:footnoteRef/>
      </w:r>
      <w:r>
        <w:t xml:space="preserve"> Cross-references for "the Lord": 1Sam 2:1; Neh 12:43.</w:t>
      </w:r>
    </w:p>
  </w:footnote>
  <w:footnote w:id="9044">
    <w:p>
      <w:pPr>
        <w:pStyle w:val="FootnoteText"/>
      </w:pPr>
      <w:r>
        <w:rPr>
          <w:rStyle w:val="FootnoteReference"/>
        </w:rPr>
        <w:footnoteRef/>
      </w:r>
      <w:r>
        <w:t xml:space="preserve"> Cross-references for "his God": Josh 23:1; 2Sam 7:1.</w:t>
      </w:r>
    </w:p>
  </w:footnote>
  <w:footnote w:id="9045">
    <w:p>
      <w:pPr>
        <w:pStyle w:val="FootnoteText"/>
      </w:pPr>
      <w:r>
        <w:rPr>
          <w:rStyle w:val="FootnoteReference"/>
        </w:rPr>
        <w:footnoteRef/>
      </w:r>
      <w:r>
        <w:t xml:space="preserve"> Cross-references for "Jehoshaphat": 1Kgs 22:41-44.</w:t>
      </w:r>
    </w:p>
  </w:footnote>
  <w:footnote w:id="9046">
    <w:p>
      <w:pPr>
        <w:pStyle w:val="FootnoteText"/>
      </w:pPr>
      <w:r>
        <w:rPr>
          <w:rStyle w:val="FootnoteReference"/>
        </w:rPr>
        <w:footnoteRef/>
      </w:r>
      <w:r>
        <w:t xml:space="preserve"> Cross-references for "he walked": 2Chr 17:3-6.</w:t>
      </w:r>
    </w:p>
  </w:footnote>
  <w:footnote w:id="9047">
    <w:p>
      <w:pPr>
        <w:pStyle w:val="FootnoteText"/>
      </w:pPr>
      <w:r>
        <w:rPr>
          <w:rStyle w:val="FootnoteReference"/>
        </w:rPr>
        <w:footnoteRef/>
      </w:r>
      <w:r>
        <w:t xml:space="preserve"> Cross-references for "the rest": 2Chr 12:15; 2Chr 13:22.</w:t>
      </w:r>
    </w:p>
  </w:footnote>
  <w:footnote w:id="9048">
    <w:p>
      <w:pPr>
        <w:pStyle w:val="FootnoteText"/>
      </w:pPr>
      <w:r>
        <w:rPr>
          <w:rStyle w:val="FootnoteReference"/>
        </w:rPr>
        <w:footnoteRef/>
      </w:r>
      <w:r>
        <w:t xml:space="preserve"> Translation note: Greek uses alliance language, then gives a lawless verdict. Current wording preserves both.</w:t>
      </w:r>
    </w:p>
  </w:footnote>
  <w:footnote w:id="9049">
    <w:p>
      <w:pPr>
        <w:pStyle w:val="FootnoteText"/>
      </w:pPr>
      <w:r>
        <w:rPr>
          <w:rStyle w:val="FootnoteReference"/>
        </w:rPr>
        <w:footnoteRef/>
      </w:r>
      <w:r>
        <w:t xml:space="preserve"> Cross-references for "Tarshish": 1Kgs 10:22.</w:t>
      </w:r>
    </w:p>
  </w:footnote>
  <w:footnote w:id="9050">
    <w:p>
      <w:pPr>
        <w:pStyle w:val="FootnoteText"/>
      </w:pPr>
      <w:r>
        <w:rPr>
          <w:rStyle w:val="FootnoteReference"/>
        </w:rPr>
        <w:footnoteRef/>
      </w:r>
      <w:r>
        <w:t xml:space="preserve"> Cross-references for "the Lord": 2Chr 16:9; Prov 9:6.</w:t>
      </w:r>
    </w:p>
  </w:footnote>
  <w:footnote w:id="9051">
    <w:p>
      <w:pPr>
        <w:pStyle w:val="FootnoteText"/>
      </w:pPr>
      <w:r>
        <w:rPr>
          <w:rStyle w:val="FootnoteReference"/>
        </w:rPr>
        <w:footnoteRef/>
      </w:r>
      <w:r>
        <w:t xml:space="preserve"> Cross-references for "Jehoshaphat": 1Kgs 22:50.</w:t>
      </w:r>
    </w:p>
  </w:footnote>
  <w:footnote w:id="9052">
    <w:p>
      <w:pPr>
        <w:pStyle w:val="FootnoteText"/>
      </w:pPr>
      <w:r>
        <w:rPr>
          <w:rStyle w:val="FootnoteReference"/>
        </w:rPr>
        <w:footnoteRef/>
      </w:r>
      <w:r>
        <w:t xml:space="preserve"> Cross-references for "gave them": Gen 25:6; Deut 21:15-17.</w:t>
      </w:r>
    </w:p>
  </w:footnote>
  <w:footnote w:id="9053">
    <w:p>
      <w:pPr>
        <w:pStyle w:val="FootnoteText"/>
      </w:pPr>
      <w:r>
        <w:rPr>
          <w:rStyle w:val="FootnoteReference"/>
        </w:rPr>
        <w:footnoteRef/>
      </w:r>
      <w:r>
        <w:t xml:space="preserve"> Cross-references for "Jehoram": 2Kgs 8:17; 2Chr 21:5.</w:t>
      </w:r>
    </w:p>
  </w:footnote>
  <w:footnote w:id="9054">
    <w:p>
      <w:pPr>
        <w:pStyle w:val="FootnoteText"/>
      </w:pPr>
      <w:r>
        <w:rPr>
          <w:rStyle w:val="FootnoteReference"/>
        </w:rPr>
        <w:footnoteRef/>
      </w:r>
      <w:r>
        <w:t xml:space="preserve"> Cross-references for "in the way": 1Kgs 16:25-33.</w:t>
      </w:r>
    </w:p>
  </w:footnote>
  <w:footnote w:id="9055">
    <w:p>
      <w:pPr>
        <w:pStyle w:val="FootnoteText"/>
      </w:pPr>
      <w:r>
        <w:rPr>
          <w:rStyle w:val="FootnoteReference"/>
        </w:rPr>
        <w:footnoteRef/>
      </w:r>
      <w:r>
        <w:t xml:space="preserve"> Cross-references for "and made": 1Kgs 22:47; 2Kgs 3:9.</w:t>
      </w:r>
    </w:p>
  </w:footnote>
  <w:footnote w:id="9056">
    <w:p>
      <w:pPr>
        <w:pStyle w:val="FootnoteText"/>
      </w:pPr>
      <w:r>
        <w:rPr>
          <w:rStyle w:val="FootnoteReference"/>
        </w:rPr>
        <w:footnoteRef/>
      </w:r>
      <w:r>
        <w:t xml:space="preserve"> Cross-references for "Libnah": Josh 21:13; 2Kgs 19:8.</w:t>
      </w:r>
    </w:p>
  </w:footnote>
  <w:footnote w:id="9057">
    <w:p>
      <w:pPr>
        <w:pStyle w:val="FootnoteText"/>
      </w:pPr>
      <w:r>
        <w:rPr>
          <w:rStyle w:val="FootnoteReference"/>
        </w:rPr>
        <w:footnoteRef/>
      </w:r>
      <w:r>
        <w:t xml:space="preserve"> Cross-references for "Elijah the prophet": 2Kgs 2:11.</w:t>
      </w:r>
    </w:p>
  </w:footnote>
  <w:footnote w:id="9058">
    <w:p>
      <w:pPr>
        <w:pStyle w:val="FootnoteText"/>
      </w:pPr>
      <w:r>
        <w:rPr>
          <w:rStyle w:val="FootnoteReference"/>
        </w:rPr>
        <w:footnoteRef/>
      </w:r>
      <w:r>
        <w:t xml:space="preserve"> Translation note: Greek uses prostitute language here. Current line keeps it.</w:t>
      </w:r>
    </w:p>
  </w:footnote>
  <w:footnote w:id="9059">
    <w:p>
      <w:pPr>
        <w:pStyle w:val="FootnoteText"/>
      </w:pPr>
      <w:r>
        <w:rPr>
          <w:rStyle w:val="FootnoteReference"/>
        </w:rPr>
        <w:footnoteRef/>
      </w:r>
      <w:r>
        <w:t xml:space="preserve"> Cross-references for "plague": Lev 26:21.</w:t>
      </w:r>
    </w:p>
  </w:footnote>
  <w:footnote w:id="9060">
    <w:p>
      <w:pPr>
        <w:pStyle w:val="FootnoteText"/>
      </w:pPr>
      <w:r>
        <w:rPr>
          <w:rStyle w:val="FootnoteReference"/>
        </w:rPr>
        <w:footnoteRef/>
      </w:r>
      <w:r>
        <w:t xml:space="preserve"> Cross-references for "the Lord": 1Sam 26:19; 2Sam 24:1.</w:t>
      </w:r>
    </w:p>
  </w:footnote>
  <w:footnote w:id="9061">
    <w:p>
      <w:pPr>
        <w:pStyle w:val="FootnoteText"/>
      </w:pPr>
      <w:r>
        <w:rPr>
          <w:rStyle w:val="FootnoteReference"/>
        </w:rPr>
        <w:footnoteRef/>
      </w:r>
      <w:r>
        <w:t xml:space="preserve"> Translation note: Greek says they overpowered Judah.</w:t>
      </w:r>
    </w:p>
  </w:footnote>
  <w:footnote w:id="9062">
    <w:p>
      <w:pPr>
        <w:pStyle w:val="FootnoteText"/>
      </w:pPr>
      <w:r>
        <w:rPr>
          <w:rStyle w:val="FootnoteReference"/>
        </w:rPr>
        <w:footnoteRef/>
      </w:r>
      <w:r>
        <w:t xml:space="preserve"> Cross-references for "carried away": Job 5:3-4.</w:t>
      </w:r>
    </w:p>
  </w:footnote>
  <w:footnote w:id="9063">
    <w:p>
      <w:pPr>
        <w:pStyle w:val="FootnoteText"/>
      </w:pPr>
      <w:r>
        <w:rPr>
          <w:rStyle w:val="FootnoteReference"/>
        </w:rPr>
        <w:footnoteRef/>
      </w:r>
      <w:r>
        <w:t xml:space="preserve"> Translation note: Greek keeps unusual temporal wording here.</w:t>
      </w:r>
    </w:p>
  </w:footnote>
  <w:footnote w:id="9064">
    <w:p>
      <w:pPr>
        <w:pStyle w:val="FootnoteText"/>
      </w:pPr>
      <w:r>
        <w:rPr>
          <w:rStyle w:val="FootnoteReference"/>
        </w:rPr>
        <w:footnoteRef/>
      </w:r>
      <w:r>
        <w:t xml:space="preserve"> Translation note: Greek says without praise here.</w:t>
      </w:r>
    </w:p>
  </w:footnote>
  <w:footnote w:id="9065">
    <w:p>
      <w:pPr>
        <w:pStyle w:val="FootnoteText"/>
      </w:pPr>
      <w:r>
        <w:rPr>
          <w:rStyle w:val="FootnoteReference"/>
        </w:rPr>
        <w:footnoteRef/>
      </w:r>
      <w:r>
        <w:t xml:space="preserve"> Cross-references for "the inhabitants": 2Chr 23:3; 2Chr 26:1.</w:t>
      </w:r>
    </w:p>
  </w:footnote>
  <w:footnote w:id="9066">
    <w:p>
      <w:pPr>
        <w:pStyle w:val="FootnoteText"/>
      </w:pPr>
      <w:r>
        <w:rPr>
          <w:rStyle w:val="FootnoteReference"/>
        </w:rPr>
        <w:footnoteRef/>
      </w:r>
      <w:r>
        <w:t xml:space="preserve"> Translation note: Greek names Alimazones here. Current line keeps that witness form.</w:t>
      </w:r>
    </w:p>
  </w:footnote>
  <w:footnote w:id="9067">
    <w:p>
      <w:pPr>
        <w:pStyle w:val="FootnoteText"/>
      </w:pPr>
      <w:r>
        <w:rPr>
          <w:rStyle w:val="FootnoteReference"/>
        </w:rPr>
        <w:footnoteRef/>
      </w:r>
      <w:r>
        <w:t xml:space="preserve"> Cross-references for "Athaliah": 1Kgs 16:28; 2Chr 21:6.</w:t>
      </w:r>
    </w:p>
  </w:footnote>
  <w:footnote w:id="9068">
    <w:p>
      <w:pPr>
        <w:pStyle w:val="FootnoteText"/>
      </w:pPr>
      <w:r>
        <w:rPr>
          <w:rStyle w:val="FootnoteReference"/>
        </w:rPr>
        <w:footnoteRef/>
      </w:r>
      <w:r>
        <w:t xml:space="preserve"> Cross-references for "his mother": Gen 6:4-5; Deut 7:3-4.</w:t>
      </w:r>
    </w:p>
  </w:footnote>
  <w:footnote w:id="9069">
    <w:p>
      <w:pPr>
        <w:pStyle w:val="FootnoteText"/>
      </w:pPr>
      <w:r>
        <w:rPr>
          <w:rStyle w:val="FootnoteReference"/>
        </w:rPr>
        <w:footnoteRef/>
      </w:r>
      <w:r>
        <w:t xml:space="preserve"> Cross-references for "he walked": Ps 1:1; Mic 6:16.</w:t>
      </w:r>
    </w:p>
  </w:footnote>
  <w:footnote w:id="9070">
    <w:p>
      <w:pPr>
        <w:pStyle w:val="FootnoteText"/>
      </w:pPr>
      <w:r>
        <w:rPr>
          <w:rStyle w:val="FootnoteReference"/>
        </w:rPr>
        <w:footnoteRef/>
      </w:r>
      <w:r>
        <w:t xml:space="preserve"> Translation note: Greek says Joram returned to be healed in Iezrael.</w:t>
      </w:r>
    </w:p>
  </w:footnote>
  <w:footnote w:id="9071">
    <w:p>
      <w:pPr>
        <w:pStyle w:val="FootnoteText"/>
      </w:pPr>
      <w:r>
        <w:rPr>
          <w:rStyle w:val="FootnoteReference"/>
        </w:rPr>
        <w:footnoteRef/>
      </w:r>
      <w:r>
        <w:t xml:space="preserve"> Cross-references for "destruction": Mal 4:3.</w:t>
      </w:r>
    </w:p>
  </w:footnote>
  <w:footnote w:id="9072">
    <w:p>
      <w:pPr>
        <w:pStyle w:val="FootnoteText"/>
      </w:pPr>
      <w:r>
        <w:rPr>
          <w:rStyle w:val="FootnoteReference"/>
        </w:rPr>
        <w:footnoteRef/>
      </w:r>
      <w:r>
        <w:t xml:space="preserve"> Cross-references for "when Jehu": 2Kgs 10:10-14.</w:t>
      </w:r>
    </w:p>
  </w:footnote>
  <w:footnote w:id="9073">
    <w:p>
      <w:pPr>
        <w:pStyle w:val="FootnoteText"/>
      </w:pPr>
      <w:r>
        <w:rPr>
          <w:rStyle w:val="FootnoteReference"/>
        </w:rPr>
        <w:footnoteRef/>
      </w:r>
      <w:r>
        <w:t xml:space="preserve"> Translation note: Greek says he was being healed in Samaria.</w:t>
      </w:r>
    </w:p>
  </w:footnote>
  <w:footnote w:id="9074">
    <w:p>
      <w:pPr>
        <w:pStyle w:val="FootnoteText"/>
      </w:pPr>
      <w:r>
        <w:rPr>
          <w:rStyle w:val="FootnoteReference"/>
        </w:rPr>
        <w:footnoteRef/>
      </w:r>
      <w:r>
        <w:t xml:space="preserve"> Translation note: Greek says Jehoshaphat sought the Lord with whole/all his heart. English uses the standard all-his-heart idiom.</w:t>
      </w:r>
    </w:p>
  </w:footnote>
  <w:footnote w:id="9075">
    <w:p>
      <w:pPr>
        <w:pStyle w:val="FootnoteText"/>
      </w:pPr>
      <w:r>
        <w:rPr>
          <w:rStyle w:val="FootnoteReference"/>
        </w:rPr>
        <w:footnoteRef/>
      </w:r>
      <w:r>
        <w:t xml:space="preserve"> Cross-references for "in Samaria": 1Kgs 13:21.</w:t>
      </w:r>
    </w:p>
  </w:footnote>
  <w:footnote w:id="9076">
    <w:p>
      <w:pPr>
        <w:pStyle w:val="FootnoteText"/>
      </w:pPr>
      <w:r>
        <w:rPr>
          <w:rStyle w:val="FootnoteReference"/>
        </w:rPr>
        <w:footnoteRef/>
      </w:r>
      <w:r>
        <w:t xml:space="preserve"> Cross-references for "Athaliah": 2Kgs 11:1; 2Chr 22:2-4.</w:t>
      </w:r>
    </w:p>
  </w:footnote>
  <w:footnote w:id="9077">
    <w:p>
      <w:pPr>
        <w:pStyle w:val="FootnoteText"/>
      </w:pPr>
      <w:r>
        <w:rPr>
          <w:rStyle w:val="FootnoteReference"/>
        </w:rPr>
        <w:footnoteRef/>
      </w:r>
      <w:r>
        <w:t xml:space="preserve"> Transliterated proper noun: Jehoshabeath. Standard English equivalent: Jehoshabeath. Source form: Jehoshabeath. Greek form: ιωσαβεθ. Name meaning: Yahweh has sworn.</w:t>
      </w:r>
    </w:p>
  </w:footnote>
  <w:footnote w:id="9078">
    <w:p>
      <w:pPr>
        <w:pStyle w:val="FootnoteText"/>
      </w:pPr>
      <w:r>
        <w:rPr>
          <w:rStyle w:val="FootnoteReference"/>
        </w:rPr>
        <w:footnoteRef/>
      </w:r>
      <w:r>
        <w:t xml:space="preserve"> Translation note: Greek says stole him from midst of the king's sons who were being put to death.</w:t>
      </w:r>
    </w:p>
  </w:footnote>
  <w:footnote w:id="9079">
    <w:p>
      <w:pPr>
        <w:pStyle w:val="FootnoteText"/>
      </w:pPr>
      <w:r>
        <w:rPr>
          <w:rStyle w:val="FootnoteReference"/>
        </w:rPr>
        <w:footnoteRef/>
      </w:r>
      <w:r>
        <w:t xml:space="preserve"> Cross-references for "Jehoshabeath": 2Kgs 11:2.</w:t>
      </w:r>
    </w:p>
  </w:footnote>
  <w:footnote w:id="9080">
    <w:p>
      <w:pPr>
        <w:pStyle w:val="FootnoteText"/>
      </w:pPr>
      <w:r>
        <w:rPr>
          <w:rStyle w:val="FootnoteReference"/>
        </w:rPr>
        <w:footnoteRef/>
      </w:r>
      <w:r>
        <w:t xml:space="preserve"> Cross-references for "Athaliah": Ps 12:8; Ps 73:14.</w:t>
      </w:r>
    </w:p>
  </w:footnote>
  <w:footnote w:id="9081">
    <w:p>
      <w:pPr>
        <w:pStyle w:val="FootnoteText"/>
      </w:pPr>
      <w:r>
        <w:rPr>
          <w:rStyle w:val="FootnoteReference"/>
        </w:rPr>
        <w:footnoteRef/>
      </w:r>
      <w:r>
        <w:t xml:space="preserve"> Cross-references for "seventh year": 2Kgs 11:4-16.</w:t>
      </w:r>
    </w:p>
  </w:footnote>
  <w:footnote w:id="9082">
    <w:p>
      <w:pPr>
        <w:pStyle w:val="FootnoteText"/>
      </w:pPr>
      <w:r>
        <w:rPr>
          <w:rStyle w:val="FootnoteReference"/>
        </w:rPr>
        <w:footnoteRef/>
      </w:r>
      <w:r>
        <w:t xml:space="preserve"> Translation note: Greek says all assembly of Judah made covenant in house of God with the king.</w:t>
      </w:r>
    </w:p>
  </w:footnote>
  <w:footnote w:id="9083">
    <w:p>
      <w:pPr>
        <w:pStyle w:val="FootnoteText"/>
      </w:pPr>
      <w:r>
        <w:rPr>
          <w:rStyle w:val="FootnoteReference"/>
        </w:rPr>
        <w:footnoteRef/>
      </w:r>
      <w:r>
        <w:t xml:space="preserve"> Cross-references for "as the Lord": 2Sam 7:12; 2Sam 7:16.</w:t>
      </w:r>
    </w:p>
  </w:footnote>
  <w:footnote w:id="9084">
    <w:p>
      <w:pPr>
        <w:pStyle w:val="FootnoteText"/>
      </w:pPr>
      <w:r>
        <w:rPr>
          <w:rStyle w:val="FootnoteReference"/>
        </w:rPr>
        <w:footnoteRef/>
      </w:r>
      <w:r>
        <w:t xml:space="preserve"> Cross-references for "entering": 1Chr 23:3-6; 1Chr 24:3-6.</w:t>
      </w:r>
    </w:p>
  </w:footnote>
  <w:footnote w:id="9085">
    <w:p>
      <w:pPr>
        <w:pStyle w:val="FootnoteText"/>
      </w:pPr>
      <w:r>
        <w:rPr>
          <w:rStyle w:val="FootnoteReference"/>
        </w:rPr>
        <w:footnoteRef/>
      </w:r>
      <w:r>
        <w:t xml:space="preserve"> Translation note: Greek line matches current rendering closely here.</w:t>
      </w:r>
    </w:p>
  </w:footnote>
  <w:footnote w:id="9086">
    <w:p>
      <w:pPr>
        <w:pStyle w:val="FootnoteText"/>
      </w:pPr>
      <w:r>
        <w:rPr>
          <w:rStyle w:val="FootnoteReference"/>
        </w:rPr>
        <w:footnoteRef/>
      </w:r>
      <w:r>
        <w:t xml:space="preserve"> Translation note: Greek states the Sabbath span directly. The translation keeps that wording.</w:t>
      </w:r>
    </w:p>
  </w:footnote>
  <w:footnote w:id="9087">
    <w:p>
      <w:pPr>
        <w:pStyle w:val="FootnoteText"/>
      </w:pPr>
      <w:r>
        <w:rPr>
          <w:rStyle w:val="FootnoteReference"/>
        </w:rPr>
        <w:footnoteRef/>
      </w:r>
      <w:r>
        <w:t xml:space="preserve"> Cross-references for "they brought": 2Kgs 11:12; 2Chr 22:11.</w:t>
      </w:r>
    </w:p>
  </w:footnote>
  <w:footnote w:id="9088">
    <w:p>
      <w:pPr>
        <w:pStyle w:val="FootnoteText"/>
      </w:pPr>
      <w:r>
        <w:rPr>
          <w:rStyle w:val="FootnoteReference"/>
        </w:rPr>
        <w:footnoteRef/>
      </w:r>
      <w:r>
        <w:t xml:space="preserve"> Cross-references for "all the people": 1Kgs 1:39-40; 1Chr 12:40.</w:t>
      </w:r>
    </w:p>
  </w:footnote>
  <w:footnote w:id="9089">
    <w:p>
      <w:pPr>
        <w:pStyle w:val="FootnoteText"/>
      </w:pPr>
      <w:r>
        <w:rPr>
          <w:rStyle w:val="FootnoteReference"/>
        </w:rPr>
        <w:footnoteRef/>
      </w:r>
      <w:r>
        <w:t xml:space="preserve"> Translation note: Greek says singers with instruments of songs and hymning praise. Current wording keeps the liturgical cluster and adds needed English articles around the king and entrance.</w:t>
      </w:r>
    </w:p>
  </w:footnote>
  <w:footnote w:id="9090">
    <w:p>
      <w:pPr>
        <w:pStyle w:val="FootnoteText"/>
      </w:pPr>
      <w:r>
        <w:rPr>
          <w:rStyle w:val="FootnoteReference"/>
        </w:rPr>
        <w:footnoteRef/>
      </w:r>
      <w:r>
        <w:t xml:space="preserve"> Translation note: Greek says Throw her out beyond house.</w:t>
      </w:r>
    </w:p>
  </w:footnote>
  <w:footnote w:id="9091">
    <w:p>
      <w:pPr>
        <w:pStyle w:val="FootnoteText"/>
      </w:pPr>
      <w:r>
        <w:rPr>
          <w:rStyle w:val="FootnoteReference"/>
        </w:rPr>
        <w:footnoteRef/>
      </w:r>
      <w:r>
        <w:t xml:space="preserve"> Cross-references for "the horse gate": Neh 3:28; Jer 31:40.</w:t>
      </w:r>
    </w:p>
  </w:footnote>
  <w:footnote w:id="9092">
    <w:p>
      <w:pPr>
        <w:pStyle w:val="FootnoteText"/>
      </w:pPr>
      <w:r>
        <w:rPr>
          <w:rStyle w:val="FootnoteReference"/>
        </w:rPr>
        <w:footnoteRef/>
      </w:r>
      <w:r>
        <w:t xml:space="preserve"> Cross-references for "that they should": Deut 26:17-19; Josh 24:21-25.</w:t>
      </w:r>
    </w:p>
  </w:footnote>
  <w:footnote w:id="9093">
    <w:p>
      <w:pPr>
        <w:pStyle w:val="FootnoteText"/>
      </w:pPr>
      <w:r>
        <w:rPr>
          <w:rStyle w:val="FootnoteReference"/>
        </w:rPr>
        <w:footnoteRef/>
      </w:r>
      <w:r>
        <w:t xml:space="preserve"> Cross-references for "the house of Baal": 2Kgs 10:25-28; 2Kgs 11:18.</w:t>
      </w:r>
    </w:p>
  </w:footnote>
  <w:footnote w:id="9094">
    <w:p>
      <w:pPr>
        <w:pStyle w:val="FootnoteText"/>
      </w:pPr>
      <w:r>
        <w:rPr>
          <w:rStyle w:val="FootnoteReference"/>
        </w:rPr>
        <w:footnoteRef/>
      </w:r>
      <w:r>
        <w:t xml:space="preserve"> Translation note: Greek says with gladness and with songs by hand of David.</w:t>
      </w:r>
    </w:p>
  </w:footnote>
  <w:footnote w:id="9095">
    <w:p>
      <w:pPr>
        <w:pStyle w:val="FootnoteText"/>
      </w:pPr>
      <w:r>
        <w:rPr>
          <w:rStyle w:val="FootnoteReference"/>
        </w:rPr>
        <w:footnoteRef/>
      </w:r>
      <w:r>
        <w:t xml:space="preserve"> Translation note: Greek says entered by inner gate.</w:t>
      </w:r>
    </w:p>
  </w:footnote>
  <w:footnote w:id="9096">
    <w:p>
      <w:pPr>
        <w:pStyle w:val="FootnoteText"/>
      </w:pPr>
      <w:r>
        <w:rPr>
          <w:rStyle w:val="FootnoteReference"/>
        </w:rPr>
        <w:footnoteRef/>
      </w:r>
      <w:r>
        <w:t xml:space="preserve"> Cross-references for "Joash": 2Kgs 11:21; 2Kgs 12:1.</w:t>
      </w:r>
    </w:p>
  </w:footnote>
  <w:footnote w:id="9097">
    <w:p>
      <w:pPr>
        <w:pStyle w:val="FootnoteText"/>
      </w:pPr>
      <w:r>
        <w:rPr>
          <w:rStyle w:val="FootnoteReference"/>
        </w:rPr>
        <w:footnoteRef/>
      </w:r>
      <w:r>
        <w:t xml:space="preserve"> Cross-references for "Joash": 2Kgs 12:2; 2Chr 25:2.</w:t>
      </w:r>
    </w:p>
  </w:footnote>
  <w:footnote w:id="9098">
    <w:p>
      <w:pPr>
        <w:pStyle w:val="FootnoteText"/>
      </w:pPr>
      <w:r>
        <w:rPr>
          <w:rStyle w:val="FootnoteReference"/>
        </w:rPr>
        <w:footnoteRef/>
      </w:r>
      <w:r>
        <w:t xml:space="preserve"> Cross-references for "took for him": Gen 21:21; Gen 24:4.</w:t>
      </w:r>
    </w:p>
  </w:footnote>
  <w:footnote w:id="9099">
    <w:p>
      <w:pPr>
        <w:pStyle w:val="FootnoteText"/>
      </w:pPr>
      <w:r>
        <w:rPr>
          <w:rStyle w:val="FootnoteReference"/>
        </w:rPr>
        <w:footnoteRef/>
      </w:r>
      <w:r>
        <w:t xml:space="preserve"> Cross-references for "repair": 2Chr 24:5-7.</w:t>
      </w:r>
    </w:p>
  </w:footnote>
  <w:footnote w:id="9100">
    <w:p>
      <w:pPr>
        <w:pStyle w:val="FootnoteText"/>
      </w:pPr>
      <w:r>
        <w:rPr>
          <w:rStyle w:val="FootnoteReference"/>
        </w:rPr>
        <w:footnoteRef/>
      </w:r>
      <w:r>
        <w:t xml:space="preserve"> Translation note: Greek keeps this form here.</w:t>
      </w:r>
    </w:p>
  </w:footnote>
  <w:footnote w:id="9101">
    <w:p>
      <w:pPr>
        <w:pStyle w:val="FootnoteText"/>
      </w:pPr>
      <w:r>
        <w:rPr>
          <w:rStyle w:val="FootnoteReference"/>
        </w:rPr>
        <w:footnoteRef/>
      </w:r>
      <w:r>
        <w:t xml:space="preserve"> Cross-references for "Thus they did": 1Cor 16:2.</w:t>
      </w:r>
    </w:p>
  </w:footnote>
  <w:footnote w:id="9102">
    <w:p>
      <w:pPr>
        <w:pStyle w:val="FootnoteText"/>
      </w:pPr>
      <w:r>
        <w:rPr>
          <w:rStyle w:val="FootnoteReference"/>
        </w:rPr>
        <w:footnoteRef/>
      </w:r>
      <w:r>
        <w:t xml:space="preserve"> Translation note: Greek says chest brought to king's officers by hand of Levites.</w:t>
      </w:r>
    </w:p>
  </w:footnote>
  <w:footnote w:id="9103">
    <w:p>
      <w:pPr>
        <w:pStyle w:val="FootnoteText"/>
      </w:pPr>
      <w:r>
        <w:rPr>
          <w:rStyle w:val="FootnoteReference"/>
        </w:rPr>
        <w:footnoteRef/>
      </w:r>
      <w:r>
        <w:t xml:space="preserve"> Translation note: Greek says they hired stonecutters and carpenters.</w:t>
      </w:r>
    </w:p>
  </w:footnote>
  <w:footnote w:id="9104">
    <w:p>
      <w:pPr>
        <w:pStyle w:val="FootnoteText"/>
      </w:pPr>
      <w:r>
        <w:rPr>
          <w:rStyle w:val="FootnoteReference"/>
        </w:rPr>
        <w:footnoteRef/>
      </w:r>
      <w:r>
        <w:t xml:space="preserve"> Translation note: Greek line matches current rendering closely here.</w:t>
      </w:r>
    </w:p>
  </w:footnote>
  <w:footnote w:id="9105">
    <w:p>
      <w:pPr>
        <w:pStyle w:val="FootnoteText"/>
      </w:pPr>
      <w:r>
        <w:rPr>
          <w:rStyle w:val="FootnoteReference"/>
        </w:rPr>
        <w:footnoteRef/>
      </w:r>
      <w:r>
        <w:t xml:space="preserve"> Cross-references for "and they offered": Exod 29:38-42.</w:t>
      </w:r>
    </w:p>
  </w:footnote>
  <w:footnote w:id="9106">
    <w:p>
      <w:pPr>
        <w:pStyle w:val="FootnoteText"/>
      </w:pPr>
      <w:r>
        <w:rPr>
          <w:rStyle w:val="FootnoteReference"/>
        </w:rPr>
        <w:footnoteRef/>
      </w:r>
      <w:r>
        <w:t xml:space="preserve"> Cross-references for "in the City": 1Sam 2:30; 1Kgs 2:10.</w:t>
      </w:r>
    </w:p>
  </w:footnote>
  <w:footnote w:id="9107">
    <w:p>
      <w:pPr>
        <w:pStyle w:val="FootnoteText"/>
      </w:pPr>
      <w:r>
        <w:rPr>
          <w:rStyle w:val="FootnoteReference"/>
        </w:rPr>
        <w:footnoteRef/>
      </w:r>
      <w:r>
        <w:t xml:space="preserve"> Cross-references for "wrath": Josh 22:20; Judg 5:8.</w:t>
      </w:r>
    </w:p>
  </w:footnote>
  <w:footnote w:id="9108">
    <w:p>
      <w:pPr>
        <w:pStyle w:val="FootnoteText"/>
      </w:pPr>
      <w:r>
        <w:rPr>
          <w:rStyle w:val="FootnoteReference"/>
        </w:rPr>
        <w:footnoteRef/>
      </w:r>
      <w:r>
        <w:t xml:space="preserve"> Cross-references for "And the Spirit": 2Chr 15:1; 2Chr 20:14.</w:t>
      </w:r>
    </w:p>
  </w:footnote>
  <w:footnote w:id="9109">
    <w:p>
      <w:pPr>
        <w:pStyle w:val="FootnoteText"/>
      </w:pPr>
      <w:r>
        <w:rPr>
          <w:rStyle w:val="FootnoteReference"/>
        </w:rPr>
        <w:footnoteRef/>
      </w:r>
      <w:r>
        <w:t xml:space="preserve"> Cross-references for "conspired": Jer 11:19; Jer 18:18.</w:t>
      </w:r>
    </w:p>
  </w:footnote>
  <w:footnote w:id="9110">
    <w:p>
      <w:pPr>
        <w:pStyle w:val="FootnoteText"/>
      </w:pPr>
      <w:r>
        <w:rPr>
          <w:rStyle w:val="FootnoteReference"/>
        </w:rPr>
        <w:footnoteRef/>
      </w:r>
      <w:r>
        <w:t xml:space="preserve"> Cross-references for "the Lord": Gen 9:5; Jer 11:20.</w:t>
      </w:r>
    </w:p>
  </w:footnote>
  <w:footnote w:id="9111">
    <w:p>
      <w:pPr>
        <w:pStyle w:val="FootnoteText"/>
      </w:pPr>
      <w:r>
        <w:rPr>
          <w:rStyle w:val="FootnoteReference"/>
        </w:rPr>
        <w:footnoteRef/>
      </w:r>
      <w:r>
        <w:t xml:space="preserve"> Translation note: Greek says against Joash he made judgments.</w:t>
      </w:r>
    </w:p>
  </w:footnote>
  <w:footnote w:id="9112">
    <w:p>
      <w:pPr>
        <w:pStyle w:val="FootnoteText"/>
      </w:pPr>
      <w:r>
        <w:rPr>
          <w:rStyle w:val="FootnoteReference"/>
        </w:rPr>
        <w:footnoteRef/>
      </w:r>
      <w:r>
        <w:t xml:space="preserve"> Translation note: Greek says bloods of son of Jehoiada the priest here.</w:t>
      </w:r>
    </w:p>
  </w:footnote>
  <w:footnote w:id="9113">
    <w:p>
      <w:pPr>
        <w:pStyle w:val="FootnoteText"/>
      </w:pPr>
      <w:r>
        <w:rPr>
          <w:rStyle w:val="FootnoteReference"/>
        </w:rPr>
        <w:footnoteRef/>
      </w:r>
      <w:r>
        <w:t xml:space="preserve"> Cross-references for "Zabad": 2Kgs 12:21.</w:t>
      </w:r>
    </w:p>
  </w:footnote>
  <w:footnote w:id="9114">
    <w:p>
      <w:pPr>
        <w:pStyle w:val="FootnoteText"/>
      </w:pPr>
      <w:r>
        <w:rPr>
          <w:rStyle w:val="FootnoteReference"/>
        </w:rPr>
        <w:footnoteRef/>
      </w:r>
      <w:r>
        <w:t xml:space="preserve"> Personal name: Shimeath. Personal-name meaning: Shimeath — that hears, or obeys; perdition. Source form: Shimeath.</w:t>
      </w:r>
    </w:p>
  </w:footnote>
  <w:footnote w:id="9115">
    <w:p>
      <w:pPr>
        <w:pStyle w:val="FootnoteText"/>
      </w:pPr>
      <w:r>
        <w:rPr>
          <w:rStyle w:val="FootnoteReference"/>
        </w:rPr>
        <w:footnoteRef/>
      </w:r>
      <w:r>
        <w:t xml:space="preserve"> Personal name: Shimrith. Personal-name meaning: Shimrith — thorn; dregs. Source form: Shimrith.</w:t>
      </w:r>
    </w:p>
  </w:footnote>
  <w:footnote w:id="9116">
    <w:p>
      <w:pPr>
        <w:pStyle w:val="FootnoteText"/>
      </w:pPr>
      <w:r>
        <w:rPr>
          <w:rStyle w:val="FootnoteReference"/>
        </w:rPr>
        <w:footnoteRef/>
      </w:r>
      <w:r>
        <w:t xml:space="preserve"> Cross-references for "Amaziah": 2Kgs 12:21; 1Chr 3:12.</w:t>
      </w:r>
    </w:p>
  </w:footnote>
  <w:footnote w:id="9117">
    <w:p>
      <w:pPr>
        <w:pStyle w:val="FootnoteText"/>
      </w:pPr>
      <w:r>
        <w:rPr>
          <w:rStyle w:val="FootnoteReference"/>
        </w:rPr>
        <w:footnoteRef/>
      </w:r>
      <w:r>
        <w:t xml:space="preserve"> Cross-references for "but not": 1Sam 16:7; 2Kgs 14:4.</w:t>
      </w:r>
    </w:p>
  </w:footnote>
  <w:footnote w:id="9118">
    <w:p>
      <w:pPr>
        <w:pStyle w:val="FootnoteText"/>
      </w:pPr>
      <w:r>
        <w:rPr>
          <w:rStyle w:val="FootnoteReference"/>
        </w:rPr>
        <w:footnoteRef/>
      </w:r>
      <w:r>
        <w:t xml:space="preserve"> Translation note: Greek says according to covenant of law of the Lord.</w:t>
      </w:r>
    </w:p>
  </w:footnote>
  <w:footnote w:id="9119">
    <w:p>
      <w:pPr>
        <w:pStyle w:val="FootnoteText"/>
      </w:pPr>
      <w:r>
        <w:rPr>
          <w:rStyle w:val="FootnoteReference"/>
        </w:rPr>
        <w:footnoteRef/>
      </w:r>
      <w:r>
        <w:t xml:space="preserve"> Translation note: Greek lacks Benjamin here and says set them over thousands and hundreds.</w:t>
      </w:r>
    </w:p>
  </w:footnote>
  <w:footnote w:id="9120">
    <w:p>
      <w:pPr>
        <w:pStyle w:val="FootnoteText"/>
      </w:pPr>
      <w:r>
        <w:rPr>
          <w:rStyle w:val="FootnoteReference"/>
        </w:rPr>
        <w:footnoteRef/>
      </w:r>
      <w:r>
        <w:t xml:space="preserve"> Cross-references for "from twenty": Num 1:3.</w:t>
      </w:r>
    </w:p>
  </w:footnote>
  <w:footnote w:id="9121">
    <w:p>
      <w:pPr>
        <w:pStyle w:val="FootnoteText"/>
      </w:pPr>
      <w:r>
        <w:rPr>
          <w:rStyle w:val="FootnoteReference"/>
        </w:rPr>
        <w:footnoteRef/>
      </w:r>
      <w:r>
        <w:t xml:space="preserve"> Cross-references for "the Lord": Deut 8:18; 2Chr 1:12.</w:t>
      </w:r>
    </w:p>
  </w:footnote>
  <w:footnote w:id="9122">
    <w:p>
      <w:pPr>
        <w:pStyle w:val="FootnoteText"/>
      </w:pPr>
      <w:r>
        <w:rPr>
          <w:rStyle w:val="FootnoteReference"/>
        </w:rPr>
        <w:footnoteRef/>
      </w:r>
      <w:r>
        <w:t xml:space="preserve"> Cross-references for "Amaziah": 1Kgs 12:24.</w:t>
      </w:r>
    </w:p>
  </w:footnote>
  <w:footnote w:id="9123">
    <w:p>
      <w:pPr>
        <w:pStyle w:val="FootnoteText"/>
      </w:pPr>
      <w:r>
        <w:rPr>
          <w:rStyle w:val="FootnoteReference"/>
        </w:rPr>
        <w:footnoteRef/>
      </w:r>
      <w:r>
        <w:t xml:space="preserve"> Cross-references for "valley": 2Sam 8:13; 2Kgs 14:7.</w:t>
      </w:r>
    </w:p>
  </w:footnote>
  <w:footnote w:id="9124">
    <w:p>
      <w:pPr>
        <w:pStyle w:val="FootnoteText"/>
      </w:pPr>
      <w:r>
        <w:rPr>
          <w:rStyle w:val="FootnoteReference"/>
        </w:rPr>
        <w:footnoteRef/>
      </w:r>
      <w:r>
        <w:t xml:space="preserve"> Translation note: Greek says all were broken apart.</w:t>
      </w:r>
    </w:p>
  </w:footnote>
  <w:footnote w:id="9125">
    <w:p>
      <w:pPr>
        <w:pStyle w:val="FootnoteText"/>
      </w:pPr>
      <w:r>
        <w:rPr>
          <w:rStyle w:val="FootnoteReference"/>
        </w:rPr>
        <w:footnoteRef/>
      </w:r>
      <w:r>
        <w:t xml:space="preserve"> Translation note: Greek says sons of force here. Current line keeps that wording.</w:t>
      </w:r>
    </w:p>
  </w:footnote>
  <w:footnote w:id="9126">
    <w:p>
      <w:pPr>
        <w:pStyle w:val="FootnoteText"/>
      </w:pPr>
      <w:r>
        <w:rPr>
          <w:rStyle w:val="FootnoteReference"/>
        </w:rPr>
        <w:footnoteRef/>
      </w:r>
      <w:r>
        <w:t xml:space="preserve"> Cross-references for "Samaria": 1Kgs 16:24; 1Kgs 16:29.</w:t>
      </w:r>
    </w:p>
  </w:footnote>
  <w:footnote w:id="9127">
    <w:p>
      <w:pPr>
        <w:pStyle w:val="FootnoteText"/>
      </w:pPr>
      <w:r>
        <w:rPr>
          <w:rStyle w:val="FootnoteReference"/>
        </w:rPr>
        <w:footnoteRef/>
      </w:r>
      <w:r>
        <w:t xml:space="preserve"> Cross-references for "he brought": 2Chr 28:23; Isa 44:19.</w:t>
      </w:r>
    </w:p>
  </w:footnote>
  <w:footnote w:id="9128">
    <w:p>
      <w:pPr>
        <w:pStyle w:val="FootnoteText"/>
      </w:pPr>
      <w:r>
        <w:rPr>
          <w:rStyle w:val="FootnoteReference"/>
        </w:rPr>
        <w:footnoteRef/>
      </w:r>
      <w:r>
        <w:t xml:space="preserve"> Translation note: Greek uses the ordinary sacrificial verb, not a narrower incense verb. The translation leaves the action broad.</w:t>
      </w:r>
    </w:p>
  </w:footnote>
  <w:footnote w:id="9129">
    <w:p>
      <w:pPr>
        <w:pStyle w:val="FootnoteText"/>
      </w:pPr>
      <w:r>
        <w:rPr>
          <w:rStyle w:val="FootnoteReference"/>
        </w:rPr>
        <w:footnoteRef/>
      </w:r>
      <w:r>
        <w:t xml:space="preserve"> Translation note: Greek says he sent prophets to him.</w:t>
      </w:r>
    </w:p>
  </w:footnote>
  <w:footnote w:id="9130">
    <w:p>
      <w:pPr>
        <w:pStyle w:val="FootnoteText"/>
      </w:pPr>
      <w:r>
        <w:rPr>
          <w:rStyle w:val="FootnoteReference"/>
        </w:rPr>
        <w:footnoteRef/>
      </w:r>
      <w:r>
        <w:t xml:space="preserve"> Translation note: Greek keeps direct royal rebuke.</w:t>
      </w:r>
    </w:p>
  </w:footnote>
  <w:footnote w:id="9131">
    <w:p>
      <w:pPr>
        <w:pStyle w:val="FootnoteText"/>
      </w:pPr>
      <w:r>
        <w:rPr>
          <w:rStyle w:val="FootnoteReference"/>
        </w:rPr>
        <w:footnoteRef/>
      </w:r>
      <w:r>
        <w:t xml:space="preserve"> Cross-references for "Amaziah": 2Kgs 14:8-14; 2Chr 25:13.</w:t>
      </w:r>
    </w:p>
  </w:footnote>
  <w:footnote w:id="9132">
    <w:p>
      <w:pPr>
        <w:pStyle w:val="FootnoteText"/>
      </w:pPr>
      <w:r>
        <w:rPr>
          <w:rStyle w:val="FootnoteReference"/>
        </w:rPr>
        <w:footnoteRef/>
      </w:r>
      <w:r>
        <w:t xml:space="preserve"> Translation note: Greek uses a thornbush image in the parable. The translation keeps that plant image concrete.</w:t>
      </w:r>
    </w:p>
  </w:footnote>
  <w:footnote w:id="9133">
    <w:p>
      <w:pPr>
        <w:pStyle w:val="FootnoteText"/>
      </w:pPr>
      <w:r>
        <w:rPr>
          <w:rStyle w:val="FootnoteReference"/>
        </w:rPr>
        <w:footnoteRef/>
      </w:r>
      <w:r>
        <w:t xml:space="preserve"> Cross-references for "heart": 2Chr 26:16; 2Chr 32:25.</w:t>
      </w:r>
    </w:p>
  </w:footnote>
  <w:footnote w:id="9134">
    <w:p>
      <w:pPr>
        <w:pStyle w:val="FootnoteText"/>
      </w:pPr>
      <w:r>
        <w:rPr>
          <w:rStyle w:val="FootnoteReference"/>
        </w:rPr>
        <w:footnoteRef/>
      </w:r>
      <w:r>
        <w:t xml:space="preserve"> Cross-references for "sought": 2Chr 25:14.</w:t>
      </w:r>
    </w:p>
  </w:footnote>
  <w:footnote w:id="9135">
    <w:p>
      <w:pPr>
        <w:pStyle w:val="FootnoteText"/>
      </w:pPr>
      <w:r>
        <w:rPr>
          <w:rStyle w:val="FootnoteReference"/>
        </w:rPr>
        <w:footnoteRef/>
      </w:r>
      <w:r>
        <w:t xml:space="preserve"> Cross-references for "fled": 1Sam 4:10; 1Kgs 22:36.</w:t>
      </w:r>
    </w:p>
  </w:footnote>
  <w:footnote w:id="9136">
    <w:p>
      <w:pPr>
        <w:pStyle w:val="FootnoteText"/>
      </w:pPr>
      <w:r>
        <w:rPr>
          <w:rStyle w:val="FootnoteReference"/>
        </w:rPr>
        <w:footnoteRef/>
      </w:r>
      <w:r>
        <w:t xml:space="preserve"> Cross-references for "gate of Ephraim": Neh 8:16; Neh 12:39.</w:t>
      </w:r>
    </w:p>
  </w:footnote>
  <w:footnote w:id="9137">
    <w:p>
      <w:pPr>
        <w:pStyle w:val="FootnoteText"/>
      </w:pPr>
      <w:r>
        <w:rPr>
          <w:rStyle w:val="FootnoteReference"/>
        </w:rPr>
        <w:footnoteRef/>
      </w:r>
      <w:r>
        <w:t xml:space="preserve"> Translation note: Greek uses seized wording here. Current line keeps it.</w:t>
      </w:r>
    </w:p>
  </w:footnote>
  <w:footnote w:id="9138">
    <w:p>
      <w:pPr>
        <w:pStyle w:val="FootnoteText"/>
      </w:pPr>
      <w:r>
        <w:rPr>
          <w:rStyle w:val="FootnoteReference"/>
        </w:rPr>
        <w:footnoteRef/>
      </w:r>
      <w:r>
        <w:t xml:space="preserve"> Cross-references for "Joash": 2Kgs 14:17-22.</w:t>
      </w:r>
    </w:p>
  </w:footnote>
  <w:footnote w:id="9139">
    <w:p>
      <w:pPr>
        <w:pStyle w:val="FootnoteText"/>
      </w:pPr>
      <w:r>
        <w:rPr>
          <w:rStyle w:val="FootnoteReference"/>
        </w:rPr>
        <w:footnoteRef/>
      </w:r>
      <w:r>
        <w:t xml:space="preserve"> Cross-references for "Lachish": Josh 10:31.</w:t>
      </w:r>
    </w:p>
  </w:footnote>
  <w:footnote w:id="9140">
    <w:p>
      <w:pPr>
        <w:pStyle w:val="FootnoteText"/>
      </w:pPr>
      <w:r>
        <w:rPr>
          <w:rStyle w:val="FootnoteReference"/>
        </w:rPr>
        <w:footnoteRef/>
      </w:r>
      <w:r>
        <w:t xml:space="preserve"> Cross-references for "Uzziah": 2Kgs 14:21; 2Kgs 15:1-7.</w:t>
      </w:r>
    </w:p>
  </w:footnote>
  <w:footnote w:id="9141">
    <w:p>
      <w:pPr>
        <w:pStyle w:val="FootnoteText"/>
      </w:pPr>
      <w:r>
        <w:rPr>
          <w:rStyle w:val="FootnoteReference"/>
        </w:rPr>
        <w:footnoteRef/>
      </w:r>
      <w:r>
        <w:t xml:space="preserve"> Cross-references for "restored": 2Chr 25:23; 2Chr 25:28.</w:t>
      </w:r>
    </w:p>
  </w:footnote>
  <w:footnote w:id="9142">
    <w:p>
      <w:pPr>
        <w:pStyle w:val="FootnoteText"/>
      </w:pPr>
      <w:r>
        <w:rPr>
          <w:rStyle w:val="FootnoteReference"/>
        </w:rPr>
        <w:footnoteRef/>
      </w:r>
      <w:r>
        <w:t xml:space="preserve"> Cross-references for "Uzziah": Isa 1:1; Isa 6:1.</w:t>
      </w:r>
    </w:p>
  </w:footnote>
  <w:footnote w:id="9143">
    <w:p>
      <w:pPr>
        <w:pStyle w:val="FootnoteText"/>
      </w:pPr>
      <w:r>
        <w:rPr>
          <w:rStyle w:val="FootnoteReference"/>
        </w:rPr>
        <w:footnoteRef/>
      </w:r>
      <w:r>
        <w:t xml:space="preserve"> Cross-references for "according to all": 2Chr 25:2.</w:t>
      </w:r>
    </w:p>
  </w:footnote>
  <w:footnote w:id="9144">
    <w:p>
      <w:pPr>
        <w:pStyle w:val="FootnoteText"/>
      </w:pPr>
      <w:r>
        <w:rPr>
          <w:rStyle w:val="FootnoteReference"/>
        </w:rPr>
        <w:footnoteRef/>
      </w:r>
      <w:r>
        <w:t xml:space="preserve"> Place name: Jabneh. Place-name meaning: Jabneh — he that understands; building. Source form: Jabneh. Greek form: ιαβνη.</w:t>
      </w:r>
    </w:p>
  </w:footnote>
  <w:footnote w:id="9145">
    <w:p>
      <w:pPr>
        <w:pStyle w:val="FootnoteText"/>
      </w:pPr>
      <w:r>
        <w:rPr>
          <w:rStyle w:val="FootnoteReference"/>
        </w:rPr>
        <w:footnoteRef/>
      </w:r>
      <w:r>
        <w:t xml:space="preserve"> Cross-references for "his name": Gen 12:2; 2Sam 8:13.</w:t>
      </w:r>
    </w:p>
  </w:footnote>
  <w:footnote w:id="9146">
    <w:p>
      <w:pPr>
        <w:pStyle w:val="FootnoteText"/>
      </w:pPr>
      <w:r>
        <w:rPr>
          <w:rStyle w:val="FootnoteReference"/>
        </w:rPr>
        <w:footnoteRef/>
      </w:r>
      <w:r>
        <w:t xml:space="preserve"> Cross-references for "Carmel": 2Kgs 19:23; Isa 29:17.</w:t>
      </w:r>
    </w:p>
  </w:footnote>
  <w:footnote w:id="9147">
    <w:p>
      <w:pPr>
        <w:pStyle w:val="FootnoteText"/>
      </w:pPr>
      <w:r>
        <w:rPr>
          <w:rStyle w:val="FootnoteReference"/>
        </w:rPr>
        <w:footnoteRef/>
      </w:r>
      <w:r>
        <w:t xml:space="preserve"> Translation note: Greek says he was farmer/loved farming here.</w:t>
      </w:r>
    </w:p>
  </w:footnote>
  <w:footnote w:id="9148">
    <w:p>
      <w:pPr>
        <w:pStyle w:val="FootnoteText"/>
      </w:pPr>
      <w:r>
        <w:rPr>
          <w:rStyle w:val="FootnoteReference"/>
        </w:rPr>
        <w:footnoteRef/>
      </w:r>
      <w:r>
        <w:t xml:space="preserve"> Translation note: Greek says Ananiou successor of king here.</w:t>
      </w:r>
    </w:p>
  </w:footnote>
  <w:footnote w:id="9149">
    <w:p>
      <w:pPr>
        <w:pStyle w:val="FootnoteText"/>
      </w:pPr>
      <w:r>
        <w:rPr>
          <w:rStyle w:val="FootnoteReference"/>
        </w:rPr>
        <w:footnoteRef/>
      </w:r>
      <w:r>
        <w:t xml:space="preserve"> Cross-references for "three hundred": 2Chr 11:1; 2Chr 13:3.</w:t>
      </w:r>
    </w:p>
  </w:footnote>
  <w:footnote w:id="9150">
    <w:p>
      <w:pPr>
        <w:pStyle w:val="FootnoteText"/>
      </w:pPr>
      <w:r>
        <w:rPr>
          <w:rStyle w:val="FootnoteReference"/>
        </w:rPr>
        <w:footnoteRef/>
      </w:r>
      <w:r>
        <w:t xml:space="preserve"> Translation note: Greek says machines invented by designer.</w:t>
      </w:r>
    </w:p>
  </w:footnote>
  <w:footnote w:id="9151">
    <w:p>
      <w:pPr>
        <w:pStyle w:val="FootnoteText"/>
      </w:pPr>
      <w:r>
        <w:rPr>
          <w:rStyle w:val="FootnoteReference"/>
        </w:rPr>
        <w:footnoteRef/>
      </w:r>
      <w:r>
        <w:t xml:space="preserve"> Cross-references for "to burn": Num 16:1; Num 16:7.</w:t>
      </w:r>
    </w:p>
  </w:footnote>
  <w:footnote w:id="9152">
    <w:p>
      <w:pPr>
        <w:pStyle w:val="FootnoteText"/>
      </w:pPr>
      <w:r>
        <w:rPr>
          <w:rStyle w:val="FootnoteReference"/>
        </w:rPr>
        <w:footnoteRef/>
      </w:r>
      <w:r>
        <w:t xml:space="preserve"> Cross-references for "Azariah": 1Chr 6:10.</w:t>
      </w:r>
    </w:p>
  </w:footnote>
  <w:footnote w:id="9153">
    <w:p>
      <w:pPr>
        <w:pStyle w:val="FootnoteText"/>
      </w:pPr>
      <w:r>
        <w:rPr>
          <w:rStyle w:val="FootnoteReference"/>
        </w:rPr>
        <w:footnoteRef/>
      </w:r>
      <w:r>
        <w:t xml:space="preserve"> Cross-references for "Go out": 1Cor 5:5.</w:t>
      </w:r>
    </w:p>
  </w:footnote>
  <w:footnote w:id="9154">
    <w:p>
      <w:pPr>
        <w:pStyle w:val="FootnoteText"/>
      </w:pPr>
      <w:r>
        <w:rPr>
          <w:rStyle w:val="FootnoteReference"/>
        </w:rPr>
        <w:footnoteRef/>
      </w:r>
      <w:r>
        <w:t xml:space="preserve"> Translation note: The Greek rebuke states the prohibition directly. The current wording keeps the priestly boundary explicit.</w:t>
      </w:r>
    </w:p>
  </w:footnote>
  <w:footnote w:id="9155">
    <w:p>
      <w:pPr>
        <w:pStyle w:val="FootnoteText"/>
      </w:pPr>
      <w:r>
        <w:rPr>
          <w:rStyle w:val="FootnoteReference"/>
        </w:rPr>
        <w:footnoteRef/>
      </w:r>
      <w:r>
        <w:t xml:space="preserve"> Translation note: Greek places the leprosy outbreak before the priests in the temple. The translation stays close to that scene wording.</w:t>
      </w:r>
    </w:p>
  </w:footnote>
  <w:footnote w:id="9156">
    <w:p>
      <w:pPr>
        <w:pStyle w:val="FootnoteText"/>
      </w:pPr>
      <w:r>
        <w:rPr>
          <w:rStyle w:val="FootnoteReference"/>
        </w:rPr>
        <w:footnoteRef/>
      </w:r>
      <w:r>
        <w:t xml:space="preserve"> Cross-references for "the Lord": Lev 14:34; Deut 28:22.</w:t>
      </w:r>
    </w:p>
  </w:footnote>
  <w:footnote w:id="9157">
    <w:p>
      <w:pPr>
        <w:pStyle w:val="FootnoteText"/>
      </w:pPr>
      <w:r>
        <w:rPr>
          <w:rStyle w:val="FootnoteReference"/>
        </w:rPr>
        <w:footnoteRef/>
      </w:r>
      <w:r>
        <w:t xml:space="preserve"> Cross-references for "Uzziah": 2Kgs 15:5.</w:t>
      </w:r>
    </w:p>
  </w:footnote>
  <w:footnote w:id="9158">
    <w:p>
      <w:pPr>
        <w:pStyle w:val="FootnoteText"/>
      </w:pPr>
      <w:r>
        <w:rPr>
          <w:rStyle w:val="FootnoteReference"/>
        </w:rPr>
        <w:footnoteRef/>
      </w:r>
      <w:r>
        <w:t xml:space="preserve"> Cross-references for "first": 2Chr 9:29; 2Chr 12:15.</w:t>
      </w:r>
    </w:p>
  </w:footnote>
  <w:footnote w:id="9159">
    <w:p>
      <w:pPr>
        <w:pStyle w:val="FootnoteText"/>
      </w:pPr>
      <w:r>
        <w:rPr>
          <w:rStyle w:val="FootnoteReference"/>
        </w:rPr>
        <w:footnoteRef/>
      </w:r>
      <w:r>
        <w:t xml:space="preserve"> Cross-references for "slept": 2Kgs 15:6-7.</w:t>
      </w:r>
    </w:p>
  </w:footnote>
  <w:footnote w:id="9160">
    <w:p>
      <w:pPr>
        <w:pStyle w:val="FootnoteText"/>
      </w:pPr>
      <w:r>
        <w:rPr>
          <w:rStyle w:val="FootnoteReference"/>
        </w:rPr>
        <w:footnoteRef/>
      </w:r>
      <w:r>
        <w:t xml:space="preserve"> Cross-references for "And he did": 2Kgs 15:34; 2Chr 26:4.</w:t>
      </w:r>
    </w:p>
  </w:footnote>
  <w:footnote w:id="9161">
    <w:p>
      <w:pPr>
        <w:pStyle w:val="FootnoteText"/>
      </w:pPr>
      <w:r>
        <w:rPr>
          <w:rStyle w:val="FootnoteReference"/>
        </w:rPr>
        <w:footnoteRef/>
      </w:r>
      <w:r>
        <w:t xml:space="preserve"> Translation note: Greek gives a compact building notice with the high gate and Ophal wall. Current wording preserves that terse report.</w:t>
      </w:r>
    </w:p>
  </w:footnote>
  <w:footnote w:id="9162">
    <w:p>
      <w:pPr>
        <w:pStyle w:val="FootnoteText"/>
      </w:pPr>
      <w:r>
        <w:rPr>
          <w:rStyle w:val="FootnoteReference"/>
        </w:rPr>
        <w:footnoteRef/>
      </w:r>
      <w:r>
        <w:t xml:space="preserve"> Place name: Ophel. Place-name meaning: Ophel — a tower; darkness; small white cloud. Source form: Ophel. Greek form: οφλα.</w:t>
      </w:r>
    </w:p>
  </w:footnote>
  <w:footnote w:id="9163">
    <w:p>
      <w:pPr>
        <w:pStyle w:val="FootnoteText"/>
      </w:pPr>
      <w:r>
        <w:rPr>
          <w:rStyle w:val="FootnoteReference"/>
        </w:rPr>
        <w:footnoteRef/>
      </w:r>
      <w:r>
        <w:t xml:space="preserve"> Cross-references for "high gate": 2Chr 23:20; Jer 20:2.</w:t>
      </w:r>
    </w:p>
  </w:footnote>
  <w:footnote w:id="9164">
    <w:p>
      <w:pPr>
        <w:pStyle w:val="FootnoteText"/>
      </w:pPr>
      <w:r>
        <w:rPr>
          <w:rStyle w:val="FootnoteReference"/>
        </w:rPr>
        <w:footnoteRef/>
      </w:r>
      <w:r>
        <w:t xml:space="preserve"> Cross-references for "he built cities": 2Chr 11:5-10; 2Chr 14:7.</w:t>
      </w:r>
    </w:p>
  </w:footnote>
  <w:footnote w:id="9165">
    <w:p>
      <w:pPr>
        <w:pStyle w:val="FootnoteText"/>
      </w:pPr>
      <w:r>
        <w:rPr>
          <w:rStyle w:val="FootnoteReference"/>
        </w:rPr>
        <w:footnoteRef/>
      </w:r>
      <w:r>
        <w:t xml:space="preserve"> Translation note: Greek keeps the building list compact. Current wording preserves it.</w:t>
      </w:r>
    </w:p>
  </w:footnote>
  <w:footnote w:id="9166">
    <w:p>
      <w:pPr>
        <w:pStyle w:val="FootnoteText"/>
      </w:pPr>
      <w:r>
        <w:rPr>
          <w:rStyle w:val="FootnoteReference"/>
        </w:rPr>
        <w:footnoteRef/>
      </w:r>
      <w:r>
        <w:t xml:space="preserve"> Translation note: Greek says gave him year by year and then repeats first year second third. Current line keeps that annual pattern.</w:t>
      </w:r>
    </w:p>
  </w:footnote>
  <w:footnote w:id="9167">
    <w:p>
      <w:pPr>
        <w:pStyle w:val="FootnoteText"/>
      </w:pPr>
      <w:r>
        <w:rPr>
          <w:rStyle w:val="FootnoteReference"/>
        </w:rPr>
        <w:footnoteRef/>
      </w:r>
      <w:r>
        <w:t xml:space="preserve"> Cross-references for "Jotham": 2Chr 26:5.</w:t>
      </w:r>
    </w:p>
  </w:footnote>
  <w:footnote w:id="9168">
    <w:p>
      <w:pPr>
        <w:pStyle w:val="FootnoteText"/>
      </w:pPr>
      <w:r>
        <w:rPr>
          <w:rStyle w:val="FootnoteReference"/>
        </w:rPr>
        <w:footnoteRef/>
      </w:r>
      <w:r>
        <w:t xml:space="preserve"> Cross-references for "Jotham": 2Kgs 15:38.</w:t>
      </w:r>
    </w:p>
  </w:footnote>
  <w:footnote w:id="9169">
    <w:p>
      <w:pPr>
        <w:pStyle w:val="FootnoteText"/>
      </w:pPr>
      <w:r>
        <w:rPr>
          <w:rStyle w:val="FootnoteReference"/>
        </w:rPr>
        <w:footnoteRef/>
      </w:r>
      <w:r>
        <w:t xml:space="preserve"> Cross-references for "Ahaz": 2Kgs 16:1; 2Kgs 16:2-20.</w:t>
      </w:r>
    </w:p>
  </w:footnote>
  <w:footnote w:id="9170">
    <w:p>
      <w:pPr>
        <w:pStyle w:val="FootnoteText"/>
      </w:pPr>
      <w:r>
        <w:rPr>
          <w:rStyle w:val="FootnoteReference"/>
        </w:rPr>
        <w:footnoteRef/>
      </w:r>
      <w:r>
        <w:t xml:space="preserve"> Cross-references for "his God": Exod 20:2-3; 2Chr 36:5.</w:t>
      </w:r>
    </w:p>
  </w:footnote>
  <w:footnote w:id="9171">
    <w:p>
      <w:pPr>
        <w:pStyle w:val="FootnoteText"/>
      </w:pPr>
      <w:r>
        <w:rPr>
          <w:rStyle w:val="FootnoteReference"/>
        </w:rPr>
        <w:footnoteRef/>
      </w:r>
      <w:r>
        <w:t xml:space="preserve"> Translation note: Greek uses singular blow language rather than the broader slaughter wording. The translation stays closer to the Septuagint phrase.</w:t>
      </w:r>
    </w:p>
  </w:footnote>
  <w:footnote w:id="9172">
    <w:p>
      <w:pPr>
        <w:pStyle w:val="FootnoteText"/>
      </w:pPr>
      <w:r>
        <w:rPr>
          <w:rStyle w:val="FootnoteReference"/>
        </w:rPr>
        <w:footnoteRef/>
      </w:r>
      <w:r>
        <w:t xml:space="preserve"> Cross-references for "Pekah": 2Kgs 15:27; 2Kgs 15:37.</w:t>
      </w:r>
    </w:p>
  </w:footnote>
  <w:footnote w:id="9173">
    <w:p>
      <w:pPr>
        <w:pStyle w:val="FootnoteText"/>
      </w:pPr>
      <w:r>
        <w:rPr>
          <w:rStyle w:val="FootnoteReference"/>
        </w:rPr>
        <w:footnoteRef/>
      </w:r>
      <w:r>
        <w:t xml:space="preserve"> Cross-references for "he went out": 1Kgs 20:13; 1Kgs 20:22.</w:t>
      </w:r>
    </w:p>
  </w:footnote>
  <w:footnote w:id="9174">
    <w:p>
      <w:pPr>
        <w:pStyle w:val="FootnoteText"/>
      </w:pPr>
      <w:r>
        <w:rPr>
          <w:rStyle w:val="FootnoteReference"/>
        </w:rPr>
        <w:footnoteRef/>
      </w:r>
      <w:r>
        <w:t xml:space="preserve"> Translation note: Greek says Odēd went out to meet force coming to Samareia.</w:t>
      </w:r>
    </w:p>
  </w:footnote>
  <w:footnote w:id="9175">
    <w:p>
      <w:pPr>
        <w:pStyle w:val="FootnoteText"/>
      </w:pPr>
      <w:r>
        <w:rPr>
          <w:rStyle w:val="FootnoteReference"/>
        </w:rPr>
        <w:footnoteRef/>
      </w:r>
      <w:r>
        <w:t xml:space="preserve"> Cross-references for "not with": Jer 25:29; Matt 7:2-4.</w:t>
      </w:r>
    </w:p>
  </w:footnote>
  <w:footnote w:id="9176">
    <w:p>
      <w:pPr>
        <w:pStyle w:val="FootnoteText"/>
      </w:pPr>
      <w:r>
        <w:rPr>
          <w:rStyle w:val="FootnoteReference"/>
        </w:rPr>
        <w:footnoteRef/>
      </w:r>
      <w:r>
        <w:t xml:space="preserve"> Translation note: Greek says rulers from sons of Ephraim rose up.</w:t>
      </w:r>
    </w:p>
  </w:footnote>
  <w:footnote w:id="9177">
    <w:p>
      <w:pPr>
        <w:pStyle w:val="FootnoteText"/>
      </w:pPr>
      <w:r>
        <w:rPr>
          <w:rStyle w:val="FootnoteReference"/>
        </w:rPr>
        <w:footnoteRef/>
      </w:r>
      <w:r>
        <w:t xml:space="preserve"> Personal name: Meshillemoth. Personal-name meaning: Meshillemoth — peaceable; repayment. Source form: Meshillemoth.</w:t>
      </w:r>
    </w:p>
  </w:footnote>
  <w:footnote w:id="9178">
    <w:p>
      <w:pPr>
        <w:pStyle w:val="FootnoteText"/>
      </w:pPr>
      <w:r>
        <w:rPr>
          <w:rStyle w:val="FootnoteReference"/>
        </w:rPr>
        <w:footnoteRef/>
      </w:r>
      <w:r>
        <w:t xml:space="preserve"> Personal name: Hadlai. Personal-name meaning: Hadlai — loitering; hindering. Source form: Hadlai.</w:t>
      </w:r>
    </w:p>
  </w:footnote>
  <w:footnote w:id="9179">
    <w:p>
      <w:pPr>
        <w:pStyle w:val="FootnoteText"/>
      </w:pPr>
      <w:r>
        <w:rPr>
          <w:rStyle w:val="FootnoteReference"/>
        </w:rPr>
        <w:footnoteRef/>
      </w:r>
      <w:r>
        <w:t xml:space="preserve"> Translation note: Greek says add upon our sins and upon our ignorance in sinning.</w:t>
      </w:r>
    </w:p>
  </w:footnote>
  <w:footnote w:id="9180">
    <w:p>
      <w:pPr>
        <w:pStyle w:val="FootnoteText"/>
      </w:pPr>
      <w:r>
        <w:rPr>
          <w:rStyle w:val="FootnoteReference"/>
        </w:rPr>
        <w:footnoteRef/>
      </w:r>
      <w:r>
        <w:t xml:space="preserve"> Translation note: Greek gives compressed rescue sequence here.</w:t>
      </w:r>
    </w:p>
  </w:footnote>
  <w:footnote w:id="9181">
    <w:p>
      <w:pPr>
        <w:pStyle w:val="FootnoteText"/>
      </w:pPr>
      <w:r>
        <w:rPr>
          <w:rStyle w:val="FootnoteReference"/>
        </w:rPr>
        <w:footnoteRef/>
      </w:r>
      <w:r>
        <w:t xml:space="preserve"> Cross-references for "clothed": Job 31:15-23; Isa 58:7.</w:t>
      </w:r>
    </w:p>
  </w:footnote>
  <w:footnote w:id="9182">
    <w:p>
      <w:pPr>
        <w:pStyle w:val="FootnoteText"/>
      </w:pPr>
      <w:r>
        <w:rPr>
          <w:rStyle w:val="FootnoteReference"/>
        </w:rPr>
        <w:footnoteRef/>
      </w:r>
      <w:r>
        <w:t xml:space="preserve"> Translation note: Greek line here is cleaner than Brenton's bracketed expansion. Current line keeps the direct city list.</w:t>
      </w:r>
    </w:p>
  </w:footnote>
  <w:footnote w:id="9183">
    <w:p>
      <w:pPr>
        <w:pStyle w:val="FootnoteText"/>
      </w:pPr>
      <w:r>
        <w:rPr>
          <w:rStyle w:val="FootnoteReference"/>
        </w:rPr>
        <w:footnoteRef/>
      </w:r>
      <w:r>
        <w:t xml:space="preserve"> Transliterated proper noun: Shocho. Standard English equivalent: Shocho. Source form: Shocho. Greek form: σωχω. Name meaning: defense; bough.</w:t>
      </w:r>
    </w:p>
  </w:footnote>
  <w:footnote w:id="9184">
    <w:p>
      <w:pPr>
        <w:pStyle w:val="FootnoteText"/>
      </w:pPr>
      <w:r>
        <w:rPr>
          <w:rStyle w:val="FootnoteReference"/>
        </w:rPr>
        <w:footnoteRef/>
      </w:r>
      <w:r>
        <w:t xml:space="preserve"> Place name: Gimzo. Place-name meaning: Gimzo — that bulrush. Source form: Gimzo. Greek form: γαμζω.</w:t>
      </w:r>
    </w:p>
  </w:footnote>
  <w:footnote w:id="9185">
    <w:p>
      <w:pPr>
        <w:pStyle w:val="FootnoteText"/>
      </w:pPr>
      <w:r>
        <w:rPr>
          <w:rStyle w:val="FootnoteReference"/>
        </w:rPr>
        <w:footnoteRef/>
      </w:r>
      <w:r>
        <w:t xml:space="preserve"> Cross-references for "Philistines": Ezek 16:27; Ezek 16:57.</w:t>
      </w:r>
    </w:p>
  </w:footnote>
  <w:footnote w:id="9186">
    <w:p>
      <w:pPr>
        <w:pStyle w:val="FootnoteText"/>
      </w:pPr>
      <w:r>
        <w:rPr>
          <w:rStyle w:val="FootnoteReference"/>
        </w:rPr>
        <w:footnoteRef/>
      </w:r>
      <w:r>
        <w:t xml:space="preserve"> Cross-references for "the Lord": Deut 28:43; 1Sam 2:7.</w:t>
      </w:r>
    </w:p>
  </w:footnote>
  <w:footnote w:id="9187">
    <w:p>
      <w:pPr>
        <w:pStyle w:val="FootnoteText"/>
      </w:pPr>
      <w:r>
        <w:rPr>
          <w:rStyle w:val="FootnoteReference"/>
        </w:rPr>
        <w:footnoteRef/>
      </w:r>
      <w:r>
        <w:t xml:space="preserve"> Cross-references for "Tilgathpilneser": 2Kgs 15:29; 2Kgs 16:7-10.</w:t>
      </w:r>
    </w:p>
  </w:footnote>
  <w:footnote w:id="9188">
    <w:p>
      <w:pPr>
        <w:pStyle w:val="FootnoteText"/>
      </w:pPr>
      <w:r>
        <w:rPr>
          <w:rStyle w:val="FootnoteReference"/>
        </w:rPr>
        <w:footnoteRef/>
      </w:r>
      <w:r>
        <w:t xml:space="preserve"> Cross-references for "sacrifice to them": Jer 10:5; Jer 44:15-18.</w:t>
      </w:r>
    </w:p>
  </w:footnote>
  <w:footnote w:id="9189">
    <w:p>
      <w:pPr>
        <w:pStyle w:val="FootnoteText"/>
      </w:pPr>
      <w:r>
        <w:rPr>
          <w:rStyle w:val="FootnoteReference"/>
        </w:rPr>
        <w:footnoteRef/>
      </w:r>
      <w:r>
        <w:t xml:space="preserve"> Translation note: Greek says they became to him as a stumbling block.</w:t>
      </w:r>
    </w:p>
  </w:footnote>
  <w:footnote w:id="9190">
    <w:p>
      <w:pPr>
        <w:pStyle w:val="FootnoteText"/>
      </w:pPr>
      <w:r>
        <w:rPr>
          <w:rStyle w:val="FootnoteReference"/>
        </w:rPr>
        <w:footnoteRef/>
      </w:r>
      <w:r>
        <w:t xml:space="preserve"> Translation note: Greek says he cut them up.</w:t>
      </w:r>
    </w:p>
  </w:footnote>
  <w:footnote w:id="9191">
    <w:p>
      <w:pPr>
        <w:pStyle w:val="FootnoteText"/>
      </w:pPr>
      <w:r>
        <w:rPr>
          <w:rStyle w:val="FootnoteReference"/>
        </w:rPr>
        <w:footnoteRef/>
      </w:r>
      <w:r>
        <w:t xml:space="preserve"> Cross-references for "burn": 2Chr 28:3.</w:t>
      </w:r>
    </w:p>
  </w:footnote>
  <w:footnote w:id="9192">
    <w:p>
      <w:pPr>
        <w:pStyle w:val="FootnoteText"/>
      </w:pPr>
      <w:r>
        <w:rPr>
          <w:rStyle w:val="FootnoteReference"/>
        </w:rPr>
        <w:footnoteRef/>
      </w:r>
      <w:r>
        <w:t xml:space="preserve"> Cross-references for "the rest": 2Kgs 16:19-20; 2Chr 20:34.</w:t>
      </w:r>
    </w:p>
  </w:footnote>
  <w:footnote w:id="9193">
    <w:p>
      <w:pPr>
        <w:pStyle w:val="FootnoteText"/>
      </w:pPr>
      <w:r>
        <w:rPr>
          <w:rStyle w:val="FootnoteReference"/>
        </w:rPr>
        <w:footnoteRef/>
      </w:r>
      <w:r>
        <w:t xml:space="preserve"> Cross-references for "Hezekiah": 2Kgs 18:1-3; 1Chr 3:13.</w:t>
      </w:r>
    </w:p>
  </w:footnote>
  <w:footnote w:id="9194">
    <w:p>
      <w:pPr>
        <w:pStyle w:val="FootnoteText"/>
      </w:pPr>
      <w:r>
        <w:rPr>
          <w:rStyle w:val="FootnoteReference"/>
        </w:rPr>
        <w:footnoteRef/>
      </w:r>
      <w:r>
        <w:t xml:space="preserve"> Cross-references for "opened": 2Kgs 16:14-18; 2Chr 28:24.</w:t>
      </w:r>
    </w:p>
  </w:footnote>
  <w:footnote w:id="9195">
    <w:p>
      <w:pPr>
        <w:pStyle w:val="FootnoteText"/>
      </w:pPr>
      <w:r>
        <w:rPr>
          <w:rStyle w:val="FootnoteReference"/>
        </w:rPr>
        <w:footnoteRef/>
      </w:r>
      <w:r>
        <w:t xml:space="preserve"> Translation note: Greek says gave neck here rather than turned backs.</w:t>
      </w:r>
    </w:p>
  </w:footnote>
  <w:footnote w:id="9196">
    <w:p>
      <w:pPr>
        <w:pStyle w:val="FootnoteText"/>
      </w:pPr>
      <w:r>
        <w:rPr>
          <w:rStyle w:val="FootnoteReference"/>
        </w:rPr>
        <w:footnoteRef/>
      </w:r>
      <w:r>
        <w:t xml:space="preserve"> Cross-references for "now it is": 2Chr 6:7-8.</w:t>
      </w:r>
    </w:p>
  </w:footnote>
  <w:footnote w:id="9197">
    <w:p>
      <w:pPr>
        <w:pStyle w:val="FootnoteText"/>
      </w:pPr>
      <w:r>
        <w:rPr>
          <w:rStyle w:val="FootnoteReference"/>
        </w:rPr>
        <w:footnoteRef/>
      </w:r>
      <w:r>
        <w:t xml:space="preserve"> Cross-references for "the Lord": Num 3:6-9; Num 8:6-14.</w:t>
      </w:r>
    </w:p>
  </w:footnote>
  <w:footnote w:id="9198">
    <w:p>
      <w:pPr>
        <w:pStyle w:val="FootnoteText"/>
      </w:pPr>
      <w:r>
        <w:rPr>
          <w:rStyle w:val="FootnoteReference"/>
        </w:rPr>
        <w:footnoteRef/>
      </w:r>
      <w:r>
        <w:t xml:space="preserve"> Personal name: Maath. Personal-name meaning: Maath — wiping away; breaking; fearing; smiting. Source form: Maath.</w:t>
      </w:r>
    </w:p>
  </w:footnote>
  <w:footnote w:id="9199">
    <w:p>
      <w:pPr>
        <w:pStyle w:val="FootnoteText"/>
      </w:pPr>
      <w:r>
        <w:rPr>
          <w:rStyle w:val="FootnoteReference"/>
        </w:rPr>
        <w:footnoteRef/>
      </w:r>
      <w:r>
        <w:t xml:space="preserve"> Cross-references for "Asaph": 1Chr 6:39; 1Chr 15:17.</w:t>
      </w:r>
    </w:p>
  </w:footnote>
  <w:footnote w:id="9200">
    <w:p>
      <w:pPr>
        <w:pStyle w:val="FootnoteText"/>
      </w:pPr>
      <w:r>
        <w:rPr>
          <w:rStyle w:val="FootnoteReference"/>
        </w:rPr>
        <w:footnoteRef/>
      </w:r>
      <w:r>
        <w:t xml:space="preserve"> Cross-references for "Heman": 1Chr 6:33; 1Chr 15:19.</w:t>
      </w:r>
    </w:p>
  </w:footnote>
  <w:footnote w:id="9201">
    <w:p>
      <w:pPr>
        <w:pStyle w:val="FootnoteText"/>
      </w:pPr>
      <w:r>
        <w:rPr>
          <w:rStyle w:val="FootnoteReference"/>
        </w:rPr>
        <w:footnoteRef/>
      </w:r>
      <w:r>
        <w:t xml:space="preserve"> Cross-references for "sanctified themselves": 2Chr 29:5.</w:t>
      </w:r>
    </w:p>
  </w:footnote>
  <w:footnote w:id="9202">
    <w:p>
      <w:pPr>
        <w:pStyle w:val="FootnoteText"/>
      </w:pPr>
      <w:r>
        <w:rPr>
          <w:rStyle w:val="FootnoteReference"/>
        </w:rPr>
        <w:footnoteRef/>
      </w:r>
      <w:r>
        <w:t xml:space="preserve"> Translation note: Greek says throw outside into torrent of Kidron.</w:t>
      </w:r>
    </w:p>
  </w:footnote>
  <w:footnote w:id="9203">
    <w:p>
      <w:pPr>
        <w:pStyle w:val="FootnoteText"/>
      </w:pPr>
      <w:r>
        <w:rPr>
          <w:rStyle w:val="FootnoteReference"/>
        </w:rPr>
        <w:footnoteRef/>
      </w:r>
      <w:r>
        <w:t xml:space="preserve"> Cross-references for "Kidron": 2Kgs 23:4-6; 2Chr 15:16.</w:t>
      </w:r>
    </w:p>
  </w:footnote>
  <w:footnote w:id="9204">
    <w:p>
      <w:pPr>
        <w:pStyle w:val="FootnoteText"/>
      </w:pPr>
      <w:r>
        <w:rPr>
          <w:rStyle w:val="FootnoteReference"/>
        </w:rPr>
        <w:footnoteRef/>
      </w:r>
      <w:r>
        <w:t xml:space="preserve"> Cross-references for "the sixteenth": Exod 12:2-8.</w:t>
      </w:r>
    </w:p>
  </w:footnote>
  <w:footnote w:id="9205">
    <w:p>
      <w:pPr>
        <w:pStyle w:val="FootnoteText"/>
      </w:pPr>
      <w:r>
        <w:rPr>
          <w:rStyle w:val="FootnoteReference"/>
        </w:rPr>
        <w:footnoteRef/>
      </w:r>
      <w:r>
        <w:t xml:space="preserve"> Translation note: Greek says new moon and reads the sixteenth day. The translation follows that wording.</w:t>
      </w:r>
    </w:p>
  </w:footnote>
  <w:footnote w:id="9206">
    <w:p>
      <w:pPr>
        <w:pStyle w:val="FootnoteText"/>
      </w:pPr>
      <w:r>
        <w:rPr>
          <w:rStyle w:val="FootnoteReference"/>
        </w:rPr>
        <w:footnoteRef/>
      </w:r>
      <w:r>
        <w:t xml:space="preserve"> Translation note: Greek gives a terse reform-action line. Current wording preserves that narrative sequence.</w:t>
      </w:r>
    </w:p>
  </w:footnote>
  <w:footnote w:id="9207">
    <w:p>
      <w:pPr>
        <w:pStyle w:val="FootnoteText"/>
      </w:pPr>
      <w:r>
        <w:rPr>
          <w:rStyle w:val="FootnoteReference"/>
        </w:rPr>
        <w:footnoteRef/>
      </w:r>
      <w:r>
        <w:t xml:space="preserve"> Cross-references for "rose": Gen 22:3; Exod 24:4.</w:t>
      </w:r>
    </w:p>
  </w:footnote>
  <w:footnote w:id="9208">
    <w:p>
      <w:pPr>
        <w:pStyle w:val="FootnoteText"/>
      </w:pPr>
      <w:r>
        <w:rPr>
          <w:rStyle w:val="FootnoteReference"/>
        </w:rPr>
        <w:footnoteRef/>
      </w:r>
      <w:r>
        <w:t xml:space="preserve"> Cross-references for "seven": Num 23:1; Num 23:14.</w:t>
      </w:r>
    </w:p>
  </w:footnote>
  <w:footnote w:id="9209">
    <w:p>
      <w:pPr>
        <w:pStyle w:val="FootnoteText"/>
      </w:pPr>
      <w:r>
        <w:rPr>
          <w:rStyle w:val="FootnoteReference"/>
        </w:rPr>
        <w:footnoteRef/>
      </w:r>
      <w:r>
        <w:t xml:space="preserve"> Translation note: Greek says the kingdom and holy things and Israel here. The translation keeps those terms.</w:t>
      </w:r>
    </w:p>
  </w:footnote>
  <w:footnote w:id="9210">
    <w:p>
      <w:pPr>
        <w:pStyle w:val="FootnoteText"/>
      </w:pPr>
      <w:r>
        <w:rPr>
          <w:rStyle w:val="FootnoteReference"/>
        </w:rPr>
        <w:footnoteRef/>
      </w:r>
      <w:r>
        <w:t xml:space="preserve"> Translation note: Greek repeats the poured-blood sequence for each animal.</w:t>
      </w:r>
    </w:p>
  </w:footnote>
  <w:footnote w:id="9211">
    <w:p>
      <w:pPr>
        <w:pStyle w:val="FootnoteText"/>
      </w:pPr>
      <w:r>
        <w:rPr>
          <w:rStyle w:val="FootnoteReference"/>
        </w:rPr>
        <w:footnoteRef/>
      </w:r>
      <w:r>
        <w:t xml:space="preserve"> Translation note: Greek says toward altar here. Current line keeps that wording.</w:t>
      </w:r>
    </w:p>
  </w:footnote>
  <w:footnote w:id="9212">
    <w:p>
      <w:pPr>
        <w:pStyle w:val="FootnoteText"/>
      </w:pPr>
      <w:r>
        <w:rPr>
          <w:rStyle w:val="FootnoteReference"/>
        </w:rPr>
        <w:footnoteRef/>
      </w:r>
      <w:r>
        <w:t xml:space="preserve"> Cross-references for "Nathan": 2Sam 7:2-4; 2Sam 12:1-7.</w:t>
      </w:r>
    </w:p>
  </w:footnote>
  <w:footnote w:id="9213">
    <w:p>
      <w:pPr>
        <w:pStyle w:val="FootnoteText"/>
      </w:pPr>
      <w:r>
        <w:rPr>
          <w:rStyle w:val="FootnoteReference"/>
        </w:rPr>
        <w:footnoteRef/>
      </w:r>
      <w:r>
        <w:t xml:space="preserve"> Cross-references for "the instruments": 1Chr 23:5; Ps 87:7.</w:t>
      </w:r>
    </w:p>
  </w:footnote>
  <w:footnote w:id="9214">
    <w:p>
      <w:pPr>
        <w:pStyle w:val="FootnoteText"/>
      </w:pPr>
      <w:r>
        <w:rPr>
          <w:rStyle w:val="FootnoteReference"/>
        </w:rPr>
        <w:footnoteRef/>
      </w:r>
      <w:r>
        <w:t xml:space="preserve"> Translation note: Greek doubles began here. Current line keeps that rhythm.</w:t>
      </w:r>
    </w:p>
  </w:footnote>
  <w:footnote w:id="9215">
    <w:p>
      <w:pPr>
        <w:pStyle w:val="FootnoteText"/>
      </w:pPr>
      <w:r>
        <w:rPr>
          <w:rStyle w:val="FootnoteReference"/>
        </w:rPr>
        <w:footnoteRef/>
      </w:r>
      <w:r>
        <w:t xml:space="preserve"> Translation note: Greek says hymn rather than sing praise.</w:t>
      </w:r>
    </w:p>
  </w:footnote>
  <w:footnote w:id="9216">
    <w:p>
      <w:pPr>
        <w:pStyle w:val="FootnoteText"/>
      </w:pPr>
      <w:r>
        <w:rPr>
          <w:rStyle w:val="FootnoteReference"/>
        </w:rPr>
        <w:footnoteRef/>
      </w:r>
      <w:r>
        <w:t xml:space="preserve"> Translation note: Greek states the tally with holy-things language. Current wording preserves that offering count.</w:t>
      </w:r>
    </w:p>
  </w:footnote>
  <w:footnote w:id="9217">
    <w:p>
      <w:pPr>
        <w:pStyle w:val="FootnoteText"/>
      </w:pPr>
      <w:r>
        <w:rPr>
          <w:rStyle w:val="FootnoteReference"/>
        </w:rPr>
        <w:footnoteRef/>
      </w:r>
      <w:r>
        <w:t xml:space="preserve"> Translation note: Greek says the Levites were more willing to sanctify than the priests.</w:t>
      </w:r>
    </w:p>
  </w:footnote>
  <w:footnote w:id="9218">
    <w:p>
      <w:pPr>
        <w:pStyle w:val="FootnoteText"/>
      </w:pPr>
      <w:r>
        <w:rPr>
          <w:rStyle w:val="FootnoteReference"/>
        </w:rPr>
        <w:footnoteRef/>
      </w:r>
      <w:r>
        <w:t xml:space="preserve"> Cross-references for "Israel": 2Chr 11:13; 2Chr 11:16.</w:t>
      </w:r>
    </w:p>
  </w:footnote>
  <w:footnote w:id="9219">
    <w:p>
      <w:pPr>
        <w:pStyle w:val="FootnoteText"/>
      </w:pPr>
      <w:r>
        <w:rPr>
          <w:rStyle w:val="FootnoteReference"/>
        </w:rPr>
        <w:footnoteRef/>
      </w:r>
      <w:r>
        <w:t xml:space="preserve"> Cross-references for "in the second month": Num 9:10-11.</w:t>
      </w:r>
    </w:p>
  </w:footnote>
  <w:footnote w:id="9220">
    <w:p>
      <w:pPr>
        <w:pStyle w:val="FootnoteText"/>
      </w:pPr>
      <w:r>
        <w:rPr>
          <w:rStyle w:val="FootnoteReference"/>
        </w:rPr>
        <w:footnoteRef/>
      </w:r>
      <w:r>
        <w:t xml:space="preserve"> Cross-references for "at that time": Exod 12:6; Exod 12:18.</w:t>
      </w:r>
    </w:p>
  </w:footnote>
  <w:footnote w:id="9221">
    <w:p>
      <w:pPr>
        <w:pStyle w:val="FootnoteText"/>
      </w:pPr>
      <w:r>
        <w:rPr>
          <w:rStyle w:val="FootnoteReference"/>
        </w:rPr>
        <w:footnoteRef/>
      </w:r>
      <w:r>
        <w:t xml:space="preserve"> Cross-references for "established": Ezra 6:8-12; Dan 6:8.</w:t>
      </w:r>
    </w:p>
  </w:footnote>
  <w:footnote w:id="9222">
    <w:p>
      <w:pPr>
        <w:pStyle w:val="FootnoteText"/>
      </w:pPr>
      <w:r>
        <w:rPr>
          <w:rStyle w:val="FootnoteReference"/>
        </w:rPr>
        <w:footnoteRef/>
      </w:r>
      <w:r>
        <w:t xml:space="preserve"> Translation note: Greek says multitude did not do it according to writing.</w:t>
      </w:r>
    </w:p>
  </w:footnote>
  <w:footnote w:id="9223">
    <w:p>
      <w:pPr>
        <w:pStyle w:val="FootnoteText"/>
      </w:pPr>
      <w:r>
        <w:rPr>
          <w:rStyle w:val="FootnoteReference"/>
        </w:rPr>
        <w:footnoteRef/>
      </w:r>
      <w:r>
        <w:t xml:space="preserve"> Translation note: Greek says runners here, not merely posts. Current line keeps that.</w:t>
      </w:r>
    </w:p>
  </w:footnote>
  <w:footnote w:id="9224">
    <w:p>
      <w:pPr>
        <w:pStyle w:val="FootnoteText"/>
      </w:pPr>
      <w:r>
        <w:rPr>
          <w:rStyle w:val="FootnoteReference"/>
        </w:rPr>
        <w:footnoteRef/>
      </w:r>
      <w:r>
        <w:t xml:space="preserve"> Cross-references for "and he will": Isa 6:13.</w:t>
      </w:r>
    </w:p>
  </w:footnote>
  <w:footnote w:id="9225">
    <w:p>
      <w:pPr>
        <w:pStyle w:val="FootnoteText"/>
      </w:pPr>
      <w:r>
        <w:rPr>
          <w:rStyle w:val="FootnoteReference"/>
        </w:rPr>
        <w:footnoteRef/>
      </w:r>
      <w:r>
        <w:t xml:space="preserve"> Translation note: Greek keeps that imperative rather than smoothing to yield yourselves.</w:t>
      </w:r>
    </w:p>
  </w:footnote>
  <w:footnote w:id="9226">
    <w:p>
      <w:pPr>
        <w:pStyle w:val="FootnoteText"/>
      </w:pPr>
      <w:r>
        <w:rPr>
          <w:rStyle w:val="FootnoteReference"/>
        </w:rPr>
        <w:footnoteRef/>
      </w:r>
      <w:r>
        <w:t xml:space="preserve"> Cross-references for "enter into": Ps 63:2; Ps 68:24.</w:t>
      </w:r>
    </w:p>
  </w:footnote>
  <w:footnote w:id="9227">
    <w:p>
      <w:pPr>
        <w:pStyle w:val="FootnoteText"/>
      </w:pPr>
      <w:r>
        <w:rPr>
          <w:rStyle w:val="FootnoteReference"/>
        </w:rPr>
        <w:footnoteRef/>
      </w:r>
      <w:r>
        <w:t xml:space="preserve"> Cross-references for "the Lord": Exod 34:6-7; Neh 9:17.</w:t>
      </w:r>
    </w:p>
  </w:footnote>
  <w:footnote w:id="9228">
    <w:p>
      <w:pPr>
        <w:pStyle w:val="FootnoteText"/>
      </w:pPr>
      <w:r>
        <w:rPr>
          <w:rStyle w:val="FootnoteReference"/>
        </w:rPr>
        <w:footnoteRef/>
      </w:r>
      <w:r>
        <w:t xml:space="preserve"> Translation note: Greek uses that unusual in-mercies expression here.</w:t>
      </w:r>
    </w:p>
  </w:footnote>
  <w:footnote w:id="9229">
    <w:p>
      <w:pPr>
        <w:pStyle w:val="FootnoteText"/>
      </w:pPr>
      <w:r>
        <w:rPr>
          <w:rStyle w:val="FootnoteReference"/>
        </w:rPr>
        <w:footnoteRef/>
      </w:r>
      <w:r>
        <w:t xml:space="preserve"> Cross-references for "the second month": 2Chr 30:2.</w:t>
      </w:r>
    </w:p>
  </w:footnote>
  <w:footnote w:id="9230">
    <w:p>
      <w:pPr>
        <w:pStyle w:val="FootnoteText"/>
      </w:pPr>
      <w:r>
        <w:rPr>
          <w:rStyle w:val="FootnoteReference"/>
        </w:rPr>
        <w:footnoteRef/>
      </w:r>
      <w:r>
        <w:t xml:space="preserve"> Cross-references for "altars": 2Kgs 18:22; 2Kgs 23:12-13.</w:t>
      </w:r>
    </w:p>
  </w:footnote>
  <w:footnote w:id="9231">
    <w:p>
      <w:pPr>
        <w:pStyle w:val="FootnoteText"/>
      </w:pPr>
      <w:r>
        <w:rPr>
          <w:rStyle w:val="FootnoteReference"/>
        </w:rPr>
        <w:footnoteRef/>
      </w:r>
      <w:r>
        <w:t xml:space="preserve"> Translation note: Greek uses shame-language for the priests and Levites. The English keeps that sharper term rather than smoothing it to merely ashamed.</w:t>
      </w:r>
    </w:p>
  </w:footnote>
  <w:footnote w:id="9232">
    <w:p>
      <w:pPr>
        <w:pStyle w:val="FootnoteText"/>
      </w:pPr>
      <w:r>
        <w:rPr>
          <w:rStyle w:val="FootnoteReference"/>
        </w:rPr>
        <w:footnoteRef/>
      </w:r>
      <w:r>
        <w:t xml:space="preserve"> Cross-references for "and sanctified": Exod 19:10; Exod 19:22.</w:t>
      </w:r>
    </w:p>
  </w:footnote>
  <w:footnote w:id="9233">
    <w:p>
      <w:pPr>
        <w:pStyle w:val="FootnoteText"/>
      </w:pPr>
      <w:r>
        <w:rPr>
          <w:rStyle w:val="FootnoteReference"/>
        </w:rPr>
        <w:footnoteRef/>
      </w:r>
      <w:r>
        <w:t xml:space="preserve"> Cross-references for "they stood": 2Chr 35:10; 2Chr 35:15.</w:t>
      </w:r>
    </w:p>
  </w:footnote>
  <w:footnote w:id="9234">
    <w:p>
      <w:pPr>
        <w:pStyle w:val="FootnoteText"/>
      </w:pPr>
      <w:r>
        <w:rPr>
          <w:rStyle w:val="FootnoteReference"/>
        </w:rPr>
        <w:footnoteRef/>
      </w:r>
      <w:r>
        <w:t xml:space="preserve"> Translation note: Greek says contrary to writing and the Lord the good one.</w:t>
      </w:r>
    </w:p>
  </w:footnote>
  <w:footnote w:id="9235">
    <w:p>
      <w:pPr>
        <w:pStyle w:val="FootnoteText"/>
      </w:pPr>
      <w:r>
        <w:rPr>
          <w:rStyle w:val="FootnoteReference"/>
        </w:rPr>
        <w:footnoteRef/>
      </w:r>
      <w:r>
        <w:t xml:space="preserve"> Cross-references for "prayed": Gen 20:7; Gen 20:17.</w:t>
      </w:r>
    </w:p>
  </w:footnote>
  <w:footnote w:id="9236">
    <w:p>
      <w:pPr>
        <w:pStyle w:val="FootnoteText"/>
      </w:pPr>
      <w:r>
        <w:rPr>
          <w:rStyle w:val="FootnoteReference"/>
        </w:rPr>
        <w:footnoteRef/>
      </w:r>
      <w:r>
        <w:t xml:space="preserve"> Cross-references for "healed": Exod 15:26; Ps 103:3.</w:t>
      </w:r>
    </w:p>
  </w:footnote>
  <w:footnote w:id="9237">
    <w:p>
      <w:pPr>
        <w:pStyle w:val="FootnoteText"/>
      </w:pPr>
      <w:r>
        <w:rPr>
          <w:rStyle w:val="FootnoteReference"/>
        </w:rPr>
        <w:footnoteRef/>
      </w:r>
      <w:r>
        <w:t xml:space="preserve"> Cross-references for "great gladness": Deut 12:7; Deut 12:12.</w:t>
      </w:r>
    </w:p>
  </w:footnote>
  <w:footnote w:id="9238">
    <w:p>
      <w:pPr>
        <w:pStyle w:val="FootnoteText"/>
      </w:pPr>
      <w:r>
        <w:rPr>
          <w:rStyle w:val="FootnoteReference"/>
        </w:rPr>
        <w:footnoteRef/>
      </w:r>
      <w:r>
        <w:t xml:space="preserve"> Translation note: Greek says priests and Levites hymning to the Lord day by day.</w:t>
      </w:r>
    </w:p>
  </w:footnote>
  <w:footnote w:id="9239">
    <w:p>
      <w:pPr>
        <w:pStyle w:val="FootnoteText"/>
      </w:pPr>
      <w:r>
        <w:rPr>
          <w:rStyle w:val="FootnoteReference"/>
        </w:rPr>
        <w:footnoteRef/>
      </w:r>
      <w:r>
        <w:t xml:space="preserve"> Translation note: Greek says spoke to every heart of Levites.</w:t>
      </w:r>
    </w:p>
  </w:footnote>
  <w:footnote w:id="9240">
    <w:p>
      <w:pPr>
        <w:pStyle w:val="FootnoteText"/>
      </w:pPr>
      <w:r>
        <w:rPr>
          <w:rStyle w:val="FootnoteReference"/>
        </w:rPr>
        <w:footnoteRef/>
      </w:r>
      <w:r>
        <w:t xml:space="preserve"> Cross-references for "took counsel": 2Chr 30:2.</w:t>
      </w:r>
    </w:p>
  </w:footnote>
  <w:footnote w:id="9241">
    <w:p>
      <w:pPr>
        <w:pStyle w:val="FootnoteText"/>
      </w:pPr>
      <w:r>
        <w:rPr>
          <w:rStyle w:val="FootnoteReference"/>
        </w:rPr>
        <w:footnoteRef/>
      </w:r>
      <w:r>
        <w:t xml:space="preserve"> Translation note: Greek ends with many holy things for priests here.</w:t>
      </w:r>
    </w:p>
  </w:footnote>
  <w:footnote w:id="9242">
    <w:p>
      <w:pPr>
        <w:pStyle w:val="FootnoteText"/>
      </w:pPr>
      <w:r>
        <w:rPr>
          <w:rStyle w:val="FootnoteReference"/>
        </w:rPr>
        <w:footnoteRef/>
      </w:r>
      <w:r>
        <w:t xml:space="preserve"> Cross-references for "rejoiced": 1Chr 16:10-11; Ps 92:4.</w:t>
      </w:r>
    </w:p>
  </w:footnote>
  <w:footnote w:id="9243">
    <w:p>
      <w:pPr>
        <w:pStyle w:val="FootnoteText"/>
      </w:pPr>
      <w:r>
        <w:rPr>
          <w:rStyle w:val="FootnoteReference"/>
        </w:rPr>
        <w:footnoteRef/>
      </w:r>
      <w:r>
        <w:t xml:space="preserve"> Translation note: Greek says those found from Israel.</w:t>
      </w:r>
    </w:p>
  </w:footnote>
  <w:footnote w:id="9244">
    <w:p>
      <w:pPr>
        <w:pStyle w:val="FootnoteText"/>
      </w:pPr>
      <w:r>
        <w:rPr>
          <w:rStyle w:val="FootnoteReference"/>
        </w:rPr>
        <w:footnoteRef/>
      </w:r>
      <w:r>
        <w:t xml:space="preserve"> Cross-references for "their prayer": 1Kgs 8:30; 1Kgs 8:39.</w:t>
      </w:r>
    </w:p>
  </w:footnote>
  <w:footnote w:id="9245">
    <w:p>
      <w:pPr>
        <w:pStyle w:val="FootnoteText"/>
      </w:pPr>
      <w:r>
        <w:rPr>
          <w:rStyle w:val="FootnoteReference"/>
        </w:rPr>
        <w:footnoteRef/>
      </w:r>
      <w:r>
        <w:t xml:space="preserve"> Cross-references for "all Israel": 1Kgs 18:38-40; 2Kgs 23:2-20.</w:t>
      </w:r>
    </w:p>
  </w:footnote>
  <w:footnote w:id="9246">
    <w:p>
      <w:pPr>
        <w:pStyle w:val="FootnoteText"/>
      </w:pPr>
      <w:r>
        <w:rPr>
          <w:rStyle w:val="FootnoteReference"/>
        </w:rPr>
        <w:footnoteRef/>
      </w:r>
      <w:r>
        <w:t xml:space="preserve"> Translation note: Greek keeps the pillar-language here, not images.</w:t>
      </w:r>
    </w:p>
  </w:footnote>
  <w:footnote w:id="9247">
    <w:p>
      <w:pPr>
        <w:pStyle w:val="FootnoteText"/>
      </w:pPr>
      <w:r>
        <w:rPr>
          <w:rStyle w:val="FootnoteReference"/>
        </w:rPr>
        <w:footnoteRef/>
      </w:r>
      <w:r>
        <w:t xml:space="preserve"> Translation note: Greek keeps this compact phrase.</w:t>
      </w:r>
    </w:p>
  </w:footnote>
  <w:footnote w:id="9248">
    <w:p>
      <w:pPr>
        <w:pStyle w:val="FootnoteText"/>
      </w:pPr>
      <w:r>
        <w:rPr>
          <w:rStyle w:val="FootnoteReference"/>
        </w:rPr>
        <w:footnoteRef/>
      </w:r>
      <w:r>
        <w:t xml:space="preserve"> Cross-references for "that they might": Neh 13:10-13; 1Cor 9:9-14.</w:t>
      </w:r>
    </w:p>
  </w:footnote>
  <w:footnote w:id="9249">
    <w:p>
      <w:pPr>
        <w:pStyle w:val="FootnoteText"/>
      </w:pPr>
      <w:r>
        <w:rPr>
          <w:rStyle w:val="FootnoteReference"/>
        </w:rPr>
        <w:footnoteRef/>
      </w:r>
      <w:r>
        <w:t xml:space="preserve"> Translation note: Greek says sons of Israel increased firstfruits.</w:t>
      </w:r>
    </w:p>
  </w:footnote>
  <w:footnote w:id="9250">
    <w:p>
      <w:pPr>
        <w:pStyle w:val="FootnoteText"/>
      </w:pPr>
      <w:r>
        <w:rPr>
          <w:rStyle w:val="FootnoteReference"/>
        </w:rPr>
        <w:footnoteRef/>
      </w:r>
      <w:r>
        <w:t xml:space="preserve"> Cross-references for "honey": Gen 43:11.</w:t>
      </w:r>
    </w:p>
  </w:footnote>
  <w:footnote w:id="9251">
    <w:p>
      <w:pPr>
        <w:pStyle w:val="FootnoteText"/>
      </w:pPr>
      <w:r>
        <w:rPr>
          <w:rStyle w:val="FootnoteReference"/>
        </w:rPr>
        <w:footnoteRef/>
      </w:r>
      <w:r>
        <w:t xml:space="preserve"> Translation note: Greek repeats heaps for emphasis. Current wording preserves that repetition.</w:t>
      </w:r>
    </w:p>
  </w:footnote>
  <w:footnote w:id="9252">
    <w:p>
      <w:pPr>
        <w:pStyle w:val="FootnoteText"/>
      </w:pPr>
      <w:r>
        <w:rPr>
          <w:rStyle w:val="FootnoteReference"/>
        </w:rPr>
        <w:footnoteRef/>
      </w:r>
      <w:r>
        <w:t xml:space="preserve"> Cross-references for "blessed": Gen 14:20; Judg 5:9.</w:t>
      </w:r>
    </w:p>
  </w:footnote>
  <w:footnote w:id="9253">
    <w:p>
      <w:pPr>
        <w:pStyle w:val="FootnoteText"/>
      </w:pPr>
      <w:r>
        <w:rPr>
          <w:rStyle w:val="FootnoteReference"/>
        </w:rPr>
        <w:footnoteRef/>
      </w:r>
      <w:r>
        <w:t xml:space="preserve"> Cross-references for "Azariah": 1Kgs 2:35; 1Chr 6:8.</w:t>
      </w:r>
    </w:p>
  </w:footnote>
  <w:footnote w:id="9254">
    <w:p>
      <w:pPr>
        <w:pStyle w:val="FootnoteText"/>
      </w:pPr>
      <w:r>
        <w:rPr>
          <w:rStyle w:val="FootnoteReference"/>
        </w:rPr>
        <w:footnoteRef/>
      </w:r>
      <w:r>
        <w:t xml:space="preserve"> Translation note: Greek says ate and drank and left over here. Current line keeps that wording.</w:t>
      </w:r>
    </w:p>
  </w:footnote>
  <w:footnote w:id="9255">
    <w:p>
      <w:pPr>
        <w:pStyle w:val="FootnoteText"/>
      </w:pPr>
      <w:r>
        <w:rPr>
          <w:rStyle w:val="FootnoteReference"/>
        </w:rPr>
        <w:footnoteRef/>
      </w:r>
      <w:r>
        <w:t xml:space="preserve"> Transliterated proper noun: Cononiah. Standard English equivalent: Cononiah. Source form: Cononiah. Greek form: χωνενιας. Name meaning: Yahweh has established.</w:t>
      </w:r>
    </w:p>
  </w:footnote>
  <w:footnote w:id="9256">
    <w:p>
      <w:pPr>
        <w:pStyle w:val="FootnoteText"/>
      </w:pPr>
      <w:r>
        <w:rPr>
          <w:rStyle w:val="FootnoteReference"/>
        </w:rPr>
        <w:footnoteRef/>
      </w:r>
      <w:r>
        <w:t xml:space="preserve"> Personal name: Azaziah. Personal-name meaning: Azaziah — strength of the Lord. Source form: Azaziah.</w:t>
      </w:r>
    </w:p>
  </w:footnote>
  <w:footnote w:id="9257">
    <w:p>
      <w:pPr>
        <w:pStyle w:val="FootnoteText"/>
      </w:pPr>
      <w:r>
        <w:rPr>
          <w:rStyle w:val="FootnoteReference"/>
        </w:rPr>
        <w:footnoteRef/>
      </w:r>
      <w:r>
        <w:t xml:space="preserve"> Cross-references for "Azariah": 1Chr 9:11; 1Chr 24:5.</w:t>
      </w:r>
    </w:p>
  </w:footnote>
  <w:footnote w:id="9258">
    <w:p>
      <w:pPr>
        <w:pStyle w:val="FootnoteText"/>
      </w:pPr>
      <w:r>
        <w:rPr>
          <w:rStyle w:val="FootnoteReference"/>
        </w:rPr>
        <w:footnoteRef/>
      </w:r>
      <w:r>
        <w:t xml:space="preserve"> Translation note: Greek line is mainly an appointment list. Current line keeps list structure close to Greek.</w:t>
      </w:r>
    </w:p>
  </w:footnote>
  <w:footnote w:id="9259">
    <w:p>
      <w:pPr>
        <w:pStyle w:val="FootnoteText"/>
      </w:pPr>
      <w:r>
        <w:rPr>
          <w:rStyle w:val="FootnoteReference"/>
        </w:rPr>
        <w:footnoteRef/>
      </w:r>
      <w:r>
        <w:t xml:space="preserve"> Translation note: Greek says by hand of named men and priests in faithfulness.</w:t>
      </w:r>
    </w:p>
  </w:footnote>
  <w:footnote w:id="9260">
    <w:p>
      <w:pPr>
        <w:pStyle w:val="FootnoteText"/>
      </w:pPr>
      <w:r>
        <w:rPr>
          <w:rStyle w:val="FootnoteReference"/>
        </w:rPr>
        <w:footnoteRef/>
      </w:r>
      <w:r>
        <w:t xml:space="preserve"> Cross-references for "twenty": Num 4:3; Num 8:24.</w:t>
      </w:r>
    </w:p>
  </w:footnote>
  <w:footnote w:id="9261">
    <w:p>
      <w:pPr>
        <w:pStyle w:val="FootnoteText"/>
      </w:pPr>
      <w:r>
        <w:rPr>
          <w:rStyle w:val="FootnoteReference"/>
        </w:rPr>
        <w:footnoteRef/>
      </w:r>
      <w:r>
        <w:t xml:space="preserve"> Cross-references for "they sanctified": Isa 5:16; Rom 15:16.</w:t>
      </w:r>
    </w:p>
  </w:footnote>
  <w:footnote w:id="9262">
    <w:p>
      <w:pPr>
        <w:pStyle w:val="FootnoteText"/>
      </w:pPr>
      <w:r>
        <w:rPr>
          <w:rStyle w:val="FootnoteReference"/>
        </w:rPr>
        <w:footnoteRef/>
      </w:r>
      <w:r>
        <w:t xml:space="preserve"> Translation note: Greek repeats city by city and named by name in this administrative line.</w:t>
      </w:r>
    </w:p>
  </w:footnote>
  <w:footnote w:id="9263">
    <w:p>
      <w:pPr>
        <w:pStyle w:val="FootnoteText"/>
      </w:pPr>
      <w:r>
        <w:rPr>
          <w:rStyle w:val="FootnoteReference"/>
        </w:rPr>
        <w:footnoteRef/>
      </w:r>
      <w:r>
        <w:t xml:space="preserve"> Cross-references for "prospered": Josh 1:7-8; 1Chr 22:13.</w:t>
      </w:r>
    </w:p>
  </w:footnote>
  <w:footnote w:id="9264">
    <w:p>
      <w:pPr>
        <w:pStyle w:val="FootnoteText"/>
      </w:pPr>
      <w:r>
        <w:rPr>
          <w:rStyle w:val="FootnoteReference"/>
        </w:rPr>
        <w:footnoteRef/>
      </w:r>
      <w:r>
        <w:t xml:space="preserve"> Cross-references for "took counsel": 2Kgs 18:20; 2Chr 30:2.</w:t>
      </w:r>
    </w:p>
  </w:footnote>
  <w:footnote w:id="9265">
    <w:p>
      <w:pPr>
        <w:pStyle w:val="FootnoteText"/>
      </w:pPr>
      <w:r>
        <w:rPr>
          <w:rStyle w:val="FootnoteReference"/>
        </w:rPr>
        <w:footnoteRef/>
      </w:r>
      <w:r>
        <w:t xml:space="preserve"> Cross-references for "find": 1Kgs 3:9; 1Kgs 3:16-17.</w:t>
      </w:r>
    </w:p>
  </w:footnote>
  <w:footnote w:id="9266">
    <w:p>
      <w:pPr>
        <w:pStyle w:val="FootnoteText"/>
      </w:pPr>
      <w:r>
        <w:rPr>
          <w:rStyle w:val="FootnoteReference"/>
        </w:rPr>
        <w:footnoteRef/>
      </w:r>
      <w:r>
        <w:t xml:space="preserve"> Translation note: Greek strings the fortification actions together in sequence. Current wording preserves that defense-building line.</w:t>
      </w:r>
    </w:p>
  </w:footnote>
  <w:footnote w:id="9267">
    <w:p>
      <w:pPr>
        <w:pStyle w:val="FootnoteText"/>
      </w:pPr>
      <w:r>
        <w:rPr>
          <w:rStyle w:val="FootnoteReference"/>
        </w:rPr>
        <w:footnoteRef/>
      </w:r>
      <w:r>
        <w:t xml:space="preserve"> Cross-references for "strong": Deut 31:6-7; Deut 31:23.</w:t>
      </w:r>
    </w:p>
  </w:footnote>
  <w:footnote w:id="9268">
    <w:p>
      <w:pPr>
        <w:pStyle w:val="FootnoteText"/>
      </w:pPr>
      <w:r>
        <w:rPr>
          <w:rStyle w:val="FootnoteReference"/>
        </w:rPr>
        <w:footnoteRef/>
      </w:r>
      <w:r>
        <w:t xml:space="preserve"> Cross-references for "with us": 2Chr 13:12; 2Chr 14:11.</w:t>
      </w:r>
    </w:p>
  </w:footnote>
  <w:footnote w:id="9269">
    <w:p>
      <w:pPr>
        <w:pStyle w:val="FootnoteText"/>
      </w:pPr>
      <w:r>
        <w:rPr>
          <w:rStyle w:val="FootnoteReference"/>
        </w:rPr>
        <w:footnoteRef/>
      </w:r>
      <w:r>
        <w:t xml:space="preserve"> Cross-references for "Sennacherib": 2Kgs 18:17; Isa 36:2.</w:t>
      </w:r>
    </w:p>
  </w:footnote>
  <w:footnote w:id="9270">
    <w:p>
      <w:pPr>
        <w:pStyle w:val="FootnoteText"/>
      </w:pPr>
      <w:r>
        <w:rPr>
          <w:rStyle w:val="FootnoteReference"/>
        </w:rPr>
        <w:footnoteRef/>
      </w:r>
      <w:r>
        <w:t xml:space="preserve"> Translation note: Greek sets the scene a little differently here. The translation keeps that wording close.</w:t>
      </w:r>
    </w:p>
  </w:footnote>
  <w:footnote w:id="9271">
    <w:p>
      <w:pPr>
        <w:pStyle w:val="FootnoteText"/>
      </w:pPr>
      <w:r>
        <w:rPr>
          <w:rStyle w:val="FootnoteReference"/>
        </w:rPr>
        <w:footnoteRef/>
      </w:r>
      <w:r>
        <w:t xml:space="preserve"> Cross-references for "The Lord our God": 2Kgs 18:30; 2Kgs 19:10.</w:t>
      </w:r>
    </w:p>
  </w:footnote>
  <w:footnote w:id="9272">
    <w:p>
      <w:pPr>
        <w:pStyle w:val="FootnoteText"/>
      </w:pPr>
      <w:r>
        <w:rPr>
          <w:rStyle w:val="FootnoteReference"/>
        </w:rPr>
        <w:footnoteRef/>
      </w:r>
      <w:r>
        <w:t xml:space="preserve"> Cross-references for "I and my": 2Kgs 15:29; 2Kgs 17:5-6.</w:t>
      </w:r>
    </w:p>
  </w:footnote>
  <w:footnote w:id="9273">
    <w:p>
      <w:pPr>
        <w:pStyle w:val="FootnoteText"/>
      </w:pPr>
      <w:r>
        <w:rPr>
          <w:rStyle w:val="FootnoteReference"/>
        </w:rPr>
        <w:footnoteRef/>
      </w:r>
      <w:r>
        <w:t xml:space="preserve"> Cross-references for "among": Isa 10:11-12.</w:t>
      </w:r>
    </w:p>
  </w:footnote>
  <w:footnote w:id="9274">
    <w:p>
      <w:pPr>
        <w:pStyle w:val="FootnoteText"/>
      </w:pPr>
      <w:r>
        <w:rPr>
          <w:rStyle w:val="FootnoteReference"/>
        </w:rPr>
        <w:footnoteRef/>
      </w:r>
      <w:r>
        <w:t xml:space="preserve"> Cross-references for "deceive": 2Kgs 18:29; 2Kgs 19:10.</w:t>
      </w:r>
    </w:p>
  </w:footnote>
  <w:footnote w:id="9275">
    <w:p>
      <w:pPr>
        <w:pStyle w:val="FootnoteText"/>
      </w:pPr>
      <w:r>
        <w:rPr>
          <w:rStyle w:val="FootnoteReference"/>
        </w:rPr>
        <w:footnoteRef/>
      </w:r>
      <w:r>
        <w:t xml:space="preserve"> Translation note: Greek says do not believe him.</w:t>
      </w:r>
    </w:p>
  </w:footnote>
  <w:footnote w:id="9276">
    <w:p>
      <w:pPr>
        <w:pStyle w:val="FootnoteText"/>
      </w:pPr>
      <w:r>
        <w:rPr>
          <w:rStyle w:val="FootnoteReference"/>
        </w:rPr>
        <w:footnoteRef/>
      </w:r>
      <w:r>
        <w:t xml:space="preserve"> Cross-references for "against": John 15:21.</w:t>
      </w:r>
    </w:p>
  </w:footnote>
  <w:footnote w:id="9277">
    <w:p>
      <w:pPr>
        <w:pStyle w:val="FootnoteText"/>
      </w:pPr>
      <w:r>
        <w:rPr>
          <w:rStyle w:val="FootnoteReference"/>
        </w:rPr>
        <w:footnoteRef/>
      </w:r>
      <w:r>
        <w:t xml:space="preserve"> Cross-references for "he wrote": 2Kgs 19:9; 2Kgs 19:14.</w:t>
      </w:r>
    </w:p>
  </w:footnote>
  <w:footnote w:id="9278">
    <w:p>
      <w:pPr>
        <w:pStyle w:val="FootnoteText"/>
      </w:pPr>
      <w:r>
        <w:rPr>
          <w:rStyle w:val="FootnoteReference"/>
        </w:rPr>
        <w:footnoteRef/>
      </w:r>
      <w:r>
        <w:t xml:space="preserve"> Translation note: Greek keeps emphatic negation here.</w:t>
      </w:r>
    </w:p>
  </w:footnote>
  <w:footnote w:id="9279">
    <w:p>
      <w:pPr>
        <w:pStyle w:val="FootnoteText"/>
      </w:pPr>
      <w:r>
        <w:rPr>
          <w:rStyle w:val="FootnoteReference"/>
        </w:rPr>
        <w:footnoteRef/>
      </w:r>
      <w:r>
        <w:t xml:space="preserve"> Cross-references for "Hezekiah": 2Kgs 19:14-19; Isa 37:1.</w:t>
      </w:r>
    </w:p>
  </w:footnote>
  <w:footnote w:id="9280">
    <w:p>
      <w:pPr>
        <w:pStyle w:val="FootnoteText"/>
      </w:pPr>
      <w:r>
        <w:rPr>
          <w:rStyle w:val="FootnoteReference"/>
        </w:rPr>
        <w:footnoteRef/>
      </w:r>
      <w:r>
        <w:t xml:space="preserve"> Cross-references for "the Lord": 2Kgs 19:20; 2Kgs 19:35-37.</w:t>
      </w:r>
    </w:p>
  </w:footnote>
  <w:footnote w:id="9281">
    <w:p>
      <w:pPr>
        <w:pStyle w:val="FootnoteText"/>
      </w:pPr>
      <w:r>
        <w:rPr>
          <w:rStyle w:val="FootnoteReference"/>
        </w:rPr>
        <w:footnoteRef/>
      </w:r>
      <w:r>
        <w:t xml:space="preserve"> Translation note: Greek says those coming from his own belly struck him down.</w:t>
      </w:r>
    </w:p>
  </w:footnote>
  <w:footnote w:id="9282">
    <w:p>
      <w:pPr>
        <w:pStyle w:val="FootnoteText"/>
      </w:pPr>
      <w:r>
        <w:rPr>
          <w:rStyle w:val="FootnoteReference"/>
        </w:rPr>
        <w:footnoteRef/>
      </w:r>
      <w:r>
        <w:t xml:space="preserve"> Cross-references for "gifts": 2Sam 8:10-11; Ezra 7:15-22.</w:t>
      </w:r>
    </w:p>
  </w:footnote>
  <w:footnote w:id="9283">
    <w:p>
      <w:pPr>
        <w:pStyle w:val="FootnoteText"/>
      </w:pPr>
      <w:r>
        <w:rPr>
          <w:rStyle w:val="FootnoteReference"/>
        </w:rPr>
        <w:footnoteRef/>
      </w:r>
      <w:r>
        <w:t xml:space="preserve"> Cross-references for "Hezekiah": 2Kgs 20:1-3; Isa 38:1-3.</w:t>
      </w:r>
    </w:p>
  </w:footnote>
  <w:footnote w:id="9284">
    <w:p>
      <w:pPr>
        <w:pStyle w:val="FootnoteText"/>
      </w:pPr>
      <w:r>
        <w:rPr>
          <w:rStyle w:val="FootnoteReference"/>
        </w:rPr>
        <w:footnoteRef/>
      </w:r>
      <w:r>
        <w:t xml:space="preserve"> Cross-references for "his heart": Deut 8:12-14; Deut 8:17.</w:t>
      </w:r>
    </w:p>
  </w:footnote>
  <w:footnote w:id="9285">
    <w:p>
      <w:pPr>
        <w:pStyle w:val="FootnoteText"/>
      </w:pPr>
      <w:r>
        <w:rPr>
          <w:rStyle w:val="FootnoteReference"/>
        </w:rPr>
        <w:footnoteRef/>
      </w:r>
      <w:r>
        <w:t xml:space="preserve"> Cross-references for "Hezekiah": Lev 26:40-41; 2Kgs 20:19.</w:t>
      </w:r>
    </w:p>
  </w:footnote>
  <w:footnote w:id="9286">
    <w:p>
      <w:pPr>
        <w:pStyle w:val="FootnoteText"/>
      </w:pPr>
      <w:r>
        <w:rPr>
          <w:rStyle w:val="FootnoteReference"/>
        </w:rPr>
        <w:footnoteRef/>
      </w:r>
      <w:r>
        <w:t xml:space="preserve"> Cross-references for "treasuries": 1Chr 27:25-31.</w:t>
      </w:r>
    </w:p>
  </w:footnote>
  <w:footnote w:id="9287">
    <w:p>
      <w:pPr>
        <w:pStyle w:val="FootnoteText"/>
      </w:pPr>
      <w:r>
        <w:rPr>
          <w:rStyle w:val="FootnoteReference"/>
        </w:rPr>
        <w:footnoteRef/>
      </w:r>
      <w:r>
        <w:t xml:space="preserve"> Cross-references for "stalls": 1Kgs 4:26.</w:t>
      </w:r>
    </w:p>
  </w:footnote>
  <w:footnote w:id="9288">
    <w:p>
      <w:pPr>
        <w:pStyle w:val="FootnoteText"/>
      </w:pPr>
      <w:r>
        <w:rPr>
          <w:rStyle w:val="FootnoteReference"/>
        </w:rPr>
        <w:footnoteRef/>
      </w:r>
      <w:r>
        <w:t xml:space="preserve"> Cross-references for "Hezekiah": 1Kgs 1:45.</w:t>
      </w:r>
    </w:p>
  </w:footnote>
  <w:footnote w:id="9289">
    <w:p>
      <w:pPr>
        <w:pStyle w:val="FootnoteText"/>
      </w:pPr>
      <w:r>
        <w:rPr>
          <w:rStyle w:val="FootnoteReference"/>
        </w:rPr>
        <w:footnoteRef/>
      </w:r>
      <w:r>
        <w:t xml:space="preserve"> Cross-references for "left him": Judg 16:20; Ps 27:9.</w:t>
      </w:r>
    </w:p>
  </w:footnote>
  <w:footnote w:id="9290">
    <w:p>
      <w:pPr>
        <w:pStyle w:val="FootnoteText"/>
      </w:pPr>
      <w:r>
        <w:rPr>
          <w:rStyle w:val="FootnoteReference"/>
        </w:rPr>
        <w:footnoteRef/>
      </w:r>
      <w:r>
        <w:t xml:space="preserve"> Translation note: Greek says the Lord left him to test him.</w:t>
      </w:r>
    </w:p>
  </w:footnote>
  <w:footnote w:id="9291">
    <w:p>
      <w:pPr>
        <w:pStyle w:val="FootnoteText"/>
      </w:pPr>
      <w:r>
        <w:rPr>
          <w:rStyle w:val="FootnoteReference"/>
        </w:rPr>
        <w:footnoteRef/>
      </w:r>
      <w:r>
        <w:t xml:space="preserve"> Cross-references for "slept": 1Kgs 1:21; 1Kgs 2:10.</w:t>
      </w:r>
    </w:p>
  </w:footnote>
  <w:footnote w:id="9292">
    <w:p>
      <w:pPr>
        <w:pStyle w:val="FootnoteText"/>
      </w:pPr>
      <w:r>
        <w:rPr>
          <w:rStyle w:val="FootnoteReference"/>
        </w:rPr>
        <w:footnoteRef/>
      </w:r>
      <w:r>
        <w:t xml:space="preserve"> Cross-references for "Manasseh": 2Kgs 21:1-18; 1Chr 3:13.</w:t>
      </w:r>
    </w:p>
  </w:footnote>
  <w:footnote w:id="9293">
    <w:p>
      <w:pPr>
        <w:pStyle w:val="FootnoteText"/>
      </w:pPr>
      <w:r>
        <w:rPr>
          <w:rStyle w:val="FootnoteReference"/>
        </w:rPr>
        <w:footnoteRef/>
      </w:r>
      <w:r>
        <w:t xml:space="preserve"> Cross-references for "which Hezekiah": 2Kgs 18:4; 2Kgs 21:3.</w:t>
      </w:r>
    </w:p>
  </w:footnote>
  <w:footnote w:id="9294">
    <w:p>
      <w:pPr>
        <w:pStyle w:val="FootnoteText"/>
      </w:pPr>
      <w:r>
        <w:rPr>
          <w:rStyle w:val="FootnoteReference"/>
        </w:rPr>
        <w:footnoteRef/>
      </w:r>
      <w:r>
        <w:t xml:space="preserve"> Cross-references for "he built": 2Kgs 21:4-5; 2Chr 33:15.</w:t>
      </w:r>
    </w:p>
  </w:footnote>
  <w:footnote w:id="9295">
    <w:p>
      <w:pPr>
        <w:pStyle w:val="FootnoteText"/>
      </w:pPr>
      <w:r>
        <w:rPr>
          <w:rStyle w:val="FootnoteReference"/>
        </w:rPr>
        <w:footnoteRef/>
      </w:r>
      <w:r>
        <w:t xml:space="preserve"> Transliterated proper noun: Ben-Hinnom. Standard English equivalent: Hinnom. Source form: Ben-Hinnom. Greek form: εννομ. Name meaning: there they are; their riches.</w:t>
      </w:r>
    </w:p>
  </w:footnote>
  <w:footnote w:id="9296">
    <w:p>
      <w:pPr>
        <w:pStyle w:val="FootnoteText"/>
      </w:pPr>
      <w:r>
        <w:rPr>
          <w:rStyle w:val="FootnoteReference"/>
        </w:rPr>
        <w:footnoteRef/>
      </w:r>
      <w:r>
        <w:t xml:space="preserve"> Translation note: Greek says he made ventriloquists and enchanters.</w:t>
      </w:r>
    </w:p>
  </w:footnote>
  <w:footnote w:id="9297">
    <w:p>
      <w:pPr>
        <w:pStyle w:val="FootnoteText"/>
      </w:pPr>
      <w:r>
        <w:rPr>
          <w:rStyle w:val="FootnoteReference"/>
        </w:rPr>
        <w:footnoteRef/>
      </w:r>
      <w:r>
        <w:t xml:space="preserve"> Translation note: Greek uses two image terms here. The translation keeps both.</w:t>
      </w:r>
    </w:p>
  </w:footnote>
  <w:footnote w:id="9298">
    <w:p>
      <w:pPr>
        <w:pStyle w:val="FootnoteText"/>
      </w:pPr>
      <w:r>
        <w:rPr>
          <w:rStyle w:val="FootnoteReference"/>
        </w:rPr>
        <w:footnoteRef/>
      </w:r>
      <w:r>
        <w:t xml:space="preserve"> Cross-references for "in the house": 2Kgs 21:7-8; 2Kgs 23:6.</w:t>
      </w:r>
    </w:p>
  </w:footnote>
  <w:footnote w:id="9299">
    <w:p>
      <w:pPr>
        <w:pStyle w:val="FootnoteText"/>
      </w:pPr>
      <w:r>
        <w:rPr>
          <w:rStyle w:val="FootnoteReference"/>
        </w:rPr>
        <w:footnoteRef/>
      </w:r>
      <w:r>
        <w:t xml:space="preserve"> Translation note: Greek says not again add to move foot of Israel.</w:t>
      </w:r>
    </w:p>
  </w:footnote>
  <w:footnote w:id="9300">
    <w:p>
      <w:pPr>
        <w:pStyle w:val="FootnoteText"/>
      </w:pPr>
      <w:r>
        <w:rPr>
          <w:rStyle w:val="FootnoteReference"/>
        </w:rPr>
        <w:footnoteRef/>
      </w:r>
      <w:r>
        <w:t xml:space="preserve"> Cross-references for "to do all": Deut 4:40; Deut 5:1.</w:t>
      </w:r>
    </w:p>
  </w:footnote>
  <w:footnote w:id="9301">
    <w:p>
      <w:pPr>
        <w:pStyle w:val="FootnoteText"/>
      </w:pPr>
      <w:r>
        <w:rPr>
          <w:rStyle w:val="FootnoteReference"/>
        </w:rPr>
        <w:footnoteRef/>
      </w:r>
      <w:r>
        <w:t xml:space="preserve"> Cross-references for "the Lord": Deut 28:36; Job 36:8.</w:t>
      </w:r>
    </w:p>
  </w:footnote>
  <w:footnote w:id="9302">
    <w:p>
      <w:pPr>
        <w:pStyle w:val="FootnoteText"/>
      </w:pPr>
      <w:r>
        <w:rPr>
          <w:rStyle w:val="FootnoteReference"/>
        </w:rPr>
        <w:footnoteRef/>
      </w:r>
      <w:r>
        <w:t xml:space="preserve"> Cross-references for "And when": Lev 26:39-42; Deut 4:30-31.</w:t>
      </w:r>
    </w:p>
  </w:footnote>
  <w:footnote w:id="9303">
    <w:p>
      <w:pPr>
        <w:pStyle w:val="FootnoteText"/>
      </w:pPr>
      <w:r>
        <w:rPr>
          <w:rStyle w:val="FootnoteReference"/>
        </w:rPr>
        <w:footnoteRef/>
      </w:r>
      <w:r>
        <w:t xml:space="preserve"> Translation note: Greek marks Manasseh's turn with strong humility language. Current wording preserves it.</w:t>
      </w:r>
    </w:p>
  </w:footnote>
  <w:footnote w:id="9304">
    <w:p>
      <w:pPr>
        <w:pStyle w:val="FootnoteText"/>
      </w:pPr>
      <w:r>
        <w:rPr>
          <w:rStyle w:val="FootnoteReference"/>
        </w:rPr>
        <w:footnoteRef/>
      </w:r>
      <w:r>
        <w:t xml:space="preserve"> Cross-references for "knew": Deut 29:6; Ps 9:16.</w:t>
      </w:r>
    </w:p>
  </w:footnote>
  <w:footnote w:id="9305">
    <w:p>
      <w:pPr>
        <w:pStyle w:val="FootnoteText"/>
      </w:pPr>
      <w:r>
        <w:rPr>
          <w:rStyle w:val="FootnoteReference"/>
        </w:rPr>
        <w:footnoteRef/>
      </w:r>
      <w:r>
        <w:t xml:space="preserve"> Cross-references for "he built": 2Chr 32:5.</w:t>
      </w:r>
    </w:p>
  </w:footnote>
  <w:footnote w:id="9306">
    <w:p>
      <w:pPr>
        <w:pStyle w:val="FootnoteText"/>
      </w:pPr>
      <w:r>
        <w:rPr>
          <w:rStyle w:val="FootnoteReference"/>
        </w:rPr>
        <w:footnoteRef/>
      </w:r>
      <w:r>
        <w:t xml:space="preserve"> Translation note: Greek line preserves the route and topography. Current line keeps those details.</w:t>
      </w:r>
    </w:p>
  </w:footnote>
  <w:footnote w:id="9307">
    <w:p>
      <w:pPr>
        <w:pStyle w:val="FootnoteText"/>
      </w:pPr>
      <w:r>
        <w:rPr>
          <w:rStyle w:val="FootnoteReference"/>
        </w:rPr>
        <w:footnoteRef/>
      </w:r>
      <w:r>
        <w:t xml:space="preserve"> Translation note: Greek pairs salvation-sacrifice with praise here. English LXX witnesses support keeping that pair close to the source-row wording.</w:t>
      </w:r>
    </w:p>
  </w:footnote>
  <w:footnote w:id="9308">
    <w:p>
      <w:pPr>
        <w:pStyle w:val="FootnoteText"/>
      </w:pPr>
      <w:r>
        <w:rPr>
          <w:rStyle w:val="FootnoteReference"/>
        </w:rPr>
        <w:footnoteRef/>
      </w:r>
      <w:r>
        <w:t xml:space="preserve"> Translation note: Greek again uses the soterion family term. The translation keeps that wording consistent with other reviewed sacrificial passages.</w:t>
      </w:r>
    </w:p>
  </w:footnote>
  <w:footnote w:id="9309">
    <w:p>
      <w:pPr>
        <w:pStyle w:val="FootnoteText"/>
      </w:pPr>
      <w:r>
        <w:rPr>
          <w:rStyle w:val="FootnoteReference"/>
        </w:rPr>
        <w:footnoteRef/>
      </w:r>
      <w:r>
        <w:t xml:space="preserve"> Cross-references for "people": 2Chr 15:17; 2Chr 32:12.</w:t>
      </w:r>
    </w:p>
  </w:footnote>
  <w:footnote w:id="9310">
    <w:p>
      <w:pPr>
        <w:pStyle w:val="FootnoteText"/>
      </w:pPr>
      <w:r>
        <w:rPr>
          <w:rStyle w:val="FootnoteReference"/>
        </w:rPr>
        <w:footnoteRef/>
      </w:r>
      <w:r>
        <w:t xml:space="preserve"> Cross-references for "the rest": 2Chr 20:34; 2Chr 32:32.</w:t>
      </w:r>
    </w:p>
  </w:footnote>
  <w:footnote w:id="9311">
    <w:p>
      <w:pPr>
        <w:pStyle w:val="FootnoteText"/>
      </w:pPr>
      <w:r>
        <w:rPr>
          <w:rStyle w:val="FootnoteReference"/>
        </w:rPr>
        <w:footnoteRef/>
      </w:r>
      <w:r>
        <w:t xml:space="preserve"> Translation note: Greek gives a very concise archival note. The translation keeps that compact form.</w:t>
      </w:r>
    </w:p>
  </w:footnote>
  <w:footnote w:id="9312">
    <w:p>
      <w:pPr>
        <w:pStyle w:val="FootnoteText"/>
      </w:pPr>
      <w:r>
        <w:rPr>
          <w:rStyle w:val="FootnoteReference"/>
        </w:rPr>
        <w:footnoteRef/>
      </w:r>
      <w:r>
        <w:t xml:space="preserve"> Translation note: Greek says how he was heard.</w:t>
      </w:r>
    </w:p>
  </w:footnote>
  <w:footnote w:id="9313">
    <w:p>
      <w:pPr>
        <w:pStyle w:val="FootnoteText"/>
      </w:pPr>
      <w:r>
        <w:rPr>
          <w:rStyle w:val="FootnoteReference"/>
        </w:rPr>
        <w:footnoteRef/>
      </w:r>
      <w:r>
        <w:t xml:space="preserve"> Cross-references for "all his sins": 2Chr 33:1-10; Rom 5:16.</w:t>
      </w:r>
    </w:p>
  </w:footnote>
  <w:footnote w:id="9314">
    <w:p>
      <w:pPr>
        <w:pStyle w:val="FootnoteText"/>
      </w:pPr>
      <w:r>
        <w:rPr>
          <w:rStyle w:val="FootnoteReference"/>
        </w:rPr>
        <w:footnoteRef/>
      </w:r>
      <w:r>
        <w:t xml:space="preserve"> Cross-references for "Manasseh": 2Kgs 21:18; 2Chr 32:33.</w:t>
      </w:r>
    </w:p>
  </w:footnote>
  <w:footnote w:id="9315">
    <w:p>
      <w:pPr>
        <w:pStyle w:val="FootnoteText"/>
      </w:pPr>
      <w:r>
        <w:rPr>
          <w:rStyle w:val="FootnoteReference"/>
        </w:rPr>
        <w:footnoteRef/>
      </w:r>
      <w:r>
        <w:t xml:space="preserve"> Cross-references for "two years": 2Chr 33:1; Luke 12:19-20.</w:t>
      </w:r>
    </w:p>
  </w:footnote>
  <w:footnote w:id="9316">
    <w:p>
      <w:pPr>
        <w:pStyle w:val="FootnoteText"/>
      </w:pPr>
      <w:r>
        <w:rPr>
          <w:rStyle w:val="FootnoteReference"/>
        </w:rPr>
        <w:footnoteRef/>
      </w:r>
      <w:r>
        <w:t xml:space="preserve"> Cross-references for "humbled": 2Chr 33:1; 2Chr 33:12.</w:t>
      </w:r>
    </w:p>
  </w:footnote>
  <w:footnote w:id="9317">
    <w:p>
      <w:pPr>
        <w:pStyle w:val="FootnoteText"/>
      </w:pPr>
      <w:r>
        <w:rPr>
          <w:rStyle w:val="FootnoteReference"/>
        </w:rPr>
        <w:footnoteRef/>
      </w:r>
      <w:r>
        <w:t xml:space="preserve"> Cross-references for "Josiah": 2Chr 34:1.</w:t>
      </w:r>
    </w:p>
  </w:footnote>
  <w:footnote w:id="9318">
    <w:p>
      <w:pPr>
        <w:pStyle w:val="FootnoteText"/>
      </w:pPr>
      <w:r>
        <w:rPr>
          <w:rStyle w:val="FootnoteReference"/>
        </w:rPr>
        <w:footnoteRef/>
      </w:r>
      <w:r>
        <w:t xml:space="preserve"> Cross-references for "Josiah": 1Kgs 13:2; 2Kgs 22:1-20.</w:t>
      </w:r>
    </w:p>
  </w:footnote>
  <w:footnote w:id="9319">
    <w:p>
      <w:pPr>
        <w:pStyle w:val="FootnoteText"/>
      </w:pPr>
      <w:r>
        <w:rPr>
          <w:rStyle w:val="FootnoteReference"/>
        </w:rPr>
        <w:footnoteRef/>
      </w:r>
      <w:r>
        <w:t xml:space="preserve"> Cross-references for "while he": 1Chr 22:5; 1Chr 29:1.</w:t>
      </w:r>
    </w:p>
  </w:footnote>
  <w:footnote w:id="9320">
    <w:p>
      <w:pPr>
        <w:pStyle w:val="FootnoteText"/>
      </w:pPr>
      <w:r>
        <w:rPr>
          <w:rStyle w:val="FootnoteReference"/>
        </w:rPr>
        <w:footnoteRef/>
      </w:r>
      <w:r>
        <w:t xml:space="preserve"> Translation note: Greek says still young boy here.</w:t>
      </w:r>
    </w:p>
  </w:footnote>
  <w:footnote w:id="9321">
    <w:p>
      <w:pPr>
        <w:pStyle w:val="FootnoteText"/>
      </w:pPr>
      <w:r>
        <w:rPr>
          <w:rStyle w:val="FootnoteReference"/>
        </w:rPr>
        <w:footnoteRef/>
      </w:r>
      <w:r>
        <w:t xml:space="preserve"> Translation note: Greek says he crushed and ground small the images.</w:t>
      </w:r>
    </w:p>
  </w:footnote>
  <w:footnote w:id="9322">
    <w:p>
      <w:pPr>
        <w:pStyle w:val="FootnoteText"/>
      </w:pPr>
      <w:r>
        <w:rPr>
          <w:rStyle w:val="FootnoteReference"/>
        </w:rPr>
        <w:footnoteRef/>
      </w:r>
      <w:r>
        <w:t xml:space="preserve"> Cross-references for "cleansed": Num 35:33; 2Chr 34:7.</w:t>
      </w:r>
    </w:p>
  </w:footnote>
  <w:footnote w:id="9323">
    <w:p>
      <w:pPr>
        <w:pStyle w:val="FootnoteText"/>
      </w:pPr>
      <w:r>
        <w:rPr>
          <w:rStyle w:val="FootnoteReference"/>
        </w:rPr>
        <w:footnoteRef/>
      </w:r>
      <w:r>
        <w:t xml:space="preserve"> Cross-references for "he returned": 2Chr 31:1.</w:t>
      </w:r>
    </w:p>
  </w:footnote>
  <w:footnote w:id="9324">
    <w:p>
      <w:pPr>
        <w:pStyle w:val="FootnoteText"/>
      </w:pPr>
      <w:r>
        <w:rPr>
          <w:rStyle w:val="FootnoteReference"/>
        </w:rPr>
        <w:footnoteRef/>
      </w:r>
      <w:r>
        <w:t xml:space="preserve"> Cross-references for "the eighteenth": Jer 1:2-3.</w:t>
      </w:r>
    </w:p>
  </w:footnote>
  <w:footnote w:id="9325">
    <w:p>
      <w:pPr>
        <w:pStyle w:val="FootnoteText"/>
      </w:pPr>
      <w:r>
        <w:rPr>
          <w:rStyle w:val="FootnoteReference"/>
        </w:rPr>
        <w:footnoteRef/>
      </w:r>
      <w:r>
        <w:t xml:space="preserve"> Transliterated proper noun: Azelia. Standard English equivalent: Azaliah. Source form: Azelia. Greek form: εσελια. Name meaning: near the Lord.</w:t>
      </w:r>
    </w:p>
  </w:footnote>
  <w:footnote w:id="9326">
    <w:p>
      <w:pPr>
        <w:pStyle w:val="FootnoteText"/>
      </w:pPr>
      <w:r>
        <w:rPr>
          <w:rStyle w:val="FootnoteReference"/>
        </w:rPr>
        <w:footnoteRef/>
      </w:r>
      <w:r>
        <w:t xml:space="preserve"> Translation note: Greek says strengthen house here.</w:t>
      </w:r>
    </w:p>
  </w:footnote>
  <w:footnote w:id="9327">
    <w:p>
      <w:pPr>
        <w:pStyle w:val="FootnoteText"/>
      </w:pPr>
      <w:r>
        <w:rPr>
          <w:rStyle w:val="FootnoteReference"/>
        </w:rPr>
        <w:footnoteRef/>
      </w:r>
      <w:r>
        <w:t xml:space="preserve"> Cross-references for "Hilkiah": 2Kgs 22:4; 2Kgs 23:4.</w:t>
      </w:r>
    </w:p>
  </w:footnote>
  <w:footnote w:id="9328">
    <w:p>
      <w:pPr>
        <w:pStyle w:val="FootnoteText"/>
      </w:pPr>
      <w:r>
        <w:rPr>
          <w:rStyle w:val="FootnoteReference"/>
        </w:rPr>
        <w:footnoteRef/>
      </w:r>
      <w:r>
        <w:t xml:space="preserve"> Translation note: Greek says from rulers and from all remnant in Israel.</w:t>
      </w:r>
    </w:p>
  </w:footnote>
  <w:footnote w:id="9329">
    <w:p>
      <w:pPr>
        <w:pStyle w:val="FootnoteText"/>
      </w:pPr>
      <w:r>
        <w:rPr>
          <w:rStyle w:val="FootnoteReference"/>
        </w:rPr>
        <w:footnoteRef/>
      </w:r>
      <w:r>
        <w:t xml:space="preserve"> Translation note: Greek says men were faithfully upon works.</w:t>
      </w:r>
    </w:p>
  </w:footnote>
  <w:footnote w:id="9330">
    <w:p>
      <w:pPr>
        <w:pStyle w:val="FootnoteText"/>
      </w:pPr>
      <w:r>
        <w:rPr>
          <w:rStyle w:val="FootnoteReference"/>
        </w:rPr>
        <w:footnoteRef/>
      </w:r>
      <w:r>
        <w:t xml:space="preserve"> Cross-references for "faithfully": 2Kgs 12:15; 2Kgs 22:7.</w:t>
      </w:r>
    </w:p>
  </w:footnote>
  <w:footnote w:id="9331">
    <w:p>
      <w:pPr>
        <w:pStyle w:val="FootnoteText"/>
      </w:pPr>
      <w:r>
        <w:rPr>
          <w:rStyle w:val="FootnoteReference"/>
        </w:rPr>
        <w:footnoteRef/>
      </w:r>
      <w:r>
        <w:t xml:space="preserve"> Cross-references for "scribes": Ezra 7:6; Jer 8:8.</w:t>
      </w:r>
    </w:p>
  </w:footnote>
  <w:footnote w:id="9332">
    <w:p>
      <w:pPr>
        <w:pStyle w:val="FootnoteText"/>
      </w:pPr>
      <w:r>
        <w:rPr>
          <w:rStyle w:val="FootnoteReference"/>
        </w:rPr>
        <w:footnoteRef/>
      </w:r>
      <w:r>
        <w:t xml:space="preserve"> Cross-references for "Hilkiah": Deut 31:24-26; 2Kgs 22:8-20.</w:t>
      </w:r>
    </w:p>
  </w:footnote>
  <w:footnote w:id="9333">
    <w:p>
      <w:pPr>
        <w:pStyle w:val="FootnoteText"/>
      </w:pPr>
      <w:r>
        <w:rPr>
          <w:rStyle w:val="FootnoteReference"/>
        </w:rPr>
        <w:footnoteRef/>
      </w:r>
      <w:r>
        <w:t xml:space="preserve"> Cross-references for "Shaphan": 2Kgs 22:9-10; Jer 36:20-21.</w:t>
      </w:r>
    </w:p>
  </w:footnote>
  <w:footnote w:id="9334">
    <w:p>
      <w:pPr>
        <w:pStyle w:val="FootnoteText"/>
      </w:pPr>
      <w:r>
        <w:rPr>
          <w:rStyle w:val="FootnoteReference"/>
        </w:rPr>
        <w:footnoteRef/>
      </w:r>
      <w:r>
        <w:t xml:space="preserve"> Cross-references for "And Shaphan read": Deut 17:19; Josh 1:8.</w:t>
      </w:r>
    </w:p>
  </w:footnote>
  <w:footnote w:id="9335">
    <w:p>
      <w:pPr>
        <w:pStyle w:val="FootnoteText"/>
      </w:pPr>
      <w:r>
        <w:rPr>
          <w:rStyle w:val="FootnoteReference"/>
        </w:rPr>
        <w:footnoteRef/>
      </w:r>
      <w:r>
        <w:t xml:space="preserve"> Cross-references for "the words": Rom 3:20; Rom 7:7-11.</w:t>
      </w:r>
    </w:p>
  </w:footnote>
  <w:footnote w:id="9336">
    <w:p>
      <w:pPr>
        <w:pStyle w:val="FootnoteText"/>
      </w:pPr>
      <w:r>
        <w:rPr>
          <w:rStyle w:val="FootnoteReference"/>
        </w:rPr>
        <w:footnoteRef/>
      </w:r>
      <w:r>
        <w:t xml:space="preserve"> Cross-references for "Ahikam": 2Kgs 25:22; Jer 26:24.</w:t>
      </w:r>
    </w:p>
  </w:footnote>
  <w:footnote w:id="9337">
    <w:p>
      <w:pPr>
        <w:pStyle w:val="FootnoteText"/>
      </w:pPr>
      <w:r>
        <w:rPr>
          <w:rStyle w:val="FootnoteReference"/>
        </w:rPr>
        <w:footnoteRef/>
      </w:r>
      <w:r>
        <w:t xml:space="preserve"> Translation note: Greek says everyone left and wrath is kindled.</w:t>
      </w:r>
    </w:p>
  </w:footnote>
  <w:footnote w:id="9338">
    <w:p>
      <w:pPr>
        <w:pStyle w:val="FootnoteText"/>
      </w:pPr>
      <w:r>
        <w:rPr>
          <w:rStyle w:val="FootnoteReference"/>
        </w:rPr>
        <w:footnoteRef/>
      </w:r>
      <w:r>
        <w:t xml:space="preserve"> Cross-references for "the prophetess": Exod 15:20; Judg 4:4.</w:t>
      </w:r>
    </w:p>
  </w:footnote>
  <w:footnote w:id="9339">
    <w:p>
      <w:pPr>
        <w:pStyle w:val="FootnoteText"/>
      </w:pPr>
      <w:r>
        <w:rPr>
          <w:rStyle w:val="FootnoteReference"/>
        </w:rPr>
        <w:footnoteRef/>
      </w:r>
      <w:r>
        <w:t xml:space="preserve"> Translation note: Greek keeps Olda and Masena with keeper of robes wording.</w:t>
      </w:r>
    </w:p>
  </w:footnote>
  <w:footnote w:id="9340">
    <w:p>
      <w:pPr>
        <w:pStyle w:val="FootnoteText"/>
      </w:pPr>
      <w:r>
        <w:rPr>
          <w:rStyle w:val="FootnoteReference"/>
        </w:rPr>
        <w:footnoteRef/>
      </w:r>
      <w:r>
        <w:t xml:space="preserve"> Translation note: Greek says provoke me here. Current line keeps that wording.</w:t>
      </w:r>
    </w:p>
  </w:footnote>
  <w:footnote w:id="9341">
    <w:p>
      <w:pPr>
        <w:pStyle w:val="FootnoteText"/>
      </w:pPr>
      <w:r>
        <w:rPr>
          <w:rStyle w:val="FootnoteReference"/>
        </w:rPr>
        <w:footnoteRef/>
      </w:r>
      <w:r>
        <w:t xml:space="preserve"> Cross-references for "my wrath": Isa 42:25; Jer 7:20.</w:t>
      </w:r>
    </w:p>
  </w:footnote>
  <w:footnote w:id="9342">
    <w:p>
      <w:pPr>
        <w:pStyle w:val="FootnoteText"/>
      </w:pPr>
      <w:r>
        <w:rPr>
          <w:rStyle w:val="FootnoteReference"/>
        </w:rPr>
        <w:footnoteRef/>
      </w:r>
      <w:r>
        <w:t xml:space="preserve"> Translation note: Greek says heart was turned here. Current line keeps that wording.</w:t>
      </w:r>
    </w:p>
  </w:footnote>
  <w:footnote w:id="9343">
    <w:p>
      <w:pPr>
        <w:pStyle w:val="FootnoteText"/>
      </w:pPr>
      <w:r>
        <w:rPr>
          <w:rStyle w:val="FootnoteReference"/>
        </w:rPr>
        <w:footnoteRef/>
      </w:r>
      <w:r>
        <w:t xml:space="preserve"> Cross-references for "in peace": Ps 37:37.</w:t>
      </w:r>
    </w:p>
  </w:footnote>
  <w:footnote w:id="9344">
    <w:p>
      <w:pPr>
        <w:pStyle w:val="FootnoteText"/>
      </w:pPr>
      <w:r>
        <w:rPr>
          <w:rStyle w:val="FootnoteReference"/>
        </w:rPr>
        <w:footnoteRef/>
      </w:r>
      <w:r>
        <w:t xml:space="preserve"> Translation note: Greek uses added language where many English versions say gathered. The translation keeps that wording close to the Septuagint form.</w:t>
      </w:r>
    </w:p>
  </w:footnote>
  <w:footnote w:id="9345">
    <w:p>
      <w:pPr>
        <w:pStyle w:val="FootnoteText"/>
      </w:pPr>
      <w:r>
        <w:rPr>
          <w:rStyle w:val="FootnoteReference"/>
        </w:rPr>
        <w:footnoteRef/>
      </w:r>
      <w:r>
        <w:t xml:space="preserve"> Cross-references for "gathered": 2Kgs 23:1-3; 2Chr 30:2.</w:t>
      </w:r>
    </w:p>
  </w:footnote>
  <w:footnote w:id="9346">
    <w:p>
      <w:pPr>
        <w:pStyle w:val="FootnoteText"/>
      </w:pPr>
      <w:r>
        <w:rPr>
          <w:rStyle w:val="FootnoteReference"/>
        </w:rPr>
        <w:footnoteRef/>
      </w:r>
      <w:r>
        <w:t xml:space="preserve"> Translation note: Greek says he read in their ears all words of book of covenant.</w:t>
      </w:r>
    </w:p>
  </w:footnote>
  <w:footnote w:id="9347">
    <w:p>
      <w:pPr>
        <w:pStyle w:val="FootnoteText"/>
      </w:pPr>
      <w:r>
        <w:rPr>
          <w:rStyle w:val="FootnoteReference"/>
        </w:rPr>
        <w:footnoteRef/>
      </w:r>
      <w:r>
        <w:t xml:space="preserve"> Cross-references for "he read": Deut 17:18-20; 2Chr 6:1-11.</w:t>
      </w:r>
    </w:p>
  </w:footnote>
  <w:footnote w:id="9348">
    <w:p>
      <w:pPr>
        <w:pStyle w:val="FootnoteText"/>
      </w:pPr>
      <w:r>
        <w:rPr>
          <w:rStyle w:val="FootnoteReference"/>
        </w:rPr>
        <w:footnoteRef/>
      </w:r>
      <w:r>
        <w:t xml:space="preserve"> Translation note: Greek states the covenant-making line directly and then links it with walking before the Lord. Current wording preserves that reform formula.</w:t>
      </w:r>
    </w:p>
  </w:footnote>
  <w:footnote w:id="9349">
    <w:p>
      <w:pPr>
        <w:pStyle w:val="FootnoteText"/>
      </w:pPr>
      <w:r>
        <w:rPr>
          <w:rStyle w:val="FootnoteReference"/>
        </w:rPr>
        <w:footnoteRef/>
      </w:r>
      <w:r>
        <w:t xml:space="preserve"> Cross-references for "and his testimonies": Ps 119:111-112.</w:t>
      </w:r>
    </w:p>
  </w:footnote>
  <w:footnote w:id="9350">
    <w:p>
      <w:pPr>
        <w:pStyle w:val="FootnoteText"/>
      </w:pPr>
      <w:r>
        <w:rPr>
          <w:rStyle w:val="FootnoteReference"/>
        </w:rPr>
        <w:footnoteRef/>
      </w:r>
      <w:r>
        <w:t xml:space="preserve"> Cross-references for "All his days": Josh 24:31; Jer 3:10.</w:t>
      </w:r>
    </w:p>
  </w:footnote>
  <w:footnote w:id="9351">
    <w:p>
      <w:pPr>
        <w:pStyle w:val="FootnoteText"/>
      </w:pPr>
      <w:r>
        <w:rPr>
          <w:rStyle w:val="FootnoteReference"/>
        </w:rPr>
        <w:footnoteRef/>
      </w:r>
      <w:r>
        <w:t xml:space="preserve"> Translation note: Greek says made all found in Jerusalem and in Israel serve.</w:t>
      </w:r>
    </w:p>
  </w:footnote>
  <w:footnote w:id="9352">
    <w:p>
      <w:pPr>
        <w:pStyle w:val="FootnoteText"/>
      </w:pPr>
      <w:r>
        <w:rPr>
          <w:rStyle w:val="FootnoteReference"/>
        </w:rPr>
        <w:footnoteRef/>
      </w:r>
      <w:r>
        <w:t xml:space="preserve"> Cross-references for "Josiah": 2Kgs 23:21-23; 2Chr 30:1-27.</w:t>
      </w:r>
    </w:p>
  </w:footnote>
  <w:footnote w:id="9353">
    <w:p>
      <w:pPr>
        <w:pStyle w:val="FootnoteText"/>
      </w:pPr>
      <w:r>
        <w:rPr>
          <w:rStyle w:val="FootnoteReference"/>
        </w:rPr>
        <w:footnoteRef/>
      </w:r>
      <w:r>
        <w:t xml:space="preserve"> Cross-references for "charges": Num 18:5-7; 1Chr 24:1-31.</w:t>
      </w:r>
    </w:p>
  </w:footnote>
  <w:footnote w:id="9354">
    <w:p>
      <w:pPr>
        <w:pStyle w:val="FootnoteText"/>
      </w:pPr>
      <w:r>
        <w:rPr>
          <w:rStyle w:val="FootnoteReference"/>
        </w:rPr>
        <w:footnoteRef/>
      </w:r>
      <w:r>
        <w:t xml:space="preserve"> Cross-references for "the Levites": Deut 33:10; 2Chr 17:8-9.</w:t>
      </w:r>
    </w:p>
  </w:footnote>
  <w:footnote w:id="9355">
    <w:p>
      <w:pPr>
        <w:pStyle w:val="FootnoteText"/>
      </w:pPr>
      <w:r>
        <w:rPr>
          <w:rStyle w:val="FootnoteReference"/>
        </w:rPr>
        <w:footnoteRef/>
      </w:r>
      <w:r>
        <w:t xml:space="preserve"> Translation note: Greek says it is not for you to carry anything on shoulders.</w:t>
      </w:r>
    </w:p>
  </w:footnote>
  <w:footnote w:id="9356">
    <w:p>
      <w:pPr>
        <w:pStyle w:val="FootnoteText"/>
      </w:pPr>
      <w:r>
        <w:rPr>
          <w:rStyle w:val="FootnoteReference"/>
        </w:rPr>
        <w:footnoteRef/>
      </w:r>
      <w:r>
        <w:t xml:space="preserve"> Translation note: Greek says You are not to carry anything on your shoulders.</w:t>
      </w:r>
    </w:p>
  </w:footnote>
  <w:footnote w:id="9357">
    <w:p>
      <w:pPr>
        <w:pStyle w:val="FootnoteText"/>
      </w:pPr>
      <w:r>
        <w:rPr>
          <w:rStyle w:val="FootnoteReference"/>
        </w:rPr>
        <w:footnoteRef/>
      </w:r>
      <w:r>
        <w:t xml:space="preserve"> Translation note: Greek says not for you to carry anything on shoulders.</w:t>
      </w:r>
    </w:p>
  </w:footnote>
  <w:footnote w:id="9358">
    <w:p>
      <w:pPr>
        <w:pStyle w:val="FootnoteText"/>
      </w:pPr>
      <w:r>
        <w:rPr>
          <w:rStyle w:val="FootnoteReference"/>
        </w:rPr>
        <w:footnoteRef/>
      </w:r>
      <w:r>
        <w:t xml:space="preserve"> Translation note: Greek states direct carrying prohibition here.</w:t>
      </w:r>
    </w:p>
  </w:footnote>
  <w:footnote w:id="9359">
    <w:p>
      <w:pPr>
        <w:pStyle w:val="FootnoteText"/>
      </w:pPr>
      <w:r>
        <w:rPr>
          <w:rStyle w:val="FootnoteReference"/>
        </w:rPr>
        <w:footnoteRef/>
      </w:r>
      <w:r>
        <w:t xml:space="preserve"> Translation note: The line is kept close to the Greek wording rather than paraphrased into a burden formula. The point is that shoulder-carrying is no longer their task in this setting.</w:t>
      </w:r>
    </w:p>
  </w:footnote>
  <w:footnote w:id="9360">
    <w:p>
      <w:pPr>
        <w:pStyle w:val="FootnoteText"/>
      </w:pPr>
      <w:r>
        <w:rPr>
          <w:rStyle w:val="FootnoteReference"/>
        </w:rPr>
        <w:footnoteRef/>
      </w:r>
      <w:r>
        <w:t xml:space="preserve"> Cross-references for "the houses": 1Chr 9:10-34; Neh 11:10-20.</w:t>
      </w:r>
    </w:p>
  </w:footnote>
  <w:footnote w:id="9361">
    <w:p>
      <w:pPr>
        <w:pStyle w:val="FootnoteText"/>
      </w:pPr>
      <w:r>
        <w:rPr>
          <w:rStyle w:val="FootnoteReference"/>
        </w:rPr>
        <w:footnoteRef/>
      </w:r>
      <w:r>
        <w:t xml:space="preserve"> Cross-references for "And stand": Ps 134:1; Ps 135:2.</w:t>
      </w:r>
    </w:p>
  </w:footnote>
  <w:footnote w:id="9362">
    <w:p>
      <w:pPr>
        <w:pStyle w:val="FootnoteText"/>
      </w:pPr>
      <w:r>
        <w:rPr>
          <w:rStyle w:val="FootnoteReference"/>
        </w:rPr>
        <w:footnoteRef/>
      </w:r>
      <w:r>
        <w:t xml:space="preserve"> Cross-references for "Josiah": 2Chr 7:8-10; 2Chr 30:24.</w:t>
      </w:r>
    </w:p>
  </w:footnote>
  <w:footnote w:id="9363">
    <w:p>
      <w:pPr>
        <w:pStyle w:val="FootnoteText"/>
      </w:pPr>
      <w:r>
        <w:rPr>
          <w:rStyle w:val="FootnoteReference"/>
        </w:rPr>
        <w:footnoteRef/>
      </w:r>
      <w:r>
        <w:t xml:space="preserve"> Translation note: Greek gives this giving formula here.</w:t>
      </w:r>
    </w:p>
  </w:footnote>
  <w:footnote w:id="9364">
    <w:p>
      <w:pPr>
        <w:pStyle w:val="FootnoteText"/>
      </w:pPr>
      <w:r>
        <w:rPr>
          <w:rStyle w:val="FootnoteReference"/>
        </w:rPr>
        <w:footnoteRef/>
      </w:r>
      <w:r>
        <w:t xml:space="preserve"> Cross-references for "Hilkiah": 2Chr 34:14-20.</w:t>
      </w:r>
    </w:p>
  </w:footnote>
  <w:footnote w:id="9365">
    <w:p>
      <w:pPr>
        <w:pStyle w:val="FootnoteText"/>
      </w:pPr>
      <w:r>
        <w:rPr>
          <w:rStyle w:val="FootnoteReference"/>
        </w:rPr>
        <w:footnoteRef/>
      </w:r>
      <w:r>
        <w:t xml:space="preserve"> Translation note: Greek says contributed and names sheep and calves.</w:t>
      </w:r>
    </w:p>
  </w:footnote>
  <w:footnote w:id="9366">
    <w:p>
      <w:pPr>
        <w:pStyle w:val="FootnoteText"/>
      </w:pPr>
      <w:r>
        <w:rPr>
          <w:rStyle w:val="FootnoteReference"/>
        </w:rPr>
        <w:footnoteRef/>
      </w:r>
      <w:r>
        <w:t xml:space="preserve"> Cross-references for "flayed them": 2Chr 29:34.</w:t>
      </w:r>
    </w:p>
  </w:footnote>
  <w:footnote w:id="9367">
    <w:p>
      <w:pPr>
        <w:pStyle w:val="FootnoteText"/>
      </w:pPr>
      <w:r>
        <w:rPr>
          <w:rStyle w:val="FootnoteReference"/>
        </w:rPr>
        <w:footnoteRef/>
      </w:r>
      <w:r>
        <w:t xml:space="preserve"> Cross-references for "roasted": Exod 12:8-9; Deut 16:7.</w:t>
      </w:r>
    </w:p>
  </w:footnote>
  <w:footnote w:id="9368">
    <w:p>
      <w:pPr>
        <w:pStyle w:val="FootnoteText"/>
      </w:pPr>
      <w:r>
        <w:rPr>
          <w:rStyle w:val="FootnoteReference"/>
        </w:rPr>
        <w:footnoteRef/>
      </w:r>
      <w:r>
        <w:t xml:space="preserve"> Translation note: Greek line uses service/offer wording here. Current line keeps that sequence.</w:t>
      </w:r>
    </w:p>
  </w:footnote>
  <w:footnote w:id="9369">
    <w:p>
      <w:pPr>
        <w:pStyle w:val="FootnoteText"/>
      </w:pPr>
      <w:r>
        <w:rPr>
          <w:rStyle w:val="FootnoteReference"/>
        </w:rPr>
        <w:footnoteRef/>
      </w:r>
      <w:r>
        <w:t xml:space="preserve"> Translation note: Greek keeps odd gate repetition here.</w:t>
      </w:r>
    </w:p>
  </w:footnote>
  <w:footnote w:id="9370">
    <w:p>
      <w:pPr>
        <w:pStyle w:val="FootnoteText"/>
      </w:pPr>
      <w:r>
        <w:rPr>
          <w:rStyle w:val="FootnoteReference"/>
        </w:rPr>
        <w:footnoteRef/>
      </w:r>
      <w:r>
        <w:t xml:space="preserve"> Translation note: Greek uses a paired set-right and prepared formula. Current wording preserves both verbs.</w:t>
      </w:r>
    </w:p>
  </w:footnote>
  <w:footnote w:id="9371">
    <w:p>
      <w:pPr>
        <w:pStyle w:val="FootnoteText"/>
      </w:pPr>
      <w:r>
        <w:rPr>
          <w:rStyle w:val="FootnoteReference"/>
        </w:rPr>
        <w:footnoteRef/>
      </w:r>
      <w:r>
        <w:t xml:space="preserve"> Translation note: Greek says no Passover like it came to be in Israel.</w:t>
      </w:r>
    </w:p>
  </w:footnote>
  <w:footnote w:id="9372">
    <w:p>
      <w:pPr>
        <w:pStyle w:val="FootnoteText"/>
      </w:pPr>
      <w:r>
        <w:rPr>
          <w:rStyle w:val="FootnoteReference"/>
        </w:rPr>
        <w:footnoteRef/>
      </w:r>
      <w:r>
        <w:t xml:space="preserve"> Translation note: Greek gives a terse dating line here. Current wording preserves that compact historical notice.</w:t>
      </w:r>
    </w:p>
  </w:footnote>
  <w:footnote w:id="9373">
    <w:p>
      <w:pPr>
        <w:pStyle w:val="FootnoteText"/>
      </w:pPr>
      <w:r>
        <w:rPr>
          <w:rStyle w:val="FootnoteReference"/>
        </w:rPr>
        <w:footnoteRef/>
      </w:r>
      <w:r>
        <w:t xml:space="preserve"> Cross-references for "Necho": 2Kgs 23:29-30; Jer 46:2-12.</w:t>
      </w:r>
    </w:p>
  </w:footnote>
  <w:footnote w:id="9374">
    <w:p>
      <w:pPr>
        <w:pStyle w:val="FootnoteText"/>
      </w:pPr>
      <w:r>
        <w:rPr>
          <w:rStyle w:val="FootnoteReference"/>
        </w:rPr>
        <w:footnoteRef/>
      </w:r>
      <w:r>
        <w:t xml:space="preserve"> Translation note: Greek keeps direct said-to-hurry wording.</w:t>
      </w:r>
    </w:p>
  </w:footnote>
  <w:footnote w:id="9375">
    <w:p>
      <w:pPr>
        <w:pStyle w:val="FootnoteText"/>
      </w:pPr>
      <w:r>
        <w:rPr>
          <w:rStyle w:val="FootnoteReference"/>
        </w:rPr>
        <w:footnoteRef/>
      </w:r>
      <w:r>
        <w:t xml:space="preserve"> Translation note: Greek says strengthened himself to fight him.</w:t>
      </w:r>
    </w:p>
  </w:footnote>
  <w:footnote w:id="9376">
    <w:p>
      <w:pPr>
        <w:pStyle w:val="FootnoteText"/>
      </w:pPr>
      <w:r>
        <w:rPr>
          <w:rStyle w:val="FootnoteReference"/>
        </w:rPr>
        <w:footnoteRef/>
      </w:r>
      <w:r>
        <w:t xml:space="preserve"> Cross-references for "the mouth": Josh 9:14; 2Chr 18:4-6.</w:t>
      </w:r>
    </w:p>
  </w:footnote>
  <w:footnote w:id="9377">
    <w:p>
      <w:pPr>
        <w:pStyle w:val="FootnoteText"/>
      </w:pPr>
      <w:r>
        <w:rPr>
          <w:rStyle w:val="FootnoteReference"/>
        </w:rPr>
        <w:footnoteRef/>
      </w:r>
      <w:r>
        <w:t xml:space="preserve"> Cross-references for "wounded": 1Kgs 22:34; 2Kgs 8:29.</w:t>
      </w:r>
    </w:p>
  </w:footnote>
  <w:footnote w:id="9378">
    <w:p>
      <w:pPr>
        <w:pStyle w:val="FootnoteText"/>
      </w:pPr>
      <w:r>
        <w:rPr>
          <w:rStyle w:val="FootnoteReference"/>
        </w:rPr>
        <w:footnoteRef/>
      </w:r>
      <w:r>
        <w:t xml:space="preserve"> Cross-references for "died": Ps 36:6; Eccl 8:14.</w:t>
      </w:r>
    </w:p>
  </w:footnote>
  <w:footnote w:id="9379">
    <w:p>
      <w:pPr>
        <w:pStyle w:val="FootnoteText"/>
      </w:pPr>
      <w:r>
        <w:rPr>
          <w:rStyle w:val="FootnoteReference"/>
        </w:rPr>
        <w:footnoteRef/>
      </w:r>
      <w:r>
        <w:t xml:space="preserve"> Translation note: Greek says buried with his fathers.</w:t>
      </w:r>
    </w:p>
  </w:footnote>
  <w:footnote w:id="9380">
    <w:p>
      <w:pPr>
        <w:pStyle w:val="FootnoteText"/>
      </w:pPr>
      <w:r>
        <w:rPr>
          <w:rStyle w:val="FootnoteReference"/>
        </w:rPr>
        <w:footnoteRef/>
      </w:r>
      <w:r>
        <w:t xml:space="preserve"> Cross-references for "Jeremiah": Jer 22:10; Lam 4:20.</w:t>
      </w:r>
    </w:p>
  </w:footnote>
  <w:footnote w:id="9381">
    <w:p>
      <w:pPr>
        <w:pStyle w:val="FootnoteText"/>
      </w:pPr>
      <w:r>
        <w:rPr>
          <w:rStyle w:val="FootnoteReference"/>
        </w:rPr>
        <w:footnoteRef/>
      </w:r>
      <w:r>
        <w:t xml:space="preserve"> Translation note: The Greek names rulers and ruling women rather than singers. The translation follows the Septuagint line instead of importing the Hebrew lament-singer wording.</w:t>
      </w:r>
    </w:p>
  </w:footnote>
  <w:footnote w:id="9382">
    <w:p>
      <w:pPr>
        <w:pStyle w:val="FootnoteText"/>
      </w:pPr>
      <w:r>
        <w:rPr>
          <w:rStyle w:val="FootnoteReference"/>
        </w:rPr>
        <w:footnoteRef/>
      </w:r>
      <w:r>
        <w:t xml:space="preserve"> Cross-references for "Jehoahaz": 2Kgs 23:31-34; 1Chr 3:15.</w:t>
      </w:r>
    </w:p>
  </w:footnote>
  <w:footnote w:id="9383">
    <w:p>
      <w:pPr>
        <w:pStyle w:val="FootnoteText"/>
      </w:pPr>
      <w:r>
        <w:rPr>
          <w:rStyle w:val="FootnoteReference"/>
        </w:rPr>
        <w:footnoteRef/>
      </w:r>
      <w:r>
        <w:t xml:space="preserve"> Cross-references for "made Eliakim": 2Kgs 23:34-35; 1Chr 3:15.</w:t>
      </w:r>
    </w:p>
  </w:footnote>
  <w:footnote w:id="9384">
    <w:p>
      <w:pPr>
        <w:pStyle w:val="FootnoteText"/>
      </w:pPr>
      <w:r>
        <w:rPr>
          <w:rStyle w:val="FootnoteReference"/>
        </w:rPr>
        <w:footnoteRef/>
      </w:r>
      <w:r>
        <w:t xml:space="preserve"> Name meaning: Jehoiakim (Yehoyaqim) — Yahweh raises up. Judahite king raised by Egypt but judged for resisting Jeremiah's word.</w:t>
      </w:r>
    </w:p>
  </w:footnote>
  <w:footnote w:id="9385">
    <w:p>
      <w:pPr>
        <w:pStyle w:val="FootnoteText"/>
      </w:pPr>
      <w:r>
        <w:rPr>
          <w:rStyle w:val="FootnoteReference"/>
        </w:rPr>
        <w:footnoteRef/>
      </w:r>
      <w:r>
        <w:t xml:space="preserve"> Cross-references for "Jehoiakim": 2Kgs 23:36-37; Jer 22:13-19.</w:t>
      </w:r>
    </w:p>
  </w:footnote>
  <w:footnote w:id="9386">
    <w:p>
      <w:pPr>
        <w:pStyle w:val="FootnoteText"/>
      </w:pPr>
      <w:r>
        <w:rPr>
          <w:rStyle w:val="FootnoteReference"/>
        </w:rPr>
        <w:footnoteRef/>
      </w:r>
      <w:r>
        <w:t xml:space="preserve"> Transliterated proper noun: Amman. Standard English equivalent: Ammon. Source form: Amman. Greek form: αμμων. Name meaning: a people; the son of my people.</w:t>
      </w:r>
    </w:p>
  </w:footnote>
  <w:footnote w:id="9387">
    <w:p>
      <w:pPr>
        <w:pStyle w:val="FootnoteText"/>
      </w:pPr>
      <w:r>
        <w:rPr>
          <w:rStyle w:val="FootnoteReference"/>
        </w:rPr>
        <w:footnoteRef/>
      </w:r>
      <w:r>
        <w:t xml:space="preserve"> Translation note: Greek keeps this mother-name tradition here. Current line follows it.</w:t>
      </w:r>
    </w:p>
  </w:footnote>
  <w:footnote w:id="9388">
    <w:p>
      <w:pPr>
        <w:pStyle w:val="FootnoteText"/>
      </w:pPr>
      <w:r>
        <w:rPr>
          <w:rStyle w:val="FootnoteReference"/>
        </w:rPr>
        <w:footnoteRef/>
      </w:r>
      <w:r>
        <w:t xml:space="preserve"> Cross-references for "came up": 2Kgs 24:1-2; 2Kgs 24:5-6.</w:t>
      </w:r>
    </w:p>
  </w:footnote>
  <w:footnote w:id="9389">
    <w:p>
      <w:pPr>
        <w:pStyle w:val="FootnoteText"/>
      </w:pPr>
      <w:r>
        <w:rPr>
          <w:rStyle w:val="FootnoteReference"/>
        </w:rPr>
        <w:footnoteRef/>
      </w:r>
      <w:r>
        <w:t xml:space="preserve"> Cross-references for "written": 2Kgs 24:5-6.</w:t>
      </w:r>
    </w:p>
  </w:footnote>
  <w:footnote w:id="9390">
    <w:p>
      <w:pPr>
        <w:pStyle w:val="FootnoteText"/>
      </w:pPr>
      <w:r>
        <w:rPr>
          <w:rStyle w:val="FootnoteReference"/>
        </w:rPr>
        <w:footnoteRef/>
      </w:r>
      <w:r>
        <w:t xml:space="preserve"> Translation note: Greek says buried in Ganoza with his fathers.</w:t>
      </w:r>
    </w:p>
  </w:footnote>
  <w:footnote w:id="9391">
    <w:p>
      <w:pPr>
        <w:pStyle w:val="FootnoteText"/>
      </w:pPr>
      <w:r>
        <w:rPr>
          <w:rStyle w:val="FootnoteReference"/>
        </w:rPr>
        <w:footnoteRef/>
      </w:r>
      <w:r>
        <w:t xml:space="preserve"> Cross-references for "Zedekiah": 2Kgs 24:17; 1Chr 3:15-16.</w:t>
      </w:r>
    </w:p>
  </w:footnote>
  <w:footnote w:id="9392">
    <w:p>
      <w:pPr>
        <w:pStyle w:val="FootnoteText"/>
      </w:pPr>
      <w:r>
        <w:rPr>
          <w:rStyle w:val="FootnoteReference"/>
        </w:rPr>
        <w:footnoteRef/>
      </w:r>
      <w:r>
        <w:t xml:space="preserve"> Cross-references for "before Jeremiah": Jer 21:1-10; Jer 27:12-22.</w:t>
      </w:r>
    </w:p>
  </w:footnote>
  <w:footnote w:id="9393">
    <w:p>
      <w:pPr>
        <w:pStyle w:val="FootnoteText"/>
      </w:pPr>
      <w:r>
        <w:rPr>
          <w:rStyle w:val="FootnoteReference"/>
        </w:rPr>
        <w:footnoteRef/>
      </w:r>
      <w:r>
        <w:t xml:space="preserve"> Cross-references for "hardened": Exod 8:15; Exod 8:32.</w:t>
      </w:r>
    </w:p>
  </w:footnote>
  <w:footnote w:id="9394">
    <w:p>
      <w:pPr>
        <w:pStyle w:val="FootnoteText"/>
      </w:pPr>
      <w:r>
        <w:rPr>
          <w:rStyle w:val="FootnoteReference"/>
        </w:rPr>
        <w:footnoteRef/>
      </w:r>
      <w:r>
        <w:t xml:space="preserve"> Cross-references for "the Lord": 2Kgs 17:13; 2Chr 24:18-21.</w:t>
      </w:r>
    </w:p>
  </w:footnote>
  <w:footnote w:id="9395">
    <w:p>
      <w:pPr>
        <w:pStyle w:val="FootnoteText"/>
      </w:pPr>
      <w:r>
        <w:rPr>
          <w:rStyle w:val="FootnoteReference"/>
        </w:rPr>
        <w:footnoteRef/>
      </w:r>
      <w:r>
        <w:t xml:space="preserve"> Cross-references for "the wrath": Ps 74:1; Ps 79:1-5.</w:t>
      </w:r>
    </w:p>
  </w:footnote>
  <w:footnote w:id="9396">
    <w:p>
      <w:pPr>
        <w:pStyle w:val="FootnoteText"/>
      </w:pPr>
      <w:r>
        <w:rPr>
          <w:rStyle w:val="FootnoteReference"/>
        </w:rPr>
        <w:footnoteRef/>
      </w:r>
      <w:r>
        <w:t xml:space="preserve"> Cross-references for "he brought": Deut 28:49; 2Kgs 24:2-3.</w:t>
      </w:r>
    </w:p>
  </w:footnote>
  <w:footnote w:id="9397">
    <w:p>
      <w:pPr>
        <w:pStyle w:val="FootnoteText"/>
      </w:pPr>
      <w:r>
        <w:rPr>
          <w:rStyle w:val="FootnoteReference"/>
        </w:rPr>
        <w:footnoteRef/>
      </w:r>
      <w:r>
        <w:t xml:space="preserve"> Cross-references for "treasures": 2Kgs 20:13-17; Isa 39:6.</w:t>
      </w:r>
    </w:p>
  </w:footnote>
  <w:footnote w:id="9398">
    <w:p>
      <w:pPr>
        <w:pStyle w:val="FootnoteText"/>
      </w:pPr>
      <w:r>
        <w:rPr>
          <w:rStyle w:val="FootnoteReference"/>
        </w:rPr>
        <w:footnoteRef/>
      </w:r>
      <w:r>
        <w:t xml:space="preserve"> Cross-references for "they were servants": Deut 28:47-48; Jer 27:7.</w:t>
      </w:r>
    </w:p>
  </w:footnote>
  <w:footnote w:id="9399">
    <w:p>
      <w:pPr>
        <w:pStyle w:val="FootnoteText"/>
      </w:pPr>
      <w:r>
        <w:rPr>
          <w:rStyle w:val="FootnoteReference"/>
        </w:rPr>
        <w:footnoteRef/>
      </w:r>
      <w:r>
        <w:t xml:space="preserve"> Cross-references for "In the first": Ezra 1:1-3.</w:t>
      </w:r>
    </w:p>
  </w:footnote>
  <w:footnote w:id="9400">
    <w:p>
      <w:pPr>
        <w:pStyle w:val="FootnoteText"/>
      </w:pPr>
      <w:r>
        <w:rPr>
          <w:rStyle w:val="FootnoteReference"/>
        </w:rPr>
        <w:footnoteRef/>
      </w:r>
      <w:r>
        <w:t xml:space="preserve"> Name meaning: Cyrus (Koresh) — Persian royal name; meaning debated. Persian king named in restoration promises and used to return Judah from exile.</w:t>
      </w:r>
    </w:p>
  </w:footnote>
  <w:footnote w:id="9401">
    <w:p>
      <w:pPr>
        <w:pStyle w:val="FootnoteText"/>
      </w:pPr>
      <w:r>
        <w:rPr>
          <w:rStyle w:val="FootnoteReference"/>
        </w:rPr>
        <w:footnoteRef/>
      </w:r>
      <w:r>
        <w:t xml:space="preserve"> People-name: Persians. People-name meaning: Persians — that cuts or divides; a nail; a gryphon; a horseman. Source form: Persians.</w:t>
      </w:r>
    </w:p>
  </w:footnote>
  <w:footnote w:id="9402">
    <w:p>
      <w:pPr>
        <w:pStyle w:val="FootnoteText"/>
      </w:pPr>
      <w:r>
        <w:rPr>
          <w:rStyle w:val="FootnoteReference"/>
        </w:rPr>
        <w:footnoteRef/>
      </w:r>
      <w:r>
        <w:t xml:space="preserve"> Translation note: Greek doubles proclamation language here.</w:t>
      </w:r>
    </w:p>
  </w:footnote>
  <w:footnote w:id="9403">
    <w:p>
      <w:pPr>
        <w:pStyle w:val="FootnoteText"/>
      </w:pPr>
      <w:r>
        <w:rPr>
          <w:rStyle w:val="FootnoteReference"/>
        </w:rPr>
        <w:footnoteRef/>
      </w:r>
      <w:r>
        <w:t xml:space="preserve"> Cross-references for "the Lord": Ezra 5:13-15; Ezra 6:22.</w:t>
      </w:r>
    </w:p>
  </w:footnote>
  <w:footnote w:id="9404">
    <w:p>
      <w:pPr>
        <w:pStyle w:val="FootnoteText"/>
      </w:pPr>
      <w:r>
        <w:rPr>
          <w:rStyle w:val="FootnoteReference"/>
        </w:rPr>
        <w:footnoteRef/>
      </w:r>
      <w:r>
        <w:t xml:space="preserve"> Translation note: The Greek uses the stirred-spirit formula directly. The current wording preserves that wording.</w:t>
      </w:r>
    </w:p>
  </w:footnote>
  <w:footnote w:id="9405">
    <w:p>
      <w:pPr>
        <w:pStyle w:val="FootnoteText"/>
      </w:pPr>
      <w:r>
        <w:rPr>
          <w:rStyle w:val="FootnoteReference"/>
        </w:rPr>
        <w:footnoteRef/>
      </w:r>
      <w:r>
        <w:t xml:space="preserve"> Cross-references for "Lord God": 1Kgs 8:27; 2Chr 2:12.</w:t>
      </w:r>
    </w:p>
  </w:footnote>
  <w:footnote w:id="9406">
    <w:p>
      <w:pPr>
        <w:pStyle w:val="FootnoteText"/>
      </w:pPr>
      <w:r>
        <w:rPr>
          <w:rStyle w:val="FootnoteReference"/>
        </w:rPr>
        <w:footnoteRef/>
      </w:r>
      <w:r>
        <w:t xml:space="preserve"> Cross-references for "his God": Josh 1:9; 1Chr 28:20.</w:t>
      </w:r>
    </w:p>
  </w:footnote>
  <w:footnote w:id="9407">
    <w:p>
      <w:pPr>
        <w:pStyle w:val="FootnoteText"/>
      </w:pPr>
      <w:r>
        <w:rPr>
          <w:rStyle w:val="FootnoteReference"/>
        </w:rPr>
        <w:footnoteRef/>
      </w:r>
      <w:r>
        <w:t xml:space="preserve"> Translation note: Greek closes with a short identifying clause. Current wording keeps it direct.</w:t>
      </w:r>
    </w:p>
  </w:footnote>
  <w:footnote w:id="9408">
    <w:p>
      <w:pPr>
        <w:pStyle w:val="FootnoteText"/>
      </w:pPr>
      <w:r>
        <w:rPr>
          <w:rStyle w:val="FootnoteReference"/>
        </w:rPr>
        <w:footnoteRef/>
      </w:r>
      <w:r>
        <w:t xml:space="preserve"> Translation note: Greek says men of his place shall receive him with silver and gold and goods and livestock.</w:t>
      </w:r>
    </w:p>
  </w:footnote>
  <w:footnote w:id="9409">
    <w:p>
      <w:pPr>
        <w:pStyle w:val="FootnoteText"/>
      </w:pPr>
      <w:r>
        <w:rPr>
          <w:rStyle w:val="FootnoteReference"/>
        </w:rPr>
        <w:footnoteRef/>
      </w:r>
      <w:r>
        <w:t xml:space="preserve"> Translation note: The Greek uses the stirred-spirit formula directly. The current wording preserves that wording.</w:t>
      </w:r>
    </w:p>
  </w:footnote>
  <w:footnote w:id="9410">
    <w:p>
      <w:pPr>
        <w:pStyle w:val="FootnoteText"/>
      </w:pPr>
      <w:r>
        <w:rPr>
          <w:rStyle w:val="FootnoteReference"/>
        </w:rPr>
        <w:footnoteRef/>
      </w:r>
      <w:r>
        <w:t xml:space="preserve"> Cross-references for "whose spirit": 2Chr 36:22; Ezra 1:1.</w:t>
      </w:r>
    </w:p>
  </w:footnote>
  <w:footnote w:id="9411">
    <w:p>
      <w:pPr>
        <w:pStyle w:val="FootnoteText"/>
      </w:pPr>
      <w:r>
        <w:rPr>
          <w:rStyle w:val="FootnoteReference"/>
        </w:rPr>
        <w:footnoteRef/>
      </w:r>
      <w:r>
        <w:t xml:space="preserve"> Cross-references for "strengthened their hands": Ezra 7:15-16; Ezra 8:25-28.</w:t>
      </w:r>
    </w:p>
  </w:footnote>
  <w:footnote w:id="9412">
    <w:p>
      <w:pPr>
        <w:pStyle w:val="FootnoteText"/>
      </w:pPr>
      <w:r>
        <w:rPr>
          <w:rStyle w:val="FootnoteReference"/>
        </w:rPr>
        <w:footnoteRef/>
      </w:r>
      <w:r>
        <w:t xml:space="preserve"> Cross-references for "Nebuchadnezzar": 2Kgs 24:13; 2Kgs 25:13-16.</w:t>
      </w:r>
    </w:p>
  </w:footnote>
  <w:footnote w:id="9413">
    <w:p>
      <w:pPr>
        <w:pStyle w:val="FootnoteText"/>
      </w:pPr>
      <w:r>
        <w:rPr>
          <w:rStyle w:val="FootnoteReference"/>
        </w:rPr>
        <w:footnoteRef/>
      </w:r>
      <w:r>
        <w:t xml:space="preserve"> Personal name: Mithredath. Personal-name meaning: Mithredath — breaking the law. Source form: Mithredath.</w:t>
      </w:r>
    </w:p>
  </w:footnote>
  <w:footnote w:id="9414">
    <w:p>
      <w:pPr>
        <w:pStyle w:val="FootnoteText"/>
      </w:pPr>
      <w:r>
        <w:rPr>
          <w:rStyle w:val="FootnoteReference"/>
        </w:rPr>
        <w:footnoteRef/>
      </w:r>
      <w:r>
        <w:t xml:space="preserve"> Personal name: Sheshbazzar. Personal-name meaning: Sheshbazzar — joy in tribulation; joy of the vintage. Source form: Sheshbazzar.</w:t>
      </w:r>
    </w:p>
  </w:footnote>
  <w:footnote w:id="9415">
    <w:p>
      <w:pPr>
        <w:pStyle w:val="FootnoteText"/>
      </w:pPr>
      <w:r>
        <w:rPr>
          <w:rStyle w:val="FootnoteReference"/>
        </w:rPr>
        <w:footnoteRef/>
      </w:r>
      <w:r>
        <w:t xml:space="preserve"> Cross-references for "Sheshbazzar": Ezra 1:11; Ezra 5:14.</w:t>
      </w:r>
    </w:p>
  </w:footnote>
  <w:footnote w:id="9416">
    <w:p>
      <w:pPr>
        <w:pStyle w:val="FootnoteText"/>
      </w:pPr>
      <w:r>
        <w:rPr>
          <w:rStyle w:val="FootnoteReference"/>
        </w:rPr>
        <w:footnoteRef/>
      </w:r>
      <w:r>
        <w:t xml:space="preserve"> Cross-references for "nine": Matt 10:29-31.</w:t>
      </w:r>
    </w:p>
  </w:footnote>
  <w:footnote w:id="9417">
    <w:p>
      <w:pPr>
        <w:pStyle w:val="FootnoteText"/>
      </w:pPr>
      <w:r>
        <w:rPr>
          <w:rStyle w:val="FootnoteReference"/>
        </w:rPr>
        <w:footnoteRef/>
      </w:r>
      <w:r>
        <w:t xml:space="preserve"> Cross-references for "the vessels": Rom 9:23; 2Tim 2:19-21.</w:t>
      </w:r>
    </w:p>
  </w:footnote>
  <w:footnote w:id="9418">
    <w:p>
      <w:pPr>
        <w:pStyle w:val="FootnoteText"/>
      </w:pPr>
      <w:r>
        <w:rPr>
          <w:rStyle w:val="FootnoteReference"/>
        </w:rPr>
        <w:footnoteRef/>
      </w:r>
      <w:r>
        <w:t xml:space="preserve"> Cross-references for "whom Nebuchadnezzar": 2Kgs 24:14-16; 2Kgs 25:11.</w:t>
      </w:r>
    </w:p>
  </w:footnote>
  <w:footnote w:id="9419">
    <w:p>
      <w:pPr>
        <w:pStyle w:val="FootnoteText"/>
      </w:pPr>
      <w:r>
        <w:rPr>
          <w:rStyle w:val="FootnoteReference"/>
        </w:rPr>
        <w:footnoteRef/>
      </w:r>
      <w:r>
        <w:t xml:space="preserve"> Translation note: Greek says sons of province, those coming up from captivity of exile.</w:t>
      </w:r>
    </w:p>
  </w:footnote>
  <w:footnote w:id="9420">
    <w:p>
      <w:pPr>
        <w:pStyle w:val="FootnoteText"/>
      </w:pPr>
      <w:r>
        <w:rPr>
          <w:rStyle w:val="FootnoteReference"/>
        </w:rPr>
        <w:footnoteRef/>
      </w:r>
      <w:r>
        <w:t xml:space="preserve"> Cross-references for "Zerubbabel": Ezra 1:11; Neh 7:7.</w:t>
      </w:r>
    </w:p>
  </w:footnote>
  <w:footnote w:id="9421">
    <w:p>
      <w:pPr>
        <w:pStyle w:val="FootnoteText"/>
      </w:pPr>
      <w:r>
        <w:rPr>
          <w:rStyle w:val="FootnoteReference"/>
        </w:rPr>
        <w:footnoteRef/>
      </w:r>
      <w:r>
        <w:t xml:space="preserve"> Transliterated proper noun: Jeshua. Standard English equivalent: Jeshua. Source form: Jeshua. Greek form: ιησους. Name meaning: Yahweh saves.</w:t>
      </w:r>
    </w:p>
  </w:footnote>
  <w:footnote w:id="9422">
    <w:p>
      <w:pPr>
        <w:pStyle w:val="FootnoteText"/>
      </w:pPr>
      <w:r>
        <w:rPr>
          <w:rStyle w:val="FootnoteReference"/>
        </w:rPr>
        <w:footnoteRef/>
      </w:r>
      <w:r>
        <w:t xml:space="preserve"> Name meaning: Nehemiah (Nechemyah) — Yahweh comforts. Comforted and rebuilt Jerusalem’s walls.</w:t>
      </w:r>
    </w:p>
  </w:footnote>
  <w:footnote w:id="9423">
    <w:p>
      <w:pPr>
        <w:pStyle w:val="FootnoteText"/>
      </w:pPr>
      <w:r>
        <w:rPr>
          <w:rStyle w:val="FootnoteReference"/>
        </w:rPr>
        <w:footnoteRef/>
      </w:r>
      <w:r>
        <w:t xml:space="preserve"> Personal name: Reelaiah. Personal-name meaning: Reelaiah — shepherd or companion to the Lord. Source form: Reelaiah.</w:t>
      </w:r>
    </w:p>
  </w:footnote>
  <w:footnote w:id="9424">
    <w:p>
      <w:pPr>
        <w:pStyle w:val="FootnoteText"/>
      </w:pPr>
      <w:r>
        <w:rPr>
          <w:rStyle w:val="FootnoteReference"/>
        </w:rPr>
        <w:footnoteRef/>
      </w:r>
      <w:r>
        <w:t xml:space="preserve"> Transliterated proper noun: Mardochaios. Standard English equivalent: Mordecai. Source form: Mardochaios. Greek form: μαρδοχαιος. Name meaning: Little man; pure myrrh.</w:t>
      </w:r>
    </w:p>
  </w:footnote>
  <w:footnote w:id="9425">
    <w:p>
      <w:pPr>
        <w:pStyle w:val="FootnoteText"/>
      </w:pPr>
      <w:r>
        <w:rPr>
          <w:rStyle w:val="FootnoteReference"/>
        </w:rPr>
        <w:footnoteRef/>
      </w:r>
      <w:r>
        <w:t xml:space="preserve"> Personal name: Bilshan. Personal-name meaning: Bilshan — in the tongue. Source form: Bilshan.</w:t>
      </w:r>
    </w:p>
  </w:footnote>
  <w:footnote w:id="9426">
    <w:p>
      <w:pPr>
        <w:pStyle w:val="FootnoteText"/>
      </w:pPr>
      <w:r>
        <w:rPr>
          <w:rStyle w:val="FootnoteReference"/>
        </w:rPr>
        <w:footnoteRef/>
      </w:r>
      <w:r>
        <w:t xml:space="preserve"> Transliterated proper noun: Mizpar. Standard English equivalent: Mizpar. Source form: Mizpar. Greek form: μασφαρ. Name meaning: number; writing.</w:t>
      </w:r>
    </w:p>
  </w:footnote>
  <w:footnote w:id="9427">
    <w:p>
      <w:pPr>
        <w:pStyle w:val="FootnoteText"/>
      </w:pPr>
      <w:r>
        <w:rPr>
          <w:rStyle w:val="FootnoteReference"/>
        </w:rPr>
        <w:footnoteRef/>
      </w:r>
      <w:r>
        <w:t xml:space="preserve"> Personal name: Bigvai. Personal-name meaning: Bigvai — in my body. Source form: Bigvai.</w:t>
      </w:r>
    </w:p>
  </w:footnote>
  <w:footnote w:id="9428">
    <w:p>
      <w:pPr>
        <w:pStyle w:val="FootnoteText"/>
      </w:pPr>
      <w:r>
        <w:rPr>
          <w:rStyle w:val="FootnoteReference"/>
        </w:rPr>
        <w:footnoteRef/>
      </w:r>
      <w:r>
        <w:t xml:space="preserve"> Personal name: Rehum. Personal-name meaning: Rehum — merciful; compassionate. Source form: Rehum.</w:t>
      </w:r>
    </w:p>
  </w:footnote>
  <w:footnote w:id="9429">
    <w:p>
      <w:pPr>
        <w:pStyle w:val="FootnoteText"/>
      </w:pPr>
      <w:r>
        <w:rPr>
          <w:rStyle w:val="FootnoteReference"/>
        </w:rPr>
        <w:footnoteRef/>
      </w:r>
      <w:r>
        <w:t xml:space="preserve"> Translation note: The Septuagint returnee list preserves a Greek family-name form. The translation keeps that form.</w:t>
      </w:r>
    </w:p>
  </w:footnote>
  <w:footnote w:id="9430">
    <w:p>
      <w:pPr>
        <w:pStyle w:val="FootnoteText"/>
      </w:pPr>
      <w:r>
        <w:rPr>
          <w:rStyle w:val="FootnoteReference"/>
        </w:rPr>
        <w:footnoteRef/>
      </w:r>
      <w:r>
        <w:t xml:space="preserve"> Translation note: Greek preserves its own proper-name form in this returnee list. The translation follows it.</w:t>
      </w:r>
    </w:p>
  </w:footnote>
  <w:footnote w:id="9431">
    <w:p>
      <w:pPr>
        <w:pStyle w:val="FootnoteText"/>
      </w:pPr>
      <w:r>
        <w:rPr>
          <w:rStyle w:val="FootnoteReference"/>
        </w:rPr>
        <w:footnoteRef/>
      </w:r>
      <w:r>
        <w:t xml:space="preserve"> Personal name: Parosh. Personal-name meaning: Parosh — a flea; the fruit of a moth. Source form: Parosh.</w:t>
      </w:r>
    </w:p>
  </w:footnote>
  <w:footnote w:id="9432">
    <w:p>
      <w:pPr>
        <w:pStyle w:val="FootnoteText"/>
      </w:pPr>
      <w:r>
        <w:rPr>
          <w:rStyle w:val="FootnoteReference"/>
        </w:rPr>
        <w:footnoteRef/>
      </w:r>
      <w:r>
        <w:t xml:space="preserve"> Cross-references for "Parosh": Ezra 8:3; Ezra 10:25.</w:t>
      </w:r>
    </w:p>
  </w:footnote>
  <w:footnote w:id="9433">
    <w:p>
      <w:pPr>
        <w:pStyle w:val="FootnoteText"/>
      </w:pPr>
      <w:r>
        <w:rPr>
          <w:rStyle w:val="FootnoteReference"/>
        </w:rPr>
        <w:footnoteRef/>
      </w:r>
      <w:r>
        <w:t xml:space="preserve"> Cross-references for "Shephatiah": Ezra 8:8; Neh 7:9.</w:t>
      </w:r>
    </w:p>
  </w:footnote>
  <w:footnote w:id="9434">
    <w:p>
      <w:pPr>
        <w:pStyle w:val="FootnoteText"/>
      </w:pPr>
      <w:r>
        <w:rPr>
          <w:rStyle w:val="FootnoteReference"/>
        </w:rPr>
        <w:footnoteRef/>
      </w:r>
      <w:r>
        <w:t xml:space="preserve"> MT/LXX note: The Greek family-name form differs from the Masoretic spelling. The translation keeps the Septuagint form.</w:t>
      </w:r>
    </w:p>
  </w:footnote>
  <w:footnote w:id="9435">
    <w:p>
      <w:pPr>
        <w:pStyle w:val="FootnoteText"/>
      </w:pPr>
      <w:r>
        <w:rPr>
          <w:rStyle w:val="FootnoteReference"/>
        </w:rPr>
        <w:footnoteRef/>
      </w:r>
      <w:r>
        <w:t xml:space="preserve"> Translation note: Greek preserves its own proper-name form in this returnee list. The translation follows it.</w:t>
      </w:r>
    </w:p>
  </w:footnote>
  <w:footnote w:id="9436">
    <w:p>
      <w:pPr>
        <w:pStyle w:val="FootnoteText"/>
      </w:pPr>
      <w:r>
        <w:rPr>
          <w:rStyle w:val="FootnoteReference"/>
        </w:rPr>
        <w:footnoteRef/>
      </w:r>
      <w:r>
        <w:t xml:space="preserve"> Personal name: Pahathmoab. Personal-name meaning: Pahathmoab — ruler of Moab. Source form: Pahathmoab.</w:t>
      </w:r>
    </w:p>
  </w:footnote>
  <w:footnote w:id="9437">
    <w:p>
      <w:pPr>
        <w:pStyle w:val="FootnoteText"/>
      </w:pPr>
      <w:r>
        <w:rPr>
          <w:rStyle w:val="FootnoteReference"/>
        </w:rPr>
        <w:footnoteRef/>
      </w:r>
      <w:r>
        <w:t xml:space="preserve"> Cross-references for "Pahathmoab": Ezra 8:4; Ezra 10:30.</w:t>
      </w:r>
    </w:p>
  </w:footnote>
  <w:footnote w:id="9438">
    <w:p>
      <w:pPr>
        <w:pStyle w:val="FootnoteText"/>
      </w:pPr>
      <w:r>
        <w:rPr>
          <w:rStyle w:val="FootnoteReference"/>
        </w:rPr>
        <w:footnoteRef/>
      </w:r>
      <w:r>
        <w:t xml:space="preserve"> Translation note: The Septuagint preserves a Greek form of the family name. The translation keeps that form.</w:t>
      </w:r>
    </w:p>
  </w:footnote>
  <w:footnote w:id="9439">
    <w:p>
      <w:pPr>
        <w:pStyle w:val="FootnoteText"/>
      </w:pPr>
      <w:r>
        <w:rPr>
          <w:rStyle w:val="FootnoteReference"/>
        </w:rPr>
        <w:footnoteRef/>
      </w:r>
      <w:r>
        <w:t xml:space="preserve"> Cross-references for "Elam": Ezra 2:31; Ezra 8:7.</w:t>
      </w:r>
    </w:p>
  </w:footnote>
  <w:footnote w:id="9440">
    <w:p>
      <w:pPr>
        <w:pStyle w:val="FootnoteText"/>
      </w:pPr>
      <w:r>
        <w:rPr>
          <w:rStyle w:val="FootnoteReference"/>
        </w:rPr>
        <w:footnoteRef/>
      </w:r>
      <w:r>
        <w:t xml:space="preserve"> Personal name: Zattu. Personal-name meaning: Zattu — olive tree; brightness. Source form: Zattu.</w:t>
      </w:r>
    </w:p>
  </w:footnote>
  <w:footnote w:id="9441">
    <w:p>
      <w:pPr>
        <w:pStyle w:val="FootnoteText"/>
      </w:pPr>
      <w:r>
        <w:rPr>
          <w:rStyle w:val="FootnoteReference"/>
        </w:rPr>
        <w:footnoteRef/>
      </w:r>
      <w:r>
        <w:t xml:space="preserve"> Cross-references for "Zattu": Ezra 10:27; Neh 7:13.</w:t>
      </w:r>
    </w:p>
  </w:footnote>
  <w:footnote w:id="9442">
    <w:p>
      <w:pPr>
        <w:pStyle w:val="FootnoteText"/>
      </w:pPr>
      <w:r>
        <w:rPr>
          <w:rStyle w:val="FootnoteReference"/>
        </w:rPr>
        <w:footnoteRef/>
      </w:r>
      <w:r>
        <w:t xml:space="preserve"> Translation note: Greek keeps Zaccai form here. Current line follows it.</w:t>
      </w:r>
    </w:p>
  </w:footnote>
  <w:footnote w:id="9443">
    <w:p>
      <w:pPr>
        <w:pStyle w:val="FootnoteText"/>
      </w:pPr>
      <w:r>
        <w:rPr>
          <w:rStyle w:val="FootnoteReference"/>
        </w:rPr>
        <w:footnoteRef/>
      </w:r>
      <w:r>
        <w:t xml:space="preserve"> Personal name: Zaccai. Personal-name meaning: Zaccai — pure; clean. Source form: Zaccai.</w:t>
      </w:r>
    </w:p>
  </w:footnote>
  <w:footnote w:id="9444">
    <w:p>
      <w:pPr>
        <w:pStyle w:val="FootnoteText"/>
      </w:pPr>
      <w:r>
        <w:rPr>
          <w:rStyle w:val="FootnoteReference"/>
        </w:rPr>
        <w:footnoteRef/>
      </w:r>
      <w:r>
        <w:t xml:space="preserve"> Cross-references for "Zaccai": Neh 7:14.</w:t>
      </w:r>
    </w:p>
  </w:footnote>
  <w:footnote w:id="9445">
    <w:p>
      <w:pPr>
        <w:pStyle w:val="FootnoteText"/>
      </w:pPr>
      <w:r>
        <w:rPr>
          <w:rStyle w:val="FootnoteReference"/>
        </w:rPr>
        <w:footnoteRef/>
      </w:r>
      <w:r>
        <w:t xml:space="preserve"> Translation note: Greek preserves its own proper-name form in this register. The translation follows it.</w:t>
      </w:r>
    </w:p>
  </w:footnote>
  <w:footnote w:id="9446">
    <w:p>
      <w:pPr>
        <w:pStyle w:val="FootnoteText"/>
      </w:pPr>
      <w:r>
        <w:rPr>
          <w:rStyle w:val="FootnoteReference"/>
        </w:rPr>
        <w:footnoteRef/>
      </w:r>
      <w:r>
        <w:t xml:space="preserve"> Cross-references for "Bani": Ezra 10:34; Neh 7:15.</w:t>
      </w:r>
    </w:p>
  </w:footnote>
  <w:footnote w:id="9447">
    <w:p>
      <w:pPr>
        <w:pStyle w:val="FootnoteText"/>
      </w:pPr>
      <w:r>
        <w:rPr>
          <w:rStyle w:val="FootnoteReference"/>
        </w:rPr>
        <w:footnoteRef/>
      </w:r>
      <w:r>
        <w:t xml:space="preserve"> MT/LXX note: The Greek family-name form differs from the Masoretic spelling. The translation keeps the Septuagint form.</w:t>
      </w:r>
    </w:p>
  </w:footnote>
  <w:footnote w:id="9448">
    <w:p>
      <w:pPr>
        <w:pStyle w:val="FootnoteText"/>
      </w:pPr>
      <w:r>
        <w:rPr>
          <w:rStyle w:val="FootnoteReference"/>
        </w:rPr>
        <w:footnoteRef/>
      </w:r>
      <w:r>
        <w:t xml:space="preserve"> Personal name: Bebai. Personal-name meaning: Bebai — void, empty. Source form: Bebai.</w:t>
      </w:r>
    </w:p>
  </w:footnote>
  <w:footnote w:id="9449">
    <w:p>
      <w:pPr>
        <w:pStyle w:val="FootnoteText"/>
      </w:pPr>
      <w:r>
        <w:rPr>
          <w:rStyle w:val="FootnoteReference"/>
        </w:rPr>
        <w:footnoteRef/>
      </w:r>
      <w:r>
        <w:t xml:space="preserve"> Cross-references for "Bebai": Ezra 8:11; Ezra 10:28.</w:t>
      </w:r>
    </w:p>
  </w:footnote>
  <w:footnote w:id="9450">
    <w:p>
      <w:pPr>
        <w:pStyle w:val="FootnoteText"/>
      </w:pPr>
      <w:r>
        <w:rPr>
          <w:rStyle w:val="FootnoteReference"/>
        </w:rPr>
        <w:footnoteRef/>
      </w:r>
      <w:r>
        <w:t xml:space="preserve"> Translation note: Greek preserves its own proper-name form in this returnee list. The translation follows it.</w:t>
      </w:r>
    </w:p>
  </w:footnote>
  <w:footnote w:id="9451">
    <w:p>
      <w:pPr>
        <w:pStyle w:val="FootnoteText"/>
      </w:pPr>
      <w:r>
        <w:rPr>
          <w:rStyle w:val="FootnoteReference"/>
        </w:rPr>
        <w:footnoteRef/>
      </w:r>
      <w:r>
        <w:t xml:space="preserve"> Personal name: Azgad. Personal-name meaning: Azgad — a strong army; a gang of robbers. Source form: Azgad.</w:t>
      </w:r>
    </w:p>
  </w:footnote>
  <w:footnote w:id="9452">
    <w:p>
      <w:pPr>
        <w:pStyle w:val="FootnoteText"/>
      </w:pPr>
      <w:r>
        <w:rPr>
          <w:rStyle w:val="FootnoteReference"/>
        </w:rPr>
        <w:footnoteRef/>
      </w:r>
      <w:r>
        <w:t xml:space="preserve"> Cross-references for "Azgad": Ezra 8:12; Neh 7:17.</w:t>
      </w:r>
    </w:p>
  </w:footnote>
  <w:footnote w:id="9453">
    <w:p>
      <w:pPr>
        <w:pStyle w:val="FootnoteText"/>
      </w:pPr>
      <w:r>
        <w:rPr>
          <w:rStyle w:val="FootnoteReference"/>
        </w:rPr>
        <w:footnoteRef/>
      </w:r>
      <w:r>
        <w:t xml:space="preserve"> Personal name: Adonikam. Personal-name meaning: Adonikam — the Lord is raised. Source form: Adonikam.</w:t>
      </w:r>
    </w:p>
  </w:footnote>
  <w:footnote w:id="9454">
    <w:p>
      <w:pPr>
        <w:pStyle w:val="FootnoteText"/>
      </w:pPr>
      <w:r>
        <w:rPr>
          <w:rStyle w:val="FootnoteReference"/>
        </w:rPr>
        <w:footnoteRef/>
      </w:r>
      <w:r>
        <w:t xml:space="preserve"> Cross-references for "Adonikam": Ezra 8:13; Neh 7:18.</w:t>
      </w:r>
    </w:p>
  </w:footnote>
  <w:footnote w:id="9455">
    <w:p>
      <w:pPr>
        <w:pStyle w:val="FootnoteText"/>
      </w:pPr>
      <w:r>
        <w:rPr>
          <w:rStyle w:val="FootnoteReference"/>
        </w:rPr>
        <w:footnoteRef/>
      </w:r>
      <w:r>
        <w:t xml:space="preserve"> Translation note: Greek preserves its own proper-name form in this register. The translation follows it.</w:t>
      </w:r>
    </w:p>
  </w:footnote>
  <w:footnote w:id="9456">
    <w:p>
      <w:pPr>
        <w:pStyle w:val="FootnoteText"/>
      </w:pPr>
      <w:r>
        <w:rPr>
          <w:rStyle w:val="FootnoteReference"/>
        </w:rPr>
        <w:footnoteRef/>
      </w:r>
      <w:r>
        <w:t xml:space="preserve"> Cross-references for "Bigvai": Ezra 8:14; Neh 7:19.</w:t>
      </w:r>
    </w:p>
  </w:footnote>
  <w:footnote w:id="9457">
    <w:p>
      <w:pPr>
        <w:pStyle w:val="FootnoteText"/>
      </w:pPr>
      <w:r>
        <w:rPr>
          <w:rStyle w:val="FootnoteReference"/>
        </w:rPr>
        <w:footnoteRef/>
      </w:r>
      <w:r>
        <w:t xml:space="preserve"> Translation note: Greek preserves its own proper-name form in this register. The translation follows it.</w:t>
      </w:r>
    </w:p>
  </w:footnote>
  <w:footnote w:id="9458">
    <w:p>
      <w:pPr>
        <w:pStyle w:val="FootnoteText"/>
      </w:pPr>
      <w:r>
        <w:rPr>
          <w:rStyle w:val="FootnoteReference"/>
        </w:rPr>
        <w:footnoteRef/>
      </w:r>
      <w:r>
        <w:t xml:space="preserve"> Personal name: Adin. Personal-name meaning: Adin — adorned; voluptuous; dainty. Source form: Adin.</w:t>
      </w:r>
    </w:p>
  </w:footnote>
  <w:footnote w:id="9459">
    <w:p>
      <w:pPr>
        <w:pStyle w:val="FootnoteText"/>
      </w:pPr>
      <w:r>
        <w:rPr>
          <w:rStyle w:val="FootnoteReference"/>
        </w:rPr>
        <w:footnoteRef/>
      </w:r>
      <w:r>
        <w:t xml:space="preserve"> Cross-references for "Adin": Ezra 8:6; Neh 7:20.</w:t>
      </w:r>
    </w:p>
  </w:footnote>
  <w:footnote w:id="9460">
    <w:p>
      <w:pPr>
        <w:pStyle w:val="FootnoteText"/>
      </w:pPr>
      <w:r>
        <w:rPr>
          <w:rStyle w:val="FootnoteReference"/>
        </w:rPr>
        <w:footnoteRef/>
      </w:r>
      <w:r>
        <w:t xml:space="preserve"> Personal name: Ater. Personal-name meaning: Ater — left hand; shut. Source form: Ater.</w:t>
      </w:r>
    </w:p>
  </w:footnote>
  <w:footnote w:id="9461">
    <w:p>
      <w:pPr>
        <w:pStyle w:val="FootnoteText"/>
      </w:pPr>
      <w:r>
        <w:rPr>
          <w:rStyle w:val="FootnoteReference"/>
        </w:rPr>
        <w:footnoteRef/>
      </w:r>
      <w:r>
        <w:t xml:space="preserve"> Cross-references for "Ater": Neh 7:21.</w:t>
      </w:r>
    </w:p>
  </w:footnote>
  <w:footnote w:id="9462">
    <w:p>
      <w:pPr>
        <w:pStyle w:val="FootnoteText"/>
      </w:pPr>
      <w:r>
        <w:rPr>
          <w:rStyle w:val="FootnoteReference"/>
        </w:rPr>
        <w:footnoteRef/>
      </w:r>
      <w:r>
        <w:t xml:space="preserve"> MT/LXX note: The Septuagint preserves a Greek family-name form different from the Masoretic spelling. The translation keeps the Greek form.</w:t>
      </w:r>
    </w:p>
  </w:footnote>
  <w:footnote w:id="9463">
    <w:p>
      <w:pPr>
        <w:pStyle w:val="FootnoteText"/>
      </w:pPr>
      <w:r>
        <w:rPr>
          <w:rStyle w:val="FootnoteReference"/>
        </w:rPr>
        <w:footnoteRef/>
      </w:r>
      <w:r>
        <w:t xml:space="preserve"> Translation note: Greek preserves its own proper-name form in this register. The translation follows it.</w:t>
      </w:r>
    </w:p>
  </w:footnote>
  <w:footnote w:id="9464">
    <w:p>
      <w:pPr>
        <w:pStyle w:val="FootnoteText"/>
      </w:pPr>
      <w:r>
        <w:rPr>
          <w:rStyle w:val="FootnoteReference"/>
        </w:rPr>
        <w:footnoteRef/>
      </w:r>
      <w:r>
        <w:t xml:space="preserve"> Personal name: Jorah. Personal-name meaning: Jorah — showing; casting forth; a cauldron. Source form: Jorah.</w:t>
      </w:r>
    </w:p>
  </w:footnote>
  <w:footnote w:id="9465">
    <w:p>
      <w:pPr>
        <w:pStyle w:val="FootnoteText"/>
      </w:pPr>
      <w:r>
        <w:rPr>
          <w:rStyle w:val="FootnoteReference"/>
        </w:rPr>
        <w:footnoteRef/>
      </w:r>
      <w:r>
        <w:t xml:space="preserve"> Cross-references for "Jorah": Neh 7:24.</w:t>
      </w:r>
    </w:p>
  </w:footnote>
  <w:footnote w:id="9466">
    <w:p>
      <w:pPr>
        <w:pStyle w:val="FootnoteText"/>
      </w:pPr>
      <w:r>
        <w:rPr>
          <w:rStyle w:val="FootnoteReference"/>
        </w:rPr>
        <w:footnoteRef/>
      </w:r>
      <w:r>
        <w:t xml:space="preserve"> MT/LXX note: The Septuagint preserves a Greek family-name form different from the Masoretic spelling. The translation keeps it.</w:t>
      </w:r>
    </w:p>
  </w:footnote>
  <w:footnote w:id="9467">
    <w:p>
      <w:pPr>
        <w:pStyle w:val="FootnoteText"/>
      </w:pPr>
      <w:r>
        <w:rPr>
          <w:rStyle w:val="FootnoteReference"/>
        </w:rPr>
        <w:footnoteRef/>
      </w:r>
      <w:r>
        <w:t xml:space="preserve"> Translation note: Greek preserves its own proper-name form in this returnee list. The translation follows it.</w:t>
      </w:r>
    </w:p>
  </w:footnote>
  <w:footnote w:id="9468">
    <w:p>
      <w:pPr>
        <w:pStyle w:val="FootnoteText"/>
      </w:pPr>
      <w:r>
        <w:rPr>
          <w:rStyle w:val="FootnoteReference"/>
        </w:rPr>
        <w:footnoteRef/>
      </w:r>
      <w:r>
        <w:t xml:space="preserve"> Personal name: Hashum. Personal-name meaning: Hashum — silence; their hasting. Source form: Hashum.</w:t>
      </w:r>
    </w:p>
  </w:footnote>
  <w:footnote w:id="9469">
    <w:p>
      <w:pPr>
        <w:pStyle w:val="FootnoteText"/>
      </w:pPr>
      <w:r>
        <w:rPr>
          <w:rStyle w:val="FootnoteReference"/>
        </w:rPr>
        <w:footnoteRef/>
      </w:r>
      <w:r>
        <w:t xml:space="preserve"> Cross-references for "Hashum": Ezra 10:33; Neh 7:22.</w:t>
      </w:r>
    </w:p>
  </w:footnote>
  <w:footnote w:id="9470">
    <w:p>
      <w:pPr>
        <w:pStyle w:val="FootnoteText"/>
      </w:pPr>
      <w:r>
        <w:rPr>
          <w:rStyle w:val="FootnoteReference"/>
        </w:rPr>
        <w:footnoteRef/>
      </w:r>
      <w:r>
        <w:t xml:space="preserve"> Cross-references for "Gibbar": Neh 7:25.</w:t>
      </w:r>
    </w:p>
  </w:footnote>
  <w:footnote w:id="9471">
    <w:p>
      <w:pPr>
        <w:pStyle w:val="FootnoteText"/>
      </w:pPr>
      <w:r>
        <w:rPr>
          <w:rStyle w:val="FootnoteReference"/>
        </w:rPr>
        <w:footnoteRef/>
      </w:r>
      <w:r>
        <w:t xml:space="preserve"> Cross-references for "Bethlehem": 1Chr 2:50-52.</w:t>
      </w:r>
    </w:p>
  </w:footnote>
  <w:footnote w:id="9472">
    <w:p>
      <w:pPr>
        <w:pStyle w:val="FootnoteText"/>
      </w:pPr>
      <w:r>
        <w:rPr>
          <w:rStyle w:val="FootnoteReference"/>
        </w:rPr>
        <w:footnoteRef/>
      </w:r>
      <w:r>
        <w:t xml:space="preserve"> Place name: Netophah. Place-name meaning: Netophah — drop; distillation. Source form: Netophah. Greek form: νετωφα.</w:t>
      </w:r>
    </w:p>
  </w:footnote>
  <w:footnote w:id="9473">
    <w:p>
      <w:pPr>
        <w:pStyle w:val="FootnoteText"/>
      </w:pPr>
      <w:r>
        <w:rPr>
          <w:rStyle w:val="FootnoteReference"/>
        </w:rPr>
        <w:footnoteRef/>
      </w:r>
      <w:r>
        <w:t xml:space="preserve"> Cross-references for "Netophah": 2Sam 23:28; 1Chr 2:54.</w:t>
      </w:r>
    </w:p>
  </w:footnote>
  <w:footnote w:id="9474">
    <w:p>
      <w:pPr>
        <w:pStyle w:val="FootnoteText"/>
      </w:pPr>
      <w:r>
        <w:rPr>
          <w:rStyle w:val="FootnoteReference"/>
        </w:rPr>
        <w:footnoteRef/>
      </w:r>
      <w:r>
        <w:t xml:space="preserve"> Cross-references for "Anathoth": Josh 21:18; Neh 7:27.</w:t>
      </w:r>
    </w:p>
  </w:footnote>
  <w:footnote w:id="9475">
    <w:p>
      <w:pPr>
        <w:pStyle w:val="FootnoteText"/>
      </w:pPr>
      <w:r>
        <w:rPr>
          <w:rStyle w:val="FootnoteReference"/>
        </w:rPr>
        <w:footnoteRef/>
      </w:r>
      <w:r>
        <w:t xml:space="preserve"> Cross-references for "Azmaveth": Neh 7:28.</w:t>
      </w:r>
    </w:p>
  </w:footnote>
  <w:footnote w:id="9476">
    <w:p>
      <w:pPr>
        <w:pStyle w:val="FootnoteText"/>
      </w:pPr>
      <w:r>
        <w:rPr>
          <w:rStyle w:val="FootnoteReference"/>
        </w:rPr>
        <w:footnoteRef/>
      </w:r>
      <w:r>
        <w:t xml:space="preserve"> Cross-references for "Ramah": Josh 18:24-25; Neh 7:30.</w:t>
      </w:r>
    </w:p>
  </w:footnote>
  <w:footnote w:id="9477">
    <w:p>
      <w:pPr>
        <w:pStyle w:val="FootnoteText"/>
      </w:pPr>
      <w:r>
        <w:rPr>
          <w:rStyle w:val="FootnoteReference"/>
        </w:rPr>
        <w:footnoteRef/>
      </w:r>
      <w:r>
        <w:t xml:space="preserve"> Cross-references for "Nebo": Num 32:3; Deut 32:49.</w:t>
      </w:r>
    </w:p>
  </w:footnote>
  <w:footnote w:id="9478">
    <w:p>
      <w:pPr>
        <w:pStyle w:val="FootnoteText"/>
      </w:pPr>
      <w:r>
        <w:rPr>
          <w:rStyle w:val="FootnoteReference"/>
        </w:rPr>
        <w:footnoteRef/>
      </w:r>
      <w:r>
        <w:t xml:space="preserve"> Translation note: Greek preserves its own proper-name form in this register. The translation follows it.</w:t>
      </w:r>
    </w:p>
  </w:footnote>
  <w:footnote w:id="9479">
    <w:p>
      <w:pPr>
        <w:pStyle w:val="FootnoteText"/>
      </w:pPr>
      <w:r>
        <w:rPr>
          <w:rStyle w:val="FootnoteReference"/>
        </w:rPr>
        <w:footnoteRef/>
      </w:r>
      <w:r>
        <w:t xml:space="preserve"> Place name: Magbish. Place-name meaning: Magbish — excelling; height. Source form: Magbish. Greek form: μαγεβως.</w:t>
      </w:r>
    </w:p>
  </w:footnote>
  <w:footnote w:id="9480">
    <w:p>
      <w:pPr>
        <w:pStyle w:val="FootnoteText"/>
      </w:pPr>
      <w:r>
        <w:rPr>
          <w:rStyle w:val="FootnoteReference"/>
        </w:rPr>
        <w:footnoteRef/>
      </w:r>
      <w:r>
        <w:t xml:space="preserve"> Cross-references for "Magbish": Ezra 2:30.</w:t>
      </w:r>
    </w:p>
  </w:footnote>
  <w:footnote w:id="9481">
    <w:p>
      <w:pPr>
        <w:pStyle w:val="FootnoteText"/>
      </w:pPr>
      <w:r>
        <w:rPr>
          <w:rStyle w:val="FootnoteReference"/>
        </w:rPr>
        <w:footnoteRef/>
      </w:r>
      <w:r>
        <w:t xml:space="preserve"> Translation note: Greek preserves its own proper-name form here. The translation follows it.</w:t>
      </w:r>
    </w:p>
  </w:footnote>
  <w:footnote w:id="9482">
    <w:p>
      <w:pPr>
        <w:pStyle w:val="FootnoteText"/>
      </w:pPr>
      <w:r>
        <w:rPr>
          <w:rStyle w:val="FootnoteReference"/>
        </w:rPr>
        <w:footnoteRef/>
      </w:r>
      <w:r>
        <w:t xml:space="preserve"> Cross-references for "Elam": Ezra 2:7; Neh 7:34.</w:t>
      </w:r>
    </w:p>
  </w:footnote>
  <w:footnote w:id="9483">
    <w:p>
      <w:pPr>
        <w:pStyle w:val="FootnoteText"/>
      </w:pPr>
      <w:r>
        <w:rPr>
          <w:rStyle w:val="FootnoteReference"/>
        </w:rPr>
        <w:footnoteRef/>
      </w:r>
      <w:r>
        <w:t xml:space="preserve"> Translation note: Greek preserves its own proper-name form in the returnee register. The translation follows it.</w:t>
      </w:r>
    </w:p>
  </w:footnote>
  <w:footnote w:id="9484">
    <w:p>
      <w:pPr>
        <w:pStyle w:val="FootnoteText"/>
      </w:pPr>
      <w:r>
        <w:rPr>
          <w:rStyle w:val="FootnoteReference"/>
        </w:rPr>
        <w:footnoteRef/>
      </w:r>
      <w:r>
        <w:t xml:space="preserve"> Cross-references for "Harim": Ezra 10:31; Neh 7:35.</w:t>
      </w:r>
    </w:p>
  </w:footnote>
  <w:footnote w:id="9485">
    <w:p>
      <w:pPr>
        <w:pStyle w:val="FootnoteText"/>
      </w:pPr>
      <w:r>
        <w:rPr>
          <w:rStyle w:val="FootnoteReference"/>
        </w:rPr>
        <w:footnoteRef/>
      </w:r>
      <w:r>
        <w:t xml:space="preserve"> Cross-references for "Jericho": 1Kgs 16:34; Neh 7:36.</w:t>
      </w:r>
    </w:p>
  </w:footnote>
  <w:footnote w:id="9486">
    <w:p>
      <w:pPr>
        <w:pStyle w:val="FootnoteText"/>
      </w:pPr>
      <w:r>
        <w:rPr>
          <w:rStyle w:val="FootnoteReference"/>
        </w:rPr>
        <w:footnoteRef/>
      </w:r>
      <w:r>
        <w:t xml:space="preserve"> Translation note: The translation keeps the Greek family-name form in this returnee list.</w:t>
      </w:r>
    </w:p>
  </w:footnote>
  <w:footnote w:id="9487">
    <w:p>
      <w:pPr>
        <w:pStyle w:val="FootnoteText"/>
      </w:pPr>
      <w:r>
        <w:rPr>
          <w:rStyle w:val="FootnoteReference"/>
        </w:rPr>
        <w:footnoteRef/>
      </w:r>
      <w:r>
        <w:t xml:space="preserve"> Cross-references for "Senaah": Neh 7:3; Neh 7:38.</w:t>
      </w:r>
    </w:p>
  </w:footnote>
  <w:footnote w:id="9488">
    <w:p>
      <w:pPr>
        <w:pStyle w:val="FootnoteText"/>
      </w:pPr>
      <w:r>
        <w:rPr>
          <w:rStyle w:val="FootnoteReference"/>
        </w:rPr>
        <w:footnoteRef/>
      </w:r>
      <w:r>
        <w:t xml:space="preserve"> Cross-references for "Jeshua": Ezra 3:9; Neh 7:39.</w:t>
      </w:r>
    </w:p>
  </w:footnote>
  <w:footnote w:id="9489">
    <w:p>
      <w:pPr>
        <w:pStyle w:val="FootnoteText"/>
      </w:pPr>
      <w:r>
        <w:rPr>
          <w:rStyle w:val="FootnoteReference"/>
        </w:rPr>
        <w:footnoteRef/>
      </w:r>
      <w:r>
        <w:t xml:space="preserve"> Cross-references for "Immer": 1Chr 24:14; Ezra 10:20.</w:t>
      </w:r>
    </w:p>
  </w:footnote>
  <w:footnote w:id="9490">
    <w:p>
      <w:pPr>
        <w:pStyle w:val="FootnoteText"/>
      </w:pPr>
      <w:r>
        <w:rPr>
          <w:rStyle w:val="FootnoteReference"/>
        </w:rPr>
        <w:footnoteRef/>
      </w:r>
      <w:r>
        <w:t xml:space="preserve"> Translation note: Greek preserves its own proper-name form in this register. The translation follows it.</w:t>
      </w:r>
    </w:p>
  </w:footnote>
  <w:footnote w:id="9491">
    <w:p>
      <w:pPr>
        <w:pStyle w:val="FootnoteText"/>
      </w:pPr>
      <w:r>
        <w:rPr>
          <w:rStyle w:val="FootnoteReference"/>
        </w:rPr>
        <w:footnoteRef/>
      </w:r>
      <w:r>
        <w:t xml:space="preserve"> Cross-references for "Pashur": 1Chr 9:12; Ezra 10:22.</w:t>
      </w:r>
    </w:p>
  </w:footnote>
  <w:footnote w:id="9492">
    <w:p>
      <w:pPr>
        <w:pStyle w:val="FootnoteText"/>
      </w:pPr>
      <w:r>
        <w:rPr>
          <w:rStyle w:val="FootnoteReference"/>
        </w:rPr>
        <w:footnoteRef/>
      </w:r>
      <w:r>
        <w:t xml:space="preserve"> Translation note: Greek preserves its own proper-name form in this register. The translation follows it.</w:t>
      </w:r>
    </w:p>
  </w:footnote>
  <w:footnote w:id="9493">
    <w:p>
      <w:pPr>
        <w:pStyle w:val="FootnoteText"/>
      </w:pPr>
      <w:r>
        <w:rPr>
          <w:rStyle w:val="FootnoteReference"/>
        </w:rPr>
        <w:footnoteRef/>
      </w:r>
      <w:r>
        <w:t xml:space="preserve"> Cross-references for "Harim": 1Chr 24:8; Ezra 10:21.</w:t>
      </w:r>
    </w:p>
  </w:footnote>
  <w:footnote w:id="9494">
    <w:p>
      <w:pPr>
        <w:pStyle w:val="FootnoteText"/>
      </w:pPr>
      <w:r>
        <w:rPr>
          <w:rStyle w:val="FootnoteReference"/>
        </w:rPr>
        <w:footnoteRef/>
      </w:r>
      <w:r>
        <w:t xml:space="preserve"> Personal name: Kadmiel. Personal-name meaning: Kadmiel — God of antiquity; God of rising. Source form: Kadmiel.</w:t>
      </w:r>
    </w:p>
  </w:footnote>
  <w:footnote w:id="9495">
    <w:p>
      <w:pPr>
        <w:pStyle w:val="FootnoteText"/>
      </w:pPr>
      <w:r>
        <w:rPr>
          <w:rStyle w:val="FootnoteReference"/>
        </w:rPr>
        <w:footnoteRef/>
      </w:r>
      <w:r>
        <w:t xml:space="preserve"> Cross-references for "Asaph": 1Chr 6:39; 1Chr 15:17.</w:t>
      </w:r>
    </w:p>
  </w:footnote>
  <w:footnote w:id="9496">
    <w:p>
      <w:pPr>
        <w:pStyle w:val="FootnoteText"/>
      </w:pPr>
      <w:r>
        <w:rPr>
          <w:rStyle w:val="FootnoteReference"/>
        </w:rPr>
        <w:footnoteRef/>
      </w:r>
      <w:r>
        <w:t xml:space="preserve"> Personal name: Talmon. Personal-name meaning: Talmon — oppressor; violent one. Source form: Talmon.</w:t>
      </w:r>
    </w:p>
  </w:footnote>
  <w:footnote w:id="9497">
    <w:p>
      <w:pPr>
        <w:pStyle w:val="FootnoteText"/>
      </w:pPr>
      <w:r>
        <w:rPr>
          <w:rStyle w:val="FootnoteReference"/>
        </w:rPr>
        <w:footnoteRef/>
      </w:r>
      <w:r>
        <w:t xml:space="preserve"> Personal name: Hatita. Personal-name meaning: Hatita — a bending of sin. Source form: Hatita.</w:t>
      </w:r>
    </w:p>
  </w:footnote>
  <w:footnote w:id="9498">
    <w:p>
      <w:pPr>
        <w:pStyle w:val="FootnoteText"/>
      </w:pPr>
      <w:r>
        <w:rPr>
          <w:rStyle w:val="FootnoteReference"/>
        </w:rPr>
        <w:footnoteRef/>
      </w:r>
      <w:r>
        <w:t xml:space="preserve"> Personal name: Shobai. Personal-name meaning: Shobai — turning captivity. Source form: Shobai.</w:t>
      </w:r>
    </w:p>
  </w:footnote>
  <w:footnote w:id="9499">
    <w:p>
      <w:pPr>
        <w:pStyle w:val="FootnoteText"/>
      </w:pPr>
      <w:r>
        <w:rPr>
          <w:rStyle w:val="FootnoteReference"/>
        </w:rPr>
        <w:footnoteRef/>
      </w:r>
      <w:r>
        <w:t xml:space="preserve"> Transliterated proper noun: Sia. Standard English equivalent: Sia. Source form: Sia. Greek form: σουια. Name meaning: moving; help.</w:t>
      </w:r>
    </w:p>
  </w:footnote>
  <w:footnote w:id="9500">
    <w:p>
      <w:pPr>
        <w:pStyle w:val="FootnoteText"/>
      </w:pPr>
      <w:r>
        <w:rPr>
          <w:rStyle w:val="FootnoteReference"/>
        </w:rPr>
        <w:footnoteRef/>
      </w:r>
      <w:r>
        <w:t xml:space="preserve"> Personal name: Tabbaoth. Personal-name meaning: Tabbaoth — rings; seals. Source form: Tabbaoth.</w:t>
      </w:r>
    </w:p>
  </w:footnote>
  <w:footnote w:id="9501">
    <w:p>
      <w:pPr>
        <w:pStyle w:val="FootnoteText"/>
      </w:pPr>
      <w:r>
        <w:rPr>
          <w:rStyle w:val="FootnoteReference"/>
        </w:rPr>
        <w:footnoteRef/>
      </w:r>
      <w:r>
        <w:t xml:space="preserve"> Personal name: Keros. Personal-name meaning: Keros — crooked; crookedness. Source form: Keros.</w:t>
      </w:r>
    </w:p>
  </w:footnote>
  <w:footnote w:id="9502">
    <w:p>
      <w:pPr>
        <w:pStyle w:val="FootnoteText"/>
      </w:pPr>
      <w:r>
        <w:rPr>
          <w:rStyle w:val="FootnoteReference"/>
        </w:rPr>
        <w:footnoteRef/>
      </w:r>
      <w:r>
        <w:t xml:space="preserve"> Personal name: Padon. Personal-name meaning: Padon — his redemption; ox-yoke. Source form: Padon.</w:t>
      </w:r>
    </w:p>
  </w:footnote>
  <w:footnote w:id="9503">
    <w:p>
      <w:pPr>
        <w:pStyle w:val="FootnoteText"/>
      </w:pPr>
      <w:r>
        <w:rPr>
          <w:rStyle w:val="FootnoteReference"/>
        </w:rPr>
        <w:footnoteRef/>
      </w:r>
      <w:r>
        <w:t xml:space="preserve"> Personal name: Hagabah. Personal-name meaning: Hagabah — a grasshopper. Source form: Hagabah.</w:t>
      </w:r>
    </w:p>
  </w:footnote>
  <w:footnote w:id="9504">
    <w:p>
      <w:pPr>
        <w:pStyle w:val="FootnoteText"/>
      </w:pPr>
      <w:r>
        <w:rPr>
          <w:rStyle w:val="FootnoteReference"/>
        </w:rPr>
        <w:footnoteRef/>
      </w:r>
      <w:r>
        <w:t xml:space="preserve"> Personal name: Hagab. Personal-name meaning: Hagab — a grasshopper. Source form: Hagab.</w:t>
      </w:r>
    </w:p>
  </w:footnote>
  <w:footnote w:id="9505">
    <w:p>
      <w:pPr>
        <w:pStyle w:val="FootnoteText"/>
      </w:pPr>
      <w:r>
        <w:rPr>
          <w:rStyle w:val="FootnoteReference"/>
        </w:rPr>
        <w:footnoteRef/>
      </w:r>
      <w:r>
        <w:t xml:space="preserve"> Personal name: Shalmai. Personal-name meaning: Shalmai — my garment. Source form: Shalmai.</w:t>
      </w:r>
    </w:p>
  </w:footnote>
  <w:footnote w:id="9506">
    <w:p>
      <w:pPr>
        <w:pStyle w:val="FootnoteText"/>
      </w:pPr>
      <w:r>
        <w:rPr>
          <w:rStyle w:val="FootnoteReference"/>
        </w:rPr>
        <w:footnoteRef/>
      </w:r>
      <w:r>
        <w:t xml:space="preserve"> Personal name: Giddel. Personal-name meaning: Giddel — great. Source form: Giddel.</w:t>
      </w:r>
    </w:p>
  </w:footnote>
  <w:footnote w:id="9507">
    <w:p>
      <w:pPr>
        <w:pStyle w:val="FootnoteText"/>
      </w:pPr>
      <w:r>
        <w:rPr>
          <w:rStyle w:val="FootnoteReference"/>
        </w:rPr>
        <w:footnoteRef/>
      </w:r>
      <w:r>
        <w:t xml:space="preserve"> Personal name: Nekoda. Personal-name meaning: Nekoda — painted; inconstant. Source form: Nekoda.</w:t>
      </w:r>
    </w:p>
  </w:footnote>
  <w:footnote w:id="9508">
    <w:p>
      <w:pPr>
        <w:pStyle w:val="FootnoteText"/>
      </w:pPr>
      <w:r>
        <w:rPr>
          <w:rStyle w:val="FootnoteReference"/>
        </w:rPr>
        <w:footnoteRef/>
      </w:r>
      <w:r>
        <w:t xml:space="preserve"> Personal name: Gazzam. Personal-name meaning: Gazzam — the fleece of them. Source form: Gazzam.</w:t>
      </w:r>
    </w:p>
  </w:footnote>
  <w:footnote w:id="9509">
    <w:p>
      <w:pPr>
        <w:pStyle w:val="FootnoteText"/>
      </w:pPr>
      <w:r>
        <w:rPr>
          <w:rStyle w:val="FootnoteReference"/>
        </w:rPr>
        <w:footnoteRef/>
      </w:r>
      <w:r>
        <w:t xml:space="preserve"> Personal name: Paseah. Personal-name meaning: Paseah — passing over; halting. Source form: Paseah.</w:t>
      </w:r>
    </w:p>
  </w:footnote>
  <w:footnote w:id="9510">
    <w:p>
      <w:pPr>
        <w:pStyle w:val="FootnoteText"/>
      </w:pPr>
      <w:r>
        <w:rPr>
          <w:rStyle w:val="FootnoteReference"/>
        </w:rPr>
        <w:footnoteRef/>
      </w:r>
      <w:r>
        <w:t xml:space="preserve"> Personal name: Besai. Personal-name meaning: Besai — a despising; dirty. Source form: Besai.</w:t>
      </w:r>
    </w:p>
  </w:footnote>
  <w:footnote w:id="9511">
    <w:p>
      <w:pPr>
        <w:pStyle w:val="FootnoteText"/>
      </w:pPr>
      <w:r>
        <w:rPr>
          <w:rStyle w:val="FootnoteReference"/>
        </w:rPr>
        <w:footnoteRef/>
      </w:r>
      <w:r>
        <w:t xml:space="preserve"> Cross-references for "Paseah": Neh 7:51.</w:t>
      </w:r>
    </w:p>
  </w:footnote>
  <w:footnote w:id="9512">
    <w:p>
      <w:pPr>
        <w:pStyle w:val="FootnoteText"/>
      </w:pPr>
      <w:r>
        <w:rPr>
          <w:rStyle w:val="FootnoteReference"/>
        </w:rPr>
        <w:footnoteRef/>
      </w:r>
      <w:r>
        <w:t xml:space="preserve"> Transliterated proper noun: Nephusim. Standard English equivalent: Nephusim. Source form: Nephusim. Greek form: ναφισων. Name meaning: diminished; torn in pieces.</w:t>
      </w:r>
    </w:p>
  </w:footnote>
  <w:footnote w:id="9513">
    <w:p>
      <w:pPr>
        <w:pStyle w:val="FootnoteText"/>
      </w:pPr>
      <w:r>
        <w:rPr>
          <w:rStyle w:val="FootnoteReference"/>
        </w:rPr>
        <w:footnoteRef/>
      </w:r>
      <w:r>
        <w:t xml:space="preserve"> Personal name: Bakbuk. Personal-name meaning: Bakbuk — bottle; flask. Source form: Bakbuk.</w:t>
      </w:r>
    </w:p>
  </w:footnote>
  <w:footnote w:id="9514">
    <w:p>
      <w:pPr>
        <w:pStyle w:val="FootnoteText"/>
      </w:pPr>
      <w:r>
        <w:rPr>
          <w:rStyle w:val="FootnoteReference"/>
        </w:rPr>
        <w:footnoteRef/>
      </w:r>
      <w:r>
        <w:t xml:space="preserve"> Personal name: Hakupha. Personal-name meaning: Hakupha — a commandment of the mouth. Source form: Hakupha.</w:t>
      </w:r>
    </w:p>
  </w:footnote>
  <w:footnote w:id="9515">
    <w:p>
      <w:pPr>
        <w:pStyle w:val="FootnoteText"/>
      </w:pPr>
      <w:r>
        <w:rPr>
          <w:rStyle w:val="FootnoteReference"/>
        </w:rPr>
        <w:footnoteRef/>
      </w:r>
      <w:r>
        <w:t xml:space="preserve"> Personal name: Harhur. Personal-name meaning: Harhur — made warm. Source form: Harhur.</w:t>
      </w:r>
    </w:p>
  </w:footnote>
  <w:footnote w:id="9516">
    <w:p>
      <w:pPr>
        <w:pStyle w:val="FootnoteText"/>
      </w:pPr>
      <w:r>
        <w:rPr>
          <w:rStyle w:val="FootnoteReference"/>
        </w:rPr>
        <w:footnoteRef/>
      </w:r>
      <w:r>
        <w:t xml:space="preserve"> Personal name: Bazluth. Personal-name meaning: Bazluth — stripped; spoiled. Source form: Bazluth.</w:t>
      </w:r>
    </w:p>
  </w:footnote>
  <w:footnote w:id="9517">
    <w:p>
      <w:pPr>
        <w:pStyle w:val="FootnoteText"/>
      </w:pPr>
      <w:r>
        <w:rPr>
          <w:rStyle w:val="FootnoteReference"/>
        </w:rPr>
        <w:footnoteRef/>
      </w:r>
      <w:r>
        <w:t xml:space="preserve"> Personal name: Mehida. Personal-name meaning: Mehida — a riddle; sharpness of wit. Source form: Mehida.</w:t>
      </w:r>
    </w:p>
  </w:footnote>
  <w:footnote w:id="9518">
    <w:p>
      <w:pPr>
        <w:pStyle w:val="FootnoteText"/>
      </w:pPr>
      <w:r>
        <w:rPr>
          <w:rStyle w:val="FootnoteReference"/>
        </w:rPr>
        <w:footnoteRef/>
      </w:r>
      <w:r>
        <w:t xml:space="preserve"> Personal name: Harsha. Personal-name meaning: Harsha — workmanship; a wood. Source form: Harsha.</w:t>
      </w:r>
    </w:p>
  </w:footnote>
  <w:footnote w:id="9519">
    <w:p>
      <w:pPr>
        <w:pStyle w:val="FootnoteText"/>
      </w:pPr>
      <w:r>
        <w:rPr>
          <w:rStyle w:val="FootnoteReference"/>
        </w:rPr>
        <w:footnoteRef/>
      </w:r>
      <w:r>
        <w:t xml:space="preserve"> Cross-references for "Bazluth": Neh 7:54.</w:t>
      </w:r>
    </w:p>
  </w:footnote>
  <w:footnote w:id="9520">
    <w:p>
      <w:pPr>
        <w:pStyle w:val="FootnoteText"/>
      </w:pPr>
      <w:r>
        <w:rPr>
          <w:rStyle w:val="FootnoteReference"/>
        </w:rPr>
        <w:footnoteRef/>
      </w:r>
      <w:r>
        <w:t xml:space="preserve"> Personal name: Barkos. Personal-name meaning: Barkos — son of Kos; painter-colored one. Source form: Barkos.</w:t>
      </w:r>
    </w:p>
  </w:footnote>
  <w:footnote w:id="9521">
    <w:p>
      <w:pPr>
        <w:pStyle w:val="FootnoteText"/>
      </w:pPr>
      <w:r>
        <w:rPr>
          <w:rStyle w:val="FootnoteReference"/>
        </w:rPr>
        <w:footnoteRef/>
      </w:r>
      <w:r>
        <w:t xml:space="preserve"> Transliterated proper noun: Thamah. Standard English equivalent: Thamah. Source form: Thamah. Greek form: θεμα. Name meaning: that blots out; that suppresses.</w:t>
      </w:r>
    </w:p>
  </w:footnote>
  <w:footnote w:id="9522">
    <w:p>
      <w:pPr>
        <w:pStyle w:val="FootnoteText"/>
      </w:pPr>
      <w:r>
        <w:rPr>
          <w:rStyle w:val="FootnoteReference"/>
        </w:rPr>
        <w:footnoteRef/>
      </w:r>
      <w:r>
        <w:t xml:space="preserve"> Cross-references for "Thamah": Neh 7:55.</w:t>
      </w:r>
    </w:p>
  </w:footnote>
  <w:footnote w:id="9523">
    <w:p>
      <w:pPr>
        <w:pStyle w:val="FootnoteText"/>
      </w:pPr>
      <w:r>
        <w:rPr>
          <w:rStyle w:val="FootnoteReference"/>
        </w:rPr>
        <w:footnoteRef/>
      </w:r>
      <w:r>
        <w:t xml:space="preserve"> Cross-references for "Solomon's": 1Kgs 9:21.</w:t>
      </w:r>
    </w:p>
  </w:footnote>
  <w:footnote w:id="9524">
    <w:p>
      <w:pPr>
        <w:pStyle w:val="FootnoteText"/>
      </w:pPr>
      <w:r>
        <w:rPr>
          <w:rStyle w:val="FootnoteReference"/>
        </w:rPr>
        <w:footnoteRef/>
      </w:r>
      <w:r>
        <w:t xml:space="preserve"> Personal name: Sotai. Personal-name meaning: Sotai — conclusion in pleading; binding. Source form: Sotai.</w:t>
      </w:r>
    </w:p>
  </w:footnote>
  <w:footnote w:id="9525">
    <w:p>
      <w:pPr>
        <w:pStyle w:val="FootnoteText"/>
      </w:pPr>
      <w:r>
        <w:rPr>
          <w:rStyle w:val="FootnoteReference"/>
        </w:rPr>
        <w:footnoteRef/>
      </w:r>
      <w:r>
        <w:t xml:space="preserve"> Transliterated proper noun: Sophereth. Standard English equivalent: Sophereth. Source form: Sophereth. Greek form: ασεφηραθ. Name meaning: scribe, numbering.</w:t>
      </w:r>
    </w:p>
  </w:footnote>
  <w:footnote w:id="9526">
    <w:p>
      <w:pPr>
        <w:pStyle w:val="FootnoteText"/>
      </w:pPr>
      <w:r>
        <w:rPr>
          <w:rStyle w:val="FootnoteReference"/>
        </w:rPr>
        <w:footnoteRef/>
      </w:r>
      <w:r>
        <w:t xml:space="preserve"> Personal name: Darkon. Personal-name meaning: Darkon — of generation; of possession. Source form: Darkon.</w:t>
      </w:r>
    </w:p>
  </w:footnote>
  <w:footnote w:id="9527">
    <w:p>
      <w:pPr>
        <w:pStyle w:val="FootnoteText"/>
      </w:pPr>
      <w:r>
        <w:rPr>
          <w:rStyle w:val="FootnoteReference"/>
        </w:rPr>
        <w:footnoteRef/>
      </w:r>
      <w:r>
        <w:t xml:space="preserve"> MT/LXX note: The Septuagint preserves a different family-name form from the Masoretic spelling. The translation keeps the Greek name.</w:t>
      </w:r>
    </w:p>
  </w:footnote>
  <w:footnote w:id="9528">
    <w:p>
      <w:pPr>
        <w:pStyle w:val="FootnoteText"/>
      </w:pPr>
      <w:r>
        <w:rPr>
          <w:rStyle w:val="FootnoteReference"/>
        </w:rPr>
        <w:footnoteRef/>
      </w:r>
      <w:r>
        <w:t xml:space="preserve"> Personal name: Hattil. Personal-name meaning: Hattil — howling for sin. Source form: Hattil.</w:t>
      </w:r>
    </w:p>
  </w:footnote>
  <w:footnote w:id="9529">
    <w:p>
      <w:pPr>
        <w:pStyle w:val="FootnoteText"/>
      </w:pPr>
      <w:r>
        <w:rPr>
          <w:rStyle w:val="FootnoteReference"/>
        </w:rPr>
        <w:footnoteRef/>
      </w:r>
      <w:r>
        <w:t xml:space="preserve"> Cross-references for "Solomon's": 1Kgs 9:21.</w:t>
      </w:r>
    </w:p>
  </w:footnote>
  <w:footnote w:id="9530">
    <w:p>
      <w:pPr>
        <w:pStyle w:val="FootnoteText"/>
      </w:pPr>
      <w:r>
        <w:rPr>
          <w:rStyle w:val="FootnoteReference"/>
        </w:rPr>
        <w:footnoteRef/>
      </w:r>
      <w:r>
        <w:t xml:space="preserve"> Transliterated proper noun: Telmelah. Standard English equivalent: Telmelah. Source form: Telmelah. Greek form: θελμελεθ. Name meaning: heap of salt.</w:t>
      </w:r>
    </w:p>
  </w:footnote>
  <w:footnote w:id="9531">
    <w:p>
      <w:pPr>
        <w:pStyle w:val="FootnoteText"/>
      </w:pPr>
      <w:r>
        <w:rPr>
          <w:rStyle w:val="FootnoteReference"/>
        </w:rPr>
        <w:footnoteRef/>
      </w:r>
      <w:r>
        <w:t xml:space="preserve"> Transliterated proper noun: Telharsa. Standard English equivalent: Telharsa. Source form: Telharsa. Greek form: θελαρησα. Name meaning: suspension of the plow.</w:t>
      </w:r>
    </w:p>
  </w:footnote>
  <w:footnote w:id="9532">
    <w:p>
      <w:pPr>
        <w:pStyle w:val="FootnoteText"/>
      </w:pPr>
      <w:r>
        <w:rPr>
          <w:rStyle w:val="FootnoteReference"/>
        </w:rPr>
        <w:footnoteRef/>
      </w:r>
      <w:r>
        <w:t xml:space="preserve"> Place name: Cherub. Place-name meaning: Cherub — guardian being; blessing. Source form: Cherub. Greek form: χαρουβ.</w:t>
      </w:r>
    </w:p>
  </w:footnote>
  <w:footnote w:id="9533">
    <w:p>
      <w:pPr>
        <w:pStyle w:val="FootnoteText"/>
      </w:pPr>
      <w:r>
        <w:rPr>
          <w:rStyle w:val="FootnoteReference"/>
        </w:rPr>
        <w:footnoteRef/>
      </w:r>
      <w:r>
        <w:t xml:space="preserve"> Cross-references for "Telharsa": Neh 7:61.</w:t>
      </w:r>
    </w:p>
  </w:footnote>
  <w:footnote w:id="9534">
    <w:p>
      <w:pPr>
        <w:pStyle w:val="FootnoteText"/>
      </w:pPr>
      <w:r>
        <w:rPr>
          <w:rStyle w:val="FootnoteReference"/>
        </w:rPr>
        <w:footnoteRef/>
      </w:r>
      <w:r>
        <w:t xml:space="preserve"> Cross-references for "of Delaiah": Neh 7:62.</w:t>
      </w:r>
    </w:p>
  </w:footnote>
  <w:footnote w:id="9535">
    <w:p>
      <w:pPr>
        <w:pStyle w:val="FootnoteText"/>
      </w:pPr>
      <w:r>
        <w:rPr>
          <w:rStyle w:val="FootnoteReference"/>
        </w:rPr>
        <w:footnoteRef/>
      </w:r>
      <w:r>
        <w:t xml:space="preserve"> Personal name: Tobiah. Personal-name meaning: Tobiah — the Lord is good. Source form: Tobiah.</w:t>
      </w:r>
    </w:p>
  </w:footnote>
  <w:footnote w:id="9536">
    <w:p>
      <w:pPr>
        <w:pStyle w:val="FootnoteText"/>
      </w:pPr>
      <w:r>
        <w:rPr>
          <w:rStyle w:val="FootnoteReference"/>
        </w:rPr>
        <w:footnoteRef/>
      </w:r>
      <w:r>
        <w:t xml:space="preserve"> Personal name: Habaiah. Personal-name meaning: Habaiah — the hiding of the Lord. Source form: Habaiah.</w:t>
      </w:r>
    </w:p>
  </w:footnote>
  <w:footnote w:id="9537">
    <w:p>
      <w:pPr>
        <w:pStyle w:val="FootnoteText"/>
      </w:pPr>
      <w:r>
        <w:rPr>
          <w:rStyle w:val="FootnoteReference"/>
        </w:rPr>
        <w:footnoteRef/>
      </w:r>
      <w:r>
        <w:t xml:space="preserve"> Cross-references for "Barzillai": 2Sam 17:27; 2Sam 19:31-39.</w:t>
      </w:r>
    </w:p>
  </w:footnote>
  <w:footnote w:id="9538">
    <w:p>
      <w:pPr>
        <w:pStyle w:val="FootnoteText"/>
      </w:pPr>
      <w:r>
        <w:rPr>
          <w:rStyle w:val="FootnoteReference"/>
        </w:rPr>
        <w:footnoteRef/>
      </w:r>
      <w:r>
        <w:t xml:space="preserve"> Transliterated proper noun: Tirshatha. Standard English equivalent: Tirshatha. Source form: Tirshatha. Greek form: αθερσαθα. Name meaning: governor; feared official.</w:t>
      </w:r>
    </w:p>
  </w:footnote>
  <w:footnote w:id="9539">
    <w:p>
      <w:pPr>
        <w:pStyle w:val="FootnoteText"/>
      </w:pPr>
      <w:r>
        <w:rPr>
          <w:rStyle w:val="FootnoteReference"/>
        </w:rPr>
        <w:footnoteRef/>
      </w:r>
      <w:r>
        <w:t xml:space="preserve"> Cross-references for "Tirshatha": Neh 7:65; Neh 8:9.</w:t>
      </w:r>
    </w:p>
  </w:footnote>
  <w:footnote w:id="9540">
    <w:p>
      <w:pPr>
        <w:pStyle w:val="FootnoteText"/>
      </w:pPr>
      <w:r>
        <w:rPr>
          <w:rStyle w:val="FootnoteReference"/>
        </w:rPr>
        <w:footnoteRef/>
      </w:r>
      <w:r>
        <w:t xml:space="preserve"> Cross-references for "forty": Ezra 9:8; Neh 7:66-69.</w:t>
      </w:r>
    </w:p>
  </w:footnote>
  <w:footnote w:id="9541">
    <w:p>
      <w:pPr>
        <w:pStyle w:val="FootnoteText"/>
      </w:pPr>
      <w:r>
        <w:rPr>
          <w:rStyle w:val="FootnoteReference"/>
        </w:rPr>
        <w:footnoteRef/>
      </w:r>
      <w:r>
        <w:t xml:space="preserve"> Cross-references for "two hundred": Exod 15:20-21; 2Sam 19:35.</w:t>
      </w:r>
    </w:p>
  </w:footnote>
  <w:footnote w:id="9542">
    <w:p>
      <w:pPr>
        <w:pStyle w:val="FootnoteText"/>
      </w:pPr>
      <w:r>
        <w:rPr>
          <w:rStyle w:val="FootnoteReference"/>
        </w:rPr>
        <w:footnoteRef/>
      </w:r>
      <w:r>
        <w:t xml:space="preserve"> Cross-references for "the seventh": Exod 23:14-17; Lev 16:29.</w:t>
      </w:r>
    </w:p>
  </w:footnote>
  <w:footnote w:id="9543">
    <w:p>
      <w:pPr>
        <w:pStyle w:val="FootnoteText"/>
      </w:pPr>
      <w:r>
        <w:rPr>
          <w:rStyle w:val="FootnoteReference"/>
        </w:rPr>
        <w:footnoteRef/>
      </w:r>
      <w:r>
        <w:t xml:space="preserve"> Cross-references for "Jeshua": Hag 1:1; Hag 1:12.</w:t>
      </w:r>
    </w:p>
  </w:footnote>
  <w:footnote w:id="9544">
    <w:p>
      <w:pPr>
        <w:pStyle w:val="FootnoteText"/>
      </w:pPr>
      <w:r>
        <w:rPr>
          <w:rStyle w:val="FootnoteReference"/>
        </w:rPr>
        <w:footnoteRef/>
      </w:r>
      <w:r>
        <w:t xml:space="preserve"> Personal name: Jozadak. Personal-name meaning: Jozadak — Yahweh is righteous; justice of the Lord. Source form: Jozadak.</w:t>
      </w:r>
    </w:p>
  </w:footnote>
  <w:footnote w:id="9545">
    <w:p>
      <w:pPr>
        <w:pStyle w:val="FootnoteText"/>
      </w:pPr>
      <w:r>
        <w:rPr>
          <w:rStyle w:val="FootnoteReference"/>
        </w:rPr>
        <w:footnoteRef/>
      </w:r>
      <w:r>
        <w:t xml:space="preserve"> Translation note: Greek line matches current altar-building wording closely.</w:t>
      </w:r>
    </w:p>
  </w:footnote>
  <w:footnote w:id="9546">
    <w:p>
      <w:pPr>
        <w:pStyle w:val="FootnoteText"/>
      </w:pPr>
      <w:r>
        <w:rPr>
          <w:rStyle w:val="FootnoteReference"/>
        </w:rPr>
        <w:footnoteRef/>
      </w:r>
      <w:r>
        <w:t xml:space="preserve"> Cross-references for "the altar": 2Chr 4:1.</w:t>
      </w:r>
    </w:p>
  </w:footnote>
  <w:footnote w:id="9547">
    <w:p>
      <w:pPr>
        <w:pStyle w:val="FootnoteText"/>
      </w:pPr>
      <w:r>
        <w:rPr>
          <w:rStyle w:val="FootnoteReference"/>
        </w:rPr>
        <w:footnoteRef/>
      </w:r>
      <w:r>
        <w:t xml:space="preserve"> Cross-references for "the continual": Exod 29:38-42; Num 28:3-10.</w:t>
      </w:r>
    </w:p>
  </w:footnote>
  <w:footnote w:id="9548">
    <w:p>
      <w:pPr>
        <w:pStyle w:val="FootnoteText"/>
      </w:pPr>
      <w:r>
        <w:rPr>
          <w:rStyle w:val="FootnoteReference"/>
        </w:rPr>
        <w:footnoteRef/>
      </w:r>
      <w:r>
        <w:t xml:space="preserve"> Cross-references for "Joppa": 2Chr 2:16; Jonah 1:3.</w:t>
      </w:r>
    </w:p>
  </w:footnote>
  <w:footnote w:id="9549">
    <w:p>
      <w:pPr>
        <w:pStyle w:val="FootnoteText"/>
      </w:pPr>
      <w:r>
        <w:rPr>
          <w:rStyle w:val="FootnoteReference"/>
        </w:rPr>
        <w:footnoteRef/>
      </w:r>
      <w:r>
        <w:t xml:space="preserve"> Translation note: Greek uses an administrative grant term and names the Persians in plural form. The translation follows that wording.</w:t>
      </w:r>
    </w:p>
  </w:footnote>
  <w:footnote w:id="9550">
    <w:p>
      <w:pPr>
        <w:pStyle w:val="FootnoteText"/>
      </w:pPr>
      <w:r>
        <w:rPr>
          <w:rStyle w:val="FootnoteReference"/>
        </w:rPr>
        <w:footnoteRef/>
      </w:r>
      <w:r>
        <w:t xml:space="preserve"> Cross-references for "Zerubbabel": Ezra 3:2.</w:t>
      </w:r>
    </w:p>
  </w:footnote>
  <w:footnote w:id="9551">
    <w:p>
      <w:pPr>
        <w:pStyle w:val="FootnoteText"/>
      </w:pPr>
      <w:r>
        <w:rPr>
          <w:rStyle w:val="FootnoteReference"/>
        </w:rPr>
        <w:footnoteRef/>
      </w:r>
      <w:r>
        <w:t xml:space="preserve"> Cross-references for "Jeshua": Ezra 2:40.</w:t>
      </w:r>
    </w:p>
  </w:footnote>
  <w:footnote w:id="9552">
    <w:p>
      <w:pPr>
        <w:pStyle w:val="FootnoteText"/>
      </w:pPr>
      <w:r>
        <w:rPr>
          <w:rStyle w:val="FootnoteReference"/>
        </w:rPr>
        <w:footnoteRef/>
      </w:r>
      <w:r>
        <w:t xml:space="preserve"> Translation note: The Greek phrase is direct and participial. The English keeps that construction instead of reducing it to a more abstract supervisory phrase.</w:t>
      </w:r>
    </w:p>
  </w:footnote>
  <w:footnote w:id="9553">
    <w:p>
      <w:pPr>
        <w:pStyle w:val="FootnoteText"/>
      </w:pPr>
      <w:r>
        <w:rPr>
          <w:rStyle w:val="FootnoteReference"/>
        </w:rPr>
        <w:footnoteRef/>
      </w:r>
      <w:r>
        <w:t xml:space="preserve"> Personal name: Henadad. Personal-name meaning: Henadad — grace of the beloved. Source form: Henadad.</w:t>
      </w:r>
    </w:p>
  </w:footnote>
  <w:footnote w:id="9554">
    <w:p>
      <w:pPr>
        <w:pStyle w:val="FootnoteText"/>
      </w:pPr>
      <w:r>
        <w:rPr>
          <w:rStyle w:val="FootnoteReference"/>
        </w:rPr>
        <w:footnoteRef/>
      </w:r>
      <w:r>
        <w:t xml:space="preserve"> Cross-references for "trumpets": Num 10:1-10; 1Chr 15:24.</w:t>
      </w:r>
    </w:p>
  </w:footnote>
  <w:footnote w:id="9555">
    <w:p>
      <w:pPr>
        <w:pStyle w:val="FootnoteText"/>
      </w:pPr>
      <w:r>
        <w:rPr>
          <w:rStyle w:val="FootnoteReference"/>
        </w:rPr>
        <w:footnoteRef/>
      </w:r>
      <w:r>
        <w:t xml:space="preserve"> Translation note: Greek says they answered in praise and thanksgiving.</w:t>
      </w:r>
    </w:p>
  </w:footnote>
  <w:footnote w:id="9556">
    <w:p>
      <w:pPr>
        <w:pStyle w:val="FootnoteText"/>
      </w:pPr>
      <w:r>
        <w:rPr>
          <w:rStyle w:val="FootnoteReference"/>
        </w:rPr>
        <w:footnoteRef/>
      </w:r>
      <w:r>
        <w:t xml:space="preserve"> Cross-references for "shouted": Josh 6:5; Josh 6:10.</w:t>
      </w:r>
    </w:p>
  </w:footnote>
  <w:footnote w:id="9557">
    <w:p>
      <w:pPr>
        <w:pStyle w:val="FootnoteText"/>
      </w:pPr>
      <w:r>
        <w:rPr>
          <w:rStyle w:val="FootnoteReference"/>
        </w:rPr>
        <w:footnoteRef/>
      </w:r>
      <w:r>
        <w:t xml:space="preserve"> Translation note: Greek says the crowd in joyful shouting was raising song.</w:t>
      </w:r>
    </w:p>
  </w:footnote>
  <w:footnote w:id="9558">
    <w:p>
      <w:pPr>
        <w:pStyle w:val="FootnoteText"/>
      </w:pPr>
      <w:r>
        <w:rPr>
          <w:rStyle w:val="FootnoteReference"/>
        </w:rPr>
        <w:footnoteRef/>
      </w:r>
      <w:r>
        <w:t xml:space="preserve"> Cross-references for "Zerubbabel": Ezra 1:5; Ezra 2:2.</w:t>
      </w:r>
    </w:p>
  </w:footnote>
  <w:footnote w:id="9559">
    <w:p>
      <w:pPr>
        <w:pStyle w:val="FootnoteText"/>
      </w:pPr>
      <w:r>
        <w:rPr>
          <w:rStyle w:val="FootnoteReference"/>
        </w:rPr>
        <w:footnoteRef/>
      </w:r>
      <w:r>
        <w:t xml:space="preserve"> Translation note: Greek says seek your God here. Current line keeps it.</w:t>
      </w:r>
    </w:p>
  </w:footnote>
  <w:footnote w:id="9560">
    <w:p>
      <w:pPr>
        <w:pStyle w:val="FootnoteText"/>
      </w:pPr>
      <w:r>
        <w:rPr>
          <w:rStyle w:val="FootnoteReference"/>
        </w:rPr>
        <w:footnoteRef/>
      </w:r>
      <w:r>
        <w:t xml:space="preserve"> Name meaning: Darius (Darayavahush) — Holder of the good; one who holds firm. Persian royal name borne by kings connected with temple-era events.</w:t>
      </w:r>
    </w:p>
  </w:footnote>
  <w:footnote w:id="9561">
    <w:p>
      <w:pPr>
        <w:pStyle w:val="FootnoteText"/>
      </w:pPr>
      <w:r>
        <w:rPr>
          <w:rStyle w:val="FootnoteReference"/>
        </w:rPr>
        <w:footnoteRef/>
      </w:r>
      <w:r>
        <w:t xml:space="preserve"> Cross-references for "Darius": Ezra 4:24; Ezra 5:5-17.</w:t>
      </w:r>
    </w:p>
  </w:footnote>
  <w:footnote w:id="9562">
    <w:p>
      <w:pPr>
        <w:pStyle w:val="FootnoteText"/>
      </w:pPr>
      <w:r>
        <w:rPr>
          <w:rStyle w:val="FootnoteReference"/>
        </w:rPr>
        <w:footnoteRef/>
      </w:r>
      <w:r>
        <w:t xml:space="preserve"> Personal name: Ahasuerus. Personal-name meaning: Ahasuerus — prince; head; chief. Source form: Ahasuerus.</w:t>
      </w:r>
    </w:p>
  </w:footnote>
  <w:footnote w:id="9563">
    <w:p>
      <w:pPr>
        <w:pStyle w:val="FootnoteText"/>
      </w:pPr>
      <w:r>
        <w:rPr>
          <w:rStyle w:val="FootnoteReference"/>
        </w:rPr>
        <w:footnoteRef/>
      </w:r>
      <w:r>
        <w:t xml:space="preserve"> Cross-references for "wrote": Matt 27:37; Acts 24:5-9.</w:t>
      </w:r>
    </w:p>
  </w:footnote>
  <w:footnote w:id="9564">
    <w:p>
      <w:pPr>
        <w:pStyle w:val="FootnoteText"/>
      </w:pPr>
      <w:r>
        <w:rPr>
          <w:rStyle w:val="FootnoteReference"/>
        </w:rPr>
        <w:footnoteRef/>
      </w:r>
      <w:r>
        <w:t xml:space="preserve"> Personal name: Tabeel. Personal-name meaning: Tabeel — good God. Source form: Tabeel.</w:t>
      </w:r>
    </w:p>
  </w:footnote>
  <w:footnote w:id="9565">
    <w:p>
      <w:pPr>
        <w:pStyle w:val="FootnoteText"/>
      </w:pPr>
      <w:r>
        <w:rPr>
          <w:rStyle w:val="FootnoteReference"/>
        </w:rPr>
        <w:footnoteRef/>
      </w:r>
      <w:r>
        <w:t xml:space="preserve"> Translation note: Greek keeps unusual tax-writer wording here.</w:t>
      </w:r>
    </w:p>
  </w:footnote>
  <w:footnote w:id="9566">
    <w:p>
      <w:pPr>
        <w:pStyle w:val="FootnoteText"/>
      </w:pPr>
      <w:r>
        <w:rPr>
          <w:rStyle w:val="FootnoteReference"/>
        </w:rPr>
        <w:footnoteRef/>
      </w:r>
      <w:r>
        <w:t xml:space="preserve"> Personal name: Shimshai. Personal-name meaning: Shimshai — my son. Source form: Shimshai.</w:t>
      </w:r>
    </w:p>
  </w:footnote>
  <w:footnote w:id="9567">
    <w:p>
      <w:pPr>
        <w:pStyle w:val="FootnoteText"/>
      </w:pPr>
      <w:r>
        <w:rPr>
          <w:rStyle w:val="FootnoteReference"/>
        </w:rPr>
        <w:footnoteRef/>
      </w:r>
      <w:r>
        <w:t xml:space="preserve"> Cross-references for "scribe": 2Sam 8:17; 2Sam 20:25.</w:t>
      </w:r>
    </w:p>
  </w:footnote>
  <w:footnote w:id="9568">
    <w:p>
      <w:pPr>
        <w:pStyle w:val="FootnoteText"/>
      </w:pPr>
      <w:r>
        <w:rPr>
          <w:rStyle w:val="FootnoteReference"/>
        </w:rPr>
        <w:footnoteRef/>
      </w:r>
      <w:r>
        <w:t xml:space="preserve"> MT/LXX note: Greek heading differs from smoother MT-shaped titles here. Current line keeps fellow-servants wording.</w:t>
      </w:r>
    </w:p>
  </w:footnote>
  <w:footnote w:id="9569">
    <w:p>
      <w:pPr>
        <w:pStyle w:val="FootnoteText"/>
      </w:pPr>
      <w:r>
        <w:rPr>
          <w:rStyle w:val="FootnoteReference"/>
        </w:rPr>
        <w:footnoteRef/>
      </w:r>
      <w:r>
        <w:t xml:space="preserve"> Transliterated proper noun: Apharsathchites. Standard English equivalent: Apharsathchites. Source form: Apharsathchites. Greek form: αφαρσαθαχαιοι. Name meaning: Apharsites (from a root meaning) dividing or rending.</w:t>
      </w:r>
    </w:p>
  </w:footnote>
  <w:footnote w:id="9570">
    <w:p>
      <w:pPr>
        <w:pStyle w:val="FootnoteText"/>
      </w:pPr>
      <w:r>
        <w:rPr>
          <w:rStyle w:val="FootnoteReference"/>
        </w:rPr>
        <w:footnoteRef/>
      </w:r>
      <w:r>
        <w:t xml:space="preserve"> People-name: Babylonians. People-name meaning: Babylonians — confusion; mixture. Source form: Babylonians.</w:t>
      </w:r>
    </w:p>
  </w:footnote>
  <w:footnote w:id="9571">
    <w:p>
      <w:pPr>
        <w:pStyle w:val="FootnoteText"/>
      </w:pPr>
      <w:r>
        <w:rPr>
          <w:rStyle w:val="FootnoteReference"/>
        </w:rPr>
        <w:footnoteRef/>
      </w:r>
      <w:r>
        <w:t xml:space="preserve"> People-name: Elamites. People-name meaning: Elamites — a young man; a virgin; a secret. Source form: Elamites.</w:t>
      </w:r>
    </w:p>
  </w:footnote>
  <w:footnote w:id="9572">
    <w:p>
      <w:pPr>
        <w:pStyle w:val="FootnoteText"/>
      </w:pPr>
      <w:r>
        <w:rPr>
          <w:rStyle w:val="FootnoteReference"/>
        </w:rPr>
        <w:footnoteRef/>
      </w:r>
      <w:r>
        <w:t xml:space="preserve"> Cross-references for "Apharsathchites": Ezra 5:6; Ezra 6:6.</w:t>
      </w:r>
    </w:p>
  </w:footnote>
  <w:footnote w:id="9573">
    <w:p>
      <w:pPr>
        <w:pStyle w:val="FootnoteText"/>
      </w:pPr>
      <w:r>
        <w:rPr>
          <w:rStyle w:val="FootnoteReference"/>
        </w:rPr>
        <w:footnoteRef/>
      </w:r>
      <w:r>
        <w:t xml:space="preserve"> Cross-references for "and the rest": 2Kgs 17:24-41; Ezra 4:1.</w:t>
      </w:r>
    </w:p>
  </w:footnote>
  <w:footnote w:id="9574">
    <w:p>
      <w:pPr>
        <w:pStyle w:val="FootnoteText"/>
      </w:pPr>
      <w:r>
        <w:rPr>
          <w:rStyle w:val="FootnoteReference"/>
        </w:rPr>
        <w:footnoteRef/>
      </w:r>
      <w:r>
        <w:t xml:space="preserve"> Transliterated proper noun: Asnapper. Standard English equivalent: Asnapper. Source form: Asnapper. Greek form: ασενναφαρ. Name meaning: unhappiness; increase of danger.</w:t>
      </w:r>
    </w:p>
  </w:footnote>
  <w:footnote w:id="9575">
    <w:p>
      <w:pPr>
        <w:pStyle w:val="FootnoteText"/>
      </w:pPr>
      <w:r>
        <w:rPr>
          <w:rStyle w:val="FootnoteReference"/>
        </w:rPr>
        <w:footnoteRef/>
      </w:r>
      <w:r>
        <w:t xml:space="preserve"> People-name: Jews. People-name meaning: Jews — People of Judah; Judeans. Source form: Jews.</w:t>
      </w:r>
    </w:p>
  </w:footnote>
  <w:footnote w:id="9576">
    <w:p>
      <w:pPr>
        <w:pStyle w:val="FootnoteText"/>
      </w:pPr>
      <w:r>
        <w:rPr>
          <w:rStyle w:val="FootnoteReference"/>
        </w:rPr>
        <w:footnoteRef/>
      </w:r>
      <w:r>
        <w:t xml:space="preserve"> Cross-references for "rebellious": 2Kgs 18:20; 2Kgs 24:1.</w:t>
      </w:r>
    </w:p>
  </w:footnote>
  <w:footnote w:id="9577">
    <w:p>
      <w:pPr>
        <w:pStyle w:val="FootnoteText"/>
      </w:pPr>
      <w:r>
        <w:rPr>
          <w:rStyle w:val="FootnoteReference"/>
        </w:rPr>
        <w:footnoteRef/>
      </w:r>
      <w:r>
        <w:t xml:space="preserve"> Translation note: Greek explicitly mentions runaways of slaves here.</w:t>
      </w:r>
    </w:p>
  </w:footnote>
  <w:footnote w:id="9578">
    <w:p>
      <w:pPr>
        <w:pStyle w:val="FootnoteText"/>
      </w:pPr>
      <w:r>
        <w:rPr>
          <w:rStyle w:val="FootnoteReference"/>
        </w:rPr>
        <w:footnoteRef/>
      </w:r>
      <w:r>
        <w:t xml:space="preserve"> Cross-references for "Peace": Ezra 5:7; Ezra 7:12.</w:t>
      </w:r>
    </w:p>
  </w:footnote>
  <w:footnote w:id="9579">
    <w:p>
      <w:pPr>
        <w:pStyle w:val="FootnoteText"/>
      </w:pPr>
      <w:r>
        <w:rPr>
          <w:rStyle w:val="FootnoteReference"/>
        </w:rPr>
        <w:footnoteRef/>
      </w:r>
      <w:r>
        <w:t xml:space="preserve"> Cross-references for "beyond": Gen 15:18; Josh 1:3-4.</w:t>
      </w:r>
    </w:p>
  </w:footnote>
  <w:footnote w:id="9580">
    <w:p>
      <w:pPr>
        <w:pStyle w:val="FootnoteText"/>
      </w:pPr>
      <w:r>
        <w:rPr>
          <w:rStyle w:val="FootnoteReference"/>
        </w:rPr>
        <w:footnoteRef/>
      </w:r>
      <w:r>
        <w:t xml:space="preserve"> Translation note: Greek says tax-document and stopped them with horses and force.</w:t>
      </w:r>
    </w:p>
  </w:footnote>
  <w:footnote w:id="9581">
    <w:p>
      <w:pPr>
        <w:pStyle w:val="FootnoteText"/>
      </w:pPr>
      <w:r>
        <w:rPr>
          <w:rStyle w:val="FootnoteReference"/>
        </w:rPr>
        <w:footnoteRef/>
      </w:r>
      <w:r>
        <w:t xml:space="preserve"> Cross-references for "Rehum": Ezra 4:8-9; Ezra 4:17.</w:t>
      </w:r>
    </w:p>
  </w:footnote>
  <w:footnote w:id="9582">
    <w:p>
      <w:pPr>
        <w:pStyle w:val="FootnoteText"/>
      </w:pPr>
      <w:r>
        <w:rPr>
          <w:rStyle w:val="FootnoteReference"/>
        </w:rPr>
        <w:footnoteRef/>
      </w:r>
      <w:r>
        <w:t xml:space="preserve"> Cross-references for "Darius": Ezra 5:5; Ezra 6:1.</w:t>
      </w:r>
    </w:p>
  </w:footnote>
  <w:footnote w:id="9583">
    <w:p>
      <w:pPr>
        <w:pStyle w:val="FootnoteText"/>
      </w:pPr>
      <w:r>
        <w:rPr>
          <w:rStyle w:val="FootnoteReference"/>
        </w:rPr>
        <w:footnoteRef/>
      </w:r>
      <w:r>
        <w:t xml:space="preserve"> Name meaning: Haggai (Chaggay) — Festal; my feasts. Urged the people to rebuild the Temple.</w:t>
      </w:r>
    </w:p>
  </w:footnote>
  <w:footnote w:id="9584">
    <w:p>
      <w:pPr>
        <w:pStyle w:val="FootnoteText"/>
      </w:pPr>
      <w:r>
        <w:rPr>
          <w:rStyle w:val="FootnoteReference"/>
        </w:rPr>
        <w:footnoteRef/>
      </w:r>
      <w:r>
        <w:t xml:space="preserve"> Cross-references for "Haggai": Hag 1:1-15.</w:t>
      </w:r>
    </w:p>
  </w:footnote>
  <w:footnote w:id="9585">
    <w:p>
      <w:pPr>
        <w:pStyle w:val="FootnoteText"/>
      </w:pPr>
      <w:r>
        <w:rPr>
          <w:rStyle w:val="FootnoteReference"/>
        </w:rPr>
        <w:footnoteRef/>
      </w:r>
      <w:r>
        <w:t xml:space="preserve"> Cross-references for "rose up": Ezra 3:2; Hag 1:12-15.</w:t>
      </w:r>
    </w:p>
  </w:footnote>
  <w:footnote w:id="9586">
    <w:p>
      <w:pPr>
        <w:pStyle w:val="FootnoteText"/>
      </w:pPr>
      <w:r>
        <w:rPr>
          <w:rStyle w:val="FootnoteReference"/>
        </w:rPr>
        <w:footnoteRef/>
      </w:r>
      <w:r>
        <w:t xml:space="preserve"> Transliterated proper noun: Tatnai. Standard English equivalent: Tatnai. Source form: Tatnai. Greek form: θανθαναι. Name meaning: that gives; the overseer of the gifts and tributes.</w:t>
      </w:r>
    </w:p>
  </w:footnote>
  <w:footnote w:id="9587">
    <w:p>
      <w:pPr>
        <w:pStyle w:val="FootnoteText"/>
      </w:pPr>
      <w:r>
        <w:rPr>
          <w:rStyle w:val="FootnoteReference"/>
        </w:rPr>
        <w:footnoteRef/>
      </w:r>
      <w:r>
        <w:t xml:space="preserve"> Transliterated proper noun: Shetharboznai. Standard English equivalent: Shetharboznai. Source form: Shetharboznai. Greek form: σαθαρβουζανα. Name meaning: that makes to rot; that seeks those who despise me.</w:t>
      </w:r>
    </w:p>
  </w:footnote>
  <w:footnote w:id="9588">
    <w:p>
      <w:pPr>
        <w:pStyle w:val="FootnoteText"/>
      </w:pPr>
      <w:r>
        <w:rPr>
          <w:rStyle w:val="FootnoteReference"/>
        </w:rPr>
        <w:footnoteRef/>
      </w:r>
      <w:r>
        <w:t xml:space="preserve"> Cross-references for "Tatnai": Ezra 5:6; Ezra 6:6.</w:t>
      </w:r>
    </w:p>
  </w:footnote>
  <w:footnote w:id="9589">
    <w:p>
      <w:pPr>
        <w:pStyle w:val="FootnoteText"/>
      </w:pPr>
      <w:r>
        <w:rPr>
          <w:rStyle w:val="FootnoteReference"/>
        </w:rPr>
        <w:footnoteRef/>
      </w:r>
      <w:r>
        <w:t xml:space="preserve"> Cross-references for "What are": Ezra 5:10.</w:t>
      </w:r>
    </w:p>
  </w:footnote>
  <w:footnote w:id="9590">
    <w:p>
      <w:pPr>
        <w:pStyle w:val="FootnoteText"/>
      </w:pPr>
      <w:r>
        <w:rPr>
          <w:rStyle w:val="FootnoteReference"/>
        </w:rPr>
        <w:footnoteRef/>
      </w:r>
      <w:r>
        <w:t xml:space="preserve"> Cross-references for "Copy": Ezra 4:11; Ezra 4:23.</w:t>
      </w:r>
    </w:p>
  </w:footnote>
  <w:footnote w:id="9591">
    <w:p>
      <w:pPr>
        <w:pStyle w:val="FootnoteText"/>
      </w:pPr>
      <w:r>
        <w:rPr>
          <w:rStyle w:val="FootnoteReference"/>
        </w:rPr>
        <w:footnoteRef/>
      </w:r>
      <w:r>
        <w:t xml:space="preserve"> Transliterated proper noun: Apharsachites. Standard English equivalent: Apharsachites. Source form: Apharsachites. Greek form: αφαρσαχαιοι. Name meaning: officials or people beyond the River; Persian administrative group.</w:t>
      </w:r>
    </w:p>
  </w:footnote>
  <w:footnote w:id="9592">
    <w:p>
      <w:pPr>
        <w:pStyle w:val="FootnoteText"/>
      </w:pPr>
      <w:r>
        <w:rPr>
          <w:rStyle w:val="FootnoteReference"/>
        </w:rPr>
        <w:footnoteRef/>
      </w:r>
      <w:r>
        <w:t xml:space="preserve"> Cross-references for "all peace": Ezra 4:17; Dan 3:9.</w:t>
      </w:r>
    </w:p>
  </w:footnote>
  <w:footnote w:id="9593">
    <w:p>
      <w:pPr>
        <w:pStyle w:val="FootnoteText"/>
      </w:pPr>
      <w:r>
        <w:rPr>
          <w:rStyle w:val="FootnoteReference"/>
        </w:rPr>
        <w:footnoteRef/>
      </w:r>
      <w:r>
        <w:t xml:space="preserve"> Cross-references for "the great God": Deut 10:17; Deut 32:31.</w:t>
      </w:r>
    </w:p>
  </w:footnote>
  <w:footnote w:id="9594">
    <w:p>
      <w:pPr>
        <w:pStyle w:val="FootnoteText"/>
      </w:pPr>
      <w:r>
        <w:rPr>
          <w:rStyle w:val="FootnoteReference"/>
        </w:rPr>
        <w:footnoteRef/>
      </w:r>
      <w:r>
        <w:t xml:space="preserve"> Cross-references for "asked": Ezra 5:4.</w:t>
      </w:r>
    </w:p>
  </w:footnote>
  <w:footnote w:id="9595">
    <w:p>
      <w:pPr>
        <w:pStyle w:val="FootnoteText"/>
      </w:pPr>
      <w:r>
        <w:rPr>
          <w:rStyle w:val="FootnoteReference"/>
        </w:rPr>
        <w:footnoteRef/>
      </w:r>
      <w:r>
        <w:t xml:space="preserve"> Cross-references for "We are": Josh 24:15; Ps 119:46.</w:t>
      </w:r>
    </w:p>
  </w:footnote>
  <w:footnote w:id="9596">
    <w:p>
      <w:pPr>
        <w:pStyle w:val="FootnoteText"/>
      </w:pPr>
      <w:r>
        <w:rPr>
          <w:rStyle w:val="FootnoteReference"/>
        </w:rPr>
        <w:footnoteRef/>
      </w:r>
      <w:r>
        <w:t xml:space="preserve"> Translation note: Greek gives the answer in formal report style. Current wording preserves that shape and the completed-it close.</w:t>
      </w:r>
    </w:p>
  </w:footnote>
  <w:footnote w:id="9597">
    <w:p>
      <w:pPr>
        <w:pStyle w:val="FootnoteText"/>
      </w:pPr>
      <w:r>
        <w:rPr>
          <w:rStyle w:val="FootnoteReference"/>
        </w:rPr>
        <w:footnoteRef/>
      </w:r>
      <w:r>
        <w:t xml:space="preserve"> Translation note: Greek says from time when our fathers provoked God of heaven.</w:t>
      </w:r>
    </w:p>
  </w:footnote>
  <w:footnote w:id="9598">
    <w:p>
      <w:pPr>
        <w:pStyle w:val="FootnoteText"/>
      </w:pPr>
      <w:r>
        <w:rPr>
          <w:rStyle w:val="FootnoteReference"/>
        </w:rPr>
        <w:footnoteRef/>
      </w:r>
      <w:r>
        <w:t xml:space="preserve"> Cross-references for "he gave": Deut 28:15-68; Deut 29:24-28.</w:t>
      </w:r>
    </w:p>
  </w:footnote>
  <w:footnote w:id="9599">
    <w:p>
      <w:pPr>
        <w:pStyle w:val="FootnoteText"/>
      </w:pPr>
      <w:r>
        <w:rPr>
          <w:rStyle w:val="FootnoteReference"/>
        </w:rPr>
        <w:footnoteRef/>
      </w:r>
      <w:r>
        <w:t xml:space="preserve"> Transliterated proper noun: Chaldean. Standard English equivalent: Chaldean. Source form: Chaldean. Greek form: χαλδαιου. Name meaning: as demons, or as robbers.</w:t>
      </w:r>
    </w:p>
  </w:footnote>
  <w:footnote w:id="9600">
    <w:p>
      <w:pPr>
        <w:pStyle w:val="FootnoteText"/>
      </w:pPr>
      <w:r>
        <w:rPr>
          <w:rStyle w:val="FootnoteReference"/>
        </w:rPr>
        <w:footnoteRef/>
      </w:r>
      <w:r>
        <w:t xml:space="preserve"> Cross-references for "Sheshbazzar": Ezra 1:11; Ezra 5:16.</w:t>
      </w:r>
    </w:p>
  </w:footnote>
  <w:footnote w:id="9601">
    <w:p>
      <w:pPr>
        <w:pStyle w:val="FootnoteText"/>
      </w:pPr>
      <w:r>
        <w:rPr>
          <w:rStyle w:val="FootnoteReference"/>
        </w:rPr>
        <w:footnoteRef/>
      </w:r>
      <w:r>
        <w:t xml:space="preserve"> MT/LXX note: The Septuagint names a treasury office here rather than using the Masoretic governor title. The translation follows the Greek wording.</w:t>
      </w:r>
    </w:p>
  </w:footnote>
  <w:footnote w:id="9602">
    <w:p>
      <w:pPr>
        <w:pStyle w:val="FootnoteText"/>
      </w:pPr>
      <w:r>
        <w:rPr>
          <w:rStyle w:val="FootnoteReference"/>
        </w:rPr>
        <w:footnoteRef/>
      </w:r>
      <w:r>
        <w:t xml:space="preserve"> Cross-references for "Sheshbazzar": Ezra 5:14.</w:t>
      </w:r>
    </w:p>
  </w:footnote>
  <w:footnote w:id="9603">
    <w:p>
      <w:pPr>
        <w:pStyle w:val="FootnoteText"/>
      </w:pPr>
      <w:r>
        <w:rPr>
          <w:rStyle w:val="FootnoteReference"/>
        </w:rPr>
        <w:footnoteRef/>
      </w:r>
      <w:r>
        <w:t xml:space="preserve"> Translation note: Greek keeps the sequence after knowing concerning this then let the king send to us.</w:t>
      </w:r>
    </w:p>
  </w:footnote>
  <w:footnote w:id="9604">
    <w:p>
      <w:pPr>
        <w:pStyle w:val="FootnoteText"/>
      </w:pPr>
      <w:r>
        <w:rPr>
          <w:rStyle w:val="FootnoteReference"/>
        </w:rPr>
        <w:footnoteRef/>
      </w:r>
      <w:r>
        <w:t xml:space="preserve"> Cross-references for "and search": Ezra 4:15; Ezra 4:19.</w:t>
      </w:r>
    </w:p>
  </w:footnote>
  <w:footnote w:id="9605">
    <w:p>
      <w:pPr>
        <w:pStyle w:val="FootnoteText"/>
      </w:pPr>
      <w:r>
        <w:rPr>
          <w:rStyle w:val="FootnoteReference"/>
        </w:rPr>
        <w:footnoteRef/>
      </w:r>
      <w:r>
        <w:t xml:space="preserve"> Cross-references for "the first year": 2Chr 36:22-23; Ezra 1:1-4.</w:t>
      </w:r>
    </w:p>
  </w:footnote>
  <w:footnote w:id="9606">
    <w:p>
      <w:pPr>
        <w:pStyle w:val="FootnoteText"/>
      </w:pPr>
      <w:r>
        <w:rPr>
          <w:rStyle w:val="FootnoteReference"/>
        </w:rPr>
        <w:footnoteRef/>
      </w:r>
      <w:r>
        <w:t xml:space="preserve"> Translation note: The Greek decree line is compact and direct. The current wording keeps that formula close to the source-row line.</w:t>
      </w:r>
    </w:p>
  </w:footnote>
  <w:footnote w:id="9607">
    <w:p>
      <w:pPr>
        <w:pStyle w:val="FootnoteText"/>
      </w:pPr>
      <w:r>
        <w:rPr>
          <w:rStyle w:val="FootnoteReference"/>
        </w:rPr>
        <w:footnoteRef/>
      </w:r>
      <w:r>
        <w:t xml:space="preserve"> Cross-references for "which Nebuchadnezzar": 2Kgs 24:13; 2Kgs 25:14-15.</w:t>
      </w:r>
    </w:p>
  </w:footnote>
  <w:footnote w:id="9608">
    <w:p>
      <w:pPr>
        <w:pStyle w:val="FootnoteText"/>
      </w:pPr>
      <w:r>
        <w:rPr>
          <w:rStyle w:val="FootnoteReference"/>
        </w:rPr>
        <w:footnoteRef/>
      </w:r>
      <w:r>
        <w:t xml:space="preserve"> Translation note: Greek says be returned and go here. Current line keeps that wording.</w:t>
      </w:r>
    </w:p>
  </w:footnote>
  <w:footnote w:id="9609">
    <w:p>
      <w:pPr>
        <w:pStyle w:val="FootnoteText"/>
      </w:pPr>
      <w:r>
        <w:rPr>
          <w:rStyle w:val="FootnoteReference"/>
        </w:rPr>
        <w:footnoteRef/>
      </w:r>
      <w:r>
        <w:t xml:space="preserve"> Translation note: Greek says carefully given here. Current line keeps that wording.</w:t>
      </w:r>
    </w:p>
  </w:footnote>
  <w:footnote w:id="9610">
    <w:p>
      <w:pPr>
        <w:pStyle w:val="FootnoteText"/>
      </w:pPr>
      <w:r>
        <w:rPr>
          <w:rStyle w:val="FootnoteReference"/>
        </w:rPr>
        <w:footnoteRef/>
      </w:r>
      <w:r>
        <w:t xml:space="preserve"> Cross-references for "lambs": Exod 29:38-42.</w:t>
      </w:r>
    </w:p>
  </w:footnote>
  <w:footnote w:id="9611">
    <w:p>
      <w:pPr>
        <w:pStyle w:val="FootnoteText"/>
      </w:pPr>
      <w:r>
        <w:rPr>
          <w:rStyle w:val="FootnoteReference"/>
        </w:rPr>
        <w:footnoteRef/>
      </w:r>
      <w:r>
        <w:t xml:space="preserve"> Cross-references for "timber": Esth 5:4; Esth 7:10.</w:t>
      </w:r>
    </w:p>
  </w:footnote>
  <w:footnote w:id="9612">
    <w:p>
      <w:pPr>
        <w:pStyle w:val="FootnoteText"/>
      </w:pPr>
      <w:r>
        <w:rPr>
          <w:rStyle w:val="FootnoteReference"/>
        </w:rPr>
        <w:footnoteRef/>
      </w:r>
      <w:r>
        <w:t xml:space="preserve"> Translation note: Greek says God who causes name to dwell there.</w:t>
      </w:r>
    </w:p>
  </w:footnote>
  <w:footnote w:id="9613">
    <w:p>
      <w:pPr>
        <w:pStyle w:val="FootnoteText"/>
      </w:pPr>
      <w:r>
        <w:rPr>
          <w:rStyle w:val="FootnoteReference"/>
        </w:rPr>
        <w:footnoteRef/>
      </w:r>
      <w:r>
        <w:t xml:space="preserve"> Cross-references for "destroy": Ps 5:10; Ps 21:8-10.</w:t>
      </w:r>
    </w:p>
  </w:footnote>
  <w:footnote w:id="9614">
    <w:p>
      <w:pPr>
        <w:pStyle w:val="FootnoteText"/>
      </w:pPr>
      <w:r>
        <w:rPr>
          <w:rStyle w:val="FootnoteReference"/>
        </w:rPr>
        <w:footnoteRef/>
      </w:r>
      <w:r>
        <w:t xml:space="preserve"> Cross-references for "Tatnai": Ezra 4:9; Ezra 4:23.</w:t>
      </w:r>
    </w:p>
  </w:footnote>
  <w:footnote w:id="9615">
    <w:p>
      <w:pPr>
        <w:pStyle w:val="FootnoteText"/>
      </w:pPr>
      <w:r>
        <w:rPr>
          <w:rStyle w:val="FootnoteReference"/>
        </w:rPr>
        <w:footnoteRef/>
      </w:r>
      <w:r>
        <w:t xml:space="preserve"> Cross-references for "Cyrus": Ezra 1:1-4; Ezra 4:24.</w:t>
      </w:r>
    </w:p>
  </w:footnote>
  <w:footnote w:id="9616">
    <w:p>
      <w:pPr>
        <w:pStyle w:val="FootnoteText"/>
      </w:pPr>
      <w:r>
        <w:rPr>
          <w:rStyle w:val="FootnoteReference"/>
        </w:rPr>
        <w:footnoteRef/>
      </w:r>
      <w:r>
        <w:t xml:space="preserve"> Place name: Persia. Place-name meaning: Persia — that cuts or divides; a nail; a gryphon; a horseman. Source form: Persia. Greek form: περσων.</w:t>
      </w:r>
    </w:p>
  </w:footnote>
  <w:footnote w:id="9617">
    <w:p>
      <w:pPr>
        <w:pStyle w:val="FootnoteText"/>
      </w:pPr>
      <w:r>
        <w:rPr>
          <w:rStyle w:val="FootnoteReference"/>
        </w:rPr>
        <w:footnoteRef/>
      </w:r>
      <w:r>
        <w:t xml:space="preserve"> Translation note: Greek uses the same order-word for both divine and royal authorization here. The English keeps decree as a natural fit for the context.</w:t>
      </w:r>
    </w:p>
  </w:footnote>
  <w:footnote w:id="9618">
    <w:p>
      <w:pPr>
        <w:pStyle w:val="FootnoteText"/>
      </w:pPr>
      <w:r>
        <w:rPr>
          <w:rStyle w:val="FootnoteReference"/>
        </w:rPr>
        <w:footnoteRef/>
      </w:r>
      <w:r>
        <w:t xml:space="preserve"> Cross-references for "Adar": Esth 3:7; Esth 3:13.</w:t>
      </w:r>
    </w:p>
  </w:footnote>
  <w:footnote w:id="9619">
    <w:p>
      <w:pPr>
        <w:pStyle w:val="FootnoteText"/>
      </w:pPr>
      <w:r>
        <w:rPr>
          <w:rStyle w:val="FootnoteReference"/>
        </w:rPr>
        <w:footnoteRef/>
      </w:r>
      <w:r>
        <w:t xml:space="preserve"> Cross-references for "offered": Num 7:2-89; 1Kgs 8:63-64.</w:t>
      </w:r>
    </w:p>
  </w:footnote>
  <w:footnote w:id="9620">
    <w:p>
      <w:pPr>
        <w:pStyle w:val="FootnoteText"/>
      </w:pPr>
      <w:r>
        <w:rPr>
          <w:rStyle w:val="FootnoteReference"/>
        </w:rPr>
        <w:footnoteRef/>
      </w:r>
      <w:r>
        <w:t xml:space="preserve"> Translation note: Greek says goat kids for sin concerning all Israel.</w:t>
      </w:r>
    </w:p>
  </w:footnote>
  <w:footnote w:id="9621">
    <w:p>
      <w:pPr>
        <w:pStyle w:val="FootnoteText"/>
      </w:pPr>
      <w:r>
        <w:rPr>
          <w:rStyle w:val="FootnoteReference"/>
        </w:rPr>
        <w:footnoteRef/>
      </w:r>
      <w:r>
        <w:t xml:space="preserve"> Cross-references for "kept": Exod 12:6-36; Josh 5:10.</w:t>
      </w:r>
    </w:p>
  </w:footnote>
  <w:footnote w:id="9622">
    <w:p>
      <w:pPr>
        <w:pStyle w:val="FootnoteText"/>
      </w:pPr>
      <w:r>
        <w:rPr>
          <w:rStyle w:val="FootnoteReference"/>
        </w:rPr>
        <w:footnoteRef/>
      </w:r>
      <w:r>
        <w:t xml:space="preserve"> Translation note: Greek keeps this longer separation wording.</w:t>
      </w:r>
    </w:p>
  </w:footnote>
  <w:footnote w:id="9623">
    <w:p>
      <w:pPr>
        <w:pStyle w:val="FootnoteText"/>
      </w:pPr>
      <w:r>
        <w:rPr>
          <w:rStyle w:val="FootnoteReference"/>
        </w:rPr>
        <w:footnoteRef/>
      </w:r>
      <w:r>
        <w:t xml:space="preserve"> Cross-references for "turned": Ezra 7:27; Prov 16:7.</w:t>
      </w:r>
    </w:p>
  </w:footnote>
  <w:footnote w:id="9624">
    <w:p>
      <w:pPr>
        <w:pStyle w:val="FootnoteText"/>
      </w:pPr>
      <w:r>
        <w:rPr>
          <w:rStyle w:val="FootnoteReference"/>
        </w:rPr>
        <w:footnoteRef/>
      </w:r>
      <w:r>
        <w:t xml:space="preserve"> Translation note: Greek preserves the name form Assour. The translation follows it.</w:t>
      </w:r>
    </w:p>
  </w:footnote>
  <w:footnote w:id="9625">
    <w:p>
      <w:pPr>
        <w:pStyle w:val="FootnoteText"/>
      </w:pPr>
      <w:r>
        <w:rPr>
          <w:rStyle w:val="FootnoteReference"/>
        </w:rPr>
        <w:footnoteRef/>
      </w:r>
      <w:r>
        <w:t xml:space="preserve"> Cross-references for "Artaxerxes": Ezra 6:14; Ezra 7:12.</w:t>
      </w:r>
    </w:p>
  </w:footnote>
  <w:footnote w:id="9626">
    <w:p>
      <w:pPr>
        <w:pStyle w:val="FootnoteText"/>
      </w:pPr>
      <w:r>
        <w:rPr>
          <w:rStyle w:val="FootnoteReference"/>
        </w:rPr>
        <w:footnoteRef/>
      </w:r>
      <w:r>
        <w:t xml:space="preserve"> Cross-references for "Zadok": 2Sam 8:17; 1Kgs 2:35.</w:t>
      </w:r>
    </w:p>
  </w:footnote>
  <w:footnote w:id="9627">
    <w:p>
      <w:pPr>
        <w:pStyle w:val="FootnoteText"/>
      </w:pPr>
      <w:r>
        <w:rPr>
          <w:rStyle w:val="FootnoteReference"/>
        </w:rPr>
        <w:footnoteRef/>
      </w:r>
      <w:r>
        <w:t xml:space="preserve"> Cross-references for "Phinehas": Exod 6:25; Num 25:7-13.</w:t>
      </w:r>
    </w:p>
  </w:footnote>
  <w:footnote w:id="9628">
    <w:p>
      <w:pPr>
        <w:pStyle w:val="FootnoteText"/>
      </w:pPr>
      <w:r>
        <w:rPr>
          <w:rStyle w:val="FootnoteReference"/>
        </w:rPr>
        <w:footnoteRef/>
      </w:r>
      <w:r>
        <w:t xml:space="preserve"> Cross-references for "scribe": Neh 8:4; Neh 8:9.</w:t>
      </w:r>
    </w:p>
  </w:footnote>
  <w:footnote w:id="9629">
    <w:p>
      <w:pPr>
        <w:pStyle w:val="FootnoteText"/>
      </w:pPr>
      <w:r>
        <w:rPr>
          <w:rStyle w:val="FootnoteReference"/>
        </w:rPr>
        <w:footnoteRef/>
      </w:r>
      <w:r>
        <w:t xml:space="preserve"> Translation note: The Greek uses the hand-of-God formula directly. The current wording preserves that wording.</w:t>
      </w:r>
    </w:p>
  </w:footnote>
  <w:footnote w:id="9630">
    <w:p>
      <w:pPr>
        <w:pStyle w:val="FootnoteText"/>
      </w:pPr>
      <w:r>
        <w:rPr>
          <w:rStyle w:val="FootnoteReference"/>
        </w:rPr>
        <w:footnoteRef/>
      </w:r>
      <w:r>
        <w:t xml:space="preserve"> Cross-references for "the Levites": Ezra 2:40-41; Ezra 8:15-20.</w:t>
      </w:r>
    </w:p>
  </w:footnote>
  <w:footnote w:id="9631">
    <w:p>
      <w:pPr>
        <w:pStyle w:val="FootnoteText"/>
      </w:pPr>
      <w:r>
        <w:rPr>
          <w:rStyle w:val="FootnoteReference"/>
        </w:rPr>
        <w:footnoteRef/>
      </w:r>
      <w:r>
        <w:t xml:space="preserve"> Cross-references for "the law": Ezra 7:6; Ps 1:2.</w:t>
      </w:r>
    </w:p>
  </w:footnote>
  <w:footnote w:id="9632">
    <w:p>
      <w:pPr>
        <w:pStyle w:val="FootnoteText"/>
      </w:pPr>
      <w:r>
        <w:rPr>
          <w:rStyle w:val="FootnoteReference"/>
        </w:rPr>
        <w:footnoteRef/>
      </w:r>
      <w:r>
        <w:t xml:space="preserve"> Cross-references for "Artaxerxes": 1Kgs 4:24; 1Kgs 20:1.</w:t>
      </w:r>
    </w:p>
  </w:footnote>
  <w:footnote w:id="9633">
    <w:p>
      <w:pPr>
        <w:pStyle w:val="FootnoteText"/>
      </w:pPr>
      <w:r>
        <w:rPr>
          <w:rStyle w:val="FootnoteReference"/>
        </w:rPr>
        <w:footnoteRef/>
      </w:r>
      <w:r>
        <w:t xml:space="preserve"> Translation note: The Greek closes this opening with a compact letter formula. The current wording keeps that unusual line visible.</w:t>
      </w:r>
    </w:p>
  </w:footnote>
  <w:footnote w:id="9634">
    <w:p>
      <w:pPr>
        <w:pStyle w:val="FootnoteText"/>
      </w:pPr>
      <w:r>
        <w:rPr>
          <w:rStyle w:val="FootnoteReference"/>
        </w:rPr>
        <w:footnoteRef/>
      </w:r>
      <w:r>
        <w:t xml:space="preserve"> Cross-references for "all the silver": Ezra 8:25-28.</w:t>
      </w:r>
    </w:p>
  </w:footnote>
  <w:footnote w:id="9635">
    <w:p>
      <w:pPr>
        <w:pStyle w:val="FootnoteText"/>
      </w:pPr>
      <w:r>
        <w:rPr>
          <w:rStyle w:val="FootnoteReference"/>
        </w:rPr>
        <w:footnoteRef/>
      </w:r>
      <w:r>
        <w:t xml:space="preserve"> Cross-references for "offer them": Deut 12:5-11.</w:t>
      </w:r>
    </w:p>
  </w:footnote>
  <w:footnote w:id="9636">
    <w:p>
      <w:pPr>
        <w:pStyle w:val="FootnoteText"/>
      </w:pPr>
      <w:r>
        <w:rPr>
          <w:rStyle w:val="FootnoteReference"/>
        </w:rPr>
        <w:footnoteRef/>
      </w:r>
      <w:r>
        <w:t xml:space="preserve"> Cross-references for "Artaxerxes": Ezra 7:12-13.</w:t>
      </w:r>
    </w:p>
  </w:footnote>
  <w:footnote w:id="9637">
    <w:p>
      <w:pPr>
        <w:pStyle w:val="FootnoteText"/>
      </w:pPr>
      <w:r>
        <w:rPr>
          <w:rStyle w:val="FootnoteReference"/>
        </w:rPr>
        <w:footnoteRef/>
      </w:r>
      <w:r>
        <w:t xml:space="preserve"> Translation note: Greek says all treasuries beyond the River.</w:t>
      </w:r>
    </w:p>
  </w:footnote>
  <w:footnote w:id="9638">
    <w:p>
      <w:pPr>
        <w:pStyle w:val="FootnoteText"/>
      </w:pPr>
      <w:r>
        <w:rPr>
          <w:rStyle w:val="FootnoteReference"/>
        </w:rPr>
        <w:footnoteRef/>
      </w:r>
      <w:r>
        <w:t xml:space="preserve"> Cross-references for "baths of wine": Ezek 45:14; Luke 16:6.</w:t>
      </w:r>
    </w:p>
  </w:footnote>
  <w:footnote w:id="9639">
    <w:p>
      <w:pPr>
        <w:pStyle w:val="FootnoteText"/>
      </w:pPr>
      <w:r>
        <w:rPr>
          <w:rStyle w:val="FootnoteReference"/>
        </w:rPr>
        <w:footnoteRef/>
      </w:r>
      <w:r>
        <w:t xml:space="preserve"> Cross-references for "let it be": Ps 119:4.</w:t>
      </w:r>
    </w:p>
  </w:footnote>
  <w:footnote w:id="9640">
    <w:p>
      <w:pPr>
        <w:pStyle w:val="FootnoteText"/>
      </w:pPr>
      <w:r>
        <w:rPr>
          <w:rStyle w:val="FootnoteReference"/>
        </w:rPr>
        <w:footnoteRef/>
      </w:r>
      <w:r>
        <w:t xml:space="preserve"> Translation note: Greek says appoint scribes and judges.</w:t>
      </w:r>
    </w:p>
  </w:footnote>
  <w:footnote w:id="9641">
    <w:p>
      <w:pPr>
        <w:pStyle w:val="FootnoteText"/>
      </w:pPr>
      <w:r>
        <w:rPr>
          <w:rStyle w:val="FootnoteReference"/>
        </w:rPr>
        <w:footnoteRef/>
      </w:r>
      <w:r>
        <w:t xml:space="preserve"> Cross-references for "beyond the River": Ezra 6:6.</w:t>
      </w:r>
    </w:p>
  </w:footnote>
  <w:footnote w:id="9642">
    <w:p>
      <w:pPr>
        <w:pStyle w:val="FootnoteText"/>
      </w:pPr>
      <w:r>
        <w:rPr>
          <w:rStyle w:val="FootnoteReference"/>
        </w:rPr>
        <w:footnoteRef/>
      </w:r>
      <w:r>
        <w:t xml:space="preserve"> Translation note: Greek says judgment shall promptly be carried out from him.</w:t>
      </w:r>
    </w:p>
  </w:footnote>
  <w:footnote w:id="9643">
    <w:p>
      <w:pPr>
        <w:pStyle w:val="FootnoteText"/>
      </w:pPr>
      <w:r>
        <w:rPr>
          <w:rStyle w:val="FootnoteReference"/>
        </w:rPr>
        <w:footnoteRef/>
      </w:r>
      <w:r>
        <w:t xml:space="preserve"> Cross-references for "Blessed": 1Chr 29:10-30; Ezra 6:22.</w:t>
      </w:r>
    </w:p>
  </w:footnote>
  <w:footnote w:id="9644">
    <w:p>
      <w:pPr>
        <w:pStyle w:val="FootnoteText"/>
      </w:pPr>
      <w:r>
        <w:rPr>
          <w:rStyle w:val="FootnoteReference"/>
        </w:rPr>
        <w:footnoteRef/>
      </w:r>
      <w:r>
        <w:t xml:space="preserve"> Translation note: Greek says bent mercy toward me.</w:t>
      </w:r>
    </w:p>
  </w:footnote>
  <w:footnote w:id="9645">
    <w:p>
      <w:pPr>
        <w:pStyle w:val="FootnoteText"/>
      </w:pPr>
      <w:r>
        <w:rPr>
          <w:rStyle w:val="FootnoteReference"/>
        </w:rPr>
        <w:footnoteRef/>
      </w:r>
      <w:r>
        <w:t xml:space="preserve"> Cross-references for "Phinehas": 1Chr 6:3; 1Chr 6:4-15.</w:t>
      </w:r>
    </w:p>
  </w:footnote>
  <w:footnote w:id="9646">
    <w:p>
      <w:pPr>
        <w:pStyle w:val="FootnoteText"/>
      </w:pPr>
      <w:r>
        <w:rPr>
          <w:rStyle w:val="FootnoteReference"/>
        </w:rPr>
        <w:footnoteRef/>
      </w:r>
      <w:r>
        <w:t xml:space="preserve"> Transliterated proper noun: Sechanias. Standard English equivalent: Shechaniah. Source form: Sechanias. Greek form: σαχανια. Name meaning: Yahweh dwells; Yahweh has taken up residence.</w:t>
      </w:r>
    </w:p>
  </w:footnote>
  <w:footnote w:id="9647">
    <w:p>
      <w:pPr>
        <w:pStyle w:val="FootnoteText"/>
      </w:pPr>
      <w:r>
        <w:rPr>
          <w:rStyle w:val="FootnoteReference"/>
        </w:rPr>
        <w:footnoteRef/>
      </w:r>
      <w:r>
        <w:t xml:space="preserve"> Cross-references for "Pahathmoab": Ezra 2:6; Neh 7:11.</w:t>
      </w:r>
    </w:p>
  </w:footnote>
  <w:footnote w:id="9648">
    <w:p>
      <w:pPr>
        <w:pStyle w:val="FootnoteText"/>
      </w:pPr>
      <w:r>
        <w:rPr>
          <w:rStyle w:val="FootnoteReference"/>
        </w:rPr>
        <w:footnoteRef/>
      </w:r>
      <w:r>
        <w:t xml:space="preserve"> Transliterated proper noun: Shechaniah. Standard English equivalent: Shechaniah. Source form: Shechaniah. Greek form: σεχενιας. Name meaning: Yahweh dwells; Yahweh has taken up residence.</w:t>
      </w:r>
    </w:p>
  </w:footnote>
  <w:footnote w:id="9649">
    <w:p>
      <w:pPr>
        <w:pStyle w:val="FootnoteText"/>
      </w:pPr>
      <w:r>
        <w:rPr>
          <w:rStyle w:val="FootnoteReference"/>
        </w:rPr>
        <w:footnoteRef/>
      </w:r>
      <w:r>
        <w:t xml:space="preserve"> Personal name: Aziel. Personal-name meaning: Aziel — God is strength. Source form: Aziel.</w:t>
      </w:r>
    </w:p>
  </w:footnote>
  <w:footnote w:id="9650">
    <w:p>
      <w:pPr>
        <w:pStyle w:val="FootnoteText"/>
      </w:pPr>
      <w:r>
        <w:rPr>
          <w:rStyle w:val="FootnoteReference"/>
        </w:rPr>
        <w:footnoteRef/>
      </w:r>
      <w:r>
        <w:t xml:space="preserve"> Cross-references for "Adin": Ezra 2:15; Neh 7:20.</w:t>
      </w:r>
    </w:p>
  </w:footnote>
  <w:footnote w:id="9651">
    <w:p>
      <w:pPr>
        <w:pStyle w:val="FootnoteText"/>
      </w:pPr>
      <w:r>
        <w:rPr>
          <w:rStyle w:val="FootnoteReference"/>
        </w:rPr>
        <w:footnoteRef/>
      </w:r>
      <w:r>
        <w:t xml:space="preserve"> Cross-references for "Elam": Ezra 2:7; Ezra 2:31.</w:t>
      </w:r>
    </w:p>
  </w:footnote>
  <w:footnote w:id="9652">
    <w:p>
      <w:pPr>
        <w:pStyle w:val="FootnoteText"/>
      </w:pPr>
      <w:r>
        <w:rPr>
          <w:rStyle w:val="FootnoteReference"/>
        </w:rPr>
        <w:footnoteRef/>
      </w:r>
      <w:r>
        <w:t xml:space="preserve"> Transliterated proper noun: Iesias. Standard English equivalent: Jeshaiah. Source form: Iesias. Greek form: ιεσια. Name meaning: salvation of Yahweh.</w:t>
      </w:r>
    </w:p>
  </w:footnote>
  <w:footnote w:id="9653">
    <w:p>
      <w:pPr>
        <w:pStyle w:val="FootnoteText"/>
      </w:pPr>
      <w:r>
        <w:rPr>
          <w:rStyle w:val="FootnoteReference"/>
        </w:rPr>
        <w:footnoteRef/>
      </w:r>
      <w:r>
        <w:t xml:space="preserve"> Cross-references for "Shephatiah": Ezra 2:4; Neh 7:9.</w:t>
      </w:r>
    </w:p>
  </w:footnote>
  <w:footnote w:id="9654">
    <w:p>
      <w:pPr>
        <w:pStyle w:val="FootnoteText"/>
      </w:pPr>
      <w:r>
        <w:rPr>
          <w:rStyle w:val="FootnoteReference"/>
        </w:rPr>
        <w:footnoteRef/>
      </w:r>
      <w:r>
        <w:t xml:space="preserve"> Cross-references for "Joab": Ezra 2:6; Neh 7:11.</w:t>
      </w:r>
    </w:p>
  </w:footnote>
  <w:footnote w:id="9655">
    <w:p>
      <w:pPr>
        <w:pStyle w:val="FootnoteText"/>
      </w:pPr>
      <w:r>
        <w:rPr>
          <w:rStyle w:val="FootnoteReference"/>
        </w:rPr>
        <w:footnoteRef/>
      </w:r>
      <w:r>
        <w:t xml:space="preserve"> Cross-references for "Bebai": Ezra 2:11; Ezra 10:28.</w:t>
      </w:r>
    </w:p>
  </w:footnote>
  <w:footnote w:id="9656">
    <w:p>
      <w:pPr>
        <w:pStyle w:val="FootnoteText"/>
      </w:pPr>
      <w:r>
        <w:rPr>
          <w:rStyle w:val="FootnoteReference"/>
        </w:rPr>
        <w:footnoteRef/>
      </w:r>
      <w:r>
        <w:t xml:space="preserve"> Cross-references for "Azgad": Ezra 2:12; Neh 7:17.</w:t>
      </w:r>
    </w:p>
  </w:footnote>
  <w:footnote w:id="9657">
    <w:p>
      <w:pPr>
        <w:pStyle w:val="FootnoteText"/>
      </w:pPr>
      <w:r>
        <w:rPr>
          <w:rStyle w:val="FootnoteReference"/>
        </w:rPr>
        <w:footnoteRef/>
      </w:r>
      <w:r>
        <w:t xml:space="preserve"> Personal name: Hakkatan. Personal-name meaning: Hakkatan — little. Source form: Hakkatan.</w:t>
      </w:r>
    </w:p>
  </w:footnote>
  <w:footnote w:id="9658">
    <w:p>
      <w:pPr>
        <w:pStyle w:val="FootnoteText"/>
      </w:pPr>
      <w:r>
        <w:rPr>
          <w:rStyle w:val="FootnoteReference"/>
        </w:rPr>
        <w:footnoteRef/>
      </w:r>
      <w:r>
        <w:t xml:space="preserve"> Cross-references for "Adonikam": Ezra 2:13; Neh 7:18.</w:t>
      </w:r>
    </w:p>
  </w:footnote>
  <w:footnote w:id="9659">
    <w:p>
      <w:pPr>
        <w:pStyle w:val="FootnoteText"/>
      </w:pPr>
      <w:r>
        <w:rPr>
          <w:rStyle w:val="FootnoteReference"/>
        </w:rPr>
        <w:footnoteRef/>
      </w:r>
      <w:r>
        <w:t xml:space="preserve"> Transliterated proper noun: Eliphalat. Standard English equivalent: Eliphelet. Source form: Eliphalat. Greek form: αλιφαλατ. Name meaning: God is deliverance.</w:t>
      </w:r>
    </w:p>
  </w:footnote>
  <w:footnote w:id="9660">
    <w:p>
      <w:pPr>
        <w:pStyle w:val="FootnoteText"/>
      </w:pPr>
      <w:r>
        <w:rPr>
          <w:rStyle w:val="FootnoteReference"/>
        </w:rPr>
        <w:footnoteRef/>
      </w:r>
      <w:r>
        <w:t xml:space="preserve"> Cross-references for "Bigvai": Ezra 2:14; Neh 7:19.</w:t>
      </w:r>
    </w:p>
  </w:footnote>
  <w:footnote w:id="9661">
    <w:p>
      <w:pPr>
        <w:pStyle w:val="FootnoteText"/>
      </w:pPr>
      <w:r>
        <w:rPr>
          <w:rStyle w:val="FootnoteReference"/>
        </w:rPr>
        <w:footnoteRef/>
      </w:r>
      <w:r>
        <w:t xml:space="preserve"> Personal name: Uthai. Personal-name meaning: Uthai — my iniquity. Source form: Uthai.</w:t>
      </w:r>
    </w:p>
  </w:footnote>
  <w:footnote w:id="9662">
    <w:p>
      <w:pPr>
        <w:pStyle w:val="FootnoteText"/>
      </w:pPr>
      <w:r>
        <w:rPr>
          <w:rStyle w:val="FootnoteReference"/>
        </w:rPr>
        <w:footnoteRef/>
      </w:r>
      <w:r>
        <w:t xml:space="preserve"> Place name: Ahava. Place-name meaning: Ahava — water; essence; generation. Source form: Ahava.</w:t>
      </w:r>
    </w:p>
  </w:footnote>
  <w:footnote w:id="9663">
    <w:p>
      <w:pPr>
        <w:pStyle w:val="FootnoteText"/>
      </w:pPr>
      <w:r>
        <w:rPr>
          <w:rStyle w:val="FootnoteReference"/>
        </w:rPr>
        <w:footnoteRef/>
      </w:r>
      <w:r>
        <w:t xml:space="preserve"> Cross-references for "Ahava": Ezra 8:21; Ezra 8:31.</w:t>
      </w:r>
    </w:p>
  </w:footnote>
  <w:footnote w:id="9664">
    <w:p>
      <w:pPr>
        <w:pStyle w:val="FootnoteText"/>
      </w:pPr>
      <w:r>
        <w:rPr>
          <w:rStyle w:val="FootnoteReference"/>
        </w:rPr>
        <w:footnoteRef/>
      </w:r>
      <w:r>
        <w:t xml:space="preserve"> Cross-references for "Shemaiah": Ezra 8:13; Ezra 10:21.</w:t>
      </w:r>
    </w:p>
  </w:footnote>
  <w:footnote w:id="9665">
    <w:p>
      <w:pPr>
        <w:pStyle w:val="FootnoteText"/>
      </w:pPr>
      <w:r>
        <w:rPr>
          <w:rStyle w:val="FootnoteReference"/>
        </w:rPr>
        <w:footnoteRef/>
      </w:r>
      <w:r>
        <w:t xml:space="preserve"> Translation note: Greek says those with understanding here. Current line keeps that wording.</w:t>
      </w:r>
    </w:p>
  </w:footnote>
  <w:footnote w:id="9666">
    <w:p>
      <w:pPr>
        <w:pStyle w:val="FootnoteText"/>
      </w:pPr>
      <w:r>
        <w:rPr>
          <w:rStyle w:val="FootnoteReference"/>
        </w:rPr>
        <w:footnoteRef/>
      </w:r>
      <w:r>
        <w:t xml:space="preserve"> Place name: Casiphia. Place-name meaning: Casiphia — silver; money-place. Source form: Casiphia.</w:t>
      </w:r>
    </w:p>
  </w:footnote>
  <w:footnote w:id="9667">
    <w:p>
      <w:pPr>
        <w:pStyle w:val="FootnoteText"/>
      </w:pPr>
      <w:r>
        <w:rPr>
          <w:rStyle w:val="FootnoteReference"/>
        </w:rPr>
        <w:footnoteRef/>
      </w:r>
      <w:r>
        <w:t xml:space="preserve"> Translation note: Greek says to bring us singers for the house of our God.</w:t>
      </w:r>
    </w:p>
  </w:footnote>
  <w:footnote w:id="9668">
    <w:p>
      <w:pPr>
        <w:pStyle w:val="FootnoteText"/>
      </w:pPr>
      <w:r>
        <w:rPr>
          <w:rStyle w:val="FootnoteReference"/>
        </w:rPr>
        <w:footnoteRef/>
      </w:r>
      <w:r>
        <w:t xml:space="preserve"> Cross-references for "Casiphia": Ezra 7:9; Ezra 8:31.</w:t>
      </w:r>
    </w:p>
  </w:footnote>
  <w:footnote w:id="9669">
    <w:p>
      <w:pPr>
        <w:pStyle w:val="FootnoteText"/>
      </w:pPr>
      <w:r>
        <w:rPr>
          <w:rStyle w:val="FootnoteReference"/>
        </w:rPr>
        <w:footnoteRef/>
      </w:r>
      <w:r>
        <w:t xml:space="preserve"> Personal name: Mahli. Personal-name meaning: Mahli — infirmity; a harp; pardon. Source form: Mahli.</w:t>
      </w:r>
    </w:p>
  </w:footnote>
  <w:footnote w:id="9670">
    <w:p>
      <w:pPr>
        <w:pStyle w:val="FootnoteText"/>
      </w:pPr>
      <w:r>
        <w:rPr>
          <w:rStyle w:val="FootnoteReference"/>
        </w:rPr>
        <w:footnoteRef/>
      </w:r>
      <w:r>
        <w:t xml:space="preserve"> Cross-references for "Mahli": Num 3:20; 1Chr 6:19.</w:t>
      </w:r>
    </w:p>
  </w:footnote>
  <w:footnote w:id="9671">
    <w:p>
      <w:pPr>
        <w:pStyle w:val="FootnoteText"/>
      </w:pPr>
      <w:r>
        <w:rPr>
          <w:rStyle w:val="FootnoteReference"/>
        </w:rPr>
        <w:footnoteRef/>
      </w:r>
      <w:r>
        <w:t xml:space="preserve"> Cross-references for "Hashabiah": Neh 3:17; Neh 10:11.</w:t>
      </w:r>
    </w:p>
  </w:footnote>
  <w:footnote w:id="9672">
    <w:p>
      <w:pPr>
        <w:pStyle w:val="FootnoteText"/>
      </w:pPr>
      <w:r>
        <w:rPr>
          <w:rStyle w:val="FootnoteReference"/>
        </w:rPr>
        <w:footnoteRef/>
      </w:r>
      <w:r>
        <w:t xml:space="preserve"> Cross-references for "I proclaimed": Judg 20:26; 1Sam 7:6.</w:t>
      </w:r>
    </w:p>
  </w:footnote>
  <w:footnote w:id="9673">
    <w:p>
      <w:pPr>
        <w:pStyle w:val="FootnoteText"/>
      </w:pPr>
      <w:r>
        <w:rPr>
          <w:rStyle w:val="FootnoteReference"/>
        </w:rPr>
        <w:footnoteRef/>
      </w:r>
      <w:r>
        <w:t xml:space="preserve"> Cross-references for "I was ashamed": 1Cor 9:15; 2Cor 7:14.</w:t>
      </w:r>
    </w:p>
  </w:footnote>
  <w:footnote w:id="9674">
    <w:p>
      <w:pPr>
        <w:pStyle w:val="FootnoteText"/>
      </w:pPr>
      <w:r>
        <w:rPr>
          <w:rStyle w:val="FootnoteReference"/>
        </w:rPr>
        <w:footnoteRef/>
      </w:r>
      <w:r>
        <w:t xml:space="preserve"> Translation note: Greek says hand of our God upon all seeking him for good.</w:t>
      </w:r>
    </w:p>
  </w:footnote>
  <w:footnote w:id="9675">
    <w:p>
      <w:pPr>
        <w:pStyle w:val="FootnoteText"/>
      </w:pPr>
      <w:r>
        <w:rPr>
          <w:rStyle w:val="FootnoteReference"/>
        </w:rPr>
        <w:footnoteRef/>
      </w:r>
      <w:r>
        <w:t xml:space="preserve"> Cross-references for "we fasted": Neh 9:1; Dan 9:3.</w:t>
      </w:r>
    </w:p>
  </w:footnote>
  <w:footnote w:id="9676">
    <w:p>
      <w:pPr>
        <w:pStyle w:val="FootnoteText"/>
      </w:pPr>
      <w:r>
        <w:rPr>
          <w:rStyle w:val="FootnoteReference"/>
        </w:rPr>
        <w:footnoteRef/>
      </w:r>
      <w:r>
        <w:t xml:space="preserve"> Translation note: Greek combines weighing language with an offering line. Current wording preserves that sequence.</w:t>
      </w:r>
    </w:p>
  </w:footnote>
  <w:footnote w:id="9677">
    <w:p>
      <w:pPr>
        <w:pStyle w:val="FootnoteText"/>
      </w:pPr>
      <w:r>
        <w:rPr>
          <w:rStyle w:val="FootnoteReference"/>
        </w:rPr>
        <w:footnoteRef/>
      </w:r>
      <w:r>
        <w:t xml:space="preserve"> Cross-references for "weighed": Ezra 1:8; Ezra 8:33.</w:t>
      </w:r>
    </w:p>
  </w:footnote>
  <w:footnote w:id="9678">
    <w:p>
      <w:pPr>
        <w:pStyle w:val="FootnoteText"/>
      </w:pPr>
      <w:r>
        <w:rPr>
          <w:rStyle w:val="FootnoteReference"/>
        </w:rPr>
        <w:footnoteRef/>
      </w:r>
      <w:r>
        <w:t xml:space="preserve"> Cross-references for "the vessels": Lev 22:2-3; Num 4:4-15.</w:t>
      </w:r>
    </w:p>
  </w:footnote>
  <w:footnote w:id="9679">
    <w:p>
      <w:pPr>
        <w:pStyle w:val="FootnoteText"/>
      </w:pPr>
      <w:r>
        <w:rPr>
          <w:rStyle w:val="FootnoteReference"/>
        </w:rPr>
        <w:footnoteRef/>
      </w:r>
      <w:r>
        <w:t xml:space="preserve"> Cross-references for "the house of our God": 1Chr 29:2-3; Ezra 8:22.</w:t>
      </w:r>
    </w:p>
  </w:footnote>
  <w:footnote w:id="9680">
    <w:p>
      <w:pPr>
        <w:pStyle w:val="FootnoteText"/>
      </w:pPr>
      <w:r>
        <w:rPr>
          <w:rStyle w:val="FootnoteReference"/>
        </w:rPr>
        <w:footnoteRef/>
      </w:r>
      <w:r>
        <w:t xml:space="preserve"> Cross-references for "the hand": Ezra 7:9; Ezra 7:28.</w:t>
      </w:r>
    </w:p>
  </w:footnote>
  <w:footnote w:id="9681">
    <w:p>
      <w:pPr>
        <w:pStyle w:val="FootnoteText"/>
      </w:pPr>
      <w:r>
        <w:rPr>
          <w:rStyle w:val="FootnoteReference"/>
        </w:rPr>
        <w:footnoteRef/>
      </w:r>
      <w:r>
        <w:t xml:space="preserve"> Translation note: Greek says enemy and foe on the road.</w:t>
      </w:r>
    </w:p>
  </w:footnote>
  <w:footnote w:id="9682">
    <w:p>
      <w:pPr>
        <w:pStyle w:val="FootnoteText"/>
      </w:pPr>
      <w:r>
        <w:rPr>
          <w:rStyle w:val="FootnoteReference"/>
        </w:rPr>
        <w:footnoteRef/>
      </w:r>
      <w:r>
        <w:t xml:space="preserve"> Cross-references for "weighed": 1Chr 28:14-18; Ezra 8:26.</w:t>
      </w:r>
    </w:p>
  </w:footnote>
  <w:footnote w:id="9683">
    <w:p>
      <w:pPr>
        <w:pStyle w:val="FootnoteText"/>
      </w:pPr>
      <w:r>
        <w:rPr>
          <w:rStyle w:val="FootnoteReference"/>
        </w:rPr>
        <w:footnoteRef/>
      </w:r>
      <w:r>
        <w:t xml:space="preserve"> Personal name: Meremoth. Personal-name meaning: Meremoth — bitterness; myrrh of death. Source form: Meremoth.</w:t>
      </w:r>
    </w:p>
  </w:footnote>
  <w:footnote w:id="9684">
    <w:p>
      <w:pPr>
        <w:pStyle w:val="FootnoteText"/>
      </w:pPr>
      <w:r>
        <w:rPr>
          <w:rStyle w:val="FootnoteReference"/>
        </w:rPr>
        <w:footnoteRef/>
      </w:r>
      <w:r>
        <w:t xml:space="preserve"> Personal name: Noadiah. Personal-name meaning: Noadiah — witness, or ornament, of the Lord. Source form: Noadiah.</w:t>
      </w:r>
    </w:p>
  </w:footnote>
  <w:footnote w:id="9685">
    <w:p>
      <w:pPr>
        <w:pStyle w:val="FootnoteText"/>
      </w:pPr>
      <w:r>
        <w:rPr>
          <w:rStyle w:val="FootnoteReference"/>
        </w:rPr>
        <w:footnoteRef/>
      </w:r>
      <w:r>
        <w:t xml:space="preserve"> Translation note: Greek uses a compact accounting line. Current wording preserves that number-and-weight formula.</w:t>
      </w:r>
    </w:p>
  </w:footnote>
  <w:footnote w:id="9686">
    <w:p>
      <w:pPr>
        <w:pStyle w:val="FootnoteText"/>
      </w:pPr>
      <w:r>
        <w:rPr>
          <w:rStyle w:val="FootnoteReference"/>
        </w:rPr>
        <w:footnoteRef/>
      </w:r>
      <w:r>
        <w:t xml:space="preserve"> Translation note: Greek says those coming from captivity, sons of exile.</w:t>
      </w:r>
    </w:p>
  </w:footnote>
  <w:footnote w:id="9687">
    <w:p>
      <w:pPr>
        <w:pStyle w:val="FootnoteText"/>
      </w:pPr>
      <w:r>
        <w:rPr>
          <w:rStyle w:val="FootnoteReference"/>
        </w:rPr>
        <w:footnoteRef/>
      </w:r>
      <w:r>
        <w:t xml:space="preserve"> Cross-references for "have not separated": Exod 33:16; Num 23:9.</w:t>
      </w:r>
    </w:p>
  </w:footnote>
  <w:footnote w:id="9688">
    <w:p>
      <w:pPr>
        <w:pStyle w:val="FootnoteText"/>
      </w:pPr>
      <w:r>
        <w:rPr>
          <w:rStyle w:val="FootnoteReference"/>
        </w:rPr>
        <w:footnoteRef/>
      </w:r>
      <w:r>
        <w:t xml:space="preserve"> Translation note: Greek ethnicity list has Moserite here.</w:t>
      </w:r>
    </w:p>
  </w:footnote>
  <w:footnote w:id="9689">
    <w:p>
      <w:pPr>
        <w:pStyle w:val="FootnoteText"/>
      </w:pPr>
      <w:r>
        <w:rPr>
          <w:rStyle w:val="FootnoteReference"/>
        </w:rPr>
        <w:footnoteRef/>
      </w:r>
      <w:r>
        <w:t xml:space="preserve"> Cross-references for "the holy seed": Exod 19:6; Exod 22:31.</w:t>
      </w:r>
    </w:p>
  </w:footnote>
  <w:footnote w:id="9690">
    <w:p>
      <w:pPr>
        <w:pStyle w:val="FootnoteText"/>
      </w:pPr>
      <w:r>
        <w:rPr>
          <w:rStyle w:val="FootnoteReference"/>
        </w:rPr>
        <w:footnoteRef/>
      </w:r>
      <w:r>
        <w:t xml:space="preserve"> Cross-references for "spread": Exod 9:29; Exod 9:33.</w:t>
      </w:r>
    </w:p>
  </w:footnote>
  <w:footnote w:id="9691">
    <w:p>
      <w:pPr>
        <w:pStyle w:val="FootnoteText"/>
      </w:pPr>
      <w:r>
        <w:rPr>
          <w:rStyle w:val="FootnoteReference"/>
        </w:rPr>
        <w:footnoteRef/>
      </w:r>
      <w:r>
        <w:t xml:space="preserve"> Translation note: Greek says lawlessnesses here.</w:t>
      </w:r>
    </w:p>
  </w:footnote>
  <w:footnote w:id="9692">
    <w:p>
      <w:pPr>
        <w:pStyle w:val="FootnoteText"/>
      </w:pPr>
      <w:r>
        <w:rPr>
          <w:rStyle w:val="FootnoteReference"/>
        </w:rPr>
        <w:footnoteRef/>
      </w:r>
      <w:r>
        <w:t xml:space="preserve"> Cross-references for "into the hand": 2Kgs 17:5-8; 2Kgs 18:9-12.</w:t>
      </w:r>
    </w:p>
  </w:footnote>
  <w:footnote w:id="9693">
    <w:p>
      <w:pPr>
        <w:pStyle w:val="FootnoteText"/>
      </w:pPr>
      <w:r>
        <w:rPr>
          <w:rStyle w:val="FootnoteReference"/>
        </w:rPr>
        <w:footnoteRef/>
      </w:r>
      <w:r>
        <w:t xml:space="preserve"> Cross-references for "a remnant": 2Kgs 19:4; 2Kgs 19:30-31.</w:t>
      </w:r>
    </w:p>
  </w:footnote>
  <w:footnote w:id="9694">
    <w:p>
      <w:pPr>
        <w:pStyle w:val="FootnoteText"/>
      </w:pPr>
      <w:r>
        <w:rPr>
          <w:rStyle w:val="FootnoteReference"/>
        </w:rPr>
        <w:footnoteRef/>
      </w:r>
      <w:r>
        <w:t xml:space="preserve"> Translation note: Greek says bent mercy here. Current line keeps that wording.</w:t>
      </w:r>
    </w:p>
  </w:footnote>
  <w:footnote w:id="9695">
    <w:p>
      <w:pPr>
        <w:pStyle w:val="FootnoteText"/>
      </w:pPr>
      <w:r>
        <w:rPr>
          <w:rStyle w:val="FootnoteReference"/>
        </w:rPr>
        <w:footnoteRef/>
      </w:r>
      <w:r>
        <w:t xml:space="preserve"> Cross-references for "a wall": Isa 5:2; Isa 5:5.</w:t>
      </w:r>
    </w:p>
  </w:footnote>
  <w:footnote w:id="9696">
    <w:p>
      <w:pPr>
        <w:pStyle w:val="FootnoteText"/>
      </w:pPr>
      <w:r>
        <w:rPr>
          <w:rStyle w:val="FootnoteReference"/>
        </w:rPr>
        <w:footnoteRef/>
      </w:r>
      <w:r>
        <w:t xml:space="preserve"> Cross-references for "what shall we say": Gen 44:16; Josh 7:8.</w:t>
      </w:r>
    </w:p>
  </w:footnote>
  <w:footnote w:id="9697">
    <w:p>
      <w:pPr>
        <w:pStyle w:val="FootnoteText"/>
      </w:pPr>
      <w:r>
        <w:rPr>
          <w:rStyle w:val="FootnoteReference"/>
        </w:rPr>
        <w:footnoteRef/>
      </w:r>
      <w:r>
        <w:t xml:space="preserve"> Translation note: Greek gives this stronger uncleanness wording.</w:t>
      </w:r>
    </w:p>
  </w:footnote>
  <w:footnote w:id="9698">
    <w:p>
      <w:pPr>
        <w:pStyle w:val="FootnoteText"/>
      </w:pPr>
      <w:r>
        <w:rPr>
          <w:rStyle w:val="FootnoteReference"/>
        </w:rPr>
        <w:footnoteRef/>
      </w:r>
      <w:r>
        <w:t xml:space="preserve"> Translation note: Greek says peace and their good forever.</w:t>
      </w:r>
    </w:p>
  </w:footnote>
  <w:footnote w:id="9699">
    <w:p>
      <w:pPr>
        <w:pStyle w:val="FootnoteText"/>
      </w:pPr>
      <w:r>
        <w:rPr>
          <w:rStyle w:val="FootnoteReference"/>
        </w:rPr>
        <w:footnoteRef/>
      </w:r>
      <w:r>
        <w:t xml:space="preserve"> Cross-references for "and eat": Isa 1:19.</w:t>
      </w:r>
    </w:p>
  </w:footnote>
  <w:footnote w:id="9700">
    <w:p>
      <w:pPr>
        <w:pStyle w:val="FootnoteText"/>
      </w:pPr>
      <w:r>
        <w:rPr>
          <w:rStyle w:val="FootnoteReference"/>
        </w:rPr>
        <w:footnoteRef/>
      </w:r>
      <w:r>
        <w:t xml:space="preserve"> Cross-references for "after all": Neh 9:32; Ezek 24:13-14.</w:t>
      </w:r>
    </w:p>
  </w:footnote>
  <w:footnote w:id="9701">
    <w:p>
      <w:pPr>
        <w:pStyle w:val="FootnoteText"/>
      </w:pPr>
      <w:r>
        <w:rPr>
          <w:rStyle w:val="FootnoteReference"/>
        </w:rPr>
        <w:footnoteRef/>
      </w:r>
      <w:r>
        <w:t xml:space="preserve"> Translation note: Greek ends the line with deliverance language. Current wording preserves that relief note.</w:t>
      </w:r>
    </w:p>
  </w:footnote>
  <w:footnote w:id="9702">
    <w:p>
      <w:pPr>
        <w:pStyle w:val="FootnoteText"/>
      </w:pPr>
      <w:r>
        <w:rPr>
          <w:rStyle w:val="FootnoteReference"/>
        </w:rPr>
        <w:footnoteRef/>
      </w:r>
      <w:r>
        <w:t xml:space="preserve"> Translation note: Greek says Do not be angry with us until completion.</w:t>
      </w:r>
    </w:p>
  </w:footnote>
  <w:footnote w:id="9703">
    <w:p>
      <w:pPr>
        <w:pStyle w:val="FootnoteText"/>
      </w:pPr>
      <w:r>
        <w:rPr>
          <w:rStyle w:val="FootnoteReference"/>
        </w:rPr>
        <w:footnoteRef/>
      </w:r>
      <w:r>
        <w:t xml:space="preserve"> Cross-references for "no remnant": Deut 32:26-27; Ezra 9:8.</w:t>
      </w:r>
    </w:p>
  </w:footnote>
  <w:footnote w:id="9704">
    <w:p>
      <w:pPr>
        <w:pStyle w:val="FootnoteText"/>
      </w:pPr>
      <w:r>
        <w:rPr>
          <w:rStyle w:val="FootnoteReference"/>
        </w:rPr>
        <w:footnoteRef/>
      </w:r>
      <w:r>
        <w:t xml:space="preserve"> Cross-references for "in our trespasses": Isa 64:6-7; Ezek 33:10.</w:t>
      </w:r>
    </w:p>
  </w:footnote>
  <w:footnote w:id="9705">
    <w:p>
      <w:pPr>
        <w:pStyle w:val="FootnoteText"/>
      </w:pPr>
      <w:r>
        <w:rPr>
          <w:rStyle w:val="FootnoteReference"/>
        </w:rPr>
        <w:footnoteRef/>
      </w:r>
      <w:r>
        <w:t xml:space="preserve"> Cross-references for "weeping": Ps 119:136; Jer 9:1.</w:t>
      </w:r>
    </w:p>
  </w:footnote>
  <w:footnote w:id="9706">
    <w:p>
      <w:pPr>
        <w:pStyle w:val="FootnoteText"/>
      </w:pPr>
      <w:r>
        <w:rPr>
          <w:rStyle w:val="FootnoteReference"/>
        </w:rPr>
        <w:footnoteRef/>
      </w:r>
      <w:r>
        <w:t xml:space="preserve"> Translation note: Greek says people wept and lifted up weeping.</w:t>
      </w:r>
    </w:p>
  </w:footnote>
  <w:footnote w:id="9707">
    <w:p>
      <w:pPr>
        <w:pStyle w:val="FootnoteText"/>
      </w:pPr>
      <w:r>
        <w:rPr>
          <w:rStyle w:val="FootnoteReference"/>
        </w:rPr>
        <w:footnoteRef/>
      </w:r>
      <w:r>
        <w:t xml:space="preserve"> Cross-references for "Shechaniah": Ezra 10:26; Neh 3:29.</w:t>
      </w:r>
    </w:p>
  </w:footnote>
  <w:footnote w:id="9708">
    <w:p>
      <w:pPr>
        <w:pStyle w:val="FootnoteText"/>
      </w:pPr>
      <w:r>
        <w:rPr>
          <w:rStyle w:val="FootnoteReference"/>
        </w:rPr>
        <w:footnoteRef/>
      </w:r>
      <w:r>
        <w:t xml:space="preserve"> Translation note: Greek says there is patient hope for Israel about this.</w:t>
      </w:r>
    </w:p>
  </w:footnote>
  <w:footnote w:id="9709">
    <w:p>
      <w:pPr>
        <w:pStyle w:val="FootnoteText"/>
      </w:pPr>
      <w:r>
        <w:rPr>
          <w:rStyle w:val="FootnoteReference"/>
        </w:rPr>
        <w:footnoteRef/>
      </w:r>
      <w:r>
        <w:t xml:space="preserve"> Cross-references for "let us make": Deut 29:12; Josh 9:6.</w:t>
      </w:r>
    </w:p>
  </w:footnote>
  <w:footnote w:id="9710">
    <w:p>
      <w:pPr>
        <w:pStyle w:val="FootnoteText"/>
      </w:pPr>
      <w:r>
        <w:rPr>
          <w:rStyle w:val="FootnoteReference"/>
        </w:rPr>
        <w:footnoteRef/>
      </w:r>
      <w:r>
        <w:t xml:space="preserve"> Translation note: The Greek states the legal proposal bluntly: to put out the women and those born from them. The current wording preserves the hard edge of that line.</w:t>
      </w:r>
    </w:p>
  </w:footnote>
  <w:footnote w:id="9711">
    <w:p>
      <w:pPr>
        <w:pStyle w:val="FootnoteText"/>
      </w:pPr>
      <w:r>
        <w:rPr>
          <w:rStyle w:val="FootnoteReference"/>
        </w:rPr>
        <w:footnoteRef/>
      </w:r>
      <w:r>
        <w:t xml:space="preserve"> Cross-references for "made": Ezra 10:3; Neh 5:12.</w:t>
      </w:r>
    </w:p>
  </w:footnote>
  <w:footnote w:id="9712">
    <w:p>
      <w:pPr>
        <w:pStyle w:val="FootnoteText"/>
      </w:pPr>
      <w:r>
        <w:rPr>
          <w:rStyle w:val="FootnoteReference"/>
        </w:rPr>
        <w:footnoteRef/>
      </w:r>
      <w:r>
        <w:t xml:space="preserve"> Translation note: Greek says treasury-room here. Current line keeps that term.</w:t>
      </w:r>
    </w:p>
  </w:footnote>
  <w:footnote w:id="9713">
    <w:p>
      <w:pPr>
        <w:pStyle w:val="FootnoteText"/>
      </w:pPr>
      <w:r>
        <w:rPr>
          <w:rStyle w:val="FootnoteReference"/>
        </w:rPr>
        <w:footnoteRef/>
      </w:r>
      <w:r>
        <w:t xml:space="preserve"> Cross-references for "Johanan": Neh 3:1; Neh 3:20.</w:t>
      </w:r>
    </w:p>
  </w:footnote>
  <w:footnote w:id="9714">
    <w:p>
      <w:pPr>
        <w:pStyle w:val="FootnoteText"/>
      </w:pPr>
      <w:r>
        <w:rPr>
          <w:rStyle w:val="FootnoteReference"/>
        </w:rPr>
        <w:footnoteRef/>
      </w:r>
      <w:r>
        <w:t xml:space="preserve"> Translation note: Greek says all his substance would be devoted.</w:t>
      </w:r>
    </w:p>
  </w:footnote>
  <w:footnote w:id="9715">
    <w:p>
      <w:pPr>
        <w:pStyle w:val="FootnoteText"/>
      </w:pPr>
      <w:r>
        <w:rPr>
          <w:rStyle w:val="FootnoteReference"/>
        </w:rPr>
        <w:footnoteRef/>
      </w:r>
      <w:r>
        <w:t xml:space="preserve"> Cross-references for "the ninth month": Ezra 7:8-9; Esth 2:16.</w:t>
      </w:r>
    </w:p>
  </w:footnote>
  <w:footnote w:id="9716">
    <w:p>
      <w:pPr>
        <w:pStyle w:val="FootnoteText"/>
      </w:pPr>
      <w:r>
        <w:rPr>
          <w:rStyle w:val="FootnoteReference"/>
        </w:rPr>
        <w:footnoteRef/>
      </w:r>
      <w:r>
        <w:t xml:space="preserve"> Cross-references for "separate": Ezra 9:1; Neh 13:3.</w:t>
      </w:r>
    </w:p>
  </w:footnote>
  <w:footnote w:id="9717">
    <w:p>
      <w:pPr>
        <w:pStyle w:val="FootnoteText"/>
      </w:pPr>
      <w:r>
        <w:rPr>
          <w:rStyle w:val="FootnoteReference"/>
        </w:rPr>
        <w:footnoteRef/>
      </w:r>
      <w:r>
        <w:t xml:space="preserve"> Cross-references for "our rulers": Deut 17:9; Deut 17:18-19.</w:t>
      </w:r>
    </w:p>
  </w:footnote>
  <w:footnote w:id="9718">
    <w:p>
      <w:pPr>
        <w:pStyle w:val="FootnoteText"/>
      </w:pPr>
      <w:r>
        <w:rPr>
          <w:rStyle w:val="FootnoteReference"/>
        </w:rPr>
        <w:footnoteRef/>
      </w:r>
      <w:r>
        <w:t xml:space="preserve"> Translation note: Greek says appointed times here. Current line keeps it.</w:t>
      </w:r>
    </w:p>
  </w:footnote>
  <w:footnote w:id="9719">
    <w:p>
      <w:pPr>
        <w:pStyle w:val="FootnoteText"/>
      </w:pPr>
      <w:r>
        <w:rPr>
          <w:rStyle w:val="FootnoteReference"/>
        </w:rPr>
        <w:footnoteRef/>
      </w:r>
      <w:r>
        <w:t xml:space="preserve"> Transliterated proper noun: Jahaziah. Standard English equivalent: Jahaziah. Source form: Jahaziah. Greek form: ιαζια. Name meaning: the vision of the Lord.</w:t>
      </w:r>
    </w:p>
  </w:footnote>
  <w:footnote w:id="9720">
    <w:p>
      <w:pPr>
        <w:pStyle w:val="FootnoteText"/>
      </w:pPr>
      <w:r>
        <w:rPr>
          <w:rStyle w:val="FootnoteReference"/>
        </w:rPr>
        <w:footnoteRef/>
      </w:r>
      <w:r>
        <w:t xml:space="preserve"> Cross-references for "Meshullam": Neh 3:6; Neh 10:20.</w:t>
      </w:r>
    </w:p>
  </w:footnote>
  <w:footnote w:id="9721">
    <w:p>
      <w:pPr>
        <w:pStyle w:val="FootnoteText"/>
      </w:pPr>
      <w:r>
        <w:rPr>
          <w:rStyle w:val="FootnoteReference"/>
        </w:rPr>
        <w:footnoteRef/>
      </w:r>
      <w:r>
        <w:t xml:space="preserve"> Personal name: Shabbethai. Personal-name meaning: Shabbethai — my rest. Source form: Shabbethai.</w:t>
      </w:r>
    </w:p>
  </w:footnote>
  <w:footnote w:id="9722">
    <w:p>
      <w:pPr>
        <w:pStyle w:val="FootnoteText"/>
      </w:pPr>
      <w:r>
        <w:rPr>
          <w:rStyle w:val="FootnoteReference"/>
        </w:rPr>
        <w:footnoteRef/>
      </w:r>
      <w:r>
        <w:t xml:space="preserve"> Translation note: Greek says Ezra and the leaders of father-houses were set apart.</w:t>
      </w:r>
    </w:p>
  </w:footnote>
  <w:footnote w:id="9723">
    <w:p>
      <w:pPr>
        <w:pStyle w:val="FootnoteText"/>
      </w:pPr>
      <w:r>
        <w:rPr>
          <w:rStyle w:val="FootnoteReference"/>
        </w:rPr>
        <w:footnoteRef/>
      </w:r>
      <w:r>
        <w:t xml:space="preserve"> Cross-references for "the sons": Lev 21:7; Lev 21:13-15.</w:t>
      </w:r>
    </w:p>
  </w:footnote>
  <w:footnote w:id="9724">
    <w:p>
      <w:pPr>
        <w:pStyle w:val="FootnoteText"/>
      </w:pPr>
      <w:r>
        <w:rPr>
          <w:rStyle w:val="FootnoteReference"/>
        </w:rPr>
        <w:footnoteRef/>
      </w:r>
      <w:r>
        <w:t xml:space="preserve"> Cross-references for "gave their hands": 2Kgs 10:15; 1Chr 29:24.</w:t>
      </w:r>
    </w:p>
  </w:footnote>
  <w:footnote w:id="9725">
    <w:p>
      <w:pPr>
        <w:pStyle w:val="FootnoteText"/>
      </w:pPr>
      <w:r>
        <w:rPr>
          <w:rStyle w:val="FootnoteReference"/>
        </w:rPr>
        <w:footnoteRef/>
      </w:r>
      <w:r>
        <w:t xml:space="preserve"> Cross-references for "Immer": 1Chr 24:14; Ezra 2:37.</w:t>
      </w:r>
    </w:p>
  </w:footnote>
  <w:footnote w:id="9726">
    <w:p>
      <w:pPr>
        <w:pStyle w:val="FootnoteText"/>
      </w:pPr>
      <w:r>
        <w:rPr>
          <w:rStyle w:val="FootnoteReference"/>
        </w:rPr>
        <w:footnoteRef/>
      </w:r>
      <w:r>
        <w:t xml:space="preserve"> Cross-references for "Harim": 1Chr 24:8; Ezra 2:39.</w:t>
      </w:r>
    </w:p>
  </w:footnote>
  <w:footnote w:id="9727">
    <w:p>
      <w:pPr>
        <w:pStyle w:val="FootnoteText"/>
      </w:pPr>
      <w:r>
        <w:rPr>
          <w:rStyle w:val="FootnoteReference"/>
        </w:rPr>
        <w:footnoteRef/>
      </w:r>
      <w:r>
        <w:t xml:space="preserve"> Cross-references for "Pashur": 1Chr 9:12; Ezra 2:38.</w:t>
      </w:r>
    </w:p>
  </w:footnote>
  <w:footnote w:id="9728">
    <w:p>
      <w:pPr>
        <w:pStyle w:val="FootnoteText"/>
      </w:pPr>
      <w:r>
        <w:rPr>
          <w:rStyle w:val="FootnoteReference"/>
        </w:rPr>
        <w:footnoteRef/>
      </w:r>
      <w:r>
        <w:t xml:space="preserve"> Transliterated proper noun: Elasah. Standard English equivalent: Elasah. Source form: Elasah. Greek form: ηλασα. Name meaning: the doings of God.</w:t>
      </w:r>
    </w:p>
  </w:footnote>
  <w:footnote w:id="9729">
    <w:p>
      <w:pPr>
        <w:pStyle w:val="FootnoteText"/>
      </w:pPr>
      <w:r>
        <w:rPr>
          <w:rStyle w:val="FootnoteReference"/>
        </w:rPr>
        <w:footnoteRef/>
      </w:r>
      <w:r>
        <w:t xml:space="preserve"> Cross-references for "Jozabad": Ezra 8:33; Neh 11:16.</w:t>
      </w:r>
    </w:p>
  </w:footnote>
  <w:footnote w:id="9730">
    <w:p>
      <w:pPr>
        <w:pStyle w:val="FootnoteText"/>
      </w:pPr>
      <w:r>
        <w:rPr>
          <w:rStyle w:val="FootnoteReference"/>
        </w:rPr>
        <w:footnoteRef/>
      </w:r>
      <w:r>
        <w:t xml:space="preserve"> Personal name: Kelaiah. Personal-name meaning: Kelaiah — voice of the Lord; gathering together. Source form: Kelaiah.</w:t>
      </w:r>
    </w:p>
  </w:footnote>
  <w:footnote w:id="9731">
    <w:p>
      <w:pPr>
        <w:pStyle w:val="FootnoteText"/>
      </w:pPr>
      <w:r>
        <w:rPr>
          <w:rStyle w:val="FootnoteReference"/>
        </w:rPr>
        <w:footnoteRef/>
      </w:r>
      <w:r>
        <w:t xml:space="preserve"> Transliterated proper noun: Telem. Standard English equivalent: Telem. Source form: Telem. Greek form: τελημ. Name meaning: their dew; their shadow.</w:t>
      </w:r>
    </w:p>
  </w:footnote>
  <w:footnote w:id="9732">
    <w:p>
      <w:pPr>
        <w:pStyle w:val="FootnoteText"/>
      </w:pPr>
      <w:r>
        <w:rPr>
          <w:rStyle w:val="FootnoteReference"/>
        </w:rPr>
        <w:footnoteRef/>
      </w:r>
      <w:r>
        <w:t xml:space="preserve"> Cross-references for "sons of Parosh": Ezra 2:3; Neh 7:8.</w:t>
      </w:r>
    </w:p>
  </w:footnote>
  <w:footnote w:id="9733">
    <w:p>
      <w:pPr>
        <w:pStyle w:val="FootnoteText"/>
      </w:pPr>
      <w:r>
        <w:rPr>
          <w:rStyle w:val="FootnoteReference"/>
        </w:rPr>
        <w:footnoteRef/>
      </w:r>
      <w:r>
        <w:t xml:space="preserve"> Personal name: Ramiah. Personal-name meaning: Ramiah — exaltation of the Lord. Source form: Ramiah.</w:t>
      </w:r>
    </w:p>
  </w:footnote>
  <w:footnote w:id="9734">
    <w:p>
      <w:pPr>
        <w:pStyle w:val="FootnoteText"/>
      </w:pPr>
      <w:r>
        <w:rPr>
          <w:rStyle w:val="FootnoteReference"/>
        </w:rPr>
        <w:footnoteRef/>
      </w:r>
      <w:r>
        <w:t xml:space="preserve"> Cross-references for "Elam": Ezra 2:7; Ezra 2:31.</w:t>
      </w:r>
    </w:p>
  </w:footnote>
  <w:footnote w:id="9735">
    <w:p>
      <w:pPr>
        <w:pStyle w:val="FootnoteText"/>
      </w:pPr>
      <w:r>
        <w:rPr>
          <w:rStyle w:val="FootnoteReference"/>
        </w:rPr>
        <w:footnoteRef/>
      </w:r>
      <w:r>
        <w:t xml:space="preserve"> Cross-references for "Zattu": Ezra 2:8; Neh 7:13.</w:t>
      </w:r>
    </w:p>
  </w:footnote>
  <w:footnote w:id="9736">
    <w:p>
      <w:pPr>
        <w:pStyle w:val="FootnoteText"/>
      </w:pPr>
      <w:r>
        <w:rPr>
          <w:rStyle w:val="FootnoteReference"/>
        </w:rPr>
        <w:footnoteRef/>
      </w:r>
      <w:r>
        <w:t xml:space="preserve"> Cross-references for "Bebai": Ezra 2:11; Ezra 8:11.</w:t>
      </w:r>
    </w:p>
  </w:footnote>
  <w:footnote w:id="9737">
    <w:p>
      <w:pPr>
        <w:pStyle w:val="FootnoteText"/>
      </w:pPr>
      <w:r>
        <w:rPr>
          <w:rStyle w:val="FootnoteReference"/>
        </w:rPr>
        <w:footnoteRef/>
      </w:r>
      <w:r>
        <w:t xml:space="preserve"> Personal name: Zabbai. Personal-name meaning: Zabbai — flowing. Source form: Zabbai.</w:t>
      </w:r>
    </w:p>
  </w:footnote>
  <w:footnote w:id="9738">
    <w:p>
      <w:pPr>
        <w:pStyle w:val="FootnoteText"/>
      </w:pPr>
      <w:r>
        <w:rPr>
          <w:rStyle w:val="FootnoteReference"/>
        </w:rPr>
        <w:footnoteRef/>
      </w:r>
      <w:r>
        <w:t xml:space="preserve"> Personal name: Athlai. Personal-name meaning: Athlai — my hour or time. Source form: Athlai.</w:t>
      </w:r>
    </w:p>
  </w:footnote>
  <w:footnote w:id="9739">
    <w:p>
      <w:pPr>
        <w:pStyle w:val="FootnoteText"/>
      </w:pPr>
      <w:r>
        <w:rPr>
          <w:rStyle w:val="FootnoteReference"/>
        </w:rPr>
        <w:footnoteRef/>
      </w:r>
      <w:r>
        <w:t xml:space="preserve"> Cross-references for "Bani": Ezra 2:10; Neh 7:15.</w:t>
      </w:r>
    </w:p>
  </w:footnote>
  <w:footnote w:id="9740">
    <w:p>
      <w:pPr>
        <w:pStyle w:val="FootnoteText"/>
      </w:pPr>
      <w:r>
        <w:rPr>
          <w:rStyle w:val="FootnoteReference"/>
        </w:rPr>
        <w:footnoteRef/>
      </w:r>
      <w:r>
        <w:t xml:space="preserve"> Personal name: Malluch. Personal-name meaning: Malluch — reigning; counseling. Source form: Malluch.</w:t>
      </w:r>
    </w:p>
  </w:footnote>
  <w:footnote w:id="9741">
    <w:p>
      <w:pPr>
        <w:pStyle w:val="FootnoteText"/>
      </w:pPr>
      <w:r>
        <w:rPr>
          <w:rStyle w:val="FootnoteReference"/>
        </w:rPr>
        <w:footnoteRef/>
      </w:r>
      <w:r>
        <w:t xml:space="preserve"> Cross-references for "Pahathmoab": Ezra 2:6; Ezra 8:4.</w:t>
      </w:r>
    </w:p>
  </w:footnote>
  <w:footnote w:id="9742">
    <w:p>
      <w:pPr>
        <w:pStyle w:val="FootnoteText"/>
      </w:pPr>
      <w:r>
        <w:rPr>
          <w:rStyle w:val="FootnoteReference"/>
        </w:rPr>
        <w:footnoteRef/>
      </w:r>
      <w:r>
        <w:t xml:space="preserve"> Personal name: Chelal. Personal-name meaning: Chelal — as night. Source form: Chelal.</w:t>
      </w:r>
    </w:p>
  </w:footnote>
  <w:footnote w:id="9743">
    <w:p>
      <w:pPr>
        <w:pStyle w:val="FootnoteText"/>
      </w:pPr>
      <w:r>
        <w:rPr>
          <w:rStyle w:val="FootnoteReference"/>
        </w:rPr>
        <w:footnoteRef/>
      </w:r>
      <w:r>
        <w:t xml:space="preserve"> Cross-references for "Harim": Ezra 2:32; Neh 7:35.</w:t>
      </w:r>
    </w:p>
  </w:footnote>
  <w:footnote w:id="9744">
    <w:p>
      <w:pPr>
        <w:pStyle w:val="FootnoteText"/>
      </w:pPr>
      <w:r>
        <w:rPr>
          <w:rStyle w:val="FootnoteReference"/>
        </w:rPr>
        <w:footnoteRef/>
      </w:r>
      <w:r>
        <w:t xml:space="preserve"> Transliterated proper noun: Shimeon. Standard English equivalent: Shimeon. Source form: Shimeon. Greek form: σεμεων. Name meaning: Heard.</w:t>
      </w:r>
    </w:p>
  </w:footnote>
  <w:footnote w:id="9745">
    <w:p>
      <w:pPr>
        <w:pStyle w:val="FootnoteText"/>
      </w:pPr>
      <w:r>
        <w:rPr>
          <w:rStyle w:val="FootnoteReference"/>
        </w:rPr>
        <w:footnoteRef/>
      </w:r>
      <w:r>
        <w:t xml:space="preserve"> Cross-references for "Hashum": Ezra 2:19; Neh 7:22.</w:t>
      </w:r>
    </w:p>
  </w:footnote>
  <w:footnote w:id="9746">
    <w:p>
      <w:pPr>
        <w:pStyle w:val="FootnoteText"/>
      </w:pPr>
      <w:r>
        <w:rPr>
          <w:rStyle w:val="FootnoteReference"/>
        </w:rPr>
        <w:footnoteRef/>
      </w:r>
      <w:r>
        <w:t xml:space="preserve"> Personal name: Mattenai. Personal-name meaning: Mattenai — gifts; rains. Source form: Mattenai.</w:t>
      </w:r>
    </w:p>
  </w:footnote>
  <w:footnote w:id="9747">
    <w:p>
      <w:pPr>
        <w:pStyle w:val="FootnoteText"/>
      </w:pPr>
      <w:r>
        <w:rPr>
          <w:rStyle w:val="FootnoteReference"/>
        </w:rPr>
        <w:footnoteRef/>
      </w:r>
      <w:r>
        <w:t xml:space="preserve"> Transliterated proper noun: Eliphaleph. Standard English equivalent: Eliphelet. Source form: Eliphaleph. Greek form: ελιφαλεθ. Name meaning: God is deliverance.</w:t>
      </w:r>
    </w:p>
  </w:footnote>
  <w:footnote w:id="9748">
    <w:p>
      <w:pPr>
        <w:pStyle w:val="FootnoteText"/>
      </w:pPr>
      <w:r>
        <w:rPr>
          <w:rStyle w:val="FootnoteReference"/>
        </w:rPr>
        <w:footnoteRef/>
      </w:r>
      <w:r>
        <w:t xml:space="preserve"> Personal name: Jeremai. Personal-name meaning: Jeremai — my height; throwing forth waters. Source form: Jeremai.</w:t>
      </w:r>
    </w:p>
  </w:footnote>
  <w:footnote w:id="9749">
    <w:p>
      <w:pPr>
        <w:pStyle w:val="FootnoteText"/>
      </w:pPr>
      <w:r>
        <w:rPr>
          <w:rStyle w:val="FootnoteReference"/>
        </w:rPr>
        <w:footnoteRef/>
      </w:r>
      <w:r>
        <w:t xml:space="preserve"> Cross-references for "Bani": Ezra 10:29.</w:t>
      </w:r>
    </w:p>
  </w:footnote>
  <w:footnote w:id="9750">
    <w:p>
      <w:pPr>
        <w:pStyle w:val="FootnoteText"/>
      </w:pPr>
      <w:r>
        <w:rPr>
          <w:rStyle w:val="FootnoteReference"/>
        </w:rPr>
        <w:footnoteRef/>
      </w:r>
      <w:r>
        <w:t xml:space="preserve"> Personal name: Maadai. Personal-name meaning: Maadai — pleasant; testifying. Source form: Maadai.</w:t>
      </w:r>
    </w:p>
  </w:footnote>
  <w:footnote w:id="9751">
    <w:p>
      <w:pPr>
        <w:pStyle w:val="FootnoteText"/>
      </w:pPr>
      <w:r>
        <w:rPr>
          <w:rStyle w:val="FootnoteReference"/>
        </w:rPr>
        <w:footnoteRef/>
      </w:r>
      <w:r>
        <w:t xml:space="preserve"> Personal name: Uel. Personal-name meaning: Uel — desiring God. Source form: Uel.</w:t>
      </w:r>
    </w:p>
  </w:footnote>
  <w:footnote w:id="9752">
    <w:p>
      <w:pPr>
        <w:pStyle w:val="FootnoteText"/>
      </w:pPr>
      <w:r>
        <w:rPr>
          <w:rStyle w:val="FootnoteReference"/>
        </w:rPr>
        <w:footnoteRef/>
      </w:r>
      <w:r>
        <w:t xml:space="preserve"> Personal name: Bedeiah. Personal-name meaning: Bedeiah — the only Lord. Source form: Bedeiah.</w:t>
      </w:r>
    </w:p>
  </w:footnote>
  <w:footnote w:id="9753">
    <w:p>
      <w:pPr>
        <w:pStyle w:val="FootnoteText"/>
      </w:pPr>
      <w:r>
        <w:rPr>
          <w:rStyle w:val="FootnoteReference"/>
        </w:rPr>
        <w:footnoteRef/>
      </w:r>
      <w:r>
        <w:t xml:space="preserve"> Transliterated proper noun: Chelluh. Standard English equivalent: Chelluh. Source form: Chelluh. Greek form: χελια. Name meaning: all.</w:t>
      </w:r>
    </w:p>
  </w:footnote>
  <w:footnote w:id="9754">
    <w:p>
      <w:pPr>
        <w:pStyle w:val="FootnoteText"/>
      </w:pPr>
      <w:r>
        <w:rPr>
          <w:rStyle w:val="FootnoteReference"/>
        </w:rPr>
        <w:footnoteRef/>
      </w:r>
      <w:r>
        <w:t xml:space="preserve"> Personal name: Shelemiah. Personal-name meaning: Shelemiah — God is my perfection; my happiness; my peace. Source form: Shelemiah.</w:t>
      </w:r>
    </w:p>
  </w:footnote>
  <w:footnote w:id="9755">
    <w:p>
      <w:pPr>
        <w:pStyle w:val="FootnoteText"/>
      </w:pPr>
      <w:r>
        <w:rPr>
          <w:rStyle w:val="FootnoteReference"/>
        </w:rPr>
        <w:footnoteRef/>
      </w:r>
      <w:r>
        <w:t xml:space="preserve"> Personal name: Machnadebai. Personal-name meaning: Machnadebai — smiter. Source form: Machnadebai.</w:t>
      </w:r>
    </w:p>
  </w:footnote>
  <w:footnote w:id="9756">
    <w:p>
      <w:pPr>
        <w:pStyle w:val="FootnoteText"/>
      </w:pPr>
      <w:r>
        <w:rPr>
          <w:rStyle w:val="FootnoteReference"/>
        </w:rPr>
        <w:footnoteRef/>
      </w:r>
      <w:r>
        <w:t xml:space="preserve"> Personal name: Sharai. Personal-name meaning: Sharai — my lord; my prince; my song. Source form: Sharai.</w:t>
      </w:r>
    </w:p>
  </w:footnote>
  <w:footnote w:id="9757">
    <w:p>
      <w:pPr>
        <w:pStyle w:val="FootnoteText"/>
      </w:pPr>
      <w:r>
        <w:rPr>
          <w:rStyle w:val="FootnoteReference"/>
        </w:rPr>
        <w:footnoteRef/>
      </w:r>
      <w:r>
        <w:t xml:space="preserve"> Cross-references for "Nebo": Ezra 2:29; Neh 7:33.</w:t>
      </w:r>
    </w:p>
  </w:footnote>
  <w:footnote w:id="9758">
    <w:p>
      <w:pPr>
        <w:pStyle w:val="FootnoteText"/>
      </w:pPr>
      <w:r>
        <w:rPr>
          <w:rStyle w:val="FootnoteReference"/>
        </w:rPr>
        <w:footnoteRef/>
      </w:r>
      <w:r>
        <w:t xml:space="preserve"> Personal name: Zebina. Personal-name meaning: Zebina — flowing now; selling; buying. Source form: Zebina.</w:t>
      </w:r>
    </w:p>
  </w:footnote>
  <w:footnote w:id="9759">
    <w:p>
      <w:pPr>
        <w:pStyle w:val="FootnoteText"/>
      </w:pPr>
      <w:r>
        <w:rPr>
          <w:rStyle w:val="FootnoteReference"/>
        </w:rPr>
        <w:footnoteRef/>
      </w:r>
      <w:r>
        <w:t xml:space="preserve"> Transliterated proper noun: Hachaliah. Standard English equivalent: Hachaliah. Source form: Hachaliah. Greek form: αχαλια. Name meaning: who waits for the Lord.</w:t>
      </w:r>
    </w:p>
  </w:footnote>
  <w:footnote w:id="9760">
    <w:p>
      <w:pPr>
        <w:pStyle w:val="FootnoteText"/>
      </w:pPr>
      <w:r>
        <w:rPr>
          <w:rStyle w:val="FootnoteReference"/>
        </w:rPr>
        <w:footnoteRef/>
      </w:r>
      <w:r>
        <w:t xml:space="preserve"> Transliterated proper noun: Chisleu. Standard English equivalent: Chisleu. Source form: Chisleu. Greek form: χασεηλου. Name meaning: rashness; confidence.</w:t>
      </w:r>
    </w:p>
  </w:footnote>
  <w:footnote w:id="9761">
    <w:p>
      <w:pPr>
        <w:pStyle w:val="FootnoteText"/>
      </w:pPr>
      <w:r>
        <w:rPr>
          <w:rStyle w:val="FootnoteReference"/>
        </w:rPr>
        <w:footnoteRef/>
      </w:r>
      <w:r>
        <w:t xml:space="preserve"> Transliterated proper noun: Shushan. Standard English equivalent: Shushan. Source form: Shushan. Greek form: σουσαν. Name meaning: lily; rose; joy.</w:t>
      </w:r>
    </w:p>
  </w:footnote>
  <w:footnote w:id="9762">
    <w:p>
      <w:pPr>
        <w:pStyle w:val="FootnoteText"/>
      </w:pPr>
      <w:r>
        <w:rPr>
          <w:rStyle w:val="FootnoteReference"/>
        </w:rPr>
        <w:footnoteRef/>
      </w:r>
      <w:r>
        <w:t xml:space="preserve"> Cross-references for "I asked": Ps 122:6-9; Ps 137:5-6.</w:t>
      </w:r>
    </w:p>
  </w:footnote>
  <w:footnote w:id="9763">
    <w:p>
      <w:pPr>
        <w:pStyle w:val="FootnoteText"/>
      </w:pPr>
      <w:r>
        <w:rPr>
          <w:rStyle w:val="FootnoteReference"/>
        </w:rPr>
        <w:footnoteRef/>
      </w:r>
      <w:r>
        <w:t xml:space="preserve"> Cross-references for "the province": Ezra 2:1; Ezra 5:8.</w:t>
      </w:r>
    </w:p>
  </w:footnote>
  <w:footnote w:id="9764">
    <w:p>
      <w:pPr>
        <w:pStyle w:val="FootnoteText"/>
      </w:pPr>
      <w:r>
        <w:rPr>
          <w:rStyle w:val="FootnoteReference"/>
        </w:rPr>
        <w:footnoteRef/>
      </w:r>
      <w:r>
        <w:t xml:space="preserve"> Translation note: Greek says evil and reproach here. Current line keeps that wording.</w:t>
      </w:r>
    </w:p>
  </w:footnote>
  <w:footnote w:id="9765">
    <w:p>
      <w:pPr>
        <w:pStyle w:val="FootnoteText"/>
      </w:pPr>
      <w:r>
        <w:rPr>
          <w:rStyle w:val="FootnoteReference"/>
        </w:rPr>
        <w:footnoteRef/>
      </w:r>
      <w:r>
        <w:t xml:space="preserve"> Cross-references for "the God": Ezra 5:11-12; Neh 2:4.</w:t>
      </w:r>
    </w:p>
  </w:footnote>
  <w:footnote w:id="9766">
    <w:p>
      <w:pPr>
        <w:pStyle w:val="FootnoteText"/>
      </w:pPr>
      <w:r>
        <w:rPr>
          <w:rStyle w:val="FootnoteReference"/>
        </w:rPr>
        <w:footnoteRef/>
      </w:r>
      <w:r>
        <w:t xml:space="preserve"> Translation note: The Greek prayer pairs covenant and mercy directly. The current wording keeps both nouns visible in the confession.</w:t>
      </w:r>
    </w:p>
  </w:footnote>
  <w:footnote w:id="9767">
    <w:p>
      <w:pPr>
        <w:pStyle w:val="FootnoteText"/>
      </w:pPr>
      <w:r>
        <w:rPr>
          <w:rStyle w:val="FootnoteReference"/>
        </w:rPr>
        <w:footnoteRef/>
      </w:r>
      <w:r>
        <w:t xml:space="preserve"> Cross-references for "day and night": 1Sam 15:11; Ps 55:17.</w:t>
      </w:r>
    </w:p>
  </w:footnote>
  <w:footnote w:id="9768">
    <w:p>
      <w:pPr>
        <w:pStyle w:val="FootnoteText"/>
      </w:pPr>
      <w:r>
        <w:rPr>
          <w:rStyle w:val="FootnoteReference"/>
        </w:rPr>
        <w:footnoteRef/>
      </w:r>
      <w:r>
        <w:t xml:space="preserve"> Cross-references for "the commandments": Lev 27:34; Deut 4:1.</w:t>
      </w:r>
    </w:p>
  </w:footnote>
  <w:footnote w:id="9769">
    <w:p>
      <w:pPr>
        <w:pStyle w:val="FootnoteText"/>
      </w:pPr>
      <w:r>
        <w:rPr>
          <w:rStyle w:val="FootnoteReference"/>
        </w:rPr>
        <w:footnoteRef/>
      </w:r>
      <w:r>
        <w:t xml:space="preserve"> Cross-references for "Remember": Ps 119:49; Luke 1:72.</w:t>
      </w:r>
    </w:p>
  </w:footnote>
  <w:footnote w:id="9770">
    <w:p>
      <w:pPr>
        <w:pStyle w:val="FootnoteText"/>
      </w:pPr>
      <w:r>
        <w:rPr>
          <w:rStyle w:val="FootnoteReference"/>
        </w:rPr>
        <w:footnoteRef/>
      </w:r>
      <w:r>
        <w:t xml:space="preserve"> Translation note: Greek expresses the farthest dispersion as the edge of heaven. The translation keeps that vivid boundary image.</w:t>
      </w:r>
    </w:p>
  </w:footnote>
  <w:footnote w:id="9771">
    <w:p>
      <w:pPr>
        <w:pStyle w:val="FootnoteText"/>
      </w:pPr>
      <w:r>
        <w:rPr>
          <w:rStyle w:val="FootnoteReference"/>
        </w:rPr>
        <w:footnoteRef/>
      </w:r>
      <w:r>
        <w:t xml:space="preserve"> Cross-references for "the place": Deut 12:5; Deut 12:21.</w:t>
      </w:r>
    </w:p>
  </w:footnote>
  <w:footnote w:id="9772">
    <w:p>
      <w:pPr>
        <w:pStyle w:val="FootnoteText"/>
      </w:pPr>
      <w:r>
        <w:rPr>
          <w:rStyle w:val="FootnoteReference"/>
        </w:rPr>
        <w:footnoteRef/>
      </w:r>
      <w:r>
        <w:t xml:space="preserve"> Translation note: Greek uses the familiar power-and-hand redemption line. Current wording preserves it.</w:t>
      </w:r>
    </w:p>
  </w:footnote>
  <w:footnote w:id="9773">
    <w:p>
      <w:pPr>
        <w:pStyle w:val="FootnoteText"/>
      </w:pPr>
      <w:r>
        <w:rPr>
          <w:rStyle w:val="FootnoteReference"/>
        </w:rPr>
        <w:footnoteRef/>
      </w:r>
      <w:r>
        <w:t xml:space="preserve"> Cross-references for "who desire": Prov 1:29; Isa 26:8-9.</w:t>
      </w:r>
    </w:p>
  </w:footnote>
  <w:footnote w:id="9774">
    <w:p>
      <w:pPr>
        <w:pStyle w:val="FootnoteText"/>
      </w:pPr>
      <w:r>
        <w:rPr>
          <w:rStyle w:val="FootnoteReference"/>
        </w:rPr>
        <w:footnoteRef/>
      </w:r>
      <w:r>
        <w:t xml:space="preserve"> Translation note: The Greek asks for Nehemiah to be given for compassions before the king. The current wording keeps that unusual mercy formula rather than flattening it into generic favor.</w:t>
      </w:r>
    </w:p>
  </w:footnote>
  <w:footnote w:id="9775">
    <w:p>
      <w:pPr>
        <w:pStyle w:val="FootnoteText"/>
      </w:pPr>
      <w:r>
        <w:rPr>
          <w:rStyle w:val="FootnoteReference"/>
        </w:rPr>
        <w:footnoteRef/>
      </w:r>
      <w:r>
        <w:t xml:space="preserve"> Transliterated proper noun: Nisan. Standard English equivalent: Nisan. Source form: Nisan. Greek form: νισαν. Name meaning: standard; miracle.</w:t>
      </w:r>
    </w:p>
  </w:footnote>
  <w:footnote w:id="9776">
    <w:p>
      <w:pPr>
        <w:pStyle w:val="FootnoteText"/>
      </w:pPr>
      <w:r>
        <w:rPr>
          <w:rStyle w:val="FootnoteReference"/>
        </w:rPr>
        <w:footnoteRef/>
      </w:r>
      <w:r>
        <w:t xml:space="preserve"> Translation note: Greek says wine was before me.</w:t>
      </w:r>
    </w:p>
  </w:footnote>
  <w:footnote w:id="9777">
    <w:p>
      <w:pPr>
        <w:pStyle w:val="FootnoteText"/>
      </w:pPr>
      <w:r>
        <w:rPr>
          <w:rStyle w:val="FootnoteReference"/>
        </w:rPr>
        <w:footnoteRef/>
      </w:r>
      <w:r>
        <w:t xml:space="preserve"> Cross-references for "Nisan": Esth 3:7.</w:t>
      </w:r>
    </w:p>
  </w:footnote>
  <w:footnote w:id="9778">
    <w:p>
      <w:pPr>
        <w:pStyle w:val="FootnoteText"/>
      </w:pPr>
      <w:r>
        <w:rPr>
          <w:rStyle w:val="FootnoteReference"/>
        </w:rPr>
        <w:footnoteRef/>
      </w:r>
      <w:r>
        <w:t xml:space="preserve"> Cross-references for "Let the king": 1Kgs 1:31; Dan 2:4.</w:t>
      </w:r>
    </w:p>
  </w:footnote>
  <w:footnote w:id="9779">
    <w:p>
      <w:pPr>
        <w:pStyle w:val="FootnoteText"/>
      </w:pPr>
      <w:r>
        <w:rPr>
          <w:rStyle w:val="FootnoteReference"/>
        </w:rPr>
        <w:footnoteRef/>
      </w:r>
      <w:r>
        <w:t xml:space="preserve"> Cross-references for "For what": 1Kgs 3:5; Mark 10:51.</w:t>
      </w:r>
    </w:p>
  </w:footnote>
  <w:footnote w:id="9780">
    <w:p>
      <w:pPr>
        <w:pStyle w:val="FootnoteText"/>
      </w:pPr>
      <w:r>
        <w:rPr>
          <w:rStyle w:val="FootnoteReference"/>
        </w:rPr>
        <w:footnoteRef/>
      </w:r>
      <w:r>
        <w:t xml:space="preserve"> Cross-references for "let letters": Ezra 6:6; Ezra 7:21.</w:t>
      </w:r>
    </w:p>
  </w:footnote>
  <w:footnote w:id="9781">
    <w:p>
      <w:pPr>
        <w:pStyle w:val="FootnoteText"/>
      </w:pPr>
      <w:r>
        <w:rPr>
          <w:rStyle w:val="FootnoteReference"/>
        </w:rPr>
        <w:footnoteRef/>
      </w:r>
      <w:r>
        <w:t xml:space="preserve"> Translation note: Greek uses a roofing verb here. The translation keeps that construction.</w:t>
      </w:r>
    </w:p>
  </w:footnote>
  <w:footnote w:id="9782">
    <w:p>
      <w:pPr>
        <w:pStyle w:val="FootnoteText"/>
      </w:pPr>
      <w:r>
        <w:rPr>
          <w:rStyle w:val="FootnoteReference"/>
        </w:rPr>
        <w:footnoteRef/>
      </w:r>
      <w:r>
        <w:t xml:space="preserve"> Cross-references for "the wall": Neh 2:17; Neh 3:1-32.</w:t>
      </w:r>
    </w:p>
  </w:footnote>
  <w:footnote w:id="9783">
    <w:p>
      <w:pPr>
        <w:pStyle w:val="FootnoteText"/>
      </w:pPr>
      <w:r>
        <w:rPr>
          <w:rStyle w:val="FootnoteReference"/>
        </w:rPr>
        <w:footnoteRef/>
      </w:r>
      <w:r>
        <w:t xml:space="preserve"> Cross-references for "to the governors": Neh 2:7.</w:t>
      </w:r>
    </w:p>
  </w:footnote>
  <w:footnote w:id="9784">
    <w:p>
      <w:pPr>
        <w:pStyle w:val="FootnoteText"/>
      </w:pPr>
      <w:r>
        <w:rPr>
          <w:rStyle w:val="FootnoteReference"/>
        </w:rPr>
        <w:footnoteRef/>
      </w:r>
      <w:r>
        <w:t xml:space="preserve"> Personal name: Sanballat. Personal-name meaning: Sanballat — bramble-bush; enemy in secret. Source form: Sanballat.</w:t>
      </w:r>
    </w:p>
  </w:footnote>
  <w:footnote w:id="9785">
    <w:p>
      <w:pPr>
        <w:pStyle w:val="FootnoteText"/>
      </w:pPr>
      <w:r>
        <w:rPr>
          <w:rStyle w:val="FootnoteReference"/>
        </w:rPr>
        <w:footnoteRef/>
      </w:r>
      <w:r>
        <w:t xml:space="preserve"> People-name: Horonite. People-name meaning: Horonites — men of anger, or of fury, or of liberty. Standard English equivalent: Horonites. Source form: Horonite.</w:t>
      </w:r>
    </w:p>
  </w:footnote>
  <w:footnote w:id="9786">
    <w:p>
      <w:pPr>
        <w:pStyle w:val="FootnoteText"/>
      </w:pPr>
      <w:r>
        <w:rPr>
          <w:rStyle w:val="FootnoteReference"/>
        </w:rPr>
        <w:footnoteRef/>
      </w:r>
      <w:r>
        <w:t xml:space="preserve"> Cross-references for "Sanballat": Neh 2:19; Neh 4:1-3.</w:t>
      </w:r>
    </w:p>
  </w:footnote>
  <w:footnote w:id="9787">
    <w:p>
      <w:pPr>
        <w:pStyle w:val="FootnoteText"/>
      </w:pPr>
      <w:r>
        <w:rPr>
          <w:rStyle w:val="FootnoteReference"/>
        </w:rPr>
        <w:footnoteRef/>
      </w:r>
      <w:r>
        <w:t xml:space="preserve"> Cross-references for "the gate": 2Chr 26:9; Neh 2:15.</w:t>
      </w:r>
    </w:p>
  </w:footnote>
  <w:footnote w:id="9788">
    <w:p>
      <w:pPr>
        <w:pStyle w:val="FootnoteText"/>
      </w:pPr>
      <w:r>
        <w:rPr>
          <w:rStyle w:val="FootnoteReference"/>
        </w:rPr>
        <w:footnoteRef/>
      </w:r>
      <w:r>
        <w:t xml:space="preserve"> Translation note: Greek place names differ here.</w:t>
      </w:r>
    </w:p>
  </w:footnote>
  <w:footnote w:id="9789">
    <w:p>
      <w:pPr>
        <w:pStyle w:val="FootnoteText"/>
      </w:pPr>
      <w:r>
        <w:rPr>
          <w:rStyle w:val="FootnoteReference"/>
        </w:rPr>
        <w:footnoteRef/>
      </w:r>
      <w:r>
        <w:t xml:space="preserve"> Place name: Ain. Place-name meaning: Ain — eye; spring; fountain. Source form: Ain. Greek form: αιν.</w:t>
      </w:r>
    </w:p>
  </w:footnote>
  <w:footnote w:id="9790">
    <w:p>
      <w:pPr>
        <w:pStyle w:val="FootnoteText"/>
      </w:pPr>
      <w:r>
        <w:rPr>
          <w:rStyle w:val="FootnoteReference"/>
        </w:rPr>
        <w:footnoteRef/>
      </w:r>
      <w:r>
        <w:t xml:space="preserve"> Cross-references for "the gate": Neh 2:13.</w:t>
      </w:r>
    </w:p>
  </w:footnote>
  <w:footnote w:id="9791">
    <w:p>
      <w:pPr>
        <w:pStyle w:val="FootnoteText"/>
      </w:pPr>
      <w:r>
        <w:rPr>
          <w:rStyle w:val="FootnoteReference"/>
        </w:rPr>
        <w:footnoteRef/>
      </w:r>
      <w:r>
        <w:t xml:space="preserve"> Translation note: Greek says its gates were given to fire.</w:t>
      </w:r>
    </w:p>
  </w:footnote>
  <w:footnote w:id="9792">
    <w:p>
      <w:pPr>
        <w:pStyle w:val="FootnoteText"/>
      </w:pPr>
      <w:r>
        <w:rPr>
          <w:rStyle w:val="FootnoteReference"/>
        </w:rPr>
        <w:footnoteRef/>
      </w:r>
      <w:r>
        <w:t xml:space="preserve"> Cross-references for "a reproach": 1Sam 11:2; Neh 1:3.</w:t>
      </w:r>
    </w:p>
  </w:footnote>
  <w:footnote w:id="9793">
    <w:p>
      <w:pPr>
        <w:pStyle w:val="FootnoteText"/>
      </w:pPr>
      <w:r>
        <w:rPr>
          <w:rStyle w:val="FootnoteReference"/>
        </w:rPr>
        <w:footnoteRef/>
      </w:r>
      <w:r>
        <w:t xml:space="preserve"> Translation note: Greek says hand of God here. Current line keeps that wording.</w:t>
      </w:r>
    </w:p>
  </w:footnote>
  <w:footnote w:id="9794">
    <w:p>
      <w:pPr>
        <w:pStyle w:val="FootnoteText"/>
      </w:pPr>
      <w:r>
        <w:rPr>
          <w:rStyle w:val="FootnoteReference"/>
        </w:rPr>
        <w:footnoteRef/>
      </w:r>
      <w:r>
        <w:t xml:space="preserve"> Cross-references for "the hand": Neh 2:8.</w:t>
      </w:r>
    </w:p>
  </w:footnote>
  <w:footnote w:id="9795">
    <w:p>
      <w:pPr>
        <w:pStyle w:val="FootnoteText"/>
      </w:pPr>
      <w:r>
        <w:rPr>
          <w:rStyle w:val="FootnoteReference"/>
        </w:rPr>
        <w:footnoteRef/>
      </w:r>
      <w:r>
        <w:t xml:space="preserve"> Cross-references for "Sanballat": Neh 2:10; Neh 6:1-2.</w:t>
      </w:r>
    </w:p>
  </w:footnote>
  <w:footnote w:id="9796">
    <w:p>
      <w:pPr>
        <w:pStyle w:val="FootnoteText"/>
      </w:pPr>
      <w:r>
        <w:rPr>
          <w:rStyle w:val="FootnoteReference"/>
        </w:rPr>
        <w:footnoteRef/>
      </w:r>
      <w:r>
        <w:t xml:space="preserve"> Personal name: Geshem. Personal-name meaning: Geshem — rain; shower. Source form: Geshem.</w:t>
      </w:r>
    </w:p>
  </w:footnote>
  <w:footnote w:id="9797">
    <w:p>
      <w:pPr>
        <w:pStyle w:val="FootnoteText"/>
      </w:pPr>
      <w:r>
        <w:rPr>
          <w:rStyle w:val="FootnoteReference"/>
        </w:rPr>
        <w:footnoteRef/>
      </w:r>
      <w:r>
        <w:t xml:space="preserve"> Place name: Arab. Place-name meaning: Arabian — evening; desert; ravens. Standard English equivalent: Arabian. Source form: Arab. Greek form: αραβι.</w:t>
      </w:r>
    </w:p>
  </w:footnote>
  <w:footnote w:id="9798">
    <w:p>
      <w:pPr>
        <w:pStyle w:val="FootnoteText"/>
      </w:pPr>
      <w:r>
        <w:rPr>
          <w:rStyle w:val="FootnoteReference"/>
        </w:rPr>
        <w:footnoteRef/>
      </w:r>
      <w:r>
        <w:t xml:space="preserve"> Translation note: Greek uses word/matter language here; English needs thing because the question targets the work being done.</w:t>
      </w:r>
    </w:p>
  </w:footnote>
  <w:footnote w:id="9799">
    <w:p>
      <w:pPr>
        <w:pStyle w:val="FootnoteText"/>
      </w:pPr>
      <w:r>
        <w:rPr>
          <w:rStyle w:val="FootnoteReference"/>
        </w:rPr>
        <w:footnoteRef/>
      </w:r>
      <w:r>
        <w:t xml:space="preserve"> Cross-references for "The God": 2Chr 26:5; Neh 2:4.</w:t>
      </w:r>
    </w:p>
  </w:footnote>
  <w:footnote w:id="9800">
    <w:p>
      <w:pPr>
        <w:pStyle w:val="FootnoteText"/>
      </w:pPr>
      <w:r>
        <w:rPr>
          <w:rStyle w:val="FootnoteReference"/>
        </w:rPr>
        <w:footnoteRef/>
      </w:r>
      <w:r>
        <w:t xml:space="preserve"> Cross-references for "Eliashib": Neh 12:10; Neh 13:28.</w:t>
      </w:r>
    </w:p>
  </w:footnote>
  <w:footnote w:id="9801">
    <w:p>
      <w:pPr>
        <w:pStyle w:val="FootnoteText"/>
      </w:pPr>
      <w:r>
        <w:rPr>
          <w:rStyle w:val="FootnoteReference"/>
        </w:rPr>
        <w:footnoteRef/>
      </w:r>
      <w:r>
        <w:t xml:space="preserve"> Transliterated proper noun: Hananeel. Standard English equivalent: Hananeel. Source form: Hananeel. Greek form: ανανεηλ. Name meaning: grace, or gift, of God.</w:t>
      </w:r>
    </w:p>
  </w:footnote>
  <w:footnote w:id="9802">
    <w:p>
      <w:pPr>
        <w:pStyle w:val="FootnoteText"/>
      </w:pPr>
      <w:r>
        <w:rPr>
          <w:rStyle w:val="FootnoteReference"/>
        </w:rPr>
        <w:footnoteRef/>
      </w:r>
      <w:r>
        <w:t xml:space="preserve"> Cross-references for "Zaccur": Neh 10:12.</w:t>
      </w:r>
    </w:p>
  </w:footnote>
  <w:footnote w:id="9803">
    <w:p>
      <w:pPr>
        <w:pStyle w:val="FootnoteText"/>
      </w:pPr>
      <w:r>
        <w:rPr>
          <w:rStyle w:val="FootnoteReference"/>
        </w:rPr>
        <w:footnoteRef/>
      </w:r>
      <w:r>
        <w:t xml:space="preserve"> Personal name: Imri. Personal-name meaning: Imri — speaking; exalting; bitter; a lamb. Source form: Imri.</w:t>
      </w:r>
    </w:p>
  </w:footnote>
  <w:footnote w:id="9804">
    <w:p>
      <w:pPr>
        <w:pStyle w:val="FootnoteText"/>
      </w:pPr>
      <w:r>
        <w:rPr>
          <w:rStyle w:val="FootnoteReference"/>
        </w:rPr>
        <w:footnoteRef/>
      </w:r>
      <w:r>
        <w:t xml:space="preserve"> Personal name: Hassenaah. Personal-name meaning: Hassenaah — thorny; hated. Source form: Hassenaah.</w:t>
      </w:r>
    </w:p>
  </w:footnote>
  <w:footnote w:id="9805">
    <w:p>
      <w:pPr>
        <w:pStyle w:val="FootnoteText"/>
      </w:pPr>
      <w:r>
        <w:rPr>
          <w:rStyle w:val="FootnoteReference"/>
        </w:rPr>
        <w:footnoteRef/>
      </w:r>
      <w:r>
        <w:t xml:space="preserve"> Cross-references for "the Fish Gate": 2Chr 33:14; Neh 12:39.</w:t>
      </w:r>
    </w:p>
  </w:footnote>
  <w:footnote w:id="9806">
    <w:p>
      <w:pPr>
        <w:pStyle w:val="FootnoteText"/>
      </w:pPr>
      <w:r>
        <w:rPr>
          <w:rStyle w:val="FootnoteReference"/>
        </w:rPr>
        <w:footnoteRef/>
      </w:r>
      <w:r>
        <w:t xml:space="preserve"> Cross-references for "Meremoth": Neh 3:21; Neh 10:15.</w:t>
      </w:r>
    </w:p>
  </w:footnote>
  <w:footnote w:id="9807">
    <w:p>
      <w:pPr>
        <w:pStyle w:val="FootnoteText"/>
      </w:pPr>
      <w:r>
        <w:rPr>
          <w:rStyle w:val="FootnoteReference"/>
        </w:rPr>
        <w:footnoteRef/>
      </w:r>
      <w:r>
        <w:t xml:space="preserve"> Transliterated proper noun: Meshezabeel. Standard English equivalent: Meshezabeel. Source form: Meshezabeel. Greek form: μασεζεβηλ. Name meaning: God rescues; God delivers.</w:t>
      </w:r>
    </w:p>
  </w:footnote>
  <w:footnote w:id="9808">
    <w:p>
      <w:pPr>
        <w:pStyle w:val="FootnoteText"/>
      </w:pPr>
      <w:r>
        <w:rPr>
          <w:rStyle w:val="FootnoteReference"/>
        </w:rPr>
        <w:footnoteRef/>
      </w:r>
      <w:r>
        <w:t xml:space="preserve"> Transliterated proper noun: Tekoites. Standard English equivalent: Tekoites. Source form: Tekoites. Greek form: θεκωιν. Name meaning: people of Tekoa; trumpet; confirmed.</w:t>
      </w:r>
    </w:p>
  </w:footnote>
  <w:footnote w:id="9809">
    <w:p>
      <w:pPr>
        <w:pStyle w:val="FootnoteText"/>
      </w:pPr>
      <w:r>
        <w:rPr>
          <w:rStyle w:val="FootnoteReference"/>
        </w:rPr>
        <w:footnoteRef/>
      </w:r>
      <w:r>
        <w:t xml:space="preserve"> Translation note: Greek uses a neck-into-service idiom here. Current wording preserves that refusal image.</w:t>
      </w:r>
    </w:p>
  </w:footnote>
  <w:footnote w:id="9810">
    <w:p>
      <w:pPr>
        <w:pStyle w:val="FootnoteText"/>
      </w:pPr>
      <w:r>
        <w:rPr>
          <w:rStyle w:val="FootnoteReference"/>
        </w:rPr>
        <w:footnoteRef/>
      </w:r>
      <w:r>
        <w:t xml:space="preserve"> Cross-references for "the Tekoites": 2Sam 14:2; Neh 3:27.</w:t>
      </w:r>
    </w:p>
  </w:footnote>
  <w:footnote w:id="9811">
    <w:p>
      <w:pPr>
        <w:pStyle w:val="FootnoteText"/>
      </w:pPr>
      <w:r>
        <w:rPr>
          <w:rStyle w:val="FootnoteReference"/>
        </w:rPr>
        <w:footnoteRef/>
      </w:r>
      <w:r>
        <w:t xml:space="preserve"> Cross-references for "the Broad Wall": Neh 12:38.</w:t>
      </w:r>
    </w:p>
  </w:footnote>
  <w:footnote w:id="9812">
    <w:p>
      <w:pPr>
        <w:pStyle w:val="FootnoteText"/>
      </w:pPr>
      <w:r>
        <w:rPr>
          <w:rStyle w:val="FootnoteReference"/>
        </w:rPr>
        <w:footnoteRef/>
      </w:r>
      <w:r>
        <w:t xml:space="preserve"> Translation note: Greek uses district language and a concise repair notice. The translation keeps that shape.</w:t>
      </w:r>
    </w:p>
  </w:footnote>
  <w:footnote w:id="9813">
    <w:p>
      <w:pPr>
        <w:pStyle w:val="FootnoteText"/>
      </w:pPr>
      <w:r>
        <w:rPr>
          <w:rStyle w:val="FootnoteReference"/>
        </w:rPr>
        <w:footnoteRef/>
      </w:r>
      <w:r>
        <w:t xml:space="preserve"> Personal name: Harumaph. Personal-name meaning: Harumaph — destruction. Source form: Harumaph.</w:t>
      </w:r>
    </w:p>
  </w:footnote>
  <w:footnote w:id="9814">
    <w:p>
      <w:pPr>
        <w:pStyle w:val="FootnoteText"/>
      </w:pPr>
      <w:r>
        <w:rPr>
          <w:rStyle w:val="FootnoteReference"/>
        </w:rPr>
        <w:footnoteRef/>
      </w:r>
      <w:r>
        <w:t xml:space="preserve"> Cross-references for "Hattush": Neh 10:4.</w:t>
      </w:r>
    </w:p>
  </w:footnote>
  <w:footnote w:id="9815">
    <w:p>
      <w:pPr>
        <w:pStyle w:val="FootnoteText"/>
      </w:pPr>
      <w:r>
        <w:rPr>
          <w:rStyle w:val="FootnoteReference"/>
        </w:rPr>
        <w:footnoteRef/>
      </w:r>
      <w:r>
        <w:t xml:space="preserve"> Transliterated proper noun: Hashabniah. Standard English equivalent: Hashabniah. Source form: Hashabniah. Greek form: ασβανια. Name meaning: the silence of the Lord.</w:t>
      </w:r>
    </w:p>
  </w:footnote>
  <w:footnote w:id="9816">
    <w:p>
      <w:pPr>
        <w:pStyle w:val="FootnoteText"/>
      </w:pPr>
      <w:r>
        <w:rPr>
          <w:rStyle w:val="FootnoteReference"/>
        </w:rPr>
        <w:footnoteRef/>
      </w:r>
      <w:r>
        <w:t xml:space="preserve"> Personal name: Malchiah. Personal-name meaning: Malchiah — the Lord my king, or my counselor. Source form: Malchiah.</w:t>
      </w:r>
    </w:p>
  </w:footnote>
  <w:footnote w:id="9817">
    <w:p>
      <w:pPr>
        <w:pStyle w:val="FootnoteText"/>
      </w:pPr>
      <w:r>
        <w:rPr>
          <w:rStyle w:val="FootnoteReference"/>
        </w:rPr>
        <w:footnoteRef/>
      </w:r>
      <w:r>
        <w:t xml:space="preserve"> Cross-references for "Harim": Neh 10:5.</w:t>
      </w:r>
    </w:p>
  </w:footnote>
  <w:footnote w:id="9818">
    <w:p>
      <w:pPr>
        <w:pStyle w:val="FootnoteText"/>
      </w:pPr>
      <w:r>
        <w:rPr>
          <w:rStyle w:val="FootnoteReference"/>
        </w:rPr>
        <w:footnoteRef/>
      </w:r>
      <w:r>
        <w:t xml:space="preserve"> Personal name: Shobek. Personal-name meaning: Shobek — made void; forsaken. Source form: Shobek.</w:t>
      </w:r>
    </w:p>
  </w:footnote>
  <w:footnote w:id="9819">
    <w:p>
      <w:pPr>
        <w:pStyle w:val="FootnoteText"/>
      </w:pPr>
      <w:r>
        <w:rPr>
          <w:rStyle w:val="FootnoteReference"/>
        </w:rPr>
        <w:footnoteRef/>
      </w:r>
      <w:r>
        <w:t xml:space="preserve"> Cross-references for "he and his daughters": Exod 35:25; Acts 21:8-9.</w:t>
      </w:r>
    </w:p>
  </w:footnote>
  <w:footnote w:id="9820">
    <w:p>
      <w:pPr>
        <w:pStyle w:val="FootnoteText"/>
      </w:pPr>
      <w:r>
        <w:rPr>
          <w:rStyle w:val="FootnoteReference"/>
        </w:rPr>
        <w:footnoteRef/>
      </w:r>
      <w:r>
        <w:t xml:space="preserve"> Cross-references for "Zanoah": Josh 15:34; Josh 15:56.</w:t>
      </w:r>
    </w:p>
  </w:footnote>
  <w:footnote w:id="9821">
    <w:p>
      <w:pPr>
        <w:pStyle w:val="FootnoteText"/>
      </w:pPr>
      <w:r>
        <w:rPr>
          <w:rStyle w:val="FootnoteReference"/>
        </w:rPr>
        <w:footnoteRef/>
      </w:r>
      <w:r>
        <w:t xml:space="preserve"> Translation note: Greek keeps Kodia form here. Current line keeps it.</w:t>
      </w:r>
    </w:p>
  </w:footnote>
  <w:footnote w:id="9822">
    <w:p>
      <w:pPr>
        <w:pStyle w:val="FootnoteText"/>
      </w:pPr>
      <w:r>
        <w:rPr>
          <w:rStyle w:val="FootnoteReference"/>
        </w:rPr>
        <w:footnoteRef/>
      </w:r>
      <w:r>
        <w:t xml:space="preserve"> Cross-references for "the stairs": 2Sam 5:6-7.</w:t>
      </w:r>
    </w:p>
  </w:footnote>
  <w:footnote w:id="9823">
    <w:p>
      <w:pPr>
        <w:pStyle w:val="FootnoteText"/>
      </w:pPr>
      <w:r>
        <w:rPr>
          <w:rStyle w:val="FootnoteReference"/>
        </w:rPr>
        <w:footnoteRef/>
      </w:r>
      <w:r>
        <w:t xml:space="preserve"> Cross-references for "Bethzur": Josh 15:58; 1Chr 2:45.</w:t>
      </w:r>
    </w:p>
  </w:footnote>
  <w:footnote w:id="9824">
    <w:p>
      <w:pPr>
        <w:pStyle w:val="FootnoteText"/>
      </w:pPr>
      <w:r>
        <w:rPr>
          <w:rStyle w:val="FootnoteReference"/>
        </w:rPr>
        <w:footnoteRef/>
      </w:r>
      <w:r>
        <w:t xml:space="preserve"> Cross-references for "Keilah": Josh 15:44; 1Sam 23:1.</w:t>
      </w:r>
    </w:p>
  </w:footnote>
  <w:footnote w:id="9825">
    <w:p>
      <w:pPr>
        <w:pStyle w:val="FootnoteText"/>
      </w:pPr>
      <w:r>
        <w:rPr>
          <w:rStyle w:val="FootnoteReference"/>
        </w:rPr>
        <w:footnoteRef/>
      </w:r>
      <w:r>
        <w:t xml:space="preserve"> Cross-references for "Jeshua": Neh 10:9; Neh 12:8.</w:t>
      </w:r>
    </w:p>
  </w:footnote>
  <w:footnote w:id="9826">
    <w:p>
      <w:pPr>
        <w:pStyle w:val="FootnoteText"/>
      </w:pPr>
      <w:r>
        <w:rPr>
          <w:rStyle w:val="FootnoteReference"/>
        </w:rPr>
        <w:footnoteRef/>
      </w:r>
      <w:r>
        <w:t xml:space="preserve"> Cross-references for "Eliashib": Neh 3:1; Neh 3:21.</w:t>
      </w:r>
    </w:p>
  </w:footnote>
  <w:footnote w:id="9827">
    <w:p>
      <w:pPr>
        <w:pStyle w:val="FootnoteText"/>
      </w:pPr>
      <w:r>
        <w:rPr>
          <w:rStyle w:val="FootnoteReference"/>
        </w:rPr>
        <w:footnoteRef/>
      </w:r>
      <w:r>
        <w:t xml:space="preserve"> Cross-references for "Meremoth": Neh 3:4.</w:t>
      </w:r>
    </w:p>
  </w:footnote>
  <w:footnote w:id="9828">
    <w:p>
      <w:pPr>
        <w:pStyle w:val="FootnoteText"/>
      </w:pPr>
      <w:r>
        <w:rPr>
          <w:rStyle w:val="FootnoteReference"/>
        </w:rPr>
        <w:footnoteRef/>
      </w:r>
      <w:r>
        <w:t xml:space="preserve"> Cross-references for "Azariah": Neh 10:2.</w:t>
      </w:r>
    </w:p>
  </w:footnote>
  <w:footnote w:id="9829">
    <w:p>
      <w:pPr>
        <w:pStyle w:val="FootnoteText"/>
      </w:pPr>
      <w:r>
        <w:rPr>
          <w:rStyle w:val="FootnoteReference"/>
        </w:rPr>
        <w:footnoteRef/>
      </w:r>
      <w:r>
        <w:t xml:space="preserve"> Cross-references for "the turning": Neh 3:20.</w:t>
      </w:r>
    </w:p>
  </w:footnote>
  <w:footnote w:id="9830">
    <w:p>
      <w:pPr>
        <w:pStyle w:val="FootnoteText"/>
      </w:pPr>
      <w:r>
        <w:rPr>
          <w:rStyle w:val="FootnoteReference"/>
        </w:rPr>
        <w:footnoteRef/>
      </w:r>
      <w:r>
        <w:t xml:space="preserve"> Personal name: Palal. Personal-name meaning: Palal — thinking. Source form: Palal.</w:t>
      </w:r>
    </w:p>
  </w:footnote>
  <w:footnote w:id="9831">
    <w:p>
      <w:pPr>
        <w:pStyle w:val="FootnoteText"/>
      </w:pPr>
      <w:r>
        <w:rPr>
          <w:rStyle w:val="FootnoteReference"/>
        </w:rPr>
        <w:footnoteRef/>
      </w:r>
      <w:r>
        <w:t xml:space="preserve"> Personal name: Uzai. Personal-name meaning: Uzai — he. Source form: Uzai.</w:t>
      </w:r>
    </w:p>
  </w:footnote>
  <w:footnote w:id="9832">
    <w:p>
      <w:pPr>
        <w:pStyle w:val="FootnoteText"/>
      </w:pPr>
      <w:r>
        <w:rPr>
          <w:rStyle w:val="FootnoteReference"/>
        </w:rPr>
        <w:footnoteRef/>
      </w:r>
      <w:r>
        <w:t xml:space="preserve"> Cross-references for "Pedaiah": Neh 8:4.</w:t>
      </w:r>
    </w:p>
  </w:footnote>
  <w:footnote w:id="9833">
    <w:p>
      <w:pPr>
        <w:pStyle w:val="FootnoteText"/>
      </w:pPr>
      <w:r>
        <w:rPr>
          <w:rStyle w:val="FootnoteReference"/>
        </w:rPr>
        <w:footnoteRef/>
      </w:r>
      <w:r>
        <w:t xml:space="preserve"> Cross-references for "Ophel": 2Chr 27:3; 2Chr 33:14.</w:t>
      </w:r>
    </w:p>
  </w:footnote>
  <w:footnote w:id="9834">
    <w:p>
      <w:pPr>
        <w:pStyle w:val="FootnoteText"/>
      </w:pPr>
      <w:r>
        <w:rPr>
          <w:rStyle w:val="FootnoteReference"/>
        </w:rPr>
        <w:footnoteRef/>
      </w:r>
      <w:r>
        <w:t xml:space="preserve"> Cross-references for "the Tekoites": Neh 3:5.</w:t>
      </w:r>
    </w:p>
  </w:footnote>
  <w:footnote w:id="9835">
    <w:p>
      <w:pPr>
        <w:pStyle w:val="FootnoteText"/>
      </w:pPr>
      <w:r>
        <w:rPr>
          <w:rStyle w:val="FootnoteReference"/>
        </w:rPr>
        <w:footnoteRef/>
      </w:r>
      <w:r>
        <w:t xml:space="preserve"> Personal name: Zalaph. Personal-name meaning: Zalaph — shadow; ringing; shaking. Source form: Zalaph.</w:t>
      </w:r>
    </w:p>
  </w:footnote>
  <w:footnote w:id="9836">
    <w:p>
      <w:pPr>
        <w:pStyle w:val="FootnoteText"/>
      </w:pPr>
      <w:r>
        <w:rPr>
          <w:rStyle w:val="FootnoteReference"/>
        </w:rPr>
        <w:footnoteRef/>
      </w:r>
      <w:r>
        <w:t xml:space="preserve"> Cross-references for "Meshullam": Neh 3:4.</w:t>
      </w:r>
    </w:p>
  </w:footnote>
  <w:footnote w:id="9837">
    <w:p>
      <w:pPr>
        <w:pStyle w:val="FootnoteText"/>
      </w:pPr>
      <w:r>
        <w:rPr>
          <w:rStyle w:val="FootnoteReference"/>
        </w:rPr>
        <w:footnoteRef/>
      </w:r>
      <w:r>
        <w:t xml:space="preserve"> Cross-references for "Sanballat": Ezra 4:1-5; Neh 2:10.</w:t>
      </w:r>
    </w:p>
  </w:footnote>
  <w:footnote w:id="9838">
    <w:p>
      <w:pPr>
        <w:pStyle w:val="FootnoteText"/>
      </w:pPr>
      <w:r>
        <w:rPr>
          <w:rStyle w:val="FootnoteReference"/>
        </w:rPr>
        <w:footnoteRef/>
      </w:r>
      <w:r>
        <w:t xml:space="preserve"> MT/LXX note: LXX here gives gathered-for-attack notice instead of the MT speech.</w:t>
      </w:r>
    </w:p>
  </w:footnote>
  <w:footnote w:id="9839">
    <w:p>
      <w:pPr>
        <w:pStyle w:val="FootnoteText"/>
      </w:pPr>
      <w:r>
        <w:rPr>
          <w:rStyle w:val="FootnoteReference"/>
        </w:rPr>
        <w:footnoteRef/>
      </w:r>
      <w:r>
        <w:t xml:space="preserve"> MT/LXX note: The Septuagint verse here contains the prayer-and-watch response rather than the Masoretic Tobiah mockery line. The translation follows the Greek content.</w:t>
      </w:r>
    </w:p>
  </w:footnote>
  <w:footnote w:id="9840">
    <w:p>
      <w:pPr>
        <w:pStyle w:val="FootnoteText"/>
      </w:pPr>
      <w:r>
        <w:rPr>
          <w:rStyle w:val="FootnoteReference"/>
        </w:rPr>
        <w:footnoteRef/>
      </w:r>
      <w:r>
        <w:t xml:space="preserve"> MT/LXX note: The Septuagint places a prayer-and-watch line at this verse numbering point rather than the Masoretic Tobiah mockery line. The translation follows the Greek content.</w:t>
      </w:r>
    </w:p>
  </w:footnote>
  <w:footnote w:id="9841">
    <w:p>
      <w:pPr>
        <w:pStyle w:val="FootnoteText"/>
      </w:pPr>
      <w:r>
        <w:rPr>
          <w:rStyle w:val="FootnoteReference"/>
        </w:rPr>
        <w:footnoteRef/>
      </w:r>
      <w:r>
        <w:t xml:space="preserve"> MT/LXX note: The Septuagint places a wall-building report here rather than the Masoretic prayer verse. The translation follows the Greek content.</w:t>
      </w:r>
    </w:p>
  </w:footnote>
  <w:footnote w:id="9842">
    <w:p>
      <w:pPr>
        <w:pStyle w:val="FootnoteText"/>
      </w:pPr>
      <w:r>
        <w:rPr>
          <w:rStyle w:val="FootnoteReference"/>
        </w:rPr>
        <w:footnoteRef/>
      </w:r>
      <w:r>
        <w:t xml:space="preserve"> MT/LXX note: The Septuagint places an enemy-threat line here rather than the Masoretic imprecation. The translation follows the Greek content.</w:t>
      </w:r>
    </w:p>
  </w:footnote>
  <w:footnote w:id="9843">
    <w:p>
      <w:pPr>
        <w:pStyle w:val="FootnoteText"/>
      </w:pPr>
      <w:r>
        <w:rPr>
          <w:rStyle w:val="FootnoteReference"/>
        </w:rPr>
        <w:footnoteRef/>
      </w:r>
      <w:r>
        <w:t xml:space="preserve"> MT/LXX note: LXX here gives Nehemiah's defense deployment instead of the MT opposition report.</w:t>
      </w:r>
    </w:p>
  </w:footnote>
  <w:footnote w:id="9844">
    <w:p>
      <w:pPr>
        <w:pStyle w:val="FootnoteText"/>
      </w:pPr>
      <w:r>
        <w:rPr>
          <w:rStyle w:val="FootnoteReference"/>
        </w:rPr>
        <w:footnoteRef/>
      </w:r>
      <w:r>
        <w:t xml:space="preserve"> MT/LXX note: The Septuagint verse here gives Nehemiah's exhortation to arm and form up rather than the Masoretic note about enemy conspiracy. The translation follows the Greek line.</w:t>
      </w:r>
    </w:p>
  </w:footnote>
  <w:footnote w:id="9845">
    <w:p>
      <w:pPr>
        <w:pStyle w:val="FootnoteText"/>
      </w:pPr>
      <w:r>
        <w:rPr>
          <w:rStyle w:val="FootnoteReference"/>
        </w:rPr>
        <w:footnoteRef/>
      </w:r>
      <w:r>
        <w:t xml:space="preserve"> MT/LXX note: This LXX verse number carries the horn-gathering line rather than the MT fear-not exhortation.</w:t>
      </w:r>
    </w:p>
  </w:footnote>
  <w:footnote w:id="9846">
    <w:p>
      <w:pPr>
        <w:pStyle w:val="FootnoteText"/>
      </w:pPr>
      <w:r>
        <w:rPr>
          <w:rStyle w:val="FootnoteReference"/>
        </w:rPr>
        <w:footnoteRef/>
      </w:r>
      <w:r>
        <w:t xml:space="preserve"> Cross-references for "fight": 2Sam 10:12.</w:t>
      </w:r>
    </w:p>
  </w:footnote>
  <w:footnote w:id="9847">
    <w:p>
      <w:pPr>
        <w:pStyle w:val="FootnoteText"/>
      </w:pPr>
      <w:r>
        <w:rPr>
          <w:rStyle w:val="FootnoteReference"/>
        </w:rPr>
        <w:footnoteRef/>
      </w:r>
      <w:r>
        <w:t xml:space="preserve"> MT/LXX note: Greek differs here from the MT-shaped context. Current line keeps the Greek work detail.</w:t>
      </w:r>
    </w:p>
  </w:footnote>
  <w:footnote w:id="9848">
    <w:p>
      <w:pPr>
        <w:pStyle w:val="FootnoteText"/>
      </w:pPr>
      <w:r>
        <w:rPr>
          <w:rStyle w:val="FootnoteReference"/>
        </w:rPr>
        <w:footnoteRef/>
      </w:r>
      <w:r>
        <w:t xml:space="preserve"> Translation note: Greek keeps this watch-work pairing.</w:t>
      </w:r>
    </w:p>
  </w:footnote>
  <w:footnote w:id="9849">
    <w:p>
      <w:pPr>
        <w:pStyle w:val="FootnoteText"/>
      </w:pPr>
      <w:r>
        <w:rPr>
          <w:rStyle w:val="FootnoteReference"/>
        </w:rPr>
        <w:footnoteRef/>
      </w:r>
      <w:r>
        <w:t xml:space="preserve"> MT/LXX note: The Septuagint places a vigilance note here rather than the Masoretic labor description. The translation follows the Greek content.</w:t>
      </w:r>
    </w:p>
  </w:footnote>
  <w:footnote w:id="9850">
    <w:p>
      <w:pPr>
        <w:pStyle w:val="FootnoteText"/>
      </w:pPr>
      <w:r>
        <w:rPr>
          <w:rStyle w:val="FootnoteReference"/>
        </w:rPr>
        <w:footnoteRef/>
      </w:r>
      <w:r>
        <w:t xml:space="preserve"> Cross-references for "our sons": Ps 127:3-5; Ps 128:2-4.</w:t>
      </w:r>
    </w:p>
  </w:footnote>
  <w:footnote w:id="9851">
    <w:p>
      <w:pPr>
        <w:pStyle w:val="FootnoteText"/>
      </w:pPr>
      <w:r>
        <w:rPr>
          <w:rStyle w:val="FootnoteReference"/>
        </w:rPr>
        <w:footnoteRef/>
      </w:r>
      <w:r>
        <w:t xml:space="preserve"> Cross-references for "our flesh": Gen 37:27; Isa 58:7.</w:t>
      </w:r>
    </w:p>
  </w:footnote>
  <w:footnote w:id="9852">
    <w:p>
      <w:pPr>
        <w:pStyle w:val="FootnoteText"/>
      </w:pPr>
      <w:r>
        <w:rPr>
          <w:rStyle w:val="FootnoteReference"/>
        </w:rPr>
        <w:footnoteRef/>
      </w:r>
      <w:r>
        <w:t xml:space="preserve"> Translation note: Greek says we oppress our sons and daughters into slavery.</w:t>
      </w:r>
    </w:p>
  </w:footnote>
  <w:footnote w:id="9853">
    <w:p>
      <w:pPr>
        <w:pStyle w:val="FootnoteText"/>
      </w:pPr>
      <w:r>
        <w:rPr>
          <w:rStyle w:val="FootnoteReference"/>
        </w:rPr>
        <w:footnoteRef/>
      </w:r>
      <w:r>
        <w:t xml:space="preserve"> Translation note: Greek says we bought our brothers the Judeans.</w:t>
      </w:r>
    </w:p>
  </w:footnote>
  <w:footnote w:id="9854">
    <w:p>
      <w:pPr>
        <w:pStyle w:val="FootnoteText"/>
      </w:pPr>
      <w:r>
        <w:rPr>
          <w:rStyle w:val="FootnoteReference"/>
        </w:rPr>
        <w:footnoteRef/>
      </w:r>
      <w:r>
        <w:t xml:space="preserve"> Cross-references for "sell your": Exod 21:16; Deut 24:7.</w:t>
      </w:r>
    </w:p>
  </w:footnote>
  <w:footnote w:id="9855">
    <w:p>
      <w:pPr>
        <w:pStyle w:val="FootnoteText"/>
      </w:pPr>
      <w:r>
        <w:rPr>
          <w:rStyle w:val="FootnoteReference"/>
        </w:rPr>
        <w:footnoteRef/>
      </w:r>
      <w:r>
        <w:t xml:space="preserve"> Cross-references for "walk": Gen 20:11; Gen 42:18.</w:t>
      </w:r>
    </w:p>
  </w:footnote>
  <w:footnote w:id="9856">
    <w:p>
      <w:pPr>
        <w:pStyle w:val="FootnoteText"/>
      </w:pPr>
      <w:r>
        <w:rPr>
          <w:rStyle w:val="FootnoteReference"/>
        </w:rPr>
        <w:footnoteRef/>
      </w:r>
      <w:r>
        <w:t xml:space="preserve"> Cross-references for "leave": Exod 22:25-27; Neh 5:7.</w:t>
      </w:r>
    </w:p>
  </w:footnote>
  <w:footnote w:id="9857">
    <w:p>
      <w:pPr>
        <w:pStyle w:val="FootnoteText"/>
      </w:pPr>
      <w:r>
        <w:rPr>
          <w:rStyle w:val="FootnoteReference"/>
        </w:rPr>
        <w:footnoteRef/>
      </w:r>
      <w:r>
        <w:t xml:space="preserve"> Translation note: Greek says bring out to them from the silver and grain and wine and oil.</w:t>
      </w:r>
    </w:p>
  </w:footnote>
  <w:footnote w:id="9858">
    <w:p>
      <w:pPr>
        <w:pStyle w:val="FootnoteText"/>
      </w:pPr>
      <w:r>
        <w:rPr>
          <w:rStyle w:val="FootnoteReference"/>
        </w:rPr>
        <w:footnoteRef/>
      </w:r>
      <w:r>
        <w:t xml:space="preserve"> Cross-references for "I called": 2Kgs 23:2-3; 2Chr 6:22-23.</w:t>
      </w:r>
    </w:p>
  </w:footnote>
  <w:footnote w:id="9859">
    <w:p>
      <w:pPr>
        <w:pStyle w:val="FootnoteText"/>
      </w:pPr>
      <w:r>
        <w:rPr>
          <w:rStyle w:val="FootnoteReference"/>
        </w:rPr>
        <w:footnoteRef/>
      </w:r>
      <w:r>
        <w:t xml:space="preserve"> Translation note: Greek says I shook out my fold.</w:t>
      </w:r>
    </w:p>
  </w:footnote>
  <w:footnote w:id="9860">
    <w:p>
      <w:pPr>
        <w:pStyle w:val="FootnoteText"/>
      </w:pPr>
      <w:r>
        <w:rPr>
          <w:rStyle w:val="FootnoteReference"/>
        </w:rPr>
        <w:footnoteRef/>
      </w:r>
      <w:r>
        <w:t xml:space="preserve"> Cross-references for "Amen": Num 5:22; Deut 27:14-26.</w:t>
      </w:r>
    </w:p>
  </w:footnote>
  <w:footnote w:id="9861">
    <w:p>
      <w:pPr>
        <w:pStyle w:val="FootnoteText"/>
      </w:pPr>
      <w:r>
        <w:rPr>
          <w:rStyle w:val="FootnoteReference"/>
        </w:rPr>
        <w:footnoteRef/>
      </w:r>
      <w:r>
        <w:t xml:space="preserve"> Cross-references for "I and my": 1Cor 9:4-15; 1Cor 9:18.</w:t>
      </w:r>
    </w:p>
  </w:footnote>
  <w:footnote w:id="9862">
    <w:p>
      <w:pPr>
        <w:pStyle w:val="FootnoteText"/>
      </w:pPr>
      <w:r>
        <w:rPr>
          <w:rStyle w:val="FootnoteReference"/>
        </w:rPr>
        <w:footnoteRef/>
      </w:r>
      <w:r>
        <w:t xml:space="preserve"> Translation note: Greek points to the levy or exaction taken from the people. The translation keeps that coercive sense instead of the smoother governor's bread phrasing.</w:t>
      </w:r>
    </w:p>
  </w:footnote>
  <w:footnote w:id="9863">
    <w:p>
      <w:pPr>
        <w:pStyle w:val="FootnoteText"/>
      </w:pPr>
      <w:r>
        <w:rPr>
          <w:rStyle w:val="FootnoteReference"/>
        </w:rPr>
        <w:footnoteRef/>
      </w:r>
      <w:r>
        <w:t xml:space="preserve"> Translation note: Greek says in breads and in wine, at last forty didrachmas of silver.</w:t>
      </w:r>
    </w:p>
  </w:footnote>
  <w:footnote w:id="9864">
    <w:p>
      <w:pPr>
        <w:pStyle w:val="FootnoteText"/>
      </w:pPr>
      <w:r>
        <w:rPr>
          <w:rStyle w:val="FootnoteReference"/>
        </w:rPr>
        <w:footnoteRef/>
      </w:r>
      <w:r>
        <w:t xml:space="preserve"> Translation note: Greek says at my table here. Current line keeps that wording.</w:t>
      </w:r>
    </w:p>
  </w:footnote>
  <w:footnote w:id="9865">
    <w:p>
      <w:pPr>
        <w:pStyle w:val="FootnoteText"/>
      </w:pPr>
      <w:r>
        <w:rPr>
          <w:rStyle w:val="FootnoteReference"/>
        </w:rPr>
        <w:footnoteRef/>
      </w:r>
      <w:r>
        <w:t xml:space="preserve"> Cross-references for "at my table": 2Sam 9:7; 2Sam 9:13.</w:t>
      </w:r>
    </w:p>
  </w:footnote>
  <w:footnote w:id="9866">
    <w:p>
      <w:pPr>
        <w:pStyle w:val="FootnoteText"/>
      </w:pPr>
      <w:r>
        <w:rPr>
          <w:rStyle w:val="FootnoteReference"/>
        </w:rPr>
        <w:footnoteRef/>
      </w:r>
      <w:r>
        <w:t xml:space="preserve"> Translation note: Greek says bread of exaction.</w:t>
      </w:r>
    </w:p>
  </w:footnote>
  <w:footnote w:id="9867">
    <w:p>
      <w:pPr>
        <w:pStyle w:val="FootnoteText"/>
      </w:pPr>
      <w:r>
        <w:rPr>
          <w:rStyle w:val="FootnoteReference"/>
        </w:rPr>
        <w:footnoteRef/>
      </w:r>
      <w:r>
        <w:t xml:space="preserve"> Cross-references for "Geshem": Neh 6:6.</w:t>
      </w:r>
    </w:p>
  </w:footnote>
  <w:footnote w:id="9868">
    <w:p>
      <w:pPr>
        <w:pStyle w:val="FootnoteText"/>
      </w:pPr>
      <w:r>
        <w:rPr>
          <w:rStyle w:val="FootnoteReference"/>
        </w:rPr>
        <w:footnoteRef/>
      </w:r>
      <w:r>
        <w:t xml:space="preserve"> Cross-references for "And I sent": Prov 14:15; Matt 10:16.</w:t>
      </w:r>
    </w:p>
  </w:footnote>
  <w:footnote w:id="9869">
    <w:p>
      <w:pPr>
        <w:pStyle w:val="FootnoteText"/>
      </w:pPr>
      <w:r>
        <w:rPr>
          <w:rStyle w:val="FootnoteReference"/>
        </w:rPr>
        <w:footnoteRef/>
      </w:r>
      <w:r>
        <w:t xml:space="preserve"> Cross-references for "four times": Judg 16:6; Judg 16:10.</w:t>
      </w:r>
    </w:p>
  </w:footnote>
  <w:footnote w:id="9870">
    <w:p>
      <w:pPr>
        <w:pStyle w:val="FootnoteText"/>
      </w:pPr>
      <w:r>
        <w:rPr>
          <w:rStyle w:val="FootnoteReference"/>
        </w:rPr>
        <w:footnoteRef/>
      </w:r>
      <w:r>
        <w:t xml:space="preserve"> Cross-references for "appointed": Neh 6:12-13.</w:t>
      </w:r>
    </w:p>
  </w:footnote>
  <w:footnote w:id="9871">
    <w:p>
      <w:pPr>
        <w:pStyle w:val="FootnoteText"/>
      </w:pPr>
      <w:r>
        <w:rPr>
          <w:rStyle w:val="FootnoteReference"/>
        </w:rPr>
        <w:footnoteRef/>
      </w:r>
      <w:r>
        <w:t xml:space="preserve"> Translation note: Greek says appointed prophets for yourself so that you might sit as king.</w:t>
      </w:r>
    </w:p>
  </w:footnote>
  <w:footnote w:id="9872">
    <w:p>
      <w:pPr>
        <w:pStyle w:val="FootnoteText"/>
      </w:pPr>
      <w:r>
        <w:rPr>
          <w:rStyle w:val="FootnoteReference"/>
        </w:rPr>
        <w:footnoteRef/>
      </w:r>
      <w:r>
        <w:t xml:space="preserve"> Cross-references for "Their hands": 2Chr 15:7; Ezra 4:1-24.</w:t>
      </w:r>
    </w:p>
  </w:footnote>
  <w:footnote w:id="9873">
    <w:p>
      <w:pPr>
        <w:pStyle w:val="FootnoteText"/>
      </w:pPr>
      <w:r>
        <w:rPr>
          <w:rStyle w:val="FootnoteReference"/>
        </w:rPr>
        <w:footnoteRef/>
      </w:r>
      <w:r>
        <w:t xml:space="preserve"> Cross-references for "Shemaiah": Ezra 8:16; Ezra 10:31.</w:t>
      </w:r>
    </w:p>
  </w:footnote>
  <w:footnote w:id="9874">
    <w:p>
      <w:pPr>
        <w:pStyle w:val="FootnoteText"/>
      </w:pPr>
      <w:r>
        <w:rPr>
          <w:rStyle w:val="FootnoteReference"/>
        </w:rPr>
        <w:footnoteRef/>
      </w:r>
      <w:r>
        <w:t xml:space="preserve"> Translation note: Greek says he was being confined and let us gather in house of God.</w:t>
      </w:r>
    </w:p>
  </w:footnote>
  <w:footnote w:id="9875">
    <w:p>
      <w:pPr>
        <w:pStyle w:val="FootnoteText"/>
      </w:pPr>
      <w:r>
        <w:rPr>
          <w:rStyle w:val="FootnoteReference"/>
        </w:rPr>
        <w:footnoteRef/>
      </w:r>
      <w:r>
        <w:t xml:space="preserve"> Translation note: Greek makes Nehemiah's recognition explicit: God had not sent him. Current wording preserves that discernment line.</w:t>
      </w:r>
    </w:p>
  </w:footnote>
  <w:footnote w:id="9876">
    <w:p>
      <w:pPr>
        <w:pStyle w:val="FootnoteText"/>
      </w:pPr>
      <w:r>
        <w:rPr>
          <w:rStyle w:val="FootnoteReference"/>
        </w:rPr>
        <w:footnoteRef/>
      </w:r>
      <w:r>
        <w:t xml:space="preserve"> Cross-references for "God had": Jer 14:14; Jer 23:16.</w:t>
      </w:r>
    </w:p>
  </w:footnote>
  <w:footnote w:id="9877">
    <w:p>
      <w:pPr>
        <w:pStyle w:val="FootnoteText"/>
      </w:pPr>
      <w:r>
        <w:rPr>
          <w:rStyle w:val="FootnoteReference"/>
        </w:rPr>
        <w:footnoteRef/>
      </w:r>
      <w:r>
        <w:t xml:space="preserve"> Cross-references for "and sin": Jas 4:17.</w:t>
      </w:r>
    </w:p>
  </w:footnote>
  <w:footnote w:id="9878">
    <w:p>
      <w:pPr>
        <w:pStyle w:val="FootnoteText"/>
      </w:pPr>
      <w:r>
        <w:rPr>
          <w:rStyle w:val="FootnoteReference"/>
        </w:rPr>
        <w:footnoteRef/>
      </w:r>
      <w:r>
        <w:t xml:space="preserve"> Cross-references for "my God": Neh 5:19; Ps 22:1.</w:t>
      </w:r>
    </w:p>
  </w:footnote>
  <w:footnote w:id="9879">
    <w:p>
      <w:pPr>
        <w:pStyle w:val="FootnoteText"/>
      </w:pPr>
      <w:r>
        <w:rPr>
          <w:rStyle w:val="FootnoteReference"/>
        </w:rPr>
        <w:footnoteRef/>
      </w:r>
      <w:r>
        <w:t xml:space="preserve"> Cross-references for "wall": Ezra 6:15; Ps 1:3.</w:t>
      </w:r>
    </w:p>
  </w:footnote>
  <w:footnote w:id="9880">
    <w:p>
      <w:pPr>
        <w:pStyle w:val="FootnoteText"/>
      </w:pPr>
      <w:r>
        <w:rPr>
          <w:rStyle w:val="FootnoteReference"/>
        </w:rPr>
        <w:footnoteRef/>
      </w:r>
      <w:r>
        <w:t xml:space="preserve"> Transliterated proper noun: Elul. Standard English equivalent: Elul. Source form: Elul. Greek form: ελουλ. Name meaning: cry or outcry.</w:t>
      </w:r>
    </w:p>
  </w:footnote>
  <w:footnote w:id="9881">
    <w:p>
      <w:pPr>
        <w:pStyle w:val="FootnoteText"/>
      </w:pPr>
      <w:r>
        <w:rPr>
          <w:rStyle w:val="FootnoteReference"/>
        </w:rPr>
        <w:footnoteRef/>
      </w:r>
      <w:r>
        <w:t xml:space="preserve"> Cross-references for "when all our enemies": Neh 2:10; Neh 4:1.</w:t>
      </w:r>
    </w:p>
  </w:footnote>
  <w:footnote w:id="9882">
    <w:p>
      <w:pPr>
        <w:pStyle w:val="FootnoteText"/>
      </w:pPr>
      <w:r>
        <w:rPr>
          <w:rStyle w:val="FootnoteReference"/>
        </w:rPr>
        <w:footnoteRef/>
      </w:r>
      <w:r>
        <w:t xml:space="preserve"> Translation note: Greek says fear fell greatly in their eyes.</w:t>
      </w:r>
    </w:p>
  </w:footnote>
  <w:footnote w:id="9883">
    <w:p>
      <w:pPr>
        <w:pStyle w:val="FootnoteText"/>
      </w:pPr>
      <w:r>
        <w:rPr>
          <w:rStyle w:val="FootnoteReference"/>
        </w:rPr>
        <w:footnoteRef/>
      </w:r>
      <w:r>
        <w:t xml:space="preserve"> Cross-references for "Arah": Ezra 2:5; Neh 7:10.</w:t>
      </w:r>
    </w:p>
  </w:footnote>
  <w:footnote w:id="9884">
    <w:p>
      <w:pPr>
        <w:pStyle w:val="FootnoteText"/>
      </w:pPr>
      <w:r>
        <w:rPr>
          <w:rStyle w:val="FootnoteReference"/>
        </w:rPr>
        <w:footnoteRef/>
      </w:r>
      <w:r>
        <w:t xml:space="preserve"> Cross-references for "the wall": Neh 3:1-32; Neh 6:15.</w:t>
      </w:r>
    </w:p>
  </w:footnote>
  <w:footnote w:id="9885">
    <w:p>
      <w:pPr>
        <w:pStyle w:val="FootnoteText"/>
      </w:pPr>
      <w:r>
        <w:rPr>
          <w:rStyle w:val="FootnoteReference"/>
        </w:rPr>
        <w:footnoteRef/>
      </w:r>
      <w:r>
        <w:t xml:space="preserve"> Personal name: Hanani. Personal-name meaning: Hanani — my grace; my mercy. Source form: Hanani.</w:t>
      </w:r>
    </w:p>
  </w:footnote>
  <w:footnote w:id="9886">
    <w:p>
      <w:pPr>
        <w:pStyle w:val="FootnoteText"/>
      </w:pPr>
      <w:r>
        <w:rPr>
          <w:rStyle w:val="FootnoteReference"/>
        </w:rPr>
        <w:footnoteRef/>
      </w:r>
      <w:r>
        <w:t xml:space="preserve"> Cross-references for "my brother": Neh 1:2.</w:t>
      </w:r>
    </w:p>
  </w:footnote>
  <w:footnote w:id="9887">
    <w:p>
      <w:pPr>
        <w:pStyle w:val="FootnoteText"/>
      </w:pPr>
      <w:r>
        <w:rPr>
          <w:rStyle w:val="FootnoteReference"/>
        </w:rPr>
        <w:footnoteRef/>
      </w:r>
      <w:r>
        <w:t xml:space="preserve"> Translation note: Greek says the gates should remain closed until the sun grows hot. The translation keeps that vivid timing expression.</w:t>
      </w:r>
    </w:p>
  </w:footnote>
  <w:footnote w:id="9888">
    <w:p>
      <w:pPr>
        <w:pStyle w:val="FootnoteText"/>
      </w:pPr>
      <w:r>
        <w:rPr>
          <w:rStyle w:val="FootnoteReference"/>
        </w:rPr>
        <w:footnoteRef/>
      </w:r>
      <w:r>
        <w:t xml:space="preserve"> Cross-references for "whom Nebuchadnezzar": 2Kgs 24:14-16; 2Kgs 25:11.</w:t>
      </w:r>
    </w:p>
  </w:footnote>
  <w:footnote w:id="9889">
    <w:p>
      <w:pPr>
        <w:pStyle w:val="FootnoteText"/>
      </w:pPr>
      <w:r>
        <w:rPr>
          <w:rStyle w:val="FootnoteReference"/>
        </w:rPr>
        <w:footnoteRef/>
      </w:r>
      <w:r>
        <w:t xml:space="preserve"> Translation note: Greek says sons of the province.</w:t>
      </w:r>
    </w:p>
  </w:footnote>
  <w:footnote w:id="9890">
    <w:p>
      <w:pPr>
        <w:pStyle w:val="FootnoteText"/>
      </w:pPr>
      <w:r>
        <w:rPr>
          <w:rStyle w:val="FootnoteReference"/>
        </w:rPr>
        <w:footnoteRef/>
      </w:r>
      <w:r>
        <w:t xml:space="preserve"> Cross-references for "Zerubbabel": Neh 2:2; Neh 12:1.</w:t>
      </w:r>
    </w:p>
  </w:footnote>
  <w:footnote w:id="9891">
    <w:p>
      <w:pPr>
        <w:pStyle w:val="FootnoteText"/>
      </w:pPr>
      <w:r>
        <w:rPr>
          <w:rStyle w:val="FootnoteReference"/>
        </w:rPr>
        <w:footnoteRef/>
      </w:r>
      <w:r>
        <w:t xml:space="preserve"> Personal name: Raamiah. Personal-name meaning: Raamiah — thunder, or evil, from the Lord. Source form: Raamiah.</w:t>
      </w:r>
    </w:p>
  </w:footnote>
  <w:footnote w:id="9892">
    <w:p>
      <w:pPr>
        <w:pStyle w:val="FootnoteText"/>
      </w:pPr>
      <w:r>
        <w:rPr>
          <w:rStyle w:val="FootnoteReference"/>
        </w:rPr>
        <w:footnoteRef/>
      </w:r>
      <w:r>
        <w:t xml:space="preserve"> Personal name: Nahamani. Personal-name meaning: Nahamani — comforter; leader. Source form: Nahamani.</w:t>
      </w:r>
    </w:p>
  </w:footnote>
  <w:footnote w:id="9893">
    <w:p>
      <w:pPr>
        <w:pStyle w:val="FootnoteText"/>
      </w:pPr>
      <w:r>
        <w:rPr>
          <w:rStyle w:val="FootnoteReference"/>
        </w:rPr>
        <w:footnoteRef/>
      </w:r>
      <w:r>
        <w:t xml:space="preserve"> Personal name: Mispereth. Personal-name meaning: Mispereth — numbering; scribe. Source form: Mispereth.</w:t>
      </w:r>
    </w:p>
  </w:footnote>
  <w:footnote w:id="9894">
    <w:p>
      <w:pPr>
        <w:pStyle w:val="FootnoteText"/>
      </w:pPr>
      <w:r>
        <w:rPr>
          <w:rStyle w:val="FootnoteReference"/>
        </w:rPr>
        <w:footnoteRef/>
      </w:r>
      <w:r>
        <w:t xml:space="preserve"> Personal name: Nehum. Personal-name meaning: Nehum — comforter; penitent. Source form: Nehum.</w:t>
      </w:r>
    </w:p>
  </w:footnote>
  <w:footnote w:id="9895">
    <w:p>
      <w:pPr>
        <w:pStyle w:val="FootnoteText"/>
      </w:pPr>
      <w:r>
        <w:rPr>
          <w:rStyle w:val="FootnoteReference"/>
        </w:rPr>
        <w:footnoteRef/>
      </w:r>
      <w:r>
        <w:t xml:space="preserve"> Translation note: This parallel list keeps the same Greek proper-name form as Ezra 2:3. The translation preserves that consistency.</w:t>
      </w:r>
    </w:p>
  </w:footnote>
  <w:footnote w:id="9896">
    <w:p>
      <w:pPr>
        <w:pStyle w:val="FootnoteText"/>
      </w:pPr>
      <w:r>
        <w:rPr>
          <w:rStyle w:val="FootnoteReference"/>
        </w:rPr>
        <w:footnoteRef/>
      </w:r>
      <w:r>
        <w:t xml:space="preserve"> Translation note: Greek preserves its own proper-name form in this register. The translation follows it.</w:t>
      </w:r>
    </w:p>
  </w:footnote>
  <w:footnote w:id="9897">
    <w:p>
      <w:pPr>
        <w:pStyle w:val="FootnoteText"/>
      </w:pPr>
      <w:r>
        <w:rPr>
          <w:rStyle w:val="FootnoteReference"/>
        </w:rPr>
        <w:footnoteRef/>
      </w:r>
      <w:r>
        <w:t xml:space="preserve"> Cross-references for "Parosh": Ezra 2:3; Ezra 8:3.</w:t>
      </w:r>
    </w:p>
  </w:footnote>
  <w:footnote w:id="9898">
    <w:p>
      <w:pPr>
        <w:pStyle w:val="FootnoteText"/>
      </w:pPr>
      <w:r>
        <w:rPr>
          <w:rStyle w:val="FootnoteReference"/>
        </w:rPr>
        <w:footnoteRef/>
      </w:r>
      <w:r>
        <w:t xml:space="preserve"> Cross-references for "Shephatiah": Ezra 2:4; Ezra 8:8.</w:t>
      </w:r>
    </w:p>
  </w:footnote>
  <w:footnote w:id="9899">
    <w:p>
      <w:pPr>
        <w:pStyle w:val="FootnoteText"/>
      </w:pPr>
      <w:r>
        <w:rPr>
          <w:rStyle w:val="FootnoteReference"/>
        </w:rPr>
        <w:footnoteRef/>
      </w:r>
      <w:r>
        <w:t xml:space="preserve"> Translation note: Greek preserves its own proper-name form in this register. The translation follows it.</w:t>
      </w:r>
    </w:p>
  </w:footnote>
  <w:footnote w:id="9900">
    <w:p>
      <w:pPr>
        <w:pStyle w:val="FootnoteText"/>
      </w:pPr>
      <w:r>
        <w:rPr>
          <w:rStyle w:val="FootnoteReference"/>
        </w:rPr>
        <w:footnoteRef/>
      </w:r>
      <w:r>
        <w:t xml:space="preserve"> Cross-references for "Pahathmoab": Ezra 2:6; Ezra 8:4.</w:t>
      </w:r>
    </w:p>
  </w:footnote>
  <w:footnote w:id="9901">
    <w:p>
      <w:pPr>
        <w:pStyle w:val="FootnoteText"/>
      </w:pPr>
      <w:r>
        <w:rPr>
          <w:rStyle w:val="FootnoteReference"/>
        </w:rPr>
        <w:footnoteRef/>
      </w:r>
      <w:r>
        <w:t xml:space="preserve"> Translation note: This parallel list keeps the same Greek family-name form as Ezra 2:7. The translation preserves that consistency.</w:t>
      </w:r>
    </w:p>
  </w:footnote>
  <w:footnote w:id="9902">
    <w:p>
      <w:pPr>
        <w:pStyle w:val="FootnoteText"/>
      </w:pPr>
      <w:r>
        <w:rPr>
          <w:rStyle w:val="FootnoteReference"/>
        </w:rPr>
        <w:footnoteRef/>
      </w:r>
      <w:r>
        <w:t xml:space="preserve"> Cross-references for "Elam": Ezra 2:7; Ezra 8:7.</w:t>
      </w:r>
    </w:p>
  </w:footnote>
  <w:footnote w:id="9903">
    <w:p>
      <w:pPr>
        <w:pStyle w:val="FootnoteText"/>
      </w:pPr>
      <w:r>
        <w:rPr>
          <w:rStyle w:val="FootnoteReference"/>
        </w:rPr>
        <w:footnoteRef/>
      </w:r>
      <w:r>
        <w:t xml:space="preserve"> Cross-references for "Zattu": Ezra 2:8.</w:t>
      </w:r>
    </w:p>
  </w:footnote>
  <w:footnote w:id="9904">
    <w:p>
      <w:pPr>
        <w:pStyle w:val="FootnoteText"/>
      </w:pPr>
      <w:r>
        <w:rPr>
          <w:rStyle w:val="FootnoteReference"/>
        </w:rPr>
        <w:footnoteRef/>
      </w:r>
      <w:r>
        <w:t xml:space="preserve"> Translation note: Greek keeps Zaccai form here. Current line follows it.</w:t>
      </w:r>
    </w:p>
  </w:footnote>
  <w:footnote w:id="9905">
    <w:p>
      <w:pPr>
        <w:pStyle w:val="FootnoteText"/>
      </w:pPr>
      <w:r>
        <w:rPr>
          <w:rStyle w:val="FootnoteReference"/>
        </w:rPr>
        <w:footnoteRef/>
      </w:r>
      <w:r>
        <w:t xml:space="preserve"> Cross-references for "Zaccai": Ezra 2:9.</w:t>
      </w:r>
    </w:p>
  </w:footnote>
  <w:footnote w:id="9906">
    <w:p>
      <w:pPr>
        <w:pStyle w:val="FootnoteText"/>
      </w:pPr>
      <w:r>
        <w:rPr>
          <w:rStyle w:val="FootnoteReference"/>
        </w:rPr>
        <w:footnoteRef/>
      </w:r>
      <w:r>
        <w:t xml:space="preserve"> Translation note: Greek preserves its own proper-name form in this register. The translation follows it.</w:t>
      </w:r>
    </w:p>
  </w:footnote>
  <w:footnote w:id="9907">
    <w:p>
      <w:pPr>
        <w:pStyle w:val="FootnoteText"/>
      </w:pPr>
      <w:r>
        <w:rPr>
          <w:rStyle w:val="FootnoteReference"/>
        </w:rPr>
        <w:footnoteRef/>
      </w:r>
      <w:r>
        <w:t xml:space="preserve"> Translation note: Greek preserves its own proper-name form in this register. The translation follows it.</w:t>
      </w:r>
    </w:p>
  </w:footnote>
  <w:footnote w:id="9908">
    <w:p>
      <w:pPr>
        <w:pStyle w:val="FootnoteText"/>
      </w:pPr>
      <w:r>
        <w:rPr>
          <w:rStyle w:val="FootnoteReference"/>
        </w:rPr>
        <w:footnoteRef/>
      </w:r>
      <w:r>
        <w:t xml:space="preserve"> Cross-references for "Bebai": Ezra 2:11.</w:t>
      </w:r>
    </w:p>
  </w:footnote>
  <w:footnote w:id="9909">
    <w:p>
      <w:pPr>
        <w:pStyle w:val="FootnoteText"/>
      </w:pPr>
      <w:r>
        <w:rPr>
          <w:rStyle w:val="FootnoteReference"/>
        </w:rPr>
        <w:footnoteRef/>
      </w:r>
      <w:r>
        <w:t xml:space="preserve"> MT/LXX note: The Greek proper-name form differs slightly from the Masoretic spelling. The translation follows the Septuagint list.</w:t>
      </w:r>
    </w:p>
  </w:footnote>
  <w:footnote w:id="9910">
    <w:p>
      <w:pPr>
        <w:pStyle w:val="FootnoteText"/>
      </w:pPr>
      <w:r>
        <w:rPr>
          <w:rStyle w:val="FootnoteReference"/>
        </w:rPr>
        <w:footnoteRef/>
      </w:r>
      <w:r>
        <w:t xml:space="preserve"> Translation note: Greek preserves its own proper-name form in this register. The translation follows it.</w:t>
      </w:r>
    </w:p>
  </w:footnote>
  <w:footnote w:id="9911">
    <w:p>
      <w:pPr>
        <w:pStyle w:val="FootnoteText"/>
      </w:pPr>
      <w:r>
        <w:rPr>
          <w:rStyle w:val="FootnoteReference"/>
        </w:rPr>
        <w:footnoteRef/>
      </w:r>
      <w:r>
        <w:t xml:space="preserve"> Cross-references for "Azgad": Ezra 2:12.</w:t>
      </w:r>
    </w:p>
  </w:footnote>
  <w:footnote w:id="9912">
    <w:p>
      <w:pPr>
        <w:pStyle w:val="FootnoteText"/>
      </w:pPr>
      <w:r>
        <w:rPr>
          <w:rStyle w:val="FootnoteReference"/>
        </w:rPr>
        <w:footnoteRef/>
      </w:r>
      <w:r>
        <w:t xml:space="preserve"> Cross-references for "Adonikam": Ezra 2:13.</w:t>
      </w:r>
    </w:p>
  </w:footnote>
  <w:footnote w:id="9913">
    <w:p>
      <w:pPr>
        <w:pStyle w:val="FootnoteText"/>
      </w:pPr>
      <w:r>
        <w:rPr>
          <w:rStyle w:val="FootnoteReference"/>
        </w:rPr>
        <w:footnoteRef/>
      </w:r>
      <w:r>
        <w:t xml:space="preserve"> MT/LXX note: The Greek form of the family name differs from the Masoretic spelling. The translation keeps the Septuagint form.</w:t>
      </w:r>
    </w:p>
  </w:footnote>
  <w:footnote w:id="9914">
    <w:p>
      <w:pPr>
        <w:pStyle w:val="FootnoteText"/>
      </w:pPr>
      <w:r>
        <w:rPr>
          <w:rStyle w:val="FootnoteReference"/>
        </w:rPr>
        <w:footnoteRef/>
      </w:r>
      <w:r>
        <w:t xml:space="preserve"> Cross-references for "Bigvai": Ezra 2:2; Ezra 2:14.</w:t>
      </w:r>
    </w:p>
  </w:footnote>
  <w:footnote w:id="9915">
    <w:p>
      <w:pPr>
        <w:pStyle w:val="FootnoteText"/>
      </w:pPr>
      <w:r>
        <w:rPr>
          <w:rStyle w:val="FootnoteReference"/>
        </w:rPr>
        <w:footnoteRef/>
      </w:r>
      <w:r>
        <w:t xml:space="preserve"> Translation note: Greek preserves its own proper-name form in this register. The translation follows it.</w:t>
      </w:r>
    </w:p>
  </w:footnote>
  <w:footnote w:id="9916">
    <w:p>
      <w:pPr>
        <w:pStyle w:val="FootnoteText"/>
      </w:pPr>
      <w:r>
        <w:rPr>
          <w:rStyle w:val="FootnoteReference"/>
        </w:rPr>
        <w:footnoteRef/>
      </w:r>
      <w:r>
        <w:t xml:space="preserve"> Cross-references for "Adin": Ezra 2:15.</w:t>
      </w:r>
    </w:p>
  </w:footnote>
  <w:footnote w:id="9917">
    <w:p>
      <w:pPr>
        <w:pStyle w:val="FootnoteText"/>
      </w:pPr>
      <w:r>
        <w:rPr>
          <w:rStyle w:val="FootnoteReference"/>
        </w:rPr>
        <w:footnoteRef/>
      </w:r>
      <w:r>
        <w:t xml:space="preserve"> Cross-references for "Ater": Ezra 2:16.</w:t>
      </w:r>
    </w:p>
  </w:footnote>
  <w:footnote w:id="9918">
    <w:p>
      <w:pPr>
        <w:pStyle w:val="FootnoteText"/>
      </w:pPr>
      <w:r>
        <w:rPr>
          <w:rStyle w:val="FootnoteReference"/>
        </w:rPr>
        <w:footnoteRef/>
      </w:r>
      <w:r>
        <w:t xml:space="preserve"> Translation note: Greek keeps Hashum form here. Current line follows it.</w:t>
      </w:r>
    </w:p>
  </w:footnote>
  <w:footnote w:id="9919">
    <w:p>
      <w:pPr>
        <w:pStyle w:val="FootnoteText"/>
      </w:pPr>
      <w:r>
        <w:rPr>
          <w:rStyle w:val="FootnoteReference"/>
        </w:rPr>
        <w:footnoteRef/>
      </w:r>
      <w:r>
        <w:t xml:space="preserve"> Cross-references for "Hashum": Ezra 2:19.</w:t>
      </w:r>
    </w:p>
  </w:footnote>
  <w:footnote w:id="9920">
    <w:p>
      <w:pPr>
        <w:pStyle w:val="FootnoteText"/>
      </w:pPr>
      <w:r>
        <w:rPr>
          <w:rStyle w:val="FootnoteReference"/>
        </w:rPr>
        <w:footnoteRef/>
      </w:r>
      <w:r>
        <w:t xml:space="preserve"> MT/LXX note: The Greek proper-name form differs from the Masoretic line here. The translation follows the Septuagint spelling.</w:t>
      </w:r>
    </w:p>
  </w:footnote>
  <w:footnote w:id="9921">
    <w:p>
      <w:pPr>
        <w:pStyle w:val="FootnoteText"/>
      </w:pPr>
      <w:r>
        <w:rPr>
          <w:rStyle w:val="FootnoteReference"/>
        </w:rPr>
        <w:footnoteRef/>
      </w:r>
      <w:r>
        <w:t xml:space="preserve"> Translation note: Greek preserves its own proper-name form in this register. The translation follows it.</w:t>
      </w:r>
    </w:p>
  </w:footnote>
  <w:footnote w:id="9922">
    <w:p>
      <w:pPr>
        <w:pStyle w:val="FootnoteText"/>
      </w:pPr>
      <w:r>
        <w:rPr>
          <w:rStyle w:val="FootnoteReference"/>
        </w:rPr>
        <w:footnoteRef/>
      </w:r>
      <w:r>
        <w:t xml:space="preserve"> Personal name: Bezai. Personal-name meaning: Bezai — eggs. Source form: Bezai.</w:t>
      </w:r>
    </w:p>
  </w:footnote>
  <w:footnote w:id="9923">
    <w:p>
      <w:pPr>
        <w:pStyle w:val="FootnoteText"/>
      </w:pPr>
      <w:r>
        <w:rPr>
          <w:rStyle w:val="FootnoteReference"/>
        </w:rPr>
        <w:footnoteRef/>
      </w:r>
      <w:r>
        <w:t xml:space="preserve"> Cross-references for "Bezai": Ezra 2:17.</w:t>
      </w:r>
    </w:p>
  </w:footnote>
  <w:footnote w:id="9924">
    <w:p>
      <w:pPr>
        <w:pStyle w:val="FootnoteText"/>
      </w:pPr>
      <w:r>
        <w:rPr>
          <w:rStyle w:val="FootnoteReference"/>
        </w:rPr>
        <w:footnoteRef/>
      </w:r>
      <w:r>
        <w:t xml:space="preserve"> Personal name: Hariph. Personal-name meaning: Hariph — autumn rain; harvest-time. Source form: Hariph.</w:t>
      </w:r>
    </w:p>
  </w:footnote>
  <w:footnote w:id="9925">
    <w:p>
      <w:pPr>
        <w:pStyle w:val="FootnoteText"/>
      </w:pPr>
      <w:r>
        <w:rPr>
          <w:rStyle w:val="FootnoteReference"/>
        </w:rPr>
        <w:footnoteRef/>
      </w:r>
      <w:r>
        <w:t xml:space="preserve"> Cross-references for "Hariph": Ezra 2:18.</w:t>
      </w:r>
    </w:p>
  </w:footnote>
  <w:footnote w:id="9926">
    <w:p>
      <w:pPr>
        <w:pStyle w:val="FootnoteText"/>
      </w:pPr>
      <w:r>
        <w:rPr>
          <w:rStyle w:val="FootnoteReference"/>
        </w:rPr>
        <w:footnoteRef/>
      </w:r>
      <w:r>
        <w:t xml:space="preserve"> Cross-references for "Gibeon": Ezra 2:20.</w:t>
      </w:r>
    </w:p>
  </w:footnote>
  <w:footnote w:id="9927">
    <w:p>
      <w:pPr>
        <w:pStyle w:val="FootnoteText"/>
      </w:pPr>
      <w:r>
        <w:rPr>
          <w:rStyle w:val="FootnoteReference"/>
        </w:rPr>
        <w:footnoteRef/>
      </w:r>
      <w:r>
        <w:t xml:space="preserve"> Cross-references for "Bethlehem": Ezra 2:21-22.</w:t>
      </w:r>
    </w:p>
  </w:footnote>
  <w:footnote w:id="9928">
    <w:p>
      <w:pPr>
        <w:pStyle w:val="FootnoteText"/>
      </w:pPr>
      <w:r>
        <w:rPr>
          <w:rStyle w:val="FootnoteReference"/>
        </w:rPr>
        <w:footnoteRef/>
      </w:r>
      <w:r>
        <w:t xml:space="preserve"> Cross-references for "Anathoth": Ezra 2:23; Isa 10:30.</w:t>
      </w:r>
    </w:p>
  </w:footnote>
  <w:footnote w:id="9929">
    <w:p>
      <w:pPr>
        <w:pStyle w:val="FootnoteText"/>
      </w:pPr>
      <w:r>
        <w:rPr>
          <w:rStyle w:val="FootnoteReference"/>
        </w:rPr>
        <w:footnoteRef/>
      </w:r>
      <w:r>
        <w:t xml:space="preserve"> Transliterated proper noun: Bethazmaveth. Standard English equivalent: Bethazmaveth. Source form: Bethazmaveth. Greek form: βηθασμωθ. Name meaning: house of death's strength.</w:t>
      </w:r>
    </w:p>
  </w:footnote>
  <w:footnote w:id="9930">
    <w:p>
      <w:pPr>
        <w:pStyle w:val="FootnoteText"/>
      </w:pPr>
      <w:r>
        <w:rPr>
          <w:rStyle w:val="FootnoteReference"/>
        </w:rPr>
        <w:footnoteRef/>
      </w:r>
      <w:r>
        <w:t xml:space="preserve"> Cross-references for "Bethazmaveth": Ezra 2:24.</w:t>
      </w:r>
    </w:p>
  </w:footnote>
  <w:footnote w:id="9931">
    <w:p>
      <w:pPr>
        <w:pStyle w:val="FootnoteText"/>
      </w:pPr>
      <w:r>
        <w:rPr>
          <w:rStyle w:val="FootnoteReference"/>
        </w:rPr>
        <w:footnoteRef/>
      </w:r>
      <w:r>
        <w:t xml:space="preserve"> Cross-references for "Kirjathjearim": Josh 9:17; Josh 18:25.</w:t>
      </w:r>
    </w:p>
  </w:footnote>
  <w:footnote w:id="9932">
    <w:p>
      <w:pPr>
        <w:pStyle w:val="FootnoteText"/>
      </w:pPr>
      <w:r>
        <w:rPr>
          <w:rStyle w:val="FootnoteReference"/>
        </w:rPr>
        <w:footnoteRef/>
      </w:r>
      <w:r>
        <w:t xml:space="preserve"> Cross-references for "Ramah": Josh 18:24-25; Ezra 2:26.</w:t>
      </w:r>
    </w:p>
  </w:footnote>
  <w:footnote w:id="9933">
    <w:p>
      <w:pPr>
        <w:pStyle w:val="FootnoteText"/>
      </w:pPr>
      <w:r>
        <w:rPr>
          <w:rStyle w:val="FootnoteReference"/>
        </w:rPr>
        <w:footnoteRef/>
      </w:r>
      <w:r>
        <w:t xml:space="preserve"> Cross-references for "Michmas": 1Sam 13:5; 1Sam 13:23.</w:t>
      </w:r>
    </w:p>
  </w:footnote>
  <w:footnote w:id="9934">
    <w:p>
      <w:pPr>
        <w:pStyle w:val="FootnoteText"/>
      </w:pPr>
      <w:r>
        <w:rPr>
          <w:rStyle w:val="FootnoteReference"/>
        </w:rPr>
        <w:footnoteRef/>
      </w:r>
      <w:r>
        <w:t xml:space="preserve"> Cross-references for "Bethel": Josh 8:9; Josh 8:17.</w:t>
      </w:r>
    </w:p>
  </w:footnote>
  <w:footnote w:id="9935">
    <w:p>
      <w:pPr>
        <w:pStyle w:val="FootnoteText"/>
      </w:pPr>
      <w:r>
        <w:rPr>
          <w:rStyle w:val="FootnoteReference"/>
        </w:rPr>
        <w:footnoteRef/>
      </w:r>
      <w:r>
        <w:t xml:space="preserve"> Translation note: Greek preserves its own proper-name form in this register. The translation follows it.</w:t>
      </w:r>
    </w:p>
  </w:footnote>
  <w:footnote w:id="9936">
    <w:p>
      <w:pPr>
        <w:pStyle w:val="FootnoteText"/>
      </w:pPr>
      <w:r>
        <w:rPr>
          <w:rStyle w:val="FootnoteReference"/>
        </w:rPr>
        <w:footnoteRef/>
      </w:r>
      <w:r>
        <w:t xml:space="preserve"> Cross-references for "Harim": Ezra 2:32; Ezra 10:31.</w:t>
      </w:r>
    </w:p>
  </w:footnote>
  <w:footnote w:id="9937">
    <w:p>
      <w:pPr>
        <w:pStyle w:val="FootnoteText"/>
      </w:pPr>
      <w:r>
        <w:rPr>
          <w:rStyle w:val="FootnoteReference"/>
        </w:rPr>
        <w:footnoteRef/>
      </w:r>
      <w:r>
        <w:t xml:space="preserve"> Cross-references for "Jericho": Ezra 2:34.</w:t>
      </w:r>
    </w:p>
  </w:footnote>
  <w:footnote w:id="9938">
    <w:p>
      <w:pPr>
        <w:pStyle w:val="FootnoteText"/>
      </w:pPr>
      <w:r>
        <w:rPr>
          <w:rStyle w:val="FootnoteReference"/>
        </w:rPr>
        <w:footnoteRef/>
      </w:r>
      <w:r>
        <w:t xml:space="preserve"> Translation note: The Greek register preserves its own proper-name form. The translation follows it.</w:t>
      </w:r>
    </w:p>
  </w:footnote>
  <w:footnote w:id="9939">
    <w:p>
      <w:pPr>
        <w:pStyle w:val="FootnoteText"/>
      </w:pPr>
      <w:r>
        <w:rPr>
          <w:rStyle w:val="FootnoteReference"/>
        </w:rPr>
        <w:footnoteRef/>
      </w:r>
      <w:r>
        <w:t xml:space="preserve"> Cross-references for "Senaah": Ezra 2:35.</w:t>
      </w:r>
    </w:p>
  </w:footnote>
  <w:footnote w:id="9940">
    <w:p>
      <w:pPr>
        <w:pStyle w:val="FootnoteText"/>
      </w:pPr>
      <w:r>
        <w:rPr>
          <w:rStyle w:val="FootnoteReference"/>
        </w:rPr>
        <w:footnoteRef/>
      </w:r>
      <w:r>
        <w:t xml:space="preserve"> Cross-references for "Immer": 1Chr 24:14; Ezra 2:37.</w:t>
      </w:r>
    </w:p>
  </w:footnote>
  <w:footnote w:id="9941">
    <w:p>
      <w:pPr>
        <w:pStyle w:val="FootnoteText"/>
      </w:pPr>
      <w:r>
        <w:rPr>
          <w:rStyle w:val="FootnoteReference"/>
        </w:rPr>
        <w:footnoteRef/>
      </w:r>
      <w:r>
        <w:t xml:space="preserve"> Translation note: Greek preserves its own proper-name form in this register. The translation follows it.</w:t>
      </w:r>
    </w:p>
  </w:footnote>
  <w:footnote w:id="9942">
    <w:p>
      <w:pPr>
        <w:pStyle w:val="FootnoteText"/>
      </w:pPr>
      <w:r>
        <w:rPr>
          <w:rStyle w:val="FootnoteReference"/>
        </w:rPr>
        <w:footnoteRef/>
      </w:r>
      <w:r>
        <w:t xml:space="preserve"> Cross-references for "Pashur": 1Chr 9:12; 1Chr 24:9.</w:t>
      </w:r>
    </w:p>
  </w:footnote>
  <w:footnote w:id="9943">
    <w:p>
      <w:pPr>
        <w:pStyle w:val="FootnoteText"/>
      </w:pPr>
      <w:r>
        <w:rPr>
          <w:rStyle w:val="FootnoteReference"/>
        </w:rPr>
        <w:footnoteRef/>
      </w:r>
      <w:r>
        <w:t xml:space="preserve"> Translation note: Greek preserves its own proper-name form in this register. The translation follows it.</w:t>
      </w:r>
    </w:p>
  </w:footnote>
  <w:footnote w:id="9944">
    <w:p>
      <w:pPr>
        <w:pStyle w:val="FootnoteText"/>
      </w:pPr>
      <w:r>
        <w:rPr>
          <w:rStyle w:val="FootnoteReference"/>
        </w:rPr>
        <w:footnoteRef/>
      </w:r>
      <w:r>
        <w:t xml:space="preserve"> Cross-references for "Harim": 1Chr 24:8; Ezra 2:39.</w:t>
      </w:r>
    </w:p>
  </w:footnote>
  <w:footnote w:id="9945">
    <w:p>
      <w:pPr>
        <w:pStyle w:val="FootnoteText"/>
      </w:pPr>
      <w:r>
        <w:rPr>
          <w:rStyle w:val="FootnoteReference"/>
        </w:rPr>
        <w:footnoteRef/>
      </w:r>
      <w:r>
        <w:t xml:space="preserve"> Cross-references for "The singers": 1Chr 25:2; Ezra 2:41.</w:t>
      </w:r>
    </w:p>
  </w:footnote>
  <w:footnote w:id="9946">
    <w:p>
      <w:pPr>
        <w:pStyle w:val="FootnoteText"/>
      </w:pPr>
      <w:r>
        <w:rPr>
          <w:rStyle w:val="FootnoteReference"/>
        </w:rPr>
        <w:footnoteRef/>
      </w:r>
      <w:r>
        <w:t xml:space="preserve"> Cross-references for "Shalmai": Ezra 2:46.</w:t>
      </w:r>
    </w:p>
  </w:footnote>
  <w:footnote w:id="9947">
    <w:p>
      <w:pPr>
        <w:pStyle w:val="FootnoteText"/>
      </w:pPr>
      <w:r>
        <w:rPr>
          <w:rStyle w:val="FootnoteReference"/>
        </w:rPr>
        <w:footnoteRef/>
      </w:r>
      <w:r>
        <w:t xml:space="preserve"> People-name: Meunim. People-name meaning: Meunim — dwelling-places; afflicted. Source form: Meunim.</w:t>
      </w:r>
    </w:p>
  </w:footnote>
  <w:footnote w:id="9948">
    <w:p>
      <w:pPr>
        <w:pStyle w:val="FootnoteText"/>
      </w:pPr>
      <w:r>
        <w:rPr>
          <w:rStyle w:val="FootnoteReference"/>
        </w:rPr>
        <w:footnoteRef/>
      </w:r>
      <w:r>
        <w:t xml:space="preserve"> Transliterated proper noun: Nephishesim. Standard English equivalent: Nephishesim. Source form: Nephishesim. Greek form: νεφωσασιμ. Name meaning: diminished; torn in pieces.</w:t>
      </w:r>
    </w:p>
  </w:footnote>
  <w:footnote w:id="9949">
    <w:p>
      <w:pPr>
        <w:pStyle w:val="FootnoteText"/>
      </w:pPr>
      <w:r>
        <w:rPr>
          <w:rStyle w:val="FootnoteReference"/>
        </w:rPr>
        <w:footnoteRef/>
      </w:r>
      <w:r>
        <w:t xml:space="preserve"> Cross-references for "Meunim": Ezra 2:50.</w:t>
      </w:r>
    </w:p>
  </w:footnote>
  <w:footnote w:id="9950">
    <w:p>
      <w:pPr>
        <w:pStyle w:val="FootnoteText"/>
      </w:pPr>
      <w:r>
        <w:rPr>
          <w:rStyle w:val="FootnoteReference"/>
        </w:rPr>
        <w:footnoteRef/>
      </w:r>
      <w:r>
        <w:t xml:space="preserve"> Personal name: Bazlith. Personal-name meaning: Bazlith — stripped; spoiled. Source form: Bazlith.</w:t>
      </w:r>
    </w:p>
  </w:footnote>
  <w:footnote w:id="9951">
    <w:p>
      <w:pPr>
        <w:pStyle w:val="FootnoteText"/>
      </w:pPr>
      <w:r>
        <w:rPr>
          <w:rStyle w:val="FootnoteReference"/>
        </w:rPr>
        <w:footnoteRef/>
      </w:r>
      <w:r>
        <w:t xml:space="preserve"> Cross-references for "Bazlith": Ezra 2:52.</w:t>
      </w:r>
    </w:p>
  </w:footnote>
  <w:footnote w:id="9952">
    <w:p>
      <w:pPr>
        <w:pStyle w:val="FootnoteText"/>
      </w:pPr>
      <w:r>
        <w:rPr>
          <w:rStyle w:val="FootnoteReference"/>
        </w:rPr>
        <w:footnoteRef/>
      </w:r>
      <w:r>
        <w:t xml:space="preserve"> Personal name: Neziah. Personal-name meaning: Neziah — conqueror; strong. Source form: Neziah.</w:t>
      </w:r>
    </w:p>
  </w:footnote>
  <w:footnote w:id="9953">
    <w:p>
      <w:pPr>
        <w:pStyle w:val="FootnoteText"/>
      </w:pPr>
      <w:r>
        <w:rPr>
          <w:rStyle w:val="FootnoteReference"/>
        </w:rPr>
        <w:footnoteRef/>
      </w:r>
      <w:r>
        <w:t xml:space="preserve"> Transliterated proper noun: Perida. Standard English equivalent: Perida. Source form: Perida. Greek form: φεριδα. Name meaning: separation; division.</w:t>
      </w:r>
    </w:p>
  </w:footnote>
  <w:footnote w:id="9954">
    <w:p>
      <w:pPr>
        <w:pStyle w:val="FootnoteText"/>
      </w:pPr>
      <w:r>
        <w:rPr>
          <w:rStyle w:val="FootnoteReference"/>
        </w:rPr>
        <w:footnoteRef/>
      </w:r>
      <w:r>
        <w:t xml:space="preserve"> Cross-references for "Perida": Ezra 2:55.</w:t>
      </w:r>
    </w:p>
  </w:footnote>
  <w:footnote w:id="9955">
    <w:p>
      <w:pPr>
        <w:pStyle w:val="FootnoteText"/>
      </w:pPr>
      <w:r>
        <w:rPr>
          <w:rStyle w:val="FootnoteReference"/>
        </w:rPr>
        <w:footnoteRef/>
      </w:r>
      <w:r>
        <w:t xml:space="preserve"> Personal name: Jaala. Personal-name meaning: Jaala — ascending; a little doe or goat. Source form: Jaala.</w:t>
      </w:r>
    </w:p>
  </w:footnote>
  <w:footnote w:id="9956">
    <w:p>
      <w:pPr>
        <w:pStyle w:val="FootnoteText"/>
      </w:pPr>
      <w:r>
        <w:rPr>
          <w:rStyle w:val="FootnoteReference"/>
        </w:rPr>
        <w:footnoteRef/>
      </w:r>
      <w:r>
        <w:t xml:space="preserve"> Cross-references for "Jaala": Ezra 2:56.</w:t>
      </w:r>
    </w:p>
  </w:footnote>
  <w:footnote w:id="9957">
    <w:p>
      <w:pPr>
        <w:pStyle w:val="FootnoteText"/>
      </w:pPr>
      <w:r>
        <w:rPr>
          <w:rStyle w:val="FootnoteReference"/>
        </w:rPr>
        <w:footnoteRef/>
      </w:r>
      <w:r>
        <w:t xml:space="preserve"> Transliterated proper noun: Pochereth. Standard English equivalent: Pochereth. Source form: Pochereth. Greek form: φαχαραθ. Name meaning: cutting of the mouth of warfare.</w:t>
      </w:r>
    </w:p>
  </w:footnote>
  <w:footnote w:id="9958">
    <w:p>
      <w:pPr>
        <w:pStyle w:val="FootnoteText"/>
      </w:pPr>
      <w:r>
        <w:rPr>
          <w:rStyle w:val="FootnoteReference"/>
        </w:rPr>
        <w:footnoteRef/>
      </w:r>
      <w:r>
        <w:t xml:space="preserve"> People-name: Emim. People-name meaning: Emim — terrors; formidable people. Source form: Emim.</w:t>
      </w:r>
    </w:p>
  </w:footnote>
  <w:footnote w:id="9959">
    <w:p>
      <w:pPr>
        <w:pStyle w:val="FootnoteText"/>
      </w:pPr>
      <w:r>
        <w:rPr>
          <w:rStyle w:val="FootnoteReference"/>
        </w:rPr>
        <w:footnoteRef/>
      </w:r>
      <w:r>
        <w:t xml:space="preserve"> Cross-references for "Barzillai": 2Sam 17:27; 2Sam 19:31-33.</w:t>
      </w:r>
    </w:p>
  </w:footnote>
  <w:footnote w:id="9960">
    <w:p>
      <w:pPr>
        <w:pStyle w:val="FootnoteText"/>
      </w:pPr>
      <w:r>
        <w:rPr>
          <w:rStyle w:val="FootnoteReference"/>
        </w:rPr>
        <w:footnoteRef/>
      </w:r>
      <w:r>
        <w:t xml:space="preserve"> Cross-references for "These sought": Matt 22:11-13.</w:t>
      </w:r>
    </w:p>
  </w:footnote>
  <w:footnote w:id="9961">
    <w:p>
      <w:pPr>
        <w:pStyle w:val="FootnoteText"/>
      </w:pPr>
      <w:r>
        <w:rPr>
          <w:rStyle w:val="FootnoteReference"/>
        </w:rPr>
        <w:footnoteRef/>
      </w:r>
      <w:r>
        <w:t xml:space="preserve"> Cross-references for "the Tirshatha": Ezra 2:63; Neh 8:9.</w:t>
      </w:r>
    </w:p>
  </w:footnote>
  <w:footnote w:id="9962">
    <w:p>
      <w:pPr>
        <w:pStyle w:val="FootnoteText"/>
      </w:pPr>
      <w:r>
        <w:rPr>
          <w:rStyle w:val="FootnoteReference"/>
        </w:rPr>
        <w:footnoteRef/>
      </w:r>
      <w:r>
        <w:t xml:space="preserve"> Cross-references for "two hundred": Ezra 2:65.</w:t>
      </w:r>
    </w:p>
  </w:footnote>
  <w:footnote w:id="9963">
    <w:p>
      <w:pPr>
        <w:pStyle w:val="FootnoteText"/>
      </w:pPr>
      <w:r>
        <w:rPr>
          <w:rStyle w:val="FootnoteReference"/>
        </w:rPr>
        <w:footnoteRef/>
      </w:r>
      <w:r>
        <w:t xml:space="preserve"> Translation note: The Greek census line is terse and list-like here. The translation keeps that bare inventory style.</w:t>
      </w:r>
    </w:p>
  </w:footnote>
  <w:footnote w:id="9964">
    <w:p>
      <w:pPr>
        <w:pStyle w:val="FootnoteText"/>
      </w:pPr>
      <w:r>
        <w:rPr>
          <w:rStyle w:val="FootnoteReference"/>
        </w:rPr>
        <w:footnoteRef/>
      </w:r>
      <w:r>
        <w:t xml:space="preserve"> Cross-references for "all the people": Ezra 3:1-13.</w:t>
      </w:r>
    </w:p>
  </w:footnote>
  <w:footnote w:id="9965">
    <w:p>
      <w:pPr>
        <w:pStyle w:val="FootnoteText"/>
      </w:pPr>
      <w:r>
        <w:rPr>
          <w:rStyle w:val="FootnoteReference"/>
        </w:rPr>
        <w:footnoteRef/>
      </w:r>
      <w:r>
        <w:t xml:space="preserve"> Translation note: Greek says they told Ezra to bring the book.</w:t>
      </w:r>
    </w:p>
  </w:footnote>
  <w:footnote w:id="9966">
    <w:p>
      <w:pPr>
        <w:pStyle w:val="FootnoteText"/>
      </w:pPr>
      <w:r>
        <w:rPr>
          <w:rStyle w:val="FootnoteReference"/>
        </w:rPr>
        <w:footnoteRef/>
      </w:r>
      <w:r>
        <w:t xml:space="preserve"> Cross-references for "priest": Deut 17:18; Deut 31:9-10.</w:t>
      </w:r>
    </w:p>
  </w:footnote>
  <w:footnote w:id="9967">
    <w:p>
      <w:pPr>
        <w:pStyle w:val="FootnoteText"/>
      </w:pPr>
      <w:r>
        <w:rPr>
          <w:rStyle w:val="FootnoteReference"/>
        </w:rPr>
        <w:footnoteRef/>
      </w:r>
      <w:r>
        <w:t xml:space="preserve"> Cross-references for "he read": Luke 4:16-20; Acts 13:15.</w:t>
      </w:r>
    </w:p>
  </w:footnote>
  <w:footnote w:id="9968">
    <w:p>
      <w:pPr>
        <w:pStyle w:val="FootnoteText"/>
      </w:pPr>
      <w:r>
        <w:rPr>
          <w:rStyle w:val="FootnoteReference"/>
        </w:rPr>
        <w:footnoteRef/>
      </w:r>
      <w:r>
        <w:t xml:space="preserve"> Translation note: Greek says from dawning-light hour here.</w:t>
      </w:r>
    </w:p>
  </w:footnote>
  <w:footnote w:id="9969">
    <w:p>
      <w:pPr>
        <w:pStyle w:val="FootnoteText"/>
      </w:pPr>
      <w:r>
        <w:rPr>
          <w:rStyle w:val="FootnoteReference"/>
        </w:rPr>
        <w:footnoteRef/>
      </w:r>
      <w:r>
        <w:t xml:space="preserve"> Translation note: Greek says platform rather than pulpit here.</w:t>
      </w:r>
    </w:p>
  </w:footnote>
  <w:footnote w:id="9970">
    <w:p>
      <w:pPr>
        <w:pStyle w:val="FootnoteText"/>
      </w:pPr>
      <w:r>
        <w:rPr>
          <w:rStyle w:val="FootnoteReference"/>
        </w:rPr>
        <w:footnoteRef/>
      </w:r>
      <w:r>
        <w:t xml:space="preserve"> Cross-references for "Maaseiah": Neh 10:25; Neh 11:5.</w:t>
      </w:r>
    </w:p>
  </w:footnote>
  <w:footnote w:id="9971">
    <w:p>
      <w:pPr>
        <w:pStyle w:val="FootnoteText"/>
      </w:pPr>
      <w:r>
        <w:rPr>
          <w:rStyle w:val="FootnoteReference"/>
        </w:rPr>
        <w:footnoteRef/>
      </w:r>
      <w:r>
        <w:t xml:space="preserve"> Cross-references for "opened": Luke 4:16-17.</w:t>
      </w:r>
    </w:p>
  </w:footnote>
  <w:footnote w:id="9972">
    <w:p>
      <w:pPr>
        <w:pStyle w:val="FootnoteText"/>
      </w:pPr>
      <w:r>
        <w:rPr>
          <w:rStyle w:val="FootnoteReference"/>
        </w:rPr>
        <w:footnoteRef/>
      </w:r>
      <w:r>
        <w:t xml:space="preserve"> Cross-references for "blessed": 1Chr 29:20; 2Chr 6:4.</w:t>
      </w:r>
    </w:p>
  </w:footnote>
  <w:footnote w:id="9973">
    <w:p>
      <w:pPr>
        <w:pStyle w:val="FootnoteText"/>
      </w:pPr>
      <w:r>
        <w:rPr>
          <w:rStyle w:val="FootnoteReference"/>
        </w:rPr>
        <w:footnoteRef/>
      </w:r>
      <w:r>
        <w:t xml:space="preserve"> Cross-references for "Jeshua": Neh 3:19; Neh 9:4.</w:t>
      </w:r>
    </w:p>
  </w:footnote>
  <w:footnote w:id="9974">
    <w:p>
      <w:pPr>
        <w:pStyle w:val="FootnoteText"/>
      </w:pPr>
      <w:r>
        <w:rPr>
          <w:rStyle w:val="FootnoteReference"/>
        </w:rPr>
        <w:footnoteRef/>
      </w:r>
      <w:r>
        <w:t xml:space="preserve"> Personal name: Sherebiah. Personal-name meaning: Sherebiah — singing with the Lord. Source form: Sherebiah.</w:t>
      </w:r>
    </w:p>
  </w:footnote>
  <w:footnote w:id="9975">
    <w:p>
      <w:pPr>
        <w:pStyle w:val="FootnoteText"/>
      </w:pPr>
      <w:r>
        <w:rPr>
          <w:rStyle w:val="FootnoteReference"/>
        </w:rPr>
        <w:footnoteRef/>
      </w:r>
      <w:r>
        <w:t xml:space="preserve"> Translation note: Greek has a shorter personnel list and ends with the people standing in their place.</w:t>
      </w:r>
    </w:p>
  </w:footnote>
  <w:footnote w:id="9976">
    <w:p>
      <w:pPr>
        <w:pStyle w:val="FootnoteText"/>
      </w:pPr>
      <w:r>
        <w:rPr>
          <w:rStyle w:val="FootnoteReference"/>
        </w:rPr>
        <w:footnoteRef/>
      </w:r>
      <w:r>
        <w:t xml:space="preserve"> Cross-references for "Nehemiah": Ezra 2:63; Neh 7:65.</w:t>
      </w:r>
    </w:p>
  </w:footnote>
  <w:footnote w:id="9977">
    <w:p>
      <w:pPr>
        <w:pStyle w:val="FootnoteText"/>
      </w:pPr>
      <w:r>
        <w:rPr>
          <w:rStyle w:val="FootnoteReference"/>
        </w:rPr>
        <w:footnoteRef/>
      </w:r>
      <w:r>
        <w:t xml:space="preserve"> Translation note: The Greek declares the day holy to the Lord in direct terms. The current wording stays close to that formal proclamation.</w:t>
      </w:r>
    </w:p>
  </w:footnote>
  <w:footnote w:id="9978">
    <w:p>
      <w:pPr>
        <w:pStyle w:val="FootnoteText"/>
      </w:pPr>
      <w:r>
        <w:rPr>
          <w:rStyle w:val="FootnoteReference"/>
        </w:rPr>
        <w:footnoteRef/>
      </w:r>
      <w:r>
        <w:t xml:space="preserve"> Cross-references for "send": Deut 26:11-13; Job 31:16-18.</w:t>
      </w:r>
    </w:p>
  </w:footnote>
  <w:footnote w:id="9979">
    <w:p>
      <w:pPr>
        <w:pStyle w:val="FootnoteText"/>
      </w:pPr>
      <w:r>
        <w:rPr>
          <w:rStyle w:val="FootnoteReference"/>
        </w:rPr>
        <w:footnoteRef/>
      </w:r>
      <w:r>
        <w:t xml:space="preserve"> Translation note: Greek says do not fall away.</w:t>
      </w:r>
    </w:p>
  </w:footnote>
  <w:footnote w:id="9980">
    <w:p>
      <w:pPr>
        <w:pStyle w:val="FootnoteText"/>
      </w:pPr>
      <w:r>
        <w:rPr>
          <w:rStyle w:val="FootnoteReference"/>
        </w:rPr>
        <w:footnoteRef/>
      </w:r>
      <w:r>
        <w:t xml:space="preserve"> Cross-references for "the second": 2Chr 30:23; Prov 2:1-6.</w:t>
      </w:r>
    </w:p>
  </w:footnote>
  <w:footnote w:id="9981">
    <w:p>
      <w:pPr>
        <w:pStyle w:val="FootnoteText"/>
      </w:pPr>
      <w:r>
        <w:rPr>
          <w:rStyle w:val="FootnoteReference"/>
        </w:rPr>
        <w:footnoteRef/>
      </w:r>
      <w:r>
        <w:t xml:space="preserve"> Cross-references for "dwell": Lev 23:34; Lev 23:40-43.</w:t>
      </w:r>
    </w:p>
  </w:footnote>
  <w:footnote w:id="9982">
    <w:p>
      <w:pPr>
        <w:pStyle w:val="FootnoteText"/>
      </w:pPr>
      <w:r>
        <w:rPr>
          <w:rStyle w:val="FootnoteReference"/>
        </w:rPr>
        <w:footnoteRef/>
      </w:r>
      <w:r>
        <w:t xml:space="preserve"> Cross-references for "and that": Lev 23:4.</w:t>
      </w:r>
    </w:p>
  </w:footnote>
  <w:footnote w:id="9983">
    <w:p>
      <w:pPr>
        <w:pStyle w:val="FootnoteText"/>
      </w:pPr>
      <w:r>
        <w:rPr>
          <w:rStyle w:val="FootnoteReference"/>
        </w:rPr>
        <w:footnoteRef/>
      </w:r>
      <w:r>
        <w:t xml:space="preserve"> Translation note: Greek says leaves of cypress woods.</w:t>
      </w:r>
    </w:p>
  </w:footnote>
  <w:footnote w:id="9984">
    <w:p>
      <w:pPr>
        <w:pStyle w:val="FootnoteText"/>
      </w:pPr>
      <w:r>
        <w:rPr>
          <w:rStyle w:val="FootnoteReference"/>
        </w:rPr>
        <w:footnoteRef/>
      </w:r>
      <w:r>
        <w:t xml:space="preserve"> Cross-references for "the courts": 2Chr 20:5; 2Chr 33:5.</w:t>
      </w:r>
    </w:p>
  </w:footnote>
  <w:footnote w:id="9985">
    <w:p>
      <w:pPr>
        <w:pStyle w:val="FootnoteText"/>
      </w:pPr>
      <w:r>
        <w:rPr>
          <w:rStyle w:val="FootnoteReference"/>
        </w:rPr>
        <w:footnoteRef/>
      </w:r>
      <w:r>
        <w:t xml:space="preserve"> Translation note: The Septuagint compresses the booth locations here. The translation follows the Greek wording.</w:t>
      </w:r>
    </w:p>
  </w:footnote>
  <w:footnote w:id="9986">
    <w:p>
      <w:pPr>
        <w:pStyle w:val="FootnoteText"/>
      </w:pPr>
      <w:r>
        <w:rPr>
          <w:rStyle w:val="FootnoteReference"/>
        </w:rPr>
        <w:footnoteRef/>
      </w:r>
      <w:r>
        <w:t xml:space="preserve"> Translation note: Greek says had not done thus from days of Joshua son of Nun.</w:t>
      </w:r>
    </w:p>
  </w:footnote>
  <w:footnote w:id="9987">
    <w:p>
      <w:pPr>
        <w:pStyle w:val="FootnoteText"/>
      </w:pPr>
      <w:r>
        <w:rPr>
          <w:rStyle w:val="FootnoteReference"/>
        </w:rPr>
        <w:footnoteRef/>
      </w:r>
      <w:r>
        <w:t xml:space="preserve"> Cross-references for "Jeshua": Josh 1:1; Heb 4:8.</w:t>
      </w:r>
    </w:p>
  </w:footnote>
  <w:footnote w:id="9988">
    <w:p>
      <w:pPr>
        <w:pStyle w:val="FootnoteText"/>
      </w:pPr>
      <w:r>
        <w:rPr>
          <w:rStyle w:val="FootnoteReference"/>
        </w:rPr>
        <w:footnoteRef/>
      </w:r>
      <w:r>
        <w:t xml:space="preserve"> Cross-references for "day by day": Deut 31:10-13.</w:t>
      </w:r>
    </w:p>
  </w:footnote>
  <w:footnote w:id="9989">
    <w:p>
      <w:pPr>
        <w:pStyle w:val="FootnoteText"/>
      </w:pPr>
      <w:r>
        <w:rPr>
          <w:rStyle w:val="FootnoteReference"/>
        </w:rPr>
        <w:footnoteRef/>
      </w:r>
      <w:r>
        <w:t xml:space="preserve"> Cross-references for "twenty": Lev 23:34; Lev 23:39.</w:t>
      </w:r>
    </w:p>
  </w:footnote>
  <w:footnote w:id="9990">
    <w:p>
      <w:pPr>
        <w:pStyle w:val="FootnoteText"/>
      </w:pPr>
      <w:r>
        <w:rPr>
          <w:rStyle w:val="FootnoteReference"/>
        </w:rPr>
        <w:footnoteRef/>
      </w:r>
      <w:r>
        <w:t xml:space="preserve"> Cross-references for "confessed": Lev 26:39-40; Ezra 9:6-7.</w:t>
      </w:r>
    </w:p>
  </w:footnote>
  <w:footnote w:id="9991">
    <w:p>
      <w:pPr>
        <w:pStyle w:val="FootnoteText"/>
      </w:pPr>
      <w:r>
        <w:rPr>
          <w:rStyle w:val="FootnoteReference"/>
        </w:rPr>
        <w:footnoteRef/>
      </w:r>
      <w:r>
        <w:t xml:space="preserve"> Cross-references for "they stood": Neh 8:4; Neh 8:7-8.</w:t>
      </w:r>
    </w:p>
  </w:footnote>
  <w:footnote w:id="9992">
    <w:p>
      <w:pPr>
        <w:pStyle w:val="FootnoteText"/>
      </w:pPr>
      <w:r>
        <w:rPr>
          <w:rStyle w:val="FootnoteReference"/>
        </w:rPr>
        <w:footnoteRef/>
      </w:r>
      <w:r>
        <w:t xml:space="preserve"> Cross-references for "Jeshua": Neh 8:7; Neh 9:5.</w:t>
      </w:r>
    </w:p>
  </w:footnote>
  <w:footnote w:id="9993">
    <w:p>
      <w:pPr>
        <w:pStyle w:val="FootnoteText"/>
      </w:pPr>
      <w:r>
        <w:rPr>
          <w:rStyle w:val="FootnoteReference"/>
        </w:rPr>
        <w:footnoteRef/>
      </w:r>
      <w:r>
        <w:t xml:space="preserve"> Personal name: Chenani. Personal-name meaning: Chenani — my pillar. Source form: Chenani.</w:t>
      </w:r>
    </w:p>
  </w:footnote>
  <w:footnote w:id="9994">
    <w:p>
      <w:pPr>
        <w:pStyle w:val="FootnoteText"/>
      </w:pPr>
      <w:r>
        <w:rPr>
          <w:rStyle w:val="FootnoteReference"/>
        </w:rPr>
        <w:footnoteRef/>
      </w:r>
      <w:r>
        <w:t xml:space="preserve"> Cross-references for "bless": 1Chr 29:20; Ezra 3:11.</w:t>
      </w:r>
    </w:p>
  </w:footnote>
  <w:footnote w:id="9995">
    <w:p>
      <w:pPr>
        <w:pStyle w:val="FootnoteText"/>
      </w:pPr>
      <w:r>
        <w:rPr>
          <w:rStyle w:val="FootnoteReference"/>
        </w:rPr>
        <w:footnoteRef/>
      </w:r>
      <w:r>
        <w:t xml:space="preserve"> Translation note: The Greek uses a liturgical blessing formula here. The current wording keeps that line explicit.</w:t>
      </w:r>
    </w:p>
  </w:footnote>
  <w:footnote w:id="9996">
    <w:p>
      <w:pPr>
        <w:pStyle w:val="FootnoteText"/>
      </w:pPr>
      <w:r>
        <w:rPr>
          <w:rStyle w:val="FootnoteReference"/>
        </w:rPr>
        <w:footnoteRef/>
      </w:r>
      <w:r>
        <w:t xml:space="preserve"> Cross-references for "the Canaanites": Gen 15:18-21; Exod 3:8.</w:t>
      </w:r>
    </w:p>
  </w:footnote>
  <w:footnote w:id="9997">
    <w:p>
      <w:pPr>
        <w:pStyle w:val="FootnoteText"/>
      </w:pPr>
      <w:r>
        <w:rPr>
          <w:rStyle w:val="FootnoteReference"/>
        </w:rPr>
        <w:footnoteRef/>
      </w:r>
      <w:r>
        <w:t xml:space="preserve"> Translation note: The Greek uses the name-making formula directly. The current wording preserves that line.</w:t>
      </w:r>
    </w:p>
  </w:footnote>
  <w:footnote w:id="9998">
    <w:p>
      <w:pPr>
        <w:pStyle w:val="FootnoteText"/>
      </w:pPr>
      <w:r>
        <w:rPr>
          <w:rStyle w:val="FootnoteReference"/>
        </w:rPr>
        <w:footnoteRef/>
      </w:r>
      <w:r>
        <w:t xml:space="preserve"> Cross-references for "Moses": Neh 1:8; John 1:17.</w:t>
      </w:r>
    </w:p>
  </w:footnote>
  <w:footnote w:id="9999">
    <w:p>
      <w:pPr>
        <w:pStyle w:val="FootnoteText"/>
      </w:pPr>
      <w:r>
        <w:rPr>
          <w:rStyle w:val="FootnoteReference"/>
        </w:rPr>
        <w:footnoteRef/>
      </w:r>
      <w:r>
        <w:t xml:space="preserve"> Translation note: Greek says stretched out your hand here. Current line keeps that wording.</w:t>
      </w:r>
    </w:p>
  </w:footnote>
  <w:footnote w:id="10000">
    <w:p>
      <w:pPr>
        <w:pStyle w:val="FootnoteText"/>
      </w:pPr>
      <w:r>
        <w:rPr>
          <w:rStyle w:val="FootnoteReference"/>
        </w:rPr>
        <w:footnoteRef/>
      </w:r>
      <w:r>
        <w:t xml:space="preserve"> Cross-references for "hardened": Deut 31:27; 2Kgs 17:14.</w:t>
      </w:r>
    </w:p>
  </w:footnote>
  <w:footnote w:id="10001">
    <w:p>
      <w:pPr>
        <w:pStyle w:val="FootnoteText"/>
      </w:pPr>
      <w:r>
        <w:rPr>
          <w:rStyle w:val="FootnoteReference"/>
        </w:rPr>
        <w:footnoteRef/>
      </w:r>
      <w:r>
        <w:t xml:space="preserve"> Cross-references for "refused": Num 14:3-4; Num 14:11.</w:t>
      </w:r>
    </w:p>
  </w:footnote>
  <w:footnote w:id="10002">
    <w:p>
      <w:pPr>
        <w:pStyle w:val="FootnoteText"/>
      </w:pPr>
      <w:r>
        <w:rPr>
          <w:rStyle w:val="FootnoteReference"/>
        </w:rPr>
        <w:footnoteRef/>
      </w:r>
      <w:r>
        <w:t xml:space="preserve"> Translation note: Greek says gave a chief to return into slavery in Egypt.</w:t>
      </w:r>
    </w:p>
  </w:footnote>
  <w:footnote w:id="10003">
    <w:p>
      <w:pPr>
        <w:pStyle w:val="FootnoteText"/>
      </w:pPr>
      <w:r>
        <w:rPr>
          <w:rStyle w:val="FootnoteReference"/>
        </w:rPr>
        <w:footnoteRef/>
      </w:r>
      <w:r>
        <w:t xml:space="preserve"> Translation note: Greek says many compassions here.</w:t>
      </w:r>
    </w:p>
  </w:footnote>
  <w:footnote w:id="10004">
    <w:p>
      <w:pPr>
        <w:pStyle w:val="FootnoteText"/>
      </w:pPr>
      <w:r>
        <w:rPr>
          <w:rStyle w:val="FootnoteReference"/>
        </w:rPr>
        <w:footnoteRef/>
      </w:r>
      <w:r>
        <w:t xml:space="preserve"> Cross-references for "good": Ps 143:10; Rom 15:30.</w:t>
      </w:r>
    </w:p>
  </w:footnote>
  <w:footnote w:id="10005">
    <w:p>
      <w:pPr>
        <w:pStyle w:val="FootnoteText"/>
      </w:pPr>
      <w:r>
        <w:rPr>
          <w:rStyle w:val="FootnoteReference"/>
        </w:rPr>
        <w:footnoteRef/>
      </w:r>
      <w:r>
        <w:t xml:space="preserve"> Cross-references for "forty": Exod 16:35; Num 14:33-34.</w:t>
      </w:r>
    </w:p>
  </w:footnote>
  <w:footnote w:id="10006">
    <w:p>
      <w:pPr>
        <w:pStyle w:val="FootnoteText"/>
      </w:pPr>
      <w:r>
        <w:rPr>
          <w:rStyle w:val="FootnoteReference"/>
        </w:rPr>
        <w:footnoteRef/>
      </w:r>
      <w:r>
        <w:t xml:space="preserve"> Cross-references for "Sihon": Num 21:21-35; Deut 2:26-36.</w:t>
      </w:r>
    </w:p>
  </w:footnote>
  <w:footnote w:id="10007">
    <w:p>
      <w:pPr>
        <w:pStyle w:val="FootnoteText"/>
      </w:pPr>
      <w:r>
        <w:rPr>
          <w:rStyle w:val="FootnoteReference"/>
        </w:rPr>
        <w:footnoteRef/>
      </w:r>
      <w:r>
        <w:t xml:space="preserve"> Translation note: Greek says the Canaanites were handed over so Israel could do to them as was pleasing before them. The translation keeps that phrase close to the Greek wording.</w:t>
      </w:r>
    </w:p>
  </w:footnote>
  <w:footnote w:id="10008">
    <w:p>
      <w:pPr>
        <w:pStyle w:val="FootnoteText"/>
      </w:pPr>
      <w:r>
        <w:rPr>
          <w:rStyle w:val="FootnoteReference"/>
        </w:rPr>
        <w:footnoteRef/>
      </w:r>
      <w:r>
        <w:t xml:space="preserve"> Translation note: Greek says they luxuriated in your great goodness.</w:t>
      </w:r>
    </w:p>
  </w:footnote>
  <w:footnote w:id="10009">
    <w:p>
      <w:pPr>
        <w:pStyle w:val="FootnoteText"/>
      </w:pPr>
      <w:r>
        <w:rPr>
          <w:rStyle w:val="FootnoteReference"/>
        </w:rPr>
        <w:footnoteRef/>
      </w:r>
      <w:r>
        <w:t xml:space="preserve"> Translation note: Greek says they cast your law behind their body.</w:t>
      </w:r>
    </w:p>
  </w:footnote>
  <w:footnote w:id="10010">
    <w:p>
      <w:pPr>
        <w:pStyle w:val="FootnoteText"/>
      </w:pPr>
      <w:r>
        <w:rPr>
          <w:rStyle w:val="FootnoteReference"/>
        </w:rPr>
        <w:footnoteRef/>
      </w:r>
      <w:r>
        <w:t xml:space="preserve"> Cross-references for "in the time": Deut 4:29-31; Judg 3:15.</w:t>
      </w:r>
    </w:p>
  </w:footnote>
  <w:footnote w:id="10011">
    <w:p>
      <w:pPr>
        <w:pStyle w:val="FootnoteText"/>
      </w:pPr>
      <w:r>
        <w:rPr>
          <w:rStyle w:val="FootnoteReference"/>
        </w:rPr>
        <w:footnoteRef/>
      </w:r>
      <w:r>
        <w:t xml:space="preserve"> Translation note: Greek uses saviors here and repeats those afflicting them around the clause.</w:t>
      </w:r>
    </w:p>
  </w:footnote>
  <w:footnote w:id="10012">
    <w:p>
      <w:pPr>
        <w:pStyle w:val="FootnoteText"/>
      </w:pPr>
      <w:r>
        <w:rPr>
          <w:rStyle w:val="FootnoteReference"/>
        </w:rPr>
        <w:footnoteRef/>
      </w:r>
      <w:r>
        <w:t xml:space="preserve"> Translation note: Greek says they ruled over them.</w:t>
      </w:r>
    </w:p>
  </w:footnote>
  <w:footnote w:id="10013">
    <w:p>
      <w:pPr>
        <w:pStyle w:val="FootnoteText"/>
      </w:pPr>
      <w:r>
        <w:rPr>
          <w:rStyle w:val="FootnoteReference"/>
        </w:rPr>
        <w:footnoteRef/>
      </w:r>
      <w:r>
        <w:t xml:space="preserve"> Translation note: Greek says they gave a stubborn or disobedient back.</w:t>
      </w:r>
    </w:p>
  </w:footnote>
  <w:footnote w:id="10014">
    <w:p>
      <w:pPr>
        <w:pStyle w:val="FootnoteText"/>
      </w:pPr>
      <w:r>
        <w:rPr>
          <w:rStyle w:val="FootnoteReference"/>
        </w:rPr>
        <w:footnoteRef/>
      </w:r>
      <w:r>
        <w:t xml:space="preserve"> Cross-references for "and hardened": Jer 7:26; Jer 17:23.</w:t>
      </w:r>
    </w:p>
  </w:footnote>
  <w:footnote w:id="10015">
    <w:p>
      <w:pPr>
        <w:pStyle w:val="FootnoteText"/>
      </w:pPr>
      <w:r>
        <w:rPr>
          <w:rStyle w:val="FootnoteReference"/>
        </w:rPr>
        <w:footnoteRef/>
      </w:r>
      <w:r>
        <w:t xml:space="preserve"> Cross-references for "many years": Ps 86:15; Rom 2:4.</w:t>
      </w:r>
    </w:p>
  </w:footnote>
  <w:footnote w:id="10016">
    <w:p>
      <w:pPr>
        <w:pStyle w:val="FootnoteText"/>
      </w:pPr>
      <w:r>
        <w:rPr>
          <w:rStyle w:val="FootnoteReference"/>
        </w:rPr>
        <w:footnoteRef/>
      </w:r>
      <w:r>
        <w:t xml:space="preserve"> Cross-references for "our God": Deut 7:21; Neh 1:5.</w:t>
      </w:r>
    </w:p>
  </w:footnote>
  <w:footnote w:id="10017">
    <w:p>
      <w:pPr>
        <w:pStyle w:val="FootnoteText"/>
      </w:pPr>
      <w:r>
        <w:rPr>
          <w:rStyle w:val="FootnoteReference"/>
        </w:rPr>
        <w:footnoteRef/>
      </w:r>
      <w:r>
        <w:t xml:space="preserve"> Translation note: Greek frames the plea as toil not becoming small before God. Current line keeps that image.</w:t>
      </w:r>
    </w:p>
  </w:footnote>
  <w:footnote w:id="10018">
    <w:p>
      <w:pPr>
        <w:pStyle w:val="FootnoteText"/>
      </w:pPr>
      <w:r>
        <w:rPr>
          <w:rStyle w:val="FootnoteReference"/>
        </w:rPr>
        <w:footnoteRef/>
      </w:r>
      <w:r>
        <w:t xml:space="preserve"> Cross-references for "fat land": Deut 8:7-10; Deut 31:21.</w:t>
      </w:r>
    </w:p>
  </w:footnote>
  <w:footnote w:id="10019">
    <w:p>
      <w:pPr>
        <w:pStyle w:val="FootnoteText"/>
      </w:pPr>
      <w:r>
        <w:rPr>
          <w:rStyle w:val="FootnoteReference"/>
        </w:rPr>
        <w:footnoteRef/>
      </w:r>
      <w:r>
        <w:t xml:space="preserve"> MT/LXX note: The Septuagint places the covenant-writing line here rather than the Masoretic signer heading. The translation follows the Greek content.</w:t>
      </w:r>
    </w:p>
  </w:footnote>
  <w:footnote w:id="10020">
    <w:p>
      <w:pPr>
        <w:pStyle w:val="FootnoteText"/>
      </w:pPr>
      <w:r>
        <w:rPr>
          <w:rStyle w:val="FootnoteReference"/>
        </w:rPr>
        <w:footnoteRef/>
      </w:r>
      <w:r>
        <w:t xml:space="preserve"> MT/LXX note: The Septuagint verse introduces the list of sealers rather than matching the Masoretic sequence of names at this point. The translation follows the Greek heading.</w:t>
      </w:r>
    </w:p>
  </w:footnote>
  <w:footnote w:id="10021">
    <w:p>
      <w:pPr>
        <w:pStyle w:val="FootnoteText"/>
      </w:pPr>
      <w:r>
        <w:rPr>
          <w:rStyle w:val="FootnoteReference"/>
        </w:rPr>
        <w:footnoteRef/>
      </w:r>
      <w:r>
        <w:t xml:space="preserve"> Translation note: Greek presents a different register sequence and proper-name form here. The translation follows that Greek signer line.</w:t>
      </w:r>
    </w:p>
  </w:footnote>
  <w:footnote w:id="10022">
    <w:p>
      <w:pPr>
        <w:pStyle w:val="FootnoteText"/>
      </w:pPr>
      <w:r>
        <w:rPr>
          <w:rStyle w:val="FootnoteReference"/>
        </w:rPr>
        <w:footnoteRef/>
      </w:r>
      <w:r>
        <w:t xml:space="preserve"> Translation note: Greek witness has this name sequence here.</w:t>
      </w:r>
    </w:p>
  </w:footnote>
  <w:footnote w:id="10023">
    <w:p>
      <w:pPr>
        <w:pStyle w:val="FootnoteText"/>
      </w:pPr>
      <w:r>
        <w:rPr>
          <w:rStyle w:val="FootnoteReference"/>
        </w:rPr>
        <w:footnoteRef/>
      </w:r>
      <w:r>
        <w:t xml:space="preserve"> Translation note: Name list follows Greek directly.</w:t>
      </w:r>
    </w:p>
  </w:footnote>
  <w:footnote w:id="10024">
    <w:p>
      <w:pPr>
        <w:pStyle w:val="FootnoteText"/>
      </w:pPr>
      <w:r>
        <w:rPr>
          <w:rStyle w:val="FootnoteReference"/>
        </w:rPr>
        <w:footnoteRef/>
      </w:r>
      <w:r>
        <w:t xml:space="preserve"> MT/LXX note: The Septuagint places a priest list here rather than the Masoretic Levite list. The translation follows the Greek register.</w:t>
      </w:r>
    </w:p>
  </w:footnote>
  <w:footnote w:id="10025">
    <w:p>
      <w:pPr>
        <w:pStyle w:val="FootnoteText"/>
      </w:pPr>
      <w:r>
        <w:rPr>
          <w:rStyle w:val="FootnoteReference"/>
        </w:rPr>
        <w:footnoteRef/>
      </w:r>
      <w:r>
        <w:t xml:space="preserve"> MT/LXX note: The Septuagint signer list differs here from the Masoretic names. The translation follows the Greek register.</w:t>
      </w:r>
    </w:p>
  </w:footnote>
  <w:footnote w:id="10026">
    <w:p>
      <w:pPr>
        <w:pStyle w:val="FootnoteText"/>
      </w:pPr>
      <w:r>
        <w:rPr>
          <w:rStyle w:val="FootnoteReference"/>
        </w:rPr>
        <w:footnoteRef/>
      </w:r>
      <w:r>
        <w:t xml:space="preserve"> Transliterated proper noun: Micha. Standard English equivalent: Micah. Source form: Micha. Greek form: μιχα. Name meaning: Who is like Yahweh?.</w:t>
      </w:r>
    </w:p>
  </w:footnote>
  <w:footnote w:id="10027">
    <w:p>
      <w:pPr>
        <w:pStyle w:val="FootnoteText"/>
      </w:pPr>
      <w:r>
        <w:rPr>
          <w:rStyle w:val="FootnoteReference"/>
        </w:rPr>
        <w:footnoteRef/>
      </w:r>
      <w:r>
        <w:t xml:space="preserve"> Transliterated proper noun: Roob. Standard English equivalent: Rehob. Source form: Roob. Greek form: ροωβ. Name meaning: breadth; space; extent.</w:t>
      </w:r>
    </w:p>
  </w:footnote>
  <w:footnote w:id="10028">
    <w:p>
      <w:pPr>
        <w:pStyle w:val="FootnoteText"/>
      </w:pPr>
      <w:r>
        <w:rPr>
          <w:rStyle w:val="FootnoteReference"/>
        </w:rPr>
        <w:footnoteRef/>
      </w:r>
      <w:r>
        <w:t xml:space="preserve"> Translation note: Greek keeps these name forms here. Current line follows them.</w:t>
      </w:r>
    </w:p>
  </w:footnote>
  <w:footnote w:id="10029">
    <w:p>
      <w:pPr>
        <w:pStyle w:val="FootnoteText"/>
      </w:pPr>
      <w:r>
        <w:rPr>
          <w:rStyle w:val="FootnoteReference"/>
        </w:rPr>
        <w:footnoteRef/>
      </w:r>
      <w:r>
        <w:t xml:space="preserve"> Translation note: Greek row here preserves alternate signer list.</w:t>
      </w:r>
    </w:p>
  </w:footnote>
  <w:footnote w:id="10030">
    <w:p>
      <w:pPr>
        <w:pStyle w:val="FootnoteText"/>
      </w:pPr>
      <w:r>
        <w:rPr>
          <w:rStyle w:val="FootnoteReference"/>
        </w:rPr>
        <w:footnoteRef/>
      </w:r>
      <w:r>
        <w:t xml:space="preserve"> Translation note: Greek witness differs in names here. Current line follows Greek list.</w:t>
      </w:r>
    </w:p>
  </w:footnote>
  <w:footnote w:id="10031">
    <w:p>
      <w:pPr>
        <w:pStyle w:val="FootnoteText"/>
      </w:pPr>
      <w:r>
        <w:rPr>
          <w:rStyle w:val="FootnoteReference"/>
        </w:rPr>
        <w:footnoteRef/>
      </w:r>
      <w:r>
        <w:t xml:space="preserve"> MT/LXX note: The Septuagint signer-list names differ from the Masoretic sequence here. The translation keeps the Greek list.</w:t>
      </w:r>
    </w:p>
  </w:footnote>
  <w:footnote w:id="10032">
    <w:p>
      <w:pPr>
        <w:pStyle w:val="FootnoteText"/>
      </w:pPr>
      <w:r>
        <w:rPr>
          <w:rStyle w:val="FootnoteReference"/>
        </w:rPr>
        <w:footnoteRef/>
      </w:r>
      <w:r>
        <w:t xml:space="preserve"> Personal name: Azzur. Personal-name meaning: Azzur — helper; one helped. Source form: Azzur.</w:t>
      </w:r>
    </w:p>
  </w:footnote>
  <w:footnote w:id="10033">
    <w:p>
      <w:pPr>
        <w:pStyle w:val="FootnoteText"/>
      </w:pPr>
      <w:r>
        <w:rPr>
          <w:rStyle w:val="FootnoteReference"/>
        </w:rPr>
        <w:footnoteRef/>
      </w:r>
      <w:r>
        <w:t xml:space="preserve"> Translation note: Greek row here preserves alternate signer list.</w:t>
      </w:r>
    </w:p>
  </w:footnote>
  <w:footnote w:id="10034">
    <w:p>
      <w:pPr>
        <w:pStyle w:val="FootnoteText"/>
      </w:pPr>
      <w:r>
        <w:rPr>
          <w:rStyle w:val="FootnoteReference"/>
        </w:rPr>
        <w:footnoteRef/>
      </w:r>
      <w:r>
        <w:t xml:space="preserve"> Translation note: The Septuagint preserves a different signer list here. The translation follows that Greek register.</w:t>
      </w:r>
    </w:p>
  </w:footnote>
  <w:footnote w:id="10035">
    <w:p>
      <w:pPr>
        <w:pStyle w:val="FootnoteText"/>
      </w:pPr>
      <w:r>
        <w:rPr>
          <w:rStyle w:val="FootnoteReference"/>
        </w:rPr>
        <w:footnoteRef/>
      </w:r>
      <w:r>
        <w:t xml:space="preserve"> Personal name: Nebai. Personal-name meaning: Nebai — budding; speaking; prophesying. Source form: Nebai.</w:t>
      </w:r>
    </w:p>
  </w:footnote>
  <w:footnote w:id="10036">
    <w:p>
      <w:pPr>
        <w:pStyle w:val="FootnoteText"/>
      </w:pPr>
      <w:r>
        <w:rPr>
          <w:rStyle w:val="FootnoteReference"/>
        </w:rPr>
        <w:footnoteRef/>
      </w:r>
      <w:r>
        <w:t xml:space="preserve"> MT/LXX note: The Septuagint name list differs from the Masoretic line at this point. The translation keeps the Greek sequence.</w:t>
      </w:r>
    </w:p>
  </w:footnote>
  <w:footnote w:id="10037">
    <w:p>
      <w:pPr>
        <w:pStyle w:val="FootnoteText"/>
      </w:pPr>
      <w:r>
        <w:rPr>
          <w:rStyle w:val="FootnoteReference"/>
        </w:rPr>
        <w:footnoteRef/>
      </w:r>
      <w:r>
        <w:t xml:space="preserve"> Personal name: Magpiash. Personal-name meaning: Magpiash — a body thrust hard together. Source form: Magpiash.</w:t>
      </w:r>
    </w:p>
  </w:footnote>
  <w:footnote w:id="10038">
    <w:p>
      <w:pPr>
        <w:pStyle w:val="FootnoteText"/>
      </w:pPr>
      <w:r>
        <w:rPr>
          <w:rStyle w:val="FootnoteReference"/>
        </w:rPr>
        <w:footnoteRef/>
      </w:r>
      <w:r>
        <w:t xml:space="preserve"> Translation note: The Septuagint preserves a different signer list here. The translation follows that Greek register.</w:t>
      </w:r>
    </w:p>
  </w:footnote>
  <w:footnote w:id="10039">
    <w:p>
      <w:pPr>
        <w:pStyle w:val="FootnoteText"/>
      </w:pPr>
      <w:r>
        <w:rPr>
          <w:rStyle w:val="FootnoteReference"/>
        </w:rPr>
        <w:footnoteRef/>
      </w:r>
      <w:r>
        <w:t xml:space="preserve"> MT/LXX note: The Septuagint preserves a different name sequence from the Masoretic list here. The translation keeps the Greek names rather than harmonizing them.</w:t>
      </w:r>
    </w:p>
  </w:footnote>
  <w:footnote w:id="10040">
    <w:p>
      <w:pPr>
        <w:pStyle w:val="FootnoteText"/>
      </w:pPr>
      <w:r>
        <w:rPr>
          <w:rStyle w:val="FootnoteReference"/>
        </w:rPr>
        <w:footnoteRef/>
      </w:r>
      <w:r>
        <w:t xml:space="preserve"> Personal name: Hallohesh. Personal-name meaning: Hallohesh — the whisperer; the slanderer. Source form: Hallohesh.</w:t>
      </w:r>
    </w:p>
  </w:footnote>
  <w:footnote w:id="10041">
    <w:p>
      <w:pPr>
        <w:pStyle w:val="FootnoteText"/>
      </w:pPr>
      <w:r>
        <w:rPr>
          <w:rStyle w:val="FootnoteReference"/>
        </w:rPr>
        <w:footnoteRef/>
      </w:r>
      <w:r>
        <w:t xml:space="preserve"> Personal name: Hanan. Personal-name meaning: Hanan — full of grace. Source form: Hanan.</w:t>
      </w:r>
    </w:p>
  </w:footnote>
  <w:footnote w:id="10042">
    <w:p>
      <w:pPr>
        <w:pStyle w:val="FootnoteText"/>
      </w:pPr>
      <w:r>
        <w:rPr>
          <w:rStyle w:val="FootnoteReference"/>
        </w:rPr>
        <w:footnoteRef/>
      </w:r>
      <w:r>
        <w:t xml:space="preserve"> Personal name: Aia. Personal-name meaning: Aiah — vulture, raven; an isle; alas, where is it?. Standard English equivalent: Aiah. Source form: Aia.</w:t>
      </w:r>
    </w:p>
  </w:footnote>
  <w:footnote w:id="10043">
    <w:p>
      <w:pPr>
        <w:pStyle w:val="FootnoteText"/>
      </w:pPr>
      <w:r>
        <w:rPr>
          <w:rStyle w:val="FootnoteReference"/>
        </w:rPr>
        <w:footnoteRef/>
      </w:r>
      <w:r>
        <w:t xml:space="preserve"> Translation note: This LXX verse number here is a short three-name list.</w:t>
      </w:r>
    </w:p>
  </w:footnote>
  <w:footnote w:id="10044">
    <w:p>
      <w:pPr>
        <w:pStyle w:val="FootnoteText"/>
      </w:pPr>
      <w:r>
        <w:rPr>
          <w:rStyle w:val="FootnoteReference"/>
        </w:rPr>
        <w:footnoteRef/>
      </w:r>
      <w:r>
        <w:t xml:space="preserve"> Translation note: LXX verse division differs here from many English editions. The current wording matches Greek Nehemiah 10:29 and keeps the knowing-understanding pair explicit.</w:t>
      </w:r>
    </w:p>
  </w:footnote>
  <w:footnote w:id="10045">
    <w:p>
      <w:pPr>
        <w:pStyle w:val="FootnoteText"/>
      </w:pPr>
      <w:r>
        <w:rPr>
          <w:rStyle w:val="FootnoteReference"/>
        </w:rPr>
        <w:footnoteRef/>
      </w:r>
      <w:r>
        <w:t xml:space="preserve"> Translation note: Greek explicitly says they cursed themselves and then entered into curse and oath. The translation preserves that reflexive covenant wording.</w:t>
      </w:r>
    </w:p>
  </w:footnote>
  <w:footnote w:id="10046">
    <w:p>
      <w:pPr>
        <w:pStyle w:val="FootnoteText"/>
      </w:pPr>
      <w:r>
        <w:rPr>
          <w:rStyle w:val="FootnoteReference"/>
        </w:rPr>
        <w:footnoteRef/>
      </w:r>
      <w:r>
        <w:t xml:space="preserve"> Cross-references for "and that we": Exod 23:10-11; Lev 25:4-7.</w:t>
      </w:r>
    </w:p>
  </w:footnote>
  <w:footnote w:id="10047">
    <w:p>
      <w:pPr>
        <w:pStyle w:val="FootnoteText"/>
      </w:pPr>
      <w:r>
        <w:rPr>
          <w:rStyle w:val="FootnoteReference"/>
        </w:rPr>
        <w:footnoteRef/>
      </w:r>
      <w:r>
        <w:t xml:space="preserve"> Translation note: Greek verse carries marriage oath here, not sabbath-market line.</w:t>
      </w:r>
    </w:p>
  </w:footnote>
  <w:footnote w:id="10048">
    <w:p>
      <w:pPr>
        <w:pStyle w:val="FootnoteText"/>
      </w:pPr>
      <w:r>
        <w:rPr>
          <w:rStyle w:val="FootnoteReference"/>
        </w:rPr>
        <w:footnoteRef/>
      </w:r>
      <w:r>
        <w:t xml:space="preserve"> Translation note: Greek says demand of every hand here. Current line keeps that wording.</w:t>
      </w:r>
    </w:p>
  </w:footnote>
  <w:footnote w:id="10049">
    <w:p>
      <w:pPr>
        <w:pStyle w:val="FootnoteText"/>
      </w:pPr>
      <w:r>
        <w:rPr>
          <w:rStyle w:val="FootnoteReference"/>
        </w:rPr>
        <w:footnoteRef/>
      </w:r>
      <w:r>
        <w:t xml:space="preserve"> MT/LXX note: LXX here gives the tax resolution line rather than the MT list of uses.</w:t>
      </w:r>
    </w:p>
  </w:footnote>
  <w:footnote w:id="10050">
    <w:p>
      <w:pPr>
        <w:pStyle w:val="FootnoteText"/>
      </w:pPr>
      <w:r>
        <w:rPr>
          <w:rStyle w:val="FootnoteReference"/>
        </w:rPr>
        <w:footnoteRef/>
      </w:r>
      <w:r>
        <w:t xml:space="preserve"> MT/LXX note: Greek places the cultic list in 10:34 and shifts the wood-lot verse to 10:35. Main text keeps that LXX verse division rather than harmonizing to Brenton or MT numbering.</w:t>
      </w:r>
    </w:p>
  </w:footnote>
  <w:footnote w:id="10051">
    <w:p>
      <w:pPr>
        <w:pStyle w:val="FootnoteText"/>
      </w:pPr>
      <w:r>
        <w:rPr>
          <w:rStyle w:val="FootnoteReference"/>
        </w:rPr>
        <w:footnoteRef/>
      </w:r>
      <w:r>
        <w:t xml:space="preserve"> MT/LXX note: Greek has the transparent phrase bread of the presence. The Septuagint verse here also maps differently from the Masoretic wood-offering verse, so the translation follows the Greek line.</w:t>
      </w:r>
    </w:p>
  </w:footnote>
  <w:footnote w:id="10052">
    <w:p>
      <w:pPr>
        <w:pStyle w:val="FootnoteText"/>
      </w:pPr>
      <w:r>
        <w:rPr>
          <w:rStyle w:val="FootnoteReference"/>
        </w:rPr>
        <w:footnoteRef/>
      </w:r>
      <w:r>
        <w:t xml:space="preserve"> MT/LXX note: This LXX verse number carries the firstfruits line rather than the MT firstborn line.</w:t>
      </w:r>
    </w:p>
  </w:footnote>
  <w:footnote w:id="10053">
    <w:p>
      <w:pPr>
        <w:pStyle w:val="FootnoteText"/>
      </w:pPr>
      <w:r>
        <w:rPr>
          <w:rStyle w:val="FootnoteReference"/>
        </w:rPr>
        <w:footnoteRef/>
      </w:r>
      <w:r>
        <w:t xml:space="preserve"> MT/LXX note: LXX here gives the firstborn obligation line rather than the MT firstfruits list.</w:t>
      </w:r>
    </w:p>
  </w:footnote>
  <w:footnote w:id="10054">
    <w:p>
      <w:pPr>
        <w:pStyle w:val="FootnoteText"/>
      </w:pPr>
      <w:r>
        <w:rPr>
          <w:rStyle w:val="FootnoteReference"/>
        </w:rPr>
        <w:footnoteRef/>
      </w:r>
      <w:r>
        <w:t xml:space="preserve"> Translation note: Greek row here keeps firstfruits plus tithe of our land to Levites.</w:t>
      </w:r>
    </w:p>
  </w:footnote>
  <w:footnote w:id="10055">
    <w:p>
      <w:pPr>
        <w:pStyle w:val="FootnoteText"/>
      </w:pPr>
      <w:r>
        <w:rPr>
          <w:rStyle w:val="FootnoteReference"/>
        </w:rPr>
        <w:footnoteRef/>
      </w:r>
      <w:r>
        <w:t xml:space="preserve"> Translation note: Greek verse here gives tithe administration line.</w:t>
      </w:r>
    </w:p>
  </w:footnote>
  <w:footnote w:id="10056">
    <w:p>
      <w:pPr>
        <w:pStyle w:val="FootnoteText"/>
      </w:pPr>
      <w:r>
        <w:rPr>
          <w:rStyle w:val="FootnoteReference"/>
        </w:rPr>
        <w:footnoteRef/>
      </w:r>
      <w:r>
        <w:t xml:space="preserve"> Cross-references for "the rulers": Deut 17:8-9; Neh 7:4-5.</w:t>
      </w:r>
    </w:p>
  </w:footnote>
  <w:footnote w:id="10057">
    <w:p>
      <w:pPr>
        <w:pStyle w:val="FootnoteText"/>
      </w:pPr>
      <w:r>
        <w:rPr>
          <w:rStyle w:val="FootnoteReference"/>
        </w:rPr>
        <w:footnoteRef/>
      </w:r>
      <w:r>
        <w:t xml:space="preserve"> Cross-references for "blessed": Deut 24:13; Job 29:13.</w:t>
      </w:r>
    </w:p>
  </w:footnote>
  <w:footnote w:id="10058">
    <w:p>
      <w:pPr>
        <w:pStyle w:val="FootnoteText"/>
      </w:pPr>
      <w:r>
        <w:rPr>
          <w:rStyle w:val="FootnoteReference"/>
        </w:rPr>
        <w:footnoteRef/>
      </w:r>
      <w:r>
        <w:t xml:space="preserve"> Translation note: Greek says rulers of province and his own holding here.</w:t>
      </w:r>
    </w:p>
  </w:footnote>
  <w:footnote w:id="10059">
    <w:p>
      <w:pPr>
        <w:pStyle w:val="FootnoteText"/>
      </w:pPr>
      <w:r>
        <w:rPr>
          <w:rStyle w:val="FootnoteReference"/>
        </w:rPr>
        <w:footnoteRef/>
      </w:r>
      <w:r>
        <w:t xml:space="preserve"> Cross-references for "Israel": 1Chr 9:1-3; Ezra 2:70.</w:t>
      </w:r>
    </w:p>
  </w:footnote>
  <w:footnote w:id="10060">
    <w:p>
      <w:pPr>
        <w:pStyle w:val="FootnoteText"/>
      </w:pPr>
      <w:r>
        <w:rPr>
          <w:rStyle w:val="FootnoteReference"/>
        </w:rPr>
        <w:footnoteRef/>
      </w:r>
      <w:r>
        <w:t xml:space="preserve"> Translation note: Greek says settled in Jerusalem.</w:t>
      </w:r>
    </w:p>
  </w:footnote>
  <w:footnote w:id="10061">
    <w:p>
      <w:pPr>
        <w:pStyle w:val="FootnoteText"/>
      </w:pPr>
      <w:r>
        <w:rPr>
          <w:rStyle w:val="FootnoteReference"/>
        </w:rPr>
        <w:footnoteRef/>
      </w:r>
      <w:r>
        <w:t xml:space="preserve"> Personal name: Athaiah. Personal-name meaning: Athaiah — the Lord's time. Source form: Athaiah.</w:t>
      </w:r>
    </w:p>
  </w:footnote>
  <w:footnote w:id="10062">
    <w:p>
      <w:pPr>
        <w:pStyle w:val="FootnoteText"/>
      </w:pPr>
      <w:r>
        <w:rPr>
          <w:rStyle w:val="FootnoteReference"/>
        </w:rPr>
        <w:footnoteRef/>
      </w:r>
      <w:r>
        <w:t xml:space="preserve"> Cross-references for "Perez": Gen 38:29; Ruth 4:18.</w:t>
      </w:r>
    </w:p>
  </w:footnote>
  <w:footnote w:id="10063">
    <w:p>
      <w:pPr>
        <w:pStyle w:val="FootnoteText"/>
      </w:pPr>
      <w:r>
        <w:rPr>
          <w:rStyle w:val="FootnoteReference"/>
        </w:rPr>
        <w:footnoteRef/>
      </w:r>
      <w:r>
        <w:t xml:space="preserve"> Transliterated proper noun: Joiarib. Standard English equivalent: Joiarib. Source form: Joiarib. Greek form: ιωριβ. Name meaning: chiding, or multiplying, of the Lord.</w:t>
      </w:r>
    </w:p>
  </w:footnote>
  <w:footnote w:id="10064">
    <w:p>
      <w:pPr>
        <w:pStyle w:val="FootnoteText"/>
      </w:pPr>
      <w:r>
        <w:rPr>
          <w:rStyle w:val="FootnoteReference"/>
        </w:rPr>
        <w:footnoteRef/>
      </w:r>
      <w:r>
        <w:t xml:space="preserve"> Personal name: Hazaiah. Personal-name meaning: Hazaiah — seeing the Lord. Source form: Hazaiah.</w:t>
      </w:r>
    </w:p>
  </w:footnote>
  <w:footnote w:id="10065">
    <w:p>
      <w:pPr>
        <w:pStyle w:val="FootnoteText"/>
      </w:pPr>
      <w:r>
        <w:rPr>
          <w:rStyle w:val="FootnoteReference"/>
        </w:rPr>
        <w:footnoteRef/>
      </w:r>
      <w:r>
        <w:t xml:space="preserve"> Personal name: Joed. Personal-name meaning: Joed — witnessing; robbing; passing over. Source form: Joed.</w:t>
      </w:r>
    </w:p>
  </w:footnote>
  <w:footnote w:id="10066">
    <w:p>
      <w:pPr>
        <w:pStyle w:val="FootnoteText"/>
      </w:pPr>
      <w:r>
        <w:rPr>
          <w:rStyle w:val="FootnoteReference"/>
        </w:rPr>
        <w:footnoteRef/>
      </w:r>
      <w:r>
        <w:t xml:space="preserve"> Personal name: Kolaiah. Personal-name meaning: Kolaiah — voice of Yahweh. Source form: Kolaiah.</w:t>
      </w:r>
    </w:p>
  </w:footnote>
  <w:footnote w:id="10067">
    <w:p>
      <w:pPr>
        <w:pStyle w:val="FootnoteText"/>
      </w:pPr>
      <w:r>
        <w:rPr>
          <w:rStyle w:val="FootnoteReference"/>
        </w:rPr>
        <w:footnoteRef/>
      </w:r>
      <w:r>
        <w:t xml:space="preserve"> Personal name: Ithiel. Personal-name meaning: Ithiel — sign, or coming of God. Source form: Ithiel.</w:t>
      </w:r>
    </w:p>
  </w:footnote>
  <w:footnote w:id="10068">
    <w:p>
      <w:pPr>
        <w:pStyle w:val="FootnoteText"/>
      </w:pPr>
      <w:r>
        <w:rPr>
          <w:rStyle w:val="FootnoteReference"/>
        </w:rPr>
        <w:footnoteRef/>
      </w:r>
      <w:r>
        <w:t xml:space="preserve"> Personal name: Gabbai. Personal-name meaning: Gabbai — the back. Source form: Gabbai.</w:t>
      </w:r>
    </w:p>
  </w:footnote>
  <w:footnote w:id="10069">
    <w:p>
      <w:pPr>
        <w:pStyle w:val="FootnoteText"/>
      </w:pPr>
      <w:r>
        <w:rPr>
          <w:rStyle w:val="FootnoteReference"/>
        </w:rPr>
        <w:footnoteRef/>
      </w:r>
      <w:r>
        <w:t xml:space="preserve"> Personal name: Sallai. Personal-name meaning: Sallai — an exaltation; a basket. Source form: Sallai.</w:t>
      </w:r>
    </w:p>
  </w:footnote>
  <w:footnote w:id="10070">
    <w:p>
      <w:pPr>
        <w:pStyle w:val="FootnoteText"/>
      </w:pPr>
      <w:r>
        <w:rPr>
          <w:rStyle w:val="FootnoteReference"/>
        </w:rPr>
        <w:footnoteRef/>
      </w:r>
      <w:r>
        <w:t xml:space="preserve"> Cross-references for "Judah": 1Chr 9:7.</w:t>
      </w:r>
    </w:p>
  </w:footnote>
  <w:footnote w:id="10071">
    <w:p>
      <w:pPr>
        <w:pStyle w:val="FootnoteText"/>
      </w:pPr>
      <w:r>
        <w:rPr>
          <w:rStyle w:val="FootnoteReference"/>
        </w:rPr>
        <w:footnoteRef/>
      </w:r>
      <w:r>
        <w:t xml:space="preserve"> Transliterated proper noun: Senuah. Standard English equivalent: Senuah. Source form: Senuah. Greek form: ασανα. Name meaning: bristling; hated.</w:t>
      </w:r>
    </w:p>
  </w:footnote>
  <w:footnote w:id="10072">
    <w:p>
      <w:pPr>
        <w:pStyle w:val="FootnoteText"/>
      </w:pPr>
      <w:r>
        <w:rPr>
          <w:rStyle w:val="FootnoteReference"/>
        </w:rPr>
        <w:footnoteRef/>
      </w:r>
      <w:r>
        <w:t xml:space="preserve"> Cross-references for "Jedaiah": 1Chr 9:10; Ezra 2:36.</w:t>
      </w:r>
    </w:p>
  </w:footnote>
  <w:footnote w:id="10073">
    <w:p>
      <w:pPr>
        <w:pStyle w:val="FootnoteText"/>
      </w:pPr>
      <w:r>
        <w:rPr>
          <w:rStyle w:val="FootnoteReference"/>
        </w:rPr>
        <w:footnoteRef/>
      </w:r>
      <w:r>
        <w:t xml:space="preserve"> Cross-references for "Seraiah": 1Chr 6:7-14; 1Chr 9:11.</w:t>
      </w:r>
    </w:p>
  </w:footnote>
  <w:footnote w:id="10074">
    <w:p>
      <w:pPr>
        <w:pStyle w:val="FootnoteText"/>
      </w:pPr>
      <w:r>
        <w:rPr>
          <w:rStyle w:val="FootnoteReference"/>
        </w:rPr>
        <w:footnoteRef/>
      </w:r>
      <w:r>
        <w:t xml:space="preserve"> MT/LXX note: The Septuagint gives a genealogy line here rather than the Masoretic total-and-name sequence. The translation follows the Greek content.</w:t>
      </w:r>
    </w:p>
  </w:footnote>
  <w:footnote w:id="10075">
    <w:p>
      <w:pPr>
        <w:pStyle w:val="FootnoteText"/>
      </w:pPr>
      <w:r>
        <w:rPr>
          <w:rStyle w:val="FootnoteReference"/>
        </w:rPr>
        <w:footnoteRef/>
      </w:r>
      <w:r>
        <w:t xml:space="preserve"> Cross-references for "Shemaiah": 1Chr 9:14; 1Chr 9:19.</w:t>
      </w:r>
    </w:p>
  </w:footnote>
  <w:footnote w:id="10076">
    <w:p>
      <w:pPr>
        <w:pStyle w:val="FootnoteText"/>
      </w:pPr>
      <w:r>
        <w:rPr>
          <w:rStyle w:val="FootnoteReference"/>
        </w:rPr>
        <w:footnoteRef/>
      </w:r>
      <w:r>
        <w:t xml:space="preserve"> MT/LXX note: Greek line here is short and fragmentary beside the longer MT tradition. Current line keeps the transmitted Greek names only.</w:t>
      </w:r>
    </w:p>
  </w:footnote>
  <w:footnote w:id="10077">
    <w:p>
      <w:pPr>
        <w:pStyle w:val="FootnoteText"/>
      </w:pPr>
      <w:r>
        <w:rPr>
          <w:rStyle w:val="FootnoteReference"/>
        </w:rPr>
        <w:footnoteRef/>
      </w:r>
      <w:r>
        <w:t xml:space="preserve"> Cross-references for "Akkub": 1Chr 9:17-22; Neh 7:45.</w:t>
      </w:r>
    </w:p>
  </w:footnote>
  <w:footnote w:id="10078">
    <w:p>
      <w:pPr>
        <w:pStyle w:val="FootnoteText"/>
      </w:pPr>
      <w:r>
        <w:rPr>
          <w:rStyle w:val="FootnoteReference"/>
        </w:rPr>
        <w:footnoteRef/>
      </w:r>
      <w:r>
        <w:t xml:space="preserve"> Cross-references for "overseer": Neh 11:9; Neh 11:14.</w:t>
      </w:r>
    </w:p>
  </w:footnote>
  <w:footnote w:id="10079">
    <w:p>
      <w:pPr>
        <w:pStyle w:val="FootnoteText"/>
      </w:pPr>
      <w:r>
        <w:rPr>
          <w:rStyle w:val="FootnoteReference"/>
        </w:rPr>
        <w:footnoteRef/>
      </w:r>
      <w:r>
        <w:t xml:space="preserve"> Translation note: Greek keeps the over-against phrasing here.</w:t>
      </w:r>
    </w:p>
  </w:footnote>
  <w:footnote w:id="10080">
    <w:p>
      <w:pPr>
        <w:pStyle w:val="FootnoteText"/>
      </w:pPr>
      <w:r>
        <w:rPr>
          <w:rStyle w:val="FootnoteReference"/>
        </w:rPr>
        <w:footnoteRef/>
      </w:r>
      <w:r>
        <w:t xml:space="preserve"> Translation note: Greek gives a shorter royal-command note here. The translation keeps that concise form.</w:t>
      </w:r>
    </w:p>
  </w:footnote>
  <w:footnote w:id="10081">
    <w:p>
      <w:pPr>
        <w:pStyle w:val="FootnoteText"/>
      </w:pPr>
      <w:r>
        <w:rPr>
          <w:rStyle w:val="FootnoteReference"/>
        </w:rPr>
        <w:footnoteRef/>
      </w:r>
      <w:r>
        <w:t xml:space="preserve"> Cross-references for "Meshezabeel": Neh 10:21.</w:t>
      </w:r>
    </w:p>
  </w:footnote>
  <w:footnote w:id="10082">
    <w:p>
      <w:pPr>
        <w:pStyle w:val="FootnoteText"/>
      </w:pPr>
      <w:r>
        <w:rPr>
          <w:rStyle w:val="FootnoteReference"/>
        </w:rPr>
        <w:footnoteRef/>
      </w:r>
      <w:r>
        <w:t xml:space="preserve"> Translation note: Greek row has καριαθαρβοκ; this edition uses the standard English equivalent Kirjatharba.</w:t>
      </w:r>
    </w:p>
  </w:footnote>
  <w:footnote w:id="10083">
    <w:p>
      <w:pPr>
        <w:pStyle w:val="FootnoteText"/>
      </w:pPr>
      <w:r>
        <w:rPr>
          <w:rStyle w:val="FootnoteReference"/>
        </w:rPr>
        <w:footnoteRef/>
      </w:r>
      <w:r>
        <w:t xml:space="preserve"> Cross-references for "Kirjatharba": Josh 14:15.</w:t>
      </w:r>
    </w:p>
  </w:footnote>
  <w:footnote w:id="10084">
    <w:p>
      <w:pPr>
        <w:pStyle w:val="FootnoteText"/>
      </w:pPr>
      <w:r>
        <w:rPr>
          <w:rStyle w:val="FootnoteReference"/>
        </w:rPr>
        <w:footnoteRef/>
      </w:r>
      <w:r>
        <w:t xml:space="preserve"> Translation note: Greek preserves its own place-name form in the settlement list. The translation follows it.</w:t>
      </w:r>
    </w:p>
  </w:footnote>
  <w:footnote w:id="10085">
    <w:p>
      <w:pPr>
        <w:pStyle w:val="FootnoteText"/>
      </w:pPr>
      <w:r>
        <w:rPr>
          <w:rStyle w:val="FootnoteReference"/>
        </w:rPr>
        <w:footnoteRef/>
      </w:r>
      <w:r>
        <w:t xml:space="preserve"> Translation note: Greek preserves a short place-name entry here. The translation follows it.</w:t>
      </w:r>
    </w:p>
  </w:footnote>
  <w:footnote w:id="10086">
    <w:p>
      <w:pPr>
        <w:pStyle w:val="FootnoteText"/>
      </w:pPr>
      <w:r>
        <w:rPr>
          <w:rStyle w:val="FootnoteReference"/>
        </w:rPr>
        <w:footnoteRef/>
      </w:r>
      <w:r>
        <w:t xml:space="preserve"> MT/LXX note: The Septuagint preserves a shorter settlement line here than the Masoretic text. The translation follows the Greek content.</w:t>
      </w:r>
    </w:p>
  </w:footnote>
  <w:footnote w:id="10087">
    <w:p>
      <w:pPr>
        <w:pStyle w:val="FootnoteText"/>
      </w:pPr>
      <w:r>
        <w:rPr>
          <w:rStyle w:val="FootnoteReference"/>
        </w:rPr>
        <w:footnoteRef/>
      </w:r>
      <w:r>
        <w:t xml:space="preserve"> Cross-references for "Lachish": Josh 10:3; Josh 15:39.</w:t>
      </w:r>
    </w:p>
  </w:footnote>
  <w:footnote w:id="10088">
    <w:p>
      <w:pPr>
        <w:pStyle w:val="FootnoteText"/>
      </w:pPr>
      <w:r>
        <w:rPr>
          <w:rStyle w:val="FootnoteReference"/>
        </w:rPr>
        <w:footnoteRef/>
      </w:r>
      <w:r>
        <w:t xml:space="preserve"> Cross-references for "divisions": Gen 49:7.</w:t>
      </w:r>
    </w:p>
  </w:footnote>
  <w:footnote w:id="10089">
    <w:p>
      <w:pPr>
        <w:pStyle w:val="FootnoteText"/>
      </w:pPr>
      <w:r>
        <w:rPr>
          <w:rStyle w:val="FootnoteReference"/>
        </w:rPr>
        <w:footnoteRef/>
      </w:r>
      <w:r>
        <w:t xml:space="preserve"> Cross-references for "the priests": Ezra 2:1-2; Neh 7:7.</w:t>
      </w:r>
    </w:p>
  </w:footnote>
  <w:footnote w:id="10090">
    <w:p>
      <w:pPr>
        <w:pStyle w:val="FootnoteText"/>
      </w:pPr>
      <w:r>
        <w:rPr>
          <w:rStyle w:val="FootnoteReference"/>
        </w:rPr>
        <w:footnoteRef/>
      </w:r>
      <w:r>
        <w:t xml:space="preserve"> Cross-references for "Malluch": Neh 12:14.</w:t>
      </w:r>
    </w:p>
  </w:footnote>
  <w:footnote w:id="10091">
    <w:p>
      <w:pPr>
        <w:pStyle w:val="FootnoteText"/>
      </w:pPr>
      <w:r>
        <w:rPr>
          <w:rStyle w:val="FootnoteReference"/>
        </w:rPr>
        <w:footnoteRef/>
      </w:r>
      <w:r>
        <w:t xml:space="preserve"> Cross-references for "of Jeshua": Ezra 3:2; Neh 12:1.</w:t>
      </w:r>
    </w:p>
  </w:footnote>
  <w:footnote w:id="10092">
    <w:p>
      <w:pPr>
        <w:pStyle w:val="FootnoteText"/>
      </w:pPr>
      <w:r>
        <w:rPr>
          <w:rStyle w:val="FootnoteReference"/>
        </w:rPr>
        <w:footnoteRef/>
      </w:r>
      <w:r>
        <w:t xml:space="preserve"> Cross-references for "Jeshua": Neh 7:48; Neh 9:4.</w:t>
      </w:r>
    </w:p>
  </w:footnote>
  <w:footnote w:id="10093">
    <w:p>
      <w:pPr>
        <w:pStyle w:val="FootnoteText"/>
      </w:pPr>
      <w:r>
        <w:rPr>
          <w:rStyle w:val="FootnoteReference"/>
        </w:rPr>
        <w:footnoteRef/>
      </w:r>
      <w:r>
        <w:t xml:space="preserve"> Translation note: Greek says courses here. Current line keeps that brief note.</w:t>
      </w:r>
    </w:p>
  </w:footnote>
  <w:footnote w:id="10094">
    <w:p>
      <w:pPr>
        <w:pStyle w:val="FootnoteText"/>
      </w:pPr>
      <w:r>
        <w:rPr>
          <w:rStyle w:val="FootnoteReference"/>
        </w:rPr>
        <w:footnoteRef/>
      </w:r>
      <w:r>
        <w:t xml:space="preserve"> Cross-references for "Jeshua": 1Chr 6:3-15; Neh 12:26.</w:t>
      </w:r>
    </w:p>
  </w:footnote>
  <w:footnote w:id="10095">
    <w:p>
      <w:pPr>
        <w:pStyle w:val="FootnoteText"/>
      </w:pPr>
      <w:r>
        <w:rPr>
          <w:rStyle w:val="FootnoteReference"/>
        </w:rPr>
        <w:footnoteRef/>
      </w:r>
      <w:r>
        <w:t xml:space="preserve"> Personal name: Joiakim. Personal-name meaning: Joiakim — Yahweh raises/establishes. Source form: Joiakim.</w:t>
      </w:r>
    </w:p>
  </w:footnote>
  <w:footnote w:id="10096">
    <w:p>
      <w:pPr>
        <w:pStyle w:val="FootnoteText"/>
      </w:pPr>
      <w:r>
        <w:rPr>
          <w:rStyle w:val="FootnoteReference"/>
        </w:rPr>
        <w:footnoteRef/>
      </w:r>
      <w:r>
        <w:t xml:space="preserve"> Transliterated proper noun: Joiada. Standard English equivalent: Joiada. Source form: Joiada. Greek form: ιωδαε. Name meaning: Yahweh knows; knowledge of Yahweh.</w:t>
      </w:r>
    </w:p>
  </w:footnote>
  <w:footnote w:id="10097">
    <w:p>
      <w:pPr>
        <w:pStyle w:val="FootnoteText"/>
      </w:pPr>
      <w:r>
        <w:rPr>
          <w:rStyle w:val="FootnoteReference"/>
        </w:rPr>
        <w:footnoteRef/>
      </w:r>
      <w:r>
        <w:t xml:space="preserve"> Cross-references for "Jonathan": Neh 12:11.</w:t>
      </w:r>
    </w:p>
  </w:footnote>
  <w:footnote w:id="10098">
    <w:p>
      <w:pPr>
        <w:pStyle w:val="FootnoteText"/>
      </w:pPr>
      <w:r>
        <w:rPr>
          <w:rStyle w:val="FootnoteReference"/>
        </w:rPr>
        <w:footnoteRef/>
      </w:r>
      <w:r>
        <w:t xml:space="preserve"> Personal name: Jaddua. Personal-name meaning: Jaddua — known. Source form: Jaddua.</w:t>
      </w:r>
    </w:p>
  </w:footnote>
  <w:footnote w:id="10099">
    <w:p>
      <w:pPr>
        <w:pStyle w:val="FootnoteText"/>
      </w:pPr>
      <w:r>
        <w:rPr>
          <w:rStyle w:val="FootnoteReference"/>
        </w:rPr>
        <w:footnoteRef/>
      </w:r>
      <w:r>
        <w:t xml:space="preserve"> Cross-references for "Seraiah": Neh 12:1.</w:t>
      </w:r>
    </w:p>
  </w:footnote>
  <w:footnote w:id="10100">
    <w:p>
      <w:pPr>
        <w:pStyle w:val="FootnoteText"/>
      </w:pPr>
      <w:r>
        <w:rPr>
          <w:rStyle w:val="FootnoteReference"/>
        </w:rPr>
        <w:footnoteRef/>
      </w:r>
      <w:r>
        <w:t xml:space="preserve"> Cross-references for "Harim": Neh 12:3.</w:t>
      </w:r>
    </w:p>
  </w:footnote>
  <w:footnote w:id="10101">
    <w:p>
      <w:pPr>
        <w:pStyle w:val="FootnoteText"/>
      </w:pPr>
      <w:r>
        <w:rPr>
          <w:rStyle w:val="FootnoteReference"/>
        </w:rPr>
        <w:footnoteRef/>
      </w:r>
      <w:r>
        <w:t xml:space="preserve"> Personal name: Adna. Personal-name meaning: Adna — pleasure; delight. Source form: Adna.</w:t>
      </w:r>
    </w:p>
  </w:footnote>
  <w:footnote w:id="10102">
    <w:p>
      <w:pPr>
        <w:pStyle w:val="FootnoteText"/>
      </w:pPr>
      <w:r>
        <w:rPr>
          <w:rStyle w:val="FootnoteReference"/>
        </w:rPr>
        <w:footnoteRef/>
      </w:r>
      <w:r>
        <w:t xml:space="preserve"> Personal name: Helkai. Personal-name meaning: Helkai — part; portion. Source form: Helkai.</w:t>
      </w:r>
    </w:p>
  </w:footnote>
  <w:footnote w:id="10103">
    <w:p>
      <w:pPr>
        <w:pStyle w:val="FootnoteText"/>
      </w:pPr>
      <w:r>
        <w:rPr>
          <w:rStyle w:val="FootnoteReference"/>
        </w:rPr>
        <w:footnoteRef/>
      </w:r>
      <w:r>
        <w:t xml:space="preserve"> Personal name: Ginnethon. Personal-name meaning: Ginnethon — garden. Source form: Ginnethon.</w:t>
      </w:r>
    </w:p>
  </w:footnote>
  <w:footnote w:id="10104">
    <w:p>
      <w:pPr>
        <w:pStyle w:val="FootnoteText"/>
      </w:pPr>
      <w:r>
        <w:rPr>
          <w:rStyle w:val="FootnoteReference"/>
        </w:rPr>
        <w:footnoteRef/>
      </w:r>
      <w:r>
        <w:t xml:space="preserve"> Cross-references for "Ginnethon": Neh 12:4.</w:t>
      </w:r>
    </w:p>
  </w:footnote>
  <w:footnote w:id="10105">
    <w:p>
      <w:pPr>
        <w:pStyle w:val="FootnoteText"/>
      </w:pPr>
      <w:r>
        <w:rPr>
          <w:rStyle w:val="FootnoteReference"/>
        </w:rPr>
        <w:footnoteRef/>
      </w:r>
      <w:r>
        <w:t xml:space="preserve"> Personal name: Piltai. Personal-name meaning: Piltai — Yahweh delivers; my escape. Source form: Piltai.</w:t>
      </w:r>
    </w:p>
  </w:footnote>
  <w:footnote w:id="10106">
    <w:p>
      <w:pPr>
        <w:pStyle w:val="FootnoteText"/>
      </w:pPr>
      <w:r>
        <w:rPr>
          <w:rStyle w:val="FootnoteReference"/>
        </w:rPr>
        <w:footnoteRef/>
      </w:r>
      <w:r>
        <w:t xml:space="preserve"> Cross-references for "Shemaiah": Neh 12:6.</w:t>
      </w:r>
    </w:p>
  </w:footnote>
  <w:footnote w:id="10107">
    <w:p>
      <w:pPr>
        <w:pStyle w:val="FootnoteText"/>
      </w:pPr>
      <w:r>
        <w:rPr>
          <w:rStyle w:val="FootnoteReference"/>
        </w:rPr>
        <w:footnoteRef/>
      </w:r>
      <w:r>
        <w:t xml:space="preserve"> Cross-references for "Sallai": Neh 12:7.</w:t>
      </w:r>
    </w:p>
  </w:footnote>
  <w:footnote w:id="10108">
    <w:p>
      <w:pPr>
        <w:pStyle w:val="FootnoteText"/>
      </w:pPr>
      <w:r>
        <w:rPr>
          <w:rStyle w:val="FootnoteReference"/>
        </w:rPr>
        <w:footnoteRef/>
      </w:r>
      <w:r>
        <w:t xml:space="preserve"> Personal name: Kallai. Personal-name meaning: Kallai — light; resting by fire; my voice. Source form: Kallai.</w:t>
      </w:r>
    </w:p>
  </w:footnote>
  <w:footnote w:id="10109">
    <w:p>
      <w:pPr>
        <w:pStyle w:val="FootnoteText"/>
      </w:pPr>
      <w:r>
        <w:rPr>
          <w:rStyle w:val="FootnoteReference"/>
        </w:rPr>
        <w:footnoteRef/>
      </w:r>
      <w:r>
        <w:t xml:space="preserve"> Personal name: Amok. Personal-name meaning: Amok — a valley; a depth. Source form: Amok.</w:t>
      </w:r>
    </w:p>
  </w:footnote>
  <w:footnote w:id="10110">
    <w:p>
      <w:pPr>
        <w:pStyle w:val="FootnoteText"/>
      </w:pPr>
      <w:r>
        <w:rPr>
          <w:rStyle w:val="FootnoteReference"/>
        </w:rPr>
        <w:footnoteRef/>
      </w:r>
      <w:r>
        <w:t xml:space="preserve"> Cross-references for "Eliashib": Neh 12:10-11.</w:t>
      </w:r>
    </w:p>
  </w:footnote>
  <w:footnote w:id="10111">
    <w:p>
      <w:pPr>
        <w:pStyle w:val="FootnoteText"/>
      </w:pPr>
      <w:r>
        <w:rPr>
          <w:rStyle w:val="FootnoteReference"/>
        </w:rPr>
        <w:footnoteRef/>
      </w:r>
      <w:r>
        <w:t xml:space="preserve"> People-name: Persian. People-name meaning: Persian — that cuts or divides; a nail; a gryphon; a horseman. Source form: Persian.</w:t>
      </w:r>
    </w:p>
  </w:footnote>
  <w:footnote w:id="10112">
    <w:p>
      <w:pPr>
        <w:pStyle w:val="FootnoteText"/>
      </w:pPr>
      <w:r>
        <w:rPr>
          <w:rStyle w:val="FootnoteReference"/>
        </w:rPr>
        <w:footnoteRef/>
      </w:r>
      <w:r>
        <w:t xml:space="preserve"> Cross-references for "the book": 1Chr 9:14-44.</w:t>
      </w:r>
    </w:p>
  </w:footnote>
  <w:footnote w:id="10113">
    <w:p>
      <w:pPr>
        <w:pStyle w:val="FootnoteText"/>
      </w:pPr>
      <w:r>
        <w:rPr>
          <w:rStyle w:val="FootnoteReference"/>
        </w:rPr>
        <w:footnoteRef/>
      </w:r>
      <w:r>
        <w:t xml:space="preserve"> Cross-references for "Hashabiah": Neh 8:7; Neh 9:4.</w:t>
      </w:r>
    </w:p>
  </w:footnote>
  <w:footnote w:id="10114">
    <w:p>
      <w:pPr>
        <w:pStyle w:val="FootnoteText"/>
      </w:pPr>
      <w:r>
        <w:rPr>
          <w:rStyle w:val="FootnoteReference"/>
        </w:rPr>
        <w:footnoteRef/>
      </w:r>
      <w:r>
        <w:t xml:space="preserve"> Translation note: Greek says to hymn and praise, course by course.</w:t>
      </w:r>
    </w:p>
  </w:footnote>
  <w:footnote w:id="10115">
    <w:p>
      <w:pPr>
        <w:pStyle w:val="FootnoteText"/>
      </w:pPr>
      <w:r>
        <w:rPr>
          <w:rStyle w:val="FootnoteReference"/>
        </w:rPr>
        <w:footnoteRef/>
      </w:r>
      <w:r>
        <w:t xml:space="preserve"> MT/LXX note: The Septuagint places a first-person gathering note here rather than the Masoretic gatekeeper list. The translation follows the Greek content.</w:t>
      </w:r>
    </w:p>
  </w:footnote>
  <w:footnote w:id="10116">
    <w:p>
      <w:pPr>
        <w:pStyle w:val="FootnoteText"/>
      </w:pPr>
      <w:r>
        <w:rPr>
          <w:rStyle w:val="FootnoteReference"/>
        </w:rPr>
        <w:footnoteRef/>
      </w:r>
      <w:r>
        <w:t xml:space="preserve"> Cross-references for "Joiakim": Neh 12:10.</w:t>
      </w:r>
    </w:p>
  </w:footnote>
  <w:footnote w:id="10117">
    <w:p>
      <w:pPr>
        <w:pStyle w:val="FootnoteText"/>
      </w:pPr>
      <w:r>
        <w:rPr>
          <w:rStyle w:val="FootnoteReference"/>
        </w:rPr>
        <w:footnoteRef/>
      </w:r>
      <w:r>
        <w:t xml:space="preserve"> Cross-references for "the dedication": Deut 20:5; Ps 30:1.</w:t>
      </w:r>
    </w:p>
  </w:footnote>
  <w:footnote w:id="10118">
    <w:p>
      <w:pPr>
        <w:pStyle w:val="FootnoteText"/>
      </w:pPr>
      <w:r>
        <w:rPr>
          <w:rStyle w:val="FootnoteReference"/>
        </w:rPr>
        <w:footnoteRef/>
      </w:r>
      <w:r>
        <w:t xml:space="preserve"> Cross-references for "themselves": Gen 35:2; Exod 19:10.</w:t>
      </w:r>
    </w:p>
  </w:footnote>
  <w:footnote w:id="10119">
    <w:p>
      <w:pPr>
        <w:pStyle w:val="FootnoteText"/>
      </w:pPr>
      <w:r>
        <w:rPr>
          <w:rStyle w:val="FootnoteReference"/>
        </w:rPr>
        <w:footnoteRef/>
      </w:r>
      <w:r>
        <w:t xml:space="preserve"> Cross-references for "two great": Neh 12:38; Neh 12:40.</w:t>
      </w:r>
    </w:p>
  </w:footnote>
  <w:footnote w:id="10120">
    <w:p>
      <w:pPr>
        <w:pStyle w:val="FootnoteText"/>
      </w:pPr>
      <w:r>
        <w:rPr>
          <w:rStyle w:val="FootnoteReference"/>
        </w:rPr>
        <w:footnoteRef/>
      </w:r>
      <w:r>
        <w:t xml:space="preserve"> Personal name: Hoshaiah. Personal-name meaning: Hoshaiah — the salvation of the Lord. Source form: Hoshaiah.</w:t>
      </w:r>
    </w:p>
  </w:footnote>
  <w:footnote w:id="10121">
    <w:p>
      <w:pPr>
        <w:pStyle w:val="FootnoteText"/>
      </w:pPr>
      <w:r>
        <w:rPr>
          <w:rStyle w:val="FootnoteReference"/>
        </w:rPr>
        <w:footnoteRef/>
      </w:r>
      <w:r>
        <w:t xml:space="preserve"> Cross-references for "Azariah": Neh 10:2-7.</w:t>
      </w:r>
    </w:p>
  </w:footnote>
  <w:footnote w:id="10122">
    <w:p>
      <w:pPr>
        <w:pStyle w:val="FootnoteText"/>
      </w:pPr>
      <w:r>
        <w:rPr>
          <w:rStyle w:val="FootnoteReference"/>
        </w:rPr>
        <w:footnoteRef/>
      </w:r>
      <w:r>
        <w:t xml:space="preserve"> Cross-references for "with trumpets": Num 10:2-10; Josh 6:4.</w:t>
      </w:r>
    </w:p>
  </w:footnote>
  <w:footnote w:id="10123">
    <w:p>
      <w:pPr>
        <w:pStyle w:val="FootnoteText"/>
      </w:pPr>
      <w:r>
        <w:rPr>
          <w:rStyle w:val="FootnoteReference"/>
        </w:rPr>
        <w:footnoteRef/>
      </w:r>
      <w:r>
        <w:t xml:space="preserve"> Cross-references for "Ezra": Ezra 7:1; Ezra 8:1.</w:t>
      </w:r>
    </w:p>
  </w:footnote>
  <w:footnote w:id="10124">
    <w:p>
      <w:pPr>
        <w:pStyle w:val="FootnoteText"/>
      </w:pPr>
      <w:r>
        <w:rPr>
          <w:rStyle w:val="FootnoteReference"/>
        </w:rPr>
        <w:footnoteRef/>
      </w:r>
      <w:r>
        <w:t xml:space="preserve"> Cross-references for "Water Gate": Neh 3:26; Neh 8:1.</w:t>
      </w:r>
    </w:p>
  </w:footnote>
  <w:footnote w:id="10125">
    <w:p>
      <w:pPr>
        <w:pStyle w:val="FootnoteText"/>
      </w:pPr>
      <w:r>
        <w:rPr>
          <w:rStyle w:val="FootnoteReference"/>
        </w:rPr>
        <w:footnoteRef/>
      </w:r>
      <w:r>
        <w:t xml:space="preserve"> Cross-references for "Tower": Neh 3:11.</w:t>
      </w:r>
    </w:p>
  </w:footnote>
  <w:footnote w:id="10126">
    <w:p>
      <w:pPr>
        <w:pStyle w:val="FootnoteText"/>
      </w:pPr>
      <w:r>
        <w:rPr>
          <w:rStyle w:val="FootnoteReference"/>
        </w:rPr>
        <w:footnoteRef/>
      </w:r>
      <w:r>
        <w:t xml:space="preserve"> Cross-references for "the Gate of Ephraim": 2Kgs 14:13; Neh 8:16.</w:t>
      </w:r>
    </w:p>
  </w:footnote>
  <w:footnote w:id="10127">
    <w:p>
      <w:pPr>
        <w:pStyle w:val="FootnoteText"/>
      </w:pPr>
      <w:r>
        <w:rPr>
          <w:rStyle w:val="FootnoteReference"/>
        </w:rPr>
        <w:footnoteRef/>
      </w:r>
      <w:r>
        <w:t xml:space="preserve"> Cross-references for "with trumpets": Neh 12:35.</w:t>
      </w:r>
    </w:p>
  </w:footnote>
  <w:footnote w:id="10128">
    <w:p>
      <w:pPr>
        <w:pStyle w:val="FootnoteText"/>
      </w:pPr>
      <w:r>
        <w:rPr>
          <w:rStyle w:val="FootnoteReference"/>
        </w:rPr>
        <w:footnoteRef/>
      </w:r>
      <w:r>
        <w:t xml:space="preserve"> Translation note: Greek says treasury-rooms here. Current line keeps that wording.</w:t>
      </w:r>
    </w:p>
  </w:footnote>
  <w:footnote w:id="10129">
    <w:p>
      <w:pPr>
        <w:pStyle w:val="FootnoteText"/>
      </w:pPr>
      <w:r>
        <w:rPr>
          <w:rStyle w:val="FootnoteReference"/>
        </w:rPr>
        <w:footnoteRef/>
      </w:r>
      <w:r>
        <w:t xml:space="preserve"> Cross-references for "Zerubbabel": Neh 12:1; Neh 12:12.</w:t>
      </w:r>
    </w:p>
  </w:footnote>
  <w:footnote w:id="10130">
    <w:p>
      <w:pPr>
        <w:pStyle w:val="FootnoteText"/>
      </w:pPr>
      <w:r>
        <w:rPr>
          <w:rStyle w:val="FootnoteReference"/>
        </w:rPr>
        <w:footnoteRef/>
      </w:r>
      <w:r>
        <w:t xml:space="preserve"> Translation note: Greek says matter of each day on its day here. Current line keeps that wording.</w:t>
      </w:r>
    </w:p>
  </w:footnote>
  <w:footnote w:id="10131">
    <w:p>
      <w:pPr>
        <w:pStyle w:val="FootnoteText"/>
      </w:pPr>
      <w:r>
        <w:rPr>
          <w:rStyle w:val="FootnoteReference"/>
        </w:rPr>
        <w:footnoteRef/>
      </w:r>
      <w:r>
        <w:t xml:space="preserve"> Cross-references for "hired Balaam": Num 22:3-6; Josh 24:9-10.</w:t>
      </w:r>
    </w:p>
  </w:footnote>
  <w:footnote w:id="10132">
    <w:p>
      <w:pPr>
        <w:pStyle w:val="FootnoteText"/>
      </w:pPr>
      <w:r>
        <w:rPr>
          <w:rStyle w:val="FootnoteReference"/>
        </w:rPr>
        <w:footnoteRef/>
      </w:r>
      <w:r>
        <w:t xml:space="preserve"> Cross-references for "when they": Ps 19:7-11; Ps 119:9.</w:t>
      </w:r>
    </w:p>
  </w:footnote>
  <w:footnote w:id="10133">
    <w:p>
      <w:pPr>
        <w:pStyle w:val="FootnoteText"/>
      </w:pPr>
      <w:r>
        <w:rPr>
          <w:rStyle w:val="FootnoteReference"/>
        </w:rPr>
        <w:footnoteRef/>
      </w:r>
      <w:r>
        <w:t xml:space="preserve"> Cross-references for "Eliashib": Neh 12:10; Neh 13:7.</w:t>
      </w:r>
    </w:p>
  </w:footnote>
  <w:footnote w:id="10134">
    <w:p>
      <w:pPr>
        <w:pStyle w:val="FootnoteText"/>
      </w:pPr>
      <w:r>
        <w:rPr>
          <w:rStyle w:val="FootnoteReference"/>
        </w:rPr>
        <w:footnoteRef/>
      </w:r>
      <w:r>
        <w:t xml:space="preserve"> Translation note: Greek says treasury-room and manna here. Current line keeps that wording.</w:t>
      </w:r>
    </w:p>
  </w:footnote>
  <w:footnote w:id="10135">
    <w:p>
      <w:pPr>
        <w:pStyle w:val="FootnoteText"/>
      </w:pPr>
      <w:r>
        <w:rPr>
          <w:rStyle w:val="FootnoteReference"/>
        </w:rPr>
        <w:footnoteRef/>
      </w:r>
      <w:r>
        <w:t xml:space="preserve"> Cross-references for "a great": 2Chr 34:11; Neh 10:38.</w:t>
      </w:r>
    </w:p>
  </w:footnote>
  <w:footnote w:id="10136">
    <w:p>
      <w:pPr>
        <w:pStyle w:val="FootnoteText"/>
      </w:pPr>
      <w:r>
        <w:rPr>
          <w:rStyle w:val="FootnoteReference"/>
        </w:rPr>
        <w:footnoteRef/>
      </w:r>
      <w:r>
        <w:t xml:space="preserve"> Cross-references for "understood": Ezra 9:1; 1Cor 1:11.</w:t>
      </w:r>
    </w:p>
  </w:footnote>
  <w:footnote w:id="10137">
    <w:p>
      <w:pPr>
        <w:pStyle w:val="FootnoteText"/>
      </w:pPr>
      <w:r>
        <w:rPr>
          <w:rStyle w:val="FootnoteReference"/>
        </w:rPr>
        <w:footnoteRef/>
      </w:r>
      <w:r>
        <w:t xml:space="preserve"> Translation note: Greek frames the reform issue with withheld portions. Current wording preserves it.</w:t>
      </w:r>
    </w:p>
  </w:footnote>
  <w:footnote w:id="10138">
    <w:p>
      <w:pPr>
        <w:pStyle w:val="FootnoteText"/>
      </w:pPr>
      <w:r>
        <w:rPr>
          <w:rStyle w:val="FootnoteReference"/>
        </w:rPr>
        <w:footnoteRef/>
      </w:r>
      <w:r>
        <w:t xml:space="preserve"> Cross-references for "contended": Neh 5:6-13; Neh 13:17.</w:t>
      </w:r>
    </w:p>
  </w:footnote>
  <w:footnote w:id="10139">
    <w:p>
      <w:pPr>
        <w:pStyle w:val="FootnoteText"/>
      </w:pPr>
      <w:r>
        <w:rPr>
          <w:rStyle w:val="FootnoteReference"/>
        </w:rPr>
        <w:footnoteRef/>
      </w:r>
      <w:r>
        <w:t xml:space="preserve"> Translation note: Greek gives Nehemiah's rebuke in direct question form. Current wording preserves it.</w:t>
      </w:r>
    </w:p>
  </w:footnote>
  <w:footnote w:id="10140">
    <w:p>
      <w:pPr>
        <w:pStyle w:val="FootnoteText"/>
      </w:pPr>
      <w:r>
        <w:rPr>
          <w:rStyle w:val="FootnoteReference"/>
        </w:rPr>
        <w:footnoteRef/>
      </w:r>
      <w:r>
        <w:t xml:space="preserve"> Cross-references for "brought": Lev 27:30; Num 18:20-26.</w:t>
      </w:r>
    </w:p>
  </w:footnote>
  <w:footnote w:id="10141">
    <w:p>
      <w:pPr>
        <w:pStyle w:val="FootnoteText"/>
      </w:pPr>
      <w:r>
        <w:rPr>
          <w:rStyle w:val="FootnoteReference"/>
        </w:rPr>
        <w:footnoteRef/>
      </w:r>
      <w:r>
        <w:t xml:space="preserve"> Translation note: Greek uses a hand-idiom for administrative oversight. The fresh line keeps that wording rather than fully smoothing it away.</w:t>
      </w:r>
    </w:p>
  </w:footnote>
  <w:footnote w:id="10142">
    <w:p>
      <w:pPr>
        <w:pStyle w:val="FootnoteText"/>
      </w:pPr>
      <w:r>
        <w:rPr>
          <w:rStyle w:val="FootnoteReference"/>
        </w:rPr>
        <w:footnoteRef/>
      </w:r>
      <w:r>
        <w:t xml:space="preserve"> Cross-references for "Shelemiah": Neh 3:30.</w:t>
      </w:r>
    </w:p>
  </w:footnote>
  <w:footnote w:id="10143">
    <w:p>
      <w:pPr>
        <w:pStyle w:val="FootnoteText"/>
      </w:pPr>
      <w:r>
        <w:rPr>
          <w:rStyle w:val="FootnoteReference"/>
        </w:rPr>
        <w:footnoteRef/>
      </w:r>
      <w:r>
        <w:t xml:space="preserve"> Cross-references for "Remember me": Neh 5:19; Neh 13:22.</w:t>
      </w:r>
    </w:p>
  </w:footnote>
  <w:footnote w:id="10144">
    <w:p>
      <w:pPr>
        <w:pStyle w:val="FootnoteText"/>
      </w:pPr>
      <w:r>
        <w:rPr>
          <w:rStyle w:val="FootnoteReference"/>
        </w:rPr>
        <w:footnoteRef/>
      </w:r>
      <w:r>
        <w:t xml:space="preserve"> Translation note: Greek gives a concise testimony phrase here. The translation keeps that brevity.</w:t>
      </w:r>
    </w:p>
  </w:footnote>
  <w:footnote w:id="10145">
    <w:p>
      <w:pPr>
        <w:pStyle w:val="FootnoteText"/>
      </w:pPr>
      <w:r>
        <w:rPr>
          <w:rStyle w:val="FootnoteReference"/>
        </w:rPr>
        <w:footnoteRef/>
      </w:r>
      <w:r>
        <w:t xml:space="preserve"> Cross-references for "I testified": Deut 8:19; 2Chr 24:19.</w:t>
      </w:r>
    </w:p>
  </w:footnote>
  <w:footnote w:id="10146">
    <w:p>
      <w:pPr>
        <w:pStyle w:val="FootnoteText"/>
      </w:pPr>
      <w:r>
        <w:rPr>
          <w:rStyle w:val="FootnoteReference"/>
        </w:rPr>
        <w:footnoteRef/>
      </w:r>
      <w:r>
        <w:t xml:space="preserve"> Cross-references for "I contended": Neh 5:7; Neh 13:11.</w:t>
      </w:r>
    </w:p>
  </w:footnote>
  <w:footnote w:id="10147">
    <w:p>
      <w:pPr>
        <w:pStyle w:val="FootnoteText"/>
      </w:pPr>
      <w:r>
        <w:rPr>
          <w:rStyle w:val="FootnoteReference"/>
        </w:rPr>
        <w:footnoteRef/>
      </w:r>
      <w:r>
        <w:t xml:space="preserve"> Cross-references for "Did not your": Ezra 9:13-15; Jer 17:21-23.</w:t>
      </w:r>
    </w:p>
  </w:footnote>
  <w:footnote w:id="10148">
    <w:p>
      <w:pPr>
        <w:pStyle w:val="FootnoteText"/>
      </w:pPr>
      <w:r>
        <w:rPr>
          <w:rStyle w:val="FootnoteReference"/>
        </w:rPr>
        <w:footnoteRef/>
      </w:r>
      <w:r>
        <w:t xml:space="preserve"> Translation note: Greek says set before Sabbath here. Current line keeps that wording.</w:t>
      </w:r>
    </w:p>
  </w:footnote>
  <w:footnote w:id="10149">
    <w:p>
      <w:pPr>
        <w:pStyle w:val="FootnoteText"/>
      </w:pPr>
      <w:r>
        <w:rPr>
          <w:rStyle w:val="FootnoteReference"/>
        </w:rPr>
        <w:footnoteRef/>
      </w:r>
      <w:r>
        <w:t xml:space="preserve"> Cross-references for "I testified": Neh 13:15.</w:t>
      </w:r>
    </w:p>
  </w:footnote>
  <w:footnote w:id="10150">
    <w:p>
      <w:pPr>
        <w:pStyle w:val="FootnoteText"/>
      </w:pPr>
      <w:r>
        <w:rPr>
          <w:rStyle w:val="FootnoteReference"/>
        </w:rPr>
        <w:footnoteRef/>
      </w:r>
      <w:r>
        <w:t xml:space="preserve"> Cross-references for "sanctify": Deut 5:12.</w:t>
      </w:r>
    </w:p>
  </w:footnote>
  <w:footnote w:id="10151">
    <w:p>
      <w:pPr>
        <w:pStyle w:val="FootnoteText"/>
      </w:pPr>
      <w:r>
        <w:rPr>
          <w:rStyle w:val="FootnoteReference"/>
        </w:rPr>
        <w:footnoteRef/>
      </w:r>
      <w:r>
        <w:t xml:space="preserve"> Transliterated proper noun: Ashdodite. Standard English equivalent: Ashdod. Source form: Ashdodite. Name meaning: effusion; inclination; theft.</w:t>
      </w:r>
    </w:p>
  </w:footnote>
  <w:footnote w:id="10152">
    <w:p>
      <w:pPr>
        <w:pStyle w:val="FootnoteText"/>
      </w:pPr>
      <w:r>
        <w:rPr>
          <w:rStyle w:val="FootnoteReference"/>
        </w:rPr>
        <w:footnoteRef/>
      </w:r>
      <w:r>
        <w:t xml:space="preserve"> Cross-references for "I contended": Neh 13:11; Neh 13:17.</w:t>
      </w:r>
    </w:p>
  </w:footnote>
  <w:footnote w:id="10153">
    <w:p>
      <w:pPr>
        <w:pStyle w:val="FootnoteText"/>
      </w:pPr>
      <w:r>
        <w:rPr>
          <w:rStyle w:val="FootnoteReference"/>
        </w:rPr>
        <w:footnoteRef/>
      </w:r>
      <w:r>
        <w:t xml:space="preserve"> Cross-references for "Did not Solomon": 1Kgs 11:1-8; Eccl 7:26.</w:t>
      </w:r>
    </w:p>
  </w:footnote>
  <w:footnote w:id="10154">
    <w:p>
      <w:pPr>
        <w:pStyle w:val="FootnoteText"/>
      </w:pPr>
      <w:r>
        <w:rPr>
          <w:rStyle w:val="FootnoteReference"/>
        </w:rPr>
        <w:footnoteRef/>
      </w:r>
      <w:r>
        <w:t xml:space="preserve"> Translation note: Greek says loved by God here. Current line keeps that wording.</w:t>
      </w:r>
    </w:p>
  </w:footnote>
  <w:footnote w:id="10155">
    <w:p>
      <w:pPr>
        <w:pStyle w:val="FootnoteText"/>
      </w:pPr>
      <w:r>
        <w:rPr>
          <w:rStyle w:val="FootnoteReference"/>
        </w:rPr>
        <w:footnoteRef/>
      </w:r>
      <w:r>
        <w:t xml:space="preserve"> Cross-references for "Joiada": Neh 12:10; Neh 12:22.</w:t>
      </w:r>
    </w:p>
  </w:footnote>
  <w:footnote w:id="10156">
    <w:p>
      <w:pPr>
        <w:pStyle w:val="FootnoteText"/>
      </w:pPr>
      <w:r>
        <w:rPr>
          <w:rStyle w:val="FootnoteReference"/>
        </w:rPr>
        <w:footnoteRef/>
      </w:r>
      <w:r>
        <w:t xml:space="preserve"> Translation note: Greek ends with Nehemiah's personal expulsion line. Current wording preserves that blunt close.</w:t>
      </w:r>
    </w:p>
  </w:footnote>
  <w:footnote w:id="10157">
    <w:p>
      <w:pPr>
        <w:pStyle w:val="FootnoteText"/>
      </w:pPr>
      <w:r>
        <w:rPr>
          <w:rStyle w:val="FootnoteReference"/>
        </w:rPr>
        <w:footnoteRef/>
      </w:r>
      <w:r>
        <w:t xml:space="preserve"> Cross-references for "Remember": Neh 6:14; Ps 59:5-13.</w:t>
      </w:r>
    </w:p>
  </w:footnote>
  <w:footnote w:id="10158">
    <w:p>
      <w:pPr>
        <w:pStyle w:val="FootnoteText"/>
      </w:pPr>
      <w:r>
        <w:rPr>
          <w:rStyle w:val="FootnoteReference"/>
        </w:rPr>
        <w:footnoteRef/>
      </w:r>
      <w:r>
        <w:t xml:space="preserve"> Cross-references for "the wood": Neh 10:34.</w:t>
      </w:r>
    </w:p>
  </w:footnote>
  <w:footnote w:id="10159">
    <w:p>
      <w:pPr>
        <w:pStyle w:val="FootnoteText"/>
      </w:pPr>
      <w:r>
        <w:rPr>
          <w:rStyle w:val="FootnoteReference"/>
        </w:rPr>
        <w:footnoteRef/>
      </w:r>
      <w:r>
        <w:t xml:space="preserve"> Name meaning: Artaxerxes (Artakhshassa) — Whose rule is truth. Persian royal name prominent in Esther and Ezra-Nehemiah settings.</w:t>
      </w:r>
    </w:p>
  </w:footnote>
  <w:footnote w:id="10160">
    <w:p>
      <w:pPr>
        <w:pStyle w:val="FootnoteText"/>
      </w:pPr>
      <w:r>
        <w:rPr>
          <w:rStyle w:val="FootnoteReference"/>
        </w:rPr>
        <w:footnoteRef/>
      </w:r>
      <w:r>
        <w:t xml:space="preserve"> Place name: India. Place-name meaning: India — praise; law. Source form: India. Greek form: ινδικης.</w:t>
      </w:r>
    </w:p>
  </w:footnote>
  <w:footnote w:id="10161">
    <w:p>
      <w:pPr>
        <w:pStyle w:val="FootnoteText"/>
      </w:pPr>
      <w:r>
        <w:rPr>
          <w:rStyle w:val="FootnoteReference"/>
        </w:rPr>
        <w:footnoteRef/>
      </w:r>
      <w:r>
        <w:t xml:space="preserve"> Cross-references for "from India": Isa 18:1; Isa 37:9.</w:t>
      </w:r>
    </w:p>
  </w:footnote>
  <w:footnote w:id="10162">
    <w:p>
      <w:pPr>
        <w:pStyle w:val="FootnoteText"/>
      </w:pPr>
      <w:r>
        <w:rPr>
          <w:rStyle w:val="FootnoteReference"/>
        </w:rPr>
        <w:footnoteRef/>
      </w:r>
      <w:r>
        <w:t xml:space="preserve"> Cross-references for "Shushan": Neh 1:1; Dan 8:2.</w:t>
      </w:r>
    </w:p>
  </w:footnote>
  <w:footnote w:id="10163">
    <w:p>
      <w:pPr>
        <w:pStyle w:val="FootnoteText"/>
      </w:pPr>
      <w:r>
        <w:rPr>
          <w:rStyle w:val="FootnoteReference"/>
        </w:rPr>
        <w:footnoteRef/>
      </w:r>
      <w:r>
        <w:t xml:space="preserve"> Cross-references for "he made": Gen 40:20; 1Kgs 3:15.</w:t>
      </w:r>
    </w:p>
  </w:footnote>
  <w:footnote w:id="10164">
    <w:p>
      <w:pPr>
        <w:pStyle w:val="FootnoteText"/>
      </w:pPr>
      <w:r>
        <w:rPr>
          <w:rStyle w:val="FootnoteReference"/>
        </w:rPr>
        <w:footnoteRef/>
      </w:r>
      <w:r>
        <w:t xml:space="preserve"> Place name: Media. Place-name meaning: Media — measure; habit; covering. Source form: Media. Greek form: μηδων.</w:t>
      </w:r>
    </w:p>
  </w:footnote>
  <w:footnote w:id="10165">
    <w:p>
      <w:pPr>
        <w:pStyle w:val="FootnoteText"/>
      </w:pPr>
      <w:r>
        <w:rPr>
          <w:rStyle w:val="FootnoteReference"/>
        </w:rPr>
        <w:footnoteRef/>
      </w:r>
      <w:r>
        <w:t xml:space="preserve"> Personal name: Vashti. Personal-name meaning: Vashti — that drinks; thread. Source form: Vashti.</w:t>
      </w:r>
    </w:p>
  </w:footnote>
  <w:footnote w:id="10166">
    <w:p>
      <w:pPr>
        <w:pStyle w:val="FootnoteText"/>
      </w:pPr>
      <w:r>
        <w:rPr>
          <w:rStyle w:val="FootnoteReference"/>
        </w:rPr>
        <w:footnoteRef/>
      </w:r>
      <w:r>
        <w:t xml:space="preserve"> Cross-references for "the queen": Esth 5:4; Esth 5:8.</w:t>
      </w:r>
    </w:p>
  </w:footnote>
  <w:footnote w:id="10167">
    <w:p>
      <w:pPr>
        <w:pStyle w:val="FootnoteText"/>
      </w:pPr>
      <w:r>
        <w:rPr>
          <w:rStyle w:val="FootnoteReference"/>
        </w:rPr>
        <w:footnoteRef/>
      </w:r>
      <w:r>
        <w:t xml:space="preserve"> Personal name: Tharra. Personal-name meaning: Teresh — strict; severe. Standard English equivalent: Teresh. Source form: Tharra.</w:t>
      </w:r>
    </w:p>
  </w:footnote>
  <w:footnote w:id="10168">
    <w:p>
      <w:pPr>
        <w:pStyle w:val="FootnoteText"/>
      </w:pPr>
      <w:r>
        <w:rPr>
          <w:rStyle w:val="FootnoteReference"/>
        </w:rPr>
        <w:footnoteRef/>
      </w:r>
      <w:r>
        <w:t xml:space="preserve"> Personal name: Bigtha. Personal-name meaning: Bigtha — given by fortune. Source form: Bigtha.</w:t>
      </w:r>
    </w:p>
  </w:footnote>
  <w:footnote w:id="10169">
    <w:p>
      <w:pPr>
        <w:pStyle w:val="FootnoteText"/>
      </w:pPr>
      <w:r>
        <w:rPr>
          <w:rStyle w:val="FootnoteReference"/>
        </w:rPr>
        <w:footnoteRef/>
      </w:r>
      <w:r>
        <w:t xml:space="preserve"> Personal name: Abagtha. Personal-name meaning: Abagtha — father of the wine-press. Source form: Abagtha.</w:t>
      </w:r>
    </w:p>
  </w:footnote>
  <w:footnote w:id="10170">
    <w:p>
      <w:pPr>
        <w:pStyle w:val="FootnoteText"/>
      </w:pPr>
      <w:r>
        <w:rPr>
          <w:rStyle w:val="FootnoteReference"/>
        </w:rPr>
        <w:footnoteRef/>
      </w:r>
      <w:r>
        <w:t xml:space="preserve"> Translation note: The Greek uses a compact court formula here. The current wording keeps both law and judgment visible.</w:t>
      </w:r>
    </w:p>
  </w:footnote>
  <w:footnote w:id="10171">
    <w:p>
      <w:pPr>
        <w:pStyle w:val="FootnoteText"/>
      </w:pPr>
      <w:r>
        <w:rPr>
          <w:rStyle w:val="FootnoteReference"/>
        </w:rPr>
        <w:footnoteRef/>
      </w:r>
      <w:r>
        <w:t xml:space="preserve"> Personal name: Marsena. Personal-name meaning: Marsena — bitterness of a bramble. Source form: Marsena.</w:t>
      </w:r>
    </w:p>
  </w:footnote>
  <w:footnote w:id="10172">
    <w:p>
      <w:pPr>
        <w:pStyle w:val="FootnoteText"/>
      </w:pPr>
      <w:r>
        <w:rPr>
          <w:rStyle w:val="FootnoteReference"/>
        </w:rPr>
        <w:footnoteRef/>
      </w:r>
      <w:r>
        <w:t xml:space="preserve"> Personal name: Memucan. Personal-name meaning: Memucan — impoverished; to prepare; certain; true. Source form: Memucan.</w:t>
      </w:r>
    </w:p>
  </w:footnote>
  <w:footnote w:id="10173">
    <w:p>
      <w:pPr>
        <w:pStyle w:val="FootnoteText"/>
      </w:pPr>
      <w:r>
        <w:rPr>
          <w:rStyle w:val="FootnoteReference"/>
        </w:rPr>
        <w:footnoteRef/>
      </w:r>
      <w:r>
        <w:t xml:space="preserve"> Translation note: The Greek uses honor language directly. The current wording preserves that line.</w:t>
      </w:r>
    </w:p>
  </w:footnote>
  <w:footnote w:id="10174">
    <w:p>
      <w:pPr>
        <w:pStyle w:val="FootnoteText"/>
      </w:pPr>
      <w:r>
        <w:rPr>
          <w:rStyle w:val="FootnoteReference"/>
        </w:rPr>
        <w:footnoteRef/>
      </w:r>
      <w:r>
        <w:t xml:space="preserve"> Cross-references for "pleased the king": Gen 41:37; Esth 1:19.</w:t>
      </w:r>
    </w:p>
  </w:footnote>
  <w:footnote w:id="10175">
    <w:p>
      <w:pPr>
        <w:pStyle w:val="FootnoteText"/>
      </w:pPr>
      <w:r>
        <w:rPr>
          <w:rStyle w:val="FootnoteReference"/>
        </w:rPr>
        <w:footnoteRef/>
      </w:r>
      <w:r>
        <w:t xml:space="preserve"> Transliterated proper noun: Jewish. Standard English equivalent: Jew. Source form: Jewish. Greek form: ιουδαιος. Name meaning: praised one; one from Judah.</w:t>
      </w:r>
    </w:p>
  </w:footnote>
  <w:footnote w:id="10176">
    <w:p>
      <w:pPr>
        <w:pStyle w:val="FootnoteText"/>
      </w:pPr>
      <w:r>
        <w:rPr>
          <w:rStyle w:val="FootnoteReference"/>
        </w:rPr>
        <w:footnoteRef/>
      </w:r>
      <w:r>
        <w:t xml:space="preserve"> Cross-references for "Shushan": Esth 1:2; Esth 2:3.</w:t>
      </w:r>
    </w:p>
  </w:footnote>
  <w:footnote w:id="10177">
    <w:p>
      <w:pPr>
        <w:pStyle w:val="FootnoteText"/>
      </w:pPr>
      <w:r>
        <w:rPr>
          <w:rStyle w:val="FootnoteReference"/>
        </w:rPr>
        <w:footnoteRef/>
      </w:r>
      <w:r>
        <w:t xml:space="preserve"> Name meaning: Mordecai (Mordecai) — Little man; pure myrrh. Humble servant who refused to bow to Haman.</w:t>
      </w:r>
    </w:p>
  </w:footnote>
  <w:footnote w:id="10178">
    <w:p>
      <w:pPr>
        <w:pStyle w:val="FootnoteText"/>
      </w:pPr>
      <w:r>
        <w:rPr>
          <w:rStyle w:val="FootnoteReference"/>
        </w:rPr>
        <w:footnoteRef/>
      </w:r>
      <w:r>
        <w:t xml:space="preserve"> Name meaning: Mardochaios (Mordecai) — Little man; possibly devoted to Marduk. Greek form used for Mordecai, Esther's cousin and guardian.</w:t>
      </w:r>
    </w:p>
  </w:footnote>
  <w:footnote w:id="10179">
    <w:p>
      <w:pPr>
        <w:pStyle w:val="FootnoteText"/>
      </w:pPr>
      <w:r>
        <w:rPr>
          <w:rStyle w:val="FootnoteReference"/>
        </w:rPr>
        <w:footnoteRef/>
      </w:r>
      <w:r>
        <w:t xml:space="preserve"> Name meaning: Esther (Hadassah) — Star; myrtle. Hidden like a star; saved her people.</w:t>
      </w:r>
    </w:p>
  </w:footnote>
  <w:footnote w:id="10180">
    <w:p>
      <w:pPr>
        <w:pStyle w:val="FootnoteText"/>
      </w:pPr>
      <w:r>
        <w:rPr>
          <w:rStyle w:val="FootnoteReference"/>
        </w:rPr>
        <w:footnoteRef/>
      </w:r>
      <w:r>
        <w:t xml:space="preserve"> Personal name: Hegai. Personal-name meaning: Hegai — meditation; word; groaning; separation. Source form: Hegai.</w:t>
      </w:r>
    </w:p>
  </w:footnote>
  <w:footnote w:id="10181">
    <w:p>
      <w:pPr>
        <w:pStyle w:val="FootnoteText"/>
      </w:pPr>
      <w:r>
        <w:rPr>
          <w:rStyle w:val="FootnoteReference"/>
        </w:rPr>
        <w:footnoteRef/>
      </w:r>
      <w:r>
        <w:t xml:space="preserve"> Cross-references for "Hegai": Esth 2:3.</w:t>
      </w:r>
    </w:p>
  </w:footnote>
  <w:footnote w:id="10182">
    <w:p>
      <w:pPr>
        <w:pStyle w:val="FootnoteText"/>
      </w:pPr>
      <w:r>
        <w:rPr>
          <w:rStyle w:val="FootnoteReference"/>
        </w:rPr>
        <w:footnoteRef/>
      </w:r>
      <w:r>
        <w:t xml:space="preserve"> Cross-references for "for Mordecai": Eph 6:1; Esth 2:7.</w:t>
      </w:r>
    </w:p>
  </w:footnote>
  <w:footnote w:id="10183">
    <w:p>
      <w:pPr>
        <w:pStyle w:val="FootnoteText"/>
      </w:pPr>
      <w:r>
        <w:rPr>
          <w:rStyle w:val="FootnoteReference"/>
        </w:rPr>
        <w:footnoteRef/>
      </w:r>
      <w:r>
        <w:t xml:space="preserve"> Cross-references for "walked": Esth 2:13-14.</w:t>
      </w:r>
    </w:p>
  </w:footnote>
  <w:footnote w:id="10184">
    <w:p>
      <w:pPr>
        <w:pStyle w:val="FootnoteText"/>
      </w:pPr>
      <w:r>
        <w:rPr>
          <w:rStyle w:val="FootnoteReference"/>
        </w:rPr>
        <w:footnoteRef/>
      </w:r>
      <w:r>
        <w:t xml:space="preserve"> Cross-references for "to go in": 1Thess 4:4-5.</w:t>
      </w:r>
    </w:p>
  </w:footnote>
  <w:footnote w:id="10185">
    <w:p>
      <w:pPr>
        <w:pStyle w:val="FootnoteText"/>
      </w:pPr>
      <w:r>
        <w:rPr>
          <w:rStyle w:val="FootnoteReference"/>
        </w:rPr>
        <w:footnoteRef/>
      </w:r>
      <w:r>
        <w:t xml:space="preserve"> Translation note: The Greek speaks of a fixed treatment period. The current wording keeps that line explicit.</w:t>
      </w:r>
    </w:p>
  </w:footnote>
  <w:footnote w:id="10186">
    <w:p>
      <w:pPr>
        <w:pStyle w:val="FootnoteText"/>
      </w:pPr>
      <w:r>
        <w:rPr>
          <w:rStyle w:val="FootnoteReference"/>
        </w:rPr>
        <w:footnoteRef/>
      </w:r>
      <w:r>
        <w:t xml:space="preserve"> Personal name: Shaashgaz. Personal-name meaning: Shaashgaz — he that presses the fleece; that shears the sheep. Source form: Shaashgaz.</w:t>
      </w:r>
    </w:p>
  </w:footnote>
  <w:footnote w:id="10187">
    <w:p>
      <w:pPr>
        <w:pStyle w:val="FootnoteText"/>
      </w:pPr>
      <w:r>
        <w:rPr>
          <w:rStyle w:val="FootnoteReference"/>
        </w:rPr>
        <w:footnoteRef/>
      </w:r>
      <w:r>
        <w:t xml:space="preserve"> Cross-references for "Esther": Song 6:9; Song 8:10.</w:t>
      </w:r>
    </w:p>
  </w:footnote>
  <w:footnote w:id="10188">
    <w:p>
      <w:pPr>
        <w:pStyle w:val="FootnoteText"/>
      </w:pPr>
      <w:r>
        <w:rPr>
          <w:rStyle w:val="FootnoteReference"/>
        </w:rPr>
        <w:footnoteRef/>
      </w:r>
      <w:r>
        <w:t xml:space="preserve"> Cross-references for "the seventh": Ezra 7:8; Esth 2:1.</w:t>
      </w:r>
    </w:p>
  </w:footnote>
  <w:footnote w:id="10189">
    <w:p>
      <w:pPr>
        <w:pStyle w:val="FootnoteText"/>
      </w:pPr>
      <w:r>
        <w:rPr>
          <w:rStyle w:val="FootnoteReference"/>
        </w:rPr>
        <w:footnoteRef/>
      </w:r>
      <w:r>
        <w:t xml:space="preserve"> Cross-references for "hanged": Gen 40:19; Gen 40:22.</w:t>
      </w:r>
    </w:p>
  </w:footnote>
  <w:footnote w:id="10190">
    <w:p>
      <w:pPr>
        <w:pStyle w:val="FootnoteText"/>
      </w:pPr>
      <w:r>
        <w:rPr>
          <w:rStyle w:val="FootnoteReference"/>
        </w:rPr>
        <w:footnoteRef/>
      </w:r>
      <w:r>
        <w:t xml:space="preserve"> Name meaning: Aman (Haman) — Magnificent; famous. Enemy of the Jews whose apparent greatness collapsed under providential reversal.</w:t>
      </w:r>
    </w:p>
  </w:footnote>
  <w:footnote w:id="10191">
    <w:p>
      <w:pPr>
        <w:pStyle w:val="FootnoteText"/>
      </w:pPr>
      <w:r>
        <w:rPr>
          <w:rStyle w:val="FootnoteReference"/>
        </w:rPr>
        <w:footnoteRef/>
      </w:r>
      <w:r>
        <w:t xml:space="preserve"> Personal name: Hammedatha. Personal-name meaning: Hammedatha — he that troubles the law. Source form: Hammedatha.</w:t>
      </w:r>
    </w:p>
  </w:footnote>
  <w:footnote w:id="10192">
    <w:p>
      <w:pPr>
        <w:pStyle w:val="FootnoteText"/>
      </w:pPr>
      <w:r>
        <w:rPr>
          <w:rStyle w:val="FootnoteReference"/>
        </w:rPr>
        <w:footnoteRef/>
      </w:r>
      <w:r>
        <w:t xml:space="preserve"> Transliterated proper noun: Agagite. Standard English equivalent: Agagite. Source form: Agagite. Greek form: αμαδαθου. Name meaning: descendant or follower of Agag; flame/violent one.</w:t>
      </w:r>
    </w:p>
  </w:footnote>
  <w:footnote w:id="10193">
    <w:p>
      <w:pPr>
        <w:pStyle w:val="FootnoteText"/>
      </w:pPr>
      <w:r>
        <w:rPr>
          <w:rStyle w:val="FootnoteReference"/>
        </w:rPr>
        <w:footnoteRef/>
      </w:r>
      <w:r>
        <w:t xml:space="preserve"> Cross-references for "Agagite": Num 24:7; 1Sam 15:8.</w:t>
      </w:r>
    </w:p>
  </w:footnote>
  <w:footnote w:id="10194">
    <w:p>
      <w:pPr>
        <w:pStyle w:val="FootnoteText"/>
      </w:pPr>
      <w:r>
        <w:rPr>
          <w:rStyle w:val="FootnoteReference"/>
        </w:rPr>
        <w:footnoteRef/>
      </w:r>
      <w:r>
        <w:t xml:space="preserve"> People-name: Jew. People-name meaning: Jew — praised one; one from Judah. Source form: Jew.</w:t>
      </w:r>
    </w:p>
  </w:footnote>
  <w:footnote w:id="10195">
    <w:p>
      <w:pPr>
        <w:pStyle w:val="FootnoteText"/>
      </w:pPr>
      <w:r>
        <w:rPr>
          <w:rStyle w:val="FootnoteReference"/>
        </w:rPr>
        <w:footnoteRef/>
      </w:r>
      <w:r>
        <w:t xml:space="preserve"> Cross-references for "that Mordecai": Esth 3:2; Esth 5:9.</w:t>
      </w:r>
    </w:p>
  </w:footnote>
  <w:footnote w:id="10196">
    <w:p>
      <w:pPr>
        <w:pStyle w:val="FootnoteText"/>
      </w:pPr>
      <w:r>
        <w:rPr>
          <w:rStyle w:val="FootnoteReference"/>
        </w:rPr>
        <w:footnoteRef/>
      </w:r>
      <w:r>
        <w:t xml:space="preserve"> Cross-references for "in the twelfth": Esth 1:3; Esth 2:16.</w:t>
      </w:r>
    </w:p>
  </w:footnote>
  <w:footnote w:id="10197">
    <w:p>
      <w:pPr>
        <w:pStyle w:val="FootnoteText"/>
      </w:pPr>
      <w:r>
        <w:rPr>
          <w:rStyle w:val="FootnoteReference"/>
        </w:rPr>
        <w:footnoteRef/>
      </w:r>
      <w:r>
        <w:t xml:space="preserve"> Cross-references for "their laws": Ezra 4:12-15; Acts 16:20-21.</w:t>
      </w:r>
    </w:p>
  </w:footnote>
  <w:footnote w:id="10198">
    <w:p>
      <w:pPr>
        <w:pStyle w:val="FootnoteText"/>
      </w:pPr>
      <w:r>
        <w:rPr>
          <w:rStyle w:val="FootnoteReference"/>
        </w:rPr>
        <w:footnoteRef/>
      </w:r>
      <w:r>
        <w:t xml:space="preserve"> Cross-references for "ten thousand": Matt 18:24.</w:t>
      </w:r>
    </w:p>
  </w:footnote>
  <w:footnote w:id="10199">
    <w:p>
      <w:pPr>
        <w:pStyle w:val="FootnoteText"/>
      </w:pPr>
      <w:r>
        <w:rPr>
          <w:rStyle w:val="FootnoteReference"/>
        </w:rPr>
        <w:footnoteRef/>
      </w:r>
      <w:r>
        <w:t xml:space="preserve"> Cross-references for "in one day": Jas 2:13; Esth 8:12-14.</w:t>
      </w:r>
    </w:p>
  </w:footnote>
  <w:footnote w:id="10200">
    <w:p>
      <w:pPr>
        <w:pStyle w:val="FootnoteText"/>
      </w:pPr>
      <w:r>
        <w:rPr>
          <w:rStyle w:val="FootnoteReference"/>
        </w:rPr>
        <w:footnoteRef/>
      </w:r>
      <w:r>
        <w:t xml:space="preserve"> Cross-references for "with ashes": Josh 7:6; 2Sam 13:19.</w:t>
      </w:r>
    </w:p>
  </w:footnote>
  <w:footnote w:id="10201">
    <w:p>
      <w:pPr>
        <w:pStyle w:val="FootnoteText"/>
      </w:pPr>
      <w:r>
        <w:rPr>
          <w:rStyle w:val="FootnoteReference"/>
        </w:rPr>
        <w:footnoteRef/>
      </w:r>
      <w:r>
        <w:t xml:space="preserve"> Cross-references for "in every province": Esth 1:1; Esth 3:12.</w:t>
      </w:r>
    </w:p>
  </w:footnote>
  <w:footnote w:id="10202">
    <w:p>
      <w:pPr>
        <w:pStyle w:val="FootnoteText"/>
      </w:pPr>
      <w:r>
        <w:rPr>
          <w:rStyle w:val="FootnoteReference"/>
        </w:rPr>
        <w:footnoteRef/>
      </w:r>
      <w:r>
        <w:t xml:space="preserve"> Personal name: Hathach. Personal-name meaning: Hathach — good; well-disposed. Source form: Hathach.</w:t>
      </w:r>
    </w:p>
  </w:footnote>
  <w:footnote w:id="10203">
    <w:p>
      <w:pPr>
        <w:pStyle w:val="FootnoteText"/>
      </w:pPr>
      <w:r>
        <w:rPr>
          <w:rStyle w:val="FootnoteReference"/>
        </w:rPr>
        <w:footnoteRef/>
      </w:r>
      <w:r>
        <w:t xml:space="preserve"> Translation note: The Greek explicitly joins appeal to the Lord with appeal to the king. The current wording keeps both lines visible.</w:t>
      </w:r>
    </w:p>
  </w:footnote>
  <w:footnote w:id="10204">
    <w:p>
      <w:pPr>
        <w:pStyle w:val="FootnoteText"/>
      </w:pPr>
      <w:r>
        <w:rPr>
          <w:rStyle w:val="FootnoteReference"/>
        </w:rPr>
        <w:footnoteRef/>
      </w:r>
      <w:r>
        <w:t xml:space="preserve"> Cross-references for "the inner court": Esth 5:1.</w:t>
      </w:r>
    </w:p>
  </w:footnote>
  <w:footnote w:id="10205">
    <w:p>
      <w:pPr>
        <w:pStyle w:val="FootnoteText"/>
      </w:pPr>
      <w:r>
        <w:rPr>
          <w:rStyle w:val="FootnoteReference"/>
        </w:rPr>
        <w:footnoteRef/>
      </w:r>
      <w:r>
        <w:t xml:space="preserve"> Translation note: The Greek uses salvation wording here. The current wording preserves that source-row term.</w:t>
      </w:r>
    </w:p>
  </w:footnote>
  <w:footnote w:id="10206">
    <w:p>
      <w:pPr>
        <w:pStyle w:val="FootnoteText"/>
      </w:pPr>
      <w:r>
        <w:rPr>
          <w:rStyle w:val="FootnoteReference"/>
        </w:rPr>
        <w:footnoteRef/>
      </w:r>
      <w:r>
        <w:t xml:space="preserve"> Cross-references for "whether": Gen 45:4-8; Isa 45:1-5.</w:t>
      </w:r>
    </w:p>
  </w:footnote>
  <w:footnote w:id="10207">
    <w:p>
      <w:pPr>
        <w:pStyle w:val="FootnoteText"/>
      </w:pPr>
      <w:r>
        <w:rPr>
          <w:rStyle w:val="FootnoteReference"/>
        </w:rPr>
        <w:footnoteRef/>
      </w:r>
      <w:r>
        <w:t xml:space="preserve"> Cross-references for "fast": 2Chr 20:3; Isa 22:12.</w:t>
      </w:r>
    </w:p>
  </w:footnote>
  <w:footnote w:id="10208">
    <w:p>
      <w:pPr>
        <w:pStyle w:val="FootnoteText"/>
      </w:pPr>
      <w:r>
        <w:rPr>
          <w:rStyle w:val="FootnoteReference"/>
        </w:rPr>
        <w:footnoteRef/>
      </w:r>
      <w:r>
        <w:t xml:space="preserve"> Cross-references for "went": Esth 4:17.</w:t>
      </w:r>
    </w:p>
  </w:footnote>
  <w:footnote w:id="10209">
    <w:p>
      <w:pPr>
        <w:pStyle w:val="FootnoteText"/>
      </w:pPr>
      <w:r>
        <w:rPr>
          <w:rStyle w:val="FootnoteReference"/>
        </w:rPr>
        <w:footnoteRef/>
      </w:r>
      <w:r>
        <w:t xml:space="preserve"> Cross-references for "on the": Matt 27:64; Esth 4:16.</w:t>
      </w:r>
    </w:p>
  </w:footnote>
  <w:footnote w:id="10210">
    <w:p>
      <w:pPr>
        <w:pStyle w:val="FootnoteText"/>
      </w:pPr>
      <w:r>
        <w:rPr>
          <w:rStyle w:val="FootnoteReference"/>
        </w:rPr>
        <w:footnoteRef/>
      </w:r>
      <w:r>
        <w:t xml:space="preserve"> Cross-references for "the king said": Esth 5:3; Esth 7:2.</w:t>
      </w:r>
    </w:p>
  </w:footnote>
  <w:footnote w:id="10211">
    <w:p>
      <w:pPr>
        <w:pStyle w:val="FootnoteText"/>
      </w:pPr>
      <w:r>
        <w:rPr>
          <w:rStyle w:val="FootnoteReference"/>
        </w:rPr>
        <w:footnoteRef/>
      </w:r>
      <w:r>
        <w:t xml:space="preserve"> Personal name: Zeresh. Personal-name meaning: Zeresh — misery; strange; dispersed inheritance. Source form: Zeresh.</w:t>
      </w:r>
    </w:p>
  </w:footnote>
  <w:footnote w:id="10212">
    <w:p>
      <w:pPr>
        <w:pStyle w:val="FootnoteText"/>
      </w:pPr>
      <w:r>
        <w:rPr>
          <w:rStyle w:val="FootnoteReference"/>
        </w:rPr>
        <w:footnoteRef/>
      </w:r>
      <w:r>
        <w:t xml:space="preserve"> Cross-references for "that night": Gen 22:14; 1Sam 23:26-27.</w:t>
      </w:r>
    </w:p>
  </w:footnote>
  <w:footnote w:id="10213">
    <w:p>
      <w:pPr>
        <w:pStyle w:val="FootnoteText"/>
      </w:pPr>
      <w:r>
        <w:rPr>
          <w:rStyle w:val="FootnoteReference"/>
        </w:rPr>
        <w:footnoteRef/>
      </w:r>
      <w:r>
        <w:t xml:space="preserve"> Cross-references for "Who is in the court": Prov 3:27-28; Eccl 9:10.</w:t>
      </w:r>
    </w:p>
  </w:footnote>
  <w:footnote w:id="10214">
    <w:p>
      <w:pPr>
        <w:pStyle w:val="FootnoteText"/>
      </w:pPr>
      <w:r>
        <w:rPr>
          <w:rStyle w:val="FootnoteReference"/>
        </w:rPr>
        <w:footnoteRef/>
      </w:r>
      <w:r>
        <w:t xml:space="preserve"> Cross-references for "whom the king": Esth 6:9; Esth 6:11.</w:t>
      </w:r>
    </w:p>
  </w:footnote>
  <w:footnote w:id="10215">
    <w:p>
      <w:pPr>
        <w:pStyle w:val="FootnoteText"/>
      </w:pPr>
      <w:r>
        <w:rPr>
          <w:rStyle w:val="FootnoteReference"/>
        </w:rPr>
        <w:footnoteRef/>
      </w:r>
      <w:r>
        <w:t xml:space="preserve"> Cross-references for "proclaim": Gen 41:43; 1Kgs 1:33-34.</w:t>
      </w:r>
    </w:p>
  </w:footnote>
  <w:footnote w:id="10216">
    <w:p>
      <w:pPr>
        <w:pStyle w:val="FootnoteText"/>
      </w:pPr>
      <w:r>
        <w:rPr>
          <w:rStyle w:val="FootnoteReference"/>
        </w:rPr>
        <w:footnoteRef/>
      </w:r>
      <w:r>
        <w:t xml:space="preserve"> Cross-references for "Zeresh": Esth 5:10-14.</w:t>
      </w:r>
    </w:p>
  </w:footnote>
  <w:footnote w:id="10217">
    <w:p>
      <w:pPr>
        <w:pStyle w:val="FootnoteText"/>
      </w:pPr>
      <w:r>
        <w:rPr>
          <w:rStyle w:val="FootnoteReference"/>
        </w:rPr>
        <w:footnoteRef/>
      </w:r>
      <w:r>
        <w:t xml:space="preserve"> Cross-references for "the king said": John 16:24; Esth 5:6.</w:t>
      </w:r>
    </w:p>
  </w:footnote>
  <w:footnote w:id="10218">
    <w:p>
      <w:pPr>
        <w:pStyle w:val="FootnoteText"/>
      </w:pPr>
      <w:r>
        <w:rPr>
          <w:rStyle w:val="FootnoteReference"/>
        </w:rPr>
        <w:footnoteRef/>
      </w:r>
      <w:r>
        <w:t xml:space="preserve"> Cross-references for "let my life": 1Kgs 20:31; 2Kgs 1:13.</w:t>
      </w:r>
    </w:p>
  </w:footnote>
  <w:footnote w:id="10219">
    <w:p>
      <w:pPr>
        <w:pStyle w:val="FootnoteText"/>
      </w:pPr>
      <w:r>
        <w:rPr>
          <w:rStyle w:val="FootnoteReference"/>
        </w:rPr>
        <w:footnoteRef/>
      </w:r>
      <w:r>
        <w:t xml:space="preserve"> Cross-references for "for he saw": 1Sam 20:7; 1Sam 20:9.</w:t>
      </w:r>
    </w:p>
  </w:footnote>
  <w:footnote w:id="10220">
    <w:p>
      <w:pPr>
        <w:pStyle w:val="FootnoteText"/>
      </w:pPr>
      <w:r>
        <w:rPr>
          <w:rStyle w:val="FootnoteReference"/>
        </w:rPr>
        <w:footnoteRef/>
      </w:r>
      <w:r>
        <w:t xml:space="preserve"> Cross-references for "Behold": Job 27:20-23; Ps 7:15-16.</w:t>
      </w:r>
    </w:p>
  </w:footnote>
  <w:footnote w:id="10221">
    <w:p>
      <w:pPr>
        <w:pStyle w:val="FootnoteText"/>
      </w:pPr>
      <w:r>
        <w:rPr>
          <w:rStyle w:val="FootnoteReference"/>
        </w:rPr>
        <w:footnoteRef/>
      </w:r>
      <w:r>
        <w:t xml:space="preserve"> Cross-references for "fell": 1Sam 25:24; 2Kgs 4:27.</w:t>
      </w:r>
    </w:p>
  </w:footnote>
  <w:footnote w:id="10222">
    <w:p>
      <w:pPr>
        <w:pStyle w:val="FootnoteText"/>
      </w:pPr>
      <w:r>
        <w:rPr>
          <w:rStyle w:val="FootnoteReference"/>
        </w:rPr>
        <w:footnoteRef/>
      </w:r>
      <w:r>
        <w:t xml:space="preserve"> Cross-references for "letters": Esth 3:12-13.</w:t>
      </w:r>
    </w:p>
  </w:footnote>
  <w:footnote w:id="10223">
    <w:p>
      <w:pPr>
        <w:pStyle w:val="FootnoteText"/>
      </w:pPr>
      <w:r>
        <w:rPr>
          <w:rStyle w:val="FootnoteReference"/>
        </w:rPr>
        <w:footnoteRef/>
      </w:r>
      <w:r>
        <w:t xml:space="preserve"> Cross-references for "For how": Gen 44:34; Jer 4:19.</w:t>
      </w:r>
    </w:p>
  </w:footnote>
  <w:footnote w:id="10224">
    <w:p>
      <w:pPr>
        <w:pStyle w:val="FootnoteText"/>
      </w:pPr>
      <w:r>
        <w:rPr>
          <w:rStyle w:val="FootnoteReference"/>
        </w:rPr>
        <w:footnoteRef/>
      </w:r>
      <w:r>
        <w:t xml:space="preserve"> Translation note: The Greek states the royal line in terms of contradiction. The current wording keeps that explicit.</w:t>
      </w:r>
    </w:p>
  </w:footnote>
  <w:footnote w:id="10225">
    <w:p>
      <w:pPr>
        <w:pStyle w:val="FootnoteText"/>
      </w:pPr>
      <w:r>
        <w:rPr>
          <w:rStyle w:val="FootnoteReference"/>
        </w:rPr>
        <w:footnoteRef/>
      </w:r>
      <w:r>
        <w:t xml:space="preserve"> Cross-references for "one day": Exod 15:9-10; Judg 1:6-7.</w:t>
      </w:r>
    </w:p>
  </w:footnote>
  <w:footnote w:id="10226">
    <w:p>
      <w:pPr>
        <w:pStyle w:val="FootnoteText"/>
      </w:pPr>
      <w:r>
        <w:rPr>
          <w:rStyle w:val="FootnoteReference"/>
        </w:rPr>
        <w:footnoteRef/>
      </w:r>
      <w:r>
        <w:t xml:space="preserve"> Cross-references for "Shushan": Neh 1:1; Dan 8:2.</w:t>
      </w:r>
    </w:p>
  </w:footnote>
  <w:footnote w:id="10227">
    <w:p>
      <w:pPr>
        <w:pStyle w:val="FootnoteText"/>
      </w:pPr>
      <w:r>
        <w:rPr>
          <w:rStyle w:val="FootnoteReference"/>
        </w:rPr>
        <w:footnoteRef/>
      </w:r>
      <w:r>
        <w:t xml:space="preserve"> Cross-references for "Jews": Ps 30:5-11; Esth 4:1-3.</w:t>
      </w:r>
    </w:p>
  </w:footnote>
  <w:footnote w:id="10228">
    <w:p>
      <w:pPr>
        <w:pStyle w:val="FootnoteText"/>
      </w:pPr>
      <w:r>
        <w:rPr>
          <w:rStyle w:val="FootnoteReference"/>
        </w:rPr>
        <w:footnoteRef/>
      </w:r>
      <w:r>
        <w:t xml:space="preserve"> Cross-references for "a feast": 1Sam 25:8; Neh 8:10.</w:t>
      </w:r>
    </w:p>
  </w:footnote>
  <w:footnote w:id="10229">
    <w:p>
      <w:pPr>
        <w:pStyle w:val="FootnoteText"/>
      </w:pPr>
      <w:r>
        <w:rPr>
          <w:rStyle w:val="FootnoteReference"/>
        </w:rPr>
        <w:footnoteRef/>
      </w:r>
      <w:r>
        <w:t xml:space="preserve"> Cross-references for "in the twelfth": Esth 3:7; Esth 3:13.</w:t>
      </w:r>
    </w:p>
  </w:footnote>
  <w:footnote w:id="10230">
    <w:p>
      <w:pPr>
        <w:pStyle w:val="FootnoteText"/>
      </w:pPr>
      <w:r>
        <w:rPr>
          <w:rStyle w:val="FootnoteReference"/>
        </w:rPr>
        <w:footnoteRef/>
      </w:r>
      <w:r>
        <w:t xml:space="preserve"> Cross-references for "Shushan": Esth 3:15.</w:t>
      </w:r>
    </w:p>
  </w:footnote>
  <w:footnote w:id="10231">
    <w:p>
      <w:pPr>
        <w:pStyle w:val="FootnoteText"/>
      </w:pPr>
      <w:r>
        <w:rPr>
          <w:rStyle w:val="FootnoteReference"/>
        </w:rPr>
        <w:footnoteRef/>
      </w:r>
      <w:r>
        <w:t xml:space="preserve"> Personal name: Parshandatha. Personal-name meaning: Parshandatha — given by prayer. Source form: Parshandatha.</w:t>
      </w:r>
    </w:p>
  </w:footnote>
  <w:footnote w:id="10232">
    <w:p>
      <w:pPr>
        <w:pStyle w:val="FootnoteText"/>
      </w:pPr>
      <w:r>
        <w:rPr>
          <w:rStyle w:val="FootnoteReference"/>
        </w:rPr>
        <w:footnoteRef/>
      </w:r>
      <w:r>
        <w:t xml:space="preserve"> Personal name: Dalphon. Personal-name meaning: Dalphon — the house of caves. Source form: Dalphon.</w:t>
      </w:r>
    </w:p>
  </w:footnote>
  <w:footnote w:id="10233">
    <w:p>
      <w:pPr>
        <w:pStyle w:val="FootnoteText"/>
      </w:pPr>
      <w:r>
        <w:rPr>
          <w:rStyle w:val="FootnoteReference"/>
        </w:rPr>
        <w:footnoteRef/>
      </w:r>
      <w:r>
        <w:t xml:space="preserve"> Personal name: Poratha. Personal-name meaning: Poratha — fruitful. Source form: Poratha.</w:t>
      </w:r>
    </w:p>
  </w:footnote>
  <w:footnote w:id="10234">
    <w:p>
      <w:pPr>
        <w:pStyle w:val="FootnoteText"/>
      </w:pPr>
      <w:r>
        <w:rPr>
          <w:rStyle w:val="FootnoteReference"/>
        </w:rPr>
        <w:footnoteRef/>
      </w:r>
      <w:r>
        <w:t xml:space="preserve"> Personal name: Adalia. Personal-name meaning: Adalia — one that draws water; poverty; cloud; death. Source form: Adalia.</w:t>
      </w:r>
    </w:p>
  </w:footnote>
  <w:footnote w:id="10235">
    <w:p>
      <w:pPr>
        <w:pStyle w:val="FootnoteText"/>
      </w:pPr>
      <w:r>
        <w:rPr>
          <w:rStyle w:val="FootnoteReference"/>
        </w:rPr>
        <w:footnoteRef/>
      </w:r>
      <w:r>
        <w:t xml:space="preserve"> Personal name: Sarbacha. Personal-name meaning: Sarbacha — royal official name. Source form: Sarbacha.</w:t>
      </w:r>
    </w:p>
  </w:footnote>
  <w:footnote w:id="10236">
    <w:p>
      <w:pPr>
        <w:pStyle w:val="FootnoteText"/>
      </w:pPr>
      <w:r>
        <w:rPr>
          <w:rStyle w:val="FootnoteReference"/>
        </w:rPr>
        <w:footnoteRef/>
      </w:r>
      <w:r>
        <w:t xml:space="preserve"> Personal name: Parmashta. Personal-name meaning: Parmashta — a yearling bull. Source form: Parmashta.</w:t>
      </w:r>
    </w:p>
  </w:footnote>
  <w:footnote w:id="10237">
    <w:p>
      <w:pPr>
        <w:pStyle w:val="FootnoteText"/>
      </w:pPr>
      <w:r>
        <w:rPr>
          <w:rStyle w:val="FootnoteReference"/>
        </w:rPr>
        <w:footnoteRef/>
      </w:r>
      <w:r>
        <w:t xml:space="preserve"> Personal name: Arisai. Personal-name meaning: Arisai — lion-like. Source form: Arisai.</w:t>
      </w:r>
    </w:p>
  </w:footnote>
  <w:footnote w:id="10238">
    <w:p>
      <w:pPr>
        <w:pStyle w:val="FootnoteText"/>
      </w:pPr>
      <w:r>
        <w:rPr>
          <w:rStyle w:val="FootnoteReference"/>
        </w:rPr>
        <w:footnoteRef/>
      </w:r>
      <w:r>
        <w:t xml:space="preserve"> Personal name: Aridai. Personal-name meaning: Aridai — lion-like. Source form: Aridai.</w:t>
      </w:r>
    </w:p>
  </w:footnote>
  <w:footnote w:id="10239">
    <w:p>
      <w:pPr>
        <w:pStyle w:val="FootnoteText"/>
      </w:pPr>
      <w:r>
        <w:rPr>
          <w:rStyle w:val="FootnoteReference"/>
        </w:rPr>
        <w:footnoteRef/>
      </w:r>
      <w:r>
        <w:t xml:space="preserve"> Personal name: Vaizatha. Personal-name meaning: Vaizatha — sprinkling the chamber. Source form: Vaizatha.</w:t>
      </w:r>
    </w:p>
  </w:footnote>
  <w:footnote w:id="10240">
    <w:p>
      <w:pPr>
        <w:pStyle w:val="FootnoteText"/>
      </w:pPr>
      <w:r>
        <w:rPr>
          <w:rStyle w:val="FootnoteReference"/>
        </w:rPr>
        <w:footnoteRef/>
      </w:r>
      <w:r>
        <w:t xml:space="preserve"> Cross-references for "ten sons": Exod 20:5; Job 18:18-19.</w:t>
      </w:r>
    </w:p>
  </w:footnote>
  <w:footnote w:id="10241">
    <w:p>
      <w:pPr>
        <w:pStyle w:val="FootnoteText"/>
      </w:pPr>
      <w:r>
        <w:rPr>
          <w:rStyle w:val="FootnoteReference"/>
        </w:rPr>
        <w:footnoteRef/>
      </w:r>
      <w:r>
        <w:t xml:space="preserve"> Cross-references for "of the same": Esth 3:12; Esth 8:9.</w:t>
      </w:r>
    </w:p>
  </w:footnote>
  <w:footnote w:id="10242">
    <w:p>
      <w:pPr>
        <w:pStyle w:val="FootnoteText"/>
      </w:pPr>
      <w:r>
        <w:rPr>
          <w:rStyle w:val="FootnoteReference"/>
        </w:rPr>
        <w:footnoteRef/>
      </w:r>
      <w:r>
        <w:t xml:space="preserve"> Cross-references for "wrote these": Exod 17:14; Deut 31:19-22.</w:t>
      </w:r>
    </w:p>
  </w:footnote>
  <w:footnote w:id="10243">
    <w:p>
      <w:pPr>
        <w:pStyle w:val="FootnoteText"/>
      </w:pPr>
      <w:r>
        <w:rPr>
          <w:rStyle w:val="FootnoteReference"/>
        </w:rPr>
        <w:footnoteRef/>
      </w:r>
      <w:r>
        <w:t xml:space="preserve"> Cross-references for "sending portions": Neh 8:10-12; Luke 11:41.</w:t>
      </w:r>
    </w:p>
  </w:footnote>
  <w:footnote w:id="10244">
    <w:p>
      <w:pPr>
        <w:pStyle w:val="FootnoteText"/>
      </w:pPr>
      <w:r>
        <w:rPr>
          <w:rStyle w:val="FootnoteReference"/>
        </w:rPr>
        <w:footnoteRef/>
      </w:r>
      <w:r>
        <w:t xml:space="preserve"> People-name: Macedonian. People-name meaning: Macedonian — person of Macedonia; high/tall one. Source form: Macedonian.</w:t>
      </w:r>
    </w:p>
  </w:footnote>
  <w:footnote w:id="10245">
    <w:p>
      <w:pPr>
        <w:pStyle w:val="FootnoteText"/>
      </w:pPr>
      <w:r>
        <w:rPr>
          <w:rStyle w:val="FootnoteReference"/>
        </w:rPr>
        <w:footnoteRef/>
      </w:r>
      <w:r>
        <w:t xml:space="preserve"> Transliterated proper noun: Purim. Standard English equivalent: Purim. Source form: Purim. Greek form: φρουραι. Name meaning: lot.</w:t>
      </w:r>
    </w:p>
  </w:footnote>
  <w:footnote w:id="10246">
    <w:p>
      <w:pPr>
        <w:pStyle w:val="FootnoteText"/>
      </w:pPr>
      <w:r>
        <w:rPr>
          <w:rStyle w:val="FootnoteReference"/>
        </w:rPr>
        <w:footnoteRef/>
      </w:r>
      <w:r>
        <w:t xml:space="preserve"> Cross-references for "letter": Esth 9:20.</w:t>
      </w:r>
    </w:p>
  </w:footnote>
  <w:footnote w:id="10247">
    <w:p>
      <w:pPr>
        <w:pStyle w:val="FootnoteText"/>
      </w:pPr>
      <w:r>
        <w:rPr>
          <w:rStyle w:val="FootnoteReference"/>
        </w:rPr>
        <w:footnoteRef/>
      </w:r>
      <w:r>
        <w:t xml:space="preserve"> Cross-references for "and upon their seed": Deut 5:3; Deut 29:14-15.</w:t>
      </w:r>
    </w:p>
  </w:footnote>
  <w:footnote w:id="10248">
    <w:p>
      <w:pPr>
        <w:pStyle w:val="FootnoteText"/>
      </w:pPr>
      <w:r>
        <w:rPr>
          <w:rStyle w:val="FootnoteReference"/>
        </w:rPr>
        <w:footnoteRef/>
      </w:r>
      <w:r>
        <w:t xml:space="preserve"> Cross-references for "in the book": 1Kgs 14:19; Esth 2:23.</w:t>
      </w:r>
    </w:p>
  </w:footnote>
  <w:footnote w:id="10249">
    <w:p>
      <w:pPr>
        <w:pStyle w:val="FootnoteText"/>
      </w:pPr>
      <w:r>
        <w:rPr>
          <w:rStyle w:val="FootnoteReference"/>
        </w:rPr>
        <w:footnoteRef/>
      </w:r>
      <w:r>
        <w:t xml:space="preserve"> Name meaning: Job (Iyyov) — Persecuted; where is the father. Righteous sufferer whose name is traditionally explained in more than one way.</w:t>
      </w:r>
    </w:p>
  </w:footnote>
  <w:footnote w:id="10250">
    <w:p>
      <w:pPr>
        <w:pStyle w:val="FootnoteText"/>
      </w:pPr>
      <w:r>
        <w:rPr>
          <w:rStyle w:val="FootnoteReference"/>
        </w:rPr>
        <w:footnoteRef/>
      </w:r>
      <w:r>
        <w:t xml:space="preserve"> Translation note: The Greek gives a four-part character description of Job. The current wording keeps the full sequence rather than compressing it.</w:t>
      </w:r>
    </w:p>
  </w:footnote>
  <w:footnote w:id="10251">
    <w:p>
      <w:pPr>
        <w:pStyle w:val="FootnoteText"/>
      </w:pPr>
      <w:r>
        <w:rPr>
          <w:rStyle w:val="FootnoteReference"/>
        </w:rPr>
        <w:footnoteRef/>
      </w:r>
      <w:r>
        <w:t xml:space="preserve"> Cross-references for "seven sons": Job 13:13; Ps 107:38.</w:t>
      </w:r>
    </w:p>
  </w:footnote>
  <w:footnote w:id="10252">
    <w:p>
      <w:pPr>
        <w:pStyle w:val="FootnoteText"/>
      </w:pPr>
      <w:r>
        <w:rPr>
          <w:rStyle w:val="FootnoteReference"/>
        </w:rPr>
        <w:footnoteRef/>
      </w:r>
      <w:r>
        <w:t xml:space="preserve"> Cross-references for "seven": Gen 12:16; Num 31:32-34.</w:t>
      </w:r>
    </w:p>
  </w:footnote>
  <w:footnote w:id="10253">
    <w:p>
      <w:pPr>
        <w:pStyle w:val="FootnoteText"/>
      </w:pPr>
      <w:r>
        <w:rPr>
          <w:rStyle w:val="FootnoteReference"/>
        </w:rPr>
        <w:footnoteRef/>
      </w:r>
      <w:r>
        <w:t xml:space="preserve"> Cross-references for "offered": Gen 8:20; Exod 18:12.</w:t>
      </w:r>
    </w:p>
  </w:footnote>
  <w:footnote w:id="10254">
    <w:p>
      <w:pPr>
        <w:pStyle w:val="FootnoteText"/>
      </w:pPr>
      <w:r>
        <w:rPr>
          <w:rStyle w:val="FootnoteReference"/>
        </w:rPr>
        <w:footnoteRef/>
      </w:r>
      <w:r>
        <w:t xml:space="preserve"> Cross-references for "came to": Ps 103:20; Matt 18:10.</w:t>
      </w:r>
    </w:p>
  </w:footnote>
  <w:footnote w:id="10255">
    <w:p>
      <w:pPr>
        <w:pStyle w:val="FootnoteText"/>
      </w:pPr>
      <w:r>
        <w:rPr>
          <w:rStyle w:val="FootnoteReference"/>
        </w:rPr>
        <w:footnoteRef/>
      </w:r>
      <w:r>
        <w:t xml:space="preserve"> Cross-references for "my servant": Num 12:7-8; Ps 89:20.</w:t>
      </w:r>
    </w:p>
  </w:footnote>
  <w:footnote w:id="10256">
    <w:p>
      <w:pPr>
        <w:pStyle w:val="FootnoteText"/>
      </w:pPr>
      <w:r>
        <w:rPr>
          <w:rStyle w:val="FootnoteReference"/>
        </w:rPr>
        <w:footnoteRef/>
      </w:r>
      <w:r>
        <w:t xml:space="preserve"> Translation note: The Greek uses the servant formula directly. The current wording keeps that line explicit.</w:t>
      </w:r>
    </w:p>
  </w:footnote>
  <w:footnote w:id="10257">
    <w:p>
      <w:pPr>
        <w:pStyle w:val="FootnoteText"/>
      </w:pPr>
      <w:r>
        <w:rPr>
          <w:rStyle w:val="FootnoteReference"/>
        </w:rPr>
        <w:footnoteRef/>
      </w:r>
      <w:r>
        <w:t xml:space="preserve"> Cross-references for "touch": Gen 26:11; Job 4:5.</w:t>
      </w:r>
    </w:p>
  </w:footnote>
  <w:footnote w:id="10258">
    <w:p>
      <w:pPr>
        <w:pStyle w:val="FootnoteText"/>
      </w:pPr>
      <w:r>
        <w:rPr>
          <w:rStyle w:val="FootnoteReference"/>
        </w:rPr>
        <w:footnoteRef/>
      </w:r>
      <w:r>
        <w:t xml:space="preserve"> Cross-references for "Behold": 1Kgs 22:23; Luke 8:32.</w:t>
      </w:r>
    </w:p>
  </w:footnote>
  <w:footnote w:id="10259">
    <w:p>
      <w:pPr>
        <w:pStyle w:val="FootnoteText"/>
      </w:pPr>
      <w:r>
        <w:rPr>
          <w:rStyle w:val="FootnoteReference"/>
        </w:rPr>
        <w:footnoteRef/>
      </w:r>
      <w:r>
        <w:t xml:space="preserve"> Cross-references for "messenger": 1Sam 4:17; 2Sam 15:13.</w:t>
      </w:r>
    </w:p>
  </w:footnote>
  <w:footnote w:id="10260">
    <w:p>
      <w:pPr>
        <w:pStyle w:val="FootnoteText"/>
      </w:pPr>
      <w:r>
        <w:rPr>
          <w:rStyle w:val="FootnoteReference"/>
        </w:rPr>
        <w:footnoteRef/>
      </w:r>
      <w:r>
        <w:t xml:space="preserve"> Cross-references for "eating": 2Sam 13:28.</w:t>
      </w:r>
    </w:p>
  </w:footnote>
  <w:footnote w:id="10261">
    <w:p>
      <w:pPr>
        <w:pStyle w:val="FootnoteText"/>
      </w:pPr>
      <w:r>
        <w:rPr>
          <w:rStyle w:val="FootnoteReference"/>
        </w:rPr>
        <w:footnoteRef/>
      </w:r>
      <w:r>
        <w:t xml:space="preserve"> Cross-references for "a great": Jer 4:11-12; Eph 2:2.</w:t>
      </w:r>
    </w:p>
  </w:footnote>
  <w:footnote w:id="10262">
    <w:p>
      <w:pPr>
        <w:pStyle w:val="FootnoteText"/>
      </w:pPr>
      <w:r>
        <w:rPr>
          <w:rStyle w:val="FootnoteReference"/>
        </w:rPr>
        <w:footnoteRef/>
      </w:r>
      <w:r>
        <w:t xml:space="preserve"> Cross-references for "The Lord gave": Gen 30:2; Job 2:10.</w:t>
      </w:r>
    </w:p>
  </w:footnote>
  <w:footnote w:id="10263">
    <w:p>
      <w:pPr>
        <w:pStyle w:val="FootnoteText"/>
      </w:pPr>
      <w:r>
        <w:rPr>
          <w:rStyle w:val="FootnoteReference"/>
        </w:rPr>
        <w:footnoteRef/>
      </w:r>
      <w:r>
        <w:t xml:space="preserve"> Translation note: The Greek keeps the innocence line direct. The current wording preserves that phrase.</w:t>
      </w:r>
    </w:p>
  </w:footnote>
  <w:footnote w:id="10264">
    <w:p>
      <w:pPr>
        <w:pStyle w:val="FootnoteText"/>
      </w:pPr>
      <w:r>
        <w:rPr>
          <w:rStyle w:val="FootnoteReference"/>
        </w:rPr>
        <w:footnoteRef/>
      </w:r>
      <w:r>
        <w:t xml:space="preserve"> Cross-references for "Behold": Job 1:12.</w:t>
      </w:r>
    </w:p>
  </w:footnote>
  <w:footnote w:id="10265">
    <w:p>
      <w:pPr>
        <w:pStyle w:val="FootnoteText"/>
      </w:pPr>
      <w:r>
        <w:rPr>
          <w:rStyle w:val="FootnoteReference"/>
        </w:rPr>
        <w:footnoteRef/>
      </w:r>
      <w:r>
        <w:t xml:space="preserve"> Cross-references for "he sat": 2Sam 13:19; Job 42:6.</w:t>
      </w:r>
    </w:p>
  </w:footnote>
  <w:footnote w:id="10266">
    <w:p>
      <w:pPr>
        <w:pStyle w:val="FootnoteText"/>
      </w:pPr>
      <w:r>
        <w:rPr>
          <w:rStyle w:val="FootnoteReference"/>
        </w:rPr>
        <w:footnoteRef/>
      </w:r>
      <w:r>
        <w:t xml:space="preserve"> Cross-references for "his wife": Gen 3:6; Gen 3:12.</w:t>
      </w:r>
    </w:p>
  </w:footnote>
  <w:footnote w:id="10267">
    <w:p>
      <w:pPr>
        <w:pStyle w:val="FootnoteText"/>
      </w:pPr>
      <w:r>
        <w:rPr>
          <w:rStyle w:val="FootnoteReference"/>
        </w:rPr>
        <w:footnoteRef/>
      </w:r>
      <w:r>
        <w:t xml:space="preserve"> Cross-references for "friends": Job 6:14; Job 16:20.</w:t>
      </w:r>
    </w:p>
  </w:footnote>
  <w:footnote w:id="10268">
    <w:p>
      <w:pPr>
        <w:pStyle w:val="FootnoteText"/>
      </w:pPr>
      <w:r>
        <w:rPr>
          <w:rStyle w:val="FootnoteReference"/>
        </w:rPr>
        <w:footnoteRef/>
      </w:r>
      <w:r>
        <w:t xml:space="preserve"> People-name: Temanite. People-name meaning: Temanite — the south; Africa; perfect. Source form: Temanite.</w:t>
      </w:r>
    </w:p>
  </w:footnote>
  <w:footnote w:id="10269">
    <w:p>
      <w:pPr>
        <w:pStyle w:val="FootnoteText"/>
      </w:pPr>
      <w:r>
        <w:rPr>
          <w:rStyle w:val="FootnoteReference"/>
        </w:rPr>
        <w:footnoteRef/>
      </w:r>
      <w:r>
        <w:t xml:space="preserve"> Personal name: Bildad. Personal-name meaning: Bildad — old friendship. Source form: Bildad.</w:t>
      </w:r>
    </w:p>
  </w:footnote>
  <w:footnote w:id="10270">
    <w:p>
      <w:pPr>
        <w:pStyle w:val="FootnoteText"/>
      </w:pPr>
      <w:r>
        <w:rPr>
          <w:rStyle w:val="FootnoteReference"/>
        </w:rPr>
        <w:footnoteRef/>
      </w:r>
      <w:r>
        <w:t xml:space="preserve"> Personal name: Zophar. Personal-name meaning: Zophar — rising early; crown. Source form: Zophar.</w:t>
      </w:r>
    </w:p>
  </w:footnote>
  <w:footnote w:id="10271">
    <w:p>
      <w:pPr>
        <w:pStyle w:val="FootnoteText"/>
      </w:pPr>
      <w:r>
        <w:rPr>
          <w:rStyle w:val="FootnoteReference"/>
        </w:rPr>
        <w:footnoteRef/>
      </w:r>
      <w:r>
        <w:t xml:space="preserve"> People-name: Naamathite. People-name meaning: Naamathite — person of Naamah; pleasantness. Source form: Naamathite.</w:t>
      </w:r>
    </w:p>
  </w:footnote>
  <w:footnote w:id="10272">
    <w:p>
      <w:pPr>
        <w:pStyle w:val="FootnoteText"/>
      </w:pPr>
      <w:r>
        <w:rPr>
          <w:rStyle w:val="FootnoteReference"/>
        </w:rPr>
        <w:footnoteRef/>
      </w:r>
      <w:r>
        <w:t xml:space="preserve"> Cross-references for "They sat": Ezra 9:3; Neh 1:4.</w:t>
      </w:r>
    </w:p>
  </w:footnote>
  <w:footnote w:id="10273">
    <w:p>
      <w:pPr>
        <w:pStyle w:val="FootnoteText"/>
      </w:pPr>
      <w:r>
        <w:rPr>
          <w:rStyle w:val="FootnoteReference"/>
        </w:rPr>
        <w:footnoteRef/>
      </w:r>
      <w:r>
        <w:t xml:space="preserve"> Cross-references for "opened": Job 35:16; Ps 39:2-3.</w:t>
      </w:r>
    </w:p>
  </w:footnote>
  <w:footnote w:id="10274">
    <w:p>
      <w:pPr>
        <w:pStyle w:val="FootnoteText"/>
      </w:pPr>
      <w:r>
        <w:rPr>
          <w:rStyle w:val="FootnoteReference"/>
        </w:rPr>
        <w:footnoteRef/>
      </w:r>
      <w:r>
        <w:t xml:space="preserve"> Cross-references for "Let the day": Job 10:18-19; Jer 15:10.</w:t>
      </w:r>
    </w:p>
  </w:footnote>
  <w:footnote w:id="10275">
    <w:p>
      <w:pPr>
        <w:pStyle w:val="FootnoteText"/>
      </w:pPr>
      <w:r>
        <w:rPr>
          <w:rStyle w:val="FootnoteReference"/>
        </w:rPr>
        <w:footnoteRef/>
      </w:r>
      <w:r>
        <w:t xml:space="preserve"> Cross-references for "darkness": Exod 10:22-23; Joel 2:2.</w:t>
      </w:r>
    </w:p>
  </w:footnote>
  <w:footnote w:id="10276">
    <w:p>
      <w:pPr>
        <w:pStyle w:val="FootnoteText"/>
      </w:pPr>
      <w:r>
        <w:rPr>
          <w:rStyle w:val="FootnoteReference"/>
        </w:rPr>
        <w:footnoteRef/>
      </w:r>
      <w:r>
        <w:t xml:space="preserve"> Cross-references for "the shadow": Job 10:21-22; Job 16:16.</w:t>
      </w:r>
    </w:p>
  </w:footnote>
  <w:footnote w:id="10277">
    <w:p>
      <w:pPr>
        <w:pStyle w:val="FootnoteText"/>
      </w:pPr>
      <w:r>
        <w:rPr>
          <w:rStyle w:val="FootnoteReference"/>
        </w:rPr>
        <w:footnoteRef/>
      </w:r>
      <w:r>
        <w:t xml:space="preserve"> Cross-references for "kings": 1Kgs 2:10; 1Kgs 11:43.</w:t>
      </w:r>
    </w:p>
  </w:footnote>
  <w:footnote w:id="10278">
    <w:p>
      <w:pPr>
        <w:pStyle w:val="FootnoteText"/>
      </w:pPr>
      <w:r>
        <w:rPr>
          <w:rStyle w:val="FootnoteReference"/>
        </w:rPr>
        <w:footnoteRef/>
      </w:r>
      <w:r>
        <w:t xml:space="preserve"> Cross-references for "who filled their houses": Num 22:18; 1Kgs 10:27.</w:t>
      </w:r>
    </w:p>
  </w:footnote>
  <w:footnote w:id="10279">
    <w:p>
      <w:pPr>
        <w:pStyle w:val="FootnoteText"/>
      </w:pPr>
      <w:r>
        <w:rPr>
          <w:rStyle w:val="FootnoteReference"/>
        </w:rPr>
        <w:footnoteRef/>
      </w:r>
      <w:r>
        <w:t xml:space="preserve"> Cross-references for "light": Job 3:16; Job 33:28.</w:t>
      </w:r>
    </w:p>
  </w:footnote>
  <w:footnote w:id="10280">
    <w:p>
      <w:pPr>
        <w:pStyle w:val="FootnoteText"/>
      </w:pPr>
      <w:r>
        <w:rPr>
          <w:rStyle w:val="FootnoteReference"/>
        </w:rPr>
        <w:footnoteRef/>
      </w:r>
      <w:r>
        <w:t xml:space="preserve"> Cross-references for "long": Num 11:15; 1Kgs 19:4.</w:t>
      </w:r>
    </w:p>
  </w:footnote>
  <w:footnote w:id="10281">
    <w:p>
      <w:pPr>
        <w:pStyle w:val="FootnoteText"/>
      </w:pPr>
      <w:r>
        <w:rPr>
          <w:rStyle w:val="FootnoteReference"/>
        </w:rPr>
        <w:footnoteRef/>
      </w:r>
      <w:r>
        <w:t xml:space="preserve"> Cross-references for "Eliphaz": Job 2:11; Job 15:1.</w:t>
      </w:r>
    </w:p>
  </w:footnote>
  <w:footnote w:id="10282">
    <w:p>
      <w:pPr>
        <w:pStyle w:val="FootnoteText"/>
      </w:pPr>
      <w:r>
        <w:rPr>
          <w:rStyle w:val="FootnoteReference"/>
        </w:rPr>
        <w:footnoteRef/>
      </w:r>
      <w:r>
        <w:t xml:space="preserve"> Cross-references for "a spirit": Ps 104:4; Matt 14:26.</w:t>
      </w:r>
    </w:p>
  </w:footnote>
  <w:footnote w:id="10283">
    <w:p>
      <w:pPr>
        <w:pStyle w:val="FootnoteText"/>
      </w:pPr>
      <w:r>
        <w:rPr>
          <w:rStyle w:val="FootnoteReference"/>
        </w:rPr>
        <w:footnoteRef/>
      </w:r>
      <w:r>
        <w:t xml:space="preserve"> Cross-references for "Shall mortal": Gen 18:25; Job 8:3.</w:t>
      </w:r>
    </w:p>
  </w:footnote>
  <w:footnote w:id="10284">
    <w:p>
      <w:pPr>
        <w:pStyle w:val="FootnoteText"/>
      </w:pPr>
      <w:r>
        <w:rPr>
          <w:rStyle w:val="FootnoteReference"/>
        </w:rPr>
        <w:footnoteRef/>
      </w:r>
      <w:r>
        <w:t xml:space="preserve"> Cross-references for "from morning": Isa 38:12-13.</w:t>
      </w:r>
    </w:p>
  </w:footnote>
  <w:footnote w:id="10285">
    <w:p>
      <w:pPr>
        <w:pStyle w:val="FootnoteText"/>
      </w:pPr>
      <w:r>
        <w:rPr>
          <w:rStyle w:val="FootnoteReference"/>
        </w:rPr>
        <w:footnoteRef/>
      </w:r>
      <w:r>
        <w:t xml:space="preserve"> Cross-references for "unsearchable": Isa 40:28.</w:t>
      </w:r>
    </w:p>
  </w:footnote>
  <w:footnote w:id="10286">
    <w:p>
      <w:pPr>
        <w:pStyle w:val="FootnoteText"/>
      </w:pPr>
      <w:r>
        <w:rPr>
          <w:rStyle w:val="FootnoteReference"/>
        </w:rPr>
        <w:footnoteRef/>
      </w:r>
      <w:r>
        <w:t xml:space="preserve"> Cross-references for "those": Luke 6:21; Jas 1:9.</w:t>
      </w:r>
    </w:p>
  </w:footnote>
  <w:footnote w:id="10287">
    <w:p>
      <w:pPr>
        <w:pStyle w:val="FootnoteText"/>
      </w:pPr>
      <w:r>
        <w:rPr>
          <w:rStyle w:val="FootnoteReference"/>
        </w:rPr>
        <w:footnoteRef/>
      </w:r>
      <w:r>
        <w:t xml:space="preserve"> Cross-references for "their hands": Ps 21:11; Isa 37:36.</w:t>
      </w:r>
    </w:p>
  </w:footnote>
  <w:footnote w:id="10288">
    <w:p>
      <w:pPr>
        <w:pStyle w:val="FootnoteText"/>
      </w:pPr>
      <w:r>
        <w:rPr>
          <w:rStyle w:val="FootnoteReference"/>
        </w:rPr>
        <w:footnoteRef/>
      </w:r>
      <w:r>
        <w:t xml:space="preserve"> Cross-references for "darkness": Deut 28:29; Job 12:25.</w:t>
      </w:r>
    </w:p>
  </w:footnote>
  <w:footnote w:id="10289">
    <w:p>
      <w:pPr>
        <w:pStyle w:val="FootnoteText"/>
      </w:pPr>
      <w:r>
        <w:rPr>
          <w:rStyle w:val="FootnoteReference"/>
        </w:rPr>
        <w:footnoteRef/>
      </w:r>
      <w:r>
        <w:t xml:space="preserve"> Cross-references for "famine": Gen 45:7; 1Kgs 17:6.</w:t>
      </w:r>
    </w:p>
  </w:footnote>
  <w:footnote w:id="10290">
    <w:p>
      <w:pPr>
        <w:pStyle w:val="FootnoteText"/>
      </w:pPr>
      <w:r>
        <w:rPr>
          <w:rStyle w:val="FootnoteReference"/>
        </w:rPr>
        <w:footnoteRef/>
      </w:r>
      <w:r>
        <w:t xml:space="preserve"> Cross-references for "laugh": 2Kgs 19:21.</w:t>
      </w:r>
    </w:p>
  </w:footnote>
  <w:footnote w:id="10291">
    <w:p>
      <w:pPr>
        <w:pStyle w:val="FootnoteText"/>
      </w:pPr>
      <w:r>
        <w:rPr>
          <w:rStyle w:val="FootnoteReference"/>
        </w:rPr>
        <w:footnoteRef/>
      </w:r>
      <w:r>
        <w:t xml:space="preserve"> Cross-references for "beasts": Lev 26:6; Isa 11:9.</w:t>
      </w:r>
    </w:p>
  </w:footnote>
  <w:footnote w:id="10292">
    <w:p>
      <w:pPr>
        <w:pStyle w:val="FootnoteText"/>
      </w:pPr>
      <w:r>
        <w:rPr>
          <w:rStyle w:val="FootnoteReference"/>
        </w:rPr>
        <w:footnoteRef/>
      </w:r>
      <w:r>
        <w:t xml:space="preserve"> Cross-references for "heavier": Prov 27:3; Matt 11:28.</w:t>
      </w:r>
    </w:p>
  </w:footnote>
  <w:footnote w:id="10293">
    <w:p>
      <w:pPr>
        <w:pStyle w:val="FootnoteText"/>
      </w:pPr>
      <w:r>
        <w:rPr>
          <w:rStyle w:val="FootnoteReference"/>
        </w:rPr>
        <w:footnoteRef/>
      </w:r>
      <w:r>
        <w:t xml:space="preserve"> Cross-references for "taste": Job 6:30; Job 12:11.</w:t>
      </w:r>
    </w:p>
  </w:footnote>
  <w:footnote w:id="10294">
    <w:p>
      <w:pPr>
        <w:pStyle w:val="FootnoteText"/>
      </w:pPr>
      <w:r>
        <w:rPr>
          <w:rStyle w:val="FootnoteReference"/>
        </w:rPr>
        <w:footnoteRef/>
      </w:r>
      <w:r>
        <w:t xml:space="preserve"> Transliterated proper noun: Thaimanites. Standard English equivalent: Tema. Source form: Thaimanites. Greek form: θαιμανων. Name meaning: admiration; perfection; consummation.</w:t>
      </w:r>
    </w:p>
  </w:footnote>
  <w:footnote w:id="10295">
    <w:p>
      <w:pPr>
        <w:pStyle w:val="FootnoteText"/>
      </w:pPr>
      <w:r>
        <w:rPr>
          <w:rStyle w:val="FootnoteReference"/>
        </w:rPr>
        <w:footnoteRef/>
      </w:r>
      <w:r>
        <w:t xml:space="preserve"> Transliterated proper noun: Sabeans. Standard English equivalent: Sheba. Source form: Sabeans. Greek form: σαβων. Name meaning: captivity; old man; repose; oath.</w:t>
      </w:r>
    </w:p>
  </w:footnote>
  <w:footnote w:id="10296">
    <w:p>
      <w:pPr>
        <w:pStyle w:val="FootnoteText"/>
      </w:pPr>
      <w:r>
        <w:rPr>
          <w:rStyle w:val="FootnoteReference"/>
        </w:rPr>
        <w:footnoteRef/>
      </w:r>
      <w:r>
        <w:t xml:space="preserve"> Cross-references for "Tema": Gen 25:15; Isa 21:14.</w:t>
      </w:r>
    </w:p>
  </w:footnote>
  <w:footnote w:id="10297">
    <w:p>
      <w:pPr>
        <w:pStyle w:val="FootnoteText"/>
      </w:pPr>
      <w:r>
        <w:rPr>
          <w:rStyle w:val="FootnoteReference"/>
        </w:rPr>
        <w:footnoteRef/>
      </w:r>
      <w:r>
        <w:t xml:space="preserve"> Cross-references for "Teach me": Job 5:27; Job 32:11.</w:t>
      </w:r>
    </w:p>
  </w:footnote>
  <w:footnote w:id="10298">
    <w:p>
      <w:pPr>
        <w:pStyle w:val="FootnoteText"/>
      </w:pPr>
      <w:r>
        <w:rPr>
          <w:rStyle w:val="FootnoteReference"/>
        </w:rPr>
        <w:footnoteRef/>
      </w:r>
      <w:r>
        <w:t xml:space="preserve"> Cross-references for "Remember": Gen 42:36; Neh 1:8.</w:t>
      </w:r>
    </w:p>
  </w:footnote>
  <w:footnote w:id="10299">
    <w:p>
      <w:pPr>
        <w:pStyle w:val="FootnoteText"/>
      </w:pPr>
      <w:r>
        <w:rPr>
          <w:rStyle w:val="FootnoteReference"/>
        </w:rPr>
        <w:footnoteRef/>
      </w:r>
      <w:r>
        <w:t xml:space="preserve"> Cross-references for "My bed": Job 7:3-4; Job 9:27-28.</w:t>
      </w:r>
    </w:p>
  </w:footnote>
  <w:footnote w:id="10300">
    <w:p>
      <w:pPr>
        <w:pStyle w:val="FootnoteText"/>
      </w:pPr>
      <w:r>
        <w:rPr>
          <w:rStyle w:val="FootnoteReference"/>
        </w:rPr>
        <w:footnoteRef/>
      </w:r>
      <w:r>
        <w:t xml:space="preserve"> Cross-references for "What is man": Ps 8:4; Ps 144:3.</w:t>
      </w:r>
    </w:p>
  </w:footnote>
  <w:footnote w:id="10301">
    <w:p>
      <w:pPr>
        <w:pStyle w:val="FootnoteText"/>
      </w:pPr>
      <w:r>
        <w:rPr>
          <w:rStyle w:val="FootnoteReference"/>
        </w:rPr>
        <w:footnoteRef/>
      </w:r>
      <w:r>
        <w:t xml:space="preserve"> Cross-references for "Bildad": Job 2:11.</w:t>
      </w:r>
    </w:p>
  </w:footnote>
  <w:footnote w:id="10302">
    <w:p>
      <w:pPr>
        <w:pStyle w:val="FootnoteText"/>
      </w:pPr>
      <w:r>
        <w:rPr>
          <w:rStyle w:val="FootnoteReference"/>
        </w:rPr>
        <w:footnoteRef/>
      </w:r>
      <w:r>
        <w:t xml:space="preserve"> People-name: Shuhite. People-name meaning: Shuhite — descendant or inhabitant of Shuah. Source form: Shuhite.</w:t>
      </w:r>
    </w:p>
  </w:footnote>
  <w:footnote w:id="10303">
    <w:p>
      <w:pPr>
        <w:pStyle w:val="FootnoteText"/>
      </w:pPr>
      <w:r>
        <w:rPr>
          <w:rStyle w:val="FootnoteReference"/>
        </w:rPr>
        <w:footnoteRef/>
      </w:r>
      <w:r>
        <w:t xml:space="preserve"> Cross-references for "How long": Exod 10:3; Exod 10:7.</w:t>
      </w:r>
    </w:p>
  </w:footnote>
  <w:footnote w:id="10304">
    <w:p>
      <w:pPr>
        <w:pStyle w:val="FootnoteText"/>
      </w:pPr>
      <w:r>
        <w:rPr>
          <w:rStyle w:val="FootnoteReference"/>
        </w:rPr>
        <w:footnoteRef/>
      </w:r>
      <w:r>
        <w:t xml:space="preserve"> Translation note: Article cleanup: English supplies the before dwelling for readable subject syntax.</w:t>
      </w:r>
    </w:p>
  </w:footnote>
  <w:footnote w:id="10305">
    <w:p>
      <w:pPr>
        <w:pStyle w:val="FootnoteText"/>
      </w:pPr>
      <w:r>
        <w:rPr>
          <w:rStyle w:val="FootnoteReference"/>
        </w:rPr>
        <w:footnoteRef/>
      </w:r>
      <w:r>
        <w:t xml:space="preserve"> Translation note: The Greek asks the righteousness question directly. The current wording preserves that line.</w:t>
      </w:r>
    </w:p>
  </w:footnote>
  <w:footnote w:id="10306">
    <w:p>
      <w:pPr>
        <w:pStyle w:val="FootnoteText"/>
      </w:pPr>
      <w:r>
        <w:rPr>
          <w:rStyle w:val="FootnoteReference"/>
        </w:rPr>
        <w:footnoteRef/>
      </w:r>
      <w:r>
        <w:t xml:space="preserve"> Cross-references for "my judge": Job 23:7; 1Pet 2:23.</w:t>
      </w:r>
    </w:p>
  </w:footnote>
  <w:footnote w:id="10307">
    <w:p>
      <w:pPr>
        <w:pStyle w:val="FootnoteText"/>
      </w:pPr>
      <w:r>
        <w:rPr>
          <w:rStyle w:val="FootnoteReference"/>
        </w:rPr>
        <w:footnoteRef/>
      </w:r>
      <w:r>
        <w:t xml:space="preserve"> Cross-references for "he is strong": Job 9:4; Job 36:17-19.</w:t>
      </w:r>
    </w:p>
  </w:footnote>
  <w:footnote w:id="10308">
    <w:p>
      <w:pPr>
        <w:pStyle w:val="FootnoteText"/>
      </w:pPr>
      <w:r>
        <w:rPr>
          <w:rStyle w:val="FootnoteReference"/>
        </w:rPr>
        <w:footnoteRef/>
      </w:r>
      <w:r>
        <w:t xml:space="preserve"> Translation note: Article cleanup: English supplies the for the righteous class-group subject.</w:t>
      </w:r>
    </w:p>
  </w:footnote>
  <w:footnote w:id="10309">
    <w:p>
      <w:pPr>
        <w:pStyle w:val="FootnoteText"/>
      </w:pPr>
      <w:r>
        <w:rPr>
          <w:rStyle w:val="FootnoteReference"/>
        </w:rPr>
        <w:footnoteRef/>
      </w:r>
      <w:r>
        <w:t xml:space="preserve"> Cross-references for "earth": Job 12:6-10; Job 21:7-15.</w:t>
      </w:r>
    </w:p>
  </w:footnote>
  <w:footnote w:id="10310">
    <w:p>
      <w:pPr>
        <w:pStyle w:val="FootnoteText"/>
      </w:pPr>
      <w:r>
        <w:rPr>
          <w:rStyle w:val="FootnoteReference"/>
        </w:rPr>
        <w:footnoteRef/>
      </w:r>
      <w:r>
        <w:t xml:space="preserve"> Cross-references for "my soul": Num 11:15; 1Kgs 19:4.</w:t>
      </w:r>
    </w:p>
  </w:footnote>
  <w:footnote w:id="10311">
    <w:p>
      <w:pPr>
        <w:pStyle w:val="FootnoteText"/>
      </w:pPr>
      <w:r>
        <w:rPr>
          <w:rStyle w:val="FootnoteReference"/>
        </w:rPr>
        <w:footnoteRef/>
      </w:r>
      <w:r>
        <w:t xml:space="preserve"> Cross-references for "Do not": Ps 6:1-4; Ps 25:7.</w:t>
      </w:r>
    </w:p>
  </w:footnote>
  <w:footnote w:id="10312">
    <w:p>
      <w:pPr>
        <w:pStyle w:val="FootnoteText"/>
      </w:pPr>
      <w:r>
        <w:rPr>
          <w:rStyle w:val="FootnoteReference"/>
        </w:rPr>
        <w:footnoteRef/>
      </w:r>
      <w:r>
        <w:t xml:space="preserve"> Cross-references for "Is it good": Job 34:5-7; Job 34:18-19.</w:t>
      </w:r>
    </w:p>
  </w:footnote>
  <w:footnote w:id="10313">
    <w:p>
      <w:pPr>
        <w:pStyle w:val="FootnoteText"/>
      </w:pPr>
      <w:r>
        <w:rPr>
          <w:rStyle w:val="FootnoteReference"/>
        </w:rPr>
        <w:footnoteRef/>
      </w:r>
      <w:r>
        <w:t xml:space="preserve"> Cross-references for "hands": Ps 119:73; Isa 43:7.</w:t>
      </w:r>
    </w:p>
  </w:footnote>
  <w:footnote w:id="10314">
    <w:p>
      <w:pPr>
        <w:pStyle w:val="FootnoteText"/>
      </w:pPr>
      <w:r>
        <w:rPr>
          <w:rStyle w:val="FootnoteReference"/>
        </w:rPr>
        <w:footnoteRef/>
      </w:r>
      <w:r>
        <w:t xml:space="preserve"> Cross-references for "Remember": Job 7:7; Ps 25:6-7.</w:t>
      </w:r>
    </w:p>
  </w:footnote>
  <w:footnote w:id="10315">
    <w:p>
      <w:pPr>
        <w:pStyle w:val="FootnoteText"/>
      </w:pPr>
      <w:r>
        <w:rPr>
          <w:rStyle w:val="FootnoteReference"/>
        </w:rPr>
        <w:footnoteRef/>
      </w:r>
      <w:r>
        <w:t xml:space="preserve"> Cross-references for "clothed": 2Cor 5:2-3.</w:t>
      </w:r>
    </w:p>
  </w:footnote>
  <w:footnote w:id="10316">
    <w:p>
      <w:pPr>
        <w:pStyle w:val="FootnoteText"/>
      </w:pPr>
      <w:r>
        <w:rPr>
          <w:rStyle w:val="FootnoteReference"/>
        </w:rPr>
        <w:footnoteRef/>
      </w:r>
      <w:r>
        <w:t xml:space="preserve"> Cross-references for "righteous": Job 9:12; Job 9:15.</w:t>
      </w:r>
    </w:p>
  </w:footnote>
  <w:footnote w:id="10317">
    <w:p>
      <w:pPr>
        <w:pStyle w:val="FootnoteText"/>
      </w:pPr>
      <w:r>
        <w:rPr>
          <w:rStyle w:val="FootnoteReference"/>
        </w:rPr>
        <w:footnoteRef/>
      </w:r>
      <w:r>
        <w:t xml:space="preserve"> Cross-references for "Zophar": Job 2:11; Job 20:1.</w:t>
      </w:r>
    </w:p>
  </w:footnote>
  <w:footnote w:id="10318">
    <w:p>
      <w:pPr>
        <w:pStyle w:val="FootnoteText"/>
      </w:pPr>
      <w:r>
        <w:rPr>
          <w:rStyle w:val="FootnoteReference"/>
        </w:rPr>
        <w:footnoteRef/>
      </w:r>
      <w:r>
        <w:t xml:space="preserve"> Cross-references for "Deeper": Job 26:6; Ps 139:6-8.</w:t>
      </w:r>
    </w:p>
  </w:footnote>
  <w:footnote w:id="10319">
    <w:p>
      <w:pPr>
        <w:pStyle w:val="FootnoteText"/>
      </w:pPr>
      <w:r>
        <w:rPr>
          <w:rStyle w:val="FootnoteReference"/>
        </w:rPr>
        <w:footnoteRef/>
      </w:r>
      <w:r>
        <w:t xml:space="preserve"> Cross-references for "Longer": Job 28:24-25; Ps 65:5-8.</w:t>
      </w:r>
    </w:p>
  </w:footnote>
  <w:footnote w:id="10320">
    <w:p>
      <w:pPr>
        <w:pStyle w:val="FootnoteText"/>
      </w:pPr>
      <w:r>
        <w:rPr>
          <w:rStyle w:val="FootnoteReference"/>
        </w:rPr>
        <w:footnoteRef/>
      </w:r>
      <w:r>
        <w:t xml:space="preserve"> Translation note: Article cleanup: English supplies the before works for readable object syntax.</w:t>
      </w:r>
    </w:p>
  </w:footnote>
  <w:footnote w:id="10321">
    <w:p>
      <w:pPr>
        <w:pStyle w:val="FootnoteText"/>
      </w:pPr>
      <w:r>
        <w:rPr>
          <w:rStyle w:val="FootnoteReference"/>
        </w:rPr>
        <w:footnoteRef/>
      </w:r>
      <w:r>
        <w:t xml:space="preserve"> Cross-references for "stretch": Ps 68:31; Ps 88:9.</w:t>
      </w:r>
    </w:p>
  </w:footnote>
  <w:footnote w:id="10322">
    <w:p>
      <w:pPr>
        <w:pStyle w:val="FootnoteText"/>
      </w:pPr>
      <w:r>
        <w:rPr>
          <w:rStyle w:val="FootnoteReference"/>
        </w:rPr>
        <w:footnoteRef/>
      </w:r>
      <w:r>
        <w:t xml:space="preserve"> Cross-references for "put it far": Job 22:23; Job 34:32.</w:t>
      </w:r>
    </w:p>
  </w:footnote>
  <w:footnote w:id="10323">
    <w:p>
      <w:pPr>
        <w:pStyle w:val="FootnoteText"/>
      </w:pPr>
      <w:r>
        <w:rPr>
          <w:rStyle w:val="FootnoteReference"/>
        </w:rPr>
        <w:footnoteRef/>
      </w:r>
      <w:r>
        <w:t xml:space="preserve"> Translation note: Article cleanup: English supplies the before eyes for readable subject syntax.</w:t>
      </w:r>
    </w:p>
  </w:footnote>
  <w:footnote w:id="10324">
    <w:p>
      <w:pPr>
        <w:pStyle w:val="FootnoteText"/>
      </w:pPr>
      <w:r>
        <w:rPr>
          <w:rStyle w:val="FootnoteReference"/>
        </w:rPr>
        <w:footnoteRef/>
      </w:r>
      <w:r>
        <w:t xml:space="preserve"> Cross-references for "the eyes": Lev 26:16; Deut 28:65.</w:t>
      </w:r>
    </w:p>
  </w:footnote>
  <w:footnote w:id="10325">
    <w:p>
      <w:pPr>
        <w:pStyle w:val="FootnoteText"/>
      </w:pPr>
      <w:r>
        <w:rPr>
          <w:rStyle w:val="FootnoteReference"/>
        </w:rPr>
        <w:footnoteRef/>
      </w:r>
      <w:r>
        <w:t xml:space="preserve"> Translation note: Article cleanup: English supplies an for appointed time in the opening subject phrase.</w:t>
      </w:r>
    </w:p>
  </w:footnote>
  <w:footnote w:id="10326">
    <w:p>
      <w:pPr>
        <w:pStyle w:val="FootnoteText"/>
      </w:pPr>
      <w:r>
        <w:rPr>
          <w:rStyle w:val="FootnoteReference"/>
        </w:rPr>
        <w:footnoteRef/>
      </w:r>
      <w:r>
        <w:t xml:space="preserve"> Cross-references for "the hand": Deut 8:17-18; 1Sam 2:7.</w:t>
      </w:r>
    </w:p>
  </w:footnote>
  <w:footnote w:id="10327">
    <w:p>
      <w:pPr>
        <w:pStyle w:val="FootnoteText"/>
      </w:pPr>
      <w:r>
        <w:rPr>
          <w:rStyle w:val="FootnoteReference"/>
        </w:rPr>
        <w:footnoteRef/>
      </w:r>
      <w:r>
        <w:t xml:space="preserve"> Cross-references for "wisdom": Job 9:4; Job 12:16.</w:t>
      </w:r>
    </w:p>
  </w:footnote>
  <w:footnote w:id="10328">
    <w:p>
      <w:pPr>
        <w:pStyle w:val="FootnoteText"/>
      </w:pPr>
      <w:r>
        <w:rPr>
          <w:rStyle w:val="FootnoteReference"/>
        </w:rPr>
        <w:footnoteRef/>
      </w:r>
      <w:r>
        <w:t xml:space="preserve"> Cross-references for "grope": Gen 19:11; Deut 28:29.</w:t>
      </w:r>
    </w:p>
  </w:footnote>
  <w:footnote w:id="10329">
    <w:p>
      <w:pPr>
        <w:pStyle w:val="FootnoteText"/>
      </w:pPr>
      <w:r>
        <w:rPr>
          <w:rStyle w:val="FootnoteReference"/>
        </w:rPr>
        <w:footnoteRef/>
      </w:r>
      <w:r>
        <w:t xml:space="preserve"> Cross-references for "physicians": Job 6:21; Job 16:2.</w:t>
      </w:r>
    </w:p>
  </w:footnote>
  <w:footnote w:id="10330">
    <w:p>
      <w:pPr>
        <w:pStyle w:val="FootnoteText"/>
      </w:pPr>
      <w:r>
        <w:rPr>
          <w:rStyle w:val="FootnoteReference"/>
        </w:rPr>
        <w:footnoteRef/>
      </w:r>
      <w:r>
        <w:t xml:space="preserve"> Cross-references for "and it": Prov 17:28; Eccl 5:3.</w:t>
      </w:r>
    </w:p>
  </w:footnote>
  <w:footnote w:id="10331">
    <w:p>
      <w:pPr>
        <w:pStyle w:val="FootnoteText"/>
      </w:pPr>
      <w:r>
        <w:rPr>
          <w:rStyle w:val="FootnoteReference"/>
        </w:rPr>
        <w:footnoteRef/>
      </w:r>
      <w:r>
        <w:t xml:space="preserve"> Cross-references for "reprove": Job 42:7-8; Ps 50:21-22.</w:t>
      </w:r>
    </w:p>
  </w:footnote>
  <w:footnote w:id="10332">
    <w:p>
      <w:pPr>
        <w:pStyle w:val="FootnoteText"/>
      </w:pPr>
      <w:r>
        <w:rPr>
          <w:rStyle w:val="FootnoteReference"/>
        </w:rPr>
        <w:footnoteRef/>
      </w:r>
      <w:r>
        <w:t xml:space="preserve"> Cross-references for "ashes": Gen 18:27.</w:t>
      </w:r>
    </w:p>
  </w:footnote>
  <w:footnote w:id="10333">
    <w:p>
      <w:pPr>
        <w:pStyle w:val="FootnoteText"/>
      </w:pPr>
      <w:r>
        <w:rPr>
          <w:rStyle w:val="FootnoteReference"/>
        </w:rPr>
        <w:footnoteRef/>
      </w:r>
      <w:r>
        <w:t xml:space="preserve"> Cross-references for "let not": Job 13:11; Job 33:7.</w:t>
      </w:r>
    </w:p>
  </w:footnote>
  <w:footnote w:id="10334">
    <w:p>
      <w:pPr>
        <w:pStyle w:val="FootnoteText"/>
      </w:pPr>
      <w:r>
        <w:rPr>
          <w:rStyle w:val="FootnoteReference"/>
        </w:rPr>
        <w:footnoteRef/>
      </w:r>
      <w:r>
        <w:t xml:space="preserve"> Cross-references for "born": Job 15:14; Job 25:4.</w:t>
      </w:r>
    </w:p>
  </w:footnote>
  <w:footnote w:id="10335">
    <w:p>
      <w:pPr>
        <w:pStyle w:val="FootnoteText"/>
      </w:pPr>
      <w:r>
        <w:rPr>
          <w:rStyle w:val="FootnoteReference"/>
        </w:rPr>
        <w:footnoteRef/>
      </w:r>
      <w:r>
        <w:t xml:space="preserve"> Cross-references for "So man": Job 10:21-22; Job 30:23.</w:t>
      </w:r>
    </w:p>
  </w:footnote>
  <w:footnote w:id="10336">
    <w:p>
      <w:pPr>
        <w:pStyle w:val="FootnoteText"/>
      </w:pPr>
      <w:r>
        <w:rPr>
          <w:rStyle w:val="FootnoteReference"/>
        </w:rPr>
        <w:footnoteRef/>
      </w:r>
      <w:r>
        <w:t xml:space="preserve"> Cross-references for "remember": Gen 8:1; Ps 106:4.</w:t>
      </w:r>
    </w:p>
  </w:footnote>
  <w:footnote w:id="10337">
    <w:p>
      <w:pPr>
        <w:pStyle w:val="FootnoteText"/>
      </w:pPr>
      <w:r>
        <w:rPr>
          <w:rStyle w:val="FootnoteReference"/>
        </w:rPr>
        <w:footnoteRef/>
      </w:r>
      <w:r>
        <w:t xml:space="preserve"> Cross-references for "his flesh": Job 19:20; Job 19:22.</w:t>
      </w:r>
    </w:p>
  </w:footnote>
  <w:footnote w:id="10338">
    <w:p>
      <w:pPr>
        <w:pStyle w:val="FootnoteText"/>
      </w:pPr>
      <w:r>
        <w:rPr>
          <w:rStyle w:val="FootnoteReference"/>
        </w:rPr>
        <w:footnoteRef/>
      </w:r>
      <w:r>
        <w:t xml:space="preserve"> Cross-references for "Eliphaz": Job 2:11; Job 4:1.</w:t>
      </w:r>
    </w:p>
  </w:footnote>
  <w:footnote w:id="10339">
    <w:p>
      <w:pPr>
        <w:pStyle w:val="FootnoteText"/>
      </w:pPr>
      <w:r>
        <w:rPr>
          <w:rStyle w:val="FootnoteReference"/>
        </w:rPr>
        <w:footnoteRef/>
      </w:r>
      <w:r>
        <w:t xml:space="preserve"> Cross-references for "fill": Hos 12:1.</w:t>
      </w:r>
    </w:p>
  </w:footnote>
  <w:footnote w:id="10340">
    <w:p>
      <w:pPr>
        <w:pStyle w:val="FootnoteText"/>
      </w:pPr>
      <w:r>
        <w:rPr>
          <w:rStyle w:val="FootnoteReference"/>
        </w:rPr>
        <w:footnoteRef/>
      </w:r>
      <w:r>
        <w:t xml:space="preserve"> Cross-references for "own mouth": Job 9:20; Ps 64:8.</w:t>
      </w:r>
    </w:p>
  </w:footnote>
  <w:footnote w:id="10341">
    <w:p>
      <w:pPr>
        <w:pStyle w:val="FootnoteText"/>
      </w:pPr>
      <w:r>
        <w:rPr>
          <w:rStyle w:val="FootnoteReference"/>
        </w:rPr>
        <w:footnoteRef/>
      </w:r>
      <w:r>
        <w:t xml:space="preserve"> Cross-references for "abominable": Job 4:19; Job 42:6.</w:t>
      </w:r>
    </w:p>
  </w:footnote>
  <w:footnote w:id="10342">
    <w:p>
      <w:pPr>
        <w:pStyle w:val="FootnoteText"/>
      </w:pPr>
      <w:r>
        <w:rPr>
          <w:rStyle w:val="FootnoteReference"/>
        </w:rPr>
        <w:footnoteRef/>
      </w:r>
      <w:r>
        <w:t xml:space="preserve"> Cross-references for "hear me": Job 5:27; Job 13:5-6.</w:t>
      </w:r>
    </w:p>
  </w:footnote>
  <w:footnote w:id="10343">
    <w:p>
      <w:pPr>
        <w:pStyle w:val="FootnoteText"/>
      </w:pPr>
      <w:r>
        <w:rPr>
          <w:rStyle w:val="FootnoteReference"/>
        </w:rPr>
        <w:footnoteRef/>
      </w:r>
      <w:r>
        <w:t xml:space="preserve"> Cross-references for "from their": Job 8:8; Job 15:10.</w:t>
      </w:r>
    </w:p>
  </w:footnote>
  <w:footnote w:id="10344">
    <w:p>
      <w:pPr>
        <w:pStyle w:val="FootnoteText"/>
      </w:pPr>
      <w:r>
        <w:rPr>
          <w:rStyle w:val="FootnoteReference"/>
        </w:rPr>
        <w:footnoteRef/>
      </w:r>
      <w:r>
        <w:t xml:space="preserve"> Translation note: Article cleanup: English supplies articles for readable subject and indirect-object syntax.</w:t>
      </w:r>
    </w:p>
  </w:footnote>
  <w:footnote w:id="10345">
    <w:p>
      <w:pPr>
        <w:pStyle w:val="FootnoteText"/>
      </w:pPr>
      <w:r>
        <w:rPr>
          <w:rStyle w:val="FootnoteReference"/>
        </w:rPr>
        <w:footnoteRef/>
      </w:r>
      <w:r>
        <w:t xml:space="preserve"> Translation note: Article cleanup: English supplies the before witness for readable subject syntax.</w:t>
      </w:r>
    </w:p>
  </w:footnote>
  <w:footnote w:id="10346">
    <w:p>
      <w:pPr>
        <w:pStyle w:val="FootnoteText"/>
      </w:pPr>
      <w:r>
        <w:rPr>
          <w:rStyle w:val="FootnoteReference"/>
        </w:rPr>
        <w:footnoteRef/>
      </w:r>
      <w:r>
        <w:t xml:space="preserve"> Cross-references for "heard": Job 6:6; Job 6:25.</w:t>
      </w:r>
    </w:p>
  </w:footnote>
  <w:footnote w:id="10347">
    <w:p>
      <w:pPr>
        <w:pStyle w:val="FootnoteText"/>
      </w:pPr>
      <w:r>
        <w:rPr>
          <w:rStyle w:val="FootnoteReference"/>
        </w:rPr>
        <w:footnoteRef/>
      </w:r>
      <w:r>
        <w:t xml:space="preserve"> Translation note: Article cleanup: English supplies an for readable singular indefinite idiom.</w:t>
      </w:r>
    </w:p>
  </w:footnote>
  <w:footnote w:id="10348">
    <w:p>
      <w:pPr>
        <w:pStyle w:val="FootnoteText"/>
      </w:pPr>
      <w:r>
        <w:rPr>
          <w:rStyle w:val="FootnoteReference"/>
        </w:rPr>
        <w:footnoteRef/>
      </w:r>
      <w:r>
        <w:t xml:space="preserve"> Cross-references for "set me up": Job 7:12; Job 7:20.</w:t>
      </w:r>
    </w:p>
  </w:footnote>
  <w:footnote w:id="10349">
    <w:p>
      <w:pPr>
        <w:pStyle w:val="FootnoteText"/>
      </w:pPr>
      <w:r>
        <w:rPr>
          <w:rStyle w:val="FootnoteReference"/>
        </w:rPr>
        <w:footnoteRef/>
      </w:r>
      <w:r>
        <w:t xml:space="preserve"> Cross-references for "sewed": 1Kgs 21:27; Isa 22:12.</w:t>
      </w:r>
    </w:p>
  </w:footnote>
  <w:footnote w:id="10350">
    <w:p>
      <w:pPr>
        <w:pStyle w:val="FootnoteText"/>
      </w:pPr>
      <w:r>
        <w:rPr>
          <w:rStyle w:val="FootnoteReference"/>
        </w:rPr>
        <w:footnoteRef/>
      </w:r>
      <w:r>
        <w:t xml:space="preserve"> Cross-references for "my prayer": Job 8:5-6; Ps 66:18-19.</w:t>
      </w:r>
    </w:p>
  </w:footnote>
  <w:footnote w:id="10351">
    <w:p>
      <w:pPr>
        <w:pStyle w:val="FootnoteText"/>
      </w:pPr>
      <w:r>
        <w:rPr>
          <w:rStyle w:val="FootnoteReference"/>
        </w:rPr>
        <w:footnoteRef/>
      </w:r>
      <w:r>
        <w:t xml:space="preserve"> Cross-references for "my witness": 1Sam 12:5; Rom 1:9.</w:t>
      </w:r>
    </w:p>
  </w:footnote>
  <w:footnote w:id="10352">
    <w:p>
      <w:pPr>
        <w:pStyle w:val="FootnoteText"/>
      </w:pPr>
      <w:r>
        <w:rPr>
          <w:rStyle w:val="FootnoteReference"/>
        </w:rPr>
        <w:footnoteRef/>
      </w:r>
      <w:r>
        <w:t xml:space="preserve"> Translation note: Greek has singular righteous and lawless substantives. English supplies articles for readable class-noun idiom.</w:t>
      </w:r>
    </w:p>
  </w:footnote>
  <w:footnote w:id="10353">
    <w:p>
      <w:pPr>
        <w:pStyle w:val="FootnoteText"/>
      </w:pPr>
      <w:r>
        <w:rPr>
          <w:rStyle w:val="FootnoteReference"/>
        </w:rPr>
        <w:footnoteRef/>
      </w:r>
      <w:r>
        <w:t xml:space="preserve"> Cross-references for "clean": Gen 20:5; Ps 24:4.</w:t>
      </w:r>
    </w:p>
  </w:footnote>
  <w:footnote w:id="10354">
    <w:p>
      <w:pPr>
        <w:pStyle w:val="FootnoteText"/>
      </w:pPr>
      <w:r>
        <w:rPr>
          <w:rStyle w:val="FootnoteReference"/>
        </w:rPr>
        <w:footnoteRef/>
      </w:r>
      <w:r>
        <w:t xml:space="preserve"> Cross-references for "for I": Job 15:9; Job 17:4.</w:t>
      </w:r>
    </w:p>
  </w:footnote>
  <w:footnote w:id="10355">
    <w:p>
      <w:pPr>
        <w:pStyle w:val="FootnoteText"/>
      </w:pPr>
      <w:r>
        <w:rPr>
          <w:rStyle w:val="FootnoteReference"/>
        </w:rPr>
        <w:footnoteRef/>
      </w:r>
      <w:r>
        <w:t xml:space="preserve"> Cross-references for "My days": Job 7:6; Job 9:25-26.</w:t>
      </w:r>
    </w:p>
  </w:footnote>
  <w:footnote w:id="10356">
    <w:p>
      <w:pPr>
        <w:pStyle w:val="FootnoteText"/>
      </w:pPr>
      <w:r>
        <w:rPr>
          <w:rStyle w:val="FootnoteReference"/>
        </w:rPr>
        <w:footnoteRef/>
      </w:r>
      <w:r>
        <w:t xml:space="preserve"> Cross-references for "my hope": Job 4:6; Job 6:11.</w:t>
      </w:r>
    </w:p>
  </w:footnote>
  <w:footnote w:id="10357">
    <w:p>
      <w:pPr>
        <w:pStyle w:val="FootnoteText"/>
      </w:pPr>
      <w:r>
        <w:rPr>
          <w:rStyle w:val="FootnoteReference"/>
        </w:rPr>
        <w:footnoteRef/>
      </w:r>
      <w:r>
        <w:t xml:space="preserve"> Cross-references for "Bildad": Job 2:11; Job 8:1.</w:t>
      </w:r>
    </w:p>
  </w:footnote>
  <w:footnote w:id="10358">
    <w:p>
      <w:pPr>
        <w:pStyle w:val="FootnoteText"/>
      </w:pPr>
      <w:r>
        <w:rPr>
          <w:rStyle w:val="FootnoteReference"/>
        </w:rPr>
        <w:footnoteRef/>
      </w:r>
      <w:r>
        <w:t xml:space="preserve"> Cross-references for "How long": Job 8:2; Job 11:2.</w:t>
      </w:r>
    </w:p>
  </w:footnote>
  <w:footnote w:id="10359">
    <w:p>
      <w:pPr>
        <w:pStyle w:val="FootnoteText"/>
      </w:pPr>
      <w:r>
        <w:rPr>
          <w:rStyle w:val="FootnoteReference"/>
        </w:rPr>
        <w:footnoteRef/>
      </w:r>
      <w:r>
        <w:t xml:space="preserve"> Translation note: Syntax cleanup: English uses their flame for the Greek possessive phrase.</w:t>
      </w:r>
    </w:p>
  </w:footnote>
  <w:footnote w:id="10360">
    <w:p>
      <w:pPr>
        <w:pStyle w:val="FootnoteText"/>
      </w:pPr>
      <w:r>
        <w:rPr>
          <w:rStyle w:val="FootnoteReference"/>
        </w:rPr>
        <w:footnoteRef/>
      </w:r>
      <w:r>
        <w:t xml:space="preserve"> Cross-references for "the light": Job 20:5; Prov 4:19.</w:t>
      </w:r>
    </w:p>
  </w:footnote>
  <w:footnote w:id="10361">
    <w:p>
      <w:pPr>
        <w:pStyle w:val="FootnoteText"/>
      </w:pPr>
      <w:r>
        <w:rPr>
          <w:rStyle w:val="FootnoteReference"/>
        </w:rPr>
        <w:footnoteRef/>
      </w:r>
      <w:r>
        <w:t xml:space="preserve"> Cross-references for "roots": Job 29:19; Isa 5:24.</w:t>
      </w:r>
    </w:p>
  </w:footnote>
  <w:footnote w:id="10362">
    <w:p>
      <w:pPr>
        <w:pStyle w:val="FootnoteText"/>
      </w:pPr>
      <w:r>
        <w:rPr>
          <w:rStyle w:val="FootnoteReference"/>
        </w:rPr>
        <w:footnoteRef/>
      </w:r>
      <w:r>
        <w:t xml:space="preserve"> Cross-references for "magnify": Ps 35:26; Ps 38:16.</w:t>
      </w:r>
    </w:p>
  </w:footnote>
  <w:footnote w:id="10363">
    <w:p>
      <w:pPr>
        <w:pStyle w:val="FootnoteText"/>
      </w:pPr>
      <w:r>
        <w:rPr>
          <w:rStyle w:val="FootnoteReference"/>
        </w:rPr>
        <w:footnoteRef/>
      </w:r>
      <w:r>
        <w:t xml:space="preserve"> Cross-references for "stripped": Job 29:7-14; Job 29:20-21.</w:t>
      </w:r>
    </w:p>
  </w:footnote>
  <w:footnote w:id="10364">
    <w:p>
      <w:pPr>
        <w:pStyle w:val="FootnoteText"/>
      </w:pPr>
      <w:r>
        <w:rPr>
          <w:rStyle w:val="FootnoteReference"/>
        </w:rPr>
        <w:footnoteRef/>
      </w:r>
      <w:r>
        <w:t xml:space="preserve"> Cross-references for "I am gone": Job 17:11; Ps 102:11.</w:t>
      </w:r>
    </w:p>
  </w:footnote>
  <w:footnote w:id="10365">
    <w:p>
      <w:pPr>
        <w:pStyle w:val="FootnoteText"/>
      </w:pPr>
      <w:r>
        <w:rPr>
          <w:rStyle w:val="FootnoteReference"/>
        </w:rPr>
        <w:footnoteRef/>
      </w:r>
      <w:r>
        <w:t xml:space="preserve"> Cross-references for "my servant": Job 1:15-16; Job 1:17.</w:t>
      </w:r>
    </w:p>
  </w:footnote>
  <w:footnote w:id="10366">
    <w:p>
      <w:pPr>
        <w:pStyle w:val="FootnoteText"/>
      </w:pPr>
      <w:r>
        <w:rPr>
          <w:rStyle w:val="FootnoteReference"/>
        </w:rPr>
        <w:footnoteRef/>
      </w:r>
      <w:r>
        <w:t xml:space="preserve"> Cross-references for "the hand": Job 1:11; Job 2:5.</w:t>
      </w:r>
    </w:p>
  </w:footnote>
  <w:footnote w:id="10367">
    <w:p>
      <w:pPr>
        <w:pStyle w:val="FootnoteText"/>
      </w:pPr>
      <w:r>
        <w:rPr>
          <w:rStyle w:val="FootnoteReference"/>
        </w:rPr>
        <w:footnoteRef/>
      </w:r>
      <w:r>
        <w:t xml:space="preserve"> Cross-references for "persecute": Job 10:16; Job 16:13-14.</w:t>
      </w:r>
    </w:p>
  </w:footnote>
  <w:footnote w:id="10368">
    <w:p>
      <w:pPr>
        <w:pStyle w:val="FootnoteText"/>
      </w:pPr>
      <w:r>
        <w:rPr>
          <w:rStyle w:val="FootnoteReference"/>
        </w:rPr>
        <w:footnoteRef/>
      </w:r>
      <w:r>
        <w:t xml:space="preserve"> Cross-references for "my words": Job 31:35; Isa 8:1.</w:t>
      </w:r>
    </w:p>
  </w:footnote>
  <w:footnote w:id="10369">
    <w:p>
      <w:pPr>
        <w:pStyle w:val="FootnoteText"/>
      </w:pPr>
      <w:r>
        <w:rPr>
          <w:rStyle w:val="FootnoteReference"/>
        </w:rPr>
        <w:footnoteRef/>
      </w:r>
      <w:r>
        <w:t xml:space="preserve"> Translation note: Greek places eternal before the freeing figure. This revision keeps that LXX word order visible while making the English sentence complete.</w:t>
      </w:r>
    </w:p>
  </w:footnote>
  <w:footnote w:id="10370">
    <w:p>
      <w:pPr>
        <w:pStyle w:val="FootnoteText"/>
      </w:pPr>
      <w:r>
        <w:rPr>
          <w:rStyle w:val="FootnoteReference"/>
        </w:rPr>
        <w:footnoteRef/>
      </w:r>
      <w:r>
        <w:t xml:space="preserve"> Hebrew divine name/title: Goel (</w:t>
      </w:r>
      <w:r>
        <w:rPr>
          <w:lang w:val="he-IL" w:bidi="he-IL"/>
          <w:rtl/>
        </w:rPr>
        <w:t xml:space="preserve">גֹּאֵל</w:t>
      </w:r>
      <w:r>
        <w:t xml:space="preserve">) — Redeemer; Kinsman-Redeemer. Common English rendering: redeemer. Proclaims God as the one who vindicates, rescues, and stands for His own.</w:t>
      </w:r>
    </w:p>
  </w:footnote>
  <w:footnote w:id="10371">
    <w:p>
      <w:pPr>
        <w:pStyle w:val="FootnoteText"/>
      </w:pPr>
      <w:r>
        <w:rPr>
          <w:rStyle w:val="FootnoteReference"/>
        </w:rPr>
        <w:footnoteRef/>
      </w:r>
      <w:r>
        <w:t xml:space="preserve"> Greek LXX divine name/title: Ho eklyein me mellon (ὁ ἐκλύειν με μέλλων) — the one about to free me. Common English rendering: the one about to free me. At Job 19:25 the LXX uses freeing-language instead of a simple redeemer noun.</w:t>
      </w:r>
    </w:p>
  </w:footnote>
  <w:footnote w:id="10372">
    <w:p>
      <w:pPr>
        <w:pStyle w:val="FootnoteText"/>
      </w:pPr>
      <w:r>
        <w:rPr>
          <w:rStyle w:val="FootnoteReference"/>
        </w:rPr>
        <w:footnoteRef/>
      </w:r>
      <w:r>
        <w:t xml:space="preserve"> Cross-references for "another": Ps 119:81; Phil 1:23.</w:t>
      </w:r>
    </w:p>
  </w:footnote>
  <w:footnote w:id="10373">
    <w:p>
      <w:pPr>
        <w:pStyle w:val="FootnoteText"/>
      </w:pPr>
      <w:r>
        <w:rPr>
          <w:rStyle w:val="FootnoteReference"/>
        </w:rPr>
        <w:footnoteRef/>
      </w:r>
      <w:r>
        <w:t xml:space="preserve"> Cross-references for "Zophar": Job 2:11; Job 11:1.</w:t>
      </w:r>
    </w:p>
  </w:footnote>
  <w:footnote w:id="10374">
    <w:p>
      <w:pPr>
        <w:pStyle w:val="FootnoteText"/>
      </w:pPr>
      <w:r>
        <w:rPr>
          <w:rStyle w:val="FootnoteReference"/>
        </w:rPr>
        <w:footnoteRef/>
      </w:r>
      <w:r>
        <w:t xml:space="preserve"> Translation note: Linking cleanup: English supplies articles and is for readable predicate syntax.</w:t>
      </w:r>
    </w:p>
  </w:footnote>
  <w:footnote w:id="10375">
    <w:p>
      <w:pPr>
        <w:pStyle w:val="FootnoteText"/>
      </w:pPr>
      <w:r>
        <w:rPr>
          <w:rStyle w:val="FootnoteReference"/>
        </w:rPr>
        <w:footnoteRef/>
      </w:r>
      <w:r>
        <w:t xml:space="preserve"> Cross-references for "the joy": Job 8:19; Job 27:8.</w:t>
      </w:r>
    </w:p>
  </w:footnote>
  <w:footnote w:id="10376">
    <w:p>
      <w:pPr>
        <w:pStyle w:val="FootnoteText"/>
      </w:pPr>
      <w:r>
        <w:rPr>
          <w:rStyle w:val="FootnoteReference"/>
        </w:rPr>
        <w:footnoteRef/>
      </w:r>
      <w:r>
        <w:t xml:space="preserve"> Cross-references for "perish": 1Kgs 14:10; 2Kgs 9:37.</w:t>
      </w:r>
    </w:p>
  </w:footnote>
  <w:footnote w:id="10377">
    <w:p>
      <w:pPr>
        <w:pStyle w:val="FootnoteText"/>
      </w:pPr>
      <w:r>
        <w:rPr>
          <w:rStyle w:val="FootnoteReference"/>
        </w:rPr>
        <w:footnoteRef/>
      </w:r>
      <w:r>
        <w:t xml:space="preserve"> Cross-references for "his hands": Exod 9:2; Exod 12:36.</w:t>
      </w:r>
    </w:p>
  </w:footnote>
  <w:footnote w:id="10378">
    <w:p>
      <w:pPr>
        <w:pStyle w:val="FootnoteText"/>
      </w:pPr>
      <w:r>
        <w:rPr>
          <w:rStyle w:val="FootnoteReference"/>
        </w:rPr>
        <w:footnoteRef/>
      </w:r>
      <w:r>
        <w:t xml:space="preserve"> Cross-references for "bones": Job 13:26; Job 19:20.</w:t>
      </w:r>
    </w:p>
  </w:footnote>
  <w:footnote w:id="10379">
    <w:p>
      <w:pPr>
        <w:pStyle w:val="FootnoteText"/>
      </w:pPr>
      <w:r>
        <w:rPr>
          <w:rStyle w:val="FootnoteReference"/>
        </w:rPr>
        <w:footnoteRef/>
      </w:r>
      <w:r>
        <w:t xml:space="preserve"> Cross-references for "spare it": Matt 5:29-30; Mark 9:43-49.</w:t>
      </w:r>
    </w:p>
  </w:footnote>
  <w:footnote w:id="10380">
    <w:p>
      <w:pPr>
        <w:pStyle w:val="FootnoteText"/>
      </w:pPr>
      <w:r>
        <w:rPr>
          <w:rStyle w:val="FootnoteReference"/>
        </w:rPr>
        <w:footnoteRef/>
      </w:r>
      <w:r>
        <w:t xml:space="preserve"> Cross-references for "of honey": Deut 32:13-14; 2Sam 17:29.</w:t>
      </w:r>
    </w:p>
  </w:footnote>
  <w:footnote w:id="10381">
    <w:p>
      <w:pPr>
        <w:pStyle w:val="FootnoteText"/>
      </w:pPr>
      <w:r>
        <w:rPr>
          <w:rStyle w:val="FootnoteReference"/>
        </w:rPr>
        <w:footnoteRef/>
      </w:r>
      <w:r>
        <w:t xml:space="preserve"> Cross-references for "darkness": Job 18:5-6; Isa 8:22.</w:t>
      </w:r>
    </w:p>
  </w:footnote>
  <w:footnote w:id="10382">
    <w:p>
      <w:pPr>
        <w:pStyle w:val="FootnoteText"/>
      </w:pPr>
      <w:r>
        <w:rPr>
          <w:rStyle w:val="FootnoteReference"/>
        </w:rPr>
        <w:footnoteRef/>
      </w:r>
      <w:r>
        <w:t xml:space="preserve"> Cross-references for "Heaven": Ps 44:20-21; Jer 29:23.</w:t>
      </w:r>
    </w:p>
  </w:footnote>
  <w:footnote w:id="10383">
    <w:p>
      <w:pPr>
        <w:pStyle w:val="FootnoteText"/>
      </w:pPr>
      <w:r>
        <w:rPr>
          <w:rStyle w:val="FootnoteReference"/>
        </w:rPr>
        <w:footnoteRef/>
      </w:r>
      <w:r>
        <w:t xml:space="preserve"> Cross-references for "the portion": Deut 29:20-28; Job 18:21.</w:t>
      </w:r>
    </w:p>
  </w:footnote>
  <w:footnote w:id="10384">
    <w:p>
      <w:pPr>
        <w:pStyle w:val="FootnoteText"/>
      </w:pPr>
      <w:r>
        <w:rPr>
          <w:rStyle w:val="FootnoteReference"/>
        </w:rPr>
        <w:footnoteRef/>
      </w:r>
      <w:r>
        <w:t xml:space="preserve"> Cross-references for "Hear": Judg 9:7; Job 13:3-4.</w:t>
      </w:r>
    </w:p>
  </w:footnote>
  <w:footnote w:id="10385">
    <w:p>
      <w:pPr>
        <w:pStyle w:val="FootnoteText"/>
      </w:pPr>
      <w:r>
        <w:rPr>
          <w:rStyle w:val="FootnoteReference"/>
        </w:rPr>
        <w:footnoteRef/>
      </w:r>
      <w:r>
        <w:t xml:space="preserve"> Cross-references for "Their cow": Exod 23:26; Deut 7:13-14.</w:t>
      </w:r>
    </w:p>
  </w:footnote>
  <w:footnote w:id="10386">
    <w:p>
      <w:pPr>
        <w:pStyle w:val="FootnoteText"/>
      </w:pPr>
      <w:r>
        <w:rPr>
          <w:rStyle w:val="FootnoteReference"/>
        </w:rPr>
        <w:footnoteRef/>
      </w:r>
      <w:r>
        <w:t xml:space="preserve"> Cross-references for "they say": Job 22:17; Ps 10:4.</w:t>
      </w:r>
    </w:p>
  </w:footnote>
  <w:footnote w:id="10387">
    <w:p>
      <w:pPr>
        <w:pStyle w:val="FootnoteText"/>
      </w:pPr>
      <w:r>
        <w:rPr>
          <w:rStyle w:val="FootnoteReference"/>
        </w:rPr>
        <w:footnoteRef/>
      </w:r>
      <w:r>
        <w:t xml:space="preserve"> Cross-references for "What is": Exod 5:2; Ps 12:4.</w:t>
      </w:r>
    </w:p>
  </w:footnote>
  <w:footnote w:id="10388">
    <w:p>
      <w:pPr>
        <w:pStyle w:val="FootnoteText"/>
      </w:pPr>
      <w:r>
        <w:rPr>
          <w:rStyle w:val="FootnoteReference"/>
        </w:rPr>
        <w:footnoteRef/>
      </w:r>
      <w:r>
        <w:t xml:space="preserve"> Translation note: Article cleanup: English supplies the before works for readable object syntax.</w:t>
      </w:r>
    </w:p>
  </w:footnote>
  <w:footnote w:id="10389">
    <w:p>
      <w:pPr>
        <w:pStyle w:val="FootnoteText"/>
      </w:pPr>
      <w:r>
        <w:rPr>
          <w:rStyle w:val="FootnoteReference"/>
        </w:rPr>
        <w:footnoteRef/>
      </w:r>
      <w:r>
        <w:t xml:space="preserve"> Translation note: Article cleanup: English supplies the before lamp for readable subject syntax.</w:t>
      </w:r>
    </w:p>
  </w:footnote>
  <w:footnote w:id="10390">
    <w:p>
      <w:pPr>
        <w:pStyle w:val="FootnoteText"/>
      </w:pPr>
      <w:r>
        <w:rPr>
          <w:rStyle w:val="FootnoteReference"/>
        </w:rPr>
        <w:footnoteRef/>
      </w:r>
      <w:r>
        <w:t xml:space="preserve"> Cross-references for "For what": Job 14:21; Eccl 2:18-19.</w:t>
      </w:r>
    </w:p>
  </w:footnote>
  <w:footnote w:id="10391">
    <w:p>
      <w:pPr>
        <w:pStyle w:val="FootnoteText"/>
      </w:pPr>
      <w:r>
        <w:rPr>
          <w:rStyle w:val="FootnoteReference"/>
        </w:rPr>
        <w:footnoteRef/>
      </w:r>
      <w:r>
        <w:t xml:space="preserve"> Translation note: Article cleanup: English supplies the before tents for readable genitive phrase syntax.</w:t>
      </w:r>
    </w:p>
  </w:footnote>
  <w:footnote w:id="10392">
    <w:p>
      <w:pPr>
        <w:pStyle w:val="FootnoteText"/>
      </w:pPr>
      <w:r>
        <w:rPr>
          <w:rStyle w:val="FootnoteReference"/>
        </w:rPr>
        <w:footnoteRef/>
      </w:r>
      <w:r>
        <w:t xml:space="preserve"> Cross-references for "declare": 2Sam 12:7-12; 1Kgs 21:19-24.</w:t>
      </w:r>
    </w:p>
  </w:footnote>
  <w:footnote w:id="10393">
    <w:p>
      <w:pPr>
        <w:pStyle w:val="FootnoteText"/>
      </w:pPr>
      <w:r>
        <w:rPr>
          <w:rStyle w:val="FootnoteReference"/>
        </w:rPr>
        <w:footnoteRef/>
      </w:r>
      <w:r>
        <w:t xml:space="preserve"> Cross-references for "sweet": Job 3:17-18.</w:t>
      </w:r>
    </w:p>
  </w:footnote>
  <w:footnote w:id="10394">
    <w:p>
      <w:pPr>
        <w:pStyle w:val="FootnoteText"/>
      </w:pPr>
      <w:r>
        <w:rPr>
          <w:rStyle w:val="FootnoteReference"/>
        </w:rPr>
        <w:footnoteRef/>
      </w:r>
      <w:r>
        <w:t xml:space="preserve"> Cross-references for "comfort": Job 16:2.</w:t>
      </w:r>
    </w:p>
  </w:footnote>
  <w:footnote w:id="10395">
    <w:p>
      <w:pPr>
        <w:pStyle w:val="FootnoteText"/>
      </w:pPr>
      <w:r>
        <w:rPr>
          <w:rStyle w:val="FootnoteReference"/>
        </w:rPr>
        <w:footnoteRef/>
      </w:r>
      <w:r>
        <w:t xml:space="preserve"> Cross-references for "reprove": Ps 39:11; Ps 76:6.</w:t>
      </w:r>
    </w:p>
  </w:footnote>
  <w:footnote w:id="10396">
    <w:p>
      <w:pPr>
        <w:pStyle w:val="FootnoteText"/>
      </w:pPr>
      <w:r>
        <w:rPr>
          <w:rStyle w:val="FootnoteReference"/>
        </w:rPr>
        <w:footnoteRef/>
      </w:r>
      <w:r>
        <w:t xml:space="preserve"> Cross-references for "stripped": Job 24:10; Job 31:19-20.</w:t>
      </w:r>
    </w:p>
  </w:footnote>
  <w:footnote w:id="10397">
    <w:p>
      <w:pPr>
        <w:pStyle w:val="FootnoteText"/>
      </w:pPr>
      <w:r>
        <w:rPr>
          <w:rStyle w:val="FootnoteReference"/>
        </w:rPr>
        <w:footnoteRef/>
      </w:r>
      <w:r>
        <w:t xml:space="preserve"> Cross-references for "widows": Exod 22:21-24; Deut 27:19.</w:t>
      </w:r>
    </w:p>
  </w:footnote>
  <w:footnote w:id="10398">
    <w:p>
      <w:pPr>
        <w:pStyle w:val="FootnoteText"/>
      </w:pPr>
      <w:r>
        <w:rPr>
          <w:rStyle w:val="FootnoteReference"/>
        </w:rPr>
        <w:footnoteRef/>
      </w:r>
      <w:r>
        <w:t xml:space="preserve"> Cross-references for "snares": Job 18:8-10; Job 19:6.</w:t>
      </w:r>
    </w:p>
  </w:footnote>
  <w:footnote w:id="10399">
    <w:p>
      <w:pPr>
        <w:pStyle w:val="FootnoteText"/>
      </w:pPr>
      <w:r>
        <w:rPr>
          <w:rStyle w:val="FootnoteReference"/>
        </w:rPr>
        <w:footnoteRef/>
      </w:r>
      <w:r>
        <w:t xml:space="preserve"> Cross-references for "darkness": Job 18:6; Job 18:18.</w:t>
      </w:r>
    </w:p>
  </w:footnote>
  <w:footnote w:id="10400">
    <w:p>
      <w:pPr>
        <w:pStyle w:val="FootnoteText"/>
      </w:pPr>
      <w:r>
        <w:rPr>
          <w:rStyle w:val="FootnoteReference"/>
        </w:rPr>
        <w:footnoteRef/>
      </w:r>
      <w:r>
        <w:t xml:space="preserve"> Translation note: Article cleanup: English supplies the before counsel for readable subject syntax.</w:t>
      </w:r>
    </w:p>
  </w:footnote>
  <w:footnote w:id="10401">
    <w:p>
      <w:pPr>
        <w:pStyle w:val="FootnoteText"/>
      </w:pPr>
      <w:r>
        <w:rPr>
          <w:rStyle w:val="FootnoteReference"/>
        </w:rPr>
        <w:footnoteRef/>
      </w:r>
      <w:r>
        <w:t xml:space="preserve"> Cross-references for "he filled": 1Sam 2:7; Job 12:6.</w:t>
      </w:r>
    </w:p>
  </w:footnote>
  <w:footnote w:id="10402">
    <w:p>
      <w:pPr>
        <w:pStyle w:val="FootnoteText"/>
      </w:pPr>
      <w:r>
        <w:rPr>
          <w:rStyle w:val="FootnoteReference"/>
        </w:rPr>
        <w:footnoteRef/>
      </w:r>
      <w:r>
        <w:t xml:space="preserve"> Cross-references for "Righteous": Ps 48:11; Ps 58:10.</w:t>
      </w:r>
    </w:p>
  </w:footnote>
  <w:footnote w:id="10403">
    <w:p>
      <w:pPr>
        <w:pStyle w:val="FootnoteText"/>
      </w:pPr>
      <w:r>
        <w:rPr>
          <w:rStyle w:val="FootnoteReference"/>
        </w:rPr>
        <w:footnoteRef/>
      </w:r>
      <w:r>
        <w:t xml:space="preserve"> Cross-references for "Receive": Deut 4:1-2; Prov 2:1-9.</w:t>
      </w:r>
    </w:p>
  </w:footnote>
  <w:footnote w:id="10404">
    <w:p>
      <w:pPr>
        <w:pStyle w:val="FootnoteText"/>
      </w:pPr>
      <w:r>
        <w:rPr>
          <w:rStyle w:val="FootnoteReference"/>
        </w:rPr>
        <w:footnoteRef/>
      </w:r>
      <w:r>
        <w:t xml:space="preserve"> Cross-references for "return": Job 8:5-6; Job 11:13-14.</w:t>
      </w:r>
    </w:p>
  </w:footnote>
  <w:footnote w:id="10405">
    <w:p>
      <w:pPr>
        <w:pStyle w:val="FootnoteText"/>
      </w:pPr>
      <w:r>
        <w:rPr>
          <w:rStyle w:val="FootnoteReference"/>
        </w:rPr>
        <w:footnoteRef/>
      </w:r>
      <w:r>
        <w:t xml:space="preserve"> Cross-references for "Ophir": Gen 10:29; 1Kgs 9:28.</w:t>
      </w:r>
    </w:p>
  </w:footnote>
  <w:footnote w:id="10406">
    <w:p>
      <w:pPr>
        <w:pStyle w:val="FootnoteText"/>
      </w:pPr>
      <w:r>
        <w:rPr>
          <w:rStyle w:val="FootnoteReference"/>
        </w:rPr>
        <w:footnoteRef/>
      </w:r>
      <w:r>
        <w:t xml:space="preserve"> Cross-references for "that I might": Job 31:35-37.</w:t>
      </w:r>
    </w:p>
  </w:footnote>
  <w:footnote w:id="10407">
    <w:p>
      <w:pPr>
        <w:pStyle w:val="FootnoteText"/>
      </w:pPr>
      <w:r>
        <w:rPr>
          <w:rStyle w:val="FootnoteReference"/>
        </w:rPr>
        <w:footnoteRef/>
      </w:r>
      <w:r>
        <w:t xml:space="preserve"> Cross-references for "fill my mouth": Gen 18:25-32; Gen 32:12.</w:t>
      </w:r>
    </w:p>
  </w:footnote>
  <w:footnote w:id="10408">
    <w:p>
      <w:pPr>
        <w:pStyle w:val="FootnoteText"/>
      </w:pPr>
      <w:r>
        <w:rPr>
          <w:rStyle w:val="FootnoteReference"/>
        </w:rPr>
        <w:footnoteRef/>
      </w:r>
      <w:r>
        <w:t xml:space="preserve"> Cross-references for "know": Job 10:2; Job 13:22-23.</w:t>
      </w:r>
    </w:p>
  </w:footnote>
  <w:footnote w:id="10409">
    <w:p>
      <w:pPr>
        <w:pStyle w:val="FootnoteText"/>
      </w:pPr>
      <w:r>
        <w:rPr>
          <w:rStyle w:val="FootnoteReference"/>
        </w:rPr>
        <w:footnoteRef/>
      </w:r>
      <w:r>
        <w:t xml:space="preserve"> Cross-references for "Almighty": Ruth 1:20; Job 27:2.</w:t>
      </w:r>
    </w:p>
  </w:footnote>
  <w:footnote w:id="10410">
    <w:p>
      <w:pPr>
        <w:pStyle w:val="FootnoteText"/>
      </w:pPr>
      <w:r>
        <w:rPr>
          <w:rStyle w:val="FootnoteReference"/>
        </w:rPr>
        <w:footnoteRef/>
      </w:r>
      <w:r>
        <w:t xml:space="preserve"> Translation note: Article cleanup: English supplies articles for readable time/object phrase syntax.</w:t>
      </w:r>
    </w:p>
  </w:footnote>
  <w:footnote w:id="10411">
    <w:p>
      <w:pPr>
        <w:pStyle w:val="FootnoteText"/>
      </w:pPr>
      <w:r>
        <w:rPr>
          <w:rStyle w:val="FootnoteReference"/>
        </w:rPr>
        <w:footnoteRef/>
      </w:r>
      <w:r>
        <w:t xml:space="preserve"> Translation note: Greek has anarthrous righteous-way language. English supplies a for readable idiom without changing the sense.</w:t>
      </w:r>
    </w:p>
  </w:footnote>
  <w:footnote w:id="10412">
    <w:p>
      <w:pPr>
        <w:pStyle w:val="FootnoteText"/>
      </w:pPr>
      <w:r>
        <w:rPr>
          <w:rStyle w:val="FootnoteReference"/>
        </w:rPr>
        <w:footnoteRef/>
      </w:r>
      <w:r>
        <w:t xml:space="preserve"> Cross-references for "their portion": Deut 28:16-20; Ps 69:22.</w:t>
      </w:r>
    </w:p>
  </w:footnote>
  <w:footnote w:id="10413">
    <w:p>
      <w:pPr>
        <w:pStyle w:val="FootnoteText"/>
      </w:pPr>
      <w:r>
        <w:rPr>
          <w:rStyle w:val="FootnoteReference"/>
        </w:rPr>
        <w:footnoteRef/>
      </w:r>
      <w:r>
        <w:t xml:space="preserve"> Cross-references for "upon whom": Gen 1:3-5; Gen 1:14-16.</w:t>
      </w:r>
    </w:p>
  </w:footnote>
  <w:footnote w:id="10414">
    <w:p>
      <w:pPr>
        <w:pStyle w:val="FootnoteText"/>
      </w:pPr>
      <w:r>
        <w:rPr>
          <w:rStyle w:val="FootnoteReference"/>
        </w:rPr>
        <w:footnoteRef/>
      </w:r>
      <w:r>
        <w:t xml:space="preserve"> Cross-references for "how much less": Gen 18:27; Job 4:19.</w:t>
      </w:r>
    </w:p>
  </w:footnote>
  <w:footnote w:id="10415">
    <w:p>
      <w:pPr>
        <w:pStyle w:val="FootnoteText"/>
      </w:pPr>
      <w:r>
        <w:rPr>
          <w:rStyle w:val="FootnoteReference"/>
        </w:rPr>
        <w:footnoteRef/>
      </w:r>
      <w:r>
        <w:t xml:space="preserve"> Cross-references for "destruction": Job 28:22; Ps 88:10.</w:t>
      </w:r>
    </w:p>
  </w:footnote>
  <w:footnote w:id="10416">
    <w:p>
      <w:pPr>
        <w:pStyle w:val="FootnoteText"/>
      </w:pPr>
      <w:r>
        <w:rPr>
          <w:rStyle w:val="FootnoteReference"/>
        </w:rPr>
        <w:footnoteRef/>
      </w:r>
      <w:r>
        <w:t xml:space="preserve"> Cross-references for "pillars": 1Sam 2:8; Ps 18:7.</w:t>
      </w:r>
    </w:p>
  </w:footnote>
  <w:footnote w:id="10417">
    <w:p>
      <w:pPr>
        <w:pStyle w:val="FootnoteText"/>
      </w:pPr>
      <w:r>
        <w:rPr>
          <w:rStyle w:val="FootnoteReference"/>
        </w:rPr>
        <w:footnoteRef/>
      </w:r>
      <w:r>
        <w:t xml:space="preserve"> Cross-references for "I will not": Job 2:9; Job 13:15.</w:t>
      </w:r>
    </w:p>
  </w:footnote>
  <w:footnote w:id="10418">
    <w:p>
      <w:pPr>
        <w:pStyle w:val="FootnoteText"/>
      </w:pPr>
      <w:r>
        <w:rPr>
          <w:rStyle w:val="FootnoteReference"/>
        </w:rPr>
        <w:footnoteRef/>
      </w:r>
      <w:r>
        <w:t xml:space="preserve"> Translation note: Article cleanup: English supplies the for the paired destruction nouns.</w:t>
      </w:r>
    </w:p>
  </w:footnote>
  <w:footnote w:id="10419">
    <w:p>
      <w:pPr>
        <w:pStyle w:val="FootnoteText"/>
      </w:pPr>
      <w:r>
        <w:rPr>
          <w:rStyle w:val="FootnoteReference"/>
        </w:rPr>
        <w:footnoteRef/>
      </w:r>
      <w:r>
        <w:t xml:space="preserve"> Translation note: Greek has a singular ungodly-man phrase. English supplies an for readable class-noun idiom.</w:t>
      </w:r>
    </w:p>
  </w:footnote>
  <w:footnote w:id="10420">
    <w:p>
      <w:pPr>
        <w:pStyle w:val="FootnoteText"/>
      </w:pPr>
      <w:r>
        <w:rPr>
          <w:rStyle w:val="FootnoteReference"/>
        </w:rPr>
        <w:footnoteRef/>
      </w:r>
      <w:r>
        <w:t xml:space="preserve"> Cross-references for "the portion": Job 20:29; Job 31:3.</w:t>
      </w:r>
    </w:p>
  </w:footnote>
  <w:footnote w:id="10421">
    <w:p>
      <w:pPr>
        <w:pStyle w:val="FootnoteText"/>
      </w:pPr>
      <w:r>
        <w:rPr>
          <w:rStyle w:val="FootnoteReference"/>
        </w:rPr>
        <w:footnoteRef/>
      </w:r>
      <w:r>
        <w:t xml:space="preserve"> Cross-references for "those": 1Kgs 14:10-11; 1Kgs 16:3-4.</w:t>
      </w:r>
    </w:p>
  </w:footnote>
  <w:footnote w:id="10422">
    <w:p>
      <w:pPr>
        <w:pStyle w:val="FootnoteText"/>
      </w:pPr>
      <w:r>
        <w:rPr>
          <w:rStyle w:val="FootnoteReference"/>
        </w:rPr>
        <w:footnoteRef/>
      </w:r>
      <w:r>
        <w:t xml:space="preserve"> Cross-references for "he is not": Job 8:22; Job 14:10.</w:t>
      </w:r>
    </w:p>
  </w:footnote>
  <w:footnote w:id="10423">
    <w:p>
      <w:pPr>
        <w:pStyle w:val="FootnoteText"/>
      </w:pPr>
      <w:r>
        <w:rPr>
          <w:rStyle w:val="FootnoteReference"/>
        </w:rPr>
        <w:footnoteRef/>
      </w:r>
      <w:r>
        <w:t xml:space="preserve"> Cross-references for "not spare": Deut 29:20; Ezek 9:5-6.</w:t>
      </w:r>
    </w:p>
  </w:footnote>
  <w:footnote w:id="10424">
    <w:p>
      <w:pPr>
        <w:pStyle w:val="FootnoteText"/>
      </w:pPr>
      <w:r>
        <w:rPr>
          <w:rStyle w:val="FootnoteReference"/>
        </w:rPr>
        <w:footnoteRef/>
      </w:r>
      <w:r>
        <w:t xml:space="preserve"> Cross-references for "clap": Prov 11:10; Lam 2:15.</w:t>
      </w:r>
    </w:p>
  </w:footnote>
  <w:footnote w:id="10425">
    <w:p>
      <w:pPr>
        <w:pStyle w:val="FootnoteText"/>
      </w:pPr>
      <w:r>
        <w:rPr>
          <w:rStyle w:val="FootnoteReference"/>
        </w:rPr>
        <w:footnoteRef/>
      </w:r>
      <w:r>
        <w:t xml:space="preserve"> Cross-references for "iron": Gen 4:22; Num 31:22.</w:t>
      </w:r>
    </w:p>
  </w:footnote>
  <w:footnote w:id="10426">
    <w:p>
      <w:pPr>
        <w:pStyle w:val="FootnoteText"/>
      </w:pPr>
      <w:r>
        <w:rPr>
          <w:rStyle w:val="FootnoteReference"/>
        </w:rPr>
        <w:footnoteRef/>
      </w:r>
      <w:r>
        <w:t xml:space="preserve"> Translation note: Greek has anarthrous righteous-way language. English supplies a for readable idiom without changing the sense.</w:t>
      </w:r>
    </w:p>
  </w:footnote>
  <w:footnote w:id="10427">
    <w:p>
      <w:pPr>
        <w:pStyle w:val="FootnoteText"/>
      </w:pPr>
      <w:r>
        <w:rPr>
          <w:rStyle w:val="FootnoteReference"/>
        </w:rPr>
        <w:footnoteRef/>
      </w:r>
      <w:r>
        <w:t xml:space="preserve"> Cross-references for "fire": Ezek 28:13-14.</w:t>
      </w:r>
    </w:p>
  </w:footnote>
  <w:footnote w:id="10428">
    <w:p>
      <w:pPr>
        <w:pStyle w:val="FootnoteText"/>
      </w:pPr>
      <w:r>
        <w:rPr>
          <w:rStyle w:val="FootnoteReference"/>
        </w:rPr>
        <w:footnoteRef/>
      </w:r>
      <w:r>
        <w:t xml:space="preserve"> Cross-references for "every precious thing": Prov 14:23; Prov 24:4.</w:t>
      </w:r>
    </w:p>
  </w:footnote>
  <w:footnote w:id="10429">
    <w:p>
      <w:pPr>
        <w:pStyle w:val="FootnoteText"/>
      </w:pPr>
      <w:r>
        <w:rPr>
          <w:rStyle w:val="FootnoteReference"/>
        </w:rPr>
        <w:footnoteRef/>
      </w:r>
      <w:r>
        <w:t xml:space="preserve"> Cross-references for "onyx": Exod 28:20; Ezek 28:13.</w:t>
      </w:r>
    </w:p>
  </w:footnote>
  <w:footnote w:id="10430">
    <w:p>
      <w:pPr>
        <w:pStyle w:val="FootnoteText"/>
      </w:pPr>
      <w:r>
        <w:rPr>
          <w:rStyle w:val="FootnoteReference"/>
        </w:rPr>
        <w:footnoteRef/>
      </w:r>
      <w:r>
        <w:t xml:space="preserve"> Cross-references for "Coral": Ezek 27:16.</w:t>
      </w:r>
    </w:p>
  </w:footnote>
  <w:footnote w:id="10431">
    <w:p>
      <w:pPr>
        <w:pStyle w:val="FootnoteText"/>
      </w:pPr>
      <w:r>
        <w:rPr>
          <w:rStyle w:val="FootnoteReference"/>
        </w:rPr>
        <w:footnoteRef/>
      </w:r>
      <w:r>
        <w:t xml:space="preserve"> Cross-references for "Topaz": Exod 28:17; Exod 39:10.</w:t>
      </w:r>
    </w:p>
  </w:footnote>
  <w:footnote w:id="10432">
    <w:p>
      <w:pPr>
        <w:pStyle w:val="FootnoteText"/>
      </w:pPr>
      <w:r>
        <w:rPr>
          <w:rStyle w:val="FootnoteReference"/>
        </w:rPr>
        <w:footnoteRef/>
      </w:r>
      <w:r>
        <w:t xml:space="preserve"> Cross-references for "Destruction": Job 28:14; Ps 83:10-12.</w:t>
      </w:r>
    </w:p>
  </w:footnote>
  <w:footnote w:id="10433">
    <w:p>
      <w:pPr>
        <w:pStyle w:val="FootnoteText"/>
      </w:pPr>
      <w:r>
        <w:rPr>
          <w:rStyle w:val="FootnoteReference"/>
        </w:rPr>
        <w:footnoteRef/>
      </w:r>
      <w:r>
        <w:t xml:space="preserve"> Cross-references for "as in months": Job 1:1-5; Job 7:3.</w:t>
      </w:r>
    </w:p>
  </w:footnote>
  <w:footnote w:id="10434">
    <w:p>
      <w:pPr>
        <w:pStyle w:val="FootnoteText"/>
      </w:pPr>
      <w:r>
        <w:rPr>
          <w:rStyle w:val="FootnoteReference"/>
        </w:rPr>
        <w:footnoteRef/>
      </w:r>
      <w:r>
        <w:t xml:space="preserve"> Cross-references for "by his light": Job 22:28; Ps 4:6.</w:t>
      </w:r>
    </w:p>
  </w:footnote>
  <w:footnote w:id="10435">
    <w:p>
      <w:pPr>
        <w:pStyle w:val="FootnoteText"/>
      </w:pPr>
      <w:r>
        <w:rPr>
          <w:rStyle w:val="FootnoteReference"/>
        </w:rPr>
        <w:footnoteRef/>
      </w:r>
      <w:r>
        <w:t xml:space="preserve"> Cross-references for "my children": Job 1:2-5; Job 42:13-16.</w:t>
      </w:r>
    </w:p>
  </w:footnote>
  <w:footnote w:id="10436">
    <w:p>
      <w:pPr>
        <w:pStyle w:val="FootnoteText"/>
      </w:pPr>
      <w:r>
        <w:rPr>
          <w:rStyle w:val="FootnoteReference"/>
        </w:rPr>
        <w:footnoteRef/>
      </w:r>
      <w:r>
        <w:t xml:space="preserve"> Cross-references for "young men": Lev 19:32; Prov 16:31.</w:t>
      </w:r>
    </w:p>
  </w:footnote>
  <w:footnote w:id="10437">
    <w:p>
      <w:pPr>
        <w:pStyle w:val="FootnoteText"/>
      </w:pPr>
      <w:r>
        <w:rPr>
          <w:rStyle w:val="FootnoteReference"/>
        </w:rPr>
        <w:footnoteRef/>
      </w:r>
      <w:r>
        <w:t xml:space="preserve"> Translation note: Greek has singular poor-man, mighty-man, and orphan phrases. English supplies articles for readable singular idiom.</w:t>
      </w:r>
    </w:p>
  </w:footnote>
  <w:footnote w:id="10438">
    <w:p>
      <w:pPr>
        <w:pStyle w:val="FootnoteText"/>
      </w:pPr>
      <w:r>
        <w:rPr>
          <w:rStyle w:val="FootnoteReference"/>
        </w:rPr>
        <w:footnoteRef/>
      </w:r>
      <w:r>
        <w:t xml:space="preserve"> Cross-references for "The blessing": Deut 24:13; Acts 9:39-41.</w:t>
      </w:r>
    </w:p>
  </w:footnote>
  <w:footnote w:id="10439">
    <w:p>
      <w:pPr>
        <w:pStyle w:val="FootnoteText"/>
      </w:pPr>
      <w:r>
        <w:rPr>
          <w:rStyle w:val="FootnoteReference"/>
        </w:rPr>
        <w:footnoteRef/>
      </w:r>
      <w:r>
        <w:t xml:space="preserve"> Cross-references for "I put": Deut 24:13; Ps 132:9.</w:t>
      </w:r>
    </w:p>
  </w:footnote>
  <w:footnote w:id="10440">
    <w:p>
      <w:pPr>
        <w:pStyle w:val="FootnoteText"/>
      </w:pPr>
      <w:r>
        <w:rPr>
          <w:rStyle w:val="FootnoteReference"/>
        </w:rPr>
        <w:footnoteRef/>
      </w:r>
      <w:r>
        <w:t xml:space="preserve"> Cross-references for "a father": Job 31:18; Ps 68:5.</w:t>
      </w:r>
    </w:p>
  </w:footnote>
  <w:footnote w:id="10441">
    <w:p>
      <w:pPr>
        <w:pStyle w:val="FootnoteText"/>
      </w:pPr>
      <w:r>
        <w:rPr>
          <w:rStyle w:val="FootnoteReference"/>
        </w:rPr>
        <w:footnoteRef/>
      </w:r>
      <w:r>
        <w:t xml:space="preserve"> Cross-references for "root": Job 18:16; Ps 1:3.</w:t>
      </w:r>
    </w:p>
  </w:footnote>
  <w:footnote w:id="10442">
    <w:p>
      <w:pPr>
        <w:pStyle w:val="FootnoteText"/>
      </w:pPr>
      <w:r>
        <w:rPr>
          <w:rStyle w:val="FootnoteReference"/>
        </w:rPr>
        <w:footnoteRef/>
      </w:r>
      <w:r>
        <w:t xml:space="preserve"> Cross-references for "glory": Gen 45:13; Job 19:9.</w:t>
      </w:r>
    </w:p>
  </w:footnote>
  <w:footnote w:id="10443">
    <w:p>
      <w:pPr>
        <w:pStyle w:val="FootnoteText"/>
      </w:pPr>
      <w:r>
        <w:rPr>
          <w:rStyle w:val="FootnoteReference"/>
        </w:rPr>
        <w:footnoteRef/>
      </w:r>
      <w:r>
        <w:t xml:space="preserve"> Cross-references for "dwelt": Gen 14:14-17; Deut 33:5.</w:t>
      </w:r>
    </w:p>
  </w:footnote>
  <w:footnote w:id="10444">
    <w:p>
      <w:pPr>
        <w:pStyle w:val="FootnoteText"/>
      </w:pPr>
      <w:r>
        <w:rPr>
          <w:rStyle w:val="FootnoteReference"/>
        </w:rPr>
        <w:footnoteRef/>
      </w:r>
      <w:r>
        <w:t xml:space="preserve"> Cross-references for "fools": Prov 1:7; Prov 1:22.</w:t>
      </w:r>
    </w:p>
  </w:footnote>
  <w:footnote w:id="10445">
    <w:p>
      <w:pPr>
        <w:pStyle w:val="FootnoteText"/>
      </w:pPr>
      <w:r>
        <w:rPr>
          <w:rStyle w:val="FootnoteReference"/>
        </w:rPr>
        <w:footnoteRef/>
      </w:r>
      <w:r>
        <w:t xml:space="preserve"> Cross-references for "my soul": Ps 22:14; Ps 42:4.</w:t>
      </w:r>
    </w:p>
  </w:footnote>
  <w:footnote w:id="10446">
    <w:p>
      <w:pPr>
        <w:pStyle w:val="FootnoteText"/>
      </w:pPr>
      <w:r>
        <w:rPr>
          <w:rStyle w:val="FootnoteReference"/>
        </w:rPr>
        <w:footnoteRef/>
      </w:r>
      <w:r>
        <w:t xml:space="preserve"> Cross-references for "my bones": Job 33:19-21; Ps 6:2-6.</w:t>
      </w:r>
    </w:p>
  </w:footnote>
  <w:footnote w:id="10447">
    <w:p>
      <w:pPr>
        <w:pStyle w:val="FootnoteText"/>
      </w:pPr>
      <w:r>
        <w:rPr>
          <w:rStyle w:val="FootnoteReference"/>
        </w:rPr>
        <w:footnoteRef/>
      </w:r>
      <w:r>
        <w:t xml:space="preserve"> Cross-references for "my skin": Ps 119:83; Lam 3:4.</w:t>
      </w:r>
    </w:p>
  </w:footnote>
  <w:footnote w:id="10448">
    <w:p>
      <w:pPr>
        <w:pStyle w:val="FootnoteText"/>
      </w:pPr>
      <w:r>
        <w:rPr>
          <w:rStyle w:val="FootnoteReference"/>
        </w:rPr>
        <w:footnoteRef/>
      </w:r>
      <w:r>
        <w:t xml:space="preserve"> Cross-references for "think": Prov 6:25; Jas 1:14-15.</w:t>
      </w:r>
    </w:p>
  </w:footnote>
  <w:footnote w:id="10449">
    <w:p>
      <w:pPr>
        <w:pStyle w:val="FootnoteText"/>
      </w:pPr>
      <w:r>
        <w:rPr>
          <w:rStyle w:val="FootnoteReference"/>
        </w:rPr>
        <w:footnoteRef/>
      </w:r>
      <w:r>
        <w:t xml:space="preserve"> Cross-references for "destruction": Job 21:30; Ps 55:23.</w:t>
      </w:r>
    </w:p>
  </w:footnote>
  <w:footnote w:id="10450">
    <w:p>
      <w:pPr>
        <w:pStyle w:val="FootnoteText"/>
      </w:pPr>
      <w:r>
        <w:rPr>
          <w:rStyle w:val="FootnoteReference"/>
        </w:rPr>
        <w:footnoteRef/>
      </w:r>
      <w:r>
        <w:t xml:space="preserve"> Cross-references for "walked": Ps 4:2; Ps 12:2.</w:t>
      </w:r>
    </w:p>
  </w:footnote>
  <w:footnote w:id="10451">
    <w:p>
      <w:pPr>
        <w:pStyle w:val="FootnoteText"/>
      </w:pPr>
      <w:r>
        <w:rPr>
          <w:rStyle w:val="FootnoteReference"/>
        </w:rPr>
        <w:footnoteRef/>
      </w:r>
      <w:r>
        <w:t xml:space="preserve"> Cross-references for "If my": Ps 44:20-21.</w:t>
      </w:r>
    </w:p>
  </w:footnote>
  <w:footnote w:id="10452">
    <w:p>
      <w:pPr>
        <w:pStyle w:val="FootnoteText"/>
      </w:pPr>
      <w:r>
        <w:rPr>
          <w:rStyle w:val="FootnoteReference"/>
        </w:rPr>
        <w:footnoteRef/>
      </w:r>
      <w:r>
        <w:t xml:space="preserve"> Cross-references for "let me": Lev 26:16; Deut 28:30-33.</w:t>
      </w:r>
    </w:p>
  </w:footnote>
  <w:footnote w:id="10453">
    <w:p>
      <w:pPr>
        <w:pStyle w:val="FootnoteText"/>
      </w:pPr>
      <w:r>
        <w:rPr>
          <w:rStyle w:val="FootnoteReference"/>
        </w:rPr>
        <w:footnoteRef/>
      </w:r>
      <w:r>
        <w:t xml:space="preserve"> Cross-references for "if I": Job 24:15-16; Jer 5:8.</w:t>
      </w:r>
    </w:p>
  </w:footnote>
  <w:footnote w:id="10454">
    <w:p>
      <w:pPr>
        <w:pStyle w:val="FootnoteText"/>
      </w:pPr>
      <w:r>
        <w:rPr>
          <w:rStyle w:val="FootnoteReference"/>
        </w:rPr>
        <w:footnoteRef/>
      </w:r>
      <w:r>
        <w:t xml:space="preserve"> Cross-references for "and let": 2Sam 12:11; Jer 8:10.</w:t>
      </w:r>
    </w:p>
  </w:footnote>
  <w:footnote w:id="10455">
    <w:p>
      <w:pPr>
        <w:pStyle w:val="FootnoteText"/>
      </w:pPr>
      <w:r>
        <w:rPr>
          <w:rStyle w:val="FootnoteReference"/>
        </w:rPr>
        <w:footnoteRef/>
      </w:r>
      <w:r>
        <w:t xml:space="preserve"> Cross-references for "what then": Job 9:32; Job 10:2.</w:t>
      </w:r>
    </w:p>
  </w:footnote>
  <w:footnote w:id="10456">
    <w:p>
      <w:pPr>
        <w:pStyle w:val="FootnoteText"/>
      </w:pPr>
      <w:r>
        <w:rPr>
          <w:rStyle w:val="FootnoteReference"/>
        </w:rPr>
        <w:footnoteRef/>
      </w:r>
      <w:r>
        <w:t xml:space="preserve"> Cross-references for "lifted": Job 6:27; Job 22:9.</w:t>
      </w:r>
    </w:p>
  </w:footnote>
  <w:footnote w:id="10457">
    <w:p>
      <w:pPr>
        <w:pStyle w:val="FootnoteText"/>
      </w:pPr>
      <w:r>
        <w:rPr>
          <w:rStyle w:val="FootnoteReference"/>
        </w:rPr>
        <w:footnoteRef/>
      </w:r>
      <w:r>
        <w:t xml:space="preserve"> Cross-references for "rejoiced": Prov 23:5; Jer 9:23.</w:t>
      </w:r>
    </w:p>
  </w:footnote>
  <w:footnote w:id="10458">
    <w:p>
      <w:pPr>
        <w:pStyle w:val="FootnoteText"/>
      </w:pPr>
      <w:r>
        <w:rPr>
          <w:rStyle w:val="FootnoteReference"/>
        </w:rPr>
        <w:footnoteRef/>
      </w:r>
      <w:r>
        <w:t xml:space="preserve"> Cross-references for "my heart": Deut 11:16; Deut 13:6.</w:t>
      </w:r>
    </w:p>
  </w:footnote>
  <w:footnote w:id="10459">
    <w:p>
      <w:pPr>
        <w:pStyle w:val="FootnoteText"/>
      </w:pPr>
      <w:r>
        <w:rPr>
          <w:rStyle w:val="FootnoteReference"/>
        </w:rPr>
        <w:footnoteRef/>
      </w:r>
      <w:r>
        <w:t xml:space="preserve"> Cross-references for "righteous": Job 6:29; Job 10:2.</w:t>
      </w:r>
    </w:p>
  </w:footnote>
  <w:footnote w:id="10460">
    <w:p>
      <w:pPr>
        <w:pStyle w:val="FootnoteText"/>
      </w:pPr>
      <w:r>
        <w:rPr>
          <w:rStyle w:val="FootnoteReference"/>
        </w:rPr>
        <w:footnoteRef/>
      </w:r>
      <w:r>
        <w:t xml:space="preserve"> Personal name: Barachel. Personal-name meaning: Barachel — that bows before God. Source form: Barachel.</w:t>
      </w:r>
    </w:p>
  </w:footnote>
  <w:footnote w:id="10461">
    <w:p>
      <w:pPr>
        <w:pStyle w:val="FootnoteText"/>
      </w:pPr>
      <w:r>
        <w:rPr>
          <w:rStyle w:val="FootnoteReference"/>
        </w:rPr>
        <w:footnoteRef/>
      </w:r>
      <w:r>
        <w:t xml:space="preserve"> Transliterated proper noun: Buzite. Standard English equivalent: Buzite. Source form: Buzite. Greek form: βουζιτης. Name meaning: despised; plundered.</w:t>
      </w:r>
    </w:p>
  </w:footnote>
  <w:footnote w:id="10462">
    <w:p>
      <w:pPr>
        <w:pStyle w:val="FootnoteText"/>
      </w:pPr>
      <w:r>
        <w:rPr>
          <w:rStyle w:val="FootnoteReference"/>
        </w:rPr>
        <w:footnoteRef/>
      </w:r>
      <w:r>
        <w:t xml:space="preserve"> Cross-references for "Buzite": Gen 22:21.</w:t>
      </w:r>
    </w:p>
  </w:footnote>
  <w:footnote w:id="10463">
    <w:p>
      <w:pPr>
        <w:pStyle w:val="FootnoteText"/>
      </w:pPr>
      <w:r>
        <w:rPr>
          <w:rStyle w:val="FootnoteReference"/>
        </w:rPr>
        <w:footnoteRef/>
      </w:r>
      <w:r>
        <w:t xml:space="preserve"> Cross-references for "his wrath": Exod 32:19; Job 32:2.</w:t>
      </w:r>
    </w:p>
  </w:footnote>
  <w:footnote w:id="10464">
    <w:p>
      <w:pPr>
        <w:pStyle w:val="FootnoteText"/>
      </w:pPr>
      <w:r>
        <w:rPr>
          <w:rStyle w:val="FootnoteReference"/>
        </w:rPr>
        <w:footnoteRef/>
      </w:r>
      <w:r>
        <w:t xml:space="preserve"> Cross-references for "behold": Job 32:3; 1Tim 1:7.</w:t>
      </w:r>
    </w:p>
  </w:footnote>
  <w:footnote w:id="10465">
    <w:p>
      <w:pPr>
        <w:pStyle w:val="FootnoteText"/>
      </w:pPr>
      <w:r>
        <w:rPr>
          <w:rStyle w:val="FootnoteReference"/>
        </w:rPr>
        <w:footnoteRef/>
      </w:r>
      <w:r>
        <w:t xml:space="preserve"> Cross-references for "I will speak": Job 13:13; Job 13:19.</w:t>
      </w:r>
    </w:p>
  </w:footnote>
  <w:footnote w:id="10466">
    <w:p>
      <w:pPr>
        <w:pStyle w:val="FootnoteText"/>
      </w:pPr>
      <w:r>
        <w:rPr>
          <w:rStyle w:val="FootnoteReference"/>
        </w:rPr>
        <w:footnoteRef/>
      </w:r>
      <w:r>
        <w:t xml:space="preserve"> Cross-references for "hear": Job 13:6; Job 34:2.</w:t>
      </w:r>
    </w:p>
  </w:footnote>
  <w:footnote w:id="10467">
    <w:p>
      <w:pPr>
        <w:pStyle w:val="FootnoteText"/>
      </w:pPr>
      <w:r>
        <w:rPr>
          <w:rStyle w:val="FootnoteReference"/>
        </w:rPr>
        <w:footnoteRef/>
      </w:r>
      <w:r>
        <w:t xml:space="preserve"> Cross-references for "mouth": Job 31:30.</w:t>
      </w:r>
    </w:p>
  </w:footnote>
  <w:footnote w:id="10468">
    <w:p>
      <w:pPr>
        <w:pStyle w:val="FootnoteText"/>
      </w:pPr>
      <w:r>
        <w:rPr>
          <w:rStyle w:val="FootnoteReference"/>
        </w:rPr>
        <w:footnoteRef/>
      </w:r>
      <w:r>
        <w:t xml:space="preserve"> Cross-references for "my lips": Job 15:2; Job 36:3-4.</w:t>
      </w:r>
    </w:p>
  </w:footnote>
  <w:footnote w:id="10469">
    <w:p>
      <w:pPr>
        <w:pStyle w:val="FootnoteText"/>
      </w:pPr>
      <w:r>
        <w:rPr>
          <w:rStyle w:val="FootnoteReference"/>
        </w:rPr>
        <w:footnoteRef/>
      </w:r>
      <w:r>
        <w:t xml:space="preserve"> Cross-references for "stand": Acts 10:26.</w:t>
      </w:r>
    </w:p>
  </w:footnote>
  <w:footnote w:id="10470">
    <w:p>
      <w:pPr>
        <w:pStyle w:val="FootnoteText"/>
      </w:pPr>
      <w:r>
        <w:rPr>
          <w:rStyle w:val="FootnoteReference"/>
        </w:rPr>
        <w:footnoteRef/>
      </w:r>
      <w:r>
        <w:t xml:space="preserve"> Cross-references for "I also": Gen 2:7; Gen 3:19.</w:t>
      </w:r>
    </w:p>
  </w:footnote>
  <w:footnote w:id="10471">
    <w:p>
      <w:pPr>
        <w:pStyle w:val="FootnoteText"/>
      </w:pPr>
      <w:r>
        <w:rPr>
          <w:rStyle w:val="FootnoteReference"/>
        </w:rPr>
        <w:footnoteRef/>
      </w:r>
      <w:r>
        <w:t xml:space="preserve"> Cross-references for "my hand": Ps 32:4.</w:t>
      </w:r>
    </w:p>
  </w:footnote>
  <w:footnote w:id="10472">
    <w:p>
      <w:pPr>
        <w:pStyle w:val="FootnoteText"/>
      </w:pPr>
      <w:r>
        <w:rPr>
          <w:rStyle w:val="FootnoteReference"/>
        </w:rPr>
        <w:footnoteRef/>
      </w:r>
      <w:r>
        <w:t xml:space="preserve"> Cross-references for "his flesh": Job 7:5; Job 13:28.</w:t>
      </w:r>
    </w:p>
  </w:footnote>
  <w:footnote w:id="10473">
    <w:p>
      <w:pPr>
        <w:pStyle w:val="FootnoteText"/>
      </w:pPr>
      <w:r>
        <w:rPr>
          <w:rStyle w:val="FootnoteReference"/>
        </w:rPr>
        <w:footnoteRef/>
      </w:r>
      <w:r>
        <w:t xml:space="preserve"> Cross-references for "his soul": 1Sam 2:6; Job 7:7.</w:t>
      </w:r>
    </w:p>
  </w:footnote>
  <w:footnote w:id="10474">
    <w:p>
      <w:pPr>
        <w:pStyle w:val="FootnoteText"/>
      </w:pPr>
      <w:r>
        <w:rPr>
          <w:rStyle w:val="FootnoteReference"/>
        </w:rPr>
        <w:footnoteRef/>
      </w:r>
      <w:r>
        <w:t xml:space="preserve"> Cross-references for "his flesh": 2Kgs 5:14.</w:t>
      </w:r>
    </w:p>
  </w:footnote>
  <w:footnote w:id="10475">
    <w:p>
      <w:pPr>
        <w:pStyle w:val="FootnoteText"/>
      </w:pPr>
      <w:r>
        <w:rPr>
          <w:rStyle w:val="FootnoteReference"/>
        </w:rPr>
        <w:footnoteRef/>
      </w:r>
      <w:r>
        <w:t xml:space="preserve"> Cross-references for "choose": Judg 19:30; Judg 20:7.</w:t>
      </w:r>
    </w:p>
  </w:footnote>
  <w:footnote w:id="10476">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0477">
    <w:p>
      <w:pPr>
        <w:pStyle w:val="FootnoteText"/>
      </w:pPr>
      <w:r>
        <w:rPr>
          <w:rStyle w:val="FootnoteReference"/>
        </w:rPr>
        <w:footnoteRef/>
      </w:r>
      <w:r>
        <w:t xml:space="preserve"> Cross-references for "turned": 1Sam 15:11; Ps 125:5.</w:t>
      </w:r>
    </w:p>
  </w:footnote>
  <w:footnote w:id="10478">
    <w:p>
      <w:pPr>
        <w:pStyle w:val="FootnoteText"/>
      </w:pPr>
      <w:r>
        <w:rPr>
          <w:rStyle w:val="FootnoteReference"/>
        </w:rPr>
        <w:footnoteRef/>
      </w:r>
      <w:r>
        <w:t xml:space="preserve"> Cross-references for "understanding": Job 34:2; Job 34:4.</w:t>
      </w:r>
    </w:p>
  </w:footnote>
  <w:footnote w:id="10479">
    <w:p>
      <w:pPr>
        <w:pStyle w:val="FootnoteText"/>
      </w:pPr>
      <w:r>
        <w:rPr>
          <w:rStyle w:val="FootnoteReference"/>
        </w:rPr>
        <w:footnoteRef/>
      </w:r>
      <w:r>
        <w:t xml:space="preserve"> Translation note: The Greek states the claim directly. The current wording keeps that line visible.</w:t>
      </w:r>
    </w:p>
  </w:footnote>
  <w:footnote w:id="10480">
    <w:p>
      <w:pPr>
        <w:pStyle w:val="FootnoteText"/>
      </w:pPr>
      <w:r>
        <w:rPr>
          <w:rStyle w:val="FootnoteReference"/>
        </w:rPr>
        <w:footnoteRef/>
      </w:r>
      <w:r>
        <w:t xml:space="preserve"> Cross-references for "Look": 1Kgs 8:27; Job 22:12.</w:t>
      </w:r>
    </w:p>
  </w:footnote>
  <w:footnote w:id="10481">
    <w:p>
      <w:pPr>
        <w:pStyle w:val="FootnoteText"/>
      </w:pPr>
      <w:r>
        <w:rPr>
          <w:rStyle w:val="FootnoteReference"/>
        </w:rPr>
        <w:footnoteRef/>
      </w:r>
      <w:r>
        <w:t xml:space="preserve"> Cross-references for "mighty": Job 9:14; Job 9:19.</w:t>
      </w:r>
    </w:p>
  </w:footnote>
  <w:footnote w:id="10482">
    <w:p>
      <w:pPr>
        <w:pStyle w:val="FootnoteText"/>
      </w:pPr>
      <w:r>
        <w:rPr>
          <w:rStyle w:val="FootnoteReference"/>
        </w:rPr>
        <w:footnoteRef/>
      </w:r>
      <w:r>
        <w:t xml:space="preserve"> Translation note: Greek has a singular ungodly-man object. English supplies an for readable class-noun idiom.</w:t>
      </w:r>
    </w:p>
  </w:footnote>
  <w:footnote w:id="10483">
    <w:p>
      <w:pPr>
        <w:pStyle w:val="FootnoteText"/>
      </w:pPr>
      <w:r>
        <w:rPr>
          <w:rStyle w:val="FootnoteReference"/>
        </w:rPr>
        <w:footnoteRef/>
      </w:r>
      <w:r>
        <w:t xml:space="preserve"> Cross-references for "poor": Exod 22:22-24; Ps 140:12.</w:t>
      </w:r>
    </w:p>
  </w:footnote>
  <w:footnote w:id="10484">
    <w:p>
      <w:pPr>
        <w:pStyle w:val="FootnoteText"/>
      </w:pPr>
      <w:r>
        <w:rPr>
          <w:rStyle w:val="FootnoteReference"/>
        </w:rPr>
        <w:footnoteRef/>
      </w:r>
      <w:r>
        <w:t xml:space="preserve"> Translation note: Greek has singular righteous-man and throne phrases. English supplies articles for readable idiom.</w:t>
      </w:r>
    </w:p>
  </w:footnote>
  <w:footnote w:id="10485">
    <w:p>
      <w:pPr>
        <w:pStyle w:val="FootnoteText"/>
      </w:pPr>
      <w:r>
        <w:rPr>
          <w:rStyle w:val="FootnoteReference"/>
        </w:rPr>
        <w:footnoteRef/>
      </w:r>
      <w:r>
        <w:t xml:space="preserve"> Cross-references for "their": Ps 5:10; Isa 59:12.</w:t>
      </w:r>
    </w:p>
  </w:footnote>
  <w:footnote w:id="10486">
    <w:p>
      <w:pPr>
        <w:pStyle w:val="FootnoteText"/>
      </w:pPr>
      <w:r>
        <w:rPr>
          <w:rStyle w:val="FootnoteReference"/>
        </w:rPr>
        <w:footnoteRef/>
      </w:r>
      <w:r>
        <w:t xml:space="preserve"> Translation note: Greek has the articular righteous-man phrase. English supplies the for the articular object.</w:t>
      </w:r>
    </w:p>
  </w:footnote>
  <w:footnote w:id="10487">
    <w:p>
      <w:pPr>
        <w:pStyle w:val="FootnoteText"/>
      </w:pPr>
      <w:r>
        <w:rPr>
          <w:rStyle w:val="FootnoteReference"/>
        </w:rPr>
        <w:footnoteRef/>
      </w:r>
      <w:r>
        <w:t xml:space="preserve"> Cross-references for "full": Ps 23:5; Ps 36:8.</w:t>
      </w:r>
    </w:p>
  </w:footnote>
  <w:footnote w:id="10488">
    <w:p>
      <w:pPr>
        <w:pStyle w:val="FootnoteText"/>
      </w:pPr>
      <w:r>
        <w:rPr>
          <w:rStyle w:val="FootnoteReference"/>
        </w:rPr>
        <w:footnoteRef/>
      </w:r>
      <w:r>
        <w:t xml:space="preserve"> Translation note: Article cleanup: English supplies the for the righteous class-group phrase.</w:t>
      </w:r>
    </w:p>
  </w:footnote>
  <w:footnote w:id="10489">
    <w:p>
      <w:pPr>
        <w:pStyle w:val="FootnoteText"/>
      </w:pPr>
      <w:r>
        <w:rPr>
          <w:rStyle w:val="FootnoteReference"/>
        </w:rPr>
        <w:footnoteRef/>
      </w:r>
      <w:r>
        <w:t xml:space="preserve"> Translation note: Article cleanup: English supplies articles for the ungodly class-group phrase and abstract noun phrase.</w:t>
      </w:r>
    </w:p>
  </w:footnote>
  <w:footnote w:id="10490">
    <w:p>
      <w:pPr>
        <w:pStyle w:val="FootnoteText"/>
      </w:pPr>
      <w:r>
        <w:rPr>
          <w:rStyle w:val="FootnoteReference"/>
        </w:rPr>
        <w:footnoteRef/>
      </w:r>
      <w:r>
        <w:t xml:space="preserve"> Cross-references for "the voice": Exod 15:7-8; Deut 33:26.</w:t>
      </w:r>
    </w:p>
  </w:footnote>
  <w:footnote w:id="10491">
    <w:p>
      <w:pPr>
        <w:pStyle w:val="FootnoteText"/>
      </w:pPr>
      <w:r>
        <w:rPr>
          <w:rStyle w:val="FootnoteReference"/>
        </w:rPr>
        <w:footnoteRef/>
      </w:r>
      <w:r>
        <w:t xml:space="preserve"> Cross-references for "great": Job 5:9; Job 9:10.</w:t>
      </w:r>
    </w:p>
  </w:footnote>
  <w:footnote w:id="10492">
    <w:p>
      <w:pPr>
        <w:pStyle w:val="FootnoteText"/>
      </w:pPr>
      <w:r>
        <w:rPr>
          <w:rStyle w:val="FootnoteReference"/>
        </w:rPr>
        <w:footnoteRef/>
      </w:r>
      <w:r>
        <w:t xml:space="preserve"> Cross-references for "Whether": Exod 9:18-25; 1Sam 12:18-19.</w:t>
      </w:r>
    </w:p>
  </w:footnote>
  <w:footnote w:id="10493">
    <w:p>
      <w:pPr>
        <w:pStyle w:val="FootnoteText"/>
      </w:pPr>
      <w:r>
        <w:rPr>
          <w:rStyle w:val="FootnoteReference"/>
        </w:rPr>
        <w:footnoteRef/>
      </w:r>
      <w:r>
        <w:t xml:space="preserve"> Cross-references for "stand": Exod 14:13; Ps 46:10.</w:t>
      </w:r>
    </w:p>
  </w:footnote>
  <w:footnote w:id="10494">
    <w:p>
      <w:pPr>
        <w:pStyle w:val="FootnoteText"/>
      </w:pPr>
      <w:r>
        <w:rPr>
          <w:rStyle w:val="FootnoteReference"/>
        </w:rPr>
        <w:footnoteRef/>
      </w:r>
      <w:r>
        <w:t xml:space="preserve"> Cross-references for "Teach": Job 12:3; Job 13:3.</w:t>
      </w:r>
    </w:p>
  </w:footnote>
  <w:footnote w:id="10495">
    <w:p>
      <w:pPr>
        <w:pStyle w:val="FootnoteText"/>
      </w:pPr>
      <w:r>
        <w:rPr>
          <w:rStyle w:val="FootnoteReference"/>
        </w:rPr>
        <w:footnoteRef/>
      </w:r>
      <w:r>
        <w:t xml:space="preserve"> Cross-references for "fear": Ps 130:4; Jer 32:39.</w:t>
      </w:r>
    </w:p>
  </w:footnote>
  <w:footnote w:id="10496">
    <w:p>
      <w:pPr>
        <w:pStyle w:val="FootnoteText"/>
      </w:pPr>
      <w:r>
        <w:rPr>
          <w:rStyle w:val="FootnoteReference"/>
        </w:rPr>
        <w:footnoteRef/>
      </w:r>
      <w:r>
        <w:t xml:space="preserve"> Cross-references for "Gird": Exod 12:11; 1Kgs 18:46.</w:t>
      </w:r>
    </w:p>
  </w:footnote>
  <w:footnote w:id="10497">
    <w:p>
      <w:pPr>
        <w:pStyle w:val="FootnoteText"/>
      </w:pPr>
      <w:r>
        <w:rPr>
          <w:rStyle w:val="FootnoteReference"/>
        </w:rPr>
        <w:footnoteRef/>
      </w:r>
      <w:r>
        <w:t xml:space="preserve"> Cross-references for "fastened": Ps 118:22; Ps 144:12.</w:t>
      </w:r>
    </w:p>
  </w:footnote>
  <w:footnote w:id="10498">
    <w:p>
      <w:pPr>
        <w:pStyle w:val="FootnoteText"/>
      </w:pPr>
      <w:r>
        <w:rPr>
          <w:rStyle w:val="FootnoteReference"/>
        </w:rPr>
        <w:footnoteRef/>
      </w:r>
      <w:r>
        <w:t xml:space="preserve"> Translation note: Article cleanup: English supplies articles before light and arm for readable object syntax.</w:t>
      </w:r>
    </w:p>
  </w:footnote>
  <w:footnote w:id="10499">
    <w:p>
      <w:pPr>
        <w:pStyle w:val="FootnoteText"/>
      </w:pPr>
      <w:r>
        <w:rPr>
          <w:rStyle w:val="FootnoteReference"/>
        </w:rPr>
        <w:footnoteRef/>
      </w:r>
      <w:r>
        <w:t xml:space="preserve"> Cross-references for "the gates": Ps 9:13; Ps 107:18.</w:t>
      </w:r>
    </w:p>
  </w:footnote>
  <w:footnote w:id="10500">
    <w:p>
      <w:pPr>
        <w:pStyle w:val="FootnoteText"/>
      </w:pPr>
      <w:r>
        <w:rPr>
          <w:rStyle w:val="FootnoteReference"/>
        </w:rPr>
        <w:footnoteRef/>
      </w:r>
      <w:r>
        <w:t xml:space="preserve"> Cross-references for "darkness": Ps 18:11; Ps 104:20.</w:t>
      </w:r>
    </w:p>
  </w:footnote>
  <w:footnote w:id="10501">
    <w:p>
      <w:pPr>
        <w:pStyle w:val="FootnoteText"/>
      </w:pPr>
      <w:r>
        <w:rPr>
          <w:rStyle w:val="FootnoteReference"/>
        </w:rPr>
        <w:footnoteRef/>
      </w:r>
      <w:r>
        <w:t xml:space="preserve"> Transliterated proper noun: Mazzaroth. Standard English equivalent: Mazzaroth. Source form: Mazzaroth. Greek form: μαζουρωθ. Name meaning: the twelve signs of the zodiac.</w:t>
      </w:r>
    </w:p>
  </w:footnote>
  <w:footnote w:id="10502">
    <w:p>
      <w:pPr>
        <w:pStyle w:val="FootnoteText"/>
      </w:pPr>
      <w:r>
        <w:rPr>
          <w:rStyle w:val="FootnoteReference"/>
        </w:rPr>
        <w:footnoteRef/>
      </w:r>
      <w:r>
        <w:t xml:space="preserve"> Cross-references for "Mazzaroth": 2Kgs 23:5.</w:t>
      </w:r>
    </w:p>
  </w:footnote>
  <w:footnote w:id="10503">
    <w:p>
      <w:pPr>
        <w:pStyle w:val="FootnoteText"/>
      </w:pPr>
      <w:r>
        <w:rPr>
          <w:rStyle w:val="FootnoteReference"/>
        </w:rPr>
        <w:footnoteRef/>
      </w:r>
      <w:r>
        <w:t xml:space="preserve"> Cross-references for "trust": Ps 20:7; Ps 33:16-17.</w:t>
      </w:r>
    </w:p>
  </w:footnote>
  <w:footnote w:id="10504">
    <w:p>
      <w:pPr>
        <w:pStyle w:val="FootnoteText"/>
      </w:pPr>
      <w:r>
        <w:rPr>
          <w:rStyle w:val="FootnoteReference"/>
        </w:rPr>
        <w:footnoteRef/>
      </w:r>
      <w:r>
        <w:t xml:space="preserve"> Cross-references for "hardened": Lam 4:3.</w:t>
      </w:r>
    </w:p>
  </w:footnote>
  <w:footnote w:id="10505">
    <w:p>
      <w:pPr>
        <w:pStyle w:val="FootnoteText"/>
      </w:pPr>
      <w:r>
        <w:rPr>
          <w:rStyle w:val="FootnoteReference"/>
        </w:rPr>
        <w:footnoteRef/>
      </w:r>
      <w:r>
        <w:t xml:space="preserve"> Cross-references for "Upon": 1Sam 14:4.</w:t>
      </w:r>
    </w:p>
  </w:footnote>
  <w:footnote w:id="10506">
    <w:p>
      <w:pPr>
        <w:pStyle w:val="FootnoteText"/>
      </w:pPr>
      <w:r>
        <w:rPr>
          <w:rStyle w:val="FootnoteReference"/>
        </w:rPr>
        <w:footnoteRef/>
      </w:r>
      <w:r>
        <w:t xml:space="preserve"> Cross-references for "gird": Job 13:22; Job 23:3-4.</w:t>
      </w:r>
    </w:p>
  </w:footnote>
  <w:footnote w:id="10507">
    <w:p>
      <w:pPr>
        <w:pStyle w:val="FootnoteText"/>
      </w:pPr>
      <w:r>
        <w:rPr>
          <w:rStyle w:val="FootnoteReference"/>
        </w:rPr>
        <w:footnoteRef/>
      </w:r>
      <w:r>
        <w:t xml:space="preserve"> Cross-references for "glory": Exod 28:2; Ps 50:2.</w:t>
      </w:r>
    </w:p>
  </w:footnote>
  <w:footnote w:id="10508">
    <w:p>
      <w:pPr>
        <w:pStyle w:val="FootnoteText"/>
      </w:pPr>
      <w:r>
        <w:rPr>
          <w:rStyle w:val="FootnoteReference"/>
        </w:rPr>
        <w:footnoteRef/>
      </w:r>
      <w:r>
        <w:t xml:space="preserve"> Cross-references for "Hide": Job 14:13; Ps 49:14.</w:t>
      </w:r>
    </w:p>
  </w:footnote>
  <w:footnote w:id="10509">
    <w:p>
      <w:pPr>
        <w:pStyle w:val="FootnoteText"/>
      </w:pPr>
      <w:r>
        <w:rPr>
          <w:rStyle w:val="FootnoteReference"/>
        </w:rPr>
        <w:footnoteRef/>
      </w:r>
      <w:r>
        <w:t xml:space="preserve"> Cross-references for "Jordan": Gen 13:10; Josh 3:15.</w:t>
      </w:r>
    </w:p>
  </w:footnote>
  <w:footnote w:id="10510">
    <w:p>
      <w:pPr>
        <w:pStyle w:val="FootnoteText"/>
      </w:pPr>
      <w:r>
        <w:rPr>
          <w:rStyle w:val="FootnoteReference"/>
        </w:rPr>
        <w:footnoteRef/>
      </w:r>
      <w:r>
        <w:t xml:space="preserve"> Cross-references for "things": Ps 40:5; Ps 131:1.</w:t>
      </w:r>
    </w:p>
  </w:footnote>
  <w:footnote w:id="10511">
    <w:p>
      <w:pPr>
        <w:pStyle w:val="FootnoteText"/>
      </w:pPr>
      <w:r>
        <w:rPr>
          <w:rStyle w:val="FootnoteReference"/>
        </w:rPr>
        <w:footnoteRef/>
      </w:r>
      <w:r>
        <w:t xml:space="preserve"> Cross-references for "Hear": Gen 18:27; Gen 18:30-32.</w:t>
      </w:r>
    </w:p>
  </w:footnote>
  <w:footnote w:id="10512">
    <w:p>
      <w:pPr>
        <w:pStyle w:val="FootnoteText"/>
      </w:pPr>
      <w:r>
        <w:rPr>
          <w:rStyle w:val="FootnoteReference"/>
        </w:rPr>
        <w:footnoteRef/>
      </w:r>
      <w:r>
        <w:t xml:space="preserve"> Cross-references for "heard": Job 4:12; Job 28:22.</w:t>
      </w:r>
    </w:p>
  </w:footnote>
  <w:footnote w:id="10513">
    <w:p>
      <w:pPr>
        <w:pStyle w:val="FootnoteText"/>
      </w:pPr>
      <w:r>
        <w:rPr>
          <w:rStyle w:val="FootnoteReference"/>
        </w:rPr>
        <w:footnoteRef/>
      </w:r>
      <w:r>
        <w:t xml:space="preserve"> Cross-references for "Eliphaz": Job 2:11; Job 4:1.</w:t>
      </w:r>
    </w:p>
  </w:footnote>
  <w:footnote w:id="10514">
    <w:p>
      <w:pPr>
        <w:pStyle w:val="FootnoteText"/>
      </w:pPr>
      <w:r>
        <w:rPr>
          <w:rStyle w:val="FootnoteReference"/>
        </w:rPr>
        <w:footnoteRef/>
      </w:r>
      <w:r>
        <w:t xml:space="preserve"> Cross-references for "the Lord": Deut 8:18; 1Sam 2:7.</w:t>
      </w:r>
    </w:p>
  </w:footnote>
  <w:footnote w:id="10515">
    <w:p>
      <w:pPr>
        <w:pStyle w:val="FootnoteText"/>
      </w:pPr>
      <w:r>
        <w:rPr>
          <w:rStyle w:val="FootnoteReference"/>
        </w:rPr>
        <w:footnoteRef/>
      </w:r>
      <w:r>
        <w:t xml:space="preserve"> Cross-references for "gave": Num 27:7; Josh 15:18-19.</w:t>
      </w:r>
    </w:p>
  </w:footnote>
  <w:footnote w:id="10516">
    <w:p>
      <w:pPr>
        <w:pStyle w:val="FootnoteText"/>
      </w:pPr>
      <w:r>
        <w:rPr>
          <w:rStyle w:val="FootnoteReference"/>
        </w:rPr>
        <w:footnoteRef/>
      </w:r>
      <w:r>
        <w:t xml:space="preserve"> Translation note: The Greek appendix includes an explicit resurrection line. The translation keeps that appendix visible in readable English.</w:t>
      </w:r>
    </w:p>
  </w:footnote>
  <w:footnote w:id="10517">
    <w:p>
      <w:pPr>
        <w:pStyle w:val="FootnoteText"/>
      </w:pPr>
      <w:r>
        <w:rPr>
          <w:rStyle w:val="FootnoteReference"/>
        </w:rPr>
        <w:footnoteRef/>
      </w:r>
      <w:r>
        <w:t xml:space="preserve"> People-name: Arabian. People-name meaning: Arabian — evening; desert; ravens. Source form: Arabian.</w:t>
      </w:r>
    </w:p>
  </w:footnote>
  <w:footnote w:id="10518">
    <w:p>
      <w:pPr>
        <w:pStyle w:val="FootnoteText"/>
      </w:pPr>
      <w:r>
        <w:rPr>
          <w:rStyle w:val="FootnoteReference"/>
        </w:rPr>
        <w:footnoteRef/>
      </w:r>
      <w:r>
        <w:t xml:space="preserve"> People-name: Naamathites. People-name meaning: Naamathites — people of Naamah; pleasantness. Source form: Naamathites.</w:t>
      </w:r>
    </w:p>
  </w:footnote>
  <w:footnote w:id="10519">
    <w:p>
      <w:pPr>
        <w:pStyle w:val="FootnoteText"/>
      </w:pPr>
      <w:r>
        <w:rPr>
          <w:rStyle w:val="FootnoteReference"/>
        </w:rPr>
        <w:footnoteRef/>
      </w:r>
      <w:r>
        <w:t xml:space="preserve"> Cross-references for "Blessed": Deut 28:2-68; Deut 33:29.</w:t>
      </w:r>
    </w:p>
  </w:footnote>
  <w:footnote w:id="10520">
    <w:p>
      <w:pPr>
        <w:pStyle w:val="FootnoteText"/>
      </w:pPr>
      <w:r>
        <w:rPr>
          <w:rStyle w:val="FootnoteReference"/>
        </w:rPr>
        <w:footnoteRef/>
      </w:r>
      <w:r>
        <w:t xml:space="preserve"> Cross-references for "but his": Job 23:12; Ps 40:8.</w:t>
      </w:r>
    </w:p>
  </w:footnote>
  <w:footnote w:id="10521">
    <w:p>
      <w:pPr>
        <w:pStyle w:val="FootnoteText"/>
      </w:pPr>
      <w:r>
        <w:rPr>
          <w:rStyle w:val="FootnoteReference"/>
        </w:rPr>
        <w:footnoteRef/>
      </w:r>
      <w:r>
        <w:t xml:space="preserve"> Cross-references for "tree": Job 14:9; Isa 44:4.</w:t>
      </w:r>
    </w:p>
  </w:footnote>
  <w:footnote w:id="10522">
    <w:p>
      <w:pPr>
        <w:pStyle w:val="FootnoteText"/>
      </w:pPr>
      <w:r>
        <w:rPr>
          <w:rStyle w:val="FootnoteReference"/>
        </w:rPr>
        <w:footnoteRef/>
      </w:r>
      <w:r>
        <w:t xml:space="preserve"> Cross-references for "sinners": Ps 26:9; Mal 3:18.</w:t>
      </w:r>
    </w:p>
  </w:footnote>
  <w:footnote w:id="10523">
    <w:p>
      <w:pPr>
        <w:pStyle w:val="FootnoteText"/>
      </w:pPr>
      <w:r>
        <w:rPr>
          <w:rStyle w:val="FootnoteReference"/>
        </w:rPr>
        <w:footnoteRef/>
      </w:r>
      <w:r>
        <w:t xml:space="preserve"> Cross-references for "rage": Luke 22:1-2; Luke 22:5.</w:t>
      </w:r>
    </w:p>
  </w:footnote>
  <w:footnote w:id="10524">
    <w:p>
      <w:pPr>
        <w:pStyle w:val="FootnoteText"/>
      </w:pPr>
      <w:r>
        <w:rPr>
          <w:rStyle w:val="FootnoteReference"/>
        </w:rPr>
        <w:footnoteRef/>
      </w:r>
      <w:r>
        <w:t xml:space="preserve"> Cross-references for "kings": Ps 2:10; Ps 48:4.</w:t>
      </w:r>
    </w:p>
  </w:footnote>
  <w:footnote w:id="10525">
    <w:p>
      <w:pPr>
        <w:pStyle w:val="FootnoteText"/>
      </w:pPr>
      <w:r>
        <w:rPr>
          <w:rStyle w:val="FootnoteReference"/>
        </w:rPr>
        <w:footnoteRef/>
      </w:r>
      <w:r>
        <w:t xml:space="preserve"> Cross-references for "be instructed": Ps 82:1-8.</w:t>
      </w:r>
    </w:p>
  </w:footnote>
  <w:footnote w:id="10526">
    <w:p>
      <w:pPr>
        <w:pStyle w:val="FootnoteText"/>
      </w:pPr>
      <w:r>
        <w:rPr>
          <w:rStyle w:val="FootnoteReference"/>
        </w:rPr>
        <w:footnoteRef/>
      </w:r>
      <w:r>
        <w:t xml:space="preserve"> Cross-references for "Serve": Ps 89:7; Heb 12:28-29.</w:t>
      </w:r>
    </w:p>
  </w:footnote>
  <w:footnote w:id="10527">
    <w:p>
      <w:pPr>
        <w:pStyle w:val="FootnoteText"/>
      </w:pPr>
      <w:r>
        <w:rPr>
          <w:rStyle w:val="FootnoteReference"/>
        </w:rPr>
        <w:footnoteRef/>
      </w:r>
      <w:r>
        <w:t xml:space="preserve"> Translation note: Greek uses the adjective blessed with all who trust. English supplies are; righteous way is rendered a righteous way for readable idiom.</w:t>
      </w:r>
    </w:p>
  </w:footnote>
  <w:footnote w:id="10528">
    <w:p>
      <w:pPr>
        <w:pStyle w:val="FootnoteText"/>
      </w:pPr>
      <w:r>
        <w:rPr>
          <w:rStyle w:val="FootnoteReference"/>
        </w:rPr>
        <w:footnoteRef/>
      </w:r>
      <w:r>
        <w:t xml:space="preserve"> Cross-references for "Blessed": Ps 40:4; Ps 84:12.</w:t>
      </w:r>
    </w:p>
  </w:footnote>
  <w:footnote w:id="10529">
    <w:p>
      <w:pPr>
        <w:pStyle w:val="FootnoteText"/>
      </w:pPr>
      <w:r>
        <w:rPr>
          <w:rStyle w:val="FootnoteReference"/>
        </w:rPr>
        <w:footnoteRef/>
      </w:r>
      <w:r>
        <w:t xml:space="preserve"> Translation note: Article cleanup: English supplies the before teeth for readable object syntax.</w:t>
      </w:r>
    </w:p>
  </w:footnote>
  <w:footnote w:id="10530">
    <w:p>
      <w:pPr>
        <w:pStyle w:val="FootnoteText"/>
      </w:pPr>
      <w:r>
        <w:rPr>
          <w:rStyle w:val="FootnoteReference"/>
        </w:rPr>
        <w:footnoteRef/>
      </w:r>
      <w:r>
        <w:t xml:space="preserve"> Translation note: Greek has a singular righteous object. English supplies a for readable class-noun idiom.</w:t>
      </w:r>
    </w:p>
  </w:footnote>
  <w:footnote w:id="10531">
    <w:p>
      <w:pPr>
        <w:pStyle w:val="FootnoteText"/>
      </w:pPr>
      <w:r>
        <w:rPr>
          <w:rStyle w:val="FootnoteReference"/>
        </w:rPr>
        <w:footnoteRef/>
      </w:r>
      <w:r>
        <w:t xml:space="preserve"> Cross-references for "if I": Gen 44:4; Ps 55:20.</w:t>
      </w:r>
    </w:p>
  </w:footnote>
  <w:footnote w:id="10532">
    <w:p>
      <w:pPr>
        <w:pStyle w:val="FootnoteText"/>
      </w:pPr>
      <w:r>
        <w:rPr>
          <w:rStyle w:val="FootnoteReference"/>
        </w:rPr>
        <w:footnoteRef/>
      </w:r>
      <w:r>
        <w:t xml:space="preserve"> Translation note: Article cleanup: English supplies the and an for readable abstract-noun syntax; Greek also has a singular righteous object.</w:t>
      </w:r>
    </w:p>
  </w:footnote>
  <w:footnote w:id="10533">
    <w:p>
      <w:pPr>
        <w:pStyle w:val="FootnoteText"/>
      </w:pPr>
      <w:r>
        <w:rPr>
          <w:rStyle w:val="FootnoteReference"/>
        </w:rPr>
        <w:footnoteRef/>
      </w:r>
      <w:r>
        <w:t xml:space="preserve"> Hebrew divine name/title: Yahweh Elyon (</w:t>
      </w:r>
      <w:r>
        <w:rPr>
          <w:lang w:val="he-IL" w:bidi="he-IL"/>
          <w:rtl/>
        </w:rPr>
        <w:t xml:space="preserve">יְהוָה עֶלְיוֹן</w:t>
      </w:r>
      <w:r>
        <w:t xml:space="preserve">) — The LORD Most High. Common English rendering: the LORD most high. Joins the covenant name with the title Most High to stress His supreme rule.</w:t>
      </w:r>
    </w:p>
  </w:footnote>
  <w:footnote w:id="10534">
    <w:p>
      <w:pPr>
        <w:pStyle w:val="FootnoteText"/>
      </w:pPr>
      <w:r>
        <w:rPr>
          <w:rStyle w:val="FootnoteReference"/>
        </w:rPr>
        <w:footnoteRef/>
      </w:r>
      <w:r>
        <w:t xml:space="preserve"> Greek LXX divine name/title: Kyrios Hypsistos (Κύριος ὕψιστος) — Lord Most High. Common English rendering: Lord Most High. The LXX uses Kyrios Hypsistos for the Lord Most High title.</w:t>
      </w:r>
    </w:p>
  </w:footnote>
  <w:footnote w:id="10535">
    <w:p>
      <w:pPr>
        <w:pStyle w:val="FootnoteText"/>
      </w:pPr>
      <w:r>
        <w:rPr>
          <w:rStyle w:val="FootnoteReference"/>
        </w:rPr>
        <w:footnoteRef/>
      </w:r>
      <w:r>
        <w:t xml:space="preserve"> Translation note: Greek says with whole/all my heart. English uses the standard idiom with all my heart.</w:t>
      </w:r>
    </w:p>
  </w:footnote>
  <w:footnote w:id="10536">
    <w:p>
      <w:pPr>
        <w:pStyle w:val="FootnoteText"/>
      </w:pPr>
      <w:r>
        <w:rPr>
          <w:rStyle w:val="FootnoteReference"/>
        </w:rPr>
        <w:footnoteRef/>
      </w:r>
      <w:r>
        <w:t xml:space="preserve"> Translation note: Greek has a singular throne phrase. English supplies a and smooths the following participle as judging righteousness.</w:t>
      </w:r>
    </w:p>
  </w:footnote>
  <w:footnote w:id="10537">
    <w:p>
      <w:pPr>
        <w:pStyle w:val="FootnoteText"/>
      </w:pPr>
      <w:r>
        <w:rPr>
          <w:rStyle w:val="FootnoteReference"/>
        </w:rPr>
        <w:footnoteRef/>
      </w:r>
      <w:r>
        <w:t xml:space="preserve"> Translation note: Greek has an articular ungodly-man phrase. English supplies the.</w:t>
      </w:r>
    </w:p>
  </w:footnote>
  <w:footnote w:id="10538">
    <w:p>
      <w:pPr>
        <w:pStyle w:val="FootnoteText"/>
      </w:pPr>
      <w:r>
        <w:rPr>
          <w:rStyle w:val="FootnoteReference"/>
        </w:rPr>
        <w:footnoteRef/>
      </w:r>
      <w:r>
        <w:t xml:space="preserve"> Translation note: Greek has refuge/helper predicates and an articular poor-man phrase. English supplies a and the.</w:t>
      </w:r>
    </w:p>
  </w:footnote>
  <w:footnote w:id="10539">
    <w:p>
      <w:pPr>
        <w:pStyle w:val="FootnoteText"/>
      </w:pPr>
      <w:r>
        <w:rPr>
          <w:rStyle w:val="FootnoteReference"/>
        </w:rPr>
        <w:footnoteRef/>
      </w:r>
      <w:r>
        <w:t xml:space="preserve"> Translation note: Greek has the cry of poor men. English supplies the for the articular cry phrase.</w:t>
      </w:r>
    </w:p>
  </w:footnote>
  <w:footnote w:id="10540">
    <w:p>
      <w:pPr>
        <w:pStyle w:val="FootnoteText"/>
      </w:pPr>
      <w:r>
        <w:rPr>
          <w:rStyle w:val="FootnoteReference"/>
        </w:rPr>
        <w:footnoteRef/>
      </w:r>
      <w:r>
        <w:t xml:space="preserve"> Translation note: Greek has an articular sinner phrase. English supplies the.</w:t>
      </w:r>
    </w:p>
  </w:footnote>
  <w:footnote w:id="10541">
    <w:p>
      <w:pPr>
        <w:pStyle w:val="FootnoteText"/>
      </w:pPr>
      <w:r>
        <w:rPr>
          <w:rStyle w:val="FootnoteReference"/>
        </w:rPr>
        <w:footnoteRef/>
      </w:r>
      <w:r>
        <w:t xml:space="preserve"> Translation note: Greek has an articular poor-man phrase. English supplies the and to the end for readable idiom.</w:t>
      </w:r>
    </w:p>
  </w:footnote>
  <w:footnote w:id="10542">
    <w:p>
      <w:pPr>
        <w:pStyle w:val="FootnoteText"/>
      </w:pPr>
      <w:r>
        <w:rPr>
          <w:rStyle w:val="FootnoteReference"/>
        </w:rPr>
        <w:footnoteRef/>
      </w:r>
      <w:r>
        <w:t xml:space="preserve"> Translation note: Greek has articular ungodly-man and poor-man phrases. English supplies the.</w:t>
      </w:r>
    </w:p>
  </w:footnote>
  <w:footnote w:id="10543">
    <w:p>
      <w:pPr>
        <w:pStyle w:val="FootnoteText"/>
      </w:pPr>
      <w:r>
        <w:rPr>
          <w:rStyle w:val="FootnoteReference"/>
        </w:rPr>
        <w:footnoteRef/>
      </w:r>
      <w:r>
        <w:t xml:space="preserve"> Translation note: Greek has articular sinner and unjust-man phrases. English supplies the.</w:t>
      </w:r>
    </w:p>
  </w:footnote>
  <w:footnote w:id="10544">
    <w:p>
      <w:pPr>
        <w:pStyle w:val="FootnoteText"/>
      </w:pPr>
      <w:r>
        <w:rPr>
          <w:rStyle w:val="FootnoteReference"/>
        </w:rPr>
        <w:footnoteRef/>
      </w:r>
      <w:r>
        <w:t xml:space="preserve"> Translation note: Greek has an anarthrous innocent-man phrase and an articular poor-man phrase. English supplies an and the.</w:t>
      </w:r>
    </w:p>
  </w:footnote>
  <w:footnote w:id="10545">
    <w:p>
      <w:pPr>
        <w:pStyle w:val="FootnoteText"/>
      </w:pPr>
      <w:r>
        <w:rPr>
          <w:rStyle w:val="FootnoteReference"/>
        </w:rPr>
        <w:footnoteRef/>
      </w:r>
      <w:r>
        <w:t xml:space="preserve"> Translation note: Greek has singular hidden-place and poor-man phrases. English supplies a for readable idiom.</w:t>
      </w:r>
    </w:p>
  </w:footnote>
  <w:footnote w:id="10546">
    <w:p>
      <w:pPr>
        <w:pStyle w:val="FootnoteText"/>
      </w:pPr>
      <w:r>
        <w:rPr>
          <w:rStyle w:val="FootnoteReference"/>
        </w:rPr>
        <w:footnoteRef/>
      </w:r>
      <w:r>
        <w:t xml:space="preserve"> Translation note: Greek has an articular ungodly-man phrase. English supplies the.</w:t>
      </w:r>
    </w:p>
  </w:footnote>
  <w:footnote w:id="10547">
    <w:p>
      <w:pPr>
        <w:pStyle w:val="FootnoteText"/>
      </w:pPr>
      <w:r>
        <w:rPr>
          <w:rStyle w:val="FootnoteReference"/>
        </w:rPr>
        <w:footnoteRef/>
      </w:r>
      <w:r>
        <w:t xml:space="preserve"> Translation note: Greek has a poor-man phrase and orphan phrase. English supplies articles for readable idiom.</w:t>
      </w:r>
    </w:p>
  </w:footnote>
  <w:footnote w:id="10548">
    <w:p>
      <w:pPr>
        <w:pStyle w:val="FootnoteText"/>
      </w:pPr>
      <w:r>
        <w:rPr>
          <w:rStyle w:val="FootnoteReference"/>
        </w:rPr>
        <w:footnoteRef/>
      </w:r>
      <w:r>
        <w:t xml:space="preserve"> Translation note: Greek has the arm and a genitive sinner/evil-man phrase. English supplies the.</w:t>
      </w:r>
    </w:p>
  </w:footnote>
  <w:footnote w:id="10549">
    <w:p>
      <w:pPr>
        <w:pStyle w:val="FootnoteText"/>
      </w:pPr>
      <w:r>
        <w:rPr>
          <w:rStyle w:val="FootnoteReference"/>
        </w:rPr>
        <w:footnoteRef/>
      </w:r>
      <w:r>
        <w:t xml:space="preserve"> Greek LXX divine name/title: Basileusei Kyrios eis ton aiona (βασιλεύσει Κύριος εἰς τὸν αἰῶνα) — Lord will reign forever. Common English rendering: Lord will reign forever. The LXX expresses the everlasting kingship title as Lord will reign forever.</w:t>
      </w:r>
    </w:p>
  </w:footnote>
  <w:footnote w:id="10550">
    <w:p>
      <w:pPr>
        <w:pStyle w:val="FootnoteText"/>
      </w:pPr>
      <w:r>
        <w:rPr>
          <w:rStyle w:val="FootnoteReference"/>
        </w:rPr>
        <w:footnoteRef/>
      </w:r>
      <w:r>
        <w:t xml:space="preserve"> Translation note: Greek fronts the desire of poor men. English reorders subject and verb for readability and supplies the for preparation of their heart.</w:t>
      </w:r>
    </w:p>
  </w:footnote>
  <w:footnote w:id="10551">
    <w:p>
      <w:pPr>
        <w:pStyle w:val="FootnoteText"/>
      </w:pPr>
      <w:r>
        <w:rPr>
          <w:rStyle w:val="FootnoteReference"/>
        </w:rPr>
        <w:footnoteRef/>
      </w:r>
      <w:r>
        <w:t xml:space="preserve"> Translation note: Greek has singular orphan and lowly-man objects. English supplies articles for readable idiom.</w:t>
      </w:r>
    </w:p>
  </w:footnote>
  <w:footnote w:id="10552">
    <w:p>
      <w:pPr>
        <w:pStyle w:val="FootnoteText"/>
      </w:pPr>
      <w:r>
        <w:rPr>
          <w:rStyle w:val="FootnoteReference"/>
        </w:rPr>
        <w:footnoteRef/>
      </w:r>
      <w:r>
        <w:t xml:space="preserve"> Translation note: Greek has the articular contrastive righteous-man subject. English supplies the.</w:t>
      </w:r>
    </w:p>
  </w:footnote>
  <w:footnote w:id="10553">
    <w:p>
      <w:pPr>
        <w:pStyle w:val="FootnoteText"/>
      </w:pPr>
      <w:r>
        <w:rPr>
          <w:rStyle w:val="FootnoteReference"/>
        </w:rPr>
        <w:footnoteRef/>
      </w:r>
      <w:r>
        <w:t xml:space="preserve"> Translation note: Greek has an articular poor-man object. English supplies the.</w:t>
      </w:r>
    </w:p>
  </w:footnote>
  <w:footnote w:id="10554">
    <w:p>
      <w:pPr>
        <w:pStyle w:val="FootnoteText"/>
      </w:pPr>
      <w:r>
        <w:rPr>
          <w:rStyle w:val="FootnoteReference"/>
        </w:rPr>
        <w:footnoteRef/>
      </w:r>
      <w:r>
        <w:t xml:space="preserve"> Translation note: Greek has articular righteous-man and ungodly-man objects. English supplies the.</w:t>
      </w:r>
    </w:p>
  </w:footnote>
  <w:footnote w:id="10555">
    <w:p>
      <w:pPr>
        <w:pStyle w:val="FootnoteText"/>
      </w:pPr>
      <w:r>
        <w:rPr>
          <w:rStyle w:val="FootnoteReference"/>
        </w:rPr>
        <w:footnoteRef/>
      </w:r>
      <w:r>
        <w:t xml:space="preserve"> Translation note: Article cleanup: English supplies the before portion for readable appositional syntax.</w:t>
      </w:r>
    </w:p>
  </w:footnote>
  <w:footnote w:id="10556">
    <w:p>
      <w:pPr>
        <w:pStyle w:val="FootnoteText"/>
      </w:pPr>
      <w:r>
        <w:rPr>
          <w:rStyle w:val="FootnoteReference"/>
        </w:rPr>
        <w:footnoteRef/>
      </w:r>
      <w:r>
        <w:t xml:space="preserve"> Cross-references for "the Lord": Exod 40:34-35; 1Chr 17:5.</w:t>
      </w:r>
    </w:p>
  </w:footnote>
  <w:footnote w:id="10557">
    <w:p>
      <w:pPr>
        <w:pStyle w:val="FootnoteText"/>
      </w:pPr>
      <w:r>
        <w:rPr>
          <w:rStyle w:val="FootnoteReference"/>
        </w:rPr>
        <w:footnoteRef/>
      </w:r>
      <w:r>
        <w:t xml:space="preserve"> Cross-references for "Lord": Ps 1:1-4; Ps 21:3-5.</w:t>
      </w:r>
    </w:p>
  </w:footnote>
  <w:footnote w:id="10558">
    <w:p>
      <w:pPr>
        <w:pStyle w:val="FootnoteText"/>
      </w:pPr>
      <w:r>
        <w:rPr>
          <w:rStyle w:val="FootnoteReference"/>
        </w:rPr>
        <w:footnoteRef/>
      </w:r>
      <w:r>
        <w:t xml:space="preserve"> Translation note: LXX psalm numbering differs from many English editions here. The current wording follows the Greek psalm sequence and keeps the anointed title explicit.</w:t>
      </w:r>
    </w:p>
  </w:footnote>
  <w:footnote w:id="10559">
    <w:p>
      <w:pPr>
        <w:pStyle w:val="FootnoteText"/>
      </w:pPr>
      <w:r>
        <w:rPr>
          <w:rStyle w:val="FootnoteReference"/>
        </w:rPr>
        <w:footnoteRef/>
      </w:r>
      <w:r>
        <w:t xml:space="preserve"> Textual note: Standard English numbering: Psalm 22:1. The LXX superscription occupies Psalms 21:1 here, so the familiar opening cry begins at Psalms 21:2 in this edition.</w:t>
      </w:r>
    </w:p>
  </w:footnote>
  <w:footnote w:id="10560">
    <w:p>
      <w:pPr>
        <w:pStyle w:val="FootnoteText"/>
      </w:pPr>
      <w:r>
        <w:rPr>
          <w:rStyle w:val="FootnoteReference"/>
        </w:rPr>
        <w:footnoteRef/>
      </w:r>
      <w:r>
        <w:t xml:space="preserve"> Cross-references for "the Lord": Job 6:3; Ps 56:1-2.</w:t>
      </w:r>
    </w:p>
  </w:footnote>
  <w:footnote w:id="10561">
    <w:p>
      <w:pPr>
        <w:pStyle w:val="FootnoteText"/>
      </w:pPr>
      <w:r>
        <w:rPr>
          <w:rStyle w:val="FootnoteReference"/>
        </w:rPr>
        <w:footnoteRef/>
      </w:r>
      <w:r>
        <w:t xml:space="preserve"> Translation note: Greek uses a digging verb here. Many English readers know this line as Psalm 22:16 with pierced language; this edition keeps the LXX dug wording while flagging the traditional sense.</w:t>
      </w:r>
    </w:p>
  </w:footnote>
  <w:footnote w:id="10562">
    <w:p>
      <w:pPr>
        <w:pStyle w:val="FootnoteText"/>
      </w:pPr>
      <w:r>
        <w:rPr>
          <w:rStyle w:val="FootnoteReference"/>
        </w:rPr>
        <w:footnoteRef/>
      </w:r>
      <w:r>
        <w:t xml:space="preserve"> Translation note: Greek has the article with kingdom and a genitive construction with the Lord. English supplies the and renders the following genitive as rules over the nations.</w:t>
      </w:r>
    </w:p>
  </w:footnote>
  <w:footnote w:id="10563">
    <w:p>
      <w:pPr>
        <w:pStyle w:val="FootnoteText"/>
      </w:pPr>
      <w:r>
        <w:rPr>
          <w:rStyle w:val="FootnoteReference"/>
        </w:rPr>
        <w:footnoteRef/>
      </w:r>
      <w:r>
        <w:t xml:space="preserve"> Greek LXX divine name/title: Kyrios poimainei me (Κύριος ποιμαίνει με) — Lord shepherds me. Common English rendering: Lord shepherds me. The LXX renders the shepherd title verbally: Lord shepherds me.</w:t>
      </w:r>
    </w:p>
  </w:footnote>
  <w:footnote w:id="10564">
    <w:p>
      <w:pPr>
        <w:pStyle w:val="FootnoteText"/>
      </w:pPr>
      <w:r>
        <w:rPr>
          <w:rStyle w:val="FootnoteReference"/>
        </w:rPr>
        <w:footnoteRef/>
      </w:r>
      <w:r>
        <w:t xml:space="preserve"> Translation note: Greek hystereo carries the sense of lacking or being in need. This wording keeps that lack/want sense visible. Standard English numbering: Psalm 23:1.</w:t>
      </w:r>
    </w:p>
  </w:footnote>
  <w:footnote w:id="10565">
    <w:p>
      <w:pPr>
        <w:pStyle w:val="FootnoteText"/>
      </w:pPr>
      <w:r>
        <w:rPr>
          <w:rStyle w:val="FootnoteReference"/>
        </w:rPr>
        <w:footnoteRef/>
      </w:r>
      <w:r>
        <w:t xml:space="preserve"> Hebrew divine name/title: Yahweh Roi (</w:t>
      </w:r>
      <w:r>
        <w:rPr>
          <w:lang w:val="he-IL" w:bidi="he-IL"/>
          <w:rtl/>
        </w:rPr>
        <w:t xml:space="preserve">יְהוָה רֹעִי</w:t>
      </w:r>
      <w:r>
        <w:t xml:space="preserve">) — The LORD my shepherd. Common English rendering: The LORD is my shepherd. David’s intimate confession of God’s personal guidance, provision, and care.</w:t>
      </w:r>
    </w:p>
  </w:footnote>
  <w:footnote w:id="10566">
    <w:p>
      <w:pPr>
        <w:pStyle w:val="FootnoteText"/>
      </w:pPr>
      <w:r>
        <w:rPr>
          <w:rStyle w:val="FootnoteReference"/>
        </w:rPr>
        <w:footnoteRef/>
      </w:r>
      <w:r>
        <w:t xml:space="preserve"> Translation note: LXX psalm numbering differs from many English editions here. The current wording follows the Greek psalm sequence and keeps mercy language explicit.</w:t>
      </w:r>
    </w:p>
  </w:footnote>
  <w:footnote w:id="10567">
    <w:p>
      <w:pPr>
        <w:pStyle w:val="FootnoteText"/>
      </w:pPr>
      <w:r>
        <w:rPr>
          <w:rStyle w:val="FootnoteReference"/>
        </w:rPr>
        <w:footnoteRef/>
      </w:r>
      <w:r>
        <w:t xml:space="preserve"> Translation note: LXX psalm numbering differs from many English editions here. The current wording follows the Greek psalm sequence and keeps the lifted-my-soul formula close to the source row.</w:t>
      </w:r>
    </w:p>
  </w:footnote>
  <w:footnote w:id="10568">
    <w:p>
      <w:pPr>
        <w:pStyle w:val="FootnoteText"/>
      </w:pPr>
      <w:r>
        <w:rPr>
          <w:rStyle w:val="FootnoteReference"/>
        </w:rPr>
        <w:footnoteRef/>
      </w:r>
      <w:r>
        <w:t xml:space="preserve"> Cross-references for "the Lord": Isa 6:3-5; Isa 54:5.</w:t>
      </w:r>
    </w:p>
  </w:footnote>
  <w:footnote w:id="10569">
    <w:p>
      <w:pPr>
        <w:pStyle w:val="FootnoteText"/>
      </w:pPr>
      <w:r>
        <w:rPr>
          <w:rStyle w:val="FootnoteReference"/>
        </w:rPr>
        <w:footnoteRef/>
      </w:r>
      <w:r>
        <w:t xml:space="preserve"> Cross-references for "Lord": Ps 27:4-6; Ps 42:4.</w:t>
      </w:r>
    </w:p>
  </w:footnote>
  <w:footnote w:id="10570">
    <w:p>
      <w:pPr>
        <w:pStyle w:val="FootnoteText"/>
      </w:pPr>
      <w:r>
        <w:rPr>
          <w:rStyle w:val="FootnoteReference"/>
        </w:rPr>
        <w:footnoteRef/>
      </w:r>
      <w:r>
        <w:t xml:space="preserve"> Translation note: Greek has the articular object after against. English supplies the for that phrase.</w:t>
      </w:r>
    </w:p>
  </w:footnote>
  <w:footnote w:id="10571">
    <w:p>
      <w:pPr>
        <w:pStyle w:val="FootnoteText"/>
      </w:pPr>
      <w:r>
        <w:rPr>
          <w:rStyle w:val="FootnoteReference"/>
        </w:rPr>
        <w:footnoteRef/>
      </w:r>
      <w:r>
        <w:t xml:space="preserve"> Cross-references for "the Lord": Lev 17:4; Rom 5:13.</w:t>
      </w:r>
    </w:p>
  </w:footnote>
  <w:footnote w:id="10572">
    <w:p>
      <w:pPr>
        <w:pStyle w:val="FootnoteText"/>
      </w:pPr>
      <w:r>
        <w:rPr>
          <w:rStyle w:val="FootnoteReference"/>
        </w:rPr>
        <w:footnoteRef/>
      </w:r>
      <w:r>
        <w:t xml:space="preserve"> Cross-references for "praise": Exod 15:20; 2Sam 6:5.</w:t>
      </w:r>
    </w:p>
  </w:footnote>
  <w:footnote w:id="10573">
    <w:p>
      <w:pPr>
        <w:pStyle w:val="FootnoteText"/>
      </w:pPr>
      <w:r>
        <w:rPr>
          <w:rStyle w:val="FootnoteReference"/>
        </w:rPr>
        <w:footnoteRef/>
      </w:r>
      <w:r>
        <w:t xml:space="preserve"> Cross-references for "the Lord": Exod 1:10-12; 2Sam 15:31.</w:t>
      </w:r>
    </w:p>
  </w:footnote>
  <w:footnote w:id="10574">
    <w:p>
      <w:pPr>
        <w:pStyle w:val="FootnoteText"/>
      </w:pPr>
      <w:r>
        <w:rPr>
          <w:rStyle w:val="FootnoteReference"/>
        </w:rPr>
        <w:footnoteRef/>
      </w:r>
      <w:r>
        <w:t xml:space="preserve"> Translation note: Greek uses the article with afflictions and the genitive righteous phrase. English supplies are for readable syntax.</w:t>
      </w:r>
    </w:p>
  </w:footnote>
  <w:footnote w:id="10575">
    <w:p>
      <w:pPr>
        <w:pStyle w:val="FootnoteText"/>
      </w:pPr>
      <w:r>
        <w:rPr>
          <w:rStyle w:val="FootnoteReference"/>
        </w:rPr>
        <w:footnoteRef/>
      </w:r>
      <w:r>
        <w:t xml:space="preserve"> Translation note: Greek has the articular righteous-man object. English supplies the.</w:t>
      </w:r>
    </w:p>
  </w:footnote>
  <w:footnote w:id="10576">
    <w:p>
      <w:pPr>
        <w:pStyle w:val="FootnoteText"/>
      </w:pPr>
      <w:r>
        <w:rPr>
          <w:rStyle w:val="FootnoteReference"/>
        </w:rPr>
        <w:footnoteRef/>
      </w:r>
      <w:r>
        <w:t xml:space="preserve"> Translation note: Greek has singular poor/needy objects. English supplies articles for readable singular idiom.</w:t>
      </w:r>
    </w:p>
  </w:footnote>
  <w:footnote w:id="10577">
    <w:p>
      <w:pPr>
        <w:pStyle w:val="FootnoteText"/>
      </w:pPr>
      <w:r>
        <w:rPr>
          <w:rStyle w:val="FootnoteReference"/>
        </w:rPr>
        <w:footnoteRef/>
      </w:r>
      <w:r>
        <w:t xml:space="preserve"> Translation note: Article cleanup: English supplies the before foot and hand for readable subject syntax.</w:t>
      </w:r>
    </w:p>
  </w:footnote>
  <w:footnote w:id="10578">
    <w:p>
      <w:pPr>
        <w:pStyle w:val="FootnoteText"/>
      </w:pPr>
      <w:r>
        <w:rPr>
          <w:rStyle w:val="FootnoteReference"/>
        </w:rPr>
        <w:footnoteRef/>
      </w:r>
      <w:r>
        <w:t xml:space="preserve"> Cross-references for "righteousness": Gen 18:25; Deut 32:4.</w:t>
      </w:r>
    </w:p>
  </w:footnote>
  <w:footnote w:id="10579">
    <w:p>
      <w:pPr>
        <w:pStyle w:val="FootnoteText"/>
      </w:pPr>
      <w:r>
        <w:rPr>
          <w:rStyle w:val="FootnoteReference"/>
        </w:rPr>
        <w:footnoteRef/>
      </w:r>
      <w:r>
        <w:t xml:space="preserve"> Translation note: Greek has a compact comparative phrase. English supplies articles for readable idiom.</w:t>
      </w:r>
    </w:p>
  </w:footnote>
  <w:footnote w:id="10580">
    <w:p>
      <w:pPr>
        <w:pStyle w:val="FootnoteText"/>
      </w:pPr>
      <w:r>
        <w:rPr>
          <w:rStyle w:val="FootnoteReference"/>
        </w:rPr>
        <w:footnoteRef/>
      </w:r>
      <w:r>
        <w:t xml:space="preserve"> Translation note: Article cleanup: English supplies the before arms for readable subject syntax.</w:t>
      </w:r>
    </w:p>
  </w:footnote>
  <w:footnote w:id="10581">
    <w:p>
      <w:pPr>
        <w:pStyle w:val="FootnoteText"/>
      </w:pPr>
      <w:r>
        <w:rPr>
          <w:rStyle w:val="FootnoteReference"/>
        </w:rPr>
        <w:footnoteRef/>
      </w:r>
      <w:r>
        <w:t xml:space="preserve"> Translation note: Greek has a singular righteous object. English supplies a for readable class-noun idiom.</w:t>
      </w:r>
    </w:p>
  </w:footnote>
  <w:footnote w:id="10582">
    <w:p>
      <w:pPr>
        <w:pStyle w:val="FootnoteText"/>
      </w:pPr>
      <w:r>
        <w:rPr>
          <w:rStyle w:val="FootnoteReference"/>
        </w:rPr>
        <w:footnoteRef/>
      </w:r>
      <w:r>
        <w:t xml:space="preserve"> Translation note: Article cleanup: English supplies the before seed for readable subject syntax.</w:t>
      </w:r>
    </w:p>
  </w:footnote>
  <w:footnote w:id="10583">
    <w:p>
      <w:pPr>
        <w:pStyle w:val="FootnoteText"/>
      </w:pPr>
      <w:r>
        <w:rPr>
          <w:rStyle w:val="FootnoteReference"/>
        </w:rPr>
        <w:footnoteRef/>
      </w:r>
      <w:r>
        <w:t xml:space="preserve"> Translation note: Greek has a genitive singular righteous-man phrase. English supplies a for readable idiom.</w:t>
      </w:r>
    </w:p>
  </w:footnote>
  <w:footnote w:id="10584">
    <w:p>
      <w:pPr>
        <w:pStyle w:val="FootnoteText"/>
      </w:pPr>
      <w:r>
        <w:rPr>
          <w:rStyle w:val="FootnoteReference"/>
        </w:rPr>
        <w:footnoteRef/>
      </w:r>
      <w:r>
        <w:t xml:space="preserve"> Translation note: Greek has a singular ungodly-man object. English supplies an for readable class-noun idiom.</w:t>
      </w:r>
    </w:p>
  </w:footnote>
  <w:footnote w:id="10585">
    <w:p>
      <w:pPr>
        <w:pStyle w:val="FootnoteText"/>
      </w:pPr>
      <w:r>
        <w:rPr>
          <w:rStyle w:val="FootnoteReference"/>
        </w:rPr>
        <w:footnoteRef/>
      </w:r>
      <w:r>
        <w:t xml:space="preserve"> Translation note: Article cleanup: English supplies the before remnants for readable subject syntax.</w:t>
      </w:r>
    </w:p>
  </w:footnote>
  <w:footnote w:id="10586">
    <w:p>
      <w:pPr>
        <w:pStyle w:val="FootnoteText"/>
      </w:pPr>
      <w:r>
        <w:rPr>
          <w:rStyle w:val="FootnoteReference"/>
        </w:rPr>
        <w:footnoteRef/>
      </w:r>
      <w:r>
        <w:t xml:space="preserve"> Translation note: Greek has the Lord as source of salvation and an explicit defender clause. English supplies is for readable syntax.</w:t>
      </w:r>
    </w:p>
  </w:footnote>
  <w:footnote w:id="10587">
    <w:p>
      <w:pPr>
        <w:pStyle w:val="FootnoteText"/>
      </w:pPr>
      <w:r>
        <w:rPr>
          <w:rStyle w:val="FootnoteReference"/>
        </w:rPr>
        <w:footnoteRef/>
      </w:r>
      <w:r>
        <w:t xml:space="preserve"> Cross-references for "Hope": Job 13:15; Ps 27:13-14.</w:t>
      </w:r>
    </w:p>
  </w:footnote>
  <w:footnote w:id="10588">
    <w:p>
      <w:pPr>
        <w:pStyle w:val="FootnoteText"/>
      </w:pPr>
      <w:r>
        <w:rPr>
          <w:rStyle w:val="FootnoteReference"/>
        </w:rPr>
        <w:footnoteRef/>
      </w:r>
      <w:r>
        <w:t xml:space="preserve"> Cross-references for "upon": 1Kgs 2:9; 1Kgs 2:19.</w:t>
      </w:r>
    </w:p>
  </w:footnote>
  <w:footnote w:id="10589">
    <w:p>
      <w:pPr>
        <w:pStyle w:val="FootnoteText"/>
      </w:pPr>
      <w:r>
        <w:rPr>
          <w:rStyle w:val="FootnoteReference"/>
        </w:rPr>
        <w:footnoteRef/>
      </w:r>
      <w:r>
        <w:t xml:space="preserve"> Translation note: Greek φοβερός describes the Lord Most High as fearsome or awe-inspiring. The translation supplies the English verb.</w:t>
      </w:r>
    </w:p>
  </w:footnote>
  <w:footnote w:id="10590">
    <w:p>
      <w:pPr>
        <w:pStyle w:val="FootnoteText"/>
      </w:pPr>
      <w:r>
        <w:rPr>
          <w:rStyle w:val="FootnoteReference"/>
        </w:rPr>
        <w:footnoteRef/>
      </w:r>
      <w:r>
        <w:t xml:space="preserve"> Cross-references for "fear": Exod 15:15-16; Isa 13:6-8.</w:t>
      </w:r>
    </w:p>
  </w:footnote>
  <w:footnote w:id="10591">
    <w:p>
      <w:pPr>
        <w:pStyle w:val="FootnoteText"/>
      </w:pPr>
      <w:r>
        <w:rPr>
          <w:rStyle w:val="FootnoteReference"/>
        </w:rPr>
        <w:footnoteRef/>
      </w:r>
      <w:r>
        <w:t xml:space="preserve"> Cross-references for "will": Ps 50:8; Prov 29:1.</w:t>
      </w:r>
    </w:p>
  </w:footnote>
  <w:footnote w:id="10592">
    <w:p>
      <w:pPr>
        <w:pStyle w:val="FootnoteText"/>
      </w:pPr>
      <w:r>
        <w:rPr>
          <w:rStyle w:val="FootnoteReference"/>
        </w:rPr>
        <w:footnoteRef/>
      </w:r>
      <w:r>
        <w:t xml:space="preserve"> Translation note: Greek has anarthrous deceitful-tongue language. English supplies a for readable singular idiom.</w:t>
      </w:r>
    </w:p>
  </w:footnote>
  <w:footnote w:id="10593">
    <w:p>
      <w:pPr>
        <w:pStyle w:val="FootnoteText"/>
      </w:pPr>
      <w:r>
        <w:rPr>
          <w:rStyle w:val="FootnoteReference"/>
        </w:rPr>
        <w:footnoteRef/>
      </w:r>
      <w:r>
        <w:t xml:space="preserve"> Cross-references for "holy": Luke 11:13; John 14:26.</w:t>
      </w:r>
    </w:p>
  </w:footnote>
  <w:footnote w:id="10594">
    <w:p>
      <w:pPr>
        <w:pStyle w:val="FootnoteText"/>
      </w:pPr>
      <w:r>
        <w:rPr>
          <w:rStyle w:val="FootnoteReference"/>
        </w:rPr>
        <w:footnoteRef/>
      </w:r>
      <w:r>
        <w:t xml:space="preserve"> Translation note: Article cleanup: English supplies a for readable singular righteous-one idiom.</w:t>
      </w:r>
    </w:p>
  </w:footnote>
  <w:footnote w:id="10595">
    <w:p>
      <w:pPr>
        <w:pStyle w:val="FootnoteText"/>
      </w:pPr>
      <w:r>
        <w:rPr>
          <w:rStyle w:val="FootnoteReference"/>
        </w:rPr>
        <w:footnoteRef/>
      </w:r>
      <w:r>
        <w:t xml:space="preserve"> Place name: Soba. Place-name meaning: Zobah — an army; warring. Standard English equivalent: Zobah. Source form: Soba. Greek form: σωβα.</w:t>
      </w:r>
    </w:p>
  </w:footnote>
  <w:footnote w:id="10596">
    <w:p>
      <w:pPr>
        <w:pStyle w:val="FootnoteText"/>
      </w:pPr>
      <w:r>
        <w:rPr>
          <w:rStyle w:val="FootnoteReference"/>
        </w:rPr>
        <w:footnoteRef/>
      </w:r>
      <w:r>
        <w:t xml:space="preserve"> Cross-references for "bring": Job 40:12.</w:t>
      </w:r>
    </w:p>
  </w:footnote>
  <w:footnote w:id="10597">
    <w:p>
      <w:pPr>
        <w:pStyle w:val="FootnoteText"/>
      </w:pPr>
      <w:r>
        <w:rPr>
          <w:rStyle w:val="FootnoteReference"/>
        </w:rPr>
        <w:footnoteRef/>
      </w:r>
      <w:r>
        <w:t xml:space="preserve"> Cross-references for "fear": Ps 40:3; Ps 53:5.</w:t>
      </w:r>
    </w:p>
  </w:footnote>
  <w:footnote w:id="10598">
    <w:p>
      <w:pPr>
        <w:pStyle w:val="FootnoteText"/>
      </w:pPr>
      <w:r>
        <w:rPr>
          <w:rStyle w:val="FootnoteReference"/>
        </w:rPr>
        <w:footnoteRef/>
      </w:r>
      <w:r>
        <w:t xml:space="preserve"> Translation note: Greek has an articular poor-one phrase. English supplies the.</w:t>
      </w:r>
    </w:p>
  </w:footnote>
  <w:footnote w:id="10599">
    <w:p>
      <w:pPr>
        <w:pStyle w:val="FootnoteText"/>
      </w:pPr>
      <w:r>
        <w:rPr>
          <w:rStyle w:val="FootnoteReference"/>
        </w:rPr>
        <w:footnoteRef/>
      </w:r>
      <w:r>
        <w:t xml:space="preserve"> Translation note: Article cleanup: English supplies articles for book of the living and righteous class-group phrasing.</w:t>
      </w:r>
    </w:p>
  </w:footnote>
  <w:footnote w:id="10600">
    <w:p>
      <w:pPr>
        <w:pStyle w:val="FootnoteText"/>
      </w:pPr>
      <w:r>
        <w:rPr>
          <w:rStyle w:val="FootnoteReference"/>
        </w:rPr>
        <w:footnoteRef/>
      </w:r>
      <w:r>
        <w:t xml:space="preserve"> Cross-references for "O God": Ps 40:13-17; Ps 69:18.</w:t>
      </w:r>
    </w:p>
  </w:footnote>
  <w:footnote w:id="10601">
    <w:p>
      <w:pPr>
        <w:pStyle w:val="FootnoteText"/>
      </w:pPr>
      <w:r>
        <w:rPr>
          <w:rStyle w:val="FootnoteReference"/>
        </w:rPr>
        <w:footnoteRef/>
      </w:r>
      <w:r>
        <w:t xml:space="preserve"> People-name: Arabians. People-name meaning: Arabians — evening; desert; ravens. Source form: Arabians.</w:t>
      </w:r>
    </w:p>
  </w:footnote>
  <w:footnote w:id="10602">
    <w:p>
      <w:pPr>
        <w:pStyle w:val="FootnoteText"/>
      </w:pPr>
      <w:r>
        <w:rPr>
          <w:rStyle w:val="FootnoteReference"/>
        </w:rPr>
        <w:footnoteRef/>
      </w:r>
      <w:r>
        <w:t xml:space="preserve"> Translation note: Greek has singular poor-man and needy-one objects. English supplies articles for readable singular idiom.</w:t>
      </w:r>
    </w:p>
  </w:footnote>
  <w:footnote w:id="10603">
    <w:p>
      <w:pPr>
        <w:pStyle w:val="FootnoteText"/>
      </w:pPr>
      <w:r>
        <w:rPr>
          <w:rStyle w:val="FootnoteReference"/>
        </w:rPr>
        <w:footnoteRef/>
      </w:r>
      <w:r>
        <w:t xml:space="preserve"> Translation note: Article cleanup: English supplies the before peace for readable object syntax.</w:t>
      </w:r>
    </w:p>
  </w:footnote>
  <w:footnote w:id="10604">
    <w:p>
      <w:pPr>
        <w:pStyle w:val="FootnoteText"/>
      </w:pPr>
      <w:r>
        <w:rPr>
          <w:rStyle w:val="FootnoteReference"/>
        </w:rPr>
        <w:footnoteRef/>
      </w:r>
      <w:r>
        <w:t xml:space="preserve"> Translation note: Greek has articular horns in both halves. English supplies the for readable parallel syntax.</w:t>
      </w:r>
    </w:p>
  </w:footnote>
  <w:footnote w:id="10605">
    <w:p>
      <w:pPr>
        <w:pStyle w:val="FootnoteText"/>
      </w:pPr>
      <w:r>
        <w:rPr>
          <w:rStyle w:val="FootnoteReference"/>
        </w:rPr>
        <w:footnoteRef/>
      </w:r>
      <w:r>
        <w:t xml:space="preserve"> People-name: Assyrian. People-name meaning: Assyrian — country of Assur or Ashur. Source form: Assyrian.</w:t>
      </w:r>
    </w:p>
  </w:footnote>
  <w:footnote w:id="10606">
    <w:p>
      <w:pPr>
        <w:pStyle w:val="FootnoteText"/>
      </w:pPr>
      <w:r>
        <w:rPr>
          <w:rStyle w:val="FootnoteReference"/>
        </w:rPr>
        <w:footnoteRef/>
      </w:r>
      <w:r>
        <w:t xml:space="preserve"> Cross-references for "still": 2Chr 20:29-30; Ps 46:10.</w:t>
      </w:r>
    </w:p>
  </w:footnote>
  <w:footnote w:id="10607">
    <w:p>
      <w:pPr>
        <w:pStyle w:val="FootnoteText"/>
      </w:pPr>
      <w:r>
        <w:rPr>
          <w:rStyle w:val="FootnoteReference"/>
        </w:rPr>
        <w:footnoteRef/>
      </w:r>
      <w:r>
        <w:t xml:space="preserve"> Cross-references for "Of Asaph": Ps 50:1.</w:t>
      </w:r>
    </w:p>
  </w:footnote>
  <w:footnote w:id="10608">
    <w:p>
      <w:pPr>
        <w:pStyle w:val="FootnoteText"/>
      </w:pPr>
      <w:r>
        <w:rPr>
          <w:rStyle w:val="FootnoteReference"/>
        </w:rPr>
        <w:footnoteRef/>
      </w:r>
      <w:r>
        <w:t xml:space="preserve"> Cross-references for "of Asaph": Ps 74:1.</w:t>
      </w:r>
    </w:p>
  </w:footnote>
  <w:footnote w:id="10609">
    <w:p>
      <w:pPr>
        <w:pStyle w:val="FootnoteText"/>
      </w:pPr>
      <w:r>
        <w:rPr>
          <w:rStyle w:val="FootnoteReference"/>
        </w:rPr>
        <w:footnoteRef/>
      </w:r>
      <w:r>
        <w:t xml:space="preserve"> Cross-references for "how long": Ps 13:1-2; Ps 74:1.</w:t>
      </w:r>
    </w:p>
  </w:footnote>
  <w:footnote w:id="10610">
    <w:p>
      <w:pPr>
        <w:pStyle w:val="FootnoteText"/>
      </w:pPr>
      <w:r>
        <w:rPr>
          <w:rStyle w:val="FootnoteReference"/>
        </w:rPr>
        <w:footnoteRef/>
      </w:r>
      <w:r>
        <w:t xml:space="preserve"> Translation note: Greek has singular object phrases. English supplies articles for readable singular idiom.</w:t>
      </w:r>
    </w:p>
  </w:footnote>
  <w:footnote w:id="10611">
    <w:p>
      <w:pPr>
        <w:pStyle w:val="FootnoteText"/>
      </w:pPr>
      <w:r>
        <w:rPr>
          <w:rStyle w:val="FootnoteReference"/>
        </w:rPr>
        <w:footnoteRef/>
      </w:r>
      <w:r>
        <w:t xml:space="preserve"> Translation note: Greek has singular needy/poor objects. English supplies articles for readable singular idiom.</w:t>
      </w:r>
    </w:p>
  </w:footnote>
  <w:footnote w:id="10612">
    <w:p>
      <w:pPr>
        <w:pStyle w:val="FootnoteText"/>
      </w:pPr>
      <w:r>
        <w:rPr>
          <w:rStyle w:val="FootnoteReference"/>
        </w:rPr>
        <w:footnoteRef/>
      </w:r>
      <w:r>
        <w:t xml:space="preserve"> Transliterated proper noun: Gebal. Standard English equivalent: Gebal. Source form: Gebal. Greek form: γεβαλ. Name meaning: bound; limit.</w:t>
      </w:r>
    </w:p>
  </w:footnote>
  <w:footnote w:id="10613">
    <w:p>
      <w:pPr>
        <w:pStyle w:val="FootnoteText"/>
      </w:pPr>
      <w:r>
        <w:rPr>
          <w:rStyle w:val="FootnoteReference"/>
        </w:rPr>
        <w:footnoteRef/>
      </w:r>
      <w:r>
        <w:t xml:space="preserve"> Translation note: Linking cleanup: English supplies is for readable comparative syntax.</w:t>
      </w:r>
    </w:p>
  </w:footnote>
  <w:footnote w:id="10614">
    <w:p>
      <w:pPr>
        <w:pStyle w:val="FootnoteText"/>
      </w:pPr>
      <w:r>
        <w:rPr>
          <w:rStyle w:val="FootnoteReference"/>
        </w:rPr>
        <w:footnoteRef/>
      </w:r>
      <w:r>
        <w:t xml:space="preserve"> Translation note: LXX psalm numbering differs from many English editions here. The current wording follows the Greek psalm sequence and keeps the mercy-and-truth pair explicit.</w:t>
      </w:r>
    </w:p>
  </w:footnote>
  <w:footnote w:id="10615">
    <w:p>
      <w:pPr>
        <w:pStyle w:val="FootnoteText"/>
      </w:pPr>
      <w:r>
        <w:rPr>
          <w:rStyle w:val="FootnoteReference"/>
        </w:rPr>
        <w:footnoteRef/>
      </w:r>
      <w:r>
        <w:t xml:space="preserve"> Translation note: LXX psalm numbering differs from many English editions here. The current wording follows the Greek psalm sequence and keeps the paired virtues close to the source-row line.</w:t>
      </w:r>
    </w:p>
  </w:footnote>
  <w:footnote w:id="10616">
    <w:p>
      <w:pPr>
        <w:pStyle w:val="FootnoteText"/>
      </w:pPr>
      <w:r>
        <w:rPr>
          <w:rStyle w:val="FootnoteReference"/>
        </w:rPr>
        <w:footnoteRef/>
      </w:r>
      <w:r>
        <w:t xml:space="preserve"> Cross-references for "truth": Isa 4:2; Isa 45:8.</w:t>
      </w:r>
    </w:p>
  </w:footnote>
  <w:footnote w:id="10617">
    <w:p>
      <w:pPr>
        <w:pStyle w:val="FootnoteText"/>
      </w:pPr>
      <w:r>
        <w:rPr>
          <w:rStyle w:val="FootnoteReference"/>
        </w:rPr>
        <w:footnoteRef/>
      </w:r>
      <w:r>
        <w:t xml:space="preserve"> Translation note: Greek says with whole/all my heart. English uses the standard idiom with all my heart.</w:t>
      </w:r>
    </w:p>
  </w:footnote>
  <w:footnote w:id="10618">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0619">
    <w:p>
      <w:pPr>
        <w:pStyle w:val="FootnoteText"/>
      </w:pPr>
      <w:r>
        <w:rPr>
          <w:rStyle w:val="FootnoteReference"/>
        </w:rPr>
        <w:footnoteRef/>
      </w:r>
      <w:r>
        <w:t xml:space="preserve"> Cross-references for "mercy": Ps 85:13; Ps 89:2.</w:t>
      </w:r>
    </w:p>
  </w:footnote>
  <w:footnote w:id="10620">
    <w:p>
      <w:pPr>
        <w:pStyle w:val="FootnoteText"/>
      </w:pPr>
      <w:r>
        <w:rPr>
          <w:rStyle w:val="FootnoteReference"/>
        </w:rPr>
        <w:footnoteRef/>
      </w:r>
      <w:r>
        <w:t xml:space="preserve"> Translation note: Article cleanup: English supplies the before repayment for readable object syntax.</w:t>
      </w:r>
    </w:p>
  </w:footnote>
  <w:footnote w:id="10621">
    <w:p>
      <w:pPr>
        <w:pStyle w:val="FootnoteText"/>
      </w:pPr>
      <w:r>
        <w:rPr>
          <w:rStyle w:val="FootnoteReference"/>
        </w:rPr>
        <w:footnoteRef/>
      </w:r>
      <w:r>
        <w:t xml:space="preserve"> Cross-references for "Most High": Ps 71:3; Ps 90:1.</w:t>
      </w:r>
    </w:p>
  </w:footnote>
  <w:footnote w:id="10622">
    <w:p>
      <w:pPr>
        <w:pStyle w:val="FootnoteText"/>
      </w:pPr>
      <w:r>
        <w:rPr>
          <w:rStyle w:val="FootnoteReference"/>
        </w:rPr>
        <w:footnoteRef/>
      </w:r>
      <w:r>
        <w:t xml:space="preserve"> Cross-references for "Lord": Ps 59:13; Ps 96:10.</w:t>
      </w:r>
    </w:p>
  </w:footnote>
  <w:footnote w:id="10623">
    <w:p>
      <w:pPr>
        <w:pStyle w:val="FootnoteText"/>
      </w:pPr>
      <w:r>
        <w:rPr>
          <w:rStyle w:val="FootnoteReference"/>
        </w:rPr>
        <w:footnoteRef/>
      </w:r>
      <w:r>
        <w:t xml:space="preserve"> Cross-references for "Lord": Ps 43:2; Ps 73:8.</w:t>
      </w:r>
    </w:p>
  </w:footnote>
  <w:footnote w:id="10624">
    <w:p>
      <w:pPr>
        <w:pStyle w:val="FootnoteText"/>
      </w:pPr>
      <w:r>
        <w:rPr>
          <w:rStyle w:val="FootnoteReference"/>
        </w:rPr>
        <w:footnoteRef/>
      </w:r>
      <w:r>
        <w:t xml:space="preserve"> Cross-references for "Sing": Exod 15:1; Exod 15:21.</w:t>
      </w:r>
    </w:p>
  </w:footnote>
  <w:footnote w:id="10625">
    <w:p>
      <w:pPr>
        <w:pStyle w:val="FootnoteText"/>
      </w:pPr>
      <w:r>
        <w:rPr>
          <w:rStyle w:val="FootnoteReference"/>
        </w:rPr>
        <w:footnoteRef/>
      </w:r>
      <w:r>
        <w:t xml:space="preserve"> Cross-references for "the Lord": Ps 2:8-12; Ps 59:13.</w:t>
      </w:r>
    </w:p>
  </w:footnote>
  <w:footnote w:id="10626">
    <w:p>
      <w:pPr>
        <w:pStyle w:val="FootnoteText"/>
      </w:pPr>
      <w:r>
        <w:rPr>
          <w:rStyle w:val="FootnoteReference"/>
        </w:rPr>
        <w:footnoteRef/>
      </w:r>
      <w:r>
        <w:t xml:space="preserve"> Translation note: Article cleanup: English supplies who love the Lord and the souls for readable participial and object syntax.</w:t>
      </w:r>
    </w:p>
  </w:footnote>
  <w:footnote w:id="10627">
    <w:p>
      <w:pPr>
        <w:pStyle w:val="FootnoteText"/>
      </w:pPr>
      <w:r>
        <w:rPr>
          <w:rStyle w:val="FootnoteReference"/>
        </w:rPr>
        <w:footnoteRef/>
      </w:r>
      <w:r>
        <w:t xml:space="preserve"> Cross-references for "Lord": Ps 93:1; Ps 96:10-11.</w:t>
      </w:r>
    </w:p>
  </w:footnote>
  <w:footnote w:id="10628">
    <w:p>
      <w:pPr>
        <w:pStyle w:val="FootnoteText"/>
      </w:pPr>
      <w:r>
        <w:rPr>
          <w:rStyle w:val="FootnoteReference"/>
        </w:rPr>
        <w:footnoteRef/>
      </w:r>
      <w:r>
        <w:t xml:space="preserve"> Cross-references for "righteousness": Gen 18:25; Ps 45:6-7.</w:t>
      </w:r>
    </w:p>
  </w:footnote>
  <w:footnote w:id="10629">
    <w:p>
      <w:pPr>
        <w:pStyle w:val="FootnoteText"/>
      </w:pPr>
      <w:r>
        <w:rPr>
          <w:rStyle w:val="FootnoteReference"/>
        </w:rPr>
        <w:footnoteRef/>
      </w:r>
      <w:r>
        <w:t xml:space="preserve"> Cross-references for "the earth": Job 9:6; Ps 104:32.</w:t>
      </w:r>
    </w:p>
  </w:footnote>
  <w:footnote w:id="10630">
    <w:p>
      <w:pPr>
        <w:pStyle w:val="FootnoteText"/>
      </w:pPr>
      <w:r>
        <w:rPr>
          <w:rStyle w:val="FootnoteReference"/>
        </w:rPr>
        <w:footnoteRef/>
      </w:r>
      <w:r>
        <w:t xml:space="preserve"> Cross-references for "Lord": Ps 2:6; Ps 93:1.</w:t>
      </w:r>
    </w:p>
  </w:footnote>
  <w:footnote w:id="10631">
    <w:p>
      <w:pPr>
        <w:pStyle w:val="FootnoteText"/>
      </w:pPr>
      <w:r>
        <w:rPr>
          <w:rStyle w:val="FootnoteReference"/>
        </w:rPr>
        <w:footnoteRef/>
      </w:r>
      <w:r>
        <w:t xml:space="preserve"> Translation note: Greek has an articular poor-man phrase in the psalm heading. English supplies the.</w:t>
      </w:r>
    </w:p>
  </w:footnote>
  <w:footnote w:id="10632">
    <w:p>
      <w:pPr>
        <w:pStyle w:val="FootnoteText"/>
      </w:pPr>
      <w:r>
        <w:rPr>
          <w:rStyle w:val="FootnoteReference"/>
        </w:rPr>
        <w:footnoteRef/>
      </w:r>
      <w:r>
        <w:t xml:space="preserve"> Cross-references for "to hear": Exod 2:23-25; Exod 3:7.</w:t>
      </w:r>
    </w:p>
  </w:footnote>
  <w:footnote w:id="10633">
    <w:p>
      <w:pPr>
        <w:pStyle w:val="FootnoteText"/>
      </w:pPr>
      <w:r>
        <w:rPr>
          <w:rStyle w:val="FootnoteReference"/>
        </w:rPr>
        <w:footnoteRef/>
      </w:r>
      <w:r>
        <w:t xml:space="preserve"> Cross-references for "Bless": Ps 103:22; Ps 104:1.</w:t>
      </w:r>
    </w:p>
  </w:footnote>
  <w:footnote w:id="10634">
    <w:p>
      <w:pPr>
        <w:pStyle w:val="FootnoteText"/>
      </w:pPr>
      <w:r>
        <w:rPr>
          <w:rStyle w:val="FootnoteReference"/>
        </w:rPr>
        <w:footnoteRef/>
      </w:r>
      <w:r>
        <w:t xml:space="preserve"> Translation note: Greek has a singular poor-man phrase. English supplies a for readable singular idiom.</w:t>
      </w:r>
    </w:p>
  </w:footnote>
  <w:footnote w:id="10635">
    <w:p>
      <w:pPr>
        <w:pStyle w:val="FootnoteText"/>
      </w:pPr>
      <w:r>
        <w:rPr>
          <w:rStyle w:val="FootnoteReference"/>
        </w:rPr>
        <w:footnoteRef/>
      </w:r>
      <w:r>
        <w:t xml:space="preserve"> Translation note: Greek uses anarthrous sinner/deceitful/tongue phrases. English supplies a for readable singular indefinites.</w:t>
      </w:r>
    </w:p>
  </w:footnote>
  <w:footnote w:id="10636">
    <w:p>
      <w:pPr>
        <w:pStyle w:val="FootnoteText"/>
      </w:pPr>
      <w:r>
        <w:rPr>
          <w:rStyle w:val="FootnoteReference"/>
        </w:rPr>
        <w:footnoteRef/>
      </w:r>
      <w:r>
        <w:t xml:space="preserve"> Textual note: Standard English numbering: Psalm 110:1. This edition keeps the LXX psalm numbering visible.</w:t>
      </w:r>
    </w:p>
  </w:footnote>
  <w:footnote w:id="10637">
    <w:p>
      <w:pPr>
        <w:pStyle w:val="FootnoteText"/>
      </w:pPr>
      <w:r>
        <w:rPr>
          <w:rStyle w:val="FootnoteReference"/>
        </w:rPr>
        <w:footnoteRef/>
      </w:r>
      <w:r>
        <w:t xml:space="preserve"> Translation note: Greek says with whole/all my heart. English uses the standard idiom with all my heart.</w:t>
      </w:r>
    </w:p>
  </w:footnote>
  <w:footnote w:id="10638">
    <w:p>
      <w:pPr>
        <w:pStyle w:val="FootnoteText"/>
      </w:pPr>
      <w:r>
        <w:rPr>
          <w:rStyle w:val="FootnoteReference"/>
        </w:rPr>
        <w:footnoteRef/>
      </w:r>
      <w:r>
        <w:t xml:space="preserve"> Cross-references for "Lord": Ps 89:34-36.</w:t>
      </w:r>
    </w:p>
  </w:footnote>
  <w:footnote w:id="10639">
    <w:p>
      <w:pPr>
        <w:pStyle w:val="FootnoteText"/>
      </w:pPr>
      <w:r>
        <w:rPr>
          <w:rStyle w:val="FootnoteReference"/>
        </w:rPr>
        <w:footnoteRef/>
      </w:r>
      <w:r>
        <w:t xml:space="preserve"> Cross-references for "righteousness": Ps 103:17; Ps 119:142.</w:t>
      </w:r>
    </w:p>
  </w:footnote>
  <w:footnote w:id="10640">
    <w:p>
      <w:pPr>
        <w:pStyle w:val="FootnoteText"/>
      </w:pPr>
      <w:r>
        <w:rPr>
          <w:rStyle w:val="FootnoteReference"/>
        </w:rPr>
        <w:footnoteRef/>
      </w:r>
      <w:r>
        <w:t xml:space="preserve"> Translation note: Article cleanup: English supplies the before desire for readable subject syntax.</w:t>
      </w:r>
    </w:p>
  </w:footnote>
  <w:footnote w:id="10641">
    <w:p>
      <w:pPr>
        <w:pStyle w:val="FootnoteText"/>
      </w:pPr>
      <w:r>
        <w:rPr>
          <w:rStyle w:val="FootnoteReference"/>
        </w:rPr>
        <w:footnoteRef/>
      </w:r>
      <w:r>
        <w:t xml:space="preserve"> Translation note: LXX psalm numbering differs from many English editions here. The current wording follows the Greek psalm sequence and keeps the emphatic repetition intact.</w:t>
      </w:r>
    </w:p>
  </w:footnote>
  <w:footnote w:id="10642">
    <w:p>
      <w:pPr>
        <w:pStyle w:val="FootnoteText"/>
      </w:pPr>
      <w:r>
        <w:rPr>
          <w:rStyle w:val="FootnoteReference"/>
        </w:rPr>
        <w:footnoteRef/>
      </w:r>
      <w:r>
        <w:t xml:space="preserve"> Textual note: Standard English numbering: Psalm 119:1. This edition keeps the LXX psalm numbering visible.</w:t>
      </w:r>
    </w:p>
  </w:footnote>
  <w:footnote w:id="10643">
    <w:p>
      <w:pPr>
        <w:pStyle w:val="FootnoteText"/>
      </w:pPr>
      <w:r>
        <w:rPr>
          <w:rStyle w:val="FootnoteReference"/>
        </w:rPr>
        <w:footnoteRef/>
      </w:r>
      <w:r>
        <w:t xml:space="preserve"> Translation note: Greek says with whole/all heart. English supplies their from the plural subject in context.</w:t>
      </w:r>
    </w:p>
  </w:footnote>
  <w:footnote w:id="10644">
    <w:p>
      <w:pPr>
        <w:pStyle w:val="FootnoteText"/>
      </w:pPr>
      <w:r>
        <w:rPr>
          <w:rStyle w:val="FootnoteReference"/>
        </w:rPr>
        <w:footnoteRef/>
      </w:r>
      <w:r>
        <w:t xml:space="preserve"> Translation note: Greek says with whole/all my heart. English uses the standard idiom with all my heart.</w:t>
      </w:r>
    </w:p>
  </w:footnote>
  <w:footnote w:id="10645">
    <w:p>
      <w:pPr>
        <w:pStyle w:val="FootnoteText"/>
      </w:pPr>
      <w:r>
        <w:rPr>
          <w:rStyle w:val="FootnoteReference"/>
        </w:rPr>
        <w:footnoteRef/>
      </w:r>
      <w:r>
        <w:t xml:space="preserve"> Translation note: Greek says with whole/all my heart. English uses the standard idiom with all my heart.</w:t>
      </w:r>
    </w:p>
  </w:footnote>
  <w:footnote w:id="10646">
    <w:p>
      <w:pPr>
        <w:pStyle w:val="FootnoteText"/>
      </w:pPr>
      <w:r>
        <w:rPr>
          <w:rStyle w:val="FootnoteReference"/>
        </w:rPr>
        <w:footnoteRef/>
      </w:r>
      <w:r>
        <w:t xml:space="preserve"> Translation note: Greek says with whole/all my heart. English uses the standard idiom with all my heart.</w:t>
      </w:r>
    </w:p>
  </w:footnote>
  <w:footnote w:id="10647">
    <w:p>
      <w:pPr>
        <w:pStyle w:val="FootnoteText"/>
      </w:pPr>
      <w:r>
        <w:rPr>
          <w:rStyle w:val="FootnoteReference"/>
        </w:rPr>
        <w:footnoteRef/>
      </w:r>
      <w:r>
        <w:t xml:space="preserve"> Translation note: Greek says with whole/all my heart. English uses the standard idiom with all my heart.</w:t>
      </w:r>
    </w:p>
  </w:footnote>
  <w:footnote w:id="10648">
    <w:p>
      <w:pPr>
        <w:pStyle w:val="FootnoteText"/>
      </w:pPr>
      <w:r>
        <w:rPr>
          <w:rStyle w:val="FootnoteReference"/>
        </w:rPr>
        <w:footnoteRef/>
      </w:r>
      <w:r>
        <w:t xml:space="preserve"> Translation note: Greek says with whole/all my heart. English uses the standard idiom with all my heart.</w:t>
      </w:r>
    </w:p>
  </w:footnote>
  <w:footnote w:id="10649">
    <w:p>
      <w:pPr>
        <w:pStyle w:val="FootnoteText"/>
      </w:pPr>
      <w:r>
        <w:rPr>
          <w:rStyle w:val="FootnoteReference"/>
        </w:rPr>
        <w:footnoteRef/>
      </w:r>
      <w:r>
        <w:t xml:space="preserve"> Translation note: Greek has anarthrous deceitful-tongue language. English supplies a for readable idiom.</w:t>
      </w:r>
    </w:p>
  </w:footnote>
  <w:footnote w:id="10650">
    <w:p>
      <w:pPr>
        <w:pStyle w:val="FootnoteText"/>
      </w:pPr>
      <w:r>
        <w:rPr>
          <w:rStyle w:val="FootnoteReference"/>
        </w:rPr>
        <w:footnoteRef/>
      </w:r>
      <w:r>
        <w:t xml:space="preserve"> Translation note: Greek has anarthrous deceitful-tongue language. English supplies a for readable idiom.</w:t>
      </w:r>
    </w:p>
  </w:footnote>
  <w:footnote w:id="10651">
    <w:p>
      <w:pPr>
        <w:pStyle w:val="FootnoteText"/>
      </w:pPr>
      <w:r>
        <w:rPr>
          <w:rStyle w:val="FootnoteReference"/>
        </w:rPr>
        <w:footnoteRef/>
      </w:r>
      <w:r>
        <w:t xml:space="preserve"> Greek LXX divine name/title: Ho phylasson ton Israel (ὁ φυλάσσων τὸν Ἰσραήλ) — keeper of Israel. Common English rendering: keeper of Israel. The LXX renders Shomer Yisrael as the one keeping Israel.</w:t>
      </w:r>
    </w:p>
  </w:footnote>
  <w:footnote w:id="10652">
    <w:p>
      <w:pPr>
        <w:pStyle w:val="FootnoteText"/>
      </w:pPr>
      <w:r>
        <w:rPr>
          <w:rStyle w:val="FootnoteReference"/>
        </w:rPr>
        <w:footnoteRef/>
      </w:r>
      <w:r>
        <w:t xml:space="preserve"> Hebrew divine name/title: Shomer Yisrael (</w:t>
      </w:r>
      <w:r>
        <w:rPr>
          <w:lang w:val="he-IL" w:bidi="he-IL"/>
          <w:rtl/>
        </w:rPr>
        <w:t xml:space="preserve">שֹׁמֵר יִשְׂרָאֵל</w:t>
      </w:r>
      <w:r>
        <w:t xml:space="preserve">) — Keeper of Israel. Common English rendering: he that keepeth Israel. Declares God’s sleepless covenant protection over His people.</w:t>
      </w:r>
    </w:p>
  </w:footnote>
  <w:footnote w:id="10653">
    <w:p>
      <w:pPr>
        <w:pStyle w:val="FootnoteText"/>
      </w:pPr>
      <w:r>
        <w:rPr>
          <w:rStyle w:val="FootnoteReference"/>
        </w:rPr>
        <w:footnoteRef/>
      </w:r>
      <w:r>
        <w:t xml:space="preserve"> Cross-references for "the Lord": Exod 15:1; Ps 27:1.</w:t>
      </w:r>
    </w:p>
  </w:footnote>
  <w:footnote w:id="10654">
    <w:p>
      <w:pPr>
        <w:pStyle w:val="FootnoteText"/>
      </w:pPr>
      <w:r>
        <w:rPr>
          <w:rStyle w:val="FootnoteReference"/>
        </w:rPr>
        <w:footnoteRef/>
      </w:r>
      <w:r>
        <w:t xml:space="preserve"> Translation note: Greek has the lot and the righteous as definite phrases. English supplies the in both places.</w:t>
      </w:r>
    </w:p>
  </w:footnote>
  <w:footnote w:id="10655">
    <w:p>
      <w:pPr>
        <w:pStyle w:val="FootnoteText"/>
      </w:pPr>
      <w:r>
        <w:rPr>
          <w:rStyle w:val="FootnoteReference"/>
        </w:rPr>
        <w:footnoteRef/>
      </w:r>
      <w:r>
        <w:t xml:space="preserve"> Cross-references for "the Lord": Deut 33:27; Ps 34:7.</w:t>
      </w:r>
    </w:p>
  </w:footnote>
  <w:footnote w:id="10656">
    <w:p>
      <w:pPr>
        <w:pStyle w:val="FootnoteText"/>
      </w:pPr>
      <w:r>
        <w:rPr>
          <w:rStyle w:val="FootnoteReference"/>
        </w:rPr>
        <w:footnoteRef/>
      </w:r>
      <w:r>
        <w:t xml:space="preserve"> Cross-references for "the Lord": Ps 33:16-18; Prov 16:9.</w:t>
      </w:r>
    </w:p>
  </w:footnote>
  <w:footnote w:id="10657">
    <w:p>
      <w:pPr>
        <w:pStyle w:val="FootnoteText"/>
      </w:pPr>
      <w:r>
        <w:rPr>
          <w:rStyle w:val="FootnoteReference"/>
        </w:rPr>
        <w:footnoteRef/>
      </w:r>
      <w:r>
        <w:t xml:space="preserve"> Cross-references for "Lord": Ps 124:8; Ps 146:5-6.</w:t>
      </w:r>
    </w:p>
  </w:footnote>
  <w:footnote w:id="10658">
    <w:p>
      <w:pPr>
        <w:pStyle w:val="FootnoteText"/>
      </w:pPr>
      <w:r>
        <w:rPr>
          <w:rStyle w:val="FootnoteReference"/>
        </w:rPr>
        <w:footnoteRef/>
      </w:r>
      <w:r>
        <w:t xml:space="preserve"> Translation note: Greek says with whole/all my heart. English uses the standard idiom with all my heart.</w:t>
      </w:r>
    </w:p>
  </w:footnote>
  <w:footnote w:id="10659">
    <w:p>
      <w:pPr>
        <w:pStyle w:val="FootnoteText"/>
      </w:pPr>
      <w:r>
        <w:rPr>
          <w:rStyle w:val="FootnoteReference"/>
        </w:rPr>
        <w:footnoteRef/>
      </w:r>
      <w:r>
        <w:t xml:space="preserve"> Transliterated proper noun: Selah. Standard English equivalent: Selah. Source form: Selah. Name meaning: the end; a pause.</w:t>
      </w:r>
    </w:p>
  </w:footnote>
  <w:footnote w:id="10660">
    <w:p>
      <w:pPr>
        <w:pStyle w:val="FootnoteText"/>
      </w:pPr>
      <w:r>
        <w:rPr>
          <w:rStyle w:val="FootnoteReference"/>
        </w:rPr>
        <w:footnoteRef/>
      </w:r>
      <w:r>
        <w:t xml:space="preserve"> Translation note: Greek uses plural righteous/upright substantives. English supplies the for readable class-group idiom.</w:t>
      </w:r>
    </w:p>
  </w:footnote>
  <w:footnote w:id="10661">
    <w:p>
      <w:pPr>
        <w:pStyle w:val="FootnoteText"/>
      </w:pPr>
      <w:r>
        <w:rPr>
          <w:rStyle w:val="FootnoteReference"/>
        </w:rPr>
        <w:footnoteRef/>
      </w:r>
      <w:r>
        <w:t xml:space="preserve"> Cross-references for "hear": Ps 27:7-8; Ps 28:1-2.</w:t>
      </w:r>
    </w:p>
  </w:footnote>
  <w:footnote w:id="10662">
    <w:p>
      <w:pPr>
        <w:pStyle w:val="FootnoteText"/>
      </w:pPr>
      <w:r>
        <w:rPr>
          <w:rStyle w:val="FootnoteReference"/>
        </w:rPr>
        <w:footnoteRef/>
      </w:r>
      <w:r>
        <w:t xml:space="preserve"> Translation note: Article cleanup: English supplies the for the righteous class-group subject.</w:t>
      </w:r>
    </w:p>
  </w:footnote>
  <w:footnote w:id="10663">
    <w:p>
      <w:pPr>
        <w:pStyle w:val="FootnoteText"/>
      </w:pPr>
      <w:r>
        <w:rPr>
          <w:rStyle w:val="FootnoteReference"/>
        </w:rPr>
        <w:footnoteRef/>
      </w:r>
      <w:r>
        <w:t xml:space="preserve"> Cross-references for "Praise the Lord": Ps 103:1; Ps 103:22.</w:t>
      </w:r>
    </w:p>
  </w:footnote>
  <w:footnote w:id="10664">
    <w:p>
      <w:pPr>
        <w:pStyle w:val="FootnoteText"/>
      </w:pPr>
      <w:r>
        <w:rPr>
          <w:rStyle w:val="FootnoteReference"/>
        </w:rPr>
        <w:footnoteRef/>
      </w:r>
      <w:r>
        <w:t xml:space="preserve"> Cross-references for "all his angels": Job 38:7; Ps 103:20-21.</w:t>
      </w:r>
    </w:p>
  </w:footnote>
  <w:footnote w:id="10665">
    <w:p>
      <w:pPr>
        <w:pStyle w:val="FootnoteText"/>
      </w:pPr>
      <w:r>
        <w:rPr>
          <w:rStyle w:val="FootnoteReference"/>
        </w:rPr>
        <w:footnoteRef/>
      </w:r>
      <w:r>
        <w:t xml:space="preserve"> Cross-references for "heavens": 1Kgs 8:27; Ps 113:6.</w:t>
      </w:r>
    </w:p>
  </w:footnote>
  <w:footnote w:id="10666">
    <w:p>
      <w:pPr>
        <w:pStyle w:val="FootnoteText"/>
      </w:pPr>
      <w:r>
        <w:rPr>
          <w:rStyle w:val="FootnoteReference"/>
        </w:rPr>
        <w:footnoteRef/>
      </w:r>
      <w:r>
        <w:t xml:space="preserve"> Cross-references for "Fire": Gen 19:24; Exod 9:23-25.</w:t>
      </w:r>
    </w:p>
  </w:footnote>
  <w:footnote w:id="10667">
    <w:p>
      <w:pPr>
        <w:pStyle w:val="FootnoteText"/>
      </w:pPr>
      <w:r>
        <w:rPr>
          <w:rStyle w:val="FootnoteReference"/>
        </w:rPr>
        <w:footnoteRef/>
      </w:r>
      <w:r>
        <w:t xml:space="preserve"> Cross-references for "Mountains": Ps 65:12-13; Ps 96:11-13.</w:t>
      </w:r>
    </w:p>
  </w:footnote>
  <w:footnote w:id="10668">
    <w:p>
      <w:pPr>
        <w:pStyle w:val="FootnoteText"/>
      </w:pPr>
      <w:r>
        <w:rPr>
          <w:rStyle w:val="FootnoteReference"/>
        </w:rPr>
        <w:footnoteRef/>
      </w:r>
      <w:r>
        <w:t xml:space="preserve"> Cross-references for "beasts": Gen 1:20-25; Ps 50:10-11.</w:t>
      </w:r>
    </w:p>
  </w:footnote>
  <w:footnote w:id="10669">
    <w:p>
      <w:pPr>
        <w:pStyle w:val="FootnoteText"/>
      </w:pPr>
      <w:r>
        <w:rPr>
          <w:rStyle w:val="FootnoteReference"/>
        </w:rPr>
        <w:footnoteRef/>
      </w:r>
      <w:r>
        <w:t xml:space="preserve"> Cross-references for "kings": Ps 2:10-12; Ps 22:27-29.</w:t>
      </w:r>
    </w:p>
  </w:footnote>
  <w:footnote w:id="10670">
    <w:p>
      <w:pPr>
        <w:pStyle w:val="FootnoteText"/>
      </w:pPr>
      <w:r>
        <w:rPr>
          <w:rStyle w:val="FootnoteReference"/>
        </w:rPr>
        <w:footnoteRef/>
      </w:r>
      <w:r>
        <w:t xml:space="preserve"> Cross-references for "Young men": Ps 8:2; Ps 68:25.</w:t>
      </w:r>
    </w:p>
  </w:footnote>
  <w:footnote w:id="10671">
    <w:p>
      <w:pPr>
        <w:pStyle w:val="FootnoteText"/>
      </w:pPr>
      <w:r>
        <w:rPr>
          <w:rStyle w:val="FootnoteReference"/>
        </w:rPr>
        <w:footnoteRef/>
      </w:r>
      <w:r>
        <w:t xml:space="preserve"> Cross-references for "Sing": Ps 33:3; Ps 96:1.</w:t>
      </w:r>
    </w:p>
  </w:footnote>
  <w:footnote w:id="10672">
    <w:p>
      <w:pPr>
        <w:pStyle w:val="FootnoteText"/>
      </w:pPr>
      <w:r>
        <w:rPr>
          <w:rStyle w:val="FootnoteReference"/>
        </w:rPr>
        <w:footnoteRef/>
      </w:r>
      <w:r>
        <w:t xml:space="preserve"> Cross-references for "rejoice": Deut 7:6-7; Deut 12:7.</w:t>
      </w:r>
    </w:p>
  </w:footnote>
  <w:footnote w:id="10673">
    <w:p>
      <w:pPr>
        <w:pStyle w:val="FootnoteText"/>
      </w:pPr>
      <w:r>
        <w:rPr>
          <w:rStyle w:val="FootnoteReference"/>
        </w:rPr>
        <w:footnoteRef/>
      </w:r>
      <w:r>
        <w:t xml:space="preserve"> Cross-references for "with the sound": Num 10:10; 1Chr 15:24.</w:t>
      </w:r>
    </w:p>
  </w:footnote>
  <w:footnote w:id="10674">
    <w:p>
      <w:pPr>
        <w:pStyle w:val="FootnoteText"/>
      </w:pPr>
      <w:r>
        <w:rPr>
          <w:rStyle w:val="FootnoteReference"/>
        </w:rPr>
        <w:footnoteRef/>
      </w:r>
      <w:r>
        <w:t xml:space="preserve"> Cross-references for "dance": Ps 149:3.</w:t>
      </w:r>
    </w:p>
  </w:footnote>
  <w:footnote w:id="10675">
    <w:p>
      <w:pPr>
        <w:pStyle w:val="FootnoteText"/>
      </w:pPr>
      <w:r>
        <w:rPr>
          <w:rStyle w:val="FootnoteReference"/>
        </w:rPr>
        <w:footnoteRef/>
      </w:r>
      <w:r>
        <w:t xml:space="preserve"> Cross-references for "Proverbs": 1Kgs 4:31-32; Prov 10:1.</w:t>
      </w:r>
    </w:p>
  </w:footnote>
  <w:footnote w:id="10676">
    <w:p>
      <w:pPr>
        <w:pStyle w:val="FootnoteText"/>
      </w:pPr>
      <w:r>
        <w:rPr>
          <w:rStyle w:val="FootnoteReference"/>
        </w:rPr>
        <w:footnoteRef/>
      </w:r>
      <w:r>
        <w:t xml:space="preserve"> Cross-references for "receive": Job 22:22; Prov 2:1-9.</w:t>
      </w:r>
    </w:p>
  </w:footnote>
  <w:footnote w:id="10677">
    <w:p>
      <w:pPr>
        <w:pStyle w:val="FootnoteText"/>
      </w:pPr>
      <w:r>
        <w:rPr>
          <w:rStyle w:val="FootnoteReference"/>
        </w:rPr>
        <w:footnoteRef/>
      </w:r>
      <w:r>
        <w:t xml:space="preserve"> Cross-references for "wise": Job 34:10; Job 34:16.</w:t>
      </w:r>
    </w:p>
  </w:footnote>
  <w:footnote w:id="10678">
    <w:p>
      <w:pPr>
        <w:pStyle w:val="FootnoteText"/>
      </w:pPr>
      <w:r>
        <w:rPr>
          <w:rStyle w:val="FootnoteReference"/>
        </w:rPr>
        <w:footnoteRef/>
      </w:r>
      <w:r>
        <w:t xml:space="preserve"> Cross-references for "dark": Ps 49:4; Ps 78:2.</w:t>
      </w:r>
    </w:p>
  </w:footnote>
  <w:footnote w:id="10679">
    <w:p>
      <w:pPr>
        <w:pStyle w:val="FootnoteText"/>
      </w:pPr>
      <w:r>
        <w:rPr>
          <w:rStyle w:val="FootnoteReference"/>
        </w:rPr>
        <w:footnoteRef/>
      </w:r>
      <w:r>
        <w:t xml:space="preserve"> Cross-references for "fear": Job 28:28; Ps 111:10.</w:t>
      </w:r>
    </w:p>
  </w:footnote>
  <w:footnote w:id="10680">
    <w:p>
      <w:pPr>
        <w:pStyle w:val="FootnoteText"/>
      </w:pPr>
      <w:r>
        <w:rPr>
          <w:rStyle w:val="FootnoteReference"/>
        </w:rPr>
        <w:footnoteRef/>
      </w:r>
      <w:r>
        <w:t xml:space="preserve"> Translation note: Greek has a plural ungodly subject. English supplies the and reorders the clause for readable syntax.</w:t>
      </w:r>
    </w:p>
  </w:footnote>
  <w:footnote w:id="10681">
    <w:p>
      <w:pPr>
        <w:pStyle w:val="FootnoteText"/>
      </w:pPr>
      <w:r>
        <w:rPr>
          <w:rStyle w:val="FootnoteReference"/>
        </w:rPr>
        <w:footnoteRef/>
      </w:r>
      <w:r>
        <w:t xml:space="preserve"> Cross-references for "Hear": Lev 19:3; Deut 21:18-21.</w:t>
      </w:r>
    </w:p>
  </w:footnote>
  <w:footnote w:id="10682">
    <w:p>
      <w:pPr>
        <w:pStyle w:val="FootnoteText"/>
      </w:pPr>
      <w:r>
        <w:rPr>
          <w:rStyle w:val="FootnoteReference"/>
        </w:rPr>
        <w:footnoteRef/>
      </w:r>
      <w:r>
        <w:t xml:space="preserve"> Translation note: Greek has a singular righteous-man object. English supplies a for readable idiom.</w:t>
      </w:r>
    </w:p>
  </w:footnote>
  <w:footnote w:id="10683">
    <w:p>
      <w:pPr>
        <w:pStyle w:val="FootnoteText"/>
      </w:pPr>
      <w:r>
        <w:rPr>
          <w:rStyle w:val="FootnoteReference"/>
        </w:rPr>
        <w:footnoteRef/>
      </w:r>
      <w:r>
        <w:t xml:space="preserve"> Cross-references for "swallow": Ps 35:25; Ps 56:1-2.</w:t>
      </w:r>
    </w:p>
  </w:footnote>
  <w:footnote w:id="10684">
    <w:p>
      <w:pPr>
        <w:pStyle w:val="FootnoteText"/>
      </w:pPr>
      <w:r>
        <w:rPr>
          <w:rStyle w:val="FootnoteReference"/>
        </w:rPr>
        <w:footnoteRef/>
      </w:r>
      <w:r>
        <w:t xml:space="preserve"> Cross-references for "Wisdom": Matt 13:54; Luke 11:49.</w:t>
      </w:r>
    </w:p>
  </w:footnote>
  <w:footnote w:id="10685">
    <w:p>
      <w:pPr>
        <w:pStyle w:val="FootnoteText"/>
      </w:pPr>
      <w:r>
        <w:rPr>
          <w:rStyle w:val="FootnoteReference"/>
        </w:rPr>
        <w:footnoteRef/>
      </w:r>
      <w:r>
        <w:t xml:space="preserve"> Cross-references for "fools": Prov 1:7; Prov 1:29.</w:t>
      </w:r>
    </w:p>
  </w:footnote>
  <w:footnote w:id="10686">
    <w:p>
      <w:pPr>
        <w:pStyle w:val="FootnoteText"/>
      </w:pPr>
      <w:r>
        <w:rPr>
          <w:rStyle w:val="FootnoteReference"/>
        </w:rPr>
        <w:footnoteRef/>
      </w:r>
      <w:r>
        <w:t xml:space="preserve"> Cross-references for "Behold": Isa 32:15; Isa 45:8.</w:t>
      </w:r>
    </w:p>
  </w:footnote>
  <w:footnote w:id="10687">
    <w:p>
      <w:pPr>
        <w:pStyle w:val="FootnoteText"/>
      </w:pPr>
      <w:r>
        <w:rPr>
          <w:rStyle w:val="FootnoteReference"/>
        </w:rPr>
        <w:footnoteRef/>
      </w:r>
      <w:r>
        <w:t xml:space="preserve"> Cross-references for "stretched": Ps 31:20; Acts 4:30.</w:t>
      </w:r>
    </w:p>
  </w:footnote>
  <w:footnote w:id="10688">
    <w:p>
      <w:pPr>
        <w:pStyle w:val="FootnoteText"/>
      </w:pPr>
      <w:r>
        <w:rPr>
          <w:rStyle w:val="FootnoteReference"/>
        </w:rPr>
        <w:footnoteRef/>
      </w:r>
      <w:r>
        <w:t xml:space="preserve"> Cross-references for "hide": Deut 6:6-9; Job 23:12.</w:t>
      </w:r>
    </w:p>
  </w:footnote>
  <w:footnote w:id="10689">
    <w:p>
      <w:pPr>
        <w:pStyle w:val="FootnoteText"/>
      </w:pPr>
      <w:r>
        <w:rPr>
          <w:rStyle w:val="FootnoteReference"/>
        </w:rPr>
        <w:footnoteRef/>
      </w:r>
      <w:r>
        <w:t xml:space="preserve"> Cross-references for "apply": Ps 90:12; Prov 22:17-21.</w:t>
      </w:r>
    </w:p>
  </w:footnote>
  <w:footnote w:id="10690">
    <w:p>
      <w:pPr>
        <w:pStyle w:val="FootnoteText"/>
      </w:pPr>
      <w:r>
        <w:rPr>
          <w:rStyle w:val="FootnoteReference"/>
        </w:rPr>
        <w:footnoteRef/>
      </w:r>
      <w:r>
        <w:t xml:space="preserve"> Cross-references for "the fear": Job 28:28; Prov 9:10.</w:t>
      </w:r>
    </w:p>
  </w:footnote>
  <w:footnote w:id="10691">
    <w:p>
      <w:pPr>
        <w:pStyle w:val="FootnoteText"/>
      </w:pPr>
      <w:r>
        <w:rPr>
          <w:rStyle w:val="FootnoteReference"/>
        </w:rPr>
        <w:footnoteRef/>
      </w:r>
      <w:r>
        <w:t xml:space="preserve"> Cross-references for "the Lord": Exod 31:3; 1Kgs 3:9.</w:t>
      </w:r>
    </w:p>
  </w:footnote>
  <w:footnote w:id="10692">
    <w:p>
      <w:pPr>
        <w:pStyle w:val="FootnoteText"/>
      </w:pPr>
      <w:r>
        <w:rPr>
          <w:rStyle w:val="FootnoteReference"/>
        </w:rPr>
        <w:footnoteRef/>
      </w:r>
      <w:r>
        <w:t xml:space="preserve"> Cross-references for "walk": Job 24:13-16; Prov 4:19.</w:t>
      </w:r>
    </w:p>
  </w:footnote>
  <w:footnote w:id="10693">
    <w:p>
      <w:pPr>
        <w:pStyle w:val="FootnoteText"/>
      </w:pPr>
      <w:r>
        <w:rPr>
          <w:rStyle w:val="FootnoteReference"/>
        </w:rPr>
        <w:footnoteRef/>
      </w:r>
      <w:r>
        <w:t xml:space="preserve"> Cross-references for "forget": Deut 4:23; Ps 119:93.</w:t>
      </w:r>
    </w:p>
  </w:footnote>
  <w:footnote w:id="10694">
    <w:p>
      <w:pPr>
        <w:pStyle w:val="FootnoteText"/>
      </w:pPr>
      <w:r>
        <w:rPr>
          <w:rStyle w:val="FootnoteReference"/>
        </w:rPr>
        <w:footnoteRef/>
      </w:r>
      <w:r>
        <w:t xml:space="preserve"> Cross-references for "length": Job 5:26; Ps 34:11-14.</w:t>
      </w:r>
    </w:p>
  </w:footnote>
  <w:footnote w:id="10695">
    <w:p>
      <w:pPr>
        <w:pStyle w:val="FootnoteText"/>
      </w:pPr>
      <w:r>
        <w:rPr>
          <w:rStyle w:val="FootnoteReference"/>
        </w:rPr>
        <w:footnoteRef/>
      </w:r>
      <w:r>
        <w:t xml:space="preserve"> Cross-references for "mercy": 2Sam 15:20; Ps 25:10.</w:t>
      </w:r>
    </w:p>
  </w:footnote>
  <w:footnote w:id="10696">
    <w:p>
      <w:pPr>
        <w:pStyle w:val="FootnoteText"/>
      </w:pPr>
      <w:r>
        <w:rPr>
          <w:rStyle w:val="FootnoteReference"/>
        </w:rPr>
        <w:footnoteRef/>
      </w:r>
      <w:r>
        <w:t xml:space="preserve"> Translation note: Greek says to be trusting in God with whole/all heart. English supplies your from the singular imperative context.</w:t>
      </w:r>
    </w:p>
  </w:footnote>
  <w:footnote w:id="10697">
    <w:p>
      <w:pPr>
        <w:pStyle w:val="FootnoteText"/>
      </w:pPr>
      <w:r>
        <w:rPr>
          <w:rStyle w:val="FootnoteReference"/>
        </w:rPr>
        <w:footnoteRef/>
      </w:r>
      <w:r>
        <w:t xml:space="preserve"> Cross-references for "fear": Neh 5:15; Job 1:1.</w:t>
      </w:r>
    </w:p>
  </w:footnote>
  <w:footnote w:id="10698">
    <w:p>
      <w:pPr>
        <w:pStyle w:val="FootnoteText"/>
      </w:pPr>
      <w:r>
        <w:rPr>
          <w:rStyle w:val="FootnoteReference"/>
        </w:rPr>
        <w:footnoteRef/>
      </w:r>
      <w:r>
        <w:t xml:space="preserve"> Translation note: The Greek ties firstfruits to fruits of righteousness. The current wording preserves that explicit wording.</w:t>
      </w:r>
    </w:p>
  </w:footnote>
  <w:footnote w:id="10699">
    <w:p>
      <w:pPr>
        <w:pStyle w:val="FootnoteText"/>
      </w:pPr>
      <w:r>
        <w:rPr>
          <w:rStyle w:val="FootnoteReference"/>
        </w:rPr>
        <w:footnoteRef/>
      </w:r>
      <w:r>
        <w:t xml:space="preserve"> Cross-references for "is the": 1Kgs 10:1-9; 1Kgs 10:23-24.</w:t>
      </w:r>
    </w:p>
  </w:footnote>
  <w:footnote w:id="10700">
    <w:p>
      <w:pPr>
        <w:pStyle w:val="FootnoteText"/>
      </w:pPr>
      <w:r>
        <w:rPr>
          <w:rStyle w:val="FootnoteReference"/>
        </w:rPr>
        <w:footnoteRef/>
      </w:r>
      <w:r>
        <w:t xml:space="preserve"> Cross-references for "more": Prov 8:11; Prov 20:15.</w:t>
      </w:r>
    </w:p>
  </w:footnote>
  <w:footnote w:id="10701">
    <w:p>
      <w:pPr>
        <w:pStyle w:val="FootnoteText"/>
      </w:pPr>
      <w:r>
        <w:rPr>
          <w:rStyle w:val="FootnoteReference"/>
        </w:rPr>
        <w:footnoteRef/>
      </w:r>
      <w:r>
        <w:t xml:space="preserve"> Cross-references for "length": Ps 21:4; Ps 71:9.</w:t>
      </w:r>
    </w:p>
  </w:footnote>
  <w:footnote w:id="10702">
    <w:p>
      <w:pPr>
        <w:pStyle w:val="FootnoteText"/>
      </w:pPr>
      <w:r>
        <w:rPr>
          <w:rStyle w:val="FootnoteReference"/>
        </w:rPr>
        <w:footnoteRef/>
      </w:r>
      <w:r>
        <w:t xml:space="preserve"> Translation note: The Greek joins law and mercy on wisdom's tongue. The current wording keeps that line visible.</w:t>
      </w:r>
    </w:p>
  </w:footnote>
  <w:footnote w:id="10703">
    <w:p>
      <w:pPr>
        <w:pStyle w:val="FootnoteText"/>
      </w:pPr>
      <w:r>
        <w:rPr>
          <w:rStyle w:val="FootnoteReference"/>
        </w:rPr>
        <w:footnoteRef/>
      </w:r>
      <w:r>
        <w:t xml:space="preserve"> Cross-references for "keep": Deut 32:46-47; Prov 2:7.</w:t>
      </w:r>
    </w:p>
  </w:footnote>
  <w:footnote w:id="10704">
    <w:p>
      <w:pPr>
        <w:pStyle w:val="FootnoteText"/>
      </w:pPr>
      <w:r>
        <w:rPr>
          <w:rStyle w:val="FootnoteReference"/>
        </w:rPr>
        <w:footnoteRef/>
      </w:r>
      <w:r>
        <w:t xml:space="preserve"> Cross-references for "grace": Prov 1:9.</w:t>
      </w:r>
    </w:p>
  </w:footnote>
  <w:footnote w:id="10705">
    <w:p>
      <w:pPr>
        <w:pStyle w:val="FootnoteText"/>
      </w:pPr>
      <w:r>
        <w:rPr>
          <w:rStyle w:val="FootnoteReference"/>
        </w:rPr>
        <w:footnoteRef/>
      </w:r>
      <w:r>
        <w:t xml:space="preserve"> Translation note: Greek has a genitive plural ungodly phrase. English supplies the for readable class-group idiom.</w:t>
      </w:r>
    </w:p>
  </w:footnote>
  <w:footnote w:id="10706">
    <w:p>
      <w:pPr>
        <w:pStyle w:val="FootnoteText"/>
      </w:pPr>
      <w:r>
        <w:rPr>
          <w:rStyle w:val="FootnoteReference"/>
        </w:rPr>
        <w:footnoteRef/>
      </w:r>
      <w:r>
        <w:t xml:space="preserve"> Cross-references for "Lord": Prov 14:26.</w:t>
      </w:r>
    </w:p>
  </w:footnote>
  <w:footnote w:id="10707">
    <w:p>
      <w:pPr>
        <w:pStyle w:val="FootnoteText"/>
      </w:pPr>
      <w:r>
        <w:rPr>
          <w:rStyle w:val="FootnoteReference"/>
        </w:rPr>
        <w:footnoteRef/>
      </w:r>
      <w:r>
        <w:t xml:space="preserve"> Cross-references for "withhold": Rom 13:7; Gal 6:10.</w:t>
      </w:r>
    </w:p>
  </w:footnote>
  <w:footnote w:id="10708">
    <w:p>
      <w:pPr>
        <w:pStyle w:val="FootnoteText"/>
      </w:pPr>
      <w:r>
        <w:rPr>
          <w:rStyle w:val="FootnoteReference"/>
        </w:rPr>
        <w:footnoteRef/>
      </w:r>
      <w:r>
        <w:t xml:space="preserve"> Cross-references for "envy": Ps 37:1; Ps 37:7-9.</w:t>
      </w:r>
    </w:p>
  </w:footnote>
  <w:footnote w:id="10709">
    <w:p>
      <w:pPr>
        <w:pStyle w:val="FootnoteText"/>
      </w:pPr>
      <w:r>
        <w:rPr>
          <w:rStyle w:val="FootnoteReference"/>
        </w:rPr>
        <w:footnoteRef/>
      </w:r>
      <w:r>
        <w:t xml:space="preserve"> Cross-references for "curse": Lev 26:14-46; Deut 7:26.</w:t>
      </w:r>
    </w:p>
  </w:footnote>
  <w:footnote w:id="10710">
    <w:p>
      <w:pPr>
        <w:pStyle w:val="FootnoteText"/>
      </w:pPr>
      <w:r>
        <w:rPr>
          <w:rStyle w:val="FootnoteReference"/>
        </w:rPr>
        <w:footnoteRef/>
      </w:r>
      <w:r>
        <w:t xml:space="preserve"> Cross-references for "wise": 1Sam 2:30; Ps 73:24.</w:t>
      </w:r>
    </w:p>
  </w:footnote>
  <w:footnote w:id="10711">
    <w:p>
      <w:pPr>
        <w:pStyle w:val="FootnoteText"/>
      </w:pPr>
      <w:r>
        <w:rPr>
          <w:rStyle w:val="FootnoteReference"/>
        </w:rPr>
        <w:footnoteRef/>
      </w:r>
      <w:r>
        <w:t xml:space="preserve"> Cross-references for "good": Deut 32:2; Job 33:3.</w:t>
      </w:r>
    </w:p>
  </w:footnote>
  <w:footnote w:id="10712">
    <w:p>
      <w:pPr>
        <w:pStyle w:val="FootnoteText"/>
      </w:pPr>
      <w:r>
        <w:rPr>
          <w:rStyle w:val="FootnoteReference"/>
        </w:rPr>
        <w:footnoteRef/>
      </w:r>
      <w:r>
        <w:t xml:space="preserve"> Cross-references for "love": Prov 2:10-12; Prov 4:21-22.</w:t>
      </w:r>
    </w:p>
  </w:footnote>
  <w:footnote w:id="10713">
    <w:p>
      <w:pPr>
        <w:pStyle w:val="FootnoteText"/>
      </w:pPr>
      <w:r>
        <w:rPr>
          <w:rStyle w:val="FootnoteReference"/>
        </w:rPr>
        <w:footnoteRef/>
      </w:r>
      <w:r>
        <w:t xml:space="preserve"> Cross-references for "give": Prov 1:9; Prov 3:22.</w:t>
      </w:r>
    </w:p>
  </w:footnote>
  <w:footnote w:id="10714">
    <w:p>
      <w:pPr>
        <w:pStyle w:val="FootnoteText"/>
      </w:pPr>
      <w:r>
        <w:rPr>
          <w:rStyle w:val="FootnoteReference"/>
        </w:rPr>
        <w:footnoteRef/>
      </w:r>
      <w:r>
        <w:t xml:space="preserve"> Cross-references for "Take": Prov 3:18; Prov 23:23.</w:t>
      </w:r>
    </w:p>
  </w:footnote>
  <w:footnote w:id="10715">
    <w:p>
      <w:pPr>
        <w:pStyle w:val="FootnoteText"/>
      </w:pPr>
      <w:r>
        <w:rPr>
          <w:rStyle w:val="FootnoteReference"/>
        </w:rPr>
        <w:footnoteRef/>
      </w:r>
      <w:r>
        <w:t xml:space="preserve"> Translation note: Greek has a genitive plural ungodly phrase. English supplies the for readable class-group idiom.</w:t>
      </w:r>
    </w:p>
  </w:footnote>
  <w:footnote w:id="10716">
    <w:p>
      <w:pPr>
        <w:pStyle w:val="FootnoteText"/>
      </w:pPr>
      <w:r>
        <w:rPr>
          <w:rStyle w:val="FootnoteReference"/>
        </w:rPr>
        <w:footnoteRef/>
      </w:r>
      <w:r>
        <w:t xml:space="preserve"> Cross-references for "life": Prov 4:4; Prov 4:10.</w:t>
      </w:r>
    </w:p>
  </w:footnote>
  <w:footnote w:id="10717">
    <w:p>
      <w:pPr>
        <w:pStyle w:val="FootnoteText"/>
      </w:pPr>
      <w:r>
        <w:rPr>
          <w:rStyle w:val="FootnoteReference"/>
        </w:rPr>
        <w:footnoteRef/>
      </w:r>
      <w:r>
        <w:t xml:space="preserve"> Cross-references for "keep": Deut 4:9; Ps 139:23-24.</w:t>
      </w:r>
    </w:p>
  </w:footnote>
  <w:footnote w:id="10718">
    <w:p>
      <w:pPr>
        <w:pStyle w:val="FootnoteText"/>
      </w:pPr>
      <w:r>
        <w:rPr>
          <w:rStyle w:val="FootnoteReference"/>
        </w:rPr>
        <w:footnoteRef/>
      </w:r>
      <w:r>
        <w:t xml:space="preserve"> Cross-references for "turn": Deut 5:32; Deut 12:32.</w:t>
      </w:r>
    </w:p>
  </w:footnote>
  <w:footnote w:id="10719">
    <w:p>
      <w:pPr>
        <w:pStyle w:val="FootnoteText"/>
      </w:pPr>
      <w:r>
        <w:rPr>
          <w:rStyle w:val="FootnoteReference"/>
        </w:rPr>
        <w:footnoteRef/>
      </w:r>
      <w:r>
        <w:t xml:space="preserve"> Cross-references for "hear": Prov 4:1; Prov 8:32-36.</w:t>
      </w:r>
    </w:p>
  </w:footnote>
  <w:footnote w:id="10720">
    <w:p>
      <w:pPr>
        <w:pStyle w:val="FootnoteText"/>
      </w:pPr>
      <w:r>
        <w:rPr>
          <w:rStyle w:val="FootnoteReference"/>
        </w:rPr>
        <w:footnoteRef/>
      </w:r>
      <w:r>
        <w:t xml:space="preserve"> Cross-references for "strangers": Prov 6:35; Hos 7:9.</w:t>
      </w:r>
    </w:p>
  </w:footnote>
  <w:footnote w:id="10721">
    <w:p>
      <w:pPr>
        <w:pStyle w:val="FootnoteText"/>
      </w:pPr>
      <w:r>
        <w:rPr>
          <w:rStyle w:val="FootnoteReference"/>
        </w:rPr>
        <w:footnoteRef/>
      </w:r>
      <w:r>
        <w:t xml:space="preserve"> Cross-references for "and my": Gen 19:9; Exod 2:13-14.</w:t>
      </w:r>
    </w:p>
  </w:footnote>
  <w:footnote w:id="10722">
    <w:p>
      <w:pPr>
        <w:pStyle w:val="FootnoteText"/>
      </w:pPr>
      <w:r>
        <w:rPr>
          <w:rStyle w:val="FootnoteReference"/>
        </w:rPr>
        <w:footnoteRef/>
      </w:r>
      <w:r>
        <w:t xml:space="preserve"> Cross-references for "rejoice": Eccl 9:9; Mal 2:14-15.</w:t>
      </w:r>
    </w:p>
  </w:footnote>
  <w:footnote w:id="10723">
    <w:p>
      <w:pPr>
        <w:pStyle w:val="FootnoteText"/>
      </w:pPr>
      <w:r>
        <w:rPr>
          <w:rStyle w:val="FootnoteReference"/>
        </w:rPr>
        <w:footnoteRef/>
      </w:r>
      <w:r>
        <w:t xml:space="preserve"> Cross-references for "sins": 1Cor 5:9-10; Gal 5:19-21.</w:t>
      </w:r>
    </w:p>
  </w:footnote>
  <w:footnote w:id="10724">
    <w:p>
      <w:pPr>
        <w:pStyle w:val="FootnoteText"/>
      </w:pPr>
      <w:r>
        <w:rPr>
          <w:rStyle w:val="FootnoteReference"/>
        </w:rPr>
        <w:footnoteRef/>
      </w:r>
      <w:r>
        <w:t xml:space="preserve"> Cross-references for "heart": Prov 24:8.</w:t>
      </w:r>
    </w:p>
  </w:footnote>
  <w:footnote w:id="10725">
    <w:p>
      <w:pPr>
        <w:pStyle w:val="FootnoteText"/>
      </w:pPr>
      <w:r>
        <w:rPr>
          <w:rStyle w:val="FootnoteReference"/>
        </w:rPr>
        <w:footnoteRef/>
      </w:r>
      <w:r>
        <w:t xml:space="preserve"> Cross-references for "lamp": Rev 2:5.</w:t>
      </w:r>
    </w:p>
  </w:footnote>
  <w:footnote w:id="10726">
    <w:p>
      <w:pPr>
        <w:pStyle w:val="FootnoteText"/>
      </w:pPr>
      <w:r>
        <w:rPr>
          <w:rStyle w:val="FootnoteReference"/>
        </w:rPr>
        <w:footnoteRef/>
      </w:r>
      <w:r>
        <w:t xml:space="preserve"> Cross-references for "keep": Luke 8:15; Luke 11:28.</w:t>
      </w:r>
    </w:p>
  </w:footnote>
  <w:footnote w:id="10727">
    <w:p>
      <w:pPr>
        <w:pStyle w:val="FootnoteText"/>
      </w:pPr>
      <w:r>
        <w:rPr>
          <w:rStyle w:val="FootnoteReference"/>
        </w:rPr>
        <w:footnoteRef/>
      </w:r>
      <w:r>
        <w:t xml:space="preserve"> Cross-references for "Keep": Lev 18:5; Prov 4:13.</w:t>
      </w:r>
    </w:p>
  </w:footnote>
  <w:footnote w:id="10728">
    <w:p>
      <w:pPr>
        <w:pStyle w:val="FootnoteText"/>
      </w:pPr>
      <w:r>
        <w:rPr>
          <w:rStyle w:val="FootnoteReference"/>
        </w:rPr>
        <w:footnoteRef/>
      </w:r>
      <w:r>
        <w:t xml:space="preserve"> Cross-references for "evening": Exod 12:6.</w:t>
      </w:r>
    </w:p>
  </w:footnote>
  <w:footnote w:id="10729">
    <w:p>
      <w:pPr>
        <w:pStyle w:val="FootnoteText"/>
      </w:pPr>
      <w:r>
        <w:rPr>
          <w:rStyle w:val="FootnoteReference"/>
        </w:rPr>
        <w:footnoteRef/>
      </w:r>
      <w:r>
        <w:t xml:space="preserve"> Cross-references for "her feet": Gen 18:9; 1Tim 5:13-14.</w:t>
      </w:r>
    </w:p>
  </w:footnote>
  <w:footnote w:id="10730">
    <w:p>
      <w:pPr>
        <w:pStyle w:val="FootnoteText"/>
      </w:pPr>
      <w:r>
        <w:rPr>
          <w:rStyle w:val="FootnoteReference"/>
        </w:rPr>
        <w:footnoteRef/>
      </w:r>
      <w:r>
        <w:t xml:space="preserve"> Cross-references for "decked": Song 1:16; Song 3:7-10.</w:t>
      </w:r>
    </w:p>
  </w:footnote>
  <w:footnote w:id="10731">
    <w:p>
      <w:pPr>
        <w:pStyle w:val="FootnoteText"/>
      </w:pPr>
      <w:r>
        <w:rPr>
          <w:rStyle w:val="FootnoteReference"/>
        </w:rPr>
        <w:footnoteRef/>
      </w:r>
      <w:r>
        <w:t xml:space="preserve"> Cross-references for "wisdom": Job 28:15-19; Ps 19:10.</w:t>
      </w:r>
    </w:p>
  </w:footnote>
  <w:footnote w:id="10732">
    <w:p>
      <w:pPr>
        <w:pStyle w:val="FootnoteText"/>
      </w:pPr>
      <w:r>
        <w:rPr>
          <w:rStyle w:val="FootnoteReference"/>
        </w:rPr>
        <w:footnoteRef/>
      </w:r>
      <w:r>
        <w:t xml:space="preserve"> Cross-references for "knowledge": Exod 31:3-6; Exod 35:30-35.</w:t>
      </w:r>
    </w:p>
  </w:footnote>
  <w:footnote w:id="10733">
    <w:p>
      <w:pPr>
        <w:pStyle w:val="FootnoteText"/>
      </w:pPr>
      <w:r>
        <w:rPr>
          <w:rStyle w:val="FootnoteReference"/>
        </w:rPr>
        <w:footnoteRef/>
      </w:r>
      <w:r>
        <w:t xml:space="preserve"> Cross-references for "The fear": Ps 97:10; Ps 101:3.</w:t>
      </w:r>
    </w:p>
  </w:footnote>
  <w:footnote w:id="10734">
    <w:p>
      <w:pPr>
        <w:pStyle w:val="FootnoteText"/>
      </w:pPr>
      <w:r>
        <w:rPr>
          <w:rStyle w:val="FootnoteReference"/>
        </w:rPr>
        <w:footnoteRef/>
      </w:r>
      <w:r>
        <w:t xml:space="preserve"> Cross-references for "counsel": Isa 9:6; Isa 40:14.</w:t>
      </w:r>
    </w:p>
  </w:footnote>
  <w:footnote w:id="10735">
    <w:p>
      <w:pPr>
        <w:pStyle w:val="FootnoteText"/>
      </w:pPr>
      <w:r>
        <w:rPr>
          <w:rStyle w:val="FootnoteReference"/>
        </w:rPr>
        <w:footnoteRef/>
      </w:r>
      <w:r>
        <w:t xml:space="preserve"> Cross-references for "I love": 1Sam 2:30; Ps 91:14.</w:t>
      </w:r>
    </w:p>
  </w:footnote>
  <w:footnote w:id="10736">
    <w:p>
      <w:pPr>
        <w:pStyle w:val="FootnoteText"/>
      </w:pPr>
      <w:r>
        <w:rPr>
          <w:rStyle w:val="FootnoteReference"/>
        </w:rPr>
        <w:footnoteRef/>
      </w:r>
      <w:r>
        <w:t xml:space="preserve"> Cross-references for "and righteousness": Prov 11:4; Matt 6:33.</w:t>
      </w:r>
    </w:p>
  </w:footnote>
  <w:footnote w:id="10737">
    <w:p>
      <w:pPr>
        <w:pStyle w:val="FootnoteText"/>
      </w:pPr>
      <w:r>
        <w:rPr>
          <w:rStyle w:val="FootnoteReference"/>
        </w:rPr>
        <w:footnoteRef/>
      </w:r>
      <w:r>
        <w:t xml:space="preserve"> Cross-references for "fill": Ps 16:11; Eph 3:19-20.</w:t>
      </w:r>
    </w:p>
  </w:footnote>
  <w:footnote w:id="10738">
    <w:p>
      <w:pPr>
        <w:pStyle w:val="FootnoteText"/>
      </w:pPr>
      <w:r>
        <w:rPr>
          <w:rStyle w:val="FootnoteReference"/>
        </w:rPr>
        <w:footnoteRef/>
      </w:r>
      <w:r>
        <w:t xml:space="preserve"> Cross-references for "he prepared": Ps 33:6; Ps 103:19.</w:t>
      </w:r>
    </w:p>
  </w:footnote>
  <w:footnote w:id="10739">
    <w:p>
      <w:pPr>
        <w:pStyle w:val="FootnoteText"/>
      </w:pPr>
      <w:r>
        <w:rPr>
          <w:rStyle w:val="FootnoteReference"/>
        </w:rPr>
        <w:footnoteRef/>
      </w:r>
      <w:r>
        <w:t xml:space="preserve"> Cross-references for "pillars": 1Kgs 7:2-3; 1Kgs 7:6.</w:t>
      </w:r>
    </w:p>
  </w:footnote>
  <w:footnote w:id="10740">
    <w:p>
      <w:pPr>
        <w:pStyle w:val="FootnoteText"/>
      </w:pPr>
      <w:r>
        <w:rPr>
          <w:rStyle w:val="FootnoteReference"/>
        </w:rPr>
        <w:footnoteRef/>
      </w:r>
      <w:r>
        <w:t xml:space="preserve"> Cross-references for "sent": Matt 22:3-4; Matt 22:9.</w:t>
      </w:r>
    </w:p>
  </w:footnote>
  <w:footnote w:id="10741">
    <w:p>
      <w:pPr>
        <w:pStyle w:val="FootnoteText"/>
      </w:pPr>
      <w:r>
        <w:rPr>
          <w:rStyle w:val="FootnoteReference"/>
        </w:rPr>
        <w:footnoteRef/>
      </w:r>
      <w:r>
        <w:t xml:space="preserve"> Translation note: Greek has the articular singular ungodly object. English supplies the and man for readable idiom.</w:t>
      </w:r>
    </w:p>
  </w:footnote>
  <w:footnote w:id="10742">
    <w:p>
      <w:pPr>
        <w:pStyle w:val="FootnoteText"/>
      </w:pPr>
      <w:r>
        <w:rPr>
          <w:rStyle w:val="FootnoteReference"/>
        </w:rPr>
        <w:footnoteRef/>
      </w:r>
      <w:r>
        <w:t xml:space="preserve"> Cross-references for "rebuke": Lev 19:17; 2Sam 12:7-14.</w:t>
      </w:r>
    </w:p>
  </w:footnote>
  <w:footnote w:id="10743">
    <w:p>
      <w:pPr>
        <w:pStyle w:val="FootnoteText"/>
      </w:pPr>
      <w:r>
        <w:rPr>
          <w:rStyle w:val="FootnoteReference"/>
        </w:rPr>
        <w:footnoteRef/>
      </w:r>
      <w:r>
        <w:t xml:space="preserve"> Translation note: Greek has a dative singular righteous phrase. English supplies a for readable idiom.</w:t>
      </w:r>
    </w:p>
  </w:footnote>
  <w:footnote w:id="10744">
    <w:p>
      <w:pPr>
        <w:pStyle w:val="FootnoteText"/>
      </w:pPr>
      <w:r>
        <w:rPr>
          <w:rStyle w:val="FootnoteReference"/>
        </w:rPr>
        <w:footnoteRef/>
      </w:r>
      <w:r>
        <w:t xml:space="preserve"> Cross-references for "the fear": Job 28:28; Ps 111:10.</w:t>
      </w:r>
    </w:p>
  </w:footnote>
  <w:footnote w:id="10745">
    <w:p>
      <w:pPr>
        <w:pStyle w:val="FootnoteText"/>
      </w:pPr>
      <w:r>
        <w:rPr>
          <w:rStyle w:val="FootnoteReference"/>
        </w:rPr>
        <w:footnoteRef/>
      </w:r>
      <w:r>
        <w:t xml:space="preserve"> Translation note: The Greek keeps the wisdom formula direct and compact. The current wording preserves it close to the source-row line.</w:t>
      </w:r>
    </w:p>
  </w:footnote>
  <w:footnote w:id="10746">
    <w:p>
      <w:pPr>
        <w:pStyle w:val="FootnoteText"/>
      </w:pPr>
      <w:r>
        <w:rPr>
          <w:rStyle w:val="FootnoteReference"/>
        </w:rPr>
        <w:footnoteRef/>
      </w:r>
      <w:r>
        <w:t xml:space="preserve"> Cross-references for "A wise": Prov 15:20; Prov 17:21.</w:t>
      </w:r>
    </w:p>
  </w:footnote>
  <w:footnote w:id="10747">
    <w:p>
      <w:pPr>
        <w:pStyle w:val="FootnoteText"/>
      </w:pPr>
      <w:r>
        <w:rPr>
          <w:rStyle w:val="FootnoteReference"/>
        </w:rPr>
        <w:footnoteRef/>
      </w:r>
      <w:r>
        <w:t xml:space="preserve"> Cross-references for "Treasures": Ps 49:6-10; Prov 11:4.</w:t>
      </w:r>
    </w:p>
  </w:footnote>
  <w:footnote w:id="10748">
    <w:p>
      <w:pPr>
        <w:pStyle w:val="FootnoteText"/>
      </w:pPr>
      <w:r>
        <w:rPr>
          <w:rStyle w:val="FootnoteReference"/>
        </w:rPr>
        <w:footnoteRef/>
      </w:r>
      <w:r>
        <w:t xml:space="preserve"> Translation note: The Greek speaks of the righteous soul directly. The current wording keeps that anthropological wording visible.</w:t>
      </w:r>
    </w:p>
  </w:footnote>
  <w:footnote w:id="10749">
    <w:p>
      <w:pPr>
        <w:pStyle w:val="FootnoteText"/>
      </w:pPr>
      <w:r>
        <w:rPr>
          <w:rStyle w:val="FootnoteReference"/>
        </w:rPr>
        <w:footnoteRef/>
      </w:r>
      <w:r>
        <w:t xml:space="preserve"> Cross-references for "will": Job 5:20; Ps 10:14.</w:t>
      </w:r>
    </w:p>
  </w:footnote>
  <w:footnote w:id="10750">
    <w:p>
      <w:pPr>
        <w:pStyle w:val="FootnoteText"/>
      </w:pPr>
      <w:r>
        <w:rPr>
          <w:rStyle w:val="FootnoteReference"/>
        </w:rPr>
        <w:footnoteRef/>
      </w:r>
      <w:r>
        <w:t xml:space="preserve"> Cross-references for "memory": 1Kgs 11:36; 2Kgs 19:34.</w:t>
      </w:r>
    </w:p>
  </w:footnote>
  <w:footnote w:id="10751">
    <w:p>
      <w:pPr>
        <w:pStyle w:val="FootnoteText"/>
      </w:pPr>
      <w:r>
        <w:rPr>
          <w:rStyle w:val="FootnoteReference"/>
        </w:rPr>
        <w:footnoteRef/>
      </w:r>
      <w:r>
        <w:t xml:space="preserve"> Cross-references for "wise": Ps 119:34; Prov 1:5.</w:t>
      </w:r>
    </w:p>
  </w:footnote>
  <w:footnote w:id="10752">
    <w:p>
      <w:pPr>
        <w:pStyle w:val="FootnoteText"/>
      </w:pPr>
      <w:r>
        <w:rPr>
          <w:rStyle w:val="FootnoteReference"/>
        </w:rPr>
        <w:footnoteRef/>
      </w:r>
      <w:r>
        <w:t xml:space="preserve"> Cross-references for "Hatred": Prov 15:18; Prov 16:27.</w:t>
      </w:r>
    </w:p>
  </w:footnote>
  <w:footnote w:id="10753">
    <w:p>
      <w:pPr>
        <w:pStyle w:val="FootnoteText"/>
      </w:pPr>
      <w:r>
        <w:rPr>
          <w:rStyle w:val="FootnoteReference"/>
        </w:rPr>
        <w:footnoteRef/>
      </w:r>
      <w:r>
        <w:t xml:space="preserve"> Cross-references for "the mouth": Prov 10:8; Prov 10:10.</w:t>
      </w:r>
    </w:p>
  </w:footnote>
  <w:footnote w:id="10754">
    <w:p>
      <w:pPr>
        <w:pStyle w:val="FootnoteText"/>
      </w:pPr>
      <w:r>
        <w:rPr>
          <w:rStyle w:val="FootnoteReference"/>
        </w:rPr>
        <w:footnoteRef/>
      </w:r>
      <w:r>
        <w:t xml:space="preserve"> Translation note: Greek has compact predicate phrases. English supplies articles and is for readable proverb syntax.</w:t>
      </w:r>
    </w:p>
  </w:footnote>
  <w:footnote w:id="10755">
    <w:p>
      <w:pPr>
        <w:pStyle w:val="FootnoteText"/>
      </w:pPr>
      <w:r>
        <w:rPr>
          <w:rStyle w:val="FootnoteReference"/>
        </w:rPr>
        <w:footnoteRef/>
      </w:r>
      <w:r>
        <w:t xml:space="preserve"> Cross-references for "rich": Job 31:24-25; Ps 49:6.</w:t>
      </w:r>
    </w:p>
  </w:footnote>
  <w:footnote w:id="10756">
    <w:p>
      <w:pPr>
        <w:pStyle w:val="FootnoteText"/>
      </w:pPr>
      <w:r>
        <w:rPr>
          <w:rStyle w:val="FootnoteReference"/>
        </w:rPr>
        <w:footnoteRef/>
      </w:r>
      <w:r>
        <w:t xml:space="preserve"> Translation note: Greek has a genitive plural ungodly phrase. English supplies the and produce for readable parallel syntax.</w:t>
      </w:r>
    </w:p>
  </w:footnote>
  <w:footnote w:id="10757">
    <w:p>
      <w:pPr>
        <w:pStyle w:val="FootnoteText"/>
      </w:pPr>
      <w:r>
        <w:rPr>
          <w:rStyle w:val="FootnoteReference"/>
        </w:rPr>
        <w:footnoteRef/>
      </w:r>
      <w:r>
        <w:t xml:space="preserve"> Translation note: Greek has compact righteous/ungodly genitive phrases. English supplies articles and is for readable proverb syntax.</w:t>
      </w:r>
    </w:p>
  </w:footnote>
  <w:footnote w:id="10758">
    <w:p>
      <w:pPr>
        <w:pStyle w:val="FootnoteText"/>
      </w:pPr>
      <w:r>
        <w:rPr>
          <w:rStyle w:val="FootnoteReference"/>
        </w:rPr>
        <w:footnoteRef/>
      </w:r>
      <w:r>
        <w:t xml:space="preserve"> Cross-references for "tongue": Prov 12:18; Prov 15:4.</w:t>
      </w:r>
    </w:p>
  </w:footnote>
  <w:footnote w:id="10759">
    <w:p>
      <w:pPr>
        <w:pStyle w:val="FootnoteText"/>
      </w:pPr>
      <w:r>
        <w:rPr>
          <w:rStyle w:val="FootnoteReference"/>
        </w:rPr>
        <w:footnoteRef/>
      </w:r>
      <w:r>
        <w:t xml:space="preserve"> Translation note: Greek has a genitive righteous phrase. English supplies the for readable class-group idiom.</w:t>
      </w:r>
    </w:p>
  </w:footnote>
  <w:footnote w:id="10760">
    <w:p>
      <w:pPr>
        <w:pStyle w:val="FootnoteText"/>
      </w:pPr>
      <w:r>
        <w:rPr>
          <w:rStyle w:val="FootnoteReference"/>
        </w:rPr>
        <w:footnoteRef/>
      </w:r>
      <w:r>
        <w:t xml:space="preserve"> Cross-references for "fools": Prov 1:29; Prov 1:31.</w:t>
      </w:r>
    </w:p>
  </w:footnote>
  <w:footnote w:id="10761">
    <w:p>
      <w:pPr>
        <w:pStyle w:val="FootnoteText"/>
      </w:pPr>
      <w:r>
        <w:rPr>
          <w:rStyle w:val="FootnoteReference"/>
        </w:rPr>
        <w:footnoteRef/>
      </w:r>
      <w:r>
        <w:t xml:space="preserve"> Cross-references for "the desire": Ps 21:2; Ps 37:4.</w:t>
      </w:r>
    </w:p>
  </w:footnote>
  <w:footnote w:id="10762">
    <w:p>
      <w:pPr>
        <w:pStyle w:val="FootnoteText"/>
      </w:pPr>
      <w:r>
        <w:rPr>
          <w:rStyle w:val="FootnoteReference"/>
        </w:rPr>
        <w:footnoteRef/>
      </w:r>
      <w:r>
        <w:t xml:space="preserve"> Translation note: Greek has a genitive plural ungodly phrase. English supplies the for readable class-group idiom.</w:t>
      </w:r>
    </w:p>
  </w:footnote>
  <w:footnote w:id="10763">
    <w:p>
      <w:pPr>
        <w:pStyle w:val="FootnoteText"/>
      </w:pPr>
      <w:r>
        <w:rPr>
          <w:rStyle w:val="FootnoteReference"/>
        </w:rPr>
        <w:footnoteRef/>
      </w:r>
      <w:r>
        <w:t xml:space="preserve"> Cross-references for "fear": Ps 21:4; Ps 34:11-13.</w:t>
      </w:r>
    </w:p>
  </w:footnote>
  <w:footnote w:id="10764">
    <w:p>
      <w:pPr>
        <w:pStyle w:val="FootnoteText"/>
      </w:pPr>
      <w:r>
        <w:rPr>
          <w:rStyle w:val="FootnoteReference"/>
        </w:rPr>
        <w:footnoteRef/>
      </w:r>
      <w:r>
        <w:t xml:space="preserve"> Cross-references for "hope": Ps 16:9; Ps 73:24-26.</w:t>
      </w:r>
    </w:p>
  </w:footnote>
  <w:footnote w:id="10765">
    <w:p>
      <w:pPr>
        <w:pStyle w:val="FootnoteText"/>
      </w:pPr>
      <w:r>
        <w:rPr>
          <w:rStyle w:val="FootnoteReference"/>
        </w:rPr>
        <w:footnoteRef/>
      </w:r>
      <w:r>
        <w:t xml:space="preserve"> Cross-references for "mouth": Prov 10:11; Prov 10:13.</w:t>
      </w:r>
    </w:p>
  </w:footnote>
  <w:footnote w:id="10766">
    <w:p>
      <w:pPr>
        <w:pStyle w:val="FootnoteText"/>
      </w:pPr>
      <w:r>
        <w:rPr>
          <w:rStyle w:val="FootnoteReference"/>
        </w:rPr>
        <w:footnoteRef/>
      </w:r>
      <w:r>
        <w:t xml:space="preserve"> Translation note: Greek has compact righteous and ungodly substantives. English supplies articles for readable proverb syntax.</w:t>
      </w:r>
    </w:p>
  </w:footnote>
  <w:footnote w:id="10767">
    <w:p>
      <w:pPr>
        <w:pStyle w:val="FootnoteText"/>
      </w:pPr>
      <w:r>
        <w:rPr>
          <w:rStyle w:val="FootnoteReference"/>
        </w:rPr>
        <w:footnoteRef/>
      </w:r>
      <w:r>
        <w:t xml:space="preserve"> Cross-references for "righteousness": Gen 30:33; Gen 31:37.</w:t>
      </w:r>
    </w:p>
  </w:footnote>
  <w:footnote w:id="10768">
    <w:p>
      <w:pPr>
        <w:pStyle w:val="FootnoteText"/>
      </w:pPr>
      <w:r>
        <w:rPr>
          <w:rStyle w:val="FootnoteReference"/>
        </w:rPr>
        <w:footnoteRef/>
      </w:r>
      <w:r>
        <w:t xml:space="preserve"> Translation note: Greek has genitive righteous-man and ungodly phrases. English supplies articles for readable idiom.</w:t>
      </w:r>
    </w:p>
  </w:footnote>
  <w:footnote w:id="10769">
    <w:p>
      <w:pPr>
        <w:pStyle w:val="FootnoteText"/>
      </w:pPr>
      <w:r>
        <w:rPr>
          <w:rStyle w:val="FootnoteReference"/>
        </w:rPr>
        <w:footnoteRef/>
      </w:r>
      <w:r>
        <w:t xml:space="preserve"> Translation note: Greek has the articular ungodly subject. English supplies the and one for readable idiom.</w:t>
      </w:r>
    </w:p>
  </w:footnote>
  <w:footnote w:id="10770">
    <w:p>
      <w:pPr>
        <w:pStyle w:val="FootnoteText"/>
      </w:pPr>
      <w:r>
        <w:rPr>
          <w:rStyle w:val="FootnoteReference"/>
        </w:rPr>
        <w:footnoteRef/>
      </w:r>
      <w:r>
        <w:t xml:space="preserve"> Translation note: Greek has compact predicate phrases with genitive class groups. English supplies articles and linking verbs for readable proverb syntax.</w:t>
      </w:r>
    </w:p>
  </w:footnote>
  <w:footnote w:id="10771">
    <w:p>
      <w:pPr>
        <w:pStyle w:val="FootnoteText"/>
      </w:pPr>
      <w:r>
        <w:rPr>
          <w:rStyle w:val="FootnoteReference"/>
        </w:rPr>
        <w:footnoteRef/>
      </w:r>
      <w:r>
        <w:t xml:space="preserve"> Translation note: Greek has a genitive righteous phrase and a compact city-prosperity clause. English supplies the and a comma for readable syntax.</w:t>
      </w:r>
    </w:p>
  </w:footnote>
  <w:footnote w:id="10772">
    <w:p>
      <w:pPr>
        <w:pStyle w:val="FootnoteText"/>
      </w:pPr>
      <w:r>
        <w:rPr>
          <w:rStyle w:val="FootnoteReference"/>
        </w:rPr>
        <w:footnoteRef/>
      </w:r>
      <w:r>
        <w:t xml:space="preserve"> Translation note: Greek has a compact mouths-of-ungodly phrase. English supplies articles for readable syntax.</w:t>
      </w:r>
    </w:p>
  </w:footnote>
  <w:footnote w:id="10773">
    <w:p>
      <w:pPr>
        <w:pStyle w:val="FootnoteText"/>
      </w:pPr>
      <w:r>
        <w:rPr>
          <w:rStyle w:val="FootnoteReference"/>
        </w:rPr>
        <w:footnoteRef/>
      </w:r>
      <w:r>
        <w:t xml:space="preserve"> Cross-references for "Merciful": Ps 41:1-4; Ps 112:4-9.</w:t>
      </w:r>
    </w:p>
  </w:footnote>
  <w:footnote w:id="10774">
    <w:p>
      <w:pPr>
        <w:pStyle w:val="FootnoteText"/>
      </w:pPr>
      <w:r>
        <w:rPr>
          <w:rStyle w:val="FootnoteReference"/>
        </w:rPr>
        <w:footnoteRef/>
      </w:r>
      <w:r>
        <w:t xml:space="preserve"> Translation note: Greek has a genitive singular ungodly phrase. English supplies the and is for readable syntax.</w:t>
      </w:r>
    </w:p>
  </w:footnote>
  <w:footnote w:id="10775">
    <w:p>
      <w:pPr>
        <w:pStyle w:val="FootnoteText"/>
      </w:pPr>
      <w:r>
        <w:rPr>
          <w:rStyle w:val="FootnoteReference"/>
        </w:rPr>
        <w:footnoteRef/>
      </w:r>
      <w:r>
        <w:t xml:space="preserve"> Cross-references for "Hand": Prov 16:5.</w:t>
      </w:r>
    </w:p>
  </w:footnote>
  <w:footnote w:id="10776">
    <w:p>
      <w:pPr>
        <w:pStyle w:val="FootnoteText"/>
      </w:pPr>
      <w:r>
        <w:rPr>
          <w:rStyle w:val="FootnoteReference"/>
        </w:rPr>
        <w:footnoteRef/>
      </w:r>
      <w:r>
        <w:t xml:space="preserve"> Cross-references for "desire": Ps 10:17; Ps 27:4.</w:t>
      </w:r>
    </w:p>
  </w:footnote>
  <w:footnote w:id="10777">
    <w:p>
      <w:pPr>
        <w:pStyle w:val="FootnoteText"/>
      </w:pPr>
      <w:r>
        <w:rPr>
          <w:rStyle w:val="FootnoteReference"/>
        </w:rPr>
        <w:footnoteRef/>
      </w:r>
      <w:r>
        <w:t xml:space="preserve"> Cross-references for "blessing": Job 29:13.</w:t>
      </w:r>
    </w:p>
  </w:footnote>
  <w:footnote w:id="10778">
    <w:p>
      <w:pPr>
        <w:pStyle w:val="FootnoteText"/>
      </w:pPr>
      <w:r>
        <w:rPr>
          <w:rStyle w:val="FootnoteReference"/>
        </w:rPr>
        <w:footnoteRef/>
      </w:r>
      <w:r>
        <w:t xml:space="preserve"> Translation note: Greek has a genitive plural righteous phrase. English supplies the for readable class-group idiom.</w:t>
      </w:r>
    </w:p>
  </w:footnote>
  <w:footnote w:id="10779">
    <w:p>
      <w:pPr>
        <w:pStyle w:val="FootnoteText"/>
      </w:pPr>
      <w:r>
        <w:rPr>
          <w:rStyle w:val="FootnoteReference"/>
        </w:rPr>
        <w:footnoteRef/>
      </w:r>
      <w:r>
        <w:t xml:space="preserve"> Cross-references for "inherit": Eccl 5:16; Hos 8:7.</w:t>
      </w:r>
    </w:p>
  </w:footnote>
  <w:footnote w:id="10780">
    <w:p>
      <w:pPr>
        <w:pStyle w:val="FootnoteText"/>
      </w:pPr>
      <w:r>
        <w:rPr>
          <w:rStyle w:val="FootnoteReference"/>
        </w:rPr>
        <w:footnoteRef/>
      </w:r>
      <w:r>
        <w:t xml:space="preserve"> Cross-references for "fruit": Prov 3:18; Prov 15:4.</w:t>
      </w:r>
    </w:p>
  </w:footnote>
  <w:footnote w:id="10781">
    <w:p>
      <w:pPr>
        <w:pStyle w:val="FootnoteText"/>
      </w:pPr>
      <w:r>
        <w:rPr>
          <w:rStyle w:val="FootnoteReference"/>
        </w:rPr>
        <w:footnoteRef/>
      </w:r>
      <w:r>
        <w:t xml:space="preserve"> Translation note: Greek has a genitive plural righteous phrase. English supplies the for readable class-group idiom.</w:t>
      </w:r>
    </w:p>
  </w:footnote>
  <w:footnote w:id="10782">
    <w:p>
      <w:pPr>
        <w:pStyle w:val="FootnoteText"/>
      </w:pPr>
      <w:r>
        <w:rPr>
          <w:rStyle w:val="FootnoteReference"/>
        </w:rPr>
        <w:footnoteRef/>
      </w:r>
      <w:r>
        <w:t xml:space="preserve"> Cross-references for "Thoughts": Ps 119:15; Ps 139:23.</w:t>
      </w:r>
    </w:p>
  </w:footnote>
  <w:footnote w:id="10783">
    <w:p>
      <w:pPr>
        <w:pStyle w:val="FootnoteText"/>
      </w:pPr>
      <w:r>
        <w:rPr>
          <w:rStyle w:val="FootnoteReference"/>
        </w:rPr>
        <w:footnoteRef/>
      </w:r>
      <w:r>
        <w:t xml:space="preserve"> Cross-references for "words": Prov 1:11-19.</w:t>
      </w:r>
    </w:p>
  </w:footnote>
  <w:footnote w:id="10784">
    <w:p>
      <w:pPr>
        <w:pStyle w:val="FootnoteText"/>
      </w:pPr>
      <w:r>
        <w:rPr>
          <w:rStyle w:val="FootnoteReference"/>
        </w:rPr>
        <w:footnoteRef/>
      </w:r>
      <w:r>
        <w:t xml:space="preserve"> Translation note: Greek has a genitive plural ungodly phrase. English supplies the and are for readable syntax.</w:t>
      </w:r>
    </w:p>
  </w:footnote>
  <w:footnote w:id="10785">
    <w:p>
      <w:pPr>
        <w:pStyle w:val="FootnoteText"/>
      </w:pPr>
      <w:r>
        <w:rPr>
          <w:rStyle w:val="FootnoteReference"/>
        </w:rPr>
        <w:footnoteRef/>
      </w:r>
      <w:r>
        <w:t xml:space="preserve"> Cross-references for "righteous": Gen 33:13-14; Num 22:28-32.</w:t>
      </w:r>
    </w:p>
  </w:footnote>
  <w:footnote w:id="10786">
    <w:p>
      <w:pPr>
        <w:pStyle w:val="FootnoteText"/>
      </w:pPr>
      <w:r>
        <w:rPr>
          <w:rStyle w:val="FootnoteReference"/>
        </w:rPr>
        <w:footnoteRef/>
      </w:r>
      <w:r>
        <w:t xml:space="preserve"> Translation note: Greek has compact ungodly/pious genitive phrases. English supplies articles and are for readable syntax.</w:t>
      </w:r>
    </w:p>
  </w:footnote>
  <w:footnote w:id="10787">
    <w:p>
      <w:pPr>
        <w:pStyle w:val="FootnoteText"/>
      </w:pPr>
      <w:r>
        <w:rPr>
          <w:rStyle w:val="FootnoteReference"/>
        </w:rPr>
        <w:footnoteRef/>
      </w:r>
      <w:r>
        <w:t xml:space="preserve"> Cross-references for "Deceit": Prov 12:12; Prov 26:24-26.</w:t>
      </w:r>
    </w:p>
  </w:footnote>
  <w:footnote w:id="10788">
    <w:p>
      <w:pPr>
        <w:pStyle w:val="FootnoteText"/>
      </w:pPr>
      <w:r>
        <w:rPr>
          <w:rStyle w:val="FootnoteReference"/>
        </w:rPr>
        <w:footnoteRef/>
      </w:r>
      <w:r>
        <w:t xml:space="preserve"> Translation note: Greek has articular righteous and plural ungodly phrases. English supplies the for readable class-group idiom.</w:t>
      </w:r>
    </w:p>
  </w:footnote>
  <w:footnote w:id="10789">
    <w:p>
      <w:pPr>
        <w:pStyle w:val="FootnoteText"/>
      </w:pPr>
      <w:r>
        <w:rPr>
          <w:rStyle w:val="FootnoteReference"/>
        </w:rPr>
        <w:footnoteRef/>
      </w:r>
      <w:r>
        <w:t xml:space="preserve"> Cross-references for "filled": Prov 1:31; Prov 14:14.</w:t>
      </w:r>
    </w:p>
  </w:footnote>
  <w:footnote w:id="10790">
    <w:p>
      <w:pPr>
        <w:pStyle w:val="FootnoteText"/>
      </w:pPr>
      <w:r>
        <w:rPr>
          <w:rStyle w:val="FootnoteReference"/>
        </w:rPr>
        <w:footnoteRef/>
      </w:r>
      <w:r>
        <w:t xml:space="preserve"> Cross-references for "Lying": Ps 5:6; Prov 6:16-17.</w:t>
      </w:r>
    </w:p>
  </w:footnote>
  <w:footnote w:id="10791">
    <w:p>
      <w:pPr>
        <w:pStyle w:val="FootnoteText"/>
      </w:pPr>
      <w:r>
        <w:rPr>
          <w:rStyle w:val="FootnoteReference"/>
        </w:rPr>
        <w:footnoteRef/>
      </w:r>
      <w:r>
        <w:t xml:space="preserve"> Cross-references for "hand": Prov 10:4; Prov 13:4.</w:t>
      </w:r>
    </w:p>
  </w:footnote>
  <w:footnote w:id="10792">
    <w:p>
      <w:pPr>
        <w:pStyle w:val="FootnoteText"/>
      </w:pPr>
      <w:r>
        <w:rPr>
          <w:rStyle w:val="FootnoteReference"/>
        </w:rPr>
        <w:footnoteRef/>
      </w:r>
      <w:r>
        <w:t xml:space="preserve"> Translation note: Greek has compact article-less noun phrases. English supplies articles for readable proverb syntax.</w:t>
      </w:r>
    </w:p>
  </w:footnote>
  <w:footnote w:id="10793">
    <w:p>
      <w:pPr>
        <w:pStyle w:val="FootnoteText"/>
      </w:pPr>
      <w:r>
        <w:rPr>
          <w:rStyle w:val="FootnoteReference"/>
        </w:rPr>
        <w:footnoteRef/>
      </w:r>
      <w:r>
        <w:t xml:space="preserve"> Cross-references for "righteous": Ps 16:3; Prov 12:13.</w:t>
      </w:r>
    </w:p>
  </w:footnote>
  <w:footnote w:id="10794">
    <w:p>
      <w:pPr>
        <w:pStyle w:val="FootnoteText"/>
      </w:pPr>
      <w:r>
        <w:rPr>
          <w:rStyle w:val="FootnoteReference"/>
        </w:rPr>
        <w:footnoteRef/>
      </w:r>
      <w:r>
        <w:t xml:space="preserve"> Translation note: Greek has genitive plural ungodly phrases. English supplies the for readable class-group idiom.</w:t>
      </w:r>
    </w:p>
  </w:footnote>
  <w:footnote w:id="10795">
    <w:p>
      <w:pPr>
        <w:pStyle w:val="FootnoteText"/>
      </w:pPr>
      <w:r>
        <w:rPr>
          <w:rStyle w:val="FootnoteReference"/>
        </w:rPr>
        <w:footnoteRef/>
      </w:r>
      <w:r>
        <w:t xml:space="preserve"> Translation note: Article cleanup: English supplies the for the ungodly class-group subject.</w:t>
      </w:r>
    </w:p>
  </w:footnote>
  <w:footnote w:id="10796">
    <w:p>
      <w:pPr>
        <w:pStyle w:val="FootnoteText"/>
      </w:pPr>
      <w:r>
        <w:rPr>
          <w:rStyle w:val="FootnoteReference"/>
        </w:rPr>
        <w:footnoteRef/>
      </w:r>
      <w:r>
        <w:t xml:space="preserve"> Cross-references for "righteous": Ps 119:163; Prov 6:17.</w:t>
      </w:r>
    </w:p>
  </w:footnote>
  <w:footnote w:id="10797">
    <w:p>
      <w:pPr>
        <w:pStyle w:val="FootnoteText"/>
      </w:pPr>
      <w:r>
        <w:rPr>
          <w:rStyle w:val="FootnoteReference"/>
        </w:rPr>
        <w:footnoteRef/>
      </w:r>
      <w:r>
        <w:t xml:space="preserve"> Cross-references for "Righteousness": Ps 15:2; Ps 25:21.</w:t>
      </w:r>
    </w:p>
  </w:footnote>
  <w:footnote w:id="10798">
    <w:p>
      <w:pPr>
        <w:pStyle w:val="FootnoteText"/>
      </w:pPr>
      <w:r>
        <w:rPr>
          <w:rStyle w:val="FootnoteReference"/>
        </w:rPr>
        <w:footnoteRef/>
      </w:r>
      <w:r>
        <w:t xml:space="preserve"> Cross-references for "Ransom": Exod 21:30; Job 2:4.</w:t>
      </w:r>
    </w:p>
  </w:footnote>
  <w:footnote w:id="10799">
    <w:p>
      <w:pPr>
        <w:pStyle w:val="FootnoteText"/>
      </w:pPr>
      <w:r>
        <w:rPr>
          <w:rStyle w:val="FootnoteReference"/>
        </w:rPr>
        <w:footnoteRef/>
      </w:r>
      <w:r>
        <w:t xml:space="preserve"> Cross-references for "light": 1Kgs 11:36; Ps 97:11.</w:t>
      </w:r>
    </w:p>
  </w:footnote>
  <w:footnote w:id="10800">
    <w:p>
      <w:pPr>
        <w:pStyle w:val="FootnoteText"/>
      </w:pPr>
      <w:r>
        <w:rPr>
          <w:rStyle w:val="FootnoteReference"/>
        </w:rPr>
        <w:footnoteRef/>
      </w:r>
      <w:r>
        <w:t xml:space="preserve"> Cross-references for "hope": Ps 42:1-3; Ps 69:3.</w:t>
      </w:r>
    </w:p>
  </w:footnote>
  <w:footnote w:id="10801">
    <w:p>
      <w:pPr>
        <w:pStyle w:val="FootnoteText"/>
      </w:pPr>
      <w:r>
        <w:rPr>
          <w:rStyle w:val="FootnoteReference"/>
        </w:rPr>
        <w:footnoteRef/>
      </w:r>
      <w:r>
        <w:t xml:space="preserve"> Cross-references for "Good": 1Sam 18:14-16; Prov 3:4.</w:t>
      </w:r>
    </w:p>
  </w:footnote>
  <w:footnote w:id="10802">
    <w:p>
      <w:pPr>
        <w:pStyle w:val="FootnoteText"/>
      </w:pPr>
      <w:r>
        <w:rPr>
          <w:rStyle w:val="FootnoteReference"/>
        </w:rPr>
        <w:footnoteRef/>
      </w:r>
      <w:r>
        <w:t xml:space="preserve"> Cross-references for "poverty": Prov 5:9-14; Prov 12:1.</w:t>
      </w:r>
    </w:p>
  </w:footnote>
  <w:footnote w:id="10803">
    <w:p>
      <w:pPr>
        <w:pStyle w:val="FootnoteText"/>
      </w:pPr>
      <w:r>
        <w:rPr>
          <w:rStyle w:val="FootnoteReference"/>
        </w:rPr>
        <w:footnoteRef/>
      </w:r>
      <w:r>
        <w:t xml:space="preserve"> Translation note: Article cleanup: English supplies articles and are for readable class-group and predicate syntax.</w:t>
      </w:r>
    </w:p>
  </w:footnote>
  <w:footnote w:id="10804">
    <w:p>
      <w:pPr>
        <w:pStyle w:val="FootnoteText"/>
      </w:pPr>
      <w:r>
        <w:rPr>
          <w:rStyle w:val="FootnoteReference"/>
        </w:rPr>
        <w:footnoteRef/>
      </w:r>
      <w:r>
        <w:t xml:space="preserve"> Cross-references for "righteous": Isa 3:10-11; Rom 2:7-10.</w:t>
      </w:r>
    </w:p>
  </w:footnote>
  <w:footnote w:id="10805">
    <w:p>
      <w:pPr>
        <w:pStyle w:val="FootnoteText"/>
      </w:pPr>
      <w:r>
        <w:rPr>
          <w:rStyle w:val="FootnoteReference"/>
        </w:rPr>
        <w:footnoteRef/>
      </w:r>
      <w:r>
        <w:t xml:space="preserve"> Cross-references for "the wealth": Job 27:16-17; Prov 28:8.</w:t>
      </w:r>
    </w:p>
  </w:footnote>
  <w:footnote w:id="10806">
    <w:p>
      <w:pPr>
        <w:pStyle w:val="FootnoteText"/>
      </w:pPr>
      <w:r>
        <w:rPr>
          <w:rStyle w:val="FootnoteReference"/>
        </w:rPr>
        <w:footnoteRef/>
      </w:r>
      <w:r>
        <w:t xml:space="preserve"> Cross-references for "destroyed": Ps 112:5; Prov 6:6-11.</w:t>
      </w:r>
    </w:p>
  </w:footnote>
  <w:footnote w:id="10807">
    <w:p>
      <w:pPr>
        <w:pStyle w:val="FootnoteText"/>
      </w:pPr>
      <w:r>
        <w:rPr>
          <w:rStyle w:val="FootnoteReference"/>
        </w:rPr>
        <w:footnoteRef/>
      </w:r>
      <w:r>
        <w:t xml:space="preserve"> Cross-references for "righteous": Ps 34:10; Ps 37:3.</w:t>
      </w:r>
    </w:p>
  </w:footnote>
  <w:footnote w:id="10808">
    <w:p>
      <w:pPr>
        <w:pStyle w:val="FootnoteText"/>
      </w:pPr>
      <w:r>
        <w:rPr>
          <w:rStyle w:val="FootnoteReference"/>
        </w:rPr>
        <w:footnoteRef/>
      </w:r>
      <w:r>
        <w:t xml:space="preserve"> Cross-references for "Wise": Ruth 4:11; Prov 24:3-4.</w:t>
      </w:r>
    </w:p>
  </w:footnote>
  <w:footnote w:id="10809">
    <w:p>
      <w:pPr>
        <w:pStyle w:val="FootnoteText"/>
      </w:pPr>
      <w:r>
        <w:rPr>
          <w:rStyle w:val="FootnoteReference"/>
        </w:rPr>
        <w:footnoteRef/>
      </w:r>
      <w:r>
        <w:t xml:space="preserve"> Cross-references for "the mouth": 1Sam 2:3; Job 5:21.</w:t>
      </w:r>
    </w:p>
  </w:footnote>
  <w:footnote w:id="10810">
    <w:p>
      <w:pPr>
        <w:pStyle w:val="FootnoteText"/>
      </w:pPr>
      <w:r>
        <w:rPr>
          <w:rStyle w:val="FootnoteReference"/>
        </w:rPr>
        <w:footnoteRef/>
      </w:r>
      <w:r>
        <w:t xml:space="preserve"> Cross-references for "clean": Amos 4:6.</w:t>
      </w:r>
    </w:p>
  </w:footnote>
  <w:footnote w:id="10811">
    <w:p>
      <w:pPr>
        <w:pStyle w:val="FootnoteText"/>
      </w:pPr>
      <w:r>
        <w:rPr>
          <w:rStyle w:val="FootnoteReference"/>
        </w:rPr>
        <w:footnoteRef/>
      </w:r>
      <w:r>
        <w:t xml:space="preserve"> Cross-references for "wisdom": Ps 111:10; Ps 119:5.</w:t>
      </w:r>
    </w:p>
  </w:footnote>
  <w:footnote w:id="10812">
    <w:p>
      <w:pPr>
        <w:pStyle w:val="FootnoteText"/>
      </w:pPr>
      <w:r>
        <w:rPr>
          <w:rStyle w:val="FootnoteReference"/>
        </w:rPr>
        <w:footnoteRef/>
      </w:r>
      <w:r>
        <w:t xml:space="preserve"> Translation note: Article cleanup: English supplies the before the second houses for readable parallel syntax.</w:t>
      </w:r>
    </w:p>
  </w:footnote>
  <w:footnote w:id="10813">
    <w:p>
      <w:pPr>
        <w:pStyle w:val="FootnoteText"/>
      </w:pPr>
      <w:r>
        <w:rPr>
          <w:rStyle w:val="FootnoteReference"/>
        </w:rPr>
        <w:footnoteRef/>
      </w:r>
      <w:r>
        <w:t xml:space="preserve"> Cross-references for "heart": Prov 15:13; Prov 18:14.</w:t>
      </w:r>
    </w:p>
  </w:footnote>
  <w:footnote w:id="10814">
    <w:p>
      <w:pPr>
        <w:pStyle w:val="FootnoteText"/>
      </w:pPr>
      <w:r>
        <w:rPr>
          <w:rStyle w:val="FootnoteReference"/>
        </w:rPr>
        <w:footnoteRef/>
      </w:r>
      <w:r>
        <w:t xml:space="preserve"> Translation note: Article cleanup: English supplies the before tents for readable parallel syntax.</w:t>
      </w:r>
    </w:p>
  </w:footnote>
  <w:footnote w:id="10815">
    <w:p>
      <w:pPr>
        <w:pStyle w:val="FootnoteText"/>
      </w:pPr>
      <w:r>
        <w:rPr>
          <w:rStyle w:val="FootnoteReference"/>
        </w:rPr>
        <w:footnoteRef/>
      </w:r>
      <w:r>
        <w:t xml:space="preserve"> Cross-references for "filled": Prov 1:31; Prov 12:14.</w:t>
      </w:r>
    </w:p>
  </w:footnote>
  <w:footnote w:id="10816">
    <w:p>
      <w:pPr>
        <w:pStyle w:val="FootnoteText"/>
      </w:pPr>
      <w:r>
        <w:rPr>
          <w:rStyle w:val="FootnoteReference"/>
        </w:rPr>
        <w:footnoteRef/>
      </w:r>
      <w:r>
        <w:t xml:space="preserve"> Cross-references for "inherit": Prov 3:35; Prov 11:29.</w:t>
      </w:r>
    </w:p>
  </w:footnote>
  <w:footnote w:id="10817">
    <w:p>
      <w:pPr>
        <w:pStyle w:val="FootnoteText"/>
      </w:pPr>
      <w:r>
        <w:rPr>
          <w:rStyle w:val="FootnoteReference"/>
        </w:rPr>
        <w:footnoteRef/>
      </w:r>
      <w:r>
        <w:t xml:space="preserve"> Translation note: Article cleanup: English supplies the and at for readable class-group and object syntax.</w:t>
      </w:r>
    </w:p>
  </w:footnote>
  <w:footnote w:id="10818">
    <w:p>
      <w:pPr>
        <w:pStyle w:val="FootnoteText"/>
      </w:pPr>
      <w:r>
        <w:rPr>
          <w:rStyle w:val="FootnoteReference"/>
        </w:rPr>
        <w:footnoteRef/>
      </w:r>
      <w:r>
        <w:t xml:space="preserve"> Cross-references for "poor": Job 6:21-23; Job 19:13-14.</w:t>
      </w:r>
    </w:p>
  </w:footnote>
  <w:footnote w:id="10819">
    <w:p>
      <w:pPr>
        <w:pStyle w:val="FootnoteText"/>
      </w:pPr>
      <w:r>
        <w:rPr>
          <w:rStyle w:val="FootnoteReference"/>
        </w:rPr>
        <w:footnoteRef/>
      </w:r>
      <w:r>
        <w:t xml:space="preserve"> Cross-references for "devise": 2Chr 6:8; Prov 19:22.</w:t>
      </w:r>
    </w:p>
  </w:footnote>
  <w:footnote w:id="10820">
    <w:p>
      <w:pPr>
        <w:pStyle w:val="FootnoteText"/>
      </w:pPr>
      <w:r>
        <w:rPr>
          <w:rStyle w:val="FootnoteReference"/>
        </w:rPr>
        <w:footnoteRef/>
      </w:r>
      <w:r>
        <w:t xml:space="preserve"> Cross-references for "Crown": Ps 112:9; Eccl 7:11-12.</w:t>
      </w:r>
    </w:p>
  </w:footnote>
  <w:footnote w:id="10821">
    <w:p>
      <w:pPr>
        <w:pStyle w:val="FootnoteText"/>
      </w:pPr>
      <w:r>
        <w:rPr>
          <w:rStyle w:val="FootnoteReference"/>
        </w:rPr>
        <w:footnoteRef/>
      </w:r>
      <w:r>
        <w:t xml:space="preserve"> Cross-references for "fear": Gen 31:42; Ps 34:7-11.</w:t>
      </w:r>
    </w:p>
  </w:footnote>
  <w:footnote w:id="10822">
    <w:p>
      <w:pPr>
        <w:pStyle w:val="FootnoteText"/>
      </w:pPr>
      <w:r>
        <w:rPr>
          <w:rStyle w:val="FootnoteReference"/>
        </w:rPr>
        <w:footnoteRef/>
      </w:r>
      <w:r>
        <w:t xml:space="preserve"> Cross-references for "a fountain": Prov 13:14; Isa 33:6.</w:t>
      </w:r>
    </w:p>
  </w:footnote>
  <w:footnote w:id="10823">
    <w:p>
      <w:pPr>
        <w:pStyle w:val="FootnoteText"/>
      </w:pPr>
      <w:r>
        <w:rPr>
          <w:rStyle w:val="FootnoteReference"/>
        </w:rPr>
        <w:footnoteRef/>
      </w:r>
      <w:r>
        <w:t xml:space="preserve"> Cross-references for "rottenness": Prov 3:8; Prov 12:4.</w:t>
      </w:r>
    </w:p>
  </w:footnote>
  <w:footnote w:id="10824">
    <w:p>
      <w:pPr>
        <w:pStyle w:val="FootnoteText"/>
      </w:pPr>
      <w:r>
        <w:rPr>
          <w:rStyle w:val="FootnoteReference"/>
        </w:rPr>
        <w:footnoteRef/>
      </w:r>
      <w:r>
        <w:t xml:space="preserve"> Translation note: Article cleanup: English supplies the and is for readable contrast syntax.</w:t>
      </w:r>
    </w:p>
  </w:footnote>
  <w:footnote w:id="10825">
    <w:p>
      <w:pPr>
        <w:pStyle w:val="FootnoteText"/>
      </w:pPr>
      <w:r>
        <w:rPr>
          <w:rStyle w:val="FootnoteReference"/>
        </w:rPr>
        <w:footnoteRef/>
      </w:r>
      <w:r>
        <w:t xml:space="preserve"> Cross-references for "driven": Job 18:18; Job 27:20-22.</w:t>
      </w:r>
    </w:p>
  </w:footnote>
  <w:footnote w:id="10826">
    <w:p>
      <w:pPr>
        <w:pStyle w:val="FootnoteText"/>
      </w:pPr>
      <w:r>
        <w:rPr>
          <w:rStyle w:val="FootnoteReference"/>
        </w:rPr>
        <w:footnoteRef/>
      </w:r>
      <w:r>
        <w:t xml:space="preserve"> Cross-references for "Righteousness": Deut 4:6-8; Deut 28:1-14.</w:t>
      </w:r>
    </w:p>
  </w:footnote>
  <w:footnote w:id="10827">
    <w:p>
      <w:pPr>
        <w:pStyle w:val="FootnoteText"/>
      </w:pPr>
      <w:r>
        <w:rPr>
          <w:rStyle w:val="FootnoteReference"/>
        </w:rPr>
        <w:footnoteRef/>
      </w:r>
      <w:r>
        <w:t xml:space="preserve"> Cross-references for "grievous": Judg 12:3-6; 1Sam 25:10-11.</w:t>
      </w:r>
    </w:p>
  </w:footnote>
  <w:footnote w:id="10828">
    <w:p>
      <w:pPr>
        <w:pStyle w:val="FootnoteText"/>
      </w:pPr>
      <w:r>
        <w:rPr>
          <w:rStyle w:val="FootnoteReference"/>
        </w:rPr>
        <w:footnoteRef/>
      </w:r>
      <w:r>
        <w:t xml:space="preserve"> Cross-references for "tongue": Ps 45:1; Prov 12:23.</w:t>
      </w:r>
    </w:p>
  </w:footnote>
  <w:footnote w:id="10829">
    <w:p>
      <w:pPr>
        <w:pStyle w:val="FootnoteText"/>
      </w:pPr>
      <w:r>
        <w:rPr>
          <w:rStyle w:val="FootnoteReference"/>
        </w:rPr>
        <w:footnoteRef/>
      </w:r>
      <w:r>
        <w:t xml:space="preserve"> Cross-references for "a tree": Gen 3:22-24; Prov 3:18.</w:t>
      </w:r>
    </w:p>
  </w:footnote>
  <w:footnote w:id="10830">
    <w:p>
      <w:pPr>
        <w:pStyle w:val="FootnoteText"/>
      </w:pPr>
      <w:r>
        <w:rPr>
          <w:rStyle w:val="FootnoteReference"/>
        </w:rPr>
        <w:footnoteRef/>
      </w:r>
      <w:r>
        <w:t xml:space="preserve"> Cross-references for "fool": 1Sam 2:23-25; 2Sam 15:1-6.</w:t>
      </w:r>
    </w:p>
  </w:footnote>
  <w:footnote w:id="10831">
    <w:p>
      <w:pPr>
        <w:pStyle w:val="FootnoteText"/>
      </w:pPr>
      <w:r>
        <w:rPr>
          <w:rStyle w:val="FootnoteReference"/>
        </w:rPr>
        <w:footnoteRef/>
      </w:r>
      <w:r>
        <w:t xml:space="preserve"> Cross-references for "lips": Ps 37:30; Ps 45:2.</w:t>
      </w:r>
    </w:p>
  </w:footnote>
  <w:footnote w:id="10832">
    <w:p>
      <w:pPr>
        <w:pStyle w:val="FootnoteText"/>
      </w:pPr>
      <w:r>
        <w:rPr>
          <w:rStyle w:val="FootnoteReference"/>
        </w:rPr>
        <w:footnoteRef/>
      </w:r>
      <w:r>
        <w:t xml:space="preserve"> Translation note: Syntax cleanup: English reorders the second clause for readable object syntax.</w:t>
      </w:r>
    </w:p>
  </w:footnote>
  <w:footnote w:id="10833">
    <w:p>
      <w:pPr>
        <w:pStyle w:val="FootnoteText"/>
      </w:pPr>
      <w:r>
        <w:rPr>
          <w:rStyle w:val="FootnoteReference"/>
        </w:rPr>
        <w:footnoteRef/>
      </w:r>
      <w:r>
        <w:t xml:space="preserve"> Cross-references for "heart": Prov 1:5; Prov 9:9.</w:t>
      </w:r>
    </w:p>
  </w:footnote>
  <w:footnote w:id="10834">
    <w:p>
      <w:pPr>
        <w:pStyle w:val="FootnoteText"/>
      </w:pPr>
      <w:r>
        <w:rPr>
          <w:rStyle w:val="FootnoteReference"/>
        </w:rPr>
        <w:footnoteRef/>
      </w:r>
      <w:r>
        <w:t xml:space="preserve"> Cross-references for "little": Ps 37:16; Prov 16:8.</w:t>
      </w:r>
    </w:p>
  </w:footnote>
  <w:footnote w:id="10835">
    <w:p>
      <w:pPr>
        <w:pStyle w:val="FootnoteText"/>
      </w:pPr>
      <w:r>
        <w:rPr>
          <w:rStyle w:val="FootnoteReference"/>
        </w:rPr>
        <w:footnoteRef/>
      </w:r>
      <w:r>
        <w:t xml:space="preserve"> Cross-references for "wise": 1Kgs 1:48; 1Kgs 2:9.</w:t>
      </w:r>
    </w:p>
  </w:footnote>
  <w:footnote w:id="10836">
    <w:p>
      <w:pPr>
        <w:pStyle w:val="FootnoteText"/>
      </w:pPr>
      <w:r>
        <w:rPr>
          <w:rStyle w:val="FootnoteReference"/>
        </w:rPr>
        <w:footnoteRef/>
      </w:r>
      <w:r>
        <w:t xml:space="preserve"> Cross-references for "the mouth": Prov 10:19; Prov 13:16.</w:t>
      </w:r>
    </w:p>
  </w:footnote>
  <w:footnote w:id="10837">
    <w:p>
      <w:pPr>
        <w:pStyle w:val="FootnoteText"/>
      </w:pPr>
      <w:r>
        <w:rPr>
          <w:rStyle w:val="FootnoteReference"/>
        </w:rPr>
        <w:footnoteRef/>
      </w:r>
      <w:r>
        <w:t xml:space="preserve"> Translation note: The Greek uses a direct righteous-prayer formula. The current wording keeps that line explicit.</w:t>
      </w:r>
    </w:p>
  </w:footnote>
  <w:footnote w:id="10838">
    <w:p>
      <w:pPr>
        <w:pStyle w:val="FootnoteText"/>
      </w:pPr>
      <w:r>
        <w:rPr>
          <w:rStyle w:val="FootnoteReference"/>
        </w:rPr>
        <w:footnoteRef/>
      </w:r>
      <w:r>
        <w:t xml:space="preserve"> Cross-references for "fear": Job 28:28; Ps 34:11.</w:t>
      </w:r>
    </w:p>
  </w:footnote>
  <w:footnote w:id="10839">
    <w:p>
      <w:pPr>
        <w:pStyle w:val="FootnoteText"/>
      </w:pPr>
      <w:r>
        <w:rPr>
          <w:rStyle w:val="FootnoteReference"/>
        </w:rPr>
        <w:footnoteRef/>
      </w:r>
      <w:r>
        <w:t xml:space="preserve"> Cross-references for "unpunished": Exod 20:7; Isa 3:11.</w:t>
      </w:r>
    </w:p>
  </w:footnote>
  <w:footnote w:id="10840">
    <w:p>
      <w:pPr>
        <w:pStyle w:val="FootnoteText"/>
      </w:pPr>
      <w:r>
        <w:rPr>
          <w:rStyle w:val="FootnoteReference"/>
        </w:rPr>
        <w:footnoteRef/>
      </w:r>
      <w:r>
        <w:t xml:space="preserve"> Cross-references for "wrath": Prov 19:12; Prov 20:2.</w:t>
      </w:r>
    </w:p>
  </w:footnote>
  <w:footnote w:id="10841">
    <w:p>
      <w:pPr>
        <w:pStyle w:val="FootnoteText"/>
      </w:pPr>
      <w:r>
        <w:rPr>
          <w:rStyle w:val="FootnoteReference"/>
        </w:rPr>
        <w:footnoteRef/>
      </w:r>
      <w:r>
        <w:t xml:space="preserve"> Cross-references for "the light": Job 29:23-24; Ps 4:6.</w:t>
      </w:r>
    </w:p>
  </w:footnote>
  <w:footnote w:id="10842">
    <w:p>
      <w:pPr>
        <w:pStyle w:val="FootnoteText"/>
      </w:pPr>
      <w:r>
        <w:rPr>
          <w:rStyle w:val="FootnoteReference"/>
        </w:rPr>
        <w:footnoteRef/>
      </w:r>
      <w:r>
        <w:t xml:space="preserve"> Cross-references for "than": Exod 15:9; Isa 9:3.</w:t>
      </w:r>
    </w:p>
  </w:footnote>
  <w:footnote w:id="10843">
    <w:p>
      <w:pPr>
        <w:pStyle w:val="FootnoteText"/>
      </w:pPr>
      <w:r>
        <w:rPr>
          <w:rStyle w:val="FootnoteReference"/>
        </w:rPr>
        <w:footnoteRef/>
      </w:r>
      <w:r>
        <w:t xml:space="preserve"> Cross-references for "wise": 1Kgs 3:12; Prov 10:8.</w:t>
      </w:r>
    </w:p>
  </w:footnote>
  <w:footnote w:id="10844">
    <w:p>
      <w:pPr>
        <w:pStyle w:val="FootnoteText"/>
      </w:pPr>
      <w:r>
        <w:rPr>
          <w:rStyle w:val="FootnoteReference"/>
        </w:rPr>
        <w:footnoteRef/>
      </w:r>
      <w:r>
        <w:t xml:space="preserve"> Cross-references for "heart": Prov 15:28; Prov 22:17-18.</w:t>
      </w:r>
    </w:p>
  </w:footnote>
  <w:footnote w:id="10845">
    <w:p>
      <w:pPr>
        <w:pStyle w:val="FootnoteText"/>
      </w:pPr>
      <w:r>
        <w:rPr>
          <w:rStyle w:val="FootnoteReference"/>
        </w:rPr>
        <w:footnoteRef/>
      </w:r>
      <w:r>
        <w:t xml:space="preserve"> Translation note: Greek has a contrastive singular righteous subject. English supplies a for readable idiom.</w:t>
      </w:r>
    </w:p>
  </w:footnote>
  <w:footnote w:id="10846">
    <w:p>
      <w:pPr>
        <w:pStyle w:val="FootnoteText"/>
      </w:pPr>
      <w:r>
        <w:rPr>
          <w:rStyle w:val="FootnoteReference"/>
        </w:rPr>
        <w:footnoteRef/>
      </w:r>
      <w:r>
        <w:t xml:space="preserve"> Cross-references for "unpunished": Prov 16:5.</w:t>
      </w:r>
    </w:p>
  </w:footnote>
  <w:footnote w:id="10847">
    <w:p>
      <w:pPr>
        <w:pStyle w:val="FootnoteText"/>
      </w:pPr>
      <w:r>
        <w:rPr>
          <w:rStyle w:val="FootnoteReference"/>
        </w:rPr>
        <w:footnoteRef/>
      </w:r>
      <w:r>
        <w:t xml:space="preserve"> Cross-references for "children's": Gen 50:23; Job 42:16-17.</w:t>
      </w:r>
    </w:p>
  </w:footnote>
  <w:footnote w:id="10848">
    <w:p>
      <w:pPr>
        <w:pStyle w:val="FootnoteText"/>
      </w:pPr>
      <w:r>
        <w:rPr>
          <w:rStyle w:val="FootnoteReference"/>
        </w:rPr>
        <w:footnoteRef/>
      </w:r>
      <w:r>
        <w:t xml:space="preserve"> Translation note: Greek has a singular righteous phrase. English supplies a for readable idiom.</w:t>
      </w:r>
    </w:p>
  </w:footnote>
  <w:footnote w:id="10849">
    <w:p>
      <w:pPr>
        <w:pStyle w:val="FootnoteText"/>
      </w:pPr>
      <w:r>
        <w:rPr>
          <w:rStyle w:val="FootnoteReference"/>
        </w:rPr>
        <w:footnoteRef/>
      </w:r>
      <w:r>
        <w:t xml:space="preserve"> Cross-references for "lying lips": Prov 12:19.</w:t>
      </w:r>
    </w:p>
  </w:footnote>
  <w:footnote w:id="10850">
    <w:p>
      <w:pPr>
        <w:pStyle w:val="FootnoteText"/>
      </w:pPr>
      <w:r>
        <w:rPr>
          <w:rStyle w:val="FootnoteReference"/>
        </w:rPr>
        <w:footnoteRef/>
      </w:r>
      <w:r>
        <w:t xml:space="preserve"> Cross-references for "beginning": Prov 17:19; Prov 26:21.</w:t>
      </w:r>
    </w:p>
  </w:footnote>
  <w:footnote w:id="10851">
    <w:p>
      <w:pPr>
        <w:pStyle w:val="FootnoteText"/>
      </w:pPr>
      <w:r>
        <w:rPr>
          <w:rStyle w:val="FootnoteReference"/>
        </w:rPr>
        <w:footnoteRef/>
      </w:r>
      <w:r>
        <w:t xml:space="preserve"> Translation note: Article cleanup: English supplies the for the paired class-group objects.</w:t>
      </w:r>
    </w:p>
  </w:footnote>
  <w:footnote w:id="10852">
    <w:p>
      <w:pPr>
        <w:pStyle w:val="FootnoteText"/>
      </w:pPr>
      <w:r>
        <w:rPr>
          <w:rStyle w:val="FootnoteReference"/>
        </w:rPr>
        <w:footnoteRef/>
      </w:r>
      <w:r>
        <w:t xml:space="preserve"> Cross-references for "the eyes": Ps 119:37; Prov 23:5.</w:t>
      </w:r>
    </w:p>
  </w:footnote>
  <w:footnote w:id="10853">
    <w:p>
      <w:pPr>
        <w:pStyle w:val="FootnoteText"/>
      </w:pPr>
      <w:r>
        <w:rPr>
          <w:rStyle w:val="FootnoteReference"/>
        </w:rPr>
        <w:footnoteRef/>
      </w:r>
      <w:r>
        <w:t xml:space="preserve"> Translation note: Greek has a singular righteous-man object. English supplies a and is for readable English syntax.</w:t>
      </w:r>
    </w:p>
  </w:footnote>
  <w:footnote w:id="10854">
    <w:p>
      <w:pPr>
        <w:pStyle w:val="FootnoteText"/>
      </w:pPr>
      <w:r>
        <w:rPr>
          <w:rStyle w:val="FootnoteReference"/>
        </w:rPr>
        <w:footnoteRef/>
      </w:r>
      <w:r>
        <w:t xml:space="preserve"> Translation note: Logos export confirms the face idiom and the judgment clause; the fresh wording uses clear English for partiality and justice.</w:t>
      </w:r>
    </w:p>
  </w:footnote>
  <w:footnote w:id="10855">
    <w:p>
      <w:pPr>
        <w:pStyle w:val="FootnoteText"/>
      </w:pPr>
      <w:r>
        <w:rPr>
          <w:rStyle w:val="FootnoteReference"/>
        </w:rPr>
        <w:footnoteRef/>
      </w:r>
      <w:r>
        <w:t xml:space="preserve"> Cross-references for "his lips": Judg 11:35; 1Sam 14:24-46.</w:t>
      </w:r>
    </w:p>
  </w:footnote>
  <w:footnote w:id="10856">
    <w:p>
      <w:pPr>
        <w:pStyle w:val="FootnoteText"/>
      </w:pPr>
      <w:r>
        <w:rPr>
          <w:rStyle w:val="FootnoteReference"/>
        </w:rPr>
        <w:footnoteRef/>
      </w:r>
      <w:r>
        <w:t xml:space="preserve"> Cross-references for "is brother": Job 30:29; Prov 28:24.</w:t>
      </w:r>
    </w:p>
  </w:footnote>
  <w:footnote w:id="10857">
    <w:p>
      <w:pPr>
        <w:pStyle w:val="FootnoteText"/>
      </w:pPr>
      <w:r>
        <w:rPr>
          <w:rStyle w:val="FootnoteReference"/>
        </w:rPr>
        <w:footnoteRef/>
      </w:r>
      <w:r>
        <w:t xml:space="preserve"> Translation note: Brenton differs slightly. The translation follows the Greek name-of-the-Lord strength line with repaired English syntax.</w:t>
      </w:r>
    </w:p>
  </w:footnote>
  <w:footnote w:id="10858">
    <w:p>
      <w:pPr>
        <w:pStyle w:val="FootnoteText"/>
      </w:pPr>
      <w:r>
        <w:rPr>
          <w:rStyle w:val="FootnoteReference"/>
        </w:rPr>
        <w:footnoteRef/>
      </w:r>
      <w:r>
        <w:t xml:space="preserve"> Cross-references for "Brother": Gen 4:5-8; Gen 27:41-45.</w:t>
      </w:r>
    </w:p>
  </w:footnote>
  <w:footnote w:id="10859">
    <w:p>
      <w:pPr>
        <w:pStyle w:val="FootnoteText"/>
      </w:pPr>
      <w:r>
        <w:rPr>
          <w:rStyle w:val="FootnoteReference"/>
        </w:rPr>
        <w:footnoteRef/>
      </w:r>
      <w:r>
        <w:t xml:space="preserve"> Cross-references for "Death": Prov 10:20-21; Prov 10:31.</w:t>
      </w:r>
    </w:p>
  </w:footnote>
  <w:footnote w:id="10860">
    <w:p>
      <w:pPr>
        <w:pStyle w:val="FootnoteText"/>
      </w:pPr>
      <w:r>
        <w:rPr>
          <w:rStyle w:val="FootnoteReference"/>
        </w:rPr>
        <w:footnoteRef/>
      </w:r>
      <w:r>
        <w:t xml:space="preserve"> Cross-references for "the poor": Job 6:15-23; Job 19:13-17.</w:t>
      </w:r>
    </w:p>
  </w:footnote>
  <w:footnote w:id="10861">
    <w:p>
      <w:pPr>
        <w:pStyle w:val="FootnoteText"/>
      </w:pPr>
      <w:r>
        <w:rPr>
          <w:rStyle w:val="FootnoteReference"/>
        </w:rPr>
        <w:footnoteRef/>
      </w:r>
      <w:r>
        <w:t xml:space="preserve"> Translation note: Greek has articular poor-man and existing-friend phrases. English supplies the.</w:t>
      </w:r>
    </w:p>
  </w:footnote>
  <w:footnote w:id="10862">
    <w:p>
      <w:pPr>
        <w:pStyle w:val="FootnoteText"/>
      </w:pPr>
      <w:r>
        <w:rPr>
          <w:rStyle w:val="FootnoteReference"/>
        </w:rPr>
        <w:footnoteRef/>
      </w:r>
      <w:r>
        <w:t xml:space="preserve"> Cross-references for "False": Exod 23:1; Deut 19:16-21.</w:t>
      </w:r>
    </w:p>
  </w:footnote>
  <w:footnote w:id="10863">
    <w:p>
      <w:pPr>
        <w:pStyle w:val="FootnoteText"/>
      </w:pPr>
      <w:r>
        <w:rPr>
          <w:rStyle w:val="FootnoteReference"/>
        </w:rPr>
        <w:footnoteRef/>
      </w:r>
      <w:r>
        <w:t xml:space="preserve"> Cross-references for "False": Prov 19:5.</w:t>
      </w:r>
    </w:p>
  </w:footnote>
  <w:footnote w:id="10864">
    <w:p>
      <w:pPr>
        <w:pStyle w:val="FootnoteText"/>
      </w:pPr>
      <w:r>
        <w:rPr>
          <w:rStyle w:val="FootnoteReference"/>
        </w:rPr>
        <w:footnoteRef/>
      </w:r>
      <w:r>
        <w:t xml:space="preserve"> Cross-references for "Foolish": Prov 10:1; Prov 15:20.</w:t>
      </w:r>
    </w:p>
  </w:footnote>
  <w:footnote w:id="10865">
    <w:p>
      <w:pPr>
        <w:pStyle w:val="FootnoteText"/>
      </w:pPr>
      <w:r>
        <w:rPr>
          <w:rStyle w:val="FootnoteReference"/>
        </w:rPr>
        <w:footnoteRef/>
      </w:r>
      <w:r>
        <w:t xml:space="preserve"> Cross-references for "fear": Ps 19:9; Ps 33:18-19.</w:t>
      </w:r>
    </w:p>
  </w:footnote>
  <w:footnote w:id="10866">
    <w:p>
      <w:pPr>
        <w:pStyle w:val="FootnoteText"/>
      </w:pPr>
      <w:r>
        <w:rPr>
          <w:rStyle w:val="FootnoteReference"/>
        </w:rPr>
        <w:footnoteRef/>
      </w:r>
      <w:r>
        <w:t xml:space="preserve"> Cross-references for "sluggard": Prov 10:4; Prov 19:15.</w:t>
      </w:r>
    </w:p>
  </w:footnote>
  <w:footnote w:id="10867">
    <w:p>
      <w:pPr>
        <w:pStyle w:val="FootnoteText"/>
      </w:pPr>
      <w:r>
        <w:rPr>
          <w:rStyle w:val="FootnoteReference"/>
        </w:rPr>
        <w:footnoteRef/>
      </w:r>
      <w:r>
        <w:t xml:space="preserve"> Cross-references for "his children": Gen 17:7; Ps 37:26.</w:t>
      </w:r>
    </w:p>
  </w:footnote>
  <w:footnote w:id="10868">
    <w:p>
      <w:pPr>
        <w:pStyle w:val="FootnoteText"/>
      </w:pPr>
      <w:r>
        <w:rPr>
          <w:rStyle w:val="FootnoteReference"/>
        </w:rPr>
        <w:footnoteRef/>
      </w:r>
      <w:r>
        <w:t xml:space="preserve"> Cross-references for "both": Lev 19:35; Deut 25:13-15.</w:t>
      </w:r>
    </w:p>
  </w:footnote>
  <w:footnote w:id="10869">
    <w:p>
      <w:pPr>
        <w:pStyle w:val="FootnoteText"/>
      </w:pPr>
      <w:r>
        <w:rPr>
          <w:rStyle w:val="FootnoteReference"/>
        </w:rPr>
        <w:footnoteRef/>
      </w:r>
      <w:r>
        <w:t xml:space="preserve"> Cross-references for "love": Prov 6:9-11; Prov 10:4.</w:t>
      </w:r>
    </w:p>
  </w:footnote>
  <w:footnote w:id="10870">
    <w:p>
      <w:pPr>
        <w:pStyle w:val="FootnoteText"/>
      </w:pPr>
      <w:r>
        <w:rPr>
          <w:rStyle w:val="FootnoteReference"/>
        </w:rPr>
        <w:footnoteRef/>
      </w:r>
      <w:r>
        <w:t xml:space="preserve"> MT/LXX note: MT Proverbs 20:14-22 is not present at this LXX-numbered point in the Greek source used here. This edition resumes with the double-weight saying.</w:t>
      </w:r>
    </w:p>
  </w:footnote>
  <w:footnote w:id="10871">
    <w:p>
      <w:pPr>
        <w:pStyle w:val="FootnoteText"/>
      </w:pPr>
      <w:r>
        <w:rPr>
          <w:rStyle w:val="FootnoteReference"/>
        </w:rPr>
        <w:footnoteRef/>
      </w:r>
      <w:r>
        <w:t xml:space="preserve"> Cross-references for "wise": 2Sam 4:9-12; Ps 101:5-8.</w:t>
      </w:r>
    </w:p>
  </w:footnote>
  <w:footnote w:id="10872">
    <w:p>
      <w:pPr>
        <w:pStyle w:val="FootnoteText"/>
      </w:pPr>
      <w:r>
        <w:rPr>
          <w:rStyle w:val="FootnoteReference"/>
        </w:rPr>
        <w:footnoteRef/>
      </w:r>
      <w:r>
        <w:t xml:space="preserve"> Cross-references for "searching": Prov 20:30; Heb 4:12-13.</w:t>
      </w:r>
    </w:p>
  </w:footnote>
  <w:footnote w:id="10873">
    <w:p>
      <w:pPr>
        <w:pStyle w:val="FootnoteText"/>
      </w:pPr>
      <w:r>
        <w:rPr>
          <w:rStyle w:val="FootnoteReference"/>
        </w:rPr>
        <w:footnoteRef/>
      </w:r>
      <w:r>
        <w:t xml:space="preserve"> Cross-references for "Mercy": Prov 16:6.</w:t>
      </w:r>
    </w:p>
  </w:footnote>
  <w:footnote w:id="10874">
    <w:p>
      <w:pPr>
        <w:pStyle w:val="FootnoteText"/>
      </w:pPr>
      <w:r>
        <w:rPr>
          <w:rStyle w:val="FootnoteReference"/>
        </w:rPr>
        <w:footnoteRef/>
      </w:r>
      <w:r>
        <w:t xml:space="preserve"> Cross-references for "glory": Jer 9:23-24; 1John 2:14.</w:t>
      </w:r>
    </w:p>
  </w:footnote>
  <w:footnote w:id="10875">
    <w:p>
      <w:pPr>
        <w:pStyle w:val="FootnoteText"/>
      </w:pPr>
      <w:r>
        <w:rPr>
          <w:rStyle w:val="FootnoteReference"/>
        </w:rPr>
        <w:footnoteRef/>
      </w:r>
      <w:r>
        <w:t xml:space="preserve"> Cross-references for "the Lord": 1Sam 16:7; Prov 24:12.</w:t>
      </w:r>
    </w:p>
  </w:footnote>
  <w:footnote w:id="10876">
    <w:p>
      <w:pPr>
        <w:pStyle w:val="FootnoteText"/>
      </w:pPr>
      <w:r>
        <w:rPr>
          <w:rStyle w:val="FootnoteReference"/>
        </w:rPr>
        <w:footnoteRef/>
      </w:r>
      <w:r>
        <w:t xml:space="preserve"> Translation note: Article cleanup: English supplies the for the lamp and ungodly class-group phrase.</w:t>
      </w:r>
    </w:p>
  </w:footnote>
  <w:footnote w:id="10877">
    <w:p>
      <w:pPr>
        <w:pStyle w:val="FootnoteText"/>
      </w:pPr>
      <w:r>
        <w:rPr>
          <w:rStyle w:val="FootnoteReference"/>
        </w:rPr>
        <w:footnoteRef/>
      </w:r>
      <w:r>
        <w:t xml:space="preserve"> Cross-references for "Better": Prov 12:4; Prov 19:13.</w:t>
      </w:r>
    </w:p>
  </w:footnote>
  <w:footnote w:id="10878">
    <w:p>
      <w:pPr>
        <w:pStyle w:val="FootnoteText"/>
      </w:pPr>
      <w:r>
        <w:rPr>
          <w:rStyle w:val="FootnoteReference"/>
        </w:rPr>
        <w:footnoteRef/>
      </w:r>
      <w:r>
        <w:t xml:space="preserve"> Cross-references for "soul": Prov 3:29; Prov 12:12.</w:t>
      </w:r>
    </w:p>
  </w:footnote>
  <w:footnote w:id="10879">
    <w:p>
      <w:pPr>
        <w:pStyle w:val="FootnoteText"/>
      </w:pPr>
      <w:r>
        <w:rPr>
          <w:rStyle w:val="FootnoteReference"/>
        </w:rPr>
        <w:footnoteRef/>
      </w:r>
      <w:r>
        <w:t xml:space="preserve"> Cross-references for "gift": Gen 32:20; Gen 43:11.</w:t>
      </w:r>
    </w:p>
  </w:footnote>
  <w:footnote w:id="10880">
    <w:p>
      <w:pPr>
        <w:pStyle w:val="FootnoteText"/>
      </w:pPr>
      <w:r>
        <w:rPr>
          <w:rStyle w:val="FootnoteReference"/>
        </w:rPr>
        <w:footnoteRef/>
      </w:r>
      <w:r>
        <w:t xml:space="preserve"> Translation note: Article cleanup: English supplies a and is for readable singular predicate syntax.</w:t>
      </w:r>
    </w:p>
  </w:footnote>
  <w:footnote w:id="10881">
    <w:p>
      <w:pPr>
        <w:pStyle w:val="FootnoteText"/>
      </w:pPr>
      <w:r>
        <w:rPr>
          <w:rStyle w:val="FootnoteReference"/>
        </w:rPr>
        <w:footnoteRef/>
      </w:r>
      <w:r>
        <w:t xml:space="preserve"> Cross-references for "Better": Ps 55:6-7; Ps 120:5-6.</w:t>
      </w:r>
    </w:p>
  </w:footnote>
  <w:footnote w:id="10882">
    <w:p>
      <w:pPr>
        <w:pStyle w:val="FootnoteText"/>
      </w:pPr>
      <w:r>
        <w:rPr>
          <w:rStyle w:val="FootnoteReference"/>
        </w:rPr>
        <w:footnoteRef/>
      </w:r>
      <w:r>
        <w:t xml:space="preserve"> Cross-references for "treasure": Ps 112:3; Prov 10:22.</w:t>
      </w:r>
    </w:p>
  </w:footnote>
  <w:footnote w:id="10883">
    <w:p>
      <w:pPr>
        <w:pStyle w:val="FootnoteText"/>
      </w:pPr>
      <w:r>
        <w:rPr>
          <w:rStyle w:val="FootnoteReference"/>
        </w:rPr>
        <w:footnoteRef/>
      </w:r>
      <w:r>
        <w:t xml:space="preserve"> Translation note: Article cleanup: English supplies a for readable singular lawless-one idiom.</w:t>
      </w:r>
    </w:p>
  </w:footnote>
  <w:footnote w:id="10884">
    <w:p>
      <w:pPr>
        <w:pStyle w:val="FootnoteText"/>
      </w:pPr>
      <w:r>
        <w:rPr>
          <w:rStyle w:val="FootnoteReference"/>
        </w:rPr>
        <w:footnoteRef/>
      </w:r>
      <w:r>
        <w:t xml:space="preserve"> Cross-references for "False witness": Exod 23:1; Deut 19:16-19.</w:t>
      </w:r>
    </w:p>
  </w:footnote>
  <w:footnote w:id="10885">
    <w:p>
      <w:pPr>
        <w:pStyle w:val="FootnoteText"/>
      </w:pPr>
      <w:r>
        <w:rPr>
          <w:rStyle w:val="FootnoteReference"/>
        </w:rPr>
        <w:footnoteRef/>
      </w:r>
      <w:r>
        <w:t xml:space="preserve"> Translation note: Greek contrasts an ungodly man with an articular upright-man phrase. English supplies the in the second clause.</w:t>
      </w:r>
    </w:p>
  </w:footnote>
  <w:footnote w:id="10886">
    <w:p>
      <w:pPr>
        <w:pStyle w:val="FootnoteText"/>
      </w:pPr>
      <w:r>
        <w:rPr>
          <w:rStyle w:val="FootnoteReference"/>
        </w:rPr>
        <w:footnoteRef/>
      </w:r>
      <w:r>
        <w:t xml:space="preserve"> Translation note: Greek has an articular ungodly-man phrase. English supplies the.</w:t>
      </w:r>
    </w:p>
  </w:footnote>
  <w:footnote w:id="10887">
    <w:p>
      <w:pPr>
        <w:pStyle w:val="FootnoteText"/>
      </w:pPr>
      <w:r>
        <w:rPr>
          <w:rStyle w:val="FootnoteReference"/>
        </w:rPr>
        <w:footnoteRef/>
      </w:r>
      <w:r>
        <w:t xml:space="preserve"> Cross-references for "Horse": Ps 20:7; Ps 33:17-18.</w:t>
      </w:r>
    </w:p>
  </w:footnote>
  <w:footnote w:id="10888">
    <w:p>
      <w:pPr>
        <w:pStyle w:val="FootnoteText"/>
      </w:pPr>
      <w:r>
        <w:rPr>
          <w:rStyle w:val="FootnoteReference"/>
        </w:rPr>
        <w:footnoteRef/>
      </w:r>
      <w:r>
        <w:t xml:space="preserve"> Cross-references for "Rich": 1Sam 2:7; Ps 49:1-2.</w:t>
      </w:r>
    </w:p>
  </w:footnote>
  <w:footnote w:id="10889">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0890">
    <w:p>
      <w:pPr>
        <w:pStyle w:val="FootnoteText"/>
      </w:pPr>
      <w:r>
        <w:rPr>
          <w:rStyle w:val="FootnoteReference"/>
        </w:rPr>
        <w:footnoteRef/>
      </w:r>
      <w:r>
        <w:t xml:space="preserve"> Cross-references for "Thorns": Josh 23:13; Job 18:8.</w:t>
      </w:r>
    </w:p>
  </w:footnote>
  <w:footnote w:id="10891">
    <w:p>
      <w:pPr>
        <w:pStyle w:val="FootnoteText"/>
      </w:pPr>
      <w:r>
        <w:rPr>
          <w:rStyle w:val="FootnoteReference"/>
        </w:rPr>
        <w:footnoteRef/>
      </w:r>
      <w:r>
        <w:t xml:space="preserve"> Cross-references for "Rich": Prov 14:31; Prov 18:23.</w:t>
      </w:r>
    </w:p>
  </w:footnote>
  <w:footnote w:id="10892">
    <w:p>
      <w:pPr>
        <w:pStyle w:val="FootnoteText"/>
      </w:pPr>
      <w:r>
        <w:rPr>
          <w:rStyle w:val="FootnoteReference"/>
        </w:rPr>
        <w:footnoteRef/>
      </w:r>
      <w:r>
        <w:t xml:space="preserve"> Cross-references for "eyes": 2Chr 16:9; Isa 59:19-21.</w:t>
      </w:r>
    </w:p>
  </w:footnote>
  <w:footnote w:id="10893">
    <w:p>
      <w:pPr>
        <w:pStyle w:val="FootnoteText"/>
      </w:pPr>
      <w:r>
        <w:rPr>
          <w:rStyle w:val="FootnoteReference"/>
        </w:rPr>
        <w:footnoteRef/>
      </w:r>
      <w:r>
        <w:t xml:space="preserve"> Cross-references for "mouth": Prov 2:16-19; Prov 5:3-23.</w:t>
      </w:r>
    </w:p>
  </w:footnote>
  <w:footnote w:id="10894">
    <w:p>
      <w:pPr>
        <w:pStyle w:val="FootnoteText"/>
      </w:pPr>
      <w:r>
        <w:rPr>
          <w:rStyle w:val="FootnoteReference"/>
        </w:rPr>
        <w:footnoteRef/>
      </w:r>
      <w:r>
        <w:t xml:space="preserve"> Translation note: Article cleanup: English supplies articles for readable predicate and way-object syntax.</w:t>
      </w:r>
    </w:p>
  </w:footnote>
  <w:footnote w:id="10895">
    <w:p>
      <w:pPr>
        <w:pStyle w:val="FootnoteText"/>
      </w:pPr>
      <w:r>
        <w:rPr>
          <w:rStyle w:val="FootnoteReference"/>
        </w:rPr>
        <w:footnoteRef/>
      </w:r>
      <w:r>
        <w:t xml:space="preserve"> Cross-references for "and hear": Prov 1:3; Prov 3:1.</w:t>
      </w:r>
    </w:p>
  </w:footnote>
  <w:footnote w:id="10896">
    <w:p>
      <w:pPr>
        <w:pStyle w:val="FootnoteText"/>
      </w:pPr>
      <w:r>
        <w:rPr>
          <w:rStyle w:val="FootnoteReference"/>
        </w:rPr>
        <w:footnoteRef/>
      </w:r>
      <w:r>
        <w:t xml:space="preserve"> Cross-references for "the Lord": 1Sam 24:12; 1Sam 24:15.</w:t>
      </w:r>
    </w:p>
  </w:footnote>
  <w:footnote w:id="10897">
    <w:p>
      <w:pPr>
        <w:pStyle w:val="FootnoteText"/>
      </w:pPr>
      <w:r>
        <w:rPr>
          <w:rStyle w:val="FootnoteReference"/>
        </w:rPr>
        <w:footnoteRef/>
      </w:r>
      <w:r>
        <w:t xml:space="preserve"> Cross-references for "desire": Ps 141:4; Prov 23:3.</w:t>
      </w:r>
    </w:p>
  </w:footnote>
  <w:footnote w:id="10898">
    <w:p>
      <w:pPr>
        <w:pStyle w:val="FootnoteText"/>
      </w:pPr>
      <w:r>
        <w:rPr>
          <w:rStyle w:val="FootnoteReference"/>
        </w:rPr>
        <w:footnoteRef/>
      </w:r>
      <w:r>
        <w:t xml:space="preserve"> Cross-references for "Speak": Prov 9:7-8; Prov 26:4-5.</w:t>
      </w:r>
    </w:p>
  </w:footnote>
  <w:footnote w:id="10899">
    <w:p>
      <w:pPr>
        <w:pStyle w:val="FootnoteText"/>
      </w:pPr>
      <w:r>
        <w:rPr>
          <w:rStyle w:val="FootnoteReference"/>
        </w:rPr>
        <w:footnoteRef/>
      </w:r>
      <w:r>
        <w:t xml:space="preserve"> Cross-references for "despise": Lev 19:3; Prov 30:11.</w:t>
      </w:r>
    </w:p>
  </w:footnote>
  <w:footnote w:id="10900">
    <w:p>
      <w:pPr>
        <w:pStyle w:val="FootnoteText"/>
      </w:pPr>
      <w:r>
        <w:rPr>
          <w:rStyle w:val="FootnoteReference"/>
        </w:rPr>
        <w:footnoteRef/>
      </w:r>
      <w:r>
        <w:t xml:space="preserve"> Cross-references for "father": 1Kgs 1:48; 1Kgs 2:1-3.</w:t>
      </w:r>
    </w:p>
  </w:footnote>
  <w:footnote w:id="10901">
    <w:p>
      <w:pPr>
        <w:pStyle w:val="FootnoteText"/>
      </w:pPr>
      <w:r>
        <w:rPr>
          <w:rStyle w:val="FootnoteReference"/>
        </w:rPr>
        <w:footnoteRef/>
      </w:r>
      <w:r>
        <w:t xml:space="preserve"> Cross-references for "Give": Deut 6:5; Prov 4:23.</w:t>
      </w:r>
    </w:p>
  </w:footnote>
  <w:footnote w:id="10902">
    <w:p>
      <w:pPr>
        <w:pStyle w:val="FootnoteText"/>
      </w:pPr>
      <w:r>
        <w:rPr>
          <w:rStyle w:val="FootnoteReference"/>
        </w:rPr>
        <w:footnoteRef/>
      </w:r>
      <w:r>
        <w:t xml:space="preserve"> Translation note: The Greek image is a pierced jar and narrow well. The English adds needed articles while keeping the image visible.</w:t>
      </w:r>
    </w:p>
  </w:footnote>
  <w:footnote w:id="10903">
    <w:p>
      <w:pPr>
        <w:pStyle w:val="FootnoteText"/>
      </w:pPr>
      <w:r>
        <w:rPr>
          <w:rStyle w:val="FootnoteReference"/>
        </w:rPr>
        <w:footnoteRef/>
      </w:r>
      <w:r>
        <w:t xml:space="preserve"> Cross-references for "eyes": Gen 19:32-38.</w:t>
      </w:r>
    </w:p>
  </w:footnote>
  <w:footnote w:id="10904">
    <w:p>
      <w:pPr>
        <w:pStyle w:val="FootnoteText"/>
      </w:pPr>
      <w:r>
        <w:rPr>
          <w:rStyle w:val="FootnoteReference"/>
        </w:rPr>
        <w:footnoteRef/>
      </w:r>
      <w:r>
        <w:t xml:space="preserve"> Cross-references for "wisdom": Prov 9:1; Prov 14:1.</w:t>
      </w:r>
    </w:p>
  </w:footnote>
  <w:footnote w:id="10905">
    <w:p>
      <w:pPr>
        <w:pStyle w:val="FootnoteText"/>
      </w:pPr>
      <w:r>
        <w:rPr>
          <w:rStyle w:val="FootnoteReference"/>
        </w:rPr>
        <w:footnoteRef/>
      </w:r>
      <w:r>
        <w:t xml:space="preserve"> Translation note: Article cleanup: English supplies the for both righteous and ungodly class-group subjects.</w:t>
      </w:r>
    </w:p>
  </w:footnote>
  <w:footnote w:id="10906">
    <w:p>
      <w:pPr>
        <w:pStyle w:val="FootnoteText"/>
      </w:pPr>
      <w:r>
        <w:rPr>
          <w:rStyle w:val="FootnoteReference"/>
        </w:rPr>
        <w:footnoteRef/>
      </w:r>
      <w:r>
        <w:t xml:space="preserve"> Translation note: Article cleanup: English supplies the for the lamp and ungodly class-group phrase.</w:t>
      </w:r>
    </w:p>
  </w:footnote>
  <w:footnote w:id="10907">
    <w:p>
      <w:pPr>
        <w:pStyle w:val="FootnoteText"/>
      </w:pPr>
      <w:r>
        <w:rPr>
          <w:rStyle w:val="FootnoteReference"/>
        </w:rPr>
        <w:footnoteRef/>
      </w:r>
      <w:r>
        <w:t xml:space="preserve"> Cross-references for "fear": Exod 14:31; 1Sam 24:6.</w:t>
      </w:r>
    </w:p>
  </w:footnote>
  <w:footnote w:id="10908">
    <w:p>
      <w:pPr>
        <w:pStyle w:val="FootnoteText"/>
      </w:pPr>
      <w:r>
        <w:rPr>
          <w:rStyle w:val="FootnoteReference"/>
        </w:rPr>
        <w:footnoteRef/>
      </w:r>
      <w:r>
        <w:t xml:space="preserve"> Cross-references for "things": Ps 107:43; Eccl 8:1-5.</w:t>
      </w:r>
    </w:p>
  </w:footnote>
  <w:footnote w:id="10909">
    <w:p>
      <w:pPr>
        <w:pStyle w:val="FootnoteText"/>
      </w:pPr>
      <w:r>
        <w:rPr>
          <w:rStyle w:val="FootnoteReference"/>
        </w:rPr>
        <w:footnoteRef/>
      </w:r>
      <w:r>
        <w:t xml:space="preserve"> Cross-references for "them": Lev 19:17; 1Sam 3:13.</w:t>
      </w:r>
    </w:p>
  </w:footnote>
  <w:footnote w:id="10910">
    <w:p>
      <w:pPr>
        <w:pStyle w:val="FootnoteText"/>
      </w:pPr>
      <w:r>
        <w:rPr>
          <w:rStyle w:val="FootnoteReference"/>
        </w:rPr>
        <w:footnoteRef/>
      </w:r>
      <w:r>
        <w:t xml:space="preserve"> Cross-references for "I looked": Deut 13:11; Deut 21:21.</w:t>
      </w:r>
    </w:p>
  </w:footnote>
  <w:footnote w:id="10911">
    <w:p>
      <w:pPr>
        <w:pStyle w:val="FootnoteText"/>
      </w:pPr>
      <w:r>
        <w:rPr>
          <w:rStyle w:val="FootnoteReference"/>
        </w:rPr>
        <w:footnoteRef/>
      </w:r>
      <w:r>
        <w:t xml:space="preserve"> Translation note: Article cleanup: English supplies the for the second glory phrase.</w:t>
      </w:r>
    </w:p>
  </w:footnote>
  <w:footnote w:id="10912">
    <w:p>
      <w:pPr>
        <w:pStyle w:val="FootnoteText"/>
      </w:pPr>
      <w:r>
        <w:rPr>
          <w:rStyle w:val="FootnoteReference"/>
        </w:rPr>
        <w:footnoteRef/>
      </w:r>
      <w:r>
        <w:t xml:space="preserve"> Cross-references for "The glory": Deut 29:29; Job 11:7-8.</w:t>
      </w:r>
    </w:p>
  </w:footnote>
  <w:footnote w:id="10913">
    <w:p>
      <w:pPr>
        <w:pStyle w:val="FootnoteText"/>
      </w:pPr>
      <w:r>
        <w:rPr>
          <w:rStyle w:val="FootnoteReference"/>
        </w:rPr>
        <w:footnoteRef/>
      </w:r>
      <w:r>
        <w:t xml:space="preserve"> Translation note: Article cleanup: English supplies linking verbs and the for readable predicate syntax.</w:t>
      </w:r>
    </w:p>
  </w:footnote>
  <w:footnote w:id="10914">
    <w:p>
      <w:pPr>
        <w:pStyle w:val="FootnoteText"/>
      </w:pPr>
      <w:r>
        <w:rPr>
          <w:rStyle w:val="FootnoteReference"/>
        </w:rPr>
        <w:footnoteRef/>
      </w:r>
      <w:r>
        <w:t xml:space="preserve"> Cross-references for "Heaven": Ps 103:11; Isa 7:11.</w:t>
      </w:r>
    </w:p>
  </w:footnote>
  <w:footnote w:id="10915">
    <w:p>
      <w:pPr>
        <w:pStyle w:val="FootnoteText"/>
      </w:pPr>
      <w:r>
        <w:rPr>
          <w:rStyle w:val="FootnoteReference"/>
        </w:rPr>
        <w:footnoteRef/>
      </w:r>
      <w:r>
        <w:t xml:space="preserve"> Cross-references for "than": Luke 18:14; 1Pet 5:5.</w:t>
      </w:r>
    </w:p>
  </w:footnote>
  <w:footnote w:id="10916">
    <w:p>
      <w:pPr>
        <w:pStyle w:val="FootnoteText"/>
      </w:pPr>
      <w:r>
        <w:rPr>
          <w:rStyle w:val="FootnoteReference"/>
        </w:rPr>
        <w:footnoteRef/>
      </w:r>
      <w:r>
        <w:t xml:space="preserve"> Translation note: Article cleanup: English supplies articles for the image phrase.</w:t>
      </w:r>
    </w:p>
  </w:footnote>
  <w:footnote w:id="10917">
    <w:p>
      <w:pPr>
        <w:pStyle w:val="FootnoteText"/>
      </w:pPr>
      <w:r>
        <w:rPr>
          <w:rStyle w:val="FootnoteReference"/>
        </w:rPr>
        <w:footnoteRef/>
      </w:r>
      <w:r>
        <w:t xml:space="preserve"> Cross-references for "word": Prov 15:23; Prov 24:26.</w:t>
      </w:r>
    </w:p>
  </w:footnote>
  <w:footnote w:id="10918">
    <w:p>
      <w:pPr>
        <w:pStyle w:val="FootnoteText"/>
      </w:pPr>
      <w:r>
        <w:rPr>
          <w:rStyle w:val="FootnoteReference"/>
        </w:rPr>
        <w:footnoteRef/>
      </w:r>
      <w:r>
        <w:t xml:space="preserve"> Translation note: Article cleanup: English supplies articles for the earring and word/ear phrases.</w:t>
      </w:r>
    </w:p>
  </w:footnote>
  <w:footnote w:id="10919">
    <w:p>
      <w:pPr>
        <w:pStyle w:val="FootnoteText"/>
      </w:pPr>
      <w:r>
        <w:rPr>
          <w:rStyle w:val="FootnoteReference"/>
        </w:rPr>
        <w:footnoteRef/>
      </w:r>
      <w:r>
        <w:t xml:space="preserve"> Cross-references for "a wise": 1Sam 25:31-34; Ps 141:5.</w:t>
      </w:r>
    </w:p>
  </w:footnote>
  <w:footnote w:id="10920">
    <w:p>
      <w:pPr>
        <w:pStyle w:val="FootnoteText"/>
      </w:pPr>
      <w:r>
        <w:rPr>
          <w:rStyle w:val="FootnoteReference"/>
        </w:rPr>
        <w:footnoteRef/>
      </w:r>
      <w:r>
        <w:t xml:space="preserve"> Translation note: Article cleanup: English supplies a and the for readable messenger and souls syntax.</w:t>
      </w:r>
    </w:p>
  </w:footnote>
  <w:footnote w:id="10921">
    <w:p>
      <w:pPr>
        <w:pStyle w:val="FootnoteText"/>
      </w:pPr>
      <w:r>
        <w:rPr>
          <w:rStyle w:val="FootnoteReference"/>
        </w:rPr>
        <w:footnoteRef/>
      </w:r>
      <w:r>
        <w:t xml:space="preserve"> Translation note: Article cleanup: English supplies a for readable singular man phrase.</w:t>
      </w:r>
    </w:p>
  </w:footnote>
  <w:footnote w:id="10922">
    <w:p>
      <w:pPr>
        <w:pStyle w:val="FootnoteText"/>
      </w:pPr>
      <w:r>
        <w:rPr>
          <w:rStyle w:val="FootnoteReference"/>
        </w:rPr>
        <w:footnoteRef/>
      </w:r>
      <w:r>
        <w:t xml:space="preserve"> Translation note: Article cleanup: English supplies an for the day phrase.</w:t>
      </w:r>
    </w:p>
  </w:footnote>
  <w:footnote w:id="10923">
    <w:p>
      <w:pPr>
        <w:pStyle w:val="FootnoteText"/>
      </w:pPr>
      <w:r>
        <w:rPr>
          <w:rStyle w:val="FootnoteReference"/>
        </w:rPr>
        <w:footnoteRef/>
      </w:r>
      <w:r>
        <w:t xml:space="preserve"> Cross-references for "vinegar": Prov 10:26.</w:t>
      </w:r>
    </w:p>
  </w:footnote>
  <w:footnote w:id="10924">
    <w:p>
      <w:pPr>
        <w:pStyle w:val="FootnoteText"/>
      </w:pPr>
      <w:r>
        <w:rPr>
          <w:rStyle w:val="FootnoteReference"/>
        </w:rPr>
        <w:footnoteRef/>
      </w:r>
      <w:r>
        <w:t xml:space="preserve"> Translation note: Article cleanup: English supplies articles for body/heart and comparison-image phrases.</w:t>
      </w:r>
    </w:p>
  </w:footnote>
  <w:footnote w:id="10925">
    <w:p>
      <w:pPr>
        <w:pStyle w:val="FootnoteText"/>
      </w:pPr>
      <w:r>
        <w:rPr>
          <w:rStyle w:val="FootnoteReference"/>
        </w:rPr>
        <w:footnoteRef/>
      </w:r>
      <w:r>
        <w:t xml:space="preserve"> Cross-references for "the Lord": 2Sam 16:12; Matt 10:13.</w:t>
      </w:r>
    </w:p>
  </w:footnote>
  <w:footnote w:id="10926">
    <w:p>
      <w:pPr>
        <w:pStyle w:val="FootnoteText"/>
      </w:pPr>
      <w:r>
        <w:rPr>
          <w:rStyle w:val="FootnoteReference"/>
        </w:rPr>
        <w:footnoteRef/>
      </w:r>
      <w:r>
        <w:t xml:space="preserve"> Cross-references for "North": Job 37:22.</w:t>
      </w:r>
    </w:p>
  </w:footnote>
  <w:footnote w:id="10927">
    <w:p>
      <w:pPr>
        <w:pStyle w:val="FootnoteText"/>
      </w:pPr>
      <w:r>
        <w:rPr>
          <w:rStyle w:val="FootnoteReference"/>
        </w:rPr>
        <w:footnoteRef/>
      </w:r>
      <w:r>
        <w:t xml:space="preserve"> Translation note: Article cleanup: English supplies articles for roof/woman/house phrases.</w:t>
      </w:r>
    </w:p>
  </w:footnote>
  <w:footnote w:id="10928">
    <w:p>
      <w:pPr>
        <w:pStyle w:val="FootnoteText"/>
      </w:pPr>
      <w:r>
        <w:rPr>
          <w:rStyle w:val="FootnoteReference"/>
        </w:rPr>
        <w:footnoteRef/>
      </w:r>
      <w:r>
        <w:t xml:space="preserve"> Translation note: Article cleanup: English supplies is and articles for readable comparison syntax.</w:t>
      </w:r>
    </w:p>
  </w:footnote>
  <w:footnote w:id="10929">
    <w:p>
      <w:pPr>
        <w:pStyle w:val="FootnoteText"/>
      </w:pPr>
      <w:r>
        <w:rPr>
          <w:rStyle w:val="FootnoteReference"/>
        </w:rPr>
        <w:footnoteRef/>
      </w:r>
      <w:r>
        <w:t xml:space="preserve"> Translation note: Article cleanup: English supplies articles for spring/outlet and singular righteous/ungodly man phrases.</w:t>
      </w:r>
    </w:p>
  </w:footnote>
  <w:footnote w:id="10930">
    <w:p>
      <w:pPr>
        <w:pStyle w:val="FootnoteText"/>
      </w:pPr>
      <w:r>
        <w:rPr>
          <w:rStyle w:val="FootnoteReference"/>
        </w:rPr>
        <w:footnoteRef/>
      </w:r>
      <w:r>
        <w:t xml:space="preserve"> Cross-references for "not good": Prov 25:16.</w:t>
      </w:r>
    </w:p>
  </w:footnote>
  <w:footnote w:id="10931">
    <w:p>
      <w:pPr>
        <w:pStyle w:val="FootnoteText"/>
      </w:pPr>
      <w:r>
        <w:rPr>
          <w:rStyle w:val="FootnoteReference"/>
        </w:rPr>
        <w:footnoteRef/>
      </w:r>
      <w:r>
        <w:t xml:space="preserve"> Translation note: Article cleanup: English supplies articles and are for readable comparison syntax.</w:t>
      </w:r>
    </w:p>
  </w:footnote>
  <w:footnote w:id="10932">
    <w:p>
      <w:pPr>
        <w:pStyle w:val="FootnoteText"/>
      </w:pPr>
      <w:r>
        <w:rPr>
          <w:rStyle w:val="FootnoteReference"/>
        </w:rPr>
        <w:footnoteRef/>
      </w:r>
      <w:r>
        <w:t xml:space="preserve"> Translation note: Article cleanup: English supplies is and a for readable predicate syntax.</w:t>
      </w:r>
    </w:p>
  </w:footnote>
  <w:footnote w:id="10933">
    <w:p>
      <w:pPr>
        <w:pStyle w:val="FootnoteText"/>
      </w:pPr>
      <w:r>
        <w:rPr>
          <w:rStyle w:val="FootnoteReference"/>
        </w:rPr>
        <w:footnoteRef/>
      </w:r>
      <w:r>
        <w:t xml:space="preserve"> Cross-references for "in summer": 1Sam 12:17-18.</w:t>
      </w:r>
    </w:p>
  </w:footnote>
  <w:footnote w:id="10934">
    <w:p>
      <w:pPr>
        <w:pStyle w:val="FootnoteText"/>
      </w:pPr>
      <w:r>
        <w:rPr>
          <w:rStyle w:val="FootnoteReference"/>
        </w:rPr>
        <w:footnoteRef/>
      </w:r>
      <w:r>
        <w:t xml:space="preserve"> Cross-references for "a dog": Exod 8:15; Matt 12:45.</w:t>
      </w:r>
    </w:p>
  </w:footnote>
  <w:footnote w:id="10935">
    <w:p>
      <w:pPr>
        <w:pStyle w:val="FootnoteText"/>
      </w:pPr>
      <w:r>
        <w:rPr>
          <w:rStyle w:val="FootnoteReference"/>
        </w:rPr>
        <w:footnoteRef/>
      </w:r>
      <w:r>
        <w:t xml:space="preserve"> Translation note: Article cleanup: English supplies articles and linking that for readable proverb and shame-clause syntax.</w:t>
      </w:r>
    </w:p>
  </w:footnote>
  <w:footnote w:id="10936">
    <w:p>
      <w:pPr>
        <w:pStyle w:val="FootnoteText"/>
      </w:pPr>
      <w:r>
        <w:rPr>
          <w:rStyle w:val="FootnoteReference"/>
        </w:rPr>
        <w:footnoteRef/>
      </w:r>
      <w:r>
        <w:t xml:space="preserve"> Translation note: Article cleanup: English supplies a for readable singular man/fool phrases.</w:t>
      </w:r>
    </w:p>
  </w:footnote>
  <w:footnote w:id="10937">
    <w:p>
      <w:pPr>
        <w:pStyle w:val="FootnoteText"/>
      </w:pPr>
      <w:r>
        <w:rPr>
          <w:rStyle w:val="FootnoteReference"/>
        </w:rPr>
        <w:footnoteRef/>
      </w:r>
      <w:r>
        <w:t xml:space="preserve"> Cross-references for "a man": Prov 26:5; Prov 26:16.</w:t>
      </w:r>
    </w:p>
  </w:footnote>
  <w:footnote w:id="10938">
    <w:p>
      <w:pPr>
        <w:pStyle w:val="FootnoteText"/>
      </w:pPr>
      <w:r>
        <w:rPr>
          <w:rStyle w:val="FootnoteReference"/>
        </w:rPr>
        <w:footnoteRef/>
      </w:r>
      <w:r>
        <w:t xml:space="preserve"> Translation note: Article cleanup: English supplies are for readable predicate syntax.</w:t>
      </w:r>
    </w:p>
  </w:footnote>
  <w:footnote w:id="10939">
    <w:p>
      <w:pPr>
        <w:pStyle w:val="FootnoteText"/>
      </w:pPr>
      <w:r>
        <w:rPr>
          <w:rStyle w:val="FootnoteReference"/>
        </w:rPr>
        <w:footnoteRef/>
      </w:r>
      <w:r>
        <w:t xml:space="preserve"> Cross-references for "words": Prov 18:8; Prov 20:19.</w:t>
      </w:r>
    </w:p>
  </w:footnote>
  <w:footnote w:id="10940">
    <w:p>
      <w:pPr>
        <w:pStyle w:val="FootnoteText"/>
      </w:pPr>
      <w:r>
        <w:rPr>
          <w:rStyle w:val="FootnoteReference"/>
        </w:rPr>
        <w:footnoteRef/>
      </w:r>
      <w:r>
        <w:t xml:space="preserve"> Cross-references for "seven": Prov 6:16-19.</w:t>
      </w:r>
    </w:p>
  </w:footnote>
  <w:footnote w:id="10941">
    <w:p>
      <w:pPr>
        <w:pStyle w:val="FootnoteText"/>
      </w:pPr>
      <w:r>
        <w:rPr>
          <w:rStyle w:val="FootnoteReference"/>
        </w:rPr>
        <w:footnoteRef/>
      </w:r>
      <w:r>
        <w:t xml:space="preserve"> Translation note: Article cleanup: English supplies articles for readable tongue/mouth phrases.</w:t>
      </w:r>
    </w:p>
  </w:footnote>
  <w:footnote w:id="10942">
    <w:p>
      <w:pPr>
        <w:pStyle w:val="FootnoteText"/>
      </w:pPr>
      <w:r>
        <w:rPr>
          <w:rStyle w:val="FootnoteReference"/>
        </w:rPr>
        <w:footnoteRef/>
      </w:r>
      <w:r>
        <w:t xml:space="preserve"> Cross-references for "lying": John 8:40; John 8:44-49.</w:t>
      </w:r>
    </w:p>
  </w:footnote>
  <w:footnote w:id="10943">
    <w:p>
      <w:pPr>
        <w:pStyle w:val="FootnoteText"/>
      </w:pPr>
      <w:r>
        <w:rPr>
          <w:rStyle w:val="FootnoteReference"/>
        </w:rPr>
        <w:footnoteRef/>
      </w:r>
      <w:r>
        <w:t xml:space="preserve"> Translation note: Article cleanup: English supplies the for the next-day phrase.</w:t>
      </w:r>
    </w:p>
  </w:footnote>
  <w:footnote w:id="10944">
    <w:p>
      <w:pPr>
        <w:pStyle w:val="FootnoteText"/>
      </w:pPr>
      <w:r>
        <w:rPr>
          <w:rStyle w:val="FootnoteReference"/>
        </w:rPr>
        <w:footnoteRef/>
      </w:r>
      <w:r>
        <w:t xml:space="preserve"> Cross-references for "boast": Ps 95:7; Isa 56:12.</w:t>
      </w:r>
    </w:p>
  </w:footnote>
  <w:footnote w:id="10945">
    <w:p>
      <w:pPr>
        <w:pStyle w:val="FootnoteText"/>
      </w:pPr>
      <w:r>
        <w:rPr>
          <w:rStyle w:val="FootnoteReference"/>
        </w:rPr>
        <w:footnoteRef/>
      </w:r>
      <w:r>
        <w:t xml:space="preserve"> Translation note: Article cleanup: English supplies articles for neighbor and stranger.</w:t>
      </w:r>
    </w:p>
  </w:footnote>
  <w:footnote w:id="10946">
    <w:p>
      <w:pPr>
        <w:pStyle w:val="FootnoteText"/>
      </w:pPr>
      <w:r>
        <w:rPr>
          <w:rStyle w:val="FootnoteReference"/>
        </w:rPr>
        <w:footnoteRef/>
      </w:r>
      <w:r>
        <w:t xml:space="preserve"> Translation note: Article cleanup: English supplies articles and is for readable comparison syntax.</w:t>
      </w:r>
    </w:p>
  </w:footnote>
  <w:footnote w:id="10947">
    <w:p>
      <w:pPr>
        <w:pStyle w:val="FootnoteText"/>
      </w:pPr>
      <w:r>
        <w:rPr>
          <w:rStyle w:val="FootnoteReference"/>
        </w:rPr>
        <w:footnoteRef/>
      </w:r>
      <w:r>
        <w:t xml:space="preserve"> Translation note: Article cleanup: English supplies articles and are for readable comparison syntax.</w:t>
      </w:r>
    </w:p>
  </w:footnote>
  <w:footnote w:id="10948">
    <w:p>
      <w:pPr>
        <w:pStyle w:val="FootnoteText"/>
      </w:pPr>
      <w:r>
        <w:rPr>
          <w:rStyle w:val="FootnoteReference"/>
        </w:rPr>
        <w:footnoteRef/>
      </w:r>
      <w:r>
        <w:t xml:space="preserve"> Translation note: Article cleanup: English supplies articles for the soul phrases.</w:t>
      </w:r>
    </w:p>
  </w:footnote>
  <w:footnote w:id="10949">
    <w:p>
      <w:pPr>
        <w:pStyle w:val="FootnoteText"/>
      </w:pPr>
      <w:r>
        <w:rPr>
          <w:rStyle w:val="FootnoteReference"/>
        </w:rPr>
        <w:footnoteRef/>
      </w:r>
      <w:r>
        <w:t xml:space="preserve"> Translation note: Article cleanup: English supplies articles for bird and man.</w:t>
      </w:r>
    </w:p>
  </w:footnote>
  <w:footnote w:id="10950">
    <w:p>
      <w:pPr>
        <w:pStyle w:val="FootnoteText"/>
      </w:pPr>
      <w:r>
        <w:rPr>
          <w:rStyle w:val="FootnoteReference"/>
        </w:rPr>
        <w:footnoteRef/>
      </w:r>
      <w:r>
        <w:t xml:space="preserve"> Cross-references for "a bird": Job 39:14-16; Isa 16:2.</w:t>
      </w:r>
    </w:p>
  </w:footnote>
  <w:footnote w:id="10951">
    <w:p>
      <w:pPr>
        <w:pStyle w:val="FootnoteText"/>
      </w:pPr>
      <w:r>
        <w:rPr>
          <w:rStyle w:val="FootnoteReference"/>
        </w:rPr>
        <w:footnoteRef/>
      </w:r>
      <w:r>
        <w:t xml:space="preserve"> Translation note: Article cleanup: English supplies articles for heart and soul.</w:t>
      </w:r>
    </w:p>
  </w:footnote>
  <w:footnote w:id="10952">
    <w:p>
      <w:pPr>
        <w:pStyle w:val="FootnoteText"/>
      </w:pPr>
      <w:r>
        <w:rPr>
          <w:rStyle w:val="FootnoteReference"/>
        </w:rPr>
        <w:footnoteRef/>
      </w:r>
      <w:r>
        <w:t xml:space="preserve"> Cross-references for "Better": Prov 17:17; Prov 18:24.</w:t>
      </w:r>
    </w:p>
  </w:footnote>
  <w:footnote w:id="10953">
    <w:p>
      <w:pPr>
        <w:pStyle w:val="FootnoteText"/>
      </w:pPr>
      <w:r>
        <w:rPr>
          <w:rStyle w:val="FootnoteReference"/>
        </w:rPr>
        <w:footnoteRef/>
      </w:r>
      <w:r>
        <w:t xml:space="preserve"> Translation note: Article cleanup: English supplies articles for house/friend/brother phrases.</w:t>
      </w:r>
    </w:p>
  </w:footnote>
  <w:footnote w:id="10954">
    <w:p>
      <w:pPr>
        <w:pStyle w:val="FootnoteText"/>
      </w:pPr>
      <w:r>
        <w:rPr>
          <w:rStyle w:val="FootnoteReference"/>
        </w:rPr>
        <w:footnoteRef/>
      </w:r>
      <w:r>
        <w:t xml:space="preserve"> Translation note: Article cleanup: English supplies a for the shrewd-man phrase.</w:t>
      </w:r>
    </w:p>
  </w:footnote>
  <w:footnote w:id="10955">
    <w:p>
      <w:pPr>
        <w:pStyle w:val="FootnoteText"/>
      </w:pPr>
      <w:r>
        <w:rPr>
          <w:rStyle w:val="FootnoteReference"/>
        </w:rPr>
        <w:footnoteRef/>
      </w:r>
      <w:r>
        <w:t xml:space="preserve"> Translation note: Article cleanup: English supplies an for the insolent-man phrase.</w:t>
      </w:r>
    </w:p>
  </w:footnote>
  <w:footnote w:id="10956">
    <w:p>
      <w:pPr>
        <w:pStyle w:val="FootnoteText"/>
      </w:pPr>
      <w:r>
        <w:rPr>
          <w:rStyle w:val="FootnoteReference"/>
        </w:rPr>
        <w:footnoteRef/>
      </w:r>
      <w:r>
        <w:t xml:space="preserve"> Translation note: Article cleanup: English supplies articles for friend/morning/voice phrases.</w:t>
      </w:r>
    </w:p>
  </w:footnote>
  <w:footnote w:id="10957">
    <w:p>
      <w:pPr>
        <w:pStyle w:val="FootnoteText"/>
      </w:pPr>
      <w:r>
        <w:rPr>
          <w:rStyle w:val="FootnoteReference"/>
        </w:rPr>
        <w:footnoteRef/>
      </w:r>
      <w:r>
        <w:t xml:space="preserve"> Translation note: Article cleanup: English supplies articles for man/day/woman phrases.</w:t>
      </w:r>
    </w:p>
  </w:footnote>
  <w:footnote w:id="10958">
    <w:p>
      <w:pPr>
        <w:pStyle w:val="FootnoteText"/>
      </w:pPr>
      <w:r>
        <w:rPr>
          <w:rStyle w:val="FootnoteReference"/>
        </w:rPr>
        <w:footnoteRef/>
      </w:r>
      <w:r>
        <w:t xml:space="preserve"> Translation note: Article cleanup: English supplies articles and linking verbs for wind phrase.</w:t>
      </w:r>
    </w:p>
  </w:footnote>
  <w:footnote w:id="10959">
    <w:p>
      <w:pPr>
        <w:pStyle w:val="FootnoteText"/>
      </w:pPr>
      <w:r>
        <w:rPr>
          <w:rStyle w:val="FootnoteReference"/>
        </w:rPr>
        <w:footnoteRef/>
      </w:r>
      <w:r>
        <w:t xml:space="preserve"> Translation note: Article cleanup: English supplies articles for man/face/companion phrases.</w:t>
      </w:r>
    </w:p>
  </w:footnote>
  <w:footnote w:id="10960">
    <w:p>
      <w:pPr>
        <w:pStyle w:val="FootnoteText"/>
      </w:pPr>
      <w:r>
        <w:rPr>
          <w:rStyle w:val="FootnoteReference"/>
        </w:rPr>
        <w:footnoteRef/>
      </w:r>
      <w:r>
        <w:t xml:space="preserve"> Cross-references for "Iron": 1Sam 13:20-21.</w:t>
      </w:r>
    </w:p>
  </w:footnote>
  <w:footnote w:id="10961">
    <w:p>
      <w:pPr>
        <w:pStyle w:val="FootnoteText"/>
      </w:pPr>
      <w:r>
        <w:rPr>
          <w:rStyle w:val="FootnoteReference"/>
        </w:rPr>
        <w:footnoteRef/>
      </w:r>
      <w:r>
        <w:t xml:space="preserve"> Translation note: Article cleanup: English supplies a for the fig-tree phrase.</w:t>
      </w:r>
    </w:p>
  </w:footnote>
  <w:footnote w:id="10962">
    <w:p>
      <w:pPr>
        <w:pStyle w:val="FootnoteText"/>
      </w:pPr>
      <w:r>
        <w:rPr>
          <w:rStyle w:val="FootnoteReference"/>
        </w:rPr>
        <w:footnoteRef/>
      </w:r>
      <w:r>
        <w:t xml:space="preserve"> Translation note: Article cleanup: English supplies are and the for readable comparison syntax.</w:t>
      </w:r>
    </w:p>
  </w:footnote>
  <w:footnote w:id="10963">
    <w:p>
      <w:pPr>
        <w:pStyle w:val="FootnoteText"/>
      </w:pPr>
      <w:r>
        <w:rPr>
          <w:rStyle w:val="FootnoteReference"/>
        </w:rPr>
        <w:footnoteRef/>
      </w:r>
      <w:r>
        <w:t xml:space="preserve"> Translation note: Article cleanup: English supplies articles and linking verbs for eyes/eye/abomination/unrestrained clauses.</w:t>
      </w:r>
    </w:p>
  </w:footnote>
  <w:footnote w:id="10964">
    <w:p>
      <w:pPr>
        <w:pStyle w:val="FootnoteText"/>
      </w:pPr>
      <w:r>
        <w:rPr>
          <w:rStyle w:val="FootnoteReference"/>
        </w:rPr>
        <w:footnoteRef/>
      </w:r>
      <w:r>
        <w:t xml:space="preserve"> Translation note: Article cleanup: English supplies articles and is for man/mouth/heart phrases.</w:t>
      </w:r>
    </w:p>
  </w:footnote>
  <w:footnote w:id="10965">
    <w:p>
      <w:pPr>
        <w:pStyle w:val="FootnoteText"/>
      </w:pPr>
      <w:r>
        <w:rPr>
          <w:rStyle w:val="FootnoteReference"/>
        </w:rPr>
        <w:footnoteRef/>
      </w:r>
      <w:r>
        <w:t xml:space="preserve"> Translation note: Article cleanup: English supplies a for the fool phrase.</w:t>
      </w:r>
    </w:p>
  </w:footnote>
  <w:footnote w:id="10966">
    <w:p>
      <w:pPr>
        <w:pStyle w:val="FootnoteText"/>
      </w:pPr>
      <w:r>
        <w:rPr>
          <w:rStyle w:val="FootnoteReference"/>
        </w:rPr>
        <w:footnoteRef/>
      </w:r>
      <w:r>
        <w:t xml:space="preserve"> Translation note: Article cleanup: English supplies the for the souls-of-flock phrase.</w:t>
      </w:r>
    </w:p>
  </w:footnote>
  <w:footnote w:id="10967">
    <w:p>
      <w:pPr>
        <w:pStyle w:val="FootnoteText"/>
      </w:pPr>
      <w:r>
        <w:rPr>
          <w:rStyle w:val="FootnoteReference"/>
        </w:rPr>
        <w:footnoteRef/>
      </w:r>
      <w:r>
        <w:t xml:space="preserve"> Translation note: Article cleanup: English supplies are and a for readable predicate syntax.</w:t>
      </w:r>
    </w:p>
  </w:footnote>
  <w:footnote w:id="10968">
    <w:p>
      <w:pPr>
        <w:pStyle w:val="FootnoteText"/>
      </w:pPr>
      <w:r>
        <w:rPr>
          <w:rStyle w:val="FootnoteReference"/>
        </w:rPr>
        <w:footnoteRef/>
      </w:r>
      <w:r>
        <w:t xml:space="preserve"> Translation note: Article cleanup: English supplies the for the field phrase.</w:t>
      </w:r>
    </w:p>
  </w:footnote>
  <w:footnote w:id="10969">
    <w:p>
      <w:pPr>
        <w:pStyle w:val="FootnoteText"/>
      </w:pPr>
      <w:r>
        <w:rPr>
          <w:rStyle w:val="FootnoteReference"/>
        </w:rPr>
        <w:footnoteRef/>
      </w:r>
      <w:r>
        <w:t xml:space="preserve"> Translation note: Article cleanup: English supplies a for the righteous-one phrase.</w:t>
      </w:r>
    </w:p>
  </w:footnote>
  <w:footnote w:id="10970">
    <w:p>
      <w:pPr>
        <w:pStyle w:val="FootnoteText"/>
      </w:pPr>
      <w:r>
        <w:rPr>
          <w:rStyle w:val="FootnoteReference"/>
        </w:rPr>
        <w:footnoteRef/>
      </w:r>
      <w:r>
        <w:t xml:space="preserve"> Translation note: Article cleanup: English supplies articles for ungodly and shrewd-man phrases.</w:t>
      </w:r>
    </w:p>
  </w:footnote>
  <w:footnote w:id="10971">
    <w:p>
      <w:pPr>
        <w:pStyle w:val="FootnoteText"/>
      </w:pPr>
      <w:r>
        <w:rPr>
          <w:rStyle w:val="FootnoteReference"/>
        </w:rPr>
        <w:footnoteRef/>
      </w:r>
      <w:r>
        <w:t xml:space="preserve"> Translation note: Article cleanup: English supplies articles and he is for readable comparison syntax.</w:t>
      </w:r>
    </w:p>
  </w:footnote>
  <w:footnote w:id="10972">
    <w:p>
      <w:pPr>
        <w:pStyle w:val="FootnoteText"/>
      </w:pPr>
      <w:r>
        <w:rPr>
          <w:rStyle w:val="FootnoteReference"/>
        </w:rPr>
        <w:footnoteRef/>
      </w:r>
      <w:r>
        <w:t xml:space="preserve"> Translation note: Article cleanup: English supplies articles for law and wall phrases.</w:t>
      </w:r>
    </w:p>
  </w:footnote>
  <w:footnote w:id="10973">
    <w:p>
      <w:pPr>
        <w:pStyle w:val="FootnoteText"/>
      </w:pPr>
      <w:r>
        <w:rPr>
          <w:rStyle w:val="FootnoteReference"/>
        </w:rPr>
        <w:footnoteRef/>
      </w:r>
      <w:r>
        <w:t xml:space="preserve"> Translation note: Greek has singular poor/rich contrast phrases. English supplies articles for readable singular idiom.</w:t>
      </w:r>
    </w:p>
  </w:footnote>
  <w:footnote w:id="10974">
    <w:p>
      <w:pPr>
        <w:pStyle w:val="FootnoteText"/>
      </w:pPr>
      <w:r>
        <w:rPr>
          <w:rStyle w:val="FootnoteReference"/>
        </w:rPr>
        <w:footnoteRef/>
      </w:r>
      <w:r>
        <w:t xml:space="preserve"> Translation note: Article cleanup: English supplies the for the poor.</w:t>
      </w:r>
    </w:p>
  </w:footnote>
  <w:footnote w:id="10975">
    <w:p>
      <w:pPr>
        <w:pStyle w:val="FootnoteText"/>
      </w:pPr>
      <w:r>
        <w:rPr>
          <w:rStyle w:val="FootnoteReference"/>
        </w:rPr>
        <w:footnoteRef/>
      </w:r>
      <w:r>
        <w:t xml:space="preserve"> Translation note: Article cleanup: English supplies the for the law.</w:t>
      </w:r>
    </w:p>
  </w:footnote>
  <w:footnote w:id="10976">
    <w:p>
      <w:pPr>
        <w:pStyle w:val="FootnoteText"/>
      </w:pPr>
      <w:r>
        <w:rPr>
          <w:rStyle w:val="FootnoteReference"/>
        </w:rPr>
        <w:footnoteRef/>
      </w:r>
      <w:r>
        <w:t xml:space="preserve"> Translation note: Article cleanup: English supplies articles for upright/evil-way/lawless phrases.</w:t>
      </w:r>
    </w:p>
  </w:footnote>
  <w:footnote w:id="10977">
    <w:p>
      <w:pPr>
        <w:pStyle w:val="FootnoteText"/>
      </w:pPr>
      <w:r>
        <w:rPr>
          <w:rStyle w:val="FootnoteReference"/>
        </w:rPr>
        <w:footnoteRef/>
      </w:r>
      <w:r>
        <w:t xml:space="preserve"> Translation note: Article cleanup: English supplies articles and is for rich/poor-man contrast.</w:t>
      </w:r>
    </w:p>
  </w:footnote>
  <w:footnote w:id="10978">
    <w:p>
      <w:pPr>
        <w:pStyle w:val="FootnoteText"/>
      </w:pPr>
      <w:r>
        <w:rPr>
          <w:rStyle w:val="FootnoteReference"/>
        </w:rPr>
        <w:footnoteRef/>
      </w:r>
      <w:r>
        <w:t xml:space="preserve"> Cross-references for "rich": Prov 18:11; Prov 23:4.</w:t>
      </w:r>
    </w:p>
  </w:footnote>
  <w:footnote w:id="10979">
    <w:p>
      <w:pPr>
        <w:pStyle w:val="FootnoteText"/>
      </w:pPr>
      <w:r>
        <w:rPr>
          <w:rStyle w:val="FootnoteReference"/>
        </w:rPr>
        <w:footnoteRef/>
      </w:r>
      <w:r>
        <w:t xml:space="preserve"> Translation note: Article cleanup: English supplies the for righteous and ungodly class groups.</w:t>
      </w:r>
    </w:p>
  </w:footnote>
  <w:footnote w:id="10980">
    <w:p>
      <w:pPr>
        <w:pStyle w:val="FootnoteText"/>
      </w:pPr>
      <w:r>
        <w:rPr>
          <w:rStyle w:val="FootnoteReference"/>
        </w:rPr>
        <w:footnoteRef/>
      </w:r>
      <w:r>
        <w:t xml:space="preserve"> Cross-references for "righteous": 1Chr 15:25-28; 1Chr 16:7-36.</w:t>
      </w:r>
    </w:p>
  </w:footnote>
  <w:footnote w:id="10981">
    <w:p>
      <w:pPr>
        <w:pStyle w:val="FootnoteText"/>
      </w:pPr>
      <w:r>
        <w:rPr>
          <w:rStyle w:val="FootnoteReference"/>
        </w:rPr>
        <w:footnoteRef/>
      </w:r>
      <w:r>
        <w:t xml:space="preserve"> Translation note: Article cleanup: English supplies one and the for the hardening-heart phrase.</w:t>
      </w:r>
    </w:p>
  </w:footnote>
  <w:footnote w:id="10982">
    <w:p>
      <w:pPr>
        <w:pStyle w:val="FootnoteText"/>
      </w:pPr>
      <w:r>
        <w:rPr>
          <w:rStyle w:val="FootnoteReference"/>
        </w:rPr>
        <w:footnoteRef/>
      </w:r>
      <w:r>
        <w:t xml:space="preserve"> Translation note: Article cleanup: English supplies articles for lion/wolf/tyrant/people phrases.</w:t>
      </w:r>
    </w:p>
  </w:footnote>
  <w:footnote w:id="10983">
    <w:p>
      <w:pPr>
        <w:pStyle w:val="FootnoteText"/>
      </w:pPr>
      <w:r>
        <w:rPr>
          <w:rStyle w:val="FootnoteReference"/>
        </w:rPr>
        <w:footnoteRef/>
      </w:r>
      <w:r>
        <w:t xml:space="preserve"> Translation note: Article cleanup: English supplies articles for king/slanderer/time phrases.</w:t>
      </w:r>
    </w:p>
  </w:footnote>
  <w:footnote w:id="10984">
    <w:p>
      <w:pPr>
        <w:pStyle w:val="FootnoteText"/>
      </w:pPr>
      <w:r>
        <w:rPr>
          <w:rStyle w:val="FootnoteReference"/>
        </w:rPr>
        <w:footnoteRef/>
      </w:r>
      <w:r>
        <w:t xml:space="preserve"> Translation note: Article cleanup: English supplies articles for guilty-man/fugitive/lawless-nation phrases.</w:t>
      </w:r>
    </w:p>
  </w:footnote>
  <w:footnote w:id="10985">
    <w:p>
      <w:pPr>
        <w:pStyle w:val="FootnoteText"/>
      </w:pPr>
      <w:r>
        <w:rPr>
          <w:rStyle w:val="FootnoteReference"/>
        </w:rPr>
        <w:footnoteRef/>
      </w:r>
      <w:r>
        <w:t xml:space="preserve"> Translation note: Article cleanup: English supplies articles for faithful/evil man phrases.</w:t>
      </w:r>
    </w:p>
  </w:footnote>
  <w:footnote w:id="10986">
    <w:p>
      <w:pPr>
        <w:pStyle w:val="FootnoteText"/>
      </w:pPr>
      <w:r>
        <w:rPr>
          <w:rStyle w:val="FootnoteReference"/>
        </w:rPr>
        <w:footnoteRef/>
      </w:r>
      <w:r>
        <w:t xml:space="preserve"> Cross-references for "faithful": 1Sam 22:14; Neh 7:2.</w:t>
      </w:r>
    </w:p>
  </w:footnote>
  <w:footnote w:id="10987">
    <w:p>
      <w:pPr>
        <w:pStyle w:val="FootnoteText"/>
      </w:pPr>
      <w:r>
        <w:rPr>
          <w:rStyle w:val="FootnoteReference"/>
        </w:rPr>
        <w:footnoteRef/>
      </w:r>
      <w:r>
        <w:t xml:space="preserve"> Translation note: Article cleanup: English supplies articles for righteous/man/morsel phrases.</w:t>
      </w:r>
    </w:p>
  </w:footnote>
  <w:footnote w:id="10988">
    <w:p>
      <w:pPr>
        <w:pStyle w:val="FootnoteText"/>
      </w:pPr>
      <w:r>
        <w:rPr>
          <w:rStyle w:val="FootnoteReference"/>
        </w:rPr>
        <w:footnoteRef/>
      </w:r>
      <w:r>
        <w:t xml:space="preserve"> Translation note: Article cleanup: English supplies articles for envious/merciful man phrases.</w:t>
      </w:r>
    </w:p>
  </w:footnote>
  <w:footnote w:id="10989">
    <w:p>
      <w:pPr>
        <w:pStyle w:val="FootnoteText"/>
      </w:pPr>
      <w:r>
        <w:rPr>
          <w:rStyle w:val="FootnoteReference"/>
        </w:rPr>
        <w:footnoteRef/>
      </w:r>
      <w:r>
        <w:t xml:space="preserve"> Translation note: Article cleanup: English supplies articles for man and tongue phrases.</w:t>
      </w:r>
    </w:p>
  </w:footnote>
  <w:footnote w:id="10990">
    <w:p>
      <w:pPr>
        <w:pStyle w:val="FootnoteText"/>
      </w:pPr>
      <w:r>
        <w:rPr>
          <w:rStyle w:val="FootnoteReference"/>
        </w:rPr>
        <w:footnoteRef/>
      </w:r>
      <w:r>
        <w:t xml:space="preserve"> Translation note: Article cleanup: English supplies a for the partner phrase and retains the ungodly-man article.</w:t>
      </w:r>
    </w:p>
  </w:footnote>
  <w:footnote w:id="10991">
    <w:p>
      <w:pPr>
        <w:pStyle w:val="FootnoteText"/>
      </w:pPr>
      <w:r>
        <w:rPr>
          <w:rStyle w:val="FootnoteReference"/>
        </w:rPr>
        <w:footnoteRef/>
      </w:r>
      <w:r>
        <w:t xml:space="preserve"> Translation note: Article cleanup: English supplies a for the faithless-man phrase.</w:t>
      </w:r>
    </w:p>
  </w:footnote>
  <w:footnote w:id="10992">
    <w:p>
      <w:pPr>
        <w:pStyle w:val="FootnoteText"/>
      </w:pPr>
      <w:r>
        <w:rPr>
          <w:rStyle w:val="FootnoteReference"/>
        </w:rPr>
        <w:footnoteRef/>
      </w:r>
      <w:r>
        <w:t xml:space="preserve"> Translation note: Article cleanup: English supplies a and is for bold-heart/fool syntax.</w:t>
      </w:r>
    </w:p>
  </w:footnote>
  <w:footnote w:id="10993">
    <w:p>
      <w:pPr>
        <w:pStyle w:val="FootnoteText"/>
      </w:pPr>
      <w:r>
        <w:rPr>
          <w:rStyle w:val="FootnoteReference"/>
        </w:rPr>
        <w:footnoteRef/>
      </w:r>
      <w:r>
        <w:t xml:space="preserve"> Translation note: Article cleanup: English supplies the for the poor.</w:t>
      </w:r>
    </w:p>
  </w:footnote>
  <w:footnote w:id="10994">
    <w:p>
      <w:pPr>
        <w:pStyle w:val="FootnoteText"/>
      </w:pPr>
      <w:r>
        <w:rPr>
          <w:rStyle w:val="FootnoteReference"/>
        </w:rPr>
        <w:footnoteRef/>
      </w:r>
      <w:r>
        <w:t xml:space="preserve"> Translation note: Article cleanup: English supplies the for the ungodly class group.</w:t>
      </w:r>
    </w:p>
  </w:footnote>
  <w:footnote w:id="10995">
    <w:p>
      <w:pPr>
        <w:pStyle w:val="FootnoteText"/>
      </w:pPr>
      <w:r>
        <w:rPr>
          <w:rStyle w:val="FootnoteReference"/>
        </w:rPr>
        <w:footnoteRef/>
      </w:r>
      <w:r>
        <w:t xml:space="preserve"> Translation note: Article cleanup: English supplies articles and relative phrasing for the rebuking/stiff-necked man comparison.</w:t>
      </w:r>
    </w:p>
  </w:footnote>
  <w:footnote w:id="10996">
    <w:p>
      <w:pPr>
        <w:pStyle w:val="FootnoteText"/>
      </w:pPr>
      <w:r>
        <w:rPr>
          <w:rStyle w:val="FootnoteReference"/>
        </w:rPr>
        <w:footnoteRef/>
      </w:r>
      <w:r>
        <w:t xml:space="preserve"> Translation note: Article cleanup: English supplies the for righteous and ungodly class groups.</w:t>
      </w:r>
    </w:p>
  </w:footnote>
  <w:footnote w:id="10997">
    <w:p>
      <w:pPr>
        <w:pStyle w:val="FootnoteText"/>
      </w:pPr>
      <w:r>
        <w:rPr>
          <w:rStyle w:val="FootnoteReference"/>
        </w:rPr>
        <w:footnoteRef/>
      </w:r>
      <w:r>
        <w:t xml:space="preserve"> Cross-references for "the righteous": Ps 72:1-7; Prov 11:10.</w:t>
      </w:r>
    </w:p>
  </w:footnote>
  <w:footnote w:id="10998">
    <w:p>
      <w:pPr>
        <w:pStyle w:val="FootnoteText"/>
      </w:pPr>
      <w:r>
        <w:rPr>
          <w:rStyle w:val="FootnoteReference"/>
        </w:rPr>
        <w:footnoteRef/>
      </w:r>
      <w:r>
        <w:t xml:space="preserve"> Translation note: Article cleanup: English supplies a for the man phrase.</w:t>
      </w:r>
    </w:p>
  </w:footnote>
  <w:footnote w:id="10999">
    <w:p>
      <w:pPr>
        <w:pStyle w:val="FootnoteText"/>
      </w:pPr>
      <w:r>
        <w:rPr>
          <w:rStyle w:val="FootnoteReference"/>
        </w:rPr>
        <w:footnoteRef/>
      </w:r>
      <w:r>
        <w:t xml:space="preserve"> Translation note: Article cleanup: English supplies a for the lawless-man phrase.</w:t>
      </w:r>
    </w:p>
  </w:footnote>
  <w:footnote w:id="11000">
    <w:p>
      <w:pPr>
        <w:pStyle w:val="FootnoteText"/>
      </w:pPr>
      <w:r>
        <w:rPr>
          <w:rStyle w:val="FootnoteReference"/>
        </w:rPr>
        <w:footnoteRef/>
      </w:r>
      <w:r>
        <w:t xml:space="preserve"> Cross-references for "king": Prov 16:12; Prov 20:8.</w:t>
      </w:r>
    </w:p>
  </w:footnote>
  <w:footnote w:id="11001">
    <w:p>
      <w:pPr>
        <w:pStyle w:val="FootnoteText"/>
      </w:pPr>
      <w:r>
        <w:rPr>
          <w:rStyle w:val="FootnoteReference"/>
        </w:rPr>
        <w:footnoteRef/>
      </w:r>
      <w:r>
        <w:t xml:space="preserve"> Translation note: Article cleanup: English supplies a for the net phrase and renders before for the face-of idiom.</w:t>
      </w:r>
    </w:p>
  </w:footnote>
  <w:footnote w:id="11002">
    <w:p>
      <w:pPr>
        <w:pStyle w:val="FootnoteText"/>
      </w:pPr>
      <w:r>
        <w:rPr>
          <w:rStyle w:val="FootnoteReference"/>
        </w:rPr>
        <w:footnoteRef/>
      </w:r>
      <w:r>
        <w:t xml:space="preserve"> Translation note: Article cleanup: English supplies articles/linking syntax for sinful man and righteous subject.</w:t>
      </w:r>
    </w:p>
  </w:footnote>
  <w:footnote w:id="11003">
    <w:p>
      <w:pPr>
        <w:pStyle w:val="FootnoteText"/>
      </w:pPr>
      <w:r>
        <w:rPr>
          <w:rStyle w:val="FootnoteReference"/>
        </w:rPr>
        <w:footnoteRef/>
      </w:r>
      <w:r>
        <w:t xml:space="preserve"> Translation note: Article cleanup: English supplies the for poor and ungodly class phrases and a for the poor-man phrase.</w:t>
      </w:r>
    </w:p>
  </w:footnote>
  <w:footnote w:id="11004">
    <w:p>
      <w:pPr>
        <w:pStyle w:val="FootnoteText"/>
      </w:pPr>
      <w:r>
        <w:rPr>
          <w:rStyle w:val="FootnoteReference"/>
        </w:rPr>
        <w:footnoteRef/>
      </w:r>
      <w:r>
        <w:t xml:space="preserve"> Cross-references for "wise": Exod 32:10-14; Num 16:48.</w:t>
      </w:r>
    </w:p>
  </w:footnote>
  <w:footnote w:id="11005">
    <w:p>
      <w:pPr>
        <w:pStyle w:val="FootnoteText"/>
      </w:pPr>
      <w:r>
        <w:rPr>
          <w:rStyle w:val="FootnoteReference"/>
        </w:rPr>
        <w:footnoteRef/>
      </w:r>
      <w:r>
        <w:t xml:space="preserve"> Translation note: Article cleanup: English supplies a for the base-man phrase.</w:t>
      </w:r>
    </w:p>
  </w:footnote>
  <w:footnote w:id="11006">
    <w:p>
      <w:pPr>
        <w:pStyle w:val="FootnoteText"/>
      </w:pPr>
      <w:r>
        <w:rPr>
          <w:rStyle w:val="FootnoteReference"/>
        </w:rPr>
        <w:footnoteRef/>
      </w:r>
      <w:r>
        <w:t xml:space="preserve"> Translation note: Article cleanup: English supplies a for holy man and the for upright class group.</w:t>
      </w:r>
    </w:p>
  </w:footnote>
  <w:footnote w:id="11007">
    <w:p>
      <w:pPr>
        <w:pStyle w:val="FootnoteText"/>
      </w:pPr>
      <w:r>
        <w:rPr>
          <w:rStyle w:val="FootnoteReference"/>
        </w:rPr>
        <w:footnoteRef/>
      </w:r>
      <w:r>
        <w:t xml:space="preserve"> Translation note: Article cleanup: English supplies a for the lender/debtor phrase.</w:t>
      </w:r>
    </w:p>
  </w:footnote>
  <w:footnote w:id="11008">
    <w:p>
      <w:pPr>
        <w:pStyle w:val="FootnoteText"/>
      </w:pPr>
      <w:r>
        <w:rPr>
          <w:rStyle w:val="FootnoteReference"/>
        </w:rPr>
        <w:footnoteRef/>
      </w:r>
      <w:r>
        <w:t xml:space="preserve"> Cross-references for "meet": Exod 22:25-26; Lev 25:35-37.</w:t>
      </w:r>
    </w:p>
  </w:footnote>
  <w:footnote w:id="11009">
    <w:p>
      <w:pPr>
        <w:pStyle w:val="FootnoteText"/>
      </w:pPr>
      <w:r>
        <w:rPr>
          <w:rStyle w:val="FootnoteReference"/>
        </w:rPr>
        <w:footnoteRef/>
      </w:r>
      <w:r>
        <w:t xml:space="preserve"> Translation note: Article cleanup: English supplies the for the poor.</w:t>
      </w:r>
    </w:p>
  </w:footnote>
  <w:footnote w:id="11010">
    <w:p>
      <w:pPr>
        <w:pStyle w:val="FootnoteText"/>
      </w:pPr>
      <w:r>
        <w:rPr>
          <w:rStyle w:val="FootnoteReference"/>
        </w:rPr>
        <w:footnoteRef/>
      </w:r>
      <w:r>
        <w:t xml:space="preserve"> Cross-references for "king": Prov 16:12; Prov 20:28.</w:t>
      </w:r>
    </w:p>
  </w:footnote>
  <w:footnote w:id="11011">
    <w:p>
      <w:pPr>
        <w:pStyle w:val="FootnoteText"/>
      </w:pPr>
      <w:r>
        <w:rPr>
          <w:rStyle w:val="FootnoteReference"/>
        </w:rPr>
        <w:footnoteRef/>
      </w:r>
      <w:r>
        <w:t xml:space="preserve"> Translation note: Article cleanup: English supplies the for ungodly and righteous class groups.</w:t>
      </w:r>
    </w:p>
  </w:footnote>
  <w:footnote w:id="11012">
    <w:p>
      <w:pPr>
        <w:pStyle w:val="FootnoteText"/>
      </w:pPr>
      <w:r>
        <w:rPr>
          <w:rStyle w:val="FootnoteReference"/>
        </w:rPr>
        <w:footnoteRef/>
      </w:r>
      <w:r>
        <w:t xml:space="preserve"> Cross-references for "servant": Prov 26:3; Prov 30:22.</w:t>
      </w:r>
    </w:p>
  </w:footnote>
  <w:footnote w:id="11013">
    <w:p>
      <w:pPr>
        <w:pStyle w:val="FootnoteText"/>
      </w:pPr>
      <w:r>
        <w:rPr>
          <w:rStyle w:val="FootnoteReference"/>
        </w:rPr>
        <w:footnoteRef/>
      </w:r>
      <w:r>
        <w:t xml:space="preserve"> Cross-references for "words": Prov 14:29; Prov 21:5.</w:t>
      </w:r>
    </w:p>
  </w:footnote>
  <w:footnote w:id="11014">
    <w:p>
      <w:pPr>
        <w:pStyle w:val="FootnoteText"/>
      </w:pPr>
      <w:r>
        <w:rPr>
          <w:rStyle w:val="FootnoteReference"/>
        </w:rPr>
        <w:footnoteRef/>
      </w:r>
      <w:r>
        <w:t xml:space="preserve"> Cross-references for "angry": Prov 10:12; Prov 15:18.</w:t>
      </w:r>
    </w:p>
  </w:footnote>
  <w:footnote w:id="11015">
    <w:p>
      <w:pPr>
        <w:pStyle w:val="FootnoteText"/>
      </w:pPr>
      <w:r>
        <w:rPr>
          <w:rStyle w:val="FootnoteReference"/>
        </w:rPr>
        <w:footnoteRef/>
      </w:r>
      <w:r>
        <w:t xml:space="preserve"> Translation note: Article cleanup: English supplies the for the leaders.</w:t>
      </w:r>
    </w:p>
  </w:footnote>
  <w:footnote w:id="11016">
    <w:p>
      <w:pPr>
        <w:pStyle w:val="FootnoteText"/>
      </w:pPr>
      <w:r>
        <w:rPr>
          <w:rStyle w:val="FootnoteReference"/>
        </w:rPr>
        <w:footnoteRef/>
      </w:r>
      <w:r>
        <w:t xml:space="preserve"> Translation note: Article cleanup: English supplies the for the righteous class group.</w:t>
      </w:r>
    </w:p>
  </w:footnote>
  <w:footnote w:id="11017">
    <w:p>
      <w:pPr>
        <w:pStyle w:val="FootnoteText"/>
      </w:pPr>
      <w:r>
        <w:rPr>
          <w:rStyle w:val="FootnoteReference"/>
        </w:rPr>
        <w:footnoteRef/>
      </w:r>
      <w:r>
        <w:t xml:space="preserve"> Translation note: Predicate cleanup: English supplies things for the demonstrative phrase.</w:t>
      </w:r>
    </w:p>
  </w:footnote>
  <w:footnote w:id="11018">
    <w:p>
      <w:pPr>
        <w:pStyle w:val="FootnoteText"/>
      </w:pPr>
      <w:r>
        <w:rPr>
          <w:rStyle w:val="FootnoteReference"/>
        </w:rPr>
        <w:footnoteRef/>
      </w:r>
      <w:r>
        <w:t xml:space="preserve"> Translation note: Article cleanup: English supplies the for the holy-ones phrase.</w:t>
      </w:r>
    </w:p>
  </w:footnote>
  <w:footnote w:id="11019">
    <w:p>
      <w:pPr>
        <w:pStyle w:val="FootnoteText"/>
      </w:pPr>
      <w:r>
        <w:rPr>
          <w:rStyle w:val="FootnoteReference"/>
        </w:rPr>
        <w:footnoteRef/>
      </w:r>
      <w:r>
        <w:t xml:space="preserve"> Cross-references for "the holy": Isa 6:3; Isa 6:10.</w:t>
      </w:r>
    </w:p>
  </w:footnote>
  <w:footnote w:id="11020">
    <w:p>
      <w:pPr>
        <w:pStyle w:val="FootnoteText"/>
      </w:pPr>
      <w:r>
        <w:rPr>
          <w:rStyle w:val="FootnoteReference"/>
        </w:rPr>
        <w:footnoteRef/>
      </w:r>
      <w:r>
        <w:t xml:space="preserve"> Cross-references for "What is his name": Exod 3:13-15; Exod 6:3.</w:t>
      </w:r>
    </w:p>
  </w:footnote>
  <w:footnote w:id="11021">
    <w:p>
      <w:pPr>
        <w:pStyle w:val="FootnoteText"/>
      </w:pPr>
      <w:r>
        <w:rPr>
          <w:rStyle w:val="FootnoteReference"/>
        </w:rPr>
        <w:footnoteRef/>
      </w:r>
      <w:r>
        <w:t xml:space="preserve"> Translation note: Article cleanup: English supplies articles and is for bosom/garment/earth/name phrases.</w:t>
      </w:r>
    </w:p>
  </w:footnote>
  <w:footnote w:id="11022">
    <w:p>
      <w:pPr>
        <w:pStyle w:val="FootnoteText"/>
      </w:pPr>
      <w:r>
        <w:rPr>
          <w:rStyle w:val="FootnoteReference"/>
        </w:rPr>
        <w:footnoteRef/>
      </w:r>
      <w:r>
        <w:t xml:space="preserve"> Translation note: Predicate cleanup: English supplies are for the refined predicate.</w:t>
      </w:r>
    </w:p>
  </w:footnote>
  <w:footnote w:id="11023">
    <w:p>
      <w:pPr>
        <w:pStyle w:val="FootnoteText"/>
      </w:pPr>
      <w:r>
        <w:rPr>
          <w:rStyle w:val="FootnoteReference"/>
        </w:rPr>
        <w:footnoteRef/>
      </w:r>
      <w:r>
        <w:t xml:space="preserve"> Translation note: Article cleanup: English supplies a for the liar phrase.</w:t>
      </w:r>
    </w:p>
  </w:footnote>
  <w:footnote w:id="11024">
    <w:p>
      <w:pPr>
        <w:pStyle w:val="FootnoteText"/>
      </w:pPr>
      <w:r>
        <w:rPr>
          <w:rStyle w:val="FootnoteReference"/>
        </w:rPr>
        <w:footnoteRef/>
      </w:r>
      <w:r>
        <w:t xml:space="preserve"> Translation note: Article cleanup: English supplies articles for word/lie/necessary-things phrases and reorders give clause.</w:t>
      </w:r>
    </w:p>
  </w:footnote>
  <w:footnote w:id="11025">
    <w:p>
      <w:pPr>
        <w:pStyle w:val="FootnoteText"/>
      </w:pPr>
      <w:r>
        <w:rPr>
          <w:rStyle w:val="FootnoteReference"/>
        </w:rPr>
        <w:footnoteRef/>
      </w:r>
      <w:r>
        <w:t xml:space="preserve"> Translation note: Article cleanup: English supplies a for the liar phrase.</w:t>
      </w:r>
    </w:p>
  </w:footnote>
  <w:footnote w:id="11026">
    <w:p>
      <w:pPr>
        <w:pStyle w:val="FootnoteText"/>
      </w:pPr>
      <w:r>
        <w:rPr>
          <w:rStyle w:val="FootnoteReference"/>
        </w:rPr>
        <w:footnoteRef/>
      </w:r>
      <w:r>
        <w:t xml:space="preserve"> Translation note: Article cleanup: English supplies a and his for servant/master phrase.</w:t>
      </w:r>
    </w:p>
  </w:footnote>
  <w:footnote w:id="11027">
    <w:p>
      <w:pPr>
        <w:pStyle w:val="FootnoteText"/>
      </w:pPr>
      <w:r>
        <w:rPr>
          <w:rStyle w:val="FootnoteReference"/>
        </w:rPr>
        <w:footnoteRef/>
      </w:r>
      <w:r>
        <w:t xml:space="preserve"> Translation note: Article cleanup: English supplies an and possessives for the offspring/father/mother phrase.</w:t>
      </w:r>
    </w:p>
  </w:footnote>
  <w:footnote w:id="11028">
    <w:p>
      <w:pPr>
        <w:pStyle w:val="FootnoteText"/>
      </w:pPr>
      <w:r>
        <w:rPr>
          <w:rStyle w:val="FootnoteReference"/>
        </w:rPr>
        <w:footnoteRef/>
      </w:r>
      <w:r>
        <w:t xml:space="preserve"> Translation note: Article cleanup: English supplies an for the evil-offspring phrase.</w:t>
      </w:r>
    </w:p>
  </w:footnote>
  <w:footnote w:id="11029">
    <w:p>
      <w:pPr>
        <w:pStyle w:val="FootnoteText"/>
      </w:pPr>
      <w:r>
        <w:rPr>
          <w:rStyle w:val="FootnoteReference"/>
        </w:rPr>
        <w:footnoteRef/>
      </w:r>
      <w:r>
        <w:t xml:space="preserve"> Translation note: Article cleanup: English supplies an for the evil-offspring phrase.</w:t>
      </w:r>
    </w:p>
  </w:footnote>
  <w:footnote w:id="11030">
    <w:p>
      <w:pPr>
        <w:pStyle w:val="FootnoteText"/>
      </w:pPr>
      <w:r>
        <w:rPr>
          <w:rStyle w:val="FootnoteReference"/>
        </w:rPr>
        <w:footnoteRef/>
      </w:r>
      <w:r>
        <w:t xml:space="preserve"> Translation note: Article cleanup: English supplies an/the for offspring/humble/earth/poor phrases.</w:t>
      </w:r>
    </w:p>
  </w:footnote>
  <w:footnote w:id="11031">
    <w:p>
      <w:pPr>
        <w:pStyle w:val="FootnoteText"/>
      </w:pPr>
      <w:r>
        <w:rPr>
          <w:rStyle w:val="FootnoteReference"/>
        </w:rPr>
        <w:footnoteRef/>
      </w:r>
      <w:r>
        <w:t xml:space="preserve"> Translation note: Article cleanup: English supplies the for leech and fourth phrases.</w:t>
      </w:r>
    </w:p>
  </w:footnote>
  <w:footnote w:id="11032">
    <w:p>
      <w:pPr>
        <w:pStyle w:val="FootnoteText"/>
      </w:pPr>
      <w:r>
        <w:rPr>
          <w:rStyle w:val="FootnoteReference"/>
        </w:rPr>
        <w:footnoteRef/>
      </w:r>
      <w:r>
        <w:t xml:space="preserve"> Translation note: Article cleanup: English supplies the and a for the desire-of-woman phrase.</w:t>
      </w:r>
    </w:p>
  </w:footnote>
  <w:footnote w:id="11033">
    <w:p>
      <w:pPr>
        <w:pStyle w:val="FootnoteText"/>
      </w:pPr>
      <w:r>
        <w:rPr>
          <w:rStyle w:val="FootnoteReference"/>
        </w:rPr>
        <w:footnoteRef/>
      </w:r>
      <w:r>
        <w:t xml:space="preserve"> Translation note: Article cleanup: English supplies articles for eye/father/old-age/mother phrases.</w:t>
      </w:r>
    </w:p>
  </w:footnote>
  <w:footnote w:id="11034">
    <w:p>
      <w:pPr>
        <w:pStyle w:val="FootnoteText"/>
      </w:pPr>
      <w:r>
        <w:rPr>
          <w:rStyle w:val="FootnoteReference"/>
        </w:rPr>
        <w:footnoteRef/>
      </w:r>
      <w:r>
        <w:t xml:space="preserve"> Translation note: Article cleanup: English supplies a for the fourth phrase.</w:t>
      </w:r>
    </w:p>
  </w:footnote>
  <w:footnote w:id="11035">
    <w:p>
      <w:pPr>
        <w:pStyle w:val="FootnoteText"/>
      </w:pPr>
      <w:r>
        <w:rPr>
          <w:rStyle w:val="FootnoteReference"/>
        </w:rPr>
        <w:footnoteRef/>
      </w:r>
      <w:r>
        <w:t xml:space="preserve"> Translation note: Article cleanup: English supplies articles/prepositions for eagle/serpent/rock/ship/sea/man phrases.</w:t>
      </w:r>
    </w:p>
  </w:footnote>
  <w:footnote w:id="11036">
    <w:p>
      <w:pPr>
        <w:pStyle w:val="FootnoteText"/>
      </w:pPr>
      <w:r>
        <w:rPr>
          <w:rStyle w:val="FootnoteReference"/>
        </w:rPr>
        <w:footnoteRef/>
      </w:r>
      <w:r>
        <w:t xml:space="preserve"> Translation note: Article/predicate cleanup: English supplies is/the/an for way/adulterous-woman syntax.</w:t>
      </w:r>
    </w:p>
  </w:footnote>
  <w:footnote w:id="11037">
    <w:p>
      <w:pPr>
        <w:pStyle w:val="FootnoteText"/>
      </w:pPr>
      <w:r>
        <w:rPr>
          <w:rStyle w:val="FootnoteReference"/>
        </w:rPr>
        <w:footnoteRef/>
      </w:r>
      <w:r>
        <w:t xml:space="preserve"> Translation note: Article cleanup: English supplies the for earth and a for fourth.</w:t>
      </w:r>
    </w:p>
  </w:footnote>
  <w:footnote w:id="11038">
    <w:p>
      <w:pPr>
        <w:pStyle w:val="FootnoteText"/>
      </w:pPr>
      <w:r>
        <w:rPr>
          <w:rStyle w:val="FootnoteReference"/>
        </w:rPr>
        <w:footnoteRef/>
      </w:r>
      <w:r>
        <w:t xml:space="preserve"> Translation note: Article cleanup: English supplies a for servant and fool phrases.</w:t>
      </w:r>
    </w:p>
  </w:footnote>
  <w:footnote w:id="11039">
    <w:p>
      <w:pPr>
        <w:pStyle w:val="FootnoteText"/>
      </w:pPr>
      <w:r>
        <w:rPr>
          <w:rStyle w:val="FootnoteReference"/>
        </w:rPr>
        <w:footnoteRef/>
      </w:r>
      <w:r>
        <w:t xml:space="preserve"> Cross-references for "a servant": Prov 19:10; Prov 28:3.</w:t>
      </w:r>
    </w:p>
  </w:footnote>
  <w:footnote w:id="11040">
    <w:p>
      <w:pPr>
        <w:pStyle w:val="FootnoteText"/>
      </w:pPr>
      <w:r>
        <w:rPr>
          <w:rStyle w:val="FootnoteReference"/>
        </w:rPr>
        <w:footnoteRef/>
      </w:r>
      <w:r>
        <w:t xml:space="preserve"> Translation note: Article cleanup: English supplies articles for maidservant/hated-woman/good-husband phrases.</w:t>
      </w:r>
    </w:p>
  </w:footnote>
  <w:footnote w:id="11041">
    <w:p>
      <w:pPr>
        <w:pStyle w:val="FootnoteText"/>
      </w:pPr>
      <w:r>
        <w:rPr>
          <w:rStyle w:val="FootnoteReference"/>
        </w:rPr>
        <w:footnoteRef/>
      </w:r>
      <w:r>
        <w:t xml:space="preserve"> Translation note: Article/predicate cleanup: English supplies the and are for earth/wise comparison syntax.</w:t>
      </w:r>
    </w:p>
  </w:footnote>
  <w:footnote w:id="11042">
    <w:p>
      <w:pPr>
        <w:pStyle w:val="FootnoteText"/>
      </w:pPr>
      <w:r>
        <w:rPr>
          <w:rStyle w:val="FootnoteReference"/>
        </w:rPr>
        <w:footnoteRef/>
      </w:r>
      <w:r>
        <w:t xml:space="preserve"> Cross-references for "little": Job 12:7.</w:t>
      </w:r>
    </w:p>
  </w:footnote>
  <w:footnote w:id="11043">
    <w:p>
      <w:pPr>
        <w:pStyle w:val="FootnoteText"/>
      </w:pPr>
      <w:r>
        <w:rPr>
          <w:rStyle w:val="FootnoteReference"/>
        </w:rPr>
        <w:footnoteRef/>
      </w:r>
      <w:r>
        <w:t xml:space="preserve"> Translation note: Article cleanup: English supplies the for ants.</w:t>
      </w:r>
    </w:p>
  </w:footnote>
  <w:footnote w:id="11044">
    <w:p>
      <w:pPr>
        <w:pStyle w:val="FootnoteText"/>
      </w:pPr>
      <w:r>
        <w:rPr>
          <w:rStyle w:val="FootnoteReference"/>
        </w:rPr>
        <w:footnoteRef/>
      </w:r>
      <w:r>
        <w:t xml:space="preserve"> Translation note: Article cleanup: English supplies articles for rock-badgers/nation/rocks phrases.</w:t>
      </w:r>
    </w:p>
  </w:footnote>
  <w:footnote w:id="11045">
    <w:p>
      <w:pPr>
        <w:pStyle w:val="FootnoteText"/>
      </w:pPr>
      <w:r>
        <w:rPr>
          <w:rStyle w:val="FootnoteReference"/>
        </w:rPr>
        <w:footnoteRef/>
      </w:r>
      <w:r>
        <w:t xml:space="preserve"> Translation note: Article cleanup: English supplies the for locust.</w:t>
      </w:r>
    </w:p>
  </w:footnote>
  <w:footnote w:id="11046">
    <w:p>
      <w:pPr>
        <w:pStyle w:val="FootnoteText"/>
      </w:pPr>
      <w:r>
        <w:rPr>
          <w:rStyle w:val="FootnoteReference"/>
        </w:rPr>
        <w:footnoteRef/>
      </w:r>
      <w:r>
        <w:t xml:space="preserve"> Translation note: Article cleanup: English supplies articles/possessive for lizard/hands/fortresses phrase.</w:t>
      </w:r>
    </w:p>
  </w:footnote>
  <w:footnote w:id="11047">
    <w:p>
      <w:pPr>
        <w:pStyle w:val="FootnoteText"/>
      </w:pPr>
      <w:r>
        <w:rPr>
          <w:rStyle w:val="FootnoteReference"/>
        </w:rPr>
        <w:footnoteRef/>
      </w:r>
      <w:r>
        <w:t xml:space="preserve"> Translation note: Article cleanup: English supplies a for the fourth phrase.</w:t>
      </w:r>
    </w:p>
  </w:footnote>
  <w:footnote w:id="11048">
    <w:p>
      <w:pPr>
        <w:pStyle w:val="FootnoteText"/>
      </w:pPr>
      <w:r>
        <w:rPr>
          <w:rStyle w:val="FootnoteReference"/>
        </w:rPr>
        <w:footnoteRef/>
      </w:r>
      <w:r>
        <w:t xml:space="preserve"> Translation note: Article/predicate cleanup: English supplies a/is/among and a for lion-cub/beast syntax.</w:t>
      </w:r>
    </w:p>
  </w:footnote>
  <w:footnote w:id="11049">
    <w:p>
      <w:pPr>
        <w:pStyle w:val="FootnoteText"/>
      </w:pPr>
      <w:r>
        <w:rPr>
          <w:rStyle w:val="FootnoteReference"/>
        </w:rPr>
        <w:footnoteRef/>
      </w:r>
      <w:r>
        <w:t xml:space="preserve"> Translation note: Article cleanup: English supplies articles for rooster/goat/flock/nation phrases.</w:t>
      </w:r>
    </w:p>
  </w:footnote>
  <w:footnote w:id="11050">
    <w:p>
      <w:pPr>
        <w:pStyle w:val="FootnoteText"/>
      </w:pPr>
      <w:r>
        <w:rPr>
          <w:rStyle w:val="FootnoteReference"/>
        </w:rPr>
        <w:footnoteRef/>
      </w:r>
      <w:r>
        <w:t xml:space="preserve"> Translation note: Predicate cleanup: English supplies when/is for the pressed-milk clause.</w:t>
      </w:r>
    </w:p>
  </w:footnote>
  <w:footnote w:id="11051">
    <w:p>
      <w:pPr>
        <w:pStyle w:val="FootnoteText"/>
      </w:pPr>
      <w:r>
        <w:rPr>
          <w:rStyle w:val="FootnoteReference"/>
        </w:rPr>
        <w:footnoteRef/>
      </w:r>
      <w:r>
        <w:t xml:space="preserve"> Translation note: Article cleanup: English supplies an/a for oracle-of-king syntax.</w:t>
      </w:r>
    </w:p>
  </w:footnote>
  <w:footnote w:id="11052">
    <w:p>
      <w:pPr>
        <w:pStyle w:val="FootnoteText"/>
      </w:pPr>
      <w:r>
        <w:rPr>
          <w:rStyle w:val="FootnoteReference"/>
        </w:rPr>
        <w:footnoteRef/>
      </w:r>
      <w:r>
        <w:t xml:space="preserve"> Translation note: Article cleanup: English supplies the for rulers.</w:t>
      </w:r>
    </w:p>
  </w:footnote>
  <w:footnote w:id="11053">
    <w:p>
      <w:pPr>
        <w:pStyle w:val="FootnoteText"/>
      </w:pPr>
      <w:r>
        <w:rPr>
          <w:rStyle w:val="FootnoteReference"/>
        </w:rPr>
        <w:footnoteRef/>
      </w:r>
      <w:r>
        <w:t xml:space="preserve"> Translation note: Article cleanup: English supplies the for the weak.</w:t>
      </w:r>
    </w:p>
  </w:footnote>
  <w:footnote w:id="11054">
    <w:p>
      <w:pPr>
        <w:pStyle w:val="FootnoteText"/>
      </w:pPr>
      <w:r>
        <w:rPr>
          <w:rStyle w:val="FootnoteReference"/>
        </w:rPr>
        <w:footnoteRef/>
      </w:r>
      <w:r>
        <w:t xml:space="preserve"> Cross-references for "strong": Ps 104:15; 1Tim 5:23.</w:t>
      </w:r>
    </w:p>
  </w:footnote>
  <w:footnote w:id="11055">
    <w:p>
      <w:pPr>
        <w:pStyle w:val="FootnoteText"/>
      </w:pPr>
      <w:r>
        <w:rPr>
          <w:rStyle w:val="FootnoteReference"/>
        </w:rPr>
        <w:footnoteRef/>
      </w:r>
      <w:r>
        <w:t xml:space="preserve"> Translation note: Possessive cleanup: English supplies their for poverty/troubles syntax.</w:t>
      </w:r>
    </w:p>
  </w:footnote>
  <w:footnote w:id="11056">
    <w:p>
      <w:pPr>
        <w:pStyle w:val="FootnoteText"/>
      </w:pPr>
      <w:r>
        <w:rPr>
          <w:rStyle w:val="FootnoteReference"/>
        </w:rPr>
        <w:footnoteRef/>
      </w:r>
      <w:r>
        <w:t xml:space="preserve"> Translation note: Article cleanup: English supplies the for word of God.</w:t>
      </w:r>
    </w:p>
  </w:footnote>
  <w:footnote w:id="11057">
    <w:p>
      <w:pPr>
        <w:pStyle w:val="FootnoteText"/>
      </w:pPr>
      <w:r>
        <w:rPr>
          <w:rStyle w:val="FootnoteReference"/>
        </w:rPr>
        <w:footnoteRef/>
      </w:r>
      <w:r>
        <w:t xml:space="preserve"> Cross-references for "Open": 1Sam 19:4-7; 1Sam 20:32.</w:t>
      </w:r>
    </w:p>
  </w:footnote>
  <w:footnote w:id="11058">
    <w:p>
      <w:pPr>
        <w:pStyle w:val="FootnoteText"/>
      </w:pPr>
      <w:r>
        <w:rPr>
          <w:rStyle w:val="FootnoteReference"/>
        </w:rPr>
        <w:footnoteRef/>
      </w:r>
      <w:r>
        <w:t xml:space="preserve"> Translation note: Article cleanup: English supplies the for poor/weak class phrase.</w:t>
      </w:r>
    </w:p>
  </w:footnote>
  <w:footnote w:id="11059">
    <w:p>
      <w:pPr>
        <w:pStyle w:val="FootnoteText"/>
      </w:pPr>
      <w:r>
        <w:rPr>
          <w:rStyle w:val="FootnoteReference"/>
        </w:rPr>
        <w:footnoteRef/>
      </w:r>
      <w:r>
        <w:t xml:space="preserve"> Translation note: Article/predicate cleanup: English supplies a/is for wife/woman syntax.</w:t>
      </w:r>
    </w:p>
  </w:footnote>
  <w:footnote w:id="11060">
    <w:p>
      <w:pPr>
        <w:pStyle w:val="FootnoteText"/>
      </w:pPr>
      <w:r>
        <w:rPr>
          <w:rStyle w:val="FootnoteReference"/>
        </w:rPr>
        <w:footnoteRef/>
      </w:r>
      <w:r>
        <w:t xml:space="preserve"> Translation note: Article cleanup: English supplies a for such-a-woman phrase.</w:t>
      </w:r>
    </w:p>
  </w:footnote>
  <w:footnote w:id="11061">
    <w:p>
      <w:pPr>
        <w:pStyle w:val="FootnoteText"/>
      </w:pPr>
      <w:r>
        <w:rPr>
          <w:rStyle w:val="FootnoteReference"/>
        </w:rPr>
        <w:footnoteRef/>
      </w:r>
      <w:r>
        <w:t xml:space="preserve"> Translation note: Possessive cleanup: English supplies her for all-life phrase.</w:t>
      </w:r>
    </w:p>
  </w:footnote>
  <w:footnote w:id="11062">
    <w:p>
      <w:pPr>
        <w:pStyle w:val="FootnoteText"/>
      </w:pPr>
      <w:r>
        <w:rPr>
          <w:rStyle w:val="FootnoteReference"/>
        </w:rPr>
        <w:footnoteRef/>
      </w:r>
      <w:r>
        <w:t xml:space="preserve"> Translation note: Lexical/article cleanup: wool/flax handling avoids modern false sense of chews.</w:t>
      </w:r>
    </w:p>
  </w:footnote>
  <w:footnote w:id="11063">
    <w:p>
      <w:pPr>
        <w:pStyle w:val="FootnoteText"/>
      </w:pPr>
      <w:r>
        <w:rPr>
          <w:rStyle w:val="FootnoteReference"/>
        </w:rPr>
        <w:footnoteRef/>
      </w:r>
      <w:r>
        <w:t xml:space="preserve"> Translation note: Article cleanup: English supplies a for merchant ship.</w:t>
      </w:r>
    </w:p>
  </w:footnote>
  <w:footnote w:id="11064">
    <w:p>
      <w:pPr>
        <w:pStyle w:val="FootnoteText"/>
      </w:pPr>
      <w:r>
        <w:rPr>
          <w:rStyle w:val="FootnoteReference"/>
        </w:rPr>
        <w:footnoteRef/>
      </w:r>
      <w:r>
        <w:t xml:space="preserve"> Translation note: Article cleanup: English supplies by night and the for maidservants.</w:t>
      </w:r>
    </w:p>
  </w:footnote>
  <w:footnote w:id="11065">
    <w:p>
      <w:pPr>
        <w:pStyle w:val="FootnoteText"/>
      </w:pPr>
      <w:r>
        <w:rPr>
          <w:rStyle w:val="FootnoteReference"/>
        </w:rPr>
        <w:footnoteRef/>
      </w:r>
      <w:r>
        <w:t xml:space="preserve"> Translation note: Article cleanup: English supplies a for field/possession phrases.</w:t>
      </w:r>
    </w:p>
  </w:footnote>
  <w:footnote w:id="11066">
    <w:p>
      <w:pPr>
        <w:pStyle w:val="FootnoteText"/>
      </w:pPr>
      <w:r>
        <w:rPr>
          <w:rStyle w:val="FootnoteReference"/>
        </w:rPr>
        <w:footnoteRef/>
      </w:r>
      <w:r>
        <w:t xml:space="preserve"> Translation note: Article cleanup: English supplies the for whole night.</w:t>
      </w:r>
    </w:p>
  </w:footnote>
  <w:footnote w:id="11067">
    <w:p>
      <w:pPr>
        <w:pStyle w:val="FootnoteText"/>
      </w:pPr>
      <w:r>
        <w:rPr>
          <w:rStyle w:val="FootnoteReference"/>
        </w:rPr>
        <w:footnoteRef/>
      </w:r>
      <w:r>
        <w:t xml:space="preserve"> Translation note: Article cleanup: English supplies the for useful things/spindle phrases.</w:t>
      </w:r>
    </w:p>
  </w:footnote>
  <w:footnote w:id="11068">
    <w:p>
      <w:pPr>
        <w:pStyle w:val="FootnoteText"/>
      </w:pPr>
      <w:r>
        <w:rPr>
          <w:rStyle w:val="FootnoteReference"/>
        </w:rPr>
        <w:footnoteRef/>
      </w:r>
      <w:r>
        <w:t xml:space="preserve"> Translation note: Article/lexical cleanup: English supplies the for poor/needy and renders karpos as wrist here.</w:t>
      </w:r>
    </w:p>
  </w:footnote>
  <w:footnote w:id="11069">
    <w:p>
      <w:pPr>
        <w:pStyle w:val="FootnoteText"/>
      </w:pPr>
      <w:r>
        <w:rPr>
          <w:rStyle w:val="FootnoteReference"/>
        </w:rPr>
        <w:footnoteRef/>
      </w:r>
      <w:r>
        <w:t xml:space="preserve"> Translation note: Predicate cleanup: English supplies who are for all-from-her syntax.</w:t>
      </w:r>
    </w:p>
  </w:footnote>
  <w:footnote w:id="11070">
    <w:p>
      <w:pPr>
        <w:pStyle w:val="FootnoteText"/>
      </w:pPr>
      <w:r>
        <w:rPr>
          <w:rStyle w:val="FootnoteReference"/>
        </w:rPr>
        <w:footnoteRef/>
      </w:r>
      <w:r>
        <w:t xml:space="preserve"> Cross-references for "clothing": Gen 41:42; Ps 45:13-14.</w:t>
      </w:r>
    </w:p>
  </w:footnote>
  <w:footnote w:id="11071">
    <w:p>
      <w:pPr>
        <w:pStyle w:val="FootnoteText"/>
      </w:pPr>
      <w:r>
        <w:rPr>
          <w:rStyle w:val="FootnoteReference"/>
        </w:rPr>
        <w:footnoteRef/>
      </w:r>
      <w:r>
        <w:t xml:space="preserve"> Translation note: Article cleanup: English supplies the for gates.</w:t>
      </w:r>
    </w:p>
  </w:footnote>
  <w:footnote w:id="11072">
    <w:p>
      <w:pPr>
        <w:pStyle w:val="FootnoteText"/>
      </w:pPr>
      <w:r>
        <w:rPr>
          <w:rStyle w:val="FootnoteReference"/>
        </w:rPr>
        <w:footnoteRef/>
      </w:r>
      <w:r>
        <w:t xml:space="preserve"> Cross-references for "husband": Prov 12:4.</w:t>
      </w:r>
    </w:p>
  </w:footnote>
  <w:footnote w:id="11073">
    <w:p>
      <w:pPr>
        <w:pStyle w:val="FootnoteText"/>
      </w:pPr>
      <w:r>
        <w:rPr>
          <w:rStyle w:val="FootnoteReference"/>
        </w:rPr>
        <w:footnoteRef/>
      </w:r>
      <w:r>
        <w:t xml:space="preserve"> Translation note: Article cleanup: English supplies the for Canaanites.</w:t>
      </w:r>
    </w:p>
  </w:footnote>
  <w:footnote w:id="11074">
    <w:p>
      <w:pPr>
        <w:pStyle w:val="FootnoteText"/>
      </w:pPr>
      <w:r>
        <w:rPr>
          <w:rStyle w:val="FootnoteReference"/>
        </w:rPr>
        <w:footnoteRef/>
      </w:r>
      <w:r>
        <w:t xml:space="preserve"> Cross-references for "and she": Ps 97:11-12; Isa 65:13-14.</w:t>
      </w:r>
    </w:p>
  </w:footnote>
  <w:footnote w:id="11075">
    <w:p>
      <w:pPr>
        <w:pStyle w:val="FootnoteText"/>
      </w:pPr>
      <w:r>
        <w:rPr>
          <w:rStyle w:val="FootnoteReference"/>
        </w:rPr>
        <w:footnoteRef/>
      </w:r>
      <w:r>
        <w:t xml:space="preserve"> Translation note: Article cleanup: English supplies the for latter days.</w:t>
      </w:r>
    </w:p>
  </w:footnote>
  <w:footnote w:id="11076">
    <w:p>
      <w:pPr>
        <w:pStyle w:val="FootnoteText"/>
      </w:pPr>
      <w:r>
        <w:rPr>
          <w:rStyle w:val="FootnoteReference"/>
        </w:rPr>
        <w:footnoteRef/>
      </w:r>
      <w:r>
        <w:t xml:space="preserve"> Cross-references for "children": Prov 31:1.</w:t>
      </w:r>
    </w:p>
  </w:footnote>
  <w:footnote w:id="11077">
    <w:p>
      <w:pPr>
        <w:pStyle w:val="FootnoteText"/>
      </w:pPr>
      <w:r>
        <w:rPr>
          <w:rStyle w:val="FootnoteReference"/>
        </w:rPr>
        <w:footnoteRef/>
      </w:r>
      <w:r>
        <w:t xml:space="preserve"> Translation note: Article/predicate cleanup: English supplies is/a for beauty-of-woman/prudent-woman syntax.</w:t>
      </w:r>
    </w:p>
  </w:footnote>
  <w:footnote w:id="11078">
    <w:p>
      <w:pPr>
        <w:pStyle w:val="FootnoteText"/>
      </w:pPr>
      <w:r>
        <w:rPr>
          <w:rStyle w:val="FootnoteReference"/>
        </w:rPr>
        <w:footnoteRef/>
      </w:r>
      <w:r>
        <w:t xml:space="preserve"> Cross-references for "a woman": Exod 1:17-21; Ps 147:11.</w:t>
      </w:r>
    </w:p>
  </w:footnote>
  <w:footnote w:id="11079">
    <w:p>
      <w:pPr>
        <w:pStyle w:val="FootnoteText"/>
      </w:pPr>
      <w:r>
        <w:rPr>
          <w:rStyle w:val="FootnoteReference"/>
        </w:rPr>
        <w:footnoteRef/>
      </w:r>
      <w:r>
        <w:t xml:space="preserve"> Cross-references for "and let": Mark 14:7-9; Acts 9:39.</w:t>
      </w:r>
    </w:p>
  </w:footnote>
  <w:footnote w:id="11080">
    <w:p>
      <w:pPr>
        <w:pStyle w:val="FootnoteText"/>
      </w:pPr>
      <w:r>
        <w:rPr>
          <w:rStyle w:val="FootnoteReference"/>
        </w:rPr>
        <w:footnoteRef/>
      </w:r>
      <w:r>
        <w:t xml:space="preserve"> Cross-references for "king": Eccl 1:12.</w:t>
      </w:r>
    </w:p>
  </w:footnote>
  <w:footnote w:id="11081">
    <w:p>
      <w:pPr>
        <w:pStyle w:val="FootnoteText"/>
      </w:pPr>
      <w:r>
        <w:rPr>
          <w:rStyle w:val="FootnoteReference"/>
        </w:rPr>
        <w:footnoteRef/>
      </w:r>
      <w:r>
        <w:t xml:space="preserve"> Translation note: Predicate cleanup: English supplies are for all-things predicate.</w:t>
      </w:r>
    </w:p>
  </w:footnote>
  <w:footnote w:id="11082">
    <w:p>
      <w:pPr>
        <w:pStyle w:val="FootnoteText"/>
      </w:pPr>
      <w:r>
        <w:rPr>
          <w:rStyle w:val="FootnoteReference"/>
        </w:rPr>
        <w:footnoteRef/>
      </w:r>
      <w:r>
        <w:t xml:space="preserve"> Translation note: Article/predicate cleanup: English supplies is there and a for man phrase.</w:t>
      </w:r>
    </w:p>
  </w:footnote>
  <w:footnote w:id="11083">
    <w:p>
      <w:pPr>
        <w:pStyle w:val="FootnoteText"/>
      </w:pPr>
      <w:r>
        <w:rPr>
          <w:rStyle w:val="FootnoteReference"/>
        </w:rPr>
        <w:footnoteRef/>
      </w:r>
      <w:r>
        <w:t xml:space="preserve"> Cross-references for "under": Eccl 2:11; Eccl 2:19.</w:t>
      </w:r>
    </w:p>
  </w:footnote>
  <w:footnote w:id="11084">
    <w:p>
      <w:pPr>
        <w:pStyle w:val="FootnoteText"/>
      </w:pPr>
      <w:r>
        <w:rPr>
          <w:rStyle w:val="FootnoteReference"/>
        </w:rPr>
        <w:footnoteRef/>
      </w:r>
      <w:r>
        <w:t xml:space="preserve"> Translation note: Article cleanup: English supplies a/the for generation/earth/age phrases.</w:t>
      </w:r>
    </w:p>
  </w:footnote>
  <w:footnote w:id="11085">
    <w:p>
      <w:pPr>
        <w:pStyle w:val="FootnoteText"/>
      </w:pPr>
      <w:r>
        <w:rPr>
          <w:rStyle w:val="FootnoteReference"/>
        </w:rPr>
        <w:footnoteRef/>
      </w:r>
      <w:r>
        <w:t xml:space="preserve"> Translation note: Article cleanup: English supplies the for sun phrases.</w:t>
      </w:r>
    </w:p>
  </w:footnote>
  <w:footnote w:id="11086">
    <w:p>
      <w:pPr>
        <w:pStyle w:val="FootnoteText"/>
      </w:pPr>
      <w:r>
        <w:rPr>
          <w:rStyle w:val="FootnoteReference"/>
        </w:rPr>
        <w:footnoteRef/>
      </w:r>
      <w:r>
        <w:t xml:space="preserve"> Cross-references for "the wind": Job 37:9; Job 37:17.</w:t>
      </w:r>
    </w:p>
  </w:footnote>
  <w:footnote w:id="11087">
    <w:p>
      <w:pPr>
        <w:pStyle w:val="FootnoteText"/>
      </w:pPr>
      <w:r>
        <w:rPr>
          <w:rStyle w:val="FootnoteReference"/>
        </w:rPr>
        <w:footnoteRef/>
      </w:r>
      <w:r>
        <w:t xml:space="preserve"> Translation note: Article cleanup: English supplies the for south/north/wind phrases.</w:t>
      </w:r>
    </w:p>
  </w:footnote>
  <w:footnote w:id="11088">
    <w:p>
      <w:pPr>
        <w:pStyle w:val="FootnoteText"/>
      </w:pPr>
      <w:r>
        <w:rPr>
          <w:rStyle w:val="FootnoteReference"/>
        </w:rPr>
        <w:footnoteRef/>
      </w:r>
      <w:r>
        <w:t xml:space="preserve"> Translation note: Article cleanup: English supplies the for sea/place/torrents phrases.</w:t>
      </w:r>
    </w:p>
  </w:footnote>
  <w:footnote w:id="11089">
    <w:p>
      <w:pPr>
        <w:pStyle w:val="FootnoteText"/>
      </w:pPr>
      <w:r>
        <w:rPr>
          <w:rStyle w:val="FootnoteReference"/>
        </w:rPr>
        <w:footnoteRef/>
      </w:r>
      <w:r>
        <w:t xml:space="preserve"> Cross-references for "the eye": Ps 63:5; Prov 27:20.</w:t>
      </w:r>
    </w:p>
  </w:footnote>
  <w:footnote w:id="11090">
    <w:p>
      <w:pPr>
        <w:pStyle w:val="FootnoteText"/>
      </w:pPr>
      <w:r>
        <w:rPr>
          <w:rStyle w:val="FootnoteReference"/>
        </w:rPr>
        <w:footnoteRef/>
      </w:r>
      <w:r>
        <w:t xml:space="preserve"> Translation note: Article cleanup: English supplies a/the for man/eye/ear phrases.</w:t>
      </w:r>
    </w:p>
  </w:footnote>
  <w:footnote w:id="11091">
    <w:p>
      <w:pPr>
        <w:pStyle w:val="FootnoteText"/>
      </w:pPr>
      <w:r>
        <w:rPr>
          <w:rStyle w:val="FootnoteReference"/>
        </w:rPr>
        <w:footnoteRef/>
      </w:r>
      <w:r>
        <w:t xml:space="preserve"> Cross-references for "and there": Isa 43:19; Jer 31:22.</w:t>
      </w:r>
    </w:p>
  </w:footnote>
  <w:footnote w:id="11092">
    <w:p>
      <w:pPr>
        <w:pStyle w:val="FootnoteText"/>
      </w:pPr>
      <w:r>
        <w:rPr>
          <w:rStyle w:val="FootnoteReference"/>
        </w:rPr>
        <w:footnoteRef/>
      </w:r>
      <w:r>
        <w:t xml:space="preserve"> Translation note: Predicate cleanup: English supplies is for repeated this-what clauses.</w:t>
      </w:r>
    </w:p>
  </w:footnote>
  <w:footnote w:id="11093">
    <w:p>
      <w:pPr>
        <w:pStyle w:val="FootnoteText"/>
      </w:pPr>
      <w:r>
        <w:rPr>
          <w:rStyle w:val="FootnoteReference"/>
        </w:rPr>
        <w:footnoteRef/>
      </w:r>
      <w:r>
        <w:t xml:space="preserve"> Translation note: Article cleanup: English supplies the for ages.</w:t>
      </w:r>
    </w:p>
  </w:footnote>
  <w:footnote w:id="11094">
    <w:p>
      <w:pPr>
        <w:pStyle w:val="FootnoteText"/>
      </w:pPr>
      <w:r>
        <w:rPr>
          <w:rStyle w:val="FootnoteReference"/>
        </w:rPr>
        <w:footnoteRef/>
      </w:r>
      <w:r>
        <w:t xml:space="preserve"> Cross-references for "There is": Ps 9:6; Eccl 2:16.</w:t>
      </w:r>
    </w:p>
  </w:footnote>
  <w:footnote w:id="11095">
    <w:p>
      <w:pPr>
        <w:pStyle w:val="FootnoteText"/>
      </w:pPr>
      <w:r>
        <w:rPr>
          <w:rStyle w:val="FootnoteReference"/>
        </w:rPr>
        <w:footnoteRef/>
      </w:r>
      <w:r>
        <w:t xml:space="preserve"> Translation note: Article cleanup: English supplies the for first/last/future/end phrases.</w:t>
      </w:r>
    </w:p>
  </w:footnote>
  <w:footnote w:id="11096">
    <w:p>
      <w:pPr>
        <w:pStyle w:val="FootnoteText"/>
      </w:pPr>
      <w:r>
        <w:rPr>
          <w:rStyle w:val="FootnoteReference"/>
        </w:rPr>
        <w:footnoteRef/>
      </w:r>
      <w:r>
        <w:t xml:space="preserve"> Cross-references for "I gave": Ps 111:2; Prov 2:2-4.</w:t>
      </w:r>
    </w:p>
  </w:footnote>
  <w:footnote w:id="11097">
    <w:p>
      <w:pPr>
        <w:pStyle w:val="FootnoteText"/>
      </w:pPr>
      <w:r>
        <w:rPr>
          <w:rStyle w:val="FootnoteReference"/>
        </w:rPr>
        <w:footnoteRef/>
      </w:r>
      <w:r>
        <w:t xml:space="preserve"> Translation note: Word-order cleanup: English fronts God as subject of the gave clause.</w:t>
      </w:r>
    </w:p>
  </w:footnote>
  <w:footnote w:id="11098">
    <w:p>
      <w:pPr>
        <w:pStyle w:val="FootnoteText"/>
      </w:pPr>
      <w:r>
        <w:rPr>
          <w:rStyle w:val="FootnoteReference"/>
        </w:rPr>
        <w:footnoteRef/>
      </w:r>
      <w:r>
        <w:t xml:space="preserve"> Translation note: Predicate cleanup: English supplies is for all-vanity clause.</w:t>
      </w:r>
    </w:p>
  </w:footnote>
  <w:footnote w:id="11099">
    <w:p>
      <w:pPr>
        <w:pStyle w:val="FootnoteText"/>
      </w:pPr>
      <w:r>
        <w:rPr>
          <w:rStyle w:val="FootnoteReference"/>
        </w:rPr>
        <w:footnoteRef/>
      </w:r>
      <w:r>
        <w:t xml:space="preserve"> Cross-references for "I gave": Eccl 1:13; Eccl 2:3.</w:t>
      </w:r>
    </w:p>
  </w:footnote>
  <w:footnote w:id="11100">
    <w:p>
      <w:pPr>
        <w:pStyle w:val="FootnoteText"/>
      </w:pPr>
      <w:r>
        <w:rPr>
          <w:rStyle w:val="FootnoteReference"/>
        </w:rPr>
        <w:footnoteRef/>
      </w:r>
      <w:r>
        <w:t xml:space="preserve"> Translation note: Article/predicate cleanup: English supplies is and the for wisdom/knowledge saying.</w:t>
      </w:r>
    </w:p>
  </w:footnote>
  <w:footnote w:id="11101">
    <w:p>
      <w:pPr>
        <w:pStyle w:val="FootnoteText"/>
      </w:pPr>
      <w:r>
        <w:rPr>
          <w:rStyle w:val="FootnoteReference"/>
        </w:rPr>
        <w:footnoteRef/>
      </w:r>
      <w:r>
        <w:t xml:space="preserve"> Translation note: Predicate cleanup: English supplies is for this-too-vanity clause.</w:t>
      </w:r>
    </w:p>
  </w:footnote>
  <w:footnote w:id="11102">
    <w:p>
      <w:pPr>
        <w:pStyle w:val="FootnoteText"/>
      </w:pPr>
      <w:r>
        <w:rPr>
          <w:rStyle w:val="FootnoteReference"/>
        </w:rPr>
        <w:footnoteRef/>
      </w:r>
      <w:r>
        <w:t xml:space="preserve"> Cross-references for "said": Ps 10:6; Ps 14:1.</w:t>
      </w:r>
    </w:p>
  </w:footnote>
  <w:footnote w:id="11103">
    <w:p>
      <w:pPr>
        <w:pStyle w:val="FootnoteText"/>
      </w:pPr>
      <w:r>
        <w:rPr>
          <w:rStyle w:val="FootnoteReference"/>
        </w:rPr>
        <w:footnoteRef/>
      </w:r>
      <w:r>
        <w:t xml:space="preserve"> Translation note: Predicate/article cleanup: English supplies there is and clarifies the days-number phrase.</w:t>
      </w:r>
    </w:p>
  </w:footnote>
  <w:footnote w:id="11104">
    <w:p>
      <w:pPr>
        <w:pStyle w:val="FootnoteText"/>
      </w:pPr>
      <w:r>
        <w:rPr>
          <w:rStyle w:val="FootnoteReference"/>
        </w:rPr>
        <w:footnoteRef/>
      </w:r>
      <w:r>
        <w:t xml:space="preserve"> Cross-references for "I planted": 1Chr 27:27; 2Chr 26:10.</w:t>
      </w:r>
    </w:p>
  </w:footnote>
  <w:footnote w:id="11105">
    <w:p>
      <w:pPr>
        <w:pStyle w:val="FootnoteText"/>
      </w:pPr>
      <w:r>
        <w:rPr>
          <w:rStyle w:val="FootnoteReference"/>
        </w:rPr>
        <w:footnoteRef/>
      </w:r>
      <w:r>
        <w:t xml:space="preserve"> Translation note: Article cleanup: English supplies a for forest phrase.</w:t>
      </w:r>
    </w:p>
  </w:footnote>
  <w:footnote w:id="11106">
    <w:p>
      <w:pPr>
        <w:pStyle w:val="FootnoteText"/>
      </w:pPr>
      <w:r>
        <w:rPr>
          <w:rStyle w:val="FootnoteReference"/>
        </w:rPr>
        <w:footnoteRef/>
      </w:r>
      <w:r>
        <w:t xml:space="preserve"> Cross-references for "pools": Neh 2:14; Song 7:4.</w:t>
      </w:r>
    </w:p>
  </w:footnote>
  <w:footnote w:id="11107">
    <w:p>
      <w:pPr>
        <w:pStyle w:val="FootnoteText"/>
      </w:pPr>
      <w:r>
        <w:rPr>
          <w:rStyle w:val="FootnoteReference"/>
        </w:rPr>
        <w:footnoteRef/>
      </w:r>
      <w:r>
        <w:t xml:space="preserve"> Cross-references for "servants": 1Kgs 9:20-22; Ezra 2:58.</w:t>
      </w:r>
    </w:p>
  </w:footnote>
  <w:footnote w:id="11108">
    <w:p>
      <w:pPr>
        <w:pStyle w:val="FootnoteText"/>
      </w:pPr>
      <w:r>
        <w:rPr>
          <w:rStyle w:val="FootnoteReference"/>
        </w:rPr>
        <w:footnoteRef/>
      </w:r>
      <w:r>
        <w:t xml:space="preserve"> Translation note: Predicate cleanup: English supplies who were for all-before-me phrase.</w:t>
      </w:r>
    </w:p>
  </w:footnote>
  <w:footnote w:id="11109">
    <w:p>
      <w:pPr>
        <w:pStyle w:val="FootnoteText"/>
      </w:pPr>
      <w:r>
        <w:rPr>
          <w:rStyle w:val="FootnoteReference"/>
        </w:rPr>
        <w:footnoteRef/>
      </w:r>
      <w:r>
        <w:t xml:space="preserve"> Cross-references for "silver": 1Kgs 9:14; 1Kgs 9:28.</w:t>
      </w:r>
    </w:p>
  </w:footnote>
  <w:footnote w:id="11110">
    <w:p>
      <w:pPr>
        <w:pStyle w:val="FootnoteText"/>
      </w:pPr>
      <w:r>
        <w:rPr>
          <w:rStyle w:val="FootnoteReference"/>
        </w:rPr>
        <w:footnoteRef/>
      </w:r>
      <w:r>
        <w:t xml:space="preserve"> Translation note: Article cleanup: English supplies of the/the/a for provinces/sons/cupbearer phrases.</w:t>
      </w:r>
    </w:p>
  </w:footnote>
  <w:footnote w:id="11111">
    <w:p>
      <w:pPr>
        <w:pStyle w:val="FootnoteText"/>
      </w:pPr>
      <w:r>
        <w:rPr>
          <w:rStyle w:val="FootnoteReference"/>
        </w:rPr>
        <w:footnoteRef/>
      </w:r>
      <w:r>
        <w:t xml:space="preserve"> Cross-references for "my heart rejoiced": Ps 128:2; Eccl 2:22.</w:t>
      </w:r>
    </w:p>
  </w:footnote>
  <w:footnote w:id="11112">
    <w:p>
      <w:pPr>
        <w:pStyle w:val="FootnoteText"/>
      </w:pPr>
      <w:r>
        <w:rPr>
          <w:rStyle w:val="FootnoteReference"/>
        </w:rPr>
        <w:footnoteRef/>
      </w:r>
      <w:r>
        <w:t xml:space="preserve"> Translation note: Relative-clause cleanup: English supplies that for all-my-eyes-asked phrase.</w:t>
      </w:r>
    </w:p>
  </w:footnote>
  <w:footnote w:id="11113">
    <w:p>
      <w:pPr>
        <w:pStyle w:val="FootnoteText"/>
      </w:pPr>
      <w:r>
        <w:rPr>
          <w:rStyle w:val="FootnoteReference"/>
        </w:rPr>
        <w:footnoteRef/>
      </w:r>
      <w:r>
        <w:t xml:space="preserve"> Cross-references for "I looked": Gen 1:31; Exod 39:43.</w:t>
      </w:r>
    </w:p>
  </w:footnote>
  <w:footnote w:id="11114">
    <w:p>
      <w:pPr>
        <w:pStyle w:val="FootnoteText"/>
      </w:pPr>
      <w:r>
        <w:rPr>
          <w:rStyle w:val="FootnoteReference"/>
        </w:rPr>
        <w:footnoteRef/>
      </w:r>
      <w:r>
        <w:t xml:space="preserve"> Translation note: Predicate cleanup: English supplies is for all-vanity clause.</w:t>
      </w:r>
    </w:p>
  </w:footnote>
  <w:footnote w:id="11115">
    <w:p>
      <w:pPr>
        <w:pStyle w:val="FootnoteText"/>
      </w:pPr>
      <w:r>
        <w:rPr>
          <w:rStyle w:val="FootnoteReference"/>
        </w:rPr>
        <w:footnoteRef/>
      </w:r>
      <w:r>
        <w:t xml:space="preserve"> Translation note: Article cleanup: English supplies the for surplus comparison.</w:t>
      </w:r>
    </w:p>
  </w:footnote>
  <w:footnote w:id="11116">
    <w:p>
      <w:pPr>
        <w:pStyle w:val="FootnoteText"/>
      </w:pPr>
      <w:r>
        <w:rPr>
          <w:rStyle w:val="FootnoteReference"/>
        </w:rPr>
        <w:footnoteRef/>
      </w:r>
      <w:r>
        <w:t xml:space="preserve"> Cross-references for "I saw": Prov 4:5-7; Prov 16:16.</w:t>
      </w:r>
    </w:p>
  </w:footnote>
  <w:footnote w:id="11117">
    <w:p>
      <w:pPr>
        <w:pStyle w:val="FootnoteText"/>
      </w:pPr>
      <w:r>
        <w:rPr>
          <w:rStyle w:val="FootnoteReference"/>
        </w:rPr>
        <w:footnoteRef/>
      </w:r>
      <w:r>
        <w:t xml:space="preserve"> Cross-references for "wise": Prov 14:8; Prov 17:24.</w:t>
      </w:r>
    </w:p>
  </w:footnote>
  <w:footnote w:id="11118">
    <w:p>
      <w:pPr>
        <w:pStyle w:val="FootnoteText"/>
      </w:pPr>
      <w:r>
        <w:rPr>
          <w:rStyle w:val="FootnoteReference"/>
        </w:rPr>
        <w:footnoteRef/>
      </w:r>
      <w:r>
        <w:t xml:space="preserve"> Translation note: Article/predicate cleanup: English supplies are/the for wise-man/fool contrast.</w:t>
      </w:r>
    </w:p>
  </w:footnote>
  <w:footnote w:id="11119">
    <w:p>
      <w:pPr>
        <w:pStyle w:val="FootnoteText"/>
      </w:pPr>
      <w:r>
        <w:rPr>
          <w:rStyle w:val="FootnoteReference"/>
        </w:rPr>
        <w:footnoteRef/>
      </w:r>
      <w:r>
        <w:t xml:space="preserve"> Translation note: Article/predicate cleanup: English supplies the/is/a for meeting/fool/vanity syntax.</w:t>
      </w:r>
    </w:p>
  </w:footnote>
  <w:footnote w:id="11120">
    <w:p>
      <w:pPr>
        <w:pStyle w:val="FootnoteText"/>
      </w:pPr>
      <w:r>
        <w:rPr>
          <w:rStyle w:val="FootnoteReference"/>
        </w:rPr>
        <w:footnoteRef/>
      </w:r>
      <w:r>
        <w:t xml:space="preserve"> Cross-references for "there is": Exod 1:6; Exod 1:8.</w:t>
      </w:r>
    </w:p>
  </w:footnote>
  <w:footnote w:id="11121">
    <w:p>
      <w:pPr>
        <w:pStyle w:val="FootnoteText"/>
      </w:pPr>
      <w:r>
        <w:rPr>
          <w:rStyle w:val="FootnoteReference"/>
        </w:rPr>
        <w:footnoteRef/>
      </w:r>
      <w:r>
        <w:t xml:space="preserve"> Translation note: Article cleanup: English supplies the and man for wise/fool/day phrases.</w:t>
      </w:r>
    </w:p>
  </w:footnote>
  <w:footnote w:id="11122">
    <w:p>
      <w:pPr>
        <w:pStyle w:val="FootnoteText"/>
      </w:pPr>
      <w:r>
        <w:rPr>
          <w:rStyle w:val="FootnoteReference"/>
        </w:rPr>
        <w:footnoteRef/>
      </w:r>
      <w:r>
        <w:t xml:space="preserve"> Translation note: Predicate cleanup: English supplies is for all-vanity clause.</w:t>
      </w:r>
    </w:p>
  </w:footnote>
  <w:footnote w:id="11123">
    <w:p>
      <w:pPr>
        <w:pStyle w:val="FootnoteText"/>
      </w:pPr>
      <w:r>
        <w:rPr>
          <w:rStyle w:val="FootnoteReference"/>
        </w:rPr>
        <w:footnoteRef/>
      </w:r>
      <w:r>
        <w:t xml:space="preserve"> Cross-references for "I hated": Num 11:15; 1Kgs 19:4.</w:t>
      </w:r>
    </w:p>
  </w:footnote>
  <w:footnote w:id="11124">
    <w:p>
      <w:pPr>
        <w:pStyle w:val="FootnoteText"/>
      </w:pPr>
      <w:r>
        <w:rPr>
          <w:rStyle w:val="FootnoteReference"/>
        </w:rPr>
        <w:footnoteRef/>
      </w:r>
      <w:r>
        <w:t xml:space="preserve"> Translation note: Article cleanup: English supplies the for man-coming-after-me phrase.</w:t>
      </w:r>
    </w:p>
  </w:footnote>
  <w:footnote w:id="11125">
    <w:p>
      <w:pPr>
        <w:pStyle w:val="FootnoteText"/>
      </w:pPr>
      <w:r>
        <w:rPr>
          <w:rStyle w:val="FootnoteReference"/>
        </w:rPr>
        <w:footnoteRef/>
      </w:r>
      <w:r>
        <w:t xml:space="preserve"> Cross-references for "I hated": Eccl 1:13; Eccl 2:4-9.</w:t>
      </w:r>
    </w:p>
  </w:footnote>
  <w:footnote w:id="11126">
    <w:p>
      <w:pPr>
        <w:pStyle w:val="FootnoteText"/>
      </w:pPr>
      <w:r>
        <w:rPr>
          <w:rStyle w:val="FootnoteReference"/>
        </w:rPr>
        <w:footnoteRef/>
      </w:r>
      <w:r>
        <w:t xml:space="preserve"> Cross-references for "wise under": Eccl 9:13; Luke 16:8.</w:t>
      </w:r>
    </w:p>
  </w:footnote>
  <w:footnote w:id="11127">
    <w:p>
      <w:pPr>
        <w:pStyle w:val="FootnoteText"/>
      </w:pPr>
      <w:r>
        <w:rPr>
          <w:rStyle w:val="FootnoteReference"/>
        </w:rPr>
        <w:footnoteRef/>
      </w:r>
      <w:r>
        <w:t xml:space="preserve"> Translation note: Article/predicate cleanup: English supplies a/is for fool and vanity clauses.</w:t>
      </w:r>
    </w:p>
  </w:footnote>
  <w:footnote w:id="11128">
    <w:p>
      <w:pPr>
        <w:pStyle w:val="FootnoteText"/>
      </w:pPr>
      <w:r>
        <w:rPr>
          <w:rStyle w:val="FootnoteReference"/>
        </w:rPr>
        <w:footnoteRef/>
      </w:r>
      <w:r>
        <w:t xml:space="preserve"> Translation note: Article cleanup: English supplies the for all-toil phrase.</w:t>
      </w:r>
    </w:p>
  </w:footnote>
  <w:footnote w:id="11129">
    <w:p>
      <w:pPr>
        <w:pStyle w:val="FootnoteText"/>
      </w:pPr>
      <w:r>
        <w:rPr>
          <w:rStyle w:val="FootnoteReference"/>
        </w:rPr>
        <w:footnoteRef/>
      </w:r>
      <w:r>
        <w:t xml:space="preserve"> Translation note: Article/predicate cleanup: English supplies a/is for man/vanity/great-evil phrases.</w:t>
      </w:r>
    </w:p>
  </w:footnote>
  <w:footnote w:id="11130">
    <w:p>
      <w:pPr>
        <w:pStyle w:val="FootnoteText"/>
      </w:pPr>
      <w:r>
        <w:rPr>
          <w:rStyle w:val="FootnoteReference"/>
        </w:rPr>
        <w:footnoteRef/>
      </w:r>
      <w:r>
        <w:t xml:space="preserve"> Translation note: Article cleanup: English supplies a/the for man and choice-of-heart phrases.</w:t>
      </w:r>
    </w:p>
  </w:footnote>
  <w:footnote w:id="11131">
    <w:p>
      <w:pPr>
        <w:pStyle w:val="FootnoteText"/>
      </w:pPr>
      <w:r>
        <w:rPr>
          <w:rStyle w:val="FootnoteReference"/>
        </w:rPr>
        <w:footnoteRef/>
      </w:r>
      <w:r>
        <w:t xml:space="preserve"> Cross-references for "his heart": Job 7:13-14; Ps 6:6-7.</w:t>
      </w:r>
    </w:p>
  </w:footnote>
  <w:footnote w:id="11132">
    <w:p>
      <w:pPr>
        <w:pStyle w:val="FootnoteText"/>
      </w:pPr>
      <w:r>
        <w:rPr>
          <w:rStyle w:val="FootnoteReference"/>
        </w:rPr>
        <w:footnoteRef/>
      </w:r>
      <w:r>
        <w:t xml:space="preserve"> Translation note: Article/predicate cleanup: English supplies is/the for wrath/night/vanity clauses.</w:t>
      </w:r>
    </w:p>
  </w:footnote>
  <w:footnote w:id="11133">
    <w:p>
      <w:pPr>
        <w:pStyle w:val="FootnoteText"/>
      </w:pPr>
      <w:r>
        <w:rPr>
          <w:rStyle w:val="FootnoteReference"/>
        </w:rPr>
        <w:footnoteRef/>
      </w:r>
      <w:r>
        <w:t xml:space="preserve"> Translation note: The Greek speaks of showing the soul good in toil. The current wording keeps that anthropological line visible.</w:t>
      </w:r>
    </w:p>
  </w:footnote>
  <w:footnote w:id="11134">
    <w:p>
      <w:pPr>
        <w:pStyle w:val="FootnoteText"/>
      </w:pPr>
      <w:r>
        <w:rPr>
          <w:rStyle w:val="FootnoteReference"/>
        </w:rPr>
        <w:footnoteRef/>
      </w:r>
      <w:r>
        <w:t xml:space="preserve"> Cross-references for "that it": Eccl 3:13; Eccl 5:19.</w:t>
      </w:r>
    </w:p>
  </w:footnote>
  <w:footnote w:id="11135">
    <w:p>
      <w:pPr>
        <w:pStyle w:val="FootnoteText"/>
      </w:pPr>
      <w:r>
        <w:rPr>
          <w:rStyle w:val="FootnoteReference"/>
        </w:rPr>
        <w:footnoteRef/>
      </w:r>
      <w:r>
        <w:t xml:space="preserve"> Cross-references for "wisdom": 2Chr 31:20-21; Prov 3:13-18.</w:t>
      </w:r>
    </w:p>
  </w:footnote>
  <w:footnote w:id="11136">
    <w:p>
      <w:pPr>
        <w:pStyle w:val="FootnoteText"/>
      </w:pPr>
      <w:r>
        <w:rPr>
          <w:rStyle w:val="FootnoteReference"/>
        </w:rPr>
        <w:footnoteRef/>
      </w:r>
      <w:r>
        <w:t xml:space="preserve"> Translation note: The Greek uses the before-the-face-of-God phrase directly. The current wording preserves that wording.</w:t>
      </w:r>
    </w:p>
  </w:footnote>
  <w:footnote w:id="11137">
    <w:p>
      <w:pPr>
        <w:pStyle w:val="FootnoteText"/>
      </w:pPr>
      <w:r>
        <w:rPr>
          <w:rStyle w:val="FootnoteReference"/>
        </w:rPr>
        <w:footnoteRef/>
      </w:r>
      <w:r>
        <w:t xml:space="preserve"> Cross-references for "under": Eccl 1:13; Eccl 2:3.</w:t>
      </w:r>
    </w:p>
  </w:footnote>
  <w:footnote w:id="11138">
    <w:p>
      <w:pPr>
        <w:pStyle w:val="FootnoteText"/>
      </w:pPr>
      <w:r>
        <w:rPr>
          <w:rStyle w:val="FootnoteReference"/>
        </w:rPr>
        <w:footnoteRef/>
      </w:r>
      <w:r>
        <w:t xml:space="preserve"> Translation note: Article review supplied English count-noun articles while preserving the repeated Greek kairos structure.</w:t>
      </w:r>
    </w:p>
  </w:footnote>
  <w:footnote w:id="11139">
    <w:p>
      <w:pPr>
        <w:pStyle w:val="FootnoteText"/>
      </w:pPr>
      <w:r>
        <w:rPr>
          <w:rStyle w:val="FootnoteReference"/>
        </w:rPr>
        <w:footnoteRef/>
      </w:r>
      <w:r>
        <w:t xml:space="preserve"> Cross-references for "and a time": Gen 47:29; Num 20:24-28.</w:t>
      </w:r>
    </w:p>
  </w:footnote>
  <w:footnote w:id="11140">
    <w:p>
      <w:pPr>
        <w:pStyle w:val="FootnoteText"/>
      </w:pPr>
      <w:r>
        <w:rPr>
          <w:rStyle w:val="FootnoteReference"/>
        </w:rPr>
        <w:footnoteRef/>
      </w:r>
      <w:r>
        <w:t xml:space="preserve"> Translation note: Article review supplied English count-noun articles while preserving the repeated Greek kairos structure.</w:t>
      </w:r>
    </w:p>
  </w:footnote>
  <w:footnote w:id="11141">
    <w:p>
      <w:pPr>
        <w:pStyle w:val="FootnoteText"/>
      </w:pPr>
      <w:r>
        <w:rPr>
          <w:rStyle w:val="FootnoteReference"/>
        </w:rPr>
        <w:footnoteRef/>
      </w:r>
      <w:r>
        <w:t xml:space="preserve"> Cross-references for "time to kill": Deut 32:39; 1Sam 2:6.</w:t>
      </w:r>
    </w:p>
  </w:footnote>
  <w:footnote w:id="11142">
    <w:p>
      <w:pPr>
        <w:pStyle w:val="FootnoteText"/>
      </w:pPr>
      <w:r>
        <w:rPr>
          <w:rStyle w:val="FootnoteReference"/>
        </w:rPr>
        <w:footnoteRef/>
      </w:r>
      <w:r>
        <w:t xml:space="preserve"> Translation note: Article review supplied English count-noun articles while preserving the repeated Greek kairos structure.</w:t>
      </w:r>
    </w:p>
  </w:footnote>
  <w:footnote w:id="11143">
    <w:p>
      <w:pPr>
        <w:pStyle w:val="FootnoteText"/>
      </w:pPr>
      <w:r>
        <w:rPr>
          <w:rStyle w:val="FootnoteReference"/>
        </w:rPr>
        <w:footnoteRef/>
      </w:r>
      <w:r>
        <w:t xml:space="preserve"> Cross-references for "time to weep": Neh 8:9-12; Neh 9:1-38.</w:t>
      </w:r>
    </w:p>
  </w:footnote>
  <w:footnote w:id="11144">
    <w:p>
      <w:pPr>
        <w:pStyle w:val="FootnoteText"/>
      </w:pPr>
      <w:r>
        <w:rPr>
          <w:rStyle w:val="FootnoteReference"/>
        </w:rPr>
        <w:footnoteRef/>
      </w:r>
      <w:r>
        <w:t xml:space="preserve"> Translation note: Article review supplied English count-noun articles while preserving the repeated Greek kairos structure.</w:t>
      </w:r>
    </w:p>
  </w:footnote>
  <w:footnote w:id="11145">
    <w:p>
      <w:pPr>
        <w:pStyle w:val="FootnoteText"/>
      </w:pPr>
      <w:r>
        <w:rPr>
          <w:rStyle w:val="FootnoteReference"/>
        </w:rPr>
        <w:footnoteRef/>
      </w:r>
      <w:r>
        <w:t xml:space="preserve"> Cross-references for "a time to embrace": Exod 19:15; 1Sam 21:4-5.</w:t>
      </w:r>
    </w:p>
  </w:footnote>
  <w:footnote w:id="11146">
    <w:p>
      <w:pPr>
        <w:pStyle w:val="FootnoteText"/>
      </w:pPr>
      <w:r>
        <w:rPr>
          <w:rStyle w:val="FootnoteReference"/>
        </w:rPr>
        <w:footnoteRef/>
      </w:r>
      <w:r>
        <w:t xml:space="preserve"> Translation note: Article review supplied English count-noun articles while preserving the repeated Greek kairos structure.</w:t>
      </w:r>
    </w:p>
  </w:footnote>
  <w:footnote w:id="11147">
    <w:p>
      <w:pPr>
        <w:pStyle w:val="FootnoteText"/>
      </w:pPr>
      <w:r>
        <w:rPr>
          <w:rStyle w:val="FootnoteReference"/>
        </w:rPr>
        <w:footnoteRef/>
      </w:r>
      <w:r>
        <w:t xml:space="preserve"> Cross-references for "and a time to cast": 2Kgs 7:15; Ps 112:9.</w:t>
      </w:r>
    </w:p>
  </w:footnote>
  <w:footnote w:id="11148">
    <w:p>
      <w:pPr>
        <w:pStyle w:val="FootnoteText"/>
      </w:pPr>
      <w:r>
        <w:rPr>
          <w:rStyle w:val="FootnoteReference"/>
        </w:rPr>
        <w:footnoteRef/>
      </w:r>
      <w:r>
        <w:t xml:space="preserve"> Translation note: Article review supplied English count-noun articles while preserving the repeated Greek kairos structure.</w:t>
      </w:r>
    </w:p>
  </w:footnote>
  <w:footnote w:id="11149">
    <w:p>
      <w:pPr>
        <w:pStyle w:val="FootnoteText"/>
      </w:pPr>
      <w:r>
        <w:rPr>
          <w:rStyle w:val="FootnoteReference"/>
        </w:rPr>
        <w:footnoteRef/>
      </w:r>
      <w:r>
        <w:t xml:space="preserve"> Cross-references for "and a time to speak": Gen 44:18; Gen 44:34.</w:t>
      </w:r>
    </w:p>
  </w:footnote>
  <w:footnote w:id="11150">
    <w:p>
      <w:pPr>
        <w:pStyle w:val="FootnoteText"/>
      </w:pPr>
      <w:r>
        <w:rPr>
          <w:rStyle w:val="FootnoteReference"/>
        </w:rPr>
        <w:footnoteRef/>
      </w:r>
      <w:r>
        <w:t xml:space="preserve"> Translation note: Article review supplied English count-noun articles while preserving the repeated Greek kairos structure.</w:t>
      </w:r>
    </w:p>
  </w:footnote>
  <w:footnote w:id="11151">
    <w:p>
      <w:pPr>
        <w:pStyle w:val="FootnoteText"/>
      </w:pPr>
      <w:r>
        <w:rPr>
          <w:rStyle w:val="FootnoteReference"/>
        </w:rPr>
        <w:footnoteRef/>
      </w:r>
      <w:r>
        <w:t xml:space="preserve"> Cross-references for "time to love": Ps 139:21; Ezek 16:8.</w:t>
      </w:r>
    </w:p>
  </w:footnote>
  <w:footnote w:id="11152">
    <w:p>
      <w:pPr>
        <w:pStyle w:val="FootnoteText"/>
      </w:pPr>
      <w:r>
        <w:rPr>
          <w:rStyle w:val="FootnoteReference"/>
        </w:rPr>
        <w:footnoteRef/>
      </w:r>
      <w:r>
        <w:t xml:space="preserve"> Translation note: Article review supplied English articles and an explicit existential for readable literal syntax.</w:t>
      </w:r>
    </w:p>
  </w:footnote>
  <w:footnote w:id="11153">
    <w:p>
      <w:pPr>
        <w:pStyle w:val="FootnoteText"/>
      </w:pPr>
      <w:r>
        <w:rPr>
          <w:rStyle w:val="FootnoteReference"/>
        </w:rPr>
        <w:footnoteRef/>
      </w:r>
      <w:r>
        <w:t xml:space="preserve"> Translation note: Article review supplied the article for the Greek articular object ton perispasmon.</w:t>
      </w:r>
    </w:p>
  </w:footnote>
  <w:footnote w:id="11154">
    <w:p>
      <w:pPr>
        <w:pStyle w:val="FootnoteText"/>
      </w:pPr>
      <w:r>
        <w:rPr>
          <w:rStyle w:val="FootnoteReference"/>
        </w:rPr>
        <w:footnoteRef/>
      </w:r>
      <w:r>
        <w:t xml:space="preserve"> Cross-references for "also": Matt 13:22; Rom 1:19-20.</w:t>
      </w:r>
    </w:p>
  </w:footnote>
  <w:footnote w:id="11155">
    <w:p>
      <w:pPr>
        <w:pStyle w:val="FootnoteText"/>
      </w:pPr>
      <w:r>
        <w:rPr>
          <w:rStyle w:val="FootnoteReference"/>
        </w:rPr>
        <w:footnoteRef/>
      </w:r>
      <w:r>
        <w:t xml:space="preserve"> Translation note: Article review supplied articles for Greek articular age/work language and smoothed the terminal phrase.</w:t>
      </w:r>
    </w:p>
  </w:footnote>
  <w:footnote w:id="11156">
    <w:p>
      <w:pPr>
        <w:pStyle w:val="FootnoteText"/>
      </w:pPr>
      <w:r>
        <w:rPr>
          <w:rStyle w:val="FootnoteReference"/>
        </w:rPr>
        <w:footnoteRef/>
      </w:r>
      <w:r>
        <w:t xml:space="preserve"> Cross-references for "nothing": Ps 76:10; Prov 19:21.</w:t>
      </w:r>
    </w:p>
  </w:footnote>
  <w:footnote w:id="11157">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1158">
    <w:p>
      <w:pPr>
        <w:pStyle w:val="FootnoteText"/>
      </w:pPr>
      <w:r>
        <w:rPr>
          <w:rStyle w:val="FootnoteReference"/>
        </w:rPr>
        <w:footnoteRef/>
      </w:r>
      <w:r>
        <w:t xml:space="preserve"> Cross-references for "said": Eccl 1:16; Eccl 2:1.</w:t>
      </w:r>
    </w:p>
  </w:footnote>
  <w:footnote w:id="11159">
    <w:p>
      <w:pPr>
        <w:pStyle w:val="FootnoteText"/>
      </w:pPr>
      <w:r>
        <w:rPr>
          <w:rStyle w:val="FootnoteReference"/>
        </w:rPr>
        <w:footnoteRef/>
      </w:r>
      <w:r>
        <w:t xml:space="preserve"> Translation note: Article review supplied the English existential before season for readable literal syntax.</w:t>
      </w:r>
    </w:p>
  </w:footnote>
  <w:footnote w:id="11160">
    <w:p>
      <w:pPr>
        <w:pStyle w:val="FootnoteText"/>
      </w:pPr>
      <w:r>
        <w:rPr>
          <w:rStyle w:val="FootnoteReference"/>
        </w:rPr>
        <w:footnoteRef/>
      </w:r>
      <w:r>
        <w:t xml:space="preserve"> Cross-references for "that God": Job 40:8; Ps 51:4.</w:t>
      </w:r>
    </w:p>
  </w:footnote>
  <w:footnote w:id="11161">
    <w:p>
      <w:pPr>
        <w:pStyle w:val="FootnoteText"/>
      </w:pPr>
      <w:r>
        <w:rPr>
          <w:rStyle w:val="FootnoteReference"/>
        </w:rPr>
        <w:footnoteRef/>
      </w:r>
      <w:r>
        <w:t xml:space="preserve"> Translation note: Article review supplied articles for the sons-of-man phrase and its governing noun.</w:t>
      </w:r>
    </w:p>
  </w:footnote>
  <w:footnote w:id="11162">
    <w:p>
      <w:pPr>
        <w:pStyle w:val="FootnoteText"/>
      </w:pPr>
      <w:r>
        <w:rPr>
          <w:rStyle w:val="FootnoteReference"/>
        </w:rPr>
        <w:footnoteRef/>
      </w:r>
      <w:r>
        <w:t xml:space="preserve"> Cross-references for "as the": 2Sam 14:14; Job 14:10-12.</w:t>
      </w:r>
    </w:p>
  </w:footnote>
  <w:footnote w:id="11163">
    <w:p>
      <w:pPr>
        <w:pStyle w:val="FootnoteText"/>
      </w:pPr>
      <w:r>
        <w:rPr>
          <w:rStyle w:val="FootnoteReference"/>
        </w:rPr>
        <w:footnoteRef/>
      </w:r>
      <w:r>
        <w:t xml:space="preserve"> Translation note: Article review supplied articles and predicate support for readable literal syntax.</w:t>
      </w:r>
    </w:p>
  </w:footnote>
  <w:footnote w:id="11164">
    <w:p>
      <w:pPr>
        <w:pStyle w:val="FootnoteText"/>
      </w:pPr>
      <w:r>
        <w:rPr>
          <w:rStyle w:val="FootnoteReference"/>
        </w:rPr>
        <w:footnoteRef/>
      </w:r>
      <w:r>
        <w:t xml:space="preserve"> Translation note: Article review supplied articles for the spirit/sons/beast phrases.</w:t>
      </w:r>
    </w:p>
  </w:footnote>
  <w:footnote w:id="11165">
    <w:p>
      <w:pPr>
        <w:pStyle w:val="FootnoteText"/>
      </w:pPr>
      <w:r>
        <w:rPr>
          <w:rStyle w:val="FootnoteReference"/>
        </w:rPr>
        <w:footnoteRef/>
      </w:r>
      <w:r>
        <w:t xml:space="preserve"> Translation note: Article review supplied the English copula for readable literal syntax.</w:t>
      </w:r>
    </w:p>
  </w:footnote>
  <w:footnote w:id="11166">
    <w:p>
      <w:pPr>
        <w:pStyle w:val="FootnoteText"/>
      </w:pPr>
      <w:r>
        <w:rPr>
          <w:rStyle w:val="FootnoteReference"/>
        </w:rPr>
        <w:footnoteRef/>
      </w:r>
      <w:r>
        <w:t xml:space="preserve"> Cross-references for "the tears": Ps 42:3; Ps 42:9.</w:t>
      </w:r>
    </w:p>
  </w:footnote>
  <w:footnote w:id="11167">
    <w:p>
      <w:pPr>
        <w:pStyle w:val="FootnoteText"/>
      </w:pPr>
      <w:r>
        <w:rPr>
          <w:rStyle w:val="FootnoteReference"/>
        </w:rPr>
        <w:footnoteRef/>
      </w:r>
      <w:r>
        <w:t xml:space="preserve"> Translation note: Article review supplied articles for Greek articular slanders and tears.</w:t>
      </w:r>
    </w:p>
  </w:footnote>
  <w:footnote w:id="11168">
    <w:p>
      <w:pPr>
        <w:pStyle w:val="FootnoteText"/>
      </w:pPr>
      <w:r>
        <w:rPr>
          <w:rStyle w:val="FootnoteReference"/>
        </w:rPr>
        <w:footnoteRef/>
      </w:r>
      <w:r>
        <w:t xml:space="preserve"> Translation note: Article review supplied predicate support and the article for the evil work.</w:t>
      </w:r>
    </w:p>
  </w:footnote>
  <w:footnote w:id="11169">
    <w:p>
      <w:pPr>
        <w:pStyle w:val="FootnoteText"/>
      </w:pPr>
      <w:r>
        <w:rPr>
          <w:rStyle w:val="FootnoteReference"/>
        </w:rPr>
        <w:footnoteRef/>
      </w:r>
      <w:r>
        <w:t xml:space="preserve"> Cross-references for "better": Job 3:10-16; Job 10:18-19.</w:t>
      </w:r>
    </w:p>
  </w:footnote>
  <w:footnote w:id="11170">
    <w:p>
      <w:pPr>
        <w:pStyle w:val="FootnoteText"/>
      </w:pPr>
      <w:r>
        <w:rPr>
          <w:rStyle w:val="FootnoteReference"/>
        </w:rPr>
        <w:footnoteRef/>
      </w:r>
      <w:r>
        <w:t xml:space="preserve"> Translation note: Article review supplied articles for toil/work and predicate support for vanity language.</w:t>
      </w:r>
    </w:p>
  </w:footnote>
  <w:footnote w:id="11171">
    <w:p>
      <w:pPr>
        <w:pStyle w:val="FootnoteText"/>
      </w:pPr>
      <w:r>
        <w:rPr>
          <w:rStyle w:val="FootnoteReference"/>
        </w:rPr>
        <w:footnoteRef/>
      </w:r>
      <w:r>
        <w:t xml:space="preserve"> Cross-references for "fool": Prov 6:10-11; Prov 12:27.</w:t>
      </w:r>
    </w:p>
  </w:footnote>
  <w:footnote w:id="11172">
    <w:p>
      <w:pPr>
        <w:pStyle w:val="FootnoteText"/>
      </w:pPr>
      <w:r>
        <w:rPr>
          <w:rStyle w:val="FootnoteReference"/>
        </w:rPr>
        <w:footnoteRef/>
      </w:r>
      <w:r>
        <w:t xml:space="preserve"> Translation note: Article review supplied the article for the filling phrase and smoothed the complement.</w:t>
      </w:r>
    </w:p>
  </w:footnote>
  <w:footnote w:id="11173">
    <w:p>
      <w:pPr>
        <w:pStyle w:val="FootnoteText"/>
      </w:pPr>
      <w:r>
        <w:rPr>
          <w:rStyle w:val="FootnoteReference"/>
        </w:rPr>
        <w:footnoteRef/>
      </w:r>
      <w:r>
        <w:t xml:space="preserve"> Translation note: Article review supplied readable negative/existential syntax and predicate support for vanity language.</w:t>
      </w:r>
    </w:p>
  </w:footnote>
  <w:footnote w:id="11174">
    <w:p>
      <w:pPr>
        <w:pStyle w:val="FootnoteText"/>
      </w:pPr>
      <w:r>
        <w:rPr>
          <w:rStyle w:val="FootnoteReference"/>
        </w:rPr>
        <w:footnoteRef/>
      </w:r>
      <w:r>
        <w:t xml:space="preserve"> Translation note: Article review supplied articles for Greek articular numerals and a for reward.</w:t>
      </w:r>
    </w:p>
  </w:footnote>
  <w:footnote w:id="11175">
    <w:p>
      <w:pPr>
        <w:pStyle w:val="FootnoteText"/>
      </w:pPr>
      <w:r>
        <w:rPr>
          <w:rStyle w:val="FootnoteReference"/>
        </w:rPr>
        <w:footnoteRef/>
      </w:r>
      <w:r>
        <w:t xml:space="preserve"> Cross-references for "a good": Ruth 2:12; John 4:36.</w:t>
      </w:r>
    </w:p>
  </w:footnote>
  <w:footnote w:id="11176">
    <w:p>
      <w:pPr>
        <w:pStyle w:val="FootnoteText"/>
      </w:pPr>
      <w:r>
        <w:rPr>
          <w:rStyle w:val="FootnoteReference"/>
        </w:rPr>
        <w:footnoteRef/>
      </w:r>
      <w:r>
        <w:t xml:space="preserve"> Translation note: Article review supplied the article for Greek articular one.</w:t>
      </w:r>
    </w:p>
  </w:footnote>
  <w:footnote w:id="11177">
    <w:p>
      <w:pPr>
        <w:pStyle w:val="FootnoteText"/>
      </w:pPr>
      <w:r>
        <w:rPr>
          <w:rStyle w:val="FootnoteReference"/>
        </w:rPr>
        <w:footnoteRef/>
      </w:r>
      <w:r>
        <w:t xml:space="preserve"> Translation note: Article review supplied the article for Greek articular one.</w:t>
      </w:r>
    </w:p>
  </w:footnote>
  <w:footnote w:id="11178">
    <w:p>
      <w:pPr>
        <w:pStyle w:val="FootnoteText"/>
      </w:pPr>
      <w:r>
        <w:rPr>
          <w:rStyle w:val="FootnoteReference"/>
        </w:rPr>
        <w:footnoteRef/>
      </w:r>
      <w:r>
        <w:t xml:space="preserve"> Translation note: Article review supplied articles for Greek articular one/two/threefold cord.</w:t>
      </w:r>
    </w:p>
  </w:footnote>
  <w:footnote w:id="11179">
    <w:p>
      <w:pPr>
        <w:pStyle w:val="FootnoteText"/>
      </w:pPr>
      <w:r>
        <w:rPr>
          <w:rStyle w:val="FootnoteReference"/>
        </w:rPr>
        <w:footnoteRef/>
      </w:r>
      <w:r>
        <w:t xml:space="preserve"> Translation note: Article review supplied English count-noun articles for child and king.</w:t>
      </w:r>
    </w:p>
  </w:footnote>
  <w:footnote w:id="11180">
    <w:p>
      <w:pPr>
        <w:pStyle w:val="FootnoteText"/>
      </w:pPr>
      <w:r>
        <w:rPr>
          <w:rStyle w:val="FootnoteReference"/>
        </w:rPr>
        <w:footnoteRef/>
      </w:r>
      <w:r>
        <w:t xml:space="preserve"> Translation note: Article review supplied the article for the prisoners phrase.</w:t>
      </w:r>
    </w:p>
  </w:footnote>
  <w:footnote w:id="11181">
    <w:p>
      <w:pPr>
        <w:pStyle w:val="FootnoteText"/>
      </w:pPr>
      <w:r>
        <w:rPr>
          <w:rStyle w:val="FootnoteReference"/>
        </w:rPr>
        <w:footnoteRef/>
      </w:r>
      <w:r>
        <w:t xml:space="preserve"> Translation note: Article review supplied articles for Greek articular living and second young man.</w:t>
      </w:r>
    </w:p>
  </w:footnote>
  <w:footnote w:id="11182">
    <w:p>
      <w:pPr>
        <w:pStyle w:val="FootnoteText"/>
      </w:pPr>
      <w:r>
        <w:rPr>
          <w:rStyle w:val="FootnoteReference"/>
        </w:rPr>
        <w:footnoteRef/>
      </w:r>
      <w:r>
        <w:t xml:space="preserve"> Cross-references for "no end": 2Sam 15:12-13; 1Kgs 1:5-7.</w:t>
      </w:r>
    </w:p>
  </w:footnote>
  <w:footnote w:id="11183">
    <w:p>
      <w:pPr>
        <w:pStyle w:val="FootnoteText"/>
      </w:pPr>
      <w:r>
        <w:rPr>
          <w:rStyle w:val="FootnoteReference"/>
        </w:rPr>
        <w:footnoteRef/>
      </w:r>
      <w:r>
        <w:t xml:space="preserve"> Translation note: Article review supplied predicate support for vanity language.</w:t>
      </w:r>
    </w:p>
  </w:footnote>
  <w:footnote w:id="11184">
    <w:p>
      <w:pPr>
        <w:pStyle w:val="FootnoteText"/>
      </w:pPr>
      <w:r>
        <w:rPr>
          <w:rStyle w:val="FootnoteReference"/>
        </w:rPr>
        <w:footnoteRef/>
      </w:r>
      <w:r>
        <w:t xml:space="preserve"> Translation note: Article review supplied the article for the sacrifice phrase.</w:t>
      </w:r>
    </w:p>
  </w:footnote>
  <w:footnote w:id="11185">
    <w:p>
      <w:pPr>
        <w:pStyle w:val="FootnoteText"/>
      </w:pPr>
      <w:r>
        <w:rPr>
          <w:rStyle w:val="FootnoteReference"/>
        </w:rPr>
        <w:footnoteRef/>
      </w:r>
      <w:r>
        <w:t xml:space="preserve"> Translation note: Article review supplied a for word and English copulas for the heaven/earth contrast.</w:t>
      </w:r>
    </w:p>
  </w:footnote>
  <w:footnote w:id="11186">
    <w:p>
      <w:pPr>
        <w:pStyle w:val="FootnoteText"/>
      </w:pPr>
      <w:r>
        <w:rPr>
          <w:rStyle w:val="FootnoteReference"/>
        </w:rPr>
        <w:footnoteRef/>
      </w:r>
      <w:r>
        <w:t xml:space="preserve"> Translation note: Article review supplied a/the for dream and voice-of-fool syntax.</w:t>
      </w:r>
    </w:p>
  </w:footnote>
  <w:footnote w:id="11187">
    <w:p>
      <w:pPr>
        <w:pStyle w:val="FootnoteText"/>
      </w:pPr>
      <w:r>
        <w:rPr>
          <w:rStyle w:val="FootnoteReference"/>
        </w:rPr>
        <w:footnoteRef/>
      </w:r>
      <w:r>
        <w:t xml:space="preserve"> Translation note: Article review supplied the for Greek articular works.</w:t>
      </w:r>
    </w:p>
  </w:footnote>
  <w:footnote w:id="11188">
    <w:p>
      <w:pPr>
        <w:pStyle w:val="FootnoteText"/>
      </w:pPr>
      <w:r>
        <w:rPr>
          <w:rStyle w:val="FootnoteReference"/>
        </w:rPr>
        <w:footnoteRef/>
      </w:r>
      <w:r>
        <w:t xml:space="preserve"> Translation note: Article review preserves the singular poor-man idiom and supplies articles for province/matter/high-one syntax.</w:t>
      </w:r>
    </w:p>
  </w:footnote>
  <w:footnote w:id="11189">
    <w:p>
      <w:pPr>
        <w:pStyle w:val="FootnoteText"/>
      </w:pPr>
      <w:r>
        <w:rPr>
          <w:rStyle w:val="FootnoteReference"/>
        </w:rPr>
        <w:footnoteRef/>
      </w:r>
      <w:r>
        <w:t xml:space="preserve"> Translation note: Article review supplied is for vanity predicate.</w:t>
      </w:r>
    </w:p>
  </w:footnote>
  <w:footnote w:id="11190">
    <w:p>
      <w:pPr>
        <w:pStyle w:val="FootnoteText"/>
      </w:pPr>
      <w:r>
        <w:rPr>
          <w:rStyle w:val="FootnoteReference"/>
        </w:rPr>
        <w:footnoteRef/>
      </w:r>
      <w:r>
        <w:t xml:space="preserve"> Translation note: Article review supplied the for eaters and an explicit existential for the advantage question.</w:t>
      </w:r>
    </w:p>
  </w:footnote>
  <w:footnote w:id="11191">
    <w:p>
      <w:pPr>
        <w:pStyle w:val="FootnoteText"/>
      </w:pPr>
      <w:r>
        <w:rPr>
          <w:rStyle w:val="FootnoteReference"/>
        </w:rPr>
        <w:footnoteRef/>
      </w:r>
      <w:r>
        <w:t xml:space="preserve"> Translation note: Article review supplied articles and predicate order for servant/rich-man syntax.</w:t>
      </w:r>
    </w:p>
  </w:footnote>
  <w:footnote w:id="11192">
    <w:p>
      <w:pPr>
        <w:pStyle w:val="FootnoteText"/>
      </w:pPr>
      <w:r>
        <w:rPr>
          <w:rStyle w:val="FootnoteReference"/>
        </w:rPr>
        <w:footnoteRef/>
      </w:r>
      <w:r>
        <w:t xml:space="preserve"> Translation note: Article review supplied a for sickness.</w:t>
      </w:r>
    </w:p>
  </w:footnote>
  <w:footnote w:id="11193">
    <w:p>
      <w:pPr>
        <w:pStyle w:val="FootnoteText"/>
      </w:pPr>
      <w:r>
        <w:rPr>
          <w:rStyle w:val="FootnoteReference"/>
        </w:rPr>
        <w:footnoteRef/>
      </w:r>
      <w:r>
        <w:t xml:space="preserve"> Translation note: Article review supplied articles for evil distraction and son.</w:t>
      </w:r>
    </w:p>
  </w:footnote>
  <w:footnote w:id="11194">
    <w:p>
      <w:pPr>
        <w:pStyle w:val="FootnoteText"/>
      </w:pPr>
      <w:r>
        <w:rPr>
          <w:rStyle w:val="FootnoteReference"/>
        </w:rPr>
        <w:footnoteRef/>
      </w:r>
      <w:r>
        <w:t xml:space="preserve"> Translation note: Article review supplied predicate support and an article for evil sickness.</w:t>
      </w:r>
    </w:p>
  </w:footnote>
  <w:footnote w:id="11195">
    <w:p>
      <w:pPr>
        <w:pStyle w:val="FootnoteText"/>
      </w:pPr>
      <w:r>
        <w:rPr>
          <w:rStyle w:val="FootnoteReference"/>
        </w:rPr>
        <w:footnoteRef/>
      </w:r>
      <w:r>
        <w:t xml:space="preserve"> Translation note: Article review supplied is for the portion predicate.</w:t>
      </w:r>
    </w:p>
  </w:footnote>
  <w:footnote w:id="11196">
    <w:p>
      <w:pPr>
        <w:pStyle w:val="FootnoteText"/>
      </w:pPr>
      <w:r>
        <w:rPr>
          <w:rStyle w:val="FootnoteReference"/>
        </w:rPr>
        <w:footnoteRef/>
      </w:r>
      <w:r>
        <w:t xml:space="preserve"> Translation note: Article review supplied is/a for the gift predicate.</w:t>
      </w:r>
    </w:p>
  </w:footnote>
  <w:footnote w:id="11197">
    <w:p>
      <w:pPr>
        <w:pStyle w:val="FootnoteText"/>
      </w:pPr>
      <w:r>
        <w:rPr>
          <w:rStyle w:val="FootnoteReference"/>
        </w:rPr>
        <w:footnoteRef/>
      </w:r>
      <w:r>
        <w:t xml:space="preserve"> Translation note: Article review supplied an for the singular evil clause.</w:t>
      </w:r>
    </w:p>
  </w:footnote>
  <w:footnote w:id="11198">
    <w:p>
      <w:pPr>
        <w:pStyle w:val="FootnoteText"/>
      </w:pPr>
      <w:r>
        <w:rPr>
          <w:rStyle w:val="FootnoteReference"/>
        </w:rPr>
        <w:footnoteRef/>
      </w:r>
      <w:r>
        <w:t xml:space="preserve"> Cross-references for "A man": 1Kgs 3:13; 1Chr 29:25.</w:t>
      </w:r>
    </w:p>
  </w:footnote>
  <w:footnote w:id="11199">
    <w:p>
      <w:pPr>
        <w:pStyle w:val="FootnoteText"/>
      </w:pPr>
      <w:r>
        <w:rPr>
          <w:rStyle w:val="FootnoteReference"/>
        </w:rPr>
        <w:footnoteRef/>
      </w:r>
      <w:r>
        <w:t xml:space="preserve"> Translation note: The Greek frames enjoyment as something God empowers or withholds. The current wording keeps that line explicit.</w:t>
      </w:r>
    </w:p>
  </w:footnote>
  <w:footnote w:id="11200">
    <w:p>
      <w:pPr>
        <w:pStyle w:val="FootnoteText"/>
      </w:pPr>
      <w:r>
        <w:rPr>
          <w:rStyle w:val="FootnoteReference"/>
        </w:rPr>
        <w:footnoteRef/>
      </w:r>
      <w:r>
        <w:t xml:space="preserve"> Cross-references for "a man": Gen 33:5; 1Sam 2:20-21.</w:t>
      </w:r>
    </w:p>
  </w:footnote>
  <w:footnote w:id="11201">
    <w:p>
      <w:pPr>
        <w:pStyle w:val="FootnoteText"/>
      </w:pPr>
      <w:r>
        <w:rPr>
          <w:rStyle w:val="FootnoteReference"/>
        </w:rPr>
        <w:footnoteRef/>
      </w:r>
      <w:r>
        <w:t xml:space="preserve"> Translation note: Article review supplied articles for man/hundred/stillborn and predicate support.</w:t>
      </w:r>
    </w:p>
  </w:footnote>
  <w:footnote w:id="11202">
    <w:p>
      <w:pPr>
        <w:pStyle w:val="FootnoteText"/>
      </w:pPr>
      <w:r>
        <w:rPr>
          <w:rStyle w:val="FootnoteReference"/>
        </w:rPr>
        <w:footnoteRef/>
      </w:r>
      <w:r>
        <w:t xml:space="preserve"> Translation note: Article review supplied the for sun and predicate support for the rest comparison.</w:t>
      </w:r>
    </w:p>
  </w:footnote>
  <w:footnote w:id="11203">
    <w:p>
      <w:pPr>
        <w:pStyle w:val="FootnoteText"/>
      </w:pPr>
      <w:r>
        <w:rPr>
          <w:rStyle w:val="FootnoteReference"/>
        </w:rPr>
        <w:footnoteRef/>
      </w:r>
      <w:r>
        <w:t xml:space="preserve"> Translation note: Article review supplied articles and predicate support for toil/soul syntax.</w:t>
      </w:r>
    </w:p>
  </w:footnote>
  <w:footnote w:id="11204">
    <w:p>
      <w:pPr>
        <w:pStyle w:val="FootnoteText"/>
      </w:pPr>
      <w:r>
        <w:rPr>
          <w:rStyle w:val="FootnoteReference"/>
        </w:rPr>
        <w:footnoteRef/>
      </w:r>
      <w:r>
        <w:t xml:space="preserve"> Translation note: Article review preserves the articular poor-man phrase and supplies articles for wise/fool comparison.</w:t>
      </w:r>
    </w:p>
  </w:footnote>
  <w:footnote w:id="11205">
    <w:p>
      <w:pPr>
        <w:pStyle w:val="FootnoteText"/>
      </w:pPr>
      <w:r>
        <w:rPr>
          <w:rStyle w:val="FootnoteReference"/>
        </w:rPr>
        <w:footnoteRef/>
      </w:r>
      <w:r>
        <w:t xml:space="preserve"> Cross-references for "the poor": Gen 17:1; Ps 101:2.</w:t>
      </w:r>
    </w:p>
  </w:footnote>
  <w:footnote w:id="11206">
    <w:p>
      <w:pPr>
        <w:pStyle w:val="FootnoteText"/>
      </w:pPr>
      <w:r>
        <w:rPr>
          <w:rStyle w:val="FootnoteReference"/>
        </w:rPr>
        <w:footnoteRef/>
      </w:r>
      <w:r>
        <w:t xml:space="preserve"> Translation note: Article review supplied articles for sight/wandering comparison.</w:t>
      </w:r>
    </w:p>
  </w:footnote>
  <w:footnote w:id="11207">
    <w:p>
      <w:pPr>
        <w:pStyle w:val="FootnoteText"/>
      </w:pPr>
      <w:r>
        <w:rPr>
          <w:rStyle w:val="FootnoteReference"/>
        </w:rPr>
        <w:footnoteRef/>
      </w:r>
      <w:r>
        <w:t xml:space="preserve"> Cross-references for "Better": Eccl 2:24; Eccl 3:12-13.</w:t>
      </w:r>
    </w:p>
  </w:footnote>
  <w:footnote w:id="11208">
    <w:p>
      <w:pPr>
        <w:pStyle w:val="FootnoteText"/>
      </w:pPr>
      <w:r>
        <w:rPr>
          <w:rStyle w:val="FootnoteReference"/>
        </w:rPr>
        <w:footnoteRef/>
      </w:r>
      <w:r>
        <w:t xml:space="preserve"> Cross-references for "and it": Gen 3:9; Gen 3:17-19.</w:t>
      </w:r>
    </w:p>
  </w:footnote>
  <w:footnote w:id="11209">
    <w:p>
      <w:pPr>
        <w:pStyle w:val="FootnoteText"/>
      </w:pPr>
      <w:r>
        <w:rPr>
          <w:rStyle w:val="FootnoteReference"/>
        </w:rPr>
        <w:footnoteRef/>
      </w:r>
      <w:r>
        <w:t xml:space="preserve"> Translation note: Article review supplied the for the stronger-one phrase.</w:t>
      </w:r>
    </w:p>
  </w:footnote>
  <w:footnote w:id="11210">
    <w:p>
      <w:pPr>
        <w:pStyle w:val="FootnoteText"/>
      </w:pPr>
      <w:r>
        <w:rPr>
          <w:rStyle w:val="FootnoteReference"/>
        </w:rPr>
        <w:footnoteRef/>
      </w:r>
      <w:r>
        <w:t xml:space="preserve"> Translation note: Article review supplied an explicit existential for the surplus question.</w:t>
      </w:r>
    </w:p>
  </w:footnote>
  <w:footnote w:id="11211">
    <w:p>
      <w:pPr>
        <w:pStyle w:val="FootnoteText"/>
      </w:pPr>
      <w:r>
        <w:rPr>
          <w:rStyle w:val="FootnoteReference"/>
        </w:rPr>
        <w:footnoteRef/>
      </w:r>
      <w:r>
        <w:t xml:space="preserve"> Translation note: Article review supplied is for the good-for-man question.</w:t>
      </w:r>
    </w:p>
  </w:footnote>
  <w:footnote w:id="11212">
    <w:p>
      <w:pPr>
        <w:pStyle w:val="FootnoteText"/>
      </w:pPr>
      <w:r>
        <w:rPr>
          <w:rStyle w:val="FootnoteReference"/>
        </w:rPr>
        <w:footnoteRef/>
      </w:r>
      <w:r>
        <w:t xml:space="preserve"> Translation note: Article review supplied a/is for good-name syntax and articles for day clauses.</w:t>
      </w:r>
    </w:p>
  </w:footnote>
  <w:footnote w:id="11213">
    <w:p>
      <w:pPr>
        <w:pStyle w:val="FootnoteText"/>
      </w:pPr>
      <w:r>
        <w:rPr>
          <w:rStyle w:val="FootnoteReference"/>
        </w:rPr>
        <w:footnoteRef/>
      </w:r>
      <w:r>
        <w:t xml:space="preserve"> Cross-references for "Better": Gen 48:1-22; Gen 49:2-33.</w:t>
      </w:r>
    </w:p>
  </w:footnote>
  <w:footnote w:id="11214">
    <w:p>
      <w:pPr>
        <w:pStyle w:val="FootnoteText"/>
      </w:pPr>
      <w:r>
        <w:rPr>
          <w:rStyle w:val="FootnoteReference"/>
        </w:rPr>
        <w:footnoteRef/>
      </w:r>
      <w:r>
        <w:t xml:space="preserve"> Translation note: Article review supplied is/the for end/living-one syntax.</w:t>
      </w:r>
    </w:p>
  </w:footnote>
  <w:footnote w:id="11215">
    <w:p>
      <w:pPr>
        <w:pStyle w:val="FootnoteText"/>
      </w:pPr>
      <w:r>
        <w:rPr>
          <w:rStyle w:val="FootnoteReference"/>
        </w:rPr>
        <w:footnoteRef/>
      </w:r>
      <w:r>
        <w:t xml:space="preserve"> Translation note: Article review supplied articles for gloom/face/heart syntax.</w:t>
      </w:r>
    </w:p>
  </w:footnote>
  <w:footnote w:id="11216">
    <w:p>
      <w:pPr>
        <w:pStyle w:val="FootnoteText"/>
      </w:pPr>
      <w:r>
        <w:rPr>
          <w:rStyle w:val="FootnoteReference"/>
        </w:rPr>
        <w:footnoteRef/>
      </w:r>
      <w:r>
        <w:t xml:space="preserve"> Translation note: Article review supplied is for parallel heart clauses.</w:t>
      </w:r>
    </w:p>
  </w:footnote>
  <w:footnote w:id="11217">
    <w:p>
      <w:pPr>
        <w:pStyle w:val="FootnoteText"/>
      </w:pPr>
      <w:r>
        <w:rPr>
          <w:rStyle w:val="FootnoteReference"/>
        </w:rPr>
        <w:footnoteRef/>
      </w:r>
      <w:r>
        <w:t xml:space="preserve"> Cross-references for "The heart": 1Sam 25:36; 1Sam 30:16.</w:t>
      </w:r>
    </w:p>
  </w:footnote>
  <w:footnote w:id="11218">
    <w:p>
      <w:pPr>
        <w:pStyle w:val="FootnoteText"/>
      </w:pPr>
      <w:r>
        <w:rPr>
          <w:rStyle w:val="FootnoteReference"/>
        </w:rPr>
        <w:footnoteRef/>
      </w:r>
      <w:r>
        <w:t xml:space="preserve"> Translation note: Article review supplied articles for rebuke/wise-man/man/song syntax.</w:t>
      </w:r>
    </w:p>
  </w:footnote>
  <w:footnote w:id="11219">
    <w:p>
      <w:pPr>
        <w:pStyle w:val="FootnoteText"/>
      </w:pPr>
      <w:r>
        <w:rPr>
          <w:rStyle w:val="FootnoteReference"/>
        </w:rPr>
        <w:footnoteRef/>
      </w:r>
      <w:r>
        <w:t xml:space="preserve"> Cross-references for "Better": Ps 141:5; Prov 9:8.</w:t>
      </w:r>
    </w:p>
  </w:footnote>
  <w:footnote w:id="11220">
    <w:p>
      <w:pPr>
        <w:pStyle w:val="FootnoteText"/>
      </w:pPr>
      <w:r>
        <w:rPr>
          <w:rStyle w:val="FootnoteReference"/>
        </w:rPr>
        <w:footnoteRef/>
      </w:r>
      <w:r>
        <w:t xml:space="preserve"> Translation note: Article review supplied the for cauldron and predicate support for laughter/vanity clauses.</w:t>
      </w:r>
    </w:p>
  </w:footnote>
  <w:footnote w:id="11221">
    <w:p>
      <w:pPr>
        <w:pStyle w:val="FootnoteText"/>
      </w:pPr>
      <w:r>
        <w:rPr>
          <w:rStyle w:val="FootnoteReference"/>
        </w:rPr>
        <w:footnoteRef/>
      </w:r>
      <w:r>
        <w:t xml:space="preserve"> Cross-references for "the laughter": Prov 29:9.</w:t>
      </w:r>
    </w:p>
  </w:footnote>
  <w:footnote w:id="11222">
    <w:p>
      <w:pPr>
        <w:pStyle w:val="FootnoteText"/>
      </w:pPr>
      <w:r>
        <w:rPr>
          <w:rStyle w:val="FootnoteReference"/>
        </w:rPr>
        <w:footnoteRef/>
      </w:r>
      <w:r>
        <w:t xml:space="preserve"> Translation note: Article review supplied a/the for wise-man and heart syntax.</w:t>
      </w:r>
    </w:p>
  </w:footnote>
  <w:footnote w:id="11223">
    <w:p>
      <w:pPr>
        <w:pStyle w:val="FootnoteText"/>
      </w:pPr>
      <w:r>
        <w:rPr>
          <w:rStyle w:val="FootnoteReference"/>
        </w:rPr>
        <w:footnoteRef/>
      </w:r>
      <w:r>
        <w:t xml:space="preserve"> Translation note: Article review supplied articles for end/matter/patient-one syntax.</w:t>
      </w:r>
    </w:p>
  </w:footnote>
  <w:footnote w:id="11224">
    <w:p>
      <w:pPr>
        <w:pStyle w:val="FootnoteText"/>
      </w:pPr>
      <w:r>
        <w:rPr>
          <w:rStyle w:val="FootnoteReference"/>
        </w:rPr>
        <w:footnoteRef/>
      </w:r>
      <w:r>
        <w:t xml:space="preserve"> Cross-references for "Better": Ps 126:5-6; Isa 10:24-25.</w:t>
      </w:r>
    </w:p>
  </w:footnote>
  <w:footnote w:id="11225">
    <w:p>
      <w:pPr>
        <w:pStyle w:val="FootnoteText"/>
      </w:pPr>
      <w:r>
        <w:rPr>
          <w:rStyle w:val="FootnoteReference"/>
        </w:rPr>
        <w:footnoteRef/>
      </w:r>
      <w:r>
        <w:t xml:space="preserve"> Translation note: Article review supplied the for bosom phrase.</w:t>
      </w:r>
    </w:p>
  </w:footnote>
  <w:footnote w:id="11226">
    <w:p>
      <w:pPr>
        <w:pStyle w:val="FootnoteText"/>
      </w:pPr>
      <w:r>
        <w:rPr>
          <w:rStyle w:val="FootnoteReference"/>
        </w:rPr>
        <w:footnoteRef/>
      </w:r>
      <w:r>
        <w:t xml:space="preserve"> Cross-references for "anger": Gen 4:5-6; Gen 4:8.</w:t>
      </w:r>
    </w:p>
  </w:footnote>
  <w:footnote w:id="11227">
    <w:p>
      <w:pPr>
        <w:pStyle w:val="FootnoteText"/>
      </w:pPr>
      <w:r>
        <w:rPr>
          <w:rStyle w:val="FootnoteReference"/>
        </w:rPr>
        <w:footnoteRef/>
      </w:r>
      <w:r>
        <w:t xml:space="preserve"> Translation note: Article review supplied a for surplus.</w:t>
      </w:r>
    </w:p>
  </w:footnote>
  <w:footnote w:id="11228">
    <w:p>
      <w:pPr>
        <w:pStyle w:val="FootnoteText"/>
      </w:pPr>
      <w:r>
        <w:rPr>
          <w:rStyle w:val="FootnoteReference"/>
        </w:rPr>
        <w:footnoteRef/>
      </w:r>
      <w:r>
        <w:t xml:space="preserve"> Cross-references for "wisdom": Job 1:10; Job 22:21-25.</w:t>
      </w:r>
    </w:p>
  </w:footnote>
  <w:footnote w:id="11229">
    <w:p>
      <w:pPr>
        <w:pStyle w:val="FootnoteText"/>
      </w:pPr>
      <w:r>
        <w:rPr>
          <w:rStyle w:val="FootnoteReference"/>
        </w:rPr>
        <w:footnoteRef/>
      </w:r>
      <w:r>
        <w:t xml:space="preserve"> Translation note: Article review supplied articles and restored the knowledge-of-wisdom relation.</w:t>
      </w:r>
    </w:p>
  </w:footnote>
  <w:footnote w:id="11230">
    <w:p>
      <w:pPr>
        <w:pStyle w:val="FootnoteText"/>
      </w:pPr>
      <w:r>
        <w:rPr>
          <w:rStyle w:val="FootnoteReference"/>
        </w:rPr>
        <w:footnoteRef/>
      </w:r>
      <w:r>
        <w:t xml:space="preserve"> Translation note: Article review supplied the for Greek articular works.</w:t>
      </w:r>
    </w:p>
  </w:footnote>
  <w:footnote w:id="11231">
    <w:p>
      <w:pPr>
        <w:pStyle w:val="FootnoteText"/>
      </w:pPr>
      <w:r>
        <w:rPr>
          <w:rStyle w:val="FootnoteReference"/>
        </w:rPr>
        <w:footnoteRef/>
      </w:r>
      <w:r>
        <w:t xml:space="preserve"> Translation note: Article review supplied the for Greek articular man.</w:t>
      </w:r>
    </w:p>
  </w:footnote>
  <w:footnote w:id="11232">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1233">
    <w:p>
      <w:pPr>
        <w:pStyle w:val="FootnoteText"/>
      </w:pPr>
      <w:r>
        <w:rPr>
          <w:rStyle w:val="FootnoteReference"/>
        </w:rPr>
        <w:footnoteRef/>
      </w:r>
      <w:r>
        <w:t xml:space="preserve"> Cross-references for "good": Prov 4:25-27; Prov 8:20.</w:t>
      </w:r>
    </w:p>
  </w:footnote>
  <w:footnote w:id="11234">
    <w:p>
      <w:pPr>
        <w:pStyle w:val="FootnoteText"/>
      </w:pPr>
      <w:r>
        <w:rPr>
          <w:rStyle w:val="FootnoteReference"/>
        </w:rPr>
        <w:footnoteRef/>
      </w:r>
      <w:r>
        <w:t xml:space="preserve"> Translation note: Article review supplied predicate support and the for the fearing-God participle.</w:t>
      </w:r>
    </w:p>
  </w:footnote>
  <w:footnote w:id="11235">
    <w:p>
      <w:pPr>
        <w:pStyle w:val="FootnoteText"/>
      </w:pPr>
      <w:r>
        <w:rPr>
          <w:rStyle w:val="FootnoteReference"/>
        </w:rPr>
        <w:footnoteRef/>
      </w:r>
      <w:r>
        <w:t xml:space="preserve"> Translation note: Article review supplied man for the articular wise adjective used substantively.</w:t>
      </w:r>
    </w:p>
  </w:footnote>
  <w:footnote w:id="11236">
    <w:p>
      <w:pPr>
        <w:pStyle w:val="FootnoteText"/>
      </w:pPr>
      <w:r>
        <w:rPr>
          <w:rStyle w:val="FootnoteReference"/>
        </w:rPr>
        <w:footnoteRef/>
      </w:r>
      <w:r>
        <w:t xml:space="preserve"> Translation note: The Greek states the universal claim with a singular predicate phrase. English supplies a for readable idiom.</w:t>
      </w:r>
    </w:p>
  </w:footnote>
  <w:footnote w:id="11237">
    <w:p>
      <w:pPr>
        <w:pStyle w:val="FootnoteText"/>
      </w:pPr>
      <w:r>
        <w:rPr>
          <w:rStyle w:val="FootnoteReference"/>
        </w:rPr>
        <w:footnoteRef/>
      </w:r>
      <w:r>
        <w:t xml:space="preserve"> Translation note: Article review supplied the for Greek articular words.</w:t>
      </w:r>
    </w:p>
  </w:footnote>
  <w:footnote w:id="11238">
    <w:p>
      <w:pPr>
        <w:pStyle w:val="FootnoteText"/>
      </w:pPr>
      <w:r>
        <w:rPr>
          <w:rStyle w:val="FootnoteReference"/>
        </w:rPr>
        <w:footnoteRef/>
      </w:r>
      <w:r>
        <w:t xml:space="preserve"> Cross-references for "I said": Gen 3:5; 1Kgs 3:11-12.</w:t>
      </w:r>
    </w:p>
  </w:footnote>
  <w:footnote w:id="11239">
    <w:p>
      <w:pPr>
        <w:pStyle w:val="FootnoteText"/>
      </w:pPr>
      <w:r>
        <w:rPr>
          <w:rStyle w:val="FootnoteReference"/>
        </w:rPr>
        <w:footnoteRef/>
      </w:r>
      <w:r>
        <w:t xml:space="preserve"> Cross-references for "know": Gen 34:7; Josh 7:13.</w:t>
      </w:r>
    </w:p>
  </w:footnote>
  <w:footnote w:id="11240">
    <w:p>
      <w:pPr>
        <w:pStyle w:val="FootnoteText"/>
      </w:pPr>
      <w:r>
        <w:rPr>
          <w:rStyle w:val="FootnoteReference"/>
        </w:rPr>
        <w:footnoteRef/>
      </w:r>
      <w:r>
        <w:t xml:space="preserve"> Translation note: Article review supplied the/a for the ungodly-folly phrase.</w:t>
      </w:r>
    </w:p>
  </w:footnote>
  <w:footnote w:id="11241">
    <w:p>
      <w:pPr>
        <w:pStyle w:val="FootnoteText"/>
      </w:pPr>
      <w:r>
        <w:rPr>
          <w:rStyle w:val="FootnoteReference"/>
        </w:rPr>
        <w:footnoteRef/>
      </w:r>
      <w:r>
        <w:t xml:space="preserve"> Cross-references for "I find": Judg 16:18-21; Prov 2:18-19.</w:t>
      </w:r>
    </w:p>
  </w:footnote>
  <w:footnote w:id="11242">
    <w:p>
      <w:pPr>
        <w:pStyle w:val="FootnoteText"/>
      </w:pPr>
      <w:r>
        <w:rPr>
          <w:rStyle w:val="FootnoteReference"/>
        </w:rPr>
        <w:footnoteRef/>
      </w:r>
      <w:r>
        <w:t xml:space="preserve"> Translation note: Article review supplied predicate support and articles for good-one/sinner clauses.</w:t>
      </w:r>
    </w:p>
  </w:footnote>
  <w:footnote w:id="11243">
    <w:p>
      <w:pPr>
        <w:pStyle w:val="FootnoteText"/>
      </w:pPr>
      <w:r>
        <w:rPr>
          <w:rStyle w:val="FootnoteReference"/>
        </w:rPr>
        <w:footnoteRef/>
      </w:r>
      <w:r>
        <w:t xml:space="preserve"> Translation note: Article review supplied the for Ecclesiastes title and a for reckoning.</w:t>
      </w:r>
    </w:p>
  </w:footnote>
  <w:footnote w:id="11244">
    <w:p>
      <w:pPr>
        <w:pStyle w:val="FootnoteText"/>
      </w:pPr>
      <w:r>
        <w:rPr>
          <w:rStyle w:val="FootnoteReference"/>
        </w:rPr>
        <w:footnoteRef/>
      </w:r>
      <w:r>
        <w:t xml:space="preserve"> Translation note: Article review supplied a for thousand and woman.</w:t>
      </w:r>
    </w:p>
  </w:footnote>
  <w:footnote w:id="11245">
    <w:p>
      <w:pPr>
        <w:pStyle w:val="FootnoteText"/>
      </w:pPr>
      <w:r>
        <w:rPr>
          <w:rStyle w:val="FootnoteReference"/>
        </w:rPr>
        <w:footnoteRef/>
      </w:r>
      <w:r>
        <w:t xml:space="preserve"> Cross-references for "stand": 1Kgs 1:50-52; 1Kgs 2:21-24.</w:t>
      </w:r>
    </w:p>
  </w:footnote>
  <w:footnote w:id="11246">
    <w:p>
      <w:pPr>
        <w:pStyle w:val="FootnoteText"/>
      </w:pPr>
      <w:r>
        <w:rPr>
          <w:rStyle w:val="FootnoteReference"/>
        </w:rPr>
        <w:footnoteRef/>
      </w:r>
      <w:r>
        <w:t xml:space="preserve"> Cross-references for "a wise": 1Chr 12:32; Prov 17:24.</w:t>
      </w:r>
    </w:p>
  </w:footnote>
  <w:footnote w:id="11247">
    <w:p>
      <w:pPr>
        <w:pStyle w:val="FootnoteText"/>
      </w:pPr>
      <w:r>
        <w:rPr>
          <w:rStyle w:val="FootnoteReference"/>
        </w:rPr>
        <w:footnoteRef/>
      </w:r>
      <w:r>
        <w:t xml:space="preserve"> Cross-references for "is no": 2Sam 14:14; Job 14:5.</w:t>
      </w:r>
    </w:p>
  </w:footnote>
  <w:footnote w:id="11248">
    <w:p>
      <w:pPr>
        <w:pStyle w:val="FootnoteText"/>
      </w:pPr>
      <w:r>
        <w:rPr>
          <w:rStyle w:val="FootnoteReference"/>
        </w:rPr>
        <w:footnoteRef/>
      </w:r>
      <w:r>
        <w:t xml:space="preserve"> Cross-references for "fully": Jer 42:15.</w:t>
      </w:r>
    </w:p>
  </w:footnote>
  <w:footnote w:id="11249">
    <w:p>
      <w:pPr>
        <w:pStyle w:val="FootnoteText"/>
      </w:pPr>
      <w:r>
        <w:rPr>
          <w:rStyle w:val="FootnoteReference"/>
        </w:rPr>
        <w:footnoteRef/>
      </w:r>
      <w:r>
        <w:t xml:space="preserve"> Cross-references for "fear before": 1Chr 16:30; Ps 96:9.</w:t>
      </w:r>
    </w:p>
  </w:footnote>
  <w:footnote w:id="11250">
    <w:p>
      <w:pPr>
        <w:pStyle w:val="FootnoteText"/>
      </w:pPr>
      <w:r>
        <w:rPr>
          <w:rStyle w:val="FootnoteReference"/>
        </w:rPr>
        <w:footnoteRef/>
      </w:r>
      <w:r>
        <w:t xml:space="preserve"> Translation note: Greek has an articular ungodly-man phrase. English supplies the.</w:t>
      </w:r>
    </w:p>
  </w:footnote>
  <w:footnote w:id="11251">
    <w:p>
      <w:pPr>
        <w:pStyle w:val="FootnoteText"/>
      </w:pPr>
      <w:r>
        <w:rPr>
          <w:rStyle w:val="FootnoteReference"/>
        </w:rPr>
        <w:footnoteRef/>
      </w:r>
      <w:r>
        <w:t xml:space="preserve"> Cross-references for "and madness": Eccl 1:17; Eccl 7:25.</w:t>
      </w:r>
    </w:p>
  </w:footnote>
  <w:footnote w:id="11252">
    <w:p>
      <w:pPr>
        <w:pStyle w:val="FootnoteText"/>
      </w:pPr>
      <w:r>
        <w:rPr>
          <w:rStyle w:val="FootnoteReference"/>
        </w:rPr>
        <w:footnoteRef/>
      </w:r>
      <w:r>
        <w:t xml:space="preserve"> Cross-references for "the living": Job 30:23; Eccl 7:2.</w:t>
      </w:r>
    </w:p>
  </w:footnote>
  <w:footnote w:id="11253">
    <w:p>
      <w:pPr>
        <w:pStyle w:val="FootnoteText"/>
      </w:pPr>
      <w:r>
        <w:rPr>
          <w:rStyle w:val="FootnoteReference"/>
        </w:rPr>
        <w:footnoteRef/>
      </w:r>
      <w:r>
        <w:t xml:space="preserve"> Cross-references for "their love": Exod 1:8; Job 3:17-18.</w:t>
      </w:r>
    </w:p>
  </w:footnote>
  <w:footnote w:id="11254">
    <w:p>
      <w:pPr>
        <w:pStyle w:val="FootnoteText"/>
      </w:pPr>
      <w:r>
        <w:rPr>
          <w:rStyle w:val="FootnoteReference"/>
        </w:rPr>
        <w:footnoteRef/>
      </w:r>
      <w:r>
        <w:t xml:space="preserve"> Cross-references for "that the race": 1Sam 17:50; 2Sam 2:18-23.</w:t>
      </w:r>
    </w:p>
  </w:footnote>
  <w:footnote w:id="11255">
    <w:p>
      <w:pPr>
        <w:pStyle w:val="FootnoteText"/>
      </w:pPr>
      <w:r>
        <w:rPr>
          <w:rStyle w:val="FootnoteReference"/>
        </w:rPr>
        <w:footnoteRef/>
      </w:r>
      <w:r>
        <w:t xml:space="preserve"> Cross-references for "the sons": Job 18:8-10; Ps 11:6.</w:t>
      </w:r>
    </w:p>
  </w:footnote>
  <w:footnote w:id="11256">
    <w:p>
      <w:pPr>
        <w:pStyle w:val="FootnoteText"/>
      </w:pPr>
      <w:r>
        <w:rPr>
          <w:rStyle w:val="FootnoteReference"/>
        </w:rPr>
        <w:footnoteRef/>
      </w:r>
      <w:r>
        <w:t xml:space="preserve"> Translation note: Greek has a singular poor-wise-man phrase. English supplies a for readable singular idiom.</w:t>
      </w:r>
    </w:p>
  </w:footnote>
  <w:footnote w:id="11257">
    <w:p>
      <w:pPr>
        <w:pStyle w:val="FootnoteText"/>
      </w:pPr>
      <w:r>
        <w:rPr>
          <w:rStyle w:val="FootnoteReference"/>
        </w:rPr>
        <w:footnoteRef/>
      </w:r>
      <w:r>
        <w:t xml:space="preserve"> Cross-references for "wisdom": Prov 21:22; Prov 24:5.</w:t>
      </w:r>
    </w:p>
  </w:footnote>
  <w:footnote w:id="11258">
    <w:p>
      <w:pPr>
        <w:pStyle w:val="FootnoteText"/>
      </w:pPr>
      <w:r>
        <w:rPr>
          <w:rStyle w:val="FootnoteReference"/>
        </w:rPr>
        <w:footnoteRef/>
      </w:r>
      <w:r>
        <w:t xml:space="preserve"> Translation note: Greek has the wisdom of the poor man. English supplies articles and is for readable syntax.</w:t>
      </w:r>
    </w:p>
  </w:footnote>
  <w:footnote w:id="11259">
    <w:p>
      <w:pPr>
        <w:pStyle w:val="FootnoteText"/>
      </w:pPr>
      <w:r>
        <w:rPr>
          <w:rStyle w:val="FootnoteReference"/>
        </w:rPr>
        <w:footnoteRef/>
      </w:r>
      <w:r>
        <w:t xml:space="preserve"> Cross-references for "sinner": Josh 7:1; Josh 7:5.</w:t>
      </w:r>
    </w:p>
  </w:footnote>
  <w:footnote w:id="11260">
    <w:p>
      <w:pPr>
        <w:pStyle w:val="FootnoteText"/>
      </w:pPr>
      <w:r>
        <w:rPr>
          <w:rStyle w:val="FootnoteReference"/>
        </w:rPr>
        <w:footnoteRef/>
      </w:r>
      <w:r>
        <w:t xml:space="preserve"> Cross-references for "a little": 2Chr 19:2; Neh 6:13.</w:t>
      </w:r>
    </w:p>
  </w:footnote>
  <w:footnote w:id="11261">
    <w:p>
      <w:pPr>
        <w:pStyle w:val="FootnoteText"/>
      </w:pPr>
      <w:r>
        <w:rPr>
          <w:rStyle w:val="FootnoteReference"/>
        </w:rPr>
        <w:footnoteRef/>
      </w:r>
      <w:r>
        <w:t xml:space="preserve"> Cross-references for "wise": Prov 14:8; Eccl 9:10.</w:t>
      </w:r>
    </w:p>
  </w:footnote>
  <w:footnote w:id="11262">
    <w:p>
      <w:pPr>
        <w:pStyle w:val="FootnoteText"/>
      </w:pPr>
      <w:r>
        <w:rPr>
          <w:rStyle w:val="FootnoteReference"/>
        </w:rPr>
        <w:footnoteRef/>
      </w:r>
      <w:r>
        <w:t xml:space="preserve"> Cross-references for "leave": Eccl 8:3.</w:t>
      </w:r>
    </w:p>
  </w:footnote>
  <w:footnote w:id="11263">
    <w:p>
      <w:pPr>
        <w:pStyle w:val="FootnoteText"/>
      </w:pPr>
      <w:r>
        <w:rPr>
          <w:rStyle w:val="FootnoteReference"/>
        </w:rPr>
        <w:footnoteRef/>
      </w:r>
      <w:r>
        <w:t xml:space="preserve"> Cross-references for "wisdom": Gen 41:33-39; Exod 18:19-23.</w:t>
      </w:r>
    </w:p>
  </w:footnote>
  <w:footnote w:id="11264">
    <w:p>
      <w:pPr>
        <w:pStyle w:val="FootnoteText"/>
      </w:pPr>
      <w:r>
        <w:rPr>
          <w:rStyle w:val="FootnoteReference"/>
        </w:rPr>
        <w:footnoteRef/>
      </w:r>
      <w:r>
        <w:t xml:space="preserve"> Cross-references for "fool": Prov 10:19; Prov 15:2.</w:t>
      </w:r>
    </w:p>
  </w:footnote>
  <w:footnote w:id="11265">
    <w:p>
      <w:pPr>
        <w:pStyle w:val="FootnoteText"/>
      </w:pPr>
      <w:r>
        <w:rPr>
          <w:rStyle w:val="FootnoteReference"/>
        </w:rPr>
        <w:footnoteRef/>
      </w:r>
      <w:r>
        <w:t xml:space="preserve"> Cross-references for "and wine": 1Sam 25:36; 2Sam 13:28.</w:t>
      </w:r>
    </w:p>
  </w:footnote>
  <w:footnote w:id="11266">
    <w:p>
      <w:pPr>
        <w:pStyle w:val="FootnoteText"/>
      </w:pPr>
      <w:r>
        <w:rPr>
          <w:rStyle w:val="FootnoteReference"/>
        </w:rPr>
        <w:footnoteRef/>
      </w:r>
      <w:r>
        <w:t xml:space="preserve"> Cross-references for "curse": Exod 22:28; Isa 8:21.</w:t>
      </w:r>
    </w:p>
  </w:footnote>
  <w:footnote w:id="11267">
    <w:p>
      <w:pPr>
        <w:pStyle w:val="FootnoteText"/>
      </w:pPr>
      <w:r>
        <w:rPr>
          <w:rStyle w:val="FootnoteReference"/>
        </w:rPr>
        <w:footnoteRef/>
      </w:r>
      <w:r>
        <w:t xml:space="preserve"> Cross-references for "a portion": Neh 8:10; Ps 112:9.</w:t>
      </w:r>
    </w:p>
  </w:footnote>
  <w:footnote w:id="11268">
    <w:p>
      <w:pPr>
        <w:pStyle w:val="FootnoteText"/>
      </w:pPr>
      <w:r>
        <w:rPr>
          <w:rStyle w:val="FootnoteReference"/>
        </w:rPr>
        <w:footnoteRef/>
      </w:r>
      <w:r>
        <w:t xml:space="preserve"> Cross-references for "the clouds": 1Kgs 18:45; Ps 65:9-13.</w:t>
      </w:r>
    </w:p>
  </w:footnote>
  <w:footnote w:id="11269">
    <w:p>
      <w:pPr>
        <w:pStyle w:val="FootnoteText"/>
      </w:pPr>
      <w:r>
        <w:rPr>
          <w:rStyle w:val="FootnoteReference"/>
        </w:rPr>
        <w:footnoteRef/>
      </w:r>
      <w:r>
        <w:t xml:space="preserve"> Translation note: The Greek line is difficult and compact here. The current wording stays close to that source-row phrase instead of smoothing it away.</w:t>
      </w:r>
    </w:p>
  </w:footnote>
  <w:footnote w:id="11270">
    <w:p>
      <w:pPr>
        <w:pStyle w:val="FootnoteText"/>
      </w:pPr>
      <w:r>
        <w:rPr>
          <w:rStyle w:val="FootnoteReference"/>
        </w:rPr>
        <w:footnoteRef/>
      </w:r>
      <w:r>
        <w:t xml:space="preserve"> Translation note: Greek has an articular works-of-God phrase. English supplies the.</w:t>
      </w:r>
    </w:p>
  </w:footnote>
  <w:footnote w:id="11271">
    <w:p>
      <w:pPr>
        <w:pStyle w:val="FootnoteText"/>
      </w:pPr>
      <w:r>
        <w:rPr>
          <w:rStyle w:val="FootnoteReference"/>
        </w:rPr>
        <w:footnoteRef/>
      </w:r>
      <w:r>
        <w:t xml:space="preserve"> Cross-references for "the light": Job 33:28; Job 33:30.</w:t>
      </w:r>
    </w:p>
  </w:footnote>
  <w:footnote w:id="11272">
    <w:p>
      <w:pPr>
        <w:pStyle w:val="FootnoteText"/>
      </w:pPr>
      <w:r>
        <w:rPr>
          <w:rStyle w:val="FootnoteReference"/>
        </w:rPr>
        <w:footnoteRef/>
      </w:r>
      <w:r>
        <w:t xml:space="preserve"> Cross-references for "rejoice": Eccl 3:12-13; Eccl 5:18-20.</w:t>
      </w:r>
    </w:p>
  </w:footnote>
  <w:footnote w:id="11273">
    <w:p>
      <w:pPr>
        <w:pStyle w:val="FootnoteText"/>
      </w:pPr>
      <w:r>
        <w:rPr>
          <w:rStyle w:val="FootnoteReference"/>
        </w:rPr>
        <w:footnoteRef/>
      </w:r>
      <w:r>
        <w:t xml:space="preserve"> Cross-references for "Rejoice": 1Kgs 18:27; 1Kgs 22:15.</w:t>
      </w:r>
    </w:p>
  </w:footnote>
  <w:footnote w:id="11274">
    <w:p>
      <w:pPr>
        <w:pStyle w:val="FootnoteText"/>
      </w:pPr>
      <w:r>
        <w:rPr>
          <w:rStyle w:val="FootnoteReference"/>
        </w:rPr>
        <w:footnoteRef/>
      </w:r>
      <w:r>
        <w:t xml:space="preserve"> Translation note: English supplies the and your for the repeated youth phrase.</w:t>
      </w:r>
    </w:p>
  </w:footnote>
  <w:footnote w:id="11275">
    <w:p>
      <w:pPr>
        <w:pStyle w:val="FootnoteText"/>
      </w:pPr>
      <w:r>
        <w:rPr>
          <w:rStyle w:val="FootnoteReference"/>
        </w:rPr>
        <w:footnoteRef/>
      </w:r>
      <w:r>
        <w:t xml:space="preserve"> Translation note: The Greek uses a direct judgment warning. The current wording keeps that line explicit.</w:t>
      </w:r>
    </w:p>
  </w:footnote>
  <w:footnote w:id="11276">
    <w:p>
      <w:pPr>
        <w:pStyle w:val="FootnoteText"/>
      </w:pPr>
      <w:r>
        <w:rPr>
          <w:rStyle w:val="FootnoteReference"/>
        </w:rPr>
        <w:footnoteRef/>
      </w:r>
      <w:r>
        <w:t xml:space="preserve"> Cross-references for "remove": Job 13:26; Ps 25:7.</w:t>
      </w:r>
    </w:p>
  </w:footnote>
  <w:footnote w:id="11277">
    <w:p>
      <w:pPr>
        <w:pStyle w:val="FootnoteText"/>
      </w:pPr>
      <w:r>
        <w:rPr>
          <w:rStyle w:val="FootnoteReference"/>
        </w:rPr>
        <w:footnoteRef/>
      </w:r>
      <w:r>
        <w:t xml:space="preserve"> Cross-references for "remember": Gen 39:2; Gen 39:8-9.</w:t>
      </w:r>
    </w:p>
  </w:footnote>
  <w:footnote w:id="11278">
    <w:p>
      <w:pPr>
        <w:pStyle w:val="FootnoteText"/>
      </w:pPr>
      <w:r>
        <w:rPr>
          <w:rStyle w:val="FootnoteReference"/>
        </w:rPr>
        <w:footnoteRef/>
      </w:r>
      <w:r>
        <w:t xml:space="preserve"> Cross-references for "the sun": Gen 27:1; Gen 48:10.</w:t>
      </w:r>
    </w:p>
  </w:footnote>
  <w:footnote w:id="11279">
    <w:p>
      <w:pPr>
        <w:pStyle w:val="FootnoteText"/>
      </w:pPr>
      <w:r>
        <w:rPr>
          <w:rStyle w:val="FootnoteReference"/>
        </w:rPr>
        <w:footnoteRef/>
      </w:r>
      <w:r>
        <w:t xml:space="preserve"> Cross-references for "and those": Eccl 12:2.</w:t>
      </w:r>
    </w:p>
  </w:footnote>
  <w:footnote w:id="11280">
    <w:p>
      <w:pPr>
        <w:pStyle w:val="FootnoteText"/>
      </w:pPr>
      <w:r>
        <w:rPr>
          <w:rStyle w:val="FootnoteReference"/>
        </w:rPr>
        <w:footnoteRef/>
      </w:r>
      <w:r>
        <w:t xml:space="preserve"> Cross-references for "the almond": Gen 42:38; Gen 44:29.</w:t>
      </w:r>
    </w:p>
  </w:footnote>
  <w:footnote w:id="11281">
    <w:p>
      <w:pPr>
        <w:pStyle w:val="FootnoteText"/>
      </w:pPr>
      <w:r>
        <w:rPr>
          <w:rStyle w:val="FootnoteReference"/>
        </w:rPr>
        <w:footnoteRef/>
      </w:r>
      <w:r>
        <w:t xml:space="preserve"> Cross-references for "dust": Gen 3:19; Gen 18:27.</w:t>
      </w:r>
    </w:p>
  </w:footnote>
  <w:footnote w:id="11282">
    <w:p>
      <w:pPr>
        <w:pStyle w:val="FootnoteText"/>
      </w:pPr>
      <w:r>
        <w:rPr>
          <w:rStyle w:val="FootnoteReference"/>
        </w:rPr>
        <w:footnoteRef/>
      </w:r>
      <w:r>
        <w:t xml:space="preserve"> Cross-references for "he still": 1Kgs 8:12-21; 1Kgs 10:8.</w:t>
      </w:r>
    </w:p>
  </w:footnote>
  <w:footnote w:id="11283">
    <w:p>
      <w:pPr>
        <w:pStyle w:val="FootnoteText"/>
      </w:pPr>
      <w:r>
        <w:rPr>
          <w:rStyle w:val="FootnoteReference"/>
        </w:rPr>
        <w:footnoteRef/>
      </w:r>
      <w:r>
        <w:t xml:space="preserve"> Cross-references for "written": Prov 1:1-6; Prov 8:6-10.</w:t>
      </w:r>
    </w:p>
  </w:footnote>
  <w:footnote w:id="11284">
    <w:p>
      <w:pPr>
        <w:pStyle w:val="FootnoteText"/>
      </w:pPr>
      <w:r>
        <w:rPr>
          <w:rStyle w:val="FootnoteReference"/>
        </w:rPr>
        <w:footnoteRef/>
      </w:r>
      <w:r>
        <w:t xml:space="preserve"> Cross-references for "as goads": Jer 23:29; Matt 3:7.</w:t>
      </w:r>
    </w:p>
  </w:footnote>
  <w:footnote w:id="11285">
    <w:p>
      <w:pPr>
        <w:pStyle w:val="FootnoteText"/>
      </w:pPr>
      <w:r>
        <w:rPr>
          <w:rStyle w:val="FootnoteReference"/>
        </w:rPr>
        <w:footnoteRef/>
      </w:r>
      <w:r>
        <w:t xml:space="preserve"> Cross-references for "weariness": Eccl 1:18.</w:t>
      </w:r>
    </w:p>
  </w:footnote>
  <w:footnote w:id="11286">
    <w:p>
      <w:pPr>
        <w:pStyle w:val="FootnoteText"/>
      </w:pPr>
      <w:r>
        <w:rPr>
          <w:rStyle w:val="FootnoteReference"/>
        </w:rPr>
        <w:footnoteRef/>
      </w:r>
      <w:r>
        <w:t xml:space="preserve"> Cross-references for "fear": Gen 22:12; Deut 6:2.</w:t>
      </w:r>
    </w:p>
  </w:footnote>
  <w:footnote w:id="11287">
    <w:p>
      <w:pPr>
        <w:pStyle w:val="FootnoteText"/>
      </w:pPr>
      <w:r>
        <w:rPr>
          <w:rStyle w:val="FootnoteReference"/>
        </w:rPr>
        <w:footnoteRef/>
      </w:r>
      <w:r>
        <w:t xml:space="preserve"> Cross-references for "Song": Ps 14:1; Isa 5:1.</w:t>
      </w:r>
    </w:p>
  </w:footnote>
  <w:footnote w:id="11288">
    <w:p>
      <w:pPr>
        <w:pStyle w:val="FootnoteText"/>
      </w:pPr>
      <w:r>
        <w:rPr>
          <w:rStyle w:val="FootnoteReference"/>
        </w:rPr>
        <w:footnoteRef/>
      </w:r>
      <w:r>
        <w:t xml:space="preserve"> Cross-references for "we will": Ps 119:32; Ps 119:60.</w:t>
      </w:r>
    </w:p>
  </w:footnote>
  <w:footnote w:id="11289">
    <w:p>
      <w:pPr>
        <w:pStyle w:val="FootnoteText"/>
      </w:pPr>
      <w:r>
        <w:rPr>
          <w:rStyle w:val="FootnoteReference"/>
        </w:rPr>
        <w:footnoteRef/>
      </w:r>
      <w:r>
        <w:t xml:space="preserve"> Cross-references for "Black": Isa 53:2; Matt 10:25.</w:t>
      </w:r>
    </w:p>
  </w:footnote>
  <w:footnote w:id="11290">
    <w:p>
      <w:pPr>
        <w:pStyle w:val="FootnoteText"/>
      </w:pPr>
      <w:r>
        <w:rPr>
          <w:rStyle w:val="FootnoteReference"/>
        </w:rPr>
        <w:footnoteRef/>
      </w:r>
      <w:r>
        <w:t xml:space="preserve"> Cross-references for "look": Ruth 1:19-21.</w:t>
      </w:r>
    </w:p>
  </w:footnote>
  <w:footnote w:id="11291">
    <w:p>
      <w:pPr>
        <w:pStyle w:val="FootnoteText"/>
      </w:pPr>
      <w:r>
        <w:rPr>
          <w:rStyle w:val="FootnoteReference"/>
        </w:rPr>
        <w:footnoteRef/>
      </w:r>
      <w:r>
        <w:t xml:space="preserve"> Translation note: The Greek uses soul-love language directly. The current wording preserves that marked phrase.</w:t>
      </w:r>
    </w:p>
  </w:footnote>
  <w:footnote w:id="11292">
    <w:p>
      <w:pPr>
        <w:pStyle w:val="FootnoteText"/>
      </w:pPr>
      <w:r>
        <w:rPr>
          <w:rStyle w:val="FootnoteReference"/>
        </w:rPr>
        <w:footnoteRef/>
      </w:r>
      <w:r>
        <w:t xml:space="preserve"> Cross-references for "bundle": Gen 43:11; Ps 45:8.</w:t>
      </w:r>
    </w:p>
  </w:footnote>
  <w:footnote w:id="11293">
    <w:p>
      <w:pPr>
        <w:pStyle w:val="FootnoteText"/>
      </w:pPr>
      <w:r>
        <w:rPr>
          <w:rStyle w:val="FootnoteReference"/>
        </w:rPr>
        <w:footnoteRef/>
      </w:r>
      <w:r>
        <w:t xml:space="preserve"> Cross-references for "beloved": Song 1:13; Song 2:3.</w:t>
      </w:r>
    </w:p>
  </w:footnote>
  <w:footnote w:id="11294">
    <w:p>
      <w:pPr>
        <w:pStyle w:val="FootnoteText"/>
      </w:pPr>
      <w:r>
        <w:rPr>
          <w:rStyle w:val="FootnoteReference"/>
        </w:rPr>
        <w:footnoteRef/>
      </w:r>
      <w:r>
        <w:t xml:space="preserve"> Cross-references for "beams": 2Chr 2:8-9; Ps 92:12.</w:t>
      </w:r>
    </w:p>
  </w:footnote>
  <w:footnote w:id="11295">
    <w:p>
      <w:pPr>
        <w:pStyle w:val="FootnoteText"/>
      </w:pPr>
      <w:r>
        <w:rPr>
          <w:rStyle w:val="FootnoteReference"/>
        </w:rPr>
        <w:footnoteRef/>
      </w:r>
      <w:r>
        <w:t xml:space="preserve"> Cross-references for "lily": Song 2:16; Song 6:3.</w:t>
      </w:r>
    </w:p>
  </w:footnote>
  <w:footnote w:id="11296">
    <w:p>
      <w:pPr>
        <w:pStyle w:val="FootnoteText"/>
      </w:pPr>
      <w:r>
        <w:rPr>
          <w:rStyle w:val="FootnoteReference"/>
        </w:rPr>
        <w:footnoteRef/>
      </w:r>
      <w:r>
        <w:t xml:space="preserve"> Cross-references for "my beloved": Ps 45:2; Ps 89:6.</w:t>
      </w:r>
    </w:p>
  </w:footnote>
  <w:footnote w:id="11297">
    <w:p>
      <w:pPr>
        <w:pStyle w:val="FootnoteText"/>
      </w:pPr>
      <w:r>
        <w:rPr>
          <w:rStyle w:val="FootnoteReference"/>
        </w:rPr>
        <w:footnoteRef/>
      </w:r>
      <w:r>
        <w:t xml:space="preserve"> Translation note: The Greek keeps the shade-desire line direct. The current wording preserves that intimate image.</w:t>
      </w:r>
    </w:p>
  </w:footnote>
  <w:footnote w:id="11298">
    <w:p>
      <w:pPr>
        <w:pStyle w:val="FootnoteText"/>
      </w:pPr>
      <w:r>
        <w:rPr>
          <w:rStyle w:val="FootnoteReference"/>
        </w:rPr>
        <w:footnoteRef/>
      </w:r>
      <w:r>
        <w:t xml:space="preserve"> Cross-references for "voice": Song 5:2; John 3:29.</w:t>
      </w:r>
    </w:p>
  </w:footnote>
  <w:footnote w:id="11299">
    <w:p>
      <w:pPr>
        <w:pStyle w:val="FootnoteText"/>
      </w:pPr>
      <w:r>
        <w:rPr>
          <w:rStyle w:val="FootnoteReference"/>
        </w:rPr>
        <w:footnoteRef/>
      </w:r>
      <w:r>
        <w:t xml:space="preserve"> Translation note: The Greek uses paired peering verbs. The current wording keeps both visible.</w:t>
      </w:r>
    </w:p>
  </w:footnote>
  <w:footnote w:id="11300">
    <w:p>
      <w:pPr>
        <w:pStyle w:val="FootnoteText"/>
      </w:pPr>
      <w:r>
        <w:rPr>
          <w:rStyle w:val="FootnoteReference"/>
        </w:rPr>
        <w:footnoteRef/>
      </w:r>
      <w:r>
        <w:t xml:space="preserve"> Cross-references for "Rise": Gen 12:1-3; Ps 45:10-11.</w:t>
      </w:r>
    </w:p>
  </w:footnote>
  <w:footnote w:id="11301">
    <w:p>
      <w:pPr>
        <w:pStyle w:val="FootnoteText"/>
      </w:pPr>
      <w:r>
        <w:rPr>
          <w:rStyle w:val="FootnoteReference"/>
        </w:rPr>
        <w:footnoteRef/>
      </w:r>
      <w:r>
        <w:t xml:space="preserve"> Cross-references for "flowers": Song 6:2; Song 6:11.</w:t>
      </w:r>
    </w:p>
  </w:footnote>
  <w:footnote w:id="11302">
    <w:p>
      <w:pPr>
        <w:pStyle w:val="FootnoteText"/>
      </w:pPr>
      <w:r>
        <w:rPr>
          <w:rStyle w:val="FootnoteReference"/>
        </w:rPr>
        <w:footnoteRef/>
      </w:r>
      <w:r>
        <w:t xml:space="preserve"> Cross-references for "fig tree": Song 6:11; Song 7:8.</w:t>
      </w:r>
    </w:p>
  </w:footnote>
  <w:footnote w:id="11303">
    <w:p>
      <w:pPr>
        <w:pStyle w:val="FootnoteText"/>
      </w:pPr>
      <w:r>
        <w:rPr>
          <w:rStyle w:val="FootnoteReference"/>
        </w:rPr>
        <w:footnoteRef/>
      </w:r>
      <w:r>
        <w:t xml:space="preserve"> Cross-references for "my dove": Ps 68:13; Ps 74:19.</w:t>
      </w:r>
    </w:p>
  </w:footnote>
  <w:footnote w:id="11304">
    <w:p>
      <w:pPr>
        <w:pStyle w:val="FootnoteText"/>
      </w:pPr>
      <w:r>
        <w:rPr>
          <w:rStyle w:val="FootnoteReference"/>
        </w:rPr>
        <w:footnoteRef/>
      </w:r>
      <w:r>
        <w:t xml:space="preserve"> Cross-references for "beloved": Ps 48:14; Ps 63:1.</w:t>
      </w:r>
    </w:p>
  </w:footnote>
  <w:footnote w:id="11305">
    <w:p>
      <w:pPr>
        <w:pStyle w:val="FootnoteText"/>
      </w:pPr>
      <w:r>
        <w:rPr>
          <w:rStyle w:val="FootnoteReference"/>
        </w:rPr>
        <w:footnoteRef/>
      </w:r>
      <w:r>
        <w:t xml:space="preserve"> Cross-references for "the shadows": Heb 8:5; Heb 10:1.</w:t>
      </w:r>
    </w:p>
  </w:footnote>
  <w:footnote w:id="11306">
    <w:p>
      <w:pPr>
        <w:pStyle w:val="FootnoteText"/>
      </w:pPr>
      <w:r>
        <w:rPr>
          <w:rStyle w:val="FootnoteReference"/>
        </w:rPr>
        <w:footnoteRef/>
      </w:r>
      <w:r>
        <w:t xml:space="preserve"> Translation note: The Greek again uses soul-love language directly. The current wording preserves that marked phrase.</w:t>
      </w:r>
    </w:p>
  </w:footnote>
  <w:footnote w:id="11307">
    <w:p>
      <w:pPr>
        <w:pStyle w:val="FootnoteText"/>
      </w:pPr>
      <w:r>
        <w:rPr>
          <w:rStyle w:val="FootnoteReference"/>
        </w:rPr>
        <w:footnoteRef/>
      </w:r>
      <w:r>
        <w:t xml:space="preserve"> Cross-references for "will rise": Song 5:5; Isa 64:7.</w:t>
      </w:r>
    </w:p>
  </w:footnote>
  <w:footnote w:id="11308">
    <w:p>
      <w:pPr>
        <w:pStyle w:val="FootnoteText"/>
      </w:pPr>
      <w:r>
        <w:rPr>
          <w:rStyle w:val="FootnoteReference"/>
        </w:rPr>
        <w:footnoteRef/>
      </w:r>
      <w:r>
        <w:t xml:space="preserve"> Cross-references for "Watchmen": Song 5:7; Isa 21:6-8.</w:t>
      </w:r>
    </w:p>
  </w:footnote>
  <w:footnote w:id="11309">
    <w:p>
      <w:pPr>
        <w:pStyle w:val="FootnoteText"/>
      </w:pPr>
      <w:r>
        <w:rPr>
          <w:rStyle w:val="FootnoteReference"/>
        </w:rPr>
        <w:footnoteRef/>
      </w:r>
      <w:r>
        <w:t xml:space="preserve"> Cross-references for "perfumed": Song 1:3; Song 1:13.</w:t>
      </w:r>
    </w:p>
  </w:footnote>
  <w:footnote w:id="11310">
    <w:p>
      <w:pPr>
        <w:pStyle w:val="FootnoteText"/>
      </w:pPr>
      <w:r>
        <w:rPr>
          <w:rStyle w:val="FootnoteReference"/>
        </w:rPr>
        <w:footnoteRef/>
      </w:r>
      <w:r>
        <w:t xml:space="preserve"> Cross-references for "his mother": Song 8:5; Col 1:18.</w:t>
      </w:r>
    </w:p>
  </w:footnote>
  <w:footnote w:id="11311">
    <w:p>
      <w:pPr>
        <w:pStyle w:val="FootnoteText"/>
      </w:pPr>
      <w:r>
        <w:rPr>
          <w:rStyle w:val="FootnoteReference"/>
        </w:rPr>
        <w:footnoteRef/>
      </w:r>
      <w:r>
        <w:t xml:space="preserve"> Cross-references for "teeth": Song 6:6; Jer 15:16.</w:t>
      </w:r>
    </w:p>
  </w:footnote>
  <w:footnote w:id="11312">
    <w:p>
      <w:pPr>
        <w:pStyle w:val="FootnoteText"/>
      </w:pPr>
      <w:r>
        <w:rPr>
          <w:rStyle w:val="FootnoteReference"/>
        </w:rPr>
        <w:footnoteRef/>
      </w:r>
      <w:r>
        <w:t xml:space="preserve"> Cross-references for "lips": Ps 37:30; Ps 45:2.</w:t>
      </w:r>
    </w:p>
  </w:footnote>
  <w:footnote w:id="11313">
    <w:p>
      <w:pPr>
        <w:pStyle w:val="FootnoteText"/>
      </w:pPr>
      <w:r>
        <w:rPr>
          <w:rStyle w:val="FootnoteReference"/>
        </w:rPr>
        <w:footnoteRef/>
      </w:r>
      <w:r>
        <w:t xml:space="preserve"> Cross-references for "neck": 2Sam 22:51; Song 1:10.</w:t>
      </w:r>
    </w:p>
  </w:footnote>
  <w:footnote w:id="11314">
    <w:p>
      <w:pPr>
        <w:pStyle w:val="FootnoteText"/>
      </w:pPr>
      <w:r>
        <w:rPr>
          <w:rStyle w:val="FootnoteReference"/>
        </w:rPr>
        <w:footnoteRef/>
      </w:r>
      <w:r>
        <w:t xml:space="preserve"> Cross-references for "two breasts": Prov 5:19; Song 1:13.</w:t>
      </w:r>
    </w:p>
  </w:footnote>
  <w:footnote w:id="11315">
    <w:p>
      <w:pPr>
        <w:pStyle w:val="FootnoteText"/>
      </w:pPr>
      <w:r>
        <w:rPr>
          <w:rStyle w:val="FootnoteReference"/>
        </w:rPr>
        <w:footnoteRef/>
      </w:r>
      <w:r>
        <w:t xml:space="preserve"> Cross-references for "the mountain": Exod 20:24; Exod 30:8.</w:t>
      </w:r>
    </w:p>
  </w:footnote>
  <w:footnote w:id="11316">
    <w:p>
      <w:pPr>
        <w:pStyle w:val="FootnoteText"/>
      </w:pPr>
      <w:r>
        <w:rPr>
          <w:rStyle w:val="FootnoteReference"/>
        </w:rPr>
        <w:footnoteRef/>
      </w:r>
      <w:r>
        <w:t xml:space="preserve"> Cross-references for "from Lebanon": Deut 3:25.</w:t>
      </w:r>
    </w:p>
  </w:footnote>
  <w:footnote w:id="11317">
    <w:p>
      <w:pPr>
        <w:pStyle w:val="FootnoteText"/>
      </w:pPr>
      <w:r>
        <w:rPr>
          <w:rStyle w:val="FootnoteReference"/>
        </w:rPr>
        <w:footnoteRef/>
      </w:r>
      <w:r>
        <w:t xml:space="preserve"> Cross-references for "my sister": Gen 20:12; Song 4:10.</w:t>
      </w:r>
    </w:p>
  </w:footnote>
  <w:footnote w:id="11318">
    <w:p>
      <w:pPr>
        <w:pStyle w:val="FootnoteText"/>
      </w:pPr>
      <w:r>
        <w:rPr>
          <w:rStyle w:val="FootnoteReference"/>
        </w:rPr>
        <w:footnoteRef/>
      </w:r>
      <w:r>
        <w:t xml:space="preserve"> Cross-references for "lips": Ps 71:14-15; Ps 71:23-24.</w:t>
      </w:r>
    </w:p>
  </w:footnote>
  <w:footnote w:id="11319">
    <w:p>
      <w:pPr>
        <w:pStyle w:val="FootnoteText"/>
      </w:pPr>
      <w:r>
        <w:rPr>
          <w:rStyle w:val="FootnoteReference"/>
        </w:rPr>
        <w:footnoteRef/>
      </w:r>
      <w:r>
        <w:t xml:space="preserve"> Cross-references for "garden": Prov 5:15-18; Song 6:2.</w:t>
      </w:r>
    </w:p>
  </w:footnote>
  <w:footnote w:id="11320">
    <w:p>
      <w:pPr>
        <w:pStyle w:val="FootnoteText"/>
      </w:pPr>
      <w:r>
        <w:rPr>
          <w:rStyle w:val="FootnoteReference"/>
        </w:rPr>
        <w:footnoteRef/>
      </w:r>
      <w:r>
        <w:t xml:space="preserve"> Cross-references for "cinnamon": Prov 7:17; Rev 18:13.</w:t>
      </w:r>
    </w:p>
  </w:footnote>
  <w:footnote w:id="11321">
    <w:p>
      <w:pPr>
        <w:pStyle w:val="FootnoteText"/>
      </w:pPr>
      <w:r>
        <w:rPr>
          <w:rStyle w:val="FootnoteReference"/>
        </w:rPr>
        <w:footnoteRef/>
      </w:r>
      <w:r>
        <w:t xml:space="preserve"> Cross-references for "a well": Ps 36:8-9; Ps 46:4.</w:t>
      </w:r>
    </w:p>
  </w:footnote>
  <w:footnote w:id="11322">
    <w:p>
      <w:pPr>
        <w:pStyle w:val="FootnoteText"/>
      </w:pPr>
      <w:r>
        <w:rPr>
          <w:rStyle w:val="FootnoteReference"/>
        </w:rPr>
        <w:footnoteRef/>
      </w:r>
      <w:r>
        <w:t xml:space="preserve"> Cross-references for "Awake": Eccl 1:6; Song 1:4.</w:t>
      </w:r>
    </w:p>
  </w:footnote>
  <w:footnote w:id="11323">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1324">
    <w:p>
      <w:pPr>
        <w:pStyle w:val="FootnoteText"/>
      </w:pPr>
      <w:r>
        <w:rPr>
          <w:rStyle w:val="FootnoteReference"/>
        </w:rPr>
        <w:footnoteRef/>
      </w:r>
      <w:r>
        <w:t xml:space="preserve"> Cross-references for "my sister": Song 4:9-12; Song 8:1.</w:t>
      </w:r>
    </w:p>
  </w:footnote>
  <w:footnote w:id="11325">
    <w:p>
      <w:pPr>
        <w:pStyle w:val="FootnoteText"/>
      </w:pPr>
      <w:r>
        <w:rPr>
          <w:rStyle w:val="FootnoteReference"/>
        </w:rPr>
        <w:footnoteRef/>
      </w:r>
      <w:r>
        <w:t xml:space="preserve"> Cross-references for "sleep": Song 3:1; Song 7:9.</w:t>
      </w:r>
    </w:p>
  </w:footnote>
  <w:footnote w:id="11326">
    <w:p>
      <w:pPr>
        <w:pStyle w:val="FootnoteText"/>
      </w:pPr>
      <w:r>
        <w:rPr>
          <w:rStyle w:val="FootnoteReference"/>
        </w:rPr>
        <w:footnoteRef/>
      </w:r>
      <w:r>
        <w:t xml:space="preserve"> Cross-references for "rose": Song 5:2; Luke 12:36.</w:t>
      </w:r>
    </w:p>
  </w:footnote>
  <w:footnote w:id="11327">
    <w:p>
      <w:pPr>
        <w:pStyle w:val="FootnoteText"/>
      </w:pPr>
      <w:r>
        <w:rPr>
          <w:rStyle w:val="FootnoteReference"/>
        </w:rPr>
        <w:footnoteRef/>
      </w:r>
      <w:r>
        <w:t xml:space="preserve"> Translation note: The Greek joins soul and word in a compact line. The current wording keeps that line visible.</w:t>
      </w:r>
    </w:p>
  </w:footnote>
  <w:footnote w:id="11328">
    <w:p>
      <w:pPr>
        <w:pStyle w:val="FootnoteText"/>
      </w:pPr>
      <w:r>
        <w:rPr>
          <w:rStyle w:val="FootnoteReference"/>
        </w:rPr>
        <w:footnoteRef/>
      </w:r>
      <w:r>
        <w:t xml:space="preserve"> Cross-references for "My soul": Gen 42:28; 2Sam 16:10.</w:t>
      </w:r>
    </w:p>
  </w:footnote>
  <w:footnote w:id="11329">
    <w:p>
      <w:pPr>
        <w:pStyle w:val="FootnoteText"/>
      </w:pPr>
      <w:r>
        <w:rPr>
          <w:rStyle w:val="FootnoteReference"/>
        </w:rPr>
        <w:footnoteRef/>
      </w:r>
      <w:r>
        <w:t xml:space="preserve"> Cross-references for "Watchmen": Song 3:3; Isa 6:10-11.</w:t>
      </w:r>
    </w:p>
  </w:footnote>
  <w:footnote w:id="11330">
    <w:p>
      <w:pPr>
        <w:pStyle w:val="FootnoteText"/>
      </w:pPr>
      <w:r>
        <w:rPr>
          <w:rStyle w:val="FootnoteReference"/>
        </w:rPr>
        <w:footnoteRef/>
      </w:r>
      <w:r>
        <w:t xml:space="preserve"> Cross-references for "What is": Isa 53:2; Matt 16:13-17.</w:t>
      </w:r>
    </w:p>
  </w:footnote>
  <w:footnote w:id="11331">
    <w:p>
      <w:pPr>
        <w:pStyle w:val="FootnoteText"/>
      </w:pPr>
      <w:r>
        <w:rPr>
          <w:rStyle w:val="FootnoteReference"/>
        </w:rPr>
        <w:footnoteRef/>
      </w:r>
      <w:r>
        <w:t xml:space="preserve"> Cross-references for "beloved": Deut 32:31; Ps 45:17.</w:t>
      </w:r>
    </w:p>
  </w:footnote>
  <w:footnote w:id="11332">
    <w:p>
      <w:pPr>
        <w:pStyle w:val="FootnoteText"/>
      </w:pPr>
      <w:r>
        <w:rPr>
          <w:rStyle w:val="FootnoteReference"/>
        </w:rPr>
        <w:footnoteRef/>
      </w:r>
      <w:r>
        <w:t xml:space="preserve"> Cross-references for "head": Dan 2:37-38; Eph 1:21-22.</w:t>
      </w:r>
    </w:p>
  </w:footnote>
  <w:footnote w:id="11333">
    <w:p>
      <w:pPr>
        <w:pStyle w:val="FootnoteText"/>
      </w:pPr>
      <w:r>
        <w:rPr>
          <w:rStyle w:val="FootnoteReference"/>
        </w:rPr>
        <w:footnoteRef/>
      </w:r>
      <w:r>
        <w:t xml:space="preserve"> Cross-references for "His eyes": Song 1:15; Song 4:1.</w:t>
      </w:r>
    </w:p>
  </w:footnote>
  <w:footnote w:id="11334">
    <w:p>
      <w:pPr>
        <w:pStyle w:val="FootnoteText"/>
      </w:pPr>
      <w:r>
        <w:rPr>
          <w:rStyle w:val="FootnoteReference"/>
        </w:rPr>
        <w:footnoteRef/>
      </w:r>
      <w:r>
        <w:t xml:space="preserve"> Cross-references for "cheeks": Song 1:10; Isa 50:6.</w:t>
      </w:r>
    </w:p>
  </w:footnote>
  <w:footnote w:id="11335">
    <w:p>
      <w:pPr>
        <w:pStyle w:val="FootnoteText"/>
      </w:pPr>
      <w:r>
        <w:rPr>
          <w:rStyle w:val="FootnoteReference"/>
        </w:rPr>
        <w:footnoteRef/>
      </w:r>
      <w:r>
        <w:t xml:space="preserve"> Cross-references for "hands": Exod 15:6; Ps 44:4-7.</w:t>
      </w:r>
    </w:p>
  </w:footnote>
  <w:footnote w:id="11336">
    <w:p>
      <w:pPr>
        <w:pStyle w:val="FootnoteText"/>
      </w:pPr>
      <w:r>
        <w:rPr>
          <w:rStyle w:val="FootnoteReference"/>
        </w:rPr>
        <w:footnoteRef/>
      </w:r>
      <w:r>
        <w:t xml:space="preserve"> Cross-references for "legs": Rev 1:15.</w:t>
      </w:r>
    </w:p>
  </w:footnote>
  <w:footnote w:id="11337">
    <w:p>
      <w:pPr>
        <w:pStyle w:val="FootnoteText"/>
      </w:pPr>
      <w:r>
        <w:rPr>
          <w:rStyle w:val="FootnoteReference"/>
        </w:rPr>
        <w:footnoteRef/>
      </w:r>
      <w:r>
        <w:t xml:space="preserve"> Cross-references for "my beloved": Song 2:16; Song 6:3.</w:t>
      </w:r>
    </w:p>
  </w:footnote>
  <w:footnote w:id="11338">
    <w:p>
      <w:pPr>
        <w:pStyle w:val="FootnoteText"/>
      </w:pPr>
      <w:r>
        <w:rPr>
          <w:rStyle w:val="FootnoteReference"/>
        </w:rPr>
        <w:footnoteRef/>
      </w:r>
      <w:r>
        <w:t xml:space="preserve"> Translation note: The Greek keeps the pastoral garden image direct. The current wording preserves it.</w:t>
      </w:r>
    </w:p>
  </w:footnote>
  <w:footnote w:id="11339">
    <w:p>
      <w:pPr>
        <w:pStyle w:val="FootnoteText"/>
      </w:pPr>
      <w:r>
        <w:rPr>
          <w:rStyle w:val="FootnoteReference"/>
        </w:rPr>
        <w:footnoteRef/>
      </w:r>
      <w:r>
        <w:t xml:space="preserve"> Cross-references for "beautiful": Song 2:14; Song 4:7.</w:t>
      </w:r>
    </w:p>
  </w:footnote>
  <w:footnote w:id="11340">
    <w:p>
      <w:pPr>
        <w:pStyle w:val="FootnoteText"/>
      </w:pPr>
      <w:r>
        <w:rPr>
          <w:rStyle w:val="FootnoteReference"/>
        </w:rPr>
        <w:footnoteRef/>
      </w:r>
      <w:r>
        <w:t xml:space="preserve"> Cross-references for "my dove": Song 2:14; Song 5:2.</w:t>
      </w:r>
    </w:p>
  </w:footnote>
  <w:footnote w:id="11341">
    <w:p>
      <w:pPr>
        <w:pStyle w:val="FootnoteText"/>
      </w:pPr>
      <w:r>
        <w:rPr>
          <w:rStyle w:val="FootnoteReference"/>
        </w:rPr>
        <w:footnoteRef/>
      </w:r>
      <w:r>
        <w:t xml:space="preserve"> Cross-references for "bring": Song 3:4; Gal 4:26.</w:t>
      </w:r>
    </w:p>
  </w:footnote>
  <w:footnote w:id="11342">
    <w:p>
      <w:pPr>
        <w:pStyle w:val="FootnoteText"/>
      </w:pPr>
      <w:r>
        <w:rPr>
          <w:rStyle w:val="FootnoteReference"/>
        </w:rPr>
        <w:footnoteRef/>
      </w:r>
      <w:r>
        <w:t xml:space="preserve"> Cross-references for "Who is this": Song 3:6; Song 6:10.</w:t>
      </w:r>
    </w:p>
  </w:footnote>
  <w:footnote w:id="11343">
    <w:p>
      <w:pPr>
        <w:pStyle w:val="FootnoteText"/>
      </w:pPr>
      <w:r>
        <w:rPr>
          <w:rStyle w:val="FootnoteReference"/>
        </w:rPr>
        <w:footnoteRef/>
      </w:r>
      <w:r>
        <w:t xml:space="preserve"> Cross-references for "as a seal": Exod 28:9-12; Exod 28:21.</w:t>
      </w:r>
    </w:p>
  </w:footnote>
  <w:footnote w:id="11344">
    <w:p>
      <w:pPr>
        <w:pStyle w:val="FootnoteText"/>
      </w:pPr>
      <w:r>
        <w:rPr>
          <w:rStyle w:val="FootnoteReference"/>
        </w:rPr>
        <w:footnoteRef/>
      </w:r>
      <w:r>
        <w:t xml:space="preserve"> Cross-references for "If a man": Prov 6:31; Prov 6:35.</w:t>
      </w:r>
    </w:p>
  </w:footnote>
  <w:footnote w:id="11345">
    <w:p>
      <w:pPr>
        <w:pStyle w:val="FootnoteText"/>
      </w:pPr>
      <w:r>
        <w:rPr>
          <w:rStyle w:val="FootnoteReference"/>
        </w:rPr>
        <w:footnoteRef/>
      </w:r>
      <w:r>
        <w:t xml:space="preserve"> Cross-references for "a wall": Song 2:9; Rev 21:12-19.</w:t>
      </w:r>
    </w:p>
  </w:footnote>
  <w:footnote w:id="11346">
    <w:p>
      <w:pPr>
        <w:pStyle w:val="FootnoteText"/>
      </w:pPr>
      <w:r>
        <w:rPr>
          <w:rStyle w:val="FootnoteReference"/>
        </w:rPr>
        <w:footnoteRef/>
      </w:r>
      <w:r>
        <w:t xml:space="preserve"> Cross-references for "a wall": Song 8:9.</w:t>
      </w:r>
    </w:p>
  </w:footnote>
  <w:footnote w:id="11347">
    <w:p>
      <w:pPr>
        <w:pStyle w:val="FootnoteText"/>
      </w:pPr>
      <w:r>
        <w:rPr>
          <w:rStyle w:val="FootnoteReference"/>
        </w:rPr>
        <w:footnoteRef/>
      </w:r>
      <w:r>
        <w:t xml:space="preserve"> Place name: Baal-hamon. Place-name meaning: Baal-hamon — who rules a crowd. Source form: Baal-hamon. Greek form: βεελαμων.</w:t>
      </w:r>
    </w:p>
  </w:footnote>
  <w:footnote w:id="11348">
    <w:p>
      <w:pPr>
        <w:pStyle w:val="FootnoteText"/>
      </w:pPr>
      <w:r>
        <w:rPr>
          <w:rStyle w:val="FootnoteReference"/>
        </w:rPr>
        <w:footnoteRef/>
      </w:r>
      <w:r>
        <w:t xml:space="preserve"> Cross-references for "a thousand": Gen 20:16; Isa 7:23.</w:t>
      </w:r>
    </w:p>
  </w:footnote>
  <w:footnote w:id="11349">
    <w:p>
      <w:pPr>
        <w:pStyle w:val="FootnoteText"/>
      </w:pPr>
      <w:r>
        <w:rPr>
          <w:rStyle w:val="FootnoteReference"/>
        </w:rPr>
        <w:footnoteRef/>
      </w:r>
      <w:r>
        <w:t xml:space="preserve"> Cross-references for "vineyard": Prov 4:23; Song 1:6.</w:t>
      </w:r>
    </w:p>
  </w:footnote>
  <w:footnote w:id="11350">
    <w:p>
      <w:pPr>
        <w:pStyle w:val="FootnoteText"/>
      </w:pPr>
      <w:r>
        <w:rPr>
          <w:rStyle w:val="FootnoteReference"/>
        </w:rPr>
        <w:footnoteRef/>
      </w:r>
      <w:r>
        <w:t xml:space="preserve"> Cross-references for "vision": Num 12:6; Num 24:4.</w:t>
      </w:r>
    </w:p>
  </w:footnote>
  <w:footnote w:id="11351">
    <w:p>
      <w:pPr>
        <w:pStyle w:val="FootnoteText"/>
      </w:pPr>
      <w:r>
        <w:rPr>
          <w:rStyle w:val="FootnoteReference"/>
        </w:rPr>
        <w:footnoteRef/>
      </w:r>
      <w:r>
        <w:t xml:space="preserve"> Cross-references for "Hear": Deut 4:26; Deut 30:19.</w:t>
      </w:r>
    </w:p>
  </w:footnote>
  <w:footnote w:id="11352">
    <w:p>
      <w:pPr>
        <w:pStyle w:val="FootnoteText"/>
      </w:pPr>
      <w:r>
        <w:rPr>
          <w:rStyle w:val="FootnoteReference"/>
        </w:rPr>
        <w:footnoteRef/>
      </w:r>
      <w:r>
        <w:t xml:space="preserve"> Cross-references for "but Israel": Deut 32:28-29; Ps 94:8.</w:t>
      </w:r>
    </w:p>
  </w:footnote>
  <w:footnote w:id="11353">
    <w:p>
      <w:pPr>
        <w:pStyle w:val="FootnoteText"/>
      </w:pPr>
      <w:r>
        <w:rPr>
          <w:rStyle w:val="FootnoteReference"/>
        </w:rPr>
        <w:footnoteRef/>
      </w:r>
      <w:r>
        <w:t xml:space="preserve"> Cross-references for "provoked": Deut 32:19; Ps 78:40.</w:t>
      </w:r>
    </w:p>
  </w:footnote>
  <w:footnote w:id="11354">
    <w:p>
      <w:pPr>
        <w:pStyle w:val="FootnoteText"/>
      </w:pPr>
      <w:r>
        <w:rPr>
          <w:rStyle w:val="FootnoteReference"/>
        </w:rPr>
        <w:footnoteRef/>
      </w:r>
      <w:r>
        <w:t xml:space="preserve"> Cross-references for "country": Lev 26:34; Deut 28:51.</w:t>
      </w:r>
    </w:p>
  </w:footnote>
  <w:footnote w:id="11355">
    <w:p>
      <w:pPr>
        <w:pStyle w:val="FootnoteText"/>
      </w:pPr>
      <w:r>
        <w:rPr>
          <w:rStyle w:val="FootnoteReference"/>
        </w:rPr>
        <w:footnoteRef/>
      </w:r>
      <w:r>
        <w:t xml:space="preserve"> Cross-references for "daughter": Isa 4:4; Isa 10:32.</w:t>
      </w:r>
    </w:p>
  </w:footnote>
  <w:footnote w:id="11356">
    <w:p>
      <w:pPr>
        <w:pStyle w:val="FootnoteText"/>
      </w:pPr>
      <w:r>
        <w:rPr>
          <w:rStyle w:val="FootnoteReference"/>
        </w:rPr>
        <w:footnoteRef/>
      </w:r>
      <w:r>
        <w:t xml:space="preserve"> Cross-references for "left": Lam 3:22; Hab 3:2.</w:t>
      </w:r>
    </w:p>
  </w:footnote>
  <w:footnote w:id="11357">
    <w:p>
      <w:pPr>
        <w:pStyle w:val="FootnoteText"/>
      </w:pPr>
      <w:r>
        <w:rPr>
          <w:rStyle w:val="FootnoteReference"/>
        </w:rPr>
        <w:footnoteRef/>
      </w:r>
      <w:r>
        <w:t xml:space="preserve"> Cross-references for "Hear": 1Kgs 22:19-23; Amos 3:1.</w:t>
      </w:r>
    </w:p>
  </w:footnote>
  <w:footnote w:id="11358">
    <w:p>
      <w:pPr>
        <w:pStyle w:val="FootnoteText"/>
      </w:pPr>
      <w:r>
        <w:rPr>
          <w:rStyle w:val="FootnoteReference"/>
        </w:rPr>
        <w:footnoteRef/>
      </w:r>
      <w:r>
        <w:t xml:space="preserve"> Cross-references for "vain": Ezek 20:39; Mal 1:10.</w:t>
      </w:r>
    </w:p>
  </w:footnote>
  <w:footnote w:id="11359">
    <w:p>
      <w:pPr>
        <w:pStyle w:val="FootnoteText"/>
      </w:pPr>
      <w:r>
        <w:rPr>
          <w:rStyle w:val="FootnoteReference"/>
        </w:rPr>
        <w:footnoteRef/>
      </w:r>
      <w:r>
        <w:t xml:space="preserve"> Cross-references for "my soul": Isa 61:8; Amos 5:21.</w:t>
      </w:r>
    </w:p>
  </w:footnote>
  <w:footnote w:id="11360">
    <w:p>
      <w:pPr>
        <w:pStyle w:val="FootnoteText"/>
      </w:pPr>
      <w:r>
        <w:rPr>
          <w:rStyle w:val="FootnoteReference"/>
        </w:rPr>
        <w:footnoteRef/>
      </w:r>
      <w:r>
        <w:t xml:space="preserve"> Cross-references for "your hands": Isa 59:2-3; Jer 7:8-10.</w:t>
      </w:r>
    </w:p>
  </w:footnote>
  <w:footnote w:id="11361">
    <w:p>
      <w:pPr>
        <w:pStyle w:val="FootnoteText"/>
      </w:pPr>
      <w:r>
        <w:rPr>
          <w:rStyle w:val="FootnoteReference"/>
        </w:rPr>
        <w:footnoteRef/>
      </w:r>
      <w:r>
        <w:t xml:space="preserve"> Cross-references for "Wash": Job 11:13-14; Ps 26:6.</w:t>
      </w:r>
    </w:p>
  </w:footnote>
  <w:footnote w:id="11362">
    <w:p>
      <w:pPr>
        <w:pStyle w:val="FootnoteText"/>
      </w:pPr>
      <w:r>
        <w:rPr>
          <w:rStyle w:val="FootnoteReference"/>
        </w:rPr>
        <w:footnoteRef/>
      </w:r>
      <w:r>
        <w:t xml:space="preserve"> Cross-references for "seek": Ps 82:3-4; Prov 31:9.</w:t>
      </w:r>
    </w:p>
  </w:footnote>
  <w:footnote w:id="11363">
    <w:p>
      <w:pPr>
        <w:pStyle w:val="FootnoteText"/>
      </w:pPr>
      <w:r>
        <w:rPr>
          <w:rStyle w:val="FootnoteReference"/>
        </w:rPr>
        <w:footnoteRef/>
      </w:r>
      <w:r>
        <w:t xml:space="preserve"> Cross-references for "and let us": 1Sam 12:7; Isa 41:21.</w:t>
      </w:r>
    </w:p>
  </w:footnote>
  <w:footnote w:id="11364">
    <w:p>
      <w:pPr>
        <w:pStyle w:val="FootnoteText"/>
      </w:pPr>
      <w:r>
        <w:rPr>
          <w:rStyle w:val="FootnoteReference"/>
        </w:rPr>
        <w:footnoteRef/>
      </w:r>
      <w:r>
        <w:t xml:space="preserve"> Cross-references for "for the mouth": Lev 26:33; Num 23:19.</w:t>
      </w:r>
    </w:p>
  </w:footnote>
  <w:footnote w:id="11365">
    <w:p>
      <w:pPr>
        <w:pStyle w:val="FootnoteText"/>
      </w:pPr>
      <w:r>
        <w:rPr>
          <w:rStyle w:val="FootnoteReference"/>
        </w:rPr>
        <w:footnoteRef/>
      </w:r>
      <w:r>
        <w:t xml:space="preserve"> Cross-references for "the faithful": Neh 11:1; Ps 46:4.</w:t>
      </w:r>
    </w:p>
  </w:footnote>
  <w:footnote w:id="11366">
    <w:p>
      <w:pPr>
        <w:pStyle w:val="FootnoteText"/>
      </w:pPr>
      <w:r>
        <w:rPr>
          <w:rStyle w:val="FootnoteReference"/>
        </w:rPr>
        <w:footnoteRef/>
      </w:r>
      <w:r>
        <w:t xml:space="preserve"> Cross-references for "silver": Jer 6:28-30; Lam 4:1-2.</w:t>
      </w:r>
    </w:p>
  </w:footnote>
  <w:footnote w:id="11367">
    <w:p>
      <w:pPr>
        <w:pStyle w:val="FootnoteText"/>
      </w:pPr>
      <w:r>
        <w:rPr>
          <w:rStyle w:val="FootnoteReference"/>
        </w:rPr>
        <w:footnoteRef/>
      </w:r>
      <w:r>
        <w:t xml:space="preserve"> Cross-references for "companions": Prov 29:24; Matt 21:13.</w:t>
      </w:r>
    </w:p>
  </w:footnote>
  <w:footnote w:id="11368">
    <w:p>
      <w:pPr>
        <w:pStyle w:val="FootnoteText"/>
      </w:pPr>
      <w:r>
        <w:rPr>
          <w:rStyle w:val="FootnoteReference"/>
        </w:rPr>
        <w:footnoteRef/>
      </w:r>
      <w:r>
        <w:t xml:space="preserve"> Cross-references for "the mighty": Isa 30:29; Isa 49:26.</w:t>
      </w:r>
    </w:p>
  </w:footnote>
  <w:footnote w:id="11369">
    <w:p>
      <w:pPr>
        <w:pStyle w:val="FootnoteText"/>
      </w:pPr>
      <w:r>
        <w:rPr>
          <w:rStyle w:val="FootnoteReference"/>
        </w:rPr>
        <w:footnoteRef/>
      </w:r>
      <w:r>
        <w:t xml:space="preserve"> Cross-references for "purge": Isa 1:22; Isa 4:4.</w:t>
      </w:r>
    </w:p>
  </w:footnote>
  <w:footnote w:id="11370">
    <w:p>
      <w:pPr>
        <w:pStyle w:val="FootnoteText"/>
      </w:pPr>
      <w:r>
        <w:rPr>
          <w:rStyle w:val="FootnoteReference"/>
        </w:rPr>
        <w:footnoteRef/>
      </w:r>
      <w:r>
        <w:t xml:space="preserve"> Cross-references for "ashamed": Isa 30:22; Isa 31:7.</w:t>
      </w:r>
    </w:p>
  </w:footnote>
  <w:footnote w:id="11371">
    <w:p>
      <w:pPr>
        <w:pStyle w:val="FootnoteText"/>
      </w:pPr>
      <w:r>
        <w:rPr>
          <w:rStyle w:val="FootnoteReference"/>
        </w:rPr>
        <w:footnoteRef/>
      </w:r>
      <w:r>
        <w:t xml:space="preserve"> Cross-references for "in the last": Gen 49:1; Num 24:14.</w:t>
      </w:r>
    </w:p>
  </w:footnote>
  <w:footnote w:id="11372">
    <w:p>
      <w:pPr>
        <w:pStyle w:val="FootnoteText"/>
      </w:pPr>
      <w:r>
        <w:rPr>
          <w:rStyle w:val="FootnoteReference"/>
        </w:rPr>
        <w:footnoteRef/>
      </w:r>
      <w:r>
        <w:t xml:space="preserve"> Cross-references for "enter": Judg 6:1-2; Job 30:5-6.</w:t>
      </w:r>
    </w:p>
  </w:footnote>
  <w:footnote w:id="11373">
    <w:p>
      <w:pPr>
        <w:pStyle w:val="FootnoteText"/>
      </w:pPr>
      <w:r>
        <w:rPr>
          <w:rStyle w:val="FootnoteReference"/>
        </w:rPr>
        <w:footnoteRef/>
      </w:r>
      <w:r>
        <w:t xml:space="preserve"> Cross-references for "and the Lord": Isa 5:16; Isa 12:4.</w:t>
      </w:r>
    </w:p>
  </w:footnote>
  <w:footnote w:id="11374">
    <w:p>
      <w:pPr>
        <w:pStyle w:val="FootnoteText"/>
      </w:pPr>
      <w:r>
        <w:rPr>
          <w:rStyle w:val="FootnoteReference"/>
        </w:rPr>
        <w:footnoteRef/>
      </w:r>
      <w:r>
        <w:t xml:space="preserve"> Cross-references for "upon": Prov 6:16-17; Prov 16:5.</w:t>
      </w:r>
    </w:p>
  </w:footnote>
  <w:footnote w:id="11375">
    <w:p>
      <w:pPr>
        <w:pStyle w:val="FootnoteText"/>
      </w:pPr>
      <w:r>
        <w:rPr>
          <w:rStyle w:val="FootnoteReference"/>
        </w:rPr>
        <w:footnoteRef/>
      </w:r>
      <w:r>
        <w:t xml:space="preserve"> Cross-references for "when he": Ps 7:6; Ps 18:6-15.</w:t>
      </w:r>
    </w:p>
  </w:footnote>
  <w:footnote w:id="11376">
    <w:p>
      <w:pPr>
        <w:pStyle w:val="FootnoteText"/>
      </w:pPr>
      <w:r>
        <w:rPr>
          <w:rStyle w:val="FootnoteReference"/>
        </w:rPr>
        <w:footnoteRef/>
      </w:r>
      <w:r>
        <w:t xml:space="preserve"> Cross-references for "the Lord": Isa 1:24; Isa 36:12.</w:t>
      </w:r>
    </w:p>
  </w:footnote>
  <w:footnote w:id="11377">
    <w:p>
      <w:pPr>
        <w:pStyle w:val="FootnoteText"/>
      </w:pPr>
      <w:r>
        <w:rPr>
          <w:rStyle w:val="FootnoteReference"/>
        </w:rPr>
        <w:footnoteRef/>
      </w:r>
      <w:r>
        <w:t xml:space="preserve"> Cross-references for "captain": Exod 18:21; Deut 1:15.</w:t>
      </w:r>
    </w:p>
  </w:footnote>
  <w:footnote w:id="11378">
    <w:p>
      <w:pPr>
        <w:pStyle w:val="FootnoteText"/>
      </w:pPr>
      <w:r>
        <w:rPr>
          <w:rStyle w:val="FootnoteReference"/>
        </w:rPr>
        <w:footnoteRef/>
      </w:r>
      <w:r>
        <w:t xml:space="preserve"> Cross-references for "child": Isa 1:4.</w:t>
      </w:r>
    </w:p>
  </w:footnote>
  <w:footnote w:id="11379">
    <w:p>
      <w:pPr>
        <w:pStyle w:val="FootnoteText"/>
      </w:pPr>
      <w:r>
        <w:rPr>
          <w:rStyle w:val="FootnoteReference"/>
        </w:rPr>
        <w:footnoteRef/>
      </w:r>
      <w:r>
        <w:t xml:space="preserve"> Cross-references for "a man": Judg 11:6-8; Isa 4:1.</w:t>
      </w:r>
    </w:p>
  </w:footnote>
  <w:footnote w:id="11380">
    <w:p>
      <w:pPr>
        <w:pStyle w:val="FootnoteText"/>
      </w:pPr>
      <w:r>
        <w:rPr>
          <w:rStyle w:val="FootnoteReference"/>
        </w:rPr>
        <w:footnoteRef/>
      </w:r>
      <w:r>
        <w:t xml:space="preserve"> Cross-references for "neither bread": 1Kgs 4:22-23; Neh 5:17-18.</w:t>
      </w:r>
    </w:p>
  </w:footnote>
  <w:footnote w:id="11381">
    <w:p>
      <w:pPr>
        <w:pStyle w:val="FootnoteText"/>
      </w:pPr>
      <w:r>
        <w:rPr>
          <w:rStyle w:val="FootnoteReference"/>
        </w:rPr>
        <w:footnoteRef/>
      </w:r>
      <w:r>
        <w:t xml:space="preserve"> Cross-references for "Jerusalem": 2Chr 28:5-7; 2Chr 28:18.</w:t>
      </w:r>
    </w:p>
  </w:footnote>
  <w:footnote w:id="11382">
    <w:p>
      <w:pPr>
        <w:pStyle w:val="FootnoteText"/>
      </w:pPr>
      <w:r>
        <w:rPr>
          <w:rStyle w:val="FootnoteReference"/>
        </w:rPr>
        <w:footnoteRef/>
      </w:r>
      <w:r>
        <w:t xml:space="preserve"> Cross-references for "the daughters": Isa 1:8; Isa 4:4.</w:t>
      </w:r>
    </w:p>
  </w:footnote>
  <w:footnote w:id="11383">
    <w:p>
      <w:pPr>
        <w:pStyle w:val="FootnoteText"/>
      </w:pPr>
      <w:r>
        <w:rPr>
          <w:rStyle w:val="FootnoteReference"/>
        </w:rPr>
        <w:footnoteRef/>
      </w:r>
      <w:r>
        <w:t xml:space="preserve"> Cross-references for "fine linen": Gen 41:42; 1Chr 15:27.</w:t>
      </w:r>
    </w:p>
  </w:footnote>
  <w:footnote w:id="11384">
    <w:p>
      <w:pPr>
        <w:pStyle w:val="FootnoteText"/>
      </w:pPr>
      <w:r>
        <w:rPr>
          <w:rStyle w:val="FootnoteReference"/>
        </w:rPr>
        <w:footnoteRef/>
      </w:r>
      <w:r>
        <w:t xml:space="preserve"> Cross-references for "instead": Prov 7:17; Isa 57:9.</w:t>
      </w:r>
    </w:p>
  </w:footnote>
  <w:footnote w:id="11385">
    <w:p>
      <w:pPr>
        <w:pStyle w:val="FootnoteText"/>
      </w:pPr>
      <w:r>
        <w:rPr>
          <w:rStyle w:val="FootnoteReference"/>
        </w:rPr>
        <w:footnoteRef/>
      </w:r>
      <w:r>
        <w:t xml:space="preserve"> Cross-references for "Seven": Isa 3:25-26; Isa 13:12.</w:t>
      </w:r>
    </w:p>
  </w:footnote>
  <w:footnote w:id="11386">
    <w:p>
      <w:pPr>
        <w:pStyle w:val="FootnoteText"/>
      </w:pPr>
      <w:r>
        <w:rPr>
          <w:rStyle w:val="FootnoteReference"/>
        </w:rPr>
        <w:footnoteRef/>
      </w:r>
      <w:r>
        <w:t xml:space="preserve"> Cross-references for "shall be": Isa 1:27; Isa 52:1.</w:t>
      </w:r>
    </w:p>
  </w:footnote>
  <w:footnote w:id="11387">
    <w:p>
      <w:pPr>
        <w:pStyle w:val="FootnoteText"/>
      </w:pPr>
      <w:r>
        <w:rPr>
          <w:rStyle w:val="FootnoteReference"/>
        </w:rPr>
        <w:footnoteRef/>
      </w:r>
      <w:r>
        <w:t xml:space="preserve"> Cross-references for "by the spirit": Isa 9:5; Ezek 22:18-22.</w:t>
      </w:r>
    </w:p>
  </w:footnote>
  <w:footnote w:id="11388">
    <w:p>
      <w:pPr>
        <w:pStyle w:val="FootnoteText"/>
      </w:pPr>
      <w:r>
        <w:rPr>
          <w:rStyle w:val="FootnoteReference"/>
        </w:rPr>
        <w:footnoteRef/>
      </w:r>
      <w:r>
        <w:t xml:space="preserve"> Cross-references for "a cloud": Exod 13:21-22; Exod 14:19-20.</w:t>
      </w:r>
    </w:p>
  </w:footnote>
  <w:footnote w:id="11389">
    <w:p>
      <w:pPr>
        <w:pStyle w:val="FootnoteText"/>
      </w:pPr>
      <w:r>
        <w:rPr>
          <w:rStyle w:val="FootnoteReference"/>
        </w:rPr>
        <w:footnoteRef/>
      </w:r>
      <w:r>
        <w:t xml:space="preserve"> Cross-references for "planted": Jer 2:21.</w:t>
      </w:r>
    </w:p>
  </w:footnote>
  <w:footnote w:id="11390">
    <w:p>
      <w:pPr>
        <w:pStyle w:val="FootnoteText"/>
      </w:pPr>
      <w:r>
        <w:rPr>
          <w:rStyle w:val="FootnoteReference"/>
        </w:rPr>
        <w:footnoteRef/>
      </w:r>
      <w:r>
        <w:t xml:space="preserve"> Cross-references for "judge": Ps 50:4-6; Ps 51:4.</w:t>
      </w:r>
    </w:p>
  </w:footnote>
  <w:footnote w:id="11391">
    <w:p>
      <w:pPr>
        <w:pStyle w:val="FootnoteText"/>
      </w:pPr>
      <w:r>
        <w:rPr>
          <w:rStyle w:val="FootnoteReference"/>
        </w:rPr>
        <w:footnoteRef/>
      </w:r>
      <w:r>
        <w:t xml:space="preserve"> Cross-references for "it shall": Isa 7:23-25; Hos 3:4.</w:t>
      </w:r>
    </w:p>
  </w:footnote>
  <w:footnote w:id="11392">
    <w:p>
      <w:pPr>
        <w:pStyle w:val="FootnoteText"/>
      </w:pPr>
      <w:r>
        <w:rPr>
          <w:rStyle w:val="FootnoteReference"/>
        </w:rPr>
        <w:footnoteRef/>
      </w:r>
      <w:r>
        <w:t xml:space="preserve"> Cross-references for "the vineyard": Ps 80:8-11; Ps 80:15.</w:t>
      </w:r>
    </w:p>
  </w:footnote>
  <w:footnote w:id="11393">
    <w:p>
      <w:pPr>
        <w:pStyle w:val="FootnoteText"/>
      </w:pPr>
      <w:r>
        <w:rPr>
          <w:rStyle w:val="FootnoteReference"/>
        </w:rPr>
        <w:footnoteRef/>
      </w:r>
      <w:r>
        <w:t xml:space="preserve"> Cross-references for "field": 1Kgs 21:16-20.</w:t>
      </w:r>
    </w:p>
  </w:footnote>
  <w:footnote w:id="11394">
    <w:p>
      <w:pPr>
        <w:pStyle w:val="FootnoteText"/>
      </w:pPr>
      <w:r>
        <w:rPr>
          <w:rStyle w:val="FootnoteReference"/>
        </w:rPr>
        <w:footnoteRef/>
      </w:r>
      <w:r>
        <w:t xml:space="preserve"> Cross-references for "my people": 2Kgs 17:6; 2Chr 28:5-8.</w:t>
      </w:r>
    </w:p>
  </w:footnote>
  <w:footnote w:id="11395">
    <w:p>
      <w:pPr>
        <w:pStyle w:val="FootnoteText"/>
      </w:pPr>
      <w:r>
        <w:rPr>
          <w:rStyle w:val="FootnoteReference"/>
        </w:rPr>
        <w:footnoteRef/>
      </w:r>
      <w:r>
        <w:t xml:space="preserve"> Cross-references for "opened": Num 16:30-34; Prov 1:12.</w:t>
      </w:r>
    </w:p>
  </w:footnote>
  <w:footnote w:id="11396">
    <w:p>
      <w:pPr>
        <w:pStyle w:val="FootnoteText"/>
      </w:pPr>
      <w:r>
        <w:rPr>
          <w:rStyle w:val="FootnoteReference"/>
        </w:rPr>
        <w:footnoteRef/>
      </w:r>
      <w:r>
        <w:t xml:space="preserve"> Cross-references for "the Lord": 1Chr 29:11; Ps 9:16.</w:t>
      </w:r>
    </w:p>
  </w:footnote>
  <w:footnote w:id="11397">
    <w:p>
      <w:pPr>
        <w:pStyle w:val="FootnoteText"/>
      </w:pPr>
      <w:r>
        <w:rPr>
          <w:rStyle w:val="FootnoteReference"/>
        </w:rPr>
        <w:footnoteRef/>
      </w:r>
      <w:r>
        <w:t xml:space="preserve"> Cross-references for "mighty": Prov 23:19-20; Isa 5:11.</w:t>
      </w:r>
    </w:p>
  </w:footnote>
  <w:footnote w:id="11398">
    <w:p>
      <w:pPr>
        <w:pStyle w:val="FootnoteText"/>
      </w:pPr>
      <w:r>
        <w:rPr>
          <w:rStyle w:val="FootnoteReference"/>
        </w:rPr>
        <w:footnoteRef/>
      </w:r>
      <w:r>
        <w:t xml:space="preserve"> Cross-references for "their root": Job 18:16; Isa 9:14-17.</w:t>
      </w:r>
    </w:p>
  </w:footnote>
  <w:footnote w:id="11399">
    <w:p>
      <w:pPr>
        <w:pStyle w:val="FootnoteText"/>
      </w:pPr>
      <w:r>
        <w:rPr>
          <w:rStyle w:val="FootnoteReference"/>
        </w:rPr>
        <w:footnoteRef/>
      </w:r>
      <w:r>
        <w:t xml:space="preserve"> Cross-references for "arrows": Ps 45:5; Ps 120:4.</w:t>
      </w:r>
    </w:p>
  </w:footnote>
  <w:footnote w:id="11400">
    <w:p>
      <w:pPr>
        <w:pStyle w:val="FootnoteText"/>
      </w:pPr>
      <w:r>
        <w:rPr>
          <w:rStyle w:val="FootnoteReference"/>
        </w:rPr>
        <w:footnoteRef/>
      </w:r>
      <w:r>
        <w:t xml:space="preserve"> Cross-references for "the year": 2Kgs 15:7; 2Chr 26:22-23.</w:t>
      </w:r>
    </w:p>
  </w:footnote>
  <w:footnote w:id="11401">
    <w:p>
      <w:pPr>
        <w:pStyle w:val="FootnoteText"/>
      </w:pPr>
      <w:r>
        <w:rPr>
          <w:rStyle w:val="FootnoteReference"/>
        </w:rPr>
        <w:footnoteRef/>
      </w:r>
      <w:r>
        <w:t xml:space="preserve"> Cross-references for "stood": 1Kgs 22:19; Job 1:6.</w:t>
      </w:r>
    </w:p>
  </w:footnote>
  <w:footnote w:id="11402">
    <w:p>
      <w:pPr>
        <w:pStyle w:val="FootnoteText"/>
      </w:pPr>
      <w:r>
        <w:rPr>
          <w:rStyle w:val="FootnoteReference"/>
        </w:rPr>
        <w:footnoteRef/>
      </w:r>
      <w:r>
        <w:t xml:space="preserve"> Cross-references for "Holy": Exod 15:11; Rev 4:8-9.</w:t>
      </w:r>
    </w:p>
  </w:footnote>
  <w:footnote w:id="11403">
    <w:p>
      <w:pPr>
        <w:pStyle w:val="FootnoteText"/>
      </w:pPr>
      <w:r>
        <w:rPr>
          <w:rStyle w:val="FootnoteReference"/>
        </w:rPr>
        <w:footnoteRef/>
      </w:r>
      <w:r>
        <w:t xml:space="preserve"> Cross-references for "the house": Exod 40:34; 1Kgs 8:10-12.</w:t>
      </w:r>
    </w:p>
  </w:footnote>
  <w:footnote w:id="11404">
    <w:p>
      <w:pPr>
        <w:pStyle w:val="FootnoteText"/>
      </w:pPr>
      <w:r>
        <w:rPr>
          <w:rStyle w:val="FootnoteReference"/>
        </w:rPr>
        <w:footnoteRef/>
      </w:r>
      <w:r>
        <w:t xml:space="preserve"> Cross-references for "a man": Exod 4:10; Exod 6:12.</w:t>
      </w:r>
    </w:p>
  </w:footnote>
  <w:footnote w:id="11405">
    <w:p>
      <w:pPr>
        <w:pStyle w:val="FootnoteText"/>
      </w:pPr>
      <w:r>
        <w:rPr>
          <w:rStyle w:val="FootnoteReference"/>
        </w:rPr>
        <w:footnoteRef/>
      </w:r>
      <w:r>
        <w:t xml:space="preserve"> Cross-references for "I heard": Gen 3:8-10; Deut 4:33-36.</w:t>
      </w:r>
    </w:p>
  </w:footnote>
  <w:footnote w:id="11406">
    <w:p>
      <w:pPr>
        <w:pStyle w:val="FootnoteText"/>
      </w:pPr>
      <w:r>
        <w:rPr>
          <w:rStyle w:val="FootnoteReference"/>
        </w:rPr>
        <w:footnoteRef/>
      </w:r>
      <w:r>
        <w:t xml:space="preserve"> Cross-references for "the heart": Exod 7:3; Exod 10:27.</w:t>
      </w:r>
    </w:p>
  </w:footnote>
  <w:footnote w:id="11407">
    <w:p>
      <w:pPr>
        <w:pStyle w:val="FootnoteText"/>
      </w:pPr>
      <w:r>
        <w:rPr>
          <w:rStyle w:val="FootnoteReference"/>
        </w:rPr>
        <w:footnoteRef/>
      </w:r>
      <w:r>
        <w:t xml:space="preserve"> Cross-references for "Until the": Isa 1:7; Isa 3:26.</w:t>
      </w:r>
    </w:p>
  </w:footnote>
  <w:footnote w:id="11408">
    <w:p>
      <w:pPr>
        <w:pStyle w:val="FootnoteText"/>
      </w:pPr>
      <w:r>
        <w:rPr>
          <w:rStyle w:val="FootnoteReference"/>
        </w:rPr>
        <w:footnoteRef/>
      </w:r>
      <w:r>
        <w:t xml:space="preserve"> Cross-references for "the days": 2Kgs 16:1; 2Chr 28:1-6.</w:t>
      </w:r>
    </w:p>
  </w:footnote>
  <w:footnote w:id="11409">
    <w:p>
      <w:pPr>
        <w:pStyle w:val="FootnoteText"/>
      </w:pPr>
      <w:r>
        <w:rPr>
          <w:rStyle w:val="FootnoteReference"/>
        </w:rPr>
        <w:footnoteRef/>
      </w:r>
      <w:r>
        <w:t xml:space="preserve"> Cross-references for "the house": 2Sam 7:16; 1Kgs 11:32.</w:t>
      </w:r>
    </w:p>
  </w:footnote>
  <w:footnote w:id="11410">
    <w:p>
      <w:pPr>
        <w:pStyle w:val="FootnoteText"/>
      </w:pPr>
      <w:r>
        <w:rPr>
          <w:rStyle w:val="FootnoteReference"/>
        </w:rPr>
        <w:footnoteRef/>
      </w:r>
      <w:r>
        <w:t xml:space="preserve"> Personal name: Shear-jashub. Personal-name meaning: Shear-jashub — the remnant shall return. Source form: Shear-jashub.</w:t>
      </w:r>
    </w:p>
  </w:footnote>
  <w:footnote w:id="11411">
    <w:p>
      <w:pPr>
        <w:pStyle w:val="FootnoteText"/>
      </w:pPr>
      <w:r>
        <w:rPr>
          <w:rStyle w:val="FootnoteReference"/>
        </w:rPr>
        <w:footnoteRef/>
      </w:r>
      <w:r>
        <w:t xml:space="preserve"> Cross-references for "within": 2Kgs 17:5-23; Ezra 4:2.</w:t>
      </w:r>
    </w:p>
  </w:footnote>
  <w:footnote w:id="11412">
    <w:p>
      <w:pPr>
        <w:pStyle w:val="FootnoteText"/>
      </w:pPr>
      <w:r>
        <w:rPr>
          <w:rStyle w:val="FootnoteReference"/>
        </w:rPr>
        <w:footnoteRef/>
      </w:r>
      <w:r>
        <w:t xml:space="preserve"> Cross-references for "the head": 1Kgs 16:24-29; 2Kgs 15:27.</w:t>
      </w:r>
    </w:p>
  </w:footnote>
  <w:footnote w:id="11413">
    <w:p>
      <w:pPr>
        <w:pStyle w:val="FootnoteText"/>
      </w:pPr>
      <w:r>
        <w:rPr>
          <w:rStyle w:val="FootnoteReference"/>
        </w:rPr>
        <w:footnoteRef/>
      </w:r>
      <w:r>
        <w:t xml:space="preserve"> Cross-references for "a sign": Judg 6:36-40; 2Kgs 20:8-11.</w:t>
      </w:r>
    </w:p>
  </w:footnote>
  <w:footnote w:id="11414">
    <w:p>
      <w:pPr>
        <w:pStyle w:val="FootnoteText"/>
      </w:pPr>
      <w:r>
        <w:rPr>
          <w:rStyle w:val="FootnoteReference"/>
        </w:rPr>
        <w:footnoteRef/>
      </w:r>
      <w:r>
        <w:t xml:space="preserve"> Cross-references for "Is it a small": Gen 30:15; Num 16:9.</w:t>
      </w:r>
    </w:p>
  </w:footnote>
  <w:footnote w:id="11415">
    <w:p>
      <w:pPr>
        <w:pStyle w:val="FootnoteText"/>
      </w:pPr>
      <w:r>
        <w:rPr>
          <w:rStyle w:val="FootnoteReference"/>
        </w:rPr>
        <w:footnoteRef/>
      </w:r>
      <w:r>
        <w:t xml:space="preserve"> Cross-references for "Behold": Gen 3:15; Jer 31:22.</w:t>
      </w:r>
    </w:p>
  </w:footnote>
  <w:footnote w:id="11416">
    <w:p>
      <w:pPr>
        <w:pStyle w:val="FootnoteText"/>
      </w:pPr>
      <w:r>
        <w:rPr>
          <w:rStyle w:val="FootnoteReference"/>
        </w:rPr>
        <w:footnoteRef/>
      </w:r>
      <w:r>
        <w:t xml:space="preserve"> Hebrew divine name/title: Immanu El (</w:t>
      </w:r>
      <w:r>
        <w:rPr>
          <w:lang w:val="he-IL" w:bidi="he-IL"/>
          <w:rtl/>
        </w:rPr>
        <w:t xml:space="preserve">עִמָּנוּ אֵל</w:t>
      </w:r>
      <w:r>
        <w:t xml:space="preserve">) — God with us. Common English rendering: Immanuel. A revelatory name declaring God’s presence with His people, ultimately fulfilled in Christ.</w:t>
      </w:r>
    </w:p>
  </w:footnote>
  <w:footnote w:id="11417">
    <w:p>
      <w:pPr>
        <w:pStyle w:val="FootnoteText"/>
      </w:pPr>
      <w:r>
        <w:rPr>
          <w:rStyle w:val="FootnoteReference"/>
        </w:rPr>
        <w:footnoteRef/>
      </w:r>
      <w:r>
        <w:t xml:space="preserve"> Greek LXX divine name/title: Emmanouel (Ἐμμανουήλ) — God with us. Common English rendering: Immanuel. The LXX preserves Immanuel as a transliterated name meaning God with us.</w:t>
      </w:r>
    </w:p>
  </w:footnote>
  <w:footnote w:id="11418">
    <w:p>
      <w:pPr>
        <w:pStyle w:val="FootnoteText"/>
      </w:pPr>
      <w:r>
        <w:rPr>
          <w:rStyle w:val="FootnoteReference"/>
        </w:rPr>
        <w:footnoteRef/>
      </w:r>
      <w:r>
        <w:t xml:space="preserve"> Cross-references for "Butter": Gen 24:43; Exod 2:8.</w:t>
      </w:r>
    </w:p>
  </w:footnote>
  <w:footnote w:id="11419">
    <w:p>
      <w:pPr>
        <w:pStyle w:val="FootnoteText"/>
      </w:pPr>
      <w:r>
        <w:rPr>
          <w:rStyle w:val="FootnoteReference"/>
        </w:rPr>
        <w:footnoteRef/>
      </w:r>
      <w:r>
        <w:t xml:space="preserve"> Cross-references for "bring upon": 2Chr 28:19-21; 2Chr 32:1-33.</w:t>
      </w:r>
    </w:p>
  </w:footnote>
  <w:footnote w:id="11420">
    <w:p>
      <w:pPr>
        <w:pStyle w:val="FootnoteText"/>
      </w:pPr>
      <w:r>
        <w:rPr>
          <w:rStyle w:val="FootnoteReference"/>
        </w:rPr>
        <w:footnoteRef/>
      </w:r>
      <w:r>
        <w:t xml:space="preserve"> Cross-references for "shave": 2Kgs 16:7-8; 2Chr 28:20-21.</w:t>
      </w:r>
    </w:p>
  </w:footnote>
  <w:footnote w:id="11421">
    <w:p>
      <w:pPr>
        <w:pStyle w:val="FootnoteText"/>
      </w:pPr>
      <w:r>
        <w:rPr>
          <w:rStyle w:val="FootnoteReference"/>
        </w:rPr>
        <w:footnoteRef/>
      </w:r>
      <w:r>
        <w:t xml:space="preserve"> Cross-references for "a man": Isa 5:17; Isa 7:25.</w:t>
      </w:r>
    </w:p>
  </w:footnote>
  <w:footnote w:id="11422">
    <w:p>
      <w:pPr>
        <w:pStyle w:val="FootnoteText"/>
      </w:pPr>
      <w:r>
        <w:rPr>
          <w:rStyle w:val="FootnoteReference"/>
        </w:rPr>
        <w:footnoteRef/>
      </w:r>
      <w:r>
        <w:t xml:space="preserve"> Cross-references for "butter and honey": 2Sam 17:29; Isa 7:15.</w:t>
      </w:r>
    </w:p>
  </w:footnote>
  <w:footnote w:id="11423">
    <w:p>
      <w:pPr>
        <w:pStyle w:val="FootnoteText"/>
      </w:pPr>
      <w:r>
        <w:rPr>
          <w:rStyle w:val="FootnoteReference"/>
        </w:rPr>
        <w:footnoteRef/>
      </w:r>
      <w:r>
        <w:t xml:space="preserve"> Cross-references for "a thousand vines": Song 8:11-12; Matt 21:33.</w:t>
      </w:r>
    </w:p>
  </w:footnote>
  <w:footnote w:id="11424">
    <w:p>
      <w:pPr>
        <w:pStyle w:val="FootnoteText"/>
      </w:pPr>
      <w:r>
        <w:rPr>
          <w:rStyle w:val="FootnoteReference"/>
        </w:rPr>
        <w:footnoteRef/>
      </w:r>
      <w:r>
        <w:t xml:space="preserve"> Cross-references for "write": Job 19:23-24; Isa 30:8.</w:t>
      </w:r>
    </w:p>
  </w:footnote>
  <w:footnote w:id="11425">
    <w:p>
      <w:pPr>
        <w:pStyle w:val="FootnoteText"/>
      </w:pPr>
      <w:r>
        <w:rPr>
          <w:rStyle w:val="FootnoteReference"/>
        </w:rPr>
        <w:footnoteRef/>
      </w:r>
      <w:r>
        <w:t xml:space="preserve"> Cross-references for "Uriah": 2Kgs 16:10-11; 2Kgs 18:2.</w:t>
      </w:r>
    </w:p>
  </w:footnote>
  <w:footnote w:id="11426">
    <w:p>
      <w:pPr>
        <w:pStyle w:val="FootnoteText"/>
      </w:pPr>
      <w:r>
        <w:rPr>
          <w:rStyle w:val="FootnoteReference"/>
        </w:rPr>
        <w:footnoteRef/>
      </w:r>
      <w:r>
        <w:t xml:space="preserve"> Cross-references for "the prophetess": Judg 4:4; 2Kgs 22:14.</w:t>
      </w:r>
    </w:p>
  </w:footnote>
  <w:footnote w:id="11427">
    <w:p>
      <w:pPr>
        <w:pStyle w:val="FootnoteText"/>
      </w:pPr>
      <w:r>
        <w:rPr>
          <w:rStyle w:val="FootnoteReference"/>
        </w:rPr>
        <w:footnoteRef/>
      </w:r>
      <w:r>
        <w:t xml:space="preserve"> Place name: Siloam. Place-name meaning: Siloam — sent. Source form: Siloam. Greek form: σιλωαμ.</w:t>
      </w:r>
    </w:p>
  </w:footnote>
  <w:footnote w:id="11428">
    <w:p>
      <w:pPr>
        <w:pStyle w:val="FootnoteText"/>
      </w:pPr>
      <w:r>
        <w:rPr>
          <w:rStyle w:val="FootnoteReference"/>
        </w:rPr>
        <w:footnoteRef/>
      </w:r>
      <w:r>
        <w:t xml:space="preserve"> Cross-references for "strong": Ezra 4:10; Ps 72:8.</w:t>
      </w:r>
    </w:p>
  </w:footnote>
  <w:footnote w:id="11429">
    <w:p>
      <w:pPr>
        <w:pStyle w:val="FootnoteText"/>
      </w:pPr>
      <w:r>
        <w:rPr>
          <w:rStyle w:val="FootnoteReference"/>
        </w:rPr>
        <w:footnoteRef/>
      </w:r>
      <w:r>
        <w:t xml:space="preserve"> Cross-references for "counsel": 2Sam 15:31; 2Sam 17:4.</w:t>
      </w:r>
    </w:p>
  </w:footnote>
  <w:footnote w:id="11430">
    <w:p>
      <w:pPr>
        <w:pStyle w:val="FootnoteText"/>
      </w:pPr>
      <w:r>
        <w:rPr>
          <w:rStyle w:val="FootnoteReference"/>
        </w:rPr>
        <w:footnoteRef/>
      </w:r>
      <w:r>
        <w:t xml:space="preserve"> Cross-references for "with a strong hand": Jer 20:7; Jer 20:9.</w:t>
      </w:r>
    </w:p>
  </w:footnote>
  <w:footnote w:id="11431">
    <w:p>
      <w:pPr>
        <w:pStyle w:val="FootnoteText"/>
      </w:pPr>
      <w:r>
        <w:rPr>
          <w:rStyle w:val="FootnoteReference"/>
        </w:rPr>
        <w:footnoteRef/>
      </w:r>
      <w:r>
        <w:t xml:space="preserve"> Cross-references for "Sanctify": Lev 10:3; Num 20:12-13.</w:t>
      </w:r>
    </w:p>
  </w:footnote>
  <w:footnote w:id="11432">
    <w:p>
      <w:pPr>
        <w:pStyle w:val="FootnoteText"/>
      </w:pPr>
      <w:r>
        <w:rPr>
          <w:rStyle w:val="FootnoteReference"/>
        </w:rPr>
        <w:footnoteRef/>
      </w:r>
      <w:r>
        <w:t xml:space="preserve"> Cross-references for "a snare": Ps 11:6; Ps 69:22.</w:t>
      </w:r>
    </w:p>
  </w:footnote>
  <w:footnote w:id="11433">
    <w:p>
      <w:pPr>
        <w:pStyle w:val="FootnoteText"/>
      </w:pPr>
      <w:r>
        <w:rPr>
          <w:rStyle w:val="FootnoteReference"/>
        </w:rPr>
        <w:footnoteRef/>
      </w:r>
      <w:r>
        <w:t xml:space="preserve"> Cross-references for "I and the": Ps 22:30; Isa 7:3.</w:t>
      </w:r>
    </w:p>
  </w:footnote>
  <w:footnote w:id="11434">
    <w:p>
      <w:pPr>
        <w:pStyle w:val="FootnoteText"/>
      </w:pPr>
      <w:r>
        <w:rPr>
          <w:rStyle w:val="FootnoteReference"/>
        </w:rPr>
        <w:footnoteRef/>
      </w:r>
      <w:r>
        <w:t xml:space="preserve"> Cross-references for "Seek": Lev 20:6; Deut 18:11.</w:t>
      </w:r>
    </w:p>
  </w:footnote>
  <w:footnote w:id="11435">
    <w:p>
      <w:pPr>
        <w:pStyle w:val="FootnoteText"/>
      </w:pPr>
      <w:r>
        <w:rPr>
          <w:rStyle w:val="FootnoteReference"/>
        </w:rPr>
        <w:footnoteRef/>
      </w:r>
      <w:r>
        <w:t xml:space="preserve"> Cross-references for "the law": Isa 8:16; Luke 10:26.</w:t>
      </w:r>
    </w:p>
  </w:footnote>
  <w:footnote w:id="11436">
    <w:p>
      <w:pPr>
        <w:pStyle w:val="FootnoteText"/>
      </w:pPr>
      <w:r>
        <w:rPr>
          <w:rStyle w:val="FootnoteReference"/>
        </w:rPr>
        <w:footnoteRef/>
      </w:r>
      <w:r>
        <w:t xml:space="preserve"> Cross-references for "look": 2Chr 15:5-6; Isa 5:30.</w:t>
      </w:r>
    </w:p>
  </w:footnote>
  <w:footnote w:id="11437">
    <w:p>
      <w:pPr>
        <w:pStyle w:val="FootnoteText"/>
      </w:pPr>
      <w:r>
        <w:rPr>
          <w:rStyle w:val="FootnoteReference"/>
        </w:rPr>
        <w:footnoteRef/>
      </w:r>
      <w:r>
        <w:t xml:space="preserve"> MT/LXX note: Standard English numbering: Isaiah 9:6. The LXX title reads Angel of Great Counsel, differing from the familiar MT title cluster usually rendered Wonderful Counselor, Mighty God, Father of Eternity, Prince of Peace.</w:t>
      </w:r>
    </w:p>
  </w:footnote>
  <w:footnote w:id="11438">
    <w:p>
      <w:pPr>
        <w:pStyle w:val="FootnoteText"/>
      </w:pPr>
      <w:r>
        <w:rPr>
          <w:rStyle w:val="FootnoteReference"/>
        </w:rPr>
        <w:footnoteRef/>
      </w:r>
      <w:r>
        <w:t xml:space="preserve"> Greek LXX divine name/title: Megales Boules Angelos (Μεγάλης βουλῆς ἄγγελος) — Angel of Great Counsel. Common English rendering: Angel of Great Counsel. The LXX messianic title differs from the Hebrew title cluster Mighty God, Father of Eternity, and Prince of Peace; it reads Angel of Great Counsel.</w:t>
      </w:r>
    </w:p>
  </w:footnote>
  <w:footnote w:id="11439">
    <w:p>
      <w:pPr>
        <w:pStyle w:val="FootnoteText"/>
      </w:pPr>
      <w:r>
        <w:rPr>
          <w:rStyle w:val="FootnoteReference"/>
        </w:rPr>
        <w:footnoteRef/>
      </w:r>
      <w:r>
        <w:t xml:space="preserve"> Textual note: The familiar child-title line often cited in English tradition belongs to the previous verse in the Greek numbering. This draft keeps the source-row Greek verse intact here instead of importing language from the adjacent verse.</w:t>
      </w:r>
    </w:p>
  </w:footnote>
  <w:footnote w:id="11440">
    <w:p>
      <w:pPr>
        <w:pStyle w:val="FootnoteText"/>
      </w:pPr>
      <w:r>
        <w:rPr>
          <w:rStyle w:val="FootnoteReference"/>
        </w:rPr>
        <w:footnoteRef/>
      </w:r>
      <w:r>
        <w:t xml:space="preserve"> Translation note: LXX verse numbering differs around this royal oracle. The current wording follows the source-row Greek verse and keeps rule language explicit.</w:t>
      </w:r>
    </w:p>
  </w:footnote>
  <w:footnote w:id="11441">
    <w:p>
      <w:pPr>
        <w:pStyle w:val="FootnoteText"/>
      </w:pPr>
      <w:r>
        <w:rPr>
          <w:rStyle w:val="FootnoteReference"/>
        </w:rPr>
        <w:footnoteRef/>
      </w:r>
      <w:r>
        <w:t xml:space="preserve"> Hebrew divine name/title: El Gibbor (</w:t>
      </w:r>
      <w:r>
        <w:rPr>
          <w:lang w:val="he-IL" w:bidi="he-IL"/>
          <w:rtl/>
        </w:rPr>
        <w:t xml:space="preserve">אֵל גִּבּוֹר</w:t>
      </w:r>
      <w:r>
        <w:t xml:space="preserve">) — Mighty God. Common English rendering: The mighty God. A striking messianic divine title that directly attributes deity and strength.</w:t>
      </w:r>
    </w:p>
  </w:footnote>
  <w:footnote w:id="11442">
    <w:p>
      <w:pPr>
        <w:pStyle w:val="FootnoteText"/>
      </w:pPr>
      <w:r>
        <w:rPr>
          <w:rStyle w:val="FootnoteReference"/>
        </w:rPr>
        <w:footnoteRef/>
      </w:r>
      <w:r>
        <w:t xml:space="preserve"> Hebrew divine name/title: Avi Ad (</w:t>
      </w:r>
      <w:r>
        <w:rPr>
          <w:lang w:val="he-IL" w:bidi="he-IL"/>
          <w:rtl/>
        </w:rPr>
        <w:t xml:space="preserve">אֲבִי־עַד</w:t>
      </w:r>
      <w:r>
        <w:t xml:space="preserve">) — Father of Eternity; Everlasting Father. Common English rendering: The everlasting Father. A throne title in the messianic prophecy emphasizing eternal care and rule.</w:t>
      </w:r>
    </w:p>
  </w:footnote>
  <w:footnote w:id="11443">
    <w:p>
      <w:pPr>
        <w:pStyle w:val="FootnoteText"/>
      </w:pPr>
      <w:r>
        <w:rPr>
          <w:rStyle w:val="FootnoteReference"/>
        </w:rPr>
        <w:footnoteRef/>
      </w:r>
      <w:r>
        <w:t xml:space="preserve"> Hebrew divine name/title: Sar Shalom (</w:t>
      </w:r>
      <w:r>
        <w:rPr>
          <w:lang w:val="he-IL" w:bidi="he-IL"/>
          <w:rtl/>
        </w:rPr>
        <w:t xml:space="preserve">שַׂר־שָׁלוֹם</w:t>
      </w:r>
      <w:r>
        <w:t xml:space="preserve">) — Prince of Peace. Common English rendering: The Prince of Peace. A messianic royal title pointing to the divine ruler who brings true peace.</w:t>
      </w:r>
    </w:p>
  </w:footnote>
  <w:footnote w:id="11444">
    <w:p>
      <w:pPr>
        <w:pStyle w:val="FootnoteText"/>
      </w:pPr>
      <w:r>
        <w:rPr>
          <w:rStyle w:val="FootnoteReference"/>
        </w:rPr>
        <w:footnoteRef/>
      </w:r>
      <w:r>
        <w:t xml:space="preserve"> People-name: Greeks. People-name meaning: Greeks — Greek people; Hellenes. Source form: Greeks.</w:t>
      </w:r>
    </w:p>
  </w:footnote>
  <w:footnote w:id="11445">
    <w:p>
      <w:pPr>
        <w:pStyle w:val="FootnoteText"/>
      </w:pPr>
      <w:r>
        <w:rPr>
          <w:rStyle w:val="FootnoteReference"/>
        </w:rPr>
        <w:footnoteRef/>
      </w:r>
      <w:r>
        <w:t xml:space="preserve"> Cross-references for "And what": Job 31:14; Isa 20:6.</w:t>
      </w:r>
    </w:p>
  </w:footnote>
  <w:footnote w:id="11446">
    <w:p>
      <w:pPr>
        <w:pStyle w:val="FootnoteText"/>
      </w:pPr>
      <w:r>
        <w:rPr>
          <w:rStyle w:val="FootnoteReference"/>
        </w:rPr>
        <w:footnoteRef/>
      </w:r>
      <w:r>
        <w:t xml:space="preserve"> Cross-references for "the rod": Ps 17:14; Ps 125:3.</w:t>
      </w:r>
    </w:p>
  </w:footnote>
  <w:footnote w:id="11447">
    <w:p>
      <w:pPr>
        <w:pStyle w:val="FootnoteText"/>
      </w:pPr>
      <w:r>
        <w:rPr>
          <w:rStyle w:val="FootnoteReference"/>
        </w:rPr>
        <w:footnoteRef/>
      </w:r>
      <w:r>
        <w:t xml:space="preserve"> Cross-references for "against": Isa 9:17; Isa 19:17.</w:t>
      </w:r>
    </w:p>
  </w:footnote>
  <w:footnote w:id="11448">
    <w:p>
      <w:pPr>
        <w:pStyle w:val="FootnoteText"/>
      </w:pPr>
      <w:r>
        <w:rPr>
          <w:rStyle w:val="FootnoteReference"/>
        </w:rPr>
        <w:footnoteRef/>
      </w:r>
      <w:r>
        <w:t xml:space="preserve"> Transliterated proper noun: Calno. Standard English equivalent: Calno. Source form: Calno. Greek form: χαλαννη. Name meaning: our consummation; altogether himself.</w:t>
      </w:r>
    </w:p>
  </w:footnote>
  <w:footnote w:id="11449">
    <w:p>
      <w:pPr>
        <w:pStyle w:val="FootnoteText"/>
      </w:pPr>
      <w:r>
        <w:rPr>
          <w:rStyle w:val="FootnoteReference"/>
        </w:rPr>
        <w:footnoteRef/>
      </w:r>
      <w:r>
        <w:t xml:space="preserve"> Cross-references for "Calno": Amos 6:1-2.</w:t>
      </w:r>
    </w:p>
  </w:footnote>
  <w:footnote w:id="11450">
    <w:p>
      <w:pPr>
        <w:pStyle w:val="FootnoteText"/>
      </w:pPr>
      <w:r>
        <w:rPr>
          <w:rStyle w:val="FootnoteReference"/>
        </w:rPr>
        <w:footnoteRef/>
      </w:r>
      <w:r>
        <w:t xml:space="preserve"> Cross-references for "when the Lord": Ps 76:10; Isa 10:5-6.</w:t>
      </w:r>
    </w:p>
  </w:footnote>
  <w:footnote w:id="11451">
    <w:p>
      <w:pPr>
        <w:pStyle w:val="FootnoteText"/>
      </w:pPr>
      <w:r>
        <w:rPr>
          <w:rStyle w:val="FootnoteReference"/>
        </w:rPr>
        <w:footnoteRef/>
      </w:r>
      <w:r>
        <w:t xml:space="preserve"> Cross-references for "the Lord of hosts": 2Chr 32:21; Ps 106:15.</w:t>
      </w:r>
    </w:p>
  </w:footnote>
  <w:footnote w:id="11452">
    <w:p>
      <w:pPr>
        <w:pStyle w:val="FootnoteText"/>
      </w:pPr>
      <w:r>
        <w:rPr>
          <w:rStyle w:val="FootnoteReference"/>
        </w:rPr>
        <w:footnoteRef/>
      </w:r>
      <w:r>
        <w:t xml:space="preserve"> Cross-references for "the light": Ps 27:1; Ps 84:11.</w:t>
      </w:r>
    </w:p>
  </w:footnote>
  <w:footnote w:id="11453">
    <w:p>
      <w:pPr>
        <w:pStyle w:val="FootnoteText"/>
      </w:pPr>
      <w:r>
        <w:rPr>
          <w:rStyle w:val="FootnoteReference"/>
        </w:rPr>
        <w:footnoteRef/>
      </w:r>
      <w:r>
        <w:t xml:space="preserve"> Cross-references for "the remnant": Ezra 9:14; Isa 1:9.</w:t>
      </w:r>
    </w:p>
  </w:footnote>
  <w:footnote w:id="11454">
    <w:p>
      <w:pPr>
        <w:pStyle w:val="FootnoteText"/>
      </w:pPr>
      <w:r>
        <w:rPr>
          <w:rStyle w:val="FootnoteReference"/>
        </w:rPr>
        <w:footnoteRef/>
      </w:r>
      <w:r>
        <w:t xml:space="preserve"> Transliterated proper noun: Aggai. Standard English equivalent: Aiath. Source form: Aggai. Greek form: αγγαι. Name meaning: heap; ruin.</w:t>
      </w:r>
    </w:p>
  </w:footnote>
  <w:footnote w:id="11455">
    <w:p>
      <w:pPr>
        <w:pStyle w:val="FootnoteText"/>
      </w:pPr>
      <w:r>
        <w:rPr>
          <w:rStyle w:val="FootnoteReference"/>
        </w:rPr>
        <w:footnoteRef/>
      </w:r>
      <w:r>
        <w:t xml:space="preserve"> Cross-references for "Aiath": Josh 7:2; Neh 11:31.</w:t>
      </w:r>
    </w:p>
  </w:footnote>
  <w:footnote w:id="11456">
    <w:p>
      <w:pPr>
        <w:pStyle w:val="FootnoteText"/>
      </w:pPr>
      <w:r>
        <w:rPr>
          <w:rStyle w:val="FootnoteReference"/>
        </w:rPr>
        <w:footnoteRef/>
      </w:r>
      <w:r>
        <w:t xml:space="preserve"> Cross-references for "Ramah": Josh 18:24-25; 1Sam 7:17.</w:t>
      </w:r>
    </w:p>
  </w:footnote>
  <w:footnote w:id="11457">
    <w:p>
      <w:pPr>
        <w:pStyle w:val="FootnoteText"/>
      </w:pPr>
      <w:r>
        <w:rPr>
          <w:rStyle w:val="FootnoteReference"/>
        </w:rPr>
        <w:footnoteRef/>
      </w:r>
      <w:r>
        <w:t xml:space="preserve"> Place name: Gallim. Place-name meaning: Gallim — who heap up; who cover. Source form: Gallim. Greek form: γαλλιμ.</w:t>
      </w:r>
    </w:p>
  </w:footnote>
  <w:footnote w:id="11458">
    <w:p>
      <w:pPr>
        <w:pStyle w:val="FootnoteText"/>
      </w:pPr>
      <w:r>
        <w:rPr>
          <w:rStyle w:val="FootnoteReference"/>
        </w:rPr>
        <w:footnoteRef/>
      </w:r>
      <w:r>
        <w:t xml:space="preserve"> Cross-references for "Gallim": 1Sam 25:44.</w:t>
      </w:r>
    </w:p>
  </w:footnote>
  <w:footnote w:id="11459">
    <w:p>
      <w:pPr>
        <w:pStyle w:val="FootnoteText"/>
      </w:pPr>
      <w:r>
        <w:rPr>
          <w:rStyle w:val="FootnoteReference"/>
        </w:rPr>
        <w:footnoteRef/>
      </w:r>
      <w:r>
        <w:t xml:space="preserve"> Place name: Gebim. Place-name meaning: Gebim — grasshoppers; height. Source form: Gebim. Greek form: γιββιρ.</w:t>
      </w:r>
    </w:p>
  </w:footnote>
  <w:footnote w:id="11460">
    <w:p>
      <w:pPr>
        <w:pStyle w:val="FootnoteText"/>
      </w:pPr>
      <w:r>
        <w:rPr>
          <w:rStyle w:val="FootnoteReference"/>
        </w:rPr>
        <w:footnoteRef/>
      </w:r>
      <w:r>
        <w:t xml:space="preserve"> Cross-references for "the high ones": Amos 2:9.</w:t>
      </w:r>
    </w:p>
  </w:footnote>
  <w:footnote w:id="11461">
    <w:p>
      <w:pPr>
        <w:pStyle w:val="FootnoteText"/>
      </w:pPr>
      <w:r>
        <w:rPr>
          <w:rStyle w:val="FootnoteReference"/>
        </w:rPr>
        <w:footnoteRef/>
      </w:r>
      <w:r>
        <w:t xml:space="preserve"> Cross-references for "Lebanon": Zech 11:1-2.</w:t>
      </w:r>
    </w:p>
  </w:footnote>
  <w:footnote w:id="11462">
    <w:p>
      <w:pPr>
        <w:pStyle w:val="FootnoteText"/>
      </w:pPr>
      <w:r>
        <w:rPr>
          <w:rStyle w:val="FootnoteReference"/>
        </w:rPr>
        <w:footnoteRef/>
      </w:r>
      <w:r>
        <w:t xml:space="preserve"> Cross-references for "of Jesse": Ruth 4:17; 1Sam 17:58.</w:t>
      </w:r>
    </w:p>
  </w:footnote>
  <w:footnote w:id="11463">
    <w:p>
      <w:pPr>
        <w:pStyle w:val="FootnoteText"/>
      </w:pPr>
      <w:r>
        <w:rPr>
          <w:rStyle w:val="FootnoteReference"/>
        </w:rPr>
        <w:footnoteRef/>
      </w:r>
      <w:r>
        <w:t xml:space="preserve"> Cross-references for "the Spirit": Num 11:25-26; Isa 42:1.</w:t>
      </w:r>
    </w:p>
  </w:footnote>
  <w:footnote w:id="11464">
    <w:p>
      <w:pPr>
        <w:pStyle w:val="FootnoteText"/>
      </w:pPr>
      <w:r>
        <w:rPr>
          <w:rStyle w:val="FootnoteReference"/>
        </w:rPr>
        <w:footnoteRef/>
      </w:r>
      <w:r>
        <w:t xml:space="preserve"> Cross-references for "reprove": Prov 31:8-9; Isa 1:17.</w:t>
      </w:r>
    </w:p>
  </w:footnote>
  <w:footnote w:id="11465">
    <w:p>
      <w:pPr>
        <w:pStyle w:val="FootnoteText"/>
      </w:pPr>
      <w:r>
        <w:rPr>
          <w:rStyle w:val="FootnoteReference"/>
        </w:rPr>
        <w:footnoteRef/>
      </w:r>
      <w:r>
        <w:t xml:space="preserve"> Cross-references for "righteousness": Ps 93:1; Isa 59:17.</w:t>
      </w:r>
    </w:p>
  </w:footnote>
  <w:footnote w:id="11466">
    <w:p>
      <w:pPr>
        <w:pStyle w:val="FootnoteText"/>
      </w:pPr>
      <w:r>
        <w:rPr>
          <w:rStyle w:val="FootnoteReference"/>
        </w:rPr>
        <w:footnoteRef/>
      </w:r>
      <w:r>
        <w:t xml:space="preserve"> Cross-references for "in that day": Isa 2:11; Isa 11:1.</w:t>
      </w:r>
    </w:p>
  </w:footnote>
  <w:footnote w:id="11467">
    <w:p>
      <w:pPr>
        <w:pStyle w:val="FootnoteText"/>
      </w:pPr>
      <w:r>
        <w:rPr>
          <w:rStyle w:val="FootnoteReference"/>
        </w:rPr>
        <w:footnoteRef/>
      </w:r>
      <w:r>
        <w:t xml:space="preserve"> Cross-references for "Egypt": Isa 19:23; Jer 44:1.</w:t>
      </w:r>
    </w:p>
  </w:footnote>
  <w:footnote w:id="11468">
    <w:p>
      <w:pPr>
        <w:pStyle w:val="FootnoteText"/>
      </w:pPr>
      <w:r>
        <w:rPr>
          <w:rStyle w:val="FootnoteReference"/>
        </w:rPr>
        <w:footnoteRef/>
      </w:r>
      <w:r>
        <w:t xml:space="preserve"> Cross-references for "the Lord": Exod 15:2; Ps 83:18.</w:t>
      </w:r>
    </w:p>
  </w:footnote>
  <w:footnote w:id="11469">
    <w:p>
      <w:pPr>
        <w:pStyle w:val="FootnoteText"/>
      </w:pPr>
      <w:r>
        <w:rPr>
          <w:rStyle w:val="FootnoteReference"/>
        </w:rPr>
        <w:footnoteRef/>
      </w:r>
      <w:r>
        <w:t xml:space="preserve"> Translation note: The Greek keeps the prepositional relation visible rather than simply saying he will save me. English LXX witnesses support staying close to that construction.</w:t>
      </w:r>
    </w:p>
  </w:footnote>
  <w:footnote w:id="11470">
    <w:p>
      <w:pPr>
        <w:pStyle w:val="FootnoteText"/>
      </w:pPr>
      <w:r>
        <w:rPr>
          <w:rStyle w:val="FootnoteReference"/>
        </w:rPr>
        <w:footnoteRef/>
      </w:r>
      <w:r>
        <w:t xml:space="preserve"> Cross-references for "in that day": Ps 106:47-48; Ps 113:1-3.</w:t>
      </w:r>
    </w:p>
  </w:footnote>
  <w:footnote w:id="11471">
    <w:p>
      <w:pPr>
        <w:pStyle w:val="FootnoteText"/>
      </w:pPr>
      <w:r>
        <w:rPr>
          <w:rStyle w:val="FootnoteReference"/>
        </w:rPr>
        <w:footnoteRef/>
      </w:r>
      <w:r>
        <w:t xml:space="preserve"> Cross-references for "Sing": Exod 15:1; Exod 15:21.</w:t>
      </w:r>
    </w:p>
  </w:footnote>
  <w:footnote w:id="11472">
    <w:p>
      <w:pPr>
        <w:pStyle w:val="FootnoteText"/>
      </w:pPr>
      <w:r>
        <w:rPr>
          <w:rStyle w:val="FootnoteReference"/>
        </w:rPr>
        <w:footnoteRef/>
      </w:r>
      <w:r>
        <w:t xml:space="preserve"> Cross-references for "which Isaiah": Isa 1:1.</w:t>
      </w:r>
    </w:p>
  </w:footnote>
  <w:footnote w:id="11473">
    <w:p>
      <w:pPr>
        <w:pStyle w:val="FootnoteText"/>
      </w:pPr>
      <w:r>
        <w:rPr>
          <w:rStyle w:val="FootnoteReference"/>
        </w:rPr>
        <w:footnoteRef/>
      </w:r>
      <w:r>
        <w:t xml:space="preserve"> Cross-references for "The Lord": Isa 10:5-6; Isa 45:1-2.</w:t>
      </w:r>
    </w:p>
  </w:footnote>
  <w:footnote w:id="11474">
    <w:p>
      <w:pPr>
        <w:pStyle w:val="FootnoteText"/>
      </w:pPr>
      <w:r>
        <w:rPr>
          <w:rStyle w:val="FootnoteReference"/>
        </w:rPr>
        <w:footnoteRef/>
      </w:r>
      <w:r>
        <w:t xml:space="preserve"> Cross-references for "from a far": Isa 13:17; Jer 50:3.</w:t>
      </w:r>
    </w:p>
  </w:footnote>
  <w:footnote w:id="11475">
    <w:p>
      <w:pPr>
        <w:pStyle w:val="FootnoteText"/>
      </w:pPr>
      <w:r>
        <w:rPr>
          <w:rStyle w:val="FootnoteReference"/>
        </w:rPr>
        <w:footnoteRef/>
      </w:r>
      <w:r>
        <w:t xml:space="preserve"> Cross-references for "for the day": Isa 13:9; Isa 34:8.</w:t>
      </w:r>
    </w:p>
  </w:footnote>
  <w:footnote w:id="11476">
    <w:p>
      <w:pPr>
        <w:pStyle w:val="FootnoteText"/>
      </w:pPr>
      <w:r>
        <w:rPr>
          <w:rStyle w:val="FootnoteReference"/>
        </w:rPr>
        <w:footnoteRef/>
      </w:r>
      <w:r>
        <w:t xml:space="preserve"> Cross-references for "the earth": Jer 4:23-24; Matt 24:35.</w:t>
      </w:r>
    </w:p>
  </w:footnote>
  <w:footnote w:id="11477">
    <w:p>
      <w:pPr>
        <w:pStyle w:val="FootnoteText"/>
      </w:pPr>
      <w:r>
        <w:rPr>
          <w:rStyle w:val="FootnoteReference"/>
        </w:rPr>
        <w:footnoteRef/>
      </w:r>
      <w:r>
        <w:t xml:space="preserve"> Cross-references for "And their": Lam 5:11; Zech 14:2.</w:t>
      </w:r>
    </w:p>
  </w:footnote>
  <w:footnote w:id="11478">
    <w:p>
      <w:pPr>
        <w:pStyle w:val="FootnoteText"/>
      </w:pPr>
      <w:r>
        <w:rPr>
          <w:rStyle w:val="FootnoteReference"/>
        </w:rPr>
        <w:footnoteRef/>
      </w:r>
      <w:r>
        <w:t xml:space="preserve"> Cross-references for "Babylon": Isa 14:4-6; Isa 14:12-15.</w:t>
      </w:r>
    </w:p>
  </w:footnote>
  <w:footnote w:id="11479">
    <w:p>
      <w:pPr>
        <w:pStyle w:val="FootnoteText"/>
      </w:pPr>
      <w:r>
        <w:rPr>
          <w:rStyle w:val="FootnoteReference"/>
        </w:rPr>
        <w:footnoteRef/>
      </w:r>
      <w:r>
        <w:t xml:space="preserve"> Cross-references for "the Lord": Lev 26:40-45; Deut 4:29-31.</w:t>
      </w:r>
    </w:p>
  </w:footnote>
  <w:footnote w:id="11480">
    <w:p>
      <w:pPr>
        <w:pStyle w:val="FootnoteText"/>
      </w:pPr>
      <w:r>
        <w:rPr>
          <w:rStyle w:val="FootnoteReference"/>
        </w:rPr>
        <w:footnoteRef/>
      </w:r>
      <w:r>
        <w:t xml:space="preserve"> Cross-references for "I will be": Gen 3:5; Isa 47:8.</w:t>
      </w:r>
    </w:p>
  </w:footnote>
  <w:footnote w:id="11481">
    <w:p>
      <w:pPr>
        <w:pStyle w:val="FootnoteText"/>
      </w:pPr>
      <w:r>
        <w:rPr>
          <w:rStyle w:val="FootnoteReference"/>
        </w:rPr>
        <w:footnoteRef/>
      </w:r>
      <w:r>
        <w:t xml:space="preserve"> Cross-references for "do not": Isa 27:6; Hab 2:8-12.</w:t>
      </w:r>
    </w:p>
  </w:footnote>
  <w:footnote w:id="11482">
    <w:p>
      <w:pPr>
        <w:pStyle w:val="FootnoteText"/>
      </w:pPr>
      <w:r>
        <w:rPr>
          <w:rStyle w:val="FootnoteReference"/>
        </w:rPr>
        <w:footnoteRef/>
      </w:r>
      <w:r>
        <w:t xml:space="preserve"> Cross-references for "remnant": 1Kgs 14:10.</w:t>
      </w:r>
    </w:p>
  </w:footnote>
  <w:footnote w:id="11483">
    <w:p>
      <w:pPr>
        <w:pStyle w:val="FootnoteText"/>
      </w:pPr>
      <w:r>
        <w:rPr>
          <w:rStyle w:val="FootnoteReference"/>
        </w:rPr>
        <w:footnoteRef/>
      </w:r>
      <w:r>
        <w:t xml:space="preserve"> Cross-references for "make": Isa 13:21-22; Isa 34:11-15.</w:t>
      </w:r>
    </w:p>
  </w:footnote>
  <w:footnote w:id="11484">
    <w:p>
      <w:pPr>
        <w:pStyle w:val="FootnoteText"/>
      </w:pPr>
      <w:r>
        <w:rPr>
          <w:rStyle w:val="FootnoteReference"/>
        </w:rPr>
        <w:footnoteRef/>
      </w:r>
      <w:r>
        <w:t xml:space="preserve"> Cross-references for "rejoice": Prov 24:17; Ezek 26:2.</w:t>
      </w:r>
    </w:p>
  </w:footnote>
  <w:footnote w:id="11485">
    <w:p>
      <w:pPr>
        <w:pStyle w:val="FootnoteText"/>
      </w:pPr>
      <w:r>
        <w:rPr>
          <w:rStyle w:val="FootnoteReference"/>
        </w:rPr>
        <w:footnoteRef/>
      </w:r>
      <w:r>
        <w:t xml:space="preserve"> Cross-references for "the poor": Isa 5:17; Isa 7:21-22.</w:t>
      </w:r>
    </w:p>
  </w:footnote>
  <w:footnote w:id="11486">
    <w:p>
      <w:pPr>
        <w:pStyle w:val="FootnoteText"/>
      </w:pPr>
      <w:r>
        <w:rPr>
          <w:rStyle w:val="FootnoteReference"/>
        </w:rPr>
        <w:footnoteRef/>
      </w:r>
      <w:r>
        <w:t xml:space="preserve"> Cross-references for "Howl": Isa 13:6; Isa 16:7.</w:t>
      </w:r>
    </w:p>
  </w:footnote>
  <w:footnote w:id="11487">
    <w:p>
      <w:pPr>
        <w:pStyle w:val="FootnoteText"/>
      </w:pPr>
      <w:r>
        <w:rPr>
          <w:rStyle w:val="FootnoteReference"/>
        </w:rPr>
        <w:footnoteRef/>
      </w:r>
      <w:r>
        <w:t xml:space="preserve"> Cross-references for "the Lord": Ps 87:1; Ps 87:5.</w:t>
      </w:r>
    </w:p>
  </w:footnote>
  <w:footnote w:id="11488">
    <w:p>
      <w:pPr>
        <w:pStyle w:val="FootnoteText"/>
      </w:pPr>
      <w:r>
        <w:rPr>
          <w:rStyle w:val="FootnoteReference"/>
        </w:rPr>
        <w:footnoteRef/>
      </w:r>
      <w:r>
        <w:t xml:space="preserve"> Cross-references for "Moab": Isa 14:31; Isa 15:3.</w:t>
      </w:r>
    </w:p>
  </w:footnote>
  <w:footnote w:id="11489">
    <w:p>
      <w:pPr>
        <w:pStyle w:val="FootnoteText"/>
      </w:pPr>
      <w:r>
        <w:rPr>
          <w:rStyle w:val="FootnoteReference"/>
        </w:rPr>
        <w:footnoteRef/>
      </w:r>
      <w:r>
        <w:t xml:space="preserve"> Cross-references for "Heshbon": Num 32:3-4; Isa 16:8-9.</w:t>
      </w:r>
    </w:p>
  </w:footnote>
  <w:footnote w:id="11490">
    <w:p>
      <w:pPr>
        <w:pStyle w:val="FootnoteText"/>
      </w:pPr>
      <w:r>
        <w:rPr>
          <w:rStyle w:val="FootnoteReference"/>
        </w:rPr>
        <w:footnoteRef/>
      </w:r>
      <w:r>
        <w:t xml:space="preserve"> Cross-references for "Zoar": Gen 13:10; Gen 14:2.</w:t>
      </w:r>
    </w:p>
  </w:footnote>
  <w:footnote w:id="11491">
    <w:p>
      <w:pPr>
        <w:pStyle w:val="FootnoteText"/>
      </w:pPr>
      <w:r>
        <w:rPr>
          <w:rStyle w:val="FootnoteReference"/>
        </w:rPr>
        <w:footnoteRef/>
      </w:r>
      <w:r>
        <w:t xml:space="preserve"> Place name: Luhith. Place-name meaning: Luhith — made of boards. Source form: Luhith. Greek form: λουιθ.</w:t>
      </w:r>
    </w:p>
  </w:footnote>
  <w:footnote w:id="11492">
    <w:p>
      <w:pPr>
        <w:pStyle w:val="FootnoteText"/>
      </w:pPr>
      <w:r>
        <w:rPr>
          <w:rStyle w:val="FootnoteReference"/>
        </w:rPr>
        <w:footnoteRef/>
      </w:r>
      <w:r>
        <w:t xml:space="preserve"> Place name: Horonaim. Place-name meaning: Horonaim — angers; ragings. Source form: Horonaim. Greek form: αρωνιιμ.</w:t>
      </w:r>
    </w:p>
  </w:footnote>
  <w:footnote w:id="11493">
    <w:p>
      <w:pPr>
        <w:pStyle w:val="FootnoteText"/>
      </w:pPr>
      <w:r>
        <w:rPr>
          <w:rStyle w:val="FootnoteReference"/>
        </w:rPr>
        <w:footnoteRef/>
      </w:r>
      <w:r>
        <w:t xml:space="preserve"> Place name: Nimrim. Place-name meaning: Nimrim — clear waters. Source form: Nimrim. Greek form: νεμριμ.</w:t>
      </w:r>
    </w:p>
  </w:footnote>
  <w:footnote w:id="11494">
    <w:p>
      <w:pPr>
        <w:pStyle w:val="FootnoteText"/>
      </w:pPr>
      <w:r>
        <w:rPr>
          <w:rStyle w:val="FootnoteReference"/>
        </w:rPr>
        <w:footnoteRef/>
      </w:r>
      <w:r>
        <w:t xml:space="preserve"> Cross-references for "Nimrim": Num 32:3; Num 32:36.</w:t>
      </w:r>
    </w:p>
  </w:footnote>
  <w:footnote w:id="11495">
    <w:p>
      <w:pPr>
        <w:pStyle w:val="FootnoteText"/>
      </w:pPr>
      <w:r>
        <w:rPr>
          <w:rStyle w:val="FootnoteReference"/>
        </w:rPr>
        <w:footnoteRef/>
      </w:r>
      <w:r>
        <w:t xml:space="preserve"> Cross-references for "make": Judg 9:15; Isa 9:6.</w:t>
      </w:r>
    </w:p>
  </w:footnote>
  <w:footnote w:id="11496">
    <w:p>
      <w:pPr>
        <w:pStyle w:val="FootnoteText"/>
      </w:pPr>
      <w:r>
        <w:rPr>
          <w:rStyle w:val="FootnoteReference"/>
        </w:rPr>
        <w:footnoteRef/>
      </w:r>
      <w:r>
        <w:t xml:space="preserve"> Cross-references for "judging": 2Sam 23:3; 1Kgs 10:9.</w:t>
      </w:r>
    </w:p>
  </w:footnote>
  <w:footnote w:id="11497">
    <w:p>
      <w:pPr>
        <w:pStyle w:val="FootnoteText"/>
      </w:pPr>
      <w:r>
        <w:rPr>
          <w:rStyle w:val="FootnoteReference"/>
        </w:rPr>
        <w:footnoteRef/>
      </w:r>
      <w:r>
        <w:t xml:space="preserve"> Cross-references for "The fields": 2Sam 1:21; Isa 15:4.</w:t>
      </w:r>
    </w:p>
  </w:footnote>
  <w:footnote w:id="11498">
    <w:p>
      <w:pPr>
        <w:pStyle w:val="FootnoteText"/>
      </w:pPr>
      <w:r>
        <w:rPr>
          <w:rStyle w:val="FootnoteReference"/>
        </w:rPr>
        <w:footnoteRef/>
      </w:r>
      <w:r>
        <w:t xml:space="preserve"> Cross-references for "three": Deut 15:8; Isa 7:16.</w:t>
      </w:r>
    </w:p>
  </w:footnote>
  <w:footnote w:id="11499">
    <w:p>
      <w:pPr>
        <w:pStyle w:val="FootnoteText"/>
      </w:pPr>
      <w:r>
        <w:rPr>
          <w:rStyle w:val="FootnoteReference"/>
        </w:rPr>
        <w:footnoteRef/>
      </w:r>
      <w:r>
        <w:t xml:space="preserve"> Cross-references for "Damascus": Gen 14:15; Gen 15:2.</w:t>
      </w:r>
    </w:p>
  </w:footnote>
  <w:footnote w:id="11500">
    <w:p>
      <w:pPr>
        <w:pStyle w:val="FootnoteText"/>
      </w:pPr>
      <w:r>
        <w:rPr>
          <w:rStyle w:val="FootnoteReference"/>
        </w:rPr>
        <w:footnoteRef/>
      </w:r>
      <w:r>
        <w:t xml:space="preserve"> Cross-references for "fortress": 2Kgs 16:9; 2Kgs 17:6.</w:t>
      </w:r>
    </w:p>
  </w:footnote>
  <w:footnote w:id="11501">
    <w:p>
      <w:pPr>
        <w:pStyle w:val="FootnoteText"/>
      </w:pPr>
      <w:r>
        <w:rPr>
          <w:rStyle w:val="FootnoteReference"/>
        </w:rPr>
        <w:footnoteRef/>
      </w:r>
      <w:r>
        <w:t xml:space="preserve"> Cross-references for "the glory": Isa 9:8; Isa 9:21.</w:t>
      </w:r>
    </w:p>
  </w:footnote>
  <w:footnote w:id="11502">
    <w:p>
      <w:pPr>
        <w:pStyle w:val="FootnoteText"/>
      </w:pPr>
      <w:r>
        <w:rPr>
          <w:rStyle w:val="FootnoteReference"/>
        </w:rPr>
        <w:footnoteRef/>
      </w:r>
      <w:r>
        <w:t xml:space="preserve"> Cross-references for "multitude": Isa 9:5.</w:t>
      </w:r>
    </w:p>
  </w:footnote>
  <w:footnote w:id="11503">
    <w:p>
      <w:pPr>
        <w:pStyle w:val="FootnoteText"/>
      </w:pPr>
      <w:r>
        <w:rPr>
          <w:rStyle w:val="FootnoteReference"/>
        </w:rPr>
        <w:footnoteRef/>
      </w:r>
      <w:r>
        <w:t xml:space="preserve"> Cross-references for "the portion": Judg 5:31; Job 20:29.</w:t>
      </w:r>
    </w:p>
  </w:footnote>
  <w:footnote w:id="11504">
    <w:p>
      <w:pPr>
        <w:pStyle w:val="FootnoteText"/>
      </w:pPr>
      <w:r>
        <w:rPr>
          <w:rStyle w:val="FootnoteReference"/>
        </w:rPr>
        <w:footnoteRef/>
      </w:r>
      <w:r>
        <w:t xml:space="preserve"> Cross-references for "Egypt": Jer 25:19; Jer 43:8-13.</w:t>
      </w:r>
    </w:p>
  </w:footnote>
  <w:footnote w:id="11505">
    <w:p>
      <w:pPr>
        <w:pStyle w:val="FootnoteText"/>
      </w:pPr>
      <w:r>
        <w:rPr>
          <w:rStyle w:val="FootnoteReference"/>
        </w:rPr>
        <w:footnoteRef/>
      </w:r>
      <w:r>
        <w:t xml:space="preserve"> Cross-references for "the spirit": 1Sam 25:37; Ps 76:12.</w:t>
      </w:r>
    </w:p>
  </w:footnote>
  <w:footnote w:id="11506">
    <w:p>
      <w:pPr>
        <w:pStyle w:val="FootnoteText"/>
      </w:pPr>
      <w:r>
        <w:rPr>
          <w:rStyle w:val="FootnoteReference"/>
        </w:rPr>
        <w:footnoteRef/>
      </w:r>
      <w:r>
        <w:t xml:space="preserve"> Cross-references for "the princes": Job 5:12-13; Job 12:17.</w:t>
      </w:r>
    </w:p>
  </w:footnote>
  <w:footnote w:id="11507">
    <w:p>
      <w:pPr>
        <w:pStyle w:val="FootnoteText"/>
      </w:pPr>
      <w:r>
        <w:rPr>
          <w:rStyle w:val="FootnoteReference"/>
        </w:rPr>
        <w:footnoteRef/>
      </w:r>
      <w:r>
        <w:t xml:space="preserve"> Cross-references for "Let them": Job 11:6-7; Isa 40:13-14.</w:t>
      </w:r>
    </w:p>
  </w:footnote>
  <w:footnote w:id="11508">
    <w:p>
      <w:pPr>
        <w:pStyle w:val="FootnoteText"/>
      </w:pPr>
      <w:r>
        <w:rPr>
          <w:rStyle w:val="FootnoteReference"/>
        </w:rPr>
        <w:footnoteRef/>
      </w:r>
      <w:r>
        <w:t xml:space="preserve"> Cross-references for "princes of Zoan": Isa 19:11; Rom 1:22.</w:t>
      </w:r>
    </w:p>
  </w:footnote>
  <w:footnote w:id="11509">
    <w:p>
      <w:pPr>
        <w:pStyle w:val="FootnoteText"/>
      </w:pPr>
      <w:r>
        <w:rPr>
          <w:rStyle w:val="FootnoteReference"/>
        </w:rPr>
        <w:footnoteRef/>
      </w:r>
      <w:r>
        <w:t xml:space="preserve"> Place name: Memphis. Place-name meaning: Memphis — abode of the good. Source form: Memphis. Greek form: μεμφεως.</w:t>
      </w:r>
    </w:p>
  </w:footnote>
  <w:footnote w:id="11510">
    <w:p>
      <w:pPr>
        <w:pStyle w:val="FootnoteText"/>
      </w:pPr>
      <w:r>
        <w:rPr>
          <w:rStyle w:val="FootnoteReference"/>
        </w:rPr>
        <w:footnoteRef/>
      </w:r>
      <w:r>
        <w:t xml:space="preserve"> Cross-references for "as a": Job 12:25; Isa 28:7-8.</w:t>
      </w:r>
    </w:p>
  </w:footnote>
  <w:footnote w:id="11511">
    <w:p>
      <w:pPr>
        <w:pStyle w:val="FootnoteText"/>
      </w:pPr>
      <w:r>
        <w:rPr>
          <w:rStyle w:val="FootnoteReference"/>
        </w:rPr>
        <w:footnoteRef/>
      </w:r>
      <w:r>
        <w:t xml:space="preserve"> Cross-references for "that day": Isa 2:11; Isa 19:19.</w:t>
      </w:r>
    </w:p>
  </w:footnote>
  <w:footnote w:id="11512">
    <w:p>
      <w:pPr>
        <w:pStyle w:val="FootnoteText"/>
      </w:pPr>
      <w:r>
        <w:rPr>
          <w:rStyle w:val="FootnoteReference"/>
        </w:rPr>
        <w:footnoteRef/>
      </w:r>
      <w:r>
        <w:t xml:space="preserve"> Cross-references for "for a": Josh 4:20-21; Josh 22:27-28.</w:t>
      </w:r>
    </w:p>
  </w:footnote>
  <w:footnote w:id="11513">
    <w:p>
      <w:pPr>
        <w:pStyle w:val="FootnoteText"/>
      </w:pPr>
      <w:r>
        <w:rPr>
          <w:rStyle w:val="FootnoteReference"/>
        </w:rPr>
        <w:footnoteRef/>
      </w:r>
      <w:r>
        <w:t xml:space="preserve"> Cross-references for "the Lord": Num 6:24; Num 6:27.</w:t>
      </w:r>
    </w:p>
  </w:footnote>
  <w:footnote w:id="11514">
    <w:p>
      <w:pPr>
        <w:pStyle w:val="FootnoteText"/>
      </w:pPr>
      <w:r>
        <w:rPr>
          <w:rStyle w:val="FootnoteReference"/>
        </w:rPr>
        <w:footnoteRef/>
      </w:r>
      <w:r>
        <w:t xml:space="preserve"> Cross-references for "Tartan": 2Kgs 18:17.</w:t>
      </w:r>
    </w:p>
  </w:footnote>
  <w:footnote w:id="11515">
    <w:p>
      <w:pPr>
        <w:pStyle w:val="FootnoteText"/>
      </w:pPr>
      <w:r>
        <w:rPr>
          <w:rStyle w:val="FootnoteReference"/>
        </w:rPr>
        <w:footnoteRef/>
      </w:r>
      <w:r>
        <w:t xml:space="preserve"> Personal name: Sargon. Personal-name meaning: Sargon — who takes away protection. Source form: Sargon.</w:t>
      </w:r>
    </w:p>
  </w:footnote>
  <w:footnote w:id="11516">
    <w:p>
      <w:pPr>
        <w:pStyle w:val="FootnoteText"/>
      </w:pPr>
      <w:r>
        <w:rPr>
          <w:rStyle w:val="FootnoteReference"/>
        </w:rPr>
        <w:footnoteRef/>
      </w:r>
      <w:r>
        <w:t xml:space="preserve"> Cross-references for "the sackcloth": 2Kgs 1:8; Zech 13:4.</w:t>
      </w:r>
    </w:p>
  </w:footnote>
  <w:footnote w:id="11517">
    <w:p>
      <w:pPr>
        <w:pStyle w:val="FootnoteText"/>
      </w:pPr>
      <w:r>
        <w:rPr>
          <w:rStyle w:val="FootnoteReference"/>
        </w:rPr>
        <w:footnoteRef/>
      </w:r>
      <w:r>
        <w:t xml:space="preserve"> Cross-references for "three": Num 14:34; Ezek 4:5-6.</w:t>
      </w:r>
    </w:p>
  </w:footnote>
  <w:footnote w:id="11518">
    <w:p>
      <w:pPr>
        <w:pStyle w:val="FootnoteText"/>
      </w:pPr>
      <w:r>
        <w:rPr>
          <w:rStyle w:val="FootnoteReference"/>
        </w:rPr>
        <w:footnoteRef/>
      </w:r>
      <w:r>
        <w:t xml:space="preserve"> Cross-references for "shame": Rev 3:18.</w:t>
      </w:r>
    </w:p>
  </w:footnote>
  <w:footnote w:id="11519">
    <w:p>
      <w:pPr>
        <w:pStyle w:val="FootnoteText"/>
      </w:pPr>
      <w:r>
        <w:rPr>
          <w:rStyle w:val="FootnoteReference"/>
        </w:rPr>
        <w:footnoteRef/>
      </w:r>
      <w:r>
        <w:t xml:space="preserve"> Cross-references for "their glory": Isa 2:22; Jer 9:23-24.</w:t>
      </w:r>
    </w:p>
  </w:footnote>
  <w:footnote w:id="11520">
    <w:p>
      <w:pPr>
        <w:pStyle w:val="FootnoteText"/>
      </w:pPr>
      <w:r>
        <w:rPr>
          <w:rStyle w:val="FootnoteReference"/>
        </w:rPr>
        <w:footnoteRef/>
      </w:r>
      <w:r>
        <w:t xml:space="preserve"> Cross-references for "and how": Matt 23:33; 1Thess 5:3.</w:t>
      </w:r>
    </w:p>
  </w:footnote>
  <w:footnote w:id="11521">
    <w:p>
      <w:pPr>
        <w:pStyle w:val="FootnoteText"/>
      </w:pPr>
      <w:r>
        <w:rPr>
          <w:rStyle w:val="FootnoteReference"/>
        </w:rPr>
        <w:footnoteRef/>
      </w:r>
      <w:r>
        <w:t xml:space="preserve"> Cross-references for "Babylon": Isa 13:19; Isa 14:4.</w:t>
      </w:r>
    </w:p>
  </w:footnote>
  <w:footnote w:id="11522">
    <w:p>
      <w:pPr>
        <w:pStyle w:val="FootnoteText"/>
      </w:pPr>
      <w:r>
        <w:rPr>
          <w:rStyle w:val="FootnoteReference"/>
        </w:rPr>
        <w:footnoteRef/>
      </w:r>
      <w:r>
        <w:t xml:space="preserve"> Cross-references for "the morning": Isa 17:14; Jer 50:27.</w:t>
      </w:r>
    </w:p>
  </w:footnote>
  <w:footnote w:id="11523">
    <w:p>
      <w:pPr>
        <w:pStyle w:val="FootnoteText"/>
      </w:pPr>
      <w:r>
        <w:rPr>
          <w:rStyle w:val="FootnoteReference"/>
        </w:rPr>
        <w:footnoteRef/>
      </w:r>
      <w:r>
        <w:t xml:space="preserve"> Cross-references for "Tema": Gen 25:15; 1Chr 1:30.</w:t>
      </w:r>
    </w:p>
  </w:footnote>
  <w:footnote w:id="11524">
    <w:p>
      <w:pPr>
        <w:pStyle w:val="FootnoteText"/>
      </w:pPr>
      <w:r>
        <w:rPr>
          <w:rStyle w:val="FootnoteReference"/>
        </w:rPr>
        <w:footnoteRef/>
      </w:r>
      <w:r>
        <w:t xml:space="preserve"> Cross-references for "Kedar": Gen 25:13; 1Chr 1:29.</w:t>
      </w:r>
    </w:p>
  </w:footnote>
  <w:footnote w:id="11525">
    <w:p>
      <w:pPr>
        <w:pStyle w:val="FootnoteText"/>
      </w:pPr>
      <w:r>
        <w:rPr>
          <w:rStyle w:val="FootnoteReference"/>
        </w:rPr>
        <w:footnoteRef/>
      </w:r>
      <w:r>
        <w:t xml:space="preserve"> Cross-references for "the mighty": Ps 107:39; Isa 10:18-19.</w:t>
      </w:r>
    </w:p>
  </w:footnote>
  <w:footnote w:id="11526">
    <w:p>
      <w:pPr>
        <w:pStyle w:val="FootnoteText"/>
      </w:pPr>
      <w:r>
        <w:rPr>
          <w:rStyle w:val="FootnoteReference"/>
        </w:rPr>
        <w:footnoteRef/>
      </w:r>
      <w:r>
        <w:t xml:space="preserve"> Cross-references for "the valley": Ps 125:2; Jer 21:13.</w:t>
      </w:r>
    </w:p>
  </w:footnote>
  <w:footnote w:id="11527">
    <w:p>
      <w:pPr>
        <w:pStyle w:val="FootnoteText"/>
      </w:pPr>
      <w:r>
        <w:rPr>
          <w:rStyle w:val="FootnoteReference"/>
        </w:rPr>
        <w:footnoteRef/>
      </w:r>
      <w:r>
        <w:t xml:space="preserve"> Cross-references for "weep bitterly": Isa 33:7; Jer 6:26.</w:t>
      </w:r>
    </w:p>
  </w:footnote>
  <w:footnote w:id="11528">
    <w:p>
      <w:pPr>
        <w:pStyle w:val="FootnoteText"/>
      </w:pPr>
      <w:r>
        <w:rPr>
          <w:rStyle w:val="FootnoteReference"/>
        </w:rPr>
        <w:footnoteRef/>
      </w:r>
      <w:r>
        <w:t xml:space="preserve"> Cross-references for "a day": 2Kgs 19:3; Isa 37:3.</w:t>
      </w:r>
    </w:p>
  </w:footnote>
  <w:footnote w:id="11529">
    <w:p>
      <w:pPr>
        <w:pStyle w:val="FootnoteText"/>
      </w:pPr>
      <w:r>
        <w:rPr>
          <w:rStyle w:val="FootnoteReference"/>
        </w:rPr>
        <w:footnoteRef/>
      </w:r>
      <w:r>
        <w:t xml:space="preserve"> Cross-references for "Shebna": 2Kgs 18:18; 2Kgs 18:37.</w:t>
      </w:r>
    </w:p>
  </w:footnote>
  <w:footnote w:id="11530">
    <w:p>
      <w:pPr>
        <w:pStyle w:val="FootnoteText"/>
      </w:pPr>
      <w:r>
        <w:rPr>
          <w:rStyle w:val="FootnoteReference"/>
        </w:rPr>
        <w:footnoteRef/>
      </w:r>
      <w:r>
        <w:t xml:space="preserve"> Cross-references for "Eliakim": 2Kgs 18:18; 2Kgs 18:37.</w:t>
      </w:r>
    </w:p>
  </w:footnote>
  <w:footnote w:id="11531">
    <w:p>
      <w:pPr>
        <w:pStyle w:val="FootnoteText"/>
      </w:pPr>
      <w:r>
        <w:rPr>
          <w:rStyle w:val="FootnoteReference"/>
        </w:rPr>
        <w:footnoteRef/>
      </w:r>
      <w:r>
        <w:t xml:space="preserve"> Cross-references for "clothe": Gen 41:42-43; 1Sam 18:4.</w:t>
      </w:r>
    </w:p>
  </w:footnote>
  <w:footnote w:id="11532">
    <w:p>
      <w:pPr>
        <w:pStyle w:val="FootnoteText"/>
      </w:pPr>
      <w:r>
        <w:rPr>
          <w:rStyle w:val="FootnoteReference"/>
        </w:rPr>
        <w:footnoteRef/>
      </w:r>
      <w:r>
        <w:t xml:space="preserve"> Cross-references for "Howl": Isa 15:2; Isa 15:8.</w:t>
      </w:r>
    </w:p>
  </w:footnote>
  <w:footnote w:id="11533">
    <w:p>
      <w:pPr>
        <w:pStyle w:val="FootnoteText"/>
      </w:pPr>
      <w:r>
        <w:rPr>
          <w:rStyle w:val="FootnoteReference"/>
        </w:rPr>
        <w:footnoteRef/>
      </w:r>
      <w:r>
        <w:t xml:space="preserve"> Cross-references for "howl": Isa 16:7; Isa 23:1-2.</w:t>
      </w:r>
    </w:p>
  </w:footnote>
  <w:footnote w:id="11534">
    <w:p>
      <w:pPr>
        <w:pStyle w:val="FootnoteText"/>
      </w:pPr>
      <w:r>
        <w:rPr>
          <w:rStyle w:val="FootnoteReference"/>
        </w:rPr>
        <w:footnoteRef/>
      </w:r>
      <w:r>
        <w:t xml:space="preserve"> Cross-references for "merchants": Isa 10:8; Isa 36:9.</w:t>
      </w:r>
    </w:p>
  </w:footnote>
  <w:footnote w:id="11535">
    <w:p>
      <w:pPr>
        <w:pStyle w:val="FootnoteText"/>
      </w:pPr>
      <w:r>
        <w:rPr>
          <w:rStyle w:val="FootnoteReference"/>
        </w:rPr>
        <w:footnoteRef/>
      </w:r>
      <w:r>
        <w:t xml:space="preserve"> Cross-references for "Lord": Isa 10:33; Isa 14:24.</w:t>
      </w:r>
    </w:p>
  </w:footnote>
  <w:footnote w:id="11536">
    <w:p>
      <w:pPr>
        <w:pStyle w:val="FootnoteText"/>
      </w:pPr>
      <w:r>
        <w:rPr>
          <w:rStyle w:val="FootnoteReference"/>
        </w:rPr>
        <w:footnoteRef/>
      </w:r>
      <w:r>
        <w:t xml:space="preserve"> Cross-references for "The Lord": Ps 71:3; Isa 10:6.</w:t>
      </w:r>
    </w:p>
  </w:footnote>
  <w:footnote w:id="11537">
    <w:p>
      <w:pPr>
        <w:pStyle w:val="FootnoteText"/>
      </w:pPr>
      <w:r>
        <w:rPr>
          <w:rStyle w:val="FootnoteReference"/>
        </w:rPr>
        <w:footnoteRef/>
      </w:r>
      <w:r>
        <w:t xml:space="preserve"> Cross-references for "daughter": Isa 23:2.</w:t>
      </w:r>
    </w:p>
  </w:footnote>
  <w:footnote w:id="11538">
    <w:p>
      <w:pPr>
        <w:pStyle w:val="FootnoteText"/>
      </w:pPr>
      <w:r>
        <w:rPr>
          <w:rStyle w:val="FootnoteReference"/>
        </w:rPr>
        <w:footnoteRef/>
      </w:r>
      <w:r>
        <w:t xml:space="preserve"> Cross-references for "land": Isa 13:19.</w:t>
      </w:r>
    </w:p>
  </w:footnote>
  <w:footnote w:id="11539">
    <w:p>
      <w:pPr>
        <w:pStyle w:val="FootnoteText"/>
      </w:pPr>
      <w:r>
        <w:rPr>
          <w:rStyle w:val="FootnoteReference"/>
        </w:rPr>
        <w:footnoteRef/>
      </w:r>
      <w:r>
        <w:t xml:space="preserve"> Cross-references for "for them": Deut 12:18-19; Deut 26:12-14.</w:t>
      </w:r>
    </w:p>
  </w:footnote>
  <w:footnote w:id="11540">
    <w:p>
      <w:pPr>
        <w:pStyle w:val="FootnoteText"/>
      </w:pPr>
      <w:r>
        <w:rPr>
          <w:rStyle w:val="FootnoteReference"/>
        </w:rPr>
        <w:footnoteRef/>
      </w:r>
      <w:r>
        <w:t xml:space="preserve"> Cross-references for "priest": Gen 41:50.</w:t>
      </w:r>
    </w:p>
  </w:footnote>
  <w:footnote w:id="11541">
    <w:p>
      <w:pPr>
        <w:pStyle w:val="FootnoteText"/>
      </w:pPr>
      <w:r>
        <w:rPr>
          <w:rStyle w:val="FootnoteReference"/>
        </w:rPr>
        <w:footnoteRef/>
      </w:r>
      <w:r>
        <w:t xml:space="preserve"> Cross-references for "the Lord": Isa 21:17; Isa 22:25.</w:t>
      </w:r>
    </w:p>
  </w:footnote>
  <w:footnote w:id="11542">
    <w:p>
      <w:pPr>
        <w:pStyle w:val="FootnoteText"/>
      </w:pPr>
      <w:r>
        <w:rPr>
          <w:rStyle w:val="FootnoteReference"/>
        </w:rPr>
        <w:footnoteRef/>
      </w:r>
      <w:r>
        <w:t xml:space="preserve"> Cross-references for "changed": Josh 24:25; Dan 7:25.</w:t>
      </w:r>
    </w:p>
  </w:footnote>
  <w:footnote w:id="11543">
    <w:p>
      <w:pPr>
        <w:pStyle w:val="FootnoteText"/>
      </w:pPr>
      <w:r>
        <w:rPr>
          <w:rStyle w:val="FootnoteReference"/>
        </w:rPr>
        <w:footnoteRef/>
      </w:r>
      <w:r>
        <w:t xml:space="preserve"> Cross-references for "city": Isa 24:12; Isa 25:2.</w:t>
      </w:r>
    </w:p>
  </w:footnote>
  <w:footnote w:id="11544">
    <w:p>
      <w:pPr>
        <w:pStyle w:val="FootnoteText"/>
      </w:pPr>
      <w:r>
        <w:rPr>
          <w:rStyle w:val="FootnoteReference"/>
        </w:rPr>
        <w:footnoteRef/>
      </w:r>
      <w:r>
        <w:t xml:space="preserve"> Cross-references for "the foundations": Deut 32:22; Ps 18:7.</w:t>
      </w:r>
    </w:p>
  </w:footnote>
  <w:footnote w:id="11545">
    <w:p>
      <w:pPr>
        <w:pStyle w:val="FootnoteText"/>
      </w:pPr>
      <w:r>
        <w:rPr>
          <w:rStyle w:val="FootnoteReference"/>
        </w:rPr>
        <w:footnoteRef/>
      </w:r>
      <w:r>
        <w:t xml:space="preserve"> Cross-references for "and it": Jer 8:4; Jer 25:27.</w:t>
      </w:r>
    </w:p>
  </w:footnote>
  <w:footnote w:id="11546">
    <w:p>
      <w:pPr>
        <w:pStyle w:val="FootnoteText"/>
      </w:pPr>
      <w:r>
        <w:rPr>
          <w:rStyle w:val="FootnoteReference"/>
        </w:rPr>
        <w:footnoteRef/>
      </w:r>
      <w:r>
        <w:t xml:space="preserve"> Cross-references for "make": Ps 63:5; Prov 9:1-5.</w:t>
      </w:r>
    </w:p>
  </w:footnote>
  <w:footnote w:id="11547">
    <w:p>
      <w:pPr>
        <w:pStyle w:val="FootnoteText"/>
      </w:pPr>
      <w:r>
        <w:rPr>
          <w:rStyle w:val="FootnoteReference"/>
        </w:rPr>
        <w:footnoteRef/>
      </w:r>
      <w:r>
        <w:t xml:space="preserve"> Cross-references for "that day": Isa 2:11; Isa 2:20.</w:t>
      </w:r>
    </w:p>
  </w:footnote>
  <w:footnote w:id="11548">
    <w:p>
      <w:pPr>
        <w:pStyle w:val="FootnoteText"/>
      </w:pPr>
      <w:r>
        <w:rPr>
          <w:rStyle w:val="FootnoteReference"/>
        </w:rPr>
        <w:footnoteRef/>
      </w:r>
      <w:r>
        <w:t xml:space="preserve"> Cross-references for "Open": Ps 118:20; Isa 60:11.</w:t>
      </w:r>
    </w:p>
  </w:footnote>
  <w:footnote w:id="11549">
    <w:p>
      <w:pPr>
        <w:pStyle w:val="FootnoteText"/>
      </w:pPr>
      <w:r>
        <w:rPr>
          <w:rStyle w:val="FootnoteReference"/>
        </w:rPr>
        <w:footnoteRef/>
      </w:r>
      <w:r>
        <w:t xml:space="preserve"> Cross-references for "my spirit": Ps 63:1; Prov 8:17.</w:t>
      </w:r>
    </w:p>
  </w:footnote>
  <w:footnote w:id="11550">
    <w:p>
      <w:pPr>
        <w:pStyle w:val="FootnoteText"/>
      </w:pPr>
      <w:r>
        <w:rPr>
          <w:rStyle w:val="FootnoteReference"/>
        </w:rPr>
        <w:footnoteRef/>
      </w:r>
      <w:r>
        <w:t xml:space="preserve"> Cross-references for "will": 1Sam 6:9; Job 34:27.</w:t>
      </w:r>
    </w:p>
  </w:footnote>
  <w:footnote w:id="11551">
    <w:p>
      <w:pPr>
        <w:pStyle w:val="FootnoteText"/>
      </w:pPr>
      <w:r>
        <w:rPr>
          <w:rStyle w:val="FootnoteReference"/>
        </w:rPr>
        <w:footnoteRef/>
      </w:r>
      <w:r>
        <w:t xml:space="preserve"> Cross-references for "other": 2Chr 12:8; Isa 51:22.</w:t>
      </w:r>
    </w:p>
  </w:footnote>
  <w:footnote w:id="11552">
    <w:p>
      <w:pPr>
        <w:pStyle w:val="FootnoteText"/>
      </w:pPr>
      <w:r>
        <w:rPr>
          <w:rStyle w:val="FootnoteReference"/>
        </w:rPr>
        <w:footnoteRef/>
      </w:r>
      <w:r>
        <w:t xml:space="preserve"> Cross-references for "dead": Exod 14:30; Ps 106:28.</w:t>
      </w:r>
    </w:p>
  </w:footnote>
  <w:footnote w:id="11553">
    <w:p>
      <w:pPr>
        <w:pStyle w:val="FootnoteText"/>
      </w:pPr>
      <w:r>
        <w:rPr>
          <w:rStyle w:val="FootnoteReference"/>
        </w:rPr>
        <w:footnoteRef/>
      </w:r>
      <w:r>
        <w:t xml:space="preserve"> Cross-references for "the earth": Rev 20:13.</w:t>
      </w:r>
    </w:p>
  </w:footnote>
  <w:footnote w:id="11554">
    <w:p>
      <w:pPr>
        <w:pStyle w:val="FootnoteText"/>
      </w:pPr>
      <w:r>
        <w:rPr>
          <w:rStyle w:val="FootnoteReference"/>
        </w:rPr>
        <w:footnoteRef/>
      </w:r>
      <w:r>
        <w:t xml:space="preserve"> Cross-references for "enter": Gen 7:1; Gen 7:16.</w:t>
      </w:r>
    </w:p>
  </w:footnote>
  <w:footnote w:id="11555">
    <w:p>
      <w:pPr>
        <w:pStyle w:val="FootnoteText"/>
      </w:pPr>
      <w:r>
        <w:rPr>
          <w:rStyle w:val="FootnoteReference"/>
        </w:rPr>
        <w:footnoteRef/>
      </w:r>
      <w:r>
        <w:t xml:space="preserve"> Cross-references for "Lord": Isa 18:4.</w:t>
      </w:r>
    </w:p>
  </w:footnote>
  <w:footnote w:id="11556">
    <w:p>
      <w:pPr>
        <w:pStyle w:val="FootnoteText"/>
      </w:pPr>
      <w:r>
        <w:rPr>
          <w:rStyle w:val="FootnoteReference"/>
        </w:rPr>
        <w:footnoteRef/>
      </w:r>
      <w:r>
        <w:t xml:space="preserve"> Cross-references for "that day": Isa 26:21.</w:t>
      </w:r>
    </w:p>
  </w:footnote>
  <w:footnote w:id="11557">
    <w:p>
      <w:pPr>
        <w:pStyle w:val="FootnoteText"/>
      </w:pPr>
      <w:r>
        <w:rPr>
          <w:rStyle w:val="FootnoteReference"/>
        </w:rPr>
        <w:footnoteRef/>
      </w:r>
      <w:r>
        <w:t xml:space="preserve"> Cross-references for "water": Isa 5:6; Isa 35:6-7.</w:t>
      </w:r>
    </w:p>
  </w:footnote>
  <w:footnote w:id="11558">
    <w:p>
      <w:pPr>
        <w:pStyle w:val="FootnoteText"/>
      </w:pPr>
      <w:r>
        <w:rPr>
          <w:rStyle w:val="FootnoteReference"/>
        </w:rPr>
        <w:footnoteRef/>
      </w:r>
      <w:r>
        <w:t xml:space="preserve"> Cross-references for "For it is": Deut 4:6; Deut 32:28-29.</w:t>
      </w:r>
    </w:p>
  </w:footnote>
  <w:footnote w:id="11559">
    <w:p>
      <w:pPr>
        <w:pStyle w:val="FootnoteText"/>
      </w:pPr>
      <w:r>
        <w:rPr>
          <w:rStyle w:val="FootnoteReference"/>
        </w:rPr>
        <w:footnoteRef/>
      </w:r>
      <w:r>
        <w:t xml:space="preserve"> Cross-references for "And it": Isa 2:11.</w:t>
      </w:r>
    </w:p>
  </w:footnote>
  <w:footnote w:id="11560">
    <w:p>
      <w:pPr>
        <w:pStyle w:val="FootnoteText"/>
      </w:pPr>
      <w:r>
        <w:rPr>
          <w:rStyle w:val="FootnoteReference"/>
        </w:rPr>
        <w:footnoteRef/>
      </w:r>
      <w:r>
        <w:t xml:space="preserve"> Cross-references for "the crown": Isa 28:3; Hos 5:5.</w:t>
      </w:r>
    </w:p>
  </w:footnote>
  <w:footnote w:id="11561">
    <w:p>
      <w:pPr>
        <w:pStyle w:val="FootnoteText"/>
      </w:pPr>
      <w:r>
        <w:rPr>
          <w:rStyle w:val="FootnoteReference"/>
        </w:rPr>
        <w:footnoteRef/>
      </w:r>
      <w:r>
        <w:t xml:space="preserve"> Cross-references for "the Lord": Isa 9:9-12; Isa 27:1.</w:t>
      </w:r>
    </w:p>
  </w:footnote>
  <w:footnote w:id="11562">
    <w:p>
      <w:pPr>
        <w:pStyle w:val="FootnoteText"/>
      </w:pPr>
      <w:r>
        <w:rPr>
          <w:rStyle w:val="FootnoteReference"/>
        </w:rPr>
        <w:footnoteRef/>
      </w:r>
      <w:r>
        <w:t xml:space="preserve"> Cross-references for "the crown": Isa 28:1.</w:t>
      </w:r>
    </w:p>
  </w:footnote>
  <w:footnote w:id="11563">
    <w:p>
      <w:pPr>
        <w:pStyle w:val="FootnoteText"/>
      </w:pPr>
      <w:r>
        <w:rPr>
          <w:rStyle w:val="FootnoteReference"/>
        </w:rPr>
        <w:footnoteRef/>
      </w:r>
      <w:r>
        <w:t xml:space="preserve"> Cross-references for "weaned": Ps 131:2; Matt 11:25.</w:t>
      </w:r>
    </w:p>
  </w:footnote>
  <w:footnote w:id="11564">
    <w:p>
      <w:pPr>
        <w:pStyle w:val="FootnoteText"/>
      </w:pPr>
      <w:r>
        <w:rPr>
          <w:rStyle w:val="FootnoteReference"/>
        </w:rPr>
        <w:footnoteRef/>
      </w:r>
      <w:r>
        <w:t xml:space="preserve"> Cross-references for "Behold": Gen 49:10; Gen 49:24.</w:t>
      </w:r>
    </w:p>
  </w:footnote>
  <w:footnote w:id="11565">
    <w:p>
      <w:pPr>
        <w:pStyle w:val="FootnoteText"/>
      </w:pPr>
      <w:r>
        <w:rPr>
          <w:rStyle w:val="FootnoteReference"/>
        </w:rPr>
        <w:footnoteRef/>
      </w:r>
      <w:r>
        <w:t xml:space="preserve"> Cross-references for "judgment": 2Kgs 21:13; Ps 94:15.</w:t>
      </w:r>
    </w:p>
  </w:footnote>
  <w:footnote w:id="11566">
    <w:p>
      <w:pPr>
        <w:pStyle w:val="FootnoteText"/>
      </w:pPr>
      <w:r>
        <w:rPr>
          <w:rStyle w:val="FootnoteReference"/>
        </w:rPr>
        <w:footnoteRef/>
      </w:r>
      <w:r>
        <w:t xml:space="preserve"> Cross-references for "the valley": Josh 10:10; Josh 10:12.</w:t>
      </w:r>
    </w:p>
  </w:footnote>
  <w:footnote w:id="11567">
    <w:p>
      <w:pPr>
        <w:pStyle w:val="FootnoteText"/>
      </w:pPr>
      <w:r>
        <w:rPr>
          <w:rStyle w:val="FootnoteReference"/>
        </w:rPr>
        <w:footnoteRef/>
      </w:r>
      <w:r>
        <w:t xml:space="preserve"> Cross-references for "threshed": 2Kgs 13:7; Isa 41:15.</w:t>
      </w:r>
    </w:p>
  </w:footnote>
  <w:footnote w:id="11568">
    <w:p>
      <w:pPr>
        <w:pStyle w:val="FootnoteText"/>
      </w:pPr>
      <w:r>
        <w:rPr>
          <w:rStyle w:val="FootnoteReference"/>
        </w:rPr>
        <w:footnoteRef/>
      </w:r>
      <w:r>
        <w:t xml:space="preserve"> Cross-references for "bread": Isa 21:10; Amos 9:9.</w:t>
      </w:r>
    </w:p>
  </w:footnote>
  <w:footnote w:id="11569">
    <w:p>
      <w:pPr>
        <w:pStyle w:val="FootnoteText"/>
      </w:pPr>
      <w:r>
        <w:rPr>
          <w:rStyle w:val="FootnoteReference"/>
        </w:rPr>
        <w:footnoteRef/>
      </w:r>
      <w:r>
        <w:t xml:space="preserve"> Cross-references for "the Lord": 1Sam 26:12; Ps 69:23.</w:t>
      </w:r>
    </w:p>
  </w:footnote>
  <w:footnote w:id="11570">
    <w:p>
      <w:pPr>
        <w:pStyle w:val="FootnoteText"/>
      </w:pPr>
      <w:r>
        <w:rPr>
          <w:rStyle w:val="FootnoteReference"/>
        </w:rPr>
        <w:footnoteRef/>
      </w:r>
      <w:r>
        <w:t xml:space="preserve"> Cross-references for "I cannot": Dan 12:4; Dan 12:9.</w:t>
      </w:r>
    </w:p>
  </w:footnote>
  <w:footnote w:id="11571">
    <w:p>
      <w:pPr>
        <w:pStyle w:val="FootnoteText"/>
      </w:pPr>
      <w:r>
        <w:rPr>
          <w:rStyle w:val="FootnoteReference"/>
        </w:rPr>
        <w:footnoteRef/>
      </w:r>
      <w:r>
        <w:t xml:space="preserve"> Cross-references for "and their works": Job 24:13-17; Job 34:22.</w:t>
      </w:r>
    </w:p>
  </w:footnote>
  <w:footnote w:id="11572">
    <w:p>
      <w:pPr>
        <w:pStyle w:val="FootnoteText"/>
      </w:pPr>
      <w:r>
        <w:rPr>
          <w:rStyle w:val="FootnoteReference"/>
        </w:rPr>
        <w:footnoteRef/>
      </w:r>
      <w:r>
        <w:t xml:space="preserve"> Cross-references for "Lebanon": Isa 32:15; Isa 35:1-2.</w:t>
      </w:r>
    </w:p>
  </w:footnote>
  <w:footnote w:id="11573">
    <w:p>
      <w:pPr>
        <w:pStyle w:val="FootnoteText"/>
      </w:pPr>
      <w:r>
        <w:rPr>
          <w:rStyle w:val="FootnoteReference"/>
        </w:rPr>
        <w:footnoteRef/>
      </w:r>
      <w:r>
        <w:t xml:space="preserve"> Cross-references for "the deaf": Deut 29:4; Ps 119:18.</w:t>
      </w:r>
    </w:p>
  </w:footnote>
  <w:footnote w:id="11574">
    <w:p>
      <w:pPr>
        <w:pStyle w:val="FootnoteText"/>
      </w:pPr>
      <w:r>
        <w:rPr>
          <w:rStyle w:val="FootnoteReference"/>
        </w:rPr>
        <w:footnoteRef/>
      </w:r>
      <w:r>
        <w:t xml:space="preserve"> Cross-references for "the poor": Ps 9:18; Ps 12:5.</w:t>
      </w:r>
    </w:p>
  </w:footnote>
  <w:footnote w:id="11575">
    <w:p>
      <w:pPr>
        <w:pStyle w:val="FootnoteText"/>
      </w:pPr>
      <w:r>
        <w:rPr>
          <w:rStyle w:val="FootnoteReference"/>
        </w:rPr>
        <w:footnoteRef/>
      </w:r>
      <w:r>
        <w:t xml:space="preserve"> Cross-references for "sanctify": Lev 10:3; Isa 5:16.</w:t>
      </w:r>
    </w:p>
  </w:footnote>
  <w:footnote w:id="11576">
    <w:p>
      <w:pPr>
        <w:pStyle w:val="FootnoteText"/>
      </w:pPr>
      <w:r>
        <w:rPr>
          <w:rStyle w:val="FootnoteReference"/>
        </w:rPr>
        <w:footnoteRef/>
      </w:r>
      <w:r>
        <w:t xml:space="preserve"> Cross-references for "Zoan": Num 13:22; Isa 19:11.</w:t>
      </w:r>
    </w:p>
  </w:footnote>
  <w:footnote w:id="11577">
    <w:p>
      <w:pPr>
        <w:pStyle w:val="FootnoteText"/>
      </w:pPr>
      <w:r>
        <w:rPr>
          <w:rStyle w:val="FootnoteReference"/>
        </w:rPr>
        <w:footnoteRef/>
      </w:r>
      <w:r>
        <w:t xml:space="preserve"> Cross-references for "beasts": 1Kgs 10:2; Matt 12:42.</w:t>
      </w:r>
    </w:p>
  </w:footnote>
  <w:footnote w:id="11578">
    <w:p>
      <w:pPr>
        <w:pStyle w:val="FootnoteText"/>
      </w:pPr>
      <w:r>
        <w:rPr>
          <w:rStyle w:val="FootnoteReference"/>
        </w:rPr>
        <w:footnoteRef/>
      </w:r>
      <w:r>
        <w:t xml:space="preserve"> Cross-references for "The Egyptians": Isa 31:1-5; Jer 37:7.</w:t>
      </w:r>
    </w:p>
  </w:footnote>
  <w:footnote w:id="11579">
    <w:p>
      <w:pPr>
        <w:pStyle w:val="FootnoteText"/>
      </w:pPr>
      <w:r>
        <w:rPr>
          <w:rStyle w:val="FootnoteReference"/>
        </w:rPr>
        <w:footnoteRef/>
      </w:r>
      <w:r>
        <w:t xml:space="preserve"> Cross-references for "write": Deut 31:19; Deut 31:22.</w:t>
      </w:r>
    </w:p>
  </w:footnote>
  <w:footnote w:id="11580">
    <w:p>
      <w:pPr>
        <w:pStyle w:val="FootnoteText"/>
      </w:pPr>
      <w:r>
        <w:rPr>
          <w:rStyle w:val="FootnoteReference"/>
        </w:rPr>
        <w:footnoteRef/>
      </w:r>
      <w:r>
        <w:t xml:space="preserve"> Cross-references for "lying": Isa 59:3; Isa 63:8.</w:t>
      </w:r>
    </w:p>
  </w:footnote>
  <w:footnote w:id="11581">
    <w:p>
      <w:pPr>
        <w:pStyle w:val="FootnoteText"/>
      </w:pPr>
      <w:r>
        <w:rPr>
          <w:rStyle w:val="FootnoteReference"/>
        </w:rPr>
        <w:footnoteRef/>
      </w:r>
      <w:r>
        <w:t xml:space="preserve"> Cross-references for "speak": 1Kgs 22:8-13; 1Kgs 22:27.</w:t>
      </w:r>
    </w:p>
  </w:footnote>
  <w:footnote w:id="11582">
    <w:p>
      <w:pPr>
        <w:pStyle w:val="FootnoteText"/>
      </w:pPr>
      <w:r>
        <w:rPr>
          <w:rStyle w:val="FootnoteReference"/>
        </w:rPr>
        <w:footnoteRef/>
      </w:r>
      <w:r>
        <w:t xml:space="preserve"> Cross-references for "so that": Ps 31:12; Isa 47:14.</w:t>
      </w:r>
    </w:p>
  </w:footnote>
  <w:footnote w:id="11583">
    <w:p>
      <w:pPr>
        <w:pStyle w:val="FootnoteText"/>
      </w:pPr>
      <w:r>
        <w:rPr>
          <w:rStyle w:val="FootnoteReference"/>
        </w:rPr>
        <w:footnoteRef/>
      </w:r>
      <w:r>
        <w:t xml:space="preserve"> Cross-references for "the Holy One": Isa 30:11; Jer 23:36.</w:t>
      </w:r>
    </w:p>
  </w:footnote>
  <w:footnote w:id="11584">
    <w:p>
      <w:pPr>
        <w:pStyle w:val="FootnoteText"/>
      </w:pPr>
      <w:r>
        <w:rPr>
          <w:rStyle w:val="FootnoteReference"/>
        </w:rPr>
        <w:footnoteRef/>
      </w:r>
      <w:r>
        <w:t xml:space="preserve"> Cross-references for "thousand": Lev 26:8; Lev 26:36.</w:t>
      </w:r>
    </w:p>
  </w:footnote>
  <w:footnote w:id="11585">
    <w:p>
      <w:pPr>
        <w:pStyle w:val="FootnoteText"/>
      </w:pPr>
      <w:r>
        <w:rPr>
          <w:rStyle w:val="FootnoteReference"/>
        </w:rPr>
        <w:footnoteRef/>
      </w:r>
      <w:r>
        <w:t xml:space="preserve"> Cross-references for "Blessed": Ps 2:12; Ps 27:14.</w:t>
      </w:r>
    </w:p>
  </w:footnote>
  <w:footnote w:id="11586">
    <w:p>
      <w:pPr>
        <w:pStyle w:val="FootnoteText"/>
      </w:pPr>
      <w:r>
        <w:rPr>
          <w:rStyle w:val="FootnoteReference"/>
        </w:rPr>
        <w:footnoteRef/>
      </w:r>
      <w:r>
        <w:t xml:space="preserve"> Cross-references for "dwell": Isa 10:24; Isa 12:6.</w:t>
      </w:r>
    </w:p>
  </w:footnote>
  <w:footnote w:id="11587">
    <w:p>
      <w:pPr>
        <w:pStyle w:val="FootnoteText"/>
      </w:pPr>
      <w:r>
        <w:rPr>
          <w:rStyle w:val="FootnoteReference"/>
        </w:rPr>
        <w:footnoteRef/>
      </w:r>
      <w:r>
        <w:t xml:space="preserve"> Cross-references for "oxen": Deut 25:4; 1Cor 9:9-10.</w:t>
      </w:r>
    </w:p>
  </w:footnote>
  <w:footnote w:id="11588">
    <w:p>
      <w:pPr>
        <w:pStyle w:val="FootnoteText"/>
      </w:pPr>
      <w:r>
        <w:rPr>
          <w:rStyle w:val="FootnoteReference"/>
        </w:rPr>
        <w:footnoteRef/>
      </w:r>
      <w:r>
        <w:t xml:space="preserve"> Cross-references for "the light of the moon": Isa 11:9; Isa 24:23.</w:t>
      </w:r>
    </w:p>
  </w:footnote>
  <w:footnote w:id="11589">
    <w:p>
      <w:pPr>
        <w:pStyle w:val="FootnoteText"/>
      </w:pPr>
      <w:r>
        <w:rPr>
          <w:rStyle w:val="FootnoteReference"/>
        </w:rPr>
        <w:footnoteRef/>
      </w:r>
      <w:r>
        <w:t xml:space="preserve"> Cross-references for "burning": Deut 32:22; Deut 33:2.</w:t>
      </w:r>
    </w:p>
  </w:footnote>
  <w:footnote w:id="11590">
    <w:p>
      <w:pPr>
        <w:pStyle w:val="FootnoteText"/>
      </w:pPr>
      <w:r>
        <w:rPr>
          <w:rStyle w:val="FootnoteReference"/>
        </w:rPr>
        <w:footnoteRef/>
      </w:r>
      <w:r>
        <w:t xml:space="preserve"> Cross-references for "the mountain": Isa 2:3.</w:t>
      </w:r>
    </w:p>
  </w:footnote>
  <w:footnote w:id="11591">
    <w:p>
      <w:pPr>
        <w:pStyle w:val="FootnoteText"/>
      </w:pPr>
      <w:r>
        <w:rPr>
          <w:rStyle w:val="FootnoteReference"/>
        </w:rPr>
        <w:footnoteRef/>
      </w:r>
      <w:r>
        <w:t xml:space="preserve"> Cross-references for "the voice": Isa 30:30; Isa 37:32-38.</w:t>
      </w:r>
    </w:p>
  </w:footnote>
  <w:footnote w:id="11592">
    <w:p>
      <w:pPr>
        <w:pStyle w:val="FootnoteText"/>
      </w:pPr>
      <w:r>
        <w:rPr>
          <w:rStyle w:val="FootnoteReference"/>
        </w:rPr>
        <w:footnoteRef/>
      </w:r>
      <w:r>
        <w:t xml:space="preserve"> Cross-references for "will not": Num 23:19; Jer 36:32.</w:t>
      </w:r>
    </w:p>
  </w:footnote>
  <w:footnote w:id="11593">
    <w:p>
      <w:pPr>
        <w:pStyle w:val="FootnoteText"/>
      </w:pPr>
      <w:r>
        <w:rPr>
          <w:rStyle w:val="FootnoteReference"/>
        </w:rPr>
        <w:footnoteRef/>
      </w:r>
      <w:r>
        <w:t xml:space="preserve"> Cross-references for "birds": Exod 19:4; Deut 32:11.</w:t>
      </w:r>
    </w:p>
  </w:footnote>
  <w:footnote w:id="11594">
    <w:p>
      <w:pPr>
        <w:pStyle w:val="FootnoteText"/>
      </w:pPr>
      <w:r>
        <w:rPr>
          <w:rStyle w:val="FootnoteReference"/>
        </w:rPr>
        <w:footnoteRef/>
      </w:r>
      <w:r>
        <w:t xml:space="preserve"> Cross-references for "Turn": Isa 55:7; Jer 3:10.</w:t>
      </w:r>
    </w:p>
  </w:footnote>
  <w:footnote w:id="11595">
    <w:p>
      <w:pPr>
        <w:pStyle w:val="FootnoteText"/>
      </w:pPr>
      <w:r>
        <w:rPr>
          <w:rStyle w:val="FootnoteReference"/>
        </w:rPr>
        <w:footnoteRef/>
      </w:r>
      <w:r>
        <w:t xml:space="preserve"> Cross-references for "in that": Deut 7:25; Isa 2:20.</w:t>
      </w:r>
    </w:p>
  </w:footnote>
  <w:footnote w:id="11596">
    <w:p>
      <w:pPr>
        <w:pStyle w:val="FootnoteText"/>
      </w:pPr>
      <w:r>
        <w:rPr>
          <w:rStyle w:val="FootnoteReference"/>
        </w:rPr>
        <w:footnoteRef/>
      </w:r>
      <w:r>
        <w:t xml:space="preserve"> Cross-references for "king": Isa 9:6-7; Isa 40:1-5.</w:t>
      </w:r>
    </w:p>
  </w:footnote>
  <w:footnote w:id="11597">
    <w:p>
      <w:pPr>
        <w:pStyle w:val="FootnoteText"/>
      </w:pPr>
      <w:r>
        <w:rPr>
          <w:rStyle w:val="FootnoteReference"/>
        </w:rPr>
        <w:footnoteRef/>
      </w:r>
      <w:r>
        <w:t xml:space="preserve"> Cross-references for "heart": Isa 29:24.</w:t>
      </w:r>
    </w:p>
  </w:footnote>
  <w:footnote w:id="11598">
    <w:p>
      <w:pPr>
        <w:pStyle w:val="FootnoteText"/>
      </w:pPr>
      <w:r>
        <w:rPr>
          <w:rStyle w:val="FootnoteReference"/>
        </w:rPr>
        <w:footnoteRef/>
      </w:r>
      <w:r>
        <w:t xml:space="preserve"> Cross-references for "and his heart": Ps 58:1-2; Hos 7:6-7.</w:t>
      </w:r>
    </w:p>
  </w:footnote>
  <w:footnote w:id="11599">
    <w:p>
      <w:pPr>
        <w:pStyle w:val="FootnoteText"/>
      </w:pPr>
      <w:r>
        <w:rPr>
          <w:rStyle w:val="FootnoteReference"/>
        </w:rPr>
        <w:footnoteRef/>
      </w:r>
      <w:r>
        <w:t xml:space="preserve"> Cross-references for "strip": Deut 28:48; Isa 20:4.</w:t>
      </w:r>
    </w:p>
  </w:footnote>
  <w:footnote w:id="11600">
    <w:p>
      <w:pPr>
        <w:pStyle w:val="FootnoteText"/>
      </w:pPr>
      <w:r>
        <w:rPr>
          <w:rStyle w:val="FootnoteReference"/>
        </w:rPr>
        <w:footnoteRef/>
      </w:r>
      <w:r>
        <w:t xml:space="preserve"> Cross-references for "wilderness": Isa 29:17; Isa 35:2.</w:t>
      </w:r>
    </w:p>
  </w:footnote>
  <w:footnote w:id="11601">
    <w:p>
      <w:pPr>
        <w:pStyle w:val="FootnoteText"/>
      </w:pPr>
      <w:r>
        <w:rPr>
          <w:rStyle w:val="FootnoteReference"/>
        </w:rPr>
        <w:footnoteRef/>
      </w:r>
      <w:r>
        <w:t xml:space="preserve"> Cross-references for "Blessed": Eccl 11:1; Isa 19:5-7.</w:t>
      </w:r>
    </w:p>
  </w:footnote>
  <w:footnote w:id="11602">
    <w:p>
      <w:pPr>
        <w:pStyle w:val="FootnoteText"/>
      </w:pPr>
      <w:r>
        <w:rPr>
          <w:rStyle w:val="FootnoteReference"/>
        </w:rPr>
        <w:footnoteRef/>
      </w:r>
      <w:r>
        <w:t xml:space="preserve"> Cross-references for "our salvation": Ps 37:39; Ps 46:1.</w:t>
      </w:r>
    </w:p>
  </w:footnote>
  <w:footnote w:id="11603">
    <w:p>
      <w:pPr>
        <w:pStyle w:val="FootnoteText"/>
      </w:pPr>
      <w:r>
        <w:rPr>
          <w:rStyle w:val="FootnoteReference"/>
        </w:rPr>
        <w:footnoteRef/>
      </w:r>
      <w:r>
        <w:t xml:space="preserve"> Cross-references for "wisdom": 2Chr 32:27-29; Ps 45:4.</w:t>
      </w:r>
    </w:p>
  </w:footnote>
  <w:footnote w:id="11604">
    <w:p>
      <w:pPr>
        <w:pStyle w:val="FootnoteText"/>
      </w:pPr>
      <w:r>
        <w:rPr>
          <w:rStyle w:val="FootnoteReference"/>
        </w:rPr>
        <w:footnoteRef/>
      </w:r>
      <w:r>
        <w:t xml:space="preserve"> Cross-references for "Lebanon": Isa 14:8; Isa 37:24.</w:t>
      </w:r>
    </w:p>
  </w:footnote>
  <w:footnote w:id="11605">
    <w:p>
      <w:pPr>
        <w:pStyle w:val="FootnoteText"/>
      </w:pPr>
      <w:r>
        <w:rPr>
          <w:rStyle w:val="FootnoteReference"/>
        </w:rPr>
        <w:footnoteRef/>
      </w:r>
      <w:r>
        <w:t xml:space="preserve"> Cross-references for "hear": Exod 15:14; Josh 2:9-11.</w:t>
      </w:r>
    </w:p>
  </w:footnote>
  <w:footnote w:id="11606">
    <w:p>
      <w:pPr>
        <w:pStyle w:val="FootnoteText"/>
      </w:pPr>
      <w:r>
        <w:rPr>
          <w:rStyle w:val="FootnoteReference"/>
        </w:rPr>
        <w:footnoteRef/>
      </w:r>
      <w:r>
        <w:t xml:space="preserve"> Cross-references for "bread": Ps 33:18; Ps 34:10.</w:t>
      </w:r>
    </w:p>
  </w:footnote>
  <w:footnote w:id="11607">
    <w:p>
      <w:pPr>
        <w:pStyle w:val="FootnoteText"/>
      </w:pPr>
      <w:r>
        <w:rPr>
          <w:rStyle w:val="FootnoteReference"/>
        </w:rPr>
        <w:footnoteRef/>
      </w:r>
      <w:r>
        <w:t xml:space="preserve"> Cross-references for "eyes": 2Chr 32:23; Ps 45:2.</w:t>
      </w:r>
    </w:p>
  </w:footnote>
  <w:footnote w:id="11608">
    <w:p>
      <w:pPr>
        <w:pStyle w:val="FootnoteText"/>
      </w:pPr>
      <w:r>
        <w:rPr>
          <w:rStyle w:val="FootnoteReference"/>
        </w:rPr>
        <w:footnoteRef/>
      </w:r>
      <w:r>
        <w:t xml:space="preserve"> Cross-references for "a place": Ps 46:4-5.</w:t>
      </w:r>
    </w:p>
  </w:footnote>
  <w:footnote w:id="11609">
    <w:p>
      <w:pPr>
        <w:pStyle w:val="FootnoteText"/>
      </w:pPr>
      <w:r>
        <w:rPr>
          <w:rStyle w:val="FootnoteReference"/>
        </w:rPr>
        <w:footnoteRef/>
      </w:r>
      <w:r>
        <w:t xml:space="preserve"> Cross-references for "and the mountains": Isa 34:7; Ezek 32:5-6.</w:t>
      </w:r>
    </w:p>
  </w:footnote>
  <w:footnote w:id="11610">
    <w:p>
      <w:pPr>
        <w:pStyle w:val="FootnoteText"/>
      </w:pPr>
      <w:r>
        <w:rPr>
          <w:rStyle w:val="FootnoteReference"/>
        </w:rPr>
        <w:footnoteRef/>
      </w:r>
      <w:r>
        <w:t xml:space="preserve"> Cross-references for "My sword": Deut 32:14; Deut 32:42.</w:t>
      </w:r>
    </w:p>
  </w:footnote>
  <w:footnote w:id="11611">
    <w:p>
      <w:pPr>
        <w:pStyle w:val="FootnoteText"/>
      </w:pPr>
      <w:r>
        <w:rPr>
          <w:rStyle w:val="FootnoteReference"/>
        </w:rPr>
        <w:footnoteRef/>
      </w:r>
      <w:r>
        <w:t xml:space="preserve"> Cross-references for "filled": Isa 63:3; Jer 49:13.</w:t>
      </w:r>
    </w:p>
  </w:footnote>
  <w:footnote w:id="11612">
    <w:p>
      <w:pPr>
        <w:pStyle w:val="FootnoteText"/>
      </w:pPr>
      <w:r>
        <w:rPr>
          <w:rStyle w:val="FootnoteReference"/>
        </w:rPr>
        <w:footnoteRef/>
      </w:r>
      <w:r>
        <w:t xml:space="preserve"> Cross-references for "seek": Deut 31:21; Josh 1:8.</w:t>
      </w:r>
    </w:p>
  </w:footnote>
  <w:footnote w:id="11613">
    <w:p>
      <w:pPr>
        <w:pStyle w:val="FootnoteText"/>
      </w:pPr>
      <w:r>
        <w:rPr>
          <w:rStyle w:val="FootnoteReference"/>
        </w:rPr>
        <w:footnoteRef/>
      </w:r>
      <w:r>
        <w:t xml:space="preserve"> Cross-references for "wilderness": Isa 29:17; Isa 32:15-16.</w:t>
      </w:r>
    </w:p>
  </w:footnote>
  <w:footnote w:id="11614">
    <w:p>
      <w:pPr>
        <w:pStyle w:val="FootnoteText"/>
      </w:pPr>
      <w:r>
        <w:rPr>
          <w:rStyle w:val="FootnoteReference"/>
        </w:rPr>
        <w:footnoteRef/>
      </w:r>
      <w:r>
        <w:t xml:space="preserve"> Cross-references for "the glory": Ps 72:16; Isa 33:9.</w:t>
      </w:r>
    </w:p>
  </w:footnote>
  <w:footnote w:id="11615">
    <w:p>
      <w:pPr>
        <w:pStyle w:val="FootnoteText"/>
      </w:pPr>
      <w:r>
        <w:rPr>
          <w:rStyle w:val="FootnoteReference"/>
        </w:rPr>
        <w:footnoteRef/>
      </w:r>
      <w:r>
        <w:t xml:space="preserve"> Cross-references for "be strong": Josh 1:6-7; 1Chr 28:20.</w:t>
      </w:r>
    </w:p>
  </w:footnote>
  <w:footnote w:id="11616">
    <w:p>
      <w:pPr>
        <w:pStyle w:val="FootnoteText"/>
      </w:pPr>
      <w:r>
        <w:rPr>
          <w:rStyle w:val="FootnoteReference"/>
        </w:rPr>
        <w:footnoteRef/>
      </w:r>
      <w:r>
        <w:t xml:space="preserve"> Cross-references for "the eyes": Ps 146:8; Isa 29:18.</w:t>
      </w:r>
    </w:p>
  </w:footnote>
  <w:footnote w:id="11617">
    <w:p>
      <w:pPr>
        <w:pStyle w:val="FootnoteText"/>
      </w:pPr>
      <w:r>
        <w:rPr>
          <w:rStyle w:val="FootnoteReference"/>
        </w:rPr>
        <w:footnoteRef/>
      </w:r>
      <w:r>
        <w:t xml:space="preserve"> Cross-references for "the tongue": Ps 51:15; Isa 32:4.</w:t>
      </w:r>
    </w:p>
  </w:footnote>
  <w:footnote w:id="11618">
    <w:p>
      <w:pPr>
        <w:pStyle w:val="FootnoteText"/>
      </w:pPr>
      <w:r>
        <w:rPr>
          <w:rStyle w:val="FootnoteReference"/>
        </w:rPr>
        <w:footnoteRef/>
      </w:r>
      <w:r>
        <w:t xml:space="preserve"> Cross-references for "and come": Ps 84:7; Jer 31:11-14.</w:t>
      </w:r>
    </w:p>
  </w:footnote>
  <w:footnote w:id="11619">
    <w:p>
      <w:pPr>
        <w:pStyle w:val="FootnoteText"/>
      </w:pPr>
      <w:r>
        <w:rPr>
          <w:rStyle w:val="FootnoteReference"/>
        </w:rPr>
        <w:footnoteRef/>
      </w:r>
      <w:r>
        <w:t xml:space="preserve"> Cross-references for "sent": 2Kgs 18:17-37; 2Chr 32:9-23.</w:t>
      </w:r>
    </w:p>
  </w:footnote>
  <w:footnote w:id="11620">
    <w:p>
      <w:pPr>
        <w:pStyle w:val="FootnoteText"/>
      </w:pPr>
      <w:r>
        <w:rPr>
          <w:rStyle w:val="FootnoteReference"/>
        </w:rPr>
        <w:footnoteRef/>
      </w:r>
      <w:r>
        <w:t xml:space="preserve"> Cross-references for "Eliakim": Isa 22:15-20.</w:t>
      </w:r>
    </w:p>
  </w:footnote>
  <w:footnote w:id="11621">
    <w:p>
      <w:pPr>
        <w:pStyle w:val="FootnoteText"/>
      </w:pPr>
      <w:r>
        <w:rPr>
          <w:rStyle w:val="FootnoteReference"/>
        </w:rPr>
        <w:footnoteRef/>
      </w:r>
      <w:r>
        <w:t xml:space="preserve"> Cross-references for "that they may": Lev 26:29; Deut 28:53-57.</w:t>
      </w:r>
    </w:p>
  </w:footnote>
  <w:footnote w:id="11622">
    <w:p>
      <w:pPr>
        <w:pStyle w:val="FootnoteText"/>
      </w:pPr>
      <w:r>
        <w:rPr>
          <w:rStyle w:val="FootnoteReference"/>
        </w:rPr>
        <w:footnoteRef/>
      </w:r>
      <w:r>
        <w:t xml:space="preserve"> Cross-references for "cried": 1Sam 17:8-11; 2Kgs 18:28-32.</w:t>
      </w:r>
    </w:p>
  </w:footnote>
  <w:footnote w:id="11623">
    <w:p>
      <w:pPr>
        <w:pStyle w:val="FootnoteText"/>
      </w:pPr>
      <w:r>
        <w:rPr>
          <w:rStyle w:val="FootnoteReference"/>
        </w:rPr>
        <w:footnoteRef/>
      </w:r>
      <w:r>
        <w:t xml:space="preserve"> Cross-references for "come out": 1Sam 11:3; 2Kgs 24:12-16.</w:t>
      </w:r>
    </w:p>
  </w:footnote>
  <w:footnote w:id="11624">
    <w:p>
      <w:pPr>
        <w:pStyle w:val="FootnoteText"/>
      </w:pPr>
      <w:r>
        <w:rPr>
          <w:rStyle w:val="FootnoteReference"/>
        </w:rPr>
        <w:footnoteRef/>
      </w:r>
      <w:r>
        <w:t xml:space="preserve"> Cross-references for "I come": 2Kgs 17:6-23; 2Kgs 18:9-12.</w:t>
      </w:r>
    </w:p>
  </w:footnote>
  <w:footnote w:id="11625">
    <w:p>
      <w:pPr>
        <w:pStyle w:val="FootnoteText"/>
      </w:pPr>
      <w:r>
        <w:rPr>
          <w:rStyle w:val="FootnoteReference"/>
        </w:rPr>
        <w:footnoteRef/>
      </w:r>
      <w:r>
        <w:t xml:space="preserve"> Cross-references for "Hamath": Num 34:8; 2Sam 8:9.</w:t>
      </w:r>
    </w:p>
  </w:footnote>
  <w:footnote w:id="11626">
    <w:p>
      <w:pPr>
        <w:pStyle w:val="FootnoteText"/>
      </w:pPr>
      <w:r>
        <w:rPr>
          <w:rStyle w:val="FootnoteReference"/>
        </w:rPr>
        <w:footnoteRef/>
      </w:r>
      <w:r>
        <w:t xml:space="preserve"> Cross-references for "Eliakim": Isa 36:3; Isa 36:11.</w:t>
      </w:r>
    </w:p>
  </w:footnote>
  <w:footnote w:id="11627">
    <w:p>
      <w:pPr>
        <w:pStyle w:val="FootnoteText"/>
      </w:pPr>
      <w:r>
        <w:rPr>
          <w:rStyle w:val="FootnoteReference"/>
        </w:rPr>
        <w:footnoteRef/>
      </w:r>
      <w:r>
        <w:t xml:space="preserve"> Cross-references for "and went": Ezra 9:5; Job 1:20-21.</w:t>
      </w:r>
    </w:p>
  </w:footnote>
  <w:footnote w:id="11628">
    <w:p>
      <w:pPr>
        <w:pStyle w:val="FootnoteText"/>
      </w:pPr>
      <w:r>
        <w:rPr>
          <w:rStyle w:val="FootnoteReference"/>
        </w:rPr>
        <w:footnoteRef/>
      </w:r>
      <w:r>
        <w:t xml:space="preserve"> Cross-references for "to reproach": 1Sam 17:26; 1Sam 17:36.</w:t>
      </w:r>
    </w:p>
  </w:footnote>
  <w:footnote w:id="11629">
    <w:p>
      <w:pPr>
        <w:pStyle w:val="FootnoteText"/>
      </w:pPr>
      <w:r>
        <w:rPr>
          <w:rStyle w:val="FootnoteReference"/>
        </w:rPr>
        <w:footnoteRef/>
      </w:r>
      <w:r>
        <w:t xml:space="preserve"> Cross-references for "Rabshakeh": Num 33:20-21; 2Kgs 19:8-9.</w:t>
      </w:r>
    </w:p>
  </w:footnote>
  <w:footnote w:id="11630">
    <w:p>
      <w:pPr>
        <w:pStyle w:val="FootnoteText"/>
      </w:pPr>
      <w:r>
        <w:rPr>
          <w:rStyle w:val="FootnoteReference"/>
        </w:rPr>
        <w:footnoteRef/>
      </w:r>
      <w:r>
        <w:t xml:space="preserve"> Cross-references for "the gods": Isa 36:20; Isa 46:5-7.</w:t>
      </w:r>
    </w:p>
  </w:footnote>
  <w:footnote w:id="11631">
    <w:p>
      <w:pPr>
        <w:pStyle w:val="FootnoteText"/>
      </w:pPr>
      <w:r>
        <w:rPr>
          <w:rStyle w:val="FootnoteReference"/>
        </w:rPr>
        <w:footnoteRef/>
      </w:r>
      <w:r>
        <w:t xml:space="preserve"> Cross-references for "Hamath": Isa 10:9; Isa 36:19.</w:t>
      </w:r>
    </w:p>
  </w:footnote>
  <w:footnote w:id="11632">
    <w:p>
      <w:pPr>
        <w:pStyle w:val="FootnoteText"/>
      </w:pPr>
      <w:r>
        <w:rPr>
          <w:rStyle w:val="FootnoteReference"/>
        </w:rPr>
        <w:footnoteRef/>
      </w:r>
      <w:r>
        <w:t xml:space="preserve"> Place name: Hena. Place-name meaning: Hena — troubling. Source form: Hena. Greek form: αναγ.</w:t>
      </w:r>
    </w:p>
  </w:footnote>
  <w:footnote w:id="11633">
    <w:p>
      <w:pPr>
        <w:pStyle w:val="FootnoteText"/>
      </w:pPr>
      <w:r>
        <w:rPr>
          <w:rStyle w:val="FootnoteReference"/>
        </w:rPr>
        <w:footnoteRef/>
      </w:r>
      <w:r>
        <w:t xml:space="preserve"> Place name: Ivvah. Place-name meaning: Ivvah — iniquity; ruin. Source form: Ivvah. Greek form: αιμαθ.</w:t>
      </w:r>
    </w:p>
  </w:footnote>
  <w:footnote w:id="11634">
    <w:p>
      <w:pPr>
        <w:pStyle w:val="FootnoteText"/>
      </w:pPr>
      <w:r>
        <w:rPr>
          <w:rStyle w:val="FootnoteReference"/>
        </w:rPr>
        <w:footnoteRef/>
      </w:r>
      <w:r>
        <w:t xml:space="preserve"> Cross-references for "Lord": Isa 6:3; Isa 8:13.</w:t>
      </w:r>
    </w:p>
  </w:footnote>
  <w:footnote w:id="11635">
    <w:p>
      <w:pPr>
        <w:pStyle w:val="FootnoteText"/>
      </w:pPr>
      <w:r>
        <w:rPr>
          <w:rStyle w:val="FootnoteReference"/>
        </w:rPr>
        <w:footnoteRef/>
      </w:r>
      <w:r>
        <w:t xml:space="preserve"> Cross-references for "Hear": 2Sam 16:12; Ps 10:14-15.</w:t>
      </w:r>
    </w:p>
  </w:footnote>
  <w:footnote w:id="11636">
    <w:p>
      <w:pPr>
        <w:pStyle w:val="FootnoteText"/>
      </w:pPr>
      <w:r>
        <w:rPr>
          <w:rStyle w:val="FootnoteReference"/>
        </w:rPr>
        <w:footnoteRef/>
      </w:r>
      <w:r>
        <w:t xml:space="preserve"> Cross-references for "the kings": 2Kgs 15:29; 2Kgs 16:9.</w:t>
      </w:r>
    </w:p>
  </w:footnote>
  <w:footnote w:id="11637">
    <w:p>
      <w:pPr>
        <w:pStyle w:val="FootnoteText"/>
      </w:pPr>
      <w:r>
        <w:rPr>
          <w:rStyle w:val="FootnoteReference"/>
        </w:rPr>
        <w:footnoteRef/>
      </w:r>
      <w:r>
        <w:t xml:space="preserve"> Cross-references for "The virgin": Isa 23:12; Jer 14:17.</w:t>
      </w:r>
    </w:p>
  </w:footnote>
  <w:footnote w:id="11638">
    <w:p>
      <w:pPr>
        <w:pStyle w:val="FootnoteText"/>
      </w:pPr>
      <w:r>
        <w:rPr>
          <w:rStyle w:val="FootnoteReference"/>
        </w:rPr>
        <w:footnoteRef/>
      </w:r>
      <w:r>
        <w:t xml:space="preserve"> Cross-references for "Against whom": Exod 9:17; Prov 30:13.</w:t>
      </w:r>
    </w:p>
  </w:footnote>
  <w:footnote w:id="11639">
    <w:p>
      <w:pPr>
        <w:pStyle w:val="FootnoteText"/>
      </w:pPr>
      <w:r>
        <w:rPr>
          <w:rStyle w:val="FootnoteReference"/>
        </w:rPr>
        <w:footnoteRef/>
      </w:r>
      <w:r>
        <w:t xml:space="preserve"> Cross-references for "The zeal": 2Kgs 19:31; Isa 9:7.</w:t>
      </w:r>
    </w:p>
  </w:footnote>
  <w:footnote w:id="11640">
    <w:p>
      <w:pPr>
        <w:pStyle w:val="FootnoteText"/>
      </w:pPr>
      <w:r>
        <w:rPr>
          <w:rStyle w:val="FootnoteReference"/>
        </w:rPr>
        <w:footnoteRef/>
      </w:r>
      <w:r>
        <w:t xml:space="preserve"> Cross-references for "cast": Ezek 21:22; Luke 19:43-44.</w:t>
      </w:r>
    </w:p>
  </w:footnote>
  <w:footnote w:id="11641">
    <w:p>
      <w:pPr>
        <w:pStyle w:val="FootnoteText"/>
      </w:pPr>
      <w:r>
        <w:rPr>
          <w:rStyle w:val="FootnoteReference"/>
        </w:rPr>
        <w:footnoteRef/>
      </w:r>
      <w:r>
        <w:t xml:space="preserve"> Cross-references for "and for": 1Kgs 11:12-13; 1Kgs 11:36.</w:t>
      </w:r>
    </w:p>
  </w:footnote>
  <w:footnote w:id="11642">
    <w:p>
      <w:pPr>
        <w:pStyle w:val="FootnoteText"/>
      </w:pPr>
      <w:r>
        <w:rPr>
          <w:rStyle w:val="FootnoteReference"/>
        </w:rPr>
        <w:footnoteRef/>
      </w:r>
      <w:r>
        <w:t xml:space="preserve"> Cross-references for "the angel": Exod 12:23; 2Sam 24:16.</w:t>
      </w:r>
    </w:p>
  </w:footnote>
  <w:footnote w:id="11643">
    <w:p>
      <w:pPr>
        <w:pStyle w:val="FootnoteText"/>
      </w:pPr>
      <w:r>
        <w:rPr>
          <w:rStyle w:val="FootnoteReference"/>
        </w:rPr>
        <w:footnoteRef/>
      </w:r>
      <w:r>
        <w:t xml:space="preserve"> Cross-references for "Nineveh": Gen 10:11-12; Jonah 1:2.</w:t>
      </w:r>
    </w:p>
  </w:footnote>
  <w:footnote w:id="11644">
    <w:p>
      <w:pPr>
        <w:pStyle w:val="FootnoteText"/>
      </w:pPr>
      <w:r>
        <w:rPr>
          <w:rStyle w:val="FootnoteReference"/>
        </w:rPr>
        <w:footnoteRef/>
      </w:r>
      <w:r>
        <w:t xml:space="preserve"> Place name: Armenia. Place-name meaning: Armenia — highland/Armenian land. Source form: Armenia. Greek form: αρμενιαν.</w:t>
      </w:r>
    </w:p>
  </w:footnote>
  <w:footnote w:id="11645">
    <w:p>
      <w:pPr>
        <w:pStyle w:val="FootnoteText"/>
      </w:pPr>
      <w:r>
        <w:rPr>
          <w:rStyle w:val="FootnoteReference"/>
        </w:rPr>
        <w:footnoteRef/>
      </w:r>
      <w:r>
        <w:t xml:space="preserve"> Cross-references for "Armenia": Gen 8:4; Jer 51:27.</w:t>
      </w:r>
    </w:p>
  </w:footnote>
  <w:footnote w:id="11646">
    <w:p>
      <w:pPr>
        <w:pStyle w:val="FootnoteText"/>
      </w:pPr>
      <w:r>
        <w:rPr>
          <w:rStyle w:val="FootnoteReference"/>
        </w:rPr>
        <w:footnoteRef/>
      </w:r>
      <w:r>
        <w:t xml:space="preserve"> Cross-references for "and Isaiah": Isa 37:21; Isa 39:3-4.</w:t>
      </w:r>
    </w:p>
  </w:footnote>
  <w:footnote w:id="11647">
    <w:p>
      <w:pPr>
        <w:pStyle w:val="FootnoteText"/>
      </w:pPr>
      <w:r>
        <w:rPr>
          <w:rStyle w:val="FootnoteReference"/>
        </w:rPr>
        <w:footnoteRef/>
      </w:r>
      <w:r>
        <w:t xml:space="preserve"> Cross-references for "turned": 1Kgs 8:30; Ps 50:15.</w:t>
      </w:r>
    </w:p>
  </w:footnote>
  <w:footnote w:id="11648">
    <w:p>
      <w:pPr>
        <w:pStyle w:val="FootnoteText"/>
      </w:pPr>
      <w:r>
        <w:rPr>
          <w:rStyle w:val="FootnoteReference"/>
        </w:rPr>
        <w:footnoteRef/>
      </w:r>
      <w:r>
        <w:t xml:space="preserve"> Cross-references for "Remember": Neh 5:19; Neh 13:14.</w:t>
      </w:r>
    </w:p>
  </w:footnote>
  <w:footnote w:id="11649">
    <w:p>
      <w:pPr>
        <w:pStyle w:val="FootnoteText"/>
      </w:pPr>
      <w:r>
        <w:rPr>
          <w:rStyle w:val="FootnoteReference"/>
        </w:rPr>
        <w:footnoteRef/>
      </w:r>
      <w:r>
        <w:t xml:space="preserve"> Cross-references for "and say": 2Sam 7:3-5; 1Chr 17:2-4.</w:t>
      </w:r>
    </w:p>
  </w:footnote>
  <w:footnote w:id="11650">
    <w:p>
      <w:pPr>
        <w:pStyle w:val="FootnoteText"/>
      </w:pPr>
      <w:r>
        <w:rPr>
          <w:rStyle w:val="FootnoteReference"/>
        </w:rPr>
        <w:footnoteRef/>
      </w:r>
      <w:r>
        <w:t xml:space="preserve"> Cross-references for "as a": Isa 1:8; Isa 13:20.</w:t>
      </w:r>
    </w:p>
  </w:footnote>
  <w:footnote w:id="11651">
    <w:p>
      <w:pPr>
        <w:pStyle w:val="FootnoteText"/>
      </w:pPr>
      <w:r>
        <w:rPr>
          <w:rStyle w:val="FootnoteReference"/>
        </w:rPr>
        <w:footnoteRef/>
      </w:r>
      <w:r>
        <w:t xml:space="preserve"> Cross-references for "as a lion": 1Kgs 13:24-26; 1Kgs 20:36.</w:t>
      </w:r>
    </w:p>
  </w:footnote>
  <w:footnote w:id="11652">
    <w:p>
      <w:pPr>
        <w:pStyle w:val="FootnoteText"/>
      </w:pPr>
      <w:r>
        <w:rPr>
          <w:rStyle w:val="FootnoteReference"/>
        </w:rPr>
        <w:footnoteRef/>
      </w:r>
      <w:r>
        <w:t xml:space="preserve"> Cross-references for "The living": Ps 146:2; Eccl 9:10.</w:t>
      </w:r>
    </w:p>
  </w:footnote>
  <w:footnote w:id="11653">
    <w:p>
      <w:pPr>
        <w:pStyle w:val="FootnoteText"/>
      </w:pPr>
      <w:r>
        <w:rPr>
          <w:rStyle w:val="FootnoteReference"/>
        </w:rPr>
        <w:footnoteRef/>
      </w:r>
      <w:r>
        <w:t xml:space="preserve"> Divine or supernatural name: Merodach. Divine/supernatural-name meaning: Merodach — bitter contrition. Source form: Merodach.</w:t>
      </w:r>
    </w:p>
  </w:footnote>
  <w:footnote w:id="11654">
    <w:p>
      <w:pPr>
        <w:pStyle w:val="FootnoteText"/>
      </w:pPr>
      <w:r>
        <w:rPr>
          <w:rStyle w:val="FootnoteReference"/>
        </w:rPr>
        <w:footnoteRef/>
      </w:r>
      <w:r>
        <w:t xml:space="preserve"> Cross-references for "king": Isa 13:1; Isa 13:19.</w:t>
      </w:r>
    </w:p>
  </w:footnote>
  <w:footnote w:id="11655">
    <w:p>
      <w:pPr>
        <w:pStyle w:val="FootnoteText"/>
      </w:pPr>
      <w:r>
        <w:rPr>
          <w:rStyle w:val="FootnoteReference"/>
        </w:rPr>
        <w:footnoteRef/>
      </w:r>
      <w:r>
        <w:t xml:space="preserve"> Cross-references for "showed": 2Kgs 20:13; 2Chr 32:27.</w:t>
      </w:r>
    </w:p>
  </w:footnote>
  <w:footnote w:id="11656">
    <w:p>
      <w:pPr>
        <w:pStyle w:val="FootnoteText"/>
      </w:pPr>
      <w:r>
        <w:rPr>
          <w:rStyle w:val="FootnoteReference"/>
        </w:rPr>
        <w:footnoteRef/>
      </w:r>
      <w:r>
        <w:t xml:space="preserve"> Cross-references for "Hear": 1Sam 13:13-14; 1Sam 15:16.</w:t>
      </w:r>
    </w:p>
  </w:footnote>
  <w:footnote w:id="11657">
    <w:p>
      <w:pPr>
        <w:pStyle w:val="FootnoteText"/>
      </w:pPr>
      <w:r>
        <w:rPr>
          <w:rStyle w:val="FootnoteReference"/>
        </w:rPr>
        <w:footnoteRef/>
      </w:r>
      <w:r>
        <w:t xml:space="preserve"> Cross-references for "good": Lev 10:3; 1Sam 3:18.</w:t>
      </w:r>
    </w:p>
  </w:footnote>
  <w:footnote w:id="11658">
    <w:p>
      <w:pPr>
        <w:pStyle w:val="FootnoteText"/>
      </w:pPr>
      <w:r>
        <w:rPr>
          <w:rStyle w:val="FootnoteReference"/>
        </w:rPr>
        <w:footnoteRef/>
      </w:r>
      <w:r>
        <w:t xml:space="preserve"> Cross-references for "Comfort": Neh 8:10; Ps 85:8.</w:t>
      </w:r>
    </w:p>
  </w:footnote>
  <w:footnote w:id="11659">
    <w:p>
      <w:pPr>
        <w:pStyle w:val="FootnoteText"/>
      </w:pPr>
      <w:r>
        <w:rPr>
          <w:rStyle w:val="FootnoteReference"/>
        </w:rPr>
        <w:footnoteRef/>
      </w:r>
      <w:r>
        <w:t xml:space="preserve"> Cross-references for "double": Job 42:10-12; Isa 61:7.</w:t>
      </w:r>
    </w:p>
  </w:footnote>
  <w:footnote w:id="11660">
    <w:p>
      <w:pPr>
        <w:pStyle w:val="FootnoteText"/>
      </w:pPr>
      <w:r>
        <w:rPr>
          <w:rStyle w:val="FootnoteReference"/>
        </w:rPr>
        <w:footnoteRef/>
      </w:r>
      <w:r>
        <w:t xml:space="preserve"> Cross-references for "The voice": Matt 3:1-3; Mark 1:2-5.</w:t>
      </w:r>
    </w:p>
  </w:footnote>
  <w:footnote w:id="11661">
    <w:p>
      <w:pPr>
        <w:pStyle w:val="FootnoteText"/>
      </w:pPr>
      <w:r>
        <w:rPr>
          <w:rStyle w:val="FootnoteReference"/>
        </w:rPr>
        <w:footnoteRef/>
      </w:r>
      <w:r>
        <w:t xml:space="preserve"> Cross-references for "every mountain": Job 40:11-13; Isa 2:12-15.</w:t>
      </w:r>
    </w:p>
  </w:footnote>
  <w:footnote w:id="11662">
    <w:p>
      <w:pPr>
        <w:pStyle w:val="FootnoteText"/>
      </w:pPr>
      <w:r>
        <w:rPr>
          <w:rStyle w:val="FootnoteReference"/>
        </w:rPr>
        <w:footnoteRef/>
      </w:r>
      <w:r>
        <w:t xml:space="preserve"> Cross-references for "the glory": Ps 72:19; Ps 96:6.</w:t>
      </w:r>
    </w:p>
  </w:footnote>
  <w:footnote w:id="11663">
    <w:p>
      <w:pPr>
        <w:pStyle w:val="FootnoteText"/>
      </w:pPr>
      <w:r>
        <w:rPr>
          <w:rStyle w:val="FootnoteReference"/>
        </w:rPr>
        <w:footnoteRef/>
      </w:r>
      <w:r>
        <w:t xml:space="preserve"> Cross-references for "All flesh": Job 14:2; Ps 90:5-6.</w:t>
      </w:r>
    </w:p>
  </w:footnote>
  <w:footnote w:id="11664">
    <w:p>
      <w:pPr>
        <w:pStyle w:val="FootnoteText"/>
      </w:pPr>
      <w:r>
        <w:rPr>
          <w:rStyle w:val="FootnoteReference"/>
        </w:rPr>
        <w:footnoteRef/>
      </w:r>
      <w:r>
        <w:t xml:space="preserve"> Cross-references for "the word": Ps 119:89-91; Isa 46:10-11.</w:t>
      </w:r>
    </w:p>
  </w:footnote>
  <w:footnote w:id="11665">
    <w:p>
      <w:pPr>
        <w:pStyle w:val="FootnoteText"/>
      </w:pPr>
      <w:r>
        <w:rPr>
          <w:rStyle w:val="FootnoteReference"/>
        </w:rPr>
        <w:footnoteRef/>
      </w:r>
      <w:r>
        <w:t xml:space="preserve"> Cross-references for "Lift up": Isa 52:8; Isa 58:4.</w:t>
      </w:r>
    </w:p>
  </w:footnote>
  <w:footnote w:id="11666">
    <w:p>
      <w:pPr>
        <w:pStyle w:val="FootnoteText"/>
      </w:pPr>
      <w:r>
        <w:rPr>
          <w:rStyle w:val="FootnoteReference"/>
        </w:rPr>
        <w:footnoteRef/>
      </w:r>
      <w:r>
        <w:t xml:space="preserve"> Cross-references for "his arm": Ps 2:8-9; Ps 66:3.</w:t>
      </w:r>
    </w:p>
  </w:footnote>
  <w:footnote w:id="11667">
    <w:p>
      <w:pPr>
        <w:pStyle w:val="FootnoteText"/>
      </w:pPr>
      <w:r>
        <w:rPr>
          <w:rStyle w:val="FootnoteReference"/>
        </w:rPr>
        <w:footnoteRef/>
      </w:r>
      <w:r>
        <w:t xml:space="preserve"> Cross-references for "measured": Job 11:7-9; Job 38:4-11.</w:t>
      </w:r>
    </w:p>
  </w:footnote>
  <w:footnote w:id="11668">
    <w:p>
      <w:pPr>
        <w:pStyle w:val="FootnoteText"/>
      </w:pPr>
      <w:r>
        <w:rPr>
          <w:rStyle w:val="FootnoteReference"/>
        </w:rPr>
        <w:footnoteRef/>
      </w:r>
      <w:r>
        <w:t xml:space="preserve"> Cross-references for "understanding": 1Cor 12:4-6; Col 2:3.</w:t>
      </w:r>
    </w:p>
  </w:footnote>
  <w:footnote w:id="11669">
    <w:p>
      <w:pPr>
        <w:pStyle w:val="FootnoteText"/>
      </w:pPr>
      <w:r>
        <w:rPr>
          <w:rStyle w:val="FootnoteReference"/>
        </w:rPr>
        <w:footnoteRef/>
      </w:r>
      <w:r>
        <w:t xml:space="preserve"> Cross-references for "the nations": Job 34:14-15; Isa 40:22.</w:t>
      </w:r>
    </w:p>
  </w:footnote>
  <w:footnote w:id="11670">
    <w:p>
      <w:pPr>
        <w:pStyle w:val="FootnoteText"/>
      </w:pPr>
      <w:r>
        <w:rPr>
          <w:rStyle w:val="FootnoteReference"/>
        </w:rPr>
        <w:footnoteRef/>
      </w:r>
      <w:r>
        <w:t xml:space="preserve"> Cross-references for "as nothing": Job 25:6; Ps 62:9.</w:t>
      </w:r>
    </w:p>
  </w:footnote>
  <w:footnote w:id="11671">
    <w:p>
      <w:pPr>
        <w:pStyle w:val="FootnoteText"/>
      </w:pPr>
      <w:r>
        <w:rPr>
          <w:rStyle w:val="FootnoteReference"/>
        </w:rPr>
        <w:footnoteRef/>
      </w:r>
      <w:r>
        <w:t xml:space="preserve"> Cross-references for "Lift": Deut 4:19; Job 31:26-28.</w:t>
      </w:r>
    </w:p>
  </w:footnote>
  <w:footnote w:id="11672">
    <w:p>
      <w:pPr>
        <w:pStyle w:val="FootnoteText"/>
      </w:pPr>
      <w:r>
        <w:rPr>
          <w:rStyle w:val="FootnoteReference"/>
        </w:rPr>
        <w:footnoteRef/>
      </w:r>
      <w:r>
        <w:t xml:space="preserve"> Cross-references for "the ends": 1Sam 2:10; Isa 45:22.</w:t>
      </w:r>
    </w:p>
  </w:footnote>
  <w:footnote w:id="11673">
    <w:p>
      <w:pPr>
        <w:pStyle w:val="FootnoteText"/>
      </w:pPr>
      <w:r>
        <w:rPr>
          <w:rStyle w:val="FootnoteReference"/>
        </w:rPr>
        <w:footnoteRef/>
      </w:r>
      <w:r>
        <w:t xml:space="preserve"> Cross-references for "Who raised": Gen 11:31; Gen 12:1-3.</w:t>
      </w:r>
    </w:p>
  </w:footnote>
  <w:footnote w:id="11674">
    <w:p>
      <w:pPr>
        <w:pStyle w:val="FootnoteText"/>
      </w:pPr>
      <w:r>
        <w:rPr>
          <w:rStyle w:val="FootnoteReference"/>
        </w:rPr>
        <w:footnoteRef/>
      </w:r>
      <w:r>
        <w:t xml:space="preserve"> Cross-references for "the ends": Exod 15:14; Josh 2:10.</w:t>
      </w:r>
    </w:p>
  </w:footnote>
  <w:footnote w:id="11675">
    <w:p>
      <w:pPr>
        <w:pStyle w:val="FootnoteText"/>
      </w:pPr>
      <w:r>
        <w:rPr>
          <w:rStyle w:val="FootnoteReference"/>
        </w:rPr>
        <w:footnoteRef/>
      </w:r>
      <w:r>
        <w:t xml:space="preserve"> Cross-references for "the seed": Matt 3:9; John 8:33-44.</w:t>
      </w:r>
    </w:p>
  </w:footnote>
  <w:footnote w:id="11676">
    <w:p>
      <w:pPr>
        <w:pStyle w:val="FootnoteText"/>
      </w:pPr>
      <w:r>
        <w:rPr>
          <w:rStyle w:val="FootnoteReference"/>
        </w:rPr>
        <w:footnoteRef/>
      </w:r>
      <w:r>
        <w:t xml:space="preserve"> Cross-references for "called": Deut 7:7; 1Cor 1:26-29.</w:t>
      </w:r>
    </w:p>
  </w:footnote>
  <w:footnote w:id="11677">
    <w:p>
      <w:pPr>
        <w:pStyle w:val="FootnoteText"/>
      </w:pPr>
      <w:r>
        <w:rPr>
          <w:rStyle w:val="FootnoteReference"/>
        </w:rPr>
        <w:footnoteRef/>
      </w:r>
      <w:r>
        <w:t xml:space="preserve"> Cross-references for "fear": Gen 15:1; Deut 20:1.</w:t>
      </w:r>
    </w:p>
  </w:footnote>
  <w:footnote w:id="11678">
    <w:p>
      <w:pPr>
        <w:pStyle w:val="FootnoteText"/>
      </w:pPr>
      <w:r>
        <w:rPr>
          <w:rStyle w:val="FootnoteReference"/>
        </w:rPr>
        <w:footnoteRef/>
      </w:r>
      <w:r>
        <w:t xml:space="preserve"> Cross-references for "fear": Isa 41:10.</w:t>
      </w:r>
    </w:p>
  </w:footnote>
  <w:footnote w:id="11679">
    <w:p>
      <w:pPr>
        <w:pStyle w:val="FootnoteText"/>
      </w:pPr>
      <w:r>
        <w:rPr>
          <w:rStyle w:val="FootnoteReference"/>
        </w:rPr>
        <w:footnoteRef/>
      </w:r>
      <w:r>
        <w:t xml:space="preserve"> Cross-references for "the poor": Ps 68:9-10; Ps 72:12-13.</w:t>
      </w:r>
    </w:p>
  </w:footnote>
  <w:footnote w:id="11680">
    <w:p>
      <w:pPr>
        <w:pStyle w:val="FootnoteText"/>
      </w:pPr>
      <w:r>
        <w:rPr>
          <w:rStyle w:val="FootnoteReference"/>
        </w:rPr>
        <w:footnoteRef/>
      </w:r>
      <w:r>
        <w:t xml:space="preserve"> Cross-references for "do good": Isa 45:7; Isa 46:7.</w:t>
      </w:r>
    </w:p>
  </w:footnote>
  <w:footnote w:id="11681">
    <w:p>
      <w:pPr>
        <w:pStyle w:val="FootnoteText"/>
      </w:pPr>
      <w:r>
        <w:rPr>
          <w:rStyle w:val="FootnoteReference"/>
        </w:rPr>
        <w:footnoteRef/>
      </w:r>
      <w:r>
        <w:t xml:space="preserve"> Cross-references for "an abomination": Deut 7:26; Deut 27:15.</w:t>
      </w:r>
    </w:p>
  </w:footnote>
  <w:footnote w:id="11682">
    <w:p>
      <w:pPr>
        <w:pStyle w:val="FootnoteText"/>
      </w:pPr>
      <w:r>
        <w:rPr>
          <w:rStyle w:val="FootnoteReference"/>
        </w:rPr>
        <w:footnoteRef/>
      </w:r>
      <w:r>
        <w:t xml:space="preserve"> Cross-references for "raised": Isa 21:2; Isa 44:28.</w:t>
      </w:r>
    </w:p>
  </w:footnote>
  <w:footnote w:id="11683">
    <w:p>
      <w:pPr>
        <w:pStyle w:val="FootnoteText"/>
      </w:pPr>
      <w:r>
        <w:rPr>
          <w:rStyle w:val="FootnoteReference"/>
        </w:rPr>
        <w:footnoteRef/>
      </w:r>
      <w:r>
        <w:t xml:space="preserve"> Cross-references for "I will give": Ezra 1:1-2; Isa 40:9.</w:t>
      </w:r>
    </w:p>
  </w:footnote>
  <w:footnote w:id="11684">
    <w:p>
      <w:pPr>
        <w:pStyle w:val="FootnoteText"/>
      </w:pPr>
      <w:r>
        <w:rPr>
          <w:rStyle w:val="FootnoteReference"/>
        </w:rPr>
        <w:footnoteRef/>
      </w:r>
      <w:r>
        <w:t xml:space="preserve"> Cross-references for "my servant": Isa 43:10; Isa 49:3-6.</w:t>
      </w:r>
    </w:p>
  </w:footnote>
  <w:footnote w:id="11685">
    <w:p>
      <w:pPr>
        <w:pStyle w:val="FootnoteText"/>
      </w:pPr>
      <w:r>
        <w:rPr>
          <w:rStyle w:val="FootnoteReference"/>
        </w:rPr>
        <w:footnoteRef/>
      </w:r>
      <w:r>
        <w:t xml:space="preserve"> Cross-references for "called": Ps 45:6-7; Isa 32:1.</w:t>
      </w:r>
    </w:p>
  </w:footnote>
  <w:footnote w:id="11686">
    <w:p>
      <w:pPr>
        <w:pStyle w:val="FootnoteText"/>
      </w:pPr>
      <w:r>
        <w:rPr>
          <w:rStyle w:val="FootnoteReference"/>
        </w:rPr>
        <w:footnoteRef/>
      </w:r>
      <w:r>
        <w:t xml:space="preserve"> Cross-references for "open": Ps 146:8; Isa 29:18.</w:t>
      </w:r>
    </w:p>
  </w:footnote>
  <w:footnote w:id="11687">
    <w:p>
      <w:pPr>
        <w:pStyle w:val="FootnoteText"/>
      </w:pPr>
      <w:r>
        <w:rPr>
          <w:rStyle w:val="FootnoteReference"/>
        </w:rPr>
        <w:footnoteRef/>
      </w:r>
      <w:r>
        <w:t xml:space="preserve"> Cross-references for "My glory": Exod 20:3-5; Exod 34:14.</w:t>
      </w:r>
    </w:p>
  </w:footnote>
  <w:footnote w:id="11688">
    <w:p>
      <w:pPr>
        <w:pStyle w:val="FootnoteText"/>
      </w:pPr>
      <w:r>
        <w:rPr>
          <w:rStyle w:val="FootnoteReference"/>
        </w:rPr>
        <w:footnoteRef/>
      </w:r>
      <w:r>
        <w:t xml:space="preserve"> Cross-references for "the former": Gen 15:12-16; Josh 21:45.</w:t>
      </w:r>
    </w:p>
  </w:footnote>
  <w:footnote w:id="11689">
    <w:p>
      <w:pPr>
        <w:pStyle w:val="FootnoteText"/>
      </w:pPr>
      <w:r>
        <w:rPr>
          <w:rStyle w:val="FootnoteReference"/>
        </w:rPr>
        <w:footnoteRef/>
      </w:r>
      <w:r>
        <w:t xml:space="preserve"> Cross-references for "Sing": Ps 33:3; Ps 40:3.</w:t>
      </w:r>
    </w:p>
  </w:footnote>
  <w:footnote w:id="11690">
    <w:p>
      <w:pPr>
        <w:pStyle w:val="FootnoteText"/>
      </w:pPr>
      <w:r>
        <w:rPr>
          <w:rStyle w:val="FootnoteReference"/>
        </w:rPr>
        <w:footnoteRef/>
      </w:r>
      <w:r>
        <w:t xml:space="preserve"> Cross-references for "Kedar": Gen 25:23; Ps 120:5.</w:t>
      </w:r>
    </w:p>
  </w:footnote>
  <w:footnote w:id="11691">
    <w:p>
      <w:pPr>
        <w:pStyle w:val="FootnoteText"/>
      </w:pPr>
      <w:r>
        <w:rPr>
          <w:rStyle w:val="FootnoteReference"/>
        </w:rPr>
        <w:footnoteRef/>
      </w:r>
      <w:r>
        <w:t xml:space="preserve"> Cross-references for "lead": Josh 3:4; Isa 41:3.</w:t>
      </w:r>
    </w:p>
  </w:footnote>
  <w:footnote w:id="11692">
    <w:p>
      <w:pPr>
        <w:pStyle w:val="FootnoteText"/>
      </w:pPr>
      <w:r>
        <w:rPr>
          <w:rStyle w:val="FootnoteReference"/>
        </w:rPr>
        <w:footnoteRef/>
      </w:r>
      <w:r>
        <w:t xml:space="preserve"> Cross-references for "who is blind": Isa 6:9; Isa 29:9-14.</w:t>
      </w:r>
    </w:p>
  </w:footnote>
  <w:footnote w:id="11693">
    <w:p>
      <w:pPr>
        <w:pStyle w:val="FootnoteText"/>
      </w:pPr>
      <w:r>
        <w:rPr>
          <w:rStyle w:val="FootnoteReference"/>
        </w:rPr>
        <w:footnoteRef/>
      </w:r>
      <w:r>
        <w:t xml:space="preserve"> Cross-references for "will give": Lev 26:40-42; Deut 4:29-31.</w:t>
      </w:r>
    </w:p>
  </w:footnote>
  <w:footnote w:id="11694">
    <w:p>
      <w:pPr>
        <w:pStyle w:val="FootnoteText"/>
      </w:pPr>
      <w:r>
        <w:rPr>
          <w:rStyle w:val="FootnoteReference"/>
        </w:rPr>
        <w:footnoteRef/>
      </w:r>
      <w:r>
        <w:t xml:space="preserve"> Cross-references for "fear": Exod 15:13; Isa 35:9-10.</w:t>
      </w:r>
    </w:p>
  </w:footnote>
  <w:footnote w:id="11695">
    <w:p>
      <w:pPr>
        <w:pStyle w:val="FootnoteText"/>
      </w:pPr>
      <w:r>
        <w:rPr>
          <w:rStyle w:val="FootnoteReference"/>
        </w:rPr>
        <w:footnoteRef/>
      </w:r>
      <w:r>
        <w:t xml:space="preserve"> Cross-references for "the Holy One": Isa 30:11; Isa 41:14.</w:t>
      </w:r>
    </w:p>
  </w:footnote>
  <w:footnote w:id="11696">
    <w:p>
      <w:pPr>
        <w:pStyle w:val="FootnoteText"/>
      </w:pPr>
      <w:r>
        <w:rPr>
          <w:rStyle w:val="FootnoteReference"/>
        </w:rPr>
        <w:footnoteRef/>
      </w:r>
      <w:r>
        <w:t xml:space="preserve"> Place name: Syene. Place-name meaning: Sin — bush. Standard English equivalent: Sin. Source form: Syene. Greek form: σοηνην.</w:t>
      </w:r>
    </w:p>
  </w:footnote>
  <w:footnote w:id="11697">
    <w:p>
      <w:pPr>
        <w:pStyle w:val="FootnoteText"/>
      </w:pPr>
      <w:r>
        <w:rPr>
          <w:rStyle w:val="FootnoteReference"/>
        </w:rPr>
        <w:footnoteRef/>
      </w:r>
      <w:r>
        <w:t xml:space="preserve"> Cross-references for "precious": Exod 19:5-6; Deut 7:6-8.</w:t>
      </w:r>
    </w:p>
  </w:footnote>
  <w:footnote w:id="11698">
    <w:p>
      <w:pPr>
        <w:pStyle w:val="FootnoteText"/>
      </w:pPr>
      <w:r>
        <w:rPr>
          <w:rStyle w:val="FootnoteReference"/>
        </w:rPr>
        <w:footnoteRef/>
      </w:r>
      <w:r>
        <w:t xml:space="preserve"> Cross-references for "Bring": Isa 18:7; Jer 3:14.</w:t>
      </w:r>
    </w:p>
  </w:footnote>
  <w:footnote w:id="11699">
    <w:p>
      <w:pPr>
        <w:pStyle w:val="FootnoteText"/>
      </w:pPr>
      <w:r>
        <w:rPr>
          <w:rStyle w:val="FootnoteReference"/>
        </w:rPr>
        <w:footnoteRef/>
      </w:r>
      <w:r>
        <w:t xml:space="preserve"> Cross-references for "called": Isa 62:2-5; Isa 63:19.</w:t>
      </w:r>
    </w:p>
  </w:footnote>
  <w:footnote w:id="11700">
    <w:p>
      <w:pPr>
        <w:pStyle w:val="FootnoteText"/>
      </w:pPr>
      <w:r>
        <w:rPr>
          <w:rStyle w:val="FootnoteReference"/>
        </w:rPr>
        <w:footnoteRef/>
      </w:r>
      <w:r>
        <w:t xml:space="preserve"> Cross-references for "Who among": Isa 41:21-26; Isa 44:7-9.</w:t>
      </w:r>
    </w:p>
  </w:footnote>
  <w:footnote w:id="11701">
    <w:p>
      <w:pPr>
        <w:pStyle w:val="FootnoteText"/>
      </w:pPr>
      <w:r>
        <w:rPr>
          <w:rStyle w:val="FootnoteReference"/>
        </w:rPr>
        <w:footnoteRef/>
      </w:r>
      <w:r>
        <w:t xml:space="preserve"> Cross-references for "my witnesses": Isa 37:20; Isa 43:10.</w:t>
      </w:r>
    </w:p>
  </w:footnote>
  <w:footnote w:id="11702">
    <w:p>
      <w:pPr>
        <w:pStyle w:val="FootnoteText"/>
      </w:pPr>
      <w:r>
        <w:rPr>
          <w:rStyle w:val="FootnoteReference"/>
        </w:rPr>
        <w:footnoteRef/>
      </w:r>
      <w:r>
        <w:t xml:space="preserve"> Cross-references for "the Lord": Ps 19:14; Isa 43:1.</w:t>
      </w:r>
    </w:p>
  </w:footnote>
  <w:footnote w:id="11703">
    <w:p>
      <w:pPr>
        <w:pStyle w:val="FootnoteText"/>
      </w:pPr>
      <w:r>
        <w:rPr>
          <w:rStyle w:val="FootnoteReference"/>
        </w:rPr>
        <w:footnoteRef/>
      </w:r>
      <w:r>
        <w:t xml:space="preserve"> Cross-references for "the Lord": Isa 30:11; Isa 40:25.</w:t>
      </w:r>
    </w:p>
  </w:footnote>
  <w:footnote w:id="11704">
    <w:p>
      <w:pPr>
        <w:pStyle w:val="FootnoteText"/>
      </w:pPr>
      <w:r>
        <w:rPr>
          <w:rStyle w:val="FootnoteReference"/>
        </w:rPr>
        <w:footnoteRef/>
      </w:r>
      <w:r>
        <w:t xml:space="preserve"> Cross-references for "rivers": Exod 17:6; Num 20:11.</w:t>
      </w:r>
    </w:p>
  </w:footnote>
  <w:footnote w:id="11705">
    <w:p>
      <w:pPr>
        <w:pStyle w:val="FootnoteText"/>
      </w:pPr>
      <w:r>
        <w:rPr>
          <w:rStyle w:val="FootnoteReference"/>
        </w:rPr>
        <w:footnoteRef/>
      </w:r>
      <w:r>
        <w:t xml:space="preserve"> Cross-references for "to give": Isa 41:17; Isa 43:19.</w:t>
      </w:r>
    </w:p>
  </w:footnote>
  <w:footnote w:id="11706">
    <w:p>
      <w:pPr>
        <w:pStyle w:val="FootnoteText"/>
      </w:pPr>
      <w:r>
        <w:rPr>
          <w:rStyle w:val="FootnoteReference"/>
        </w:rPr>
        <w:footnoteRef/>
      </w:r>
      <w:r>
        <w:t xml:space="preserve"> Cross-references for "will not": Ps 79:8; Jer 31:34.</w:t>
      </w:r>
    </w:p>
  </w:footnote>
  <w:footnote w:id="11707">
    <w:p>
      <w:pPr>
        <w:pStyle w:val="FootnoteText"/>
      </w:pPr>
      <w:r>
        <w:rPr>
          <w:rStyle w:val="FootnoteReference"/>
        </w:rPr>
        <w:footnoteRef/>
      </w:r>
      <w:r>
        <w:t xml:space="preserve"> Translation note: The Greek keeps womb-formation language visible. The current wording preserves that forming image directly.</w:t>
      </w:r>
    </w:p>
  </w:footnote>
  <w:footnote w:id="11708">
    <w:p>
      <w:pPr>
        <w:pStyle w:val="FootnoteText"/>
      </w:pPr>
      <w:r>
        <w:rPr>
          <w:rStyle w:val="FootnoteReference"/>
        </w:rPr>
        <w:footnoteRef/>
      </w:r>
      <w:r>
        <w:t xml:space="preserve"> Cross-references for "fear": Isa 41:10; Isa 41:14.</w:t>
      </w:r>
    </w:p>
  </w:footnote>
  <w:footnote w:id="11709">
    <w:p>
      <w:pPr>
        <w:pStyle w:val="FootnoteText"/>
      </w:pPr>
      <w:r>
        <w:rPr>
          <w:rStyle w:val="FootnoteReference"/>
        </w:rPr>
        <w:footnoteRef/>
      </w:r>
      <w:r>
        <w:t xml:space="preserve"> Cross-references for "spring": Ps 1:3; Ps 92:13-15.</w:t>
      </w:r>
    </w:p>
  </w:footnote>
  <w:footnote w:id="11710">
    <w:p>
      <w:pPr>
        <w:pStyle w:val="FootnoteText"/>
      </w:pPr>
      <w:r>
        <w:rPr>
          <w:rStyle w:val="FootnoteReference"/>
        </w:rPr>
        <w:footnoteRef/>
      </w:r>
      <w:r>
        <w:t xml:space="preserve"> Cross-references for "the name": Gal 6:16; 1Pet 2:9.</w:t>
      </w:r>
    </w:p>
  </w:footnote>
  <w:footnote w:id="11711">
    <w:p>
      <w:pPr>
        <w:pStyle w:val="FootnoteText"/>
      </w:pPr>
      <w:r>
        <w:rPr>
          <w:rStyle w:val="FootnoteReference"/>
        </w:rPr>
        <w:footnoteRef/>
      </w:r>
      <w:r>
        <w:t xml:space="preserve"> Cross-references for "Let them all": Judg 6:29-32; Judg 16:23-30.</w:t>
      </w:r>
    </w:p>
  </w:footnote>
  <w:footnote w:id="11712">
    <w:p>
      <w:pPr>
        <w:pStyle w:val="FootnoteText"/>
      </w:pPr>
      <w:r>
        <w:rPr>
          <w:rStyle w:val="FootnoteReference"/>
        </w:rPr>
        <w:footnoteRef/>
      </w:r>
      <w:r>
        <w:t xml:space="preserve"> Cross-references for "Deliver me": Isa 36:19-20; Isa 37:38.</w:t>
      </w:r>
    </w:p>
  </w:footnote>
  <w:footnote w:id="11713">
    <w:p>
      <w:pPr>
        <w:pStyle w:val="FootnoteText"/>
      </w:pPr>
      <w:r>
        <w:rPr>
          <w:rStyle w:val="FootnoteReference"/>
        </w:rPr>
        <w:footnoteRef/>
      </w:r>
      <w:r>
        <w:t xml:space="preserve"> Cross-references for "an abomination": Deut 27:15; 1Kgs 11:5.</w:t>
      </w:r>
    </w:p>
  </w:footnote>
  <w:footnote w:id="11714">
    <w:p>
      <w:pPr>
        <w:pStyle w:val="FootnoteText"/>
      </w:pPr>
      <w:r>
        <w:rPr>
          <w:rStyle w:val="FootnoteReference"/>
        </w:rPr>
        <w:footnoteRef/>
      </w:r>
      <w:r>
        <w:t xml:space="preserve"> Cross-references for "Remember": Deut 4:9; Deut 4:23.</w:t>
      </w:r>
    </w:p>
  </w:footnote>
  <w:footnote w:id="11715">
    <w:p>
      <w:pPr>
        <w:pStyle w:val="FootnoteText"/>
      </w:pPr>
      <w:r>
        <w:rPr>
          <w:rStyle w:val="FootnoteReference"/>
        </w:rPr>
        <w:footnoteRef/>
      </w:r>
      <w:r>
        <w:t xml:space="preserve"> Cross-references for "glorified": Isa 26:15; Isa 49:3.</w:t>
      </w:r>
    </w:p>
  </w:footnote>
  <w:footnote w:id="11716">
    <w:p>
      <w:pPr>
        <w:pStyle w:val="FootnoteText"/>
      </w:pPr>
      <w:r>
        <w:rPr>
          <w:rStyle w:val="FootnoteReference"/>
        </w:rPr>
        <w:footnoteRef/>
      </w:r>
      <w:r>
        <w:t xml:space="preserve"> Cross-references for "Cyrus": Isa 42:15; Isa 45:1.</w:t>
      </w:r>
    </w:p>
  </w:footnote>
  <w:footnote w:id="11717">
    <w:p>
      <w:pPr>
        <w:pStyle w:val="FootnoteText"/>
      </w:pPr>
      <w:r>
        <w:rPr>
          <w:rStyle w:val="FootnoteReference"/>
        </w:rPr>
        <w:footnoteRef/>
      </w:r>
      <w:r>
        <w:t xml:space="preserve"> Cross-references for "go before": Isa 13:4-17.</w:t>
      </w:r>
    </w:p>
  </w:footnote>
  <w:footnote w:id="11718">
    <w:p>
      <w:pPr>
        <w:pStyle w:val="FootnoteText"/>
      </w:pPr>
      <w:r>
        <w:rPr>
          <w:rStyle w:val="FootnoteReference"/>
        </w:rPr>
        <w:footnoteRef/>
      </w:r>
      <w:r>
        <w:t xml:space="preserve"> Cross-references for "I will give": Jer 27:5-7; Jer 50:37.</w:t>
      </w:r>
    </w:p>
  </w:footnote>
  <w:footnote w:id="11719">
    <w:p>
      <w:pPr>
        <w:pStyle w:val="FootnoteText"/>
      </w:pPr>
      <w:r>
        <w:rPr>
          <w:rStyle w:val="FootnoteReference"/>
        </w:rPr>
        <w:footnoteRef/>
      </w:r>
      <w:r>
        <w:t xml:space="preserve"> Cross-references for "Jacob": Exod 19:5-6; Isa 41:8-9.</w:t>
      </w:r>
    </w:p>
  </w:footnote>
  <w:footnote w:id="11720">
    <w:p>
      <w:pPr>
        <w:pStyle w:val="FootnoteText"/>
      </w:pPr>
      <w:r>
        <w:rPr>
          <w:rStyle w:val="FootnoteReference"/>
        </w:rPr>
        <w:footnoteRef/>
      </w:r>
      <w:r>
        <w:t xml:space="preserve"> Cross-references for "the Lord": Deut 4:35; Deut 4:39.</w:t>
      </w:r>
    </w:p>
  </w:footnote>
  <w:footnote w:id="11721">
    <w:p>
      <w:pPr>
        <w:pStyle w:val="FootnoteText"/>
      </w:pPr>
      <w:r>
        <w:rPr>
          <w:rStyle w:val="FootnoteReference"/>
        </w:rPr>
        <w:footnoteRef/>
      </w:r>
      <w:r>
        <w:t xml:space="preserve"> Cross-references for "Let the earth": Isa 4:2; Isa 11:1.</w:t>
      </w:r>
    </w:p>
  </w:footnote>
  <w:footnote w:id="11722">
    <w:p>
      <w:pPr>
        <w:pStyle w:val="FootnoteText"/>
      </w:pPr>
      <w:r>
        <w:rPr>
          <w:rStyle w:val="FootnoteReference"/>
        </w:rPr>
        <w:footnoteRef/>
      </w:r>
      <w:r>
        <w:t xml:space="preserve"> Cross-references for "the Holy One": Isa 43:3; Isa 43:7.</w:t>
      </w:r>
    </w:p>
  </w:footnote>
  <w:footnote w:id="11723">
    <w:p>
      <w:pPr>
        <w:pStyle w:val="FootnoteText"/>
      </w:pPr>
      <w:r>
        <w:rPr>
          <w:rStyle w:val="FootnoteReference"/>
        </w:rPr>
        <w:footnoteRef/>
      </w:r>
      <w:r>
        <w:t xml:space="preserve"> Cross-references for "made the earth": Gen 1:26-27; Ps 102:25.</w:t>
      </w:r>
    </w:p>
  </w:footnote>
  <w:footnote w:id="11724">
    <w:p>
      <w:pPr>
        <w:pStyle w:val="FootnoteText"/>
      </w:pPr>
      <w:r>
        <w:rPr>
          <w:rStyle w:val="FootnoteReference"/>
        </w:rPr>
        <w:footnoteRef/>
      </w:r>
      <w:r>
        <w:t xml:space="preserve"> Cross-references for "raised him": Isa 41:2; Isa 41:25.</w:t>
      </w:r>
    </w:p>
  </w:footnote>
  <w:footnote w:id="11725">
    <w:p>
      <w:pPr>
        <w:pStyle w:val="FootnoteText"/>
      </w:pPr>
      <w:r>
        <w:rPr>
          <w:rStyle w:val="FootnoteReference"/>
        </w:rPr>
        <w:footnoteRef/>
      </w:r>
      <w:r>
        <w:t xml:space="preserve"> People-name: Sabeans. People-name meaning: Sabeans — captivity; conversion; old age. Source form: Sabeans.</w:t>
      </w:r>
    </w:p>
  </w:footnote>
  <w:footnote w:id="11726">
    <w:p>
      <w:pPr>
        <w:pStyle w:val="FootnoteText"/>
      </w:pPr>
      <w:r>
        <w:rPr>
          <w:rStyle w:val="FootnoteReference"/>
        </w:rPr>
        <w:footnoteRef/>
      </w:r>
      <w:r>
        <w:t xml:space="preserve"> Cross-references for "the Sabeans": Job 1:15; Ezek 23:42.</w:t>
      </w:r>
    </w:p>
  </w:footnote>
  <w:footnote w:id="11727">
    <w:p>
      <w:pPr>
        <w:pStyle w:val="FootnoteText"/>
      </w:pPr>
      <w:r>
        <w:rPr>
          <w:rStyle w:val="FootnoteReference"/>
        </w:rPr>
        <w:footnoteRef/>
      </w:r>
      <w:r>
        <w:t xml:space="preserve"> Cross-references for "Israel": Isa 26:4; Isa 45:25.</w:t>
      </w:r>
    </w:p>
  </w:footnote>
  <w:footnote w:id="11728">
    <w:p>
      <w:pPr>
        <w:pStyle w:val="FootnoteText"/>
      </w:pPr>
      <w:r>
        <w:rPr>
          <w:rStyle w:val="FootnoteReference"/>
        </w:rPr>
        <w:footnoteRef/>
      </w:r>
      <w:r>
        <w:t xml:space="preserve"> Cross-references for "spoken": Deut 29:29; Deut 30:11-14.</w:t>
      </w:r>
    </w:p>
  </w:footnote>
  <w:footnote w:id="11729">
    <w:p>
      <w:pPr>
        <w:pStyle w:val="FootnoteText"/>
      </w:pPr>
      <w:r>
        <w:rPr>
          <w:rStyle w:val="FootnoteReference"/>
        </w:rPr>
        <w:footnoteRef/>
      </w:r>
      <w:r>
        <w:t xml:space="preserve"> Cross-references for "yourselves": Isa 41:5-6; Isa 41:21.</w:t>
      </w:r>
    </w:p>
  </w:footnote>
  <w:footnote w:id="11730">
    <w:p>
      <w:pPr>
        <w:pStyle w:val="FootnoteText"/>
      </w:pPr>
      <w:r>
        <w:rPr>
          <w:rStyle w:val="FootnoteReference"/>
        </w:rPr>
        <w:footnoteRef/>
      </w:r>
      <w:r>
        <w:t xml:space="preserve"> Cross-references for "and there is": Isa 44:8; Isa 45:5.</w:t>
      </w:r>
    </w:p>
  </w:footnote>
  <w:footnote w:id="11731">
    <w:p>
      <w:pPr>
        <w:pStyle w:val="FootnoteText"/>
      </w:pPr>
      <w:r>
        <w:rPr>
          <w:rStyle w:val="FootnoteReference"/>
        </w:rPr>
        <w:footnoteRef/>
      </w:r>
      <w:r>
        <w:t xml:space="preserve"> Cross-references for "every tongue": Gen 31:53; Deut 6:13.</w:t>
      </w:r>
    </w:p>
  </w:footnote>
  <w:footnote w:id="11732">
    <w:p>
      <w:pPr>
        <w:pStyle w:val="FootnoteText"/>
      </w:pPr>
      <w:r>
        <w:rPr>
          <w:rStyle w:val="FootnoteReference"/>
        </w:rPr>
        <w:footnoteRef/>
      </w:r>
      <w:r>
        <w:t xml:space="preserve"> Cross-references for "the Lord": Isa 45:17; Isa 45:24.</w:t>
      </w:r>
    </w:p>
  </w:footnote>
  <w:footnote w:id="11733">
    <w:p>
      <w:pPr>
        <w:pStyle w:val="FootnoteText"/>
      </w:pPr>
      <w:r>
        <w:rPr>
          <w:rStyle w:val="FootnoteReference"/>
        </w:rPr>
        <w:footnoteRef/>
      </w:r>
      <w:r>
        <w:t xml:space="preserve"> Divine or supernatural name: Bel. Divine/supernatural-name meaning: Bel — lord; master. Source form: Bel.</w:t>
      </w:r>
    </w:p>
  </w:footnote>
  <w:footnote w:id="11734">
    <w:p>
      <w:pPr>
        <w:pStyle w:val="FootnoteText"/>
      </w:pPr>
      <w:r>
        <w:rPr>
          <w:rStyle w:val="FootnoteReference"/>
        </w:rPr>
        <w:footnoteRef/>
      </w:r>
      <w:r>
        <w:t xml:space="preserve"> Cross-references for "a burden": Isa 2:20; Jer 10:5.</w:t>
      </w:r>
    </w:p>
  </w:footnote>
  <w:footnote w:id="11735">
    <w:p>
      <w:pPr>
        <w:pStyle w:val="FootnoteText"/>
      </w:pPr>
      <w:r>
        <w:rPr>
          <w:rStyle w:val="FootnoteReference"/>
        </w:rPr>
        <w:footnoteRef/>
      </w:r>
      <w:r>
        <w:t xml:space="preserve"> Cross-references for "the remnant": Isa 1:9; Isa 10:22.</w:t>
      </w:r>
    </w:p>
  </w:footnote>
  <w:footnote w:id="11736">
    <w:p>
      <w:pPr>
        <w:pStyle w:val="FootnoteText"/>
      </w:pPr>
      <w:r>
        <w:rPr>
          <w:rStyle w:val="FootnoteReference"/>
        </w:rPr>
        <w:footnoteRef/>
      </w:r>
      <w:r>
        <w:t xml:space="preserve"> Cross-references for "Remember": Deut 32:29; Ps 115:8.</w:t>
      </w:r>
    </w:p>
  </w:footnote>
  <w:footnote w:id="11737">
    <w:p>
      <w:pPr>
        <w:pStyle w:val="FootnoteText"/>
      </w:pPr>
      <w:r>
        <w:rPr>
          <w:rStyle w:val="FootnoteReference"/>
        </w:rPr>
        <w:footnoteRef/>
      </w:r>
      <w:r>
        <w:t xml:space="preserve"> Cross-references for "the former": Deut 32:7; Neh 9:7-37.</w:t>
      </w:r>
    </w:p>
  </w:footnote>
  <w:footnote w:id="11738">
    <w:p>
      <w:pPr>
        <w:pStyle w:val="FootnoteText"/>
      </w:pPr>
      <w:r>
        <w:rPr>
          <w:rStyle w:val="FootnoteReference"/>
        </w:rPr>
        <w:footnoteRef/>
      </w:r>
      <w:r>
        <w:t xml:space="preserve"> Cross-references for "my counsel": Ps 33:11; Ps 135:6.</w:t>
      </w:r>
    </w:p>
  </w:footnote>
  <w:footnote w:id="11739">
    <w:p>
      <w:pPr>
        <w:pStyle w:val="FootnoteText"/>
      </w:pPr>
      <w:r>
        <w:rPr>
          <w:rStyle w:val="FootnoteReference"/>
        </w:rPr>
        <w:footnoteRef/>
      </w:r>
      <w:r>
        <w:t xml:space="preserve"> Cross-references for "Calling": Isa 13:2-4; Isa 21:7-9.</w:t>
      </w:r>
    </w:p>
  </w:footnote>
  <w:footnote w:id="11740">
    <w:p>
      <w:pPr>
        <w:pStyle w:val="FootnoteText"/>
      </w:pPr>
      <w:r>
        <w:rPr>
          <w:rStyle w:val="FootnoteReference"/>
        </w:rPr>
        <w:footnoteRef/>
      </w:r>
      <w:r>
        <w:t xml:space="preserve"> Cross-references for "salvation": Isa 12:2; Isa 28:16.</w:t>
      </w:r>
    </w:p>
  </w:footnote>
  <w:footnote w:id="11741">
    <w:p>
      <w:pPr>
        <w:pStyle w:val="FootnoteText"/>
      </w:pPr>
      <w:r>
        <w:rPr>
          <w:rStyle w:val="FootnoteReference"/>
        </w:rPr>
        <w:footnoteRef/>
      </w:r>
      <w:r>
        <w:t xml:space="preserve"> Cross-references for "down": Job 2:8; Job 2:13.</w:t>
      </w:r>
    </w:p>
  </w:footnote>
  <w:footnote w:id="11742">
    <w:p>
      <w:pPr>
        <w:pStyle w:val="FootnoteText"/>
      </w:pPr>
      <w:r>
        <w:rPr>
          <w:rStyle w:val="FootnoteReference"/>
        </w:rPr>
        <w:footnoteRef/>
      </w:r>
      <w:r>
        <w:t xml:space="preserve"> Cross-references for "I will take": Deut 32:35; Deut 32:41-43.</w:t>
      </w:r>
    </w:p>
  </w:footnote>
  <w:footnote w:id="11743">
    <w:p>
      <w:pPr>
        <w:pStyle w:val="FootnoteText"/>
      </w:pPr>
      <w:r>
        <w:rPr>
          <w:rStyle w:val="FootnoteReference"/>
        </w:rPr>
        <w:footnoteRef/>
      </w:r>
      <w:r>
        <w:t xml:space="preserve"> Cross-references for "upon": Deut 28:50.</w:t>
      </w:r>
    </w:p>
  </w:footnote>
  <w:footnote w:id="11744">
    <w:p>
      <w:pPr>
        <w:pStyle w:val="FootnoteText"/>
      </w:pPr>
      <w:r>
        <w:rPr>
          <w:rStyle w:val="FootnoteReference"/>
        </w:rPr>
        <w:footnoteRef/>
      </w:r>
      <w:r>
        <w:t xml:space="preserve"> Cross-references for "these two": Ruth 1:5; Ruth 1:20.</w:t>
      </w:r>
    </w:p>
  </w:footnote>
  <w:footnote w:id="11745">
    <w:p>
      <w:pPr>
        <w:pStyle w:val="FootnoteText"/>
      </w:pPr>
      <w:r>
        <w:rPr>
          <w:rStyle w:val="FootnoteReference"/>
        </w:rPr>
        <w:footnoteRef/>
      </w:r>
      <w:r>
        <w:t xml:space="preserve"> Cross-references for "the Lord": Isa 47:4; Isa 51:13.</w:t>
      </w:r>
    </w:p>
  </w:footnote>
  <w:footnote w:id="11746">
    <w:p>
      <w:pPr>
        <w:pStyle w:val="FootnoteText"/>
      </w:pPr>
      <w:r>
        <w:rPr>
          <w:rStyle w:val="FootnoteReference"/>
        </w:rPr>
        <w:footnoteRef/>
      </w:r>
      <w:r>
        <w:t xml:space="preserve"> Cross-references for "declared": Isa 41:22; Isa 42:9.</w:t>
      </w:r>
    </w:p>
  </w:footnote>
  <w:footnote w:id="11747">
    <w:p>
      <w:pPr>
        <w:pStyle w:val="FootnoteText"/>
      </w:pPr>
      <w:r>
        <w:rPr>
          <w:rStyle w:val="FootnoteReference"/>
        </w:rPr>
        <w:footnoteRef/>
      </w:r>
      <w:r>
        <w:t xml:space="preserve"> Cross-references for "I knew": Isa 21:2; Isa 48:4.</w:t>
      </w:r>
    </w:p>
  </w:footnote>
  <w:footnote w:id="11748">
    <w:p>
      <w:pPr>
        <w:pStyle w:val="FootnoteText"/>
      </w:pPr>
      <w:r>
        <w:rPr>
          <w:rStyle w:val="FootnoteReference"/>
        </w:rPr>
        <w:footnoteRef/>
      </w:r>
      <w:r>
        <w:t xml:space="preserve"> Cross-references for "I will not": Isa 42:8; Isa 48:5.</w:t>
      </w:r>
    </w:p>
  </w:footnote>
  <w:footnote w:id="11749">
    <w:p>
      <w:pPr>
        <w:pStyle w:val="FootnoteText"/>
      </w:pPr>
      <w:r>
        <w:rPr>
          <w:rStyle w:val="FootnoteReference"/>
        </w:rPr>
        <w:footnoteRef/>
      </w:r>
      <w:r>
        <w:t xml:space="preserve"> Cross-references for "hand": Isa 42:5; Isa 45:18.</w:t>
      </w:r>
    </w:p>
  </w:footnote>
  <w:footnote w:id="11750">
    <w:p>
      <w:pPr>
        <w:pStyle w:val="FootnoteText"/>
      </w:pPr>
      <w:r>
        <w:rPr>
          <w:rStyle w:val="FootnoteReference"/>
        </w:rPr>
        <w:footnoteRef/>
      </w:r>
      <w:r>
        <w:t xml:space="preserve"> Cross-references for "the Lord": Isa 43:14; Isa 44:6-24.</w:t>
      </w:r>
    </w:p>
  </w:footnote>
  <w:footnote w:id="11751">
    <w:p>
      <w:pPr>
        <w:pStyle w:val="FootnoteText"/>
      </w:pPr>
      <w:r>
        <w:rPr>
          <w:rStyle w:val="FootnoteReference"/>
        </w:rPr>
        <w:footnoteRef/>
      </w:r>
      <w:r>
        <w:t xml:space="preserve"> Cross-references for "seed": Gen 13:16; Gen 22:17.</w:t>
      </w:r>
    </w:p>
  </w:footnote>
  <w:footnote w:id="11752">
    <w:p>
      <w:pPr>
        <w:pStyle w:val="FootnoteText"/>
      </w:pPr>
      <w:r>
        <w:rPr>
          <w:rStyle w:val="FootnoteReference"/>
        </w:rPr>
        <w:footnoteRef/>
      </w:r>
      <w:r>
        <w:t xml:space="preserve"> Cross-references for "the Lord": Ps 71:5-6; Isa 49:5.</w:t>
      </w:r>
    </w:p>
  </w:footnote>
  <w:footnote w:id="11753">
    <w:p>
      <w:pPr>
        <w:pStyle w:val="FootnoteText"/>
      </w:pPr>
      <w:r>
        <w:rPr>
          <w:rStyle w:val="FootnoteReference"/>
        </w:rPr>
        <w:footnoteRef/>
      </w:r>
      <w:r>
        <w:t xml:space="preserve"> Cross-references for "made me": Ps 45:5; Isa 50:4.</w:t>
      </w:r>
    </w:p>
  </w:footnote>
  <w:footnote w:id="11754">
    <w:p>
      <w:pPr>
        <w:pStyle w:val="FootnoteText"/>
      </w:pPr>
      <w:r>
        <w:rPr>
          <w:rStyle w:val="FootnoteReference"/>
        </w:rPr>
        <w:footnoteRef/>
      </w:r>
      <w:r>
        <w:t xml:space="preserve"> Cross-references for "Israel": Matt 21:37-41; Matt 23:37.</w:t>
      </w:r>
    </w:p>
  </w:footnote>
  <w:footnote w:id="11755">
    <w:p>
      <w:pPr>
        <w:pStyle w:val="FootnoteText"/>
      </w:pPr>
      <w:r>
        <w:rPr>
          <w:rStyle w:val="FootnoteReference"/>
        </w:rPr>
        <w:footnoteRef/>
      </w:r>
      <w:r>
        <w:t xml:space="preserve"> Translation note: The Greek address is unusually stark here, speaking of the one despising his own soul or life. The current wording keeps that force visible rather than smoothing it into a generic term of rejection.</w:t>
      </w:r>
    </w:p>
  </w:footnote>
  <w:footnote w:id="11756">
    <w:p>
      <w:pPr>
        <w:pStyle w:val="FootnoteText"/>
      </w:pPr>
      <w:r>
        <w:rPr>
          <w:rStyle w:val="FootnoteReference"/>
        </w:rPr>
        <w:footnoteRef/>
      </w:r>
      <w:r>
        <w:t xml:space="preserve"> Cross-references for "Kings": Ps 2:10-12; Ps 68:31.</w:t>
      </w:r>
    </w:p>
  </w:footnote>
  <w:footnote w:id="11757">
    <w:p>
      <w:pPr>
        <w:pStyle w:val="FootnoteText"/>
      </w:pPr>
      <w:r>
        <w:rPr>
          <w:rStyle w:val="FootnoteReference"/>
        </w:rPr>
        <w:footnoteRef/>
      </w:r>
      <w:r>
        <w:t xml:space="preserve"> Cross-references for "In an": Ps 69:13; John 11:41-42.</w:t>
      </w:r>
    </w:p>
  </w:footnote>
  <w:footnote w:id="11758">
    <w:p>
      <w:pPr>
        <w:pStyle w:val="FootnoteText"/>
      </w:pPr>
      <w:r>
        <w:rPr>
          <w:rStyle w:val="FootnoteReference"/>
        </w:rPr>
        <w:footnoteRef/>
      </w:r>
      <w:r>
        <w:t xml:space="preserve"> Cross-references for "The Lord": Ps 22:1; Ps 31:22.</w:t>
      </w:r>
    </w:p>
  </w:footnote>
  <w:footnote w:id="11759">
    <w:p>
      <w:pPr>
        <w:pStyle w:val="FootnoteText"/>
      </w:pPr>
      <w:r>
        <w:rPr>
          <w:rStyle w:val="FootnoteReference"/>
        </w:rPr>
        <w:footnoteRef/>
      </w:r>
      <w:r>
        <w:t xml:space="preserve"> Cross-references for "a woman": 1Kgs 3:26-27; Ps 103:13.</w:t>
      </w:r>
    </w:p>
  </w:footnote>
  <w:footnote w:id="11760">
    <w:p>
      <w:pPr>
        <w:pStyle w:val="FootnoteText"/>
      </w:pPr>
      <w:r>
        <w:rPr>
          <w:rStyle w:val="FootnoteReference"/>
        </w:rPr>
        <w:footnoteRef/>
      </w:r>
      <w:r>
        <w:t xml:space="preserve"> Cross-references for "As I live": Gen 22:16; Isa 54:9.</w:t>
      </w:r>
    </w:p>
  </w:footnote>
  <w:footnote w:id="11761">
    <w:p>
      <w:pPr>
        <w:pStyle w:val="FootnoteText"/>
      </w:pPr>
      <w:r>
        <w:rPr>
          <w:rStyle w:val="FootnoteReference"/>
        </w:rPr>
        <w:footnoteRef/>
      </w:r>
      <w:r>
        <w:t xml:space="preserve"> Cross-references for "The place": Josh 17:14-16; 2Kgs 6:1.</w:t>
      </w:r>
    </w:p>
  </w:footnote>
  <w:footnote w:id="11762">
    <w:p>
      <w:pPr>
        <w:pStyle w:val="FootnoteText"/>
      </w:pPr>
      <w:r>
        <w:rPr>
          <w:rStyle w:val="FootnoteReference"/>
        </w:rPr>
        <w:footnoteRef/>
      </w:r>
      <w:r>
        <w:t xml:space="preserve"> Cross-references for "kings": Ezra 1:2-4; Ezra 6:7-12.</w:t>
      </w:r>
    </w:p>
  </w:footnote>
  <w:footnote w:id="11763">
    <w:p>
      <w:pPr>
        <w:pStyle w:val="FootnoteText"/>
      </w:pPr>
      <w:r>
        <w:rPr>
          <w:rStyle w:val="FootnoteReference"/>
        </w:rPr>
        <w:footnoteRef/>
      </w:r>
      <w:r>
        <w:t xml:space="preserve"> Cross-references for "when I came": Prov 1:24; Isa 59:16.</w:t>
      </w:r>
    </w:p>
  </w:footnote>
  <w:footnote w:id="11764">
    <w:p>
      <w:pPr>
        <w:pStyle w:val="FootnoteText"/>
      </w:pPr>
      <w:r>
        <w:rPr>
          <w:rStyle w:val="FootnoteReference"/>
        </w:rPr>
        <w:footnoteRef/>
      </w:r>
      <w:r>
        <w:t xml:space="preserve"> Cross-references for "a word": Prov 15:23; Prov 25:11.</w:t>
      </w:r>
    </w:p>
  </w:footnote>
  <w:footnote w:id="11765">
    <w:p>
      <w:pPr>
        <w:pStyle w:val="FootnoteText"/>
      </w:pPr>
      <w:r>
        <w:rPr>
          <w:rStyle w:val="FootnoteReference"/>
        </w:rPr>
        <w:footnoteRef/>
      </w:r>
      <w:r>
        <w:t xml:space="preserve"> Cross-references for "my cheeks": 2Sam 10:4.</w:t>
      </w:r>
    </w:p>
  </w:footnote>
  <w:footnote w:id="11766">
    <w:p>
      <w:pPr>
        <w:pStyle w:val="FootnoteText"/>
      </w:pPr>
      <w:r>
        <w:rPr>
          <w:rStyle w:val="FootnoteReference"/>
        </w:rPr>
        <w:footnoteRef/>
      </w:r>
      <w:r>
        <w:t xml:space="preserve"> Cross-references for "the Lord": Ps 89:21-27; Ps 110:1.</w:t>
      </w:r>
    </w:p>
  </w:footnote>
  <w:footnote w:id="11767">
    <w:p>
      <w:pPr>
        <w:pStyle w:val="FootnoteText"/>
      </w:pPr>
      <w:r>
        <w:rPr>
          <w:rStyle w:val="FootnoteReference"/>
        </w:rPr>
        <w:footnoteRef/>
      </w:r>
      <w:r>
        <w:t xml:space="preserve"> Cross-references for "Walk": Exod 11:9-10; Ezek 20:39.</w:t>
      </w:r>
    </w:p>
  </w:footnote>
  <w:footnote w:id="11768">
    <w:p>
      <w:pPr>
        <w:pStyle w:val="FootnoteText"/>
      </w:pPr>
      <w:r>
        <w:rPr>
          <w:rStyle w:val="FootnoteReference"/>
        </w:rPr>
        <w:footnoteRef/>
      </w:r>
      <w:r>
        <w:t xml:space="preserve"> Cross-references for "Look": Gen 17:15-17; Eph 2:11-12.</w:t>
      </w:r>
    </w:p>
  </w:footnote>
  <w:footnote w:id="11769">
    <w:p>
      <w:pPr>
        <w:pStyle w:val="FootnoteText"/>
      </w:pPr>
      <w:r>
        <w:rPr>
          <w:rStyle w:val="FootnoteReference"/>
        </w:rPr>
        <w:footnoteRef/>
      </w:r>
      <w:r>
        <w:t xml:space="preserve"> Cross-references for "the Lord": Ps 85:8; Isa 12:1.</w:t>
      </w:r>
    </w:p>
  </w:footnote>
  <w:footnote w:id="11770">
    <w:p>
      <w:pPr>
        <w:pStyle w:val="FootnoteText"/>
      </w:pPr>
      <w:r>
        <w:rPr>
          <w:rStyle w:val="FootnoteReference"/>
        </w:rPr>
        <w:footnoteRef/>
      </w:r>
      <w:r>
        <w:t xml:space="preserve"> Cross-references for "righteousness": Deut 30:14; Ps 85:9.</w:t>
      </w:r>
    </w:p>
  </w:footnote>
  <w:footnote w:id="11771">
    <w:p>
      <w:pPr>
        <w:pStyle w:val="FootnoteText"/>
      </w:pPr>
      <w:r>
        <w:rPr>
          <w:rStyle w:val="FootnoteReference"/>
        </w:rPr>
        <w:footnoteRef/>
      </w:r>
      <w:r>
        <w:t xml:space="preserve"> Cross-references for "my salvation": Ps 103:17; Isa 45:17.</w:t>
      </w:r>
    </w:p>
  </w:footnote>
  <w:footnote w:id="11772">
    <w:p>
      <w:pPr>
        <w:pStyle w:val="FootnoteText"/>
      </w:pPr>
      <w:r>
        <w:rPr>
          <w:rStyle w:val="FootnoteReference"/>
        </w:rPr>
        <w:footnoteRef/>
      </w:r>
      <w:r>
        <w:t xml:space="preserve"> Cross-references for "in whose": Ps 37:31; Ps 40:8.</w:t>
      </w:r>
    </w:p>
  </w:footnote>
  <w:footnote w:id="11773">
    <w:p>
      <w:pPr>
        <w:pStyle w:val="FootnoteText"/>
      </w:pPr>
      <w:r>
        <w:rPr>
          <w:rStyle w:val="FootnoteReference"/>
        </w:rPr>
        <w:footnoteRef/>
      </w:r>
      <w:r>
        <w:t xml:space="preserve"> Cross-references for "my righteousness": Isa 45:17; Isa 46:13.</w:t>
      </w:r>
    </w:p>
  </w:footnote>
  <w:footnote w:id="11774">
    <w:p>
      <w:pPr>
        <w:pStyle w:val="FootnoteText"/>
      </w:pPr>
      <w:r>
        <w:rPr>
          <w:rStyle w:val="FootnoteReference"/>
        </w:rPr>
        <w:footnoteRef/>
      </w:r>
      <w:r>
        <w:t xml:space="preserve"> Cross-references for "Awake": Ps 7:6; Ps 44:23.</w:t>
      </w:r>
    </w:p>
  </w:footnote>
  <w:footnote w:id="11775">
    <w:p>
      <w:pPr>
        <w:pStyle w:val="FootnoteText"/>
      </w:pPr>
      <w:r>
        <w:rPr>
          <w:rStyle w:val="FootnoteReference"/>
        </w:rPr>
        <w:footnoteRef/>
      </w:r>
      <w:r>
        <w:t xml:space="preserve"> Cross-references for "everlasting": Isa 60:19; Isa 61:7.</w:t>
      </w:r>
    </w:p>
  </w:footnote>
  <w:footnote w:id="11776">
    <w:p>
      <w:pPr>
        <w:pStyle w:val="FootnoteText"/>
      </w:pPr>
      <w:r>
        <w:rPr>
          <w:rStyle w:val="FootnoteReference"/>
        </w:rPr>
        <w:footnoteRef/>
      </w:r>
      <w:r>
        <w:t xml:space="preserve"> Cross-references for "feared": Isa 8:12-13; Isa 57:11.</w:t>
      </w:r>
    </w:p>
  </w:footnote>
  <w:footnote w:id="11777">
    <w:p>
      <w:pPr>
        <w:pStyle w:val="FootnoteText"/>
      </w:pPr>
      <w:r>
        <w:rPr>
          <w:rStyle w:val="FootnoteReference"/>
        </w:rPr>
        <w:footnoteRef/>
      </w:r>
      <w:r>
        <w:t xml:space="preserve"> Cross-references for "The Lord": Isa 47:4; Isa 48:2.</w:t>
      </w:r>
    </w:p>
  </w:footnote>
  <w:footnote w:id="11778">
    <w:p>
      <w:pPr>
        <w:pStyle w:val="FootnoteText"/>
      </w:pPr>
      <w:r>
        <w:rPr>
          <w:rStyle w:val="FootnoteReference"/>
        </w:rPr>
        <w:footnoteRef/>
      </w:r>
      <w:r>
        <w:t xml:space="preserve"> Cross-references for "Awake": Judg 5:12; Isa 51:9.</w:t>
      </w:r>
    </w:p>
  </w:footnote>
  <w:footnote w:id="11779">
    <w:p>
      <w:pPr>
        <w:pStyle w:val="FootnoteText"/>
      </w:pPr>
      <w:r>
        <w:rPr>
          <w:rStyle w:val="FootnoteReference"/>
        </w:rPr>
        <w:footnoteRef/>
      </w:r>
      <w:r>
        <w:t xml:space="preserve"> Cross-references for "two things": Isa 47:9; Ezek 14:21.</w:t>
      </w:r>
    </w:p>
  </w:footnote>
  <w:footnote w:id="11780">
    <w:p>
      <w:pPr>
        <w:pStyle w:val="FootnoteText"/>
      </w:pPr>
      <w:r>
        <w:rPr>
          <w:rStyle w:val="FootnoteReference"/>
        </w:rPr>
        <w:footnoteRef/>
      </w:r>
      <w:r>
        <w:t xml:space="preserve"> Cross-references for "sons": Isa 40:30.</w:t>
      </w:r>
    </w:p>
  </w:footnote>
  <w:footnote w:id="11781">
    <w:p>
      <w:pPr>
        <w:pStyle w:val="FootnoteText"/>
      </w:pPr>
      <w:r>
        <w:rPr>
          <w:rStyle w:val="FootnoteReference"/>
        </w:rPr>
        <w:footnoteRef/>
      </w:r>
      <w:r>
        <w:t xml:space="preserve"> Cross-references for "Awake": Isa 51:9; Isa 51:17.</w:t>
      </w:r>
    </w:p>
  </w:footnote>
  <w:footnote w:id="11782">
    <w:p>
      <w:pPr>
        <w:pStyle w:val="FootnoteText"/>
      </w:pPr>
      <w:r>
        <w:rPr>
          <w:rStyle w:val="FootnoteReference"/>
        </w:rPr>
        <w:footnoteRef/>
      </w:r>
      <w:r>
        <w:t xml:space="preserve"> Cross-references for "Shake": Isa 3:26; Isa 51:23.</w:t>
      </w:r>
    </w:p>
  </w:footnote>
  <w:footnote w:id="11783">
    <w:p>
      <w:pPr>
        <w:pStyle w:val="FootnoteText"/>
      </w:pPr>
      <w:r>
        <w:rPr>
          <w:rStyle w:val="FootnoteReference"/>
        </w:rPr>
        <w:footnoteRef/>
      </w:r>
      <w:r>
        <w:t xml:space="preserve"> Cross-references for "My people": Gen 46:6; Acts 7:14-15.</w:t>
      </w:r>
    </w:p>
  </w:footnote>
  <w:footnote w:id="11784">
    <w:p>
      <w:pPr>
        <w:pStyle w:val="FootnoteText"/>
      </w:pPr>
      <w:r>
        <w:rPr>
          <w:rStyle w:val="FootnoteReference"/>
        </w:rPr>
        <w:footnoteRef/>
      </w:r>
      <w:r>
        <w:t xml:space="preserve"> Cross-references for "people": Isa 52:3.</w:t>
      </w:r>
    </w:p>
  </w:footnote>
  <w:footnote w:id="11785">
    <w:p>
      <w:pPr>
        <w:pStyle w:val="FootnoteText"/>
      </w:pPr>
      <w:r>
        <w:rPr>
          <w:rStyle w:val="FootnoteReference"/>
        </w:rPr>
        <w:footnoteRef/>
      </w:r>
      <w:r>
        <w:t xml:space="preserve"> Cross-references for "my people": Exod 33:19; Exod 34:5-7.</w:t>
      </w:r>
    </w:p>
  </w:footnote>
  <w:footnote w:id="11786">
    <w:p>
      <w:pPr>
        <w:pStyle w:val="FootnoteText"/>
      </w:pPr>
      <w:r>
        <w:rPr>
          <w:rStyle w:val="FootnoteReference"/>
        </w:rPr>
        <w:footnoteRef/>
      </w:r>
      <w:r>
        <w:t xml:space="preserve"> Cross-references for "How beautiful": Isa 40:9; Isa 61:1-3.</w:t>
      </w:r>
    </w:p>
  </w:footnote>
  <w:footnote w:id="11787">
    <w:p>
      <w:pPr>
        <w:pStyle w:val="FootnoteText"/>
      </w:pPr>
      <w:r>
        <w:rPr>
          <w:rStyle w:val="FootnoteReference"/>
        </w:rPr>
        <w:footnoteRef/>
      </w:r>
      <w:r>
        <w:t xml:space="preserve"> Cross-references for "break": Ps 96:11-12; Isa 14:7.</w:t>
      </w:r>
    </w:p>
  </w:footnote>
  <w:footnote w:id="11788">
    <w:p>
      <w:pPr>
        <w:pStyle w:val="FootnoteText"/>
      </w:pPr>
      <w:r>
        <w:rPr>
          <w:rStyle w:val="FootnoteReference"/>
        </w:rPr>
        <w:footnoteRef/>
      </w:r>
      <w:r>
        <w:t xml:space="preserve"> Cross-references for "touch": Lev 5:2-3; Lev 11:26-27.</w:t>
      </w:r>
    </w:p>
  </w:footnote>
  <w:footnote w:id="11789">
    <w:p>
      <w:pPr>
        <w:pStyle w:val="FootnoteText"/>
      </w:pPr>
      <w:r>
        <w:rPr>
          <w:rStyle w:val="FootnoteReference"/>
        </w:rPr>
        <w:footnoteRef/>
      </w:r>
      <w:r>
        <w:t xml:space="preserve"> Cross-references for "my servant": Isa 11:2-3; Isa 42:1.</w:t>
      </w:r>
    </w:p>
  </w:footnote>
  <w:footnote w:id="11790">
    <w:p>
      <w:pPr>
        <w:pStyle w:val="FootnoteText"/>
      </w:pPr>
      <w:r>
        <w:rPr>
          <w:rStyle w:val="FootnoteReference"/>
        </w:rPr>
        <w:footnoteRef/>
      </w:r>
      <w:r>
        <w:t xml:space="preserve"> MT/LXX note: The Greek wording emphasizes public dishonor of the servant's appearance and glory. This differs from the familiar Hebrew-based wording about his appearance being marred more than a man.</w:t>
      </w:r>
    </w:p>
  </w:footnote>
  <w:footnote w:id="11791">
    <w:p>
      <w:pPr>
        <w:pStyle w:val="FootnoteText"/>
      </w:pPr>
      <w:r>
        <w:rPr>
          <w:rStyle w:val="FootnoteReference"/>
        </w:rPr>
        <w:footnoteRef/>
      </w:r>
      <w:r>
        <w:t xml:space="preserve"> Cross-references for "kings": Job 29:9-10; Job 40:4.</w:t>
      </w:r>
    </w:p>
  </w:footnote>
  <w:footnote w:id="11792">
    <w:p>
      <w:pPr>
        <w:pStyle w:val="FootnoteText"/>
      </w:pPr>
      <w:r>
        <w:rPr>
          <w:rStyle w:val="FootnoteReference"/>
        </w:rPr>
        <w:footnoteRef/>
      </w:r>
      <w:r>
        <w:t xml:space="preserve"> Cross-references for "revealed": Isa 40:5; Matt 11:25.</w:t>
      </w:r>
    </w:p>
  </w:footnote>
  <w:footnote w:id="11793">
    <w:p>
      <w:pPr>
        <w:pStyle w:val="FootnoteText"/>
      </w:pPr>
      <w:r>
        <w:rPr>
          <w:rStyle w:val="FootnoteReference"/>
        </w:rPr>
        <w:footnoteRef/>
      </w:r>
      <w:r>
        <w:t xml:space="preserve"> Cross-references for "a man": Ps 69:29; Isa 53:4.</w:t>
      </w:r>
    </w:p>
  </w:footnote>
  <w:footnote w:id="11794">
    <w:p>
      <w:pPr>
        <w:pStyle w:val="FootnoteText"/>
      </w:pPr>
      <w:r>
        <w:rPr>
          <w:rStyle w:val="FootnoteReference"/>
        </w:rPr>
        <w:footnoteRef/>
      </w:r>
      <w:r>
        <w:t xml:space="preserve"> MT/LXX note: The Greek explicitly says the servant bears our sins and suffers pain for us. This differs from the familiar Hebrew-based griefs and sorrows wording while retaining substitutionary force.</w:t>
      </w:r>
    </w:p>
  </w:footnote>
  <w:footnote w:id="11795">
    <w:p>
      <w:pPr>
        <w:pStyle w:val="FootnoteText"/>
      </w:pPr>
      <w:r>
        <w:rPr>
          <w:rStyle w:val="FootnoteReference"/>
        </w:rPr>
        <w:footnoteRef/>
      </w:r>
      <w:r>
        <w:t xml:space="preserve"> Cross-references for "But he was": Isa 53:6-8; Isa 53:11-12.</w:t>
      </w:r>
    </w:p>
  </w:footnote>
  <w:footnote w:id="11796">
    <w:p>
      <w:pPr>
        <w:pStyle w:val="FootnoteText"/>
      </w:pPr>
      <w:r>
        <w:rPr>
          <w:rStyle w:val="FootnoteReference"/>
        </w:rPr>
        <w:footnoteRef/>
      </w:r>
      <w:r>
        <w:t xml:space="preserve"> Cross-references for "All we": Ps 119:176; Matt 18:12-14.</w:t>
      </w:r>
    </w:p>
  </w:footnote>
  <w:footnote w:id="11797">
    <w:p>
      <w:pPr>
        <w:pStyle w:val="FootnoteText"/>
      </w:pPr>
      <w:r>
        <w:rPr>
          <w:rStyle w:val="FootnoteReference"/>
        </w:rPr>
        <w:footnoteRef/>
      </w:r>
      <w:r>
        <w:t xml:space="preserve"> MT/LXX note: The Greek says the Lord gave him over for our sins. This differs from the familiar Hebrew-based wording about the Lord laying the iniquity of us all on him.</w:t>
      </w:r>
    </w:p>
  </w:footnote>
  <w:footnote w:id="11798">
    <w:p>
      <w:pPr>
        <w:pStyle w:val="FootnoteText"/>
      </w:pPr>
      <w:r>
        <w:rPr>
          <w:rStyle w:val="FootnoteReference"/>
        </w:rPr>
        <w:footnoteRef/>
      </w:r>
      <w:r>
        <w:t xml:space="preserve"> Cross-references for "deceit": 2Cor 5:21; Heb 4:15.</w:t>
      </w:r>
    </w:p>
  </w:footnote>
  <w:footnote w:id="11799">
    <w:p>
      <w:pPr>
        <w:pStyle w:val="FootnoteText"/>
      </w:pPr>
      <w:r>
        <w:rPr>
          <w:rStyle w:val="FootnoteReference"/>
        </w:rPr>
        <w:footnoteRef/>
      </w:r>
      <w:r>
        <w:t xml:space="preserve"> MT/LXX note: The Greek includes the clause to show him light, a wording absent from standard MT Isaiah 53:11. This edition keeps the LXX light wording visible.</w:t>
      </w:r>
    </w:p>
  </w:footnote>
  <w:footnote w:id="11800">
    <w:p>
      <w:pPr>
        <w:pStyle w:val="FootnoteText"/>
      </w:pPr>
      <w:r>
        <w:rPr>
          <w:rStyle w:val="FootnoteReference"/>
        </w:rPr>
        <w:footnoteRef/>
      </w:r>
      <w:r>
        <w:t xml:space="preserve"> Cross-references for "justify": Isa 45:25; Rom 3:22-24.</w:t>
      </w:r>
    </w:p>
  </w:footnote>
  <w:footnote w:id="11801">
    <w:p>
      <w:pPr>
        <w:pStyle w:val="FootnoteText"/>
      </w:pPr>
      <w:r>
        <w:rPr>
          <w:rStyle w:val="FootnoteReference"/>
        </w:rPr>
        <w:footnoteRef/>
      </w:r>
      <w:r>
        <w:t xml:space="preserve"> Textual note: The Greek verse division leaves the Lord desires to take away at the end of verse 10 and resumes from the pain of his soul in verse 11. This edition keeps that LXX verse shape visible.</w:t>
      </w:r>
    </w:p>
  </w:footnote>
  <w:footnote w:id="11802">
    <w:p>
      <w:pPr>
        <w:pStyle w:val="FootnoteText"/>
      </w:pPr>
      <w:r>
        <w:rPr>
          <w:rStyle w:val="FootnoteReference"/>
        </w:rPr>
        <w:footnoteRef/>
      </w:r>
      <w:r>
        <w:t xml:space="preserve"> Cross-references for "and he was": Mark 15:28; Luke 22:37.</w:t>
      </w:r>
    </w:p>
  </w:footnote>
  <w:footnote w:id="11803">
    <w:p>
      <w:pPr>
        <w:pStyle w:val="FootnoteText"/>
      </w:pPr>
      <w:r>
        <w:rPr>
          <w:rStyle w:val="FootnoteReference"/>
        </w:rPr>
        <w:footnoteRef/>
      </w:r>
      <w:r>
        <w:t xml:space="preserve"> Cross-references for "Break": Ps 67:3-5; Ps 98:3-9.</w:t>
      </w:r>
    </w:p>
  </w:footnote>
  <w:footnote w:id="11804">
    <w:p>
      <w:pPr>
        <w:pStyle w:val="FootnoteText"/>
      </w:pPr>
      <w:r>
        <w:rPr>
          <w:rStyle w:val="FootnoteReference"/>
        </w:rPr>
        <w:footnoteRef/>
      </w:r>
      <w:r>
        <w:t xml:space="preserve"> Cross-references for "the Lord": Isa 48:2; Isa 51:15.</w:t>
      </w:r>
    </w:p>
  </w:footnote>
  <w:footnote w:id="11805">
    <w:p>
      <w:pPr>
        <w:pStyle w:val="FootnoteText"/>
      </w:pPr>
      <w:r>
        <w:rPr>
          <w:rStyle w:val="FootnoteReference"/>
        </w:rPr>
        <w:footnoteRef/>
      </w:r>
      <w:r>
        <w:t xml:space="preserve"> Cross-references for "a woman": Isa 49:14; Isa 62:4.</w:t>
      </w:r>
    </w:p>
  </w:footnote>
  <w:footnote w:id="11806">
    <w:p>
      <w:pPr>
        <w:pStyle w:val="FootnoteText"/>
      </w:pPr>
      <w:r>
        <w:rPr>
          <w:rStyle w:val="FootnoteReference"/>
        </w:rPr>
        <w:footnoteRef/>
      </w:r>
      <w:r>
        <w:t xml:space="preserve"> Cross-references for "a small": Ps 30:5; Isa 26:20.</w:t>
      </w:r>
    </w:p>
  </w:footnote>
  <w:footnote w:id="11807">
    <w:p>
      <w:pPr>
        <w:pStyle w:val="FootnoteText"/>
      </w:pPr>
      <w:r>
        <w:rPr>
          <w:rStyle w:val="FootnoteReference"/>
        </w:rPr>
        <w:footnoteRef/>
      </w:r>
      <w:r>
        <w:t xml:space="preserve"> Cross-references for "a little": Isa 47:6; Isa 57:16-17.</w:t>
      </w:r>
    </w:p>
  </w:footnote>
  <w:footnote w:id="11808">
    <w:p>
      <w:pPr>
        <w:pStyle w:val="FootnoteText"/>
      </w:pPr>
      <w:r>
        <w:rPr>
          <w:rStyle w:val="FootnoteReference"/>
        </w:rPr>
        <w:footnoteRef/>
      </w:r>
      <w:r>
        <w:t xml:space="preserve"> Cross-references for "the covenant": 2Sam 23:5; Ps 89:33-34.</w:t>
      </w:r>
    </w:p>
  </w:footnote>
  <w:footnote w:id="11809">
    <w:p>
      <w:pPr>
        <w:pStyle w:val="FootnoteText"/>
      </w:pPr>
      <w:r>
        <w:rPr>
          <w:rStyle w:val="FootnoteReference"/>
        </w:rPr>
        <w:footnoteRef/>
      </w:r>
      <w:r>
        <w:t xml:space="preserve"> Translation note: The Greek closes with a compact gracious-to-you predicate. English LXX witnesses support keeping that mercy-language close to the source-row wording.</w:t>
      </w:r>
    </w:p>
  </w:footnote>
  <w:footnote w:id="11810">
    <w:p>
      <w:pPr>
        <w:pStyle w:val="FootnoteText"/>
      </w:pPr>
      <w:r>
        <w:rPr>
          <w:rStyle w:val="FootnoteReference"/>
        </w:rPr>
        <w:footnoteRef/>
      </w:r>
      <w:r>
        <w:t xml:space="preserve"> Cross-references for "not comforted": Lam 1:1-2; Lam 1:16-17.</w:t>
      </w:r>
    </w:p>
  </w:footnote>
  <w:footnote w:id="11811">
    <w:p>
      <w:pPr>
        <w:pStyle w:val="FootnoteText"/>
      </w:pPr>
      <w:r>
        <w:rPr>
          <w:rStyle w:val="FootnoteReference"/>
        </w:rPr>
        <w:footnoteRef/>
      </w:r>
      <w:r>
        <w:t xml:space="preserve"> Cross-references for "righteousness": Isa 1:26; Isa 45:24.</w:t>
      </w:r>
    </w:p>
  </w:footnote>
  <w:footnote w:id="11812">
    <w:p>
      <w:pPr>
        <w:pStyle w:val="FootnoteText"/>
      </w:pPr>
      <w:r>
        <w:rPr>
          <w:rStyle w:val="FootnoteReference"/>
        </w:rPr>
        <w:footnoteRef/>
      </w:r>
      <w:r>
        <w:t xml:space="preserve"> Cross-references for "weapon": Ps 2:1-6; Isa 54:15.</w:t>
      </w:r>
    </w:p>
  </w:footnote>
  <w:footnote w:id="11813">
    <w:p>
      <w:pPr>
        <w:pStyle w:val="FootnoteText"/>
      </w:pPr>
      <w:r>
        <w:rPr>
          <w:rStyle w:val="FootnoteReference"/>
        </w:rPr>
        <w:footnoteRef/>
      </w:r>
      <w:r>
        <w:t xml:space="preserve"> MT/LXX note: The Greek reads wine and fat or richness here where Hebrew-based translations usually read wine and milk.</w:t>
      </w:r>
    </w:p>
  </w:footnote>
  <w:footnote w:id="11814">
    <w:p>
      <w:pPr>
        <w:pStyle w:val="FootnoteText"/>
      </w:pPr>
      <w:r>
        <w:rPr>
          <w:rStyle w:val="FootnoteReference"/>
        </w:rPr>
        <w:footnoteRef/>
      </w:r>
      <w:r>
        <w:t xml:space="preserve"> Cross-references for "spend": Isa 46:6.</w:t>
      </w:r>
    </w:p>
  </w:footnote>
  <w:footnote w:id="11815">
    <w:p>
      <w:pPr>
        <w:pStyle w:val="FootnoteText"/>
      </w:pPr>
      <w:r>
        <w:rPr>
          <w:rStyle w:val="FootnoteReference"/>
        </w:rPr>
        <w:footnoteRef/>
      </w:r>
      <w:r>
        <w:t xml:space="preserve"> Cross-references for "Hear": Matt 13:16; Matt 17:5.</w:t>
      </w:r>
    </w:p>
  </w:footnote>
  <w:footnote w:id="11816">
    <w:p>
      <w:pPr>
        <w:pStyle w:val="FootnoteText"/>
      </w:pPr>
      <w:r>
        <w:rPr>
          <w:rStyle w:val="FootnoteReference"/>
        </w:rPr>
        <w:footnoteRef/>
      </w:r>
      <w:r>
        <w:t xml:space="preserve"> Cross-references for "Seek": 1Chr 28:9; 2Chr 19:3.</w:t>
      </w:r>
    </w:p>
  </w:footnote>
  <w:footnote w:id="11817">
    <w:p>
      <w:pPr>
        <w:pStyle w:val="FootnoteText"/>
      </w:pPr>
      <w:r>
        <w:rPr>
          <w:rStyle w:val="FootnoteReference"/>
        </w:rPr>
        <w:footnoteRef/>
      </w:r>
      <w:r>
        <w:t xml:space="preserve"> Translation note: Greek has an articular ungodly-man subject and a paired lawless-man phrase. English supplies the for both class nouns.</w:t>
      </w:r>
    </w:p>
  </w:footnote>
  <w:footnote w:id="11818">
    <w:p>
      <w:pPr>
        <w:pStyle w:val="FootnoteText"/>
      </w:pPr>
      <w:r>
        <w:rPr>
          <w:rStyle w:val="FootnoteReference"/>
        </w:rPr>
        <w:footnoteRef/>
      </w:r>
      <w:r>
        <w:t xml:space="preserve"> MT/LXX note: The Greek ending says I will prosper your ways and my commandments. This preserves the LXX form rather than smoothing it to the familiar Hebrew-based wording about the word prospering in what God sent it to do.</w:t>
      </w:r>
    </w:p>
  </w:footnote>
  <w:footnote w:id="11819">
    <w:p>
      <w:pPr>
        <w:pStyle w:val="FootnoteText"/>
      </w:pPr>
      <w:r>
        <w:rPr>
          <w:rStyle w:val="FootnoteReference"/>
        </w:rPr>
        <w:footnoteRef/>
      </w:r>
      <w:r>
        <w:t xml:space="preserve"> MT/LXX note: The Greek reads that the people will be taught in joy. This is different from the more familiar Hebrew-based wording that they will be led forth in peace.</w:t>
      </w:r>
    </w:p>
  </w:footnote>
  <w:footnote w:id="11820">
    <w:p>
      <w:pPr>
        <w:pStyle w:val="FootnoteText"/>
      </w:pPr>
      <w:r>
        <w:rPr>
          <w:rStyle w:val="FootnoteReference"/>
        </w:rPr>
        <w:footnoteRef/>
      </w:r>
      <w:r>
        <w:t xml:space="preserve"> Cross-references for "the mountains": Ps 65:13; Ps 96:11-13.</w:t>
      </w:r>
    </w:p>
  </w:footnote>
  <w:footnote w:id="11821">
    <w:p>
      <w:pPr>
        <w:pStyle w:val="FootnoteText"/>
      </w:pPr>
      <w:r>
        <w:rPr>
          <w:rStyle w:val="FootnoteReference"/>
        </w:rPr>
        <w:footnoteRef/>
      </w:r>
      <w:r>
        <w:t xml:space="preserve"> Cross-references for "for a": Isa 43:21; Jer 13:11.</w:t>
      </w:r>
    </w:p>
  </w:footnote>
  <w:footnote w:id="11822">
    <w:p>
      <w:pPr>
        <w:pStyle w:val="FootnoteText"/>
      </w:pPr>
      <w:r>
        <w:rPr>
          <w:rStyle w:val="FootnoteReference"/>
        </w:rPr>
        <w:footnoteRef/>
      </w:r>
      <w:r>
        <w:t xml:space="preserve"> Cross-references for "Keep": Ps 24:4-6; Ps 50:23.</w:t>
      </w:r>
    </w:p>
  </w:footnote>
  <w:footnote w:id="11823">
    <w:p>
      <w:pPr>
        <w:pStyle w:val="FootnoteText"/>
      </w:pPr>
      <w:r>
        <w:rPr>
          <w:rStyle w:val="FootnoteReference"/>
        </w:rPr>
        <w:footnoteRef/>
      </w:r>
      <w:r>
        <w:t xml:space="preserve"> Cross-references for "Blessed": Ps 1:1-3; Ps 15:1-5.</w:t>
      </w:r>
    </w:p>
  </w:footnote>
  <w:footnote w:id="11824">
    <w:p>
      <w:pPr>
        <w:pStyle w:val="FootnoteText"/>
      </w:pPr>
      <w:r>
        <w:rPr>
          <w:rStyle w:val="FootnoteReference"/>
        </w:rPr>
        <w:footnoteRef/>
      </w:r>
      <w:r>
        <w:t xml:space="preserve"> Cross-references for "joined": Jer 50:5; Zeph 2:11.</w:t>
      </w:r>
    </w:p>
  </w:footnote>
  <w:footnote w:id="11825">
    <w:p>
      <w:pPr>
        <w:pStyle w:val="FootnoteText"/>
      </w:pPr>
      <w:r>
        <w:rPr>
          <w:rStyle w:val="FootnoteReference"/>
        </w:rPr>
        <w:footnoteRef/>
      </w:r>
      <w:r>
        <w:t xml:space="preserve"> Cross-references for "choose": Josh 24:15; Ps 119:111.</w:t>
      </w:r>
    </w:p>
  </w:footnote>
  <w:footnote w:id="11826">
    <w:p>
      <w:pPr>
        <w:pStyle w:val="FootnoteText"/>
      </w:pPr>
      <w:r>
        <w:rPr>
          <w:rStyle w:val="FootnoteReference"/>
        </w:rPr>
        <w:footnoteRef/>
      </w:r>
      <w:r>
        <w:t xml:space="preserve"> Cross-references for "better": 1Sam 1:8.</w:t>
      </w:r>
    </w:p>
  </w:footnote>
  <w:footnote w:id="11827">
    <w:p>
      <w:pPr>
        <w:pStyle w:val="FootnoteText"/>
      </w:pPr>
      <w:r>
        <w:rPr>
          <w:rStyle w:val="FootnoteReference"/>
        </w:rPr>
        <w:footnoteRef/>
      </w:r>
      <w:r>
        <w:t xml:space="preserve"> Cross-references for "to love": Mark 12:30-34; Rom 8:28.</w:t>
      </w:r>
    </w:p>
  </w:footnote>
  <w:footnote w:id="11828">
    <w:p>
      <w:pPr>
        <w:pStyle w:val="FootnoteText"/>
      </w:pPr>
      <w:r>
        <w:rPr>
          <w:rStyle w:val="FootnoteReference"/>
        </w:rPr>
        <w:footnoteRef/>
      </w:r>
      <w:r>
        <w:t xml:space="preserve"> Cross-references for "loving": Prov 6:4-10; Prov 24:30-34.</w:t>
      </w:r>
    </w:p>
  </w:footnote>
  <w:footnote w:id="11829">
    <w:p>
      <w:pPr>
        <w:pStyle w:val="FootnoteText"/>
      </w:pPr>
      <w:r>
        <w:rPr>
          <w:rStyle w:val="FootnoteReference"/>
        </w:rPr>
        <w:footnoteRef/>
      </w:r>
      <w:r>
        <w:t xml:space="preserve"> Cross-references for "they are": 1Sam 2:12-17; 1Sam 2:29.</w:t>
      </w:r>
    </w:p>
  </w:footnote>
  <w:footnote w:id="11830">
    <w:p>
      <w:pPr>
        <w:pStyle w:val="FootnoteText"/>
      </w:pPr>
      <w:r>
        <w:rPr>
          <w:rStyle w:val="FootnoteReference"/>
        </w:rPr>
        <w:footnoteRef/>
      </w:r>
      <w:r>
        <w:t xml:space="preserve"> Cross-references for "righteous": 2Chr 32:33; 2Chr 35:24.</w:t>
      </w:r>
    </w:p>
  </w:footnote>
  <w:footnote w:id="11831">
    <w:p>
      <w:pPr>
        <w:pStyle w:val="FootnoteText"/>
      </w:pPr>
      <w:r>
        <w:rPr>
          <w:rStyle w:val="FootnoteReference"/>
        </w:rPr>
        <w:footnoteRef/>
      </w:r>
      <w:r>
        <w:t xml:space="preserve"> Cross-references for "Against": Exod 9:17; Exod 16:7-8.</w:t>
      </w:r>
    </w:p>
  </w:footnote>
  <w:footnote w:id="11832">
    <w:p>
      <w:pPr>
        <w:pStyle w:val="FootnoteText"/>
      </w:pPr>
      <w:r>
        <w:rPr>
          <w:rStyle w:val="FootnoteReference"/>
        </w:rPr>
        <w:footnoteRef/>
      </w:r>
      <w:r>
        <w:t xml:space="preserve"> MT/LXX note: The Greek reads calling upon idols under leafy trees. This differs from the familiar Hebrew-based inflamed among the oaks wording.</w:t>
      </w:r>
    </w:p>
  </w:footnote>
  <w:footnote w:id="11833">
    <w:p>
      <w:pPr>
        <w:pStyle w:val="FootnoteText"/>
      </w:pPr>
      <w:r>
        <w:rPr>
          <w:rStyle w:val="FootnoteReference"/>
        </w:rPr>
        <w:footnoteRef/>
      </w:r>
      <w:r>
        <w:t xml:space="preserve"> Cross-references for "under": Deut 12:2; 1Kgs 14:23.</w:t>
      </w:r>
    </w:p>
  </w:footnote>
  <w:footnote w:id="11834">
    <w:p>
      <w:pPr>
        <w:pStyle w:val="FootnoteText"/>
      </w:pPr>
      <w:r>
        <w:rPr>
          <w:rStyle w:val="FootnoteReference"/>
        </w:rPr>
        <w:footnoteRef/>
      </w:r>
      <w:r>
        <w:t xml:space="preserve"> Cross-references for "To them": Deut 32:37-38; Isa 65:11.</w:t>
      </w:r>
    </w:p>
  </w:footnote>
  <w:footnote w:id="11835">
    <w:p>
      <w:pPr>
        <w:pStyle w:val="FootnoteText"/>
      </w:pPr>
      <w:r>
        <w:rPr>
          <w:rStyle w:val="FootnoteReference"/>
        </w:rPr>
        <w:footnoteRef/>
      </w:r>
      <w:r>
        <w:t xml:space="preserve"> Cross-references for "therefore": Jer 3:3; Jer 5:3.</w:t>
      </w:r>
    </w:p>
  </w:footnote>
  <w:footnote w:id="11836">
    <w:p>
      <w:pPr>
        <w:pStyle w:val="FootnoteText"/>
      </w:pPr>
      <w:r>
        <w:rPr>
          <w:rStyle w:val="FootnoteReference"/>
        </w:rPr>
        <w:footnoteRef/>
      </w:r>
      <w:r>
        <w:t xml:space="preserve"> Cross-references for "my holy": Isa 11:9; Isa 56:7.</w:t>
      </w:r>
    </w:p>
  </w:footnote>
  <w:footnote w:id="11837">
    <w:p>
      <w:pPr>
        <w:pStyle w:val="FootnoteText"/>
      </w:pPr>
      <w:r>
        <w:rPr>
          <w:rStyle w:val="FootnoteReference"/>
        </w:rPr>
        <w:footnoteRef/>
      </w:r>
      <w:r>
        <w:t xml:space="preserve"> Cross-references for "Peace": Matt 10:13; Mark 16:15.</w:t>
      </w:r>
    </w:p>
  </w:footnote>
  <w:footnote w:id="11838">
    <w:p>
      <w:pPr>
        <w:pStyle w:val="FootnoteText"/>
      </w:pPr>
      <w:r>
        <w:rPr>
          <w:rStyle w:val="FootnoteReference"/>
        </w:rPr>
        <w:footnoteRef/>
      </w:r>
      <w:r>
        <w:t xml:space="preserve"> MT/LXX note: This Greek line says the unrighteous will thus be shaken and unable to rest. It does not include the explicit sea image found in Hebrew-based translations.</w:t>
      </w:r>
    </w:p>
  </w:footnote>
  <w:footnote w:id="11839">
    <w:p>
      <w:pPr>
        <w:pStyle w:val="FootnoteText"/>
      </w:pPr>
      <w:r>
        <w:rPr>
          <w:rStyle w:val="FootnoteReference"/>
        </w:rPr>
        <w:footnoteRef/>
      </w:r>
      <w:r>
        <w:t xml:space="preserve"> MT/LXX note: The Greek reads no rejoicing for the ungodly here rather than the familiar Hebrew-based no peace for the wicked wording.</w:t>
      </w:r>
    </w:p>
  </w:footnote>
  <w:footnote w:id="11840">
    <w:p>
      <w:pPr>
        <w:pStyle w:val="FootnoteText"/>
      </w:pPr>
      <w:r>
        <w:rPr>
          <w:rStyle w:val="FootnoteReference"/>
        </w:rPr>
        <w:footnoteRef/>
      </w:r>
      <w:r>
        <w:t xml:space="preserve"> Cross-references for "spare": Ps 40:9-10; Isa 56:10.</w:t>
      </w:r>
    </w:p>
  </w:footnote>
  <w:footnote w:id="11841">
    <w:p>
      <w:pPr>
        <w:pStyle w:val="FootnoteText"/>
      </w:pPr>
      <w:r>
        <w:rPr>
          <w:rStyle w:val="FootnoteReference"/>
        </w:rPr>
        <w:footnoteRef/>
      </w:r>
      <w:r>
        <w:t xml:space="preserve"> Cross-references for "They seek": Deut 5:28-29; 1Sam 15:21-25.</w:t>
      </w:r>
    </w:p>
  </w:footnote>
  <w:footnote w:id="11842">
    <w:p>
      <w:pPr>
        <w:pStyle w:val="FootnoteText"/>
      </w:pPr>
      <w:r>
        <w:rPr>
          <w:rStyle w:val="FootnoteReference"/>
        </w:rPr>
        <w:footnoteRef/>
      </w:r>
      <w:r>
        <w:t xml:space="preserve"> MT/LXX note: The Greek closes this verse with tearing up every unjust writing. This is more legal-document language than the familiar Hebrew-based break every yoke wording.</w:t>
      </w:r>
    </w:p>
  </w:footnote>
  <w:footnote w:id="11843">
    <w:p>
      <w:pPr>
        <w:pStyle w:val="FootnoteText"/>
      </w:pPr>
      <w:r>
        <w:rPr>
          <w:rStyle w:val="FootnoteReference"/>
        </w:rPr>
        <w:footnoteRef/>
      </w:r>
      <w:r>
        <w:t xml:space="preserve"> Cross-references for "bring": Gen 18:2-5; Gen 19:2.</w:t>
      </w:r>
    </w:p>
  </w:footnote>
  <w:footnote w:id="11844">
    <w:p>
      <w:pPr>
        <w:pStyle w:val="FootnoteText"/>
      </w:pPr>
      <w:r>
        <w:rPr>
          <w:rStyle w:val="FootnoteReference"/>
        </w:rPr>
        <w:footnoteRef/>
      </w:r>
      <w:r>
        <w:t xml:space="preserve"> Cross-references for "the glory": Exod 14:19; Isa 52:12.</w:t>
      </w:r>
    </w:p>
  </w:footnote>
  <w:footnote w:id="11845">
    <w:p>
      <w:pPr>
        <w:pStyle w:val="FootnoteText"/>
      </w:pPr>
      <w:r>
        <w:rPr>
          <w:rStyle w:val="FootnoteReference"/>
        </w:rPr>
        <w:footnoteRef/>
      </w:r>
      <w:r>
        <w:t xml:space="preserve"> Cross-references for "here": Gen 27:18; 1Sam 3:4-8.</w:t>
      </w:r>
    </w:p>
  </w:footnote>
  <w:footnote w:id="11846">
    <w:p>
      <w:pPr>
        <w:pStyle w:val="FootnoteText"/>
      </w:pPr>
      <w:r>
        <w:rPr>
          <w:rStyle w:val="FootnoteReference"/>
        </w:rPr>
        <w:footnoteRef/>
      </w:r>
      <w:r>
        <w:t xml:space="preserve"> Cross-references for "be like": Song 4:15; Isa 61:11.</w:t>
      </w:r>
    </w:p>
  </w:footnote>
  <w:footnote w:id="11847">
    <w:p>
      <w:pPr>
        <w:pStyle w:val="FootnoteText"/>
      </w:pPr>
      <w:r>
        <w:rPr>
          <w:rStyle w:val="FootnoteReference"/>
        </w:rPr>
        <w:footnoteRef/>
      </w:r>
      <w:r>
        <w:t xml:space="preserve"> MT/LXX note: The Greek calls the restored people builder of fences and says they will stop the paths between. This preserves the LXX wording rather than replacing it with the familiar Hebrew-based repairer of the breach phrasing.</w:t>
      </w:r>
    </w:p>
  </w:footnote>
  <w:footnote w:id="11848">
    <w:p>
      <w:pPr>
        <w:pStyle w:val="FootnoteText"/>
      </w:pPr>
      <w:r>
        <w:rPr>
          <w:rStyle w:val="FootnoteReference"/>
        </w:rPr>
        <w:footnoteRef/>
      </w:r>
      <w:r>
        <w:t xml:space="preserve"> Cross-references for "turn": Exod 20:8-11; Exod 31:13-17.</w:t>
      </w:r>
    </w:p>
  </w:footnote>
  <w:footnote w:id="11849">
    <w:p>
      <w:pPr>
        <w:pStyle w:val="FootnoteText"/>
      </w:pPr>
      <w:r>
        <w:rPr>
          <w:rStyle w:val="FootnoteReference"/>
        </w:rPr>
        <w:footnoteRef/>
      </w:r>
      <w:r>
        <w:t xml:space="preserve"> Cross-references for "and feed": Ps 105:9-11; Ps 135:12.</w:t>
      </w:r>
    </w:p>
  </w:footnote>
  <w:footnote w:id="11850">
    <w:p>
      <w:pPr>
        <w:pStyle w:val="FootnoteText"/>
      </w:pPr>
      <w:r>
        <w:rPr>
          <w:rStyle w:val="FootnoteReference"/>
        </w:rPr>
        <w:footnoteRef/>
      </w:r>
      <w:r>
        <w:t xml:space="preserve"> Cross-references for "his ear": Isa 6:10; Matt 13:15.</w:t>
      </w:r>
    </w:p>
  </w:footnote>
  <w:footnote w:id="11851">
    <w:p>
      <w:pPr>
        <w:pStyle w:val="FootnoteText"/>
      </w:pPr>
      <w:r>
        <w:rPr>
          <w:rStyle w:val="FootnoteReference"/>
        </w:rPr>
        <w:footnoteRef/>
      </w:r>
      <w:r>
        <w:t xml:space="preserve"> Cross-references for "your hands": Isa 1:15; Isa 1:21.</w:t>
      </w:r>
    </w:p>
  </w:footnote>
  <w:footnote w:id="11852">
    <w:p>
      <w:pPr>
        <w:pStyle w:val="FootnoteText"/>
      </w:pPr>
      <w:r>
        <w:rPr>
          <w:rStyle w:val="FootnoteReference"/>
        </w:rPr>
        <w:footnoteRef/>
      </w:r>
      <w:r>
        <w:t xml:space="preserve"> Cross-references for "trust": Job 15:31; Ps 62:10.</w:t>
      </w:r>
    </w:p>
  </w:footnote>
  <w:footnote w:id="11853">
    <w:p>
      <w:pPr>
        <w:pStyle w:val="FootnoteText"/>
      </w:pPr>
      <w:r>
        <w:rPr>
          <w:rStyle w:val="FootnoteReference"/>
        </w:rPr>
        <w:footnoteRef/>
      </w:r>
      <w:r>
        <w:t xml:space="preserve"> Cross-references for "their works": Gen 6:11; Ps 58:2.</w:t>
      </w:r>
    </w:p>
  </w:footnote>
  <w:footnote w:id="11854">
    <w:p>
      <w:pPr>
        <w:pStyle w:val="FootnoteText"/>
      </w:pPr>
      <w:r>
        <w:rPr>
          <w:rStyle w:val="FootnoteReference"/>
        </w:rPr>
        <w:footnoteRef/>
      </w:r>
      <w:r>
        <w:t xml:space="preserve"> Cross-references for "feet": Prov 1:16; Prov 6:17.</w:t>
      </w:r>
    </w:p>
  </w:footnote>
  <w:footnote w:id="11855">
    <w:p>
      <w:pPr>
        <w:pStyle w:val="FootnoteText"/>
      </w:pPr>
      <w:r>
        <w:rPr>
          <w:rStyle w:val="FootnoteReference"/>
        </w:rPr>
        <w:footnoteRef/>
      </w:r>
      <w:r>
        <w:t xml:space="preserve"> Cross-references for "judgment": Ps 58:1-2.</w:t>
      </w:r>
    </w:p>
  </w:footnote>
  <w:footnote w:id="11856">
    <w:p>
      <w:pPr>
        <w:pStyle w:val="FootnoteText"/>
      </w:pPr>
      <w:r>
        <w:rPr>
          <w:rStyle w:val="FootnoteReference"/>
        </w:rPr>
        <w:footnoteRef/>
      </w:r>
      <w:r>
        <w:t xml:space="preserve"> Cross-references for "grope": Deut 28:29; Job 5:14.</w:t>
      </w:r>
    </w:p>
  </w:footnote>
  <w:footnote w:id="11857">
    <w:p>
      <w:pPr>
        <w:pStyle w:val="FootnoteText"/>
      </w:pPr>
      <w:r>
        <w:rPr>
          <w:rStyle w:val="FootnoteReference"/>
        </w:rPr>
        <w:footnoteRef/>
      </w:r>
      <w:r>
        <w:t xml:space="preserve"> MT/LXX note: The Greek reads like a bear and like a dove together they will go. This differs from the familiar Hebrew-based roar like bears and moan like doves wording.</w:t>
      </w:r>
    </w:p>
  </w:footnote>
  <w:footnote w:id="11858">
    <w:p>
      <w:pPr>
        <w:pStyle w:val="FootnoteText"/>
      </w:pPr>
      <w:r>
        <w:rPr>
          <w:rStyle w:val="FootnoteReference"/>
        </w:rPr>
        <w:footnoteRef/>
      </w:r>
      <w:r>
        <w:t xml:space="preserve"> Cross-references for "our sins": Jer 14:7; Hos 5:5.</w:t>
      </w:r>
    </w:p>
  </w:footnote>
  <w:footnote w:id="11859">
    <w:p>
      <w:pPr>
        <w:pStyle w:val="FootnoteText"/>
      </w:pPr>
      <w:r>
        <w:rPr>
          <w:rStyle w:val="FootnoteReference"/>
        </w:rPr>
        <w:footnoteRef/>
      </w:r>
      <w:r>
        <w:t xml:space="preserve"> Cross-references for "truth": Ps 5:9; Ps 12:1-2.</w:t>
      </w:r>
    </w:p>
  </w:footnote>
  <w:footnote w:id="11860">
    <w:p>
      <w:pPr>
        <w:pStyle w:val="FootnoteText"/>
      </w:pPr>
      <w:r>
        <w:rPr>
          <w:rStyle w:val="FootnoteReference"/>
        </w:rPr>
        <w:footnoteRef/>
      </w:r>
      <w:r>
        <w:t xml:space="preserve"> Cross-references for "he saw": Gen 18:23-32; Ps 106:23.</w:t>
      </w:r>
    </w:p>
  </w:footnote>
  <w:footnote w:id="11861">
    <w:p>
      <w:pPr>
        <w:pStyle w:val="FootnoteText"/>
      </w:pPr>
      <w:r>
        <w:rPr>
          <w:rStyle w:val="FootnoteReference"/>
        </w:rPr>
        <w:footnoteRef/>
      </w:r>
      <w:r>
        <w:t xml:space="preserve"> Cross-references for "he put on righteousness": Job 29:14; Isa 11:5.</w:t>
      </w:r>
    </w:p>
  </w:footnote>
  <w:footnote w:id="11862">
    <w:p>
      <w:pPr>
        <w:pStyle w:val="FootnoteText"/>
      </w:pPr>
      <w:r>
        <w:rPr>
          <w:rStyle w:val="FootnoteReference"/>
        </w:rPr>
        <w:footnoteRef/>
      </w:r>
      <w:r>
        <w:t xml:space="preserve"> Translation note: Greek frames the covenant with a Spirit-and-words formula that stays on your mouth and your seed's mouth. The draft keeps that covenant wording close to the source-row Greek rather than paraphrasing it away.</w:t>
      </w:r>
    </w:p>
  </w:footnote>
  <w:footnote w:id="11863">
    <w:p>
      <w:pPr>
        <w:pStyle w:val="FootnoteText"/>
      </w:pPr>
      <w:r>
        <w:rPr>
          <w:rStyle w:val="FootnoteReference"/>
        </w:rPr>
        <w:footnoteRef/>
      </w:r>
      <w:r>
        <w:t xml:space="preserve"> Translation note: The Greek covenant formula speaks directly of my Spirit which is on you. The current wording keeps that relation explicit instead of paraphrasing it away.</w:t>
      </w:r>
    </w:p>
  </w:footnote>
  <w:footnote w:id="11864">
    <w:p>
      <w:pPr>
        <w:pStyle w:val="FootnoteText"/>
      </w:pPr>
      <w:r>
        <w:rPr>
          <w:rStyle w:val="FootnoteReference"/>
        </w:rPr>
        <w:footnoteRef/>
      </w:r>
      <w:r>
        <w:t xml:space="preserve"> Cross-references for "My Spirit": Isa 11:1-3; Isa 61:1-3.</w:t>
      </w:r>
    </w:p>
  </w:footnote>
  <w:footnote w:id="11865">
    <w:p>
      <w:pPr>
        <w:pStyle w:val="FootnoteText"/>
      </w:pPr>
      <w:r>
        <w:rPr>
          <w:rStyle w:val="FootnoteReference"/>
        </w:rPr>
        <w:footnoteRef/>
      </w:r>
      <w:r>
        <w:t xml:space="preserve"> Cross-references for "the glory": Mal 4:2; Luke 2:32.</w:t>
      </w:r>
    </w:p>
  </w:footnote>
  <w:footnote w:id="11866">
    <w:p>
      <w:pPr>
        <w:pStyle w:val="FootnoteText"/>
      </w:pPr>
      <w:r>
        <w:rPr>
          <w:rStyle w:val="FootnoteReference"/>
        </w:rPr>
        <w:footnoteRef/>
      </w:r>
      <w:r>
        <w:t xml:space="preserve"> Cross-references for "the Lord": Lev 9:23; Num 16:19.</w:t>
      </w:r>
    </w:p>
  </w:footnote>
  <w:footnote w:id="11867">
    <w:p>
      <w:pPr>
        <w:pStyle w:val="FootnoteText"/>
      </w:pPr>
      <w:r>
        <w:rPr>
          <w:rStyle w:val="FootnoteReference"/>
        </w:rPr>
        <w:footnoteRef/>
      </w:r>
      <w:r>
        <w:t xml:space="preserve"> Cross-references for "kings": Ps 2:10; Ps 68:29.</w:t>
      </w:r>
    </w:p>
  </w:footnote>
  <w:footnote w:id="11868">
    <w:p>
      <w:pPr>
        <w:pStyle w:val="FootnoteText"/>
      </w:pPr>
      <w:r>
        <w:rPr>
          <w:rStyle w:val="FootnoteReference"/>
        </w:rPr>
        <w:footnoteRef/>
      </w:r>
      <w:r>
        <w:t xml:space="preserve"> Cross-references for "Lift": Isa 49:18; John 4:35.</w:t>
      </w:r>
    </w:p>
  </w:footnote>
  <w:footnote w:id="11869">
    <w:p>
      <w:pPr>
        <w:pStyle w:val="FootnoteText"/>
      </w:pPr>
      <w:r>
        <w:rPr>
          <w:rStyle w:val="FootnoteReference"/>
        </w:rPr>
        <w:footnoteRef/>
      </w:r>
      <w:r>
        <w:t xml:space="preserve"> Cross-references for "Midian": Gen 25:4; Gen 25:13.</w:t>
      </w:r>
    </w:p>
  </w:footnote>
  <w:footnote w:id="11870">
    <w:p>
      <w:pPr>
        <w:pStyle w:val="FootnoteText"/>
      </w:pPr>
      <w:r>
        <w:rPr>
          <w:rStyle w:val="FootnoteReference"/>
        </w:rPr>
        <w:footnoteRef/>
      </w:r>
      <w:r>
        <w:t xml:space="preserve"> Personal name: Nebaioth. Personal-name meaning: Nebaioth — words; prophecies; buds. Source form: Nebaioth.</w:t>
      </w:r>
    </w:p>
  </w:footnote>
  <w:footnote w:id="11871">
    <w:p>
      <w:pPr>
        <w:pStyle w:val="FootnoteText"/>
      </w:pPr>
      <w:r>
        <w:rPr>
          <w:rStyle w:val="FootnoteReference"/>
        </w:rPr>
        <w:footnoteRef/>
      </w:r>
      <w:r>
        <w:t xml:space="preserve"> Cross-references for "their kings": Ezra 6:3-12; Ezra 7:12-28.</w:t>
      </w:r>
    </w:p>
  </w:footnote>
  <w:footnote w:id="11872">
    <w:p>
      <w:pPr>
        <w:pStyle w:val="FootnoteText"/>
      </w:pPr>
      <w:r>
        <w:rPr>
          <w:rStyle w:val="FootnoteReference"/>
        </w:rPr>
        <w:footnoteRef/>
      </w:r>
      <w:r>
        <w:t xml:space="preserve"> Cross-references for "The glory": Isa 35:2; Isa 41:19-20.</w:t>
      </w:r>
    </w:p>
  </w:footnote>
  <w:footnote w:id="11873">
    <w:p>
      <w:pPr>
        <w:pStyle w:val="FootnoteText"/>
      </w:pPr>
      <w:r>
        <w:rPr>
          <w:rStyle w:val="FootnoteReference"/>
        </w:rPr>
        <w:footnoteRef/>
      </w:r>
      <w:r>
        <w:t xml:space="preserve"> Cross-references for "Sons": Isa 14:1-2; Isa 45:14.</w:t>
      </w:r>
    </w:p>
  </w:footnote>
  <w:footnote w:id="11874">
    <w:p>
      <w:pPr>
        <w:pStyle w:val="FootnoteText"/>
      </w:pPr>
      <w:r>
        <w:rPr>
          <w:rStyle w:val="FootnoteReference"/>
        </w:rPr>
        <w:footnoteRef/>
      </w:r>
      <w:r>
        <w:t xml:space="preserve"> MT/LXX note: The Greek reads that the walls will be called Salvation and the gates Carved Work. This differs from the familiar Hebrew-based gates Praise wording.</w:t>
      </w:r>
    </w:p>
  </w:footnote>
  <w:footnote w:id="11875">
    <w:p>
      <w:pPr>
        <w:pStyle w:val="FootnoteText"/>
      </w:pPr>
      <w:r>
        <w:rPr>
          <w:rStyle w:val="FootnoteReference"/>
        </w:rPr>
        <w:footnoteRef/>
      </w:r>
      <w:r>
        <w:t xml:space="preserve"> Cross-references for "the days": Isa 25:8; Isa 30:19.</w:t>
      </w:r>
    </w:p>
  </w:footnote>
  <w:footnote w:id="11876">
    <w:p>
      <w:pPr>
        <w:pStyle w:val="FootnoteText"/>
      </w:pPr>
      <w:r>
        <w:rPr>
          <w:rStyle w:val="FootnoteReference"/>
        </w:rPr>
        <w:footnoteRef/>
      </w:r>
      <w:r>
        <w:t xml:space="preserve"> Cross-references for "people": Isa 4:3-4; Isa 51:2.</w:t>
      </w:r>
    </w:p>
  </w:footnote>
  <w:footnote w:id="11877">
    <w:p>
      <w:pPr>
        <w:pStyle w:val="FootnoteText"/>
      </w:pPr>
      <w:r>
        <w:rPr>
          <w:rStyle w:val="FootnoteReference"/>
        </w:rPr>
        <w:footnoteRef/>
      </w:r>
      <w:r>
        <w:t xml:space="preserve"> Translation note: The previous raw draft row was truncated at I. This pass restores the full closing sentence from the Greek.</w:t>
      </w:r>
    </w:p>
  </w:footnote>
  <w:footnote w:id="11878">
    <w:p>
      <w:pPr>
        <w:pStyle w:val="FootnoteText"/>
      </w:pPr>
      <w:r>
        <w:rPr>
          <w:rStyle w:val="FootnoteReference"/>
        </w:rPr>
        <w:footnoteRef/>
      </w:r>
      <w:r>
        <w:t xml:space="preserve"> Cross-references for "Spirit": Isa 11:2-5; Isa 42:1.</w:t>
      </w:r>
    </w:p>
  </w:footnote>
  <w:footnote w:id="11879">
    <w:p>
      <w:pPr>
        <w:pStyle w:val="FootnoteText"/>
      </w:pPr>
      <w:r>
        <w:rPr>
          <w:rStyle w:val="FootnoteReference"/>
        </w:rPr>
        <w:footnoteRef/>
      </w:r>
      <w:r>
        <w:t xml:space="preserve"> Cross-references for "the acceptable": Lev 25:9-13; Luke 4:19.</w:t>
      </w:r>
    </w:p>
  </w:footnote>
  <w:footnote w:id="11880">
    <w:p>
      <w:pPr>
        <w:pStyle w:val="FootnoteText"/>
      </w:pPr>
      <w:r>
        <w:rPr>
          <w:rStyle w:val="FootnoteReference"/>
        </w:rPr>
        <w:footnoteRef/>
      </w:r>
      <w:r>
        <w:t xml:space="preserve"> Textual note: Luke 4 stops with the acceptable year language and does not include the day of repayment line in the synagogue reading.</w:t>
      </w:r>
    </w:p>
  </w:footnote>
  <w:footnote w:id="11881">
    <w:p>
      <w:pPr>
        <w:pStyle w:val="FootnoteText"/>
      </w:pPr>
      <w:r>
        <w:rPr>
          <w:rStyle w:val="FootnoteReference"/>
        </w:rPr>
        <w:footnoteRef/>
      </w:r>
      <w:r>
        <w:t xml:space="preserve"> Cross-references for "called": Ps 92:12-15; Isa 60:21.</w:t>
      </w:r>
    </w:p>
  </w:footnote>
  <w:footnote w:id="11882">
    <w:p>
      <w:pPr>
        <w:pStyle w:val="FootnoteText"/>
      </w:pPr>
      <w:r>
        <w:rPr>
          <w:rStyle w:val="FootnoteReference"/>
        </w:rPr>
        <w:footnoteRef/>
      </w:r>
      <w:r>
        <w:t xml:space="preserve"> Cross-references for "everlasting": Ps 16:11; Isa 35:10.</w:t>
      </w:r>
    </w:p>
  </w:footnote>
  <w:footnote w:id="11883">
    <w:p>
      <w:pPr>
        <w:pStyle w:val="FootnoteText"/>
      </w:pPr>
      <w:r>
        <w:rPr>
          <w:rStyle w:val="FootnoteReference"/>
        </w:rPr>
        <w:footnoteRef/>
      </w:r>
      <w:r>
        <w:t xml:space="preserve"> Cross-references for "Their seed": Gen 22:18; Isa 44:3.</w:t>
      </w:r>
    </w:p>
  </w:footnote>
  <w:footnote w:id="11884">
    <w:p>
      <w:pPr>
        <w:pStyle w:val="FootnoteText"/>
      </w:pPr>
      <w:r>
        <w:rPr>
          <w:rStyle w:val="FootnoteReference"/>
        </w:rPr>
        <w:footnoteRef/>
      </w:r>
      <w:r>
        <w:t xml:space="preserve"> Cross-references for "As a": Ps 45:8-9; Ps 45:13-14.</w:t>
      </w:r>
    </w:p>
  </w:footnote>
  <w:footnote w:id="11885">
    <w:p>
      <w:pPr>
        <w:pStyle w:val="FootnoteText"/>
      </w:pPr>
      <w:r>
        <w:rPr>
          <w:rStyle w:val="FootnoteReference"/>
        </w:rPr>
        <w:footnoteRef/>
      </w:r>
      <w:r>
        <w:t xml:space="preserve"> MT/LXX note: The LXX gives translated titles here: My Desire (thelēma emon) and Inhabited (oikoumenē), rather than preserving the Hebrew names traditionally represented as Hephzibah and Beulah.</w:t>
      </w:r>
    </w:p>
  </w:footnote>
  <w:footnote w:id="11886">
    <w:p>
      <w:pPr>
        <w:pStyle w:val="FootnoteText"/>
      </w:pPr>
      <w:r>
        <w:rPr>
          <w:rStyle w:val="FootnoteReference"/>
        </w:rPr>
        <w:footnoteRef/>
      </w:r>
      <w:r>
        <w:t xml:space="preserve"> Translation note: Greek oath language can state a negative promise with an if-clause after the Lord swore; English renders the oath force rather than leaving a dangling conditional.</w:t>
      </w:r>
    </w:p>
  </w:footnote>
  <w:footnote w:id="11887">
    <w:p>
      <w:pPr>
        <w:pStyle w:val="FootnoteText"/>
      </w:pPr>
      <w:r>
        <w:rPr>
          <w:rStyle w:val="FootnoteReference"/>
        </w:rPr>
        <w:footnoteRef/>
      </w:r>
      <w:r>
        <w:t xml:space="preserve"> Cross-references for "Go through": Exod 17:15; Isa 18:3.</w:t>
      </w:r>
    </w:p>
  </w:footnote>
  <w:footnote w:id="11888">
    <w:p>
      <w:pPr>
        <w:pStyle w:val="FootnoteText"/>
      </w:pPr>
      <w:r>
        <w:rPr>
          <w:rStyle w:val="FootnoteReference"/>
        </w:rPr>
        <w:footnoteRef/>
      </w:r>
      <w:r>
        <w:t xml:space="preserve"> Cross-references for "the Lord": Ps 98:1-3; Mark 16:15.</w:t>
      </w:r>
    </w:p>
  </w:footnote>
  <w:footnote w:id="11889">
    <w:p>
      <w:pPr>
        <w:pStyle w:val="FootnoteText"/>
      </w:pPr>
      <w:r>
        <w:rPr>
          <w:rStyle w:val="FootnoteReference"/>
        </w:rPr>
        <w:footnoteRef/>
      </w:r>
      <w:r>
        <w:t xml:space="preserve"> Translation note: Matthew 21:5 echoes the summons to daughter Zion while combining it with Zechariah 9:9; Revelation 22:12 echoes the reward/wage-with-me language.</w:t>
      </w:r>
    </w:p>
  </w:footnote>
  <w:footnote w:id="11890">
    <w:p>
      <w:pPr>
        <w:pStyle w:val="FootnoteText"/>
      </w:pPr>
      <w:r>
        <w:rPr>
          <w:rStyle w:val="FootnoteReference"/>
        </w:rPr>
        <w:footnoteRef/>
      </w:r>
      <w:r>
        <w:t xml:space="preserve"> Cross-references for "Sought Out": Isa 65:1; Ezek 34:11-16.</w:t>
      </w:r>
    </w:p>
  </w:footnote>
  <w:footnote w:id="11891">
    <w:p>
      <w:pPr>
        <w:pStyle w:val="FootnoteText"/>
      </w:pPr>
      <w:r>
        <w:rPr>
          <w:rStyle w:val="FootnoteReference"/>
        </w:rPr>
        <w:footnoteRef/>
      </w:r>
      <w:r>
        <w:t xml:space="preserve"> Cross-references for "is this": Ps 24:7-10; Song 3:6.</w:t>
      </w:r>
    </w:p>
  </w:footnote>
  <w:footnote w:id="11892">
    <w:p>
      <w:pPr>
        <w:pStyle w:val="FootnoteText"/>
      </w:pPr>
      <w:r>
        <w:rPr>
          <w:rStyle w:val="FootnoteReference"/>
        </w:rPr>
        <w:footnoteRef/>
      </w:r>
      <w:r>
        <w:t xml:space="preserve"> Translation note: Greek has Bosor here; the translation uses the standard English equivalent Bozrah for the Edomite location.</w:t>
      </w:r>
    </w:p>
  </w:footnote>
  <w:footnote w:id="11893">
    <w:p>
      <w:pPr>
        <w:pStyle w:val="FootnoteText"/>
      </w:pPr>
      <w:r>
        <w:rPr>
          <w:rStyle w:val="FootnoteReference"/>
        </w:rPr>
        <w:footnoteRef/>
      </w:r>
      <w:r>
        <w:t xml:space="preserve"> Translation note: Revelation 19 echoes Isaiah's bloodied-garment and winepress imagery in its judgment scene, though it does not quote this verse verbatim.</w:t>
      </w:r>
    </w:p>
  </w:footnote>
  <w:footnote w:id="11894">
    <w:p>
      <w:pPr>
        <w:pStyle w:val="FootnoteText"/>
      </w:pPr>
      <w:r>
        <w:rPr>
          <w:rStyle w:val="FootnoteReference"/>
        </w:rPr>
        <w:footnoteRef/>
      </w:r>
      <w:r>
        <w:t xml:space="preserve"> Cross-references for "looked": Isa 41:28; Isa 50:2.</w:t>
      </w:r>
    </w:p>
  </w:footnote>
  <w:footnote w:id="11895">
    <w:p>
      <w:pPr>
        <w:pStyle w:val="FootnoteText"/>
      </w:pPr>
      <w:r>
        <w:rPr>
          <w:rStyle w:val="FootnoteReference"/>
        </w:rPr>
        <w:footnoteRef/>
      </w:r>
      <w:r>
        <w:t xml:space="preserve"> Cross-references for "according to his": Exod 34:6-7; Num 14:18-19.</w:t>
      </w:r>
    </w:p>
  </w:footnote>
  <w:footnote w:id="11896">
    <w:p>
      <w:pPr>
        <w:pStyle w:val="FootnoteText"/>
      </w:pPr>
      <w:r>
        <w:rPr>
          <w:rStyle w:val="FootnoteReference"/>
        </w:rPr>
        <w:footnoteRef/>
      </w:r>
      <w:r>
        <w:t xml:space="preserve"> Cross-references for "children": Isa 57:11.</w:t>
      </w:r>
    </w:p>
  </w:footnote>
  <w:footnote w:id="11897">
    <w:p>
      <w:pPr>
        <w:pStyle w:val="FootnoteText"/>
      </w:pPr>
      <w:r>
        <w:rPr>
          <w:rStyle w:val="FootnoteReference"/>
        </w:rPr>
        <w:footnoteRef/>
      </w:r>
      <w:r>
        <w:t xml:space="preserve"> Cross-references for "all their": Exod 3:7-9; Judg 10:16.</w:t>
      </w:r>
    </w:p>
  </w:footnote>
  <w:footnote w:id="11898">
    <w:p>
      <w:pPr>
        <w:pStyle w:val="FootnoteText"/>
      </w:pPr>
      <w:r>
        <w:rPr>
          <w:rStyle w:val="FootnoteReference"/>
        </w:rPr>
        <w:footnoteRef/>
      </w:r>
      <w:r>
        <w:t xml:space="preserve"> MT/LXX note: The LXX reads no elder nor angel here, emphasizing the Lord himself as savior. This differs from the familiar MT-based rendering about the angel of his presence.</w:t>
      </w:r>
    </w:p>
  </w:footnote>
  <w:footnote w:id="11899">
    <w:p>
      <w:pPr>
        <w:pStyle w:val="FootnoteText"/>
      </w:pPr>
      <w:r>
        <w:rPr>
          <w:rStyle w:val="FootnoteReference"/>
        </w:rPr>
        <w:footnoteRef/>
      </w:r>
      <w:r>
        <w:t xml:space="preserve"> Cross-references for "he remembered": Lev 26:40-45; Deut 4:30-31.</w:t>
      </w:r>
    </w:p>
  </w:footnote>
  <w:footnote w:id="11900">
    <w:p>
      <w:pPr>
        <w:pStyle w:val="FootnoteText"/>
      </w:pPr>
      <w:r>
        <w:rPr>
          <w:rStyle w:val="FootnoteReference"/>
        </w:rPr>
        <w:footnoteRef/>
      </w:r>
      <w:r>
        <w:t xml:space="preserve"> Cross-references for "to make": Exod 14:16-17; Isa 55:13.</w:t>
      </w:r>
    </w:p>
  </w:footnote>
  <w:footnote w:id="11901">
    <w:p>
      <w:pPr>
        <w:pStyle w:val="FootnoteText"/>
      </w:pPr>
      <w:r>
        <w:rPr>
          <w:rStyle w:val="FootnoteReference"/>
        </w:rPr>
        <w:footnoteRef/>
      </w:r>
      <w:r>
        <w:t xml:space="preserve"> Cross-references for "the Spirit": Josh 22:4; Josh 23:1.</w:t>
      </w:r>
    </w:p>
  </w:footnote>
  <w:footnote w:id="11902">
    <w:p>
      <w:pPr>
        <w:pStyle w:val="FootnoteText"/>
      </w:pPr>
      <w:r>
        <w:rPr>
          <w:rStyle w:val="FootnoteReference"/>
        </w:rPr>
        <w:footnoteRef/>
      </w:r>
      <w:r>
        <w:t xml:space="preserve"> Hebrew divine name/title: Avinu (</w:t>
      </w:r>
      <w:r>
        <w:rPr>
          <w:lang w:val="he-IL" w:bidi="he-IL"/>
          <w:rtl/>
        </w:rPr>
        <w:t xml:space="preserve">אָבִינוּ</w:t>
      </w:r>
      <w:r>
        <w:t xml:space="preserve">) — Our Father. Common English rendering: our father. A covenantal and relational address to God as Father of His people.</w:t>
      </w:r>
    </w:p>
  </w:footnote>
  <w:footnote w:id="11903">
    <w:p>
      <w:pPr>
        <w:pStyle w:val="FootnoteText"/>
      </w:pPr>
      <w:r>
        <w:rPr>
          <w:rStyle w:val="FootnoteReference"/>
        </w:rPr>
        <w:footnoteRef/>
      </w:r>
      <w:r>
        <w:t xml:space="preserve"> Greek LXX divine name/title: Kyrie pater hemon (κύριε πατήρ ἡμῶν) — Lord, our father. Common English rendering: Lord, our father. The LXX keeps the father address as Lord, our father.</w:t>
      </w:r>
    </w:p>
  </w:footnote>
  <w:footnote w:id="11904">
    <w:p>
      <w:pPr>
        <w:pStyle w:val="FootnoteText"/>
      </w:pPr>
      <w:r>
        <w:rPr>
          <w:rStyle w:val="FootnoteReference"/>
        </w:rPr>
        <w:footnoteRef/>
      </w:r>
      <w:r>
        <w:t xml:space="preserve"> Translation note: 1 Corinthians 2:9 echoes the eye/ear expectation language known from Isaiah, but Paul's form is not a verbatim quotation of this LXX wording.</w:t>
      </w:r>
    </w:p>
  </w:footnote>
  <w:footnote w:id="11905">
    <w:p>
      <w:pPr>
        <w:pStyle w:val="FootnoteText"/>
      </w:pPr>
      <w:r>
        <w:rPr>
          <w:rStyle w:val="FootnoteReference"/>
        </w:rPr>
        <w:footnoteRef/>
      </w:r>
      <w:r>
        <w:t xml:space="preserve"> Cross-references for "Behold": Isa 40:9; Isa 41:27.</w:t>
      </w:r>
    </w:p>
  </w:footnote>
  <w:footnote w:id="11906">
    <w:p>
      <w:pPr>
        <w:pStyle w:val="FootnoteText"/>
      </w:pPr>
      <w:r>
        <w:rPr>
          <w:rStyle w:val="FootnoteReference"/>
        </w:rPr>
        <w:footnoteRef/>
      </w:r>
      <w:r>
        <w:t xml:space="preserve"> Cross-references for "to my face": Job 1:11; Job 2:5.</w:t>
      </w:r>
    </w:p>
  </w:footnote>
  <w:footnote w:id="11907">
    <w:p>
      <w:pPr>
        <w:pStyle w:val="FootnoteText"/>
      </w:pPr>
      <w:r>
        <w:rPr>
          <w:rStyle w:val="FootnoteReference"/>
        </w:rPr>
        <w:footnoteRef/>
      </w:r>
      <w:r>
        <w:t xml:space="preserve"> Cross-references for "broth": Exod 23:19; Exod 34:26.</w:t>
      </w:r>
    </w:p>
  </w:footnote>
  <w:footnote w:id="11908">
    <w:p>
      <w:pPr>
        <w:pStyle w:val="FootnoteText"/>
      </w:pPr>
      <w:r>
        <w:rPr>
          <w:rStyle w:val="FootnoteReference"/>
        </w:rPr>
        <w:footnoteRef/>
      </w:r>
      <w:r>
        <w:t xml:space="preserve"> Cross-references for "a fire": Deut 29:20; Deut 32:20-22.</w:t>
      </w:r>
    </w:p>
  </w:footnote>
  <w:footnote w:id="11909">
    <w:p>
      <w:pPr>
        <w:pStyle w:val="FootnoteText"/>
      </w:pPr>
      <w:r>
        <w:rPr>
          <w:rStyle w:val="FootnoteReference"/>
        </w:rPr>
        <w:footnoteRef/>
      </w:r>
      <w:r>
        <w:t xml:space="preserve"> Cross-references for "burned": 1Kgs 22:43; 2Kgs 12:3.</w:t>
      </w:r>
    </w:p>
  </w:footnote>
  <w:footnote w:id="11910">
    <w:p>
      <w:pPr>
        <w:pStyle w:val="FootnoteText"/>
      </w:pPr>
      <w:r>
        <w:rPr>
          <w:rStyle w:val="FootnoteReference"/>
        </w:rPr>
        <w:footnoteRef/>
      </w:r>
      <w:r>
        <w:t xml:space="preserve"> Cross-references for "my holy": Ps 132:13; Isa 2:2.</w:t>
      </w:r>
    </w:p>
  </w:footnote>
  <w:footnote w:id="11911">
    <w:p>
      <w:pPr>
        <w:pStyle w:val="FootnoteText"/>
      </w:pPr>
      <w:r>
        <w:rPr>
          <w:rStyle w:val="FootnoteReference"/>
        </w:rPr>
        <w:footnoteRef/>
      </w:r>
      <w:r>
        <w:t xml:space="preserve"> MT/LXX note: The LXX speaks of a table for the demon and mixed drink for Fortune (Greek Tyche). English MT-based translations often represent the paired names as Gad/Fortune and Meni/Destiny.</w:t>
      </w:r>
    </w:p>
  </w:footnote>
  <w:footnote w:id="11912">
    <w:p>
      <w:pPr>
        <w:pStyle w:val="FootnoteText"/>
      </w:pPr>
      <w:r>
        <w:rPr>
          <w:rStyle w:val="FootnoteReference"/>
        </w:rPr>
        <w:footnoteRef/>
      </w:r>
      <w:r>
        <w:t xml:space="preserve"> Cross-references for "did evil": Isa 1:16; Isa 65:3.</w:t>
      </w:r>
    </w:p>
  </w:footnote>
  <w:footnote w:id="11913">
    <w:p>
      <w:pPr>
        <w:pStyle w:val="FootnoteText"/>
      </w:pPr>
      <w:r>
        <w:rPr>
          <w:rStyle w:val="FootnoteReference"/>
        </w:rPr>
        <w:footnoteRef/>
      </w:r>
      <w:r>
        <w:t xml:space="preserve"> MT/LXX note: Greek plēsmone means fullness or satiety. The translation keeps that LXX wording; MT-based English versions commonly render the line as leaving the name for a curse.</w:t>
      </w:r>
    </w:p>
  </w:footnote>
  <w:footnote w:id="11914">
    <w:p>
      <w:pPr>
        <w:pStyle w:val="FootnoteText"/>
      </w:pPr>
      <w:r>
        <w:rPr>
          <w:rStyle w:val="FootnoteReference"/>
        </w:rPr>
        <w:footnoteRef/>
      </w:r>
      <w:r>
        <w:t xml:space="preserve"> Cross-references for "my chosen": Isa 65:9; Isa 65:22.</w:t>
      </w:r>
    </w:p>
  </w:footnote>
  <w:footnote w:id="11915">
    <w:p>
      <w:pPr>
        <w:pStyle w:val="FootnoteText"/>
      </w:pPr>
      <w:r>
        <w:rPr>
          <w:rStyle w:val="FootnoteReference"/>
        </w:rPr>
        <w:footnoteRef/>
      </w:r>
      <w:r>
        <w:t xml:space="preserve"> Translation note: This line resumes the peaceable-creatures and holy-mountain imagery from Isaiah 11:6-9.</w:t>
      </w:r>
    </w:p>
  </w:footnote>
  <w:footnote w:id="11916">
    <w:p>
      <w:pPr>
        <w:pStyle w:val="FootnoteText"/>
      </w:pPr>
      <w:r>
        <w:rPr>
          <w:rStyle w:val="FootnoteReference"/>
        </w:rPr>
        <w:footnoteRef/>
      </w:r>
      <w:r>
        <w:t xml:space="preserve"> Cross-references for "will choose": 1Kgs 22:19-23; Ps 81:12.</w:t>
      </w:r>
    </w:p>
  </w:footnote>
  <w:footnote w:id="11917">
    <w:p>
      <w:pPr>
        <w:pStyle w:val="FootnoteText"/>
      </w:pPr>
      <w:r>
        <w:rPr>
          <w:rStyle w:val="FootnoteReference"/>
        </w:rPr>
        <w:footnoteRef/>
      </w:r>
      <w:r>
        <w:t xml:space="preserve"> Translation note: The Greek uses the imperative εἴπατε. This edition keeps that difficult LXX syntax instead of turning the line into a third-person report.</w:t>
      </w:r>
    </w:p>
  </w:footnote>
  <w:footnote w:id="11918">
    <w:p>
      <w:pPr>
        <w:pStyle w:val="FootnoteText"/>
      </w:pPr>
      <w:r>
        <w:rPr>
          <w:rStyle w:val="FootnoteReference"/>
        </w:rPr>
        <w:footnoteRef/>
      </w:r>
      <w:r>
        <w:t xml:space="preserve"> Cross-references for "the glory": Isa 45:14; Isa 49:19-23.</w:t>
      </w:r>
    </w:p>
  </w:footnote>
  <w:footnote w:id="11919">
    <w:p>
      <w:pPr>
        <w:pStyle w:val="FootnoteText"/>
      </w:pPr>
      <w:r>
        <w:rPr>
          <w:rStyle w:val="FootnoteReference"/>
        </w:rPr>
        <w:footnoteRef/>
      </w:r>
      <w:r>
        <w:t xml:space="preserve"> Cross-references for "your heart": Zech 10:7; John 16:22.</w:t>
      </w:r>
    </w:p>
  </w:footnote>
  <w:footnote w:id="11920">
    <w:p>
      <w:pPr>
        <w:pStyle w:val="FootnoteText"/>
      </w:pPr>
      <w:r>
        <w:rPr>
          <w:rStyle w:val="FootnoteReference"/>
        </w:rPr>
        <w:footnoteRef/>
      </w:r>
      <w:r>
        <w:t xml:space="preserve"> Cross-references for "the Lord": Ps 11:6; Ps 21:9.</w:t>
      </w:r>
    </w:p>
  </w:footnote>
  <w:footnote w:id="11921">
    <w:p>
      <w:pPr>
        <w:pStyle w:val="FootnoteText"/>
      </w:pPr>
      <w:r>
        <w:rPr>
          <w:rStyle w:val="FootnoteReference"/>
        </w:rPr>
        <w:footnoteRef/>
      </w:r>
      <w:r>
        <w:t xml:space="preserve"> Cross-references for "and see": Isa 66:10; Ezek 39:21.</w:t>
      </w:r>
    </w:p>
  </w:footnote>
  <w:footnote w:id="11922">
    <w:p>
      <w:pPr>
        <w:pStyle w:val="FootnoteText"/>
      </w:pPr>
      <w:r>
        <w:rPr>
          <w:rStyle w:val="FootnoteReference"/>
        </w:rPr>
        <w:footnoteRef/>
      </w:r>
      <w:r>
        <w:t xml:space="preserve"> Cross-references for "Tarshish": Gen 10:4; Gen 10:13.</w:t>
      </w:r>
    </w:p>
  </w:footnote>
  <w:footnote w:id="11923">
    <w:p>
      <w:pPr>
        <w:pStyle w:val="FootnoteText"/>
      </w:pPr>
      <w:r>
        <w:rPr>
          <w:rStyle w:val="FootnoteReference"/>
        </w:rPr>
        <w:footnoteRef/>
      </w:r>
      <w:r>
        <w:t xml:space="preserve"> Transliterated proper noun: Lud. Standard English equivalent: Lud. Source form: Lud. Greek form: λουδ. Name meaning: nativity; generation.</w:t>
      </w:r>
    </w:p>
  </w:footnote>
  <w:footnote w:id="11924">
    <w:p>
      <w:pPr>
        <w:pStyle w:val="FootnoteText"/>
      </w:pPr>
      <w:r>
        <w:rPr>
          <w:rStyle w:val="FootnoteReference"/>
        </w:rPr>
        <w:footnoteRef/>
      </w:r>
      <w:r>
        <w:t xml:space="preserve"> Place name: Greece. Place-name meaning: Greece — Greece; Hellenic land. Source form: Greece.</w:t>
      </w:r>
    </w:p>
  </w:footnote>
  <w:footnote w:id="11925">
    <w:p>
      <w:pPr>
        <w:pStyle w:val="FootnoteText"/>
      </w:pPr>
      <w:r>
        <w:rPr>
          <w:rStyle w:val="FootnoteReference"/>
        </w:rPr>
        <w:footnoteRef/>
      </w:r>
      <w:r>
        <w:t xml:space="preserve"> Translation note: This repeats Isaiah 65:17 and is part of the same new-creation imagery later echoed in Revelation 21:1.</w:t>
      </w:r>
    </w:p>
  </w:footnote>
  <w:footnote w:id="11926">
    <w:p>
      <w:pPr>
        <w:pStyle w:val="FootnoteText"/>
      </w:pPr>
      <w:r>
        <w:rPr>
          <w:rStyle w:val="FootnoteReference"/>
        </w:rPr>
        <w:footnoteRef/>
      </w:r>
      <w:r>
        <w:t xml:space="preserve"> Cross-references for "the new": Isa 65:17; Heb 12:27-28.</w:t>
      </w:r>
    </w:p>
  </w:footnote>
  <w:footnote w:id="11927">
    <w:p>
      <w:pPr>
        <w:pStyle w:val="FootnoteText"/>
      </w:pPr>
      <w:r>
        <w:rPr>
          <w:rStyle w:val="FootnoteReference"/>
        </w:rPr>
        <w:footnoteRef/>
      </w:r>
      <w:r>
        <w:t xml:space="preserve"> Translation note: Jesus quotes this judgment language in Mark 9:48.</w:t>
      </w:r>
    </w:p>
  </w:footnote>
  <w:footnote w:id="11928">
    <w:p>
      <w:pPr>
        <w:pStyle w:val="FootnoteText"/>
      </w:pPr>
      <w:r>
        <w:rPr>
          <w:rStyle w:val="FootnoteReference"/>
        </w:rPr>
        <w:footnoteRef/>
      </w:r>
      <w:r>
        <w:t xml:space="preserve"> Cross-references for "their worm": Isa 14:11; Mark 9:44-49.</w:t>
      </w:r>
    </w:p>
  </w:footnote>
  <w:footnote w:id="11929">
    <w:p>
      <w:pPr>
        <w:pStyle w:val="FootnoteText"/>
      </w:pPr>
      <w:r>
        <w:rPr>
          <w:rStyle w:val="FootnoteReference"/>
        </w:rPr>
        <w:footnoteRef/>
      </w:r>
      <w:r>
        <w:t xml:space="preserve"> Cross-references for "in Anathoth": Josh 21:17-18; 1Chr 6:60.</w:t>
      </w:r>
    </w:p>
  </w:footnote>
  <w:footnote w:id="11930">
    <w:p>
      <w:pPr>
        <w:pStyle w:val="FootnoteText"/>
      </w:pPr>
      <w:r>
        <w:rPr>
          <w:rStyle w:val="FootnoteReference"/>
        </w:rPr>
        <w:footnoteRef/>
      </w:r>
      <w:r>
        <w:t xml:space="preserve"> Cross-references for "the word": 1Kgs 13:20; Jer 1:4.</w:t>
      </w:r>
    </w:p>
  </w:footnote>
  <w:footnote w:id="11931">
    <w:p>
      <w:pPr>
        <w:pStyle w:val="FootnoteText"/>
      </w:pPr>
      <w:r>
        <w:rPr>
          <w:rStyle w:val="FootnoteReference"/>
        </w:rPr>
        <w:footnoteRef/>
      </w:r>
      <w:r>
        <w:t xml:space="preserve"> Name meaning: Zedekiah (Tzidqiyahu) — Yahweh is righteousness. Last king of Judah before Jerusalem fell to Babylon.</w:t>
      </w:r>
    </w:p>
  </w:footnote>
  <w:footnote w:id="11932">
    <w:p>
      <w:pPr>
        <w:pStyle w:val="FootnoteText"/>
      </w:pPr>
      <w:r>
        <w:rPr>
          <w:rStyle w:val="FootnoteReference"/>
        </w:rPr>
        <w:footnoteRef/>
      </w:r>
      <w:r>
        <w:t xml:space="preserve"> Cross-references for "in the fifth": 2Kgs 25:8; Jer 52:12.</w:t>
      </w:r>
    </w:p>
  </w:footnote>
  <w:footnote w:id="11933">
    <w:p>
      <w:pPr>
        <w:pStyle w:val="FootnoteText"/>
      </w:pPr>
      <w:r>
        <w:rPr>
          <w:rStyle w:val="FootnoteReference"/>
        </w:rPr>
        <w:footnoteRef/>
      </w:r>
      <w:r>
        <w:t xml:space="preserve"> Cross-references for "the word": Jer 1:2; Ezek 1:3.</w:t>
      </w:r>
    </w:p>
  </w:footnote>
  <w:footnote w:id="11934">
    <w:p>
      <w:pPr>
        <w:pStyle w:val="FootnoteText"/>
      </w:pPr>
      <w:r>
        <w:rPr>
          <w:rStyle w:val="FootnoteReference"/>
        </w:rPr>
        <w:footnoteRef/>
      </w:r>
      <w:r>
        <w:t xml:space="preserve"> Cross-references for "Before I": Ps 71:5-6; Isa 49:1.</w:t>
      </w:r>
    </w:p>
  </w:footnote>
  <w:footnote w:id="11935">
    <w:p>
      <w:pPr>
        <w:pStyle w:val="FootnoteText"/>
      </w:pPr>
      <w:r>
        <w:rPr>
          <w:rStyle w:val="FootnoteReference"/>
        </w:rPr>
        <w:footnoteRef/>
      </w:r>
      <w:r>
        <w:t xml:space="preserve"> Translation note: Greek δεσπότα κύριε is a direct address combining Master and Lord; the note preserves the Greek title behind the English rendering.</w:t>
      </w:r>
    </w:p>
  </w:footnote>
  <w:footnote w:id="11936">
    <w:p>
      <w:pPr>
        <w:pStyle w:val="FootnoteText"/>
      </w:pPr>
      <w:r>
        <w:rPr>
          <w:rStyle w:val="FootnoteReference"/>
        </w:rPr>
        <w:footnoteRef/>
      </w:r>
      <w:r>
        <w:t xml:space="preserve"> Cross-references for "Lord": Jer 4:10; Jer 14:13.</w:t>
      </w:r>
    </w:p>
  </w:footnote>
  <w:footnote w:id="11937">
    <w:p>
      <w:pPr>
        <w:pStyle w:val="FootnoteText"/>
      </w:pPr>
      <w:r>
        <w:rPr>
          <w:rStyle w:val="FootnoteReference"/>
        </w:rPr>
        <w:footnoteRef/>
      </w:r>
      <w:r>
        <w:t xml:space="preserve"> Cross-references for "and touched": Exod 4:11-12; Isa 6:6-7.</w:t>
      </w:r>
    </w:p>
  </w:footnote>
  <w:footnote w:id="11938">
    <w:p>
      <w:pPr>
        <w:pStyle w:val="FootnoteText"/>
      </w:pPr>
      <w:r>
        <w:rPr>
          <w:rStyle w:val="FootnoteReference"/>
        </w:rPr>
        <w:footnoteRef/>
      </w:r>
      <w:r>
        <w:t xml:space="preserve"> Cross-references for "and against": Deut 28:49-53; Jer 4:16.</w:t>
      </w:r>
    </w:p>
  </w:footnote>
  <w:footnote w:id="11939">
    <w:p>
      <w:pPr>
        <w:pStyle w:val="FootnoteText"/>
      </w:pPr>
      <w:r>
        <w:rPr>
          <w:rStyle w:val="FootnoteReference"/>
        </w:rPr>
        <w:footnoteRef/>
      </w:r>
      <w:r>
        <w:t xml:space="preserve"> Translation note: This commissioning image returns in Jeremiah 15:20, where the Lord again promises to make Jeremiah a fortified bronze wall.</w:t>
      </w:r>
    </w:p>
  </w:footnote>
  <w:footnote w:id="11940">
    <w:p>
      <w:pPr>
        <w:pStyle w:val="FootnoteText"/>
      </w:pPr>
      <w:r>
        <w:rPr>
          <w:rStyle w:val="FootnoteReference"/>
        </w:rPr>
        <w:footnoteRef/>
      </w:r>
      <w:r>
        <w:t xml:space="preserve"> Cross-references for "against": Jer 21:4-14; Jer 22:1-30.</w:t>
      </w:r>
    </w:p>
  </w:footnote>
  <w:footnote w:id="11941">
    <w:p>
      <w:pPr>
        <w:pStyle w:val="FootnoteText"/>
      </w:pPr>
      <w:r>
        <w:rPr>
          <w:rStyle w:val="FootnoteReference"/>
        </w:rPr>
        <w:footnoteRef/>
      </w:r>
      <w:r>
        <w:t xml:space="preserve"> Translation note: Greek has to hagio Israel, the Holy One of Israel. This keeps the divine title visible rather than smoothing it into a pronoun.</w:t>
      </w:r>
    </w:p>
  </w:footnote>
  <w:footnote w:id="11942">
    <w:p>
      <w:pPr>
        <w:pStyle w:val="FootnoteText"/>
      </w:pPr>
      <w:r>
        <w:rPr>
          <w:rStyle w:val="FootnoteReference"/>
        </w:rPr>
        <w:footnoteRef/>
      </w:r>
      <w:r>
        <w:t xml:space="preserve"> Cross-references for "the firstfruits": Exod 22:29; Exod 23:16.</w:t>
      </w:r>
    </w:p>
  </w:footnote>
  <w:footnote w:id="11943">
    <w:p>
      <w:pPr>
        <w:pStyle w:val="FootnoteText"/>
      </w:pPr>
      <w:r>
        <w:rPr>
          <w:rStyle w:val="FootnoteReference"/>
        </w:rPr>
        <w:footnoteRef/>
      </w:r>
      <w:r>
        <w:t xml:space="preserve"> Translation note: Greek repeats the mataios word-family: they went after worthless things and were made worthless.</w:t>
      </w:r>
    </w:p>
  </w:footnote>
  <w:footnote w:id="11944">
    <w:p>
      <w:pPr>
        <w:pStyle w:val="FootnoteText"/>
      </w:pPr>
      <w:r>
        <w:rPr>
          <w:rStyle w:val="FootnoteReference"/>
        </w:rPr>
        <w:footnoteRef/>
      </w:r>
      <w:r>
        <w:t xml:space="preserve"> Cross-references for "brought us up": Isa 63:9; Isa 63:11-13.</w:t>
      </w:r>
    </w:p>
  </w:footnote>
  <w:footnote w:id="11945">
    <w:p>
      <w:pPr>
        <w:pStyle w:val="FootnoteText"/>
      </w:pPr>
      <w:r>
        <w:rPr>
          <w:rStyle w:val="FootnoteReference"/>
        </w:rPr>
        <w:footnoteRef/>
      </w:r>
      <w:r>
        <w:t xml:space="preserve"> Cross-references for "brought": Num 13:27; Num 14:7-8.</w:t>
      </w:r>
    </w:p>
  </w:footnote>
  <w:footnote w:id="11946">
    <w:p>
      <w:pPr>
        <w:pStyle w:val="FootnoteText"/>
      </w:pPr>
      <w:r>
        <w:rPr>
          <w:rStyle w:val="FootnoteReference"/>
        </w:rPr>
        <w:footnoteRef/>
      </w:r>
      <w:r>
        <w:t xml:space="preserve"> Cross-references for "priests": 1Sam 2:12; Isa 28:7.</w:t>
      </w:r>
    </w:p>
  </w:footnote>
  <w:footnote w:id="11947">
    <w:p>
      <w:pPr>
        <w:pStyle w:val="FootnoteText"/>
      </w:pPr>
      <w:r>
        <w:rPr>
          <w:rStyle w:val="FootnoteReference"/>
        </w:rPr>
        <w:footnoteRef/>
      </w:r>
      <w:r>
        <w:t xml:space="preserve"> Cross-references for "Kedar": Gen 25:13.</w:t>
      </w:r>
    </w:p>
  </w:footnote>
  <w:footnote w:id="11948">
    <w:p>
      <w:pPr>
        <w:pStyle w:val="FootnoteText"/>
      </w:pPr>
      <w:r>
        <w:rPr>
          <w:rStyle w:val="FootnoteReference"/>
        </w:rPr>
        <w:footnoteRef/>
      </w:r>
      <w:r>
        <w:t xml:space="preserve"> Cross-references for "broken cisterns": Ps 115:4-8; Ps 146:3-4.</w:t>
      </w:r>
    </w:p>
  </w:footnote>
  <w:footnote w:id="11949">
    <w:p>
      <w:pPr>
        <w:pStyle w:val="FootnoteText"/>
      </w:pPr>
      <w:r>
        <w:rPr>
          <w:rStyle w:val="FootnoteReference"/>
        </w:rPr>
        <w:footnoteRef/>
      </w:r>
      <w:r>
        <w:t xml:space="preserve"> Translation note: Greek sets a fountain of living water against broken cisterns. The contrast is between a life-giving source and human-made containers that cannot hold water.</w:t>
      </w:r>
    </w:p>
  </w:footnote>
  <w:footnote w:id="11950">
    <w:p>
      <w:pPr>
        <w:pStyle w:val="FootnoteText"/>
      </w:pPr>
      <w:r>
        <w:rPr>
          <w:rStyle w:val="FootnoteReference"/>
        </w:rPr>
        <w:footnoteRef/>
      </w:r>
      <w:r>
        <w:t xml:space="preserve"> Cross-references for "Israel": Exod 4:22; Isa 50:1.</w:t>
      </w:r>
    </w:p>
  </w:footnote>
  <w:footnote w:id="11951">
    <w:p>
      <w:pPr>
        <w:pStyle w:val="FootnoteText"/>
      </w:pPr>
      <w:r>
        <w:rPr>
          <w:rStyle w:val="FootnoteReference"/>
        </w:rPr>
        <w:footnoteRef/>
      </w:r>
      <w:r>
        <w:t xml:space="preserve"> Cross-references for "his cities": Isa 5:9; Isa 6:11.</w:t>
      </w:r>
    </w:p>
  </w:footnote>
  <w:footnote w:id="11952">
    <w:p>
      <w:pPr>
        <w:pStyle w:val="FootnoteText"/>
      </w:pPr>
      <w:r>
        <w:rPr>
          <w:rStyle w:val="FootnoteReference"/>
        </w:rPr>
        <w:footnoteRef/>
      </w:r>
      <w:r>
        <w:t xml:space="preserve"> Place name: Tahpanhes. Place-name meaning: Tahpanhes — Egyptian border city; traditional meaning linked with flight or temptation. Source form: Tahpanhes. Greek form: ταφνας.</w:t>
      </w:r>
    </w:p>
  </w:footnote>
  <w:footnote w:id="11953">
    <w:p>
      <w:pPr>
        <w:pStyle w:val="FootnoteText"/>
      </w:pPr>
      <w:r>
        <w:rPr>
          <w:rStyle w:val="FootnoteReference"/>
        </w:rPr>
        <w:footnoteRef/>
      </w:r>
      <w:r>
        <w:t xml:space="preserve"> Translation note: Greek reads Gihon here for Egypt's water. This edition keeps the Greek river/place name rather than replacing it with another traditional river name.</w:t>
      </w:r>
    </w:p>
  </w:footnote>
  <w:footnote w:id="11954">
    <w:p>
      <w:pPr>
        <w:pStyle w:val="FootnoteText"/>
      </w:pPr>
      <w:r>
        <w:rPr>
          <w:rStyle w:val="FootnoteReference"/>
        </w:rPr>
        <w:footnoteRef/>
      </w:r>
      <w:r>
        <w:t xml:space="preserve"> Cross-references for "bitter": Job 20:11-16; Jer 4:18.</w:t>
      </w:r>
    </w:p>
  </w:footnote>
  <w:footnote w:id="11955">
    <w:p>
      <w:pPr>
        <w:pStyle w:val="FootnoteText"/>
      </w:pPr>
      <w:r>
        <w:rPr>
          <w:rStyle w:val="FootnoteReference"/>
        </w:rPr>
        <w:footnoteRef/>
      </w:r>
      <w:r>
        <w:t xml:space="preserve"> Cross-references for "wholly": Gen 18:19; Gen 26:3-5.</w:t>
      </w:r>
    </w:p>
  </w:footnote>
  <w:footnote w:id="11956">
    <w:p>
      <w:pPr>
        <w:pStyle w:val="FootnoteText"/>
      </w:pPr>
      <w:r>
        <w:rPr>
          <w:rStyle w:val="FootnoteReference"/>
        </w:rPr>
        <w:footnoteRef/>
      </w:r>
      <w:r>
        <w:t xml:space="preserve"> Translation note: Greek contrasts the vine God planted as fruitful and true with the vine that became foreign and bitter.</w:t>
      </w:r>
    </w:p>
  </w:footnote>
  <w:footnote w:id="11957">
    <w:p>
      <w:pPr>
        <w:pStyle w:val="FootnoteText"/>
      </w:pPr>
      <w:r>
        <w:rPr>
          <w:rStyle w:val="FootnoteReference"/>
        </w:rPr>
        <w:footnoteRef/>
      </w:r>
      <w:r>
        <w:t xml:space="preserve"> Translation note: Greek nitron refers to natron or mineral alkali used for washing. Niter is retained as the traditional English term.</w:t>
      </w:r>
    </w:p>
  </w:footnote>
  <w:footnote w:id="11958">
    <w:p>
      <w:pPr>
        <w:pStyle w:val="FootnoteText"/>
      </w:pPr>
      <w:r>
        <w:rPr>
          <w:rStyle w:val="FootnoteReference"/>
        </w:rPr>
        <w:footnoteRef/>
      </w:r>
      <w:r>
        <w:t xml:space="preserve"> MT/LXX note: Greek poluandrion means a burial place or cemetery. The wording differs from the more familiar valley wording in Hebrew-aligned translations.</w:t>
      </w:r>
    </w:p>
  </w:footnote>
  <w:footnote w:id="11959">
    <w:p>
      <w:pPr>
        <w:pStyle w:val="FootnoteText"/>
      </w:pPr>
      <w:r>
        <w:rPr>
          <w:rStyle w:val="FootnoteReference"/>
        </w:rPr>
        <w:footnoteRef/>
      </w:r>
      <w:r>
        <w:t xml:space="preserve"> MT/LXX note: The Greek image is difficult. The translation keeps the LXX wording of desire, wind-bearing, and being given over rather than replacing it with the Hebrew-aligned wild-donkey image.</w:t>
      </w:r>
    </w:p>
  </w:footnote>
  <w:footnote w:id="11960">
    <w:p>
      <w:pPr>
        <w:pStyle w:val="FootnoteText"/>
      </w:pPr>
      <w:r>
        <w:rPr>
          <w:rStyle w:val="FootnoteReference"/>
        </w:rPr>
        <w:footnoteRef/>
      </w:r>
      <w:r>
        <w:t xml:space="preserve"> Cross-references for "their kings": Ezra 9:7; Neh 9:32-34.</w:t>
      </w:r>
    </w:p>
  </w:footnote>
  <w:footnote w:id="11961">
    <w:p>
      <w:pPr>
        <w:pStyle w:val="FootnoteText"/>
      </w:pPr>
      <w:r>
        <w:rPr>
          <w:rStyle w:val="FootnoteReference"/>
        </w:rPr>
        <w:footnoteRef/>
      </w:r>
      <w:r>
        <w:t xml:space="preserve"> Translation note: The tree and stone language is idol imagery. The verse contrasts treating created objects as parents with turning backs, not faces, toward the Lord.</w:t>
      </w:r>
    </w:p>
  </w:footnote>
  <w:footnote w:id="11962">
    <w:p>
      <w:pPr>
        <w:pStyle w:val="FootnoteText"/>
      </w:pPr>
      <w:r>
        <w:rPr>
          <w:rStyle w:val="FootnoteReference"/>
        </w:rPr>
        <w:footnoteRef/>
      </w:r>
      <w:r>
        <w:t xml:space="preserve"> Cross-references for "to the number": 2Kgs 17:30-31; Jer 11:13.</w:t>
      </w:r>
    </w:p>
  </w:footnote>
  <w:footnote w:id="11963">
    <w:p>
      <w:pPr>
        <w:pStyle w:val="FootnoteText"/>
      </w:pPr>
      <w:r>
        <w:rPr>
          <w:rStyle w:val="FootnoteReference"/>
        </w:rPr>
        <w:footnoteRef/>
      </w:r>
      <w:r>
        <w:t xml:space="preserve"> Translation note: Jeremiah repeats this city-and-street count in Jeremiah 11:13 when describing Judah's multiplied gods and Baal altars.</w:t>
      </w:r>
    </w:p>
  </w:footnote>
  <w:footnote w:id="11964">
    <w:p>
      <w:pPr>
        <w:pStyle w:val="FootnoteText"/>
      </w:pPr>
      <w:r>
        <w:rPr>
          <w:rStyle w:val="FootnoteReference"/>
        </w:rPr>
        <w:footnoteRef/>
      </w:r>
      <w:r>
        <w:t xml:space="preserve"> Cross-references for "In vain": 2Chr 28:22; Isa 1:5.</w:t>
      </w:r>
    </w:p>
  </w:footnote>
  <w:footnote w:id="11965">
    <w:p>
      <w:pPr>
        <w:pStyle w:val="FootnoteText"/>
      </w:pPr>
      <w:r>
        <w:rPr>
          <w:rStyle w:val="FootnoteReference"/>
        </w:rPr>
        <w:footnoteRef/>
      </w:r>
      <w:r>
        <w:t xml:space="preserve"> Translation note: Greek stethodesmida refers to a breast-band or chest ornament. The unusual garment term is retained because the verse contrasts bridal adornment with forgetting the Lord.</w:t>
      </w:r>
    </w:p>
  </w:footnote>
  <w:footnote w:id="11966">
    <w:p>
      <w:pPr>
        <w:pStyle w:val="FootnoteText"/>
      </w:pPr>
      <w:r>
        <w:rPr>
          <w:rStyle w:val="FootnoteReference"/>
        </w:rPr>
        <w:footnoteRef/>
      </w:r>
      <w:r>
        <w:t xml:space="preserve"> Translation note: Greek has plural bloods and says the innocent blood was not found in diggings or tunnels, but under every oak. The wording keeps the LXX imagery visible.</w:t>
      </w:r>
    </w:p>
  </w:footnote>
  <w:footnote w:id="11967">
    <w:p>
      <w:pPr>
        <w:pStyle w:val="FootnoteText"/>
      </w:pPr>
      <w:r>
        <w:rPr>
          <w:rStyle w:val="FootnoteReference"/>
        </w:rPr>
        <w:footnoteRef/>
      </w:r>
      <w:r>
        <w:t xml:space="preserve"> Translation note: Hands upon the head marks shame or grief. The chapter closes with Judah leaving in that posture because the Lord rejected its hope.</w:t>
      </w:r>
    </w:p>
  </w:footnote>
  <w:footnote w:id="11968">
    <w:p>
      <w:pPr>
        <w:pStyle w:val="FootnoteText"/>
      </w:pPr>
      <w:r>
        <w:rPr>
          <w:rStyle w:val="FootnoteReference"/>
        </w:rPr>
        <w:footnoteRef/>
      </w:r>
      <w:r>
        <w:t xml:space="preserve"> Translation note: Greek reads poimesin pollois, many shepherds. This edition keeps the LXX wording rather than replacing it with the more familiar lovers language.</w:t>
      </w:r>
    </w:p>
  </w:footnote>
  <w:footnote w:id="11969">
    <w:p>
      <w:pPr>
        <w:pStyle w:val="FootnoteText"/>
      </w:pPr>
      <w:r>
        <w:rPr>
          <w:rStyle w:val="FootnoteReference"/>
        </w:rPr>
        <w:footnoteRef/>
      </w:r>
      <w:r>
        <w:t xml:space="preserve"> Cross-references for "Lift": Jer 2:23; Ezek 8:4-6.</w:t>
      </w:r>
    </w:p>
  </w:footnote>
  <w:footnote w:id="11970">
    <w:p>
      <w:pPr>
        <w:pStyle w:val="FootnoteText"/>
      </w:pPr>
      <w:r>
        <w:rPr>
          <w:rStyle w:val="FootnoteReference"/>
        </w:rPr>
        <w:footnoteRef/>
      </w:r>
      <w:r>
        <w:t xml:space="preserve"> Translation note: Greek has koronē erēmoumenē, a crow/raven-like image in a desolate place. The wording keeps the LXX image visible.</w:t>
      </w:r>
    </w:p>
  </w:footnote>
  <w:footnote w:id="11971">
    <w:p>
      <w:pPr>
        <w:pStyle w:val="FootnoteText"/>
      </w:pPr>
      <w:r>
        <w:rPr>
          <w:rStyle w:val="FootnoteReference"/>
        </w:rPr>
        <w:footnoteRef/>
      </w:r>
      <w:r>
        <w:t xml:space="preserve"> Translation note: Greek gives an unusual title sequence: house and father and leader of your virginity. The translation keeps the sequence rather than normalizing it away.</w:t>
      </w:r>
    </w:p>
  </w:footnote>
  <w:footnote w:id="11972">
    <w:p>
      <w:pPr>
        <w:pStyle w:val="FootnoteText"/>
      </w:pPr>
      <w:r>
        <w:rPr>
          <w:rStyle w:val="FootnoteReference"/>
        </w:rPr>
        <w:footnoteRef/>
      </w:r>
      <w:r>
        <w:t xml:space="preserve"> Translation note: Greek biblion apostasiou is a written document of dismissal or divorce. This verse applies the marriage-divorce image to Israel's adultery.</w:t>
      </w:r>
    </w:p>
  </w:footnote>
  <w:footnote w:id="11973">
    <w:p>
      <w:pPr>
        <w:pStyle w:val="FootnoteText"/>
      </w:pPr>
      <w:r>
        <w:rPr>
          <w:rStyle w:val="FootnoteReference"/>
        </w:rPr>
        <w:footnoteRef/>
      </w:r>
      <w:r>
        <w:t xml:space="preserve"> Cross-references for "committed": Isa 57:6; Jer 2:27.</w:t>
      </w:r>
    </w:p>
  </w:footnote>
  <w:footnote w:id="11974">
    <w:p>
      <w:pPr>
        <w:pStyle w:val="FootnoteText"/>
      </w:pPr>
      <w:r>
        <w:rPr>
          <w:rStyle w:val="FootnoteReference"/>
        </w:rPr>
        <w:footnoteRef/>
      </w:r>
      <w:r>
        <w:t xml:space="preserve"> Translation note: Greek has articular wood and stone. The phrase continues the idolatry image from Jeremiah 2:27 and treats the idols as covenant-adultery partners.</w:t>
      </w:r>
    </w:p>
  </w:footnote>
  <w:footnote w:id="11975">
    <w:p>
      <w:pPr>
        <w:pStyle w:val="FootnoteText"/>
      </w:pPr>
      <w:r>
        <w:rPr>
          <w:rStyle w:val="FootnoteReference"/>
        </w:rPr>
        <w:footnoteRef/>
      </w:r>
      <w:r>
        <w:t xml:space="preserve"> Cross-references for "Judah": 2Chr 34:33; 2Chr 35:1-18.</w:t>
      </w:r>
    </w:p>
  </w:footnote>
  <w:footnote w:id="11976">
    <w:p>
      <w:pPr>
        <w:pStyle w:val="FootnoteText"/>
      </w:pPr>
      <w:r>
        <w:rPr>
          <w:rStyle w:val="FootnoteReference"/>
        </w:rPr>
        <w:footnoteRef/>
      </w:r>
      <w:r>
        <w:t xml:space="preserve"> Translation note: Greek says from whole/all her heart. English uses the standard idiom with all her heart.</w:t>
      </w:r>
    </w:p>
  </w:footnote>
  <w:footnote w:id="11977">
    <w:p>
      <w:pPr>
        <w:pStyle w:val="FootnoteText"/>
      </w:pPr>
      <w:r>
        <w:rPr>
          <w:rStyle w:val="FootnoteReference"/>
        </w:rPr>
        <w:footnoteRef/>
      </w:r>
      <w:r>
        <w:t xml:space="preserve"> Cross-references for "justified": Ezek 16:47; Ezek 16:51-52.</w:t>
      </w:r>
    </w:p>
  </w:footnote>
  <w:footnote w:id="11978">
    <w:p>
      <w:pPr>
        <w:pStyle w:val="FootnoteText"/>
      </w:pPr>
      <w:r>
        <w:rPr>
          <w:rStyle w:val="FootnoteReference"/>
        </w:rPr>
        <w:footnoteRef/>
      </w:r>
      <w:r>
        <w:t xml:space="preserve"> Cross-references for "toward the north": 2Kgs 15:29; 2Kgs 17:6.</w:t>
      </w:r>
    </w:p>
  </w:footnote>
  <w:footnote w:id="11979">
    <w:p>
      <w:pPr>
        <w:pStyle w:val="FootnoteText"/>
      </w:pPr>
      <w:r>
        <w:rPr>
          <w:rStyle w:val="FootnoteReference"/>
        </w:rPr>
        <w:footnoteRef/>
      </w:r>
      <w:r>
        <w:t xml:space="preserve"> Translation note: Greek says I will not set my face against you. The idiom presents mercy as God refusing to turn his face against the returning people.</w:t>
      </w:r>
    </w:p>
  </w:footnote>
  <w:footnote w:id="11980">
    <w:p>
      <w:pPr>
        <w:pStyle w:val="FootnoteText"/>
      </w:pPr>
      <w:r>
        <w:rPr>
          <w:rStyle w:val="FootnoteReference"/>
        </w:rPr>
        <w:footnoteRef/>
      </w:r>
      <w:r>
        <w:t xml:space="preserve"> Translation note: Greek keeps a vivid poured-out-ways metaphor for covenant infidelity under every leafy tree.</w:t>
      </w:r>
    </w:p>
  </w:footnote>
  <w:footnote w:id="11981">
    <w:p>
      <w:pPr>
        <w:pStyle w:val="FootnoteText"/>
      </w:pPr>
      <w:r>
        <w:rPr>
          <w:rStyle w:val="FootnoteReference"/>
        </w:rPr>
        <w:footnoteRef/>
      </w:r>
      <w:r>
        <w:t xml:space="preserve"> Cross-references for "under every": Deut 12:2.</w:t>
      </w:r>
    </w:p>
  </w:footnote>
  <w:footnote w:id="11982">
    <w:p>
      <w:pPr>
        <w:pStyle w:val="FootnoteText"/>
      </w:pPr>
      <w:r>
        <w:rPr>
          <w:rStyle w:val="FootnoteReference"/>
        </w:rPr>
        <w:footnoteRef/>
      </w:r>
      <w:r>
        <w:t xml:space="preserve"> Translation note: Greek pairs Return with sons who have turned away, preserving the turn/return wordplay.</w:t>
      </w:r>
    </w:p>
  </w:footnote>
  <w:footnote w:id="11983">
    <w:p>
      <w:pPr>
        <w:pStyle w:val="FootnoteText"/>
      </w:pPr>
      <w:r>
        <w:rPr>
          <w:rStyle w:val="FootnoteReference"/>
        </w:rPr>
        <w:footnoteRef/>
      </w:r>
      <w:r>
        <w:t xml:space="preserve"> Translation note: Positive shepherds according to God's heart contrast the many shepherds of Jeremiah 3:1 and will shepherd with knowledge.</w:t>
      </w:r>
    </w:p>
  </w:footnote>
  <w:footnote w:id="11984">
    <w:p>
      <w:pPr>
        <w:pStyle w:val="FootnoteText"/>
      </w:pPr>
      <w:r>
        <w:rPr>
          <w:rStyle w:val="FootnoteReference"/>
        </w:rPr>
        <w:footnoteRef/>
      </w:r>
      <w:r>
        <w:t xml:space="preserve"> Translation note: The LXX says the ark will no longer come up in the heart or be named, visited, or made again. The line shifts hope away from the ark as the focal object.</w:t>
      </w:r>
    </w:p>
  </w:footnote>
  <w:footnote w:id="11985">
    <w:p>
      <w:pPr>
        <w:pStyle w:val="FootnoteText"/>
      </w:pPr>
      <w:r>
        <w:rPr>
          <w:rStyle w:val="FootnoteReference"/>
        </w:rPr>
        <w:footnoteRef/>
      </w:r>
      <w:r>
        <w:t xml:space="preserve"> Cross-references for "the ark": Isa 65:17; Isa 66:1-2.</w:t>
      </w:r>
    </w:p>
  </w:footnote>
  <w:footnote w:id="11986">
    <w:p>
      <w:pPr>
        <w:pStyle w:val="FootnoteText"/>
      </w:pPr>
      <w:r>
        <w:rPr>
          <w:rStyle w:val="FootnoteReference"/>
        </w:rPr>
        <w:footnoteRef/>
      </w:r>
      <w:r>
        <w:t xml:space="preserve"> Translation note: Jerusalem itself is called the throne of the Lord and becomes the gathering point for all nations.</w:t>
      </w:r>
    </w:p>
  </w:footnote>
  <w:footnote w:id="11987">
    <w:p>
      <w:pPr>
        <w:pStyle w:val="FootnoteText"/>
      </w:pPr>
      <w:r>
        <w:rPr>
          <w:rStyle w:val="FootnoteReference"/>
        </w:rPr>
        <w:footnoteRef/>
      </w:r>
      <w:r>
        <w:t xml:space="preserve"> Cross-references for "the throne": Ps 87:3; Isa 6:1.</w:t>
      </w:r>
    </w:p>
  </w:footnote>
  <w:footnote w:id="11988">
    <w:p>
      <w:pPr>
        <w:pStyle w:val="FootnoteText"/>
      </w:pPr>
      <w:r>
        <w:rPr>
          <w:rStyle w:val="FootnoteReference"/>
        </w:rPr>
        <w:footnoteRef/>
      </w:r>
      <w:r>
        <w:t xml:space="preserve"> Translation note: Greek uses epi with the house of Israel; the translation uses with for the reunion sense of Judah and Israel.</w:t>
      </w:r>
    </w:p>
  </w:footnote>
  <w:footnote w:id="11989">
    <w:p>
      <w:pPr>
        <w:pStyle w:val="FootnoteText"/>
      </w:pPr>
      <w:r>
        <w:rPr>
          <w:rStyle w:val="FootnoteReference"/>
        </w:rPr>
        <w:footnoteRef/>
      </w:r>
      <w:r>
        <w:t xml:space="preserve"> Translation note: Greek reads theou pantokratoros ethnon. The translation keeps the LXX divine-title wording instead of smoothing it away.</w:t>
      </w:r>
    </w:p>
  </w:footnote>
  <w:footnote w:id="11990">
    <w:p>
      <w:pPr>
        <w:pStyle w:val="FootnoteText"/>
      </w:pPr>
      <w:r>
        <w:rPr>
          <w:rStyle w:val="FootnoteReference"/>
        </w:rPr>
        <w:footnoteRef/>
      </w:r>
      <w:r>
        <w:t xml:space="preserve"> Translation note: The spouse image continues the covenant-adultery theme: Israel's breach is compared to a woman acting faithlessly toward her companion.</w:t>
      </w:r>
    </w:p>
  </w:footnote>
  <w:footnote w:id="11991">
    <w:p>
      <w:pPr>
        <w:pStyle w:val="FootnoteText"/>
      </w:pPr>
      <w:r>
        <w:rPr>
          <w:rStyle w:val="FootnoteReference"/>
        </w:rPr>
        <w:footnoteRef/>
      </w:r>
      <w:r>
        <w:t xml:space="preserve"> Cross-references for "A voice": Isa 15:2; Jer 30:15-17.</w:t>
      </w:r>
    </w:p>
  </w:footnote>
  <w:footnote w:id="11992">
    <w:p>
      <w:pPr>
        <w:pStyle w:val="FootnoteText"/>
      </w:pPr>
      <w:r>
        <w:rPr>
          <w:rStyle w:val="FootnoteReference"/>
        </w:rPr>
        <w:footnoteRef/>
      </w:r>
      <w:r>
        <w:t xml:space="preserve"> Translation note: Greek reads theou hagiou auton. The translation keeps the divine-title wording rather than reducing it to a generic description.</w:t>
      </w:r>
    </w:p>
  </w:footnote>
  <w:footnote w:id="11993">
    <w:p>
      <w:pPr>
        <w:pStyle w:val="FootnoteText"/>
      </w:pPr>
      <w:r>
        <w:rPr>
          <w:rStyle w:val="FootnoteReference"/>
        </w:rPr>
        <w:footnoteRef/>
      </w:r>
      <w:r>
        <w:t xml:space="preserve"> Translation note: Greek repeats the return root. The translation keeps the wordplay as part of the call to repentance.</w:t>
      </w:r>
    </w:p>
  </w:footnote>
  <w:footnote w:id="11994">
    <w:p>
      <w:pPr>
        <w:pStyle w:val="FootnoteText"/>
      </w:pPr>
      <w:r>
        <w:rPr>
          <w:rStyle w:val="FootnoteReference"/>
        </w:rPr>
        <w:footnoteRef/>
      </w:r>
      <w:r>
        <w:t xml:space="preserve"> Translation note: Greek syntrimmata means breakings or fractures. The image is healing what has been broken by covenant unfaithfulness.</w:t>
      </w:r>
    </w:p>
  </w:footnote>
  <w:footnote w:id="11995">
    <w:p>
      <w:pPr>
        <w:pStyle w:val="FootnoteText"/>
      </w:pPr>
      <w:r>
        <w:rPr>
          <w:rStyle w:val="FootnoteReference"/>
        </w:rPr>
        <w:footnoteRef/>
      </w:r>
      <w:r>
        <w:t xml:space="preserve"> Cross-references for "Return": Hos 6:1; Hos 14:1.</w:t>
      </w:r>
    </w:p>
  </w:footnote>
  <w:footnote w:id="11996">
    <w:p>
      <w:pPr>
        <w:pStyle w:val="FootnoteText"/>
      </w:pPr>
      <w:r>
        <w:rPr>
          <w:rStyle w:val="FootnoteReference"/>
        </w:rPr>
        <w:footnoteRef/>
      </w:r>
      <w:r>
        <w:t xml:space="preserve"> Translation note: The hills and mountain strength stand for false refuge or false worship in contrast to salvation through the Lord.</w:t>
      </w:r>
    </w:p>
  </w:footnote>
  <w:footnote w:id="11997">
    <w:p>
      <w:pPr>
        <w:pStyle w:val="FootnoteText"/>
      </w:pPr>
      <w:r>
        <w:rPr>
          <w:rStyle w:val="FootnoteReference"/>
        </w:rPr>
        <w:footnoteRef/>
      </w:r>
      <w:r>
        <w:t xml:space="preserve"> Translation note: Shame is personified as consuming inherited labor and household fruit: flock animals and children alike.</w:t>
      </w:r>
    </w:p>
  </w:footnote>
  <w:footnote w:id="11998">
    <w:p>
      <w:pPr>
        <w:pStyle w:val="FootnoteText"/>
      </w:pPr>
      <w:r>
        <w:rPr>
          <w:rStyle w:val="FootnoteReference"/>
        </w:rPr>
        <w:footnoteRef/>
      </w:r>
      <w:r>
        <w:t xml:space="preserve"> Cross-references for "we and our": Ezra 9:7; Neh 9:32-34.</w:t>
      </w:r>
    </w:p>
  </w:footnote>
  <w:footnote w:id="11999">
    <w:p>
      <w:pPr>
        <w:pStyle w:val="FootnoteText"/>
      </w:pPr>
      <w:r>
        <w:rPr>
          <w:rStyle w:val="FootnoteReference"/>
        </w:rPr>
        <w:footnoteRef/>
      </w:r>
      <w:r>
        <w:t xml:space="preserve"> Cross-references for "return": Isa 31:6; Jer 3:1.</w:t>
      </w:r>
    </w:p>
  </w:footnote>
  <w:footnote w:id="12000">
    <w:p>
      <w:pPr>
        <w:pStyle w:val="FootnoteText"/>
      </w:pPr>
      <w:r>
        <w:rPr>
          <w:rStyle w:val="FootnoteReference"/>
        </w:rPr>
        <w:footnoteRef/>
      </w:r>
      <w:r>
        <w:t xml:space="preserve"> Translation note: Greek uses a reverence/fear verb with before my face. The wording keeps the face idiom without the awkward fears from before phrase.</w:t>
      </w:r>
    </w:p>
  </w:footnote>
  <w:footnote w:id="12001">
    <w:p>
      <w:pPr>
        <w:pStyle w:val="FootnoteText"/>
      </w:pPr>
      <w:r>
        <w:rPr>
          <w:rStyle w:val="FootnoteReference"/>
        </w:rPr>
        <w:footnoteRef/>
      </w:r>
      <w:r>
        <w:t xml:space="preserve"> Translation note: The Greek keeps a three-part covenant-ethical formula here. English LXX witnesses support retaining truth, judgment, and righteousness together rather than compressing the line.</w:t>
      </w:r>
    </w:p>
  </w:footnote>
  <w:footnote w:id="12002">
    <w:p>
      <w:pPr>
        <w:pStyle w:val="FootnoteText"/>
      </w:pPr>
      <w:r>
        <w:rPr>
          <w:rStyle w:val="FootnoteReference"/>
        </w:rPr>
        <w:footnoteRef/>
      </w:r>
      <w:r>
        <w:t xml:space="preserve"> Cross-references for "and in him": Isa 45:25; Jer 9:24.</w:t>
      </w:r>
    </w:p>
  </w:footnote>
  <w:footnote w:id="12003">
    <w:p>
      <w:pPr>
        <w:pStyle w:val="FootnoteText"/>
      </w:pPr>
      <w:r>
        <w:rPr>
          <w:rStyle w:val="FootnoteReference"/>
        </w:rPr>
        <w:footnoteRef/>
      </w:r>
      <w:r>
        <w:t xml:space="preserve"> Translation note: Greek repeats a new/fresh-root agricultural image. The translation uses the established fresh-ground farming idiom.</w:t>
      </w:r>
    </w:p>
  </w:footnote>
  <w:footnote w:id="12004">
    <w:p>
      <w:pPr>
        <w:pStyle w:val="FootnoteText"/>
      </w:pPr>
      <w:r>
        <w:rPr>
          <w:rStyle w:val="FootnoteReference"/>
        </w:rPr>
        <w:footnoteRef/>
      </w:r>
      <w:r>
        <w:t xml:space="preserve"> Cross-references for "Break": Gen 3:18; Hos 10:12.</w:t>
      </w:r>
    </w:p>
  </w:footnote>
  <w:footnote w:id="12005">
    <w:p>
      <w:pPr>
        <w:pStyle w:val="FootnoteText"/>
      </w:pPr>
      <w:r>
        <w:rPr>
          <w:rStyle w:val="FootnoteReference"/>
        </w:rPr>
        <w:footnoteRef/>
      </w:r>
      <w:r>
        <w:t xml:space="preserve"> Translation note: Greek has sklerokardian. The translation expands the compound into hardness of heart while keeping the circumcision image.</w:t>
      </w:r>
    </w:p>
  </w:footnote>
  <w:footnote w:id="12006">
    <w:p>
      <w:pPr>
        <w:pStyle w:val="FootnoteText"/>
      </w:pPr>
      <w:r>
        <w:rPr>
          <w:rStyle w:val="FootnoteReference"/>
        </w:rPr>
        <w:footnoteRef/>
      </w:r>
      <w:r>
        <w:t xml:space="preserve"> Translation note: The trumpet line begins the public alarm that moves Judah toward fortified cities.</w:t>
      </w:r>
    </w:p>
  </w:footnote>
  <w:footnote w:id="12007">
    <w:p>
      <w:pPr>
        <w:pStyle w:val="FootnoteText"/>
      </w:pPr>
      <w:r>
        <w:rPr>
          <w:rStyle w:val="FootnoteReference"/>
        </w:rPr>
        <w:footnoteRef/>
      </w:r>
      <w:r>
        <w:t xml:space="preserve"> Translation note: The threat is framed as northern disaster and a great crushing. The wording keeps the LXX disaster term rather than flattening it to calamity.</w:t>
      </w:r>
    </w:p>
  </w:footnote>
  <w:footnote w:id="12008">
    <w:p>
      <w:pPr>
        <w:pStyle w:val="FootnoteText"/>
      </w:pPr>
      <w:r>
        <w:rPr>
          <w:rStyle w:val="FootnoteReference"/>
        </w:rPr>
        <w:footnoteRef/>
      </w:r>
      <w:r>
        <w:t xml:space="preserve"> Cross-references for "and a great": Jer 50:22; Jer 51:54.</w:t>
      </w:r>
    </w:p>
  </w:footnote>
  <w:footnote w:id="12009">
    <w:p>
      <w:pPr>
        <w:pStyle w:val="FootnoteText"/>
      </w:pPr>
      <w:r>
        <w:rPr>
          <w:rStyle w:val="FootnoteReference"/>
        </w:rPr>
        <w:footnoteRef/>
      </w:r>
      <w:r>
        <w:t xml:space="preserve"> Cross-references for "lion": 2Kgs 24:1; 2Kgs 25:1.</w:t>
      </w:r>
    </w:p>
  </w:footnote>
  <w:footnote w:id="12010">
    <w:p>
      <w:pPr>
        <w:pStyle w:val="FootnoteText"/>
      </w:pPr>
      <w:r>
        <w:rPr>
          <w:rStyle w:val="FootnoteReference"/>
        </w:rPr>
        <w:footnoteRef/>
      </w:r>
      <w:r>
        <w:t xml:space="preserve"> Translation note: The LXX stacks the lion image with a destroyer-of-nations title for the invading power.</w:t>
      </w:r>
    </w:p>
  </w:footnote>
  <w:footnote w:id="12011">
    <w:p>
      <w:pPr>
        <w:pStyle w:val="FootnoteText"/>
      </w:pPr>
      <w:r>
        <w:rPr>
          <w:rStyle w:val="FootnoteReference"/>
        </w:rPr>
        <w:footnoteRef/>
      </w:r>
      <w:r>
        <w:t xml:space="preserve"> Cross-references for "gird": Isa 15:3; Isa 22:12.</w:t>
      </w:r>
    </w:p>
  </w:footnote>
  <w:footnote w:id="12012">
    <w:p>
      <w:pPr>
        <w:pStyle w:val="FootnoteText"/>
      </w:pPr>
      <w:r>
        <w:rPr>
          <w:rStyle w:val="FootnoteReference"/>
        </w:rPr>
        <w:footnoteRef/>
      </w:r>
      <w:r>
        <w:t xml:space="preserve"> Translation note: The collapse reaches every public office named here: king, rulers, priests, and prophets.</w:t>
      </w:r>
    </w:p>
  </w:footnote>
  <w:footnote w:id="12013">
    <w:p>
      <w:pPr>
        <w:pStyle w:val="FootnoteText"/>
      </w:pPr>
      <w:r>
        <w:rPr>
          <w:rStyle w:val="FootnoteReference"/>
        </w:rPr>
        <w:footnoteRef/>
      </w:r>
      <w:r>
        <w:t xml:space="preserve"> Cross-references for "and the priests": Isa 29:9-10; Jer 5:31.</w:t>
      </w:r>
    </w:p>
  </w:footnote>
  <w:footnote w:id="12014">
    <w:p>
      <w:pPr>
        <w:pStyle w:val="FootnoteText"/>
      </w:pPr>
      <w:r>
        <w:rPr>
          <w:rStyle w:val="FootnoteReference"/>
        </w:rPr>
        <w:footnoteRef/>
      </w:r>
      <w:r>
        <w:t xml:space="preserve"> Cross-references for "surely": 1Kgs 22:20-23; Isa 63:17.</w:t>
      </w:r>
    </w:p>
  </w:footnote>
  <w:footnote w:id="12015">
    <w:p>
      <w:pPr>
        <w:pStyle w:val="FootnoteText"/>
      </w:pPr>
      <w:r>
        <w:rPr>
          <w:rStyle w:val="FootnoteReference"/>
        </w:rPr>
        <w:footnoteRef/>
      </w:r>
      <w:r>
        <w:t xml:space="preserve"> Translation note: Greek repeats the deception root. The wording keeps the shock of the line while avoiding broken English.</w:t>
      </w:r>
    </w:p>
  </w:footnote>
  <w:footnote w:id="12016">
    <w:p>
      <w:pPr>
        <w:pStyle w:val="FootnoteText"/>
      </w:pPr>
      <w:r>
        <w:rPr>
          <w:rStyle w:val="FootnoteReference"/>
        </w:rPr>
        <w:footnoteRef/>
      </w:r>
      <w:r>
        <w:t xml:space="preserve"> Translation note: The LXX phrase is difficult and may evoke wind or spirit. The translation keeps the wilderness-wandering image rather than replacing it with a smoother paraphrase.</w:t>
      </w:r>
    </w:p>
  </w:footnote>
  <w:footnote w:id="12017">
    <w:p>
      <w:pPr>
        <w:pStyle w:val="FootnoteText"/>
      </w:pPr>
      <w:r>
        <w:rPr>
          <w:rStyle w:val="FootnoteReference"/>
        </w:rPr>
        <w:footnoteRef/>
      </w:r>
      <w:r>
        <w:t xml:space="preserve"> Cross-references for "daughter": Jer 8:19; Jer 9:1.</w:t>
      </w:r>
    </w:p>
  </w:footnote>
  <w:footnote w:id="12018">
    <w:p>
      <w:pPr>
        <w:pStyle w:val="FootnoteText"/>
      </w:pPr>
      <w:r>
        <w:rPr>
          <w:rStyle w:val="FootnoteReference"/>
        </w:rPr>
        <w:footnoteRef/>
      </w:r>
      <w:r>
        <w:t xml:space="preserve"> Translation note: Greek reads pneuma pleroseos. The unusual phrase is retained because it is part of the LXX wording of the oracle.</w:t>
      </w:r>
    </w:p>
  </w:footnote>
  <w:footnote w:id="12019">
    <w:p>
      <w:pPr>
        <w:pStyle w:val="FootnoteText"/>
      </w:pPr>
      <w:r>
        <w:rPr>
          <w:rStyle w:val="FootnoteReference"/>
        </w:rPr>
        <w:footnoteRef/>
      </w:r>
      <w:r>
        <w:t xml:space="preserve"> Cross-references for "Behold": Isa 13:5; Isa 19:1.</w:t>
      </w:r>
    </w:p>
  </w:footnote>
  <w:footnote w:id="12020">
    <w:p>
      <w:pPr>
        <w:pStyle w:val="FootnoteText"/>
      </w:pPr>
      <w:r>
        <w:rPr>
          <w:rStyle w:val="FootnoteReference"/>
        </w:rPr>
        <w:footnoteRef/>
      </w:r>
      <w:r>
        <w:t xml:space="preserve"> Translation note: The verse stacks images of speed and force: cloud, storm, and eagles.</w:t>
      </w:r>
    </w:p>
  </w:footnote>
  <w:footnote w:id="12021">
    <w:p>
      <w:pPr>
        <w:pStyle w:val="FootnoteText"/>
      </w:pPr>
      <w:r>
        <w:rPr>
          <w:rStyle w:val="FootnoteReference"/>
        </w:rPr>
        <w:footnoteRef/>
      </w:r>
      <w:r>
        <w:t xml:space="preserve"> Cross-references for "Wash": Isa 1:16-19; Isa 55:7.</w:t>
      </w:r>
    </w:p>
  </w:footnote>
  <w:footnote w:id="12022">
    <w:p>
      <w:pPr>
        <w:pStyle w:val="FootnoteText"/>
      </w:pPr>
      <w:r>
        <w:rPr>
          <w:rStyle w:val="FootnoteReference"/>
        </w:rPr>
        <w:footnoteRef/>
      </w:r>
      <w:r>
        <w:t xml:space="preserve"> Translation note: Greek keeps the labors/toils term. The note preserves the LXX wording without converting it into generic evil thoughts.</w:t>
      </w:r>
    </w:p>
  </w:footnote>
  <w:footnote w:id="12023">
    <w:p>
      <w:pPr>
        <w:pStyle w:val="FootnoteText"/>
      </w:pPr>
      <w:r>
        <w:rPr>
          <w:rStyle w:val="FootnoteReference"/>
        </w:rPr>
        <w:footnoteRef/>
      </w:r>
      <w:r>
        <w:t xml:space="preserve"> Cross-references for "a voice": Judg 18:29; Judg 20:1.</w:t>
      </w:r>
    </w:p>
  </w:footnote>
  <w:footnote w:id="12024">
    <w:p>
      <w:pPr>
        <w:pStyle w:val="FootnoteText"/>
      </w:pPr>
      <w:r>
        <w:rPr>
          <w:rStyle w:val="FootnoteReference"/>
        </w:rPr>
        <w:footnoteRef/>
      </w:r>
      <w:r>
        <w:t xml:space="preserve"> Translation note: The warning moves from the northern edge through Ephraim toward Judah.</w:t>
      </w:r>
    </w:p>
  </w:footnote>
  <w:footnote w:id="12025">
    <w:p>
      <w:pPr>
        <w:pStyle w:val="FootnoteText"/>
      </w:pPr>
      <w:r>
        <w:rPr>
          <w:rStyle w:val="FootnoteReference"/>
        </w:rPr>
        <w:footnoteRef/>
      </w:r>
      <w:r>
        <w:t xml:space="preserve"> Translation note: Greek systrophai can mean gathered bands or crowds. The translation keeps the plural threat image.</w:t>
      </w:r>
    </w:p>
  </w:footnote>
  <w:footnote w:id="12026">
    <w:p>
      <w:pPr>
        <w:pStyle w:val="FootnoteText"/>
      </w:pPr>
      <w:r>
        <w:rPr>
          <w:rStyle w:val="FootnoteReference"/>
        </w:rPr>
        <w:footnoteRef/>
      </w:r>
      <w:r>
        <w:t xml:space="preserve"> Translation note: The enemy surrounds Jerusalem like field-watchers posted around a field.</w:t>
      </w:r>
    </w:p>
  </w:footnote>
  <w:footnote w:id="12027">
    <w:p>
      <w:pPr>
        <w:pStyle w:val="FootnoteText"/>
      </w:pPr>
      <w:r>
        <w:rPr>
          <w:rStyle w:val="FootnoteReference"/>
        </w:rPr>
        <w:footnoteRef/>
      </w:r>
      <w:r>
        <w:t xml:space="preserve"> Cross-references for "keepers": 2Kgs 25:1-4; Isa 1:8.</w:t>
      </w:r>
    </w:p>
  </w:footnote>
  <w:footnote w:id="12028">
    <w:p>
      <w:pPr>
        <w:pStyle w:val="FootnoteText"/>
      </w:pPr>
      <w:r>
        <w:rPr>
          <w:rStyle w:val="FootnoteReference"/>
        </w:rPr>
        <w:footnoteRef/>
      </w:r>
      <w:r>
        <w:t xml:space="preserve"> Translation note: The verse makes Judah's own ways and practices the cause of the bitter wound that reaches the heart.</w:t>
      </w:r>
    </w:p>
  </w:footnote>
  <w:footnote w:id="12029">
    <w:p>
      <w:pPr>
        <w:pStyle w:val="FootnoteText"/>
      </w:pPr>
      <w:r>
        <w:rPr>
          <w:rStyle w:val="FootnoteReference"/>
        </w:rPr>
        <w:footnoteRef/>
      </w:r>
      <w:r>
        <w:t xml:space="preserve"> Translation note: The LXX uses visceral body language for prophetic anguish: belly, heart-feelings, soul, and heart all appear in the line.</w:t>
      </w:r>
    </w:p>
  </w:footnote>
  <w:footnote w:id="12030">
    <w:p>
      <w:pPr>
        <w:pStyle w:val="FootnoteText"/>
      </w:pPr>
      <w:r>
        <w:rPr>
          <w:rStyle w:val="FootnoteReference"/>
        </w:rPr>
        <w:footnoteRef/>
      </w:r>
      <w:r>
        <w:t xml:space="preserve"> Translation note: The Greek pairs affliction and crushing in a difficult compact phrase. The translation keeps both terms visible.</w:t>
      </w:r>
    </w:p>
  </w:footnote>
  <w:footnote w:id="12031">
    <w:p>
      <w:pPr>
        <w:pStyle w:val="FootnoteText"/>
      </w:pPr>
      <w:r>
        <w:rPr>
          <w:rStyle w:val="FootnoteReference"/>
        </w:rPr>
        <w:footnoteRef/>
      </w:r>
      <w:r>
        <w:t xml:space="preserve"> Cross-references for "Suddenly": Isa 33:20; Isa 54:2.</w:t>
      </w:r>
    </w:p>
  </w:footnote>
  <w:footnote w:id="12032">
    <w:p>
      <w:pPr>
        <w:pStyle w:val="FootnoteText"/>
      </w:pPr>
      <w:r>
        <w:rPr>
          <w:rStyle w:val="FootnoteReference"/>
        </w:rPr>
        <w:footnoteRef/>
      </w:r>
      <w:r>
        <w:t xml:space="preserve"> Cross-references for "How long": Jer 4:14.</w:t>
      </w:r>
    </w:p>
  </w:footnote>
  <w:footnote w:id="12033">
    <w:p>
      <w:pPr>
        <w:pStyle w:val="FootnoteText"/>
      </w:pPr>
      <w:r>
        <w:rPr>
          <w:rStyle w:val="FootnoteReference"/>
        </w:rPr>
        <w:footnoteRef/>
      </w:r>
      <w:r>
        <w:t xml:space="preserve"> Translation note: The leadership indictment is moral inversion: skillful in evil yet ignorant of doing good.</w:t>
      </w:r>
    </w:p>
  </w:footnote>
  <w:footnote w:id="12034">
    <w:p>
      <w:pPr>
        <w:pStyle w:val="FootnoteText"/>
      </w:pPr>
      <w:r>
        <w:rPr>
          <w:rStyle w:val="FootnoteReference"/>
        </w:rPr>
        <w:footnoteRef/>
      </w:r>
      <w:r>
        <w:t xml:space="preserve"> Cross-references for "the earth": Gen 1:2; Isa 24:19-23.</w:t>
      </w:r>
    </w:p>
  </w:footnote>
  <w:footnote w:id="12035">
    <w:p>
      <w:pPr>
        <w:pStyle w:val="FootnoteText"/>
      </w:pPr>
      <w:r>
        <w:rPr>
          <w:rStyle w:val="FootnoteReference"/>
        </w:rPr>
        <w:footnoteRef/>
      </w:r>
      <w:r>
        <w:t xml:space="preserve"> Translation note: The vision reverses creation order: earth, heaven, and lights are stripped back toward nothing.</w:t>
      </w:r>
    </w:p>
  </w:footnote>
  <w:footnote w:id="12036">
    <w:p>
      <w:pPr>
        <w:pStyle w:val="FootnoteText"/>
      </w:pPr>
      <w:r>
        <w:rPr>
          <w:rStyle w:val="FootnoteReference"/>
        </w:rPr>
        <w:footnoteRef/>
      </w:r>
      <w:r>
        <w:t xml:space="preserve"> Cross-references for "mountains": Judg 5:4-5; 1Kgs 19:11.</w:t>
      </w:r>
    </w:p>
  </w:footnote>
  <w:footnote w:id="12037">
    <w:p>
      <w:pPr>
        <w:pStyle w:val="FootnoteText"/>
      </w:pPr>
      <w:r>
        <w:rPr>
          <w:rStyle w:val="FootnoteReference"/>
        </w:rPr>
        <w:footnoteRef/>
      </w:r>
      <w:r>
        <w:t xml:space="preserve"> Translation note: The stable features of the land tremble in the judgment vision.</w:t>
      </w:r>
    </w:p>
  </w:footnote>
  <w:footnote w:id="12038">
    <w:p>
      <w:pPr>
        <w:pStyle w:val="FootnoteText"/>
      </w:pPr>
      <w:r>
        <w:rPr>
          <w:rStyle w:val="FootnoteReference"/>
        </w:rPr>
        <w:footnoteRef/>
      </w:r>
      <w:r>
        <w:t xml:space="preserve"> Translation note: Greek anthropos is rendered human here because the vision is creation-wide rather than male-specific.</w:t>
      </w:r>
    </w:p>
  </w:footnote>
  <w:footnote w:id="12039">
    <w:p>
      <w:pPr>
        <w:pStyle w:val="FootnoteText"/>
      </w:pPr>
      <w:r>
        <w:rPr>
          <w:rStyle w:val="FootnoteReference"/>
        </w:rPr>
        <w:footnoteRef/>
      </w:r>
      <w:r>
        <w:t xml:space="preserve"> Translation note: Carmel, normally a fruitful place, becomes desert in the judgment vision.</w:t>
      </w:r>
    </w:p>
  </w:footnote>
  <w:footnote w:id="12040">
    <w:p>
      <w:pPr>
        <w:pStyle w:val="FootnoteText"/>
      </w:pPr>
      <w:r>
        <w:rPr>
          <w:rStyle w:val="FootnoteReference"/>
        </w:rPr>
        <w:footnoteRef/>
      </w:r>
      <w:r>
        <w:t xml:space="preserve"> Translation note: The desolation is severe but not total. The no-full-end phrase preserves the limit placed on judgment.</w:t>
      </w:r>
    </w:p>
  </w:footnote>
  <w:footnote w:id="12041">
    <w:p>
      <w:pPr>
        <w:pStyle w:val="FootnoteText"/>
      </w:pPr>
      <w:r>
        <w:rPr>
          <w:rStyle w:val="FootnoteReference"/>
        </w:rPr>
        <w:footnoteRef/>
      </w:r>
      <w:r>
        <w:t xml:space="preserve"> Cross-references for "the earth": Isa 24:4; Isa 33:8-9.</w:t>
      </w:r>
    </w:p>
  </w:footnote>
  <w:footnote w:id="12042">
    <w:p>
      <w:pPr>
        <w:pStyle w:val="FootnoteText"/>
      </w:pPr>
      <w:r>
        <w:rPr>
          <w:rStyle w:val="FootnoteReference"/>
        </w:rPr>
        <w:footnoteRef/>
      </w:r>
      <w:r>
        <w:t xml:space="preserve"> Translation note: Greek uses a motion verb. The translation avoids the misleading rushed-in wording while keeping the sense of judgment already set underway.</w:t>
      </w:r>
    </w:p>
  </w:footnote>
  <w:footnote w:id="12043">
    <w:p>
      <w:pPr>
        <w:pStyle w:val="FootnoteText"/>
      </w:pPr>
      <w:r>
        <w:rPr>
          <w:rStyle w:val="FootnoteReference"/>
        </w:rPr>
        <w:footnoteRef/>
      </w:r>
      <w:r>
        <w:t xml:space="preserve"> Translation note: The cosmetic image belongs to the rejected-lover metaphor: beautifying cannot save Zion from those seeking her soul.</w:t>
      </w:r>
    </w:p>
  </w:footnote>
  <w:footnote w:id="12044">
    <w:p>
      <w:pPr>
        <w:pStyle w:val="FootnoteText"/>
      </w:pPr>
      <w:r>
        <w:rPr>
          <w:rStyle w:val="FootnoteReference"/>
        </w:rPr>
        <w:footnoteRef/>
      </w:r>
      <w:r>
        <w:t xml:space="preserve"> Cross-references for "in vain": Jer 22:20-22; Lam 1:2.</w:t>
      </w:r>
    </w:p>
  </w:footnote>
  <w:footnote w:id="12045">
    <w:p>
      <w:pPr>
        <w:pStyle w:val="FootnoteText"/>
      </w:pPr>
      <w:r>
        <w:rPr>
          <w:rStyle w:val="FootnoteReference"/>
        </w:rPr>
        <w:footnoteRef/>
      </w:r>
      <w:r>
        <w:t xml:space="preserve"> Cross-references for "The voice": Jer 6:2; Jer 6:23.</w:t>
      </w:r>
    </w:p>
  </w:footnote>
  <w:footnote w:id="12046">
    <w:p>
      <w:pPr>
        <w:pStyle w:val="FootnoteText"/>
      </w:pPr>
      <w:r>
        <w:rPr>
          <w:rStyle w:val="FootnoteReference"/>
        </w:rPr>
        <w:footnoteRef/>
      </w:r>
      <w:r>
        <w:t xml:space="preserve"> Translation note: The chapter closes with Zion's voice as a laboring woman whose strength fails because of the slain.</w:t>
      </w:r>
    </w:p>
  </w:footnote>
  <w:footnote w:id="12047">
    <w:p>
      <w:pPr>
        <w:pStyle w:val="FootnoteText"/>
      </w:pPr>
      <w:r>
        <w:rPr>
          <w:rStyle w:val="FootnoteReference"/>
        </w:rPr>
        <w:footnoteRef/>
      </w:r>
      <w:r>
        <w:t xml:space="preserve"> Cross-references for "seek": Prov 8:3; Song 3:2.</w:t>
      </w:r>
    </w:p>
  </w:footnote>
  <w:footnote w:id="12048">
    <w:p>
      <w:pPr>
        <w:pStyle w:val="FootnoteText"/>
      </w:pPr>
      <w:r>
        <w:rPr>
          <w:rStyle w:val="FootnoteReference"/>
        </w:rPr>
        <w:footnoteRef/>
      </w:r>
      <w:r>
        <w:t xml:space="preserve"> Translation note: The search looks for even one person in Jerusalem practicing judgment and seeking faithfulness.</w:t>
      </w:r>
    </w:p>
  </w:footnote>
  <w:footnote w:id="12049">
    <w:p>
      <w:pPr>
        <w:pStyle w:val="FootnoteText"/>
      </w:pPr>
      <w:r>
        <w:rPr>
          <w:rStyle w:val="FootnoteReference"/>
        </w:rPr>
        <w:footnoteRef/>
      </w:r>
      <w:r>
        <w:t xml:space="preserve"> Translation note: Greek frames the false-oath charge as a rhetorical question after the formula As the Lord lives.</w:t>
      </w:r>
    </w:p>
  </w:footnote>
  <w:footnote w:id="12050">
    <w:p>
      <w:pPr>
        <w:pStyle w:val="FootnoteText"/>
      </w:pPr>
      <w:r>
        <w:rPr>
          <w:rStyle w:val="FootnoteReference"/>
        </w:rPr>
        <w:footnoteRef/>
      </w:r>
      <w:r>
        <w:t xml:space="preserve"> Translation note: The people remain unresponsive to discipline: struck yet not pained and finished yet unwilling to receive correction.</w:t>
      </w:r>
    </w:p>
  </w:footnote>
  <w:footnote w:id="12051">
    <w:p>
      <w:pPr>
        <w:pStyle w:val="FootnoteText"/>
      </w:pPr>
      <w:r>
        <w:rPr>
          <w:rStyle w:val="FootnoteReference"/>
        </w:rPr>
        <w:footnoteRef/>
      </w:r>
      <w:r>
        <w:t xml:space="preserve"> Translation note: The poor are described as not knowing both the Lord's way and God's judgment.</w:t>
      </w:r>
    </w:p>
  </w:footnote>
  <w:footnote w:id="12052">
    <w:p>
      <w:pPr>
        <w:pStyle w:val="FootnoteText"/>
      </w:pPr>
      <w:r>
        <w:rPr>
          <w:rStyle w:val="FootnoteReference"/>
        </w:rPr>
        <w:footnoteRef/>
      </w:r>
      <w:r>
        <w:t xml:space="preserve"> Translation note: The speaker turns from the poor to the great men expecting covenant knowledge, but they too broke the yoke and tore bonds.</w:t>
      </w:r>
    </w:p>
  </w:footnote>
  <w:footnote w:id="12053">
    <w:p>
      <w:pPr>
        <w:pStyle w:val="FootnoteText"/>
      </w:pPr>
      <w:r>
        <w:rPr>
          <w:rStyle w:val="FootnoteReference"/>
        </w:rPr>
        <w:footnoteRef/>
      </w:r>
      <w:r>
        <w:t xml:space="preserve"> Cross-references for "a lion": Jer 2:15; Jer 4:7.</w:t>
      </w:r>
    </w:p>
  </w:footnote>
  <w:footnote w:id="12054">
    <w:p>
      <w:pPr>
        <w:pStyle w:val="FootnoteText"/>
      </w:pPr>
      <w:r>
        <w:rPr>
          <w:rStyle w:val="FootnoteReference"/>
        </w:rPr>
        <w:footnoteRef/>
      </w:r>
      <w:r>
        <w:t xml:space="preserve"> Translation note: The judgment is pictured as three predators: lion from the forest, wolf reaching the houses, and leopard watching the cities.</w:t>
      </w:r>
    </w:p>
  </w:footnote>
  <w:footnote w:id="12055">
    <w:p>
      <w:pPr>
        <w:pStyle w:val="FootnoteText"/>
      </w:pPr>
      <w:r>
        <w:rPr>
          <w:rStyle w:val="FootnoteReference"/>
        </w:rPr>
        <w:footnoteRef/>
      </w:r>
      <w:r>
        <w:t xml:space="preserve"> Translation note: The oath charge names false deities as things that are not gods, followed by adultery imagery for covenant unfaithfulness.</w:t>
      </w:r>
    </w:p>
  </w:footnote>
  <w:footnote w:id="12056">
    <w:p>
      <w:pPr>
        <w:pStyle w:val="FootnoteText"/>
      </w:pPr>
      <w:r>
        <w:rPr>
          <w:rStyle w:val="FootnoteReference"/>
        </w:rPr>
        <w:footnoteRef/>
      </w:r>
      <w:r>
        <w:t xml:space="preserve"> Translation note: The image compares the adulterous people to sexually driven horses neighing after another man's wife.</w:t>
      </w:r>
    </w:p>
  </w:footnote>
  <w:footnote w:id="12057">
    <w:p>
      <w:pPr>
        <w:pStyle w:val="FootnoteText"/>
      </w:pPr>
      <w:r>
        <w:rPr>
          <w:rStyle w:val="FootnoteReference"/>
        </w:rPr>
        <w:footnoteRef/>
      </w:r>
      <w:r>
        <w:t xml:space="preserve"> Translation note: This refrain frames the preceding idolatry and adultery as offenses requiring divine visitation and vengeance.</w:t>
      </w:r>
    </w:p>
  </w:footnote>
  <w:footnote w:id="12058">
    <w:p>
      <w:pPr>
        <w:pStyle w:val="FootnoteText"/>
      </w:pPr>
      <w:r>
        <w:rPr>
          <w:rStyle w:val="FootnoteReference"/>
        </w:rPr>
        <w:footnoteRef/>
      </w:r>
      <w:r>
        <w:t xml:space="preserve"> Cross-references for "I not visit": Jer 5:29; Jer 9:9.</w:t>
      </w:r>
    </w:p>
  </w:footnote>
  <w:footnote w:id="12059">
    <w:p>
      <w:pPr>
        <w:pStyle w:val="FootnoteText"/>
      </w:pPr>
      <w:r>
        <w:rPr>
          <w:rStyle w:val="FootnoteReference"/>
        </w:rPr>
        <w:footnoteRef/>
      </w:r>
      <w:r>
        <w:t xml:space="preserve"> Translation note: The tearing down is limited. The Lord's supports remain and the judgment is not total annihilation.</w:t>
      </w:r>
    </w:p>
  </w:footnote>
  <w:footnote w:id="12060">
    <w:p>
      <w:pPr>
        <w:pStyle w:val="FootnoteText"/>
      </w:pPr>
      <w:r>
        <w:rPr>
          <w:rStyle w:val="FootnoteReference"/>
        </w:rPr>
        <w:footnoteRef/>
      </w:r>
      <w:r>
        <w:t xml:space="preserve"> Cross-references for "the house": Isa 48:8; Jer 3:6-11.</w:t>
      </w:r>
    </w:p>
  </w:footnote>
  <w:footnote w:id="12061">
    <w:p>
      <w:pPr>
        <w:pStyle w:val="FootnoteText"/>
      </w:pPr>
      <w:r>
        <w:rPr>
          <w:rStyle w:val="FootnoteReference"/>
        </w:rPr>
        <w:footnoteRef/>
      </w:r>
      <w:r>
        <w:t xml:space="preserve"> Translation note: Greek repeats the faithlessness root to intensify the accusation against both Israel and Judah.</w:t>
      </w:r>
    </w:p>
  </w:footnote>
  <w:footnote w:id="12062">
    <w:p>
      <w:pPr>
        <w:pStyle w:val="FootnoteText"/>
      </w:pPr>
      <w:r>
        <w:rPr>
          <w:rStyle w:val="FootnoteReference"/>
        </w:rPr>
        <w:footnoteRef/>
      </w:r>
      <w:r>
        <w:t xml:space="preserve"> Translation note: Greek points to denial of the announced judgments rather than a direct denial that the Lord exists.</w:t>
      </w:r>
    </w:p>
  </w:footnote>
  <w:footnote w:id="12063">
    <w:p>
      <w:pPr>
        <w:pStyle w:val="FootnoteText"/>
      </w:pPr>
      <w:r>
        <w:rPr>
          <w:rStyle w:val="FootnoteReference"/>
        </w:rPr>
        <w:footnoteRef/>
      </w:r>
      <w:r>
        <w:t xml:space="preserve"> Translation note: The accusation pictures empty prophecy as wind because the word of the Lord was not in them.</w:t>
      </w:r>
    </w:p>
  </w:footnote>
  <w:footnote w:id="12064">
    <w:p>
      <w:pPr>
        <w:pStyle w:val="FootnoteText"/>
      </w:pPr>
      <w:r>
        <w:rPr>
          <w:rStyle w:val="FootnoteReference"/>
        </w:rPr>
        <w:footnoteRef/>
      </w:r>
      <w:r>
        <w:t xml:space="preserve"> Translation note: The oracle turns the Lord's words into fire and the people into wood for judgment.</w:t>
      </w:r>
    </w:p>
  </w:footnote>
  <w:footnote w:id="12065">
    <w:p>
      <w:pPr>
        <w:pStyle w:val="FootnoteText"/>
      </w:pPr>
      <w:r>
        <w:rPr>
          <w:rStyle w:val="FootnoteReference"/>
        </w:rPr>
        <w:footnoteRef/>
      </w:r>
      <w:r>
        <w:t xml:space="preserve"> Cross-references for "a nation": Isa 28:11; Isa 33:19.</w:t>
      </w:r>
    </w:p>
  </w:footnote>
  <w:footnote w:id="12066">
    <w:p>
      <w:pPr>
        <w:pStyle w:val="FootnoteText"/>
      </w:pPr>
      <w:r>
        <w:rPr>
          <w:rStyle w:val="FootnoteReference"/>
        </w:rPr>
        <w:footnoteRef/>
      </w:r>
      <w:r>
        <w:t xml:space="preserve"> Translation note: Greek keeps voice and language together. The phrase marks the invading nation as foreign and unintelligible.</w:t>
      </w:r>
    </w:p>
  </w:footnote>
  <w:footnote w:id="12067">
    <w:p>
      <w:pPr>
        <w:pStyle w:val="FootnoteText"/>
      </w:pPr>
      <w:r>
        <w:rPr>
          <w:rStyle w:val="FootnoteReference"/>
        </w:rPr>
        <w:footnoteRef/>
      </w:r>
      <w:r>
        <w:t xml:space="preserve"> Translation note: The short line describes the invading force as composed of strong warriors.</w:t>
      </w:r>
    </w:p>
  </w:footnote>
  <w:footnote w:id="12068">
    <w:p>
      <w:pPr>
        <w:pStyle w:val="FootnoteText"/>
      </w:pPr>
      <w:r>
        <w:rPr>
          <w:rStyle w:val="FootnoteReference"/>
        </w:rPr>
        <w:footnoteRef/>
      </w:r>
      <w:r>
        <w:t xml:space="preserve"> Translation note: The repeated eating language presents invasion as total consumption of food sources and households before the fortified cities are threshed by sword.</w:t>
      </w:r>
    </w:p>
  </w:footnote>
  <w:footnote w:id="12069">
    <w:p>
      <w:pPr>
        <w:pStyle w:val="FootnoteText"/>
      </w:pPr>
      <w:r>
        <w:rPr>
          <w:rStyle w:val="FootnoteReference"/>
        </w:rPr>
        <w:footnoteRef/>
      </w:r>
      <w:r>
        <w:t xml:space="preserve"> Translation note: The judgment remains limited by the Lord's promise not to make a complete end of the people.</w:t>
      </w:r>
    </w:p>
  </w:footnote>
  <w:footnote w:id="12070">
    <w:p>
      <w:pPr>
        <w:pStyle w:val="FootnoteText"/>
      </w:pPr>
      <w:r>
        <w:rPr>
          <w:rStyle w:val="FootnoteReference"/>
        </w:rPr>
        <w:footnoteRef/>
      </w:r>
      <w:r>
        <w:t xml:space="preserve"> Cross-references for "I will not make": Jer 4:27; Jer 5:10.</w:t>
      </w:r>
    </w:p>
  </w:footnote>
  <w:footnote w:id="12071">
    <w:p>
      <w:pPr>
        <w:pStyle w:val="FootnoteText"/>
      </w:pPr>
      <w:r>
        <w:rPr>
          <w:rStyle w:val="FootnoteReference"/>
        </w:rPr>
        <w:footnoteRef/>
      </w:r>
      <w:r>
        <w:t xml:space="preserve"> Translation note: The punishment mirrors the sin: serving foreign gods in their land leads to serving foreigners in a land not theirs.</w:t>
      </w:r>
    </w:p>
  </w:footnote>
  <w:footnote w:id="12072">
    <w:p>
      <w:pPr>
        <w:pStyle w:val="FootnoteText"/>
      </w:pPr>
      <w:r>
        <w:rPr>
          <w:rStyle w:val="FootnoteReference"/>
        </w:rPr>
        <w:footnoteRef/>
      </w:r>
      <w:r>
        <w:t xml:space="preserve"> Translation note: The indictment describes spiritual incapacity by means of eyes that do not see and ears that do not hear.</w:t>
      </w:r>
    </w:p>
  </w:footnote>
  <w:footnote w:id="12073">
    <w:p>
      <w:pPr>
        <w:pStyle w:val="FootnoteText"/>
      </w:pPr>
      <w:r>
        <w:rPr>
          <w:rStyle w:val="FootnoteReference"/>
        </w:rPr>
        <w:footnoteRef/>
      </w:r>
      <w:r>
        <w:t xml:space="preserve"> Cross-references for "tremble": Ps 99:1; Ps 119:120.</w:t>
      </w:r>
    </w:p>
  </w:footnote>
  <w:footnote w:id="12074">
    <w:p>
      <w:pPr>
        <w:pStyle w:val="FootnoteText"/>
      </w:pPr>
      <w:r>
        <w:rPr>
          <w:rStyle w:val="FootnoteReference"/>
        </w:rPr>
        <w:footnoteRef/>
      </w:r>
      <w:r>
        <w:t xml:space="preserve"> Translation note: The Lord's command restrains the sea by a sand boundary even when its waves roar.</w:t>
      </w:r>
    </w:p>
  </w:footnote>
  <w:footnote w:id="12075">
    <w:p>
      <w:pPr>
        <w:pStyle w:val="FootnoteText"/>
      </w:pPr>
      <w:r>
        <w:rPr>
          <w:rStyle w:val="FootnoteReference"/>
        </w:rPr>
        <w:footnoteRef/>
      </w:r>
      <w:r>
        <w:t xml:space="preserve"> Translation note: The people are contrasted with the obedient sea by having a heart that turns aside and goes away.</w:t>
      </w:r>
    </w:p>
  </w:footnote>
  <w:footnote w:id="12076">
    <w:p>
      <w:pPr>
        <w:pStyle w:val="FootnoteText"/>
      </w:pPr>
      <w:r>
        <w:rPr>
          <w:rStyle w:val="FootnoteReference"/>
        </w:rPr>
        <w:footnoteRef/>
      </w:r>
      <w:r>
        <w:t xml:space="preserve"> Cross-references for "Let us now": Isa 64:7; Jer 5:22.</w:t>
      </w:r>
    </w:p>
  </w:footnote>
  <w:footnote w:id="12077">
    <w:p>
      <w:pPr>
        <w:pStyle w:val="FootnoteText"/>
      </w:pPr>
      <w:r>
        <w:rPr>
          <w:rStyle w:val="FootnoteReference"/>
        </w:rPr>
        <w:footnoteRef/>
      </w:r>
      <w:r>
        <w:t xml:space="preserve"> Translation note: The failure to fear the Lord ignores his regular gift of seasonal rain and appointed harvest fullness.</w:t>
      </w:r>
    </w:p>
  </w:footnote>
  <w:footnote w:id="12078">
    <w:p>
      <w:pPr>
        <w:pStyle w:val="FootnoteText"/>
      </w:pPr>
      <w:r>
        <w:rPr>
          <w:rStyle w:val="FootnoteReference"/>
        </w:rPr>
        <w:footnoteRef/>
      </w:r>
      <w:r>
        <w:t xml:space="preserve"> Translation note: The withheld good things answer the previous rain and harvest line by naming sin as the cause of loss.</w:t>
      </w:r>
    </w:p>
  </w:footnote>
  <w:footnote w:id="12079">
    <w:p>
      <w:pPr>
        <w:pStyle w:val="FootnoteText"/>
      </w:pPr>
      <w:r>
        <w:rPr>
          <w:rStyle w:val="FootnoteReference"/>
        </w:rPr>
        <w:footnoteRef/>
      </w:r>
      <w:r>
        <w:t xml:space="preserve"> Translation note: The charge pictures ungodly men as hunters who trap and capture other people.</w:t>
      </w:r>
    </w:p>
  </w:footnote>
  <w:footnote w:id="12080">
    <w:p>
      <w:pPr>
        <w:pStyle w:val="FootnoteText"/>
      </w:pPr>
      <w:r>
        <w:rPr>
          <w:rStyle w:val="FootnoteReference"/>
        </w:rPr>
        <w:footnoteRef/>
      </w:r>
      <w:r>
        <w:t xml:space="preserve"> Translation note: Their houses are compared to a bird-snare full of prey because they are full of deceit.</w:t>
      </w:r>
    </w:p>
  </w:footnote>
  <w:footnote w:id="12081">
    <w:p>
      <w:pPr>
        <w:pStyle w:val="FootnoteText"/>
      </w:pPr>
      <w:r>
        <w:rPr>
          <w:rStyle w:val="FootnoteReference"/>
        </w:rPr>
        <w:footnoteRef/>
      </w:r>
      <w:r>
        <w:t xml:space="preserve"> Cross-references for "judge": Job 29:12-14; Ps 72:4.</w:t>
      </w:r>
    </w:p>
  </w:footnote>
  <w:footnote w:id="12082">
    <w:p>
      <w:pPr>
        <w:pStyle w:val="FootnoteText"/>
      </w:pPr>
      <w:r>
        <w:rPr>
          <w:rStyle w:val="FootnoteReference"/>
        </w:rPr>
        <w:footnoteRef/>
      </w:r>
      <w:r>
        <w:t xml:space="preserve"> Translation note: The social-justice charge names failure to judge rightly for the orphan and widow.</w:t>
      </w:r>
    </w:p>
  </w:footnote>
  <w:footnote w:id="12083">
    <w:p>
      <w:pPr>
        <w:pStyle w:val="FootnoteText"/>
      </w:pPr>
      <w:r>
        <w:rPr>
          <w:rStyle w:val="FootnoteReference"/>
        </w:rPr>
        <w:footnoteRef/>
      </w:r>
      <w:r>
        <w:t xml:space="preserve"> Translation note: The refrain repeats the question of divine visitation after the injustice accusations.</w:t>
      </w:r>
    </w:p>
  </w:footnote>
  <w:footnote w:id="12084">
    <w:p>
      <w:pPr>
        <w:pStyle w:val="FootnoteText"/>
      </w:pPr>
      <w:r>
        <w:rPr>
          <w:rStyle w:val="FootnoteReference"/>
        </w:rPr>
        <w:footnoteRef/>
      </w:r>
      <w:r>
        <w:t xml:space="preserve"> Translation note: The chapter closes by naming corrupt prophets and priests along with a people who loved the arrangement.</w:t>
      </w:r>
    </w:p>
  </w:footnote>
  <w:footnote w:id="12085">
    <w:p>
      <w:pPr>
        <w:pStyle w:val="FootnoteText"/>
      </w:pPr>
      <w:r>
        <w:rPr>
          <w:rStyle w:val="FootnoteReference"/>
        </w:rPr>
        <w:footnoteRef/>
      </w:r>
      <w:r>
        <w:t xml:space="preserve"> Cross-references for "Prophets": Jer 14:14; Jer 23:25-26.</w:t>
      </w:r>
    </w:p>
  </w:footnote>
  <w:footnote w:id="12086">
    <w:p>
      <w:pPr>
        <w:pStyle w:val="FootnoteText"/>
      </w:pPr>
      <w:r>
        <w:rPr>
          <w:rStyle w:val="FootnoteReference"/>
        </w:rPr>
        <w:footnoteRef/>
      </w:r>
      <w:r>
        <w:t xml:space="preserve"> Cross-references for "Tekoa": 2Sam 14:2; 2Chr 11:6.</w:t>
      </w:r>
    </w:p>
  </w:footnote>
  <w:footnote w:id="12087">
    <w:p>
      <w:pPr>
        <w:pStyle w:val="FootnoteText"/>
      </w:pPr>
      <w:r>
        <w:rPr>
          <w:rStyle w:val="FootnoteReference"/>
        </w:rPr>
        <w:footnoteRef/>
      </w:r>
      <w:r>
        <w:t xml:space="preserve"> Translation note: Beth-haccherem is a place name meaning house of the vineyard. Greek has Baithacharma here and the text calls for a signal over that location.</w:t>
      </w:r>
    </w:p>
  </w:footnote>
  <w:footnote w:id="12088">
    <w:p>
      <w:pPr>
        <w:pStyle w:val="FootnoteText"/>
      </w:pPr>
      <w:r>
        <w:rPr>
          <w:rStyle w:val="FootnoteReference"/>
        </w:rPr>
        <w:footnoteRef/>
      </w:r>
      <w:r>
        <w:t xml:space="preserve"> Place name: Beth-haccherem. Place-name meaning: Bethhaccerem — house of the vineyard. Standard English equivalent: Bethhaccerem. Source form: Beth-haccherem. Greek form: βαιθαχαρμα.</w:t>
      </w:r>
    </w:p>
  </w:footnote>
  <w:footnote w:id="12089">
    <w:p>
      <w:pPr>
        <w:pStyle w:val="FootnoteText"/>
      </w:pPr>
      <w:r>
        <w:rPr>
          <w:rStyle w:val="FootnoteReference"/>
        </w:rPr>
        <w:footnoteRef/>
      </w:r>
      <w:r>
        <w:t xml:space="preserve"> Translation note: The warning addresses Zion directly as her height or loftiness is taken away.</w:t>
      </w:r>
    </w:p>
  </w:footnote>
  <w:footnote w:id="12090">
    <w:p>
      <w:pPr>
        <w:pStyle w:val="FootnoteText"/>
      </w:pPr>
      <w:r>
        <w:rPr>
          <w:rStyle w:val="FootnoteReference"/>
        </w:rPr>
        <w:footnoteRef/>
      </w:r>
      <w:r>
        <w:t xml:space="preserve"> Cross-references for "daughter": Jer 4:31.</w:t>
      </w:r>
    </w:p>
  </w:footnote>
  <w:footnote w:id="12091">
    <w:p>
      <w:pPr>
        <w:pStyle w:val="FootnoteText"/>
      </w:pPr>
      <w:r>
        <w:rPr>
          <w:rStyle w:val="FootnoteReference"/>
        </w:rPr>
        <w:footnoteRef/>
      </w:r>
      <w:r>
        <w:t xml:space="preserve"> Translation note: The shepherds and flocks function as an invasion image because they pitch tents against Zion all around.</w:t>
      </w:r>
    </w:p>
  </w:footnote>
  <w:footnote w:id="12092">
    <w:p>
      <w:pPr>
        <w:pStyle w:val="FootnoteText"/>
      </w:pPr>
      <w:r>
        <w:rPr>
          <w:rStyle w:val="FootnoteReference"/>
        </w:rPr>
        <w:footnoteRef/>
      </w:r>
      <w:r>
        <w:t xml:space="preserve"> Cross-references for "Shepherds": Nah 3:18.</w:t>
      </w:r>
    </w:p>
  </w:footnote>
  <w:footnote w:id="12093">
    <w:p>
      <w:pPr>
        <w:pStyle w:val="FootnoteText"/>
      </w:pPr>
      <w:r>
        <w:rPr>
          <w:rStyle w:val="FootnoteReference"/>
        </w:rPr>
        <w:footnoteRef/>
      </w:r>
      <w:r>
        <w:t xml:space="preserve"> Cross-references for "Prepare": Isa 5:26-30; Isa 13:2-5.</w:t>
      </w:r>
    </w:p>
  </w:footnote>
  <w:footnote w:id="12094">
    <w:p>
      <w:pPr>
        <w:pStyle w:val="FootnoteText"/>
      </w:pPr>
      <w:r>
        <w:rPr>
          <w:rStyle w:val="FootnoteReference"/>
        </w:rPr>
        <w:footnoteRef/>
      </w:r>
      <w:r>
        <w:t xml:space="preserve"> Translation note: The attackers urge assault at noon and lament the fading day as evening shadows fail.</w:t>
      </w:r>
    </w:p>
  </w:footnote>
  <w:footnote w:id="12095">
    <w:p>
      <w:pPr>
        <w:pStyle w:val="FootnoteText"/>
      </w:pPr>
      <w:r>
        <w:rPr>
          <w:rStyle w:val="FootnoteReference"/>
        </w:rPr>
        <w:footnoteRef/>
      </w:r>
      <w:r>
        <w:t xml:space="preserve"> Translation note: The assault call continues from noon into night and targets the city's foundations.</w:t>
      </w:r>
    </w:p>
  </w:footnote>
  <w:footnote w:id="12096">
    <w:p>
      <w:pPr>
        <w:pStyle w:val="FootnoteText"/>
      </w:pPr>
      <w:r>
        <w:rPr>
          <w:rStyle w:val="FootnoteReference"/>
        </w:rPr>
        <w:footnoteRef/>
      </w:r>
      <w:r>
        <w:t xml:space="preserve"> Translation note: Jerusalem is addressed as a false city because oppression fills her.</w:t>
      </w:r>
    </w:p>
  </w:footnote>
  <w:footnote w:id="12097">
    <w:p>
      <w:pPr>
        <w:pStyle w:val="FootnoteText"/>
      </w:pPr>
      <w:r>
        <w:rPr>
          <w:rStyle w:val="FootnoteReference"/>
        </w:rPr>
        <w:footnoteRef/>
      </w:r>
      <w:r>
        <w:t xml:space="preserve"> Translation note: The image compares a cistern keeping water cool with Jerusalem continually producing evil.</w:t>
      </w:r>
    </w:p>
  </w:footnote>
  <w:footnote w:id="12098">
    <w:p>
      <w:pPr>
        <w:pStyle w:val="FootnoteText"/>
      </w:pPr>
      <w:r>
        <w:rPr>
          <w:rStyle w:val="FootnoteReference"/>
        </w:rPr>
        <w:footnoteRef/>
      </w:r>
      <w:r>
        <w:t xml:space="preserve"> Cross-references for "lest I": Lev 26:34; Jer 2:15.</w:t>
      </w:r>
    </w:p>
  </w:footnote>
  <w:footnote w:id="12099">
    <w:p>
      <w:pPr>
        <w:pStyle w:val="FootnoteText"/>
      </w:pPr>
      <w:r>
        <w:rPr>
          <w:rStyle w:val="FootnoteReference"/>
        </w:rPr>
        <w:footnoteRef/>
      </w:r>
      <w:r>
        <w:t xml:space="preserve"> Translation note: The warning is that refusal of discipline makes Jerusalem impassable and uninhabited.</w:t>
      </w:r>
    </w:p>
  </w:footnote>
  <w:footnote w:id="12100">
    <w:p>
      <w:pPr>
        <w:pStyle w:val="FootnoteText"/>
      </w:pPr>
      <w:r>
        <w:rPr>
          <w:rStyle w:val="FootnoteReference"/>
        </w:rPr>
        <w:footnoteRef/>
      </w:r>
      <w:r>
        <w:t xml:space="preserve"> Translation note: The image is a second pass over Israel like a grape-gatherer returning to his basket.</w:t>
      </w:r>
    </w:p>
  </w:footnote>
  <w:footnote w:id="12101">
    <w:p>
      <w:pPr>
        <w:pStyle w:val="FootnoteText"/>
      </w:pPr>
      <w:r>
        <w:rPr>
          <w:rStyle w:val="FootnoteReference"/>
        </w:rPr>
        <w:footnoteRef/>
      </w:r>
      <w:r>
        <w:t xml:space="preserve"> Cross-references for "To whom": Isa 28:9-13; Isa 53:1.</w:t>
      </w:r>
    </w:p>
  </w:footnote>
  <w:footnote w:id="12102">
    <w:p>
      <w:pPr>
        <w:pStyle w:val="FootnoteText"/>
      </w:pPr>
      <w:r>
        <w:rPr>
          <w:rStyle w:val="FootnoteReference"/>
        </w:rPr>
        <w:footnoteRef/>
      </w:r>
      <w:r>
        <w:t xml:space="preserve"> Translation note: The image explains why the people cannot hear the testimony and treat the word of the Lord as reproach.</w:t>
      </w:r>
    </w:p>
  </w:footnote>
  <w:footnote w:id="12103">
    <w:p>
      <w:pPr>
        <w:pStyle w:val="FootnoteText"/>
      </w:pPr>
      <w:r>
        <w:rPr>
          <w:rStyle w:val="FootnoteReference"/>
        </w:rPr>
        <w:footnoteRef/>
      </w:r>
      <w:r>
        <w:t xml:space="preserve"> Translation note: The judgment scope runs from infants and young men to man and woman and elder with one full of days.</w:t>
      </w:r>
    </w:p>
  </w:footnote>
  <w:footnote w:id="12104">
    <w:p>
      <w:pPr>
        <w:pStyle w:val="FootnoteText"/>
      </w:pPr>
      <w:r>
        <w:rPr>
          <w:rStyle w:val="FootnoteReference"/>
        </w:rPr>
        <w:footnoteRef/>
      </w:r>
      <w:r>
        <w:t xml:space="preserve"> Cross-references for "And their": Deut 28:30-33; Deut 28:39-43.</w:t>
      </w:r>
    </w:p>
  </w:footnote>
  <w:footnote w:id="12105">
    <w:p>
      <w:pPr>
        <w:pStyle w:val="FootnoteText"/>
      </w:pPr>
      <w:r>
        <w:rPr>
          <w:rStyle w:val="FootnoteReference"/>
        </w:rPr>
        <w:footnoteRef/>
      </w:r>
      <w:r>
        <w:t xml:space="preserve"> Translation note: The loss includes houses and fields and wives because the Lord stretches out his hand over those inhabiting the land.</w:t>
      </w:r>
    </w:p>
  </w:footnote>
  <w:footnote w:id="12106">
    <w:p>
      <w:pPr>
        <w:pStyle w:val="FootnoteText"/>
      </w:pPr>
      <w:r>
        <w:rPr>
          <w:rStyle w:val="FootnoteReference"/>
        </w:rPr>
        <w:footnoteRef/>
      </w:r>
      <w:r>
        <w:t xml:space="preserve"> Translation note: The corruption is comprehensive and reaches from the least to the greatest and from priest to false prophet.</w:t>
      </w:r>
    </w:p>
  </w:footnote>
  <w:footnote w:id="12107">
    <w:p>
      <w:pPr>
        <w:pStyle w:val="FootnoteText"/>
      </w:pPr>
      <w:r>
        <w:rPr>
          <w:rStyle w:val="FootnoteReference"/>
        </w:rPr>
        <w:footnoteRef/>
      </w:r>
      <w:r>
        <w:t xml:space="preserve"> Cross-references for "healed": Jer 8:11-12; Ezek 13:10.</w:t>
      </w:r>
    </w:p>
  </w:footnote>
  <w:footnote w:id="12108">
    <w:p>
      <w:pPr>
        <w:pStyle w:val="FootnoteText"/>
      </w:pPr>
      <w:r>
        <w:rPr>
          <w:rStyle w:val="FootnoteReference"/>
        </w:rPr>
        <w:footnoteRef/>
      </w:r>
      <w:r>
        <w:t xml:space="preserve"> Translation note: The LXX line asks where peace is after the repeated peace claim and exposes the shallow healing of the people's wound.</w:t>
      </w:r>
    </w:p>
  </w:footnote>
  <w:footnote w:id="12109">
    <w:p>
      <w:pPr>
        <w:pStyle w:val="FootnoteText"/>
      </w:pPr>
      <w:r>
        <w:rPr>
          <w:rStyle w:val="FootnoteReference"/>
        </w:rPr>
        <w:footnoteRef/>
      </w:r>
      <w:r>
        <w:t xml:space="preserve"> Cross-references for "Therefore": Prov 29:1; Isa 10:4.</w:t>
      </w:r>
    </w:p>
  </w:footnote>
  <w:footnote w:id="12110">
    <w:p>
      <w:pPr>
        <w:pStyle w:val="FootnoteText"/>
      </w:pPr>
      <w:r>
        <w:rPr>
          <w:rStyle w:val="FootnoteReference"/>
        </w:rPr>
        <w:footnoteRef/>
      </w:r>
      <w:r>
        <w:t xml:space="preserve"> Translation note: Greek repeats the falling root and links the collapse to the time of their visitation.</w:t>
      </w:r>
    </w:p>
  </w:footnote>
  <w:footnote w:id="12111">
    <w:p>
      <w:pPr>
        <w:pStyle w:val="FootnoteText"/>
      </w:pPr>
      <w:r>
        <w:rPr>
          <w:rStyle w:val="FootnoteReference"/>
        </w:rPr>
        <w:footnoteRef/>
      </w:r>
      <w:r>
        <w:t xml:space="preserve"> Cross-references for "Stand": Deut 32:7; Song 1:7-8.</w:t>
      </w:r>
    </w:p>
  </w:footnote>
  <w:footnote w:id="12112">
    <w:p>
      <w:pPr>
        <w:pStyle w:val="FootnoteText"/>
      </w:pPr>
      <w:r>
        <w:rPr>
          <w:rStyle w:val="FootnoteReference"/>
        </w:rPr>
        <w:footnoteRef/>
      </w:r>
      <w:r>
        <w:t xml:space="preserve"> Translation note: The call is to seek the old or everlasting paths and walk in the good way, but the people refuse to walk.</w:t>
      </w:r>
    </w:p>
  </w:footnote>
  <w:footnote w:id="12113">
    <w:p>
      <w:pPr>
        <w:pStyle w:val="FootnoteText"/>
      </w:pPr>
      <w:r>
        <w:rPr>
          <w:rStyle w:val="FootnoteReference"/>
        </w:rPr>
        <w:footnoteRef/>
      </w:r>
      <w:r>
        <w:t xml:space="preserve"> Translation note: The watchmen warning is rejected just like the path command: the people answer that they will not hear.</w:t>
      </w:r>
    </w:p>
  </w:footnote>
  <w:footnote w:id="12114">
    <w:p>
      <w:pPr>
        <w:pStyle w:val="FootnoteText"/>
      </w:pPr>
      <w:r>
        <w:rPr>
          <w:rStyle w:val="FootnoteReference"/>
        </w:rPr>
        <w:footnoteRef/>
      </w:r>
      <w:r>
        <w:t xml:space="preserve"> Cross-references for "O earth": Deut 4:26; Deut 30:19.</w:t>
      </w:r>
    </w:p>
  </w:footnote>
  <w:footnote w:id="12115">
    <w:p>
      <w:pPr>
        <w:pStyle w:val="FootnoteText"/>
      </w:pPr>
      <w:r>
        <w:rPr>
          <w:rStyle w:val="FootnoteReference"/>
        </w:rPr>
        <w:footnoteRef/>
      </w:r>
      <w:r>
        <w:t xml:space="preserve"> Translation note: The evils brought on the people are described as the fruit of their own turning away from the Lord's words and law.</w:t>
      </w:r>
    </w:p>
  </w:footnote>
  <w:footnote w:id="12116">
    <w:p>
      <w:pPr>
        <w:pStyle w:val="FootnoteText"/>
      </w:pPr>
      <w:r>
        <w:rPr>
          <w:rStyle w:val="FootnoteReference"/>
        </w:rPr>
        <w:footnoteRef/>
      </w:r>
      <w:r>
        <w:t xml:space="preserve"> Translation note: Sheba is a region associated with long-distance luxury trade; Hebrew Sheba is commonly connected with seven or oath. The point here is that costly imported offerings cannot replace obedience.</w:t>
      </w:r>
    </w:p>
  </w:footnote>
  <w:footnote w:id="12117">
    <w:p>
      <w:pPr>
        <w:pStyle w:val="FootnoteText"/>
      </w:pPr>
      <w:r>
        <w:rPr>
          <w:rStyle w:val="FootnoteReference"/>
        </w:rPr>
        <w:footnoteRef/>
      </w:r>
      <w:r>
        <w:t xml:space="preserve"> Cross-references for "Sheba": 1Kgs 10:1-2; 1Kgs 10:10.</w:t>
      </w:r>
    </w:p>
  </w:footnote>
  <w:footnote w:id="12118">
    <w:p>
      <w:pPr>
        <w:pStyle w:val="FootnoteText"/>
      </w:pPr>
      <w:r>
        <w:rPr>
          <w:rStyle w:val="FootnoteReference"/>
        </w:rPr>
        <w:footnoteRef/>
      </w:r>
      <w:r>
        <w:t xml:space="preserve"> Translation note: The weakness spreads across family and neighbor relationships so fathers and sons and near ones perish together.</w:t>
      </w:r>
    </w:p>
  </w:footnote>
  <w:footnote w:id="12119">
    <w:p>
      <w:pPr>
        <w:pStyle w:val="FootnoteText"/>
      </w:pPr>
      <w:r>
        <w:rPr>
          <w:rStyle w:val="FootnoteReference"/>
        </w:rPr>
        <w:footnoteRef/>
      </w:r>
      <w:r>
        <w:t xml:space="preserve"> Cross-references for "fathers": 2Chr 36:17; Isa 9:14-17.</w:t>
      </w:r>
    </w:p>
  </w:footnote>
  <w:footnote w:id="12120">
    <w:p>
      <w:pPr>
        <w:pStyle w:val="FootnoteText"/>
      </w:pPr>
      <w:r>
        <w:rPr>
          <w:rStyle w:val="FootnoteReference"/>
        </w:rPr>
        <w:footnoteRef/>
      </w:r>
      <w:r>
        <w:t xml:space="preserve"> Translation note: The invading force is described both as a people from the north and as a nation stirred from the end of the earth.</w:t>
      </w:r>
    </w:p>
  </w:footnote>
  <w:footnote w:id="12121">
    <w:p>
      <w:pPr>
        <w:pStyle w:val="FootnoteText"/>
      </w:pPr>
      <w:r>
        <w:rPr>
          <w:rStyle w:val="FootnoteReference"/>
        </w:rPr>
        <w:footnoteRef/>
      </w:r>
      <w:r>
        <w:t xml:space="preserve"> Cross-references for "a people": Jer 1:14-15; Jer 5:15.</w:t>
      </w:r>
    </w:p>
  </w:footnote>
  <w:footnote w:id="12122">
    <w:p>
      <w:pPr>
        <w:pStyle w:val="FootnoteText"/>
      </w:pPr>
      <w:r>
        <w:rPr>
          <w:rStyle w:val="FootnoteReference"/>
        </w:rPr>
        <w:footnoteRef/>
      </w:r>
      <w:r>
        <w:t xml:space="preserve"> Translation note: The enemy's sound is compared to a surging sea and his battle line to fire against the daughter of Zion.</w:t>
      </w:r>
    </w:p>
  </w:footnote>
  <w:footnote w:id="12123">
    <w:p>
      <w:pPr>
        <w:pStyle w:val="FootnoteText"/>
      </w:pPr>
      <w:r>
        <w:rPr>
          <w:rStyle w:val="FootnoteReference"/>
        </w:rPr>
        <w:footnoteRef/>
      </w:r>
      <w:r>
        <w:t xml:space="preserve"> Translation note: The report of the enemy produces paralysis and labor-pain imagery.</w:t>
      </w:r>
    </w:p>
  </w:footnote>
  <w:footnote w:id="12124">
    <w:p>
      <w:pPr>
        <w:pStyle w:val="FootnoteText"/>
      </w:pPr>
      <w:r>
        <w:rPr>
          <w:rStyle w:val="FootnoteReference"/>
        </w:rPr>
        <w:footnoteRef/>
      </w:r>
      <w:r>
        <w:t xml:space="preserve"> Translation note: The warning forbids field and road travel because enemy violence surrounds the people.</w:t>
      </w:r>
    </w:p>
  </w:footnote>
  <w:footnote w:id="12125">
    <w:p>
      <w:pPr>
        <w:pStyle w:val="FootnoteText"/>
      </w:pPr>
      <w:r>
        <w:rPr>
          <w:rStyle w:val="FootnoteReference"/>
        </w:rPr>
        <w:footnoteRef/>
      </w:r>
      <w:r>
        <w:t xml:space="preserve"> Cross-references for "the sword": 2Chr 15:5; Job 18:11.</w:t>
      </w:r>
    </w:p>
  </w:footnote>
  <w:footnote w:id="12126">
    <w:p>
      <w:pPr>
        <w:pStyle w:val="FootnoteText"/>
      </w:pPr>
      <w:r>
        <w:rPr>
          <w:rStyle w:val="FootnoteReference"/>
        </w:rPr>
        <w:footnoteRef/>
      </w:r>
      <w:r>
        <w:t xml:space="preserve"> Translation note: The mourning command calls for sackcloth and ashes as though grieving a beloved only child.</w:t>
      </w:r>
    </w:p>
  </w:footnote>
  <w:footnote w:id="12127">
    <w:p>
      <w:pPr>
        <w:pStyle w:val="FootnoteText"/>
      </w:pPr>
      <w:r>
        <w:rPr>
          <w:rStyle w:val="FootnoteReference"/>
        </w:rPr>
        <w:footnoteRef/>
      </w:r>
      <w:r>
        <w:t xml:space="preserve"> Cross-references for "daughter": Jer 4:11; Jer 6:14.</w:t>
      </w:r>
    </w:p>
  </w:footnote>
  <w:footnote w:id="12128">
    <w:p>
      <w:pPr>
        <w:pStyle w:val="FootnoteText"/>
      </w:pPr>
      <w:r>
        <w:rPr>
          <w:rStyle w:val="FootnoteReference"/>
        </w:rPr>
        <w:footnoteRef/>
      </w:r>
      <w:r>
        <w:t xml:space="preserve"> Translation note: The prophet is framed with refining/testing language as the people's way is examined.</w:t>
      </w:r>
    </w:p>
  </w:footnote>
  <w:footnote w:id="12129">
    <w:p>
      <w:pPr>
        <w:pStyle w:val="FootnoteText"/>
      </w:pPr>
      <w:r>
        <w:rPr>
          <w:rStyle w:val="FootnoteReference"/>
        </w:rPr>
        <w:footnoteRef/>
      </w:r>
      <w:r>
        <w:t xml:space="preserve"> Cross-references for "walking": Ps 50:20; Jer 9:4.</w:t>
      </w:r>
    </w:p>
  </w:footnote>
  <w:footnote w:id="12130">
    <w:p>
      <w:pPr>
        <w:pStyle w:val="FootnoteText"/>
      </w:pPr>
      <w:r>
        <w:rPr>
          <w:rStyle w:val="FootnoteReference"/>
        </w:rPr>
        <w:footnoteRef/>
      </w:r>
      <w:r>
        <w:t xml:space="preserve"> Translation note: The metal terms continue the refining image but describe corruption rather than purity.</w:t>
      </w:r>
    </w:p>
  </w:footnote>
  <w:footnote w:id="12131">
    <w:p>
      <w:pPr>
        <w:pStyle w:val="FootnoteText"/>
      </w:pPr>
      <w:r>
        <w:rPr>
          <w:rStyle w:val="FootnoteReference"/>
        </w:rPr>
        <w:footnoteRef/>
      </w:r>
      <w:r>
        <w:t xml:space="preserve"> Translation note: The refining process fails because the people's evil is not melted away.</w:t>
      </w:r>
    </w:p>
  </w:footnote>
  <w:footnote w:id="12132">
    <w:p>
      <w:pPr>
        <w:pStyle w:val="FootnoteText"/>
      </w:pPr>
      <w:r>
        <w:rPr>
          <w:rStyle w:val="FootnoteReference"/>
        </w:rPr>
        <w:footnoteRef/>
      </w:r>
      <w:r>
        <w:t xml:space="preserve"> Cross-references for "in vain": Isa 49:4; Ezek 24:13.</w:t>
      </w:r>
    </w:p>
  </w:footnote>
  <w:footnote w:id="12133">
    <w:p>
      <w:pPr>
        <w:pStyle w:val="FootnoteText"/>
      </w:pPr>
      <w:r>
        <w:rPr>
          <w:rStyle w:val="FootnoteReference"/>
        </w:rPr>
        <w:footnoteRef/>
      </w:r>
      <w:r>
        <w:t xml:space="preserve"> Translation note: Greek repeats the rejected root: they are called rejected silver because the Lord rejected them.</w:t>
      </w:r>
    </w:p>
  </w:footnote>
  <w:footnote w:id="12134">
    <w:p>
      <w:pPr>
        <w:pStyle w:val="FootnoteText"/>
      </w:pPr>
      <w:r>
        <w:rPr>
          <w:rStyle w:val="FootnoteReference"/>
        </w:rPr>
        <w:footnoteRef/>
      </w:r>
      <w:r>
        <w:t xml:space="preserve"> Cross-references for "the Lord": Jer 14:19; Lam 5:22.</w:t>
      </w:r>
    </w:p>
  </w:footnote>
  <w:footnote w:id="12135">
    <w:p>
      <w:pPr>
        <w:pStyle w:val="FootnoteText"/>
      </w:pPr>
      <w:r>
        <w:rPr>
          <w:rStyle w:val="FootnoteReference"/>
        </w:rPr>
        <w:footnoteRef/>
      </w:r>
      <w:r>
        <w:t xml:space="preserve"> Cross-references for "Hear": 1Kgs 22:19; Isa 1:10.</w:t>
      </w:r>
    </w:p>
  </w:footnote>
  <w:footnote w:id="12136">
    <w:p>
      <w:pPr>
        <w:pStyle w:val="FootnoteText"/>
      </w:pPr>
      <w:r>
        <w:rPr>
          <w:rStyle w:val="FootnoteReference"/>
        </w:rPr>
        <w:footnoteRef/>
      </w:r>
      <w:r>
        <w:t xml:space="preserve"> Cross-references for "trust": Jer 6:14; Jer 7:8.</w:t>
      </w:r>
    </w:p>
  </w:footnote>
  <w:footnote w:id="12137">
    <w:p>
      <w:pPr>
        <w:pStyle w:val="FootnoteText"/>
      </w:pPr>
      <w:r>
        <w:rPr>
          <w:rStyle w:val="FootnoteReference"/>
        </w:rPr>
        <w:footnoteRef/>
      </w:r>
      <w:r>
        <w:t xml:space="preserve"> Translation note: The repeated temple slogan is treated as a false security claim when it is detached from corrected ways and justice.</w:t>
      </w:r>
    </w:p>
  </w:footnote>
  <w:footnote w:id="12138">
    <w:p>
      <w:pPr>
        <w:pStyle w:val="FootnoteText"/>
      </w:pPr>
      <w:r>
        <w:rPr>
          <w:rStyle w:val="FootnoteReference"/>
        </w:rPr>
        <w:footnoteRef/>
      </w:r>
      <w:r>
        <w:t xml:space="preserve"> Translation note: Greek repeats the correcting and doing roots to stress genuine reform rather than merely using temple language.</w:t>
      </w:r>
    </w:p>
  </w:footnote>
  <w:footnote w:id="12139">
    <w:p>
      <w:pPr>
        <w:pStyle w:val="FootnoteText"/>
      </w:pPr>
      <w:r>
        <w:rPr>
          <w:rStyle w:val="FootnoteReference"/>
        </w:rPr>
        <w:footnoteRef/>
      </w:r>
      <w:r>
        <w:t xml:space="preserve"> Cross-references for "oppress": Exod 22:21-24; Deut 24:17.</w:t>
      </w:r>
    </w:p>
  </w:footnote>
  <w:footnote w:id="12140">
    <w:p>
      <w:pPr>
        <w:pStyle w:val="FootnoteText"/>
      </w:pPr>
      <w:r>
        <w:rPr>
          <w:rStyle w:val="FootnoteReference"/>
        </w:rPr>
        <w:footnoteRef/>
      </w:r>
      <w:r>
        <w:t xml:space="preserve"> Translation note: The sermon names vulnerable groups whose oppression contradicts true covenant obedience.</w:t>
      </w:r>
    </w:p>
  </w:footnote>
  <w:footnote w:id="12141">
    <w:p>
      <w:pPr>
        <w:pStyle w:val="FootnoteText"/>
      </w:pPr>
      <w:r>
        <w:rPr>
          <w:rStyle w:val="FootnoteReference"/>
        </w:rPr>
        <w:footnoteRef/>
      </w:r>
      <w:r>
        <w:t xml:space="preserve"> Cross-references for "in the land": Deut 4:40; 2Chr 33:8.</w:t>
      </w:r>
    </w:p>
  </w:footnote>
  <w:footnote w:id="12142">
    <w:p>
      <w:pPr>
        <w:pStyle w:val="FootnoteText"/>
      </w:pPr>
      <w:r>
        <w:rPr>
          <w:rStyle w:val="FootnoteReference"/>
        </w:rPr>
        <w:footnoteRef/>
      </w:r>
      <w:r>
        <w:t xml:space="preserve"> Translation note: The promise to settle them in the land is tied to corrected ways and faithful practice.</w:t>
      </w:r>
    </w:p>
  </w:footnote>
  <w:footnote w:id="12143">
    <w:p>
      <w:pPr>
        <w:pStyle w:val="FootnoteText"/>
      </w:pPr>
      <w:r>
        <w:rPr>
          <w:rStyle w:val="FootnoteReference"/>
        </w:rPr>
        <w:footnoteRef/>
      </w:r>
      <w:r>
        <w:t xml:space="preserve"> Cross-references for "steal": Ps 50:16-21; Isa 59:1-8.</w:t>
      </w:r>
    </w:p>
  </w:footnote>
  <w:footnote w:id="12144">
    <w:p>
      <w:pPr>
        <w:pStyle w:val="FootnoteText"/>
      </w:pPr>
      <w:r>
        <w:rPr>
          <w:rStyle w:val="FootnoteReference"/>
        </w:rPr>
        <w:footnoteRef/>
      </w:r>
      <w:r>
        <w:t xml:space="preserve"> Translation note: The Greek uses the name-upon formula for the house. The current wording keeps that covenant-identification language explicit.</w:t>
      </w:r>
    </w:p>
  </w:footnote>
  <w:footnote w:id="12145">
    <w:p>
      <w:pPr>
        <w:pStyle w:val="FootnoteText"/>
      </w:pPr>
      <w:r>
        <w:rPr>
          <w:rStyle w:val="FootnoteReference"/>
        </w:rPr>
        <w:footnoteRef/>
      </w:r>
      <w:r>
        <w:t xml:space="preserve"> Translation note: This line is the temple rebuke Jesus cites in the Gospels at Matthew 21:13 Mark 11:17 and Luke 19:46.</w:t>
      </w:r>
    </w:p>
  </w:footnote>
  <w:footnote w:id="12146">
    <w:p>
      <w:pPr>
        <w:pStyle w:val="FootnoteText"/>
      </w:pPr>
      <w:r>
        <w:rPr>
          <w:rStyle w:val="FootnoteReference"/>
        </w:rPr>
        <w:footnoteRef/>
      </w:r>
      <w:r>
        <w:t xml:space="preserve"> Cross-references for "my place": Josh 18:1; Judg 18:31.</w:t>
      </w:r>
    </w:p>
  </w:footnote>
  <w:footnote w:id="12147">
    <w:p>
      <w:pPr>
        <w:pStyle w:val="FootnoteText"/>
      </w:pPr>
      <w:r>
        <w:rPr>
          <w:rStyle w:val="FootnoteReference"/>
        </w:rPr>
        <w:footnoteRef/>
      </w:r>
      <w:r>
        <w:t xml:space="preserve"> Translation note: Shiloh was the earlier sanctuary site used as a warning example here. The place name is commonly linked with rest or tranquility though the etymology is debated.</w:t>
      </w:r>
    </w:p>
  </w:footnote>
  <w:footnote w:id="12148">
    <w:p>
      <w:pPr>
        <w:pStyle w:val="FootnoteText"/>
      </w:pPr>
      <w:r>
        <w:rPr>
          <w:rStyle w:val="FootnoteReference"/>
        </w:rPr>
        <w:footnoteRef/>
      </w:r>
      <w:r>
        <w:t xml:space="preserve"> Cross-references for "and I called": Prov 1:24; Isa 50:2.</w:t>
      </w:r>
    </w:p>
  </w:footnote>
  <w:footnote w:id="12149">
    <w:p>
      <w:pPr>
        <w:pStyle w:val="FootnoteText"/>
      </w:pPr>
      <w:r>
        <w:rPr>
          <w:rStyle w:val="FootnoteReference"/>
        </w:rPr>
        <w:footnoteRef/>
      </w:r>
      <w:r>
        <w:t xml:space="preserve"> Translation note: The present house is warned by the fate of Shiloh so temple location does not override covenant disobedience.</w:t>
      </w:r>
    </w:p>
  </w:footnote>
  <w:footnote w:id="12150">
    <w:p>
      <w:pPr>
        <w:pStyle w:val="FootnoteText"/>
      </w:pPr>
      <w:r>
        <w:rPr>
          <w:rStyle w:val="FootnoteReference"/>
        </w:rPr>
        <w:footnoteRef/>
      </w:r>
      <w:r>
        <w:t xml:space="preserve"> Translation note: The command blocks intercession at this point and marks judgment as no longer being delayed by prophetic pleading.</w:t>
      </w:r>
    </w:p>
  </w:footnote>
  <w:footnote w:id="12151">
    <w:p>
      <w:pPr>
        <w:pStyle w:val="FootnoteText"/>
      </w:pPr>
      <w:r>
        <w:rPr>
          <w:rStyle w:val="FootnoteReference"/>
        </w:rPr>
        <w:footnoteRef/>
      </w:r>
      <w:r>
        <w:t xml:space="preserve"> Cross-references for "pray": Exod 32:10; Jer 11:14.</w:t>
      </w:r>
    </w:p>
  </w:footnote>
  <w:footnote w:id="12152">
    <w:p>
      <w:pPr>
        <w:pStyle w:val="FootnoteText"/>
      </w:pPr>
      <w:r>
        <w:rPr>
          <w:rStyle w:val="FootnoteReference"/>
        </w:rPr>
        <w:footnoteRef/>
      </w:r>
      <w:r>
        <w:t xml:space="preserve"> MT/LXX note: The Greek reads host of heaven here while the Masoretic Text reads queen of heaven.</w:t>
      </w:r>
    </w:p>
  </w:footnote>
  <w:footnote w:id="12153">
    <w:p>
      <w:pPr>
        <w:pStyle w:val="FootnoteText"/>
      </w:pPr>
      <w:r>
        <w:rPr>
          <w:rStyle w:val="FootnoteReference"/>
        </w:rPr>
        <w:footnoteRef/>
      </w:r>
      <w:r>
        <w:t xml:space="preserve"> Cross-references for "they provoke": Deut 32:16; Deut 32:21-22.</w:t>
      </w:r>
    </w:p>
  </w:footnote>
  <w:footnote w:id="12154">
    <w:p>
      <w:pPr>
        <w:pStyle w:val="FootnoteText"/>
      </w:pPr>
      <w:r>
        <w:rPr>
          <w:rStyle w:val="FootnoteReference"/>
        </w:rPr>
        <w:footnoteRef/>
      </w:r>
      <w:r>
        <w:t xml:space="preserve"> Cross-references for "Behold": Isa 42:25; Jer 4:23-26.</w:t>
      </w:r>
    </w:p>
  </w:footnote>
  <w:footnote w:id="12155">
    <w:p>
      <w:pPr>
        <w:pStyle w:val="FootnoteText"/>
      </w:pPr>
      <w:r>
        <w:rPr>
          <w:rStyle w:val="FootnoteReference"/>
        </w:rPr>
        <w:footnoteRef/>
      </w:r>
      <w:r>
        <w:t xml:space="preserve"> Translation note: The judgment list moves from place to people to cattle to trees and produce and ends with unquenched burning.</w:t>
      </w:r>
    </w:p>
  </w:footnote>
  <w:footnote w:id="12156">
    <w:p>
      <w:pPr>
        <w:pStyle w:val="FootnoteText"/>
      </w:pPr>
      <w:r>
        <w:rPr>
          <w:rStyle w:val="FootnoteReference"/>
        </w:rPr>
        <w:footnoteRef/>
      </w:r>
      <w:r>
        <w:t xml:space="preserve"> Translation note: The contrast is rhetorical in this sermon. Obedience to the spoken command is placed over sacrificial ritual.</w:t>
      </w:r>
    </w:p>
  </w:footnote>
  <w:footnote w:id="12157">
    <w:p>
      <w:pPr>
        <w:pStyle w:val="FootnoteText"/>
      </w:pPr>
      <w:r>
        <w:rPr>
          <w:rStyle w:val="FootnoteReference"/>
        </w:rPr>
        <w:footnoteRef/>
      </w:r>
      <w:r>
        <w:t xml:space="preserve"> Translation note: The covenant formula joins hearing the Lord's voice with being his people and walking in his ways.</w:t>
      </w:r>
    </w:p>
  </w:footnote>
  <w:footnote w:id="12158">
    <w:p>
      <w:pPr>
        <w:pStyle w:val="FootnoteText"/>
      </w:pPr>
      <w:r>
        <w:rPr>
          <w:rStyle w:val="FootnoteReference"/>
        </w:rPr>
        <w:footnoteRef/>
      </w:r>
      <w:r>
        <w:t xml:space="preserve"> Cross-references for "that it": Deut 4:10; Deut 5:16.</w:t>
      </w:r>
    </w:p>
  </w:footnote>
  <w:footnote w:id="12159">
    <w:p>
      <w:pPr>
        <w:pStyle w:val="FootnoteText"/>
      </w:pPr>
      <w:r>
        <w:rPr>
          <w:rStyle w:val="FootnoteReference"/>
        </w:rPr>
        <w:footnoteRef/>
      </w:r>
      <w:r>
        <w:t xml:space="preserve"> Cross-references for "walked": Deut 29:19; Jer 23:17.</w:t>
      </w:r>
    </w:p>
  </w:footnote>
  <w:footnote w:id="12160">
    <w:p>
      <w:pPr>
        <w:pStyle w:val="FootnoteText"/>
      </w:pPr>
      <w:r>
        <w:rPr>
          <w:rStyle w:val="FootnoteReference"/>
        </w:rPr>
        <w:footnoteRef/>
      </w:r>
      <w:r>
        <w:t xml:space="preserve"> Translation note: The line pictures refusal as reverse movement rather than progress in obedience.</w:t>
      </w:r>
    </w:p>
  </w:footnote>
  <w:footnote w:id="12161">
    <w:p>
      <w:pPr>
        <w:pStyle w:val="FootnoteText"/>
      </w:pPr>
      <w:r>
        <w:rPr>
          <w:rStyle w:val="FootnoteReference"/>
        </w:rPr>
        <w:footnoteRef/>
      </w:r>
      <w:r>
        <w:t xml:space="preserve"> Cross-references for "sent": 2Chr 36:15; Neh 9:30.</w:t>
      </w:r>
    </w:p>
  </w:footnote>
  <w:footnote w:id="12162">
    <w:p>
      <w:pPr>
        <w:pStyle w:val="FootnoteText"/>
      </w:pPr>
      <w:r>
        <w:rPr>
          <w:rStyle w:val="FootnoteReference"/>
        </w:rPr>
        <w:footnoteRef/>
      </w:r>
      <w:r>
        <w:t xml:space="preserve"> Translation note: The repeated sending language stresses persistent prophetic warning across generations.</w:t>
      </w:r>
    </w:p>
  </w:footnote>
  <w:footnote w:id="12163">
    <w:p>
      <w:pPr>
        <w:pStyle w:val="FootnoteText"/>
      </w:pPr>
      <w:r>
        <w:rPr>
          <w:rStyle w:val="FootnoteReference"/>
        </w:rPr>
        <w:footnoteRef/>
      </w:r>
      <w:r>
        <w:t xml:space="preserve"> Cross-references for "they did": Jer 16:12; Matt 21:38.</w:t>
      </w:r>
    </w:p>
  </w:footnote>
  <w:footnote w:id="12164">
    <w:p>
      <w:pPr>
        <w:pStyle w:val="FootnoteText"/>
      </w:pPr>
      <w:r>
        <w:rPr>
          <w:rStyle w:val="FootnoteReference"/>
        </w:rPr>
        <w:footnoteRef/>
      </w:r>
      <w:r>
        <w:t xml:space="preserve"> Textual note: The Greek source row marks 27-28 together here. This verse slot repeats the final verdict to preserve LXX verse numbering.</w:t>
      </w:r>
    </w:p>
  </w:footnote>
  <w:footnote w:id="12165">
    <w:p>
      <w:pPr>
        <w:pStyle w:val="FootnoteText"/>
      </w:pPr>
      <w:r>
        <w:rPr>
          <w:rStyle w:val="FootnoteReference"/>
        </w:rPr>
        <w:footnoteRef/>
      </w:r>
      <w:r>
        <w:t xml:space="preserve"> Cross-references for "generation": Deut 32:5; Matt 3:7.</w:t>
      </w:r>
    </w:p>
  </w:footnote>
  <w:footnote w:id="12166">
    <w:p>
      <w:pPr>
        <w:pStyle w:val="FootnoteText"/>
      </w:pPr>
      <w:r>
        <w:rPr>
          <w:rStyle w:val="FootnoteReference"/>
        </w:rPr>
        <w:footnoteRef/>
      </w:r>
      <w:r>
        <w:t xml:space="preserve"> Translation note: Topheth is often connected with burning or drum imagery though exact derivation is debated. Hinnom is a valley name with uncertain personal-name origin.</w:t>
      </w:r>
    </w:p>
  </w:footnote>
  <w:footnote w:id="12167">
    <w:p>
      <w:pPr>
        <w:pStyle w:val="FootnoteText"/>
      </w:pPr>
      <w:r>
        <w:rPr>
          <w:rStyle w:val="FootnoteReference"/>
        </w:rPr>
        <w:footnoteRef/>
      </w:r>
      <w:r>
        <w:t xml:space="preserve"> Cross-references for "the valley": Josh 15:8; 2Chr 28:3.</w:t>
      </w:r>
    </w:p>
  </w:footnote>
  <w:footnote w:id="12168">
    <w:p>
      <w:pPr>
        <w:pStyle w:val="FootnoteText"/>
      </w:pPr>
      <w:r>
        <w:rPr>
          <w:rStyle w:val="FootnoteReference"/>
        </w:rPr>
        <w:footnoteRef/>
      </w:r>
      <w:r>
        <w:t xml:space="preserve"> Translation note: The line explicitly denies that child burning was commanded or conceived in the Lord's heart.</w:t>
      </w:r>
    </w:p>
  </w:footnote>
  <w:footnote w:id="12169">
    <w:p>
      <w:pPr>
        <w:pStyle w:val="FootnoteText"/>
      </w:pPr>
      <w:r>
        <w:rPr>
          <w:rStyle w:val="FootnoteReference"/>
        </w:rPr>
        <w:footnoteRef/>
      </w:r>
      <w:r>
        <w:t xml:space="preserve"> Translation note: Topheth and Hinnom are renamed by judgment so the place of child burning becomes a burial place of slaughtered bodies.</w:t>
      </w:r>
    </w:p>
  </w:footnote>
  <w:footnote w:id="12170">
    <w:p>
      <w:pPr>
        <w:pStyle w:val="FootnoteText"/>
      </w:pPr>
      <w:r>
        <w:rPr>
          <w:rStyle w:val="FootnoteReference"/>
        </w:rPr>
        <w:footnoteRef/>
      </w:r>
      <w:r>
        <w:t xml:space="preserve"> Translation note: The loss of wedding voices marks ordinary joy and future family life ceasing from the land.</w:t>
      </w:r>
    </w:p>
  </w:footnote>
  <w:footnote w:id="12171">
    <w:p>
      <w:pPr>
        <w:pStyle w:val="FootnoteText"/>
      </w:pPr>
      <w:r>
        <w:rPr>
          <w:rStyle w:val="FootnoteReference"/>
        </w:rPr>
        <w:footnoteRef/>
      </w:r>
      <w:r>
        <w:t xml:space="preserve"> Translation note: The exposure of bones reverses honorable burial and extends judgment across kings rulers priests prophets and inhabitants.</w:t>
      </w:r>
    </w:p>
  </w:footnote>
  <w:footnote w:id="12172">
    <w:p>
      <w:pPr>
        <w:pStyle w:val="FootnoteText"/>
      </w:pPr>
      <w:r>
        <w:rPr>
          <w:rStyle w:val="FootnoteReference"/>
        </w:rPr>
        <w:footnoteRef/>
      </w:r>
      <w:r>
        <w:t xml:space="preserve"> Translation note: The heavenly bodies they served become the exposed audience before which their bones are spread out.</w:t>
      </w:r>
    </w:p>
  </w:footnote>
  <w:footnote w:id="12173">
    <w:p>
      <w:pPr>
        <w:pStyle w:val="FootnoteText"/>
      </w:pPr>
      <w:r>
        <w:rPr>
          <w:rStyle w:val="FootnoteReference"/>
        </w:rPr>
        <w:footnoteRef/>
      </w:r>
      <w:r>
        <w:t xml:space="preserve"> Translation note: The remnant judgment is framed as death chosen over life rather than merely misfortune.</w:t>
      </w:r>
    </w:p>
  </w:footnote>
  <w:footnote w:id="12174">
    <w:p>
      <w:pPr>
        <w:pStyle w:val="FootnoteText"/>
      </w:pPr>
      <w:r>
        <w:rPr>
          <w:rStyle w:val="FootnoteReference"/>
        </w:rPr>
        <w:footnoteRef/>
      </w:r>
      <w:r>
        <w:t xml:space="preserve"> Cross-references for "death": 1Kgs 19:4; Job 3:20-22.</w:t>
      </w:r>
    </w:p>
  </w:footnote>
  <w:footnote w:id="12175">
    <w:p>
      <w:pPr>
        <w:pStyle w:val="FootnoteText"/>
      </w:pPr>
      <w:r>
        <w:rPr>
          <w:rStyle w:val="FootnoteReference"/>
        </w:rPr>
        <w:footnoteRef/>
      </w:r>
      <w:r>
        <w:t xml:space="preserve"> Translation note: The paired questions expect normal return after falling or turning away and expose Judah's refusal to return.</w:t>
      </w:r>
    </w:p>
  </w:footnote>
  <w:footnote w:id="12176">
    <w:p>
      <w:pPr>
        <w:pStyle w:val="FootnoteText"/>
      </w:pPr>
      <w:r>
        <w:rPr>
          <w:rStyle w:val="FootnoteReference"/>
        </w:rPr>
        <w:footnoteRef/>
      </w:r>
      <w:r>
        <w:t xml:space="preserve"> Cross-references for "turn": 1Kgs 8:38; Isa 44:22.</w:t>
      </w:r>
    </w:p>
  </w:footnote>
  <w:footnote w:id="12177">
    <w:p>
      <w:pPr>
        <w:pStyle w:val="FootnoteText"/>
      </w:pPr>
      <w:r>
        <w:rPr>
          <w:rStyle w:val="FootnoteReference"/>
        </w:rPr>
        <w:footnoteRef/>
      </w:r>
      <w:r>
        <w:t xml:space="preserve"> Translation note: The Greek includes my people and frames the turning away as covenant betrayal rather than generic stubbornness.</w:t>
      </w:r>
    </w:p>
  </w:footnote>
  <w:footnote w:id="12178">
    <w:p>
      <w:pPr>
        <w:pStyle w:val="FootnoteText"/>
      </w:pPr>
      <w:r>
        <w:rPr>
          <w:rStyle w:val="FootnoteReference"/>
        </w:rPr>
        <w:footnoteRef/>
      </w:r>
      <w:r>
        <w:t xml:space="preserve"> Cross-references for "saying": Job 10:2; Ezek 18:28.</w:t>
      </w:r>
    </w:p>
  </w:footnote>
  <w:footnote w:id="12179">
    <w:p>
      <w:pPr>
        <w:pStyle w:val="FootnoteText"/>
      </w:pPr>
      <w:r>
        <w:rPr>
          <w:rStyle w:val="FootnoteReference"/>
        </w:rPr>
        <w:footnoteRef/>
      </w:r>
      <w:r>
        <w:t xml:space="preserve"> Translation note: The missing confession shows there is no repentance even after the Lord listens for it.</w:t>
      </w:r>
    </w:p>
  </w:footnote>
  <w:footnote w:id="12180">
    <w:p>
      <w:pPr>
        <w:pStyle w:val="FootnoteText"/>
      </w:pPr>
      <w:r>
        <w:rPr>
          <w:rStyle w:val="FootnoteReference"/>
        </w:rPr>
        <w:footnoteRef/>
      </w:r>
      <w:r>
        <w:t xml:space="preserve"> Cross-references for "stork": Prov 6:6-8; Isa 1:3.</w:t>
      </w:r>
    </w:p>
  </w:footnote>
  <w:footnote w:id="12181">
    <w:p>
      <w:pPr>
        <w:pStyle w:val="FootnoteText"/>
      </w:pPr>
      <w:r>
        <w:rPr>
          <w:rStyle w:val="FootnoteReference"/>
        </w:rPr>
        <w:footnoteRef/>
      </w:r>
      <w:r>
        <w:t xml:space="preserve"> Translation note: Birds know appointed times but the people do not know the Lord's judgments.</w:t>
      </w:r>
    </w:p>
  </w:footnote>
  <w:footnote w:id="12182">
    <w:p>
      <w:pPr>
        <w:pStyle w:val="FootnoteText"/>
      </w:pPr>
      <w:r>
        <w:rPr>
          <w:rStyle w:val="FootnoteReference"/>
        </w:rPr>
        <w:footnoteRef/>
      </w:r>
      <w:r>
        <w:t xml:space="preserve"> Cross-references for "the law": Ps 147:19; Hos 8:12.</w:t>
      </w:r>
    </w:p>
  </w:footnote>
  <w:footnote w:id="12183">
    <w:p>
      <w:pPr>
        <w:pStyle w:val="FootnoteText"/>
      </w:pPr>
      <w:r>
        <w:rPr>
          <w:rStyle w:val="FootnoteReference"/>
        </w:rPr>
        <w:footnoteRef/>
      </w:r>
      <w:r>
        <w:t xml:space="preserve"> Translation note: The Greek writing-reed image links false confidence in law possession with failed scribal handling of it.</w:t>
      </w:r>
    </w:p>
  </w:footnote>
  <w:footnote w:id="12184">
    <w:p>
      <w:pPr>
        <w:pStyle w:val="FootnoteText"/>
      </w:pPr>
      <w:r>
        <w:rPr>
          <w:rStyle w:val="FootnoteReference"/>
        </w:rPr>
        <w:footnoteRef/>
      </w:r>
      <w:r>
        <w:t xml:space="preserve"> Translation note: Wisdom fails because the Lord's word was rejected rather than because skill or learning disappeared.</w:t>
      </w:r>
    </w:p>
  </w:footnote>
  <w:footnote w:id="12185">
    <w:p>
      <w:pPr>
        <w:pStyle w:val="FootnoteText"/>
      </w:pPr>
      <w:r>
        <w:rPr>
          <w:rStyle w:val="FootnoteReference"/>
        </w:rPr>
        <w:footnoteRef/>
      </w:r>
      <w:r>
        <w:t xml:space="preserve"> Translation note: Loss of household and land answers false wisdom with concrete covenant judgment.</w:t>
      </w:r>
    </w:p>
  </w:footnote>
  <w:footnote w:id="12186">
    <w:p>
      <w:pPr>
        <w:pStyle w:val="FootnoteText"/>
      </w:pPr>
      <w:r>
        <w:rPr>
          <w:rStyle w:val="FootnoteReference"/>
        </w:rPr>
        <w:footnoteRef/>
      </w:r>
      <w:r>
        <w:t xml:space="preserve"> Translation note: The crop-failure image reverses expected fruitfulness and fits the surrounding judgment sequence.</w:t>
      </w:r>
    </w:p>
  </w:footnote>
  <w:footnote w:id="12187">
    <w:p>
      <w:pPr>
        <w:pStyle w:val="FootnoteText"/>
      </w:pPr>
      <w:r>
        <w:rPr>
          <w:rStyle w:val="FootnoteReference"/>
        </w:rPr>
        <w:footnoteRef/>
      </w:r>
      <w:r>
        <w:t xml:space="preserve"> MT/LXX note: MT Jeremiah 8:11-12 is not present at this LXX-numbered point in the Greek source used here. This edition resumes with the failed harvest image.</w:t>
      </w:r>
    </w:p>
  </w:footnote>
  <w:footnote w:id="12188">
    <w:p>
      <w:pPr>
        <w:pStyle w:val="FootnoteText"/>
      </w:pPr>
      <w:r>
        <w:rPr>
          <w:rStyle w:val="FootnoteReference"/>
        </w:rPr>
        <w:footnoteRef/>
      </w:r>
      <w:r>
        <w:t xml:space="preserve"> Cross-references for "enter": 2Sam 20:6; Jer 4:5-6.</w:t>
      </w:r>
    </w:p>
  </w:footnote>
  <w:footnote w:id="12189">
    <w:p>
      <w:pPr>
        <w:pStyle w:val="FootnoteText"/>
      </w:pPr>
      <w:r>
        <w:rPr>
          <w:rStyle w:val="FootnoteReference"/>
        </w:rPr>
        <w:footnoteRef/>
      </w:r>
      <w:r>
        <w:t xml:space="preserve"> Translation note: The bitter drink marks judgment confessed as deserved because we sinned against him.</w:t>
      </w:r>
    </w:p>
  </w:footnote>
  <w:footnote w:id="12190">
    <w:p>
      <w:pPr>
        <w:pStyle w:val="FootnoteText"/>
      </w:pPr>
      <w:r>
        <w:rPr>
          <w:rStyle w:val="FootnoteReference"/>
        </w:rPr>
        <w:footnoteRef/>
      </w:r>
      <w:r>
        <w:t xml:space="preserve"> Translation note: Dan marks the northern alarm point where the invading horse sound is first heard.</w:t>
      </w:r>
    </w:p>
  </w:footnote>
  <w:footnote w:id="12191">
    <w:p>
      <w:pPr>
        <w:pStyle w:val="FootnoteText"/>
      </w:pPr>
      <w:r>
        <w:rPr>
          <w:rStyle w:val="FootnoteReference"/>
        </w:rPr>
        <w:footnoteRef/>
      </w:r>
      <w:r>
        <w:t xml:space="preserve"> Translation note: The serpent image stresses judgment that cannot be neutralized by enchantment or charm.</w:t>
      </w:r>
    </w:p>
  </w:footnote>
  <w:footnote w:id="12192">
    <w:p>
      <w:pPr>
        <w:pStyle w:val="FootnoteText"/>
      </w:pPr>
      <w:r>
        <w:rPr>
          <w:rStyle w:val="FootnoteReference"/>
        </w:rPr>
        <w:footnoteRef/>
      </w:r>
      <w:r>
        <w:t xml:space="preserve"> Cross-references for "the voice": Isa 13:5; Isa 39:3.</w:t>
      </w:r>
    </w:p>
  </w:footnote>
  <w:footnote w:id="12193">
    <w:p>
      <w:pPr>
        <w:pStyle w:val="FootnoteText"/>
      </w:pPr>
      <w:r>
        <w:rPr>
          <w:rStyle w:val="FootnoteReference"/>
        </w:rPr>
        <w:footnoteRef/>
      </w:r>
      <w:r>
        <w:t xml:space="preserve"> Translation note: The answer to the Zion and king questions is idolatry with carved images and foreign vanities.</w:t>
      </w:r>
    </w:p>
  </w:footnote>
  <w:footnote w:id="12194">
    <w:p>
      <w:pPr>
        <w:pStyle w:val="FootnoteText"/>
      </w:pPr>
      <w:r>
        <w:rPr>
          <w:rStyle w:val="FootnoteReference"/>
        </w:rPr>
        <w:footnoteRef/>
      </w:r>
      <w:r>
        <w:t xml:space="preserve"> Translation note: The failed summer and harvest line compresses missed deliverance into agricultural time running out.</w:t>
      </w:r>
    </w:p>
  </w:footnote>
  <w:footnote w:id="12195">
    <w:p>
      <w:pPr>
        <w:pStyle w:val="FootnoteText"/>
      </w:pPr>
      <w:r>
        <w:rPr>
          <w:rStyle w:val="FootnoteReference"/>
        </w:rPr>
        <w:footnoteRef/>
      </w:r>
      <w:r>
        <w:t xml:space="preserve"> Translation note: Greek uses resin here. The familiar balm of Gilead idea is represented by this healing-resin image.</w:t>
      </w:r>
    </w:p>
  </w:footnote>
  <w:footnote w:id="12196">
    <w:p>
      <w:pPr>
        <w:pStyle w:val="FootnoteText"/>
      </w:pPr>
      <w:r>
        <w:rPr>
          <w:rStyle w:val="FootnoteReference"/>
        </w:rPr>
        <w:footnoteRef/>
      </w:r>
      <w:r>
        <w:t xml:space="preserve"> Cross-references for "no physician": Matt 9:11-12; Luke 5:31-32.</w:t>
      </w:r>
    </w:p>
  </w:footnote>
  <w:footnote w:id="12197">
    <w:p>
      <w:pPr>
        <w:pStyle w:val="FootnoteText"/>
      </w:pPr>
      <w:r>
        <w:rPr>
          <w:rStyle w:val="FootnoteReference"/>
        </w:rPr>
        <w:footnoteRef/>
      </w:r>
      <w:r>
        <w:t xml:space="preserve"> Translation note: The chapter closes with grief for the wounded daughter of my people rather than with detached judgment speech.</w:t>
      </w:r>
    </w:p>
  </w:footnote>
  <w:footnote w:id="12198">
    <w:p>
      <w:pPr>
        <w:pStyle w:val="FootnoteText"/>
      </w:pPr>
      <w:r>
        <w:rPr>
          <w:rStyle w:val="FootnoteReference"/>
        </w:rPr>
        <w:footnoteRef/>
      </w:r>
      <w:r>
        <w:t xml:space="preserve"> Translation note: The opening wish to flee into the wilderness is grounded in a whole company marked by covenant faithlessness.</w:t>
      </w:r>
    </w:p>
  </w:footnote>
  <w:footnote w:id="12199">
    <w:p>
      <w:pPr>
        <w:pStyle w:val="FootnoteText"/>
      </w:pPr>
      <w:r>
        <w:rPr>
          <w:rStyle w:val="FootnoteReference"/>
        </w:rPr>
        <w:footnoteRef/>
      </w:r>
      <w:r>
        <w:t xml:space="preserve"> Translation note: The bow image presents false speech as weaponized speech rather than mere error.</w:t>
      </w:r>
    </w:p>
  </w:footnote>
  <w:footnote w:id="12200">
    <w:p>
      <w:pPr>
        <w:pStyle w:val="FootnoteText"/>
      </w:pPr>
      <w:r>
        <w:rPr>
          <w:rStyle w:val="FootnoteReference"/>
        </w:rPr>
        <w:footnoteRef/>
      </w:r>
      <w:r>
        <w:t xml:space="preserve"> Translation note: Greek keeps a heel-tripping image for brotherly treachery. The translation keeps that body-image visible.</w:t>
      </w:r>
    </w:p>
  </w:footnote>
  <w:footnote w:id="12201">
    <w:p>
      <w:pPr>
        <w:pStyle w:val="FootnoteText"/>
      </w:pPr>
      <w:r>
        <w:rPr>
          <w:rStyle w:val="FootnoteReference"/>
        </w:rPr>
        <w:footnoteRef/>
      </w:r>
      <w:r>
        <w:t xml:space="preserve"> Translation note: Greek tokos can mean interest or usury. The repeated phrase pairs exploitative gain with deceit.</w:t>
      </w:r>
    </w:p>
  </w:footnote>
  <w:footnote w:id="12202">
    <w:p>
      <w:pPr>
        <w:pStyle w:val="FootnoteText"/>
      </w:pPr>
      <w:r>
        <w:rPr>
          <w:rStyle w:val="FootnoteReference"/>
        </w:rPr>
        <w:footnoteRef/>
      </w:r>
      <w:r>
        <w:t xml:space="preserve"> Translation note: The tongue is pictured as an arrow that wounds while the speaker offers peaceful words outwardly.</w:t>
      </w:r>
    </w:p>
  </w:footnote>
  <w:footnote w:id="12203">
    <w:p>
      <w:pPr>
        <w:pStyle w:val="FootnoteText"/>
      </w:pPr>
      <w:r>
        <w:rPr>
          <w:rStyle w:val="FootnoteReference"/>
        </w:rPr>
        <w:footnoteRef/>
      </w:r>
      <w:r>
        <w:t xml:space="preserve"> Translation note: Greek has a difficult sound phrase here. This edition renders it as sound of life to fit the emptied-land context of birds and cattle gone.</w:t>
      </w:r>
    </w:p>
  </w:footnote>
  <w:footnote w:id="12204">
    <w:p>
      <w:pPr>
        <w:pStyle w:val="FootnoteText"/>
      </w:pPr>
      <w:r>
        <w:rPr>
          <w:rStyle w:val="FootnoteReference"/>
        </w:rPr>
        <w:footnoteRef/>
      </w:r>
      <w:r>
        <w:t xml:space="preserve"> Translation note: Greek uses dragons here for the desolated habitation image. The wording is retained rather than flattened to a generic ruin.</w:t>
      </w:r>
    </w:p>
  </w:footnote>
  <w:footnote w:id="12205">
    <w:p>
      <w:pPr>
        <w:pStyle w:val="FootnoteText"/>
      </w:pPr>
      <w:r>
        <w:rPr>
          <w:rStyle w:val="FootnoteReference"/>
        </w:rPr>
        <w:footnoteRef/>
      </w:r>
      <w:r>
        <w:t xml:space="preserve"> Translation note: Greek speaks of the things pleasing to their evil heart before naming the idols taught by their fathers.</w:t>
      </w:r>
    </w:p>
  </w:footnote>
  <w:footnote w:id="12206">
    <w:p>
      <w:pPr>
        <w:pStyle w:val="FootnoteText"/>
      </w:pPr>
      <w:r>
        <w:rPr>
          <w:rStyle w:val="FootnoteReference"/>
        </w:rPr>
        <w:footnoteRef/>
      </w:r>
      <w:r>
        <w:t xml:space="preserve"> Translation note: The gall drink continues the judgment-drink image used earlier in Jeremiah.</w:t>
      </w:r>
    </w:p>
  </w:footnote>
  <w:footnote w:id="12207">
    <w:p>
      <w:pPr>
        <w:pStyle w:val="FootnoteText"/>
      </w:pPr>
      <w:r>
        <w:rPr>
          <w:rStyle w:val="FootnoteReference"/>
        </w:rPr>
        <w:footnoteRef/>
      </w:r>
      <w:r>
        <w:t xml:space="preserve"> Translation note: The summons turns grief into a public vocation: mourning women and wise women are called to give voice to judgment.</w:t>
      </w:r>
    </w:p>
  </w:footnote>
  <w:footnote w:id="12208">
    <w:p>
      <w:pPr>
        <w:pStyle w:val="FootnoteText"/>
      </w:pPr>
      <w:r>
        <w:rPr>
          <w:rStyle w:val="FootnoteReference"/>
        </w:rPr>
        <w:footnoteRef/>
      </w:r>
      <w:r>
        <w:t xml:space="preserve"> Translation note: Death is personified as an invader entering the house itself and reaching children and young men.</w:t>
      </w:r>
    </w:p>
  </w:footnote>
  <w:footnote w:id="12209">
    <w:p>
      <w:pPr>
        <w:pStyle w:val="FootnoteText"/>
      </w:pPr>
      <w:r>
        <w:rPr>
          <w:rStyle w:val="FootnoteReference"/>
        </w:rPr>
        <w:footnoteRef/>
      </w:r>
      <w:r>
        <w:t xml:space="preserve"> Translation note: English versification often differs here. Manual Logos export at the familiar verse-number offset supports the current LXX-rendered verse, which centers on understanding and knowing the Lord.</w:t>
      </w:r>
    </w:p>
  </w:footnote>
  <w:footnote w:id="12210">
    <w:p>
      <w:pPr>
        <w:pStyle w:val="FootnoteText"/>
      </w:pPr>
      <w:r>
        <w:rPr>
          <w:rStyle w:val="FootnoteReference"/>
        </w:rPr>
        <w:footnoteRef/>
      </w:r>
      <w:r>
        <w:t xml:space="preserve"> Translation note: This verse defines proper boasting as understanding and knowing the Lord who does mercy judgment and righteousness on the earth.</w:t>
      </w:r>
    </w:p>
  </w:footnote>
  <w:footnote w:id="12211">
    <w:p>
      <w:pPr>
        <w:pStyle w:val="FootnoteText"/>
      </w:pPr>
      <w:r>
        <w:rPr>
          <w:rStyle w:val="FootnoteReference"/>
        </w:rPr>
        <w:footnoteRef/>
      </w:r>
      <w:r>
        <w:t xml:space="preserve"> Translation note: The Greek describes a face-hair clipping practice associated here with wilderness peoples. The final contrast turns from outward marking to uncircumcised hearts.</w:t>
      </w:r>
    </w:p>
  </w:footnote>
  <w:footnote w:id="12212">
    <w:p>
      <w:pPr>
        <w:pStyle w:val="FootnoteText"/>
      </w:pPr>
      <w:r>
        <w:rPr>
          <w:rStyle w:val="FootnoteReference"/>
        </w:rPr>
        <w:footnoteRef/>
      </w:r>
      <w:r>
        <w:t xml:space="preserve"> Cross-references for "learn": Lev 18:3; Lev 20:23.</w:t>
      </w:r>
    </w:p>
  </w:footnote>
  <w:footnote w:id="12213">
    <w:p>
      <w:pPr>
        <w:pStyle w:val="FootnoteText"/>
      </w:pPr>
      <w:r>
        <w:rPr>
          <w:rStyle w:val="FootnoteReference"/>
        </w:rPr>
        <w:footnoteRef/>
      </w:r>
      <w:r>
        <w:t xml:space="preserve"> Translation note: The warning rejects learning Gentile religious patterns and fearing heavenly signs as the nations do.</w:t>
      </w:r>
    </w:p>
  </w:footnote>
  <w:footnote w:id="12214">
    <w:p>
      <w:pPr>
        <w:pStyle w:val="FootnoteText"/>
      </w:pPr>
      <w:r>
        <w:rPr>
          <w:rStyle w:val="FootnoteReference"/>
        </w:rPr>
        <w:footnoteRef/>
      </w:r>
      <w:r>
        <w:t xml:space="preserve"> Cross-references for "customs": Lev 18:30; 1Kgs 18:26-28.</w:t>
      </w:r>
    </w:p>
  </w:footnote>
  <w:footnote w:id="12215">
    <w:p>
      <w:pPr>
        <w:pStyle w:val="FootnoteText"/>
      </w:pPr>
      <w:r>
        <w:rPr>
          <w:rStyle w:val="FootnoteReference"/>
        </w:rPr>
        <w:footnoteRef/>
      </w:r>
      <w:r>
        <w:t xml:space="preserve"> Translation note: The idol polemic begins with ordinary raw material: a tree from the forest worked by a craftsman.</w:t>
      </w:r>
    </w:p>
  </w:footnote>
  <w:footnote w:id="12216">
    <w:p>
      <w:pPr>
        <w:pStyle w:val="FootnoteText"/>
      </w:pPr>
      <w:r>
        <w:rPr>
          <w:rStyle w:val="FootnoteReference"/>
        </w:rPr>
        <w:footnoteRef/>
      </w:r>
      <w:r>
        <w:t xml:space="preserve"> Translation note: The carried-idol line stresses that the image has to be carried because it cannot move itself.</w:t>
      </w:r>
    </w:p>
  </w:footnote>
  <w:footnote w:id="12217">
    <w:p>
      <w:pPr>
        <w:pStyle w:val="FootnoteText"/>
      </w:pPr>
      <w:r>
        <w:rPr>
          <w:rStyle w:val="FootnoteReference"/>
        </w:rPr>
        <w:footnoteRef/>
      </w:r>
      <w:r>
        <w:t xml:space="preserve"> Cross-references for "do evil": Isa 41:23-24; Isa 44:9-10.</w:t>
      </w:r>
    </w:p>
  </w:footnote>
  <w:footnote w:id="12218">
    <w:p>
      <w:pPr>
        <w:pStyle w:val="FootnoteText"/>
      </w:pPr>
      <w:r>
        <w:rPr>
          <w:rStyle w:val="FootnoteReference"/>
        </w:rPr>
        <w:footnoteRef/>
      </w:r>
      <w:r>
        <w:t xml:space="preserve"> Cross-references for "silver": Jer 10:4.</w:t>
      </w:r>
    </w:p>
  </w:footnote>
  <w:footnote w:id="12219">
    <w:p>
      <w:pPr>
        <w:pStyle w:val="FootnoteText"/>
      </w:pPr>
      <w:r>
        <w:rPr>
          <w:rStyle w:val="FootnoteReference"/>
        </w:rPr>
        <w:footnoteRef/>
      </w:r>
      <w:r>
        <w:t xml:space="preserve"> Place name: Uphaz. Place-name meaning: Uphaz — pure gold; gold of Phasis or Pison. Source form: Uphaz. Greek form: μωφαζ.</w:t>
      </w:r>
    </w:p>
  </w:footnote>
  <w:footnote w:id="12220">
    <w:p>
      <w:pPr>
        <w:pStyle w:val="FootnoteText"/>
      </w:pPr>
      <w:r>
        <w:rPr>
          <w:rStyle w:val="FootnoteReference"/>
        </w:rPr>
        <w:footnoteRef/>
      </w:r>
      <w:r>
        <w:t xml:space="preserve"> Cross-references for "Thus": Ps 96:5.</w:t>
      </w:r>
    </w:p>
  </w:footnote>
  <w:footnote w:id="12221">
    <w:p>
      <w:pPr>
        <w:pStyle w:val="FootnoteText"/>
      </w:pPr>
      <w:r>
        <w:rPr>
          <w:rStyle w:val="FootnoteReference"/>
        </w:rPr>
        <w:footnoteRef/>
      </w:r>
      <w:r>
        <w:t xml:space="preserve"> Translation note: False gods are judged by the creation test: they did not make heaven and earth.</w:t>
      </w:r>
    </w:p>
  </w:footnote>
  <w:footnote w:id="12222">
    <w:p>
      <w:pPr>
        <w:pStyle w:val="FootnoteText"/>
      </w:pPr>
      <w:r>
        <w:rPr>
          <w:rStyle w:val="FootnoteReference"/>
        </w:rPr>
        <w:footnoteRef/>
      </w:r>
      <w:r>
        <w:t xml:space="preserve"> Translation note: The contrast turns from carried idols to the Lord who makes the earth and establishes the inhabited world by strength wisdom and understanding.</w:t>
      </w:r>
    </w:p>
  </w:footnote>
  <w:footnote w:id="12223">
    <w:p>
      <w:pPr>
        <w:pStyle w:val="FootnoteText"/>
      </w:pPr>
      <w:r>
        <w:rPr>
          <w:rStyle w:val="FootnoteReference"/>
        </w:rPr>
        <w:footnoteRef/>
      </w:r>
      <w:r>
        <w:t xml:space="preserve"> Cross-references for "stretched": Job 9:8; Job 26:7.</w:t>
      </w:r>
    </w:p>
  </w:footnote>
  <w:footnote w:id="12224">
    <w:p>
      <w:pPr>
        <w:pStyle w:val="FootnoteText"/>
      </w:pPr>
      <w:r>
        <w:rPr>
          <w:rStyle w:val="FootnoteReference"/>
        </w:rPr>
        <w:footnoteRef/>
      </w:r>
      <w:r>
        <w:t xml:space="preserve"> Translation note: The creation-weather line contrasts the Lord's command over clouds rain and light with manufactured idols.</w:t>
      </w:r>
    </w:p>
  </w:footnote>
  <w:footnote w:id="12225">
    <w:p>
      <w:pPr>
        <w:pStyle w:val="FootnoteText"/>
      </w:pPr>
      <w:r>
        <w:rPr>
          <w:rStyle w:val="FootnoteReference"/>
        </w:rPr>
        <w:footnoteRef/>
      </w:r>
      <w:r>
        <w:t xml:space="preserve"> Translation note: The carved images are exposed as cast lies with no spirit or breath in them.</w:t>
      </w:r>
    </w:p>
  </w:footnote>
  <w:footnote w:id="12226">
    <w:p>
      <w:pPr>
        <w:pStyle w:val="FootnoteText"/>
      </w:pPr>
      <w:r>
        <w:rPr>
          <w:rStyle w:val="FootnoteReference"/>
        </w:rPr>
        <w:footnoteRef/>
      </w:r>
      <w:r>
        <w:t xml:space="preserve"> Translation note: Jacob's portion is unlike the idols because the Lord who shapes all things is his inheritance.</w:t>
      </w:r>
    </w:p>
  </w:footnote>
  <w:footnote w:id="12227">
    <w:p>
      <w:pPr>
        <w:pStyle w:val="FootnoteText"/>
      </w:pPr>
      <w:r>
        <w:rPr>
          <w:rStyle w:val="FootnoteReference"/>
        </w:rPr>
        <w:footnoteRef/>
      </w:r>
      <w:r>
        <w:t xml:space="preserve"> Cross-references for "portion": Ps 16:5-6; Ps 73:26.</w:t>
      </w:r>
    </w:p>
  </w:footnote>
  <w:footnote w:id="12228">
    <w:p>
      <w:pPr>
        <w:pStyle w:val="FootnoteText"/>
      </w:pPr>
      <w:r>
        <w:rPr>
          <w:rStyle w:val="FootnoteReference"/>
        </w:rPr>
        <w:footnoteRef/>
      </w:r>
      <w:r>
        <w:t xml:space="preserve"> Cross-references for "Truly": Ps 39:9; Ps 77:10.</w:t>
      </w:r>
    </w:p>
  </w:footnote>
  <w:footnote w:id="12229">
    <w:p>
      <w:pPr>
        <w:pStyle w:val="FootnoteText"/>
      </w:pPr>
      <w:r>
        <w:rPr>
          <w:rStyle w:val="FootnoteReference"/>
        </w:rPr>
        <w:footnoteRef/>
      </w:r>
      <w:r>
        <w:t xml:space="preserve"> Translation note: The lament uses tent and skin imagery for a ruined dwelling and torn coverings.</w:t>
      </w:r>
    </w:p>
  </w:footnote>
  <w:footnote w:id="12230">
    <w:p>
      <w:pPr>
        <w:pStyle w:val="FootnoteText"/>
      </w:pPr>
      <w:r>
        <w:rPr>
          <w:rStyle w:val="FootnoteReference"/>
        </w:rPr>
        <w:footnoteRef/>
      </w:r>
      <w:r>
        <w:t xml:space="preserve"> Translation note: The shepherds' failure to seek the Lord leads to the scattering of the pasture or flock under their care.</w:t>
      </w:r>
    </w:p>
  </w:footnote>
  <w:footnote w:id="12231">
    <w:p>
      <w:pPr>
        <w:pStyle w:val="FootnoteText"/>
      </w:pPr>
      <w:r>
        <w:rPr>
          <w:rStyle w:val="FootnoteReference"/>
        </w:rPr>
        <w:footnoteRef/>
      </w:r>
      <w:r>
        <w:t xml:space="preserve"> Translation note: The northern report turns Judah's cities into desolation and bird habitat.</w:t>
      </w:r>
    </w:p>
  </w:footnote>
  <w:footnote w:id="12232">
    <w:p>
      <w:pPr>
        <w:pStyle w:val="FootnoteText"/>
      </w:pPr>
      <w:r>
        <w:rPr>
          <w:rStyle w:val="FootnoteReference"/>
        </w:rPr>
        <w:footnoteRef/>
      </w:r>
      <w:r>
        <w:t xml:space="preserve"> Translation note: The prayer confesses that humans do not finally direct their own path apart from the Lord.</w:t>
      </w:r>
    </w:p>
  </w:footnote>
  <w:footnote w:id="12233">
    <w:p>
      <w:pPr>
        <w:pStyle w:val="FootnoteText"/>
      </w:pPr>
      <w:r>
        <w:rPr>
          <w:rStyle w:val="FootnoteReference"/>
        </w:rPr>
        <w:footnoteRef/>
      </w:r>
      <w:r>
        <w:t xml:space="preserve"> Cross-references for "Pour": Ps 79:6-7.</w:t>
      </w:r>
    </w:p>
  </w:footnote>
  <w:footnote w:id="12234">
    <w:p>
      <w:pPr>
        <w:pStyle w:val="FootnoteText"/>
      </w:pPr>
      <w:r>
        <w:rPr>
          <w:rStyle w:val="FootnoteReference"/>
        </w:rPr>
        <w:footnoteRef/>
      </w:r>
      <w:r>
        <w:t xml:space="preserve"> Translation note: Greek uses the call-upon-name formula here. This edition keeps call upon rather than simply call.</w:t>
      </w:r>
    </w:p>
  </w:footnote>
  <w:footnote w:id="12235">
    <w:p>
      <w:pPr>
        <w:pStyle w:val="FootnoteText"/>
      </w:pPr>
      <w:r>
        <w:rPr>
          <w:rStyle w:val="FootnoteReference"/>
        </w:rPr>
        <w:footnoteRef/>
      </w:r>
      <w:r>
        <w:t xml:space="preserve"> Translation note: This section opens around hearing and doing the covenant words rather than merely receiving new information.</w:t>
      </w:r>
    </w:p>
  </w:footnote>
  <w:footnote w:id="12236">
    <w:p>
      <w:pPr>
        <w:pStyle w:val="FootnoteText"/>
      </w:pPr>
      <w:r>
        <w:rPr>
          <w:rStyle w:val="FootnoteReference"/>
        </w:rPr>
        <w:footnoteRef/>
      </w:r>
      <w:r>
        <w:t xml:space="preserve"> Cross-references for "I commanded": Exod 24:3-8; Deut 5:2-3.</w:t>
      </w:r>
    </w:p>
  </w:footnote>
  <w:footnote w:id="12237">
    <w:p>
      <w:pPr>
        <w:pStyle w:val="FootnoteText"/>
      </w:pPr>
      <w:r>
        <w:rPr>
          <w:rStyle w:val="FootnoteReference"/>
        </w:rPr>
        <w:footnoteRef/>
      </w:r>
      <w:r>
        <w:t xml:space="preserve"> Translation note: The Egypt deliverance is framed as rescue from an iron furnace before the covenant obedience command.</w:t>
      </w:r>
    </w:p>
  </w:footnote>
  <w:footnote w:id="12238">
    <w:p>
      <w:pPr>
        <w:pStyle w:val="FootnoteText"/>
      </w:pPr>
      <w:r>
        <w:rPr>
          <w:rStyle w:val="FootnoteReference"/>
        </w:rPr>
        <w:footnoteRef/>
      </w:r>
      <w:r>
        <w:t xml:space="preserve"> Translation note: The oath to the fathers is tied to the land promise and its present fulfillment formula as it is this day.</w:t>
      </w:r>
    </w:p>
  </w:footnote>
  <w:footnote w:id="12239">
    <w:p>
      <w:pPr>
        <w:pStyle w:val="FootnoteText"/>
      </w:pPr>
      <w:r>
        <w:rPr>
          <w:rStyle w:val="FootnoteReference"/>
        </w:rPr>
        <w:footnoteRef/>
      </w:r>
      <w:r>
        <w:t xml:space="preserve"> Cross-references for "a land": Exod 3:8-17; Lev 20:24.</w:t>
      </w:r>
    </w:p>
  </w:footnote>
  <w:footnote w:id="12240">
    <w:p>
      <w:pPr>
        <w:pStyle w:val="FootnoteText"/>
      </w:pPr>
      <w:r>
        <w:rPr>
          <w:rStyle w:val="FootnoteReference"/>
        </w:rPr>
        <w:footnoteRef/>
      </w:r>
      <w:r>
        <w:t xml:space="preserve"> Cross-references for "Hear": Ps 15:5; Jer 11:2-4.</w:t>
      </w:r>
    </w:p>
  </w:footnote>
  <w:footnote w:id="12241">
    <w:p>
      <w:pPr>
        <w:pStyle w:val="FootnoteText"/>
      </w:pPr>
      <w:r>
        <w:rPr>
          <w:rStyle w:val="FootnoteReference"/>
        </w:rPr>
        <w:footnoteRef/>
      </w:r>
      <w:r>
        <w:t xml:space="preserve"> Translation note: The covenant failure is described not only as ignorance but as a discovered conspiracy among Judah and Jerusalem.</w:t>
      </w:r>
    </w:p>
  </w:footnote>
  <w:footnote w:id="12242">
    <w:p>
      <w:pPr>
        <w:pStyle w:val="FootnoteText"/>
      </w:pPr>
      <w:r>
        <w:rPr>
          <w:rStyle w:val="FootnoteReference"/>
        </w:rPr>
        <w:footnoteRef/>
      </w:r>
      <w:r>
        <w:t xml:space="preserve"> Cross-references for "turned": 1Sam 15:11; 2Chr 34:30-33.</w:t>
      </w:r>
    </w:p>
  </w:footnote>
  <w:footnote w:id="12243">
    <w:p>
      <w:pPr>
        <w:pStyle w:val="FootnoteText"/>
      </w:pPr>
      <w:r>
        <w:rPr>
          <w:rStyle w:val="FootnoteReference"/>
        </w:rPr>
        <w:footnoteRef/>
      </w:r>
      <w:r>
        <w:t xml:space="preserve"> Translation note: The covenant breach is specified as returning to ancestral injustices and serving foreign gods.</w:t>
      </w:r>
    </w:p>
  </w:footnote>
  <w:footnote w:id="12244">
    <w:p>
      <w:pPr>
        <w:pStyle w:val="FootnoteText"/>
      </w:pPr>
      <w:r>
        <w:rPr>
          <w:rStyle w:val="FootnoteReference"/>
        </w:rPr>
        <w:footnoteRef/>
      </w:r>
      <w:r>
        <w:t xml:space="preserve"> Cross-references for "up altars": 2Kgs 21:4-5; Jer 19:5.</w:t>
      </w:r>
    </w:p>
  </w:footnote>
  <w:footnote w:id="12245">
    <w:p>
      <w:pPr>
        <w:pStyle w:val="FootnoteText"/>
      </w:pPr>
      <w:r>
        <w:rPr>
          <w:rStyle w:val="FootnoteReference"/>
        </w:rPr>
        <w:footnoteRef/>
      </w:r>
      <w:r>
        <w:t xml:space="preserve"> Cross-references for "pray": Exod 32:10; Prov 26:24-25.</w:t>
      </w:r>
    </w:p>
  </w:footnote>
  <w:footnote w:id="12246">
    <w:p>
      <w:pPr>
        <w:pStyle w:val="FootnoteText"/>
      </w:pPr>
      <w:r>
        <w:rPr>
          <w:rStyle w:val="FootnoteReference"/>
        </w:rPr>
        <w:footnoteRef/>
      </w:r>
      <w:r>
        <w:t xml:space="preserve"> Translation note: Greek uses the invocation verb ἐπικαλέω here. This edition keeps call upon for the prayer/worship formula.</w:t>
      </w:r>
    </w:p>
  </w:footnote>
  <w:footnote w:id="12247">
    <w:p>
      <w:pPr>
        <w:pStyle w:val="FootnoteText"/>
      </w:pPr>
      <w:r>
        <w:rPr>
          <w:rStyle w:val="FootnoteReference"/>
        </w:rPr>
        <w:footnoteRef/>
      </w:r>
      <w:r>
        <w:t xml:space="preserve"> Translation note: The line rejects sacrificial meat and vows as a way to remove covenant evils while abomination remains in the Lord's house.</w:t>
      </w:r>
    </w:p>
  </w:footnote>
  <w:footnote w:id="12248">
    <w:p>
      <w:pPr>
        <w:pStyle w:val="FootnoteText"/>
      </w:pPr>
      <w:r>
        <w:rPr>
          <w:rStyle w:val="FootnoteReference"/>
        </w:rPr>
        <w:footnoteRef/>
      </w:r>
      <w:r>
        <w:t xml:space="preserve"> Translation note: Judah is named as a beautiful olive tree before the fire and branch image turns the metaphor toward judgment.</w:t>
      </w:r>
    </w:p>
  </w:footnote>
  <w:footnote w:id="12249">
    <w:p>
      <w:pPr>
        <w:pStyle w:val="FootnoteText"/>
      </w:pPr>
      <w:r>
        <w:rPr>
          <w:rStyle w:val="FootnoteReference"/>
        </w:rPr>
        <w:footnoteRef/>
      </w:r>
      <w:r>
        <w:t xml:space="preserve"> Cross-references for "I was": Prov 7:22; Isa 53:7.</w:t>
      </w:r>
    </w:p>
  </w:footnote>
  <w:footnote w:id="12250">
    <w:p>
      <w:pPr>
        <w:pStyle w:val="FootnoteText"/>
      </w:pPr>
      <w:r>
        <w:rPr>
          <w:rStyle w:val="FootnoteReference"/>
        </w:rPr>
        <w:footnoteRef/>
      </w:r>
      <w:r>
        <w:t xml:space="preserve"> Translation note: This difficult image is retained literally because the Greek reads wood into his bread in the plot against the innocent lamb figure.</w:t>
      </w:r>
    </w:p>
  </w:footnote>
  <w:footnote w:id="12251">
    <w:p>
      <w:pPr>
        <w:pStyle w:val="FootnoteText"/>
      </w:pPr>
      <w:r>
        <w:rPr>
          <w:rStyle w:val="FootnoteReference"/>
        </w:rPr>
        <w:footnoteRef/>
      </w:r>
      <w:r>
        <w:t xml:space="preserve"> Translation note: The Greek keeps the biblical inner-person idiom of kidneys and heart for testing motives and thoughts.</w:t>
      </w:r>
    </w:p>
  </w:footnote>
  <w:footnote w:id="12252">
    <w:p>
      <w:pPr>
        <w:pStyle w:val="FootnoteText"/>
      </w:pPr>
      <w:r>
        <w:rPr>
          <w:rStyle w:val="FootnoteReference"/>
        </w:rPr>
        <w:footnoteRef/>
      </w:r>
      <w:r>
        <w:t xml:space="preserve"> Cross-references for "revealed": 1Sam 24:15; Job 5:8.</w:t>
      </w:r>
    </w:p>
  </w:footnote>
  <w:footnote w:id="12253">
    <w:p>
      <w:pPr>
        <w:pStyle w:val="FootnoteText"/>
      </w:pPr>
      <w:r>
        <w:rPr>
          <w:rStyle w:val="FootnoteReference"/>
        </w:rPr>
        <w:footnoteRef/>
      </w:r>
      <w:r>
        <w:t xml:space="preserve"> Translation note: The threat comes from Anathoth against Jeremiah's prophetic speech in the name of the Lord.</w:t>
      </w:r>
    </w:p>
  </w:footnote>
  <w:footnote w:id="12254">
    <w:p>
      <w:pPr>
        <w:pStyle w:val="FootnoteText"/>
      </w:pPr>
      <w:r>
        <w:rPr>
          <w:rStyle w:val="FootnoteReference"/>
        </w:rPr>
        <w:footnoteRef/>
      </w:r>
      <w:r>
        <w:t xml:space="preserve"> Cross-references for "prophesy": Isa 30:10; Amos 2:12.</w:t>
      </w:r>
    </w:p>
  </w:footnote>
  <w:footnote w:id="12255">
    <w:p>
      <w:pPr>
        <w:pStyle w:val="FootnoteText"/>
      </w:pPr>
      <w:r>
        <w:rPr>
          <w:rStyle w:val="FootnoteReference"/>
        </w:rPr>
        <w:footnoteRef/>
      </w:r>
      <w:r>
        <w:t xml:space="preserve"> Cross-references for "young": 2Chr 36:17; Jer 9:21.</w:t>
      </w:r>
    </w:p>
  </w:footnote>
  <w:footnote w:id="12256">
    <w:p>
      <w:pPr>
        <w:pStyle w:val="FootnoteText"/>
      </w:pPr>
      <w:r>
        <w:rPr>
          <w:rStyle w:val="FootnoteReference"/>
        </w:rPr>
        <w:footnoteRef/>
      </w:r>
      <w:r>
        <w:t xml:space="preserve"> Cross-references for "the year": Jer 5:9; Jer 5:29.</w:t>
      </w:r>
    </w:p>
  </w:footnote>
  <w:footnote w:id="12257">
    <w:p>
      <w:pPr>
        <w:pStyle w:val="FootnoteText"/>
      </w:pPr>
      <w:r>
        <w:rPr>
          <w:rStyle w:val="FootnoteReference"/>
        </w:rPr>
        <w:footnoteRef/>
      </w:r>
      <w:r>
        <w:t xml:space="preserve"> Cross-references for "righteous": Gen 18:25; Deut 32:4.</w:t>
      </w:r>
    </w:p>
  </w:footnote>
  <w:footnote w:id="12258">
    <w:p>
      <w:pPr>
        <w:pStyle w:val="FootnoteText"/>
      </w:pPr>
      <w:r>
        <w:rPr>
          <w:rStyle w:val="FootnoteReference"/>
        </w:rPr>
        <w:footnoteRef/>
      </w:r>
      <w:r>
        <w:t xml:space="preserve"> Translation note: Jeremiah's complaint asks why the ungodly prosper before turning to the faithlessness root repeated in the same verse.</w:t>
      </w:r>
    </w:p>
  </w:footnote>
  <w:footnote w:id="12259">
    <w:p>
      <w:pPr>
        <w:pStyle w:val="FootnoteText"/>
      </w:pPr>
      <w:r>
        <w:rPr>
          <w:rStyle w:val="FootnoteReference"/>
        </w:rPr>
        <w:footnoteRef/>
      </w:r>
      <w:r>
        <w:t xml:space="preserve"> Cross-references for "near": Isa 29:13; Ezek 33:31.</w:t>
      </w:r>
    </w:p>
  </w:footnote>
  <w:footnote w:id="12260">
    <w:p>
      <w:pPr>
        <w:pStyle w:val="FootnoteText"/>
      </w:pPr>
      <w:r>
        <w:rPr>
          <w:rStyle w:val="FootnoteReference"/>
        </w:rPr>
        <w:footnoteRef/>
      </w:r>
      <w:r>
        <w:t xml:space="preserve"> Translation note: The Greek contrasts outward speech with the inner person by using mouth and kidneys.</w:t>
      </w:r>
    </w:p>
  </w:footnote>
  <w:footnote w:id="12261">
    <w:p>
      <w:pPr>
        <w:pStyle w:val="FootnoteText"/>
      </w:pPr>
      <w:r>
        <w:rPr>
          <w:rStyle w:val="FootnoteReference"/>
        </w:rPr>
        <w:footnoteRef/>
      </w:r>
      <w:r>
        <w:t xml:space="preserve"> Translation note: The verb can carry purification language; here the context is ironic preparation for slaughter.</w:t>
      </w:r>
    </w:p>
  </w:footnote>
  <w:footnote w:id="12262">
    <w:p>
      <w:pPr>
        <w:pStyle w:val="FootnoteText"/>
      </w:pPr>
      <w:r>
        <w:rPr>
          <w:rStyle w:val="FootnoteReference"/>
        </w:rPr>
        <w:footnoteRef/>
      </w:r>
      <w:r>
        <w:t xml:space="preserve"> Cross-references for "long": Jer 9:10; Jer 14:2.</w:t>
      </w:r>
    </w:p>
  </w:footnote>
  <w:footnote w:id="12263">
    <w:p>
      <w:pPr>
        <w:pStyle w:val="FootnoteText"/>
      </w:pPr>
      <w:r>
        <w:rPr>
          <w:rStyle w:val="FootnoteReference"/>
        </w:rPr>
        <w:footnoteRef/>
      </w:r>
      <w:r>
        <w:t xml:space="preserve"> Translation note: The Jordan image raises the difficulty from running with footmen to danger in the river thicket.</w:t>
      </w:r>
    </w:p>
  </w:footnote>
  <w:footnote w:id="12264">
    <w:p>
      <w:pPr>
        <w:pStyle w:val="FootnoteText"/>
      </w:pPr>
      <w:r>
        <w:rPr>
          <w:rStyle w:val="FootnoteReference"/>
        </w:rPr>
        <w:footnoteRef/>
      </w:r>
      <w:r>
        <w:t xml:space="preserve"> Cross-references for "therefore": Hos 9:15; Amos 6:8.</w:t>
      </w:r>
    </w:p>
  </w:footnote>
  <w:footnote w:id="12265">
    <w:p>
      <w:pPr>
        <w:pStyle w:val="FootnoteText"/>
      </w:pPr>
      <w:r>
        <w:rPr>
          <w:rStyle w:val="FootnoteReference"/>
        </w:rPr>
        <w:footnoteRef/>
      </w:r>
      <w:r>
        <w:t xml:space="preserve"> Translation note: The Greek animal image is retained rather than smoothing it into a generic wild-beast lair.</w:t>
      </w:r>
    </w:p>
  </w:footnote>
  <w:footnote w:id="12266">
    <w:p>
      <w:pPr>
        <w:pStyle w:val="FootnoteText"/>
      </w:pPr>
      <w:r>
        <w:rPr>
          <w:rStyle w:val="FootnoteReference"/>
        </w:rPr>
        <w:footnoteRef/>
      </w:r>
      <w:r>
        <w:t xml:space="preserve"> Cross-references for "my vineyard": Ps 80:8-16; Isa 5:1-7.</w:t>
      </w:r>
    </w:p>
  </w:footnote>
  <w:footnote w:id="12267">
    <w:p>
      <w:pPr>
        <w:pStyle w:val="FootnoteText"/>
      </w:pPr>
      <w:r>
        <w:rPr>
          <w:rStyle w:val="FootnoteReference"/>
        </w:rPr>
        <w:footnoteRef/>
      </w:r>
      <w:r>
        <w:t xml:space="preserve"> Translation note: The judgment is cast as the Lord's sword devouring from end to end with no peace for any flesh.</w:t>
      </w:r>
    </w:p>
  </w:footnote>
  <w:footnote w:id="12268">
    <w:p>
      <w:pPr>
        <w:pStyle w:val="FootnoteText"/>
      </w:pPr>
      <w:r>
        <w:rPr>
          <w:rStyle w:val="FootnoteReference"/>
        </w:rPr>
        <w:footnoteRef/>
      </w:r>
      <w:r>
        <w:t xml:space="preserve"> Cross-references for "the sword": Lev 26:33; Isa 34:6.</w:t>
      </w:r>
    </w:p>
  </w:footnote>
  <w:footnote w:id="12269">
    <w:p>
      <w:pPr>
        <w:pStyle w:val="FootnoteText"/>
      </w:pPr>
      <w:r>
        <w:rPr>
          <w:rStyle w:val="FootnoteReference"/>
        </w:rPr>
        <w:footnoteRef/>
      </w:r>
      <w:r>
        <w:t xml:space="preserve"> Translation note: The restoration clause requires the nations to learn the people's way and swear by the Lord rather than by Baal.</w:t>
      </w:r>
    </w:p>
  </w:footnote>
  <w:footnote w:id="12270">
    <w:p>
      <w:pPr>
        <w:pStyle w:val="FootnoteText"/>
      </w:pPr>
      <w:r>
        <w:rPr>
          <w:rStyle w:val="FootnoteReference"/>
        </w:rPr>
        <w:footnoteRef/>
      </w:r>
      <w:r>
        <w:t xml:space="preserve"> Cross-references for "my name": Deut 10:20-21; Song 1:8.</w:t>
      </w:r>
    </w:p>
  </w:footnote>
  <w:footnote w:id="12271">
    <w:p>
      <w:pPr>
        <w:pStyle w:val="FootnoteText"/>
      </w:pPr>
      <w:r>
        <w:rPr>
          <w:rStyle w:val="FootnoteReference"/>
        </w:rPr>
        <w:footnoteRef/>
      </w:r>
      <w:r>
        <w:t xml:space="preserve"> Translation note: The sign-act begins with a linen belt worn at the waist and kept from water before it is hidden and ruined.</w:t>
      </w:r>
    </w:p>
  </w:footnote>
  <w:footnote w:id="12272">
    <w:p>
      <w:pPr>
        <w:pStyle w:val="FootnoteText"/>
      </w:pPr>
      <w:r>
        <w:rPr>
          <w:rStyle w:val="FootnoteReference"/>
        </w:rPr>
        <w:footnoteRef/>
      </w:r>
      <w:r>
        <w:t xml:space="preserve"> Cross-references for "the word": Jer 13:3; Jer 13:8.</w:t>
      </w:r>
    </w:p>
  </w:footnote>
  <w:footnote w:id="12273">
    <w:p>
      <w:pPr>
        <w:pStyle w:val="FootnoteText"/>
      </w:pPr>
      <w:r>
        <w:rPr>
          <w:rStyle w:val="FootnoteReference"/>
        </w:rPr>
        <w:footnoteRef/>
      </w:r>
      <w:r>
        <w:t xml:space="preserve"> Translation note: The Greek names the Euphrates in the belt sign-act. This edition keeps the river name rather than paraphrasing the location.</w:t>
      </w:r>
    </w:p>
  </w:footnote>
  <w:footnote w:id="12274">
    <w:p>
      <w:pPr>
        <w:pStyle w:val="FootnoteText"/>
      </w:pPr>
      <w:r>
        <w:rPr>
          <w:rStyle w:val="FootnoteReference"/>
        </w:rPr>
        <w:footnoteRef/>
      </w:r>
      <w:r>
        <w:t xml:space="preserve"> Cross-references for "it was": Isa 64:6; Jer 13:10.</w:t>
      </w:r>
    </w:p>
  </w:footnote>
  <w:footnote w:id="12275">
    <w:p>
      <w:pPr>
        <w:pStyle w:val="FootnoteText"/>
      </w:pPr>
      <w:r>
        <w:rPr>
          <w:rStyle w:val="FootnoteReference"/>
        </w:rPr>
        <w:footnoteRef/>
      </w:r>
      <w:r>
        <w:t xml:space="preserve"> Translation note: The ruined belt becomes the image for Judah and Jerusalem's pride becoming useless.</w:t>
      </w:r>
    </w:p>
  </w:footnote>
  <w:footnote w:id="12276">
    <w:p>
      <w:pPr>
        <w:pStyle w:val="FootnoteText"/>
      </w:pPr>
      <w:r>
        <w:rPr>
          <w:rStyle w:val="FootnoteReference"/>
        </w:rPr>
        <w:footnoteRef/>
      </w:r>
      <w:r>
        <w:t xml:space="preserve"> Cross-references for "the pride": Lev 26:19; Job 40:10-12.</w:t>
      </w:r>
    </w:p>
  </w:footnote>
  <w:footnote w:id="12277">
    <w:p>
      <w:pPr>
        <w:pStyle w:val="FootnoteText"/>
      </w:pPr>
      <w:r>
        <w:rPr>
          <w:rStyle w:val="FootnoteReference"/>
        </w:rPr>
        <w:footnoteRef/>
      </w:r>
      <w:r>
        <w:t xml:space="preserve"> Translation note: The belt's closeness explains the intended covenant closeness of Israel and Judah to the Lord.</w:t>
      </w:r>
    </w:p>
  </w:footnote>
  <w:footnote w:id="12278">
    <w:p>
      <w:pPr>
        <w:pStyle w:val="FootnoteText"/>
      </w:pPr>
      <w:r>
        <w:rPr>
          <w:rStyle w:val="FootnoteReference"/>
        </w:rPr>
        <w:footnoteRef/>
      </w:r>
      <w:r>
        <w:t xml:space="preserve"> Translation note: The proverb-like answer becomes the setup for the following drunkenness judgment on rulers and people.</w:t>
      </w:r>
    </w:p>
  </w:footnote>
  <w:footnote w:id="12279">
    <w:p>
      <w:pPr>
        <w:pStyle w:val="FootnoteText"/>
      </w:pPr>
      <w:r>
        <w:rPr>
          <w:rStyle w:val="FootnoteReference"/>
        </w:rPr>
        <w:footnoteRef/>
      </w:r>
      <w:r>
        <w:t xml:space="preserve"> Translation note: The wineskin image turns into a judgment of drunkenness filling kings priests prophets Judah and Jerusalem.</w:t>
      </w:r>
    </w:p>
  </w:footnote>
  <w:footnote w:id="12280">
    <w:p>
      <w:pPr>
        <w:pStyle w:val="FootnoteText"/>
      </w:pPr>
      <w:r>
        <w:rPr>
          <w:rStyle w:val="FootnoteReference"/>
        </w:rPr>
        <w:footnoteRef/>
      </w:r>
      <w:r>
        <w:t xml:space="preserve"> Cross-references for "I will not": Deut 29:20; Isa 27:11.</w:t>
      </w:r>
    </w:p>
  </w:footnote>
  <w:footnote w:id="12281">
    <w:p>
      <w:pPr>
        <w:pStyle w:val="FootnoteText"/>
      </w:pPr>
      <w:r>
        <w:rPr>
          <w:rStyle w:val="FootnoteReference"/>
        </w:rPr>
        <w:footnoteRef/>
      </w:r>
      <w:r>
        <w:t xml:space="preserve"> Translation note: The warning calls for honoring the Lord before darkness shadow of death and stumbling overtake them.</w:t>
      </w:r>
    </w:p>
  </w:footnote>
  <w:footnote w:id="12282">
    <w:p>
      <w:pPr>
        <w:pStyle w:val="FootnoteText"/>
      </w:pPr>
      <w:r>
        <w:rPr>
          <w:rStyle w:val="FootnoteReference"/>
        </w:rPr>
        <w:footnoteRef/>
      </w:r>
      <w:r>
        <w:t xml:space="preserve"> Cross-references for "Give": Josh 7:19; 1Sam 6:5.</w:t>
      </w:r>
    </w:p>
  </w:footnote>
  <w:footnote w:id="12283">
    <w:p>
      <w:pPr>
        <w:pStyle w:val="FootnoteText"/>
      </w:pPr>
      <w:r>
        <w:rPr>
          <w:rStyle w:val="FootnoteReference"/>
        </w:rPr>
        <w:footnoteRef/>
      </w:r>
      <w:r>
        <w:t xml:space="preserve"> Translation note: The hidden weeping is tied to the crushing of the Lord's flock after pride refuses to hear.</w:t>
      </w:r>
    </w:p>
  </w:footnote>
  <w:footnote w:id="12284">
    <w:p>
      <w:pPr>
        <w:pStyle w:val="FootnoteText"/>
      </w:pPr>
      <w:r>
        <w:rPr>
          <w:rStyle w:val="FootnoteReference"/>
        </w:rPr>
        <w:footnoteRef/>
      </w:r>
      <w:r>
        <w:t xml:space="preserve"> Translation note: The address to king and rulers frames humiliation as the fall of the crown from their head.</w:t>
      </w:r>
    </w:p>
  </w:footnote>
  <w:footnote w:id="12285">
    <w:p>
      <w:pPr>
        <w:pStyle w:val="FootnoteText"/>
      </w:pPr>
      <w:r>
        <w:rPr>
          <w:rStyle w:val="FootnoteReference"/>
        </w:rPr>
        <w:footnoteRef/>
      </w:r>
      <w:r>
        <w:t xml:space="preserve"> Cross-references for "cities": Josh 18:5; Jer 17:26.</w:t>
      </w:r>
    </w:p>
  </w:footnote>
  <w:footnote w:id="12286">
    <w:p>
      <w:pPr>
        <w:pStyle w:val="FootnoteText"/>
      </w:pPr>
      <w:r>
        <w:rPr>
          <w:rStyle w:val="FootnoteReference"/>
        </w:rPr>
        <w:footnoteRef/>
      </w:r>
      <w:r>
        <w:t xml:space="preserve"> Translation note: Jerusalem is asked where the glorious flock entrusted to her has gone as those from the north approach.</w:t>
      </w:r>
    </w:p>
  </w:footnote>
  <w:footnote w:id="12287">
    <w:p>
      <w:pPr>
        <w:pStyle w:val="FootnoteText"/>
      </w:pPr>
      <w:r>
        <w:rPr>
          <w:rStyle w:val="FootnoteReference"/>
        </w:rPr>
        <w:footnoteRef/>
      </w:r>
      <w:r>
        <w:t xml:space="preserve"> Translation note: The exposure language is retained because the Greek frames the shame as public display.</w:t>
      </w:r>
    </w:p>
  </w:footnote>
  <w:footnote w:id="12288">
    <w:p>
      <w:pPr>
        <w:pStyle w:val="FootnoteText"/>
      </w:pPr>
      <w:r>
        <w:rPr>
          <w:rStyle w:val="FootnoteReference"/>
        </w:rPr>
        <w:footnoteRef/>
      </w:r>
      <w:r>
        <w:t xml:space="preserve"> Translation note: The Ethiopian and leopard comparison marks the impossibility of doing good after being trained in evil apart from divine intervention.</w:t>
      </w:r>
    </w:p>
  </w:footnote>
  <w:footnote w:id="12289">
    <w:p>
      <w:pPr>
        <w:pStyle w:val="FootnoteText"/>
      </w:pPr>
      <w:r>
        <w:rPr>
          <w:rStyle w:val="FootnoteReference"/>
        </w:rPr>
        <w:footnoteRef/>
      </w:r>
      <w:r>
        <w:t xml:space="preserve"> Cross-references for "Ethiopian": Prov 27:22; Isa 1:5.</w:t>
      </w:r>
    </w:p>
  </w:footnote>
  <w:footnote w:id="12290">
    <w:p>
      <w:pPr>
        <w:pStyle w:val="FootnoteText"/>
      </w:pPr>
      <w:r>
        <w:rPr>
          <w:rStyle w:val="FootnoteReference"/>
        </w:rPr>
        <w:footnoteRef/>
      </w:r>
      <w:r>
        <w:t xml:space="preserve"> Translation note: The scattering image pictures the people as dry brushwood blown into wilderness.</w:t>
      </w:r>
    </w:p>
  </w:footnote>
  <w:footnote w:id="12291">
    <w:p>
      <w:pPr>
        <w:pStyle w:val="FootnoteText"/>
      </w:pPr>
      <w:r>
        <w:rPr>
          <w:rStyle w:val="FootnoteReference"/>
        </w:rPr>
        <w:footnoteRef/>
      </w:r>
      <w:r>
        <w:t xml:space="preserve"> Translation note: The Greek keeps sexual and animal imagery for Jerusalem's covenant unfaithfulness.</w:t>
      </w:r>
    </w:p>
  </w:footnote>
  <w:footnote w:id="12292">
    <w:p>
      <w:pPr>
        <w:pStyle w:val="FootnoteText"/>
      </w:pPr>
      <w:r>
        <w:rPr>
          <w:rStyle w:val="FootnoteReference"/>
        </w:rPr>
        <w:footnoteRef/>
      </w:r>
      <w:r>
        <w:t xml:space="preserve"> Cross-references for "abominations": Isa 57:7; Isa 65:7.</w:t>
      </w:r>
    </w:p>
  </w:footnote>
  <w:footnote w:id="12293">
    <w:p>
      <w:pPr>
        <w:pStyle w:val="FootnoteText"/>
      </w:pPr>
      <w:r>
        <w:rPr>
          <w:rStyle w:val="FootnoteReference"/>
        </w:rPr>
        <w:footnoteRef/>
      </w:r>
      <w:r>
        <w:t xml:space="preserve"> Translation note: The section begins as a word concerning drought and then develops the land animal and prayer imagery around failed rain.</w:t>
      </w:r>
    </w:p>
  </w:footnote>
  <w:footnote w:id="12294">
    <w:p>
      <w:pPr>
        <w:pStyle w:val="FootnoteText"/>
      </w:pPr>
      <w:r>
        <w:rPr>
          <w:rStyle w:val="FootnoteReference"/>
        </w:rPr>
        <w:footnoteRef/>
      </w:r>
      <w:r>
        <w:t xml:space="preserve"> Cross-references for "the cry": Exod 2:24; 1Sam 5:12.</w:t>
      </w:r>
    </w:p>
  </w:footnote>
  <w:footnote w:id="12295">
    <w:p>
      <w:pPr>
        <w:pStyle w:val="FootnoteText"/>
      </w:pPr>
      <w:r>
        <w:rPr>
          <w:rStyle w:val="FootnoteReference"/>
        </w:rPr>
        <w:footnoteRef/>
      </w:r>
      <w:r>
        <w:t xml:space="preserve"> Translation note: The drought is described as failure in the earth's works because there was no rain.</w:t>
      </w:r>
    </w:p>
  </w:footnote>
  <w:footnote w:id="12296">
    <w:p>
      <w:pPr>
        <w:pStyle w:val="FootnoteText"/>
      </w:pPr>
      <w:r>
        <w:rPr>
          <w:rStyle w:val="FootnoteReference"/>
        </w:rPr>
        <w:footnoteRef/>
      </w:r>
      <w:r>
        <w:t xml:space="preserve"> Translation note: The animal images show drought reaching from fields and herds to wild creatures.</w:t>
      </w:r>
    </w:p>
  </w:footnote>
  <w:footnote w:id="12297">
    <w:p>
      <w:pPr>
        <w:pStyle w:val="FootnoteText"/>
      </w:pPr>
      <w:r>
        <w:rPr>
          <w:rStyle w:val="FootnoteReference"/>
        </w:rPr>
        <w:footnoteRef/>
      </w:r>
      <w:r>
        <w:t xml:space="preserve"> Cross-references for "Their": 1Sam 14:29; Lam 4:17.</w:t>
      </w:r>
    </w:p>
  </w:footnote>
  <w:footnote w:id="12298">
    <w:p>
      <w:pPr>
        <w:pStyle w:val="FootnoteText"/>
      </w:pPr>
      <w:r>
        <w:rPr>
          <w:rStyle w:val="FootnoteReference"/>
        </w:rPr>
        <w:footnoteRef/>
      </w:r>
      <w:r>
        <w:t xml:space="preserve"> Translation note: The appeal addresses the Lord as Israel's hope and savior in a time of evils.</w:t>
      </w:r>
    </w:p>
  </w:footnote>
  <w:footnote w:id="12299">
    <w:p>
      <w:pPr>
        <w:pStyle w:val="FootnoteText"/>
      </w:pPr>
      <w:r>
        <w:rPr>
          <w:rStyle w:val="FootnoteReference"/>
        </w:rPr>
        <w:footnoteRef/>
      </w:r>
      <w:r>
        <w:t xml:space="preserve"> Translation note: The Greek uses the name-upon formula for the people. The current wording keeps that covenant-identification language explicit.</w:t>
      </w:r>
    </w:p>
  </w:footnote>
  <w:footnote w:id="12300">
    <w:p>
      <w:pPr>
        <w:pStyle w:val="FootnoteText"/>
      </w:pPr>
      <w:r>
        <w:rPr>
          <w:rStyle w:val="FootnoteReference"/>
        </w:rPr>
        <w:footnoteRef/>
      </w:r>
      <w:r>
        <w:t xml:space="preserve"> Cross-references for "the Lord": Jer 6:20; Amos 5:22.</w:t>
      </w:r>
    </w:p>
  </w:footnote>
  <w:footnote w:id="12301">
    <w:p>
      <w:pPr>
        <w:pStyle w:val="FootnoteText"/>
      </w:pPr>
      <w:r>
        <w:rPr>
          <w:rStyle w:val="FootnoteReference"/>
        </w:rPr>
        <w:footnoteRef/>
      </w:r>
      <w:r>
        <w:t xml:space="preserve"> Cross-references for "they fast": Prov 1:28; Prov 28:9.</w:t>
      </w:r>
    </w:p>
  </w:footnote>
  <w:footnote w:id="12302">
    <w:p>
      <w:pPr>
        <w:pStyle w:val="FootnoteText"/>
      </w:pPr>
      <w:r>
        <w:rPr>
          <w:rStyle w:val="FootnoteReference"/>
        </w:rPr>
        <w:footnoteRef/>
      </w:r>
      <w:r>
        <w:t xml:space="preserve"> Translation note: The rejected fasts and offerings lead into a threefold judgment formula.</w:t>
      </w:r>
    </w:p>
  </w:footnote>
  <w:footnote w:id="12303">
    <w:p>
      <w:pPr>
        <w:pStyle w:val="FootnoteText"/>
      </w:pPr>
      <w:r>
        <w:rPr>
          <w:rStyle w:val="FootnoteReference"/>
        </w:rPr>
        <w:footnoteRef/>
      </w:r>
      <w:r>
        <w:t xml:space="preserve"> Cross-references for "behold": Jer 5:31; Jer 6:14.</w:t>
      </w:r>
    </w:p>
  </w:footnote>
  <w:footnote w:id="12304">
    <w:p>
      <w:pPr>
        <w:pStyle w:val="FootnoteText"/>
      </w:pPr>
      <w:r>
        <w:rPr>
          <w:rStyle w:val="FootnoteReference"/>
        </w:rPr>
        <w:footnoteRef/>
      </w:r>
      <w:r>
        <w:t xml:space="preserve"> Translation note: The false prophetic message promises truth and peace where the Lord has announced sword famine and death.</w:t>
      </w:r>
    </w:p>
  </w:footnote>
  <w:footnote w:id="12305">
    <w:p>
      <w:pPr>
        <w:pStyle w:val="FootnoteText"/>
      </w:pPr>
      <w:r>
        <w:rPr>
          <w:rStyle w:val="FootnoteReference"/>
        </w:rPr>
        <w:footnoteRef/>
      </w:r>
      <w:r>
        <w:t xml:space="preserve"> Translation note: The Lord denies sending commanding or speaking to these prophets and identifies their message as false visions divinations omens and heart choices.</w:t>
      </w:r>
    </w:p>
  </w:footnote>
  <w:footnote w:id="12306">
    <w:p>
      <w:pPr>
        <w:pStyle w:val="FootnoteText"/>
      </w:pPr>
      <w:r>
        <w:rPr>
          <w:rStyle w:val="FootnoteReference"/>
        </w:rPr>
        <w:footnoteRef/>
      </w:r>
      <w:r>
        <w:t xml:space="preserve"> Cross-references for "The prophets": Isa 9:15; Jer 23:25-26.</w:t>
      </w:r>
    </w:p>
  </w:footnote>
  <w:footnote w:id="12307">
    <w:p>
      <w:pPr>
        <w:pStyle w:val="FootnoteText"/>
      </w:pPr>
      <w:r>
        <w:rPr>
          <w:rStyle w:val="FootnoteReference"/>
        </w:rPr>
        <w:footnoteRef/>
      </w:r>
      <w:r>
        <w:t xml:space="preserve"> Translation note: The judgment extends from the false prophets to the people receiving their message and leaves them unburied in Jerusalem's streets.</w:t>
      </w:r>
    </w:p>
  </w:footnote>
  <w:footnote w:id="12308">
    <w:p>
      <w:pPr>
        <w:pStyle w:val="FootnoteText"/>
      </w:pPr>
      <w:r>
        <w:rPr>
          <w:rStyle w:val="FootnoteReference"/>
        </w:rPr>
        <w:footnoteRef/>
      </w:r>
      <w:r>
        <w:t xml:space="preserve"> Translation note: The lament is commanded as ongoing grief over the crushing wound of the daughter of the Lord's people.</w:t>
      </w:r>
    </w:p>
  </w:footnote>
  <w:footnote w:id="12309">
    <w:p>
      <w:pPr>
        <w:pStyle w:val="FootnoteText"/>
      </w:pPr>
      <w:r>
        <w:rPr>
          <w:rStyle w:val="FootnoteReference"/>
        </w:rPr>
        <w:footnoteRef/>
      </w:r>
      <w:r>
        <w:t xml:space="preserve"> Translation note: The verse pairs field and city scenes: sword wounds outside and famine pain inside.</w:t>
      </w:r>
    </w:p>
  </w:footnote>
  <w:footnote w:id="12310">
    <w:p>
      <w:pPr>
        <w:pStyle w:val="FootnoteText"/>
      </w:pPr>
      <w:r>
        <w:rPr>
          <w:rStyle w:val="FootnoteReference"/>
        </w:rPr>
        <w:footnoteRef/>
      </w:r>
      <w:r>
        <w:t xml:space="preserve"> Cross-references for "utterly": 2Kgs 17:19-20; Ps 78:59.</w:t>
      </w:r>
    </w:p>
  </w:footnote>
  <w:footnote w:id="12311">
    <w:p>
      <w:pPr>
        <w:pStyle w:val="FootnoteText"/>
      </w:pPr>
      <w:r>
        <w:rPr>
          <w:rStyle w:val="FootnoteReference"/>
        </w:rPr>
        <w:footnoteRef/>
      </w:r>
      <w:r>
        <w:t xml:space="preserve"> Translation note: The confession joins present sins with ancestral injustices before the Lord.</w:t>
      </w:r>
    </w:p>
  </w:footnote>
  <w:footnote w:id="12312">
    <w:p>
      <w:pPr>
        <w:pStyle w:val="FootnoteText"/>
      </w:pPr>
      <w:r>
        <w:rPr>
          <w:rStyle w:val="FootnoteReference"/>
        </w:rPr>
        <w:footnoteRef/>
      </w:r>
      <w:r>
        <w:t xml:space="preserve"> Translation note: The plea appeals to the Lord's name covenant and throne of glory even after the drought judgment.</w:t>
      </w:r>
    </w:p>
  </w:footnote>
  <w:footnote w:id="12313">
    <w:p>
      <w:pPr>
        <w:pStyle w:val="FootnoteText"/>
      </w:pPr>
      <w:r>
        <w:rPr>
          <w:rStyle w:val="FootnoteReference"/>
        </w:rPr>
        <w:footnoteRef/>
      </w:r>
      <w:r>
        <w:t xml:space="preserve"> Cross-references for "Remember": Exod 32:13; Lev 26:42-45.</w:t>
      </w:r>
    </w:p>
  </w:footnote>
  <w:footnote w:id="12314">
    <w:p>
      <w:pPr>
        <w:pStyle w:val="FootnoteText"/>
      </w:pPr>
      <w:r>
        <w:rPr>
          <w:rStyle w:val="FootnoteReference"/>
        </w:rPr>
        <w:footnoteRef/>
      </w:r>
      <w:r>
        <w:t xml:space="preserve"> Translation note: The closing question denies rain power to the idols of the nations and waits for the Lord who made all things.</w:t>
      </w:r>
    </w:p>
  </w:footnote>
  <w:footnote w:id="12315">
    <w:p>
      <w:pPr>
        <w:pStyle w:val="FootnoteText"/>
      </w:pPr>
      <w:r>
        <w:rPr>
          <w:rStyle w:val="FootnoteReference"/>
        </w:rPr>
        <w:footnoteRef/>
      </w:r>
      <w:r>
        <w:t xml:space="preserve"> Cross-references for "wait": Ps 25:3; Ps 25:21.</w:t>
      </w:r>
    </w:p>
  </w:footnote>
  <w:footnote w:id="12316">
    <w:p>
      <w:pPr>
        <w:pStyle w:val="FootnoteText"/>
      </w:pPr>
      <w:r>
        <w:rPr>
          <w:rStyle w:val="FootnoteReference"/>
        </w:rPr>
        <w:footnoteRef/>
      </w:r>
      <w:r>
        <w:t xml:space="preserve"> Translation note: Even Moses and Samuel standing before the Lord would not reverse the sending-away judgment in this line.</w:t>
      </w:r>
    </w:p>
  </w:footnote>
  <w:footnote w:id="12317">
    <w:p>
      <w:pPr>
        <w:pStyle w:val="FootnoteText"/>
      </w:pPr>
      <w:r>
        <w:rPr>
          <w:rStyle w:val="FootnoteReference"/>
        </w:rPr>
        <w:footnoteRef/>
      </w:r>
      <w:r>
        <w:t xml:space="preserve"> Cross-references for "Moses": Exod 32:11-14; Num 14:13-20.</w:t>
      </w:r>
    </w:p>
  </w:footnote>
  <w:footnote w:id="12318">
    <w:p>
      <w:pPr>
        <w:pStyle w:val="FootnoteText"/>
      </w:pPr>
      <w:r>
        <w:rPr>
          <w:rStyle w:val="FootnoteReference"/>
        </w:rPr>
        <w:footnoteRef/>
      </w:r>
      <w:r>
        <w:t xml:space="preserve"> Cross-references for "for death": Isa 24:18; Jer 14:12.</w:t>
      </w:r>
    </w:p>
  </w:footnote>
  <w:footnote w:id="12319">
    <w:p>
      <w:pPr>
        <w:pStyle w:val="FootnoteText"/>
      </w:pPr>
      <w:r>
        <w:rPr>
          <w:rStyle w:val="FootnoteReference"/>
        </w:rPr>
        <w:footnoteRef/>
      </w:r>
      <w:r>
        <w:t xml:space="preserve"> Translation note: The answer assigns the people to four outcomes rather than offering a route of escape.</w:t>
      </w:r>
    </w:p>
  </w:footnote>
  <w:footnote w:id="12320">
    <w:p>
      <w:pPr>
        <w:pStyle w:val="FootnoteText"/>
      </w:pPr>
      <w:r>
        <w:rPr>
          <w:rStyle w:val="FootnoteReference"/>
        </w:rPr>
        <w:footnoteRef/>
      </w:r>
      <w:r>
        <w:t xml:space="preserve"> Translation note: The four kinds are sword dogs beasts and birds as agents of slaughter tearing eating and ruin.</w:t>
      </w:r>
    </w:p>
  </w:footnote>
  <w:footnote w:id="12321">
    <w:p>
      <w:pPr>
        <w:pStyle w:val="FootnoteText"/>
      </w:pPr>
      <w:r>
        <w:rPr>
          <w:rStyle w:val="FootnoteReference"/>
        </w:rPr>
        <w:footnoteRef/>
      </w:r>
      <w:r>
        <w:t xml:space="preserve"> Translation note: The trouble handed to the kingdoms is linked here to Manasseh's deeds in Jerusalem.</w:t>
      </w:r>
    </w:p>
  </w:footnote>
  <w:footnote w:id="12322">
    <w:p>
      <w:pPr>
        <w:pStyle w:val="FootnoteText"/>
      </w:pPr>
      <w:r>
        <w:rPr>
          <w:rStyle w:val="FootnoteReference"/>
        </w:rPr>
        <w:footnoteRef/>
      </w:r>
      <w:r>
        <w:t xml:space="preserve"> Translation note: The judgment is grounded in Judah's reversal away from the Lord before the Lord stretches out his hand.</w:t>
      </w:r>
    </w:p>
  </w:footnote>
  <w:footnote w:id="12323">
    <w:p>
      <w:pPr>
        <w:pStyle w:val="FootnoteText"/>
      </w:pPr>
      <w:r>
        <w:rPr>
          <w:rStyle w:val="FootnoteReference"/>
        </w:rPr>
        <w:footnoteRef/>
      </w:r>
      <w:r>
        <w:t xml:space="preserve"> Cross-references for "stretch": Ezek 14:9; Ezek 25:7.</w:t>
      </w:r>
    </w:p>
  </w:footnote>
  <w:footnote w:id="12324">
    <w:p>
      <w:pPr>
        <w:pStyle w:val="FootnoteText"/>
      </w:pPr>
      <w:r>
        <w:rPr>
          <w:rStyle w:val="FootnoteReference"/>
        </w:rPr>
        <w:footnoteRef/>
      </w:r>
      <w:r>
        <w:t xml:space="preserve"> Cross-references for "widows": Isa 3:25-26; Isa 4:1.</w:t>
      </w:r>
    </w:p>
  </w:footnote>
  <w:footnote w:id="12325">
    <w:p>
      <w:pPr>
        <w:pStyle w:val="FootnoteText"/>
      </w:pPr>
      <w:r>
        <w:rPr>
          <w:rStyle w:val="FootnoteReference"/>
        </w:rPr>
        <w:footnoteRef/>
      </w:r>
      <w:r>
        <w:t xml:space="preserve"> Translation note: The image of the mother of seven losing strength and seeing her sun set at midday pictures public shame and collapse.</w:t>
      </w:r>
    </w:p>
  </w:footnote>
  <w:footnote w:id="12326">
    <w:p>
      <w:pPr>
        <w:pStyle w:val="FootnoteText"/>
      </w:pPr>
      <w:r>
        <w:rPr>
          <w:rStyle w:val="FootnoteReference"/>
        </w:rPr>
        <w:footnoteRef/>
      </w:r>
      <w:r>
        <w:t xml:space="preserve"> Cross-references for "Her sun": Amos 8:9-10.</w:t>
      </w:r>
    </w:p>
  </w:footnote>
  <w:footnote w:id="12327">
    <w:p>
      <w:pPr>
        <w:pStyle w:val="FootnoteText"/>
      </w:pPr>
      <w:r>
        <w:rPr>
          <w:rStyle w:val="FootnoteReference"/>
        </w:rPr>
        <w:footnoteRef/>
      </w:r>
      <w:r>
        <w:t xml:space="preserve"> Cross-references for "a man": 1Kgs 18:17-18; 1Kgs 21:20.</w:t>
      </w:r>
    </w:p>
  </w:footnote>
  <w:footnote w:id="12328">
    <w:p>
      <w:pPr>
        <w:pStyle w:val="FootnoteText"/>
      </w:pPr>
      <w:r>
        <w:rPr>
          <w:rStyle w:val="FootnoteReference"/>
        </w:rPr>
        <w:footnoteRef/>
      </w:r>
      <w:r>
        <w:t xml:space="preserve"> Translation note: Jeremiah appeals to his prior intercession before the Lord in the people's affliction.</w:t>
      </w:r>
    </w:p>
  </w:footnote>
  <w:footnote w:id="12329">
    <w:p>
      <w:pPr>
        <w:pStyle w:val="FootnoteText"/>
      </w:pPr>
      <w:r>
        <w:rPr>
          <w:rStyle w:val="FootnoteReference"/>
        </w:rPr>
        <w:footnoteRef/>
      </w:r>
      <w:r>
        <w:t xml:space="preserve"> Translation note: The exile/enslavement warning is joined to the image of wrath as kindled fire.</w:t>
      </w:r>
    </w:p>
  </w:footnote>
  <w:footnote w:id="12330">
    <w:p>
      <w:pPr>
        <w:pStyle w:val="FootnoteText"/>
      </w:pPr>
      <w:r>
        <w:rPr>
          <w:rStyle w:val="FootnoteReference"/>
        </w:rPr>
        <w:footnoteRef/>
      </w:r>
      <w:r>
        <w:t xml:space="preserve"> Cross-references for "remember": Neh 5:19; Neh 6:14.</w:t>
      </w:r>
    </w:p>
  </w:footnote>
  <w:footnote w:id="12331">
    <w:p>
      <w:pPr>
        <w:pStyle w:val="FootnoteText"/>
      </w:pPr>
      <w:r>
        <w:rPr>
          <w:rStyle w:val="FootnoteReference"/>
        </w:rPr>
        <w:footnoteRef/>
      </w:r>
      <w:r>
        <w:t xml:space="preserve"> Translation note: Jeremiah grounds his plea for vindication in the reproach he bears for the Lord.</w:t>
      </w:r>
    </w:p>
  </w:footnote>
  <w:footnote w:id="12332">
    <w:p>
      <w:pPr>
        <w:pStyle w:val="FootnoteText"/>
      </w:pPr>
      <w:r>
        <w:rPr>
          <w:rStyle w:val="FootnoteReference"/>
        </w:rPr>
        <w:footnoteRef/>
      </w:r>
      <w:r>
        <w:t xml:space="preserve"> Translation note: The Greek uses the name-upon formula for Jeremiah himself. The current wording keeps that covenant-identification language explicit.</w:t>
      </w:r>
    </w:p>
  </w:footnote>
  <w:footnote w:id="12333">
    <w:p>
      <w:pPr>
        <w:pStyle w:val="FootnoteText"/>
      </w:pPr>
      <w:r>
        <w:rPr>
          <w:rStyle w:val="FootnoteReference"/>
        </w:rPr>
        <w:footnoteRef/>
      </w:r>
      <w:r>
        <w:t xml:space="preserve"> Cross-references for "sat alone": Jer 13:17; Lam 3:28.</w:t>
      </w:r>
    </w:p>
  </w:footnote>
  <w:footnote w:id="12334">
    <w:p>
      <w:pPr>
        <w:pStyle w:val="FootnoteText"/>
      </w:pPr>
      <w:r>
        <w:rPr>
          <w:rStyle w:val="FootnoteReference"/>
        </w:rPr>
        <w:footnoteRef/>
      </w:r>
      <w:r>
        <w:t xml:space="preserve"> Cross-references for "My wound": Job 34:6; Jer 30:12.</w:t>
      </w:r>
    </w:p>
  </w:footnote>
  <w:footnote w:id="12335">
    <w:p>
      <w:pPr>
        <w:pStyle w:val="FootnoteText"/>
      </w:pPr>
      <w:r>
        <w:rPr>
          <w:rStyle w:val="FootnoteReference"/>
        </w:rPr>
        <w:footnoteRef/>
      </w:r>
      <w:r>
        <w:t xml:space="preserve"> Translation note: Jeremiah compares his severe wound to unreliable water lacking faithfulness.</w:t>
      </w:r>
    </w:p>
  </w:footnote>
  <w:footnote w:id="12336">
    <w:p>
      <w:pPr>
        <w:pStyle w:val="FootnoteText"/>
      </w:pPr>
      <w:r>
        <w:rPr>
          <w:rStyle w:val="FootnoteReference"/>
        </w:rPr>
        <w:footnoteRef/>
      </w:r>
      <w:r>
        <w:t xml:space="preserve"> Cross-references for "return": Exod 6:29-30; Jer 15:10-18.</w:t>
      </w:r>
    </w:p>
  </w:footnote>
  <w:footnote w:id="12337">
    <w:p>
      <w:pPr>
        <w:pStyle w:val="FootnoteText"/>
      </w:pPr>
      <w:r>
        <w:rPr>
          <w:rStyle w:val="FootnoteReference"/>
        </w:rPr>
        <w:footnoteRef/>
      </w:r>
      <w:r>
        <w:t xml:space="preserve"> Translation note: The restoration call commissions Jeremiah to distinguish the precious from the worthless and become as the Lord's mouth.</w:t>
      </w:r>
    </w:p>
  </w:footnote>
  <w:footnote w:id="12338">
    <w:p>
      <w:pPr>
        <w:pStyle w:val="FootnoteText"/>
      </w:pPr>
      <w:r>
        <w:rPr>
          <w:rStyle w:val="FootnoteReference"/>
        </w:rPr>
        <w:footnoteRef/>
      </w:r>
      <w:r>
        <w:t xml:space="preserve"> Translation note: The Lord promises Jeremiah defensive strength and rescue while the people fight against him.</w:t>
      </w:r>
    </w:p>
  </w:footnote>
  <w:footnote w:id="12339">
    <w:p>
      <w:pPr>
        <w:pStyle w:val="FootnoteText"/>
      </w:pPr>
      <w:r>
        <w:rPr>
          <w:rStyle w:val="FootnoteReference"/>
        </w:rPr>
        <w:footnoteRef/>
      </w:r>
      <w:r>
        <w:t xml:space="preserve"> Cross-references for "deliver": Gen 48:16; Ps 27:2.</w:t>
      </w:r>
    </w:p>
  </w:footnote>
  <w:footnote w:id="12340">
    <w:p>
      <w:pPr>
        <w:pStyle w:val="FootnoteText"/>
      </w:pPr>
      <w:r>
        <w:rPr>
          <w:rStyle w:val="FootnoteReference"/>
        </w:rPr>
        <w:footnoteRef/>
      </w:r>
      <w:r>
        <w:t xml:space="preserve"> Translation note: Jeremiah's household is made part of the sign: no wife and no children in this doomed place.</w:t>
      </w:r>
    </w:p>
  </w:footnote>
  <w:footnote w:id="12341">
    <w:p>
      <w:pPr>
        <w:pStyle w:val="FootnoteText"/>
      </w:pPr>
      <w:r>
        <w:rPr>
          <w:rStyle w:val="FootnoteReference"/>
        </w:rPr>
        <w:footnoteRef/>
      </w:r>
      <w:r>
        <w:t xml:space="preserve"> Translation note: The children's deaths are marked by lack of mourning burial and by exposure to sword famine beasts and birds.</w:t>
      </w:r>
    </w:p>
  </w:footnote>
  <w:footnote w:id="12342">
    <w:p>
      <w:pPr>
        <w:pStyle w:val="FootnoteText"/>
      </w:pPr>
      <w:r>
        <w:rPr>
          <w:rStyle w:val="FootnoteReference"/>
        </w:rPr>
        <w:footnoteRef/>
      </w:r>
      <w:r>
        <w:t xml:space="preserve"> Cross-references for "enter": Jer 16:6-7; Ezek 24:16-23.</w:t>
      </w:r>
    </w:p>
  </w:footnote>
  <w:footnote w:id="12343">
    <w:p>
      <w:pPr>
        <w:pStyle w:val="FootnoteText"/>
      </w:pPr>
      <w:r>
        <w:rPr>
          <w:rStyle w:val="FootnoteReference"/>
        </w:rPr>
        <w:footnoteRef/>
      </w:r>
      <w:r>
        <w:t xml:space="preserve"> Translation note: The Lord removes peace mercy and compassion from the people before forbidding Jeremiah to enter their mourning rites.</w:t>
      </w:r>
    </w:p>
  </w:footnote>
  <w:footnote w:id="12344">
    <w:p>
      <w:pPr>
        <w:pStyle w:val="FootnoteText"/>
      </w:pPr>
      <w:r>
        <w:rPr>
          <w:rStyle w:val="FootnoteReference"/>
        </w:rPr>
        <w:footnoteRef/>
      </w:r>
      <w:r>
        <w:t xml:space="preserve"> Translation note: The ordinary comfort rites for the dead are removed along with formal mourning.</w:t>
      </w:r>
    </w:p>
  </w:footnote>
  <w:footnote w:id="12345">
    <w:p>
      <w:pPr>
        <w:pStyle w:val="FootnoteText"/>
      </w:pPr>
      <w:r>
        <w:rPr>
          <w:rStyle w:val="FootnoteReference"/>
        </w:rPr>
        <w:footnoteRef/>
      </w:r>
      <w:r>
        <w:t xml:space="preserve"> Translation note: The removal of wedding and gladness voices repeats a major Jeremiah judgment motif.</w:t>
      </w:r>
    </w:p>
  </w:footnote>
  <w:footnote w:id="12346">
    <w:p>
      <w:pPr>
        <w:pStyle w:val="FootnoteText"/>
      </w:pPr>
      <w:r>
        <w:rPr>
          <w:rStyle w:val="FootnoteReference"/>
        </w:rPr>
        <w:footnoteRef/>
      </w:r>
      <w:r>
        <w:t xml:space="preserve"> Translation note: The people ask for the cause of the announced evils and are answered with ancestral and present idolatry.</w:t>
      </w:r>
    </w:p>
  </w:footnote>
  <w:footnote w:id="12347">
    <w:p>
      <w:pPr>
        <w:pStyle w:val="FootnoteText"/>
      </w:pPr>
      <w:r>
        <w:rPr>
          <w:rStyle w:val="FootnoteReference"/>
        </w:rPr>
        <w:footnoteRef/>
      </w:r>
      <w:r>
        <w:t xml:space="preserve"> Cross-references for "evil": Gen 6:5; Gen 8:21.</w:t>
      </w:r>
    </w:p>
  </w:footnote>
  <w:footnote w:id="12348">
    <w:p>
      <w:pPr>
        <w:pStyle w:val="FootnoteText"/>
      </w:pPr>
      <w:r>
        <w:rPr>
          <w:rStyle w:val="FootnoteReference"/>
        </w:rPr>
        <w:footnoteRef/>
      </w:r>
      <w:r>
        <w:t xml:space="preserve"> Cross-references for "into a": Jer 14:8; Jer 17:4.</w:t>
      </w:r>
    </w:p>
  </w:footnote>
  <w:footnote w:id="12349">
    <w:p>
      <w:pPr>
        <w:pStyle w:val="FootnoteText"/>
      </w:pPr>
      <w:r>
        <w:rPr>
          <w:rStyle w:val="FootnoteReference"/>
        </w:rPr>
        <w:footnoteRef/>
      </w:r>
      <w:r>
        <w:t xml:space="preserve"> Translation note: The exile punishment matches the idolatry: service to other gods in a land unknown to them.</w:t>
      </w:r>
    </w:p>
  </w:footnote>
  <w:footnote w:id="12350">
    <w:p>
      <w:pPr>
        <w:pStyle w:val="FootnoteText"/>
      </w:pPr>
      <w:r>
        <w:rPr>
          <w:rStyle w:val="FootnoteReference"/>
        </w:rPr>
        <w:footnoteRef/>
      </w:r>
      <w:r>
        <w:t xml:space="preserve"> Cross-references for "behold": Isa 43:18-19; Jer 23:7-8.</w:t>
      </w:r>
    </w:p>
  </w:footnote>
  <w:footnote w:id="12351">
    <w:p>
      <w:pPr>
        <w:pStyle w:val="FootnoteText"/>
      </w:pPr>
      <w:r>
        <w:rPr>
          <w:rStyle w:val="FootnoteReference"/>
        </w:rPr>
        <w:footnoteRef/>
      </w:r>
      <w:r>
        <w:t xml:space="preserve"> Translation note: This section replaces the old exodus oath with a return-from-north oath while preserving the living-Lord formula.</w:t>
      </w:r>
    </w:p>
  </w:footnote>
  <w:footnote w:id="12352">
    <w:p>
      <w:pPr>
        <w:pStyle w:val="FootnoteText"/>
      </w:pPr>
      <w:r>
        <w:rPr>
          <w:rStyle w:val="FootnoteReference"/>
        </w:rPr>
        <w:footnoteRef/>
      </w:r>
      <w:r>
        <w:t xml:space="preserve"> Cross-references for "I will send": Jer 25:9; Amos 4:2.</w:t>
      </w:r>
    </w:p>
  </w:footnote>
  <w:footnote w:id="12353">
    <w:p>
      <w:pPr>
        <w:pStyle w:val="FootnoteText"/>
      </w:pPr>
      <w:r>
        <w:rPr>
          <w:rStyle w:val="FootnoteReference"/>
        </w:rPr>
        <w:footnoteRef/>
      </w:r>
      <w:r>
        <w:t xml:space="preserve"> Translation note: The fishers and hunters image describes comprehensive pursuit from mountains hills and rock clefts.</w:t>
      </w:r>
    </w:p>
  </w:footnote>
  <w:footnote w:id="12354">
    <w:p>
      <w:pPr>
        <w:pStyle w:val="FootnoteText"/>
      </w:pPr>
      <w:r>
        <w:rPr>
          <w:rStyle w:val="FootnoteReference"/>
        </w:rPr>
        <w:footnoteRef/>
      </w:r>
      <w:r>
        <w:t xml:space="preserve"> Translation note: The double repayment is tied to profaning the Lord's land and inheritance with abominations.</w:t>
      </w:r>
    </w:p>
  </w:footnote>
  <w:footnote w:id="12355">
    <w:p>
      <w:pPr>
        <w:pStyle w:val="FootnoteText"/>
      </w:pPr>
      <w:r>
        <w:rPr>
          <w:rStyle w:val="FootnoteReference"/>
        </w:rPr>
        <w:footnoteRef/>
      </w:r>
      <w:r>
        <w:t xml:space="preserve"> Cross-references for "my strength": Ps 18:1-2; Ps 19:14.</w:t>
      </w:r>
    </w:p>
  </w:footnote>
  <w:footnote w:id="12356">
    <w:p>
      <w:pPr>
        <w:pStyle w:val="FootnoteText"/>
      </w:pPr>
      <w:r>
        <w:rPr>
          <w:rStyle w:val="FootnoteReference"/>
        </w:rPr>
        <w:footnoteRef/>
      </w:r>
      <w:r>
        <w:t xml:space="preserve"> Translation note: The nations confess inherited lies and profitless idols before the Lord's name is made known.</w:t>
      </w:r>
    </w:p>
  </w:footnote>
  <w:footnote w:id="12357">
    <w:p>
      <w:pPr>
        <w:pStyle w:val="FootnoteText"/>
      </w:pPr>
      <w:r>
        <w:rPr>
          <w:rStyle w:val="FootnoteReference"/>
        </w:rPr>
        <w:footnoteRef/>
      </w:r>
      <w:r>
        <w:t xml:space="preserve"> Translation note: The closing declaration makes the Lord's hand power and name known after the idol contrast.</w:t>
      </w:r>
    </w:p>
  </w:footnote>
  <w:footnote w:id="12358">
    <w:p>
      <w:pPr>
        <w:pStyle w:val="FootnoteText"/>
      </w:pPr>
      <w:r>
        <w:rPr>
          <w:rStyle w:val="FootnoteReference"/>
        </w:rPr>
        <w:footnoteRef/>
      </w:r>
      <w:r>
        <w:t xml:space="preserve"> Translation note: The curse/blessing contrast turns on human hope versus trust in the Lord.</w:t>
      </w:r>
    </w:p>
  </w:footnote>
  <w:footnote w:id="12359">
    <w:p>
      <w:pPr>
        <w:pStyle w:val="FootnoteText"/>
      </w:pPr>
      <w:r>
        <w:rPr>
          <w:rStyle w:val="FootnoteReference"/>
        </w:rPr>
        <w:footnoteRef/>
      </w:r>
      <w:r>
        <w:t xml:space="preserve"> Cross-references for "Cursed": Ps 62:9; Ps 118:8-9.</w:t>
      </w:r>
    </w:p>
  </w:footnote>
  <w:footnote w:id="12360">
    <w:p>
      <w:pPr>
        <w:pStyle w:val="FootnoteText"/>
      </w:pPr>
      <w:r>
        <w:rPr>
          <w:rStyle w:val="FootnoteReference"/>
        </w:rPr>
        <w:footnoteRef/>
      </w:r>
      <w:r>
        <w:t xml:space="preserve"> Translation note: The flourishing tree image contrasts with the wilderness tamarisk and describes endurance through heat and drought.</w:t>
      </w:r>
    </w:p>
  </w:footnote>
  <w:footnote w:id="12361">
    <w:p>
      <w:pPr>
        <w:pStyle w:val="FootnoteText"/>
      </w:pPr>
      <w:r>
        <w:rPr>
          <w:rStyle w:val="FootnoteReference"/>
        </w:rPr>
        <w:footnoteRef/>
      </w:r>
      <w:r>
        <w:t xml:space="preserve"> Cross-references for "drought": Jer 14:1.</w:t>
      </w:r>
    </w:p>
  </w:footnote>
  <w:footnote w:id="12362">
    <w:p>
      <w:pPr>
        <w:pStyle w:val="FootnoteText"/>
      </w:pPr>
      <w:r>
        <w:rPr>
          <w:rStyle w:val="FootnoteReference"/>
        </w:rPr>
        <w:footnoteRef/>
      </w:r>
      <w:r>
        <w:t xml:space="preserve"> Translation note: The LXX line emphasizes the hidden depth of the human heart before the Lord's searching judgment.</w:t>
      </w:r>
    </w:p>
  </w:footnote>
  <w:footnote w:id="12363">
    <w:p>
      <w:pPr>
        <w:pStyle w:val="FootnoteText"/>
      </w:pPr>
      <w:r>
        <w:rPr>
          <w:rStyle w:val="FootnoteReference"/>
        </w:rPr>
        <w:footnoteRef/>
      </w:r>
      <w:r>
        <w:t xml:space="preserve"> Cross-references for "the Lord": 1Sam 16:7; 1Chr 28:9.</w:t>
      </w:r>
    </w:p>
  </w:footnote>
  <w:footnote w:id="12364">
    <w:p>
      <w:pPr>
        <w:pStyle w:val="FootnoteText"/>
      </w:pPr>
      <w:r>
        <w:rPr>
          <w:rStyle w:val="FootnoteReference"/>
        </w:rPr>
        <w:footnoteRef/>
      </w:r>
      <w:r>
        <w:t xml:space="preserve"> Translation note: The kidneys are retained as an ancient inner-seat image paired with the heart; the line means the Lord examines the inner person.</w:t>
      </w:r>
    </w:p>
  </w:footnote>
  <w:footnote w:id="12365">
    <w:p>
      <w:pPr>
        <w:pStyle w:val="FootnoteText"/>
      </w:pPr>
      <w:r>
        <w:rPr>
          <w:rStyle w:val="FootnoteReference"/>
        </w:rPr>
        <w:footnoteRef/>
      </w:r>
      <w:r>
        <w:t xml:space="preserve"> Translation note: The proverb compares unjust wealth to a bird gathering what it did not bear: it will be abandoned before the end.</w:t>
      </w:r>
    </w:p>
  </w:footnote>
  <w:footnote w:id="12366">
    <w:p>
      <w:pPr>
        <w:pStyle w:val="FootnoteText"/>
      </w:pPr>
      <w:r>
        <w:rPr>
          <w:rStyle w:val="FootnoteReference"/>
        </w:rPr>
        <w:footnoteRef/>
      </w:r>
      <w:r>
        <w:t xml:space="preserve"> Cross-references for "a fool": Luke 12:20.</w:t>
      </w:r>
    </w:p>
  </w:footnote>
  <w:footnote w:id="12367">
    <w:p>
      <w:pPr>
        <w:pStyle w:val="FootnoteText"/>
      </w:pPr>
      <w:r>
        <w:rPr>
          <w:rStyle w:val="FootnoteReference"/>
        </w:rPr>
        <w:footnoteRef/>
      </w:r>
      <w:r>
        <w:t xml:space="preserve"> Translation note: The sanctuary line forms a brief confession before the Hope of Israel prayer.</w:t>
      </w:r>
    </w:p>
  </w:footnote>
  <w:footnote w:id="12368">
    <w:p>
      <w:pPr>
        <w:pStyle w:val="FootnoteText"/>
      </w:pPr>
      <w:r>
        <w:rPr>
          <w:rStyle w:val="FootnoteReference"/>
        </w:rPr>
        <w:footnoteRef/>
      </w:r>
      <w:r>
        <w:t xml:space="preserve"> Cross-references for "written": Prov 10:7; Luke 10:20.</w:t>
      </w:r>
    </w:p>
  </w:footnote>
  <w:footnote w:id="12369">
    <w:p>
      <w:pPr>
        <w:pStyle w:val="FootnoteText"/>
      </w:pPr>
      <w:r>
        <w:rPr>
          <w:rStyle w:val="FootnoteReference"/>
        </w:rPr>
        <w:footnoteRef/>
      </w:r>
      <w:r>
        <w:t xml:space="preserve"> Translation note: Those abandoning the Lord abandon the fountain of life and are written upon the earth.</w:t>
      </w:r>
    </w:p>
  </w:footnote>
  <w:footnote w:id="12370">
    <w:p>
      <w:pPr>
        <w:pStyle w:val="FootnoteText"/>
      </w:pPr>
      <w:r>
        <w:rPr>
          <w:rStyle w:val="FootnoteReference"/>
        </w:rPr>
        <w:footnoteRef/>
      </w:r>
      <w:r>
        <w:t xml:space="preserve"> Cross-references for "Heal": Deut 32:39; Ps 6:2.</w:t>
      </w:r>
    </w:p>
  </w:footnote>
  <w:footnote w:id="12371">
    <w:p>
      <w:pPr>
        <w:pStyle w:val="FootnoteText"/>
      </w:pPr>
      <w:r>
        <w:rPr>
          <w:rStyle w:val="FootnoteReference"/>
        </w:rPr>
        <w:footnoteRef/>
      </w:r>
      <w:r>
        <w:t xml:space="preserve"> Translation note: Jeremiah denies desiring the human day while appealing that his spoken words stand before the Lord.</w:t>
      </w:r>
    </w:p>
  </w:footnote>
  <w:footnote w:id="12372">
    <w:p>
      <w:pPr>
        <w:pStyle w:val="FootnoteText"/>
      </w:pPr>
      <w:r>
        <w:rPr>
          <w:rStyle w:val="FootnoteReference"/>
        </w:rPr>
        <w:footnoteRef/>
      </w:r>
      <w:r>
        <w:t xml:space="preserve"> Translation note: The doubled crushing expression keeps the repeated Greek root in Jeremiah's plea against persecutors.</w:t>
      </w:r>
    </w:p>
  </w:footnote>
  <w:footnote w:id="12373">
    <w:p>
      <w:pPr>
        <w:pStyle w:val="FootnoteText"/>
      </w:pPr>
      <w:r>
        <w:rPr>
          <w:rStyle w:val="FootnoteReference"/>
        </w:rPr>
        <w:footnoteRef/>
      </w:r>
      <w:r>
        <w:t xml:space="preserve"> Translation note: The gate proclamation frames Sabbath-breaking through carrying burdens in and out of Jerusalem's gates.</w:t>
      </w:r>
    </w:p>
  </w:footnote>
  <w:footnote w:id="12374">
    <w:p>
      <w:pPr>
        <w:pStyle w:val="FootnoteText"/>
      </w:pPr>
      <w:r>
        <w:rPr>
          <w:rStyle w:val="FootnoteReference"/>
        </w:rPr>
        <w:footnoteRef/>
      </w:r>
      <w:r>
        <w:t xml:space="preserve"> Translation note: The plural Sabbaths is retained in this guarded phrase rather than smoothed to singular Sabbath.</w:t>
      </w:r>
    </w:p>
  </w:footnote>
  <w:footnote w:id="12375">
    <w:p>
      <w:pPr>
        <w:pStyle w:val="FootnoteText"/>
      </w:pPr>
      <w:r>
        <w:rPr>
          <w:rStyle w:val="FootnoteReference"/>
        </w:rPr>
        <w:footnoteRef/>
      </w:r>
      <w:r>
        <w:t xml:space="preserve"> Translation note: Sabbath obedience is linked here to continued royal entrance through Jerusalem's gates and lasting habitation of the city.</w:t>
      </w:r>
    </w:p>
  </w:footnote>
  <w:footnote w:id="12376">
    <w:p>
      <w:pPr>
        <w:pStyle w:val="FootnoteText"/>
      </w:pPr>
      <w:r>
        <w:rPr>
          <w:rStyle w:val="FootnoteReference"/>
        </w:rPr>
        <w:footnoteRef/>
      </w:r>
      <w:r>
        <w:t xml:space="preserve"> Cross-references for "and this": Exod 12:14; Ps 132:13-14.</w:t>
      </w:r>
    </w:p>
  </w:footnote>
  <w:footnote w:id="12377">
    <w:p>
      <w:pPr>
        <w:pStyle w:val="FootnoteText"/>
      </w:pPr>
      <w:r>
        <w:rPr>
          <w:rStyle w:val="FootnoteReference"/>
        </w:rPr>
        <w:footnoteRef/>
      </w:r>
      <w:r>
        <w:t xml:space="preserve"> Cross-references for "from the cities": Josh 15:21-63; Jer 32:44.</w:t>
      </w:r>
    </w:p>
  </w:footnote>
  <w:footnote w:id="12378">
    <w:p>
      <w:pPr>
        <w:pStyle w:val="FootnoteText"/>
      </w:pPr>
      <w:r>
        <w:rPr>
          <w:rStyle w:val="FootnoteReference"/>
        </w:rPr>
        <w:footnoteRef/>
      </w:r>
      <w:r>
        <w:t xml:space="preserve"> Translation note: Greek μαναα transliterates the offering term in a sacrificial list; grain offering is used for sense rather than food manna.</w:t>
      </w:r>
    </w:p>
  </w:footnote>
  <w:footnote w:id="12379">
    <w:p>
      <w:pPr>
        <w:pStyle w:val="FootnoteText"/>
      </w:pPr>
      <w:r>
        <w:rPr>
          <w:rStyle w:val="FootnoteReference"/>
        </w:rPr>
        <w:footnoteRef/>
      </w:r>
      <w:r>
        <w:t xml:space="preserve"> Translation note: Failure to sanctify the day of Sabbaths ends with fire kindled in Jerusalem's gates and consuming the streets.</w:t>
      </w:r>
    </w:p>
  </w:footnote>
  <w:footnote w:id="12380">
    <w:p>
      <w:pPr>
        <w:pStyle w:val="FootnoteText"/>
      </w:pPr>
      <w:r>
        <w:rPr>
          <w:rStyle w:val="FootnoteReference"/>
        </w:rPr>
        <w:footnoteRef/>
      </w:r>
      <w:r>
        <w:t xml:space="preserve"> Cross-references for "and go": Isa 20:2; Jer 13:1.</w:t>
      </w:r>
    </w:p>
  </w:footnote>
  <w:footnote w:id="12381">
    <w:p>
      <w:pPr>
        <w:pStyle w:val="FootnoteText"/>
      </w:pPr>
      <w:r>
        <w:rPr>
          <w:rStyle w:val="FootnoteReference"/>
        </w:rPr>
        <w:footnoteRef/>
      </w:r>
      <w:r>
        <w:t xml:space="preserve"> Translation note: The potter's house begins a sign-act about the Lord's authority to reshape the house of Israel.</w:t>
      </w:r>
    </w:p>
  </w:footnote>
  <w:footnote w:id="12382">
    <w:p>
      <w:pPr>
        <w:pStyle w:val="FootnoteText"/>
      </w:pPr>
      <w:r>
        <w:rPr>
          <w:rStyle w:val="FootnoteReference"/>
        </w:rPr>
        <w:footnoteRef/>
      </w:r>
      <w:r>
        <w:t xml:space="preserve"> Cross-references for "I went": Jonah 1:3; John 15:14.</w:t>
      </w:r>
    </w:p>
  </w:footnote>
  <w:footnote w:id="12383">
    <w:p>
      <w:pPr>
        <w:pStyle w:val="FootnoteText"/>
      </w:pPr>
      <w:r>
        <w:rPr>
          <w:rStyle w:val="FootnoteReference"/>
        </w:rPr>
        <w:footnoteRef/>
      </w:r>
      <w:r>
        <w:t xml:space="preserve"> Translation note: The Greek says stones here for the potter's working place; the note keeps the literal image visible.</w:t>
      </w:r>
    </w:p>
  </w:footnote>
  <w:footnote w:id="12384">
    <w:p>
      <w:pPr>
        <w:pStyle w:val="FootnoteText"/>
      </w:pPr>
      <w:r>
        <w:rPr>
          <w:rStyle w:val="FootnoteReference"/>
        </w:rPr>
        <w:footnoteRef/>
      </w:r>
      <w:r>
        <w:t xml:space="preserve"> Translation note: The vessel falling apart and being remade supplies the controlling image for the house of Israel in the Lord's hands.</w:t>
      </w:r>
    </w:p>
  </w:footnote>
  <w:footnote w:id="12385">
    <w:p>
      <w:pPr>
        <w:pStyle w:val="FootnoteText"/>
      </w:pPr>
      <w:r>
        <w:rPr>
          <w:rStyle w:val="FootnoteReference"/>
        </w:rPr>
        <w:footnoteRef/>
      </w:r>
      <w:r>
        <w:t xml:space="preserve"> Translation note: Israel is compared to clay in the potter's hands: the point is divine freedom to reshape the people.</w:t>
      </w:r>
    </w:p>
  </w:footnote>
  <w:footnote w:id="12386">
    <w:p>
      <w:pPr>
        <w:pStyle w:val="FootnoteText"/>
      </w:pPr>
      <w:r>
        <w:rPr>
          <w:rStyle w:val="FootnoteReference"/>
        </w:rPr>
        <w:footnoteRef/>
      </w:r>
      <w:r>
        <w:t xml:space="preserve"> Translation note: The oracle gives a conditional judgment pattern: announced uprooting can be reversed when a nation turns from evil.</w:t>
      </w:r>
    </w:p>
  </w:footnote>
  <w:footnote w:id="12387">
    <w:p>
      <w:pPr>
        <w:pStyle w:val="FootnoteText"/>
      </w:pPr>
      <w:r>
        <w:rPr>
          <w:rStyle w:val="FootnoteReference"/>
        </w:rPr>
        <w:footnoteRef/>
      </w:r>
      <w:r>
        <w:t xml:space="preserve"> Cross-references for "that nation": Judg 10:15-16; 1Kgs 8:33-34.</w:t>
      </w:r>
    </w:p>
  </w:footnote>
  <w:footnote w:id="12388">
    <w:p>
      <w:pPr>
        <w:pStyle w:val="FootnoteText"/>
      </w:pPr>
      <w:r>
        <w:rPr>
          <w:rStyle w:val="FootnoteReference"/>
        </w:rPr>
        <w:footnoteRef/>
      </w:r>
      <w:r>
        <w:t xml:space="preserve"> Translation note: The matching condition is also negative: promised good can be withdrawn when the people do evil and refuse the Lord's voice.</w:t>
      </w:r>
    </w:p>
  </w:footnote>
  <w:footnote w:id="12389">
    <w:p>
      <w:pPr>
        <w:pStyle w:val="FootnoteText"/>
      </w:pPr>
      <w:r>
        <w:rPr>
          <w:rStyle w:val="FootnoteReference"/>
        </w:rPr>
        <w:footnoteRef/>
      </w:r>
      <w:r>
        <w:t xml:space="preserve"> Translation note: The repeated planning root is retained to show the Lord's announced design against Judah and Jerusalem.</w:t>
      </w:r>
    </w:p>
  </w:footnote>
  <w:footnote w:id="12390">
    <w:p>
      <w:pPr>
        <w:pStyle w:val="FootnoteText"/>
      </w:pPr>
      <w:r>
        <w:rPr>
          <w:rStyle w:val="FootnoteReference"/>
        </w:rPr>
        <w:footnoteRef/>
      </w:r>
      <w:r>
        <w:t xml:space="preserve"> Translation note: The people reject the call to turn and choose their own turnings-away and evil-heart desires.</w:t>
      </w:r>
    </w:p>
  </w:footnote>
  <w:footnote w:id="12391">
    <w:p>
      <w:pPr>
        <w:pStyle w:val="FootnoteText"/>
      </w:pPr>
      <w:r>
        <w:rPr>
          <w:rStyle w:val="FootnoteReference"/>
        </w:rPr>
        <w:footnoteRef/>
      </w:r>
      <w:r>
        <w:t xml:space="preserve"> Translation note: The shocking act is attributed to virgin Israel as a covenantal personification of the people.</w:t>
      </w:r>
    </w:p>
  </w:footnote>
  <w:footnote w:id="12392">
    <w:p>
      <w:pPr>
        <w:pStyle w:val="FootnoteText"/>
      </w:pPr>
      <w:r>
        <w:rPr>
          <w:rStyle w:val="FootnoteReference"/>
        </w:rPr>
        <w:footnoteRef/>
      </w:r>
      <w:r>
        <w:t xml:space="preserve"> Cross-references for "virgin": Isa 36:22; Jer 2:13.</w:t>
      </w:r>
    </w:p>
  </w:footnote>
  <w:footnote w:id="12393">
    <w:p>
      <w:pPr>
        <w:pStyle w:val="FootnoteText"/>
      </w:pPr>
      <w:r>
        <w:rPr>
          <w:rStyle w:val="FootnoteReference"/>
        </w:rPr>
        <w:footnoteRef/>
      </w:r>
      <w:r>
        <w:t xml:space="preserve"> Cross-references for "Will": John 6:68.</w:t>
      </w:r>
    </w:p>
  </w:footnote>
  <w:footnote w:id="12394">
    <w:p>
      <w:pPr>
        <w:pStyle w:val="FootnoteText"/>
      </w:pPr>
      <w:r>
        <w:rPr>
          <w:rStyle w:val="FootnoteReference"/>
        </w:rPr>
        <w:footnoteRef/>
      </w:r>
      <w:r>
        <w:t xml:space="preserve"> Translation note: The LXX keeps a difficult natural-image sequence; it is retained literally and tied to the absurdity of Israel forgetting the Lord.</w:t>
      </w:r>
    </w:p>
  </w:footnote>
  <w:footnote w:id="12395">
    <w:p>
      <w:pPr>
        <w:pStyle w:val="FootnoteText"/>
      </w:pPr>
      <w:r>
        <w:rPr>
          <w:rStyle w:val="FootnoteReference"/>
        </w:rPr>
        <w:footnoteRef/>
      </w:r>
      <w:r>
        <w:t xml:space="preserve"> Cross-references for "my people": Jer 2:13; Jer 2:19.</w:t>
      </w:r>
    </w:p>
  </w:footnote>
  <w:footnote w:id="12396">
    <w:p>
      <w:pPr>
        <w:pStyle w:val="FootnoteText"/>
      </w:pPr>
      <w:r>
        <w:rPr>
          <w:rStyle w:val="FootnoteReference"/>
        </w:rPr>
        <w:footnoteRef/>
      </w:r>
      <w:r>
        <w:t xml:space="preserve"> Translation note: The forgotten-Lord charge is pictured as abandoning stable paths for paths having no road for walking.</w:t>
      </w:r>
    </w:p>
  </w:footnote>
  <w:footnote w:id="12397">
    <w:p>
      <w:pPr>
        <w:pStyle w:val="FootnoteText"/>
      </w:pPr>
      <w:r>
        <w:rPr>
          <w:rStyle w:val="FootnoteReference"/>
        </w:rPr>
        <w:footnoteRef/>
      </w:r>
      <w:r>
        <w:t xml:space="preserve"> Translation note: The heat-wind image describes scattering before enemies and exposure to the day of destruction.</w:t>
      </w:r>
    </w:p>
  </w:footnote>
  <w:footnote w:id="12398">
    <w:p>
      <w:pPr>
        <w:pStyle w:val="FootnoteText"/>
      </w:pPr>
      <w:r>
        <w:rPr>
          <w:rStyle w:val="FootnoteReference"/>
        </w:rPr>
        <w:footnoteRef/>
      </w:r>
      <w:r>
        <w:t xml:space="preserve"> Cross-references for "scatter": Deut 28:25; Deut 28:64.</w:t>
      </w:r>
    </w:p>
  </w:footnote>
  <w:footnote w:id="12399">
    <w:p>
      <w:pPr>
        <w:pStyle w:val="FootnoteText"/>
      </w:pPr>
      <w:r>
        <w:rPr>
          <w:rStyle w:val="FootnoteReference"/>
        </w:rPr>
        <w:footnoteRef/>
      </w:r>
      <w:r>
        <w:t xml:space="preserve"> Cross-references for "counsel": 2Sam 15:31; 2Sam 17:14.</w:t>
      </w:r>
    </w:p>
  </w:footnote>
  <w:footnote w:id="12400">
    <w:p>
      <w:pPr>
        <w:pStyle w:val="FootnoteText"/>
      </w:pPr>
      <w:r>
        <w:rPr>
          <w:rStyle w:val="FootnoteReference"/>
        </w:rPr>
        <w:footnoteRef/>
      </w:r>
      <w:r>
        <w:t xml:space="preserve"> Translation note: Jeremiah's opponents plot verbal attack while claiming priestly law wise counsel and prophetic word will remain without him.</w:t>
      </w:r>
    </w:p>
  </w:footnote>
  <w:footnote w:id="12401">
    <w:p>
      <w:pPr>
        <w:pStyle w:val="FootnoteText"/>
      </w:pPr>
      <w:r>
        <w:rPr>
          <w:rStyle w:val="FootnoteReference"/>
        </w:rPr>
        <w:footnoteRef/>
      </w:r>
      <w:r>
        <w:t xml:space="preserve"> Translation note: Jeremiah appeals that he had stood before the Lord to speak good for the people and turn wrath away.</w:t>
      </w:r>
    </w:p>
  </w:footnote>
  <w:footnote w:id="12402">
    <w:p>
      <w:pPr>
        <w:pStyle w:val="FootnoteText"/>
      </w:pPr>
      <w:r>
        <w:rPr>
          <w:rStyle w:val="FootnoteReference"/>
        </w:rPr>
        <w:footnoteRef/>
      </w:r>
      <w:r>
        <w:t xml:space="preserve"> Cross-references for "evil": 1Sam 24:17-19; Ps 35:12.</w:t>
      </w:r>
    </w:p>
  </w:footnote>
  <w:footnote w:id="12403">
    <w:p>
      <w:pPr>
        <w:pStyle w:val="FootnoteText"/>
      </w:pPr>
      <w:r>
        <w:rPr>
          <w:rStyle w:val="FootnoteReference"/>
        </w:rPr>
        <w:footnoteRef/>
      </w:r>
      <w:r>
        <w:t xml:space="preserve"> Translation note: The imprecation asks that the plotters receive famine sword bereavement and sudden robbers.</w:t>
      </w:r>
    </w:p>
  </w:footnote>
  <w:footnote w:id="12404">
    <w:p>
      <w:pPr>
        <w:pStyle w:val="FootnoteText"/>
      </w:pPr>
      <w:r>
        <w:rPr>
          <w:rStyle w:val="FootnoteReference"/>
        </w:rPr>
        <w:footnoteRef/>
      </w:r>
      <w:r>
        <w:t xml:space="preserve"> Cross-references for "Let their wives": Exod 22:24; Deut 32:25.</w:t>
      </w:r>
    </w:p>
  </w:footnote>
  <w:footnote w:id="12405">
    <w:p>
      <w:pPr>
        <w:pStyle w:val="FootnoteText"/>
      </w:pPr>
      <w:r>
        <w:rPr>
          <w:rStyle w:val="FootnoteReference"/>
        </w:rPr>
        <w:footnoteRef/>
      </w:r>
      <w:r>
        <w:t xml:space="preserve"> Cross-references for "a cry": Isa 10:30; Isa 22:1-4.</w:t>
      </w:r>
    </w:p>
  </w:footnote>
  <w:footnote w:id="12406">
    <w:p>
      <w:pPr>
        <w:pStyle w:val="FootnoteText"/>
      </w:pPr>
      <w:r>
        <w:rPr>
          <w:rStyle w:val="FootnoteReference"/>
        </w:rPr>
        <w:footnoteRef/>
      </w:r>
      <w:r>
        <w:t xml:space="preserve"> Translation note: The closing plea asks the Lord not to acquit or erase their guilt but to act in the time of wrath.</w:t>
      </w:r>
    </w:p>
  </w:footnote>
  <w:footnote w:id="12407">
    <w:p>
      <w:pPr>
        <w:pStyle w:val="FootnoteText"/>
      </w:pPr>
      <w:r>
        <w:rPr>
          <w:rStyle w:val="FootnoteReference"/>
        </w:rPr>
        <w:footnoteRef/>
      </w:r>
      <w:r>
        <w:t xml:space="preserve"> Cross-references for "Hear": Ps 2:10; Ps 102:15.</w:t>
      </w:r>
    </w:p>
  </w:footnote>
  <w:footnote w:id="12408">
    <w:p>
      <w:pPr>
        <w:pStyle w:val="FootnoteText"/>
      </w:pPr>
      <w:r>
        <w:rPr>
          <w:rStyle w:val="FootnoteReference"/>
        </w:rPr>
        <w:footnoteRef/>
      </w:r>
      <w:r>
        <w:t xml:space="preserve"> Cross-references for "estranged": 2Kgs 21:4-5; 2Kgs 21:7.</w:t>
      </w:r>
    </w:p>
  </w:footnote>
  <w:footnote w:id="12409">
    <w:p>
      <w:pPr>
        <w:pStyle w:val="FootnoteText"/>
      </w:pPr>
      <w:r>
        <w:rPr>
          <w:rStyle w:val="FootnoteReference"/>
        </w:rPr>
        <w:footnoteRef/>
      </w:r>
      <w:r>
        <w:t xml:space="preserve"> Cross-references for "to burn": Deut 12:31; 2Kgs 17:17.</w:t>
      </w:r>
    </w:p>
  </w:footnote>
  <w:footnote w:id="12410">
    <w:p>
      <w:pPr>
        <w:pStyle w:val="FootnoteText"/>
      </w:pPr>
      <w:r>
        <w:rPr>
          <w:rStyle w:val="FootnoteReference"/>
        </w:rPr>
        <w:footnoteRef/>
      </w:r>
      <w:r>
        <w:t xml:space="preserve"> Cross-references for "eat the": Lev 26:29; Deut 28:53-57.</w:t>
      </w:r>
    </w:p>
  </w:footnote>
  <w:footnote w:id="12411">
    <w:p>
      <w:pPr>
        <w:pStyle w:val="FootnoteText"/>
      </w:pPr>
      <w:r>
        <w:rPr>
          <w:rStyle w:val="FootnoteReference"/>
        </w:rPr>
        <w:footnoteRef/>
      </w:r>
      <w:r>
        <w:t xml:space="preserve"> Cross-references for "make": Jer 10:13; Jer 11:5.</w:t>
      </w:r>
    </w:p>
  </w:footnote>
  <w:footnote w:id="12412">
    <w:p>
      <w:pPr>
        <w:pStyle w:val="FootnoteText"/>
      </w:pPr>
      <w:r>
        <w:rPr>
          <w:rStyle w:val="FootnoteReference"/>
        </w:rPr>
        <w:footnoteRef/>
      </w:r>
      <w:r>
        <w:t xml:space="preserve"> Cross-references for "he stood": 2Chr 20:5; 2Chr 24:20-21.</w:t>
      </w:r>
    </w:p>
  </w:footnote>
  <w:footnote w:id="12413">
    <w:p>
      <w:pPr>
        <w:pStyle w:val="FootnoteText"/>
      </w:pPr>
      <w:r>
        <w:rPr>
          <w:rStyle w:val="FootnoteReference"/>
        </w:rPr>
        <w:footnoteRef/>
      </w:r>
      <w:r>
        <w:t xml:space="preserve"> Personal name: Pashhur. Personal-name meaning: Pashhur — freedom; splendor. Source form: Pashhur.</w:t>
      </w:r>
    </w:p>
  </w:footnote>
  <w:footnote w:id="12414">
    <w:p>
      <w:pPr>
        <w:pStyle w:val="FootnoteText"/>
      </w:pPr>
      <w:r>
        <w:rPr>
          <w:rStyle w:val="FootnoteReference"/>
        </w:rPr>
        <w:footnoteRef/>
      </w:r>
      <w:r>
        <w:t xml:space="preserve"> Cross-references for "Immer": 1Chr 24:14; Ezra 2:37-38.</w:t>
      </w:r>
    </w:p>
  </w:footnote>
  <w:footnote w:id="12415">
    <w:p>
      <w:pPr>
        <w:pStyle w:val="FootnoteText"/>
      </w:pPr>
      <w:r>
        <w:rPr>
          <w:rStyle w:val="FootnoteReference"/>
        </w:rPr>
        <w:footnoteRef/>
      </w:r>
      <w:r>
        <w:t xml:space="preserve"> Translation note: The stocks mark Pashhur's public punishment of Jeremiah at the temple gate before the name judgment is pronounced.</w:t>
      </w:r>
    </w:p>
  </w:footnote>
  <w:footnote w:id="12416">
    <w:p>
      <w:pPr>
        <w:pStyle w:val="FootnoteText"/>
      </w:pPr>
      <w:r>
        <w:rPr>
          <w:rStyle w:val="FootnoteReference"/>
        </w:rPr>
        <w:footnoteRef/>
      </w:r>
      <w:r>
        <w:t xml:space="preserve"> Cross-references for "the stocks": Deut 29:22; Isa 1:7.</w:t>
      </w:r>
    </w:p>
  </w:footnote>
  <w:footnote w:id="12417">
    <w:p>
      <w:pPr>
        <w:pStyle w:val="FootnoteText"/>
      </w:pPr>
      <w:r>
        <w:rPr>
          <w:rStyle w:val="FootnoteReference"/>
        </w:rPr>
        <w:footnoteRef/>
      </w:r>
      <w:r>
        <w:t xml:space="preserve"> Translation note: The LXX changes Pashhur's name to an exile/displacement label matching the judgment that he and his friends will go into captivity.</w:t>
      </w:r>
    </w:p>
  </w:footnote>
  <w:footnote w:id="12418">
    <w:p>
      <w:pPr>
        <w:pStyle w:val="FootnoteText"/>
      </w:pPr>
      <w:r>
        <w:rPr>
          <w:rStyle w:val="FootnoteReference"/>
        </w:rPr>
        <w:footnoteRef/>
      </w:r>
      <w:r>
        <w:t xml:space="preserve"> Cross-references for "I will give": Jer 19:15; Jer 21:4-10.</w:t>
      </w:r>
    </w:p>
  </w:footnote>
  <w:footnote w:id="12419">
    <w:p>
      <w:pPr>
        <w:pStyle w:val="FootnoteText"/>
      </w:pPr>
      <w:r>
        <w:rPr>
          <w:rStyle w:val="FootnoteReference"/>
        </w:rPr>
        <w:footnoteRef/>
      </w:r>
      <w:r>
        <w:t xml:space="preserve"> Translation note: The oracle names Babylon as the destination of Judah's exile and the agent of the judgment against Pashhur's circle.</w:t>
      </w:r>
    </w:p>
  </w:footnote>
  <w:footnote w:id="12420">
    <w:p>
      <w:pPr>
        <w:pStyle w:val="FootnoteText"/>
      </w:pPr>
      <w:r>
        <w:rPr>
          <w:rStyle w:val="FootnoteReference"/>
        </w:rPr>
        <w:footnoteRef/>
      </w:r>
      <w:r>
        <w:t xml:space="preserve"> Translation note: Pashhur's judgment includes his household and friends because he prophesied lies to them.</w:t>
      </w:r>
    </w:p>
  </w:footnote>
  <w:footnote w:id="12421">
    <w:p>
      <w:pPr>
        <w:pStyle w:val="FootnoteText"/>
      </w:pPr>
      <w:r>
        <w:rPr>
          <w:rStyle w:val="FootnoteReference"/>
        </w:rPr>
        <w:footnoteRef/>
      </w:r>
      <w:r>
        <w:t xml:space="preserve"> Translation note: The lament keeps the stark LXX verb for being deceived or overpowered by the Lord rather than softening it.</w:t>
      </w:r>
    </w:p>
  </w:footnote>
  <w:footnote w:id="12422">
    <w:p>
      <w:pPr>
        <w:pStyle w:val="FootnoteText"/>
      </w:pPr>
      <w:r>
        <w:rPr>
          <w:rStyle w:val="FootnoteReference"/>
        </w:rPr>
        <w:footnoteRef/>
      </w:r>
      <w:r>
        <w:t xml:space="preserve"> Cross-references for "deceived": Exod 5:22-23; Num 11:11-15.</w:t>
      </w:r>
    </w:p>
  </w:footnote>
  <w:footnote w:id="12423">
    <w:p>
      <w:pPr>
        <w:pStyle w:val="FootnoteText"/>
      </w:pPr>
      <w:r>
        <w:rPr>
          <w:rStyle w:val="FootnoteReference"/>
        </w:rPr>
        <w:footnoteRef/>
      </w:r>
      <w:r>
        <w:t xml:space="preserve"> Cross-references for "the word": 2Chr 36:16; Jer 6:10.</w:t>
      </w:r>
    </w:p>
  </w:footnote>
  <w:footnote w:id="12424">
    <w:p>
      <w:pPr>
        <w:pStyle w:val="FootnoteText"/>
      </w:pPr>
      <w:r>
        <w:rPr>
          <w:rStyle w:val="FootnoteReference"/>
        </w:rPr>
        <w:footnoteRef/>
      </w:r>
      <w:r>
        <w:t xml:space="preserve"> Translation note: Jeremiah's attempt not to speak in the Lord's name becomes unbearable inward fire.</w:t>
      </w:r>
    </w:p>
  </w:footnote>
  <w:footnote w:id="12425">
    <w:p>
      <w:pPr>
        <w:pStyle w:val="FootnoteText"/>
      </w:pPr>
      <w:r>
        <w:rPr>
          <w:rStyle w:val="FootnoteReference"/>
        </w:rPr>
        <w:footnoteRef/>
      </w:r>
      <w:r>
        <w:t xml:space="preserve"> Cross-references for "I heard": Ps 31:13; Ps 57:4.</w:t>
      </w:r>
    </w:p>
  </w:footnote>
  <w:footnote w:id="12426">
    <w:p>
      <w:pPr>
        <w:pStyle w:val="FootnoteText"/>
      </w:pPr>
      <w:r>
        <w:rPr>
          <w:rStyle w:val="FootnoteReference"/>
        </w:rPr>
        <w:footnoteRef/>
      </w:r>
      <w:r>
        <w:t xml:space="preserve"> Translation note: The opponents watch for Jeremiah to be deceived so they can prevail and take vengeance.</w:t>
      </w:r>
    </w:p>
  </w:footnote>
  <w:footnote w:id="12427">
    <w:p>
      <w:pPr>
        <w:pStyle w:val="FootnoteText"/>
      </w:pPr>
      <w:r>
        <w:rPr>
          <w:rStyle w:val="FootnoteReference"/>
        </w:rPr>
        <w:footnoteRef/>
      </w:r>
      <w:r>
        <w:t xml:space="preserve"> Cross-references for "the Lord": Isa 41:10; Isa 41:14.</w:t>
      </w:r>
    </w:p>
  </w:footnote>
  <w:footnote w:id="12428">
    <w:p>
      <w:pPr>
        <w:pStyle w:val="FootnoteText"/>
      </w:pPr>
      <w:r>
        <w:rPr>
          <w:rStyle w:val="FootnoteReference"/>
        </w:rPr>
        <w:footnoteRef/>
      </w:r>
      <w:r>
        <w:t xml:space="preserve"> Translation note: Jeremiah answers the surrounding blame with confidence that the Lord is with him as a mighty warrior.</w:t>
      </w:r>
    </w:p>
  </w:footnote>
  <w:footnote w:id="12429">
    <w:p>
      <w:pPr>
        <w:pStyle w:val="FootnoteText"/>
      </w:pPr>
      <w:r>
        <w:rPr>
          <w:rStyle w:val="FootnoteReference"/>
        </w:rPr>
        <w:footnoteRef/>
      </w:r>
      <w:r>
        <w:t xml:space="preserve"> Translation note: The inner-seat image is retained here as in Jeremiah 17:10: the Lord examines hidden motives and claims.</w:t>
      </w:r>
    </w:p>
  </w:footnote>
  <w:footnote w:id="12430">
    <w:p>
      <w:pPr>
        <w:pStyle w:val="FootnoteText"/>
      </w:pPr>
      <w:r>
        <w:rPr>
          <w:rStyle w:val="FootnoteReference"/>
        </w:rPr>
        <w:footnoteRef/>
      </w:r>
      <w:r>
        <w:t xml:space="preserve"> Cross-references for "let me": 2Chr 24:22; Ps 54:7.</w:t>
      </w:r>
    </w:p>
  </w:footnote>
  <w:footnote w:id="12431">
    <w:p>
      <w:pPr>
        <w:pStyle w:val="FootnoteText"/>
      </w:pPr>
      <w:r>
        <w:rPr>
          <w:rStyle w:val="FootnoteReference"/>
        </w:rPr>
        <w:footnoteRef/>
      </w:r>
      <w:r>
        <w:t xml:space="preserve"> Translation note: Greek has a singular poor-man genitive phrase. English supplies a for readable singular idiom.</w:t>
      </w:r>
    </w:p>
  </w:footnote>
  <w:footnote w:id="12432">
    <w:p>
      <w:pPr>
        <w:pStyle w:val="FootnoteText"/>
      </w:pPr>
      <w:r>
        <w:rPr>
          <w:rStyle w:val="FootnoteReference"/>
        </w:rPr>
        <w:footnoteRef/>
      </w:r>
      <w:r>
        <w:t xml:space="preserve"> Translation note: The praise line celebrates the Lord's rescue of the needy one from evildoers after the lament.</w:t>
      </w:r>
    </w:p>
  </w:footnote>
  <w:footnote w:id="12433">
    <w:p>
      <w:pPr>
        <w:pStyle w:val="FootnoteText"/>
      </w:pPr>
      <w:r>
        <w:rPr>
          <w:rStyle w:val="FootnoteReference"/>
        </w:rPr>
        <w:footnoteRef/>
      </w:r>
      <w:r>
        <w:t xml:space="preserve"> Translation note: The closing lament turns from praise to a Job-like curse on the day of birth.</w:t>
      </w:r>
    </w:p>
  </w:footnote>
  <w:footnote w:id="12434">
    <w:p>
      <w:pPr>
        <w:pStyle w:val="FootnoteText"/>
      </w:pPr>
      <w:r>
        <w:rPr>
          <w:rStyle w:val="FootnoteReference"/>
        </w:rPr>
        <w:footnoteRef/>
      </w:r>
      <w:r>
        <w:t xml:space="preserve"> Translation note: Jeremiah curses the messenger who announced his birth to his father.</w:t>
      </w:r>
    </w:p>
  </w:footnote>
  <w:footnote w:id="12435">
    <w:p>
      <w:pPr>
        <w:pStyle w:val="FootnoteText"/>
      </w:pPr>
      <w:r>
        <w:rPr>
          <w:rStyle w:val="FootnoteReference"/>
        </w:rPr>
        <w:footnoteRef/>
      </w:r>
      <w:r>
        <w:t xml:space="preserve"> Translation note: The birth messenger is compared to cities overthrown in wrath without relenting.</w:t>
      </w:r>
    </w:p>
  </w:footnote>
  <w:footnote w:id="12436">
    <w:p>
      <w:pPr>
        <w:pStyle w:val="FootnoteText"/>
      </w:pPr>
      <w:r>
        <w:rPr>
          <w:rStyle w:val="FootnoteReference"/>
        </w:rPr>
        <w:footnoteRef/>
      </w:r>
      <w:r>
        <w:t xml:space="preserve"> Cross-references for "Let him": Jer 4:19; Jer 18:22.</w:t>
      </w:r>
    </w:p>
  </w:footnote>
  <w:footnote w:id="12437">
    <w:p>
      <w:pPr>
        <w:pStyle w:val="FootnoteText"/>
      </w:pPr>
      <w:r>
        <w:rPr>
          <w:rStyle w:val="FootnoteReference"/>
        </w:rPr>
        <w:footnoteRef/>
      </w:r>
      <w:r>
        <w:t xml:space="preserve"> Translation note: The impossible womb/tomb image intensifies the wish that Jeremiah had never lived to suffer his prophetic calling.</w:t>
      </w:r>
    </w:p>
  </w:footnote>
  <w:footnote w:id="12438">
    <w:p>
      <w:pPr>
        <w:pStyle w:val="FootnoteText"/>
      </w:pPr>
      <w:r>
        <w:rPr>
          <w:rStyle w:val="FootnoteReference"/>
        </w:rPr>
        <w:footnoteRef/>
      </w:r>
      <w:r>
        <w:t xml:space="preserve"> Cross-references for "to see": Gen 3:16-19; Ps 90:10.</w:t>
      </w:r>
    </w:p>
  </w:footnote>
  <w:footnote w:id="12439">
    <w:p>
      <w:pPr>
        <w:pStyle w:val="FootnoteText"/>
      </w:pPr>
      <w:r>
        <w:rPr>
          <w:rStyle w:val="FootnoteReference"/>
        </w:rPr>
        <w:footnoteRef/>
      </w:r>
      <w:r>
        <w:t xml:space="preserve"> Translation note: The chapter closes with Jeremiah asking why he came from the womb to see toil pain and shame.</w:t>
      </w:r>
    </w:p>
  </w:footnote>
  <w:footnote w:id="12440">
    <w:p>
      <w:pPr>
        <w:pStyle w:val="FootnoteText"/>
      </w:pPr>
      <w:r>
        <w:rPr>
          <w:rStyle w:val="FootnoteReference"/>
        </w:rPr>
        <w:footnoteRef/>
      </w:r>
      <w:r>
        <w:t xml:space="preserve"> Cross-references for "The word": Jer 21:1-14; Jer 32:1-44.</w:t>
      </w:r>
    </w:p>
  </w:footnote>
  <w:footnote w:id="12441">
    <w:p>
      <w:pPr>
        <w:pStyle w:val="FootnoteText"/>
      </w:pPr>
      <w:r>
        <w:rPr>
          <w:rStyle w:val="FootnoteReference"/>
        </w:rPr>
        <w:footnoteRef/>
      </w:r>
      <w:r>
        <w:t xml:space="preserve"> Transliterated proper noun: Melchiah. Standard English equivalent: Melchiah. Source form: Melchiah. Greek form: μελχιου. Name meaning: God is my king.</w:t>
      </w:r>
    </w:p>
  </w:footnote>
  <w:footnote w:id="12442">
    <w:p>
      <w:pPr>
        <w:pStyle w:val="FootnoteText"/>
      </w:pPr>
      <w:r>
        <w:rPr>
          <w:rStyle w:val="FootnoteReference"/>
        </w:rPr>
        <w:footnoteRef/>
      </w:r>
      <w:r>
        <w:t xml:space="preserve"> Translation note: Zedekiah asks for a wonder-working deliverance from Babylon but receives an oracle of defeat.</w:t>
      </w:r>
    </w:p>
  </w:footnote>
  <w:footnote w:id="12443">
    <w:p>
      <w:pPr>
        <w:pStyle w:val="FootnoteText"/>
      </w:pPr>
      <w:r>
        <w:rPr>
          <w:rStyle w:val="FootnoteReference"/>
        </w:rPr>
        <w:footnoteRef/>
      </w:r>
      <w:r>
        <w:t xml:space="preserve"> Cross-references for "Behold": Isa 10:4; Jer 32:5.</w:t>
      </w:r>
    </w:p>
  </w:footnote>
  <w:footnote w:id="12444">
    <w:p>
      <w:pPr>
        <w:pStyle w:val="FootnoteText"/>
      </w:pPr>
      <w:r>
        <w:rPr>
          <w:rStyle w:val="FootnoteReference"/>
        </w:rPr>
        <w:footnoteRef/>
      </w:r>
      <w:r>
        <w:t xml:space="preserve"> Translation note: The Lord says Judah's own weapons will be turned back into the city against the defenders.</w:t>
      </w:r>
    </w:p>
  </w:footnote>
  <w:footnote w:id="12445">
    <w:p>
      <w:pPr>
        <w:pStyle w:val="FootnoteText"/>
      </w:pPr>
      <w:r>
        <w:rPr>
          <w:rStyle w:val="FootnoteReference"/>
        </w:rPr>
        <w:footnoteRef/>
      </w:r>
      <w:r>
        <w:t xml:space="preserve"> Translation note: The exodus-style power language is reversed here: the Lord fights against Jerusalem.</w:t>
      </w:r>
    </w:p>
  </w:footnote>
  <w:footnote w:id="12446">
    <w:p>
      <w:pPr>
        <w:pStyle w:val="FootnoteText"/>
      </w:pPr>
      <w:r>
        <w:rPr>
          <w:rStyle w:val="FootnoteReference"/>
        </w:rPr>
        <w:footnoteRef/>
      </w:r>
      <w:r>
        <w:t xml:space="preserve"> Cross-references for "with an": Exod 6:6; Exod 9:15.</w:t>
      </w:r>
    </w:p>
  </w:footnote>
  <w:footnote w:id="12447">
    <w:p>
      <w:pPr>
        <w:pStyle w:val="FootnoteText"/>
      </w:pPr>
      <w:r>
        <w:rPr>
          <w:rStyle w:val="FootnoteReference"/>
        </w:rPr>
        <w:footnoteRef/>
      </w:r>
      <w:r>
        <w:t xml:space="preserve"> Translation note: The oracle offers survival only through surrender to the Chaldeans rather than remaining inside the city.</w:t>
      </w:r>
    </w:p>
  </w:footnote>
  <w:footnote w:id="12448">
    <w:p>
      <w:pPr>
        <w:pStyle w:val="FootnoteText"/>
      </w:pPr>
      <w:r>
        <w:rPr>
          <w:rStyle w:val="FootnoteReference"/>
        </w:rPr>
        <w:footnoteRef/>
      </w:r>
      <w:r>
        <w:t xml:space="preserve"> Translation note: The LXX idiom is retained: the one who leaves the city keeps his life as spoil.</w:t>
      </w:r>
    </w:p>
  </w:footnote>
  <w:footnote w:id="12449">
    <w:p>
      <w:pPr>
        <w:pStyle w:val="FootnoteText"/>
      </w:pPr>
      <w:r>
        <w:rPr>
          <w:rStyle w:val="FootnoteReference"/>
        </w:rPr>
        <w:footnoteRef/>
      </w:r>
      <w:r>
        <w:t xml:space="preserve"> Translation note: The House of David is commanded to do justice quickly and rescue the plundered one before wrath burns like fire.</w:t>
      </w:r>
    </w:p>
  </w:footnote>
  <w:footnote w:id="12450">
    <w:p>
      <w:pPr>
        <w:pStyle w:val="FootnoteText"/>
      </w:pPr>
      <w:r>
        <w:rPr>
          <w:rStyle w:val="FootnoteReference"/>
        </w:rPr>
        <w:footnoteRef/>
      </w:r>
      <w:r>
        <w:t xml:space="preserve"> Cross-references for "morning": Exod 18:13; Ps 101:8.</w:t>
      </w:r>
    </w:p>
  </w:footnote>
  <w:footnote w:id="12451">
    <w:p>
      <w:pPr>
        <w:pStyle w:val="FootnoteText"/>
      </w:pPr>
      <w:r>
        <w:rPr>
          <w:rStyle w:val="FootnoteReference"/>
        </w:rPr>
        <w:footnoteRef/>
      </w:r>
      <w:r>
        <w:t xml:space="preserve"> Translation note: The place label is retained from the Greek form while the oracle targets Jerusalem's false security.</w:t>
      </w:r>
    </w:p>
  </w:footnote>
  <w:footnote w:id="12452">
    <w:p>
      <w:pPr>
        <w:pStyle w:val="FootnoteText"/>
      </w:pPr>
      <w:r>
        <w:rPr>
          <w:rStyle w:val="FootnoteReference"/>
        </w:rPr>
        <w:footnoteRef/>
      </w:r>
      <w:r>
        <w:t xml:space="preserve"> Translation note: The chapter closes with fire imagery matching the warning that no one will quench the Lord's wrath.</w:t>
      </w:r>
    </w:p>
  </w:footnote>
  <w:footnote w:id="12453">
    <w:p>
      <w:pPr>
        <w:pStyle w:val="FootnoteText"/>
      </w:pPr>
      <w:r>
        <w:rPr>
          <w:rStyle w:val="FootnoteReference"/>
        </w:rPr>
        <w:footnoteRef/>
      </w:r>
      <w:r>
        <w:t xml:space="preserve"> Cross-references for "Hear": 1Kgs 22:19; Isa 1:10.</w:t>
      </w:r>
    </w:p>
  </w:footnote>
  <w:footnote w:id="12454">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2455">
    <w:p>
      <w:pPr>
        <w:pStyle w:val="FootnoteText"/>
      </w:pPr>
      <w:r>
        <w:rPr>
          <w:rStyle w:val="FootnoteReference"/>
        </w:rPr>
        <w:footnoteRef/>
      </w:r>
      <w:r>
        <w:t xml:space="preserve"> Translation note: The royal house is commanded to practice justice by protecting the vulnerable and refusing innocent bloodshed.</w:t>
      </w:r>
    </w:p>
  </w:footnote>
  <w:footnote w:id="12456">
    <w:p>
      <w:pPr>
        <w:pStyle w:val="FootnoteText"/>
      </w:pPr>
      <w:r>
        <w:rPr>
          <w:rStyle w:val="FootnoteReference"/>
        </w:rPr>
        <w:footnoteRef/>
      </w:r>
      <w:r>
        <w:t xml:space="preserve"> Translation note: Obedience keeps the Davidic royal procession entering through the house gates with servants and people.</w:t>
      </w:r>
    </w:p>
  </w:footnote>
  <w:footnote w:id="12457">
    <w:p>
      <w:pPr>
        <w:pStyle w:val="FootnoteText"/>
      </w:pPr>
      <w:r>
        <w:rPr>
          <w:rStyle w:val="FootnoteReference"/>
        </w:rPr>
        <w:footnoteRef/>
      </w:r>
      <w:r>
        <w:t xml:space="preserve"> Translation note: The desolation warning is oath-bound by the Lord himself.</w:t>
      </w:r>
    </w:p>
  </w:footnote>
  <w:footnote w:id="12458">
    <w:p>
      <w:pPr>
        <w:pStyle w:val="FootnoteText"/>
      </w:pPr>
      <w:r>
        <w:rPr>
          <w:rStyle w:val="FootnoteReference"/>
        </w:rPr>
        <w:footnoteRef/>
      </w:r>
      <w:r>
        <w:t xml:space="preserve"> Cross-references for "surely": Ps 107:34; Isa 6:11.</w:t>
      </w:r>
    </w:p>
  </w:footnote>
  <w:footnote w:id="12459">
    <w:p>
      <w:pPr>
        <w:pStyle w:val="FootnoteText"/>
      </w:pPr>
      <w:r>
        <w:rPr>
          <w:rStyle w:val="FootnoteReference"/>
        </w:rPr>
        <w:footnoteRef/>
      </w:r>
      <w:r>
        <w:t xml:space="preserve"> Translation note: The royal house is compared with lush high places before being threatened with wilderness and uninhabited cities.</w:t>
      </w:r>
    </w:p>
  </w:footnote>
  <w:footnote w:id="12460">
    <w:p>
      <w:pPr>
        <w:pStyle w:val="FootnoteText"/>
      </w:pPr>
      <w:r>
        <w:rPr>
          <w:rStyle w:val="FootnoteReference"/>
        </w:rPr>
        <w:footnoteRef/>
      </w:r>
      <w:r>
        <w:t xml:space="preserve"> Translation note: The cedar image fits the royal house and palace setting before the destroyers cut and burn it.</w:t>
      </w:r>
    </w:p>
  </w:footnote>
  <w:footnote w:id="12461">
    <w:p>
      <w:pPr>
        <w:pStyle w:val="FootnoteText"/>
      </w:pPr>
      <w:r>
        <w:rPr>
          <w:rStyle w:val="FootnoteReference"/>
        </w:rPr>
        <w:footnoteRef/>
      </w:r>
      <w:r>
        <w:t xml:space="preserve"> Translation note: The reason for the city's ruin is covenant abandonment and service to foreign gods.</w:t>
      </w:r>
    </w:p>
  </w:footnote>
  <w:footnote w:id="12462">
    <w:p>
      <w:pPr>
        <w:pStyle w:val="FootnoteText"/>
      </w:pPr>
      <w:r>
        <w:rPr>
          <w:rStyle w:val="FootnoteReference"/>
        </w:rPr>
        <w:footnoteRef/>
      </w:r>
      <w:r>
        <w:t xml:space="preserve"> Translation note: The people are told to weep for the exile rather than the dead one because he will not return to his homeland.</w:t>
      </w:r>
    </w:p>
  </w:footnote>
  <w:footnote w:id="12463">
    <w:p>
      <w:pPr>
        <w:pStyle w:val="FootnoteText"/>
      </w:pPr>
      <w:r>
        <w:rPr>
          <w:rStyle w:val="FootnoteReference"/>
        </w:rPr>
        <w:footnoteRef/>
      </w:r>
      <w:r>
        <w:t xml:space="preserve"> Cross-references for "Shallum": 1Chr 3:15; 2Chr 28:12.</w:t>
      </w:r>
    </w:p>
  </w:footnote>
  <w:footnote w:id="12464">
    <w:p>
      <w:pPr>
        <w:pStyle w:val="FootnoteText"/>
      </w:pPr>
      <w:r>
        <w:rPr>
          <w:rStyle w:val="FootnoteReference"/>
        </w:rPr>
        <w:footnoteRef/>
      </w:r>
      <w:r>
        <w:t xml:space="preserve"> Translation note: The woe targets royal building done without righteousness and with unpaid labor.</w:t>
      </w:r>
    </w:p>
  </w:footnote>
  <w:footnote w:id="12465">
    <w:p>
      <w:pPr>
        <w:pStyle w:val="FootnoteText"/>
      </w:pPr>
      <w:r>
        <w:rPr>
          <w:rStyle w:val="FootnoteReference"/>
        </w:rPr>
        <w:footnoteRef/>
      </w:r>
      <w:r>
        <w:t xml:space="preserve"> Translation note: The palace luxury image includes cedar paneling and red pigment while the oracle indicts injustice behind the building project.</w:t>
      </w:r>
    </w:p>
  </w:footnote>
  <w:footnote w:id="12466">
    <w:p>
      <w:pPr>
        <w:pStyle w:val="FootnoteText"/>
      </w:pPr>
      <w:r>
        <w:rPr>
          <w:rStyle w:val="FootnoteReference"/>
        </w:rPr>
        <w:footnoteRef/>
      </w:r>
      <w:r>
        <w:t xml:space="preserve"> Translation note: The LXX wording reads Ahaz here; this edition leaves that form visible for review rather than harmonizing the line.</w:t>
      </w:r>
    </w:p>
  </w:footnote>
  <w:footnote w:id="12467">
    <w:p>
      <w:pPr>
        <w:pStyle w:val="FootnoteText"/>
      </w:pPr>
      <w:r>
        <w:rPr>
          <w:rStyle w:val="FootnoteReference"/>
        </w:rPr>
        <w:footnoteRef/>
      </w:r>
      <w:r>
        <w:t xml:space="preserve"> Translation note: Knowing the Lord is tied directly to judging the case of the lowly and poor.</w:t>
      </w:r>
    </w:p>
  </w:footnote>
  <w:footnote w:id="12468">
    <w:p>
      <w:pPr>
        <w:pStyle w:val="FootnoteText"/>
      </w:pPr>
      <w:r>
        <w:rPr>
          <w:rStyle w:val="FootnoteReference"/>
        </w:rPr>
        <w:footnoteRef/>
      </w:r>
      <w:r>
        <w:t xml:space="preserve"> Translation note: The king's eyes and heart are set toward greed innocent blood injustice and murder.</w:t>
      </w:r>
    </w:p>
  </w:footnote>
  <w:footnote w:id="12469">
    <w:p>
      <w:pPr>
        <w:pStyle w:val="FootnoteText"/>
      </w:pPr>
      <w:r>
        <w:rPr>
          <w:rStyle w:val="FootnoteReference"/>
        </w:rPr>
        <w:footnoteRef/>
      </w:r>
      <w:r>
        <w:t xml:space="preserve"> Translation note: Jehoiakim receives the dishonor of a donkey burial outside Jerusalem's gate instead of normal lamentation.</w:t>
      </w:r>
    </w:p>
  </w:footnote>
  <w:footnote w:id="12470">
    <w:p>
      <w:pPr>
        <w:pStyle w:val="FootnoteText"/>
      </w:pPr>
      <w:r>
        <w:rPr>
          <w:rStyle w:val="FootnoteReference"/>
        </w:rPr>
        <w:footnoteRef/>
      </w:r>
      <w:r>
        <w:t xml:space="preserve"> Cross-references for "and cry": 2Kgs 24:7; Isa 20:5-6.</w:t>
      </w:r>
    </w:p>
  </w:footnote>
  <w:footnote w:id="12471">
    <w:p>
      <w:pPr>
        <w:pStyle w:val="FootnoteText"/>
      </w:pPr>
      <w:r>
        <w:rPr>
          <w:rStyle w:val="FootnoteReference"/>
        </w:rPr>
        <w:footnoteRef/>
      </w:r>
      <w:r>
        <w:t xml:space="preserve"> Translation note: The lovers are Judah's allies; the oracle calls for lament from Lebanon Bashan and beyond the sea because those supports are shattered.</w:t>
      </w:r>
    </w:p>
  </w:footnote>
  <w:footnote w:id="12472">
    <w:p>
      <w:pPr>
        <w:pStyle w:val="FootnoteText"/>
      </w:pPr>
      <w:r>
        <w:rPr>
          <w:rStyle w:val="FootnoteReference"/>
        </w:rPr>
        <w:footnoteRef/>
      </w:r>
      <w:r>
        <w:t xml:space="preserve"> Translation note: The Greek keeps a shepherd wordplay: wind becomes the force that shepherds Judah's shepherds away.</w:t>
      </w:r>
    </w:p>
  </w:footnote>
  <w:footnote w:id="12473">
    <w:p>
      <w:pPr>
        <w:pStyle w:val="FootnoteText"/>
      </w:pPr>
      <w:r>
        <w:rPr>
          <w:rStyle w:val="FootnoteReference"/>
        </w:rPr>
        <w:footnoteRef/>
      </w:r>
      <w:r>
        <w:t xml:space="preserve"> Cross-references for "Wind": Isa 64:6; Jer 4:11-13.</w:t>
      </w:r>
    </w:p>
  </w:footnote>
  <w:footnote w:id="12474">
    <w:p>
      <w:pPr>
        <w:pStyle w:val="FootnoteText"/>
      </w:pPr>
      <w:r>
        <w:rPr>
          <w:rStyle w:val="FootnoteReference"/>
        </w:rPr>
        <w:footnoteRef/>
      </w:r>
      <w:r>
        <w:t xml:space="preserve"> Cross-references for "Lebanon": Jer 22:6; Zech 11:1-2.</w:t>
      </w:r>
    </w:p>
  </w:footnote>
  <w:footnote w:id="12475">
    <w:p>
      <w:pPr>
        <w:pStyle w:val="FootnoteText"/>
      </w:pPr>
      <w:r>
        <w:rPr>
          <w:rStyle w:val="FootnoteReference"/>
        </w:rPr>
        <w:footnoteRef/>
      </w:r>
      <w:r>
        <w:t xml:space="preserve"> Translation note: Lebanon and cedars continue the royal-palace image before the birth-pangs judgment line.</w:t>
      </w:r>
    </w:p>
  </w:footnote>
  <w:footnote w:id="12476">
    <w:p>
      <w:pPr>
        <w:pStyle w:val="FootnoteText"/>
      </w:pPr>
      <w:r>
        <w:rPr>
          <w:rStyle w:val="FootnoteReference"/>
        </w:rPr>
        <w:footnoteRef/>
      </w:r>
      <w:r>
        <w:t xml:space="preserve"> Translation note: Even if Jeconiah were as close as a royal signet on the Lord's right hand he would still be torn away.</w:t>
      </w:r>
    </w:p>
  </w:footnote>
  <w:footnote w:id="12477">
    <w:p>
      <w:pPr>
        <w:pStyle w:val="FootnoteText"/>
      </w:pPr>
      <w:r>
        <w:rPr>
          <w:rStyle w:val="FootnoteReference"/>
        </w:rPr>
        <w:footnoteRef/>
      </w:r>
      <w:r>
        <w:t xml:space="preserve"> Translation note: The oracle compares Jeconiah to a dishonored unusable vessel cast into an unknown land.</w:t>
      </w:r>
    </w:p>
  </w:footnote>
  <w:footnote w:id="12478">
    <w:p>
      <w:pPr>
        <w:pStyle w:val="FootnoteText"/>
      </w:pPr>
      <w:r>
        <w:rPr>
          <w:rStyle w:val="FootnoteReference"/>
        </w:rPr>
        <w:footnoteRef/>
      </w:r>
      <w:r>
        <w:t xml:space="preserve"> MT/LXX note: The LXX text repeats γῆ twice here; the summons is retained as Earth earth rather than harmonized to the MT threefold wording.</w:t>
      </w:r>
    </w:p>
  </w:footnote>
  <w:footnote w:id="12479">
    <w:p>
      <w:pPr>
        <w:pStyle w:val="FootnoteText"/>
      </w:pPr>
      <w:r>
        <w:rPr>
          <w:rStyle w:val="FootnoteReference"/>
        </w:rPr>
        <w:footnoteRef/>
      </w:r>
      <w:r>
        <w:t xml:space="preserve"> Translation note: The written judgment marks Jeconiah as rejected from producing a Davidic throne successor ruling in Judah.</w:t>
      </w:r>
    </w:p>
  </w:footnote>
  <w:footnote w:id="12480">
    <w:p>
      <w:pPr>
        <w:pStyle w:val="FootnoteText"/>
      </w:pPr>
      <w:r>
        <w:rPr>
          <w:rStyle w:val="FootnoteReference"/>
        </w:rPr>
        <w:footnoteRef/>
      </w:r>
      <w:r>
        <w:t xml:space="preserve"> Cross-references for "Write": 1Chr 3:16-17; Matt 1:12-16.</w:t>
      </w:r>
    </w:p>
  </w:footnote>
  <w:footnote w:id="12481">
    <w:p>
      <w:pPr>
        <w:pStyle w:val="FootnoteText"/>
      </w:pPr>
      <w:r>
        <w:rPr>
          <w:rStyle w:val="FootnoteReference"/>
        </w:rPr>
        <w:footnoteRef/>
      </w:r>
      <w:r>
        <w:t xml:space="preserve"> Translation note: The shepherds are Judah's leaders; the image continues with sheep pasture scattering and restoration.</w:t>
      </w:r>
    </w:p>
  </w:footnote>
  <w:footnote w:id="12482">
    <w:p>
      <w:pPr>
        <w:pStyle w:val="FootnoteText"/>
      </w:pPr>
      <w:r>
        <w:rPr>
          <w:rStyle w:val="FootnoteReference"/>
        </w:rPr>
        <w:footnoteRef/>
      </w:r>
      <w:r>
        <w:t xml:space="preserve"> Translation note: The indictment says the shepherds scattered drove out and failed to attend to the Lord's sheep.</w:t>
      </w:r>
    </w:p>
  </w:footnote>
  <w:footnote w:id="12483">
    <w:p>
      <w:pPr>
        <w:pStyle w:val="FootnoteText"/>
      </w:pPr>
      <w:r>
        <w:rPr>
          <w:rStyle w:val="FootnoteReference"/>
        </w:rPr>
        <w:footnoteRef/>
      </w:r>
      <w:r>
        <w:t xml:space="preserve"> Translation note: The restoration promise gathers the remnant from every land of exile and returns them to pasture.</w:t>
      </w:r>
    </w:p>
  </w:footnote>
  <w:footnote w:id="12484">
    <w:p>
      <w:pPr>
        <w:pStyle w:val="FootnoteText"/>
      </w:pPr>
      <w:r>
        <w:rPr>
          <w:rStyle w:val="FootnoteReference"/>
        </w:rPr>
        <w:footnoteRef/>
      </w:r>
      <w:r>
        <w:t xml:space="preserve"> Translation note: Greek uses anatole here. This draft keeps the dawn-image visible rather than harmonizing immediately to the more familiar Branch wording from another tradition.</w:t>
      </w:r>
    </w:p>
  </w:footnote>
  <w:footnote w:id="12485">
    <w:p>
      <w:pPr>
        <w:pStyle w:val="FootnoteText"/>
      </w:pPr>
      <w:r>
        <w:rPr>
          <w:rStyle w:val="FootnoteReference"/>
        </w:rPr>
        <w:footnoteRef/>
      </w:r>
      <w:r>
        <w:t xml:space="preserve"> Cross-references for "reign": Ps 45:4; Isa 9:7.</w:t>
      </w:r>
    </w:p>
  </w:footnote>
  <w:footnote w:id="12486">
    <w:p>
      <w:pPr>
        <w:pStyle w:val="FootnoteText"/>
      </w:pPr>
      <w:r>
        <w:rPr>
          <w:rStyle w:val="FootnoteReference"/>
        </w:rPr>
        <w:footnoteRef/>
      </w:r>
      <w:r>
        <w:t xml:space="preserve"> Translation note: Greek uses ἀνατολή; this edition keeps the dawning image visible while noting the familiar royal Branch connection.</w:t>
      </w:r>
    </w:p>
  </w:footnote>
  <w:footnote w:id="12487">
    <w:p>
      <w:pPr>
        <w:pStyle w:val="FootnoteText"/>
      </w:pPr>
      <w:r>
        <w:rPr>
          <w:rStyle w:val="FootnoteReference"/>
        </w:rPr>
        <w:footnoteRef/>
      </w:r>
      <w:r>
        <w:t xml:space="preserve"> Cross-references for "Judah": Deut 33:28-29; Ps 130:7-8.</w:t>
      </w:r>
    </w:p>
  </w:footnote>
  <w:footnote w:id="12488">
    <w:p>
      <w:pPr>
        <w:pStyle w:val="FootnoteText"/>
      </w:pPr>
      <w:r>
        <w:rPr>
          <w:rStyle w:val="FootnoteReference"/>
        </w:rPr>
        <w:footnoteRef/>
      </w:r>
      <w:r>
        <w:t xml:space="preserve"> Translation note: Greek has Ιωσεδεκ in this title line; this edition gives the meaning in English and preserves the Greek form in the note.</w:t>
      </w:r>
    </w:p>
  </w:footnote>
  <w:footnote w:id="12489">
    <w:p>
      <w:pPr>
        <w:pStyle w:val="FootnoteText"/>
      </w:pPr>
      <w:r>
        <w:rPr>
          <w:rStyle w:val="FootnoteReference"/>
        </w:rPr>
        <w:footnoteRef/>
      </w:r>
      <w:r>
        <w:t xml:space="preserve"> Hebrew divine name/title: Yahweh Tsidkenu (</w:t>
      </w:r>
      <w:r>
        <w:rPr>
          <w:lang w:val="he-IL" w:bidi="he-IL"/>
          <w:rtl/>
        </w:rPr>
        <w:t xml:space="preserve">יְהוָה צִדְקֵנוּ</w:t>
      </w:r>
      <w:r>
        <w:t xml:space="preserve">) — The LORD our righteousness. Common English rendering: THE LORD OUR RIGHTEOUSNESS. A messianic and covenantal name showing God as the source of His people’s righteousness.</w:t>
      </w:r>
    </w:p>
  </w:footnote>
  <w:footnote w:id="12490">
    <w:p>
      <w:pPr>
        <w:pStyle w:val="FootnoteText"/>
      </w:pPr>
      <w:r>
        <w:rPr>
          <w:rStyle w:val="FootnoteReference"/>
        </w:rPr>
        <w:footnoteRef/>
      </w:r>
      <w:r>
        <w:t xml:space="preserve"> Greek LXX divine name/title: Kyrios Iosedek (Κύριος Ἰωσεδέκ) — The Lord is righteous. Common English rendering: The Lord Is Righteous. The LXX has Iosedek at the Yahweh Tsidkenu verse; the main text translates the title as The Lord Is Righteous.</w:t>
      </w:r>
    </w:p>
  </w:footnote>
  <w:footnote w:id="12491">
    <w:p>
      <w:pPr>
        <w:pStyle w:val="FootnoteText"/>
      </w:pPr>
      <w:r>
        <w:rPr>
          <w:rStyle w:val="FootnoteReference"/>
        </w:rPr>
        <w:footnoteRef/>
      </w:r>
      <w:r>
        <w:t xml:space="preserve"> Translation note: The oath formula shifts from the exodus from Egypt to the later gathering of Israel's seed from the north and all lands of exile.</w:t>
      </w:r>
    </w:p>
  </w:footnote>
  <w:footnote w:id="12492">
    <w:p>
      <w:pPr>
        <w:pStyle w:val="FootnoteText"/>
      </w:pPr>
      <w:r>
        <w:rPr>
          <w:rStyle w:val="FootnoteReference"/>
        </w:rPr>
        <w:footnoteRef/>
      </w:r>
      <w:r>
        <w:t xml:space="preserve"> Translation note: The new oath formula identifies the restoration as a greater return from the north and all exile lands.</w:t>
      </w:r>
    </w:p>
  </w:footnote>
  <w:footnote w:id="12493">
    <w:p>
      <w:pPr>
        <w:pStyle w:val="FootnoteText"/>
      </w:pPr>
      <w:r>
        <w:rPr>
          <w:rStyle w:val="FootnoteReference"/>
        </w:rPr>
        <w:footnoteRef/>
      </w:r>
      <w:r>
        <w:t xml:space="preserve"> Translation note: The prophet-oracle opens with Jeremiah's physical collapse before the Lord and the splendor of his glory.</w:t>
      </w:r>
    </w:p>
  </w:footnote>
  <w:footnote w:id="12494">
    <w:p>
      <w:pPr>
        <w:pStyle w:val="FootnoteText"/>
      </w:pPr>
      <w:r>
        <w:rPr>
          <w:rStyle w:val="FootnoteReference"/>
        </w:rPr>
        <w:footnoteRef/>
      </w:r>
      <w:r>
        <w:t xml:space="preserve"> Cross-references for "heart": Jer 9:1; Jer 14:17-18.</w:t>
      </w:r>
    </w:p>
  </w:footnote>
  <w:footnote w:id="12495">
    <w:p>
      <w:pPr>
        <w:pStyle w:val="FootnoteText"/>
      </w:pPr>
      <w:r>
        <w:rPr>
          <w:rStyle w:val="FootnoteReference"/>
        </w:rPr>
        <w:footnoteRef/>
      </w:r>
      <w:r>
        <w:t xml:space="preserve"> Translation note: The land and wilderness pastures mourn because of the corrupt course and false strength of the prophets.</w:t>
      </w:r>
    </w:p>
  </w:footnote>
  <w:footnote w:id="12496">
    <w:p>
      <w:pPr>
        <w:pStyle w:val="FootnoteText"/>
      </w:pPr>
      <w:r>
        <w:rPr>
          <w:rStyle w:val="FootnoteReference"/>
        </w:rPr>
        <w:footnoteRef/>
      </w:r>
      <w:r>
        <w:t xml:space="preserve"> Translation note: The corruption reaches priest prophet and the Lord's own house.</w:t>
      </w:r>
    </w:p>
  </w:footnote>
  <w:footnote w:id="12497">
    <w:p>
      <w:pPr>
        <w:pStyle w:val="FootnoteText"/>
      </w:pPr>
      <w:r>
        <w:rPr>
          <w:rStyle w:val="FootnoteReference"/>
        </w:rPr>
        <w:footnoteRef/>
      </w:r>
      <w:r>
        <w:t xml:space="preserve"> Translation note: The path of corrupt leaders becomes a dark slippery place where they stumble in the year of visitation.</w:t>
      </w:r>
    </w:p>
  </w:footnote>
  <w:footnote w:id="12498">
    <w:p>
      <w:pPr>
        <w:pStyle w:val="FootnoteText"/>
      </w:pPr>
      <w:r>
        <w:rPr>
          <w:rStyle w:val="FootnoteReference"/>
        </w:rPr>
        <w:footnoteRef/>
      </w:r>
      <w:r>
        <w:t xml:space="preserve"> Cross-references for "the year": Exod 32:34; Jer 11:23.</w:t>
      </w:r>
    </w:p>
  </w:footnote>
  <w:footnote w:id="12499">
    <w:p>
      <w:pPr>
        <w:pStyle w:val="FootnoteText"/>
      </w:pPr>
      <w:r>
        <w:rPr>
          <w:rStyle w:val="FootnoteReference"/>
        </w:rPr>
        <w:footnoteRef/>
      </w:r>
      <w:r>
        <w:t xml:space="preserve"> Cross-references for "prophets": Hos 9:7-8.</w:t>
      </w:r>
    </w:p>
  </w:footnote>
  <w:footnote w:id="12500">
    <w:p>
      <w:pPr>
        <w:pStyle w:val="FootnoteText"/>
      </w:pPr>
      <w:r>
        <w:rPr>
          <w:rStyle w:val="FootnoteReference"/>
        </w:rPr>
        <w:footnoteRef/>
      </w:r>
      <w:r>
        <w:t xml:space="preserve"> Translation note: Jerusalem's prophets strengthen evildoers so that each one does not turn back from evil.</w:t>
      </w:r>
    </w:p>
  </w:footnote>
  <w:footnote w:id="12501">
    <w:p>
      <w:pPr>
        <w:pStyle w:val="FootnoteText"/>
      </w:pPr>
      <w:r>
        <w:rPr>
          <w:rStyle w:val="FootnoteReference"/>
        </w:rPr>
        <w:footnoteRef/>
      </w:r>
      <w:r>
        <w:t xml:space="preserve"> Cross-references for "Sodom": Gen 13:13; Gen 18:20.</w:t>
      </w:r>
    </w:p>
  </w:footnote>
  <w:footnote w:id="12502">
    <w:p>
      <w:pPr>
        <w:pStyle w:val="FootnoteText"/>
      </w:pPr>
      <w:r>
        <w:rPr>
          <w:rStyle w:val="FootnoteReference"/>
        </w:rPr>
        <w:footnoteRef/>
      </w:r>
      <w:r>
        <w:t xml:space="preserve"> MT/LXX note: Greek has pain and bitter water here; this edition does not harmonize the line to the MT wormwood wording.</w:t>
      </w:r>
    </w:p>
  </w:footnote>
  <w:footnote w:id="12503">
    <w:p>
      <w:pPr>
        <w:pStyle w:val="FootnoteText"/>
      </w:pPr>
      <w:r>
        <w:rPr>
          <w:rStyle w:val="FootnoteReference"/>
        </w:rPr>
        <w:footnoteRef/>
      </w:r>
      <w:r>
        <w:t xml:space="preserve"> Translation note: Pollution goes out into all the land from Jerusalem's prophets.</w:t>
      </w:r>
    </w:p>
  </w:footnote>
  <w:footnote w:id="12504">
    <w:p>
      <w:pPr>
        <w:pStyle w:val="FootnoteText"/>
      </w:pPr>
      <w:r>
        <w:rPr>
          <w:rStyle w:val="FootnoteReference"/>
        </w:rPr>
        <w:footnoteRef/>
      </w:r>
      <w:r>
        <w:t xml:space="preserve"> Cross-references for "they make": 2Kgs 17:15; Jer 2:5.</w:t>
      </w:r>
    </w:p>
  </w:footnote>
  <w:footnote w:id="12505">
    <w:p>
      <w:pPr>
        <w:pStyle w:val="FootnoteText"/>
      </w:pPr>
      <w:r>
        <w:rPr>
          <w:rStyle w:val="FootnoteReference"/>
        </w:rPr>
        <w:footnoteRef/>
      </w:r>
      <w:r>
        <w:t xml:space="preserve"> Translation note: The false prophets speak heart-originated vision rather than a word from the Lord's mouth.</w:t>
      </w:r>
    </w:p>
  </w:footnote>
  <w:footnote w:id="12506">
    <w:p>
      <w:pPr>
        <w:pStyle w:val="FootnoteText"/>
      </w:pPr>
      <w:r>
        <w:rPr>
          <w:rStyle w:val="FootnoteReference"/>
        </w:rPr>
        <w:footnoteRef/>
      </w:r>
      <w:r>
        <w:t xml:space="preserve"> Translation note: The false peace oracle is addressed to those rejecting the Lord's word and walking in the wandering of their heart.</w:t>
      </w:r>
    </w:p>
  </w:footnote>
  <w:footnote w:id="12507">
    <w:p>
      <w:pPr>
        <w:pStyle w:val="FootnoteText"/>
      </w:pPr>
      <w:r>
        <w:rPr>
          <w:rStyle w:val="FootnoteReference"/>
        </w:rPr>
        <w:footnoteRef/>
      </w:r>
      <w:r>
        <w:t xml:space="preserve"> Translation note: The Greek uses a standing-place image here; this edition keeps that wording and notes the familiar divine council idea behind the scene.</w:t>
      </w:r>
    </w:p>
  </w:footnote>
  <w:footnote w:id="12508">
    <w:p>
      <w:pPr>
        <w:pStyle w:val="FootnoteText"/>
      </w:pPr>
      <w:r>
        <w:rPr>
          <w:rStyle w:val="FootnoteReference"/>
        </w:rPr>
        <w:footnoteRef/>
      </w:r>
      <w:r>
        <w:t xml:space="preserve"> Translation note: The Lord's judgment is pictured as a shaking and twisting turmoil coming upon the ungodly.</w:t>
      </w:r>
    </w:p>
  </w:footnote>
  <w:footnote w:id="12509">
    <w:p>
      <w:pPr>
        <w:pStyle w:val="FootnoteText"/>
      </w:pPr>
      <w:r>
        <w:rPr>
          <w:rStyle w:val="FootnoteReference"/>
        </w:rPr>
        <w:footnoteRef/>
      </w:r>
      <w:r>
        <w:t xml:space="preserve"> Translation note: The phrase keeps the LXX last-of-days wording for when the judgment will be understood.</w:t>
      </w:r>
    </w:p>
  </w:footnote>
  <w:footnote w:id="12510">
    <w:p>
      <w:pPr>
        <w:pStyle w:val="FootnoteText"/>
      </w:pPr>
      <w:r>
        <w:rPr>
          <w:rStyle w:val="FootnoteReference"/>
        </w:rPr>
        <w:footnoteRef/>
      </w:r>
      <w:r>
        <w:t xml:space="preserve"> Translation note: The prophets ran and prophesied without being sent or spoken to by the Lord.</w:t>
      </w:r>
    </w:p>
  </w:footnote>
  <w:footnote w:id="12511">
    <w:p>
      <w:pPr>
        <w:pStyle w:val="FootnoteText"/>
      </w:pPr>
      <w:r>
        <w:rPr>
          <w:rStyle w:val="FootnoteReference"/>
        </w:rPr>
        <w:footnoteRef/>
      </w:r>
      <w:r>
        <w:t xml:space="preserve"> Translation note: True standing in the Lord's place would have turned the people back from evil practices.</w:t>
      </w:r>
    </w:p>
  </w:footnote>
  <w:footnote w:id="12512">
    <w:p>
      <w:pPr>
        <w:pStyle w:val="FootnoteText"/>
      </w:pPr>
      <w:r>
        <w:rPr>
          <w:rStyle w:val="FootnoteReference"/>
        </w:rPr>
        <w:footnoteRef/>
      </w:r>
      <w:r>
        <w:t xml:space="preserve"> Translation note: The question rejects any idea that the Lord is only near and not also God from far away.</w:t>
      </w:r>
    </w:p>
  </w:footnote>
  <w:footnote w:id="12513">
    <w:p>
      <w:pPr>
        <w:pStyle w:val="FootnoteText"/>
      </w:pPr>
      <w:r>
        <w:rPr>
          <w:rStyle w:val="FootnoteReference"/>
        </w:rPr>
        <w:footnoteRef/>
      </w:r>
      <w:r>
        <w:t xml:space="preserve"> Translation note: The hidden-place question rests on the Lord filling heaven and earth.</w:t>
      </w:r>
    </w:p>
  </w:footnote>
  <w:footnote w:id="12514">
    <w:p>
      <w:pPr>
        <w:pStyle w:val="FootnoteText"/>
      </w:pPr>
      <w:r>
        <w:rPr>
          <w:rStyle w:val="FootnoteReference"/>
        </w:rPr>
        <w:footnoteRef/>
      </w:r>
      <w:r>
        <w:t xml:space="preserve"> Cross-references for "heard": Ps 139:2; Ps 139:4.</w:t>
      </w:r>
    </w:p>
  </w:footnote>
  <w:footnote w:id="12515">
    <w:p>
      <w:pPr>
        <w:pStyle w:val="FootnoteText"/>
      </w:pPr>
      <w:r>
        <w:rPr>
          <w:rStyle w:val="FootnoteReference"/>
        </w:rPr>
        <w:footnoteRef/>
      </w:r>
      <w:r>
        <w:t xml:space="preserve"> Translation note: The false prophets claim dream revelation while prophesying lies in the Lord's name.</w:t>
      </w:r>
    </w:p>
  </w:footnote>
  <w:footnote w:id="12516">
    <w:p>
      <w:pPr>
        <w:pStyle w:val="FootnoteText"/>
      </w:pPr>
      <w:r>
        <w:rPr>
          <w:rStyle w:val="FootnoteReference"/>
        </w:rPr>
        <w:footnoteRef/>
      </w:r>
      <w:r>
        <w:t xml:space="preserve"> Translation note: The dreams function as a means of making the Lord's law forgotten, like the fathers forgetting his name in Baal.</w:t>
      </w:r>
    </w:p>
  </w:footnote>
  <w:footnote w:id="12517">
    <w:p>
      <w:pPr>
        <w:pStyle w:val="FootnoteText"/>
      </w:pPr>
      <w:r>
        <w:rPr>
          <w:rStyle w:val="FootnoteReference"/>
        </w:rPr>
        <w:footnoteRef/>
      </w:r>
      <w:r>
        <w:t xml:space="preserve"> Translation note: The contrast distinguishes dream claims from the Lord's true word.</w:t>
      </w:r>
    </w:p>
  </w:footnote>
  <w:footnote w:id="12518">
    <w:p>
      <w:pPr>
        <w:pStyle w:val="FootnoteText"/>
      </w:pPr>
      <w:r>
        <w:rPr>
          <w:rStyle w:val="FootnoteReference"/>
        </w:rPr>
        <w:footnoteRef/>
      </w:r>
      <w:r>
        <w:t xml:space="preserve"> Translation note: The Lord's words are compared to flaming fire and a rock-breaking hammer.</w:t>
      </w:r>
    </w:p>
  </w:footnote>
  <w:footnote w:id="12519">
    <w:p>
      <w:pPr>
        <w:pStyle w:val="FootnoteText"/>
      </w:pPr>
      <w:r>
        <w:rPr>
          <w:rStyle w:val="FootnoteReference"/>
        </w:rPr>
        <w:footnoteRef/>
      </w:r>
      <w:r>
        <w:t xml:space="preserve"> Translation note: The Lord is against prophets who steal his words from one another rather than receiving his word.</w:t>
      </w:r>
    </w:p>
  </w:footnote>
  <w:footnote w:id="12520">
    <w:p>
      <w:pPr>
        <w:pStyle w:val="FootnoteText"/>
      </w:pPr>
      <w:r>
        <w:rPr>
          <w:rStyle w:val="FootnoteReference"/>
        </w:rPr>
        <w:footnoteRef/>
      </w:r>
      <w:r>
        <w:t xml:space="preserve"> Translation note: The phrase marks self-generated speech, paired with the image of dozing their own drowsiness.</w:t>
      </w:r>
    </w:p>
  </w:footnote>
  <w:footnote w:id="12521">
    <w:p>
      <w:pPr>
        <w:pStyle w:val="FootnoteText"/>
      </w:pPr>
      <w:r>
        <w:rPr>
          <w:rStyle w:val="FootnoteReference"/>
        </w:rPr>
        <w:footnoteRef/>
      </w:r>
      <w:r>
        <w:t xml:space="preserve"> Translation note: The cognate wording denies any real benefit from lying dreams and wandering speech.</w:t>
      </w:r>
    </w:p>
  </w:footnote>
  <w:footnote w:id="12522">
    <w:p>
      <w:pPr>
        <w:pStyle w:val="FootnoteText"/>
      </w:pPr>
      <w:r>
        <w:rPr>
          <w:rStyle w:val="FootnoteReference"/>
        </w:rPr>
        <w:footnoteRef/>
      </w:r>
      <w:r>
        <w:t xml:space="preserve"> Translation note: The passage turns λῆμμα into wordplay: the people ask for the burden and are told that they themselves are the burden.</w:t>
      </w:r>
    </w:p>
  </w:footnote>
  <w:footnote w:id="12523">
    <w:p>
      <w:pPr>
        <w:pStyle w:val="FootnoteText"/>
      </w:pPr>
      <w:r>
        <w:rPr>
          <w:rStyle w:val="FootnoteReference"/>
        </w:rPr>
        <w:footnoteRef/>
      </w:r>
      <w:r>
        <w:t xml:space="preserve"> Translation note: The forbidden formula is applied to prophet priest and people who misuse the phrase.</w:t>
      </w:r>
    </w:p>
  </w:footnote>
  <w:footnote w:id="12524">
    <w:p>
      <w:pPr>
        <w:pStyle w:val="FootnoteText"/>
      </w:pPr>
      <w:r>
        <w:rPr>
          <w:rStyle w:val="FootnoteReference"/>
        </w:rPr>
        <w:footnoteRef/>
      </w:r>
      <w:r>
        <w:t xml:space="preserve"> Cross-references for "punish": Jer 23:2.</w:t>
      </w:r>
    </w:p>
  </w:footnote>
  <w:footnote w:id="12525">
    <w:p>
      <w:pPr>
        <w:pStyle w:val="FootnoteText"/>
      </w:pPr>
      <w:r>
        <w:rPr>
          <w:rStyle w:val="FootnoteReference"/>
        </w:rPr>
        <w:footnoteRef/>
      </w:r>
      <w:r>
        <w:t xml:space="preserve"> Translation note: The approved question asks what the Lord answered or spoke rather than using the burden formula.</w:t>
      </w:r>
    </w:p>
  </w:footnote>
  <w:footnote w:id="12526">
    <w:p>
      <w:pPr>
        <w:pStyle w:val="FootnoteText"/>
      </w:pPr>
      <w:r>
        <w:rPr>
          <w:rStyle w:val="FootnoteReference"/>
        </w:rPr>
        <w:footnoteRef/>
      </w:r>
      <w:r>
        <w:t xml:space="preserve"> Cross-references for "of the": Deut 5:26; 1Sam 17:26.</w:t>
      </w:r>
    </w:p>
  </w:footnote>
  <w:footnote w:id="12527">
    <w:p>
      <w:pPr>
        <w:pStyle w:val="FootnoteText"/>
      </w:pPr>
      <w:r>
        <w:rPr>
          <w:rStyle w:val="FootnoteReference"/>
        </w:rPr>
        <w:footnoteRef/>
      </w:r>
      <w:r>
        <w:t xml:space="preserve"> Translation note: The oracle says each person's own word becomes the burden when the forbidden phrase is misused.</w:t>
      </w:r>
    </w:p>
  </w:footnote>
  <w:footnote w:id="12528">
    <w:p>
      <w:pPr>
        <w:pStyle w:val="FootnoteText"/>
      </w:pPr>
      <w:r>
        <w:rPr>
          <w:rStyle w:val="FootnoteReference"/>
        </w:rPr>
        <w:footnoteRef/>
      </w:r>
      <w:r>
        <w:t xml:space="preserve"> Translation note: The judgment includes both the speakers and the city given to them and their fathers.</w:t>
      </w:r>
    </w:p>
  </w:footnote>
  <w:footnote w:id="12529">
    <w:p>
      <w:pPr>
        <w:pStyle w:val="FootnoteText"/>
      </w:pPr>
      <w:r>
        <w:rPr>
          <w:rStyle w:val="FootnoteReference"/>
        </w:rPr>
        <w:footnoteRef/>
      </w:r>
      <w:r>
        <w:t xml:space="preserve"> Translation note: The chapter closes with lasting reproach and dishonor that will not be forgotten.</w:t>
      </w:r>
    </w:p>
  </w:footnote>
  <w:footnote w:id="12530">
    <w:p>
      <w:pPr>
        <w:pStyle w:val="FootnoteText"/>
      </w:pPr>
      <w:r>
        <w:rPr>
          <w:rStyle w:val="FootnoteReference"/>
        </w:rPr>
        <w:footnoteRef/>
      </w:r>
      <w:r>
        <w:t xml:space="preserve"> Translation note: The vision is set before the face of the temple after Jeconiah and leading groups are carried to Babylon.</w:t>
      </w:r>
    </w:p>
  </w:footnote>
  <w:footnote w:id="12531">
    <w:p>
      <w:pPr>
        <w:pStyle w:val="FootnoteText"/>
      </w:pPr>
      <w:r>
        <w:rPr>
          <w:rStyle w:val="FootnoteReference"/>
        </w:rPr>
        <w:footnoteRef/>
      </w:r>
      <w:r>
        <w:t xml:space="preserve"> Cross-references for "One basket": Jer 24:5-7; Hos 9:10.</w:t>
      </w:r>
    </w:p>
  </w:footnote>
  <w:footnote w:id="12532">
    <w:p>
      <w:pPr>
        <w:pStyle w:val="FootnoteText"/>
      </w:pPr>
      <w:r>
        <w:rPr>
          <w:rStyle w:val="FootnoteReference"/>
        </w:rPr>
        <w:footnoteRef/>
      </w:r>
      <w:r>
        <w:t xml:space="preserve"> Translation note: The good basket is compared with early first-ripe figs, while the bad basket is inedible because of badness.</w:t>
      </w:r>
    </w:p>
  </w:footnote>
  <w:footnote w:id="12533">
    <w:p>
      <w:pPr>
        <w:pStyle w:val="FootnoteText"/>
      </w:pPr>
      <w:r>
        <w:rPr>
          <w:rStyle w:val="FootnoteReference"/>
        </w:rPr>
        <w:footnoteRef/>
      </w:r>
      <w:r>
        <w:t xml:space="preserve"> Translation note: The good figs represent the exiles of Judah whom the Lord sent to the land of the Chaldeans for good.</w:t>
      </w:r>
    </w:p>
  </w:footnote>
  <w:footnote w:id="12534">
    <w:p>
      <w:pPr>
        <w:pStyle w:val="FootnoteText"/>
      </w:pPr>
      <w:r>
        <w:rPr>
          <w:rStyle w:val="FootnoteReference"/>
        </w:rPr>
        <w:footnoteRef/>
      </w:r>
      <w:r>
        <w:t xml:space="preserve"> Translation note: The restoration promise pairs rebuilding/not tearing down with planting/not pulling up.</w:t>
      </w:r>
    </w:p>
  </w:footnote>
  <w:footnote w:id="12535">
    <w:p>
      <w:pPr>
        <w:pStyle w:val="FootnoteText"/>
      </w:pPr>
      <w:r>
        <w:rPr>
          <w:rStyle w:val="FootnoteReference"/>
        </w:rPr>
        <w:footnoteRef/>
      </w:r>
      <w:r>
        <w:t xml:space="preserve"> Cross-references for "I will give": Deut 30:6; Jer 31:33-34.</w:t>
      </w:r>
    </w:p>
  </w:footnote>
  <w:footnote w:id="12536">
    <w:p>
      <w:pPr>
        <w:pStyle w:val="FootnoteText"/>
      </w:pPr>
      <w:r>
        <w:rPr>
          <w:rStyle w:val="FootnoteReference"/>
        </w:rPr>
        <w:footnoteRef/>
      </w:r>
      <w:r>
        <w:t xml:space="preserve"> Translation note: The good-fig promise includes a heart to know the Lord and whole-heart return.</w:t>
      </w:r>
    </w:p>
  </w:footnote>
  <w:footnote w:id="12537">
    <w:p>
      <w:pPr>
        <w:pStyle w:val="FootnoteText"/>
      </w:pPr>
      <w:r>
        <w:rPr>
          <w:rStyle w:val="FootnoteReference"/>
        </w:rPr>
        <w:footnoteRef/>
      </w:r>
      <w:r>
        <w:t xml:space="preserve"> Translation note: The bad-fig judgment includes dispersion, reproach, proverb, hatred, and curse in every place of exile.</w:t>
      </w:r>
    </w:p>
  </w:footnote>
  <w:footnote w:id="12538">
    <w:p>
      <w:pPr>
        <w:pStyle w:val="FootnoteText"/>
      </w:pPr>
      <w:r>
        <w:rPr>
          <w:rStyle w:val="FootnoteReference"/>
        </w:rPr>
        <w:footnoteRef/>
      </w:r>
      <w:r>
        <w:t xml:space="preserve"> Cross-references for "a curse": Ps 109:18-19; Isa 65:15.</w:t>
      </w:r>
    </w:p>
  </w:footnote>
  <w:footnote w:id="12539">
    <w:p>
      <w:pPr>
        <w:pStyle w:val="FootnoteText"/>
      </w:pPr>
      <w:r>
        <w:rPr>
          <w:rStyle w:val="FootnoteReference"/>
        </w:rPr>
        <w:footnoteRef/>
      </w:r>
      <w:r>
        <w:t xml:space="preserve"> Translation note: The closing triad marks the destruction of the bad-fig group until they are gone from the land.</w:t>
      </w:r>
    </w:p>
  </w:footnote>
  <w:footnote w:id="12540">
    <w:p>
      <w:pPr>
        <w:pStyle w:val="FootnoteText"/>
      </w:pPr>
      <w:r>
        <w:rPr>
          <w:rStyle w:val="FootnoteReference"/>
        </w:rPr>
        <w:footnoteRef/>
      </w:r>
      <w:r>
        <w:t xml:space="preserve"> Translation note: This prophetic heading introduces the word concerning all Judah in the fourth year of Jehoiakim.</w:t>
      </w:r>
    </w:p>
  </w:footnote>
  <w:footnote w:id="12541">
    <w:p>
      <w:pPr>
        <w:pStyle w:val="FootnoteText"/>
      </w:pPr>
      <w:r>
        <w:rPr>
          <w:rStyle w:val="FootnoteReference"/>
        </w:rPr>
        <w:footnoteRef/>
      </w:r>
      <w:r>
        <w:t xml:space="preserve"> Cross-references for "thirteenth": 1Kgs 22:3; 2Chr 34:3.</w:t>
      </w:r>
    </w:p>
  </w:footnote>
  <w:footnote w:id="12542">
    <w:p>
      <w:pPr>
        <w:pStyle w:val="FootnoteText"/>
      </w:pPr>
      <w:r>
        <w:rPr>
          <w:rStyle w:val="FootnoteReference"/>
        </w:rPr>
        <w:footnoteRef/>
      </w:r>
      <w:r>
        <w:t xml:space="preserve"> Cross-references for "rising": 2Chr 36:15-16; Jer 7:25.</w:t>
      </w:r>
    </w:p>
  </w:footnote>
  <w:footnote w:id="12543">
    <w:p>
      <w:pPr>
        <w:pStyle w:val="FootnoteText"/>
      </w:pPr>
      <w:r>
        <w:rPr>
          <w:rStyle w:val="FootnoteReference"/>
        </w:rPr>
        <w:footnoteRef/>
      </w:r>
      <w:r>
        <w:t xml:space="preserve"> Cross-references for "turn": 2Kgs 17:13-14; Isa 55:6-7.</w:t>
      </w:r>
    </w:p>
  </w:footnote>
  <w:footnote w:id="12544">
    <w:p>
      <w:pPr>
        <w:pStyle w:val="FootnoteText"/>
      </w:pPr>
      <w:r>
        <w:rPr>
          <w:rStyle w:val="FootnoteReference"/>
        </w:rPr>
        <w:footnoteRef/>
      </w:r>
      <w:r>
        <w:t xml:space="preserve"> Translation note: The Greek phrase uses gods with foreign/alien, and the translation keeps that wording without treating it as a divine-name note.</w:t>
      </w:r>
    </w:p>
  </w:footnote>
  <w:footnote w:id="12545">
    <w:p>
      <w:pPr>
        <w:pStyle w:val="FootnoteText"/>
      </w:pPr>
      <w:r>
        <w:rPr>
          <w:rStyle w:val="FootnoteReference"/>
        </w:rPr>
        <w:footnoteRef/>
      </w:r>
      <w:r>
        <w:t xml:space="preserve"> Translation note: The Greek has the singular family/clan from the north; the translation follows that LXX wording rather than importing names absent from this Greek line.</w:t>
      </w:r>
    </w:p>
  </w:footnote>
  <w:footnote w:id="12546">
    <w:p>
      <w:pPr>
        <w:pStyle w:val="FootnoteText"/>
      </w:pPr>
      <w:r>
        <w:rPr>
          <w:rStyle w:val="FootnoteReference"/>
        </w:rPr>
        <w:footnoteRef/>
      </w:r>
      <w:r>
        <w:t xml:space="preserve"> Translation note: The seventy-year service line is kept with among the nations, matching the Greek wording here.</w:t>
      </w:r>
    </w:p>
  </w:footnote>
  <w:footnote w:id="12547">
    <w:p>
      <w:pPr>
        <w:pStyle w:val="FootnoteText"/>
      </w:pPr>
      <w:r>
        <w:rPr>
          <w:rStyle w:val="FootnoteReference"/>
        </w:rPr>
        <w:footnoteRef/>
      </w:r>
      <w:r>
        <w:t xml:space="preserve"> Cross-references for "seventy": 2Chr 36:21-22; Isa 23:15-17.</w:t>
      </w:r>
    </w:p>
  </w:footnote>
  <w:footnote w:id="12548">
    <w:p>
      <w:pPr>
        <w:pStyle w:val="FootnoteText"/>
      </w:pPr>
      <w:r>
        <w:rPr>
          <w:rStyle w:val="FootnoteReference"/>
        </w:rPr>
        <w:footnoteRef/>
      </w:r>
      <w:r>
        <w:t xml:space="preserve"> Cross-references for "punish": Jer 23:2.</w:t>
      </w:r>
    </w:p>
  </w:footnote>
  <w:footnote w:id="12549">
    <w:p>
      <w:pPr>
        <w:pStyle w:val="FootnoteText"/>
      </w:pPr>
      <w:r>
        <w:rPr>
          <w:rStyle w:val="FootnoteReference"/>
        </w:rPr>
        <w:footnoteRef/>
      </w:r>
      <w:r>
        <w:t xml:space="preserve"> Translation note: The LXX places the Elam oracle here after the seventy-year judgment section, so this chapter continues with Elam material.</w:t>
      </w:r>
    </w:p>
  </w:footnote>
  <w:footnote w:id="12550">
    <w:p>
      <w:pPr>
        <w:pStyle w:val="FootnoteText"/>
      </w:pPr>
      <w:r>
        <w:rPr>
          <w:rStyle w:val="FootnoteReference"/>
        </w:rPr>
        <w:footnoteRef/>
      </w:r>
      <w:r>
        <w:t xml:space="preserve"> Translation note: The bow represents the beginning or chief part of Elam's power in this oracle.</w:t>
      </w:r>
    </w:p>
  </w:footnote>
  <w:footnote w:id="12551">
    <w:p>
      <w:pPr>
        <w:pStyle w:val="FootnoteText"/>
      </w:pPr>
      <w:r>
        <w:rPr>
          <w:rStyle w:val="FootnoteReference"/>
        </w:rPr>
        <w:footnoteRef/>
      </w:r>
      <w:r>
        <w:t xml:space="preserve"> Translation note: The judgment scatters Elam by four winds so thoroughly that no nation is without Elam's outcasts.</w:t>
      </w:r>
    </w:p>
  </w:footnote>
  <w:footnote w:id="12552">
    <w:p>
      <w:pPr>
        <w:pStyle w:val="FootnoteText"/>
      </w:pPr>
      <w:r>
        <w:rPr>
          <w:rStyle w:val="FootnoteReference"/>
        </w:rPr>
        <w:footnoteRef/>
      </w:r>
      <w:r>
        <w:t xml:space="preserve"> Translation note: The closing restoration formula keeps the captivity-turning idiom rather than reducing it to a generic return.</w:t>
      </w:r>
    </w:p>
  </w:footnote>
  <w:footnote w:id="12553">
    <w:p>
      <w:pPr>
        <w:pStyle w:val="FootnoteText"/>
      </w:pPr>
      <w:r>
        <w:rPr>
          <w:rStyle w:val="FootnoteReference"/>
        </w:rPr>
        <w:footnoteRef/>
      </w:r>
      <w:r>
        <w:t xml:space="preserve"> Translation note: Greek dynamis is rendered army in this battle heading against Pharaoh Neco king of Egypt.</w:t>
      </w:r>
    </w:p>
  </w:footnote>
  <w:footnote w:id="12554">
    <w:p>
      <w:pPr>
        <w:pStyle w:val="FootnoteText"/>
      </w:pPr>
      <w:r>
        <w:rPr>
          <w:rStyle w:val="FootnoteReference"/>
        </w:rPr>
        <w:footnoteRef/>
      </w:r>
      <w:r>
        <w:t xml:space="preserve"> Place name: Carchemish. Place-name meaning: Carchemish — fortress/market of Chemosh; lamb withdrawn. Source form: Carchemish. Greek form: χαρχαμις.</w:t>
      </w:r>
    </w:p>
  </w:footnote>
  <w:footnote w:id="12555">
    <w:p>
      <w:pPr>
        <w:pStyle w:val="FootnoteText"/>
      </w:pPr>
      <w:r>
        <w:rPr>
          <w:rStyle w:val="FootnoteReference"/>
        </w:rPr>
        <w:footnoteRef/>
      </w:r>
      <w:r>
        <w:t xml:space="preserve"> Personal name: Neco. Personal-name meaning: Neco — lame; beaten. Source form: Neco.</w:t>
      </w:r>
    </w:p>
  </w:footnote>
  <w:footnote w:id="12556">
    <w:p>
      <w:pPr>
        <w:pStyle w:val="FootnoteText"/>
      </w:pPr>
      <w:r>
        <w:rPr>
          <w:rStyle w:val="FootnoteReference"/>
        </w:rPr>
        <w:footnoteRef/>
      </w:r>
      <w:r>
        <w:t xml:space="preserve"> Transliterated proper noun: Lydians. Standard English equivalent: Lydia. Source form: Lydians. Greek form: λυδοι. Name meaning: From Lydia.</w:t>
      </w:r>
    </w:p>
  </w:footnote>
  <w:footnote w:id="12557">
    <w:p>
      <w:pPr>
        <w:pStyle w:val="FootnoteText"/>
      </w:pPr>
      <w:r>
        <w:rPr>
          <w:rStyle w:val="FootnoteReference"/>
        </w:rPr>
        <w:footnoteRef/>
      </w:r>
      <w:r>
        <w:t xml:space="preserve"> Translation note: Greek κυριω σαβαωθ represents the Hebrew hosts title; this edition renders it in English as the Lord of hosts.</w:t>
      </w:r>
    </w:p>
  </w:footnote>
  <w:footnote w:id="12558">
    <w:p>
      <w:pPr>
        <w:pStyle w:val="FootnoteText"/>
      </w:pPr>
      <w:r>
        <w:rPr>
          <w:rStyle w:val="FootnoteReference"/>
        </w:rPr>
        <w:footnoteRef/>
      </w:r>
      <w:r>
        <w:t xml:space="preserve"> Translation note: Greek ρητινη is kept as resin in the healing command to the virgin daughter of Egypt.</w:t>
      </w:r>
    </w:p>
  </w:footnote>
  <w:footnote w:id="12559">
    <w:p>
      <w:pPr>
        <w:pStyle w:val="FootnoteText"/>
      </w:pPr>
      <w:r>
        <w:rPr>
          <w:rStyle w:val="FootnoteReference"/>
        </w:rPr>
        <w:footnoteRef/>
      </w:r>
      <w:r>
        <w:t xml:space="preserve"> Translation note: Greek σμιλαξ is unusual here; this edition keeps smilax in the text rather than guessing at a smoother equivalent.</w:t>
      </w:r>
    </w:p>
  </w:footnote>
  <w:footnote w:id="12560">
    <w:p>
      <w:pPr>
        <w:pStyle w:val="FootnoteText"/>
      </w:pPr>
      <w:r>
        <w:rPr>
          <w:rStyle w:val="FootnoteReference"/>
        </w:rPr>
        <w:footnoteRef/>
      </w:r>
      <w:r>
        <w:t xml:space="preserve"> Translation note: The Greek phrase says Greek sword; this LXX wording is kept and lightly smoothed with an English article.</w:t>
      </w:r>
    </w:p>
  </w:footnote>
  <w:footnote w:id="12561">
    <w:p>
      <w:pPr>
        <w:pStyle w:val="FootnoteText"/>
      </w:pPr>
      <w:r>
        <w:rPr>
          <w:rStyle w:val="FootnoteReference"/>
        </w:rPr>
        <w:footnoteRef/>
      </w:r>
      <w:r>
        <w:t xml:space="preserve"> People-name: Greek. People-name meaning: Greek — Greek; Hellenic person. Source form: Greek.</w:t>
      </w:r>
    </w:p>
  </w:footnote>
  <w:footnote w:id="12562">
    <w:p>
      <w:pPr>
        <w:pStyle w:val="FootnoteText"/>
      </w:pPr>
      <w:r>
        <w:rPr>
          <w:rStyle w:val="FootnoteReference"/>
        </w:rPr>
        <w:footnoteRef/>
      </w:r>
      <w:r>
        <w:t xml:space="preserve"> Translation note: The LXX preserves this as a transliterated phrase attached to Pharaoh Neco's name; the draft keeps it and notes the form rather than forcing an uncertain gloss.</w:t>
      </w:r>
    </w:p>
  </w:footnote>
  <w:footnote w:id="12563">
    <w:p>
      <w:pPr>
        <w:pStyle w:val="FootnoteText"/>
      </w:pPr>
      <w:r>
        <w:rPr>
          <w:rStyle w:val="FootnoteReference"/>
        </w:rPr>
        <w:footnoteRef/>
      </w:r>
      <w:r>
        <w:t xml:space="preserve"> Translation note: Egypt is pictured as a beautified heifer before the cutting off from the north comes upon her.</w:t>
      </w:r>
    </w:p>
  </w:footnote>
  <w:footnote w:id="12564">
    <w:p>
      <w:pPr>
        <w:pStyle w:val="FootnoteText"/>
      </w:pPr>
      <w:r>
        <w:rPr>
          <w:rStyle w:val="FootnoteReference"/>
        </w:rPr>
        <w:footnoteRef/>
      </w:r>
      <w:r>
        <w:t xml:space="preserve"> Translation note: The voice image is kept as a serpent hissing before the woodcutter/axe image.</w:t>
      </w:r>
    </w:p>
  </w:footnote>
  <w:footnote w:id="12565">
    <w:p>
      <w:pPr>
        <w:pStyle w:val="FootnoteText"/>
      </w:pPr>
      <w:r>
        <w:rPr>
          <w:rStyle w:val="FootnoteReference"/>
        </w:rPr>
        <w:footnoteRef/>
      </w:r>
      <w:r>
        <w:t xml:space="preserve"> Translation note: The emphatic Greek negation is represented with certainly not while keeping the unusual make fail wording.</w:t>
      </w:r>
    </w:p>
  </w:footnote>
  <w:footnote w:id="12566">
    <w:p>
      <w:pPr>
        <w:pStyle w:val="FootnoteText"/>
      </w:pPr>
      <w:r>
        <w:rPr>
          <w:rStyle w:val="FootnoteReference"/>
        </w:rPr>
        <w:footnoteRef/>
      </w:r>
      <w:r>
        <w:t xml:space="preserve"> Cross-references for "make": Jer 27:12; Jer 28:10-14.</w:t>
      </w:r>
    </w:p>
  </w:footnote>
  <w:footnote w:id="12567">
    <w:p>
      <w:pPr>
        <w:pStyle w:val="FootnoteText"/>
      </w:pPr>
      <w:r>
        <w:rPr>
          <w:rStyle w:val="FootnoteReference"/>
        </w:rPr>
        <w:footnoteRef/>
      </w:r>
      <w:r>
        <w:t xml:space="preserve"> Translation note: The return-to-Zion line says the everlasting covenant will not be forgotten.</w:t>
      </w:r>
    </w:p>
  </w:footnote>
  <w:footnote w:id="12568">
    <w:p>
      <w:pPr>
        <w:pStyle w:val="FootnoteText"/>
      </w:pPr>
      <w:r>
        <w:rPr>
          <w:rStyle w:val="FootnoteReference"/>
        </w:rPr>
        <w:footnoteRef/>
      </w:r>
      <w:r>
        <w:t xml:space="preserve"> Translation note: The Greek phrase is kept as pasture of righteousness, an unusual apposition in the accusation against Israel's enemies.</w:t>
      </w:r>
    </w:p>
  </w:footnote>
  <w:footnote w:id="12569">
    <w:p>
      <w:pPr>
        <w:pStyle w:val="FootnoteText"/>
      </w:pPr>
      <w:r>
        <w:rPr>
          <w:rStyle w:val="FootnoteReference"/>
        </w:rPr>
        <w:footnoteRef/>
      </w:r>
      <w:r>
        <w:t xml:space="preserve"> Translation note: The LXX image compares Babylon's capture to an arrow of a wise warrior that does not return empty.</w:t>
      </w:r>
    </w:p>
  </w:footnote>
  <w:footnote w:id="12570">
    <w:p>
      <w:pPr>
        <w:pStyle w:val="FootnoteText"/>
      </w:pPr>
      <w:r>
        <w:rPr>
          <w:rStyle w:val="FootnoteReference"/>
        </w:rPr>
        <w:footnoteRef/>
      </w:r>
      <w:r>
        <w:t xml:space="preserve"> Place name: Chaldea. Place-name meaning: Chaldea — as demons, or as robbers. Source form: Chaldea. Greek form: χαλδαια.</w:t>
      </w:r>
    </w:p>
  </w:footnote>
  <w:footnote w:id="12571">
    <w:p>
      <w:pPr>
        <w:pStyle w:val="FootnoteText"/>
      </w:pPr>
      <w:r>
        <w:rPr>
          <w:rStyle w:val="FootnoteReference"/>
        </w:rPr>
        <w:footnoteRef/>
      </w:r>
      <w:r>
        <w:t xml:space="preserve"> Translation note: The Greek phrase says Greek sword; this LXX wording is kept and lightly smoothed with an English article.</w:t>
      </w:r>
    </w:p>
  </w:footnote>
  <w:footnote w:id="12572">
    <w:p>
      <w:pPr>
        <w:pStyle w:val="FootnoteText"/>
      </w:pPr>
      <w:r>
        <w:rPr>
          <w:rStyle w:val="FootnoteReference"/>
        </w:rPr>
        <w:footnoteRef/>
      </w:r>
      <w:r>
        <w:t xml:space="preserve"> Translation note: Israel is pictured as a wandering sheep driven out and devoured by Assyria and Babylon.</w:t>
      </w:r>
    </w:p>
  </w:footnote>
  <w:footnote w:id="12573">
    <w:p>
      <w:pPr>
        <w:pStyle w:val="FootnoteText"/>
      </w:pPr>
      <w:r>
        <w:rPr>
          <w:rStyle w:val="FootnoteReference"/>
        </w:rPr>
        <w:footnoteRef/>
      </w:r>
      <w:r>
        <w:t xml:space="preserve"> Translation note: The emphatic Greek negation is represented with certainly not in the promise that Judah's sins will not be found.</w:t>
      </w:r>
    </w:p>
  </w:footnote>
  <w:footnote w:id="12574">
    <w:p>
      <w:pPr>
        <w:pStyle w:val="FootnoteText"/>
      </w:pPr>
      <w:r>
        <w:rPr>
          <w:rStyle w:val="FootnoteReference"/>
        </w:rPr>
        <w:footnoteRef/>
      </w:r>
      <w:r>
        <w:t xml:space="preserve"> Translation note: Babylon is pictured as the hammer of all the earth, now broken and shattered.</w:t>
      </w:r>
    </w:p>
  </w:footnote>
  <w:footnote w:id="12575">
    <w:p>
      <w:pPr>
        <w:pStyle w:val="FootnoteText"/>
      </w:pPr>
      <w:r>
        <w:rPr>
          <w:rStyle w:val="FootnoteReference"/>
        </w:rPr>
        <w:footnoteRef/>
      </w:r>
      <w:r>
        <w:t xml:space="preserve"> Translation note: The Lord opens his treasury and brings out vessels of wrath for his work in the land of the Chaldeans.</w:t>
      </w:r>
    </w:p>
  </w:footnote>
  <w:footnote w:id="12576">
    <w:p>
      <w:pPr>
        <w:pStyle w:val="FootnoteText"/>
      </w:pPr>
      <w:r>
        <w:rPr>
          <w:rStyle w:val="FootnoteReference"/>
        </w:rPr>
        <w:footnoteRef/>
      </w:r>
      <w:r>
        <w:t xml:space="preserve"> Translation note: Greek θεον αγιον του ισραηλ is rendered the Holy God of Israel, keeping the divine title in English.</w:t>
      </w:r>
    </w:p>
  </w:footnote>
  <w:footnote w:id="12577">
    <w:p>
      <w:pPr>
        <w:pStyle w:val="FootnoteText"/>
      </w:pPr>
      <w:r>
        <w:rPr>
          <w:rStyle w:val="FootnoteReference"/>
        </w:rPr>
        <w:footnoteRef/>
      </w:r>
      <w:r>
        <w:t xml:space="preserve"> Translation note: Greek κυριος παντοκρατωρ is rendered the Lord Almighty; this title identifies Israel and Judah's strong redeemer.</w:t>
      </w:r>
    </w:p>
  </w:footnote>
  <w:footnote w:id="12578">
    <w:p>
      <w:pPr>
        <w:pStyle w:val="FootnoteText"/>
      </w:pPr>
      <w:r>
        <w:rPr>
          <w:rStyle w:val="FootnoteReference"/>
        </w:rPr>
        <w:footnoteRef/>
      </w:r>
      <w:r>
        <w:t xml:space="preserve"> Translation note: The phrase explains Babylon's shame as the land of carved images and island-boasting.</w:t>
      </w:r>
    </w:p>
  </w:footnote>
  <w:footnote w:id="12579">
    <w:p>
      <w:pPr>
        <w:pStyle w:val="FootnoteText"/>
      </w:pPr>
      <w:r>
        <w:rPr>
          <w:rStyle w:val="FootnoteReference"/>
        </w:rPr>
        <w:footnoteRef/>
      </w:r>
      <w:r>
        <w:t xml:space="preserve"> Translation note: The LXX creature phrase is retained as daughters of sirens rather than harmonized to a different animal list.</w:t>
      </w:r>
    </w:p>
  </w:footnote>
  <w:footnote w:id="12580">
    <w:p>
      <w:pPr>
        <w:pStyle w:val="FootnoteText"/>
      </w:pPr>
      <w:r>
        <w:rPr>
          <w:rStyle w:val="FootnoteReference"/>
        </w:rPr>
        <w:footnoteRef/>
      </w:r>
      <w:r>
        <w:t xml:space="preserve"> Translation note: The line closes with the Lord's challenge about the shepherd who can stand before his face.</w:t>
      </w:r>
    </w:p>
  </w:footnote>
  <w:footnote w:id="12581">
    <w:p>
      <w:pPr>
        <w:pStyle w:val="FootnoteText"/>
      </w:pPr>
      <w:r>
        <w:rPr>
          <w:rStyle w:val="FootnoteReference"/>
        </w:rPr>
        <w:footnoteRef/>
      </w:r>
      <w:r>
        <w:t xml:space="preserve"> Translation note: The closing line says the earth shakes at the sound of Babylon's capture and a cry is heard among the nations.</w:t>
      </w:r>
    </w:p>
  </w:footnote>
  <w:footnote w:id="12582">
    <w:p>
      <w:pPr>
        <w:pStyle w:val="FootnoteText"/>
      </w:pPr>
      <w:r>
        <w:rPr>
          <w:rStyle w:val="FootnoteReference"/>
        </w:rPr>
        <w:footnoteRef/>
      </w:r>
      <w:r>
        <w:t xml:space="preserve"> Translation note: Greek κυριου παντοκρατορος is rendered the Lord Almighty in this line about Israel and Judah not being widowed from God.</w:t>
      </w:r>
    </w:p>
  </w:footnote>
  <w:footnote w:id="12583">
    <w:p>
      <w:pPr>
        <w:pStyle w:val="FootnoteText"/>
      </w:pPr>
      <w:r>
        <w:rPr>
          <w:rStyle w:val="FootnoteReference"/>
        </w:rPr>
        <w:footnoteRef/>
      </w:r>
      <w:r>
        <w:t xml:space="preserve"> Translation note: The divine title is kept in standard English form as the Holy One of Israel.</w:t>
      </w:r>
    </w:p>
  </w:footnote>
  <w:footnote w:id="12584">
    <w:p>
      <w:pPr>
        <w:pStyle w:val="FootnoteText"/>
      </w:pPr>
      <w:r>
        <w:rPr>
          <w:rStyle w:val="FootnoteReference"/>
        </w:rPr>
        <w:footnoteRef/>
      </w:r>
      <w:r>
        <w:t xml:space="preserve"> Translation note: Babylon is pictured as a golden cup in the hand of the Lord making all the earth drunk.</w:t>
      </w:r>
    </w:p>
  </w:footnote>
  <w:footnote w:id="12585">
    <w:p>
      <w:pPr>
        <w:pStyle w:val="FootnoteText"/>
      </w:pPr>
      <w:r>
        <w:rPr>
          <w:rStyle w:val="FootnoteReference"/>
        </w:rPr>
        <w:footnoteRef/>
      </w:r>
      <w:r>
        <w:t xml:space="preserve"> Translation note: Greek ρητινη is kept as resin in the lament over Babylon's ruin.</w:t>
      </w:r>
    </w:p>
  </w:footnote>
  <w:footnote w:id="12586">
    <w:p>
      <w:pPr>
        <w:pStyle w:val="FootnoteText"/>
      </w:pPr>
      <w:r>
        <w:rPr>
          <w:rStyle w:val="FootnoteReference"/>
        </w:rPr>
        <w:footnoteRef/>
      </w:r>
      <w:r>
        <w:t xml:space="preserve"> Translation note: The address to Babylon as dwelling upon many waters is paired with abundance of treasures and the arrival of her end.</w:t>
      </w:r>
    </w:p>
  </w:footnote>
  <w:footnote w:id="12587">
    <w:p>
      <w:pPr>
        <w:pStyle w:val="FootnoteText"/>
      </w:pPr>
      <w:r>
        <w:rPr>
          <w:rStyle w:val="FootnoteReference"/>
        </w:rPr>
        <w:footnoteRef/>
      </w:r>
      <w:r>
        <w:t xml:space="preserve"> Translation note: The creation hymn grounds judgment in the Lord's strength, wisdom, and understanding.</w:t>
      </w:r>
    </w:p>
  </w:footnote>
  <w:footnote w:id="12588">
    <w:p>
      <w:pPr>
        <w:pStyle w:val="FootnoteText"/>
      </w:pPr>
      <w:r>
        <w:rPr>
          <w:rStyle w:val="FootnoteReference"/>
        </w:rPr>
        <w:footnoteRef/>
      </w:r>
      <w:r>
        <w:t xml:space="preserve"> Translation note: The creation-weather line keeps the sound of waters, clouds, lightnings, rain, and treasuries imagery.</w:t>
      </w:r>
    </w:p>
  </w:footnote>
  <w:footnote w:id="12589">
    <w:p>
      <w:pPr>
        <w:pStyle w:val="FootnoteText"/>
      </w:pPr>
      <w:r>
        <w:rPr>
          <w:rStyle w:val="FootnoteReference"/>
        </w:rPr>
        <w:footnoteRef/>
      </w:r>
      <w:r>
        <w:t xml:space="preserve"> Translation note: The idol critique says the cast images are lies and have no breath in them.</w:t>
      </w:r>
    </w:p>
  </w:footnote>
  <w:footnote w:id="12590">
    <w:p>
      <w:pPr>
        <w:pStyle w:val="FootnoteText"/>
      </w:pPr>
      <w:r>
        <w:rPr>
          <w:rStyle w:val="FootnoteReference"/>
        </w:rPr>
        <w:footnoteRef/>
      </w:r>
      <w:r>
        <w:t xml:space="preserve"> Translation note: The contrast with idols ends by naming the Lord as the one forming all things and as Jacob's inheritance.</w:t>
      </w:r>
    </w:p>
  </w:footnote>
  <w:footnote w:id="12591">
    <w:p>
      <w:pPr>
        <w:pStyle w:val="FootnoteText"/>
      </w:pPr>
      <w:r>
        <w:rPr>
          <w:rStyle w:val="FootnoteReference"/>
        </w:rPr>
        <w:footnoteRef/>
      </w:r>
      <w:r>
        <w:t xml:space="preserve"> Translation note: The repeated scattering refrain begins by calling Babylon the Lord's war-vessels.</w:t>
      </w:r>
    </w:p>
  </w:footnote>
  <w:footnote w:id="12592">
    <w:p>
      <w:pPr>
        <w:pStyle w:val="FootnoteText"/>
      </w:pPr>
      <w:r>
        <w:rPr>
          <w:rStyle w:val="FootnoteReference"/>
        </w:rPr>
        <w:footnoteRef/>
      </w:r>
      <w:r>
        <w:t xml:space="preserve"> Translation note: Babylon is addressed as a corrupt mountain destroying all the earth and then rolled down as a mountain set on fire.</w:t>
      </w:r>
    </w:p>
  </w:footnote>
  <w:footnote w:id="12593">
    <w:p>
      <w:pPr>
        <w:pStyle w:val="FootnoteText"/>
      </w:pPr>
      <w:r>
        <w:rPr>
          <w:rStyle w:val="FootnoteReference"/>
        </w:rPr>
        <w:footnoteRef/>
      </w:r>
      <w:r>
        <w:t xml:space="preserve"> Translation note: The judgment says no usable corner or foundation stone will be taken from Babylon.</w:t>
      </w:r>
    </w:p>
  </w:footnote>
  <w:footnote w:id="12594">
    <w:p>
      <w:pPr>
        <w:pStyle w:val="FootnoteText"/>
      </w:pPr>
      <w:r>
        <w:rPr>
          <w:rStyle w:val="FootnoteReference"/>
        </w:rPr>
        <w:footnoteRef/>
      </w:r>
      <w:r>
        <w:t xml:space="preserve"> Translation note: The plan of the Lord rises against Babylon to make the land of Babylon a disappearance and uninhabited.</w:t>
      </w:r>
    </w:p>
  </w:footnote>
  <w:footnote w:id="12595">
    <w:p>
      <w:pPr>
        <w:pStyle w:val="FootnoteText"/>
      </w:pPr>
      <w:r>
        <w:rPr>
          <w:rStyle w:val="FootnoteReference"/>
        </w:rPr>
        <w:footnoteRef/>
      </w:r>
      <w:r>
        <w:t xml:space="preserve"> Translation note: The house of the king of Babylon is compared to a ripe threshing-floor just before harvest arrives.</w:t>
      </w:r>
    </w:p>
  </w:footnote>
  <w:footnote w:id="12596">
    <w:p>
      <w:pPr>
        <w:pStyle w:val="FootnoteText"/>
      </w:pPr>
      <w:r>
        <w:rPr>
          <w:rStyle w:val="FootnoteReference"/>
        </w:rPr>
        <w:footnoteRef/>
      </w:r>
      <w:r>
        <w:t xml:space="preserve"> Translation note: The complaint against Nebuchadnezzar keeps the dragon swallowing image.</w:t>
      </w:r>
    </w:p>
  </w:footnote>
  <w:footnote w:id="12597">
    <w:p>
      <w:pPr>
        <w:pStyle w:val="FootnoteText"/>
      </w:pPr>
      <w:r>
        <w:rPr>
          <w:rStyle w:val="FootnoteReference"/>
        </w:rPr>
        <w:footnoteRef/>
      </w:r>
      <w:r>
        <w:t xml:space="preserve"> Translation note: The Lord answers Zion/Jerusalem by taking up the legal case and avenging the vengeance.</w:t>
      </w:r>
    </w:p>
  </w:footnote>
  <w:footnote w:id="12598">
    <w:p>
      <w:pPr>
        <w:pStyle w:val="FootnoteText"/>
      </w:pPr>
      <w:r>
        <w:rPr>
          <w:rStyle w:val="FootnoteReference"/>
        </w:rPr>
        <w:footnoteRef/>
      </w:r>
      <w:r>
        <w:t xml:space="preserve"> Translation note: Babylon's rulers and wise men are made drunk so that they sleep an eternal sleep and do not wake.</w:t>
      </w:r>
    </w:p>
  </w:footnote>
  <w:footnote w:id="12599">
    <w:p>
      <w:pPr>
        <w:pStyle w:val="FootnoteText"/>
      </w:pPr>
      <w:r>
        <w:rPr>
          <w:rStyle w:val="FootnoteReference"/>
        </w:rPr>
        <w:footnoteRef/>
      </w:r>
      <w:r>
        <w:t xml:space="preserve"> Translation note: The sea/waves image depicts Babylon being covered by the sea rising over her.</w:t>
      </w:r>
    </w:p>
  </w:footnote>
  <w:footnote w:id="12600">
    <w:p>
      <w:pPr>
        <w:pStyle w:val="FootnoteText"/>
      </w:pPr>
      <w:r>
        <w:rPr>
          <w:rStyle w:val="FootnoteReference"/>
        </w:rPr>
        <w:footnoteRef/>
      </w:r>
      <w:r>
        <w:t xml:space="preserve"> Translation note: The city-desolation line says no one will dwell there and no son of man will lodge there.</w:t>
      </w:r>
    </w:p>
  </w:footnote>
  <w:footnote w:id="12601">
    <w:p>
      <w:pPr>
        <w:pStyle w:val="FootnoteText"/>
      </w:pPr>
      <w:r>
        <w:rPr>
          <w:rStyle w:val="FootnoteReference"/>
        </w:rPr>
        <w:footnoteRef/>
      </w:r>
      <w:r>
        <w:t xml:space="preserve"> Translation note: The source sequence resumes at 49 after 44; this draft preserves the received numbering rather than filling skipped verse numbers.</w:t>
      </w:r>
    </w:p>
  </w:footnote>
  <w:footnote w:id="12602">
    <w:p>
      <w:pPr>
        <w:pStyle w:val="FootnoteText"/>
      </w:pPr>
      <w:r>
        <w:rPr>
          <w:rStyle w:val="FootnoteReference"/>
        </w:rPr>
        <w:footnoteRef/>
      </w:r>
      <w:r>
        <w:t xml:space="preserve"> Translation note: The far-off saved ones are told to remember the Lord and let Jerusalem rise upon their heart.</w:t>
      </w:r>
    </w:p>
  </w:footnote>
  <w:footnote w:id="12603">
    <w:p>
      <w:pPr>
        <w:pStyle w:val="FootnoteText"/>
      </w:pPr>
      <w:r>
        <w:rPr>
          <w:rStyle w:val="FootnoteReference"/>
        </w:rPr>
        <w:footnoteRef/>
      </w:r>
      <w:r>
        <w:t xml:space="preserve"> Translation note: The Lord promises to punish Babylon's carved images, with slain ones falling throughout the land.</w:t>
      </w:r>
    </w:p>
  </w:footnote>
  <w:footnote w:id="12604">
    <w:p>
      <w:pPr>
        <w:pStyle w:val="FootnoteText"/>
      </w:pPr>
      <w:r>
        <w:rPr>
          <w:rStyle w:val="FootnoteReference"/>
        </w:rPr>
        <w:footnoteRef/>
      </w:r>
      <w:r>
        <w:t xml:space="preserve"> Translation note: Greek names the King and Lord Almighty in the drunkenness judgment over Babylon's rulers and generals.</w:t>
      </w:r>
    </w:p>
  </w:footnote>
  <w:footnote w:id="12605">
    <w:p>
      <w:pPr>
        <w:pStyle w:val="FootnoteText"/>
      </w:pPr>
      <w:r>
        <w:rPr>
          <w:rStyle w:val="FootnoteReference"/>
        </w:rPr>
        <w:footnoteRef/>
      </w:r>
      <w:r>
        <w:t xml:space="preserve"> Personal name: Neriah. Personal-name meaning: Neriah — light; lamp of the Lord. Source form: Neriah.</w:t>
      </w:r>
    </w:p>
  </w:footnote>
  <w:footnote w:id="12606">
    <w:p>
      <w:pPr>
        <w:pStyle w:val="FootnoteText"/>
      </w:pPr>
      <w:r>
        <w:rPr>
          <w:rStyle w:val="FootnoteReference"/>
        </w:rPr>
        <w:footnoteRef/>
      </w:r>
      <w:r>
        <w:t xml:space="preserve"> Translation note: The symbolic act closes with Babylon sinking and certainly not rising from the evils brought upon her.</w:t>
      </w:r>
    </w:p>
  </w:footnote>
  <w:footnote w:id="12607">
    <w:p>
      <w:pPr>
        <w:pStyle w:val="FootnoteText"/>
      </w:pPr>
      <w:r>
        <w:rPr>
          <w:rStyle w:val="FootnoteReference"/>
        </w:rPr>
        <w:footnoteRef/>
      </w:r>
      <w:r>
        <w:t xml:space="preserve"> Translation note: Greek allophyloi is used here for the coastal enemy oracle often associated with the Philistines; the draft keeps foreigners in the text.</w:t>
      </w:r>
    </w:p>
  </w:footnote>
  <w:footnote w:id="12608">
    <w:p>
      <w:pPr>
        <w:pStyle w:val="FootnoteText"/>
      </w:pPr>
      <w:r>
        <w:rPr>
          <w:rStyle w:val="FootnoteReference"/>
        </w:rPr>
        <w:footnoteRef/>
      </w:r>
      <w:r>
        <w:t xml:space="preserve"> Translation note: The north waters image becomes a flooding torrent covering the land, city, and inhabitants.</w:t>
      </w:r>
    </w:p>
  </w:footnote>
  <w:footnote w:id="12609">
    <w:p>
      <w:pPr>
        <w:pStyle w:val="FootnoteText"/>
      </w:pPr>
      <w:r>
        <w:rPr>
          <w:rStyle w:val="FootnoteReference"/>
        </w:rPr>
        <w:footnoteRef/>
      </w:r>
      <w:r>
        <w:t xml:space="preserve"> Translation note: The chariot-terror line includes rush, hoof-sound, chariot shaking, and the sound of his wheels.</w:t>
      </w:r>
    </w:p>
  </w:footnote>
  <w:footnote w:id="12610">
    <w:p>
      <w:pPr>
        <w:pStyle w:val="FootnoteText"/>
      </w:pPr>
      <w:r>
        <w:rPr>
          <w:rStyle w:val="FootnoteReference"/>
        </w:rPr>
        <w:footnoteRef/>
      </w:r>
      <w:r>
        <w:t xml:space="preserve"> Translation note: The sword is directly addressed and then answered in verse 7: it cannot rest because the Lord commanded it.</w:t>
      </w:r>
    </w:p>
  </w:footnote>
  <w:footnote w:id="12611">
    <w:p>
      <w:pPr>
        <w:pStyle w:val="FootnoteText"/>
      </w:pPr>
      <w:r>
        <w:rPr>
          <w:rStyle w:val="FootnoteReference"/>
        </w:rPr>
        <w:footnoteRef/>
      </w:r>
      <w:r>
        <w:t xml:space="preserve"> Translation note: The judgment uses the cup-drinking image and emphatic acquittal language.</w:t>
      </w:r>
    </w:p>
  </w:footnote>
  <w:footnote w:id="12612">
    <w:p>
      <w:pPr>
        <w:pStyle w:val="FootnoteText"/>
      </w:pPr>
      <w:r>
        <w:rPr>
          <w:rStyle w:val="FootnoteReference"/>
        </w:rPr>
        <w:footnoteRef/>
      </w:r>
      <w:r>
        <w:t xml:space="preserve"> Translation note: Greek κυριος παντοκρατωρ is rendered the Lord Almighty in the overthrow comparison.</w:t>
      </w:r>
    </w:p>
  </w:footnote>
  <w:footnote w:id="12613">
    <w:p>
      <w:pPr>
        <w:pStyle w:val="FootnoteText"/>
      </w:pPr>
      <w:r>
        <w:rPr>
          <w:rStyle w:val="FootnoteReference"/>
        </w:rPr>
        <w:footnoteRef/>
      </w:r>
      <w:r>
        <w:t xml:space="preserve"> Translation note: The divine challenge asks which shepherd can stand before the Lord's face.</w:t>
      </w:r>
    </w:p>
  </w:footnote>
  <w:footnote w:id="12614">
    <w:p>
      <w:pPr>
        <w:pStyle w:val="FootnoteText"/>
      </w:pPr>
      <w:r>
        <w:rPr>
          <w:rStyle w:val="FootnoteReference"/>
        </w:rPr>
        <w:footnoteRef/>
      </w:r>
      <w:r>
        <w:t xml:space="preserve"> Translation note: The Edom oracle keeps the fall/noise/sea-cry image in the closing judgment.</w:t>
      </w:r>
    </w:p>
  </w:footnote>
  <w:footnote w:id="12615">
    <w:p>
      <w:pPr>
        <w:pStyle w:val="FootnoteText"/>
      </w:pPr>
      <w:r>
        <w:rPr>
          <w:rStyle w:val="FootnoteReference"/>
        </w:rPr>
        <w:footnoteRef/>
      </w:r>
      <w:r>
        <w:t xml:space="preserve"> Translation note: The oracle closes with an eagle over strongholds and mighty men with hearts like a woman in labor.</w:t>
      </w:r>
    </w:p>
  </w:footnote>
  <w:footnote w:id="12616">
    <w:p>
      <w:pPr>
        <w:pStyle w:val="FootnoteText"/>
      </w:pPr>
      <w:r>
        <w:rPr>
          <w:rStyle w:val="FootnoteReference"/>
        </w:rPr>
        <w:footnoteRef/>
      </w:r>
      <w:r>
        <w:t xml:space="preserve"> Divine or supernatural name: Milcom. Divine/supernatural-name meaning: Milcom — their king. Source form: Milcom.</w:t>
      </w:r>
    </w:p>
  </w:footnote>
  <w:footnote w:id="12617">
    <w:p>
      <w:pPr>
        <w:pStyle w:val="FootnoteText"/>
      </w:pPr>
      <w:r>
        <w:rPr>
          <w:rStyle w:val="FootnoteReference"/>
        </w:rPr>
        <w:footnoteRef/>
      </w:r>
      <w:r>
        <w:t xml:space="preserve"> Cross-references for "behold": Ps 85:1; Ps 102:13.</w:t>
      </w:r>
    </w:p>
  </w:footnote>
  <w:footnote w:id="12618">
    <w:p>
      <w:pPr>
        <w:pStyle w:val="FootnoteText"/>
      </w:pPr>
      <w:r>
        <w:rPr>
          <w:rStyle w:val="FootnoteReference"/>
        </w:rPr>
        <w:footnoteRef/>
      </w:r>
      <w:r>
        <w:t xml:space="preserve"> Translation note: Greek archē can mean beginning/rule; dominion is used here because Israel is said to inherit what Milcom had taken.</w:t>
      </w:r>
    </w:p>
  </w:footnote>
  <w:footnote w:id="12619">
    <w:p>
      <w:pPr>
        <w:pStyle w:val="FootnoteText"/>
      </w:pPr>
      <w:r>
        <w:rPr>
          <w:rStyle w:val="FootnoteReference"/>
        </w:rPr>
        <w:footnoteRef/>
      </w:r>
      <w:r>
        <w:t xml:space="preserve"> Translation note: The Greek uses court here; the draft keeps royal court rather than importing Hazor into the text.</w:t>
      </w:r>
    </w:p>
  </w:footnote>
  <w:footnote w:id="12620">
    <w:p>
      <w:pPr>
        <w:pStyle w:val="FootnoteText"/>
      </w:pPr>
      <w:r>
        <w:rPr>
          <w:rStyle w:val="FootnoteReference"/>
        </w:rPr>
        <w:footnoteRef/>
      </w:r>
      <w:r>
        <w:t xml:space="preserve"> Translation note: The source sequence resumes at 23 after 21; this draft preserves the received numbering rather than filling skipped verse numbers.</w:t>
      </w:r>
    </w:p>
  </w:footnote>
  <w:footnote w:id="12621">
    <w:p>
      <w:pPr>
        <w:pStyle w:val="FootnoteText"/>
      </w:pPr>
      <w:r>
        <w:rPr>
          <w:rStyle w:val="FootnoteReference"/>
        </w:rPr>
        <w:footnoteRef/>
      </w:r>
      <w:r>
        <w:t xml:space="preserve"> Translation note: The unusual hair/face phrase is retained in the Kedar judgment line.</w:t>
      </w:r>
    </w:p>
  </w:footnote>
  <w:footnote w:id="12622">
    <w:p>
      <w:pPr>
        <w:pStyle w:val="FootnoteText"/>
      </w:pPr>
      <w:r>
        <w:rPr>
          <w:rStyle w:val="FootnoteReference"/>
        </w:rPr>
        <w:footnoteRef/>
      </w:r>
      <w:r>
        <w:t xml:space="preserve"> Place name: Kiriathaim. Place-name meaning: Kiriathaim — the two cities; callings; or meetings. Source form: Kiriathaim. Greek form: καριαθαιμ.</w:t>
      </w:r>
    </w:p>
  </w:footnote>
  <w:footnote w:id="12623">
    <w:p>
      <w:pPr>
        <w:pStyle w:val="FootnoteText"/>
      </w:pPr>
      <w:r>
        <w:rPr>
          <w:rStyle w:val="FootnoteReference"/>
        </w:rPr>
        <w:footnoteRef/>
      </w:r>
      <w:r>
        <w:t xml:space="preserve"> Translation note: The Greek image treats Moab like wine left undisturbed: because he was not poured from vessel to vessel, his taste and smell remained in him.</w:t>
      </w:r>
    </w:p>
  </w:footnote>
  <w:footnote w:id="12624">
    <w:p>
      <w:pPr>
        <w:pStyle w:val="FootnoteText"/>
      </w:pPr>
      <w:r>
        <w:rPr>
          <w:rStyle w:val="FootnoteReference"/>
        </w:rPr>
        <w:footnoteRef/>
      </w:r>
      <w:r>
        <w:t xml:space="preserve"> Cross-references for "Therefore": Isa 12:1-6; Isa 35:10.</w:t>
      </w:r>
    </w:p>
  </w:footnote>
  <w:footnote w:id="12625">
    <w:p>
      <w:pPr>
        <w:pStyle w:val="FootnoteText"/>
      </w:pPr>
      <w:r>
        <w:rPr>
          <w:rStyle w:val="FootnoteReference"/>
        </w:rPr>
        <w:footnoteRef/>
      </w:r>
      <w:r>
        <w:t xml:space="preserve"> Translation note: The Greek uses an image of tilters or tippers who overturn Moab's vessels; the following horn-breaking language adds an image of broken strength.</w:t>
      </w:r>
    </w:p>
  </w:footnote>
  <w:footnote w:id="12626">
    <w:p>
      <w:pPr>
        <w:pStyle w:val="FootnoteText"/>
      </w:pPr>
      <w:r>
        <w:rPr>
          <w:rStyle w:val="FootnoteReference"/>
        </w:rPr>
        <w:footnoteRef/>
      </w:r>
      <w:r>
        <w:t xml:space="preserve"> Translation note: Chemosh is Moab's god. The verse compares Moab's coming shame over Chemosh with Israel's shame over Bethel.</w:t>
      </w:r>
    </w:p>
  </w:footnote>
  <w:footnote w:id="12627">
    <w:p>
      <w:pPr>
        <w:pStyle w:val="FootnoteText"/>
      </w:pPr>
      <w:r>
        <w:rPr>
          <w:rStyle w:val="FootnoteReference"/>
        </w:rPr>
        <w:footnoteRef/>
      </w:r>
      <w:r>
        <w:t xml:space="preserve"> Translation note: The Greek place-name list has forms corresponding to Holon, Jahazah, and Mephaath; the translation uses the standard English equivalents.</w:t>
      </w:r>
    </w:p>
  </w:footnote>
  <w:footnote w:id="12628">
    <w:p>
      <w:pPr>
        <w:pStyle w:val="FootnoteText"/>
      </w:pPr>
      <w:r>
        <w:rPr>
          <w:rStyle w:val="FootnoteReference"/>
        </w:rPr>
        <w:footnoteRef/>
      </w:r>
      <w:r>
        <w:t xml:space="preserve"> Place name: Beth-diblathaim. Place-name meaning: Dibon — abundance of knowledge. Standard English equivalent: Dibon. Source form: Beth-diblathaim. Greek form: δεβλαθαιμ.</w:t>
      </w:r>
    </w:p>
  </w:footnote>
  <w:footnote w:id="12629">
    <w:p>
      <w:pPr>
        <w:pStyle w:val="FootnoteText"/>
      </w:pPr>
      <w:r>
        <w:rPr>
          <w:rStyle w:val="FootnoteReference"/>
        </w:rPr>
        <w:footnoteRef/>
      </w:r>
      <w:r>
        <w:t xml:space="preserve"> Translation note: The Greek uses forms corresponding to Kiriathaim, Beth-gamul, and Beth-meon; the translation uses the standard English place-name equivalents.</w:t>
      </w:r>
    </w:p>
  </w:footnote>
  <w:footnote w:id="12630">
    <w:p>
      <w:pPr>
        <w:pStyle w:val="FootnoteText"/>
      </w:pPr>
      <w:r>
        <w:rPr>
          <w:rStyle w:val="FootnoteReference"/>
        </w:rPr>
        <w:footnoteRef/>
      </w:r>
      <w:r>
        <w:t xml:space="preserve"> Place name: Beth-gamul. Place-name meaning: Beth-gamul — house of recompense. Source form: Beth-gamul. Greek form: γαμωλ.</w:t>
      </w:r>
    </w:p>
  </w:footnote>
  <w:footnote w:id="12631">
    <w:p>
      <w:pPr>
        <w:pStyle w:val="FootnoteText"/>
      </w:pPr>
      <w:r>
        <w:rPr>
          <w:rStyle w:val="FootnoteReference"/>
        </w:rPr>
        <w:footnoteRef/>
      </w:r>
      <w:r>
        <w:t xml:space="preserve"> Place name: Beth-meon. Place-name meaning: Baal-meon — lord of dwelling; place of Baal. Standard English equivalent: Baal-meon. Source form: Beth-meon. Greek form: μαων.</w:t>
      </w:r>
    </w:p>
  </w:footnote>
  <w:footnote w:id="12632">
    <w:p>
      <w:pPr>
        <w:pStyle w:val="FootnoteText"/>
      </w:pPr>
      <w:r>
        <w:rPr>
          <w:rStyle w:val="FootnoteReference"/>
        </w:rPr>
        <w:footnoteRef/>
      </w:r>
      <w:r>
        <w:t xml:space="preserve"> Translation note: The Greek has Karioth and Bosor; Bozrah is the standard English equivalent in this Moab city list.</w:t>
      </w:r>
    </w:p>
  </w:footnote>
  <w:footnote w:id="12633">
    <w:p>
      <w:pPr>
        <w:pStyle w:val="FootnoteText"/>
      </w:pPr>
      <w:r>
        <w:rPr>
          <w:rStyle w:val="FootnoteReference"/>
        </w:rPr>
        <w:footnoteRef/>
      </w:r>
      <w:r>
        <w:t xml:space="preserve"> Place name: Kerioth. Place-name meaning: Kerioth — cities; towns. Source form: Kerioth. Greek form: καριωθ.</w:t>
      </w:r>
    </w:p>
  </w:footnote>
  <w:footnote w:id="12634">
    <w:p>
      <w:pPr>
        <w:pStyle w:val="FootnoteText"/>
      </w:pPr>
      <w:r>
        <w:rPr>
          <w:rStyle w:val="FootnoteReference"/>
        </w:rPr>
        <w:footnoteRef/>
      </w:r>
      <w:r>
        <w:t xml:space="preserve"> Translation note: The Greek keeps a physical hand image after the command to make Moab drunk; the following phrase explains the result as public ridicule.</w:t>
      </w:r>
    </w:p>
  </w:footnote>
  <w:footnote w:id="12635">
    <w:p>
      <w:pPr>
        <w:pStyle w:val="FootnoteText"/>
      </w:pPr>
      <w:r>
        <w:rPr>
          <w:rStyle w:val="FootnoteReference"/>
        </w:rPr>
        <w:footnoteRef/>
      </w:r>
      <w:r>
        <w:t xml:space="preserve"> Place name: Jazer. Place-name meaning: Jazer — assistance; helper. Source form: Jazer. Greek form: ιαζηρ.</w:t>
      </w:r>
    </w:p>
  </w:footnote>
  <w:footnote w:id="12636">
    <w:p>
      <w:pPr>
        <w:pStyle w:val="FootnoteText"/>
      </w:pPr>
      <w:r>
        <w:rPr>
          <w:rStyle w:val="FootnoteReference"/>
        </w:rPr>
        <w:footnoteRef/>
      </w:r>
      <w:r>
        <w:t xml:space="preserve"> Translation note: The Greek place name Sebema is rendered by the standard English equivalent Sibmah, while the vine and branch imagery is retained.</w:t>
      </w:r>
    </w:p>
  </w:footnote>
  <w:footnote w:id="12637">
    <w:p>
      <w:pPr>
        <w:pStyle w:val="FootnoteText"/>
      </w:pPr>
      <w:r>
        <w:rPr>
          <w:rStyle w:val="FootnoteReference"/>
        </w:rPr>
        <w:footnoteRef/>
      </w:r>
      <w:r>
        <w:t xml:space="preserve"> Place name: Sibmah. Place-name meaning: Sibmah — conversion; captivity. Source form: Sibmah. Greek form: σεβημα.</w:t>
      </w:r>
    </w:p>
  </w:footnote>
  <w:footnote w:id="12638">
    <w:p>
      <w:pPr>
        <w:pStyle w:val="FootnoteText"/>
      </w:pPr>
      <w:r>
        <w:rPr>
          <w:rStyle w:val="FootnoteReference"/>
        </w:rPr>
        <w:footnoteRef/>
      </w:r>
      <w:r>
        <w:t xml:space="preserve"> Cross-references for "the Lord": Isa 48:2; Isa 54:5.</w:t>
      </w:r>
    </w:p>
  </w:footnote>
  <w:footnote w:id="12639">
    <w:p>
      <w:pPr>
        <w:pStyle w:val="FootnoteText"/>
      </w:pPr>
      <w:r>
        <w:rPr>
          <w:rStyle w:val="FootnoteReference"/>
        </w:rPr>
        <w:footnoteRef/>
      </w:r>
      <w:r>
        <w:t xml:space="preserve"> Translation note: In this mourning context, the Greek verb is taken as beating or striking in lament, not as cutting off hands.</w:t>
      </w:r>
    </w:p>
  </w:footnote>
  <w:footnote w:id="12640">
    <w:p>
      <w:pPr>
        <w:pStyle w:val="FootnoteText"/>
      </w:pPr>
      <w:r>
        <w:rPr>
          <w:rStyle w:val="FootnoteReference"/>
        </w:rPr>
        <w:footnoteRef/>
      </w:r>
      <w:r>
        <w:t xml:space="preserve"> Translation note: The Greek has Akkarioth/Carioth; Kerioth is the standard English equivalent in the Moab oracle.</w:t>
      </w:r>
    </w:p>
  </w:footnote>
  <w:footnote w:id="12641">
    <w:p>
      <w:pPr>
        <w:pStyle w:val="FootnoteText"/>
      </w:pPr>
      <w:r>
        <w:rPr>
          <w:rStyle w:val="FootnoteReference"/>
        </w:rPr>
        <w:footnoteRef/>
      </w:r>
      <w:r>
        <w:t xml:space="preserve"> Translation note: The three judgment images are repeated in the next verse: the one fleeing fear falls into the pit, and the one escaping the pit is caught in the snare.</w:t>
      </w:r>
    </w:p>
  </w:footnote>
  <w:footnote w:id="12642">
    <w:p>
      <w:pPr>
        <w:pStyle w:val="FootnoteText"/>
      </w:pPr>
      <w:r>
        <w:rPr>
          <w:rStyle w:val="FootnoteReference"/>
        </w:rPr>
        <w:footnoteRef/>
      </w:r>
      <w:r>
        <w:t xml:space="preserve"> Translation note: The Greek describes an undiluted judgment cup that Jeremiah must make the nations drink.</w:t>
      </w:r>
    </w:p>
  </w:footnote>
  <w:footnote w:id="12643">
    <w:p>
      <w:pPr>
        <w:pStyle w:val="FootnoteText"/>
      </w:pPr>
      <w:r>
        <w:rPr>
          <w:rStyle w:val="FootnoteReference"/>
        </w:rPr>
        <w:footnoteRef/>
      </w:r>
      <w:r>
        <w:t xml:space="preserve"> Translation note: The Greek word can mean foreigners, but the named cities that follow are Philistine cities: Ashkelon, Gaza, Ekron, and Ashdod.</w:t>
      </w:r>
    </w:p>
  </w:footnote>
  <w:footnote w:id="12644">
    <w:p>
      <w:pPr>
        <w:pStyle w:val="FootnoteText"/>
      </w:pPr>
      <w:r>
        <w:rPr>
          <w:rStyle w:val="FootnoteReference"/>
        </w:rPr>
        <w:footnoteRef/>
      </w:r>
      <w:r>
        <w:t xml:space="preserve"> MT/LXX note: Rosh is retained from the Greek form here rather than harmonized to the MT/KJV list at the corresponding oracle point.</w:t>
      </w:r>
    </w:p>
  </w:footnote>
  <w:footnote w:id="12645">
    <w:p>
      <w:pPr>
        <w:pStyle w:val="FootnoteText"/>
      </w:pPr>
      <w:r>
        <w:rPr>
          <w:rStyle w:val="FootnoteReference"/>
        </w:rPr>
        <w:footnoteRef/>
      </w:r>
      <w:r>
        <w:t xml:space="preserve"> Cross-references for "upon": Jer 7:18; Jer 19:13.</w:t>
      </w:r>
    </w:p>
  </w:footnote>
  <w:footnote w:id="12646">
    <w:p>
      <w:pPr>
        <w:pStyle w:val="FootnoteText"/>
      </w:pPr>
      <w:r>
        <w:rPr>
          <w:rStyle w:val="FootnoteReference"/>
        </w:rPr>
        <w:footnoteRef/>
      </w:r>
      <w:r>
        <w:t xml:space="preserve"> Translation note: The Greek repeats the cleansing root with a strong negation; the translation gives the force as certainly not be cleansed.</w:t>
      </w:r>
    </w:p>
  </w:footnote>
  <w:footnote w:id="12647">
    <w:p>
      <w:pPr>
        <w:pStyle w:val="FootnoteText"/>
      </w:pPr>
      <w:r>
        <w:rPr>
          <w:rStyle w:val="FootnoteReference"/>
        </w:rPr>
        <w:footnoteRef/>
      </w:r>
      <w:r>
        <w:t xml:space="preserve"> Translation note: The Greek keeps an oracle-speech line together with the shout of grape-treaders, a judgment sound image.</w:t>
      </w:r>
    </w:p>
  </w:footnote>
  <w:footnote w:id="12648">
    <w:p>
      <w:pPr>
        <w:pStyle w:val="FootnoteText"/>
      </w:pPr>
      <w:r>
        <w:rPr>
          <w:rStyle w:val="FootnoteReference"/>
        </w:rPr>
        <w:footnoteRef/>
      </w:r>
      <w:r>
        <w:t xml:space="preserve"> Translation note: The wording reflects the Greek judgment idiom in the context of the Lord judging the nations.</w:t>
      </w:r>
    </w:p>
  </w:footnote>
  <w:footnote w:id="12649">
    <w:p>
      <w:pPr>
        <w:pStyle w:val="FootnoteText"/>
      </w:pPr>
      <w:r>
        <w:rPr>
          <w:rStyle w:val="FootnoteReference"/>
        </w:rPr>
        <w:footnoteRef/>
      </w:r>
      <w:r>
        <w:t xml:space="preserve"> Translation note: In this mourning context, the Greek verb is taken as beating or striking in lament, not literal cutting.</w:t>
      </w:r>
    </w:p>
  </w:footnote>
  <w:footnote w:id="12650">
    <w:p>
      <w:pPr>
        <w:pStyle w:val="FootnoteText"/>
      </w:pPr>
      <w:r>
        <w:rPr>
          <w:rStyle w:val="FootnoteReference"/>
        </w:rPr>
        <w:footnoteRef/>
      </w:r>
      <w:r>
        <w:t xml:space="preserve"> Cross-references for "the Lord": Exod 3:14-15; Exod 6:3.</w:t>
      </w:r>
    </w:p>
  </w:footnote>
  <w:footnote w:id="12651">
    <w:p>
      <w:pPr>
        <w:pStyle w:val="FootnoteText"/>
      </w:pPr>
      <w:r>
        <w:rPr>
          <w:rStyle w:val="FootnoteReference"/>
        </w:rPr>
        <w:footnoteRef/>
      </w:r>
      <w:r>
        <w:t xml:space="preserve"> Translation note: The Greek verb can mean answer or utter an oracle; here declare fits Jeremiah's commanded temple-court proclamation.</w:t>
      </w:r>
    </w:p>
  </w:footnote>
  <w:footnote w:id="12652">
    <w:p>
      <w:pPr>
        <w:pStyle w:val="FootnoteText"/>
      </w:pPr>
      <w:r>
        <w:rPr>
          <w:rStyle w:val="FootnoteReference"/>
        </w:rPr>
        <w:footnoteRef/>
      </w:r>
      <w:r>
        <w:t xml:space="preserve"> Translation note: The wording reflects the Lord ceasing from planned judgment if the hearers turn from their evil way.</w:t>
      </w:r>
    </w:p>
  </w:footnote>
  <w:footnote w:id="12653">
    <w:p>
      <w:pPr>
        <w:pStyle w:val="FootnoteText"/>
      </w:pPr>
      <w:r>
        <w:rPr>
          <w:rStyle w:val="FootnoteReference"/>
        </w:rPr>
        <w:footnoteRef/>
      </w:r>
      <w:r>
        <w:t xml:space="preserve"> Translation note: Shiloh functions as the historical warning example for what may happen to the temple house and city.</w:t>
      </w:r>
    </w:p>
  </w:footnote>
  <w:footnote w:id="12654">
    <w:p>
      <w:pPr>
        <w:pStyle w:val="FootnoteText"/>
      </w:pPr>
      <w:r>
        <w:rPr>
          <w:rStyle w:val="FootnoteReference"/>
        </w:rPr>
        <w:footnoteRef/>
      </w:r>
      <w:r>
        <w:t xml:space="preserve"> Translation note: The elders appeal to Micah's earlier warning that Zion would be plowed like a field and Jerusalem become waste.</w:t>
      </w:r>
    </w:p>
  </w:footnote>
  <w:footnote w:id="12655">
    <w:p>
      <w:pPr>
        <w:pStyle w:val="FootnoteText"/>
      </w:pPr>
      <w:r>
        <w:rPr>
          <w:rStyle w:val="FootnoteReference"/>
        </w:rPr>
        <w:footnoteRef/>
      </w:r>
      <w:r>
        <w:t xml:space="preserve"> Translation note: The Greek place-name form is rendered with the standard English equivalent Kiriath-jearim.</w:t>
      </w:r>
    </w:p>
  </w:footnote>
  <w:footnote w:id="12656">
    <w:p>
      <w:pPr>
        <w:pStyle w:val="FootnoteText"/>
      </w:pPr>
      <w:r>
        <w:rPr>
          <w:rStyle w:val="FootnoteReference"/>
        </w:rPr>
        <w:footnoteRef/>
      </w:r>
      <w:r>
        <w:t xml:space="preserve"> Place name: Kiriath-jearim. Place-name meaning: Kiriath-jearim — city of woods. Source form: Kiriath-jearim. Greek form: καριαθιαριμ.</w:t>
      </w:r>
    </w:p>
  </w:footnote>
  <w:footnote w:id="12657">
    <w:p>
      <w:pPr>
        <w:pStyle w:val="FootnoteText"/>
      </w:pPr>
      <w:r>
        <w:rPr>
          <w:rStyle w:val="FootnoteReference"/>
        </w:rPr>
        <w:footnoteRef/>
      </w:r>
      <w:r>
        <w:t xml:space="preserve"> Translation note: The bonds and yokes are the sign-act that introduces the chapter's command to submit to Babylon's yoke.</w:t>
      </w:r>
    </w:p>
  </w:footnote>
  <w:footnote w:id="12658">
    <w:p>
      <w:pPr>
        <w:pStyle w:val="FootnoteText"/>
      </w:pPr>
      <w:r>
        <w:rPr>
          <w:rStyle w:val="FootnoteReference"/>
        </w:rPr>
        <w:footnoteRef/>
      </w:r>
      <w:r>
        <w:t xml:space="preserve"> Translation note: The yoke image controls the oracle: nations that refuse Babylon's yoke receive sword and famine.</w:t>
      </w:r>
    </w:p>
  </w:footnote>
  <w:footnote w:id="12659">
    <w:p>
      <w:pPr>
        <w:pStyle w:val="FootnoteText"/>
      </w:pPr>
      <w:r>
        <w:rPr>
          <w:rStyle w:val="FootnoteReference"/>
        </w:rPr>
        <w:footnoteRef/>
      </w:r>
      <w:r>
        <w:t xml:space="preserve"> Cross-references for "serve": Jer 25:14; Jer 27:7.</w:t>
      </w:r>
    </w:p>
  </w:footnote>
  <w:footnote w:id="12660">
    <w:p>
      <w:pPr>
        <w:pStyle w:val="FootnoteText"/>
      </w:pPr>
      <w:r>
        <w:rPr>
          <w:rStyle w:val="FootnoteReference"/>
        </w:rPr>
        <w:footnoteRef/>
      </w:r>
      <w:r>
        <w:t xml:space="preserve"> Translation note: The Greek lists several kinds of misleading counsel; the translation keeps the categories distinct.</w:t>
      </w:r>
    </w:p>
  </w:footnote>
  <w:footnote w:id="12661">
    <w:p>
      <w:pPr>
        <w:pStyle w:val="FootnoteText"/>
      </w:pPr>
      <w:r>
        <w:rPr>
          <w:rStyle w:val="FootnoteReference"/>
        </w:rPr>
        <w:footnoteRef/>
      </w:r>
      <w:r>
        <w:t xml:space="preserve"> Translation note: The Greek verb means meet or encounter; the line tests whether the prophets truly have the word of the Lord in them.</w:t>
      </w:r>
    </w:p>
  </w:footnote>
  <w:footnote w:id="12662">
    <w:p>
      <w:pPr>
        <w:pStyle w:val="FootnoteText"/>
      </w:pPr>
      <w:r>
        <w:rPr>
          <w:rStyle w:val="FootnoteReference"/>
        </w:rPr>
        <w:footnoteRef/>
      </w:r>
      <w:r>
        <w:t xml:space="preserve"> Translation note: The remaining-vessels sentence continues through verse 22: the vessels not taken with Jeconiah will enter Babylon.</w:t>
      </w:r>
    </w:p>
  </w:footnote>
  <w:footnote w:id="12663">
    <w:p>
      <w:pPr>
        <w:pStyle w:val="FootnoteText"/>
      </w:pPr>
      <w:r>
        <w:rPr>
          <w:rStyle w:val="FootnoteReference"/>
        </w:rPr>
        <w:footnoteRef/>
      </w:r>
      <w:r>
        <w:t xml:space="preserve"> Translation note: The Greek idiom is literally two years of days; the translation gives the sense as two full years.</w:t>
      </w:r>
    </w:p>
  </w:footnote>
  <w:footnote w:id="12664">
    <w:p>
      <w:pPr>
        <w:pStyle w:val="FootnoteText"/>
      </w:pPr>
      <w:r>
        <w:rPr>
          <w:rStyle w:val="FootnoteReference"/>
        </w:rPr>
        <w:footnoteRef/>
      </w:r>
      <w:r>
        <w:t xml:space="preserve"> Translation note: Jeremiah states the test for a peace prophecy: when the word comes to pass, the prophet sent by the Lord will be known.</w:t>
      </w:r>
    </w:p>
  </w:footnote>
  <w:footnote w:id="12665">
    <w:p>
      <w:pPr>
        <w:pStyle w:val="FootnoteText"/>
      </w:pPr>
      <w:r>
        <w:rPr>
          <w:rStyle w:val="FootnoteReference"/>
        </w:rPr>
        <w:footnoteRef/>
      </w:r>
      <w:r>
        <w:t xml:space="preserve"> Cross-references for "will": Ps 32:8-9; Prov 8:10.</w:t>
      </w:r>
    </w:p>
  </w:footnote>
  <w:footnote w:id="12666">
    <w:p>
      <w:pPr>
        <w:pStyle w:val="FootnoteText"/>
      </w:pPr>
      <w:r>
        <w:rPr>
          <w:rStyle w:val="FootnoteReference"/>
        </w:rPr>
        <w:footnoteRef/>
      </w:r>
      <w:r>
        <w:t xml:space="preserve"> Translation note: Hananiah breaks wooden yokes, but the Lord answers with iron yokes, intensifying the sign-act.</w:t>
      </w:r>
    </w:p>
  </w:footnote>
  <w:footnote w:id="12667">
    <w:p>
      <w:pPr>
        <w:pStyle w:val="FootnoteText"/>
      </w:pPr>
      <w:r>
        <w:rPr>
          <w:rStyle w:val="FootnoteReference"/>
        </w:rPr>
        <w:footnoteRef/>
      </w:r>
      <w:r>
        <w:t xml:space="preserve"> Translation note: The charge is that Hananiah created false confidence through a deceptive prophetic claim.</w:t>
      </w:r>
    </w:p>
  </w:footnote>
  <w:footnote w:id="12668">
    <w:p>
      <w:pPr>
        <w:pStyle w:val="FootnoteText"/>
      </w:pPr>
      <w:r>
        <w:rPr>
          <w:rStyle w:val="FootnoteReference"/>
        </w:rPr>
        <w:footnoteRef/>
      </w:r>
      <w:r>
        <w:t xml:space="preserve"> Translation note: The letter is addressed to the deported community in Babylon; exile renders the Greek term for that displaced community.</w:t>
      </w:r>
    </w:p>
  </w:footnote>
  <w:footnote w:id="12669">
    <w:p>
      <w:pPr>
        <w:pStyle w:val="FootnoteText"/>
      </w:pPr>
      <w:r>
        <w:rPr>
          <w:rStyle w:val="FootnoteReference"/>
        </w:rPr>
        <w:footnoteRef/>
      </w:r>
      <w:r>
        <w:t xml:space="preserve"> Personal name: Gemariah. Personal-name meaning: Gemariah — accomplishment or perfection of the Lord. Source form: Gemariah.</w:t>
      </w:r>
    </w:p>
  </w:footnote>
  <w:footnote w:id="12670">
    <w:p>
      <w:pPr>
        <w:pStyle w:val="FootnoteText"/>
      </w:pPr>
      <w:r>
        <w:rPr>
          <w:rStyle w:val="FootnoteReference"/>
        </w:rPr>
        <w:footnoteRef/>
      </w:r>
      <w:r>
        <w:t xml:space="preserve"> Translation note: The Greek repeats peace: in the land's peace there will be peace for the exiles.</w:t>
      </w:r>
    </w:p>
  </w:footnote>
  <w:footnote w:id="12671">
    <w:p>
      <w:pPr>
        <w:pStyle w:val="FootnoteText"/>
      </w:pPr>
      <w:r>
        <w:rPr>
          <w:rStyle w:val="FootnoteReference"/>
        </w:rPr>
        <w:footnoteRef/>
      </w:r>
      <w:r>
        <w:t xml:space="preserve"> Translation note: The seventy years mark Babylon's period before the Lord visits the exiles and restores them.</w:t>
      </w:r>
    </w:p>
  </w:footnote>
  <w:footnote w:id="12672">
    <w:p>
      <w:pPr>
        <w:pStyle w:val="FootnoteText"/>
      </w:pPr>
      <w:r>
        <w:rPr>
          <w:rStyle w:val="FootnoteReference"/>
        </w:rPr>
        <w:footnoteRef/>
      </w:r>
      <w:r>
        <w:t xml:space="preserve"> Translation note: The Greek repeats the planning/reckoning root; the translation keeps the repetition while using natural English.</w:t>
      </w:r>
    </w:p>
  </w:footnote>
  <w:footnote w:id="12673">
    <w:p>
      <w:pPr>
        <w:pStyle w:val="FootnoteText"/>
      </w:pPr>
      <w:r>
        <w:rPr>
          <w:rStyle w:val="FootnoteReference"/>
        </w:rPr>
        <w:footnoteRef/>
      </w:r>
      <w:r>
        <w:t xml:space="preserve"> Translation note: The Greek uses a vivid verb for being roasted or fried in fire; the curse formula is intentionally severe.</w:t>
      </w:r>
    </w:p>
  </w:footnote>
  <w:footnote w:id="12674">
    <w:p>
      <w:pPr>
        <w:pStyle w:val="FootnoteText"/>
      </w:pPr>
      <w:r>
        <w:rPr>
          <w:rStyle w:val="FootnoteReference"/>
        </w:rPr>
        <w:footnoteRef/>
      </w:r>
      <w:r>
        <w:t xml:space="preserve"> Translation note: Shemaiah is the standard English name; Nehelamite is retained as the identifying title.</w:t>
      </w:r>
    </w:p>
  </w:footnote>
  <w:footnote w:id="12675">
    <w:p>
      <w:pPr>
        <w:pStyle w:val="FootnoteText"/>
      </w:pPr>
      <w:r>
        <w:rPr>
          <w:rStyle w:val="FootnoteReference"/>
        </w:rPr>
        <w:footnoteRef/>
      </w:r>
      <w:r>
        <w:t xml:space="preserve"> Translation note: The Greek uses two restraint terms, so the translation keeps both confinement and stocks.</w:t>
      </w:r>
    </w:p>
  </w:footnote>
  <w:footnote w:id="12676">
    <w:p>
      <w:pPr>
        <w:pStyle w:val="FootnoteText"/>
      </w:pPr>
      <w:r>
        <w:rPr>
          <w:rStyle w:val="FootnoteReference"/>
        </w:rPr>
        <w:footnoteRef/>
      </w:r>
      <w:r>
        <w:t xml:space="preserve"> Translation note: The phrase points back to Jeremiah's long-exile message: build houses, plant gardens, and settle in Babylon.</w:t>
      </w:r>
    </w:p>
  </w:footnote>
  <w:footnote w:id="12677">
    <w:p>
      <w:pPr>
        <w:pStyle w:val="FootnoteText"/>
      </w:pPr>
      <w:r>
        <w:rPr>
          <w:rStyle w:val="FootnoteReference"/>
        </w:rPr>
        <w:footnoteRef/>
      </w:r>
      <w:r>
        <w:t xml:space="preserve"> Translation note: Shemaiah's fault is that he made the exiles trust in prophetic claims the Lord did not send.</w:t>
      </w:r>
    </w:p>
  </w:footnote>
  <w:footnote w:id="12678">
    <w:p>
      <w:pPr>
        <w:pStyle w:val="FootnoteText"/>
      </w:pPr>
      <w:r>
        <w:rPr>
          <w:rStyle w:val="FootnoteReference"/>
        </w:rPr>
        <w:footnoteRef/>
      </w:r>
      <w:r>
        <w:t xml:space="preserve"> Translation note: The verse uses childbirth and bodily terror imagery: hands on loins and faces turned to jaundice.</w:t>
      </w:r>
    </w:p>
  </w:footnote>
  <w:footnote w:id="12679">
    <w:p>
      <w:pPr>
        <w:pStyle w:val="FootnoteText"/>
      </w:pPr>
      <w:r>
        <w:rPr>
          <w:rStyle w:val="FootnoteReference"/>
        </w:rPr>
        <w:footnoteRef/>
      </w:r>
      <w:r>
        <w:t xml:space="preserve"> Translation note: The Greek phrase is literally narrow time for Jacob, marking severe distress from which Jacob will be saved.</w:t>
      </w:r>
    </w:p>
  </w:footnote>
  <w:footnote w:id="12680">
    <w:p>
      <w:pPr>
        <w:pStyle w:val="FootnoteText"/>
      </w:pPr>
      <w:r>
        <w:rPr>
          <w:rStyle w:val="FootnoteReference"/>
        </w:rPr>
        <w:footnoteRef/>
      </w:r>
      <w:r>
        <w:t xml:space="preserve"> Translation note: The restoration promise keeps the Greek wording about David their king being raised up for them.</w:t>
      </w:r>
    </w:p>
  </w:footnote>
  <w:footnote w:id="12681">
    <w:p>
      <w:pPr>
        <w:pStyle w:val="FootnoteText"/>
      </w:pPr>
      <w:r>
        <w:rPr>
          <w:rStyle w:val="FootnoteReference"/>
        </w:rPr>
        <w:footnoteRef/>
      </w:r>
      <w:r>
        <w:t xml:space="preserve"> Translation note: The Greek repeats the judgment root; case gives the legal sense while preserving the absence of an advocate.</w:t>
      </w:r>
    </w:p>
  </w:footnote>
  <w:footnote w:id="12682">
    <w:p>
      <w:pPr>
        <w:pStyle w:val="FootnoteText"/>
      </w:pPr>
      <w:r>
        <w:rPr>
          <w:rStyle w:val="FootnoteReference"/>
        </w:rPr>
        <w:footnoteRef/>
      </w:r>
      <w:r>
        <w:t xml:space="preserve"> Translation note: Scattered is retained as the label placed on the wounded/exiled figure before the Lord promises healing.</w:t>
      </w:r>
    </w:p>
  </w:footnote>
  <w:footnote w:id="12683">
    <w:p>
      <w:pPr>
        <w:pStyle w:val="FootnoteText"/>
      </w:pPr>
      <w:r>
        <w:rPr>
          <w:rStyle w:val="FootnoteReference"/>
        </w:rPr>
        <w:footnoteRef/>
      </w:r>
      <w:r>
        <w:t xml:space="preserve"> Translation note: The line preserves the Greek judgment/ordinance term in the temple restoration phrase.</w:t>
      </w:r>
    </w:p>
  </w:footnote>
  <w:footnote w:id="12684">
    <w:p>
      <w:pPr>
        <w:pStyle w:val="FootnoteText"/>
      </w:pPr>
      <w:r>
        <w:rPr>
          <w:rStyle w:val="FootnoteReference"/>
        </w:rPr>
        <w:footnoteRef/>
      </w:r>
      <w:r>
        <w:t xml:space="preserve"> Translation note: The wording keeps the promise that the restored people's ruler comes from among them.</w:t>
      </w:r>
    </w:p>
  </w:footnote>
  <w:footnote w:id="12685">
    <w:p>
      <w:pPr>
        <w:pStyle w:val="FootnoteText"/>
      </w:pPr>
      <w:r>
        <w:rPr>
          <w:rStyle w:val="FootnoteReference"/>
        </w:rPr>
        <w:footnoteRef/>
      </w:r>
      <w:r>
        <w:t xml:space="preserve"> Translation note: The Greek phrase describes the Lord completing what he has undertaken in his heart; this wording is retained for consistency.</w:t>
      </w:r>
    </w:p>
  </w:footnote>
  <w:footnote w:id="12686">
    <w:p>
      <w:pPr>
        <w:pStyle w:val="FootnoteText"/>
      </w:pPr>
      <w:r>
        <w:rPr>
          <w:rStyle w:val="FootnoteReference"/>
        </w:rPr>
        <w:footnoteRef/>
      </w:r>
      <w:r>
        <w:t xml:space="preserve"> MT/LXX note: The Greek reads warmth here; the translation keeps the LXX wording rather than replacing it with the Hebrew-based favor/grace wording.</w:t>
      </w:r>
    </w:p>
  </w:footnote>
  <w:footnote w:id="12687">
    <w:p>
      <w:pPr>
        <w:pStyle w:val="FootnoteText"/>
      </w:pPr>
      <w:r>
        <w:rPr>
          <w:rStyle w:val="FootnoteReference"/>
        </w:rPr>
        <w:footnoteRef/>
      </w:r>
      <w:r>
        <w:t xml:space="preserve"> Translation note: The Greek verb carries an unusual neighing or loud-cry sound image in the call to rejoice.</w:t>
      </w:r>
    </w:p>
  </w:footnote>
  <w:footnote w:id="12688">
    <w:p>
      <w:pPr>
        <w:pStyle w:val="FootnoteText"/>
      </w:pPr>
      <w:r>
        <w:rPr>
          <w:rStyle w:val="FootnoteReference"/>
        </w:rPr>
        <w:footnoteRef/>
      </w:r>
      <w:r>
        <w:t xml:space="preserve"> Translation note: The Greek form Phasce is rendered with the standard English festival name Passover.</w:t>
      </w:r>
    </w:p>
  </w:footnote>
  <w:footnote w:id="12689">
    <w:p>
      <w:pPr>
        <w:pStyle w:val="FootnoteText"/>
      </w:pPr>
      <w:r>
        <w:rPr>
          <w:rStyle w:val="FootnoteReference"/>
        </w:rPr>
        <w:footnoteRef/>
      </w:r>
      <w:r>
        <w:t xml:space="preserve"> Translation note: The Greek uses a winnowing image before the promise that Israel will be gathered and guarded like a flock.</w:t>
      </w:r>
    </w:p>
  </w:footnote>
  <w:footnote w:id="12690">
    <w:p>
      <w:pPr>
        <w:pStyle w:val="FootnoteText"/>
      </w:pPr>
      <w:r>
        <w:rPr>
          <w:rStyle w:val="FootnoteReference"/>
        </w:rPr>
        <w:footnoteRef/>
      </w:r>
      <w:r>
        <w:t xml:space="preserve"> Translation note: The Greek abundance image is literally make drunk, describing overflowing satisfaction for the priests.</w:t>
      </w:r>
    </w:p>
  </w:footnote>
  <w:footnote w:id="12691">
    <w:p>
      <w:pPr>
        <w:pStyle w:val="FootnoteText"/>
      </w:pPr>
      <w:r>
        <w:rPr>
          <w:rStyle w:val="FootnoteReference"/>
        </w:rPr>
        <w:footnoteRef/>
      </w:r>
      <w:r>
        <w:t xml:space="preserve"> Translation note: Matthew 2:18 cites this Rachel/Ramah lament in connection with Herod's slaughter of the children.</w:t>
      </w:r>
    </w:p>
  </w:footnote>
  <w:footnote w:id="12692">
    <w:p>
      <w:pPr>
        <w:pStyle w:val="FootnoteText"/>
      </w:pPr>
      <w:r>
        <w:rPr>
          <w:rStyle w:val="FootnoteReference"/>
        </w:rPr>
        <w:footnoteRef/>
      </w:r>
      <w:r>
        <w:t xml:space="preserve"> Translation note: The Greek term points to remaining or abiding hope for Rachel's children after the lament.</w:t>
      </w:r>
    </w:p>
  </w:footnote>
  <w:footnote w:id="12693">
    <w:p>
      <w:pPr>
        <w:pStyle w:val="FootnoteText"/>
      </w:pPr>
      <w:r>
        <w:rPr>
          <w:rStyle w:val="FootnoteReference"/>
        </w:rPr>
        <w:footnoteRef/>
      </w:r>
      <w:r>
        <w:t xml:space="preserve"> Translation note: Ephraim compares himself to an untaught calf under discipline, then asks to be turned back.</w:t>
      </w:r>
    </w:p>
  </w:footnote>
  <w:footnote w:id="12694">
    <w:p>
      <w:pPr>
        <w:pStyle w:val="FootnoteText"/>
      </w:pPr>
      <w:r>
        <w:rPr>
          <w:rStyle w:val="FootnoteReference"/>
        </w:rPr>
        <w:footnoteRef/>
      </w:r>
      <w:r>
        <w:t xml:space="preserve"> Translation note: The Greek repeats the mercy root for emphasis; the translation keeps the repetition.</w:t>
      </w:r>
    </w:p>
  </w:footnote>
  <w:footnote w:id="12695">
    <w:p>
      <w:pPr>
        <w:pStyle w:val="FootnoteText"/>
      </w:pPr>
      <w:r>
        <w:rPr>
          <w:rStyle w:val="FootnoteReference"/>
        </w:rPr>
        <w:footnoteRef/>
      </w:r>
      <w:r>
        <w:t xml:space="preserve"> MT/LXX note: The LXX wording is difficult and differs from the usual Hebrew-based highway/signpost wording; the translation preserves the Greek shoulders and road language.</w:t>
      </w:r>
    </w:p>
  </w:footnote>
  <w:footnote w:id="12696">
    <w:p>
      <w:pPr>
        <w:pStyle w:val="FootnoteText"/>
      </w:pPr>
      <w:r>
        <w:rPr>
          <w:rStyle w:val="FootnoteReference"/>
        </w:rPr>
        <w:footnoteRef/>
      </w:r>
      <w:r>
        <w:t xml:space="preserve"> Translation note: The Greek joins salvation with new planting, combining rescue and restoration imagery.</w:t>
      </w:r>
    </w:p>
  </w:footnote>
  <w:footnote w:id="12697">
    <w:p>
      <w:pPr>
        <w:pStyle w:val="FootnoteText"/>
      </w:pPr>
      <w:r>
        <w:rPr>
          <w:rStyle w:val="FootnoteReference"/>
        </w:rPr>
        <w:footnoteRef/>
      </w:r>
      <w:r>
        <w:t xml:space="preserve"> Translation note: The Greek uses make drunk as an image of overflowing satisfaction for the thirsty soul.</w:t>
      </w:r>
    </w:p>
  </w:footnote>
  <w:footnote w:id="12698">
    <w:p>
      <w:pPr>
        <w:pStyle w:val="FootnoteText"/>
      </w:pPr>
      <w:r>
        <w:rPr>
          <w:rStyle w:val="FootnoteReference"/>
        </w:rPr>
        <w:footnoteRef/>
      </w:r>
      <w:r>
        <w:t xml:space="preserve"> Translation note: The proverb is singular in Greek: the fathers ate a sour grape, and the children's teeth were set on edge.</w:t>
      </w:r>
    </w:p>
  </w:footnote>
  <w:footnote w:id="12699">
    <w:p>
      <w:pPr>
        <w:pStyle w:val="FootnoteText"/>
      </w:pPr>
      <w:r>
        <w:rPr>
          <w:rStyle w:val="FootnoteReference"/>
        </w:rPr>
        <w:footnoteRef/>
      </w:r>
      <w:r>
        <w:t xml:space="preserve"> Translation note: The individual accountability line mirrors the sour-grape proverb with the singular Greek image.</w:t>
      </w:r>
    </w:p>
  </w:footnote>
  <w:footnote w:id="12700">
    <w:p>
      <w:pPr>
        <w:pStyle w:val="FootnoteText"/>
      </w:pPr>
      <w:r>
        <w:rPr>
          <w:rStyle w:val="FootnoteReference"/>
        </w:rPr>
        <w:footnoteRef/>
      </w:r>
      <w:r>
        <w:t xml:space="preserve"> Translation note: Hebrews 8:8 cites this new-covenant promise, and Hebrews 10:16 echoes it.</w:t>
      </w:r>
    </w:p>
  </w:footnote>
  <w:footnote w:id="12701">
    <w:p>
      <w:pPr>
        <w:pStyle w:val="FootnoteText"/>
      </w:pPr>
      <w:r>
        <w:rPr>
          <w:rStyle w:val="FootnoteReference"/>
        </w:rPr>
        <w:footnoteRef/>
      </w:r>
      <w:r>
        <w:t xml:space="preserve"> Textual note: Standard English numbering: Jeremiah 31:31. Jeremiah is reordered in the LXX source stream, so this new-covenant promise appears here.</w:t>
      </w:r>
    </w:p>
  </w:footnote>
  <w:footnote w:id="12702">
    <w:p>
      <w:pPr>
        <w:pStyle w:val="FootnoteText"/>
      </w:pPr>
      <w:r>
        <w:rPr>
          <w:rStyle w:val="FootnoteReference"/>
        </w:rPr>
        <w:footnoteRef/>
      </w:r>
      <w:r>
        <w:t xml:space="preserve"> MT/LXX note: The LXX has neglected/disregarded language here; Hebrews 8:9 follows this wording rather than the Hebrew-based husband wording.</w:t>
      </w:r>
    </w:p>
  </w:footnote>
  <w:footnote w:id="12703">
    <w:p>
      <w:pPr>
        <w:pStyle w:val="FootnoteText"/>
      </w:pPr>
      <w:r>
        <w:rPr>
          <w:rStyle w:val="FootnoteReference"/>
        </w:rPr>
        <w:footnoteRef/>
      </w:r>
      <w:r>
        <w:t xml:space="preserve"> Translation note: The Greek uses an emphatic giving construction and locates the laws in the mind and on the hearts.</w:t>
      </w:r>
    </w:p>
  </w:footnote>
  <w:footnote w:id="12704">
    <w:p>
      <w:pPr>
        <w:pStyle w:val="FootnoteText"/>
      </w:pPr>
      <w:r>
        <w:rPr>
          <w:rStyle w:val="FootnoteReference"/>
        </w:rPr>
        <w:footnoteRef/>
      </w:r>
      <w:r>
        <w:t xml:space="preserve"> Translation note: The new-covenant promise includes universal knowledge of the Lord and no further remembrance of sins; Hebrews 8:11-12 cites this wording.</w:t>
      </w:r>
    </w:p>
  </w:footnote>
  <w:footnote w:id="12705">
    <w:p>
      <w:pPr>
        <w:pStyle w:val="FootnoteText"/>
      </w:pPr>
      <w:r>
        <w:rPr>
          <w:rStyle w:val="FootnoteReference"/>
        </w:rPr>
        <w:footnoteRef/>
      </w:r>
      <w:r>
        <w:t xml:space="preserve"> Translation note: The laws are the fixed created order from the previous verse; Israel's permanence is compared to that order.</w:t>
      </w:r>
    </w:p>
  </w:footnote>
  <w:footnote w:id="12706">
    <w:p>
      <w:pPr>
        <w:pStyle w:val="FootnoteText"/>
      </w:pPr>
      <w:r>
        <w:rPr>
          <w:rStyle w:val="FootnoteReference"/>
        </w:rPr>
        <w:footnoteRef/>
      </w:r>
      <w:r>
        <w:t xml:space="preserve"> Cross-references for "the tenth": Esth 2:16.</w:t>
      </w:r>
    </w:p>
  </w:footnote>
  <w:footnote w:id="12707">
    <w:p>
      <w:pPr>
        <w:pStyle w:val="FootnoteText"/>
      </w:pPr>
      <w:r>
        <w:rPr>
          <w:rStyle w:val="FootnoteReference"/>
        </w:rPr>
        <w:footnoteRef/>
      </w:r>
      <w:r>
        <w:t xml:space="preserve"> Name meaning: Baruch (Barukh) — Blessed. Jeremiah's scribe whose name means blessed.</w:t>
      </w:r>
    </w:p>
  </w:footnote>
  <w:footnote w:id="12708">
    <w:p>
      <w:pPr>
        <w:pStyle w:val="FootnoteText"/>
      </w:pPr>
      <w:r>
        <w:rPr>
          <w:rStyle w:val="FootnoteReference"/>
        </w:rPr>
        <w:footnoteRef/>
      </w:r>
      <w:r>
        <w:t xml:space="preserve"> Cross-references for "bound": Ps 68:6; Ps 107:16.</w:t>
      </w:r>
    </w:p>
  </w:footnote>
  <w:footnote w:id="12709">
    <w:p>
      <w:pPr>
        <w:pStyle w:val="FootnoteText"/>
      </w:pPr>
      <w:r>
        <w:rPr>
          <w:rStyle w:val="FootnoteReference"/>
        </w:rPr>
        <w:footnoteRef/>
      </w:r>
      <w:r>
        <w:t xml:space="preserve"> Cross-references for "the Lord": Deut 29:24-28; 1Kgs 9:8-9.</w:t>
      </w:r>
    </w:p>
  </w:footnote>
  <w:footnote w:id="12710">
    <w:p>
      <w:pPr>
        <w:pStyle w:val="FootnoteText"/>
      </w:pPr>
      <w:r>
        <w:rPr>
          <w:rStyle w:val="FootnoteReference"/>
        </w:rPr>
        <w:footnoteRef/>
      </w:r>
      <w:r>
        <w:t xml:space="preserve"> Cross-references for "fear": Gen 49:15; Ps 37:3.</w:t>
      </w:r>
    </w:p>
  </w:footnote>
  <w:footnote w:id="12711">
    <w:p>
      <w:pPr>
        <w:pStyle w:val="FootnoteText"/>
      </w:pPr>
      <w:r>
        <w:rPr>
          <w:rStyle w:val="FootnoteReference"/>
        </w:rPr>
        <w:footnoteRef/>
      </w:r>
      <w:r>
        <w:t xml:space="preserve"> MT/LXX note: Jeremiah 40:14-26 in this LXX-numbered edition supplies MT Jeremiah 33:14-26 for completeness. These verses are present in the Masoretic Text, absent from the LXX text used here, and are not quoted in the New Testament. They are bracketed in the main text to mark that status.</w:t>
      </w:r>
    </w:p>
  </w:footnote>
  <w:footnote w:id="12712">
    <w:p>
      <w:pPr>
        <w:pStyle w:val="FootnoteText"/>
      </w:pPr>
      <w:r>
        <w:rPr>
          <w:rStyle w:val="FootnoteReference"/>
        </w:rPr>
        <w:footnoteRef/>
      </w:r>
      <w:r>
        <w:t xml:space="preserve"> People-name: Rechabites. People-name meaning: Rechabites — square; chariot with team of four horses. Source form: Rechabites.</w:t>
      </w:r>
    </w:p>
  </w:footnote>
  <w:footnote w:id="12713">
    <w:p>
      <w:pPr>
        <w:pStyle w:val="FootnoteText"/>
      </w:pPr>
      <w:r>
        <w:rPr>
          <w:rStyle w:val="FootnoteReference"/>
        </w:rPr>
        <w:footnoteRef/>
      </w:r>
      <w:r>
        <w:t xml:space="preserve"> Personal name: Jaazaniah. Personal-name meaning: Jaazaniah — Yahweh hears. Source form: Jaazaniah.</w:t>
      </w:r>
    </w:p>
  </w:footnote>
  <w:footnote w:id="12714">
    <w:p>
      <w:pPr>
        <w:pStyle w:val="FootnoteText"/>
      </w:pPr>
      <w:r>
        <w:rPr>
          <w:rStyle w:val="FootnoteReference"/>
        </w:rPr>
        <w:footnoteRef/>
      </w:r>
      <w:r>
        <w:t xml:space="preserve"> Personal name: Jehudi. Personal-name meaning: Jehudi — praising; conferring. Source form: Jehudi.</w:t>
      </w:r>
    </w:p>
  </w:footnote>
  <w:footnote w:id="12715">
    <w:p>
      <w:pPr>
        <w:pStyle w:val="FootnoteText"/>
      </w:pPr>
      <w:r>
        <w:rPr>
          <w:rStyle w:val="FootnoteReference"/>
        </w:rPr>
        <w:footnoteRef/>
      </w:r>
      <w:r>
        <w:t xml:space="preserve"> Place name: Chusi. Place-name meaning: Chusi — Cushite; blackness. Source form: Chusi. Greek form: χουσι.</w:t>
      </w:r>
    </w:p>
  </w:footnote>
  <w:footnote w:id="12716">
    <w:p>
      <w:pPr>
        <w:pStyle w:val="FootnoteText"/>
      </w:pPr>
      <w:r>
        <w:rPr>
          <w:rStyle w:val="FootnoteReference"/>
        </w:rPr>
        <w:footnoteRef/>
      </w:r>
      <w:r>
        <w:t xml:space="preserve"> Personal name: Esriel. Personal-name meaning: Azriel — help of God. Standard English equivalent: Azriel. Source form: Esriel.</w:t>
      </w:r>
    </w:p>
  </w:footnote>
  <w:footnote w:id="12717">
    <w:p>
      <w:pPr>
        <w:pStyle w:val="FootnoteText"/>
      </w:pPr>
      <w:r>
        <w:rPr>
          <w:rStyle w:val="FootnoteReference"/>
        </w:rPr>
        <w:footnoteRef/>
      </w:r>
      <w:r>
        <w:t xml:space="preserve"> Personal name: Mattan. Personal-name meaning: Mattan — gifts; rains. Source form: Mattan.</w:t>
      </w:r>
    </w:p>
  </w:footnote>
  <w:footnote w:id="12718">
    <w:p>
      <w:pPr>
        <w:pStyle w:val="FootnoteText"/>
      </w:pPr>
      <w:r>
        <w:rPr>
          <w:rStyle w:val="FootnoteReference"/>
        </w:rPr>
        <w:footnoteRef/>
      </w:r>
      <w:r>
        <w:t xml:space="preserve"> Personal name: Ebed-melech. Personal-name meaning: Ebed-melech — the king's servant. Source form: Ebed-melech.</w:t>
      </w:r>
    </w:p>
  </w:footnote>
  <w:footnote w:id="12719">
    <w:p>
      <w:pPr>
        <w:pStyle w:val="FootnoteText"/>
      </w:pPr>
      <w:r>
        <w:rPr>
          <w:rStyle w:val="FootnoteReference"/>
        </w:rPr>
        <w:footnoteRef/>
      </w:r>
      <w:r>
        <w:t xml:space="preserve"> Cross-references for "against": Gen 10:5; Num 23:9.</w:t>
      </w:r>
    </w:p>
  </w:footnote>
  <w:footnote w:id="12720">
    <w:p>
      <w:pPr>
        <w:pStyle w:val="FootnoteText"/>
      </w:pPr>
      <w:r>
        <w:rPr>
          <w:rStyle w:val="FootnoteReference"/>
        </w:rPr>
        <w:footnoteRef/>
      </w:r>
      <w:r>
        <w:t xml:space="preserve"> Cross-references for "the Lord": Exod 6:1; Deut 11:23.</w:t>
      </w:r>
    </w:p>
  </w:footnote>
  <w:footnote w:id="12721">
    <w:p>
      <w:pPr>
        <w:pStyle w:val="FootnoteText"/>
      </w:pPr>
      <w:r>
        <w:rPr>
          <w:rStyle w:val="FootnoteReference"/>
        </w:rPr>
        <w:footnoteRef/>
      </w:r>
      <w:r>
        <w:t xml:space="preserve"> Personal name: Kareah. Personal-name meaning: Kareah — bald; ice. Source form: Kareah.</w:t>
      </w:r>
    </w:p>
  </w:footnote>
  <w:footnote w:id="12722">
    <w:p>
      <w:pPr>
        <w:pStyle w:val="FootnoteText"/>
      </w:pPr>
      <w:r>
        <w:rPr>
          <w:rStyle w:val="FootnoteReference"/>
        </w:rPr>
        <w:footnoteRef/>
      </w:r>
      <w:r>
        <w:t xml:space="preserve"> Personal name: Ephai. Personal-name meaning: Ephai — gloomy; dark. Source form: Ephai.</w:t>
      </w:r>
    </w:p>
  </w:footnote>
  <w:footnote w:id="12723">
    <w:p>
      <w:pPr>
        <w:pStyle w:val="FootnoteText"/>
      </w:pPr>
      <w:r>
        <w:rPr>
          <w:rStyle w:val="FootnoteReference"/>
        </w:rPr>
        <w:footnoteRef/>
      </w:r>
      <w:r>
        <w:t xml:space="preserve"> Personal name: Baalis. Personal-name meaning: Baalis — a rejoicing; a proud lord. Source form: Baalis.</w:t>
      </w:r>
    </w:p>
  </w:footnote>
  <w:footnote w:id="12724">
    <w:p>
      <w:pPr>
        <w:pStyle w:val="FootnoteText"/>
      </w:pPr>
      <w:r>
        <w:rPr>
          <w:rStyle w:val="FootnoteReference"/>
        </w:rPr>
        <w:footnoteRef/>
      </w:r>
      <w:r>
        <w:t xml:space="preserve"> Place name: Elasa. Place-name meaning: Elasa — the doings of God. Source form: Elasa. Greek form: ελασα.</w:t>
      </w:r>
    </w:p>
  </w:footnote>
  <w:footnote w:id="12725">
    <w:p>
      <w:pPr>
        <w:pStyle w:val="FootnoteText"/>
      </w:pPr>
      <w:r>
        <w:rPr>
          <w:rStyle w:val="FootnoteReference"/>
        </w:rPr>
        <w:footnoteRef/>
      </w:r>
      <w:r>
        <w:t xml:space="preserve"> Cross-references for "Jeremiah": 2Sam 23:2; 2Pet 1:21.</w:t>
      </w:r>
    </w:p>
  </w:footnote>
  <w:footnote w:id="12726">
    <w:p>
      <w:pPr>
        <w:pStyle w:val="FootnoteText"/>
      </w:pPr>
      <w:r>
        <w:rPr>
          <w:rStyle w:val="FootnoteReference"/>
        </w:rPr>
        <w:footnoteRef/>
      </w:r>
      <w:r>
        <w:t xml:space="preserve"> Place name: Pathros. Place-name meaning: Pathros — southern land; region of upper Egypt. Source form: Pathros. Greek form: παθουρης.</w:t>
      </w:r>
    </w:p>
  </w:footnote>
  <w:footnote w:id="12727">
    <w:p>
      <w:pPr>
        <w:pStyle w:val="FootnoteText"/>
      </w:pPr>
      <w:r>
        <w:rPr>
          <w:rStyle w:val="FootnoteReference"/>
        </w:rPr>
        <w:footnoteRef/>
      </w:r>
      <w:r>
        <w:t xml:space="preserve"> Personal name: Hophra. Personal-name meaning: Hophra — Pharaoh Hophra; Egyptian royal name. Source form: Hophra.</w:t>
      </w:r>
    </w:p>
  </w:footnote>
  <w:footnote w:id="12728">
    <w:p>
      <w:pPr>
        <w:pStyle w:val="FootnoteText"/>
      </w:pPr>
      <w:r>
        <w:rPr>
          <w:rStyle w:val="FootnoteReference"/>
        </w:rPr>
        <w:footnoteRef/>
      </w:r>
      <w:r>
        <w:t xml:space="preserve"> Cross-references for "Libnah": Josh 10:29; Josh 15:42.</w:t>
      </w:r>
    </w:p>
  </w:footnote>
  <w:footnote w:id="12729">
    <w:p>
      <w:pPr>
        <w:pStyle w:val="FootnoteText"/>
      </w:pPr>
      <w:r>
        <w:rPr>
          <w:rStyle w:val="FootnoteReference"/>
        </w:rPr>
        <w:footnoteRef/>
      </w:r>
      <w:r>
        <w:t xml:space="preserve"> Cross-references for "the ninth year": 2Kgs 25:1-27; Jer 39:1.</w:t>
      </w:r>
    </w:p>
  </w:footnote>
  <w:footnote w:id="12730">
    <w:p>
      <w:pPr>
        <w:pStyle w:val="FootnoteText"/>
      </w:pPr>
      <w:r>
        <w:rPr>
          <w:rStyle w:val="FootnoteReference"/>
        </w:rPr>
        <w:footnoteRef/>
      </w:r>
      <w:r>
        <w:t xml:space="preserve"> Cross-references for "the famine": Lev 26:26; Deut 28:52-53.</w:t>
      </w:r>
    </w:p>
  </w:footnote>
  <w:footnote w:id="12731">
    <w:p>
      <w:pPr>
        <w:pStyle w:val="FootnoteText"/>
      </w:pPr>
      <w:r>
        <w:rPr>
          <w:rStyle w:val="FootnoteReference"/>
        </w:rPr>
        <w:footnoteRef/>
      </w:r>
      <w:r>
        <w:t xml:space="preserve"> Cross-references for "all the men": Lev 26:17; Lev 26:36.</w:t>
      </w:r>
    </w:p>
  </w:footnote>
  <w:footnote w:id="12732">
    <w:p>
      <w:pPr>
        <w:pStyle w:val="FootnoteText"/>
      </w:pPr>
      <w:r>
        <w:rPr>
          <w:rStyle w:val="FootnoteReference"/>
        </w:rPr>
        <w:footnoteRef/>
      </w:r>
      <w:r>
        <w:t xml:space="preserve"> Cross-references for "Riblah": 2Kgs 23:33; 2Kgs 25:6.</w:t>
      </w:r>
    </w:p>
  </w:footnote>
  <w:footnote w:id="12733">
    <w:p>
      <w:pPr>
        <w:pStyle w:val="FootnoteText"/>
      </w:pPr>
      <w:r>
        <w:rPr>
          <w:rStyle w:val="FootnoteReference"/>
        </w:rPr>
        <w:footnoteRef/>
      </w:r>
      <w:r>
        <w:t xml:space="preserve"> Cross-references for "fifth": 2Kgs 25:8; Zech 7:3-5.</w:t>
      </w:r>
    </w:p>
  </w:footnote>
  <w:footnote w:id="12734">
    <w:p>
      <w:pPr>
        <w:pStyle w:val="FootnoteText"/>
      </w:pPr>
      <w:r>
        <w:rPr>
          <w:rStyle w:val="FootnoteReference"/>
        </w:rPr>
        <w:footnoteRef/>
      </w:r>
      <w:r>
        <w:t xml:space="preserve"> Cross-references for "burned": 2Kgs 25:9; 2Chr 36:19.</w:t>
      </w:r>
    </w:p>
  </w:footnote>
  <w:footnote w:id="12735">
    <w:p>
      <w:pPr>
        <w:pStyle w:val="FootnoteText"/>
      </w:pPr>
      <w:r>
        <w:rPr>
          <w:rStyle w:val="FootnoteReference"/>
        </w:rPr>
        <w:footnoteRef/>
      </w:r>
      <w:r>
        <w:t xml:space="preserve"> Cross-references for "pillars": 1Kgs 7:15-22; 1Kgs 7:27.</w:t>
      </w:r>
    </w:p>
  </w:footnote>
  <w:footnote w:id="12736">
    <w:p>
      <w:pPr>
        <w:pStyle w:val="FootnoteText"/>
      </w:pPr>
      <w:r>
        <w:rPr>
          <w:rStyle w:val="FootnoteReference"/>
        </w:rPr>
        <w:footnoteRef/>
      </w:r>
      <w:r>
        <w:t xml:space="preserve"> Cross-references for "bowls": Exod 25:29; Exod 37:16.</w:t>
      </w:r>
    </w:p>
  </w:footnote>
  <w:footnote w:id="12737">
    <w:p>
      <w:pPr>
        <w:pStyle w:val="FootnoteText"/>
      </w:pPr>
      <w:r>
        <w:rPr>
          <w:rStyle w:val="FootnoteReference"/>
        </w:rPr>
        <w:footnoteRef/>
      </w:r>
      <w:r>
        <w:t xml:space="preserve"> Cross-references for "Riblah": Num 34:8-11; 2Sam 8:9.</w:t>
      </w:r>
    </w:p>
  </w:footnote>
  <w:footnote w:id="12738">
    <w:p>
      <w:pPr>
        <w:pStyle w:val="FootnoteText"/>
      </w:pPr>
      <w:r>
        <w:rPr>
          <w:rStyle w:val="FootnoteReference"/>
        </w:rPr>
        <w:footnoteRef/>
      </w:r>
      <w:r>
        <w:t xml:space="preserve"> Transliterated proper noun: Evil-merodach. Standard English equivalent: Evilmerodach. Source form: Evil-merodach. Greek form: ουλαιμαραδαχ. Name meaning: the fool of Merodach; the fool grinds bitterly.</w:t>
      </w:r>
    </w:p>
  </w:footnote>
  <w:footnote w:id="12739">
    <w:p>
      <w:pPr>
        <w:pStyle w:val="FootnoteText"/>
      </w:pPr>
      <w:r>
        <w:rPr>
          <w:rStyle w:val="FootnoteReference"/>
        </w:rPr>
        <w:footnoteRef/>
      </w:r>
      <w:r>
        <w:t xml:space="preserve"> Cross-references for "king of Babylon": Prov 21:1.</w:t>
      </w:r>
    </w:p>
  </w:footnote>
  <w:footnote w:id="12740">
    <w:p>
      <w:pPr>
        <w:pStyle w:val="FootnoteText"/>
      </w:pPr>
      <w:r>
        <w:rPr>
          <w:rStyle w:val="FootnoteReference"/>
        </w:rPr>
        <w:footnoteRef/>
      </w:r>
      <w:r>
        <w:t xml:space="preserve"> Cross-references for "changed": Gen 41:14; Gen 41:42.</w:t>
      </w:r>
    </w:p>
  </w:footnote>
  <w:footnote w:id="12741">
    <w:p>
      <w:pPr>
        <w:pStyle w:val="FootnoteText"/>
      </w:pPr>
      <w:r>
        <w:rPr>
          <w:rStyle w:val="FootnoteReference"/>
        </w:rPr>
        <w:footnoteRef/>
      </w:r>
      <w:r>
        <w:t xml:space="preserve"> Cross-references for "among": Jer 4:30; Jer 22:20-22.</w:t>
      </w:r>
    </w:p>
  </w:footnote>
  <w:footnote w:id="12742">
    <w:p>
      <w:pPr>
        <w:pStyle w:val="FootnoteText"/>
      </w:pPr>
      <w:r>
        <w:rPr>
          <w:rStyle w:val="FootnoteReference"/>
        </w:rPr>
        <w:footnoteRef/>
      </w:r>
      <w:r>
        <w:t xml:space="preserve"> Cross-references for "All her gates": Jer 9:11; Jer 10:22.</w:t>
      </w:r>
    </w:p>
  </w:footnote>
  <w:footnote w:id="12743">
    <w:p>
      <w:pPr>
        <w:pStyle w:val="FootnoteText"/>
      </w:pPr>
      <w:r>
        <w:rPr>
          <w:rStyle w:val="FootnoteReference"/>
        </w:rPr>
        <w:footnoteRef/>
      </w:r>
      <w:r>
        <w:t xml:space="preserve"> Cross-references for "remembered": Job 29:2-25; Job 30:1.</w:t>
      </w:r>
    </w:p>
  </w:footnote>
  <w:footnote w:id="12744">
    <w:p>
      <w:pPr>
        <w:pStyle w:val="FootnoteText"/>
      </w:pPr>
      <w:r>
        <w:rPr>
          <w:rStyle w:val="FootnoteReference"/>
        </w:rPr>
        <w:footnoteRef/>
      </w:r>
      <w:r>
        <w:t xml:space="preserve"> Cross-references for "spread": Isa 5:13-14; Jer 15:13.</w:t>
      </w:r>
    </w:p>
  </w:footnote>
  <w:footnote w:id="12745">
    <w:p>
      <w:pPr>
        <w:pStyle w:val="FootnoteText"/>
      </w:pPr>
      <w:r>
        <w:rPr>
          <w:rStyle w:val="FootnoteReference"/>
        </w:rPr>
        <w:footnoteRef/>
      </w:r>
      <w:r>
        <w:t xml:space="preserve"> Cross-references for "desolate": Deut 28:65; Jer 4:19-29.</w:t>
      </w:r>
    </w:p>
  </w:footnote>
  <w:footnote w:id="12746">
    <w:p>
      <w:pPr>
        <w:pStyle w:val="FootnoteText"/>
      </w:pPr>
      <w:r>
        <w:rPr>
          <w:rStyle w:val="FootnoteReference"/>
        </w:rPr>
        <w:footnoteRef/>
      </w:r>
      <w:r>
        <w:t xml:space="preserve"> Cross-references for "crush": Deut 28:33; Judg 10:8.</w:t>
      </w:r>
    </w:p>
  </w:footnote>
  <w:footnote w:id="12747">
    <w:p>
      <w:pPr>
        <w:pStyle w:val="FootnoteText"/>
      </w:pPr>
      <w:r>
        <w:rPr>
          <w:rStyle w:val="FootnoteReference"/>
        </w:rPr>
        <w:footnoteRef/>
      </w:r>
      <w:r>
        <w:t xml:space="preserve"> Translation note: The Greek uses the winepress image directly. The translation keeps that image explicit in readable English.</w:t>
      </w:r>
    </w:p>
  </w:footnote>
  <w:footnote w:id="12748">
    <w:p>
      <w:pPr>
        <w:pStyle w:val="FootnoteText"/>
      </w:pPr>
      <w:r>
        <w:rPr>
          <w:rStyle w:val="FootnoteReference"/>
        </w:rPr>
        <w:footnoteRef/>
      </w:r>
      <w:r>
        <w:t xml:space="preserve"> Cross-references for "commanded": 2Kgs 24:2-4; 2Kgs 25:1.</w:t>
      </w:r>
    </w:p>
  </w:footnote>
  <w:footnote w:id="12749">
    <w:p>
      <w:pPr>
        <w:pStyle w:val="FootnoteText"/>
      </w:pPr>
      <w:r>
        <w:rPr>
          <w:rStyle w:val="FootnoteReference"/>
        </w:rPr>
        <w:footnoteRef/>
      </w:r>
      <w:r>
        <w:t xml:space="preserve"> Cross-references for "Hear": Deut 29:22-28; 1Kgs 9:8-9.</w:t>
      </w:r>
    </w:p>
  </w:footnote>
  <w:footnote w:id="12750">
    <w:p>
      <w:pPr>
        <w:pStyle w:val="FootnoteText"/>
      </w:pPr>
      <w:r>
        <w:rPr>
          <w:rStyle w:val="FootnoteReference"/>
        </w:rPr>
        <w:footnoteRef/>
      </w:r>
      <w:r>
        <w:t xml:space="preserve"> Cross-references for "My priests": Jer 14:15-18; Jer 23:11-15.</w:t>
      </w:r>
    </w:p>
  </w:footnote>
  <w:footnote w:id="12751">
    <w:p>
      <w:pPr>
        <w:pStyle w:val="FootnoteText"/>
      </w:pPr>
      <w:r>
        <w:rPr>
          <w:rStyle w:val="FootnoteReference"/>
        </w:rPr>
        <w:footnoteRef/>
      </w:r>
      <w:r>
        <w:t xml:space="preserve"> Cross-references for "all their": Neh 4:4-5; Ps 109:14-15.</w:t>
      </w:r>
    </w:p>
  </w:footnote>
  <w:footnote w:id="12752">
    <w:p>
      <w:pPr>
        <w:pStyle w:val="FootnoteText"/>
      </w:pPr>
      <w:r>
        <w:rPr>
          <w:rStyle w:val="FootnoteReference"/>
        </w:rPr>
        <w:footnoteRef/>
      </w:r>
      <w:r>
        <w:t xml:space="preserve"> Translation note: The Greek states the fall of Israel's glory directly. The current wording preserves that line.</w:t>
      </w:r>
    </w:p>
  </w:footnote>
  <w:footnote w:id="12753">
    <w:p>
      <w:pPr>
        <w:pStyle w:val="FootnoteText"/>
      </w:pPr>
      <w:r>
        <w:rPr>
          <w:rStyle w:val="FootnoteReference"/>
        </w:rPr>
        <w:footnoteRef/>
      </w:r>
      <w:r>
        <w:t xml:space="preserve"> Cross-references for "bent": Job 6:4; Job 16:12-14.</w:t>
      </w:r>
    </w:p>
  </w:footnote>
  <w:footnote w:id="12754">
    <w:p>
      <w:pPr>
        <w:pStyle w:val="FootnoteText"/>
      </w:pPr>
      <w:r>
        <w:rPr>
          <w:rStyle w:val="FootnoteReference"/>
        </w:rPr>
        <w:footnoteRef/>
      </w:r>
      <w:r>
        <w:t xml:space="preserve"> Translation note: The Greek joins feast and sabbath in a direct loss formula. The translation preserves that line in readable English.</w:t>
      </w:r>
    </w:p>
  </w:footnote>
  <w:footnote w:id="12755">
    <w:p>
      <w:pPr>
        <w:pStyle w:val="FootnoteText"/>
      </w:pPr>
      <w:r>
        <w:rPr>
          <w:rStyle w:val="FootnoteReference"/>
        </w:rPr>
        <w:footnoteRef/>
      </w:r>
      <w:r>
        <w:t xml:space="preserve"> Cross-references for "cast off": Lev 26:31; Lev 26:44.</w:t>
      </w:r>
    </w:p>
  </w:footnote>
  <w:footnote w:id="12756">
    <w:p>
      <w:pPr>
        <w:pStyle w:val="FootnoteText"/>
      </w:pPr>
      <w:r>
        <w:rPr>
          <w:rStyle w:val="FootnoteReference"/>
        </w:rPr>
        <w:footnoteRef/>
      </w:r>
      <w:r>
        <w:t xml:space="preserve"> Cross-references for "stretched": 2Sam 8:2; 2Kgs 21:13.</w:t>
      </w:r>
    </w:p>
  </w:footnote>
  <w:footnote w:id="12757">
    <w:p>
      <w:pPr>
        <w:pStyle w:val="FootnoteText"/>
      </w:pPr>
      <w:r>
        <w:rPr>
          <w:rStyle w:val="FootnoteReference"/>
        </w:rPr>
        <w:footnoteRef/>
      </w:r>
      <w:r>
        <w:t xml:space="preserve"> Cross-references for "gates": Neh 1:3; Jer 39:2.</w:t>
      </w:r>
    </w:p>
  </w:footnote>
  <w:footnote w:id="12758">
    <w:p>
      <w:pPr>
        <w:pStyle w:val="FootnoteText"/>
      </w:pPr>
      <w:r>
        <w:rPr>
          <w:rStyle w:val="FootnoteReference"/>
        </w:rPr>
        <w:footnoteRef/>
      </w:r>
      <w:r>
        <w:t xml:space="preserve"> Translation note: The Greek frames the prophetic lack as no vision from the Lord. The current wording keeps that source-row wording.</w:t>
      </w:r>
    </w:p>
  </w:footnote>
  <w:footnote w:id="12759">
    <w:p>
      <w:pPr>
        <w:pStyle w:val="FootnoteText"/>
      </w:pPr>
      <w:r>
        <w:rPr>
          <w:rStyle w:val="FootnoteReference"/>
        </w:rPr>
        <w:footnoteRef/>
      </w:r>
      <w:r>
        <w:t xml:space="preserve"> Cross-references for "elders": Job 2:13; Isa 3:26.</w:t>
      </w:r>
    </w:p>
  </w:footnote>
  <w:footnote w:id="12760">
    <w:p>
      <w:pPr>
        <w:pStyle w:val="FootnoteText"/>
      </w:pPr>
      <w:r>
        <w:rPr>
          <w:rStyle w:val="FootnoteReference"/>
        </w:rPr>
        <w:footnoteRef/>
      </w:r>
      <w:r>
        <w:t xml:space="preserve"> Cross-references for "eyes": 1Sam 30:4; Ps 6:7.</w:t>
      </w:r>
    </w:p>
  </w:footnote>
  <w:footnote w:id="12761">
    <w:p>
      <w:pPr>
        <w:pStyle w:val="FootnoteText"/>
      </w:pPr>
      <w:r>
        <w:rPr>
          <w:rStyle w:val="FootnoteReference"/>
        </w:rPr>
        <w:footnoteRef/>
      </w:r>
      <w:r>
        <w:t xml:space="preserve"> Cross-references for "prophets": Isa 9:15-16; Jer 2:8.</w:t>
      </w:r>
    </w:p>
  </w:footnote>
  <w:footnote w:id="12762">
    <w:p>
      <w:pPr>
        <w:pStyle w:val="FootnoteText"/>
      </w:pPr>
      <w:r>
        <w:rPr>
          <w:rStyle w:val="FootnoteReference"/>
        </w:rPr>
        <w:footnoteRef/>
      </w:r>
      <w:r>
        <w:t xml:space="preserve"> Cross-references for "Is this": Ps 48:2; Ps 50:2.</w:t>
      </w:r>
    </w:p>
  </w:footnote>
  <w:footnote w:id="12763">
    <w:p>
      <w:pPr>
        <w:pStyle w:val="FootnoteText"/>
      </w:pPr>
      <w:r>
        <w:rPr>
          <w:rStyle w:val="FootnoteReference"/>
        </w:rPr>
        <w:footnoteRef/>
      </w:r>
      <w:r>
        <w:t xml:space="preserve"> Cross-references for "cry out": Ps 42:8; Ps 62:8.</w:t>
      </w:r>
    </w:p>
  </w:footnote>
  <w:footnote w:id="12764">
    <w:p>
      <w:pPr>
        <w:pStyle w:val="FootnoteText"/>
      </w:pPr>
      <w:r>
        <w:rPr>
          <w:rStyle w:val="FootnoteReference"/>
        </w:rPr>
        <w:footnoteRef/>
      </w:r>
      <w:r>
        <w:t xml:space="preserve"> Cross-references for "Young": Deut 28:50; Josh 6:21.</w:t>
      </w:r>
    </w:p>
  </w:footnote>
  <w:footnote w:id="12765">
    <w:p>
      <w:pPr>
        <w:pStyle w:val="FootnoteText"/>
      </w:pPr>
      <w:r>
        <w:rPr>
          <w:rStyle w:val="FootnoteReference"/>
        </w:rPr>
        <w:footnoteRef/>
      </w:r>
      <w:r>
        <w:t xml:space="preserve"> Cross-references for "the man": Job 19:21; Ps 71:20.</w:t>
      </w:r>
    </w:p>
  </w:footnote>
  <w:footnote w:id="12766">
    <w:p>
      <w:pPr>
        <w:pStyle w:val="FootnoteText"/>
      </w:pPr>
      <w:r>
        <w:rPr>
          <w:rStyle w:val="FootnoteReference"/>
        </w:rPr>
        <w:footnoteRef/>
      </w:r>
      <w:r>
        <w:t xml:space="preserve"> Cross-references for "my flesh": Job 16:8-9; Ps 31:9-10.</w:t>
      </w:r>
    </w:p>
  </w:footnote>
  <w:footnote w:id="12767">
    <w:p>
      <w:pPr>
        <w:pStyle w:val="FootnoteText"/>
      </w:pPr>
      <w:r>
        <w:rPr>
          <w:rStyle w:val="FootnoteReference"/>
        </w:rPr>
        <w:footnoteRef/>
      </w:r>
      <w:r>
        <w:t xml:space="preserve"> Cross-references for "In dark": Ps 88:5-6; Ps 143:3.</w:t>
      </w:r>
    </w:p>
  </w:footnote>
  <w:footnote w:id="12768">
    <w:p>
      <w:pPr>
        <w:pStyle w:val="FootnoteText"/>
      </w:pPr>
      <w:r>
        <w:rPr>
          <w:rStyle w:val="FootnoteReference"/>
        </w:rPr>
        <w:footnoteRef/>
      </w:r>
      <w:r>
        <w:t xml:space="preserve"> Cross-references for "made": Lam 1:14; Lam 5:5.</w:t>
      </w:r>
    </w:p>
  </w:footnote>
  <w:footnote w:id="12769">
    <w:p>
      <w:pPr>
        <w:pStyle w:val="FootnoteText"/>
      </w:pPr>
      <w:r>
        <w:rPr>
          <w:rStyle w:val="FootnoteReference"/>
        </w:rPr>
        <w:footnoteRef/>
      </w:r>
      <w:r>
        <w:t xml:space="preserve"> Cross-references for "bent": Job 6:4; Job 7:20.</w:t>
      </w:r>
    </w:p>
  </w:footnote>
  <w:footnote w:id="12770">
    <w:p>
      <w:pPr>
        <w:pStyle w:val="FootnoteText"/>
      </w:pPr>
      <w:r>
        <w:rPr>
          <w:rStyle w:val="FootnoteReference"/>
        </w:rPr>
        <w:footnoteRef/>
      </w:r>
      <w:r>
        <w:t xml:space="preserve"> Cross-references for "arrows": Deut 32:23; Job 6:4.</w:t>
      </w:r>
    </w:p>
  </w:footnote>
  <w:footnote w:id="12771">
    <w:p>
      <w:pPr>
        <w:pStyle w:val="FootnoteText"/>
      </w:pPr>
      <w:r>
        <w:rPr>
          <w:rStyle w:val="FootnoteReference"/>
        </w:rPr>
        <w:footnoteRef/>
      </w:r>
      <w:r>
        <w:t xml:space="preserve"> Cross-references for "filled": Ruth 1:20; Job 9:18.</w:t>
      </w:r>
    </w:p>
  </w:footnote>
  <w:footnote w:id="12772">
    <w:p>
      <w:pPr>
        <w:pStyle w:val="FootnoteText"/>
      </w:pPr>
      <w:r>
        <w:rPr>
          <w:rStyle w:val="FootnoteReference"/>
        </w:rPr>
        <w:footnoteRef/>
      </w:r>
      <w:r>
        <w:t xml:space="preserve"> Cross-references for "gravel": Prov 20:17; Matt 7:9.</w:t>
      </w:r>
    </w:p>
  </w:footnote>
  <w:footnote w:id="12773">
    <w:p>
      <w:pPr>
        <w:pStyle w:val="FootnoteText"/>
      </w:pPr>
      <w:r>
        <w:rPr>
          <w:rStyle w:val="FootnoteReference"/>
        </w:rPr>
        <w:footnoteRef/>
      </w:r>
      <w:r>
        <w:t xml:space="preserve"> Cross-references for "therefore": Ps 119:81; Ps 130:7.</w:t>
      </w:r>
    </w:p>
  </w:footnote>
  <w:footnote w:id="12774">
    <w:p>
      <w:pPr>
        <w:pStyle w:val="FootnoteText"/>
      </w:pPr>
      <w:r>
        <w:rPr>
          <w:rStyle w:val="FootnoteReference"/>
        </w:rPr>
        <w:footnoteRef/>
      </w:r>
      <w:r>
        <w:t xml:space="preserve"> Translation note: The Greek keeps the waiting-for-Lord line compact and direct. The translation preserves it in readable English.</w:t>
      </w:r>
    </w:p>
  </w:footnote>
  <w:footnote w:id="12775">
    <w:p>
      <w:pPr>
        <w:pStyle w:val="FootnoteText"/>
      </w:pPr>
      <w:r>
        <w:rPr>
          <w:rStyle w:val="FootnoteReference"/>
        </w:rPr>
        <w:footnoteRef/>
      </w:r>
      <w:r>
        <w:t xml:space="preserve"> Cross-references for "good": Gen 49:18; Ps 25:8.</w:t>
      </w:r>
    </w:p>
  </w:footnote>
  <w:footnote w:id="12776">
    <w:p>
      <w:pPr>
        <w:pStyle w:val="FootnoteText"/>
      </w:pPr>
      <w:r>
        <w:rPr>
          <w:rStyle w:val="FootnoteReference"/>
        </w:rPr>
        <w:footnoteRef/>
      </w:r>
      <w:r>
        <w:t xml:space="preserve"> Translation note: The Greek ties quiet waiting to salvation of the Lord. The current wording keeps that line explicit.</w:t>
      </w:r>
    </w:p>
  </w:footnote>
  <w:footnote w:id="12777">
    <w:p>
      <w:pPr>
        <w:pStyle w:val="FootnoteText"/>
      </w:pPr>
      <w:r>
        <w:rPr>
          <w:rStyle w:val="FootnoteReference"/>
        </w:rPr>
        <w:footnoteRef/>
      </w:r>
      <w:r>
        <w:t xml:space="preserve"> Cross-references for "filled": Ps 69:9; Ps 69:20.</w:t>
      </w:r>
    </w:p>
  </w:footnote>
  <w:footnote w:id="12778">
    <w:p>
      <w:pPr>
        <w:pStyle w:val="FootnoteText"/>
      </w:pPr>
      <w:r>
        <w:rPr>
          <w:rStyle w:val="FootnoteReference"/>
        </w:rPr>
        <w:footnoteRef/>
      </w:r>
      <w:r>
        <w:t xml:space="preserve"> Cross-references for "turn": Ps 12:5; Ps 140:12.</w:t>
      </w:r>
    </w:p>
  </w:footnote>
  <w:footnote w:id="12779">
    <w:p>
      <w:pPr>
        <w:pStyle w:val="FootnoteText"/>
      </w:pPr>
      <w:r>
        <w:rPr>
          <w:rStyle w:val="FootnoteReference"/>
        </w:rPr>
        <w:footnoteRef/>
      </w:r>
      <w:r>
        <w:t xml:space="preserve"> Cross-references for "the Lord": 2Sam 11:27; Isa 59:15.</w:t>
      </w:r>
    </w:p>
  </w:footnote>
  <w:footnote w:id="12780">
    <w:p>
      <w:pPr>
        <w:pStyle w:val="FootnoteText"/>
      </w:pPr>
      <w:r>
        <w:rPr>
          <w:rStyle w:val="FootnoteReference"/>
        </w:rPr>
        <w:footnoteRef/>
      </w:r>
      <w:r>
        <w:t xml:space="preserve"> Cross-references for "a man": Gen 4:5-7; Gen 4:13-14.</w:t>
      </w:r>
    </w:p>
  </w:footnote>
  <w:footnote w:id="12781">
    <w:p>
      <w:pPr>
        <w:pStyle w:val="FootnoteText"/>
      </w:pPr>
      <w:r>
        <w:rPr>
          <w:rStyle w:val="FootnoteReference"/>
        </w:rPr>
        <w:footnoteRef/>
      </w:r>
      <w:r>
        <w:t xml:space="preserve"> Cross-references for "turn": Deut 4:30; 2Chr 30:6.</w:t>
      </w:r>
    </w:p>
  </w:footnote>
  <w:footnote w:id="12782">
    <w:p>
      <w:pPr>
        <w:pStyle w:val="FootnoteText"/>
      </w:pPr>
      <w:r>
        <w:rPr>
          <w:rStyle w:val="FootnoteReference"/>
        </w:rPr>
        <w:footnoteRef/>
      </w:r>
      <w:r>
        <w:t xml:space="preserve"> Cross-references for "lift": Ps 25:1; Ps 86:4.</w:t>
      </w:r>
    </w:p>
  </w:footnote>
  <w:footnote w:id="12783">
    <w:p>
      <w:pPr>
        <w:pStyle w:val="FootnoteText"/>
      </w:pPr>
      <w:r>
        <w:rPr>
          <w:rStyle w:val="FootnoteReference"/>
        </w:rPr>
        <w:footnoteRef/>
      </w:r>
      <w:r>
        <w:t xml:space="preserve"> Cross-references for "covered": Ps 44:19; Lam 2:1.</w:t>
      </w:r>
    </w:p>
  </w:footnote>
  <w:footnote w:id="12784">
    <w:p>
      <w:pPr>
        <w:pStyle w:val="FootnoteText"/>
      </w:pPr>
      <w:r>
        <w:rPr>
          <w:rStyle w:val="FootnoteReference"/>
        </w:rPr>
        <w:footnoteRef/>
      </w:r>
      <w:r>
        <w:t xml:space="preserve"> Cross-references for "covered": Ps 97:2.</w:t>
      </w:r>
    </w:p>
  </w:footnote>
  <w:footnote w:id="12785">
    <w:p>
      <w:pPr>
        <w:pStyle w:val="FootnoteText"/>
      </w:pPr>
      <w:r>
        <w:rPr>
          <w:rStyle w:val="FootnoteReference"/>
        </w:rPr>
        <w:footnoteRef/>
      </w:r>
      <w:r>
        <w:t xml:space="preserve"> Translation note: Logos export supports reading καμμύσαι με as closing/blinding the speaker rather than blinking; the fresh wording keeps the combined clause about being placed among the peoples.</w:t>
      </w:r>
    </w:p>
  </w:footnote>
  <w:footnote w:id="12786">
    <w:p>
      <w:pPr>
        <w:pStyle w:val="FootnoteText"/>
      </w:pPr>
      <w:r>
        <w:rPr>
          <w:rStyle w:val="FootnoteReference"/>
        </w:rPr>
        <w:footnoteRef/>
      </w:r>
      <w:r>
        <w:t xml:space="preserve"> Cross-references for "Fear": Isa 24:17-18; Isa 51:19.</w:t>
      </w:r>
    </w:p>
  </w:footnote>
  <w:footnote w:id="12787">
    <w:p>
      <w:pPr>
        <w:pStyle w:val="FootnoteText"/>
      </w:pPr>
      <w:r>
        <w:rPr>
          <w:rStyle w:val="FootnoteReference"/>
        </w:rPr>
        <w:footnoteRef/>
      </w:r>
      <w:r>
        <w:t xml:space="preserve"> Cross-references for "the daughters": Jer 11:22; Jer 14:16.</w:t>
      </w:r>
    </w:p>
  </w:footnote>
  <w:footnote w:id="12788">
    <w:p>
      <w:pPr>
        <w:pStyle w:val="FootnoteText"/>
      </w:pPr>
      <w:r>
        <w:rPr>
          <w:rStyle w:val="FootnoteReference"/>
        </w:rPr>
        <w:footnoteRef/>
      </w:r>
      <w:r>
        <w:t xml:space="preserve"> Cross-references for "I said": Job 17:11-16; Ps 31:22.</w:t>
      </w:r>
    </w:p>
  </w:footnote>
  <w:footnote w:id="12789">
    <w:p>
      <w:pPr>
        <w:pStyle w:val="FootnoteText"/>
      </w:pPr>
      <w:r>
        <w:rPr>
          <w:rStyle w:val="FootnoteReference"/>
        </w:rPr>
        <w:footnoteRef/>
      </w:r>
      <w:r>
        <w:t xml:space="preserve"> Cross-references for "hide": Ps 55:1; Ps 88:13-14.</w:t>
      </w:r>
    </w:p>
  </w:footnote>
  <w:footnote w:id="12790">
    <w:p>
      <w:pPr>
        <w:pStyle w:val="FootnoteText"/>
      </w:pPr>
      <w:r>
        <w:rPr>
          <w:rStyle w:val="FootnoteReference"/>
        </w:rPr>
        <w:footnoteRef/>
      </w:r>
      <w:r>
        <w:t xml:space="preserve"> Cross-references for "lips": Ps 59:7; Ps 59:12.</w:t>
      </w:r>
    </w:p>
  </w:footnote>
  <w:footnote w:id="12791">
    <w:p>
      <w:pPr>
        <w:pStyle w:val="FootnoteText"/>
      </w:pPr>
      <w:r>
        <w:rPr>
          <w:rStyle w:val="FootnoteReference"/>
        </w:rPr>
        <w:footnoteRef/>
      </w:r>
      <w:r>
        <w:t xml:space="preserve"> Cross-references for "Their sitting": Ps 139:2.</w:t>
      </w:r>
    </w:p>
  </w:footnote>
  <w:footnote w:id="12792">
    <w:p>
      <w:pPr>
        <w:pStyle w:val="FootnoteText"/>
      </w:pPr>
      <w:r>
        <w:rPr>
          <w:rStyle w:val="FootnoteReference"/>
        </w:rPr>
        <w:footnoteRef/>
      </w:r>
      <w:r>
        <w:t xml:space="preserve"> Cross-references for "under": Deut 7:24; Deut 25:19.</w:t>
      </w:r>
    </w:p>
  </w:footnote>
  <w:footnote w:id="12793">
    <w:p>
      <w:pPr>
        <w:pStyle w:val="FootnoteText"/>
      </w:pPr>
      <w:r>
        <w:rPr>
          <w:rStyle w:val="FootnoteReference"/>
        </w:rPr>
        <w:footnoteRef/>
      </w:r>
      <w:r>
        <w:t xml:space="preserve"> Cross-references for "tongue": Ps 22:15; Ps 137:6.</w:t>
      </w:r>
    </w:p>
  </w:footnote>
  <w:footnote w:id="12794">
    <w:p>
      <w:pPr>
        <w:pStyle w:val="FootnoteText"/>
      </w:pPr>
      <w:r>
        <w:rPr>
          <w:rStyle w:val="FootnoteReference"/>
        </w:rPr>
        <w:footnoteRef/>
      </w:r>
      <w:r>
        <w:t xml:space="preserve"> People-name: Nazirites. People-name meaning: Nazirites — separated/consecrated ones. Source form: Nazirites.</w:t>
      </w:r>
    </w:p>
  </w:footnote>
  <w:footnote w:id="12795">
    <w:p>
      <w:pPr>
        <w:pStyle w:val="FootnoteText"/>
      </w:pPr>
      <w:r>
        <w:rPr>
          <w:rStyle w:val="FootnoteReference"/>
        </w:rPr>
        <w:footnoteRef/>
      </w:r>
      <w:r>
        <w:t xml:space="preserve"> Cross-references for "purer": 1Sam 16:12; Ps 51:7.</w:t>
      </w:r>
    </w:p>
  </w:footnote>
  <w:footnote w:id="12796">
    <w:p>
      <w:pPr>
        <w:pStyle w:val="FootnoteText"/>
      </w:pPr>
      <w:r>
        <w:rPr>
          <w:rStyle w:val="FootnoteReference"/>
        </w:rPr>
        <w:footnoteRef/>
      </w:r>
      <w:r>
        <w:t xml:space="preserve"> Cross-references for "Their skin": Job 19:20; Job 33:21.</w:t>
      </w:r>
    </w:p>
  </w:footnote>
  <w:footnote w:id="12797">
    <w:p>
      <w:pPr>
        <w:pStyle w:val="FootnoteText"/>
      </w:pPr>
      <w:r>
        <w:rPr>
          <w:rStyle w:val="FootnoteReference"/>
        </w:rPr>
        <w:footnoteRef/>
      </w:r>
      <w:r>
        <w:t xml:space="preserve"> Cross-references for "hands": 2Kgs 6:26-29; Lam 2:20.</w:t>
      </w:r>
    </w:p>
  </w:footnote>
  <w:footnote w:id="12798">
    <w:p>
      <w:pPr>
        <w:pStyle w:val="FootnoteText"/>
      </w:pPr>
      <w:r>
        <w:rPr>
          <w:rStyle w:val="FootnoteReference"/>
        </w:rPr>
        <w:footnoteRef/>
      </w:r>
      <w:r>
        <w:t xml:space="preserve"> Cross-references for "Lord": Lam 2:8; Lam 2:17.</w:t>
      </w:r>
    </w:p>
  </w:footnote>
  <w:footnote w:id="12799">
    <w:p>
      <w:pPr>
        <w:pStyle w:val="FootnoteText"/>
      </w:pPr>
      <w:r>
        <w:rPr>
          <w:rStyle w:val="FootnoteReference"/>
        </w:rPr>
        <w:footnoteRef/>
      </w:r>
      <w:r>
        <w:t xml:space="preserve"> Cross-references for "the sins": Jer 5:31; Jer 6:13.</w:t>
      </w:r>
    </w:p>
  </w:footnote>
  <w:footnote w:id="12800">
    <w:p>
      <w:pPr>
        <w:pStyle w:val="FootnoteText"/>
      </w:pPr>
      <w:r>
        <w:rPr>
          <w:rStyle w:val="FootnoteReference"/>
        </w:rPr>
        <w:footnoteRef/>
      </w:r>
      <w:r>
        <w:t xml:space="preserve"> Cross-references for "our eyes": 2Kgs 24:7; Isa 20:5.</w:t>
      </w:r>
    </w:p>
  </w:footnote>
  <w:footnote w:id="12801">
    <w:p>
      <w:pPr>
        <w:pStyle w:val="FootnoteText"/>
      </w:pPr>
      <w:r>
        <w:rPr>
          <w:rStyle w:val="FootnoteReference"/>
        </w:rPr>
        <w:footnoteRef/>
      </w:r>
      <w:r>
        <w:t xml:space="preserve"> Cross-references for "breath": Gen 2:7; Gen 44:30.</w:t>
      </w:r>
    </w:p>
  </w:footnote>
  <w:footnote w:id="12802">
    <w:p>
      <w:pPr>
        <w:pStyle w:val="FootnoteText"/>
      </w:pPr>
      <w:r>
        <w:rPr>
          <w:rStyle w:val="FootnoteReference"/>
        </w:rPr>
        <w:footnoteRef/>
      </w:r>
      <w:r>
        <w:t xml:space="preserve"> Cross-references for "be glad": Ps 83:3-12; Ps 137:7.</w:t>
      </w:r>
    </w:p>
  </w:footnote>
  <w:footnote w:id="12803">
    <w:p>
      <w:pPr>
        <w:pStyle w:val="FootnoteText"/>
      </w:pPr>
      <w:r>
        <w:rPr>
          <w:rStyle w:val="FootnoteReference"/>
        </w:rPr>
        <w:footnoteRef/>
      </w:r>
      <w:r>
        <w:t xml:space="preserve"> Cross-references for "He will no": Isa 52:1; Isa 60:18.</w:t>
      </w:r>
    </w:p>
  </w:footnote>
  <w:footnote w:id="12804">
    <w:p>
      <w:pPr>
        <w:pStyle w:val="FootnoteText"/>
      </w:pPr>
      <w:r>
        <w:rPr>
          <w:rStyle w:val="FootnoteReference"/>
        </w:rPr>
        <w:footnoteRef/>
      </w:r>
      <w:r>
        <w:t xml:space="preserve"> Cross-references for "Remember": Neh 1:8; Job 7:7.</w:t>
      </w:r>
    </w:p>
  </w:footnote>
  <w:footnote w:id="12805">
    <w:p>
      <w:pPr>
        <w:pStyle w:val="FootnoteText"/>
      </w:pPr>
      <w:r>
        <w:rPr>
          <w:rStyle w:val="FootnoteReference"/>
        </w:rPr>
        <w:footnoteRef/>
      </w:r>
      <w:r>
        <w:t xml:space="preserve"> Cross-references for "fathers": Exod 20:5; Jer 16:12.</w:t>
      </w:r>
    </w:p>
  </w:footnote>
  <w:footnote w:id="12806">
    <w:p>
      <w:pPr>
        <w:pStyle w:val="FootnoteText"/>
      </w:pPr>
      <w:r>
        <w:rPr>
          <w:rStyle w:val="FootnoteReference"/>
        </w:rPr>
        <w:footnoteRef/>
      </w:r>
      <w:r>
        <w:t xml:space="preserve"> Cross-references for "skin": Job 30:30; Ps 119:83.</w:t>
      </w:r>
    </w:p>
  </w:footnote>
  <w:footnote w:id="12807">
    <w:p>
      <w:pPr>
        <w:pStyle w:val="FootnoteText"/>
      </w:pPr>
      <w:r>
        <w:rPr>
          <w:rStyle w:val="FootnoteReference"/>
        </w:rPr>
        <w:footnoteRef/>
      </w:r>
      <w:r>
        <w:t xml:space="preserve"> Cross-references for "Elders": Deut 16:18; Job 29:7-17.</w:t>
      </w:r>
    </w:p>
  </w:footnote>
  <w:footnote w:id="12808">
    <w:p>
      <w:pPr>
        <w:pStyle w:val="FootnoteText"/>
      </w:pPr>
      <w:r>
        <w:rPr>
          <w:rStyle w:val="FootnoteReference"/>
        </w:rPr>
        <w:footnoteRef/>
      </w:r>
      <w:r>
        <w:t xml:space="preserve"> Cross-references for "Our dance": Ps 30:11; Amos 6:4-7.</w:t>
      </w:r>
    </w:p>
  </w:footnote>
  <w:footnote w:id="12809">
    <w:p>
      <w:pPr>
        <w:pStyle w:val="FootnoteText"/>
      </w:pPr>
      <w:r>
        <w:rPr>
          <w:rStyle w:val="FootnoteReference"/>
        </w:rPr>
        <w:footnoteRef/>
      </w:r>
      <w:r>
        <w:t xml:space="preserve"> Cross-references for "The crown": Job 19:9; Ps 89:39.</w:t>
      </w:r>
    </w:p>
  </w:footnote>
  <w:footnote w:id="12810">
    <w:p>
      <w:pPr>
        <w:pStyle w:val="FootnoteText"/>
      </w:pPr>
      <w:r>
        <w:rPr>
          <w:rStyle w:val="FootnoteReference"/>
        </w:rPr>
        <w:footnoteRef/>
      </w:r>
      <w:r>
        <w:t xml:space="preserve"> Cross-references for "our heart": Lev 26:36; Isa 1:5.</w:t>
      </w:r>
    </w:p>
  </w:footnote>
  <w:footnote w:id="12811">
    <w:p>
      <w:pPr>
        <w:pStyle w:val="FootnoteText"/>
      </w:pPr>
      <w:r>
        <w:rPr>
          <w:rStyle w:val="FootnoteReference"/>
        </w:rPr>
        <w:footnoteRef/>
      </w:r>
      <w:r>
        <w:t xml:space="preserve"> Cross-references for "Turn": 1Kgs 18:37; Ps 80:3.</w:t>
      </w:r>
    </w:p>
  </w:footnote>
  <w:footnote w:id="12812">
    <w:p>
      <w:pPr>
        <w:pStyle w:val="FootnoteText"/>
      </w:pPr>
      <w:r>
        <w:rPr>
          <w:rStyle w:val="FootnoteReference"/>
        </w:rPr>
        <w:footnoteRef/>
      </w:r>
      <w:r>
        <w:t xml:space="preserve"> Cross-references for "in the thirtieth": Num 4:3; Luke 3:23.</w:t>
      </w:r>
    </w:p>
  </w:footnote>
  <w:footnote w:id="12813">
    <w:p>
      <w:pPr>
        <w:pStyle w:val="FootnoteText"/>
      </w:pPr>
      <w:r>
        <w:rPr>
          <w:rStyle w:val="FootnoteReference"/>
        </w:rPr>
        <w:footnoteRef/>
      </w:r>
      <w:r>
        <w:t xml:space="preserve"> Place name: Chebar. Place-name meaning: Chebar — force or strength. Source form: Chebar. Greek form: χοβαρ.</w:t>
      </w:r>
    </w:p>
  </w:footnote>
  <w:footnote w:id="12814">
    <w:p>
      <w:pPr>
        <w:pStyle w:val="FootnoteText"/>
      </w:pPr>
      <w:r>
        <w:rPr>
          <w:rStyle w:val="FootnoteReference"/>
        </w:rPr>
        <w:footnoteRef/>
      </w:r>
      <w:r>
        <w:t xml:space="preserve"> Name meaning: Ezekiel (Yehezqel) — God strengthens. Strengthened by God during exile.</w:t>
      </w:r>
    </w:p>
  </w:footnote>
  <w:footnote w:id="12815">
    <w:p>
      <w:pPr>
        <w:pStyle w:val="FootnoteText"/>
      </w:pPr>
      <w:r>
        <w:rPr>
          <w:rStyle w:val="FootnoteReference"/>
        </w:rPr>
        <w:footnoteRef/>
      </w:r>
      <w:r>
        <w:t xml:space="preserve"> Personal name: Buzi. Personal-name meaning: Buzi — my contempt. Source form: Buzi.</w:t>
      </w:r>
    </w:p>
  </w:footnote>
  <w:footnote w:id="12816">
    <w:p>
      <w:pPr>
        <w:pStyle w:val="FootnoteText"/>
      </w:pPr>
      <w:r>
        <w:rPr>
          <w:rStyle w:val="FootnoteReference"/>
        </w:rPr>
        <w:footnoteRef/>
      </w:r>
      <w:r>
        <w:t xml:space="preserve"> Cross-references for "a great": Exod 19:16-18; Exod 24:16-17.</w:t>
      </w:r>
    </w:p>
  </w:footnote>
  <w:footnote w:id="12817">
    <w:p>
      <w:pPr>
        <w:pStyle w:val="FootnoteText"/>
      </w:pPr>
      <w:r>
        <w:rPr>
          <w:rStyle w:val="FootnoteReference"/>
        </w:rPr>
        <w:footnoteRef/>
      </w:r>
      <w:r>
        <w:t xml:space="preserve"> Cross-references for "the likeness": Rev 4:6; Rev 6:6.</w:t>
      </w:r>
    </w:p>
  </w:footnote>
  <w:footnote w:id="12818">
    <w:p>
      <w:pPr>
        <w:pStyle w:val="FootnoteText"/>
      </w:pPr>
      <w:r>
        <w:rPr>
          <w:rStyle w:val="FootnoteReference"/>
        </w:rPr>
        <w:footnoteRef/>
      </w:r>
      <w:r>
        <w:t xml:space="preserve"> Cross-references for "And their": Ezek 10:16; Ezek 10:19.</w:t>
      </w:r>
    </w:p>
  </w:footnote>
  <w:footnote w:id="12819">
    <w:p>
      <w:pPr>
        <w:pStyle w:val="FootnoteText"/>
      </w:pPr>
      <w:r>
        <w:rPr>
          <w:rStyle w:val="FootnoteReference"/>
        </w:rPr>
        <w:footnoteRef/>
      </w:r>
      <w:r>
        <w:t xml:space="preserve"> Cross-references for "a wheel": Job 9:10; Ps 36:6.</w:t>
      </w:r>
    </w:p>
  </w:footnote>
  <w:footnote w:id="12820">
    <w:p>
      <w:pPr>
        <w:pStyle w:val="FootnoteText"/>
      </w:pPr>
      <w:r>
        <w:rPr>
          <w:rStyle w:val="FootnoteReference"/>
        </w:rPr>
        <w:footnoteRef/>
      </w:r>
      <w:r>
        <w:t xml:space="preserve"> Cross-references for "full": Prov 15:3; Ezek 10:12.</w:t>
      </w:r>
    </w:p>
  </w:footnote>
  <w:footnote w:id="12821">
    <w:p>
      <w:pPr>
        <w:pStyle w:val="FootnoteText"/>
      </w:pPr>
      <w:r>
        <w:rPr>
          <w:rStyle w:val="FootnoteReference"/>
        </w:rPr>
        <w:footnoteRef/>
      </w:r>
      <w:r>
        <w:t xml:space="preserve"> Cross-references for "the spirit": Ezek 1:12; 1Cor 14:32.</w:t>
      </w:r>
    </w:p>
  </w:footnote>
  <w:footnote w:id="12822">
    <w:p>
      <w:pPr>
        <w:pStyle w:val="FootnoteText"/>
      </w:pPr>
      <w:r>
        <w:rPr>
          <w:rStyle w:val="FootnoteReference"/>
        </w:rPr>
        <w:footnoteRef/>
      </w:r>
      <w:r>
        <w:t xml:space="preserve"> Cross-references for "the likeness": Exod 24:10; Job 37:22.</w:t>
      </w:r>
    </w:p>
  </w:footnote>
  <w:footnote w:id="12823">
    <w:p>
      <w:pPr>
        <w:pStyle w:val="FootnoteText"/>
      </w:pPr>
      <w:r>
        <w:rPr>
          <w:rStyle w:val="FootnoteReference"/>
        </w:rPr>
        <w:footnoteRef/>
      </w:r>
      <w:r>
        <w:t xml:space="preserve"> Cross-references for "their wings": Ezek 1:12; Ezek 1:24.</w:t>
      </w:r>
    </w:p>
  </w:footnote>
  <w:footnote w:id="12824">
    <w:p>
      <w:pPr>
        <w:pStyle w:val="FootnoteText"/>
      </w:pPr>
      <w:r>
        <w:rPr>
          <w:rStyle w:val="FootnoteReference"/>
        </w:rPr>
        <w:footnoteRef/>
      </w:r>
      <w:r>
        <w:t xml:space="preserve"> Cross-references for "as the": Exod 24:10; Isa 54:11.</w:t>
      </w:r>
    </w:p>
  </w:footnote>
  <w:footnote w:id="12825">
    <w:p>
      <w:pPr>
        <w:pStyle w:val="FootnoteText"/>
      </w:pPr>
      <w:r>
        <w:rPr>
          <w:rStyle w:val="FootnoteReference"/>
        </w:rPr>
        <w:footnoteRef/>
      </w:r>
      <w:r>
        <w:t xml:space="preserve"> Cross-references for "the appearance of fire": Deut 4:24; Ps 50:3.</w:t>
      </w:r>
    </w:p>
  </w:footnote>
  <w:footnote w:id="12826">
    <w:p>
      <w:pPr>
        <w:pStyle w:val="FootnoteText"/>
      </w:pPr>
      <w:r>
        <w:rPr>
          <w:rStyle w:val="FootnoteReference"/>
        </w:rPr>
        <w:footnoteRef/>
      </w:r>
      <w:r>
        <w:t xml:space="preserve"> Cross-references for "stand": Ezek 1:28; Dan 10:11.</w:t>
      </w:r>
    </w:p>
  </w:footnote>
  <w:footnote w:id="12827">
    <w:p>
      <w:pPr>
        <w:pStyle w:val="FootnoteText"/>
      </w:pPr>
      <w:r>
        <w:rPr>
          <w:rStyle w:val="FootnoteReference"/>
        </w:rPr>
        <w:footnoteRef/>
      </w:r>
      <w:r>
        <w:t xml:space="preserve"> Cross-references for "I send": 2Chr 36:15-16; Isa 6:8-10.</w:t>
      </w:r>
    </w:p>
  </w:footnote>
  <w:footnote w:id="12828">
    <w:p>
      <w:pPr>
        <w:pStyle w:val="FootnoteText"/>
      </w:pPr>
      <w:r>
        <w:rPr>
          <w:rStyle w:val="FootnoteReference"/>
        </w:rPr>
        <w:footnoteRef/>
      </w:r>
      <w:r>
        <w:t xml:space="preserve"> Cross-references for "Thus": 1Kgs 22:14; Jer 26:2-3.</w:t>
      </w:r>
    </w:p>
  </w:footnote>
  <w:footnote w:id="12829">
    <w:p>
      <w:pPr>
        <w:pStyle w:val="FootnoteText"/>
      </w:pPr>
      <w:r>
        <w:rPr>
          <w:rStyle w:val="FootnoteReference"/>
        </w:rPr>
        <w:footnoteRef/>
      </w:r>
      <w:r>
        <w:t xml:space="preserve"> Cross-references for "Whether": Ezek 2:7; Ezek 3:10-11.</w:t>
      </w:r>
    </w:p>
  </w:footnote>
  <w:footnote w:id="12830">
    <w:p>
      <w:pPr>
        <w:pStyle w:val="FootnoteText"/>
      </w:pPr>
      <w:r>
        <w:rPr>
          <w:rStyle w:val="FootnoteReference"/>
        </w:rPr>
        <w:footnoteRef/>
      </w:r>
      <w:r>
        <w:t xml:space="preserve"> Cross-references for "scorpions": Luke 10:19; Rev 9:3-6.</w:t>
      </w:r>
    </w:p>
  </w:footnote>
  <w:footnote w:id="12831">
    <w:p>
      <w:pPr>
        <w:pStyle w:val="FootnoteText"/>
      </w:pPr>
      <w:r>
        <w:rPr>
          <w:rStyle w:val="FootnoteReference"/>
        </w:rPr>
        <w:footnoteRef/>
      </w:r>
      <w:r>
        <w:t xml:space="preserve"> Cross-references for "whether": Ezek 2:5.</w:t>
      </w:r>
    </w:p>
  </w:footnote>
  <w:footnote w:id="12832">
    <w:p>
      <w:pPr>
        <w:pStyle w:val="FootnoteText"/>
      </w:pPr>
      <w:r>
        <w:rPr>
          <w:rStyle w:val="FootnoteReference"/>
        </w:rPr>
        <w:footnoteRef/>
      </w:r>
      <w:r>
        <w:t xml:space="preserve"> Cross-references for "Open": Jer 15:16; Ezek 3:1-3.</w:t>
      </w:r>
    </w:p>
  </w:footnote>
  <w:footnote w:id="12833">
    <w:p>
      <w:pPr>
        <w:pStyle w:val="FootnoteText"/>
      </w:pPr>
      <w:r>
        <w:rPr>
          <w:rStyle w:val="FootnoteReference"/>
        </w:rPr>
        <w:footnoteRef/>
      </w:r>
      <w:r>
        <w:t xml:space="preserve"> Cross-references for "Israel will": 1Sam 8:7; Jer 25:3-4.</w:t>
      </w:r>
    </w:p>
  </w:footnote>
  <w:footnote w:id="12834">
    <w:p>
      <w:pPr>
        <w:pStyle w:val="FootnoteText"/>
      </w:pPr>
      <w:r>
        <w:rPr>
          <w:rStyle w:val="FootnoteReference"/>
        </w:rPr>
        <w:footnoteRef/>
      </w:r>
      <w:r>
        <w:t xml:space="preserve"> Cross-references for "fear": Isa 41:10; Isa 41:14.</w:t>
      </w:r>
    </w:p>
  </w:footnote>
  <w:footnote w:id="12835">
    <w:p>
      <w:pPr>
        <w:pStyle w:val="FootnoteText"/>
      </w:pPr>
      <w:r>
        <w:rPr>
          <w:rStyle w:val="FootnoteReference"/>
        </w:rPr>
        <w:footnoteRef/>
      </w:r>
      <w:r>
        <w:t xml:space="preserve"> Cross-references for "speak": Ezek 2:5; Ezek 2:7.</w:t>
      </w:r>
    </w:p>
  </w:footnote>
  <w:footnote w:id="12836">
    <w:p>
      <w:pPr>
        <w:pStyle w:val="FootnoteText"/>
      </w:pPr>
      <w:r>
        <w:rPr>
          <w:rStyle w:val="FootnoteReference"/>
        </w:rPr>
        <w:footnoteRef/>
      </w:r>
      <w:r>
        <w:t xml:space="preserve"> Cross-references for "spirit": Ezek 2:2; Ezek 3:14.</w:t>
      </w:r>
    </w:p>
  </w:footnote>
  <w:footnote w:id="12837">
    <w:p>
      <w:pPr>
        <w:pStyle w:val="FootnoteText"/>
      </w:pPr>
      <w:r>
        <w:rPr>
          <w:rStyle w:val="FootnoteReference"/>
        </w:rPr>
        <w:footnoteRef/>
      </w:r>
      <w:r>
        <w:t xml:space="preserve"> Cross-references for "a watchman": Song 3:3; Song 5:7.</w:t>
      </w:r>
    </w:p>
  </w:footnote>
  <w:footnote w:id="12838">
    <w:p>
      <w:pPr>
        <w:pStyle w:val="FootnoteText"/>
      </w:pPr>
      <w:r>
        <w:rPr>
          <w:rStyle w:val="FootnoteReference"/>
        </w:rPr>
        <w:footnoteRef/>
      </w:r>
      <w:r>
        <w:t xml:space="preserve"> Cross-references for "the hand": Ezek 1:3; Ezek 3:14.</w:t>
      </w:r>
    </w:p>
  </w:footnote>
  <w:footnote w:id="12839">
    <w:p>
      <w:pPr>
        <w:pStyle w:val="FootnoteText"/>
      </w:pPr>
      <w:r>
        <w:rPr>
          <w:rStyle w:val="FootnoteReference"/>
        </w:rPr>
        <w:footnoteRef/>
      </w:r>
      <w:r>
        <w:t xml:space="preserve"> Cross-references for "the glory": Num 16:19; Num 16:42.</w:t>
      </w:r>
    </w:p>
  </w:footnote>
  <w:footnote w:id="12840">
    <w:p>
      <w:pPr>
        <w:pStyle w:val="FootnoteText"/>
      </w:pPr>
      <w:r>
        <w:rPr>
          <w:rStyle w:val="FootnoteReference"/>
        </w:rPr>
        <w:footnoteRef/>
      </w:r>
      <w:r>
        <w:t xml:space="preserve"> Cross-references for "Thus": Ezek 2:5; Ezek 3:11.</w:t>
      </w:r>
    </w:p>
  </w:footnote>
  <w:footnote w:id="12841">
    <w:p>
      <w:pPr>
        <w:pStyle w:val="FootnoteText"/>
      </w:pPr>
      <w:r>
        <w:rPr>
          <w:rStyle w:val="FootnoteReference"/>
        </w:rPr>
        <w:footnoteRef/>
      </w:r>
      <w:r>
        <w:t xml:space="preserve"> Cross-references for "take": 1Sam 15:27-28; 1Kgs 11:30-31.</w:t>
      </w:r>
    </w:p>
  </w:footnote>
  <w:footnote w:id="12842">
    <w:p>
      <w:pPr>
        <w:pStyle w:val="FootnoteText"/>
      </w:pPr>
      <w:r>
        <w:rPr>
          <w:rStyle w:val="FootnoteReference"/>
        </w:rPr>
        <w:footnoteRef/>
      </w:r>
      <w:r>
        <w:t xml:space="preserve"> Cross-references for "an iron pan": Lev 2:5.</w:t>
      </w:r>
    </w:p>
  </w:footnote>
  <w:footnote w:id="12843">
    <w:p>
      <w:pPr>
        <w:pStyle w:val="FootnoteText"/>
      </w:pPr>
      <w:r>
        <w:rPr>
          <w:rStyle w:val="FootnoteReference"/>
        </w:rPr>
        <w:footnoteRef/>
      </w:r>
      <w:r>
        <w:t xml:space="preserve"> Cross-references for "upon": Ezek 4:5; Ezek 4:8.</w:t>
      </w:r>
    </w:p>
  </w:footnote>
  <w:footnote w:id="12844">
    <w:p>
      <w:pPr>
        <w:pStyle w:val="FootnoteText"/>
      </w:pPr>
      <w:r>
        <w:rPr>
          <w:rStyle w:val="FootnoteReference"/>
        </w:rPr>
        <w:footnoteRef/>
      </w:r>
      <w:r>
        <w:t xml:space="preserve"> Cross-references for "forty days": 2Kgs 23:3; 2Kgs 23:23.</w:t>
      </w:r>
    </w:p>
  </w:footnote>
  <w:footnote w:id="12845">
    <w:p>
      <w:pPr>
        <w:pStyle w:val="FootnoteText"/>
      </w:pPr>
      <w:r>
        <w:rPr>
          <w:rStyle w:val="FootnoteReference"/>
        </w:rPr>
        <w:footnoteRef/>
      </w:r>
      <w:r>
        <w:t xml:space="preserve"> Cross-references for "wheat": Ezek 4:13; Ezek 4:16.</w:t>
      </w:r>
    </w:p>
  </w:footnote>
  <w:footnote w:id="12846">
    <w:p>
      <w:pPr>
        <w:pStyle w:val="FootnoteText"/>
      </w:pPr>
      <w:r>
        <w:rPr>
          <w:rStyle w:val="FootnoteReference"/>
        </w:rPr>
        <w:footnoteRef/>
      </w:r>
      <w:r>
        <w:t xml:space="preserve"> Cross-references for "my soul": Acts 10:14.</w:t>
      </w:r>
    </w:p>
  </w:footnote>
  <w:footnote w:id="12847">
    <w:p>
      <w:pPr>
        <w:pStyle w:val="FootnoteText"/>
      </w:pPr>
      <w:r>
        <w:rPr>
          <w:rStyle w:val="FootnoteReference"/>
        </w:rPr>
        <w:footnoteRef/>
      </w:r>
      <w:r>
        <w:t xml:space="preserve"> Cross-references for "take": Lev 21:5; Isa 7:20.</w:t>
      </w:r>
    </w:p>
  </w:footnote>
  <w:footnote w:id="12848">
    <w:p>
      <w:pPr>
        <w:pStyle w:val="FootnoteText"/>
      </w:pPr>
      <w:r>
        <w:rPr>
          <w:rStyle w:val="FootnoteReference"/>
        </w:rPr>
        <w:footnoteRef/>
      </w:r>
      <w:r>
        <w:t xml:space="preserve"> Cross-references for "I will draw": Lev 26:33; Jer 9:16.</w:t>
      </w:r>
    </w:p>
  </w:footnote>
  <w:footnote w:id="12849">
    <w:p>
      <w:pPr>
        <w:pStyle w:val="FootnoteText"/>
      </w:pPr>
      <w:r>
        <w:rPr>
          <w:rStyle w:val="FootnoteReference"/>
        </w:rPr>
        <w:footnoteRef/>
      </w:r>
      <w:r>
        <w:t xml:space="preserve"> Cross-references for "a few": 2Kgs 25:12; Jer 39:10.</w:t>
      </w:r>
    </w:p>
  </w:footnote>
  <w:footnote w:id="12850">
    <w:p>
      <w:pPr>
        <w:pStyle w:val="FootnoteText"/>
      </w:pPr>
      <w:r>
        <w:rPr>
          <w:rStyle w:val="FootnoteReference"/>
        </w:rPr>
        <w:footnoteRef/>
      </w:r>
      <w:r>
        <w:t xml:space="preserve"> Cross-references for "take": 2Kgs 25:25; Jer 52:30.</w:t>
      </w:r>
    </w:p>
  </w:footnote>
  <w:footnote w:id="12851">
    <w:p>
      <w:pPr>
        <w:pStyle w:val="FootnoteText"/>
      </w:pPr>
      <w:r>
        <w:rPr>
          <w:rStyle w:val="FootnoteReference"/>
        </w:rPr>
        <w:footnoteRef/>
      </w:r>
      <w:r>
        <w:t xml:space="preserve"> Cross-references for "as I live": Num 14:28-35; Ps 95:11.</w:t>
      </w:r>
    </w:p>
  </w:footnote>
  <w:footnote w:id="12852">
    <w:p>
      <w:pPr>
        <w:pStyle w:val="FootnoteText"/>
      </w:pPr>
      <w:r>
        <w:rPr>
          <w:rStyle w:val="FootnoteReference"/>
        </w:rPr>
        <w:footnoteRef/>
      </w:r>
      <w:r>
        <w:t xml:space="preserve"> Cross-references for "and I will draw": Lev 26:33; Deut 28:65.</w:t>
      </w:r>
    </w:p>
  </w:footnote>
  <w:footnote w:id="12853">
    <w:p>
      <w:pPr>
        <w:pStyle w:val="FootnoteText"/>
      </w:pPr>
      <w:r>
        <w:rPr>
          <w:rStyle w:val="FootnoteReference"/>
        </w:rPr>
        <w:footnoteRef/>
      </w:r>
      <w:r>
        <w:t xml:space="preserve"> Cross-references for "spoken": Isa 9:7; Isa 59:17.</w:t>
      </w:r>
    </w:p>
  </w:footnote>
  <w:footnote w:id="12854">
    <w:p>
      <w:pPr>
        <w:pStyle w:val="FootnoteText"/>
      </w:pPr>
      <w:r>
        <w:rPr>
          <w:rStyle w:val="FootnoteReference"/>
        </w:rPr>
        <w:footnoteRef/>
      </w:r>
      <w:r>
        <w:t xml:space="preserve"> Cross-references for "and evil": Exod 23:29; Lev 26:22.</w:t>
      </w:r>
    </w:p>
  </w:footnote>
  <w:footnote w:id="12855">
    <w:p>
      <w:pPr>
        <w:pStyle w:val="FootnoteText"/>
      </w:pPr>
      <w:r>
        <w:rPr>
          <w:rStyle w:val="FootnoteReference"/>
        </w:rPr>
        <w:footnoteRef/>
      </w:r>
      <w:r>
        <w:t xml:space="preserve"> Cross-references for "And the word": Ezek 6:1.</w:t>
      </w:r>
    </w:p>
  </w:footnote>
  <w:footnote w:id="12856">
    <w:p>
      <w:pPr>
        <w:pStyle w:val="FootnoteText"/>
      </w:pPr>
      <w:r>
        <w:rPr>
          <w:rStyle w:val="FootnoteReference"/>
        </w:rPr>
        <w:footnoteRef/>
      </w:r>
      <w:r>
        <w:t xml:space="preserve"> Cross-references for "the mountains": Josh 11:21; Ezek 19:9.</w:t>
      </w:r>
    </w:p>
  </w:footnote>
  <w:footnote w:id="12857">
    <w:p>
      <w:pPr>
        <w:pStyle w:val="FootnoteText"/>
      </w:pPr>
      <w:r>
        <w:rPr>
          <w:rStyle w:val="FootnoteReference"/>
        </w:rPr>
        <w:footnoteRef/>
      </w:r>
      <w:r>
        <w:t xml:space="preserve"> Cross-references for "to the mountains": Jer 2:20; Jer 3:6.</w:t>
      </w:r>
    </w:p>
  </w:footnote>
  <w:footnote w:id="12858">
    <w:p>
      <w:pPr>
        <w:pStyle w:val="FootnoteText"/>
      </w:pPr>
      <w:r>
        <w:rPr>
          <w:rStyle w:val="FootnoteReference"/>
        </w:rPr>
        <w:footnoteRef/>
      </w:r>
      <w:r>
        <w:t xml:space="preserve"> Cross-references for "all your": Isa 6:11; Jer 9:19.</w:t>
      </w:r>
    </w:p>
  </w:footnote>
  <w:footnote w:id="12859">
    <w:p>
      <w:pPr>
        <w:pStyle w:val="FootnoteText"/>
      </w:pPr>
      <w:r>
        <w:rPr>
          <w:rStyle w:val="FootnoteReference"/>
        </w:rPr>
        <w:footnoteRef/>
      </w:r>
      <w:r>
        <w:t xml:space="preserve"> Cross-references for "slain": Jer 14:18; Jer 18:21.</w:t>
      </w:r>
    </w:p>
  </w:footnote>
  <w:footnote w:id="12860">
    <w:p>
      <w:pPr>
        <w:pStyle w:val="FootnoteText"/>
      </w:pPr>
      <w:r>
        <w:rPr>
          <w:rStyle w:val="FootnoteReference"/>
        </w:rPr>
        <w:footnoteRef/>
      </w:r>
      <w:r>
        <w:t xml:space="preserve"> Cross-references for "remember": Lev 26:40-41; Deut 4:29-31.</w:t>
      </w:r>
    </w:p>
  </w:footnote>
  <w:footnote w:id="12861">
    <w:p>
      <w:pPr>
        <w:pStyle w:val="FootnoteText"/>
      </w:pPr>
      <w:r>
        <w:rPr>
          <w:rStyle w:val="FootnoteReference"/>
        </w:rPr>
        <w:footnoteRef/>
      </w:r>
      <w:r>
        <w:t xml:space="preserve"> Cross-references for "Alas": Jer 30:7; Ezek 9:4.</w:t>
      </w:r>
    </w:p>
  </w:footnote>
  <w:footnote w:id="12862">
    <w:p>
      <w:pPr>
        <w:pStyle w:val="FootnoteText"/>
      </w:pPr>
      <w:r>
        <w:rPr>
          <w:rStyle w:val="FootnoteReference"/>
        </w:rPr>
        <w:footnoteRef/>
      </w:r>
      <w:r>
        <w:t xml:space="preserve"> Cross-references for "far off": Dan 9:7.</w:t>
      </w:r>
    </w:p>
  </w:footnote>
  <w:footnote w:id="12863">
    <w:p>
      <w:pPr>
        <w:pStyle w:val="FootnoteText"/>
      </w:pPr>
      <w:r>
        <w:rPr>
          <w:rStyle w:val="FootnoteReference"/>
        </w:rPr>
        <w:footnoteRef/>
      </w:r>
      <w:r>
        <w:t xml:space="preserve"> Transliterated proper noun: Deblatha. Standard English equivalent: Diblath. Source form: Deblatha. Greek form: δεβλαθα. Name meaning: paste of dry figs.</w:t>
      </w:r>
    </w:p>
  </w:footnote>
  <w:footnote w:id="12864">
    <w:p>
      <w:pPr>
        <w:pStyle w:val="FootnoteText"/>
      </w:pPr>
      <w:r>
        <w:rPr>
          <w:rStyle w:val="FootnoteReference"/>
        </w:rPr>
        <w:footnoteRef/>
      </w:r>
      <w:r>
        <w:t xml:space="preserve"> Cross-references for "Diblath": Num 33:46; Jer 48:22.</w:t>
      </w:r>
    </w:p>
  </w:footnote>
  <w:footnote w:id="12865">
    <w:p>
      <w:pPr>
        <w:pStyle w:val="FootnoteText"/>
      </w:pPr>
      <w:r>
        <w:rPr>
          <w:rStyle w:val="FootnoteReference"/>
        </w:rPr>
        <w:footnoteRef/>
      </w:r>
      <w:r>
        <w:t xml:space="preserve"> Cross-references for "the Lord": Isa 9:13; Mic 6:9.</w:t>
      </w:r>
    </w:p>
  </w:footnote>
  <w:footnote w:id="12866">
    <w:p>
      <w:pPr>
        <w:pStyle w:val="FootnoteText"/>
      </w:pPr>
      <w:r>
        <w:rPr>
          <w:rStyle w:val="FootnoteReference"/>
        </w:rPr>
        <w:footnoteRef/>
      </w:r>
      <w:r>
        <w:t xml:space="preserve"> Cross-references for "the rod": Num 17:8; Isa 10:5.</w:t>
      </w:r>
    </w:p>
  </w:footnote>
  <w:footnote w:id="12867">
    <w:p>
      <w:pPr>
        <w:pStyle w:val="FootnoteText"/>
      </w:pPr>
      <w:r>
        <w:rPr>
          <w:rStyle w:val="FootnoteReference"/>
        </w:rPr>
        <w:footnoteRef/>
      </w:r>
      <w:r>
        <w:t xml:space="preserve"> Cross-references for "time": Ezek 7:5-7; Ezek 7:10.</w:t>
      </w:r>
    </w:p>
  </w:footnote>
  <w:footnote w:id="12868">
    <w:p>
      <w:pPr>
        <w:pStyle w:val="FootnoteText"/>
      </w:pPr>
      <w:r>
        <w:rPr>
          <w:rStyle w:val="FootnoteReference"/>
        </w:rPr>
        <w:footnoteRef/>
      </w:r>
      <w:r>
        <w:t xml:space="preserve"> Cross-references for "the seller": Lev 25:24-28; Lev 25:31.</w:t>
      </w:r>
    </w:p>
  </w:footnote>
  <w:footnote w:id="12869">
    <w:p>
      <w:pPr>
        <w:pStyle w:val="FootnoteText"/>
      </w:pPr>
      <w:r>
        <w:rPr>
          <w:rStyle w:val="FootnoteReference"/>
        </w:rPr>
        <w:footnoteRef/>
      </w:r>
      <w:r>
        <w:t xml:space="preserve"> Cross-references for "hands": Isa 13:7-8; Jer 6:24.</w:t>
      </w:r>
    </w:p>
  </w:footnote>
  <w:footnote w:id="12870">
    <w:p>
      <w:pPr>
        <w:pStyle w:val="FootnoteText"/>
      </w:pPr>
      <w:r>
        <w:rPr>
          <w:rStyle w:val="FootnoteReference"/>
        </w:rPr>
        <w:footnoteRef/>
      </w:r>
      <w:r>
        <w:t xml:space="preserve"> Cross-references for "in the sixth year": Ezek 1:2; Ezek 20:1.</w:t>
      </w:r>
    </w:p>
  </w:footnote>
  <w:footnote w:id="12871">
    <w:p>
      <w:pPr>
        <w:pStyle w:val="FootnoteText"/>
      </w:pPr>
      <w:r>
        <w:rPr>
          <w:rStyle w:val="FootnoteReference"/>
        </w:rPr>
        <w:footnoteRef/>
      </w:r>
      <w:r>
        <w:t xml:space="preserve"> Cross-references for "lift": Jer 3:2; Zech 5:5-11.</w:t>
      </w:r>
    </w:p>
  </w:footnote>
  <w:footnote w:id="12872">
    <w:p>
      <w:pPr>
        <w:pStyle w:val="FootnoteText"/>
      </w:pPr>
      <w:r>
        <w:rPr>
          <w:rStyle w:val="FootnoteReference"/>
        </w:rPr>
        <w:footnoteRef/>
      </w:r>
      <w:r>
        <w:t xml:space="preserve"> Cross-references for "greater": Ezek 8:11; Ezek 8:14.</w:t>
      </w:r>
    </w:p>
  </w:footnote>
  <w:footnote w:id="12873">
    <w:p>
      <w:pPr>
        <w:pStyle w:val="FootnoteText"/>
      </w:pPr>
      <w:r>
        <w:rPr>
          <w:rStyle w:val="FootnoteReference"/>
        </w:rPr>
        <w:footnoteRef/>
      </w:r>
      <w:r>
        <w:t xml:space="preserve"> Cross-references for "seventy": Exod 24:1; Exod 24:9.</w:t>
      </w:r>
    </w:p>
  </w:footnote>
  <w:footnote w:id="12874">
    <w:p>
      <w:pPr>
        <w:pStyle w:val="FootnoteText"/>
      </w:pPr>
      <w:r>
        <w:rPr>
          <w:rStyle w:val="FootnoteReference"/>
        </w:rPr>
        <w:footnoteRef/>
      </w:r>
      <w:r>
        <w:t xml:space="preserve"> Cross-references for "greater": Jer 9:3; Ezek 8:6.</w:t>
      </w:r>
    </w:p>
  </w:footnote>
  <w:footnote w:id="12875">
    <w:p>
      <w:pPr>
        <w:pStyle w:val="FootnoteText"/>
      </w:pPr>
      <w:r>
        <w:rPr>
          <w:rStyle w:val="FootnoteReference"/>
        </w:rPr>
        <w:footnoteRef/>
      </w:r>
      <w:r>
        <w:t xml:space="preserve"> Divine or supernatural name: Tammuz. Divine/supernatural-name meaning: Tammuz — abstruse; concealed; consumed. Source form: Tammuz.</w:t>
      </w:r>
    </w:p>
  </w:footnote>
  <w:footnote w:id="12876">
    <w:p>
      <w:pPr>
        <w:pStyle w:val="FootnoteText"/>
      </w:pPr>
      <w:r>
        <w:rPr>
          <w:rStyle w:val="FootnoteReference"/>
        </w:rPr>
        <w:footnoteRef/>
      </w:r>
      <w:r>
        <w:t xml:space="preserve"> Cross-references for "greater": Ezek 8:9; Ezek 8:13.</w:t>
      </w:r>
    </w:p>
  </w:footnote>
  <w:footnote w:id="12877">
    <w:p>
      <w:pPr>
        <w:pStyle w:val="FootnoteText"/>
      </w:pPr>
      <w:r>
        <w:rPr>
          <w:rStyle w:val="FootnoteReference"/>
        </w:rPr>
        <w:footnoteRef/>
      </w:r>
      <w:r>
        <w:t xml:space="preserve"> Cross-references for "the inner": Ezek 10:3; Ezek 40:28.</w:t>
      </w:r>
    </w:p>
  </w:footnote>
  <w:footnote w:id="12878">
    <w:p>
      <w:pPr>
        <w:pStyle w:val="FootnoteText"/>
      </w:pPr>
      <w:r>
        <w:rPr>
          <w:rStyle w:val="FootnoteReference"/>
        </w:rPr>
        <w:footnoteRef/>
      </w:r>
      <w:r>
        <w:t xml:space="preserve"> Cross-references for "cried": Isa 6:8; Ezek 43:6-7.</w:t>
      </w:r>
    </w:p>
  </w:footnote>
  <w:footnote w:id="12879">
    <w:p>
      <w:pPr>
        <w:pStyle w:val="FootnoteText"/>
      </w:pPr>
      <w:r>
        <w:rPr>
          <w:rStyle w:val="FootnoteReference"/>
        </w:rPr>
        <w:footnoteRef/>
      </w:r>
      <w:r>
        <w:t xml:space="preserve"> Cross-references for "and one": Lev 16:4; Ezek 10:2.</w:t>
      </w:r>
    </w:p>
  </w:footnote>
  <w:footnote w:id="12880">
    <w:p>
      <w:pPr>
        <w:pStyle w:val="FootnoteText"/>
      </w:pPr>
      <w:r>
        <w:rPr>
          <w:rStyle w:val="FootnoteReference"/>
        </w:rPr>
        <w:footnoteRef/>
      </w:r>
      <w:r>
        <w:t xml:space="preserve"> Cross-references for "hearing": 1Sam 9:15; Isa 5:9.</w:t>
      </w:r>
    </w:p>
  </w:footnote>
  <w:footnote w:id="12881">
    <w:p>
      <w:pPr>
        <w:pStyle w:val="FootnoteText"/>
      </w:pPr>
      <w:r>
        <w:rPr>
          <w:rStyle w:val="FootnoteReference"/>
        </w:rPr>
        <w:footnoteRef/>
      </w:r>
      <w:r>
        <w:t xml:space="preserve"> Cross-references for "and begin": Jer 25:29; Ezek 8:5-16.</w:t>
      </w:r>
    </w:p>
  </w:footnote>
  <w:footnote w:id="12882">
    <w:p>
      <w:pPr>
        <w:pStyle w:val="FootnoteText"/>
      </w:pPr>
      <w:r>
        <w:rPr>
          <w:rStyle w:val="FootnoteReference"/>
        </w:rPr>
        <w:footnoteRef/>
      </w:r>
      <w:r>
        <w:t xml:space="preserve"> Cross-references for "coals": Exod 9:8-10; Ps 18:12-13.</w:t>
      </w:r>
    </w:p>
  </w:footnote>
  <w:footnote w:id="12883">
    <w:p>
      <w:pPr>
        <w:pStyle w:val="FootnoteText"/>
      </w:pPr>
      <w:r>
        <w:rPr>
          <w:rStyle w:val="FootnoteReference"/>
        </w:rPr>
        <w:footnoteRef/>
      </w:r>
      <w:r>
        <w:t xml:space="preserve"> Cross-references for "the glory": Num 16:19; Ezek 1:28.</w:t>
      </w:r>
    </w:p>
  </w:footnote>
  <w:footnote w:id="12884">
    <w:p>
      <w:pPr>
        <w:pStyle w:val="FootnoteText"/>
      </w:pPr>
      <w:r>
        <w:rPr>
          <w:rStyle w:val="FootnoteReference"/>
        </w:rPr>
        <w:footnoteRef/>
      </w:r>
      <w:r>
        <w:t xml:space="preserve"> Cross-references for "the sound": Ezek 1:24.</w:t>
      </w:r>
    </w:p>
  </w:footnote>
  <w:footnote w:id="12885">
    <w:p>
      <w:pPr>
        <w:pStyle w:val="FootnoteText"/>
      </w:pPr>
      <w:r>
        <w:rPr>
          <w:rStyle w:val="FootnoteReference"/>
        </w:rPr>
        <w:footnoteRef/>
      </w:r>
      <w:r>
        <w:t xml:space="preserve"> Greek LXX divine name/title: Theou Saddai (θεοῦ Σαδδαί) — God Almighty. Common English rendering: God Almighty. The LXX preserves Saddai here in Greek letters; the main text translates the Greek title as God Almighty.</w:t>
      </w:r>
    </w:p>
  </w:footnote>
  <w:footnote w:id="12886">
    <w:p>
      <w:pPr>
        <w:pStyle w:val="FootnoteText"/>
      </w:pPr>
      <w:r>
        <w:rPr>
          <w:rStyle w:val="FootnoteReference"/>
        </w:rPr>
        <w:footnoteRef/>
      </w:r>
      <w:r>
        <w:t xml:space="preserve"> Cross-references for "and went": Ezek 41:23-26; Matt 13:41-42.</w:t>
      </w:r>
    </w:p>
  </w:footnote>
  <w:footnote w:id="12887">
    <w:p>
      <w:pPr>
        <w:pStyle w:val="FootnoteText"/>
      </w:pPr>
      <w:r>
        <w:rPr>
          <w:rStyle w:val="FootnoteReference"/>
        </w:rPr>
        <w:footnoteRef/>
      </w:r>
      <w:r>
        <w:t xml:space="preserve"> Cross-references for "behold": Ezek 1:15-17.</w:t>
      </w:r>
    </w:p>
  </w:footnote>
  <w:footnote w:id="12888">
    <w:p>
      <w:pPr>
        <w:pStyle w:val="FootnoteText"/>
      </w:pPr>
      <w:r>
        <w:rPr>
          <w:rStyle w:val="FootnoteReference"/>
        </w:rPr>
        <w:footnoteRef/>
      </w:r>
      <w:r>
        <w:t xml:space="preserve"> Cross-references for "lifted": Ezek 8:6; Ezek 10:18-19.</w:t>
      </w:r>
    </w:p>
  </w:footnote>
  <w:footnote w:id="12889">
    <w:p>
      <w:pPr>
        <w:pStyle w:val="FootnoteText"/>
      </w:pPr>
      <w:r>
        <w:rPr>
          <w:rStyle w:val="FootnoteReference"/>
        </w:rPr>
        <w:footnoteRef/>
      </w:r>
      <w:r>
        <w:t xml:space="preserve"> Cross-references for "the glory": Ps 78:60-61; Jer 6:8.</w:t>
      </w:r>
    </w:p>
  </w:footnote>
  <w:footnote w:id="12890">
    <w:p>
      <w:pPr>
        <w:pStyle w:val="FootnoteText"/>
      </w:pPr>
      <w:r>
        <w:rPr>
          <w:rStyle w:val="FootnoteReference"/>
        </w:rPr>
        <w:footnoteRef/>
      </w:r>
      <w:r>
        <w:t xml:space="preserve"> Cross-references for "and the glory": Ezek 1:26-28; Ezek 10:1.</w:t>
      </w:r>
    </w:p>
  </w:footnote>
  <w:footnote w:id="12891">
    <w:p>
      <w:pPr>
        <w:pStyle w:val="FootnoteText"/>
      </w:pPr>
      <w:r>
        <w:rPr>
          <w:rStyle w:val="FootnoteReference"/>
        </w:rPr>
        <w:footnoteRef/>
      </w:r>
      <w:r>
        <w:t xml:space="preserve"> Cross-references for "the living": Ezek 1:22-28; Ezek 3:23.</w:t>
      </w:r>
    </w:p>
  </w:footnote>
  <w:footnote w:id="12892">
    <w:p>
      <w:pPr>
        <w:pStyle w:val="FootnoteText"/>
      </w:pPr>
      <w:r>
        <w:rPr>
          <w:rStyle w:val="FootnoteReference"/>
        </w:rPr>
        <w:footnoteRef/>
      </w:r>
      <w:r>
        <w:t xml:space="preserve"> Cross-references for "the likeness": Ezek 1:10.</w:t>
      </w:r>
    </w:p>
  </w:footnote>
  <w:footnote w:id="12893">
    <w:p>
      <w:pPr>
        <w:pStyle w:val="FootnoteText"/>
      </w:pPr>
      <w:r>
        <w:rPr>
          <w:rStyle w:val="FootnoteReference"/>
        </w:rPr>
        <w:footnoteRef/>
      </w:r>
      <w:r>
        <w:t xml:space="preserve"> Cross-references for "behold": Ezek 8:16.</w:t>
      </w:r>
    </w:p>
  </w:footnote>
  <w:footnote w:id="12894">
    <w:p>
      <w:pPr>
        <w:pStyle w:val="FootnoteText"/>
      </w:pPr>
      <w:r>
        <w:rPr>
          <w:rStyle w:val="FootnoteReference"/>
        </w:rPr>
        <w:footnoteRef/>
      </w:r>
      <w:r>
        <w:t xml:space="preserve"> Cross-references for "the Spirit": Num 11:25-26; 1Sam 10:6.</w:t>
      </w:r>
    </w:p>
  </w:footnote>
  <w:footnote w:id="12895">
    <w:p>
      <w:pPr>
        <w:pStyle w:val="FootnoteText"/>
      </w:pPr>
      <w:r>
        <w:rPr>
          <w:rStyle w:val="FootnoteReference"/>
        </w:rPr>
        <w:footnoteRef/>
      </w:r>
      <w:r>
        <w:t xml:space="preserve"> Cross-references for "fall": 2Kgs 25:19-21; Jer 39:6.</w:t>
      </w:r>
    </w:p>
  </w:footnote>
  <w:footnote w:id="12896">
    <w:p>
      <w:pPr>
        <w:pStyle w:val="FootnoteText"/>
      </w:pPr>
      <w:r>
        <w:rPr>
          <w:rStyle w:val="FootnoteReference"/>
        </w:rPr>
        <w:footnoteRef/>
      </w:r>
      <w:r>
        <w:t xml:space="preserve"> Cross-references for "as a": Ps 31:20; Ps 90:1.</w:t>
      </w:r>
    </w:p>
  </w:footnote>
  <w:footnote w:id="12897">
    <w:p>
      <w:pPr>
        <w:pStyle w:val="FootnoteText"/>
      </w:pPr>
      <w:r>
        <w:rPr>
          <w:rStyle w:val="FootnoteReference"/>
        </w:rPr>
        <w:footnoteRef/>
      </w:r>
      <w:r>
        <w:t xml:space="preserve"> Cross-references for "I will give": Deut 30:6; 2Chr 30:12.</w:t>
      </w:r>
    </w:p>
  </w:footnote>
  <w:footnote w:id="12898">
    <w:p>
      <w:pPr>
        <w:pStyle w:val="FootnoteText"/>
      </w:pPr>
      <w:r>
        <w:rPr>
          <w:rStyle w:val="FootnoteReference"/>
        </w:rPr>
        <w:footnoteRef/>
      </w:r>
      <w:r>
        <w:t xml:space="preserve"> Cross-references for "they may": Ps 105:45; Ps 119:4-5.</w:t>
      </w:r>
    </w:p>
  </w:footnote>
  <w:footnote w:id="12899">
    <w:p>
      <w:pPr>
        <w:pStyle w:val="FootnoteText"/>
      </w:pPr>
      <w:r>
        <w:rPr>
          <w:rStyle w:val="FootnoteReference"/>
        </w:rPr>
        <w:footnoteRef/>
      </w:r>
      <w:r>
        <w:t xml:space="preserve"> Cross-references for "the glory": Ezek 8:4; Ezek 9:3.</w:t>
      </w:r>
    </w:p>
  </w:footnote>
  <w:footnote w:id="12900">
    <w:p>
      <w:pPr>
        <w:pStyle w:val="FootnoteText"/>
      </w:pPr>
      <w:r>
        <w:rPr>
          <w:rStyle w:val="FootnoteReference"/>
        </w:rPr>
        <w:footnoteRef/>
      </w:r>
      <w:r>
        <w:t xml:space="preserve"> Cross-references for "the Spirit": 2Kgs 2:16; Ezek 8:3.</w:t>
      </w:r>
    </w:p>
  </w:footnote>
  <w:footnote w:id="12901">
    <w:p>
      <w:pPr>
        <w:pStyle w:val="FootnoteText"/>
      </w:pPr>
      <w:r>
        <w:rPr>
          <w:rStyle w:val="FootnoteReference"/>
        </w:rPr>
        <w:footnoteRef/>
      </w:r>
      <w:r>
        <w:t xml:space="preserve"> Cross-references for "cover": 1Sam 28:8; 2Sam 15:30.</w:t>
      </w:r>
    </w:p>
  </w:footnote>
  <w:footnote w:id="12902">
    <w:p>
      <w:pPr>
        <w:pStyle w:val="FootnoteText"/>
      </w:pPr>
      <w:r>
        <w:rPr>
          <w:rStyle w:val="FootnoteReference"/>
        </w:rPr>
        <w:footnoteRef/>
      </w:r>
      <w:r>
        <w:t xml:space="preserve"> Cross-references for "I did so": Jer 32:8-12; Ezek 2:8.</w:t>
      </w:r>
    </w:p>
  </w:footnote>
  <w:footnote w:id="12903">
    <w:p>
      <w:pPr>
        <w:pStyle w:val="FootnoteText"/>
      </w:pPr>
      <w:r>
        <w:rPr>
          <w:rStyle w:val="FootnoteReference"/>
        </w:rPr>
        <w:footnoteRef/>
      </w:r>
      <w:r>
        <w:t xml:space="preserve"> Cross-references for "my net": Job 19:6; Ps 11:6.</w:t>
      </w:r>
    </w:p>
  </w:footnote>
  <w:footnote w:id="12904">
    <w:p>
      <w:pPr>
        <w:pStyle w:val="FootnoteText"/>
      </w:pPr>
      <w:r>
        <w:rPr>
          <w:rStyle w:val="FootnoteReference"/>
        </w:rPr>
        <w:footnoteRef/>
      </w:r>
      <w:r>
        <w:t xml:space="preserve"> Cross-references for "I will scatter": 2Kgs 25:4-5; Ezek 5:10-12.</w:t>
      </w:r>
    </w:p>
  </w:footnote>
  <w:footnote w:id="12905">
    <w:p>
      <w:pPr>
        <w:pStyle w:val="FootnoteText"/>
      </w:pPr>
      <w:r>
        <w:rPr>
          <w:rStyle w:val="FootnoteReference"/>
        </w:rPr>
        <w:footnoteRef/>
      </w:r>
      <w:r>
        <w:t xml:space="preserve"> Cross-references for "a few men": Gen 13:16; Isa 10:19.</w:t>
      </w:r>
    </w:p>
  </w:footnote>
  <w:footnote w:id="12906">
    <w:p>
      <w:pPr>
        <w:pStyle w:val="FootnoteText"/>
      </w:pPr>
      <w:r>
        <w:rPr>
          <w:rStyle w:val="FootnoteReference"/>
        </w:rPr>
        <w:footnoteRef/>
      </w:r>
      <w:r>
        <w:t xml:space="preserve"> Cross-references for "The days": Isa 5:19; Jer 5:12-13.</w:t>
      </w:r>
    </w:p>
  </w:footnote>
  <w:footnote w:id="12907">
    <w:p>
      <w:pPr>
        <w:pStyle w:val="FootnoteText"/>
      </w:pPr>
      <w:r>
        <w:rPr>
          <w:rStyle w:val="FootnoteReference"/>
        </w:rPr>
        <w:footnoteRef/>
      </w:r>
      <w:r>
        <w:t xml:space="preserve"> Cross-references for "The days": Ezek 7:2; Ezek 7:5-7.</w:t>
      </w:r>
    </w:p>
  </w:footnote>
  <w:footnote w:id="12908">
    <w:p>
      <w:pPr>
        <w:pStyle w:val="FootnoteText"/>
      </w:pPr>
      <w:r>
        <w:rPr>
          <w:rStyle w:val="FootnoteReference"/>
        </w:rPr>
        <w:footnoteRef/>
      </w:r>
      <w:r>
        <w:t xml:space="preserve"> Cross-references for "in your": Jer 16:9; Hab 1:5.</w:t>
      </w:r>
    </w:p>
  </w:footnote>
  <w:footnote w:id="12909">
    <w:p>
      <w:pPr>
        <w:pStyle w:val="FootnoteText"/>
      </w:pPr>
      <w:r>
        <w:rPr>
          <w:rStyle w:val="FootnoteReference"/>
        </w:rPr>
        <w:footnoteRef/>
      </w:r>
      <w:r>
        <w:t xml:space="preserve"> Cross-references for "prophesy against": 2Chr 18:18-24; Isa 9:15.</w:t>
      </w:r>
    </w:p>
  </w:footnote>
  <w:footnote w:id="12910">
    <w:p>
      <w:pPr>
        <w:pStyle w:val="FootnoteText"/>
      </w:pPr>
      <w:r>
        <w:rPr>
          <w:rStyle w:val="FootnoteReference"/>
        </w:rPr>
        <w:footnoteRef/>
      </w:r>
      <w:r>
        <w:t xml:space="preserve"> Cross-references for "saying": Jer 23:31-32; Jer 28:2.</w:t>
      </w:r>
    </w:p>
  </w:footnote>
  <w:footnote w:id="12911">
    <w:p>
      <w:pPr>
        <w:pStyle w:val="FootnoteText"/>
      </w:pPr>
      <w:r>
        <w:rPr>
          <w:rStyle w:val="FootnoteReference"/>
        </w:rPr>
        <w:footnoteRef/>
      </w:r>
      <w:r>
        <w:t xml:space="preserve"> Cross-references for "behold": Jer 50:31-32; Jer 51:25.</w:t>
      </w:r>
    </w:p>
  </w:footnote>
  <w:footnote w:id="12912">
    <w:p>
      <w:pPr>
        <w:pStyle w:val="FootnoteText"/>
      </w:pPr>
      <w:r>
        <w:rPr>
          <w:rStyle w:val="FootnoteReference"/>
        </w:rPr>
        <w:footnoteRef/>
      </w:r>
      <w:r>
        <w:t xml:space="preserve"> Cross-references for "Peace": Isa 57:21; Jer 4:10.</w:t>
      </w:r>
    </w:p>
  </w:footnote>
  <w:footnote w:id="12913">
    <w:p>
      <w:pPr>
        <w:pStyle w:val="FootnoteText"/>
      </w:pPr>
      <w:r>
        <w:rPr>
          <w:rStyle w:val="FootnoteReference"/>
        </w:rPr>
        <w:footnoteRef/>
      </w:r>
      <w:r>
        <w:t xml:space="preserve"> Cross-references for "the wall": Neh 4:3; Ps 62:3.</w:t>
      </w:r>
    </w:p>
  </w:footnote>
  <w:footnote w:id="12914">
    <w:p>
      <w:pPr>
        <w:pStyle w:val="FootnoteText"/>
      </w:pPr>
      <w:r>
        <w:rPr>
          <w:rStyle w:val="FootnoteReference"/>
        </w:rPr>
        <w:footnoteRef/>
      </w:r>
      <w:r>
        <w:t xml:space="preserve"> Cross-references for "the daughters": Isa 3:16-26; Isa 4:4.</w:t>
      </w:r>
    </w:p>
  </w:footnote>
  <w:footnote w:id="12915">
    <w:p>
      <w:pPr>
        <w:pStyle w:val="FootnoteText"/>
      </w:pPr>
      <w:r>
        <w:rPr>
          <w:rStyle w:val="FootnoteReference"/>
        </w:rPr>
        <w:footnoteRef/>
      </w:r>
      <w:r>
        <w:t xml:space="preserve"> Cross-references for "and sat": Isa 29:13; Ezek 33:31.</w:t>
      </w:r>
    </w:p>
  </w:footnote>
  <w:footnote w:id="12916">
    <w:p>
      <w:pPr>
        <w:pStyle w:val="FootnoteText"/>
      </w:pPr>
      <w:r>
        <w:rPr>
          <w:rStyle w:val="FootnoteReference"/>
        </w:rPr>
        <w:footnoteRef/>
      </w:r>
      <w:r>
        <w:t xml:space="preserve"> Cross-references for "these men": Jer 17:1-2; Jer 17:9.</w:t>
      </w:r>
    </w:p>
  </w:footnote>
  <w:footnote w:id="12917">
    <w:p>
      <w:pPr>
        <w:pStyle w:val="FootnoteText"/>
      </w:pPr>
      <w:r>
        <w:rPr>
          <w:rStyle w:val="FootnoteReference"/>
        </w:rPr>
        <w:footnoteRef/>
      </w:r>
      <w:r>
        <w:t xml:space="preserve"> Cross-references for "speak": Ezek 2:7; Ezek 3:4.</w:t>
      </w:r>
    </w:p>
  </w:footnote>
  <w:footnote w:id="12918">
    <w:p>
      <w:pPr>
        <w:pStyle w:val="FootnoteText"/>
      </w:pPr>
      <w:r>
        <w:rPr>
          <w:rStyle w:val="FootnoteReference"/>
        </w:rPr>
        <w:footnoteRef/>
      </w:r>
      <w:r>
        <w:t xml:space="preserve"> Cross-references for "Turn": 2Chr 29:6; Isa 2:20.</w:t>
      </w:r>
    </w:p>
  </w:footnote>
  <w:footnote w:id="12919">
    <w:p>
      <w:pPr>
        <w:pStyle w:val="FootnoteText"/>
      </w:pPr>
      <w:r>
        <w:rPr>
          <w:rStyle w:val="FootnoteReference"/>
        </w:rPr>
        <w:footnoteRef/>
      </w:r>
      <w:r>
        <w:t xml:space="preserve"> Cross-references for "I will set": Lev 17:10; Lev 20:3-6.</w:t>
      </w:r>
    </w:p>
  </w:footnote>
  <w:footnote w:id="12920">
    <w:p>
      <w:pPr>
        <w:pStyle w:val="FootnoteText"/>
      </w:pPr>
      <w:r>
        <w:rPr>
          <w:rStyle w:val="FootnoteReference"/>
        </w:rPr>
        <w:footnoteRef/>
      </w:r>
      <w:r>
        <w:t xml:space="preserve"> Cross-references for "and I will": Isa 5:25; Isa 9:12.</w:t>
      </w:r>
    </w:p>
  </w:footnote>
  <w:footnote w:id="12921">
    <w:p>
      <w:pPr>
        <w:pStyle w:val="FootnoteText"/>
      </w:pPr>
      <w:r>
        <w:rPr>
          <w:rStyle w:val="FootnoteReference"/>
        </w:rPr>
        <w:footnoteRef/>
      </w:r>
      <w:r>
        <w:t xml:space="preserve"> Cross-references for "the house": Deut 13:11; Deut 19:20.</w:t>
      </w:r>
    </w:p>
  </w:footnote>
  <w:footnote w:id="12922">
    <w:p>
      <w:pPr>
        <w:pStyle w:val="FootnoteText"/>
      </w:pPr>
      <w:r>
        <w:rPr>
          <w:rStyle w:val="FootnoteReference"/>
        </w:rPr>
        <w:footnoteRef/>
      </w:r>
      <w:r>
        <w:t xml:space="preserve"> Cross-references for "break": Lev 26:26; Isa 3:1.</w:t>
      </w:r>
    </w:p>
  </w:footnote>
  <w:footnote w:id="12923">
    <w:p>
      <w:pPr>
        <w:pStyle w:val="FootnoteText"/>
      </w:pPr>
      <w:r>
        <w:rPr>
          <w:rStyle w:val="FootnoteReference"/>
        </w:rPr>
        <w:footnoteRef/>
      </w:r>
      <w:r>
        <w:t xml:space="preserve"> Cross-references for "Noah": Gen 6:8; Gen 7:1.</w:t>
      </w:r>
    </w:p>
  </w:footnote>
  <w:footnote w:id="12924">
    <w:p>
      <w:pPr>
        <w:pStyle w:val="FootnoteText"/>
      </w:pPr>
      <w:r>
        <w:rPr>
          <w:rStyle w:val="FootnoteReference"/>
        </w:rPr>
        <w:footnoteRef/>
      </w:r>
      <w:r>
        <w:t xml:space="preserve"> Name meaning: Daniel (Daniyyel) — God is my judge. Stood before earthly kings while God remained his true Judge.</w:t>
      </w:r>
    </w:p>
  </w:footnote>
  <w:footnote w:id="12925">
    <w:p>
      <w:pPr>
        <w:pStyle w:val="FootnoteText"/>
      </w:pPr>
      <w:r>
        <w:rPr>
          <w:rStyle w:val="FootnoteReference"/>
        </w:rPr>
        <w:footnoteRef/>
      </w:r>
      <w:r>
        <w:t xml:space="preserve"> Cross-references for "as I live": Num 14:28-29; Ezek 14:20.</w:t>
      </w:r>
    </w:p>
  </w:footnote>
  <w:footnote w:id="12926">
    <w:p>
      <w:pPr>
        <w:pStyle w:val="FootnoteText"/>
      </w:pPr>
      <w:r>
        <w:rPr>
          <w:rStyle w:val="FootnoteReference"/>
        </w:rPr>
        <w:footnoteRef/>
      </w:r>
      <w:r>
        <w:t xml:space="preserve"> Cross-references for "I bring": Lev 26:25; Jer 25:9.</w:t>
      </w:r>
    </w:p>
  </w:footnote>
  <w:footnote w:id="12927">
    <w:p>
      <w:pPr>
        <w:pStyle w:val="FootnoteText"/>
      </w:pPr>
      <w:r>
        <w:rPr>
          <w:rStyle w:val="FootnoteReference"/>
        </w:rPr>
        <w:footnoteRef/>
      </w:r>
      <w:r>
        <w:t xml:space="preserve"> Cross-references for "if I": Num 14:12; Num 16:46-50.</w:t>
      </w:r>
    </w:p>
  </w:footnote>
  <w:footnote w:id="12928">
    <w:p>
      <w:pPr>
        <w:pStyle w:val="FootnoteText"/>
      </w:pPr>
      <w:r>
        <w:rPr>
          <w:rStyle w:val="FootnoteReference"/>
        </w:rPr>
        <w:footnoteRef/>
      </w:r>
      <w:r>
        <w:t xml:space="preserve"> Cross-references for "Noah": Ezek 14:14; Ezek 14:16.</w:t>
      </w:r>
    </w:p>
  </w:footnote>
  <w:footnote w:id="12929">
    <w:p>
      <w:pPr>
        <w:pStyle w:val="FootnoteText"/>
      </w:pPr>
      <w:r>
        <w:rPr>
          <w:rStyle w:val="FootnoteReference"/>
        </w:rPr>
        <w:footnoteRef/>
      </w:r>
      <w:r>
        <w:t xml:space="preserve"> Cross-references for "my four": Jer 15:2-3; Ezek 5:12.</w:t>
      </w:r>
    </w:p>
  </w:footnote>
  <w:footnote w:id="12930">
    <w:p>
      <w:pPr>
        <w:pStyle w:val="FootnoteText"/>
      </w:pPr>
      <w:r>
        <w:rPr>
          <w:rStyle w:val="FootnoteReference"/>
        </w:rPr>
        <w:footnoteRef/>
      </w:r>
      <w:r>
        <w:t xml:space="preserve"> Cross-references for "that I have not": Gen 18:22-33; Deut 8:2.</w:t>
      </w:r>
    </w:p>
  </w:footnote>
  <w:footnote w:id="12931">
    <w:p>
      <w:pPr>
        <w:pStyle w:val="FootnoteText"/>
      </w:pPr>
      <w:r>
        <w:rPr>
          <w:rStyle w:val="FootnoteReference"/>
        </w:rPr>
        <w:footnoteRef/>
      </w:r>
      <w:r>
        <w:t xml:space="preserve"> Cross-references for "among": Isa 44:23; Mic 3:12.</w:t>
      </w:r>
    </w:p>
  </w:footnote>
  <w:footnote w:id="12932">
    <w:p>
      <w:pPr>
        <w:pStyle w:val="FootnoteText"/>
      </w:pPr>
      <w:r>
        <w:rPr>
          <w:rStyle w:val="FootnoteReference"/>
        </w:rPr>
        <w:footnoteRef/>
      </w:r>
      <w:r>
        <w:t xml:space="preserve"> Cross-references for "the fire": Isa 1:31; Amos 4:11.</w:t>
      </w:r>
    </w:p>
  </w:footnote>
  <w:footnote w:id="12933">
    <w:p>
      <w:pPr>
        <w:pStyle w:val="FootnoteText"/>
      </w:pPr>
      <w:r>
        <w:rPr>
          <w:rStyle w:val="FootnoteReference"/>
        </w:rPr>
        <w:footnoteRef/>
      </w:r>
      <w:r>
        <w:t xml:space="preserve"> Cross-references for "I will set": Lev 17:10; Lev 20:3-6.</w:t>
      </w:r>
    </w:p>
  </w:footnote>
  <w:footnote w:id="12934">
    <w:p>
      <w:pPr>
        <w:pStyle w:val="FootnoteText"/>
      </w:pPr>
      <w:r>
        <w:rPr>
          <w:rStyle w:val="FootnoteReference"/>
        </w:rPr>
        <w:footnoteRef/>
      </w:r>
      <w:r>
        <w:t xml:space="preserve"> Cross-references for "Amorite": Gen 15:16; Deut 20:17.</w:t>
      </w:r>
    </w:p>
  </w:footnote>
  <w:footnote w:id="12935">
    <w:p>
      <w:pPr>
        <w:pStyle w:val="FootnoteText"/>
      </w:pPr>
      <w:r>
        <w:rPr>
          <w:rStyle w:val="FootnoteReference"/>
        </w:rPr>
        <w:footnoteRef/>
      </w:r>
      <w:r>
        <w:t xml:space="preserve"> Cross-references for "and saw": Exod 2:24-25; Exod 3:7-8.</w:t>
      </w:r>
    </w:p>
  </w:footnote>
  <w:footnote w:id="12936">
    <w:p>
      <w:pPr>
        <w:pStyle w:val="FootnoteText"/>
      </w:pPr>
      <w:r>
        <w:rPr>
          <w:rStyle w:val="FootnoteReference"/>
        </w:rPr>
        <w:footnoteRef/>
      </w:r>
      <w:r>
        <w:t xml:space="preserve"> Cross-references for "washed": Ps 51:7; Isa 4:4.</w:t>
      </w:r>
    </w:p>
  </w:footnote>
  <w:footnote w:id="12937">
    <w:p>
      <w:pPr>
        <w:pStyle w:val="FootnoteText"/>
      </w:pPr>
      <w:r>
        <w:rPr>
          <w:rStyle w:val="FootnoteReference"/>
        </w:rPr>
        <w:footnoteRef/>
      </w:r>
      <w:r>
        <w:t xml:space="preserve"> Cross-references for "clothed": Ps 45:13-14; Isa 61:3.</w:t>
      </w:r>
    </w:p>
  </w:footnote>
  <w:footnote w:id="12938">
    <w:p>
      <w:pPr>
        <w:pStyle w:val="FootnoteText"/>
      </w:pPr>
      <w:r>
        <w:rPr>
          <w:rStyle w:val="FootnoteReference"/>
        </w:rPr>
        <w:footnoteRef/>
      </w:r>
      <w:r>
        <w:t xml:space="preserve"> Cross-references for "and a": Lev 8:9; Isa 28:5.</w:t>
      </w:r>
    </w:p>
  </w:footnote>
  <w:footnote w:id="12939">
    <w:p>
      <w:pPr>
        <w:pStyle w:val="FootnoteText"/>
      </w:pPr>
      <w:r>
        <w:rPr>
          <w:rStyle w:val="FootnoteReference"/>
        </w:rPr>
        <w:footnoteRef/>
      </w:r>
      <w:r>
        <w:t xml:space="preserve"> Cross-references for "with the": Exod 32:4; Deut 29:16-17.</w:t>
      </w:r>
    </w:p>
  </w:footnote>
  <w:footnote w:id="12940">
    <w:p>
      <w:pPr>
        <w:pStyle w:val="FootnoteText"/>
      </w:pPr>
      <w:r>
        <w:rPr>
          <w:rStyle w:val="FootnoteReference"/>
        </w:rPr>
        <w:footnoteRef/>
      </w:r>
      <w:r>
        <w:t xml:space="preserve"> Cross-references for "hear": 1Kgs 22:19; Isa 1:10.</w:t>
      </w:r>
    </w:p>
  </w:footnote>
  <w:footnote w:id="12941">
    <w:p>
      <w:pPr>
        <w:pStyle w:val="FootnoteText"/>
      </w:pPr>
      <w:r>
        <w:rPr>
          <w:rStyle w:val="FootnoteReference"/>
        </w:rPr>
        <w:footnoteRef/>
      </w:r>
      <w:r>
        <w:t xml:space="preserve"> Cross-references for "burn": Deut 13:16; 2Kgs 25:9.</w:t>
      </w:r>
    </w:p>
  </w:footnote>
  <w:footnote w:id="12942">
    <w:p>
      <w:pPr>
        <w:pStyle w:val="FootnoteText"/>
      </w:pPr>
      <w:r>
        <w:rPr>
          <w:rStyle w:val="FootnoteReference"/>
        </w:rPr>
        <w:footnoteRef/>
      </w:r>
      <w:r>
        <w:t xml:space="preserve"> Cross-references for "I also": Ezek 7:3-4; Ezek 7:8-9.</w:t>
      </w:r>
    </w:p>
  </w:footnote>
  <w:footnote w:id="12943">
    <w:p>
      <w:pPr>
        <w:pStyle w:val="FootnoteText"/>
      </w:pPr>
      <w:r>
        <w:rPr>
          <w:rStyle w:val="FootnoteReference"/>
        </w:rPr>
        <w:footnoteRef/>
      </w:r>
      <w:r>
        <w:t xml:space="preserve"> Cross-references for "your mother": Ezek 16:3.</w:t>
      </w:r>
    </w:p>
  </w:footnote>
  <w:footnote w:id="12944">
    <w:p>
      <w:pPr>
        <w:pStyle w:val="FootnoteText"/>
      </w:pPr>
      <w:r>
        <w:rPr>
          <w:rStyle w:val="FootnoteReference"/>
        </w:rPr>
        <w:footnoteRef/>
      </w:r>
      <w:r>
        <w:t xml:space="preserve"> Cross-references for "elder": Jer 3:8-11; Ezek 16:51.</w:t>
      </w:r>
    </w:p>
  </w:footnote>
  <w:footnote w:id="12945">
    <w:p>
      <w:pPr>
        <w:pStyle w:val="FootnoteText"/>
      </w:pPr>
      <w:r>
        <w:rPr>
          <w:rStyle w:val="FootnoteReference"/>
        </w:rPr>
        <w:footnoteRef/>
      </w:r>
      <w:r>
        <w:t xml:space="preserve"> Cross-references for "pride": Gen 19:9; Ps 138:6.</w:t>
      </w:r>
    </w:p>
  </w:footnote>
  <w:footnote w:id="12946">
    <w:p>
      <w:pPr>
        <w:pStyle w:val="FootnoteText"/>
      </w:pPr>
      <w:r>
        <w:rPr>
          <w:rStyle w:val="FootnoteReference"/>
        </w:rPr>
        <w:footnoteRef/>
      </w:r>
      <w:r>
        <w:t xml:space="preserve"> Cross-references for "Samaria": Luke 12:47-48; Rom 3:9-20.</w:t>
      </w:r>
    </w:p>
  </w:footnote>
  <w:footnote w:id="12947">
    <w:p>
      <w:pPr>
        <w:pStyle w:val="FootnoteText"/>
      </w:pPr>
      <w:r>
        <w:rPr>
          <w:rStyle w:val="FootnoteReference"/>
        </w:rPr>
        <w:footnoteRef/>
      </w:r>
      <w:r>
        <w:t xml:space="preserve"> Cross-references for "was not": Isa 65:5; Zeph 3:11.</w:t>
      </w:r>
    </w:p>
  </w:footnote>
  <w:footnote w:id="12948">
    <w:p>
      <w:pPr>
        <w:pStyle w:val="FootnoteText"/>
      </w:pPr>
      <w:r>
        <w:rPr>
          <w:rStyle w:val="FootnoteReference"/>
        </w:rPr>
        <w:footnoteRef/>
      </w:r>
      <w:r>
        <w:t xml:space="preserve"> Cross-references for "reproach": 2Kgs 16:5-7; 2Chr 28:5-6.</w:t>
      </w:r>
    </w:p>
  </w:footnote>
  <w:footnote w:id="12949">
    <w:p>
      <w:pPr>
        <w:pStyle w:val="FootnoteText"/>
      </w:pPr>
      <w:r>
        <w:rPr>
          <w:rStyle w:val="FootnoteReference"/>
        </w:rPr>
        <w:footnoteRef/>
      </w:r>
      <w:r>
        <w:t xml:space="preserve"> Cross-references for "I will remember": Lev 26:42; Lev 26:45.</w:t>
      </w:r>
    </w:p>
  </w:footnote>
  <w:footnote w:id="12950">
    <w:p>
      <w:pPr>
        <w:pStyle w:val="FootnoteText"/>
      </w:pPr>
      <w:r>
        <w:rPr>
          <w:rStyle w:val="FootnoteReference"/>
        </w:rPr>
        <w:footnoteRef/>
      </w:r>
      <w:r>
        <w:t xml:space="preserve"> Cross-references for "remember": Job 42:5-6; Ps 119:59.</w:t>
      </w:r>
    </w:p>
  </w:footnote>
  <w:footnote w:id="12951">
    <w:p>
      <w:pPr>
        <w:pStyle w:val="FootnoteText"/>
      </w:pPr>
      <w:r>
        <w:rPr>
          <w:rStyle w:val="FootnoteReference"/>
        </w:rPr>
        <w:footnoteRef/>
      </w:r>
      <w:r>
        <w:t xml:space="preserve"> Cross-references for "remember": Ezra 9:6; Ezek 16:61.</w:t>
      </w:r>
    </w:p>
  </w:footnote>
  <w:footnote w:id="12952">
    <w:p>
      <w:pPr>
        <w:pStyle w:val="FootnoteText"/>
      </w:pPr>
      <w:r>
        <w:rPr>
          <w:rStyle w:val="FootnoteReference"/>
        </w:rPr>
        <w:footnoteRef/>
      </w:r>
      <w:r>
        <w:t xml:space="preserve"> Cross-references for "the seed": 2Kgs 24:17; Jer 37:1.</w:t>
      </w:r>
    </w:p>
  </w:footnote>
  <w:footnote w:id="12953">
    <w:p>
      <w:pPr>
        <w:pStyle w:val="FootnoteText"/>
      </w:pPr>
      <w:r>
        <w:rPr>
          <w:rStyle w:val="FootnoteReference"/>
        </w:rPr>
        <w:footnoteRef/>
      </w:r>
      <w:r>
        <w:t xml:space="preserve"> Cross-references for "another": 2Kgs 24:20; 2Chr 26:13.</w:t>
      </w:r>
    </w:p>
  </w:footnote>
  <w:footnote w:id="12954">
    <w:p>
      <w:pPr>
        <w:pStyle w:val="FootnoteText"/>
      </w:pPr>
      <w:r>
        <w:rPr>
          <w:rStyle w:val="FootnoteReference"/>
        </w:rPr>
        <w:footnoteRef/>
      </w:r>
      <w:r>
        <w:t xml:space="preserve"> Cross-references for "the kingdom": Deut 28:43; 1Sam 2:7.</w:t>
      </w:r>
    </w:p>
  </w:footnote>
  <w:footnote w:id="12955">
    <w:p>
      <w:pPr>
        <w:pStyle w:val="FootnoteText"/>
      </w:pPr>
      <w:r>
        <w:rPr>
          <w:rStyle w:val="FootnoteReference"/>
        </w:rPr>
        <w:footnoteRef/>
      </w:r>
      <w:r>
        <w:t xml:space="preserve"> Cross-references for "surely": Deut 5:11; Jer 5:2.</w:t>
      </w:r>
    </w:p>
  </w:footnote>
  <w:footnote w:id="12956">
    <w:p>
      <w:pPr>
        <w:pStyle w:val="FootnoteText"/>
      </w:pPr>
      <w:r>
        <w:rPr>
          <w:rStyle w:val="FootnoteReference"/>
        </w:rPr>
        <w:footnoteRef/>
      </w:r>
      <w:r>
        <w:t xml:space="preserve"> Cross-references for "I will spread": Josh 10:16-18; 2Sam 18:9.</w:t>
      </w:r>
    </w:p>
  </w:footnote>
  <w:footnote w:id="12957">
    <w:p>
      <w:pPr>
        <w:pStyle w:val="FootnoteText"/>
      </w:pPr>
      <w:r>
        <w:rPr>
          <w:rStyle w:val="FootnoteReference"/>
        </w:rPr>
        <w:footnoteRef/>
      </w:r>
      <w:r>
        <w:t xml:space="preserve"> Cross-references for "upon": Ps 2:6; Ps 72:16.</w:t>
      </w:r>
    </w:p>
  </w:footnote>
  <w:footnote w:id="12958">
    <w:p>
      <w:pPr>
        <w:pStyle w:val="FootnoteText"/>
      </w:pPr>
      <w:r>
        <w:rPr>
          <w:rStyle w:val="FootnoteReference"/>
        </w:rPr>
        <w:footnoteRef/>
      </w:r>
      <w:r>
        <w:t xml:space="preserve"> Cross-references for "and it": Ps 92:12-13; Isa 27:6.</w:t>
      </w:r>
    </w:p>
  </w:footnote>
  <w:footnote w:id="12959">
    <w:p>
      <w:pPr>
        <w:pStyle w:val="FootnoteText"/>
      </w:pPr>
      <w:r>
        <w:rPr>
          <w:rStyle w:val="FootnoteReference"/>
        </w:rPr>
        <w:footnoteRef/>
      </w:r>
      <w:r>
        <w:t xml:space="preserve"> Cross-references for "all the trees": Ps 96:11-12; Isa 55:12-13.</w:t>
      </w:r>
    </w:p>
  </w:footnote>
  <w:footnote w:id="12960">
    <w:p>
      <w:pPr>
        <w:pStyle w:val="FootnoteText"/>
      </w:pPr>
      <w:r>
        <w:rPr>
          <w:rStyle w:val="FootnoteReference"/>
        </w:rPr>
        <w:footnoteRef/>
      </w:r>
      <w:r>
        <w:t xml:space="preserve"> Cross-references for "The fathers": Jer 15:4; Jer 31:29-30.</w:t>
      </w:r>
    </w:p>
  </w:footnote>
  <w:footnote w:id="12961">
    <w:p>
      <w:pPr>
        <w:pStyle w:val="FootnoteText"/>
      </w:pPr>
      <w:r>
        <w:rPr>
          <w:rStyle w:val="FootnoteReference"/>
        </w:rPr>
        <w:footnoteRef/>
      </w:r>
      <w:r>
        <w:t xml:space="preserve"> Cross-references for "The soul that": Ezek 18:20; Rom 6:23.</w:t>
      </w:r>
    </w:p>
  </w:footnote>
  <w:footnote w:id="12962">
    <w:p>
      <w:pPr>
        <w:pStyle w:val="FootnoteText"/>
      </w:pPr>
      <w:r>
        <w:rPr>
          <w:rStyle w:val="FootnoteReference"/>
        </w:rPr>
        <w:footnoteRef/>
      </w:r>
      <w:r>
        <w:t xml:space="preserve"> Cross-references for "walked": Deut 4:1; Deut 5:1.</w:t>
      </w:r>
    </w:p>
  </w:footnote>
  <w:footnote w:id="12963">
    <w:p>
      <w:pPr>
        <w:pStyle w:val="FootnoteText"/>
      </w:pPr>
      <w:r>
        <w:rPr>
          <w:rStyle w:val="FootnoteReference"/>
        </w:rPr>
        <w:footnoteRef/>
      </w:r>
      <w:r>
        <w:t xml:space="preserve"> Cross-references for "oppressed": Ezek 18:7; Ezek 18:16.</w:t>
      </w:r>
    </w:p>
  </w:footnote>
  <w:footnote w:id="12964">
    <w:p>
      <w:pPr>
        <w:pStyle w:val="FootnoteText"/>
      </w:pPr>
      <w:r>
        <w:rPr>
          <w:rStyle w:val="FootnoteReference"/>
        </w:rPr>
        <w:footnoteRef/>
      </w:r>
      <w:r>
        <w:t xml:space="preserve"> Cross-references for "blood": Lev 20:9; Lev 20:11-13.</w:t>
      </w:r>
    </w:p>
  </w:footnote>
  <w:footnote w:id="12965">
    <w:p>
      <w:pPr>
        <w:pStyle w:val="FootnoteText"/>
      </w:pPr>
      <w:r>
        <w:rPr>
          <w:rStyle w:val="FootnoteReference"/>
        </w:rPr>
        <w:footnoteRef/>
      </w:r>
      <w:r>
        <w:t xml:space="preserve"> Cross-references for "if he": Prov 17:21; Prov 23:24.</w:t>
      </w:r>
    </w:p>
  </w:footnote>
  <w:footnote w:id="12966">
    <w:p>
      <w:pPr>
        <w:pStyle w:val="FootnoteText"/>
      </w:pPr>
      <w:r>
        <w:rPr>
          <w:rStyle w:val="FootnoteReference"/>
        </w:rPr>
        <w:footnoteRef/>
      </w:r>
      <w:r>
        <w:t xml:space="preserve"> Translation note: The Greek speaks of the sinning soul directly. The reviewed wording keeps that soul-language visible and preserves the smoke-guarded wording.</w:t>
      </w:r>
    </w:p>
  </w:footnote>
  <w:footnote w:id="12967">
    <w:p>
      <w:pPr>
        <w:pStyle w:val="FootnoteText"/>
      </w:pPr>
      <w:r>
        <w:rPr>
          <w:rStyle w:val="FootnoteReference"/>
        </w:rPr>
        <w:footnoteRef/>
      </w:r>
      <w:r>
        <w:t xml:space="preserve"> Cross-references for "bear": Lev 5:1; Lev 5:17.</w:t>
      </w:r>
    </w:p>
  </w:footnote>
  <w:footnote w:id="12968">
    <w:p>
      <w:pPr>
        <w:pStyle w:val="FootnoteText"/>
      </w:pPr>
      <w:r>
        <w:rPr>
          <w:rStyle w:val="FootnoteReference"/>
        </w:rPr>
        <w:footnoteRef/>
      </w:r>
      <w:r>
        <w:t xml:space="preserve"> Cross-references for "if the": 2Chr 33:12-13; Prov 28:13.</w:t>
      </w:r>
    </w:p>
  </w:footnote>
  <w:footnote w:id="12969">
    <w:p>
      <w:pPr>
        <w:pStyle w:val="FootnoteText"/>
      </w:pPr>
      <w:r>
        <w:rPr>
          <w:rStyle w:val="FootnoteReference"/>
        </w:rPr>
        <w:footnoteRef/>
      </w:r>
      <w:r>
        <w:t xml:space="preserve"> Cross-references for "in his": 2Chr 6:23; Ps 18:20-24.</w:t>
      </w:r>
    </w:p>
  </w:footnote>
  <w:footnote w:id="12970">
    <w:p>
      <w:pPr>
        <w:pStyle w:val="FootnoteText"/>
      </w:pPr>
      <w:r>
        <w:rPr>
          <w:rStyle w:val="FootnoteReference"/>
        </w:rPr>
        <w:footnoteRef/>
      </w:r>
      <w:r>
        <w:t xml:space="preserve"> Cross-references for "In his": Prov 14:32; Prov 21:16.</w:t>
      </w:r>
    </w:p>
  </w:footnote>
  <w:footnote w:id="12971">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2972">
    <w:p>
      <w:pPr>
        <w:pStyle w:val="FootnoteText"/>
      </w:pPr>
      <w:r>
        <w:rPr>
          <w:rStyle w:val="FootnoteReference"/>
        </w:rPr>
        <w:footnoteRef/>
      </w:r>
      <w:r>
        <w:t xml:space="preserve"> Cross-references for "make": Ps 51:10; Jer 32:39.</w:t>
      </w:r>
    </w:p>
  </w:footnote>
  <w:footnote w:id="12973">
    <w:p>
      <w:pPr>
        <w:pStyle w:val="FootnoteText"/>
      </w:pPr>
      <w:r>
        <w:rPr>
          <w:rStyle w:val="FootnoteReference"/>
        </w:rPr>
        <w:footnoteRef/>
      </w:r>
      <w:r>
        <w:t xml:space="preserve"> Cross-references for "take": Jer 9:1; Jer 9:10.</w:t>
      </w:r>
    </w:p>
  </w:footnote>
  <w:footnote w:id="12974">
    <w:p>
      <w:pPr>
        <w:pStyle w:val="FootnoteText"/>
      </w:pPr>
      <w:r>
        <w:rPr>
          <w:rStyle w:val="FootnoteReference"/>
        </w:rPr>
        <w:footnoteRef/>
      </w:r>
      <w:r>
        <w:t xml:space="preserve"> Cross-references for "A lioness": Nah 2:11-12; Zeph 3:1-4.</w:t>
      </w:r>
    </w:p>
  </w:footnote>
  <w:footnote w:id="12975">
    <w:p>
      <w:pPr>
        <w:pStyle w:val="FootnoteText"/>
      </w:pPr>
      <w:r>
        <w:rPr>
          <w:rStyle w:val="FootnoteReference"/>
        </w:rPr>
        <w:footnoteRef/>
      </w:r>
      <w:r>
        <w:t xml:space="preserve"> Cross-references for "another": 2Kgs 23:34-37; Ezek 19:3.</w:t>
      </w:r>
    </w:p>
  </w:footnote>
  <w:footnote w:id="12976">
    <w:p>
      <w:pPr>
        <w:pStyle w:val="FootnoteText"/>
      </w:pPr>
      <w:r>
        <w:rPr>
          <w:rStyle w:val="FootnoteReference"/>
        </w:rPr>
        <w:footnoteRef/>
      </w:r>
      <w:r>
        <w:t xml:space="preserve"> Cross-references for "he became": Ezek 19:3.</w:t>
      </w:r>
    </w:p>
  </w:footnote>
  <w:footnote w:id="12977">
    <w:p>
      <w:pPr>
        <w:pStyle w:val="FootnoteText"/>
      </w:pPr>
      <w:r>
        <w:rPr>
          <w:rStyle w:val="FootnoteReference"/>
        </w:rPr>
        <w:footnoteRef/>
      </w:r>
      <w:r>
        <w:t xml:space="preserve"> Cross-references for "and spread": Lam 4:20; Ezek 12:13.</w:t>
      </w:r>
    </w:p>
  </w:footnote>
  <w:footnote w:id="12978">
    <w:p>
      <w:pPr>
        <w:pStyle w:val="FootnoteText"/>
      </w:pPr>
      <w:r>
        <w:rPr>
          <w:rStyle w:val="FootnoteReference"/>
        </w:rPr>
        <w:footnoteRef/>
      </w:r>
      <w:r>
        <w:t xml:space="preserve"> Cross-references for "and brought": 2Chr 36:6; Jer 22:18-19.</w:t>
      </w:r>
    </w:p>
  </w:footnote>
  <w:footnote w:id="12979">
    <w:p>
      <w:pPr>
        <w:pStyle w:val="FootnoteText"/>
      </w:pPr>
      <w:r>
        <w:rPr>
          <w:rStyle w:val="FootnoteReference"/>
        </w:rPr>
        <w:footnoteRef/>
      </w:r>
      <w:r>
        <w:t xml:space="preserve"> Cross-references for "mother": Ezek 19:2; Hos 2:2.</w:t>
      </w:r>
    </w:p>
  </w:footnote>
  <w:footnote w:id="12980">
    <w:p>
      <w:pPr>
        <w:pStyle w:val="FootnoteText"/>
      </w:pPr>
      <w:r>
        <w:rPr>
          <w:rStyle w:val="FootnoteReference"/>
        </w:rPr>
        <w:footnoteRef/>
      </w:r>
      <w:r>
        <w:t xml:space="preserve"> Cross-references for "she had": Gen 49:10; Num 24:7-9.</w:t>
      </w:r>
    </w:p>
  </w:footnote>
  <w:footnote w:id="12981">
    <w:p>
      <w:pPr>
        <w:pStyle w:val="FootnoteText"/>
      </w:pPr>
      <w:r>
        <w:rPr>
          <w:rStyle w:val="FootnoteReference"/>
        </w:rPr>
        <w:footnoteRef/>
      </w:r>
      <w:r>
        <w:t xml:space="preserve"> Cross-references for "she was": Ps 52:5; Ps 80:12-13.</w:t>
      </w:r>
    </w:p>
  </w:footnote>
  <w:footnote w:id="12982">
    <w:p>
      <w:pPr>
        <w:pStyle w:val="FootnoteText"/>
      </w:pPr>
      <w:r>
        <w:rPr>
          <w:rStyle w:val="FootnoteReference"/>
        </w:rPr>
        <w:footnoteRef/>
      </w:r>
      <w:r>
        <w:t xml:space="preserve"> Cross-references for "fire": Judg 9:15; 2Kgs 24:20.</w:t>
      </w:r>
    </w:p>
  </w:footnote>
  <w:footnote w:id="12983">
    <w:p>
      <w:pPr>
        <w:pStyle w:val="FootnoteText"/>
      </w:pPr>
      <w:r>
        <w:rPr>
          <w:rStyle w:val="FootnoteReference"/>
        </w:rPr>
        <w:footnoteRef/>
      </w:r>
      <w:r>
        <w:t xml:space="preserve"> Cross-references for "in the seventh": Ezek 1:2; Ezek 8:1.</w:t>
      </w:r>
    </w:p>
  </w:footnote>
  <w:footnote w:id="12984">
    <w:p>
      <w:pPr>
        <w:pStyle w:val="FootnoteText"/>
      </w:pPr>
      <w:r>
        <w:rPr>
          <w:rStyle w:val="FootnoteReference"/>
        </w:rPr>
        <w:footnoteRef/>
      </w:r>
      <w:r>
        <w:t xml:space="preserve"> Cross-references for "and made": Exod 3:8; Exod 4:31.</w:t>
      </w:r>
    </w:p>
  </w:footnote>
  <w:footnote w:id="12985">
    <w:p>
      <w:pPr>
        <w:pStyle w:val="FootnoteText"/>
      </w:pPr>
      <w:r>
        <w:rPr>
          <w:rStyle w:val="FootnoteReference"/>
        </w:rPr>
        <w:footnoteRef/>
      </w:r>
      <w:r>
        <w:t xml:space="preserve"> Cross-references for "to bring": Gen 15:13-14; Exod 3:8.</w:t>
      </w:r>
    </w:p>
  </w:footnote>
  <w:footnote w:id="12986">
    <w:p>
      <w:pPr>
        <w:pStyle w:val="FootnoteText"/>
      </w:pPr>
      <w:r>
        <w:rPr>
          <w:rStyle w:val="FootnoteReference"/>
        </w:rPr>
        <w:footnoteRef/>
      </w:r>
      <w:r>
        <w:t xml:space="preserve"> Cross-references for "cast": Isa 2:20-21; Isa 31:7.</w:t>
      </w:r>
    </w:p>
  </w:footnote>
  <w:footnote w:id="12987">
    <w:p>
      <w:pPr>
        <w:pStyle w:val="FootnoteText"/>
      </w:pPr>
      <w:r>
        <w:rPr>
          <w:rStyle w:val="FootnoteReference"/>
        </w:rPr>
        <w:footnoteRef/>
      </w:r>
      <w:r>
        <w:t xml:space="preserve"> Cross-references for "they rebelled": Deut 9:7; Neh 9:26.</w:t>
      </w:r>
    </w:p>
  </w:footnote>
  <w:footnote w:id="12988">
    <w:p>
      <w:pPr>
        <w:pStyle w:val="FootnoteText"/>
      </w:pPr>
      <w:r>
        <w:rPr>
          <w:rStyle w:val="FootnoteReference"/>
        </w:rPr>
        <w:footnoteRef/>
      </w:r>
      <w:r>
        <w:t xml:space="preserve"> Cross-references for "I gave": Deut 4:8; Neh 9:13-14.</w:t>
      </w:r>
    </w:p>
  </w:footnote>
  <w:footnote w:id="12989">
    <w:p>
      <w:pPr>
        <w:pStyle w:val="FootnoteText"/>
      </w:pPr>
      <w:r>
        <w:rPr>
          <w:rStyle w:val="FootnoteReference"/>
        </w:rPr>
        <w:footnoteRef/>
      </w:r>
      <w:r>
        <w:t xml:space="preserve"> Cross-references for "I gave": Gen 2:3; Exod 16:29.</w:t>
      </w:r>
    </w:p>
  </w:footnote>
  <w:footnote w:id="12990">
    <w:p>
      <w:pPr>
        <w:pStyle w:val="FootnoteText"/>
      </w:pPr>
      <w:r>
        <w:rPr>
          <w:rStyle w:val="FootnoteReference"/>
        </w:rPr>
        <w:footnoteRef/>
      </w:r>
      <w:r>
        <w:t xml:space="preserve"> Cross-references for "I said": Exod 32:10; Num 14:11-12.</w:t>
      </w:r>
    </w:p>
  </w:footnote>
  <w:footnote w:id="12991">
    <w:p>
      <w:pPr>
        <w:pStyle w:val="FootnoteText"/>
      </w:pPr>
      <w:r>
        <w:rPr>
          <w:rStyle w:val="FootnoteReference"/>
        </w:rPr>
        <w:footnoteRef/>
      </w:r>
      <w:r>
        <w:t xml:space="preserve"> Cross-references for "I lifted": Num 14:23-30; Num 26:64-65.</w:t>
      </w:r>
    </w:p>
  </w:footnote>
  <w:footnote w:id="12992">
    <w:p>
      <w:pPr>
        <w:pStyle w:val="FootnoteText"/>
      </w:pPr>
      <w:r>
        <w:rPr>
          <w:rStyle w:val="FootnoteReference"/>
        </w:rPr>
        <w:footnoteRef/>
      </w:r>
      <w:r>
        <w:t xml:space="preserve"> Cross-references for "I said": Num 14:32-33; Num 32:13-15.</w:t>
      </w:r>
    </w:p>
  </w:footnote>
  <w:footnote w:id="12993">
    <w:p>
      <w:pPr>
        <w:pStyle w:val="FootnoteText"/>
      </w:pPr>
      <w:r>
        <w:rPr>
          <w:rStyle w:val="FootnoteReference"/>
        </w:rPr>
        <w:footnoteRef/>
      </w:r>
      <w:r>
        <w:t xml:space="preserve"> Cross-references for "the Lord": Exod 20:2-3; Deut 5:6-7.</w:t>
      </w:r>
    </w:p>
  </w:footnote>
  <w:footnote w:id="12994">
    <w:p>
      <w:pPr>
        <w:pStyle w:val="FootnoteText"/>
      </w:pPr>
      <w:r>
        <w:rPr>
          <w:rStyle w:val="FootnoteReference"/>
        </w:rPr>
        <w:footnoteRef/>
      </w:r>
      <w:r>
        <w:t xml:space="preserve"> Cross-references for "if a man": Ezek 20:11; Ezek 20:13.</w:t>
      </w:r>
    </w:p>
  </w:footnote>
  <w:footnote w:id="12995">
    <w:p>
      <w:pPr>
        <w:pStyle w:val="FootnoteText"/>
      </w:pPr>
      <w:r>
        <w:rPr>
          <w:rStyle w:val="FootnoteReference"/>
        </w:rPr>
        <w:footnoteRef/>
      </w:r>
      <w:r>
        <w:t xml:space="preserve"> Cross-references for "lifted": Deut 32:40; Ezek 20:15.</w:t>
      </w:r>
    </w:p>
  </w:footnote>
  <w:footnote w:id="12996">
    <w:p>
      <w:pPr>
        <w:pStyle w:val="FootnoteText"/>
      </w:pPr>
      <w:r>
        <w:rPr>
          <w:rStyle w:val="FootnoteReference"/>
        </w:rPr>
        <w:footnoteRef/>
      </w:r>
      <w:r>
        <w:t xml:space="preserve"> Cross-references for "their eyes": Deut 4:19; Job 31:26-27.</w:t>
      </w:r>
    </w:p>
  </w:footnote>
  <w:footnote w:id="12997">
    <w:p>
      <w:pPr>
        <w:pStyle w:val="FootnoteText"/>
      </w:pPr>
      <w:r>
        <w:rPr>
          <w:rStyle w:val="FootnoteReference"/>
        </w:rPr>
        <w:footnoteRef/>
      </w:r>
      <w:r>
        <w:t xml:space="preserve"> Cross-references for "speak": Ezek 2:7; Ezek 3:4.</w:t>
      </w:r>
    </w:p>
  </w:footnote>
  <w:footnote w:id="12998">
    <w:p>
      <w:pPr>
        <w:pStyle w:val="FootnoteText"/>
      </w:pPr>
      <w:r>
        <w:rPr>
          <w:rStyle w:val="FootnoteReference"/>
        </w:rPr>
        <w:footnoteRef/>
      </w:r>
      <w:r>
        <w:t xml:space="preserve"> Cross-references for "they saw": Ps 78:58; Isa 57:5-7.</w:t>
      </w:r>
    </w:p>
  </w:footnote>
  <w:footnote w:id="12999">
    <w:p>
      <w:pPr>
        <w:pStyle w:val="FootnoteText"/>
      </w:pPr>
      <w:r>
        <w:rPr>
          <w:rStyle w:val="FootnoteReference"/>
        </w:rPr>
        <w:footnoteRef/>
      </w:r>
      <w:r>
        <w:t xml:space="preserve"> Cross-references for "I said": Ezek 16:24-25; Ezek 16:31.</w:t>
      </w:r>
    </w:p>
  </w:footnote>
  <w:footnote w:id="13000">
    <w:p>
      <w:pPr>
        <w:pStyle w:val="FootnoteText"/>
      </w:pPr>
      <w:r>
        <w:rPr>
          <w:rStyle w:val="FootnoteReference"/>
        </w:rPr>
        <w:footnoteRef/>
      </w:r>
      <w:r>
        <w:t xml:space="preserve"> Transliterated proper noun: Bamah. Standard English equivalent: Bamah. Source form: Bamah. Greek form: αβαμα. Name meaning: an eminence or high place.</w:t>
      </w:r>
    </w:p>
  </w:footnote>
  <w:footnote w:id="13001">
    <w:p>
      <w:pPr>
        <w:pStyle w:val="FootnoteText"/>
      </w:pPr>
      <w:r>
        <w:rPr>
          <w:rStyle w:val="FootnoteReference"/>
        </w:rPr>
        <w:footnoteRef/>
      </w:r>
      <w:r>
        <w:t xml:space="preserve"> Cross-references for "and shall": 1Sam 28:5-6; 2Kgs 3:13-14.</w:t>
      </w:r>
    </w:p>
  </w:footnote>
  <w:footnote w:id="13002">
    <w:p>
      <w:pPr>
        <w:pStyle w:val="FootnoteText"/>
      </w:pPr>
      <w:r>
        <w:rPr>
          <w:rStyle w:val="FootnoteReference"/>
        </w:rPr>
        <w:footnoteRef/>
      </w:r>
      <w:r>
        <w:t xml:space="preserve"> Cross-references for "We will": 1Sam 8:5; Jer 44:17.</w:t>
      </w:r>
    </w:p>
  </w:footnote>
  <w:footnote w:id="13003">
    <w:p>
      <w:pPr>
        <w:pStyle w:val="FootnoteText"/>
      </w:pPr>
      <w:r>
        <w:rPr>
          <w:rStyle w:val="FootnoteReference"/>
        </w:rPr>
        <w:footnoteRef/>
      </w:r>
      <w:r>
        <w:t xml:space="preserve"> Translation note: The Greek keeps the holy-name warning direct. The current wording preserves that explicit line.</w:t>
      </w:r>
    </w:p>
  </w:footnote>
  <w:footnote w:id="13004">
    <w:p>
      <w:pPr>
        <w:pStyle w:val="FootnoteText"/>
      </w:pPr>
      <w:r>
        <w:rPr>
          <w:rStyle w:val="FootnoteReference"/>
        </w:rPr>
        <w:footnoteRef/>
      </w:r>
      <w:r>
        <w:t xml:space="preserve"> Cross-references for "I bring": Isa 11:11-16; Isa 27:12-13.</w:t>
      </w:r>
    </w:p>
  </w:footnote>
  <w:footnote w:id="13005">
    <w:p>
      <w:pPr>
        <w:pStyle w:val="FootnoteText"/>
      </w:pPr>
      <w:r>
        <w:rPr>
          <w:rStyle w:val="FootnoteReference"/>
        </w:rPr>
        <w:footnoteRef/>
      </w:r>
      <w:r>
        <w:t xml:space="preserve"> Cross-references for "when I": Ezek 11:17-20; Ezek 34:13.</w:t>
      </w:r>
    </w:p>
  </w:footnote>
  <w:footnote w:id="13006">
    <w:p>
      <w:pPr>
        <w:pStyle w:val="FootnoteText"/>
      </w:pPr>
      <w:r>
        <w:rPr>
          <w:rStyle w:val="FootnoteReference"/>
        </w:rPr>
        <w:footnoteRef/>
      </w:r>
      <w:r>
        <w:t xml:space="preserve"> Cross-references for "when I": Ps 79:9; Ps 115:1.</w:t>
      </w:r>
    </w:p>
  </w:footnote>
  <w:footnote w:id="13007">
    <w:p>
      <w:pPr>
        <w:pStyle w:val="FootnoteText"/>
      </w:pPr>
      <w:r>
        <w:rPr>
          <w:rStyle w:val="FootnoteReference"/>
        </w:rPr>
        <w:footnoteRef/>
      </w:r>
      <w:r>
        <w:t xml:space="preserve"> Cross-references for "against": Jer 26:11-12; Ezek 4:7.</w:t>
      </w:r>
    </w:p>
  </w:footnote>
  <w:footnote w:id="13008">
    <w:p>
      <w:pPr>
        <w:pStyle w:val="FootnoteText"/>
      </w:pPr>
      <w:r>
        <w:rPr>
          <w:rStyle w:val="FootnoteReference"/>
        </w:rPr>
        <w:footnoteRef/>
      </w:r>
      <w:r>
        <w:t xml:space="preserve"> Cross-references for "Behold": Jer 21:13; Jer 50:31.</w:t>
      </w:r>
    </w:p>
  </w:footnote>
  <w:footnote w:id="13009">
    <w:p>
      <w:pPr>
        <w:pStyle w:val="FootnoteText"/>
      </w:pPr>
      <w:r>
        <w:rPr>
          <w:rStyle w:val="FootnoteReference"/>
        </w:rPr>
        <w:footnoteRef/>
      </w:r>
      <w:r>
        <w:t xml:space="preserve"> Cross-references for "judge": Ezek 20:4; Ezek 23:36.</w:t>
      </w:r>
    </w:p>
  </w:footnote>
  <w:footnote w:id="13010">
    <w:p>
      <w:pPr>
        <w:pStyle w:val="FootnoteText"/>
      </w:pPr>
      <w:r>
        <w:rPr>
          <w:rStyle w:val="FootnoteReference"/>
        </w:rPr>
        <w:footnoteRef/>
      </w:r>
      <w:r>
        <w:t xml:space="preserve"> Cross-references for "that her": Ezek 7:2-12; Ezek 12:25.</w:t>
      </w:r>
    </w:p>
  </w:footnote>
  <w:footnote w:id="13011">
    <w:p>
      <w:pPr>
        <w:pStyle w:val="FootnoteText"/>
      </w:pPr>
      <w:r>
        <w:rPr>
          <w:rStyle w:val="FootnoteReference"/>
        </w:rPr>
        <w:footnoteRef/>
      </w:r>
      <w:r>
        <w:t xml:space="preserve"> Cross-references for "humbled": Lev 18:19; Lev 20:18.</w:t>
      </w:r>
    </w:p>
  </w:footnote>
  <w:footnote w:id="13012">
    <w:p>
      <w:pPr>
        <w:pStyle w:val="FootnoteText"/>
      </w:pPr>
      <w:r>
        <w:rPr>
          <w:rStyle w:val="FootnoteReference"/>
        </w:rPr>
        <w:footnoteRef/>
      </w:r>
      <w:r>
        <w:t xml:space="preserve"> Cross-references for "his sister": Lev 18:9; Lev 20:17.</w:t>
      </w:r>
    </w:p>
  </w:footnote>
  <w:footnote w:id="13013">
    <w:p>
      <w:pPr>
        <w:pStyle w:val="FootnoteText"/>
      </w:pPr>
      <w:r>
        <w:rPr>
          <w:rStyle w:val="FootnoteReference"/>
        </w:rPr>
        <w:footnoteRef/>
      </w:r>
      <w:r>
        <w:t xml:space="preserve"> Cross-references for "scatter": Lev 26:33; Deut 4:27.</w:t>
      </w:r>
    </w:p>
  </w:footnote>
  <w:footnote w:id="13014">
    <w:p>
      <w:pPr>
        <w:pStyle w:val="FootnoteText"/>
      </w:pPr>
      <w:r>
        <w:rPr>
          <w:rStyle w:val="FootnoteReference"/>
        </w:rPr>
        <w:footnoteRef/>
      </w:r>
      <w:r>
        <w:t xml:space="preserve"> Cross-references for "the house": Ps 119:119; Isa 1:22.</w:t>
      </w:r>
    </w:p>
  </w:footnote>
  <w:footnote w:id="13015">
    <w:p>
      <w:pPr>
        <w:pStyle w:val="FootnoteText"/>
      </w:pPr>
      <w:r>
        <w:rPr>
          <w:rStyle w:val="FootnoteReference"/>
        </w:rPr>
        <w:footnoteRef/>
      </w:r>
      <w:r>
        <w:t xml:space="preserve"> Cross-references for "to blow": Isa 54:16; Ezek 21:31-32.</w:t>
      </w:r>
    </w:p>
  </w:footnote>
  <w:footnote w:id="13016">
    <w:p>
      <w:pPr>
        <w:pStyle w:val="FootnoteText"/>
      </w:pPr>
      <w:r>
        <w:rPr>
          <w:rStyle w:val="FootnoteReference"/>
        </w:rPr>
        <w:footnoteRef/>
      </w:r>
      <w:r>
        <w:t xml:space="preserve"> Cross-references for "priests": 1Sam 2:12-17; 1Sam 2:22.</w:t>
      </w:r>
    </w:p>
  </w:footnote>
  <w:footnote w:id="13017">
    <w:p>
      <w:pPr>
        <w:pStyle w:val="FootnoteText"/>
      </w:pPr>
      <w:r>
        <w:rPr>
          <w:rStyle w:val="FootnoteReference"/>
        </w:rPr>
        <w:footnoteRef/>
      </w:r>
      <w:r>
        <w:t xml:space="preserve"> Cross-references for "prophets": Isa 30:10; Jer 8:10-11.</w:t>
      </w:r>
    </w:p>
  </w:footnote>
  <w:footnote w:id="13018">
    <w:p>
      <w:pPr>
        <w:pStyle w:val="FootnoteText"/>
      </w:pPr>
      <w:r>
        <w:rPr>
          <w:rStyle w:val="FootnoteReference"/>
        </w:rPr>
        <w:footnoteRef/>
      </w:r>
      <w:r>
        <w:t xml:space="preserve"> Cross-references for "people": Ezek 18:12; Ezek 22:7.</w:t>
      </w:r>
    </w:p>
  </w:footnote>
  <w:footnote w:id="13019">
    <w:p>
      <w:pPr>
        <w:pStyle w:val="FootnoteText"/>
      </w:pPr>
      <w:r>
        <w:rPr>
          <w:rStyle w:val="FootnoteReference"/>
        </w:rPr>
        <w:footnoteRef/>
      </w:r>
      <w:r>
        <w:t xml:space="preserve"> Cross-references for "I sought": Isa 59:16; Isa 63:5.</w:t>
      </w:r>
    </w:p>
  </w:footnote>
  <w:footnote w:id="13020">
    <w:p>
      <w:pPr>
        <w:pStyle w:val="FootnoteText"/>
      </w:pPr>
      <w:r>
        <w:rPr>
          <w:rStyle w:val="FootnoteReference"/>
        </w:rPr>
        <w:footnoteRef/>
      </w:r>
      <w:r>
        <w:t xml:space="preserve"> Cross-references for "in Egypt": Lev 17:7; Deut 29:16.</w:t>
      </w:r>
    </w:p>
  </w:footnote>
  <w:footnote w:id="13021">
    <w:p>
      <w:pPr>
        <w:pStyle w:val="FootnoteText"/>
      </w:pPr>
      <w:r>
        <w:rPr>
          <w:rStyle w:val="FootnoteReference"/>
        </w:rPr>
        <w:footnoteRef/>
      </w:r>
      <w:r>
        <w:t xml:space="preserve"> Transliterated proper noun: Oola. Standard English equivalent: Aholah. Source form: Oola. Greek form: οολα. Name meaning: his tabernacle; his tent.</w:t>
      </w:r>
    </w:p>
  </w:footnote>
  <w:footnote w:id="13022">
    <w:p>
      <w:pPr>
        <w:pStyle w:val="FootnoteText"/>
      </w:pPr>
      <w:r>
        <w:rPr>
          <w:rStyle w:val="FootnoteReference"/>
        </w:rPr>
        <w:footnoteRef/>
      </w:r>
      <w:r>
        <w:t xml:space="preserve"> Cross-references for "the elder": 1Kgs 12:20; Ezek 16:40.</w:t>
      </w:r>
    </w:p>
  </w:footnote>
  <w:footnote w:id="13023">
    <w:p>
      <w:pPr>
        <w:pStyle w:val="FootnoteText"/>
      </w:pPr>
      <w:r>
        <w:rPr>
          <w:rStyle w:val="FootnoteReference"/>
        </w:rPr>
        <w:footnoteRef/>
      </w:r>
      <w:r>
        <w:t xml:space="preserve"> Transliterated proper noun: Ooliba. Standard English equivalent: Aholibah. Source form: Ooliba. Greek form: οολιβα. Name meaning: my tent, or my tabernacle, in her.</w:t>
      </w:r>
    </w:p>
  </w:footnote>
  <w:footnote w:id="13024">
    <w:p>
      <w:pPr>
        <w:pStyle w:val="FootnoteText"/>
      </w:pPr>
      <w:r>
        <w:rPr>
          <w:rStyle w:val="FootnoteReference"/>
        </w:rPr>
        <w:footnoteRef/>
      </w:r>
      <w:r>
        <w:t xml:space="preserve"> Cross-references for "they took": Ezek 23:47.</w:t>
      </w:r>
    </w:p>
  </w:footnote>
  <w:footnote w:id="13025">
    <w:p>
      <w:pPr>
        <w:pStyle w:val="FootnoteText"/>
      </w:pPr>
      <w:r>
        <w:rPr>
          <w:rStyle w:val="FootnoteReference"/>
        </w:rPr>
        <w:footnoteRef/>
      </w:r>
      <w:r>
        <w:t xml:space="preserve"> Cross-references for "her sister": Jer 3:8; Ezek 23:4.</w:t>
      </w:r>
    </w:p>
  </w:footnote>
  <w:footnote w:id="13026">
    <w:p>
      <w:pPr>
        <w:pStyle w:val="FootnoteText"/>
      </w:pPr>
      <w:r>
        <w:rPr>
          <w:rStyle w:val="FootnoteReference"/>
        </w:rPr>
        <w:footnoteRef/>
      </w:r>
      <w:r>
        <w:t xml:space="preserve"> Cross-references for "and sent": Ezek 16:17; Ezek 16:29.</w:t>
      </w:r>
    </w:p>
  </w:footnote>
  <w:footnote w:id="13027">
    <w:p>
      <w:pPr>
        <w:pStyle w:val="FootnoteText"/>
      </w:pPr>
      <w:r>
        <w:rPr>
          <w:rStyle w:val="FootnoteReference"/>
        </w:rPr>
        <w:footnoteRef/>
      </w:r>
      <w:r>
        <w:t xml:space="preserve"> Cross-references for "and her": 2Sam 13:15; Ezek 16:37.</w:t>
      </w:r>
    </w:p>
  </w:footnote>
  <w:footnote w:id="13028">
    <w:p>
      <w:pPr>
        <w:pStyle w:val="FootnoteText"/>
      </w:pPr>
      <w:r>
        <w:rPr>
          <w:rStyle w:val="FootnoteReference"/>
        </w:rPr>
        <w:footnoteRef/>
      </w:r>
      <w:r>
        <w:t xml:space="preserve"> Cross-references for "multiplied": Ezek 16:25; Ezek 16:29.</w:t>
      </w:r>
    </w:p>
  </w:footnote>
  <w:footnote w:id="13029">
    <w:p>
      <w:pPr>
        <w:pStyle w:val="FootnoteText"/>
      </w:pPr>
      <w:r>
        <w:rPr>
          <w:rStyle w:val="FootnoteReference"/>
        </w:rPr>
        <w:footnoteRef/>
      </w:r>
      <w:r>
        <w:t xml:space="preserve"> Transliterated proper noun: Phakoud. Standard English equivalent: Pekod. Source form: Phakoud. Greek form: φακουδ. Name meaning: noble; rulers.</w:t>
      </w:r>
    </w:p>
  </w:footnote>
  <w:footnote w:id="13030">
    <w:p>
      <w:pPr>
        <w:pStyle w:val="FootnoteText"/>
      </w:pPr>
      <w:r>
        <w:rPr>
          <w:rStyle w:val="FootnoteReference"/>
        </w:rPr>
        <w:footnoteRef/>
      </w:r>
      <w:r>
        <w:t xml:space="preserve"> Cross-references for "I will set": 2Sam 24:14; Jer 39:5-6.</w:t>
      </w:r>
    </w:p>
  </w:footnote>
  <w:footnote w:id="13031">
    <w:p>
      <w:pPr>
        <w:pStyle w:val="FootnoteText"/>
      </w:pPr>
      <w:r>
        <w:rPr>
          <w:rStyle w:val="FootnoteReference"/>
        </w:rPr>
        <w:footnoteRef/>
      </w:r>
      <w:r>
        <w:t xml:space="preserve"> Cross-references for "I will set": Exod 34:14; Deut 29:20.</w:t>
      </w:r>
    </w:p>
  </w:footnote>
  <w:footnote w:id="13032">
    <w:p>
      <w:pPr>
        <w:pStyle w:val="FootnoteText"/>
      </w:pPr>
      <w:r>
        <w:rPr>
          <w:rStyle w:val="FootnoteReference"/>
        </w:rPr>
        <w:footnoteRef/>
      </w:r>
      <w:r>
        <w:t xml:space="preserve"> Cross-references for "strip": Jer 13:22; Ezek 16:16.</w:t>
      </w:r>
    </w:p>
  </w:footnote>
  <w:footnote w:id="13033">
    <w:p>
      <w:pPr>
        <w:pStyle w:val="FootnoteText"/>
      </w:pPr>
      <w:r>
        <w:rPr>
          <w:rStyle w:val="FootnoteReference"/>
        </w:rPr>
        <w:footnoteRef/>
      </w:r>
      <w:r>
        <w:t xml:space="preserve"> Cross-references for "deal": Deut 28:47-51; 2Sam 13:15.</w:t>
      </w:r>
    </w:p>
  </w:footnote>
  <w:footnote w:id="13034">
    <w:p>
      <w:pPr>
        <w:pStyle w:val="FootnoteText"/>
      </w:pPr>
      <w:r>
        <w:rPr>
          <w:rStyle w:val="FootnoteReference"/>
        </w:rPr>
        <w:footnoteRef/>
      </w:r>
      <w:r>
        <w:t xml:space="preserve"> Cross-references for "walked": Jer 3:8-11; Ezek 16:47-51.</w:t>
      </w:r>
    </w:p>
  </w:footnote>
  <w:footnote w:id="13035">
    <w:p>
      <w:pPr>
        <w:pStyle w:val="FootnoteText"/>
      </w:pPr>
      <w:r>
        <w:rPr>
          <w:rStyle w:val="FootnoteReference"/>
        </w:rPr>
        <w:footnoteRef/>
      </w:r>
      <w:r>
        <w:t xml:space="preserve"> Cross-references for "drink": Ps 60:3; Isa 51:17.</w:t>
      </w:r>
    </w:p>
  </w:footnote>
  <w:footnote w:id="13036">
    <w:p>
      <w:pPr>
        <w:pStyle w:val="FootnoteText"/>
      </w:pPr>
      <w:r>
        <w:rPr>
          <w:rStyle w:val="FootnoteReference"/>
        </w:rPr>
        <w:footnoteRef/>
      </w:r>
      <w:r>
        <w:t xml:space="preserve"> Cross-references for "filled": Jer 25:27; Hab 2:16.</w:t>
      </w:r>
    </w:p>
  </w:footnote>
  <w:footnote w:id="13037">
    <w:p>
      <w:pPr>
        <w:pStyle w:val="FootnoteText"/>
      </w:pPr>
      <w:r>
        <w:rPr>
          <w:rStyle w:val="FootnoteReference"/>
        </w:rPr>
        <w:footnoteRef/>
      </w:r>
      <w:r>
        <w:t xml:space="preserve"> Cross-references for "drink": Ps 75:8; Isa 51:17.</w:t>
      </w:r>
    </w:p>
  </w:footnote>
  <w:footnote w:id="13038">
    <w:p>
      <w:pPr>
        <w:pStyle w:val="FootnoteText"/>
      </w:pPr>
      <w:r>
        <w:rPr>
          <w:rStyle w:val="FootnoteReference"/>
        </w:rPr>
        <w:footnoteRef/>
      </w:r>
      <w:r>
        <w:t xml:space="preserve"> Cross-references for "and cast": 1Kgs 14:9; Neh 9:26.</w:t>
      </w:r>
    </w:p>
  </w:footnote>
  <w:footnote w:id="13039">
    <w:p>
      <w:pPr>
        <w:pStyle w:val="FootnoteText"/>
      </w:pPr>
      <w:r>
        <w:rPr>
          <w:rStyle w:val="FootnoteReference"/>
        </w:rPr>
        <w:footnoteRef/>
      </w:r>
      <w:r>
        <w:t xml:space="preserve"> Cross-references for "judge": Jer 11:14; Jer 14:11.</w:t>
      </w:r>
    </w:p>
  </w:footnote>
  <w:footnote w:id="13040">
    <w:p>
      <w:pPr>
        <w:pStyle w:val="FootnoteText"/>
      </w:pPr>
      <w:r>
        <w:rPr>
          <w:rStyle w:val="FootnoteReference"/>
        </w:rPr>
        <w:footnoteRef/>
      </w:r>
      <w:r>
        <w:t xml:space="preserve"> Cross-references for "and blood": 2Kgs 24:4; Ps 106:37-38.</w:t>
      </w:r>
    </w:p>
  </w:footnote>
  <w:footnote w:id="13041">
    <w:p>
      <w:pPr>
        <w:pStyle w:val="FootnoteText"/>
      </w:pPr>
      <w:r>
        <w:rPr>
          <w:rStyle w:val="FootnoteReference"/>
        </w:rPr>
        <w:footnoteRef/>
      </w:r>
      <w:r>
        <w:t xml:space="preserve"> Cross-references for "bracelets": Ezek 16:11-12; Rev 12:3.</w:t>
      </w:r>
    </w:p>
  </w:footnote>
  <w:footnote w:id="13042">
    <w:p>
      <w:pPr>
        <w:pStyle w:val="FootnoteText"/>
      </w:pPr>
      <w:r>
        <w:rPr>
          <w:rStyle w:val="FootnoteReference"/>
        </w:rPr>
        <w:footnoteRef/>
      </w:r>
      <w:r>
        <w:t xml:space="preserve"> Cross-references for "the ninth year": 2Kgs 24:12; Ezek 1:2.</w:t>
      </w:r>
    </w:p>
  </w:footnote>
  <w:footnote w:id="13043">
    <w:p>
      <w:pPr>
        <w:pStyle w:val="FootnoteText"/>
      </w:pPr>
      <w:r>
        <w:rPr>
          <w:rStyle w:val="FootnoteReference"/>
        </w:rPr>
        <w:footnoteRef/>
      </w:r>
      <w:r>
        <w:t xml:space="preserve"> Cross-references for "write": Isa 8:1; Isa 30:8-9.</w:t>
      </w:r>
    </w:p>
  </w:footnote>
  <w:footnote w:id="13044">
    <w:p>
      <w:pPr>
        <w:pStyle w:val="FootnoteText"/>
      </w:pPr>
      <w:r>
        <w:rPr>
          <w:rStyle w:val="FootnoteReference"/>
        </w:rPr>
        <w:footnoteRef/>
      </w:r>
      <w:r>
        <w:t xml:space="preserve"> Cross-references for "her blood": 1Kgs 21:19; Isa 3:9.</w:t>
      </w:r>
    </w:p>
  </w:footnote>
  <w:footnote w:id="13045">
    <w:p>
      <w:pPr>
        <w:pStyle w:val="FootnoteText"/>
      </w:pPr>
      <w:r>
        <w:rPr>
          <w:rStyle w:val="FootnoteReference"/>
        </w:rPr>
        <w:footnoteRef/>
      </w:r>
      <w:r>
        <w:t xml:space="preserve"> Cross-references for "set it": Jer 21:10; Jer 32:29.</w:t>
      </w:r>
    </w:p>
  </w:footnote>
  <w:footnote w:id="13046">
    <w:p>
      <w:pPr>
        <w:pStyle w:val="FootnoteText"/>
      </w:pPr>
      <w:r>
        <w:rPr>
          <w:rStyle w:val="FootnoteReference"/>
        </w:rPr>
        <w:footnoteRef/>
      </w:r>
      <w:r>
        <w:t xml:space="preserve"> Cross-references for "the Lord": Num 23:19; 1Sam 15:29.</w:t>
      </w:r>
    </w:p>
  </w:footnote>
  <w:footnote w:id="13047">
    <w:p>
      <w:pPr>
        <w:pStyle w:val="FootnoteText"/>
      </w:pPr>
      <w:r>
        <w:rPr>
          <w:rStyle w:val="FootnoteReference"/>
        </w:rPr>
        <w:footnoteRef/>
      </w:r>
      <w:r>
        <w:t xml:space="preserve"> Cross-references for "the desire": Prov 5:19; Song 7:10.</w:t>
      </w:r>
    </w:p>
  </w:footnote>
  <w:footnote w:id="13048">
    <w:p>
      <w:pPr>
        <w:pStyle w:val="FootnoteText"/>
      </w:pPr>
      <w:r>
        <w:rPr>
          <w:rStyle w:val="FootnoteReference"/>
        </w:rPr>
        <w:footnoteRef/>
      </w:r>
      <w:r>
        <w:t xml:space="preserve"> Cross-references for "lips": Ezek 24:22.</w:t>
      </w:r>
    </w:p>
  </w:footnote>
  <w:footnote w:id="13049">
    <w:p>
      <w:pPr>
        <w:pStyle w:val="FootnoteText"/>
      </w:pPr>
      <w:r>
        <w:rPr>
          <w:rStyle w:val="FootnoteReference"/>
        </w:rPr>
        <w:footnoteRef/>
      </w:r>
      <w:r>
        <w:t xml:space="preserve"> Cross-references for "the desire": Ps 27:4; Ps 84:1.</w:t>
      </w:r>
    </w:p>
  </w:footnote>
  <w:footnote w:id="13050">
    <w:p>
      <w:pPr>
        <w:pStyle w:val="FootnoteText"/>
      </w:pPr>
      <w:r>
        <w:rPr>
          <w:rStyle w:val="FootnoteReference"/>
        </w:rPr>
        <w:footnoteRef/>
      </w:r>
      <w:r>
        <w:t xml:space="preserve"> Cross-references for "Ezekiel": Isa 8:18; Isa 20:3.</w:t>
      </w:r>
    </w:p>
  </w:footnote>
  <w:footnote w:id="13051">
    <w:p>
      <w:pPr>
        <w:pStyle w:val="FootnoteText"/>
      </w:pPr>
      <w:r>
        <w:rPr>
          <w:rStyle w:val="FootnoteReference"/>
        </w:rPr>
        <w:footnoteRef/>
      </w:r>
      <w:r>
        <w:t xml:space="preserve"> Cross-references for "their strength": Ps 48:2; Ps 50:2.</w:t>
      </w:r>
    </w:p>
  </w:footnote>
  <w:footnote w:id="13052">
    <w:p>
      <w:pPr>
        <w:pStyle w:val="FootnoteText"/>
      </w:pPr>
      <w:r>
        <w:rPr>
          <w:rStyle w:val="FootnoteReference"/>
        </w:rPr>
        <w:footnoteRef/>
      </w:r>
      <w:r>
        <w:t xml:space="preserve"> Cross-references for "of the east": Gen 29:1; Num 23:7.</w:t>
      </w:r>
    </w:p>
  </w:footnote>
  <w:footnote w:id="13053">
    <w:p>
      <w:pPr>
        <w:pStyle w:val="FootnoteText"/>
      </w:pPr>
      <w:r>
        <w:rPr>
          <w:rStyle w:val="FootnoteReference"/>
        </w:rPr>
        <w:footnoteRef/>
      </w:r>
      <w:r>
        <w:t xml:space="preserve"> Cross-references for "stamped": Ezek 6:11.</w:t>
      </w:r>
    </w:p>
  </w:footnote>
  <w:footnote w:id="13054">
    <w:p>
      <w:pPr>
        <w:pStyle w:val="FootnoteText"/>
      </w:pPr>
      <w:r>
        <w:rPr>
          <w:rStyle w:val="FootnoteReference"/>
        </w:rPr>
        <w:footnoteRef/>
      </w:r>
      <w:r>
        <w:t xml:space="preserve"> Cross-references for "Moab": Num 24:17; Ps 83:4-8.</w:t>
      </w:r>
    </w:p>
  </w:footnote>
  <w:footnote w:id="13055">
    <w:p>
      <w:pPr>
        <w:pStyle w:val="FootnoteText"/>
      </w:pPr>
      <w:r>
        <w:rPr>
          <w:rStyle w:val="FootnoteReference"/>
        </w:rPr>
        <w:footnoteRef/>
      </w:r>
      <w:r>
        <w:t xml:space="preserve"> Cross-references for "taking vengeance": Gen 27:41-42; Amos 1:11-12.</w:t>
      </w:r>
    </w:p>
  </w:footnote>
  <w:footnote w:id="13056">
    <w:p>
      <w:pPr>
        <w:pStyle w:val="FootnoteText"/>
      </w:pPr>
      <w:r>
        <w:rPr>
          <w:rStyle w:val="FootnoteReference"/>
        </w:rPr>
        <w:footnoteRef/>
      </w:r>
      <w:r>
        <w:t xml:space="preserve"> Cross-references for "Teman": Gen 36:11; Jer 49:7.</w:t>
      </w:r>
    </w:p>
  </w:footnote>
  <w:footnote w:id="13057">
    <w:p>
      <w:pPr>
        <w:pStyle w:val="FootnoteText"/>
      </w:pPr>
      <w:r>
        <w:rPr>
          <w:rStyle w:val="FootnoteReference"/>
        </w:rPr>
        <w:footnoteRef/>
      </w:r>
      <w:r>
        <w:t xml:space="preserve"> Cross-references for "by the hand": Gen 27:29; Isa 11:14.</w:t>
      </w:r>
    </w:p>
  </w:footnote>
  <w:footnote w:id="13058">
    <w:p>
      <w:pPr>
        <w:pStyle w:val="FootnoteText"/>
      </w:pPr>
      <w:r>
        <w:rPr>
          <w:rStyle w:val="FootnoteReference"/>
        </w:rPr>
        <w:footnoteRef/>
      </w:r>
      <w:r>
        <w:t xml:space="preserve"> Cross-references for "and destroy": Jer 47:4.</w:t>
      </w:r>
    </w:p>
  </w:footnote>
  <w:footnote w:id="13059">
    <w:p>
      <w:pPr>
        <w:pStyle w:val="FootnoteText"/>
      </w:pPr>
      <w:r>
        <w:rPr>
          <w:rStyle w:val="FootnoteReference"/>
        </w:rPr>
        <w:footnoteRef/>
      </w:r>
      <w:r>
        <w:t xml:space="preserve"> People-name: Cretans. People-name meaning: Cretans — people of Crete. Source form: Cretans.</w:t>
      </w:r>
    </w:p>
  </w:footnote>
  <w:footnote w:id="13060">
    <w:p>
      <w:pPr>
        <w:pStyle w:val="FootnoteText"/>
      </w:pPr>
      <w:r>
        <w:rPr>
          <w:rStyle w:val="FootnoteReference"/>
        </w:rPr>
        <w:footnoteRef/>
      </w:r>
      <w:r>
        <w:t xml:space="preserve"> Cross-references for "Behold": Ps 45:12; Ps 72:10.</w:t>
      </w:r>
    </w:p>
  </w:footnote>
  <w:footnote w:id="13061">
    <w:p>
      <w:pPr>
        <w:pStyle w:val="FootnoteText"/>
      </w:pPr>
      <w:r>
        <w:rPr>
          <w:rStyle w:val="FootnoteReference"/>
        </w:rPr>
        <w:footnoteRef/>
      </w:r>
      <w:r>
        <w:t xml:space="preserve"> Cross-references for "her daughters": Jer 49:2; Ezek 16:46.</w:t>
      </w:r>
    </w:p>
  </w:footnote>
  <w:footnote w:id="13062">
    <w:p>
      <w:pPr>
        <w:pStyle w:val="FootnoteText"/>
      </w:pPr>
      <w:r>
        <w:rPr>
          <w:rStyle w:val="FootnoteReference"/>
        </w:rPr>
        <w:footnoteRef/>
      </w:r>
      <w:r>
        <w:t xml:space="preserve"> Cross-references for "with horses": Jer 4:13; Jer 6:23.</w:t>
      </w:r>
    </w:p>
  </w:footnote>
  <w:footnote w:id="13063">
    <w:p>
      <w:pPr>
        <w:pStyle w:val="FootnoteText"/>
      </w:pPr>
      <w:r>
        <w:rPr>
          <w:rStyle w:val="FootnoteReference"/>
        </w:rPr>
        <w:footnoteRef/>
      </w:r>
      <w:r>
        <w:t xml:space="preserve"> Cross-references for "shake": Ezek 26:15; Ezek 27:28.</w:t>
      </w:r>
    </w:p>
  </w:footnote>
  <w:footnote w:id="13064">
    <w:p>
      <w:pPr>
        <w:pStyle w:val="FootnoteText"/>
      </w:pPr>
      <w:r>
        <w:rPr>
          <w:rStyle w:val="FootnoteReference"/>
        </w:rPr>
        <w:footnoteRef/>
      </w:r>
      <w:r>
        <w:t xml:space="preserve"> Cross-references for "hoofs": Isa 5:28; Jer 51:27.</w:t>
      </w:r>
    </w:p>
  </w:footnote>
  <w:footnote w:id="13065">
    <w:p>
      <w:pPr>
        <w:pStyle w:val="FootnoteText"/>
      </w:pPr>
      <w:r>
        <w:rPr>
          <w:rStyle w:val="FootnoteReference"/>
        </w:rPr>
        <w:footnoteRef/>
      </w:r>
      <w:r>
        <w:t xml:space="preserve"> Cross-references for "be built": Deut 13:16; Job 12:14.</w:t>
      </w:r>
    </w:p>
  </w:footnote>
  <w:footnote w:id="13066">
    <w:p>
      <w:pPr>
        <w:pStyle w:val="FootnoteText"/>
      </w:pPr>
      <w:r>
        <w:rPr>
          <w:rStyle w:val="FootnoteReference"/>
        </w:rPr>
        <w:footnoteRef/>
      </w:r>
      <w:r>
        <w:t xml:space="preserve"> Cross-references for "shake": Isa 2:19; Jer 49:21.</w:t>
      </w:r>
    </w:p>
  </w:footnote>
  <w:footnote w:id="13067">
    <w:p>
      <w:pPr>
        <w:pStyle w:val="FootnoteText"/>
      </w:pPr>
      <w:r>
        <w:rPr>
          <w:rStyle w:val="FootnoteReference"/>
        </w:rPr>
        <w:footnoteRef/>
      </w:r>
      <w:r>
        <w:t xml:space="preserve"> Cross-references for "be astonished": Ezek 27:35.</w:t>
      </w:r>
    </w:p>
  </w:footnote>
  <w:footnote w:id="13068">
    <w:p>
      <w:pPr>
        <w:pStyle w:val="FootnoteText"/>
      </w:pPr>
      <w:r>
        <w:rPr>
          <w:rStyle w:val="FootnoteReference"/>
        </w:rPr>
        <w:footnoteRef/>
      </w:r>
      <w:r>
        <w:t xml:space="preserve"> Cross-references for "take": Jer 6:26; Jer 7:29.</w:t>
      </w:r>
    </w:p>
  </w:footnote>
  <w:footnote w:id="13069">
    <w:p>
      <w:pPr>
        <w:pStyle w:val="FootnoteText"/>
      </w:pPr>
      <w:r>
        <w:rPr>
          <w:rStyle w:val="FootnoteReference"/>
        </w:rPr>
        <w:footnoteRef/>
      </w:r>
      <w:r>
        <w:t xml:space="preserve"> Cross-references for "bring": Isa 8:7-8; Ezek 26:3.</w:t>
      </w:r>
    </w:p>
  </w:footnote>
  <w:footnote w:id="13070">
    <w:p>
      <w:pPr>
        <w:pStyle w:val="FootnoteText"/>
      </w:pPr>
      <w:r>
        <w:rPr>
          <w:rStyle w:val="FootnoteReference"/>
        </w:rPr>
        <w:footnoteRef/>
      </w:r>
      <w:r>
        <w:t xml:space="preserve"> Cross-references for "linen": 1Kgs 10:28; Prov 7:16.</w:t>
      </w:r>
    </w:p>
  </w:footnote>
  <w:footnote w:id="13071">
    <w:p>
      <w:pPr>
        <w:pStyle w:val="FootnoteText"/>
      </w:pPr>
      <w:r>
        <w:rPr>
          <w:rStyle w:val="FootnoteReference"/>
        </w:rPr>
        <w:footnoteRef/>
      </w:r>
      <w:r>
        <w:t xml:space="preserve"> Transliterated proper noun: Aradians. Standard English equivalent: Arvad. Source form: Aradians. Greek form: αραδιοι. Name meaning: a wild ass; a dragon.</w:t>
      </w:r>
    </w:p>
  </w:footnote>
  <w:footnote w:id="13072">
    <w:p>
      <w:pPr>
        <w:pStyle w:val="FootnoteText"/>
      </w:pPr>
      <w:r>
        <w:rPr>
          <w:rStyle w:val="FootnoteReference"/>
        </w:rPr>
        <w:footnoteRef/>
      </w:r>
      <w:r>
        <w:t xml:space="preserve"> Cross-references for "wise": 1Kgs 5:6; 1Kgs 9:27.</w:t>
      </w:r>
    </w:p>
  </w:footnote>
  <w:footnote w:id="13073">
    <w:p>
      <w:pPr>
        <w:pStyle w:val="FootnoteText"/>
      </w:pPr>
      <w:r>
        <w:rPr>
          <w:rStyle w:val="FootnoteReference"/>
        </w:rPr>
        <w:footnoteRef/>
      </w:r>
      <w:r>
        <w:t xml:space="preserve"> Cross-references for "Togarmah": Gen 10:3; 1Chr 1:6.</w:t>
      </w:r>
    </w:p>
  </w:footnote>
  <w:footnote w:id="13074">
    <w:p>
      <w:pPr>
        <w:pStyle w:val="FootnoteText"/>
      </w:pPr>
      <w:r>
        <w:rPr>
          <w:rStyle w:val="FootnoteReference"/>
        </w:rPr>
        <w:footnoteRef/>
      </w:r>
      <w:r>
        <w:t xml:space="preserve"> Transliterated proper noun: Rhodians. Standard English equivalent: Dodanim. Source form: Rhodians. Greek form: ροδιων. Name meaning: beloved.</w:t>
      </w:r>
    </w:p>
  </w:footnote>
  <w:footnote w:id="13075">
    <w:p>
      <w:pPr>
        <w:pStyle w:val="FootnoteText"/>
      </w:pPr>
      <w:r>
        <w:rPr>
          <w:rStyle w:val="FootnoteReference"/>
        </w:rPr>
        <w:footnoteRef/>
      </w:r>
      <w:r>
        <w:t xml:space="preserve"> Transliterated proper noun: Rhodians. Standard English equivalent: Dedan. Source form: Rhodians. Greek form: ροδιων. Name meaning: their breasts; friendship; a judge.</w:t>
      </w:r>
    </w:p>
  </w:footnote>
  <w:footnote w:id="13076">
    <w:p>
      <w:pPr>
        <w:pStyle w:val="FootnoteText"/>
      </w:pPr>
      <w:r>
        <w:rPr>
          <w:rStyle w:val="FootnoteReference"/>
        </w:rPr>
        <w:footnoteRef/>
      </w:r>
      <w:r>
        <w:t xml:space="preserve"> Cross-references for "wheat": Deut 8:8; Deut 32:14.</w:t>
      </w:r>
    </w:p>
  </w:footnote>
  <w:footnote w:id="13077">
    <w:p>
      <w:pPr>
        <w:pStyle w:val="FootnoteText"/>
      </w:pPr>
      <w:r>
        <w:rPr>
          <w:rStyle w:val="FootnoteReference"/>
        </w:rPr>
        <w:footnoteRef/>
      </w:r>
      <w:r>
        <w:t xml:space="preserve"> Cross-references for "Damascus": Gen 15:2; 1Kgs 11:24-25.</w:t>
      </w:r>
    </w:p>
  </w:footnote>
  <w:footnote w:id="13078">
    <w:p>
      <w:pPr>
        <w:pStyle w:val="FootnoteText"/>
      </w:pPr>
      <w:r>
        <w:rPr>
          <w:rStyle w:val="FootnoteReference"/>
        </w:rPr>
        <w:footnoteRef/>
      </w:r>
      <w:r>
        <w:t xml:space="preserve"> Place name: Helbon. Place-name meaning: Helbon — milk, fatness. Source form: Helbon. Greek form: χελβων.</w:t>
      </w:r>
    </w:p>
  </w:footnote>
  <w:footnote w:id="13079">
    <w:p>
      <w:pPr>
        <w:pStyle w:val="FootnoteText"/>
      </w:pPr>
      <w:r>
        <w:rPr>
          <w:rStyle w:val="FootnoteReference"/>
        </w:rPr>
        <w:footnoteRef/>
      </w:r>
      <w:r>
        <w:t xml:space="preserve"> Place name: Miletus. Place-name meaning: Miletus — red; scarlet. Source form: Miletus. Greek form: μιλητου.</w:t>
      </w:r>
    </w:p>
  </w:footnote>
  <w:footnote w:id="13080">
    <w:p>
      <w:pPr>
        <w:pStyle w:val="FootnoteText"/>
      </w:pPr>
      <w:r>
        <w:rPr>
          <w:rStyle w:val="FootnoteReference"/>
        </w:rPr>
        <w:footnoteRef/>
      </w:r>
      <w:r>
        <w:t xml:space="preserve"> Cross-references for "Dedan": Gen 25:3; Ezek 27:15.</w:t>
      </w:r>
    </w:p>
  </w:footnote>
  <w:footnote w:id="13081">
    <w:p>
      <w:pPr>
        <w:pStyle w:val="FootnoteText"/>
      </w:pPr>
      <w:r>
        <w:rPr>
          <w:rStyle w:val="FootnoteReference"/>
        </w:rPr>
        <w:footnoteRef/>
      </w:r>
      <w:r>
        <w:t xml:space="preserve"> Cross-references for "Arabia": 1Kgs 10:15; Jer 25:24.</w:t>
      </w:r>
    </w:p>
  </w:footnote>
  <w:footnote w:id="13082">
    <w:p>
      <w:pPr>
        <w:pStyle w:val="FootnoteText"/>
      </w:pPr>
      <w:r>
        <w:rPr>
          <w:rStyle w:val="FootnoteReference"/>
        </w:rPr>
        <w:footnoteRef/>
      </w:r>
      <w:r>
        <w:t xml:space="preserve"> Cross-references for "Sheba": Gen 10:7; 1Kgs 10:1-13.</w:t>
      </w:r>
    </w:p>
  </w:footnote>
  <w:footnote w:id="13083">
    <w:p>
      <w:pPr>
        <w:pStyle w:val="FootnoteText"/>
      </w:pPr>
      <w:r>
        <w:rPr>
          <w:rStyle w:val="FootnoteReference"/>
        </w:rPr>
        <w:footnoteRef/>
      </w:r>
      <w:r>
        <w:t xml:space="preserve"> Cross-references for "Haran": Gen 11:31-32; Gen 12:4.</w:t>
      </w:r>
    </w:p>
  </w:footnote>
  <w:footnote w:id="13084">
    <w:p>
      <w:pPr>
        <w:pStyle w:val="FootnoteText"/>
      </w:pPr>
      <w:r>
        <w:rPr>
          <w:rStyle w:val="FootnoteReference"/>
        </w:rPr>
        <w:footnoteRef/>
      </w:r>
      <w:r>
        <w:t xml:space="preserve"> Place name: Canneh. Place-name meaning: Canneh — established settlement. Source form: Canneh. Greek form: χαννα.</w:t>
      </w:r>
    </w:p>
  </w:footnote>
  <w:footnote w:id="13085">
    <w:p>
      <w:pPr>
        <w:pStyle w:val="FootnoteText"/>
      </w:pPr>
      <w:r>
        <w:rPr>
          <w:rStyle w:val="FootnoteReference"/>
        </w:rPr>
        <w:footnoteRef/>
      </w:r>
      <w:r>
        <w:t xml:space="preserve"> Transliterated proper noun: Charman. Standard English equivalent: Haran. Source form: Charman. Greek form: χαρμαν. Name meaning: mountainous country.</w:t>
      </w:r>
    </w:p>
  </w:footnote>
  <w:footnote w:id="13086">
    <w:p>
      <w:pPr>
        <w:pStyle w:val="FootnoteText"/>
      </w:pPr>
      <w:r>
        <w:rPr>
          <w:rStyle w:val="FootnoteReference"/>
        </w:rPr>
        <w:footnoteRef/>
      </w:r>
      <w:r>
        <w:t xml:space="preserve"> Cross-references for "Ships": 1Kgs 10:22; Ps 48:7.</w:t>
      </w:r>
    </w:p>
  </w:footnote>
  <w:footnote w:id="13087">
    <w:p>
      <w:pPr>
        <w:pStyle w:val="FootnoteText"/>
      </w:pPr>
      <w:r>
        <w:rPr>
          <w:rStyle w:val="FootnoteReference"/>
        </w:rPr>
        <w:footnoteRef/>
      </w:r>
      <w:r>
        <w:t xml:space="preserve"> Cross-references for "rowers": Isa 33:23.</w:t>
      </w:r>
    </w:p>
  </w:footnote>
  <w:footnote w:id="13088">
    <w:p>
      <w:pPr>
        <w:pStyle w:val="FootnoteText"/>
      </w:pPr>
      <w:r>
        <w:rPr>
          <w:rStyle w:val="FootnoteReference"/>
        </w:rPr>
        <w:footnoteRef/>
      </w:r>
      <w:r>
        <w:t xml:space="preserve"> Cross-references for "midst": Ezek 27:26.</w:t>
      </w:r>
    </w:p>
  </w:footnote>
  <w:footnote w:id="13089">
    <w:p>
      <w:pPr>
        <w:pStyle w:val="FootnoteText"/>
      </w:pPr>
      <w:r>
        <w:rPr>
          <w:rStyle w:val="FootnoteReference"/>
        </w:rPr>
        <w:footnoteRef/>
      </w:r>
      <w:r>
        <w:t xml:space="preserve"> Cross-references for "take up": Ezek 26:17; Ezek 27:2.</w:t>
      </w:r>
    </w:p>
  </w:footnote>
  <w:footnote w:id="13090">
    <w:p>
      <w:pPr>
        <w:pStyle w:val="FootnoteText"/>
      </w:pPr>
      <w:r>
        <w:rPr>
          <w:rStyle w:val="FootnoteReference"/>
        </w:rPr>
        <w:footnoteRef/>
      </w:r>
      <w:r>
        <w:t xml:space="preserve"> Cross-references for "their kings": Ezek 28:17-19; Ezek 32:10.</w:t>
      </w:r>
    </w:p>
  </w:footnote>
  <w:footnote w:id="13091">
    <w:p>
      <w:pPr>
        <w:pStyle w:val="FootnoteText"/>
      </w:pPr>
      <w:r>
        <w:rPr>
          <w:rStyle w:val="FootnoteReference"/>
        </w:rPr>
        <w:footnoteRef/>
      </w:r>
      <w:r>
        <w:t xml:space="preserve"> Cross-references for "take up": 2Chr 35:25; Isa 14:4.</w:t>
      </w:r>
    </w:p>
  </w:footnote>
  <w:footnote w:id="13092">
    <w:p>
      <w:pPr>
        <w:pStyle w:val="FootnoteText"/>
      </w:pPr>
      <w:r>
        <w:rPr>
          <w:rStyle w:val="FootnoteReference"/>
        </w:rPr>
        <w:footnoteRef/>
      </w:r>
      <w:r>
        <w:t xml:space="preserve"> Cross-references for "emerald": Isa 14:11; Isa 23:16.</w:t>
      </w:r>
    </w:p>
  </w:footnote>
  <w:footnote w:id="13093">
    <w:p>
      <w:pPr>
        <w:pStyle w:val="FootnoteText"/>
      </w:pPr>
      <w:r>
        <w:rPr>
          <w:rStyle w:val="FootnoteReference"/>
        </w:rPr>
        <w:footnoteRef/>
      </w:r>
      <w:r>
        <w:t xml:space="preserve"> Cross-references for "stones": Ezek 28:13; Ezek 28:17.</w:t>
      </w:r>
    </w:p>
  </w:footnote>
  <w:footnote w:id="13094">
    <w:p>
      <w:pPr>
        <w:pStyle w:val="FootnoteText"/>
      </w:pPr>
      <w:r>
        <w:rPr>
          <w:rStyle w:val="FootnoteReference"/>
        </w:rPr>
        <w:footnoteRef/>
      </w:r>
      <w:r>
        <w:t xml:space="preserve"> Cross-references for "filled": Gen 6:11; Ezek 8:17.</w:t>
      </w:r>
    </w:p>
  </w:footnote>
  <w:footnote w:id="13095">
    <w:p>
      <w:pPr>
        <w:pStyle w:val="FootnoteText"/>
      </w:pPr>
      <w:r>
        <w:rPr>
          <w:rStyle w:val="FootnoteReference"/>
        </w:rPr>
        <w:footnoteRef/>
      </w:r>
      <w:r>
        <w:t xml:space="preserve"> Cross-references for "heart": Ezek 16:14-15; Ezek 28:2.</w:t>
      </w:r>
    </w:p>
  </w:footnote>
  <w:footnote w:id="13096">
    <w:p>
      <w:pPr>
        <w:pStyle w:val="FootnoteText"/>
      </w:pPr>
      <w:r>
        <w:rPr>
          <w:rStyle w:val="FootnoteReference"/>
        </w:rPr>
        <w:footnoteRef/>
      </w:r>
      <w:r>
        <w:t xml:space="preserve"> Cross-references for "I will bring": Mal 4:3; 2Pet 2:6.</w:t>
      </w:r>
    </w:p>
  </w:footnote>
  <w:footnote w:id="13097">
    <w:p>
      <w:pPr>
        <w:pStyle w:val="FootnoteText"/>
      </w:pPr>
      <w:r>
        <w:rPr>
          <w:rStyle w:val="FootnoteReference"/>
        </w:rPr>
        <w:footnoteRef/>
      </w:r>
      <w:r>
        <w:t xml:space="preserve"> Cross-references for "I am against": Jer 21:13; Jer 50:31.</w:t>
      </w:r>
    </w:p>
  </w:footnote>
  <w:footnote w:id="13098">
    <w:p>
      <w:pPr>
        <w:pStyle w:val="FootnoteText"/>
      </w:pPr>
      <w:r>
        <w:rPr>
          <w:rStyle w:val="FootnoteReference"/>
        </w:rPr>
        <w:footnoteRef/>
      </w:r>
      <w:r>
        <w:t xml:space="preserve"> Cross-references for "a pricking": Num 33:55; Josh 23:13.</w:t>
      </w:r>
    </w:p>
  </w:footnote>
  <w:footnote w:id="13099">
    <w:p>
      <w:pPr>
        <w:pStyle w:val="FootnoteText"/>
      </w:pPr>
      <w:r>
        <w:rPr>
          <w:rStyle w:val="FootnoteReference"/>
        </w:rPr>
        <w:footnoteRef/>
      </w:r>
      <w:r>
        <w:t xml:space="preserve"> Cross-references for "be sanctified": Isa 5:16; Ezek 28:22.</w:t>
      </w:r>
    </w:p>
  </w:footnote>
  <w:footnote w:id="13100">
    <w:p>
      <w:pPr>
        <w:pStyle w:val="FootnoteText"/>
      </w:pPr>
      <w:r>
        <w:rPr>
          <w:rStyle w:val="FootnoteReference"/>
        </w:rPr>
        <w:footnoteRef/>
      </w:r>
      <w:r>
        <w:t xml:space="preserve"> Cross-references for "build": Isa 65:21-22; Jer 29:5-6.</w:t>
      </w:r>
    </w:p>
  </w:footnote>
  <w:footnote w:id="13101">
    <w:p>
      <w:pPr>
        <w:pStyle w:val="FootnoteText"/>
      </w:pPr>
      <w:r>
        <w:rPr>
          <w:rStyle w:val="FootnoteReference"/>
        </w:rPr>
        <w:footnoteRef/>
      </w:r>
      <w:r>
        <w:t xml:space="preserve"> Cross-references for "Pharaoh": Jer 44:30.</w:t>
      </w:r>
    </w:p>
  </w:footnote>
  <w:footnote w:id="13102">
    <w:p>
      <w:pPr>
        <w:pStyle w:val="FootnoteText"/>
      </w:pPr>
      <w:r>
        <w:rPr>
          <w:rStyle w:val="FootnoteReference"/>
        </w:rPr>
        <w:footnoteRef/>
      </w:r>
      <w:r>
        <w:t xml:space="preserve"> Cross-references for "the great": Ps 74:13-14; Isa 27:1.</w:t>
      </w:r>
    </w:p>
  </w:footnote>
  <w:footnote w:id="13103">
    <w:p>
      <w:pPr>
        <w:pStyle w:val="FootnoteText"/>
      </w:pPr>
      <w:r>
        <w:rPr>
          <w:rStyle w:val="FootnoteReference"/>
        </w:rPr>
        <w:footnoteRef/>
      </w:r>
      <w:r>
        <w:t xml:space="preserve"> Cross-references for "I will put": 2Kgs 19:28; Job 41:1-2.</w:t>
      </w:r>
    </w:p>
  </w:footnote>
  <w:footnote w:id="13104">
    <w:p>
      <w:pPr>
        <w:pStyle w:val="FootnoteText"/>
      </w:pPr>
      <w:r>
        <w:rPr>
          <w:rStyle w:val="FootnoteReference"/>
        </w:rPr>
        <w:footnoteRef/>
      </w:r>
      <w:r>
        <w:t xml:space="preserve"> Cross-references for "know": Exod 9:14; Exod 14:18.</w:t>
      </w:r>
    </w:p>
  </w:footnote>
  <w:footnote w:id="13105">
    <w:p>
      <w:pPr>
        <w:pStyle w:val="FootnoteText"/>
      </w:pPr>
      <w:r>
        <w:rPr>
          <w:rStyle w:val="FootnoteReference"/>
        </w:rPr>
        <w:footnoteRef/>
      </w:r>
      <w:r>
        <w:t xml:space="preserve"> Cross-references for "they took": Jer 37:5-11; Ezek 17:15-17.</w:t>
      </w:r>
    </w:p>
  </w:footnote>
  <w:footnote w:id="13106">
    <w:p>
      <w:pPr>
        <w:pStyle w:val="FootnoteText"/>
      </w:pPr>
      <w:r>
        <w:rPr>
          <w:rStyle w:val="FootnoteReference"/>
        </w:rPr>
        <w:footnoteRef/>
      </w:r>
      <w:r>
        <w:t xml:space="preserve"> Cross-references for "forty": 2Chr 36:21; Isa 23:15.</w:t>
      </w:r>
    </w:p>
  </w:footnote>
  <w:footnote w:id="13107">
    <w:p>
      <w:pPr>
        <w:pStyle w:val="FootnoteText"/>
      </w:pPr>
      <w:r>
        <w:rPr>
          <w:rStyle w:val="FootnoteReference"/>
        </w:rPr>
        <w:footnoteRef/>
      </w:r>
      <w:r>
        <w:t xml:space="preserve"> Cross-references for "and I will scatter": Jer 46:19; Ezek 30:23.</w:t>
      </w:r>
    </w:p>
  </w:footnote>
  <w:footnote w:id="13108">
    <w:p>
      <w:pPr>
        <w:pStyle w:val="FootnoteText"/>
      </w:pPr>
      <w:r>
        <w:rPr>
          <w:rStyle w:val="FootnoteReference"/>
        </w:rPr>
        <w:footnoteRef/>
      </w:r>
      <w:r>
        <w:t xml:space="preserve"> Cross-references for "Pathros": Gen 10:14; 1Chr 1:12.</w:t>
      </w:r>
    </w:p>
  </w:footnote>
  <w:footnote w:id="13109">
    <w:p>
      <w:pPr>
        <w:pStyle w:val="FootnoteText"/>
      </w:pPr>
      <w:r>
        <w:rPr>
          <w:rStyle w:val="FootnoteReference"/>
        </w:rPr>
        <w:footnoteRef/>
      </w:r>
      <w:r>
        <w:t xml:space="preserve"> Cross-references for "served": 2Kgs 10:30; Isa 10:6-7.</w:t>
      </w:r>
    </w:p>
  </w:footnote>
  <w:footnote w:id="13110">
    <w:p>
      <w:pPr>
        <w:pStyle w:val="FootnoteText"/>
      </w:pPr>
      <w:r>
        <w:rPr>
          <w:rStyle w:val="FootnoteReference"/>
        </w:rPr>
        <w:footnoteRef/>
      </w:r>
      <w:r>
        <w:t xml:space="preserve"> Cross-references for "and her": Isa 16:7; Jer 50:15.</w:t>
      </w:r>
    </w:p>
  </w:footnote>
  <w:footnote w:id="13111">
    <w:p>
      <w:pPr>
        <w:pStyle w:val="FootnoteText"/>
      </w:pPr>
      <w:r>
        <w:rPr>
          <w:rStyle w:val="FootnoteReference"/>
        </w:rPr>
        <w:footnoteRef/>
      </w:r>
      <w:r>
        <w:t xml:space="preserve"> Cross-references for "when I": Deut 32:22; Isa 42:25.</w:t>
      </w:r>
    </w:p>
  </w:footnote>
  <w:footnote w:id="13112">
    <w:p>
      <w:pPr>
        <w:pStyle w:val="FootnoteText"/>
      </w:pPr>
      <w:r>
        <w:rPr>
          <w:rStyle w:val="FootnoteReference"/>
        </w:rPr>
        <w:footnoteRef/>
      </w:r>
      <w:r>
        <w:t xml:space="preserve"> Cross-references for "messengers": Isa 18:1-2; Isa 20:3.</w:t>
      </w:r>
    </w:p>
  </w:footnote>
  <w:footnote w:id="13113">
    <w:p>
      <w:pPr>
        <w:pStyle w:val="FootnoteText"/>
      </w:pPr>
      <w:r>
        <w:rPr>
          <w:rStyle w:val="FootnoteReference"/>
        </w:rPr>
        <w:footnoteRef/>
      </w:r>
      <w:r>
        <w:t xml:space="preserve"> Cross-references for "I will make": Isa 19:4-10; Isa 44:27.</w:t>
      </w:r>
    </w:p>
  </w:footnote>
  <w:footnote w:id="13114">
    <w:p>
      <w:pPr>
        <w:pStyle w:val="FootnoteText"/>
      </w:pPr>
      <w:r>
        <w:rPr>
          <w:rStyle w:val="FootnoteReference"/>
        </w:rPr>
        <w:footnoteRef/>
      </w:r>
      <w:r>
        <w:t xml:space="preserve"> Cross-references for "Pathros": Ezek 29:14.</w:t>
      </w:r>
    </w:p>
  </w:footnote>
  <w:footnote w:id="13115">
    <w:p>
      <w:pPr>
        <w:pStyle w:val="FootnoteText"/>
      </w:pPr>
      <w:r>
        <w:rPr>
          <w:rStyle w:val="FootnoteReference"/>
        </w:rPr>
        <w:footnoteRef/>
      </w:r>
      <w:r>
        <w:t xml:space="preserve"> Cross-references for "I will pour": Ps 11:6; Nah 1:6.</w:t>
      </w:r>
    </w:p>
  </w:footnote>
  <w:footnote w:id="13116">
    <w:p>
      <w:pPr>
        <w:pStyle w:val="FootnoteText"/>
      </w:pPr>
      <w:r>
        <w:rPr>
          <w:rStyle w:val="FootnoteReference"/>
        </w:rPr>
        <w:footnoteRef/>
      </w:r>
      <w:r>
        <w:t xml:space="preserve"> Place name: Sais. Place-name meaning: Sais — Egyptian city-name form. Source form: Sais. Greek form: σαιν.</w:t>
      </w:r>
    </w:p>
  </w:footnote>
  <w:footnote w:id="13117">
    <w:p>
      <w:pPr>
        <w:pStyle w:val="FootnoteText"/>
      </w:pPr>
      <w:r>
        <w:rPr>
          <w:rStyle w:val="FootnoteReference"/>
        </w:rPr>
        <w:footnoteRef/>
      </w:r>
      <w:r>
        <w:t xml:space="preserve"> Cross-references for "a cloud": Isa 19:1; Ezek 30:3.</w:t>
      </w:r>
    </w:p>
  </w:footnote>
  <w:footnote w:id="13118">
    <w:p>
      <w:pPr>
        <w:pStyle w:val="FootnoteText"/>
      </w:pPr>
      <w:r>
        <w:rPr>
          <w:rStyle w:val="FootnoteReference"/>
        </w:rPr>
        <w:footnoteRef/>
      </w:r>
      <w:r>
        <w:t xml:space="preserve"> Cross-references for "will break": Ps 37:17.</w:t>
      </w:r>
    </w:p>
  </w:footnote>
  <w:footnote w:id="13119">
    <w:p>
      <w:pPr>
        <w:pStyle w:val="FootnoteText"/>
      </w:pPr>
      <w:r>
        <w:rPr>
          <w:rStyle w:val="FootnoteReference"/>
        </w:rPr>
        <w:footnoteRef/>
      </w:r>
      <w:r>
        <w:t xml:space="preserve"> Cross-references for "in the eleventh": Jer 52:5-6; Ezek 1:2.</w:t>
      </w:r>
    </w:p>
  </w:footnote>
  <w:footnote w:id="13120">
    <w:p>
      <w:pPr>
        <w:pStyle w:val="FootnoteText"/>
      </w:pPr>
      <w:r>
        <w:rPr>
          <w:rStyle w:val="FootnoteReference"/>
        </w:rPr>
        <w:footnoteRef/>
      </w:r>
      <w:r>
        <w:t xml:space="preserve"> Cross-references for "to his": Ezek 29:19; Ezek 30:10.</w:t>
      </w:r>
    </w:p>
  </w:footnote>
  <w:footnote w:id="13121">
    <w:p>
      <w:pPr>
        <w:pStyle w:val="FootnoteText"/>
      </w:pPr>
      <w:r>
        <w:rPr>
          <w:rStyle w:val="FootnoteReference"/>
        </w:rPr>
        <w:footnoteRef/>
      </w:r>
      <w:r>
        <w:t xml:space="preserve"> Cross-references for "envied": Gen 26:14; Gen 37:11.</w:t>
      </w:r>
    </w:p>
  </w:footnote>
  <w:footnote w:id="13122">
    <w:p>
      <w:pPr>
        <w:pStyle w:val="FootnoteText"/>
      </w:pPr>
      <w:r>
        <w:rPr>
          <w:rStyle w:val="FootnoteReference"/>
        </w:rPr>
        <w:footnoteRef/>
      </w:r>
      <w:r>
        <w:t xml:space="preserve"> Cross-references for "delivered": Judg 16:23; Ezek 11:9.</w:t>
      </w:r>
    </w:p>
  </w:footnote>
  <w:footnote w:id="13123">
    <w:p>
      <w:pPr>
        <w:pStyle w:val="FootnoteText"/>
      </w:pPr>
      <w:r>
        <w:rPr>
          <w:rStyle w:val="FootnoteReference"/>
        </w:rPr>
        <w:footnoteRef/>
      </w:r>
      <w:r>
        <w:t xml:space="preserve"> Cross-references for "upon": Isa 34:5-7; Ezek 32:4-5.</w:t>
      </w:r>
    </w:p>
  </w:footnote>
  <w:footnote w:id="13124">
    <w:p>
      <w:pPr>
        <w:pStyle w:val="FootnoteText"/>
      </w:pPr>
      <w:r>
        <w:rPr>
          <w:rStyle w:val="FootnoteReference"/>
        </w:rPr>
        <w:footnoteRef/>
      </w:r>
      <w:r>
        <w:t xml:space="preserve"> Cross-references for "when I": Isa 14:15; Ezek 32:18-32.</w:t>
      </w:r>
    </w:p>
  </w:footnote>
  <w:footnote w:id="13125">
    <w:p>
      <w:pPr>
        <w:pStyle w:val="FootnoteText"/>
      </w:pPr>
      <w:r>
        <w:rPr>
          <w:rStyle w:val="FootnoteReference"/>
        </w:rPr>
        <w:footnoteRef/>
      </w:r>
      <w:r>
        <w:t xml:space="preserve"> Cross-references for "went": Ps 9:17; Isa 14:9.</w:t>
      </w:r>
    </w:p>
  </w:footnote>
  <w:footnote w:id="13126">
    <w:p>
      <w:pPr>
        <w:pStyle w:val="FootnoteText"/>
      </w:pPr>
      <w:r>
        <w:rPr>
          <w:rStyle w:val="FootnoteReference"/>
        </w:rPr>
        <w:footnoteRef/>
      </w:r>
      <w:r>
        <w:t xml:space="preserve"> Cross-references for "with the": Ezek 31:9; Ezek 31:16.</w:t>
      </w:r>
    </w:p>
  </w:footnote>
  <w:footnote w:id="13127">
    <w:p>
      <w:pPr>
        <w:pStyle w:val="FootnoteText"/>
      </w:pPr>
      <w:r>
        <w:rPr>
          <w:rStyle w:val="FootnoteReference"/>
        </w:rPr>
        <w:footnoteRef/>
      </w:r>
      <w:r>
        <w:t xml:space="preserve"> Cross-references for "in the twelfth": Ezek 1:2; Ezek 29:1.</w:t>
      </w:r>
    </w:p>
  </w:footnote>
  <w:footnote w:id="13128">
    <w:p>
      <w:pPr>
        <w:pStyle w:val="FootnoteText"/>
      </w:pPr>
      <w:r>
        <w:rPr>
          <w:rStyle w:val="FootnoteReference"/>
        </w:rPr>
        <w:footnoteRef/>
      </w:r>
      <w:r>
        <w:t xml:space="preserve"> Cross-references for "take up": Jer 9:18; Ezek 19:1.</w:t>
      </w:r>
    </w:p>
  </w:footnote>
  <w:footnote w:id="13129">
    <w:p>
      <w:pPr>
        <w:pStyle w:val="FootnoteText"/>
      </w:pPr>
      <w:r>
        <w:rPr>
          <w:rStyle w:val="FootnoteReference"/>
        </w:rPr>
        <w:footnoteRef/>
      </w:r>
      <w:r>
        <w:t xml:space="preserve"> Cross-references for "my sword": Deut 32:41.</w:t>
      </w:r>
    </w:p>
  </w:footnote>
  <w:footnote w:id="13130">
    <w:p>
      <w:pPr>
        <w:pStyle w:val="FootnoteText"/>
      </w:pPr>
      <w:r>
        <w:rPr>
          <w:rStyle w:val="FootnoteReference"/>
        </w:rPr>
        <w:footnoteRef/>
      </w:r>
      <w:r>
        <w:t xml:space="preserve"> Cross-references for "The sword": Jer 43:10; Jer 46:13.</w:t>
      </w:r>
    </w:p>
  </w:footnote>
  <w:footnote w:id="13131">
    <w:p>
      <w:pPr>
        <w:pStyle w:val="FootnoteText"/>
      </w:pPr>
      <w:r>
        <w:rPr>
          <w:rStyle w:val="FootnoteReference"/>
        </w:rPr>
        <w:footnoteRef/>
      </w:r>
      <w:r>
        <w:t xml:space="preserve"> Cross-references for "destroy": Ezek 29:8; Ezek 30:12.</w:t>
      </w:r>
    </w:p>
  </w:footnote>
  <w:footnote w:id="13132">
    <w:p>
      <w:pPr>
        <w:pStyle w:val="FootnoteText"/>
      </w:pPr>
      <w:r>
        <w:rPr>
          <w:rStyle w:val="FootnoteReference"/>
        </w:rPr>
        <w:footnoteRef/>
      </w:r>
      <w:r>
        <w:t xml:space="preserve"> Cross-references for "in the twelfth": Ezek 1:2; Ezek 32:1.</w:t>
      </w:r>
    </w:p>
  </w:footnote>
  <w:footnote w:id="13133">
    <w:p>
      <w:pPr>
        <w:pStyle w:val="FootnoteText"/>
      </w:pPr>
      <w:r>
        <w:rPr>
          <w:rStyle w:val="FootnoteReference"/>
        </w:rPr>
        <w:footnoteRef/>
      </w:r>
      <w:r>
        <w:t xml:space="preserve"> Cross-references for "fall": Ezek 29:8-12; Ezek 32:23-26.</w:t>
      </w:r>
    </w:p>
  </w:footnote>
  <w:footnote w:id="13134">
    <w:p>
      <w:pPr>
        <w:pStyle w:val="FootnoteText"/>
      </w:pPr>
      <w:r>
        <w:rPr>
          <w:rStyle w:val="FootnoteReference"/>
        </w:rPr>
        <w:footnoteRef/>
      </w:r>
      <w:r>
        <w:t xml:space="preserve"> Cross-references for "Elam": Gen 10:22; Gen 14:1.</w:t>
      </w:r>
    </w:p>
  </w:footnote>
  <w:footnote w:id="13135">
    <w:p>
      <w:pPr>
        <w:pStyle w:val="FootnoteText"/>
      </w:pPr>
      <w:r>
        <w:rPr>
          <w:rStyle w:val="FootnoteReference"/>
        </w:rPr>
        <w:footnoteRef/>
      </w:r>
      <w:r>
        <w:t xml:space="preserve"> Cross-references for "Meshech": Gen 10:2; Gen 10:12.</w:t>
      </w:r>
    </w:p>
  </w:footnote>
  <w:footnote w:id="13136">
    <w:p>
      <w:pPr>
        <w:pStyle w:val="FootnoteText"/>
      </w:pPr>
      <w:r>
        <w:rPr>
          <w:rStyle w:val="FootnoteReference"/>
        </w:rPr>
        <w:footnoteRef/>
      </w:r>
      <w:r>
        <w:t xml:space="preserve"> Cross-references for "speak": Ezek 3:11; Ezek 3:27.</w:t>
      </w:r>
    </w:p>
  </w:footnote>
  <w:footnote w:id="13137">
    <w:p>
      <w:pPr>
        <w:pStyle w:val="FootnoteText"/>
      </w:pPr>
      <w:r>
        <w:rPr>
          <w:rStyle w:val="FootnoteReference"/>
        </w:rPr>
        <w:footnoteRef/>
      </w:r>
      <w:r>
        <w:t xml:space="preserve"> Cross-references for "his blood": Lev 20:9; Lev 20:11-27.</w:t>
      </w:r>
    </w:p>
  </w:footnote>
  <w:footnote w:id="13138">
    <w:p>
      <w:pPr>
        <w:pStyle w:val="FootnoteText"/>
      </w:pPr>
      <w:r>
        <w:rPr>
          <w:rStyle w:val="FootnoteReference"/>
        </w:rPr>
        <w:footnoteRef/>
      </w:r>
      <w:r>
        <w:t xml:space="preserve"> Cross-references for "heard": Ps 95:7; Heb 2:1-3.</w:t>
      </w:r>
    </w:p>
  </w:footnote>
  <w:footnote w:id="13139">
    <w:p>
      <w:pPr>
        <w:pStyle w:val="FootnoteText"/>
      </w:pPr>
      <w:r>
        <w:rPr>
          <w:rStyle w:val="FootnoteReference"/>
        </w:rPr>
        <w:footnoteRef/>
      </w:r>
      <w:r>
        <w:t xml:space="preserve"> Cross-references for "his blood": Gen 9:5; Gen 42:22.</w:t>
      </w:r>
    </w:p>
  </w:footnote>
  <w:footnote w:id="13140">
    <w:p>
      <w:pPr>
        <w:pStyle w:val="FootnoteText"/>
      </w:pPr>
      <w:r>
        <w:rPr>
          <w:rStyle w:val="FootnoteReference"/>
        </w:rPr>
        <w:footnoteRef/>
      </w:r>
      <w:r>
        <w:t xml:space="preserve"> Cross-references for "As I live": Num 14:21; Num 14:28.</w:t>
      </w:r>
    </w:p>
  </w:footnote>
  <w:footnote w:id="13141">
    <w:p>
      <w:pPr>
        <w:pStyle w:val="FootnoteText"/>
      </w:pPr>
      <w:r>
        <w:rPr>
          <w:rStyle w:val="FootnoteReference"/>
        </w:rPr>
        <w:footnoteRef/>
      </w:r>
      <w:r>
        <w:t xml:space="preserve"> Cross-references for "The righteousness": Ezek 3:20-21; Ezek 18:24-26.</w:t>
      </w:r>
    </w:p>
  </w:footnote>
  <w:footnote w:id="13142">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3143">
    <w:p>
      <w:pPr>
        <w:pStyle w:val="FootnoteText"/>
      </w:pPr>
      <w:r>
        <w:rPr>
          <w:rStyle w:val="FootnoteReference"/>
        </w:rPr>
        <w:footnoteRef/>
      </w:r>
      <w:r>
        <w:t xml:space="preserve"> Cross-references for "in the twelfth": Ezek 1:2.</w:t>
      </w:r>
    </w:p>
  </w:footnote>
  <w:footnote w:id="13144">
    <w:p>
      <w:pPr>
        <w:pStyle w:val="FootnoteText"/>
      </w:pPr>
      <w:r>
        <w:rPr>
          <w:rStyle w:val="FootnoteReference"/>
        </w:rPr>
        <w:footnoteRef/>
      </w:r>
      <w:r>
        <w:t xml:space="preserve"> Cross-references for "the hand": Ezek 1:3; Ezek 3:22.</w:t>
      </w:r>
    </w:p>
  </w:footnote>
  <w:footnote w:id="13145">
    <w:p>
      <w:pPr>
        <w:pStyle w:val="FootnoteText"/>
      </w:pPr>
      <w:r>
        <w:rPr>
          <w:rStyle w:val="FootnoteReference"/>
        </w:rPr>
        <w:footnoteRef/>
      </w:r>
      <w:r>
        <w:t xml:space="preserve"> Cross-references for "Abraham": Isa 51:2; Acts 7:5.</w:t>
      </w:r>
    </w:p>
  </w:footnote>
  <w:footnote w:id="13146">
    <w:p>
      <w:pPr>
        <w:pStyle w:val="FootnoteText"/>
      </w:pPr>
      <w:r>
        <w:rPr>
          <w:rStyle w:val="FootnoteReference"/>
        </w:rPr>
        <w:footnoteRef/>
      </w:r>
      <w:r>
        <w:t xml:space="preserve"> Cross-references for "surely": Jer 15:2-4; Jer 42:22.</w:t>
      </w:r>
    </w:p>
  </w:footnote>
  <w:footnote w:id="13147">
    <w:p>
      <w:pPr>
        <w:pStyle w:val="FootnoteText"/>
      </w:pPr>
      <w:r>
        <w:rPr>
          <w:rStyle w:val="FootnoteReference"/>
        </w:rPr>
        <w:footnoteRef/>
      </w:r>
      <w:r>
        <w:t xml:space="preserve"> Cross-references for "and the mountains": Ezek 6:2-6; Ezek 36:4.</w:t>
      </w:r>
    </w:p>
  </w:footnote>
  <w:footnote w:id="13148">
    <w:p>
      <w:pPr>
        <w:pStyle w:val="FootnoteText"/>
      </w:pPr>
      <w:r>
        <w:rPr>
          <w:rStyle w:val="FootnoteReference"/>
        </w:rPr>
        <w:footnoteRef/>
      </w:r>
      <w:r>
        <w:t xml:space="preserve"> Cross-references for "the shepherds": Jer 2:8; Jer 3:15.</w:t>
      </w:r>
    </w:p>
  </w:footnote>
  <w:footnote w:id="13149">
    <w:p>
      <w:pPr>
        <w:pStyle w:val="FootnoteText"/>
      </w:pPr>
      <w:r>
        <w:rPr>
          <w:rStyle w:val="FootnoteReference"/>
        </w:rPr>
        <w:footnoteRef/>
      </w:r>
      <w:r>
        <w:t xml:space="preserve"> Cross-references for "the shepherds": Ezek 34:2-3; Ezek 34:10.</w:t>
      </w:r>
    </w:p>
  </w:footnote>
  <w:footnote w:id="13150">
    <w:p>
      <w:pPr>
        <w:pStyle w:val="FootnoteText"/>
      </w:pPr>
      <w:r>
        <w:rPr>
          <w:rStyle w:val="FootnoteReference"/>
        </w:rPr>
        <w:footnoteRef/>
      </w:r>
      <w:r>
        <w:t xml:space="preserve"> Cross-references for "and I will": Jer 13:18-20; Ezek 3:18.</w:t>
      </w:r>
    </w:p>
  </w:footnote>
  <w:footnote w:id="13151">
    <w:p>
      <w:pPr>
        <w:pStyle w:val="FootnoteText"/>
      </w:pPr>
      <w:r>
        <w:rPr>
          <w:rStyle w:val="FootnoteReference"/>
        </w:rPr>
        <w:footnoteRef/>
      </w:r>
      <w:r>
        <w:t xml:space="preserve"> Cross-references for "I will bring": Ps 106:47; Isa 11:11-16.</w:t>
      </w:r>
    </w:p>
  </w:footnote>
  <w:footnote w:id="13152">
    <w:p>
      <w:pPr>
        <w:pStyle w:val="FootnoteText"/>
      </w:pPr>
      <w:r>
        <w:rPr>
          <w:rStyle w:val="FootnoteReference"/>
        </w:rPr>
        <w:footnoteRef/>
      </w:r>
      <w:r>
        <w:t xml:space="preserve"> Cross-references for "feed them": Ps 23:1-2; Ps 31:8-10.</w:t>
      </w:r>
    </w:p>
  </w:footnote>
  <w:footnote w:id="13153">
    <w:p>
      <w:pPr>
        <w:pStyle w:val="FootnoteText"/>
      </w:pPr>
      <w:r>
        <w:rPr>
          <w:rStyle w:val="FootnoteReference"/>
        </w:rPr>
        <w:footnoteRef/>
      </w:r>
      <w:r>
        <w:t xml:space="preserve"> Cross-references for "I will feed": Isa 49:26; Jer 9:15.</w:t>
      </w:r>
    </w:p>
  </w:footnote>
  <w:footnote w:id="13154">
    <w:p>
      <w:pPr>
        <w:pStyle w:val="FootnoteText"/>
      </w:pPr>
      <w:r>
        <w:rPr>
          <w:rStyle w:val="FootnoteReference"/>
        </w:rPr>
        <w:footnoteRef/>
      </w:r>
      <w:r>
        <w:t xml:space="preserve"> Cross-references for "Behold": Ps 22:12-16; Ezek 34:10.</w:t>
      </w:r>
    </w:p>
  </w:footnote>
  <w:footnote w:id="13155">
    <w:p>
      <w:pPr>
        <w:pStyle w:val="FootnoteText"/>
      </w:pPr>
      <w:r>
        <w:rPr>
          <w:rStyle w:val="FootnoteReference"/>
        </w:rPr>
        <w:footnoteRef/>
      </w:r>
      <w:r>
        <w:t xml:space="preserve"> Cross-references for "pushed": Luke 13:14-16.</w:t>
      </w:r>
    </w:p>
  </w:footnote>
  <w:footnote w:id="13156">
    <w:p>
      <w:pPr>
        <w:pStyle w:val="FootnoteText"/>
      </w:pPr>
      <w:r>
        <w:rPr>
          <w:rStyle w:val="FootnoteReference"/>
        </w:rPr>
        <w:footnoteRef/>
      </w:r>
      <w:r>
        <w:t xml:space="preserve"> Cross-references for "my servant": Isa 11:1; Isa 55:3-4.</w:t>
      </w:r>
    </w:p>
  </w:footnote>
  <w:footnote w:id="13157">
    <w:p>
      <w:pPr>
        <w:pStyle w:val="FootnoteText"/>
      </w:pPr>
      <w:r>
        <w:rPr>
          <w:rStyle w:val="FootnoteReference"/>
        </w:rPr>
        <w:footnoteRef/>
      </w:r>
      <w:r>
        <w:t xml:space="preserve"> Cross-references for "I will make": Isa 55:3; Jer 31:31-33.</w:t>
      </w:r>
    </w:p>
  </w:footnote>
  <w:footnote w:id="13158">
    <w:p>
      <w:pPr>
        <w:pStyle w:val="FootnoteText"/>
      </w:pPr>
      <w:r>
        <w:rPr>
          <w:rStyle w:val="FootnoteReference"/>
        </w:rPr>
        <w:footnoteRef/>
      </w:r>
      <w:r>
        <w:t xml:space="preserve"> Cross-references for "know that": Ezek 33:29; Ezek 39:28.</w:t>
      </w:r>
    </w:p>
  </w:footnote>
  <w:footnote w:id="13159">
    <w:p>
      <w:pPr>
        <w:pStyle w:val="FootnoteText"/>
      </w:pPr>
      <w:r>
        <w:rPr>
          <w:rStyle w:val="FootnoteReference"/>
        </w:rPr>
        <w:footnoteRef/>
      </w:r>
      <w:r>
        <w:t xml:space="preserve"> Cross-references for "Mount": Gen 32:3; Gen 36:8-9.</w:t>
      </w:r>
    </w:p>
  </w:footnote>
  <w:footnote w:id="13160">
    <w:p>
      <w:pPr>
        <w:pStyle w:val="FootnoteText"/>
      </w:pPr>
      <w:r>
        <w:rPr>
          <w:rStyle w:val="FootnoteReference"/>
        </w:rPr>
        <w:footnoteRef/>
      </w:r>
      <w:r>
        <w:t xml:space="preserve"> Cross-references for "and I will stretch": Jer 6:12; Jer 15:6.</w:t>
      </w:r>
    </w:p>
  </w:footnote>
  <w:footnote w:id="13161">
    <w:p>
      <w:pPr>
        <w:pStyle w:val="FootnoteText"/>
      </w:pPr>
      <w:r>
        <w:rPr>
          <w:rStyle w:val="FootnoteReference"/>
        </w:rPr>
        <w:footnoteRef/>
      </w:r>
      <w:r>
        <w:t xml:space="preserve"> Cross-references for "the mountains": Ezek 6:2-3; Ezek 33:28.</w:t>
      </w:r>
    </w:p>
  </w:footnote>
  <w:footnote w:id="13162">
    <w:p>
      <w:pPr>
        <w:pStyle w:val="FootnoteText"/>
      </w:pPr>
      <w:r>
        <w:rPr>
          <w:rStyle w:val="FootnoteReference"/>
        </w:rPr>
        <w:footnoteRef/>
      </w:r>
      <w:r>
        <w:t xml:space="preserve"> Cross-references for "ours": Jer 49:1; Ezek 35:10.</w:t>
      </w:r>
    </w:p>
  </w:footnote>
  <w:footnote w:id="13163">
    <w:p>
      <w:pPr>
        <w:pStyle w:val="FootnoteText"/>
      </w:pPr>
      <w:r>
        <w:rPr>
          <w:rStyle w:val="FootnoteReference"/>
        </w:rPr>
        <w:footnoteRef/>
      </w:r>
      <w:r>
        <w:t xml:space="preserve"> Cross-references for "mountains": Deut 11:11; Ezek 36:1.</w:t>
      </w:r>
    </w:p>
  </w:footnote>
  <w:footnote w:id="13164">
    <w:p>
      <w:pPr>
        <w:pStyle w:val="FootnoteText"/>
      </w:pPr>
      <w:r>
        <w:rPr>
          <w:rStyle w:val="FootnoteReference"/>
        </w:rPr>
        <w:footnoteRef/>
      </w:r>
      <w:r>
        <w:t xml:space="preserve"> Cross-references for "Surely": Deut 4:24; Isa 66:15-16.</w:t>
      </w:r>
    </w:p>
  </w:footnote>
  <w:footnote w:id="13165">
    <w:p>
      <w:pPr>
        <w:pStyle w:val="FootnoteText"/>
      </w:pPr>
      <w:r>
        <w:rPr>
          <w:rStyle w:val="FootnoteReference"/>
        </w:rPr>
        <w:footnoteRef/>
      </w:r>
      <w:r>
        <w:t xml:space="preserve"> Cross-references for "I will multiply": Jer 31:27; Jer 33:12.</w:t>
      </w:r>
    </w:p>
  </w:footnote>
  <w:footnote w:id="13166">
    <w:p>
      <w:pPr>
        <w:pStyle w:val="FootnoteText"/>
      </w:pPr>
      <w:r>
        <w:rPr>
          <w:rStyle w:val="FootnoteReference"/>
        </w:rPr>
        <w:footnoteRef/>
      </w:r>
      <w:r>
        <w:t xml:space="preserve"> Cross-references for "I poured": 2Chr 34:21; 2Chr 34:26.</w:t>
      </w:r>
    </w:p>
  </w:footnote>
  <w:footnote w:id="13167">
    <w:p>
      <w:pPr>
        <w:pStyle w:val="FootnoteText"/>
      </w:pPr>
      <w:r>
        <w:rPr>
          <w:rStyle w:val="FootnoteReference"/>
        </w:rPr>
        <w:footnoteRef/>
      </w:r>
      <w:r>
        <w:t xml:space="preserve"> Cross-references for "I scattered": Lev 26:38; Deut 28:64.</w:t>
      </w:r>
    </w:p>
  </w:footnote>
  <w:footnote w:id="13168">
    <w:p>
      <w:pPr>
        <w:pStyle w:val="FootnoteText"/>
      </w:pPr>
      <w:r>
        <w:rPr>
          <w:rStyle w:val="FootnoteReference"/>
        </w:rPr>
        <w:footnoteRef/>
      </w:r>
      <w:r>
        <w:t xml:space="preserve"> Cross-references for "sanctify": Num 20:12-13; Ps 46:10.</w:t>
      </w:r>
    </w:p>
  </w:footnote>
  <w:footnote w:id="13169">
    <w:p>
      <w:pPr>
        <w:pStyle w:val="FootnoteText"/>
      </w:pPr>
      <w:r>
        <w:rPr>
          <w:rStyle w:val="FootnoteReference"/>
        </w:rPr>
        <w:footnoteRef/>
      </w:r>
      <w:r>
        <w:t xml:space="preserve"> Cross-references for "from all your idols": Isa 2:18-20; Isa 17:7-8.</w:t>
      </w:r>
    </w:p>
  </w:footnote>
  <w:footnote w:id="13170">
    <w:p>
      <w:pPr>
        <w:pStyle w:val="FootnoteText"/>
      </w:pPr>
      <w:r>
        <w:rPr>
          <w:rStyle w:val="FootnoteReference"/>
        </w:rPr>
        <w:footnoteRef/>
      </w:r>
      <w:r>
        <w:t xml:space="preserve"> Cross-references for "new heart": Deut 30:6; Ps 51:10.</w:t>
      </w:r>
    </w:p>
  </w:footnote>
  <w:footnote w:id="13171">
    <w:p>
      <w:pPr>
        <w:pStyle w:val="FootnoteText"/>
      </w:pPr>
      <w:r>
        <w:rPr>
          <w:rStyle w:val="FootnoteReference"/>
        </w:rPr>
        <w:footnoteRef/>
      </w:r>
      <w:r>
        <w:t xml:space="preserve"> Cross-references for "dwell": Ezek 28:25; Ezek 36:10.</w:t>
      </w:r>
    </w:p>
  </w:footnote>
  <w:footnote w:id="13172">
    <w:p>
      <w:pPr>
        <w:pStyle w:val="FootnoteText"/>
      </w:pPr>
      <w:r>
        <w:rPr>
          <w:rStyle w:val="FootnoteReference"/>
        </w:rPr>
        <w:footnoteRef/>
      </w:r>
      <w:r>
        <w:t xml:space="preserve"> Cross-references for "save": Jer 33:8; Ezek 36:25.</w:t>
      </w:r>
    </w:p>
  </w:footnote>
  <w:footnote w:id="13173">
    <w:p>
      <w:pPr>
        <w:pStyle w:val="FootnoteText"/>
      </w:pPr>
      <w:r>
        <w:rPr>
          <w:rStyle w:val="FootnoteReference"/>
        </w:rPr>
        <w:footnoteRef/>
      </w:r>
      <w:r>
        <w:t xml:space="preserve"> Cross-references for "reproach": Deut 29:23-28; Joel 2:17.</w:t>
      </w:r>
    </w:p>
  </w:footnote>
  <w:footnote w:id="13174">
    <w:p>
      <w:pPr>
        <w:pStyle w:val="FootnoteText"/>
      </w:pPr>
      <w:r>
        <w:rPr>
          <w:rStyle w:val="FootnoteReference"/>
        </w:rPr>
        <w:footnoteRef/>
      </w:r>
      <w:r>
        <w:t xml:space="preserve"> Cross-references for "for your": Deut 9:5; Ezek 36:22.</w:t>
      </w:r>
    </w:p>
  </w:footnote>
  <w:footnote w:id="13175">
    <w:p>
      <w:pPr>
        <w:pStyle w:val="FootnoteText"/>
      </w:pPr>
      <w:r>
        <w:rPr>
          <w:rStyle w:val="FootnoteReference"/>
        </w:rPr>
        <w:footnoteRef/>
      </w:r>
      <w:r>
        <w:t xml:space="preserve"> Cross-references for "cause": Zech 8:7-8.</w:t>
      </w:r>
    </w:p>
  </w:footnote>
  <w:footnote w:id="13176">
    <w:p>
      <w:pPr>
        <w:pStyle w:val="FootnoteText"/>
      </w:pPr>
      <w:r>
        <w:rPr>
          <w:rStyle w:val="FootnoteReference"/>
        </w:rPr>
        <w:footnoteRef/>
      </w:r>
      <w:r>
        <w:t xml:space="preserve"> Cross-references for "know": Ezek 17:24; Ezek 34:30.</w:t>
      </w:r>
    </w:p>
  </w:footnote>
  <w:footnote w:id="13177">
    <w:p>
      <w:pPr>
        <w:pStyle w:val="FootnoteText"/>
      </w:pPr>
      <w:r>
        <w:rPr>
          <w:rStyle w:val="FootnoteReference"/>
        </w:rPr>
        <w:footnoteRef/>
      </w:r>
      <w:r>
        <w:t xml:space="preserve"> Cross-references for "hand": Ezek 1:3; Ezek 3:14.</w:t>
      </w:r>
    </w:p>
  </w:footnote>
  <w:footnote w:id="13178">
    <w:p>
      <w:pPr>
        <w:pStyle w:val="FootnoteText"/>
      </w:pPr>
      <w:r>
        <w:rPr>
          <w:rStyle w:val="FootnoteReference"/>
        </w:rPr>
        <w:footnoteRef/>
      </w:r>
      <w:r>
        <w:t xml:space="preserve"> Cross-references for "they were": Ps 141:7; Ezek 37:11.</w:t>
      </w:r>
    </w:p>
  </w:footnote>
  <w:footnote w:id="13179">
    <w:p>
      <w:pPr>
        <w:pStyle w:val="FootnoteText"/>
      </w:pPr>
      <w:r>
        <w:rPr>
          <w:rStyle w:val="FootnoteReference"/>
        </w:rPr>
        <w:footnoteRef/>
      </w:r>
      <w:r>
        <w:t xml:space="preserve"> Cross-references for "Prophesy": Num 20:8; 1Kgs 13:2.</w:t>
      </w:r>
    </w:p>
  </w:footnote>
  <w:footnote w:id="13180">
    <w:p>
      <w:pPr>
        <w:pStyle w:val="FootnoteText"/>
      </w:pPr>
      <w:r>
        <w:rPr>
          <w:rStyle w:val="FootnoteReference"/>
        </w:rPr>
        <w:footnoteRef/>
      </w:r>
      <w:r>
        <w:t xml:space="preserve"> Cross-references for "I prophesied as": Jer 13:5-7; Jer 26:8.</w:t>
      </w:r>
    </w:p>
  </w:footnote>
  <w:footnote w:id="13181">
    <w:p>
      <w:pPr>
        <w:pStyle w:val="FootnoteText"/>
      </w:pPr>
      <w:r>
        <w:rPr>
          <w:rStyle w:val="FootnoteReference"/>
        </w:rPr>
        <w:footnoteRef/>
      </w:r>
      <w:r>
        <w:t xml:space="preserve"> Cross-references for "whole house": Jer 31:1; Jer 33:24-26.</w:t>
      </w:r>
    </w:p>
  </w:footnote>
  <w:footnote w:id="13182">
    <w:p>
      <w:pPr>
        <w:pStyle w:val="FootnoteText"/>
      </w:pPr>
      <w:r>
        <w:rPr>
          <w:rStyle w:val="FootnoteReference"/>
        </w:rPr>
        <w:footnoteRef/>
      </w:r>
      <w:r>
        <w:t xml:space="preserve"> Cross-references for "Therefore": Job 35:14-15.</w:t>
      </w:r>
    </w:p>
  </w:footnote>
  <w:footnote w:id="13183">
    <w:p>
      <w:pPr>
        <w:pStyle w:val="FootnoteText"/>
      </w:pPr>
      <w:r>
        <w:rPr>
          <w:rStyle w:val="FootnoteReference"/>
        </w:rPr>
        <w:footnoteRef/>
      </w:r>
      <w:r>
        <w:t xml:space="preserve"> Cross-references for "Behold": 1Chr 9:1-3; Ezek 37:16-17.</w:t>
      </w:r>
    </w:p>
  </w:footnote>
  <w:footnote w:id="13184">
    <w:p>
      <w:pPr>
        <w:pStyle w:val="FootnoteText"/>
      </w:pPr>
      <w:r>
        <w:rPr>
          <w:rStyle w:val="FootnoteReference"/>
        </w:rPr>
        <w:footnoteRef/>
      </w:r>
      <w:r>
        <w:t xml:space="preserve"> Cross-references for "I will make": Isa 11:12-13; Jer 3:18.</w:t>
      </w:r>
    </w:p>
  </w:footnote>
  <w:footnote w:id="13185">
    <w:p>
      <w:pPr>
        <w:pStyle w:val="FootnoteText"/>
      </w:pPr>
      <w:r>
        <w:rPr>
          <w:rStyle w:val="FootnoteReference"/>
        </w:rPr>
        <w:footnoteRef/>
      </w:r>
      <w:r>
        <w:t xml:space="preserve"> Cross-references for "will cleanse": Eph 5:26-27; Heb 9:13-14.</w:t>
      </w:r>
    </w:p>
  </w:footnote>
  <w:footnote w:id="13186">
    <w:p>
      <w:pPr>
        <w:pStyle w:val="FootnoteText"/>
      </w:pPr>
      <w:r>
        <w:rPr>
          <w:rStyle w:val="FootnoteReference"/>
        </w:rPr>
        <w:footnoteRef/>
      </w:r>
      <w:r>
        <w:t xml:space="preserve"> Cross-references for "David": Isa 55:3-4; Jer 23:5.</w:t>
      </w:r>
    </w:p>
  </w:footnote>
  <w:footnote w:id="13187">
    <w:p>
      <w:pPr>
        <w:pStyle w:val="FootnoteText"/>
      </w:pPr>
      <w:r>
        <w:rPr>
          <w:rStyle w:val="FootnoteReference"/>
        </w:rPr>
        <w:footnoteRef/>
      </w:r>
      <w:r>
        <w:t xml:space="preserve"> Cross-references for "I will make": Gen 17:7; 2Sam 23:5.</w:t>
      </w:r>
    </w:p>
  </w:footnote>
  <w:footnote w:id="13188">
    <w:p>
      <w:pPr>
        <w:pStyle w:val="FootnoteText"/>
      </w:pPr>
      <w:r>
        <w:rPr>
          <w:rStyle w:val="FootnoteReference"/>
        </w:rPr>
        <w:footnoteRef/>
      </w:r>
      <w:r>
        <w:t xml:space="preserve"> Cross-references for "Magog": Gen 10:2; 1Chr 1:5.</w:t>
      </w:r>
    </w:p>
  </w:footnote>
  <w:footnote w:id="13189">
    <w:p>
      <w:pPr>
        <w:pStyle w:val="FootnoteText"/>
      </w:pPr>
      <w:r>
        <w:rPr>
          <w:rStyle w:val="FootnoteReference"/>
        </w:rPr>
        <w:footnoteRef/>
      </w:r>
      <w:r>
        <w:t xml:space="preserve"> Cross-references for "horses": Ezek 38:15; Dan 11:40.</w:t>
      </w:r>
    </w:p>
  </w:footnote>
  <w:footnote w:id="13190">
    <w:p>
      <w:pPr>
        <w:pStyle w:val="FootnoteText"/>
      </w:pPr>
      <w:r>
        <w:rPr>
          <w:rStyle w:val="FootnoteReference"/>
        </w:rPr>
        <w:footnoteRef/>
      </w:r>
      <w:r>
        <w:t xml:space="preserve"> Cross-references for "Gomer": Gen 10:2; 1Chr 1:5.</w:t>
      </w:r>
    </w:p>
  </w:footnote>
  <w:footnote w:id="13191">
    <w:p>
      <w:pPr>
        <w:pStyle w:val="FootnoteText"/>
      </w:pPr>
      <w:r>
        <w:rPr>
          <w:rStyle w:val="FootnoteReference"/>
        </w:rPr>
        <w:footnoteRef/>
      </w:r>
      <w:r>
        <w:t xml:space="preserve"> Cross-references for "many days": Gen 49:1; Num 24:14.</w:t>
      </w:r>
    </w:p>
  </w:footnote>
  <w:footnote w:id="13192">
    <w:p>
      <w:pPr>
        <w:pStyle w:val="FootnoteText"/>
      </w:pPr>
      <w:r>
        <w:rPr>
          <w:rStyle w:val="FootnoteReference"/>
        </w:rPr>
        <w:footnoteRef/>
      </w:r>
      <w:r>
        <w:t xml:space="preserve"> Cross-references for "go up": Exod 15:9; Ps 10:9.</w:t>
      </w:r>
    </w:p>
  </w:footnote>
  <w:footnote w:id="13193">
    <w:p>
      <w:pPr>
        <w:pStyle w:val="FootnoteText"/>
      </w:pPr>
      <w:r>
        <w:rPr>
          <w:rStyle w:val="FootnoteReference"/>
        </w:rPr>
        <w:footnoteRef/>
      </w:r>
      <w:r>
        <w:t xml:space="preserve"> Cross-references for "turn": Isa 1:24-25; Amos 1:8.</w:t>
      </w:r>
    </w:p>
  </w:footnote>
  <w:footnote w:id="13194">
    <w:p>
      <w:pPr>
        <w:pStyle w:val="FootnoteText"/>
      </w:pPr>
      <w:r>
        <w:rPr>
          <w:rStyle w:val="FootnoteReference"/>
        </w:rPr>
        <w:footnoteRef/>
      </w:r>
      <w:r>
        <w:t xml:space="preserve"> Cross-references for "Sheba": Ezek 27:12; Ezek 27:15.</w:t>
      </w:r>
    </w:p>
  </w:footnote>
  <w:footnote w:id="13195">
    <w:p>
      <w:pPr>
        <w:pStyle w:val="FootnoteText"/>
      </w:pPr>
      <w:r>
        <w:rPr>
          <w:rStyle w:val="FootnoteReference"/>
        </w:rPr>
        <w:footnoteRef/>
      </w:r>
      <w:r>
        <w:t xml:space="preserve"> Cross-references for "and many": Ezek 38:4; Ezek 38:6.</w:t>
      </w:r>
    </w:p>
  </w:footnote>
  <w:footnote w:id="13196">
    <w:p>
      <w:pPr>
        <w:pStyle w:val="FootnoteText"/>
      </w:pPr>
      <w:r>
        <w:rPr>
          <w:rStyle w:val="FootnoteReference"/>
        </w:rPr>
        <w:footnoteRef/>
      </w:r>
      <w:r>
        <w:t xml:space="preserve"> Cross-references for "in my": Deut 29:20; Isa 42:13.</w:t>
      </w:r>
    </w:p>
  </w:footnote>
  <w:footnote w:id="13197">
    <w:p>
      <w:pPr>
        <w:pStyle w:val="FootnoteText"/>
      </w:pPr>
      <w:r>
        <w:rPr>
          <w:rStyle w:val="FootnoteReference"/>
        </w:rPr>
        <w:footnoteRef/>
      </w:r>
      <w:r>
        <w:t xml:space="preserve"> Cross-references for "Behold": Ezek 35:3; Nah 2:13.</w:t>
      </w:r>
    </w:p>
  </w:footnote>
  <w:footnote w:id="13198">
    <w:p>
      <w:pPr>
        <w:pStyle w:val="FootnoteText"/>
      </w:pPr>
      <w:r>
        <w:rPr>
          <w:rStyle w:val="FootnoteReference"/>
        </w:rPr>
        <w:footnoteRef/>
      </w:r>
      <w:r>
        <w:t xml:space="preserve"> Cross-references for "fall": Ezek 38:21; Ezek 39:17-20.</w:t>
      </w:r>
    </w:p>
  </w:footnote>
  <w:footnote w:id="13199">
    <w:p>
      <w:pPr>
        <w:pStyle w:val="FootnoteText"/>
      </w:pPr>
      <w:r>
        <w:rPr>
          <w:rStyle w:val="FootnoteReference"/>
        </w:rPr>
        <w:footnoteRef/>
      </w:r>
      <w:r>
        <w:t xml:space="preserve"> Cross-references for "to my": 1Sam 17:46; Isa 18:6.</w:t>
      </w:r>
    </w:p>
  </w:footnote>
  <w:footnote w:id="13200">
    <w:p>
      <w:pPr>
        <w:pStyle w:val="FootnoteText"/>
      </w:pPr>
      <w:r>
        <w:rPr>
          <w:rStyle w:val="FootnoteReference"/>
        </w:rPr>
        <w:footnoteRef/>
      </w:r>
      <w:r>
        <w:t xml:space="preserve"> Cross-references for "goats": Ezek 34:17.</w:t>
      </w:r>
    </w:p>
  </w:footnote>
  <w:footnote w:id="13201">
    <w:p>
      <w:pPr>
        <w:pStyle w:val="FootnoteText"/>
      </w:pPr>
      <w:r>
        <w:rPr>
          <w:rStyle w:val="FootnoteReference"/>
        </w:rPr>
        <w:footnoteRef/>
      </w:r>
      <w:r>
        <w:t xml:space="preserve"> Cross-references for "and my": Exod 7:4; Exod 8:19.</w:t>
      </w:r>
    </w:p>
  </w:footnote>
  <w:footnote w:id="13202">
    <w:p>
      <w:pPr>
        <w:pStyle w:val="FootnoteText"/>
      </w:pPr>
      <w:r>
        <w:rPr>
          <w:rStyle w:val="FootnoteReference"/>
        </w:rPr>
        <w:footnoteRef/>
      </w:r>
      <w:r>
        <w:t xml:space="preserve"> Cross-references for "know": Ps 9:16; Jer 24:7.</w:t>
      </w:r>
    </w:p>
  </w:footnote>
  <w:footnote w:id="13203">
    <w:p>
      <w:pPr>
        <w:pStyle w:val="FootnoteText"/>
      </w:pPr>
      <w:r>
        <w:rPr>
          <w:rStyle w:val="FootnoteReference"/>
        </w:rPr>
        <w:footnoteRef/>
      </w:r>
      <w:r>
        <w:t xml:space="preserve"> Translation note: The Greek uses the standard captivity-turning formula. The current wording keeps that restoration idiom close to the source-row wording.</w:t>
      </w:r>
    </w:p>
  </w:footnote>
  <w:footnote w:id="13204">
    <w:p>
      <w:pPr>
        <w:pStyle w:val="FootnoteText"/>
      </w:pPr>
      <w:r>
        <w:rPr>
          <w:rStyle w:val="FootnoteReference"/>
        </w:rPr>
        <w:footnoteRef/>
      </w:r>
      <w:r>
        <w:t xml:space="preserve"> Cross-references for "when they": Lev 26:5-6; Deut 28:47-48.</w:t>
      </w:r>
    </w:p>
  </w:footnote>
  <w:footnote w:id="13205">
    <w:p>
      <w:pPr>
        <w:pStyle w:val="FootnoteText"/>
      </w:pPr>
      <w:r>
        <w:rPr>
          <w:rStyle w:val="FootnoteReference"/>
        </w:rPr>
        <w:footnoteRef/>
      </w:r>
      <w:r>
        <w:t xml:space="preserve"> Cross-references for "hand": Ezek 1:3; Ezek 3:14.</w:t>
      </w:r>
    </w:p>
  </w:footnote>
  <w:footnote w:id="13206">
    <w:p>
      <w:pPr>
        <w:pStyle w:val="FootnoteText"/>
      </w:pPr>
      <w:r>
        <w:rPr>
          <w:rStyle w:val="FootnoteReference"/>
        </w:rPr>
        <w:footnoteRef/>
      </w:r>
      <w:r>
        <w:t xml:space="preserve"> Cross-references for "a very": Isa 2:2-3; Ezek 17:22-23.</w:t>
      </w:r>
    </w:p>
  </w:footnote>
  <w:footnote w:id="13207">
    <w:p>
      <w:pPr>
        <w:pStyle w:val="FootnoteText"/>
      </w:pPr>
      <w:r>
        <w:rPr>
          <w:rStyle w:val="FootnoteReference"/>
        </w:rPr>
        <w:footnoteRef/>
      </w:r>
      <w:r>
        <w:t xml:space="preserve"> Cross-references for "one reed": Ezek 40:5; Ezek 40:7.</w:t>
      </w:r>
    </w:p>
  </w:footnote>
  <w:footnote w:id="13208">
    <w:p>
      <w:pPr>
        <w:pStyle w:val="FootnoteText"/>
      </w:pPr>
      <w:r>
        <w:rPr>
          <w:rStyle w:val="FootnoteReference"/>
        </w:rPr>
        <w:footnoteRef/>
      </w:r>
      <w:r>
        <w:t xml:space="preserve"> Cross-references for "the gate": Ezek 40:7; Ezek 40:11-13.</w:t>
      </w:r>
    </w:p>
  </w:footnote>
  <w:footnote w:id="13209">
    <w:p>
      <w:pPr>
        <w:pStyle w:val="FootnoteText"/>
      </w:pPr>
      <w:r>
        <w:rPr>
          <w:rStyle w:val="FootnoteReference"/>
        </w:rPr>
        <w:footnoteRef/>
      </w:r>
      <w:r>
        <w:t xml:space="preserve"> Cross-references for "the court": Exod 27:9; Exod 35:17.</w:t>
      </w:r>
    </w:p>
  </w:footnote>
  <w:footnote w:id="13210">
    <w:p>
      <w:pPr>
        <w:pStyle w:val="FootnoteText"/>
      </w:pPr>
      <w:r>
        <w:rPr>
          <w:rStyle w:val="FootnoteReference"/>
        </w:rPr>
        <w:footnoteRef/>
      </w:r>
      <w:r>
        <w:t xml:space="preserve"> Cross-references for "thirty": Ezek 42:4; Ezek 45:5.</w:t>
      </w:r>
    </w:p>
  </w:footnote>
  <w:footnote w:id="13211">
    <w:p>
      <w:pPr>
        <w:pStyle w:val="FootnoteText"/>
      </w:pPr>
      <w:r>
        <w:rPr>
          <w:rStyle w:val="FootnoteReference"/>
        </w:rPr>
        <w:footnoteRef/>
      </w:r>
      <w:r>
        <w:t xml:space="preserve"> Cross-references for "the gate of": Ezek 40:19; Ezek 40:27-28.</w:t>
      </w:r>
    </w:p>
  </w:footnote>
  <w:footnote w:id="13212">
    <w:p>
      <w:pPr>
        <w:pStyle w:val="FootnoteText"/>
      </w:pPr>
      <w:r>
        <w:rPr>
          <w:rStyle w:val="FootnoteReference"/>
        </w:rPr>
        <w:footnoteRef/>
      </w:r>
      <w:r>
        <w:t xml:space="preserve"> Cross-references for "and behold": Ezek 40:6; Ezek 40:20.</w:t>
      </w:r>
    </w:p>
  </w:footnote>
  <w:footnote w:id="13213">
    <w:p>
      <w:pPr>
        <w:pStyle w:val="FootnoteText"/>
      </w:pPr>
      <w:r>
        <w:rPr>
          <w:rStyle w:val="FootnoteReference"/>
        </w:rPr>
        <w:footnoteRef/>
      </w:r>
      <w:r>
        <w:t xml:space="preserve"> Cross-references for "windows": Ezek 40:16; Ezek 40:22.</w:t>
      </w:r>
    </w:p>
  </w:footnote>
  <w:footnote w:id="13214">
    <w:p>
      <w:pPr>
        <w:pStyle w:val="FootnoteText"/>
      </w:pPr>
      <w:r>
        <w:rPr>
          <w:rStyle w:val="FootnoteReference"/>
        </w:rPr>
        <w:footnoteRef/>
      </w:r>
      <w:r>
        <w:t xml:space="preserve"> Cross-references for "seven": Ezek 40:6; Ezek 40:22.</w:t>
      </w:r>
    </w:p>
  </w:footnote>
  <w:footnote w:id="13215">
    <w:p>
      <w:pPr>
        <w:pStyle w:val="FootnoteText"/>
      </w:pPr>
      <w:r>
        <w:rPr>
          <w:rStyle w:val="FootnoteReference"/>
        </w:rPr>
        <w:footnoteRef/>
      </w:r>
      <w:r>
        <w:t xml:space="preserve"> Cross-references for "eight": Ezek 40:22; Ezek 40:26.</w:t>
      </w:r>
    </w:p>
  </w:footnote>
  <w:footnote w:id="13216">
    <w:p>
      <w:pPr>
        <w:pStyle w:val="FootnoteText"/>
      </w:pPr>
      <w:r>
        <w:rPr>
          <w:rStyle w:val="FootnoteReference"/>
        </w:rPr>
        <w:footnoteRef/>
      </w:r>
      <w:r>
        <w:t xml:space="preserve"> Cross-references for "into the": Ezek 40:28-31; Ezek 40:35.</w:t>
      </w:r>
    </w:p>
  </w:footnote>
  <w:footnote w:id="13217">
    <w:p>
      <w:pPr>
        <w:pStyle w:val="FootnoteText"/>
      </w:pPr>
      <w:r>
        <w:rPr>
          <w:rStyle w:val="FootnoteReference"/>
        </w:rPr>
        <w:footnoteRef/>
      </w:r>
      <w:r>
        <w:t xml:space="preserve"> Cross-references for "eight steps": Ezek 40:6; Ezek 40:22.</w:t>
      </w:r>
    </w:p>
  </w:footnote>
  <w:footnote w:id="13218">
    <w:p>
      <w:pPr>
        <w:pStyle w:val="FootnoteText"/>
      </w:pPr>
      <w:r>
        <w:rPr>
          <w:rStyle w:val="FootnoteReference"/>
        </w:rPr>
        <w:footnoteRef/>
      </w:r>
      <w:r>
        <w:t xml:space="preserve"> Cross-references for "the inner": Ezek 40:23; Ezek 40:27.</w:t>
      </w:r>
    </w:p>
  </w:footnote>
  <w:footnote w:id="13219">
    <w:p>
      <w:pPr>
        <w:pStyle w:val="FootnoteText"/>
      </w:pPr>
      <w:r>
        <w:rPr>
          <w:rStyle w:val="FootnoteReference"/>
        </w:rPr>
        <w:footnoteRef/>
      </w:r>
      <w:r>
        <w:t xml:space="preserve"> Cross-references for "charge": Ezek 40:46.</w:t>
      </w:r>
    </w:p>
  </w:footnote>
  <w:footnote w:id="13220">
    <w:p>
      <w:pPr>
        <w:pStyle w:val="FootnoteText"/>
      </w:pPr>
      <w:r>
        <w:rPr>
          <w:rStyle w:val="FootnoteReference"/>
        </w:rPr>
        <w:footnoteRef/>
      </w:r>
      <w:r>
        <w:t xml:space="preserve"> Cross-references for "the porch": 1Kgs 6:3; 2Chr 3:4.</w:t>
      </w:r>
    </w:p>
  </w:footnote>
  <w:footnote w:id="13221">
    <w:p>
      <w:pPr>
        <w:pStyle w:val="FootnoteText"/>
      </w:pPr>
      <w:r>
        <w:rPr>
          <w:rStyle w:val="FootnoteReference"/>
        </w:rPr>
        <w:footnoteRef/>
      </w:r>
      <w:r>
        <w:t xml:space="preserve"> Cross-references for "pillars": 1Kgs 7:15-21; 2Chr 3:17.</w:t>
      </w:r>
    </w:p>
  </w:footnote>
  <w:footnote w:id="13222">
    <w:p>
      <w:pPr>
        <w:pStyle w:val="FootnoteText"/>
      </w:pPr>
      <w:r>
        <w:rPr>
          <w:rStyle w:val="FootnoteReference"/>
        </w:rPr>
        <w:footnoteRef/>
      </w:r>
      <w:r>
        <w:t xml:space="preserve"> Cross-references for "he brought": Ezek 40:2-3; Ezek 40:17.</w:t>
      </w:r>
    </w:p>
  </w:footnote>
  <w:footnote w:id="13223">
    <w:p>
      <w:pPr>
        <w:pStyle w:val="FootnoteText"/>
      </w:pPr>
      <w:r>
        <w:rPr>
          <w:rStyle w:val="FootnoteReference"/>
        </w:rPr>
        <w:footnoteRef/>
      </w:r>
      <w:r>
        <w:t xml:space="preserve"> Cross-references for "two cubits": Ezek 41:2-4.</w:t>
      </w:r>
    </w:p>
  </w:footnote>
  <w:footnote w:id="13224">
    <w:p>
      <w:pPr>
        <w:pStyle w:val="FootnoteText"/>
      </w:pPr>
      <w:r>
        <w:rPr>
          <w:rStyle w:val="FootnoteReference"/>
        </w:rPr>
        <w:footnoteRef/>
      </w:r>
      <w:r>
        <w:t xml:space="preserve"> Cross-references for "twenty cubits": 1Kgs 6:20; 2Chr 3:8.</w:t>
      </w:r>
    </w:p>
  </w:footnote>
  <w:footnote w:id="13225">
    <w:p>
      <w:pPr>
        <w:pStyle w:val="FootnoteText"/>
      </w:pPr>
      <w:r>
        <w:rPr>
          <w:rStyle w:val="FootnoteReference"/>
        </w:rPr>
        <w:footnoteRef/>
      </w:r>
      <w:r>
        <w:t xml:space="preserve"> Cross-references for "was five": Ezek 41:5.</w:t>
      </w:r>
    </w:p>
  </w:footnote>
  <w:footnote w:id="13226">
    <w:p>
      <w:pPr>
        <w:pStyle w:val="FootnoteText"/>
      </w:pPr>
      <w:r>
        <w:rPr>
          <w:rStyle w:val="FootnoteReference"/>
        </w:rPr>
        <w:footnoteRef/>
      </w:r>
      <w:r>
        <w:t xml:space="preserve"> Cross-references for "the chambers": Ezek 41:10.</w:t>
      </w:r>
    </w:p>
  </w:footnote>
  <w:footnote w:id="13227">
    <w:p>
      <w:pPr>
        <w:pStyle w:val="FootnoteText"/>
      </w:pPr>
      <w:r>
        <w:rPr>
          <w:rStyle w:val="FootnoteReference"/>
        </w:rPr>
        <w:footnoteRef/>
      </w:r>
      <w:r>
        <w:t xml:space="preserve"> Cross-references for "and the breadth": Ezek 41:9; Ezek 42:4.</w:t>
      </w:r>
    </w:p>
  </w:footnote>
  <w:footnote w:id="13228">
    <w:p>
      <w:pPr>
        <w:pStyle w:val="FootnoteText"/>
      </w:pPr>
      <w:r>
        <w:rPr>
          <w:rStyle w:val="FootnoteReference"/>
        </w:rPr>
        <w:footnoteRef/>
      </w:r>
      <w:r>
        <w:t xml:space="preserve"> Cross-references for "he measured": Ezek 41:13; Ezek 41:13-15.</w:t>
      </w:r>
    </w:p>
  </w:footnote>
  <w:footnote w:id="13229">
    <w:p>
      <w:pPr>
        <w:pStyle w:val="FootnoteText"/>
      </w:pPr>
      <w:r>
        <w:rPr>
          <w:rStyle w:val="FootnoteReference"/>
        </w:rPr>
        <w:footnoteRef/>
      </w:r>
      <w:r>
        <w:t xml:space="preserve"> Cross-references for "altar": Exod 30:1-3; 1Kgs 6:20.</w:t>
      </w:r>
    </w:p>
  </w:footnote>
  <w:footnote w:id="13230">
    <w:p>
      <w:pPr>
        <w:pStyle w:val="FootnoteText"/>
      </w:pPr>
      <w:r>
        <w:rPr>
          <w:rStyle w:val="FootnoteReference"/>
        </w:rPr>
        <w:footnoteRef/>
      </w:r>
      <w:r>
        <w:t xml:space="preserve"> Cross-references for "measuring": Ezek 41:2-5; Ezek 41:15.</w:t>
      </w:r>
    </w:p>
  </w:footnote>
  <w:footnote w:id="13231">
    <w:p>
      <w:pPr>
        <w:pStyle w:val="FootnoteText"/>
      </w:pPr>
      <w:r>
        <w:rPr>
          <w:rStyle w:val="FootnoteReference"/>
        </w:rPr>
        <w:footnoteRef/>
      </w:r>
      <w:r>
        <w:t xml:space="preserve"> Cross-references for "the measuring reed": Ezek 40:3; Zech 2:1.</w:t>
      </w:r>
    </w:p>
  </w:footnote>
  <w:footnote w:id="13232">
    <w:p>
      <w:pPr>
        <w:pStyle w:val="FootnoteText"/>
      </w:pPr>
      <w:r>
        <w:rPr>
          <w:rStyle w:val="FootnoteReference"/>
        </w:rPr>
        <w:footnoteRef/>
      </w:r>
      <w:r>
        <w:t xml:space="preserve"> Cross-references for "five hundred": Ezek 45:2; Ezek 48:20.</w:t>
      </w:r>
    </w:p>
  </w:footnote>
  <w:footnote w:id="13233">
    <w:p>
      <w:pPr>
        <w:pStyle w:val="FootnoteText"/>
      </w:pPr>
      <w:r>
        <w:rPr>
          <w:rStyle w:val="FootnoteReference"/>
        </w:rPr>
        <w:footnoteRef/>
      </w:r>
      <w:r>
        <w:t xml:space="preserve"> Cross-references for "the glory": Isa 6:3; Ezek 1:28.</w:t>
      </w:r>
    </w:p>
  </w:footnote>
  <w:footnote w:id="13234">
    <w:p>
      <w:pPr>
        <w:pStyle w:val="FootnoteText"/>
      </w:pPr>
      <w:r>
        <w:rPr>
          <w:rStyle w:val="FootnoteReference"/>
        </w:rPr>
        <w:footnoteRef/>
      </w:r>
      <w:r>
        <w:t xml:space="preserve"> Cross-references for "the river": Ezek 1:3; Ezek 3:23.</w:t>
      </w:r>
    </w:p>
  </w:footnote>
  <w:footnote w:id="13235">
    <w:p>
      <w:pPr>
        <w:pStyle w:val="FootnoteText"/>
      </w:pPr>
      <w:r>
        <w:rPr>
          <w:rStyle w:val="FootnoteReference"/>
        </w:rPr>
        <w:footnoteRef/>
      </w:r>
      <w:r>
        <w:t xml:space="preserve"> Cross-references for "the glory": Hag 2:5-9.</w:t>
      </w:r>
    </w:p>
  </w:footnote>
  <w:footnote w:id="13236">
    <w:p>
      <w:pPr>
        <w:pStyle w:val="FootnoteText"/>
      </w:pPr>
      <w:r>
        <w:rPr>
          <w:rStyle w:val="FootnoteReference"/>
        </w:rPr>
        <w:footnoteRef/>
      </w:r>
      <w:r>
        <w:t xml:space="preserve"> Cross-references for "the Spirit": 1Kgs 18:12; 2Kgs 2:16.</w:t>
      </w:r>
    </w:p>
  </w:footnote>
  <w:footnote w:id="13237">
    <w:p>
      <w:pPr>
        <w:pStyle w:val="FootnoteText"/>
      </w:pPr>
      <w:r>
        <w:rPr>
          <w:rStyle w:val="FootnoteReference"/>
        </w:rPr>
        <w:footnoteRef/>
      </w:r>
      <w:r>
        <w:t xml:space="preserve"> Cross-references for "the man": Ezek 40:3.</w:t>
      </w:r>
    </w:p>
  </w:footnote>
  <w:footnote w:id="13238">
    <w:p>
      <w:pPr>
        <w:pStyle w:val="FootnoteText"/>
      </w:pPr>
      <w:r>
        <w:rPr>
          <w:rStyle w:val="FootnoteReference"/>
        </w:rPr>
        <w:footnoteRef/>
      </w:r>
      <w:r>
        <w:t xml:space="preserve"> Cross-references for "the place of my throne": Ps 47:8; Ps 99:1.</w:t>
      </w:r>
    </w:p>
  </w:footnote>
  <w:footnote w:id="13239">
    <w:p>
      <w:pPr>
        <w:pStyle w:val="FootnoteText"/>
      </w:pPr>
      <w:r>
        <w:rPr>
          <w:rStyle w:val="FootnoteReference"/>
        </w:rPr>
        <w:footnoteRef/>
      </w:r>
      <w:r>
        <w:t xml:space="preserve"> Cross-references for "now let": Ezek 18:30-31; Hos 2:2.</w:t>
      </w:r>
    </w:p>
  </w:footnote>
  <w:footnote w:id="13240">
    <w:p>
      <w:pPr>
        <w:pStyle w:val="FootnoteText"/>
      </w:pPr>
      <w:r>
        <w:rPr>
          <w:rStyle w:val="FootnoteReference"/>
        </w:rPr>
        <w:footnoteRef/>
      </w:r>
      <w:r>
        <w:t xml:space="preserve"> Cross-references for "show": Exod 25:40; 1Chr 28:11.</w:t>
      </w:r>
    </w:p>
  </w:footnote>
  <w:footnote w:id="13241">
    <w:p>
      <w:pPr>
        <w:pStyle w:val="FootnoteText"/>
      </w:pPr>
      <w:r>
        <w:rPr>
          <w:rStyle w:val="FootnoteReference"/>
        </w:rPr>
        <w:footnoteRef/>
      </w:r>
      <w:r>
        <w:t xml:space="preserve"> Cross-references for "and do": Ezek 11:20; Ezek 36:27.</w:t>
      </w:r>
    </w:p>
  </w:footnote>
  <w:footnote w:id="13242">
    <w:p>
      <w:pPr>
        <w:pStyle w:val="FootnoteText"/>
      </w:pPr>
      <w:r>
        <w:rPr>
          <w:rStyle w:val="FootnoteReference"/>
        </w:rPr>
        <w:footnoteRef/>
      </w:r>
      <w:r>
        <w:t xml:space="preserve"> Cross-references for "the measures": Exod 27:1-8; 2Chr 4:1.</w:t>
      </w:r>
    </w:p>
  </w:footnote>
  <w:footnote w:id="13243">
    <w:p>
      <w:pPr>
        <w:pStyle w:val="FootnoteText"/>
      </w:pPr>
      <w:r>
        <w:rPr>
          <w:rStyle w:val="FootnoteReference"/>
        </w:rPr>
        <w:footnoteRef/>
      </w:r>
      <w:r>
        <w:t xml:space="preserve"> Cross-references for "twelve cubits": Exod 27:1; 2Chr 4:1.</w:t>
      </w:r>
    </w:p>
  </w:footnote>
  <w:footnote w:id="13244">
    <w:p>
      <w:pPr>
        <w:pStyle w:val="FootnoteText"/>
      </w:pPr>
      <w:r>
        <w:rPr>
          <w:rStyle w:val="FootnoteReference"/>
        </w:rPr>
        <w:footnoteRef/>
      </w:r>
      <w:r>
        <w:t xml:space="preserve"> Cross-references for "to offer": Exod 40:29; Lev 1:5-17.</w:t>
      </w:r>
    </w:p>
  </w:footnote>
  <w:footnote w:id="13245">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3246">
    <w:p>
      <w:pPr>
        <w:pStyle w:val="FootnoteText"/>
      </w:pPr>
      <w:r>
        <w:rPr>
          <w:rStyle w:val="FootnoteReference"/>
        </w:rPr>
        <w:footnoteRef/>
      </w:r>
      <w:r>
        <w:t xml:space="preserve"> Translation note: The Greek identifies these priests by Zadokite descent. The current wording keeps that source-row line visible.</w:t>
      </w:r>
    </w:p>
  </w:footnote>
  <w:footnote w:id="13247">
    <w:p>
      <w:pPr>
        <w:pStyle w:val="FootnoteText"/>
      </w:pPr>
      <w:r>
        <w:rPr>
          <w:rStyle w:val="FootnoteReference"/>
        </w:rPr>
        <w:footnoteRef/>
      </w:r>
      <w:r>
        <w:t xml:space="preserve"> Cross-references for "a young": Exod 29:10-11; Lev 4:3-35.</w:t>
      </w:r>
    </w:p>
  </w:footnote>
  <w:footnote w:id="13248">
    <w:p>
      <w:pPr>
        <w:pStyle w:val="FootnoteText"/>
      </w:pPr>
      <w:r>
        <w:rPr>
          <w:rStyle w:val="FootnoteReference"/>
        </w:rPr>
        <w:footnoteRef/>
      </w:r>
      <w:r>
        <w:t xml:space="preserve"> Cross-references for "take": Exod 29:12; Exod 29:36.</w:t>
      </w:r>
    </w:p>
  </w:footnote>
  <w:footnote w:id="13249">
    <w:p>
      <w:pPr>
        <w:pStyle w:val="FootnoteText"/>
      </w:pPr>
      <w:r>
        <w:rPr>
          <w:rStyle w:val="FootnoteReference"/>
        </w:rPr>
        <w:footnoteRef/>
      </w:r>
      <w:r>
        <w:t xml:space="preserve"> Cross-references for "I will accept": Job 42:8; Ezek 20:40-41.</w:t>
      </w:r>
    </w:p>
  </w:footnote>
  <w:footnote w:id="13250">
    <w:p>
      <w:pPr>
        <w:pStyle w:val="FootnoteText"/>
      </w:pPr>
      <w:r>
        <w:rPr>
          <w:rStyle w:val="FootnoteReference"/>
        </w:rPr>
        <w:footnoteRef/>
      </w:r>
      <w:r>
        <w:t xml:space="preserve"> Cross-references for "to eat": Gen 31:54; Exod 24:9-11.</w:t>
      </w:r>
    </w:p>
  </w:footnote>
  <w:footnote w:id="13251">
    <w:p>
      <w:pPr>
        <w:pStyle w:val="FootnoteText"/>
      </w:pPr>
      <w:r>
        <w:rPr>
          <w:rStyle w:val="FootnoteReference"/>
        </w:rPr>
        <w:footnoteRef/>
      </w:r>
      <w:r>
        <w:t xml:space="preserve"> Cross-references for "and I fell": Gen 17:3; Num 16:42-45.</w:t>
      </w:r>
    </w:p>
  </w:footnote>
  <w:footnote w:id="13252">
    <w:p>
      <w:pPr>
        <w:pStyle w:val="FootnoteText"/>
      </w:pPr>
      <w:r>
        <w:rPr>
          <w:rStyle w:val="FootnoteReference"/>
        </w:rPr>
        <w:footnoteRef/>
      </w:r>
      <w:r>
        <w:t xml:space="preserve"> Cross-references for "uncircumcised in heart": Lev 26:41; Deut 10:16.</w:t>
      </w:r>
    </w:p>
  </w:footnote>
  <w:footnote w:id="13253">
    <w:p>
      <w:pPr>
        <w:pStyle w:val="FootnoteText"/>
      </w:pPr>
      <w:r>
        <w:rPr>
          <w:rStyle w:val="FootnoteReference"/>
        </w:rPr>
        <w:footnoteRef/>
      </w:r>
      <w:r>
        <w:t xml:space="preserve"> Cross-references for "the Levites": 2Kgs 23:8-9; 2Chr 29:4-5.</w:t>
      </w:r>
    </w:p>
  </w:footnote>
  <w:footnote w:id="13254">
    <w:p>
      <w:pPr>
        <w:pStyle w:val="FootnoteText"/>
      </w:pPr>
      <w:r>
        <w:rPr>
          <w:rStyle w:val="FootnoteReference"/>
        </w:rPr>
        <w:footnoteRef/>
      </w:r>
      <w:r>
        <w:t xml:space="preserve"> Cross-references for "they ministered": 1Sam 2:29-30; 2Kgs 16:10-16.</w:t>
      </w:r>
    </w:p>
  </w:footnote>
  <w:footnote w:id="13255">
    <w:p>
      <w:pPr>
        <w:pStyle w:val="FootnoteText"/>
      </w:pPr>
      <w:r>
        <w:rPr>
          <w:rStyle w:val="FootnoteReference"/>
        </w:rPr>
        <w:footnoteRef/>
      </w:r>
      <w:r>
        <w:t xml:space="preserve"> Cross-references for "bear": Ezek 32:20; Ezek 36:7.</w:t>
      </w:r>
    </w:p>
  </w:footnote>
  <w:footnote w:id="13256">
    <w:p>
      <w:pPr>
        <w:pStyle w:val="FootnoteText"/>
      </w:pPr>
      <w:r>
        <w:rPr>
          <w:rStyle w:val="FootnoteReference"/>
        </w:rPr>
        <w:footnoteRef/>
      </w:r>
      <w:r>
        <w:t xml:space="preserve"> Translation note: The Greek uses the Zadokite designation directly. The current wording preserves it.</w:t>
      </w:r>
    </w:p>
  </w:footnote>
  <w:footnote w:id="13257">
    <w:p>
      <w:pPr>
        <w:pStyle w:val="FootnoteText"/>
      </w:pPr>
      <w:r>
        <w:rPr>
          <w:rStyle w:val="FootnoteReference"/>
        </w:rPr>
        <w:footnoteRef/>
      </w:r>
      <w:r>
        <w:t xml:space="preserve"> Cross-references for "the sons": 1Sam 2:35; 1Kgs 2:35.</w:t>
      </w:r>
    </w:p>
  </w:footnote>
  <w:footnote w:id="13258">
    <w:p>
      <w:pPr>
        <w:pStyle w:val="FootnoteText"/>
      </w:pPr>
      <w:r>
        <w:rPr>
          <w:rStyle w:val="FootnoteReference"/>
        </w:rPr>
        <w:footnoteRef/>
      </w:r>
      <w:r>
        <w:t xml:space="preserve"> Cross-references for "keep": Num 18:7-8; Deut 33:8-10.</w:t>
      </w:r>
    </w:p>
  </w:footnote>
  <w:footnote w:id="13259">
    <w:p>
      <w:pPr>
        <w:pStyle w:val="FootnoteText"/>
      </w:pPr>
      <w:r>
        <w:rPr>
          <w:rStyle w:val="FootnoteReference"/>
        </w:rPr>
        <w:footnoteRef/>
      </w:r>
      <w:r>
        <w:t xml:space="preserve"> Cross-references for "sanctify": Exod 29:37; Exod 30:29.</w:t>
      </w:r>
    </w:p>
  </w:footnote>
  <w:footnote w:id="13260">
    <w:p>
      <w:pPr>
        <w:pStyle w:val="FootnoteText"/>
      </w:pPr>
      <w:r>
        <w:rPr>
          <w:rStyle w:val="FootnoteReference"/>
        </w:rPr>
        <w:footnoteRef/>
      </w:r>
      <w:r>
        <w:t xml:space="preserve"> Cross-references for "shave": Lev 21:5-24; Deut 14:1.</w:t>
      </w:r>
    </w:p>
  </w:footnote>
  <w:footnote w:id="13261">
    <w:p>
      <w:pPr>
        <w:pStyle w:val="FootnoteText"/>
      </w:pPr>
      <w:r>
        <w:rPr>
          <w:rStyle w:val="FootnoteReference"/>
        </w:rPr>
        <w:footnoteRef/>
      </w:r>
      <w:r>
        <w:t xml:space="preserve"> Cross-references for "a widow": Lev 21:7; Lev 21:13-14.</w:t>
      </w:r>
    </w:p>
  </w:footnote>
  <w:footnote w:id="13262">
    <w:p>
      <w:pPr>
        <w:pStyle w:val="FootnoteText"/>
      </w:pPr>
      <w:r>
        <w:rPr>
          <w:rStyle w:val="FootnoteReference"/>
        </w:rPr>
        <w:footnoteRef/>
      </w:r>
      <w:r>
        <w:t xml:space="preserve"> Cross-references for "in all": Lev 23:1-44; Neh 8:1-18.</w:t>
      </w:r>
    </w:p>
  </w:footnote>
  <w:footnote w:id="13263">
    <w:p>
      <w:pPr>
        <w:pStyle w:val="FootnoteText"/>
      </w:pPr>
      <w:r>
        <w:rPr>
          <w:rStyle w:val="FootnoteReference"/>
        </w:rPr>
        <w:footnoteRef/>
      </w:r>
      <w:r>
        <w:t xml:space="preserve"> Cross-references for "I am their inheritance": Num 18:20; Deut 10:9.</w:t>
      </w:r>
    </w:p>
  </w:footnote>
  <w:footnote w:id="13264">
    <w:p>
      <w:pPr>
        <w:pStyle w:val="FootnoteText"/>
      </w:pPr>
      <w:r>
        <w:rPr>
          <w:rStyle w:val="FootnoteReference"/>
        </w:rPr>
        <w:footnoteRef/>
      </w:r>
      <w:r>
        <w:t xml:space="preserve"> Cross-references for "and in it": Ezek 48:10.</w:t>
      </w:r>
    </w:p>
  </w:footnote>
  <w:footnote w:id="13265">
    <w:p>
      <w:pPr>
        <w:pStyle w:val="FootnoteText"/>
      </w:pPr>
      <w:r>
        <w:rPr>
          <w:rStyle w:val="FootnoteReference"/>
        </w:rPr>
        <w:footnoteRef/>
      </w:r>
      <w:r>
        <w:t xml:space="preserve"> Cross-references for "Let it": Ezek 44:6; 1Pet 4:3.</w:t>
      </w:r>
    </w:p>
  </w:footnote>
  <w:footnote w:id="13266">
    <w:p>
      <w:pPr>
        <w:pStyle w:val="FootnoteText"/>
      </w:pPr>
      <w:r>
        <w:rPr>
          <w:rStyle w:val="FootnoteReference"/>
        </w:rPr>
        <w:footnoteRef/>
      </w:r>
      <w:r>
        <w:t xml:space="preserve"> Translation note: The Greek opens with a direct rebuke to Israel's rulers. The current wording keeps that line explicit.</w:t>
      </w:r>
    </w:p>
  </w:footnote>
  <w:footnote w:id="13267">
    <w:p>
      <w:pPr>
        <w:pStyle w:val="FootnoteText"/>
      </w:pPr>
      <w:r>
        <w:rPr>
          <w:rStyle w:val="FootnoteReference"/>
        </w:rPr>
        <w:footnoteRef/>
      </w:r>
      <w:r>
        <w:t xml:space="preserve"> Cross-references for "to make": Lev 1:4; Lev 6:30.</w:t>
      </w:r>
    </w:p>
  </w:footnote>
  <w:footnote w:id="13268">
    <w:p>
      <w:pPr>
        <w:pStyle w:val="FootnoteText"/>
      </w:pPr>
      <w:r>
        <w:rPr>
          <w:rStyle w:val="FootnoteReference"/>
        </w:rPr>
        <w:footnoteRef/>
      </w:r>
      <w:r>
        <w:t xml:space="preserve"> Cross-references for "In the first month": Exod 12:2; Num 28:11-15.</w:t>
      </w:r>
    </w:p>
  </w:footnote>
  <w:footnote w:id="13269">
    <w:p>
      <w:pPr>
        <w:pStyle w:val="FootnoteText"/>
      </w:pPr>
      <w:r>
        <w:rPr>
          <w:rStyle w:val="FootnoteReference"/>
        </w:rPr>
        <w:footnoteRef/>
      </w:r>
      <w:r>
        <w:t xml:space="preserve"> Cross-references for "seven days": Lev 23:8.</w:t>
      </w:r>
    </w:p>
  </w:footnote>
  <w:footnote w:id="13270">
    <w:p>
      <w:pPr>
        <w:pStyle w:val="FootnoteText"/>
      </w:pPr>
      <w:r>
        <w:rPr>
          <w:rStyle w:val="FootnoteReference"/>
        </w:rPr>
        <w:footnoteRef/>
      </w:r>
      <w:r>
        <w:t xml:space="preserve"> Cross-references for "in the seventh": Lev 23:33-43; Num 29:12-38.</w:t>
      </w:r>
    </w:p>
  </w:footnote>
  <w:footnote w:id="13271">
    <w:p>
      <w:pPr>
        <w:pStyle w:val="FootnoteText"/>
      </w:pPr>
      <w:r>
        <w:rPr>
          <w:rStyle w:val="FootnoteReference"/>
        </w:rPr>
        <w:footnoteRef/>
      </w:r>
      <w:r>
        <w:t xml:space="preserve"> Cross-references for "six working": Gen 3:19; Exod 20:9.</w:t>
      </w:r>
    </w:p>
  </w:footnote>
  <w:footnote w:id="13272">
    <w:p>
      <w:pPr>
        <w:pStyle w:val="FootnoteText"/>
      </w:pPr>
      <w:r>
        <w:rPr>
          <w:rStyle w:val="FootnoteReference"/>
        </w:rPr>
        <w:footnoteRef/>
      </w:r>
      <w:r>
        <w:t xml:space="preserve"> Cross-references for "the porch": John 10:1-3.</w:t>
      </w:r>
    </w:p>
  </w:footnote>
  <w:footnote w:id="13273">
    <w:p>
      <w:pPr>
        <w:pStyle w:val="FootnoteText"/>
      </w:pPr>
      <w:r>
        <w:rPr>
          <w:rStyle w:val="FootnoteReference"/>
        </w:rPr>
        <w:footnoteRef/>
      </w:r>
      <w:r>
        <w:t xml:space="preserve"> Cross-references for "a continual": Heb 7:27; Heb 9:26.</w:t>
      </w:r>
    </w:p>
  </w:footnote>
  <w:footnote w:id="13274">
    <w:p>
      <w:pPr>
        <w:pStyle w:val="FootnoteText"/>
      </w:pPr>
      <w:r>
        <w:rPr>
          <w:rStyle w:val="FootnoteReference"/>
        </w:rPr>
        <w:footnoteRef/>
      </w:r>
      <w:r>
        <w:t xml:space="preserve"> Cross-references for "my people": Ezek 34:3-6; Ezek 34:21.</w:t>
      </w:r>
    </w:p>
  </w:footnote>
  <w:footnote w:id="13275">
    <w:p>
      <w:pPr>
        <w:pStyle w:val="FootnoteText"/>
      </w:pPr>
      <w:r>
        <w:rPr>
          <w:rStyle w:val="FootnoteReference"/>
        </w:rPr>
        <w:footnoteRef/>
      </w:r>
      <w:r>
        <w:t xml:space="preserve"> Cross-references for "to sanctify": Ezek 44:19.</w:t>
      </w:r>
    </w:p>
  </w:footnote>
  <w:footnote w:id="13276">
    <w:p>
      <w:pPr>
        <w:pStyle w:val="FootnoteText"/>
      </w:pPr>
      <w:r>
        <w:rPr>
          <w:rStyle w:val="FootnoteReference"/>
        </w:rPr>
        <w:footnoteRef/>
      </w:r>
      <w:r>
        <w:t xml:space="preserve"> Cross-references for "bank": 1Kgs 9:26; 2Kgs 2:13.</w:t>
      </w:r>
    </w:p>
  </w:footnote>
  <w:footnote w:id="13277">
    <w:p>
      <w:pPr>
        <w:pStyle w:val="FootnoteText"/>
      </w:pPr>
      <w:r>
        <w:rPr>
          <w:rStyle w:val="FootnoteReference"/>
        </w:rPr>
        <w:footnoteRef/>
      </w:r>
      <w:r>
        <w:t xml:space="preserve"> Cross-references for "the waters": 2Kgs 2:19-22; Isa 11:6-9.</w:t>
      </w:r>
    </w:p>
  </w:footnote>
  <w:footnote w:id="13278">
    <w:p>
      <w:pPr>
        <w:pStyle w:val="FootnoteText"/>
      </w:pPr>
      <w:r>
        <w:rPr>
          <w:rStyle w:val="FootnoteReference"/>
        </w:rPr>
        <w:footnoteRef/>
      </w:r>
      <w:r>
        <w:t xml:space="preserve"> Cross-references for "fishers": Matt 4:19; Matt 13:47-50.</w:t>
      </w:r>
    </w:p>
  </w:footnote>
  <w:footnote w:id="13279">
    <w:p>
      <w:pPr>
        <w:pStyle w:val="FootnoteText"/>
      </w:pPr>
      <w:r>
        <w:rPr>
          <w:rStyle w:val="FootnoteReference"/>
        </w:rPr>
        <w:footnoteRef/>
      </w:r>
      <w:r>
        <w:t xml:space="preserve"> Cross-references for "given": Deut 29:23; Judg 9:45.</w:t>
      </w:r>
    </w:p>
  </w:footnote>
  <w:footnote w:id="13280">
    <w:p>
      <w:pPr>
        <w:pStyle w:val="FootnoteText"/>
      </w:pPr>
      <w:r>
        <w:rPr>
          <w:rStyle w:val="FootnoteReference"/>
        </w:rPr>
        <w:footnoteRef/>
      </w:r>
      <w:r>
        <w:t xml:space="preserve"> Cross-references for "by the river": Ps 92:12; Isa 60:21.</w:t>
      </w:r>
    </w:p>
  </w:footnote>
  <w:footnote w:id="13281">
    <w:p>
      <w:pPr>
        <w:pStyle w:val="FootnoteText"/>
      </w:pPr>
      <w:r>
        <w:rPr>
          <w:rStyle w:val="FootnoteReference"/>
        </w:rPr>
        <w:footnoteRef/>
      </w:r>
      <w:r>
        <w:t xml:space="preserve"> Cross-references for "fall": Prov 16:33; Ezek 48:29.</w:t>
      </w:r>
    </w:p>
  </w:footnote>
  <w:footnote w:id="13282">
    <w:p>
      <w:pPr>
        <w:pStyle w:val="FootnoteText"/>
      </w:pPr>
      <w:r>
        <w:rPr>
          <w:rStyle w:val="FootnoteReference"/>
        </w:rPr>
        <w:footnoteRef/>
      </w:r>
      <w:r>
        <w:t xml:space="preserve"> Place name: Zedad. Place-name meaning: Zedad — his side; his hunting. Source form: Zedad. Greek form: σεδδαδα.</w:t>
      </w:r>
    </w:p>
  </w:footnote>
  <w:footnote w:id="13283">
    <w:p>
      <w:pPr>
        <w:pStyle w:val="FootnoteText"/>
      </w:pPr>
      <w:r>
        <w:rPr>
          <w:rStyle w:val="FootnoteReference"/>
        </w:rPr>
        <w:footnoteRef/>
      </w:r>
      <w:r>
        <w:t xml:space="preserve"> Cross-references for "Zedad": Num 34:8.</w:t>
      </w:r>
    </w:p>
  </w:footnote>
  <w:footnote w:id="13284">
    <w:p>
      <w:pPr>
        <w:pStyle w:val="FootnoteText"/>
      </w:pPr>
      <w:r>
        <w:rPr>
          <w:rStyle w:val="FootnoteReference"/>
        </w:rPr>
        <w:footnoteRef/>
      </w:r>
      <w:r>
        <w:t xml:space="preserve"> Cross-references for "Hamath": Num 13:21; Num 34:8.</w:t>
      </w:r>
    </w:p>
  </w:footnote>
  <w:footnote w:id="13285">
    <w:p>
      <w:pPr>
        <w:pStyle w:val="FootnoteText"/>
      </w:pPr>
      <w:r>
        <w:rPr>
          <w:rStyle w:val="FootnoteReference"/>
        </w:rPr>
        <w:footnoteRef/>
      </w:r>
      <w:r>
        <w:t xml:space="preserve"> Place name: Hauran. Place-name meaning: Hauran — cave-land; white region. Source form: Hauran. Greek form: σαυναν.</w:t>
      </w:r>
    </w:p>
  </w:footnote>
  <w:footnote w:id="13286">
    <w:p>
      <w:pPr>
        <w:pStyle w:val="FootnoteText"/>
      </w:pPr>
      <w:r>
        <w:rPr>
          <w:rStyle w:val="FootnoteReference"/>
        </w:rPr>
        <w:footnoteRef/>
      </w:r>
      <w:r>
        <w:t xml:space="preserve"> Place name: Hazar-enan. Place-name meaning: Hazarenan — imprisoned cloud. Standard English equivalent: Hazarenan. Source form: Hazar-enan. Greek form: αιναν.</w:t>
      </w:r>
    </w:p>
  </w:footnote>
  <w:footnote w:id="13287">
    <w:p>
      <w:pPr>
        <w:pStyle w:val="FootnoteText"/>
      </w:pPr>
      <w:r>
        <w:rPr>
          <w:rStyle w:val="FootnoteReference"/>
        </w:rPr>
        <w:footnoteRef/>
      </w:r>
      <w:r>
        <w:t xml:space="preserve"> Transliterated proper noun: Gileaditis. Standard English equivalent: Gileadites. Source form: Gileaditis. Greek form: γαλααδιτιδος. Name meaning: the heap or mass of testimony.</w:t>
      </w:r>
    </w:p>
  </w:footnote>
  <w:footnote w:id="13288">
    <w:p>
      <w:pPr>
        <w:pStyle w:val="FootnoteText"/>
      </w:pPr>
      <w:r>
        <w:rPr>
          <w:rStyle w:val="FootnoteReference"/>
        </w:rPr>
        <w:footnoteRef/>
      </w:r>
      <w:r>
        <w:t xml:space="preserve"> Cross-references for "Jordan": Gen 13:10; Job 40:23.</w:t>
      </w:r>
    </w:p>
  </w:footnote>
  <w:footnote w:id="13289">
    <w:p>
      <w:pPr>
        <w:pStyle w:val="FootnoteText"/>
      </w:pPr>
      <w:r>
        <w:rPr>
          <w:rStyle w:val="FootnoteReference"/>
        </w:rPr>
        <w:footnoteRef/>
      </w:r>
      <w:r>
        <w:t xml:space="preserve"> Place name: Meribah. Place-name meaning: Meribah — strife; contention. Source form: Meribah. Greek form: μαριμωθ.</w:t>
      </w:r>
    </w:p>
  </w:footnote>
  <w:footnote w:id="13290">
    <w:p>
      <w:pPr>
        <w:pStyle w:val="FootnoteText"/>
      </w:pPr>
      <w:r>
        <w:rPr>
          <w:rStyle w:val="FootnoteReference"/>
        </w:rPr>
        <w:footnoteRef/>
      </w:r>
      <w:r>
        <w:t xml:space="preserve"> Cross-references for "the names": Exod 1:1-5; Num 1:5-15.</w:t>
      </w:r>
    </w:p>
  </w:footnote>
  <w:footnote w:id="13291">
    <w:p>
      <w:pPr>
        <w:pStyle w:val="FootnoteText"/>
      </w:pPr>
      <w:r>
        <w:rPr>
          <w:rStyle w:val="FootnoteReference"/>
        </w:rPr>
        <w:footnoteRef/>
      </w:r>
      <w:r>
        <w:t xml:space="preserve"> Cross-references for "Asher": Gen 30:12-13; Josh 19:24-31.</w:t>
      </w:r>
    </w:p>
  </w:footnote>
  <w:footnote w:id="13292">
    <w:p>
      <w:pPr>
        <w:pStyle w:val="FootnoteText"/>
      </w:pPr>
      <w:r>
        <w:rPr>
          <w:rStyle w:val="FootnoteReference"/>
        </w:rPr>
        <w:footnoteRef/>
      </w:r>
      <w:r>
        <w:t xml:space="preserve"> Cross-references for "Naphtali": Gen 30:7-8; Josh 19:32-39.</w:t>
      </w:r>
    </w:p>
  </w:footnote>
  <w:footnote w:id="13293">
    <w:p>
      <w:pPr>
        <w:pStyle w:val="FootnoteText"/>
      </w:pPr>
      <w:r>
        <w:rPr>
          <w:rStyle w:val="FootnoteReference"/>
        </w:rPr>
        <w:footnoteRef/>
      </w:r>
      <w:r>
        <w:t xml:space="preserve"> Cross-references for "Manasseh": Gen 30:22-24; Gen 41:51.</w:t>
      </w:r>
    </w:p>
  </w:footnote>
  <w:footnote w:id="13294">
    <w:p>
      <w:pPr>
        <w:pStyle w:val="FootnoteText"/>
      </w:pPr>
      <w:r>
        <w:rPr>
          <w:rStyle w:val="FootnoteReference"/>
        </w:rPr>
        <w:footnoteRef/>
      </w:r>
      <w:r>
        <w:t xml:space="preserve"> Cross-references for "Ephraim": Josh 16:1-10; Josh 17:8-10.</w:t>
      </w:r>
    </w:p>
  </w:footnote>
  <w:footnote w:id="13295">
    <w:p>
      <w:pPr>
        <w:pStyle w:val="FootnoteText"/>
      </w:pPr>
      <w:r>
        <w:rPr>
          <w:rStyle w:val="FootnoteReference"/>
        </w:rPr>
        <w:footnoteRef/>
      </w:r>
      <w:r>
        <w:t xml:space="preserve"> Cross-references for "Reuben": Gen 29:32; Gen 49:3-4.</w:t>
      </w:r>
    </w:p>
  </w:footnote>
  <w:footnote w:id="13296">
    <w:p>
      <w:pPr>
        <w:pStyle w:val="FootnoteText"/>
      </w:pPr>
      <w:r>
        <w:rPr>
          <w:rStyle w:val="FootnoteReference"/>
        </w:rPr>
        <w:footnoteRef/>
      </w:r>
      <w:r>
        <w:t xml:space="preserve"> Cross-references for "Judah": Gen 29:35; Josh 15:1-63.</w:t>
      </w:r>
    </w:p>
  </w:footnote>
  <w:footnote w:id="13297">
    <w:p>
      <w:pPr>
        <w:pStyle w:val="FootnoteText"/>
      </w:pPr>
      <w:r>
        <w:rPr>
          <w:rStyle w:val="FootnoteReference"/>
        </w:rPr>
        <w:footnoteRef/>
      </w:r>
      <w:r>
        <w:t xml:space="preserve"> Cross-references for "for the priests": Num 35:1-9; Josh 21:1-45.</w:t>
      </w:r>
    </w:p>
  </w:footnote>
  <w:footnote w:id="13298">
    <w:p>
      <w:pPr>
        <w:pStyle w:val="FootnoteText"/>
      </w:pPr>
      <w:r>
        <w:rPr>
          <w:rStyle w:val="FootnoteReference"/>
        </w:rPr>
        <w:footnoteRef/>
      </w:r>
      <w:r>
        <w:t xml:space="preserve"> Cross-references for "the sons": Ezek 40:46; Ezek 43:19.</w:t>
      </w:r>
    </w:p>
  </w:footnote>
  <w:footnote w:id="13299">
    <w:p>
      <w:pPr>
        <w:pStyle w:val="FootnoteText"/>
      </w:pPr>
      <w:r>
        <w:rPr>
          <w:rStyle w:val="FootnoteReference"/>
        </w:rPr>
        <w:footnoteRef/>
      </w:r>
      <w:r>
        <w:t xml:space="preserve"> Cross-references for "for the city": Ezek 42:15; Ezek 45:1.</w:t>
      </w:r>
    </w:p>
  </w:footnote>
  <w:footnote w:id="13300">
    <w:p>
      <w:pPr>
        <w:pStyle w:val="FootnoteText"/>
      </w:pPr>
      <w:r>
        <w:rPr>
          <w:rStyle w:val="FootnoteReference"/>
        </w:rPr>
        <w:footnoteRef/>
      </w:r>
      <w:r>
        <w:t xml:space="preserve"> Cross-references for "Benjamin": Gen 35:16-19; Josh 18:21-28.</w:t>
      </w:r>
    </w:p>
  </w:footnote>
  <w:footnote w:id="13301">
    <w:p>
      <w:pPr>
        <w:pStyle w:val="FootnoteText"/>
      </w:pPr>
      <w:r>
        <w:rPr>
          <w:rStyle w:val="FootnoteReference"/>
        </w:rPr>
        <w:footnoteRef/>
      </w:r>
      <w:r>
        <w:t xml:space="preserve"> Cross-references for "Simeon": Gen 29:33; Gen 49:5-7.</w:t>
      </w:r>
    </w:p>
  </w:footnote>
  <w:footnote w:id="13302">
    <w:p>
      <w:pPr>
        <w:pStyle w:val="FootnoteText"/>
      </w:pPr>
      <w:r>
        <w:rPr>
          <w:rStyle w:val="FootnoteReference"/>
        </w:rPr>
        <w:footnoteRef/>
      </w:r>
      <w:r>
        <w:t xml:space="preserve"> Cross-references for "Issachar": Gen 30:14-18; Josh 19:17-23.</w:t>
      </w:r>
    </w:p>
  </w:footnote>
  <w:footnote w:id="13303">
    <w:p>
      <w:pPr>
        <w:pStyle w:val="FootnoteText"/>
      </w:pPr>
      <w:r>
        <w:rPr>
          <w:rStyle w:val="FootnoteReference"/>
        </w:rPr>
        <w:footnoteRef/>
      </w:r>
      <w:r>
        <w:t xml:space="preserve"> Cross-references for "Zebulun": Gen 30:19-20; Josh 19:10-16.</w:t>
      </w:r>
    </w:p>
  </w:footnote>
  <w:footnote w:id="13304">
    <w:p>
      <w:pPr>
        <w:pStyle w:val="FootnoteText"/>
      </w:pPr>
      <w:r>
        <w:rPr>
          <w:rStyle w:val="FootnoteReference"/>
        </w:rPr>
        <w:footnoteRef/>
      </w:r>
      <w:r>
        <w:t xml:space="preserve"> Cross-references for "the great sea": Ezek 47:15; Ezek 47:19-20.</w:t>
      </w:r>
    </w:p>
  </w:footnote>
  <w:footnote w:id="13305">
    <w:p>
      <w:pPr>
        <w:pStyle w:val="FootnoteText"/>
      </w:pPr>
      <w:r>
        <w:rPr>
          <w:rStyle w:val="FootnoteReference"/>
        </w:rPr>
        <w:footnoteRef/>
      </w:r>
      <w:r>
        <w:t xml:space="preserve"> Cross-references for "four": Ezek 42:15-16.</w:t>
      </w:r>
    </w:p>
  </w:footnote>
  <w:footnote w:id="13306">
    <w:p>
      <w:pPr>
        <w:pStyle w:val="FootnoteText"/>
      </w:pPr>
      <w:r>
        <w:rPr>
          <w:rStyle w:val="FootnoteReference"/>
        </w:rPr>
        <w:footnoteRef/>
      </w:r>
      <w:r>
        <w:t xml:space="preserve"> Cross-references for "and the name": Gen 22:14; Jer 33:16.</w:t>
      </w:r>
    </w:p>
  </w:footnote>
  <w:footnote w:id="13307">
    <w:p>
      <w:pPr>
        <w:pStyle w:val="FootnoteText"/>
      </w:pPr>
      <w:r>
        <w:rPr>
          <w:rStyle w:val="FootnoteReference"/>
        </w:rPr>
        <w:footnoteRef/>
      </w:r>
      <w:r>
        <w:t xml:space="preserve"> Hebrew divine name/title: Yahweh Shammah (</w:t>
      </w:r>
      <w:r>
        <w:rPr>
          <w:lang w:val="he-IL" w:bidi="he-IL"/>
          <w:rtl/>
        </w:rPr>
        <w:t xml:space="preserve">יְהוָה שָׁמָּה</w:t>
      </w:r>
      <w:r>
        <w:t xml:space="preserve">) — The LORD is there. Common English rendering: The LORD is there. The closing name of Ezekiel’s restored city, centered on God’s abiding presence.</w:t>
      </w:r>
    </w:p>
  </w:footnote>
  <w:footnote w:id="13308">
    <w:p>
      <w:pPr>
        <w:pStyle w:val="FootnoteText"/>
      </w:pPr>
      <w:r>
        <w:rPr>
          <w:rStyle w:val="FootnoteReference"/>
        </w:rPr>
        <w:footnoteRef/>
      </w:r>
      <w:r>
        <w:t xml:space="preserve"> Greek LXX divine name/title: Kyrios ekei (Κύριος ἐκεῖ) — The Lord is there. Common English rendering: The Lord Is There. The LXX city-name line is translated The Lord Is There.</w:t>
      </w:r>
    </w:p>
  </w:footnote>
  <w:footnote w:id="13309">
    <w:p>
      <w:pPr>
        <w:pStyle w:val="FootnoteText"/>
      </w:pPr>
      <w:r>
        <w:rPr>
          <w:rStyle w:val="FootnoteReference"/>
        </w:rPr>
        <w:footnoteRef/>
      </w:r>
      <w:r>
        <w:t xml:space="preserve"> Cross-references for "the Lord": Deut 28:49-52; Deut 32:30.</w:t>
      </w:r>
    </w:p>
  </w:footnote>
  <w:footnote w:id="13310">
    <w:p>
      <w:pPr>
        <w:pStyle w:val="FootnoteText"/>
      </w:pPr>
      <w:r>
        <w:rPr>
          <w:rStyle w:val="FootnoteReference"/>
        </w:rPr>
        <w:footnoteRef/>
      </w:r>
      <w:r>
        <w:t xml:space="preserve"> Personal name: Ashpenaz. Personal-name meaning: Ashpenaz — horse-nose; chief eunuch of Nebuchadnezzar. Source form: Ashpenaz.</w:t>
      </w:r>
    </w:p>
  </w:footnote>
  <w:footnote w:id="13311">
    <w:p>
      <w:pPr>
        <w:pStyle w:val="FootnoteText"/>
      </w:pPr>
      <w:r>
        <w:rPr>
          <w:rStyle w:val="FootnoteReference"/>
        </w:rPr>
        <w:footnoteRef/>
      </w:r>
      <w:r>
        <w:t xml:space="preserve"> Cross-references for "Daniel": Ezek 14:14; Ezek 14:20.</w:t>
      </w:r>
    </w:p>
  </w:footnote>
  <w:footnote w:id="13312">
    <w:p>
      <w:pPr>
        <w:pStyle w:val="FootnoteText"/>
      </w:pPr>
      <w:r>
        <w:rPr>
          <w:rStyle w:val="FootnoteReference"/>
        </w:rPr>
        <w:footnoteRef/>
      </w:r>
      <w:r>
        <w:t xml:space="preserve"> Personal name: Belteshazzar. Personal-name meaning: Belteshazzar — who lays up treasures in secret. Source form: Belteshazzar.</w:t>
      </w:r>
    </w:p>
  </w:footnote>
  <w:footnote w:id="13313">
    <w:p>
      <w:pPr>
        <w:pStyle w:val="FootnoteText"/>
      </w:pPr>
      <w:r>
        <w:rPr>
          <w:rStyle w:val="FootnoteReference"/>
        </w:rPr>
        <w:footnoteRef/>
      </w:r>
      <w:r>
        <w:t xml:space="preserve"> Cross-references for "Hananiah": Dan 2:49; Dan 3:12-30.</w:t>
      </w:r>
    </w:p>
  </w:footnote>
  <w:footnote w:id="13314">
    <w:p>
      <w:pPr>
        <w:pStyle w:val="FootnoteText"/>
      </w:pPr>
      <w:r>
        <w:rPr>
          <w:rStyle w:val="FootnoteReference"/>
        </w:rPr>
        <w:footnoteRef/>
      </w:r>
      <w:r>
        <w:t xml:space="preserve"> Personal name: Shadrach. Personal-name meaning: Shadrach — tender, nipple. Source form: Shadrach.</w:t>
      </w:r>
    </w:p>
  </w:footnote>
  <w:footnote w:id="13315">
    <w:p>
      <w:pPr>
        <w:pStyle w:val="FootnoteText"/>
      </w:pPr>
      <w:r>
        <w:rPr>
          <w:rStyle w:val="FootnoteReference"/>
        </w:rPr>
        <w:footnoteRef/>
      </w:r>
      <w:r>
        <w:t xml:space="preserve"> Personal name: Meshach. Personal-name meaning: Meshach — that draws with force. Source form: Meshach.</w:t>
      </w:r>
    </w:p>
  </w:footnote>
  <w:footnote w:id="13316">
    <w:p>
      <w:pPr>
        <w:pStyle w:val="FootnoteText"/>
      </w:pPr>
      <w:r>
        <w:rPr>
          <w:rStyle w:val="FootnoteReference"/>
        </w:rPr>
        <w:footnoteRef/>
      </w:r>
      <w:r>
        <w:t xml:space="preserve"> Personal name: Abednego. Personal-name meaning: Abednego — servant of light; shining. Source form: Abednego.</w:t>
      </w:r>
    </w:p>
  </w:footnote>
  <w:footnote w:id="13317">
    <w:p>
      <w:pPr>
        <w:pStyle w:val="FootnoteText"/>
      </w:pPr>
      <w:r>
        <w:rPr>
          <w:rStyle w:val="FootnoteReference"/>
        </w:rPr>
        <w:footnoteRef/>
      </w:r>
      <w:r>
        <w:t xml:space="preserve"> Cross-references for "I fear": Prov 29:25; John 12:42-43.</w:t>
      </w:r>
    </w:p>
  </w:footnote>
  <w:footnote w:id="13318">
    <w:p>
      <w:pPr>
        <w:pStyle w:val="FootnoteText"/>
      </w:pPr>
      <w:r>
        <w:rPr>
          <w:rStyle w:val="FootnoteReference"/>
        </w:rPr>
        <w:footnoteRef/>
      </w:r>
      <w:r>
        <w:t xml:space="preserve"> Transliterated proper noun: Abiesdri. Standard English equivalent: Melzar. Source form: Abiesdri. Greek form: αβιεσδρι. Name meaning: master of wine; chief butler; steward.</w:t>
      </w:r>
    </w:p>
  </w:footnote>
  <w:footnote w:id="13319">
    <w:p>
      <w:pPr>
        <w:pStyle w:val="FootnoteText"/>
      </w:pPr>
      <w:r>
        <w:rPr>
          <w:rStyle w:val="FootnoteReference"/>
        </w:rPr>
        <w:footnoteRef/>
      </w:r>
      <w:r>
        <w:t xml:space="preserve"> Cross-references for "Melzar": Dan 1:16.</w:t>
      </w:r>
    </w:p>
  </w:footnote>
  <w:footnote w:id="13320">
    <w:p>
      <w:pPr>
        <w:pStyle w:val="FootnoteText"/>
      </w:pPr>
      <w:r>
        <w:rPr>
          <w:rStyle w:val="FootnoteReference"/>
        </w:rPr>
        <w:footnoteRef/>
      </w:r>
      <w:r>
        <w:t xml:space="preserve"> Cross-references for "their": Exod 23:25; Deut 28:1-14.</w:t>
      </w:r>
    </w:p>
  </w:footnote>
  <w:footnote w:id="13321">
    <w:p>
      <w:pPr>
        <w:pStyle w:val="FootnoteText"/>
      </w:pPr>
      <w:r>
        <w:rPr>
          <w:rStyle w:val="FootnoteReference"/>
        </w:rPr>
        <w:footnoteRef/>
      </w:r>
      <w:r>
        <w:t xml:space="preserve"> Cross-references for "in all": 1Kgs 4:29-34; 1Kgs 10:1-3.</w:t>
      </w:r>
    </w:p>
  </w:footnote>
  <w:footnote w:id="13322">
    <w:p>
      <w:pPr>
        <w:pStyle w:val="FootnoteText"/>
      </w:pPr>
      <w:r>
        <w:rPr>
          <w:rStyle w:val="FootnoteReference"/>
        </w:rPr>
        <w:footnoteRef/>
      </w:r>
      <w:r>
        <w:t xml:space="preserve"> Cross-references for "the second": Jer 25:1.</w:t>
      </w:r>
    </w:p>
  </w:footnote>
  <w:footnote w:id="13323">
    <w:p>
      <w:pPr>
        <w:pStyle w:val="FootnoteText"/>
      </w:pPr>
      <w:r>
        <w:rPr>
          <w:rStyle w:val="FootnoteReference"/>
        </w:rPr>
        <w:footnoteRef/>
      </w:r>
      <w:r>
        <w:t xml:space="preserve"> Cross-references for "Tell": Gen 41:8; Isa 44:25.</w:t>
      </w:r>
    </w:p>
  </w:footnote>
  <w:footnote w:id="13324">
    <w:p>
      <w:pPr>
        <w:pStyle w:val="FootnoteText"/>
      </w:pPr>
      <w:r>
        <w:rPr>
          <w:rStyle w:val="FootnoteReference"/>
        </w:rPr>
        <w:footnoteRef/>
      </w:r>
      <w:r>
        <w:t xml:space="preserve"> Cross-references for "made": Deut 13:16; Josh 6:26.</w:t>
      </w:r>
    </w:p>
  </w:footnote>
  <w:footnote w:id="13325">
    <w:p>
      <w:pPr>
        <w:pStyle w:val="FootnoteText"/>
      </w:pPr>
      <w:r>
        <w:rPr>
          <w:rStyle w:val="FootnoteReference"/>
        </w:rPr>
        <w:footnoteRef/>
      </w:r>
      <w:r>
        <w:t xml:space="preserve"> Cross-references for "the time": Dan 2:21; Dan 5:28.</w:t>
      </w:r>
    </w:p>
  </w:footnote>
  <w:footnote w:id="13326">
    <w:p>
      <w:pPr>
        <w:pStyle w:val="FootnoteText"/>
      </w:pPr>
      <w:r>
        <w:rPr>
          <w:rStyle w:val="FootnoteReference"/>
        </w:rPr>
        <w:footnoteRef/>
      </w:r>
      <w:r>
        <w:t xml:space="preserve"> Cross-references for "the decree": Ps 94:20; Prov 28:15-17.</w:t>
      </w:r>
    </w:p>
  </w:footnote>
  <w:footnote w:id="13327">
    <w:p>
      <w:pPr>
        <w:pStyle w:val="FootnoteText"/>
      </w:pPr>
      <w:r>
        <w:rPr>
          <w:rStyle w:val="FootnoteReference"/>
        </w:rPr>
        <w:footnoteRef/>
      </w:r>
      <w:r>
        <w:t xml:space="preserve"> Cross-references for "made": Dan 2:9.</w:t>
      </w:r>
    </w:p>
  </w:footnote>
  <w:footnote w:id="13328">
    <w:p>
      <w:pPr>
        <w:pStyle w:val="FootnoteText"/>
      </w:pPr>
      <w:r>
        <w:rPr>
          <w:rStyle w:val="FootnoteReference"/>
        </w:rPr>
        <w:footnoteRef/>
      </w:r>
      <w:r>
        <w:t xml:space="preserve"> Cross-references for "Hananiah": Dan 1:7; Dan 1:11.</w:t>
      </w:r>
    </w:p>
  </w:footnote>
  <w:footnote w:id="13329">
    <w:p>
      <w:pPr>
        <w:pStyle w:val="FootnoteText"/>
      </w:pPr>
      <w:r>
        <w:rPr>
          <w:rStyle w:val="FootnoteReference"/>
        </w:rPr>
        <w:footnoteRef/>
      </w:r>
      <w:r>
        <w:t xml:space="preserve"> Cross-references for "blessed": Gen 14:20; 1Kgs 8:56.</w:t>
      </w:r>
    </w:p>
  </w:footnote>
  <w:footnote w:id="13330">
    <w:p>
      <w:pPr>
        <w:pStyle w:val="FootnoteText"/>
      </w:pPr>
      <w:r>
        <w:rPr>
          <w:rStyle w:val="FootnoteReference"/>
        </w:rPr>
        <w:footnoteRef/>
      </w:r>
      <w:r>
        <w:t xml:space="preserve"> Cross-references for "Arioch": Dan 2:15.</w:t>
      </w:r>
    </w:p>
  </w:footnote>
  <w:footnote w:id="13331">
    <w:p>
      <w:pPr>
        <w:pStyle w:val="FootnoteText"/>
      </w:pPr>
      <w:r>
        <w:rPr>
          <w:rStyle w:val="FootnoteReference"/>
        </w:rPr>
        <w:footnoteRef/>
      </w:r>
      <w:r>
        <w:t xml:space="preserve"> Cross-references for "brought": Prov 24:11; Eccl 9:10.</w:t>
      </w:r>
    </w:p>
  </w:footnote>
  <w:footnote w:id="13332">
    <w:p>
      <w:pPr>
        <w:pStyle w:val="FootnoteText"/>
      </w:pPr>
      <w:r>
        <w:rPr>
          <w:rStyle w:val="FootnoteReference"/>
        </w:rPr>
        <w:footnoteRef/>
      </w:r>
      <w:r>
        <w:t xml:space="preserve"> Cross-references for "Daniel": Dan 1:7; Dan 4:8.</w:t>
      </w:r>
    </w:p>
  </w:footnote>
  <w:footnote w:id="13333">
    <w:p>
      <w:pPr>
        <w:pStyle w:val="FootnoteText"/>
      </w:pPr>
      <w:r>
        <w:rPr>
          <w:rStyle w:val="FootnoteReference"/>
        </w:rPr>
        <w:footnoteRef/>
      </w:r>
      <w:r>
        <w:t xml:space="preserve"> Cross-references for "cannot": Job 5:12-13; Isa 19:3.</w:t>
      </w:r>
    </w:p>
  </w:footnote>
  <w:footnote w:id="13334">
    <w:p>
      <w:pPr>
        <w:pStyle w:val="FootnoteText"/>
      </w:pPr>
      <w:r>
        <w:rPr>
          <w:rStyle w:val="FootnoteReference"/>
        </w:rPr>
        <w:footnoteRef/>
      </w:r>
      <w:r>
        <w:t xml:space="preserve"> Cross-references for "a God": Ps 115:3; Matt 6:9.</w:t>
      </w:r>
    </w:p>
  </w:footnote>
  <w:footnote w:id="13335">
    <w:p>
      <w:pPr>
        <w:pStyle w:val="FootnoteText"/>
      </w:pPr>
      <w:r>
        <w:rPr>
          <w:rStyle w:val="FootnoteReference"/>
        </w:rPr>
        <w:footnoteRef/>
      </w:r>
      <w:r>
        <w:t xml:space="preserve"> Cross-references for "head": Isa 14:4; Jer 51:7.</w:t>
      </w:r>
    </w:p>
  </w:footnote>
  <w:footnote w:id="13336">
    <w:p>
      <w:pPr>
        <w:pStyle w:val="FootnoteText"/>
      </w:pPr>
      <w:r>
        <w:rPr>
          <w:rStyle w:val="FootnoteReference"/>
        </w:rPr>
        <w:footnoteRef/>
      </w:r>
      <w:r>
        <w:t xml:space="preserve"> Cross-references for "a stone": Ps 118:22; Isa 28:16.</w:t>
      </w:r>
    </w:p>
  </w:footnote>
  <w:footnote w:id="13337">
    <w:p>
      <w:pPr>
        <w:pStyle w:val="FootnoteText"/>
      </w:pPr>
      <w:r>
        <w:rPr>
          <w:rStyle w:val="FootnoteReference"/>
        </w:rPr>
        <w:footnoteRef/>
      </w:r>
      <w:r>
        <w:t xml:space="preserve"> Cross-references for "became": Isa 2:2-3; Mic 4:1-2.</w:t>
      </w:r>
    </w:p>
  </w:footnote>
  <w:footnote w:id="13338">
    <w:p>
      <w:pPr>
        <w:pStyle w:val="FootnoteText"/>
      </w:pPr>
      <w:r>
        <w:rPr>
          <w:rStyle w:val="FootnoteReference"/>
        </w:rPr>
        <w:footnoteRef/>
      </w:r>
      <w:r>
        <w:t xml:space="preserve"> Cross-references for "another kingdom": Isa 44:28; Isa 45:1-5.</w:t>
      </w:r>
    </w:p>
  </w:footnote>
  <w:footnote w:id="13339">
    <w:p>
      <w:pPr>
        <w:pStyle w:val="FootnoteText"/>
      </w:pPr>
      <w:r>
        <w:rPr>
          <w:rStyle w:val="FootnoteReference"/>
        </w:rPr>
        <w:footnoteRef/>
      </w:r>
      <w:r>
        <w:t xml:space="preserve"> Cross-references for "the toes": Dan 7:24; Rev 13:1.</w:t>
      </w:r>
    </w:p>
  </w:footnote>
  <w:footnote w:id="13340">
    <w:p>
      <w:pPr>
        <w:pStyle w:val="FootnoteText"/>
      </w:pPr>
      <w:r>
        <w:rPr>
          <w:rStyle w:val="FootnoteReference"/>
        </w:rPr>
        <w:footnoteRef/>
      </w:r>
      <w:r>
        <w:t xml:space="preserve"> Cross-references for "in the days": Ruth 1:1.</w:t>
      </w:r>
    </w:p>
  </w:footnote>
  <w:footnote w:id="13341">
    <w:p>
      <w:pPr>
        <w:pStyle w:val="FootnoteText"/>
      </w:pPr>
      <w:r>
        <w:rPr>
          <w:rStyle w:val="FootnoteReference"/>
        </w:rPr>
        <w:footnoteRef/>
      </w:r>
      <w:r>
        <w:t xml:space="preserve"> Cross-references for "without hands": Dan 2:34; Luke 17:20.</w:t>
      </w:r>
    </w:p>
  </w:footnote>
  <w:footnote w:id="13342">
    <w:p>
      <w:pPr>
        <w:pStyle w:val="FootnoteText"/>
      </w:pPr>
      <w:r>
        <w:rPr>
          <w:rStyle w:val="FootnoteReference"/>
        </w:rPr>
        <w:footnoteRef/>
      </w:r>
      <w:r>
        <w:t xml:space="preserve"> Cross-references for "fell": Luke 17:16; Acts 10:25.</w:t>
      </w:r>
    </w:p>
  </w:footnote>
  <w:footnote w:id="13343">
    <w:p>
      <w:pPr>
        <w:pStyle w:val="FootnoteText"/>
      </w:pPr>
      <w:r>
        <w:rPr>
          <w:rStyle w:val="FootnoteReference"/>
        </w:rPr>
        <w:footnoteRef/>
      </w:r>
      <w:r>
        <w:t xml:space="preserve"> Cross-references for "ruler": Dan 5:29; Dan 6:1-2.</w:t>
      </w:r>
    </w:p>
  </w:footnote>
  <w:footnote w:id="13344">
    <w:p>
      <w:pPr>
        <w:pStyle w:val="FootnoteText"/>
      </w:pPr>
      <w:r>
        <w:rPr>
          <w:rStyle w:val="FootnoteReference"/>
        </w:rPr>
        <w:footnoteRef/>
      </w:r>
      <w:r>
        <w:t xml:space="preserve"> Cross-references for "made": Exod 20:23; Exod 32:2-4.</w:t>
      </w:r>
    </w:p>
  </w:footnote>
  <w:footnote w:id="13345">
    <w:p>
      <w:pPr>
        <w:pStyle w:val="FootnoteText"/>
      </w:pPr>
      <w:r>
        <w:rPr>
          <w:rStyle w:val="FootnoteReference"/>
        </w:rPr>
        <w:footnoteRef/>
      </w:r>
      <w:r>
        <w:t xml:space="preserve"> Cross-references for "sent": Exod 32:4-6; Num 25:2.</w:t>
      </w:r>
    </w:p>
  </w:footnote>
  <w:footnote w:id="13346">
    <w:p>
      <w:pPr>
        <w:pStyle w:val="FootnoteText"/>
      </w:pPr>
      <w:r>
        <w:rPr>
          <w:rStyle w:val="FootnoteReference"/>
        </w:rPr>
        <w:footnoteRef/>
      </w:r>
      <w:r>
        <w:t xml:space="preserve"> Cross-references for "it is commanded": Hos 5:11; Mic 6:16.</w:t>
      </w:r>
    </w:p>
  </w:footnote>
  <w:footnote w:id="13347">
    <w:p>
      <w:pPr>
        <w:pStyle w:val="FootnoteText"/>
      </w:pPr>
      <w:r>
        <w:rPr>
          <w:rStyle w:val="FootnoteReference"/>
        </w:rPr>
        <w:footnoteRef/>
      </w:r>
      <w:r>
        <w:t xml:space="preserve"> Cross-references for "and accused": Ezra 4:12-16; Dan 6:12-13.</w:t>
      </w:r>
    </w:p>
  </w:footnote>
  <w:footnote w:id="13348">
    <w:p>
      <w:pPr>
        <w:pStyle w:val="FootnoteText"/>
      </w:pPr>
      <w:r>
        <w:rPr>
          <w:rStyle w:val="FootnoteReference"/>
        </w:rPr>
        <w:footnoteRef/>
      </w:r>
      <w:r>
        <w:t xml:space="preserve"> Cross-references for "king": Dan 3:4-5.</w:t>
      </w:r>
    </w:p>
  </w:footnote>
  <w:footnote w:id="13349">
    <w:p>
      <w:pPr>
        <w:pStyle w:val="FootnoteText"/>
      </w:pPr>
      <w:r>
        <w:rPr>
          <w:rStyle w:val="FootnoteReference"/>
        </w:rPr>
        <w:footnoteRef/>
      </w:r>
      <w:r>
        <w:t xml:space="preserve"> Cross-references for "certain": 1Sam 18:7-11; Prov 27:4.</w:t>
      </w:r>
    </w:p>
  </w:footnote>
  <w:footnote w:id="13350">
    <w:p>
      <w:pPr>
        <w:pStyle w:val="FootnoteText"/>
      </w:pPr>
      <w:r>
        <w:rPr>
          <w:rStyle w:val="FootnoteReference"/>
        </w:rPr>
        <w:footnoteRef/>
      </w:r>
      <w:r>
        <w:t xml:space="preserve"> Cross-references for "my gods": Isa 46:1; Jer 50:2.</w:t>
      </w:r>
    </w:p>
  </w:footnote>
  <w:footnote w:id="13351">
    <w:p>
      <w:pPr>
        <w:pStyle w:val="FootnoteText"/>
      </w:pPr>
      <w:r>
        <w:rPr>
          <w:rStyle w:val="FootnoteReference"/>
        </w:rPr>
        <w:footnoteRef/>
      </w:r>
      <w:r>
        <w:t xml:space="preserve"> Cross-references for "than": 1Kgs 18:33-35; Matt 27:63-66.</w:t>
      </w:r>
    </w:p>
  </w:footnote>
  <w:footnote w:id="13352">
    <w:p>
      <w:pPr>
        <w:pStyle w:val="FootnoteText"/>
      </w:pPr>
      <w:r>
        <w:rPr>
          <w:rStyle w:val="FootnoteReference"/>
        </w:rPr>
        <w:footnoteRef/>
      </w:r>
      <w:r>
        <w:t xml:space="preserve"> Cross-references for "to bind": Dan 3:15; Acts 12:4-5.</w:t>
      </w:r>
    </w:p>
  </w:footnote>
  <w:footnote w:id="13353">
    <w:p>
      <w:pPr>
        <w:pStyle w:val="FootnoteText"/>
      </w:pPr>
      <w:r>
        <w:rPr>
          <w:rStyle w:val="FootnoteReference"/>
        </w:rPr>
        <w:footnoteRef/>
      </w:r>
      <w:r>
        <w:t xml:space="preserve"> Cross-references for "urgent": Exod 12:33.</w:t>
      </w:r>
    </w:p>
  </w:footnote>
  <w:footnote w:id="13354">
    <w:p>
      <w:pPr>
        <w:pStyle w:val="FootnoteText"/>
      </w:pPr>
      <w:r>
        <w:rPr>
          <w:rStyle w:val="FootnoteReference"/>
        </w:rPr>
        <w:footnoteRef/>
      </w:r>
      <w:r>
        <w:t xml:space="preserve"> Cross-references for "walking": Isa 43:2.</w:t>
      </w:r>
    </w:p>
  </w:footnote>
  <w:footnote w:id="13355">
    <w:p>
      <w:pPr>
        <w:pStyle w:val="FootnoteText"/>
      </w:pPr>
      <w:r>
        <w:rPr>
          <w:rStyle w:val="FootnoteReference"/>
        </w:rPr>
        <w:footnoteRef/>
      </w:r>
      <w:r>
        <w:t xml:space="preserve"> Cross-references for "the Most": Gen 14:18.</w:t>
      </w:r>
    </w:p>
  </w:footnote>
  <w:footnote w:id="13356">
    <w:p>
      <w:pPr>
        <w:pStyle w:val="FootnoteText"/>
      </w:pPr>
      <w:r>
        <w:rPr>
          <w:rStyle w:val="FootnoteReference"/>
        </w:rPr>
        <w:footnoteRef/>
      </w:r>
      <w:r>
        <w:t xml:space="preserve"> Cross-references for "Blessed": Gen 9:26; Ezra 1:3.</w:t>
      </w:r>
    </w:p>
  </w:footnote>
  <w:footnote w:id="13357">
    <w:p>
      <w:pPr>
        <w:pStyle w:val="FootnoteText"/>
      </w:pPr>
      <w:r>
        <w:rPr>
          <w:rStyle w:val="FootnoteReference"/>
        </w:rPr>
        <w:footnoteRef/>
      </w:r>
      <w:r>
        <w:t xml:space="preserve"> Translation note: The Greek says God sent his angel to rescue the faithful servants. The current wording keeps angel language explicit in the deliverance scene.</w:t>
      </w:r>
    </w:p>
  </w:footnote>
  <w:footnote w:id="13358">
    <w:p>
      <w:pPr>
        <w:pStyle w:val="FootnoteText"/>
      </w:pPr>
      <w:r>
        <w:rPr>
          <w:rStyle w:val="FootnoteReference"/>
        </w:rPr>
        <w:footnoteRef/>
      </w:r>
      <w:r>
        <w:t xml:space="preserve"> Cross-references for "a dream": Gen 41:1; Job 7:13-14.</w:t>
      </w:r>
    </w:p>
  </w:footnote>
  <w:footnote w:id="13359">
    <w:p>
      <w:pPr>
        <w:pStyle w:val="FootnoteText"/>
      </w:pPr>
      <w:r>
        <w:rPr>
          <w:rStyle w:val="FootnoteReference"/>
        </w:rPr>
        <w:footnoteRef/>
      </w:r>
      <w:r>
        <w:t xml:space="preserve"> Cross-references for "reached": Gen 11:4; Deut 9:1.</w:t>
      </w:r>
    </w:p>
  </w:footnote>
  <w:footnote w:id="13360">
    <w:p>
      <w:pPr>
        <w:pStyle w:val="FootnoteText"/>
      </w:pPr>
      <w:r>
        <w:rPr>
          <w:rStyle w:val="FootnoteReference"/>
        </w:rPr>
        <w:footnoteRef/>
      </w:r>
      <w:r>
        <w:t xml:space="preserve"> Cross-references for "Leave": Job 14:7-9; Ezek 29:14-15.</w:t>
      </w:r>
    </w:p>
  </w:footnote>
  <w:footnote w:id="13361">
    <w:p>
      <w:pPr>
        <w:pStyle w:val="FootnoteText"/>
      </w:pPr>
      <w:r>
        <w:rPr>
          <w:rStyle w:val="FootnoteReference"/>
        </w:rPr>
        <w:footnoteRef/>
      </w:r>
      <w:r>
        <w:t xml:space="preserve"> Cross-references for "Daniel": Dan 1:7; Dan 2:26.</w:t>
      </w:r>
    </w:p>
  </w:footnote>
  <w:footnote w:id="13362">
    <w:p>
      <w:pPr>
        <w:pStyle w:val="FootnoteText"/>
      </w:pPr>
      <w:r>
        <w:rPr>
          <w:rStyle w:val="FootnoteReference"/>
        </w:rPr>
        <w:footnoteRef/>
      </w:r>
      <w:r>
        <w:t xml:space="preserve"> Translation note: Greek Daniel here is longer than the familiar English form. The current wording keeps the expanded source-row line explicit.</w:t>
      </w:r>
    </w:p>
  </w:footnote>
  <w:footnote w:id="13363">
    <w:p>
      <w:pPr>
        <w:pStyle w:val="FootnoteText"/>
      </w:pPr>
      <w:r>
        <w:rPr>
          <w:rStyle w:val="FootnoteReference"/>
        </w:rPr>
        <w:footnoteRef/>
      </w:r>
      <w:r>
        <w:t xml:space="preserve"> Cross-references for "the kingdom": 1Sam 13:14; 1Sam 15:23.</w:t>
      </w:r>
    </w:p>
  </w:footnote>
  <w:footnote w:id="13364">
    <w:p>
      <w:pPr>
        <w:pStyle w:val="FootnoteText"/>
      </w:pPr>
      <w:r>
        <w:rPr>
          <w:rStyle w:val="FootnoteReference"/>
        </w:rPr>
        <w:footnoteRef/>
      </w:r>
      <w:r>
        <w:t xml:space="preserve"> Translation note: Greek Daniel here is longer than the familiar English form. The current wording keeps the long first-person expansion rather than collapsing it into the shorter tradition.</w:t>
      </w:r>
    </w:p>
  </w:footnote>
  <w:footnote w:id="13365">
    <w:p>
      <w:pPr>
        <w:pStyle w:val="FootnoteText"/>
      </w:pPr>
      <w:r>
        <w:rPr>
          <w:rStyle w:val="FootnoteReference"/>
        </w:rPr>
        <w:footnoteRef/>
      </w:r>
      <w:r>
        <w:t xml:space="preserve"> Translation note: The Greek keeps the heavenly-holy confession explicit. The current wording preserves that line.</w:t>
      </w:r>
    </w:p>
  </w:footnote>
  <w:footnote w:id="13366">
    <w:p>
      <w:pPr>
        <w:pStyle w:val="FootnoteText"/>
      </w:pPr>
      <w:r>
        <w:rPr>
          <w:rStyle w:val="FootnoteReference"/>
        </w:rPr>
        <w:footnoteRef/>
      </w:r>
      <w:r>
        <w:t xml:space="preserve"> Cross-references for "the Most High": Ps 7:17; Ps 9:2.</w:t>
      </w:r>
    </w:p>
  </w:footnote>
  <w:footnote w:id="13367">
    <w:p>
      <w:pPr>
        <w:pStyle w:val="FootnoteText"/>
      </w:pPr>
      <w:r>
        <w:rPr>
          <w:rStyle w:val="FootnoteReference"/>
        </w:rPr>
        <w:footnoteRef/>
      </w:r>
      <w:r>
        <w:t xml:space="preserve"> Textual note: Greek preserves a long Nebuchadnezzar doxology and royal circular after the restoration notice. Main text keeps that expanded witness rather than shortening to the briefer form.</w:t>
      </w:r>
    </w:p>
  </w:footnote>
  <w:footnote w:id="13368">
    <w:p>
      <w:pPr>
        <w:pStyle w:val="FootnoteText"/>
      </w:pPr>
      <w:r>
        <w:rPr>
          <w:rStyle w:val="FootnoteReference"/>
        </w:rPr>
        <w:footnoteRef/>
      </w:r>
      <w:r>
        <w:t xml:space="preserve"> Personal name: Belshazzar. Personal-name meaning: Belshazzar — master of the treasure. Source form: Belshazzar.</w:t>
      </w:r>
    </w:p>
  </w:footnote>
  <w:footnote w:id="13369">
    <w:p>
      <w:pPr>
        <w:pStyle w:val="FootnoteText"/>
      </w:pPr>
      <w:r>
        <w:rPr>
          <w:rStyle w:val="FootnoteReference"/>
        </w:rPr>
        <w:footnoteRef/>
      </w:r>
      <w:r>
        <w:t xml:space="preserve"> Cross-references for "made": Gen 40:20; Isa 21:4-5.</w:t>
      </w:r>
    </w:p>
  </w:footnote>
  <w:footnote w:id="13370">
    <w:p>
      <w:pPr>
        <w:pStyle w:val="FootnoteText"/>
      </w:pPr>
      <w:r>
        <w:rPr>
          <w:rStyle w:val="FootnoteReference"/>
        </w:rPr>
        <w:footnoteRef/>
      </w:r>
      <w:r>
        <w:t xml:space="preserve"> Cross-references for "father": 2Sam 9:7; 2Kgs 8:25-27.</w:t>
      </w:r>
    </w:p>
  </w:footnote>
  <w:footnote w:id="13371">
    <w:p>
      <w:pPr>
        <w:pStyle w:val="FootnoteText"/>
      </w:pPr>
      <w:r>
        <w:rPr>
          <w:rStyle w:val="FootnoteReference"/>
        </w:rPr>
        <w:footnoteRef/>
      </w:r>
      <w:r>
        <w:t xml:space="preserve"> Cross-references for "wrote": Dan 5:8; Dan 5:15.</w:t>
      </w:r>
    </w:p>
  </w:footnote>
  <w:footnote w:id="13372">
    <w:p>
      <w:pPr>
        <w:pStyle w:val="FootnoteText"/>
      </w:pPr>
      <w:r>
        <w:rPr>
          <w:rStyle w:val="FootnoteReference"/>
        </w:rPr>
        <w:footnoteRef/>
      </w:r>
      <w:r>
        <w:t xml:space="preserve"> Cross-references for "Darius": Dan 5:31; 1Pet 2:14.</w:t>
      </w:r>
    </w:p>
  </w:footnote>
  <w:footnote w:id="13373">
    <w:p>
      <w:pPr>
        <w:pStyle w:val="FootnoteText"/>
      </w:pPr>
      <w:r>
        <w:rPr>
          <w:rStyle w:val="FootnoteReference"/>
        </w:rPr>
        <w:footnoteRef/>
      </w:r>
      <w:r>
        <w:t xml:space="preserve"> Cross-references for "king": Dan 2:4; Dan 3:9.</w:t>
      </w:r>
    </w:p>
  </w:footnote>
  <w:footnote w:id="13374">
    <w:p>
      <w:pPr>
        <w:pStyle w:val="FootnoteText"/>
      </w:pPr>
      <w:r>
        <w:rPr>
          <w:rStyle w:val="FootnoteReference"/>
        </w:rPr>
        <w:footnoteRef/>
      </w:r>
      <w:r>
        <w:t xml:space="preserve"> Cross-references for "the lions": Ps 54:5; Isa 38:13.</w:t>
      </w:r>
    </w:p>
  </w:footnote>
  <w:footnote w:id="13375">
    <w:p>
      <w:pPr>
        <w:pStyle w:val="FootnoteText"/>
      </w:pPr>
      <w:r>
        <w:rPr>
          <w:rStyle w:val="FootnoteReference"/>
        </w:rPr>
        <w:footnoteRef/>
      </w:r>
      <w:r>
        <w:t xml:space="preserve"> Cross-references for "Belshazzar": Jer 27:7; Dan 5:1.</w:t>
      </w:r>
    </w:p>
  </w:footnote>
  <w:footnote w:id="13376">
    <w:p>
      <w:pPr>
        <w:pStyle w:val="FootnoteText"/>
      </w:pPr>
      <w:r>
        <w:rPr>
          <w:rStyle w:val="FootnoteReference"/>
        </w:rPr>
        <w:footnoteRef/>
      </w:r>
      <w:r>
        <w:t xml:space="preserve"> Place name: Babylonia. Place-name meaning: Babylon — confusion; mixture. Standard English equivalent: Babylon. Source form: Babylonia. Greek form: βαβυλωνιας.</w:t>
      </w:r>
    </w:p>
  </w:footnote>
  <w:footnote w:id="13377">
    <w:p>
      <w:pPr>
        <w:pStyle w:val="FootnoteText"/>
      </w:pPr>
      <w:r>
        <w:rPr>
          <w:rStyle w:val="FootnoteReference"/>
        </w:rPr>
        <w:footnoteRef/>
      </w:r>
      <w:r>
        <w:t xml:space="preserve"> Cross-references for "the great": Rev 17:15.</w:t>
      </w:r>
    </w:p>
  </w:footnote>
  <w:footnote w:id="13378">
    <w:p>
      <w:pPr>
        <w:pStyle w:val="FootnoteText"/>
      </w:pPr>
      <w:r>
        <w:rPr>
          <w:rStyle w:val="FootnoteReference"/>
        </w:rPr>
        <w:footnoteRef/>
      </w:r>
      <w:r>
        <w:t xml:space="preserve"> Cross-references for "four": Dan 2:32-33; Dan 2:37-40.</w:t>
      </w:r>
    </w:p>
  </w:footnote>
  <w:footnote w:id="13379">
    <w:p>
      <w:pPr>
        <w:pStyle w:val="FootnoteText"/>
      </w:pPr>
      <w:r>
        <w:rPr>
          <w:rStyle w:val="FootnoteReference"/>
        </w:rPr>
        <w:footnoteRef/>
      </w:r>
      <w:r>
        <w:t xml:space="preserve"> Cross-references for "lifted": Isa 14:13-17; Jer 25:9-26.</w:t>
      </w:r>
    </w:p>
  </w:footnote>
  <w:footnote w:id="13380">
    <w:p>
      <w:pPr>
        <w:pStyle w:val="FootnoteText"/>
      </w:pPr>
      <w:r>
        <w:rPr>
          <w:rStyle w:val="FootnoteReference"/>
        </w:rPr>
        <w:footnoteRef/>
      </w:r>
      <w:r>
        <w:t xml:space="preserve"> Cross-references for "another": 2Kgs 2:24; Prov 17:12.</w:t>
      </w:r>
    </w:p>
  </w:footnote>
  <w:footnote w:id="13381">
    <w:p>
      <w:pPr>
        <w:pStyle w:val="FootnoteText"/>
      </w:pPr>
      <w:r>
        <w:rPr>
          <w:rStyle w:val="FootnoteReference"/>
        </w:rPr>
        <w:footnoteRef/>
      </w:r>
      <w:r>
        <w:t xml:space="preserve"> Cross-references for "four wings": Ezek 17:3; Dan 7:4.</w:t>
      </w:r>
    </w:p>
  </w:footnote>
  <w:footnote w:id="13382">
    <w:p>
      <w:pPr>
        <w:pStyle w:val="FootnoteText"/>
      </w:pPr>
      <w:r>
        <w:rPr>
          <w:rStyle w:val="FootnoteReference"/>
        </w:rPr>
        <w:footnoteRef/>
      </w:r>
      <w:r>
        <w:t xml:space="preserve"> Cross-references for "a fourth": 2Sam 22:43; Dan 2:40.</w:t>
      </w:r>
    </w:p>
  </w:footnote>
  <w:footnote w:id="13383">
    <w:p>
      <w:pPr>
        <w:pStyle w:val="FootnoteText"/>
      </w:pPr>
      <w:r>
        <w:rPr>
          <w:rStyle w:val="FootnoteReference"/>
        </w:rPr>
        <w:footnoteRef/>
      </w:r>
      <w:r>
        <w:t xml:space="preserve"> Cross-references for "another": Dan 7:20-25; Dan 8:9-12.</w:t>
      </w:r>
    </w:p>
  </w:footnote>
  <w:footnote w:id="13384">
    <w:p>
      <w:pPr>
        <w:pStyle w:val="FootnoteText"/>
      </w:pPr>
      <w:r>
        <w:rPr>
          <w:rStyle w:val="FootnoteReference"/>
        </w:rPr>
        <w:footnoteRef/>
      </w:r>
      <w:r>
        <w:t xml:space="preserve"> Greek LXX divine name/title: Palaios hemeron (παλαιὸς ἡμερῶν) — Ancient of Days. Common English rendering: Ancient of Days. The LXX keeps Daniel's title Ancient of Days.</w:t>
      </w:r>
    </w:p>
  </w:footnote>
  <w:footnote w:id="13385">
    <w:p>
      <w:pPr>
        <w:pStyle w:val="FootnoteText"/>
      </w:pPr>
      <w:r>
        <w:rPr>
          <w:rStyle w:val="FootnoteReference"/>
        </w:rPr>
        <w:footnoteRef/>
      </w:r>
      <w:r>
        <w:t xml:space="preserve"> Hebrew divine name/title: Attiq Yomin (</w:t>
      </w:r>
      <w:r>
        <w:rPr>
          <w:lang w:val="he-IL" w:bidi="he-IL"/>
          <w:rtl/>
        </w:rPr>
        <w:t xml:space="preserve">עַתִּיק יוֹמִין</w:t>
      </w:r>
      <w:r>
        <w:t xml:space="preserve">) — Ancient of Days. Common English rendering: Ancient of days. Daniel’s majestic vision-title for God’s eternal authority and righteous judgment.</w:t>
      </w:r>
    </w:p>
  </w:footnote>
  <w:footnote w:id="13386">
    <w:p>
      <w:pPr>
        <w:pStyle w:val="FootnoteText"/>
      </w:pPr>
      <w:r>
        <w:rPr>
          <w:rStyle w:val="FootnoteReference"/>
        </w:rPr>
        <w:footnoteRef/>
      </w:r>
      <w:r>
        <w:t xml:space="preserve"> Cross-references for "the Ancient": Ps 90:2; Ps 102:24-25.</w:t>
      </w:r>
    </w:p>
  </w:footnote>
  <w:footnote w:id="13387">
    <w:p>
      <w:pPr>
        <w:pStyle w:val="FootnoteText"/>
      </w:pPr>
      <w:r>
        <w:rPr>
          <w:rStyle w:val="FootnoteReference"/>
        </w:rPr>
        <w:footnoteRef/>
      </w:r>
      <w:r>
        <w:t xml:space="preserve"> Cross-references for "one like": Ps 8:4-5; Isa 9:6-7.</w:t>
      </w:r>
    </w:p>
  </w:footnote>
  <w:footnote w:id="13388">
    <w:p>
      <w:pPr>
        <w:pStyle w:val="FootnoteText"/>
      </w:pPr>
      <w:r>
        <w:rPr>
          <w:rStyle w:val="FootnoteReference"/>
        </w:rPr>
        <w:footnoteRef/>
      </w:r>
      <w:r>
        <w:t xml:space="preserve"> MT/LXX note: The Greek wording can read that the one like a son of man was present as Ancient of Days, unlike the familiar MT-shaped wording where he comes to the Ancient of Days. This edition keeps the LXX wording visible.</w:t>
      </w:r>
    </w:p>
  </w:footnote>
  <w:footnote w:id="13389">
    <w:p>
      <w:pPr>
        <w:pStyle w:val="FootnoteText"/>
      </w:pPr>
      <w:r>
        <w:rPr>
          <w:rStyle w:val="FootnoteReference"/>
        </w:rPr>
        <w:footnoteRef/>
      </w:r>
      <w:r>
        <w:t xml:space="preserve"> Cross-references for "given": Ps 2:6-8; Ps 8:6.</w:t>
      </w:r>
    </w:p>
  </w:footnote>
  <w:footnote w:id="13390">
    <w:p>
      <w:pPr>
        <w:pStyle w:val="FootnoteText"/>
      </w:pPr>
      <w:r>
        <w:rPr>
          <w:rStyle w:val="FootnoteReference"/>
        </w:rPr>
        <w:footnoteRef/>
      </w:r>
      <w:r>
        <w:t xml:space="preserve"> Cross-references for "great": Dan 2:37-40; Dan 7:3-4.</w:t>
      </w:r>
    </w:p>
  </w:footnote>
  <w:footnote w:id="13391">
    <w:p>
      <w:pPr>
        <w:pStyle w:val="FootnoteText"/>
      </w:pPr>
      <w:r>
        <w:rPr>
          <w:rStyle w:val="FootnoteReference"/>
        </w:rPr>
        <w:footnoteRef/>
      </w:r>
      <w:r>
        <w:t xml:space="preserve"> Cross-references for "Most High": Eph 1:3; Eph 6:12.</w:t>
      </w:r>
    </w:p>
  </w:footnote>
  <w:footnote w:id="13392">
    <w:p>
      <w:pPr>
        <w:pStyle w:val="FootnoteText"/>
      </w:pPr>
      <w:r>
        <w:rPr>
          <w:rStyle w:val="FootnoteReference"/>
        </w:rPr>
        <w:footnoteRef/>
      </w:r>
      <w:r>
        <w:t xml:space="preserve"> Cross-references for "the fourth": Dan 2:40-43; Dan 7:7.</w:t>
      </w:r>
    </w:p>
  </w:footnote>
  <w:footnote w:id="13393">
    <w:p>
      <w:pPr>
        <w:pStyle w:val="FootnoteText"/>
      </w:pPr>
      <w:r>
        <w:rPr>
          <w:rStyle w:val="FootnoteReference"/>
        </w:rPr>
        <w:footnoteRef/>
      </w:r>
      <w:r>
        <w:t xml:space="preserve"> Cross-references for "the Ancient": Dan 7:9-11; 2Thess 2:8.</w:t>
      </w:r>
    </w:p>
  </w:footnote>
  <w:footnote w:id="13394">
    <w:p>
      <w:pPr>
        <w:pStyle w:val="FootnoteText"/>
      </w:pPr>
      <w:r>
        <w:rPr>
          <w:rStyle w:val="FootnoteReference"/>
        </w:rPr>
        <w:footnoteRef/>
      </w:r>
      <w:r>
        <w:t xml:space="preserve"> Cross-references for "the fourth": Dan 2:40; Dan 7:7.</w:t>
      </w:r>
    </w:p>
  </w:footnote>
  <w:footnote w:id="13395">
    <w:p>
      <w:pPr>
        <w:pStyle w:val="FootnoteText"/>
      </w:pPr>
      <w:r>
        <w:rPr>
          <w:rStyle w:val="FootnoteReference"/>
        </w:rPr>
        <w:footnoteRef/>
      </w:r>
      <w:r>
        <w:t xml:space="preserve"> Cross-references for "the ten": Dan 7:20; Rev 12:3.</w:t>
      </w:r>
    </w:p>
  </w:footnote>
  <w:footnote w:id="13396">
    <w:p>
      <w:pPr>
        <w:pStyle w:val="FootnoteText"/>
      </w:pPr>
      <w:r>
        <w:rPr>
          <w:rStyle w:val="FootnoteReference"/>
        </w:rPr>
        <w:footnoteRef/>
      </w:r>
      <w:r>
        <w:t xml:space="preserve"> Cross-references for "a time": Dan 4:25; Dan 4:32.</w:t>
      </w:r>
    </w:p>
  </w:footnote>
  <w:footnote w:id="13397">
    <w:p>
      <w:pPr>
        <w:pStyle w:val="FootnoteText"/>
      </w:pPr>
      <w:r>
        <w:rPr>
          <w:rStyle w:val="FootnoteReference"/>
        </w:rPr>
        <w:footnoteRef/>
      </w:r>
      <w:r>
        <w:t xml:space="preserve"> Cross-references for "the kingdom and": Ps 149:5-9; Isa 49:23-26.</w:t>
      </w:r>
    </w:p>
  </w:footnote>
  <w:footnote w:id="13398">
    <w:p>
      <w:pPr>
        <w:pStyle w:val="FootnoteText"/>
      </w:pPr>
      <w:r>
        <w:rPr>
          <w:rStyle w:val="FootnoteReference"/>
        </w:rPr>
        <w:footnoteRef/>
      </w:r>
      <w:r>
        <w:t xml:space="preserve"> Cross-references for "the third": Dan 7:1.</w:t>
      </w:r>
    </w:p>
  </w:footnote>
  <w:footnote w:id="13399">
    <w:p>
      <w:pPr>
        <w:pStyle w:val="FootnoteText"/>
      </w:pPr>
      <w:r>
        <w:rPr>
          <w:rStyle w:val="FootnoteReference"/>
        </w:rPr>
        <w:footnoteRef/>
      </w:r>
      <w:r>
        <w:t xml:space="preserve"> Cross-references for "I saw in": Num 12:6; Dan 7:2.</w:t>
      </w:r>
    </w:p>
  </w:footnote>
  <w:footnote w:id="13400">
    <w:p>
      <w:pPr>
        <w:pStyle w:val="FootnoteText"/>
      </w:pPr>
      <w:r>
        <w:rPr>
          <w:rStyle w:val="FootnoteReference"/>
        </w:rPr>
        <w:footnoteRef/>
      </w:r>
      <w:r>
        <w:t xml:space="preserve"> Cross-references for "and there was no": Lev 26:37; Josh 8:20.</w:t>
      </w:r>
    </w:p>
  </w:footnote>
  <w:footnote w:id="13401">
    <w:p>
      <w:pPr>
        <w:pStyle w:val="FootnoteText"/>
      </w:pPr>
      <w:r>
        <w:rPr>
          <w:rStyle w:val="FootnoteReference"/>
        </w:rPr>
        <w:footnoteRef/>
      </w:r>
      <w:r>
        <w:t xml:space="preserve"> Cross-references for "toward": Dan 7:2; Matt 24:31.</w:t>
      </w:r>
    </w:p>
  </w:footnote>
  <w:footnote w:id="13402">
    <w:p>
      <w:pPr>
        <w:pStyle w:val="FootnoteText"/>
      </w:pPr>
      <w:r>
        <w:rPr>
          <w:rStyle w:val="FootnoteReference"/>
        </w:rPr>
        <w:footnoteRef/>
      </w:r>
      <w:r>
        <w:t xml:space="preserve"> Cross-references for "the vision": Dan 8:11-12.</w:t>
      </w:r>
    </w:p>
  </w:footnote>
  <w:footnote w:id="13403">
    <w:p>
      <w:pPr>
        <w:pStyle w:val="FootnoteText"/>
      </w:pPr>
      <w:r>
        <w:rPr>
          <w:rStyle w:val="FootnoteReference"/>
        </w:rPr>
        <w:footnoteRef/>
      </w:r>
      <w:r>
        <w:t xml:space="preserve"> Cross-references for "days": Dan 8:26.</w:t>
      </w:r>
    </w:p>
  </w:footnote>
  <w:footnote w:id="13404">
    <w:p>
      <w:pPr>
        <w:pStyle w:val="FootnoteText"/>
      </w:pPr>
      <w:r>
        <w:rPr>
          <w:rStyle w:val="FootnoteReference"/>
        </w:rPr>
        <w:footnoteRef/>
      </w:r>
      <w:r>
        <w:t xml:space="preserve"> Cross-references for "sought": Dan 7:16-19; Dan 12:8.</w:t>
      </w:r>
    </w:p>
  </w:footnote>
  <w:footnote w:id="13405">
    <w:p>
      <w:pPr>
        <w:pStyle w:val="FootnoteText"/>
      </w:pPr>
      <w:r>
        <w:rPr>
          <w:rStyle w:val="FootnoteReference"/>
        </w:rPr>
        <w:footnoteRef/>
      </w:r>
      <w:r>
        <w:t xml:space="preserve"> Cross-references for "I heard": Dan 10:11-12; Acts 9:7.</w:t>
      </w:r>
    </w:p>
  </w:footnote>
  <w:footnote w:id="13406">
    <w:p>
      <w:pPr>
        <w:pStyle w:val="FootnoteText"/>
      </w:pPr>
      <w:r>
        <w:rPr>
          <w:rStyle w:val="FootnoteReference"/>
        </w:rPr>
        <w:footnoteRef/>
      </w:r>
      <w:r>
        <w:t xml:space="preserve"> Place name: Ulai. Place-name meaning: Ulai — strength; fool; senseless. Source form: Ulai. Greek form: ουλαι.</w:t>
      </w:r>
    </w:p>
  </w:footnote>
  <w:footnote w:id="13407">
    <w:p>
      <w:pPr>
        <w:pStyle w:val="FootnoteText"/>
      </w:pPr>
      <w:r>
        <w:rPr>
          <w:rStyle w:val="FootnoteReference"/>
        </w:rPr>
        <w:footnoteRef/>
      </w:r>
      <w:r>
        <w:t xml:space="preserve"> Divine or supernatural name: Gabriel. Divine/supernatural-name meaning: Gabriel — God is my strength. Source form: Gabriel.</w:t>
      </w:r>
    </w:p>
  </w:footnote>
  <w:footnote w:id="13408">
    <w:p>
      <w:pPr>
        <w:pStyle w:val="FootnoteText"/>
      </w:pPr>
      <w:r>
        <w:rPr>
          <w:rStyle w:val="FootnoteReference"/>
        </w:rPr>
        <w:footnoteRef/>
      </w:r>
      <w:r>
        <w:t xml:space="preserve"> Cross-references for "I was": Gen 17:3; Ezek 1:28.</w:t>
      </w:r>
    </w:p>
  </w:footnote>
  <w:footnote w:id="13409">
    <w:p>
      <w:pPr>
        <w:pStyle w:val="FootnoteText"/>
      </w:pPr>
      <w:r>
        <w:rPr>
          <w:rStyle w:val="FootnoteReference"/>
        </w:rPr>
        <w:footnoteRef/>
      </w:r>
      <w:r>
        <w:t xml:space="preserve"> Cross-references for "the great": Dan 8:8; Dan 11:3.</w:t>
      </w:r>
    </w:p>
  </w:footnote>
  <w:footnote w:id="13410">
    <w:p>
      <w:pPr>
        <w:pStyle w:val="FootnoteText"/>
      </w:pPr>
      <w:r>
        <w:rPr>
          <w:rStyle w:val="FootnoteReference"/>
        </w:rPr>
        <w:footnoteRef/>
      </w:r>
      <w:r>
        <w:t xml:space="preserve"> Cross-references for "a king": Deut 28:50; Dan 7:8.</w:t>
      </w:r>
    </w:p>
  </w:footnote>
  <w:footnote w:id="13411">
    <w:p>
      <w:pPr>
        <w:pStyle w:val="FootnoteText"/>
      </w:pPr>
      <w:r>
        <w:rPr>
          <w:rStyle w:val="FootnoteReference"/>
        </w:rPr>
        <w:footnoteRef/>
      </w:r>
      <w:r>
        <w:t xml:space="preserve"> Cross-references for "stand": Dan 8:11; Dan 11:36.</w:t>
      </w:r>
    </w:p>
  </w:footnote>
  <w:footnote w:id="13412">
    <w:p>
      <w:pPr>
        <w:pStyle w:val="FootnoteText"/>
      </w:pPr>
      <w:r>
        <w:rPr>
          <w:rStyle w:val="FootnoteReference"/>
        </w:rPr>
        <w:footnoteRef/>
      </w:r>
      <w:r>
        <w:t xml:space="preserve"> Cross-references for "The vision of": Dan 8:11-15; Dan 10:1.</w:t>
      </w:r>
    </w:p>
  </w:footnote>
  <w:footnote w:id="13413">
    <w:p>
      <w:pPr>
        <w:pStyle w:val="FootnoteText"/>
      </w:pPr>
      <w:r>
        <w:rPr>
          <w:rStyle w:val="FootnoteReference"/>
        </w:rPr>
        <w:footnoteRef/>
      </w:r>
      <w:r>
        <w:t xml:space="preserve"> Cross-references for "Darius": Dan 1:21; Dan 5:31.</w:t>
      </w:r>
    </w:p>
  </w:footnote>
  <w:footnote w:id="13414">
    <w:p>
      <w:pPr>
        <w:pStyle w:val="FootnoteText"/>
      </w:pPr>
      <w:r>
        <w:rPr>
          <w:rStyle w:val="FootnoteReference"/>
        </w:rPr>
        <w:footnoteRef/>
      </w:r>
      <w:r>
        <w:t xml:space="preserve"> Personal name: Xerxes. Personal-name meaning: Ahasuerus — prince; head; chief. Standard English equivalent: Ahasuerus. Source form: Xerxes.</w:t>
      </w:r>
    </w:p>
  </w:footnote>
  <w:footnote w:id="13415">
    <w:p>
      <w:pPr>
        <w:pStyle w:val="FootnoteText"/>
      </w:pPr>
      <w:r>
        <w:rPr>
          <w:rStyle w:val="FootnoteReference"/>
        </w:rPr>
        <w:footnoteRef/>
      </w:r>
      <w:r>
        <w:t xml:space="preserve"> Cross-references for "understood": Ps 119:24; Ps 119:99-100.</w:t>
      </w:r>
    </w:p>
  </w:footnote>
  <w:footnote w:id="13416">
    <w:p>
      <w:pPr>
        <w:pStyle w:val="FootnoteText"/>
      </w:pPr>
      <w:r>
        <w:rPr>
          <w:rStyle w:val="FootnoteReference"/>
        </w:rPr>
        <w:footnoteRef/>
      </w:r>
      <w:r>
        <w:t xml:space="preserve"> Cross-references for "I set": Neh 1:4-11; Ps 102:13-17.</w:t>
      </w:r>
    </w:p>
  </w:footnote>
  <w:footnote w:id="13417">
    <w:p>
      <w:pPr>
        <w:pStyle w:val="FootnoteText"/>
      </w:pPr>
      <w:r>
        <w:rPr>
          <w:rStyle w:val="FootnoteReference"/>
        </w:rPr>
        <w:footnoteRef/>
      </w:r>
      <w:r>
        <w:t xml:space="preserve"> Cross-references for "the great": Exod 20:6; Exod 34:6-7.</w:t>
      </w:r>
    </w:p>
  </w:footnote>
  <w:footnote w:id="13418">
    <w:p>
      <w:pPr>
        <w:pStyle w:val="FootnoteText"/>
      </w:pPr>
      <w:r>
        <w:rPr>
          <w:rStyle w:val="FootnoteReference"/>
        </w:rPr>
        <w:footnoteRef/>
      </w:r>
      <w:r>
        <w:t xml:space="preserve"> Translation note: The Greek confession pairs covenant and mercy directly. The current wording keeps both nouns visible instead of collapsing them into one abstract idea.</w:t>
      </w:r>
    </w:p>
  </w:footnote>
  <w:footnote w:id="13419">
    <w:p>
      <w:pPr>
        <w:pStyle w:val="FootnoteText"/>
      </w:pPr>
      <w:r>
        <w:rPr>
          <w:rStyle w:val="FootnoteReference"/>
        </w:rPr>
        <w:footnoteRef/>
      </w:r>
      <w:r>
        <w:t xml:space="preserve"> Cross-references for "our kings": Ezra 9:7; Neh 9:32.</w:t>
      </w:r>
    </w:p>
  </w:footnote>
  <w:footnote w:id="13420">
    <w:p>
      <w:pPr>
        <w:pStyle w:val="FootnoteText"/>
      </w:pPr>
      <w:r>
        <w:rPr>
          <w:rStyle w:val="FootnoteReference"/>
        </w:rPr>
        <w:footnoteRef/>
      </w:r>
      <w:r>
        <w:t xml:space="preserve"> Cross-references for "righteousness": Deut 32:4; Ezra 9:13.</w:t>
      </w:r>
    </w:p>
  </w:footnote>
  <w:footnote w:id="13421">
    <w:p>
      <w:pPr>
        <w:pStyle w:val="FootnoteText"/>
      </w:pPr>
      <w:r>
        <w:rPr>
          <w:rStyle w:val="FootnoteReference"/>
        </w:rPr>
        <w:footnoteRef/>
      </w:r>
      <w:r>
        <w:t xml:space="preserve"> Cross-references for "to us": Dan 9:6-7.</w:t>
      </w:r>
    </w:p>
  </w:footnote>
  <w:footnote w:id="13422">
    <w:p>
      <w:pPr>
        <w:pStyle w:val="FootnoteText"/>
      </w:pPr>
      <w:r>
        <w:rPr>
          <w:rStyle w:val="FootnoteReference"/>
        </w:rPr>
        <w:footnoteRef/>
      </w:r>
      <w:r>
        <w:t xml:space="preserve"> Cross-references for "To the Lord": Exod 34:6-7; Num 14:18-19.</w:t>
      </w:r>
    </w:p>
  </w:footnote>
  <w:footnote w:id="13423">
    <w:p>
      <w:pPr>
        <w:pStyle w:val="FootnoteText"/>
      </w:pPr>
      <w:r>
        <w:rPr>
          <w:rStyle w:val="FootnoteReference"/>
        </w:rPr>
        <w:footnoteRef/>
      </w:r>
      <w:r>
        <w:t xml:space="preserve"> Cross-references for "the curse": Lev 26:14-46; Deut 27:15-26.</w:t>
      </w:r>
    </w:p>
  </w:footnote>
  <w:footnote w:id="13424">
    <w:p>
      <w:pPr>
        <w:pStyle w:val="FootnoteText"/>
      </w:pPr>
      <w:r>
        <w:rPr>
          <w:rStyle w:val="FootnoteReference"/>
        </w:rPr>
        <w:footnoteRef/>
      </w:r>
      <w:r>
        <w:t xml:space="preserve"> Cross-references for "our judges": 1Kgs 3:9; Job 12:17.</w:t>
      </w:r>
    </w:p>
  </w:footnote>
  <w:footnote w:id="13425">
    <w:p>
      <w:pPr>
        <w:pStyle w:val="FootnoteText"/>
      </w:pPr>
      <w:r>
        <w:rPr>
          <w:rStyle w:val="FootnoteReference"/>
        </w:rPr>
        <w:footnoteRef/>
      </w:r>
      <w:r>
        <w:t xml:space="preserve"> Cross-references for "the Lord": Neh 9:33; Ps 51:14.</w:t>
      </w:r>
    </w:p>
  </w:footnote>
  <w:footnote w:id="13426">
    <w:p>
      <w:pPr>
        <w:pStyle w:val="FootnoteText"/>
      </w:pPr>
      <w:r>
        <w:rPr>
          <w:rStyle w:val="FootnoteReference"/>
        </w:rPr>
        <w:footnoteRef/>
      </w:r>
      <w:r>
        <w:t xml:space="preserve"> Cross-references for "Jerusalem": 1Kgs 9:7-9; Ps 41:13.</w:t>
      </w:r>
    </w:p>
  </w:footnote>
  <w:footnote w:id="13427">
    <w:p>
      <w:pPr>
        <w:pStyle w:val="FootnoteText"/>
      </w:pPr>
      <w:r>
        <w:rPr>
          <w:rStyle w:val="FootnoteReference"/>
        </w:rPr>
        <w:footnoteRef/>
      </w:r>
      <w:r>
        <w:t xml:space="preserve"> Cross-references for "Incline": 1Kgs 8:29; 2Kgs 19:16.</w:t>
      </w:r>
    </w:p>
  </w:footnote>
  <w:footnote w:id="13428">
    <w:p>
      <w:pPr>
        <w:pStyle w:val="FootnoteText"/>
      </w:pPr>
      <w:r>
        <w:rPr>
          <w:rStyle w:val="FootnoteReference"/>
        </w:rPr>
        <w:footnoteRef/>
      </w:r>
      <w:r>
        <w:t xml:space="preserve"> Cross-references for "confessing": Eccl 7:20; Isa 6:5.</w:t>
      </w:r>
    </w:p>
  </w:footnote>
  <w:footnote w:id="13429">
    <w:p>
      <w:pPr>
        <w:pStyle w:val="FootnoteText"/>
      </w:pPr>
      <w:r>
        <w:rPr>
          <w:rStyle w:val="FootnoteReference"/>
        </w:rPr>
        <w:footnoteRef/>
      </w:r>
      <w:r>
        <w:t xml:space="preserve"> Cross-references for "the man": Dan 8:16; Dan 10:16.</w:t>
      </w:r>
    </w:p>
  </w:footnote>
  <w:footnote w:id="13430">
    <w:p>
      <w:pPr>
        <w:pStyle w:val="FootnoteText"/>
      </w:pPr>
      <w:r>
        <w:rPr>
          <w:rStyle w:val="FootnoteReference"/>
        </w:rPr>
        <w:footnoteRef/>
      </w:r>
      <w:r>
        <w:t xml:space="preserve"> Cross-references for "the beginning": Dan 10:12.</w:t>
      </w:r>
    </w:p>
  </w:footnote>
  <w:footnote w:id="13431">
    <w:p>
      <w:pPr>
        <w:pStyle w:val="FootnoteText"/>
      </w:pPr>
      <w:r>
        <w:rPr>
          <w:rStyle w:val="FootnoteReference"/>
        </w:rPr>
        <w:footnoteRef/>
      </w:r>
      <w:r>
        <w:t xml:space="preserve"> Cross-references for "Seventy weeks": Lev 25:8; Num 14:34.</w:t>
      </w:r>
    </w:p>
  </w:footnote>
  <w:footnote w:id="13432">
    <w:p>
      <w:pPr>
        <w:pStyle w:val="FootnoteText"/>
      </w:pPr>
      <w:r>
        <w:rPr>
          <w:rStyle w:val="FootnoteReference"/>
        </w:rPr>
        <w:footnoteRef/>
      </w:r>
      <w:r>
        <w:t xml:space="preserve"> Cross-references for "and understand": Dan 9:23; Matt 13:23.</w:t>
      </w:r>
    </w:p>
  </w:footnote>
  <w:footnote w:id="13433">
    <w:p>
      <w:pPr>
        <w:pStyle w:val="FootnoteText"/>
      </w:pPr>
      <w:r>
        <w:rPr>
          <w:rStyle w:val="FootnoteReference"/>
        </w:rPr>
        <w:footnoteRef/>
      </w:r>
      <w:r>
        <w:t xml:space="preserve"> MT/LXX note: The Greek source row here differs sharply from the Theodotion/MT-shaped wording often associated with the seventy-weeks prophecy. This edition keeps the Greek source wording rather than importing the familiar command-to-restore-Jerusalem wording.</w:t>
      </w:r>
    </w:p>
  </w:footnote>
  <w:footnote w:id="13434">
    <w:p>
      <w:pPr>
        <w:pStyle w:val="FootnoteText"/>
      </w:pPr>
      <w:r>
        <w:rPr>
          <w:rStyle w:val="FootnoteReference"/>
        </w:rPr>
        <w:footnoteRef/>
      </w:r>
      <w:r>
        <w:t xml:space="preserve"> Cross-references for "Cyrus": 2Chr 36:22-23; Ezra 1:1-2.</w:t>
      </w:r>
    </w:p>
  </w:footnote>
  <w:footnote w:id="13435">
    <w:p>
      <w:pPr>
        <w:pStyle w:val="FootnoteText"/>
      </w:pPr>
      <w:r>
        <w:rPr>
          <w:rStyle w:val="FootnoteReference"/>
        </w:rPr>
        <w:footnoteRef/>
      </w:r>
      <w:r>
        <w:t xml:space="preserve"> Cross-references for "I ate": Isa 24:6-11; Dan 6:18.</w:t>
      </w:r>
    </w:p>
  </w:footnote>
  <w:footnote w:id="13436">
    <w:p>
      <w:pPr>
        <w:pStyle w:val="FootnoteText"/>
      </w:pPr>
      <w:r>
        <w:rPr>
          <w:rStyle w:val="FootnoteReference"/>
        </w:rPr>
        <w:footnoteRef/>
      </w:r>
      <w:r>
        <w:t xml:space="preserve"> Cross-references for "and behold": Josh 5:13; Dan 12:6-7.</w:t>
      </w:r>
    </w:p>
  </w:footnote>
  <w:footnote w:id="13437">
    <w:p>
      <w:pPr>
        <w:pStyle w:val="FootnoteText"/>
      </w:pPr>
      <w:r>
        <w:rPr>
          <w:rStyle w:val="FootnoteReference"/>
        </w:rPr>
        <w:footnoteRef/>
      </w:r>
      <w:r>
        <w:t xml:space="preserve"> Cross-references for "his face": Ezek 1:14; Matt 17:2.</w:t>
      </w:r>
    </w:p>
  </w:footnote>
  <w:footnote w:id="13438">
    <w:p>
      <w:pPr>
        <w:pStyle w:val="FootnoteText"/>
      </w:pPr>
      <w:r>
        <w:rPr>
          <w:rStyle w:val="FootnoteReference"/>
        </w:rPr>
        <w:footnoteRef/>
      </w:r>
      <w:r>
        <w:t xml:space="preserve"> Cross-references for "I was": Gen 32:24; Exod 3:3.</w:t>
      </w:r>
    </w:p>
  </w:footnote>
  <w:footnote w:id="13439">
    <w:p>
      <w:pPr>
        <w:pStyle w:val="FootnoteText"/>
      </w:pPr>
      <w:r>
        <w:rPr>
          <w:rStyle w:val="FootnoteReference"/>
        </w:rPr>
        <w:footnoteRef/>
      </w:r>
      <w:r>
        <w:t xml:space="preserve"> Cross-references for "Understand": Dan 8:16-17; Dan 9:22-23.</w:t>
      </w:r>
    </w:p>
  </w:footnote>
  <w:footnote w:id="13440">
    <w:p>
      <w:pPr>
        <w:pStyle w:val="FootnoteText"/>
      </w:pPr>
      <w:r>
        <w:rPr>
          <w:rStyle w:val="FootnoteReference"/>
        </w:rPr>
        <w:footnoteRef/>
      </w:r>
      <w:r>
        <w:t xml:space="preserve"> Cross-references for "Michael": Dan 10:21; Dan 12:1.</w:t>
      </w:r>
    </w:p>
  </w:footnote>
  <w:footnote w:id="13441">
    <w:p>
      <w:pPr>
        <w:pStyle w:val="FootnoteText"/>
      </w:pPr>
      <w:r>
        <w:rPr>
          <w:rStyle w:val="FootnoteReference"/>
        </w:rPr>
        <w:footnoteRef/>
      </w:r>
      <w:r>
        <w:t xml:space="preserve"> Cross-references for "the vision": Dan 8:26; Dan 10:1.</w:t>
      </w:r>
    </w:p>
  </w:footnote>
  <w:footnote w:id="13442">
    <w:p>
      <w:pPr>
        <w:pStyle w:val="FootnoteText"/>
      </w:pPr>
      <w:r>
        <w:rPr>
          <w:rStyle w:val="FootnoteReference"/>
        </w:rPr>
        <w:footnoteRef/>
      </w:r>
      <w:r>
        <w:t xml:space="preserve"> Cross-references for "I set": Ezek 24:27; Ezek 33:22.</w:t>
      </w:r>
    </w:p>
  </w:footnote>
  <w:footnote w:id="13443">
    <w:p>
      <w:pPr>
        <w:pStyle w:val="FootnoteText"/>
      </w:pPr>
      <w:r>
        <w:rPr>
          <w:rStyle w:val="FootnoteReference"/>
        </w:rPr>
        <w:footnoteRef/>
      </w:r>
      <w:r>
        <w:t xml:space="preserve"> Cross-references for "touched": Isa 6:7; Jer 1:9.</w:t>
      </w:r>
    </w:p>
  </w:footnote>
  <w:footnote w:id="13444">
    <w:p>
      <w:pPr>
        <w:pStyle w:val="FootnoteText"/>
      </w:pPr>
      <w:r>
        <w:rPr>
          <w:rStyle w:val="FootnoteReference"/>
        </w:rPr>
        <w:footnoteRef/>
      </w:r>
      <w:r>
        <w:t xml:space="preserve"> Cross-references for "again": Dan 8:18; Dan 10:10.</w:t>
      </w:r>
    </w:p>
  </w:footnote>
  <w:footnote w:id="13445">
    <w:p>
      <w:pPr>
        <w:pStyle w:val="FootnoteText"/>
      </w:pPr>
      <w:r>
        <w:rPr>
          <w:rStyle w:val="FootnoteReference"/>
        </w:rPr>
        <w:footnoteRef/>
      </w:r>
      <w:r>
        <w:t xml:space="preserve"> Cross-references for "be strong": Josh 1:6-7; Josh 1:9.</w:t>
      </w:r>
    </w:p>
  </w:footnote>
  <w:footnote w:id="13446">
    <w:p>
      <w:pPr>
        <w:pStyle w:val="FootnoteText"/>
      </w:pPr>
      <w:r>
        <w:rPr>
          <w:rStyle w:val="FootnoteReference"/>
        </w:rPr>
        <w:footnoteRef/>
      </w:r>
      <w:r>
        <w:t xml:space="preserve"> Cross-references for "to fight": Isa 37:36; Dan 10:13.</w:t>
      </w:r>
    </w:p>
  </w:footnote>
  <w:footnote w:id="13447">
    <w:p>
      <w:pPr>
        <w:pStyle w:val="FootnoteText"/>
      </w:pPr>
      <w:r>
        <w:rPr>
          <w:rStyle w:val="FootnoteReference"/>
        </w:rPr>
        <w:footnoteRef/>
      </w:r>
      <w:r>
        <w:t xml:space="preserve"> Cross-references for "Michael": Dan 9:25; Dan 10:13.</w:t>
      </w:r>
    </w:p>
  </w:footnote>
  <w:footnote w:id="13448">
    <w:p>
      <w:pPr>
        <w:pStyle w:val="FootnoteText"/>
      </w:pPr>
      <w:r>
        <w:rPr>
          <w:rStyle w:val="FootnoteReference"/>
        </w:rPr>
        <w:footnoteRef/>
      </w:r>
      <w:r>
        <w:t xml:space="preserve"> Cross-references for "three": Ezra 4:5-6.</w:t>
      </w:r>
    </w:p>
  </w:footnote>
  <w:footnote w:id="13449">
    <w:p>
      <w:pPr>
        <w:pStyle w:val="FootnoteText"/>
      </w:pPr>
      <w:r>
        <w:rPr>
          <w:rStyle w:val="FootnoteReference"/>
        </w:rPr>
        <w:footnoteRef/>
      </w:r>
      <w:r>
        <w:t xml:space="preserve"> Cross-references for "a mighty": Dan 7:6; Dan 8:5-8.</w:t>
      </w:r>
    </w:p>
  </w:footnote>
  <w:footnote w:id="13450">
    <w:p>
      <w:pPr>
        <w:pStyle w:val="FootnoteText"/>
      </w:pPr>
      <w:r>
        <w:rPr>
          <w:rStyle w:val="FootnoteReference"/>
        </w:rPr>
        <w:footnoteRef/>
      </w:r>
      <w:r>
        <w:t xml:space="preserve"> Cross-references for "and one": Dan 11:3-4.</w:t>
      </w:r>
    </w:p>
  </w:footnote>
  <w:footnote w:id="13451">
    <w:p>
      <w:pPr>
        <w:pStyle w:val="FootnoteText"/>
      </w:pPr>
      <w:r>
        <w:rPr>
          <w:rStyle w:val="FootnoteReference"/>
        </w:rPr>
        <w:footnoteRef/>
      </w:r>
      <w:r>
        <w:t xml:space="preserve"> Cross-references for "the end": Ezek 38:8-9; Dan 11:13.</w:t>
      </w:r>
    </w:p>
  </w:footnote>
  <w:footnote w:id="13452">
    <w:p>
      <w:pPr>
        <w:pStyle w:val="FootnoteText"/>
      </w:pPr>
      <w:r>
        <w:rPr>
          <w:rStyle w:val="FootnoteReference"/>
        </w:rPr>
        <w:footnoteRef/>
      </w:r>
      <w:r>
        <w:t xml:space="preserve"> Cross-references for "their gods": Gen 31:30; Exod 12:12.</w:t>
      </w:r>
    </w:p>
  </w:footnote>
  <w:footnote w:id="13453">
    <w:p>
      <w:pPr>
        <w:pStyle w:val="FootnoteText"/>
      </w:pPr>
      <w:r>
        <w:rPr>
          <w:rStyle w:val="FootnoteReference"/>
        </w:rPr>
        <w:footnoteRef/>
      </w:r>
      <w:r>
        <w:t xml:space="preserve"> Cross-references for "his heart": Deut 8:14; 2Kgs 14:10.</w:t>
      </w:r>
    </w:p>
  </w:footnote>
  <w:footnote w:id="13454">
    <w:p>
      <w:pPr>
        <w:pStyle w:val="FootnoteText"/>
      </w:pPr>
      <w:r>
        <w:rPr>
          <w:rStyle w:val="FootnoteReference"/>
        </w:rPr>
        <w:footnoteRef/>
      </w:r>
      <w:r>
        <w:t xml:space="preserve"> Cross-references for "anger": Prov 30:33.</w:t>
      </w:r>
    </w:p>
  </w:footnote>
  <w:footnote w:id="13455">
    <w:p>
      <w:pPr>
        <w:pStyle w:val="FootnoteText"/>
      </w:pPr>
      <w:r>
        <w:rPr>
          <w:rStyle w:val="FootnoteReference"/>
        </w:rPr>
        <w:footnoteRef/>
      </w:r>
      <w:r>
        <w:t xml:space="preserve"> Cross-references for "the holy": Dan 8:24; Dan 11:22.</w:t>
      </w:r>
    </w:p>
  </w:footnote>
  <w:footnote w:id="13456">
    <w:p>
      <w:pPr>
        <w:pStyle w:val="FootnoteText"/>
      </w:pPr>
      <w:r>
        <w:rPr>
          <w:rStyle w:val="FootnoteReference"/>
        </w:rPr>
        <w:footnoteRef/>
      </w:r>
      <w:r>
        <w:t xml:space="preserve"> Cross-references for "time": Isa 14:31; Dan 8:19.</w:t>
      </w:r>
    </w:p>
  </w:footnote>
  <w:footnote w:id="13457">
    <w:p>
      <w:pPr>
        <w:pStyle w:val="FootnoteText"/>
      </w:pPr>
      <w:r>
        <w:rPr>
          <w:rStyle w:val="FootnoteReference"/>
        </w:rPr>
        <w:footnoteRef/>
      </w:r>
      <w:r>
        <w:t xml:space="preserve"> People-name: Romans. People-name meaning: Romans — strong; powerful. Source form: Romans.</w:t>
      </w:r>
    </w:p>
  </w:footnote>
  <w:footnote w:id="13458">
    <w:p>
      <w:pPr>
        <w:pStyle w:val="FootnoteText"/>
      </w:pPr>
      <w:r>
        <w:rPr>
          <w:rStyle w:val="FootnoteReference"/>
        </w:rPr>
        <w:footnoteRef/>
      </w:r>
      <w:r>
        <w:t xml:space="preserve"> Cross-references for "arms": Dan 8:24; Rev 17:12.</w:t>
      </w:r>
    </w:p>
  </w:footnote>
  <w:footnote w:id="13459">
    <w:p>
      <w:pPr>
        <w:pStyle w:val="FootnoteText"/>
      </w:pPr>
      <w:r>
        <w:rPr>
          <w:rStyle w:val="FootnoteReference"/>
        </w:rPr>
        <w:footnoteRef/>
      </w:r>
      <w:r>
        <w:t xml:space="preserve"> Cross-references for "understand": Isa 32:3-4; Dan 12:3-4.</w:t>
      </w:r>
    </w:p>
  </w:footnote>
  <w:footnote w:id="13460">
    <w:p>
      <w:pPr>
        <w:pStyle w:val="FootnoteText"/>
      </w:pPr>
      <w:r>
        <w:rPr>
          <w:rStyle w:val="FootnoteReference"/>
        </w:rPr>
        <w:footnoteRef/>
      </w:r>
      <w:r>
        <w:t xml:space="preserve"> Cross-references for "exalt": Isa 14:13; Dan 7:8.</w:t>
      </w:r>
    </w:p>
  </w:footnote>
  <w:footnote w:id="13461">
    <w:p>
      <w:pPr>
        <w:pStyle w:val="FootnoteText"/>
      </w:pPr>
      <w:r>
        <w:rPr>
          <w:rStyle w:val="FootnoteReference"/>
        </w:rPr>
        <w:footnoteRef/>
      </w:r>
      <w:r>
        <w:t xml:space="preserve"> Cross-references for "the desire": Gen 3:16; Deut 5:21.</w:t>
      </w:r>
    </w:p>
  </w:footnote>
  <w:footnote w:id="13462">
    <w:p>
      <w:pPr>
        <w:pStyle w:val="FootnoteText"/>
      </w:pPr>
      <w:r>
        <w:rPr>
          <w:rStyle w:val="FootnoteReference"/>
        </w:rPr>
        <w:footnoteRef/>
      </w:r>
      <w:r>
        <w:t xml:space="preserve"> Cross-references for "a god": Rev 13:12-17; Rev 17:1-5.</w:t>
      </w:r>
    </w:p>
  </w:footnote>
  <w:footnote w:id="13463">
    <w:p>
      <w:pPr>
        <w:pStyle w:val="FootnoteText"/>
      </w:pPr>
      <w:r>
        <w:rPr>
          <w:rStyle w:val="FootnoteReference"/>
        </w:rPr>
        <w:footnoteRef/>
      </w:r>
      <w:r>
        <w:t xml:space="preserve"> Cross-references for "at the": Dan 8:17; Dan 11:35.</w:t>
      </w:r>
    </w:p>
  </w:footnote>
  <w:footnote w:id="13464">
    <w:p>
      <w:pPr>
        <w:pStyle w:val="FootnoteText"/>
      </w:pPr>
      <w:r>
        <w:rPr>
          <w:rStyle w:val="FootnoteReference"/>
        </w:rPr>
        <w:footnoteRef/>
      </w:r>
      <w:r>
        <w:t xml:space="preserve"> Cross-references for "east": Ezek 38:9-12; Dan 11:11.</w:t>
      </w:r>
    </w:p>
  </w:footnote>
  <w:footnote w:id="13465">
    <w:p>
      <w:pPr>
        <w:pStyle w:val="FootnoteText"/>
      </w:pPr>
      <w:r>
        <w:rPr>
          <w:rStyle w:val="FootnoteReference"/>
        </w:rPr>
        <w:footnoteRef/>
      </w:r>
      <w:r>
        <w:t xml:space="preserve"> Cross-references for "between": Joel 2:20; Zech 14:8.</w:t>
      </w:r>
    </w:p>
  </w:footnote>
  <w:footnote w:id="13466">
    <w:p>
      <w:pPr>
        <w:pStyle w:val="FootnoteText"/>
      </w:pPr>
      <w:r>
        <w:rPr>
          <w:rStyle w:val="FootnoteReference"/>
        </w:rPr>
        <w:footnoteRef/>
      </w:r>
      <w:r>
        <w:t xml:space="preserve"> Cross-references for "at that": Dan 11:45.</w:t>
      </w:r>
    </w:p>
  </w:footnote>
  <w:footnote w:id="13467">
    <w:p>
      <w:pPr>
        <w:pStyle w:val="FootnoteText"/>
      </w:pPr>
      <w:r>
        <w:rPr>
          <w:rStyle w:val="FootnoteReference"/>
        </w:rPr>
        <w:footnoteRef/>
      </w:r>
      <w:r>
        <w:t xml:space="preserve"> Cross-references for "shine": Prov 4:18; Matt 13:43.</w:t>
      </w:r>
    </w:p>
  </w:footnote>
  <w:footnote w:id="13468">
    <w:p>
      <w:pPr>
        <w:pStyle w:val="FootnoteText"/>
      </w:pPr>
      <w:r>
        <w:rPr>
          <w:rStyle w:val="FootnoteReference"/>
        </w:rPr>
        <w:footnoteRef/>
      </w:r>
      <w:r>
        <w:t xml:space="preserve"> Cross-references for "of the river": Dan 10:4.</w:t>
      </w:r>
    </w:p>
  </w:footnote>
  <w:footnote w:id="13469">
    <w:p>
      <w:pPr>
        <w:pStyle w:val="FootnoteText"/>
      </w:pPr>
      <w:r>
        <w:rPr>
          <w:rStyle w:val="FootnoteReference"/>
        </w:rPr>
        <w:footnoteRef/>
      </w:r>
      <w:r>
        <w:t xml:space="preserve"> Translation note: The Greek clause continues into Daniel 12:10. This wording preserves the verse boundary instead of supplying a different ending.</w:t>
      </w:r>
    </w:p>
  </w:footnote>
  <w:footnote w:id="13470">
    <w:p>
      <w:pPr>
        <w:pStyle w:val="FootnoteText"/>
      </w:pPr>
      <w:r>
        <w:rPr>
          <w:rStyle w:val="FootnoteReference"/>
        </w:rPr>
        <w:footnoteRef/>
      </w:r>
      <w:r>
        <w:t xml:space="preserve"> Cross-references for "the time": Dan 8:11-12; Dan 8:26.</w:t>
      </w:r>
    </w:p>
  </w:footnote>
  <w:footnote w:id="13471">
    <w:p>
      <w:pPr>
        <w:pStyle w:val="FootnoteText"/>
      </w:pPr>
      <w:r>
        <w:rPr>
          <w:rStyle w:val="FootnoteReference"/>
        </w:rPr>
        <w:footnoteRef/>
      </w:r>
      <w:r>
        <w:t xml:space="preserve"> Cross-references for "rest": Isa 57:1; Dan 12:3.</w:t>
      </w:r>
    </w:p>
  </w:footnote>
  <w:footnote w:id="13472">
    <w:p>
      <w:pPr>
        <w:pStyle w:val="FootnoteText"/>
      </w:pPr>
      <w:r>
        <w:rPr>
          <w:rStyle w:val="FootnoteReference"/>
        </w:rPr>
        <w:footnoteRef/>
      </w:r>
      <w:r>
        <w:t xml:space="preserve"> Name meaning: Hosea (Hoshea) — Salvation. His life pictured God’s faithful salvation of unfaithful Israel.</w:t>
      </w:r>
    </w:p>
  </w:footnote>
  <w:footnote w:id="13473">
    <w:p>
      <w:pPr>
        <w:pStyle w:val="FootnoteText"/>
      </w:pPr>
      <w:r>
        <w:rPr>
          <w:rStyle w:val="FootnoteReference"/>
        </w:rPr>
        <w:footnoteRef/>
      </w:r>
      <w:r>
        <w:t xml:space="preserve"> Cross-references for "Hosea": Rom 9:25.</w:t>
      </w:r>
    </w:p>
  </w:footnote>
  <w:footnote w:id="13474">
    <w:p>
      <w:pPr>
        <w:pStyle w:val="FootnoteText"/>
      </w:pPr>
      <w:r>
        <w:rPr>
          <w:rStyle w:val="FootnoteReference"/>
        </w:rPr>
        <w:footnoteRef/>
      </w:r>
      <w:r>
        <w:t xml:space="preserve"> Cross-references for "children": Hos 2:4.</w:t>
      </w:r>
    </w:p>
  </w:footnote>
  <w:footnote w:id="13475">
    <w:p>
      <w:pPr>
        <w:pStyle w:val="FootnoteText"/>
      </w:pPr>
      <w:r>
        <w:rPr>
          <w:rStyle w:val="FootnoteReference"/>
        </w:rPr>
        <w:footnoteRef/>
      </w:r>
      <w:r>
        <w:t xml:space="preserve"> Personal name: Diblaim. Personal-name meaning: Diblaim — cluster of figs. Source form: Diblaim.</w:t>
      </w:r>
    </w:p>
  </w:footnote>
  <w:footnote w:id="13476">
    <w:p>
      <w:pPr>
        <w:pStyle w:val="FootnoteText"/>
      </w:pPr>
      <w:r>
        <w:rPr>
          <w:rStyle w:val="FootnoteReference"/>
        </w:rPr>
        <w:footnoteRef/>
      </w:r>
      <w:r>
        <w:t xml:space="preserve"> Cross-references for "Call": Isa 7:14; Isa 9:6.</w:t>
      </w:r>
    </w:p>
  </w:footnote>
  <w:footnote w:id="13477">
    <w:p>
      <w:pPr>
        <w:pStyle w:val="FootnoteText"/>
      </w:pPr>
      <w:r>
        <w:rPr>
          <w:rStyle w:val="FootnoteReference"/>
        </w:rPr>
        <w:footnoteRef/>
      </w:r>
      <w:r>
        <w:t xml:space="preserve"> Cross-references for "in that day": Isa 2:11; Isa 2:17.</w:t>
      </w:r>
    </w:p>
  </w:footnote>
  <w:footnote w:id="13478">
    <w:p>
      <w:pPr>
        <w:pStyle w:val="FootnoteText"/>
      </w:pPr>
      <w:r>
        <w:rPr>
          <w:rStyle w:val="FootnoteReference"/>
        </w:rPr>
        <w:footnoteRef/>
      </w:r>
      <w:r>
        <w:t xml:space="preserve"> Cross-references for "And I will": Isa 54:5; Isa 62:3-5.</w:t>
      </w:r>
    </w:p>
  </w:footnote>
  <w:footnote w:id="13479">
    <w:p>
      <w:pPr>
        <w:pStyle w:val="FootnoteText"/>
      </w:pPr>
      <w:r>
        <w:rPr>
          <w:rStyle w:val="FootnoteReference"/>
        </w:rPr>
        <w:footnoteRef/>
      </w:r>
      <w:r>
        <w:t xml:space="preserve"> Cross-references for "look": Ps 123:2; Isa 17:7-8.</w:t>
      </w:r>
    </w:p>
  </w:footnote>
  <w:footnote w:id="13480">
    <w:p>
      <w:pPr>
        <w:pStyle w:val="FootnoteText"/>
      </w:pPr>
      <w:r>
        <w:rPr>
          <w:rStyle w:val="FootnoteReference"/>
        </w:rPr>
        <w:footnoteRef/>
      </w:r>
      <w:r>
        <w:t xml:space="preserve"> Cross-references for "without a king": Gen 49:10; Jer 15:4-5.</w:t>
      </w:r>
    </w:p>
  </w:footnote>
  <w:footnote w:id="13481">
    <w:p>
      <w:pPr>
        <w:pStyle w:val="FootnoteText"/>
      </w:pPr>
      <w:r>
        <w:rPr>
          <w:rStyle w:val="FootnoteReference"/>
        </w:rPr>
        <w:footnoteRef/>
      </w:r>
      <w:r>
        <w:t xml:space="preserve"> Translation note: The Greek uses a disclosure-family cultic term here. The current wording now keeps that term consistent with related rows.</w:t>
      </w:r>
    </w:p>
  </w:footnote>
  <w:footnote w:id="13482">
    <w:p>
      <w:pPr>
        <w:pStyle w:val="FootnoteText"/>
      </w:pPr>
      <w:r>
        <w:rPr>
          <w:rStyle w:val="FootnoteReference"/>
        </w:rPr>
        <w:footnoteRef/>
      </w:r>
      <w:r>
        <w:t xml:space="preserve"> Cross-references for "seek": Isa 27:12-13; Jer 3:22-23.</w:t>
      </w:r>
    </w:p>
  </w:footnote>
  <w:footnote w:id="13483">
    <w:p>
      <w:pPr>
        <w:pStyle w:val="FootnoteText"/>
      </w:pPr>
      <w:r>
        <w:rPr>
          <w:rStyle w:val="FootnoteReference"/>
        </w:rPr>
        <w:footnoteRef/>
      </w:r>
      <w:r>
        <w:t xml:space="preserve"> Cross-references for "Hear": 1Kgs 22:19; Isa 1:10.</w:t>
      </w:r>
    </w:p>
  </w:footnote>
  <w:footnote w:id="13484">
    <w:p>
      <w:pPr>
        <w:pStyle w:val="FootnoteText"/>
      </w:pPr>
      <w:r>
        <w:rPr>
          <w:rStyle w:val="FootnoteReference"/>
        </w:rPr>
        <w:footnoteRef/>
      </w:r>
      <w:r>
        <w:t xml:space="preserve"> Translation note: The Greek stacks truth mercy and knowledge of God in a single indictment. The current wording preserves that three-part line.</w:t>
      </w:r>
    </w:p>
  </w:footnote>
  <w:footnote w:id="13485">
    <w:p>
      <w:pPr>
        <w:pStyle w:val="FootnoteText"/>
      </w:pPr>
      <w:r>
        <w:rPr>
          <w:rStyle w:val="FootnoteReference"/>
        </w:rPr>
        <w:footnoteRef/>
      </w:r>
      <w:r>
        <w:t xml:space="preserve"> Cross-references for "with the beasts": Jer 4:25; Jer 12:4.</w:t>
      </w:r>
    </w:p>
  </w:footnote>
  <w:footnote w:id="13486">
    <w:p>
      <w:pPr>
        <w:pStyle w:val="FootnoteText"/>
      </w:pPr>
      <w:r>
        <w:rPr>
          <w:rStyle w:val="FootnoteReference"/>
        </w:rPr>
        <w:footnoteRef/>
      </w:r>
      <w:r>
        <w:t xml:space="preserve"> Cross-references for "My people": Isa 1:3; Isa 3:12.</w:t>
      </w:r>
    </w:p>
  </w:footnote>
  <w:footnote w:id="13487">
    <w:p>
      <w:pPr>
        <w:pStyle w:val="FootnoteText"/>
      </w:pPr>
      <w:r>
        <w:rPr>
          <w:rStyle w:val="FootnoteReference"/>
        </w:rPr>
        <w:footnoteRef/>
      </w:r>
      <w:r>
        <w:t xml:space="preserve"> Translation note: The Greek uses a tight rejection parallel here. The current wording keeps that mirrored line explicit.</w:t>
      </w:r>
    </w:p>
  </w:footnote>
  <w:footnote w:id="13488">
    <w:p>
      <w:pPr>
        <w:pStyle w:val="FootnoteText"/>
      </w:pPr>
      <w:r>
        <w:rPr>
          <w:rStyle w:val="FootnoteReference"/>
        </w:rPr>
        <w:footnoteRef/>
      </w:r>
      <w:r>
        <w:t xml:space="preserve"> Cross-references for "Therefore": 2Sam 12:10-12; Job 31:9-10.</w:t>
      </w:r>
    </w:p>
  </w:footnote>
  <w:footnote w:id="13489">
    <w:p>
      <w:pPr>
        <w:pStyle w:val="FootnoteText"/>
      </w:pPr>
      <w:r>
        <w:rPr>
          <w:rStyle w:val="FootnoteReference"/>
        </w:rPr>
        <w:footnoteRef/>
      </w:r>
      <w:r>
        <w:t xml:space="preserve"> Cross-references for "Gilgal": Hos 9:15; Hos 12:11.</w:t>
      </w:r>
    </w:p>
  </w:footnote>
  <w:footnote w:id="13490">
    <w:p>
      <w:pPr>
        <w:pStyle w:val="FootnoteText"/>
      </w:pPr>
      <w:r>
        <w:rPr>
          <w:rStyle w:val="FootnoteReference"/>
        </w:rPr>
        <w:footnoteRef/>
      </w:r>
      <w:r>
        <w:t xml:space="preserve"> Cross-references for "Ephraim": Hos 11:2; Hos 12:1.</w:t>
      </w:r>
    </w:p>
  </w:footnote>
  <w:footnote w:id="13491">
    <w:p>
      <w:pPr>
        <w:pStyle w:val="FootnoteText"/>
      </w:pPr>
      <w:r>
        <w:rPr>
          <w:rStyle w:val="FootnoteReference"/>
        </w:rPr>
        <w:footnoteRef/>
      </w:r>
      <w:r>
        <w:t xml:space="preserve"> Cross-references for "wind": Jer 4:11-12; Jer 51:1.</w:t>
      </w:r>
    </w:p>
  </w:footnote>
  <w:footnote w:id="13492">
    <w:p>
      <w:pPr>
        <w:pStyle w:val="FootnoteText"/>
      </w:pPr>
      <w:r>
        <w:rPr>
          <w:rStyle w:val="FootnoteReference"/>
        </w:rPr>
        <w:footnoteRef/>
      </w:r>
      <w:r>
        <w:t xml:space="preserve"> Cross-references for "Tabor": Judg 4:6; Jer 46:18.</w:t>
      </w:r>
    </w:p>
  </w:footnote>
  <w:footnote w:id="13493">
    <w:p>
      <w:pPr>
        <w:pStyle w:val="FootnoteText"/>
      </w:pPr>
      <w:r>
        <w:rPr>
          <w:rStyle w:val="FootnoteReference"/>
        </w:rPr>
        <w:footnoteRef/>
      </w:r>
      <w:r>
        <w:t xml:space="preserve"> Cross-references for "know": Amos 3:2; Heb 4:13.</w:t>
      </w:r>
    </w:p>
  </w:footnote>
  <w:footnote w:id="13494">
    <w:p>
      <w:pPr>
        <w:pStyle w:val="FootnoteText"/>
      </w:pPr>
      <w:r>
        <w:rPr>
          <w:rStyle w:val="FootnoteReference"/>
        </w:rPr>
        <w:footnoteRef/>
      </w:r>
      <w:r>
        <w:t xml:space="preserve"> Translation note: The Greek uses a spirit-of-whoredom line directly. The current wording preserves it.</w:t>
      </w:r>
    </w:p>
  </w:footnote>
  <w:footnote w:id="13495">
    <w:p>
      <w:pPr>
        <w:pStyle w:val="FootnoteText"/>
      </w:pPr>
      <w:r>
        <w:rPr>
          <w:rStyle w:val="FootnoteReference"/>
        </w:rPr>
        <w:footnoteRef/>
      </w:r>
      <w:r>
        <w:t xml:space="preserve"> Cross-references for "Judah": 2Kgs 17:19-20; Ezek 23:31-35.</w:t>
      </w:r>
    </w:p>
  </w:footnote>
  <w:footnote w:id="13496">
    <w:p>
      <w:pPr>
        <w:pStyle w:val="FootnoteText"/>
      </w:pPr>
      <w:r>
        <w:rPr>
          <w:rStyle w:val="FootnoteReference"/>
        </w:rPr>
        <w:footnoteRef/>
      </w:r>
      <w:r>
        <w:t xml:space="preserve"> Cross-references for "Blow": Jer 4:5; Jer 6:1.</w:t>
      </w:r>
    </w:p>
  </w:footnote>
  <w:footnote w:id="13497">
    <w:p>
      <w:pPr>
        <w:pStyle w:val="FootnoteText"/>
      </w:pPr>
      <w:r>
        <w:rPr>
          <w:rStyle w:val="FootnoteReference"/>
        </w:rPr>
        <w:footnoteRef/>
      </w:r>
      <w:r>
        <w:t xml:space="preserve"> Cross-references for "Ephraim": Job 12:14; Isa 28:1-4.</w:t>
      </w:r>
    </w:p>
  </w:footnote>
  <w:footnote w:id="13498">
    <w:p>
      <w:pPr>
        <w:pStyle w:val="FootnoteText"/>
      </w:pPr>
      <w:r>
        <w:rPr>
          <w:rStyle w:val="FootnoteReference"/>
        </w:rPr>
        <w:footnoteRef/>
      </w:r>
      <w:r>
        <w:t xml:space="preserve"> Cross-references for "oppressed": Deut 28:33; 2Kgs 15:16-20.</w:t>
      </w:r>
    </w:p>
  </w:footnote>
  <w:footnote w:id="13499">
    <w:p>
      <w:pPr>
        <w:pStyle w:val="FootnoteText"/>
      </w:pPr>
      <w:r>
        <w:rPr>
          <w:rStyle w:val="FootnoteReference"/>
        </w:rPr>
        <w:footnoteRef/>
      </w:r>
      <w:r>
        <w:t xml:space="preserve"> Cross-references for "went": 2Kgs 15:19; 2Kgs 15:29.</w:t>
      </w:r>
    </w:p>
  </w:footnote>
  <w:footnote w:id="13500">
    <w:p>
      <w:pPr>
        <w:pStyle w:val="FootnoteText"/>
      </w:pPr>
      <w:r>
        <w:rPr>
          <w:rStyle w:val="FootnoteReference"/>
        </w:rPr>
        <w:footnoteRef/>
      </w:r>
      <w:r>
        <w:t xml:space="preserve"> Transliterated proper noun: Jareb. Standard English equivalent: Jareb. Source form: Jareb. Greek form: ιαριμ. Name meaning: a revenger.</w:t>
      </w:r>
    </w:p>
  </w:footnote>
  <w:footnote w:id="13501">
    <w:p>
      <w:pPr>
        <w:pStyle w:val="FootnoteText"/>
      </w:pPr>
      <w:r>
        <w:rPr>
          <w:rStyle w:val="FootnoteReference"/>
        </w:rPr>
        <w:footnoteRef/>
      </w:r>
      <w:r>
        <w:t xml:space="preserve"> Cross-references for "return": Exod 25:21-22; 1Kgs 8:10-13.</w:t>
      </w:r>
    </w:p>
  </w:footnote>
  <w:footnote w:id="13502">
    <w:p>
      <w:pPr>
        <w:pStyle w:val="FootnoteText"/>
      </w:pPr>
      <w:r>
        <w:rPr>
          <w:rStyle w:val="FootnoteReference"/>
        </w:rPr>
        <w:footnoteRef/>
      </w:r>
      <w:r>
        <w:t xml:space="preserve"> Translation note: The Greek states the mercy-over-sacrifice contrast directly. The current wording preserves that formula close to the source-row line.</w:t>
      </w:r>
    </w:p>
  </w:footnote>
  <w:footnote w:id="13503">
    <w:p>
      <w:pPr>
        <w:pStyle w:val="FootnoteText"/>
      </w:pPr>
      <w:r>
        <w:rPr>
          <w:rStyle w:val="FootnoteReference"/>
        </w:rPr>
        <w:footnoteRef/>
      </w:r>
      <w:r>
        <w:t xml:space="preserve"> Cross-references for "Gilead": Josh 21:38; Hos 12:11.</w:t>
      </w:r>
    </w:p>
  </w:footnote>
  <w:footnote w:id="13504">
    <w:p>
      <w:pPr>
        <w:pStyle w:val="FootnoteText"/>
      </w:pPr>
      <w:r>
        <w:rPr>
          <w:rStyle w:val="FootnoteReference"/>
        </w:rPr>
        <w:footnoteRef/>
      </w:r>
      <w:r>
        <w:t xml:space="preserve"> Cross-references for "are all": Jer 5:7-8; Jer 9:2.</w:t>
      </w:r>
    </w:p>
  </w:footnote>
  <w:footnote w:id="13505">
    <w:p>
      <w:pPr>
        <w:pStyle w:val="FootnoteText"/>
      </w:pPr>
      <w:r>
        <w:rPr>
          <w:rStyle w:val="FootnoteReference"/>
        </w:rPr>
        <w:footnoteRef/>
      </w:r>
      <w:r>
        <w:t xml:space="preserve"> Cross-references for "he stretched": 1Kgs 13:4.</w:t>
      </w:r>
    </w:p>
  </w:footnote>
  <w:footnote w:id="13506">
    <w:p>
      <w:pPr>
        <w:pStyle w:val="FootnoteText"/>
      </w:pPr>
      <w:r>
        <w:rPr>
          <w:rStyle w:val="FootnoteReference"/>
        </w:rPr>
        <w:footnoteRef/>
      </w:r>
      <w:r>
        <w:t xml:space="preserve"> Cross-references for "devoured": 1Kgs 15:28; 1Kgs 16:9-11.</w:t>
      </w:r>
    </w:p>
  </w:footnote>
  <w:footnote w:id="13507">
    <w:p>
      <w:pPr>
        <w:pStyle w:val="FootnoteText"/>
      </w:pPr>
      <w:r>
        <w:rPr>
          <w:rStyle w:val="FootnoteReference"/>
        </w:rPr>
        <w:footnoteRef/>
      </w:r>
      <w:r>
        <w:t xml:space="preserve"> Cross-references for "a cake": 1Kgs 18:21; Hos 8:2-4.</w:t>
      </w:r>
    </w:p>
  </w:footnote>
  <w:footnote w:id="13508">
    <w:p>
      <w:pPr>
        <w:pStyle w:val="FootnoteText"/>
      </w:pPr>
      <w:r>
        <w:rPr>
          <w:rStyle w:val="FootnoteReference"/>
        </w:rPr>
        <w:footnoteRef/>
      </w:r>
      <w:r>
        <w:t xml:space="preserve"> Cross-references for "devoured": 2Kgs 13:3-7; 2Kgs 13:22.</w:t>
      </w:r>
    </w:p>
  </w:footnote>
  <w:footnote w:id="13509">
    <w:p>
      <w:pPr>
        <w:pStyle w:val="FootnoteText"/>
      </w:pPr>
      <w:r>
        <w:rPr>
          <w:rStyle w:val="FootnoteReference"/>
        </w:rPr>
        <w:footnoteRef/>
      </w:r>
      <w:r>
        <w:t xml:space="preserve"> Cross-references for "I will bring": Eccl 9:12.</w:t>
      </w:r>
    </w:p>
  </w:footnote>
  <w:footnote w:id="13510">
    <w:p>
      <w:pPr>
        <w:pStyle w:val="FootnoteText"/>
      </w:pPr>
      <w:r>
        <w:rPr>
          <w:rStyle w:val="FootnoteReference"/>
        </w:rPr>
        <w:footnoteRef/>
      </w:r>
      <w:r>
        <w:t xml:space="preserve"> Cross-references for "the house": 2Kgs 18:27; Hos 9:15.</w:t>
      </w:r>
    </w:p>
  </w:footnote>
  <w:footnote w:id="13511">
    <w:p>
      <w:pPr>
        <w:pStyle w:val="FootnoteText"/>
      </w:pPr>
      <w:r>
        <w:rPr>
          <w:rStyle w:val="FootnoteReference"/>
        </w:rPr>
        <w:footnoteRef/>
      </w:r>
      <w:r>
        <w:t xml:space="preserve"> Cross-references for "calf": Isa 45:20; Hos 8:6.</w:t>
      </w:r>
    </w:p>
  </w:footnote>
  <w:footnote w:id="13512">
    <w:p>
      <w:pPr>
        <w:pStyle w:val="FootnoteText"/>
      </w:pPr>
      <w:r>
        <w:rPr>
          <w:rStyle w:val="FootnoteReference"/>
        </w:rPr>
        <w:footnoteRef/>
      </w:r>
      <w:r>
        <w:t xml:space="preserve"> Cross-references for "swallowed": 2Kgs 17:1-6; 2Kgs 18:11.</w:t>
      </w:r>
    </w:p>
  </w:footnote>
  <w:footnote w:id="13513">
    <w:p>
      <w:pPr>
        <w:pStyle w:val="FootnoteText"/>
      </w:pPr>
      <w:r>
        <w:rPr>
          <w:rStyle w:val="FootnoteReference"/>
        </w:rPr>
        <w:footnoteRef/>
      </w:r>
      <w:r>
        <w:t xml:space="preserve"> Cross-references for "altars": Deut 4:28; Jer 16:13.</w:t>
      </w:r>
    </w:p>
  </w:footnote>
  <w:footnote w:id="13514">
    <w:p>
      <w:pPr>
        <w:pStyle w:val="FootnoteText"/>
      </w:pPr>
      <w:r>
        <w:rPr>
          <w:rStyle w:val="FootnoteReference"/>
        </w:rPr>
        <w:footnoteRef/>
      </w:r>
      <w:r>
        <w:t xml:space="preserve"> Cross-references for "they sacrifice": Jer 7:21-23.</w:t>
      </w:r>
    </w:p>
  </w:footnote>
  <w:footnote w:id="13515">
    <w:p>
      <w:pPr>
        <w:pStyle w:val="FootnoteText"/>
      </w:pPr>
      <w:r>
        <w:rPr>
          <w:rStyle w:val="FootnoteReference"/>
        </w:rPr>
        <w:footnoteRef/>
      </w:r>
      <w:r>
        <w:t xml:space="preserve"> Cross-references for "and Judah": 2Chr 26:10; 2Chr 27:4.</w:t>
      </w:r>
    </w:p>
  </w:footnote>
  <w:footnote w:id="13516">
    <w:p>
      <w:pPr>
        <w:pStyle w:val="FootnoteText"/>
      </w:pPr>
      <w:r>
        <w:rPr>
          <w:rStyle w:val="FootnoteReference"/>
        </w:rPr>
        <w:footnoteRef/>
      </w:r>
      <w:r>
        <w:t xml:space="preserve"> Cross-references for "rejoice": Isa 17:11; Isa 22:12.</w:t>
      </w:r>
    </w:p>
  </w:footnote>
  <w:footnote w:id="13517">
    <w:p>
      <w:pPr>
        <w:pStyle w:val="FootnoteText"/>
      </w:pPr>
      <w:r>
        <w:rPr>
          <w:rStyle w:val="FootnoteReference"/>
        </w:rPr>
        <w:footnoteRef/>
      </w:r>
      <w:r>
        <w:t xml:space="preserve"> Cross-references for "floor": Isa 24:7-12; Hos 2:9.</w:t>
      </w:r>
    </w:p>
  </w:footnote>
  <w:footnote w:id="13518">
    <w:p>
      <w:pPr>
        <w:pStyle w:val="FootnoteText"/>
      </w:pPr>
      <w:r>
        <w:rPr>
          <w:rStyle w:val="FootnoteReference"/>
        </w:rPr>
        <w:footnoteRef/>
      </w:r>
      <w:r>
        <w:t xml:space="preserve"> Cross-references for "Destruction": Hos 7:13.</w:t>
      </w:r>
    </w:p>
  </w:footnote>
  <w:footnote w:id="13519">
    <w:p>
      <w:pPr>
        <w:pStyle w:val="FootnoteText"/>
      </w:pPr>
      <w:r>
        <w:rPr>
          <w:rStyle w:val="FootnoteReference"/>
        </w:rPr>
        <w:footnoteRef/>
      </w:r>
      <w:r>
        <w:t xml:space="preserve"> Cross-references for "Israel": Isa 26:11; Ezek 25:17.</w:t>
      </w:r>
    </w:p>
  </w:footnote>
  <w:footnote w:id="13520">
    <w:p>
      <w:pPr>
        <w:pStyle w:val="FootnoteText"/>
      </w:pPr>
      <w:r>
        <w:rPr>
          <w:rStyle w:val="FootnoteReference"/>
        </w:rPr>
        <w:footnoteRef/>
      </w:r>
      <w:r>
        <w:t xml:space="preserve"> Cross-references for "watchman": Song 3:3; Isa 62:6.</w:t>
      </w:r>
    </w:p>
  </w:footnote>
  <w:footnote w:id="13521">
    <w:p>
      <w:pPr>
        <w:pStyle w:val="FootnoteText"/>
      </w:pPr>
      <w:r>
        <w:rPr>
          <w:rStyle w:val="FootnoteReference"/>
        </w:rPr>
        <w:footnoteRef/>
      </w:r>
      <w:r>
        <w:t xml:space="preserve"> Cross-references for "found": Exod 19:4-6; Deut 32:10.</w:t>
      </w:r>
    </w:p>
  </w:footnote>
  <w:footnote w:id="13522">
    <w:p>
      <w:pPr>
        <w:pStyle w:val="FootnoteText"/>
      </w:pPr>
      <w:r>
        <w:rPr>
          <w:rStyle w:val="FootnoteReference"/>
        </w:rPr>
        <w:footnoteRef/>
      </w:r>
      <w:r>
        <w:t xml:space="preserve"> Cross-references for "their": Gen 41:52; Gen 48:16-20.</w:t>
      </w:r>
    </w:p>
  </w:footnote>
  <w:footnote w:id="13523">
    <w:p>
      <w:pPr>
        <w:pStyle w:val="FootnoteText"/>
      </w:pPr>
      <w:r>
        <w:rPr>
          <w:rStyle w:val="FootnoteReference"/>
        </w:rPr>
        <w:footnoteRef/>
      </w:r>
      <w:r>
        <w:t xml:space="preserve"> Cross-references for "I hated": Lev 26:30; Ezek 23:18.</w:t>
      </w:r>
    </w:p>
  </w:footnote>
  <w:footnote w:id="13524">
    <w:p>
      <w:pPr>
        <w:pStyle w:val="FootnoteText"/>
      </w:pPr>
      <w:r>
        <w:rPr>
          <w:rStyle w:val="FootnoteReference"/>
        </w:rPr>
        <w:footnoteRef/>
      </w:r>
      <w:r>
        <w:t xml:space="preserve"> Cross-references for "to the multitude": Jer 2:28; Hos 2:8.</w:t>
      </w:r>
    </w:p>
  </w:footnote>
  <w:footnote w:id="13525">
    <w:p>
      <w:pPr>
        <w:pStyle w:val="FootnoteText"/>
      </w:pPr>
      <w:r>
        <w:rPr>
          <w:rStyle w:val="FootnoteReference"/>
        </w:rPr>
        <w:footnoteRef/>
      </w:r>
      <w:r>
        <w:t xml:space="preserve"> Cross-references for "carried": Isa 46:1-2; Jer 43:12-13.</w:t>
      </w:r>
    </w:p>
  </w:footnote>
  <w:footnote w:id="13526">
    <w:p>
      <w:pPr>
        <w:pStyle w:val="FootnoteText"/>
      </w:pPr>
      <w:r>
        <w:rPr>
          <w:rStyle w:val="FootnoteReference"/>
        </w:rPr>
        <w:footnoteRef/>
      </w:r>
      <w:r>
        <w:t xml:space="preserve"> Cross-references for "Samaria": 1Kgs 21:1; 2Kgs 1:3.</w:t>
      </w:r>
    </w:p>
  </w:footnote>
  <w:footnote w:id="13527">
    <w:p>
      <w:pPr>
        <w:pStyle w:val="FootnoteText"/>
      </w:pPr>
      <w:r>
        <w:rPr>
          <w:rStyle w:val="FootnoteReference"/>
        </w:rPr>
        <w:footnoteRef/>
      </w:r>
      <w:r>
        <w:t xml:space="preserve"> Cross-references for "their altars": 1Kgs 13:2; 2Kgs 23:15.</w:t>
      </w:r>
    </w:p>
  </w:footnote>
  <w:footnote w:id="13528">
    <w:p>
      <w:pPr>
        <w:pStyle w:val="FootnoteText"/>
      </w:pPr>
      <w:r>
        <w:rPr>
          <w:rStyle w:val="FootnoteReference"/>
        </w:rPr>
        <w:footnoteRef/>
      </w:r>
      <w:r>
        <w:t xml:space="preserve"> Cross-references for "Judah": 2Chr 28:5-8; Isa 28:24.</w:t>
      </w:r>
    </w:p>
  </w:footnote>
  <w:footnote w:id="13529">
    <w:p>
      <w:pPr>
        <w:pStyle w:val="FootnoteText"/>
      </w:pPr>
      <w:r>
        <w:rPr>
          <w:rStyle w:val="FootnoteReference"/>
        </w:rPr>
        <w:footnoteRef/>
      </w:r>
      <w:r>
        <w:t xml:space="preserve"> Personal name: Shalman. Personal-name meaning: Shalman — peaceable; perfect; that rewards. Source form: Shalman.</w:t>
      </w:r>
    </w:p>
  </w:footnote>
  <w:footnote w:id="13530">
    <w:p>
      <w:pPr>
        <w:pStyle w:val="FootnoteText"/>
      </w:pPr>
      <w:r>
        <w:rPr>
          <w:rStyle w:val="FootnoteReference"/>
        </w:rPr>
        <w:footnoteRef/>
      </w:r>
      <w:r>
        <w:t xml:space="preserve"> Cross-references for "Israel": Deut 7:7; Jer 2:2.</w:t>
      </w:r>
    </w:p>
  </w:footnote>
  <w:footnote w:id="13531">
    <w:p>
      <w:pPr>
        <w:pStyle w:val="FootnoteText"/>
      </w:pPr>
      <w:r>
        <w:rPr>
          <w:rStyle w:val="FootnoteReference"/>
        </w:rPr>
        <w:footnoteRef/>
      </w:r>
      <w:r>
        <w:t xml:space="preserve"> Cross-references for "the sword": Lev 26:31; Lev 26:33.</w:t>
      </w:r>
    </w:p>
  </w:footnote>
  <w:footnote w:id="13532">
    <w:p>
      <w:pPr>
        <w:pStyle w:val="FootnoteText"/>
      </w:pPr>
      <w:r>
        <w:rPr>
          <w:rStyle w:val="FootnoteReference"/>
        </w:rPr>
        <w:footnoteRef/>
      </w:r>
      <w:r>
        <w:t xml:space="preserve"> Cross-references for "Admah": Gen 14:8; Gen 19:24-25.</w:t>
      </w:r>
    </w:p>
  </w:footnote>
  <w:footnote w:id="13533">
    <w:p>
      <w:pPr>
        <w:pStyle w:val="FootnoteText"/>
      </w:pPr>
      <w:r>
        <w:rPr>
          <w:rStyle w:val="FootnoteReference"/>
        </w:rPr>
        <w:footnoteRef/>
      </w:r>
      <w:r>
        <w:t xml:space="preserve"> Cross-references for "Ephraim": 1Sam 15:17; Prov 18:12.</w:t>
      </w:r>
    </w:p>
  </w:footnote>
  <w:footnote w:id="13534">
    <w:p>
      <w:pPr>
        <w:pStyle w:val="FootnoteText"/>
      </w:pPr>
      <w:r>
        <w:rPr>
          <w:rStyle w:val="FootnoteReference"/>
        </w:rPr>
        <w:footnoteRef/>
      </w:r>
      <w:r>
        <w:t xml:space="preserve"> Translation note: The Greek states the exclusive savior claim directly. The current wording keeps that line explicit.</w:t>
      </w:r>
    </w:p>
  </w:footnote>
  <w:footnote w:id="13535">
    <w:p>
      <w:pPr>
        <w:pStyle w:val="FootnoteText"/>
      </w:pPr>
      <w:r>
        <w:rPr>
          <w:rStyle w:val="FootnoteReference"/>
        </w:rPr>
        <w:footnoteRef/>
      </w:r>
      <w:r>
        <w:t xml:space="preserve"> Cross-references for "in the wilderness": Deut 2:7; Deut 8:15.</w:t>
      </w:r>
    </w:p>
  </w:footnote>
  <w:footnote w:id="13536">
    <w:p>
      <w:pPr>
        <w:pStyle w:val="FootnoteText"/>
      </w:pPr>
      <w:r>
        <w:rPr>
          <w:rStyle w:val="FootnoteReference"/>
        </w:rPr>
        <w:footnoteRef/>
      </w:r>
      <w:r>
        <w:t xml:space="preserve"> Cross-references for "ransom": Job 19:25-27; Job 33:24.</w:t>
      </w:r>
    </w:p>
  </w:footnote>
  <w:footnote w:id="13537">
    <w:p>
      <w:pPr>
        <w:pStyle w:val="FootnoteText"/>
      </w:pPr>
      <w:r>
        <w:rPr>
          <w:rStyle w:val="FootnoteReference"/>
        </w:rPr>
        <w:footnoteRef/>
      </w:r>
      <w:r>
        <w:t xml:space="preserve"> Cross-references for "an east": Ps 1:4; Isa 17:13.</w:t>
      </w:r>
    </w:p>
  </w:footnote>
  <w:footnote w:id="13538">
    <w:p>
      <w:pPr>
        <w:pStyle w:val="FootnoteText"/>
      </w:pPr>
      <w:r>
        <w:rPr>
          <w:rStyle w:val="FootnoteReference"/>
        </w:rPr>
        <w:footnoteRef/>
      </w:r>
      <w:r>
        <w:t xml:space="preserve"> Transliterated proper noun: Bathouel. Standard English equivalent: Pethuel. Source form: Bathouel. Greek form: βαθουηλ. Name meaning: mouth of God; persuasion of God.</w:t>
      </w:r>
    </w:p>
  </w:footnote>
  <w:footnote w:id="13539">
    <w:p>
      <w:pPr>
        <w:pStyle w:val="FootnoteText"/>
      </w:pPr>
      <w:r>
        <w:rPr>
          <w:rStyle w:val="FootnoteReference"/>
        </w:rPr>
        <w:footnoteRef/>
      </w:r>
      <w:r>
        <w:t xml:space="preserve"> Cross-references for "Hear": Ps 49:1; Isa 34:1.</w:t>
      </w:r>
    </w:p>
  </w:footnote>
  <w:footnote w:id="13540">
    <w:p>
      <w:pPr>
        <w:pStyle w:val="FootnoteText"/>
      </w:pPr>
      <w:r>
        <w:rPr>
          <w:rStyle w:val="FootnoteReference"/>
        </w:rPr>
        <w:footnoteRef/>
      </w:r>
      <w:r>
        <w:t xml:space="preserve"> Cross-references for "the caterpillar": Isa 33:4; Jer 51:14.</w:t>
      </w:r>
    </w:p>
  </w:footnote>
  <w:footnote w:id="13541">
    <w:p>
      <w:pPr>
        <w:pStyle w:val="FootnoteText"/>
      </w:pPr>
      <w:r>
        <w:rPr>
          <w:rStyle w:val="FootnoteReference"/>
        </w:rPr>
        <w:footnoteRef/>
      </w:r>
      <w:r>
        <w:t xml:space="preserve"> Cross-references for "weep": Jer 4:8; Ezek 30:2.</w:t>
      </w:r>
    </w:p>
  </w:footnote>
  <w:footnote w:id="13542">
    <w:p>
      <w:pPr>
        <w:pStyle w:val="FootnoteText"/>
      </w:pPr>
      <w:r>
        <w:rPr>
          <w:rStyle w:val="FootnoteReference"/>
        </w:rPr>
        <w:footnoteRef/>
      </w:r>
      <w:r>
        <w:t xml:space="preserve"> Cross-references for "nation": Prov 30:25-27; Joel 2:2-11.</w:t>
      </w:r>
    </w:p>
  </w:footnote>
  <w:footnote w:id="13543">
    <w:p>
      <w:pPr>
        <w:pStyle w:val="FootnoteText"/>
      </w:pPr>
      <w:r>
        <w:rPr>
          <w:rStyle w:val="FootnoteReference"/>
        </w:rPr>
        <w:footnoteRef/>
      </w:r>
      <w:r>
        <w:t xml:space="preserve"> Cross-references for "Lament": Isa 22:12; Isa 24:7-12.</w:t>
      </w:r>
    </w:p>
  </w:footnote>
  <w:footnote w:id="13544">
    <w:p>
      <w:pPr>
        <w:pStyle w:val="FootnoteText"/>
      </w:pPr>
      <w:r>
        <w:rPr>
          <w:rStyle w:val="FootnoteReference"/>
        </w:rPr>
        <w:footnoteRef/>
      </w:r>
      <w:r>
        <w:t xml:space="preserve"> Cross-references for "The vine": Joel 1:10; Hab 3:17-18.</w:t>
      </w:r>
    </w:p>
  </w:footnote>
  <w:footnote w:id="13545">
    <w:p>
      <w:pPr>
        <w:pStyle w:val="FootnoteText"/>
      </w:pPr>
      <w:r>
        <w:rPr>
          <w:rStyle w:val="FootnoteReference"/>
        </w:rPr>
        <w:footnoteRef/>
      </w:r>
      <w:r>
        <w:t xml:space="preserve"> Cross-references for "Gird": Jer 4:8; Jer 9:10.</w:t>
      </w:r>
    </w:p>
  </w:footnote>
  <w:footnote w:id="13546">
    <w:p>
      <w:pPr>
        <w:pStyle w:val="FootnoteText"/>
      </w:pPr>
      <w:r>
        <w:rPr>
          <w:rStyle w:val="FootnoteReference"/>
        </w:rPr>
        <w:footnoteRef/>
      </w:r>
      <w:r>
        <w:t xml:space="preserve"> Translation note: The Greek keeps the offering pair explicit. The current wording preserves that cultic line.</w:t>
      </w:r>
    </w:p>
  </w:footnote>
  <w:footnote w:id="13547">
    <w:p>
      <w:pPr>
        <w:pStyle w:val="FootnoteText"/>
      </w:pPr>
      <w:r>
        <w:rPr>
          <w:rStyle w:val="FootnoteReference"/>
        </w:rPr>
        <w:footnoteRef/>
      </w:r>
      <w:r>
        <w:t xml:space="preserve"> Cross-references for "Sanctify": 2Chr 20:3-4; Joel 2:15-16.</w:t>
      </w:r>
    </w:p>
  </w:footnote>
  <w:footnote w:id="13548">
    <w:p>
      <w:pPr>
        <w:pStyle w:val="FootnoteText"/>
      </w:pPr>
      <w:r>
        <w:rPr>
          <w:rStyle w:val="FootnoteReference"/>
        </w:rPr>
        <w:footnoteRef/>
      </w:r>
      <w:r>
        <w:t xml:space="preserve"> Cross-references for "Alas": Jer 30:7; Joel 2:2.</w:t>
      </w:r>
    </w:p>
  </w:footnote>
  <w:footnote w:id="13549">
    <w:p>
      <w:pPr>
        <w:pStyle w:val="FootnoteText"/>
      </w:pPr>
      <w:r>
        <w:rPr>
          <w:rStyle w:val="FootnoteReference"/>
        </w:rPr>
        <w:footnoteRef/>
      </w:r>
      <w:r>
        <w:t xml:space="preserve"> Cross-references for "Blow": Num 10:3; Num 10:8.</w:t>
      </w:r>
    </w:p>
  </w:footnote>
  <w:footnote w:id="13550">
    <w:p>
      <w:pPr>
        <w:pStyle w:val="FootnoteText"/>
      </w:pPr>
      <w:r>
        <w:rPr>
          <w:rStyle w:val="FootnoteReference"/>
        </w:rPr>
        <w:footnoteRef/>
      </w:r>
      <w:r>
        <w:t xml:space="preserve"> Cross-references for "A day of darkness": Exod 20:21; Ps 97:2.</w:t>
      </w:r>
    </w:p>
  </w:footnote>
  <w:footnote w:id="13551">
    <w:p>
      <w:pPr>
        <w:pStyle w:val="FootnoteText"/>
      </w:pPr>
      <w:r>
        <w:rPr>
          <w:rStyle w:val="FootnoteReference"/>
        </w:rPr>
        <w:footnoteRef/>
      </w:r>
      <w:r>
        <w:t xml:space="preserve"> Cross-references for "fire": Ps 50:3; Joel 1:19-20.</w:t>
      </w:r>
    </w:p>
  </w:footnote>
  <w:footnote w:id="13552">
    <w:p>
      <w:pPr>
        <w:pStyle w:val="FootnoteText"/>
      </w:pPr>
      <w:r>
        <w:rPr>
          <w:rStyle w:val="FootnoteReference"/>
        </w:rPr>
        <w:footnoteRef/>
      </w:r>
      <w:r>
        <w:t xml:space="preserve"> Cross-references for "climb": 2Sam 5:8; Jer 5:10.</w:t>
      </w:r>
    </w:p>
  </w:footnote>
  <w:footnote w:id="13553">
    <w:p>
      <w:pPr>
        <w:pStyle w:val="FootnoteText"/>
      </w:pPr>
      <w:r>
        <w:rPr>
          <w:rStyle w:val="FootnoteReference"/>
        </w:rPr>
        <w:footnoteRef/>
      </w:r>
      <w:r>
        <w:t xml:space="preserve"> Cross-references for "enter": Exod 10:6; Jer 9:21.</w:t>
      </w:r>
    </w:p>
  </w:footnote>
  <w:footnote w:id="13554">
    <w:p>
      <w:pPr>
        <w:pStyle w:val="FootnoteText"/>
      </w:pPr>
      <w:r>
        <w:rPr>
          <w:rStyle w:val="FootnoteReference"/>
        </w:rPr>
        <w:footnoteRef/>
      </w:r>
      <w:r>
        <w:t xml:space="preserve"> Cross-references for "the sun": Isa 13:10; Isa 34:4.</w:t>
      </w:r>
    </w:p>
  </w:footnote>
  <w:footnote w:id="13555">
    <w:p>
      <w:pPr>
        <w:pStyle w:val="FootnoteText"/>
      </w:pPr>
      <w:r>
        <w:rPr>
          <w:rStyle w:val="FootnoteReference"/>
        </w:rPr>
        <w:footnoteRef/>
      </w:r>
      <w:r>
        <w:t xml:space="preserve"> Cross-references for "with fasting": Judg 20:26; 1Sam 7:6.</w:t>
      </w:r>
    </w:p>
  </w:footnote>
  <w:footnote w:id="13556">
    <w:p>
      <w:pPr>
        <w:pStyle w:val="FootnoteText"/>
      </w:pPr>
      <w:r>
        <w:rPr>
          <w:rStyle w:val="FootnoteReference"/>
        </w:rPr>
        <w:footnoteRef/>
      </w:r>
      <w:r>
        <w:t xml:space="preserve"> Cross-references for "your garments": Gen 37:29; Gen 37:34.</w:t>
      </w:r>
    </w:p>
  </w:footnote>
  <w:footnote w:id="13557">
    <w:p>
      <w:pPr>
        <w:pStyle w:val="FootnoteText"/>
      </w:pPr>
      <w:r>
        <w:rPr>
          <w:rStyle w:val="FootnoteReference"/>
        </w:rPr>
        <w:footnoteRef/>
      </w:r>
      <w:r>
        <w:t xml:space="preserve"> Translation note: The Greek preserves the classic mercy formula in full. The current wording keeps that sequence close to the source-row line.</w:t>
      </w:r>
    </w:p>
  </w:footnote>
  <w:footnote w:id="13558">
    <w:p>
      <w:pPr>
        <w:pStyle w:val="FootnoteText"/>
      </w:pPr>
      <w:r>
        <w:rPr>
          <w:rStyle w:val="FootnoteReference"/>
        </w:rPr>
        <w:footnoteRef/>
      </w:r>
      <w:r>
        <w:t xml:space="preserve"> Cross-references for "and leave": Isa 65:8; Hag 2:19.</w:t>
      </w:r>
    </w:p>
  </w:footnote>
  <w:footnote w:id="13559">
    <w:p>
      <w:pPr>
        <w:pStyle w:val="FootnoteText"/>
      </w:pPr>
      <w:r>
        <w:rPr>
          <w:rStyle w:val="FootnoteReference"/>
        </w:rPr>
        <w:footnoteRef/>
      </w:r>
      <w:r>
        <w:t xml:space="preserve"> Translation note: The Greek keeps the offering pair explicit here. The current wording stays close to that cultic line.</w:t>
      </w:r>
    </w:p>
  </w:footnote>
  <w:footnote w:id="13560">
    <w:p>
      <w:pPr>
        <w:pStyle w:val="FootnoteText"/>
      </w:pPr>
      <w:r>
        <w:rPr>
          <w:rStyle w:val="FootnoteReference"/>
        </w:rPr>
        <w:footnoteRef/>
      </w:r>
      <w:r>
        <w:t xml:space="preserve"> Cross-references for "Blow": Num 10:3; Joel 2:1.</w:t>
      </w:r>
    </w:p>
  </w:footnote>
  <w:footnote w:id="13561">
    <w:p>
      <w:pPr>
        <w:pStyle w:val="FootnoteText"/>
      </w:pPr>
      <w:r>
        <w:rPr>
          <w:rStyle w:val="FootnoteReference"/>
        </w:rPr>
        <w:footnoteRef/>
      </w:r>
      <w:r>
        <w:t xml:space="preserve"> Cross-references for "sanctify": Exod 19:10; Exod 19:15.</w:t>
      </w:r>
    </w:p>
  </w:footnote>
  <w:footnote w:id="13562">
    <w:p>
      <w:pPr>
        <w:pStyle w:val="FootnoteText"/>
      </w:pPr>
      <w:r>
        <w:rPr>
          <w:rStyle w:val="FootnoteReference"/>
        </w:rPr>
        <w:footnoteRef/>
      </w:r>
      <w:r>
        <w:t xml:space="preserve"> Cross-references for "the priests": Joel 1:9; Joel 1:13.</w:t>
      </w:r>
    </w:p>
  </w:footnote>
  <w:footnote w:id="13563">
    <w:p>
      <w:pPr>
        <w:pStyle w:val="FootnoteText"/>
      </w:pPr>
      <w:r>
        <w:rPr>
          <w:rStyle w:val="FootnoteReference"/>
        </w:rPr>
        <w:footnoteRef/>
      </w:r>
      <w:r>
        <w:t xml:space="preserve"> Translation note: The Greek points to the altar-base area. The English uses at the base of the altar rather than the awkward between the base of the altar.</w:t>
      </w:r>
    </w:p>
  </w:footnote>
  <w:footnote w:id="13564">
    <w:p>
      <w:pPr>
        <w:pStyle w:val="FootnoteText"/>
      </w:pPr>
      <w:r>
        <w:rPr>
          <w:rStyle w:val="FootnoteReference"/>
        </w:rPr>
        <w:footnoteRef/>
      </w:r>
      <w:r>
        <w:t xml:space="preserve"> Cross-references for "be glad": Ps 65:12-13; Ps 96:11-12.</w:t>
      </w:r>
    </w:p>
  </w:footnote>
  <w:footnote w:id="13565">
    <w:p>
      <w:pPr>
        <w:pStyle w:val="FootnoteText"/>
      </w:pPr>
      <w:r>
        <w:rPr>
          <w:rStyle w:val="FootnoteReference"/>
        </w:rPr>
        <w:footnoteRef/>
      </w:r>
      <w:r>
        <w:t xml:space="preserve"> Cross-references for "rejoice": Ps 28:7; Ps 32:11.</w:t>
      </w:r>
    </w:p>
  </w:footnote>
  <w:footnote w:id="13566">
    <w:p>
      <w:pPr>
        <w:pStyle w:val="FootnoteText"/>
      </w:pPr>
      <w:r>
        <w:rPr>
          <w:rStyle w:val="FootnoteReference"/>
        </w:rPr>
        <w:footnoteRef/>
      </w:r>
      <w:r>
        <w:t xml:space="preserve"> Translation note: The Greek ties provision to righteousness in an unusual way. The current wording keeps that source-row line visible.</w:t>
      </w:r>
    </w:p>
  </w:footnote>
  <w:footnote w:id="13567">
    <w:p>
      <w:pPr>
        <w:pStyle w:val="FootnoteText"/>
      </w:pPr>
      <w:r>
        <w:rPr>
          <w:rStyle w:val="FootnoteReference"/>
        </w:rPr>
        <w:footnoteRef/>
      </w:r>
      <w:r>
        <w:t xml:space="preserve"> Translation note: The Greek uses the praise-name formula directly. The current wording preserves that formula close to the source-row line.</w:t>
      </w:r>
    </w:p>
  </w:footnote>
  <w:footnote w:id="13568">
    <w:p>
      <w:pPr>
        <w:pStyle w:val="FootnoteText"/>
      </w:pPr>
      <w:r>
        <w:rPr>
          <w:rStyle w:val="FootnoteReference"/>
        </w:rPr>
        <w:footnoteRef/>
      </w:r>
      <w:r>
        <w:t xml:space="preserve"> Cross-references for "and praise": Deut 12:7; Deut 12:12.</w:t>
      </w:r>
    </w:p>
  </w:footnote>
  <w:footnote w:id="13569">
    <w:p>
      <w:pPr>
        <w:pStyle w:val="FootnoteText"/>
      </w:pPr>
      <w:r>
        <w:rPr>
          <w:rStyle w:val="FootnoteReference"/>
        </w:rPr>
        <w:footnoteRef/>
      </w:r>
      <w:r>
        <w:t xml:space="preserve"> Translation note: The Greek uses the active call-on-name formula with salvation language. The current wording keeps that invocation formula explicit.</w:t>
      </w:r>
    </w:p>
  </w:footnote>
  <w:footnote w:id="13570">
    <w:p>
      <w:pPr>
        <w:pStyle w:val="FootnoteText"/>
      </w:pPr>
      <w:r>
        <w:rPr>
          <w:rStyle w:val="FootnoteReference"/>
        </w:rPr>
        <w:footnoteRef/>
      </w:r>
      <w:r>
        <w:t xml:space="preserve"> Cross-references for "The words": Jer 1:1; Jer 7:27.</w:t>
      </w:r>
    </w:p>
  </w:footnote>
  <w:footnote w:id="13571">
    <w:p>
      <w:pPr>
        <w:pStyle w:val="FootnoteText"/>
      </w:pPr>
      <w:r>
        <w:rPr>
          <w:rStyle w:val="FootnoteReference"/>
        </w:rPr>
        <w:footnoteRef/>
      </w:r>
      <w:r>
        <w:t xml:space="preserve"> Personal name: Amos. Personal-name meaning: Amos — loading; weighty. Source form: Amos.</w:t>
      </w:r>
    </w:p>
  </w:footnote>
  <w:footnote w:id="13572">
    <w:p>
      <w:pPr>
        <w:pStyle w:val="FootnoteText"/>
      </w:pPr>
      <w:r>
        <w:rPr>
          <w:rStyle w:val="FootnoteReference"/>
        </w:rPr>
        <w:footnoteRef/>
      </w:r>
      <w:r>
        <w:t xml:space="preserve"> Cross-references for "The Lord": Prov 20:2; Isa 42:13.</w:t>
      </w:r>
    </w:p>
  </w:footnote>
  <w:footnote w:id="13573">
    <w:p>
      <w:pPr>
        <w:pStyle w:val="FootnoteText"/>
      </w:pPr>
      <w:r>
        <w:rPr>
          <w:rStyle w:val="FootnoteReference"/>
        </w:rPr>
        <w:footnoteRef/>
      </w:r>
      <w:r>
        <w:t xml:space="preserve"> Cross-references for "Damascus": Isa 7:8; Isa 8:4.</w:t>
      </w:r>
    </w:p>
  </w:footnote>
  <w:footnote w:id="13574">
    <w:p>
      <w:pPr>
        <w:pStyle w:val="FootnoteText"/>
      </w:pPr>
      <w:r>
        <w:rPr>
          <w:rStyle w:val="FootnoteReference"/>
        </w:rPr>
        <w:footnoteRef/>
      </w:r>
      <w:r>
        <w:t xml:space="preserve"> Cross-references for "Hazael": 1Kgs 19:15; 2Kgs 8:7-15.</w:t>
      </w:r>
    </w:p>
  </w:footnote>
  <w:footnote w:id="13575">
    <w:p>
      <w:pPr>
        <w:pStyle w:val="FootnoteText"/>
      </w:pPr>
      <w:r>
        <w:rPr>
          <w:rStyle w:val="FootnoteReference"/>
        </w:rPr>
        <w:footnoteRef/>
      </w:r>
      <w:r>
        <w:t xml:space="preserve"> Cross-references for "three": Amos 1:3; Amos 1:9.</w:t>
      </w:r>
    </w:p>
  </w:footnote>
  <w:footnote w:id="13576">
    <w:p>
      <w:pPr>
        <w:pStyle w:val="FootnoteText"/>
      </w:pPr>
      <w:r>
        <w:rPr>
          <w:rStyle w:val="FootnoteReference"/>
        </w:rPr>
        <w:footnoteRef/>
      </w:r>
      <w:r>
        <w:t xml:space="preserve"> Cross-references for "Edom": Isa 21:11-12; Isa 34:1-17.</w:t>
      </w:r>
    </w:p>
  </w:footnote>
  <w:footnote w:id="13577">
    <w:p>
      <w:pPr>
        <w:pStyle w:val="FootnoteText"/>
      </w:pPr>
      <w:r>
        <w:rPr>
          <w:rStyle w:val="FootnoteReference"/>
        </w:rPr>
        <w:footnoteRef/>
      </w:r>
      <w:r>
        <w:t xml:space="preserve"> Cross-references for "Teman": Gen 36:11; Jer 49:7.</w:t>
      </w:r>
    </w:p>
  </w:footnote>
  <w:footnote w:id="13578">
    <w:p>
      <w:pPr>
        <w:pStyle w:val="FootnoteText"/>
      </w:pPr>
      <w:r>
        <w:rPr>
          <w:rStyle w:val="FootnoteReference"/>
        </w:rPr>
        <w:footnoteRef/>
      </w:r>
      <w:r>
        <w:t xml:space="preserve"> Cross-references for "and for": Deut 23:3-4; Judg 10:7-9.</w:t>
      </w:r>
    </w:p>
  </w:footnote>
  <w:footnote w:id="13579">
    <w:p>
      <w:pPr>
        <w:pStyle w:val="FootnoteText"/>
      </w:pPr>
      <w:r>
        <w:rPr>
          <w:rStyle w:val="FootnoteReference"/>
        </w:rPr>
        <w:footnoteRef/>
      </w:r>
      <w:r>
        <w:t xml:space="preserve"> Cross-references for "Rabbah": Deut 3:11; 2Sam 12:26.</w:t>
      </w:r>
    </w:p>
  </w:footnote>
  <w:footnote w:id="13580">
    <w:p>
      <w:pPr>
        <w:pStyle w:val="FootnoteText"/>
      </w:pPr>
      <w:r>
        <w:rPr>
          <w:rStyle w:val="FootnoteReference"/>
        </w:rPr>
        <w:footnoteRef/>
      </w:r>
      <w:r>
        <w:t xml:space="preserve"> Cross-references for "For three": Deut 23:4-5; Ps 83:4-7.</w:t>
      </w:r>
    </w:p>
  </w:footnote>
  <w:footnote w:id="13581">
    <w:p>
      <w:pPr>
        <w:pStyle w:val="FootnoteText"/>
      </w:pPr>
      <w:r>
        <w:rPr>
          <w:rStyle w:val="FootnoteReference"/>
        </w:rPr>
        <w:footnoteRef/>
      </w:r>
      <w:r>
        <w:t xml:space="preserve"> Cross-references for "Judah": 2Kgs 17:19; Jer 9:25-26.</w:t>
      </w:r>
    </w:p>
  </w:footnote>
  <w:footnote w:id="13582">
    <w:p>
      <w:pPr>
        <w:pStyle w:val="FootnoteText"/>
      </w:pPr>
      <w:r>
        <w:rPr>
          <w:rStyle w:val="FootnoteReference"/>
        </w:rPr>
        <w:footnoteRef/>
      </w:r>
      <w:r>
        <w:t xml:space="preserve"> Cross-references for "For three": 2Kgs 17:7-18; 2Kgs 18:12.</w:t>
      </w:r>
    </w:p>
  </w:footnote>
  <w:footnote w:id="13583">
    <w:p>
      <w:pPr>
        <w:pStyle w:val="FootnoteText"/>
      </w:pPr>
      <w:r>
        <w:rPr>
          <w:rStyle w:val="FootnoteReference"/>
        </w:rPr>
        <w:footnoteRef/>
      </w:r>
      <w:r>
        <w:t xml:space="preserve"> Translation note: Greek has singular righteous/poor object phrases. English supplies articles for readable singular idiom.</w:t>
      </w:r>
    </w:p>
  </w:footnote>
  <w:footnote w:id="13584">
    <w:p>
      <w:pPr>
        <w:pStyle w:val="FootnoteText"/>
      </w:pPr>
      <w:r>
        <w:rPr>
          <w:rStyle w:val="FootnoteReference"/>
        </w:rPr>
        <w:footnoteRef/>
      </w:r>
      <w:r>
        <w:t xml:space="preserve"> Cross-references for "and a": Lev 18:8; Lev 18:15.</w:t>
      </w:r>
    </w:p>
  </w:footnote>
  <w:footnote w:id="13585">
    <w:p>
      <w:pPr>
        <w:pStyle w:val="FootnoteText"/>
      </w:pPr>
      <w:r>
        <w:rPr>
          <w:rStyle w:val="FootnoteReference"/>
        </w:rPr>
        <w:footnoteRef/>
      </w:r>
      <w:r>
        <w:t xml:space="preserve"> Translation note: The Greek ties the sexual act to profaning the divine name. The current wording keeps that line explicit.</w:t>
      </w:r>
    </w:p>
  </w:footnote>
  <w:footnote w:id="13586">
    <w:p>
      <w:pPr>
        <w:pStyle w:val="FootnoteText"/>
      </w:pPr>
      <w:r>
        <w:rPr>
          <w:rStyle w:val="FootnoteReference"/>
        </w:rPr>
        <w:footnoteRef/>
      </w:r>
      <w:r>
        <w:t xml:space="preserve"> Cross-references for "I brought": Exod 12:51; Neh 9:8-12.</w:t>
      </w:r>
    </w:p>
  </w:footnote>
  <w:footnote w:id="13587">
    <w:p>
      <w:pPr>
        <w:pStyle w:val="FootnoteText"/>
      </w:pPr>
      <w:r>
        <w:rPr>
          <w:rStyle w:val="FootnoteReference"/>
        </w:rPr>
        <w:footnoteRef/>
      </w:r>
      <w:r>
        <w:t xml:space="preserve"> Cross-references for "behold": Ps 78:40; Isa 1:14.</w:t>
      </w:r>
    </w:p>
  </w:footnote>
  <w:footnote w:id="13588">
    <w:p>
      <w:pPr>
        <w:pStyle w:val="FootnoteText"/>
      </w:pPr>
      <w:r>
        <w:rPr>
          <w:rStyle w:val="FootnoteReference"/>
        </w:rPr>
        <w:footnoteRef/>
      </w:r>
      <w:r>
        <w:t xml:space="preserve"> Cross-references for "flee": Judg 4:17; 2Kgs 7:8-20.</w:t>
      </w:r>
    </w:p>
  </w:footnote>
  <w:footnote w:id="13589">
    <w:p>
      <w:pPr>
        <w:pStyle w:val="FootnoteText"/>
      </w:pPr>
      <w:r>
        <w:rPr>
          <w:rStyle w:val="FootnoteReference"/>
        </w:rPr>
        <w:footnoteRef/>
      </w:r>
      <w:r>
        <w:t xml:space="preserve"> Cross-references for "Hear": 2Chr 20:15; Isa 46:3.</w:t>
      </w:r>
    </w:p>
  </w:footnote>
  <w:footnote w:id="13590">
    <w:p>
      <w:pPr>
        <w:pStyle w:val="FootnoteText"/>
      </w:pPr>
      <w:r>
        <w:rPr>
          <w:rStyle w:val="FootnoteReference"/>
        </w:rPr>
        <w:footnoteRef/>
      </w:r>
      <w:r>
        <w:t xml:space="preserve"> Cross-references for "Only": Exod 19:5-6; Deut 7:6.</w:t>
      </w:r>
    </w:p>
  </w:footnote>
  <w:footnote w:id="13591">
    <w:p>
      <w:pPr>
        <w:pStyle w:val="FootnoteText"/>
      </w:pPr>
      <w:r>
        <w:rPr>
          <w:rStyle w:val="FootnoteReference"/>
        </w:rPr>
        <w:footnoteRef/>
      </w:r>
      <w:r>
        <w:t xml:space="preserve"> Cross-references for "a lion": Ps 104:21; Hos 11:10.</w:t>
      </w:r>
    </w:p>
  </w:footnote>
  <w:footnote w:id="13592">
    <w:p>
      <w:pPr>
        <w:pStyle w:val="FootnoteText"/>
      </w:pPr>
      <w:r>
        <w:rPr>
          <w:rStyle w:val="FootnoteReference"/>
        </w:rPr>
        <w:footnoteRef/>
      </w:r>
      <w:r>
        <w:t xml:space="preserve"> Cross-references for "a trumpet": Jer 4:5; Jer 6:1.</w:t>
      </w:r>
    </w:p>
  </w:footnote>
  <w:footnote w:id="13593">
    <w:p>
      <w:pPr>
        <w:pStyle w:val="FootnoteText"/>
      </w:pPr>
      <w:r>
        <w:rPr>
          <w:rStyle w:val="FootnoteReference"/>
        </w:rPr>
        <w:footnoteRef/>
      </w:r>
      <w:r>
        <w:t xml:space="preserve"> Translation note: The Greek says the Lord reveals his παιδεία to his servants the prophets. The current wording keeps that term visible instead of flattening it into generic counsel.</w:t>
      </w:r>
    </w:p>
  </w:footnote>
  <w:footnote w:id="13594">
    <w:p>
      <w:pPr>
        <w:pStyle w:val="FootnoteText"/>
      </w:pPr>
      <w:r>
        <w:rPr>
          <w:rStyle w:val="FootnoteReference"/>
        </w:rPr>
        <w:footnoteRef/>
      </w:r>
      <w:r>
        <w:t xml:space="preserve"> Cross-references for "lion": Amos 1:2; Amos 3:4.</w:t>
      </w:r>
    </w:p>
  </w:footnote>
  <w:footnote w:id="13595">
    <w:p>
      <w:pPr>
        <w:pStyle w:val="FootnoteText"/>
      </w:pPr>
      <w:r>
        <w:rPr>
          <w:rStyle w:val="FootnoteReference"/>
        </w:rPr>
        <w:footnoteRef/>
      </w:r>
      <w:r>
        <w:t xml:space="preserve"> Cross-references for "and testify": Deut 8:19; Deut 30:18-19.</w:t>
      </w:r>
    </w:p>
  </w:footnote>
  <w:footnote w:id="13596">
    <w:p>
      <w:pPr>
        <w:pStyle w:val="FootnoteText"/>
      </w:pPr>
      <w:r>
        <w:rPr>
          <w:rStyle w:val="FootnoteReference"/>
        </w:rPr>
        <w:footnoteRef/>
      </w:r>
      <w:r>
        <w:t xml:space="preserve"> Cross-references for "the summer": Judg 3:20.</w:t>
      </w:r>
    </w:p>
  </w:footnote>
  <w:footnote w:id="13597">
    <w:p>
      <w:pPr>
        <w:pStyle w:val="FootnoteText"/>
      </w:pPr>
      <w:r>
        <w:rPr>
          <w:rStyle w:val="FootnoteReference"/>
        </w:rPr>
        <w:footnoteRef/>
      </w:r>
      <w:r>
        <w:t xml:space="preserve"> Cross-references for "the mountain": 1Kgs 16:24; Amos 6:1.</w:t>
      </w:r>
    </w:p>
  </w:footnote>
  <w:footnote w:id="13598">
    <w:p>
      <w:pPr>
        <w:pStyle w:val="FootnoteText"/>
      </w:pPr>
      <w:r>
        <w:rPr>
          <w:rStyle w:val="FootnoteReference"/>
        </w:rPr>
        <w:footnoteRef/>
      </w:r>
      <w:r>
        <w:t xml:space="preserve"> Cross-references for "Proclaim": Lev 22:18-21; Deut 12:6-7.</w:t>
      </w:r>
    </w:p>
  </w:footnote>
  <w:footnote w:id="13599">
    <w:p>
      <w:pPr>
        <w:pStyle w:val="FootnoteText"/>
      </w:pPr>
      <w:r>
        <w:rPr>
          <w:rStyle w:val="FootnoteReference"/>
        </w:rPr>
        <w:footnoteRef/>
      </w:r>
      <w:r>
        <w:t xml:space="preserve"> Cross-references for "your young": Lev 26:25; 2Kgs 8:12.</w:t>
      </w:r>
    </w:p>
  </w:footnote>
  <w:footnote w:id="13600">
    <w:p>
      <w:pPr>
        <w:pStyle w:val="FootnoteText"/>
      </w:pPr>
      <w:r>
        <w:rPr>
          <w:rStyle w:val="FootnoteReference"/>
        </w:rPr>
        <w:footnoteRef/>
      </w:r>
      <w:r>
        <w:t xml:space="preserve"> Cross-references for "as God": Gen 19:24-25; Isa 13:19.</w:t>
      </w:r>
    </w:p>
  </w:footnote>
  <w:footnote w:id="13601">
    <w:p>
      <w:pPr>
        <w:pStyle w:val="FootnoteText"/>
      </w:pPr>
      <w:r>
        <w:rPr>
          <w:rStyle w:val="FootnoteReference"/>
        </w:rPr>
        <w:footnoteRef/>
      </w:r>
      <w:r>
        <w:t xml:space="preserve"> Cross-references for "thus": Amos 2:14; Amos 4:2-3.</w:t>
      </w:r>
    </w:p>
  </w:footnote>
  <w:footnote w:id="13602">
    <w:p>
      <w:pPr>
        <w:pStyle w:val="FootnoteText"/>
      </w:pPr>
      <w:r>
        <w:rPr>
          <w:rStyle w:val="FootnoteReference"/>
        </w:rPr>
        <w:footnoteRef/>
      </w:r>
      <w:r>
        <w:t xml:space="preserve"> Cross-references for "he that": Job 38:4-11; Ps 65:6.</w:t>
      </w:r>
    </w:p>
  </w:footnote>
  <w:footnote w:id="13603">
    <w:p>
      <w:pPr>
        <w:pStyle w:val="FootnoteText"/>
      </w:pPr>
      <w:r>
        <w:rPr>
          <w:rStyle w:val="FootnoteReference"/>
        </w:rPr>
        <w:footnoteRef/>
      </w:r>
      <w:r>
        <w:t xml:space="preserve"> Translation note: The Greek line says he proclaims to humans his anointed one. The current wording keeps that unexpected Christos-language visible in the verse.</w:t>
      </w:r>
    </w:p>
  </w:footnote>
  <w:footnote w:id="13604">
    <w:p>
      <w:pPr>
        <w:pStyle w:val="FootnoteText"/>
      </w:pPr>
      <w:r>
        <w:rPr>
          <w:rStyle w:val="FootnoteReference"/>
        </w:rPr>
        <w:footnoteRef/>
      </w:r>
      <w:r>
        <w:t xml:space="preserve"> Cross-references for "Hear": Amos 3:1; Amos 4:1.</w:t>
      </w:r>
    </w:p>
  </w:footnote>
  <w:footnote w:id="13605">
    <w:p>
      <w:pPr>
        <w:pStyle w:val="FootnoteText"/>
      </w:pPr>
      <w:r>
        <w:rPr>
          <w:rStyle w:val="FootnoteReference"/>
        </w:rPr>
        <w:footnoteRef/>
      </w:r>
      <w:r>
        <w:t xml:space="preserve"> Cross-references for "Virgin": Isa 37:22; Jer 14:17.</w:t>
      </w:r>
    </w:p>
  </w:footnote>
  <w:footnote w:id="13606">
    <w:p>
      <w:pPr>
        <w:pStyle w:val="FootnoteText"/>
      </w:pPr>
      <w:r>
        <w:rPr>
          <w:rStyle w:val="FootnoteReference"/>
        </w:rPr>
        <w:footnoteRef/>
      </w:r>
      <w:r>
        <w:t xml:space="preserve"> Cross-references for "Seek": Deut 30:1-8; 1Chr 28:9.</w:t>
      </w:r>
    </w:p>
  </w:footnote>
  <w:footnote w:id="13607">
    <w:p>
      <w:pPr>
        <w:pStyle w:val="FootnoteText"/>
      </w:pPr>
      <w:r>
        <w:rPr>
          <w:rStyle w:val="FootnoteReference"/>
        </w:rPr>
        <w:footnoteRef/>
      </w:r>
      <w:r>
        <w:t xml:space="preserve"> Cross-references for "seek": Hos 4:15; Hos 9:15.</w:t>
      </w:r>
    </w:p>
  </w:footnote>
  <w:footnote w:id="13608">
    <w:p>
      <w:pPr>
        <w:pStyle w:val="FootnoteText"/>
      </w:pPr>
      <w:r>
        <w:rPr>
          <w:rStyle w:val="FootnoteReference"/>
        </w:rPr>
        <w:footnoteRef/>
      </w:r>
      <w:r>
        <w:t xml:space="preserve"> Cross-references for "Seek": Ezek 33:11; Amos 5:4.</w:t>
      </w:r>
    </w:p>
  </w:footnote>
  <w:footnote w:id="13609">
    <w:p>
      <w:pPr>
        <w:pStyle w:val="FootnoteText"/>
      </w:pPr>
      <w:r>
        <w:rPr>
          <w:rStyle w:val="FootnoteReference"/>
        </w:rPr>
        <w:footnoteRef/>
      </w:r>
      <w:r>
        <w:t xml:space="preserve"> Translation note: Logos export confirms this as part of the doxology: establishing judgment on high and setting righteousness upon the earth.</w:t>
      </w:r>
    </w:p>
  </w:footnote>
  <w:footnote w:id="13610">
    <w:p>
      <w:pPr>
        <w:pStyle w:val="FootnoteText"/>
      </w:pPr>
      <w:r>
        <w:rPr>
          <w:rStyle w:val="FootnoteReference"/>
        </w:rPr>
        <w:footnoteRef/>
      </w:r>
      <w:r>
        <w:t xml:space="preserve"> Cross-references for "the Lord": Amos 4:13.</w:t>
      </w:r>
    </w:p>
  </w:footnote>
  <w:footnote w:id="13611">
    <w:p>
      <w:pPr>
        <w:pStyle w:val="FootnoteText"/>
      </w:pPr>
      <w:r>
        <w:rPr>
          <w:rStyle w:val="FootnoteReference"/>
        </w:rPr>
        <w:footnoteRef/>
      </w:r>
      <w:r>
        <w:t xml:space="preserve"> Cross-references for "an evil": Eccl 9:12; Isa 37:3.</w:t>
      </w:r>
    </w:p>
  </w:footnote>
  <w:footnote w:id="13612">
    <w:p>
      <w:pPr>
        <w:pStyle w:val="FootnoteText"/>
      </w:pPr>
      <w:r>
        <w:rPr>
          <w:rStyle w:val="FootnoteReference"/>
        </w:rPr>
        <w:footnoteRef/>
      </w:r>
      <w:r>
        <w:t xml:space="preserve"> Cross-references for "Seek": Ps 34:12-16; Prov 11:27.</w:t>
      </w:r>
    </w:p>
  </w:footnote>
  <w:footnote w:id="13613">
    <w:p>
      <w:pPr>
        <w:pStyle w:val="FootnoteText"/>
      </w:pPr>
      <w:r>
        <w:rPr>
          <w:rStyle w:val="FootnoteReference"/>
        </w:rPr>
        <w:footnoteRef/>
      </w:r>
      <w:r>
        <w:t xml:space="preserve"> Translation note: The Greek uses a gate-judgment formula here. The current wording keeps that civic-judicial line explicit.</w:t>
      </w:r>
    </w:p>
  </w:footnote>
  <w:footnote w:id="13614">
    <w:p>
      <w:pPr>
        <w:pStyle w:val="FootnoteText"/>
      </w:pPr>
      <w:r>
        <w:rPr>
          <w:rStyle w:val="FootnoteReference"/>
        </w:rPr>
        <w:footnoteRef/>
      </w:r>
      <w:r>
        <w:t xml:space="preserve"> Cross-references for "the remnant": 2Kgs 13:7; 2Kgs 14:26-27.</w:t>
      </w:r>
    </w:p>
  </w:footnote>
  <w:footnote w:id="13615">
    <w:p>
      <w:pPr>
        <w:pStyle w:val="FootnoteText"/>
      </w:pPr>
      <w:r>
        <w:rPr>
          <w:rStyle w:val="FootnoteReference"/>
        </w:rPr>
        <w:footnoteRef/>
      </w:r>
      <w:r>
        <w:t xml:space="preserve"> Cross-references for "the Lord": Amos 3:13; Amos 5:27.</w:t>
      </w:r>
    </w:p>
  </w:footnote>
  <w:footnote w:id="13616">
    <w:p>
      <w:pPr>
        <w:pStyle w:val="FootnoteText"/>
      </w:pPr>
      <w:r>
        <w:rPr>
          <w:rStyle w:val="FootnoteReference"/>
        </w:rPr>
        <w:footnoteRef/>
      </w:r>
      <w:r>
        <w:t xml:space="preserve"> Cross-references for "darkness": Job 3:4-6; Job 10:21-22.</w:t>
      </w:r>
    </w:p>
  </w:footnote>
  <w:footnote w:id="13617">
    <w:p>
      <w:pPr>
        <w:pStyle w:val="FootnoteText"/>
      </w:pPr>
      <w:r>
        <w:rPr>
          <w:rStyle w:val="FootnoteReference"/>
        </w:rPr>
        <w:footnoteRef/>
      </w:r>
      <w:r>
        <w:t xml:space="preserve"> Cross-references for "beyond": 2Kgs 15:29; 2Kgs 17:6.</w:t>
      </w:r>
    </w:p>
  </w:footnote>
  <w:footnote w:id="13618">
    <w:p>
      <w:pPr>
        <w:pStyle w:val="FootnoteText"/>
      </w:pPr>
      <w:r>
        <w:rPr>
          <w:rStyle w:val="FootnoteReference"/>
        </w:rPr>
        <w:footnoteRef/>
      </w:r>
      <w:r>
        <w:t xml:space="preserve"> Cross-references for "to them": Judg 18:7; Isa 32:9-11.</w:t>
      </w:r>
    </w:p>
  </w:footnote>
  <w:footnote w:id="13619">
    <w:p>
      <w:pPr>
        <w:pStyle w:val="FootnoteText"/>
      </w:pPr>
      <w:r>
        <w:rPr>
          <w:rStyle w:val="FootnoteReference"/>
        </w:rPr>
        <w:footnoteRef/>
      </w:r>
      <w:r>
        <w:t xml:space="preserve"> Cross-references for "Pass": Jer 2:10-11; Nah 3:8.</w:t>
      </w:r>
    </w:p>
  </w:footnote>
  <w:footnote w:id="13620">
    <w:p>
      <w:pPr>
        <w:pStyle w:val="FootnoteText"/>
      </w:pPr>
      <w:r>
        <w:rPr>
          <w:rStyle w:val="FootnoteReference"/>
        </w:rPr>
        <w:footnoteRef/>
      </w:r>
      <w:r>
        <w:t xml:space="preserve"> Cross-references for "I abhor": Lev 26:11; Ps 78:59.</w:t>
      </w:r>
    </w:p>
  </w:footnote>
  <w:footnote w:id="13621">
    <w:p>
      <w:pPr>
        <w:pStyle w:val="FootnoteText"/>
      </w:pPr>
      <w:r>
        <w:rPr>
          <w:rStyle w:val="FootnoteReference"/>
        </w:rPr>
        <w:footnoteRef/>
      </w:r>
      <w:r>
        <w:t xml:space="preserve"> Cross-references for "the Lord": Ps 105:16; Ps 105:31.</w:t>
      </w:r>
    </w:p>
  </w:footnote>
  <w:footnote w:id="13622">
    <w:p>
      <w:pPr>
        <w:pStyle w:val="FootnoteText"/>
      </w:pPr>
      <w:r>
        <w:rPr>
          <w:rStyle w:val="FootnoteReference"/>
        </w:rPr>
        <w:footnoteRef/>
      </w:r>
      <w:r>
        <w:t xml:space="preserve"> Cross-references for "horses": Isa 48:4; Jer 5:3.</w:t>
      </w:r>
    </w:p>
  </w:footnote>
  <w:footnote w:id="13623">
    <w:p>
      <w:pPr>
        <w:pStyle w:val="FootnoteText"/>
      </w:pPr>
      <w:r>
        <w:rPr>
          <w:rStyle w:val="FootnoteReference"/>
        </w:rPr>
        <w:footnoteRef/>
      </w:r>
      <w:r>
        <w:t xml:space="preserve"> Cross-references for "showed": Jer 1:11-16; Jer 24:1.</w:t>
      </w:r>
    </w:p>
  </w:footnote>
  <w:footnote w:id="13624">
    <w:p>
      <w:pPr>
        <w:pStyle w:val="FootnoteText"/>
      </w:pPr>
      <w:r>
        <w:rPr>
          <w:rStyle w:val="FootnoteReference"/>
        </w:rPr>
        <w:footnoteRef/>
      </w:r>
      <w:r>
        <w:t xml:space="preserve"> Cross-references for "showed": Amos 7:1; Amos 7:7.</w:t>
      </w:r>
    </w:p>
  </w:footnote>
  <w:footnote w:id="13625">
    <w:p>
      <w:pPr>
        <w:pStyle w:val="FootnoteText"/>
      </w:pPr>
      <w:r>
        <w:rPr>
          <w:rStyle w:val="FootnoteReference"/>
        </w:rPr>
        <w:footnoteRef/>
      </w:r>
      <w:r>
        <w:t xml:space="preserve"> Cross-references for "cease": Ps 85:4; Isa 10:25.</w:t>
      </w:r>
    </w:p>
  </w:footnote>
  <w:footnote w:id="13626">
    <w:p>
      <w:pPr>
        <w:pStyle w:val="FootnoteText"/>
      </w:pPr>
      <w:r>
        <w:rPr>
          <w:rStyle w:val="FootnoteReference"/>
        </w:rPr>
        <w:footnoteRef/>
      </w:r>
      <w:r>
        <w:t xml:space="preserve"> Cross-references for "Amos": Jer 1:11-13; Zech 5:2.</w:t>
      </w:r>
    </w:p>
  </w:footnote>
  <w:footnote w:id="13627">
    <w:p>
      <w:pPr>
        <w:pStyle w:val="FootnoteText"/>
      </w:pPr>
      <w:r>
        <w:rPr>
          <w:rStyle w:val="FootnoteReference"/>
        </w:rPr>
        <w:footnoteRef/>
      </w:r>
      <w:r>
        <w:t xml:space="preserve"> Cross-references for "the priest": 1Kgs 12:31-32; 1Kgs 13:33.</w:t>
      </w:r>
    </w:p>
  </w:footnote>
  <w:footnote w:id="13628">
    <w:p>
      <w:pPr>
        <w:pStyle w:val="FootnoteText"/>
      </w:pPr>
      <w:r>
        <w:rPr>
          <w:rStyle w:val="FootnoteReference"/>
        </w:rPr>
        <w:footnoteRef/>
      </w:r>
      <w:r>
        <w:t xml:space="preserve"> Cross-references for "thus": Jer 26:9; Jer 28:10-11.</w:t>
      </w:r>
    </w:p>
  </w:footnote>
  <w:footnote w:id="13629">
    <w:p>
      <w:pPr>
        <w:pStyle w:val="FootnoteText"/>
      </w:pPr>
      <w:r>
        <w:rPr>
          <w:rStyle w:val="FootnoteReference"/>
        </w:rPr>
        <w:footnoteRef/>
      </w:r>
      <w:r>
        <w:t xml:space="preserve"> Cross-references for "prophesy": Amos 2:12; Acts 4:17-18.</w:t>
      </w:r>
    </w:p>
  </w:footnote>
  <w:footnote w:id="13630">
    <w:p>
      <w:pPr>
        <w:pStyle w:val="FootnoteText"/>
      </w:pPr>
      <w:r>
        <w:rPr>
          <w:rStyle w:val="FootnoteReference"/>
        </w:rPr>
        <w:footnoteRef/>
      </w:r>
      <w:r>
        <w:t xml:space="preserve"> Cross-references for "took": 2Sam 7:8; Ps 78:70-72.</w:t>
      </w:r>
    </w:p>
  </w:footnote>
  <w:footnote w:id="13631">
    <w:p>
      <w:pPr>
        <w:pStyle w:val="FootnoteText"/>
      </w:pPr>
      <w:r>
        <w:rPr>
          <w:rStyle w:val="FootnoteReference"/>
        </w:rPr>
        <w:footnoteRef/>
      </w:r>
      <w:r>
        <w:t xml:space="preserve"> Cross-references for "hear": 1Sam 15:16; 1Kgs 22:19.</w:t>
      </w:r>
    </w:p>
  </w:footnote>
  <w:footnote w:id="13632">
    <w:p>
      <w:pPr>
        <w:pStyle w:val="FootnoteText"/>
      </w:pPr>
      <w:r>
        <w:rPr>
          <w:rStyle w:val="FootnoteReference"/>
        </w:rPr>
        <w:footnoteRef/>
      </w:r>
      <w:r>
        <w:t xml:space="preserve"> Cross-references for "and Israel": Lev 26:33-39; Jer 36:27-32.</w:t>
      </w:r>
    </w:p>
  </w:footnote>
  <w:footnote w:id="13633">
    <w:p>
      <w:pPr>
        <w:pStyle w:val="FootnoteText"/>
      </w:pPr>
      <w:r>
        <w:rPr>
          <w:rStyle w:val="FootnoteReference"/>
        </w:rPr>
        <w:footnoteRef/>
      </w:r>
      <w:r>
        <w:t xml:space="preserve"> Cross-references for "Amos": Jer 1:11-14; Ezek 8:6.</w:t>
      </w:r>
    </w:p>
  </w:footnote>
  <w:footnote w:id="13634">
    <w:p>
      <w:pPr>
        <w:pStyle w:val="FootnoteText"/>
      </w:pPr>
      <w:r>
        <w:rPr>
          <w:rStyle w:val="FootnoteReference"/>
        </w:rPr>
        <w:footnoteRef/>
      </w:r>
      <w:r>
        <w:t xml:space="preserve"> Cross-references for "Hear": 1Kgs 22:19; Isa 1:10.</w:t>
      </w:r>
    </w:p>
  </w:footnote>
  <w:footnote w:id="13635">
    <w:p>
      <w:pPr>
        <w:pStyle w:val="FootnoteText"/>
      </w:pPr>
      <w:r>
        <w:rPr>
          <w:rStyle w:val="FootnoteReference"/>
        </w:rPr>
        <w:footnoteRef/>
      </w:r>
      <w:r>
        <w:t xml:space="preserve"> Cross-references for "making": Lev 19:36; Deut 25:13-16.</w:t>
      </w:r>
    </w:p>
  </w:footnote>
  <w:footnote w:id="13636">
    <w:p>
      <w:pPr>
        <w:pStyle w:val="FootnoteText"/>
      </w:pPr>
      <w:r>
        <w:rPr>
          <w:rStyle w:val="FootnoteReference"/>
        </w:rPr>
        <w:footnoteRef/>
      </w:r>
      <w:r>
        <w:t xml:space="preserve"> Cross-references for "rise": Isa 8:7-8; Jer 46:8.</w:t>
      </w:r>
    </w:p>
  </w:footnote>
  <w:footnote w:id="13637">
    <w:p>
      <w:pPr>
        <w:pStyle w:val="FootnoteText"/>
      </w:pPr>
      <w:r>
        <w:rPr>
          <w:rStyle w:val="FootnoteReference"/>
        </w:rPr>
        <w:footnoteRef/>
      </w:r>
      <w:r>
        <w:t xml:space="preserve"> Cross-references for "I will turn": Deut 16:14; 1Sam 25:36-38.</w:t>
      </w:r>
    </w:p>
  </w:footnote>
  <w:footnote w:id="13638">
    <w:p>
      <w:pPr>
        <w:pStyle w:val="FootnoteText"/>
      </w:pPr>
      <w:r>
        <w:rPr>
          <w:rStyle w:val="FootnoteReference"/>
        </w:rPr>
        <w:footnoteRef/>
      </w:r>
      <w:r>
        <w:t xml:space="preserve"> Cross-references for "Beersheba": Amos 8:5.</w:t>
      </w:r>
    </w:p>
  </w:footnote>
  <w:footnote w:id="13639">
    <w:p>
      <w:pPr>
        <w:pStyle w:val="FootnoteText"/>
      </w:pPr>
      <w:r>
        <w:rPr>
          <w:rStyle w:val="FootnoteReference"/>
        </w:rPr>
        <w:footnoteRef/>
      </w:r>
      <w:r>
        <w:t xml:space="preserve"> Cross-references for "I saw": 2Chr 18:18; Isa 6:1.</w:t>
      </w:r>
    </w:p>
  </w:footnote>
  <w:footnote w:id="13640">
    <w:p>
      <w:pPr>
        <w:pStyle w:val="FootnoteText"/>
      </w:pPr>
      <w:r>
        <w:rPr>
          <w:rStyle w:val="FootnoteReference"/>
        </w:rPr>
        <w:footnoteRef/>
      </w:r>
      <w:r>
        <w:t xml:space="preserve"> Translation note: The Greek uses the cultic term hilasterion here. The current wording keeps mercy-seat visible rather than replacing it with a generic altar-top phrase.</w:t>
      </w:r>
    </w:p>
  </w:footnote>
  <w:footnote w:id="13641">
    <w:p>
      <w:pPr>
        <w:pStyle w:val="FootnoteText"/>
      </w:pPr>
      <w:r>
        <w:rPr>
          <w:rStyle w:val="FootnoteReference"/>
        </w:rPr>
        <w:footnoteRef/>
      </w:r>
      <w:r>
        <w:t xml:space="preserve"> Cross-references for "hide": Job 34:22; Jer 23:23-24.</w:t>
      </w:r>
    </w:p>
  </w:footnote>
  <w:footnote w:id="13642">
    <w:p>
      <w:pPr>
        <w:pStyle w:val="FootnoteText"/>
      </w:pPr>
      <w:r>
        <w:rPr>
          <w:rStyle w:val="FootnoteReference"/>
        </w:rPr>
        <w:footnoteRef/>
      </w:r>
      <w:r>
        <w:t xml:space="preserve"> Cross-references for "the Lord": Exod 3:14-15; Amos 4:13.</w:t>
      </w:r>
    </w:p>
  </w:footnote>
  <w:footnote w:id="13643">
    <w:p>
      <w:pPr>
        <w:pStyle w:val="FootnoteText"/>
      </w:pPr>
      <w:r>
        <w:rPr>
          <w:rStyle w:val="FootnoteReference"/>
        </w:rPr>
        <w:footnoteRef/>
      </w:r>
      <w:r>
        <w:t xml:space="preserve"> Cross-references for "the eyes": Ps 11:4-6; Prov 5:21.</w:t>
      </w:r>
    </w:p>
  </w:footnote>
  <w:footnote w:id="13644">
    <w:p>
      <w:pPr>
        <w:pStyle w:val="FootnoteText"/>
      </w:pPr>
      <w:r>
        <w:rPr>
          <w:rStyle w:val="FootnoteReference"/>
        </w:rPr>
        <w:footnoteRef/>
      </w:r>
      <w:r>
        <w:t xml:space="preserve"> Cross-references for "that day": Acts 15:15-17.</w:t>
      </w:r>
    </w:p>
  </w:footnote>
  <w:footnote w:id="13645">
    <w:p>
      <w:pPr>
        <w:pStyle w:val="FootnoteText"/>
      </w:pPr>
      <w:r>
        <w:rPr>
          <w:rStyle w:val="FootnoteReference"/>
        </w:rPr>
        <w:footnoteRef/>
      </w:r>
      <w:r>
        <w:t xml:space="preserve"> Translation note: The Greek line doubles the name-upon expression in a marked way. The current wording preserves that LXX shape rather than smoothing it out.</w:t>
      </w:r>
    </w:p>
  </w:footnote>
  <w:footnote w:id="13646">
    <w:p>
      <w:pPr>
        <w:pStyle w:val="FootnoteText"/>
      </w:pPr>
      <w:r>
        <w:rPr>
          <w:rStyle w:val="FootnoteReference"/>
        </w:rPr>
        <w:footnoteRef/>
      </w:r>
      <w:r>
        <w:t xml:space="preserve"> Cross-references for "the mountains": Isa 35:1-2; Isa 55:13.</w:t>
      </w:r>
    </w:p>
  </w:footnote>
  <w:footnote w:id="13647">
    <w:p>
      <w:pPr>
        <w:pStyle w:val="FootnoteText"/>
      </w:pPr>
      <w:r>
        <w:rPr>
          <w:rStyle w:val="FootnoteReference"/>
        </w:rPr>
        <w:footnoteRef/>
      </w:r>
      <w:r>
        <w:t xml:space="preserve"> Cross-references for "plant": Isa 62:8-9; Ezek 28:26.</w:t>
      </w:r>
    </w:p>
  </w:footnote>
  <w:footnote w:id="13648">
    <w:p>
      <w:pPr>
        <w:pStyle w:val="FootnoteText"/>
      </w:pPr>
      <w:r>
        <w:rPr>
          <w:rStyle w:val="FootnoteReference"/>
        </w:rPr>
        <w:footnoteRef/>
      </w:r>
      <w:r>
        <w:t xml:space="preserve"> Translation note: The Greek opens with a compact prophetic formula to Idumea. The current wording keeps that line direct.</w:t>
      </w:r>
    </w:p>
  </w:footnote>
  <w:footnote w:id="13649">
    <w:p>
      <w:pPr>
        <w:pStyle w:val="FootnoteText"/>
      </w:pPr>
      <w:r>
        <w:rPr>
          <w:rStyle w:val="FootnoteReference"/>
        </w:rPr>
        <w:footnoteRef/>
      </w:r>
      <w:r>
        <w:t xml:space="preserve"> Place name: Idumea. Place-name meaning: Edom — red; earthy; bloody. Standard English equivalent: Edom. Source form: Idumea. Greek form: ιδουμαια.</w:t>
      </w:r>
    </w:p>
  </w:footnote>
  <w:footnote w:id="13650">
    <w:p>
      <w:pPr>
        <w:pStyle w:val="FootnoteText"/>
      </w:pPr>
      <w:r>
        <w:rPr>
          <w:rStyle w:val="FootnoteReference"/>
        </w:rPr>
        <w:footnoteRef/>
      </w:r>
      <w:r>
        <w:t xml:space="preserve"> Cross-references for "among": Isa 14:12-15; Jer 51:53.</w:t>
      </w:r>
    </w:p>
  </w:footnote>
  <w:footnote w:id="13651">
    <w:p>
      <w:pPr>
        <w:pStyle w:val="FootnoteText"/>
      </w:pPr>
      <w:r>
        <w:rPr>
          <w:rStyle w:val="FootnoteReference"/>
        </w:rPr>
        <w:footnoteRef/>
      </w:r>
      <w:r>
        <w:t xml:space="preserve"> Cross-references for "the men of": Ps 55:12-13; Jer 4:30.</w:t>
      </w:r>
    </w:p>
  </w:footnote>
  <w:footnote w:id="13652">
    <w:p>
      <w:pPr>
        <w:pStyle w:val="FootnoteText"/>
      </w:pPr>
      <w:r>
        <w:rPr>
          <w:rStyle w:val="FootnoteReference"/>
        </w:rPr>
        <w:footnoteRef/>
      </w:r>
      <w:r>
        <w:t xml:space="preserve"> Translation note: The Greek uses peace-language for these supposed allies. The current wording keeps that marked line visible.</w:t>
      </w:r>
    </w:p>
  </w:footnote>
  <w:footnote w:id="13653">
    <w:p>
      <w:pPr>
        <w:pStyle w:val="FootnoteText"/>
      </w:pPr>
      <w:r>
        <w:rPr>
          <w:rStyle w:val="FootnoteReference"/>
        </w:rPr>
        <w:footnoteRef/>
      </w:r>
      <w:r>
        <w:t xml:space="preserve"> Translation note: The Greek frames judgment as removal of wisdom. The current wording keeps that line explicit.</w:t>
      </w:r>
    </w:p>
  </w:footnote>
  <w:footnote w:id="13654">
    <w:p>
      <w:pPr>
        <w:pStyle w:val="FootnoteText"/>
      </w:pPr>
      <w:r>
        <w:rPr>
          <w:rStyle w:val="FootnoteReference"/>
        </w:rPr>
        <w:footnoteRef/>
      </w:r>
      <w:r>
        <w:t xml:space="preserve"> Cross-references for "mount": Deut 2:5; Obad 1:21.</w:t>
      </w:r>
    </w:p>
  </w:footnote>
  <w:footnote w:id="13655">
    <w:p>
      <w:pPr>
        <w:pStyle w:val="FootnoteText"/>
      </w:pPr>
      <w:r>
        <w:rPr>
          <w:rStyle w:val="FootnoteReference"/>
        </w:rPr>
        <w:footnoteRef/>
      </w:r>
      <w:r>
        <w:t xml:space="preserve"> Cross-references for "shame": Ps 69:7; Ps 89:45.</w:t>
      </w:r>
    </w:p>
  </w:footnote>
  <w:footnote w:id="13656">
    <w:p>
      <w:pPr>
        <w:pStyle w:val="FootnoteText"/>
      </w:pPr>
      <w:r>
        <w:rPr>
          <w:rStyle w:val="FootnoteReference"/>
        </w:rPr>
        <w:footnoteRef/>
      </w:r>
      <w:r>
        <w:t xml:space="preserve"> Cross-references for "cast": Joel 3:3; Nah 3:10.</w:t>
      </w:r>
    </w:p>
  </w:footnote>
  <w:footnote w:id="13657">
    <w:p>
      <w:pPr>
        <w:pStyle w:val="FootnoteText"/>
      </w:pPr>
      <w:r>
        <w:rPr>
          <w:rStyle w:val="FootnoteReference"/>
        </w:rPr>
        <w:footnoteRef/>
      </w:r>
      <w:r>
        <w:t xml:space="preserve"> Cross-references for "in the day": Gen 35:3; Isa 37:3.</w:t>
      </w:r>
    </w:p>
  </w:footnote>
  <w:footnote w:id="13658">
    <w:p>
      <w:pPr>
        <w:pStyle w:val="FootnoteText"/>
      </w:pPr>
      <w:r>
        <w:rPr>
          <w:rStyle w:val="FootnoteReference"/>
        </w:rPr>
        <w:footnoteRef/>
      </w:r>
      <w:r>
        <w:t xml:space="preserve"> Translation note: The Greek uses a classic day-of-Lord formula here. The current wording preserves that line.</w:t>
      </w:r>
    </w:p>
  </w:footnote>
  <w:footnote w:id="13659">
    <w:p>
      <w:pPr>
        <w:pStyle w:val="FootnoteText"/>
      </w:pPr>
      <w:r>
        <w:rPr>
          <w:rStyle w:val="FootnoteReference"/>
        </w:rPr>
        <w:footnoteRef/>
      </w:r>
      <w:r>
        <w:t xml:space="preserve"> Translation note: The Greek keeps the holy-mountain line direct. The current wording preserves it.</w:t>
      </w:r>
    </w:p>
  </w:footnote>
  <w:footnote w:id="13660">
    <w:p>
      <w:pPr>
        <w:pStyle w:val="FootnoteText"/>
      </w:pPr>
      <w:r>
        <w:rPr>
          <w:rStyle w:val="FootnoteReference"/>
        </w:rPr>
        <w:footnoteRef/>
      </w:r>
      <w:r>
        <w:t xml:space="preserve"> Translation note: The Greek ties Zion directly to salvation. The current wording keeps that source-row line visible.</w:t>
      </w:r>
    </w:p>
  </w:footnote>
  <w:footnote w:id="13661">
    <w:p>
      <w:pPr>
        <w:pStyle w:val="FootnoteText"/>
      </w:pPr>
      <w:r>
        <w:rPr>
          <w:rStyle w:val="FootnoteReference"/>
        </w:rPr>
        <w:footnoteRef/>
      </w:r>
      <w:r>
        <w:t xml:space="preserve"> Cross-references for "the house of Joseph": 2Sam 19:20; Ezek 37:16.</w:t>
      </w:r>
    </w:p>
  </w:footnote>
  <w:footnote w:id="13662">
    <w:p>
      <w:pPr>
        <w:pStyle w:val="FootnoteText"/>
      </w:pPr>
      <w:r>
        <w:rPr>
          <w:rStyle w:val="FootnoteReference"/>
        </w:rPr>
        <w:footnoteRef/>
      </w:r>
      <w:r>
        <w:t xml:space="preserve"> Place name: Shephelah. Place-name meaning: Shephelah — lowland; plain. Source form: Shephelah. Greek form: σεφηλα.</w:t>
      </w:r>
    </w:p>
  </w:footnote>
  <w:footnote w:id="13663">
    <w:p>
      <w:pPr>
        <w:pStyle w:val="FootnoteText"/>
      </w:pPr>
      <w:r>
        <w:rPr>
          <w:rStyle w:val="FootnoteReference"/>
        </w:rPr>
        <w:footnoteRef/>
      </w:r>
      <w:r>
        <w:t xml:space="preserve"> Cross-references for "the plain": Josh 13:2-3; Josh 15:33.</w:t>
      </w:r>
    </w:p>
  </w:footnote>
  <w:footnote w:id="13664">
    <w:p>
      <w:pPr>
        <w:pStyle w:val="FootnoteText"/>
      </w:pPr>
      <w:r>
        <w:rPr>
          <w:rStyle w:val="FootnoteReference"/>
        </w:rPr>
        <w:footnoteRef/>
      </w:r>
      <w:r>
        <w:t xml:space="preserve"> Cross-references for "Jonah": 2Kgs 14:25; Matt 12:39.</w:t>
      </w:r>
    </w:p>
  </w:footnote>
  <w:footnote w:id="13665">
    <w:p>
      <w:pPr>
        <w:pStyle w:val="FootnoteText"/>
      </w:pPr>
      <w:r>
        <w:rPr>
          <w:rStyle w:val="FootnoteReference"/>
        </w:rPr>
        <w:footnoteRef/>
      </w:r>
      <w:r>
        <w:t xml:space="preserve"> Transliterated proper noun: Amathi. Standard English equivalent: Amittai. Source form: Amathi. Greek form: αμαθι. Name meaning: true; fearing.</w:t>
      </w:r>
    </w:p>
  </w:footnote>
  <w:footnote w:id="13666">
    <w:p>
      <w:pPr>
        <w:pStyle w:val="FootnoteText"/>
      </w:pPr>
      <w:r>
        <w:rPr>
          <w:rStyle w:val="FootnoteReference"/>
        </w:rPr>
        <w:footnoteRef/>
      </w:r>
      <w:r>
        <w:t xml:space="preserve"> Cross-references for "Nineveh": Gen 10:11; 2Kgs 19:36.</w:t>
      </w:r>
    </w:p>
  </w:footnote>
  <w:footnote w:id="13667">
    <w:p>
      <w:pPr>
        <w:pStyle w:val="FootnoteText"/>
      </w:pPr>
      <w:r>
        <w:rPr>
          <w:rStyle w:val="FootnoteReference"/>
        </w:rPr>
        <w:footnoteRef/>
      </w:r>
      <w:r>
        <w:t xml:space="preserve"> Cross-references for "to flee": Exod 4:13-14; 1Kgs 19:3.</w:t>
      </w:r>
    </w:p>
  </w:footnote>
  <w:footnote w:id="13668">
    <w:p>
      <w:pPr>
        <w:pStyle w:val="FootnoteText"/>
      </w:pPr>
      <w:r>
        <w:rPr>
          <w:rStyle w:val="FootnoteReference"/>
        </w:rPr>
        <w:footnoteRef/>
      </w:r>
      <w:r>
        <w:t xml:space="preserve"> Translation note: The Greek uses stirred-up language for the wind on the sea. The current wording keeps that vivid line explicit.</w:t>
      </w:r>
    </w:p>
  </w:footnote>
  <w:footnote w:id="13669">
    <w:p>
      <w:pPr>
        <w:pStyle w:val="FootnoteText"/>
      </w:pPr>
      <w:r>
        <w:rPr>
          <w:rStyle w:val="FootnoteReference"/>
        </w:rPr>
        <w:footnoteRef/>
      </w:r>
      <w:r>
        <w:t xml:space="preserve"> Cross-references for "The Lord": Exod 10:13; Exod 10:19.</w:t>
      </w:r>
    </w:p>
  </w:footnote>
  <w:footnote w:id="13670">
    <w:p>
      <w:pPr>
        <w:pStyle w:val="FootnoteText"/>
      </w:pPr>
      <w:r>
        <w:rPr>
          <w:rStyle w:val="FootnoteReference"/>
        </w:rPr>
        <w:footnoteRef/>
      </w:r>
      <w:r>
        <w:t xml:space="preserve"> Cross-references for "cried": 1Kgs 18:26; Isa 44:17-20.</w:t>
      </w:r>
    </w:p>
  </w:footnote>
  <w:footnote w:id="13671">
    <w:p>
      <w:pPr>
        <w:pStyle w:val="FootnoteText"/>
      </w:pPr>
      <w:r>
        <w:rPr>
          <w:rStyle w:val="FootnoteReference"/>
        </w:rPr>
        <w:footnoteRef/>
      </w:r>
      <w:r>
        <w:t xml:space="preserve"> Cross-references for "Tell": Josh 7:19; 1Sam 14:43.</w:t>
      </w:r>
    </w:p>
  </w:footnote>
  <w:footnote w:id="13672">
    <w:p>
      <w:pPr>
        <w:pStyle w:val="FootnoteText"/>
      </w:pPr>
      <w:r>
        <w:rPr>
          <w:rStyle w:val="FootnoteReference"/>
        </w:rPr>
        <w:footnoteRef/>
      </w:r>
      <w:r>
        <w:t xml:space="preserve"> Translation note: The Greek uses a compact confession formula here. The current wording keeps that line direct.</w:t>
      </w:r>
    </w:p>
  </w:footnote>
  <w:footnote w:id="13673">
    <w:p>
      <w:pPr>
        <w:pStyle w:val="FootnoteText"/>
      </w:pPr>
      <w:r>
        <w:rPr>
          <w:rStyle w:val="FootnoteReference"/>
        </w:rPr>
        <w:footnoteRef/>
      </w:r>
      <w:r>
        <w:t xml:space="preserve"> Translation note: The Greek frames the plea in blood-guilt language. The current wording preserves that explicit line.</w:t>
      </w:r>
    </w:p>
  </w:footnote>
  <w:footnote w:id="13674">
    <w:p>
      <w:pPr>
        <w:pStyle w:val="FootnoteText"/>
      </w:pPr>
      <w:r>
        <w:rPr>
          <w:rStyle w:val="FootnoteReference"/>
        </w:rPr>
        <w:footnoteRef/>
      </w:r>
      <w:r>
        <w:t xml:space="preserve"> Cross-references for "feared": Isa 26:9; Dan 4:34-37.</w:t>
      </w:r>
    </w:p>
  </w:footnote>
  <w:footnote w:id="13675">
    <w:p>
      <w:pPr>
        <w:pStyle w:val="FootnoteText"/>
      </w:pPr>
      <w:r>
        <w:rPr>
          <w:rStyle w:val="FootnoteReference"/>
        </w:rPr>
        <w:footnoteRef/>
      </w:r>
      <w:r>
        <w:t xml:space="preserve"> Translation note: The Greek keeps both Jonah's prayer and its setting explicit. The current wording stays close to that source-row line.</w:t>
      </w:r>
    </w:p>
  </w:footnote>
  <w:footnote w:id="13676">
    <w:p>
      <w:pPr>
        <w:pStyle w:val="FootnoteText"/>
      </w:pPr>
      <w:r>
        <w:rPr>
          <w:rStyle w:val="FootnoteReference"/>
        </w:rPr>
        <w:footnoteRef/>
      </w:r>
      <w:r>
        <w:t xml:space="preserve"> Cross-references for "mountains": Deut 32:22; Ps 65:6.</w:t>
      </w:r>
    </w:p>
  </w:footnote>
  <w:footnote w:id="13677">
    <w:p>
      <w:pPr>
        <w:pStyle w:val="FootnoteText"/>
      </w:pPr>
      <w:r>
        <w:rPr>
          <w:rStyle w:val="FootnoteReference"/>
        </w:rPr>
        <w:footnoteRef/>
      </w:r>
      <w:r>
        <w:t xml:space="preserve"> Translation note: The Greek uses a prayer-to-temple line here. The current wording keeps that direct movement toward God explicit.</w:t>
      </w:r>
    </w:p>
  </w:footnote>
  <w:footnote w:id="13678">
    <w:p>
      <w:pPr>
        <w:pStyle w:val="FootnoteText"/>
      </w:pPr>
      <w:r>
        <w:rPr>
          <w:rStyle w:val="FootnoteReference"/>
        </w:rPr>
        <w:footnoteRef/>
      </w:r>
      <w:r>
        <w:t xml:space="preserve"> Translation note: The Greek ends with a compact salvation confession. The current wording preserves it in natural English.</w:t>
      </w:r>
    </w:p>
  </w:footnote>
  <w:footnote w:id="13679">
    <w:p>
      <w:pPr>
        <w:pStyle w:val="FootnoteText"/>
      </w:pPr>
      <w:r>
        <w:rPr>
          <w:rStyle w:val="FootnoteReference"/>
        </w:rPr>
        <w:footnoteRef/>
      </w:r>
      <w:r>
        <w:t xml:space="preserve"> Cross-references for "The word": Jonah 1:1.</w:t>
      </w:r>
    </w:p>
  </w:footnote>
  <w:footnote w:id="13680">
    <w:p>
      <w:pPr>
        <w:pStyle w:val="FootnoteText"/>
      </w:pPr>
      <w:r>
        <w:rPr>
          <w:rStyle w:val="FootnoteReference"/>
        </w:rPr>
        <w:footnoteRef/>
      </w:r>
      <w:r>
        <w:t xml:space="preserve"> Cross-references for "Nineveh": Gen 10:11; Jonah 1:2.</w:t>
      </w:r>
    </w:p>
  </w:footnote>
  <w:footnote w:id="13681">
    <w:p>
      <w:pPr>
        <w:pStyle w:val="FootnoteText"/>
      </w:pPr>
      <w:r>
        <w:rPr>
          <w:rStyle w:val="FootnoteReference"/>
        </w:rPr>
        <w:footnoteRef/>
      </w:r>
      <w:r>
        <w:t xml:space="preserve"> Cross-references for "believed": Exod 9:18-21; Matt 12:41.</w:t>
      </w:r>
    </w:p>
  </w:footnote>
  <w:footnote w:id="13682">
    <w:p>
      <w:pPr>
        <w:pStyle w:val="FootnoteText"/>
      </w:pPr>
      <w:r>
        <w:rPr>
          <w:rStyle w:val="FootnoteReference"/>
        </w:rPr>
        <w:footnoteRef/>
      </w:r>
      <w:r>
        <w:t xml:space="preserve"> Cross-references for "God saw": 1Kgs 21:27-29; Job 33:27-28.</w:t>
      </w:r>
    </w:p>
  </w:footnote>
  <w:footnote w:id="13683">
    <w:p>
      <w:pPr>
        <w:pStyle w:val="FootnoteText"/>
      </w:pPr>
      <w:r>
        <w:rPr>
          <w:rStyle w:val="FootnoteReference"/>
        </w:rPr>
        <w:footnoteRef/>
      </w:r>
      <w:r>
        <w:t xml:space="preserve"> Cross-references for "he prayed": 1Kgs 19:4; Jer 20:7.</w:t>
      </w:r>
    </w:p>
  </w:footnote>
  <w:footnote w:id="13684">
    <w:p>
      <w:pPr>
        <w:pStyle w:val="FootnoteText"/>
      </w:pPr>
      <w:r>
        <w:rPr>
          <w:rStyle w:val="FootnoteReference"/>
        </w:rPr>
        <w:footnoteRef/>
      </w:r>
      <w:r>
        <w:t xml:space="preserve"> Cross-references for "take": Num 11:15; Num 20:3.</w:t>
      </w:r>
    </w:p>
  </w:footnote>
  <w:footnote w:id="13685">
    <w:p>
      <w:pPr>
        <w:pStyle w:val="FootnoteText"/>
      </w:pPr>
      <w:r>
        <w:rPr>
          <w:rStyle w:val="FootnoteReference"/>
        </w:rPr>
        <w:footnoteRef/>
      </w:r>
      <w:r>
        <w:t xml:space="preserve"> Cross-references for "Jonah": 1Kgs 19:9; 1Kgs 19:13.</w:t>
      </w:r>
    </w:p>
  </w:footnote>
  <w:footnote w:id="13686">
    <w:p>
      <w:pPr>
        <w:pStyle w:val="FootnoteText"/>
      </w:pPr>
      <w:r>
        <w:rPr>
          <w:rStyle w:val="FootnoteReference"/>
        </w:rPr>
        <w:footnoteRef/>
      </w:r>
      <w:r>
        <w:t xml:space="preserve"> Cross-references for "the Lord": Ps 103:10-14; Jonah 1:17.</w:t>
      </w:r>
    </w:p>
  </w:footnote>
  <w:footnote w:id="13687">
    <w:p>
      <w:pPr>
        <w:pStyle w:val="FootnoteText"/>
      </w:pPr>
      <w:r>
        <w:rPr>
          <w:rStyle w:val="FootnoteReference"/>
        </w:rPr>
        <w:footnoteRef/>
      </w:r>
      <w:r>
        <w:t xml:space="preserve"> Cross-references for "that God": Ezek 19:12; Jonah 1:4.</w:t>
      </w:r>
    </w:p>
  </w:footnote>
  <w:footnote w:id="13688">
    <w:p>
      <w:pPr>
        <w:pStyle w:val="FootnoteText"/>
      </w:pPr>
      <w:r>
        <w:rPr>
          <w:rStyle w:val="FootnoteReference"/>
        </w:rPr>
        <w:footnoteRef/>
      </w:r>
      <w:r>
        <w:t xml:space="preserve"> Cross-references for "Nineveh": Jonah 1:2; Jonah 3:2-3.</w:t>
      </w:r>
    </w:p>
  </w:footnote>
  <w:footnote w:id="13689">
    <w:p>
      <w:pPr>
        <w:pStyle w:val="FootnoteText"/>
      </w:pPr>
      <w:r>
        <w:rPr>
          <w:rStyle w:val="FootnoteReference"/>
        </w:rPr>
        <w:footnoteRef/>
      </w:r>
      <w:r>
        <w:t xml:space="preserve"> Name meaning: Micah (Mikah) — Who is like Yahweh?. A rhetorical question pointing to God’s uniqueness.</w:t>
      </w:r>
    </w:p>
  </w:footnote>
  <w:footnote w:id="13690">
    <w:p>
      <w:pPr>
        <w:pStyle w:val="FootnoteText"/>
      </w:pPr>
      <w:r>
        <w:rPr>
          <w:rStyle w:val="FootnoteReference"/>
        </w:rPr>
        <w:footnoteRef/>
      </w:r>
      <w:r>
        <w:t xml:space="preserve"> Cross-references for "Micah": Jer 26:18; Mic 1:14-15.</w:t>
      </w:r>
    </w:p>
  </w:footnote>
  <w:footnote w:id="13691">
    <w:p>
      <w:pPr>
        <w:pStyle w:val="FootnoteText"/>
      </w:pPr>
      <w:r>
        <w:rPr>
          <w:rStyle w:val="FootnoteReference"/>
        </w:rPr>
        <w:footnoteRef/>
      </w:r>
      <w:r>
        <w:t xml:space="preserve"> Cross-references for "the Lord from": Ps 11:4; Ps 28:2.</w:t>
      </w:r>
    </w:p>
  </w:footnote>
  <w:footnote w:id="13692">
    <w:p>
      <w:pPr>
        <w:pStyle w:val="FootnoteText"/>
      </w:pPr>
      <w:r>
        <w:rPr>
          <w:rStyle w:val="FootnoteReference"/>
        </w:rPr>
        <w:footnoteRef/>
      </w:r>
      <w:r>
        <w:t xml:space="preserve"> Translation note: Cross-reference review revised malformed literal wording while following the local Greek text at this verse numbering point.</w:t>
      </w:r>
    </w:p>
  </w:footnote>
  <w:footnote w:id="13693">
    <w:p>
      <w:pPr>
        <w:pStyle w:val="FootnoteText"/>
      </w:pPr>
      <w:r>
        <w:rPr>
          <w:rStyle w:val="FootnoteReference"/>
        </w:rPr>
        <w:footnoteRef/>
      </w:r>
      <w:r>
        <w:t xml:space="preserve"> Cross-references for "place": Ps 115:3.</w:t>
      </w:r>
    </w:p>
  </w:footnote>
  <w:footnote w:id="13694">
    <w:p>
      <w:pPr>
        <w:pStyle w:val="FootnoteText"/>
      </w:pPr>
      <w:r>
        <w:rPr>
          <w:rStyle w:val="FootnoteReference"/>
        </w:rPr>
        <w:footnoteRef/>
      </w:r>
      <w:r>
        <w:t xml:space="preserve"> Cross-references for "the mountains": Judg 5:4; Ps 97:5.</w:t>
      </w:r>
    </w:p>
  </w:footnote>
  <w:footnote w:id="13695">
    <w:p>
      <w:pPr>
        <w:pStyle w:val="FootnoteText"/>
      </w:pPr>
      <w:r>
        <w:rPr>
          <w:rStyle w:val="FootnoteReference"/>
        </w:rPr>
        <w:footnoteRef/>
      </w:r>
      <w:r>
        <w:t xml:space="preserve"> Cross-references for "Is it": 1Kgs 13:32; Hos 7:1.</w:t>
      </w:r>
    </w:p>
  </w:footnote>
  <w:footnote w:id="13696">
    <w:p>
      <w:pPr>
        <w:pStyle w:val="FootnoteText"/>
      </w:pPr>
      <w:r>
        <w:rPr>
          <w:rStyle w:val="FootnoteReference"/>
        </w:rPr>
        <w:footnoteRef/>
      </w:r>
      <w:r>
        <w:t xml:space="preserve"> Cross-references for "I will make": 2Kgs 19:25; Isa 25:2.</w:t>
      </w:r>
    </w:p>
  </w:footnote>
  <w:footnote w:id="13697">
    <w:p>
      <w:pPr>
        <w:pStyle w:val="FootnoteText"/>
      </w:pPr>
      <w:r>
        <w:rPr>
          <w:rStyle w:val="FootnoteReference"/>
        </w:rPr>
        <w:footnoteRef/>
      </w:r>
      <w:r>
        <w:t xml:space="preserve"> Cross-references for "Lachish": Josh 15:39; 2Kgs 18:13-14.</w:t>
      </w:r>
    </w:p>
  </w:footnote>
  <w:footnote w:id="13698">
    <w:p>
      <w:pPr>
        <w:pStyle w:val="FootnoteText"/>
      </w:pPr>
      <w:r>
        <w:rPr>
          <w:rStyle w:val="FootnoteReference"/>
        </w:rPr>
        <w:footnoteRef/>
      </w:r>
      <w:r>
        <w:t xml:space="preserve"> Cross-references for "give": 2Sam 8:2; 2Kgs 16:8.</w:t>
      </w:r>
    </w:p>
  </w:footnote>
  <w:footnote w:id="13699">
    <w:p>
      <w:pPr>
        <w:pStyle w:val="FootnoteText"/>
      </w:pPr>
      <w:r>
        <w:rPr>
          <w:rStyle w:val="FootnoteReference"/>
        </w:rPr>
        <w:footnoteRef/>
      </w:r>
      <w:r>
        <w:t xml:space="preserve"> Cross-references for "will": Isa 7:17-25; Isa 10:5-6.</w:t>
      </w:r>
    </w:p>
  </w:footnote>
  <w:footnote w:id="13700">
    <w:p>
      <w:pPr>
        <w:pStyle w:val="FootnoteText"/>
      </w:pPr>
      <w:r>
        <w:rPr>
          <w:rStyle w:val="FootnoteReference"/>
        </w:rPr>
        <w:footnoteRef/>
      </w:r>
      <w:r>
        <w:t xml:space="preserve"> Cross-references for "necks": Jer 27:12; Lam 1:14.</w:t>
      </w:r>
    </w:p>
  </w:footnote>
  <w:footnote w:id="13701">
    <w:p>
      <w:pPr>
        <w:pStyle w:val="FootnoteText"/>
      </w:pPr>
      <w:r>
        <w:rPr>
          <w:rStyle w:val="FootnoteReference"/>
        </w:rPr>
        <w:footnoteRef/>
      </w:r>
      <w:r>
        <w:t xml:space="preserve"> Cross-references for "cast": Mic 2:2; Matt 23:14.</w:t>
      </w:r>
    </w:p>
  </w:footnote>
  <w:footnote w:id="13702">
    <w:p>
      <w:pPr>
        <w:pStyle w:val="FootnoteText"/>
      </w:pPr>
      <w:r>
        <w:rPr>
          <w:rStyle w:val="FootnoteReference"/>
        </w:rPr>
        <w:footnoteRef/>
      </w:r>
      <w:r>
        <w:t xml:space="preserve"> Cross-references for "their": Isa 49:10; Isa 51:12.</w:t>
      </w:r>
    </w:p>
  </w:footnote>
  <w:footnote w:id="13703">
    <w:p>
      <w:pPr>
        <w:pStyle w:val="FootnoteText"/>
      </w:pPr>
      <w:r>
        <w:rPr>
          <w:rStyle w:val="FootnoteReference"/>
        </w:rPr>
        <w:footnoteRef/>
      </w:r>
      <w:r>
        <w:t xml:space="preserve"> Cross-references for "Hear": Isa 1:10; Jer 13:15-18.</w:t>
      </w:r>
    </w:p>
  </w:footnote>
  <w:footnote w:id="13704">
    <w:p>
      <w:pPr>
        <w:pStyle w:val="FootnoteText"/>
      </w:pPr>
      <w:r>
        <w:rPr>
          <w:rStyle w:val="FootnoteReference"/>
        </w:rPr>
        <w:footnoteRef/>
      </w:r>
      <w:r>
        <w:t xml:space="preserve"> Cross-references for "concerning": Isa 9:15-16; Jer 14:14-15.</w:t>
      </w:r>
    </w:p>
  </w:footnote>
  <w:footnote w:id="13705">
    <w:p>
      <w:pPr>
        <w:pStyle w:val="FootnoteText"/>
      </w:pPr>
      <w:r>
        <w:rPr>
          <w:rStyle w:val="FootnoteReference"/>
        </w:rPr>
        <w:footnoteRef/>
      </w:r>
      <w:r>
        <w:t xml:space="preserve"> Cross-references for "night": Ps 74:9; Isa 8:20-22.</w:t>
      </w:r>
    </w:p>
  </w:footnote>
  <w:footnote w:id="13706">
    <w:p>
      <w:pPr>
        <w:pStyle w:val="FootnoteText"/>
      </w:pPr>
      <w:r>
        <w:rPr>
          <w:rStyle w:val="FootnoteReference"/>
        </w:rPr>
        <w:footnoteRef/>
      </w:r>
      <w:r>
        <w:t xml:space="preserve"> Cross-references for "the seers": Exod 8:18-19; Exod 9:11.</w:t>
      </w:r>
    </w:p>
  </w:footnote>
  <w:footnote w:id="13707">
    <w:p>
      <w:pPr>
        <w:pStyle w:val="FootnoteText"/>
      </w:pPr>
      <w:r>
        <w:rPr>
          <w:rStyle w:val="FootnoteReference"/>
        </w:rPr>
        <w:footnoteRef/>
      </w:r>
      <w:r>
        <w:t xml:space="preserve"> Translation note: The Greek uses the Spirit-of-the-Lord formula explicitly. The current wording keeps that prophetic empowerment language visible.</w:t>
      </w:r>
    </w:p>
  </w:footnote>
  <w:footnote w:id="13708">
    <w:p>
      <w:pPr>
        <w:pStyle w:val="FootnoteText"/>
      </w:pPr>
      <w:r>
        <w:rPr>
          <w:rStyle w:val="FootnoteReference"/>
        </w:rPr>
        <w:footnoteRef/>
      </w:r>
      <w:r>
        <w:t xml:space="preserve"> Cross-references for "to declare": Isa 58:1; Ezek 16:2.</w:t>
      </w:r>
    </w:p>
  </w:footnote>
  <w:footnote w:id="13709">
    <w:p>
      <w:pPr>
        <w:pStyle w:val="FootnoteText"/>
      </w:pPr>
      <w:r>
        <w:rPr>
          <w:rStyle w:val="FootnoteReference"/>
        </w:rPr>
        <w:footnoteRef/>
      </w:r>
      <w:r>
        <w:t xml:space="preserve"> Cross-references for "Zion": Ps 79:1; Ps 107:34.</w:t>
      </w:r>
    </w:p>
  </w:footnote>
  <w:footnote w:id="13710">
    <w:p>
      <w:pPr>
        <w:pStyle w:val="FootnoteText"/>
      </w:pPr>
      <w:r>
        <w:rPr>
          <w:rStyle w:val="FootnoteReference"/>
        </w:rPr>
        <w:footnoteRef/>
      </w:r>
      <w:r>
        <w:t xml:space="preserve"> Cross-references for "in the last": Gen 49:1; Isa 2:1-3.</w:t>
      </w:r>
    </w:p>
  </w:footnote>
  <w:footnote w:id="13711">
    <w:p>
      <w:pPr>
        <w:pStyle w:val="FootnoteText"/>
      </w:pPr>
      <w:r>
        <w:rPr>
          <w:rStyle w:val="FootnoteReference"/>
        </w:rPr>
        <w:footnoteRef/>
      </w:r>
      <w:r>
        <w:t xml:space="preserve"> Cross-references for "and say": Isa 2:3; Jer 31:6.</w:t>
      </w:r>
    </w:p>
  </w:footnote>
  <w:footnote w:id="13712">
    <w:p>
      <w:pPr>
        <w:pStyle w:val="FootnoteText"/>
      </w:pPr>
      <w:r>
        <w:rPr>
          <w:rStyle w:val="FootnoteReference"/>
        </w:rPr>
        <w:footnoteRef/>
      </w:r>
      <w:r>
        <w:t xml:space="preserve"> Translation note: The Greek keeps the Zion-Jerusalem parallel in full. The current wording preserves both halves of that line.</w:t>
      </w:r>
    </w:p>
  </w:footnote>
  <w:footnote w:id="13713">
    <w:p>
      <w:pPr>
        <w:pStyle w:val="FootnoteText"/>
      </w:pPr>
      <w:r>
        <w:rPr>
          <w:rStyle w:val="FootnoteReference"/>
        </w:rPr>
        <w:footnoteRef/>
      </w:r>
      <w:r>
        <w:t xml:space="preserve"> Translation note: Greek has mouth of the Lord Almighty as the speaking subject; English supplies the article.</w:t>
      </w:r>
    </w:p>
  </w:footnote>
  <w:footnote w:id="13714">
    <w:p>
      <w:pPr>
        <w:pStyle w:val="FootnoteText"/>
      </w:pPr>
      <w:r>
        <w:rPr>
          <w:rStyle w:val="FootnoteReference"/>
        </w:rPr>
        <w:footnoteRef/>
      </w:r>
      <w:r>
        <w:t xml:space="preserve"> Cross-references for "the name": Exod 3:14-15; Ps 48:14.</w:t>
      </w:r>
    </w:p>
  </w:footnote>
  <w:footnote w:id="13715">
    <w:p>
      <w:pPr>
        <w:pStyle w:val="FootnoteText"/>
      </w:pPr>
      <w:r>
        <w:rPr>
          <w:rStyle w:val="FootnoteReference"/>
        </w:rPr>
        <w:footnoteRef/>
      </w:r>
      <w:r>
        <w:t xml:space="preserve"> Cross-references for "the first": Num 24:19; Dan 2:44.</w:t>
      </w:r>
    </w:p>
  </w:footnote>
  <w:footnote w:id="13716">
    <w:p>
      <w:pPr>
        <w:pStyle w:val="FootnoteText"/>
      </w:pPr>
      <w:r>
        <w:rPr>
          <w:rStyle w:val="FootnoteReference"/>
        </w:rPr>
        <w:footnoteRef/>
      </w:r>
      <w:r>
        <w:t xml:space="preserve"> Cross-references for "redeem": Ps 106:10; Jer 15:21.</w:t>
      </w:r>
    </w:p>
  </w:footnote>
  <w:footnote w:id="13717">
    <w:p>
      <w:pPr>
        <w:pStyle w:val="FootnoteText"/>
      </w:pPr>
      <w:r>
        <w:rPr>
          <w:rStyle w:val="FootnoteReference"/>
        </w:rPr>
        <w:footnoteRef/>
      </w:r>
      <w:r>
        <w:t xml:space="preserve"> Cross-references for "and thresh": Isa 41:15-16; Jer 51:33.</w:t>
      </w:r>
    </w:p>
  </w:footnote>
  <w:footnote w:id="13718">
    <w:p>
      <w:pPr>
        <w:pStyle w:val="FootnoteText"/>
      </w:pPr>
      <w:r>
        <w:rPr>
          <w:rStyle w:val="FootnoteReference"/>
        </w:rPr>
        <w:footnoteRef/>
      </w:r>
      <w:r>
        <w:t xml:space="preserve"> Textual note: Standard English numbering: Micah 5:2. This edition keeps the LXX source numbering visible.</w:t>
      </w:r>
    </w:p>
  </w:footnote>
  <w:footnote w:id="13719">
    <w:p>
      <w:pPr>
        <w:pStyle w:val="FootnoteText"/>
      </w:pPr>
      <w:r>
        <w:rPr>
          <w:rStyle w:val="FootnoteReference"/>
        </w:rPr>
        <w:footnoteRef/>
      </w:r>
      <w:r>
        <w:t xml:space="preserve"> Translation note: English versification often differs here. Manual Logos export at the familiar verse-number offset supports the current LXX-rendered verse, which keeps the royal-shepherd sequence stand, see, and shepherd.</w:t>
      </w:r>
    </w:p>
  </w:footnote>
  <w:footnote w:id="13720">
    <w:p>
      <w:pPr>
        <w:pStyle w:val="FootnoteText"/>
      </w:pPr>
      <w:r>
        <w:rPr>
          <w:rStyle w:val="FootnoteReference"/>
        </w:rPr>
        <w:footnoteRef/>
      </w:r>
      <w:r>
        <w:t xml:space="preserve"> Cross-references for "the remnant": Ezek 14:22; Joel 2:32.</w:t>
      </w:r>
    </w:p>
  </w:footnote>
  <w:footnote w:id="13721">
    <w:p>
      <w:pPr>
        <w:pStyle w:val="FootnoteText"/>
      </w:pPr>
      <w:r>
        <w:rPr>
          <w:rStyle w:val="FootnoteReference"/>
        </w:rPr>
        <w:footnoteRef/>
      </w:r>
      <w:r>
        <w:t xml:space="preserve"> Cross-references for "foundations": Deut 32:22; 2Sam 22:8.</w:t>
      </w:r>
    </w:p>
  </w:footnote>
  <w:footnote w:id="13722">
    <w:p>
      <w:pPr>
        <w:pStyle w:val="FootnoteText"/>
      </w:pPr>
      <w:r>
        <w:rPr>
          <w:rStyle w:val="FootnoteReference"/>
        </w:rPr>
        <w:footnoteRef/>
      </w:r>
      <w:r>
        <w:t xml:space="preserve"> Cross-references for "O my": Ps 50:7; Ps 81:8.</w:t>
      </w:r>
    </w:p>
  </w:footnote>
  <w:footnote w:id="13723">
    <w:p>
      <w:pPr>
        <w:pStyle w:val="FootnoteText"/>
      </w:pPr>
      <w:r>
        <w:rPr>
          <w:rStyle w:val="FootnoteReference"/>
        </w:rPr>
        <w:footnoteRef/>
      </w:r>
      <w:r>
        <w:t xml:space="preserve"> Cross-references for "I brought": Exod 12:51; Exod 14:30-31.</w:t>
      </w:r>
    </w:p>
  </w:footnote>
  <w:footnote w:id="13724">
    <w:p>
      <w:pPr>
        <w:pStyle w:val="FootnoteText"/>
      </w:pPr>
      <w:r>
        <w:rPr>
          <w:rStyle w:val="FootnoteReference"/>
        </w:rPr>
        <w:footnoteRef/>
      </w:r>
      <w:r>
        <w:t xml:space="preserve"> Cross-references for "remember": Deut 8:2; Deut 8:18.</w:t>
      </w:r>
    </w:p>
  </w:footnote>
  <w:footnote w:id="13725">
    <w:p>
      <w:pPr>
        <w:pStyle w:val="FootnoteText"/>
      </w:pPr>
      <w:r>
        <w:rPr>
          <w:rStyle w:val="FootnoteReference"/>
        </w:rPr>
        <w:footnoteRef/>
      </w:r>
      <w:r>
        <w:t xml:space="preserve"> Translation note: The Greek keeps both womb and soul explicit in the sacrifice question. The current wording preserves that source-row line.</w:t>
      </w:r>
    </w:p>
  </w:footnote>
  <w:footnote w:id="13726">
    <w:p>
      <w:pPr>
        <w:pStyle w:val="FootnoteText"/>
      </w:pPr>
      <w:r>
        <w:rPr>
          <w:rStyle w:val="FootnoteReference"/>
        </w:rPr>
        <w:footnoteRef/>
      </w:r>
      <w:r>
        <w:t xml:space="preserve"> Cross-references for "what is": 1Sam 12:23; Neh 9:13.</w:t>
      </w:r>
    </w:p>
  </w:footnote>
  <w:footnote w:id="13727">
    <w:p>
      <w:pPr>
        <w:pStyle w:val="FootnoteText"/>
      </w:pPr>
      <w:r>
        <w:rPr>
          <w:rStyle w:val="FootnoteReference"/>
        </w:rPr>
        <w:footnoteRef/>
      </w:r>
      <w:r>
        <w:t xml:space="preserve"> MT/LXX note: The Greek says be ready or prepared to walk with the Lord your God. English LXX witnesses support that LXX-shaped wording rather than the familiar MT phrase walk humbly with your God.</w:t>
      </w:r>
    </w:p>
  </w:footnote>
  <w:footnote w:id="13728">
    <w:p>
      <w:pPr>
        <w:pStyle w:val="FootnoteText"/>
      </w:pPr>
      <w:r>
        <w:rPr>
          <w:rStyle w:val="FootnoteReference"/>
        </w:rPr>
        <w:footnoteRef/>
      </w:r>
      <w:r>
        <w:t xml:space="preserve"> Cross-references for "Hear": 2Sam 21:1; Job 5:6-8.</w:t>
      </w:r>
    </w:p>
  </w:footnote>
  <w:footnote w:id="13729">
    <w:p>
      <w:pPr>
        <w:pStyle w:val="FootnoteText"/>
      </w:pPr>
      <w:r>
        <w:rPr>
          <w:rStyle w:val="FootnoteReference"/>
        </w:rPr>
        <w:footnoteRef/>
      </w:r>
      <w:r>
        <w:t xml:space="preserve"> Personal name: Zambri. Personal-name meaning: Zimri — my praise; my music. Standard English equivalent: Zimri. Source form: Zambri.</w:t>
      </w:r>
    </w:p>
  </w:footnote>
  <w:footnote w:id="13730">
    <w:p>
      <w:pPr>
        <w:pStyle w:val="FootnoteText"/>
      </w:pPr>
      <w:r>
        <w:rPr>
          <w:rStyle w:val="FootnoteReference"/>
        </w:rPr>
        <w:footnoteRef/>
      </w:r>
      <w:r>
        <w:t xml:space="preserve"> Cross-references for "the works": 1Kgs 16:30-33; 1Kgs 18:4.</w:t>
      </w:r>
    </w:p>
  </w:footnote>
  <w:footnote w:id="13731">
    <w:p>
      <w:pPr>
        <w:pStyle w:val="FootnoteText"/>
      </w:pPr>
      <w:r>
        <w:rPr>
          <w:rStyle w:val="FootnoteReference"/>
        </w:rPr>
        <w:footnoteRef/>
      </w:r>
      <w:r>
        <w:t xml:space="preserve"> Cross-references for "I will look": Ps 34:5-6; Ps 55:16-17.</w:t>
      </w:r>
    </w:p>
  </w:footnote>
  <w:footnote w:id="13732">
    <w:p>
      <w:pPr>
        <w:pStyle w:val="FootnoteText"/>
      </w:pPr>
      <w:r>
        <w:rPr>
          <w:rStyle w:val="FootnoteReference"/>
        </w:rPr>
        <w:footnoteRef/>
      </w:r>
      <w:r>
        <w:t xml:space="preserve"> Translation note: The Greek uses a direct personal savior formula here. The current wording keeps that wording explicit.</w:t>
      </w:r>
    </w:p>
  </w:footnote>
  <w:footnote w:id="13733">
    <w:p>
      <w:pPr>
        <w:pStyle w:val="FootnoteText"/>
      </w:pPr>
      <w:r>
        <w:rPr>
          <w:rStyle w:val="FootnoteReference"/>
        </w:rPr>
        <w:footnoteRef/>
      </w:r>
      <w:r>
        <w:t xml:space="preserve"> Cross-references for "rejoice": Job 31:29; Ps 13:4-6.</w:t>
      </w:r>
    </w:p>
  </w:footnote>
  <w:footnote w:id="13734">
    <w:p>
      <w:pPr>
        <w:pStyle w:val="FootnoteText"/>
      </w:pPr>
      <w:r>
        <w:rPr>
          <w:rStyle w:val="FootnoteReference"/>
        </w:rPr>
        <w:footnoteRef/>
      </w:r>
      <w:r>
        <w:t xml:space="preserve"> Cross-references for "bear": Lev 26:41; 1Sam 3:18.</w:t>
      </w:r>
    </w:p>
  </w:footnote>
  <w:footnote w:id="13735">
    <w:p>
      <w:pPr>
        <w:pStyle w:val="FootnoteText"/>
      </w:pPr>
      <w:r>
        <w:rPr>
          <w:rStyle w:val="FootnoteReference"/>
        </w:rPr>
        <w:footnoteRef/>
      </w:r>
      <w:r>
        <w:t xml:space="preserve"> Cross-references for "shame": Ps 35:26; Ps 109:29.</w:t>
      </w:r>
    </w:p>
  </w:footnote>
  <w:footnote w:id="13736">
    <w:p>
      <w:pPr>
        <w:pStyle w:val="FootnoteText"/>
      </w:pPr>
      <w:r>
        <w:rPr>
          <w:rStyle w:val="FootnoteReference"/>
        </w:rPr>
        <w:footnoteRef/>
      </w:r>
      <w:r>
        <w:t xml:space="preserve"> Cross-references for "also": Isa 11:16; Isa 19:23-25.</w:t>
      </w:r>
    </w:p>
  </w:footnote>
  <w:footnote w:id="13737">
    <w:p>
      <w:pPr>
        <w:pStyle w:val="FootnoteText"/>
      </w:pPr>
      <w:r>
        <w:rPr>
          <w:rStyle w:val="FootnoteReference"/>
        </w:rPr>
        <w:footnoteRef/>
      </w:r>
      <w:r>
        <w:t xml:space="preserve"> Cross-references for "in the midst": Isa 35:2; Isa 37:24.</w:t>
      </w:r>
    </w:p>
  </w:footnote>
  <w:footnote w:id="13738">
    <w:p>
      <w:pPr>
        <w:pStyle w:val="FootnoteText"/>
      </w:pPr>
      <w:r>
        <w:rPr>
          <w:rStyle w:val="FootnoteReference"/>
        </w:rPr>
        <w:footnoteRef/>
      </w:r>
      <w:r>
        <w:t xml:space="preserve"> Cross-references for "Nations": Ps 126:2; Isa 26:11.</w:t>
      </w:r>
    </w:p>
  </w:footnote>
  <w:footnote w:id="13739">
    <w:p>
      <w:pPr>
        <w:pStyle w:val="FootnoteText"/>
      </w:pPr>
      <w:r>
        <w:rPr>
          <w:rStyle w:val="FootnoteReference"/>
        </w:rPr>
        <w:footnoteRef/>
      </w:r>
      <w:r>
        <w:t xml:space="preserve"> Cross-references for "lick": Gen 3:14-15; Ps 72:9.</w:t>
      </w:r>
    </w:p>
  </w:footnote>
  <w:footnote w:id="13740">
    <w:p>
      <w:pPr>
        <w:pStyle w:val="FootnoteText"/>
      </w:pPr>
      <w:r>
        <w:rPr>
          <w:rStyle w:val="FootnoteReference"/>
        </w:rPr>
        <w:footnoteRef/>
      </w:r>
      <w:r>
        <w:t xml:space="preserve"> Cross-references for "a God": Exod 15:11; Deut 33:26.</w:t>
      </w:r>
    </w:p>
  </w:footnote>
  <w:footnote w:id="13741">
    <w:p>
      <w:pPr>
        <w:pStyle w:val="FootnoteText"/>
      </w:pPr>
      <w:r>
        <w:rPr>
          <w:rStyle w:val="FootnoteReference"/>
        </w:rPr>
        <w:footnoteRef/>
      </w:r>
      <w:r>
        <w:t xml:space="preserve"> Cross-references for "turn": Deut 30:3; Deut 32:36.</w:t>
      </w:r>
    </w:p>
  </w:footnote>
  <w:footnote w:id="13742">
    <w:p>
      <w:pPr>
        <w:pStyle w:val="FootnoteText"/>
      </w:pPr>
      <w:r>
        <w:rPr>
          <w:rStyle w:val="FootnoteReference"/>
        </w:rPr>
        <w:footnoteRef/>
      </w:r>
      <w:r>
        <w:t xml:space="preserve"> Cross-references for "Nineveh": Gen 10:11; Jonah 3:3-4.</w:t>
      </w:r>
    </w:p>
  </w:footnote>
  <w:footnote w:id="13743">
    <w:p>
      <w:pPr>
        <w:pStyle w:val="FootnoteText"/>
      </w:pPr>
      <w:r>
        <w:rPr>
          <w:rStyle w:val="FootnoteReference"/>
        </w:rPr>
        <w:footnoteRef/>
      </w:r>
      <w:r>
        <w:t xml:space="preserve"> Name meaning: Nahum (Nachum) — Comfort. Brought comfort by announcing the end of Nineveh’s oppression.</w:t>
      </w:r>
    </w:p>
  </w:footnote>
  <w:footnote w:id="13744">
    <w:p>
      <w:pPr>
        <w:pStyle w:val="FootnoteText"/>
      </w:pPr>
      <w:r>
        <w:rPr>
          <w:rStyle w:val="FootnoteReference"/>
        </w:rPr>
        <w:footnoteRef/>
      </w:r>
      <w:r>
        <w:t xml:space="preserve"> Transliterated proper noun: Elkoshite. Standard English equivalent: Elkoshite. Source form: Elkoshite. Greek form: ελκεσαιου. Name meaning: a man of Elkeshai.</w:t>
      </w:r>
    </w:p>
  </w:footnote>
  <w:footnote w:id="13745">
    <w:p>
      <w:pPr>
        <w:pStyle w:val="FootnoteText"/>
      </w:pPr>
      <w:r>
        <w:rPr>
          <w:rStyle w:val="FootnoteReference"/>
        </w:rPr>
        <w:footnoteRef/>
      </w:r>
      <w:r>
        <w:t xml:space="preserve"> Translation note: The Greek opens with a compact divine-title formula. The current wording preserves that line.</w:t>
      </w:r>
    </w:p>
  </w:footnote>
  <w:footnote w:id="13746">
    <w:p>
      <w:pPr>
        <w:pStyle w:val="FootnoteText"/>
      </w:pPr>
      <w:r>
        <w:rPr>
          <w:rStyle w:val="FootnoteReference"/>
        </w:rPr>
        <w:footnoteRef/>
      </w:r>
      <w:r>
        <w:t xml:space="preserve"> Translation note: The Greek uses a compact judgment formula here. The current wording keeps that marked line visible.</w:t>
      </w:r>
    </w:p>
  </w:footnote>
  <w:footnote w:id="13747">
    <w:p>
      <w:pPr>
        <w:pStyle w:val="FootnoteText"/>
      </w:pPr>
      <w:r>
        <w:rPr>
          <w:rStyle w:val="FootnoteReference"/>
        </w:rPr>
        <w:footnoteRef/>
      </w:r>
      <w:r>
        <w:t xml:space="preserve"> Cross-references for "mountains": 2Sam 22:8; Ps 29:5-6.</w:t>
      </w:r>
    </w:p>
  </w:footnote>
  <w:footnote w:id="13748">
    <w:p>
      <w:pPr>
        <w:pStyle w:val="FootnoteText"/>
      </w:pPr>
      <w:r>
        <w:rPr>
          <w:rStyle w:val="FootnoteReference"/>
        </w:rPr>
        <w:footnoteRef/>
      </w:r>
      <w:r>
        <w:t xml:space="preserve"> Translation note: The Greek keeps the refuge line direct. The translation preserves that day-of-distress assurance in readable English.</w:t>
      </w:r>
    </w:p>
  </w:footnote>
  <w:footnote w:id="13749">
    <w:p>
      <w:pPr>
        <w:pStyle w:val="FootnoteText"/>
      </w:pPr>
      <w:r>
        <w:rPr>
          <w:rStyle w:val="FootnoteReference"/>
        </w:rPr>
        <w:footnoteRef/>
      </w:r>
      <w:r>
        <w:t xml:space="preserve"> Cross-references for "darkness": Job 30:15; Prov 4:19.</w:t>
      </w:r>
    </w:p>
  </w:footnote>
  <w:footnote w:id="13750">
    <w:p>
      <w:pPr>
        <w:pStyle w:val="FootnoteText"/>
      </w:pPr>
      <w:r>
        <w:rPr>
          <w:rStyle w:val="FootnoteReference"/>
        </w:rPr>
        <w:footnoteRef/>
      </w:r>
      <w:r>
        <w:t xml:space="preserve"> Translation note: The Greek uses a one-stroke judgment line here. The current wording keeps that unusual wording visible.</w:t>
      </w:r>
    </w:p>
  </w:footnote>
  <w:footnote w:id="13751">
    <w:p>
      <w:pPr>
        <w:pStyle w:val="FootnoteText"/>
      </w:pPr>
      <w:r>
        <w:rPr>
          <w:rStyle w:val="FootnoteReference"/>
        </w:rPr>
        <w:footnoteRef/>
      </w:r>
      <w:r>
        <w:t xml:space="preserve"> Translation note: The Greek uses seed language for the end of the name. The current wording keeps that judgment image explicit.</w:t>
      </w:r>
    </w:p>
  </w:footnote>
  <w:footnote w:id="13752">
    <w:p>
      <w:pPr>
        <w:pStyle w:val="FootnoteText"/>
      </w:pPr>
      <w:r>
        <w:rPr>
          <w:rStyle w:val="FootnoteReference"/>
        </w:rPr>
        <w:footnoteRef/>
      </w:r>
      <w:r>
        <w:t xml:space="preserve"> Cross-references for "I will make": 2Kgs 19:37; 2Chr 32:21.</w:t>
      </w:r>
    </w:p>
  </w:footnote>
  <w:footnote w:id="13753">
    <w:p>
      <w:pPr>
        <w:pStyle w:val="FootnoteText"/>
      </w:pPr>
      <w:r>
        <w:rPr>
          <w:rStyle w:val="FootnoteReference"/>
        </w:rPr>
        <w:footnoteRef/>
      </w:r>
      <w:r>
        <w:t xml:space="preserve"> Cross-references for "chariots": Isa 37:24; Isa 66:15.</w:t>
      </w:r>
    </w:p>
  </w:footnote>
  <w:footnote w:id="13754">
    <w:p>
      <w:pPr>
        <w:pStyle w:val="FootnoteText"/>
      </w:pPr>
      <w:r>
        <w:rPr>
          <w:rStyle w:val="FootnoteReference"/>
        </w:rPr>
        <w:footnoteRef/>
      </w:r>
      <w:r>
        <w:t xml:space="preserve"> Cross-references for "full": Isa 17:14; Isa 42:24.</w:t>
      </w:r>
    </w:p>
  </w:footnote>
  <w:footnote w:id="13755">
    <w:p>
      <w:pPr>
        <w:pStyle w:val="FootnoteText"/>
      </w:pPr>
      <w:r>
        <w:rPr>
          <w:rStyle w:val="FootnoteReference"/>
        </w:rPr>
        <w:footnoteRef/>
      </w:r>
      <w:r>
        <w:t xml:space="preserve"> Translation note: The Greek opens with a threat formula. The current wording preserves that direct line.</w:t>
      </w:r>
    </w:p>
  </w:footnote>
  <w:footnote w:id="13756">
    <w:p>
      <w:pPr>
        <w:pStyle w:val="FootnoteText"/>
      </w:pPr>
      <w:r>
        <w:rPr>
          <w:rStyle w:val="FootnoteReference"/>
        </w:rPr>
        <w:footnoteRef/>
      </w:r>
      <w:r>
        <w:t xml:space="preserve"> Cross-references for "make": Job 30:8; Nah 1:14.</w:t>
      </w:r>
    </w:p>
  </w:footnote>
  <w:footnote w:id="13757">
    <w:p>
      <w:pPr>
        <w:pStyle w:val="FootnoteText"/>
      </w:pPr>
      <w:r>
        <w:rPr>
          <w:rStyle w:val="FootnoteReference"/>
        </w:rPr>
        <w:footnoteRef/>
      </w:r>
      <w:r>
        <w:t xml:space="preserve"> Cross-references for "Nineveh": Jer 51:41-43; Nah 2:9-10.</w:t>
      </w:r>
    </w:p>
  </w:footnote>
  <w:footnote w:id="13758">
    <w:p>
      <w:pPr>
        <w:pStyle w:val="FootnoteText"/>
      </w:pPr>
      <w:r>
        <w:rPr>
          <w:rStyle w:val="FootnoteReference"/>
        </w:rPr>
        <w:footnoteRef/>
      </w:r>
      <w:r>
        <w:t xml:space="preserve"> Cross-references for "Ethiopia": Isa 20:5; Jer 46:9.</w:t>
      </w:r>
    </w:p>
  </w:footnote>
  <w:footnote w:id="13759">
    <w:p>
      <w:pPr>
        <w:pStyle w:val="FootnoteText"/>
      </w:pPr>
      <w:r>
        <w:rPr>
          <w:rStyle w:val="FootnoteReference"/>
        </w:rPr>
        <w:footnoteRef/>
      </w:r>
      <w:r>
        <w:t xml:space="preserve"> Cross-references for "cast": Joel 3:3; Obad 1:11.</w:t>
      </w:r>
    </w:p>
  </w:footnote>
  <w:footnote w:id="13760">
    <w:p>
      <w:pPr>
        <w:pStyle w:val="FootnoteText"/>
      </w:pPr>
      <w:r>
        <w:rPr>
          <w:rStyle w:val="FootnoteReference"/>
        </w:rPr>
        <w:footnoteRef/>
      </w:r>
      <w:r>
        <w:t xml:space="preserve"> Cross-references for "the gates": Ps 107:16; Isa 45:1-2.</w:t>
      </w:r>
    </w:p>
  </w:footnote>
  <w:footnote w:id="13761">
    <w:p>
      <w:pPr>
        <w:pStyle w:val="FootnoteText"/>
      </w:pPr>
      <w:r>
        <w:rPr>
          <w:rStyle w:val="FootnoteReference"/>
        </w:rPr>
        <w:footnoteRef/>
      </w:r>
      <w:r>
        <w:t xml:space="preserve"> Cross-references for "Draw": 2Chr 32:3-4; 2Chr 32:11.</w:t>
      </w:r>
    </w:p>
  </w:footnote>
  <w:footnote w:id="13762">
    <w:p>
      <w:pPr>
        <w:pStyle w:val="FootnoteText"/>
      </w:pPr>
      <w:r>
        <w:rPr>
          <w:rStyle w:val="FootnoteReference"/>
        </w:rPr>
        <w:footnoteRef/>
      </w:r>
      <w:r>
        <w:t xml:space="preserve"> Cross-references for "O king": Jer 50:18; Ezek 31:3-18.</w:t>
      </w:r>
    </w:p>
  </w:footnote>
  <w:footnote w:id="13763">
    <w:p>
      <w:pPr>
        <w:pStyle w:val="FootnoteText"/>
      </w:pPr>
      <w:r>
        <w:rPr>
          <w:rStyle w:val="FootnoteReference"/>
        </w:rPr>
        <w:footnoteRef/>
      </w:r>
      <w:r>
        <w:t xml:space="preserve"> Cross-references for "upon": Isa 10:6-14; Isa 37:18.</w:t>
      </w:r>
    </w:p>
  </w:footnote>
  <w:footnote w:id="13764">
    <w:p>
      <w:pPr>
        <w:pStyle w:val="FootnoteText"/>
      </w:pPr>
      <w:r>
        <w:rPr>
          <w:rStyle w:val="FootnoteReference"/>
        </w:rPr>
        <w:footnoteRef/>
      </w:r>
      <w:r>
        <w:t xml:space="preserve"> Name meaning: Habakkuk (Chavaqquq) — Embrace. Embraced God in faith despite coming judgment.</w:t>
      </w:r>
    </w:p>
  </w:footnote>
  <w:footnote w:id="13765">
    <w:p>
      <w:pPr>
        <w:pStyle w:val="FootnoteText"/>
      </w:pPr>
      <w:r>
        <w:rPr>
          <w:rStyle w:val="FootnoteReference"/>
        </w:rPr>
        <w:footnoteRef/>
      </w:r>
      <w:r>
        <w:t xml:space="preserve"> Translation note: The Greek uses the direct lament question. The current wording keeps that line explicit.</w:t>
      </w:r>
    </w:p>
  </w:footnote>
  <w:footnote w:id="13766">
    <w:p>
      <w:pPr>
        <w:pStyle w:val="FootnoteText"/>
      </w:pPr>
      <w:r>
        <w:rPr>
          <w:rStyle w:val="FootnoteReference"/>
        </w:rPr>
        <w:footnoteRef/>
      </w:r>
      <w:r>
        <w:t xml:space="preserve"> Cross-references for "the law": Ps 11:3; Ps 119:126.</w:t>
      </w:r>
    </w:p>
  </w:footnote>
  <w:footnote w:id="13767">
    <w:p>
      <w:pPr>
        <w:pStyle w:val="FootnoteText"/>
      </w:pPr>
      <w:r>
        <w:rPr>
          <w:rStyle w:val="FootnoteReference"/>
        </w:rPr>
        <w:footnoteRef/>
      </w:r>
      <w:r>
        <w:t xml:space="preserve"> Cross-references for "I raise": Deut 28:49-52; 2Kgs 24:2.</w:t>
      </w:r>
    </w:p>
  </w:footnote>
  <w:footnote w:id="13768">
    <w:p>
      <w:pPr>
        <w:pStyle w:val="FootnoteText"/>
      </w:pPr>
      <w:r>
        <w:rPr>
          <w:rStyle w:val="FootnoteReference"/>
        </w:rPr>
        <w:footnoteRef/>
      </w:r>
      <w:r>
        <w:t xml:space="preserve"> Cross-references for "horses": Deut 28:49; Isa 5:26-28.</w:t>
      </w:r>
    </w:p>
  </w:footnote>
  <w:footnote w:id="13769">
    <w:p>
      <w:pPr>
        <w:pStyle w:val="FootnoteText"/>
      </w:pPr>
      <w:r>
        <w:rPr>
          <w:rStyle w:val="FootnoteReference"/>
        </w:rPr>
        <w:footnoteRef/>
      </w:r>
      <w:r>
        <w:t xml:space="preserve"> Translation note: The Greek stacks the vocatives tightly. The current wording keeps that confession close to the source-row line.</w:t>
      </w:r>
    </w:p>
  </w:footnote>
  <w:footnote w:id="13770">
    <w:p>
      <w:pPr>
        <w:pStyle w:val="FootnoteText"/>
      </w:pPr>
      <w:r>
        <w:rPr>
          <w:rStyle w:val="FootnoteReference"/>
        </w:rPr>
        <w:footnoteRef/>
      </w:r>
      <w:r>
        <w:t xml:space="preserve"> Cross-references for "stand": Ps 73:16-17; Isa 21:8.</w:t>
      </w:r>
    </w:p>
  </w:footnote>
  <w:footnote w:id="13771">
    <w:p>
      <w:pPr>
        <w:pStyle w:val="FootnoteText"/>
      </w:pPr>
      <w:r>
        <w:rPr>
          <w:rStyle w:val="FootnoteReference"/>
        </w:rPr>
        <w:footnoteRef/>
      </w:r>
      <w:r>
        <w:t xml:space="preserve"> Cross-references for "Write": Deut 27:8; Deut 31:19.</w:t>
      </w:r>
    </w:p>
  </w:footnote>
  <w:footnote w:id="13772">
    <w:p>
      <w:pPr>
        <w:pStyle w:val="FootnoteText"/>
      </w:pPr>
      <w:r>
        <w:rPr>
          <w:rStyle w:val="FootnoteReference"/>
        </w:rPr>
        <w:footnoteRef/>
      </w:r>
      <w:r>
        <w:t xml:space="preserve"> Cross-references for "wait": 2Kgs 6:33; Ps 27:14.</w:t>
      </w:r>
    </w:p>
  </w:footnote>
  <w:footnote w:id="13773">
    <w:p>
      <w:pPr>
        <w:pStyle w:val="FootnoteText"/>
      </w:pPr>
      <w:r>
        <w:rPr>
          <w:rStyle w:val="FootnoteReference"/>
        </w:rPr>
        <w:footnoteRef/>
      </w:r>
      <w:r>
        <w:t xml:space="preserve"> Translation note: Greek here reads by my faith. The draft keeps that first-person possessive wording visible, while more familiar by faith or by his faith forms belong to later citation and translation history.</w:t>
      </w:r>
    </w:p>
  </w:footnote>
  <w:footnote w:id="13774">
    <w:p>
      <w:pPr>
        <w:pStyle w:val="FootnoteText"/>
      </w:pPr>
      <w:r>
        <w:rPr>
          <w:rStyle w:val="FootnoteReference"/>
        </w:rPr>
        <w:footnoteRef/>
      </w:r>
      <w:r>
        <w:t xml:space="preserve"> Cross-references for "take": Num 23:7; Num 23:18.</w:t>
      </w:r>
    </w:p>
  </w:footnote>
  <w:footnote w:id="13775">
    <w:p>
      <w:pPr>
        <w:pStyle w:val="FootnoteText"/>
      </w:pPr>
      <w:r>
        <w:rPr>
          <w:rStyle w:val="FootnoteReference"/>
        </w:rPr>
        <w:footnoteRef/>
      </w:r>
      <w:r>
        <w:t xml:space="preserve"> Cross-references for "blood": Hab 2:17.</w:t>
      </w:r>
    </w:p>
  </w:footnote>
  <w:footnote w:id="13776">
    <w:p>
      <w:pPr>
        <w:pStyle w:val="FootnoteText"/>
      </w:pPr>
      <w:r>
        <w:rPr>
          <w:rStyle w:val="FootnoteReference"/>
        </w:rPr>
        <w:footnoteRef/>
      </w:r>
      <w:r>
        <w:t xml:space="preserve"> Cross-references for "sinned": Num 16:38; 1Kgs 2:23.</w:t>
      </w:r>
    </w:p>
  </w:footnote>
  <w:footnote w:id="13777">
    <w:p>
      <w:pPr>
        <w:pStyle w:val="FootnoteText"/>
      </w:pPr>
      <w:r>
        <w:rPr>
          <w:rStyle w:val="FootnoteReference"/>
        </w:rPr>
        <w:footnoteRef/>
      </w:r>
      <w:r>
        <w:t xml:space="preserve"> Translation note: Greek uses plural bloods; bloodshed gives the English idiom while preserving the violence charge.</w:t>
      </w:r>
    </w:p>
  </w:footnote>
  <w:footnote w:id="13778">
    <w:p>
      <w:pPr>
        <w:pStyle w:val="FootnoteText"/>
      </w:pPr>
      <w:r>
        <w:rPr>
          <w:rStyle w:val="FootnoteReference"/>
        </w:rPr>
        <w:footnoteRef/>
      </w:r>
      <w:r>
        <w:t xml:space="preserve"> Translation note: The Greek uses a to-know construction here. The current wording stays close to that source-row line instead of recasting it more abstractly.</w:t>
      </w:r>
    </w:p>
  </w:footnote>
  <w:footnote w:id="13779">
    <w:p>
      <w:pPr>
        <w:pStyle w:val="FootnoteText"/>
      </w:pPr>
      <w:r>
        <w:rPr>
          <w:rStyle w:val="FootnoteReference"/>
        </w:rPr>
        <w:footnoteRef/>
      </w:r>
      <w:r>
        <w:t xml:space="preserve"> Cross-references for "Drink": Ps 75:8; Isa 49:26.</w:t>
      </w:r>
    </w:p>
  </w:footnote>
  <w:footnote w:id="13780">
    <w:p>
      <w:pPr>
        <w:pStyle w:val="FootnoteText"/>
      </w:pPr>
      <w:r>
        <w:rPr>
          <w:rStyle w:val="FootnoteReference"/>
        </w:rPr>
        <w:footnoteRef/>
      </w:r>
      <w:r>
        <w:t xml:space="preserve"> Cross-references for "dumb": 1Cor 12:2.</w:t>
      </w:r>
    </w:p>
  </w:footnote>
  <w:footnote w:id="13781">
    <w:p>
      <w:pPr>
        <w:pStyle w:val="FootnoteText"/>
      </w:pPr>
      <w:r>
        <w:rPr>
          <w:rStyle w:val="FootnoteReference"/>
        </w:rPr>
        <w:footnoteRef/>
      </w:r>
      <w:r>
        <w:t xml:space="preserve"> Cross-references for "and there": Ps 135:17.</w:t>
      </w:r>
    </w:p>
  </w:footnote>
  <w:footnote w:id="13782">
    <w:p>
      <w:pPr>
        <w:pStyle w:val="FootnoteText"/>
      </w:pPr>
      <w:r>
        <w:rPr>
          <w:rStyle w:val="FootnoteReference"/>
        </w:rPr>
        <w:footnoteRef/>
      </w:r>
      <w:r>
        <w:t xml:space="preserve"> Cross-references for "the Lord": Ps 11:4; Ps 115:3.</w:t>
      </w:r>
    </w:p>
  </w:footnote>
  <w:footnote w:id="13783">
    <w:p>
      <w:pPr>
        <w:pStyle w:val="FootnoteText"/>
      </w:pPr>
      <w:r>
        <w:rPr>
          <w:rStyle w:val="FootnoteReference"/>
        </w:rPr>
        <w:footnoteRef/>
      </w:r>
      <w:r>
        <w:t xml:space="preserve"> Cross-references for "prayer": Ps 86:1-17; Ps 90:1-17.</w:t>
      </w:r>
    </w:p>
  </w:footnote>
  <w:footnote w:id="13784">
    <w:p>
      <w:pPr>
        <w:pStyle w:val="FootnoteText"/>
      </w:pPr>
      <w:r>
        <w:rPr>
          <w:rStyle w:val="FootnoteReference"/>
        </w:rPr>
        <w:footnoteRef/>
      </w:r>
      <w:r>
        <w:t xml:space="preserve"> Cross-references for "O Lord": Ezra 9:8; Ps 85:6.</w:t>
      </w:r>
    </w:p>
  </w:footnote>
  <w:footnote w:id="13785">
    <w:p>
      <w:pPr>
        <w:pStyle w:val="FootnoteText"/>
      </w:pPr>
      <w:r>
        <w:rPr>
          <w:rStyle w:val="FootnoteReference"/>
        </w:rPr>
        <w:footnoteRef/>
      </w:r>
      <w:r>
        <w:t xml:space="preserve"> Translation note: The Greek line here is difficult and compact. The current wording stays close to that source-row wording rather than smoothing it away.</w:t>
      </w:r>
    </w:p>
  </w:footnote>
  <w:footnote w:id="13786">
    <w:p>
      <w:pPr>
        <w:pStyle w:val="FootnoteText"/>
      </w:pPr>
      <w:r>
        <w:rPr>
          <w:rStyle w:val="FootnoteReference"/>
        </w:rPr>
        <w:footnoteRef/>
      </w:r>
      <w:r>
        <w:t xml:space="preserve"> Cross-references for "and the earth": Isa 6:3; 2Cor 3:7-11.</w:t>
      </w:r>
    </w:p>
  </w:footnote>
  <w:footnote w:id="13787">
    <w:p>
      <w:pPr>
        <w:pStyle w:val="FootnoteText"/>
      </w:pPr>
      <w:r>
        <w:rPr>
          <w:rStyle w:val="FootnoteReference"/>
        </w:rPr>
        <w:footnoteRef/>
      </w:r>
      <w:r>
        <w:t xml:space="preserve"> Cross-references for "brightness": Exod 13:21; Exod 14:20.</w:t>
      </w:r>
    </w:p>
  </w:footnote>
  <w:footnote w:id="13788">
    <w:p>
      <w:pPr>
        <w:pStyle w:val="FootnoteText"/>
      </w:pPr>
      <w:r>
        <w:rPr>
          <w:rStyle w:val="FootnoteReference"/>
        </w:rPr>
        <w:footnoteRef/>
      </w:r>
      <w:r>
        <w:t xml:space="preserve"> Cross-references for "Midian": Gen 25:1-4; Num 31:2-12.</w:t>
      </w:r>
    </w:p>
  </w:footnote>
  <w:footnote w:id="13789">
    <w:p>
      <w:pPr>
        <w:pStyle w:val="FootnoteText"/>
      </w:pPr>
      <w:r>
        <w:rPr>
          <w:rStyle w:val="FootnoteReference"/>
        </w:rPr>
        <w:footnoteRef/>
      </w:r>
      <w:r>
        <w:t xml:space="preserve"> Cross-references for "ride": Deut 33:26-27; Ps 18:10.</w:t>
      </w:r>
    </w:p>
  </w:footnote>
  <w:footnote w:id="13790">
    <w:p>
      <w:pPr>
        <w:pStyle w:val="FootnoteText"/>
      </w:pPr>
      <w:r>
        <w:rPr>
          <w:rStyle w:val="FootnoteReference"/>
        </w:rPr>
        <w:footnoteRef/>
      </w:r>
      <w:r>
        <w:t xml:space="preserve"> Cross-references for "their": Exod 1:10-16; Exod 1:22.</w:t>
      </w:r>
    </w:p>
  </w:footnote>
  <w:footnote w:id="13791">
    <w:p>
      <w:pPr>
        <w:pStyle w:val="FootnoteText"/>
      </w:pPr>
      <w:r>
        <w:rPr>
          <w:rStyle w:val="FootnoteReference"/>
        </w:rPr>
        <w:footnoteRef/>
      </w:r>
      <w:r>
        <w:t xml:space="preserve"> Translation note: Greek has a singular poor-one object. English supplies a for readable singular idiom.</w:t>
      </w:r>
    </w:p>
  </w:footnote>
  <w:footnote w:id="13792">
    <w:p>
      <w:pPr>
        <w:pStyle w:val="FootnoteText"/>
      </w:pPr>
      <w:r>
        <w:rPr>
          <w:rStyle w:val="FootnoteReference"/>
        </w:rPr>
        <w:footnoteRef/>
      </w:r>
      <w:r>
        <w:t xml:space="preserve"> Cross-references for "my belly": Ps 119:120; Jer 23:9.</w:t>
      </w:r>
    </w:p>
  </w:footnote>
  <w:footnote w:id="13793">
    <w:p>
      <w:pPr>
        <w:pStyle w:val="FootnoteText"/>
      </w:pPr>
      <w:r>
        <w:rPr>
          <w:rStyle w:val="FootnoteReference"/>
        </w:rPr>
        <w:footnoteRef/>
      </w:r>
      <w:r>
        <w:t xml:space="preserve"> Cross-references for "I will rejoice": Deut 12:18; 1Sam 2:1.</w:t>
      </w:r>
    </w:p>
  </w:footnote>
  <w:footnote w:id="13794">
    <w:p>
      <w:pPr>
        <w:pStyle w:val="FootnoteText"/>
      </w:pPr>
      <w:r>
        <w:rPr>
          <w:rStyle w:val="FootnoteReference"/>
        </w:rPr>
        <w:footnoteRef/>
      </w:r>
      <w:r>
        <w:t xml:space="preserve"> Translation note: The Greek uses a direct personal savior formula here. The current wording keeps that wording explicit.</w:t>
      </w:r>
    </w:p>
  </w:footnote>
  <w:footnote w:id="13795">
    <w:p>
      <w:pPr>
        <w:pStyle w:val="FootnoteText"/>
      </w:pPr>
      <w:r>
        <w:rPr>
          <w:rStyle w:val="FootnoteReference"/>
        </w:rPr>
        <w:footnoteRef/>
      </w:r>
      <w:r>
        <w:t xml:space="preserve"> Cross-references for "my strength": Ps 18:1; Ps 27:1.</w:t>
      </w:r>
    </w:p>
  </w:footnote>
  <w:footnote w:id="13796">
    <w:p>
      <w:pPr>
        <w:pStyle w:val="FootnoteText"/>
      </w:pPr>
      <w:r>
        <w:rPr>
          <w:rStyle w:val="FootnoteReference"/>
        </w:rPr>
        <w:footnoteRef/>
      </w:r>
      <w:r>
        <w:t xml:space="preserve"> Name meaning: Zephaniah (Tsephanyah) — Yahweh has hidden; protected. Hidden and protected the remnant during judgment.</w:t>
      </w:r>
    </w:p>
  </w:footnote>
  <w:footnote w:id="13797">
    <w:p>
      <w:pPr>
        <w:pStyle w:val="FootnoteText"/>
      </w:pPr>
      <w:r>
        <w:rPr>
          <w:rStyle w:val="FootnoteReference"/>
        </w:rPr>
        <w:footnoteRef/>
      </w:r>
      <w:r>
        <w:t xml:space="preserve"> Cross-references for "in the days": Jer 1:2; Jer 25:3.</w:t>
      </w:r>
    </w:p>
  </w:footnote>
  <w:footnote w:id="13798">
    <w:p>
      <w:pPr>
        <w:pStyle w:val="FootnoteText"/>
      </w:pPr>
      <w:r>
        <w:rPr>
          <w:rStyle w:val="FootnoteReference"/>
        </w:rPr>
        <w:footnoteRef/>
      </w:r>
      <w:r>
        <w:t xml:space="preserve"> Cross-references for "stretch": Exod 15:12; 2Kgs 21:13.</w:t>
      </w:r>
    </w:p>
  </w:footnote>
  <w:footnote w:id="13799">
    <w:p>
      <w:pPr>
        <w:pStyle w:val="FootnoteText"/>
      </w:pPr>
      <w:r>
        <w:rPr>
          <w:rStyle w:val="FootnoteReference"/>
        </w:rPr>
        <w:footnoteRef/>
      </w:r>
      <w:r>
        <w:t xml:space="preserve"> Cross-references for "by the Lord": Isa 44:5; Isa 45:23.</w:t>
      </w:r>
    </w:p>
  </w:footnote>
  <w:footnote w:id="13800">
    <w:p>
      <w:pPr>
        <w:pStyle w:val="FootnoteText"/>
      </w:pPr>
      <w:r>
        <w:rPr>
          <w:rStyle w:val="FootnoteReference"/>
        </w:rPr>
        <w:footnoteRef/>
      </w:r>
      <w:r>
        <w:t xml:space="preserve"> Cross-references for "and those": Ps 10:4; Ps 14:2-3.</w:t>
      </w:r>
    </w:p>
  </w:footnote>
  <w:footnote w:id="13801">
    <w:p>
      <w:pPr>
        <w:pStyle w:val="FootnoteText"/>
      </w:pPr>
      <w:r>
        <w:rPr>
          <w:rStyle w:val="FootnoteReference"/>
        </w:rPr>
        <w:footnoteRef/>
      </w:r>
      <w:r>
        <w:t xml:space="preserve"> Translation note: The Greek links the sacrifice with consecrated called ones. The current wording keeps that line visible.</w:t>
      </w:r>
    </w:p>
  </w:footnote>
  <w:footnote w:id="13802">
    <w:p>
      <w:pPr>
        <w:pStyle w:val="FootnoteText"/>
      </w:pPr>
      <w:r>
        <w:rPr>
          <w:rStyle w:val="FootnoteReference"/>
        </w:rPr>
        <w:footnoteRef/>
      </w:r>
      <w:r>
        <w:t xml:space="preserve"> Translation note: The Greek uses a compact day-of-sacrifice formula. The current wording preserves that line.</w:t>
      </w:r>
    </w:p>
  </w:footnote>
  <w:footnote w:id="13803">
    <w:p>
      <w:pPr>
        <w:pStyle w:val="FootnoteText"/>
      </w:pPr>
      <w:r>
        <w:rPr>
          <w:rStyle w:val="FootnoteReference"/>
        </w:rPr>
        <w:footnoteRef/>
      </w:r>
      <w:r>
        <w:t xml:space="preserve"> Cross-references for "the second": 2Kgs 22:14; 2Chr 32:22.</w:t>
      </w:r>
    </w:p>
  </w:footnote>
  <w:footnote w:id="13804">
    <w:p>
      <w:pPr>
        <w:pStyle w:val="FootnoteText"/>
      </w:pPr>
      <w:r>
        <w:rPr>
          <w:rStyle w:val="FootnoteReference"/>
        </w:rPr>
        <w:footnoteRef/>
      </w:r>
      <w:r>
        <w:t xml:space="preserve"> Cross-references for "the men": Jer 48:11; Amos 6:1.</w:t>
      </w:r>
    </w:p>
  </w:footnote>
  <w:footnote w:id="13805">
    <w:p>
      <w:pPr>
        <w:pStyle w:val="FootnoteText"/>
      </w:pPr>
      <w:r>
        <w:rPr>
          <w:rStyle w:val="FootnoteReference"/>
        </w:rPr>
        <w:footnoteRef/>
      </w:r>
      <w:r>
        <w:t xml:space="preserve"> Cross-references for "build": Deut 28:30; Deut 28:39.</w:t>
      </w:r>
    </w:p>
  </w:footnote>
  <w:footnote w:id="13806">
    <w:p>
      <w:pPr>
        <w:pStyle w:val="FootnoteText"/>
      </w:pPr>
      <w:r>
        <w:rPr>
          <w:rStyle w:val="FootnoteReference"/>
        </w:rPr>
        <w:footnoteRef/>
      </w:r>
      <w:r>
        <w:t xml:space="preserve"> Cross-references for "great": Zeph 1:7.</w:t>
      </w:r>
    </w:p>
  </w:footnote>
  <w:footnote w:id="13807">
    <w:p>
      <w:pPr>
        <w:pStyle w:val="FootnoteText"/>
      </w:pPr>
      <w:r>
        <w:rPr>
          <w:rStyle w:val="FootnoteReference"/>
        </w:rPr>
        <w:footnoteRef/>
      </w:r>
      <w:r>
        <w:t xml:space="preserve"> Cross-references for "a day of darkness": Job 3:4-8; Joel 2:2.</w:t>
      </w:r>
    </w:p>
  </w:footnote>
  <w:footnote w:id="13808">
    <w:p>
      <w:pPr>
        <w:pStyle w:val="FootnoteText"/>
      </w:pPr>
      <w:r>
        <w:rPr>
          <w:rStyle w:val="FootnoteReference"/>
        </w:rPr>
        <w:footnoteRef/>
      </w:r>
      <w:r>
        <w:t xml:space="preserve"> Cross-references for "and against": Ps 48:12-13; Isa 2:12-15.</w:t>
      </w:r>
    </w:p>
  </w:footnote>
  <w:footnote w:id="13809">
    <w:p>
      <w:pPr>
        <w:pStyle w:val="FootnoteText"/>
      </w:pPr>
      <w:r>
        <w:rPr>
          <w:rStyle w:val="FootnoteReference"/>
        </w:rPr>
        <w:footnoteRef/>
      </w:r>
      <w:r>
        <w:t xml:space="preserve"> Cross-references for "their silver": Ps 49:6-9; Ps 52:5-7.</w:t>
      </w:r>
    </w:p>
  </w:footnote>
  <w:footnote w:id="13810">
    <w:p>
      <w:pPr>
        <w:pStyle w:val="FootnoteText"/>
      </w:pPr>
      <w:r>
        <w:rPr>
          <w:rStyle w:val="FootnoteReference"/>
        </w:rPr>
        <w:footnoteRef/>
      </w:r>
      <w:r>
        <w:t xml:space="preserve"> Cross-references for "Gather together": 2Chr 20:4; Neh 8:1.</w:t>
      </w:r>
    </w:p>
  </w:footnote>
  <w:footnote w:id="13811">
    <w:p>
      <w:pPr>
        <w:pStyle w:val="FootnoteText"/>
      </w:pPr>
      <w:r>
        <w:rPr>
          <w:rStyle w:val="FootnoteReference"/>
        </w:rPr>
        <w:footnoteRef/>
      </w:r>
      <w:r>
        <w:t xml:space="preserve"> Cross-references for "before the day of": Ps 95:7-8.</w:t>
      </w:r>
    </w:p>
  </w:footnote>
  <w:footnote w:id="13812">
    <w:p>
      <w:pPr>
        <w:pStyle w:val="FootnoteText"/>
      </w:pPr>
      <w:r>
        <w:rPr>
          <w:rStyle w:val="FootnoteReference"/>
        </w:rPr>
        <w:footnoteRef/>
      </w:r>
      <w:r>
        <w:t xml:space="preserve"> Translation note: The Greek summons the humble to work judgment seek righteousness and answer these things. The current wording follows the source row rather than adding a humility noun.</w:t>
      </w:r>
    </w:p>
  </w:footnote>
  <w:footnote w:id="13813">
    <w:p>
      <w:pPr>
        <w:pStyle w:val="FootnoteText"/>
      </w:pPr>
      <w:r>
        <w:rPr>
          <w:rStyle w:val="FootnoteReference"/>
        </w:rPr>
        <w:footnoteRef/>
      </w:r>
      <w:r>
        <w:t xml:space="preserve"> Cross-references for "seek righteousness": Phil 3:13-14; 1Thess 4:1.</w:t>
      </w:r>
    </w:p>
  </w:footnote>
  <w:footnote w:id="13814">
    <w:p>
      <w:pPr>
        <w:pStyle w:val="FootnoteText"/>
      </w:pPr>
      <w:r>
        <w:rPr>
          <w:rStyle w:val="FootnoteReference"/>
        </w:rPr>
        <w:footnoteRef/>
      </w:r>
      <w:r>
        <w:t xml:space="preserve"> Cross-references for "Gaza": Jer 25:20; Jer 47:1-7.</w:t>
      </w:r>
    </w:p>
  </w:footnote>
  <w:footnote w:id="13815">
    <w:p>
      <w:pPr>
        <w:pStyle w:val="FootnoteText"/>
      </w:pPr>
      <w:r>
        <w:rPr>
          <w:rStyle w:val="FootnoteReference"/>
        </w:rPr>
        <w:footnoteRef/>
      </w:r>
      <w:r>
        <w:t xml:space="preserve"> Cross-references for "The word": Amos 3:1; Amos 5:1.</w:t>
      </w:r>
    </w:p>
  </w:footnote>
  <w:footnote w:id="13816">
    <w:p>
      <w:pPr>
        <w:pStyle w:val="FootnoteText"/>
      </w:pPr>
      <w:r>
        <w:rPr>
          <w:rStyle w:val="FootnoteReference"/>
        </w:rPr>
        <w:footnoteRef/>
      </w:r>
      <w:r>
        <w:t xml:space="preserve"> Place name: Crete. Place-name meaning: Crete — carnal; fleshly. Source form: Crete. Greek form: κρητη.</w:t>
      </w:r>
    </w:p>
  </w:footnote>
  <w:footnote w:id="13817">
    <w:p>
      <w:pPr>
        <w:pStyle w:val="FootnoteText"/>
      </w:pPr>
      <w:r>
        <w:rPr>
          <w:rStyle w:val="FootnoteReference"/>
        </w:rPr>
        <w:footnoteRef/>
      </w:r>
      <w:r>
        <w:t xml:space="preserve"> Cross-references for "the remnant": Isa 11:11; Jer 31:7.</w:t>
      </w:r>
    </w:p>
  </w:footnote>
  <w:footnote w:id="13818">
    <w:p>
      <w:pPr>
        <w:pStyle w:val="FootnoteText"/>
      </w:pPr>
      <w:r>
        <w:rPr>
          <w:rStyle w:val="FootnoteReference"/>
        </w:rPr>
        <w:footnoteRef/>
      </w:r>
      <w:r>
        <w:t xml:space="preserve"> Cross-references for "heard": Jer 48:27-29; Ezek 25:8-11.</w:t>
      </w:r>
    </w:p>
  </w:footnote>
  <w:footnote w:id="13819">
    <w:p>
      <w:pPr>
        <w:pStyle w:val="FootnoteText"/>
      </w:pPr>
      <w:r>
        <w:rPr>
          <w:rStyle w:val="FootnoteReference"/>
        </w:rPr>
        <w:footnoteRef/>
      </w:r>
      <w:r>
        <w:t xml:space="preserve"> Cross-references for "as Gomorrah": Gen 19:24-25; Deut 29:23.</w:t>
      </w:r>
    </w:p>
  </w:footnote>
  <w:footnote w:id="13820">
    <w:p>
      <w:pPr>
        <w:pStyle w:val="FootnoteText"/>
      </w:pPr>
      <w:r>
        <w:rPr>
          <w:rStyle w:val="FootnoteReference"/>
        </w:rPr>
        <w:footnoteRef/>
      </w:r>
      <w:r>
        <w:t xml:space="preserve"> Cross-references for "and magnified": Exod 9:17; Exod 10:3.</w:t>
      </w:r>
    </w:p>
  </w:footnote>
  <w:footnote w:id="13821">
    <w:p>
      <w:pPr>
        <w:pStyle w:val="FootnoteText"/>
      </w:pPr>
      <w:r>
        <w:rPr>
          <w:rStyle w:val="FootnoteReference"/>
        </w:rPr>
        <w:footnoteRef/>
      </w:r>
      <w:r>
        <w:t xml:space="preserve"> Cross-references for "Ethiopians": Isa 18:1-7; Isa 20:4-5.</w:t>
      </w:r>
    </w:p>
  </w:footnote>
  <w:footnote w:id="13822">
    <w:p>
      <w:pPr>
        <w:pStyle w:val="FootnoteText"/>
      </w:pPr>
      <w:r>
        <w:rPr>
          <w:rStyle w:val="FootnoteReference"/>
        </w:rPr>
        <w:footnoteRef/>
      </w:r>
      <w:r>
        <w:t xml:space="preserve"> Cross-references for "flocks": Isa 13:19-22; Isa 34:11-17.</w:t>
      </w:r>
    </w:p>
  </w:footnote>
  <w:footnote w:id="13823">
    <w:p>
      <w:pPr>
        <w:pStyle w:val="FootnoteText"/>
      </w:pPr>
      <w:r>
        <w:rPr>
          <w:rStyle w:val="FootnoteReference"/>
        </w:rPr>
        <w:footnoteRef/>
      </w:r>
      <w:r>
        <w:t xml:space="preserve"> Translation note: The Greek uses an unusual descriptor for the prophets and then calls them despisers. The current wording keeps both marked terms visible.</w:t>
      </w:r>
    </w:p>
  </w:footnote>
  <w:footnote w:id="13824">
    <w:p>
      <w:pPr>
        <w:pStyle w:val="FootnoteText"/>
      </w:pPr>
      <w:r>
        <w:rPr>
          <w:rStyle w:val="FootnoteReference"/>
        </w:rPr>
        <w:footnoteRef/>
      </w:r>
      <w:r>
        <w:t xml:space="preserve"> Cross-references for "her priests": 1Sam 2:12-17; 1Sam 2:22.</w:t>
      </w:r>
    </w:p>
  </w:footnote>
  <w:footnote w:id="13825">
    <w:p>
      <w:pPr>
        <w:pStyle w:val="FootnoteText"/>
      </w:pPr>
      <w:r>
        <w:rPr>
          <w:rStyle w:val="FootnoteReference"/>
        </w:rPr>
        <w:footnoteRef/>
      </w:r>
      <w:r>
        <w:t xml:space="preserve"> Translation note: The Greek closes with exaction and strife wording rather than the shame wording found in other traditions. The current wording follows the source row.</w:t>
      </w:r>
    </w:p>
  </w:footnote>
  <w:footnote w:id="13826">
    <w:p>
      <w:pPr>
        <w:pStyle w:val="FootnoteText"/>
      </w:pPr>
      <w:r>
        <w:rPr>
          <w:rStyle w:val="FootnoteReference"/>
        </w:rPr>
        <w:footnoteRef/>
      </w:r>
      <w:r>
        <w:t xml:space="preserve"> Cross-references for "corrupted": Gen 6:12; Deut 4:16.</w:t>
      </w:r>
    </w:p>
  </w:footnote>
  <w:footnote w:id="13827">
    <w:p>
      <w:pPr>
        <w:pStyle w:val="FootnoteText"/>
      </w:pPr>
      <w:r>
        <w:rPr>
          <w:rStyle w:val="FootnoteReference"/>
        </w:rPr>
        <w:footnoteRef/>
      </w:r>
      <w:r>
        <w:t xml:space="preserve"> Cross-references for "wait": Ps 27:14; Ps 37:7.</w:t>
      </w:r>
    </w:p>
  </w:footnote>
  <w:footnote w:id="13828">
    <w:p>
      <w:pPr>
        <w:pStyle w:val="FootnoteText"/>
      </w:pPr>
      <w:r>
        <w:rPr>
          <w:rStyle w:val="FootnoteReference"/>
        </w:rPr>
        <w:footnoteRef/>
      </w:r>
      <w:r>
        <w:t xml:space="preserve"> Cross-references for "will": Isa 19:18; Matt 12:35.</w:t>
      </w:r>
    </w:p>
  </w:footnote>
  <w:footnote w:id="13829">
    <w:p>
      <w:pPr>
        <w:pStyle w:val="FootnoteText"/>
      </w:pPr>
      <w:r>
        <w:rPr>
          <w:rStyle w:val="FootnoteReference"/>
        </w:rPr>
        <w:footnoteRef/>
      </w:r>
      <w:r>
        <w:t xml:space="preserve"> Cross-references for "leave": Isa 14:32; Isa 61:1-3.</w:t>
      </w:r>
    </w:p>
  </w:footnote>
  <w:footnote w:id="13830">
    <w:p>
      <w:pPr>
        <w:pStyle w:val="FootnoteText"/>
      </w:pPr>
      <w:r>
        <w:rPr>
          <w:rStyle w:val="FootnoteReference"/>
        </w:rPr>
        <w:footnoteRef/>
      </w:r>
      <w:r>
        <w:t xml:space="preserve"> Cross-references for "remnant": Isa 6:13; Isa 10:20-22.</w:t>
      </w:r>
    </w:p>
  </w:footnote>
  <w:footnote w:id="13831">
    <w:p>
      <w:pPr>
        <w:pStyle w:val="FootnoteText"/>
      </w:pPr>
      <w:r>
        <w:rPr>
          <w:rStyle w:val="FootnoteReference"/>
        </w:rPr>
        <w:footnoteRef/>
      </w:r>
      <w:r>
        <w:t xml:space="preserve"> Cross-references for "is in": Ezek 37:26-28; Ezek 48:35.</w:t>
      </w:r>
    </w:p>
  </w:footnote>
  <w:footnote w:id="13832">
    <w:p>
      <w:pPr>
        <w:pStyle w:val="FootnoteText"/>
      </w:pPr>
      <w:r>
        <w:rPr>
          <w:rStyle w:val="FootnoteReference"/>
        </w:rPr>
        <w:footnoteRef/>
      </w:r>
      <w:r>
        <w:t xml:space="preserve"> Cross-references for "slack": 2Cor 4:1; Gal 6:9.</w:t>
      </w:r>
    </w:p>
  </w:footnote>
  <w:footnote w:id="13833">
    <w:p>
      <w:pPr>
        <w:pStyle w:val="FootnoteText"/>
      </w:pPr>
      <w:r>
        <w:rPr>
          <w:rStyle w:val="FootnoteReference"/>
        </w:rPr>
        <w:footnoteRef/>
      </w:r>
      <w:r>
        <w:t xml:space="preserve"> Translation note: The Greek uses renewal language with love. The current wording keeps that source-row line visible.</w:t>
      </w:r>
    </w:p>
  </w:footnote>
  <w:footnote w:id="13834">
    <w:p>
      <w:pPr>
        <w:pStyle w:val="FootnoteText"/>
      </w:pPr>
      <w:r>
        <w:rPr>
          <w:rStyle w:val="FootnoteReference"/>
        </w:rPr>
        <w:footnoteRef/>
      </w:r>
      <w:r>
        <w:t xml:space="preserve"> Cross-references for "gather": Jer 23:3; Jer 31:8-9.</w:t>
      </w:r>
    </w:p>
  </w:footnote>
  <w:footnote w:id="13835">
    <w:p>
      <w:pPr>
        <w:pStyle w:val="FootnoteText"/>
      </w:pPr>
      <w:r>
        <w:rPr>
          <w:rStyle w:val="FootnoteReference"/>
        </w:rPr>
        <w:footnoteRef/>
      </w:r>
      <w:r>
        <w:t xml:space="preserve"> Cross-references for "and I will save": Jer 31:8; Ezek 34:16.</w:t>
      </w:r>
    </w:p>
  </w:footnote>
  <w:footnote w:id="13836">
    <w:p>
      <w:pPr>
        <w:pStyle w:val="FootnoteText"/>
      </w:pPr>
      <w:r>
        <w:rPr>
          <w:rStyle w:val="FootnoteReference"/>
        </w:rPr>
        <w:footnoteRef/>
      </w:r>
      <w:r>
        <w:t xml:space="preserve"> Cross-references for "I turn": Ps 35:6; Jer 29:14.</w:t>
      </w:r>
    </w:p>
  </w:footnote>
  <w:footnote w:id="13837">
    <w:p>
      <w:pPr>
        <w:pStyle w:val="FootnoteText"/>
      </w:pPr>
      <w:r>
        <w:rPr>
          <w:rStyle w:val="FootnoteReference"/>
        </w:rPr>
        <w:footnoteRef/>
      </w:r>
      <w:r>
        <w:t xml:space="preserve"> Cross-references for "second": Ezra 4:24; Ezra 5:1-2.</w:t>
      </w:r>
    </w:p>
  </w:footnote>
  <w:footnote w:id="13838">
    <w:p>
      <w:pPr>
        <w:pStyle w:val="FootnoteText"/>
      </w:pPr>
      <w:r>
        <w:rPr>
          <w:rStyle w:val="FootnoteReference"/>
        </w:rPr>
        <w:footnoteRef/>
      </w:r>
      <w:r>
        <w:t xml:space="preserve"> Translation note: The Greek uses a prophetic transmission formula here. The current wording keeps that by-hand line explicit.</w:t>
      </w:r>
    </w:p>
  </w:footnote>
  <w:footnote w:id="13839">
    <w:p>
      <w:pPr>
        <w:pStyle w:val="FootnoteText"/>
      </w:pPr>
      <w:r>
        <w:rPr>
          <w:rStyle w:val="FootnoteReference"/>
        </w:rPr>
        <w:footnoteRef/>
      </w:r>
      <w:r>
        <w:t xml:space="preserve"> Personal name: Josedech. Personal-name meaning: Josedech — Yahweh is righteous; justice of the Lord. Source form: Josedech.</w:t>
      </w:r>
    </w:p>
  </w:footnote>
  <w:footnote w:id="13840">
    <w:p>
      <w:pPr>
        <w:pStyle w:val="FootnoteText"/>
      </w:pPr>
      <w:r>
        <w:rPr>
          <w:rStyle w:val="FootnoteReference"/>
        </w:rPr>
        <w:footnoteRef/>
      </w:r>
      <w:r>
        <w:t xml:space="preserve"> Cross-references for "thus": Lam 3:40; Ezek 18:28.</w:t>
      </w:r>
    </w:p>
  </w:footnote>
  <w:footnote w:id="13841">
    <w:p>
      <w:pPr>
        <w:pStyle w:val="FootnoteText"/>
      </w:pPr>
      <w:r>
        <w:rPr>
          <w:rStyle w:val="FootnoteReference"/>
        </w:rPr>
        <w:footnoteRef/>
      </w:r>
      <w:r>
        <w:t xml:space="preserve"> Cross-references for "and build": Jonah 3:1-2; Hag 1:2-4.</w:t>
      </w:r>
    </w:p>
  </w:footnote>
  <w:footnote w:id="13842">
    <w:p>
      <w:pPr>
        <w:pStyle w:val="FootnoteText"/>
      </w:pPr>
      <w:r>
        <w:rPr>
          <w:rStyle w:val="FootnoteReference"/>
        </w:rPr>
        <w:footnoteRef/>
      </w:r>
      <w:r>
        <w:t xml:space="preserve"> Cross-references for "upon all": Hag 2:17.</w:t>
      </w:r>
    </w:p>
  </w:footnote>
  <w:footnote w:id="13843">
    <w:p>
      <w:pPr>
        <w:pStyle w:val="FootnoteText"/>
      </w:pPr>
      <w:r>
        <w:rPr>
          <w:rStyle w:val="FootnoteReference"/>
        </w:rPr>
        <w:footnoteRef/>
      </w:r>
      <w:r>
        <w:t xml:space="preserve"> Cross-references for "Zerubbabel": Ezra 5:2; Isa 55:10-11.</w:t>
      </w:r>
    </w:p>
  </w:footnote>
  <w:footnote w:id="13844">
    <w:p>
      <w:pPr>
        <w:pStyle w:val="FootnoteText"/>
      </w:pPr>
      <w:r>
        <w:rPr>
          <w:rStyle w:val="FootnoteReference"/>
        </w:rPr>
        <w:footnoteRef/>
      </w:r>
      <w:r>
        <w:t xml:space="preserve"> Translation note: The Greek says the people feared before the Lord. The current wording preserves that direct response line.</w:t>
      </w:r>
    </w:p>
  </w:footnote>
  <w:footnote w:id="13845">
    <w:p>
      <w:pPr>
        <w:pStyle w:val="FootnoteText"/>
      </w:pPr>
      <w:r>
        <w:rPr>
          <w:rStyle w:val="FootnoteReference"/>
        </w:rPr>
        <w:footnoteRef/>
      </w:r>
      <w:r>
        <w:t xml:space="preserve"> Translation note: The Greek uses angelos here for Haggai in his prophetic office. The current wording keeps messenger because the context is human and ministerial.</w:t>
      </w:r>
    </w:p>
  </w:footnote>
  <w:footnote w:id="13846">
    <w:p>
      <w:pPr>
        <w:pStyle w:val="FootnoteText"/>
      </w:pPr>
      <w:r>
        <w:rPr>
          <w:rStyle w:val="FootnoteReference"/>
        </w:rPr>
        <w:footnoteRef/>
      </w:r>
      <w:r>
        <w:t xml:space="preserve"> Cross-references for "stirred": 1Chr 5:26; 2Chr 36:22.</w:t>
      </w:r>
    </w:p>
  </w:footnote>
  <w:footnote w:id="13847">
    <w:p>
      <w:pPr>
        <w:pStyle w:val="FootnoteText"/>
      </w:pPr>
      <w:r>
        <w:rPr>
          <w:rStyle w:val="FootnoteReference"/>
        </w:rPr>
        <w:footnoteRef/>
      </w:r>
      <w:r>
        <w:t xml:space="preserve"> Translation note: Greek names the spirit of the remnant of all the people. English supplies the article and uses work as a natural collective rendering for ἔργα.</w:t>
      </w:r>
    </w:p>
  </w:footnote>
  <w:footnote w:id="13848">
    <w:p>
      <w:pPr>
        <w:pStyle w:val="FootnoteText"/>
      </w:pPr>
      <w:r>
        <w:rPr>
          <w:rStyle w:val="FootnoteReference"/>
        </w:rPr>
        <w:footnoteRef/>
      </w:r>
      <w:r>
        <w:t xml:space="preserve"> Cross-references for "the seventh": Hag 1:15; Hag 2:10.</w:t>
      </w:r>
    </w:p>
  </w:footnote>
  <w:footnote w:id="13849">
    <w:p>
      <w:pPr>
        <w:pStyle w:val="FootnoteText"/>
      </w:pPr>
      <w:r>
        <w:rPr>
          <w:rStyle w:val="FootnoteReference"/>
        </w:rPr>
        <w:footnoteRef/>
      </w:r>
      <w:r>
        <w:t xml:space="preserve"> Cross-references for "glory": Ezek 7:20; Luke 21:5-6.</w:t>
      </w:r>
    </w:p>
  </w:footnote>
  <w:footnote w:id="13850">
    <w:p>
      <w:pPr>
        <w:pStyle w:val="FootnoteText"/>
      </w:pPr>
      <w:r>
        <w:rPr>
          <w:rStyle w:val="FootnoteReference"/>
        </w:rPr>
        <w:footnoteRef/>
      </w:r>
      <w:r>
        <w:t xml:space="preserve"> Translation note: The Greek uses a direct assurance formula here. The current wording preserves that line.</w:t>
      </w:r>
    </w:p>
  </w:footnote>
  <w:footnote w:id="13851">
    <w:p>
      <w:pPr>
        <w:pStyle w:val="FootnoteText"/>
      </w:pPr>
      <w:r>
        <w:rPr>
          <w:rStyle w:val="FootnoteReference"/>
        </w:rPr>
        <w:footnoteRef/>
      </w:r>
      <w:r>
        <w:t xml:space="preserve"> Cross-references for "I will shake": Ezek 21:27; Dan 2:44-45.</w:t>
      </w:r>
    </w:p>
  </w:footnote>
  <w:footnote w:id="13852">
    <w:p>
      <w:pPr>
        <w:pStyle w:val="FootnoteText"/>
      </w:pPr>
      <w:r>
        <w:rPr>
          <w:rStyle w:val="FootnoteReference"/>
        </w:rPr>
        <w:footnoteRef/>
      </w:r>
      <w:r>
        <w:t xml:space="preserve"> Cross-references for "glory": Ps 24:7-10; John 1:14.</w:t>
      </w:r>
    </w:p>
  </w:footnote>
  <w:footnote w:id="13853">
    <w:p>
      <w:pPr>
        <w:pStyle w:val="FootnoteText"/>
      </w:pPr>
      <w:r>
        <w:rPr>
          <w:rStyle w:val="FootnoteReference"/>
        </w:rPr>
        <w:footnoteRef/>
      </w:r>
      <w:r>
        <w:t xml:space="preserve"> Translation note: The Greek closes with an unusual phrase, peace of soul for preservation. The current wording keeps that distinctive ending visible.</w:t>
      </w:r>
    </w:p>
  </w:footnote>
  <w:footnote w:id="13854">
    <w:p>
      <w:pPr>
        <w:pStyle w:val="FootnoteText"/>
      </w:pPr>
      <w:r>
        <w:rPr>
          <w:rStyle w:val="FootnoteReference"/>
        </w:rPr>
        <w:footnoteRef/>
      </w:r>
      <w:r>
        <w:t xml:space="preserve"> Cross-references for "So is this people": Prov 15:8; Prov 21:4.</w:t>
      </w:r>
    </w:p>
  </w:footnote>
  <w:footnote w:id="13855">
    <w:p>
      <w:pPr>
        <w:pStyle w:val="FootnoteText"/>
      </w:pPr>
      <w:r>
        <w:rPr>
          <w:rStyle w:val="FootnoteReference"/>
        </w:rPr>
        <w:footnoteRef/>
      </w:r>
      <w:r>
        <w:t xml:space="preserve"> Cross-references for "in all": Ps 78:46; Isa 62:8.</w:t>
      </w:r>
    </w:p>
  </w:footnote>
  <w:footnote w:id="13856">
    <w:p>
      <w:pPr>
        <w:pStyle w:val="FootnoteText"/>
      </w:pPr>
      <w:r>
        <w:rPr>
          <w:rStyle w:val="FootnoteReference"/>
        </w:rPr>
        <w:footnoteRef/>
      </w:r>
      <w:r>
        <w:t xml:space="preserve"> Cross-references for "Zerubbabel": 1Chr 3:19; Ezra 2:2.</w:t>
      </w:r>
    </w:p>
  </w:footnote>
  <w:footnote w:id="13857">
    <w:p>
      <w:pPr>
        <w:pStyle w:val="FootnoteText"/>
      </w:pPr>
      <w:r>
        <w:rPr>
          <w:rStyle w:val="FootnoteReference"/>
        </w:rPr>
        <w:footnoteRef/>
      </w:r>
      <w:r>
        <w:t xml:space="preserve"> Cross-references for "the eighth": Ezra 4:24; Ezra 6:15.</w:t>
      </w:r>
    </w:p>
  </w:footnote>
  <w:footnote w:id="13858">
    <w:p>
      <w:pPr>
        <w:pStyle w:val="FootnoteText"/>
      </w:pPr>
      <w:r>
        <w:rPr>
          <w:rStyle w:val="FootnoteReference"/>
        </w:rPr>
        <w:footnoteRef/>
      </w:r>
      <w:r>
        <w:t xml:space="preserve"> Cross-references for "Turn": Isa 1:16-19; Isa 31:6.</w:t>
      </w:r>
    </w:p>
  </w:footnote>
  <w:footnote w:id="13859">
    <w:p>
      <w:pPr>
        <w:pStyle w:val="FootnoteText"/>
      </w:pPr>
      <w:r>
        <w:rPr>
          <w:rStyle w:val="FootnoteReference"/>
        </w:rPr>
        <w:footnoteRef/>
      </w:r>
      <w:r>
        <w:t xml:space="preserve"> Cross-references for "my words": Isa 55:1.</w:t>
      </w:r>
    </w:p>
  </w:footnote>
  <w:footnote w:id="13860">
    <w:p>
      <w:pPr>
        <w:pStyle w:val="FootnoteText"/>
      </w:pPr>
      <w:r>
        <w:rPr>
          <w:rStyle w:val="FootnoteReference"/>
        </w:rPr>
        <w:footnoteRef/>
      </w:r>
      <w:r>
        <w:t xml:space="preserve"> Cross-references for "the eleventh": Zech 1:1.</w:t>
      </w:r>
    </w:p>
  </w:footnote>
  <w:footnote w:id="13861">
    <w:p>
      <w:pPr>
        <w:pStyle w:val="FootnoteText"/>
      </w:pPr>
      <w:r>
        <w:rPr>
          <w:rStyle w:val="FootnoteReference"/>
        </w:rPr>
        <w:footnoteRef/>
      </w:r>
      <w:r>
        <w:t xml:space="preserve"> Transliterated proper noun: Sebat. Standard English equivalent: Sebat. Source form: Sebat. Greek form: σαβατ. Name meaning: twig; scepter; tribe.</w:t>
      </w:r>
    </w:p>
  </w:footnote>
  <w:footnote w:id="13862">
    <w:p>
      <w:pPr>
        <w:pStyle w:val="FootnoteText"/>
      </w:pPr>
      <w:r>
        <w:rPr>
          <w:rStyle w:val="FootnoteReference"/>
        </w:rPr>
        <w:footnoteRef/>
      </w:r>
      <w:r>
        <w:t xml:space="preserve"> Cross-references for "by night": Gen 20:3; 1Kgs 3:5.</w:t>
      </w:r>
    </w:p>
  </w:footnote>
  <w:footnote w:id="13863">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64">
    <w:p>
      <w:pPr>
        <w:pStyle w:val="FootnoteText"/>
      </w:pPr>
      <w:r>
        <w:rPr>
          <w:rStyle w:val="FootnoteReference"/>
        </w:rPr>
        <w:footnoteRef/>
      </w:r>
      <w:r>
        <w:t xml:space="preserve"> Cross-references for "the angel": Gen 31:11; Dan 8:16.</w:t>
      </w:r>
    </w:p>
  </w:footnote>
  <w:footnote w:id="13865">
    <w:p>
      <w:pPr>
        <w:pStyle w:val="FootnoteText"/>
      </w:pPr>
      <w:r>
        <w:rPr>
          <w:rStyle w:val="FootnoteReference"/>
        </w:rPr>
        <w:footnoteRef/>
      </w:r>
      <w:r>
        <w:t xml:space="preserve"> Cross-references for "the man": Gen 32:24-31; Hos 12:3-5.</w:t>
      </w:r>
    </w:p>
  </w:footnote>
  <w:footnote w:id="13866">
    <w:p>
      <w:pPr>
        <w:pStyle w:val="FootnoteText"/>
      </w:pPr>
      <w:r>
        <w:rPr>
          <w:rStyle w:val="FootnoteReference"/>
        </w:rPr>
        <w:footnoteRef/>
      </w:r>
      <w:r>
        <w:t xml:space="preserve"> Cross-references for "they answered": Ps 68:17; Ps 103:20-21.</w:t>
      </w:r>
    </w:p>
  </w:footnote>
  <w:footnote w:id="13867">
    <w:p>
      <w:pPr>
        <w:pStyle w:val="FootnoteText"/>
      </w:pPr>
      <w:r>
        <w:rPr>
          <w:rStyle w:val="FootnoteReference"/>
        </w:rPr>
        <w:footnoteRef/>
      </w:r>
      <w:r>
        <w:t xml:space="preserve"> Cross-references for "the angel": Exod 23:20-23; Isa 63:9.</w:t>
      </w:r>
    </w:p>
  </w:footnote>
  <w:footnote w:id="13868">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69">
    <w:p>
      <w:pPr>
        <w:pStyle w:val="FootnoteText"/>
      </w:pPr>
      <w:r>
        <w:rPr>
          <w:rStyle w:val="FootnoteReference"/>
        </w:rPr>
        <w:footnoteRef/>
      </w:r>
      <w:r>
        <w:t xml:space="preserve"> Cross-references for "with good": Isa 40:1-2; Jer 29:10.</w:t>
      </w:r>
    </w:p>
  </w:footnote>
  <w:footnote w:id="13870">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71">
    <w:p>
      <w:pPr>
        <w:pStyle w:val="FootnoteText"/>
      </w:pPr>
      <w:r>
        <w:rPr>
          <w:rStyle w:val="FootnoteReference"/>
        </w:rPr>
        <w:footnoteRef/>
      </w:r>
      <w:r>
        <w:t xml:space="preserve"> Cross-references for "the angel": Zech 1:9; Zech 1:13.</w:t>
      </w:r>
    </w:p>
  </w:footnote>
  <w:footnote w:id="13872">
    <w:p>
      <w:pPr>
        <w:pStyle w:val="FootnoteText"/>
      </w:pPr>
      <w:r>
        <w:rPr>
          <w:rStyle w:val="FootnoteReference"/>
        </w:rPr>
        <w:footnoteRef/>
      </w:r>
      <w:r>
        <w:t xml:space="preserve"> Cross-references for "my house": Ezra 6:14-15; Isa 44:26-28.</w:t>
      </w:r>
    </w:p>
  </w:footnote>
  <w:footnote w:id="13873">
    <w:p>
      <w:pPr>
        <w:pStyle w:val="FootnoteText"/>
      </w:pPr>
      <w:r>
        <w:rPr>
          <w:rStyle w:val="FootnoteReference"/>
        </w:rPr>
        <w:footnoteRef/>
      </w:r>
      <w:r>
        <w:t xml:space="preserve"> Cross-references for "choose": 2Chr 6:6; Ps 132:13-14.</w:t>
      </w:r>
    </w:p>
  </w:footnote>
  <w:footnote w:id="13874">
    <w:p>
      <w:pPr>
        <w:pStyle w:val="FootnoteText"/>
      </w:pPr>
      <w:r>
        <w:rPr>
          <w:rStyle w:val="FootnoteReference"/>
        </w:rPr>
        <w:footnoteRef/>
      </w:r>
      <w:r>
        <w:t xml:space="preserve"> Cross-references for "lifted": Zech 1:18.</w:t>
      </w:r>
    </w:p>
  </w:footnote>
  <w:footnote w:id="13875">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76">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77">
    <w:p>
      <w:pPr>
        <w:pStyle w:val="FootnoteText"/>
      </w:pPr>
      <w:r>
        <w:rPr>
          <w:rStyle w:val="FootnoteReference"/>
        </w:rPr>
        <w:footnoteRef/>
      </w:r>
      <w:r>
        <w:t xml:space="preserve"> Translation note: Greek says one touching you is like one touching the pupil of his eye. English supplies the article before pupil.</w:t>
      </w:r>
    </w:p>
  </w:footnote>
  <w:footnote w:id="13878">
    <w:p>
      <w:pPr>
        <w:pStyle w:val="FootnoteText"/>
      </w:pPr>
      <w:r>
        <w:rPr>
          <w:rStyle w:val="FootnoteReference"/>
        </w:rPr>
        <w:footnoteRef/>
      </w:r>
      <w:r>
        <w:t xml:space="preserve"> Cross-references for "Joshua": Ezra 5:2; Hag 1:1.</w:t>
      </w:r>
    </w:p>
  </w:footnote>
  <w:footnote w:id="13879">
    <w:p>
      <w:pPr>
        <w:pStyle w:val="FootnoteText"/>
      </w:pPr>
      <w:r>
        <w:rPr>
          <w:rStyle w:val="FootnoteReference"/>
        </w:rPr>
        <w:footnoteRef/>
      </w:r>
      <w:r>
        <w:t xml:space="preserve"> Cross-references for "the Lord said": Ps 109:31; Luke 22:32.</w:t>
      </w:r>
    </w:p>
  </w:footnote>
  <w:footnote w:id="13880">
    <w:p>
      <w:pPr>
        <w:pStyle w:val="FootnoteText"/>
      </w:pPr>
      <w:r>
        <w:rPr>
          <w:rStyle w:val="FootnoteReference"/>
        </w:rPr>
        <w:footnoteRef/>
      </w:r>
      <w:r>
        <w:t xml:space="preserve"> Cross-references for "those": 1Kgs 22:19; Isa 6:2-3.</w:t>
      </w:r>
    </w:p>
  </w:footnote>
  <w:footnote w:id="13881">
    <w:p>
      <w:pPr>
        <w:pStyle w:val="FootnoteText"/>
      </w:pPr>
      <w:r>
        <w:rPr>
          <w:rStyle w:val="FootnoteReference"/>
        </w:rPr>
        <w:footnoteRef/>
      </w:r>
      <w:r>
        <w:t xml:space="preserve"> Cross-references for "judge": Deut 17:8-13; 1Sam 2:28-30.</w:t>
      </w:r>
    </w:p>
  </w:footnote>
  <w:footnote w:id="13882">
    <w:p>
      <w:pPr>
        <w:pStyle w:val="FootnoteText"/>
      </w:pPr>
      <w:r>
        <w:rPr>
          <w:rStyle w:val="FootnoteReference"/>
        </w:rPr>
        <w:footnoteRef/>
      </w:r>
      <w:r>
        <w:t xml:space="preserve"> Cross-references for "the stone": Ps 118:22; Isa 8:14-15.</w:t>
      </w:r>
    </w:p>
  </w:footnote>
  <w:footnote w:id="13883">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84">
    <w:p>
      <w:pPr>
        <w:pStyle w:val="FootnoteText"/>
      </w:pPr>
      <w:r>
        <w:rPr>
          <w:rStyle w:val="FootnoteReference"/>
        </w:rPr>
        <w:footnoteRef/>
      </w:r>
      <w:r>
        <w:t xml:space="preserve"> Cross-references for "the angel": Zech 1:9; Zech 1:13.</w:t>
      </w:r>
    </w:p>
  </w:footnote>
  <w:footnote w:id="13885">
    <w:p>
      <w:pPr>
        <w:pStyle w:val="FootnoteText"/>
      </w:pPr>
      <w:r>
        <w:rPr>
          <w:rStyle w:val="FootnoteReference"/>
        </w:rPr>
        <w:footnoteRef/>
      </w:r>
      <w:r>
        <w:t xml:space="preserve"> Cross-references for "seven": Exod 25:37; Rev 4:5.</w:t>
      </w:r>
    </w:p>
  </w:footnote>
  <w:footnote w:id="13886">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87">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88">
    <w:p>
      <w:pPr>
        <w:pStyle w:val="FootnoteText"/>
      </w:pPr>
      <w:r>
        <w:rPr>
          <w:rStyle w:val="FootnoteReference"/>
        </w:rPr>
        <w:footnoteRef/>
      </w:r>
      <w:r>
        <w:t xml:space="preserve"> Cross-references for "might": 2Chr 32:7-8; Ps 20:6-8.</w:t>
      </w:r>
    </w:p>
  </w:footnote>
  <w:footnote w:id="13889">
    <w:p>
      <w:pPr>
        <w:pStyle w:val="FootnoteText"/>
      </w:pPr>
      <w:r>
        <w:rPr>
          <w:rStyle w:val="FootnoteReference"/>
        </w:rPr>
        <w:footnoteRef/>
      </w:r>
      <w:r>
        <w:t xml:space="preserve"> Translation note: The Greek contrasts divine Spirit with power and might. The current wording keeps that contrast explicit.</w:t>
      </w:r>
    </w:p>
  </w:footnote>
  <w:footnote w:id="13890">
    <w:p>
      <w:pPr>
        <w:pStyle w:val="FootnoteText"/>
      </w:pPr>
      <w:r>
        <w:rPr>
          <w:rStyle w:val="FootnoteReference"/>
        </w:rPr>
        <w:footnoteRef/>
      </w:r>
      <w:r>
        <w:t xml:space="preserve"> Cross-references for "O great": Ps 114:4; Ps 114:6.</w:t>
      </w:r>
    </w:p>
  </w:footnote>
  <w:footnote w:id="13891">
    <w:p>
      <w:pPr>
        <w:pStyle w:val="FootnoteText"/>
      </w:pPr>
      <w:r>
        <w:rPr>
          <w:rStyle w:val="FootnoteReference"/>
        </w:rPr>
        <w:footnoteRef/>
      </w:r>
      <w:r>
        <w:t xml:space="preserve"> Cross-references for "his hands": Ezra 6:14-15; Zech 6:12-13.</w:t>
      </w:r>
    </w:p>
  </w:footnote>
  <w:footnote w:id="13892">
    <w:p>
      <w:pPr>
        <w:pStyle w:val="FootnoteText"/>
      </w:pPr>
      <w:r>
        <w:rPr>
          <w:rStyle w:val="FootnoteReference"/>
        </w:rPr>
        <w:footnoteRef/>
      </w:r>
      <w:r>
        <w:t xml:space="preserve"> Cross-references for "despised": Ezra 3:12-13; Neh 4:2-4.</w:t>
      </w:r>
    </w:p>
  </w:footnote>
  <w:footnote w:id="13893">
    <w:p>
      <w:pPr>
        <w:pStyle w:val="FootnoteText"/>
      </w:pPr>
      <w:r>
        <w:rPr>
          <w:rStyle w:val="FootnoteReference"/>
        </w:rPr>
        <w:footnoteRef/>
      </w:r>
      <w:r>
        <w:t xml:space="preserve"> Cross-references for "the Lord": Josh 3:11; Josh 3:13.</w:t>
      </w:r>
    </w:p>
  </w:footnote>
  <w:footnote w:id="13894">
    <w:p>
      <w:pPr>
        <w:pStyle w:val="FootnoteText"/>
      </w:pPr>
      <w:r>
        <w:rPr>
          <w:rStyle w:val="FootnoteReference"/>
        </w:rPr>
        <w:footnoteRef/>
      </w:r>
      <w:r>
        <w:t xml:space="preserve"> Cross-references for "flying": Zeph 1:14; 2Pet 2:3.</w:t>
      </w:r>
    </w:p>
  </w:footnote>
  <w:footnote w:id="13895">
    <w:p>
      <w:pPr>
        <w:pStyle w:val="FootnoteText"/>
      </w:pPr>
      <w:r>
        <w:rPr>
          <w:rStyle w:val="FootnoteReference"/>
        </w:rPr>
        <w:footnoteRef/>
      </w:r>
      <w:r>
        <w:t xml:space="preserve"> Cross-references for "the curse": Deut 11:28-29; Deut 27:15-26.</w:t>
      </w:r>
    </w:p>
  </w:footnote>
  <w:footnote w:id="13896">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897">
    <w:p>
      <w:pPr>
        <w:pStyle w:val="FootnoteText"/>
      </w:pPr>
      <w:r>
        <w:rPr>
          <w:rStyle w:val="FootnoteReference"/>
        </w:rPr>
        <w:footnoteRef/>
      </w:r>
      <w:r>
        <w:t xml:space="preserve"> Cross-references for "the angel": Zech 1:9; Zech 1:14.</w:t>
      </w:r>
    </w:p>
  </w:footnote>
  <w:footnote w:id="13898">
    <w:p>
      <w:pPr>
        <w:pStyle w:val="FootnoteText"/>
      </w:pPr>
      <w:r>
        <w:rPr>
          <w:rStyle w:val="FootnoteReference"/>
        </w:rPr>
        <w:footnoteRef/>
      </w:r>
      <w:r>
        <w:t xml:space="preserve"> Cross-references for "talent": Isa 13:1; Isa 15:1.</w:t>
      </w:r>
    </w:p>
  </w:footnote>
  <w:footnote w:id="13899">
    <w:p>
      <w:pPr>
        <w:pStyle w:val="FootnoteText"/>
      </w:pPr>
      <w:r>
        <w:rPr>
          <w:rStyle w:val="FootnoteReference"/>
        </w:rPr>
        <w:footnoteRef/>
      </w:r>
      <w:r>
        <w:t xml:space="preserve"> Translation note: Greek has the article with measure in this vision scene, so English supplies the measure.</w:t>
      </w:r>
    </w:p>
  </w:footnote>
  <w:footnote w:id="13900">
    <w:p>
      <w:pPr>
        <w:pStyle w:val="FootnoteText"/>
      </w:pPr>
      <w:r>
        <w:rPr>
          <w:rStyle w:val="FootnoteReference"/>
        </w:rPr>
        <w:footnoteRef/>
      </w:r>
      <w:r>
        <w:t xml:space="preserve"> Cross-references for "I turned": Zech 5:1.</w:t>
      </w:r>
    </w:p>
  </w:footnote>
  <w:footnote w:id="13901">
    <w:p>
      <w:pPr>
        <w:pStyle w:val="FootnoteText"/>
      </w:pPr>
      <w:r>
        <w:rPr>
          <w:rStyle w:val="FootnoteReference"/>
        </w:rPr>
        <w:footnoteRef/>
      </w:r>
      <w:r>
        <w:t xml:space="preserve"> Cross-references for "black": Zech 6:6; Rev 6:5-6.</w:t>
      </w:r>
    </w:p>
  </w:footnote>
  <w:footnote w:id="13902">
    <w:p>
      <w:pPr>
        <w:pStyle w:val="FootnoteText"/>
      </w:pPr>
      <w:r>
        <w:rPr>
          <w:rStyle w:val="FootnoteReference"/>
        </w:rPr>
        <w:footnoteRef/>
      </w:r>
      <w:r>
        <w:t xml:space="preserve"> Cross-references for "white": Rev 6:2; Rev 19:11.</w:t>
      </w:r>
    </w:p>
  </w:footnote>
  <w:footnote w:id="13903">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904">
    <w:p>
      <w:pPr>
        <w:pStyle w:val="FootnoteText"/>
      </w:pPr>
      <w:r>
        <w:rPr>
          <w:rStyle w:val="FootnoteReference"/>
        </w:rPr>
        <w:footnoteRef/>
      </w:r>
      <w:r>
        <w:t xml:space="preserve"> Translation note: Greek uses the interpreting-angel formula "the angel speaking in/with me." English uses "with me" because the angel is addressing the prophet, not speaking inside him.</w:t>
      </w:r>
    </w:p>
  </w:footnote>
  <w:footnote w:id="13905">
    <w:p>
      <w:pPr>
        <w:pStyle w:val="FootnoteText"/>
      </w:pPr>
      <w:r>
        <w:rPr>
          <w:rStyle w:val="FootnoteReference"/>
        </w:rPr>
        <w:footnoteRef/>
      </w:r>
      <w:r>
        <w:t xml:space="preserve"> Cross-references for "the Lord": Isa 54:5; Zech 4:14.</w:t>
      </w:r>
    </w:p>
  </w:footnote>
  <w:footnote w:id="13906">
    <w:p>
      <w:pPr>
        <w:pStyle w:val="FootnoteText"/>
      </w:pPr>
      <w:r>
        <w:rPr>
          <w:rStyle w:val="FootnoteReference"/>
        </w:rPr>
        <w:footnoteRef/>
      </w:r>
      <w:r>
        <w:t xml:space="preserve"> Cross-references for "the north": Jer 1:14-15; Jer 4:6.</w:t>
      </w:r>
    </w:p>
  </w:footnote>
  <w:footnote w:id="13907">
    <w:p>
      <w:pPr>
        <w:pStyle w:val="FootnoteText"/>
      </w:pPr>
      <w:r>
        <w:rPr>
          <w:rStyle w:val="FootnoteReference"/>
        </w:rPr>
        <w:footnoteRef/>
      </w:r>
      <w:r>
        <w:t xml:space="preserve"> Cross-references for "make": Exod 28:36-38; Exod 29:6.</w:t>
      </w:r>
    </w:p>
  </w:footnote>
  <w:footnote w:id="13908">
    <w:p>
      <w:pPr>
        <w:pStyle w:val="FootnoteText"/>
      </w:pPr>
      <w:r>
        <w:rPr>
          <w:rStyle w:val="FootnoteReference"/>
        </w:rPr>
        <w:footnoteRef/>
      </w:r>
      <w:r>
        <w:t xml:space="preserve"> Cross-references for "Behold": Isa 32:1-2; Mic 5:5.</w:t>
      </w:r>
    </w:p>
  </w:footnote>
  <w:footnote w:id="13909">
    <w:p>
      <w:pPr>
        <w:pStyle w:val="FootnoteText"/>
      </w:pPr>
      <w:r>
        <w:rPr>
          <w:rStyle w:val="FootnoteReference"/>
        </w:rPr>
        <w:footnoteRef/>
      </w:r>
      <w:r>
        <w:t xml:space="preserve"> Cross-references for "the fourth": Ezra 6:14-15; Hag 2:10.</w:t>
      </w:r>
    </w:p>
  </w:footnote>
  <w:footnote w:id="13910">
    <w:p>
      <w:pPr>
        <w:pStyle w:val="FootnoteText"/>
      </w:pPr>
      <w:r>
        <w:rPr>
          <w:rStyle w:val="FootnoteReference"/>
        </w:rPr>
        <w:footnoteRef/>
      </w:r>
      <w:r>
        <w:t xml:space="preserve"> Cross-references for "fifth": 2Kgs 25:8-9; Jer 52:12-14.</w:t>
      </w:r>
    </w:p>
  </w:footnote>
  <w:footnote w:id="13911">
    <w:p>
      <w:pPr>
        <w:pStyle w:val="FootnoteText"/>
      </w:pPr>
      <w:r>
        <w:rPr>
          <w:rStyle w:val="FootnoteReference"/>
        </w:rPr>
        <w:footnoteRef/>
      </w:r>
      <w:r>
        <w:t xml:space="preserve"> Cross-references for "Lord of hosts": Isa 10:16.</w:t>
      </w:r>
    </w:p>
  </w:footnote>
  <w:footnote w:id="13912">
    <w:p>
      <w:pPr>
        <w:pStyle w:val="FootnoteText"/>
      </w:pPr>
      <w:r>
        <w:rPr>
          <w:rStyle w:val="FootnoteReference"/>
        </w:rPr>
        <w:footnoteRef/>
      </w:r>
      <w:r>
        <w:t xml:space="preserve"> Cross-references for "seventh": 2Kgs 25:23; Jer 41:1-4.</w:t>
      </w:r>
    </w:p>
  </w:footnote>
  <w:footnote w:id="13913">
    <w:p>
      <w:pPr>
        <w:pStyle w:val="FootnoteText"/>
      </w:pPr>
      <w:r>
        <w:rPr>
          <w:rStyle w:val="FootnoteReference"/>
        </w:rPr>
        <w:footnoteRef/>
      </w:r>
      <w:r>
        <w:t xml:space="preserve"> Translation note: The Greek uses a compact judgment formula here. The current wording stays close to that source-row line.</w:t>
      </w:r>
    </w:p>
  </w:footnote>
  <w:footnote w:id="13914">
    <w:p>
      <w:pPr>
        <w:pStyle w:val="FootnoteText"/>
      </w:pPr>
      <w:r>
        <w:rPr>
          <w:rStyle w:val="FootnoteReference"/>
        </w:rPr>
        <w:footnoteRef/>
      </w:r>
      <w:r>
        <w:t xml:space="preserve"> Cross-references for "oppress": Exod 22:21-24; Exod 23:9.</w:t>
      </w:r>
    </w:p>
  </w:footnote>
  <w:footnote w:id="13915">
    <w:p>
      <w:pPr>
        <w:pStyle w:val="FootnoteText"/>
      </w:pPr>
      <w:r>
        <w:rPr>
          <w:rStyle w:val="FootnoteReference"/>
        </w:rPr>
        <w:footnoteRef/>
      </w:r>
      <w:r>
        <w:t xml:space="preserve"> Translation note: The Greek frames the refusal as disobedience to paying attention. The current wording keeps the attention clause readable.</w:t>
      </w:r>
    </w:p>
  </w:footnote>
  <w:footnote w:id="13916">
    <w:p>
      <w:pPr>
        <w:pStyle w:val="FootnoteText"/>
      </w:pPr>
      <w:r>
        <w:rPr>
          <w:rStyle w:val="FootnoteReference"/>
        </w:rPr>
        <w:footnoteRef/>
      </w:r>
      <w:r>
        <w:t xml:space="preserve"> Cross-references for "they refused": Exod 10:3; 2Kgs 17:13-15.</w:t>
      </w:r>
    </w:p>
  </w:footnote>
  <w:footnote w:id="13917">
    <w:p>
      <w:pPr>
        <w:pStyle w:val="FootnoteText"/>
      </w:pPr>
      <w:r>
        <w:rPr>
          <w:rStyle w:val="FootnoteReference"/>
        </w:rPr>
        <w:footnoteRef/>
      </w:r>
      <w:r>
        <w:t xml:space="preserve"> Cross-references for "sent": Neh 9:30; Acts 7:51-52.</w:t>
      </w:r>
    </w:p>
  </w:footnote>
  <w:footnote w:id="13918">
    <w:p>
      <w:pPr>
        <w:pStyle w:val="FootnoteText"/>
      </w:pPr>
      <w:r>
        <w:rPr>
          <w:rStyle w:val="FootnoteReference"/>
        </w:rPr>
        <w:footnoteRef/>
      </w:r>
      <w:r>
        <w:t xml:space="preserve"> Translation note: The Greek explicitly joins divine Spirit with prophetic mediation. The current wording keeps both parts visible.</w:t>
      </w:r>
    </w:p>
  </w:footnote>
  <w:footnote w:id="13919">
    <w:p>
      <w:pPr>
        <w:pStyle w:val="FootnoteText"/>
      </w:pPr>
      <w:r>
        <w:rPr>
          <w:rStyle w:val="FootnoteReference"/>
        </w:rPr>
        <w:footnoteRef/>
      </w:r>
      <w:r>
        <w:t xml:space="preserve"> Translation note: The Greek uses chosen land and disappearance language here. The current wording keeps both parts visible.</w:t>
      </w:r>
    </w:p>
  </w:footnote>
  <w:footnote w:id="13920">
    <w:p>
      <w:pPr>
        <w:pStyle w:val="FootnoteText"/>
      </w:pPr>
      <w:r>
        <w:rPr>
          <w:rStyle w:val="FootnoteReference"/>
        </w:rPr>
        <w:footnoteRef/>
      </w:r>
      <w:r>
        <w:t xml:space="preserve"> Translation note: The Greek names both Jerusalem and Zion in the jealousy formula. The current wording keeps both names visible.</w:t>
      </w:r>
    </w:p>
  </w:footnote>
  <w:footnote w:id="13921">
    <w:p>
      <w:pPr>
        <w:pStyle w:val="FootnoteText"/>
      </w:pPr>
      <w:r>
        <w:rPr>
          <w:rStyle w:val="FootnoteReference"/>
        </w:rPr>
        <w:footnoteRef/>
      </w:r>
      <w:r>
        <w:t xml:space="preserve"> Cross-references for "I was jealous": Ps 78:58-59; Isa 42:13-14.</w:t>
      </w:r>
    </w:p>
  </w:footnote>
  <w:footnote w:id="13922">
    <w:p>
      <w:pPr>
        <w:pStyle w:val="FootnoteText"/>
      </w:pPr>
      <w:r>
        <w:rPr>
          <w:rStyle w:val="FootnoteReference"/>
        </w:rPr>
        <w:footnoteRef/>
      </w:r>
      <w:r>
        <w:t xml:space="preserve"> Cross-references for "dwell": Isa 12:6; Ezek 48:35.</w:t>
      </w:r>
    </w:p>
  </w:footnote>
  <w:footnote w:id="13923">
    <w:p>
      <w:pPr>
        <w:pStyle w:val="FootnoteText"/>
      </w:pPr>
      <w:r>
        <w:rPr>
          <w:rStyle w:val="FootnoteReference"/>
        </w:rPr>
        <w:footnoteRef/>
      </w:r>
      <w:r>
        <w:t xml:space="preserve"> Cross-references for "playing": Ps 128:3-4; Ps 144:12-15.</w:t>
      </w:r>
    </w:p>
  </w:footnote>
  <w:footnote w:id="13924">
    <w:p>
      <w:pPr>
        <w:pStyle w:val="FootnoteText"/>
      </w:pPr>
      <w:r>
        <w:rPr>
          <w:rStyle w:val="FootnoteReference"/>
        </w:rPr>
        <w:footnoteRef/>
      </w:r>
      <w:r>
        <w:t xml:space="preserve"> Translation note: The Greek verb here is first person. The current wording keeps the Lord as the subject of the dwelling clause.</w:t>
      </w:r>
    </w:p>
  </w:footnote>
  <w:footnote w:id="13925">
    <w:p>
      <w:pPr>
        <w:pStyle w:val="FootnoteText"/>
      </w:pPr>
      <w:r>
        <w:rPr>
          <w:rStyle w:val="FootnoteReference"/>
        </w:rPr>
        <w:footnoteRef/>
      </w:r>
      <w:r>
        <w:t xml:space="preserve"> Cross-references for "in truth": Jer 4:2.</w:t>
      </w:r>
    </w:p>
  </w:footnote>
  <w:footnote w:id="13926">
    <w:p>
      <w:pPr>
        <w:pStyle w:val="FootnoteText"/>
      </w:pPr>
      <w:r>
        <w:rPr>
          <w:rStyle w:val="FootnoteReference"/>
        </w:rPr>
        <w:footnoteRef/>
      </w:r>
      <w:r>
        <w:t xml:space="preserve"> Cross-references for "the prophets": Ezra 5:1-2; Hag 1:1.</w:t>
      </w:r>
    </w:p>
  </w:footnote>
  <w:footnote w:id="13927">
    <w:p>
      <w:pPr>
        <w:pStyle w:val="FootnoteText"/>
      </w:pPr>
      <w:r>
        <w:rPr>
          <w:rStyle w:val="FootnoteReference"/>
        </w:rPr>
        <w:footnoteRef/>
      </w:r>
      <w:r>
        <w:t xml:space="preserve"> Translation note: The Greek temple clause uses a built verb. The current wording keeps the completed building sense visible.</w:t>
      </w:r>
    </w:p>
  </w:footnote>
  <w:footnote w:id="13928">
    <w:p>
      <w:pPr>
        <w:pStyle w:val="FootnoteText"/>
      </w:pPr>
      <w:r>
        <w:rPr>
          <w:rStyle w:val="FootnoteReference"/>
        </w:rPr>
        <w:footnoteRef/>
      </w:r>
      <w:r>
        <w:t xml:space="preserve"> Translation note: The Greek names affliction here rather than enemy. The current wording follows that source-row term.</w:t>
      </w:r>
    </w:p>
  </w:footnote>
  <w:footnote w:id="13929">
    <w:p>
      <w:pPr>
        <w:pStyle w:val="FootnoteText"/>
      </w:pPr>
      <w:r>
        <w:rPr>
          <w:rStyle w:val="FootnoteReference"/>
        </w:rPr>
        <w:footnoteRef/>
      </w:r>
      <w:r>
        <w:t xml:space="preserve"> Cross-references for "the remnant": Mic 4:6-7; Zech 8:6.</w:t>
      </w:r>
    </w:p>
  </w:footnote>
  <w:footnote w:id="13930">
    <w:p>
      <w:pPr>
        <w:pStyle w:val="FootnoteText"/>
      </w:pPr>
      <w:r>
        <w:rPr>
          <w:rStyle w:val="FootnoteReference"/>
        </w:rPr>
        <w:footnoteRef/>
      </w:r>
      <w:r>
        <w:t xml:space="preserve"> Cross-references for "a curse": Deut 28:37; Deut 29:23-28.</w:t>
      </w:r>
    </w:p>
  </w:footnote>
  <w:footnote w:id="13931">
    <w:p>
      <w:pPr>
        <w:pStyle w:val="FootnoteText"/>
      </w:pPr>
      <w:r>
        <w:rPr>
          <w:rStyle w:val="FootnoteReference"/>
        </w:rPr>
        <w:footnoteRef/>
      </w:r>
      <w:r>
        <w:t xml:space="preserve"> Cross-references for "Speak": Lev 19:11; Ps 15:2.</w:t>
      </w:r>
    </w:p>
  </w:footnote>
  <w:footnote w:id="13932">
    <w:p>
      <w:pPr>
        <w:pStyle w:val="FootnoteText"/>
      </w:pPr>
      <w:r>
        <w:rPr>
          <w:rStyle w:val="FootnoteReference"/>
        </w:rPr>
        <w:footnoteRef/>
      </w:r>
      <w:r>
        <w:t xml:space="preserve"> Translation note: The Greek has a compact peaceful-judgment formula. The current wording keeps that judgment phrase together.</w:t>
      </w:r>
    </w:p>
  </w:footnote>
  <w:footnote w:id="13933">
    <w:p>
      <w:pPr>
        <w:pStyle w:val="FootnoteText"/>
      </w:pPr>
      <w:r>
        <w:rPr>
          <w:rStyle w:val="FootnoteReference"/>
        </w:rPr>
        <w:footnoteRef/>
      </w:r>
      <w:r>
        <w:t xml:space="preserve"> Translation note: The Greek uses each and a reckon-think verb here. The current wording keeps both parts visible.</w:t>
      </w:r>
    </w:p>
  </w:footnote>
  <w:footnote w:id="13934">
    <w:p>
      <w:pPr>
        <w:pStyle w:val="FootnoteText"/>
      </w:pPr>
      <w:r>
        <w:rPr>
          <w:rStyle w:val="FootnoteReference"/>
        </w:rPr>
        <w:footnoteRef/>
      </w:r>
      <w:r>
        <w:t xml:space="preserve"> Cross-references for "love": Jer 4:2; Zech 5:3-4.</w:t>
      </w:r>
    </w:p>
  </w:footnote>
  <w:footnote w:id="13935">
    <w:p>
      <w:pPr>
        <w:pStyle w:val="FootnoteText"/>
      </w:pPr>
      <w:r>
        <w:rPr>
          <w:rStyle w:val="FootnoteReference"/>
        </w:rPr>
        <w:footnoteRef/>
      </w:r>
      <w:r>
        <w:t xml:space="preserve"> Cross-references for "the fourth": 2Kgs 25:3-4; Jer 39:2.</w:t>
      </w:r>
    </w:p>
  </w:footnote>
  <w:footnote w:id="13936">
    <w:p>
      <w:pPr>
        <w:pStyle w:val="FootnoteText"/>
      </w:pPr>
      <w:r>
        <w:rPr>
          <w:rStyle w:val="FootnoteReference"/>
        </w:rPr>
        <w:footnoteRef/>
      </w:r>
      <w:r>
        <w:t xml:space="preserve"> Translation note: The Greek includes a rejoicing verb before the command to love truth and peace. The current wording keeps it visible.</w:t>
      </w:r>
    </w:p>
  </w:footnote>
  <w:footnote w:id="13937">
    <w:p>
      <w:pPr>
        <w:pStyle w:val="FootnoteText"/>
      </w:pPr>
      <w:r>
        <w:rPr>
          <w:rStyle w:val="FootnoteReference"/>
        </w:rPr>
        <w:footnoteRef/>
      </w:r>
      <w:r>
        <w:t xml:space="preserve"> Translation note: The Greek uses the atonement verb here. The current wording keeps that term distinct from the supplication wording in the previous verse.</w:t>
      </w:r>
    </w:p>
  </w:footnote>
  <w:footnote w:id="13938">
    <w:p>
      <w:pPr>
        <w:pStyle w:val="FootnoteText"/>
      </w:pPr>
      <w:r>
        <w:rPr>
          <w:rStyle w:val="FootnoteReference"/>
        </w:rPr>
        <w:footnoteRef/>
      </w:r>
      <w:r>
        <w:t xml:space="preserve"> Cross-references for "ten men": Gen 31:7; Gen 31:41.</w:t>
      </w:r>
    </w:p>
  </w:footnote>
  <w:footnote w:id="13939">
    <w:p>
      <w:pPr>
        <w:pStyle w:val="FootnoteText"/>
      </w:pPr>
      <w:r>
        <w:rPr>
          <w:rStyle w:val="FootnoteReference"/>
        </w:rPr>
        <w:footnoteRef/>
      </w:r>
      <w:r>
        <w:t xml:space="preserve"> Translation note: The Greek names the hem explicitly with an article. The current wording keeps that object visible.</w:t>
      </w:r>
    </w:p>
  </w:footnote>
  <w:footnote w:id="13940">
    <w:p>
      <w:pPr>
        <w:pStyle w:val="FootnoteText"/>
      </w:pPr>
      <w:r>
        <w:rPr>
          <w:rStyle w:val="FootnoteReference"/>
        </w:rPr>
        <w:footnoteRef/>
      </w:r>
      <w:r>
        <w:t xml:space="preserve"> Place name: Hadrach. Place-name meaning: Hadrach — point; joy of tenderness. Source form: Hadrach. Greek form: σεδραχ.</w:t>
      </w:r>
    </w:p>
  </w:footnote>
  <w:footnote w:id="13941">
    <w:p>
      <w:pPr>
        <w:pStyle w:val="FootnoteText"/>
      </w:pPr>
      <w:r>
        <w:rPr>
          <w:rStyle w:val="FootnoteReference"/>
        </w:rPr>
        <w:footnoteRef/>
      </w:r>
      <w:r>
        <w:t xml:space="preserve"> Cross-references for "Damascus": Gen 14:15; Isa 17:1-3.</w:t>
      </w:r>
    </w:p>
  </w:footnote>
  <w:footnote w:id="13942">
    <w:p>
      <w:pPr>
        <w:pStyle w:val="FootnoteText"/>
      </w:pPr>
      <w:r>
        <w:rPr>
          <w:rStyle w:val="FootnoteReference"/>
        </w:rPr>
        <w:footnoteRef/>
      </w:r>
      <w:r>
        <w:t xml:space="preserve"> Cross-references for "Hamath": Num 13:21; 2Kgs 23:33.</w:t>
      </w:r>
    </w:p>
  </w:footnote>
  <w:footnote w:id="13943">
    <w:p>
      <w:pPr>
        <w:pStyle w:val="FootnoteText"/>
      </w:pPr>
      <w:r>
        <w:rPr>
          <w:rStyle w:val="FootnoteReference"/>
        </w:rPr>
        <w:footnoteRef/>
      </w:r>
      <w:r>
        <w:t xml:space="preserve"> Cross-references for "the Lord": Prov 10:2; Prov 11:4.</w:t>
      </w:r>
    </w:p>
  </w:footnote>
  <w:footnote w:id="13944">
    <w:p>
      <w:pPr>
        <w:pStyle w:val="FootnoteText"/>
      </w:pPr>
      <w:r>
        <w:rPr>
          <w:rStyle w:val="FootnoteReference"/>
        </w:rPr>
        <w:footnoteRef/>
      </w:r>
      <w:r>
        <w:t xml:space="preserve"> Cross-references for "Ashkelon": Isa 14:29-31; Jer 47:1.</w:t>
      </w:r>
    </w:p>
  </w:footnote>
  <w:footnote w:id="13945">
    <w:p>
      <w:pPr>
        <w:pStyle w:val="FootnoteText"/>
      </w:pPr>
      <w:r>
        <w:rPr>
          <w:rStyle w:val="FootnoteReference"/>
        </w:rPr>
        <w:footnoteRef/>
      </w:r>
      <w:r>
        <w:t xml:space="preserve"> Translation note: The Greek uses the trespass term here. The current wording keeps that judgment cause visible.</w:t>
      </w:r>
    </w:p>
  </w:footnote>
  <w:footnote w:id="13946">
    <w:p>
      <w:pPr>
        <w:pStyle w:val="FootnoteText"/>
      </w:pPr>
      <w:r>
        <w:rPr>
          <w:rStyle w:val="FootnoteReference"/>
        </w:rPr>
        <w:footnoteRef/>
      </w:r>
      <w:r>
        <w:t xml:space="preserve"> Translation note: The Greek uses a driving-out participle here. The current wording keeps that action visible.</w:t>
      </w:r>
    </w:p>
  </w:footnote>
  <w:footnote w:id="13947">
    <w:p>
      <w:pPr>
        <w:pStyle w:val="FootnoteText"/>
      </w:pPr>
      <w:r>
        <w:rPr>
          <w:rStyle w:val="FootnoteReference"/>
        </w:rPr>
        <w:footnoteRef/>
      </w:r>
      <w:r>
        <w:t xml:space="preserve"> Cross-references for "Rejoice": Ps 97:6-8; Isa 12:6.</w:t>
      </w:r>
    </w:p>
  </w:footnote>
  <w:footnote w:id="13948">
    <w:p>
      <w:pPr>
        <w:pStyle w:val="FootnoteText"/>
      </w:pPr>
      <w:r>
        <w:rPr>
          <w:rStyle w:val="FootnoteReference"/>
        </w:rPr>
        <w:footnoteRef/>
      </w:r>
      <w:r>
        <w:t xml:space="preserve"> Translation note: The Greek address is a daughter vocative. The current wording marks the vocative in familiar English.</w:t>
      </w:r>
    </w:p>
  </w:footnote>
  <w:footnote w:id="13949">
    <w:p>
      <w:pPr>
        <w:pStyle w:val="FootnoteText"/>
      </w:pPr>
      <w:r>
        <w:rPr>
          <w:rStyle w:val="FootnoteReference"/>
        </w:rPr>
        <w:footnoteRef/>
      </w:r>
      <w:r>
        <w:t xml:space="preserve"> Translation note: The Greek covenant phrase does not include your here. The current wording keeps the source-row form.</w:t>
      </w:r>
    </w:p>
  </w:footnote>
  <w:footnote w:id="13950">
    <w:p>
      <w:pPr>
        <w:pStyle w:val="FootnoteText"/>
      </w:pPr>
      <w:r>
        <w:rPr>
          <w:rStyle w:val="FootnoteReference"/>
        </w:rPr>
        <w:footnoteRef/>
      </w:r>
      <w:r>
        <w:t xml:space="preserve"> Cross-references for "bent": Mic 5:4-9; Zech 1:21.</w:t>
      </w:r>
    </w:p>
  </w:footnote>
  <w:footnote w:id="13951">
    <w:p>
      <w:pPr>
        <w:pStyle w:val="FootnoteText"/>
      </w:pPr>
      <w:r>
        <w:rPr>
          <w:rStyle w:val="FootnoteReference"/>
        </w:rPr>
        <w:footnoteRef/>
      </w:r>
      <w:r>
        <w:t xml:space="preserve"> Translation note: The Greek has articles with children and Greeks. The current wording keeps that phrase explicit.</w:t>
      </w:r>
    </w:p>
  </w:footnote>
  <w:footnote w:id="13952">
    <w:p>
      <w:pPr>
        <w:pStyle w:val="FootnoteText"/>
      </w:pPr>
      <w:r>
        <w:rPr>
          <w:rStyle w:val="FootnoteReference"/>
        </w:rPr>
        <w:footnoteRef/>
      </w:r>
      <w:r>
        <w:t xml:space="preserve"> Cross-references for "filled like bowls": Zech 14:20.</w:t>
      </w:r>
    </w:p>
  </w:footnote>
  <w:footnote w:id="13953">
    <w:p>
      <w:pPr>
        <w:pStyle w:val="FootnoteText"/>
      </w:pPr>
      <w:r>
        <w:rPr>
          <w:rStyle w:val="FootnoteReference"/>
        </w:rPr>
        <w:footnoteRef/>
      </w:r>
      <w:r>
        <w:t xml:space="preserve"> Translation note: The paired Greek clauses are rendered as whatever statements. The current wording keeps the good/beautiful pair visible.</w:t>
      </w:r>
    </w:p>
  </w:footnote>
  <w:footnote w:id="13954">
    <w:p>
      <w:pPr>
        <w:pStyle w:val="FootnoteText"/>
      </w:pPr>
      <w:r>
        <w:rPr>
          <w:rStyle w:val="FootnoteReference"/>
        </w:rPr>
        <w:footnoteRef/>
      </w:r>
      <w:r>
        <w:t xml:space="preserve"> Translation note: The Greek uses the herbage term here. The current wording keeps that field-growth image visible.</w:t>
      </w:r>
    </w:p>
  </w:footnote>
  <w:footnote w:id="13955">
    <w:p>
      <w:pPr>
        <w:pStyle w:val="FootnoteText"/>
      </w:pPr>
      <w:r>
        <w:rPr>
          <w:rStyle w:val="FootnoteReference"/>
        </w:rPr>
        <w:footnoteRef/>
      </w:r>
      <w:r>
        <w:t xml:space="preserve"> Cross-references for "Therefore": Jer 13:17-20; Jer 50:17.</w:t>
      </w:r>
    </w:p>
  </w:footnote>
  <w:footnote w:id="13956">
    <w:p>
      <w:pPr>
        <w:pStyle w:val="FootnoteText"/>
      </w:pPr>
      <w:r>
        <w:rPr>
          <w:rStyle w:val="FootnoteReference"/>
        </w:rPr>
        <w:footnoteRef/>
      </w:r>
      <w:r>
        <w:t xml:space="preserve"> Cross-references for "anger": Isa 56:9-12; Jer 10:21.</w:t>
      </w:r>
    </w:p>
  </w:footnote>
  <w:footnote w:id="13957">
    <w:p>
      <w:pPr>
        <w:pStyle w:val="FootnoteText"/>
      </w:pPr>
      <w:r>
        <w:rPr>
          <w:rStyle w:val="FootnoteReference"/>
        </w:rPr>
        <w:footnoteRef/>
      </w:r>
      <w:r>
        <w:t xml:space="preserve"> Translation note: The Greek keeps horse and battle as separate terms. The current wording keeps both visible.</w:t>
      </w:r>
    </w:p>
  </w:footnote>
  <w:footnote w:id="13958">
    <w:p>
      <w:pPr>
        <w:pStyle w:val="FootnoteText"/>
      </w:pPr>
      <w:r>
        <w:rPr>
          <w:rStyle w:val="FootnoteReference"/>
        </w:rPr>
        <w:footnoteRef/>
      </w:r>
      <w:r>
        <w:t xml:space="preserve"> Translation note: The Greek uses an articular driving-out participle. The current wording keeps that participle visible.</w:t>
      </w:r>
    </w:p>
  </w:footnote>
  <w:footnote w:id="13959">
    <w:p>
      <w:pPr>
        <w:pStyle w:val="FootnoteText"/>
      </w:pPr>
      <w:r>
        <w:rPr>
          <w:rStyle w:val="FootnoteReference"/>
        </w:rPr>
        <w:footnoteRef/>
      </w:r>
      <w:r>
        <w:t xml:space="preserve"> Cross-references for "I will strengthen": Ps 89:21; Isa 41:10.</w:t>
      </w:r>
    </w:p>
  </w:footnote>
  <w:footnote w:id="13960">
    <w:p>
      <w:pPr>
        <w:pStyle w:val="FootnoteText"/>
      </w:pPr>
      <w:r>
        <w:rPr>
          <w:rStyle w:val="FootnoteReference"/>
        </w:rPr>
        <w:footnoteRef/>
      </w:r>
      <w:r>
        <w:t xml:space="preserve"> Translation note: The Greek uses the plural warriors here. The current wording keeps that number visible.</w:t>
      </w:r>
    </w:p>
  </w:footnote>
  <w:footnote w:id="13961">
    <w:p>
      <w:pPr>
        <w:pStyle w:val="FootnoteText"/>
      </w:pPr>
      <w:r>
        <w:rPr>
          <w:rStyle w:val="FootnoteReference"/>
        </w:rPr>
        <w:footnoteRef/>
      </w:r>
      <w:r>
        <w:t xml:space="preserve"> Cross-references for "and their": Gen 43:34; Ps 104:15.</w:t>
      </w:r>
    </w:p>
  </w:footnote>
  <w:footnote w:id="13962">
    <w:p>
      <w:pPr>
        <w:pStyle w:val="FootnoteText"/>
      </w:pPr>
      <w:r>
        <w:rPr>
          <w:rStyle w:val="FootnoteReference"/>
        </w:rPr>
        <w:footnoteRef/>
      </w:r>
      <w:r>
        <w:t xml:space="preserve"> Cross-references for "remember": Deut 30:1-4; 1Kgs 8:47-48.</w:t>
      </w:r>
    </w:p>
  </w:footnote>
  <w:footnote w:id="13963">
    <w:p>
      <w:pPr>
        <w:pStyle w:val="FootnoteText"/>
      </w:pPr>
      <w:r>
        <w:rPr>
          <w:rStyle w:val="FootnoteReference"/>
        </w:rPr>
        <w:footnoteRef/>
      </w:r>
      <w:r>
        <w:t xml:space="preserve"> Translation note: The Greek has the scepter phrase with a passive taken-away verb. The current wording keeps the predicate explicit.</w:t>
      </w:r>
    </w:p>
  </w:footnote>
  <w:footnote w:id="13964">
    <w:p>
      <w:pPr>
        <w:pStyle w:val="FootnoteText"/>
      </w:pPr>
      <w:r>
        <w:rPr>
          <w:rStyle w:val="FootnoteReference"/>
        </w:rPr>
        <w:footnoteRef/>
      </w:r>
      <w:r>
        <w:t xml:space="preserve"> Cross-references for "O Lebanon": Jer 22:6-7; Jer 22:23.</w:t>
      </w:r>
    </w:p>
  </w:footnote>
  <w:footnote w:id="13965">
    <w:p>
      <w:pPr>
        <w:pStyle w:val="FootnoteText"/>
      </w:pPr>
      <w:r>
        <w:rPr>
          <w:rStyle w:val="FootnoteReference"/>
        </w:rPr>
        <w:footnoteRef/>
      </w:r>
      <w:r>
        <w:t xml:space="preserve"> Cross-references for "howl": Isa 2:12-17; Isa 10:33-34.</w:t>
      </w:r>
    </w:p>
  </w:footnote>
  <w:footnote w:id="13966">
    <w:p>
      <w:pPr>
        <w:pStyle w:val="FootnoteText"/>
      </w:pPr>
      <w:r>
        <w:rPr>
          <w:rStyle w:val="FootnoteReference"/>
        </w:rPr>
        <w:footnoteRef/>
      </w:r>
      <w:r>
        <w:t xml:space="preserve"> Translation note: The Greek uses a close-grown forest phrase rather than a general dense forest label. The current wording keeps that image visible.</w:t>
      </w:r>
    </w:p>
  </w:footnote>
  <w:footnote w:id="13967">
    <w:p>
      <w:pPr>
        <w:pStyle w:val="FootnoteText"/>
      </w:pPr>
      <w:r>
        <w:rPr>
          <w:rStyle w:val="FootnoteReference"/>
        </w:rPr>
        <w:footnoteRef/>
      </w:r>
      <w:r>
        <w:t xml:space="preserve"> Translation note: The Greek uses a pride or roaring term for Jordan in the lament. The current wording follows that phrase rather than a plain swelling image.</w:t>
      </w:r>
    </w:p>
  </w:footnote>
  <w:footnote w:id="13968">
    <w:p>
      <w:pPr>
        <w:pStyle w:val="FootnoteText"/>
      </w:pPr>
      <w:r>
        <w:rPr>
          <w:rStyle w:val="FootnoteReference"/>
        </w:rPr>
        <w:footnoteRef/>
      </w:r>
      <w:r>
        <w:t xml:space="preserve"> Cross-references for "Lord": Zech 14:5.</w:t>
      </w:r>
    </w:p>
  </w:footnote>
  <w:footnote w:id="13969">
    <w:p>
      <w:pPr>
        <w:pStyle w:val="FootnoteText"/>
      </w:pPr>
      <w:r>
        <w:rPr>
          <w:rStyle w:val="FootnoteReference"/>
        </w:rPr>
        <w:footnoteRef/>
      </w:r>
      <w:r>
        <w:t xml:space="preserve"> Cross-references for "Blessed": Deut 29:19-21; Hos 12:8.</w:t>
      </w:r>
    </w:p>
  </w:footnote>
  <w:footnote w:id="13970">
    <w:p>
      <w:pPr>
        <w:pStyle w:val="FootnoteText"/>
      </w:pPr>
      <w:r>
        <w:rPr>
          <w:rStyle w:val="FootnoteReference"/>
        </w:rPr>
        <w:footnoteRef/>
      </w:r>
      <w:r>
        <w:t xml:space="preserve"> Cross-references for "I will no": Isa 27:11; Ezek 8:18.</w:t>
      </w:r>
    </w:p>
  </w:footnote>
  <w:footnote w:id="13971">
    <w:p>
      <w:pPr>
        <w:pStyle w:val="FootnoteText"/>
      </w:pPr>
      <w:r>
        <w:rPr>
          <w:rStyle w:val="FootnoteReference"/>
        </w:rPr>
        <w:footnoteRef/>
      </w:r>
      <w:r>
        <w:t xml:space="preserve"> Translation note: The judgment scene stays local to the land and its rulers. The current wording keeps land here rather than earth.</w:t>
      </w:r>
    </w:p>
  </w:footnote>
  <w:footnote w:id="13972">
    <w:p>
      <w:pPr>
        <w:pStyle w:val="FootnoteText"/>
      </w:pPr>
      <w:r>
        <w:rPr>
          <w:rStyle w:val="FootnoteReference"/>
        </w:rPr>
        <w:footnoteRef/>
      </w:r>
      <w:r>
        <w:t xml:space="preserve"> Translation note: The Greek gives a feminine Canaanite form with land implied. The current wording states that implied land instead of leaving Canaanitis.</w:t>
      </w:r>
    </w:p>
  </w:footnote>
  <w:footnote w:id="13973">
    <w:p>
      <w:pPr>
        <w:pStyle w:val="FootnoteText"/>
      </w:pPr>
      <w:r>
        <w:rPr>
          <w:rStyle w:val="FootnoteReference"/>
        </w:rPr>
        <w:footnoteRef/>
      </w:r>
      <w:r>
        <w:t xml:space="preserve"> Translation note: The Greek removal verb is future. The current wording keeps the timing aligned with the source row.</w:t>
      </w:r>
    </w:p>
  </w:footnote>
  <w:footnote w:id="13974">
    <w:p>
      <w:pPr>
        <w:pStyle w:val="FootnoteText"/>
      </w:pPr>
      <w:r>
        <w:rPr>
          <w:rStyle w:val="FootnoteReference"/>
        </w:rPr>
        <w:footnoteRef/>
      </w:r>
      <w:r>
        <w:t xml:space="preserve"> Cross-references for "and my": Lev 26:11; Lev 26:30.</w:t>
      </w:r>
    </w:p>
  </w:footnote>
  <w:footnote w:id="13975">
    <w:p>
      <w:pPr>
        <w:pStyle w:val="FootnoteText"/>
      </w:pPr>
      <w:r>
        <w:rPr>
          <w:rStyle w:val="FootnoteReference"/>
        </w:rPr>
        <w:footnoteRef/>
      </w:r>
      <w:r>
        <w:t xml:space="preserve"> Translation note: The Greek staff verbs are future here. The current wording keeps the future sequence visible.</w:t>
      </w:r>
    </w:p>
  </w:footnote>
  <w:footnote w:id="13976">
    <w:p>
      <w:pPr>
        <w:pStyle w:val="FootnoteText"/>
      </w:pPr>
      <w:r>
        <w:rPr>
          <w:rStyle w:val="FootnoteReference"/>
        </w:rPr>
        <w:footnoteRef/>
      </w:r>
      <w:r>
        <w:t xml:space="preserve"> Translation note: The Greek keeps Canaanites and the kept sheep as apposed groups. The current wording does not merge them into one phrase.</w:t>
      </w:r>
    </w:p>
  </w:footnote>
  <w:footnote w:id="13977">
    <w:p>
      <w:pPr>
        <w:pStyle w:val="FootnoteText"/>
      </w:pPr>
      <w:r>
        <w:rPr>
          <w:rStyle w:val="FootnoteReference"/>
        </w:rPr>
        <w:footnoteRef/>
      </w:r>
      <w:r>
        <w:t xml:space="preserve"> Cross-references for "give": Matt 26:15; John 13:2.</w:t>
      </w:r>
    </w:p>
  </w:footnote>
  <w:footnote w:id="13978">
    <w:p>
      <w:pPr>
        <w:pStyle w:val="FootnoteText"/>
      </w:pPr>
      <w:r>
        <w:rPr>
          <w:rStyle w:val="FootnoteReference"/>
        </w:rPr>
        <w:footnoteRef/>
      </w:r>
      <w:r>
        <w:t xml:space="preserve"> Translation note: The Greek uses the singular wage noun. The current wording keeps that number visible.</w:t>
      </w:r>
    </w:p>
  </w:footnote>
  <w:footnote w:id="13979">
    <w:p>
      <w:pPr>
        <w:pStyle w:val="FootnoteText"/>
      </w:pPr>
      <w:r>
        <w:rPr>
          <w:rStyle w:val="FootnoteReference"/>
        </w:rPr>
        <w:footnoteRef/>
      </w:r>
      <w:r>
        <w:t xml:space="preserve"> MT/LXX note: The Septuagint uses a smelting-furnace term here. The current wording follows that Greek wording rather than the Masoretic potter reading.</w:t>
      </w:r>
    </w:p>
  </w:footnote>
  <w:footnote w:id="13980">
    <w:p>
      <w:pPr>
        <w:pStyle w:val="FootnoteText"/>
      </w:pPr>
      <w:r>
        <w:rPr>
          <w:rStyle w:val="FootnoteReference"/>
        </w:rPr>
        <w:footnoteRef/>
      </w:r>
      <w:r>
        <w:t xml:space="preserve"> Translation note: The Greek term points to inexperience or lack of skill. The current wording avoids making it a moral label only.</w:t>
      </w:r>
    </w:p>
  </w:footnote>
  <w:footnote w:id="13981">
    <w:p>
      <w:pPr>
        <w:pStyle w:val="FootnoteText"/>
      </w:pPr>
      <w:r>
        <w:rPr>
          <w:rStyle w:val="FootnoteReference"/>
        </w:rPr>
        <w:footnoteRef/>
      </w:r>
      <w:r>
        <w:t xml:space="preserve"> Translation note: The shepherd judgment is framed against the land in this chapter. The current wording keeps that local context.</w:t>
      </w:r>
    </w:p>
  </w:footnote>
  <w:footnote w:id="13982">
    <w:p>
      <w:pPr>
        <w:pStyle w:val="FootnoteText"/>
      </w:pPr>
      <w:r>
        <w:rPr>
          <w:rStyle w:val="FootnoteReference"/>
        </w:rPr>
        <w:footnoteRef/>
      </w:r>
      <w:r>
        <w:t xml:space="preserve"> Translation note: The Greek uses an articular participle with vain things. The current wording keeps that structure visible.</w:t>
      </w:r>
    </w:p>
  </w:footnote>
  <w:footnote w:id="13983">
    <w:p>
      <w:pPr>
        <w:pStyle w:val="FootnoteText"/>
      </w:pPr>
      <w:r>
        <w:rPr>
          <w:rStyle w:val="FootnoteReference"/>
        </w:rPr>
        <w:footnoteRef/>
      </w:r>
      <w:r>
        <w:t xml:space="preserve"> Cross-references for "His arm": 1Sam 2:31; 1Kgs 13:4.</w:t>
      </w:r>
    </w:p>
  </w:footnote>
  <w:footnote w:id="13984">
    <w:p>
      <w:pPr>
        <w:pStyle w:val="FootnoteText"/>
      </w:pPr>
      <w:r>
        <w:rPr>
          <w:rStyle w:val="FootnoteReference"/>
        </w:rPr>
        <w:footnoteRef/>
      </w:r>
      <w:r>
        <w:t xml:space="preserve"> Cross-references for "in that": Isa 60:12; Isa 66:14-16.</w:t>
      </w:r>
    </w:p>
  </w:footnote>
  <w:footnote w:id="13985">
    <w:p>
      <w:pPr>
        <w:pStyle w:val="FootnoteText"/>
      </w:pPr>
      <w:r>
        <w:rPr>
          <w:rStyle w:val="FootnoteReference"/>
        </w:rPr>
        <w:footnoteRef/>
      </w:r>
      <w:r>
        <w:t xml:space="preserve"> Translation note: The Greek uses the mock verb twice in active form. The current wording keeps the mockery action rather than making the trampler the object.</w:t>
      </w:r>
    </w:p>
  </w:footnote>
  <w:footnote w:id="13986">
    <w:p>
      <w:pPr>
        <w:pStyle w:val="FootnoteText"/>
      </w:pPr>
      <w:r>
        <w:rPr>
          <w:rStyle w:val="FootnoteReference"/>
        </w:rPr>
        <w:footnoteRef/>
      </w:r>
      <w:r>
        <w:t xml:space="preserve"> Cross-references for "that day": Isa 24:21; Zech 12:3.</w:t>
      </w:r>
    </w:p>
  </w:footnote>
  <w:footnote w:id="13987">
    <w:p>
      <w:pPr>
        <w:pStyle w:val="FootnoteText"/>
      </w:pPr>
      <w:r>
        <w:rPr>
          <w:rStyle w:val="FootnoteReference"/>
        </w:rPr>
        <w:footnoteRef/>
      </w:r>
      <w:r>
        <w:t xml:space="preserve"> Translation note: The Greek phrase is plural and article-marked. The current wording keeps all the horses of the peoples visible.</w:t>
      </w:r>
    </w:p>
  </w:footnote>
  <w:footnote w:id="13988">
    <w:p>
      <w:pPr>
        <w:pStyle w:val="FootnoteText"/>
      </w:pPr>
      <w:r>
        <w:rPr>
          <w:rStyle w:val="FootnoteReference"/>
        </w:rPr>
        <w:footnoteRef/>
      </w:r>
      <w:r>
        <w:t xml:space="preserve"> Cross-references for "the inhabitants": Ps 18:32; Ps 18:39.</w:t>
      </w:r>
    </w:p>
  </w:footnote>
  <w:footnote w:id="13989">
    <w:p>
      <w:pPr>
        <w:pStyle w:val="FootnoteText"/>
      </w:pPr>
      <w:r>
        <w:rPr>
          <w:rStyle w:val="FootnoteReference"/>
        </w:rPr>
        <w:footnoteRef/>
      </w:r>
      <w:r>
        <w:t xml:space="preserve"> Cross-references for "on the right": Isa 9:20; Isa 54:3.</w:t>
      </w:r>
    </w:p>
  </w:footnote>
  <w:footnote w:id="13990">
    <w:p>
      <w:pPr>
        <w:pStyle w:val="FootnoteText"/>
      </w:pPr>
      <w:r>
        <w:rPr>
          <w:rStyle w:val="FootnoteReference"/>
        </w:rPr>
        <w:footnoteRef/>
      </w:r>
      <w:r>
        <w:t xml:space="preserve"> Cross-references for "save": Isa 2:11-17; Isa 23:9.</w:t>
      </w:r>
    </w:p>
  </w:footnote>
  <w:footnote w:id="13991">
    <w:p>
      <w:pPr>
        <w:pStyle w:val="FootnoteText"/>
      </w:pPr>
      <w:r>
        <w:rPr>
          <w:rStyle w:val="FootnoteReference"/>
        </w:rPr>
        <w:footnoteRef/>
      </w:r>
      <w:r>
        <w:t xml:space="preserve"> Translation note: The Greek contrast names the boast of David's house and the pride of Jerusalem's inhabitants. The current wording keeps both nouns distinct.</w:t>
      </w:r>
    </w:p>
  </w:footnote>
  <w:footnote w:id="13992">
    <w:p>
      <w:pPr>
        <w:pStyle w:val="FootnoteText"/>
      </w:pPr>
      <w:r>
        <w:rPr>
          <w:rStyle w:val="FootnoteReference"/>
        </w:rPr>
        <w:footnoteRef/>
      </w:r>
      <w:r>
        <w:t xml:space="preserve"> Translation note: The Greek has an articular weak-one phrase. The current wording keeps that article visible.</w:t>
      </w:r>
    </w:p>
  </w:footnote>
  <w:footnote w:id="13993">
    <w:p>
      <w:pPr>
        <w:pStyle w:val="FootnoteText"/>
      </w:pPr>
      <w:r>
        <w:rPr>
          <w:rStyle w:val="FootnoteReference"/>
        </w:rPr>
        <w:footnoteRef/>
      </w:r>
      <w:r>
        <w:t xml:space="preserve"> Cross-references for "the house": Ps 2:6-7; Ps 45:6-7.</w:t>
      </w:r>
    </w:p>
  </w:footnote>
  <w:footnote w:id="13994">
    <w:p>
      <w:pPr>
        <w:pStyle w:val="FootnoteText"/>
      </w:pPr>
      <w:r>
        <w:rPr>
          <w:rStyle w:val="FootnoteReference"/>
        </w:rPr>
        <w:footnoteRef/>
      </w:r>
      <w:r>
        <w:t xml:space="preserve"> Translation note: The Greek all-nations phrase includes the article. The current wording keeps that full phrase visible.</w:t>
      </w:r>
    </w:p>
  </w:footnote>
  <w:footnote w:id="13995">
    <w:p>
      <w:pPr>
        <w:pStyle w:val="FootnoteText"/>
      </w:pPr>
      <w:r>
        <w:rPr>
          <w:rStyle w:val="FootnoteReference"/>
        </w:rPr>
        <w:footnoteRef/>
      </w:r>
      <w:r>
        <w:t xml:space="preserve"> Cross-references for "I will pour": Prov 1:23; Isa 32:15.</w:t>
      </w:r>
    </w:p>
  </w:footnote>
  <w:footnote w:id="13996">
    <w:p>
      <w:pPr>
        <w:pStyle w:val="FootnoteText"/>
      </w:pPr>
      <w:r>
        <w:rPr>
          <w:rStyle w:val="FootnoteReference"/>
        </w:rPr>
        <w:footnoteRef/>
      </w:r>
      <w:r>
        <w:t xml:space="preserve"> MT/LXX note: The Greek line reads that they will look toward me because they mocked, then mourn for him as for a beloved one or a firstborn. John 19:37 cites the pierced wording from a different textual tradition, so this edition keeps the LXX wording visible and notes the NT reception difference.</w:t>
      </w:r>
    </w:p>
  </w:footnote>
  <w:footnote w:id="13997">
    <w:p>
      <w:pPr>
        <w:pStyle w:val="FootnoteText"/>
      </w:pPr>
      <w:r>
        <w:rPr>
          <w:rStyle w:val="FootnoteReference"/>
        </w:rPr>
        <w:footnoteRef/>
      </w:r>
      <w:r>
        <w:t xml:space="preserve"> Translation note: The mourning comparisons use singular beloved and firstborn terms. The current wording supplies the articles in English.</w:t>
      </w:r>
    </w:p>
  </w:footnote>
  <w:footnote w:id="13998">
    <w:p>
      <w:pPr>
        <w:pStyle w:val="FootnoteText"/>
      </w:pPr>
      <w:r>
        <w:rPr>
          <w:rStyle w:val="FootnoteReference"/>
        </w:rPr>
        <w:footnoteRef/>
      </w:r>
      <w:r>
        <w:t xml:space="preserve"> Translation note: The Greek mourning comparison names a pomegranate grove in the plain. The current wording keeps the grove image readable.</w:t>
      </w:r>
    </w:p>
  </w:footnote>
  <w:footnote w:id="13999">
    <w:p>
      <w:pPr>
        <w:pStyle w:val="FootnoteText"/>
      </w:pPr>
      <w:r>
        <w:rPr>
          <w:rStyle w:val="FootnoteReference"/>
        </w:rPr>
        <w:footnoteRef/>
      </w:r>
      <w:r>
        <w:t xml:space="preserve"> Translation note: The Greek repeats the singular tribe-by-itself phrase. The current wording renders it as each tribe by itself for readability.</w:t>
      </w:r>
    </w:p>
  </w:footnote>
  <w:footnote w:id="14000">
    <w:p>
      <w:pPr>
        <w:pStyle w:val="FootnoteText"/>
      </w:pPr>
      <w:r>
        <w:rPr>
          <w:rStyle w:val="FootnoteReference"/>
        </w:rPr>
        <w:footnoteRef/>
      </w:r>
      <w:r>
        <w:t xml:space="preserve"> Cross-references for "and their": Joel 2:16; Zech 7:3.</w:t>
      </w:r>
    </w:p>
  </w:footnote>
  <w:footnote w:id="14001">
    <w:p>
      <w:pPr>
        <w:pStyle w:val="FootnoteText"/>
      </w:pPr>
      <w:r>
        <w:rPr>
          <w:rStyle w:val="FootnoteReference"/>
        </w:rPr>
        <w:footnoteRef/>
      </w:r>
      <w:r>
        <w:t xml:space="preserve"> Cross-references for "Levi": Exod 6:16-26; Mal 2:4-9.</w:t>
      </w:r>
    </w:p>
  </w:footnote>
  <w:footnote w:id="14002">
    <w:p>
      <w:pPr>
        <w:pStyle w:val="FootnoteText"/>
      </w:pPr>
      <w:r>
        <w:rPr>
          <w:rStyle w:val="FootnoteReference"/>
        </w:rPr>
        <w:footnoteRef/>
      </w:r>
      <w:r>
        <w:t xml:space="preserve"> Translation note: The source line uses the standard Simeon form here. The current wording and note keep that spelling aligned.</w:t>
      </w:r>
    </w:p>
  </w:footnote>
  <w:footnote w:id="14003">
    <w:p>
      <w:pPr>
        <w:pStyle w:val="FootnoteText"/>
      </w:pPr>
      <w:r>
        <w:rPr>
          <w:rStyle w:val="FootnoteReference"/>
        </w:rPr>
        <w:footnoteRef/>
      </w:r>
      <w:r>
        <w:t xml:space="preserve"> Translation note: The Greek phrase includes articles around the left-behind tribes. The current wording keeps that full group visible.</w:t>
      </w:r>
    </w:p>
  </w:footnote>
  <w:footnote w:id="14004">
    <w:p>
      <w:pPr>
        <w:pStyle w:val="FootnoteText"/>
      </w:pPr>
      <w:r>
        <w:rPr>
          <w:rStyle w:val="FootnoteReference"/>
        </w:rPr>
        <w:footnoteRef/>
      </w:r>
      <w:r>
        <w:t xml:space="preserve"> Cross-references for "the house": Zech 12:7; Zech 12:10.</w:t>
      </w:r>
    </w:p>
  </w:footnote>
  <w:footnote w:id="14005">
    <w:p>
      <w:pPr>
        <w:pStyle w:val="FootnoteText"/>
      </w:pPr>
      <w:r>
        <w:rPr>
          <w:rStyle w:val="FootnoteReference"/>
        </w:rPr>
        <w:footnoteRef/>
      </w:r>
      <w:r>
        <w:t xml:space="preserve"> Translation note: The Greek marks the idol names and the removals of false prophets and the unclean spirit with articles. The current wording keeps those objects explicit.</w:t>
      </w:r>
    </w:p>
  </w:footnote>
  <w:footnote w:id="14006">
    <w:p>
      <w:pPr>
        <w:pStyle w:val="FootnoteText"/>
      </w:pPr>
      <w:r>
        <w:rPr>
          <w:rStyle w:val="FootnoteReference"/>
        </w:rPr>
        <w:footnoteRef/>
      </w:r>
      <w:r>
        <w:t xml:space="preserve"> Cross-references for "unclean": Matt 12:43; Luke 11:20.</w:t>
      </w:r>
    </w:p>
  </w:footnote>
  <w:footnote w:id="14007">
    <w:p>
      <w:pPr>
        <w:pStyle w:val="FootnoteText"/>
      </w:pPr>
      <w:r>
        <w:rPr>
          <w:rStyle w:val="FootnoteReference"/>
        </w:rPr>
        <w:footnoteRef/>
      </w:r>
      <w:r>
        <w:t xml:space="preserve"> Cross-references for "the prophets": Jer 2:26; Mic 3:6-7.</w:t>
      </w:r>
    </w:p>
  </w:footnote>
  <w:footnote w:id="14008">
    <w:p>
      <w:pPr>
        <w:pStyle w:val="FootnoteText"/>
      </w:pPr>
      <w:r>
        <w:rPr>
          <w:rStyle w:val="FootnoteReference"/>
        </w:rPr>
        <w:footnoteRef/>
      </w:r>
      <w:r>
        <w:t xml:space="preserve"> Translation note: The Greek describes the speaker as a land-working man. The current wording keeps both man and land visible.</w:t>
      </w:r>
    </w:p>
  </w:footnote>
  <w:footnote w:id="14009">
    <w:p>
      <w:pPr>
        <w:pStyle w:val="FootnoteText"/>
      </w:pPr>
      <w:r>
        <w:rPr>
          <w:rStyle w:val="FootnoteReference"/>
        </w:rPr>
        <w:footnoteRef/>
      </w:r>
      <w:r>
        <w:t xml:space="preserve"> Cross-references for "I was": Ps 22:16; Prov 27:5-6.</w:t>
      </w:r>
    </w:p>
  </w:footnote>
  <w:footnote w:id="14010">
    <w:p>
      <w:pPr>
        <w:pStyle w:val="FootnoteText"/>
      </w:pPr>
      <w:r>
        <w:rPr>
          <w:rStyle w:val="FootnoteReference"/>
        </w:rPr>
        <w:footnoteRef/>
      </w:r>
      <w:r>
        <w:t xml:space="preserve"> Translation note: The beloved adjective modifies house here. The current wording avoids making beloved into a separate person.</w:t>
      </w:r>
    </w:p>
  </w:footnote>
  <w:footnote w:id="14011">
    <w:p>
      <w:pPr>
        <w:pStyle w:val="FootnoteText"/>
      </w:pPr>
      <w:r>
        <w:rPr>
          <w:rStyle w:val="FootnoteReference"/>
        </w:rPr>
        <w:footnoteRef/>
      </w:r>
      <w:r>
        <w:t xml:space="preserve"> Cross-references for "the man": Isa 9:6; Jer 23:5-6.</w:t>
      </w:r>
    </w:p>
  </w:footnote>
  <w:footnote w:id="14012">
    <w:p>
      <w:pPr>
        <w:pStyle w:val="FootnoteText"/>
      </w:pPr>
      <w:r>
        <w:rPr>
          <w:rStyle w:val="FootnoteReference"/>
        </w:rPr>
        <w:footnoteRef/>
      </w:r>
      <w:r>
        <w:t xml:space="preserve"> Translation note: The source row ends with shepherds here. The current wording follows that line instead of the familiar little-ones wording.</w:t>
      </w:r>
    </w:p>
  </w:footnote>
  <w:footnote w:id="14013">
    <w:p>
      <w:pPr>
        <w:pStyle w:val="FootnoteText"/>
      </w:pPr>
      <w:r>
        <w:rPr>
          <w:rStyle w:val="FootnoteReference"/>
        </w:rPr>
        <w:footnoteRef/>
      </w:r>
      <w:r>
        <w:t xml:space="preserve"> Translation note: The Greek marks both the two parts and the third with articles. The current wording keeps that part structure visible.</w:t>
      </w:r>
    </w:p>
  </w:footnote>
  <w:footnote w:id="14014">
    <w:p>
      <w:pPr>
        <w:pStyle w:val="FootnoteText"/>
      </w:pPr>
      <w:r>
        <w:rPr>
          <w:rStyle w:val="FootnoteReference"/>
        </w:rPr>
        <w:footnoteRef/>
      </w:r>
      <w:r>
        <w:t xml:space="preserve"> Cross-references for "bring": Ps 66:10-12; Isa 43:2.</w:t>
      </w:r>
    </w:p>
  </w:footnote>
  <w:footnote w:id="14015">
    <w:p>
      <w:pPr>
        <w:pStyle w:val="FootnoteText"/>
      </w:pPr>
      <w:r>
        <w:rPr>
          <w:rStyle w:val="FootnoteReference"/>
        </w:rPr>
        <w:footnoteRef/>
      </w:r>
      <w:r>
        <w:t xml:space="preserve"> Translation note: The Greek uses the active call-on-name formula here. The current wording keeps that invocation language explicit.</w:t>
      </w:r>
    </w:p>
  </w:footnote>
  <w:footnote w:id="14016">
    <w:p>
      <w:pPr>
        <w:pStyle w:val="FootnoteText"/>
      </w:pPr>
      <w:r>
        <w:rPr>
          <w:rStyle w:val="FootnoteReference"/>
        </w:rPr>
        <w:footnoteRef/>
      </w:r>
      <w:r>
        <w:t xml:space="preserve"> Cross-references for "gather": Deut 28:9-14; Isa 5:26.</w:t>
      </w:r>
    </w:p>
  </w:footnote>
  <w:footnote w:id="14017">
    <w:p>
      <w:pPr>
        <w:pStyle w:val="FootnoteText"/>
      </w:pPr>
      <w:r>
        <w:rPr>
          <w:rStyle w:val="FootnoteReference"/>
        </w:rPr>
        <w:footnoteRef/>
      </w:r>
      <w:r>
        <w:t xml:space="preserve"> Translation note: The Greek marks the nations, houses, women, and the rest of the people with articles. The current wording keeps those groups explicit.</w:t>
      </w:r>
    </w:p>
  </w:footnote>
  <w:footnote w:id="14018">
    <w:p>
      <w:pPr>
        <w:pStyle w:val="FootnoteText"/>
      </w:pPr>
      <w:r>
        <w:rPr>
          <w:rStyle w:val="FootnoteReference"/>
        </w:rPr>
        <w:footnoteRef/>
      </w:r>
      <w:r>
        <w:t xml:space="preserve"> Cross-references for "his feet": Ezek 11:23; Ezek 43:2.</w:t>
      </w:r>
    </w:p>
  </w:footnote>
  <w:footnote w:id="14019">
    <w:p>
      <w:pPr>
        <w:pStyle w:val="FootnoteText"/>
      </w:pPr>
      <w:r>
        <w:rPr>
          <w:rStyle w:val="FootnoteReference"/>
        </w:rPr>
        <w:footnoteRef/>
      </w:r>
      <w:r>
        <w:t xml:space="preserve"> Translation note: The Greek uses the article with the Mount of Olives and then describes a very great chasm. The current wording keeps the named mountain and split visible.</w:t>
      </w:r>
    </w:p>
  </w:footnote>
  <w:footnote w:id="14020">
    <w:p>
      <w:pPr>
        <w:pStyle w:val="FootnoteText"/>
      </w:pPr>
      <w:r>
        <w:rPr>
          <w:rStyle w:val="FootnoteReference"/>
        </w:rPr>
        <w:footnoteRef/>
      </w:r>
      <w:r>
        <w:t xml:space="preserve"> Translation note: The source line reads Iasol/Jasol at this point. The current wording follows the local Greek form instead of harmonizing to Azal.</w:t>
      </w:r>
    </w:p>
  </w:footnote>
  <w:footnote w:id="14021">
    <w:p>
      <w:pPr>
        <w:pStyle w:val="FootnoteText"/>
      </w:pPr>
      <w:r>
        <w:rPr>
          <w:rStyle w:val="FootnoteReference"/>
        </w:rPr>
        <w:footnoteRef/>
      </w:r>
      <w:r>
        <w:t xml:space="preserve"> Translation note: The Greek keeps the advent line direct and marks the holy companions with the article. The current wording preserves both divine coming and the holy ones.</w:t>
      </w:r>
    </w:p>
  </w:footnote>
  <w:footnote w:id="14022">
    <w:p>
      <w:pPr>
        <w:pStyle w:val="FootnoteText"/>
      </w:pPr>
      <w:r>
        <w:rPr>
          <w:rStyle w:val="FootnoteReference"/>
        </w:rPr>
        <w:footnoteRef/>
      </w:r>
      <w:r>
        <w:t xml:space="preserve"> Cross-references for "the Lord": Ps 96:13; Ps 97:4-6.</w:t>
      </w:r>
    </w:p>
  </w:footnote>
  <w:footnote w:id="14023">
    <w:p>
      <w:pPr>
        <w:pStyle w:val="FootnoteText"/>
      </w:pPr>
      <w:r>
        <w:rPr>
          <w:rStyle w:val="FootnoteReference"/>
        </w:rPr>
        <w:footnoteRef/>
      </w:r>
      <w:r>
        <w:t xml:space="preserve"> Translation note: The current wording supplies English verbs for the known-day clause while keeping the not-day/not-night contrast.</w:t>
      </w:r>
    </w:p>
  </w:footnote>
  <w:footnote w:id="14024">
    <w:p>
      <w:pPr>
        <w:pStyle w:val="FootnoteText"/>
      </w:pPr>
      <w:r>
        <w:rPr>
          <w:rStyle w:val="FootnoteReference"/>
        </w:rPr>
        <w:footnoteRef/>
      </w:r>
      <w:r>
        <w:t xml:space="preserve"> Cross-references for "living": Ezek 47:1-12; Joel 3:18.</w:t>
      </w:r>
    </w:p>
  </w:footnote>
  <w:footnote w:id="14025">
    <w:p>
      <w:pPr>
        <w:pStyle w:val="FootnoteText"/>
      </w:pPr>
      <w:r>
        <w:rPr>
          <w:rStyle w:val="FootnoteReference"/>
        </w:rPr>
        <w:footnoteRef/>
      </w:r>
      <w:r>
        <w:t xml:space="preserve"> Translation note: The Greek marks both sea phrases with articles. The current wording keeps the first and last seas visible.</w:t>
      </w:r>
    </w:p>
  </w:footnote>
  <w:footnote w:id="14026">
    <w:p>
      <w:pPr>
        <w:pStyle w:val="FootnoteText"/>
      </w:pPr>
      <w:r>
        <w:rPr>
          <w:rStyle w:val="FootnoteReference"/>
        </w:rPr>
        <w:footnoteRef/>
      </w:r>
      <w:r>
        <w:t xml:space="preserve"> Cross-references for "the Lord": Gen 49:10; 1Sam 2:10.</w:t>
      </w:r>
    </w:p>
  </w:footnote>
  <w:footnote w:id="14027">
    <w:p>
      <w:pPr>
        <w:pStyle w:val="FootnoteText"/>
      </w:pPr>
      <w:r>
        <w:rPr>
          <w:rStyle w:val="FootnoteReference"/>
        </w:rPr>
        <w:footnoteRef/>
      </w:r>
      <w:r>
        <w:t xml:space="preserve"> Cross-references for "Rimmon": Josh 15:32; Judg 20:45.</w:t>
      </w:r>
    </w:p>
  </w:footnote>
  <w:footnote w:id="14028">
    <w:p>
      <w:pPr>
        <w:pStyle w:val="FootnoteText"/>
      </w:pPr>
      <w:r>
        <w:rPr>
          <w:rStyle w:val="FootnoteReference"/>
        </w:rPr>
        <w:footnoteRef/>
      </w:r>
      <w:r>
        <w:t xml:space="preserve"> Translation note: The current wording keeps the established English name forms used in the source row and clarifies the gate sequence through the tower and wine-vats.</w:t>
      </w:r>
    </w:p>
  </w:footnote>
  <w:footnote w:id="14029">
    <w:p>
      <w:pPr>
        <w:pStyle w:val="FootnoteText"/>
      </w:pPr>
      <w:r>
        <w:rPr>
          <w:rStyle w:val="FootnoteReference"/>
        </w:rPr>
        <w:footnoteRef/>
      </w:r>
      <w:r>
        <w:t xml:space="preserve"> Translation note: English supplies the article needed for the curse clause while preserving Jerusalem dwelling in confidence.</w:t>
      </w:r>
    </w:p>
  </w:footnote>
  <w:footnote w:id="14030">
    <w:p>
      <w:pPr>
        <w:pStyle w:val="FootnoteText"/>
      </w:pPr>
      <w:r>
        <w:rPr>
          <w:rStyle w:val="FootnoteReference"/>
        </w:rPr>
        <w:footnoteRef/>
      </w:r>
      <w:r>
        <w:t xml:space="preserve"> Cross-references for "their flesh": Lev 26:18; Lev 26:21.</w:t>
      </w:r>
    </w:p>
  </w:footnote>
  <w:footnote w:id="14031">
    <w:p>
      <w:pPr>
        <w:pStyle w:val="FootnoteText"/>
      </w:pPr>
      <w:r>
        <w:rPr>
          <w:rStyle w:val="FootnoteReference"/>
        </w:rPr>
        <w:footnoteRef/>
      </w:r>
      <w:r>
        <w:t xml:space="preserve"> Translation note: The Greek marks both the downfall and the peoples with articles. The current wording keeps those judgment objects explicit.</w:t>
      </w:r>
    </w:p>
  </w:footnote>
  <w:footnote w:id="14032">
    <w:p>
      <w:pPr>
        <w:pStyle w:val="FootnoteText"/>
      </w:pPr>
      <w:r>
        <w:rPr>
          <w:rStyle w:val="FootnoteReference"/>
        </w:rPr>
        <w:footnoteRef/>
      </w:r>
      <w:r>
        <w:t xml:space="preserve"> Cross-references for "a great": Judg 7:22; 1Sam 14:15-23.</w:t>
      </w:r>
    </w:p>
  </w:footnote>
  <w:footnote w:id="14033">
    <w:p>
      <w:pPr>
        <w:pStyle w:val="FootnoteText"/>
      </w:pPr>
      <w:r>
        <w:rPr>
          <w:rStyle w:val="FootnoteReference"/>
        </w:rPr>
        <w:footnoteRef/>
      </w:r>
      <w:r>
        <w:t xml:space="preserve"> Translation note: The Greek repeats the hand-neighbor phrase. The current wording keeps the repeated hand language visible.</w:t>
      </w:r>
    </w:p>
  </w:footnote>
  <w:footnote w:id="14034">
    <w:p>
      <w:pPr>
        <w:pStyle w:val="FootnoteText"/>
      </w:pPr>
      <w:r>
        <w:rPr>
          <w:rStyle w:val="FootnoteReference"/>
        </w:rPr>
        <w:footnoteRef/>
      </w:r>
      <w:r>
        <w:t xml:space="preserve"> Translation note: The Greek marks strength and all the peoples. The current wording keeps that collected wealth/strength phrase explicit.</w:t>
      </w:r>
    </w:p>
  </w:footnote>
  <w:footnote w:id="14035">
    <w:p>
      <w:pPr>
        <w:pStyle w:val="FootnoteText"/>
      </w:pPr>
      <w:r>
        <w:rPr>
          <w:rStyle w:val="FootnoteReference"/>
        </w:rPr>
        <w:footnoteRef/>
      </w:r>
      <w:r>
        <w:t xml:space="preserve"> Translation note: The Greek marks the animal list with articles and includes a relative clause for the cattle in those camps. The current wording keeps both features.</w:t>
      </w:r>
    </w:p>
  </w:footnote>
  <w:footnote w:id="14036">
    <w:p>
      <w:pPr>
        <w:pStyle w:val="FootnoteText"/>
      </w:pPr>
      <w:r>
        <w:rPr>
          <w:rStyle w:val="FootnoteReference"/>
        </w:rPr>
        <w:footnoteRef/>
      </w:r>
      <w:r>
        <w:t xml:space="preserve"> Translation note: The Greek uses an as-many-as construction and marks the nations that came against Jerusalem with articles. The current wording keeps both features.</w:t>
      </w:r>
    </w:p>
  </w:footnote>
  <w:footnote w:id="14037">
    <w:p>
      <w:pPr>
        <w:pStyle w:val="FootnoteText"/>
      </w:pPr>
      <w:r>
        <w:rPr>
          <w:rStyle w:val="FootnoteReference"/>
        </w:rPr>
        <w:footnoteRef/>
      </w:r>
      <w:r>
        <w:t xml:space="preserve"> Translation note: The source has people-pronouns here, not things. The current wording keeps the these/to-those construction visible.</w:t>
      </w:r>
    </w:p>
  </w:footnote>
  <w:footnote w:id="14038">
    <w:p>
      <w:pPr>
        <w:pStyle w:val="FootnoteText"/>
      </w:pPr>
      <w:r>
        <w:rPr>
          <w:rStyle w:val="FootnoteReference"/>
        </w:rPr>
        <w:footnoteRef/>
      </w:r>
      <w:r>
        <w:t xml:space="preserve"> Translation note: The Greek marks the downfall and all the nations with articles. The current wording keeps the upon-these judgment clause explicit.</w:t>
      </w:r>
    </w:p>
  </w:footnote>
  <w:footnote w:id="14039">
    <w:p>
      <w:pPr>
        <w:pStyle w:val="FootnoteText"/>
      </w:pPr>
      <w:r>
        <w:rPr>
          <w:rStyle w:val="FootnoteReference"/>
        </w:rPr>
        <w:footnoteRef/>
      </w:r>
      <w:r>
        <w:t xml:space="preserve"> Translation note: The Greek marks all the nations with the article. The current wording supplies it and uses as many as for the indefinite relative.</w:t>
      </w:r>
    </w:p>
  </w:footnote>
  <w:footnote w:id="14040">
    <w:p>
      <w:pPr>
        <w:pStyle w:val="FootnoteText"/>
      </w:pPr>
      <w:r>
        <w:rPr>
          <w:rStyle w:val="FootnoteReference"/>
        </w:rPr>
        <w:footnoteRef/>
      </w:r>
      <w:r>
        <w:t xml:space="preserve"> Translation note: The Greek says what is on the bridle of the horse, then names the pots in the Lord's house. The current wording follows that local wording.</w:t>
      </w:r>
    </w:p>
  </w:footnote>
  <w:footnote w:id="14041">
    <w:p>
      <w:pPr>
        <w:pStyle w:val="FootnoteText"/>
      </w:pPr>
      <w:r>
        <w:rPr>
          <w:rStyle w:val="FootnoteReference"/>
        </w:rPr>
        <w:footnoteRef/>
      </w:r>
      <w:r>
        <w:t xml:space="preserve"> Translation note: Cross-reference review revised malformed literal wording while following the local Greek bridle-and-pots wording at this verse numbering point.</w:t>
      </w:r>
    </w:p>
  </w:footnote>
  <w:footnote w:id="14042">
    <w:p>
      <w:pPr>
        <w:pStyle w:val="FootnoteText"/>
      </w:pPr>
      <w:r>
        <w:rPr>
          <w:rStyle w:val="FootnoteReference"/>
        </w:rPr>
        <w:footnoteRef/>
      </w:r>
      <w:r>
        <w:t xml:space="preserve"> Translation note: The Greek uses a participle for those sacrificing. The current wording renders it as all those who sacrifice and keeps the Canaanite line explicit.</w:t>
      </w:r>
    </w:p>
  </w:footnote>
  <w:footnote w:id="14043">
    <w:p>
      <w:pPr>
        <w:pStyle w:val="FootnoteText"/>
      </w:pPr>
      <w:r>
        <w:rPr>
          <w:rStyle w:val="FootnoteReference"/>
        </w:rPr>
        <w:footnoteRef/>
      </w:r>
      <w:r>
        <w:t xml:space="preserve"> Translation note: The Greek imperative says to set this upon your hearts. The current wording keeps the heart command direct.</w:t>
      </w:r>
    </w:p>
  </w:footnote>
  <w:footnote w:id="14044">
    <w:p>
      <w:pPr>
        <w:pStyle w:val="FootnoteText"/>
      </w:pPr>
      <w:r>
        <w:rPr>
          <w:rStyle w:val="FootnoteReference"/>
        </w:rPr>
        <w:footnoteRef/>
      </w:r>
      <w:r>
        <w:t xml:space="preserve"> Name meaning: Malachi (Malaki) — My messenger. The last Old Testament messenger before John the Baptist.</w:t>
      </w:r>
    </w:p>
  </w:footnote>
  <w:footnote w:id="14045">
    <w:p>
      <w:pPr>
        <w:pStyle w:val="FootnoteText"/>
      </w:pPr>
      <w:r>
        <w:rPr>
          <w:rStyle w:val="FootnoteReference"/>
        </w:rPr>
        <w:footnoteRef/>
      </w:r>
      <w:r>
        <w:t xml:space="preserve"> Cross-references for "Yet I": Gen 25:23; Gen 27:27-30.</w:t>
      </w:r>
    </w:p>
  </w:footnote>
  <w:footnote w:id="14046">
    <w:p>
      <w:pPr>
        <w:pStyle w:val="FootnoteText"/>
      </w:pPr>
      <w:r>
        <w:rPr>
          <w:rStyle w:val="FootnoteReference"/>
        </w:rPr>
        <w:footnoteRef/>
      </w:r>
      <w:r>
        <w:t xml:space="preserve"> Cross-references for "hated": Gen 29:30-31; Deut 21:15-16.</w:t>
      </w:r>
    </w:p>
  </w:footnote>
  <w:footnote w:id="14047">
    <w:p>
      <w:pPr>
        <w:pStyle w:val="FootnoteText"/>
      </w:pPr>
      <w:r>
        <w:rPr>
          <w:rStyle w:val="FootnoteReference"/>
        </w:rPr>
        <w:footnoteRef/>
      </w:r>
      <w:r>
        <w:t xml:space="preserve"> Translation note: The Greek marks Esau's borders and inheritance and ends with dwellings of wilderness. The current wording keeps those source objects visible.</w:t>
      </w:r>
    </w:p>
  </w:footnote>
  <w:footnote w:id="14048">
    <w:p>
      <w:pPr>
        <w:pStyle w:val="FootnoteText"/>
      </w:pPr>
      <w:r>
        <w:rPr>
          <w:rStyle w:val="FootnoteReference"/>
        </w:rPr>
        <w:footnoteRef/>
      </w:r>
      <w:r>
        <w:t xml:space="preserve"> Translation note: The Greek names Idumea here and uses plural borders of lawlessness. The current wording follows that source form instead of Edom.</w:t>
      </w:r>
    </w:p>
  </w:footnote>
  <w:footnote w:id="14049">
    <w:p>
      <w:pPr>
        <w:pStyle w:val="FootnoteText"/>
      </w:pPr>
      <w:r>
        <w:rPr>
          <w:rStyle w:val="FootnoteReference"/>
        </w:rPr>
        <w:footnoteRef/>
      </w:r>
      <w:r>
        <w:t xml:space="preserve"> Cross-references for "The Lord": Ps 35:26-27; Ps 58:10-11.</w:t>
      </w:r>
    </w:p>
  </w:footnote>
  <w:footnote w:id="14050">
    <w:p>
      <w:pPr>
        <w:pStyle w:val="FootnoteText"/>
      </w:pPr>
      <w:r>
        <w:rPr>
          <w:rStyle w:val="FootnoteReference"/>
        </w:rPr>
        <w:footnoteRef/>
      </w:r>
      <w:r>
        <w:t xml:space="preserve"> Translation note: The Greek marks the borders of Israel with articles. The current wording keeps the borders phrase explicit.</w:t>
      </w:r>
    </w:p>
  </w:footnote>
  <w:footnote w:id="14051">
    <w:p>
      <w:pPr>
        <w:pStyle w:val="FootnoteText"/>
      </w:pPr>
      <w:r>
        <w:rPr>
          <w:rStyle w:val="FootnoteReference"/>
        </w:rPr>
        <w:footnoteRef/>
      </w:r>
      <w:r>
        <w:t xml:space="preserve"> Cross-references for "a servant": 1Tim 6:1-2; Titus 2:9-10.</w:t>
      </w:r>
    </w:p>
  </w:footnote>
  <w:footnote w:id="14052">
    <w:p>
      <w:pPr>
        <w:pStyle w:val="FootnoteText"/>
      </w:pPr>
      <w:r>
        <w:rPr>
          <w:rStyle w:val="FootnoteReference"/>
        </w:rPr>
        <w:footnoteRef/>
      </w:r>
      <w:r>
        <w:t xml:space="preserve"> Translation note: The Greek keeps the father-master parallel explicit. The current wording preserves both honor and fear in the rebuke.</w:t>
      </w:r>
    </w:p>
  </w:footnote>
  <w:footnote w:id="14053">
    <w:p>
      <w:pPr>
        <w:pStyle w:val="FootnoteText"/>
      </w:pPr>
      <w:r>
        <w:rPr>
          <w:rStyle w:val="FootnoteReference"/>
        </w:rPr>
        <w:footnoteRef/>
      </w:r>
      <w:r>
        <w:t xml:space="preserve"> Translation note: The Greek pairs son/father with servant/master before the divine speech formula. The current wording keeps that parallel explicit.</w:t>
      </w:r>
    </w:p>
  </w:footnote>
  <w:footnote w:id="14054">
    <w:p>
      <w:pPr>
        <w:pStyle w:val="FootnoteText"/>
      </w:pPr>
      <w:r>
        <w:rPr>
          <w:rStyle w:val="FootnoteReference"/>
        </w:rPr>
        <w:footnoteRef/>
      </w:r>
      <w:r>
        <w:t xml:space="preserve"> Cross-references for "The table": 1Sam 2:15-17; Ezek 41:22.</w:t>
      </w:r>
    </w:p>
  </w:footnote>
  <w:footnote w:id="14055">
    <w:p>
      <w:pPr>
        <w:pStyle w:val="FootnoteText"/>
      </w:pPr>
      <w:r>
        <w:rPr>
          <w:rStyle w:val="FootnoteReference"/>
        </w:rPr>
        <w:footnoteRef/>
      </w:r>
      <w:r>
        <w:t xml:space="preserve"> Translation note: The Greek names the table of the Lord and marks the foods placed on it. The current wording supplies those articles and avoids stale Lord's table wording.</w:t>
      </w:r>
    </w:p>
  </w:footnote>
  <w:footnote w:id="14056">
    <w:p>
      <w:pPr>
        <w:pStyle w:val="FootnoteText"/>
      </w:pPr>
      <w:r>
        <w:rPr>
          <w:rStyle w:val="FootnoteReference"/>
        </w:rPr>
        <w:footnoteRef/>
      </w:r>
      <w:r>
        <w:t xml:space="preserve"> Translation note: The Greek uses blemished-offering adjectives. The current wording supplies a for readable English while preserving the sacrifice/ruler question.</w:t>
      </w:r>
    </w:p>
  </w:footnote>
  <w:footnote w:id="14057">
    <w:p>
      <w:pPr>
        <w:pStyle w:val="FootnoteText"/>
      </w:pPr>
      <w:r>
        <w:rPr>
          <w:rStyle w:val="FootnoteReference"/>
        </w:rPr>
        <w:footnoteRef/>
      </w:r>
      <w:r>
        <w:t xml:space="preserve"> Translation note: The Greek says these things have happened by your hands and asks about receiving faces from you. The current wording keeps those clauses visible.</w:t>
      </w:r>
    </w:p>
  </w:footnote>
  <w:footnote w:id="14058">
    <w:p>
      <w:pPr>
        <w:pStyle w:val="FootnoteText"/>
      </w:pPr>
      <w:r>
        <w:rPr>
          <w:rStyle w:val="FootnoteReference"/>
        </w:rPr>
        <w:footnoteRef/>
      </w:r>
      <w:r>
        <w:t xml:space="preserve"> Translation note: English supplies the article for the doors and keeps the altar-for-nothing refusal in place.</w:t>
      </w:r>
    </w:p>
  </w:footnote>
  <w:footnote w:id="14059">
    <w:p>
      <w:pPr>
        <w:pStyle w:val="FootnoteText"/>
      </w:pPr>
      <w:r>
        <w:rPr>
          <w:rStyle w:val="FootnoteReference"/>
        </w:rPr>
        <w:footnoteRef/>
      </w:r>
      <w:r>
        <w:t xml:space="preserve"> Translation note: The Greek names the sun's rising/settings and twice marks the nations with articles. The current wording keeps those features visible.</w:t>
      </w:r>
    </w:p>
  </w:footnote>
  <w:footnote w:id="14060">
    <w:p>
      <w:pPr>
        <w:pStyle w:val="FootnoteText"/>
      </w:pPr>
      <w:r>
        <w:rPr>
          <w:rStyle w:val="FootnoteReference"/>
        </w:rPr>
        <w:footnoteRef/>
      </w:r>
      <w:r>
        <w:t xml:space="preserve"> Cross-references for "my name": Ps 22:27-31; Ps 67:2.</w:t>
      </w:r>
    </w:p>
  </w:footnote>
  <w:footnote w:id="14061">
    <w:p>
      <w:pPr>
        <w:pStyle w:val="FootnoteText"/>
      </w:pPr>
      <w:r>
        <w:rPr>
          <w:rStyle w:val="FootnoteReference"/>
        </w:rPr>
        <w:footnoteRef/>
      </w:r>
      <w:r>
        <w:t xml:space="preserve"> Translation note: The Greek names the table of the Lord and the foods placed on it. The current wording keeps the table/foods language aligned with verse 7.</w:t>
      </w:r>
    </w:p>
  </w:footnote>
  <w:footnote w:id="14062">
    <w:p>
      <w:pPr>
        <w:pStyle w:val="FootnoteText"/>
      </w:pPr>
      <w:r>
        <w:rPr>
          <w:rStyle w:val="FootnoteReference"/>
        </w:rPr>
        <w:footnoteRef/>
      </w:r>
      <w:r>
        <w:t xml:space="preserve"> Cross-references for "The table": Num 11:4-8; Dan 5:3-4.</w:t>
      </w:r>
    </w:p>
  </w:footnote>
  <w:footnote w:id="14063">
    <w:p>
      <w:pPr>
        <w:pStyle w:val="FootnoteText"/>
      </w:pPr>
      <w:r>
        <w:rPr>
          <w:rStyle w:val="FootnoteReference"/>
        </w:rPr>
        <w:footnoteRef/>
      </w:r>
      <w:r>
        <w:t xml:space="preserve"> Translation note: The source verb is first person here. The current wording makes the Lord's rejection line explicit rather than reading it as the priests snorting.</w:t>
      </w:r>
    </w:p>
  </w:footnote>
  <w:footnote w:id="14064">
    <w:p>
      <w:pPr>
        <w:pStyle w:val="FootnoteText"/>
      </w:pPr>
      <w:r>
        <w:rPr>
          <w:rStyle w:val="FootnoteReference"/>
        </w:rPr>
        <w:footnoteRef/>
      </w:r>
      <w:r>
        <w:t xml:space="preserve"> Cross-references for "Cursed": Gen 27:12; Josh 7:11-12.</w:t>
      </w:r>
    </w:p>
  </w:footnote>
  <w:footnote w:id="14065">
    <w:p>
      <w:pPr>
        <w:pStyle w:val="FootnoteText"/>
      </w:pPr>
      <w:r>
        <w:rPr>
          <w:rStyle w:val="FootnoteReference"/>
        </w:rPr>
        <w:footnoteRef/>
      </w:r>
      <w:r>
        <w:t xml:space="preserve"> Translation note: The Greek describes the vowed offering as corrupted. The current wording keeps the object clear before the to-the-Lord phrase.</w:t>
      </w:r>
    </w:p>
  </w:footnote>
  <w:footnote w:id="14066">
    <w:p>
      <w:pPr>
        <w:pStyle w:val="FootnoteText"/>
      </w:pPr>
      <w:r>
        <w:rPr>
          <w:rStyle w:val="FootnoteReference"/>
        </w:rPr>
        <w:footnoteRef/>
      </w:r>
      <w:r>
        <w:t xml:space="preserve"> Translation note: The Greek describes the divine name as manifest among the nations. The current wording keeps that source-row wording visible.</w:t>
      </w:r>
    </w:p>
  </w:footnote>
  <w:footnote w:id="14067">
    <w:p>
      <w:pPr>
        <w:pStyle w:val="FootnoteText"/>
      </w:pPr>
      <w:r>
        <w:rPr>
          <w:rStyle w:val="FootnoteReference"/>
        </w:rPr>
        <w:footnoteRef/>
      </w:r>
      <w:r>
        <w:t xml:space="preserve"> Cross-references for "to give": Josh 7:19; Jer 13:16.</w:t>
      </w:r>
    </w:p>
  </w:footnote>
  <w:footnote w:id="14068">
    <w:p>
      <w:pPr>
        <w:pStyle w:val="FootnoteText"/>
      </w:pPr>
      <w:r>
        <w:rPr>
          <w:rStyle w:val="FootnoteReference"/>
        </w:rPr>
        <w:footnoteRef/>
      </w:r>
      <w:r>
        <w:t xml:space="preserve"> Translation note: The Greek marks the curse with the article and uses a singular heart idiom. The current wording keeps both features visible.</w:t>
      </w:r>
    </w:p>
  </w:footnote>
  <w:footnote w:id="14069">
    <w:p>
      <w:pPr>
        <w:pStyle w:val="FootnoteText"/>
      </w:pPr>
      <w:r>
        <w:rPr>
          <w:rStyle w:val="FootnoteReference"/>
        </w:rPr>
        <w:footnoteRef/>
      </w:r>
      <w:r>
        <w:t xml:space="preserve"> Translation note: The Greek uses the sacrificial shoulder and stomach-content language. The current wording keeps that concrete source imagery visible.</w:t>
      </w:r>
    </w:p>
  </w:footnote>
  <w:footnote w:id="14070">
    <w:p>
      <w:pPr>
        <w:pStyle w:val="FootnoteText"/>
      </w:pPr>
      <w:r>
        <w:rPr>
          <w:rStyle w:val="FootnoteReference"/>
        </w:rPr>
        <w:footnoteRef/>
      </w:r>
      <w:r>
        <w:t xml:space="preserve"> Cross-references for "that my": Isa 1:24-28; Isa 27:9.</w:t>
      </w:r>
    </w:p>
  </w:footnote>
  <w:footnote w:id="14071">
    <w:p>
      <w:pPr>
        <w:pStyle w:val="FootnoteText"/>
      </w:pPr>
      <w:r>
        <w:rPr>
          <w:rStyle w:val="FootnoteReference"/>
        </w:rPr>
        <w:footnoteRef/>
      </w:r>
      <w:r>
        <w:t xml:space="preserve"> Translation note: The Greek has the command sent so that the covenant may be with the Levites. The current wording supplies the article and keeps the covenant purpose clear.</w:t>
      </w:r>
    </w:p>
  </w:footnote>
  <w:footnote w:id="14072">
    <w:p>
      <w:pPr>
        <w:pStyle w:val="FootnoteText"/>
      </w:pPr>
      <w:r>
        <w:rPr>
          <w:rStyle w:val="FootnoteReference"/>
        </w:rPr>
        <w:footnoteRef/>
      </w:r>
      <w:r>
        <w:t xml:space="preserve"> Cross-references for "covenant": Num 3:45; Num 8:15.</w:t>
      </w:r>
    </w:p>
  </w:footnote>
  <w:footnote w:id="14073">
    <w:p>
      <w:pPr>
        <w:pStyle w:val="FootnoteText"/>
      </w:pPr>
      <w:r>
        <w:rPr>
          <w:rStyle w:val="FootnoteReference"/>
        </w:rPr>
        <w:footnoteRef/>
      </w:r>
      <w:r>
        <w:t xml:space="preserve"> Translation note: The Greek closes with face-of-my-name wording. The current wording keeps that source phrase visible.</w:t>
      </w:r>
    </w:p>
  </w:footnote>
  <w:footnote w:id="14074">
    <w:p>
      <w:pPr>
        <w:pStyle w:val="FootnoteText"/>
      </w:pPr>
      <w:r>
        <w:rPr>
          <w:rStyle w:val="FootnoteReference"/>
        </w:rPr>
        <w:footnoteRef/>
      </w:r>
      <w:r>
        <w:t xml:space="preserve"> Translation note: The Greek uses the phrase law of truth directly. The current wording preserves that phrase.</w:t>
      </w:r>
    </w:p>
  </w:footnote>
  <w:footnote w:id="14075">
    <w:p>
      <w:pPr>
        <w:pStyle w:val="FootnoteText"/>
      </w:pPr>
      <w:r>
        <w:rPr>
          <w:rStyle w:val="FootnoteReference"/>
        </w:rPr>
        <w:footnoteRef/>
      </w:r>
      <w:r>
        <w:t xml:space="preserve"> Cross-references for "he walked": Gen 5:21-24; Gen 6:9.</w:t>
      </w:r>
    </w:p>
  </w:footnote>
  <w:footnote w:id="14076">
    <w:p>
      <w:pPr>
        <w:pStyle w:val="FootnoteText"/>
      </w:pPr>
      <w:r>
        <w:rPr>
          <w:rStyle w:val="FootnoteReference"/>
        </w:rPr>
        <w:footnoteRef/>
      </w:r>
      <w:r>
        <w:t xml:space="preserve"> Translation note: The Greek keeps knowledge on the priest's lips and law sought from his mouth. The current wording keeps that teaching office clear.</w:t>
      </w:r>
    </w:p>
  </w:footnote>
  <w:footnote w:id="14077">
    <w:p>
      <w:pPr>
        <w:pStyle w:val="FootnoteText"/>
      </w:pPr>
      <w:r>
        <w:rPr>
          <w:rStyle w:val="FootnoteReference"/>
        </w:rPr>
        <w:footnoteRef/>
      </w:r>
      <w:r>
        <w:t xml:space="preserve"> Translation note: The Greek uses angelos here for a priest in his teaching office. The current wording keeps messenger because the context is human and ministerial.</w:t>
      </w:r>
    </w:p>
  </w:footnote>
  <w:footnote w:id="14078">
    <w:p>
      <w:pPr>
        <w:pStyle w:val="FootnoteText"/>
      </w:pPr>
      <w:r>
        <w:rPr>
          <w:rStyle w:val="FootnoteReference"/>
        </w:rPr>
        <w:footnoteRef/>
      </w:r>
      <w:r>
        <w:t xml:space="preserve"> Translation note: The Greek uses a weakness verb here. The current wording preserves that source wording instead of smoothing it to falter.</w:t>
      </w:r>
    </w:p>
  </w:footnote>
  <w:footnote w:id="14079">
    <w:p>
      <w:pPr>
        <w:pStyle w:val="FootnoteText"/>
      </w:pPr>
      <w:r>
        <w:rPr>
          <w:rStyle w:val="FootnoteReference"/>
        </w:rPr>
        <w:footnoteRef/>
      </w:r>
      <w:r>
        <w:t xml:space="preserve"> Cross-references for "made": 1Sam 2:30; Prov 10:7.</w:t>
      </w:r>
    </w:p>
  </w:footnote>
  <w:footnote w:id="14080">
    <w:p>
      <w:pPr>
        <w:pStyle w:val="FootnoteText"/>
      </w:pPr>
      <w:r>
        <w:rPr>
          <w:rStyle w:val="FootnoteReference"/>
        </w:rPr>
        <w:footnoteRef/>
      </w:r>
      <w:r>
        <w:t xml:space="preserve"> Translation note: The Greek marks all the nations and uses the face-receiving idiom in the law. The current wording keeps both features visible.</w:t>
      </w:r>
    </w:p>
  </w:footnote>
  <w:footnote w:id="14081">
    <w:p>
      <w:pPr>
        <w:pStyle w:val="FootnoteText"/>
      </w:pPr>
      <w:r>
        <w:rPr>
          <w:rStyle w:val="FootnoteReference"/>
        </w:rPr>
        <w:footnoteRef/>
      </w:r>
      <w:r>
        <w:t xml:space="preserve"> Translation note: The Greek opens with a creation appeal tied to covenant faithlessness. The current wording keeps that line direct.</w:t>
      </w:r>
    </w:p>
  </w:footnote>
  <w:footnote w:id="14082">
    <w:p>
      <w:pPr>
        <w:pStyle w:val="FootnoteText"/>
      </w:pPr>
      <w:r>
        <w:rPr>
          <w:rStyle w:val="FootnoteReference"/>
        </w:rPr>
        <w:footnoteRef/>
      </w:r>
      <w:r>
        <w:t xml:space="preserve"> Translation note: The Greek asks paired one-God and one-father questions. The current wording keeps both questions explicit.</w:t>
      </w:r>
    </w:p>
  </w:footnote>
  <w:footnote w:id="14083">
    <w:p>
      <w:pPr>
        <w:pStyle w:val="FootnoteText"/>
      </w:pPr>
      <w:r>
        <w:rPr>
          <w:rStyle w:val="FootnoteReference"/>
        </w:rPr>
        <w:footnoteRef/>
      </w:r>
      <w:r>
        <w:t xml:space="preserve"> Cross-references for "and an": Lev 18:24-30; Jer 7:10.</w:t>
      </w:r>
    </w:p>
  </w:footnote>
  <w:footnote w:id="14084">
    <w:p>
      <w:pPr>
        <w:pStyle w:val="FootnoteText"/>
      </w:pPr>
      <w:r>
        <w:rPr>
          <w:rStyle w:val="FootnoteReference"/>
        </w:rPr>
        <w:footnoteRef/>
      </w:r>
      <w:r>
        <w:t xml:space="preserve"> Translation note: The Greek marks the holy things of the Lord and uses a verb of deliberate practice/devotion toward foreign gods. The current wording keeps both features visible.</w:t>
      </w:r>
    </w:p>
  </w:footnote>
  <w:footnote w:id="14085">
    <w:p>
      <w:pPr>
        <w:pStyle w:val="FootnoteText"/>
      </w:pPr>
      <w:r>
        <w:rPr>
          <w:rStyle w:val="FootnoteReference"/>
        </w:rPr>
        <w:footnoteRef/>
      </w:r>
      <w:r>
        <w:t xml:space="preserve"> Translation note: The Greek marks the man doing these things and the tents of Jacob. The current wording supplies those articles for readable English.</w:t>
      </w:r>
    </w:p>
  </w:footnote>
  <w:footnote w:id="14086">
    <w:p>
      <w:pPr>
        <w:pStyle w:val="FootnoteText"/>
      </w:pPr>
      <w:r>
        <w:rPr>
          <w:rStyle w:val="FootnoteReference"/>
        </w:rPr>
        <w:footnoteRef/>
      </w:r>
      <w:r>
        <w:t xml:space="preserve"> Translation note: The Greek says these things which I hated and then asks whether sacrifice is still worthy to be regarded or received. The current wording follows that local wording.</w:t>
      </w:r>
    </w:p>
  </w:footnote>
  <w:footnote w:id="14087">
    <w:p>
      <w:pPr>
        <w:pStyle w:val="FootnoteText"/>
      </w:pPr>
      <w:r>
        <w:rPr>
          <w:rStyle w:val="FootnoteReference"/>
        </w:rPr>
        <w:footnoteRef/>
      </w:r>
      <w:r>
        <w:t xml:space="preserve"> Cross-references for "the Lord": Gen 31:50; Judg 11:10.</w:t>
      </w:r>
    </w:p>
  </w:footnote>
  <w:footnote w:id="14088">
    <w:p>
      <w:pPr>
        <w:pStyle w:val="FootnoteText"/>
      </w:pPr>
      <w:r>
        <w:rPr>
          <w:rStyle w:val="FootnoteReference"/>
        </w:rPr>
        <w:footnoteRef/>
      </w:r>
      <w:r>
        <w:t xml:space="preserve"> Translation note: The Greek says no other did this before the remnant-of-spirit clause. The current wording keeps that difficult clause close to the source.</w:t>
      </w:r>
    </w:p>
  </w:footnote>
  <w:footnote w:id="14089">
    <w:p>
      <w:pPr>
        <w:pStyle w:val="FootnoteText"/>
      </w:pPr>
      <w:r>
        <w:rPr>
          <w:rStyle w:val="FootnoteReference"/>
        </w:rPr>
        <w:footnoteRef/>
      </w:r>
      <w:r>
        <w:t xml:space="preserve"> Translation note: The Greek gives the appositional title the Lord, the God of Israel. The current wording keeps the title and the thoughts line explicit.</w:t>
      </w:r>
    </w:p>
  </w:footnote>
  <w:footnote w:id="14090">
    <w:p>
      <w:pPr>
        <w:pStyle w:val="FootnoteText"/>
      </w:pPr>
      <w:r>
        <w:rPr>
          <w:rStyle w:val="FootnoteReference"/>
        </w:rPr>
        <w:footnoteRef/>
      </w:r>
      <w:r>
        <w:t xml:space="preserve"> Cross-references for "the Lord": Deut 24:1-4; Isa 50:1.</w:t>
      </w:r>
    </w:p>
  </w:footnote>
  <w:footnote w:id="14091">
    <w:p>
      <w:pPr>
        <w:pStyle w:val="FootnoteText"/>
      </w:pPr>
      <w:r>
        <w:rPr>
          <w:rStyle w:val="FootnoteReference"/>
        </w:rPr>
        <w:footnoteRef/>
      </w:r>
      <w:r>
        <w:t xml:space="preserve"> Translation note: The Greek uses an emphatic he himself and marks the God of justice. The current wording keeps both features visible.</w:t>
      </w:r>
    </w:p>
  </w:footnote>
  <w:footnote w:id="14092">
    <w:p>
      <w:pPr>
        <w:pStyle w:val="FootnoteText"/>
      </w:pPr>
      <w:r>
        <w:rPr>
          <w:rStyle w:val="FootnoteReference"/>
        </w:rPr>
        <w:footnoteRef/>
      </w:r>
      <w:r>
        <w:t xml:space="preserve"> Translation note: The Greek says the messenger will look upon a way before my face and names the messenger of the covenant. The current wording keeps those local phrases visible.</w:t>
      </w:r>
    </w:p>
  </w:footnote>
  <w:footnote w:id="14093">
    <w:p>
      <w:pPr>
        <w:pStyle w:val="FootnoteText"/>
      </w:pPr>
      <w:r>
        <w:rPr>
          <w:rStyle w:val="FootnoteReference"/>
        </w:rPr>
        <w:footnoteRef/>
      </w:r>
      <w:r>
        <w:t xml:space="preserve"> Translation note: The Greek compares his coming to smelting fire and the herb of washers. The current wording preserves that LXX image instead of replacing it with a smoother soap term.</w:t>
      </w:r>
    </w:p>
  </w:footnote>
  <w:footnote w:id="14094">
    <w:p>
      <w:pPr>
        <w:pStyle w:val="FootnoteText"/>
      </w:pPr>
      <w:r>
        <w:rPr>
          <w:rStyle w:val="FootnoteReference"/>
        </w:rPr>
        <w:footnoteRef/>
      </w:r>
      <w:r>
        <w:t xml:space="preserve"> Translation note: The Greek marks the sons of Levi and uses a metal-pouring verb for the refining image. The current wording keeps both features visible.</w:t>
      </w:r>
    </w:p>
  </w:footnote>
  <w:footnote w:id="14095">
    <w:p>
      <w:pPr>
        <w:pStyle w:val="FootnoteText"/>
      </w:pPr>
      <w:r>
        <w:rPr>
          <w:rStyle w:val="FootnoteReference"/>
        </w:rPr>
        <w:footnoteRef/>
      </w:r>
      <w:r>
        <w:t xml:space="preserve"> Cross-references for "the sons": Isa 61:6; Isa 66:19-21.</w:t>
      </w:r>
    </w:p>
  </w:footnote>
  <w:footnote w:id="14096">
    <w:p>
      <w:pPr>
        <w:pStyle w:val="FootnoteText"/>
      </w:pPr>
      <w:r>
        <w:rPr>
          <w:rStyle w:val="FootnoteReference"/>
        </w:rPr>
        <w:footnoteRef/>
      </w:r>
      <w:r>
        <w:t xml:space="preserve"> Translation note: The Greek compares the sacrifice of Judah and Jerusalem to the days of old and the former years. The current wording supplies the Lord article and keeps the temporal parallel.</w:t>
      </w:r>
    </w:p>
  </w:footnote>
  <w:footnote w:id="14097">
    <w:p>
      <w:pPr>
        <w:pStyle w:val="FootnoteText"/>
      </w:pPr>
      <w:r>
        <w:rPr>
          <w:rStyle w:val="FootnoteReference"/>
        </w:rPr>
        <w:footnoteRef/>
      </w:r>
      <w:r>
        <w:t xml:space="preserve"> Cross-references for "I will come": Ps 50:3-6; Ps 96:13.</w:t>
      </w:r>
    </w:p>
  </w:footnote>
  <w:footnote w:id="14098">
    <w:p>
      <w:pPr>
        <w:pStyle w:val="FootnoteText"/>
      </w:pPr>
      <w:r>
        <w:rPr>
          <w:rStyle w:val="FootnoteReference"/>
        </w:rPr>
        <w:footnoteRef/>
      </w:r>
      <w:r>
        <w:t xml:space="preserve"> Translation note: The Greek uses a compact judgment formula here. The current wording supplies the English article while keeping that line explicit.</w:t>
      </w:r>
    </w:p>
  </w:footnote>
  <w:footnote w:id="14099">
    <w:p>
      <w:pPr>
        <w:pStyle w:val="FootnoteText"/>
      </w:pPr>
      <w:r>
        <w:rPr>
          <w:rStyle w:val="FootnoteReference"/>
        </w:rPr>
        <w:footnoteRef/>
      </w:r>
      <w:r>
        <w:t xml:space="preserve"> Translation note: The Greek names the withheld wage of a hired worker and the judgment of a sojourner. The current wording supplies the articles for readable English.</w:t>
      </w:r>
    </w:p>
  </w:footnote>
  <w:footnote w:id="14100">
    <w:p>
      <w:pPr>
        <w:pStyle w:val="FootnoteText"/>
      </w:pPr>
      <w:r>
        <w:rPr>
          <w:rStyle w:val="FootnoteReference"/>
        </w:rPr>
        <w:footnoteRef/>
      </w:r>
      <w:r>
        <w:t xml:space="preserve"> Translation note: The Greek uses perfect changed wording before the sons-of-Jacob clause. The current wording keeps the Lord's unchanged state explicit.</w:t>
      </w:r>
    </w:p>
  </w:footnote>
  <w:footnote w:id="14101">
    <w:p>
      <w:pPr>
        <w:pStyle w:val="FootnoteText"/>
      </w:pPr>
      <w:r>
        <w:rPr>
          <w:rStyle w:val="FootnoteReference"/>
        </w:rPr>
        <w:footnoteRef/>
      </w:r>
      <w:r>
        <w:t xml:space="preserve"> Translation note: The Greek opens with a phrase that supplies the prior verse's not-ceased object, then says you turned aside my statutes. The current wording keeps that carryover visible.</w:t>
      </w:r>
    </w:p>
  </w:footnote>
  <w:footnote w:id="14102">
    <w:p>
      <w:pPr>
        <w:pStyle w:val="FootnoteText"/>
      </w:pPr>
      <w:r>
        <w:rPr>
          <w:rStyle w:val="FootnoteReference"/>
        </w:rPr>
        <w:footnoteRef/>
      </w:r>
      <w:r>
        <w:t xml:space="preserve"> Cross-references for "from the": Deut 9:7-21; Deut 31:20.</w:t>
      </w:r>
    </w:p>
  </w:footnote>
  <w:footnote w:id="14103">
    <w:p>
      <w:pPr>
        <w:pStyle w:val="FootnoteText"/>
      </w:pPr>
      <w:r>
        <w:rPr>
          <w:rStyle w:val="FootnoteReference"/>
        </w:rPr>
        <w:footnoteRef/>
      </w:r>
      <w:r>
        <w:t xml:space="preserve"> Translation note: The Greek marks the tenths and the firstfruits with articles. The current wording supplies them and keeps the trick-language exchange explicit.</w:t>
      </w:r>
    </w:p>
  </w:footnote>
  <w:footnote w:id="14104">
    <w:p>
      <w:pPr>
        <w:pStyle w:val="FootnoteText"/>
      </w:pPr>
      <w:r>
        <w:rPr>
          <w:rStyle w:val="FootnoteReference"/>
        </w:rPr>
        <w:footnoteRef/>
      </w:r>
      <w:r>
        <w:t xml:space="preserve"> Translation note: The Greek repeats the looking-away verb and marks the nation with the article. The current wording preserves both features.</w:t>
      </w:r>
    </w:p>
  </w:footnote>
  <w:footnote w:id="14105">
    <w:p>
      <w:pPr>
        <w:pStyle w:val="FootnoteText"/>
      </w:pPr>
      <w:r>
        <w:rPr>
          <w:rStyle w:val="FootnoteReference"/>
        </w:rPr>
        <w:footnoteRef/>
      </w:r>
      <w:r>
        <w:t xml:space="preserve"> Translation note: The Greek uses a plunder/spoil term for what will be in the house. The current wording keeps that LXX term instead of smoothing it to provision.</w:t>
      </w:r>
    </w:p>
  </w:footnote>
  <w:footnote w:id="14106">
    <w:p>
      <w:pPr>
        <w:pStyle w:val="FootnoteText"/>
      </w:pPr>
      <w:r>
        <w:rPr>
          <w:rStyle w:val="FootnoteReference"/>
        </w:rPr>
        <w:footnoteRef/>
      </w:r>
      <w:r>
        <w:t xml:space="preserve"> Cross-references for "open": Gen 7:11; Deut 28:12.</w:t>
      </w:r>
    </w:p>
  </w:footnote>
  <w:footnote w:id="14107">
    <w:p>
      <w:pPr>
        <w:pStyle w:val="FootnoteText"/>
      </w:pPr>
      <w:r>
        <w:rPr>
          <w:rStyle w:val="FootnoteReference"/>
        </w:rPr>
        <w:footnoteRef/>
      </w:r>
      <w:r>
        <w:t xml:space="preserve"> Translation note: The Greek says for food, not devourer. The current wording follows the LXX phrase and keeps the fruit and vine clauses explicit.</w:t>
      </w:r>
    </w:p>
  </w:footnote>
  <w:footnote w:id="14108">
    <w:p>
      <w:pPr>
        <w:pStyle w:val="FootnoteText"/>
      </w:pPr>
      <w:r>
        <w:rPr>
          <w:rStyle w:val="FootnoteReference"/>
        </w:rPr>
        <w:footnoteRef/>
      </w:r>
      <w:r>
        <w:t xml:space="preserve"> Translation note: The Greek says all the nations will call you blessed and that you will be a desired land. The current wording supplies the English article.</w:t>
      </w:r>
    </w:p>
  </w:footnote>
  <w:footnote w:id="14109">
    <w:p>
      <w:pPr>
        <w:pStyle w:val="FootnoteText"/>
      </w:pPr>
      <w:r>
        <w:rPr>
          <w:rStyle w:val="FootnoteReference"/>
        </w:rPr>
        <w:footnoteRef/>
      </w:r>
      <w:r>
        <w:t xml:space="preserve"> Translation note: The Greek uses an active verb for making words heavy against the Lord. The current wording keeps that accusation direct.</w:t>
      </w:r>
    </w:p>
  </w:footnote>
  <w:footnote w:id="14110">
    <w:p>
      <w:pPr>
        <w:pStyle w:val="FootnoteText"/>
      </w:pPr>
      <w:r>
        <w:rPr>
          <w:rStyle w:val="FootnoteReference"/>
        </w:rPr>
        <w:footnoteRef/>
      </w:r>
      <w:r>
        <w:t xml:space="preserve"> Cross-references for "and that": Isa 58:3; Joel 2:12.</w:t>
      </w:r>
    </w:p>
  </w:footnote>
  <w:footnote w:id="14111">
    <w:p>
      <w:pPr>
        <w:pStyle w:val="FootnoteText"/>
      </w:pPr>
      <w:r>
        <w:rPr>
          <w:rStyle w:val="FootnoteReference"/>
        </w:rPr>
        <w:footnoteRef/>
      </w:r>
      <w:r>
        <w:t xml:space="preserve"> Translation note: The Greek has the face phrase here. The current wording keeps it and renders πλέον as surplus.</w:t>
      </w:r>
    </w:p>
  </w:footnote>
  <w:footnote w:id="14112">
    <w:p>
      <w:pPr>
        <w:pStyle w:val="FootnoteText"/>
      </w:pPr>
      <w:r>
        <w:rPr>
          <w:rStyle w:val="FootnoteReference"/>
        </w:rPr>
        <w:footnoteRef/>
      </w:r>
      <w:r>
        <w:t xml:space="preserve"> Cross-references for "we call": Ps 10:3; Ps 49:18.</w:t>
      </w:r>
    </w:p>
  </w:footnote>
  <w:footnote w:id="14113">
    <w:p>
      <w:pPr>
        <w:pStyle w:val="FootnoteText"/>
      </w:pPr>
      <w:r>
        <w:rPr>
          <w:rStyle w:val="FootnoteReference"/>
        </w:rPr>
        <w:footnoteRef/>
      </w:r>
      <w:r>
        <w:t xml:space="preserve"> Translation note: The Greek uses ανομα language and says they resisted God. The current wording keeps lawless and resisted visible.</w:t>
      </w:r>
    </w:p>
  </w:footnote>
  <w:footnote w:id="14114">
    <w:p>
      <w:pPr>
        <w:pStyle w:val="FootnoteText"/>
      </w:pPr>
      <w:r>
        <w:rPr>
          <w:rStyle w:val="FootnoteReference"/>
        </w:rPr>
        <w:footnoteRef/>
      </w:r>
      <w:r>
        <w:t xml:space="preserve"> Translation note: The Greek names a book of remembrance before him for those fearing the Lord and revering his name. The current wording supplies the English article.</w:t>
      </w:r>
    </w:p>
  </w:footnote>
  <w:footnote w:id="14115">
    <w:p>
      <w:pPr>
        <w:pStyle w:val="FootnoteText"/>
      </w:pPr>
      <w:r>
        <w:rPr>
          <w:rStyle w:val="FootnoteReference"/>
        </w:rPr>
        <w:footnoteRef/>
      </w:r>
      <w:r>
        <w:t xml:space="preserve"> Cross-references for "a book": Job 19:23-25; Ps 56:8.</w:t>
      </w:r>
    </w:p>
  </w:footnote>
  <w:footnote w:id="14116">
    <w:p>
      <w:pPr>
        <w:pStyle w:val="FootnoteText"/>
      </w:pPr>
      <w:r>
        <w:rPr>
          <w:rStyle w:val="FootnoteReference"/>
        </w:rPr>
        <w:footnoteRef/>
      </w:r>
      <w:r>
        <w:t xml:space="preserve"> Translation note: The Greek says the day which I make for possession and compares the choice to a man choosing his serving son. The current wording keeps both parts.</w:t>
      </w:r>
    </w:p>
  </w:footnote>
  <w:footnote w:id="14117">
    <w:p>
      <w:pPr>
        <w:pStyle w:val="FootnoteText"/>
      </w:pPr>
      <w:r>
        <w:rPr>
          <w:rStyle w:val="FootnoteReference"/>
        </w:rPr>
        <w:footnoteRef/>
      </w:r>
      <w:r>
        <w:t xml:space="preserve"> Translation note: The Greek contrasts righteous and lawless and then the one serving God with the one not serving. The current wording makes both pairs clear.</w:t>
      </w:r>
    </w:p>
  </w:footnote>
  <w:footnote w:id="14118">
    <w:p>
      <w:pPr>
        <w:pStyle w:val="FootnoteText"/>
      </w:pPr>
      <w:r>
        <w:rPr>
          <w:rStyle w:val="FootnoteReference"/>
        </w:rPr>
        <w:footnoteRef/>
      </w:r>
      <w:r>
        <w:t xml:space="preserve"> Translation note: The Greek marks the foreigners and those doing lawless things, then says neither root nor branch will remain. The current wording keeps both features.</w:t>
      </w:r>
    </w:p>
  </w:footnote>
  <w:footnote w:id="14119">
    <w:p>
      <w:pPr>
        <w:pStyle w:val="FootnoteText"/>
      </w:pPr>
      <w:r>
        <w:rPr>
          <w:rStyle w:val="FootnoteReference"/>
        </w:rPr>
        <w:footnoteRef/>
      </w:r>
      <w:r>
        <w:t xml:space="preserve"> Translation note: The Greek says a sun of righteousness will rise and healing will be in its wings. The current wording keeps the sun/healing image direct.</w:t>
      </w:r>
    </w:p>
  </w:footnote>
  <w:footnote w:id="14120">
    <w:p>
      <w:pPr>
        <w:pStyle w:val="FootnoteText"/>
      </w:pPr>
      <w:r>
        <w:rPr>
          <w:rStyle w:val="FootnoteReference"/>
        </w:rPr>
        <w:footnoteRef/>
      </w:r>
      <w:r>
        <w:t xml:space="preserve"> Translation note: The Greek says the lawless ones will be ashes under your feet on the day the Lord makes. The current wording keeps that image explicit.</w:t>
      </w:r>
    </w:p>
  </w:footnote>
  <w:footnote w:id="14121">
    <w:p>
      <w:pPr>
        <w:pStyle w:val="FootnoteText"/>
      </w:pPr>
      <w:r>
        <w:rPr>
          <w:rStyle w:val="FootnoteReference"/>
        </w:rPr>
        <w:footnoteRef/>
      </w:r>
      <w:r>
        <w:t xml:space="preserve"> Textual note: Standard English numbering: the Elijah promise usually cited as Malachi 4:5 begins here and continues in Malachi 3:23 in this LXX-numbered edition.</w:t>
      </w:r>
    </w:p>
  </w:footnote>
  <w:footnote w:id="14122">
    <w:p>
      <w:pPr>
        <w:pStyle w:val="FootnoteText"/>
      </w:pPr>
      <w:r>
        <w:rPr>
          <w:rStyle w:val="FootnoteReference"/>
        </w:rPr>
        <w:footnoteRef/>
      </w:r>
      <w:r>
        <w:t xml:space="preserve"> Translation note: The Greek names Elijah the Tishbite and the great and manifest day of the Lord. The current wording keeps the LXX order and readable English word order.</w:t>
      </w:r>
    </w:p>
  </w:footnote>
  <w:footnote w:id="14123">
    <w:p>
      <w:pPr>
        <w:pStyle w:val="FootnoteText"/>
      </w:pPr>
      <w:r>
        <w:rPr>
          <w:rStyle w:val="FootnoteReference"/>
        </w:rPr>
        <w:footnoteRef/>
      </w:r>
      <w:r>
        <w:t xml:space="preserve"> Translation note: The Greek has paired heart-restoration phrases for father to son and man to neighbor. The current wording supplies articles for readable English.</w:t>
      </w:r>
    </w:p>
  </w:footnote>
  <w:footnote w:id="14124">
    <w:p>
      <w:pPr>
        <w:pStyle w:val="FootnoteText"/>
      </w:pPr>
      <w:r>
        <w:rPr>
          <w:rStyle w:val="FootnoteReference"/>
        </w:rPr>
        <w:footnoteRef/>
      </w:r>
      <w:r>
        <w:t xml:space="preserve"> Translation note: The Greek closes with the law of Moses and the ordinances and judgments commanded in Horeb. The current wording keeps that legal pair visible.</w:t>
      </w:r>
    </w:p>
  </w:footnote>
  <w:footnote w:id="14125">
    <w:p>
      <w:pPr>
        <w:pStyle w:val="FootnoteText"/>
      </w:pPr>
      <w:r>
        <w:rPr>
          <w:rStyle w:val="FootnoteReference"/>
        </w:rPr>
        <w:footnoteRef/>
      </w:r>
      <w:r>
        <w:t xml:space="preserve"> Translation note: Greek geneseos can mean origin, birth, genealogy, or generation. Here the draft uses origin to keep the opening broader than a mere list of descendants while still fitting the genealogy that follows.</w:t>
      </w:r>
    </w:p>
  </w:footnote>
  <w:footnote w:id="14126">
    <w:p>
      <w:pPr>
        <w:pStyle w:val="FootnoteText"/>
      </w:pPr>
      <w:r>
        <w:rPr>
          <w:rStyle w:val="FootnoteReference"/>
        </w:rPr>
        <w:footnoteRef/>
      </w:r>
      <w:r>
        <w:t xml:space="preserve"> Personal name: Christ. Personal-name meaning: Christ — anointed. Source form: Christ.</w:t>
      </w:r>
    </w:p>
  </w:footnote>
  <w:footnote w:id="14127">
    <w:p>
      <w:pPr>
        <w:pStyle w:val="FootnoteText"/>
      </w:pPr>
      <w:r>
        <w:rPr>
          <w:rStyle w:val="FootnoteReference"/>
        </w:rPr>
        <w:footnoteRef/>
      </w:r>
      <w:r>
        <w:t xml:space="preserve"> Personal name: David. Personal-name meaning: David — Beloved. Source form: David.</w:t>
      </w:r>
    </w:p>
  </w:footnote>
  <w:footnote w:id="14128">
    <w:p>
      <w:pPr>
        <w:pStyle w:val="FootnoteText"/>
      </w:pPr>
      <w:r>
        <w:rPr>
          <w:rStyle w:val="FootnoteReference"/>
        </w:rPr>
        <w:footnoteRef/>
      </w:r>
      <w:r>
        <w:t xml:space="preserve"> Personal name: Abraham. Personal-name meaning: Abraham — Father of a multitude. Source form: Abraham.</w:t>
      </w:r>
    </w:p>
  </w:footnote>
  <w:footnote w:id="14129">
    <w:p>
      <w:pPr>
        <w:pStyle w:val="FootnoteText"/>
      </w:pPr>
      <w:r>
        <w:rPr>
          <w:rStyle w:val="FootnoteReference"/>
        </w:rPr>
        <w:footnoteRef/>
      </w:r>
      <w:r>
        <w:t xml:space="preserve"> Cross-references for "Abraham": Gen 21:2-5; Josh 24:2-3.</w:t>
      </w:r>
    </w:p>
  </w:footnote>
  <w:footnote w:id="14130">
    <w:p>
      <w:pPr>
        <w:pStyle w:val="FootnoteText"/>
      </w:pPr>
      <w:r>
        <w:rPr>
          <w:rStyle w:val="FootnoteReference"/>
        </w:rPr>
        <w:footnoteRef/>
      </w:r>
      <w:r>
        <w:t xml:space="preserve"> Personal name: Isaac. Personal-name meaning: Isaac — He laughs; laughter. Source form: Isaac.</w:t>
      </w:r>
    </w:p>
  </w:footnote>
  <w:footnote w:id="1413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4132">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4133">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4134">
    <w:p>
      <w:pPr>
        <w:pStyle w:val="FootnoteText"/>
      </w:pPr>
      <w:r>
        <w:rPr>
          <w:rStyle w:val="FootnoteReference"/>
        </w:rPr>
        <w:footnoteRef/>
      </w:r>
      <w:r>
        <w:t xml:space="preserve"> Transliterated proper noun: Phares. Standard English equivalent: Perez. Source form: Phares. Greek form: φαρες. Name meaning: divided.</w:t>
      </w:r>
    </w:p>
  </w:footnote>
  <w:footnote w:id="14135">
    <w:p>
      <w:pPr>
        <w:pStyle w:val="FootnoteText"/>
      </w:pPr>
      <w:r>
        <w:rPr>
          <w:rStyle w:val="FootnoteReference"/>
        </w:rPr>
        <w:footnoteRef/>
      </w:r>
      <w:r>
        <w:t xml:space="preserve"> Transliterated proper noun: Zara. Standard English equivalent: Zerah. Source form: Zara. Greek form: ζαρα. Name meaning: east; brightness.</w:t>
      </w:r>
    </w:p>
  </w:footnote>
  <w:footnote w:id="14136">
    <w:p>
      <w:pPr>
        <w:pStyle w:val="FootnoteText"/>
      </w:pPr>
      <w:r>
        <w:rPr>
          <w:rStyle w:val="FootnoteReference"/>
        </w:rPr>
        <w:footnoteRef/>
      </w:r>
      <w:r>
        <w:t xml:space="preserve"> Transliterated proper noun: Tamar. Standard English equivalent: Thamar. Source form: Tamar. Greek form: θαμαρ. Name meaning: palm tree.</w:t>
      </w:r>
    </w:p>
  </w:footnote>
  <w:footnote w:id="14137">
    <w:p>
      <w:pPr>
        <w:pStyle w:val="FootnoteText"/>
      </w:pPr>
      <w:r>
        <w:rPr>
          <w:rStyle w:val="FootnoteReference"/>
        </w:rPr>
        <w:footnoteRef/>
      </w:r>
      <w:r>
        <w:t xml:space="preserve"> Transliterated proper noun: Hezron. Standard English equivalent: Esrom. Source form: Hezron. Greek form: εσρωμ. Name meaning: dart of joy; division of a song.</w:t>
      </w:r>
    </w:p>
  </w:footnote>
  <w:footnote w:id="14138">
    <w:p>
      <w:pPr>
        <w:pStyle w:val="FootnoteText"/>
      </w:pPr>
      <w:r>
        <w:rPr>
          <w:rStyle w:val="FootnoteReference"/>
        </w:rPr>
        <w:footnoteRef/>
      </w:r>
      <w:r>
        <w:t xml:space="preserve"> Place name: Aram. Place-name meaning: Aram — highness; highland. Source form: Aram. Greek form: αραμ.</w:t>
      </w:r>
    </w:p>
  </w:footnote>
  <w:footnote w:id="14139">
    <w:p>
      <w:pPr>
        <w:pStyle w:val="FootnoteText"/>
      </w:pPr>
      <w:r>
        <w:rPr>
          <w:rStyle w:val="FootnoteReference"/>
        </w:rPr>
        <w:footnoteRef/>
      </w:r>
      <w:r>
        <w:t xml:space="preserve"> Transliterated proper noun: Thamar. Standard English equivalent: Tamar. Source form: Thamar. Greek form: θαμαρ. Name meaning: palm tree.</w:t>
      </w:r>
    </w:p>
  </w:footnote>
  <w:footnote w:id="14140">
    <w:p>
      <w:pPr>
        <w:pStyle w:val="FootnoteText"/>
      </w:pPr>
      <w:r>
        <w:rPr>
          <w:rStyle w:val="FootnoteReference"/>
        </w:rPr>
        <w:footnoteRef/>
      </w:r>
      <w:r>
        <w:t xml:space="preserve"> Transliterated proper noun: Esrom. Standard English equivalent: Hezron. Source form: Esrom. Greek form: εσρωμ. Name meaning: the dart of joy; the division of the song.</w:t>
      </w:r>
    </w:p>
  </w:footnote>
  <w:footnote w:id="14141">
    <w:p>
      <w:pPr>
        <w:pStyle w:val="FootnoteText"/>
      </w:pPr>
      <w:r>
        <w:rPr>
          <w:rStyle w:val="FootnoteReference"/>
        </w:rPr>
        <w:footnoteRef/>
      </w:r>
      <w:r>
        <w:t xml:space="preserve"> Cross-references for "Aram": Ruth 4:19; 1Chr 2:9.</w:t>
      </w:r>
    </w:p>
  </w:footnote>
  <w:footnote w:id="14142">
    <w:p>
      <w:pPr>
        <w:pStyle w:val="FootnoteText"/>
      </w:pPr>
      <w:r>
        <w:rPr>
          <w:rStyle w:val="FootnoteReference"/>
        </w:rPr>
        <w:footnoteRef/>
      </w:r>
      <w:r>
        <w:t xml:space="preserve"> Transliterated proper noun: Aminadab. Standard English equivalent: Amminadab. Source form: Aminadab. Greek form: αμιναδαβ. Name meaning: my people is liberal.</w:t>
      </w:r>
    </w:p>
  </w:footnote>
  <w:footnote w:id="14143">
    <w:p>
      <w:pPr>
        <w:pStyle w:val="FootnoteText"/>
      </w:pPr>
      <w:r>
        <w:rPr>
          <w:rStyle w:val="FootnoteReference"/>
        </w:rPr>
        <w:footnoteRef/>
      </w:r>
      <w:r>
        <w:t xml:space="preserve"> Transliterated proper noun: Naasson. Standard English equivalent: Nahshon. Source form: Naasson. Greek form: ναασσων. Name meaning: that foretells; that conjectures.</w:t>
      </w:r>
    </w:p>
  </w:footnote>
  <w:footnote w:id="14144">
    <w:p>
      <w:pPr>
        <w:pStyle w:val="FootnoteText"/>
      </w:pPr>
      <w:r>
        <w:rPr>
          <w:rStyle w:val="FootnoteReference"/>
        </w:rPr>
        <w:footnoteRef/>
      </w:r>
      <w:r>
        <w:t xml:space="preserve"> Personal name: Salmon. Personal-name meaning: Salmon — peaceable; perfect; he that rewards. Source form: Salmon.</w:t>
      </w:r>
    </w:p>
  </w:footnote>
  <w:footnote w:id="14145">
    <w:p>
      <w:pPr>
        <w:pStyle w:val="FootnoteText"/>
      </w:pPr>
      <w:r>
        <w:rPr>
          <w:rStyle w:val="FootnoteReference"/>
        </w:rPr>
        <w:footnoteRef/>
      </w:r>
      <w:r>
        <w:t xml:space="preserve"> Cross-references for "Salmon": Ruth 4:21; 1Chr 2:11-12.</w:t>
      </w:r>
    </w:p>
  </w:footnote>
  <w:footnote w:id="14146">
    <w:p>
      <w:pPr>
        <w:pStyle w:val="FootnoteText"/>
      </w:pPr>
      <w:r>
        <w:rPr>
          <w:rStyle w:val="FootnoteReference"/>
        </w:rPr>
        <w:footnoteRef/>
      </w:r>
      <w:r>
        <w:t xml:space="preserve"> Transliterated proper noun: Booz. Standard English equivalent: Boaz. Source form: Booz. Greek form: βοοζ. Name meaning: In strength; swiftness.</w:t>
      </w:r>
    </w:p>
  </w:footnote>
  <w:footnote w:id="14147">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14148">
    <w:p>
      <w:pPr>
        <w:pStyle w:val="FootnoteText"/>
      </w:pPr>
      <w:r>
        <w:rPr>
          <w:rStyle w:val="FootnoteReference"/>
        </w:rPr>
        <w:footnoteRef/>
      </w:r>
      <w:r>
        <w:t xml:space="preserve"> Personal name: Obed. Personal-name meaning: Obed — a servant; workman. Source form: Obed.</w:t>
      </w:r>
    </w:p>
  </w:footnote>
  <w:footnote w:id="14149">
    <w:p>
      <w:pPr>
        <w:pStyle w:val="FootnoteText"/>
      </w:pPr>
      <w:r>
        <w:rPr>
          <w:rStyle w:val="FootnoteReference"/>
        </w:rPr>
        <w:footnoteRef/>
      </w:r>
      <w:r>
        <w:t xml:space="preserve"> Personal name: Ruth. Personal-name meaning: Ruth — Friend; companion. Source form: Ruth.</w:t>
      </w:r>
    </w:p>
  </w:footnote>
  <w:footnote w:id="14150">
    <w:p>
      <w:pPr>
        <w:pStyle w:val="FootnoteText"/>
      </w:pPr>
      <w:r>
        <w:rPr>
          <w:rStyle w:val="FootnoteReference"/>
        </w:rPr>
        <w:footnoteRef/>
      </w:r>
      <w:r>
        <w:t xml:space="preserve"> Personal name: Jesse. Personal-name meaning: Jesse — gift; oblation; one who is. Source form: Jesse.</w:t>
      </w:r>
    </w:p>
  </w:footnote>
  <w:footnote w:id="14151">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14152">
    <w:p>
      <w:pPr>
        <w:pStyle w:val="FootnoteText"/>
      </w:pPr>
      <w:r>
        <w:rPr>
          <w:rStyle w:val="FootnoteReference"/>
        </w:rPr>
        <w:footnoteRef/>
      </w:r>
      <w:r>
        <w:t xml:space="preserve"> Cross-references for "Jesse": Ruth 4:22; 1Sam 16:1.</w:t>
      </w:r>
    </w:p>
  </w:footnote>
  <w:footnote w:id="14153">
    <w:p>
      <w:pPr>
        <w:pStyle w:val="FootnoteText"/>
      </w:pPr>
      <w:r>
        <w:rPr>
          <w:rStyle w:val="FootnoteReference"/>
        </w:rPr>
        <w:footnoteRef/>
      </w:r>
      <w:r>
        <w:t xml:space="preserve"> Personal name: Solomon. Personal-name meaning: Solomon — Peaceable; peaceful. Source form: Solomon.</w:t>
      </w:r>
    </w:p>
  </w:footnote>
  <w:footnote w:id="14154">
    <w:p>
      <w:pPr>
        <w:pStyle w:val="FootnoteText"/>
      </w:pPr>
      <w:r>
        <w:rPr>
          <w:rStyle w:val="FootnoteReference"/>
        </w:rPr>
        <w:footnoteRef/>
      </w:r>
      <w:r>
        <w:t xml:space="preserve"> Transliterated proper noun: Urias. Standard English equivalent: Uriah. Source form: Urias. Greek form: ουριου. Name meaning: the Lord is my light or fire.</w:t>
      </w:r>
    </w:p>
  </w:footnote>
  <w:footnote w:id="14155">
    <w:p>
      <w:pPr>
        <w:pStyle w:val="FootnoteText"/>
      </w:pPr>
      <w:r>
        <w:rPr>
          <w:rStyle w:val="FootnoteReference"/>
        </w:rPr>
        <w:footnoteRef/>
      </w:r>
      <w:r>
        <w:t xml:space="preserve"> Transliterated proper noun: Roboam. Standard English equivalent: Rehoboam. Source form: Roboam. Greek form: ροβοαμ. Name meaning: The people are enlarged.</w:t>
      </w:r>
    </w:p>
  </w:footnote>
  <w:footnote w:id="14156">
    <w:p>
      <w:pPr>
        <w:pStyle w:val="FootnoteText"/>
      </w:pPr>
      <w:r>
        <w:rPr>
          <w:rStyle w:val="FootnoteReference"/>
        </w:rPr>
        <w:footnoteRef/>
      </w:r>
      <w:r>
        <w:t xml:space="preserve"> Transliterated proper noun: Abia. Standard English equivalent: Abijah. Source form: Abia. Greek form: αβια. Name meaning: the Lord is my father.</w:t>
      </w:r>
    </w:p>
  </w:footnote>
  <w:footnote w:id="14157">
    <w:p>
      <w:pPr>
        <w:pStyle w:val="FootnoteText"/>
      </w:pPr>
      <w:r>
        <w:rPr>
          <w:rStyle w:val="FootnoteReference"/>
        </w:rPr>
        <w:footnoteRef/>
      </w:r>
      <w:r>
        <w:t xml:space="preserve"> Personal name: Asa. Personal-name meaning: Asa — Healer; physician. Source form: Asa.</w:t>
      </w:r>
    </w:p>
  </w:footnote>
  <w:footnote w:id="14158">
    <w:p>
      <w:pPr>
        <w:pStyle w:val="FootnoteText"/>
      </w:pPr>
      <w:r>
        <w:rPr>
          <w:rStyle w:val="FootnoteReference"/>
        </w:rPr>
        <w:footnoteRef/>
      </w:r>
      <w:r>
        <w:t xml:space="preserve"> Transliterated proper noun: Josaphat. Standard English equivalent: Jehoshaphat. Source form: Josaphat. Greek form: ιωσαφατ. Name meaning: the Lord is judge.</w:t>
      </w:r>
    </w:p>
  </w:footnote>
  <w:footnote w:id="14159">
    <w:p>
      <w:pPr>
        <w:pStyle w:val="FootnoteText"/>
      </w:pPr>
      <w:r>
        <w:rPr>
          <w:rStyle w:val="FootnoteReference"/>
        </w:rPr>
        <w:footnoteRef/>
      </w:r>
      <w:r>
        <w:t xml:space="preserve"> Personal name: Joram. Personal-name meaning: Joram — to cast; elevated. Source form: Joram.</w:t>
      </w:r>
    </w:p>
  </w:footnote>
  <w:footnote w:id="14160">
    <w:p>
      <w:pPr>
        <w:pStyle w:val="FootnoteText"/>
      </w:pPr>
      <w:r>
        <w:rPr>
          <w:rStyle w:val="FootnoteReference"/>
        </w:rPr>
        <w:footnoteRef/>
      </w:r>
      <w:r>
        <w:t xml:space="preserve"> Transliterated proper noun: Ozias. Standard English equivalent: Uzziah. Source form: Ozias. Greek form: οζιαν. Name meaning: the strength, or kid, of the Lord.</w:t>
      </w:r>
    </w:p>
  </w:footnote>
  <w:footnote w:id="14161">
    <w:p>
      <w:pPr>
        <w:pStyle w:val="FootnoteText"/>
      </w:pPr>
      <w:r>
        <w:rPr>
          <w:rStyle w:val="FootnoteReference"/>
        </w:rPr>
        <w:footnoteRef/>
      </w:r>
      <w:r>
        <w:t xml:space="preserve"> Cross-references for "Joram": 1Kgs 22:50; 2Kgs 8:16.</w:t>
      </w:r>
    </w:p>
  </w:footnote>
  <w:footnote w:id="14162">
    <w:p>
      <w:pPr>
        <w:pStyle w:val="FootnoteText"/>
      </w:pPr>
      <w:r>
        <w:rPr>
          <w:rStyle w:val="FootnoteReference"/>
        </w:rPr>
        <w:footnoteRef/>
      </w:r>
      <w:r>
        <w:t xml:space="preserve"> Transliterated proper noun: Joatham. Standard English equivalent: Jotham. Source form: Joatham. Greek form: ιωαθαμ. Name meaning: the perfection of the Lord.</w:t>
      </w:r>
    </w:p>
  </w:footnote>
  <w:footnote w:id="14163">
    <w:p>
      <w:pPr>
        <w:pStyle w:val="FootnoteText"/>
      </w:pPr>
      <w:r>
        <w:rPr>
          <w:rStyle w:val="FootnoteReference"/>
        </w:rPr>
        <w:footnoteRef/>
      </w:r>
      <w:r>
        <w:t xml:space="preserve"> Transliterated proper noun: Achaz. Standard English equivalent: Ahaz. Source form: Achaz. Greek form: αχαζ. Name meaning: one that takes or possesses.</w:t>
      </w:r>
    </w:p>
  </w:footnote>
  <w:footnote w:id="14164">
    <w:p>
      <w:pPr>
        <w:pStyle w:val="FootnoteText"/>
      </w:pPr>
      <w:r>
        <w:rPr>
          <w:rStyle w:val="FootnoteReference"/>
        </w:rPr>
        <w:footnoteRef/>
      </w:r>
      <w:r>
        <w:t xml:space="preserve"> Transliterated proper noun: Ezekias. Standard English equivalent: Hezekiah. Source form: Ezekias. Greek form: εζεκιαν. Name meaning: Yahweh strengthens.</w:t>
      </w:r>
    </w:p>
  </w:footnote>
  <w:footnote w:id="14165">
    <w:p>
      <w:pPr>
        <w:pStyle w:val="FootnoteText"/>
      </w:pPr>
      <w:r>
        <w:rPr>
          <w:rStyle w:val="FootnoteReference"/>
        </w:rPr>
        <w:footnoteRef/>
      </w:r>
      <w:r>
        <w:t xml:space="preserve"> Transliterated proper noun: Manasseh. Standard English equivalent: Manasses. Source form: Manasseh. Greek form: μανασση. Name meaning: Causing to forget.</w:t>
      </w:r>
    </w:p>
  </w:footnote>
  <w:footnote w:id="14166">
    <w:p>
      <w:pPr>
        <w:pStyle w:val="FootnoteText"/>
      </w:pPr>
      <w:r>
        <w:rPr>
          <w:rStyle w:val="FootnoteReference"/>
        </w:rPr>
        <w:footnoteRef/>
      </w:r>
      <w:r>
        <w:t xml:space="preserve"> Divine or supernatural name: Amon. Divine/supernatural-name meaning: Amon — faithful; true. Source form: Amon.</w:t>
      </w:r>
    </w:p>
  </w:footnote>
  <w:footnote w:id="14167">
    <w:p>
      <w:pPr>
        <w:pStyle w:val="FootnoteText"/>
      </w:pPr>
      <w:r>
        <w:rPr>
          <w:rStyle w:val="FootnoteReference"/>
        </w:rPr>
        <w:footnoteRef/>
      </w:r>
      <w:r>
        <w:t xml:space="preserve"> Transliterated proper noun: Josias. Standard English equivalent: Josiah. Source form: Josias. Greek form: ιωσιαν. Name meaning: Yahweh supports; Yahweh heals.</w:t>
      </w:r>
    </w:p>
  </w:footnote>
  <w:footnote w:id="14168">
    <w:p>
      <w:pPr>
        <w:pStyle w:val="FootnoteText"/>
      </w:pPr>
      <w:r>
        <w:rPr>
          <w:rStyle w:val="FootnoteReference"/>
        </w:rPr>
        <w:footnoteRef/>
      </w:r>
      <w:r>
        <w:t xml:space="preserve"> Transliterated proper noun: Manasses. Standard English equivalent: Manasseh. Source form: Manasses. Greek form: μανασσης. Name meaning: Causing to forget.</w:t>
      </w:r>
    </w:p>
  </w:footnote>
  <w:footnote w:id="14169">
    <w:p>
      <w:pPr>
        <w:pStyle w:val="FootnoteText"/>
      </w:pPr>
      <w:r>
        <w:rPr>
          <w:rStyle w:val="FootnoteReference"/>
        </w:rPr>
        <w:footnoteRef/>
      </w:r>
      <w:r>
        <w:t xml:space="preserve"> Cross-references for "Amon": 2Kgs 21:19-26; 2Chr 33:20-24.</w:t>
      </w:r>
    </w:p>
  </w:footnote>
  <w:footnote w:id="14170">
    <w:p>
      <w:pPr>
        <w:pStyle w:val="FootnoteText"/>
      </w:pPr>
      <w:r>
        <w:rPr>
          <w:rStyle w:val="FootnoteReference"/>
        </w:rPr>
        <w:footnoteRef/>
      </w:r>
      <w:r>
        <w:t xml:space="preserve"> Transliterated proper noun: Jechonias. Standard English equivalent: Jeconiah. Source form: Jechonias. Greek form: ιεχονιαν. Name meaning: preparation, or stability, of the Lord.</w:t>
      </w:r>
    </w:p>
  </w:footnote>
  <w:footnote w:id="14171">
    <w:p>
      <w:pPr>
        <w:pStyle w:val="FootnoteText"/>
      </w:pPr>
      <w:r>
        <w:rPr>
          <w:rStyle w:val="FootnoteReference"/>
        </w:rPr>
        <w:footnoteRef/>
      </w:r>
      <w:r>
        <w:t xml:space="preserve"> Place name: Babylon. Place-name meaning: Babylon — confusion; mixture. Source form: Babylon. Greek form: βαβυλωνος.</w:t>
      </w:r>
    </w:p>
  </w:footnote>
  <w:footnote w:id="14172">
    <w:p>
      <w:pPr>
        <w:pStyle w:val="FootnoteText"/>
      </w:pPr>
      <w:r>
        <w:rPr>
          <w:rStyle w:val="FootnoteReference"/>
        </w:rPr>
        <w:footnoteRef/>
      </w:r>
      <w:r>
        <w:t xml:space="preserve"> Transliterated proper noun: Salathiel. Standard English equivalent: Shealtiel. Source form: Salathiel. Greek form: σαλαθιηλ. Name meaning: asked or lent of God.</w:t>
      </w:r>
    </w:p>
  </w:footnote>
  <w:footnote w:id="14173">
    <w:p>
      <w:pPr>
        <w:pStyle w:val="FootnoteText"/>
      </w:pPr>
      <w:r>
        <w:rPr>
          <w:rStyle w:val="FootnoteReference"/>
        </w:rPr>
        <w:footnoteRef/>
      </w:r>
      <w:r>
        <w:t xml:space="preserve"> Transliterated proper noun: Zorobabel. Standard English equivalent: Zerubbabel. Source form: Zorobabel. Greek form: ζοροβαβελ. Name meaning: a stranger at Babylon; dispersion of confusion.</w:t>
      </w:r>
    </w:p>
  </w:footnote>
  <w:footnote w:id="14174">
    <w:p>
      <w:pPr>
        <w:pStyle w:val="FootnoteText"/>
      </w:pPr>
      <w:r>
        <w:rPr>
          <w:rStyle w:val="FootnoteReference"/>
        </w:rPr>
        <w:footnoteRef/>
      </w:r>
      <w:r>
        <w:t xml:space="preserve"> Transliterated proper noun: Abiud. Standard English equivalent: Abiud. Source form: Abiud. Greek form: αβιουδ. Name meaning: father of praise.</w:t>
      </w:r>
    </w:p>
  </w:footnote>
  <w:footnote w:id="14175">
    <w:p>
      <w:pPr>
        <w:pStyle w:val="FootnoteText"/>
      </w:pPr>
      <w:r>
        <w:rPr>
          <w:rStyle w:val="FootnoteReference"/>
        </w:rPr>
        <w:footnoteRef/>
      </w:r>
      <w:r>
        <w:t xml:space="preserve"> Personal name: Eliakim. Personal-name meaning: Eliakim — resurrection of God. Source form: Eliakim.</w:t>
      </w:r>
    </w:p>
  </w:footnote>
  <w:footnote w:id="14176">
    <w:p>
      <w:pPr>
        <w:pStyle w:val="FootnoteText"/>
      </w:pPr>
      <w:r>
        <w:rPr>
          <w:rStyle w:val="FootnoteReference"/>
        </w:rPr>
        <w:footnoteRef/>
      </w:r>
      <w:r>
        <w:t xml:space="preserve"> Personal name: Azor. Personal-name meaning: Azor — a helper; a court. Source form: Azor.</w:t>
      </w:r>
    </w:p>
  </w:footnote>
  <w:footnote w:id="14177">
    <w:p>
      <w:pPr>
        <w:pStyle w:val="FootnoteText"/>
      </w:pPr>
      <w:r>
        <w:rPr>
          <w:rStyle w:val="FootnoteReference"/>
        </w:rPr>
        <w:footnoteRef/>
      </w:r>
      <w:r>
        <w:t xml:space="preserve"> Transliterated proper noun: Sadoc. Standard English equivalent: Sadoc. Source form: Sadoc. Greek form: σαδωκ. Name meaning: just; righteous.</w:t>
      </w:r>
    </w:p>
  </w:footnote>
  <w:footnote w:id="14178">
    <w:p>
      <w:pPr>
        <w:pStyle w:val="FootnoteText"/>
      </w:pPr>
      <w:r>
        <w:rPr>
          <w:rStyle w:val="FootnoteReference"/>
        </w:rPr>
        <w:footnoteRef/>
      </w:r>
      <w:r>
        <w:t xml:space="preserve"> Personal name: Achim. Personal-name meaning: Achim — preparing; revenging; confirming. Source form: Achim.</w:t>
      </w:r>
    </w:p>
  </w:footnote>
  <w:footnote w:id="14179">
    <w:p>
      <w:pPr>
        <w:pStyle w:val="FootnoteText"/>
      </w:pPr>
      <w:r>
        <w:rPr>
          <w:rStyle w:val="FootnoteReference"/>
        </w:rPr>
        <w:footnoteRef/>
      </w:r>
      <w:r>
        <w:t xml:space="preserve"> Transliterated proper noun: Eliud. Standard English equivalent: Eliud. Source form: Eliud. Greek form: ελιουδ. Name meaning: God is my praise.</w:t>
      </w:r>
    </w:p>
  </w:footnote>
  <w:footnote w:id="14180">
    <w:p>
      <w:pPr>
        <w:pStyle w:val="FootnoteText"/>
      </w:pPr>
      <w:r>
        <w:rPr>
          <w:rStyle w:val="FootnoteReference"/>
        </w:rPr>
        <w:footnoteRef/>
      </w:r>
      <w:r>
        <w:t xml:space="preserve"> Personal name: Eleazar. Personal-name meaning: Eleazar — help of God, court of God. Source form: Eleazar.</w:t>
      </w:r>
    </w:p>
  </w:footnote>
  <w:footnote w:id="14181">
    <w:p>
      <w:pPr>
        <w:pStyle w:val="FootnoteText"/>
      </w:pPr>
      <w:r>
        <w:rPr>
          <w:rStyle w:val="FootnoteReference"/>
        </w:rPr>
        <w:footnoteRef/>
      </w:r>
      <w:r>
        <w:t xml:space="preserve"> Personal name: Matthan. Personal-name meaning: Matthan — gifts; rains. Source form: Matthan.</w:t>
      </w:r>
    </w:p>
  </w:footnote>
  <w:footnote w:id="14182">
    <w:p>
      <w:pPr>
        <w:pStyle w:val="FootnoteText"/>
      </w:pPr>
      <w:r>
        <w:rPr>
          <w:rStyle w:val="FootnoteReference"/>
        </w:rPr>
        <w:footnoteRef/>
      </w:r>
      <w:r>
        <w:t xml:space="preserve"> Personal name: Joseph. Personal-name meaning: Joseph — He adds; may He add. Source form: Joseph.</w:t>
      </w:r>
    </w:p>
  </w:footnote>
  <w:footnote w:id="14183">
    <w:p>
      <w:pPr>
        <w:pStyle w:val="FootnoteText"/>
      </w:pPr>
      <w:r>
        <w:rPr>
          <w:rStyle w:val="FootnoteReference"/>
        </w:rPr>
        <w:footnoteRef/>
      </w:r>
      <w:r>
        <w:t xml:space="preserve"> Name meaning: Mary (Miryam) — Bitter; beloved; exalted one. Mother of Jesus; experienced bitterness yet exaltation.</w:t>
      </w:r>
    </w:p>
  </w:footnote>
  <w:footnote w:id="14184">
    <w:p>
      <w:pPr>
        <w:pStyle w:val="FootnoteText"/>
      </w:pPr>
      <w:r>
        <w:rPr>
          <w:rStyle w:val="FootnoteReference"/>
        </w:rPr>
        <w:footnoteRef/>
      </w:r>
      <w:r>
        <w:t xml:space="preserve"> Name meaning: Joseph (NT) (Yosef) — He adds. God added protection and provision for the holy family.</w:t>
      </w:r>
    </w:p>
  </w:footnote>
  <w:footnote w:id="14185">
    <w:p>
      <w:pPr>
        <w:pStyle w:val="FootnoteText"/>
      </w:pPr>
      <w:r>
        <w:rPr>
          <w:rStyle w:val="FootnoteReference"/>
        </w:rPr>
        <w:footnoteRef/>
      </w:r>
      <w:r>
        <w:t xml:space="preserve"> Cross-references for "Joseph": Matt 1:18-25; Matt 2:13.</w:t>
      </w:r>
    </w:p>
  </w:footnote>
  <w:footnote w:id="14186">
    <w:p>
      <w:pPr>
        <w:pStyle w:val="FootnoteText"/>
      </w:pPr>
      <w:r>
        <w:rPr>
          <w:rStyle w:val="FootnoteReference"/>
        </w:rPr>
        <w:footnoteRef/>
      </w:r>
      <w:r>
        <w:t xml:space="preserve"> Cross-references for "the birth": Luke 1:27-38.</w:t>
      </w:r>
    </w:p>
  </w:footnote>
  <w:footnote w:id="14187">
    <w:p>
      <w:pPr>
        <w:pStyle w:val="FootnoteText"/>
      </w:pPr>
      <w:r>
        <w:rPr>
          <w:rStyle w:val="FootnoteReference"/>
        </w:rPr>
        <w:footnoteRef/>
      </w:r>
      <w:r>
        <w:t xml:space="preserve"> Cross-references for "her husband": Lev 19:20; Deut 22:23-24.</w:t>
      </w:r>
    </w:p>
  </w:footnote>
  <w:footnote w:id="14188">
    <w:p>
      <w:pPr>
        <w:pStyle w:val="FootnoteText"/>
      </w:pPr>
      <w:r>
        <w:rPr>
          <w:rStyle w:val="FootnoteReference"/>
        </w:rPr>
        <w:footnoteRef/>
      </w:r>
      <w:r>
        <w:t xml:space="preserve"> Cross-references for "the angel": Judg 13:3; Judg 13:8-9.</w:t>
      </w:r>
    </w:p>
  </w:footnote>
  <w:footnote w:id="14189">
    <w:p>
      <w:pPr>
        <w:pStyle w:val="FootnoteText"/>
      </w:pPr>
      <w:r>
        <w:rPr>
          <w:rStyle w:val="FootnoteReference"/>
        </w:rPr>
        <w:footnoteRef/>
      </w:r>
      <w:r>
        <w:t xml:space="preserve"> Greek divine name/title: Kyrios (κύριος) — Lord. Common English rendering: Lord. In the New Testament this title is used both for the Lord God and, in a full divine sense, for Jesus.</w:t>
      </w:r>
    </w:p>
  </w:footnote>
  <w:footnote w:id="1419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191">
    <w:p>
      <w:pPr>
        <w:pStyle w:val="FootnoteText"/>
      </w:pPr>
      <w:r>
        <w:rPr>
          <w:rStyle w:val="FootnoteReference"/>
        </w:rPr>
        <w:footnoteRef/>
      </w:r>
      <w:r>
        <w:t xml:space="preserve"> Name meaning: Jesus (Yeshua) — Yahweh saves. He will save His people from their sins.</w:t>
      </w:r>
    </w:p>
  </w:footnote>
  <w:footnote w:id="14192">
    <w:p>
      <w:pPr>
        <w:pStyle w:val="FootnoteText"/>
      </w:pPr>
      <w:r>
        <w:rPr>
          <w:rStyle w:val="FootnoteReference"/>
        </w:rPr>
        <w:footnoteRef/>
      </w:r>
      <w:r>
        <w:t xml:space="preserve"> Cross-references for "a virgin": Isa 7:14.</w:t>
      </w:r>
    </w:p>
  </w:footnote>
  <w:footnote w:id="14193">
    <w:p>
      <w:pPr>
        <w:pStyle w:val="FootnoteText"/>
      </w:pPr>
      <w:r>
        <w:rPr>
          <w:rStyle w:val="FootnoteReference"/>
        </w:rPr>
        <w:footnoteRef/>
      </w:r>
      <w:r>
        <w:t xml:space="preserve"> Translation note: The main text standardizes this name as Immanuel to match Isaiah 7:14 in this edition. The Greek form is Emmanouel, traditionally rendered Emmanuel in many NT English witnesses.</w:t>
      </w:r>
    </w:p>
  </w:footnote>
  <w:footnote w:id="14194">
    <w:p>
      <w:pPr>
        <w:pStyle w:val="FootnoteText"/>
      </w:pPr>
      <w:r>
        <w:rPr>
          <w:rStyle w:val="FootnoteReference"/>
        </w:rPr>
        <w:footnoteRef/>
      </w:r>
      <w:r>
        <w:t xml:space="preserve"> Greek divine name/title: Theos (θεός) — God. Common English rendering: God. The standard Greek New Testament word for God, corresponding broadly to Hebrew Elohim.</w:t>
      </w:r>
    </w:p>
  </w:footnote>
  <w:footnote w:id="14195">
    <w:p>
      <w:pPr>
        <w:pStyle w:val="FootnoteText"/>
      </w:pPr>
      <w:r>
        <w:rPr>
          <w:rStyle w:val="FootnoteReference"/>
        </w:rPr>
        <w:footnoteRef/>
      </w:r>
      <w:r>
        <w:t xml:space="preserve"> Personal name: Immanuel. Personal-name meaning: Immanuel — God with us. Source form: Immanuel.</w:t>
      </w:r>
    </w:p>
  </w:footnote>
  <w:footnote w:id="14196">
    <w:p>
      <w:pPr>
        <w:pStyle w:val="FootnoteText"/>
      </w:pPr>
      <w:r>
        <w:rPr>
          <w:rStyle w:val="FootnoteReference"/>
        </w:rPr>
        <w:footnoteRef/>
      </w:r>
      <w:r>
        <w:t xml:space="preserve"> Cross-references for "Jesus": Matt 1:25; Luke 2:4-7.</w:t>
      </w:r>
    </w:p>
  </w:footnote>
  <w:footnote w:id="14197">
    <w:p>
      <w:pPr>
        <w:pStyle w:val="FootnoteText"/>
      </w:pPr>
      <w:r>
        <w:rPr>
          <w:rStyle w:val="FootnoteReference"/>
        </w:rPr>
        <w:footnoteRef/>
      </w:r>
      <w:r>
        <w:t xml:space="preserve"> Place name: Bethlehem. Place-name meaning: Bethlehem — house of bread. Source form: Bethlehem. Greek form: βηθλεεμ.</w:t>
      </w:r>
    </w:p>
  </w:footnote>
  <w:footnote w:id="1419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4199">
    <w:p>
      <w:pPr>
        <w:pStyle w:val="FootnoteText"/>
      </w:pPr>
      <w:r>
        <w:rPr>
          <w:rStyle w:val="FootnoteReference"/>
        </w:rPr>
        <w:footnoteRef/>
      </w:r>
      <w:r>
        <w:t xml:space="preserve"> Name meaning: Herod (Herodes) — Heroic; son of a hero. Name borne by multiple rulers who opposed God’s plan.</w:t>
      </w:r>
    </w:p>
  </w:footnote>
  <w:footnote w:id="14200">
    <w:p>
      <w:pPr>
        <w:pStyle w:val="FootnoteText"/>
      </w:pPr>
      <w:r>
        <w:rPr>
          <w:rStyle w:val="FootnoteReference"/>
        </w:rPr>
        <w:footnoteRef/>
      </w:r>
      <w:r>
        <w:t xml:space="preserve"> People-name: Magi. People-name meaning: Magi — wise men; learned astrologer-priests. Source form: Magi.</w:t>
      </w:r>
    </w:p>
  </w:footnote>
  <w:footnote w:id="14201">
    <w:p>
      <w:pPr>
        <w:pStyle w:val="FootnoteText"/>
      </w:pPr>
      <w:r>
        <w:rPr>
          <w:rStyle w:val="FootnoteReference"/>
        </w:rPr>
        <w:footnoteRef/>
      </w:r>
      <w:r>
        <w:t xml:space="preserve"> Place name: Jerusalem. Place-name meaning: Jerusalem — vision of peace. Source form: Jerusalem. Greek form: ιεροσολυμα.</w:t>
      </w:r>
    </w:p>
  </w:footnote>
  <w:footnote w:id="14202">
    <w:p>
      <w:pPr>
        <w:pStyle w:val="FootnoteText"/>
      </w:pPr>
      <w:r>
        <w:rPr>
          <w:rStyle w:val="FootnoteReference"/>
        </w:rPr>
        <w:footnoteRef/>
      </w:r>
      <w:r>
        <w:t xml:space="preserve"> Cross-references for "born": Ps 2:6; Isa 9:6-7.</w:t>
      </w:r>
    </w:p>
  </w:footnote>
  <w:footnote w:id="14203">
    <w:p>
      <w:pPr>
        <w:pStyle w:val="FootnoteText"/>
      </w:pPr>
      <w:r>
        <w:rPr>
          <w:rStyle w:val="FootnoteReference"/>
        </w:rPr>
        <w:footnoteRef/>
      </w:r>
      <w:r>
        <w:t xml:space="preserve"> People-name: Jews. People-name meaning: Jews — People of Judah; Judeans. Source form: Jews.</w:t>
      </w:r>
    </w:p>
  </w:footnote>
  <w:footnote w:id="14204">
    <w:p>
      <w:pPr>
        <w:pStyle w:val="FootnoteText"/>
      </w:pPr>
      <w:r>
        <w:rPr>
          <w:rStyle w:val="FootnoteReference"/>
        </w:rPr>
        <w:footnoteRef/>
      </w:r>
      <w:r>
        <w:t xml:space="preserve"> Cross-references for "the chief": 1Chr 24:4-19; 2Chr 36:14.</w:t>
      </w:r>
    </w:p>
  </w:footnote>
  <w:footnote w:id="14205">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4206">
    <w:p>
      <w:pPr>
        <w:pStyle w:val="FootnoteText"/>
      </w:pPr>
      <w:r>
        <w:rPr>
          <w:rStyle w:val="FootnoteReference"/>
        </w:rPr>
        <w:footnoteRef/>
      </w:r>
      <w:r>
        <w:t xml:space="preserve"> Cross-references for "a Governor": Gen 49:10; Num 24:19.</w:t>
      </w:r>
    </w:p>
  </w:footnote>
  <w:footnote w:id="14207">
    <w:p>
      <w:pPr>
        <w:pStyle w:val="FootnoteText"/>
      </w:pPr>
      <w:r>
        <w:rPr>
          <w:rStyle w:val="FootnoteReference"/>
        </w:rPr>
        <w:footnoteRef/>
      </w:r>
      <w:r>
        <w:t xml:space="preserve"> Place name: Israel. Place-name meaning: Israel — God contends; strives with God. Source form: Israel. Greek form: ισραηλ.</w:t>
      </w:r>
    </w:p>
  </w:footnote>
  <w:footnote w:id="14208">
    <w:p>
      <w:pPr>
        <w:pStyle w:val="FootnoteText"/>
      </w:pPr>
      <w:r>
        <w:rPr>
          <w:rStyle w:val="FootnoteReference"/>
        </w:rPr>
        <w:footnoteRef/>
      </w:r>
      <w:r>
        <w:t xml:space="preserve"> Translation note: Greek magous is the plural of magos. The draft uses Magi rather than wise men so the specific loanword remains visible.</w:t>
      </w:r>
    </w:p>
  </w:footnote>
  <w:footnote w:id="14209">
    <w:p>
      <w:pPr>
        <w:pStyle w:val="FootnoteText"/>
      </w:pPr>
      <w:r>
        <w:rPr>
          <w:rStyle w:val="FootnoteReference"/>
        </w:rPr>
        <w:footnoteRef/>
      </w:r>
      <w:r>
        <w:t xml:space="preserve"> Cross-references for "the star": Ps 25:12; Prov 2:1-6.</w:t>
      </w:r>
    </w:p>
  </w:footnote>
  <w:footnote w:id="14210">
    <w:p>
      <w:pPr>
        <w:pStyle w:val="FootnoteText"/>
      </w:pPr>
      <w:r>
        <w:rPr>
          <w:rStyle w:val="FootnoteReference"/>
        </w:rPr>
        <w:footnoteRef/>
      </w:r>
      <w:r>
        <w:t xml:space="preserve"> Cross-references for "they rejoiced": Deut 32:13; Ps 67:4.</w:t>
      </w:r>
    </w:p>
  </w:footnote>
  <w:footnote w:id="14211">
    <w:p>
      <w:pPr>
        <w:pStyle w:val="FootnoteText"/>
      </w:pPr>
      <w:r>
        <w:rPr>
          <w:rStyle w:val="FootnoteReference"/>
        </w:rPr>
        <w:footnoteRef/>
      </w:r>
      <w:r>
        <w:t xml:space="preserve"> Cross-references for "they saw": Luke 2:16; Luke 2:26-32.</w:t>
      </w:r>
    </w:p>
  </w:footnote>
  <w:footnote w:id="14212">
    <w:p>
      <w:pPr>
        <w:pStyle w:val="FootnoteText"/>
      </w:pPr>
      <w:r>
        <w:rPr>
          <w:rStyle w:val="FootnoteReference"/>
        </w:rPr>
        <w:footnoteRef/>
      </w:r>
      <w:r>
        <w:t xml:space="preserve"> Cross-references for "warned": Gen 20:6-7; Gen 31:24.</w:t>
      </w:r>
    </w:p>
  </w:footnote>
  <w:footnote w:id="14213">
    <w:p>
      <w:pPr>
        <w:pStyle w:val="FootnoteText"/>
      </w:pPr>
      <w:r>
        <w:rPr>
          <w:rStyle w:val="FootnoteReference"/>
        </w:rPr>
        <w:footnoteRef/>
      </w:r>
      <w:r>
        <w:t xml:space="preserve"> Cross-references for "the angel": Matt 1:20; Matt 2:19.</w:t>
      </w:r>
    </w:p>
  </w:footnote>
  <w:footnote w:id="14214">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4215">
    <w:p>
      <w:pPr>
        <w:pStyle w:val="FootnoteText"/>
      </w:pPr>
      <w:r>
        <w:rPr>
          <w:rStyle w:val="FootnoteReference"/>
        </w:rPr>
        <w:footnoteRef/>
      </w:r>
      <w:r>
        <w:t xml:space="preserve"> Personal name: Jeremiah. Personal-name meaning: Jeremiah — Yahweh exalts; Yahweh throws. Source form: Jeremiah.</w:t>
      </w:r>
    </w:p>
  </w:footnote>
  <w:footnote w:id="14216">
    <w:p>
      <w:pPr>
        <w:pStyle w:val="FootnoteText"/>
      </w:pPr>
      <w:r>
        <w:rPr>
          <w:rStyle w:val="FootnoteReference"/>
        </w:rPr>
        <w:footnoteRef/>
      </w:r>
      <w:r>
        <w:t xml:space="preserve"> Place name: Ramah. Place-name meaning: Rama — height; exalted place. Standard English equivalent: Rama. Source form: Ramah. Greek form: ραμα.</w:t>
      </w:r>
    </w:p>
  </w:footnote>
  <w:footnote w:id="14217">
    <w:p>
      <w:pPr>
        <w:pStyle w:val="FootnoteText"/>
      </w:pPr>
      <w:r>
        <w:rPr>
          <w:rStyle w:val="FootnoteReference"/>
        </w:rPr>
        <w:footnoteRef/>
      </w:r>
      <w:r>
        <w:t xml:space="preserve"> Cross-references for "lamentation": Jer 4:31; Jer 9:17-21.</w:t>
      </w:r>
    </w:p>
  </w:footnote>
  <w:footnote w:id="14218">
    <w:p>
      <w:pPr>
        <w:pStyle w:val="FootnoteText"/>
      </w:pPr>
      <w:r>
        <w:rPr>
          <w:rStyle w:val="FootnoteReference"/>
        </w:rPr>
        <w:footnoteRef/>
      </w:r>
      <w:r>
        <w:t xml:space="preserve"> Personal name: Rachel. Personal-name meaning: Rachel — Ewe; female sheep. Source form: Rachel.</w:t>
      </w:r>
    </w:p>
  </w:footnote>
  <w:footnote w:id="14219">
    <w:p>
      <w:pPr>
        <w:pStyle w:val="FootnoteText"/>
      </w:pPr>
      <w:r>
        <w:rPr>
          <w:rStyle w:val="FootnoteReference"/>
        </w:rPr>
        <w:footnoteRef/>
      </w:r>
      <w:r>
        <w:t xml:space="preserve"> Cross-references for "Herod": Ps 76:10; Isa 51:12.</w:t>
      </w:r>
    </w:p>
  </w:footnote>
  <w:footnote w:id="14220">
    <w:p>
      <w:pPr>
        <w:pStyle w:val="FootnoteText"/>
      </w:pPr>
      <w:r>
        <w:rPr>
          <w:rStyle w:val="FootnoteReference"/>
        </w:rPr>
        <w:footnoteRef/>
      </w:r>
      <w:r>
        <w:t xml:space="preserve"> Cross-references for "Arise": Prov 3:5-6; Matt 2:13.</w:t>
      </w:r>
    </w:p>
  </w:footnote>
  <w:footnote w:id="14221">
    <w:p>
      <w:pPr>
        <w:pStyle w:val="FootnoteText"/>
      </w:pPr>
      <w:r>
        <w:rPr>
          <w:rStyle w:val="FootnoteReference"/>
        </w:rPr>
        <w:footnoteRef/>
      </w:r>
      <w:r>
        <w:t xml:space="preserve"> Personal name: Archelaus. Personal-name meaning: Archelaus — the prince of the people. Source form: Archelaus.</w:t>
      </w:r>
    </w:p>
  </w:footnote>
  <w:footnote w:id="14222">
    <w:p>
      <w:pPr>
        <w:pStyle w:val="FootnoteText"/>
      </w:pPr>
      <w:r>
        <w:rPr>
          <w:rStyle w:val="FootnoteReference"/>
        </w:rPr>
        <w:footnoteRef/>
      </w:r>
      <w:r>
        <w:t xml:space="preserve"> Place name: Galilee. Place-name meaning: Galilee — wheel; revolution. Source form: Galilee. Greek form: γαλιλαιας.</w:t>
      </w:r>
    </w:p>
  </w:footnote>
  <w:footnote w:id="14223">
    <w:p>
      <w:pPr>
        <w:pStyle w:val="FootnoteText"/>
      </w:pPr>
      <w:r>
        <w:rPr>
          <w:rStyle w:val="FootnoteReference"/>
        </w:rPr>
        <w:footnoteRef/>
      </w:r>
      <w:r>
        <w:t xml:space="preserve"> Place name: Nazareth. Place-name meaning: Nazareth — separated; crowned; sanctified. Source form: Nazareth. Greek form: ναζαρεθ.</w:t>
      </w:r>
    </w:p>
  </w:footnote>
  <w:footnote w:id="14224">
    <w:p>
      <w:pPr>
        <w:pStyle w:val="FootnoteText"/>
      </w:pPr>
      <w:r>
        <w:rPr>
          <w:rStyle w:val="FootnoteReference"/>
        </w:rPr>
        <w:footnoteRef/>
      </w:r>
      <w:r>
        <w:t xml:space="preserve"> Cross-references for "Nazareth": John 18:5; John 18:7.</w:t>
      </w:r>
    </w:p>
  </w:footnote>
  <w:footnote w:id="14225">
    <w:p>
      <w:pPr>
        <w:pStyle w:val="FootnoteText"/>
      </w:pPr>
      <w:r>
        <w:rPr>
          <w:rStyle w:val="FootnoteReference"/>
        </w:rPr>
        <w:footnoteRef/>
      </w:r>
      <w:r>
        <w:t xml:space="preserve"> Cross-references for "those": Luke 3:1-2.</w:t>
      </w:r>
    </w:p>
  </w:footnote>
  <w:footnote w:id="14226">
    <w:p>
      <w:pPr>
        <w:pStyle w:val="FootnoteText"/>
      </w:pPr>
      <w:r>
        <w:rPr>
          <w:rStyle w:val="FootnoteReference"/>
        </w:rPr>
        <w:footnoteRef/>
      </w:r>
      <w:r>
        <w:t xml:space="preserve"> Name meaning: John (Yochanan) — Yahweh is gracious. Forerunner of Jesus; proclaimed God’s grace.</w:t>
      </w:r>
    </w:p>
  </w:footnote>
  <w:footnote w:id="14227">
    <w:p>
      <w:pPr>
        <w:pStyle w:val="FootnoteText"/>
      </w:pPr>
      <w:r>
        <w:rPr>
          <w:rStyle w:val="FootnoteReference"/>
        </w:rPr>
        <w:footnoteRef/>
      </w:r>
      <w:r>
        <w:t xml:space="preserve"> Name meaning: John the Baptist (Yochanan) — Yahweh is gracious. Prepared the way with grace.</w:t>
      </w:r>
    </w:p>
  </w:footnote>
  <w:footnote w:id="14228">
    <w:p>
      <w:pPr>
        <w:pStyle w:val="FootnoteText"/>
      </w:pPr>
      <w:r>
        <w:rPr>
          <w:rStyle w:val="FootnoteReference"/>
        </w:rPr>
        <w:footnoteRef/>
      </w:r>
      <w:r>
        <w:t xml:space="preserve"> Cross-references for "Repent": 1Kgs 8:47; Job 42:6.</w:t>
      </w:r>
    </w:p>
  </w:footnote>
  <w:footnote w:id="14229">
    <w:p>
      <w:pPr>
        <w:pStyle w:val="FootnoteText"/>
      </w:pPr>
      <w:r>
        <w:rPr>
          <w:rStyle w:val="FootnoteReference"/>
        </w:rPr>
        <w:footnoteRef/>
      </w:r>
      <w:r>
        <w:t xml:space="preserve"> Personal name: Isaiah. Personal-name meaning: Isaiah — Yahweh saves. Source form: Isaiah.</w:t>
      </w:r>
    </w:p>
  </w:footnote>
  <w:footnote w:id="14230">
    <w:p>
      <w:pPr>
        <w:pStyle w:val="FootnoteText"/>
      </w:pPr>
      <w:r>
        <w:rPr>
          <w:rStyle w:val="FootnoteReference"/>
        </w:rPr>
        <w:footnoteRef/>
      </w:r>
      <w:r>
        <w:t xml:space="preserve"> Cross-references for "Prepare": Isa 57:14-15; Mal 3:1.</w:t>
      </w:r>
    </w:p>
  </w:footnote>
  <w:footnote w:id="14231">
    <w:p>
      <w:pPr>
        <w:pStyle w:val="FootnoteText"/>
      </w:pPr>
      <w:r>
        <w:rPr>
          <w:rStyle w:val="FootnoteReference"/>
        </w:rPr>
        <w:footnoteRef/>
      </w:r>
      <w:r>
        <w:t xml:space="preserve"> Cross-references for "wild": Deut 32:13; 1Sam 14:25-27.</w:t>
      </w:r>
    </w:p>
  </w:footnote>
  <w:footnote w:id="14232">
    <w:p>
      <w:pPr>
        <w:pStyle w:val="FootnoteText"/>
      </w:pPr>
      <w:r>
        <w:rPr>
          <w:rStyle w:val="FootnoteReference"/>
        </w:rPr>
        <w:footnoteRef/>
      </w:r>
      <w:r>
        <w:t xml:space="preserve"> Place name: Jordan. Place-name meaning: Jordan — the river of judgment. Source form: Jordan. Greek form: ιορδανου.</w:t>
      </w:r>
    </w:p>
  </w:footnote>
  <w:footnote w:id="14233">
    <w:p>
      <w:pPr>
        <w:pStyle w:val="FootnoteText"/>
      </w:pPr>
      <w:r>
        <w:rPr>
          <w:rStyle w:val="FootnoteReference"/>
        </w:rPr>
        <w:footnoteRef/>
      </w:r>
      <w:r>
        <w:t xml:space="preserve"> Cross-references for "confessing": Lev 16:21; Lev 26:40.</w:t>
      </w:r>
    </w:p>
  </w:footnote>
  <w:footnote w:id="14234">
    <w:p>
      <w:pPr>
        <w:pStyle w:val="FootnoteText"/>
      </w:pPr>
      <w:r>
        <w:rPr>
          <w:rStyle w:val="FootnoteReference"/>
        </w:rPr>
        <w:footnoteRef/>
      </w:r>
      <w:r>
        <w:t xml:space="preserve"> People-name: Pharisees. People-name meaning: Pharisees — set apart. Source form: Pharisees.</w:t>
      </w:r>
    </w:p>
  </w:footnote>
  <w:footnote w:id="14235">
    <w:p>
      <w:pPr>
        <w:pStyle w:val="FootnoteText"/>
      </w:pPr>
      <w:r>
        <w:rPr>
          <w:rStyle w:val="FootnoteReference"/>
        </w:rPr>
        <w:footnoteRef/>
      </w:r>
      <w:r>
        <w:t xml:space="preserve"> People-name: Sadducees. People-name meaning: Sadducees — followers of Sadoc, or Zadok. Source form: Sadducees.</w:t>
      </w:r>
    </w:p>
  </w:footnote>
  <w:footnote w:id="14236">
    <w:p>
      <w:pPr>
        <w:pStyle w:val="FootnoteText"/>
      </w:pPr>
      <w:r>
        <w:rPr>
          <w:rStyle w:val="FootnoteReference"/>
        </w:rPr>
        <w:footnoteRef/>
      </w:r>
      <w:r>
        <w:t xml:space="preserve"> Cross-references for "the Pharisees": Matt 5:20; Matt 12:24.</w:t>
      </w:r>
    </w:p>
  </w:footnote>
  <w:footnote w:id="14237">
    <w:p>
      <w:pPr>
        <w:pStyle w:val="FootnoteText"/>
      </w:pPr>
      <w:r>
        <w:rPr>
          <w:rStyle w:val="FootnoteReference"/>
        </w:rPr>
        <w:footnoteRef/>
      </w:r>
      <w:r>
        <w:t xml:space="preserve"> Cross-references for "forth": Isa 1:16-17; Matt 21:28-30.</w:t>
      </w:r>
    </w:p>
  </w:footnote>
  <w:footnote w:id="14238">
    <w:p>
      <w:pPr>
        <w:pStyle w:val="FootnoteText"/>
      </w:pPr>
      <w:r>
        <w:rPr>
          <w:rStyle w:val="FootnoteReference"/>
        </w:rPr>
        <w:footnoteRef/>
      </w:r>
      <w:r>
        <w:t xml:space="preserve"> Translation note: Greek has karpous axious tes metanoias, fruits worthy of repentance. The draft uses worthy to preserve axios rather than older meet.</w:t>
      </w:r>
    </w:p>
  </w:footnote>
  <w:footnote w:id="14239">
    <w:p>
      <w:pPr>
        <w:pStyle w:val="FootnoteText"/>
      </w:pPr>
      <w:r>
        <w:rPr>
          <w:rStyle w:val="FootnoteReference"/>
        </w:rPr>
        <w:footnoteRef/>
      </w:r>
      <w:r>
        <w:t xml:space="preserve"> Cross-references for "think": Mark 7:21; Luke 3:8.</w:t>
      </w:r>
    </w:p>
  </w:footnote>
  <w:footnote w:id="14240">
    <w:p>
      <w:pPr>
        <w:pStyle w:val="FootnoteText"/>
      </w:pPr>
      <w:r>
        <w:rPr>
          <w:rStyle w:val="FootnoteReference"/>
        </w:rPr>
        <w:footnoteRef/>
      </w:r>
      <w:r>
        <w:t xml:space="preserve"> Cross-references for "therefore": Ps 1:3; Ps 92:13-14.</w:t>
      </w:r>
    </w:p>
  </w:footnote>
  <w:footnote w:id="14241">
    <w:p>
      <w:pPr>
        <w:pStyle w:val="FootnoteText"/>
      </w:pPr>
      <w:r>
        <w:rPr>
          <w:rStyle w:val="FootnoteReference"/>
        </w:rPr>
        <w:footnoteRef/>
      </w:r>
      <w:r>
        <w:t xml:space="preserve"> Cross-references for "baptize": Matt 3:6; Mark 1:4.</w:t>
      </w:r>
    </w:p>
  </w:footnote>
  <w:footnote w:id="14242">
    <w:p>
      <w:pPr>
        <w:pStyle w:val="FootnoteText"/>
      </w:pPr>
      <w:r>
        <w:rPr>
          <w:rStyle w:val="FootnoteReference"/>
        </w:rPr>
        <w:footnoteRef/>
      </w:r>
      <w:r>
        <w:t xml:space="preserve"> Translation note: Greek ptuon refers to a winnowing implement. The draft uses winnowing fork rather than the older fan.</w:t>
      </w:r>
    </w:p>
  </w:footnote>
  <w:footnote w:id="14243">
    <w:p>
      <w:pPr>
        <w:pStyle w:val="FootnoteText"/>
      </w:pPr>
      <w:r>
        <w:rPr>
          <w:rStyle w:val="FootnoteReference"/>
        </w:rPr>
        <w:footnoteRef/>
      </w:r>
      <w:r>
        <w:t xml:space="preserve"> Cross-references for "he will thoroughly": Mal 3:2-3; Mal 4:1.</w:t>
      </w:r>
    </w:p>
  </w:footnote>
  <w:footnote w:id="14244">
    <w:p>
      <w:pPr>
        <w:pStyle w:val="FootnoteText"/>
      </w:pPr>
      <w:r>
        <w:rPr>
          <w:rStyle w:val="FootnoteReference"/>
        </w:rPr>
        <w:footnoteRef/>
      </w:r>
      <w:r>
        <w:t xml:space="preserve"> Translation note: Greek halona is the threshing floor. The draft keeps the threshing-floor image rather than the older floor alone.</w:t>
      </w:r>
    </w:p>
  </w:footnote>
  <w:footnote w:id="14245">
    <w:p>
      <w:pPr>
        <w:pStyle w:val="FootnoteText"/>
      </w:pPr>
      <w:r>
        <w:rPr>
          <w:rStyle w:val="FootnoteReference"/>
        </w:rPr>
        <w:footnoteRef/>
      </w:r>
      <w:r>
        <w:t xml:space="preserve"> Translation note: Greek apotheken means storehouse or barn. The draft uses storehouse rather than the older garner.</w:t>
      </w:r>
    </w:p>
  </w:footnote>
  <w:footnote w:id="14246">
    <w:p>
      <w:pPr>
        <w:pStyle w:val="FootnoteText"/>
      </w:pPr>
      <w:r>
        <w:rPr>
          <w:rStyle w:val="FootnoteReference"/>
        </w:rPr>
        <w:footnoteRef/>
      </w:r>
      <w:r>
        <w:t xml:space="preserve"> Cross-references for "John": Luke 1:43; John 13:6-8.</w:t>
      </w:r>
    </w:p>
  </w:footnote>
  <w:footnote w:id="14247">
    <w:p>
      <w:pPr>
        <w:pStyle w:val="FootnoteText"/>
      </w:pPr>
      <w:r>
        <w:rPr>
          <w:rStyle w:val="FootnoteReference"/>
        </w:rPr>
        <w:footnoteRef/>
      </w:r>
      <w:r>
        <w:t xml:space="preserve"> Cross-references for "Jesus": Mark 1:10.</w:t>
      </w:r>
    </w:p>
  </w:footnote>
  <w:footnote w:id="14248">
    <w:p>
      <w:pPr>
        <w:pStyle w:val="FootnoteText"/>
      </w:pPr>
      <w:r>
        <w:rPr>
          <w:rStyle w:val="FootnoteReference"/>
        </w:rPr>
        <w:footnoteRef/>
      </w:r>
      <w:r>
        <w:t xml:space="preserve"> Cross-references for "of the spirit": 1Kgs 18:12; 2Kgs 2:16.</w:t>
      </w:r>
    </w:p>
  </w:footnote>
  <w:footnote w:id="14249">
    <w:p>
      <w:pPr>
        <w:pStyle w:val="FootnoteText"/>
      </w:pPr>
      <w:r>
        <w:rPr>
          <w:rStyle w:val="FootnoteReference"/>
        </w:rPr>
        <w:footnoteRef/>
      </w:r>
      <w:r>
        <w:t xml:space="preserve"> Cross-references for "fasted": Exod 24:18; Exod 34:28.</w:t>
      </w:r>
    </w:p>
  </w:footnote>
  <w:footnote w:id="14250">
    <w:p>
      <w:pPr>
        <w:pStyle w:val="FootnoteText"/>
      </w:pPr>
      <w:r>
        <w:rPr>
          <w:rStyle w:val="FootnoteReference"/>
        </w:rPr>
        <w:footnoteRef/>
      </w:r>
      <w:r>
        <w:t xml:space="preserve"> Cross-references for "the tempter": Job 1:9-12; Job 2:4-7.</w:t>
      </w:r>
    </w:p>
  </w:footnote>
  <w:footnote w:id="14251">
    <w:p>
      <w:pPr>
        <w:pStyle w:val="FootnoteText"/>
      </w:pPr>
      <w:r>
        <w:rPr>
          <w:rStyle w:val="FootnoteReference"/>
        </w:rPr>
        <w:footnoteRef/>
      </w:r>
      <w:r>
        <w:t xml:space="preserve"> Cross-references for "the holy": Neh 11:1; Isa 48:2.</w:t>
      </w:r>
    </w:p>
  </w:footnote>
  <w:footnote w:id="14252">
    <w:p>
      <w:pPr>
        <w:pStyle w:val="FootnoteText"/>
      </w:pPr>
      <w:r>
        <w:rPr>
          <w:rStyle w:val="FootnoteReference"/>
        </w:rPr>
        <w:footnoteRef/>
      </w:r>
      <w:r>
        <w:t xml:space="preserve"> Cross-references for "He shall": Ps 91:11-12; Luke 4:9-12.</w:t>
      </w:r>
    </w:p>
  </w:footnote>
  <w:footnote w:id="14253">
    <w:p>
      <w:pPr>
        <w:pStyle w:val="FootnoteText"/>
      </w:pPr>
      <w:r>
        <w:rPr>
          <w:rStyle w:val="FootnoteReference"/>
        </w:rPr>
        <w:footnoteRef/>
      </w:r>
      <w:r>
        <w:t xml:space="preserve"> Cross-references for "the devil": Matt 4:5; Luke 4:5-7.</w:t>
      </w:r>
    </w:p>
  </w:footnote>
  <w:footnote w:id="14254">
    <w:p>
      <w:pPr>
        <w:pStyle w:val="FootnoteText"/>
      </w:pPr>
      <w:r>
        <w:rPr>
          <w:rStyle w:val="FootnoteReference"/>
        </w:rPr>
        <w:footnoteRef/>
      </w:r>
      <w:r>
        <w:t xml:space="preserve"> Cross-references for "I give": 1Sam 2:7-8; Ps 72:11.</w:t>
      </w:r>
    </w:p>
  </w:footnote>
  <w:footnote w:id="14255">
    <w:p>
      <w:pPr>
        <w:pStyle w:val="FootnoteText"/>
      </w:pPr>
      <w:r>
        <w:rPr>
          <w:rStyle w:val="FootnoteReference"/>
        </w:rPr>
        <w:footnoteRef/>
      </w:r>
      <w:r>
        <w:t xml:space="preserve"> Divine or supernatural name: Satan. Divine/supernatural-name meaning: Satan — contrary; adversary; enemy; accuser. Source form: Satan.</w:t>
      </w:r>
    </w:p>
  </w:footnote>
  <w:footnote w:id="14256">
    <w:p>
      <w:pPr>
        <w:pStyle w:val="FootnoteText"/>
      </w:pPr>
      <w:r>
        <w:rPr>
          <w:rStyle w:val="FootnoteReference"/>
        </w:rPr>
        <w:footnoteRef/>
      </w:r>
      <w:r>
        <w:t xml:space="preserve"> Cross-references for "Satan": 1Chr 21:1; Job 1:6.</w:t>
      </w:r>
    </w:p>
  </w:footnote>
  <w:footnote w:id="14257">
    <w:p>
      <w:pPr>
        <w:pStyle w:val="FootnoteText"/>
      </w:pPr>
      <w:r>
        <w:rPr>
          <w:rStyle w:val="FootnoteReference"/>
        </w:rPr>
        <w:footnoteRef/>
      </w:r>
      <w:r>
        <w:t xml:space="preserve"> Cross-references for "the devil": Luke 4:13; Luke 22:53.</w:t>
      </w:r>
    </w:p>
  </w:footnote>
  <w:footnote w:id="14258">
    <w:p>
      <w:pPr>
        <w:pStyle w:val="FootnoteText"/>
      </w:pPr>
      <w:r>
        <w:rPr>
          <w:rStyle w:val="FootnoteReference"/>
        </w:rPr>
        <w:footnoteRef/>
      </w:r>
      <w:r>
        <w:t xml:space="preserve"> Cross-references for "leaving": Luke 4:30-31.</w:t>
      </w:r>
    </w:p>
  </w:footnote>
  <w:footnote w:id="1425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14260">
    <w:p>
      <w:pPr>
        <w:pStyle w:val="FootnoteText"/>
      </w:pPr>
      <w:r>
        <w:rPr>
          <w:rStyle w:val="FootnoteReference"/>
        </w:rPr>
        <w:footnoteRef/>
      </w:r>
      <w:r>
        <w:t xml:space="preserve"> Transliterated proper noun: Zebulun. Standard English equivalent: Zabulon. Source form: Zebulun. Greek form: ζαβουλων. Name meaning: Dwelling; honor.</w:t>
      </w:r>
    </w:p>
  </w:footnote>
  <w:footnote w:id="14261">
    <w:p>
      <w:pPr>
        <w:pStyle w:val="FootnoteText"/>
      </w:pPr>
      <w:r>
        <w:rPr>
          <w:rStyle w:val="FootnoteReference"/>
        </w:rPr>
        <w:footnoteRef/>
      </w:r>
      <w:r>
        <w:t xml:space="preserve"> Transliterated proper noun: Naphtali. Standard English equivalent: Nephthalim. Source form: Naphtali. Greek form: νεφθαλειμ. Name meaning: that struggles or fights.</w:t>
      </w:r>
    </w:p>
  </w:footnote>
  <w:footnote w:id="14262">
    <w:p>
      <w:pPr>
        <w:pStyle w:val="FootnoteText"/>
      </w:pPr>
      <w:r>
        <w:rPr>
          <w:rStyle w:val="FootnoteReference"/>
        </w:rPr>
        <w:footnoteRef/>
      </w:r>
      <w:r>
        <w:t xml:space="preserve"> Transliterated proper noun: Zabulon. Standard English equivalent: Zebulun. Source form: Zabulon. Greek form: ζαβουλων. Name meaning: Dwelling; honor.</w:t>
      </w:r>
    </w:p>
  </w:footnote>
  <w:footnote w:id="14263">
    <w:p>
      <w:pPr>
        <w:pStyle w:val="FootnoteText"/>
      </w:pPr>
      <w:r>
        <w:rPr>
          <w:rStyle w:val="FootnoteReference"/>
        </w:rPr>
        <w:footnoteRef/>
      </w:r>
      <w:r>
        <w:t xml:space="preserve"> Transliterated proper noun: Nephthalim. Standard English equivalent: Naphtali. Source form: Nephthalim. Greek form: νεφθαλειμ. Name meaning: that struggles or fights.</w:t>
      </w:r>
    </w:p>
  </w:footnote>
  <w:footnote w:id="14264">
    <w:p>
      <w:pPr>
        <w:pStyle w:val="FootnoteText"/>
      </w:pPr>
      <w:r>
        <w:rPr>
          <w:rStyle w:val="FootnoteReference"/>
        </w:rPr>
        <w:footnoteRef/>
      </w:r>
      <w:r>
        <w:t xml:space="preserve"> Cross-references for "saying": Isa 9:1-2.</w:t>
      </w:r>
    </w:p>
  </w:footnote>
  <w:footnote w:id="14265">
    <w:p>
      <w:pPr>
        <w:pStyle w:val="FootnoteText"/>
      </w:pPr>
      <w:r>
        <w:rPr>
          <w:rStyle w:val="FootnoteReference"/>
        </w:rPr>
        <w:footnoteRef/>
      </w:r>
      <w:r>
        <w:t xml:space="preserve"> Translation note: Greek ethnon is rendered nations here. Gentiles is traditional, but nations keeps the source term visible in the Isaiah citation.</w:t>
      </w:r>
    </w:p>
  </w:footnote>
  <w:footnote w:id="14266">
    <w:p>
      <w:pPr>
        <w:pStyle w:val="FootnoteText"/>
      </w:pPr>
      <w:r>
        <w:rPr>
          <w:rStyle w:val="FootnoteReference"/>
        </w:rPr>
        <w:footnoteRef/>
      </w:r>
      <w:r>
        <w:t xml:space="preserve"> Cross-references for "Galilee": Josh 20:7; Josh 21:32.</w:t>
      </w:r>
    </w:p>
  </w:footnote>
  <w:footnote w:id="14267">
    <w:p>
      <w:pPr>
        <w:pStyle w:val="FootnoteText"/>
      </w:pPr>
      <w:r>
        <w:rPr>
          <w:rStyle w:val="FootnoteReference"/>
        </w:rPr>
        <w:footnoteRef/>
      </w:r>
      <w:r>
        <w:t xml:space="preserve"> Cross-references for "shadow": Job 3:5; Job 10:22.</w:t>
      </w:r>
    </w:p>
  </w:footnote>
  <w:footnote w:id="14268">
    <w:p>
      <w:pPr>
        <w:pStyle w:val="FootnoteText"/>
      </w:pPr>
      <w:r>
        <w:rPr>
          <w:rStyle w:val="FootnoteReference"/>
        </w:rPr>
        <w:footnoteRef/>
      </w:r>
      <w:r>
        <w:t xml:space="preserve"> Cross-references for "Repent": Matt 3:2; Matt 9:13.</w:t>
      </w:r>
    </w:p>
  </w:footnote>
  <w:footnote w:id="14269">
    <w:p>
      <w:pPr>
        <w:pStyle w:val="FootnoteText"/>
      </w:pPr>
      <w:r>
        <w:rPr>
          <w:rStyle w:val="FootnoteReference"/>
        </w:rPr>
        <w:footnoteRef/>
      </w:r>
      <w:r>
        <w:t xml:space="preserve"> Cross-references for "walking": Matt 1:16-18; Luke 5:2.</w:t>
      </w:r>
    </w:p>
  </w:footnote>
  <w:footnote w:id="14270">
    <w:p>
      <w:pPr>
        <w:pStyle w:val="FootnoteText"/>
      </w:pPr>
      <w:r>
        <w:rPr>
          <w:rStyle w:val="FootnoteReference"/>
        </w:rPr>
        <w:footnoteRef/>
      </w:r>
      <w:r>
        <w:t xml:space="preserve"> Personal name: Simon. Personal-name meaning: Simon — that hears; that obeys. Source form: Simon.</w:t>
      </w:r>
    </w:p>
  </w:footnote>
  <w:footnote w:id="14271">
    <w:p>
      <w:pPr>
        <w:pStyle w:val="FootnoteText"/>
      </w:pPr>
      <w:r>
        <w:rPr>
          <w:rStyle w:val="FootnoteReference"/>
        </w:rPr>
        <w:footnoteRef/>
      </w:r>
      <w:r>
        <w:t xml:space="preserve"> Name meaning: Peter (Kepha; Petros) — Rock; stone. The rock-like apostle.</w:t>
      </w:r>
    </w:p>
  </w:footnote>
  <w:footnote w:id="14272">
    <w:p>
      <w:pPr>
        <w:pStyle w:val="FootnoteText"/>
      </w:pPr>
      <w:r>
        <w:rPr>
          <w:rStyle w:val="FootnoteReference"/>
        </w:rPr>
        <w:footnoteRef/>
      </w:r>
      <w:r>
        <w:t xml:space="preserve"> Name meaning: Andrew (Andreas) — Manly; courageous. Courageous fisherman turned fisher of men.</w:t>
      </w:r>
    </w:p>
  </w:footnote>
  <w:footnote w:id="14273">
    <w:p>
      <w:pPr>
        <w:pStyle w:val="FootnoteText"/>
      </w:pPr>
      <w:r>
        <w:rPr>
          <w:rStyle w:val="FootnoteReference"/>
        </w:rPr>
        <w:footnoteRef/>
      </w:r>
      <w:r>
        <w:t xml:space="preserve"> Cross-references for "Follow": Matt 8:22; Matt 9:9.</w:t>
      </w:r>
    </w:p>
  </w:footnote>
  <w:footnote w:id="14274">
    <w:p>
      <w:pPr>
        <w:pStyle w:val="FootnoteText"/>
      </w:pPr>
      <w:r>
        <w:rPr>
          <w:rStyle w:val="FootnoteReference"/>
        </w:rPr>
        <w:footnoteRef/>
      </w:r>
      <w:r>
        <w:t xml:space="preserve"> Cross-references for "other": Matt 10:2; Matt 17:1.</w:t>
      </w:r>
    </w:p>
  </w:footnote>
  <w:footnote w:id="14275">
    <w:p>
      <w:pPr>
        <w:pStyle w:val="FootnoteText"/>
      </w:pPr>
      <w:r>
        <w:rPr>
          <w:rStyle w:val="FootnoteReference"/>
        </w:rPr>
        <w:footnoteRef/>
      </w:r>
      <w:r>
        <w:t xml:space="preserve"> Name meaning: James (Yaaqov) — Supplanter. One of the sons of thunder; later a pillar of the Church.</w:t>
      </w:r>
    </w:p>
  </w:footnote>
  <w:footnote w:id="14276">
    <w:p>
      <w:pPr>
        <w:pStyle w:val="FootnoteText"/>
      </w:pPr>
      <w:r>
        <w:rPr>
          <w:rStyle w:val="FootnoteReference"/>
        </w:rPr>
        <w:footnoteRef/>
      </w:r>
      <w:r>
        <w:t xml:space="preserve"> Personal name: Zebedee. Personal-name meaning: Zebedee — abundant; portion. Source form: Zebedee.</w:t>
      </w:r>
    </w:p>
  </w:footnote>
  <w:footnote w:id="14277">
    <w:p>
      <w:pPr>
        <w:pStyle w:val="FootnoteText"/>
      </w:pPr>
      <w:r>
        <w:rPr>
          <w:rStyle w:val="FootnoteReference"/>
        </w:rPr>
        <w:footnoteRef/>
      </w:r>
      <w:r>
        <w:t xml:space="preserve"> Cross-references for "Jesus": Matt 9:35; Mark 6:6.</w:t>
      </w:r>
    </w:p>
  </w:footnote>
  <w:footnote w:id="14278">
    <w:p>
      <w:pPr>
        <w:pStyle w:val="FootnoteText"/>
      </w:pPr>
      <w:r>
        <w:rPr>
          <w:rStyle w:val="FootnoteReference"/>
        </w:rPr>
        <w:footnoteRef/>
      </w:r>
      <w:r>
        <w:t xml:space="preserve"> Cross-references for "his fame": Josh 6:27; 1Kgs 4:31.</w:t>
      </w:r>
    </w:p>
  </w:footnote>
  <w:footnote w:id="14279">
    <w:p>
      <w:pPr>
        <w:pStyle w:val="FootnoteText"/>
      </w:pPr>
      <w:r>
        <w:rPr>
          <w:rStyle w:val="FootnoteReference"/>
        </w:rPr>
        <w:footnoteRef/>
      </w:r>
      <w:r>
        <w:t xml:space="preserve"> Place name: Syria. Place-name meaning: Syria — Aram/Syria; highland. Source form: Syria. Greek form: συριαν.</w:t>
      </w:r>
    </w:p>
  </w:footnote>
  <w:footnote w:id="14280">
    <w:p>
      <w:pPr>
        <w:pStyle w:val="FootnoteText"/>
      </w:pPr>
      <w:r>
        <w:rPr>
          <w:rStyle w:val="FootnoteReference"/>
        </w:rPr>
        <w:footnoteRef/>
      </w:r>
      <w:r>
        <w:t xml:space="preserve"> Cross-references for "followed": Matt 5:1; Matt 8:1.</w:t>
      </w:r>
    </w:p>
  </w:footnote>
  <w:footnote w:id="14281">
    <w:p>
      <w:pPr>
        <w:pStyle w:val="FootnoteText"/>
      </w:pPr>
      <w:r>
        <w:rPr>
          <w:rStyle w:val="FootnoteReference"/>
        </w:rPr>
        <w:footnoteRef/>
      </w:r>
      <w:r>
        <w:t xml:space="preserve"> Place name: Decapolis. Place-name meaning: Decapolis — containing ten cities. Source form: Decapolis. Greek form: δεκαπολεως.</w:t>
      </w:r>
    </w:p>
  </w:footnote>
  <w:footnote w:id="14282">
    <w:p>
      <w:pPr>
        <w:pStyle w:val="FootnoteText"/>
      </w:pPr>
      <w:r>
        <w:rPr>
          <w:rStyle w:val="FootnoteReference"/>
        </w:rPr>
        <w:footnoteRef/>
      </w:r>
      <w:r>
        <w:t xml:space="preserve"> Cross-references for "seeing": Matt 4:25; Matt 13:2.</w:t>
      </w:r>
    </w:p>
  </w:footnote>
  <w:footnote w:id="14283">
    <w:p>
      <w:pPr>
        <w:pStyle w:val="FootnoteText"/>
      </w:pPr>
      <w:r>
        <w:rPr>
          <w:rStyle w:val="FootnoteReference"/>
        </w:rPr>
        <w:footnoteRef/>
      </w:r>
      <w:r>
        <w:t xml:space="preserve"> Cross-references for "Blessed": Ps 1:1; Ps 2:12.</w:t>
      </w:r>
    </w:p>
  </w:footnote>
  <w:footnote w:id="14284">
    <w:p>
      <w:pPr>
        <w:pStyle w:val="FootnoteText"/>
      </w:pPr>
      <w:r>
        <w:rPr>
          <w:rStyle w:val="FootnoteReference"/>
        </w:rPr>
        <w:footnoteRef/>
      </w:r>
      <w:r>
        <w:t xml:space="preserve"> Cross-references for "the meek": Num 12:3; Ps 22:26.</w:t>
      </w:r>
    </w:p>
  </w:footnote>
  <w:footnote w:id="14285">
    <w:p>
      <w:pPr>
        <w:pStyle w:val="FootnoteText"/>
      </w:pPr>
      <w:r>
        <w:rPr>
          <w:rStyle w:val="FootnoteReference"/>
        </w:rPr>
        <w:footnoteRef/>
      </w:r>
      <w:r>
        <w:t xml:space="preserve"> Cross-references for "falsely": 1Pet 4:14.</w:t>
      </w:r>
    </w:p>
  </w:footnote>
  <w:footnote w:id="14286">
    <w:p>
      <w:pPr>
        <w:pStyle w:val="FootnoteText"/>
      </w:pPr>
      <w:r>
        <w:rPr>
          <w:rStyle w:val="FootnoteReference"/>
        </w:rPr>
        <w:footnoteRef/>
      </w:r>
      <w:r>
        <w:t xml:space="preserve"> Cross-references for "Rejoice": Luke 6:23; Acts 5:41.</w:t>
      </w:r>
    </w:p>
  </w:footnote>
  <w:footnote w:id="14287">
    <w:p>
      <w:pPr>
        <w:pStyle w:val="FootnoteText"/>
      </w:pPr>
      <w:r>
        <w:rPr>
          <w:rStyle w:val="FootnoteReference"/>
        </w:rPr>
        <w:footnoteRef/>
      </w:r>
      <w:r>
        <w:t xml:space="preserve"> Cross-references for "the salt": Lev 2:13; Col 4:6.</w:t>
      </w:r>
    </w:p>
  </w:footnote>
  <w:footnote w:id="14288">
    <w:p>
      <w:pPr>
        <w:pStyle w:val="FootnoteText"/>
      </w:pPr>
      <w:r>
        <w:rPr>
          <w:rStyle w:val="FootnoteReference"/>
        </w:rPr>
        <w:footnoteRef/>
      </w:r>
      <w:r>
        <w:t xml:space="preserve"> Cross-references for "the light": Prov 4:18; John 5:35.</w:t>
      </w:r>
    </w:p>
  </w:footnote>
  <w:footnote w:id="14289">
    <w:p>
      <w:pPr>
        <w:pStyle w:val="FootnoteText"/>
      </w:pPr>
      <w:r>
        <w:rPr>
          <w:rStyle w:val="FootnoteReference"/>
        </w:rPr>
        <w:footnoteRef/>
      </w:r>
      <w:r>
        <w:t xml:space="preserve"> Cross-references for "your light": Prov 4:18; Isa 58:8.</w:t>
      </w:r>
    </w:p>
  </w:footnote>
  <w:footnote w:id="14290">
    <w:p>
      <w:pPr>
        <w:pStyle w:val="FootnoteText"/>
      </w:pPr>
      <w:r>
        <w:rPr>
          <w:rStyle w:val="FootnoteReference"/>
        </w:rPr>
        <w:footnoteRef/>
      </w:r>
      <w:r>
        <w:t xml:space="preserve"> Greek divine name/title: Pater (πατήρ) — Father. Common English rendering: Father. A dominant New Testament divine address, especially in the teaching of Jesus.</w:t>
      </w:r>
    </w:p>
  </w:footnote>
  <w:footnote w:id="14291">
    <w:p>
      <w:pPr>
        <w:pStyle w:val="FootnoteText"/>
      </w:pPr>
      <w:r>
        <w:rPr>
          <w:rStyle w:val="FootnoteReference"/>
        </w:rPr>
        <w:footnoteRef/>
      </w:r>
      <w:r>
        <w:t xml:space="preserve"> Cross-references for "to destroy the law": Luke 16:17; John 8:5.</w:t>
      </w:r>
    </w:p>
  </w:footnote>
  <w:footnote w:id="14292">
    <w:p>
      <w:pPr>
        <w:pStyle w:val="FootnoteText"/>
      </w:pPr>
      <w:r>
        <w:rPr>
          <w:rStyle w:val="FootnoteReference"/>
        </w:rPr>
        <w:footnoteRef/>
      </w:r>
      <w:r>
        <w:t xml:space="preserve"> Cross-references for "Till": Ps 102:26; Isa 51:6.</w:t>
      </w:r>
    </w:p>
  </w:footnote>
  <w:footnote w:id="14293">
    <w:p>
      <w:pPr>
        <w:pStyle w:val="FootnoteText"/>
      </w:pPr>
      <w:r>
        <w:rPr>
          <w:rStyle w:val="FootnoteReference"/>
        </w:rPr>
        <w:footnoteRef/>
      </w:r>
      <w:r>
        <w:t xml:space="preserve"> Cross-references for "shall break": Deut 27:26; Ps 119:6.</w:t>
      </w:r>
    </w:p>
  </w:footnote>
  <w:footnote w:id="14294">
    <w:p>
      <w:pPr>
        <w:pStyle w:val="FootnoteText"/>
      </w:pPr>
      <w:r>
        <w:rPr>
          <w:rStyle w:val="FootnoteReference"/>
        </w:rPr>
        <w:footnoteRef/>
      </w:r>
      <w:r>
        <w:t xml:space="preserve"> Cross-references for "exceed": Matt 23:2-5; Matt 23:23-28.</w:t>
      </w:r>
    </w:p>
  </w:footnote>
  <w:footnote w:id="14295">
    <w:p>
      <w:pPr>
        <w:pStyle w:val="FootnoteText"/>
      </w:pPr>
      <w:r>
        <w:rPr>
          <w:rStyle w:val="FootnoteReference"/>
        </w:rPr>
        <w:footnoteRef/>
      </w:r>
      <w:r>
        <w:t xml:space="preserve"> Cross-references for "his brother": Deut 15:11; Neh 5:8.</w:t>
      </w:r>
    </w:p>
  </w:footnote>
  <w:footnote w:id="14296">
    <w:p>
      <w:pPr>
        <w:pStyle w:val="FootnoteText"/>
      </w:pPr>
      <w:r>
        <w:rPr>
          <w:rStyle w:val="FootnoteReference"/>
        </w:rPr>
        <w:footnoteRef/>
      </w:r>
      <w:r>
        <w:t xml:space="preserve"> Transliterated proper noun: Raca. Standard English equivalent: Raca. Source form: Raca. Greek form: ρακα. Name meaning: worthless; good-for-nothing.</w:t>
      </w:r>
    </w:p>
  </w:footnote>
  <w:footnote w:id="14297">
    <w:p>
      <w:pPr>
        <w:pStyle w:val="FootnoteText"/>
      </w:pPr>
      <w:r>
        <w:rPr>
          <w:rStyle w:val="FootnoteReference"/>
        </w:rPr>
        <w:footnoteRef/>
      </w:r>
      <w:r>
        <w:t xml:space="preserve"> Translation note: Greek has geennan tou pyros. The draft uses Gehenna of fire rather than hell fire so the distinct place/judgment term remains visible.</w:t>
      </w:r>
    </w:p>
  </w:footnote>
  <w:footnote w:id="14298">
    <w:p>
      <w:pPr>
        <w:pStyle w:val="FootnoteText"/>
      </w:pPr>
      <w:r>
        <w:rPr>
          <w:rStyle w:val="FootnoteReference"/>
        </w:rPr>
        <w:footnoteRef/>
      </w:r>
      <w:r>
        <w:t xml:space="preserve"> Cross-references for "and then": Matt 23:23; 1Cor 11:28.</w:t>
      </w:r>
    </w:p>
  </w:footnote>
  <w:footnote w:id="14299">
    <w:p>
      <w:pPr>
        <w:pStyle w:val="FootnoteText"/>
      </w:pPr>
      <w:r>
        <w:rPr>
          <w:rStyle w:val="FootnoteReference"/>
        </w:rPr>
        <w:footnoteRef/>
      </w:r>
      <w:r>
        <w:t xml:space="preserve"> Cross-references for "pluck": Matt 19:12; Rom 6:6.</w:t>
      </w:r>
    </w:p>
  </w:footnote>
  <w:footnote w:id="14300">
    <w:p>
      <w:pPr>
        <w:pStyle w:val="FootnoteText"/>
      </w:pPr>
      <w:r>
        <w:rPr>
          <w:rStyle w:val="FootnoteReference"/>
        </w:rPr>
        <w:footnoteRef/>
      </w:r>
      <w:r>
        <w:t xml:space="preserve"> Cross-references for "cast": Matt 22:13; Matt 25:20.</w:t>
      </w:r>
    </w:p>
  </w:footnote>
  <w:footnote w:id="14301">
    <w:p>
      <w:pPr>
        <w:pStyle w:val="FootnoteText"/>
      </w:pPr>
      <w:r>
        <w:rPr>
          <w:rStyle w:val="FootnoteReference"/>
        </w:rPr>
        <w:footnoteRef/>
      </w:r>
      <w:r>
        <w:t xml:space="preserve"> Cross-references for "swear": Deut 23:21-23; Eccl 9:2.</w:t>
      </w:r>
    </w:p>
  </w:footnote>
  <w:footnote w:id="14302">
    <w:p>
      <w:pPr>
        <w:pStyle w:val="FootnoteText"/>
      </w:pPr>
      <w:r>
        <w:rPr>
          <w:rStyle w:val="FootnoteReference"/>
        </w:rPr>
        <w:footnoteRef/>
      </w:r>
      <w:r>
        <w:t xml:space="preserve"> Cross-references for "the earth": Ps 99:5.</w:t>
      </w:r>
    </w:p>
  </w:footnote>
  <w:footnote w:id="14303">
    <w:p>
      <w:pPr>
        <w:pStyle w:val="FootnoteText"/>
      </w:pPr>
      <w:r>
        <w:rPr>
          <w:rStyle w:val="FootnoteReference"/>
        </w:rPr>
        <w:footnoteRef/>
      </w:r>
      <w:r>
        <w:t xml:space="preserve"> Cross-references for "An eye": Exod 21:22-27; Lev 24:19-20.</w:t>
      </w:r>
    </w:p>
  </w:footnote>
  <w:footnote w:id="14304">
    <w:p>
      <w:pPr>
        <w:pStyle w:val="FootnoteText"/>
      </w:pPr>
      <w:r>
        <w:rPr>
          <w:rStyle w:val="FootnoteReference"/>
        </w:rPr>
        <w:footnoteRef/>
      </w:r>
      <w:r>
        <w:t xml:space="preserve"> Cross-references for "compel": Matt 27:32; Mark 15:21.</w:t>
      </w:r>
    </w:p>
  </w:footnote>
  <w:footnote w:id="14305">
    <w:p>
      <w:pPr>
        <w:pStyle w:val="FootnoteText"/>
      </w:pPr>
      <w:r>
        <w:rPr>
          <w:rStyle w:val="FootnoteReference"/>
        </w:rPr>
        <w:footnoteRef/>
      </w:r>
      <w:r>
        <w:t xml:space="preserve"> Cross-references for "and hate": Exod 17:14-16; Deut 23:6.</w:t>
      </w:r>
    </w:p>
  </w:footnote>
  <w:footnote w:id="14306">
    <w:p>
      <w:pPr>
        <w:pStyle w:val="FootnoteText"/>
      </w:pPr>
      <w:r>
        <w:rPr>
          <w:rStyle w:val="FootnoteReference"/>
        </w:rPr>
        <w:footnoteRef/>
      </w:r>
      <w:r>
        <w:t xml:space="preserve"> Cross-references for "salute": Matt 10:12; Luke 6:32.</w:t>
      </w:r>
    </w:p>
  </w:footnote>
  <w:footnote w:id="14307">
    <w:p>
      <w:pPr>
        <w:pStyle w:val="FootnoteText"/>
      </w:pPr>
      <w:r>
        <w:rPr>
          <w:rStyle w:val="FootnoteReference"/>
        </w:rPr>
        <w:footnoteRef/>
      </w:r>
      <w:r>
        <w:t xml:space="preserve"> Cross-references for "heed": Matt 16:6; Mark 8:15.</w:t>
      </w:r>
    </w:p>
  </w:footnote>
  <w:footnote w:id="14308">
    <w:p>
      <w:pPr>
        <w:pStyle w:val="FootnoteText"/>
      </w:pPr>
      <w:r>
        <w:rPr>
          <w:rStyle w:val="FootnoteReference"/>
        </w:rPr>
        <w:footnoteRef/>
      </w:r>
      <w:r>
        <w:t xml:space="preserve"> Cross-references for "do not sound a trumpet": Prov 20:6; Hos 8:1.</w:t>
      </w:r>
    </w:p>
  </w:footnote>
  <w:footnote w:id="14309">
    <w:p>
      <w:pPr>
        <w:pStyle w:val="FootnoteText"/>
      </w:pPr>
      <w:r>
        <w:rPr>
          <w:rStyle w:val="FootnoteReference"/>
        </w:rPr>
        <w:footnoteRef/>
      </w:r>
      <w:r>
        <w:t xml:space="preserve"> Cross-references for "reward": 1Sam 2:30; Matt 10:42.</w:t>
      </w:r>
    </w:p>
  </w:footnote>
  <w:footnote w:id="14310">
    <w:p>
      <w:pPr>
        <w:pStyle w:val="FootnoteText"/>
      </w:pPr>
      <w:r>
        <w:rPr>
          <w:rStyle w:val="FootnoteReference"/>
        </w:rPr>
        <w:footnoteRef/>
      </w:r>
      <w:r>
        <w:t xml:space="preserve"> Cross-references for "enter": Gen 32:24-29; 2Kgs 4:33.</w:t>
      </w:r>
    </w:p>
  </w:footnote>
  <w:footnote w:id="14311">
    <w:p>
      <w:pPr>
        <w:pStyle w:val="FootnoteText"/>
      </w:pPr>
      <w:r>
        <w:rPr>
          <w:rStyle w:val="FootnoteReference"/>
        </w:rPr>
        <w:footnoteRef/>
      </w:r>
      <w:r>
        <w:t xml:space="preserve"> Cross-references for "repetitions": 1Kgs 8:26-54; Dan 9:18-19.</w:t>
      </w:r>
    </w:p>
  </w:footnote>
  <w:footnote w:id="14312">
    <w:p>
      <w:pPr>
        <w:pStyle w:val="FootnoteText"/>
      </w:pPr>
      <w:r>
        <w:rPr>
          <w:rStyle w:val="FootnoteReference"/>
        </w:rPr>
        <w:footnoteRef/>
      </w:r>
      <w:r>
        <w:t xml:space="preserve"> Cross-references for "Hallowed": Lev 10:3; 2Sam 7:26.</w:t>
      </w:r>
    </w:p>
  </w:footnote>
  <w:footnote w:id="14313">
    <w:p>
      <w:pPr>
        <w:pStyle w:val="FootnoteText"/>
      </w:pPr>
      <w:r>
        <w:rPr>
          <w:rStyle w:val="FootnoteReference"/>
        </w:rPr>
        <w:footnoteRef/>
      </w:r>
      <w:r>
        <w:t xml:space="preserve"> Cross-references for "forgive": Exod 34:7; 1Kgs 8:30.</w:t>
      </w:r>
    </w:p>
  </w:footnote>
  <w:footnote w:id="14314">
    <w:p>
      <w:pPr>
        <w:pStyle w:val="FootnoteText"/>
      </w:pPr>
      <w:r>
        <w:rPr>
          <w:rStyle w:val="FootnoteReference"/>
        </w:rPr>
        <w:footnoteRef/>
      </w:r>
      <w:r>
        <w:t xml:space="preserve"> Cross-references for "lead": Gen 22:1; Deut 8:2.</w:t>
      </w:r>
    </w:p>
  </w:footnote>
  <w:footnote w:id="14315">
    <w:p>
      <w:pPr>
        <w:pStyle w:val="FootnoteText"/>
      </w:pPr>
      <w:r>
        <w:rPr>
          <w:rStyle w:val="FootnoteReference"/>
        </w:rPr>
        <w:footnoteRef/>
      </w:r>
      <w:r>
        <w:t xml:space="preserve"> Cross-references for "anoint": Ruth 3:3; 2Sam 14:2.</w:t>
      </w:r>
    </w:p>
  </w:footnote>
  <w:footnote w:id="14316">
    <w:p>
      <w:pPr>
        <w:pStyle w:val="FootnoteText"/>
      </w:pPr>
      <w:r>
        <w:rPr>
          <w:rStyle w:val="FootnoteReference"/>
        </w:rPr>
        <w:footnoteRef/>
      </w:r>
      <w:r>
        <w:t xml:space="preserve"> Cross-references for "appear": 2Cor 5:9; 2Cor 10:18.</w:t>
      </w:r>
    </w:p>
  </w:footnote>
  <w:footnote w:id="14317">
    <w:p>
      <w:pPr>
        <w:pStyle w:val="FootnoteText"/>
      </w:pPr>
      <w:r>
        <w:rPr>
          <w:rStyle w:val="FootnoteReference"/>
        </w:rPr>
        <w:footnoteRef/>
      </w:r>
      <w:r>
        <w:t xml:space="preserve"> Cross-references for "light of": Luke 11:34-36.</w:t>
      </w:r>
    </w:p>
  </w:footnote>
  <w:footnote w:id="14318">
    <w:p>
      <w:pPr>
        <w:pStyle w:val="FootnoteText"/>
      </w:pPr>
      <w:r>
        <w:rPr>
          <w:rStyle w:val="FootnoteReference"/>
        </w:rPr>
        <w:footnoteRef/>
      </w:r>
      <w:r>
        <w:t xml:space="preserve"> Cross-references for "serve": Josh 24:15; Josh 24:19-20.</w:t>
      </w:r>
    </w:p>
  </w:footnote>
  <w:footnote w:id="14319">
    <w:p>
      <w:pPr>
        <w:pStyle w:val="FootnoteText"/>
      </w:pPr>
      <w:r>
        <w:rPr>
          <w:rStyle w:val="FootnoteReference"/>
        </w:rPr>
        <w:footnoteRef/>
      </w:r>
      <w:r>
        <w:t xml:space="preserve"> Cross-references for "the lilies": Luke 12:27.</w:t>
      </w:r>
    </w:p>
  </w:footnote>
  <w:footnote w:id="14320">
    <w:p>
      <w:pPr>
        <w:pStyle w:val="FootnoteText"/>
      </w:pPr>
      <w:r>
        <w:rPr>
          <w:rStyle w:val="FootnoteReference"/>
        </w:rPr>
        <w:footnoteRef/>
      </w:r>
      <w:r>
        <w:t xml:space="preserve"> Cross-references for "clothe": Ps 90:5-6; Ps 92:7.</w:t>
      </w:r>
    </w:p>
  </w:footnote>
  <w:footnote w:id="14321">
    <w:p>
      <w:pPr>
        <w:pStyle w:val="FootnoteText"/>
      </w:pPr>
      <w:r>
        <w:rPr>
          <w:rStyle w:val="FootnoteReference"/>
        </w:rPr>
        <w:footnoteRef/>
      </w:r>
      <w:r>
        <w:t xml:space="preserve"> Cross-references for "What shall we eat": Lev 25:20-22; 2Chr 25:9.</w:t>
      </w:r>
    </w:p>
  </w:footnote>
  <w:footnote w:id="14322">
    <w:p>
      <w:pPr>
        <w:pStyle w:val="FootnoteText"/>
      </w:pPr>
      <w:r>
        <w:rPr>
          <w:rStyle w:val="FootnoteReference"/>
        </w:rPr>
        <w:footnoteRef/>
      </w:r>
      <w:r>
        <w:t xml:space="preserve"> Cross-references for "for your": Ps 103:13; Matt 6:8.</w:t>
      </w:r>
    </w:p>
  </w:footnote>
  <w:footnote w:id="14323">
    <w:p>
      <w:pPr>
        <w:pStyle w:val="FootnoteText"/>
      </w:pPr>
      <w:r>
        <w:rPr>
          <w:rStyle w:val="FootnoteReference"/>
        </w:rPr>
        <w:footnoteRef/>
      </w:r>
      <w:r>
        <w:t xml:space="preserve"> Cross-references for "seek": 1Kgs 3:11-13; 1Kgs 17:13.</w:t>
      </w:r>
    </w:p>
  </w:footnote>
  <w:footnote w:id="14324">
    <w:p>
      <w:pPr>
        <w:pStyle w:val="FootnoteText"/>
      </w:pPr>
      <w:r>
        <w:rPr>
          <w:rStyle w:val="FootnoteReference"/>
        </w:rPr>
        <w:footnoteRef/>
      </w:r>
      <w:r>
        <w:t xml:space="preserve"> Cross-references for "Sufficient": John 14:27; John 16:33.</w:t>
      </w:r>
    </w:p>
  </w:footnote>
  <w:footnote w:id="14325">
    <w:p>
      <w:pPr>
        <w:pStyle w:val="FootnoteText"/>
      </w:pPr>
      <w:r>
        <w:rPr>
          <w:rStyle w:val="FootnoteReference"/>
        </w:rPr>
        <w:footnoteRef/>
      </w:r>
      <w:r>
        <w:t xml:space="preserve"> Cross-references for "first": Ps 51:9-13; Luke 4:23.</w:t>
      </w:r>
    </w:p>
  </w:footnote>
  <w:footnote w:id="14326">
    <w:p>
      <w:pPr>
        <w:pStyle w:val="FootnoteText"/>
      </w:pPr>
      <w:r>
        <w:rPr>
          <w:rStyle w:val="FootnoteReference"/>
        </w:rPr>
        <w:footnoteRef/>
      </w:r>
      <w:r>
        <w:t xml:space="preserve"> Cross-references for "cast": Prov 11:22.</w:t>
      </w:r>
    </w:p>
  </w:footnote>
  <w:footnote w:id="14327">
    <w:p>
      <w:pPr>
        <w:pStyle w:val="FootnoteText"/>
      </w:pPr>
      <w:r>
        <w:rPr>
          <w:rStyle w:val="FootnoteReference"/>
        </w:rPr>
        <w:footnoteRef/>
      </w:r>
      <w:r>
        <w:t xml:space="preserve"> Cross-references for "and it": 1Kgs 3:5; Ps 10:17.</w:t>
      </w:r>
    </w:p>
  </w:footnote>
  <w:footnote w:id="14328">
    <w:p>
      <w:pPr>
        <w:pStyle w:val="FootnoteText"/>
      </w:pPr>
      <w:r>
        <w:rPr>
          <w:rStyle w:val="FootnoteReference"/>
        </w:rPr>
        <w:footnoteRef/>
      </w:r>
      <w:r>
        <w:t xml:space="preserve"> Cross-references for "good": Ps 84:11; Ps 85:12.</w:t>
      </w:r>
    </w:p>
  </w:footnote>
  <w:footnote w:id="14329">
    <w:p>
      <w:pPr>
        <w:pStyle w:val="FootnoteText"/>
      </w:pPr>
      <w:r>
        <w:rPr>
          <w:rStyle w:val="FootnoteReference"/>
        </w:rPr>
        <w:footnoteRef/>
      </w:r>
      <w:r>
        <w:t xml:space="preserve"> Cross-references for "narrow": Prov 4:26-27; Prov 8:20.</w:t>
      </w:r>
    </w:p>
  </w:footnote>
  <w:footnote w:id="14330">
    <w:p>
      <w:pPr>
        <w:pStyle w:val="FootnoteText"/>
      </w:pPr>
      <w:r>
        <w:rPr>
          <w:rStyle w:val="FootnoteReference"/>
        </w:rPr>
        <w:footnoteRef/>
      </w:r>
      <w:r>
        <w:t xml:space="preserve"> Cross-references for "Beware": Matt 10:17; Matt 16:6.</w:t>
      </w:r>
    </w:p>
  </w:footnote>
  <w:footnote w:id="14331">
    <w:p>
      <w:pPr>
        <w:pStyle w:val="FootnoteText"/>
      </w:pPr>
      <w:r>
        <w:rPr>
          <w:rStyle w:val="FootnoteReference"/>
        </w:rPr>
        <w:footnoteRef/>
      </w:r>
      <w:r>
        <w:t xml:space="preserve"> Cross-references for "cannot": Gal 5:17; 1John 3:9-10.</w:t>
      </w:r>
    </w:p>
  </w:footnote>
  <w:footnote w:id="14332">
    <w:p>
      <w:pPr>
        <w:pStyle w:val="FootnoteText"/>
      </w:pPr>
      <w:r>
        <w:rPr>
          <w:rStyle w:val="FootnoteReference"/>
        </w:rPr>
        <w:footnoteRef/>
      </w:r>
      <w:r>
        <w:t xml:space="preserve"> Cross-references for "to me": Isa 2:11; Isa 2:17.</w:t>
      </w:r>
    </w:p>
  </w:footnote>
  <w:footnote w:id="14333">
    <w:p>
      <w:pPr>
        <w:pStyle w:val="FootnoteText"/>
      </w:pPr>
      <w:r>
        <w:rPr>
          <w:rStyle w:val="FootnoteReference"/>
        </w:rPr>
        <w:footnoteRef/>
      </w:r>
      <w:r>
        <w:t xml:space="preserve"> Cross-references for "I never": Matt 25:12; John 10:14.</w:t>
      </w:r>
    </w:p>
  </w:footnote>
  <w:footnote w:id="14334">
    <w:p>
      <w:pPr>
        <w:pStyle w:val="FootnoteText"/>
      </w:pPr>
      <w:r>
        <w:rPr>
          <w:rStyle w:val="FootnoteReference"/>
        </w:rPr>
        <w:footnoteRef/>
      </w:r>
      <w:r>
        <w:t xml:space="preserve"> Cross-references for "a wise": Job 28:28; Ps 111:10.</w:t>
      </w:r>
    </w:p>
  </w:footnote>
  <w:footnote w:id="14335">
    <w:p>
      <w:pPr>
        <w:pStyle w:val="FootnoteText"/>
      </w:pPr>
      <w:r>
        <w:rPr>
          <w:rStyle w:val="FootnoteReference"/>
        </w:rPr>
        <w:footnoteRef/>
      </w:r>
      <w:r>
        <w:t xml:space="preserve"> Cross-references for "the rain": Ezek 13:11-16; Mal 3:3.</w:t>
      </w:r>
    </w:p>
  </w:footnote>
  <w:footnote w:id="14336">
    <w:p>
      <w:pPr>
        <w:pStyle w:val="FootnoteText"/>
      </w:pPr>
      <w:r>
        <w:rPr>
          <w:rStyle w:val="FootnoteReference"/>
        </w:rPr>
        <w:footnoteRef/>
      </w:r>
      <w:r>
        <w:t xml:space="preserve"> Cross-references for "and not": Matt 15:1-9; Matt 23:2-6.</w:t>
      </w:r>
    </w:p>
  </w:footnote>
  <w:footnote w:id="14337">
    <w:p>
      <w:pPr>
        <w:pStyle w:val="FootnoteText"/>
      </w:pPr>
      <w:r>
        <w:rPr>
          <w:rStyle w:val="FootnoteReference"/>
        </w:rPr>
        <w:footnoteRef/>
      </w:r>
      <w:r>
        <w:t xml:space="preserve"> Cross-references for "great": Matt 4:25; Matt 8:18.</w:t>
      </w:r>
    </w:p>
  </w:footnote>
  <w:footnote w:id="14338">
    <w:p>
      <w:pPr>
        <w:pStyle w:val="FootnoteText"/>
      </w:pPr>
      <w:r>
        <w:rPr>
          <w:rStyle w:val="FootnoteReference"/>
        </w:rPr>
        <w:footnoteRef/>
      </w:r>
      <w:r>
        <w:t xml:space="preserve"> Cross-references for "a leper": Lev 13:44-46; Num 5:2-3.</w:t>
      </w:r>
    </w:p>
  </w:footnote>
  <w:footnote w:id="14339">
    <w:p>
      <w:pPr>
        <w:pStyle w:val="FootnoteText"/>
      </w:pPr>
      <w:r>
        <w:rPr>
          <w:rStyle w:val="FootnoteReference"/>
        </w:rPr>
        <w:footnoteRef/>
      </w:r>
      <w:r>
        <w:t xml:space="preserve"> Cross-references for "immediately": 2Kgs 5:14; Matt 11:4-5.</w:t>
      </w:r>
    </w:p>
  </w:footnote>
  <w:footnote w:id="14340">
    <w:p>
      <w:pPr>
        <w:pStyle w:val="FootnoteText"/>
      </w:pPr>
      <w:r>
        <w:rPr>
          <w:rStyle w:val="FootnoteReference"/>
        </w:rPr>
        <w:footnoteRef/>
      </w:r>
      <w:r>
        <w:t xml:space="preserve"> Cross-references for "show": Lev 13:2-46; Lev 14:2-32.</w:t>
      </w:r>
    </w:p>
  </w:footnote>
  <w:footnote w:id="14341">
    <w:p>
      <w:pPr>
        <w:pStyle w:val="FootnoteText"/>
      </w:pPr>
      <w:r>
        <w:rPr>
          <w:rStyle w:val="FootnoteReference"/>
        </w:rPr>
        <w:footnoteRef/>
      </w:r>
      <w:r>
        <w:t xml:space="preserve"> Personal name: Moses. Personal-name meaning: Moses — Drawn out. Source form: Moses.</w:t>
      </w:r>
    </w:p>
  </w:footnote>
  <w:footnote w:id="14342">
    <w:p>
      <w:pPr>
        <w:pStyle w:val="FootnoteText"/>
      </w:pPr>
      <w:r>
        <w:rPr>
          <w:rStyle w:val="FootnoteReference"/>
        </w:rPr>
        <w:footnoteRef/>
      </w:r>
      <w:r>
        <w:t xml:space="preserve"> Cross-references for "entered": Matt 4:13; Matt 9:1.</w:t>
      </w:r>
    </w:p>
  </w:footnote>
  <w:footnote w:id="14343">
    <w:p>
      <w:pPr>
        <w:pStyle w:val="FootnoteText"/>
      </w:pPr>
      <w:r>
        <w:rPr>
          <w:rStyle w:val="FootnoteReference"/>
        </w:rPr>
        <w:footnoteRef/>
      </w:r>
      <w:r>
        <w:t xml:space="preserve"> Cross-references for "shall sit": Luke 12:37; Luke 13:29.</w:t>
      </w:r>
    </w:p>
  </w:footnote>
  <w:footnote w:id="14344">
    <w:p>
      <w:pPr>
        <w:pStyle w:val="FootnoteText"/>
      </w:pPr>
      <w:r>
        <w:rPr>
          <w:rStyle w:val="FootnoteReference"/>
        </w:rPr>
        <w:footnoteRef/>
      </w:r>
      <w:r>
        <w:t xml:space="preserve"> Cross-references for "the children": Matt 3:9-10; Matt 7:22-23.</w:t>
      </w:r>
    </w:p>
  </w:footnote>
  <w:footnote w:id="14345">
    <w:p>
      <w:pPr>
        <w:pStyle w:val="FootnoteText"/>
      </w:pPr>
      <w:r>
        <w:rPr>
          <w:rStyle w:val="FootnoteReference"/>
        </w:rPr>
        <w:footnoteRef/>
      </w:r>
      <w:r>
        <w:t xml:space="preserve"> Cross-references for "and as": Matt 9:29-30; Matt 15:28.</w:t>
      </w:r>
    </w:p>
  </w:footnote>
  <w:footnote w:id="14346">
    <w:p>
      <w:pPr>
        <w:pStyle w:val="FootnoteText"/>
      </w:pPr>
      <w:r>
        <w:rPr>
          <w:rStyle w:val="FootnoteReference"/>
        </w:rPr>
        <w:footnoteRef/>
      </w:r>
      <w:r>
        <w:t xml:space="preserve"> Cross-references for "wife's": 1Cor 9:5; 1Tim 3:2.</w:t>
      </w:r>
    </w:p>
  </w:footnote>
  <w:footnote w:id="14347">
    <w:p>
      <w:pPr>
        <w:pStyle w:val="FootnoteText"/>
      </w:pPr>
      <w:r>
        <w:rPr>
          <w:rStyle w:val="FootnoteReference"/>
        </w:rPr>
        <w:footnoteRef/>
      </w:r>
      <w:r>
        <w:t xml:space="preserve"> Cross-references for "touched": 2Kgs 13:21; Isa 6:7.</w:t>
      </w:r>
    </w:p>
  </w:footnote>
  <w:footnote w:id="14348">
    <w:p>
      <w:pPr>
        <w:pStyle w:val="FootnoteText"/>
      </w:pPr>
      <w:r>
        <w:rPr>
          <w:rStyle w:val="FootnoteReference"/>
        </w:rPr>
        <w:footnoteRef/>
      </w:r>
      <w:r>
        <w:t xml:space="preserve"> Cross-references for "the even": Mark 1:32-34; Luke 4:40.</w:t>
      </w:r>
    </w:p>
  </w:footnote>
  <w:footnote w:id="14349">
    <w:p>
      <w:pPr>
        <w:pStyle w:val="FootnoteText"/>
      </w:pPr>
      <w:r>
        <w:rPr>
          <w:rStyle w:val="FootnoteReference"/>
        </w:rPr>
        <w:footnoteRef/>
      </w:r>
      <w:r>
        <w:t xml:space="preserve"> Cross-references for "it might": Matt 1:22; Matt 2:15.</w:t>
      </w:r>
    </w:p>
  </w:footnote>
  <w:footnote w:id="14350">
    <w:p>
      <w:pPr>
        <w:pStyle w:val="FootnoteText"/>
      </w:pPr>
      <w:r>
        <w:rPr>
          <w:rStyle w:val="FootnoteReference"/>
        </w:rPr>
        <w:footnoteRef/>
      </w:r>
      <w:r>
        <w:t xml:space="preserve"> Cross-references for "certain": Ezra 7:6; Mark 12:32-34.</w:t>
      </w:r>
    </w:p>
  </w:footnote>
  <w:footnote w:id="14351">
    <w:p>
      <w:pPr>
        <w:pStyle w:val="FootnoteText"/>
      </w:pPr>
      <w:r>
        <w:rPr>
          <w:rStyle w:val="FootnoteReference"/>
        </w:rPr>
        <w:footnoteRef/>
      </w:r>
      <w:r>
        <w:t xml:space="preserve"> Cross-references for "the Son": Ps 40:17; Ps 69:29.</w:t>
      </w:r>
    </w:p>
  </w:footnote>
  <w:footnote w:id="14352">
    <w:p>
      <w:pPr>
        <w:pStyle w:val="FootnoteText"/>
      </w:pPr>
      <w:r>
        <w:rPr>
          <w:rStyle w:val="FootnoteReference"/>
        </w:rPr>
        <w:footnoteRef/>
      </w:r>
      <w:r>
        <w:t xml:space="preserve"> Cross-references for "another": Luke 9:59-62.</w:t>
      </w:r>
    </w:p>
  </w:footnote>
  <w:footnote w:id="14353">
    <w:p>
      <w:pPr>
        <w:pStyle w:val="FootnoteText"/>
      </w:pPr>
      <w:r>
        <w:rPr>
          <w:rStyle w:val="FootnoteReference"/>
        </w:rPr>
        <w:footnoteRef/>
      </w:r>
      <w:r>
        <w:t xml:space="preserve"> Cross-references for "Follow": Matt 4:18-22; Matt 9:9.</w:t>
      </w:r>
    </w:p>
  </w:footnote>
  <w:footnote w:id="14354">
    <w:p>
      <w:pPr>
        <w:pStyle w:val="FootnoteText"/>
      </w:pPr>
      <w:r>
        <w:rPr>
          <w:rStyle w:val="FootnoteReference"/>
        </w:rPr>
        <w:footnoteRef/>
      </w:r>
      <w:r>
        <w:t xml:space="preserve"> Cross-references for "and awoke": Ps 10:1; Ps 44:22-23.</w:t>
      </w:r>
    </w:p>
  </w:footnote>
  <w:footnote w:id="14355">
    <w:p>
      <w:pPr>
        <w:pStyle w:val="FootnoteText"/>
      </w:pPr>
      <w:r>
        <w:rPr>
          <w:rStyle w:val="FootnoteReference"/>
        </w:rPr>
        <w:footnoteRef/>
      </w:r>
      <w:r>
        <w:t xml:space="preserve"> Cross-references for "and rebuked": Job 38:8-11; Ps 65:7.</w:t>
      </w:r>
    </w:p>
  </w:footnote>
  <w:footnote w:id="14356">
    <w:p>
      <w:pPr>
        <w:pStyle w:val="FootnoteText"/>
      </w:pPr>
      <w:r>
        <w:rPr>
          <w:rStyle w:val="FootnoteReference"/>
        </w:rPr>
        <w:footnoteRef/>
      </w:r>
      <w:r>
        <w:t xml:space="preserve"> Transliterated proper noun: Gergesenes. Standard English equivalent: Gergesenes. Source form: Gergesenes. Greek form: γεργεσηνων. Name meaning: those who come from pilgrimage or fight.</w:t>
      </w:r>
    </w:p>
  </w:footnote>
  <w:footnote w:id="14357">
    <w:p>
      <w:pPr>
        <w:pStyle w:val="FootnoteText"/>
      </w:pPr>
      <w:r>
        <w:rPr>
          <w:rStyle w:val="FootnoteReference"/>
        </w:rPr>
        <w:footnoteRef/>
      </w:r>
      <w:r>
        <w:t xml:space="preserve"> Cross-references for "Gergesenes": Gen 10:16; Gen 15:21.</w:t>
      </w:r>
    </w:p>
  </w:footnote>
  <w:footnote w:id="14358">
    <w:p>
      <w:pPr>
        <w:pStyle w:val="FootnoteText"/>
      </w:pPr>
      <w:r>
        <w:rPr>
          <w:rStyle w:val="FootnoteReference"/>
        </w:rPr>
        <w:footnoteRef/>
      </w:r>
      <w:r>
        <w:t xml:space="preserve"> Cross-references for "torment": 2Pet 2:4; Jude 1:6.</w:t>
      </w:r>
    </w:p>
  </w:footnote>
  <w:footnote w:id="14359">
    <w:p>
      <w:pPr>
        <w:pStyle w:val="FootnoteText"/>
      </w:pPr>
      <w:r>
        <w:rPr>
          <w:rStyle w:val="FootnoteReference"/>
        </w:rPr>
        <w:footnoteRef/>
      </w:r>
      <w:r>
        <w:t xml:space="preserve"> Cross-references for "the whole": Job 1:13-19; Job 2:7-8.</w:t>
      </w:r>
    </w:p>
  </w:footnote>
  <w:footnote w:id="14360">
    <w:p>
      <w:pPr>
        <w:pStyle w:val="FootnoteText"/>
      </w:pPr>
      <w:r>
        <w:rPr>
          <w:rStyle w:val="FootnoteReference"/>
        </w:rPr>
        <w:footnoteRef/>
      </w:r>
      <w:r>
        <w:t xml:space="preserve"> Cross-references for "they brought": Matt 4:24; Matt 8:16.</w:t>
      </w:r>
    </w:p>
  </w:footnote>
  <w:footnote w:id="14361">
    <w:p>
      <w:pPr>
        <w:pStyle w:val="FootnoteText"/>
      </w:pPr>
      <w:r>
        <w:rPr>
          <w:rStyle w:val="FootnoteReference"/>
        </w:rPr>
        <w:footnoteRef/>
      </w:r>
      <w:r>
        <w:t xml:space="preserve"> Cross-references for "certain": Matt 7:29; Mark 2:6-7.</w:t>
      </w:r>
    </w:p>
  </w:footnote>
  <w:footnote w:id="14362">
    <w:p>
      <w:pPr>
        <w:pStyle w:val="FootnoteText"/>
      </w:pPr>
      <w:r>
        <w:rPr>
          <w:rStyle w:val="FootnoteReference"/>
        </w:rPr>
        <w:footnoteRef/>
      </w:r>
      <w:r>
        <w:t xml:space="preserve"> Cross-references for "knowing": Ps 44:21; Ps 139:2.</w:t>
      </w:r>
    </w:p>
  </w:footnote>
  <w:footnote w:id="14363">
    <w:p>
      <w:pPr>
        <w:pStyle w:val="FootnoteText"/>
      </w:pPr>
      <w:r>
        <w:rPr>
          <w:rStyle w:val="FootnoteReference"/>
        </w:rPr>
        <w:footnoteRef/>
      </w:r>
      <w:r>
        <w:t xml:space="preserve"> Cross-references for "whether": Mark 2:9-12; Luke 5:23-25.</w:t>
      </w:r>
    </w:p>
  </w:footnote>
  <w:footnote w:id="14364">
    <w:p>
      <w:pPr>
        <w:pStyle w:val="FootnoteText"/>
      </w:pPr>
      <w:r>
        <w:rPr>
          <w:rStyle w:val="FootnoteReference"/>
        </w:rPr>
        <w:footnoteRef/>
      </w:r>
      <w:r>
        <w:t xml:space="preserve"> Cross-references for "Arise": Matt 9:5; Luke 13:11-13.</w:t>
      </w:r>
    </w:p>
  </w:footnote>
  <w:footnote w:id="14365">
    <w:p>
      <w:pPr>
        <w:pStyle w:val="FootnoteText"/>
      </w:pPr>
      <w:r>
        <w:rPr>
          <w:rStyle w:val="FootnoteReference"/>
        </w:rPr>
        <w:footnoteRef/>
      </w:r>
      <w:r>
        <w:t xml:space="preserve"> Cross-references for "named": Matt 21:31-32; Mark 2:14-17.</w:t>
      </w:r>
    </w:p>
  </w:footnote>
  <w:footnote w:id="14366">
    <w:p>
      <w:pPr>
        <w:pStyle w:val="FootnoteText"/>
      </w:pPr>
      <w:r>
        <w:rPr>
          <w:rStyle w:val="FootnoteReference"/>
        </w:rPr>
        <w:footnoteRef/>
      </w:r>
      <w:r>
        <w:t xml:space="preserve"> Name meaning: Matthew (Mattityahu) — Gift of Yahweh. Tax collector given the gift of apostleship and authorship.</w:t>
      </w:r>
    </w:p>
  </w:footnote>
  <w:footnote w:id="14367">
    <w:p>
      <w:pPr>
        <w:pStyle w:val="FootnoteText"/>
      </w:pPr>
      <w:r>
        <w:rPr>
          <w:rStyle w:val="FootnoteReference"/>
        </w:rPr>
        <w:footnoteRef/>
      </w:r>
      <w:r>
        <w:t xml:space="preserve"> Cross-references for "they said": Mark 2:16; Mark 9:14-16.</w:t>
      </w:r>
    </w:p>
  </w:footnote>
  <w:footnote w:id="14368">
    <w:p>
      <w:pPr>
        <w:pStyle w:val="FootnoteText"/>
      </w:pPr>
      <w:r>
        <w:rPr>
          <w:rStyle w:val="FootnoteReference"/>
        </w:rPr>
        <w:footnoteRef/>
      </w:r>
      <w:r>
        <w:t xml:space="preserve"> Cross-references for "to call": Matt 18:11-13; Mark 2:17.</w:t>
      </w:r>
    </w:p>
  </w:footnote>
  <w:footnote w:id="14369">
    <w:p>
      <w:pPr>
        <w:pStyle w:val="FootnoteText"/>
      </w:pPr>
      <w:r>
        <w:rPr>
          <w:rStyle w:val="FootnoteReference"/>
        </w:rPr>
        <w:footnoteRef/>
      </w:r>
      <w:r>
        <w:t xml:space="preserve"> Cross-references for "the disciples": Matt 11:2; John 3:25.</w:t>
      </w:r>
    </w:p>
  </w:footnote>
  <w:footnote w:id="14370">
    <w:p>
      <w:pPr>
        <w:pStyle w:val="FootnoteText"/>
      </w:pPr>
      <w:r>
        <w:rPr>
          <w:rStyle w:val="FootnoteReference"/>
        </w:rPr>
        <w:footnoteRef/>
      </w:r>
      <w:r>
        <w:t xml:space="preserve"> Cross-references for "and then": Isa 22:12; Acts 13:1-3.</w:t>
      </w:r>
    </w:p>
  </w:footnote>
  <w:footnote w:id="14371">
    <w:p>
      <w:pPr>
        <w:pStyle w:val="FootnoteText"/>
      </w:pPr>
      <w:r>
        <w:rPr>
          <w:rStyle w:val="FootnoteReference"/>
        </w:rPr>
        <w:footnoteRef/>
      </w:r>
      <w:r>
        <w:t xml:space="preserve"> Cross-references for "ruler": Luke 8:49; Luke 13:14.</w:t>
      </w:r>
    </w:p>
  </w:footnote>
  <w:footnote w:id="14372">
    <w:p>
      <w:pPr>
        <w:pStyle w:val="FootnoteText"/>
      </w:pPr>
      <w:r>
        <w:rPr>
          <w:rStyle w:val="FootnoteReference"/>
        </w:rPr>
        <w:footnoteRef/>
      </w:r>
      <w:r>
        <w:t xml:space="preserve"> Cross-references for "an issue": Lev 15:25-33.</w:t>
      </w:r>
    </w:p>
  </w:footnote>
  <w:footnote w:id="14373">
    <w:p>
      <w:pPr>
        <w:pStyle w:val="FootnoteText"/>
      </w:pPr>
      <w:r>
        <w:rPr>
          <w:rStyle w:val="FootnoteReference"/>
        </w:rPr>
        <w:footnoteRef/>
      </w:r>
      <w:r>
        <w:t xml:space="preserve"> Cross-references for "Daughter": Matt 9:2.</w:t>
      </w:r>
    </w:p>
  </w:footnote>
  <w:footnote w:id="14374">
    <w:p>
      <w:pPr>
        <w:pStyle w:val="FootnoteText"/>
      </w:pPr>
      <w:r>
        <w:rPr>
          <w:rStyle w:val="FootnoteReference"/>
        </w:rPr>
        <w:footnoteRef/>
      </w:r>
      <w:r>
        <w:t xml:space="preserve"> Cross-references for "Give": 1Kgs 17:18-24; Acts 9:40.</w:t>
      </w:r>
    </w:p>
  </w:footnote>
  <w:footnote w:id="14375">
    <w:p>
      <w:pPr>
        <w:pStyle w:val="FootnoteText"/>
      </w:pPr>
      <w:r>
        <w:rPr>
          <w:rStyle w:val="FootnoteReference"/>
        </w:rPr>
        <w:footnoteRef/>
      </w:r>
      <w:r>
        <w:t xml:space="preserve"> Cross-references for "and took": Mark 1:31; Mark 5:41.</w:t>
      </w:r>
    </w:p>
  </w:footnote>
  <w:footnote w:id="14376">
    <w:p>
      <w:pPr>
        <w:pStyle w:val="FootnoteText"/>
      </w:pPr>
      <w:r>
        <w:rPr>
          <w:rStyle w:val="FootnoteReference"/>
        </w:rPr>
        <w:footnoteRef/>
      </w:r>
      <w:r>
        <w:t xml:space="preserve"> Cross-references for "Believe": Matt 8:2; Matt 9:22.</w:t>
      </w:r>
    </w:p>
  </w:footnote>
  <w:footnote w:id="14377">
    <w:p>
      <w:pPr>
        <w:pStyle w:val="FootnoteText"/>
      </w:pPr>
      <w:r>
        <w:rPr>
          <w:rStyle w:val="FootnoteReference"/>
        </w:rPr>
        <w:footnoteRef/>
      </w:r>
      <w:r>
        <w:t xml:space="preserve"> Cross-references for "touched": Matt 20:34; John 9:6-7.</w:t>
      </w:r>
    </w:p>
  </w:footnote>
  <w:footnote w:id="14378">
    <w:p>
      <w:pPr>
        <w:pStyle w:val="FootnoteText"/>
      </w:pPr>
      <w:r>
        <w:rPr>
          <w:rStyle w:val="FootnoteReference"/>
        </w:rPr>
        <w:footnoteRef/>
      </w:r>
      <w:r>
        <w:t xml:space="preserve"> Cross-references for "their": Ps 146:8; Isa 35:5.</w:t>
      </w:r>
    </w:p>
  </w:footnote>
  <w:footnote w:id="14379">
    <w:p>
      <w:pPr>
        <w:pStyle w:val="FootnoteText"/>
      </w:pPr>
      <w:r>
        <w:rPr>
          <w:rStyle w:val="FootnoteReference"/>
        </w:rPr>
        <w:footnoteRef/>
      </w:r>
      <w:r>
        <w:t xml:space="preserve"> Cross-references for "spread": Mark 1:44-45; Mark 7:36.</w:t>
      </w:r>
    </w:p>
  </w:footnote>
  <w:footnote w:id="14380">
    <w:p>
      <w:pPr>
        <w:pStyle w:val="FootnoteText"/>
      </w:pPr>
      <w:r>
        <w:rPr>
          <w:rStyle w:val="FootnoteReference"/>
        </w:rPr>
        <w:footnoteRef/>
      </w:r>
      <w:r>
        <w:t xml:space="preserve"> Cross-references for "The harvest": Matt 28:19; Mark 16:15.</w:t>
      </w:r>
    </w:p>
  </w:footnote>
  <w:footnote w:id="14381">
    <w:p>
      <w:pPr>
        <w:pStyle w:val="FootnoteText"/>
      </w:pPr>
      <w:r>
        <w:rPr>
          <w:rStyle w:val="FootnoteReference"/>
        </w:rPr>
        <w:footnoteRef/>
      </w:r>
      <w:r>
        <w:t xml:space="preserve"> Cross-references for "Pray": Luke 6:12-13; Acts 13:2.</w:t>
      </w:r>
    </w:p>
  </w:footnote>
  <w:footnote w:id="14382">
    <w:p>
      <w:pPr>
        <w:pStyle w:val="FootnoteText"/>
      </w:pPr>
      <w:r>
        <w:rPr>
          <w:rStyle w:val="FootnoteReference"/>
        </w:rPr>
        <w:footnoteRef/>
      </w:r>
      <w:r>
        <w:t xml:space="preserve"> Cross-references for "called": Matt 19:28; Matt 26:20.</w:t>
      </w:r>
    </w:p>
  </w:footnote>
  <w:footnote w:id="14383">
    <w:p>
      <w:pPr>
        <w:pStyle w:val="FootnoteText"/>
      </w:pPr>
      <w:r>
        <w:rPr>
          <w:rStyle w:val="FootnoteReference"/>
        </w:rPr>
        <w:footnoteRef/>
      </w:r>
      <w:r>
        <w:t xml:space="preserve"> Cross-references for "apostles": Luke 6:13; Luke 9:10.</w:t>
      </w:r>
    </w:p>
  </w:footnote>
  <w:footnote w:id="14384">
    <w:p>
      <w:pPr>
        <w:pStyle w:val="FootnoteText"/>
      </w:pPr>
      <w:r>
        <w:rPr>
          <w:rStyle w:val="FootnoteReference"/>
        </w:rPr>
        <w:footnoteRef/>
      </w:r>
      <w:r>
        <w:t xml:space="preserve"> Name meaning: Philip (Philippos) — Lover of horses. Brought people to Jesus.</w:t>
      </w:r>
    </w:p>
  </w:footnote>
  <w:footnote w:id="14385">
    <w:p>
      <w:pPr>
        <w:pStyle w:val="FootnoteText"/>
      </w:pPr>
      <w:r>
        <w:rPr>
          <w:rStyle w:val="FootnoteReference"/>
        </w:rPr>
        <w:footnoteRef/>
      </w:r>
      <w:r>
        <w:t xml:space="preserve"> Name meaning: Bartholomew (Nathanael) — Gift of God. Jesus called him an Israelite in whom is no deceit.</w:t>
      </w:r>
    </w:p>
  </w:footnote>
  <w:footnote w:id="14386">
    <w:p>
      <w:pPr>
        <w:pStyle w:val="FootnoteText"/>
      </w:pPr>
      <w:r>
        <w:rPr>
          <w:rStyle w:val="FootnoteReference"/>
        </w:rPr>
        <w:footnoteRef/>
      </w:r>
      <w:r>
        <w:t xml:space="preserve"> Name meaning: Thomas (Taoma) — Twin. Later confessed, “My Lord and my God!”</w:t>
      </w:r>
    </w:p>
  </w:footnote>
  <w:footnote w:id="14387">
    <w:p>
      <w:pPr>
        <w:pStyle w:val="FootnoteText"/>
      </w:pPr>
      <w:r>
        <w:rPr>
          <w:rStyle w:val="FootnoteReference"/>
        </w:rPr>
        <w:footnoteRef/>
      </w:r>
      <w:r>
        <w:t xml:space="preserve"> Personal name: Alphaeus. Personal-name meaning: Alphaeus — learned; chief. Source form: Alphaeus.</w:t>
      </w:r>
    </w:p>
  </w:footnote>
  <w:footnote w:id="14388">
    <w:p>
      <w:pPr>
        <w:pStyle w:val="FootnoteText"/>
      </w:pPr>
      <w:r>
        <w:rPr>
          <w:rStyle w:val="FootnoteReference"/>
        </w:rPr>
        <w:footnoteRef/>
      </w:r>
      <w:r>
        <w:t xml:space="preserve"> Personal name: Thaddaeus. Personal-name meaning: Thaddaeus — praising/confessing. Source form: Thaddaeus.</w:t>
      </w:r>
    </w:p>
  </w:footnote>
  <w:footnote w:id="14389">
    <w:p>
      <w:pPr>
        <w:pStyle w:val="FootnoteText"/>
      </w:pPr>
      <w:r>
        <w:rPr>
          <w:rStyle w:val="FootnoteReference"/>
        </w:rPr>
        <w:footnoteRef/>
      </w:r>
      <w:r>
        <w:t xml:space="preserve"> Cross-references for "Philip": Mark 3:18; Luke 6:14.</w:t>
      </w:r>
    </w:p>
  </w:footnote>
  <w:footnote w:id="14390">
    <w:p>
      <w:pPr>
        <w:pStyle w:val="FootnoteText"/>
      </w:pPr>
      <w:r>
        <w:rPr>
          <w:rStyle w:val="FootnoteReference"/>
        </w:rPr>
        <w:footnoteRef/>
      </w:r>
      <w:r>
        <w:t xml:space="preserve"> Cross-references for "Simon": Mark 3:18; Luke 6:15.</w:t>
      </w:r>
    </w:p>
  </w:footnote>
  <w:footnote w:id="14391">
    <w:p>
      <w:pPr>
        <w:pStyle w:val="FootnoteText"/>
      </w:pPr>
      <w:r>
        <w:rPr>
          <w:rStyle w:val="FootnoteReference"/>
        </w:rPr>
        <w:footnoteRef/>
      </w:r>
      <w:r>
        <w:t xml:space="preserve"> People-name: Canaanite. People-name meaning: Canaanite — Lowland; humbled; merchant-land. Source form: Canaanite.</w:t>
      </w:r>
    </w:p>
  </w:footnote>
  <w:footnote w:id="14392">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14393">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14394">
    <w:p>
      <w:pPr>
        <w:pStyle w:val="FootnoteText"/>
      </w:pPr>
      <w:r>
        <w:rPr>
          <w:rStyle w:val="FootnoteReference"/>
        </w:rPr>
        <w:footnoteRef/>
      </w:r>
      <w:r>
        <w:t xml:space="preserve"> Cross-references for "sent": Matt 22:3; Luke 9:2.</w:t>
      </w:r>
    </w:p>
  </w:footnote>
  <w:footnote w:id="14395">
    <w:p>
      <w:pPr>
        <w:pStyle w:val="FootnoteText"/>
      </w:pPr>
      <w:r>
        <w:rPr>
          <w:rStyle w:val="FootnoteReference"/>
        </w:rPr>
        <w:footnoteRef/>
      </w:r>
      <w:r>
        <w:t xml:space="preserve"> People-name: Samaritans. People-name meaning: Samaritans — people of Samaria; watch-mountain. Source form: Samaritans.</w:t>
      </w:r>
    </w:p>
  </w:footnote>
  <w:footnote w:id="14396">
    <w:p>
      <w:pPr>
        <w:pStyle w:val="FootnoteText"/>
      </w:pPr>
      <w:r>
        <w:rPr>
          <w:rStyle w:val="FootnoteReference"/>
        </w:rPr>
        <w:footnoteRef/>
      </w:r>
      <w:r>
        <w:t xml:space="preserve"> Cross-references for "lost": Ps 119:176; Isa 53:6.</w:t>
      </w:r>
    </w:p>
  </w:footnote>
  <w:footnote w:id="14397">
    <w:p>
      <w:pPr>
        <w:pStyle w:val="FootnoteText"/>
      </w:pPr>
      <w:r>
        <w:rPr>
          <w:rStyle w:val="FootnoteReference"/>
        </w:rPr>
        <w:footnoteRef/>
      </w:r>
      <w:r>
        <w:t xml:space="preserve"> Cross-references for "preach": Isa 61:1; Matt 4:17.</w:t>
      </w:r>
    </w:p>
  </w:footnote>
  <w:footnote w:id="14398">
    <w:p>
      <w:pPr>
        <w:pStyle w:val="FootnoteText"/>
      </w:pPr>
      <w:r>
        <w:rPr>
          <w:rStyle w:val="FootnoteReference"/>
        </w:rPr>
        <w:footnoteRef/>
      </w:r>
      <w:r>
        <w:t xml:space="preserve"> Cross-references for "Heal": Matt 10:1; Mark 16:18.</w:t>
      </w:r>
    </w:p>
  </w:footnote>
  <w:footnote w:id="14399">
    <w:p>
      <w:pPr>
        <w:pStyle w:val="FootnoteText"/>
      </w:pPr>
      <w:r>
        <w:rPr>
          <w:rStyle w:val="FootnoteReference"/>
        </w:rPr>
        <w:footnoteRef/>
      </w:r>
      <w:r>
        <w:t xml:space="preserve"> Cross-references for "inquire": Gen 19:1-3; Judg 19:16-21.</w:t>
      </w:r>
    </w:p>
  </w:footnote>
  <w:footnote w:id="14400">
    <w:p>
      <w:pPr>
        <w:pStyle w:val="FootnoteText"/>
      </w:pPr>
      <w:r>
        <w:rPr>
          <w:rStyle w:val="FootnoteReference"/>
        </w:rPr>
        <w:footnoteRef/>
      </w:r>
      <w:r>
        <w:t xml:space="preserve"> Cross-references for "salute it": Luke 10:5-6; Acts 10:36.</w:t>
      </w:r>
    </w:p>
  </w:footnote>
  <w:footnote w:id="14401">
    <w:p>
      <w:pPr>
        <w:pStyle w:val="FootnoteText"/>
      </w:pPr>
      <w:r>
        <w:rPr>
          <w:rStyle w:val="FootnoteReference"/>
        </w:rPr>
        <w:footnoteRef/>
      </w:r>
      <w:r>
        <w:t xml:space="preserve"> Cross-references for "shake": Neh 5:13; Acts 13:51.</w:t>
      </w:r>
    </w:p>
  </w:footnote>
  <w:footnote w:id="14402">
    <w:p>
      <w:pPr>
        <w:pStyle w:val="FootnoteText"/>
      </w:pPr>
      <w:r>
        <w:rPr>
          <w:rStyle w:val="FootnoteReference"/>
        </w:rPr>
        <w:footnoteRef/>
      </w:r>
      <w:r>
        <w:t xml:space="preserve"> Place name: Sodom. Place-name meaning: Sodom — their secret; their cement. Source form: Sodom. Greek form: σοδομων.</w:t>
      </w:r>
    </w:p>
  </w:footnote>
  <w:footnote w:id="14403">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4404">
    <w:p>
      <w:pPr>
        <w:pStyle w:val="FootnoteText"/>
      </w:pPr>
      <w:r>
        <w:rPr>
          <w:rStyle w:val="FootnoteReference"/>
        </w:rPr>
        <w:footnoteRef/>
      </w:r>
      <w:r>
        <w:t xml:space="preserve"> Cross-references for "as sheep": Luke 10:3; Acts 20:29.</w:t>
      </w:r>
    </w:p>
  </w:footnote>
  <w:footnote w:id="14405">
    <w:p>
      <w:pPr>
        <w:pStyle w:val="FootnoteText"/>
      </w:pPr>
      <w:r>
        <w:rPr>
          <w:rStyle w:val="FootnoteReference"/>
        </w:rPr>
        <w:footnoteRef/>
      </w:r>
      <w:r>
        <w:t xml:space="preserve"> Cross-references for "beware": Mic 7:5; Mark 13:9.</w:t>
      </w:r>
    </w:p>
  </w:footnote>
  <w:footnote w:id="14406">
    <w:p>
      <w:pPr>
        <w:pStyle w:val="FootnoteText"/>
      </w:pPr>
      <w:r>
        <w:rPr>
          <w:rStyle w:val="FootnoteReference"/>
        </w:rPr>
        <w:footnoteRef/>
      </w:r>
      <w:r>
        <w:t xml:space="preserve"> Cross-references for "for a": Matt 8:4; Mark 13:9.</w:t>
      </w:r>
    </w:p>
  </w:footnote>
  <w:footnote w:id="14407">
    <w:p>
      <w:pPr>
        <w:pStyle w:val="FootnoteText"/>
      </w:pPr>
      <w:r>
        <w:rPr>
          <w:rStyle w:val="FootnoteReference"/>
        </w:rPr>
        <w:footnoteRef/>
      </w:r>
      <w:r>
        <w:t xml:space="preserve"> Cross-references for "it shall": Exod 4:12; Exod 4:15.</w:t>
      </w:r>
    </w:p>
  </w:footnote>
  <w:footnote w:id="14408">
    <w:p>
      <w:pPr>
        <w:pStyle w:val="FootnoteText"/>
      </w:pPr>
      <w:r>
        <w:rPr>
          <w:rStyle w:val="FootnoteReference"/>
        </w:rPr>
        <w:footnoteRef/>
      </w:r>
      <w:r>
        <w:t xml:space="preserve"> Cross-references for "the brother shall": Mic 7:5-6; Zech 13:3.</w:t>
      </w:r>
    </w:p>
  </w:footnote>
  <w:footnote w:id="14409">
    <w:p>
      <w:pPr>
        <w:pStyle w:val="FootnoteText"/>
      </w:pPr>
      <w:r>
        <w:rPr>
          <w:rStyle w:val="FootnoteReference"/>
        </w:rPr>
        <w:footnoteRef/>
      </w:r>
      <w:r>
        <w:t xml:space="preserve"> Cross-references for "shall be hated": Isa 66:5-6; Matt 24:9.</w:t>
      </w:r>
    </w:p>
  </w:footnote>
  <w:footnote w:id="14410">
    <w:p>
      <w:pPr>
        <w:pStyle w:val="FootnoteText"/>
      </w:pPr>
      <w:r>
        <w:rPr>
          <w:rStyle w:val="FootnoteReference"/>
        </w:rPr>
        <w:footnoteRef/>
      </w:r>
      <w:r>
        <w:t xml:space="preserve"> Cross-references for "till": Matt 16:28; Matt 24:27.</w:t>
      </w:r>
    </w:p>
  </w:footnote>
  <w:footnote w:id="14411">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14412">
    <w:p>
      <w:pPr>
        <w:pStyle w:val="FootnoteText"/>
      </w:pPr>
      <w:r>
        <w:rPr>
          <w:rStyle w:val="FootnoteReference"/>
        </w:rPr>
        <w:footnoteRef/>
      </w:r>
      <w:r>
        <w:t xml:space="preserve"> Cross-references for "fear": Prov 28:1; Prov 29:25.</w:t>
      </w:r>
    </w:p>
  </w:footnote>
  <w:footnote w:id="14413">
    <w:p>
      <w:pPr>
        <w:pStyle w:val="FootnoteText"/>
      </w:pPr>
      <w:r>
        <w:rPr>
          <w:rStyle w:val="FootnoteReference"/>
        </w:rPr>
        <w:footnoteRef/>
      </w:r>
      <w:r>
        <w:t xml:space="preserve"> Cross-references for "I tell": Matt 13:1-17; Matt 13:34-35.</w:t>
      </w:r>
    </w:p>
  </w:footnote>
  <w:footnote w:id="14414">
    <w:p>
      <w:pPr>
        <w:pStyle w:val="FootnoteText"/>
      </w:pPr>
      <w:r>
        <w:rPr>
          <w:rStyle w:val="FootnoteReference"/>
        </w:rPr>
        <w:footnoteRef/>
      </w:r>
      <w:r>
        <w:t xml:space="preserve"> Cross-references for "able": Matt 25:46; Mark 9:43-48.</w:t>
      </w:r>
    </w:p>
  </w:footnote>
  <w:footnote w:id="14415">
    <w:p>
      <w:pPr>
        <w:pStyle w:val="FootnoteText"/>
      </w:pPr>
      <w:r>
        <w:rPr>
          <w:rStyle w:val="FootnoteReference"/>
        </w:rPr>
        <w:footnoteRef/>
      </w:r>
      <w:r>
        <w:t xml:space="preserve"> Cross-references for "and one": Ps 104:27-30.</w:t>
      </w:r>
    </w:p>
  </w:footnote>
  <w:footnote w:id="14416">
    <w:p>
      <w:pPr>
        <w:pStyle w:val="FootnoteText"/>
      </w:pPr>
      <w:r>
        <w:rPr>
          <w:rStyle w:val="FootnoteReference"/>
        </w:rPr>
        <w:footnoteRef/>
      </w:r>
      <w:r>
        <w:t xml:space="preserve"> Cross-references for "confess me": Ps 119:46; Luke 12:8-9.</w:t>
      </w:r>
    </w:p>
  </w:footnote>
  <w:footnote w:id="14417">
    <w:p>
      <w:pPr>
        <w:pStyle w:val="FootnoteText"/>
      </w:pPr>
      <w:r>
        <w:rPr>
          <w:rStyle w:val="FootnoteReference"/>
        </w:rPr>
        <w:footnoteRef/>
      </w:r>
      <w:r>
        <w:t xml:space="preserve"> Cross-references for "deny me": Matt 26:70-75; Mark 14:30.</w:t>
      </w:r>
    </w:p>
  </w:footnote>
  <w:footnote w:id="14418">
    <w:p>
      <w:pPr>
        <w:pStyle w:val="FootnoteText"/>
      </w:pPr>
      <w:r>
        <w:rPr>
          <w:rStyle w:val="FootnoteReference"/>
        </w:rPr>
        <w:footnoteRef/>
      </w:r>
      <w:r>
        <w:t xml:space="preserve"> Cross-references for "a righteous man's": Isa 3:10; Matt 6:1.</w:t>
      </w:r>
    </w:p>
  </w:footnote>
  <w:footnote w:id="14419">
    <w:p>
      <w:pPr>
        <w:pStyle w:val="FootnoteText"/>
      </w:pPr>
      <w:r>
        <w:rPr>
          <w:rStyle w:val="FootnoteReference"/>
        </w:rPr>
        <w:footnoteRef/>
      </w:r>
      <w:r>
        <w:t xml:space="preserve"> Cross-references for "a cup": Mark 9:41; Mark 12:42-43.</w:t>
      </w:r>
    </w:p>
  </w:footnote>
  <w:footnote w:id="14420">
    <w:p>
      <w:pPr>
        <w:pStyle w:val="FootnoteText"/>
      </w:pPr>
      <w:r>
        <w:rPr>
          <w:rStyle w:val="FootnoteReference"/>
        </w:rPr>
        <w:footnoteRef/>
      </w:r>
      <w:r>
        <w:t xml:space="preserve"> Cross-references for "commanding": Matt 28:20; John 15:10.</w:t>
      </w:r>
    </w:p>
  </w:footnote>
  <w:footnote w:id="14421">
    <w:p>
      <w:pPr>
        <w:pStyle w:val="FootnoteText"/>
      </w:pPr>
      <w:r>
        <w:rPr>
          <w:rStyle w:val="FootnoteReference"/>
        </w:rPr>
        <w:footnoteRef/>
      </w:r>
      <w:r>
        <w:t xml:space="preserve"> Cross-references for "blind": Ps 146:8; Isa 29:18.</w:t>
      </w:r>
    </w:p>
  </w:footnote>
  <w:footnote w:id="14422">
    <w:p>
      <w:pPr>
        <w:pStyle w:val="FootnoteText"/>
      </w:pPr>
      <w:r>
        <w:rPr>
          <w:rStyle w:val="FootnoteReference"/>
        </w:rPr>
        <w:footnoteRef/>
      </w:r>
      <w:r>
        <w:t xml:space="preserve"> Cross-references for "blessed": Ps 1:1-2; Ps 32:1-2.</w:t>
      </w:r>
    </w:p>
  </w:footnote>
  <w:footnote w:id="14423">
    <w:p>
      <w:pPr>
        <w:pStyle w:val="FootnoteText"/>
      </w:pPr>
      <w:r>
        <w:rPr>
          <w:rStyle w:val="FootnoteReference"/>
        </w:rPr>
        <w:footnoteRef/>
      </w:r>
      <w:r>
        <w:t xml:space="preserve"> Cross-references for "Jesus": Luke 7:24-30.</w:t>
      </w:r>
    </w:p>
  </w:footnote>
  <w:footnote w:id="14424">
    <w:p>
      <w:pPr>
        <w:pStyle w:val="FootnoteText"/>
      </w:pPr>
      <w:r>
        <w:rPr>
          <w:rStyle w:val="FootnoteReference"/>
        </w:rPr>
        <w:footnoteRef/>
      </w:r>
      <w:r>
        <w:t xml:space="preserve"> Cross-references for "A man": 2Kgs 1:8; Isa 20:2.</w:t>
      </w:r>
    </w:p>
  </w:footnote>
  <w:footnote w:id="14425">
    <w:p>
      <w:pPr>
        <w:pStyle w:val="FootnoteText"/>
      </w:pPr>
      <w:r>
        <w:rPr>
          <w:rStyle w:val="FootnoteReference"/>
        </w:rPr>
        <w:footnoteRef/>
      </w:r>
      <w:r>
        <w:t xml:space="preserve"> Cross-references for "A prophet": Matt 11:13-14; Matt 14:5.</w:t>
      </w:r>
    </w:p>
  </w:footnote>
  <w:footnote w:id="14426">
    <w:p>
      <w:pPr>
        <w:pStyle w:val="FootnoteText"/>
      </w:pPr>
      <w:r>
        <w:rPr>
          <w:rStyle w:val="FootnoteReference"/>
        </w:rPr>
        <w:footnoteRef/>
      </w:r>
      <w:r>
        <w:t xml:space="preserve"> Cross-references for "born": Job 14:1; Job 14:4.</w:t>
      </w:r>
    </w:p>
  </w:footnote>
  <w:footnote w:id="14427">
    <w:p>
      <w:pPr>
        <w:pStyle w:val="FootnoteText"/>
      </w:pPr>
      <w:r>
        <w:rPr>
          <w:rStyle w:val="FootnoteReference"/>
        </w:rPr>
        <w:footnoteRef/>
      </w:r>
      <w:r>
        <w:t xml:space="preserve"> Personal name: Elijah. Personal-name meaning: Elijah — My God is Yahweh. Source form: Elijah.</w:t>
      </w:r>
    </w:p>
  </w:footnote>
  <w:footnote w:id="14428">
    <w:p>
      <w:pPr>
        <w:pStyle w:val="FootnoteText"/>
      </w:pPr>
      <w:r>
        <w:rPr>
          <w:rStyle w:val="FootnoteReference"/>
        </w:rPr>
        <w:footnoteRef/>
      </w:r>
      <w:r>
        <w:t xml:space="preserve"> Cross-references for "piped": 1Kgs 1:40; Isa 30:29.</w:t>
      </w:r>
    </w:p>
  </w:footnote>
  <w:footnote w:id="14429">
    <w:p>
      <w:pPr>
        <w:pStyle w:val="FootnoteText"/>
      </w:pPr>
      <w:r>
        <w:rPr>
          <w:rStyle w:val="FootnoteReference"/>
        </w:rPr>
        <w:footnoteRef/>
      </w:r>
      <w:r>
        <w:t xml:space="preserve"> Cross-references for "John": Jer 15:17; Jer 16:8-9.</w:t>
      </w:r>
    </w:p>
  </w:footnote>
  <w:footnote w:id="14430">
    <w:p>
      <w:pPr>
        <w:pStyle w:val="FootnoteText"/>
      </w:pPr>
      <w:r>
        <w:rPr>
          <w:rStyle w:val="FootnoteReference"/>
        </w:rPr>
        <w:footnoteRef/>
      </w:r>
      <w:r>
        <w:t xml:space="preserve"> Cross-references for "a friend": Matt 9:10-11; Luke 15:1-2.</w:t>
      </w:r>
    </w:p>
  </w:footnote>
  <w:footnote w:id="14431">
    <w:p>
      <w:pPr>
        <w:pStyle w:val="FootnoteText"/>
      </w:pPr>
      <w:r>
        <w:rPr>
          <w:rStyle w:val="FootnoteReference"/>
        </w:rPr>
        <w:footnoteRef/>
      </w:r>
      <w:r>
        <w:t xml:space="preserve"> Cross-references for "began": Luke 10:13-15.</w:t>
      </w:r>
    </w:p>
  </w:footnote>
  <w:footnote w:id="14432">
    <w:p>
      <w:pPr>
        <w:pStyle w:val="FootnoteText"/>
      </w:pPr>
      <w:r>
        <w:rPr>
          <w:rStyle w:val="FootnoteReference"/>
        </w:rPr>
        <w:footnoteRef/>
      </w:r>
      <w:r>
        <w:t xml:space="preserve"> Place name: Chorazin. Place-name meaning: Chorazin — the secret; here is a mystery. Source form: Chorazin. Greek form: χοραζιν.</w:t>
      </w:r>
    </w:p>
  </w:footnote>
  <w:footnote w:id="14433">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14434">
    <w:p>
      <w:pPr>
        <w:pStyle w:val="FootnoteText"/>
      </w:pPr>
      <w:r>
        <w:rPr>
          <w:rStyle w:val="FootnoteReference"/>
        </w:rPr>
        <w:footnoteRef/>
      </w:r>
      <w:r>
        <w:t xml:space="preserve"> Place name: Tyre. Place-name meaning: Tyre — strength; rock; sharp. Source form: Tyre. Greek form: τυρω.</w:t>
      </w:r>
    </w:p>
  </w:footnote>
  <w:footnote w:id="14435">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14436">
    <w:p>
      <w:pPr>
        <w:pStyle w:val="FootnoteText"/>
      </w:pPr>
      <w:r>
        <w:rPr>
          <w:rStyle w:val="FootnoteReference"/>
        </w:rPr>
        <w:footnoteRef/>
      </w:r>
      <w:r>
        <w:t xml:space="preserve"> Cross-references for "Bethsaida": Mark 6:45; Mark 8:22.</w:t>
      </w:r>
    </w:p>
  </w:footnote>
  <w:footnote w:id="14437">
    <w:p>
      <w:pPr>
        <w:pStyle w:val="FootnoteText"/>
      </w:pPr>
      <w:r>
        <w:rPr>
          <w:rStyle w:val="FootnoteReference"/>
        </w:rPr>
        <w:footnoteRef/>
      </w:r>
      <w:r>
        <w:t xml:space="preserve"> Cross-references for "It shall": Matt 10:15; Matt 11:24.</w:t>
      </w:r>
    </w:p>
  </w:footnote>
  <w:footnote w:id="14438">
    <w:p>
      <w:pPr>
        <w:pStyle w:val="FootnoteText"/>
      </w:pPr>
      <w:r>
        <w:rPr>
          <w:rStyle w:val="FootnoteReference"/>
        </w:rPr>
        <w:footnoteRef/>
      </w:r>
      <w:r>
        <w:t xml:space="preserve"> Cross-references for "Capernaum": Matt 4:13; Matt 8:5.</w:t>
      </w:r>
    </w:p>
  </w:footnote>
  <w:footnote w:id="14439">
    <w:p>
      <w:pPr>
        <w:pStyle w:val="FootnoteText"/>
      </w:pPr>
      <w:r>
        <w:rPr>
          <w:rStyle w:val="FootnoteReference"/>
        </w:rPr>
        <w:footnoteRef/>
      </w:r>
      <w:r>
        <w:t xml:space="preserve"> Cross-references for "more": Lam 4:6; Matt 10:15.</w:t>
      </w:r>
    </w:p>
  </w:footnote>
  <w:footnote w:id="14440">
    <w:p>
      <w:pPr>
        <w:pStyle w:val="FootnoteText"/>
      </w:pPr>
      <w:r>
        <w:rPr>
          <w:rStyle w:val="FootnoteReference"/>
        </w:rPr>
        <w:footnoteRef/>
      </w:r>
      <w:r>
        <w:t xml:space="preserve"> Cross-references for "Jesus": Luke 10:21-24.</w:t>
      </w:r>
    </w:p>
  </w:footnote>
  <w:footnote w:id="14441">
    <w:p>
      <w:pPr>
        <w:pStyle w:val="FootnoteText"/>
      </w:pPr>
      <w:r>
        <w:rPr>
          <w:rStyle w:val="FootnoteReference"/>
        </w:rPr>
        <w:footnoteRef/>
      </w:r>
      <w:r>
        <w:t xml:space="preserve"> Cross-references for "and learn": Matt 11:27; Matt 28:20.</w:t>
      </w:r>
    </w:p>
  </w:footnote>
  <w:footnote w:id="14442">
    <w:p>
      <w:pPr>
        <w:pStyle w:val="FootnoteText"/>
      </w:pPr>
      <w:r>
        <w:rPr>
          <w:rStyle w:val="FootnoteReference"/>
        </w:rPr>
        <w:footnoteRef/>
      </w:r>
      <w:r>
        <w:t xml:space="preserve"> Cross-references for "my yoke": Prov 3:17; Mic 6:8.</w:t>
      </w:r>
    </w:p>
  </w:footnote>
  <w:footnote w:id="14443">
    <w:p>
      <w:pPr>
        <w:pStyle w:val="FootnoteText"/>
      </w:pPr>
      <w:r>
        <w:rPr>
          <w:rStyle w:val="FootnoteReference"/>
        </w:rPr>
        <w:footnoteRef/>
      </w:r>
      <w:r>
        <w:t xml:space="preserve"> Cross-references for "went": Mark 2:23-28; Luke 6:1-5.</w:t>
      </w:r>
    </w:p>
  </w:footnote>
  <w:footnote w:id="14444">
    <w:p>
      <w:pPr>
        <w:pStyle w:val="FootnoteText"/>
      </w:pPr>
      <w:r>
        <w:rPr>
          <w:rStyle w:val="FootnoteReference"/>
        </w:rPr>
        <w:footnoteRef/>
      </w:r>
      <w:r>
        <w:t xml:space="preserve"> Cross-references for "profane": Neh 13:17; Ezek 24:21.</w:t>
      </w:r>
    </w:p>
  </w:footnote>
  <w:footnote w:id="14445">
    <w:p>
      <w:pPr>
        <w:pStyle w:val="FootnoteText"/>
      </w:pPr>
      <w:r>
        <w:rPr>
          <w:rStyle w:val="FootnoteReference"/>
        </w:rPr>
        <w:footnoteRef/>
      </w:r>
      <w:r>
        <w:t xml:space="preserve"> Cross-references for "condemned": Job 32:3; Ps 94:21.</w:t>
      </w:r>
    </w:p>
  </w:footnote>
  <w:footnote w:id="14446">
    <w:p>
      <w:pPr>
        <w:pStyle w:val="FootnoteText"/>
      </w:pPr>
      <w:r>
        <w:rPr>
          <w:rStyle w:val="FootnoteReference"/>
        </w:rPr>
        <w:footnoteRef/>
      </w:r>
      <w:r>
        <w:t xml:space="preserve"> Cross-references for "Is it": Matt 19:3; Matt 22:17-18.</w:t>
      </w:r>
    </w:p>
  </w:footnote>
  <w:footnote w:id="14447">
    <w:p>
      <w:pPr>
        <w:pStyle w:val="FootnoteText"/>
      </w:pPr>
      <w:r>
        <w:rPr>
          <w:rStyle w:val="FootnoteReference"/>
        </w:rPr>
        <w:footnoteRef/>
      </w:r>
      <w:r>
        <w:t xml:space="preserve"> Cross-references for "and if": Exod 23:4-5; Deut 22:4.</w:t>
      </w:r>
    </w:p>
  </w:footnote>
  <w:footnote w:id="14448">
    <w:p>
      <w:pPr>
        <w:pStyle w:val="FootnoteText"/>
      </w:pPr>
      <w:r>
        <w:rPr>
          <w:rStyle w:val="FootnoteReference"/>
        </w:rPr>
        <w:footnoteRef/>
      </w:r>
      <w:r>
        <w:t xml:space="preserve"> Cross-references for "is a": Matt 6:26; Luke 12:24.</w:t>
      </w:r>
    </w:p>
  </w:footnote>
  <w:footnote w:id="14449">
    <w:p>
      <w:pPr>
        <w:pStyle w:val="FootnoteText"/>
      </w:pPr>
      <w:r>
        <w:rPr>
          <w:rStyle w:val="FootnoteReference"/>
        </w:rPr>
        <w:footnoteRef/>
      </w:r>
      <w:r>
        <w:t xml:space="preserve"> Cross-references for "and it": Luke 13:13; Acts 3:7-8.</w:t>
      </w:r>
    </w:p>
  </w:footnote>
  <w:footnote w:id="14450">
    <w:p>
      <w:pPr>
        <w:pStyle w:val="FootnoteText"/>
      </w:pPr>
      <w:r>
        <w:rPr>
          <w:rStyle w:val="FootnoteReference"/>
        </w:rPr>
        <w:footnoteRef/>
      </w:r>
      <w:r>
        <w:t xml:space="preserve"> Cross-references for "went": Matt 27:1; Mark 3:6.</w:t>
      </w:r>
    </w:p>
  </w:footnote>
  <w:footnote w:id="14451">
    <w:p>
      <w:pPr>
        <w:pStyle w:val="FootnoteText"/>
      </w:pPr>
      <w:r>
        <w:rPr>
          <w:rStyle w:val="FootnoteReference"/>
        </w:rPr>
        <w:footnoteRef/>
      </w:r>
      <w:r>
        <w:t xml:space="preserve"> Cross-references for "he withdrew": Matt 10:23; Luke 6:12.</w:t>
      </w:r>
    </w:p>
  </w:footnote>
  <w:footnote w:id="14452">
    <w:p>
      <w:pPr>
        <w:pStyle w:val="FootnoteText"/>
      </w:pPr>
      <w:r>
        <w:rPr>
          <w:rStyle w:val="FootnoteReference"/>
        </w:rPr>
        <w:footnoteRef/>
      </w:r>
      <w:r>
        <w:t xml:space="preserve"> Cross-references for "saying": Isa 42:1-4.</w:t>
      </w:r>
    </w:p>
  </w:footnote>
  <w:footnote w:id="14453">
    <w:p>
      <w:pPr>
        <w:pStyle w:val="FootnoteText"/>
      </w:pPr>
      <w:r>
        <w:rPr>
          <w:rStyle w:val="FootnoteReference"/>
        </w:rPr>
        <w:footnoteRef/>
      </w:r>
      <w:r>
        <w:t xml:space="preserve"> Cross-references for "my servant": Isa 49:5-6; Isa 52:13.</w:t>
      </w:r>
    </w:p>
  </w:footnote>
  <w:footnote w:id="14454">
    <w:p>
      <w:pPr>
        <w:pStyle w:val="FootnoteText"/>
      </w:pPr>
      <w:r>
        <w:rPr>
          <w:rStyle w:val="FootnoteReference"/>
        </w:rPr>
        <w:footnoteRef/>
      </w:r>
      <w:r>
        <w:t xml:space="preserve"> Cross-references for "bruised": 2Kgs 18:21; Ps 51:17.</w:t>
      </w:r>
    </w:p>
  </w:footnote>
  <w:footnote w:id="14455">
    <w:p>
      <w:pPr>
        <w:pStyle w:val="FootnoteText"/>
      </w:pPr>
      <w:r>
        <w:rPr>
          <w:rStyle w:val="FootnoteReference"/>
        </w:rPr>
        <w:footnoteRef/>
      </w:r>
      <w:r>
        <w:t xml:space="preserve"> Cross-references for "he healed": Mark 7:35-37; Mark 9:17-26.</w:t>
      </w:r>
    </w:p>
  </w:footnote>
  <w:footnote w:id="14456">
    <w:p>
      <w:pPr>
        <w:pStyle w:val="FootnoteText"/>
      </w:pPr>
      <w:r>
        <w:rPr>
          <w:rStyle w:val="FootnoteReference"/>
        </w:rPr>
        <w:footnoteRef/>
      </w:r>
      <w:r>
        <w:t xml:space="preserve"> Cross-references for "Beelzebub": Matt 12:27.</w:t>
      </w:r>
    </w:p>
  </w:footnote>
  <w:footnote w:id="14457">
    <w:p>
      <w:pPr>
        <w:pStyle w:val="FootnoteText"/>
      </w:pPr>
      <w:r>
        <w:rPr>
          <w:rStyle w:val="FootnoteReference"/>
        </w:rPr>
        <w:footnoteRef/>
      </w:r>
      <w:r>
        <w:t xml:space="preserve"> Cross-references for "Jesus": Ps 139:2; Jer 17:10.</w:t>
      </w:r>
    </w:p>
  </w:footnote>
  <w:footnote w:id="14458">
    <w:p>
      <w:pPr>
        <w:pStyle w:val="FootnoteText"/>
      </w:pPr>
      <w:r>
        <w:rPr>
          <w:rStyle w:val="FootnoteReference"/>
        </w:rPr>
        <w:footnoteRef/>
      </w:r>
      <w:r>
        <w:t xml:space="preserve"> Cross-references for "Beelzebub": Matt 12:24.</w:t>
      </w:r>
    </w:p>
  </w:footnote>
  <w:footnote w:id="14459">
    <w:p>
      <w:pPr>
        <w:pStyle w:val="FootnoteText"/>
      </w:pPr>
      <w:r>
        <w:rPr>
          <w:rStyle w:val="FootnoteReference"/>
        </w:rPr>
        <w:footnoteRef/>
      </w:r>
      <w:r>
        <w:t xml:space="preserve"> Cross-references for "I cast": Matt 12:18; Mark 16:17.</w:t>
      </w:r>
    </w:p>
  </w:footnote>
  <w:footnote w:id="14460">
    <w:p>
      <w:pPr>
        <w:pStyle w:val="FootnoteText"/>
      </w:pPr>
      <w:r>
        <w:rPr>
          <w:rStyle w:val="FootnoteReference"/>
        </w:rPr>
        <w:footnoteRef/>
      </w:r>
      <w:r>
        <w:t xml:space="preserve"> Cross-references for "it shall not": Job 36:13; Mark 3:29.</w:t>
      </w:r>
    </w:p>
  </w:footnote>
  <w:footnote w:id="14461">
    <w:p>
      <w:pPr>
        <w:pStyle w:val="FootnoteText"/>
      </w:pPr>
      <w:r>
        <w:rPr>
          <w:rStyle w:val="FootnoteReference"/>
        </w:rPr>
        <w:footnoteRef/>
      </w:r>
      <w:r>
        <w:t xml:space="preserve"> Cross-references for "generation": Matt 3:7; Matt 23:33.</w:t>
      </w:r>
    </w:p>
  </w:footnote>
  <w:footnote w:id="14462">
    <w:p>
      <w:pPr>
        <w:pStyle w:val="FootnoteText"/>
      </w:pPr>
      <w:r>
        <w:rPr>
          <w:rStyle w:val="FootnoteReference"/>
        </w:rPr>
        <w:footnoteRef/>
      </w:r>
      <w:r>
        <w:t xml:space="preserve"> Cross-references for "good man": Ps 37:30-31; Prov 10:20-21.</w:t>
      </w:r>
    </w:p>
  </w:footnote>
  <w:footnote w:id="14463">
    <w:p>
      <w:pPr>
        <w:pStyle w:val="FootnoteText"/>
      </w:pPr>
      <w:r>
        <w:rPr>
          <w:rStyle w:val="FootnoteReference"/>
        </w:rPr>
        <w:footnoteRef/>
      </w:r>
      <w:r>
        <w:t xml:space="preserve"> Cross-references for "For by": Prov 13:3.</w:t>
      </w:r>
    </w:p>
  </w:footnote>
  <w:footnote w:id="14464">
    <w:p>
      <w:pPr>
        <w:pStyle w:val="FootnoteText"/>
      </w:pPr>
      <w:r>
        <w:rPr>
          <w:rStyle w:val="FootnoteReference"/>
        </w:rPr>
        <w:footnoteRef/>
      </w:r>
      <w:r>
        <w:t xml:space="preserve"> Cross-references for "adulterous": Isa 57:3; Mark 8:38.</w:t>
      </w:r>
    </w:p>
  </w:footnote>
  <w:footnote w:id="14465">
    <w:p>
      <w:pPr>
        <w:pStyle w:val="FootnoteText"/>
      </w:pPr>
      <w:r>
        <w:rPr>
          <w:rStyle w:val="FootnoteReference"/>
        </w:rPr>
        <w:footnoteRef/>
      </w:r>
      <w:r>
        <w:t xml:space="preserve"> Transliterated proper noun: Jonas. Standard English equivalent: Jonah. Source form: Jonas. Greek form: ιωνα. Name meaning: Dove.</w:t>
      </w:r>
    </w:p>
  </w:footnote>
  <w:footnote w:id="14466">
    <w:p>
      <w:pPr>
        <w:pStyle w:val="FootnoteText"/>
      </w:pPr>
      <w:r>
        <w:rPr>
          <w:rStyle w:val="FootnoteReference"/>
        </w:rPr>
        <w:footnoteRef/>
      </w:r>
      <w:r>
        <w:t xml:space="preserve"> Cross-references for "in the heart": Ps 63:9; Jonah 2:2-6.</w:t>
      </w:r>
    </w:p>
  </w:footnote>
  <w:footnote w:id="14467">
    <w:p>
      <w:pPr>
        <w:pStyle w:val="FootnoteText"/>
      </w:pPr>
      <w:r>
        <w:rPr>
          <w:rStyle w:val="FootnoteReference"/>
        </w:rPr>
        <w:footnoteRef/>
      </w:r>
      <w:r>
        <w:t xml:space="preserve"> Place name: Nineveh. Place-name meaning: Nineveh — handsome; agreeable. Source form: Nineveh. Greek form: νινευιται.</w:t>
      </w:r>
    </w:p>
  </w:footnote>
  <w:footnote w:id="14468">
    <w:p>
      <w:pPr>
        <w:pStyle w:val="FootnoteText"/>
      </w:pPr>
      <w:r>
        <w:rPr>
          <w:rStyle w:val="FootnoteReference"/>
        </w:rPr>
        <w:footnoteRef/>
      </w:r>
      <w:r>
        <w:t xml:space="preserve"> Cross-references for "rise": Isa 54:17; Jer 3:11.</w:t>
      </w:r>
    </w:p>
  </w:footnote>
  <w:footnote w:id="14469">
    <w:p>
      <w:pPr>
        <w:pStyle w:val="FootnoteText"/>
      </w:pPr>
      <w:r>
        <w:rPr>
          <w:rStyle w:val="FootnoteReference"/>
        </w:rPr>
        <w:footnoteRef/>
      </w:r>
      <w:r>
        <w:t xml:space="preserve"> Cross-references for "queen": 1Kgs 10:1-13; 2Chr 9:1-12.</w:t>
      </w:r>
    </w:p>
  </w:footnote>
  <w:footnote w:id="14470">
    <w:p>
      <w:pPr>
        <w:pStyle w:val="FootnoteText"/>
      </w:pPr>
      <w:r>
        <w:rPr>
          <w:rStyle w:val="FootnoteReference"/>
        </w:rPr>
        <w:footnoteRef/>
      </w:r>
      <w:r>
        <w:t xml:space="preserve"> Cross-references for "the unclean": Luke 11:24; Acts 8:13.</w:t>
      </w:r>
    </w:p>
  </w:footnote>
  <w:footnote w:id="14471">
    <w:p>
      <w:pPr>
        <w:pStyle w:val="FootnoteText"/>
      </w:pPr>
      <w:r>
        <w:rPr>
          <w:rStyle w:val="FootnoteReference"/>
        </w:rPr>
        <w:footnoteRef/>
      </w:r>
      <w:r>
        <w:t xml:space="preserve"> Cross-references for "seven": Matt 12:24; Mark 5:9.</w:t>
      </w:r>
    </w:p>
  </w:footnote>
  <w:footnote w:id="14472">
    <w:p>
      <w:pPr>
        <w:pStyle w:val="FootnoteText"/>
      </w:pPr>
      <w:r>
        <w:rPr>
          <w:rStyle w:val="FootnoteReference"/>
        </w:rPr>
        <w:footnoteRef/>
      </w:r>
      <w:r>
        <w:t xml:space="preserve"> Cross-references for "Who is": Deut 33:9; Matt 10:37.</w:t>
      </w:r>
    </w:p>
  </w:footnote>
  <w:footnote w:id="14473">
    <w:p>
      <w:pPr>
        <w:pStyle w:val="FootnoteText"/>
      </w:pPr>
      <w:r>
        <w:rPr>
          <w:rStyle w:val="FootnoteReference"/>
        </w:rPr>
        <w:footnoteRef/>
      </w:r>
      <w:r>
        <w:t xml:space="preserve"> Cross-references for "his disciples": Matt 28:7; Mark 3:34.</w:t>
      </w:r>
    </w:p>
  </w:footnote>
  <w:footnote w:id="14474">
    <w:p>
      <w:pPr>
        <w:pStyle w:val="FootnoteText"/>
      </w:pPr>
      <w:r>
        <w:rPr>
          <w:rStyle w:val="FootnoteReference"/>
        </w:rPr>
        <w:footnoteRef/>
      </w:r>
      <w:r>
        <w:t xml:space="preserve"> Cross-references for "and sister": Song 4:9-10; Song 4:12.</w:t>
      </w:r>
    </w:p>
  </w:footnote>
  <w:footnote w:id="14475">
    <w:p>
      <w:pPr>
        <w:pStyle w:val="FootnoteText"/>
      </w:pPr>
      <w:r>
        <w:rPr>
          <w:rStyle w:val="FootnoteReference"/>
        </w:rPr>
        <w:footnoteRef/>
      </w:r>
      <w:r>
        <w:t xml:space="preserve"> Cross-references for "great": Matt 4:25; Matt 15:30.</w:t>
      </w:r>
    </w:p>
  </w:footnote>
  <w:footnote w:id="14476">
    <w:p>
      <w:pPr>
        <w:pStyle w:val="FootnoteText"/>
      </w:pPr>
      <w:r>
        <w:rPr>
          <w:rStyle w:val="FootnoteReference"/>
        </w:rPr>
        <w:footnoteRef/>
      </w:r>
      <w:r>
        <w:t xml:space="preserve"> Cross-references for "a sower": Mark 4:2-9; Luke 8:5-8.</w:t>
      </w:r>
    </w:p>
  </w:footnote>
  <w:footnote w:id="14477">
    <w:p>
      <w:pPr>
        <w:pStyle w:val="FootnoteText"/>
      </w:pPr>
      <w:r>
        <w:rPr>
          <w:rStyle w:val="FootnoteReference"/>
        </w:rPr>
        <w:footnoteRef/>
      </w:r>
      <w:r>
        <w:t xml:space="preserve"> Cross-references for "the way": Matt 13:18-19.</w:t>
      </w:r>
    </w:p>
  </w:footnote>
  <w:footnote w:id="14478">
    <w:p>
      <w:pPr>
        <w:pStyle w:val="FootnoteText"/>
      </w:pPr>
      <w:r>
        <w:rPr>
          <w:rStyle w:val="FootnoteReference"/>
        </w:rPr>
        <w:footnoteRef/>
      </w:r>
      <w:r>
        <w:t xml:space="preserve"> Cross-references for "good": Matt 13:23; Luke 8:15.</w:t>
      </w:r>
    </w:p>
  </w:footnote>
  <w:footnote w:id="14479">
    <w:p>
      <w:pPr>
        <w:pStyle w:val="FootnoteText"/>
      </w:pPr>
      <w:r>
        <w:rPr>
          <w:rStyle w:val="FootnoteReference"/>
        </w:rPr>
        <w:footnoteRef/>
      </w:r>
      <w:r>
        <w:t xml:space="preserve"> Cross-references for "mysteries": Rom 16:25; 1Cor 2:7.</w:t>
      </w:r>
    </w:p>
  </w:footnote>
  <w:footnote w:id="14480">
    <w:p>
      <w:pPr>
        <w:pStyle w:val="FootnoteText"/>
      </w:pPr>
      <w:r>
        <w:rPr>
          <w:rStyle w:val="FootnoteReference"/>
        </w:rPr>
        <w:footnoteRef/>
      </w:r>
      <w:r>
        <w:t xml:space="preserve"> Cross-references for "the prophecy": Isa 6:9-10; Ezek 12:2.</w:t>
      </w:r>
    </w:p>
  </w:footnote>
  <w:footnote w:id="14481">
    <w:p>
      <w:pPr>
        <w:pStyle w:val="FootnoteText"/>
      </w:pPr>
      <w:r>
        <w:rPr>
          <w:rStyle w:val="FootnoteReference"/>
        </w:rPr>
        <w:footnoteRef/>
      </w:r>
      <w:r>
        <w:t xml:space="preserve"> Cross-references for "ears": Zech 7:11; John 8:43-44.</w:t>
      </w:r>
    </w:p>
  </w:footnote>
  <w:footnote w:id="14482">
    <w:p>
      <w:pPr>
        <w:pStyle w:val="FootnoteText"/>
      </w:pPr>
      <w:r>
        <w:rPr>
          <w:rStyle w:val="FootnoteReference"/>
        </w:rPr>
        <w:footnoteRef/>
      </w:r>
      <w:r>
        <w:t xml:space="preserve"> Cross-references for "That many": Luke 10:24; John 8:56.</w:t>
      </w:r>
    </w:p>
  </w:footnote>
  <w:footnote w:id="14483">
    <w:p>
      <w:pPr>
        <w:pStyle w:val="FootnoteText"/>
      </w:pPr>
      <w:r>
        <w:rPr>
          <w:rStyle w:val="FootnoteReference"/>
        </w:rPr>
        <w:footnoteRef/>
      </w:r>
      <w:r>
        <w:t xml:space="preserve"> Cross-references for "the word": Matt 4:23; Luke 8:11-15.</w:t>
      </w:r>
    </w:p>
  </w:footnote>
  <w:footnote w:id="14484">
    <w:p>
      <w:pPr>
        <w:pStyle w:val="FootnoteText"/>
      </w:pPr>
      <w:r>
        <w:rPr>
          <w:rStyle w:val="FootnoteReference"/>
        </w:rPr>
        <w:footnoteRef/>
      </w:r>
      <w:r>
        <w:t xml:space="preserve"> Cross-references for "received": Matt 13:5-6.</w:t>
      </w:r>
    </w:p>
  </w:footnote>
  <w:footnote w:id="14485">
    <w:p>
      <w:pPr>
        <w:pStyle w:val="FootnoteText"/>
      </w:pPr>
      <w:r>
        <w:rPr>
          <w:rStyle w:val="FootnoteReference"/>
        </w:rPr>
        <w:footnoteRef/>
      </w:r>
      <w:r>
        <w:t xml:space="preserve"> Cross-references for "root": Job 19:28; Prov 12:3.</w:t>
      </w:r>
    </w:p>
  </w:footnote>
  <w:footnote w:id="14486">
    <w:p>
      <w:pPr>
        <w:pStyle w:val="FootnoteText"/>
      </w:pPr>
      <w:r>
        <w:rPr>
          <w:rStyle w:val="FootnoteReference"/>
        </w:rPr>
        <w:footnoteRef/>
      </w:r>
      <w:r>
        <w:t xml:space="preserve"> Cross-references for "seed": Matt 13:7; Mark 4:18.</w:t>
      </w:r>
    </w:p>
  </w:footnote>
  <w:footnote w:id="14487">
    <w:p>
      <w:pPr>
        <w:pStyle w:val="FootnoteText"/>
      </w:pPr>
      <w:r>
        <w:rPr>
          <w:rStyle w:val="FootnoteReference"/>
        </w:rPr>
        <w:footnoteRef/>
      </w:r>
      <w:r>
        <w:t xml:space="preserve"> Cross-references for "good": Prov 1:5-6; Prov 2:2-6.</w:t>
      </w:r>
    </w:p>
  </w:footnote>
  <w:footnote w:id="14488">
    <w:p>
      <w:pPr>
        <w:pStyle w:val="FootnoteText"/>
      </w:pPr>
      <w:r>
        <w:rPr>
          <w:rStyle w:val="FootnoteReference"/>
        </w:rPr>
        <w:footnoteRef/>
      </w:r>
      <w:r>
        <w:t xml:space="preserve"> Cross-references for "The kingdom": Matt 3:2; Matt 13:33.</w:t>
      </w:r>
    </w:p>
  </w:footnote>
  <w:footnote w:id="14489">
    <w:p>
      <w:pPr>
        <w:pStyle w:val="FootnoteText"/>
      </w:pPr>
      <w:r>
        <w:rPr>
          <w:rStyle w:val="FootnoteReference"/>
        </w:rPr>
        <w:footnoteRef/>
      </w:r>
      <w:r>
        <w:t xml:space="preserve"> Cross-references for "enemy": Matt 13:39; 2Cor 11:13-15.</w:t>
      </w:r>
    </w:p>
  </w:footnote>
  <w:footnote w:id="14490">
    <w:p>
      <w:pPr>
        <w:pStyle w:val="FootnoteText"/>
      </w:pPr>
      <w:r>
        <w:rPr>
          <w:rStyle w:val="FootnoteReference"/>
        </w:rPr>
        <w:footnoteRef/>
      </w:r>
      <w:r>
        <w:t xml:space="preserve"> Personal name: Sir. Personal-name meaning: Zur — stone; rock; that besieges. Standard English equivalent: Zur. Source form: Sir.</w:t>
      </w:r>
    </w:p>
  </w:footnote>
  <w:footnote w:id="14491">
    <w:p>
      <w:pPr>
        <w:pStyle w:val="FootnoteText"/>
      </w:pPr>
      <w:r>
        <w:rPr>
          <w:rStyle w:val="FootnoteReference"/>
        </w:rPr>
        <w:footnoteRef/>
      </w:r>
      <w:r>
        <w:t xml:space="preserve"> Cross-references for "both": Mal 3:18; Matt 3:12.</w:t>
      </w:r>
    </w:p>
  </w:footnote>
  <w:footnote w:id="14492">
    <w:p>
      <w:pPr>
        <w:pStyle w:val="FootnoteText"/>
      </w:pPr>
      <w:r>
        <w:rPr>
          <w:rStyle w:val="FootnoteReference"/>
        </w:rPr>
        <w:footnoteRef/>
      </w:r>
      <w:r>
        <w:t xml:space="preserve"> Cross-references for "The kingdom": Mark 4:30-32; Luke 13:18-19.</w:t>
      </w:r>
    </w:p>
  </w:footnote>
  <w:footnote w:id="14493">
    <w:p>
      <w:pPr>
        <w:pStyle w:val="FootnoteText"/>
      </w:pPr>
      <w:r>
        <w:rPr>
          <w:rStyle w:val="FootnoteReference"/>
        </w:rPr>
        <w:footnoteRef/>
      </w:r>
      <w:r>
        <w:t xml:space="preserve"> Cross-references for "the least": Ps 72:16-19; Isa 2:2-4.</w:t>
      </w:r>
    </w:p>
  </w:footnote>
  <w:footnote w:id="14494">
    <w:p>
      <w:pPr>
        <w:pStyle w:val="FootnoteText"/>
      </w:pPr>
      <w:r>
        <w:rPr>
          <w:rStyle w:val="FootnoteReference"/>
        </w:rPr>
        <w:footnoteRef/>
      </w:r>
      <w:r>
        <w:t xml:space="preserve"> Cross-references for "Another": Mark 13:20.</w:t>
      </w:r>
    </w:p>
  </w:footnote>
  <w:footnote w:id="14495">
    <w:p>
      <w:pPr>
        <w:pStyle w:val="FootnoteText"/>
      </w:pPr>
      <w:r>
        <w:rPr>
          <w:rStyle w:val="FootnoteReference"/>
        </w:rPr>
        <w:footnoteRef/>
      </w:r>
      <w:r>
        <w:t xml:space="preserve"> Cross-references for "I will open": Ps 78:2.</w:t>
      </w:r>
    </w:p>
  </w:footnote>
  <w:footnote w:id="14496">
    <w:p>
      <w:pPr>
        <w:pStyle w:val="FootnoteText"/>
      </w:pPr>
      <w:r>
        <w:rPr>
          <w:rStyle w:val="FootnoteReference"/>
        </w:rPr>
        <w:footnoteRef/>
      </w:r>
      <w:r>
        <w:t xml:space="preserve"> Cross-references for "Jesus": Matt 14:22; Matt 15:39.</w:t>
      </w:r>
    </w:p>
  </w:footnote>
  <w:footnote w:id="14497">
    <w:p>
      <w:pPr>
        <w:pStyle w:val="FootnoteText"/>
      </w:pPr>
      <w:r>
        <w:rPr>
          <w:rStyle w:val="FootnoteReference"/>
        </w:rPr>
        <w:footnoteRef/>
      </w:r>
      <w:r>
        <w:t xml:space="preserve"> Cross-references for "field": Matt 24:14; Matt 28:18-20.</w:t>
      </w:r>
    </w:p>
  </w:footnote>
  <w:footnote w:id="14498">
    <w:p>
      <w:pPr>
        <w:pStyle w:val="FootnoteText"/>
      </w:pPr>
      <w:r>
        <w:rPr>
          <w:rStyle w:val="FootnoteReference"/>
        </w:rPr>
        <w:footnoteRef/>
      </w:r>
      <w:r>
        <w:t xml:space="preserve"> Cross-references for "enemy": Matt 13:25; Matt 13:28.</w:t>
      </w:r>
    </w:p>
  </w:footnote>
  <w:footnote w:id="14499">
    <w:p>
      <w:pPr>
        <w:pStyle w:val="FootnoteText"/>
      </w:pPr>
      <w:r>
        <w:rPr>
          <w:rStyle w:val="FootnoteReference"/>
        </w:rPr>
        <w:footnoteRef/>
      </w:r>
      <w:r>
        <w:t xml:space="preserve"> Cross-references for "The Son": Matt 24:31; Mark 13:27.</w:t>
      </w:r>
    </w:p>
  </w:footnote>
  <w:footnote w:id="14500">
    <w:p>
      <w:pPr>
        <w:pStyle w:val="FootnoteText"/>
      </w:pPr>
      <w:r>
        <w:rPr>
          <w:rStyle w:val="FootnoteReference"/>
        </w:rPr>
        <w:footnoteRef/>
      </w:r>
      <w:r>
        <w:t xml:space="preserve"> Cross-references for "cast": Ps 21:9; Dan 3:6.</w:t>
      </w:r>
    </w:p>
  </w:footnote>
  <w:footnote w:id="14501">
    <w:p>
      <w:pPr>
        <w:pStyle w:val="FootnoteText"/>
      </w:pPr>
      <w:r>
        <w:rPr>
          <w:rStyle w:val="FootnoteReference"/>
        </w:rPr>
        <w:footnoteRef/>
      </w:r>
      <w:r>
        <w:t xml:space="preserve"> Cross-references for "for joy": Matt 19:21; Matt 19:27.</w:t>
      </w:r>
    </w:p>
  </w:footnote>
  <w:footnote w:id="14502">
    <w:p>
      <w:pPr>
        <w:pStyle w:val="FootnoteText"/>
      </w:pPr>
      <w:r>
        <w:rPr>
          <w:rStyle w:val="FootnoteReference"/>
        </w:rPr>
        <w:footnoteRef/>
      </w:r>
      <w:r>
        <w:t xml:space="preserve"> Cross-references for "seeking": Job 28:18; Ps 4:6-7.</w:t>
      </w:r>
    </w:p>
  </w:footnote>
  <w:footnote w:id="14503">
    <w:p>
      <w:pPr>
        <w:pStyle w:val="FootnoteText"/>
      </w:pPr>
      <w:r>
        <w:rPr>
          <w:rStyle w:val="FootnoteReference"/>
        </w:rPr>
        <w:footnoteRef/>
      </w:r>
      <w:r>
        <w:t xml:space="preserve"> Cross-references for "went": Mark 10:28-31; Luke 18:28-30.</w:t>
      </w:r>
    </w:p>
  </w:footnote>
  <w:footnote w:id="14504">
    <w:p>
      <w:pPr>
        <w:pStyle w:val="FootnoteText"/>
      </w:pPr>
      <w:r>
        <w:rPr>
          <w:rStyle w:val="FootnoteReference"/>
        </w:rPr>
        <w:footnoteRef/>
      </w:r>
      <w:r>
        <w:t xml:space="preserve"> Cross-references for "a net": Matt 4:19; Mark 1:17.</w:t>
      </w:r>
    </w:p>
  </w:footnote>
  <w:footnote w:id="14505">
    <w:p>
      <w:pPr>
        <w:pStyle w:val="FootnoteText"/>
      </w:pPr>
      <w:r>
        <w:rPr>
          <w:rStyle w:val="FootnoteReference"/>
        </w:rPr>
        <w:footnoteRef/>
      </w:r>
      <w:r>
        <w:t xml:space="preserve"> Cross-references for "and gathered": Matt 3:12; Matt 13:30.</w:t>
      </w:r>
    </w:p>
  </w:footnote>
  <w:footnote w:id="14506">
    <w:p>
      <w:pPr>
        <w:pStyle w:val="FootnoteText"/>
      </w:pPr>
      <w:r>
        <w:rPr>
          <w:rStyle w:val="FootnoteReference"/>
        </w:rPr>
        <w:footnoteRef/>
      </w:r>
      <w:r>
        <w:t xml:space="preserve"> Cross-references for "the angels": Matt 13:39; Matt 24:31.</w:t>
      </w:r>
    </w:p>
  </w:footnote>
  <w:footnote w:id="14507">
    <w:p>
      <w:pPr>
        <w:pStyle w:val="FootnoteText"/>
      </w:pPr>
      <w:r>
        <w:rPr>
          <w:rStyle w:val="FootnoteReference"/>
        </w:rPr>
        <w:footnoteRef/>
      </w:r>
      <w:r>
        <w:t xml:space="preserve"> Cross-references for "cast": Matt 13:42.</w:t>
      </w:r>
    </w:p>
  </w:footnote>
  <w:footnote w:id="14508">
    <w:p>
      <w:pPr>
        <w:pStyle w:val="FootnoteText"/>
      </w:pPr>
      <w:r>
        <w:rPr>
          <w:rStyle w:val="FootnoteReference"/>
        </w:rPr>
        <w:footnoteRef/>
      </w:r>
      <w:r>
        <w:t xml:space="preserve"> Cross-references for "scribe": Ezra 7:6; Ezra 7:10.</w:t>
      </w:r>
    </w:p>
  </w:footnote>
  <w:footnote w:id="14509">
    <w:p>
      <w:pPr>
        <w:pStyle w:val="FootnoteText"/>
      </w:pPr>
      <w:r>
        <w:rPr>
          <w:rStyle w:val="FootnoteReference"/>
        </w:rPr>
        <w:footnoteRef/>
      </w:r>
      <w:r>
        <w:t xml:space="preserve"> Cross-references for "he taught": Ps 22:22; Ps 40:9-10.</w:t>
      </w:r>
    </w:p>
  </w:footnote>
  <w:footnote w:id="14510">
    <w:p>
      <w:pPr>
        <w:pStyle w:val="FootnoteText"/>
      </w:pPr>
      <w:r>
        <w:rPr>
          <w:rStyle w:val="FootnoteReference"/>
        </w:rPr>
        <w:footnoteRef/>
      </w:r>
      <w:r>
        <w:t xml:space="preserve"> Cross-references for "Is not this": Matt 1:18-20; Luke 1:27.</w:t>
      </w:r>
    </w:p>
  </w:footnote>
  <w:footnote w:id="14511">
    <w:p>
      <w:pPr>
        <w:pStyle w:val="FootnoteText"/>
      </w:pPr>
      <w:r>
        <w:rPr>
          <w:rStyle w:val="FootnoteReference"/>
        </w:rPr>
        <w:footnoteRef/>
      </w:r>
      <w:r>
        <w:t xml:space="preserve"> Personal name: Joses. Personal-name meaning: Joses — raised; who pardons. Source form: Joses.</w:t>
      </w:r>
    </w:p>
  </w:footnote>
  <w:footnote w:id="14512">
    <w:p>
      <w:pPr>
        <w:pStyle w:val="FootnoteText"/>
      </w:pPr>
      <w:r>
        <w:rPr>
          <w:rStyle w:val="FootnoteReference"/>
        </w:rPr>
        <w:footnoteRef/>
      </w:r>
      <w:r>
        <w:t xml:space="preserve"> Cross-references for "A prophet": Mark 6:14; Luke 4:24.</w:t>
      </w:r>
    </w:p>
  </w:footnote>
  <w:footnote w:id="14513">
    <w:p>
      <w:pPr>
        <w:pStyle w:val="FootnoteText"/>
      </w:pPr>
      <w:r>
        <w:rPr>
          <w:rStyle w:val="FootnoteReference"/>
        </w:rPr>
        <w:footnoteRef/>
      </w:r>
      <w:r>
        <w:t xml:space="preserve"> Cross-references for "Herod": Mark 6:14-16; Mark 8:15.</w:t>
      </w:r>
    </w:p>
  </w:footnote>
  <w:footnote w:id="14514">
    <w:p>
      <w:pPr>
        <w:pStyle w:val="FootnoteText"/>
      </w:pPr>
      <w:r>
        <w:rPr>
          <w:rStyle w:val="FootnoteReference"/>
        </w:rPr>
        <w:footnoteRef/>
      </w:r>
      <w:r>
        <w:t xml:space="preserve"> Cross-references for "Herod": Matt 4:12; Mark 6:17.</w:t>
      </w:r>
    </w:p>
  </w:footnote>
  <w:footnote w:id="14515">
    <w:p>
      <w:pPr>
        <w:pStyle w:val="FootnoteText"/>
      </w:pPr>
      <w:r>
        <w:rPr>
          <w:rStyle w:val="FootnoteReference"/>
        </w:rPr>
        <w:footnoteRef/>
      </w:r>
      <w:r>
        <w:t xml:space="preserve"> Name meaning: Herodias (Herodias) — Heroic. Manipulative figure who sought John’s head.</w:t>
      </w:r>
    </w:p>
  </w:footnote>
  <w:footnote w:id="14516">
    <w:p>
      <w:pPr>
        <w:pStyle w:val="FootnoteText"/>
      </w:pPr>
      <w:r>
        <w:rPr>
          <w:rStyle w:val="FootnoteReference"/>
        </w:rPr>
        <w:footnoteRef/>
      </w:r>
      <w:r>
        <w:t xml:space="preserve"> Cross-references for "birthday": Gen 40:20; Dan 5:1-4.</w:t>
      </w:r>
    </w:p>
  </w:footnote>
  <w:footnote w:id="14517">
    <w:p>
      <w:pPr>
        <w:pStyle w:val="FootnoteText"/>
      </w:pPr>
      <w:r>
        <w:rPr>
          <w:rStyle w:val="FootnoteReference"/>
        </w:rPr>
        <w:footnoteRef/>
      </w:r>
      <w:r>
        <w:t xml:space="preserve"> Cross-references for "Give": 1Kgs 18:4; 1Kgs 18:13.</w:t>
      </w:r>
    </w:p>
  </w:footnote>
  <w:footnote w:id="14518">
    <w:p>
      <w:pPr>
        <w:pStyle w:val="FootnoteText"/>
      </w:pPr>
      <w:r>
        <w:rPr>
          <w:rStyle w:val="FootnoteReference"/>
        </w:rPr>
        <w:footnoteRef/>
      </w:r>
      <w:r>
        <w:t xml:space="preserve"> Cross-references for "sorry": Dan 6:14-16; Matt 14:5.</w:t>
      </w:r>
    </w:p>
  </w:footnote>
  <w:footnote w:id="14519">
    <w:p>
      <w:pPr>
        <w:pStyle w:val="FootnoteText"/>
      </w:pPr>
      <w:r>
        <w:rPr>
          <w:rStyle w:val="FootnoteReference"/>
        </w:rPr>
        <w:footnoteRef/>
      </w:r>
      <w:r>
        <w:t xml:space="preserve"> Cross-references for "and beheaded": 2Chr 36:16; Jer 2:30.</w:t>
      </w:r>
    </w:p>
  </w:footnote>
  <w:footnote w:id="14520">
    <w:p>
      <w:pPr>
        <w:pStyle w:val="FootnoteText"/>
      </w:pPr>
      <w:r>
        <w:rPr>
          <w:rStyle w:val="FootnoteReference"/>
        </w:rPr>
        <w:footnoteRef/>
      </w:r>
      <w:r>
        <w:t xml:space="preserve"> Cross-references for "and given": Gen 49:7; Prov 27:4.</w:t>
      </w:r>
    </w:p>
  </w:footnote>
  <w:footnote w:id="14521">
    <w:p>
      <w:pPr>
        <w:pStyle w:val="FootnoteText"/>
      </w:pPr>
      <w:r>
        <w:rPr>
          <w:rStyle w:val="FootnoteReference"/>
        </w:rPr>
        <w:footnoteRef/>
      </w:r>
      <w:r>
        <w:t xml:space="preserve"> Cross-references for "took": Matt 27:58-61; Acts 8:2.</w:t>
      </w:r>
    </w:p>
  </w:footnote>
  <w:footnote w:id="14522">
    <w:p>
      <w:pPr>
        <w:pStyle w:val="FootnoteText"/>
      </w:pPr>
      <w:r>
        <w:rPr>
          <w:rStyle w:val="FootnoteReference"/>
        </w:rPr>
        <w:footnoteRef/>
      </w:r>
      <w:r>
        <w:t xml:space="preserve"> Cross-references for "send": Matt 15:23; Mark 8:3.</w:t>
      </w:r>
    </w:p>
  </w:footnote>
  <w:footnote w:id="14523">
    <w:p>
      <w:pPr>
        <w:pStyle w:val="FootnoteText"/>
      </w:pPr>
      <w:r>
        <w:rPr>
          <w:rStyle w:val="FootnoteReference"/>
        </w:rPr>
        <w:footnoteRef/>
      </w:r>
      <w:r>
        <w:t xml:space="preserve"> Cross-references for "he commanded": Matt 15:35; Mark 6:39.</w:t>
      </w:r>
    </w:p>
  </w:footnote>
  <w:footnote w:id="14524">
    <w:p>
      <w:pPr>
        <w:pStyle w:val="FootnoteText"/>
      </w:pPr>
      <w:r>
        <w:rPr>
          <w:rStyle w:val="FootnoteReference"/>
        </w:rPr>
        <w:footnoteRef/>
      </w:r>
      <w:r>
        <w:t xml:space="preserve"> Cross-references for "and they took": 2Kgs 4:1-7; Matt 15:37-38.</w:t>
      </w:r>
    </w:p>
  </w:footnote>
  <w:footnote w:id="14525">
    <w:p>
      <w:pPr>
        <w:pStyle w:val="FootnoteText"/>
      </w:pPr>
      <w:r>
        <w:rPr>
          <w:rStyle w:val="FootnoteReference"/>
        </w:rPr>
        <w:footnoteRef/>
      </w:r>
      <w:r>
        <w:t xml:space="preserve"> Cross-references for "Jesus": Mark 6:45.</w:t>
      </w:r>
    </w:p>
  </w:footnote>
  <w:footnote w:id="14526">
    <w:p>
      <w:pPr>
        <w:pStyle w:val="FootnoteText"/>
      </w:pPr>
      <w:r>
        <w:rPr>
          <w:rStyle w:val="FootnoteReference"/>
        </w:rPr>
        <w:footnoteRef/>
      </w:r>
      <w:r>
        <w:t xml:space="preserve"> Cross-references for "tossed": Isa 54:11; Matt 8:24.</w:t>
      </w:r>
    </w:p>
  </w:footnote>
  <w:footnote w:id="14527">
    <w:p>
      <w:pPr>
        <w:pStyle w:val="FootnoteText"/>
      </w:pPr>
      <w:r>
        <w:rPr>
          <w:rStyle w:val="FootnoteReference"/>
        </w:rPr>
        <w:footnoteRef/>
      </w:r>
      <w:r>
        <w:t xml:space="preserve"> Cross-references for "the fourth watch": Matt 24:43; Luke 12:38.</w:t>
      </w:r>
    </w:p>
  </w:footnote>
  <w:footnote w:id="14528">
    <w:p>
      <w:pPr>
        <w:pStyle w:val="FootnoteText"/>
      </w:pPr>
      <w:r>
        <w:rPr>
          <w:rStyle w:val="FootnoteReference"/>
        </w:rPr>
        <w:footnoteRef/>
      </w:r>
      <w:r>
        <w:t xml:space="preserve"> Cross-references for "they were": 1Sam 28:12-14; Job 4:14-16.</w:t>
      </w:r>
    </w:p>
  </w:footnote>
  <w:footnote w:id="14529">
    <w:p>
      <w:pPr>
        <w:pStyle w:val="FootnoteText"/>
      </w:pPr>
      <w:r>
        <w:rPr>
          <w:rStyle w:val="FootnoteReference"/>
        </w:rPr>
        <w:footnoteRef/>
      </w:r>
      <w:r>
        <w:t xml:space="preserve"> Cross-references for "he walked": Matt 17:20; Matt 21:21.</w:t>
      </w:r>
    </w:p>
  </w:footnote>
  <w:footnote w:id="14530">
    <w:p>
      <w:pPr>
        <w:pStyle w:val="FootnoteText"/>
      </w:pPr>
      <w:r>
        <w:rPr>
          <w:rStyle w:val="FootnoteReference"/>
        </w:rPr>
        <w:footnoteRef/>
      </w:r>
      <w:r>
        <w:t xml:space="preserve"> Cross-references for "Lord": Matt 8:24-25.</w:t>
      </w:r>
    </w:p>
  </w:footnote>
  <w:footnote w:id="14531">
    <w:p>
      <w:pPr>
        <w:pStyle w:val="FootnoteText"/>
      </w:pPr>
      <w:r>
        <w:rPr>
          <w:rStyle w:val="FootnoteReference"/>
        </w:rPr>
        <w:footnoteRef/>
      </w:r>
      <w:r>
        <w:t xml:space="preserve"> Cross-references for "stretched": Ps 138:7; Isa 63:12.</w:t>
      </w:r>
    </w:p>
  </w:footnote>
  <w:footnote w:id="14532">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14533">
    <w:p>
      <w:pPr>
        <w:pStyle w:val="FootnoteText"/>
      </w:pPr>
      <w:r>
        <w:rPr>
          <w:rStyle w:val="FootnoteReference"/>
        </w:rPr>
        <w:footnoteRef/>
      </w:r>
      <w:r>
        <w:t xml:space="preserve"> Cross-references for "the land of Gennesaret": Luke 5:1.</w:t>
      </w:r>
    </w:p>
  </w:footnote>
  <w:footnote w:id="14534">
    <w:p>
      <w:pPr>
        <w:pStyle w:val="FootnoteText"/>
      </w:pPr>
      <w:r>
        <w:rPr>
          <w:rStyle w:val="FootnoteReference"/>
        </w:rPr>
        <w:footnoteRef/>
      </w:r>
      <w:r>
        <w:t xml:space="preserve"> Cross-references for "only": Matt 9:20-21; Mark 3:10.</w:t>
      </w:r>
    </w:p>
  </w:footnote>
  <w:footnote w:id="14535">
    <w:p>
      <w:pPr>
        <w:pStyle w:val="FootnoteText"/>
      </w:pPr>
      <w:r>
        <w:rPr>
          <w:rStyle w:val="FootnoteReference"/>
        </w:rPr>
        <w:footnoteRef/>
      </w:r>
      <w:r>
        <w:t xml:space="preserve"> Cross-references for "scribes": Matt 5:20; Matt 23:2.</w:t>
      </w:r>
    </w:p>
  </w:footnote>
  <w:footnote w:id="14536">
    <w:p>
      <w:pPr>
        <w:pStyle w:val="FootnoteText"/>
      </w:pPr>
      <w:r>
        <w:rPr>
          <w:rStyle w:val="FootnoteReference"/>
        </w:rPr>
        <w:footnoteRef/>
      </w:r>
      <w:r>
        <w:t xml:space="preserve"> Cross-references for "transgress": Gen 1:14; Mark 7:2.</w:t>
      </w:r>
    </w:p>
  </w:footnote>
  <w:footnote w:id="14537">
    <w:p>
      <w:pPr>
        <w:pStyle w:val="FootnoteText"/>
      </w:pPr>
      <w:r>
        <w:rPr>
          <w:rStyle w:val="FootnoteReference"/>
        </w:rPr>
        <w:footnoteRef/>
      </w:r>
      <w:r>
        <w:t xml:space="preserve"> Cross-references for "Thus": Ps 119:126; Ps 119:139.</w:t>
      </w:r>
    </w:p>
  </w:footnote>
  <w:footnote w:id="14538">
    <w:p>
      <w:pPr>
        <w:pStyle w:val="FootnoteText"/>
      </w:pPr>
      <w:r>
        <w:rPr>
          <w:rStyle w:val="FootnoteReference"/>
        </w:rPr>
        <w:footnoteRef/>
      </w:r>
      <w:r>
        <w:t xml:space="preserve"> Cross-references for "hypocrites": Matt 7:5; Matt 23:23-29.</w:t>
      </w:r>
    </w:p>
  </w:footnote>
  <w:footnote w:id="14539">
    <w:p>
      <w:pPr>
        <w:pStyle w:val="FootnoteText"/>
      </w:pPr>
      <w:r>
        <w:rPr>
          <w:rStyle w:val="FootnoteReference"/>
        </w:rPr>
        <w:footnoteRef/>
      </w:r>
      <w:r>
        <w:t xml:space="preserve"> Cross-references for "teaching": Deut 12:32; Prov 30:5-6.</w:t>
      </w:r>
    </w:p>
  </w:footnote>
  <w:footnote w:id="14540">
    <w:p>
      <w:pPr>
        <w:pStyle w:val="FootnoteText"/>
      </w:pPr>
      <w:r>
        <w:rPr>
          <w:rStyle w:val="FootnoteReference"/>
        </w:rPr>
        <w:footnoteRef/>
      </w:r>
      <w:r>
        <w:t xml:space="preserve"> Cross-references for "Hear": Isa 6:9; Isa 55:3.</w:t>
      </w:r>
    </w:p>
  </w:footnote>
  <w:footnote w:id="14541">
    <w:p>
      <w:pPr>
        <w:pStyle w:val="FootnoteText"/>
      </w:pPr>
      <w:r>
        <w:rPr>
          <w:rStyle w:val="FootnoteReference"/>
        </w:rPr>
        <w:footnoteRef/>
      </w:r>
      <w:r>
        <w:t xml:space="preserve"> Cross-references for "And if": Jer 5:31; Jer 6:15.</w:t>
      </w:r>
    </w:p>
  </w:footnote>
  <w:footnote w:id="14542">
    <w:p>
      <w:pPr>
        <w:pStyle w:val="FootnoteText"/>
      </w:pPr>
      <w:r>
        <w:rPr>
          <w:rStyle w:val="FootnoteReference"/>
        </w:rPr>
        <w:footnoteRef/>
      </w:r>
      <w:r>
        <w:t xml:space="preserve"> Cross-references for "Declare": Matt 13:36; Mark 4:34.</w:t>
      </w:r>
    </w:p>
  </w:footnote>
  <w:footnote w:id="14543">
    <w:p>
      <w:pPr>
        <w:pStyle w:val="FootnoteText"/>
      </w:pPr>
      <w:r>
        <w:rPr>
          <w:rStyle w:val="FootnoteReference"/>
        </w:rPr>
        <w:footnoteRef/>
      </w:r>
      <w:r>
        <w:t xml:space="preserve"> Cross-references for "and is": 2Kgs 10:27.</w:t>
      </w:r>
    </w:p>
  </w:footnote>
  <w:footnote w:id="14544">
    <w:p>
      <w:pPr>
        <w:pStyle w:val="FootnoteText"/>
      </w:pPr>
      <w:r>
        <w:rPr>
          <w:rStyle w:val="FootnoteReference"/>
        </w:rPr>
        <w:footnoteRef/>
      </w:r>
      <w:r>
        <w:t xml:space="preserve"> Cross-references for "evil": Ps 119:113; Isa 55:7.</w:t>
      </w:r>
    </w:p>
  </w:footnote>
  <w:footnote w:id="14545">
    <w:p>
      <w:pPr>
        <w:pStyle w:val="FootnoteText"/>
      </w:pPr>
      <w:r>
        <w:rPr>
          <w:rStyle w:val="FootnoteReference"/>
        </w:rPr>
        <w:footnoteRef/>
      </w:r>
      <w:r>
        <w:t xml:space="preserve"> Cross-references for "and departed": Mark 7:24.</w:t>
      </w:r>
    </w:p>
  </w:footnote>
  <w:footnote w:id="14546">
    <w:p>
      <w:pPr>
        <w:pStyle w:val="FootnoteText"/>
      </w:pPr>
      <w:r>
        <w:rPr>
          <w:rStyle w:val="FootnoteReference"/>
        </w:rPr>
        <w:footnoteRef/>
      </w:r>
      <w:r>
        <w:t xml:space="preserve"> Cross-references for "a woman": Ps 45:12; Ezek 3:6.</w:t>
      </w:r>
    </w:p>
  </w:footnote>
  <w:footnote w:id="14547">
    <w:p>
      <w:pPr>
        <w:pStyle w:val="FootnoteText"/>
      </w:pPr>
      <w:r>
        <w:rPr>
          <w:rStyle w:val="FootnoteReference"/>
        </w:rPr>
        <w:footnoteRef/>
      </w:r>
      <w:r>
        <w:t xml:space="preserve"> Place name: Canaan. Place-name meaning: Canaan — Lowland; humbled; merchant-land. Source form: Canaan. Greek form: χαναναια.</w:t>
      </w:r>
    </w:p>
  </w:footnote>
  <w:footnote w:id="14548">
    <w:p>
      <w:pPr>
        <w:pStyle w:val="FootnoteText"/>
      </w:pPr>
      <w:r>
        <w:rPr>
          <w:rStyle w:val="FootnoteReference"/>
        </w:rPr>
        <w:footnoteRef/>
      </w:r>
      <w:r>
        <w:t xml:space="preserve"> Cross-references for "Send": Matt 14:15; Mark 10:47-48.</w:t>
      </w:r>
    </w:p>
  </w:footnote>
  <w:footnote w:id="14549">
    <w:p>
      <w:pPr>
        <w:pStyle w:val="FootnoteText"/>
      </w:pPr>
      <w:r>
        <w:rPr>
          <w:rStyle w:val="FootnoteReference"/>
        </w:rPr>
        <w:footnoteRef/>
      </w:r>
      <w:r>
        <w:t xml:space="preserve"> Cross-references for "It is not": Matt 7:6; Mark 7:27-28.</w:t>
      </w:r>
    </w:p>
  </w:footnote>
  <w:footnote w:id="14550">
    <w:p>
      <w:pPr>
        <w:pStyle w:val="FootnoteText"/>
      </w:pPr>
      <w:r>
        <w:rPr>
          <w:rStyle w:val="FootnoteReference"/>
        </w:rPr>
        <w:footnoteRef/>
      </w:r>
      <w:r>
        <w:t xml:space="preserve"> Cross-references for "Jesus": Job 13:15; Job 23:10.</w:t>
      </w:r>
    </w:p>
  </w:footnote>
  <w:footnote w:id="14551">
    <w:p>
      <w:pPr>
        <w:pStyle w:val="FootnoteText"/>
      </w:pPr>
      <w:r>
        <w:rPr>
          <w:rStyle w:val="FootnoteReference"/>
        </w:rPr>
        <w:footnoteRef/>
      </w:r>
      <w:r>
        <w:t xml:space="preserve"> Cross-references for "and came": Mark 7:31.</w:t>
      </w:r>
    </w:p>
  </w:footnote>
  <w:footnote w:id="14552">
    <w:p>
      <w:pPr>
        <w:pStyle w:val="FootnoteText"/>
      </w:pPr>
      <w:r>
        <w:rPr>
          <w:rStyle w:val="FootnoteReference"/>
        </w:rPr>
        <w:footnoteRef/>
      </w:r>
      <w:r>
        <w:t xml:space="preserve"> Cross-references for "great": Matt 4:23-24; Matt 11:4-5.</w:t>
      </w:r>
    </w:p>
  </w:footnote>
  <w:footnote w:id="14553">
    <w:p>
      <w:pPr>
        <w:pStyle w:val="FootnoteText"/>
      </w:pPr>
      <w:r>
        <w:rPr>
          <w:rStyle w:val="FootnoteReference"/>
        </w:rPr>
        <w:footnoteRef/>
      </w:r>
      <w:r>
        <w:t xml:space="preserve"> Cross-references for "the lame": Matt 21:14; Acts 3:2-11.</w:t>
      </w:r>
    </w:p>
  </w:footnote>
  <w:footnote w:id="14554">
    <w:p>
      <w:pPr>
        <w:pStyle w:val="FootnoteText"/>
      </w:pPr>
      <w:r>
        <w:rPr>
          <w:rStyle w:val="FootnoteReference"/>
        </w:rPr>
        <w:footnoteRef/>
      </w:r>
      <w:r>
        <w:t xml:space="preserve"> Cross-references for "Jesus": Matt 9:36; Matt 14:14.</w:t>
      </w:r>
    </w:p>
  </w:footnote>
  <w:footnote w:id="14555">
    <w:p>
      <w:pPr>
        <w:pStyle w:val="FootnoteText"/>
      </w:pPr>
      <w:r>
        <w:rPr>
          <w:rStyle w:val="FootnoteReference"/>
        </w:rPr>
        <w:footnoteRef/>
      </w:r>
      <w:r>
        <w:t xml:space="preserve"> Cross-references for "to fill": Matt 14:15; Luke 9:13.</w:t>
      </w:r>
    </w:p>
  </w:footnote>
  <w:footnote w:id="14556">
    <w:p>
      <w:pPr>
        <w:pStyle w:val="FootnoteText"/>
      </w:pPr>
      <w:r>
        <w:rPr>
          <w:rStyle w:val="FootnoteReference"/>
        </w:rPr>
        <w:footnoteRef/>
      </w:r>
      <w:r>
        <w:t xml:space="preserve"> Cross-references for "to sit": Matt 14:19-21; Mark 6:39-40.</w:t>
      </w:r>
    </w:p>
  </w:footnote>
  <w:footnote w:id="14557">
    <w:p>
      <w:pPr>
        <w:pStyle w:val="FootnoteText"/>
      </w:pPr>
      <w:r>
        <w:rPr>
          <w:rStyle w:val="FootnoteReference"/>
        </w:rPr>
        <w:footnoteRef/>
      </w:r>
      <w:r>
        <w:t xml:space="preserve"> Cross-references for "and gave thanks": 1Sam 9:13; Matt 26:26-27.</w:t>
      </w:r>
    </w:p>
  </w:footnote>
  <w:footnote w:id="14558">
    <w:p>
      <w:pPr>
        <w:pStyle w:val="FootnoteText"/>
      </w:pPr>
      <w:r>
        <w:rPr>
          <w:rStyle w:val="FootnoteReference"/>
        </w:rPr>
        <w:footnoteRef/>
      </w:r>
      <w:r>
        <w:t xml:space="preserve"> Cross-references for "seven": Matt 16:9-10; Mark 8:8-9.</w:t>
      </w:r>
    </w:p>
  </w:footnote>
  <w:footnote w:id="14559">
    <w:p>
      <w:pPr>
        <w:pStyle w:val="FootnoteText"/>
      </w:pPr>
      <w:r>
        <w:rPr>
          <w:rStyle w:val="FootnoteReference"/>
        </w:rPr>
        <w:footnoteRef/>
      </w:r>
      <w:r>
        <w:t xml:space="preserve"> Cross-references for "he sent": Matt 14:22; Mark 8:10.</w:t>
      </w:r>
    </w:p>
  </w:footnote>
  <w:footnote w:id="14560">
    <w:p>
      <w:pPr>
        <w:pStyle w:val="FootnoteText"/>
      </w:pPr>
      <w:r>
        <w:rPr>
          <w:rStyle w:val="FootnoteReference"/>
        </w:rPr>
        <w:footnoteRef/>
      </w:r>
      <w:r>
        <w:t xml:space="preserve"> Transliterated proper noun: Magdala. Standard English equivalent: Magdala. Source form: Magdala. Greek form: μαγδαλα. Name meaning: tower; greatness.</w:t>
      </w:r>
    </w:p>
  </w:footnote>
  <w:footnote w:id="14561">
    <w:p>
      <w:pPr>
        <w:pStyle w:val="FootnoteText"/>
      </w:pPr>
      <w:r>
        <w:rPr>
          <w:rStyle w:val="FootnoteReference"/>
        </w:rPr>
        <w:footnoteRef/>
      </w:r>
      <w:r>
        <w:t xml:space="preserve"> Cross-references for "Pharisees": Matt 5:20; Matt 9:11.</w:t>
      </w:r>
    </w:p>
  </w:footnote>
  <w:footnote w:id="14562">
    <w:p>
      <w:pPr>
        <w:pStyle w:val="FootnoteText"/>
      </w:pPr>
      <w:r>
        <w:rPr>
          <w:rStyle w:val="FootnoteReference"/>
        </w:rPr>
        <w:footnoteRef/>
      </w:r>
      <w:r>
        <w:t xml:space="preserve"> Cross-references for "the signs": 1Chr 12:32; Matt 4:23.</w:t>
      </w:r>
    </w:p>
  </w:footnote>
  <w:footnote w:id="14563">
    <w:p>
      <w:pPr>
        <w:pStyle w:val="FootnoteText"/>
      </w:pPr>
      <w:r>
        <w:rPr>
          <w:rStyle w:val="FootnoteReference"/>
        </w:rPr>
        <w:footnoteRef/>
      </w:r>
      <w:r>
        <w:t xml:space="preserve"> Cross-references for "wicked": Matt 12:39-40; Mark 8:12.</w:t>
      </w:r>
    </w:p>
  </w:footnote>
  <w:footnote w:id="14564">
    <w:p>
      <w:pPr>
        <w:pStyle w:val="FootnoteText"/>
      </w:pPr>
      <w:r>
        <w:rPr>
          <w:rStyle w:val="FootnoteReference"/>
        </w:rPr>
        <w:footnoteRef/>
      </w:r>
      <w:r>
        <w:t xml:space="preserve"> Cross-references for "Take": Luke 12:15.</w:t>
      </w:r>
    </w:p>
  </w:footnote>
  <w:footnote w:id="14565">
    <w:p>
      <w:pPr>
        <w:pStyle w:val="FootnoteText"/>
      </w:pPr>
      <w:r>
        <w:rPr>
          <w:rStyle w:val="FootnoteReference"/>
        </w:rPr>
        <w:footnoteRef/>
      </w:r>
      <w:r>
        <w:t xml:space="preserve"> Cross-references for "the five loaves": Matt 14:17-21; Mark 6:38-44.</w:t>
      </w:r>
    </w:p>
  </w:footnote>
  <w:footnote w:id="14566">
    <w:p>
      <w:pPr>
        <w:pStyle w:val="FootnoteText"/>
      </w:pPr>
      <w:r>
        <w:rPr>
          <w:rStyle w:val="FootnoteReference"/>
        </w:rPr>
        <w:footnoteRef/>
      </w:r>
      <w:r>
        <w:t xml:space="preserve"> Place name: Caesarea. Place-name meaning: Caesarea — city of Caesar. Source form: Caesarea. Greek form: καισαρειας.</w:t>
      </w:r>
    </w:p>
  </w:footnote>
  <w:footnote w:id="14567">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4568">
    <w:p>
      <w:pPr>
        <w:pStyle w:val="FootnoteText"/>
      </w:pPr>
      <w:r>
        <w:rPr>
          <w:rStyle w:val="FootnoteReference"/>
        </w:rPr>
        <w:footnoteRef/>
      </w:r>
      <w:r>
        <w:t xml:space="preserve"> Cross-references for "Caesarea Philippi": Mark 8:27.</w:t>
      </w:r>
    </w:p>
  </w:footnote>
  <w:footnote w:id="14569">
    <w:p>
      <w:pPr>
        <w:pStyle w:val="FootnoteText"/>
      </w:pPr>
      <w:r>
        <w:rPr>
          <w:rStyle w:val="FootnoteReference"/>
        </w:rPr>
        <w:footnoteRef/>
      </w:r>
      <w:r>
        <w:t xml:space="preserve"> Cross-references for "John": Matt 14:2; Mark 8:28.</w:t>
      </w:r>
    </w:p>
  </w:footnote>
  <w:footnote w:id="14570">
    <w:p>
      <w:pPr>
        <w:pStyle w:val="FootnoteText"/>
      </w:pPr>
      <w:r>
        <w:rPr>
          <w:rStyle w:val="FootnoteReference"/>
        </w:rPr>
        <w:footnoteRef/>
      </w:r>
      <w:r>
        <w:t xml:space="preserve"> Cross-references for "the living": Deut 5:26; Ps 42:2.</w:t>
      </w:r>
    </w:p>
  </w:footnote>
  <w:footnote w:id="14571">
    <w:p>
      <w:pPr>
        <w:pStyle w:val="FootnoteText"/>
      </w:pPr>
      <w:r>
        <w:rPr>
          <w:rStyle w:val="FootnoteReference"/>
        </w:rPr>
        <w:footnoteRef/>
      </w:r>
      <w:r>
        <w:t xml:space="preserve"> Cross-references for "Blessed": Matt 5:3-11; Matt 13:16-17.</w:t>
      </w:r>
    </w:p>
  </w:footnote>
  <w:footnote w:id="14572">
    <w:p>
      <w:pPr>
        <w:pStyle w:val="FootnoteText"/>
      </w:pPr>
      <w:r>
        <w:rPr>
          <w:rStyle w:val="FootnoteReference"/>
        </w:rPr>
        <w:footnoteRef/>
      </w:r>
      <w:r>
        <w:t xml:space="preserve"> Transliterated proper noun: Barjona. Standard English equivalent: Barjona. Source form: Barjona. Greek form: ιωνα. Name meaning: son of a Jona; of a dove.</w:t>
      </w:r>
    </w:p>
  </w:footnote>
  <w:footnote w:id="14573">
    <w:p>
      <w:pPr>
        <w:pStyle w:val="FootnoteText"/>
      </w:pPr>
      <w:r>
        <w:rPr>
          <w:rStyle w:val="FootnoteReference"/>
        </w:rPr>
        <w:footnoteRef/>
      </w:r>
      <w:r>
        <w:t xml:space="preserve"> Cross-references for "upon": Isa 28:16; 1Cor 3:10-11.</w:t>
      </w:r>
    </w:p>
  </w:footnote>
  <w:footnote w:id="14574">
    <w:p>
      <w:pPr>
        <w:pStyle w:val="FootnoteText"/>
      </w:pPr>
      <w:r>
        <w:rPr>
          <w:rStyle w:val="FootnoteReference"/>
        </w:rPr>
        <w:footnoteRef/>
      </w:r>
      <w:r>
        <w:t xml:space="preserve"> Translation note: Greek ekklesia is rendered assembly here. Church is traditional and often appropriate, but assembly keeps the concrete gathered-people sense visible.</w:t>
      </w:r>
    </w:p>
  </w:footnote>
  <w:footnote w:id="14575">
    <w:p>
      <w:pPr>
        <w:pStyle w:val="FootnoteText"/>
      </w:pPr>
      <w:r>
        <w:rPr>
          <w:rStyle w:val="FootnoteReference"/>
        </w:rPr>
        <w:footnoteRef/>
      </w:r>
      <w:r>
        <w:t xml:space="preserve"> Translation note: Greek has hadou, not gehenna. The draft uses Hades so this underworld/death term is not collapsed into the broader English hell.</w:t>
      </w:r>
    </w:p>
  </w:footnote>
  <w:footnote w:id="14576">
    <w:p>
      <w:pPr>
        <w:pStyle w:val="FootnoteText"/>
      </w:pPr>
      <w:r>
        <w:rPr>
          <w:rStyle w:val="FootnoteReference"/>
        </w:rPr>
        <w:footnoteRef/>
      </w:r>
      <w:r>
        <w:t xml:space="preserve"> Cross-references for "give": Acts 2:14-42; Acts 10:34-43.</w:t>
      </w:r>
    </w:p>
  </w:footnote>
  <w:footnote w:id="14577">
    <w:p>
      <w:pPr>
        <w:pStyle w:val="FootnoteText"/>
      </w:pPr>
      <w:r>
        <w:rPr>
          <w:rStyle w:val="FootnoteReference"/>
        </w:rPr>
        <w:footnoteRef/>
      </w:r>
      <w:r>
        <w:t xml:space="preserve"> Cross-references for "charged": Matt 8:4; Matt 17:9.</w:t>
      </w:r>
    </w:p>
  </w:footnote>
  <w:footnote w:id="14578">
    <w:p>
      <w:pPr>
        <w:pStyle w:val="FootnoteText"/>
      </w:pPr>
      <w:r>
        <w:rPr>
          <w:rStyle w:val="FootnoteReference"/>
        </w:rPr>
        <w:footnoteRef/>
      </w:r>
      <w:r>
        <w:t xml:space="preserve"> Cross-references for "began": Matt 17:22-23; Matt 20:17-19.</w:t>
      </w:r>
    </w:p>
  </w:footnote>
  <w:footnote w:id="14579">
    <w:p>
      <w:pPr>
        <w:pStyle w:val="FootnoteText"/>
      </w:pPr>
      <w:r>
        <w:rPr>
          <w:rStyle w:val="FootnoteReference"/>
        </w:rPr>
        <w:footnoteRef/>
      </w:r>
      <w:r>
        <w:t xml:space="preserve"> Cross-references for "began": Matt 16:16-17; Matt 26:51-53.</w:t>
      </w:r>
    </w:p>
  </w:footnote>
  <w:footnote w:id="14580">
    <w:p>
      <w:pPr>
        <w:pStyle w:val="FootnoteText"/>
      </w:pPr>
      <w:r>
        <w:rPr>
          <w:rStyle w:val="FootnoteReference"/>
        </w:rPr>
        <w:footnoteRef/>
      </w:r>
      <w:r>
        <w:t xml:space="preserve"> Cross-references for "Satan": 2Sam 19:22; 1Chr 21:1.</w:t>
      </w:r>
    </w:p>
  </w:footnote>
  <w:footnote w:id="14581">
    <w:p>
      <w:pPr>
        <w:pStyle w:val="FootnoteText"/>
      </w:pPr>
      <w:r>
        <w:rPr>
          <w:rStyle w:val="FootnoteReference"/>
        </w:rPr>
        <w:footnoteRef/>
      </w:r>
      <w:r>
        <w:t xml:space="preserve"> Cross-references for "and take": Matt 27:32; Mark 15:21.</w:t>
      </w:r>
    </w:p>
  </w:footnote>
  <w:footnote w:id="14582">
    <w:p>
      <w:pPr>
        <w:pStyle w:val="FootnoteText"/>
      </w:pPr>
      <w:r>
        <w:rPr>
          <w:rStyle w:val="FootnoteReference"/>
        </w:rPr>
        <w:footnoteRef/>
      </w:r>
      <w:r>
        <w:t xml:space="preserve"> Cross-references for "what is": Job 2:4; Matt 5:29.</w:t>
      </w:r>
    </w:p>
  </w:footnote>
  <w:footnote w:id="14583">
    <w:p>
      <w:pPr>
        <w:pStyle w:val="FootnoteText"/>
      </w:pPr>
      <w:r>
        <w:rPr>
          <w:rStyle w:val="FootnoteReference"/>
        </w:rPr>
        <w:footnoteRef/>
      </w:r>
      <w:r>
        <w:t xml:space="preserve"> Cross-references for "the Son": Matt 24:30; Matt 25:31.</w:t>
      </w:r>
    </w:p>
  </w:footnote>
  <w:footnote w:id="14584">
    <w:p>
      <w:pPr>
        <w:pStyle w:val="FootnoteText"/>
      </w:pPr>
      <w:r>
        <w:rPr>
          <w:rStyle w:val="FootnoteReference"/>
        </w:rPr>
        <w:footnoteRef/>
      </w:r>
      <w:r>
        <w:t xml:space="preserve"> Cross-references for "taste": Luke 2:26; John 8:52.</w:t>
      </w:r>
    </w:p>
  </w:footnote>
  <w:footnote w:id="14585">
    <w:p>
      <w:pPr>
        <w:pStyle w:val="FootnoteText"/>
      </w:pPr>
      <w:r>
        <w:rPr>
          <w:rStyle w:val="FootnoteReference"/>
        </w:rPr>
        <w:footnoteRef/>
      </w:r>
      <w:r>
        <w:t xml:space="preserve"> Cross-references for "Peter": Matt 26:37; Mark 5:37.</w:t>
      </w:r>
    </w:p>
  </w:footnote>
  <w:footnote w:id="14586">
    <w:p>
      <w:pPr>
        <w:pStyle w:val="FootnoteText"/>
      </w:pPr>
      <w:r>
        <w:rPr>
          <w:rStyle w:val="FootnoteReference"/>
        </w:rPr>
        <w:footnoteRef/>
      </w:r>
      <w:r>
        <w:t xml:space="preserve"> Cross-references for "transfigured": Luke 9:29; Rom 12:2.</w:t>
      </w:r>
    </w:p>
  </w:footnote>
  <w:footnote w:id="14587">
    <w:p>
      <w:pPr>
        <w:pStyle w:val="FootnoteText"/>
      </w:pPr>
      <w:r>
        <w:rPr>
          <w:rStyle w:val="FootnoteReference"/>
        </w:rPr>
        <w:footnoteRef/>
      </w:r>
      <w:r>
        <w:t xml:space="preserve"> Cross-references for "Moses": Deut 18:18; Deut 34:5-6.</w:t>
      </w:r>
    </w:p>
  </w:footnote>
  <w:footnote w:id="14588">
    <w:p>
      <w:pPr>
        <w:pStyle w:val="FootnoteText"/>
      </w:pPr>
      <w:r>
        <w:rPr>
          <w:rStyle w:val="FootnoteReference"/>
        </w:rPr>
        <w:footnoteRef/>
      </w:r>
      <w:r>
        <w:t xml:space="preserve"> Cross-references for "answered": Mark 9:5-6; Luke 9:33.</w:t>
      </w:r>
    </w:p>
  </w:footnote>
  <w:footnote w:id="14589">
    <w:p>
      <w:pPr>
        <w:pStyle w:val="FootnoteText"/>
      </w:pPr>
      <w:r>
        <w:rPr>
          <w:rStyle w:val="FootnoteReference"/>
        </w:rPr>
        <w:footnoteRef/>
      </w:r>
      <w:r>
        <w:t xml:space="preserve"> Cross-references for "a voice": Exod 19:19; Deut 4:11-12.</w:t>
      </w:r>
    </w:p>
  </w:footnote>
  <w:footnote w:id="14590">
    <w:p>
      <w:pPr>
        <w:pStyle w:val="FootnoteText"/>
      </w:pPr>
      <w:r>
        <w:rPr>
          <w:rStyle w:val="FootnoteReference"/>
        </w:rPr>
        <w:footnoteRef/>
      </w:r>
      <w:r>
        <w:t xml:space="preserve"> Cross-references for "touched": Dan 8:18; Dan 9:21.</w:t>
      </w:r>
    </w:p>
  </w:footnote>
  <w:footnote w:id="14591">
    <w:p>
      <w:pPr>
        <w:pStyle w:val="FootnoteText"/>
      </w:pPr>
      <w:r>
        <w:rPr>
          <w:rStyle w:val="FootnoteReference"/>
        </w:rPr>
        <w:footnoteRef/>
      </w:r>
      <w:r>
        <w:t xml:space="preserve"> Cross-references for "they saw": Mark 9:8; Luke 9:36.</w:t>
      </w:r>
    </w:p>
  </w:footnote>
  <w:footnote w:id="14592">
    <w:p>
      <w:pPr>
        <w:pStyle w:val="FootnoteText"/>
      </w:pPr>
      <w:r>
        <w:rPr>
          <w:rStyle w:val="FootnoteReference"/>
        </w:rPr>
        <w:footnoteRef/>
      </w:r>
      <w:r>
        <w:t xml:space="preserve"> Cross-references for "Jesus": Matt 16:20; Mark 8:30.</w:t>
      </w:r>
    </w:p>
  </w:footnote>
  <w:footnote w:id="14593">
    <w:p>
      <w:pPr>
        <w:pStyle w:val="FootnoteText"/>
      </w:pPr>
      <w:r>
        <w:rPr>
          <w:rStyle w:val="FootnoteReference"/>
        </w:rPr>
        <w:footnoteRef/>
      </w:r>
      <w:r>
        <w:t xml:space="preserve"> Cross-references for "and restore": Mal 4:6; Luke 1:16-17.</w:t>
      </w:r>
    </w:p>
  </w:footnote>
  <w:footnote w:id="14594">
    <w:p>
      <w:pPr>
        <w:pStyle w:val="FootnoteText"/>
      </w:pPr>
      <w:r>
        <w:rPr>
          <w:rStyle w:val="FootnoteReference"/>
        </w:rPr>
        <w:footnoteRef/>
      </w:r>
      <w:r>
        <w:t xml:space="preserve"> Cross-references for "Likewise": Isa 53:3-12; Matt 16:21.</w:t>
      </w:r>
    </w:p>
  </w:footnote>
  <w:footnote w:id="14595">
    <w:p>
      <w:pPr>
        <w:pStyle w:val="FootnoteText"/>
      </w:pPr>
      <w:r>
        <w:rPr>
          <w:rStyle w:val="FootnoteReference"/>
        </w:rPr>
        <w:footnoteRef/>
      </w:r>
      <w:r>
        <w:t xml:space="preserve"> Cross-references for "the disciples": Matt 11:14.</w:t>
      </w:r>
    </w:p>
  </w:footnote>
  <w:footnote w:id="14596">
    <w:p>
      <w:pPr>
        <w:pStyle w:val="FootnoteText"/>
      </w:pPr>
      <w:r>
        <w:rPr>
          <w:rStyle w:val="FootnoteReference"/>
        </w:rPr>
        <w:footnoteRef/>
      </w:r>
      <w:r>
        <w:t xml:space="preserve"> Cross-references for "kneeling": Mark 1:40; Mark 10:17.</w:t>
      </w:r>
    </w:p>
  </w:footnote>
  <w:footnote w:id="14597">
    <w:p>
      <w:pPr>
        <w:pStyle w:val="FootnoteText"/>
      </w:pPr>
      <w:r>
        <w:rPr>
          <w:rStyle w:val="FootnoteReference"/>
        </w:rPr>
        <w:footnoteRef/>
      </w:r>
      <w:r>
        <w:t xml:space="preserve"> Cross-references for "O faithless": Matt 6:30; Matt 8:26.</w:t>
      </w:r>
    </w:p>
  </w:footnote>
  <w:footnote w:id="14598">
    <w:p>
      <w:pPr>
        <w:pStyle w:val="FootnoteText"/>
      </w:pPr>
      <w:r>
        <w:rPr>
          <w:rStyle w:val="FootnoteReference"/>
        </w:rPr>
        <w:footnoteRef/>
      </w:r>
      <w:r>
        <w:t xml:space="preserve"> Cross-references for "rebuked": Matt 12:22; Mark 1:34.</w:t>
      </w:r>
    </w:p>
  </w:footnote>
  <w:footnote w:id="14599">
    <w:p>
      <w:pPr>
        <w:pStyle w:val="FootnoteText"/>
      </w:pPr>
      <w:r>
        <w:rPr>
          <w:rStyle w:val="FootnoteReference"/>
        </w:rPr>
        <w:footnoteRef/>
      </w:r>
      <w:r>
        <w:t xml:space="preserve"> Cross-references for "a grain": Matt 13:31; Mark 4:31.</w:t>
      </w:r>
    </w:p>
  </w:footnote>
  <w:footnote w:id="14600">
    <w:p>
      <w:pPr>
        <w:pStyle w:val="FootnoteText"/>
      </w:pPr>
      <w:r>
        <w:rPr>
          <w:rStyle w:val="FootnoteReference"/>
        </w:rPr>
        <w:footnoteRef/>
      </w:r>
      <w:r>
        <w:t xml:space="preserve"> Cross-references for "The Son": Matt 16:21; Matt 20:17-18.</w:t>
      </w:r>
    </w:p>
  </w:footnote>
  <w:footnote w:id="14601">
    <w:p>
      <w:pPr>
        <w:pStyle w:val="FootnoteText"/>
      </w:pPr>
      <w:r>
        <w:rPr>
          <w:rStyle w:val="FootnoteReference"/>
        </w:rPr>
        <w:footnoteRef/>
      </w:r>
      <w:r>
        <w:t xml:space="preserve"> Cross-references for "the third": Ps 16:10; John 2:19.</w:t>
      </w:r>
    </w:p>
  </w:footnote>
  <w:footnote w:id="14602">
    <w:p>
      <w:pPr>
        <w:pStyle w:val="FootnoteText"/>
      </w:pPr>
      <w:r>
        <w:rPr>
          <w:rStyle w:val="FootnoteReference"/>
        </w:rPr>
        <w:footnoteRef/>
      </w:r>
      <w:r>
        <w:t xml:space="preserve"> Cross-references for "tribute": Exod 30:13; Exod 38:26.</w:t>
      </w:r>
    </w:p>
  </w:footnote>
  <w:footnote w:id="14603">
    <w:p>
      <w:pPr>
        <w:pStyle w:val="FootnoteText"/>
      </w:pPr>
      <w:r>
        <w:rPr>
          <w:rStyle w:val="FootnoteReference"/>
        </w:rPr>
        <w:footnoteRef/>
      </w:r>
      <w:r>
        <w:t xml:space="preserve"> Cross-references for "of their": 1Sam 17:25.</w:t>
      </w:r>
    </w:p>
  </w:footnote>
  <w:footnote w:id="14604">
    <w:p>
      <w:pPr>
        <w:pStyle w:val="FootnoteText"/>
      </w:pPr>
      <w:r>
        <w:rPr>
          <w:rStyle w:val="FootnoteReference"/>
        </w:rPr>
        <w:footnoteRef/>
      </w:r>
      <w:r>
        <w:t xml:space="preserve"> Cross-references for "and take": Gen 1:28; 1Kgs 17:4.</w:t>
      </w:r>
    </w:p>
  </w:footnote>
  <w:footnote w:id="14605">
    <w:p>
      <w:pPr>
        <w:pStyle w:val="FootnoteText"/>
      </w:pPr>
      <w:r>
        <w:rPr>
          <w:rStyle w:val="FootnoteReference"/>
        </w:rPr>
        <w:footnoteRef/>
      </w:r>
      <w:r>
        <w:t xml:space="preserve"> Cross-references for "Except": Ps 51:10-13; Ps 131:2.</w:t>
      </w:r>
    </w:p>
  </w:footnote>
  <w:footnote w:id="14606">
    <w:p>
      <w:pPr>
        <w:pStyle w:val="FootnoteText"/>
      </w:pPr>
      <w:r>
        <w:rPr>
          <w:rStyle w:val="FootnoteReference"/>
        </w:rPr>
        <w:footnoteRef/>
      </w:r>
      <w:r>
        <w:t xml:space="preserve"> Cross-references for "humble": Ps 131:1-2; Isa 57:15.</w:t>
      </w:r>
    </w:p>
  </w:footnote>
  <w:footnote w:id="14607">
    <w:p>
      <w:pPr>
        <w:pStyle w:val="FootnoteText"/>
      </w:pPr>
      <w:r>
        <w:rPr>
          <w:rStyle w:val="FootnoteReference"/>
        </w:rPr>
        <w:footnoteRef/>
      </w:r>
      <w:r>
        <w:t xml:space="preserve"> Cross-references for "receive": Matt 10:40-42; Matt 25:40.</w:t>
      </w:r>
    </w:p>
  </w:footnote>
  <w:footnote w:id="14608">
    <w:p>
      <w:pPr>
        <w:pStyle w:val="FootnoteText"/>
      </w:pPr>
      <w:r>
        <w:rPr>
          <w:rStyle w:val="FootnoteReference"/>
        </w:rPr>
        <w:footnoteRef/>
      </w:r>
      <w:r>
        <w:t xml:space="preserve"> Cross-references for "offend": Ps 105:15; Zech 2:8.</w:t>
      </w:r>
    </w:p>
  </w:footnote>
  <w:footnote w:id="14609">
    <w:p>
      <w:pPr>
        <w:pStyle w:val="FootnoteText"/>
      </w:pPr>
      <w:r>
        <w:rPr>
          <w:rStyle w:val="FootnoteReference"/>
        </w:rPr>
        <w:footnoteRef/>
      </w:r>
      <w:r>
        <w:t xml:space="preserve"> Cross-references for "and cast": Isa 2:20-21; Isa 30:22.</w:t>
      </w:r>
    </w:p>
  </w:footnote>
  <w:footnote w:id="14610">
    <w:p>
      <w:pPr>
        <w:pStyle w:val="FootnoteText"/>
      </w:pPr>
      <w:r>
        <w:rPr>
          <w:rStyle w:val="FootnoteReference"/>
        </w:rPr>
        <w:footnoteRef/>
      </w:r>
      <w:r>
        <w:t xml:space="preserve"> Cross-references for "to enter": Matt 19:17; Matt 19:23-24.</w:t>
      </w:r>
    </w:p>
  </w:footnote>
  <w:footnote w:id="14611">
    <w:p>
      <w:pPr>
        <w:pStyle w:val="FootnoteText"/>
      </w:pPr>
      <w:r>
        <w:rPr>
          <w:rStyle w:val="FootnoteReference"/>
        </w:rPr>
        <w:footnoteRef/>
      </w:r>
      <w:r>
        <w:t xml:space="preserve"> Cross-references for "heed": Ps 15:4; Zech 4:10.</w:t>
      </w:r>
    </w:p>
  </w:footnote>
  <w:footnote w:id="14612">
    <w:p>
      <w:pPr>
        <w:pStyle w:val="FootnoteText"/>
      </w:pPr>
      <w:r>
        <w:rPr>
          <w:rStyle w:val="FootnoteReference"/>
        </w:rPr>
        <w:footnoteRef/>
      </w:r>
      <w:r>
        <w:t xml:space="preserve"> Cross-references for "that in": Num 35:30; Deut 17:6.</w:t>
      </w:r>
    </w:p>
  </w:footnote>
  <w:footnote w:id="14613">
    <w:p>
      <w:pPr>
        <w:pStyle w:val="FootnoteText"/>
      </w:pPr>
      <w:r>
        <w:rPr>
          <w:rStyle w:val="FootnoteReference"/>
        </w:rPr>
        <w:footnoteRef/>
      </w:r>
      <w:r>
        <w:t xml:space="preserve"> Cross-references for "tell": Acts 6:1-3; Acts 15:6-7.</w:t>
      </w:r>
    </w:p>
  </w:footnote>
  <w:footnote w:id="14614">
    <w:p>
      <w:pPr>
        <w:pStyle w:val="FootnoteText"/>
      </w:pPr>
      <w:r>
        <w:rPr>
          <w:rStyle w:val="FootnoteReference"/>
        </w:rPr>
        <w:footnoteRef/>
      </w:r>
      <w:r>
        <w:t xml:space="preserve"> Cross-references for "That if": Matt 5:24; Matt 21:22.</w:t>
      </w:r>
    </w:p>
  </w:footnote>
  <w:footnote w:id="14615">
    <w:p>
      <w:pPr>
        <w:pStyle w:val="FootnoteText"/>
      </w:pPr>
      <w:r>
        <w:rPr>
          <w:rStyle w:val="FootnoteReference"/>
        </w:rPr>
        <w:footnoteRef/>
      </w:r>
      <w:r>
        <w:t xml:space="preserve"> Cross-references for "till": Matt 18:15; Luke 17:3-4.</w:t>
      </w:r>
    </w:p>
  </w:footnote>
  <w:footnote w:id="14616">
    <w:p>
      <w:pPr>
        <w:pStyle w:val="FootnoteText"/>
      </w:pPr>
      <w:r>
        <w:rPr>
          <w:rStyle w:val="FootnoteReference"/>
        </w:rPr>
        <w:footnoteRef/>
      </w:r>
      <w:r>
        <w:t xml:space="preserve"> Cross-references for "owed": Luke 7:41-42; Luke 13:4.</w:t>
      </w:r>
    </w:p>
  </w:footnote>
  <w:footnote w:id="14617">
    <w:p>
      <w:pPr>
        <w:pStyle w:val="FootnoteText"/>
      </w:pPr>
      <w:r>
        <w:rPr>
          <w:rStyle w:val="FootnoteReference"/>
        </w:rPr>
        <w:footnoteRef/>
      </w:r>
      <w:r>
        <w:t xml:space="preserve"> Cross-references for "commanded": Lev 25:39; 2Kgs 4:1.</w:t>
      </w:r>
    </w:p>
  </w:footnote>
  <w:footnote w:id="14618">
    <w:p>
      <w:pPr>
        <w:pStyle w:val="FootnoteText"/>
      </w:pPr>
      <w:r>
        <w:rPr>
          <w:rStyle w:val="FootnoteReference"/>
        </w:rPr>
        <w:footnoteRef/>
      </w:r>
      <w:r>
        <w:t xml:space="preserve"> Cross-references for "moved": Judg 10:16; Neh 9:17.</w:t>
      </w:r>
    </w:p>
  </w:footnote>
  <w:footnote w:id="14619">
    <w:p>
      <w:pPr>
        <w:pStyle w:val="FootnoteText"/>
      </w:pPr>
      <w:r>
        <w:rPr>
          <w:rStyle w:val="FootnoteReference"/>
        </w:rPr>
        <w:footnoteRef/>
      </w:r>
      <w:r>
        <w:t xml:space="preserve"> Cross-references for "and took": Deut 15:2; Neh 5:7.</w:t>
      </w:r>
    </w:p>
  </w:footnote>
  <w:footnote w:id="14620">
    <w:p>
      <w:pPr>
        <w:pStyle w:val="FootnoteText"/>
      </w:pPr>
      <w:r>
        <w:rPr>
          <w:rStyle w:val="FootnoteReference"/>
        </w:rPr>
        <w:footnoteRef/>
      </w:r>
      <w:r>
        <w:t xml:space="preserve"> Cross-references for "and came": Gen 37:2; Luke 14:21.</w:t>
      </w:r>
    </w:p>
  </w:footnote>
  <w:footnote w:id="14621">
    <w:p>
      <w:pPr>
        <w:pStyle w:val="FootnoteText"/>
      </w:pPr>
      <w:r>
        <w:rPr>
          <w:rStyle w:val="FootnoteReference"/>
        </w:rPr>
        <w:footnoteRef/>
      </w:r>
      <w:r>
        <w:t xml:space="preserve"> Cross-references for "and delivered": Matt 5:25-26; Luke 12:58-59.</w:t>
      </w:r>
    </w:p>
  </w:footnote>
  <w:footnote w:id="14622">
    <w:p>
      <w:pPr>
        <w:pStyle w:val="FootnoteText"/>
      </w:pPr>
      <w:r>
        <w:rPr>
          <w:rStyle w:val="FootnoteReference"/>
        </w:rPr>
        <w:footnoteRef/>
      </w:r>
      <w:r>
        <w:t xml:space="preserve"> Cross-references for "that when": Mark 10:1; John 10:40.</w:t>
      </w:r>
    </w:p>
  </w:footnote>
  <w:footnote w:id="14623">
    <w:p>
      <w:pPr>
        <w:pStyle w:val="FootnoteText"/>
      </w:pPr>
      <w:r>
        <w:rPr>
          <w:rStyle w:val="FootnoteReference"/>
        </w:rPr>
        <w:footnoteRef/>
      </w:r>
      <w:r>
        <w:t xml:space="preserve"> Cross-references for "tempting": Matt 16:1; Matt 22:16-18.</w:t>
      </w:r>
    </w:p>
  </w:footnote>
  <w:footnote w:id="14624">
    <w:p>
      <w:pPr>
        <w:pStyle w:val="FootnoteText"/>
      </w:pPr>
      <w:r>
        <w:rPr>
          <w:rStyle w:val="FootnoteReference"/>
        </w:rPr>
        <w:footnoteRef/>
      </w:r>
      <w:r>
        <w:t xml:space="preserve"> Cross-references for "said": Gen 2:21-24; Ps 45:10.</w:t>
      </w:r>
    </w:p>
  </w:footnote>
  <w:footnote w:id="14625">
    <w:p>
      <w:pPr>
        <w:pStyle w:val="FootnoteText"/>
      </w:pPr>
      <w:r>
        <w:rPr>
          <w:rStyle w:val="FootnoteReference"/>
        </w:rPr>
        <w:footnoteRef/>
      </w:r>
      <w:r>
        <w:t xml:space="preserve"> Cross-references for "except": 2Chr 21:11; Jer 3:8.</w:t>
      </w:r>
    </w:p>
  </w:footnote>
  <w:footnote w:id="14626">
    <w:p>
      <w:pPr>
        <w:pStyle w:val="FootnoteText"/>
      </w:pPr>
      <w:r>
        <w:rPr>
          <w:rStyle w:val="FootnoteReference"/>
        </w:rPr>
        <w:footnoteRef/>
      </w:r>
      <w:r>
        <w:t xml:space="preserve"> Cross-references for "brought": Gen 48:1; Gen 48:9-20.</w:t>
      </w:r>
    </w:p>
  </w:footnote>
  <w:footnote w:id="14627">
    <w:p>
      <w:pPr>
        <w:pStyle w:val="FootnoteText"/>
      </w:pPr>
      <w:r>
        <w:rPr>
          <w:rStyle w:val="FootnoteReference"/>
        </w:rPr>
        <w:footnoteRef/>
      </w:r>
      <w:r>
        <w:t xml:space="preserve"> Cross-references for "eternal": Dan 12:2; Matt 25:46.</w:t>
      </w:r>
    </w:p>
  </w:footnote>
  <w:footnote w:id="14628">
    <w:p>
      <w:pPr>
        <w:pStyle w:val="FootnoteText"/>
      </w:pPr>
      <w:r>
        <w:rPr>
          <w:rStyle w:val="FootnoteReference"/>
        </w:rPr>
        <w:footnoteRef/>
      </w:r>
      <w:r>
        <w:t xml:space="preserve"> Cross-references for "enter": Matt 5:20; Matt 18:3.</w:t>
      </w:r>
    </w:p>
  </w:footnote>
  <w:footnote w:id="14629">
    <w:p>
      <w:pPr>
        <w:pStyle w:val="FootnoteText"/>
      </w:pPr>
      <w:r>
        <w:rPr>
          <w:rStyle w:val="FootnoteReference"/>
        </w:rPr>
        <w:footnoteRef/>
      </w:r>
      <w:r>
        <w:t xml:space="preserve"> Cross-references for "we have forsaken": Deut 33:9; Matt 4:20-22.</w:t>
      </w:r>
    </w:p>
  </w:footnote>
  <w:footnote w:id="14630">
    <w:p>
      <w:pPr>
        <w:pStyle w:val="FootnoteText"/>
      </w:pPr>
      <w:r>
        <w:rPr>
          <w:rStyle w:val="FootnoteReference"/>
        </w:rPr>
        <w:footnoteRef/>
      </w:r>
      <w:r>
        <w:t xml:space="preserve"> Cross-references for "in the regeneration": Isa 65:17; Isa 66:22.</w:t>
      </w:r>
    </w:p>
  </w:footnote>
  <w:footnote w:id="14631">
    <w:p>
      <w:pPr>
        <w:pStyle w:val="FootnoteText"/>
      </w:pPr>
      <w:r>
        <w:rPr>
          <w:rStyle w:val="FootnoteReference"/>
        </w:rPr>
        <w:footnoteRef/>
      </w:r>
      <w:r>
        <w:t xml:space="preserve"> Cross-references for "inherit": Matt 19:16; Matt 25:34.</w:t>
      </w:r>
    </w:p>
  </w:footnote>
  <w:footnote w:id="14632">
    <w:p>
      <w:pPr>
        <w:pStyle w:val="FootnoteText"/>
      </w:pPr>
      <w:r>
        <w:rPr>
          <w:rStyle w:val="FootnoteReference"/>
        </w:rPr>
        <w:footnoteRef/>
      </w:r>
      <w:r>
        <w:t xml:space="preserve"> Cross-references for "the kingdom": Matt 3:2; Matt 13:24.</w:t>
      </w:r>
    </w:p>
  </w:footnote>
  <w:footnote w:id="14633">
    <w:p>
      <w:pPr>
        <w:pStyle w:val="FootnoteText"/>
      </w:pPr>
      <w:r>
        <w:rPr>
          <w:rStyle w:val="FootnoteReference"/>
        </w:rPr>
        <w:footnoteRef/>
      </w:r>
      <w:r>
        <w:t xml:space="preserve"> Cross-references for "he had": Exod 19:5-6; Deut 5:27-30.</w:t>
      </w:r>
    </w:p>
  </w:footnote>
  <w:footnote w:id="14634">
    <w:p>
      <w:pPr>
        <w:pStyle w:val="FootnoteText"/>
      </w:pPr>
      <w:r>
        <w:rPr>
          <w:rStyle w:val="FootnoteReference"/>
        </w:rPr>
        <w:footnoteRef/>
      </w:r>
      <w:r>
        <w:t xml:space="preserve"> Cross-references for "the third": Mark 15:25; Acts 2:15.</w:t>
      </w:r>
    </w:p>
  </w:footnote>
  <w:footnote w:id="14635">
    <w:p>
      <w:pPr>
        <w:pStyle w:val="FootnoteText"/>
      </w:pPr>
      <w:r>
        <w:rPr>
          <w:rStyle w:val="FootnoteReference"/>
        </w:rPr>
        <w:footnoteRef/>
      </w:r>
      <w:r>
        <w:t xml:space="preserve"> Cross-references for "sixth": Matt 27:45; Mark 15:33-34.</w:t>
      </w:r>
    </w:p>
  </w:footnote>
  <w:footnote w:id="14636">
    <w:p>
      <w:pPr>
        <w:pStyle w:val="FootnoteText"/>
      </w:pPr>
      <w:r>
        <w:rPr>
          <w:rStyle w:val="FootnoteReference"/>
        </w:rPr>
        <w:footnoteRef/>
      </w:r>
      <w:r>
        <w:t xml:space="preserve"> Cross-references for "the eleventh": Eccl 9:10; Luke 23:40-43.</w:t>
      </w:r>
    </w:p>
  </w:footnote>
  <w:footnote w:id="14637">
    <w:p>
      <w:pPr>
        <w:pStyle w:val="FootnoteText"/>
      </w:pPr>
      <w:r>
        <w:rPr>
          <w:rStyle w:val="FootnoteReference"/>
        </w:rPr>
        <w:footnoteRef/>
      </w:r>
      <w:r>
        <w:t xml:space="preserve"> Cross-references for "they murmured": Luke 5:30; Luke 15:2.</w:t>
      </w:r>
    </w:p>
  </w:footnote>
  <w:footnote w:id="14638">
    <w:p>
      <w:pPr>
        <w:pStyle w:val="FootnoteText"/>
      </w:pPr>
      <w:r>
        <w:rPr>
          <w:rStyle w:val="FootnoteReference"/>
        </w:rPr>
        <w:footnoteRef/>
      </w:r>
      <w:r>
        <w:t xml:space="preserve"> Cross-references for "equal": Luke 14:10-11; Rom 3:22-24.</w:t>
      </w:r>
    </w:p>
  </w:footnote>
  <w:footnote w:id="14639">
    <w:p>
      <w:pPr>
        <w:pStyle w:val="FootnoteText"/>
      </w:pPr>
      <w:r>
        <w:rPr>
          <w:rStyle w:val="FootnoteReference"/>
        </w:rPr>
        <w:footnoteRef/>
      </w:r>
      <w:r>
        <w:t xml:space="preserve"> Cross-references for "Friend": Matt 22:12; Matt 26:50.</w:t>
      </w:r>
    </w:p>
  </w:footnote>
  <w:footnote w:id="14640">
    <w:p>
      <w:pPr>
        <w:pStyle w:val="FootnoteText"/>
      </w:pPr>
      <w:r>
        <w:rPr>
          <w:rStyle w:val="FootnoteReference"/>
        </w:rPr>
        <w:footnoteRef/>
      </w:r>
      <w:r>
        <w:t xml:space="preserve"> Cross-references for "the last": Matt 8:11-12; Matt 19:30.</w:t>
      </w:r>
    </w:p>
  </w:footnote>
  <w:footnote w:id="14641">
    <w:p>
      <w:pPr>
        <w:pStyle w:val="FootnoteText"/>
      </w:pPr>
      <w:r>
        <w:rPr>
          <w:rStyle w:val="FootnoteReference"/>
        </w:rPr>
        <w:footnoteRef/>
      </w:r>
      <w:r>
        <w:t xml:space="preserve"> Cross-references for "Jesus": Mark 10:32-34; Luke 18:31-34.</w:t>
      </w:r>
    </w:p>
  </w:footnote>
  <w:footnote w:id="14642">
    <w:p>
      <w:pPr>
        <w:pStyle w:val="FootnoteText"/>
      </w:pPr>
      <w:r>
        <w:rPr>
          <w:rStyle w:val="FootnoteReference"/>
        </w:rPr>
        <w:footnoteRef/>
      </w:r>
      <w:r>
        <w:t xml:space="preserve"> Cross-references for "shall deliver": Matt 27:2-10; Mark 15:1.</w:t>
      </w:r>
    </w:p>
  </w:footnote>
  <w:footnote w:id="14643">
    <w:p>
      <w:pPr>
        <w:pStyle w:val="FootnoteText"/>
      </w:pPr>
      <w:r>
        <w:rPr>
          <w:rStyle w:val="FootnoteReference"/>
        </w:rPr>
        <w:footnoteRef/>
      </w:r>
      <w:r>
        <w:t xml:space="preserve"> Cross-references for "the mother": Matt 4:21; Matt 27:56.</w:t>
      </w:r>
    </w:p>
  </w:footnote>
  <w:footnote w:id="14644">
    <w:p>
      <w:pPr>
        <w:pStyle w:val="FootnoteText"/>
      </w:pPr>
      <w:r>
        <w:rPr>
          <w:rStyle w:val="FootnoteReference"/>
        </w:rPr>
        <w:footnoteRef/>
      </w:r>
      <w:r>
        <w:t xml:space="preserve"> Transliterated proper noun: Zebedees. Standard English equivalent: Zebedees. Source form: Zebedees. Greek form: ζεβεδαιου. Name meaning: abundant; portion.</w:t>
      </w:r>
    </w:p>
  </w:footnote>
  <w:footnote w:id="14645">
    <w:p>
      <w:pPr>
        <w:pStyle w:val="FootnoteText"/>
      </w:pPr>
      <w:r>
        <w:rPr>
          <w:rStyle w:val="FootnoteReference"/>
        </w:rPr>
        <w:footnoteRef/>
      </w:r>
      <w:r>
        <w:t xml:space="preserve"> Cross-references for "Grant": Jer 45:5; Matt 18:1.</w:t>
      </w:r>
    </w:p>
  </w:footnote>
  <w:footnote w:id="14646">
    <w:p>
      <w:pPr>
        <w:pStyle w:val="FootnoteText"/>
      </w:pPr>
      <w:r>
        <w:rPr>
          <w:rStyle w:val="FootnoteReference"/>
        </w:rPr>
        <w:footnoteRef/>
      </w:r>
      <w:r>
        <w:t xml:space="preserve"> Cross-references for "the cup": Ps 75:3; Jer 25:15-38.</w:t>
      </w:r>
    </w:p>
  </w:footnote>
  <w:footnote w:id="14647">
    <w:p>
      <w:pPr>
        <w:pStyle w:val="FootnoteText"/>
      </w:pPr>
      <w:r>
        <w:rPr>
          <w:rStyle w:val="FootnoteReference"/>
        </w:rPr>
        <w:footnoteRef/>
      </w:r>
      <w:r>
        <w:t xml:space="preserve"> Cross-references for "called": Matt 11:29; Matt 18:3-4.</w:t>
      </w:r>
    </w:p>
  </w:footnote>
  <w:footnote w:id="14648">
    <w:p>
      <w:pPr>
        <w:pStyle w:val="FootnoteText"/>
      </w:pPr>
      <w:r>
        <w:rPr>
          <w:rStyle w:val="FootnoteReference"/>
        </w:rPr>
        <w:footnoteRef/>
      </w:r>
      <w:r>
        <w:t xml:space="preserve"> Cross-references for "minister": Ezek 24:13; Matt 25:44.</w:t>
      </w:r>
    </w:p>
  </w:footnote>
  <w:footnote w:id="14649">
    <w:p>
      <w:pPr>
        <w:pStyle w:val="FootnoteText"/>
      </w:pPr>
      <w:r>
        <w:rPr>
          <w:rStyle w:val="FootnoteReference"/>
        </w:rPr>
        <w:footnoteRef/>
      </w:r>
      <w:r>
        <w:t xml:space="preserve"> Place name: Jericho. Place-name meaning: Jericho — his moon; his month; his sweet smell. Source form: Jericho. Greek form: ιεριχω.</w:t>
      </w:r>
    </w:p>
  </w:footnote>
  <w:footnote w:id="14650">
    <w:p>
      <w:pPr>
        <w:pStyle w:val="FootnoteText"/>
      </w:pPr>
      <w:r>
        <w:rPr>
          <w:rStyle w:val="FootnoteReference"/>
        </w:rPr>
        <w:footnoteRef/>
      </w:r>
      <w:r>
        <w:t xml:space="preserve"> Cross-references for "rebuked": Matt 15:23; Matt 19:13.</w:t>
      </w:r>
    </w:p>
  </w:footnote>
  <w:footnote w:id="14651">
    <w:p>
      <w:pPr>
        <w:pStyle w:val="FootnoteText"/>
      </w:pPr>
      <w:r>
        <w:rPr>
          <w:rStyle w:val="FootnoteReference"/>
        </w:rPr>
        <w:footnoteRef/>
      </w:r>
      <w:r>
        <w:t xml:space="preserve"> Cross-references for "Jesus": Ps 145:8; Matt 9:36.</w:t>
      </w:r>
    </w:p>
  </w:footnote>
  <w:footnote w:id="14652">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14653">
    <w:p>
      <w:pPr>
        <w:pStyle w:val="FootnoteText"/>
      </w:pPr>
      <w:r>
        <w:rPr>
          <w:rStyle w:val="FootnoteReference"/>
        </w:rPr>
        <w:footnoteRef/>
      </w:r>
      <w:r>
        <w:t xml:space="preserve"> Cross-references for "the mount": Zech 14:4; Matt 24:3.</w:t>
      </w:r>
    </w:p>
  </w:footnote>
  <w:footnote w:id="14654">
    <w:p>
      <w:pPr>
        <w:pStyle w:val="FootnoteText"/>
      </w:pPr>
      <w:r>
        <w:rPr>
          <w:rStyle w:val="FootnoteReference"/>
        </w:rPr>
        <w:footnoteRef/>
      </w:r>
      <w:r>
        <w:t xml:space="preserve"> Cross-references for "The Lord": 1Chr 29:14-16; Ps 24:1.</w:t>
      </w:r>
    </w:p>
  </w:footnote>
  <w:footnote w:id="14655">
    <w:p>
      <w:pPr>
        <w:pStyle w:val="FootnoteText"/>
      </w:pPr>
      <w:r>
        <w:rPr>
          <w:rStyle w:val="FootnoteReference"/>
        </w:rPr>
        <w:footnoteRef/>
      </w:r>
      <w:r>
        <w:t xml:space="preserve"> Cross-references for "saying": Zech 9:9; John 12:15.</w:t>
      </w:r>
    </w:p>
  </w:footnote>
  <w:footnote w:id="14656">
    <w:p>
      <w:pPr>
        <w:pStyle w:val="FootnoteText"/>
      </w:pPr>
      <w:r>
        <w:rPr>
          <w:rStyle w:val="FootnoteReference"/>
        </w:rPr>
        <w:footnoteRef/>
      </w:r>
      <w:r>
        <w:t xml:space="preserve"> Cross-references for "the daughter": Ps 9:14; Isa 12:6.</w:t>
      </w:r>
    </w:p>
  </w:footnote>
  <w:footnote w:id="14657">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4658">
    <w:p>
      <w:pPr>
        <w:pStyle w:val="FootnoteText"/>
      </w:pPr>
      <w:r>
        <w:rPr>
          <w:rStyle w:val="FootnoteReference"/>
        </w:rPr>
        <w:footnoteRef/>
      </w:r>
      <w:r>
        <w:t xml:space="preserve"> Cross-references for "and did": Gen 6:22; Gen 12:4.</w:t>
      </w:r>
    </w:p>
  </w:footnote>
  <w:footnote w:id="14659">
    <w:p>
      <w:pPr>
        <w:pStyle w:val="FootnoteText"/>
      </w:pPr>
      <w:r>
        <w:rPr>
          <w:rStyle w:val="FootnoteReference"/>
        </w:rPr>
        <w:footnoteRef/>
      </w:r>
      <w:r>
        <w:t xml:space="preserve"> Cross-references for "brought": Mark 11:4-8; Luke 19:32-35.</w:t>
      </w:r>
    </w:p>
  </w:footnote>
  <w:footnote w:id="14660">
    <w:p>
      <w:pPr>
        <w:pStyle w:val="FootnoteText"/>
      </w:pPr>
      <w:r>
        <w:rPr>
          <w:rStyle w:val="FootnoteReference"/>
        </w:rPr>
        <w:footnoteRef/>
      </w:r>
      <w:r>
        <w:t xml:space="preserve"> Cross-references for "others": Lev 23:40; John 12:13.</w:t>
      </w:r>
    </w:p>
  </w:footnote>
  <w:footnote w:id="14661">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14662">
    <w:p>
      <w:pPr>
        <w:pStyle w:val="FootnoteText"/>
      </w:pPr>
      <w:r>
        <w:rPr>
          <w:rStyle w:val="FootnoteReference"/>
        </w:rPr>
        <w:footnoteRef/>
      </w:r>
      <w:r>
        <w:t xml:space="preserve"> Cross-references for "Hosanna": Ps 118:24-26; Matt 21:15.</w:t>
      </w:r>
    </w:p>
  </w:footnote>
  <w:footnote w:id="14663">
    <w:p>
      <w:pPr>
        <w:pStyle w:val="FootnoteText"/>
      </w:pPr>
      <w:r>
        <w:rPr>
          <w:rStyle w:val="FootnoteReference"/>
        </w:rPr>
        <w:footnoteRef/>
      </w:r>
      <w:r>
        <w:t xml:space="preserve"> Cross-references for "of Nazareth": Matt 2:23; John 1:45-46.</w:t>
      </w:r>
    </w:p>
  </w:footnote>
  <w:footnote w:id="14664">
    <w:p>
      <w:pPr>
        <w:pStyle w:val="FootnoteText"/>
      </w:pPr>
      <w:r>
        <w:rPr>
          <w:rStyle w:val="FootnoteReference"/>
        </w:rPr>
        <w:footnoteRef/>
      </w:r>
      <w:r>
        <w:t xml:space="preserve"> Cross-references for "went": Mal 3:1-2; Mark 11:11.</w:t>
      </w:r>
    </w:p>
  </w:footnote>
  <w:footnote w:id="14665">
    <w:p>
      <w:pPr>
        <w:pStyle w:val="FootnoteText"/>
      </w:pPr>
      <w:r>
        <w:rPr>
          <w:rStyle w:val="FootnoteReference"/>
        </w:rPr>
        <w:footnoteRef/>
      </w:r>
      <w:r>
        <w:t xml:space="preserve"> Cross-references for "Hosanna": Matt 21:9; Matt 22:42.</w:t>
      </w:r>
    </w:p>
  </w:footnote>
  <w:footnote w:id="14666">
    <w:p>
      <w:pPr>
        <w:pStyle w:val="FootnoteText"/>
      </w:pPr>
      <w:r>
        <w:rPr>
          <w:rStyle w:val="FootnoteReference"/>
        </w:rPr>
        <w:footnoteRef/>
      </w:r>
      <w:r>
        <w:t xml:space="preserve"> Cross-references for "he left": Jer 6:8; Hos 9:12.</w:t>
      </w:r>
    </w:p>
  </w:footnote>
  <w:footnote w:id="14667">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14668">
    <w:p>
      <w:pPr>
        <w:pStyle w:val="FootnoteText"/>
      </w:pPr>
      <w:r>
        <w:rPr>
          <w:rStyle w:val="FootnoteReference"/>
        </w:rPr>
        <w:footnoteRef/>
      </w:r>
      <w:r>
        <w:t xml:space="preserve"> Cross-references for "and found": Isa 5:4-5; Luke 3:9.</w:t>
      </w:r>
    </w:p>
  </w:footnote>
  <w:footnote w:id="14669">
    <w:p>
      <w:pPr>
        <w:pStyle w:val="FootnoteText"/>
      </w:pPr>
      <w:r>
        <w:rPr>
          <w:rStyle w:val="FootnoteReference"/>
        </w:rPr>
        <w:footnoteRef/>
      </w:r>
      <w:r>
        <w:t xml:space="preserve"> Cross-references for "the chief priests": 1Chr 24:1-19.</w:t>
      </w:r>
    </w:p>
  </w:footnote>
  <w:footnote w:id="14670">
    <w:p>
      <w:pPr>
        <w:pStyle w:val="FootnoteText"/>
      </w:pPr>
      <w:r>
        <w:rPr>
          <w:rStyle w:val="FootnoteReference"/>
        </w:rPr>
        <w:footnoteRef/>
      </w:r>
      <w:r>
        <w:t xml:space="preserve"> Cross-references for "I also": Prov 26:4-5; Matt 10:16.</w:t>
      </w:r>
    </w:p>
  </w:footnote>
  <w:footnote w:id="14671">
    <w:p>
      <w:pPr>
        <w:pStyle w:val="FootnoteText"/>
      </w:pPr>
      <w:r>
        <w:rPr>
          <w:rStyle w:val="FootnoteReference"/>
        </w:rPr>
        <w:footnoteRef/>
      </w:r>
      <w:r>
        <w:t xml:space="preserve"> Cross-references for "baptism": Matt 3:1-12; Matt 11:7-15.</w:t>
      </w:r>
    </w:p>
  </w:footnote>
  <w:footnote w:id="14672">
    <w:p>
      <w:pPr>
        <w:pStyle w:val="FootnoteText"/>
      </w:pPr>
      <w:r>
        <w:rPr>
          <w:rStyle w:val="FootnoteReference"/>
        </w:rPr>
        <w:footnoteRef/>
      </w:r>
      <w:r>
        <w:t xml:space="preserve"> Cross-references for "we fear": Isa 57:11; Matt 14:5.</w:t>
      </w:r>
    </w:p>
  </w:footnote>
  <w:footnote w:id="14673">
    <w:p>
      <w:pPr>
        <w:pStyle w:val="FootnoteText"/>
      </w:pPr>
      <w:r>
        <w:rPr>
          <w:rStyle w:val="FootnoteReference"/>
        </w:rPr>
        <w:footnoteRef/>
      </w:r>
      <w:r>
        <w:t xml:space="preserve"> Cross-references for "We cannot tell": Isa 6:10; Isa 28:9.</w:t>
      </w:r>
    </w:p>
  </w:footnote>
  <w:footnote w:id="14674">
    <w:p>
      <w:pPr>
        <w:pStyle w:val="FootnoteText"/>
      </w:pPr>
      <w:r>
        <w:rPr>
          <w:rStyle w:val="FootnoteReference"/>
        </w:rPr>
        <w:footnoteRef/>
      </w:r>
      <w:r>
        <w:t xml:space="preserve"> Cross-references for "sons": Matt 20:5-7.</w:t>
      </w:r>
    </w:p>
  </w:footnote>
  <w:footnote w:id="14675">
    <w:p>
      <w:pPr>
        <w:pStyle w:val="FootnoteText"/>
      </w:pPr>
      <w:r>
        <w:rPr>
          <w:rStyle w:val="FootnoteReference"/>
        </w:rPr>
        <w:footnoteRef/>
      </w:r>
      <w:r>
        <w:t xml:space="preserve"> Cross-references for "I will not": Jer 44:16; Matt 21:31.</w:t>
      </w:r>
    </w:p>
  </w:footnote>
  <w:footnote w:id="14676">
    <w:p>
      <w:pPr>
        <w:pStyle w:val="FootnoteText"/>
      </w:pPr>
      <w:r>
        <w:rPr>
          <w:rStyle w:val="FootnoteReference"/>
        </w:rPr>
        <w:footnoteRef/>
      </w:r>
      <w:r>
        <w:t xml:space="preserve"> Cross-references for "I go": Ezek 33:31; Matt 23:3.</w:t>
      </w:r>
    </w:p>
  </w:footnote>
  <w:footnote w:id="14677">
    <w:p>
      <w:pPr>
        <w:pStyle w:val="FootnoteText"/>
      </w:pPr>
      <w:r>
        <w:rPr>
          <w:rStyle w:val="FootnoteReference"/>
        </w:rPr>
        <w:footnoteRef/>
      </w:r>
      <w:r>
        <w:t xml:space="preserve"> Cross-references for "The first": 2Sam 12:5-7; Job 15:6.</w:t>
      </w:r>
    </w:p>
  </w:footnote>
  <w:footnote w:id="14678">
    <w:p>
      <w:pPr>
        <w:pStyle w:val="FootnoteText"/>
      </w:pPr>
      <w:r>
        <w:rPr>
          <w:rStyle w:val="FootnoteReference"/>
        </w:rPr>
        <w:footnoteRef/>
      </w:r>
      <w:r>
        <w:t xml:space="preserve"> Cross-references for "Hear": 1Kgs 22:19; Isa 1:10.</w:t>
      </w:r>
    </w:p>
  </w:footnote>
  <w:footnote w:id="14679">
    <w:p>
      <w:pPr>
        <w:pStyle w:val="FootnoteText"/>
      </w:pPr>
      <w:r>
        <w:rPr>
          <w:rStyle w:val="FootnoteReference"/>
        </w:rPr>
        <w:footnoteRef/>
      </w:r>
      <w:r>
        <w:t xml:space="preserve"> Cross-references for "he sent": 2Kgs 17:13; 2Kgs 17:14-23.</w:t>
      </w:r>
    </w:p>
  </w:footnote>
  <w:footnote w:id="14680">
    <w:p>
      <w:pPr>
        <w:pStyle w:val="FootnoteText"/>
      </w:pPr>
      <w:r>
        <w:rPr>
          <w:rStyle w:val="FootnoteReference"/>
        </w:rPr>
        <w:footnoteRef/>
      </w:r>
      <w:r>
        <w:t xml:space="preserve"> Cross-references for "last": Matt 3:17; Mark 12:6.</w:t>
      </w:r>
    </w:p>
  </w:footnote>
  <w:footnote w:id="14681">
    <w:p>
      <w:pPr>
        <w:pStyle w:val="FootnoteText"/>
      </w:pPr>
      <w:r>
        <w:rPr>
          <w:rStyle w:val="FootnoteReference"/>
        </w:rPr>
        <w:footnoteRef/>
      </w:r>
      <w:r>
        <w:t xml:space="preserve"> Cross-references for "caught": Matt 26:50; Matt 26:57.</w:t>
      </w:r>
    </w:p>
  </w:footnote>
  <w:footnote w:id="14682">
    <w:p>
      <w:pPr>
        <w:pStyle w:val="FootnoteText"/>
      </w:pPr>
      <w:r>
        <w:rPr>
          <w:rStyle w:val="FootnoteReference"/>
        </w:rPr>
        <w:footnoteRef/>
      </w:r>
      <w:r>
        <w:t xml:space="preserve"> Cross-references for "The stone": Ps 118:22-23; Isa 28:16.</w:t>
      </w:r>
    </w:p>
  </w:footnote>
  <w:footnote w:id="14683">
    <w:p>
      <w:pPr>
        <w:pStyle w:val="FootnoteText"/>
      </w:pPr>
      <w:r>
        <w:rPr>
          <w:rStyle w:val="FootnoteReference"/>
        </w:rPr>
        <w:footnoteRef/>
      </w:r>
      <w:r>
        <w:t xml:space="preserve"> Cross-references for "The kingdom": Isa 28:2; Matt 8:11-12.</w:t>
      </w:r>
    </w:p>
  </w:footnote>
  <w:footnote w:id="14684">
    <w:p>
      <w:pPr>
        <w:pStyle w:val="FootnoteText"/>
      </w:pPr>
      <w:r>
        <w:rPr>
          <w:rStyle w:val="FootnoteReference"/>
        </w:rPr>
        <w:footnoteRef/>
      </w:r>
      <w:r>
        <w:t xml:space="preserve"> Cross-references for "they sought": 2Sam 12:7-13; Prov 9:7-9.</w:t>
      </w:r>
    </w:p>
  </w:footnote>
  <w:footnote w:id="14685">
    <w:p>
      <w:pPr>
        <w:pStyle w:val="FootnoteText"/>
      </w:pPr>
      <w:r>
        <w:rPr>
          <w:rStyle w:val="FootnoteReference"/>
        </w:rPr>
        <w:footnoteRef/>
      </w:r>
      <w:r>
        <w:t xml:space="preserve"> Cross-references for "kingdom": Matt 13:24; Matt 13:31-33.</w:t>
      </w:r>
    </w:p>
  </w:footnote>
  <w:footnote w:id="14686">
    <w:p>
      <w:pPr>
        <w:pStyle w:val="FootnoteText"/>
      </w:pPr>
      <w:r>
        <w:rPr>
          <w:rStyle w:val="FootnoteReference"/>
        </w:rPr>
        <w:footnoteRef/>
      </w:r>
      <w:r>
        <w:t xml:space="preserve"> Cross-references for "sent": Ps 68:11; Prov 9:1-3.</w:t>
      </w:r>
    </w:p>
  </w:footnote>
  <w:footnote w:id="14687">
    <w:p>
      <w:pPr>
        <w:pStyle w:val="FootnoteText"/>
      </w:pPr>
      <w:r>
        <w:rPr>
          <w:rStyle w:val="FootnoteReference"/>
        </w:rPr>
        <w:footnoteRef/>
      </w:r>
      <w:r>
        <w:t xml:space="preserve"> Cross-references for "other": Luke 10:1-16; Luke 24:46-47.</w:t>
      </w:r>
    </w:p>
  </w:footnote>
  <w:footnote w:id="14688">
    <w:p>
      <w:pPr>
        <w:pStyle w:val="FootnoteText"/>
      </w:pPr>
      <w:r>
        <w:rPr>
          <w:rStyle w:val="FootnoteReference"/>
        </w:rPr>
        <w:footnoteRef/>
      </w:r>
      <w:r>
        <w:t xml:space="preserve"> Cross-references for "the remnant": Matt 5:10-12; Matt 10:12-18.</w:t>
      </w:r>
    </w:p>
  </w:footnote>
  <w:footnote w:id="14689">
    <w:p>
      <w:pPr>
        <w:pStyle w:val="FootnoteText"/>
      </w:pPr>
      <w:r>
        <w:rPr>
          <w:rStyle w:val="FootnoteReference"/>
        </w:rPr>
        <w:footnoteRef/>
      </w:r>
      <w:r>
        <w:t xml:space="preserve"> Cross-references for "The wedding": Matt 22:4.</w:t>
      </w:r>
    </w:p>
  </w:footnote>
  <w:footnote w:id="14690">
    <w:p>
      <w:pPr>
        <w:pStyle w:val="FootnoteText"/>
      </w:pPr>
      <w:r>
        <w:rPr>
          <w:rStyle w:val="FootnoteReference"/>
        </w:rPr>
        <w:footnoteRef/>
      </w:r>
      <w:r>
        <w:t xml:space="preserve"> Cross-references for "both": Matt 13:38; Matt 13:47-48.</w:t>
      </w:r>
    </w:p>
  </w:footnote>
  <w:footnote w:id="14691">
    <w:p>
      <w:pPr>
        <w:pStyle w:val="FootnoteText"/>
      </w:pPr>
      <w:r>
        <w:rPr>
          <w:rStyle w:val="FootnoteReference"/>
        </w:rPr>
        <w:footnoteRef/>
      </w:r>
      <w:r>
        <w:t xml:space="preserve"> Cross-references for "Friend": Matt 20:13; Matt 26:50.</w:t>
      </w:r>
    </w:p>
  </w:footnote>
  <w:footnote w:id="14692">
    <w:p>
      <w:pPr>
        <w:pStyle w:val="FootnoteText"/>
      </w:pPr>
      <w:r>
        <w:rPr>
          <w:rStyle w:val="FootnoteReference"/>
        </w:rPr>
        <w:footnoteRef/>
      </w:r>
      <w:r>
        <w:t xml:space="preserve"> Cross-references for "Bind": Isa 52:1; Dan 3:20.</w:t>
      </w:r>
    </w:p>
  </w:footnote>
  <w:footnote w:id="14693">
    <w:p>
      <w:pPr>
        <w:pStyle w:val="FootnoteText"/>
      </w:pPr>
      <w:r>
        <w:rPr>
          <w:rStyle w:val="FootnoteReference"/>
        </w:rPr>
        <w:footnoteRef/>
      </w:r>
      <w:r>
        <w:t xml:space="preserve"> Cross-references for "went": Ps 2:2; Mark 12:13-17.</w:t>
      </w:r>
    </w:p>
  </w:footnote>
  <w:footnote w:id="14694">
    <w:p>
      <w:pPr>
        <w:pStyle w:val="FootnoteText"/>
      </w:pPr>
      <w:r>
        <w:rPr>
          <w:rStyle w:val="FootnoteReference"/>
        </w:rPr>
        <w:footnoteRef/>
      </w:r>
      <w:r>
        <w:t xml:space="preserve"> People-name: Herodians. People-name meaning: Herodians — party of Herod; son of a hero. Source form: Herodians.</w:t>
      </w:r>
    </w:p>
  </w:footnote>
  <w:footnote w:id="14695">
    <w:p>
      <w:pPr>
        <w:pStyle w:val="FootnoteText"/>
      </w:pPr>
      <w:r>
        <w:rPr>
          <w:rStyle w:val="FootnoteReference"/>
        </w:rPr>
        <w:footnoteRef/>
      </w:r>
      <w:r>
        <w:t xml:space="preserve"> Cross-references for "the Herodians": Matt 16:11-12; Mark 3:6.</w:t>
      </w:r>
    </w:p>
  </w:footnote>
  <w:footnote w:id="14696">
    <w:p>
      <w:pPr>
        <w:pStyle w:val="FootnoteText"/>
      </w:pPr>
      <w:r>
        <w:rPr>
          <w:rStyle w:val="FootnoteReference"/>
        </w:rPr>
        <w:footnoteRef/>
      </w:r>
      <w:r>
        <w:t xml:space="preserve"> Personal name: Caesar. Personal-name meaning: Caesar — imperial title; associated with Latin caesus, cut. Source form: Caesar.</w:t>
      </w:r>
    </w:p>
  </w:footnote>
  <w:footnote w:id="14697">
    <w:p>
      <w:pPr>
        <w:pStyle w:val="FootnoteText"/>
      </w:pPr>
      <w:r>
        <w:rPr>
          <w:rStyle w:val="FootnoteReference"/>
        </w:rPr>
        <w:footnoteRef/>
      </w:r>
      <w:r>
        <w:t xml:space="preserve"> Cross-references for "Caesar": Luke 2:1; John 19:12-15.</w:t>
      </w:r>
    </w:p>
  </w:footnote>
  <w:footnote w:id="14698">
    <w:p>
      <w:pPr>
        <w:pStyle w:val="FootnoteText"/>
      </w:pPr>
      <w:r>
        <w:rPr>
          <w:rStyle w:val="FootnoteReference"/>
        </w:rPr>
        <w:footnoteRef/>
      </w:r>
      <w:r>
        <w:t xml:space="preserve"> Cross-references for "perceived": Mark 2:8; Luke 5:22.</w:t>
      </w:r>
    </w:p>
  </w:footnote>
  <w:footnote w:id="14699">
    <w:p>
      <w:pPr>
        <w:pStyle w:val="FootnoteText"/>
      </w:pPr>
      <w:r>
        <w:rPr>
          <w:rStyle w:val="FootnoteReference"/>
        </w:rPr>
        <w:footnoteRef/>
      </w:r>
      <w:r>
        <w:t xml:space="preserve"> Cross-references for "superscription": Luke 20:24.</w:t>
      </w:r>
    </w:p>
  </w:footnote>
  <w:footnote w:id="14700">
    <w:p>
      <w:pPr>
        <w:pStyle w:val="FootnoteText"/>
      </w:pPr>
      <w:r>
        <w:rPr>
          <w:rStyle w:val="FootnoteReference"/>
        </w:rPr>
        <w:footnoteRef/>
      </w:r>
      <w:r>
        <w:t xml:space="preserve"> Cross-references for "Render": Prov 24:21; Matt 17:25-27.</w:t>
      </w:r>
    </w:p>
  </w:footnote>
  <w:footnote w:id="14701">
    <w:p>
      <w:pPr>
        <w:pStyle w:val="FootnoteText"/>
      </w:pPr>
      <w:r>
        <w:rPr>
          <w:rStyle w:val="FootnoteReference"/>
        </w:rPr>
        <w:footnoteRef/>
      </w:r>
      <w:r>
        <w:t xml:space="preserve"> Cross-references for "same": Mark 12:18-27; Luke 20:27-40.</w:t>
      </w:r>
    </w:p>
  </w:footnote>
  <w:footnote w:id="14702">
    <w:p>
      <w:pPr>
        <w:pStyle w:val="FootnoteText"/>
      </w:pPr>
      <w:r>
        <w:rPr>
          <w:rStyle w:val="FootnoteReference"/>
        </w:rPr>
        <w:footnoteRef/>
      </w:r>
      <w:r>
        <w:t xml:space="preserve"> Cross-references for "Moses": Gen 38:8; Gen 38:11.</w:t>
      </w:r>
    </w:p>
  </w:footnote>
  <w:footnote w:id="14703">
    <w:p>
      <w:pPr>
        <w:pStyle w:val="FootnoteText"/>
      </w:pPr>
      <w:r>
        <w:rPr>
          <w:rStyle w:val="FootnoteReference"/>
        </w:rPr>
        <w:footnoteRef/>
      </w:r>
      <w:r>
        <w:t xml:space="preserve"> Cross-references for "seventh": Matt 22:26.</w:t>
      </w:r>
    </w:p>
  </w:footnote>
  <w:footnote w:id="14704">
    <w:p>
      <w:pPr>
        <w:pStyle w:val="FootnoteText"/>
      </w:pPr>
      <w:r>
        <w:rPr>
          <w:rStyle w:val="FootnoteReference"/>
        </w:rPr>
        <w:footnoteRef/>
      </w:r>
      <w:r>
        <w:t xml:space="preserve"> Cross-references for "God is": Mark 12:26-27; Luke 20:37-38.</w:t>
      </w:r>
    </w:p>
  </w:footnote>
  <w:footnote w:id="14705">
    <w:p>
      <w:pPr>
        <w:pStyle w:val="FootnoteText"/>
      </w:pPr>
      <w:r>
        <w:rPr>
          <w:rStyle w:val="FootnoteReference"/>
        </w:rPr>
        <w:footnoteRef/>
      </w:r>
      <w:r>
        <w:t xml:space="preserve"> Cross-references for "a lawyer": Luke 7:30; Luke 10:25-37.</w:t>
      </w:r>
    </w:p>
  </w:footnote>
  <w:footnote w:id="14706">
    <w:p>
      <w:pPr>
        <w:pStyle w:val="FootnoteText"/>
      </w:pPr>
      <w:r>
        <w:rPr>
          <w:rStyle w:val="FootnoteReference"/>
        </w:rPr>
        <w:footnoteRef/>
      </w:r>
      <w:r>
        <w:t xml:space="preserve"> Cross-references for "The son": Isa 7:13-14; Isa 9:6-7.</w:t>
      </w:r>
    </w:p>
  </w:footnote>
  <w:footnote w:id="14707">
    <w:p>
      <w:pPr>
        <w:pStyle w:val="FootnoteText"/>
      </w:pPr>
      <w:r>
        <w:rPr>
          <w:rStyle w:val="FootnoteReference"/>
        </w:rPr>
        <w:footnoteRef/>
      </w:r>
      <w:r>
        <w:t xml:space="preserve"> Cross-references for "The Lord": Ps 110:1; Acts 2:34-35.</w:t>
      </w:r>
    </w:p>
  </w:footnote>
  <w:footnote w:id="14708">
    <w:p>
      <w:pPr>
        <w:pStyle w:val="FootnoteText"/>
      </w:pPr>
      <w:r>
        <w:rPr>
          <w:rStyle w:val="FootnoteReference"/>
        </w:rPr>
        <w:footnoteRef/>
      </w:r>
      <w:r>
        <w:t xml:space="preserve"> Cross-references for "they make": Deut 6:8; Prov 3:3.</w:t>
      </w:r>
    </w:p>
  </w:footnote>
  <w:footnote w:id="14709">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14710">
    <w:p>
      <w:pPr>
        <w:pStyle w:val="FootnoteText"/>
      </w:pPr>
      <w:r>
        <w:rPr>
          <w:rStyle w:val="FootnoteReference"/>
        </w:rPr>
        <w:footnoteRef/>
      </w:r>
      <w:r>
        <w:t xml:space="preserve"> Cross-references for "Rabbi": John 1:38; John 1:49.</w:t>
      </w:r>
    </w:p>
  </w:footnote>
  <w:footnote w:id="14711">
    <w:p>
      <w:pPr>
        <w:pStyle w:val="FootnoteText"/>
      </w:pPr>
      <w:r>
        <w:rPr>
          <w:rStyle w:val="FootnoteReference"/>
        </w:rPr>
        <w:footnoteRef/>
      </w:r>
      <w:r>
        <w:t xml:space="preserve"> Cross-references for "call": 2Kgs 2:12; 2Kgs 6:21.</w:t>
      </w:r>
    </w:p>
  </w:footnote>
  <w:footnote w:id="14712">
    <w:p>
      <w:pPr>
        <w:pStyle w:val="FootnoteText"/>
      </w:pPr>
      <w:r>
        <w:rPr>
          <w:rStyle w:val="FootnoteReference"/>
        </w:rPr>
        <w:footnoteRef/>
      </w:r>
      <w:r>
        <w:t xml:space="preserve"> Cross-references for "therefore": Matt 11:24; Matt 23:33-36.</w:t>
      </w:r>
    </w:p>
  </w:footnote>
  <w:footnote w:id="14713">
    <w:p>
      <w:pPr>
        <w:pStyle w:val="FootnoteText"/>
      </w:pPr>
      <w:r>
        <w:rPr>
          <w:rStyle w:val="FootnoteReference"/>
        </w:rPr>
        <w:footnoteRef/>
      </w:r>
      <w:r>
        <w:t xml:space="preserve"> Cross-references for "proselyte": Acts 2:10; Acts 13:43.</w:t>
      </w:r>
    </w:p>
  </w:footnote>
  <w:footnote w:id="14714">
    <w:p>
      <w:pPr>
        <w:pStyle w:val="FootnoteText"/>
      </w:pPr>
      <w:r>
        <w:rPr>
          <w:rStyle w:val="FootnoteReference"/>
        </w:rPr>
        <w:footnoteRef/>
      </w:r>
      <w:r>
        <w:t xml:space="preserve"> Cross-references for "guilty": Matt 23:15.</w:t>
      </w:r>
    </w:p>
  </w:footnote>
  <w:footnote w:id="14715">
    <w:p>
      <w:pPr>
        <w:pStyle w:val="FootnoteText"/>
      </w:pPr>
      <w:r>
        <w:rPr>
          <w:rStyle w:val="FootnoteReference"/>
        </w:rPr>
        <w:footnoteRef/>
      </w:r>
      <w:r>
        <w:t xml:space="preserve"> Cross-references for "and by": 1Kgs 8:13; 1Kgs 8:27.</w:t>
      </w:r>
    </w:p>
  </w:footnote>
  <w:footnote w:id="14716">
    <w:p>
      <w:pPr>
        <w:pStyle w:val="FootnoteText"/>
      </w:pPr>
      <w:r>
        <w:rPr>
          <w:rStyle w:val="FootnoteReference"/>
        </w:rPr>
        <w:footnoteRef/>
      </w:r>
      <w:r>
        <w:t xml:space="preserve"> Cross-references for "the weightier": 1Sam 15:22; Prov 21:3.</w:t>
      </w:r>
    </w:p>
  </w:footnote>
  <w:footnote w:id="14717">
    <w:p>
      <w:pPr>
        <w:pStyle w:val="FootnoteText"/>
      </w:pPr>
      <w:r>
        <w:rPr>
          <w:rStyle w:val="FootnoteReference"/>
        </w:rPr>
        <w:footnoteRef/>
      </w:r>
      <w:r>
        <w:t xml:space="preserve"> Cross-references for "full": Isa 28:7-8.</w:t>
      </w:r>
    </w:p>
  </w:footnote>
  <w:footnote w:id="14718">
    <w:p>
      <w:pPr>
        <w:pStyle w:val="FootnoteText"/>
      </w:pPr>
      <w:r>
        <w:rPr>
          <w:rStyle w:val="FootnoteReference"/>
        </w:rPr>
        <w:footnoteRef/>
      </w:r>
      <w:r>
        <w:t xml:space="preserve"> Personal name: Pharisee. Personal-name meaning: Pharisee — separated one; set apart. Source form: Pharisee.</w:t>
      </w:r>
    </w:p>
  </w:footnote>
  <w:footnote w:id="14719">
    <w:p>
      <w:pPr>
        <w:pStyle w:val="FootnoteText"/>
      </w:pPr>
      <w:r>
        <w:rPr>
          <w:rStyle w:val="FootnoteReference"/>
        </w:rPr>
        <w:footnoteRef/>
      </w:r>
      <w:r>
        <w:t xml:space="preserve"> Cross-references for "cleanse": Isa 55:7; Jer 4:14.</w:t>
      </w:r>
    </w:p>
  </w:footnote>
  <w:footnote w:id="14720">
    <w:p>
      <w:pPr>
        <w:pStyle w:val="FootnoteText"/>
      </w:pPr>
      <w:r>
        <w:rPr>
          <w:rStyle w:val="FootnoteReference"/>
        </w:rPr>
        <w:footnoteRef/>
      </w:r>
      <w:r>
        <w:t xml:space="preserve"> Cross-references for "the blood": 2Chr 36:15; Jer 2:30.</w:t>
      </w:r>
    </w:p>
  </w:footnote>
  <w:footnote w:id="14721">
    <w:p>
      <w:pPr>
        <w:pStyle w:val="FootnoteText"/>
      </w:pPr>
      <w:r>
        <w:rPr>
          <w:rStyle w:val="FootnoteReference"/>
        </w:rPr>
        <w:footnoteRef/>
      </w:r>
      <w:r>
        <w:t xml:space="preserve"> Cross-references for "witnesses": Josh 24:22; Job 15:5-6.</w:t>
      </w:r>
    </w:p>
  </w:footnote>
  <w:footnote w:id="14722">
    <w:p>
      <w:pPr>
        <w:pStyle w:val="FootnoteText"/>
      </w:pPr>
      <w:r>
        <w:rPr>
          <w:rStyle w:val="FootnoteReference"/>
        </w:rPr>
        <w:footnoteRef/>
      </w:r>
      <w:r>
        <w:t xml:space="preserve"> Cross-references for "the measure": Gen 15:16; Num 32:14.</w:t>
      </w:r>
    </w:p>
  </w:footnote>
  <w:footnote w:id="14723">
    <w:p>
      <w:pPr>
        <w:pStyle w:val="FootnoteText"/>
      </w:pPr>
      <w:r>
        <w:rPr>
          <w:rStyle w:val="FootnoteReference"/>
        </w:rPr>
        <w:footnoteRef/>
      </w:r>
      <w:r>
        <w:t xml:space="preserve"> Cross-references for "serpents": Gen 3:15; Ps 58:3-5.</w:t>
      </w:r>
    </w:p>
  </w:footnote>
  <w:footnote w:id="14724">
    <w:p>
      <w:pPr>
        <w:pStyle w:val="FootnoteText"/>
      </w:pPr>
      <w:r>
        <w:rPr>
          <w:rStyle w:val="FootnoteReference"/>
        </w:rPr>
        <w:footnoteRef/>
      </w:r>
      <w:r>
        <w:t xml:space="preserve"> Cross-references for "I send": Matt 10:16; Matt 28:19-20.</w:t>
      </w:r>
    </w:p>
  </w:footnote>
  <w:footnote w:id="14725">
    <w:p>
      <w:pPr>
        <w:pStyle w:val="FootnoteText"/>
      </w:pPr>
      <w:r>
        <w:rPr>
          <w:rStyle w:val="FootnoteReference"/>
        </w:rPr>
        <w:footnoteRef/>
      </w:r>
      <w:r>
        <w:t xml:space="preserve"> Cross-references for "upon": Gen 9:5-6; Num 35:33.</w:t>
      </w:r>
    </w:p>
  </w:footnote>
  <w:footnote w:id="14726">
    <w:p>
      <w:pPr>
        <w:pStyle w:val="FootnoteText"/>
      </w:pPr>
      <w:r>
        <w:rPr>
          <w:rStyle w:val="FootnoteReference"/>
        </w:rPr>
        <w:footnoteRef/>
      </w:r>
      <w:r>
        <w:t xml:space="preserve"> Personal name: Abel. Personal-name meaning: Abel — Breath; vanity; futility. Source form: Abel.</w:t>
      </w:r>
    </w:p>
  </w:footnote>
  <w:footnote w:id="14727">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14728">
    <w:p>
      <w:pPr>
        <w:pStyle w:val="FootnoteText"/>
      </w:pPr>
      <w:r>
        <w:rPr>
          <w:rStyle w:val="FootnoteReference"/>
        </w:rPr>
        <w:footnoteRef/>
      </w:r>
      <w:r>
        <w:t xml:space="preserve"> Transliterated proper noun: Barachias. Standard English equivalent: Berechiah. Source form: Barachias. Greek form: βαραχιου. Name meaning: speaking well of the Lord.</w:t>
      </w:r>
    </w:p>
  </w:footnote>
  <w:footnote w:id="14729">
    <w:p>
      <w:pPr>
        <w:pStyle w:val="FootnoteText"/>
      </w:pPr>
      <w:r>
        <w:rPr>
          <w:rStyle w:val="FootnoteReference"/>
        </w:rPr>
        <w:footnoteRef/>
      </w:r>
      <w:r>
        <w:t xml:space="preserve"> Cross-references for "Jerusalem": Jer 4:14; Jer 6:8.</w:t>
      </w:r>
    </w:p>
  </w:footnote>
  <w:footnote w:id="14730">
    <w:p>
      <w:pPr>
        <w:pStyle w:val="FootnoteText"/>
      </w:pPr>
      <w:r>
        <w:rPr>
          <w:rStyle w:val="FootnoteReference"/>
        </w:rPr>
        <w:footnoteRef/>
      </w:r>
      <w:r>
        <w:t xml:space="preserve"> Cross-references for "Blessed": Ps 118:26; Isa 40:9-11.</w:t>
      </w:r>
    </w:p>
  </w:footnote>
  <w:footnote w:id="14731">
    <w:p>
      <w:pPr>
        <w:pStyle w:val="FootnoteText"/>
      </w:pPr>
      <w:r>
        <w:rPr>
          <w:rStyle w:val="FootnoteReference"/>
        </w:rPr>
        <w:footnoteRef/>
      </w:r>
      <w:r>
        <w:t xml:space="preserve"> Cross-references for "departed": Jer 6:8; Ezek 8:6.</w:t>
      </w:r>
    </w:p>
  </w:footnote>
  <w:footnote w:id="14732">
    <w:p>
      <w:pPr>
        <w:pStyle w:val="FootnoteText"/>
      </w:pPr>
      <w:r>
        <w:rPr>
          <w:rStyle w:val="FootnoteReference"/>
        </w:rPr>
        <w:footnoteRef/>
      </w:r>
      <w:r>
        <w:t xml:space="preserve"> Cross-references for "he sat": Matt 21:1; Mark 13:3-4.</w:t>
      </w:r>
    </w:p>
  </w:footnote>
  <w:footnote w:id="14733">
    <w:p>
      <w:pPr>
        <w:pStyle w:val="FootnoteText"/>
      </w:pPr>
      <w:r>
        <w:rPr>
          <w:rStyle w:val="FootnoteReference"/>
        </w:rPr>
        <w:footnoteRef/>
      </w:r>
      <w:r>
        <w:t xml:space="preserve"> Cross-references for "Take": Jer 29:8; Mark 13:5-6.</w:t>
      </w:r>
    </w:p>
  </w:footnote>
  <w:footnote w:id="14734">
    <w:p>
      <w:pPr>
        <w:pStyle w:val="FootnoteText"/>
      </w:pPr>
      <w:r>
        <w:rPr>
          <w:rStyle w:val="FootnoteReference"/>
        </w:rPr>
        <w:footnoteRef/>
      </w:r>
      <w:r>
        <w:t xml:space="preserve"> Cross-references for "must": Matt 26:54; Luke 22:37.</w:t>
      </w:r>
    </w:p>
  </w:footnote>
  <w:footnote w:id="14735">
    <w:p>
      <w:pPr>
        <w:pStyle w:val="FootnoteText"/>
      </w:pPr>
      <w:r>
        <w:rPr>
          <w:rStyle w:val="FootnoteReference"/>
        </w:rPr>
        <w:footnoteRef/>
      </w:r>
      <w:r>
        <w:t xml:space="preserve"> Cross-references for "nation shall": 2Chr 15:6; Isa 9:19-21.</w:t>
      </w:r>
    </w:p>
  </w:footnote>
  <w:footnote w:id="14736">
    <w:p>
      <w:pPr>
        <w:pStyle w:val="FootnoteText"/>
      </w:pPr>
      <w:r>
        <w:rPr>
          <w:rStyle w:val="FootnoteReference"/>
        </w:rPr>
        <w:footnoteRef/>
      </w:r>
      <w:r>
        <w:t xml:space="preserve"> Cross-references for "shall they": Matt 10:17-22; Matt 22:6.</w:t>
      </w:r>
    </w:p>
  </w:footnote>
  <w:footnote w:id="14737">
    <w:p>
      <w:pPr>
        <w:pStyle w:val="FootnoteText"/>
      </w:pPr>
      <w:r>
        <w:rPr>
          <w:rStyle w:val="FootnoteReference"/>
        </w:rPr>
        <w:footnoteRef/>
      </w:r>
      <w:r>
        <w:t xml:space="preserve"> Cross-references for "betray": Mic 7:5-6; Matt 10:21.</w:t>
      </w:r>
    </w:p>
  </w:footnote>
  <w:footnote w:id="14738">
    <w:p>
      <w:pPr>
        <w:pStyle w:val="FootnoteText"/>
      </w:pPr>
      <w:r>
        <w:rPr>
          <w:rStyle w:val="FootnoteReference"/>
        </w:rPr>
        <w:footnoteRef/>
      </w:r>
      <w:r>
        <w:t xml:space="preserve"> Cross-references for "the love": Rev 2:4-5; Rev 2:10.</w:t>
      </w:r>
    </w:p>
  </w:footnote>
  <w:footnote w:id="14739">
    <w:p>
      <w:pPr>
        <w:pStyle w:val="FootnoteText"/>
      </w:pPr>
      <w:r>
        <w:rPr>
          <w:rStyle w:val="FootnoteReference"/>
        </w:rPr>
        <w:footnoteRef/>
      </w:r>
      <w:r>
        <w:t xml:space="preserve"> Cross-references for "shall be": Matt 18:19; Mark 16:15-16.</w:t>
      </w:r>
    </w:p>
  </w:footnote>
  <w:footnote w:id="14740">
    <w:p>
      <w:pPr>
        <w:pStyle w:val="FootnoteText"/>
      </w:pPr>
      <w:r>
        <w:rPr>
          <w:rStyle w:val="FootnoteReference"/>
        </w:rPr>
        <w:footnoteRef/>
      </w:r>
      <w:r>
        <w:t xml:space="preserve"> Personal name: Daniel. Personal-name meaning: Daniel — God is my judge. Source form: Daniel.</w:t>
      </w:r>
    </w:p>
  </w:footnote>
  <w:footnote w:id="14741">
    <w:p>
      <w:pPr>
        <w:pStyle w:val="FootnoteText"/>
      </w:pPr>
      <w:r>
        <w:rPr>
          <w:rStyle w:val="FootnoteReference"/>
        </w:rPr>
        <w:footnoteRef/>
      </w:r>
      <w:r>
        <w:t xml:space="preserve"> Cross-references for "the housetop": Deut 22:8; Matt 10:27.</w:t>
      </w:r>
    </w:p>
  </w:footnote>
  <w:footnote w:id="14742">
    <w:p>
      <w:pPr>
        <w:pStyle w:val="FootnoteText"/>
      </w:pPr>
      <w:r>
        <w:rPr>
          <w:rStyle w:val="FootnoteReference"/>
        </w:rPr>
        <w:footnoteRef/>
      </w:r>
      <w:r>
        <w:t xml:space="preserve"> Cross-references for "except": Mark 13:20.</w:t>
      </w:r>
    </w:p>
  </w:footnote>
  <w:footnote w:id="14743">
    <w:p>
      <w:pPr>
        <w:pStyle w:val="FootnoteText"/>
      </w:pPr>
      <w:r>
        <w:rPr>
          <w:rStyle w:val="FootnoteReference"/>
        </w:rPr>
        <w:footnoteRef/>
      </w:r>
      <w:r>
        <w:t xml:space="preserve"> Transliterated proper noun: Christs. Standard English equivalent: Christs. Source form: Christs. Greek form: ψευδοχριστοι. Name meaning: anointed.</w:t>
      </w:r>
    </w:p>
  </w:footnote>
  <w:footnote w:id="14744">
    <w:p>
      <w:pPr>
        <w:pStyle w:val="FootnoteText"/>
      </w:pPr>
      <w:r>
        <w:rPr>
          <w:rStyle w:val="FootnoteReference"/>
        </w:rPr>
        <w:footnoteRef/>
      </w:r>
      <w:r>
        <w:t xml:space="preserve"> Cross-references for "and shall": Deut 13:1; 2Thess 2:9-11.</w:t>
      </w:r>
    </w:p>
  </w:footnote>
  <w:footnote w:id="14745">
    <w:p>
      <w:pPr>
        <w:pStyle w:val="FootnoteText"/>
      </w:pPr>
      <w:r>
        <w:rPr>
          <w:rStyle w:val="FootnoteReference"/>
        </w:rPr>
        <w:footnoteRef/>
      </w:r>
      <w:r>
        <w:t xml:space="preserve"> Cross-references for "he is in the desert": Isa 40:3; Matt 3:1.</w:t>
      </w:r>
    </w:p>
  </w:footnote>
  <w:footnote w:id="14746">
    <w:p>
      <w:pPr>
        <w:pStyle w:val="FootnoteText"/>
      </w:pPr>
      <w:r>
        <w:rPr>
          <w:rStyle w:val="FootnoteReference"/>
        </w:rPr>
        <w:footnoteRef/>
      </w:r>
      <w:r>
        <w:t xml:space="preserve"> Cross-references for "the coming": Mal 3:2; Mal 4:5.</w:t>
      </w:r>
    </w:p>
  </w:footnote>
  <w:footnote w:id="14747">
    <w:p>
      <w:pPr>
        <w:pStyle w:val="FootnoteText"/>
      </w:pPr>
      <w:r>
        <w:rPr>
          <w:rStyle w:val="FootnoteReference"/>
        </w:rPr>
        <w:footnoteRef/>
      </w:r>
      <w:r>
        <w:t xml:space="preserve"> Cross-references for "Immediately": Dan 7:11-12; Matt 24:8.</w:t>
      </w:r>
    </w:p>
  </w:footnote>
  <w:footnote w:id="14748">
    <w:p>
      <w:pPr>
        <w:pStyle w:val="FootnoteText"/>
      </w:pPr>
      <w:r>
        <w:rPr>
          <w:rStyle w:val="FootnoteReference"/>
        </w:rPr>
        <w:footnoteRef/>
      </w:r>
      <w:r>
        <w:t xml:space="preserve"> Cross-references for "the sign": Dan 7:13; Matt 24:3.</w:t>
      </w:r>
    </w:p>
  </w:footnote>
  <w:footnote w:id="14749">
    <w:p>
      <w:pPr>
        <w:pStyle w:val="FootnoteText"/>
      </w:pPr>
      <w:r>
        <w:rPr>
          <w:rStyle w:val="FootnoteReference"/>
        </w:rPr>
        <w:footnoteRef/>
      </w:r>
      <w:r>
        <w:t xml:space="preserve"> Cross-references for "his angels": Matt 13:41; Matt 25:31.</w:t>
      </w:r>
    </w:p>
  </w:footnote>
  <w:footnote w:id="14750">
    <w:p>
      <w:pPr>
        <w:pStyle w:val="FootnoteText"/>
      </w:pPr>
      <w:r>
        <w:rPr>
          <w:rStyle w:val="FootnoteReference"/>
        </w:rPr>
        <w:footnoteRef/>
      </w:r>
      <w:r>
        <w:t xml:space="preserve"> Cross-references for "know": Ezek 7:2-14; Heb 10:37.</w:t>
      </w:r>
    </w:p>
  </w:footnote>
  <w:footnote w:id="14751">
    <w:p>
      <w:pPr>
        <w:pStyle w:val="FootnoteText"/>
      </w:pPr>
      <w:r>
        <w:rPr>
          <w:rStyle w:val="FootnoteReference"/>
        </w:rPr>
        <w:footnoteRef/>
      </w:r>
      <w:r>
        <w:t xml:space="preserve"> Cross-references for "Heaven": Ps 102:26; Isa 34:4.</w:t>
      </w:r>
    </w:p>
  </w:footnote>
  <w:footnote w:id="14752">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4753">
    <w:p>
      <w:pPr>
        <w:pStyle w:val="FootnoteText"/>
      </w:pPr>
      <w:r>
        <w:rPr>
          <w:rStyle w:val="FootnoteReference"/>
        </w:rPr>
        <w:footnoteRef/>
      </w:r>
      <w:r>
        <w:t xml:space="preserve"> Cross-references for "the one": 2Chr 33:12-24; Luke 17:34-37.</w:t>
      </w:r>
    </w:p>
  </w:footnote>
  <w:footnote w:id="14754">
    <w:p>
      <w:pPr>
        <w:pStyle w:val="FootnoteText"/>
      </w:pPr>
      <w:r>
        <w:rPr>
          <w:rStyle w:val="FootnoteReference"/>
        </w:rPr>
        <w:footnoteRef/>
      </w:r>
      <w:r>
        <w:t xml:space="preserve"> Cross-references for "grinding": Exod 11:5; Isa 47:2.</w:t>
      </w:r>
    </w:p>
  </w:footnote>
  <w:footnote w:id="14755">
    <w:p>
      <w:pPr>
        <w:pStyle w:val="FootnoteText"/>
      </w:pPr>
      <w:r>
        <w:rPr>
          <w:rStyle w:val="FootnoteReference"/>
        </w:rPr>
        <w:footnoteRef/>
      </w:r>
      <w:r>
        <w:t xml:space="preserve"> Cross-references for "Watch": Matt 25:13; Matt 26:38-41.</w:t>
      </w:r>
    </w:p>
  </w:footnote>
  <w:footnote w:id="14756">
    <w:p>
      <w:pPr>
        <w:pStyle w:val="FootnoteText"/>
      </w:pPr>
      <w:r>
        <w:rPr>
          <w:rStyle w:val="FootnoteReference"/>
        </w:rPr>
        <w:footnoteRef/>
      </w:r>
      <w:r>
        <w:t xml:space="preserve"> Cross-references for "would not": Exod 22:2-3.</w:t>
      </w:r>
    </w:p>
  </w:footnote>
  <w:footnote w:id="14757">
    <w:p>
      <w:pPr>
        <w:pStyle w:val="FootnoteText"/>
      </w:pPr>
      <w:r>
        <w:rPr>
          <w:rStyle w:val="FootnoteReference"/>
        </w:rPr>
        <w:footnoteRef/>
      </w:r>
      <w:r>
        <w:t xml:space="preserve"> Cross-references for "to give": Ezek 34:2; Matt 13:52.</w:t>
      </w:r>
    </w:p>
  </w:footnote>
  <w:footnote w:id="14758">
    <w:p>
      <w:pPr>
        <w:pStyle w:val="FootnoteText"/>
      </w:pPr>
      <w:r>
        <w:rPr>
          <w:rStyle w:val="FootnoteReference"/>
        </w:rPr>
        <w:footnoteRef/>
      </w:r>
      <w:r>
        <w:t xml:space="preserve"> Cross-references for "and appoint": Job 20:29; Isa 33:14.</w:t>
      </w:r>
    </w:p>
  </w:footnote>
  <w:footnote w:id="14759">
    <w:p>
      <w:pPr>
        <w:pStyle w:val="FootnoteText"/>
      </w:pPr>
      <w:r>
        <w:rPr>
          <w:rStyle w:val="FootnoteReference"/>
        </w:rPr>
        <w:footnoteRef/>
      </w:r>
      <w:r>
        <w:t xml:space="preserve"> Cross-references for "the kingdom": Dan 2:44; Matt 3:2.</w:t>
      </w:r>
    </w:p>
  </w:footnote>
  <w:footnote w:id="14760">
    <w:p>
      <w:pPr>
        <w:pStyle w:val="FootnoteText"/>
      </w:pPr>
      <w:r>
        <w:rPr>
          <w:rStyle w:val="FootnoteReference"/>
        </w:rPr>
        <w:footnoteRef/>
      </w:r>
      <w:r>
        <w:t xml:space="preserve"> Cross-references for "foolish": Isa 48:1-2; Isa 58:2.</w:t>
      </w:r>
    </w:p>
  </w:footnote>
  <w:footnote w:id="14761">
    <w:p>
      <w:pPr>
        <w:pStyle w:val="FootnoteText"/>
      </w:pPr>
      <w:r>
        <w:rPr>
          <w:rStyle w:val="FootnoteReference"/>
        </w:rPr>
        <w:footnoteRef/>
      </w:r>
      <w:r>
        <w:t xml:space="preserve"> Cross-references for "a cry": Matt 24:31; John 5:28-29.</w:t>
      </w:r>
    </w:p>
  </w:footnote>
  <w:footnote w:id="14762">
    <w:p>
      <w:pPr>
        <w:pStyle w:val="FootnoteText"/>
      </w:pPr>
      <w:r>
        <w:rPr>
          <w:rStyle w:val="FootnoteReference"/>
        </w:rPr>
        <w:footnoteRef/>
      </w:r>
      <w:r>
        <w:t xml:space="preserve"> Cross-references for "Give": Matt 3:9; Luke 16:24.</w:t>
      </w:r>
    </w:p>
  </w:footnote>
  <w:footnote w:id="14763">
    <w:p>
      <w:pPr>
        <w:pStyle w:val="FootnoteText"/>
      </w:pPr>
      <w:r>
        <w:rPr>
          <w:rStyle w:val="FootnoteReference"/>
        </w:rPr>
        <w:footnoteRef/>
      </w:r>
      <w:r>
        <w:t xml:space="preserve"> Cross-references for "the bridegroom": Matt 25:6; Rev 1:7.</w:t>
      </w:r>
    </w:p>
  </w:footnote>
  <w:footnote w:id="14764">
    <w:p>
      <w:pPr>
        <w:pStyle w:val="FootnoteText"/>
      </w:pPr>
      <w:r>
        <w:rPr>
          <w:rStyle w:val="FootnoteReference"/>
        </w:rPr>
        <w:footnoteRef/>
      </w:r>
      <w:r>
        <w:t xml:space="preserve"> Cross-references for "saying": Matt 7:21-23; Heb 12:16-17.</w:t>
      </w:r>
    </w:p>
  </w:footnote>
  <w:footnote w:id="14765">
    <w:p>
      <w:pPr>
        <w:pStyle w:val="FootnoteText"/>
      </w:pPr>
      <w:r>
        <w:rPr>
          <w:rStyle w:val="FootnoteReference"/>
        </w:rPr>
        <w:footnoteRef/>
      </w:r>
      <w:r>
        <w:t xml:space="preserve"> Cross-references for "and delivered": Luke 16:1-12; Rom 12:6-8.</w:t>
      </w:r>
    </w:p>
  </w:footnote>
  <w:footnote w:id="14766">
    <w:p>
      <w:pPr>
        <w:pStyle w:val="FootnoteText"/>
      </w:pPr>
      <w:r>
        <w:rPr>
          <w:rStyle w:val="FootnoteReference"/>
        </w:rPr>
        <w:footnoteRef/>
      </w:r>
      <w:r>
        <w:t xml:space="preserve"> Cross-references for "talents": Matt 18:24; Luke 12:48.</w:t>
      </w:r>
    </w:p>
  </w:footnote>
  <w:footnote w:id="14767">
    <w:p>
      <w:pPr>
        <w:pStyle w:val="FootnoteText"/>
      </w:pPr>
      <w:r>
        <w:rPr>
          <w:rStyle w:val="FootnoteReference"/>
        </w:rPr>
        <w:footnoteRef/>
      </w:r>
      <w:r>
        <w:t xml:space="preserve"> Cross-references for "went": 2Sam 7:1-3; 1Chr 13:1-3.</w:t>
      </w:r>
    </w:p>
  </w:footnote>
  <w:footnote w:id="14768">
    <w:p>
      <w:pPr>
        <w:pStyle w:val="FootnoteText"/>
      </w:pPr>
      <w:r>
        <w:rPr>
          <w:rStyle w:val="FootnoteReference"/>
        </w:rPr>
        <w:footnoteRef/>
      </w:r>
      <w:r>
        <w:t xml:space="preserve"> Cross-references for "he also": Gen 18:19; 2Sam 19:32.</w:t>
      </w:r>
    </w:p>
  </w:footnote>
  <w:footnote w:id="14769">
    <w:p>
      <w:pPr>
        <w:pStyle w:val="FootnoteText"/>
      </w:pPr>
      <w:r>
        <w:rPr>
          <w:rStyle w:val="FootnoteReference"/>
        </w:rPr>
        <w:footnoteRef/>
      </w:r>
      <w:r>
        <w:t xml:space="preserve"> Cross-references for "and hid": Prov 18:9; Prov 26:13-16.</w:t>
      </w:r>
    </w:p>
  </w:footnote>
  <w:footnote w:id="14770">
    <w:p>
      <w:pPr>
        <w:pStyle w:val="FootnoteText"/>
      </w:pPr>
      <w:r>
        <w:rPr>
          <w:rStyle w:val="FootnoteReference"/>
        </w:rPr>
        <w:footnoteRef/>
      </w:r>
      <w:r>
        <w:t xml:space="preserve"> Cross-references for "a long": Matt 24:48; Matt 25:5.</w:t>
      </w:r>
    </w:p>
  </w:footnote>
  <w:footnote w:id="14771">
    <w:p>
      <w:pPr>
        <w:pStyle w:val="FootnoteText"/>
      </w:pPr>
      <w:r>
        <w:rPr>
          <w:rStyle w:val="FootnoteReference"/>
        </w:rPr>
        <w:footnoteRef/>
      </w:r>
      <w:r>
        <w:t xml:space="preserve"> Cross-references for "Well": 2Chr 31:20-21; Luke 16:10.</w:t>
      </w:r>
    </w:p>
  </w:footnote>
  <w:footnote w:id="14772">
    <w:p>
      <w:pPr>
        <w:pStyle w:val="FootnoteText"/>
      </w:pPr>
      <w:r>
        <w:rPr>
          <w:rStyle w:val="FootnoteReference"/>
        </w:rPr>
        <w:footnoteRef/>
      </w:r>
      <w:r>
        <w:t xml:space="preserve"> Cross-references for "Well": Matt 25:21; Mark 12:41-44.</w:t>
      </w:r>
    </w:p>
  </w:footnote>
  <w:footnote w:id="14773">
    <w:p>
      <w:pPr>
        <w:pStyle w:val="FootnoteText"/>
      </w:pPr>
      <w:r>
        <w:rPr>
          <w:rStyle w:val="FootnoteReference"/>
        </w:rPr>
        <w:footnoteRef/>
      </w:r>
      <w:r>
        <w:t xml:space="preserve"> Cross-references for "Lord": Matt 7:21.</w:t>
      </w:r>
    </w:p>
  </w:footnote>
  <w:footnote w:id="14774">
    <w:p>
      <w:pPr>
        <w:pStyle w:val="FootnoteText"/>
      </w:pPr>
      <w:r>
        <w:rPr>
          <w:rStyle w:val="FootnoteReference"/>
        </w:rPr>
        <w:footnoteRef/>
      </w:r>
      <w:r>
        <w:t xml:space="preserve"> Cross-references for "shall be taken": Lam 2:6; Hos 2:9.</w:t>
      </w:r>
    </w:p>
  </w:footnote>
  <w:footnote w:id="14775">
    <w:p>
      <w:pPr>
        <w:pStyle w:val="FootnoteText"/>
      </w:pPr>
      <w:r>
        <w:rPr>
          <w:rStyle w:val="FootnoteReference"/>
        </w:rPr>
        <w:footnoteRef/>
      </w:r>
      <w:r>
        <w:t xml:space="preserve"> Cross-references for "cast": Jer 15:1-2; Ezek 15:2-5.</w:t>
      </w:r>
    </w:p>
  </w:footnote>
  <w:footnote w:id="14776">
    <w:p>
      <w:pPr>
        <w:pStyle w:val="FootnoteText"/>
      </w:pPr>
      <w:r>
        <w:rPr>
          <w:rStyle w:val="FootnoteReference"/>
        </w:rPr>
        <w:footnoteRef/>
      </w:r>
      <w:r>
        <w:t xml:space="preserve"> Cross-references for "the Son": Dan 7:13-14; Zech 14:5.</w:t>
      </w:r>
    </w:p>
  </w:footnote>
  <w:footnote w:id="14777">
    <w:p>
      <w:pPr>
        <w:pStyle w:val="FootnoteText"/>
      </w:pPr>
      <w:r>
        <w:rPr>
          <w:rStyle w:val="FootnoteReference"/>
        </w:rPr>
        <w:footnoteRef/>
      </w:r>
      <w:r>
        <w:t xml:space="preserve"> Cross-references for "he shall separate": Ps 1:5; Ps 50:3-5.</w:t>
      </w:r>
    </w:p>
  </w:footnote>
  <w:footnote w:id="14778">
    <w:p>
      <w:pPr>
        <w:pStyle w:val="FootnoteText"/>
      </w:pPr>
      <w:r>
        <w:rPr>
          <w:rStyle w:val="FootnoteReference"/>
        </w:rPr>
        <w:footnoteRef/>
      </w:r>
      <w:r>
        <w:t xml:space="preserve"> Cross-references for "the sheep": Ps 79:13; Ps 95:7.</w:t>
      </w:r>
    </w:p>
  </w:footnote>
  <w:footnote w:id="14779">
    <w:p>
      <w:pPr>
        <w:pStyle w:val="FootnoteText"/>
      </w:pPr>
      <w:r>
        <w:rPr>
          <w:rStyle w:val="FootnoteReference"/>
        </w:rPr>
        <w:footnoteRef/>
      </w:r>
      <w:r>
        <w:t xml:space="preserve"> Cross-references for "inherit": Luke 12:32; Rom 8:17.</w:t>
      </w:r>
    </w:p>
  </w:footnote>
  <w:footnote w:id="14780">
    <w:p>
      <w:pPr>
        <w:pStyle w:val="FootnoteText"/>
      </w:pPr>
      <w:r>
        <w:rPr>
          <w:rStyle w:val="FootnoteReference"/>
        </w:rPr>
        <w:footnoteRef/>
      </w:r>
      <w:r>
        <w:t xml:space="preserve"> Cross-references for "thirsty": Prov 25:21; Matt 25:42.</w:t>
      </w:r>
    </w:p>
  </w:footnote>
  <w:footnote w:id="14781">
    <w:p>
      <w:pPr>
        <w:pStyle w:val="FootnoteText"/>
      </w:pPr>
      <w:r>
        <w:rPr>
          <w:rStyle w:val="FootnoteReference"/>
        </w:rPr>
        <w:footnoteRef/>
      </w:r>
      <w:r>
        <w:t xml:space="preserve"> Cross-references for "Naked": Job 31:19-20; Luke 3:11.</w:t>
      </w:r>
    </w:p>
  </w:footnote>
  <w:footnote w:id="14782">
    <w:p>
      <w:pPr>
        <w:pStyle w:val="FootnoteText"/>
      </w:pPr>
      <w:r>
        <w:rPr>
          <w:rStyle w:val="FootnoteReference"/>
        </w:rPr>
        <w:footnoteRef/>
      </w:r>
      <w:r>
        <w:t xml:space="preserve"> Cross-references for "Inasmuch": 2Sam 9:1; 2Sam 9:7.</w:t>
      </w:r>
    </w:p>
  </w:footnote>
  <w:footnote w:id="14783">
    <w:p>
      <w:pPr>
        <w:pStyle w:val="FootnoteText"/>
      </w:pPr>
      <w:r>
        <w:rPr>
          <w:rStyle w:val="FootnoteReference"/>
        </w:rPr>
        <w:footnoteRef/>
      </w:r>
      <w:r>
        <w:t xml:space="preserve"> Cross-references for "them": Matt 25:33.</w:t>
      </w:r>
    </w:p>
  </w:footnote>
  <w:footnote w:id="14784">
    <w:p>
      <w:pPr>
        <w:pStyle w:val="FootnoteText"/>
      </w:pPr>
      <w:r>
        <w:rPr>
          <w:rStyle w:val="FootnoteReference"/>
        </w:rPr>
        <w:footnoteRef/>
      </w:r>
      <w:r>
        <w:t xml:space="preserve"> Cross-references for "Inasmuch": Gen 12:3; Num 24:9.</w:t>
      </w:r>
    </w:p>
  </w:footnote>
  <w:footnote w:id="14785">
    <w:p>
      <w:pPr>
        <w:pStyle w:val="FootnoteText"/>
      </w:pPr>
      <w:r>
        <w:rPr>
          <w:rStyle w:val="FootnoteReference"/>
        </w:rPr>
        <w:footnoteRef/>
      </w:r>
      <w:r>
        <w:t xml:space="preserve"> Translation note: Greek aionion modifies both punishment and life in this verse. The draft uses eternal for both halves so the parallel wording remains visible.</w:t>
      </w:r>
    </w:p>
  </w:footnote>
  <w:footnote w:id="14786">
    <w:p>
      <w:pPr>
        <w:pStyle w:val="FootnoteText"/>
      </w:pPr>
      <w:r>
        <w:rPr>
          <w:rStyle w:val="FootnoteReference"/>
        </w:rPr>
        <w:footnoteRef/>
      </w:r>
      <w:r>
        <w:t xml:space="preserve"> Cross-references for "the righteous": Ps 16:10-11; Matt 13:43.</w:t>
      </w:r>
    </w:p>
  </w:footnote>
  <w:footnote w:id="14787">
    <w:p>
      <w:pPr>
        <w:pStyle w:val="FootnoteText"/>
      </w:pPr>
      <w:r>
        <w:rPr>
          <w:rStyle w:val="FootnoteReference"/>
        </w:rPr>
        <w:footnoteRef/>
      </w:r>
      <w:r>
        <w:t xml:space="preserve"> Cross-references for "know": Mark 14:1-2; Luke 22:1-2.</w:t>
      </w:r>
    </w:p>
  </w:footnote>
  <w:footnote w:id="14788">
    <w:p>
      <w:pPr>
        <w:pStyle w:val="FootnoteText"/>
      </w:pPr>
      <w:r>
        <w:rPr>
          <w:rStyle w:val="FootnoteReference"/>
        </w:rPr>
        <w:footnoteRef/>
      </w:r>
      <w:r>
        <w:t xml:space="preserve"> Cross-references for "assembled": Ps 2:1-2; Ps 56:6.</w:t>
      </w:r>
    </w:p>
  </w:footnote>
  <w:footnote w:id="14789">
    <w:p>
      <w:pPr>
        <w:pStyle w:val="FootnoteText"/>
      </w:pPr>
      <w:r>
        <w:rPr>
          <w:rStyle w:val="FootnoteReference"/>
        </w:rPr>
        <w:footnoteRef/>
      </w:r>
      <w:r>
        <w:t xml:space="preserve"> Personal name: Caiaphas. Personal-name meaning: Caiaphas — he that seeks with diligence; one that vomiteth. Source form: Caiaphas.</w:t>
      </w:r>
    </w:p>
  </w:footnote>
  <w:footnote w:id="14790">
    <w:p>
      <w:pPr>
        <w:pStyle w:val="FootnoteText"/>
      </w:pPr>
      <w:r>
        <w:rPr>
          <w:rStyle w:val="FootnoteReference"/>
        </w:rPr>
        <w:footnoteRef/>
      </w:r>
      <w:r>
        <w:t xml:space="preserve"> Cross-references for "consulted": Ps 2:2.</w:t>
      </w:r>
    </w:p>
  </w:footnote>
  <w:footnote w:id="14791">
    <w:p>
      <w:pPr>
        <w:pStyle w:val="FootnoteText"/>
      </w:pPr>
      <w:r>
        <w:rPr>
          <w:rStyle w:val="FootnoteReference"/>
        </w:rPr>
        <w:footnoteRef/>
      </w:r>
      <w:r>
        <w:t xml:space="preserve"> Cross-references for "in Bethany": Matt 21:17; Mark 11:12.</w:t>
      </w:r>
    </w:p>
  </w:footnote>
  <w:footnote w:id="14792">
    <w:p>
      <w:pPr>
        <w:pStyle w:val="FootnoteText"/>
      </w:pPr>
      <w:r>
        <w:rPr>
          <w:rStyle w:val="FootnoteReference"/>
        </w:rPr>
        <w:footnoteRef/>
      </w:r>
      <w:r>
        <w:t xml:space="preserve"> Cross-references for "very": Exod 30:23-33; Ps 133:2.</w:t>
      </w:r>
    </w:p>
  </w:footnote>
  <w:footnote w:id="14793">
    <w:p>
      <w:pPr>
        <w:pStyle w:val="FootnoteText"/>
      </w:pPr>
      <w:r>
        <w:rPr>
          <w:rStyle w:val="FootnoteReference"/>
        </w:rPr>
        <w:footnoteRef/>
      </w:r>
      <w:r>
        <w:t xml:space="preserve"> Cross-references for "a good": Neh 2:18; 2Cor 9:8.</w:t>
      </w:r>
    </w:p>
  </w:footnote>
  <w:footnote w:id="14794">
    <w:p>
      <w:pPr>
        <w:pStyle w:val="FootnoteText"/>
      </w:pPr>
      <w:r>
        <w:rPr>
          <w:rStyle w:val="FootnoteReference"/>
        </w:rPr>
        <w:footnoteRef/>
      </w:r>
      <w:r>
        <w:t xml:space="preserve"> Cross-references for "Judas": Matt 10:4; John 6:70-71.</w:t>
      </w:r>
    </w:p>
  </w:footnote>
  <w:footnote w:id="14795">
    <w:p>
      <w:pPr>
        <w:pStyle w:val="FootnoteText"/>
      </w:pPr>
      <w:r>
        <w:rPr>
          <w:rStyle w:val="FootnoteReference"/>
        </w:rPr>
        <w:footnoteRef/>
      </w:r>
      <w:r>
        <w:t xml:space="preserve"> Cross-references for "thirty": Gen 37:26-28; Exod 21:32.</w:t>
      </w:r>
    </w:p>
  </w:footnote>
  <w:footnote w:id="14796">
    <w:p>
      <w:pPr>
        <w:pStyle w:val="FootnoteText"/>
      </w:pPr>
      <w:r>
        <w:rPr>
          <w:rStyle w:val="FootnoteReference"/>
        </w:rPr>
        <w:footnoteRef/>
      </w:r>
      <w:r>
        <w:t xml:space="preserve"> Cross-references for "the first": Exod 12:6; Exod 12:18-20.</w:t>
      </w:r>
    </w:p>
  </w:footnote>
  <w:footnote w:id="14797">
    <w:p>
      <w:pPr>
        <w:pStyle w:val="FootnoteText"/>
      </w:pPr>
      <w:r>
        <w:rPr>
          <w:rStyle w:val="FootnoteReference"/>
        </w:rPr>
        <w:footnoteRef/>
      </w:r>
      <w:r>
        <w:t xml:space="preserve"> Cross-references for "My time": Matt 26:2; Luke 22:53.</w:t>
      </w:r>
    </w:p>
  </w:footnote>
  <w:footnote w:id="14798">
    <w:p>
      <w:pPr>
        <w:pStyle w:val="FootnoteText"/>
      </w:pPr>
      <w:r>
        <w:rPr>
          <w:rStyle w:val="FootnoteReference"/>
        </w:rPr>
        <w:footnoteRef/>
      </w:r>
      <w:r>
        <w:t xml:space="preserve"> Cross-references for "the disciples": Matt 21:6; John 2:5.</w:t>
      </w:r>
    </w:p>
  </w:footnote>
  <w:footnote w:id="14799">
    <w:p>
      <w:pPr>
        <w:pStyle w:val="FootnoteText"/>
      </w:pPr>
      <w:r>
        <w:rPr>
          <w:rStyle w:val="FootnoteReference"/>
        </w:rPr>
        <w:footnoteRef/>
      </w:r>
      <w:r>
        <w:t xml:space="preserve"> Cross-references for "written": Luke 22:22; Acts 2:23.</w:t>
      </w:r>
    </w:p>
  </w:footnote>
  <w:footnote w:id="14800">
    <w:p>
      <w:pPr>
        <w:pStyle w:val="FootnoteText"/>
      </w:pPr>
      <w:r>
        <w:rPr>
          <w:rStyle w:val="FootnoteReference"/>
        </w:rPr>
        <w:footnoteRef/>
      </w:r>
      <w:r>
        <w:t xml:space="preserve"> Cross-references for "Judas": 2Kgs 5:25; Prov 30:20.</w:t>
      </w:r>
    </w:p>
  </w:footnote>
  <w:footnote w:id="14801">
    <w:p>
      <w:pPr>
        <w:pStyle w:val="FootnoteText"/>
      </w:pPr>
      <w:r>
        <w:rPr>
          <w:rStyle w:val="FootnoteReference"/>
        </w:rPr>
        <w:footnoteRef/>
      </w:r>
      <w:r>
        <w:t xml:space="preserve"> Cross-references for "Jesus": Luke 24:30; 1Cor 11:23-25.</w:t>
      </w:r>
    </w:p>
  </w:footnote>
  <w:footnote w:id="14802">
    <w:p>
      <w:pPr>
        <w:pStyle w:val="FootnoteText"/>
      </w:pPr>
      <w:r>
        <w:rPr>
          <w:rStyle w:val="FootnoteReference"/>
        </w:rPr>
        <w:footnoteRef/>
      </w:r>
      <w:r>
        <w:t xml:space="preserve"> Cross-references for "he took": Mark 14:23-24; Luke 22:20.</w:t>
      </w:r>
    </w:p>
  </w:footnote>
  <w:footnote w:id="14803">
    <w:p>
      <w:pPr>
        <w:pStyle w:val="FootnoteText"/>
      </w:pPr>
      <w:r>
        <w:rPr>
          <w:rStyle w:val="FootnoteReference"/>
        </w:rPr>
        <w:footnoteRef/>
      </w:r>
      <w:r>
        <w:t xml:space="preserve"> Translation note: Greek diathekes is rendered covenant here. Testament is traditional in some English lines, but covenant better fits the biblical covenant frame.</w:t>
      </w:r>
    </w:p>
  </w:footnote>
  <w:footnote w:id="14804">
    <w:p>
      <w:pPr>
        <w:pStyle w:val="FootnoteText"/>
      </w:pPr>
      <w:r>
        <w:rPr>
          <w:rStyle w:val="FootnoteReference"/>
        </w:rPr>
        <w:footnoteRef/>
      </w:r>
      <w:r>
        <w:t xml:space="preserve"> Cross-references for "shed": Matt 20:28; Rom 5:15.</w:t>
      </w:r>
    </w:p>
  </w:footnote>
  <w:footnote w:id="14805">
    <w:p>
      <w:pPr>
        <w:pStyle w:val="FootnoteText"/>
      </w:pPr>
      <w:r>
        <w:rPr>
          <w:rStyle w:val="FootnoteReference"/>
        </w:rPr>
        <w:footnoteRef/>
      </w:r>
      <w:r>
        <w:t xml:space="preserve"> Translation note: Greek aphesis is rendered forgiveness. The older remission wording is defensible, but forgiveness is clearer English for the release/pardon sense.</w:t>
      </w:r>
    </w:p>
  </w:footnote>
  <w:footnote w:id="14806">
    <w:p>
      <w:pPr>
        <w:pStyle w:val="FootnoteText"/>
      </w:pPr>
      <w:r>
        <w:rPr>
          <w:rStyle w:val="FootnoteReference"/>
        </w:rPr>
        <w:footnoteRef/>
      </w:r>
      <w:r>
        <w:t xml:space="preserve"> Cross-references for "they went": Luke 21:37; Luke 22:39.</w:t>
      </w:r>
    </w:p>
  </w:footnote>
  <w:footnote w:id="14807">
    <w:p>
      <w:pPr>
        <w:pStyle w:val="FootnoteText"/>
      </w:pPr>
      <w:r>
        <w:rPr>
          <w:rStyle w:val="FootnoteReference"/>
        </w:rPr>
        <w:footnoteRef/>
      </w:r>
      <w:r>
        <w:t xml:space="preserve"> Cross-references for "Though": Mark 14:29; Luke 22:33.</w:t>
      </w:r>
    </w:p>
  </w:footnote>
  <w:footnote w:id="14808">
    <w:p>
      <w:pPr>
        <w:pStyle w:val="FootnoteText"/>
      </w:pPr>
      <w:r>
        <w:rPr>
          <w:rStyle w:val="FootnoteReference"/>
        </w:rPr>
        <w:footnoteRef/>
      </w:r>
      <w:r>
        <w:t xml:space="preserve"> Cross-references for "Though": Prov 28:14; Prov 29:23.</w:t>
      </w:r>
    </w:p>
  </w:footnote>
  <w:footnote w:id="14809">
    <w:p>
      <w:pPr>
        <w:pStyle w:val="FootnoteText"/>
      </w:pPr>
      <w:r>
        <w:rPr>
          <w:rStyle w:val="FootnoteReference"/>
        </w:rPr>
        <w:footnoteRef/>
      </w:r>
      <w:r>
        <w:t xml:space="preserve"> Cross-references for "a place": Mark 14:32-35; Luke 22:39-46.</w:t>
      </w:r>
    </w:p>
  </w:footnote>
  <w:footnote w:id="14810">
    <w:p>
      <w:pPr>
        <w:pStyle w:val="FootnoteText"/>
      </w:pPr>
      <w:r>
        <w:rPr>
          <w:rStyle w:val="FootnoteReference"/>
        </w:rPr>
        <w:footnoteRef/>
      </w:r>
      <w:r>
        <w:t xml:space="preserve"> Place name: Gethsemane. Place-name meaning: Gethsemane — a very fat or plentiful vale. Source form: Gethsemane. Greek form: γεθσημανη.</w:t>
      </w:r>
    </w:p>
  </w:footnote>
  <w:footnote w:id="14811">
    <w:p>
      <w:pPr>
        <w:pStyle w:val="FootnoteText"/>
      </w:pPr>
      <w:r>
        <w:rPr>
          <w:rStyle w:val="FootnoteReference"/>
        </w:rPr>
        <w:footnoteRef/>
      </w:r>
      <w:r>
        <w:t xml:space="preserve"> Cross-references for "Peter": Matt 4:18; Matt 4:21.</w:t>
      </w:r>
    </w:p>
  </w:footnote>
  <w:footnote w:id="14812">
    <w:p>
      <w:pPr>
        <w:pStyle w:val="FootnoteText"/>
      </w:pPr>
      <w:r>
        <w:rPr>
          <w:rStyle w:val="FootnoteReference"/>
        </w:rPr>
        <w:footnoteRef/>
      </w:r>
      <w:r>
        <w:t xml:space="preserve"> Cross-references for "and fell": Gen 17:3; Num 14:5.</w:t>
      </w:r>
    </w:p>
  </w:footnote>
  <w:footnote w:id="14813">
    <w:p>
      <w:pPr>
        <w:pStyle w:val="FootnoteText"/>
      </w:pPr>
      <w:r>
        <w:rPr>
          <w:rStyle w:val="FootnoteReference"/>
        </w:rPr>
        <w:footnoteRef/>
      </w:r>
      <w:r>
        <w:t xml:space="preserve"> Cross-references for "Watch": Matt 24:42; Matt 25:13.</w:t>
      </w:r>
    </w:p>
  </w:footnote>
  <w:footnote w:id="14814">
    <w:p>
      <w:pPr>
        <w:pStyle w:val="FootnoteText"/>
      </w:pPr>
      <w:r>
        <w:rPr>
          <w:rStyle w:val="FootnoteReference"/>
        </w:rPr>
        <w:footnoteRef/>
      </w:r>
      <w:r>
        <w:t xml:space="preserve"> Cross-references for "the second": Ps 22:1-2; Ps 69:1-3.</w:t>
      </w:r>
    </w:p>
  </w:footnote>
  <w:footnote w:id="14815">
    <w:p>
      <w:pPr>
        <w:pStyle w:val="FootnoteText"/>
      </w:pPr>
      <w:r>
        <w:rPr>
          <w:rStyle w:val="FootnoteReference"/>
        </w:rPr>
        <w:footnoteRef/>
      </w:r>
      <w:r>
        <w:t xml:space="preserve"> Cross-references for "prayed": Dan 9:17-19; Matt 6:7.</w:t>
      </w:r>
    </w:p>
  </w:footnote>
  <w:footnote w:id="14816">
    <w:p>
      <w:pPr>
        <w:pStyle w:val="FootnoteText"/>
      </w:pPr>
      <w:r>
        <w:rPr>
          <w:rStyle w:val="FootnoteReference"/>
        </w:rPr>
        <w:footnoteRef/>
      </w:r>
      <w:r>
        <w:t xml:space="preserve"> Cross-references for "Sleep on": 1Kgs 18:27; Eccl 11:9.</w:t>
      </w:r>
    </w:p>
  </w:footnote>
  <w:footnote w:id="14817">
    <w:p>
      <w:pPr>
        <w:pStyle w:val="FootnoteText"/>
      </w:pPr>
      <w:r>
        <w:rPr>
          <w:rStyle w:val="FootnoteReference"/>
        </w:rPr>
        <w:footnoteRef/>
      </w:r>
      <w:r>
        <w:t xml:space="preserve"> Cross-references for "hold": Mark 14:44.</w:t>
      </w:r>
    </w:p>
  </w:footnote>
  <w:footnote w:id="14818">
    <w:p>
      <w:pPr>
        <w:pStyle w:val="FootnoteText"/>
      </w:pPr>
      <w:r>
        <w:rPr>
          <w:rStyle w:val="FootnoteReference"/>
        </w:rPr>
        <w:footnoteRef/>
      </w:r>
      <w:r>
        <w:t xml:space="preserve"> Cross-references for "Hail": Matt 27:29-30; Mark 15:18.</w:t>
      </w:r>
    </w:p>
  </w:footnote>
  <w:footnote w:id="14819">
    <w:p>
      <w:pPr>
        <w:pStyle w:val="FootnoteText"/>
      </w:pPr>
      <w:r>
        <w:rPr>
          <w:rStyle w:val="FootnoteReference"/>
        </w:rPr>
        <w:footnoteRef/>
      </w:r>
      <w:r>
        <w:t xml:space="preserve"> Cross-references for "Friend": 2Sam 16:17; Ps 41:9.</w:t>
      </w:r>
    </w:p>
  </w:footnote>
  <w:footnote w:id="14820">
    <w:p>
      <w:pPr>
        <w:pStyle w:val="FootnoteText"/>
      </w:pPr>
      <w:r>
        <w:rPr>
          <w:rStyle w:val="FootnoteReference"/>
        </w:rPr>
        <w:footnoteRef/>
      </w:r>
      <w:r>
        <w:t xml:space="preserve"> Cross-references for "twelve": Matt 10:1-2.</w:t>
      </w:r>
    </w:p>
  </w:footnote>
  <w:footnote w:id="14821">
    <w:p>
      <w:pPr>
        <w:pStyle w:val="FootnoteText"/>
      </w:pPr>
      <w:r>
        <w:rPr>
          <w:rStyle w:val="FootnoteReference"/>
        </w:rPr>
        <w:footnoteRef/>
      </w:r>
      <w:r>
        <w:t xml:space="preserve"> Cross-references for "I sat": Mark 12:35; Luke 21:37-38.</w:t>
      </w:r>
    </w:p>
  </w:footnote>
  <w:footnote w:id="14822">
    <w:p>
      <w:pPr>
        <w:pStyle w:val="FootnoteText"/>
      </w:pPr>
      <w:r>
        <w:rPr>
          <w:rStyle w:val="FootnoteReference"/>
        </w:rPr>
        <w:footnoteRef/>
      </w:r>
      <w:r>
        <w:t xml:space="preserve"> Cross-references for "and went": John 18:15-16; John 18:25.</w:t>
      </w:r>
    </w:p>
  </w:footnote>
  <w:footnote w:id="14823">
    <w:p>
      <w:pPr>
        <w:pStyle w:val="FootnoteText"/>
      </w:pPr>
      <w:r>
        <w:rPr>
          <w:rStyle w:val="FootnoteReference"/>
        </w:rPr>
        <w:footnoteRef/>
      </w:r>
      <w:r>
        <w:t xml:space="preserve"> Cross-references for "sought": Deut 19:16-21; 1Kgs 21:8-13.</w:t>
      </w:r>
    </w:p>
  </w:footnote>
  <w:footnote w:id="14824">
    <w:p>
      <w:pPr>
        <w:pStyle w:val="FootnoteText"/>
      </w:pPr>
      <w:r>
        <w:rPr>
          <w:rStyle w:val="FootnoteReference"/>
        </w:rPr>
        <w:footnoteRef/>
      </w:r>
      <w:r>
        <w:t xml:space="preserve"> Cross-references for "found none": Dan 6:4-5; Titus 2:8.</w:t>
      </w:r>
    </w:p>
  </w:footnote>
  <w:footnote w:id="14825">
    <w:p>
      <w:pPr>
        <w:pStyle w:val="FootnoteText"/>
      </w:pPr>
      <w:r>
        <w:rPr>
          <w:rStyle w:val="FootnoteReference"/>
        </w:rPr>
        <w:footnoteRef/>
      </w:r>
      <w:r>
        <w:t xml:space="preserve"> Cross-references for "Jesus": Ps 38:12-14; Isa 53:7.</w:t>
      </w:r>
    </w:p>
  </w:footnote>
  <w:footnote w:id="14826">
    <w:p>
      <w:pPr>
        <w:pStyle w:val="FootnoteText"/>
      </w:pPr>
      <w:r>
        <w:rPr>
          <w:rStyle w:val="FootnoteReference"/>
        </w:rPr>
        <w:footnoteRef/>
      </w:r>
      <w:r>
        <w:t xml:space="preserve"> Cross-references for "the right": Ps 110:1; Acts 7:55-56.</w:t>
      </w:r>
    </w:p>
  </w:footnote>
  <w:footnote w:id="14827">
    <w:p>
      <w:pPr>
        <w:pStyle w:val="FootnoteText"/>
      </w:pPr>
      <w:r>
        <w:rPr>
          <w:rStyle w:val="FootnoteReference"/>
        </w:rPr>
        <w:footnoteRef/>
      </w:r>
      <w:r>
        <w:t xml:space="preserve"> Cross-references for "the high priest": Lev 21:20; 2Kgs 18:37.</w:t>
      </w:r>
    </w:p>
  </w:footnote>
  <w:footnote w:id="14828">
    <w:p>
      <w:pPr>
        <w:pStyle w:val="FootnoteText"/>
      </w:pPr>
      <w:r>
        <w:rPr>
          <w:rStyle w:val="FootnoteReference"/>
        </w:rPr>
        <w:footnoteRef/>
      </w:r>
      <w:r>
        <w:t xml:space="preserve"> Cross-references for "and others": 1Kgs 22:24; Jer 20:2.</w:t>
      </w:r>
    </w:p>
  </w:footnote>
  <w:footnote w:id="14829">
    <w:p>
      <w:pPr>
        <w:pStyle w:val="FootnoteText"/>
      </w:pPr>
      <w:r>
        <w:rPr>
          <w:rStyle w:val="FootnoteReference"/>
        </w:rPr>
        <w:footnoteRef/>
      </w:r>
      <w:r>
        <w:t xml:space="preserve"> Cross-references for "Prophesy": Gen 37:19-20; Judg 16:25.</w:t>
      </w:r>
    </w:p>
  </w:footnote>
  <w:footnote w:id="14830">
    <w:p>
      <w:pPr>
        <w:pStyle w:val="FootnoteText"/>
      </w:pPr>
      <w:r>
        <w:rPr>
          <w:rStyle w:val="FootnoteReference"/>
        </w:rPr>
        <w:footnoteRef/>
      </w:r>
      <w:r>
        <w:t xml:space="preserve"> Cross-references for "Peter": 1Kgs 19:9; 1Kgs 19:13.</w:t>
      </w:r>
    </w:p>
  </w:footnote>
  <w:footnote w:id="14831">
    <w:p>
      <w:pPr>
        <w:pStyle w:val="FootnoteText"/>
      </w:pPr>
      <w:r>
        <w:rPr>
          <w:rStyle w:val="FootnoteReference"/>
        </w:rPr>
        <w:footnoteRef/>
      </w:r>
      <w:r>
        <w:t xml:space="preserve"> Cross-references for "I do not": Matt 26:74; Luke 22:34.</w:t>
      </w:r>
    </w:p>
  </w:footnote>
  <w:footnote w:id="14832">
    <w:p>
      <w:pPr>
        <w:pStyle w:val="FootnoteText"/>
      </w:pPr>
      <w:r>
        <w:rPr>
          <w:rStyle w:val="FootnoteReference"/>
        </w:rPr>
        <w:footnoteRef/>
      </w:r>
      <w:r>
        <w:t xml:space="preserve"> Cross-references for "Surely": Luke 22:59-60; John 18:26-27.</w:t>
      </w:r>
    </w:p>
  </w:footnote>
  <w:footnote w:id="14833">
    <w:p>
      <w:pPr>
        <w:pStyle w:val="FootnoteText"/>
      </w:pPr>
      <w:r>
        <w:rPr>
          <w:rStyle w:val="FootnoteReference"/>
        </w:rPr>
        <w:footnoteRef/>
      </w:r>
      <w:r>
        <w:t xml:space="preserve"> Cross-references for "began": Judg 17:2; Judg 21:18.</w:t>
      </w:r>
    </w:p>
  </w:footnote>
  <w:footnote w:id="14834">
    <w:p>
      <w:pPr>
        <w:pStyle w:val="FootnoteText"/>
      </w:pPr>
      <w:r>
        <w:rPr>
          <w:rStyle w:val="FootnoteReference"/>
        </w:rPr>
        <w:footnoteRef/>
      </w:r>
      <w:r>
        <w:t xml:space="preserve"> Cross-references for "remembered": Matt 26:34; Luke 22:61-62.</w:t>
      </w:r>
    </w:p>
  </w:footnote>
  <w:footnote w:id="14835">
    <w:p>
      <w:pPr>
        <w:pStyle w:val="FootnoteText"/>
      </w:pPr>
      <w:r>
        <w:rPr>
          <w:rStyle w:val="FootnoteReference"/>
        </w:rPr>
        <w:footnoteRef/>
      </w:r>
      <w:r>
        <w:t xml:space="preserve"> Cross-references for "the morning": Judg 16:2; 1Sam 19:11.</w:t>
      </w:r>
    </w:p>
  </w:footnote>
  <w:footnote w:id="14836">
    <w:p>
      <w:pPr>
        <w:pStyle w:val="FootnoteText"/>
      </w:pPr>
      <w:r>
        <w:rPr>
          <w:rStyle w:val="FootnoteReference"/>
        </w:rPr>
        <w:footnoteRef/>
      </w:r>
      <w:r>
        <w:t xml:space="preserve"> Cross-references for "bound": Gen 22:9; John 18:12.</w:t>
      </w:r>
    </w:p>
  </w:footnote>
  <w:footnote w:id="14837">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14838">
    <w:p>
      <w:pPr>
        <w:pStyle w:val="FootnoteText"/>
      </w:pPr>
      <w:r>
        <w:rPr>
          <w:rStyle w:val="FootnoteReference"/>
        </w:rPr>
        <w:footnoteRef/>
      </w:r>
      <w:r>
        <w:t xml:space="preserve"> Name meaning: Pilate (Pilatus) — Armed with a spear. Roman judge who washed his hands of Jesus.</w:t>
      </w:r>
    </w:p>
  </w:footnote>
  <w:footnote w:id="14839">
    <w:p>
      <w:pPr>
        <w:pStyle w:val="FootnoteText"/>
      </w:pPr>
      <w:r>
        <w:rPr>
          <w:rStyle w:val="FootnoteReference"/>
        </w:rPr>
        <w:footnoteRef/>
      </w:r>
      <w:r>
        <w:t xml:space="preserve"> Cross-references for "Judas": Matt 26:14-16; Matt 26:47-50.</w:t>
      </w:r>
    </w:p>
  </w:footnote>
  <w:footnote w:id="14840">
    <w:p>
      <w:pPr>
        <w:pStyle w:val="FootnoteText"/>
      </w:pPr>
      <w:r>
        <w:rPr>
          <w:rStyle w:val="FootnoteReference"/>
        </w:rPr>
        <w:footnoteRef/>
      </w:r>
      <w:r>
        <w:t xml:space="preserve"> Cross-references for "I have sinned": Gen 42:21-22; Exod 9:27.</w:t>
      </w:r>
    </w:p>
  </w:footnote>
  <w:footnote w:id="14841">
    <w:p>
      <w:pPr>
        <w:pStyle w:val="FootnoteText"/>
      </w:pPr>
      <w:r>
        <w:rPr>
          <w:rStyle w:val="FootnoteReference"/>
        </w:rPr>
        <w:footnoteRef/>
      </w:r>
      <w:r>
        <w:t xml:space="preserve"> Cross-references for "and departed": Judg 9:54; 1Sam 31:4-5.</w:t>
      </w:r>
    </w:p>
  </w:footnote>
  <w:footnote w:id="14842">
    <w:p>
      <w:pPr>
        <w:pStyle w:val="FootnoteText"/>
      </w:pPr>
      <w:r>
        <w:rPr>
          <w:rStyle w:val="FootnoteReference"/>
        </w:rPr>
        <w:footnoteRef/>
      </w:r>
      <w:r>
        <w:t xml:space="preserve"> Cross-references for "It is not": Matt 23:24; Luke 6:7-9.</w:t>
      </w:r>
    </w:p>
  </w:footnote>
  <w:footnote w:id="14843">
    <w:p>
      <w:pPr>
        <w:pStyle w:val="FootnoteText"/>
      </w:pPr>
      <w:r>
        <w:rPr>
          <w:rStyle w:val="FootnoteReference"/>
        </w:rPr>
        <w:footnoteRef/>
      </w:r>
      <w:r>
        <w:t xml:space="preserve"> Cross-references for "thirty": Exod 21:32; Lev 27:2-7.</w:t>
      </w:r>
    </w:p>
  </w:footnote>
  <w:footnote w:id="14844">
    <w:p>
      <w:pPr>
        <w:pStyle w:val="FootnoteText"/>
      </w:pPr>
      <w:r>
        <w:rPr>
          <w:rStyle w:val="FootnoteReference"/>
        </w:rPr>
        <w:footnoteRef/>
      </w:r>
      <w:r>
        <w:t xml:space="preserve"> Cross-references for "Jesus stood": Matt 10:18; Matt 10:25.</w:t>
      </w:r>
    </w:p>
  </w:footnote>
  <w:footnote w:id="14845">
    <w:p>
      <w:pPr>
        <w:pStyle w:val="FootnoteText"/>
      </w:pPr>
      <w:r>
        <w:rPr>
          <w:rStyle w:val="FootnoteReference"/>
        </w:rPr>
        <w:footnoteRef/>
      </w:r>
      <w:r>
        <w:t xml:space="preserve"> Name meaning: Barabbas (Bar-Abba) — Son of the father. Released in place of the true Son of the Father.</w:t>
      </w:r>
    </w:p>
  </w:footnote>
  <w:footnote w:id="14846">
    <w:p>
      <w:pPr>
        <w:pStyle w:val="FootnoteText"/>
      </w:pPr>
      <w:r>
        <w:rPr>
          <w:rStyle w:val="FootnoteReference"/>
        </w:rPr>
        <w:footnoteRef/>
      </w:r>
      <w:r>
        <w:t xml:space="preserve"> Cross-references for "envy": Prov 27:4.</w:t>
      </w:r>
    </w:p>
  </w:footnote>
  <w:footnote w:id="14847">
    <w:p>
      <w:pPr>
        <w:pStyle w:val="FootnoteText"/>
      </w:pPr>
      <w:r>
        <w:rPr>
          <w:rStyle w:val="FootnoteReference"/>
        </w:rPr>
        <w:footnoteRef/>
      </w:r>
      <w:r>
        <w:t xml:space="preserve"> Cross-references for "persuaded": Mark 15:11; Acts 14:18-19.</w:t>
      </w:r>
    </w:p>
  </w:footnote>
  <w:footnote w:id="14848">
    <w:p>
      <w:pPr>
        <w:pStyle w:val="FootnoteText"/>
      </w:pPr>
      <w:r>
        <w:rPr>
          <w:rStyle w:val="FootnoteReference"/>
        </w:rPr>
        <w:footnoteRef/>
      </w:r>
      <w:r>
        <w:t xml:space="preserve"> Cross-references for "and washed": Deut 21:6-7; Job 9:30-31.</w:t>
      </w:r>
    </w:p>
  </w:footnote>
  <w:footnote w:id="14849">
    <w:p>
      <w:pPr>
        <w:pStyle w:val="FootnoteText"/>
      </w:pPr>
      <w:r>
        <w:rPr>
          <w:rStyle w:val="FootnoteReference"/>
        </w:rPr>
        <w:footnoteRef/>
      </w:r>
      <w:r>
        <w:t xml:space="preserve"> Cross-references for "released": Mark 15:15; Luke 23:25.</w:t>
      </w:r>
    </w:p>
  </w:footnote>
  <w:footnote w:id="14850">
    <w:p>
      <w:pPr>
        <w:pStyle w:val="FootnoteText"/>
      </w:pPr>
      <w:r>
        <w:rPr>
          <w:rStyle w:val="FootnoteReference"/>
        </w:rPr>
        <w:footnoteRef/>
      </w:r>
      <w:r>
        <w:t xml:space="preserve"> Cross-references for "common hall": Mark 15:16; John 18:28.</w:t>
      </w:r>
    </w:p>
  </w:footnote>
  <w:footnote w:id="14851">
    <w:p>
      <w:pPr>
        <w:pStyle w:val="FootnoteText"/>
      </w:pPr>
      <w:r>
        <w:rPr>
          <w:rStyle w:val="FootnoteReference"/>
        </w:rPr>
        <w:footnoteRef/>
      </w:r>
      <w:r>
        <w:t xml:space="preserve"> Cross-references for "stripped": Mark 15:17; Luke 23:11.</w:t>
      </w:r>
    </w:p>
  </w:footnote>
  <w:footnote w:id="14852">
    <w:p>
      <w:pPr>
        <w:pStyle w:val="FootnoteText"/>
      </w:pPr>
      <w:r>
        <w:rPr>
          <w:rStyle w:val="FootnoteReference"/>
        </w:rPr>
        <w:footnoteRef/>
      </w:r>
      <w:r>
        <w:t xml:space="preserve"> Cross-references for "Hail": Matt 26:49; Matt 27:37.</w:t>
      </w:r>
    </w:p>
  </w:footnote>
  <w:footnote w:id="14853">
    <w:p>
      <w:pPr>
        <w:pStyle w:val="FootnoteText"/>
      </w:pPr>
      <w:r>
        <w:rPr>
          <w:rStyle w:val="FootnoteReference"/>
        </w:rPr>
        <w:footnoteRef/>
      </w:r>
      <w:r>
        <w:t xml:space="preserve"> Cross-references for "and led": Num 15:35; 1Kgs 21:10.</w:t>
      </w:r>
    </w:p>
  </w:footnote>
  <w:footnote w:id="14854">
    <w:p>
      <w:pPr>
        <w:pStyle w:val="FootnoteText"/>
      </w:pPr>
      <w:r>
        <w:rPr>
          <w:rStyle w:val="FootnoteReference"/>
        </w:rPr>
        <w:footnoteRef/>
      </w:r>
      <w:r>
        <w:t xml:space="preserve"> Cross-references for "they found": Matt 16:24; Mark 15:21.</w:t>
      </w:r>
    </w:p>
  </w:footnote>
  <w:footnote w:id="14855">
    <w:p>
      <w:pPr>
        <w:pStyle w:val="FootnoteText"/>
      </w:pPr>
      <w:r>
        <w:rPr>
          <w:rStyle w:val="FootnoteReference"/>
        </w:rPr>
        <w:footnoteRef/>
      </w:r>
      <w:r>
        <w:t xml:space="preserve"> Place name: Cyrene. Place-name meaning: Cyrene — a wall; coldness; the floor. Source form: Cyrene. Greek form: ευρον.</w:t>
      </w:r>
    </w:p>
  </w:footnote>
  <w:footnote w:id="14856">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14857">
    <w:p>
      <w:pPr>
        <w:pStyle w:val="FootnoteText"/>
      </w:pPr>
      <w:r>
        <w:rPr>
          <w:rStyle w:val="FootnoteReference"/>
        </w:rPr>
        <w:footnoteRef/>
      </w:r>
      <w:r>
        <w:t xml:space="preserve"> Cross-references for "Golgotha": Mark 15:22; Luke 23:27-33.</w:t>
      </w:r>
    </w:p>
  </w:footnote>
  <w:footnote w:id="14858">
    <w:p>
      <w:pPr>
        <w:pStyle w:val="FootnoteText"/>
      </w:pPr>
      <w:r>
        <w:rPr>
          <w:rStyle w:val="FootnoteReference"/>
        </w:rPr>
        <w:footnoteRef/>
      </w:r>
      <w:r>
        <w:t xml:space="preserve"> Cross-references for "gave": Ps 69:21; Matt 27:48.</w:t>
      </w:r>
    </w:p>
  </w:footnote>
  <w:footnote w:id="14859">
    <w:p>
      <w:pPr>
        <w:pStyle w:val="FootnoteText"/>
      </w:pPr>
      <w:r>
        <w:rPr>
          <w:rStyle w:val="FootnoteReference"/>
        </w:rPr>
        <w:footnoteRef/>
      </w:r>
      <w:r>
        <w:t xml:space="preserve"> Cross-references for "they crucified": Ps 22:16; John 20:20.</w:t>
      </w:r>
    </w:p>
  </w:footnote>
  <w:footnote w:id="14860">
    <w:p>
      <w:pPr>
        <w:pStyle w:val="FootnoteText"/>
      </w:pPr>
      <w:r>
        <w:rPr>
          <w:rStyle w:val="FootnoteReference"/>
        </w:rPr>
        <w:footnoteRef/>
      </w:r>
      <w:r>
        <w:t xml:space="preserve"> Cross-references for "his accusation": Mark 15:26; Luke 23:38.</w:t>
      </w:r>
    </w:p>
  </w:footnote>
  <w:footnote w:id="14861">
    <w:p>
      <w:pPr>
        <w:pStyle w:val="FootnoteText"/>
      </w:pPr>
      <w:r>
        <w:rPr>
          <w:rStyle w:val="FootnoteReference"/>
        </w:rPr>
        <w:footnoteRef/>
      </w:r>
      <w:r>
        <w:t xml:space="preserve"> Cross-references for "reviled": Ps 22:6-7; Ps 22:17.</w:t>
      </w:r>
    </w:p>
  </w:footnote>
  <w:footnote w:id="14862">
    <w:p>
      <w:pPr>
        <w:pStyle w:val="FootnoteText"/>
      </w:pPr>
      <w:r>
        <w:rPr>
          <w:rStyle w:val="FootnoteReference"/>
        </w:rPr>
        <w:footnoteRef/>
      </w:r>
      <w:r>
        <w:t xml:space="preserve"> Cross-references for "saying": Gen 37:19-20; Rev 11:10.</w:t>
      </w:r>
    </w:p>
  </w:footnote>
  <w:footnote w:id="14863">
    <w:p>
      <w:pPr>
        <w:pStyle w:val="FootnoteText"/>
      </w:pPr>
      <w:r>
        <w:rPr>
          <w:rStyle w:val="FootnoteReference"/>
        </w:rPr>
        <w:footnoteRef/>
      </w:r>
      <w:r>
        <w:t xml:space="preserve"> Cross-references for "saved": John 9:24; John 12:47.</w:t>
      </w:r>
    </w:p>
  </w:footnote>
  <w:footnote w:id="14864">
    <w:p>
      <w:pPr>
        <w:pStyle w:val="FootnoteText"/>
      </w:pPr>
      <w:r>
        <w:rPr>
          <w:rStyle w:val="FootnoteReference"/>
        </w:rPr>
        <w:footnoteRef/>
      </w:r>
      <w:r>
        <w:t xml:space="preserve"> Cross-references for "trusted": Ps 3:2; Ps 14:6.</w:t>
      </w:r>
    </w:p>
  </w:footnote>
  <w:footnote w:id="14865">
    <w:p>
      <w:pPr>
        <w:pStyle w:val="FootnoteText"/>
      </w:pPr>
      <w:r>
        <w:rPr>
          <w:rStyle w:val="FootnoteReference"/>
        </w:rPr>
        <w:footnoteRef/>
      </w:r>
      <w:r>
        <w:t xml:space="preserve"> Cross-references for "darkness": Isa 50:3; Amos 8:9.</w:t>
      </w:r>
    </w:p>
  </w:footnote>
  <w:footnote w:id="14866">
    <w:p>
      <w:pPr>
        <w:pStyle w:val="FootnoteText"/>
      </w:pPr>
      <w:r>
        <w:rPr>
          <w:rStyle w:val="FootnoteReference"/>
        </w:rPr>
        <w:footnoteRef/>
      </w:r>
      <w:r>
        <w:t xml:space="preserve"> Cross-references for "Jesus": Mark 15:34; Luke 23:46.</w:t>
      </w:r>
    </w:p>
  </w:footnote>
  <w:footnote w:id="14867">
    <w:p>
      <w:pPr>
        <w:pStyle w:val="FootnoteText"/>
      </w:pPr>
      <w:r>
        <w:rPr>
          <w:rStyle w:val="FootnoteReference"/>
        </w:rPr>
        <w:footnoteRef/>
      </w:r>
      <w:r>
        <w:t xml:space="preserve"> Personal name: Eli. Personal-name meaning: Eli — the offering or lifting up. Source form: Eli.</w:t>
      </w:r>
    </w:p>
  </w:footnote>
  <w:footnote w:id="14868">
    <w:p>
      <w:pPr>
        <w:pStyle w:val="FootnoteText"/>
      </w:pPr>
      <w:r>
        <w:rPr>
          <w:rStyle w:val="FootnoteReference"/>
        </w:rPr>
        <w:footnoteRef/>
      </w:r>
      <w:r>
        <w:t xml:space="preserve"> Cross-references for "and filled": Ps 69:21; Matt 27:34.</w:t>
      </w:r>
    </w:p>
  </w:footnote>
  <w:footnote w:id="14869">
    <w:p>
      <w:pPr>
        <w:pStyle w:val="FootnoteText"/>
      </w:pPr>
      <w:r>
        <w:rPr>
          <w:rStyle w:val="FootnoteReference"/>
        </w:rPr>
        <w:footnoteRef/>
      </w:r>
      <w:r>
        <w:t xml:space="preserve"> Cross-references for "let us": Matt 27:43.</w:t>
      </w:r>
    </w:p>
  </w:footnote>
  <w:footnote w:id="14870">
    <w:p>
      <w:pPr>
        <w:pStyle w:val="FootnoteText"/>
      </w:pPr>
      <w:r>
        <w:rPr>
          <w:rStyle w:val="FootnoteReference"/>
        </w:rPr>
        <w:footnoteRef/>
      </w:r>
      <w:r>
        <w:t xml:space="preserve"> Cross-references for "yielded": Ps 22:14-15; Isa 53:9-12.</w:t>
      </w:r>
    </w:p>
  </w:footnote>
  <w:footnote w:id="14871">
    <w:p>
      <w:pPr>
        <w:pStyle w:val="FootnoteText"/>
      </w:pPr>
      <w:r>
        <w:rPr>
          <w:rStyle w:val="FootnoteReference"/>
        </w:rPr>
        <w:footnoteRef/>
      </w:r>
      <w:r>
        <w:t xml:space="preserve"> Cross-references for "the veil": Exod 26:31-37; Exod 40:21.</w:t>
      </w:r>
    </w:p>
  </w:footnote>
  <w:footnote w:id="14872">
    <w:p>
      <w:pPr>
        <w:pStyle w:val="FootnoteText"/>
      </w:pPr>
      <w:r>
        <w:rPr>
          <w:rStyle w:val="FootnoteReference"/>
        </w:rPr>
        <w:footnoteRef/>
      </w:r>
      <w:r>
        <w:t xml:space="preserve"> Cross-references for "slept": Dan 12:2; 1Cor 11:30.</w:t>
      </w:r>
    </w:p>
  </w:footnote>
  <w:footnote w:id="14873">
    <w:p>
      <w:pPr>
        <w:pStyle w:val="FootnoteText"/>
      </w:pPr>
      <w:r>
        <w:rPr>
          <w:rStyle w:val="FootnoteReference"/>
        </w:rPr>
        <w:footnoteRef/>
      </w:r>
      <w:r>
        <w:t xml:space="preserve"> Cross-references for "holy": Neh 11:1; Isa 48:2.</w:t>
      </w:r>
    </w:p>
  </w:footnote>
  <w:footnote w:id="14874">
    <w:p>
      <w:pPr>
        <w:pStyle w:val="FootnoteText"/>
      </w:pPr>
      <w:r>
        <w:rPr>
          <w:rStyle w:val="FootnoteReference"/>
        </w:rPr>
        <w:footnoteRef/>
      </w:r>
      <w:r>
        <w:t xml:space="preserve"> Cross-references for "the centurion": Matt 8:5; Matt 27:36.</w:t>
      </w:r>
    </w:p>
  </w:footnote>
  <w:footnote w:id="14875">
    <w:p>
      <w:pPr>
        <w:pStyle w:val="FootnoteText"/>
      </w:pPr>
      <w:r>
        <w:rPr>
          <w:rStyle w:val="FootnoteReference"/>
        </w:rPr>
        <w:footnoteRef/>
      </w:r>
      <w:r>
        <w:t xml:space="preserve"> Cross-references for "ministering": Luke 8:2-3.</w:t>
      </w:r>
    </w:p>
  </w:footnote>
  <w:footnote w:id="14876">
    <w:p>
      <w:pPr>
        <w:pStyle w:val="FootnoteText"/>
      </w:pPr>
      <w:r>
        <w:rPr>
          <w:rStyle w:val="FootnoteReference"/>
        </w:rPr>
        <w:footnoteRef/>
      </w:r>
      <w:r>
        <w:t xml:space="preserve"> Name meaning: Mary Magdalene (Miryam) — Of Magdala. First witness to the resurrection.</w:t>
      </w:r>
    </w:p>
  </w:footnote>
  <w:footnote w:id="14877">
    <w:p>
      <w:pPr>
        <w:pStyle w:val="FootnoteText"/>
      </w:pPr>
      <w:r>
        <w:rPr>
          <w:rStyle w:val="FootnoteReference"/>
        </w:rPr>
        <w:footnoteRef/>
      </w:r>
      <w:r>
        <w:t xml:space="preserve"> People-name: Magdalene. People-name meaning: Magdalene — a person from Magdala. Source form: Magdalene.</w:t>
      </w:r>
    </w:p>
  </w:footnote>
  <w:footnote w:id="14878">
    <w:p>
      <w:pPr>
        <w:pStyle w:val="FootnoteText"/>
      </w:pPr>
      <w:r>
        <w:rPr>
          <w:rStyle w:val="FootnoteReference"/>
        </w:rPr>
        <w:footnoteRef/>
      </w:r>
      <w:r>
        <w:t xml:space="preserve"> Cross-references for "Mary Magdalene": Matt 27:61; Matt 28:1.</w:t>
      </w:r>
    </w:p>
  </w:footnote>
  <w:footnote w:id="14879">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14880">
    <w:p>
      <w:pPr>
        <w:pStyle w:val="FootnoteText"/>
      </w:pPr>
      <w:r>
        <w:rPr>
          <w:rStyle w:val="FootnoteReference"/>
        </w:rPr>
        <w:footnoteRef/>
      </w:r>
      <w:r>
        <w:t xml:space="preserve"> Cross-references for "in his": Isa 53:9.</w:t>
      </w:r>
    </w:p>
  </w:footnote>
  <w:footnote w:id="14881">
    <w:p>
      <w:pPr>
        <w:pStyle w:val="FootnoteText"/>
      </w:pPr>
      <w:r>
        <w:rPr>
          <w:rStyle w:val="FootnoteReference"/>
        </w:rPr>
        <w:footnoteRef/>
      </w:r>
      <w:r>
        <w:t xml:space="preserve"> Cross-references for "Mary Magdalene": Matt 27:56.</w:t>
      </w:r>
    </w:p>
  </w:footnote>
  <w:footnote w:id="14882">
    <w:p>
      <w:pPr>
        <w:pStyle w:val="FootnoteText"/>
      </w:pPr>
      <w:r>
        <w:rPr>
          <w:rStyle w:val="FootnoteReference"/>
        </w:rPr>
        <w:footnoteRef/>
      </w:r>
      <w:r>
        <w:t xml:space="preserve"> Cross-references for "the chief priests": Ps 2:1-6; Matt 27:1-2.</w:t>
      </w:r>
    </w:p>
  </w:footnote>
  <w:footnote w:id="14883">
    <w:p>
      <w:pPr>
        <w:pStyle w:val="FootnoteText"/>
      </w:pPr>
      <w:r>
        <w:rPr>
          <w:rStyle w:val="FootnoteReference"/>
        </w:rPr>
        <w:footnoteRef/>
      </w:r>
      <w:r>
        <w:t xml:space="preserve"> Cross-references for "and steal": Matt 28:13.</w:t>
      </w:r>
    </w:p>
  </w:footnote>
  <w:footnote w:id="14884">
    <w:p>
      <w:pPr>
        <w:pStyle w:val="FootnoteText"/>
      </w:pPr>
      <w:r>
        <w:rPr>
          <w:rStyle w:val="FootnoteReference"/>
        </w:rPr>
        <w:footnoteRef/>
      </w:r>
      <w:r>
        <w:t xml:space="preserve"> Cross-references for "make": Ps 76:10; Prov 21:30.</w:t>
      </w:r>
    </w:p>
  </w:footnote>
  <w:footnote w:id="14885">
    <w:p>
      <w:pPr>
        <w:pStyle w:val="FootnoteText"/>
      </w:pPr>
      <w:r>
        <w:rPr>
          <w:rStyle w:val="FootnoteReference"/>
        </w:rPr>
        <w:footnoteRef/>
      </w:r>
      <w:r>
        <w:t xml:space="preserve"> Cross-references for "sealing": Dan 6:17; 2Tim 2:19.</w:t>
      </w:r>
    </w:p>
  </w:footnote>
  <w:footnote w:id="14886">
    <w:p>
      <w:pPr>
        <w:pStyle w:val="FootnoteText"/>
      </w:pPr>
      <w:r>
        <w:rPr>
          <w:rStyle w:val="FootnoteReference"/>
        </w:rPr>
        <w:footnoteRef/>
      </w:r>
      <w:r>
        <w:t xml:space="preserve"> Cross-references for "Mary Magdalene": Matt 27:56; Matt 27:61.</w:t>
      </w:r>
    </w:p>
  </w:footnote>
  <w:footnote w:id="14887">
    <w:p>
      <w:pPr>
        <w:pStyle w:val="FootnoteText"/>
      </w:pPr>
      <w:r>
        <w:rPr>
          <w:rStyle w:val="FootnoteReference"/>
        </w:rPr>
        <w:footnoteRef/>
      </w:r>
      <w:r>
        <w:t xml:space="preserve"> Cross-references for "countenance": Ps 104:4; Ezek 1:4-14.</w:t>
      </w:r>
    </w:p>
  </w:footnote>
  <w:footnote w:id="14888">
    <w:p>
      <w:pPr>
        <w:pStyle w:val="FootnoteText"/>
      </w:pPr>
      <w:r>
        <w:rPr>
          <w:rStyle w:val="FootnoteReference"/>
        </w:rPr>
        <w:footnoteRef/>
      </w:r>
      <w:r>
        <w:t xml:space="preserve"> Cross-references for "fear": Isa 35:4; Isa 41:10.</w:t>
      </w:r>
    </w:p>
  </w:footnote>
  <w:footnote w:id="14889">
    <w:p>
      <w:pPr>
        <w:pStyle w:val="FootnoteText"/>
      </w:pPr>
      <w:r>
        <w:rPr>
          <w:rStyle w:val="FootnoteReference"/>
        </w:rPr>
        <w:footnoteRef/>
      </w:r>
      <w:r>
        <w:t xml:space="preserve"> Cross-references for "and held": Song 3:3-4; Luke 7:38.</w:t>
      </w:r>
    </w:p>
  </w:footnote>
  <w:footnote w:id="14890">
    <w:p>
      <w:pPr>
        <w:pStyle w:val="FootnoteText"/>
      </w:pPr>
      <w:r>
        <w:rPr>
          <w:rStyle w:val="FootnoteReference"/>
        </w:rPr>
        <w:footnoteRef/>
      </w:r>
      <w:r>
        <w:t xml:space="preserve"> Cross-references for "stole": Matt 26:64.</w:t>
      </w:r>
    </w:p>
  </w:footnote>
  <w:footnote w:id="14891">
    <w:p>
      <w:pPr>
        <w:pStyle w:val="FootnoteText"/>
      </w:pPr>
      <w:r>
        <w:rPr>
          <w:rStyle w:val="FootnoteReference"/>
        </w:rPr>
        <w:footnoteRef/>
      </w:r>
      <w:r>
        <w:t xml:space="preserve"> Cross-references for "they took": Matt 26:15; 1Tim 6:10.</w:t>
      </w:r>
    </w:p>
  </w:footnote>
  <w:footnote w:id="14892">
    <w:p>
      <w:pPr>
        <w:pStyle w:val="FootnoteText"/>
      </w:pPr>
      <w:r>
        <w:rPr>
          <w:rStyle w:val="FootnoteReference"/>
        </w:rPr>
        <w:footnoteRef/>
      </w:r>
      <w:r>
        <w:t xml:space="preserve"> Cross-references for "the eleven": Mark 16:14; John 6:70.</w:t>
      </w:r>
    </w:p>
  </w:footnote>
  <w:footnote w:id="14893">
    <w:p>
      <w:pPr>
        <w:pStyle w:val="FootnoteText"/>
      </w:pPr>
      <w:r>
        <w:rPr>
          <w:rStyle w:val="FootnoteReference"/>
        </w:rPr>
        <w:footnoteRef/>
      </w:r>
      <w:r>
        <w:t xml:space="preserve"> Cross-references for "baptizing": Acts 2:38-39; Acts 2:41.</w:t>
      </w:r>
    </w:p>
  </w:footnote>
  <w:footnote w:id="14894">
    <w:p>
      <w:pPr>
        <w:pStyle w:val="FootnoteText"/>
      </w:pPr>
      <w:r>
        <w:rPr>
          <w:rStyle w:val="FootnoteReference"/>
        </w:rPr>
        <w:footnoteRef/>
      </w:r>
      <w:r>
        <w:t xml:space="preserve"> Cross-references for "them": Deut 5:32; Deut 12:32.</w:t>
      </w:r>
    </w:p>
  </w:footnote>
  <w:footnote w:id="14895">
    <w:p>
      <w:pPr>
        <w:pStyle w:val="FootnoteText"/>
      </w:pPr>
      <w:r>
        <w:rPr>
          <w:rStyle w:val="FootnoteReference"/>
        </w:rPr>
        <w:footnoteRef/>
      </w:r>
      <w:r>
        <w:t xml:space="preserve"> Translation note: Greek euangelion is rendered good news here. Gospel is the traditional English title-word, but good news keeps the compound sense transparent.</w:t>
      </w:r>
    </w:p>
  </w:footnote>
  <w:footnote w:id="14896">
    <w:p>
      <w:pPr>
        <w:pStyle w:val="FootnoteText"/>
      </w:pPr>
      <w:r>
        <w:rPr>
          <w:rStyle w:val="FootnoteReference"/>
        </w:rPr>
        <w:footnoteRef/>
      </w:r>
      <w:r>
        <w:t xml:space="preserve"> Cross-references for "Christ": John 20:31; Rom 1:1-4.</w:t>
      </w:r>
    </w:p>
  </w:footnote>
  <w:footnote w:id="14897">
    <w:p>
      <w:pPr>
        <w:pStyle w:val="FootnoteText"/>
      </w:pPr>
      <w:r>
        <w:rPr>
          <w:rStyle w:val="FootnoteReference"/>
        </w:rPr>
        <w:footnoteRef/>
      </w:r>
      <w:r>
        <w:t xml:space="preserve"> Cross-references for "written": Ps 40:7; Matt 2:5.</w:t>
      </w:r>
    </w:p>
  </w:footnote>
  <w:footnote w:id="14898">
    <w:p>
      <w:pPr>
        <w:pStyle w:val="FootnoteText"/>
      </w:pPr>
      <w:r>
        <w:rPr>
          <w:rStyle w:val="FootnoteReference"/>
        </w:rPr>
        <w:footnoteRef/>
      </w:r>
      <w:r>
        <w:t xml:space="preserve"> Cross-references for "baptized": John 1:28; John 3:23.</w:t>
      </w:r>
    </w:p>
  </w:footnote>
  <w:footnote w:id="14899">
    <w:p>
      <w:pPr>
        <w:pStyle w:val="FootnoteText"/>
      </w:pPr>
      <w:r>
        <w:rPr>
          <w:rStyle w:val="FootnoteReference"/>
        </w:rPr>
        <w:footnoteRef/>
      </w:r>
      <w:r>
        <w:t xml:space="preserve"> Cross-references for "clothed": 2Kgs 1:8; Zech 13:4.</w:t>
      </w:r>
    </w:p>
  </w:footnote>
  <w:footnote w:id="14900">
    <w:p>
      <w:pPr>
        <w:pStyle w:val="FootnoteText"/>
      </w:pPr>
      <w:r>
        <w:rPr>
          <w:rStyle w:val="FootnoteReference"/>
        </w:rPr>
        <w:footnoteRef/>
      </w:r>
      <w:r>
        <w:t xml:space="preserve"> Cross-references for "he shall": Prov 1:23; Isa 32:15.</w:t>
      </w:r>
    </w:p>
  </w:footnote>
  <w:footnote w:id="14901">
    <w:p>
      <w:pPr>
        <w:pStyle w:val="FootnoteText"/>
      </w:pPr>
      <w:r>
        <w:rPr>
          <w:rStyle w:val="FootnoteReference"/>
        </w:rPr>
        <w:footnoteRef/>
      </w:r>
      <w:r>
        <w:t xml:space="preserve"> Cross-references for "coming": Matt 3:16; John 1:31-34.</w:t>
      </w:r>
    </w:p>
  </w:footnote>
  <w:footnote w:id="14902">
    <w:p>
      <w:pPr>
        <w:pStyle w:val="FootnoteText"/>
      </w:pPr>
      <w:r>
        <w:rPr>
          <w:rStyle w:val="FootnoteReference"/>
        </w:rPr>
        <w:footnoteRef/>
      </w:r>
      <w:r>
        <w:t xml:space="preserve"> Cross-references for "the Spirit": Matt 4:1-11; Luke 4:1-4.</w:t>
      </w:r>
    </w:p>
  </w:footnote>
  <w:footnote w:id="14903">
    <w:p>
      <w:pPr>
        <w:pStyle w:val="FootnoteText"/>
      </w:pPr>
      <w:r>
        <w:rPr>
          <w:rStyle w:val="FootnoteReference"/>
        </w:rPr>
        <w:footnoteRef/>
      </w:r>
      <w:r>
        <w:t xml:space="preserve"> Cross-references for "forty": Exod 24:18; Exod 34:28.</w:t>
      </w:r>
    </w:p>
  </w:footnote>
  <w:footnote w:id="14904">
    <w:p>
      <w:pPr>
        <w:pStyle w:val="FootnoteText"/>
      </w:pPr>
      <w:r>
        <w:rPr>
          <w:rStyle w:val="FootnoteReference"/>
        </w:rPr>
        <w:footnoteRef/>
      </w:r>
      <w:r>
        <w:t xml:space="preserve"> Cross-references for "preaching": Isa 61:1-3; Matt 4:23.</w:t>
      </w:r>
    </w:p>
  </w:footnote>
  <w:footnote w:id="14905">
    <w:p>
      <w:pPr>
        <w:pStyle w:val="FootnoteText"/>
      </w:pPr>
      <w:r>
        <w:rPr>
          <w:rStyle w:val="FootnoteReference"/>
        </w:rPr>
        <w:footnoteRef/>
      </w:r>
      <w:r>
        <w:t xml:space="preserve"> Cross-references for "The time": Dan 2:44; Dan 9:25.</w:t>
      </w:r>
    </w:p>
  </w:footnote>
  <w:footnote w:id="14906">
    <w:p>
      <w:pPr>
        <w:pStyle w:val="FootnoteText"/>
      </w:pPr>
      <w:r>
        <w:rPr>
          <w:rStyle w:val="FootnoteReference"/>
        </w:rPr>
        <w:footnoteRef/>
      </w:r>
      <w:r>
        <w:t xml:space="preserve"> Cross-references for "as he": Matt 4:18-22; Luke 5:1.</w:t>
      </w:r>
    </w:p>
  </w:footnote>
  <w:footnote w:id="14907">
    <w:p>
      <w:pPr>
        <w:pStyle w:val="FootnoteText"/>
      </w:pPr>
      <w:r>
        <w:rPr>
          <w:rStyle w:val="FootnoteReference"/>
        </w:rPr>
        <w:footnoteRef/>
      </w:r>
      <w:r>
        <w:t xml:space="preserve"> Cross-references for "fishers": Ezek 47:10; Matt 4:19-20.</w:t>
      </w:r>
    </w:p>
  </w:footnote>
  <w:footnote w:id="14908">
    <w:p>
      <w:pPr>
        <w:pStyle w:val="FootnoteText"/>
      </w:pPr>
      <w:r>
        <w:rPr>
          <w:rStyle w:val="FootnoteReference"/>
        </w:rPr>
        <w:footnoteRef/>
      </w:r>
      <w:r>
        <w:t xml:space="preserve"> Cross-references for "forsook": Matt 19:27-30; Mark 10:28-31.</w:t>
      </w:r>
    </w:p>
  </w:footnote>
  <w:footnote w:id="14909">
    <w:p>
      <w:pPr>
        <w:pStyle w:val="FootnoteText"/>
      </w:pPr>
      <w:r>
        <w:rPr>
          <w:rStyle w:val="FootnoteReference"/>
        </w:rPr>
        <w:footnoteRef/>
      </w:r>
      <w:r>
        <w:t xml:space="preserve"> Cross-references for "James": Matt 4:21; Mark 3:17.</w:t>
      </w:r>
    </w:p>
  </w:footnote>
  <w:footnote w:id="14910">
    <w:p>
      <w:pPr>
        <w:pStyle w:val="FootnoteText"/>
      </w:pPr>
      <w:r>
        <w:rPr>
          <w:rStyle w:val="FootnoteReference"/>
        </w:rPr>
        <w:footnoteRef/>
      </w:r>
      <w:r>
        <w:t xml:space="preserve"> Cross-references for "they left": Deut 33:9; 1Kgs 19:20.</w:t>
      </w:r>
    </w:p>
  </w:footnote>
  <w:footnote w:id="14911">
    <w:p>
      <w:pPr>
        <w:pStyle w:val="FootnoteText"/>
      </w:pPr>
      <w:r>
        <w:rPr>
          <w:rStyle w:val="FootnoteReference"/>
        </w:rPr>
        <w:footnoteRef/>
      </w:r>
      <w:r>
        <w:t xml:space="preserve"> Cross-references for "they went": Matt 4:13; Mark 2:1.</w:t>
      </w:r>
    </w:p>
  </w:footnote>
  <w:footnote w:id="14912">
    <w:p>
      <w:pPr>
        <w:pStyle w:val="FootnoteText"/>
      </w:pPr>
      <w:r>
        <w:rPr>
          <w:rStyle w:val="FootnoteReference"/>
        </w:rPr>
        <w:footnoteRef/>
      </w:r>
      <w:r>
        <w:t xml:space="preserve"> Cross-references for "they were": Jer 23:29; Matt 7:28-29.</w:t>
      </w:r>
    </w:p>
  </w:footnote>
  <w:footnote w:id="14913">
    <w:p>
      <w:pPr>
        <w:pStyle w:val="FootnoteText"/>
      </w:pPr>
      <w:r>
        <w:rPr>
          <w:rStyle w:val="FootnoteReference"/>
        </w:rPr>
        <w:footnoteRef/>
      </w:r>
      <w:r>
        <w:t xml:space="preserve"> Cross-references for "a man": Matt 12:43; Mark 1:34.</w:t>
      </w:r>
    </w:p>
  </w:footnote>
  <w:footnote w:id="14914">
    <w:p>
      <w:pPr>
        <w:pStyle w:val="FootnoteText"/>
      </w:pPr>
      <w:r>
        <w:rPr>
          <w:rStyle w:val="FootnoteReference"/>
        </w:rPr>
        <w:footnoteRef/>
      </w:r>
      <w:r>
        <w:t xml:space="preserve"> Cross-references for "the Holy One": Ps 16:10; Ps 89:18-19.</w:t>
      </w:r>
    </w:p>
  </w:footnote>
  <w:footnote w:id="14915">
    <w:p>
      <w:pPr>
        <w:pStyle w:val="FootnoteText"/>
      </w:pPr>
      <w:r>
        <w:rPr>
          <w:rStyle w:val="FootnoteReference"/>
        </w:rPr>
        <w:footnoteRef/>
      </w:r>
      <w:r>
        <w:t xml:space="preserve"> Cross-references for "rebuked": Ps 50:16; Mark 1:34.</w:t>
      </w:r>
    </w:p>
  </w:footnote>
  <w:footnote w:id="14916">
    <w:p>
      <w:pPr>
        <w:pStyle w:val="FootnoteText"/>
      </w:pPr>
      <w:r>
        <w:rPr>
          <w:rStyle w:val="FootnoteReference"/>
        </w:rPr>
        <w:footnoteRef/>
      </w:r>
      <w:r>
        <w:t xml:space="preserve"> Cross-references for "torn": Mark 9:20; Mark 9:26.</w:t>
      </w:r>
    </w:p>
  </w:footnote>
  <w:footnote w:id="14917">
    <w:p>
      <w:pPr>
        <w:pStyle w:val="FootnoteText"/>
      </w:pPr>
      <w:r>
        <w:rPr>
          <w:rStyle w:val="FootnoteReference"/>
        </w:rPr>
        <w:footnoteRef/>
      </w:r>
      <w:r>
        <w:t xml:space="preserve"> Cross-references for "they were": Matt 9:33; Matt 12:22-23.</w:t>
      </w:r>
    </w:p>
  </w:footnote>
  <w:footnote w:id="14918">
    <w:p>
      <w:pPr>
        <w:pStyle w:val="FootnoteText"/>
      </w:pPr>
      <w:r>
        <w:rPr>
          <w:rStyle w:val="FootnoteReference"/>
        </w:rPr>
        <w:footnoteRef/>
      </w:r>
      <w:r>
        <w:t xml:space="preserve"> Cross-references for "entered": Matt 8:14-15; Luke 4:38-39.</w:t>
      </w:r>
    </w:p>
  </w:footnote>
  <w:footnote w:id="14919">
    <w:p>
      <w:pPr>
        <w:pStyle w:val="FootnoteText"/>
      </w:pPr>
      <w:r>
        <w:rPr>
          <w:rStyle w:val="FootnoteReference"/>
        </w:rPr>
        <w:footnoteRef/>
      </w:r>
      <w:r>
        <w:t xml:space="preserve"> Cross-references for "wife's": 1Cor 9:5.</w:t>
      </w:r>
    </w:p>
  </w:footnote>
  <w:footnote w:id="14920">
    <w:p>
      <w:pPr>
        <w:pStyle w:val="FootnoteText"/>
      </w:pPr>
      <w:r>
        <w:rPr>
          <w:rStyle w:val="FootnoteReference"/>
        </w:rPr>
        <w:footnoteRef/>
      </w:r>
      <w:r>
        <w:t xml:space="preserve"> Cross-references for "and took": Mark 5:41; Acts 9:41.</w:t>
      </w:r>
    </w:p>
  </w:footnote>
  <w:footnote w:id="14921">
    <w:p>
      <w:pPr>
        <w:pStyle w:val="FootnoteText"/>
      </w:pPr>
      <w:r>
        <w:rPr>
          <w:rStyle w:val="FootnoteReference"/>
        </w:rPr>
        <w:footnoteRef/>
      </w:r>
      <w:r>
        <w:t xml:space="preserve"> Cross-references for "at even": Matt 8:16; Mark 1:21.</w:t>
      </w:r>
    </w:p>
  </w:footnote>
  <w:footnote w:id="14922">
    <w:p>
      <w:pPr>
        <w:pStyle w:val="FootnoteText"/>
      </w:pPr>
      <w:r>
        <w:rPr>
          <w:rStyle w:val="FootnoteReference"/>
        </w:rPr>
        <w:footnoteRef/>
      </w:r>
      <w:r>
        <w:t xml:space="preserve"> Cross-references for "preached": Matt 4:23; Mark 1:21.</w:t>
      </w:r>
    </w:p>
  </w:footnote>
  <w:footnote w:id="14923">
    <w:p>
      <w:pPr>
        <w:pStyle w:val="FootnoteText"/>
      </w:pPr>
      <w:r>
        <w:rPr>
          <w:rStyle w:val="FootnoteReference"/>
        </w:rPr>
        <w:footnoteRef/>
      </w:r>
      <w:r>
        <w:t xml:space="preserve"> Cross-references for "a leper": Num 12:10-15; Deut 24:8-9.</w:t>
      </w:r>
    </w:p>
  </w:footnote>
  <w:footnote w:id="14924">
    <w:p>
      <w:pPr>
        <w:pStyle w:val="FootnoteText"/>
      </w:pPr>
      <w:r>
        <w:rPr>
          <w:rStyle w:val="FootnoteReference"/>
        </w:rPr>
        <w:footnoteRef/>
      </w:r>
      <w:r>
        <w:t xml:space="preserve"> Cross-references for "moved": Matt 9:36; Mark 6:34.</w:t>
      </w:r>
    </w:p>
  </w:footnote>
  <w:footnote w:id="14925">
    <w:p>
      <w:pPr>
        <w:pStyle w:val="FootnoteText"/>
      </w:pPr>
      <w:r>
        <w:rPr>
          <w:rStyle w:val="FootnoteReference"/>
        </w:rPr>
        <w:footnoteRef/>
      </w:r>
      <w:r>
        <w:t xml:space="preserve"> Cross-references for "immediately": Ps 33:9; Matt 15:28.</w:t>
      </w:r>
    </w:p>
  </w:footnote>
  <w:footnote w:id="14926">
    <w:p>
      <w:pPr>
        <w:pStyle w:val="FootnoteText"/>
      </w:pPr>
      <w:r>
        <w:rPr>
          <w:rStyle w:val="FootnoteReference"/>
        </w:rPr>
        <w:footnoteRef/>
      </w:r>
      <w:r>
        <w:t xml:space="preserve"> Cross-references for "show": Lev 14:2-32; Matt 23:2-3.</w:t>
      </w:r>
    </w:p>
  </w:footnote>
  <w:footnote w:id="14927">
    <w:p>
      <w:pPr>
        <w:pStyle w:val="FootnoteText"/>
      </w:pPr>
      <w:r>
        <w:rPr>
          <w:rStyle w:val="FootnoteReference"/>
        </w:rPr>
        <w:footnoteRef/>
      </w:r>
      <w:r>
        <w:t xml:space="preserve"> Cross-references for "and began": Ps 77:11; Matt 9:31.</w:t>
      </w:r>
    </w:p>
  </w:footnote>
  <w:footnote w:id="14928">
    <w:p>
      <w:pPr>
        <w:pStyle w:val="FootnoteText"/>
      </w:pPr>
      <w:r>
        <w:rPr>
          <w:rStyle w:val="FootnoteReference"/>
        </w:rPr>
        <w:footnoteRef/>
      </w:r>
      <w:r>
        <w:t xml:space="preserve"> Cross-references for "again": Matt 9:1; Mark 1:45.</w:t>
      </w:r>
    </w:p>
  </w:footnote>
  <w:footnote w:id="14929">
    <w:p>
      <w:pPr>
        <w:pStyle w:val="FootnoteText"/>
      </w:pPr>
      <w:r>
        <w:rPr>
          <w:rStyle w:val="FootnoteReference"/>
        </w:rPr>
        <w:footnoteRef/>
      </w:r>
      <w:r>
        <w:t xml:space="preserve"> Cross-references for "bringing": Matt 9:1; Matt 9:2-8.</w:t>
      </w:r>
    </w:p>
  </w:footnote>
  <w:footnote w:id="14930">
    <w:p>
      <w:pPr>
        <w:pStyle w:val="FootnoteText"/>
      </w:pPr>
      <w:r>
        <w:rPr>
          <w:rStyle w:val="FootnoteReference"/>
        </w:rPr>
        <w:footnoteRef/>
      </w:r>
      <w:r>
        <w:t xml:space="preserve"> Cross-references for "they uncovered": Deut 22:8; Luke 5:19.</w:t>
      </w:r>
    </w:p>
  </w:footnote>
  <w:footnote w:id="14931">
    <w:p>
      <w:pPr>
        <w:pStyle w:val="FootnoteText"/>
      </w:pPr>
      <w:r>
        <w:rPr>
          <w:rStyle w:val="FootnoteReference"/>
        </w:rPr>
        <w:footnoteRef/>
      </w:r>
      <w:r>
        <w:t xml:space="preserve"> Cross-references for "he said": Isa 53:11; Matt 9:2.</w:t>
      </w:r>
    </w:p>
  </w:footnote>
  <w:footnote w:id="14932">
    <w:p>
      <w:pPr>
        <w:pStyle w:val="FootnoteText"/>
      </w:pPr>
      <w:r>
        <w:rPr>
          <w:rStyle w:val="FootnoteReference"/>
        </w:rPr>
        <w:footnoteRef/>
      </w:r>
      <w:r>
        <w:t xml:space="preserve"> Cross-references for "and reasoning": Matt 16:7-8; Mark 8:17.</w:t>
      </w:r>
    </w:p>
  </w:footnote>
  <w:footnote w:id="14933">
    <w:p>
      <w:pPr>
        <w:pStyle w:val="FootnoteText"/>
      </w:pPr>
      <w:r>
        <w:rPr>
          <w:rStyle w:val="FootnoteReference"/>
        </w:rPr>
        <w:footnoteRef/>
      </w:r>
      <w:r>
        <w:t xml:space="preserve"> Cross-references for "speak": Matt 9:3; Matt 26:65.</w:t>
      </w:r>
    </w:p>
  </w:footnote>
  <w:footnote w:id="14934">
    <w:p>
      <w:pPr>
        <w:pStyle w:val="FootnoteText"/>
      </w:pPr>
      <w:r>
        <w:rPr>
          <w:rStyle w:val="FootnoteReference"/>
        </w:rPr>
        <w:footnoteRef/>
      </w:r>
      <w:r>
        <w:t xml:space="preserve"> Cross-references for "glorified": Matt 15:31; Luke 5:26.</w:t>
      </w:r>
    </w:p>
  </w:footnote>
  <w:footnote w:id="14935">
    <w:p>
      <w:pPr>
        <w:pStyle w:val="FootnoteText"/>
      </w:pPr>
      <w:r>
        <w:rPr>
          <w:rStyle w:val="FootnoteReference"/>
        </w:rPr>
        <w:footnoteRef/>
      </w:r>
      <w:r>
        <w:t xml:space="preserve"> Cross-references for "he saw": Matt 9:9; Mark 3:18.</w:t>
      </w:r>
    </w:p>
  </w:footnote>
  <w:footnote w:id="14936">
    <w:p>
      <w:pPr>
        <w:pStyle w:val="FootnoteText"/>
      </w:pPr>
      <w:r>
        <w:rPr>
          <w:rStyle w:val="FootnoteReference"/>
        </w:rPr>
        <w:footnoteRef/>
      </w:r>
      <w:r>
        <w:t xml:space="preserve"> Personal name: Levi. Personal-name meaning: Levi — Joined; attached. Source form: Levi.</w:t>
      </w:r>
    </w:p>
  </w:footnote>
  <w:footnote w:id="14937">
    <w:p>
      <w:pPr>
        <w:pStyle w:val="FootnoteText"/>
      </w:pPr>
      <w:r>
        <w:rPr>
          <w:rStyle w:val="FootnoteReference"/>
        </w:rPr>
        <w:footnoteRef/>
      </w:r>
      <w:r>
        <w:t xml:space="preserve"> Cross-references for "I came": Isa 1:18; Isa 55:7.</w:t>
      </w:r>
    </w:p>
  </w:footnote>
  <w:footnote w:id="14938">
    <w:p>
      <w:pPr>
        <w:pStyle w:val="FootnoteText"/>
      </w:pPr>
      <w:r>
        <w:rPr>
          <w:rStyle w:val="FootnoteReference"/>
        </w:rPr>
        <w:footnoteRef/>
      </w:r>
      <w:r>
        <w:t xml:space="preserve"> Cross-references for "the disciples": Matt 9:14-17; Luke 5:33-39.</w:t>
      </w:r>
    </w:p>
  </w:footnote>
  <w:footnote w:id="14939">
    <w:p>
      <w:pPr>
        <w:pStyle w:val="FootnoteText"/>
      </w:pPr>
      <w:r>
        <w:rPr>
          <w:rStyle w:val="FootnoteReference"/>
        </w:rPr>
        <w:footnoteRef/>
      </w:r>
      <w:r>
        <w:t xml:space="preserve"> Cross-references for "the bridegroom": Ps 45:11; Song 3:11.</w:t>
      </w:r>
    </w:p>
  </w:footnote>
  <w:footnote w:id="14940">
    <w:p>
      <w:pPr>
        <w:pStyle w:val="FootnoteText"/>
      </w:pPr>
      <w:r>
        <w:rPr>
          <w:rStyle w:val="FootnoteReference"/>
        </w:rPr>
        <w:footnoteRef/>
      </w:r>
      <w:r>
        <w:t xml:space="preserve"> Cross-references for "to pluck": Deut 23:24-25.</w:t>
      </w:r>
    </w:p>
  </w:footnote>
  <w:footnote w:id="14941">
    <w:p>
      <w:pPr>
        <w:pStyle w:val="FootnoteText"/>
      </w:pPr>
      <w:r>
        <w:rPr>
          <w:rStyle w:val="FootnoteReference"/>
        </w:rPr>
        <w:footnoteRef/>
      </w:r>
      <w:r>
        <w:t xml:space="preserve"> Personal name: Abiathar. Personal-name meaning: Abiathar — Father of abundance; father excels. Source form: Abiathar.</w:t>
      </w:r>
    </w:p>
  </w:footnote>
  <w:footnote w:id="14942">
    <w:p>
      <w:pPr>
        <w:pStyle w:val="FootnoteText"/>
      </w:pPr>
      <w:r>
        <w:rPr>
          <w:rStyle w:val="FootnoteReference"/>
        </w:rPr>
        <w:footnoteRef/>
      </w:r>
      <w:r>
        <w:t xml:space="preserve"> Cross-references for "Abiathar": 1Sam 22:20-22; 1Sam 23:6.</w:t>
      </w:r>
    </w:p>
  </w:footnote>
  <w:footnote w:id="14943">
    <w:p>
      <w:pPr>
        <w:pStyle w:val="FootnoteText"/>
      </w:pPr>
      <w:r>
        <w:rPr>
          <w:rStyle w:val="FootnoteReference"/>
        </w:rPr>
        <w:footnoteRef/>
      </w:r>
      <w:r>
        <w:t xml:space="preserve"> Cross-references for "he entered": Matt 12:9-14; Mark 1:21.</w:t>
      </w:r>
    </w:p>
  </w:footnote>
  <w:footnote w:id="14944">
    <w:p>
      <w:pPr>
        <w:pStyle w:val="FootnoteText"/>
      </w:pPr>
      <w:r>
        <w:rPr>
          <w:rStyle w:val="FootnoteReference"/>
        </w:rPr>
        <w:footnoteRef/>
      </w:r>
      <w:r>
        <w:t xml:space="preserve"> Cross-references for "Is it": Hos 6:6; Matt 12:10-12.</w:t>
      </w:r>
    </w:p>
  </w:footnote>
  <w:footnote w:id="14945">
    <w:p>
      <w:pPr>
        <w:pStyle w:val="FootnoteText"/>
      </w:pPr>
      <w:r>
        <w:rPr>
          <w:rStyle w:val="FootnoteReference"/>
        </w:rPr>
        <w:footnoteRef/>
      </w:r>
      <w:r>
        <w:t xml:space="preserve"> Cross-references for "with anger": Luke 6:10; Luke 13:15.</w:t>
      </w:r>
    </w:p>
  </w:footnote>
  <w:footnote w:id="14946">
    <w:p>
      <w:pPr>
        <w:pStyle w:val="FootnoteText"/>
      </w:pPr>
      <w:r>
        <w:rPr>
          <w:rStyle w:val="FootnoteReference"/>
        </w:rPr>
        <w:footnoteRef/>
      </w:r>
      <w:r>
        <w:t xml:space="preserve"> Cross-references for "Pharisees": Ps 109:3-4; Matt 12:14.</w:t>
      </w:r>
    </w:p>
  </w:footnote>
  <w:footnote w:id="14947">
    <w:p>
      <w:pPr>
        <w:pStyle w:val="FootnoteText"/>
      </w:pPr>
      <w:r>
        <w:rPr>
          <w:rStyle w:val="FootnoteReference"/>
        </w:rPr>
        <w:footnoteRef/>
      </w:r>
      <w:r>
        <w:t xml:space="preserve"> Cross-references for "Jesus": Matt 10:23; Matt 12:15.</w:t>
      </w:r>
    </w:p>
  </w:footnote>
  <w:footnote w:id="14948">
    <w:p>
      <w:pPr>
        <w:pStyle w:val="FootnoteText"/>
      </w:pPr>
      <w:r>
        <w:rPr>
          <w:rStyle w:val="FootnoteReference"/>
        </w:rPr>
        <w:footnoteRef/>
      </w:r>
      <w:r>
        <w:t xml:space="preserve"> Place name: Idumea. Place-name meaning: Edom — red; earthy; bloody. Standard English equivalent: Edom. Source form: Idumea. Greek form: ιδουμαιας.</w:t>
      </w:r>
    </w:p>
  </w:footnote>
  <w:footnote w:id="14949">
    <w:p>
      <w:pPr>
        <w:pStyle w:val="FootnoteText"/>
      </w:pPr>
      <w:r>
        <w:rPr>
          <w:rStyle w:val="FootnoteReference"/>
        </w:rPr>
        <w:footnoteRef/>
      </w:r>
      <w:r>
        <w:t xml:space="preserve"> Cross-references for "beyond": Num 32:33-38; Josh 13:8-14.</w:t>
      </w:r>
    </w:p>
  </w:footnote>
  <w:footnote w:id="14950">
    <w:p>
      <w:pPr>
        <w:pStyle w:val="FootnoteText"/>
      </w:pPr>
      <w:r>
        <w:rPr>
          <w:rStyle w:val="FootnoteReference"/>
        </w:rPr>
        <w:footnoteRef/>
      </w:r>
      <w:r>
        <w:t xml:space="preserve"> Cross-references for "he had": Matt 12:15; Matt 14:14.</w:t>
      </w:r>
    </w:p>
  </w:footnote>
  <w:footnote w:id="14951">
    <w:p>
      <w:pPr>
        <w:pStyle w:val="FootnoteText"/>
      </w:pPr>
      <w:r>
        <w:rPr>
          <w:rStyle w:val="FootnoteReference"/>
        </w:rPr>
        <w:footnoteRef/>
      </w:r>
      <w:r>
        <w:t xml:space="preserve"> Cross-references for "unclean": Matt 8:31; Mark 1:23-24.</w:t>
      </w:r>
    </w:p>
  </w:footnote>
  <w:footnote w:id="14952">
    <w:p>
      <w:pPr>
        <w:pStyle w:val="FootnoteText"/>
      </w:pPr>
      <w:r>
        <w:rPr>
          <w:rStyle w:val="FootnoteReference"/>
        </w:rPr>
        <w:footnoteRef/>
      </w:r>
      <w:r>
        <w:t xml:space="preserve"> Cross-references for "Simon": Matt 16:16-18; Mark 1:16.</w:t>
      </w:r>
    </w:p>
  </w:footnote>
  <w:footnote w:id="14953">
    <w:p>
      <w:pPr>
        <w:pStyle w:val="FootnoteText"/>
      </w:pPr>
      <w:r>
        <w:rPr>
          <w:rStyle w:val="FootnoteReference"/>
        </w:rPr>
        <w:footnoteRef/>
      </w:r>
      <w:r>
        <w:t xml:space="preserve"> Cross-references for "James": Mark 1:19-20; Mark 5:37.</w:t>
      </w:r>
    </w:p>
  </w:footnote>
  <w:footnote w:id="14954">
    <w:p>
      <w:pPr>
        <w:pStyle w:val="FootnoteText"/>
      </w:pPr>
      <w:r>
        <w:rPr>
          <w:rStyle w:val="FootnoteReference"/>
        </w:rPr>
        <w:footnoteRef/>
      </w:r>
      <w:r>
        <w:t xml:space="preserve"> People-name: Boanerges. People-name meaning: Boanerges — son of thunder. Source form: Boanerges.</w:t>
      </w:r>
    </w:p>
  </w:footnote>
  <w:footnote w:id="14955">
    <w:p>
      <w:pPr>
        <w:pStyle w:val="FootnoteText"/>
      </w:pPr>
      <w:r>
        <w:rPr>
          <w:rStyle w:val="FootnoteReference"/>
        </w:rPr>
        <w:footnoteRef/>
      </w:r>
      <w:r>
        <w:t xml:space="preserve"> Cross-references for "Andrew": John 1:40; John 6:8.</w:t>
      </w:r>
    </w:p>
  </w:footnote>
  <w:footnote w:id="14956">
    <w:p>
      <w:pPr>
        <w:pStyle w:val="FootnoteText"/>
      </w:pPr>
      <w:r>
        <w:rPr>
          <w:rStyle w:val="FootnoteReference"/>
        </w:rPr>
        <w:footnoteRef/>
      </w:r>
      <w:r>
        <w:t xml:space="preserve"> Cross-references for "Judas": Matt 26:14-16; Matt 26:47.</w:t>
      </w:r>
    </w:p>
  </w:footnote>
  <w:footnote w:id="14957">
    <w:p>
      <w:pPr>
        <w:pStyle w:val="FootnoteText"/>
      </w:pPr>
      <w:r>
        <w:rPr>
          <w:rStyle w:val="FootnoteReference"/>
        </w:rPr>
        <w:footnoteRef/>
      </w:r>
      <w:r>
        <w:t xml:space="preserve"> Cross-references for "so that": Mark 3:9; Mark 6:31.</w:t>
      </w:r>
    </w:p>
  </w:footnote>
  <w:footnote w:id="14958">
    <w:p>
      <w:pPr>
        <w:pStyle w:val="FootnoteText"/>
      </w:pPr>
      <w:r>
        <w:rPr>
          <w:rStyle w:val="FootnoteReference"/>
        </w:rPr>
        <w:footnoteRef/>
      </w:r>
      <w:r>
        <w:t xml:space="preserve"> Cross-references for "friends": Mark 3:31; John 7:3-10.</w:t>
      </w:r>
    </w:p>
  </w:footnote>
  <w:footnote w:id="14959">
    <w:p>
      <w:pPr>
        <w:pStyle w:val="FootnoteText"/>
      </w:pPr>
      <w:r>
        <w:rPr>
          <w:rStyle w:val="FootnoteReference"/>
        </w:rPr>
        <w:footnoteRef/>
      </w:r>
      <w:r>
        <w:t xml:space="preserve"> Cross-references for "in parables": Ps 49:4; Matt 13:34.</w:t>
      </w:r>
    </w:p>
  </w:footnote>
  <w:footnote w:id="14960">
    <w:p>
      <w:pPr>
        <w:pStyle w:val="FootnoteText"/>
      </w:pPr>
      <w:r>
        <w:rPr>
          <w:rStyle w:val="FootnoteReference"/>
        </w:rPr>
        <w:footnoteRef/>
      </w:r>
      <w:r>
        <w:t xml:space="preserve"> Cross-references for "but is": Matt 25:46; Mark 12:40.</w:t>
      </w:r>
    </w:p>
  </w:footnote>
  <w:footnote w:id="14961">
    <w:p>
      <w:pPr>
        <w:pStyle w:val="FootnoteText"/>
      </w:pPr>
      <w:r>
        <w:rPr>
          <w:rStyle w:val="FootnoteReference"/>
        </w:rPr>
        <w:footnoteRef/>
      </w:r>
      <w:r>
        <w:t xml:space="preserve"> Cross-references for "he began": Matt 13:1; Matt 13:2-9.</w:t>
      </w:r>
    </w:p>
  </w:footnote>
  <w:footnote w:id="14962">
    <w:p>
      <w:pPr>
        <w:pStyle w:val="FootnoteText"/>
      </w:pPr>
      <w:r>
        <w:rPr>
          <w:rStyle w:val="FootnoteReference"/>
        </w:rPr>
        <w:footnoteRef/>
      </w:r>
      <w:r>
        <w:t xml:space="preserve"> Cross-references for "in his": Matt 7:28; Mark 12:38.</w:t>
      </w:r>
    </w:p>
  </w:footnote>
  <w:footnote w:id="14963">
    <w:p>
      <w:pPr>
        <w:pStyle w:val="FootnoteText"/>
      </w:pPr>
      <w:r>
        <w:rPr>
          <w:rStyle w:val="FootnoteReference"/>
        </w:rPr>
        <w:footnoteRef/>
      </w:r>
      <w:r>
        <w:t xml:space="preserve"> Cross-references for "the sun": Song 1:6; Isa 25:4.</w:t>
      </w:r>
    </w:p>
  </w:footnote>
  <w:footnote w:id="14964">
    <w:p>
      <w:pPr>
        <w:pStyle w:val="FootnoteText"/>
      </w:pPr>
      <w:r>
        <w:rPr>
          <w:rStyle w:val="FootnoteReference"/>
        </w:rPr>
        <w:footnoteRef/>
      </w:r>
      <w:r>
        <w:t xml:space="preserve"> Cross-references for "fell": Isa 58:1; Jer 23:29.</w:t>
      </w:r>
    </w:p>
  </w:footnote>
  <w:footnote w:id="14965">
    <w:p>
      <w:pPr>
        <w:pStyle w:val="FootnoteText"/>
      </w:pPr>
      <w:r>
        <w:rPr>
          <w:rStyle w:val="FootnoteReference"/>
        </w:rPr>
        <w:footnoteRef/>
      </w:r>
      <w:r>
        <w:t xml:space="preserve"> Cross-references for "them": 1Cor 5:12-13; Col 4:5.</w:t>
      </w:r>
    </w:p>
  </w:footnote>
  <w:footnote w:id="14966">
    <w:p>
      <w:pPr>
        <w:pStyle w:val="FootnoteText"/>
      </w:pPr>
      <w:r>
        <w:rPr>
          <w:rStyle w:val="FootnoteReference"/>
        </w:rPr>
        <w:footnoteRef/>
      </w:r>
      <w:r>
        <w:t xml:space="preserve"> Cross-references for "That seeing": Deut 29:4; Isa 6:9-10.</w:t>
      </w:r>
    </w:p>
  </w:footnote>
  <w:footnote w:id="14967">
    <w:p>
      <w:pPr>
        <w:pStyle w:val="FootnoteText"/>
      </w:pPr>
      <w:r>
        <w:rPr>
          <w:rStyle w:val="FootnoteReference"/>
        </w:rPr>
        <w:footnoteRef/>
      </w:r>
      <w:r>
        <w:t xml:space="preserve"> Cross-references for "know": Matt 13:51-52; Matt 15:15-17.</w:t>
      </w:r>
    </w:p>
  </w:footnote>
  <w:footnote w:id="14968">
    <w:p>
      <w:pPr>
        <w:pStyle w:val="FootnoteText"/>
      </w:pPr>
      <w:r>
        <w:rPr>
          <w:rStyle w:val="FootnoteReference"/>
        </w:rPr>
        <w:footnoteRef/>
      </w:r>
      <w:r>
        <w:t xml:space="preserve"> Cross-references for "sower": Isa 32:20; Matt 13:19.</w:t>
      </w:r>
    </w:p>
  </w:footnote>
  <w:footnote w:id="14969">
    <w:p>
      <w:pPr>
        <w:pStyle w:val="FootnoteText"/>
      </w:pPr>
      <w:r>
        <w:rPr>
          <w:rStyle w:val="FootnoteReference"/>
        </w:rPr>
        <w:footnoteRef/>
      </w:r>
      <w:r>
        <w:t xml:space="preserve"> Cross-references for "Satan": Job 1:6-12; Zech 3:1.</w:t>
      </w:r>
    </w:p>
  </w:footnote>
  <w:footnote w:id="14970">
    <w:p>
      <w:pPr>
        <w:pStyle w:val="FootnoteText"/>
      </w:pPr>
      <w:r>
        <w:rPr>
          <w:rStyle w:val="FootnoteReference"/>
        </w:rPr>
        <w:footnoteRef/>
      </w:r>
      <w:r>
        <w:t xml:space="preserve"> Cross-references for "the cares": Luke 10:41; Luke 12:17-21.</w:t>
      </w:r>
    </w:p>
  </w:footnote>
  <w:footnote w:id="14971">
    <w:p>
      <w:pPr>
        <w:pStyle w:val="FootnoteText"/>
      </w:pPr>
      <w:r>
        <w:rPr>
          <w:rStyle w:val="FootnoteReference"/>
        </w:rPr>
        <w:footnoteRef/>
      </w:r>
      <w:r>
        <w:t xml:space="preserve"> Cross-references for "Is a": Isa 60:1-3; Matt 5:15.</w:t>
      </w:r>
    </w:p>
  </w:footnote>
  <w:footnote w:id="14972">
    <w:p>
      <w:pPr>
        <w:pStyle w:val="FootnoteText"/>
      </w:pPr>
      <w:r>
        <w:rPr>
          <w:rStyle w:val="FootnoteReference"/>
        </w:rPr>
        <w:footnoteRef/>
      </w:r>
      <w:r>
        <w:t xml:space="preserve"> Cross-references for "Take": Prov 19:27; Luke 8:18.</w:t>
      </w:r>
    </w:p>
  </w:footnote>
  <w:footnote w:id="14973">
    <w:p>
      <w:pPr>
        <w:pStyle w:val="FootnoteText"/>
      </w:pPr>
      <w:r>
        <w:rPr>
          <w:rStyle w:val="FootnoteReference"/>
        </w:rPr>
        <w:footnoteRef/>
      </w:r>
      <w:r>
        <w:t xml:space="preserve"> Cross-references for "and grow": Eccl 8:17; Eccl 11:5.</w:t>
      </w:r>
    </w:p>
  </w:footnote>
  <w:footnote w:id="14974">
    <w:p>
      <w:pPr>
        <w:pStyle w:val="FootnoteText"/>
      </w:pPr>
      <w:r>
        <w:rPr>
          <w:rStyle w:val="FootnoteReference"/>
        </w:rPr>
        <w:footnoteRef/>
      </w:r>
      <w:r>
        <w:t xml:space="preserve"> Cross-references for "the earth": Gen 1:11-12; Gen 2:4-5.</w:t>
      </w:r>
    </w:p>
  </w:footnote>
  <w:footnote w:id="14975">
    <w:p>
      <w:pPr>
        <w:pStyle w:val="FootnoteText"/>
      </w:pPr>
      <w:r>
        <w:rPr>
          <w:rStyle w:val="FootnoteReference"/>
        </w:rPr>
        <w:footnoteRef/>
      </w:r>
      <w:r>
        <w:t xml:space="preserve"> Cross-references for "is less than": Gen 22:17-18; Ps 72:16-19.</w:t>
      </w:r>
    </w:p>
  </w:footnote>
  <w:footnote w:id="14976">
    <w:p>
      <w:pPr>
        <w:pStyle w:val="FootnoteText"/>
      </w:pPr>
      <w:r>
        <w:rPr>
          <w:rStyle w:val="FootnoteReference"/>
        </w:rPr>
        <w:footnoteRef/>
      </w:r>
      <w:r>
        <w:t xml:space="preserve"> Cross-references for "lodge": Ps 91:1; Song 2:3.</w:t>
      </w:r>
    </w:p>
  </w:footnote>
  <w:footnote w:id="14977">
    <w:p>
      <w:pPr>
        <w:pStyle w:val="FootnoteText"/>
      </w:pPr>
      <w:r>
        <w:rPr>
          <w:rStyle w:val="FootnoteReference"/>
        </w:rPr>
        <w:footnoteRef/>
      </w:r>
      <w:r>
        <w:t xml:space="preserve"> Cross-references for "there arose": Matt 8:23-24; Luke 8:22-23.</w:t>
      </w:r>
    </w:p>
  </w:footnote>
  <w:footnote w:id="14978">
    <w:p>
      <w:pPr>
        <w:pStyle w:val="FootnoteText"/>
      </w:pPr>
      <w:r>
        <w:rPr>
          <w:rStyle w:val="FootnoteReference"/>
        </w:rPr>
        <w:footnoteRef/>
      </w:r>
      <w:r>
        <w:t xml:space="preserve"> Cross-references for "he arose": Exod 14:16; Exod 14:22.</w:t>
      </w:r>
    </w:p>
  </w:footnote>
  <w:footnote w:id="14979">
    <w:p>
      <w:pPr>
        <w:pStyle w:val="FootnoteText"/>
      </w:pPr>
      <w:r>
        <w:rPr>
          <w:rStyle w:val="FootnoteReference"/>
        </w:rPr>
        <w:footnoteRef/>
      </w:r>
      <w:r>
        <w:t xml:space="preserve"> Cross-references for "no faith": Matt 6:30; Matt 16:8.</w:t>
      </w:r>
    </w:p>
  </w:footnote>
  <w:footnote w:id="14980">
    <w:p>
      <w:pPr>
        <w:pStyle w:val="FootnoteText"/>
      </w:pPr>
      <w:r>
        <w:rPr>
          <w:rStyle w:val="FootnoteReference"/>
        </w:rPr>
        <w:footnoteRef/>
      </w:r>
      <w:r>
        <w:t xml:space="preserve"> Cross-references for "feared": 1Sam 12:18-20; 1Sam 12:24.</w:t>
      </w:r>
    </w:p>
  </w:footnote>
  <w:footnote w:id="14981">
    <w:p>
      <w:pPr>
        <w:pStyle w:val="FootnoteText"/>
      </w:pPr>
      <w:r>
        <w:rPr>
          <w:rStyle w:val="FootnoteReference"/>
        </w:rPr>
        <w:footnoteRef/>
      </w:r>
      <w:r>
        <w:t xml:space="preserve"> Place name: Gadarenes. Place-name meaning: Gadarenes — men of Gadara, i.e., a place surrounded or walled. Source form: Gadarenes. Greek form: γαδαρηνων.</w:t>
      </w:r>
    </w:p>
  </w:footnote>
  <w:footnote w:id="14982">
    <w:p>
      <w:pPr>
        <w:pStyle w:val="FootnoteText"/>
      </w:pPr>
      <w:r>
        <w:rPr>
          <w:rStyle w:val="FootnoteReference"/>
        </w:rPr>
        <w:footnoteRef/>
      </w:r>
      <w:r>
        <w:t xml:space="preserve"> Cross-references for "tame": Jas 3:7-8.</w:t>
      </w:r>
    </w:p>
  </w:footnote>
  <w:footnote w:id="14983">
    <w:p>
      <w:pPr>
        <w:pStyle w:val="FootnoteText"/>
      </w:pPr>
      <w:r>
        <w:rPr>
          <w:rStyle w:val="FootnoteReference"/>
        </w:rPr>
        <w:footnoteRef/>
      </w:r>
      <w:r>
        <w:t xml:space="preserve"> Cross-references for "crying": 1Kgs 18:28; Job 2:7-8.</w:t>
      </w:r>
    </w:p>
  </w:footnote>
  <w:footnote w:id="14984">
    <w:p>
      <w:pPr>
        <w:pStyle w:val="FootnoteText"/>
      </w:pPr>
      <w:r>
        <w:rPr>
          <w:rStyle w:val="FootnoteReference"/>
        </w:rPr>
        <w:footnoteRef/>
      </w:r>
      <w:r>
        <w:t xml:space="preserve"> Cross-references for "he ran": Ps 66:3; Ps 72:9.</w:t>
      </w:r>
    </w:p>
  </w:footnote>
  <w:footnote w:id="14985">
    <w:p>
      <w:pPr>
        <w:pStyle w:val="FootnoteText"/>
      </w:pPr>
      <w:r>
        <w:rPr>
          <w:rStyle w:val="FootnoteReference"/>
        </w:rPr>
        <w:footnoteRef/>
      </w:r>
      <w:r>
        <w:t xml:space="preserve"> Cross-references for "I adjure": 1Kgs 22:16; Matt 26:63.</w:t>
      </w:r>
    </w:p>
  </w:footnote>
  <w:footnote w:id="14986">
    <w:p>
      <w:pPr>
        <w:pStyle w:val="FootnoteText"/>
      </w:pPr>
      <w:r>
        <w:rPr>
          <w:rStyle w:val="FootnoteReference"/>
        </w:rPr>
        <w:footnoteRef/>
      </w:r>
      <w:r>
        <w:t xml:space="preserve"> Divine or supernatural name: Legion. Divine/supernatural-name meaning: Legion — legion; a large military unit. Source form: Legion.</w:t>
      </w:r>
    </w:p>
  </w:footnote>
  <w:footnote w:id="14987">
    <w:p>
      <w:pPr>
        <w:pStyle w:val="FootnoteText"/>
      </w:pPr>
      <w:r>
        <w:rPr>
          <w:rStyle w:val="FootnoteReference"/>
        </w:rPr>
        <w:footnoteRef/>
      </w:r>
      <w:r>
        <w:t xml:space="preserve"> Cross-references for "Legion": Matt 12:45; Matt 26:53.</w:t>
      </w:r>
    </w:p>
  </w:footnote>
  <w:footnote w:id="14988">
    <w:p>
      <w:pPr>
        <w:pStyle w:val="FootnoteText"/>
      </w:pPr>
      <w:r>
        <w:rPr>
          <w:rStyle w:val="FootnoteReference"/>
        </w:rPr>
        <w:footnoteRef/>
      </w:r>
      <w:r>
        <w:t xml:space="preserve"> Cross-references for "herd": Lev 11:7-8; Deut 14:8.</w:t>
      </w:r>
    </w:p>
  </w:footnote>
  <w:footnote w:id="14989">
    <w:p>
      <w:pPr>
        <w:pStyle w:val="FootnoteText"/>
      </w:pPr>
      <w:r>
        <w:rPr>
          <w:rStyle w:val="FootnoteReference"/>
        </w:rPr>
        <w:footnoteRef/>
      </w:r>
      <w:r>
        <w:t xml:space="preserve"> Cross-references for "gave": 1Kgs 22:22; Job 1:12.</w:t>
      </w:r>
    </w:p>
  </w:footnote>
  <w:footnote w:id="14990">
    <w:p>
      <w:pPr>
        <w:pStyle w:val="FootnoteText"/>
      </w:pPr>
      <w:r>
        <w:rPr>
          <w:rStyle w:val="FootnoteReference"/>
        </w:rPr>
        <w:footnoteRef/>
      </w:r>
      <w:r>
        <w:t xml:space="preserve"> Cross-references for "Go home": Ps 66:16; Isa 38:9-20.</w:t>
      </w:r>
    </w:p>
  </w:footnote>
  <w:footnote w:id="14991">
    <w:p>
      <w:pPr>
        <w:pStyle w:val="FootnoteText"/>
      </w:pPr>
      <w:r>
        <w:rPr>
          <w:rStyle w:val="FootnoteReference"/>
        </w:rPr>
        <w:footnoteRef/>
      </w:r>
      <w:r>
        <w:t xml:space="preserve"> Cross-references for "Decapolis": Matt 4:25; Mark 7:31.</w:t>
      </w:r>
    </w:p>
  </w:footnote>
  <w:footnote w:id="14992">
    <w:p>
      <w:pPr>
        <w:pStyle w:val="FootnoteText"/>
      </w:pPr>
      <w:r>
        <w:rPr>
          <w:rStyle w:val="FootnoteReference"/>
        </w:rPr>
        <w:footnoteRef/>
      </w:r>
      <w:r>
        <w:t xml:space="preserve"> Cross-references for "rulers": Luke 13:14; Acts 13:15.</w:t>
      </w:r>
    </w:p>
  </w:footnote>
  <w:footnote w:id="14993">
    <w:p>
      <w:pPr>
        <w:pStyle w:val="FootnoteText"/>
      </w:pPr>
      <w:r>
        <w:rPr>
          <w:rStyle w:val="FootnoteReference"/>
        </w:rPr>
        <w:footnoteRef/>
      </w:r>
      <w:r>
        <w:t xml:space="preserve"> Name meaning: Jairus (Yair) — He enlightens. His daughter was raised.</w:t>
      </w:r>
    </w:p>
  </w:footnote>
  <w:footnote w:id="14994">
    <w:p>
      <w:pPr>
        <w:pStyle w:val="FootnoteText"/>
      </w:pPr>
      <w:r>
        <w:rPr>
          <w:rStyle w:val="FootnoteReference"/>
        </w:rPr>
        <w:footnoteRef/>
      </w:r>
      <w:r>
        <w:t xml:space="preserve"> Cross-references for "went": Luke 7:6; Acts 10:38.</w:t>
      </w:r>
    </w:p>
  </w:footnote>
  <w:footnote w:id="14995">
    <w:p>
      <w:pPr>
        <w:pStyle w:val="FootnoteText"/>
      </w:pPr>
      <w:r>
        <w:rPr>
          <w:rStyle w:val="FootnoteReference"/>
        </w:rPr>
        <w:footnoteRef/>
      </w:r>
      <w:r>
        <w:t xml:space="preserve"> Cross-references for "an issue": Lev 15:19-20; Lev 15:25-27.</w:t>
      </w:r>
    </w:p>
  </w:footnote>
  <w:footnote w:id="14996">
    <w:p>
      <w:pPr>
        <w:pStyle w:val="FootnoteText"/>
      </w:pPr>
      <w:r>
        <w:rPr>
          <w:rStyle w:val="FootnoteReference"/>
        </w:rPr>
        <w:footnoteRef/>
      </w:r>
      <w:r>
        <w:t xml:space="preserve"> Cross-references for "had suffered": Job 13:4; Jer 8:22.</w:t>
      </w:r>
    </w:p>
  </w:footnote>
  <w:footnote w:id="14997">
    <w:p>
      <w:pPr>
        <w:pStyle w:val="FootnoteText"/>
      </w:pPr>
      <w:r>
        <w:rPr>
          <w:rStyle w:val="FootnoteReference"/>
        </w:rPr>
        <w:footnoteRef/>
      </w:r>
      <w:r>
        <w:t xml:space="preserve"> Cross-references for "touched": 2Kgs 13:21; Matt 14:36.</w:t>
      </w:r>
    </w:p>
  </w:footnote>
  <w:footnote w:id="14998">
    <w:p>
      <w:pPr>
        <w:pStyle w:val="FootnoteText"/>
      </w:pPr>
      <w:r>
        <w:rPr>
          <w:rStyle w:val="FootnoteReference"/>
        </w:rPr>
        <w:footnoteRef/>
      </w:r>
      <w:r>
        <w:t xml:space="preserve"> Cross-references for "fountain": Lev 20:18.</w:t>
      </w:r>
    </w:p>
  </w:footnote>
  <w:footnote w:id="14999">
    <w:p>
      <w:pPr>
        <w:pStyle w:val="FootnoteText"/>
      </w:pPr>
      <w:r>
        <w:rPr>
          <w:rStyle w:val="FootnoteReference"/>
        </w:rPr>
        <w:footnoteRef/>
      </w:r>
      <w:r>
        <w:t xml:space="preserve"> Cross-references for "the woman": Mark 4:41; Luke 1:12.</w:t>
      </w:r>
    </w:p>
  </w:footnote>
  <w:footnote w:id="15000">
    <w:p>
      <w:pPr>
        <w:pStyle w:val="FootnoteText"/>
      </w:pPr>
      <w:r>
        <w:rPr>
          <w:rStyle w:val="FootnoteReference"/>
        </w:rPr>
        <w:footnoteRef/>
      </w:r>
      <w:r>
        <w:t xml:space="preserve"> Cross-references for "only": 2Chr 20:20; Matt 9:28-29.</w:t>
      </w:r>
    </w:p>
  </w:footnote>
  <w:footnote w:id="15001">
    <w:p>
      <w:pPr>
        <w:pStyle w:val="FootnoteText"/>
      </w:pPr>
      <w:r>
        <w:rPr>
          <w:rStyle w:val="FootnoteReference"/>
        </w:rPr>
        <w:footnoteRef/>
      </w:r>
      <w:r>
        <w:t xml:space="preserve"> Cross-references for "not dead": Dan 12:2; John 11:11-13.</w:t>
      </w:r>
    </w:p>
  </w:footnote>
  <w:footnote w:id="15002">
    <w:p>
      <w:pPr>
        <w:pStyle w:val="FootnoteText"/>
      </w:pPr>
      <w:r>
        <w:rPr>
          <w:rStyle w:val="FootnoteReference"/>
        </w:rPr>
        <w:footnoteRef/>
      </w:r>
      <w:r>
        <w:t xml:space="preserve"> Cross-references for "took": Mark 1:31; Acts 9:40-41.</w:t>
      </w:r>
    </w:p>
  </w:footnote>
  <w:footnote w:id="15003">
    <w:p>
      <w:pPr>
        <w:pStyle w:val="FootnoteText"/>
      </w:pPr>
      <w:r>
        <w:rPr>
          <w:rStyle w:val="FootnoteReference"/>
        </w:rPr>
        <w:footnoteRef/>
      </w:r>
      <w:r>
        <w:t xml:space="preserve"> Cross-references for "he charged": Matt 8:4; Matt 9:30.</w:t>
      </w:r>
    </w:p>
  </w:footnote>
  <w:footnote w:id="15004">
    <w:p>
      <w:pPr>
        <w:pStyle w:val="FootnoteText"/>
      </w:pPr>
      <w:r>
        <w:rPr>
          <w:rStyle w:val="FootnoteReference"/>
        </w:rPr>
        <w:footnoteRef/>
      </w:r>
      <w:r>
        <w:t xml:space="preserve"> Cross-references for "and came": Matt 13:54; Luke 4:16-30.</w:t>
      </w:r>
    </w:p>
  </w:footnote>
  <w:footnote w:id="15005">
    <w:p>
      <w:pPr>
        <w:pStyle w:val="FootnoteText"/>
      </w:pPr>
      <w:r>
        <w:rPr>
          <w:rStyle w:val="FootnoteReference"/>
        </w:rPr>
        <w:footnoteRef/>
      </w:r>
      <w:r>
        <w:t xml:space="preserve"> Cross-references for "he began": Mark 1:21-22; Mark 1:39.</w:t>
      </w:r>
    </w:p>
  </w:footnote>
  <w:footnote w:id="15006">
    <w:p>
      <w:pPr>
        <w:pStyle w:val="FootnoteText"/>
      </w:pPr>
      <w:r>
        <w:rPr>
          <w:rStyle w:val="FootnoteReference"/>
        </w:rPr>
        <w:footnoteRef/>
      </w:r>
      <w:r>
        <w:t xml:space="preserve"> Cross-references for "carpenter": Isa 49:7; Isa 53:2-3.</w:t>
      </w:r>
    </w:p>
  </w:footnote>
  <w:footnote w:id="15007">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15008">
    <w:p>
      <w:pPr>
        <w:pStyle w:val="FootnoteText"/>
      </w:pPr>
      <w:r>
        <w:rPr>
          <w:rStyle w:val="FootnoteReference"/>
        </w:rPr>
        <w:footnoteRef/>
      </w:r>
      <w:r>
        <w:t xml:space="preserve"> Cross-references for "And he went": Matt 4:23; Matt 9:35.</w:t>
      </w:r>
    </w:p>
  </w:footnote>
  <w:footnote w:id="15009">
    <w:p>
      <w:pPr>
        <w:pStyle w:val="FootnoteText"/>
      </w:pPr>
      <w:r>
        <w:rPr>
          <w:rStyle w:val="FootnoteReference"/>
        </w:rPr>
        <w:footnoteRef/>
      </w:r>
      <w:r>
        <w:t xml:space="preserve"> Cross-references for "the twelve": Matt 10:1-4; Mark 3:13-14.</w:t>
      </w:r>
    </w:p>
  </w:footnote>
  <w:footnote w:id="15010">
    <w:p>
      <w:pPr>
        <w:pStyle w:val="FootnoteText"/>
      </w:pPr>
      <w:r>
        <w:rPr>
          <w:rStyle w:val="FootnoteReference"/>
        </w:rPr>
        <w:footnoteRef/>
      </w:r>
      <w:r>
        <w:t xml:space="preserve"> Cross-references for "take": Matt 10:9-10; Luke 10:4.</w:t>
      </w:r>
    </w:p>
  </w:footnote>
  <w:footnote w:id="15011">
    <w:p>
      <w:pPr>
        <w:pStyle w:val="FootnoteText"/>
      </w:pPr>
      <w:r>
        <w:rPr>
          <w:rStyle w:val="FootnoteReference"/>
        </w:rPr>
        <w:footnoteRef/>
      </w:r>
      <w:r>
        <w:t xml:space="preserve"> Cross-references for "be shod": Eph 6:15.</w:t>
      </w:r>
    </w:p>
  </w:footnote>
  <w:footnote w:id="15012">
    <w:p>
      <w:pPr>
        <w:pStyle w:val="FootnoteText"/>
      </w:pPr>
      <w:r>
        <w:rPr>
          <w:rStyle w:val="FootnoteReference"/>
        </w:rPr>
        <w:footnoteRef/>
      </w:r>
      <w:r>
        <w:t xml:space="preserve"> Cross-references for "It shall": Ezek 16:48-51; Matt 10:15.</w:t>
      </w:r>
    </w:p>
  </w:footnote>
  <w:footnote w:id="15013">
    <w:p>
      <w:pPr>
        <w:pStyle w:val="FootnoteText"/>
      </w:pPr>
      <w:r>
        <w:rPr>
          <w:rStyle w:val="FootnoteReference"/>
        </w:rPr>
        <w:footnoteRef/>
      </w:r>
      <w:r>
        <w:t xml:space="preserve"> Cross-references for "preached": Ezek 18:30; Matt 3:2.</w:t>
      </w:r>
    </w:p>
  </w:footnote>
  <w:footnote w:id="15014">
    <w:p>
      <w:pPr>
        <w:pStyle w:val="FootnoteText"/>
      </w:pPr>
      <w:r>
        <w:rPr>
          <w:rStyle w:val="FootnoteReference"/>
        </w:rPr>
        <w:footnoteRef/>
      </w:r>
      <w:r>
        <w:t xml:space="preserve"> Cross-references for "cast": Mark 6:7; Luke 10:17.</w:t>
      </w:r>
    </w:p>
  </w:footnote>
  <w:footnote w:id="15015">
    <w:p>
      <w:pPr>
        <w:pStyle w:val="FootnoteText"/>
      </w:pPr>
      <w:r>
        <w:rPr>
          <w:rStyle w:val="FootnoteReference"/>
        </w:rPr>
        <w:footnoteRef/>
      </w:r>
      <w:r>
        <w:t xml:space="preserve"> Cross-references for "king Herod": Matt 14:1-2; Mark 6:22.</w:t>
      </w:r>
    </w:p>
  </w:footnote>
  <w:footnote w:id="15016">
    <w:p>
      <w:pPr>
        <w:pStyle w:val="FootnoteText"/>
      </w:pPr>
      <w:r>
        <w:rPr>
          <w:rStyle w:val="FootnoteReference"/>
        </w:rPr>
        <w:footnoteRef/>
      </w:r>
      <w:r>
        <w:t xml:space="preserve"> Cross-references for "a prophet": Matt 21:11; Luke 7:16.</w:t>
      </w:r>
    </w:p>
  </w:footnote>
  <w:footnote w:id="15017">
    <w:p>
      <w:pPr>
        <w:pStyle w:val="FootnoteText"/>
      </w:pPr>
      <w:r>
        <w:rPr>
          <w:rStyle w:val="FootnoteReference"/>
        </w:rPr>
        <w:footnoteRef/>
      </w:r>
      <w:r>
        <w:t xml:space="preserve"> Cross-references for "Herod": Matt 4:12; Matt 11:2.</w:t>
      </w:r>
    </w:p>
  </w:footnote>
  <w:footnote w:id="15018">
    <w:p>
      <w:pPr>
        <w:pStyle w:val="FootnoteText"/>
      </w:pPr>
      <w:r>
        <w:rPr>
          <w:rStyle w:val="FootnoteReference"/>
        </w:rPr>
        <w:footnoteRef/>
      </w:r>
      <w:r>
        <w:t xml:space="preserve"> Cross-references for "Herodias": Gen 39:17-20; 1Kgs 21:20.</w:t>
      </w:r>
    </w:p>
  </w:footnote>
  <w:footnote w:id="15019">
    <w:p>
      <w:pPr>
        <w:pStyle w:val="FootnoteText"/>
      </w:pPr>
      <w:r>
        <w:rPr>
          <w:rStyle w:val="FootnoteReference"/>
        </w:rPr>
        <w:footnoteRef/>
      </w:r>
      <w:r>
        <w:t xml:space="preserve"> Cross-references for "feared": Exod 11:3; 1Kgs 21:20.</w:t>
      </w:r>
    </w:p>
  </w:footnote>
  <w:footnote w:id="15020">
    <w:p>
      <w:pPr>
        <w:pStyle w:val="FootnoteText"/>
      </w:pPr>
      <w:r>
        <w:rPr>
          <w:rStyle w:val="FootnoteReference"/>
        </w:rPr>
        <w:footnoteRef/>
      </w:r>
      <w:r>
        <w:t xml:space="preserve"> Cross-references for "his birthday": Gen 40:20; Prov 31:4-5.</w:t>
      </w:r>
    </w:p>
  </w:footnote>
  <w:footnote w:id="15021">
    <w:p>
      <w:pPr>
        <w:pStyle w:val="FootnoteText"/>
      </w:pPr>
      <w:r>
        <w:rPr>
          <w:rStyle w:val="FootnoteReference"/>
        </w:rPr>
        <w:footnoteRef/>
      </w:r>
      <w:r>
        <w:t xml:space="preserve"> Cross-references for "said": Gen 27:8-11; 2Chr 22:3-4.</w:t>
      </w:r>
    </w:p>
  </w:footnote>
  <w:footnote w:id="15022">
    <w:p>
      <w:pPr>
        <w:pStyle w:val="FootnoteText"/>
      </w:pPr>
      <w:r>
        <w:rPr>
          <w:rStyle w:val="FootnoteReference"/>
        </w:rPr>
        <w:footnoteRef/>
      </w:r>
      <w:r>
        <w:t xml:space="preserve"> Cross-references for "with haste": Prov 1:16; Rom 3:15.</w:t>
      </w:r>
    </w:p>
  </w:footnote>
  <w:footnote w:id="15023">
    <w:p>
      <w:pPr>
        <w:pStyle w:val="FootnoteText"/>
      </w:pPr>
      <w:r>
        <w:rPr>
          <w:rStyle w:val="FootnoteReference"/>
        </w:rPr>
        <w:footnoteRef/>
      </w:r>
      <w:r>
        <w:t xml:space="preserve"> Cross-references for "they came": 1Kgs 13:29-30; 2Chr 24:16.</w:t>
      </w:r>
    </w:p>
  </w:footnote>
  <w:footnote w:id="15024">
    <w:p>
      <w:pPr>
        <w:pStyle w:val="FootnoteText"/>
      </w:pPr>
      <w:r>
        <w:rPr>
          <w:rStyle w:val="FootnoteReference"/>
        </w:rPr>
        <w:footnoteRef/>
      </w:r>
      <w:r>
        <w:t xml:space="preserve"> Cross-references for "the apostles": Mark 6:7-13; Luke 9:10.</w:t>
      </w:r>
    </w:p>
  </w:footnote>
  <w:footnote w:id="15025">
    <w:p>
      <w:pPr>
        <w:pStyle w:val="FootnoteText"/>
      </w:pPr>
      <w:r>
        <w:rPr>
          <w:rStyle w:val="FootnoteReference"/>
        </w:rPr>
        <w:footnoteRef/>
      </w:r>
      <w:r>
        <w:t xml:space="preserve"> Cross-references for "give": 2Kgs 4:42-44; Matt 14:16.</w:t>
      </w:r>
    </w:p>
  </w:footnote>
  <w:footnote w:id="15026">
    <w:p>
      <w:pPr>
        <w:pStyle w:val="FootnoteText"/>
      </w:pPr>
      <w:r>
        <w:rPr>
          <w:rStyle w:val="FootnoteReference"/>
        </w:rPr>
        <w:footnoteRef/>
      </w:r>
      <w:r>
        <w:t xml:space="preserve"> Cross-references for "by hundreds": Luke 9:14-15.</w:t>
      </w:r>
    </w:p>
  </w:footnote>
  <w:footnote w:id="15027">
    <w:p>
      <w:pPr>
        <w:pStyle w:val="FootnoteText"/>
      </w:pPr>
      <w:r>
        <w:rPr>
          <w:rStyle w:val="FootnoteReference"/>
        </w:rPr>
        <w:footnoteRef/>
      </w:r>
      <w:r>
        <w:t xml:space="preserve"> Cross-references for "looked": Matt 14:19; Mark 7:34.</w:t>
      </w:r>
    </w:p>
  </w:footnote>
  <w:footnote w:id="15028">
    <w:p>
      <w:pPr>
        <w:pStyle w:val="FootnoteText"/>
      </w:pPr>
      <w:r>
        <w:rPr>
          <w:rStyle w:val="FootnoteReference"/>
        </w:rPr>
        <w:footnoteRef/>
      </w:r>
      <w:r>
        <w:t xml:space="preserve"> Cross-references for "he saw": Isa 54:11; Matt 14:24.</w:t>
      </w:r>
    </w:p>
  </w:footnote>
  <w:footnote w:id="15029">
    <w:p>
      <w:pPr>
        <w:pStyle w:val="FootnoteText"/>
      </w:pPr>
      <w:r>
        <w:rPr>
          <w:rStyle w:val="FootnoteReference"/>
        </w:rPr>
        <w:footnoteRef/>
      </w:r>
      <w:r>
        <w:t xml:space="preserve"> Cross-references for "they saw": Job 9:8.</w:t>
      </w:r>
    </w:p>
  </w:footnote>
  <w:footnote w:id="15030">
    <w:p>
      <w:pPr>
        <w:pStyle w:val="FootnoteText"/>
      </w:pPr>
      <w:r>
        <w:rPr>
          <w:rStyle w:val="FootnoteReference"/>
        </w:rPr>
        <w:footnoteRef/>
      </w:r>
      <w:r>
        <w:t xml:space="preserve"> Cross-references for "it is I": Isa 43:2; Matt 14:27.</w:t>
      </w:r>
    </w:p>
  </w:footnote>
  <w:footnote w:id="15031">
    <w:p>
      <w:pPr>
        <w:pStyle w:val="FootnoteText"/>
      </w:pPr>
      <w:r>
        <w:rPr>
          <w:rStyle w:val="FootnoteReference"/>
        </w:rPr>
        <w:footnoteRef/>
      </w:r>
      <w:r>
        <w:t xml:space="preserve"> Cross-references for "their": Isa 63:17; Mark 3:5.</w:t>
      </w:r>
    </w:p>
  </w:footnote>
  <w:footnote w:id="15032">
    <w:p>
      <w:pPr>
        <w:pStyle w:val="FootnoteText"/>
      </w:pPr>
      <w:r>
        <w:rPr>
          <w:rStyle w:val="FootnoteReference"/>
        </w:rPr>
        <w:footnoteRef/>
      </w:r>
      <w:r>
        <w:t xml:space="preserve"> Cross-references for "knew": Ps 9:10; Phil 3:10.</w:t>
      </w:r>
    </w:p>
  </w:footnote>
  <w:footnote w:id="15033">
    <w:p>
      <w:pPr>
        <w:pStyle w:val="FootnoteText"/>
      </w:pPr>
      <w:r>
        <w:rPr>
          <w:rStyle w:val="FootnoteReference"/>
        </w:rPr>
        <w:footnoteRef/>
      </w:r>
      <w:r>
        <w:t xml:space="preserve"> Cross-references for "they laid": Acts 5:15.</w:t>
      </w:r>
    </w:p>
  </w:footnote>
  <w:footnote w:id="15034">
    <w:p>
      <w:pPr>
        <w:pStyle w:val="FootnoteText"/>
      </w:pPr>
      <w:r>
        <w:rPr>
          <w:rStyle w:val="FootnoteReference"/>
        </w:rPr>
        <w:footnoteRef/>
      </w:r>
      <w:r>
        <w:t xml:space="preserve"> Cross-references for "the Pharisees": Matt 15:1; Mark 3:22.</w:t>
      </w:r>
    </w:p>
  </w:footnote>
  <w:footnote w:id="15035">
    <w:p>
      <w:pPr>
        <w:pStyle w:val="FootnoteText"/>
      </w:pPr>
      <w:r>
        <w:rPr>
          <w:rStyle w:val="FootnoteReference"/>
        </w:rPr>
        <w:footnoteRef/>
      </w:r>
      <w:r>
        <w:t xml:space="preserve"> Cross-references for "defiled": Acts 10:14-15; Acts 10:28.</w:t>
      </w:r>
    </w:p>
  </w:footnote>
  <w:footnote w:id="15036">
    <w:p>
      <w:pPr>
        <w:pStyle w:val="FootnoteText"/>
      </w:pPr>
      <w:r>
        <w:rPr>
          <w:rStyle w:val="FootnoteReference"/>
        </w:rPr>
        <w:footnoteRef/>
      </w:r>
      <w:r>
        <w:t xml:space="preserve"> Cross-references for "the tradition": Matt 15:2-6; Mark 7:7-10.</w:t>
      </w:r>
    </w:p>
  </w:footnote>
  <w:footnote w:id="15037">
    <w:p>
      <w:pPr>
        <w:pStyle w:val="FootnoteText"/>
      </w:pPr>
      <w:r>
        <w:rPr>
          <w:rStyle w:val="FootnoteReference"/>
        </w:rPr>
        <w:footnoteRef/>
      </w:r>
      <w:r>
        <w:t xml:space="preserve"> Cross-references for "except": Job 9:30-31; Ps 26:6.</w:t>
      </w:r>
    </w:p>
  </w:footnote>
  <w:footnote w:id="15038">
    <w:p>
      <w:pPr>
        <w:pStyle w:val="FootnoteText"/>
      </w:pPr>
      <w:r>
        <w:rPr>
          <w:rStyle w:val="FootnoteReference"/>
        </w:rPr>
        <w:footnoteRef/>
      </w:r>
      <w:r>
        <w:t xml:space="preserve"> Cross-references for "Well": Isa 29:13; Matt 15:7-9.</w:t>
      </w:r>
    </w:p>
  </w:footnote>
  <w:footnote w:id="15039">
    <w:p>
      <w:pPr>
        <w:pStyle w:val="FootnoteText"/>
      </w:pPr>
      <w:r>
        <w:rPr>
          <w:rStyle w:val="FootnoteReference"/>
        </w:rPr>
        <w:footnoteRef/>
      </w:r>
      <w:r>
        <w:t xml:space="preserve"> Cross-references for "in vain": 1Sam 12:21; Mal 3:14.</w:t>
      </w:r>
    </w:p>
  </w:footnote>
  <w:footnote w:id="15040">
    <w:p>
      <w:pPr>
        <w:pStyle w:val="FootnoteText"/>
      </w:pPr>
      <w:r>
        <w:rPr>
          <w:rStyle w:val="FootnoteReference"/>
        </w:rPr>
        <w:footnoteRef/>
      </w:r>
      <w:r>
        <w:t xml:space="preserve"> Cross-references for "laying": Isa 1:12.</w:t>
      </w:r>
    </w:p>
  </w:footnote>
  <w:footnote w:id="15041">
    <w:p>
      <w:pPr>
        <w:pStyle w:val="FootnoteText"/>
      </w:pPr>
      <w:r>
        <w:rPr>
          <w:rStyle w:val="FootnoteReference"/>
        </w:rPr>
        <w:footnoteRef/>
      </w:r>
      <w:r>
        <w:t xml:space="preserve"> Cross-references for "reject": Ps 119:126; Mark 7:13.</w:t>
      </w:r>
    </w:p>
  </w:footnote>
  <w:footnote w:id="15042">
    <w:p>
      <w:pPr>
        <w:pStyle w:val="FootnoteText"/>
      </w:pPr>
      <w:r>
        <w:rPr>
          <w:rStyle w:val="FootnoteReference"/>
        </w:rPr>
        <w:footnoteRef/>
      </w:r>
      <w:r>
        <w:t xml:space="preserve"> Cross-references for "It is Corban": Matt 15:5; Matt 23:18.</w:t>
      </w:r>
    </w:p>
  </w:footnote>
  <w:footnote w:id="15043">
    <w:p>
      <w:pPr>
        <w:pStyle w:val="FootnoteText"/>
      </w:pPr>
      <w:r>
        <w:rPr>
          <w:rStyle w:val="FootnoteReference"/>
        </w:rPr>
        <w:footnoteRef/>
      </w:r>
      <w:r>
        <w:t xml:space="preserve"> Cross-references for "the word": Isa 8:20; Jer 8:8-9.</w:t>
      </w:r>
    </w:p>
  </w:footnote>
  <w:footnote w:id="15044">
    <w:p>
      <w:pPr>
        <w:pStyle w:val="FootnoteText"/>
      </w:pPr>
      <w:r>
        <w:rPr>
          <w:rStyle w:val="FootnoteReference"/>
        </w:rPr>
        <w:footnoteRef/>
      </w:r>
      <w:r>
        <w:t xml:space="preserve"> Cross-references for "and understand": Prov 8:5; Isa 6:9.</w:t>
      </w:r>
    </w:p>
  </w:footnote>
  <w:footnote w:id="15045">
    <w:p>
      <w:pPr>
        <w:pStyle w:val="FootnoteText"/>
      </w:pPr>
      <w:r>
        <w:rPr>
          <w:rStyle w:val="FootnoteReference"/>
        </w:rPr>
        <w:footnoteRef/>
      </w:r>
      <w:r>
        <w:t xml:space="preserve"> Cross-references for "nothing": Lev 11:42-47; Mark 7:18-20.</w:t>
      </w:r>
    </w:p>
  </w:footnote>
  <w:footnote w:id="15046">
    <w:p>
      <w:pPr>
        <w:pStyle w:val="FootnoteText"/>
      </w:pPr>
      <w:r>
        <w:rPr>
          <w:rStyle w:val="FootnoteReference"/>
        </w:rPr>
        <w:footnoteRef/>
      </w:r>
      <w:r>
        <w:t xml:space="preserve"> Cross-references for "evil": Prov 15:25; Isa 59:7.</w:t>
      </w:r>
    </w:p>
  </w:footnote>
  <w:footnote w:id="15047">
    <w:p>
      <w:pPr>
        <w:pStyle w:val="FootnoteText"/>
      </w:pPr>
      <w:r>
        <w:rPr>
          <w:rStyle w:val="FootnoteReference"/>
        </w:rPr>
        <w:footnoteRef/>
      </w:r>
      <w:r>
        <w:t xml:space="preserve"> Cross-references for "an evil": Deut 15:9; Deut 28:54.</w:t>
      </w:r>
    </w:p>
  </w:footnote>
  <w:footnote w:id="15048">
    <w:p>
      <w:pPr>
        <w:pStyle w:val="FootnoteText"/>
      </w:pPr>
      <w:r>
        <w:rPr>
          <w:rStyle w:val="FootnoteReference"/>
        </w:rPr>
        <w:footnoteRef/>
      </w:r>
      <w:r>
        <w:t xml:space="preserve"> Cross-references for "defile": Mark 7:15; Mark 7:18.</w:t>
      </w:r>
    </w:p>
  </w:footnote>
  <w:footnote w:id="15049">
    <w:p>
      <w:pPr>
        <w:pStyle w:val="FootnoteText"/>
      </w:pPr>
      <w:r>
        <w:rPr>
          <w:rStyle w:val="FootnoteReference"/>
        </w:rPr>
        <w:footnoteRef/>
      </w:r>
      <w:r>
        <w:t xml:space="preserve"> Cross-references for "Tyre": Gen 10:15; Gen 10:19.</w:t>
      </w:r>
    </w:p>
  </w:footnote>
  <w:footnote w:id="15050">
    <w:p>
      <w:pPr>
        <w:pStyle w:val="FootnoteText"/>
      </w:pPr>
      <w:r>
        <w:rPr>
          <w:rStyle w:val="FootnoteReference"/>
        </w:rPr>
        <w:footnoteRef/>
      </w:r>
      <w:r>
        <w:t xml:space="preserve"> People-name: Greek. People-name meaning: Greek — Greek; Hellenic person. Source form: Greek.</w:t>
      </w:r>
    </w:p>
  </w:footnote>
  <w:footnote w:id="15051">
    <w:p>
      <w:pPr>
        <w:pStyle w:val="FootnoteText"/>
      </w:pPr>
      <w:r>
        <w:rPr>
          <w:rStyle w:val="FootnoteReference"/>
        </w:rPr>
        <w:footnoteRef/>
      </w:r>
      <w:r>
        <w:t xml:space="preserve"> Cross-references for "Greek": Isa 49:12; Gal 3:28.</w:t>
      </w:r>
    </w:p>
  </w:footnote>
  <w:footnote w:id="15052">
    <w:p>
      <w:pPr>
        <w:pStyle w:val="FootnoteText"/>
      </w:pPr>
      <w:r>
        <w:rPr>
          <w:rStyle w:val="FootnoteReference"/>
        </w:rPr>
        <w:footnoteRef/>
      </w:r>
      <w:r>
        <w:t xml:space="preserve"> Cross-references for "she found": 1John 3:8.</w:t>
      </w:r>
    </w:p>
  </w:footnote>
  <w:footnote w:id="15053">
    <w:p>
      <w:pPr>
        <w:pStyle w:val="FootnoteText"/>
      </w:pPr>
      <w:r>
        <w:rPr>
          <w:rStyle w:val="FootnoteReference"/>
        </w:rPr>
        <w:footnoteRef/>
      </w:r>
      <w:r>
        <w:t xml:space="preserve"> Cross-references for "Decapolis": Matt 4:25; Mark 5:20.</w:t>
      </w:r>
    </w:p>
  </w:footnote>
  <w:footnote w:id="15054">
    <w:p>
      <w:pPr>
        <w:pStyle w:val="FootnoteText"/>
      </w:pPr>
      <w:r>
        <w:rPr>
          <w:rStyle w:val="FootnoteReference"/>
        </w:rPr>
        <w:footnoteRef/>
      </w:r>
      <w:r>
        <w:t xml:space="preserve"> Cross-references for "he took": 1Kgs 17:19-22; 2Kgs 4:4-6.</w:t>
      </w:r>
    </w:p>
  </w:footnote>
  <w:footnote w:id="15055">
    <w:p>
      <w:pPr>
        <w:pStyle w:val="FootnoteText"/>
      </w:pPr>
      <w:r>
        <w:rPr>
          <w:rStyle w:val="FootnoteReference"/>
        </w:rPr>
        <w:footnoteRef/>
      </w:r>
      <w:r>
        <w:t xml:space="preserve"> Cross-references for "looking": Mark 6:41; John 11:41.</w:t>
      </w:r>
    </w:p>
  </w:footnote>
  <w:footnote w:id="15056">
    <w:p>
      <w:pPr>
        <w:pStyle w:val="FootnoteText"/>
      </w:pPr>
      <w:r>
        <w:rPr>
          <w:rStyle w:val="FootnoteReference"/>
        </w:rPr>
        <w:footnoteRef/>
      </w:r>
      <w:r>
        <w:t xml:space="preserve"> Transliterated proper noun: Ephphatha. Standard English equivalent: Ephphatha. Source form: Ephphatha. Greek form: εφφαθα. Name meaning: be opened.</w:t>
      </w:r>
    </w:p>
  </w:footnote>
  <w:footnote w:id="15057">
    <w:p>
      <w:pPr>
        <w:pStyle w:val="FootnoteText"/>
      </w:pPr>
      <w:r>
        <w:rPr>
          <w:rStyle w:val="FootnoteReference"/>
        </w:rPr>
        <w:footnoteRef/>
      </w:r>
      <w:r>
        <w:t xml:space="preserve"> Cross-references for "compassion": Ps 103:13; Ps 145:8.</w:t>
      </w:r>
    </w:p>
  </w:footnote>
  <w:footnote w:id="15058">
    <w:p>
      <w:pPr>
        <w:pStyle w:val="FootnoteText"/>
      </w:pPr>
      <w:r>
        <w:rPr>
          <w:rStyle w:val="FootnoteReference"/>
        </w:rPr>
        <w:footnoteRef/>
      </w:r>
      <w:r>
        <w:t xml:space="preserve"> Cross-references for "to sit": Matt 14:18-19; Matt 15:35-36.</w:t>
      </w:r>
    </w:p>
  </w:footnote>
  <w:footnote w:id="15059">
    <w:p>
      <w:pPr>
        <w:pStyle w:val="FootnoteText"/>
      </w:pPr>
      <w:r>
        <w:rPr>
          <w:rStyle w:val="FootnoteReference"/>
        </w:rPr>
        <w:footnoteRef/>
      </w:r>
      <w:r>
        <w:t xml:space="preserve"> Cross-references for "he blessed": Matt 14:19; Luke 6:41.</w:t>
      </w:r>
    </w:p>
  </w:footnote>
  <w:footnote w:id="15060">
    <w:p>
      <w:pPr>
        <w:pStyle w:val="FootnoteText"/>
      </w:pPr>
      <w:r>
        <w:rPr>
          <w:rStyle w:val="FootnoteReference"/>
        </w:rPr>
        <w:footnoteRef/>
      </w:r>
      <w:r>
        <w:t xml:space="preserve"> Cross-references for "and were": Ps 107:8-9; Ps 145:16.</w:t>
      </w:r>
    </w:p>
  </w:footnote>
  <w:footnote w:id="15061">
    <w:p>
      <w:pPr>
        <w:pStyle w:val="FootnoteText"/>
      </w:pPr>
      <w:r>
        <w:rPr>
          <w:rStyle w:val="FootnoteReference"/>
        </w:rPr>
        <w:footnoteRef/>
      </w:r>
      <w:r>
        <w:t xml:space="preserve"> Place name: Dalmanutha. Place-name meaning: Dalmanutha — a bucket; a branch. Source form: Dalmanutha. Greek form: δαλμανουθα.</w:t>
      </w:r>
    </w:p>
  </w:footnote>
  <w:footnote w:id="15062">
    <w:p>
      <w:pPr>
        <w:pStyle w:val="FootnoteText"/>
      </w:pPr>
      <w:r>
        <w:rPr>
          <w:rStyle w:val="FootnoteReference"/>
        </w:rPr>
        <w:footnoteRef/>
      </w:r>
      <w:r>
        <w:t xml:space="preserve"> Cross-references for "Pharisees": Matt 12:38; Matt 16:1-4.</w:t>
      </w:r>
    </w:p>
  </w:footnote>
  <w:footnote w:id="15063">
    <w:p>
      <w:pPr>
        <w:pStyle w:val="FootnoteText"/>
      </w:pPr>
      <w:r>
        <w:rPr>
          <w:rStyle w:val="FootnoteReference"/>
        </w:rPr>
        <w:footnoteRef/>
      </w:r>
      <w:r>
        <w:t xml:space="preserve"> Cross-references for "he sighed": Isa 53:3; Mark 3:5.</w:t>
      </w:r>
    </w:p>
  </w:footnote>
  <w:footnote w:id="15064">
    <w:p>
      <w:pPr>
        <w:pStyle w:val="FootnoteText"/>
      </w:pPr>
      <w:r>
        <w:rPr>
          <w:rStyle w:val="FootnoteReference"/>
        </w:rPr>
        <w:footnoteRef/>
      </w:r>
      <w:r>
        <w:t xml:space="preserve"> Cross-references for "had forgotten": Matt 16:5.</w:t>
      </w:r>
    </w:p>
  </w:footnote>
  <w:footnote w:id="15065">
    <w:p>
      <w:pPr>
        <w:pStyle w:val="FootnoteText"/>
      </w:pPr>
      <w:r>
        <w:rPr>
          <w:rStyle w:val="FootnoteReference"/>
        </w:rPr>
        <w:footnoteRef/>
      </w:r>
      <w:r>
        <w:t xml:space="preserve"> Cross-references for "he charged": Num 27:19-23; 1Chr 28:9-10.</w:t>
      </w:r>
    </w:p>
  </w:footnote>
  <w:footnote w:id="15066">
    <w:p>
      <w:pPr>
        <w:pStyle w:val="FootnoteText"/>
      </w:pPr>
      <w:r>
        <w:rPr>
          <w:rStyle w:val="FootnoteReference"/>
        </w:rPr>
        <w:footnoteRef/>
      </w:r>
      <w:r>
        <w:t xml:space="preserve"> Cross-references for "knew": Mark 2:8; John 2:24-25.</w:t>
      </w:r>
    </w:p>
  </w:footnote>
  <w:footnote w:id="15067">
    <w:p>
      <w:pPr>
        <w:pStyle w:val="FootnoteText"/>
      </w:pPr>
      <w:r>
        <w:rPr>
          <w:rStyle w:val="FootnoteReference"/>
        </w:rPr>
        <w:footnoteRef/>
      </w:r>
      <w:r>
        <w:t xml:space="preserve"> Cross-references for "the five": Matt 14:17-21; Mark 6:38-44.</w:t>
      </w:r>
    </w:p>
  </w:footnote>
  <w:footnote w:id="15068">
    <w:p>
      <w:pPr>
        <w:pStyle w:val="FootnoteText"/>
      </w:pPr>
      <w:r>
        <w:rPr>
          <w:rStyle w:val="FootnoteReference"/>
        </w:rPr>
        <w:footnoteRef/>
      </w:r>
      <w:r>
        <w:t xml:space="preserve"> Cross-references for "Bethsaida": Matt 11:21; Mark 6:45.</w:t>
      </w:r>
    </w:p>
  </w:footnote>
  <w:footnote w:id="15069">
    <w:p>
      <w:pPr>
        <w:pStyle w:val="FootnoteText"/>
      </w:pPr>
      <w:r>
        <w:rPr>
          <w:rStyle w:val="FootnoteReference"/>
        </w:rPr>
        <w:footnoteRef/>
      </w:r>
      <w:r>
        <w:t xml:space="preserve"> Cross-references for "spit": John 9:6-7; Rev 3:18.</w:t>
      </w:r>
    </w:p>
  </w:footnote>
  <w:footnote w:id="15070">
    <w:p>
      <w:pPr>
        <w:pStyle w:val="FootnoteText"/>
      </w:pPr>
      <w:r>
        <w:rPr>
          <w:rStyle w:val="FootnoteReference"/>
        </w:rPr>
        <w:footnoteRef/>
      </w:r>
      <w:r>
        <w:t xml:space="preserve"> Cross-references for "I see": Judg 9:36; Isa 29:18.</w:t>
      </w:r>
    </w:p>
  </w:footnote>
  <w:footnote w:id="15071">
    <w:p>
      <w:pPr>
        <w:pStyle w:val="FootnoteText"/>
      </w:pPr>
      <w:r>
        <w:rPr>
          <w:rStyle w:val="FootnoteReference"/>
        </w:rPr>
        <w:footnoteRef/>
      </w:r>
      <w:r>
        <w:t xml:space="preserve"> Cross-references for "and saw": Prov 4:18; Matt 13:12.</w:t>
      </w:r>
    </w:p>
  </w:footnote>
  <w:footnote w:id="15072">
    <w:p>
      <w:pPr>
        <w:pStyle w:val="FootnoteText"/>
      </w:pPr>
      <w:r>
        <w:rPr>
          <w:rStyle w:val="FootnoteReference"/>
        </w:rPr>
        <w:footnoteRef/>
      </w:r>
      <w:r>
        <w:t xml:space="preserve"> Cross-references for "the towns": Matt 16:13-20.</w:t>
      </w:r>
    </w:p>
  </w:footnote>
  <w:footnote w:id="15073">
    <w:p>
      <w:pPr>
        <w:pStyle w:val="FootnoteText"/>
      </w:pPr>
      <w:r>
        <w:rPr>
          <w:rStyle w:val="FootnoteReference"/>
        </w:rPr>
        <w:footnoteRef/>
      </w:r>
      <w:r>
        <w:t xml:space="preserve"> Cross-references for "John": Matt 14:2; Matt 16:14.</w:t>
      </w:r>
    </w:p>
  </w:footnote>
  <w:footnote w:id="15074">
    <w:p>
      <w:pPr>
        <w:pStyle w:val="FootnoteText"/>
      </w:pPr>
      <w:r>
        <w:rPr>
          <w:rStyle w:val="FootnoteReference"/>
        </w:rPr>
        <w:footnoteRef/>
      </w:r>
      <w:r>
        <w:t xml:space="preserve"> Cross-references for "he began": Matt 16:21; Matt 17:22.</w:t>
      </w:r>
    </w:p>
  </w:footnote>
  <w:footnote w:id="15075">
    <w:p>
      <w:pPr>
        <w:pStyle w:val="FootnoteText"/>
      </w:pPr>
      <w:r>
        <w:rPr>
          <w:rStyle w:val="FootnoteReference"/>
        </w:rPr>
        <w:footnoteRef/>
      </w:r>
      <w:r>
        <w:t xml:space="preserve"> Cross-references for "openly": John 16:25; John 16:29.</w:t>
      </w:r>
    </w:p>
  </w:footnote>
  <w:footnote w:id="15076">
    <w:p>
      <w:pPr>
        <w:pStyle w:val="FootnoteText"/>
      </w:pPr>
      <w:r>
        <w:rPr>
          <w:rStyle w:val="FootnoteReference"/>
        </w:rPr>
        <w:footnoteRef/>
      </w:r>
      <w:r>
        <w:t xml:space="preserve"> Cross-references for "turned": Mark 3:5; Mark 3:34.</w:t>
      </w:r>
    </w:p>
  </w:footnote>
  <w:footnote w:id="15077">
    <w:p>
      <w:pPr>
        <w:pStyle w:val="FootnoteText"/>
      </w:pPr>
      <w:r>
        <w:rPr>
          <w:rStyle w:val="FootnoteReference"/>
        </w:rPr>
        <w:footnoteRef/>
      </w:r>
      <w:r>
        <w:t xml:space="preserve"> Cross-references for "called": Mark 7:14; Luke 9:23.</w:t>
      </w:r>
    </w:p>
  </w:footnote>
  <w:footnote w:id="15078">
    <w:p>
      <w:pPr>
        <w:pStyle w:val="FootnoteText"/>
      </w:pPr>
      <w:r>
        <w:rPr>
          <w:rStyle w:val="FootnoteReference"/>
        </w:rPr>
        <w:footnoteRef/>
      </w:r>
      <w:r>
        <w:t xml:space="preserve"> Cross-references for "will save": Jer 26:20-24; Matt 10:39.</w:t>
      </w:r>
    </w:p>
  </w:footnote>
  <w:footnote w:id="15079">
    <w:p>
      <w:pPr>
        <w:pStyle w:val="FootnoteText"/>
      </w:pPr>
      <w:r>
        <w:rPr>
          <w:rStyle w:val="FootnoteReference"/>
        </w:rPr>
        <w:footnoteRef/>
      </w:r>
      <w:r>
        <w:t xml:space="preserve"> Cross-references for "profit": Job 22:2; Mal 3:14.</w:t>
      </w:r>
    </w:p>
  </w:footnote>
  <w:footnote w:id="15080">
    <w:p>
      <w:pPr>
        <w:pStyle w:val="FootnoteText"/>
      </w:pPr>
      <w:r>
        <w:rPr>
          <w:rStyle w:val="FootnoteReference"/>
        </w:rPr>
        <w:footnoteRef/>
      </w:r>
      <w:r>
        <w:t xml:space="preserve"> Cross-references for "ashamed": Matt 10:32-33; Luke 12:8-9.</w:t>
      </w:r>
    </w:p>
  </w:footnote>
  <w:footnote w:id="15081">
    <w:p>
      <w:pPr>
        <w:pStyle w:val="FootnoteText"/>
      </w:pPr>
      <w:r>
        <w:rPr>
          <w:rStyle w:val="FootnoteReference"/>
        </w:rPr>
        <w:footnoteRef/>
      </w:r>
      <w:r>
        <w:t xml:space="preserve"> Cross-references for "taste": Luke 2:26; John 8:51-52.</w:t>
      </w:r>
    </w:p>
  </w:footnote>
  <w:footnote w:id="15082">
    <w:p>
      <w:pPr>
        <w:pStyle w:val="FootnoteText"/>
      </w:pPr>
      <w:r>
        <w:rPr>
          <w:rStyle w:val="FootnoteReference"/>
        </w:rPr>
        <w:footnoteRef/>
      </w:r>
      <w:r>
        <w:t xml:space="preserve"> Cross-references for "Peter": Mark 5:37; Mark 14:33.</w:t>
      </w:r>
    </w:p>
  </w:footnote>
  <w:footnote w:id="15083">
    <w:p>
      <w:pPr>
        <w:pStyle w:val="FootnoteText"/>
      </w:pPr>
      <w:r>
        <w:rPr>
          <w:rStyle w:val="FootnoteReference"/>
        </w:rPr>
        <w:footnoteRef/>
      </w:r>
      <w:r>
        <w:t xml:space="preserve"> Cross-references for "appeared": Matt 11:13; Matt 17:3-4.</w:t>
      </w:r>
    </w:p>
  </w:footnote>
  <w:footnote w:id="15084">
    <w:p>
      <w:pPr>
        <w:pStyle w:val="FootnoteText"/>
      </w:pPr>
      <w:r>
        <w:rPr>
          <w:rStyle w:val="FootnoteReference"/>
        </w:rPr>
        <w:footnoteRef/>
      </w:r>
      <w:r>
        <w:t xml:space="preserve"> Cross-references for "a cloud": Exod 40:34; 1Kgs 8:10-12.</w:t>
      </w:r>
    </w:p>
  </w:footnote>
  <w:footnote w:id="15085">
    <w:p>
      <w:pPr>
        <w:pStyle w:val="FootnoteText"/>
      </w:pPr>
      <w:r>
        <w:rPr>
          <w:rStyle w:val="FootnoteReference"/>
        </w:rPr>
        <w:footnoteRef/>
      </w:r>
      <w:r>
        <w:t xml:space="preserve"> Cross-references for "he charged": Matt 12:19; Matt 17:9.</w:t>
      </w:r>
    </w:p>
  </w:footnote>
  <w:footnote w:id="15086">
    <w:p>
      <w:pPr>
        <w:pStyle w:val="FootnoteText"/>
      </w:pPr>
      <w:r>
        <w:rPr>
          <w:rStyle w:val="FootnoteReference"/>
        </w:rPr>
        <w:footnoteRef/>
      </w:r>
      <w:r>
        <w:t xml:space="preserve"> Cross-references for "he must": Ps 22:1-31; Ps 69:1-36.</w:t>
      </w:r>
    </w:p>
  </w:footnote>
  <w:footnote w:id="15087">
    <w:p>
      <w:pPr>
        <w:pStyle w:val="FootnoteText"/>
      </w:pPr>
      <w:r>
        <w:rPr>
          <w:rStyle w:val="FootnoteReference"/>
        </w:rPr>
        <w:footnoteRef/>
      </w:r>
      <w:r>
        <w:t xml:space="preserve"> Cross-references for "the scribes": Mark 2:6; Mark 11:28.</w:t>
      </w:r>
    </w:p>
  </w:footnote>
  <w:footnote w:id="15088">
    <w:p>
      <w:pPr>
        <w:pStyle w:val="FootnoteText"/>
      </w:pPr>
      <w:r>
        <w:rPr>
          <w:rStyle w:val="FootnoteReference"/>
        </w:rPr>
        <w:footnoteRef/>
      </w:r>
      <w:r>
        <w:t xml:space="preserve"> Cross-references for "O faithless": Num 14:11; Num 14:22.</w:t>
      </w:r>
    </w:p>
  </w:footnote>
  <w:footnote w:id="15089">
    <w:p>
      <w:pPr>
        <w:pStyle w:val="FootnoteText"/>
      </w:pPr>
      <w:r>
        <w:rPr>
          <w:rStyle w:val="FootnoteReference"/>
        </w:rPr>
        <w:footnoteRef/>
      </w:r>
      <w:r>
        <w:t xml:space="preserve"> Cross-references for "the spirit": Job 1:10-12; Job 2:6-8.</w:t>
      </w:r>
    </w:p>
  </w:footnote>
  <w:footnote w:id="15090">
    <w:p>
      <w:pPr>
        <w:pStyle w:val="FootnoteText"/>
      </w:pPr>
      <w:r>
        <w:rPr>
          <w:rStyle w:val="FootnoteReference"/>
        </w:rPr>
        <w:footnoteRef/>
      </w:r>
      <w:r>
        <w:t xml:space="preserve"> Cross-references for "help": Luke 17:5; Eph 2:8.</w:t>
      </w:r>
    </w:p>
  </w:footnote>
  <w:footnote w:id="15091">
    <w:p>
      <w:pPr>
        <w:pStyle w:val="FootnoteText"/>
      </w:pPr>
      <w:r>
        <w:rPr>
          <w:rStyle w:val="FootnoteReference"/>
        </w:rPr>
        <w:footnoteRef/>
      </w:r>
      <w:r>
        <w:t xml:space="preserve"> Cross-references for "he rebuked": Zech 3:2; Matt 17:18.</w:t>
      </w:r>
    </w:p>
  </w:footnote>
  <w:footnote w:id="15092">
    <w:p>
      <w:pPr>
        <w:pStyle w:val="FootnoteText"/>
      </w:pPr>
      <w:r>
        <w:rPr>
          <w:rStyle w:val="FootnoteReference"/>
        </w:rPr>
        <w:footnoteRef/>
      </w:r>
      <w:r>
        <w:t xml:space="preserve"> Cross-references for "cried": Exod 5:23; Mark 1:26.</w:t>
      </w:r>
    </w:p>
  </w:footnote>
  <w:footnote w:id="15093">
    <w:p>
      <w:pPr>
        <w:pStyle w:val="FootnoteText"/>
      </w:pPr>
      <w:r>
        <w:rPr>
          <w:rStyle w:val="FootnoteReference"/>
        </w:rPr>
        <w:footnoteRef/>
      </w:r>
      <w:r>
        <w:t xml:space="preserve"> Cross-references for "asked": Matt 13:10; Matt 13:36.</w:t>
      </w:r>
    </w:p>
  </w:footnote>
  <w:footnote w:id="15094">
    <w:p>
      <w:pPr>
        <w:pStyle w:val="FootnoteText"/>
      </w:pPr>
      <w:r>
        <w:rPr>
          <w:rStyle w:val="FootnoteReference"/>
        </w:rPr>
        <w:footnoteRef/>
      </w:r>
      <w:r>
        <w:t xml:space="preserve"> Cross-references for "by prayer": 1Kgs 17:20-22; 2Kgs 4:33-34.</w:t>
      </w:r>
    </w:p>
  </w:footnote>
  <w:footnote w:id="15095">
    <w:p>
      <w:pPr>
        <w:pStyle w:val="FootnoteText"/>
      </w:pPr>
      <w:r>
        <w:rPr>
          <w:rStyle w:val="FootnoteReference"/>
        </w:rPr>
        <w:footnoteRef/>
      </w:r>
      <w:r>
        <w:t xml:space="preserve"> Cross-references for "The Son": Matt 16:21; Matt 20:18-19.</w:t>
      </w:r>
    </w:p>
  </w:footnote>
  <w:footnote w:id="15096">
    <w:p>
      <w:pPr>
        <w:pStyle w:val="FootnoteText"/>
      </w:pPr>
      <w:r>
        <w:rPr>
          <w:rStyle w:val="FootnoteReference"/>
        </w:rPr>
        <w:footnoteRef/>
      </w:r>
      <w:r>
        <w:t xml:space="preserve"> Cross-references for "he came": Matt 17:24.</w:t>
      </w:r>
    </w:p>
  </w:footnote>
  <w:footnote w:id="15097">
    <w:p>
      <w:pPr>
        <w:pStyle w:val="FootnoteText"/>
      </w:pPr>
      <w:r>
        <w:rPr>
          <w:rStyle w:val="FootnoteReference"/>
        </w:rPr>
        <w:footnoteRef/>
      </w:r>
      <w:r>
        <w:t xml:space="preserve"> Cross-references for "they had": Matt 18:1-5; Matt 20:21-24.</w:t>
      </w:r>
    </w:p>
  </w:footnote>
  <w:footnote w:id="15098">
    <w:p>
      <w:pPr>
        <w:pStyle w:val="FootnoteText"/>
      </w:pPr>
      <w:r>
        <w:rPr>
          <w:rStyle w:val="FootnoteReference"/>
        </w:rPr>
        <w:footnoteRef/>
      </w:r>
      <w:r>
        <w:t xml:space="preserve"> Cross-references for "receive one": Matt 10:40-42; Matt 18:3-5.</w:t>
      </w:r>
    </w:p>
  </w:footnote>
  <w:footnote w:id="15099">
    <w:p>
      <w:pPr>
        <w:pStyle w:val="FootnoteText"/>
      </w:pPr>
      <w:r>
        <w:rPr>
          <w:rStyle w:val="FootnoteReference"/>
        </w:rPr>
        <w:footnoteRef/>
      </w:r>
      <w:r>
        <w:t xml:space="preserve"> Cross-references for "forbid": Matt 13:28-29; Mark 10:13-14.</w:t>
      </w:r>
    </w:p>
  </w:footnote>
  <w:footnote w:id="15100">
    <w:p>
      <w:pPr>
        <w:pStyle w:val="FootnoteText"/>
      </w:pPr>
      <w:r>
        <w:rPr>
          <w:rStyle w:val="FootnoteReference"/>
        </w:rPr>
        <w:footnoteRef/>
      </w:r>
      <w:r>
        <w:t xml:space="preserve"> Cross-references for "offend": Matt 18:6; Matt 18:10.</w:t>
      </w:r>
    </w:p>
  </w:footnote>
  <w:footnote w:id="15101">
    <w:p>
      <w:pPr>
        <w:pStyle w:val="FootnoteText"/>
      </w:pPr>
      <w:r>
        <w:rPr>
          <w:rStyle w:val="FootnoteReference"/>
        </w:rPr>
        <w:footnoteRef/>
      </w:r>
      <w:r>
        <w:t xml:space="preserve"> Cross-references for "their": Isa 66:24; Mark 9:46.</w:t>
      </w:r>
    </w:p>
  </w:footnote>
  <w:footnote w:id="15102">
    <w:p>
      <w:pPr>
        <w:pStyle w:val="FootnoteText"/>
      </w:pPr>
      <w:r>
        <w:rPr>
          <w:rStyle w:val="FootnoteReference"/>
        </w:rPr>
        <w:footnoteRef/>
      </w:r>
      <w:r>
        <w:t xml:space="preserve"> Cross-references for "and every": Lev 2:13; Ezek 43:24.</w:t>
      </w:r>
    </w:p>
  </w:footnote>
  <w:footnote w:id="15103">
    <w:p>
      <w:pPr>
        <w:pStyle w:val="FootnoteText"/>
      </w:pPr>
      <w:r>
        <w:rPr>
          <w:rStyle w:val="FootnoteReference"/>
        </w:rPr>
        <w:footnoteRef/>
      </w:r>
      <w:r>
        <w:t xml:space="preserve"> Cross-references for "is good": Job 6:6; Matt 5:13.</w:t>
      </w:r>
    </w:p>
  </w:footnote>
  <w:footnote w:id="15104">
    <w:p>
      <w:pPr>
        <w:pStyle w:val="FootnoteText"/>
      </w:pPr>
      <w:r>
        <w:rPr>
          <w:rStyle w:val="FootnoteReference"/>
        </w:rPr>
        <w:footnoteRef/>
      </w:r>
      <w:r>
        <w:t xml:space="preserve"> Cross-references for "he arose": Matt 19:1-12.</w:t>
      </w:r>
    </w:p>
  </w:footnote>
  <w:footnote w:id="15105">
    <w:p>
      <w:pPr>
        <w:pStyle w:val="FootnoteText"/>
      </w:pPr>
      <w:r>
        <w:rPr>
          <w:rStyle w:val="FootnoteReference"/>
        </w:rPr>
        <w:footnoteRef/>
      </w:r>
      <w:r>
        <w:t xml:space="preserve"> Cross-references for "the Pharisees": Matt 9:34; Matt 15:12.</w:t>
      </w:r>
    </w:p>
  </w:footnote>
  <w:footnote w:id="15106">
    <w:p>
      <w:pPr>
        <w:pStyle w:val="FootnoteText"/>
      </w:pPr>
      <w:r>
        <w:rPr>
          <w:rStyle w:val="FootnoteReference"/>
        </w:rPr>
        <w:footnoteRef/>
      </w:r>
      <w:r>
        <w:t xml:space="preserve"> Cross-references for "the beginning": Gen 1:1; 2Pet 3:4.</w:t>
      </w:r>
    </w:p>
  </w:footnote>
  <w:footnote w:id="15107">
    <w:p>
      <w:pPr>
        <w:pStyle w:val="FootnoteText"/>
      </w:pPr>
      <w:r>
        <w:rPr>
          <w:rStyle w:val="FootnoteReference"/>
        </w:rPr>
        <w:footnoteRef/>
      </w:r>
      <w:r>
        <w:t xml:space="preserve"> Cross-references for "one flesh": 1Cor 6:16; Eph 5:28.</w:t>
      </w:r>
    </w:p>
  </w:footnote>
  <w:footnote w:id="15108">
    <w:p>
      <w:pPr>
        <w:pStyle w:val="FootnoteText"/>
      </w:pPr>
      <w:r>
        <w:rPr>
          <w:rStyle w:val="FootnoteReference"/>
        </w:rPr>
        <w:footnoteRef/>
      </w:r>
      <w:r>
        <w:t xml:space="preserve"> Cross-references for "disciples": Exod 10:9-11; Deut 31:12-13.</w:t>
      </w:r>
    </w:p>
  </w:footnote>
  <w:footnote w:id="15109">
    <w:p>
      <w:pPr>
        <w:pStyle w:val="FootnoteText"/>
      </w:pPr>
      <w:r>
        <w:rPr>
          <w:rStyle w:val="FootnoteReference"/>
        </w:rPr>
        <w:footnoteRef/>
      </w:r>
      <w:r>
        <w:t xml:space="preserve"> Cross-references for "running": Matt 28:8; Mark 9:25.</w:t>
      </w:r>
    </w:p>
  </w:footnote>
  <w:footnote w:id="15110">
    <w:p>
      <w:pPr>
        <w:pStyle w:val="FootnoteText"/>
      </w:pPr>
      <w:r>
        <w:rPr>
          <w:rStyle w:val="FootnoteReference"/>
        </w:rPr>
        <w:footnoteRef/>
      </w:r>
      <w:r>
        <w:t xml:space="preserve"> Cross-references for "that is": 1Sam 2:2; Ps 36:7-8.</w:t>
      </w:r>
    </w:p>
  </w:footnote>
  <w:footnote w:id="15111">
    <w:p>
      <w:pPr>
        <w:pStyle w:val="FootnoteText"/>
      </w:pPr>
      <w:r>
        <w:rPr>
          <w:rStyle w:val="FootnoteReference"/>
        </w:rPr>
        <w:footnoteRef/>
      </w:r>
      <w:r>
        <w:t xml:space="preserve"> Cross-references for "commit": Exod 20:12-17; Deut 5:16-24.</w:t>
      </w:r>
    </w:p>
  </w:footnote>
  <w:footnote w:id="15112">
    <w:p>
      <w:pPr>
        <w:pStyle w:val="FootnoteText"/>
      </w:pPr>
      <w:r>
        <w:rPr>
          <w:rStyle w:val="FootnoteReference"/>
        </w:rPr>
        <w:footnoteRef/>
      </w:r>
      <w:r>
        <w:t xml:space="preserve"> Cross-references for "loved": Gen 34:19; Isa 63:8-10.</w:t>
      </w:r>
    </w:p>
  </w:footnote>
  <w:footnote w:id="15113">
    <w:p>
      <w:pPr>
        <w:pStyle w:val="FootnoteText"/>
      </w:pPr>
      <w:r>
        <w:rPr>
          <w:rStyle w:val="FootnoteReference"/>
        </w:rPr>
        <w:footnoteRef/>
      </w:r>
      <w:r>
        <w:t xml:space="preserve"> Cross-references for "looked": Mark 3:5; Mark 5:32.</w:t>
      </w:r>
    </w:p>
  </w:footnote>
  <w:footnote w:id="15114">
    <w:p>
      <w:pPr>
        <w:pStyle w:val="FootnoteText"/>
      </w:pPr>
      <w:r>
        <w:rPr>
          <w:rStyle w:val="FootnoteReference"/>
        </w:rPr>
        <w:footnoteRef/>
      </w:r>
      <w:r>
        <w:t xml:space="preserve"> Cross-references for "astonished": Matt 19:25; Luke 18:26-27.</w:t>
      </w:r>
    </w:p>
  </w:footnote>
  <w:footnote w:id="15115">
    <w:p>
      <w:pPr>
        <w:pStyle w:val="FootnoteText"/>
      </w:pPr>
      <w:r>
        <w:rPr>
          <w:rStyle w:val="FootnoteReference"/>
        </w:rPr>
        <w:footnoteRef/>
      </w:r>
      <w:r>
        <w:t xml:space="preserve"> Cross-references for "With men": Gen 18:13-14; Num 11:21-23.</w:t>
      </w:r>
    </w:p>
  </w:footnote>
  <w:footnote w:id="15116">
    <w:p>
      <w:pPr>
        <w:pStyle w:val="FootnoteText"/>
      </w:pPr>
      <w:r>
        <w:rPr>
          <w:rStyle w:val="FootnoteReference"/>
        </w:rPr>
        <w:footnoteRef/>
      </w:r>
      <w:r>
        <w:t xml:space="preserve"> Cross-references for "with persecutions": Matt 5:11-12; John 16:22-23.</w:t>
      </w:r>
    </w:p>
  </w:footnote>
  <w:footnote w:id="15117">
    <w:p>
      <w:pPr>
        <w:pStyle w:val="FootnoteText"/>
      </w:pPr>
      <w:r>
        <w:rPr>
          <w:rStyle w:val="FootnoteReference"/>
        </w:rPr>
        <w:footnoteRef/>
      </w:r>
      <w:r>
        <w:t xml:space="preserve"> Cross-references for "they were amazed": Zech 3:8; Luke 9:51.</w:t>
      </w:r>
    </w:p>
  </w:footnote>
  <w:footnote w:id="15118">
    <w:p>
      <w:pPr>
        <w:pStyle w:val="FootnoteText"/>
      </w:pPr>
      <w:r>
        <w:rPr>
          <w:rStyle w:val="FootnoteReference"/>
        </w:rPr>
        <w:footnoteRef/>
      </w:r>
      <w:r>
        <w:t xml:space="preserve"> Cross-references for "we go": Acts 20:22.</w:t>
      </w:r>
    </w:p>
  </w:footnote>
  <w:footnote w:id="15119">
    <w:p>
      <w:pPr>
        <w:pStyle w:val="FootnoteText"/>
      </w:pPr>
      <w:r>
        <w:rPr>
          <w:rStyle w:val="FootnoteReference"/>
        </w:rPr>
        <w:footnoteRef/>
      </w:r>
      <w:r>
        <w:t xml:space="preserve"> Cross-references for "mock": Ps 22:6-8; Ps 22:13.</w:t>
      </w:r>
    </w:p>
  </w:footnote>
  <w:footnote w:id="15120">
    <w:p>
      <w:pPr>
        <w:pStyle w:val="FootnoteText"/>
      </w:pPr>
      <w:r>
        <w:rPr>
          <w:rStyle w:val="FootnoteReference"/>
        </w:rPr>
        <w:footnoteRef/>
      </w:r>
      <w:r>
        <w:t xml:space="preserve"> Cross-references for "James": Mark 1:19-20; Mark 5:37.</w:t>
      </w:r>
    </w:p>
  </w:footnote>
  <w:footnote w:id="15121">
    <w:p>
      <w:pPr>
        <w:pStyle w:val="FootnoteText"/>
      </w:pPr>
      <w:r>
        <w:rPr>
          <w:rStyle w:val="FootnoteReference"/>
        </w:rPr>
        <w:footnoteRef/>
      </w:r>
      <w:r>
        <w:t xml:space="preserve"> Cross-references for "drink of the": Ps 75:8; Isa 51:22.</w:t>
      </w:r>
    </w:p>
  </w:footnote>
  <w:footnote w:id="15122">
    <w:p>
      <w:pPr>
        <w:pStyle w:val="FootnoteText"/>
      </w:pPr>
      <w:r>
        <w:rPr>
          <w:rStyle w:val="FootnoteReference"/>
        </w:rPr>
        <w:footnoteRef/>
      </w:r>
      <w:r>
        <w:t xml:space="preserve"> Cross-references for "they came": Matt 20:29-34; Luke 18:35-43.</w:t>
      </w:r>
    </w:p>
  </w:footnote>
  <w:footnote w:id="15123">
    <w:p>
      <w:pPr>
        <w:pStyle w:val="FootnoteText"/>
      </w:pPr>
      <w:r>
        <w:rPr>
          <w:rStyle w:val="FootnoteReference"/>
        </w:rPr>
        <w:footnoteRef/>
      </w:r>
      <w:r>
        <w:t xml:space="preserve"> Name meaning: Bartimaeus (Bar-Timaios) — Son of Timaeus. Blind beggar healed and then followed Jesus.</w:t>
      </w:r>
    </w:p>
  </w:footnote>
  <w:footnote w:id="15124">
    <w:p>
      <w:pPr>
        <w:pStyle w:val="FootnoteText"/>
      </w:pPr>
      <w:r>
        <w:rPr>
          <w:rStyle w:val="FootnoteReference"/>
        </w:rPr>
        <w:footnoteRef/>
      </w:r>
      <w:r>
        <w:t xml:space="preserve"> Personal name: Timaeus. Personal-name meaning: Timaeus — perfect; admirable; honorable. Source form: Timaeus.</w:t>
      </w:r>
    </w:p>
  </w:footnote>
  <w:footnote w:id="15125">
    <w:p>
      <w:pPr>
        <w:pStyle w:val="FootnoteText"/>
      </w:pPr>
      <w:r>
        <w:rPr>
          <w:rStyle w:val="FootnoteReference"/>
        </w:rPr>
        <w:footnoteRef/>
      </w:r>
      <w:r>
        <w:t xml:space="preserve"> Cross-references for "Jesus": Matt 2:23; Matt 21:11.</w:t>
      </w:r>
    </w:p>
  </w:footnote>
  <w:footnote w:id="15126">
    <w:p>
      <w:pPr>
        <w:pStyle w:val="FootnoteText"/>
      </w:pPr>
      <w:r>
        <w:rPr>
          <w:rStyle w:val="FootnoteReference"/>
        </w:rPr>
        <w:footnoteRef/>
      </w:r>
      <w:r>
        <w:t xml:space="preserve"> Cross-references for "stood": Ps 86:15; Ps 145:8.</w:t>
      </w:r>
    </w:p>
  </w:footnote>
  <w:footnote w:id="15127">
    <w:p>
      <w:pPr>
        <w:pStyle w:val="FootnoteText"/>
      </w:pPr>
      <w:r>
        <w:rPr>
          <w:rStyle w:val="FootnoteReference"/>
        </w:rPr>
        <w:footnoteRef/>
      </w:r>
      <w:r>
        <w:t xml:space="preserve"> Transliterated proper noun: Rabboni. Standard English equivalent: Rabboni. Source form: Rabboni. Greek form: ραββονι. Name meaning: my master.</w:t>
      </w:r>
    </w:p>
  </w:footnote>
  <w:footnote w:id="15128">
    <w:p>
      <w:pPr>
        <w:pStyle w:val="FootnoteText"/>
      </w:pPr>
      <w:r>
        <w:rPr>
          <w:rStyle w:val="FootnoteReference"/>
        </w:rPr>
        <w:footnoteRef/>
      </w:r>
      <w:r>
        <w:t xml:space="preserve"> Cross-references for "he received": Ps 33:9; Ps 146:8.</w:t>
      </w:r>
    </w:p>
  </w:footnote>
  <w:footnote w:id="15129">
    <w:p>
      <w:pPr>
        <w:pStyle w:val="FootnoteText"/>
      </w:pPr>
      <w:r>
        <w:rPr>
          <w:rStyle w:val="FootnoteReference"/>
        </w:rPr>
        <w:footnoteRef/>
      </w:r>
      <w:r>
        <w:t xml:space="preserve"> Cross-references for "at the": 2Sam 15:30; Zech 14:4.</w:t>
      </w:r>
    </w:p>
  </w:footnote>
  <w:footnote w:id="15130">
    <w:p>
      <w:pPr>
        <w:pStyle w:val="FootnoteText"/>
      </w:pPr>
      <w:r>
        <w:rPr>
          <w:rStyle w:val="FootnoteReference"/>
        </w:rPr>
        <w:footnoteRef/>
      </w:r>
      <w:r>
        <w:t xml:space="preserve"> Cross-references for "and found": Matt 21:6-7; Matt 26:19.</w:t>
      </w:r>
    </w:p>
  </w:footnote>
  <w:footnote w:id="15131">
    <w:p>
      <w:pPr>
        <w:pStyle w:val="FootnoteText"/>
      </w:pPr>
      <w:r>
        <w:rPr>
          <w:rStyle w:val="FootnoteReference"/>
        </w:rPr>
        <w:footnoteRef/>
      </w:r>
      <w:r>
        <w:t xml:space="preserve"> Cross-references for "the colt": Zech 9:9; Matt 21:4-5.</w:t>
      </w:r>
    </w:p>
  </w:footnote>
  <w:footnote w:id="15132">
    <w:p>
      <w:pPr>
        <w:pStyle w:val="FootnoteText"/>
      </w:pPr>
      <w:r>
        <w:rPr>
          <w:rStyle w:val="FootnoteReference"/>
        </w:rPr>
        <w:footnoteRef/>
      </w:r>
      <w:r>
        <w:t xml:space="preserve"> Cross-references for "Hosanna": Ps 118:25-26; Matt 21:9.</w:t>
      </w:r>
    </w:p>
  </w:footnote>
  <w:footnote w:id="15133">
    <w:p>
      <w:pPr>
        <w:pStyle w:val="FootnoteText"/>
      </w:pPr>
      <w:r>
        <w:rPr>
          <w:rStyle w:val="FootnoteReference"/>
        </w:rPr>
        <w:footnoteRef/>
      </w:r>
      <w:r>
        <w:t xml:space="preserve"> Cross-references for "the kingdom": Isa 9:6-7; Jer 33:15-17.</w:t>
      </w:r>
    </w:p>
  </w:footnote>
  <w:footnote w:id="15134">
    <w:p>
      <w:pPr>
        <w:pStyle w:val="FootnoteText"/>
      </w:pPr>
      <w:r>
        <w:rPr>
          <w:rStyle w:val="FootnoteReference"/>
        </w:rPr>
        <w:footnoteRef/>
      </w:r>
      <w:r>
        <w:t xml:space="preserve"> Cross-references for "Jesus": Mal 3:1; Matt 21:10-16.</w:t>
      </w:r>
    </w:p>
  </w:footnote>
  <w:footnote w:id="15135">
    <w:p>
      <w:pPr>
        <w:pStyle w:val="FootnoteText"/>
      </w:pPr>
      <w:r>
        <w:rPr>
          <w:rStyle w:val="FootnoteReference"/>
        </w:rPr>
        <w:footnoteRef/>
      </w:r>
      <w:r>
        <w:t xml:space="preserve"> Cross-references for "seeing": Matt 21:19; Luke 13:6-9.</w:t>
      </w:r>
    </w:p>
  </w:footnote>
  <w:footnote w:id="15136">
    <w:p>
      <w:pPr>
        <w:pStyle w:val="FootnoteText"/>
      </w:pPr>
      <w:r>
        <w:rPr>
          <w:rStyle w:val="FootnoteReference"/>
        </w:rPr>
        <w:footnoteRef/>
      </w:r>
      <w:r>
        <w:t xml:space="preserve"> Cross-references for "and Jesus": Matt 21:12-16; Luke 19:45.</w:t>
      </w:r>
    </w:p>
  </w:footnote>
  <w:footnote w:id="15137">
    <w:p>
      <w:pPr>
        <w:pStyle w:val="FootnoteText"/>
      </w:pPr>
      <w:r>
        <w:rPr>
          <w:rStyle w:val="FootnoteReference"/>
        </w:rPr>
        <w:footnoteRef/>
      </w:r>
      <w:r>
        <w:t xml:space="preserve"> Cross-references for "Is it": 1Kgs 8:41-48; Isa 56:7.</w:t>
      </w:r>
    </w:p>
  </w:footnote>
  <w:footnote w:id="15138">
    <w:p>
      <w:pPr>
        <w:pStyle w:val="FootnoteText"/>
      </w:pPr>
      <w:r>
        <w:rPr>
          <w:rStyle w:val="FootnoteReference"/>
        </w:rPr>
        <w:footnoteRef/>
      </w:r>
      <w:r>
        <w:t xml:space="preserve"> Cross-references for "feared": 1Kgs 18:17-18; 1Kgs 21:20.</w:t>
      </w:r>
    </w:p>
  </w:footnote>
  <w:footnote w:id="15139">
    <w:p>
      <w:pPr>
        <w:pStyle w:val="FootnoteText"/>
      </w:pPr>
      <w:r>
        <w:rPr>
          <w:rStyle w:val="FootnoteReference"/>
        </w:rPr>
        <w:footnoteRef/>
      </w:r>
      <w:r>
        <w:t xml:space="preserve"> Cross-references for "faith in God": Col 2:12.</w:t>
      </w:r>
    </w:p>
  </w:footnote>
  <w:footnote w:id="15140">
    <w:p>
      <w:pPr>
        <w:pStyle w:val="FootnoteText"/>
      </w:pPr>
      <w:r>
        <w:rPr>
          <w:rStyle w:val="FootnoteReference"/>
        </w:rPr>
        <w:footnoteRef/>
      </w:r>
      <w:r>
        <w:t xml:space="preserve"> Cross-references for "and shall": Matt 14:13; Rom 4:18-25.</w:t>
      </w:r>
    </w:p>
  </w:footnote>
  <w:footnote w:id="15141">
    <w:p>
      <w:pPr>
        <w:pStyle w:val="FootnoteText"/>
      </w:pPr>
      <w:r>
        <w:rPr>
          <w:rStyle w:val="FootnoteReference"/>
        </w:rPr>
        <w:footnoteRef/>
      </w:r>
      <w:r>
        <w:t xml:space="preserve"> Cross-references for "stand": Zech 3:1; Luke 18:11.</w:t>
      </w:r>
    </w:p>
  </w:footnote>
  <w:footnote w:id="15142">
    <w:p>
      <w:pPr>
        <w:pStyle w:val="FootnoteText"/>
      </w:pPr>
      <w:r>
        <w:rPr>
          <w:rStyle w:val="FootnoteReference"/>
        </w:rPr>
        <w:footnoteRef/>
      </w:r>
      <w:r>
        <w:t xml:space="preserve"> Cross-references for "as he": Mal 3:1; Matt 21:23-27.</w:t>
      </w:r>
    </w:p>
  </w:footnote>
  <w:footnote w:id="15143">
    <w:p>
      <w:pPr>
        <w:pStyle w:val="FootnoteText"/>
      </w:pPr>
      <w:r>
        <w:rPr>
          <w:rStyle w:val="FootnoteReference"/>
        </w:rPr>
        <w:footnoteRef/>
      </w:r>
      <w:r>
        <w:t xml:space="preserve"> Cross-references for "he began": Ezek 20:49; Matt 13:10-15.</w:t>
      </w:r>
    </w:p>
  </w:footnote>
  <w:footnote w:id="15144">
    <w:p>
      <w:pPr>
        <w:pStyle w:val="FootnoteText"/>
      </w:pPr>
      <w:r>
        <w:rPr>
          <w:rStyle w:val="FootnoteReference"/>
        </w:rPr>
        <w:footnoteRef/>
      </w:r>
      <w:r>
        <w:t xml:space="preserve"> Cross-references for "and sent": Jer 44:4-5; Jer 44:16.</w:t>
      </w:r>
    </w:p>
  </w:footnote>
  <w:footnote w:id="15145">
    <w:p>
      <w:pPr>
        <w:pStyle w:val="FootnoteText"/>
      </w:pPr>
      <w:r>
        <w:rPr>
          <w:rStyle w:val="FootnoteReference"/>
        </w:rPr>
        <w:footnoteRef/>
      </w:r>
      <w:r>
        <w:t xml:space="preserve"> Cross-references for "and him": Neh 9:30; Jer 7:25-28.</w:t>
      </w:r>
    </w:p>
  </w:footnote>
  <w:footnote w:id="15146">
    <w:p>
      <w:pPr>
        <w:pStyle w:val="FootnoteText"/>
      </w:pPr>
      <w:r>
        <w:rPr>
          <w:rStyle w:val="FootnoteReference"/>
        </w:rPr>
        <w:footnoteRef/>
      </w:r>
      <w:r>
        <w:t xml:space="preserve"> Cross-references for "cast": Matt 21:33; Matt 21:39.</w:t>
      </w:r>
    </w:p>
  </w:footnote>
  <w:footnote w:id="15147">
    <w:p>
      <w:pPr>
        <w:pStyle w:val="FootnoteText"/>
      </w:pPr>
      <w:r>
        <w:rPr>
          <w:rStyle w:val="FootnoteReference"/>
        </w:rPr>
        <w:footnoteRef/>
      </w:r>
      <w:r>
        <w:t xml:space="preserve"> Cross-references for "and will": Isa 29:17; Isa 32:15-16.</w:t>
      </w:r>
    </w:p>
  </w:footnote>
  <w:footnote w:id="15148">
    <w:p>
      <w:pPr>
        <w:pStyle w:val="FootnoteText"/>
      </w:pPr>
      <w:r>
        <w:rPr>
          <w:rStyle w:val="FootnoteReference"/>
        </w:rPr>
        <w:footnoteRef/>
      </w:r>
      <w:r>
        <w:t xml:space="preserve"> Cross-references for "The stone": Ps 118:22-23; Isa 28:16.</w:t>
      </w:r>
    </w:p>
  </w:footnote>
  <w:footnote w:id="15149">
    <w:p>
      <w:pPr>
        <w:pStyle w:val="FootnoteText"/>
      </w:pPr>
      <w:r>
        <w:rPr>
          <w:rStyle w:val="FootnoteReference"/>
        </w:rPr>
        <w:footnoteRef/>
      </w:r>
      <w:r>
        <w:t xml:space="preserve"> Cross-references for "feared": Matt 21:26; Matt 21:45-46.</w:t>
      </w:r>
    </w:p>
  </w:footnote>
  <w:footnote w:id="15150">
    <w:p>
      <w:pPr>
        <w:pStyle w:val="FootnoteText"/>
      </w:pPr>
      <w:r>
        <w:rPr>
          <w:rStyle w:val="FootnoteReference"/>
        </w:rPr>
        <w:footnoteRef/>
      </w:r>
      <w:r>
        <w:t xml:space="preserve"> Cross-references for "they send": Ps 38:12; Ps 56:5-6.</w:t>
      </w:r>
    </w:p>
  </w:footnote>
  <w:footnote w:id="15151">
    <w:p>
      <w:pPr>
        <w:pStyle w:val="FootnoteText"/>
      </w:pPr>
      <w:r>
        <w:rPr>
          <w:rStyle w:val="FootnoteReference"/>
        </w:rPr>
        <w:footnoteRef/>
      </w:r>
      <w:r>
        <w:t xml:space="preserve"> Cross-references for "Is it": Ezra 4:12-13; Neh 9:37.</w:t>
      </w:r>
    </w:p>
  </w:footnote>
  <w:footnote w:id="15152">
    <w:p>
      <w:pPr>
        <w:pStyle w:val="FootnoteText"/>
      </w:pPr>
      <w:r>
        <w:rPr>
          <w:rStyle w:val="FootnoteReference"/>
        </w:rPr>
        <w:footnoteRef/>
      </w:r>
      <w:r>
        <w:t xml:space="preserve"> Cross-references for "knowing": Matt 22:18; Luke 20:23.</w:t>
      </w:r>
    </w:p>
  </w:footnote>
  <w:footnote w:id="15153">
    <w:p>
      <w:pPr>
        <w:pStyle w:val="FootnoteText"/>
      </w:pPr>
      <w:r>
        <w:rPr>
          <w:rStyle w:val="FootnoteReference"/>
        </w:rPr>
        <w:footnoteRef/>
      </w:r>
      <w:r>
        <w:t xml:space="preserve"> Cross-references for "image": Matt 22:19-22; Luke 20:24-26.</w:t>
      </w:r>
    </w:p>
  </w:footnote>
  <w:footnote w:id="15154">
    <w:p>
      <w:pPr>
        <w:pStyle w:val="FootnoteText"/>
      </w:pPr>
      <w:r>
        <w:rPr>
          <w:rStyle w:val="FootnoteReference"/>
        </w:rPr>
        <w:footnoteRef/>
      </w:r>
      <w:r>
        <w:t xml:space="preserve"> Cross-references for "Render": Prov 24:21; Matt 17:25-27.</w:t>
      </w:r>
    </w:p>
  </w:footnote>
  <w:footnote w:id="15155">
    <w:p>
      <w:pPr>
        <w:pStyle w:val="FootnoteText"/>
      </w:pPr>
      <w:r>
        <w:rPr>
          <w:rStyle w:val="FootnoteReference"/>
        </w:rPr>
        <w:footnoteRef/>
      </w:r>
      <w:r>
        <w:t xml:space="preserve"> Cross-references for "in the book": Exod 3:2-6; Exod 3:16.</w:t>
      </w:r>
    </w:p>
  </w:footnote>
  <w:footnote w:id="15156">
    <w:p>
      <w:pPr>
        <w:pStyle w:val="FootnoteText"/>
      </w:pPr>
      <w:r>
        <w:rPr>
          <w:rStyle w:val="FootnoteReference"/>
        </w:rPr>
        <w:footnoteRef/>
      </w:r>
      <w:r>
        <w:t xml:space="preserve"> Cross-references for "Hear": Deut 6:4; Deut 10:12.</w:t>
      </w:r>
    </w:p>
  </w:footnote>
  <w:footnote w:id="15157">
    <w:p>
      <w:pPr>
        <w:pStyle w:val="FootnoteText"/>
      </w:pPr>
      <w:r>
        <w:rPr>
          <w:rStyle w:val="FootnoteReference"/>
        </w:rPr>
        <w:footnoteRef/>
      </w:r>
      <w:r>
        <w:t xml:space="preserve"> Cross-references for "is more": 1Sam 15:22; Ps 50:8-15.</w:t>
      </w:r>
    </w:p>
  </w:footnote>
  <w:footnote w:id="15158">
    <w:p>
      <w:pPr>
        <w:pStyle w:val="FootnoteText"/>
      </w:pPr>
      <w:r>
        <w:rPr>
          <w:rStyle w:val="FootnoteReference"/>
        </w:rPr>
        <w:footnoteRef/>
      </w:r>
      <w:r>
        <w:t xml:space="preserve"> Cross-references for "And no": Job 32:15-16; Matt 22:46.</w:t>
      </w:r>
    </w:p>
  </w:footnote>
  <w:footnote w:id="15159">
    <w:p>
      <w:pPr>
        <w:pStyle w:val="FootnoteText"/>
      </w:pPr>
      <w:r>
        <w:rPr>
          <w:rStyle w:val="FootnoteReference"/>
        </w:rPr>
        <w:footnoteRef/>
      </w:r>
      <w:r>
        <w:t xml:space="preserve"> Cross-references for "The Lord": Ps 110:1; Acts 2:34-36.</w:t>
      </w:r>
    </w:p>
  </w:footnote>
  <w:footnote w:id="15160">
    <w:p>
      <w:pPr>
        <w:pStyle w:val="FootnoteText"/>
      </w:pPr>
      <w:r>
        <w:rPr>
          <w:rStyle w:val="FootnoteReference"/>
        </w:rPr>
        <w:footnoteRef/>
      </w:r>
      <w:r>
        <w:t xml:space="preserve"> Cross-references for "said": Mark 4:2.</w:t>
      </w:r>
    </w:p>
  </w:footnote>
  <w:footnote w:id="15161">
    <w:p>
      <w:pPr>
        <w:pStyle w:val="FootnoteText"/>
      </w:pPr>
      <w:r>
        <w:rPr>
          <w:rStyle w:val="FootnoteReference"/>
        </w:rPr>
        <w:footnoteRef/>
      </w:r>
      <w:r>
        <w:t xml:space="preserve"> Cross-references for "devour": Ezek 22:25; Mic 2:2.</w:t>
      </w:r>
    </w:p>
  </w:footnote>
  <w:footnote w:id="15162">
    <w:p>
      <w:pPr>
        <w:pStyle w:val="FootnoteText"/>
      </w:pPr>
      <w:r>
        <w:rPr>
          <w:rStyle w:val="FootnoteReference"/>
        </w:rPr>
        <w:footnoteRef/>
      </w:r>
      <w:r>
        <w:t xml:space="preserve"> Cross-references for "money": Matt 10:9.</w:t>
      </w:r>
    </w:p>
  </w:footnote>
  <w:footnote w:id="15163">
    <w:p>
      <w:pPr>
        <w:pStyle w:val="FootnoteText"/>
      </w:pPr>
      <w:r>
        <w:rPr>
          <w:rStyle w:val="FootnoteReference"/>
        </w:rPr>
        <w:footnoteRef/>
      </w:r>
      <w:r>
        <w:t xml:space="preserve"> Cross-references for "all her": Deut 24:6; Luke 8:43.</w:t>
      </w:r>
    </w:p>
  </w:footnote>
  <w:footnote w:id="15164">
    <w:p>
      <w:pPr>
        <w:pStyle w:val="FootnoteText"/>
      </w:pPr>
      <w:r>
        <w:rPr>
          <w:rStyle w:val="FootnoteReference"/>
        </w:rPr>
        <w:footnoteRef/>
      </w:r>
      <w:r>
        <w:t xml:space="preserve"> Cross-references for "as he": Matt 24:1-2; Luke 21:5-7.</w:t>
      </w:r>
    </w:p>
  </w:footnote>
  <w:footnote w:id="15165">
    <w:p>
      <w:pPr>
        <w:pStyle w:val="FootnoteText"/>
      </w:pPr>
      <w:r>
        <w:rPr>
          <w:rStyle w:val="FootnoteReference"/>
        </w:rPr>
        <w:footnoteRef/>
      </w:r>
      <w:r>
        <w:t xml:space="preserve"> Cross-references for "Peter": Mark 1:16-19; Mark 5:37.</w:t>
      </w:r>
    </w:p>
  </w:footnote>
  <w:footnote w:id="15166">
    <w:p>
      <w:pPr>
        <w:pStyle w:val="FootnoteText"/>
      </w:pPr>
      <w:r>
        <w:rPr>
          <w:rStyle w:val="FootnoteReference"/>
        </w:rPr>
        <w:footnoteRef/>
      </w:r>
      <w:r>
        <w:t xml:space="preserve"> Cross-references for "Take": Jer 29:8; Matt 24:4-5.</w:t>
      </w:r>
    </w:p>
  </w:footnote>
  <w:footnote w:id="15167">
    <w:p>
      <w:pPr>
        <w:pStyle w:val="FootnoteText"/>
      </w:pPr>
      <w:r>
        <w:rPr>
          <w:rStyle w:val="FootnoteReference"/>
        </w:rPr>
        <w:footnoteRef/>
      </w:r>
      <w:r>
        <w:t xml:space="preserve"> Cross-references for "and shall": Matt 24:5; Matt 24:11.</w:t>
      </w:r>
    </w:p>
  </w:footnote>
  <w:footnote w:id="15168">
    <w:p>
      <w:pPr>
        <w:pStyle w:val="FootnoteText"/>
      </w:pPr>
      <w:r>
        <w:rPr>
          <w:rStyle w:val="FootnoteReference"/>
        </w:rPr>
        <w:footnoteRef/>
      </w:r>
      <w:r>
        <w:t xml:space="preserve"> Cross-references for "must": 2Sam 14:14; Matt 18:7.</w:t>
      </w:r>
    </w:p>
  </w:footnote>
  <w:footnote w:id="15169">
    <w:p>
      <w:pPr>
        <w:pStyle w:val="FootnoteText"/>
      </w:pPr>
      <w:r>
        <w:rPr>
          <w:rStyle w:val="FootnoteReference"/>
        </w:rPr>
        <w:footnoteRef/>
      </w:r>
      <w:r>
        <w:t xml:space="preserve"> Cross-references for "nation shall": 2Chr 15:6; Isa 19:2.</w:t>
      </w:r>
    </w:p>
  </w:footnote>
  <w:footnote w:id="15170">
    <w:p>
      <w:pPr>
        <w:pStyle w:val="FootnoteText"/>
      </w:pPr>
      <w:r>
        <w:rPr>
          <w:rStyle w:val="FootnoteReference"/>
        </w:rPr>
        <w:footnoteRef/>
      </w:r>
      <w:r>
        <w:t xml:space="preserve"> Cross-references for "take": Matt 10:17-18; Matt 23:34-37.</w:t>
      </w:r>
    </w:p>
  </w:footnote>
  <w:footnote w:id="15171">
    <w:p>
      <w:pPr>
        <w:pStyle w:val="FootnoteText"/>
      </w:pPr>
      <w:r>
        <w:rPr>
          <w:rStyle w:val="FootnoteReference"/>
        </w:rPr>
        <w:footnoteRef/>
      </w:r>
      <w:r>
        <w:t xml:space="preserve"> Cross-references for "and deliver": Matt 10:17; Matt 10:21.</w:t>
      </w:r>
    </w:p>
  </w:footnote>
  <w:footnote w:id="15172">
    <w:p>
      <w:pPr>
        <w:pStyle w:val="FootnoteText"/>
      </w:pPr>
      <w:r>
        <w:rPr>
          <w:rStyle w:val="FootnoteReference"/>
        </w:rPr>
        <w:footnoteRef/>
      </w:r>
      <w:r>
        <w:t xml:space="preserve"> Cross-references for "the abomination": Dan 8:13; Dan 9:27.</w:t>
      </w:r>
    </w:p>
  </w:footnote>
  <w:footnote w:id="15173">
    <w:p>
      <w:pPr>
        <w:pStyle w:val="FootnoteText"/>
      </w:pPr>
      <w:r>
        <w:rPr>
          <w:rStyle w:val="FootnoteReference"/>
        </w:rPr>
        <w:footnoteRef/>
      </w:r>
      <w:r>
        <w:t xml:space="preserve"> Cross-references for "in those": Deut 28:59; Deut 29:22-28.</w:t>
      </w:r>
    </w:p>
  </w:footnote>
  <w:footnote w:id="15174">
    <w:p>
      <w:pPr>
        <w:pStyle w:val="FootnoteText"/>
      </w:pPr>
      <w:r>
        <w:rPr>
          <w:rStyle w:val="FootnoteReference"/>
        </w:rPr>
        <w:footnoteRef/>
      </w:r>
      <w:r>
        <w:t xml:space="preserve"> Cross-references for "if it": Matt 24:24; Mark 13:6.</w:t>
      </w:r>
    </w:p>
  </w:footnote>
  <w:footnote w:id="15175">
    <w:p>
      <w:pPr>
        <w:pStyle w:val="FootnoteText"/>
      </w:pPr>
      <w:r>
        <w:rPr>
          <w:rStyle w:val="FootnoteReference"/>
        </w:rPr>
        <w:footnoteRef/>
      </w:r>
      <w:r>
        <w:t xml:space="preserve"> Cross-references for "take": Matt 7:15; Mark 13:5.</w:t>
      </w:r>
    </w:p>
  </w:footnote>
  <w:footnote w:id="15176">
    <w:p>
      <w:pPr>
        <w:pStyle w:val="FootnoteText"/>
      </w:pPr>
      <w:r>
        <w:rPr>
          <w:rStyle w:val="FootnoteReference"/>
        </w:rPr>
        <w:footnoteRef/>
      </w:r>
      <w:r>
        <w:t xml:space="preserve"> Cross-references for "shall gather": Gen 49:10; Matt 25:31-32.</w:t>
      </w:r>
    </w:p>
  </w:footnote>
  <w:footnote w:id="15177">
    <w:p>
      <w:pPr>
        <w:pStyle w:val="FootnoteText"/>
      </w:pPr>
      <w:r>
        <w:rPr>
          <w:rStyle w:val="FootnoteReference"/>
        </w:rPr>
        <w:footnoteRef/>
      </w:r>
      <w:r>
        <w:t xml:space="preserve"> Cross-references for "know": Ezek 7:10-12; Ezek 12:25-28.</w:t>
      </w:r>
    </w:p>
  </w:footnote>
  <w:footnote w:id="15178">
    <w:p>
      <w:pPr>
        <w:pStyle w:val="FootnoteText"/>
      </w:pPr>
      <w:r>
        <w:rPr>
          <w:rStyle w:val="FootnoteReference"/>
        </w:rPr>
        <w:footnoteRef/>
      </w:r>
      <w:r>
        <w:t xml:space="preserve"> Cross-references for "Heaven": Ps 102:25-27; Isa 51:6.</w:t>
      </w:r>
    </w:p>
  </w:footnote>
  <w:footnote w:id="15179">
    <w:p>
      <w:pPr>
        <w:pStyle w:val="FootnoteText"/>
      </w:pPr>
      <w:r>
        <w:rPr>
          <w:rStyle w:val="FootnoteReference"/>
        </w:rPr>
        <w:footnoteRef/>
      </w:r>
      <w:r>
        <w:t xml:space="preserve"> Cross-references for "as a": Matt 24:45; Matt 25:14-30.</w:t>
      </w:r>
    </w:p>
  </w:footnote>
  <w:footnote w:id="15180">
    <w:p>
      <w:pPr>
        <w:pStyle w:val="FootnoteText"/>
      </w:pPr>
      <w:r>
        <w:rPr>
          <w:rStyle w:val="FootnoteReference"/>
        </w:rPr>
        <w:footnoteRef/>
      </w:r>
      <w:r>
        <w:t xml:space="preserve"> Cross-references for "he find": Prov 6:9-11; Prov 24:33-34.</w:t>
      </w:r>
    </w:p>
  </w:footnote>
  <w:footnote w:id="15181">
    <w:p>
      <w:pPr>
        <w:pStyle w:val="FootnoteText"/>
      </w:pPr>
      <w:r>
        <w:rPr>
          <w:rStyle w:val="FootnoteReference"/>
        </w:rPr>
        <w:footnoteRef/>
      </w:r>
      <w:r>
        <w:t xml:space="preserve"> Cross-references for "the Passover": Exod 12:6-20; Lev 23:5-7.</w:t>
      </w:r>
    </w:p>
  </w:footnote>
  <w:footnote w:id="15182">
    <w:p>
      <w:pPr>
        <w:pStyle w:val="FootnoteText"/>
      </w:pPr>
      <w:r>
        <w:rPr>
          <w:rStyle w:val="FootnoteReference"/>
        </w:rPr>
        <w:footnoteRef/>
      </w:r>
      <w:r>
        <w:t xml:space="preserve"> Cross-references for "of ointment": Song 4:13-14; Song 5:5.</w:t>
      </w:r>
    </w:p>
  </w:footnote>
  <w:footnote w:id="15183">
    <w:p>
      <w:pPr>
        <w:pStyle w:val="FootnoteText"/>
      </w:pPr>
      <w:r>
        <w:rPr>
          <w:rStyle w:val="FootnoteReference"/>
        </w:rPr>
        <w:footnoteRef/>
      </w:r>
      <w:r>
        <w:t xml:space="preserve"> Cross-references for "have been given": John 12:5-6; John 13:29.</w:t>
      </w:r>
    </w:p>
  </w:footnote>
  <w:footnote w:id="15184">
    <w:p>
      <w:pPr>
        <w:pStyle w:val="FootnoteText"/>
      </w:pPr>
      <w:r>
        <w:rPr>
          <w:rStyle w:val="FootnoteReference"/>
        </w:rPr>
        <w:footnoteRef/>
      </w:r>
      <w:r>
        <w:t xml:space="preserve"> Cross-references for "a good": Matt 26:10; John 10:32-33.</w:t>
      </w:r>
    </w:p>
  </w:footnote>
  <w:footnote w:id="15185">
    <w:p>
      <w:pPr>
        <w:pStyle w:val="FootnoteText"/>
      </w:pPr>
      <w:r>
        <w:rPr>
          <w:rStyle w:val="FootnoteReference"/>
        </w:rPr>
        <w:footnoteRef/>
      </w:r>
      <w:r>
        <w:t xml:space="preserve"> Cross-references for "a memorial": Num 31:54; Ps 112:6-9.</w:t>
      </w:r>
    </w:p>
  </w:footnote>
  <w:footnote w:id="15186">
    <w:p>
      <w:pPr>
        <w:pStyle w:val="FootnoteText"/>
      </w:pPr>
      <w:r>
        <w:rPr>
          <w:rStyle w:val="FootnoteReference"/>
        </w:rPr>
        <w:footnoteRef/>
      </w:r>
      <w:r>
        <w:t xml:space="preserve"> Cross-references for "Judas": Matt 26:14-16; Luke 22:3-6.</w:t>
      </w:r>
    </w:p>
  </w:footnote>
  <w:footnote w:id="15187">
    <w:p>
      <w:pPr>
        <w:pStyle w:val="FootnoteText"/>
      </w:pPr>
      <w:r>
        <w:rPr>
          <w:rStyle w:val="FootnoteReference"/>
        </w:rPr>
        <w:footnoteRef/>
      </w:r>
      <w:r>
        <w:t xml:space="preserve"> Cross-references for "they were": Hos 7:3; Luke 22:5.</w:t>
      </w:r>
    </w:p>
  </w:footnote>
  <w:footnote w:id="15188">
    <w:p>
      <w:pPr>
        <w:pStyle w:val="FootnoteText"/>
      </w:pPr>
      <w:r>
        <w:rPr>
          <w:rStyle w:val="FootnoteReference"/>
        </w:rPr>
        <w:footnoteRef/>
      </w:r>
      <w:r>
        <w:t xml:space="preserve"> Cross-references for "the first": Exod 12:6; Exod 12:8.</w:t>
      </w:r>
    </w:p>
  </w:footnote>
  <w:footnote w:id="15189">
    <w:p>
      <w:pPr>
        <w:pStyle w:val="FootnoteText"/>
      </w:pPr>
      <w:r>
        <w:rPr>
          <w:rStyle w:val="FootnoteReference"/>
        </w:rPr>
        <w:footnoteRef/>
      </w:r>
      <w:r>
        <w:t xml:space="preserve"> Cross-references for "where I": Rev 3:20.</w:t>
      </w:r>
    </w:p>
  </w:footnote>
  <w:footnote w:id="15190">
    <w:p>
      <w:pPr>
        <w:pStyle w:val="FootnoteText"/>
      </w:pPr>
      <w:r>
        <w:rPr>
          <w:rStyle w:val="FootnoteReference"/>
        </w:rPr>
        <w:footnoteRef/>
      </w:r>
      <w:r>
        <w:t xml:space="preserve"> Cross-references for "upper": Acts 1:13; Acts 20:8.</w:t>
      </w:r>
    </w:p>
  </w:footnote>
  <w:footnote w:id="15191">
    <w:p>
      <w:pPr>
        <w:pStyle w:val="FootnoteText"/>
      </w:pPr>
      <w:r>
        <w:rPr>
          <w:rStyle w:val="FootnoteReference"/>
        </w:rPr>
        <w:footnoteRef/>
      </w:r>
      <w:r>
        <w:t xml:space="preserve"> Cross-references for "and found": Luke 22:13; Luke 22:35.</w:t>
      </w:r>
    </w:p>
  </w:footnote>
  <w:footnote w:id="15192">
    <w:p>
      <w:pPr>
        <w:pStyle w:val="FootnoteText"/>
      </w:pPr>
      <w:r>
        <w:rPr>
          <w:rStyle w:val="FootnoteReference"/>
        </w:rPr>
        <w:footnoteRef/>
      </w:r>
      <w:r>
        <w:t xml:space="preserve"> Cross-references for "good": Matt 18:6-7; Matt 26:24-25.</w:t>
      </w:r>
    </w:p>
  </w:footnote>
  <w:footnote w:id="15193">
    <w:p>
      <w:pPr>
        <w:pStyle w:val="FootnoteText"/>
      </w:pPr>
      <w:r>
        <w:rPr>
          <w:rStyle w:val="FootnoteReference"/>
        </w:rPr>
        <w:footnoteRef/>
      </w:r>
      <w:r>
        <w:t xml:space="preserve"> Cross-references for "and blessed": Mark 6:41; Luke 24:30.</w:t>
      </w:r>
    </w:p>
  </w:footnote>
  <w:footnote w:id="15194">
    <w:p>
      <w:pPr>
        <w:pStyle w:val="FootnoteText"/>
      </w:pPr>
      <w:r>
        <w:rPr>
          <w:rStyle w:val="FootnoteReference"/>
        </w:rPr>
        <w:footnoteRef/>
      </w:r>
      <w:r>
        <w:t xml:space="preserve"> Cross-references for "sung": Ps 47:6-7; Acts 16:25.</w:t>
      </w:r>
    </w:p>
  </w:footnote>
  <w:footnote w:id="15195">
    <w:p>
      <w:pPr>
        <w:pStyle w:val="FootnoteText"/>
      </w:pPr>
      <w:r>
        <w:rPr>
          <w:rStyle w:val="FootnoteReference"/>
        </w:rPr>
        <w:footnoteRef/>
      </w:r>
      <w:r>
        <w:t xml:space="preserve"> Cross-references for "Although": Matt 26:33-35; Luke 22:33-34.</w:t>
      </w:r>
    </w:p>
  </w:footnote>
  <w:footnote w:id="15196">
    <w:p>
      <w:pPr>
        <w:pStyle w:val="FootnoteText"/>
      </w:pPr>
      <w:r>
        <w:rPr>
          <w:rStyle w:val="FootnoteReference"/>
        </w:rPr>
        <w:footnoteRef/>
      </w:r>
      <w:r>
        <w:t xml:space="preserve"> Cross-references for "this day": Gen 1:5; Gen 1:8.</w:t>
      </w:r>
    </w:p>
  </w:footnote>
  <w:footnote w:id="15197">
    <w:p>
      <w:pPr>
        <w:pStyle w:val="FootnoteText"/>
      </w:pPr>
      <w:r>
        <w:rPr>
          <w:rStyle w:val="FootnoteReference"/>
        </w:rPr>
        <w:footnoteRef/>
      </w:r>
      <w:r>
        <w:t xml:space="preserve"> Cross-references for "Likewise": Exod 19:8; Deut 5:27-29.</w:t>
      </w:r>
    </w:p>
  </w:footnote>
  <w:footnote w:id="15198">
    <w:p>
      <w:pPr>
        <w:pStyle w:val="FootnoteText"/>
      </w:pPr>
      <w:r>
        <w:rPr>
          <w:rStyle w:val="FootnoteReference"/>
        </w:rPr>
        <w:footnoteRef/>
      </w:r>
      <w:r>
        <w:t xml:space="preserve"> Cross-references for "they came": Matt 26:36-46; Luke 22:39.</w:t>
      </w:r>
    </w:p>
  </w:footnote>
  <w:footnote w:id="15199">
    <w:p>
      <w:pPr>
        <w:pStyle w:val="FootnoteText"/>
      </w:pPr>
      <w:r>
        <w:rPr>
          <w:rStyle w:val="FootnoteReference"/>
        </w:rPr>
        <w:footnoteRef/>
      </w:r>
      <w:r>
        <w:t xml:space="preserve"> Cross-references for "Peter": Mark 1:16-19; Mark 5:37.</w:t>
      </w:r>
    </w:p>
  </w:footnote>
  <w:footnote w:id="15200">
    <w:p>
      <w:pPr>
        <w:pStyle w:val="FootnoteText"/>
      </w:pPr>
      <w:r>
        <w:rPr>
          <w:rStyle w:val="FootnoteReference"/>
        </w:rPr>
        <w:footnoteRef/>
      </w:r>
      <w:r>
        <w:t xml:space="preserve"> Cross-references for "My soul": Isa 53:3-4; Isa 53:12.</w:t>
      </w:r>
    </w:p>
  </w:footnote>
  <w:footnote w:id="15201">
    <w:p>
      <w:pPr>
        <w:pStyle w:val="FootnoteText"/>
      </w:pPr>
      <w:r>
        <w:rPr>
          <w:rStyle w:val="FootnoteReference"/>
        </w:rPr>
        <w:footnoteRef/>
      </w:r>
      <w:r>
        <w:t xml:space="preserve"> Cross-references for "and fell": Gen 17:3; Deut 9:18.</w:t>
      </w:r>
    </w:p>
  </w:footnote>
  <w:footnote w:id="15202">
    <w:p>
      <w:pPr>
        <w:pStyle w:val="FootnoteText"/>
      </w:pPr>
      <w:r>
        <w:rPr>
          <w:rStyle w:val="FootnoteReference"/>
        </w:rPr>
        <w:footnoteRef/>
      </w:r>
      <w:r>
        <w:t xml:space="preserve"> Greek divine name/title: Abba (ἀββᾶ) — Father; dear Father. Common English rendering: Abba; Father. An intimate filial address used by Jesus and shared with believers through the Spirit.</w:t>
      </w:r>
    </w:p>
  </w:footnote>
  <w:footnote w:id="15203">
    <w:p>
      <w:pPr>
        <w:pStyle w:val="FootnoteText"/>
      </w:pPr>
      <w:r>
        <w:rPr>
          <w:rStyle w:val="FootnoteReference"/>
        </w:rPr>
        <w:footnoteRef/>
      </w:r>
      <w:r>
        <w:t xml:space="preserve"> Cross-references for "Abba": Matt 6:9; Rom 8:15-16.</w:t>
      </w:r>
    </w:p>
  </w:footnote>
  <w:footnote w:id="15204">
    <w:p>
      <w:pPr>
        <w:pStyle w:val="FootnoteText"/>
      </w:pPr>
      <w:r>
        <w:rPr>
          <w:rStyle w:val="FootnoteReference"/>
        </w:rPr>
        <w:footnoteRef/>
      </w:r>
      <w:r>
        <w:t xml:space="preserve"> Cross-references for "Simon": 2Sam 16:17; Jonah 1:6.</w:t>
      </w:r>
    </w:p>
  </w:footnote>
  <w:footnote w:id="15205">
    <w:p>
      <w:pPr>
        <w:pStyle w:val="FootnoteText"/>
      </w:pPr>
      <w:r>
        <w:rPr>
          <w:rStyle w:val="FootnoteReference"/>
        </w:rPr>
        <w:footnoteRef/>
      </w:r>
      <w:r>
        <w:t xml:space="preserve"> Cross-references for "Watch": Matt 24:42; Matt 25:13.</w:t>
      </w:r>
    </w:p>
  </w:footnote>
  <w:footnote w:id="15206">
    <w:p>
      <w:pPr>
        <w:pStyle w:val="FootnoteText"/>
      </w:pPr>
      <w:r>
        <w:rPr>
          <w:rStyle w:val="FootnoteReference"/>
        </w:rPr>
        <w:footnoteRef/>
      </w:r>
      <w:r>
        <w:t xml:space="preserve"> Cross-references for "Sleep": Judg 10:14; 1Kgs 18:27.</w:t>
      </w:r>
    </w:p>
  </w:footnote>
  <w:footnote w:id="15207">
    <w:p>
      <w:pPr>
        <w:pStyle w:val="FootnoteText"/>
      </w:pPr>
      <w:r>
        <w:rPr>
          <w:rStyle w:val="FootnoteReference"/>
        </w:rPr>
        <w:footnoteRef/>
      </w:r>
      <w:r>
        <w:t xml:space="preserve"> Cross-references for "and with": Ps 2:1-2; Ps 3:1-2.</w:t>
      </w:r>
    </w:p>
  </w:footnote>
  <w:footnote w:id="15208">
    <w:p>
      <w:pPr>
        <w:pStyle w:val="FootnoteText"/>
      </w:pPr>
      <w:r>
        <w:rPr>
          <w:rStyle w:val="FootnoteReference"/>
        </w:rPr>
        <w:footnoteRef/>
      </w:r>
      <w:r>
        <w:t xml:space="preserve"> Cross-references for "a token": Exod 12:13; Josh 2:12.</w:t>
      </w:r>
    </w:p>
  </w:footnote>
  <w:footnote w:id="15209">
    <w:p>
      <w:pPr>
        <w:pStyle w:val="FootnoteText"/>
      </w:pPr>
      <w:r>
        <w:rPr>
          <w:rStyle w:val="FootnoteReference"/>
        </w:rPr>
        <w:footnoteRef/>
      </w:r>
      <w:r>
        <w:t xml:space="preserve"> Cross-references for "they led": Isa 53:7; Matt 26:57-68.</w:t>
      </w:r>
    </w:p>
  </w:footnote>
  <w:footnote w:id="15210">
    <w:p>
      <w:pPr>
        <w:pStyle w:val="FootnoteText"/>
      </w:pPr>
      <w:r>
        <w:rPr>
          <w:rStyle w:val="FootnoteReference"/>
        </w:rPr>
        <w:footnoteRef/>
      </w:r>
      <w:r>
        <w:t xml:space="preserve"> Cross-references for "Peter": 1Sam 13:7; Matt 26:58.</w:t>
      </w:r>
    </w:p>
  </w:footnote>
  <w:footnote w:id="15211">
    <w:p>
      <w:pPr>
        <w:pStyle w:val="FootnoteText"/>
      </w:pPr>
      <w:r>
        <w:rPr>
          <w:rStyle w:val="FootnoteReference"/>
        </w:rPr>
        <w:footnoteRef/>
      </w:r>
      <w:r>
        <w:t xml:space="preserve"> Cross-references for "sought": 1Kgs 21:10; 1Kgs 21:13.</w:t>
      </w:r>
    </w:p>
  </w:footnote>
  <w:footnote w:id="15212">
    <w:p>
      <w:pPr>
        <w:pStyle w:val="FootnoteText"/>
      </w:pPr>
      <w:r>
        <w:rPr>
          <w:rStyle w:val="FootnoteReference"/>
        </w:rPr>
        <w:footnoteRef/>
      </w:r>
      <w:r>
        <w:t xml:space="preserve"> Cross-references for "the Son": Ps 2:7; Ps 119:12.</w:t>
      </w:r>
    </w:p>
  </w:footnote>
  <w:footnote w:id="15213">
    <w:p>
      <w:pPr>
        <w:pStyle w:val="FootnoteText"/>
      </w:pPr>
      <w:r>
        <w:rPr>
          <w:rStyle w:val="FootnoteReference"/>
        </w:rPr>
        <w:footnoteRef/>
      </w:r>
      <w:r>
        <w:t xml:space="preserve"> Cross-references for "the Son": Ps 110:1; Dan 7:13-14.</w:t>
      </w:r>
    </w:p>
  </w:footnote>
  <w:footnote w:id="15214">
    <w:p>
      <w:pPr>
        <w:pStyle w:val="FootnoteText"/>
      </w:pPr>
      <w:r>
        <w:rPr>
          <w:rStyle w:val="FootnoteReference"/>
        </w:rPr>
        <w:footnoteRef/>
      </w:r>
      <w:r>
        <w:t xml:space="preserve"> Cross-references for "Jesus": Matt 2:23; Matt 21:11.</w:t>
      </w:r>
    </w:p>
  </w:footnote>
  <w:footnote w:id="15215">
    <w:p>
      <w:pPr>
        <w:pStyle w:val="FootnoteText"/>
      </w:pPr>
      <w:r>
        <w:rPr>
          <w:rStyle w:val="FootnoteReference"/>
        </w:rPr>
        <w:footnoteRef/>
      </w:r>
      <w:r>
        <w:t xml:space="preserve"> Cross-references for "he denied": Mark 14:29-31; John 13:36-38.</w:t>
      </w:r>
    </w:p>
  </w:footnote>
  <w:footnote w:id="15216">
    <w:p>
      <w:pPr>
        <w:pStyle w:val="FootnoteText"/>
      </w:pPr>
      <w:r>
        <w:rPr>
          <w:rStyle w:val="FootnoteReference"/>
        </w:rPr>
        <w:footnoteRef/>
      </w:r>
      <w:r>
        <w:t xml:space="preserve"> Cross-references for "and began": Mark 14:38; Luke 22:58.</w:t>
      </w:r>
    </w:p>
  </w:footnote>
  <w:footnote w:id="15217">
    <w:p>
      <w:pPr>
        <w:pStyle w:val="FootnoteText"/>
      </w:pPr>
      <w:r>
        <w:rPr>
          <w:rStyle w:val="FootnoteReference"/>
        </w:rPr>
        <w:footnoteRef/>
      </w:r>
      <w:r>
        <w:t xml:space="preserve"> Cross-references for "a little": Matt 26:73-74; Luke 22:59-60.</w:t>
      </w:r>
    </w:p>
  </w:footnote>
  <w:footnote w:id="15218">
    <w:p>
      <w:pPr>
        <w:pStyle w:val="FootnoteText"/>
      </w:pPr>
      <w:r>
        <w:rPr>
          <w:rStyle w:val="FootnoteReference"/>
        </w:rPr>
        <w:footnoteRef/>
      </w:r>
      <w:r>
        <w:t xml:space="preserve"> Cross-references for "the second": Matt 26:34; Matt 26:74.</w:t>
      </w:r>
    </w:p>
  </w:footnote>
  <w:footnote w:id="15219">
    <w:p>
      <w:pPr>
        <w:pStyle w:val="FootnoteText"/>
      </w:pPr>
      <w:r>
        <w:rPr>
          <w:rStyle w:val="FootnoteReference"/>
        </w:rPr>
        <w:footnoteRef/>
      </w:r>
      <w:r>
        <w:t xml:space="preserve"> Cross-references for "and delivered": Matt 20:18-19; Mark 10:33-34.</w:t>
      </w:r>
    </w:p>
  </w:footnote>
  <w:footnote w:id="15220">
    <w:p>
      <w:pPr>
        <w:pStyle w:val="FootnoteText"/>
      </w:pPr>
      <w:r>
        <w:rPr>
          <w:rStyle w:val="FootnoteReference"/>
        </w:rPr>
        <w:footnoteRef/>
      </w:r>
      <w:r>
        <w:t xml:space="preserve"> Cross-references for "the chief": Matt 27:12; Luke 23:2-5.</w:t>
      </w:r>
    </w:p>
  </w:footnote>
  <w:footnote w:id="15221">
    <w:p>
      <w:pPr>
        <w:pStyle w:val="FootnoteText"/>
      </w:pPr>
      <w:r>
        <w:rPr>
          <w:rStyle w:val="FootnoteReference"/>
        </w:rPr>
        <w:footnoteRef/>
      </w:r>
      <w:r>
        <w:t xml:space="preserve"> Cross-references for "Jesus": Isa 53:7; John 19:9.</w:t>
      </w:r>
    </w:p>
  </w:footnote>
  <w:footnote w:id="15222">
    <w:p>
      <w:pPr>
        <w:pStyle w:val="FootnoteText"/>
      </w:pPr>
      <w:r>
        <w:rPr>
          <w:rStyle w:val="FootnoteReference"/>
        </w:rPr>
        <w:footnoteRef/>
      </w:r>
      <w:r>
        <w:t xml:space="preserve"> Cross-references for "the soldiers": Matt 27:27.</w:t>
      </w:r>
    </w:p>
  </w:footnote>
  <w:footnote w:id="15223">
    <w:p>
      <w:pPr>
        <w:pStyle w:val="FootnoteText"/>
      </w:pPr>
      <w:r>
        <w:rPr>
          <w:rStyle w:val="FootnoteReference"/>
        </w:rPr>
        <w:footnoteRef/>
      </w:r>
      <w:r>
        <w:t xml:space="preserve"> Cross-references for "Hail": Gen 37:10; Gen 37:20.</w:t>
      </w:r>
    </w:p>
  </w:footnote>
  <w:footnote w:id="15224">
    <w:p>
      <w:pPr>
        <w:pStyle w:val="FootnoteText"/>
      </w:pPr>
      <w:r>
        <w:rPr>
          <w:rStyle w:val="FootnoteReference"/>
        </w:rPr>
        <w:footnoteRef/>
      </w:r>
      <w:r>
        <w:t xml:space="preserve"> Cross-references for "and bowing": Gen 24:52; Gen 43:28.</w:t>
      </w:r>
    </w:p>
  </w:footnote>
  <w:footnote w:id="15225">
    <w:p>
      <w:pPr>
        <w:pStyle w:val="FootnoteText"/>
      </w:pPr>
      <w:r>
        <w:rPr>
          <w:rStyle w:val="FootnoteReference"/>
        </w:rPr>
        <w:footnoteRef/>
      </w:r>
      <w:r>
        <w:t xml:space="preserve"> Cross-references for "and led": Matt 27:31; John 19:16.</w:t>
      </w:r>
    </w:p>
  </w:footnote>
  <w:footnote w:id="15226">
    <w:p>
      <w:pPr>
        <w:pStyle w:val="FootnoteText"/>
      </w:pPr>
      <w:r>
        <w:rPr>
          <w:rStyle w:val="FootnoteReference"/>
        </w:rPr>
        <w:footnoteRef/>
      </w:r>
      <w:r>
        <w:t xml:space="preserve"> Cross-references for "they compel": Matt 27:32; Luke 23:26.</w:t>
      </w:r>
    </w:p>
  </w:footnote>
  <w:footnote w:id="15227">
    <w:p>
      <w:pPr>
        <w:pStyle w:val="FootnoteText"/>
      </w:pPr>
      <w:r>
        <w:rPr>
          <w:rStyle w:val="FootnoteReference"/>
        </w:rPr>
        <w:footnoteRef/>
      </w:r>
      <w:r>
        <w:t xml:space="preserve"> Personal name: Rufus. Personal-name meaning: Rufus — red. Source form: Rufus.</w:t>
      </w:r>
    </w:p>
  </w:footnote>
  <w:footnote w:id="15228">
    <w:p>
      <w:pPr>
        <w:pStyle w:val="FootnoteText"/>
      </w:pPr>
      <w:r>
        <w:rPr>
          <w:rStyle w:val="FootnoteReference"/>
        </w:rPr>
        <w:footnoteRef/>
      </w:r>
      <w:r>
        <w:t xml:space="preserve"> Cross-references for "Golgotha": Matt 27:33-44; Luke 23:27-33.</w:t>
      </w:r>
    </w:p>
  </w:footnote>
  <w:footnote w:id="15229">
    <w:p>
      <w:pPr>
        <w:pStyle w:val="FootnoteText"/>
      </w:pPr>
      <w:r>
        <w:rPr>
          <w:rStyle w:val="FootnoteReference"/>
        </w:rPr>
        <w:footnoteRef/>
      </w:r>
      <w:r>
        <w:t xml:space="preserve"> Cross-references for "crucified": Deut 21:23; Ps 22:16-17.</w:t>
      </w:r>
    </w:p>
  </w:footnote>
  <w:footnote w:id="15230">
    <w:p>
      <w:pPr>
        <w:pStyle w:val="FootnoteText"/>
      </w:pPr>
      <w:r>
        <w:rPr>
          <w:rStyle w:val="FootnoteReference"/>
        </w:rPr>
        <w:footnoteRef/>
      </w:r>
      <w:r>
        <w:t xml:space="preserve"> Cross-references for "THE KING OF THE JEWS": Ps 2:6; Zech 9:9.</w:t>
      </w:r>
    </w:p>
  </w:footnote>
  <w:footnote w:id="15231">
    <w:p>
      <w:pPr>
        <w:pStyle w:val="FootnoteText"/>
      </w:pPr>
      <w:r>
        <w:rPr>
          <w:rStyle w:val="FootnoteReference"/>
        </w:rPr>
        <w:footnoteRef/>
      </w:r>
      <w:r>
        <w:t xml:space="preserve"> Cross-references for "also": Ps 2:1-4; Ps 22:16-17.</w:t>
      </w:r>
    </w:p>
  </w:footnote>
  <w:footnote w:id="15232">
    <w:p>
      <w:pPr>
        <w:pStyle w:val="FootnoteText"/>
      </w:pPr>
      <w:r>
        <w:rPr>
          <w:rStyle w:val="FootnoteReference"/>
        </w:rPr>
        <w:footnoteRef/>
      </w:r>
      <w:r>
        <w:t xml:space="preserve"> Cross-references for "Christ": Isa 44:6; Zeph 3:15.</w:t>
      </w:r>
    </w:p>
  </w:footnote>
  <w:footnote w:id="15233">
    <w:p>
      <w:pPr>
        <w:pStyle w:val="FootnoteText"/>
      </w:pPr>
      <w:r>
        <w:rPr>
          <w:rStyle w:val="FootnoteReference"/>
        </w:rPr>
        <w:footnoteRef/>
      </w:r>
      <w:r>
        <w:t xml:space="preserve"> Cross-references for "darkness": Ps 105:28; Isa 50:3-4.</w:t>
      </w:r>
    </w:p>
  </w:footnote>
  <w:footnote w:id="15234">
    <w:p>
      <w:pPr>
        <w:pStyle w:val="FootnoteText"/>
      </w:pPr>
      <w:r>
        <w:rPr>
          <w:rStyle w:val="FootnoteReference"/>
        </w:rPr>
        <w:footnoteRef/>
      </w:r>
      <w:r>
        <w:t xml:space="preserve"> Cross-references for "Eloi": Ps 22:1; Matt 27:46.</w:t>
      </w:r>
    </w:p>
  </w:footnote>
  <w:footnote w:id="15235">
    <w:p>
      <w:pPr>
        <w:pStyle w:val="FootnoteText"/>
      </w:pPr>
      <w:r>
        <w:rPr>
          <w:rStyle w:val="FootnoteReference"/>
        </w:rPr>
        <w:footnoteRef/>
      </w:r>
      <w:r>
        <w:t xml:space="preserve"> Cross-references for "the centurion": Matt 8:5-10; Mark 15:44.</w:t>
      </w:r>
    </w:p>
  </w:footnote>
  <w:footnote w:id="15236">
    <w:p>
      <w:pPr>
        <w:pStyle w:val="FootnoteText"/>
      </w:pPr>
      <w:r>
        <w:rPr>
          <w:rStyle w:val="FootnoteReference"/>
        </w:rPr>
        <w:footnoteRef/>
      </w:r>
      <w:r>
        <w:t xml:space="preserve"> Cross-references for "women": Ps 38:11; Matt 27:55-56.</w:t>
      </w:r>
    </w:p>
  </w:footnote>
  <w:footnote w:id="15237">
    <w:p>
      <w:pPr>
        <w:pStyle w:val="FootnoteText"/>
      </w:pPr>
      <w:r>
        <w:rPr>
          <w:rStyle w:val="FootnoteReference"/>
        </w:rPr>
        <w:footnoteRef/>
      </w:r>
      <w:r>
        <w:t xml:space="preserve"> Name meaning: Salome (Shalom) — Peace; peaceful. Associated with the disciples and the resurrection narratives.</w:t>
      </w:r>
    </w:p>
  </w:footnote>
  <w:footnote w:id="15238">
    <w:p>
      <w:pPr>
        <w:pStyle w:val="FootnoteText"/>
      </w:pPr>
      <w:r>
        <w:rPr>
          <w:rStyle w:val="FootnoteReference"/>
        </w:rPr>
        <w:footnoteRef/>
      </w:r>
      <w:r>
        <w:t xml:space="preserve"> Cross-references for "and went": Matt 19:30; Matt 20:16.</w:t>
      </w:r>
    </w:p>
  </w:footnote>
  <w:footnote w:id="15239">
    <w:p>
      <w:pPr>
        <w:pStyle w:val="FootnoteText"/>
      </w:pPr>
      <w:r>
        <w:rPr>
          <w:rStyle w:val="FootnoteReference"/>
        </w:rPr>
        <w:footnoteRef/>
      </w:r>
      <w:r>
        <w:t xml:space="preserve"> Cross-references for "he gave": Matt 27:58; John 19:38.</w:t>
      </w:r>
    </w:p>
  </w:footnote>
  <w:footnote w:id="15240">
    <w:p>
      <w:pPr>
        <w:pStyle w:val="FootnoteText"/>
      </w:pPr>
      <w:r>
        <w:rPr>
          <w:rStyle w:val="FootnoteReference"/>
        </w:rPr>
        <w:footnoteRef/>
      </w:r>
      <w:r>
        <w:t xml:space="preserve"> Cross-references for "and took": Matt 27:59-60; Luke 23:53.</w:t>
      </w:r>
    </w:p>
  </w:footnote>
  <w:footnote w:id="15241">
    <w:p>
      <w:pPr>
        <w:pStyle w:val="FootnoteText"/>
      </w:pPr>
      <w:r>
        <w:rPr>
          <w:rStyle w:val="FootnoteReference"/>
        </w:rPr>
        <w:footnoteRef/>
      </w:r>
      <w:r>
        <w:t xml:space="preserve"> Cross-references for "Mary Magdalene": Mark 15:40; Mark 15:47.</w:t>
      </w:r>
    </w:p>
  </w:footnote>
  <w:footnote w:id="15242">
    <w:p>
      <w:pPr>
        <w:pStyle w:val="FootnoteText"/>
      </w:pPr>
      <w:r>
        <w:rPr>
          <w:rStyle w:val="FootnoteReference"/>
        </w:rPr>
        <w:footnoteRef/>
      </w:r>
      <w:r>
        <w:t xml:space="preserve"> Cross-references for "they saw": Matt 28:2-4; Luke 24:2.</w:t>
      </w:r>
    </w:p>
  </w:footnote>
  <w:footnote w:id="15243">
    <w:p>
      <w:pPr>
        <w:pStyle w:val="FootnoteText"/>
      </w:pPr>
      <w:r>
        <w:rPr>
          <w:rStyle w:val="FootnoteReference"/>
        </w:rPr>
        <w:footnoteRef/>
      </w:r>
      <w:r>
        <w:t xml:space="preserve"> Cross-references for "entering": Luke 24:3; John 20:8.</w:t>
      </w:r>
    </w:p>
  </w:footnote>
  <w:footnote w:id="15244">
    <w:p>
      <w:pPr>
        <w:pStyle w:val="FootnoteText"/>
      </w:pPr>
      <w:r>
        <w:rPr>
          <w:rStyle w:val="FootnoteReference"/>
        </w:rPr>
        <w:footnoteRef/>
      </w:r>
      <w:r>
        <w:t xml:space="preserve"> Cross-references for "Jesus": John 19:19-20; Acts 2:22-23.</w:t>
      </w:r>
    </w:p>
  </w:footnote>
  <w:footnote w:id="15245">
    <w:p>
      <w:pPr>
        <w:pStyle w:val="FootnoteText"/>
      </w:pPr>
      <w:r>
        <w:rPr>
          <w:rStyle w:val="FootnoteReference"/>
        </w:rPr>
        <w:footnoteRef/>
      </w:r>
      <w:r>
        <w:t xml:space="preserve"> Cross-references for "tell": Matt 28:7; Mark 14:50.</w:t>
      </w:r>
    </w:p>
  </w:footnote>
  <w:footnote w:id="15246">
    <w:p>
      <w:pPr>
        <w:pStyle w:val="FootnoteText"/>
      </w:pPr>
      <w:r>
        <w:rPr>
          <w:rStyle w:val="FootnoteReference"/>
        </w:rPr>
        <w:footnoteRef/>
      </w:r>
      <w:r>
        <w:t xml:space="preserve"> Cross-references for "they went": Matt 28:8; Luke 24:9-11.</w:t>
      </w:r>
    </w:p>
  </w:footnote>
  <w:footnote w:id="15247">
    <w:p>
      <w:pPr>
        <w:pStyle w:val="FootnoteText"/>
      </w:pPr>
      <w:r>
        <w:rPr>
          <w:rStyle w:val="FootnoteReference"/>
        </w:rPr>
        <w:footnoteRef/>
      </w:r>
      <w:r>
        <w:t xml:space="preserve"> Cross-references for "the first": John 20:19; Acts 20:7.</w:t>
      </w:r>
    </w:p>
  </w:footnote>
  <w:footnote w:id="15248">
    <w:p>
      <w:pPr>
        <w:pStyle w:val="FootnoteText"/>
      </w:pPr>
      <w:r>
        <w:rPr>
          <w:rStyle w:val="FootnoteReference"/>
        </w:rPr>
        <w:footnoteRef/>
      </w:r>
      <w:r>
        <w:t xml:space="preserve"> Cross-references for "they went": Luke 24:33-35.</w:t>
      </w:r>
    </w:p>
  </w:footnote>
  <w:footnote w:id="15249">
    <w:p>
      <w:pPr>
        <w:pStyle w:val="FootnoteText"/>
      </w:pPr>
      <w:r>
        <w:rPr>
          <w:rStyle w:val="FootnoteReference"/>
        </w:rPr>
        <w:footnoteRef/>
      </w:r>
      <w:r>
        <w:t xml:space="preserve"> Cross-references for "he appeared": Luke 24:36-43; John 20:19-20.</w:t>
      </w:r>
    </w:p>
  </w:footnote>
  <w:footnote w:id="15250">
    <w:p>
      <w:pPr>
        <w:pStyle w:val="FootnoteText"/>
      </w:pPr>
      <w:r>
        <w:rPr>
          <w:rStyle w:val="FootnoteReference"/>
        </w:rPr>
        <w:footnoteRef/>
      </w:r>
      <w:r>
        <w:t xml:space="preserve"> Cross-references for "shall take": Gen 3:15; Ps 91:13.</w:t>
      </w:r>
    </w:p>
  </w:footnote>
  <w:footnote w:id="15251">
    <w:p>
      <w:pPr>
        <w:pStyle w:val="FootnoteText"/>
      </w:pPr>
      <w:r>
        <w:rPr>
          <w:rStyle w:val="FootnoteReference"/>
        </w:rPr>
        <w:footnoteRef/>
      </w:r>
      <w:r>
        <w:t xml:space="preserve"> Cross-references for "and sat": Ps 110:1; Acts 7:55-56.</w:t>
      </w:r>
    </w:p>
  </w:footnote>
  <w:footnote w:id="15252">
    <w:p>
      <w:pPr>
        <w:pStyle w:val="FootnoteText"/>
      </w:pPr>
      <w:r>
        <w:rPr>
          <w:rStyle w:val="FootnoteReference"/>
        </w:rPr>
        <w:footnoteRef/>
      </w:r>
      <w:r>
        <w:t xml:space="preserve"> Cross-references for "the Lord": Acts 4:30; Acts 5:12.</w:t>
      </w:r>
    </w:p>
  </w:footnote>
  <w:footnote w:id="15253">
    <w:p>
      <w:pPr>
        <w:pStyle w:val="FootnoteText"/>
      </w:pPr>
      <w:r>
        <w:rPr>
          <w:rStyle w:val="FootnoteReference"/>
        </w:rPr>
        <w:footnoteRef/>
      </w:r>
      <w:r>
        <w:t xml:space="preserve"> Cross-references for "seemed": Acts 15:19; Acts 15:25.</w:t>
      </w:r>
    </w:p>
  </w:footnote>
  <w:footnote w:id="15254">
    <w:p>
      <w:pPr>
        <w:pStyle w:val="FootnoteText"/>
      </w:pPr>
      <w:r>
        <w:rPr>
          <w:rStyle w:val="FootnoteReference"/>
        </w:rPr>
        <w:footnoteRef/>
      </w:r>
      <w:r>
        <w:t xml:space="preserve"> Name meaning: Theophilus (Theophilos) — Lover of God. The one Luke wrote to.</w:t>
      </w:r>
    </w:p>
  </w:footnote>
  <w:footnote w:id="15255">
    <w:p>
      <w:pPr>
        <w:pStyle w:val="FootnoteText"/>
      </w:pPr>
      <w:r>
        <w:rPr>
          <w:rStyle w:val="FootnoteReference"/>
        </w:rPr>
        <w:footnoteRef/>
      </w:r>
      <w:r>
        <w:t xml:space="preserve"> Cross-references for "Herod": Matt 2:1.</w:t>
      </w:r>
    </w:p>
  </w:footnote>
  <w:footnote w:id="15256">
    <w:p>
      <w:pPr>
        <w:pStyle w:val="FootnoteText"/>
      </w:pPr>
      <w:r>
        <w:rPr>
          <w:rStyle w:val="FootnoteReference"/>
        </w:rPr>
        <w:footnoteRef/>
      </w:r>
      <w:r>
        <w:t xml:space="preserve"> Name meaning: Zacharias (Zekharyah) — Yahweh remembers. Father of John; God remembered him.</w:t>
      </w:r>
    </w:p>
  </w:footnote>
  <w:footnote w:id="15257">
    <w:p>
      <w:pPr>
        <w:pStyle w:val="FootnoteText"/>
      </w:pPr>
      <w:r>
        <w:rPr>
          <w:rStyle w:val="FootnoteReference"/>
        </w:rPr>
        <w:footnoteRef/>
      </w:r>
      <w:r>
        <w:t xml:space="preserve"> Personal name: Aaron. Personal-name meaning: Aaron — Exalted; mountain of strength; teacher. Source form: Aaron.</w:t>
      </w:r>
    </w:p>
  </w:footnote>
  <w:footnote w:id="15258">
    <w:p>
      <w:pPr>
        <w:pStyle w:val="FootnoteText"/>
      </w:pPr>
      <w:r>
        <w:rPr>
          <w:rStyle w:val="FootnoteReference"/>
        </w:rPr>
        <w:footnoteRef/>
      </w:r>
      <w:r>
        <w:t xml:space="preserve"> Name meaning: Elizabeth (Elisheva) — God is my oath. Mother of John; God kept His oath.</w:t>
      </w:r>
    </w:p>
  </w:footnote>
  <w:footnote w:id="15259">
    <w:p>
      <w:pPr>
        <w:pStyle w:val="FootnoteText"/>
      </w:pPr>
      <w:r>
        <w:rPr>
          <w:rStyle w:val="FootnoteReference"/>
        </w:rPr>
        <w:footnoteRef/>
      </w:r>
      <w:r>
        <w:t xml:space="preserve"> Transliterated proper noun: Elisabeth. Standard English equivalent: Elizabeth. Source form: Elisabeth. Greek form: ελισαβετ. Name meaning: God is my oath.</w:t>
      </w:r>
    </w:p>
  </w:footnote>
  <w:footnote w:id="15260">
    <w:p>
      <w:pPr>
        <w:pStyle w:val="FootnoteText"/>
      </w:pPr>
      <w:r>
        <w:rPr>
          <w:rStyle w:val="FootnoteReference"/>
        </w:rPr>
        <w:footnoteRef/>
      </w:r>
      <w:r>
        <w:t xml:space="preserve"> Cross-references for "righteous": Gen 6:9; Gen 7:1.</w:t>
      </w:r>
    </w:p>
  </w:footnote>
  <w:footnote w:id="15261">
    <w:p>
      <w:pPr>
        <w:pStyle w:val="FootnoteText"/>
      </w:pPr>
      <w:r>
        <w:rPr>
          <w:rStyle w:val="FootnoteReference"/>
        </w:rPr>
        <w:footnoteRef/>
      </w:r>
      <w:r>
        <w:t xml:space="preserve"> Cross-references for "they had": Gen 15:2-3; Gen 16:1-2.</w:t>
      </w:r>
    </w:p>
  </w:footnote>
  <w:footnote w:id="15262">
    <w:p>
      <w:pPr>
        <w:pStyle w:val="FootnoteText"/>
      </w:pPr>
      <w:r>
        <w:rPr>
          <w:rStyle w:val="FootnoteReference"/>
        </w:rPr>
        <w:footnoteRef/>
      </w:r>
      <w:r>
        <w:t xml:space="preserve"> Cross-references for "appeared": Judg 13:3; Judg 13:9.</w:t>
      </w:r>
    </w:p>
  </w:footnote>
  <w:footnote w:id="15263">
    <w:p>
      <w:pPr>
        <w:pStyle w:val="FootnoteText"/>
      </w:pPr>
      <w:r>
        <w:rPr>
          <w:rStyle w:val="FootnoteReference"/>
        </w:rPr>
        <w:footnoteRef/>
      </w:r>
      <w:r>
        <w:t xml:space="preserve"> Cross-references for "fear": Judg 6:23; Dan 10:12.</w:t>
      </w:r>
    </w:p>
  </w:footnote>
  <w:footnote w:id="15264">
    <w:p>
      <w:pPr>
        <w:pStyle w:val="FootnoteText"/>
      </w:pPr>
      <w:r>
        <w:rPr>
          <w:rStyle w:val="FootnoteReference"/>
        </w:rPr>
        <w:footnoteRef/>
      </w:r>
      <w:r>
        <w:t xml:space="preserve"> Cross-references for "great": Luke 7:28.</w:t>
      </w:r>
    </w:p>
  </w:footnote>
  <w:footnote w:id="15265">
    <w:p>
      <w:pPr>
        <w:pStyle w:val="FootnoteText"/>
      </w:pPr>
      <w:r>
        <w:rPr>
          <w:rStyle w:val="FootnoteReference"/>
        </w:rPr>
        <w:footnoteRef/>
      </w:r>
      <w:r>
        <w:t xml:space="preserve"> Cross-references for "power": 1Kgs 17:1; 1Kgs 18:18.</w:t>
      </w:r>
    </w:p>
  </w:footnote>
  <w:footnote w:id="15266">
    <w:p>
      <w:pPr>
        <w:pStyle w:val="FootnoteText"/>
      </w:pPr>
      <w:r>
        <w:rPr>
          <w:rStyle w:val="FootnoteReference"/>
        </w:rPr>
        <w:footnoteRef/>
      </w:r>
      <w:r>
        <w:t xml:space="preserve"> Divine or supernatural name: Gabriel. Divine/supernatural-name meaning: Gabriel — God is my strength. Source form: Gabriel.</w:t>
      </w:r>
    </w:p>
  </w:footnote>
  <w:footnote w:id="15267">
    <w:p>
      <w:pPr>
        <w:pStyle w:val="FootnoteText"/>
      </w:pPr>
      <w:r>
        <w:rPr>
          <w:rStyle w:val="FootnoteReference"/>
        </w:rPr>
        <w:footnoteRef/>
      </w:r>
      <w:r>
        <w:t xml:space="preserve"> Cross-references for "the days": 2Kgs 11:5-7; 1Chr 9:25.</w:t>
      </w:r>
    </w:p>
  </w:footnote>
  <w:footnote w:id="15268">
    <w:p>
      <w:pPr>
        <w:pStyle w:val="FootnoteText"/>
      </w:pPr>
      <w:r>
        <w:rPr>
          <w:rStyle w:val="FootnoteReference"/>
        </w:rPr>
        <w:footnoteRef/>
      </w:r>
      <w:r>
        <w:t xml:space="preserve"> Cross-references for "to take": Gen 30:23; 1Sam 1:6.</w:t>
      </w:r>
    </w:p>
  </w:footnote>
  <w:footnote w:id="15269">
    <w:p>
      <w:pPr>
        <w:pStyle w:val="FootnoteText"/>
      </w:pPr>
      <w:r>
        <w:rPr>
          <w:rStyle w:val="FootnoteReference"/>
        </w:rPr>
        <w:footnoteRef/>
      </w:r>
      <w:r>
        <w:t xml:space="preserve"> Cross-references for "the sixth": Luke 1:24.</w:t>
      </w:r>
    </w:p>
  </w:footnote>
  <w:footnote w:id="15270">
    <w:p>
      <w:pPr>
        <w:pStyle w:val="FootnoteText"/>
      </w:pPr>
      <w:r>
        <w:rPr>
          <w:rStyle w:val="FootnoteReference"/>
        </w:rPr>
        <w:footnoteRef/>
      </w:r>
      <w:r>
        <w:t xml:space="preserve"> Cross-references for "Hail": Dan 9:21-23; Dan 10:19.</w:t>
      </w:r>
    </w:p>
  </w:footnote>
  <w:footnote w:id="15271">
    <w:p>
      <w:pPr>
        <w:pStyle w:val="FootnoteText"/>
      </w:pPr>
      <w:r>
        <w:rPr>
          <w:rStyle w:val="FootnoteReference"/>
        </w:rPr>
        <w:footnoteRef/>
      </w:r>
      <w:r>
        <w:t xml:space="preserve"> Cross-references for "she was": Mark 6:49-50; Mark 16:5-6.</w:t>
      </w:r>
    </w:p>
  </w:footnote>
  <w:footnote w:id="15272">
    <w:p>
      <w:pPr>
        <w:pStyle w:val="FootnoteText"/>
      </w:pPr>
      <w:r>
        <w:rPr>
          <w:rStyle w:val="FootnoteReference"/>
        </w:rPr>
        <w:footnoteRef/>
      </w:r>
      <w:r>
        <w:t xml:space="preserve"> Cross-references for "shall be great": Matt 3:11; Matt 12:42.</w:t>
      </w:r>
    </w:p>
  </w:footnote>
  <w:footnote w:id="15273">
    <w:p>
      <w:pPr>
        <w:pStyle w:val="FootnoteText"/>
      </w:pPr>
      <w:r>
        <w:rPr>
          <w:rStyle w:val="FootnoteReference"/>
        </w:rPr>
        <w:footnoteRef/>
      </w:r>
      <w:r>
        <w:t xml:space="preserve"> Cross-references for "the Son of God": Ps 2:7; Matt 14:33.</w:t>
      </w:r>
    </w:p>
  </w:footnote>
  <w:footnote w:id="15274">
    <w:p>
      <w:pPr>
        <w:pStyle w:val="FootnoteText"/>
      </w:pPr>
      <w:r>
        <w:rPr>
          <w:rStyle w:val="FootnoteReference"/>
        </w:rPr>
        <w:footnoteRef/>
      </w:r>
      <w:r>
        <w:t xml:space="preserve"> Cross-references for "blessed is": Gen 22:18; Ps 21:6.</w:t>
      </w:r>
    </w:p>
  </w:footnote>
  <w:footnote w:id="15275">
    <w:p>
      <w:pPr>
        <w:pStyle w:val="FootnoteText"/>
      </w:pPr>
      <w:r>
        <w:rPr>
          <w:rStyle w:val="FootnoteReference"/>
        </w:rPr>
        <w:footnoteRef/>
      </w:r>
      <w:r>
        <w:t xml:space="preserve"> Cross-references for "blessed": 2Chr 20:20; Luke 1:20.</w:t>
      </w:r>
    </w:p>
  </w:footnote>
  <w:footnote w:id="15276">
    <w:p>
      <w:pPr>
        <w:pStyle w:val="FootnoteText"/>
      </w:pPr>
      <w:r>
        <w:rPr>
          <w:rStyle w:val="FootnoteReference"/>
        </w:rPr>
        <w:footnoteRef/>
      </w:r>
      <w:r>
        <w:t xml:space="preserve"> Greek divine name/title: Soter (σωτήρ) — Savior. Common English rendering: Saviour. Declares God as the deliverer of His people; in the New Testament this title is also applied to Christ.</w:t>
      </w:r>
    </w:p>
  </w:footnote>
  <w:footnote w:id="15277">
    <w:p>
      <w:pPr>
        <w:pStyle w:val="FootnoteText"/>
      </w:pPr>
      <w:r>
        <w:rPr>
          <w:rStyle w:val="FootnoteReference"/>
        </w:rPr>
        <w:footnoteRef/>
      </w:r>
      <w:r>
        <w:t xml:space="preserve"> Cross-references for "regarded": 1Sam 1:11; 1Sam 2:8.</w:t>
      </w:r>
    </w:p>
  </w:footnote>
  <w:footnote w:id="15278">
    <w:p>
      <w:pPr>
        <w:pStyle w:val="FootnoteText"/>
      </w:pPr>
      <w:r>
        <w:rPr>
          <w:rStyle w:val="FootnoteReference"/>
        </w:rPr>
        <w:footnoteRef/>
      </w:r>
      <w:r>
        <w:t xml:space="preserve"> Cross-references for "the imagination": Gen 6:5; Gen 8:21.</w:t>
      </w:r>
    </w:p>
  </w:footnote>
  <w:footnote w:id="15279">
    <w:p>
      <w:pPr>
        <w:pStyle w:val="FootnoteText"/>
      </w:pPr>
      <w:r>
        <w:rPr>
          <w:rStyle w:val="FootnoteReference"/>
        </w:rPr>
        <w:footnoteRef/>
      </w:r>
      <w:r>
        <w:t xml:space="preserve"> Cross-references for "filled": 1Sam 2:5; Ps 34:10.</w:t>
      </w:r>
    </w:p>
  </w:footnote>
  <w:footnote w:id="15280">
    <w:p>
      <w:pPr>
        <w:pStyle w:val="FootnoteText"/>
      </w:pPr>
      <w:r>
        <w:rPr>
          <w:rStyle w:val="FootnoteReference"/>
        </w:rPr>
        <w:footnoteRef/>
      </w:r>
      <w:r>
        <w:t xml:space="preserve"> Cross-references for "his mouth": Exod 4:15-16; Ps 51:15.</w:t>
      </w:r>
    </w:p>
  </w:footnote>
  <w:footnote w:id="15281">
    <w:p>
      <w:pPr>
        <w:pStyle w:val="FootnoteText"/>
      </w:pPr>
      <w:r>
        <w:rPr>
          <w:rStyle w:val="FootnoteReference"/>
        </w:rPr>
        <w:footnoteRef/>
      </w:r>
      <w:r>
        <w:t xml:space="preserve"> Cross-references for "fear": Luke 7:16; Acts 2:43.</w:t>
      </w:r>
    </w:p>
  </w:footnote>
  <w:footnote w:id="15282">
    <w:p>
      <w:pPr>
        <w:pStyle w:val="FootnoteText"/>
      </w:pPr>
      <w:r>
        <w:rPr>
          <w:rStyle w:val="FootnoteReference"/>
        </w:rPr>
        <w:footnoteRef/>
      </w:r>
      <w:r>
        <w:t xml:space="preserve"> Cross-references for "laid": Gen 37:11; Ps 119:11.</w:t>
      </w:r>
    </w:p>
  </w:footnote>
  <w:footnote w:id="15283">
    <w:p>
      <w:pPr>
        <w:pStyle w:val="FootnoteText"/>
      </w:pPr>
      <w:r>
        <w:rPr>
          <w:rStyle w:val="FootnoteReference"/>
        </w:rPr>
        <w:footnoteRef/>
      </w:r>
      <w:r>
        <w:t xml:space="preserve"> Cross-references for "filled": Num 11:25; 2Sam 23:2.</w:t>
      </w:r>
    </w:p>
  </w:footnote>
  <w:footnote w:id="15284">
    <w:p>
      <w:pPr>
        <w:pStyle w:val="FootnoteText"/>
      </w:pPr>
      <w:r>
        <w:rPr>
          <w:rStyle w:val="FootnoteReference"/>
        </w:rPr>
        <w:footnoteRef/>
      </w:r>
      <w:r>
        <w:t xml:space="preserve"> Cross-references for "Blessed": Gen 9:26; Gen 14:20.</w:t>
      </w:r>
    </w:p>
  </w:footnote>
  <w:footnote w:id="15285">
    <w:p>
      <w:pPr>
        <w:pStyle w:val="FootnoteText"/>
      </w:pPr>
      <w:r>
        <w:rPr>
          <w:rStyle w:val="FootnoteReference"/>
        </w:rPr>
        <w:footnoteRef/>
      </w:r>
      <w:r>
        <w:t xml:space="preserve"> Cross-references for "perform": Gen 12:3; Gen 22:18.</w:t>
      </w:r>
    </w:p>
  </w:footnote>
  <w:footnote w:id="15286">
    <w:p>
      <w:pPr>
        <w:pStyle w:val="FootnoteText"/>
      </w:pPr>
      <w:r>
        <w:rPr>
          <w:rStyle w:val="FootnoteReference"/>
        </w:rPr>
        <w:footnoteRef/>
      </w:r>
      <w:r>
        <w:t xml:space="preserve"> Cross-references for "that we": Isa 35:9-10; Isa 45:17.</w:t>
      </w:r>
    </w:p>
  </w:footnote>
  <w:footnote w:id="15287">
    <w:p>
      <w:pPr>
        <w:pStyle w:val="FootnoteText"/>
      </w:pPr>
      <w:r>
        <w:rPr>
          <w:rStyle w:val="FootnoteReference"/>
        </w:rPr>
        <w:footnoteRef/>
      </w:r>
      <w:r>
        <w:t xml:space="preserve"> Cross-references for "give": Mark 1:3-4; Luke 3:3.</w:t>
      </w:r>
    </w:p>
  </w:footnote>
  <w:footnote w:id="15288">
    <w:p>
      <w:pPr>
        <w:pStyle w:val="FootnoteText"/>
      </w:pPr>
      <w:r>
        <w:rPr>
          <w:rStyle w:val="FootnoteReference"/>
        </w:rPr>
        <w:footnoteRef/>
      </w:r>
      <w:r>
        <w:t xml:space="preserve"> Cross-references for "tender": Ps 25:6; Isa 63:7.</w:t>
      </w:r>
    </w:p>
  </w:footnote>
  <w:footnote w:id="15289">
    <w:p>
      <w:pPr>
        <w:pStyle w:val="FootnoteText"/>
      </w:pPr>
      <w:r>
        <w:rPr>
          <w:rStyle w:val="FootnoteReference"/>
        </w:rPr>
        <w:footnoteRef/>
      </w:r>
      <w:r>
        <w:t xml:space="preserve"> Cross-references for "give": Isa 9:2; Isa 42:7.</w:t>
      </w:r>
    </w:p>
  </w:footnote>
  <w:footnote w:id="15290">
    <w:p>
      <w:pPr>
        <w:pStyle w:val="FootnoteText"/>
      </w:pPr>
      <w:r>
        <w:rPr>
          <w:rStyle w:val="FootnoteReference"/>
        </w:rPr>
        <w:footnoteRef/>
      </w:r>
      <w:r>
        <w:t xml:space="preserve"> Cross-references for "the child": Judg 13:24-25; 1Sam 3:19-20.</w:t>
      </w:r>
    </w:p>
  </w:footnote>
  <w:footnote w:id="15291">
    <w:p>
      <w:pPr>
        <w:pStyle w:val="FootnoteText"/>
      </w:pPr>
      <w:r>
        <w:rPr>
          <w:rStyle w:val="FootnoteReference"/>
        </w:rPr>
        <w:footnoteRef/>
      </w:r>
      <w:r>
        <w:t xml:space="preserve"> Cross-references for "Caesar": Luke 3:1; Acts 11:28.</w:t>
      </w:r>
    </w:p>
  </w:footnote>
  <w:footnote w:id="15292">
    <w:p>
      <w:pPr>
        <w:pStyle w:val="FootnoteText"/>
      </w:pPr>
      <w:r>
        <w:rPr>
          <w:rStyle w:val="FootnoteReference"/>
        </w:rPr>
        <w:footnoteRef/>
      </w:r>
      <w:r>
        <w:t xml:space="preserve"> Personal name: Augustus. Personal-name meaning: Augustus — increased, augmented. Source form: Augustus.</w:t>
      </w:r>
    </w:p>
  </w:footnote>
  <w:footnote w:id="15293">
    <w:p>
      <w:pPr>
        <w:pStyle w:val="FootnoteText"/>
      </w:pPr>
      <w:r>
        <w:rPr>
          <w:rStyle w:val="FootnoteReference"/>
        </w:rPr>
        <w:footnoteRef/>
      </w:r>
      <w:r>
        <w:t xml:space="preserve"> Transliterated proper noun: Cyrenius. Standard English equivalent: Cyrenius. Source form: Cyrenius. Greek form: κυρηνιου. Name meaning: who governs.</w:t>
      </w:r>
    </w:p>
  </w:footnote>
  <w:footnote w:id="15294">
    <w:p>
      <w:pPr>
        <w:pStyle w:val="FootnoteText"/>
      </w:pPr>
      <w:r>
        <w:rPr>
          <w:rStyle w:val="FootnoteReference"/>
        </w:rPr>
        <w:footnoteRef/>
      </w:r>
      <w:r>
        <w:t xml:space="preserve"> Cross-references for "governor": Luke 3:1; Acts 13:7.</w:t>
      </w:r>
    </w:p>
  </w:footnote>
  <w:footnote w:id="15295">
    <w:p>
      <w:pPr>
        <w:pStyle w:val="FootnoteText"/>
      </w:pPr>
      <w:r>
        <w:rPr>
          <w:rStyle w:val="FootnoteReference"/>
        </w:rPr>
        <w:footnoteRef/>
      </w:r>
      <w:r>
        <w:t xml:space="preserve"> Cross-references for "Joseph": Luke 1:26-27; Luke 3:23.</w:t>
      </w:r>
    </w:p>
  </w:footnote>
  <w:footnote w:id="15296">
    <w:p>
      <w:pPr>
        <w:pStyle w:val="FootnoteText"/>
      </w:pPr>
      <w:r>
        <w:rPr>
          <w:rStyle w:val="FootnoteReference"/>
        </w:rPr>
        <w:footnoteRef/>
      </w:r>
      <w:r>
        <w:t xml:space="preserve"> Cross-references for "the days": Luke 1:57; Rev 12:1-5.</w:t>
      </w:r>
    </w:p>
  </w:footnote>
  <w:footnote w:id="15297">
    <w:p>
      <w:pPr>
        <w:pStyle w:val="FootnoteText"/>
      </w:pPr>
      <w:r>
        <w:rPr>
          <w:rStyle w:val="FootnoteReference"/>
        </w:rPr>
        <w:footnoteRef/>
      </w:r>
      <w:r>
        <w:t xml:space="preserve"> Cross-references for "and wrapped": Ps 22:6; Isa 53:2-3.</w:t>
      </w:r>
    </w:p>
  </w:footnote>
  <w:footnote w:id="15298">
    <w:p>
      <w:pPr>
        <w:pStyle w:val="FootnoteText"/>
      </w:pPr>
      <w:r>
        <w:rPr>
          <w:rStyle w:val="FootnoteReference"/>
        </w:rPr>
        <w:footnoteRef/>
      </w:r>
      <w:r>
        <w:t xml:space="preserve"> Cross-references for "abiding": Gen 31:39-40; Exod 3:1-2.</w:t>
      </w:r>
    </w:p>
  </w:footnote>
  <w:footnote w:id="15299">
    <w:p>
      <w:pPr>
        <w:pStyle w:val="FootnoteText"/>
      </w:pPr>
      <w:r>
        <w:rPr>
          <w:rStyle w:val="FootnoteReference"/>
        </w:rPr>
        <w:footnoteRef/>
      </w:r>
      <w:r>
        <w:t xml:space="preserve"> Cross-references for "I bring": Isa 40:9; Isa 41:27.</w:t>
      </w:r>
    </w:p>
  </w:footnote>
  <w:footnote w:id="15300">
    <w:p>
      <w:pPr>
        <w:pStyle w:val="FootnoteText"/>
      </w:pPr>
      <w:r>
        <w:rPr>
          <w:rStyle w:val="FootnoteReference"/>
        </w:rPr>
        <w:footnoteRef/>
      </w:r>
      <w:r>
        <w:t xml:space="preserve"> Cross-references for "the Lord": Luke 1:43; Luke 20:42-44.</w:t>
      </w:r>
    </w:p>
  </w:footnote>
  <w:footnote w:id="15301">
    <w:p>
      <w:pPr>
        <w:pStyle w:val="FootnoteText"/>
      </w:pPr>
      <w:r>
        <w:rPr>
          <w:rStyle w:val="FootnoteReference"/>
        </w:rPr>
        <w:footnoteRef/>
      </w:r>
      <w:r>
        <w:t xml:space="preserve"> Cross-references for "a multitude": Gen 28:12; Gen 32:1-2.</w:t>
      </w:r>
    </w:p>
  </w:footnote>
  <w:footnote w:id="15302">
    <w:p>
      <w:pPr>
        <w:pStyle w:val="FootnoteText"/>
      </w:pPr>
      <w:r>
        <w:rPr>
          <w:rStyle w:val="FootnoteReference"/>
        </w:rPr>
        <w:footnoteRef/>
      </w:r>
      <w:r>
        <w:t xml:space="preserve"> Cross-references for "Glory": Ps 69:34-35; Ps 85:9-12.</w:t>
      </w:r>
    </w:p>
  </w:footnote>
  <w:footnote w:id="15303">
    <w:p>
      <w:pPr>
        <w:pStyle w:val="FootnoteText"/>
      </w:pPr>
      <w:r>
        <w:rPr>
          <w:rStyle w:val="FootnoteReference"/>
        </w:rPr>
        <w:footnoteRef/>
      </w:r>
      <w:r>
        <w:t xml:space="preserve"> Cross-references for "found": Luke 2:7; Luke 2:12.</w:t>
      </w:r>
    </w:p>
  </w:footnote>
  <w:footnote w:id="15304">
    <w:p>
      <w:pPr>
        <w:pStyle w:val="FootnoteText"/>
      </w:pPr>
      <w:r>
        <w:rPr>
          <w:rStyle w:val="FootnoteReference"/>
        </w:rPr>
        <w:footnoteRef/>
      </w:r>
      <w:r>
        <w:t xml:space="preserve"> Cross-references for "wondered": Isa 8:18; Luke 1:65-66.</w:t>
      </w:r>
    </w:p>
  </w:footnote>
  <w:footnote w:id="15305">
    <w:p>
      <w:pPr>
        <w:pStyle w:val="FootnoteText"/>
      </w:pPr>
      <w:r>
        <w:rPr>
          <w:rStyle w:val="FootnoteReference"/>
        </w:rPr>
        <w:footnoteRef/>
      </w:r>
      <w:r>
        <w:t xml:space="preserve"> Cross-references for "eight": Gen 17:12; Lev 12:3.</w:t>
      </w:r>
    </w:p>
  </w:footnote>
  <w:footnote w:id="15306">
    <w:p>
      <w:pPr>
        <w:pStyle w:val="FootnoteText"/>
      </w:pPr>
      <w:r>
        <w:rPr>
          <w:rStyle w:val="FootnoteReference"/>
        </w:rPr>
        <w:footnoteRef/>
      </w:r>
      <w:r>
        <w:t xml:space="preserve"> Cross-references for "A pair": Lev 12:2; Lev 12:6-8.</w:t>
      </w:r>
    </w:p>
  </w:footnote>
  <w:footnote w:id="15307">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15308">
    <w:p>
      <w:pPr>
        <w:pStyle w:val="FootnoteText"/>
      </w:pPr>
      <w:r>
        <w:rPr>
          <w:rStyle w:val="FootnoteReference"/>
        </w:rPr>
        <w:footnoteRef/>
      </w:r>
      <w:r>
        <w:t xml:space="preserve"> Cross-references for "waiting": Isa 25:9; Isa 40:1.</w:t>
      </w:r>
    </w:p>
  </w:footnote>
  <w:footnote w:id="15309">
    <w:p>
      <w:pPr>
        <w:pStyle w:val="FootnoteText"/>
      </w:pPr>
      <w:r>
        <w:rPr>
          <w:rStyle w:val="FootnoteReference"/>
        </w:rPr>
        <w:footnoteRef/>
      </w:r>
      <w:r>
        <w:t xml:space="preserve"> Name meaning: Simeon (NT) (Simeon) — Heard. Held baby Jesus and declared he had seen salvation.</w:t>
      </w:r>
    </w:p>
  </w:footnote>
  <w:footnote w:id="15310">
    <w:p>
      <w:pPr>
        <w:pStyle w:val="FootnoteText"/>
      </w:pPr>
      <w:r>
        <w:rPr>
          <w:rStyle w:val="FootnoteReference"/>
        </w:rPr>
        <w:footnoteRef/>
      </w:r>
      <w:r>
        <w:t xml:space="preserve"> Cross-references for "see death": Ps 89:48-49; Luke 9:27.</w:t>
      </w:r>
    </w:p>
  </w:footnote>
  <w:footnote w:id="15311">
    <w:p>
      <w:pPr>
        <w:pStyle w:val="FootnoteText"/>
      </w:pPr>
      <w:r>
        <w:rPr>
          <w:rStyle w:val="FootnoteReference"/>
        </w:rPr>
        <w:footnoteRef/>
      </w:r>
      <w:r>
        <w:t xml:space="preserve"> Cross-references for "the parents": Luke 2:41; Luke 2:48.</w:t>
      </w:r>
    </w:p>
  </w:footnote>
  <w:footnote w:id="15312">
    <w:p>
      <w:pPr>
        <w:pStyle w:val="FootnoteText"/>
      </w:pPr>
      <w:r>
        <w:rPr>
          <w:rStyle w:val="FootnoteReference"/>
        </w:rPr>
        <w:footnoteRef/>
      </w:r>
      <w:r>
        <w:t xml:space="preserve"> Cross-references for "took": Mark 9:36; Mark 10:16.</w:t>
      </w:r>
    </w:p>
  </w:footnote>
  <w:footnote w:id="15313">
    <w:p>
      <w:pPr>
        <w:pStyle w:val="FootnoteText"/>
      </w:pPr>
      <w:r>
        <w:rPr>
          <w:rStyle w:val="FootnoteReference"/>
        </w:rPr>
        <w:footnoteRef/>
      </w:r>
      <w:r>
        <w:t xml:space="preserve"> Greek divine name/title: Despotes (δεσπότης) — Master; Sovereign Lord. Common English rendering: Lord. A title emphasizing God’s absolute ownership and sovereign authority.</w:t>
      </w:r>
    </w:p>
  </w:footnote>
  <w:footnote w:id="15314">
    <w:p>
      <w:pPr>
        <w:pStyle w:val="FootnoteText"/>
      </w:pPr>
      <w:r>
        <w:rPr>
          <w:rStyle w:val="FootnoteReference"/>
        </w:rPr>
        <w:footnoteRef/>
      </w:r>
      <w:r>
        <w:t xml:space="preserve"> Cross-references for "light": Isa 9:2; Isa 42:6-7.</w:t>
      </w:r>
    </w:p>
  </w:footnote>
  <w:footnote w:id="15315">
    <w:p>
      <w:pPr>
        <w:pStyle w:val="FootnoteText"/>
      </w:pPr>
      <w:r>
        <w:rPr>
          <w:rStyle w:val="FootnoteReference"/>
        </w:rPr>
        <w:footnoteRef/>
      </w:r>
      <w:r>
        <w:t xml:space="preserve"> Cross-references for "blessed": Gen 14:19; Gen 47:7.</w:t>
      </w:r>
    </w:p>
  </w:footnote>
  <w:footnote w:id="15316">
    <w:p>
      <w:pPr>
        <w:pStyle w:val="FootnoteText"/>
      </w:pPr>
      <w:r>
        <w:rPr>
          <w:rStyle w:val="FootnoteReference"/>
        </w:rPr>
        <w:footnoteRef/>
      </w:r>
      <w:r>
        <w:t xml:space="preserve"> Cross-references for "a sword": Ps 42:10; John 19:25.</w:t>
      </w:r>
    </w:p>
  </w:footnote>
  <w:footnote w:id="15317">
    <w:p>
      <w:pPr>
        <w:pStyle w:val="FootnoteText"/>
      </w:pPr>
      <w:r>
        <w:rPr>
          <w:rStyle w:val="FootnoteReference"/>
        </w:rPr>
        <w:footnoteRef/>
      </w:r>
      <w:r>
        <w:t xml:space="preserve"> Name meaning: Anna (Channah) — Grace; favor. Prophetess who recognized the Messiah.</w:t>
      </w:r>
    </w:p>
  </w:footnote>
  <w:footnote w:id="15318">
    <w:p>
      <w:pPr>
        <w:pStyle w:val="FootnoteText"/>
      </w:pPr>
      <w:r>
        <w:rPr>
          <w:rStyle w:val="FootnoteReference"/>
        </w:rPr>
        <w:footnoteRef/>
      </w:r>
      <w:r>
        <w:t xml:space="preserve"> Cross-references for "a prophetess": Exod 15:20; Judg 4:4.</w:t>
      </w:r>
    </w:p>
  </w:footnote>
  <w:footnote w:id="15319">
    <w:p>
      <w:pPr>
        <w:pStyle w:val="FootnoteText"/>
      </w:pPr>
      <w:r>
        <w:rPr>
          <w:rStyle w:val="FootnoteReference"/>
        </w:rPr>
        <w:footnoteRef/>
      </w:r>
      <w:r>
        <w:t xml:space="preserve"> Personal name: Phanuel. Personal-name meaning: Phanuel — face or vision of God. Source form: Phanuel.</w:t>
      </w:r>
    </w:p>
  </w:footnote>
  <w:footnote w:id="15320">
    <w:p>
      <w:pPr>
        <w:pStyle w:val="FootnoteText"/>
      </w:pPr>
      <w:r>
        <w:rPr>
          <w:rStyle w:val="FootnoteReference"/>
        </w:rPr>
        <w:footnoteRef/>
      </w:r>
      <w:r>
        <w:t xml:space="preserve"> Transliterated proper noun: Asher. Standard English equivalent: Aser. Source form: Asher. Greek form: ασηρ. Name meaning: Happy; blessed.</w:t>
      </w:r>
    </w:p>
  </w:footnote>
  <w:footnote w:id="15321">
    <w:p>
      <w:pPr>
        <w:pStyle w:val="FootnoteText"/>
      </w:pPr>
      <w:r>
        <w:rPr>
          <w:rStyle w:val="FootnoteReference"/>
        </w:rPr>
        <w:footnoteRef/>
      </w:r>
      <w:r>
        <w:t xml:space="preserve"> Cross-references for "coming": Luke 2:27.</w:t>
      </w:r>
    </w:p>
  </w:footnote>
  <w:footnote w:id="15322">
    <w:p>
      <w:pPr>
        <w:pStyle w:val="FootnoteText"/>
      </w:pPr>
      <w:r>
        <w:rPr>
          <w:rStyle w:val="FootnoteReference"/>
        </w:rPr>
        <w:footnoteRef/>
      </w:r>
      <w:r>
        <w:t xml:space="preserve"> Cross-references for "performed": Deut 12:32; Matt 3:15.</w:t>
      </w:r>
    </w:p>
  </w:footnote>
  <w:footnote w:id="15323">
    <w:p>
      <w:pPr>
        <w:pStyle w:val="FootnoteText"/>
      </w:pPr>
      <w:r>
        <w:rPr>
          <w:rStyle w:val="FootnoteReference"/>
        </w:rPr>
        <w:footnoteRef/>
      </w:r>
      <w:r>
        <w:t xml:space="preserve"> Cross-references for "the child": Judg 13:24; 1Sam 2:18.</w:t>
      </w:r>
    </w:p>
  </w:footnote>
  <w:footnote w:id="15324">
    <w:p>
      <w:pPr>
        <w:pStyle w:val="FootnoteText"/>
      </w:pPr>
      <w:r>
        <w:rPr>
          <w:rStyle w:val="FootnoteReference"/>
        </w:rPr>
        <w:footnoteRef/>
      </w:r>
      <w:r>
        <w:t xml:space="preserve"> Cross-references for "went": Exod 23:14-17; Exod 34:23.</w:t>
      </w:r>
    </w:p>
  </w:footnote>
  <w:footnote w:id="15325">
    <w:p>
      <w:pPr>
        <w:pStyle w:val="FootnoteText"/>
      </w:pPr>
      <w:r>
        <w:rPr>
          <w:rStyle w:val="FootnoteReference"/>
        </w:rPr>
        <w:footnoteRef/>
      </w:r>
      <w:r>
        <w:t xml:space="preserve"> Cross-references for "both": Isa 49:1-2; Isa 50:4.</w:t>
      </w:r>
    </w:p>
  </w:footnote>
  <w:footnote w:id="15326">
    <w:p>
      <w:pPr>
        <w:pStyle w:val="FootnoteText"/>
      </w:pPr>
      <w:r>
        <w:rPr>
          <w:rStyle w:val="FootnoteReference"/>
        </w:rPr>
        <w:footnoteRef/>
      </w:r>
      <w:r>
        <w:t xml:space="preserve"> Cross-references for "kept": Gen 37:11; Dan 7:28.</w:t>
      </w:r>
    </w:p>
  </w:footnote>
  <w:footnote w:id="15327">
    <w:p>
      <w:pPr>
        <w:pStyle w:val="FootnoteText"/>
      </w:pPr>
      <w:r>
        <w:rPr>
          <w:rStyle w:val="FootnoteReference"/>
        </w:rPr>
        <w:footnoteRef/>
      </w:r>
      <w:r>
        <w:t xml:space="preserve"> Cross-references for "Jesus": 1Sam 2:26; Luke 1:80.</w:t>
      </w:r>
    </w:p>
  </w:footnote>
  <w:footnote w:id="15328">
    <w:p>
      <w:pPr>
        <w:pStyle w:val="FootnoteText"/>
      </w:pPr>
      <w:r>
        <w:rPr>
          <w:rStyle w:val="FootnoteReference"/>
        </w:rPr>
        <w:footnoteRef/>
      </w:r>
      <w:r>
        <w:t xml:space="preserve"> Transliterated proper noun: Tiberius. Standard English equivalent: Tiberius. Source form: Tiberius. Greek form: τιβεριου. Name meaning: the son of Tiber.</w:t>
      </w:r>
    </w:p>
  </w:footnote>
  <w:footnote w:id="15329">
    <w:p>
      <w:pPr>
        <w:pStyle w:val="FootnoteText"/>
      </w:pPr>
      <w:r>
        <w:rPr>
          <w:rStyle w:val="FootnoteReference"/>
        </w:rPr>
        <w:footnoteRef/>
      </w:r>
      <w:r>
        <w:t xml:space="preserve"> Place name: Ituraea. Place-name meaning: Ituraea — land of Jetur; enclosed/guarded region. Source form: Ituraea. Greek form: ιτουραιας.</w:t>
      </w:r>
    </w:p>
  </w:footnote>
  <w:footnote w:id="15330">
    <w:p>
      <w:pPr>
        <w:pStyle w:val="FootnoteText"/>
      </w:pPr>
      <w:r>
        <w:rPr>
          <w:rStyle w:val="FootnoteReference"/>
        </w:rPr>
        <w:footnoteRef/>
      </w:r>
      <w:r>
        <w:t xml:space="preserve"> Place name: Trachonitis. Place-name meaning: Trachonitis — stony. Source form: Trachonitis. Greek form: τραχωνιτιδος.</w:t>
      </w:r>
    </w:p>
  </w:footnote>
  <w:footnote w:id="15331">
    <w:p>
      <w:pPr>
        <w:pStyle w:val="FootnoteText"/>
      </w:pPr>
      <w:r>
        <w:rPr>
          <w:rStyle w:val="FootnoteReference"/>
        </w:rPr>
        <w:footnoteRef/>
      </w:r>
      <w:r>
        <w:t xml:space="preserve"> Personal name: Lysanias. Personal-name meaning: Lysanias — that drives away sorrow. Source form: Lysanias.</w:t>
      </w:r>
    </w:p>
  </w:footnote>
  <w:footnote w:id="15332">
    <w:p>
      <w:pPr>
        <w:pStyle w:val="FootnoteText"/>
      </w:pPr>
      <w:r>
        <w:rPr>
          <w:rStyle w:val="FootnoteReference"/>
        </w:rPr>
        <w:footnoteRef/>
      </w:r>
      <w:r>
        <w:t xml:space="preserve"> Place name: Abilene. Place-name meaning: Abilene — the father of mourning. Source form: Abilene. Greek form: αβιληνης.</w:t>
      </w:r>
    </w:p>
  </w:footnote>
  <w:footnote w:id="15333">
    <w:p>
      <w:pPr>
        <w:pStyle w:val="FootnoteText"/>
      </w:pPr>
      <w:r>
        <w:rPr>
          <w:rStyle w:val="FootnoteReference"/>
        </w:rPr>
        <w:footnoteRef/>
      </w:r>
      <w:r>
        <w:t xml:space="preserve"> Cross-references for "Tiberius Caesar": Luke 2:1.</w:t>
      </w:r>
    </w:p>
  </w:footnote>
  <w:footnote w:id="15334">
    <w:p>
      <w:pPr>
        <w:pStyle w:val="FootnoteText"/>
      </w:pPr>
      <w:r>
        <w:rPr>
          <w:rStyle w:val="FootnoteReference"/>
        </w:rPr>
        <w:footnoteRef/>
      </w:r>
      <w:r>
        <w:t xml:space="preserve"> Personal name: Annas. Personal-name meaning: Annas — one who answers; humble. Source form: Annas.</w:t>
      </w:r>
    </w:p>
  </w:footnote>
  <w:footnote w:id="15335">
    <w:p>
      <w:pPr>
        <w:pStyle w:val="FootnoteText"/>
      </w:pPr>
      <w:r>
        <w:rPr>
          <w:rStyle w:val="FootnoteReference"/>
        </w:rPr>
        <w:footnoteRef/>
      </w:r>
      <w:r>
        <w:t xml:space="preserve"> Cross-references for "Annas": John 11:49-51; John 18:13-14.</w:t>
      </w:r>
    </w:p>
  </w:footnote>
  <w:footnote w:id="15336">
    <w:p>
      <w:pPr>
        <w:pStyle w:val="FootnoteText"/>
      </w:pPr>
      <w:r>
        <w:rPr>
          <w:rStyle w:val="FootnoteReference"/>
        </w:rPr>
        <w:footnoteRef/>
      </w:r>
      <w:r>
        <w:t xml:space="preserve"> Cross-references for "the country": Matt 3:5; Mark 1:4-5.</w:t>
      </w:r>
    </w:p>
  </w:footnote>
  <w:footnote w:id="15337">
    <w:p>
      <w:pPr>
        <w:pStyle w:val="FootnoteText"/>
      </w:pPr>
      <w:r>
        <w:rPr>
          <w:rStyle w:val="FootnoteReference"/>
        </w:rPr>
        <w:footnoteRef/>
      </w:r>
      <w:r>
        <w:t xml:space="preserve"> Cross-references for "The voice": Isa 40:3-5; Matt 3:3.</w:t>
      </w:r>
    </w:p>
  </w:footnote>
  <w:footnote w:id="15338">
    <w:p>
      <w:pPr>
        <w:pStyle w:val="FootnoteText"/>
      </w:pPr>
      <w:r>
        <w:rPr>
          <w:rStyle w:val="FootnoteReference"/>
        </w:rPr>
        <w:footnoteRef/>
      </w:r>
      <w:r>
        <w:t xml:space="preserve"> Cross-references for "valley": Isa 2:11-17; Isa 35:6-8.</w:t>
      </w:r>
    </w:p>
  </w:footnote>
  <w:footnote w:id="15339">
    <w:p>
      <w:pPr>
        <w:pStyle w:val="FootnoteText"/>
      </w:pPr>
      <w:r>
        <w:rPr>
          <w:rStyle w:val="FootnoteReference"/>
        </w:rPr>
        <w:footnoteRef/>
      </w:r>
      <w:r>
        <w:t xml:space="preserve"> Cross-references for "to flee": 1Thess 1:10; Heb 6:18.</w:t>
      </w:r>
    </w:p>
  </w:footnote>
  <w:footnote w:id="15340">
    <w:p>
      <w:pPr>
        <w:pStyle w:val="FootnoteText"/>
      </w:pPr>
      <w:r>
        <w:rPr>
          <w:rStyle w:val="FootnoteReference"/>
        </w:rPr>
        <w:footnoteRef/>
      </w:r>
      <w:r>
        <w:t xml:space="preserve"> Cross-references for "fruits": Isa 1:16-18; Ezek 18:27-31.</w:t>
      </w:r>
    </w:p>
  </w:footnote>
  <w:footnote w:id="15341">
    <w:p>
      <w:pPr>
        <w:pStyle w:val="FootnoteText"/>
      </w:pPr>
      <w:r>
        <w:rPr>
          <w:rStyle w:val="FootnoteReference"/>
        </w:rPr>
        <w:footnoteRef/>
      </w:r>
      <w:r>
        <w:t xml:space="preserve"> Cross-references for "the soldiers": Matt 8:5; Acts 10:7.</w:t>
      </w:r>
    </w:p>
  </w:footnote>
  <w:footnote w:id="15342">
    <w:p>
      <w:pPr>
        <w:pStyle w:val="FootnoteText"/>
      </w:pPr>
      <w:r>
        <w:rPr>
          <w:rStyle w:val="FootnoteReference"/>
        </w:rPr>
        <w:footnoteRef/>
      </w:r>
      <w:r>
        <w:t xml:space="preserve"> Cross-references for "expectation": John 10:24.</w:t>
      </w:r>
    </w:p>
  </w:footnote>
  <w:footnote w:id="15343">
    <w:p>
      <w:pPr>
        <w:pStyle w:val="FootnoteText"/>
      </w:pPr>
      <w:r>
        <w:rPr>
          <w:rStyle w:val="FootnoteReference"/>
        </w:rPr>
        <w:footnoteRef/>
      </w:r>
      <w:r>
        <w:t xml:space="preserve"> Cross-references for "I indeed": Matt 3:11; Mark 1:7-8.</w:t>
      </w:r>
    </w:p>
  </w:footnote>
  <w:footnote w:id="15344">
    <w:p>
      <w:pPr>
        <w:pStyle w:val="FootnoteText"/>
      </w:pPr>
      <w:r>
        <w:rPr>
          <w:rStyle w:val="FootnoteReference"/>
        </w:rPr>
        <w:footnoteRef/>
      </w:r>
      <w:r>
        <w:t xml:space="preserve"> Translation note: Greek ptuon refers to a winnowing implement. The draft uses winnowing fork rather than the older fan.</w:t>
      </w:r>
    </w:p>
  </w:footnote>
  <w:footnote w:id="15345">
    <w:p>
      <w:pPr>
        <w:pStyle w:val="FootnoteText"/>
      </w:pPr>
      <w:r>
        <w:rPr>
          <w:rStyle w:val="FootnoteReference"/>
        </w:rPr>
        <w:footnoteRef/>
      </w:r>
      <w:r>
        <w:t xml:space="preserve"> Translation note: Greek halona is the threshing floor. The draft keeps the threshing-floor image rather than the older floor alone.</w:t>
      </w:r>
    </w:p>
  </w:footnote>
  <w:footnote w:id="15346">
    <w:p>
      <w:pPr>
        <w:pStyle w:val="FootnoteText"/>
      </w:pPr>
      <w:r>
        <w:rPr>
          <w:rStyle w:val="FootnoteReference"/>
        </w:rPr>
        <w:footnoteRef/>
      </w:r>
      <w:r>
        <w:t xml:space="preserve"> Cross-references for "and will": Mic 4:12; Matt 13:30.</w:t>
      </w:r>
    </w:p>
  </w:footnote>
  <w:footnote w:id="15347">
    <w:p>
      <w:pPr>
        <w:pStyle w:val="FootnoteText"/>
      </w:pPr>
      <w:r>
        <w:rPr>
          <w:rStyle w:val="FootnoteReference"/>
        </w:rPr>
        <w:footnoteRef/>
      </w:r>
      <w:r>
        <w:t xml:space="preserve"> Translation note: Greek apotheken means storehouse or barn. The draft uses storehouse rather than the older garner.</w:t>
      </w:r>
    </w:p>
  </w:footnote>
  <w:footnote w:id="15348">
    <w:p>
      <w:pPr>
        <w:pStyle w:val="FootnoteText"/>
      </w:pPr>
      <w:r>
        <w:rPr>
          <w:rStyle w:val="FootnoteReference"/>
        </w:rPr>
        <w:footnoteRef/>
      </w:r>
      <w:r>
        <w:t xml:space="preserve"> Cross-references for "and praying": Luke 9:28-29; John 12:27-28.</w:t>
      </w:r>
    </w:p>
  </w:footnote>
  <w:footnote w:id="15349">
    <w:p>
      <w:pPr>
        <w:pStyle w:val="FootnoteText"/>
      </w:pPr>
      <w:r>
        <w:rPr>
          <w:rStyle w:val="FootnoteReference"/>
        </w:rPr>
        <w:footnoteRef/>
      </w:r>
      <w:r>
        <w:t xml:space="preserve"> Cross-references for "thirty": Gen 41:46; Num 4:3.</w:t>
      </w:r>
    </w:p>
  </w:footnote>
  <w:footnote w:id="15350">
    <w:p>
      <w:pPr>
        <w:pStyle w:val="FootnoteText"/>
      </w:pPr>
      <w:r>
        <w:rPr>
          <w:rStyle w:val="FootnoteReference"/>
        </w:rPr>
        <w:footnoteRef/>
      </w:r>
      <w:r>
        <w:t xml:space="preserve"> Personal name: Heli. Personal-name meaning: Heli — My God; high. Source form: Heli.</w:t>
      </w:r>
    </w:p>
  </w:footnote>
  <w:footnote w:id="15351">
    <w:p>
      <w:pPr>
        <w:pStyle w:val="FootnoteText"/>
      </w:pPr>
      <w:r>
        <w:rPr>
          <w:rStyle w:val="FootnoteReference"/>
        </w:rPr>
        <w:footnoteRef/>
      </w:r>
      <w:r>
        <w:t xml:space="preserve"> Personal name: Matthat. Personal-name meaning: Matthat — gift. Source form: Matthat.</w:t>
      </w:r>
    </w:p>
  </w:footnote>
  <w:footnote w:id="15352">
    <w:p>
      <w:pPr>
        <w:pStyle w:val="FootnoteText"/>
      </w:pPr>
      <w:r>
        <w:rPr>
          <w:rStyle w:val="FootnoteReference"/>
        </w:rPr>
        <w:footnoteRef/>
      </w:r>
      <w:r>
        <w:t xml:space="preserve"> Personal name: Melchi. Personal-name meaning: Melchi — my king; my counsel. Source form: Melchi.</w:t>
      </w:r>
    </w:p>
  </w:footnote>
  <w:footnote w:id="15353">
    <w:p>
      <w:pPr>
        <w:pStyle w:val="FootnoteText"/>
      </w:pPr>
      <w:r>
        <w:rPr>
          <w:rStyle w:val="FootnoteReference"/>
        </w:rPr>
        <w:footnoteRef/>
      </w:r>
      <w:r>
        <w:t xml:space="preserve"> Transliterated proper noun: Janna. Standard English equivalent: Janna. Source form: Janna. Greek form: ιαννα. Name meaning: who speaks or answers; afflicted; poor.</w:t>
      </w:r>
    </w:p>
  </w:footnote>
  <w:footnote w:id="15354">
    <w:p>
      <w:pPr>
        <w:pStyle w:val="FootnoteText"/>
      </w:pPr>
      <w:r>
        <w:rPr>
          <w:rStyle w:val="FootnoteReference"/>
        </w:rPr>
        <w:footnoteRef/>
      </w:r>
      <w:r>
        <w:t xml:space="preserve"> Personal name: Mattathias. Personal-name meaning: Mattathias — the gift of the Lord. Source form: Mattathias.</w:t>
      </w:r>
    </w:p>
  </w:footnote>
  <w:footnote w:id="15355">
    <w:p>
      <w:pPr>
        <w:pStyle w:val="FootnoteText"/>
      </w:pPr>
      <w:r>
        <w:rPr>
          <w:rStyle w:val="FootnoteReference"/>
        </w:rPr>
        <w:footnoteRef/>
      </w:r>
      <w:r>
        <w:t xml:space="preserve"> Personal name: Amos. Personal-name meaning: Amos — loading; weighty. Source form: Amos.</w:t>
      </w:r>
    </w:p>
  </w:footnote>
  <w:footnote w:id="15356">
    <w:p>
      <w:pPr>
        <w:pStyle w:val="FootnoteText"/>
      </w:pPr>
      <w:r>
        <w:rPr>
          <w:rStyle w:val="FootnoteReference"/>
        </w:rPr>
        <w:footnoteRef/>
      </w:r>
      <w:r>
        <w:t xml:space="preserve"> Transliterated proper noun: Naum. Standard English equivalent: Naum. Source form: Naum. Greek form: ναουμ. Name meaning: comforter; penitent.</w:t>
      </w:r>
    </w:p>
  </w:footnote>
  <w:footnote w:id="15357">
    <w:p>
      <w:pPr>
        <w:pStyle w:val="FootnoteText"/>
      </w:pPr>
      <w:r>
        <w:rPr>
          <w:rStyle w:val="FootnoteReference"/>
        </w:rPr>
        <w:footnoteRef/>
      </w:r>
      <w:r>
        <w:t xml:space="preserve"> Personal name: Esli. Personal-name meaning: Esli — near me; he who separates. Source form: Esli.</w:t>
      </w:r>
    </w:p>
  </w:footnote>
  <w:footnote w:id="15358">
    <w:p>
      <w:pPr>
        <w:pStyle w:val="FootnoteText"/>
      </w:pPr>
      <w:r>
        <w:rPr>
          <w:rStyle w:val="FootnoteReference"/>
        </w:rPr>
        <w:footnoteRef/>
      </w:r>
      <w:r>
        <w:t xml:space="preserve"> Transliterated proper noun: Nagge. Standard English equivalent: Nagge. Source form: Nagge. Greek form: ναγγαι. Name meaning: clearness; brightness; light.</w:t>
      </w:r>
    </w:p>
  </w:footnote>
  <w:footnote w:id="15359">
    <w:p>
      <w:pPr>
        <w:pStyle w:val="FootnoteText"/>
      </w:pPr>
      <w:r>
        <w:rPr>
          <w:rStyle w:val="FootnoteReference"/>
        </w:rPr>
        <w:footnoteRef/>
      </w:r>
      <w:r>
        <w:t xml:space="preserve"> Personal name: Maath. Personal-name meaning: Maath — wiping away; breaking; fearing; smiting. Source form: Maath.</w:t>
      </w:r>
    </w:p>
  </w:footnote>
  <w:footnote w:id="15360">
    <w:p>
      <w:pPr>
        <w:pStyle w:val="FootnoteText"/>
      </w:pPr>
      <w:r>
        <w:rPr>
          <w:rStyle w:val="FootnoteReference"/>
        </w:rPr>
        <w:footnoteRef/>
      </w:r>
      <w:r>
        <w:t xml:space="preserve"> Personal name: Semei. Personal-name meaning: Semei — hearing; obeying. Source form: Semei.</w:t>
      </w:r>
    </w:p>
  </w:footnote>
  <w:footnote w:id="15361">
    <w:p>
      <w:pPr>
        <w:pStyle w:val="FootnoteText"/>
      </w:pPr>
      <w:r>
        <w:rPr>
          <w:rStyle w:val="FootnoteReference"/>
        </w:rPr>
        <w:footnoteRef/>
      </w:r>
      <w:r>
        <w:t xml:space="preserve"> Personal name: Joanna. Personal-name meaning: Joanna — grace or gift of the Lord. Source form: Joanna.</w:t>
      </w:r>
    </w:p>
  </w:footnote>
  <w:footnote w:id="15362">
    <w:p>
      <w:pPr>
        <w:pStyle w:val="FootnoteText"/>
      </w:pPr>
      <w:r>
        <w:rPr>
          <w:rStyle w:val="FootnoteReference"/>
        </w:rPr>
        <w:footnoteRef/>
      </w:r>
      <w:r>
        <w:t xml:space="preserve"> Personal name: Rhesa. Personal-name meaning: Rhesa — will; course. Source form: Rhesa.</w:t>
      </w:r>
    </w:p>
  </w:footnote>
  <w:footnote w:id="15363">
    <w:p>
      <w:pPr>
        <w:pStyle w:val="FootnoteText"/>
      </w:pPr>
      <w:r>
        <w:rPr>
          <w:rStyle w:val="FootnoteReference"/>
        </w:rPr>
        <w:footnoteRef/>
      </w:r>
      <w:r>
        <w:t xml:space="preserve"> Personal name: Neri. Personal-name meaning: Neri — my light. Source form: Neri.</w:t>
      </w:r>
    </w:p>
  </w:footnote>
  <w:footnote w:id="15364">
    <w:p>
      <w:pPr>
        <w:pStyle w:val="FootnoteText"/>
      </w:pPr>
      <w:r>
        <w:rPr>
          <w:rStyle w:val="FootnoteReference"/>
        </w:rPr>
        <w:footnoteRef/>
      </w:r>
      <w:r>
        <w:t xml:space="preserve"> Personal name: Addi. Personal-name meaning: Addi — my witness; adorned; prey. Source form: Addi.</w:t>
      </w:r>
    </w:p>
  </w:footnote>
  <w:footnote w:id="15365">
    <w:p>
      <w:pPr>
        <w:pStyle w:val="FootnoteText"/>
      </w:pPr>
      <w:r>
        <w:rPr>
          <w:rStyle w:val="FootnoteReference"/>
        </w:rPr>
        <w:footnoteRef/>
      </w:r>
      <w:r>
        <w:t xml:space="preserve"> Personal name: Cosam. Personal-name meaning: Cosam — divining. Source form: Cosam.</w:t>
      </w:r>
    </w:p>
  </w:footnote>
  <w:footnote w:id="15366">
    <w:p>
      <w:pPr>
        <w:pStyle w:val="FootnoteText"/>
      </w:pPr>
      <w:r>
        <w:rPr>
          <w:rStyle w:val="FootnoteReference"/>
        </w:rPr>
        <w:footnoteRef/>
      </w:r>
      <w:r>
        <w:t xml:space="preserve"> Transliterated proper noun: Elmodam. Standard English equivalent: Elmodam. Source form: Elmodam. Greek form: ελμωδαμ. Name meaning: the God of measure, or of the garment.</w:t>
      </w:r>
    </w:p>
  </w:footnote>
  <w:footnote w:id="15367">
    <w:p>
      <w:pPr>
        <w:pStyle w:val="FootnoteText"/>
      </w:pPr>
      <w:r>
        <w:rPr>
          <w:rStyle w:val="FootnoteReference"/>
        </w:rPr>
        <w:footnoteRef/>
      </w:r>
      <w:r>
        <w:t xml:space="preserve"> Personal name: Er. Personal-name meaning: Er — watchman. Source form: Er.</w:t>
      </w:r>
    </w:p>
  </w:footnote>
  <w:footnote w:id="15368">
    <w:p>
      <w:pPr>
        <w:pStyle w:val="FootnoteText"/>
      </w:pPr>
      <w:r>
        <w:rPr>
          <w:rStyle w:val="FootnoteReference"/>
        </w:rPr>
        <w:footnoteRef/>
      </w:r>
      <w:r>
        <w:t xml:space="preserve"> Transliterated proper noun: Jose. Standard English equivalent: Jose. Source form: Jose. Greek form: ιωση. Name meaning: raised; who pardons.</w:t>
      </w:r>
    </w:p>
  </w:footnote>
  <w:footnote w:id="15369">
    <w:p>
      <w:pPr>
        <w:pStyle w:val="FootnoteText"/>
      </w:pPr>
      <w:r>
        <w:rPr>
          <w:rStyle w:val="FootnoteReference"/>
        </w:rPr>
        <w:footnoteRef/>
      </w:r>
      <w:r>
        <w:t xml:space="preserve"> Personal name: Eliezer. Personal-name meaning: Eliezer — help, or court, of my God. Source form: Eliezer.</w:t>
      </w:r>
    </w:p>
  </w:footnote>
  <w:footnote w:id="15370">
    <w:p>
      <w:pPr>
        <w:pStyle w:val="FootnoteText"/>
      </w:pPr>
      <w:r>
        <w:rPr>
          <w:rStyle w:val="FootnoteReference"/>
        </w:rPr>
        <w:footnoteRef/>
      </w:r>
      <w:r>
        <w:t xml:space="preserve"> Personal name: Jorim. Personal-name meaning: Jorim — he that exalts the Lord. Source form: Jorim.</w:t>
      </w:r>
    </w:p>
  </w:footnote>
  <w:footnote w:id="15371">
    <w:p>
      <w:pPr>
        <w:pStyle w:val="FootnoteText"/>
      </w:pPr>
      <w:r>
        <w:rPr>
          <w:rStyle w:val="FootnoteReference"/>
        </w:rPr>
        <w:footnoteRef/>
      </w:r>
      <w:r>
        <w:t xml:space="preserve"> Transliterated proper noun: Jonan. Standard English equivalent: Jonan. Source form: Jonan. Greek form: ιωναν. Name meaning: a dove; multiplying of the people.</w:t>
      </w:r>
    </w:p>
  </w:footnote>
  <w:footnote w:id="15372">
    <w:p>
      <w:pPr>
        <w:pStyle w:val="FootnoteText"/>
      </w:pPr>
      <w:r>
        <w:rPr>
          <w:rStyle w:val="FootnoteReference"/>
        </w:rPr>
        <w:footnoteRef/>
      </w:r>
      <w:r>
        <w:t xml:space="preserve"> Personal name: Melea. Personal-name meaning: Melea — supplying; supplied. Source form: Melea.</w:t>
      </w:r>
    </w:p>
  </w:footnote>
  <w:footnote w:id="15373">
    <w:p>
      <w:pPr>
        <w:pStyle w:val="FootnoteText"/>
      </w:pPr>
      <w:r>
        <w:rPr>
          <w:rStyle w:val="FootnoteReference"/>
        </w:rPr>
        <w:footnoteRef/>
      </w:r>
      <w:r>
        <w:t xml:space="preserve"> Transliterated proper noun: Menan. Standard English equivalent: Menan. Source form: Menan. Greek form: μεναμ. Name meaning: numbered; rewarded; prepared.</w:t>
      </w:r>
    </w:p>
  </w:footnote>
  <w:footnote w:id="15374">
    <w:p>
      <w:pPr>
        <w:pStyle w:val="FootnoteText"/>
      </w:pPr>
      <w:r>
        <w:rPr>
          <w:rStyle w:val="FootnoteReference"/>
        </w:rPr>
        <w:footnoteRef/>
      </w:r>
      <w:r>
        <w:t xml:space="preserve"> Personal name: Mattatha. Personal-name meaning: Mattatha — his gift. Source form: Mattatha.</w:t>
      </w:r>
    </w:p>
  </w:footnote>
  <w:footnote w:id="15375">
    <w:p>
      <w:pPr>
        <w:pStyle w:val="FootnoteText"/>
      </w:pPr>
      <w:r>
        <w:rPr>
          <w:rStyle w:val="FootnoteReference"/>
        </w:rPr>
        <w:footnoteRef/>
      </w:r>
      <w:r>
        <w:t xml:space="preserve"> Personal name: Nathan. Personal-name meaning: Nathan — He gave; gift. Source form: Nathan.</w:t>
      </w:r>
    </w:p>
  </w:footnote>
  <w:footnote w:id="15376">
    <w:p>
      <w:pPr>
        <w:pStyle w:val="FootnoteText"/>
      </w:pPr>
      <w:r>
        <w:rPr>
          <w:rStyle w:val="FootnoteReference"/>
        </w:rPr>
        <w:footnoteRef/>
      </w:r>
      <w:r>
        <w:t xml:space="preserve"> Cross-references for "of Nathan": 2Sam 5:14; 1Chr 3:5.</w:t>
      </w:r>
    </w:p>
  </w:footnote>
  <w:footnote w:id="15377">
    <w:p>
      <w:pPr>
        <w:pStyle w:val="FootnoteText"/>
      </w:pPr>
      <w:r>
        <w:rPr>
          <w:rStyle w:val="FootnoteReference"/>
        </w:rPr>
        <w:footnoteRef/>
      </w:r>
      <w:r>
        <w:t xml:space="preserve"> Cross-references for "was the son of Jesse": Ruth 4:18-22; 1Sam 17:58.</w:t>
      </w:r>
    </w:p>
  </w:footnote>
  <w:footnote w:id="15378">
    <w:p>
      <w:pPr>
        <w:pStyle w:val="FootnoteText"/>
      </w:pPr>
      <w:r>
        <w:rPr>
          <w:rStyle w:val="FootnoteReference"/>
        </w:rPr>
        <w:footnoteRef/>
      </w:r>
      <w:r>
        <w:t xml:space="preserve"> Cross-references for "which was the son of Isaac": Gen 21:3; Gen 25:26.</w:t>
      </w:r>
    </w:p>
  </w:footnote>
  <w:footnote w:id="15379">
    <w:p>
      <w:pPr>
        <w:pStyle w:val="FootnoteText"/>
      </w:pPr>
      <w:r>
        <w:rPr>
          <w:rStyle w:val="FootnoteReference"/>
        </w:rPr>
        <w:footnoteRef/>
      </w:r>
      <w:r>
        <w:t xml:space="preserve"> Transliterated proper noun: Terah. Standard English equivalent: Thara. Source form: Terah. Greek form: θαρα. Name meaning: to breathe; scent; blow.</w:t>
      </w:r>
    </w:p>
  </w:footnote>
  <w:footnote w:id="15380">
    <w:p>
      <w:pPr>
        <w:pStyle w:val="FootnoteText"/>
      </w:pPr>
      <w:r>
        <w:rPr>
          <w:rStyle w:val="FootnoteReference"/>
        </w:rPr>
        <w:footnoteRef/>
      </w:r>
      <w:r>
        <w:t xml:space="preserve"> Transliterated proper noun: Nahor. Standard English equivalent: Nachor. Source form: Nahor. Greek form: ναχωρ. Name meaning: hoarse; dry; hot.</w:t>
      </w:r>
    </w:p>
  </w:footnote>
  <w:footnote w:id="15381">
    <w:p>
      <w:pPr>
        <w:pStyle w:val="FootnoteText"/>
      </w:pPr>
      <w:r>
        <w:rPr>
          <w:rStyle w:val="FootnoteReference"/>
        </w:rPr>
        <w:footnoteRef/>
      </w:r>
      <w:r>
        <w:t xml:space="preserve"> Transliterated proper noun: Thara. Standard English equivalent: Terah. Source form: Thara. Greek form: θαρα. Name meaning: to breathe; scent; blow.</w:t>
      </w:r>
    </w:p>
  </w:footnote>
  <w:footnote w:id="15382">
    <w:p>
      <w:pPr>
        <w:pStyle w:val="FootnoteText"/>
      </w:pPr>
      <w:r>
        <w:rPr>
          <w:rStyle w:val="FootnoteReference"/>
        </w:rPr>
        <w:footnoteRef/>
      </w:r>
      <w:r>
        <w:t xml:space="preserve"> Transliterated proper noun: Nachor. Standard English equivalent: Nahor. Source form: Nachor. Greek form: ναχωρ. Name meaning: hoarse; dry; hot.</w:t>
      </w:r>
    </w:p>
  </w:footnote>
  <w:footnote w:id="15383">
    <w:p>
      <w:pPr>
        <w:pStyle w:val="FootnoteText"/>
      </w:pPr>
      <w:r>
        <w:rPr>
          <w:rStyle w:val="FootnoteReference"/>
        </w:rPr>
        <w:footnoteRef/>
      </w:r>
      <w:r>
        <w:t xml:space="preserve"> Transliterated proper noun: Saruch. Standard English equivalent: Serug. Source form: Saruch. Greek form: σαρουχ. Name meaning: branch; layer; twining.</w:t>
      </w:r>
    </w:p>
  </w:footnote>
  <w:footnote w:id="15384">
    <w:p>
      <w:pPr>
        <w:pStyle w:val="FootnoteText"/>
      </w:pPr>
      <w:r>
        <w:rPr>
          <w:rStyle w:val="FootnoteReference"/>
        </w:rPr>
        <w:footnoteRef/>
      </w:r>
      <w:r>
        <w:t xml:space="preserve"> Transliterated proper noun: Ragau. Standard English equivalent: Reu. Source form: Ragau. Greek form: ραγαυ. Name meaning: his friend; his shepherd.</w:t>
      </w:r>
    </w:p>
  </w:footnote>
  <w:footnote w:id="15385">
    <w:p>
      <w:pPr>
        <w:pStyle w:val="FootnoteText"/>
      </w:pPr>
      <w:r>
        <w:rPr>
          <w:rStyle w:val="FootnoteReference"/>
        </w:rPr>
        <w:footnoteRef/>
      </w:r>
      <w:r>
        <w:t xml:space="preserve"> Transliterated proper noun: Phalec. Standard English equivalent: Peleg. Source form: Phalec. Greek form: φαλεκ. Name meaning: division.</w:t>
      </w:r>
    </w:p>
  </w:footnote>
  <w:footnote w:id="15386">
    <w:p>
      <w:pPr>
        <w:pStyle w:val="FootnoteText"/>
      </w:pPr>
      <w:r>
        <w:rPr>
          <w:rStyle w:val="FootnoteReference"/>
        </w:rPr>
        <w:footnoteRef/>
      </w:r>
      <w:r>
        <w:t xml:space="preserve"> Personal name: Heber. Personal-name meaning: Heber — one that passes; anger. Source form: Heber.</w:t>
      </w:r>
    </w:p>
  </w:footnote>
  <w:footnote w:id="15387">
    <w:p>
      <w:pPr>
        <w:pStyle w:val="FootnoteText"/>
      </w:pPr>
      <w:r>
        <w:rPr>
          <w:rStyle w:val="FootnoteReference"/>
        </w:rPr>
        <w:footnoteRef/>
      </w:r>
      <w:r>
        <w:t xml:space="preserve"> Transliterated proper noun: Sala. Standard English equivalent: Shelah. Source form: Sala. Greek form: σαλα. Name meaning: that breaks; that unties; that undresses.</w:t>
      </w:r>
    </w:p>
  </w:footnote>
  <w:footnote w:id="15388">
    <w:p>
      <w:pPr>
        <w:pStyle w:val="FootnoteText"/>
      </w:pPr>
      <w:r>
        <w:rPr>
          <w:rStyle w:val="FootnoteReference"/>
        </w:rPr>
        <w:footnoteRef/>
      </w:r>
      <w:r>
        <w:t xml:space="preserve"> Cross-references for "Heber": Gen 11:16-17.</w:t>
      </w:r>
    </w:p>
  </w:footnote>
  <w:footnote w:id="15389">
    <w:p>
      <w:pPr>
        <w:pStyle w:val="FootnoteText"/>
      </w:pPr>
      <w:r>
        <w:rPr>
          <w:rStyle w:val="FootnoteReference"/>
        </w:rPr>
        <w:footnoteRef/>
      </w:r>
      <w:r>
        <w:t xml:space="preserve"> Personal name: Cainan. Personal-name meaning: Cainan — possessor; purchaser. Source form: Cainan.</w:t>
      </w:r>
    </w:p>
  </w:footnote>
  <w:footnote w:id="15390">
    <w:p>
      <w:pPr>
        <w:pStyle w:val="FootnoteText"/>
      </w:pPr>
      <w:r>
        <w:rPr>
          <w:rStyle w:val="FootnoteReference"/>
        </w:rPr>
        <w:footnoteRef/>
      </w:r>
      <w:r>
        <w:t xml:space="preserve"> Personal name: Arphaxad. Personal-name meaning: Arphaxad — a healer; a releaser. Source form: Arphaxad.</w:t>
      </w:r>
    </w:p>
  </w:footnote>
  <w:footnote w:id="15391">
    <w:p>
      <w:pPr>
        <w:pStyle w:val="FootnoteText"/>
      </w:pPr>
      <w:r>
        <w:rPr>
          <w:rStyle w:val="FootnoteReference"/>
        </w:rPr>
        <w:footnoteRef/>
      </w:r>
      <w:r>
        <w:t xml:space="preserve"> Transliterated proper noun: Sem. Standard English equivalent: Shem. Source form: Sem. Greek form: σημ. Name meaning: Name; renown.</w:t>
      </w:r>
    </w:p>
  </w:footnote>
  <w:footnote w:id="15392">
    <w:p>
      <w:pPr>
        <w:pStyle w:val="FootnoteText"/>
      </w:pPr>
      <w:r>
        <w:rPr>
          <w:rStyle w:val="FootnoteReference"/>
        </w:rPr>
        <w:footnoteRef/>
      </w:r>
      <w:r>
        <w:t xml:space="preserve"> Personal name: Lamech. Personal-name meaning: Lamech — powerful; overthrower. Source form: Lamech.</w:t>
      </w:r>
    </w:p>
  </w:footnote>
  <w:footnote w:id="15393">
    <w:p>
      <w:pPr>
        <w:pStyle w:val="FootnoteText"/>
      </w:pPr>
      <w:r>
        <w:rPr>
          <w:rStyle w:val="FootnoteReference"/>
        </w:rPr>
        <w:footnoteRef/>
      </w:r>
      <w:r>
        <w:t xml:space="preserve"> Cross-references for "Cainan": Gen 11:12.</w:t>
      </w:r>
    </w:p>
  </w:footnote>
  <w:footnote w:id="15394">
    <w:p>
      <w:pPr>
        <w:pStyle w:val="FootnoteText"/>
      </w:pPr>
      <w:r>
        <w:rPr>
          <w:rStyle w:val="FootnoteReference"/>
        </w:rPr>
        <w:footnoteRef/>
      </w:r>
      <w:r>
        <w:t xml:space="preserve"> Transliterated proper noun: Mathusala. Standard English equivalent: Methuselah. Source form: Mathusala. Greek form: μαθουσαλα. Name meaning: When he dies, it shall be sent; man of the dart.</w:t>
      </w:r>
    </w:p>
  </w:footnote>
  <w:footnote w:id="15395">
    <w:p>
      <w:pPr>
        <w:pStyle w:val="FootnoteText"/>
      </w:pPr>
      <w:r>
        <w:rPr>
          <w:rStyle w:val="FootnoteReference"/>
        </w:rPr>
        <w:footnoteRef/>
      </w:r>
      <w:r>
        <w:t xml:space="preserve"> Place name: Enoch. Place-name meaning: Enoch — Dedicated; trained; initiated. Source form: Enoch. Greek form: ενωχ.</w:t>
      </w:r>
    </w:p>
  </w:footnote>
  <w:footnote w:id="15396">
    <w:p>
      <w:pPr>
        <w:pStyle w:val="FootnoteText"/>
      </w:pPr>
      <w:r>
        <w:rPr>
          <w:rStyle w:val="FootnoteReference"/>
        </w:rPr>
        <w:footnoteRef/>
      </w:r>
      <w:r>
        <w:t xml:space="preserve"> Personal name: Jared. Personal-name meaning: Jared — Descent; he shall come down. Source form: Jared.</w:t>
      </w:r>
    </w:p>
  </w:footnote>
  <w:footnote w:id="15397">
    <w:p>
      <w:pPr>
        <w:pStyle w:val="FootnoteText"/>
      </w:pPr>
      <w:r>
        <w:rPr>
          <w:rStyle w:val="FootnoteReference"/>
        </w:rPr>
        <w:footnoteRef/>
      </w:r>
      <w:r>
        <w:t xml:space="preserve"> Transliterated proper noun: Maleleel. Standard English equivalent: Mahalaleel. Source form: Maleleel. Greek form: μαλελεηλ. Name meaning: praise of God; shining one of God.</w:t>
      </w:r>
    </w:p>
  </w:footnote>
  <w:footnote w:id="15398">
    <w:p>
      <w:pPr>
        <w:pStyle w:val="FootnoteText"/>
      </w:pPr>
      <w:r>
        <w:rPr>
          <w:rStyle w:val="FootnoteReference"/>
        </w:rPr>
        <w:footnoteRef/>
      </w:r>
      <w:r>
        <w:t xml:space="preserve"> Personal name: Enos. Personal-name meaning: Enos — mortal man; sick; despaired of; forgetful. Source form: Enos.</w:t>
      </w:r>
    </w:p>
  </w:footnote>
  <w:footnote w:id="15399">
    <w:p>
      <w:pPr>
        <w:pStyle w:val="FootnoteText"/>
      </w:pPr>
      <w:r>
        <w:rPr>
          <w:rStyle w:val="FootnoteReference"/>
        </w:rPr>
        <w:footnoteRef/>
      </w:r>
      <w:r>
        <w:t xml:space="preserve"> Personal name: Seth. Personal-name meaning: Seth — Appointed; compensation; placed. Source form: Seth.</w:t>
      </w:r>
    </w:p>
  </w:footnote>
  <w:footnote w:id="15400">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5401">
    <w:p>
      <w:pPr>
        <w:pStyle w:val="FootnoteText"/>
      </w:pPr>
      <w:r>
        <w:rPr>
          <w:rStyle w:val="FootnoteReference"/>
        </w:rPr>
        <w:footnoteRef/>
      </w:r>
      <w:r>
        <w:t xml:space="preserve"> Cross-references for "which was the son of Adam": Gen 4:25-26; Gen 5:3.</w:t>
      </w:r>
    </w:p>
  </w:footnote>
  <w:footnote w:id="15402">
    <w:p>
      <w:pPr>
        <w:pStyle w:val="FootnoteText"/>
      </w:pPr>
      <w:r>
        <w:rPr>
          <w:rStyle w:val="FootnoteReference"/>
        </w:rPr>
        <w:footnoteRef/>
      </w:r>
      <w:r>
        <w:t xml:space="preserve"> Cross-references for "Jesus": Matt 4:1-11.</w:t>
      </w:r>
    </w:p>
  </w:footnote>
  <w:footnote w:id="15403">
    <w:p>
      <w:pPr>
        <w:pStyle w:val="FootnoteText"/>
      </w:pPr>
      <w:r>
        <w:rPr>
          <w:rStyle w:val="FootnoteReference"/>
        </w:rPr>
        <w:footnoteRef/>
      </w:r>
      <w:r>
        <w:t xml:space="preserve"> Cross-references for "forty": Exod 24:18; Exod 34:28.</w:t>
      </w:r>
    </w:p>
  </w:footnote>
  <w:footnote w:id="15404">
    <w:p>
      <w:pPr>
        <w:pStyle w:val="FootnoteText"/>
      </w:pPr>
      <w:r>
        <w:rPr>
          <w:rStyle w:val="FootnoteReference"/>
        </w:rPr>
        <w:footnoteRef/>
      </w:r>
      <w:r>
        <w:t xml:space="preserve"> Cross-references for "taking": Mark 4:8-9; 1Cor 7:31.</w:t>
      </w:r>
    </w:p>
  </w:footnote>
  <w:footnote w:id="15405">
    <w:p>
      <w:pPr>
        <w:pStyle w:val="FootnoteText"/>
      </w:pPr>
      <w:r>
        <w:rPr>
          <w:rStyle w:val="FootnoteReference"/>
        </w:rPr>
        <w:footnoteRef/>
      </w:r>
      <w:r>
        <w:t xml:space="preserve"> Cross-references for "only": 1Sam 7:3; 2Kgs 19:15.</w:t>
      </w:r>
    </w:p>
  </w:footnote>
  <w:footnote w:id="15406">
    <w:p>
      <w:pPr>
        <w:pStyle w:val="FootnoteText"/>
      </w:pPr>
      <w:r>
        <w:rPr>
          <w:rStyle w:val="FootnoteReference"/>
        </w:rPr>
        <w:footnoteRef/>
      </w:r>
      <w:r>
        <w:t xml:space="preserve"> Cross-references for "brought": Job 2:6; Matt 4:5.</w:t>
      </w:r>
    </w:p>
  </w:footnote>
  <w:footnote w:id="15407">
    <w:p>
      <w:pPr>
        <w:pStyle w:val="FootnoteText"/>
      </w:pPr>
      <w:r>
        <w:rPr>
          <w:rStyle w:val="FootnoteReference"/>
        </w:rPr>
        <w:footnoteRef/>
      </w:r>
      <w:r>
        <w:t xml:space="preserve"> Cross-references for "returned": Matt 4:12; Mark 1:14.</w:t>
      </w:r>
    </w:p>
  </w:footnote>
  <w:footnote w:id="15408">
    <w:p>
      <w:pPr>
        <w:pStyle w:val="FootnoteText"/>
      </w:pPr>
      <w:r>
        <w:rPr>
          <w:rStyle w:val="FootnoteReference"/>
        </w:rPr>
        <w:footnoteRef/>
      </w:r>
      <w:r>
        <w:t xml:space="preserve"> Cross-references for "and stood": Acts 13:14-16.</w:t>
      </w:r>
    </w:p>
  </w:footnote>
  <w:footnote w:id="15409">
    <w:p>
      <w:pPr>
        <w:pStyle w:val="FootnoteText"/>
      </w:pPr>
      <w:r>
        <w:rPr>
          <w:rStyle w:val="FootnoteReference"/>
        </w:rPr>
        <w:footnoteRef/>
      </w:r>
      <w:r>
        <w:t xml:space="preserve"> Cross-references for "the book": Luke 20:42; Acts 7:42.</w:t>
      </w:r>
    </w:p>
  </w:footnote>
  <w:footnote w:id="15410">
    <w:p>
      <w:pPr>
        <w:pStyle w:val="FootnoteText"/>
      </w:pPr>
      <w:r>
        <w:rPr>
          <w:rStyle w:val="FootnoteReference"/>
        </w:rPr>
        <w:footnoteRef/>
      </w:r>
      <w:r>
        <w:t xml:space="preserve"> Cross-references for "anointed": Ps 2:2; Ps 2:6.</w:t>
      </w:r>
    </w:p>
  </w:footnote>
  <w:footnote w:id="15411">
    <w:p>
      <w:pPr>
        <w:pStyle w:val="FootnoteText"/>
      </w:pPr>
      <w:r>
        <w:rPr>
          <w:rStyle w:val="FootnoteReference"/>
        </w:rPr>
        <w:footnoteRef/>
      </w:r>
      <w:r>
        <w:t xml:space="preserve"> Cross-references for "and sat": Matt 5:1-2; Matt 13:1-2.</w:t>
      </w:r>
    </w:p>
  </w:footnote>
  <w:footnote w:id="15412">
    <w:p>
      <w:pPr>
        <w:pStyle w:val="FootnoteText"/>
      </w:pPr>
      <w:r>
        <w:rPr>
          <w:rStyle w:val="FootnoteReference"/>
        </w:rPr>
        <w:footnoteRef/>
      </w:r>
      <w:r>
        <w:t xml:space="preserve"> Cross-references for "the gracious": Ps 45:2; Ps 45:4.</w:t>
      </w:r>
    </w:p>
  </w:footnote>
  <w:footnote w:id="15413">
    <w:p>
      <w:pPr>
        <w:pStyle w:val="FootnoteText"/>
      </w:pPr>
      <w:r>
        <w:rPr>
          <w:rStyle w:val="FootnoteReference"/>
        </w:rPr>
        <w:footnoteRef/>
      </w:r>
      <w:r>
        <w:t xml:space="preserve"> Cross-references for "Physician": Luke 6:42; Rom 2:21-22.</w:t>
      </w:r>
    </w:p>
  </w:footnote>
  <w:footnote w:id="15414">
    <w:p>
      <w:pPr>
        <w:pStyle w:val="FootnoteText"/>
      </w:pPr>
      <w:r>
        <w:rPr>
          <w:rStyle w:val="FootnoteReference"/>
        </w:rPr>
        <w:footnoteRef/>
      </w:r>
      <w:r>
        <w:t xml:space="preserve"> Cross-references for "when the": 1Kgs 17:1; 1Kgs 18:1-2.</w:t>
      </w:r>
    </w:p>
  </w:footnote>
  <w:footnote w:id="15415">
    <w:p>
      <w:pPr>
        <w:pStyle w:val="FootnoteText"/>
      </w:pPr>
      <w:r>
        <w:rPr>
          <w:rStyle w:val="FootnoteReference"/>
        </w:rPr>
        <w:footnoteRef/>
      </w:r>
      <w:r>
        <w:t xml:space="preserve"> Place name: Zarephath. Place-name meaning: Sarepta — a goldsmith's shop. Standard English equivalent: Sarepta. Source form: Zarephath. Greek form: σαρεπτα.</w:t>
      </w:r>
    </w:p>
  </w:footnote>
  <w:footnote w:id="15416">
    <w:p>
      <w:pPr>
        <w:pStyle w:val="FootnoteText"/>
      </w:pPr>
      <w:r>
        <w:rPr>
          <w:rStyle w:val="FootnoteReference"/>
        </w:rPr>
        <w:footnoteRef/>
      </w:r>
      <w:r>
        <w:t xml:space="preserve"> Personal name: Elisha. Personal-name meaning: Elisha — My God is salvation. Source form: Elisha.</w:t>
      </w:r>
    </w:p>
  </w:footnote>
  <w:footnote w:id="15417">
    <w:p>
      <w:pPr>
        <w:pStyle w:val="FootnoteText"/>
      </w:pPr>
      <w:r>
        <w:rPr>
          <w:rStyle w:val="FootnoteReference"/>
        </w:rPr>
        <w:footnoteRef/>
      </w:r>
      <w:r>
        <w:t xml:space="preserve"> Personal name: Naaman. Personal-name meaning: Naaman — beautiful; agreeable. Source form: Naaman.</w:t>
      </w:r>
    </w:p>
  </w:footnote>
  <w:footnote w:id="15418">
    <w:p>
      <w:pPr>
        <w:pStyle w:val="FootnoteText"/>
      </w:pPr>
      <w:r>
        <w:rPr>
          <w:rStyle w:val="FootnoteReference"/>
        </w:rPr>
        <w:footnoteRef/>
      </w:r>
      <w:r>
        <w:t xml:space="preserve"> Personal name: Syrian. Personal-name meaning: Syrian — Aramean/Syrian; highland. Source form: Syrian.</w:t>
      </w:r>
    </w:p>
  </w:footnote>
  <w:footnote w:id="15419">
    <w:p>
      <w:pPr>
        <w:pStyle w:val="FootnoteText"/>
      </w:pPr>
      <w:r>
        <w:rPr>
          <w:rStyle w:val="FootnoteReference"/>
        </w:rPr>
        <w:footnoteRef/>
      </w:r>
      <w:r>
        <w:t xml:space="preserve"> Cross-references for "Naaman": 2Kgs 5:1-27; Job 21:22.</w:t>
      </w:r>
    </w:p>
  </w:footnote>
  <w:footnote w:id="15420">
    <w:p>
      <w:pPr>
        <w:pStyle w:val="FootnoteText"/>
      </w:pPr>
      <w:r>
        <w:rPr>
          <w:rStyle w:val="FootnoteReference"/>
        </w:rPr>
        <w:footnoteRef/>
      </w:r>
      <w:r>
        <w:t xml:space="preserve"> Cross-references for "and thrust": John 8:37; John 8:40.</w:t>
      </w:r>
    </w:p>
  </w:footnote>
  <w:footnote w:id="15421">
    <w:p>
      <w:pPr>
        <w:pStyle w:val="FootnoteText"/>
      </w:pPr>
      <w:r>
        <w:rPr>
          <w:rStyle w:val="FootnoteReference"/>
        </w:rPr>
        <w:footnoteRef/>
      </w:r>
      <w:r>
        <w:t xml:space="preserve"> Cross-references for "taught": Matt 10:23; Acts 13:50-52.</w:t>
      </w:r>
    </w:p>
  </w:footnote>
  <w:footnote w:id="15422">
    <w:p>
      <w:pPr>
        <w:pStyle w:val="FootnoteText"/>
      </w:pPr>
      <w:r>
        <w:rPr>
          <w:rStyle w:val="FootnoteReference"/>
        </w:rPr>
        <w:footnoteRef/>
      </w:r>
      <w:r>
        <w:t xml:space="preserve"> Cross-references for "Let us alone": Luke 8:37; Acts 16:39.</w:t>
      </w:r>
    </w:p>
  </w:footnote>
  <w:footnote w:id="15423">
    <w:p>
      <w:pPr>
        <w:pStyle w:val="FootnoteText"/>
      </w:pPr>
      <w:r>
        <w:rPr>
          <w:rStyle w:val="FootnoteReference"/>
        </w:rPr>
        <w:footnoteRef/>
      </w:r>
      <w:r>
        <w:t xml:space="preserve"> Cross-references for "Jesus": Ps 50:16; Zech 3:2.</w:t>
      </w:r>
    </w:p>
  </w:footnote>
  <w:footnote w:id="15424">
    <w:p>
      <w:pPr>
        <w:pStyle w:val="FootnoteText"/>
      </w:pPr>
      <w:r>
        <w:rPr>
          <w:rStyle w:val="FootnoteReference"/>
        </w:rPr>
        <w:footnoteRef/>
      </w:r>
      <w:r>
        <w:t xml:space="preserve"> Cross-references for "they were": Matt 9:33; Matt 12:22-23.</w:t>
      </w:r>
    </w:p>
  </w:footnote>
  <w:footnote w:id="15425">
    <w:p>
      <w:pPr>
        <w:pStyle w:val="FootnoteText"/>
      </w:pPr>
      <w:r>
        <w:rPr>
          <w:rStyle w:val="FootnoteReference"/>
        </w:rPr>
        <w:footnoteRef/>
      </w:r>
      <w:r>
        <w:t xml:space="preserve"> Cross-references for "and rebuked": Luke 4:35; Luke 8:24.</w:t>
      </w:r>
    </w:p>
  </w:footnote>
  <w:footnote w:id="15426">
    <w:p>
      <w:pPr>
        <w:pStyle w:val="FootnoteText"/>
      </w:pPr>
      <w:r>
        <w:rPr>
          <w:rStyle w:val="FootnoteReference"/>
        </w:rPr>
        <w:footnoteRef/>
      </w:r>
      <w:r>
        <w:t xml:space="preserve"> Cross-references for "crying": Mark 1:25; Mark 1:34.</w:t>
      </w:r>
    </w:p>
  </w:footnote>
  <w:footnote w:id="15427">
    <w:p>
      <w:pPr>
        <w:pStyle w:val="FootnoteText"/>
      </w:pPr>
      <w:r>
        <w:rPr>
          <w:rStyle w:val="FootnoteReference"/>
        </w:rPr>
        <w:footnoteRef/>
      </w:r>
      <w:r>
        <w:t xml:space="preserve"> Cross-references for "I must": Mark 1:14-15; Mark 1:38-39.</w:t>
      </w:r>
    </w:p>
  </w:footnote>
  <w:footnote w:id="15428">
    <w:p>
      <w:pPr>
        <w:pStyle w:val="FootnoteText"/>
      </w:pPr>
      <w:r>
        <w:rPr>
          <w:rStyle w:val="FootnoteReference"/>
        </w:rPr>
        <w:footnoteRef/>
      </w:r>
      <w:r>
        <w:t xml:space="preserve"> Cross-references for "Galilee": Isa 2:19; Isa 9:1-2.</w:t>
      </w:r>
    </w:p>
  </w:footnote>
  <w:footnote w:id="15429">
    <w:p>
      <w:pPr>
        <w:pStyle w:val="FootnoteText"/>
      </w:pPr>
      <w:r>
        <w:rPr>
          <w:rStyle w:val="FootnoteReference"/>
        </w:rPr>
        <w:footnoteRef/>
      </w:r>
      <w:r>
        <w:t xml:space="preserve"> Cross-references for "the lake": Num 34:11; Josh 12:3.</w:t>
      </w:r>
    </w:p>
  </w:footnote>
  <w:footnote w:id="15430">
    <w:p>
      <w:pPr>
        <w:pStyle w:val="FootnoteText"/>
      </w:pPr>
      <w:r>
        <w:rPr>
          <w:rStyle w:val="FootnoteReference"/>
        </w:rPr>
        <w:footnoteRef/>
      </w:r>
      <w:r>
        <w:t xml:space="preserve"> Cross-references for "washing": Matt 4:21; Mark 1:19.</w:t>
      </w:r>
    </w:p>
  </w:footnote>
  <w:footnote w:id="15431">
    <w:p>
      <w:pPr>
        <w:pStyle w:val="FootnoteText"/>
      </w:pPr>
      <w:r>
        <w:rPr>
          <w:rStyle w:val="FootnoteReference"/>
        </w:rPr>
        <w:footnoteRef/>
      </w:r>
      <w:r>
        <w:t xml:space="preserve"> Cross-references for "he sat": Matt 13:1-2; Mark 4:1-2.</w:t>
      </w:r>
    </w:p>
  </w:footnote>
  <w:footnote w:id="15432">
    <w:p>
      <w:pPr>
        <w:pStyle w:val="FootnoteText"/>
      </w:pPr>
      <w:r>
        <w:rPr>
          <w:rStyle w:val="FootnoteReference"/>
        </w:rPr>
        <w:footnoteRef/>
      </w:r>
      <w:r>
        <w:t xml:space="preserve"> Cross-references for "Launch": Matt 17:27; John 21:6.</w:t>
      </w:r>
    </w:p>
  </w:footnote>
  <w:footnote w:id="15433">
    <w:p>
      <w:pPr>
        <w:pStyle w:val="FootnoteText"/>
      </w:pPr>
      <w:r>
        <w:rPr>
          <w:rStyle w:val="FootnoteReference"/>
        </w:rPr>
        <w:footnoteRef/>
      </w:r>
      <w:r>
        <w:t xml:space="preserve"> Cross-references for "nevertheless": 2Kgs 5:10-14; Ezek 37:4-7.</w:t>
      </w:r>
    </w:p>
  </w:footnote>
  <w:footnote w:id="15434">
    <w:p>
      <w:pPr>
        <w:pStyle w:val="FootnoteText"/>
      </w:pPr>
      <w:r>
        <w:rPr>
          <w:rStyle w:val="FootnoteReference"/>
        </w:rPr>
        <w:footnoteRef/>
      </w:r>
      <w:r>
        <w:t xml:space="preserve"> Cross-references for "they enclosed": 2Kgs 4:3-7; Eccl 11:6.</w:t>
      </w:r>
    </w:p>
  </w:footnote>
  <w:footnote w:id="15435">
    <w:p>
      <w:pPr>
        <w:pStyle w:val="FootnoteText"/>
      </w:pPr>
      <w:r>
        <w:rPr>
          <w:rStyle w:val="FootnoteReference"/>
        </w:rPr>
        <w:footnoteRef/>
      </w:r>
      <w:r>
        <w:t xml:space="preserve"> Cross-references for "that they should": Exod 23:5; Prov 18:24.</w:t>
      </w:r>
    </w:p>
  </w:footnote>
  <w:footnote w:id="15436">
    <w:p>
      <w:pPr>
        <w:pStyle w:val="FootnoteText"/>
      </w:pPr>
      <w:r>
        <w:rPr>
          <w:rStyle w:val="FootnoteReference"/>
        </w:rPr>
        <w:footnoteRef/>
      </w:r>
      <w:r>
        <w:t xml:space="preserve"> Cross-references for "Depart": Exod 20:19; Judg 13:22.</w:t>
      </w:r>
    </w:p>
  </w:footnote>
  <w:footnote w:id="15437">
    <w:p>
      <w:pPr>
        <w:pStyle w:val="FootnoteText"/>
      </w:pPr>
      <w:r>
        <w:rPr>
          <w:rStyle w:val="FootnoteReference"/>
        </w:rPr>
        <w:footnoteRef/>
      </w:r>
      <w:r>
        <w:t xml:space="preserve"> Cross-references for "James": Matt 4:21; Matt 20:20.</w:t>
      </w:r>
    </w:p>
  </w:footnote>
  <w:footnote w:id="15438">
    <w:p>
      <w:pPr>
        <w:pStyle w:val="FootnoteText"/>
      </w:pPr>
      <w:r>
        <w:rPr>
          <w:rStyle w:val="FootnoteReference"/>
        </w:rPr>
        <w:footnoteRef/>
      </w:r>
      <w:r>
        <w:t xml:space="preserve"> Cross-references for "a man": Matt 8:2-4; Mark 1:40-45.</w:t>
      </w:r>
    </w:p>
  </w:footnote>
  <w:footnote w:id="15439">
    <w:p>
      <w:pPr>
        <w:pStyle w:val="FootnoteText"/>
      </w:pPr>
      <w:r>
        <w:rPr>
          <w:rStyle w:val="FootnoteReference"/>
        </w:rPr>
        <w:footnoteRef/>
      </w:r>
      <w:r>
        <w:t xml:space="preserve"> Cross-references for "immediately": Luke 4:39; Luke 8:54-55.</w:t>
      </w:r>
    </w:p>
  </w:footnote>
  <w:footnote w:id="15440">
    <w:p>
      <w:pPr>
        <w:pStyle w:val="FootnoteText"/>
      </w:pPr>
      <w:r>
        <w:rPr>
          <w:rStyle w:val="FootnoteReference"/>
        </w:rPr>
        <w:footnoteRef/>
      </w:r>
      <w:r>
        <w:t xml:space="preserve"> Cross-references for "he charged": Matt 8:4; Matt 9:30.</w:t>
      </w:r>
    </w:p>
  </w:footnote>
  <w:footnote w:id="15441">
    <w:p>
      <w:pPr>
        <w:pStyle w:val="FootnoteText"/>
      </w:pPr>
      <w:r>
        <w:rPr>
          <w:rStyle w:val="FootnoteReference"/>
        </w:rPr>
        <w:footnoteRef/>
      </w:r>
      <w:r>
        <w:t xml:space="preserve"> Cross-references for "went": Matt 4:23-25; Matt 9:26.</w:t>
      </w:r>
    </w:p>
  </w:footnote>
  <w:footnote w:id="15442">
    <w:p>
      <w:pPr>
        <w:pStyle w:val="FootnoteText"/>
      </w:pPr>
      <w:r>
        <w:rPr>
          <w:rStyle w:val="FootnoteReference"/>
        </w:rPr>
        <w:footnoteRef/>
      </w:r>
      <w:r>
        <w:t xml:space="preserve"> Cross-references for "that there": Luke 5:21; Luke 5:30.</w:t>
      </w:r>
    </w:p>
  </w:footnote>
  <w:footnote w:id="15443">
    <w:p>
      <w:pPr>
        <w:pStyle w:val="FootnoteText"/>
      </w:pPr>
      <w:r>
        <w:rPr>
          <w:rStyle w:val="FootnoteReference"/>
        </w:rPr>
        <w:footnoteRef/>
      </w:r>
      <w:r>
        <w:t xml:space="preserve"> Cross-references for "they went": Mark 2:4.</w:t>
      </w:r>
    </w:p>
  </w:footnote>
  <w:footnote w:id="15444">
    <w:p>
      <w:pPr>
        <w:pStyle w:val="FootnoteText"/>
      </w:pPr>
      <w:r>
        <w:rPr>
          <w:rStyle w:val="FootnoteReference"/>
        </w:rPr>
        <w:footnoteRef/>
      </w:r>
      <w:r>
        <w:t xml:space="preserve"> Cross-references for "he saw": Gen 22:12; John 2:25.</w:t>
      </w:r>
    </w:p>
  </w:footnote>
  <w:footnote w:id="15445">
    <w:p>
      <w:pPr>
        <w:pStyle w:val="FootnoteText"/>
      </w:pPr>
      <w:r>
        <w:rPr>
          <w:rStyle w:val="FootnoteReference"/>
        </w:rPr>
        <w:footnoteRef/>
      </w:r>
      <w:r>
        <w:t xml:space="preserve"> Cross-references for "scribes": Mark 2:6-7; Luke 5:17.</w:t>
      </w:r>
    </w:p>
  </w:footnote>
  <w:footnote w:id="15446">
    <w:p>
      <w:pPr>
        <w:pStyle w:val="FootnoteText"/>
      </w:pPr>
      <w:r>
        <w:rPr>
          <w:rStyle w:val="FootnoteReference"/>
        </w:rPr>
        <w:footnoteRef/>
      </w:r>
      <w:r>
        <w:t xml:space="preserve"> Cross-references for "perceived": 1Chr 28:9; Ps 139:2.</w:t>
      </w:r>
    </w:p>
  </w:footnote>
  <w:footnote w:id="15447">
    <w:p>
      <w:pPr>
        <w:pStyle w:val="FootnoteText"/>
      </w:pPr>
      <w:r>
        <w:rPr>
          <w:rStyle w:val="FootnoteReference"/>
        </w:rPr>
        <w:footnoteRef/>
      </w:r>
      <w:r>
        <w:t xml:space="preserve"> Cross-references for "power": Isa 53:11; Matt 9:6.</w:t>
      </w:r>
    </w:p>
  </w:footnote>
  <w:footnote w:id="15448">
    <w:p>
      <w:pPr>
        <w:pStyle w:val="FootnoteText"/>
      </w:pPr>
      <w:r>
        <w:rPr>
          <w:rStyle w:val="FootnoteReference"/>
        </w:rPr>
        <w:footnoteRef/>
      </w:r>
      <w:r>
        <w:t xml:space="preserve"> Cross-references for "immediately": Gen 1:3; Ps 33:9.</w:t>
      </w:r>
    </w:p>
  </w:footnote>
  <w:footnote w:id="15449">
    <w:p>
      <w:pPr>
        <w:pStyle w:val="FootnoteText"/>
      </w:pPr>
      <w:r>
        <w:rPr>
          <w:rStyle w:val="FootnoteReference"/>
        </w:rPr>
        <w:footnoteRef/>
      </w:r>
      <w:r>
        <w:t xml:space="preserve"> Cross-references for "and were": Jer 33:9; Hos 3:5.</w:t>
      </w:r>
    </w:p>
  </w:footnote>
  <w:footnote w:id="15450">
    <w:p>
      <w:pPr>
        <w:pStyle w:val="FootnoteText"/>
      </w:pPr>
      <w:r>
        <w:rPr>
          <w:rStyle w:val="FootnoteReference"/>
        </w:rPr>
        <w:footnoteRef/>
      </w:r>
      <w:r>
        <w:t xml:space="preserve"> Cross-references for "and saw": Matt 9:9-13; Matt 10:3.</w:t>
      </w:r>
    </w:p>
  </w:footnote>
  <w:footnote w:id="15451">
    <w:p>
      <w:pPr>
        <w:pStyle w:val="FootnoteText"/>
      </w:pPr>
      <w:r>
        <w:rPr>
          <w:rStyle w:val="FootnoteReference"/>
        </w:rPr>
        <w:footnoteRef/>
      </w:r>
      <w:r>
        <w:t xml:space="preserve"> Cross-references for "made": John 12:2.</w:t>
      </w:r>
    </w:p>
  </w:footnote>
  <w:footnote w:id="15452">
    <w:p>
      <w:pPr>
        <w:pStyle w:val="FootnoteText"/>
      </w:pPr>
      <w:r>
        <w:rPr>
          <w:rStyle w:val="FootnoteReference"/>
        </w:rPr>
        <w:footnoteRef/>
      </w:r>
      <w:r>
        <w:t xml:space="preserve"> Cross-references for "and make": Prov 28:9; Isa 1:15.</w:t>
      </w:r>
    </w:p>
  </w:footnote>
  <w:footnote w:id="15453">
    <w:p>
      <w:pPr>
        <w:pStyle w:val="FootnoteText"/>
      </w:pPr>
      <w:r>
        <w:rPr>
          <w:rStyle w:val="FootnoteReference"/>
        </w:rPr>
        <w:footnoteRef/>
      </w:r>
      <w:r>
        <w:t xml:space="preserve"> Cross-references for "the children": Judg 14:10-11; Ps 45:14.</w:t>
      </w:r>
    </w:p>
  </w:footnote>
  <w:footnote w:id="15454">
    <w:p>
      <w:pPr>
        <w:pStyle w:val="FootnoteText"/>
      </w:pPr>
      <w:r>
        <w:rPr>
          <w:rStyle w:val="FootnoteReference"/>
        </w:rPr>
        <w:footnoteRef/>
      </w:r>
      <w:r>
        <w:t xml:space="preserve"> Cross-references for "the second": Exod 12:15; Lev 23:7.</w:t>
      </w:r>
    </w:p>
  </w:footnote>
  <w:footnote w:id="15455">
    <w:p>
      <w:pPr>
        <w:pStyle w:val="FootnoteText"/>
      </w:pPr>
      <w:r>
        <w:rPr>
          <w:rStyle w:val="FootnoteReference"/>
        </w:rPr>
        <w:footnoteRef/>
      </w:r>
      <w:r>
        <w:t xml:space="preserve"> Cross-references for "watched": Ps 37:32-33; Ps 38:12.</w:t>
      </w:r>
    </w:p>
  </w:footnote>
  <w:footnote w:id="15456">
    <w:p>
      <w:pPr>
        <w:pStyle w:val="FootnoteText"/>
      </w:pPr>
      <w:r>
        <w:rPr>
          <w:rStyle w:val="FootnoteReference"/>
        </w:rPr>
        <w:footnoteRef/>
      </w:r>
      <w:r>
        <w:t xml:space="preserve"> Cross-references for "Rise": Isa 42:4; John 9:4.</w:t>
      </w:r>
    </w:p>
  </w:footnote>
  <w:footnote w:id="15457">
    <w:p>
      <w:pPr>
        <w:pStyle w:val="FootnoteText"/>
      </w:pPr>
      <w:r>
        <w:rPr>
          <w:rStyle w:val="FootnoteReference"/>
        </w:rPr>
        <w:footnoteRef/>
      </w:r>
      <w:r>
        <w:t xml:space="preserve"> Cross-references for "Is it": Matt 12:12-13; Mark 3:4.</w:t>
      </w:r>
    </w:p>
  </w:footnote>
  <w:footnote w:id="15458">
    <w:p>
      <w:pPr>
        <w:pStyle w:val="FootnoteText"/>
      </w:pPr>
      <w:r>
        <w:rPr>
          <w:rStyle w:val="FootnoteReference"/>
        </w:rPr>
        <w:footnoteRef/>
      </w:r>
      <w:r>
        <w:t xml:space="preserve"> Cross-references for "looking": Mark 3:5.</w:t>
      </w:r>
    </w:p>
  </w:footnote>
  <w:footnote w:id="15459">
    <w:p>
      <w:pPr>
        <w:pStyle w:val="FootnoteText"/>
      </w:pPr>
      <w:r>
        <w:rPr>
          <w:rStyle w:val="FootnoteReference"/>
        </w:rPr>
        <w:footnoteRef/>
      </w:r>
      <w:r>
        <w:t xml:space="preserve"> Cross-references for "continued": Gen 32:24-26; Ps 22:2.</w:t>
      </w:r>
    </w:p>
  </w:footnote>
  <w:footnote w:id="15460">
    <w:p>
      <w:pPr>
        <w:pStyle w:val="FootnoteText"/>
      </w:pPr>
      <w:r>
        <w:rPr>
          <w:rStyle w:val="FootnoteReference"/>
        </w:rPr>
        <w:footnoteRef/>
      </w:r>
      <w:r>
        <w:t xml:space="preserve"> Cross-references for "twelve": Matt 19:28; Luke 22:30.</w:t>
      </w:r>
    </w:p>
  </w:footnote>
  <w:footnote w:id="15461">
    <w:p>
      <w:pPr>
        <w:pStyle w:val="FootnoteText"/>
      </w:pPr>
      <w:r>
        <w:rPr>
          <w:rStyle w:val="FootnoteReference"/>
        </w:rPr>
        <w:footnoteRef/>
      </w:r>
      <w:r>
        <w:t xml:space="preserve"> Cross-references for "Simon": Luke 5:8; John 1:40-42.</w:t>
      </w:r>
    </w:p>
  </w:footnote>
  <w:footnote w:id="15462">
    <w:p>
      <w:pPr>
        <w:pStyle w:val="FootnoteText"/>
      </w:pPr>
      <w:r>
        <w:rPr>
          <w:rStyle w:val="FootnoteReference"/>
        </w:rPr>
        <w:footnoteRef/>
      </w:r>
      <w:r>
        <w:t xml:space="preserve"> Cross-references for "Matthew": Matt 9:9; Luke 5:27.</w:t>
      </w:r>
    </w:p>
  </w:footnote>
  <w:footnote w:id="15463">
    <w:p>
      <w:pPr>
        <w:pStyle w:val="FootnoteText"/>
      </w:pPr>
      <w:r>
        <w:rPr>
          <w:rStyle w:val="FootnoteReference"/>
        </w:rPr>
        <w:footnoteRef/>
      </w:r>
      <w:r>
        <w:t xml:space="preserve"> People-name: Zealot. People-name meaning: Zealot — zealous one. Source form: Zealot.</w:t>
      </w:r>
    </w:p>
  </w:footnote>
  <w:footnote w:id="15464">
    <w:p>
      <w:pPr>
        <w:pStyle w:val="FootnoteText"/>
      </w:pPr>
      <w:r>
        <w:rPr>
          <w:rStyle w:val="FootnoteReference"/>
        </w:rPr>
        <w:footnoteRef/>
      </w:r>
      <w:r>
        <w:t xml:space="preserve"> Name meaning: Simon the Zealot (Shimon) — He has heard. Zealous revolutionary transformed into apostle.</w:t>
      </w:r>
    </w:p>
  </w:footnote>
  <w:footnote w:id="15465">
    <w:p>
      <w:pPr>
        <w:pStyle w:val="FootnoteText"/>
      </w:pPr>
      <w:r>
        <w:rPr>
          <w:rStyle w:val="FootnoteReference"/>
        </w:rPr>
        <w:footnoteRef/>
      </w:r>
      <w:r>
        <w:t xml:space="preserve"> Cross-references for "Judas the": Matt 10:3; Mark 3:18.</w:t>
      </w:r>
    </w:p>
  </w:footnote>
  <w:footnote w:id="15466">
    <w:p>
      <w:pPr>
        <w:pStyle w:val="FootnoteText"/>
      </w:pPr>
      <w:r>
        <w:rPr>
          <w:rStyle w:val="FootnoteReference"/>
        </w:rPr>
        <w:footnoteRef/>
      </w:r>
      <w:r>
        <w:t xml:space="preserve"> Name meaning: Judas (not Iscariot) (Yehudah) — Praise. Praised God; associated with the epistle of Jude.</w:t>
      </w:r>
    </w:p>
  </w:footnote>
  <w:footnote w:id="15467">
    <w:p>
      <w:pPr>
        <w:pStyle w:val="FootnoteText"/>
      </w:pPr>
      <w:r>
        <w:rPr>
          <w:rStyle w:val="FootnoteReference"/>
        </w:rPr>
        <w:footnoteRef/>
      </w:r>
      <w:r>
        <w:t xml:space="preserve"> Cross-references for "and a": Matt 4:23-25; Matt 12:15.</w:t>
      </w:r>
    </w:p>
  </w:footnote>
  <w:footnote w:id="15468">
    <w:p>
      <w:pPr>
        <w:pStyle w:val="FootnoteText"/>
      </w:pPr>
      <w:r>
        <w:rPr>
          <w:rStyle w:val="FootnoteReference"/>
        </w:rPr>
        <w:footnoteRef/>
      </w:r>
      <w:r>
        <w:t xml:space="preserve"> Cross-references for "sought": Num 21:8-9; 2Kgs 13:21.</w:t>
      </w:r>
    </w:p>
  </w:footnote>
  <w:footnote w:id="15469">
    <w:p>
      <w:pPr>
        <w:pStyle w:val="FootnoteText"/>
      </w:pPr>
      <w:r>
        <w:rPr>
          <w:rStyle w:val="FootnoteReference"/>
        </w:rPr>
        <w:footnoteRef/>
      </w:r>
      <w:r>
        <w:t xml:space="preserve"> Cross-references for "he lifted": Matt 5:2-12; Matt 12:49-50.</w:t>
      </w:r>
    </w:p>
  </w:footnote>
  <w:footnote w:id="15470">
    <w:p>
      <w:pPr>
        <w:pStyle w:val="FootnoteText"/>
      </w:pPr>
      <w:r>
        <w:rPr>
          <w:rStyle w:val="FootnoteReference"/>
        </w:rPr>
        <w:footnoteRef/>
      </w:r>
      <w:r>
        <w:t xml:space="preserve"> Cross-references for "separate": Isa 65:5; Isa 66:5.</w:t>
      </w:r>
    </w:p>
  </w:footnote>
  <w:footnote w:id="15471">
    <w:p>
      <w:pPr>
        <w:pStyle w:val="FootnoteText"/>
      </w:pPr>
      <w:r>
        <w:rPr>
          <w:rStyle w:val="FootnoteReference"/>
        </w:rPr>
        <w:footnoteRef/>
      </w:r>
      <w:r>
        <w:t xml:space="preserve"> Cross-references for "Rejoice": Acts 5:41; Rom 5:3.</w:t>
      </w:r>
    </w:p>
  </w:footnote>
  <w:footnote w:id="15472">
    <w:p>
      <w:pPr>
        <w:pStyle w:val="FootnoteText"/>
      </w:pPr>
      <w:r>
        <w:rPr>
          <w:rStyle w:val="FootnoteReference"/>
        </w:rPr>
        <w:footnoteRef/>
      </w:r>
      <w:r>
        <w:t xml:space="preserve"> Cross-references for "full": Deut 6:11-12; 1Sam 2:5.</w:t>
      </w:r>
    </w:p>
  </w:footnote>
  <w:footnote w:id="15473">
    <w:p>
      <w:pPr>
        <w:pStyle w:val="FootnoteText"/>
      </w:pPr>
      <w:r>
        <w:rPr>
          <w:rStyle w:val="FootnoteReference"/>
        </w:rPr>
        <w:footnoteRef/>
      </w:r>
      <w:r>
        <w:t xml:space="preserve"> Cross-references for "Love": Exod 23:4-5; Job 31:29-31.</w:t>
      </w:r>
    </w:p>
  </w:footnote>
  <w:footnote w:id="15474">
    <w:p>
      <w:pPr>
        <w:pStyle w:val="FootnoteText"/>
      </w:pPr>
      <w:r>
        <w:rPr>
          <w:rStyle w:val="FootnoteReference"/>
        </w:rPr>
        <w:footnoteRef/>
      </w:r>
      <w:r>
        <w:t xml:space="preserve"> Cross-references for "Bless": Luke 23:34; Acts 7:60.</w:t>
      </w:r>
    </w:p>
  </w:footnote>
  <w:footnote w:id="15475">
    <w:p>
      <w:pPr>
        <w:pStyle w:val="FootnoteText"/>
      </w:pPr>
      <w:r>
        <w:rPr>
          <w:rStyle w:val="FootnoteReference"/>
        </w:rPr>
        <w:footnoteRef/>
      </w:r>
      <w:r>
        <w:t xml:space="preserve"> Cross-references for "and him": 2Sam 19:30; Matt 5:40-41.</w:t>
      </w:r>
    </w:p>
  </w:footnote>
  <w:footnote w:id="15476">
    <w:p>
      <w:pPr>
        <w:pStyle w:val="FootnoteText"/>
      </w:pPr>
      <w:r>
        <w:rPr>
          <w:rStyle w:val="FootnoteReference"/>
        </w:rPr>
        <w:footnoteRef/>
      </w:r>
      <w:r>
        <w:t xml:space="preserve"> Cross-references for "Give": Deut 15:7-10; Ps 41:1.</w:t>
      </w:r>
    </w:p>
  </w:footnote>
  <w:footnote w:id="15477">
    <w:p>
      <w:pPr>
        <w:pStyle w:val="FootnoteText"/>
      </w:pPr>
      <w:r>
        <w:rPr>
          <w:rStyle w:val="FootnoteReference"/>
        </w:rPr>
        <w:footnoteRef/>
      </w:r>
      <w:r>
        <w:t xml:space="preserve"> Cross-references for "love": Lev 25:35-37; Ps 37:26.</w:t>
      </w:r>
    </w:p>
  </w:footnote>
  <w:footnote w:id="15478">
    <w:p>
      <w:pPr>
        <w:pStyle w:val="FootnoteText"/>
      </w:pPr>
      <w:r>
        <w:rPr>
          <w:rStyle w:val="FootnoteReference"/>
        </w:rPr>
        <w:footnoteRef/>
      </w:r>
      <w:r>
        <w:t xml:space="preserve"> Cross-references for "judge": Isa 65:5; Matt 7:1.</w:t>
      </w:r>
    </w:p>
  </w:footnote>
  <w:footnote w:id="15479">
    <w:p>
      <w:pPr>
        <w:pStyle w:val="FootnoteText"/>
      </w:pPr>
      <w:r>
        <w:rPr>
          <w:rStyle w:val="FootnoteReference"/>
        </w:rPr>
        <w:footnoteRef/>
      </w:r>
      <w:r>
        <w:t xml:space="preserve"> Cross-references for "and it": Deut 15:10; Ezra 7:27-28.</w:t>
      </w:r>
    </w:p>
  </w:footnote>
  <w:footnote w:id="15480">
    <w:p>
      <w:pPr>
        <w:pStyle w:val="FootnoteText"/>
      </w:pPr>
      <w:r>
        <w:rPr>
          <w:rStyle w:val="FootnoteReference"/>
        </w:rPr>
        <w:footnoteRef/>
      </w:r>
      <w:r>
        <w:t xml:space="preserve"> Cross-references for "disciple": Matt 10:24-25; John 13:16.</w:t>
      </w:r>
    </w:p>
  </w:footnote>
  <w:footnote w:id="15481">
    <w:p>
      <w:pPr>
        <w:pStyle w:val="FootnoteText"/>
      </w:pPr>
      <w:r>
        <w:rPr>
          <w:rStyle w:val="FootnoteReference"/>
        </w:rPr>
        <w:footnoteRef/>
      </w:r>
      <w:r>
        <w:t xml:space="preserve"> Cross-references for "hypocrite": Matt 23:13-15; Luke 13:15.</w:t>
      </w:r>
    </w:p>
  </w:footnote>
  <w:footnote w:id="15482">
    <w:p>
      <w:pPr>
        <w:pStyle w:val="FootnoteText"/>
      </w:pPr>
      <w:r>
        <w:rPr>
          <w:rStyle w:val="FootnoteReference"/>
        </w:rPr>
        <w:footnoteRef/>
      </w:r>
      <w:r>
        <w:t xml:space="preserve"> Cross-references for "good man": Ps 37:30-31; Ps 40:8-10.</w:t>
      </w:r>
    </w:p>
  </w:footnote>
  <w:footnote w:id="15483">
    <w:p>
      <w:pPr>
        <w:pStyle w:val="FootnoteText"/>
      </w:pPr>
      <w:r>
        <w:rPr>
          <w:rStyle w:val="FootnoteReference"/>
        </w:rPr>
        <w:footnoteRef/>
      </w:r>
      <w:r>
        <w:t xml:space="preserve"> Cross-references for "and laid": Prov 10:25; Isa 28:16.</w:t>
      </w:r>
    </w:p>
  </w:footnote>
  <w:footnote w:id="15484">
    <w:p>
      <w:pPr>
        <w:pStyle w:val="FootnoteText"/>
      </w:pPr>
      <w:r>
        <w:rPr>
          <w:rStyle w:val="FootnoteReference"/>
        </w:rPr>
        <w:footnoteRef/>
      </w:r>
      <w:r>
        <w:t xml:space="preserve"> Cross-references for "against": Matt 13:20-22; Matt 24:10.</w:t>
      </w:r>
    </w:p>
  </w:footnote>
  <w:footnote w:id="15485">
    <w:p>
      <w:pPr>
        <w:pStyle w:val="FootnoteText"/>
      </w:pPr>
      <w:r>
        <w:rPr>
          <w:rStyle w:val="FootnoteReference"/>
        </w:rPr>
        <w:footnoteRef/>
      </w:r>
      <w:r>
        <w:t xml:space="preserve"> Cross-references for "he entered": Matt 8:5-13.</w:t>
      </w:r>
    </w:p>
  </w:footnote>
  <w:footnote w:id="15486">
    <w:p>
      <w:pPr>
        <w:pStyle w:val="FootnoteText"/>
      </w:pPr>
      <w:r>
        <w:rPr>
          <w:rStyle w:val="FootnoteReference"/>
        </w:rPr>
        <w:footnoteRef/>
      </w:r>
      <w:r>
        <w:t xml:space="preserve"> Cross-references for "centurion's": Matt 27:54; Luke 23:47.</w:t>
      </w:r>
    </w:p>
  </w:footnote>
  <w:footnote w:id="15487">
    <w:p>
      <w:pPr>
        <w:pStyle w:val="FootnoteText"/>
      </w:pPr>
      <w:r>
        <w:rPr>
          <w:rStyle w:val="FootnoteReference"/>
        </w:rPr>
        <w:footnoteRef/>
      </w:r>
      <w:r>
        <w:t xml:space="preserve"> Cross-references for "worthy": Matt 10:11; Matt 10:13.</w:t>
      </w:r>
    </w:p>
  </w:footnote>
  <w:footnote w:id="15488">
    <w:p>
      <w:pPr>
        <w:pStyle w:val="FootnoteText"/>
      </w:pPr>
      <w:r>
        <w:rPr>
          <w:rStyle w:val="FootnoteReference"/>
        </w:rPr>
        <w:footnoteRef/>
      </w:r>
      <w:r>
        <w:t xml:space="preserve"> Cross-references for "Jesus": Matt 20:28; Mark 5:24.</w:t>
      </w:r>
    </w:p>
  </w:footnote>
  <w:footnote w:id="15489">
    <w:p>
      <w:pPr>
        <w:pStyle w:val="FootnoteText"/>
      </w:pPr>
      <w:r>
        <w:rPr>
          <w:rStyle w:val="FootnoteReference"/>
        </w:rPr>
        <w:footnoteRef/>
      </w:r>
      <w:r>
        <w:t xml:space="preserve"> Cross-references for "under": Acts 22:25-26; Acts 23:17.</w:t>
      </w:r>
    </w:p>
  </w:footnote>
  <w:footnote w:id="15490">
    <w:p>
      <w:pPr>
        <w:pStyle w:val="FootnoteText"/>
      </w:pPr>
      <w:r>
        <w:rPr>
          <w:rStyle w:val="FootnoteReference"/>
        </w:rPr>
        <w:footnoteRef/>
      </w:r>
      <w:r>
        <w:t xml:space="preserve"> Cross-references for "not in": Ps 147:19-20; Matt 9:33.</w:t>
      </w:r>
    </w:p>
  </w:footnote>
  <w:footnote w:id="15491">
    <w:p>
      <w:pPr>
        <w:pStyle w:val="FootnoteText"/>
      </w:pPr>
      <w:r>
        <w:rPr>
          <w:rStyle w:val="FootnoteReference"/>
        </w:rPr>
        <w:footnoteRef/>
      </w:r>
      <w:r>
        <w:t xml:space="preserve"> Place name: Nain. Place-name meaning: Nain — beauty; pleasantness. Source form: Nain. Greek form: ναιν.</w:t>
      </w:r>
    </w:p>
  </w:footnote>
  <w:footnote w:id="15492">
    <w:p>
      <w:pPr>
        <w:pStyle w:val="FootnoteText"/>
      </w:pPr>
      <w:r>
        <w:rPr>
          <w:rStyle w:val="FootnoteReference"/>
        </w:rPr>
        <w:footnoteRef/>
      </w:r>
      <w:r>
        <w:t xml:space="preserve"> Cross-references for "the only": Gen 22:2; Gen 22:12.</w:t>
      </w:r>
    </w:p>
  </w:footnote>
  <w:footnote w:id="15493">
    <w:p>
      <w:pPr>
        <w:pStyle w:val="FootnoteText"/>
      </w:pPr>
      <w:r>
        <w:rPr>
          <w:rStyle w:val="FootnoteReference"/>
        </w:rPr>
        <w:footnoteRef/>
      </w:r>
      <w:r>
        <w:t xml:space="preserve"> Cross-references for "Young": 1Kgs 17:21; Job 14:12.</w:t>
      </w:r>
    </w:p>
  </w:footnote>
  <w:footnote w:id="15494">
    <w:p>
      <w:pPr>
        <w:pStyle w:val="FootnoteText"/>
      </w:pPr>
      <w:r>
        <w:rPr>
          <w:rStyle w:val="FootnoteReference"/>
        </w:rPr>
        <w:footnoteRef/>
      </w:r>
      <w:r>
        <w:t xml:space="preserve"> Cross-references for "A great": Luke 7:39; Luke 9:19.</w:t>
      </w:r>
    </w:p>
  </w:footnote>
  <w:footnote w:id="15495">
    <w:p>
      <w:pPr>
        <w:pStyle w:val="FootnoteText"/>
      </w:pPr>
      <w:r>
        <w:rPr>
          <w:rStyle w:val="FootnoteReference"/>
        </w:rPr>
        <w:footnoteRef/>
      </w:r>
      <w:r>
        <w:t xml:space="preserve"> Cross-references for "plagues": 1Kgs 8:37; Ps 90:7-9.</w:t>
      </w:r>
    </w:p>
  </w:footnote>
  <w:footnote w:id="15496">
    <w:p>
      <w:pPr>
        <w:pStyle w:val="FootnoteText"/>
      </w:pPr>
      <w:r>
        <w:rPr>
          <w:rStyle w:val="FootnoteReference"/>
        </w:rPr>
        <w:footnoteRef/>
      </w:r>
      <w:r>
        <w:t xml:space="preserve"> Cross-references for "the lame": Matt 15:30-31; Acts 3:2-8.</w:t>
      </w:r>
    </w:p>
  </w:footnote>
  <w:footnote w:id="15497">
    <w:p>
      <w:pPr>
        <w:pStyle w:val="FootnoteText"/>
      </w:pPr>
      <w:r>
        <w:rPr>
          <w:rStyle w:val="FootnoteReference"/>
        </w:rPr>
        <w:footnoteRef/>
      </w:r>
      <w:r>
        <w:t xml:space="preserve"> Cross-references for "wilderness": Matt 3:1-5; Mark 1:4-5.</w:t>
      </w:r>
    </w:p>
  </w:footnote>
  <w:footnote w:id="15498">
    <w:p>
      <w:pPr>
        <w:pStyle w:val="FootnoteText"/>
      </w:pPr>
      <w:r>
        <w:rPr>
          <w:rStyle w:val="FootnoteReference"/>
        </w:rPr>
        <w:footnoteRef/>
      </w:r>
      <w:r>
        <w:t xml:space="preserve"> Cross-references for "A man": 2Kgs 1:8; Isa 59:17.</w:t>
      </w:r>
    </w:p>
  </w:footnote>
  <w:footnote w:id="15499">
    <w:p>
      <w:pPr>
        <w:pStyle w:val="FootnoteText"/>
      </w:pPr>
      <w:r>
        <w:rPr>
          <w:rStyle w:val="FootnoteReference"/>
        </w:rPr>
        <w:footnoteRef/>
      </w:r>
      <w:r>
        <w:t xml:space="preserve"> Cross-references for "A prophet": Luke 1:76; Luke 20:6.</w:t>
      </w:r>
    </w:p>
  </w:footnote>
  <w:footnote w:id="15500">
    <w:p>
      <w:pPr>
        <w:pStyle w:val="FootnoteText"/>
      </w:pPr>
      <w:r>
        <w:rPr>
          <w:rStyle w:val="FootnoteReference"/>
        </w:rPr>
        <w:footnoteRef/>
      </w:r>
      <w:r>
        <w:t xml:space="preserve"> Cross-references for "Among": Luke 1:14-15; Luke 3:16.</w:t>
      </w:r>
    </w:p>
  </w:footnote>
  <w:footnote w:id="15501">
    <w:p>
      <w:pPr>
        <w:pStyle w:val="FootnoteText"/>
      </w:pPr>
      <w:r>
        <w:rPr>
          <w:rStyle w:val="FootnoteReference"/>
        </w:rPr>
        <w:footnoteRef/>
      </w:r>
      <w:r>
        <w:t xml:space="preserve"> Cross-references for "justified": Judg 1:7; Ps 51:4.</w:t>
      </w:r>
    </w:p>
  </w:footnote>
  <w:footnote w:id="15502">
    <w:p>
      <w:pPr>
        <w:pStyle w:val="FootnoteText"/>
      </w:pPr>
      <w:r>
        <w:rPr>
          <w:rStyle w:val="FootnoteReference"/>
        </w:rPr>
        <w:footnoteRef/>
      </w:r>
      <w:r>
        <w:t xml:space="preserve"> Cross-references for "rejected": Jer 8:8; Luke 13:34.</w:t>
      </w:r>
    </w:p>
  </w:footnote>
  <w:footnote w:id="15503">
    <w:p>
      <w:pPr>
        <w:pStyle w:val="FootnoteText"/>
      </w:pPr>
      <w:r>
        <w:rPr>
          <w:rStyle w:val="FootnoteReference"/>
        </w:rPr>
        <w:footnoteRef/>
      </w:r>
      <w:r>
        <w:t xml:space="preserve"> Cross-references for "eating": Luke 5:29; Luke 7:36.</w:t>
      </w:r>
    </w:p>
  </w:footnote>
  <w:footnote w:id="15504">
    <w:p>
      <w:pPr>
        <w:pStyle w:val="FootnoteText"/>
      </w:pPr>
      <w:r>
        <w:rPr>
          <w:rStyle w:val="FootnoteReference"/>
        </w:rPr>
        <w:footnoteRef/>
      </w:r>
      <w:r>
        <w:t xml:space="preserve"> Cross-references for "weeping": Judg 2:4-5; Ezra 10:1.</w:t>
      </w:r>
    </w:p>
  </w:footnote>
  <w:footnote w:id="15505">
    <w:p>
      <w:pPr>
        <w:pStyle w:val="FootnoteText"/>
      </w:pPr>
      <w:r>
        <w:rPr>
          <w:rStyle w:val="FootnoteReference"/>
        </w:rPr>
        <w:footnoteRef/>
      </w:r>
      <w:r>
        <w:t xml:space="preserve"> Cross-references for "This man": Luke 7:16; John 7:12.</w:t>
      </w:r>
    </w:p>
  </w:footnote>
  <w:footnote w:id="15506">
    <w:p>
      <w:pPr>
        <w:pStyle w:val="FootnoteText"/>
      </w:pPr>
      <w:r>
        <w:rPr>
          <w:rStyle w:val="FootnoteReference"/>
        </w:rPr>
        <w:footnoteRef/>
      </w:r>
      <w:r>
        <w:t xml:space="preserve"> Cross-references for "answering": Luke 5:22; Luke 5:31.</w:t>
      </w:r>
    </w:p>
  </w:footnote>
  <w:footnote w:id="15507">
    <w:p>
      <w:pPr>
        <w:pStyle w:val="FootnoteText"/>
      </w:pPr>
      <w:r>
        <w:rPr>
          <w:rStyle w:val="FootnoteReference"/>
        </w:rPr>
        <w:footnoteRef/>
      </w:r>
      <w:r>
        <w:t xml:space="preserve"> Cross-references for "the one": Luke 7:47; Rom 5:20.</w:t>
      </w:r>
    </w:p>
  </w:footnote>
  <w:footnote w:id="15508">
    <w:p>
      <w:pPr>
        <w:pStyle w:val="FootnoteText"/>
      </w:pPr>
      <w:r>
        <w:rPr>
          <w:rStyle w:val="FootnoteReference"/>
        </w:rPr>
        <w:footnoteRef/>
      </w:r>
      <w:r>
        <w:t xml:space="preserve"> Cross-references for "the glad": Isa 61:1-3; Matt 13:19.</w:t>
      </w:r>
    </w:p>
  </w:footnote>
  <w:footnote w:id="15509">
    <w:p>
      <w:pPr>
        <w:pStyle w:val="FootnoteText"/>
      </w:pPr>
      <w:r>
        <w:rPr>
          <w:rStyle w:val="FootnoteReference"/>
        </w:rPr>
        <w:footnoteRef/>
      </w:r>
      <w:r>
        <w:t xml:space="preserve"> Cross-references for "certain": Matt 27:55-56; Mark 15:40-41.</w:t>
      </w:r>
    </w:p>
  </w:footnote>
  <w:footnote w:id="15510">
    <w:p>
      <w:pPr>
        <w:pStyle w:val="FootnoteText"/>
      </w:pPr>
      <w:r>
        <w:rPr>
          <w:rStyle w:val="FootnoteReference"/>
        </w:rPr>
        <w:footnoteRef/>
      </w:r>
      <w:r>
        <w:t xml:space="preserve"> Cross-references for "Joanna": Luke 24:10.</w:t>
      </w:r>
    </w:p>
  </w:footnote>
  <w:footnote w:id="15511">
    <w:p>
      <w:pPr>
        <w:pStyle w:val="FootnoteText"/>
      </w:pPr>
      <w:r>
        <w:rPr>
          <w:rStyle w:val="FootnoteReference"/>
        </w:rPr>
        <w:footnoteRef/>
      </w:r>
      <w:r>
        <w:t xml:space="preserve"> Personal name: Chuza. Personal-name meaning: Chuza — the seer or prophet. Source form: Chuza.</w:t>
      </w:r>
    </w:p>
  </w:footnote>
  <w:footnote w:id="15512">
    <w:p>
      <w:pPr>
        <w:pStyle w:val="FootnoteText"/>
      </w:pPr>
      <w:r>
        <w:rPr>
          <w:rStyle w:val="FootnoteReference"/>
        </w:rPr>
        <w:footnoteRef/>
      </w:r>
      <w:r>
        <w:t xml:space="preserve"> Personal name: Susanna. Personal-name meaning: Susanna — lily; rose; joy. Source form: Susanna.</w:t>
      </w:r>
    </w:p>
  </w:footnote>
  <w:footnote w:id="15513">
    <w:p>
      <w:pPr>
        <w:pStyle w:val="FootnoteText"/>
      </w:pPr>
      <w:r>
        <w:rPr>
          <w:rStyle w:val="FootnoteReference"/>
        </w:rPr>
        <w:footnoteRef/>
      </w:r>
      <w:r>
        <w:t xml:space="preserve"> Cross-references for "sower": Matt 13:3-4; Matt 13:18-19.</w:t>
      </w:r>
    </w:p>
  </w:footnote>
  <w:footnote w:id="15514">
    <w:p>
      <w:pPr>
        <w:pStyle w:val="FootnoteText"/>
      </w:pPr>
      <w:r>
        <w:rPr>
          <w:rStyle w:val="FootnoteReference"/>
        </w:rPr>
        <w:footnoteRef/>
      </w:r>
      <w:r>
        <w:t xml:space="preserve"> Cross-references for "thorns": Gen 3:18; Jer 4:3.</w:t>
      </w:r>
    </w:p>
  </w:footnote>
  <w:footnote w:id="15515">
    <w:p>
      <w:pPr>
        <w:pStyle w:val="FootnoteText"/>
      </w:pPr>
      <w:r>
        <w:rPr>
          <w:rStyle w:val="FootnoteReference"/>
        </w:rPr>
        <w:footnoteRef/>
      </w:r>
      <w:r>
        <w:t xml:space="preserve"> Cross-references for "other": Matt 13:8; Matt 13:23.</w:t>
      </w:r>
    </w:p>
  </w:footnote>
  <w:footnote w:id="15516">
    <w:p>
      <w:pPr>
        <w:pStyle w:val="FootnoteText"/>
      </w:pPr>
      <w:r>
        <w:rPr>
          <w:rStyle w:val="FootnoteReference"/>
        </w:rPr>
        <w:footnoteRef/>
      </w:r>
      <w:r>
        <w:t xml:space="preserve"> Cross-references for "that seeing": Deut 29:4; Isa 6:9.</w:t>
      </w:r>
    </w:p>
  </w:footnote>
  <w:footnote w:id="15517">
    <w:p>
      <w:pPr>
        <w:pStyle w:val="FootnoteText"/>
      </w:pPr>
      <w:r>
        <w:rPr>
          <w:rStyle w:val="FootnoteReference"/>
        </w:rPr>
        <w:footnoteRef/>
      </w:r>
      <w:r>
        <w:t xml:space="preserve"> Cross-references for "The seed": Isa 8:20; Matt 13:19.</w:t>
      </w:r>
    </w:p>
  </w:footnote>
  <w:footnote w:id="15518">
    <w:p>
      <w:pPr>
        <w:pStyle w:val="FootnoteText"/>
      </w:pPr>
      <w:r>
        <w:rPr>
          <w:rStyle w:val="FootnoteReference"/>
        </w:rPr>
        <w:footnoteRef/>
      </w:r>
      <w:r>
        <w:t xml:space="preserve"> Cross-references for "receive": Ps 106:12-14; Isa 58:2.</w:t>
      </w:r>
    </w:p>
  </w:footnote>
  <w:footnote w:id="15519">
    <w:p>
      <w:pPr>
        <w:pStyle w:val="FootnoteText"/>
      </w:pPr>
      <w:r>
        <w:rPr>
          <w:rStyle w:val="FootnoteReference"/>
        </w:rPr>
        <w:footnoteRef/>
      </w:r>
      <w:r>
        <w:t xml:space="preserve"> Cross-references for "and are": Matt 6:24-25; Matt 13:22.</w:t>
      </w:r>
    </w:p>
  </w:footnote>
  <w:footnote w:id="15520">
    <w:p>
      <w:pPr>
        <w:pStyle w:val="FootnoteText"/>
      </w:pPr>
      <w:r>
        <w:rPr>
          <w:rStyle w:val="FootnoteReference"/>
        </w:rPr>
        <w:footnoteRef/>
      </w:r>
      <w:r>
        <w:t xml:space="preserve"> Cross-references for "in an": Deut 30:6; Ps 51:10.</w:t>
      </w:r>
    </w:p>
  </w:footnote>
  <w:footnote w:id="15521">
    <w:p>
      <w:pPr>
        <w:pStyle w:val="FootnoteText"/>
      </w:pPr>
      <w:r>
        <w:rPr>
          <w:rStyle w:val="FootnoteReference"/>
        </w:rPr>
        <w:footnoteRef/>
      </w:r>
      <w:r>
        <w:t xml:space="preserve"> Cross-references for "nothing": Eccl 12:14; Matt 10:26.</w:t>
      </w:r>
    </w:p>
  </w:footnote>
  <w:footnote w:id="15522">
    <w:p>
      <w:pPr>
        <w:pStyle w:val="FootnoteText"/>
      </w:pPr>
      <w:r>
        <w:rPr>
          <w:rStyle w:val="FootnoteReference"/>
        </w:rPr>
        <w:footnoteRef/>
      </w:r>
      <w:r>
        <w:t xml:space="preserve"> Cross-references for "heed": Deut 32:46-47; Prov 2:2-5.</w:t>
      </w:r>
    </w:p>
  </w:footnote>
  <w:footnote w:id="15523">
    <w:p>
      <w:pPr>
        <w:pStyle w:val="FootnoteText"/>
      </w:pPr>
      <w:r>
        <w:rPr>
          <w:rStyle w:val="FootnoteReference"/>
        </w:rPr>
        <w:footnoteRef/>
      </w:r>
      <w:r>
        <w:t xml:space="preserve"> Cross-references for "My mother": Matt 25:40; Matt 25:45.</w:t>
      </w:r>
    </w:p>
  </w:footnote>
  <w:footnote w:id="15524">
    <w:p>
      <w:pPr>
        <w:pStyle w:val="FootnoteText"/>
      </w:pPr>
      <w:r>
        <w:rPr>
          <w:rStyle w:val="FootnoteReference"/>
        </w:rPr>
        <w:footnoteRef/>
      </w:r>
      <w:r>
        <w:t xml:space="preserve"> Cross-references for "he fell": Ps 44:23; Isa 51:9-10.</w:t>
      </w:r>
    </w:p>
  </w:footnote>
  <w:footnote w:id="15525">
    <w:p>
      <w:pPr>
        <w:pStyle w:val="FootnoteText"/>
      </w:pPr>
      <w:r>
        <w:rPr>
          <w:rStyle w:val="FootnoteReference"/>
        </w:rPr>
        <w:footnoteRef/>
      </w:r>
      <w:r>
        <w:t xml:space="preserve"> Cross-references for "Master": Ps 69:1-2; Ps 116:3-4.</w:t>
      </w:r>
    </w:p>
  </w:footnote>
  <w:footnote w:id="15526">
    <w:p>
      <w:pPr>
        <w:pStyle w:val="FootnoteText"/>
      </w:pPr>
      <w:r>
        <w:rPr>
          <w:rStyle w:val="FootnoteReference"/>
        </w:rPr>
        <w:footnoteRef/>
      </w:r>
      <w:r>
        <w:t xml:space="preserve"> Cross-references for "he cried": Matt 8:29; Mark 1:24-27.</w:t>
      </w:r>
    </w:p>
  </w:footnote>
  <w:footnote w:id="15527">
    <w:p>
      <w:pPr>
        <w:pStyle w:val="FootnoteText"/>
      </w:pPr>
      <w:r>
        <w:rPr>
          <w:rStyle w:val="FootnoteReference"/>
        </w:rPr>
        <w:footnoteRef/>
      </w:r>
      <w:r>
        <w:t xml:space="preserve"> Cross-references for "commanded": Mark 5:8; Acts 19:12-16.</w:t>
      </w:r>
    </w:p>
  </w:footnote>
  <w:footnote w:id="15528">
    <w:p>
      <w:pPr>
        <w:pStyle w:val="FootnoteText"/>
      </w:pPr>
      <w:r>
        <w:rPr>
          <w:rStyle w:val="FootnoteReference"/>
        </w:rPr>
        <w:footnoteRef/>
      </w:r>
      <w:r>
        <w:t xml:space="preserve"> Cross-references for "Legion": Matt 26:53; Mark 5:9.</w:t>
      </w:r>
    </w:p>
  </w:footnote>
  <w:footnote w:id="15529">
    <w:p>
      <w:pPr>
        <w:pStyle w:val="FootnoteText"/>
      </w:pPr>
      <w:r>
        <w:rPr>
          <w:rStyle w:val="FootnoteReference"/>
        </w:rPr>
        <w:footnoteRef/>
      </w:r>
      <w:r>
        <w:t xml:space="preserve"> Cross-references for "the deep": Matt 25:41; Rev 9:2.</w:t>
      </w:r>
    </w:p>
  </w:footnote>
  <w:footnote w:id="15530">
    <w:p>
      <w:pPr>
        <w:pStyle w:val="FootnoteText"/>
      </w:pPr>
      <w:r>
        <w:rPr>
          <w:rStyle w:val="FootnoteReference"/>
        </w:rPr>
        <w:footnoteRef/>
      </w:r>
      <w:r>
        <w:t xml:space="preserve"> Cross-references for "the herd": John 8:44; 1Pet 5:8.</w:t>
      </w:r>
    </w:p>
  </w:footnote>
  <w:footnote w:id="15531">
    <w:p>
      <w:pPr>
        <w:pStyle w:val="FootnoteText"/>
      </w:pPr>
      <w:r>
        <w:rPr>
          <w:rStyle w:val="FootnoteReference"/>
        </w:rPr>
        <w:footnoteRef/>
      </w:r>
      <w:r>
        <w:t xml:space="preserve"> Cross-references for "they fled": Matt 8:33; Matt 28:11.</w:t>
      </w:r>
    </w:p>
  </w:footnote>
  <w:footnote w:id="15532">
    <w:p>
      <w:pPr>
        <w:pStyle w:val="FootnoteText"/>
      </w:pPr>
      <w:r>
        <w:rPr>
          <w:rStyle w:val="FootnoteReference"/>
        </w:rPr>
        <w:footnoteRef/>
      </w:r>
      <w:r>
        <w:t xml:space="preserve"> Cross-references for "and found": Isa 49:24-25; Isa 53:12.</w:t>
      </w:r>
    </w:p>
  </w:footnote>
  <w:footnote w:id="15533">
    <w:p>
      <w:pPr>
        <w:pStyle w:val="FootnoteText"/>
      </w:pPr>
      <w:r>
        <w:rPr>
          <w:rStyle w:val="FootnoteReference"/>
        </w:rPr>
        <w:footnoteRef/>
      </w:r>
      <w:r>
        <w:t xml:space="preserve"> Cross-references for "saying": Exod 12:25-27; Exod 13:8-9.</w:t>
      </w:r>
    </w:p>
  </w:footnote>
  <w:footnote w:id="15534">
    <w:p>
      <w:pPr>
        <w:pStyle w:val="FootnoteText"/>
      </w:pPr>
      <w:r>
        <w:rPr>
          <w:rStyle w:val="FootnoteReference"/>
        </w:rPr>
        <w:footnoteRef/>
      </w:r>
      <w:r>
        <w:t xml:space="preserve"> Cross-references for "Return": 1Tim 5:8.</w:t>
      </w:r>
    </w:p>
  </w:footnote>
  <w:footnote w:id="15535">
    <w:p>
      <w:pPr>
        <w:pStyle w:val="FootnoteText"/>
      </w:pPr>
      <w:r>
        <w:rPr>
          <w:rStyle w:val="FootnoteReference"/>
        </w:rPr>
        <w:footnoteRef/>
      </w:r>
      <w:r>
        <w:t xml:space="preserve"> Cross-references for "waiting": Prov 8:34; Acts 10:33.</w:t>
      </w:r>
    </w:p>
  </w:footnote>
  <w:footnote w:id="15536">
    <w:p>
      <w:pPr>
        <w:pStyle w:val="FootnoteText"/>
      </w:pPr>
      <w:r>
        <w:rPr>
          <w:rStyle w:val="FootnoteReference"/>
        </w:rPr>
        <w:footnoteRef/>
      </w:r>
      <w:r>
        <w:t xml:space="preserve"> Cross-references for "a ruler": Luke 13:14; Acts 13:15.</w:t>
      </w:r>
    </w:p>
  </w:footnote>
  <w:footnote w:id="15537">
    <w:p>
      <w:pPr>
        <w:pStyle w:val="FootnoteText"/>
      </w:pPr>
      <w:r>
        <w:rPr>
          <w:rStyle w:val="FootnoteReference"/>
        </w:rPr>
        <w:footnoteRef/>
      </w:r>
      <w:r>
        <w:t xml:space="preserve"> Cross-references for "and she": Job 4:20; Ps 90:5-8.</w:t>
      </w:r>
    </w:p>
  </w:footnote>
  <w:footnote w:id="15538">
    <w:p>
      <w:pPr>
        <w:pStyle w:val="FootnoteText"/>
      </w:pPr>
      <w:r>
        <w:rPr>
          <w:rStyle w:val="FootnoteReference"/>
        </w:rPr>
        <w:footnoteRef/>
      </w:r>
      <w:r>
        <w:t xml:space="preserve"> Cross-references for "twelve": Mark 9:21; Luke 8:27.</w:t>
      </w:r>
    </w:p>
  </w:footnote>
  <w:footnote w:id="15539">
    <w:p>
      <w:pPr>
        <w:pStyle w:val="FootnoteText"/>
      </w:pPr>
      <w:r>
        <w:rPr>
          <w:rStyle w:val="FootnoteReference"/>
        </w:rPr>
        <w:footnoteRef/>
      </w:r>
      <w:r>
        <w:t xml:space="preserve"> Cross-references for "behind": Luke 7:38.</w:t>
      </w:r>
    </w:p>
  </w:footnote>
  <w:footnote w:id="15540">
    <w:p>
      <w:pPr>
        <w:pStyle w:val="FootnoteText"/>
      </w:pPr>
      <w:r>
        <w:rPr>
          <w:rStyle w:val="FootnoteReference"/>
        </w:rPr>
        <w:footnoteRef/>
      </w:r>
      <w:r>
        <w:t xml:space="preserve"> Cross-references for "she came": 1Sam 16:4; Ps 2:11.</w:t>
      </w:r>
    </w:p>
  </w:footnote>
  <w:footnote w:id="15541">
    <w:p>
      <w:pPr>
        <w:pStyle w:val="FootnoteText"/>
      </w:pPr>
      <w:r>
        <w:rPr>
          <w:rStyle w:val="FootnoteReference"/>
        </w:rPr>
        <w:footnoteRef/>
      </w:r>
      <w:r>
        <w:t xml:space="preserve"> Cross-references for "trouble": Isa 7:12; Mark 5:35.</w:t>
      </w:r>
    </w:p>
  </w:footnote>
  <w:footnote w:id="15542">
    <w:p>
      <w:pPr>
        <w:pStyle w:val="FootnoteText"/>
      </w:pPr>
      <w:r>
        <w:rPr>
          <w:rStyle w:val="FootnoteReference"/>
        </w:rPr>
        <w:footnoteRef/>
      </w:r>
      <w:r>
        <w:t xml:space="preserve"> Cross-references for "believe": Isa 50:10; Mark 5:36.</w:t>
      </w:r>
    </w:p>
  </w:footnote>
  <w:footnote w:id="15543">
    <w:p>
      <w:pPr>
        <w:pStyle w:val="FootnoteText"/>
      </w:pPr>
      <w:r>
        <w:rPr>
          <w:rStyle w:val="FootnoteReference"/>
        </w:rPr>
        <w:footnoteRef/>
      </w:r>
      <w:r>
        <w:t xml:space="preserve"> Cross-references for "laughed": Job 12:4; Job 17:2.</w:t>
      </w:r>
    </w:p>
  </w:footnote>
  <w:footnote w:id="15544">
    <w:p>
      <w:pPr>
        <w:pStyle w:val="FootnoteText"/>
      </w:pPr>
      <w:r>
        <w:rPr>
          <w:rStyle w:val="FootnoteReference"/>
        </w:rPr>
        <w:footnoteRef/>
      </w:r>
      <w:r>
        <w:t xml:space="preserve"> Cross-references for "he put": Mark 5:40; Luke 8:51.</w:t>
      </w:r>
    </w:p>
  </w:footnote>
  <w:footnote w:id="15545">
    <w:p>
      <w:pPr>
        <w:pStyle w:val="FootnoteText"/>
      </w:pPr>
      <w:r>
        <w:rPr>
          <w:rStyle w:val="FootnoteReference"/>
        </w:rPr>
        <w:footnoteRef/>
      </w:r>
      <w:r>
        <w:t xml:space="preserve"> Cross-references for "her spirit": 1Kgs 17:21-23; John 11:44.</w:t>
      </w:r>
    </w:p>
  </w:footnote>
  <w:footnote w:id="15546">
    <w:p>
      <w:pPr>
        <w:pStyle w:val="FootnoteText"/>
      </w:pPr>
      <w:r>
        <w:rPr>
          <w:rStyle w:val="FootnoteReference"/>
        </w:rPr>
        <w:footnoteRef/>
      </w:r>
      <w:r>
        <w:t xml:space="preserve"> Cross-references for "he charged": Matt 8:4; Matt 9:30.</w:t>
      </w:r>
    </w:p>
  </w:footnote>
  <w:footnote w:id="15547">
    <w:p>
      <w:pPr>
        <w:pStyle w:val="FootnoteText"/>
      </w:pPr>
      <w:r>
        <w:rPr>
          <w:rStyle w:val="FootnoteReference"/>
        </w:rPr>
        <w:footnoteRef/>
      </w:r>
      <w:r>
        <w:t xml:space="preserve"> Cross-references for "gave": Matt 10:1; Matt 16:19.</w:t>
      </w:r>
    </w:p>
  </w:footnote>
  <w:footnote w:id="15548">
    <w:p>
      <w:pPr>
        <w:pStyle w:val="FootnoteText"/>
      </w:pPr>
      <w:r>
        <w:rPr>
          <w:rStyle w:val="FootnoteReference"/>
        </w:rPr>
        <w:footnoteRef/>
      </w:r>
      <w:r>
        <w:t xml:space="preserve"> Cross-references for "Take": Ps 37:3; Matt 10:9-10.</w:t>
      </w:r>
    </w:p>
  </w:footnote>
  <w:footnote w:id="15549">
    <w:p>
      <w:pPr>
        <w:pStyle w:val="FootnoteText"/>
      </w:pPr>
      <w:r>
        <w:rPr>
          <w:rStyle w:val="FootnoteReference"/>
        </w:rPr>
        <w:footnoteRef/>
      </w:r>
      <w:r>
        <w:t xml:space="preserve"> Cross-references for "shake": Neh 5:13; Luke 9:53-56.</w:t>
      </w:r>
    </w:p>
  </w:footnote>
  <w:footnote w:id="15550">
    <w:p>
      <w:pPr>
        <w:pStyle w:val="FootnoteText"/>
      </w:pPr>
      <w:r>
        <w:rPr>
          <w:rStyle w:val="FootnoteReference"/>
        </w:rPr>
        <w:footnoteRef/>
      </w:r>
      <w:r>
        <w:t xml:space="preserve"> Cross-references for "Herod": Job 18:11-12; Ps 73:19.</w:t>
      </w:r>
    </w:p>
  </w:footnote>
  <w:footnote w:id="15551">
    <w:p>
      <w:pPr>
        <w:pStyle w:val="FootnoteText"/>
      </w:pPr>
      <w:r>
        <w:rPr>
          <w:rStyle w:val="FootnoteReference"/>
        </w:rPr>
        <w:footnoteRef/>
      </w:r>
      <w:r>
        <w:t xml:space="preserve"> Cross-references for "John": Luke 9:7.</w:t>
      </w:r>
    </w:p>
  </w:footnote>
  <w:footnote w:id="15552">
    <w:p>
      <w:pPr>
        <w:pStyle w:val="FootnoteText"/>
      </w:pPr>
      <w:r>
        <w:rPr>
          <w:rStyle w:val="FootnoteReference"/>
        </w:rPr>
        <w:footnoteRef/>
      </w:r>
      <w:r>
        <w:t xml:space="preserve"> Cross-references for "the apostles": Zech 1:10; Mark 6:30.</w:t>
      </w:r>
    </w:p>
  </w:footnote>
  <w:footnote w:id="15553">
    <w:p>
      <w:pPr>
        <w:pStyle w:val="FootnoteText"/>
      </w:pPr>
      <w:r>
        <w:rPr>
          <w:rStyle w:val="FootnoteReference"/>
        </w:rPr>
        <w:footnoteRef/>
      </w:r>
      <w:r>
        <w:t xml:space="preserve"> Cross-references for "the kingdom": Matt 21:31; Matt 21:43.</w:t>
      </w:r>
    </w:p>
  </w:footnote>
  <w:footnote w:id="15554">
    <w:p>
      <w:pPr>
        <w:pStyle w:val="FootnoteText"/>
      </w:pPr>
      <w:r>
        <w:rPr>
          <w:rStyle w:val="FootnoteReference"/>
        </w:rPr>
        <w:footnoteRef/>
      </w:r>
      <w:r>
        <w:t xml:space="preserve"> Cross-references for "Send": Matt 15:23; Matt 15:32.</w:t>
      </w:r>
    </w:p>
  </w:footnote>
  <w:footnote w:id="15555">
    <w:p>
      <w:pPr>
        <w:pStyle w:val="FootnoteText"/>
      </w:pPr>
      <w:r>
        <w:rPr>
          <w:rStyle w:val="FootnoteReference"/>
        </w:rPr>
        <w:footnoteRef/>
      </w:r>
      <w:r>
        <w:t xml:space="preserve"> Cross-references for "Give": 2Kgs 4:42-43; Matt 14:16-17.</w:t>
      </w:r>
    </w:p>
  </w:footnote>
  <w:footnote w:id="15556">
    <w:p>
      <w:pPr>
        <w:pStyle w:val="FootnoteText"/>
      </w:pPr>
      <w:r>
        <w:rPr>
          <w:rStyle w:val="FootnoteReference"/>
        </w:rPr>
        <w:footnoteRef/>
      </w:r>
      <w:r>
        <w:t xml:space="preserve"> Cross-references for "Make": Mark 6:39-40; Mark 8:6.</w:t>
      </w:r>
    </w:p>
  </w:footnote>
  <w:footnote w:id="15557">
    <w:p>
      <w:pPr>
        <w:pStyle w:val="FootnoteText"/>
      </w:pPr>
      <w:r>
        <w:rPr>
          <w:rStyle w:val="FootnoteReference"/>
        </w:rPr>
        <w:footnoteRef/>
      </w:r>
      <w:r>
        <w:t xml:space="preserve"> Cross-references for "and looking": Ps 121:1-2; Matt 14:19.</w:t>
      </w:r>
    </w:p>
  </w:footnote>
  <w:footnote w:id="15558">
    <w:p>
      <w:pPr>
        <w:pStyle w:val="FootnoteText"/>
      </w:pPr>
      <w:r>
        <w:rPr>
          <w:rStyle w:val="FootnoteReference"/>
        </w:rPr>
        <w:footnoteRef/>
      </w:r>
      <w:r>
        <w:t xml:space="preserve"> Cross-references for "and there": 2Kgs 4:44; Matt 16:9-10.</w:t>
      </w:r>
    </w:p>
  </w:footnote>
  <w:footnote w:id="15559">
    <w:p>
      <w:pPr>
        <w:pStyle w:val="FootnoteText"/>
      </w:pPr>
      <w:r>
        <w:rPr>
          <w:rStyle w:val="FootnoteReference"/>
        </w:rPr>
        <w:footnoteRef/>
      </w:r>
      <w:r>
        <w:t xml:space="preserve"> Cross-references for "John": Mal 4:5; Matt 14:2.</w:t>
      </w:r>
    </w:p>
  </w:footnote>
  <w:footnote w:id="15560">
    <w:p>
      <w:pPr>
        <w:pStyle w:val="FootnoteText"/>
      </w:pPr>
      <w:r>
        <w:rPr>
          <w:rStyle w:val="FootnoteReference"/>
        </w:rPr>
        <w:footnoteRef/>
      </w:r>
      <w:r>
        <w:t xml:space="preserve"> Cross-references for "deny": Titus 2:12.</w:t>
      </w:r>
    </w:p>
  </w:footnote>
  <w:footnote w:id="15561">
    <w:p>
      <w:pPr>
        <w:pStyle w:val="FootnoteText"/>
      </w:pPr>
      <w:r>
        <w:rPr>
          <w:rStyle w:val="FootnoteReference"/>
        </w:rPr>
        <w:footnoteRef/>
      </w:r>
      <w:r>
        <w:t xml:space="preserve"> Cross-references for "of him": Matt 7:22-23; Luke 13:25-27.</w:t>
      </w:r>
    </w:p>
  </w:footnote>
  <w:footnote w:id="15562">
    <w:p>
      <w:pPr>
        <w:pStyle w:val="FootnoteText"/>
      </w:pPr>
      <w:r>
        <w:rPr>
          <w:rStyle w:val="FootnoteReference"/>
        </w:rPr>
        <w:footnoteRef/>
      </w:r>
      <w:r>
        <w:t xml:space="preserve"> Cross-references for "I tell": Matt 16:28; Mark 9:1.</w:t>
      </w:r>
    </w:p>
  </w:footnote>
  <w:footnote w:id="15563">
    <w:p>
      <w:pPr>
        <w:pStyle w:val="FootnoteText"/>
      </w:pPr>
      <w:r>
        <w:rPr>
          <w:rStyle w:val="FootnoteReference"/>
        </w:rPr>
        <w:footnoteRef/>
      </w:r>
      <w:r>
        <w:t xml:space="preserve"> Cross-references for "appeared": 2Cor 3:18; Phil 3:21.</w:t>
      </w:r>
    </w:p>
  </w:footnote>
  <w:footnote w:id="15564">
    <w:p>
      <w:pPr>
        <w:pStyle w:val="FootnoteText"/>
      </w:pPr>
      <w:r>
        <w:rPr>
          <w:rStyle w:val="FootnoteReference"/>
        </w:rPr>
        <w:footnoteRef/>
      </w:r>
      <w:r>
        <w:t xml:space="preserve"> Cross-references for "were heavy": Dan 8:18; Dan 10:9.</w:t>
      </w:r>
    </w:p>
  </w:footnote>
  <w:footnote w:id="15565">
    <w:p>
      <w:pPr>
        <w:pStyle w:val="FootnoteText"/>
      </w:pPr>
      <w:r>
        <w:rPr>
          <w:rStyle w:val="FootnoteReference"/>
        </w:rPr>
        <w:footnoteRef/>
      </w:r>
      <w:r>
        <w:t xml:space="preserve"> Cross-references for "and let": Matt 17:14; Mark 9:5-6.</w:t>
      </w:r>
    </w:p>
  </w:footnote>
  <w:footnote w:id="15566">
    <w:p>
      <w:pPr>
        <w:pStyle w:val="FootnoteText"/>
      </w:pPr>
      <w:r>
        <w:rPr>
          <w:rStyle w:val="FootnoteReference"/>
        </w:rPr>
        <w:footnoteRef/>
      </w:r>
      <w:r>
        <w:t xml:space="preserve"> Cross-references for "hear": Deut 18:18-19; Isa 55:3-4.</w:t>
      </w:r>
    </w:p>
  </w:footnote>
  <w:footnote w:id="15567">
    <w:p>
      <w:pPr>
        <w:pStyle w:val="FootnoteText"/>
      </w:pPr>
      <w:r>
        <w:rPr>
          <w:rStyle w:val="FootnoteReference"/>
        </w:rPr>
        <w:footnoteRef/>
      </w:r>
      <w:r>
        <w:t xml:space="preserve"> Cross-references for "look": Matt 15:22; Luke 7:12.</w:t>
      </w:r>
    </w:p>
  </w:footnote>
  <w:footnote w:id="15568">
    <w:p>
      <w:pPr>
        <w:pStyle w:val="FootnoteText"/>
      </w:pPr>
      <w:r>
        <w:rPr>
          <w:rStyle w:val="FootnoteReference"/>
        </w:rPr>
        <w:footnoteRef/>
      </w:r>
      <w:r>
        <w:t xml:space="preserve"> Cross-references for "O faithless": Mark 9:19; Luke 8:25.</w:t>
      </w:r>
    </w:p>
  </w:footnote>
  <w:footnote w:id="15569">
    <w:p>
      <w:pPr>
        <w:pStyle w:val="FootnoteText"/>
      </w:pPr>
      <w:r>
        <w:rPr>
          <w:rStyle w:val="FootnoteReference"/>
        </w:rPr>
        <w:footnoteRef/>
      </w:r>
      <w:r>
        <w:t xml:space="preserve"> Cross-references for "and delivered": 1Kgs 17:23; 2Kgs 4:36.</w:t>
      </w:r>
    </w:p>
  </w:footnote>
  <w:footnote w:id="15570">
    <w:p>
      <w:pPr>
        <w:pStyle w:val="FootnoteText"/>
      </w:pPr>
      <w:r>
        <w:rPr>
          <w:rStyle w:val="FootnoteReference"/>
        </w:rPr>
        <w:footnoteRef/>
      </w:r>
      <w:r>
        <w:t xml:space="preserve"> Cross-references for "amazed": Ps 139:14; Zech 8:6.</w:t>
      </w:r>
    </w:p>
  </w:footnote>
  <w:footnote w:id="15571">
    <w:p>
      <w:pPr>
        <w:pStyle w:val="FootnoteText"/>
      </w:pPr>
      <w:r>
        <w:rPr>
          <w:rStyle w:val="FootnoteReference"/>
        </w:rPr>
        <w:footnoteRef/>
      </w:r>
      <w:r>
        <w:t xml:space="preserve"> Cross-references for "perceiving": Ps 139:2; Ps 139:23.</w:t>
      </w:r>
    </w:p>
  </w:footnote>
  <w:footnote w:id="15572">
    <w:p>
      <w:pPr>
        <w:pStyle w:val="FootnoteText"/>
      </w:pPr>
      <w:r>
        <w:rPr>
          <w:rStyle w:val="FootnoteReference"/>
        </w:rPr>
        <w:footnoteRef/>
      </w:r>
      <w:r>
        <w:t xml:space="preserve"> Cross-references for "we saw": Num 11:27-29; Mark 9:38-40.</w:t>
      </w:r>
    </w:p>
  </w:footnote>
  <w:footnote w:id="15573">
    <w:p>
      <w:pPr>
        <w:pStyle w:val="FootnoteText"/>
      </w:pPr>
      <w:r>
        <w:rPr>
          <w:rStyle w:val="FootnoteReference"/>
        </w:rPr>
        <w:footnoteRef/>
      </w:r>
      <w:r>
        <w:t xml:space="preserve"> Cross-references for "forbid": Josh 9:14; Prov 3:5-6.</w:t>
      </w:r>
    </w:p>
  </w:footnote>
  <w:footnote w:id="15574">
    <w:p>
      <w:pPr>
        <w:pStyle w:val="FootnoteText"/>
      </w:pPr>
      <w:r>
        <w:rPr>
          <w:rStyle w:val="FootnoteReference"/>
        </w:rPr>
        <w:footnoteRef/>
      </w:r>
      <w:r>
        <w:t xml:space="preserve"> Cross-references for "sent": Mal 3:1; Luke 7:27.</w:t>
      </w:r>
    </w:p>
  </w:footnote>
  <w:footnote w:id="15575">
    <w:p>
      <w:pPr>
        <w:pStyle w:val="FootnoteText"/>
      </w:pPr>
      <w:r>
        <w:rPr>
          <w:rStyle w:val="FootnoteReference"/>
        </w:rPr>
        <w:footnoteRef/>
      </w:r>
      <w:r>
        <w:t xml:space="preserve"> Cross-references for "fire": 2Kgs 1:10-14; Acts 4:29-30.</w:t>
      </w:r>
    </w:p>
  </w:footnote>
  <w:footnote w:id="15576">
    <w:p>
      <w:pPr>
        <w:pStyle w:val="FootnoteText"/>
      </w:pPr>
      <w:r>
        <w:rPr>
          <w:rStyle w:val="FootnoteReference"/>
        </w:rPr>
        <w:footnoteRef/>
      </w:r>
      <w:r>
        <w:t xml:space="preserve"> Cross-references for "and rebuked": 1Sam 24:4-7; 1Sam 26:8-11.</w:t>
      </w:r>
    </w:p>
  </w:footnote>
  <w:footnote w:id="15577">
    <w:p>
      <w:pPr>
        <w:pStyle w:val="FootnoteText"/>
      </w:pPr>
      <w:r>
        <w:rPr>
          <w:rStyle w:val="FootnoteReference"/>
        </w:rPr>
        <w:footnoteRef/>
      </w:r>
      <w:r>
        <w:t xml:space="preserve"> Cross-references for "the Son": Matt 18:11; Matt 20:28.</w:t>
      </w:r>
    </w:p>
  </w:footnote>
  <w:footnote w:id="15578">
    <w:p>
      <w:pPr>
        <w:pStyle w:val="FootnoteText"/>
      </w:pPr>
      <w:r>
        <w:rPr>
          <w:rStyle w:val="FootnoteReference"/>
        </w:rPr>
        <w:footnoteRef/>
      </w:r>
      <w:r>
        <w:t xml:space="preserve"> Cross-references for "Jesus": Josh 24:19-22; Luke 14:26-33.</w:t>
      </w:r>
    </w:p>
  </w:footnote>
  <w:footnote w:id="15579">
    <w:p>
      <w:pPr>
        <w:pStyle w:val="FootnoteText"/>
      </w:pPr>
      <w:r>
        <w:rPr>
          <w:rStyle w:val="FootnoteReference"/>
        </w:rPr>
        <w:footnoteRef/>
      </w:r>
      <w:r>
        <w:t xml:space="preserve"> Cross-references for "Follow me": Matt 4:19-22; Matt 9:9.</w:t>
      </w:r>
    </w:p>
  </w:footnote>
  <w:footnote w:id="15580">
    <w:p>
      <w:pPr>
        <w:pStyle w:val="FootnoteText"/>
      </w:pPr>
      <w:r>
        <w:rPr>
          <w:rStyle w:val="FootnoteReference"/>
        </w:rPr>
        <w:footnoteRef/>
      </w:r>
      <w:r>
        <w:t xml:space="preserve"> Cross-references for "The harvest": Matt 9:37-38; John 4:35-38.</w:t>
      </w:r>
    </w:p>
  </w:footnote>
  <w:footnote w:id="15581">
    <w:p>
      <w:pPr>
        <w:pStyle w:val="FootnoteText"/>
      </w:pPr>
      <w:r>
        <w:rPr>
          <w:rStyle w:val="FootnoteReference"/>
        </w:rPr>
        <w:footnoteRef/>
      </w:r>
      <w:r>
        <w:t xml:space="preserve"> Cross-references for "I send": Ps 22:12-16; Ps 22:21.</w:t>
      </w:r>
    </w:p>
  </w:footnote>
  <w:footnote w:id="15582">
    <w:p>
      <w:pPr>
        <w:pStyle w:val="FootnoteText"/>
      </w:pPr>
      <w:r>
        <w:rPr>
          <w:rStyle w:val="FootnoteReference"/>
        </w:rPr>
        <w:footnoteRef/>
      </w:r>
      <w:r>
        <w:t xml:space="preserve"> Cross-references for "the son": 1Sam 25:17; Isa 9:6.</w:t>
      </w:r>
    </w:p>
  </w:footnote>
  <w:footnote w:id="15583">
    <w:p>
      <w:pPr>
        <w:pStyle w:val="FootnoteText"/>
      </w:pPr>
      <w:r>
        <w:rPr>
          <w:rStyle w:val="FootnoteReference"/>
        </w:rPr>
        <w:footnoteRef/>
      </w:r>
      <w:r>
        <w:t xml:space="preserve"> Cross-references for "heal": Matt 10:8; Mark 6:13.</w:t>
      </w:r>
    </w:p>
  </w:footnote>
  <w:footnote w:id="15584">
    <w:p>
      <w:pPr>
        <w:pStyle w:val="FootnoteText"/>
      </w:pPr>
      <w:r>
        <w:rPr>
          <w:rStyle w:val="FootnoteReference"/>
        </w:rPr>
        <w:footnoteRef/>
      </w:r>
      <w:r>
        <w:t xml:space="preserve"> Cross-references for "Tyre": Isa 23:1-18.</w:t>
      </w:r>
    </w:p>
  </w:footnote>
  <w:footnote w:id="15585">
    <w:p>
      <w:pPr>
        <w:pStyle w:val="FootnoteText"/>
      </w:pPr>
      <w:r>
        <w:rPr>
          <w:rStyle w:val="FootnoteReference"/>
        </w:rPr>
        <w:footnoteRef/>
      </w:r>
      <w:r>
        <w:t xml:space="preserve"> Cross-references for "Capernaum": Matt 4:13; Luke 7:1-2.</w:t>
      </w:r>
    </w:p>
  </w:footnote>
  <w:footnote w:id="15586">
    <w:p>
      <w:pPr>
        <w:pStyle w:val="FootnoteText"/>
      </w:pPr>
      <w:r>
        <w:rPr>
          <w:rStyle w:val="FootnoteReference"/>
        </w:rPr>
        <w:footnoteRef/>
      </w:r>
      <w:r>
        <w:t xml:space="preserve"> Cross-references for "I beheld Satan": John 12:31; John 16:11.</w:t>
      </w:r>
    </w:p>
  </w:footnote>
  <w:footnote w:id="15587">
    <w:p>
      <w:pPr>
        <w:pStyle w:val="FootnoteText"/>
      </w:pPr>
      <w:r>
        <w:rPr>
          <w:rStyle w:val="FootnoteReference"/>
        </w:rPr>
        <w:footnoteRef/>
      </w:r>
      <w:r>
        <w:t xml:space="preserve"> Cross-references for "I give": Ps 91:13; Isa 11:8.</w:t>
      </w:r>
    </w:p>
  </w:footnote>
  <w:footnote w:id="15588">
    <w:p>
      <w:pPr>
        <w:pStyle w:val="FootnoteText"/>
      </w:pPr>
      <w:r>
        <w:rPr>
          <w:rStyle w:val="FootnoteReference"/>
        </w:rPr>
        <w:footnoteRef/>
      </w:r>
      <w:r>
        <w:t xml:space="preserve"> Cross-references for "in this": Matt 7:22-23; Matt 10:1.</w:t>
      </w:r>
    </w:p>
  </w:footnote>
  <w:footnote w:id="15589">
    <w:p>
      <w:pPr>
        <w:pStyle w:val="FootnoteText"/>
      </w:pPr>
      <w:r>
        <w:rPr>
          <w:rStyle w:val="FootnoteReference"/>
        </w:rPr>
        <w:footnoteRef/>
      </w:r>
      <w:r>
        <w:t xml:space="preserve"> Cross-references for "Jesus": Isa 53:11; Isa 62:5.</w:t>
      </w:r>
    </w:p>
  </w:footnote>
  <w:footnote w:id="15590">
    <w:p>
      <w:pPr>
        <w:pStyle w:val="FootnoteText"/>
      </w:pPr>
      <w:r>
        <w:rPr>
          <w:rStyle w:val="FootnoteReference"/>
        </w:rPr>
        <w:footnoteRef/>
      </w:r>
      <w:r>
        <w:t xml:space="preserve"> Cross-references for "All things": Matt 11:27; Matt 28:18.</w:t>
      </w:r>
    </w:p>
  </w:footnote>
  <w:footnote w:id="15591">
    <w:p>
      <w:pPr>
        <w:pStyle w:val="FootnoteText"/>
      </w:pPr>
      <w:r>
        <w:rPr>
          <w:rStyle w:val="FootnoteReference"/>
        </w:rPr>
        <w:footnoteRef/>
      </w:r>
      <w:r>
        <w:t xml:space="preserve"> Cross-references for "Blessed": Matt 13:16-17.</w:t>
      </w:r>
    </w:p>
  </w:footnote>
  <w:footnote w:id="15592">
    <w:p>
      <w:pPr>
        <w:pStyle w:val="FootnoteText"/>
      </w:pPr>
      <w:r>
        <w:rPr>
          <w:rStyle w:val="FootnoteReference"/>
        </w:rPr>
        <w:footnoteRef/>
      </w:r>
      <w:r>
        <w:t xml:space="preserve"> Cross-references for "willing": Lev 19:34; Job 32:2.</w:t>
      </w:r>
    </w:p>
  </w:footnote>
  <w:footnote w:id="15593">
    <w:p>
      <w:pPr>
        <w:pStyle w:val="FootnoteText"/>
      </w:pPr>
      <w:r>
        <w:rPr>
          <w:rStyle w:val="FootnoteReference"/>
        </w:rPr>
        <w:footnoteRef/>
      </w:r>
      <w:r>
        <w:t xml:space="preserve"> Cross-references for "wounded": Ps 88:4; Jer 51:52.</w:t>
      </w:r>
    </w:p>
  </w:footnote>
  <w:footnote w:id="15594">
    <w:p>
      <w:pPr>
        <w:pStyle w:val="FootnoteText"/>
      </w:pPr>
      <w:r>
        <w:rPr>
          <w:rStyle w:val="FootnoteReference"/>
        </w:rPr>
        <w:footnoteRef/>
      </w:r>
      <w:r>
        <w:t xml:space="preserve"> Cross-references for "priest": Jer 5:31; Hos 5:1.</w:t>
      </w:r>
    </w:p>
  </w:footnote>
  <w:footnote w:id="15595">
    <w:p>
      <w:pPr>
        <w:pStyle w:val="FootnoteText"/>
      </w:pPr>
      <w:r>
        <w:rPr>
          <w:rStyle w:val="FootnoteReference"/>
        </w:rPr>
        <w:footnoteRef/>
      </w:r>
      <w:r>
        <w:t xml:space="preserve"> People-name: Levite. People-name meaning: Levite — person of Levi; joined/attached. Source form: Levite.</w:t>
      </w:r>
    </w:p>
  </w:footnote>
  <w:footnote w:id="15596">
    <w:p>
      <w:pPr>
        <w:pStyle w:val="FootnoteText"/>
      </w:pPr>
      <w:r>
        <w:rPr>
          <w:rStyle w:val="FootnoteReference"/>
        </w:rPr>
        <w:footnoteRef/>
      </w:r>
      <w:r>
        <w:t xml:space="preserve"> People-name: Samaritan. People-name meaning: Samaritan — person of Samaria; watch-mountain. Source form: Samaritan.</w:t>
      </w:r>
    </w:p>
  </w:footnote>
  <w:footnote w:id="15597">
    <w:p>
      <w:pPr>
        <w:pStyle w:val="FootnoteText"/>
      </w:pPr>
      <w:r>
        <w:rPr>
          <w:rStyle w:val="FootnoteReference"/>
        </w:rPr>
        <w:footnoteRef/>
      </w:r>
      <w:r>
        <w:t xml:space="preserve"> Cross-references for "Samaritan": Prov 27:10; Jer 38:7-13.</w:t>
      </w:r>
    </w:p>
  </w:footnote>
  <w:footnote w:id="15598">
    <w:p>
      <w:pPr>
        <w:pStyle w:val="FootnoteText"/>
      </w:pPr>
      <w:r>
        <w:rPr>
          <w:rStyle w:val="FootnoteReference"/>
        </w:rPr>
        <w:footnoteRef/>
      </w:r>
      <w:r>
        <w:t xml:space="preserve"> Cross-references for "went": Exod 23:4-5; Prov 24:17-18.</w:t>
      </w:r>
    </w:p>
  </w:footnote>
  <w:footnote w:id="15599">
    <w:p>
      <w:pPr>
        <w:pStyle w:val="FootnoteText"/>
      </w:pPr>
      <w:r>
        <w:rPr>
          <w:rStyle w:val="FootnoteReference"/>
        </w:rPr>
        <w:footnoteRef/>
      </w:r>
      <w:r>
        <w:t xml:space="preserve"> Name meaning: Martha (Martha) — Lady; mistress. Busy homemaker who learned to sit at Jesus’ feet.</w:t>
      </w:r>
    </w:p>
  </w:footnote>
  <w:footnote w:id="15600">
    <w:p>
      <w:pPr>
        <w:pStyle w:val="FootnoteText"/>
      </w:pPr>
      <w:r>
        <w:rPr>
          <w:rStyle w:val="FootnoteReference"/>
        </w:rPr>
        <w:footnoteRef/>
      </w:r>
      <w:r>
        <w:t xml:space="preserve"> Cross-references for "received": Luke 8:2-3; Acts 16:15.</w:t>
      </w:r>
    </w:p>
  </w:footnote>
  <w:footnote w:id="15601">
    <w:p>
      <w:pPr>
        <w:pStyle w:val="FootnoteText"/>
      </w:pPr>
      <w:r>
        <w:rPr>
          <w:rStyle w:val="FootnoteReference"/>
        </w:rPr>
        <w:footnoteRef/>
      </w:r>
      <w:r>
        <w:t xml:space="preserve"> Cross-references for "chosen": Deut 30:19; Josh 24:15.</w:t>
      </w:r>
    </w:p>
  </w:footnote>
  <w:footnote w:id="15602">
    <w:p>
      <w:pPr>
        <w:pStyle w:val="FootnoteText"/>
      </w:pPr>
      <w:r>
        <w:rPr>
          <w:rStyle w:val="FootnoteReference"/>
        </w:rPr>
        <w:footnoteRef/>
      </w:r>
      <w:r>
        <w:t xml:space="preserve"> Cross-references for "teach": Ps 10:17; Ps 19:14.</w:t>
      </w:r>
    </w:p>
  </w:footnote>
  <w:footnote w:id="15603">
    <w:p>
      <w:pPr>
        <w:pStyle w:val="FootnoteText"/>
      </w:pPr>
      <w:r>
        <w:rPr>
          <w:rStyle w:val="FootnoteReference"/>
        </w:rPr>
        <w:footnoteRef/>
      </w:r>
      <w:r>
        <w:t xml:space="preserve"> Cross-references for "Hallowed": Lev 10:3; Lev 22:23.</w:t>
      </w:r>
    </w:p>
  </w:footnote>
  <w:footnote w:id="15604">
    <w:p>
      <w:pPr>
        <w:pStyle w:val="FootnoteText"/>
      </w:pPr>
      <w:r>
        <w:rPr>
          <w:rStyle w:val="FootnoteReference"/>
        </w:rPr>
        <w:footnoteRef/>
      </w:r>
      <w:r>
        <w:t xml:space="preserve"> Cross-references for "Give": Exod 16:15-22; Prov 30:8.</w:t>
      </w:r>
    </w:p>
  </w:footnote>
  <w:footnote w:id="15605">
    <w:p>
      <w:pPr>
        <w:pStyle w:val="FootnoteText"/>
      </w:pPr>
      <w:r>
        <w:rPr>
          <w:rStyle w:val="FootnoteReference"/>
        </w:rPr>
        <w:footnoteRef/>
      </w:r>
      <w:r>
        <w:t xml:space="preserve"> Cross-references for "forgive us": 1Kgs 8:34; 1Kgs 8:36.</w:t>
      </w:r>
    </w:p>
  </w:footnote>
  <w:footnote w:id="15606">
    <w:p>
      <w:pPr>
        <w:pStyle w:val="FootnoteText"/>
      </w:pPr>
      <w:r>
        <w:rPr>
          <w:rStyle w:val="FootnoteReference"/>
        </w:rPr>
        <w:footnoteRef/>
      </w:r>
      <w:r>
        <w:t xml:space="preserve"> Cross-references for "in his journey": Luke 11:6.</w:t>
      </w:r>
    </w:p>
  </w:footnote>
  <w:footnote w:id="15607">
    <w:p>
      <w:pPr>
        <w:pStyle w:val="FootnoteText"/>
      </w:pPr>
      <w:r>
        <w:rPr>
          <w:rStyle w:val="FootnoteReference"/>
        </w:rPr>
        <w:footnoteRef/>
      </w:r>
      <w:r>
        <w:t xml:space="preserve"> Cross-references for "trouble": Luke 7:6; Gal 6:17.</w:t>
      </w:r>
    </w:p>
  </w:footnote>
  <w:footnote w:id="15608">
    <w:p>
      <w:pPr>
        <w:pStyle w:val="FootnoteText"/>
      </w:pPr>
      <w:r>
        <w:rPr>
          <w:rStyle w:val="FootnoteReference"/>
        </w:rPr>
        <w:footnoteRef/>
      </w:r>
      <w:r>
        <w:t xml:space="preserve"> Cross-references for "because of": Gen 32:26; Matt 15:22-28.</w:t>
      </w:r>
    </w:p>
  </w:footnote>
  <w:footnote w:id="15609">
    <w:p>
      <w:pPr>
        <w:pStyle w:val="FootnoteText"/>
      </w:pPr>
      <w:r>
        <w:rPr>
          <w:rStyle w:val="FootnoteReference"/>
        </w:rPr>
        <w:footnoteRef/>
      </w:r>
      <w:r>
        <w:t xml:space="preserve"> Cross-references for "seek": Ps 27:4; Ps 27:8.</w:t>
      </w:r>
    </w:p>
  </w:footnote>
  <w:footnote w:id="15610">
    <w:p>
      <w:pPr>
        <w:pStyle w:val="FootnoteText"/>
      </w:pPr>
      <w:r>
        <w:rPr>
          <w:rStyle w:val="FootnoteReference"/>
        </w:rPr>
        <w:footnoteRef/>
      </w:r>
      <w:r>
        <w:t xml:space="preserve"> Cross-references for "a son": Isa 49:15; Matt 7:9.</w:t>
      </w:r>
    </w:p>
  </w:footnote>
  <w:footnote w:id="15611">
    <w:p>
      <w:pPr>
        <w:pStyle w:val="FootnoteText"/>
      </w:pPr>
      <w:r>
        <w:rPr>
          <w:rStyle w:val="FootnoteReference"/>
        </w:rPr>
        <w:footnoteRef/>
      </w:r>
      <w:r>
        <w:t xml:space="preserve"> Cross-references for "a scorpion": Ezek 2:6; Luke 10:19.</w:t>
      </w:r>
    </w:p>
  </w:footnote>
  <w:footnote w:id="15612">
    <w:p>
      <w:pPr>
        <w:pStyle w:val="FootnoteText"/>
      </w:pPr>
      <w:r>
        <w:rPr>
          <w:rStyle w:val="FootnoteReference"/>
        </w:rPr>
        <w:footnoteRef/>
      </w:r>
      <w:r>
        <w:t xml:space="preserve"> Cross-references for "know": Isa 49:15; Matt 7:11.</w:t>
      </w:r>
    </w:p>
  </w:footnote>
  <w:footnote w:id="15613">
    <w:p>
      <w:pPr>
        <w:pStyle w:val="FootnoteText"/>
      </w:pPr>
      <w:r>
        <w:rPr>
          <w:rStyle w:val="FootnoteReference"/>
        </w:rPr>
        <w:footnoteRef/>
      </w:r>
      <w:r>
        <w:t xml:space="preserve"> Cross-references for "Beelzebub": Luke 11:18-19.</w:t>
      </w:r>
    </w:p>
  </w:footnote>
  <w:footnote w:id="15614">
    <w:p>
      <w:pPr>
        <w:pStyle w:val="FootnoteText"/>
      </w:pPr>
      <w:r>
        <w:rPr>
          <w:rStyle w:val="FootnoteReference"/>
        </w:rPr>
        <w:footnoteRef/>
      </w:r>
      <w:r>
        <w:t xml:space="preserve"> Cross-references for "knowing": Matt 9:4; Matt 12:25.</w:t>
      </w:r>
    </w:p>
  </w:footnote>
  <w:footnote w:id="15615">
    <w:p>
      <w:pPr>
        <w:pStyle w:val="FootnoteText"/>
      </w:pPr>
      <w:r>
        <w:rPr>
          <w:rStyle w:val="FootnoteReference"/>
        </w:rPr>
        <w:footnoteRef/>
      </w:r>
      <w:r>
        <w:t xml:space="preserve"> Cross-references for "Satan": Matt 12:26.</w:t>
      </w:r>
    </w:p>
  </w:footnote>
  <w:footnote w:id="15616">
    <w:p>
      <w:pPr>
        <w:pStyle w:val="FootnoteText"/>
      </w:pPr>
      <w:r>
        <w:rPr>
          <w:rStyle w:val="FootnoteReference"/>
        </w:rPr>
        <w:footnoteRef/>
      </w:r>
      <w:r>
        <w:t xml:space="preserve"> Cross-references for "the finger": Exod 8:19; Matt 12:28.</w:t>
      </w:r>
    </w:p>
  </w:footnote>
  <w:footnote w:id="15617">
    <w:p>
      <w:pPr>
        <w:pStyle w:val="FootnoteText"/>
      </w:pPr>
      <w:r>
        <w:rPr>
          <w:rStyle w:val="FootnoteReference"/>
        </w:rPr>
        <w:footnoteRef/>
      </w:r>
      <w:r>
        <w:t xml:space="preserve"> Cross-references for "the unclean": Matt 12:43-45.</w:t>
      </w:r>
    </w:p>
  </w:footnote>
  <w:footnote w:id="15618">
    <w:p>
      <w:pPr>
        <w:pStyle w:val="FootnoteText"/>
      </w:pPr>
      <w:r>
        <w:rPr>
          <w:rStyle w:val="FootnoteReference"/>
        </w:rPr>
        <w:footnoteRef/>
      </w:r>
      <w:r>
        <w:t xml:space="preserve"> Cross-references for "more": Matt 23:15.</w:t>
      </w:r>
    </w:p>
  </w:footnote>
  <w:footnote w:id="15619">
    <w:p>
      <w:pPr>
        <w:pStyle w:val="FootnoteText"/>
      </w:pPr>
      <w:r>
        <w:rPr>
          <w:rStyle w:val="FootnoteReference"/>
        </w:rPr>
        <w:footnoteRef/>
      </w:r>
      <w:r>
        <w:t xml:space="preserve"> Cross-references for "Blessed": Luke 1:28; Luke 1:42.</w:t>
      </w:r>
    </w:p>
  </w:footnote>
  <w:footnote w:id="15620">
    <w:p>
      <w:pPr>
        <w:pStyle w:val="FootnoteText"/>
      </w:pPr>
      <w:r>
        <w:rPr>
          <w:rStyle w:val="FootnoteReference"/>
        </w:rPr>
        <w:footnoteRef/>
      </w:r>
      <w:r>
        <w:t xml:space="preserve"> Cross-references for "This is": Isa 57:3-4; Matt 3:7.</w:t>
      </w:r>
    </w:p>
  </w:footnote>
  <w:footnote w:id="15621">
    <w:p>
      <w:pPr>
        <w:pStyle w:val="FootnoteText"/>
      </w:pPr>
      <w:r>
        <w:rPr>
          <w:rStyle w:val="FootnoteReference"/>
        </w:rPr>
        <w:footnoteRef/>
      </w:r>
      <w:r>
        <w:t xml:space="preserve"> People-name: Ninevites. People-name meaning: Ninevites — people of Nineveh; dwelling of Ninus/fish-city. Source form: Ninevites.</w:t>
      </w:r>
    </w:p>
  </w:footnote>
  <w:footnote w:id="15622">
    <w:p>
      <w:pPr>
        <w:pStyle w:val="FootnoteText"/>
      </w:pPr>
      <w:r>
        <w:rPr>
          <w:rStyle w:val="FootnoteReference"/>
        </w:rPr>
        <w:footnoteRef/>
      </w:r>
      <w:r>
        <w:t xml:space="preserve"> Cross-references for "queen": 1Kgs 10:1; 1Kgs 10:2-13.</w:t>
      </w:r>
    </w:p>
  </w:footnote>
  <w:footnote w:id="15623">
    <w:p>
      <w:pPr>
        <w:pStyle w:val="FootnoteText"/>
      </w:pPr>
      <w:r>
        <w:rPr>
          <w:rStyle w:val="FootnoteReference"/>
        </w:rPr>
        <w:footnoteRef/>
      </w:r>
      <w:r>
        <w:t xml:space="preserve"> Cross-references for "a greater": Jonah 1:2-3; Jonah 4:1-4.</w:t>
      </w:r>
    </w:p>
  </w:footnote>
  <w:footnote w:id="15624">
    <w:p>
      <w:pPr>
        <w:pStyle w:val="FootnoteText"/>
      </w:pPr>
      <w:r>
        <w:rPr>
          <w:rStyle w:val="FootnoteReference"/>
        </w:rPr>
        <w:footnoteRef/>
      </w:r>
      <w:r>
        <w:t xml:space="preserve"> Cross-references for "may see": Matt 5:16; Matt 10:27.</w:t>
      </w:r>
    </w:p>
  </w:footnote>
  <w:footnote w:id="15625">
    <w:p>
      <w:pPr>
        <w:pStyle w:val="FootnoteText"/>
      </w:pPr>
      <w:r>
        <w:rPr>
          <w:rStyle w:val="FootnoteReference"/>
        </w:rPr>
        <w:footnoteRef/>
      </w:r>
      <w:r>
        <w:t xml:space="preserve"> Cross-references for "light of": Ps 119:18; Matt 6:22-23.</w:t>
      </w:r>
    </w:p>
  </w:footnote>
  <w:footnote w:id="15626">
    <w:p>
      <w:pPr>
        <w:pStyle w:val="FootnoteText"/>
      </w:pPr>
      <w:r>
        <w:rPr>
          <w:rStyle w:val="FootnoteReference"/>
        </w:rPr>
        <w:footnoteRef/>
      </w:r>
      <w:r>
        <w:t xml:space="preserve"> Cross-references for "the whole": Ps 119:97-105; Prov 1:5.</w:t>
      </w:r>
    </w:p>
  </w:footnote>
  <w:footnote w:id="15627">
    <w:p>
      <w:pPr>
        <w:pStyle w:val="FootnoteText"/>
      </w:pPr>
      <w:r>
        <w:rPr>
          <w:rStyle w:val="FootnoteReference"/>
        </w:rPr>
        <w:footnoteRef/>
      </w:r>
      <w:r>
        <w:t xml:space="preserve"> Cross-references for "fools": Ps 14:1; Ps 75:4-5.</w:t>
      </w:r>
    </w:p>
  </w:footnote>
  <w:footnote w:id="15628">
    <w:p>
      <w:pPr>
        <w:pStyle w:val="FootnoteText"/>
      </w:pPr>
      <w:r>
        <w:rPr>
          <w:rStyle w:val="FootnoteReference"/>
        </w:rPr>
        <w:footnoteRef/>
      </w:r>
      <w:r>
        <w:t xml:space="preserve"> Cross-references for "rather": Deut 15:8-10; Job 13:16-20.</w:t>
      </w:r>
    </w:p>
  </w:footnote>
  <w:footnote w:id="15629">
    <w:p>
      <w:pPr>
        <w:pStyle w:val="FootnoteText"/>
      </w:pPr>
      <w:r>
        <w:rPr>
          <w:rStyle w:val="FootnoteReference"/>
        </w:rPr>
        <w:footnoteRef/>
      </w:r>
      <w:r>
        <w:t xml:space="preserve"> Cross-references for "and pass": Deut 10:12-13; 1Sam 15:22.</w:t>
      </w:r>
    </w:p>
  </w:footnote>
  <w:footnote w:id="15630">
    <w:p>
      <w:pPr>
        <w:pStyle w:val="FootnoteText"/>
      </w:pPr>
      <w:r>
        <w:rPr>
          <w:rStyle w:val="FootnoteReference"/>
        </w:rPr>
        <w:footnoteRef/>
      </w:r>
      <w:r>
        <w:t xml:space="preserve"> Cross-references for "the wisdom": Prov 1:2-6; Prov 8:1-12.</w:t>
      </w:r>
    </w:p>
  </w:footnote>
  <w:footnote w:id="15631">
    <w:p>
      <w:pPr>
        <w:pStyle w:val="FootnoteText"/>
      </w:pPr>
      <w:r>
        <w:rPr>
          <w:rStyle w:val="FootnoteReference"/>
        </w:rPr>
        <w:footnoteRef/>
      </w:r>
      <w:r>
        <w:t xml:space="preserve"> Cross-references for "the blood": Gen 9:5-6; Num 35:33.</w:t>
      </w:r>
    </w:p>
  </w:footnote>
  <w:footnote w:id="15632">
    <w:p>
      <w:pPr>
        <w:pStyle w:val="FootnoteText"/>
      </w:pPr>
      <w:r>
        <w:rPr>
          <w:rStyle w:val="FootnoteReference"/>
        </w:rPr>
        <w:footnoteRef/>
      </w:r>
      <w:r>
        <w:t xml:space="preserve"> Cross-references for "the blood of Abel": Gen 4:8-11; Heb 11:4.</w:t>
      </w:r>
    </w:p>
  </w:footnote>
  <w:footnote w:id="15633">
    <w:p>
      <w:pPr>
        <w:pStyle w:val="FootnoteText"/>
      </w:pPr>
      <w:r>
        <w:rPr>
          <w:rStyle w:val="FootnoteReference"/>
        </w:rPr>
        <w:footnoteRef/>
      </w:r>
      <w:r>
        <w:t xml:space="preserve"> Cross-references for "to speak": Jer 18:18; Jer 20:10.</w:t>
      </w:r>
    </w:p>
  </w:footnote>
  <w:footnote w:id="15634">
    <w:p>
      <w:pPr>
        <w:pStyle w:val="FootnoteText"/>
      </w:pPr>
      <w:r>
        <w:rPr>
          <w:rStyle w:val="FootnoteReference"/>
        </w:rPr>
        <w:footnoteRef/>
      </w:r>
      <w:r>
        <w:t xml:space="preserve"> Cross-references for "seeking": Ps 37:32-33; Ps 56:5-6.</w:t>
      </w:r>
    </w:p>
  </w:footnote>
  <w:footnote w:id="15635">
    <w:p>
      <w:pPr>
        <w:pStyle w:val="FootnoteText"/>
      </w:pPr>
      <w:r>
        <w:rPr>
          <w:rStyle w:val="FootnoteReference"/>
        </w:rPr>
        <w:footnoteRef/>
      </w:r>
      <w:r>
        <w:t xml:space="preserve"> Cross-references for "trode": 2Kgs 7:17.</w:t>
      </w:r>
    </w:p>
  </w:footnote>
  <w:footnote w:id="15636">
    <w:p>
      <w:pPr>
        <w:pStyle w:val="FootnoteText"/>
      </w:pPr>
      <w:r>
        <w:rPr>
          <w:rStyle w:val="FootnoteReference"/>
        </w:rPr>
        <w:footnoteRef/>
      </w:r>
      <w:r>
        <w:t xml:space="preserve"> Cross-references for "housetops": Matt 10:27.</w:t>
      </w:r>
    </w:p>
  </w:footnote>
  <w:footnote w:id="15637">
    <w:p>
      <w:pPr>
        <w:pStyle w:val="FootnoteText"/>
      </w:pPr>
      <w:r>
        <w:rPr>
          <w:rStyle w:val="FootnoteReference"/>
        </w:rPr>
        <w:footnoteRef/>
      </w:r>
      <w:r>
        <w:t xml:space="preserve"> Cross-references for "forewarn": Mark 13:23; 1Thess 4:6.</w:t>
      </w:r>
    </w:p>
  </w:footnote>
  <w:footnote w:id="15638">
    <w:p>
      <w:pPr>
        <w:pStyle w:val="FootnoteText"/>
      </w:pPr>
      <w:r>
        <w:rPr>
          <w:rStyle w:val="FootnoteReference"/>
        </w:rPr>
        <w:footnoteRef/>
      </w:r>
      <w:r>
        <w:t xml:space="preserve"> Cross-references for "five": Matt 10:29.</w:t>
      </w:r>
    </w:p>
  </w:footnote>
  <w:footnote w:id="15639">
    <w:p>
      <w:pPr>
        <w:pStyle w:val="FootnoteText"/>
      </w:pPr>
      <w:r>
        <w:rPr>
          <w:rStyle w:val="FootnoteReference"/>
        </w:rPr>
        <w:footnoteRef/>
      </w:r>
      <w:r>
        <w:t xml:space="preserve"> Cross-references for "confess": Matt 25:31-34; Jude 1:24-25.</w:t>
      </w:r>
    </w:p>
  </w:footnote>
  <w:footnote w:id="15640">
    <w:p>
      <w:pPr>
        <w:pStyle w:val="FootnoteText"/>
      </w:pPr>
      <w:r>
        <w:rPr>
          <w:rStyle w:val="FootnoteReference"/>
        </w:rPr>
        <w:footnoteRef/>
      </w:r>
      <w:r>
        <w:t xml:space="preserve"> Cross-references for "Take": Josh 7:21; Job 31:24-25.</w:t>
      </w:r>
    </w:p>
  </w:footnote>
  <w:footnote w:id="15641">
    <w:p>
      <w:pPr>
        <w:pStyle w:val="FootnoteText"/>
      </w:pPr>
      <w:r>
        <w:rPr>
          <w:rStyle w:val="FootnoteReference"/>
        </w:rPr>
        <w:footnoteRef/>
      </w:r>
      <w:r>
        <w:t xml:space="preserve"> Cross-references for "The ground": Gen 26:12-14; Gen 41:47-49.</w:t>
      </w:r>
    </w:p>
  </w:footnote>
  <w:footnote w:id="15642">
    <w:p>
      <w:pPr>
        <w:pStyle w:val="FootnoteText"/>
      </w:pPr>
      <w:r>
        <w:rPr>
          <w:rStyle w:val="FootnoteReference"/>
        </w:rPr>
        <w:footnoteRef/>
      </w:r>
      <w:r>
        <w:t xml:space="preserve"> Cross-references for "take": Job 21:11-13; Eccl 11:9.</w:t>
      </w:r>
    </w:p>
  </w:footnote>
  <w:footnote w:id="15643">
    <w:p>
      <w:pPr>
        <w:pStyle w:val="FootnoteText"/>
      </w:pPr>
      <w:r>
        <w:rPr>
          <w:rStyle w:val="FootnoteReference"/>
        </w:rPr>
        <w:footnoteRef/>
      </w:r>
      <w:r>
        <w:t xml:space="preserve"> Cross-references for "rich": Luke 16:11; 2Cor 6:10.</w:t>
      </w:r>
    </w:p>
  </w:footnote>
  <w:footnote w:id="15644">
    <w:p>
      <w:pPr>
        <w:pStyle w:val="FootnoteText"/>
      </w:pPr>
      <w:r>
        <w:rPr>
          <w:rStyle w:val="FootnoteReference"/>
        </w:rPr>
        <w:footnoteRef/>
      </w:r>
      <w:r>
        <w:t xml:space="preserve"> Cross-references for "the ravens": 1Kgs 17:1-6; Job 38:41.</w:t>
      </w:r>
    </w:p>
  </w:footnote>
  <w:footnote w:id="15645">
    <w:p>
      <w:pPr>
        <w:pStyle w:val="FootnoteText"/>
      </w:pPr>
      <w:r>
        <w:rPr>
          <w:rStyle w:val="FootnoteReference"/>
        </w:rPr>
        <w:footnoteRef/>
      </w:r>
      <w:r>
        <w:t xml:space="preserve"> Cross-references for "the lilies": Matt 6:28-30; Luke 12:24.</w:t>
      </w:r>
    </w:p>
  </w:footnote>
  <w:footnote w:id="15646">
    <w:p>
      <w:pPr>
        <w:pStyle w:val="FootnoteText"/>
      </w:pPr>
      <w:r>
        <w:rPr>
          <w:rStyle w:val="FootnoteReference"/>
        </w:rPr>
        <w:footnoteRef/>
      </w:r>
      <w:r>
        <w:t xml:space="preserve"> Cross-references for "seek": Matt 6:31; Luke 10:7-8.</w:t>
      </w:r>
    </w:p>
  </w:footnote>
  <w:footnote w:id="15647">
    <w:p>
      <w:pPr>
        <w:pStyle w:val="FootnoteText"/>
      </w:pPr>
      <w:r>
        <w:rPr>
          <w:rStyle w:val="FootnoteReference"/>
        </w:rPr>
        <w:footnoteRef/>
      </w:r>
      <w:r>
        <w:t xml:space="preserve"> Cross-references for "little": Song 1:7-8; Isa 40:11.</w:t>
      </w:r>
    </w:p>
  </w:footnote>
  <w:footnote w:id="15648">
    <w:p>
      <w:pPr>
        <w:pStyle w:val="FootnoteText"/>
      </w:pPr>
      <w:r>
        <w:rPr>
          <w:rStyle w:val="FootnoteReference"/>
        </w:rPr>
        <w:footnoteRef/>
      </w:r>
      <w:r>
        <w:t xml:space="preserve"> Cross-references for "Sell": Matt 19:21; Luke 18:22.</w:t>
      </w:r>
    </w:p>
  </w:footnote>
  <w:footnote w:id="15649">
    <w:p>
      <w:pPr>
        <w:pStyle w:val="FootnoteText"/>
      </w:pPr>
      <w:r>
        <w:rPr>
          <w:rStyle w:val="FootnoteReference"/>
        </w:rPr>
        <w:footnoteRef/>
      </w:r>
      <w:r>
        <w:t xml:space="preserve"> Cross-references for "your loins": 1Kgs 18:46; Prov 31:17.</w:t>
      </w:r>
    </w:p>
  </w:footnote>
  <w:footnote w:id="15650">
    <w:p>
      <w:pPr>
        <w:pStyle w:val="FootnoteText"/>
      </w:pPr>
      <w:r>
        <w:rPr>
          <w:rStyle w:val="FootnoteReference"/>
        </w:rPr>
        <w:footnoteRef/>
      </w:r>
      <w:r>
        <w:t xml:space="preserve"> Cross-references for "return": Matt 22:1-14; Matt 25:1-13.</w:t>
      </w:r>
    </w:p>
  </w:footnote>
  <w:footnote w:id="15651">
    <w:p>
      <w:pPr>
        <w:pStyle w:val="FootnoteText"/>
      </w:pPr>
      <w:r>
        <w:rPr>
          <w:rStyle w:val="FootnoteReference"/>
        </w:rPr>
        <w:footnoteRef/>
      </w:r>
      <w:r>
        <w:t xml:space="preserve"> Cross-references for "Blessed": Matt 24:45-47; Matt 25:20-23.</w:t>
      </w:r>
    </w:p>
  </w:footnote>
  <w:footnote w:id="15652">
    <w:p>
      <w:pPr>
        <w:pStyle w:val="FootnoteText"/>
      </w:pPr>
      <w:r>
        <w:rPr>
          <w:rStyle w:val="FootnoteReference"/>
        </w:rPr>
        <w:footnoteRef/>
      </w:r>
      <w:r>
        <w:t xml:space="preserve"> Cross-references for "steward": Matt 20:8; Luke 16:1-12.</w:t>
      </w:r>
    </w:p>
  </w:footnote>
  <w:footnote w:id="15653">
    <w:p>
      <w:pPr>
        <w:pStyle w:val="FootnoteText"/>
      </w:pPr>
      <w:r>
        <w:rPr>
          <w:rStyle w:val="FootnoteReference"/>
        </w:rPr>
        <w:footnoteRef/>
      </w:r>
      <w:r>
        <w:t xml:space="preserve"> Cross-references for "that he will": Dan 12:2-3; Matt 24:47.</w:t>
      </w:r>
    </w:p>
  </w:footnote>
  <w:footnote w:id="15654">
    <w:p>
      <w:pPr>
        <w:pStyle w:val="FootnoteText"/>
      </w:pPr>
      <w:r>
        <w:rPr>
          <w:rStyle w:val="FootnoteReference"/>
        </w:rPr>
        <w:footnoteRef/>
      </w:r>
      <w:r>
        <w:t xml:space="preserve"> Cross-references for "and if": Ezek 12:22; Ezek 12:27-28.</w:t>
      </w:r>
    </w:p>
  </w:footnote>
  <w:footnote w:id="15655">
    <w:p>
      <w:pPr>
        <w:pStyle w:val="FootnoteText"/>
      </w:pPr>
      <w:r>
        <w:rPr>
          <w:rStyle w:val="FootnoteReference"/>
        </w:rPr>
        <w:footnoteRef/>
      </w:r>
      <w:r>
        <w:t xml:space="preserve"> Cross-references for "Lord": Luke 12:19-20; Luke 12:40.</w:t>
      </w:r>
    </w:p>
  </w:footnote>
  <w:footnote w:id="15656">
    <w:p>
      <w:pPr>
        <w:pStyle w:val="FootnoteText"/>
      </w:pPr>
      <w:r>
        <w:rPr>
          <w:rStyle w:val="FootnoteReference"/>
        </w:rPr>
        <w:footnoteRef/>
      </w:r>
      <w:r>
        <w:t xml:space="preserve"> Cross-references for "knew": Num 15:30-31; Matt 11:22-24.</w:t>
      </w:r>
    </w:p>
  </w:footnote>
  <w:footnote w:id="15657">
    <w:p>
      <w:pPr>
        <w:pStyle w:val="FootnoteText"/>
      </w:pPr>
      <w:r>
        <w:rPr>
          <w:rStyle w:val="FootnoteReference"/>
        </w:rPr>
        <w:footnoteRef/>
      </w:r>
      <w:r>
        <w:t xml:space="preserve"> Cross-references for "give": Gen 32:3-28; 1Sam 25:18-35.</w:t>
      </w:r>
    </w:p>
  </w:footnote>
  <w:footnote w:id="15658">
    <w:p>
      <w:pPr>
        <w:pStyle w:val="FootnoteText"/>
      </w:pPr>
      <w:r>
        <w:rPr>
          <w:rStyle w:val="FootnoteReference"/>
        </w:rPr>
        <w:footnoteRef/>
      </w:r>
      <w:r>
        <w:t xml:space="preserve"> People-name: Galileans. People-name meaning: Galileans — people of Galilee; circle/district. Source form: Galileans.</w:t>
      </w:r>
    </w:p>
  </w:footnote>
  <w:footnote w:id="15659">
    <w:p>
      <w:pPr>
        <w:pStyle w:val="FootnoteText"/>
      </w:pPr>
      <w:r>
        <w:rPr>
          <w:rStyle w:val="FootnoteReference"/>
        </w:rPr>
        <w:footnoteRef/>
      </w:r>
      <w:r>
        <w:t xml:space="preserve"> Cross-references for "mingled": Lam 2:20; Ezek 9:5-7.</w:t>
      </w:r>
    </w:p>
  </w:footnote>
  <w:footnote w:id="15660">
    <w:p>
      <w:pPr>
        <w:pStyle w:val="FootnoteText"/>
      </w:pPr>
      <w:r>
        <w:rPr>
          <w:rStyle w:val="FootnoteReference"/>
        </w:rPr>
        <w:footnoteRef/>
      </w:r>
      <w:r>
        <w:t xml:space="preserve"> Cross-references for "suppose": Job 22:5-16; Luke 13:4.</w:t>
      </w:r>
    </w:p>
  </w:footnote>
  <w:footnote w:id="15661">
    <w:p>
      <w:pPr>
        <w:pStyle w:val="FootnoteText"/>
      </w:pPr>
      <w:r>
        <w:rPr>
          <w:rStyle w:val="FootnoteReference"/>
        </w:rPr>
        <w:footnoteRef/>
      </w:r>
      <w:r>
        <w:t xml:space="preserve"> Place name: Siloam. Place-name meaning: Siloam — sent. Source form: Siloam. Greek form: σιλωαμ.</w:t>
      </w:r>
    </w:p>
  </w:footnote>
  <w:footnote w:id="15662">
    <w:p>
      <w:pPr>
        <w:pStyle w:val="FootnoteText"/>
      </w:pPr>
      <w:r>
        <w:rPr>
          <w:rStyle w:val="FootnoteReference"/>
        </w:rPr>
        <w:footnoteRef/>
      </w:r>
      <w:r>
        <w:t xml:space="preserve"> Cross-references for "in Siloam": Neh 3:15; John 9:7.</w:t>
      </w:r>
    </w:p>
  </w:footnote>
  <w:footnote w:id="15663">
    <w:p>
      <w:pPr>
        <w:pStyle w:val="FootnoteText"/>
      </w:pPr>
      <w:r>
        <w:rPr>
          <w:rStyle w:val="FootnoteReference"/>
        </w:rPr>
        <w:footnoteRef/>
      </w:r>
      <w:r>
        <w:t xml:space="preserve"> Cross-references for "fig tree": Ps 80:8-13; Isa 5:1-4.</w:t>
      </w:r>
    </w:p>
  </w:footnote>
  <w:footnote w:id="15664">
    <w:p>
      <w:pPr>
        <w:pStyle w:val="FootnoteText"/>
      </w:pPr>
      <w:r>
        <w:rPr>
          <w:rStyle w:val="FootnoteReference"/>
        </w:rPr>
        <w:footnoteRef/>
      </w:r>
      <w:r>
        <w:t xml:space="preserve"> Cross-references for "three": Lev 19:23; Lev 25:21.</w:t>
      </w:r>
    </w:p>
  </w:footnote>
  <w:footnote w:id="15665">
    <w:p>
      <w:pPr>
        <w:pStyle w:val="FootnoteText"/>
      </w:pPr>
      <w:r>
        <w:rPr>
          <w:rStyle w:val="FootnoteReference"/>
        </w:rPr>
        <w:footnoteRef/>
      </w:r>
      <w:r>
        <w:t xml:space="preserve"> Cross-references for "if not": Ezra 9:14-15; Ps 69:22-28.</w:t>
      </w:r>
    </w:p>
  </w:footnote>
  <w:footnote w:id="15666">
    <w:p>
      <w:pPr>
        <w:pStyle w:val="FootnoteText"/>
      </w:pPr>
      <w:r>
        <w:rPr>
          <w:rStyle w:val="FootnoteReference"/>
        </w:rPr>
        <w:footnoteRef/>
      </w:r>
      <w:r>
        <w:t xml:space="preserve"> Cross-references for "a spirit": Job 2:7; Ps 6:2.</w:t>
      </w:r>
    </w:p>
  </w:footnote>
  <w:footnote w:id="15667">
    <w:p>
      <w:pPr>
        <w:pStyle w:val="FootnoteText"/>
      </w:pPr>
      <w:r>
        <w:rPr>
          <w:rStyle w:val="FootnoteReference"/>
        </w:rPr>
        <w:footnoteRef/>
      </w:r>
      <w:r>
        <w:t xml:space="preserve"> Cross-references for "Woman": Ps 107:20; Isa 65:1.</w:t>
      </w:r>
    </w:p>
  </w:footnote>
  <w:footnote w:id="15668">
    <w:p>
      <w:pPr>
        <w:pStyle w:val="FootnoteText"/>
      </w:pPr>
      <w:r>
        <w:rPr>
          <w:rStyle w:val="FootnoteReference"/>
        </w:rPr>
        <w:footnoteRef/>
      </w:r>
      <w:r>
        <w:t xml:space="preserve"> Cross-references for "he laid": Mark 6:5; Mark 8:25.</w:t>
      </w:r>
    </w:p>
  </w:footnote>
  <w:footnote w:id="15669">
    <w:p>
      <w:pPr>
        <w:pStyle w:val="FootnoteText"/>
      </w:pPr>
      <w:r>
        <w:rPr>
          <w:rStyle w:val="FootnoteReference"/>
        </w:rPr>
        <w:footnoteRef/>
      </w:r>
      <w:r>
        <w:t xml:space="preserve"> Cross-references for "the ruler": Luke 8:41; Acts 13:15.</w:t>
      </w:r>
    </w:p>
  </w:footnote>
  <w:footnote w:id="15670">
    <w:p>
      <w:pPr>
        <w:pStyle w:val="FootnoteText"/>
      </w:pPr>
      <w:r>
        <w:rPr>
          <w:rStyle w:val="FootnoteReference"/>
        </w:rPr>
        <w:footnoteRef/>
      </w:r>
      <w:r>
        <w:t xml:space="preserve"> Cross-references for "be loosed": Mark 2:27; Luke 13:12.</w:t>
      </w:r>
    </w:p>
  </w:footnote>
  <w:footnote w:id="15671">
    <w:p>
      <w:pPr>
        <w:pStyle w:val="FootnoteText"/>
      </w:pPr>
      <w:r>
        <w:rPr>
          <w:rStyle w:val="FootnoteReference"/>
        </w:rPr>
        <w:footnoteRef/>
      </w:r>
      <w:r>
        <w:t xml:space="preserve"> Cross-references for "all his": Ps 40:14; Ps 109:29.</w:t>
      </w:r>
    </w:p>
  </w:footnote>
  <w:footnote w:id="15672">
    <w:p>
      <w:pPr>
        <w:pStyle w:val="FootnoteText"/>
      </w:pPr>
      <w:r>
        <w:rPr>
          <w:rStyle w:val="FootnoteReference"/>
        </w:rPr>
        <w:footnoteRef/>
      </w:r>
      <w:r>
        <w:t xml:space="preserve"> Cross-references for "the kingdom": Mark 4:26; Mark 4:30-34.</w:t>
      </w:r>
    </w:p>
  </w:footnote>
  <w:footnote w:id="15673">
    <w:p>
      <w:pPr>
        <w:pStyle w:val="FootnoteText"/>
      </w:pPr>
      <w:r>
        <w:rPr>
          <w:rStyle w:val="FootnoteReference"/>
        </w:rPr>
        <w:footnoteRef/>
      </w:r>
      <w:r>
        <w:t xml:space="preserve"> Cross-references for "cast": Song 4:12; Song 4:16.</w:t>
      </w:r>
    </w:p>
  </w:footnote>
  <w:footnote w:id="15674">
    <w:p>
      <w:pPr>
        <w:pStyle w:val="FootnoteText"/>
      </w:pPr>
      <w:r>
        <w:rPr>
          <w:rStyle w:val="FootnoteReference"/>
        </w:rPr>
        <w:footnoteRef/>
      </w:r>
      <w:r>
        <w:t xml:space="preserve"> Cross-references for "till": Job 17:9; Ps 92:13-14.</w:t>
      </w:r>
    </w:p>
  </w:footnote>
  <w:footnote w:id="15675">
    <w:p>
      <w:pPr>
        <w:pStyle w:val="FootnoteText"/>
      </w:pPr>
      <w:r>
        <w:rPr>
          <w:rStyle w:val="FootnoteReference"/>
        </w:rPr>
        <w:footnoteRef/>
      </w:r>
      <w:r>
        <w:t xml:space="preserve"> Cross-references for "journeying": Mark 10:32-34; Luke 9:51.</w:t>
      </w:r>
    </w:p>
  </w:footnote>
  <w:footnote w:id="15676">
    <w:p>
      <w:pPr>
        <w:pStyle w:val="FootnoteText"/>
      </w:pPr>
      <w:r>
        <w:rPr>
          <w:rStyle w:val="FootnoteReference"/>
        </w:rPr>
        <w:footnoteRef/>
      </w:r>
      <w:r>
        <w:t xml:space="preserve"> Cross-references for "Strive": Gen 32:25-26; Matt 11:12.</w:t>
      </w:r>
    </w:p>
  </w:footnote>
  <w:footnote w:id="15677">
    <w:p>
      <w:pPr>
        <w:pStyle w:val="FootnoteText"/>
      </w:pPr>
      <w:r>
        <w:rPr>
          <w:rStyle w:val="FootnoteReference"/>
        </w:rPr>
        <w:footnoteRef/>
      </w:r>
      <w:r>
        <w:t xml:space="preserve"> Cross-references for "once": Ps 32:6; Isa 55:6.</w:t>
      </w:r>
    </w:p>
  </w:footnote>
  <w:footnote w:id="15678">
    <w:p>
      <w:pPr>
        <w:pStyle w:val="FootnoteText"/>
      </w:pPr>
      <w:r>
        <w:rPr>
          <w:rStyle w:val="FootnoteReference"/>
        </w:rPr>
        <w:footnoteRef/>
      </w:r>
      <w:r>
        <w:t xml:space="preserve"> Cross-references for "I tell": Ps 1:6; Matt 7:22-23.</w:t>
      </w:r>
    </w:p>
  </w:footnote>
  <w:footnote w:id="15679">
    <w:p>
      <w:pPr>
        <w:pStyle w:val="FootnoteText"/>
      </w:pPr>
      <w:r>
        <w:rPr>
          <w:rStyle w:val="FootnoteReference"/>
        </w:rPr>
        <w:footnoteRef/>
      </w:r>
      <w:r>
        <w:t xml:space="preserve"> Cross-references for "weeping": Ps 112:10; Matt 8:12.</w:t>
      </w:r>
    </w:p>
  </w:footnote>
  <w:footnote w:id="15680">
    <w:p>
      <w:pPr>
        <w:pStyle w:val="FootnoteText"/>
      </w:pPr>
      <w:r>
        <w:rPr>
          <w:rStyle w:val="FootnoteReference"/>
        </w:rPr>
        <w:footnoteRef/>
      </w:r>
      <w:r>
        <w:t xml:space="preserve"> Cross-references for "that fox": Ezek 13:4; Mic 3:1-3.</w:t>
      </w:r>
    </w:p>
  </w:footnote>
  <w:footnote w:id="15681">
    <w:p>
      <w:pPr>
        <w:pStyle w:val="FootnoteText"/>
      </w:pPr>
      <w:r>
        <w:rPr>
          <w:rStyle w:val="FootnoteReference"/>
        </w:rPr>
        <w:footnoteRef/>
      </w:r>
      <w:r>
        <w:t xml:space="preserve"> Cross-references for "I must": John 4:34; John 9:4.</w:t>
      </w:r>
    </w:p>
  </w:footnote>
  <w:footnote w:id="15682">
    <w:p>
      <w:pPr>
        <w:pStyle w:val="FootnoteText"/>
      </w:pPr>
      <w:r>
        <w:rPr>
          <w:rStyle w:val="FootnoteReference"/>
        </w:rPr>
        <w:footnoteRef/>
      </w:r>
      <w:r>
        <w:t xml:space="preserve"> Cross-references for "Jerusalem": Matt 23:37-39; Luke 19:41-42.</w:t>
      </w:r>
    </w:p>
  </w:footnote>
  <w:footnote w:id="15683">
    <w:p>
      <w:pPr>
        <w:pStyle w:val="FootnoteText"/>
      </w:pPr>
      <w:r>
        <w:rPr>
          <w:rStyle w:val="FootnoteReference"/>
        </w:rPr>
        <w:footnoteRef/>
      </w:r>
      <w:r>
        <w:t xml:space="preserve"> Cross-references for "Blessed": Ps 118:26; Isa 40:9-11.</w:t>
      </w:r>
    </w:p>
  </w:footnote>
  <w:footnote w:id="15684">
    <w:p>
      <w:pPr>
        <w:pStyle w:val="FootnoteText"/>
      </w:pPr>
      <w:r>
        <w:rPr>
          <w:rStyle w:val="FootnoteReference"/>
        </w:rPr>
        <w:footnoteRef/>
      </w:r>
      <w:r>
        <w:t xml:space="preserve"> Cross-references for "chief": John 3:1; Acts 5:34.</w:t>
      </w:r>
    </w:p>
  </w:footnote>
  <w:footnote w:id="15685">
    <w:p>
      <w:pPr>
        <w:pStyle w:val="FootnoteText"/>
      </w:pPr>
      <w:r>
        <w:rPr>
          <w:rStyle w:val="FootnoteReference"/>
        </w:rPr>
        <w:footnoteRef/>
      </w:r>
      <w:r>
        <w:t xml:space="preserve"> Cross-references for "the lawyers": Luke 11:44-45.</w:t>
      </w:r>
    </w:p>
  </w:footnote>
  <w:footnote w:id="15686">
    <w:p>
      <w:pPr>
        <w:pStyle w:val="FootnoteText"/>
      </w:pPr>
      <w:r>
        <w:rPr>
          <w:rStyle w:val="FootnoteReference"/>
        </w:rPr>
        <w:footnoteRef/>
      </w:r>
      <w:r>
        <w:t xml:space="preserve"> Cross-references for "and a": Zech 7:5-7; Matt 5:46.</w:t>
      </w:r>
    </w:p>
  </w:footnote>
  <w:footnote w:id="15687">
    <w:p>
      <w:pPr>
        <w:pStyle w:val="FootnoteText"/>
      </w:pPr>
      <w:r>
        <w:rPr>
          <w:rStyle w:val="FootnoteReference"/>
        </w:rPr>
        <w:footnoteRef/>
      </w:r>
      <w:r>
        <w:t xml:space="preserve"> Cross-references for "call": Deut 14:29; Deut 16:11.</w:t>
      </w:r>
    </w:p>
  </w:footnote>
  <w:footnote w:id="15688">
    <w:p>
      <w:pPr>
        <w:pStyle w:val="FootnoteText"/>
      </w:pPr>
      <w:r>
        <w:rPr>
          <w:rStyle w:val="FootnoteReference"/>
        </w:rPr>
        <w:footnoteRef/>
      </w:r>
      <w:r>
        <w:t xml:space="preserve"> Cross-references for "the resurrection": Dan 12:2-3; Luke 20:35-36.</w:t>
      </w:r>
    </w:p>
  </w:footnote>
  <w:footnote w:id="15689">
    <w:p>
      <w:pPr>
        <w:pStyle w:val="FootnoteText"/>
      </w:pPr>
      <w:r>
        <w:rPr>
          <w:rStyle w:val="FootnoteReference"/>
        </w:rPr>
        <w:footnoteRef/>
      </w:r>
      <w:r>
        <w:t xml:space="preserve"> Cross-references for "Blessed": Matt 8:11; Matt 25:10.</w:t>
      </w:r>
    </w:p>
  </w:footnote>
  <w:footnote w:id="15690">
    <w:p>
      <w:pPr>
        <w:pStyle w:val="FootnoteText"/>
      </w:pPr>
      <w:r>
        <w:rPr>
          <w:rStyle w:val="FootnoteReference"/>
        </w:rPr>
        <w:footnoteRef/>
      </w:r>
      <w:r>
        <w:t xml:space="preserve"> Cross-references for "and showed": 1Sam 25:12; Matt 15:12.</w:t>
      </w:r>
    </w:p>
  </w:footnote>
  <w:footnote w:id="15691">
    <w:p>
      <w:pPr>
        <w:pStyle w:val="FootnoteText"/>
      </w:pPr>
      <w:r>
        <w:rPr>
          <w:rStyle w:val="FootnoteReference"/>
        </w:rPr>
        <w:footnoteRef/>
      </w:r>
      <w:r>
        <w:t xml:space="preserve"> Cross-references for "and yet": Ps 103:6; Ps 130:7.</w:t>
      </w:r>
    </w:p>
  </w:footnote>
  <w:footnote w:id="15692">
    <w:p>
      <w:pPr>
        <w:pStyle w:val="FootnoteText"/>
      </w:pPr>
      <w:r>
        <w:rPr>
          <w:rStyle w:val="FootnoteReference"/>
        </w:rPr>
        <w:footnoteRef/>
      </w:r>
      <w:r>
        <w:t xml:space="preserve"> Cross-references for "compel": Gen 19:2-3; Ps 110:3.</w:t>
      </w:r>
    </w:p>
  </w:footnote>
  <w:footnote w:id="15693">
    <w:p>
      <w:pPr>
        <w:pStyle w:val="FootnoteText"/>
      </w:pPr>
      <w:r>
        <w:rPr>
          <w:rStyle w:val="FootnoteReference"/>
        </w:rPr>
        <w:footnoteRef/>
      </w:r>
      <w:r>
        <w:t xml:space="preserve"> Cross-references for "hate": Gen 29:30-31; Deut 21:15.</w:t>
      </w:r>
    </w:p>
  </w:footnote>
  <w:footnote w:id="15694">
    <w:p>
      <w:pPr>
        <w:pStyle w:val="FootnoteText"/>
      </w:pPr>
      <w:r>
        <w:rPr>
          <w:rStyle w:val="FootnoteReference"/>
        </w:rPr>
        <w:footnoteRef/>
      </w:r>
      <w:r>
        <w:t xml:space="preserve"> Cross-references for "cannot": Matt 13:21; Acts 14:22.</w:t>
      </w:r>
    </w:p>
  </w:footnote>
  <w:footnote w:id="15695">
    <w:p>
      <w:pPr>
        <w:pStyle w:val="FootnoteText"/>
      </w:pPr>
      <w:r>
        <w:rPr>
          <w:rStyle w:val="FootnoteReference"/>
        </w:rPr>
        <w:footnoteRef/>
      </w:r>
      <w:r>
        <w:t xml:space="preserve"> Cross-references for "intending": Gen 11:4-9; Prov 24:27.</w:t>
      </w:r>
    </w:p>
  </w:footnote>
  <w:footnote w:id="15696">
    <w:p>
      <w:pPr>
        <w:pStyle w:val="FootnoteText"/>
      </w:pPr>
      <w:r>
        <w:rPr>
          <w:rStyle w:val="FootnoteReference"/>
        </w:rPr>
        <w:footnoteRef/>
      </w:r>
      <w:r>
        <w:t xml:space="preserve"> Cross-references for "Salt": Lev 2:13.</w:t>
      </w:r>
    </w:p>
  </w:footnote>
  <w:footnote w:id="15697">
    <w:p>
      <w:pPr>
        <w:pStyle w:val="FootnoteText"/>
      </w:pPr>
      <w:r>
        <w:rPr>
          <w:rStyle w:val="FootnoteReference"/>
        </w:rPr>
        <w:footnoteRef/>
      </w:r>
      <w:r>
        <w:t xml:space="preserve"> Cross-references for "rejoicing": Isa 53:10-11; Isa 62:5.</w:t>
      </w:r>
    </w:p>
  </w:footnote>
  <w:footnote w:id="15698">
    <w:p>
      <w:pPr>
        <w:pStyle w:val="FootnoteText"/>
      </w:pPr>
      <w:r>
        <w:rPr>
          <w:rStyle w:val="FootnoteReference"/>
        </w:rPr>
        <w:footnoteRef/>
      </w:r>
      <w:r>
        <w:t xml:space="preserve"> Cross-references for "pieces": Matt 18:28.</w:t>
      </w:r>
    </w:p>
  </w:footnote>
  <w:footnote w:id="15699">
    <w:p>
      <w:pPr>
        <w:pStyle w:val="FootnoteText"/>
      </w:pPr>
      <w:r>
        <w:rPr>
          <w:rStyle w:val="FootnoteReference"/>
        </w:rPr>
        <w:footnoteRef/>
      </w:r>
      <w:r>
        <w:t xml:space="preserve"> Cross-references for "Rejoice": Luke 15:6-7.</w:t>
      </w:r>
    </w:p>
  </w:footnote>
  <w:footnote w:id="15700">
    <w:p>
      <w:pPr>
        <w:pStyle w:val="FootnoteText"/>
      </w:pPr>
      <w:r>
        <w:rPr>
          <w:rStyle w:val="FootnoteReference"/>
        </w:rPr>
        <w:footnoteRef/>
      </w:r>
      <w:r>
        <w:t xml:space="preserve"> Cross-references for "give": Deut 21:16-17; Ps 16:5-6.</w:t>
      </w:r>
    </w:p>
  </w:footnote>
  <w:footnote w:id="15701">
    <w:p>
      <w:pPr>
        <w:pStyle w:val="FootnoteText"/>
      </w:pPr>
      <w:r>
        <w:rPr>
          <w:rStyle w:val="FootnoteReference"/>
        </w:rPr>
        <w:footnoteRef/>
      </w:r>
      <w:r>
        <w:t xml:space="preserve"> Cross-references for "and took": 2Chr 33:1-10; Job 21:13-15.</w:t>
      </w:r>
    </w:p>
  </w:footnote>
  <w:footnote w:id="15702">
    <w:p>
      <w:pPr>
        <w:pStyle w:val="FootnoteText"/>
      </w:pPr>
      <w:r>
        <w:rPr>
          <w:rStyle w:val="FootnoteReference"/>
        </w:rPr>
        <w:footnoteRef/>
      </w:r>
      <w:r>
        <w:t xml:space="preserve"> Cross-references for "arose": 2Chr 33:11; Ezek 16:27.</w:t>
      </w:r>
    </w:p>
  </w:footnote>
  <w:footnote w:id="15703">
    <w:p>
      <w:pPr>
        <w:pStyle w:val="FootnoteText"/>
      </w:pPr>
      <w:r>
        <w:rPr>
          <w:rStyle w:val="FootnoteReference"/>
        </w:rPr>
        <w:footnoteRef/>
      </w:r>
      <w:r>
        <w:t xml:space="preserve"> Cross-references for "to feed": Ezek 16:52; Ezek 16:63.</w:t>
      </w:r>
    </w:p>
  </w:footnote>
  <w:footnote w:id="15704">
    <w:p>
      <w:pPr>
        <w:pStyle w:val="FootnoteText"/>
      </w:pPr>
      <w:r>
        <w:rPr>
          <w:rStyle w:val="FootnoteReference"/>
        </w:rPr>
        <w:footnoteRef/>
      </w:r>
      <w:r>
        <w:t xml:space="preserve"> Cross-references for "he would": Isa 44:20; Isa 55:2.</w:t>
      </w:r>
    </w:p>
  </w:footnote>
  <w:footnote w:id="15705">
    <w:p>
      <w:pPr>
        <w:pStyle w:val="FootnoteText"/>
      </w:pPr>
      <w:r>
        <w:rPr>
          <w:rStyle w:val="FootnoteReference"/>
        </w:rPr>
        <w:footnoteRef/>
      </w:r>
      <w:r>
        <w:t xml:space="preserve"> Cross-references for "will arise": 1Kgs 20:30-31; 2Kgs 7:3-4.</w:t>
      </w:r>
    </w:p>
  </w:footnote>
  <w:footnote w:id="15706">
    <w:p>
      <w:pPr>
        <w:pStyle w:val="FootnoteText"/>
      </w:pPr>
      <w:r>
        <w:rPr>
          <w:rStyle w:val="FootnoteReference"/>
        </w:rPr>
        <w:footnoteRef/>
      </w:r>
      <w:r>
        <w:t xml:space="preserve"> Cross-references for "make": Josh 9:24-25; Ps 84:10.</w:t>
      </w:r>
    </w:p>
  </w:footnote>
  <w:footnote w:id="15707">
    <w:p>
      <w:pPr>
        <w:pStyle w:val="FootnoteText"/>
      </w:pPr>
      <w:r>
        <w:rPr>
          <w:rStyle w:val="FootnoteReference"/>
        </w:rPr>
        <w:footnoteRef/>
      </w:r>
      <w:r>
        <w:t xml:space="preserve"> Cross-references for "and fell": Gen 33:4; Gen 45:14.</w:t>
      </w:r>
    </w:p>
  </w:footnote>
  <w:footnote w:id="15708">
    <w:p>
      <w:pPr>
        <w:pStyle w:val="FootnoteText"/>
      </w:pPr>
      <w:r>
        <w:rPr>
          <w:rStyle w:val="FootnoteReference"/>
        </w:rPr>
        <w:footnoteRef/>
      </w:r>
      <w:r>
        <w:t xml:space="preserve"> Cross-references for "Father": Jer 3:13; Ezek 16:63.</w:t>
      </w:r>
    </w:p>
  </w:footnote>
  <w:footnote w:id="15709">
    <w:p>
      <w:pPr>
        <w:pStyle w:val="FootnoteText"/>
      </w:pPr>
      <w:r>
        <w:rPr>
          <w:rStyle w:val="FootnoteReference"/>
        </w:rPr>
        <w:footnoteRef/>
      </w:r>
      <w:r>
        <w:t xml:space="preserve"> Cross-references for "the best": Ps 45:13; Ps 132:9.</w:t>
      </w:r>
    </w:p>
  </w:footnote>
  <w:footnote w:id="15710">
    <w:p>
      <w:pPr>
        <w:pStyle w:val="FootnoteText"/>
      </w:pPr>
      <w:r>
        <w:rPr>
          <w:rStyle w:val="FootnoteReference"/>
        </w:rPr>
        <w:footnoteRef/>
      </w:r>
      <w:r>
        <w:t xml:space="preserve"> Cross-references for "the fatted": Gen 18:7; Ps 63:5.</w:t>
      </w:r>
    </w:p>
  </w:footnote>
  <w:footnote w:id="15711">
    <w:p>
      <w:pPr>
        <w:pStyle w:val="FootnoteText"/>
      </w:pPr>
      <w:r>
        <w:rPr>
          <w:rStyle w:val="FootnoteReference"/>
        </w:rPr>
        <w:footnoteRef/>
      </w:r>
      <w:r>
        <w:t xml:space="preserve"> Cross-references for "therefore": Gen 4:5-7; Jonah 4:4.</w:t>
      </w:r>
    </w:p>
  </w:footnote>
  <w:footnote w:id="15712">
    <w:p>
      <w:pPr>
        <w:pStyle w:val="FootnoteText"/>
      </w:pPr>
      <w:r>
        <w:rPr>
          <w:rStyle w:val="FootnoteReference"/>
        </w:rPr>
        <w:footnoteRef/>
      </w:r>
      <w:r>
        <w:t xml:space="preserve"> Cross-references for "devoured": Luke 15:13; Luke 15:22-23.</w:t>
      </w:r>
    </w:p>
  </w:footnote>
  <w:footnote w:id="15713">
    <w:p>
      <w:pPr>
        <w:pStyle w:val="FootnoteText"/>
      </w:pPr>
      <w:r>
        <w:rPr>
          <w:rStyle w:val="FootnoteReference"/>
        </w:rPr>
        <w:footnoteRef/>
      </w:r>
      <w:r>
        <w:t xml:space="preserve"> Cross-references for "a steward": Gen 15:2; Gen 43:19.</w:t>
      </w:r>
    </w:p>
  </w:footnote>
  <w:footnote w:id="15714">
    <w:p>
      <w:pPr>
        <w:pStyle w:val="FootnoteText"/>
      </w:pPr>
      <w:r>
        <w:rPr>
          <w:rStyle w:val="FootnoteReference"/>
        </w:rPr>
        <w:footnoteRef/>
      </w:r>
      <w:r>
        <w:t xml:space="preserve"> Cross-references for "give": Eccl 11:9-10; Eccl 12:14.</w:t>
      </w:r>
    </w:p>
  </w:footnote>
  <w:footnote w:id="15715">
    <w:p>
      <w:pPr>
        <w:pStyle w:val="FootnoteText"/>
      </w:pPr>
      <w:r>
        <w:rPr>
          <w:rStyle w:val="FootnoteReference"/>
        </w:rPr>
        <w:footnoteRef/>
      </w:r>
      <w:r>
        <w:t xml:space="preserve"> Cross-references for "said": Luke 18:4; Esth 6:6.</w:t>
      </w:r>
    </w:p>
  </w:footnote>
  <w:footnote w:id="15716">
    <w:p>
      <w:pPr>
        <w:pStyle w:val="FootnoteText"/>
      </w:pPr>
      <w:r>
        <w:rPr>
          <w:rStyle w:val="FootnoteReference"/>
        </w:rPr>
        <w:footnoteRef/>
      </w:r>
      <w:r>
        <w:t xml:space="preserve"> Cross-references for "measures": Ezek 45:10-14.</w:t>
      </w:r>
    </w:p>
  </w:footnote>
  <w:footnote w:id="15717">
    <w:p>
      <w:pPr>
        <w:pStyle w:val="FootnoteText"/>
      </w:pPr>
      <w:r>
        <w:rPr>
          <w:rStyle w:val="FootnoteReference"/>
        </w:rPr>
        <w:footnoteRef/>
      </w:r>
      <w:r>
        <w:t xml:space="preserve"> Cross-references for "unjust": Luke 16:10; Luke 18:6.</w:t>
      </w:r>
    </w:p>
  </w:footnote>
  <w:footnote w:id="15718">
    <w:p>
      <w:pPr>
        <w:pStyle w:val="FootnoteText"/>
      </w:pPr>
      <w:r>
        <w:rPr>
          <w:rStyle w:val="FootnoteReference"/>
        </w:rPr>
        <w:footnoteRef/>
      </w:r>
      <w:r>
        <w:t xml:space="preserve"> Cross-references for "Make": Prov 19:17; Eccl 11:1.</w:t>
      </w:r>
    </w:p>
  </w:footnote>
  <w:footnote w:id="15719">
    <w:p>
      <w:pPr>
        <w:pStyle w:val="FootnoteText"/>
      </w:pPr>
      <w:r>
        <w:rPr>
          <w:rStyle w:val="FootnoteReference"/>
        </w:rPr>
        <w:footnoteRef/>
      </w:r>
      <w:r>
        <w:t xml:space="preserve"> Cross-references for "faithful in": Matt 25:21; Luke 16:11-12.</w:t>
      </w:r>
    </w:p>
  </w:footnote>
  <w:footnote w:id="15720">
    <w:p>
      <w:pPr>
        <w:pStyle w:val="FootnoteText"/>
      </w:pPr>
      <w:r>
        <w:rPr>
          <w:rStyle w:val="FootnoteReference"/>
        </w:rPr>
        <w:footnoteRef/>
      </w:r>
      <w:r>
        <w:t xml:space="preserve"> Cross-references for "true": Prov 8:18-19; Luke 12:33.</w:t>
      </w:r>
    </w:p>
  </w:footnote>
  <w:footnote w:id="15721">
    <w:p>
      <w:pPr>
        <w:pStyle w:val="FootnoteText"/>
      </w:pPr>
      <w:r>
        <w:rPr>
          <w:rStyle w:val="FootnoteReference"/>
        </w:rPr>
        <w:footnoteRef/>
      </w:r>
      <w:r>
        <w:t xml:space="preserve"> Cross-references for "that which is your": Luke 10:42; Col 3:3-4.</w:t>
      </w:r>
    </w:p>
  </w:footnote>
  <w:footnote w:id="15722">
    <w:p>
      <w:pPr>
        <w:pStyle w:val="FootnoteText"/>
      </w:pPr>
      <w:r>
        <w:rPr>
          <w:rStyle w:val="FootnoteReference"/>
        </w:rPr>
        <w:footnoteRef/>
      </w:r>
      <w:r>
        <w:t xml:space="preserve"> Cross-references for "hate": Luke 14:26.</w:t>
      </w:r>
    </w:p>
  </w:footnote>
  <w:footnote w:id="15723">
    <w:p>
      <w:pPr>
        <w:pStyle w:val="FootnoteText"/>
      </w:pPr>
      <w:r>
        <w:rPr>
          <w:rStyle w:val="FootnoteReference"/>
        </w:rPr>
        <w:footnoteRef/>
      </w:r>
      <w:r>
        <w:t xml:space="preserve"> Cross-references for "derided": Ps 35:15-16; Ps 119:51.</w:t>
      </w:r>
    </w:p>
  </w:footnote>
  <w:footnote w:id="15724">
    <w:p>
      <w:pPr>
        <w:pStyle w:val="FootnoteText"/>
      </w:pPr>
      <w:r>
        <w:rPr>
          <w:rStyle w:val="FootnoteReference"/>
        </w:rPr>
        <w:footnoteRef/>
      </w:r>
      <w:r>
        <w:t xml:space="preserve"> Cross-references for "the kingdom": Matt 3:2; Matt 4:17.</w:t>
      </w:r>
    </w:p>
  </w:footnote>
  <w:footnote w:id="15725">
    <w:p>
      <w:pPr>
        <w:pStyle w:val="FootnoteText"/>
      </w:pPr>
      <w:r>
        <w:rPr>
          <w:rStyle w:val="FootnoteReference"/>
        </w:rPr>
        <w:footnoteRef/>
      </w:r>
      <w:r>
        <w:t xml:space="preserve"> Cross-references for "than": Isa 40:8; Rom 3:31.</w:t>
      </w:r>
    </w:p>
  </w:footnote>
  <w:footnote w:id="15726">
    <w:p>
      <w:pPr>
        <w:pStyle w:val="FootnoteText"/>
      </w:pPr>
      <w:r>
        <w:rPr>
          <w:rStyle w:val="FootnoteReference"/>
        </w:rPr>
        <w:footnoteRef/>
      </w:r>
      <w:r>
        <w:t xml:space="preserve"> Cross-references for "rich": Luke 12:16-21; Luke 18:24-25.</w:t>
      </w:r>
    </w:p>
  </w:footnote>
  <w:footnote w:id="15727">
    <w:p>
      <w:pPr>
        <w:pStyle w:val="FootnoteText"/>
      </w:pPr>
      <w:r>
        <w:rPr>
          <w:rStyle w:val="FootnoteReference"/>
        </w:rPr>
        <w:footnoteRef/>
      </w:r>
      <w:r>
        <w:t xml:space="preserve"> Cross-references for "Lazarus": John 11:1.</w:t>
      </w:r>
    </w:p>
  </w:footnote>
  <w:footnote w:id="15728">
    <w:p>
      <w:pPr>
        <w:pStyle w:val="FootnoteText"/>
      </w:pPr>
      <w:r>
        <w:rPr>
          <w:rStyle w:val="FootnoteReference"/>
        </w:rPr>
        <w:footnoteRef/>
      </w:r>
      <w:r>
        <w:t xml:space="preserve"> Cross-references for "desiring": 1Cor 4:11; 2Cor 11:27.</w:t>
      </w:r>
    </w:p>
  </w:footnote>
  <w:footnote w:id="15729">
    <w:p>
      <w:pPr>
        <w:pStyle w:val="FootnoteText"/>
      </w:pPr>
      <w:r>
        <w:rPr>
          <w:rStyle w:val="FootnoteReference"/>
        </w:rPr>
        <w:footnoteRef/>
      </w:r>
      <w:r>
        <w:t xml:space="preserve"> Cross-references for "was carried": Ps 91:11-12; Matt 13:38-43.</w:t>
      </w:r>
    </w:p>
  </w:footnote>
  <w:footnote w:id="15730">
    <w:p>
      <w:pPr>
        <w:pStyle w:val="FootnoteText"/>
      </w:pPr>
      <w:r>
        <w:rPr>
          <w:rStyle w:val="FootnoteReference"/>
        </w:rPr>
        <w:footnoteRef/>
      </w:r>
      <w:r>
        <w:t xml:space="preserve"> Cross-references for "Father": Matt 3:9; Luke 3:8.</w:t>
      </w:r>
    </w:p>
  </w:footnote>
  <w:footnote w:id="15731">
    <w:p>
      <w:pPr>
        <w:pStyle w:val="FootnoteText"/>
      </w:pPr>
      <w:r>
        <w:rPr>
          <w:rStyle w:val="FootnoteReference"/>
        </w:rPr>
        <w:footnoteRef/>
      </w:r>
      <w:r>
        <w:t xml:space="preserve"> Cross-references for "remember": Lam 1:7; Dan 5:22-23.</w:t>
      </w:r>
    </w:p>
  </w:footnote>
  <w:footnote w:id="15732">
    <w:p>
      <w:pPr>
        <w:pStyle w:val="FootnoteText"/>
      </w:pPr>
      <w:r>
        <w:rPr>
          <w:rStyle w:val="FootnoteReference"/>
        </w:rPr>
        <w:footnoteRef/>
      </w:r>
      <w:r>
        <w:t xml:space="preserve"> Cross-references for "between": 1Sam 25:36; Ps 49:14.</w:t>
      </w:r>
    </w:p>
  </w:footnote>
  <w:footnote w:id="15733">
    <w:p>
      <w:pPr>
        <w:pStyle w:val="FootnoteText"/>
      </w:pPr>
      <w:r>
        <w:rPr>
          <w:rStyle w:val="FootnoteReference"/>
        </w:rPr>
        <w:footnoteRef/>
      </w:r>
      <w:r>
        <w:t xml:space="preserve"> Cross-references for "repent": Luke 13:3; Luke 13:5.</w:t>
      </w:r>
    </w:p>
  </w:footnote>
  <w:footnote w:id="15734">
    <w:p>
      <w:pPr>
        <w:pStyle w:val="FootnoteText"/>
      </w:pPr>
      <w:r>
        <w:rPr>
          <w:rStyle w:val="FootnoteReference"/>
        </w:rPr>
        <w:footnoteRef/>
      </w:r>
      <w:r>
        <w:t xml:space="preserve"> Cross-references for "be persuaded": Gen 9:27; Acts 19:8.</w:t>
      </w:r>
    </w:p>
  </w:footnote>
  <w:footnote w:id="15735">
    <w:p>
      <w:pPr>
        <w:pStyle w:val="FootnoteText"/>
      </w:pPr>
      <w:r>
        <w:rPr>
          <w:rStyle w:val="FootnoteReference"/>
        </w:rPr>
        <w:footnoteRef/>
      </w:r>
      <w:r>
        <w:t xml:space="preserve"> Cross-references for "better": Matt 18:6; Matt 26:24.</w:t>
      </w:r>
    </w:p>
  </w:footnote>
  <w:footnote w:id="15736">
    <w:p>
      <w:pPr>
        <w:pStyle w:val="FootnoteText"/>
      </w:pPr>
      <w:r>
        <w:rPr>
          <w:rStyle w:val="FootnoteReference"/>
        </w:rPr>
        <w:footnoteRef/>
      </w:r>
      <w:r>
        <w:t xml:space="preserve"> Cross-references for "heed": Exod 34:12; Deut 4:9.</w:t>
      </w:r>
    </w:p>
  </w:footnote>
  <w:footnote w:id="15737">
    <w:p>
      <w:pPr>
        <w:pStyle w:val="FootnoteText"/>
      </w:pPr>
      <w:r>
        <w:rPr>
          <w:rStyle w:val="FootnoteReference"/>
        </w:rPr>
        <w:footnoteRef/>
      </w:r>
      <w:r>
        <w:t xml:space="preserve"> Cross-references for "I repent": Matt 5:44; Matt 6:12.</w:t>
      </w:r>
    </w:p>
  </w:footnote>
  <w:footnote w:id="15738">
    <w:p>
      <w:pPr>
        <w:pStyle w:val="FootnoteText"/>
      </w:pPr>
      <w:r>
        <w:rPr>
          <w:rStyle w:val="FootnoteReference"/>
        </w:rPr>
        <w:footnoteRef/>
      </w:r>
      <w:r>
        <w:t xml:space="preserve"> Cross-references for "Increase": Mark 9:24; 2Cor 12:8-10.</w:t>
      </w:r>
    </w:p>
  </w:footnote>
  <w:footnote w:id="15739">
    <w:p>
      <w:pPr>
        <w:pStyle w:val="FootnoteText"/>
      </w:pPr>
      <w:r>
        <w:rPr>
          <w:rStyle w:val="FootnoteReference"/>
        </w:rPr>
        <w:footnoteRef/>
      </w:r>
      <w:r>
        <w:t xml:space="preserve"> Cross-references for "Make": Gen 43:16; 2Sam 12:20.</w:t>
      </w:r>
    </w:p>
  </w:footnote>
  <w:footnote w:id="15740">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15741">
    <w:p>
      <w:pPr>
        <w:pStyle w:val="FootnoteText"/>
      </w:pPr>
      <w:r>
        <w:rPr>
          <w:rStyle w:val="FootnoteReference"/>
        </w:rPr>
        <w:footnoteRef/>
      </w:r>
      <w:r>
        <w:t xml:space="preserve"> Cross-references for "fell": Gen 17:3; Matt 2:11.</w:t>
      </w:r>
    </w:p>
  </w:footnote>
  <w:footnote w:id="15742">
    <w:p>
      <w:pPr>
        <w:pStyle w:val="FootnoteText"/>
      </w:pPr>
      <w:r>
        <w:rPr>
          <w:rStyle w:val="FootnoteReference"/>
        </w:rPr>
        <w:footnoteRef/>
      </w:r>
      <w:r>
        <w:t xml:space="preserve"> Cross-references for "to give": Ps 29:1-2; Ps 50:23.</w:t>
      </w:r>
    </w:p>
  </w:footnote>
  <w:footnote w:id="15743">
    <w:p>
      <w:pPr>
        <w:pStyle w:val="FootnoteText"/>
      </w:pPr>
      <w:r>
        <w:rPr>
          <w:rStyle w:val="FootnoteReference"/>
        </w:rPr>
        <w:footnoteRef/>
      </w:r>
      <w:r>
        <w:t xml:space="preserve"> Cross-references for "when the": Luke 10:11; Luke 16:16.</w:t>
      </w:r>
    </w:p>
  </w:footnote>
  <w:footnote w:id="15744">
    <w:p>
      <w:pPr>
        <w:pStyle w:val="FootnoteText"/>
      </w:pPr>
      <w:r>
        <w:rPr>
          <w:rStyle w:val="FootnoteReference"/>
        </w:rPr>
        <w:footnoteRef/>
      </w:r>
      <w:r>
        <w:t xml:space="preserve"> Cross-references for "the kingdom": Rom 14:17; Col 1:27.</w:t>
      </w:r>
    </w:p>
  </w:footnote>
  <w:footnote w:id="15745">
    <w:p>
      <w:pPr>
        <w:pStyle w:val="FootnoteText"/>
      </w:pPr>
      <w:r>
        <w:rPr>
          <w:rStyle w:val="FootnoteReference"/>
        </w:rPr>
        <w:footnoteRef/>
      </w:r>
      <w:r>
        <w:t xml:space="preserve"> Cross-references for "must": Matt 16:21; Matt 17:22-23.</w:t>
      </w:r>
    </w:p>
  </w:footnote>
  <w:footnote w:id="15746">
    <w:p>
      <w:pPr>
        <w:pStyle w:val="FootnoteText"/>
      </w:pPr>
      <w:r>
        <w:rPr>
          <w:rStyle w:val="FootnoteReference"/>
        </w:rPr>
        <w:footnoteRef/>
      </w:r>
      <w:r>
        <w:t xml:space="preserve"> Cross-references for "the days of the Son": Luke 17:22; Luke 17:24.</w:t>
      </w:r>
    </w:p>
  </w:footnote>
  <w:footnote w:id="15747">
    <w:p>
      <w:pPr>
        <w:pStyle w:val="FootnoteText"/>
      </w:pPr>
      <w:r>
        <w:rPr>
          <w:rStyle w:val="FootnoteReference"/>
        </w:rPr>
        <w:footnoteRef/>
      </w:r>
      <w:r>
        <w:t xml:space="preserve"> Personal name: Lot. Personal-name meaning: Lot — Covering; veil. Source form: Lot.</w:t>
      </w:r>
    </w:p>
  </w:footnote>
  <w:footnote w:id="15748">
    <w:p>
      <w:pPr>
        <w:pStyle w:val="FootnoteText"/>
      </w:pPr>
      <w:r>
        <w:rPr>
          <w:rStyle w:val="FootnoteReference"/>
        </w:rPr>
        <w:footnoteRef/>
      </w:r>
      <w:r>
        <w:t xml:space="preserve"> Cross-references for "I tell": Isa 42:9; Matt 24:25.</w:t>
      </w:r>
    </w:p>
  </w:footnote>
  <w:footnote w:id="15749">
    <w:p>
      <w:pPr>
        <w:pStyle w:val="FootnoteText"/>
      </w:pPr>
      <w:r>
        <w:rPr>
          <w:rStyle w:val="FootnoteReference"/>
        </w:rPr>
        <w:footnoteRef/>
      </w:r>
      <w:r>
        <w:t xml:space="preserve"> Cross-references for "grinding": Exod 11:5; Judg 16:21.</w:t>
      </w:r>
    </w:p>
  </w:footnote>
  <w:footnote w:id="15750">
    <w:p>
      <w:pPr>
        <w:pStyle w:val="FootnoteText"/>
      </w:pPr>
      <w:r>
        <w:rPr>
          <w:rStyle w:val="FootnoteReference"/>
        </w:rPr>
        <w:footnoteRef/>
      </w:r>
      <w:r>
        <w:t xml:space="preserve"> Cross-references for "and not": Ps 27:13; Jonah 2:7.</w:t>
      </w:r>
    </w:p>
  </w:footnote>
  <w:footnote w:id="15751">
    <w:p>
      <w:pPr>
        <w:pStyle w:val="FootnoteText"/>
      </w:pPr>
      <w:r>
        <w:rPr>
          <w:rStyle w:val="FootnoteReference"/>
        </w:rPr>
        <w:footnoteRef/>
      </w:r>
      <w:r>
        <w:t xml:space="preserve"> Cross-references for "regarded": Prov 29:7; Isa 33:8.</w:t>
      </w:r>
    </w:p>
  </w:footnote>
  <w:footnote w:id="15752">
    <w:p>
      <w:pPr>
        <w:pStyle w:val="FootnoteText"/>
      </w:pPr>
      <w:r>
        <w:rPr>
          <w:rStyle w:val="FootnoteReference"/>
        </w:rPr>
        <w:footnoteRef/>
      </w:r>
      <w:r>
        <w:t xml:space="preserve"> Cross-references for "a widow": Deut 27:19; 2Sam 14:5-24.</w:t>
      </w:r>
    </w:p>
  </w:footnote>
  <w:footnote w:id="15753">
    <w:p>
      <w:pPr>
        <w:pStyle w:val="FootnoteText"/>
      </w:pPr>
      <w:r>
        <w:rPr>
          <w:rStyle w:val="FootnoteReference"/>
        </w:rPr>
        <w:footnoteRef/>
      </w:r>
      <w:r>
        <w:t xml:space="preserve"> Cross-references for "he said": Luke 12:17; Luke 16:3.</w:t>
      </w:r>
    </w:p>
  </w:footnote>
  <w:footnote w:id="15754">
    <w:p>
      <w:pPr>
        <w:pStyle w:val="FootnoteText"/>
      </w:pPr>
      <w:r>
        <w:rPr>
          <w:rStyle w:val="FootnoteReference"/>
        </w:rPr>
        <w:footnoteRef/>
      </w:r>
      <w:r>
        <w:t xml:space="preserve"> Cross-references for "weary": Matt 15:23; Mark 10:47-48.</w:t>
      </w:r>
    </w:p>
  </w:footnote>
  <w:footnote w:id="15755">
    <w:p>
      <w:pPr>
        <w:pStyle w:val="FootnoteText"/>
      </w:pPr>
      <w:r>
        <w:rPr>
          <w:rStyle w:val="FootnoteReference"/>
        </w:rPr>
        <w:footnoteRef/>
      </w:r>
      <w:r>
        <w:t xml:space="preserve"> Cross-references for "avenge": 1Sam 24:12-15; 1Sam 26:10-11.</w:t>
      </w:r>
    </w:p>
  </w:footnote>
  <w:footnote w:id="15756">
    <w:p>
      <w:pPr>
        <w:pStyle w:val="FootnoteText"/>
      </w:pPr>
      <w:r>
        <w:rPr>
          <w:rStyle w:val="FootnoteReference"/>
        </w:rPr>
        <w:footnoteRef/>
      </w:r>
      <w:r>
        <w:t xml:space="preserve"> Cross-references for "and despised": Luke 7:39; Luke 15:2.</w:t>
      </w:r>
    </w:p>
  </w:footnote>
  <w:footnote w:id="15757">
    <w:p>
      <w:pPr>
        <w:pStyle w:val="FootnoteText"/>
      </w:pPr>
      <w:r>
        <w:rPr>
          <w:rStyle w:val="FootnoteReference"/>
        </w:rPr>
        <w:footnoteRef/>
      </w:r>
      <w:r>
        <w:t xml:space="preserve"> Cross-references for "a Pharisee": Matt 21:31-32; Luke 7:29-30.</w:t>
      </w:r>
    </w:p>
  </w:footnote>
  <w:footnote w:id="15758">
    <w:p>
      <w:pPr>
        <w:pStyle w:val="FootnoteText"/>
      </w:pPr>
      <w:r>
        <w:rPr>
          <w:rStyle w:val="FootnoteReference"/>
        </w:rPr>
        <w:footnoteRef/>
      </w:r>
      <w:r>
        <w:t xml:space="preserve"> Cross-references for "stood": Ps 134:1; Ps 135:2.</w:t>
      </w:r>
    </w:p>
  </w:footnote>
  <w:footnote w:id="15759">
    <w:p>
      <w:pPr>
        <w:pStyle w:val="FootnoteText"/>
      </w:pPr>
      <w:r>
        <w:rPr>
          <w:rStyle w:val="FootnoteReference"/>
        </w:rPr>
        <w:footnoteRef/>
      </w:r>
      <w:r>
        <w:t xml:space="preserve"> Cross-references for "fast": Num 23:4; 1Sam 15:13.</w:t>
      </w:r>
    </w:p>
  </w:footnote>
  <w:footnote w:id="15760">
    <w:p>
      <w:pPr>
        <w:pStyle w:val="FootnoteText"/>
      </w:pPr>
      <w:r>
        <w:rPr>
          <w:rStyle w:val="FootnoteReference"/>
        </w:rPr>
        <w:footnoteRef/>
      </w:r>
      <w:r>
        <w:t xml:space="preserve"> Cross-references for "standing": Ezra 9:6; Job 42:6.</w:t>
      </w:r>
    </w:p>
  </w:footnote>
  <w:footnote w:id="15761">
    <w:p>
      <w:pPr>
        <w:pStyle w:val="FootnoteText"/>
      </w:pPr>
      <w:r>
        <w:rPr>
          <w:rStyle w:val="FootnoteReference"/>
        </w:rPr>
        <w:footnoteRef/>
      </w:r>
      <w:r>
        <w:t xml:space="preserve"> Cross-references for "went": 1Sam 1:18; Eccl 9:7.</w:t>
      </w:r>
    </w:p>
  </w:footnote>
  <w:footnote w:id="15762">
    <w:p>
      <w:pPr>
        <w:pStyle w:val="FootnoteText"/>
      </w:pPr>
      <w:r>
        <w:rPr>
          <w:rStyle w:val="FootnoteReference"/>
        </w:rPr>
        <w:footnoteRef/>
      </w:r>
      <w:r>
        <w:t xml:space="preserve"> Cross-references for "they brought": 1Sam 1:24; Matt 19:13-15.</w:t>
      </w:r>
    </w:p>
  </w:footnote>
  <w:footnote w:id="15763">
    <w:p>
      <w:pPr>
        <w:pStyle w:val="FootnoteText"/>
      </w:pPr>
      <w:r>
        <w:rPr>
          <w:rStyle w:val="FootnoteReference"/>
        </w:rPr>
        <w:footnoteRef/>
      </w:r>
      <w:r>
        <w:t xml:space="preserve"> Cross-references for "Good": Ezek 33:31; Mal 1:6.</w:t>
      </w:r>
    </w:p>
  </w:footnote>
  <w:footnote w:id="15764">
    <w:p>
      <w:pPr>
        <w:pStyle w:val="FootnoteText"/>
      </w:pPr>
      <w:r>
        <w:rPr>
          <w:rStyle w:val="FootnoteReference"/>
        </w:rPr>
        <w:footnoteRef/>
      </w:r>
      <w:r>
        <w:t xml:space="preserve"> Cross-references for "Do not commit": Exod 20:12-17; Deut 5:16-21.</w:t>
      </w:r>
    </w:p>
  </w:footnote>
  <w:footnote w:id="15765">
    <w:p>
      <w:pPr>
        <w:pStyle w:val="FootnoteText"/>
      </w:pPr>
      <w:r>
        <w:rPr>
          <w:rStyle w:val="FootnoteReference"/>
        </w:rPr>
        <w:footnoteRef/>
      </w:r>
      <w:r>
        <w:t xml:space="preserve"> Cross-references for "sell": Matt 6:19-20; Luke 12:33.</w:t>
      </w:r>
    </w:p>
  </w:footnote>
  <w:footnote w:id="15766">
    <w:p>
      <w:pPr>
        <w:pStyle w:val="FootnoteText"/>
      </w:pPr>
      <w:r>
        <w:rPr>
          <w:rStyle w:val="FootnoteReference"/>
        </w:rPr>
        <w:footnoteRef/>
      </w:r>
      <w:r>
        <w:t xml:space="preserve"> Cross-references for "he was very sorrowful": Judg 18:23-24; Job 31:24-25.</w:t>
      </w:r>
    </w:p>
  </w:footnote>
  <w:footnote w:id="15767">
    <w:p>
      <w:pPr>
        <w:pStyle w:val="FootnoteText"/>
      </w:pPr>
      <w:r>
        <w:rPr>
          <w:rStyle w:val="FootnoteReference"/>
        </w:rPr>
        <w:footnoteRef/>
      </w:r>
      <w:r>
        <w:t xml:space="preserve"> Cross-references for "a camel": Matt 23:24.</w:t>
      </w:r>
    </w:p>
  </w:footnote>
  <w:footnote w:id="15768">
    <w:p>
      <w:pPr>
        <w:pStyle w:val="FootnoteText"/>
      </w:pPr>
      <w:r>
        <w:rPr>
          <w:rStyle w:val="FootnoteReference"/>
        </w:rPr>
        <w:footnoteRef/>
      </w:r>
      <w:r>
        <w:t xml:space="preserve"> Cross-references for "manifold more": Job 42:10; Ps 37:16.</w:t>
      </w:r>
    </w:p>
  </w:footnote>
  <w:footnote w:id="15769">
    <w:p>
      <w:pPr>
        <w:pStyle w:val="FootnoteText"/>
      </w:pPr>
      <w:r>
        <w:rPr>
          <w:rStyle w:val="FootnoteReference"/>
        </w:rPr>
        <w:footnoteRef/>
      </w:r>
      <w:r>
        <w:t xml:space="preserve"> Cross-references for "delivered": Matt 27:2; Mark 15:1.</w:t>
      </w:r>
    </w:p>
  </w:footnote>
  <w:footnote w:id="15770">
    <w:p>
      <w:pPr>
        <w:pStyle w:val="FootnoteText"/>
      </w:pPr>
      <w:r>
        <w:rPr>
          <w:rStyle w:val="FootnoteReference"/>
        </w:rPr>
        <w:footnoteRef/>
      </w:r>
      <w:r>
        <w:t xml:space="preserve"> Cross-references for "begging": 1Sam 2:8; Luke 16:20-21.</w:t>
      </w:r>
    </w:p>
  </w:footnote>
  <w:footnote w:id="15771">
    <w:p>
      <w:pPr>
        <w:pStyle w:val="FootnoteText"/>
      </w:pPr>
      <w:r>
        <w:rPr>
          <w:rStyle w:val="FootnoteReference"/>
        </w:rPr>
        <w:footnoteRef/>
      </w:r>
      <w:r>
        <w:t xml:space="preserve"> Cross-references for "Jesus": Matt 2:23; Luke 2:51.</w:t>
      </w:r>
    </w:p>
  </w:footnote>
  <w:footnote w:id="15772">
    <w:p>
      <w:pPr>
        <w:pStyle w:val="FootnoteText"/>
      </w:pPr>
      <w:r>
        <w:rPr>
          <w:rStyle w:val="FootnoteReference"/>
        </w:rPr>
        <w:footnoteRef/>
      </w:r>
      <w:r>
        <w:t xml:space="preserve"> Cross-references for "Jesus": Ps 62:12; Isa 9:6-7.</w:t>
      </w:r>
    </w:p>
  </w:footnote>
  <w:footnote w:id="15773">
    <w:p>
      <w:pPr>
        <w:pStyle w:val="FootnoteText"/>
      </w:pPr>
      <w:r>
        <w:rPr>
          <w:rStyle w:val="FootnoteReference"/>
        </w:rPr>
        <w:footnoteRef/>
      </w:r>
      <w:r>
        <w:t xml:space="preserve"> Cross-references for "rebuked": Luke 8:49; Luke 11:52.</w:t>
      </w:r>
    </w:p>
  </w:footnote>
  <w:footnote w:id="15774">
    <w:p>
      <w:pPr>
        <w:pStyle w:val="FootnoteText"/>
      </w:pPr>
      <w:r>
        <w:rPr>
          <w:rStyle w:val="FootnoteReference"/>
        </w:rPr>
        <w:footnoteRef/>
      </w:r>
      <w:r>
        <w:t xml:space="preserve"> Cross-references for "Receive": Ps 33:9; Ps 107:20.</w:t>
      </w:r>
    </w:p>
  </w:footnote>
  <w:footnote w:id="15775">
    <w:p>
      <w:pPr>
        <w:pStyle w:val="FootnoteText"/>
      </w:pPr>
      <w:r>
        <w:rPr>
          <w:rStyle w:val="FootnoteReference"/>
        </w:rPr>
        <w:footnoteRef/>
      </w:r>
      <w:r>
        <w:t xml:space="preserve"> Cross-references for "followed": Ps 103:1-3; Ps 107:8.</w:t>
      </w:r>
    </w:p>
  </w:footnote>
  <w:footnote w:id="15776">
    <w:p>
      <w:pPr>
        <w:pStyle w:val="FootnoteText"/>
      </w:pPr>
      <w:r>
        <w:rPr>
          <w:rStyle w:val="FootnoteReference"/>
        </w:rPr>
        <w:footnoteRef/>
      </w:r>
      <w:r>
        <w:t xml:space="preserve"> Cross-references for "Jericho": Josh 2:1; Josh 6:1-25.</w:t>
      </w:r>
    </w:p>
  </w:footnote>
  <w:footnote w:id="15777">
    <w:p>
      <w:pPr>
        <w:pStyle w:val="FootnoteText"/>
      </w:pPr>
      <w:r>
        <w:rPr>
          <w:rStyle w:val="FootnoteReference"/>
        </w:rPr>
        <w:footnoteRef/>
      </w:r>
      <w:r>
        <w:t xml:space="preserve"> Name meaning: Zacchaeus (Zakkay) — Pure; innocent. Tax collector made pure by Jesus.</w:t>
      </w:r>
    </w:p>
  </w:footnote>
  <w:footnote w:id="15778">
    <w:p>
      <w:pPr>
        <w:pStyle w:val="FootnoteText"/>
      </w:pPr>
      <w:r>
        <w:rPr>
          <w:rStyle w:val="FootnoteReference"/>
        </w:rPr>
        <w:footnoteRef/>
      </w:r>
      <w:r>
        <w:t xml:space="preserve"> Cross-references for "he sought": Luke 9:7-9; Luke 23:8.</w:t>
      </w:r>
    </w:p>
  </w:footnote>
  <w:footnote w:id="15779">
    <w:p>
      <w:pPr>
        <w:pStyle w:val="FootnoteText"/>
      </w:pPr>
      <w:r>
        <w:rPr>
          <w:rStyle w:val="FootnoteReference"/>
        </w:rPr>
        <w:footnoteRef/>
      </w:r>
      <w:r>
        <w:t xml:space="preserve"> Cross-references for "climbed": Luke 5:19.</w:t>
      </w:r>
    </w:p>
  </w:footnote>
  <w:footnote w:id="15780">
    <w:p>
      <w:pPr>
        <w:pStyle w:val="FootnoteText"/>
      </w:pPr>
      <w:r>
        <w:rPr>
          <w:rStyle w:val="FootnoteReference"/>
        </w:rPr>
        <w:footnoteRef/>
      </w:r>
      <w:r>
        <w:t xml:space="preserve"> Cross-references for "he looked": Ps 139:1-3; Ezek 16:6.</w:t>
      </w:r>
    </w:p>
  </w:footnote>
  <w:footnote w:id="15781">
    <w:p>
      <w:pPr>
        <w:pStyle w:val="FootnoteText"/>
      </w:pPr>
      <w:r>
        <w:rPr>
          <w:rStyle w:val="FootnoteReference"/>
        </w:rPr>
        <w:footnoteRef/>
      </w:r>
      <w:r>
        <w:t xml:space="preserve"> Cross-references for "joyfully": Isa 64:5; Luke 5:29.</w:t>
      </w:r>
    </w:p>
  </w:footnote>
  <w:footnote w:id="15782">
    <w:p>
      <w:pPr>
        <w:pStyle w:val="FootnoteText"/>
      </w:pPr>
      <w:r>
        <w:rPr>
          <w:rStyle w:val="FootnoteReference"/>
        </w:rPr>
        <w:footnoteRef/>
      </w:r>
      <w:r>
        <w:t xml:space="preserve"> Cross-references for "they all": Matt 9:11; Matt 21:28-31.</w:t>
      </w:r>
    </w:p>
  </w:footnote>
  <w:footnote w:id="15783">
    <w:p>
      <w:pPr>
        <w:pStyle w:val="FootnoteText"/>
      </w:pPr>
      <w:r>
        <w:rPr>
          <w:rStyle w:val="FootnoteReference"/>
        </w:rPr>
        <w:footnoteRef/>
      </w:r>
      <w:r>
        <w:t xml:space="preserve"> Cross-references for "by false": Exod 20:16; Luke 3:14.</w:t>
      </w:r>
    </w:p>
  </w:footnote>
  <w:footnote w:id="15784">
    <w:p>
      <w:pPr>
        <w:pStyle w:val="FootnoteText"/>
      </w:pPr>
      <w:r>
        <w:rPr>
          <w:rStyle w:val="FootnoteReference"/>
        </w:rPr>
        <w:footnoteRef/>
      </w:r>
      <w:r>
        <w:t xml:space="preserve"> Cross-references for "they thought": Luke 17:20; Acts 1:6.</w:t>
      </w:r>
    </w:p>
  </w:footnote>
  <w:footnote w:id="15785">
    <w:p>
      <w:pPr>
        <w:pStyle w:val="FootnoteText"/>
      </w:pPr>
      <w:r>
        <w:rPr>
          <w:rStyle w:val="FootnoteReference"/>
        </w:rPr>
        <w:footnoteRef/>
      </w:r>
      <w:r>
        <w:t xml:space="preserve"> Cross-references for "a far": Matt 21:38; Mark 12:1.</w:t>
      </w:r>
    </w:p>
  </w:footnote>
  <w:footnote w:id="15786">
    <w:p>
      <w:pPr>
        <w:pStyle w:val="FootnoteText"/>
      </w:pPr>
      <w:r>
        <w:rPr>
          <w:rStyle w:val="FootnoteReference"/>
        </w:rPr>
        <w:footnoteRef/>
      </w:r>
      <w:r>
        <w:t xml:space="preserve"> Cross-references for "delivered": Matt 25:15; Rom 12:6-8.</w:t>
      </w:r>
    </w:p>
  </w:footnote>
  <w:footnote w:id="15787">
    <w:p>
      <w:pPr>
        <w:pStyle w:val="FootnoteText"/>
      </w:pPr>
      <w:r>
        <w:rPr>
          <w:rStyle w:val="FootnoteReference"/>
        </w:rPr>
        <w:footnoteRef/>
      </w:r>
      <w:r>
        <w:t xml:space="preserve"> Cross-references for "money": Luke 19:23.</w:t>
      </w:r>
    </w:p>
  </w:footnote>
  <w:footnote w:id="15788">
    <w:p>
      <w:pPr>
        <w:pStyle w:val="FootnoteText"/>
      </w:pPr>
      <w:r>
        <w:rPr>
          <w:rStyle w:val="FootnoteReference"/>
        </w:rPr>
        <w:footnoteRef/>
      </w:r>
      <w:r>
        <w:t xml:space="preserve"> Cross-references for "Well": Gen 39:4; 1Sam 2:30.</w:t>
      </w:r>
    </w:p>
  </w:footnote>
  <w:footnote w:id="15789">
    <w:p>
      <w:pPr>
        <w:pStyle w:val="FootnoteText"/>
      </w:pPr>
      <w:r>
        <w:rPr>
          <w:rStyle w:val="FootnoteReference"/>
        </w:rPr>
        <w:footnoteRef/>
      </w:r>
      <w:r>
        <w:t xml:space="preserve"> Cross-references for "Lord": Luke 3:9; Luke 6:46.</w:t>
      </w:r>
    </w:p>
  </w:footnote>
  <w:footnote w:id="15790">
    <w:p>
      <w:pPr>
        <w:pStyle w:val="FootnoteText"/>
      </w:pPr>
      <w:r>
        <w:rPr>
          <w:rStyle w:val="FootnoteReference"/>
        </w:rPr>
        <w:footnoteRef/>
      </w:r>
      <w:r>
        <w:t xml:space="preserve"> Cross-references for "I feared": Exod 20:19-20; 1Sam 12:20.</w:t>
      </w:r>
    </w:p>
  </w:footnote>
  <w:footnote w:id="15791">
    <w:p>
      <w:pPr>
        <w:pStyle w:val="FootnoteText"/>
      </w:pPr>
      <w:r>
        <w:rPr>
          <w:rStyle w:val="FootnoteReference"/>
        </w:rPr>
        <w:footnoteRef/>
      </w:r>
      <w:r>
        <w:t xml:space="preserve"> Cross-references for "Take": Luke 12:20; Luke 16:2.</w:t>
      </w:r>
    </w:p>
  </w:footnote>
  <w:footnote w:id="15792">
    <w:p>
      <w:pPr>
        <w:pStyle w:val="FootnoteText"/>
      </w:pPr>
      <w:r>
        <w:rPr>
          <w:rStyle w:val="FootnoteReference"/>
        </w:rPr>
        <w:footnoteRef/>
      </w:r>
      <w:r>
        <w:t xml:space="preserve"> Cross-references for "lord": Luke 16:2.</w:t>
      </w:r>
    </w:p>
  </w:footnote>
  <w:footnote w:id="15793">
    <w:p>
      <w:pPr>
        <w:pStyle w:val="FootnoteText"/>
      </w:pPr>
      <w:r>
        <w:rPr>
          <w:rStyle w:val="FootnoteReference"/>
        </w:rPr>
        <w:footnoteRef/>
      </w:r>
      <w:r>
        <w:t xml:space="preserve"> Cross-references for "and from": 1Sam 2:30; 1Sam 15:28.</w:t>
      </w:r>
    </w:p>
  </w:footnote>
  <w:footnote w:id="15794">
    <w:p>
      <w:pPr>
        <w:pStyle w:val="FootnoteText"/>
      </w:pPr>
      <w:r>
        <w:rPr>
          <w:rStyle w:val="FootnoteReference"/>
        </w:rPr>
        <w:footnoteRef/>
      </w:r>
      <w:r>
        <w:t xml:space="preserve"> Cross-references for "Bethany": Zech 14:4; Luke 19:37.</w:t>
      </w:r>
    </w:p>
  </w:footnote>
  <w:footnote w:id="15795">
    <w:p>
      <w:pPr>
        <w:pStyle w:val="FootnoteText"/>
      </w:pPr>
      <w:r>
        <w:rPr>
          <w:rStyle w:val="FootnoteReference"/>
        </w:rPr>
        <w:footnoteRef/>
      </w:r>
      <w:r>
        <w:t xml:space="preserve"> Cross-references for "the Lord": Ps 24:1; Ps 50:10-12.</w:t>
      </w:r>
    </w:p>
  </w:footnote>
  <w:footnote w:id="15796">
    <w:p>
      <w:pPr>
        <w:pStyle w:val="FootnoteText"/>
      </w:pPr>
      <w:r>
        <w:rPr>
          <w:rStyle w:val="FootnoteReference"/>
        </w:rPr>
        <w:footnoteRef/>
      </w:r>
      <w:r>
        <w:t xml:space="preserve"> Cross-references for "they cast": 2Kgs 9:13; Matt 21:7.</w:t>
      </w:r>
    </w:p>
  </w:footnote>
  <w:footnote w:id="15797">
    <w:p>
      <w:pPr>
        <w:pStyle w:val="FootnoteText"/>
      </w:pPr>
      <w:r>
        <w:rPr>
          <w:rStyle w:val="FootnoteReference"/>
        </w:rPr>
        <w:footnoteRef/>
      </w:r>
      <w:r>
        <w:t xml:space="preserve"> Cross-references for "the whole": Exod 15:1-18; Judg 5:1-31.</w:t>
      </w:r>
    </w:p>
  </w:footnote>
  <w:footnote w:id="15798">
    <w:p>
      <w:pPr>
        <w:pStyle w:val="FootnoteText"/>
      </w:pPr>
      <w:r>
        <w:rPr>
          <w:rStyle w:val="FootnoteReference"/>
        </w:rPr>
        <w:footnoteRef/>
      </w:r>
      <w:r>
        <w:t xml:space="preserve"> Cross-references for "Blessed": Ps 72:17-19; Ps 118:22-26.</w:t>
      </w:r>
    </w:p>
  </w:footnote>
  <w:footnote w:id="15799">
    <w:p>
      <w:pPr>
        <w:pStyle w:val="FootnoteText"/>
      </w:pPr>
      <w:r>
        <w:rPr>
          <w:rStyle w:val="FootnoteReference"/>
        </w:rPr>
        <w:footnoteRef/>
      </w:r>
      <w:r>
        <w:t xml:space="preserve"> Cross-references for "rebuke": Isa 26:11; Matt 23:13.</w:t>
      </w:r>
    </w:p>
  </w:footnote>
  <w:footnote w:id="15800">
    <w:p>
      <w:pPr>
        <w:pStyle w:val="FootnoteText"/>
      </w:pPr>
      <w:r>
        <w:rPr>
          <w:rStyle w:val="FootnoteReference"/>
        </w:rPr>
        <w:footnoteRef/>
      </w:r>
      <w:r>
        <w:t xml:space="preserve"> Cross-references for "and wept": Ps 119:53; Ps 119:136.</w:t>
      </w:r>
    </w:p>
  </w:footnote>
  <w:footnote w:id="15801">
    <w:p>
      <w:pPr>
        <w:pStyle w:val="FootnoteText"/>
      </w:pPr>
      <w:r>
        <w:rPr>
          <w:rStyle w:val="FootnoteReference"/>
        </w:rPr>
        <w:footnoteRef/>
      </w:r>
      <w:r>
        <w:t xml:space="preserve"> Cross-references for "in this": Ps 32:6; Ps 95:7-8.</w:t>
      </w:r>
    </w:p>
  </w:footnote>
  <w:footnote w:id="15802">
    <w:p>
      <w:pPr>
        <w:pStyle w:val="FootnoteText"/>
      </w:pPr>
      <w:r>
        <w:rPr>
          <w:rStyle w:val="FootnoteReference"/>
        </w:rPr>
        <w:footnoteRef/>
      </w:r>
      <w:r>
        <w:t xml:space="preserve"> Cross-references for "the days": Deut 28:49-58; Ps 37:12-13.</w:t>
      </w:r>
    </w:p>
  </w:footnote>
  <w:footnote w:id="15803">
    <w:p>
      <w:pPr>
        <w:pStyle w:val="FootnoteText"/>
      </w:pPr>
      <w:r>
        <w:rPr>
          <w:rStyle w:val="FootnoteReference"/>
        </w:rPr>
        <w:footnoteRef/>
      </w:r>
      <w:r>
        <w:t xml:space="preserve"> Cross-references for "leave": Matt 24:2; Mark 13:2.</w:t>
      </w:r>
    </w:p>
  </w:footnote>
  <w:footnote w:id="15804">
    <w:p>
      <w:pPr>
        <w:pStyle w:val="FootnoteText"/>
      </w:pPr>
      <w:r>
        <w:rPr>
          <w:rStyle w:val="FootnoteReference"/>
        </w:rPr>
        <w:footnoteRef/>
      </w:r>
      <w:r>
        <w:t xml:space="preserve"> Cross-references for "went": Matt 21:12-13; Mark 11:15-17.</w:t>
      </w:r>
    </w:p>
  </w:footnote>
  <w:footnote w:id="15805">
    <w:p>
      <w:pPr>
        <w:pStyle w:val="FootnoteText"/>
      </w:pPr>
      <w:r>
        <w:rPr>
          <w:rStyle w:val="FootnoteReference"/>
        </w:rPr>
        <w:footnoteRef/>
      </w:r>
      <w:r>
        <w:t xml:space="preserve"> Cross-references for "taught": Matt 21:23; Mark 11:27-33.</w:t>
      </w:r>
    </w:p>
  </w:footnote>
  <w:footnote w:id="15806">
    <w:p>
      <w:pPr>
        <w:pStyle w:val="FootnoteText"/>
      </w:pPr>
      <w:r>
        <w:rPr>
          <w:rStyle w:val="FootnoteReference"/>
        </w:rPr>
        <w:footnoteRef/>
      </w:r>
      <w:r>
        <w:t xml:space="preserve"> Cross-references for "could": Matt 22:15-16; Luke 20:19-20.</w:t>
      </w:r>
    </w:p>
  </w:footnote>
  <w:footnote w:id="15807">
    <w:p>
      <w:pPr>
        <w:pStyle w:val="FootnoteText"/>
      </w:pPr>
      <w:r>
        <w:rPr>
          <w:rStyle w:val="FootnoteReference"/>
        </w:rPr>
        <w:footnoteRef/>
      </w:r>
      <w:r>
        <w:t xml:space="preserve"> Cross-references for "the chief": 1Chr 24:1-31.</w:t>
      </w:r>
    </w:p>
  </w:footnote>
  <w:footnote w:id="15808">
    <w:p>
      <w:pPr>
        <w:pStyle w:val="FootnoteText"/>
      </w:pPr>
      <w:r>
        <w:rPr>
          <w:rStyle w:val="FootnoteReference"/>
        </w:rPr>
        <w:footnoteRef/>
      </w:r>
      <w:r>
        <w:t xml:space="preserve"> Cross-references for "Tell": Matt 21:23-27; Mark 11:28-33.</w:t>
      </w:r>
    </w:p>
  </w:footnote>
  <w:footnote w:id="15809">
    <w:p>
      <w:pPr>
        <w:pStyle w:val="FootnoteText"/>
      </w:pPr>
      <w:r>
        <w:rPr>
          <w:rStyle w:val="FootnoteReference"/>
        </w:rPr>
        <w:footnoteRef/>
      </w:r>
      <w:r>
        <w:t xml:space="preserve"> Cross-references for "baptism": Matt 11:7-19; Matt 17:11-12.</w:t>
      </w:r>
    </w:p>
  </w:footnote>
  <w:footnote w:id="15810">
    <w:p>
      <w:pPr>
        <w:pStyle w:val="FootnoteText"/>
      </w:pPr>
      <w:r>
        <w:rPr>
          <w:rStyle w:val="FootnoteReference"/>
        </w:rPr>
        <w:footnoteRef/>
      </w:r>
      <w:r>
        <w:t xml:space="preserve"> Cross-references for "planted": Ps 80:8-14; Isa 5:1-7.</w:t>
      </w:r>
    </w:p>
  </w:footnote>
  <w:footnote w:id="15811">
    <w:p>
      <w:pPr>
        <w:pStyle w:val="FootnoteText"/>
      </w:pPr>
      <w:r>
        <w:rPr>
          <w:rStyle w:val="FootnoteReference"/>
        </w:rPr>
        <w:footnoteRef/>
      </w:r>
      <w:r>
        <w:t xml:space="preserve"> Cross-references for "the season": Ps 1:3; Jer 5:24.</w:t>
      </w:r>
    </w:p>
  </w:footnote>
  <w:footnote w:id="15812">
    <w:p>
      <w:pPr>
        <w:pStyle w:val="FootnoteText"/>
      </w:pPr>
      <w:r>
        <w:rPr>
          <w:rStyle w:val="FootnoteReference"/>
        </w:rPr>
        <w:footnoteRef/>
      </w:r>
      <w:r>
        <w:t xml:space="preserve"> Cross-references for "entreated": Matt 23:30-37; Acts 7:52.</w:t>
      </w:r>
    </w:p>
  </w:footnote>
  <w:footnote w:id="15813">
    <w:p>
      <w:pPr>
        <w:pStyle w:val="FootnoteText"/>
      </w:pPr>
      <w:r>
        <w:rPr>
          <w:rStyle w:val="FootnoteReference"/>
        </w:rPr>
        <w:footnoteRef/>
      </w:r>
      <w:r>
        <w:t xml:space="preserve"> Cross-references for "it may": Jer 36:3; Jer 36:7.</w:t>
      </w:r>
    </w:p>
  </w:footnote>
  <w:footnote w:id="15814">
    <w:p>
      <w:pPr>
        <w:pStyle w:val="FootnoteText"/>
      </w:pPr>
      <w:r>
        <w:rPr>
          <w:rStyle w:val="FootnoteReference"/>
        </w:rPr>
        <w:footnoteRef/>
      </w:r>
      <w:r>
        <w:t xml:space="preserve"> Cross-references for "reasoned": Matt 16:7; Matt 21:25.</w:t>
      </w:r>
    </w:p>
  </w:footnote>
  <w:footnote w:id="15815">
    <w:p>
      <w:pPr>
        <w:pStyle w:val="FootnoteText"/>
      </w:pPr>
      <w:r>
        <w:rPr>
          <w:rStyle w:val="FootnoteReference"/>
        </w:rPr>
        <w:footnoteRef/>
      </w:r>
      <w:r>
        <w:t xml:space="preserve"> Cross-references for "destroy": Ps 2:8-9; Ps 21:8-10.</w:t>
      </w:r>
    </w:p>
  </w:footnote>
  <w:footnote w:id="15816">
    <w:p>
      <w:pPr>
        <w:pStyle w:val="FootnoteText"/>
      </w:pPr>
      <w:r>
        <w:rPr>
          <w:rStyle w:val="FootnoteReference"/>
        </w:rPr>
        <w:footnoteRef/>
      </w:r>
      <w:r>
        <w:t xml:space="preserve"> Cross-references for "The stone": Ps 118:22; Isa 28:16.</w:t>
      </w:r>
    </w:p>
  </w:footnote>
  <w:footnote w:id="15817">
    <w:p>
      <w:pPr>
        <w:pStyle w:val="FootnoteText"/>
      </w:pPr>
      <w:r>
        <w:rPr>
          <w:rStyle w:val="FootnoteReference"/>
        </w:rPr>
        <w:footnoteRef/>
      </w:r>
      <w:r>
        <w:t xml:space="preserve"> Cross-references for "shall fall": Isa 8:14-15; Dan 2:34-35.</w:t>
      </w:r>
    </w:p>
  </w:footnote>
  <w:footnote w:id="15818">
    <w:p>
      <w:pPr>
        <w:pStyle w:val="FootnoteText"/>
      </w:pPr>
      <w:r>
        <w:rPr>
          <w:rStyle w:val="FootnoteReference"/>
        </w:rPr>
        <w:footnoteRef/>
      </w:r>
      <w:r>
        <w:t xml:space="preserve"> Cross-references for "they watched": Ps 37:32-33; Ps 38:12.</w:t>
      </w:r>
    </w:p>
  </w:footnote>
  <w:footnote w:id="15819">
    <w:p>
      <w:pPr>
        <w:pStyle w:val="FootnoteText"/>
      </w:pPr>
      <w:r>
        <w:rPr>
          <w:rStyle w:val="FootnoteReference"/>
        </w:rPr>
        <w:footnoteRef/>
      </w:r>
      <w:r>
        <w:t xml:space="preserve"> Cross-references for "Caesar's": Luke 2:1; Luke 3:1.</w:t>
      </w:r>
    </w:p>
  </w:footnote>
  <w:footnote w:id="15820">
    <w:p>
      <w:pPr>
        <w:pStyle w:val="FootnoteText"/>
      </w:pPr>
      <w:r>
        <w:rPr>
          <w:rStyle w:val="FootnoteReference"/>
        </w:rPr>
        <w:footnoteRef/>
      </w:r>
      <w:r>
        <w:t xml:space="preserve"> Cross-references for "Render": Prov 24:21; Matt 17:27.</w:t>
      </w:r>
    </w:p>
  </w:footnote>
  <w:footnote w:id="15821">
    <w:p>
      <w:pPr>
        <w:pStyle w:val="FootnoteText"/>
      </w:pPr>
      <w:r>
        <w:rPr>
          <w:rStyle w:val="FootnoteReference"/>
        </w:rPr>
        <w:footnoteRef/>
      </w:r>
      <w:r>
        <w:t xml:space="preserve"> Cross-references for "they could": Job 5:12-13; Prov 26:4-5.</w:t>
      </w:r>
    </w:p>
  </w:footnote>
  <w:footnote w:id="15822">
    <w:p>
      <w:pPr>
        <w:pStyle w:val="FootnoteText"/>
      </w:pPr>
      <w:r>
        <w:rPr>
          <w:rStyle w:val="FootnoteReference"/>
        </w:rPr>
        <w:footnoteRef/>
      </w:r>
      <w:r>
        <w:t xml:space="preserve"> Cross-references for "the Sadducees": Matt 16:1; Matt 16:6.</w:t>
      </w:r>
    </w:p>
  </w:footnote>
  <w:footnote w:id="15823">
    <w:p>
      <w:pPr>
        <w:pStyle w:val="FootnoteText"/>
      </w:pPr>
      <w:r>
        <w:rPr>
          <w:rStyle w:val="FootnoteReference"/>
        </w:rPr>
        <w:footnoteRef/>
      </w:r>
      <w:r>
        <w:t xml:space="preserve"> Cross-references for "and died": Lev 20:20; Jer 22:30.</w:t>
      </w:r>
    </w:p>
  </w:footnote>
  <w:footnote w:id="15824">
    <w:p>
      <w:pPr>
        <w:pStyle w:val="FootnoteText"/>
      </w:pPr>
      <w:r>
        <w:rPr>
          <w:rStyle w:val="FootnoteReference"/>
        </w:rPr>
        <w:footnoteRef/>
      </w:r>
      <w:r>
        <w:t xml:space="preserve"> Cross-references for "died": Judg 2:10; Eccl 1:4.</w:t>
      </w:r>
    </w:p>
  </w:footnote>
  <w:footnote w:id="15825">
    <w:p>
      <w:pPr>
        <w:pStyle w:val="FootnoteText"/>
      </w:pPr>
      <w:r>
        <w:rPr>
          <w:rStyle w:val="FootnoteReference"/>
        </w:rPr>
        <w:footnoteRef/>
      </w:r>
      <w:r>
        <w:t xml:space="preserve"> Cross-references for "The children": Luke 16:8.</w:t>
      </w:r>
    </w:p>
  </w:footnote>
  <w:footnote w:id="15826">
    <w:p>
      <w:pPr>
        <w:pStyle w:val="FootnoteText"/>
      </w:pPr>
      <w:r>
        <w:rPr>
          <w:rStyle w:val="FootnoteReference"/>
        </w:rPr>
        <w:footnoteRef/>
      </w:r>
      <w:r>
        <w:t xml:space="preserve"> Cross-references for "accounted": Luke 21:36; Acts 5:41.</w:t>
      </w:r>
    </w:p>
  </w:footnote>
  <w:footnote w:id="15827">
    <w:p>
      <w:pPr>
        <w:pStyle w:val="FootnoteText"/>
      </w:pPr>
      <w:r>
        <w:rPr>
          <w:rStyle w:val="FootnoteReference"/>
        </w:rPr>
        <w:footnoteRef/>
      </w:r>
      <w:r>
        <w:t xml:space="preserve"> Cross-references for "they are": Zech 3:7; Matt 22:30.</w:t>
      </w:r>
    </w:p>
  </w:footnote>
  <w:footnote w:id="15828">
    <w:p>
      <w:pPr>
        <w:pStyle w:val="FootnoteText"/>
      </w:pPr>
      <w:r>
        <w:rPr>
          <w:rStyle w:val="FootnoteReference"/>
        </w:rPr>
        <w:footnoteRef/>
      </w:r>
      <w:r>
        <w:t xml:space="preserve"> Cross-references for "for all": John 6:57; John 11:25-26.</w:t>
      </w:r>
    </w:p>
  </w:footnote>
  <w:footnote w:id="15829">
    <w:p>
      <w:pPr>
        <w:pStyle w:val="FootnoteText"/>
      </w:pPr>
      <w:r>
        <w:rPr>
          <w:rStyle w:val="FootnoteReference"/>
        </w:rPr>
        <w:footnoteRef/>
      </w:r>
      <w:r>
        <w:t xml:space="preserve"> Cross-references for "Christ": Isa 9:6-7; Isa 11:1-2.</w:t>
      </w:r>
    </w:p>
  </w:footnote>
  <w:footnote w:id="15830">
    <w:p>
      <w:pPr>
        <w:pStyle w:val="FootnoteText"/>
      </w:pPr>
      <w:r>
        <w:rPr>
          <w:rStyle w:val="FootnoteReference"/>
        </w:rPr>
        <w:footnoteRef/>
      </w:r>
      <w:r>
        <w:t xml:space="preserve"> Cross-references for "himself": 2Sam 23:1-2; Matt 22:43.</w:t>
      </w:r>
    </w:p>
  </w:footnote>
  <w:footnote w:id="15831">
    <w:p>
      <w:pPr>
        <w:pStyle w:val="FootnoteText"/>
      </w:pPr>
      <w:r>
        <w:rPr>
          <w:rStyle w:val="FootnoteReference"/>
        </w:rPr>
        <w:footnoteRef/>
      </w:r>
      <w:r>
        <w:t xml:space="preserve"> Cross-references for "Beware": Matt 16:6; Mark 8:15.</w:t>
      </w:r>
    </w:p>
  </w:footnote>
  <w:footnote w:id="15832">
    <w:p>
      <w:pPr>
        <w:pStyle w:val="FootnoteText"/>
      </w:pPr>
      <w:r>
        <w:rPr>
          <w:rStyle w:val="FootnoteReference"/>
        </w:rPr>
        <w:footnoteRef/>
      </w:r>
      <w:r>
        <w:t xml:space="preserve"> Cross-references for "devour": Isa 10:2; Jer 7:6-10.</w:t>
      </w:r>
    </w:p>
  </w:footnote>
  <w:footnote w:id="15833">
    <w:p>
      <w:pPr>
        <w:pStyle w:val="FootnoteText"/>
      </w:pPr>
      <w:r>
        <w:rPr>
          <w:rStyle w:val="FootnoteReference"/>
        </w:rPr>
        <w:footnoteRef/>
      </w:r>
      <w:r>
        <w:t xml:space="preserve"> Cross-references for "and saw": Mark 7:11-13; Mark 12:41-44.</w:t>
      </w:r>
    </w:p>
  </w:footnote>
  <w:footnote w:id="15834">
    <w:p>
      <w:pPr>
        <w:pStyle w:val="FootnoteText"/>
      </w:pPr>
      <w:r>
        <w:rPr>
          <w:rStyle w:val="FootnoteReference"/>
        </w:rPr>
        <w:footnoteRef/>
      </w:r>
      <w:r>
        <w:t xml:space="preserve"> Cross-references for "more": Exod 35:21-29; Mark 12:43-44.</w:t>
      </w:r>
    </w:p>
  </w:footnote>
  <w:footnote w:id="15835">
    <w:p>
      <w:pPr>
        <w:pStyle w:val="FootnoteText"/>
      </w:pPr>
      <w:r>
        <w:rPr>
          <w:rStyle w:val="FootnoteReference"/>
        </w:rPr>
        <w:footnoteRef/>
      </w:r>
      <w:r>
        <w:t xml:space="preserve"> Cross-references for "Take": Jer 29:8; Matt 24:4-5.</w:t>
      </w:r>
    </w:p>
  </w:footnote>
  <w:footnote w:id="15836">
    <w:p>
      <w:pPr>
        <w:pStyle w:val="FootnoteText"/>
      </w:pPr>
      <w:r>
        <w:rPr>
          <w:rStyle w:val="FootnoteReference"/>
        </w:rPr>
        <w:footnoteRef/>
      </w:r>
      <w:r>
        <w:t xml:space="preserve"> Cross-references for "Nation shall": 2Chr 15:5-6; Hag 2:21-22.</w:t>
      </w:r>
    </w:p>
  </w:footnote>
  <w:footnote w:id="15837">
    <w:p>
      <w:pPr>
        <w:pStyle w:val="FootnoteText"/>
      </w:pPr>
      <w:r>
        <w:rPr>
          <w:rStyle w:val="FootnoteReference"/>
        </w:rPr>
        <w:footnoteRef/>
      </w:r>
      <w:r>
        <w:t xml:space="preserve"> Cross-references for "and great signs": Matt 24:29-30; Luke 21:25-27.</w:t>
      </w:r>
    </w:p>
  </w:footnote>
  <w:footnote w:id="15838">
    <w:p>
      <w:pPr>
        <w:pStyle w:val="FootnoteText"/>
      </w:pPr>
      <w:r>
        <w:rPr>
          <w:rStyle w:val="FootnoteReference"/>
        </w:rPr>
        <w:footnoteRef/>
      </w:r>
      <w:r>
        <w:t xml:space="preserve"> Cross-references for "flee": Gen 19:17; Gen 19:26.</w:t>
      </w:r>
    </w:p>
  </w:footnote>
  <w:footnote w:id="15839">
    <w:p>
      <w:pPr>
        <w:pStyle w:val="FootnoteText"/>
      </w:pPr>
      <w:r>
        <w:rPr>
          <w:rStyle w:val="FootnoteReference"/>
        </w:rPr>
        <w:footnoteRef/>
      </w:r>
      <w:r>
        <w:t xml:space="preserve"> Cross-references for "the days": Isa 34:8; Isa 61:2.</w:t>
      </w:r>
    </w:p>
  </w:footnote>
  <w:footnote w:id="15840">
    <w:p>
      <w:pPr>
        <w:pStyle w:val="FootnoteText"/>
      </w:pPr>
      <w:r>
        <w:rPr>
          <w:rStyle w:val="FootnoteReference"/>
        </w:rPr>
        <w:footnoteRef/>
      </w:r>
      <w:r>
        <w:t xml:space="preserve"> Cross-references for "great": Luke 19:27; Luke 19:43.</w:t>
      </w:r>
    </w:p>
  </w:footnote>
  <w:footnote w:id="15841">
    <w:p>
      <w:pPr>
        <w:pStyle w:val="FootnoteText"/>
      </w:pPr>
      <w:r>
        <w:rPr>
          <w:rStyle w:val="FootnoteReference"/>
        </w:rPr>
        <w:footnoteRef/>
      </w:r>
      <w:r>
        <w:t xml:space="preserve"> Cross-references for "Jerusalem": Isa 5:5; Isa 63:18.</w:t>
      </w:r>
    </w:p>
  </w:footnote>
  <w:footnote w:id="15842">
    <w:p>
      <w:pPr>
        <w:pStyle w:val="FootnoteText"/>
      </w:pPr>
      <w:r>
        <w:rPr>
          <w:rStyle w:val="FootnoteReference"/>
        </w:rPr>
        <w:footnoteRef/>
      </w:r>
      <w:r>
        <w:t xml:space="preserve"> Cross-references for "signs": Isa 13:10; Isa 13:13-14.</w:t>
      </w:r>
    </w:p>
  </w:footnote>
  <w:footnote w:id="15843">
    <w:p>
      <w:pPr>
        <w:pStyle w:val="FootnoteText"/>
      </w:pPr>
      <w:r>
        <w:rPr>
          <w:rStyle w:val="FootnoteReference"/>
        </w:rPr>
        <w:footnoteRef/>
      </w:r>
      <w:r>
        <w:t xml:space="preserve"> Cross-references for "look": Ps 98:5-9; Isa 12:1-3.</w:t>
      </w:r>
    </w:p>
  </w:footnote>
  <w:footnote w:id="15844">
    <w:p>
      <w:pPr>
        <w:pStyle w:val="FootnoteText"/>
      </w:pPr>
      <w:r>
        <w:rPr>
          <w:rStyle w:val="FootnoteReference"/>
        </w:rPr>
        <w:footnoteRef/>
      </w:r>
      <w:r>
        <w:t xml:space="preserve"> Cross-references for "the kingdom": Heb 10:37; Jas 5:9.</w:t>
      </w:r>
    </w:p>
  </w:footnote>
  <w:footnote w:id="15845">
    <w:p>
      <w:pPr>
        <w:pStyle w:val="FootnoteText"/>
      </w:pPr>
      <w:r>
        <w:rPr>
          <w:rStyle w:val="FootnoteReference"/>
        </w:rPr>
        <w:footnoteRef/>
      </w:r>
      <w:r>
        <w:t xml:space="preserve"> Cross-references for "take": Mark 13:9; Luke 17:3.</w:t>
      </w:r>
    </w:p>
  </w:footnote>
  <w:footnote w:id="15846">
    <w:p>
      <w:pPr>
        <w:pStyle w:val="FootnoteText"/>
      </w:pPr>
      <w:r>
        <w:rPr>
          <w:rStyle w:val="FootnoteReference"/>
        </w:rPr>
        <w:footnoteRef/>
      </w:r>
      <w:r>
        <w:t xml:space="preserve"> Cross-references for "dwell": Gen 7:4; Luke 17:37.</w:t>
      </w:r>
    </w:p>
  </w:footnote>
  <w:footnote w:id="15847">
    <w:p>
      <w:pPr>
        <w:pStyle w:val="FootnoteText"/>
      </w:pPr>
      <w:r>
        <w:rPr>
          <w:rStyle w:val="FootnoteReference"/>
        </w:rPr>
        <w:footnoteRef/>
      </w:r>
      <w:r>
        <w:t xml:space="preserve"> Cross-references for "Watch": Matt 24:42; Matt 25:13.</w:t>
      </w:r>
    </w:p>
  </w:footnote>
  <w:footnote w:id="15848">
    <w:p>
      <w:pPr>
        <w:pStyle w:val="FootnoteText"/>
      </w:pPr>
      <w:r>
        <w:rPr>
          <w:rStyle w:val="FootnoteReference"/>
        </w:rPr>
        <w:footnoteRef/>
      </w:r>
      <w:r>
        <w:t xml:space="preserve"> Cross-references for "mount": Zech 14:4; Matt 26:30.</w:t>
      </w:r>
    </w:p>
  </w:footnote>
  <w:footnote w:id="15849">
    <w:p>
      <w:pPr>
        <w:pStyle w:val="FootnoteText"/>
      </w:pPr>
      <w:r>
        <w:rPr>
          <w:rStyle w:val="FootnoteReference"/>
        </w:rPr>
        <w:footnoteRef/>
      </w:r>
      <w:r>
        <w:t xml:space="preserve"> Cross-references for "entered": Matt 26:14; Mark 14:10-11.</w:t>
      </w:r>
    </w:p>
  </w:footnote>
  <w:footnote w:id="15850">
    <w:p>
      <w:pPr>
        <w:pStyle w:val="FootnoteText"/>
      </w:pPr>
      <w:r>
        <w:rPr>
          <w:rStyle w:val="FootnoteReference"/>
        </w:rPr>
        <w:footnoteRef/>
      </w:r>
      <w:r>
        <w:t xml:space="preserve"> Cross-references for "went": Matt 26:14; Mark 14:10-11.</w:t>
      </w:r>
    </w:p>
  </w:footnote>
  <w:footnote w:id="15851">
    <w:p>
      <w:pPr>
        <w:pStyle w:val="FootnoteText"/>
      </w:pPr>
      <w:r>
        <w:rPr>
          <w:rStyle w:val="FootnoteReference"/>
        </w:rPr>
        <w:footnoteRef/>
      </w:r>
      <w:r>
        <w:t xml:space="preserve"> Cross-references for "Where is": Luke 19:5; Rev 3:20.</w:t>
      </w:r>
    </w:p>
  </w:footnote>
  <w:footnote w:id="15852">
    <w:p>
      <w:pPr>
        <w:pStyle w:val="FootnoteText"/>
      </w:pPr>
      <w:r>
        <w:rPr>
          <w:rStyle w:val="FootnoteReference"/>
        </w:rPr>
        <w:footnoteRef/>
      </w:r>
      <w:r>
        <w:t xml:space="preserve"> Cross-references for "a large": Acts 1:13; Acts 20:8.</w:t>
      </w:r>
    </w:p>
  </w:footnote>
  <w:footnote w:id="15853">
    <w:p>
      <w:pPr>
        <w:pStyle w:val="FootnoteText"/>
      </w:pPr>
      <w:r>
        <w:rPr>
          <w:rStyle w:val="FootnoteReference"/>
        </w:rPr>
        <w:footnoteRef/>
      </w:r>
      <w:r>
        <w:t xml:space="preserve"> Cross-references for "With desire I have desired": Luke 12:50; John 4:34.</w:t>
      </w:r>
    </w:p>
  </w:footnote>
  <w:footnote w:id="15854">
    <w:p>
      <w:pPr>
        <w:pStyle w:val="FootnoteText"/>
      </w:pPr>
      <w:r>
        <w:rPr>
          <w:rStyle w:val="FootnoteReference"/>
        </w:rPr>
        <w:footnoteRef/>
      </w:r>
      <w:r>
        <w:t xml:space="preserve"> Cross-references for "I will not": Luke 22:18-20.</w:t>
      </w:r>
    </w:p>
  </w:footnote>
  <w:footnote w:id="15855">
    <w:p>
      <w:pPr>
        <w:pStyle w:val="FootnoteText"/>
      </w:pPr>
      <w:r>
        <w:rPr>
          <w:rStyle w:val="FootnoteReference"/>
        </w:rPr>
        <w:footnoteRef/>
      </w:r>
      <w:r>
        <w:t xml:space="preserve"> Cross-references for "took": Ps 23:5; Ps 116:13.</w:t>
      </w:r>
    </w:p>
  </w:footnote>
  <w:footnote w:id="15856">
    <w:p>
      <w:pPr>
        <w:pStyle w:val="FootnoteText"/>
      </w:pPr>
      <w:r>
        <w:rPr>
          <w:rStyle w:val="FootnoteReference"/>
        </w:rPr>
        <w:footnoteRef/>
      </w:r>
      <w:r>
        <w:t xml:space="preserve"> Cross-references for "I will not": Matt 26:29; Mark 14:23.</w:t>
      </w:r>
    </w:p>
  </w:footnote>
  <w:footnote w:id="15857">
    <w:p>
      <w:pPr>
        <w:pStyle w:val="FootnoteText"/>
      </w:pPr>
      <w:r>
        <w:rPr>
          <w:rStyle w:val="FootnoteReference"/>
        </w:rPr>
        <w:footnoteRef/>
      </w:r>
      <w:r>
        <w:t xml:space="preserve"> Cross-references for "he took": Matt 26:26-28; Mark 14:22-24.</w:t>
      </w:r>
    </w:p>
  </w:footnote>
  <w:footnote w:id="15858">
    <w:p>
      <w:pPr>
        <w:pStyle w:val="FootnoteText"/>
      </w:pPr>
      <w:r>
        <w:rPr>
          <w:rStyle w:val="FootnoteReference"/>
        </w:rPr>
        <w:footnoteRef/>
      </w:r>
      <w:r>
        <w:t xml:space="preserve"> Cross-references for "truly": Gen 3:15; Ps 22:1-31.</w:t>
      </w:r>
    </w:p>
  </w:footnote>
  <w:footnote w:id="15859">
    <w:p>
      <w:pPr>
        <w:pStyle w:val="FootnoteText"/>
      </w:pPr>
      <w:r>
        <w:rPr>
          <w:rStyle w:val="FootnoteReference"/>
        </w:rPr>
        <w:footnoteRef/>
      </w:r>
      <w:r>
        <w:t xml:space="preserve"> Cross-references for "and sit": Ps 49:14; Matt 19:28.</w:t>
      </w:r>
    </w:p>
  </w:footnote>
  <w:footnote w:id="15860">
    <w:p>
      <w:pPr>
        <w:pStyle w:val="FootnoteText"/>
      </w:pPr>
      <w:r>
        <w:rPr>
          <w:rStyle w:val="FootnoteReference"/>
        </w:rPr>
        <w:footnoteRef/>
      </w:r>
      <w:r>
        <w:t xml:space="preserve"> Cross-references for "Simon": Luke 10:41; Acts 9:4.</w:t>
      </w:r>
    </w:p>
  </w:footnote>
  <w:footnote w:id="15861">
    <w:p>
      <w:pPr>
        <w:pStyle w:val="FootnoteText"/>
      </w:pPr>
      <w:r>
        <w:rPr>
          <w:rStyle w:val="FootnoteReference"/>
        </w:rPr>
        <w:footnoteRef/>
      </w:r>
      <w:r>
        <w:t xml:space="preserve"> Cross-references for "and when": Matt 18:3; Matt 26:75.</w:t>
      </w:r>
    </w:p>
  </w:footnote>
  <w:footnote w:id="15862">
    <w:p>
      <w:pPr>
        <w:pStyle w:val="FootnoteText"/>
      </w:pPr>
      <w:r>
        <w:rPr>
          <w:rStyle w:val="FootnoteReference"/>
        </w:rPr>
        <w:footnoteRef/>
      </w:r>
      <w:r>
        <w:t xml:space="preserve"> Cross-references for "he came": Matt 26:36-38; Mark 14:32-34.</w:t>
      </w:r>
    </w:p>
  </w:footnote>
  <w:footnote w:id="15863">
    <w:p>
      <w:pPr>
        <w:pStyle w:val="FootnoteText"/>
      </w:pPr>
      <w:r>
        <w:rPr>
          <w:rStyle w:val="FootnoteReference"/>
        </w:rPr>
        <w:footnoteRef/>
      </w:r>
      <w:r>
        <w:t xml:space="preserve"> Cross-references for "Pray": 1Chr 4:10; Ps 17:5.</w:t>
      </w:r>
    </w:p>
  </w:footnote>
  <w:footnote w:id="15864">
    <w:p>
      <w:pPr>
        <w:pStyle w:val="FootnoteText"/>
      </w:pPr>
      <w:r>
        <w:rPr>
          <w:rStyle w:val="FootnoteReference"/>
        </w:rPr>
        <w:footnoteRef/>
      </w:r>
      <w:r>
        <w:t xml:space="preserve"> Cross-references for "Father": Matt 26:42; Matt 26:44.</w:t>
      </w:r>
    </w:p>
  </w:footnote>
  <w:footnote w:id="15865">
    <w:p>
      <w:pPr>
        <w:pStyle w:val="FootnoteText"/>
      </w:pPr>
      <w:r>
        <w:rPr>
          <w:rStyle w:val="FootnoteReference"/>
        </w:rPr>
        <w:footnoteRef/>
      </w:r>
      <w:r>
        <w:t xml:space="preserve"> Cross-references for "strengthening": Deut 3:28; Job 4:3-4.</w:t>
      </w:r>
    </w:p>
  </w:footnote>
  <w:footnote w:id="15866">
    <w:p>
      <w:pPr>
        <w:pStyle w:val="FootnoteText"/>
      </w:pPr>
      <w:r>
        <w:rPr>
          <w:rStyle w:val="FootnoteReference"/>
        </w:rPr>
        <w:footnoteRef/>
      </w:r>
      <w:r>
        <w:t xml:space="preserve"> Cross-references for "sleeping": Matt 26:40; Matt 26:43.</w:t>
      </w:r>
    </w:p>
  </w:footnote>
  <w:footnote w:id="15867">
    <w:p>
      <w:pPr>
        <w:pStyle w:val="FootnoteText"/>
      </w:pPr>
      <w:r>
        <w:rPr>
          <w:rStyle w:val="FootnoteReference"/>
        </w:rPr>
        <w:footnoteRef/>
      </w:r>
      <w:r>
        <w:t xml:space="preserve"> Cross-references for "Judas": Matt 26:14-16; Matt 26:47.</w:t>
      </w:r>
    </w:p>
  </w:footnote>
  <w:footnote w:id="15868">
    <w:p>
      <w:pPr>
        <w:pStyle w:val="FootnoteText"/>
      </w:pPr>
      <w:r>
        <w:rPr>
          <w:rStyle w:val="FootnoteReference"/>
        </w:rPr>
        <w:footnoteRef/>
      </w:r>
      <w:r>
        <w:t xml:space="preserve"> Cross-references for "Jesus": Matt 26:55; Mark 14:48-49.</w:t>
      </w:r>
    </w:p>
  </w:footnote>
  <w:footnote w:id="15869">
    <w:p>
      <w:pPr>
        <w:pStyle w:val="FootnoteText"/>
      </w:pPr>
      <w:r>
        <w:rPr>
          <w:rStyle w:val="FootnoteReference"/>
        </w:rPr>
        <w:footnoteRef/>
      </w:r>
      <w:r>
        <w:t xml:space="preserve"> Cross-references for "I was": Matt 21:12-15; Matt 21:23.</w:t>
      </w:r>
    </w:p>
  </w:footnote>
  <w:footnote w:id="15870">
    <w:p>
      <w:pPr>
        <w:pStyle w:val="FootnoteText"/>
      </w:pPr>
      <w:r>
        <w:rPr>
          <w:rStyle w:val="FootnoteReference"/>
        </w:rPr>
        <w:footnoteRef/>
      </w:r>
      <w:r>
        <w:t xml:space="preserve"> Cross-references for "took": Matt 26:57-58; Mark 14:53-54.</w:t>
      </w:r>
    </w:p>
  </w:footnote>
  <w:footnote w:id="15871">
    <w:p>
      <w:pPr>
        <w:pStyle w:val="FootnoteText"/>
      </w:pPr>
      <w:r>
        <w:rPr>
          <w:rStyle w:val="FootnoteReference"/>
        </w:rPr>
        <w:footnoteRef/>
      </w:r>
      <w:r>
        <w:t xml:space="preserve"> Cross-references for "Peter": Ps 1:1; Ps 26:4-5.</w:t>
      </w:r>
    </w:p>
  </w:footnote>
  <w:footnote w:id="15872">
    <w:p>
      <w:pPr>
        <w:pStyle w:val="FootnoteText"/>
      </w:pPr>
      <w:r>
        <w:rPr>
          <w:rStyle w:val="FootnoteReference"/>
        </w:rPr>
        <w:footnoteRef/>
      </w:r>
      <w:r>
        <w:t xml:space="preserve"> Cross-references for "he denied": Matt 10:33; Matt 26:70.</w:t>
      </w:r>
    </w:p>
  </w:footnote>
  <w:footnote w:id="15873">
    <w:p>
      <w:pPr>
        <w:pStyle w:val="FootnoteText"/>
      </w:pPr>
      <w:r>
        <w:rPr>
          <w:rStyle w:val="FootnoteReference"/>
        </w:rPr>
        <w:footnoteRef/>
      </w:r>
      <w:r>
        <w:t xml:space="preserve"> Cross-references for "another": Matt 26:71-72; Mark 14:69-70.</w:t>
      </w:r>
    </w:p>
  </w:footnote>
  <w:footnote w:id="15874">
    <w:p>
      <w:pPr>
        <w:pStyle w:val="FootnoteText"/>
      </w:pPr>
      <w:r>
        <w:rPr>
          <w:rStyle w:val="FootnoteReference"/>
        </w:rPr>
        <w:footnoteRef/>
      </w:r>
      <w:r>
        <w:t xml:space="preserve"> Cross-references for "confidently": Matt 26:73-74; Mark 14:69-70.</w:t>
      </w:r>
    </w:p>
  </w:footnote>
  <w:footnote w:id="15875">
    <w:p>
      <w:pPr>
        <w:pStyle w:val="FootnoteText"/>
      </w:pPr>
      <w:r>
        <w:rPr>
          <w:rStyle w:val="FootnoteReference"/>
        </w:rPr>
        <w:footnoteRef/>
      </w:r>
      <w:r>
        <w:t xml:space="preserve"> Cross-references for "turned": Mark 5:30; Luke 10:41.</w:t>
      </w:r>
    </w:p>
  </w:footnote>
  <w:footnote w:id="15876">
    <w:p>
      <w:pPr>
        <w:pStyle w:val="FootnoteText"/>
      </w:pPr>
      <w:r>
        <w:rPr>
          <w:rStyle w:val="FootnoteReference"/>
        </w:rPr>
        <w:footnoteRef/>
      </w:r>
      <w:r>
        <w:t xml:space="preserve"> Cross-references for "and wept": Ps 38:18; Ps 126:5-6.</w:t>
      </w:r>
    </w:p>
  </w:footnote>
  <w:footnote w:id="15877">
    <w:p>
      <w:pPr>
        <w:pStyle w:val="FootnoteText"/>
      </w:pPr>
      <w:r>
        <w:rPr>
          <w:rStyle w:val="FootnoteReference"/>
        </w:rPr>
        <w:footnoteRef/>
      </w:r>
      <w:r>
        <w:t xml:space="preserve"> Cross-references for "the men": Matt 26:59-68; Mark 14:55-65.</w:t>
      </w:r>
    </w:p>
  </w:footnote>
  <w:footnote w:id="15878">
    <w:p>
      <w:pPr>
        <w:pStyle w:val="FootnoteText"/>
      </w:pPr>
      <w:r>
        <w:rPr>
          <w:rStyle w:val="FootnoteReference"/>
        </w:rPr>
        <w:footnoteRef/>
      </w:r>
      <w:r>
        <w:t xml:space="preserve"> Cross-references for "blindfolded": Judg 16:21; Judg 16:25.</w:t>
      </w:r>
    </w:p>
  </w:footnote>
  <w:footnote w:id="15879">
    <w:p>
      <w:pPr>
        <w:pStyle w:val="FootnoteText"/>
      </w:pPr>
      <w:r>
        <w:rPr>
          <w:rStyle w:val="FootnoteReference"/>
        </w:rPr>
        <w:footnoteRef/>
      </w:r>
      <w:r>
        <w:t xml:space="preserve"> Cross-references for "blasphemously": Matt 12:31-32; Luke 12:10.</w:t>
      </w:r>
    </w:p>
  </w:footnote>
  <w:footnote w:id="15880">
    <w:p>
      <w:pPr>
        <w:pStyle w:val="FootnoteText"/>
      </w:pPr>
      <w:r>
        <w:rPr>
          <w:rStyle w:val="FootnoteReference"/>
        </w:rPr>
        <w:footnoteRef/>
      </w:r>
      <w:r>
        <w:t xml:space="preserve"> Cross-references for "as soon": Matt 27:1; Mark 15:1.</w:t>
      </w:r>
    </w:p>
  </w:footnote>
  <w:footnote w:id="15881">
    <w:p>
      <w:pPr>
        <w:pStyle w:val="FootnoteText"/>
      </w:pPr>
      <w:r>
        <w:rPr>
          <w:rStyle w:val="FootnoteReference"/>
        </w:rPr>
        <w:footnoteRef/>
      </w:r>
      <w:r>
        <w:t xml:space="preserve"> Cross-references for "the Son": Ps 2:7; Ps 2:12.</w:t>
      </w:r>
    </w:p>
  </w:footnote>
  <w:footnote w:id="15882">
    <w:p>
      <w:pPr>
        <w:pStyle w:val="FootnoteText"/>
      </w:pPr>
      <w:r>
        <w:rPr>
          <w:rStyle w:val="FootnoteReference"/>
        </w:rPr>
        <w:footnoteRef/>
      </w:r>
      <w:r>
        <w:t xml:space="preserve"> Cross-references for "perverting": 1Kgs 18:17; Jer 38:4.</w:t>
      </w:r>
    </w:p>
  </w:footnote>
  <w:footnote w:id="15883">
    <w:p>
      <w:pPr>
        <w:pStyle w:val="FootnoteText"/>
      </w:pPr>
      <w:r>
        <w:rPr>
          <w:rStyle w:val="FootnoteReference"/>
        </w:rPr>
        <w:footnoteRef/>
      </w:r>
      <w:r>
        <w:t xml:space="preserve"> Cross-references for "Pilate": Matt 27:11; Mark 15:2.</w:t>
      </w:r>
    </w:p>
  </w:footnote>
  <w:footnote w:id="15884">
    <w:p>
      <w:pPr>
        <w:pStyle w:val="FootnoteText"/>
      </w:pPr>
      <w:r>
        <w:rPr>
          <w:rStyle w:val="FootnoteReference"/>
        </w:rPr>
        <w:footnoteRef/>
      </w:r>
      <w:r>
        <w:t xml:space="preserve"> Cross-references for "I find": Matt 27:19; Matt 27:24.</w:t>
      </w:r>
    </w:p>
  </w:footnote>
  <w:footnote w:id="15885">
    <w:p>
      <w:pPr>
        <w:pStyle w:val="FootnoteText"/>
      </w:pPr>
      <w:r>
        <w:rPr>
          <w:rStyle w:val="FootnoteReference"/>
        </w:rPr>
        <w:footnoteRef/>
      </w:r>
      <w:r>
        <w:t xml:space="preserve"> Cross-references for "beginning": Luke 4:14-15.</w:t>
      </w:r>
    </w:p>
  </w:footnote>
  <w:footnote w:id="15886">
    <w:p>
      <w:pPr>
        <w:pStyle w:val="FootnoteText"/>
      </w:pPr>
      <w:r>
        <w:rPr>
          <w:rStyle w:val="FootnoteReference"/>
        </w:rPr>
        <w:footnoteRef/>
      </w:r>
      <w:r>
        <w:t xml:space="preserve"> Cross-references for "Herod's": Luke 3:1; Luke 13:31.</w:t>
      </w:r>
    </w:p>
  </w:footnote>
  <w:footnote w:id="15887">
    <w:p>
      <w:pPr>
        <w:pStyle w:val="FootnoteText"/>
      </w:pPr>
      <w:r>
        <w:rPr>
          <w:rStyle w:val="FootnoteReference"/>
        </w:rPr>
        <w:footnoteRef/>
      </w:r>
      <w:r>
        <w:t xml:space="preserve"> Cross-references for "and vehemently": Luke 11:53; Luke 23:2.</w:t>
      </w:r>
    </w:p>
  </w:footnote>
  <w:footnote w:id="15888">
    <w:p>
      <w:pPr>
        <w:pStyle w:val="FootnoteText"/>
      </w:pPr>
      <w:r>
        <w:rPr>
          <w:rStyle w:val="FootnoteReference"/>
        </w:rPr>
        <w:footnoteRef/>
      </w:r>
      <w:r>
        <w:t xml:space="preserve"> Cross-references for "Herod": Acts 4:27-28.</w:t>
      </w:r>
    </w:p>
  </w:footnote>
  <w:footnote w:id="15889">
    <w:p>
      <w:pPr>
        <w:pStyle w:val="FootnoteText"/>
      </w:pPr>
      <w:r>
        <w:rPr>
          <w:rStyle w:val="FootnoteReference"/>
        </w:rPr>
        <w:footnoteRef/>
      </w:r>
      <w:r>
        <w:t xml:space="preserve"> Cross-references for "as one": Luke 23:1-2; Luke 23:5.</w:t>
      </w:r>
    </w:p>
  </w:footnote>
  <w:footnote w:id="15890">
    <w:p>
      <w:pPr>
        <w:pStyle w:val="FootnoteText"/>
      </w:pPr>
      <w:r>
        <w:rPr>
          <w:rStyle w:val="FootnoteReference"/>
        </w:rPr>
        <w:footnoteRef/>
      </w:r>
      <w:r>
        <w:t xml:space="preserve"> Cross-references for "nothing": Luke 23:15.</w:t>
      </w:r>
    </w:p>
  </w:footnote>
  <w:footnote w:id="15891">
    <w:p>
      <w:pPr>
        <w:pStyle w:val="FootnoteText"/>
      </w:pPr>
      <w:r>
        <w:rPr>
          <w:rStyle w:val="FootnoteReference"/>
        </w:rPr>
        <w:footnoteRef/>
      </w:r>
      <w:r>
        <w:t xml:space="preserve"> Cross-references for "Away": John 19:15; Acts 21:36.</w:t>
      </w:r>
    </w:p>
  </w:footnote>
  <w:footnote w:id="15892">
    <w:p>
      <w:pPr>
        <w:pStyle w:val="FootnoteText"/>
      </w:pPr>
      <w:r>
        <w:rPr>
          <w:rStyle w:val="FootnoteReference"/>
        </w:rPr>
        <w:footnoteRef/>
      </w:r>
      <w:r>
        <w:t xml:space="preserve"> Cross-references for "Pilate": Matt 27:26; Mark 15:15.</w:t>
      </w:r>
    </w:p>
  </w:footnote>
  <w:footnote w:id="15893">
    <w:p>
      <w:pPr>
        <w:pStyle w:val="FootnoteText"/>
      </w:pPr>
      <w:r>
        <w:rPr>
          <w:rStyle w:val="FootnoteReference"/>
        </w:rPr>
        <w:footnoteRef/>
      </w:r>
      <w:r>
        <w:t xml:space="preserve"> Cross-references for "they laid": Matt 27:32-44; Mark 15:21-32.</w:t>
      </w:r>
    </w:p>
  </w:footnote>
  <w:footnote w:id="15894">
    <w:p>
      <w:pPr>
        <w:pStyle w:val="FootnoteText"/>
      </w:pPr>
      <w:r>
        <w:rPr>
          <w:rStyle w:val="FootnoteReference"/>
        </w:rPr>
        <w:footnoteRef/>
      </w:r>
      <w:r>
        <w:t xml:space="preserve"> Cross-references for "and of": Matt 27:55; Mark 15:40.</w:t>
      </w:r>
    </w:p>
  </w:footnote>
  <w:footnote w:id="15895">
    <w:p>
      <w:pPr>
        <w:pStyle w:val="FootnoteText"/>
      </w:pPr>
      <w:r>
        <w:rPr>
          <w:rStyle w:val="FootnoteReference"/>
        </w:rPr>
        <w:footnoteRef/>
      </w:r>
      <w:r>
        <w:t xml:space="preserve"> Cross-references for "the days": Matt 24:19; Mark 13:17-19.</w:t>
      </w:r>
    </w:p>
  </w:footnote>
  <w:footnote w:id="15896">
    <w:p>
      <w:pPr>
        <w:pStyle w:val="FootnoteText"/>
      </w:pPr>
      <w:r>
        <w:rPr>
          <w:rStyle w:val="FootnoteReference"/>
        </w:rPr>
        <w:footnoteRef/>
      </w:r>
      <w:r>
        <w:t xml:space="preserve"> Cross-references for "they crucified": Deut 21:23; Ps 22:16.</w:t>
      </w:r>
    </w:p>
  </w:footnote>
  <w:footnote w:id="15897">
    <w:p>
      <w:pPr>
        <w:pStyle w:val="FootnoteText"/>
      </w:pPr>
      <w:r>
        <w:rPr>
          <w:rStyle w:val="FootnoteReference"/>
        </w:rPr>
        <w:footnoteRef/>
      </w:r>
      <w:r>
        <w:t xml:space="preserve"> Cross-references for "Father": Gen 50:17; Ps 106:16-23.</w:t>
      </w:r>
    </w:p>
  </w:footnote>
  <w:footnote w:id="15898">
    <w:p>
      <w:pPr>
        <w:pStyle w:val="FootnoteText"/>
      </w:pPr>
      <w:r>
        <w:rPr>
          <w:rStyle w:val="FootnoteReference"/>
        </w:rPr>
        <w:footnoteRef/>
      </w:r>
      <w:r>
        <w:t xml:space="preserve"> Cross-references for "derided": Gen 37:19-20; Ps 4:2.</w:t>
      </w:r>
    </w:p>
  </w:footnote>
  <w:footnote w:id="15899">
    <w:p>
      <w:pPr>
        <w:pStyle w:val="FootnoteText"/>
      </w:pPr>
      <w:r>
        <w:rPr>
          <w:rStyle w:val="FootnoteReference"/>
        </w:rPr>
        <w:footnoteRef/>
      </w:r>
      <w:r>
        <w:t xml:space="preserve"> Personal name: Hebrew. Personal-name meaning: Hebrew — from Eber; one from beyond. Source form: Hebrew.</w:t>
      </w:r>
    </w:p>
  </w:footnote>
  <w:footnote w:id="15900">
    <w:p>
      <w:pPr>
        <w:pStyle w:val="FootnoteText"/>
      </w:pPr>
      <w:r>
        <w:rPr>
          <w:rStyle w:val="FootnoteReference"/>
        </w:rPr>
        <w:footnoteRef/>
      </w:r>
      <w:r>
        <w:t xml:space="preserve"> Cross-references for "rebuked": Lev 19:17; Eph 5:11.</w:t>
      </w:r>
    </w:p>
  </w:footnote>
  <w:footnote w:id="15901">
    <w:p>
      <w:pPr>
        <w:pStyle w:val="FootnoteText"/>
      </w:pPr>
      <w:r>
        <w:rPr>
          <w:rStyle w:val="FootnoteReference"/>
        </w:rPr>
        <w:footnoteRef/>
      </w:r>
      <w:r>
        <w:t xml:space="preserve"> Cross-references for "we indeed": Lev 26:40-41; Josh 7:19-20.</w:t>
      </w:r>
    </w:p>
  </w:footnote>
  <w:footnote w:id="15902">
    <w:p>
      <w:pPr>
        <w:pStyle w:val="FootnoteText"/>
      </w:pPr>
      <w:r>
        <w:rPr>
          <w:rStyle w:val="FootnoteReference"/>
        </w:rPr>
        <w:footnoteRef/>
      </w:r>
      <w:r>
        <w:t xml:space="preserve"> Cross-references for "Lord": Luke 18:13.</w:t>
      </w:r>
    </w:p>
  </w:footnote>
  <w:footnote w:id="15903">
    <w:p>
      <w:pPr>
        <w:pStyle w:val="FootnoteText"/>
      </w:pPr>
      <w:r>
        <w:rPr>
          <w:rStyle w:val="FootnoteReference"/>
        </w:rPr>
        <w:footnoteRef/>
      </w:r>
      <w:r>
        <w:t xml:space="preserve"> Cross-references for "and the veil": Exod 26:31; Lev 16:12-16.</w:t>
      </w:r>
    </w:p>
  </w:footnote>
  <w:footnote w:id="15904">
    <w:p>
      <w:pPr>
        <w:pStyle w:val="FootnoteText"/>
      </w:pPr>
      <w:r>
        <w:rPr>
          <w:rStyle w:val="FootnoteReference"/>
        </w:rPr>
        <w:footnoteRef/>
      </w:r>
      <w:r>
        <w:t xml:space="preserve"> Cross-references for "cried": Matt 27:46-49; Mark 15:34-36.</w:t>
      </w:r>
    </w:p>
  </w:footnote>
  <w:footnote w:id="15905">
    <w:p>
      <w:pPr>
        <w:pStyle w:val="FootnoteText"/>
      </w:pPr>
      <w:r>
        <w:rPr>
          <w:rStyle w:val="FootnoteReference"/>
        </w:rPr>
        <w:footnoteRef/>
      </w:r>
      <w:r>
        <w:t xml:space="preserve"> Cross-references for "acquaintance": Job 19:13; Ps 38:11.</w:t>
      </w:r>
    </w:p>
  </w:footnote>
  <w:footnote w:id="15906">
    <w:p>
      <w:pPr>
        <w:pStyle w:val="FootnoteText"/>
      </w:pPr>
      <w:r>
        <w:rPr>
          <w:rStyle w:val="FootnoteReference"/>
        </w:rPr>
        <w:footnoteRef/>
      </w:r>
      <w:r>
        <w:t xml:space="preserve"> Cross-references for "a good": Luke 2:25; Acts 10:2.</w:t>
      </w:r>
    </w:p>
  </w:footnote>
  <w:footnote w:id="15907">
    <w:p>
      <w:pPr>
        <w:pStyle w:val="FootnoteText"/>
      </w:pPr>
      <w:r>
        <w:rPr>
          <w:rStyle w:val="FootnoteReference"/>
        </w:rPr>
        <w:footnoteRef/>
      </w:r>
      <w:r>
        <w:t xml:space="preserve"> Cross-references for "had not": Gen 37:21-22; Gen 42:21-22.</w:t>
      </w:r>
    </w:p>
  </w:footnote>
  <w:footnote w:id="15908">
    <w:p>
      <w:pPr>
        <w:pStyle w:val="FootnoteText"/>
      </w:pPr>
      <w:r>
        <w:rPr>
          <w:rStyle w:val="FootnoteReference"/>
        </w:rPr>
        <w:footnoteRef/>
      </w:r>
      <w:r>
        <w:t xml:space="preserve"> Cross-references for "prepared": 2Chr 16:14; Mark 16:1.</w:t>
      </w:r>
    </w:p>
  </w:footnote>
  <w:footnote w:id="15909">
    <w:p>
      <w:pPr>
        <w:pStyle w:val="FootnoteText"/>
      </w:pPr>
      <w:r>
        <w:rPr>
          <w:rStyle w:val="FootnoteReference"/>
        </w:rPr>
        <w:footnoteRef/>
      </w:r>
      <w:r>
        <w:t xml:space="preserve"> Cross-references for "upon": Matt 28:1; Mark 16:1-2.</w:t>
      </w:r>
    </w:p>
  </w:footnote>
  <w:footnote w:id="15910">
    <w:p>
      <w:pPr>
        <w:pStyle w:val="FootnoteText"/>
      </w:pPr>
      <w:r>
        <w:rPr>
          <w:rStyle w:val="FootnoteReference"/>
        </w:rPr>
        <w:footnoteRef/>
      </w:r>
      <w:r>
        <w:t xml:space="preserve"> Cross-references for "two men": Gen 18:2; Matt 28:2-6.</w:t>
      </w:r>
    </w:p>
  </w:footnote>
  <w:footnote w:id="15911">
    <w:p>
      <w:pPr>
        <w:pStyle w:val="FootnoteText"/>
      </w:pPr>
      <w:r>
        <w:rPr>
          <w:rStyle w:val="FootnoteReference"/>
        </w:rPr>
        <w:footnoteRef/>
      </w:r>
      <w:r>
        <w:t xml:space="preserve"> Cross-references for "the living": Heb 7:8; Rev 1:18.</w:t>
      </w:r>
    </w:p>
  </w:footnote>
  <w:footnote w:id="15912">
    <w:p>
      <w:pPr>
        <w:pStyle w:val="FootnoteText"/>
      </w:pPr>
      <w:r>
        <w:rPr>
          <w:rStyle w:val="FootnoteReference"/>
        </w:rPr>
        <w:footnoteRef/>
      </w:r>
      <w:r>
        <w:t xml:space="preserve"> Cross-references for "remember": Matt 12:40; Matt 16:21.</w:t>
      </w:r>
    </w:p>
  </w:footnote>
  <w:footnote w:id="15913">
    <w:p>
      <w:pPr>
        <w:pStyle w:val="FootnoteText"/>
      </w:pPr>
      <w:r>
        <w:rPr>
          <w:rStyle w:val="FootnoteReference"/>
        </w:rPr>
        <w:footnoteRef/>
      </w:r>
      <w:r>
        <w:t xml:space="preserve"> Cross-references for "idle": Gen 19:14; 2Kgs 7:2.</w:t>
      </w:r>
    </w:p>
  </w:footnote>
  <w:footnote w:id="15914">
    <w:p>
      <w:pPr>
        <w:pStyle w:val="FootnoteText"/>
      </w:pPr>
      <w:r>
        <w:rPr>
          <w:rStyle w:val="FootnoteReference"/>
        </w:rPr>
        <w:footnoteRef/>
      </w:r>
      <w:r>
        <w:t xml:space="preserve"> Place name: Emmaus. Place-name meaning: Emmaus — people despised or obscure. Source form: Emmaus. Greek form: εμμαους.</w:t>
      </w:r>
    </w:p>
  </w:footnote>
  <w:footnote w:id="15915">
    <w:p>
      <w:pPr>
        <w:pStyle w:val="FootnoteText"/>
      </w:pPr>
      <w:r>
        <w:rPr>
          <w:rStyle w:val="FootnoteReference"/>
        </w:rPr>
        <w:footnoteRef/>
      </w:r>
      <w:r>
        <w:t xml:space="preserve"> Cross-references for "Jesus": Matt 18:20; Luke 24:36.</w:t>
      </w:r>
    </w:p>
  </w:footnote>
  <w:footnote w:id="15916">
    <w:p>
      <w:pPr>
        <w:pStyle w:val="FootnoteText"/>
      </w:pPr>
      <w:r>
        <w:rPr>
          <w:rStyle w:val="FootnoteReference"/>
        </w:rPr>
        <w:footnoteRef/>
      </w:r>
      <w:r>
        <w:t xml:space="preserve"> Cross-references for "and are": Ezek 9:4-6; John 16:6.</w:t>
      </w:r>
    </w:p>
  </w:footnote>
  <w:footnote w:id="15917">
    <w:p>
      <w:pPr>
        <w:pStyle w:val="FootnoteText"/>
      </w:pPr>
      <w:r>
        <w:rPr>
          <w:rStyle w:val="FootnoteReference"/>
        </w:rPr>
        <w:footnoteRef/>
      </w:r>
      <w:r>
        <w:t xml:space="preserve"> Name meaning: Cleopas (Kleopas) — Glory of the father. Disciple on the Emmaus road.</w:t>
      </w:r>
    </w:p>
  </w:footnote>
  <w:footnote w:id="15918">
    <w:p>
      <w:pPr>
        <w:pStyle w:val="FootnoteText"/>
      </w:pPr>
      <w:r>
        <w:rPr>
          <w:rStyle w:val="FootnoteReference"/>
        </w:rPr>
        <w:footnoteRef/>
      </w:r>
      <w:r>
        <w:t xml:space="preserve"> Cross-references for "Cleopas": John 19:25.</w:t>
      </w:r>
    </w:p>
  </w:footnote>
  <w:footnote w:id="15919">
    <w:p>
      <w:pPr>
        <w:pStyle w:val="FootnoteText"/>
      </w:pPr>
      <w:r>
        <w:rPr>
          <w:rStyle w:val="FootnoteReference"/>
        </w:rPr>
        <w:footnoteRef/>
      </w:r>
      <w:r>
        <w:t xml:space="preserve"> Cross-references for "Concerning": Matt 21:11; Luke 7:16.</w:t>
      </w:r>
    </w:p>
  </w:footnote>
  <w:footnote w:id="15920">
    <w:p>
      <w:pPr>
        <w:pStyle w:val="FootnoteText"/>
      </w:pPr>
      <w:r>
        <w:rPr>
          <w:rStyle w:val="FootnoteReference"/>
        </w:rPr>
        <w:footnoteRef/>
      </w:r>
      <w:r>
        <w:t xml:space="preserve"> Cross-references for "went": Luke 24:12; John 20:1-10.</w:t>
      </w:r>
    </w:p>
  </w:footnote>
  <w:footnote w:id="15921">
    <w:p>
      <w:pPr>
        <w:pStyle w:val="FootnoteText"/>
      </w:pPr>
      <w:r>
        <w:rPr>
          <w:rStyle w:val="FootnoteReference"/>
        </w:rPr>
        <w:footnoteRef/>
      </w:r>
      <w:r>
        <w:t xml:space="preserve"> Cross-references for "beginning": Luke 24:44.</w:t>
      </w:r>
    </w:p>
  </w:footnote>
  <w:footnote w:id="15922">
    <w:p>
      <w:pPr>
        <w:pStyle w:val="FootnoteText"/>
      </w:pPr>
      <w:r>
        <w:rPr>
          <w:rStyle w:val="FootnoteReference"/>
        </w:rPr>
        <w:footnoteRef/>
      </w:r>
      <w:r>
        <w:t xml:space="preserve"> Cross-references for "he took": Matt 14:19; Matt 15:36.</w:t>
      </w:r>
    </w:p>
  </w:footnote>
  <w:footnote w:id="15923">
    <w:p>
      <w:pPr>
        <w:pStyle w:val="FootnoteText"/>
      </w:pPr>
      <w:r>
        <w:rPr>
          <w:rStyle w:val="FootnoteReference"/>
        </w:rPr>
        <w:footnoteRef/>
      </w:r>
      <w:r>
        <w:t xml:space="preserve"> Cross-references for "their eyes": Luke 24:16; John 20:13-16.</w:t>
      </w:r>
    </w:p>
  </w:footnote>
  <w:footnote w:id="15924">
    <w:p>
      <w:pPr>
        <w:pStyle w:val="FootnoteText"/>
      </w:pPr>
      <w:r>
        <w:rPr>
          <w:rStyle w:val="FootnoteReference"/>
        </w:rPr>
        <w:footnoteRef/>
      </w:r>
      <w:r>
        <w:t xml:space="preserve"> Cross-references for "opened": Luke 24:45; Acts 17:2-3.</w:t>
      </w:r>
    </w:p>
  </w:footnote>
  <w:footnote w:id="15925">
    <w:p>
      <w:pPr>
        <w:pStyle w:val="FootnoteText"/>
      </w:pPr>
      <w:r>
        <w:rPr>
          <w:rStyle w:val="FootnoteReference"/>
        </w:rPr>
        <w:footnoteRef/>
      </w:r>
      <w:r>
        <w:t xml:space="preserve"> Cross-references for "and found": John 20:19-26.</w:t>
      </w:r>
    </w:p>
  </w:footnote>
  <w:footnote w:id="15926">
    <w:p>
      <w:pPr>
        <w:pStyle w:val="FootnoteText"/>
      </w:pPr>
      <w:r>
        <w:rPr>
          <w:rStyle w:val="FootnoteReference"/>
        </w:rPr>
        <w:footnoteRef/>
      </w:r>
      <w:r>
        <w:t xml:space="preserve"> Cross-references for "Saying": Mark 16:13.</w:t>
      </w:r>
    </w:p>
  </w:footnote>
  <w:footnote w:id="15927">
    <w:p>
      <w:pPr>
        <w:pStyle w:val="FootnoteText"/>
      </w:pPr>
      <w:r>
        <w:rPr>
          <w:rStyle w:val="FootnoteReference"/>
        </w:rPr>
        <w:footnoteRef/>
      </w:r>
      <w:r>
        <w:t xml:space="preserve"> Cross-references for "Jesus": Mark 16:14; John 20:19-23.</w:t>
      </w:r>
    </w:p>
  </w:footnote>
  <w:footnote w:id="15928">
    <w:p>
      <w:pPr>
        <w:pStyle w:val="FootnoteText"/>
      </w:pPr>
      <w:r>
        <w:rPr>
          <w:rStyle w:val="FootnoteReference"/>
        </w:rPr>
        <w:footnoteRef/>
      </w:r>
      <w:r>
        <w:t xml:space="preserve"> Cross-references for "and why": Jer 4:14; Dan 4:5.</w:t>
      </w:r>
    </w:p>
  </w:footnote>
  <w:footnote w:id="15929">
    <w:p>
      <w:pPr>
        <w:pStyle w:val="FootnoteText"/>
      </w:pPr>
      <w:r>
        <w:rPr>
          <w:rStyle w:val="FootnoteReference"/>
        </w:rPr>
        <w:footnoteRef/>
      </w:r>
      <w:r>
        <w:t xml:space="preserve"> Cross-references for "my hands": John 20:20; John 20:25.</w:t>
      </w:r>
    </w:p>
  </w:footnote>
  <w:footnote w:id="15930">
    <w:p>
      <w:pPr>
        <w:pStyle w:val="FootnoteText"/>
      </w:pPr>
      <w:r>
        <w:rPr>
          <w:rStyle w:val="FootnoteReference"/>
        </w:rPr>
        <w:footnoteRef/>
      </w:r>
      <w:r>
        <w:t xml:space="preserve"> Cross-references for "that all": Matt 26:54; Matt 26:56.</w:t>
      </w:r>
    </w:p>
  </w:footnote>
  <w:footnote w:id="15931">
    <w:p>
      <w:pPr>
        <w:pStyle w:val="FootnoteText"/>
      </w:pPr>
      <w:r>
        <w:rPr>
          <w:rStyle w:val="FootnoteReference"/>
        </w:rPr>
        <w:footnoteRef/>
      </w:r>
      <w:r>
        <w:t xml:space="preserve"> Cross-references for "among": Gen 12:3; Ps 22:27.</w:t>
      </w:r>
    </w:p>
  </w:footnote>
  <w:footnote w:id="15932">
    <w:p>
      <w:pPr>
        <w:pStyle w:val="FootnoteText"/>
      </w:pPr>
      <w:r>
        <w:rPr>
          <w:rStyle w:val="FootnoteReference"/>
        </w:rPr>
        <w:footnoteRef/>
      </w:r>
      <w:r>
        <w:t xml:space="preserve"> Cross-references for "I send": Isa 44:3-4; Isa 59:20-21.</w:t>
      </w:r>
    </w:p>
  </w:footnote>
  <w:footnote w:id="15933">
    <w:p>
      <w:pPr>
        <w:pStyle w:val="FootnoteText"/>
      </w:pPr>
      <w:r>
        <w:rPr>
          <w:rStyle w:val="FootnoteReference"/>
        </w:rPr>
        <w:footnoteRef/>
      </w:r>
      <w:r>
        <w:t xml:space="preserve"> Cross-references for "as far": Mark 11:1; Acts 1:12.</w:t>
      </w:r>
    </w:p>
  </w:footnote>
  <w:footnote w:id="15934">
    <w:p>
      <w:pPr>
        <w:pStyle w:val="FootnoteText"/>
      </w:pPr>
      <w:r>
        <w:rPr>
          <w:rStyle w:val="FootnoteReference"/>
        </w:rPr>
        <w:footnoteRef/>
      </w:r>
      <w:r>
        <w:t xml:space="preserve"> Cross-references for "Amen": Matt 28:20; Mark 16:20.</w:t>
      </w:r>
    </w:p>
  </w:footnote>
  <w:footnote w:id="15935">
    <w:p>
      <w:pPr>
        <w:pStyle w:val="FootnoteText"/>
      </w:pPr>
      <w:r>
        <w:rPr>
          <w:rStyle w:val="FootnoteReference"/>
        </w:rPr>
        <w:footnoteRef/>
      </w:r>
      <w:r>
        <w:t xml:space="preserve"> Translation note: Greek en arche opens the sentence. The draft keeps the familiar beginning-language while avoiding a narrower point-location sense.</w:t>
      </w:r>
    </w:p>
  </w:footnote>
  <w:footnote w:id="15936">
    <w:p>
      <w:pPr>
        <w:pStyle w:val="FootnoteText"/>
      </w:pPr>
      <w:r>
        <w:rPr>
          <w:rStyle w:val="FootnoteReference"/>
        </w:rPr>
        <w:footnoteRef/>
      </w:r>
      <w:r>
        <w:t xml:space="preserve"> Greek divine name/title: Logos (λόγος) — Word. Common English rendering: Word. A uniquely Johannine title for the Son, presenting Him as the eternal self-expression of God.</w:t>
      </w:r>
    </w:p>
  </w:footnote>
  <w:footnote w:id="15937">
    <w:p>
      <w:pPr>
        <w:pStyle w:val="FootnoteText"/>
      </w:pPr>
      <w:r>
        <w:rPr>
          <w:rStyle w:val="FootnoteReference"/>
        </w:rPr>
        <w:footnoteRef/>
      </w:r>
      <w:r>
        <w:t xml:space="preserve"> Cross-references for "the beginning": Gen 1:1; Prov 8:22-31.</w:t>
      </w:r>
    </w:p>
  </w:footnote>
  <w:footnote w:id="15938">
    <w:p>
      <w:pPr>
        <w:pStyle w:val="FootnoteText"/>
      </w:pPr>
      <w:r>
        <w:rPr>
          <w:rStyle w:val="FootnoteReference"/>
        </w:rPr>
        <w:footnoteRef/>
      </w:r>
      <w:r>
        <w:t xml:space="preserve"> Cross-references for "the life": Ps 49:6; Ps 60:1-3.</w:t>
      </w:r>
    </w:p>
  </w:footnote>
  <w:footnote w:id="15939">
    <w:p>
      <w:pPr>
        <w:pStyle w:val="FootnoteText"/>
      </w:pPr>
      <w:r>
        <w:rPr>
          <w:rStyle w:val="FootnoteReference"/>
        </w:rPr>
        <w:footnoteRef/>
      </w:r>
      <w:r>
        <w:t xml:space="preserve"> Cross-references for "a man": Isa 40:3-5; Mal 3:1.</w:t>
      </w:r>
    </w:p>
  </w:footnote>
  <w:footnote w:id="15940">
    <w:p>
      <w:pPr>
        <w:pStyle w:val="FootnoteText"/>
      </w:pPr>
      <w:r>
        <w:rPr>
          <w:rStyle w:val="FootnoteReference"/>
        </w:rPr>
        <w:footnoteRef/>
      </w:r>
      <w:r>
        <w:t xml:space="preserve"> Cross-references for "a witness": John 1:19; John 1:26-27.</w:t>
      </w:r>
    </w:p>
  </w:footnote>
  <w:footnote w:id="15941">
    <w:p>
      <w:pPr>
        <w:pStyle w:val="FootnoteText"/>
      </w:pPr>
      <w:r>
        <w:rPr>
          <w:rStyle w:val="FootnoteReference"/>
        </w:rPr>
        <w:footnoteRef/>
      </w:r>
      <w:r>
        <w:t xml:space="preserve"> Cross-references for "that Light": John 1:20; John 3:28.</w:t>
      </w:r>
    </w:p>
  </w:footnote>
  <w:footnote w:id="15942">
    <w:p>
      <w:pPr>
        <w:pStyle w:val="FootnoteText"/>
      </w:pPr>
      <w:r>
        <w:rPr>
          <w:rStyle w:val="FootnoteReference"/>
        </w:rPr>
        <w:footnoteRef/>
      </w:r>
      <w:r>
        <w:t xml:space="preserve"> Cross-references for "the true": Isa 49:6; Matt 6:23.</w:t>
      </w:r>
    </w:p>
  </w:footnote>
  <w:footnote w:id="15943">
    <w:p>
      <w:pPr>
        <w:pStyle w:val="FootnoteText"/>
      </w:pPr>
      <w:r>
        <w:rPr>
          <w:rStyle w:val="FootnoteReference"/>
        </w:rPr>
        <w:footnoteRef/>
      </w:r>
      <w:r>
        <w:t xml:space="preserve"> Cross-references for "was in": Gen 11:6-9; Gen 16:13.</w:t>
      </w:r>
    </w:p>
  </w:footnote>
  <w:footnote w:id="15944">
    <w:p>
      <w:pPr>
        <w:pStyle w:val="FootnoteText"/>
      </w:pPr>
      <w:r>
        <w:rPr>
          <w:rStyle w:val="FootnoteReference"/>
        </w:rPr>
        <w:footnoteRef/>
      </w:r>
      <w:r>
        <w:t xml:space="preserve"> Cross-references for "received": Matt 10:40; Matt 18:5.</w:t>
      </w:r>
    </w:p>
  </w:footnote>
  <w:footnote w:id="15945">
    <w:p>
      <w:pPr>
        <w:pStyle w:val="FootnoteText"/>
      </w:pPr>
      <w:r>
        <w:rPr>
          <w:rStyle w:val="FootnoteReference"/>
        </w:rPr>
        <w:footnoteRef/>
      </w:r>
      <w:r>
        <w:t xml:space="preserve"> Cross-references for "nor of the will of the": Gen 25:22; Gen 25:28.</w:t>
      </w:r>
    </w:p>
  </w:footnote>
  <w:footnote w:id="15946">
    <w:p>
      <w:pPr>
        <w:pStyle w:val="FootnoteText"/>
      </w:pPr>
      <w:r>
        <w:rPr>
          <w:rStyle w:val="FootnoteReference"/>
        </w:rPr>
        <w:footnoteRef/>
      </w:r>
      <w:r>
        <w:t xml:space="preserve"> Cross-references for "the Word": Isa 7:14; Matt 1:16.</w:t>
      </w:r>
    </w:p>
  </w:footnote>
  <w:footnote w:id="15947">
    <w:p>
      <w:pPr>
        <w:pStyle w:val="FootnoteText"/>
      </w:pPr>
      <w:r>
        <w:rPr>
          <w:rStyle w:val="FootnoteReference"/>
        </w:rPr>
        <w:footnoteRef/>
      </w:r>
      <w:r>
        <w:t xml:space="preserve"> Translation note: Greek egeneto means became or came to be. The draft uses became flesh rather than was made flesh to keep the incarnation wording close to the verb.</w:t>
      </w:r>
    </w:p>
  </w:footnote>
  <w:footnote w:id="15948">
    <w:p>
      <w:pPr>
        <w:pStyle w:val="FootnoteText"/>
      </w:pPr>
      <w:r>
        <w:rPr>
          <w:rStyle w:val="FootnoteReference"/>
        </w:rPr>
        <w:footnoteRef/>
      </w:r>
      <w:r>
        <w:t xml:space="preserve"> Translation note: Greek eskenosen is related to tenting or tabernacling. The draft keeps that dwelling imagery visible instead of smoothing only to dwelt.</w:t>
      </w:r>
    </w:p>
  </w:footnote>
  <w:footnote w:id="15949">
    <w:p>
      <w:pPr>
        <w:pStyle w:val="FootnoteText"/>
      </w:pPr>
      <w:r>
        <w:rPr>
          <w:rStyle w:val="FootnoteReference"/>
        </w:rPr>
        <w:footnoteRef/>
      </w:r>
      <w:r>
        <w:t xml:space="preserve"> Cross-references for "of his": Matt 3:11; Matt 3:14.</w:t>
      </w:r>
    </w:p>
  </w:footnote>
  <w:footnote w:id="15950">
    <w:p>
      <w:pPr>
        <w:pStyle w:val="FootnoteText"/>
      </w:pPr>
      <w:r>
        <w:rPr>
          <w:rStyle w:val="FootnoteReference"/>
        </w:rPr>
        <w:footnoteRef/>
      </w:r>
      <w:r>
        <w:t xml:space="preserve"> Cross-references for "the law": Exod 20:1-17; Deut 4:44.</w:t>
      </w:r>
    </w:p>
  </w:footnote>
  <w:footnote w:id="15951">
    <w:p>
      <w:pPr>
        <w:pStyle w:val="FootnoteText"/>
      </w:pPr>
      <w:r>
        <w:rPr>
          <w:rStyle w:val="FootnoteReference"/>
        </w:rPr>
        <w:footnoteRef/>
      </w:r>
      <w:r>
        <w:t xml:space="preserve"> Cross-references for "seen": Exod 33:20; Deut 4:12.</w:t>
      </w:r>
    </w:p>
  </w:footnote>
  <w:footnote w:id="15952">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15953">
    <w:p>
      <w:pPr>
        <w:pStyle w:val="FootnoteText"/>
      </w:pPr>
      <w:r>
        <w:rPr>
          <w:rStyle w:val="FootnoteReference"/>
        </w:rPr>
        <w:footnoteRef/>
      </w:r>
      <w:r>
        <w:t xml:space="preserve"> People-name: Levites. People-name meaning: Levites — people of Levi; joined/attached. Source form: Levites.</w:t>
      </w:r>
    </w:p>
  </w:footnote>
  <w:footnote w:id="15954">
    <w:p>
      <w:pPr>
        <w:pStyle w:val="FootnoteText"/>
      </w:pPr>
      <w:r>
        <w:rPr>
          <w:rStyle w:val="FootnoteReference"/>
        </w:rPr>
        <w:footnoteRef/>
      </w:r>
      <w:r>
        <w:t xml:space="preserve"> Cross-references for "were of": Matt 23:13-15; Matt 23:26.</w:t>
      </w:r>
    </w:p>
  </w:footnote>
  <w:footnote w:id="15955">
    <w:p>
      <w:pPr>
        <w:pStyle w:val="FootnoteText"/>
      </w:pPr>
      <w:r>
        <w:rPr>
          <w:rStyle w:val="FootnoteReference"/>
        </w:rPr>
        <w:footnoteRef/>
      </w:r>
      <w:r>
        <w:t xml:space="preserve"> Transliterated proper noun: Bethabara. Standard English equivalent: Bethabara. Source form: Bethabara. Greek form: βηθαβαρα. Name meaning: the house of confidence.</w:t>
      </w:r>
    </w:p>
  </w:footnote>
  <w:footnote w:id="15956">
    <w:p>
      <w:pPr>
        <w:pStyle w:val="FootnoteText"/>
      </w:pPr>
      <w:r>
        <w:rPr>
          <w:rStyle w:val="FootnoteReference"/>
        </w:rPr>
        <w:footnoteRef/>
      </w:r>
      <w:r>
        <w:t xml:space="preserve"> Cross-references for "Bethabara": Judg 7:24; John 10:40.</w:t>
      </w:r>
    </w:p>
  </w:footnote>
  <w:footnote w:id="15957">
    <w:p>
      <w:pPr>
        <w:pStyle w:val="FootnoteText"/>
      </w:pPr>
      <w:r>
        <w:rPr>
          <w:rStyle w:val="FootnoteReference"/>
        </w:rPr>
        <w:footnoteRef/>
      </w:r>
      <w:r>
        <w:t xml:space="preserve"> Cross-references for "therefore": Matt 3:6; Mark 1:3-5.</w:t>
      </w:r>
    </w:p>
  </w:footnote>
  <w:footnote w:id="15958">
    <w:p>
      <w:pPr>
        <w:pStyle w:val="FootnoteText"/>
      </w:pPr>
      <w:r>
        <w:rPr>
          <w:rStyle w:val="FootnoteReference"/>
        </w:rPr>
        <w:footnoteRef/>
      </w:r>
      <w:r>
        <w:t xml:space="preserve"> Cross-references for "I saw": Matt 3:16; Mark 1:10.</w:t>
      </w:r>
    </w:p>
  </w:footnote>
  <w:footnote w:id="15959">
    <w:p>
      <w:pPr>
        <w:pStyle w:val="FootnoteText"/>
      </w:pPr>
      <w:r>
        <w:rPr>
          <w:rStyle w:val="FootnoteReference"/>
        </w:rPr>
        <w:footnoteRef/>
      </w:r>
      <w:r>
        <w:t xml:space="preserve"> Cross-references for "and two": Mal 3:16; John 3:25-26.</w:t>
      </w:r>
    </w:p>
  </w:footnote>
  <w:footnote w:id="15960">
    <w:p>
      <w:pPr>
        <w:pStyle w:val="FootnoteText"/>
      </w:pPr>
      <w:r>
        <w:rPr>
          <w:rStyle w:val="FootnoteReference"/>
        </w:rPr>
        <w:footnoteRef/>
      </w:r>
      <w:r>
        <w:t xml:space="preserve"> Cross-references for "turned": Luke 14:25; Luke 15:20.</w:t>
      </w:r>
    </w:p>
  </w:footnote>
  <w:footnote w:id="15961">
    <w:p>
      <w:pPr>
        <w:pStyle w:val="FootnoteText"/>
      </w:pPr>
      <w:r>
        <w:rPr>
          <w:rStyle w:val="FootnoteReference"/>
        </w:rPr>
        <w:footnoteRef/>
      </w:r>
      <w:r>
        <w:t xml:space="preserve"> Cross-references for "Andrew": Matt 4:18; Matt 10:2.</w:t>
      </w:r>
    </w:p>
  </w:footnote>
  <w:footnote w:id="15962">
    <w:p>
      <w:pPr>
        <w:pStyle w:val="FootnoteText"/>
      </w:pPr>
      <w:r>
        <w:rPr>
          <w:rStyle w:val="FootnoteReference"/>
        </w:rPr>
        <w:footnoteRef/>
      </w:r>
      <w:r>
        <w:t xml:space="preserve"> Cross-references for "first": 2Kgs 7:9; Isa 2:3-5.</w:t>
      </w:r>
    </w:p>
  </w:footnote>
  <w:footnote w:id="15963">
    <w:p>
      <w:pPr>
        <w:pStyle w:val="FootnoteText"/>
      </w:pPr>
      <w:r>
        <w:rPr>
          <w:rStyle w:val="FootnoteReference"/>
        </w:rPr>
        <w:footnoteRef/>
      </w:r>
      <w:r>
        <w:t xml:space="preserve"> Divine or supernatural name: Messiah. Divine/supernatural-name meaning: Messiah — anointed. Source form: Messiah.</w:t>
      </w:r>
    </w:p>
  </w:footnote>
  <w:footnote w:id="15964">
    <w:p>
      <w:pPr>
        <w:pStyle w:val="FootnoteText"/>
      </w:pPr>
      <w:r>
        <w:rPr>
          <w:rStyle w:val="FootnoteReference"/>
        </w:rPr>
        <w:footnoteRef/>
      </w:r>
      <w:r>
        <w:t xml:space="preserve"> Cross-references for "the son": Matt 16:17; John 21:15-17.</w:t>
      </w:r>
    </w:p>
  </w:footnote>
  <w:footnote w:id="15965">
    <w:p>
      <w:pPr>
        <w:pStyle w:val="FootnoteText"/>
      </w:pPr>
      <w:r>
        <w:rPr>
          <w:rStyle w:val="FootnoteReference"/>
        </w:rPr>
        <w:footnoteRef/>
      </w:r>
      <w:r>
        <w:t xml:space="preserve"> Personal name: Cephas. Personal-name meaning: Cephas — a rock or stone. Source form: Cephas.</w:t>
      </w:r>
    </w:p>
  </w:footnote>
  <w:footnote w:id="15966">
    <w:p>
      <w:pPr>
        <w:pStyle w:val="FootnoteText"/>
      </w:pPr>
      <w:r>
        <w:rPr>
          <w:rStyle w:val="FootnoteReference"/>
        </w:rPr>
        <w:footnoteRef/>
      </w:r>
      <w:r>
        <w:t xml:space="preserve"> Cross-references for "Philip": Matt 10:3; Mark 3:18.</w:t>
      </w:r>
    </w:p>
  </w:footnote>
  <w:footnote w:id="15967">
    <w:p>
      <w:pPr>
        <w:pStyle w:val="FootnoteText"/>
      </w:pPr>
      <w:r>
        <w:rPr>
          <w:rStyle w:val="FootnoteReference"/>
        </w:rPr>
        <w:footnoteRef/>
      </w:r>
      <w:r>
        <w:t xml:space="preserve"> Personal name: Nathanael. Personal-name meaning: Nathanael — the gift of God. Source form: Nathanael.</w:t>
      </w:r>
    </w:p>
  </w:footnote>
  <w:footnote w:id="15968">
    <w:p>
      <w:pPr>
        <w:pStyle w:val="FootnoteText"/>
      </w:pPr>
      <w:r>
        <w:rPr>
          <w:rStyle w:val="FootnoteReference"/>
        </w:rPr>
        <w:footnoteRef/>
      </w:r>
      <w:r>
        <w:t xml:space="preserve"> Cross-references for "Nathanael": John 21:2.</w:t>
      </w:r>
    </w:p>
  </w:footnote>
  <w:footnote w:id="15969">
    <w:p>
      <w:pPr>
        <w:pStyle w:val="FootnoteText"/>
      </w:pPr>
      <w:r>
        <w:rPr>
          <w:rStyle w:val="FootnoteReference"/>
        </w:rPr>
        <w:footnoteRef/>
      </w:r>
      <w:r>
        <w:t xml:space="preserve"> People-name: Israelite. People-name meaning: Israelite — God contends; strives with God. Source form: Israelite.</w:t>
      </w:r>
    </w:p>
  </w:footnote>
  <w:footnote w:id="15970">
    <w:p>
      <w:pPr>
        <w:pStyle w:val="FootnoteText"/>
      </w:pPr>
      <w:r>
        <w:rPr>
          <w:rStyle w:val="FootnoteReference"/>
        </w:rPr>
        <w:footnoteRef/>
      </w:r>
      <w:r>
        <w:t xml:space="preserve"> Cross-references for "Rabbi": John 1:38.</w:t>
      </w:r>
    </w:p>
  </w:footnote>
  <w:footnote w:id="15971">
    <w:p>
      <w:pPr>
        <w:pStyle w:val="FootnoteText"/>
      </w:pPr>
      <w:r>
        <w:rPr>
          <w:rStyle w:val="FootnoteReference"/>
        </w:rPr>
        <w:footnoteRef/>
      </w:r>
      <w:r>
        <w:t xml:space="preserve"> Cross-references for "Hereafter": Ezek 1:1; Matt 3:16.</w:t>
      </w:r>
    </w:p>
  </w:footnote>
  <w:footnote w:id="15972">
    <w:p>
      <w:pPr>
        <w:pStyle w:val="FootnoteText"/>
      </w:pPr>
      <w:r>
        <w:rPr>
          <w:rStyle w:val="FootnoteReference"/>
        </w:rPr>
        <w:footnoteRef/>
      </w:r>
      <w:r>
        <w:t xml:space="preserve"> Cross-references for "the third": John 1:43.</w:t>
      </w:r>
    </w:p>
  </w:footnote>
  <w:footnote w:id="15973">
    <w:p>
      <w:pPr>
        <w:pStyle w:val="FootnoteText"/>
      </w:pPr>
      <w:r>
        <w:rPr>
          <w:rStyle w:val="FootnoteReference"/>
        </w:rPr>
        <w:footnoteRef/>
      </w:r>
      <w:r>
        <w:t xml:space="preserve"> Place name: Cana. Place-name meaning: Cana — zeal; jealousy; possession. Source form: Cana. Greek form: κανα.</w:t>
      </w:r>
    </w:p>
  </w:footnote>
  <w:footnote w:id="15974">
    <w:p>
      <w:pPr>
        <w:pStyle w:val="FootnoteText"/>
      </w:pPr>
      <w:r>
        <w:rPr>
          <w:rStyle w:val="FootnoteReference"/>
        </w:rPr>
        <w:footnoteRef/>
      </w:r>
      <w:r>
        <w:t xml:space="preserve"> Cross-references for "They have": John 11:3; Phil 4:6.</w:t>
      </w:r>
    </w:p>
  </w:footnote>
  <w:footnote w:id="15975">
    <w:p>
      <w:pPr>
        <w:pStyle w:val="FootnoteText"/>
      </w:pPr>
      <w:r>
        <w:rPr>
          <w:rStyle w:val="FootnoteReference"/>
        </w:rPr>
        <w:footnoteRef/>
      </w:r>
      <w:r>
        <w:t xml:space="preserve"> Cross-references for "Woman": Matt 15:28; John 19:26-27.</w:t>
      </w:r>
    </w:p>
  </w:footnote>
  <w:footnote w:id="15976">
    <w:p>
      <w:pPr>
        <w:pStyle w:val="FootnoteText"/>
      </w:pPr>
      <w:r>
        <w:rPr>
          <w:rStyle w:val="FootnoteReference"/>
        </w:rPr>
        <w:footnoteRef/>
      </w:r>
      <w:r>
        <w:t xml:space="preserve"> Cross-references for "Fill": Num 21:6-9; Josh 6:3-5.</w:t>
      </w:r>
    </w:p>
  </w:footnote>
  <w:footnote w:id="15977">
    <w:p>
      <w:pPr>
        <w:pStyle w:val="FootnoteText"/>
      </w:pPr>
      <w:r>
        <w:rPr>
          <w:rStyle w:val="FootnoteReference"/>
        </w:rPr>
        <w:footnoteRef/>
      </w:r>
      <w:r>
        <w:t xml:space="preserve"> Cross-references for "Draw": Prov 3:5-6; Eccl 9:6.</w:t>
      </w:r>
    </w:p>
  </w:footnote>
  <w:footnote w:id="15978">
    <w:p>
      <w:pPr>
        <w:pStyle w:val="FootnoteText"/>
      </w:pPr>
      <w:r>
        <w:rPr>
          <w:rStyle w:val="FootnoteReference"/>
        </w:rPr>
        <w:footnoteRef/>
      </w:r>
      <w:r>
        <w:t xml:space="preserve"> Cross-references for "the water that": John 4:46.</w:t>
      </w:r>
    </w:p>
  </w:footnote>
  <w:footnote w:id="15979">
    <w:p>
      <w:pPr>
        <w:pStyle w:val="FootnoteText"/>
      </w:pPr>
      <w:r>
        <w:rPr>
          <w:rStyle w:val="FootnoteReference"/>
        </w:rPr>
        <w:footnoteRef/>
      </w:r>
      <w:r>
        <w:t xml:space="preserve"> Cross-references for "and when": Gen 43:34; Song 5:1.</w:t>
      </w:r>
    </w:p>
  </w:footnote>
  <w:footnote w:id="15980">
    <w:p>
      <w:pPr>
        <w:pStyle w:val="FootnoteText"/>
      </w:pPr>
      <w:r>
        <w:rPr>
          <w:rStyle w:val="FootnoteReference"/>
        </w:rPr>
        <w:footnoteRef/>
      </w:r>
      <w:r>
        <w:t xml:space="preserve"> Cross-references for "beginning": John 1:17.</w:t>
      </w:r>
    </w:p>
  </w:footnote>
  <w:footnote w:id="15981">
    <w:p>
      <w:pPr>
        <w:pStyle w:val="FootnoteText"/>
      </w:pPr>
      <w:r>
        <w:rPr>
          <w:rStyle w:val="FootnoteReference"/>
        </w:rPr>
        <w:footnoteRef/>
      </w:r>
      <w:r>
        <w:t xml:space="preserve"> Cross-references for "Capernaum": Matt 4:13; Matt 11:23.</w:t>
      </w:r>
    </w:p>
  </w:footnote>
  <w:footnote w:id="15982">
    <w:p>
      <w:pPr>
        <w:pStyle w:val="FootnoteText"/>
      </w:pPr>
      <w:r>
        <w:rPr>
          <w:rStyle w:val="FootnoteReference"/>
        </w:rPr>
        <w:footnoteRef/>
      </w:r>
      <w:r>
        <w:t xml:space="preserve"> Cross-references for "Passover": Exod 12:6-14; Num 28:16-25.</w:t>
      </w:r>
    </w:p>
  </w:footnote>
  <w:footnote w:id="15983">
    <w:p>
      <w:pPr>
        <w:pStyle w:val="FootnoteText"/>
      </w:pPr>
      <w:r>
        <w:rPr>
          <w:rStyle w:val="FootnoteReference"/>
        </w:rPr>
        <w:footnoteRef/>
      </w:r>
      <w:r>
        <w:t xml:space="preserve"> Cross-references for "he drove": Zech 4:6; John 18:6.</w:t>
      </w:r>
    </w:p>
  </w:footnote>
  <w:footnote w:id="15984">
    <w:p>
      <w:pPr>
        <w:pStyle w:val="FootnoteText"/>
      </w:pPr>
      <w:r>
        <w:rPr>
          <w:rStyle w:val="FootnoteReference"/>
        </w:rPr>
        <w:footnoteRef/>
      </w:r>
      <w:r>
        <w:t xml:space="preserve"> Cross-references for "make": Isa 56:5-11; Jer 7:11.</w:t>
      </w:r>
    </w:p>
  </w:footnote>
  <w:footnote w:id="15985">
    <w:p>
      <w:pPr>
        <w:pStyle w:val="FootnoteText"/>
      </w:pPr>
      <w:r>
        <w:rPr>
          <w:rStyle w:val="FootnoteReference"/>
        </w:rPr>
        <w:footnoteRef/>
      </w:r>
      <w:r>
        <w:t xml:space="preserve"> Cross-references for "The zeal": Ps 69:9; Ps 119:139.</w:t>
      </w:r>
    </w:p>
  </w:footnote>
  <w:footnote w:id="15986">
    <w:p>
      <w:pPr>
        <w:pStyle w:val="FootnoteText"/>
      </w:pPr>
      <w:r>
        <w:rPr>
          <w:rStyle w:val="FootnoteReference"/>
        </w:rPr>
        <w:footnoteRef/>
      </w:r>
      <w:r>
        <w:t xml:space="preserve"> Cross-references for "seeing": Matt 21:23; Mark 11:27-28.</w:t>
      </w:r>
    </w:p>
  </w:footnote>
  <w:footnote w:id="15987">
    <w:p>
      <w:pPr>
        <w:pStyle w:val="FootnoteText"/>
      </w:pPr>
      <w:r>
        <w:rPr>
          <w:rStyle w:val="FootnoteReference"/>
        </w:rPr>
        <w:footnoteRef/>
      </w:r>
      <w:r>
        <w:t xml:space="preserve"> Cross-references for "Destroy": Matt 26:60-61; Matt 27:40.</w:t>
      </w:r>
    </w:p>
  </w:footnote>
  <w:footnote w:id="15988">
    <w:p>
      <w:pPr>
        <w:pStyle w:val="FootnoteText"/>
      </w:pPr>
      <w:r>
        <w:rPr>
          <w:rStyle w:val="FootnoteReference"/>
        </w:rPr>
        <w:footnoteRef/>
      </w:r>
      <w:r>
        <w:t xml:space="preserve"> Cross-references for "temple": 1Cor 3:16; 1Cor 6:19.</w:t>
      </w:r>
    </w:p>
  </w:footnote>
  <w:footnote w:id="15989">
    <w:p>
      <w:pPr>
        <w:pStyle w:val="FootnoteText"/>
      </w:pPr>
      <w:r>
        <w:rPr>
          <w:rStyle w:val="FootnoteReference"/>
        </w:rPr>
        <w:footnoteRef/>
      </w:r>
      <w:r>
        <w:t xml:space="preserve"> Name meaning: Nicodemus (Nikodemos) — Victory of the people. Came to Jesus by night seeking truth.</w:t>
      </w:r>
    </w:p>
  </w:footnote>
  <w:footnote w:id="15990">
    <w:p>
      <w:pPr>
        <w:pStyle w:val="FootnoteText"/>
      </w:pPr>
      <w:r>
        <w:rPr>
          <w:rStyle w:val="FootnoteReference"/>
        </w:rPr>
        <w:footnoteRef/>
      </w:r>
      <w:r>
        <w:t xml:space="preserve"> Cross-references for "Rabbi": John 1:38; John 3:26.</w:t>
      </w:r>
    </w:p>
  </w:footnote>
  <w:footnote w:id="15991">
    <w:p>
      <w:pPr>
        <w:pStyle w:val="FootnoteText"/>
      </w:pPr>
      <w:r>
        <w:rPr>
          <w:rStyle w:val="FootnoteReference"/>
        </w:rPr>
        <w:footnoteRef/>
      </w:r>
      <w:r>
        <w:t xml:space="preserve"> Cross-references for "Except": John 1:13; John 3:5-6.</w:t>
      </w:r>
    </w:p>
  </w:footnote>
  <w:footnote w:id="15992">
    <w:p>
      <w:pPr>
        <w:pStyle w:val="FootnoteText"/>
      </w:pPr>
      <w:r>
        <w:rPr>
          <w:rStyle w:val="FootnoteReference"/>
        </w:rPr>
        <w:footnoteRef/>
      </w:r>
      <w:r>
        <w:t xml:space="preserve"> Cross-references for "born": Isa 44:3-4; Ezek 36:25-27.</w:t>
      </w:r>
    </w:p>
  </w:footnote>
  <w:footnote w:id="15993">
    <w:p>
      <w:pPr>
        <w:pStyle w:val="FootnoteText"/>
      </w:pPr>
      <w:r>
        <w:rPr>
          <w:rStyle w:val="FootnoteReference"/>
        </w:rPr>
        <w:footnoteRef/>
      </w:r>
      <w:r>
        <w:t xml:space="preserve"> Cross-references for "born of the flesh": Gen 5:3; Gen 6:5.</w:t>
      </w:r>
    </w:p>
  </w:footnote>
  <w:footnote w:id="15994">
    <w:p>
      <w:pPr>
        <w:pStyle w:val="FootnoteText"/>
      </w:pPr>
      <w:r>
        <w:rPr>
          <w:rStyle w:val="FootnoteReference"/>
        </w:rPr>
        <w:footnoteRef/>
      </w:r>
      <w:r>
        <w:t xml:space="preserve"> Cross-references for "marvel": John 3:12; John 5:28.</w:t>
      </w:r>
    </w:p>
  </w:footnote>
  <w:footnote w:id="15995">
    <w:p>
      <w:pPr>
        <w:pStyle w:val="FootnoteText"/>
      </w:pPr>
      <w:r>
        <w:rPr>
          <w:rStyle w:val="FootnoteReference"/>
        </w:rPr>
        <w:footnoteRef/>
      </w:r>
      <w:r>
        <w:t xml:space="preserve"> Cross-references for "wind": Job 37:10-13; Job 37:16-17.</w:t>
      </w:r>
    </w:p>
  </w:footnote>
  <w:footnote w:id="15996">
    <w:p>
      <w:pPr>
        <w:pStyle w:val="FootnoteText"/>
      </w:pPr>
      <w:r>
        <w:rPr>
          <w:rStyle w:val="FootnoteReference"/>
        </w:rPr>
        <w:footnoteRef/>
      </w:r>
      <w:r>
        <w:t xml:space="preserve"> Cross-references for "We speak": Isa 55:4; Matt 11:27.</w:t>
      </w:r>
    </w:p>
  </w:footnote>
  <w:footnote w:id="15997">
    <w:p>
      <w:pPr>
        <w:pStyle w:val="FootnoteText"/>
      </w:pPr>
      <w:r>
        <w:rPr>
          <w:rStyle w:val="FootnoteReference"/>
        </w:rPr>
        <w:footnoteRef/>
      </w:r>
      <w:r>
        <w:t xml:space="preserve"> Cross-references for "earthly": John 3:3; John 3:5.</w:t>
      </w:r>
    </w:p>
  </w:footnote>
  <w:footnote w:id="15998">
    <w:p>
      <w:pPr>
        <w:pStyle w:val="FootnoteText"/>
      </w:pPr>
      <w:r>
        <w:rPr>
          <w:rStyle w:val="FootnoteReference"/>
        </w:rPr>
        <w:footnoteRef/>
      </w:r>
      <w:r>
        <w:t xml:space="preserve"> Cross-references for "eternal": John 17:2-3; Rom 5:21.</w:t>
      </w:r>
    </w:p>
  </w:footnote>
  <w:footnote w:id="15999">
    <w:p>
      <w:pPr>
        <w:pStyle w:val="FootnoteText"/>
      </w:pPr>
      <w:r>
        <w:rPr>
          <w:rStyle w:val="FootnoteReference"/>
        </w:rPr>
        <w:footnoteRef/>
      </w:r>
      <w:r>
        <w:t xml:space="preserve"> Cross-references for "gave": Gen 22:12; Mark 12:6.</w:t>
      </w:r>
    </w:p>
  </w:footnote>
  <w:footnote w:id="16000">
    <w:p>
      <w:pPr>
        <w:pStyle w:val="FootnoteText"/>
      </w:pPr>
      <w:r>
        <w:rPr>
          <w:rStyle w:val="FootnoteReference"/>
        </w:rPr>
        <w:footnoteRef/>
      </w:r>
      <w:r>
        <w:t xml:space="preserve"> Cross-references for "that his": Isa 26:12; Hos 14:8.</w:t>
      </w:r>
    </w:p>
  </w:footnote>
  <w:footnote w:id="16001">
    <w:p>
      <w:pPr>
        <w:pStyle w:val="FootnoteText"/>
      </w:pPr>
      <w:r>
        <w:rPr>
          <w:rStyle w:val="FootnoteReference"/>
        </w:rPr>
        <w:footnoteRef/>
      </w:r>
      <w:r>
        <w:t xml:space="preserve"> Cross-references for "and baptized": John 3:26; John 4:1-2.</w:t>
      </w:r>
    </w:p>
  </w:footnote>
  <w:footnote w:id="16002">
    <w:p>
      <w:pPr>
        <w:pStyle w:val="FootnoteText"/>
      </w:pPr>
      <w:r>
        <w:rPr>
          <w:rStyle w:val="FootnoteReference"/>
        </w:rPr>
        <w:footnoteRef/>
      </w:r>
      <w:r>
        <w:t xml:space="preserve"> Place name: Aenon. Place-name meaning: Aenon — a cloud; fountain; his eye. Source form: Aenon. Greek form: αινων.</w:t>
      </w:r>
    </w:p>
  </w:footnote>
  <w:footnote w:id="16003">
    <w:p>
      <w:pPr>
        <w:pStyle w:val="FootnoteText"/>
      </w:pPr>
      <w:r>
        <w:rPr>
          <w:rStyle w:val="FootnoteReference"/>
        </w:rPr>
        <w:footnoteRef/>
      </w:r>
      <w:r>
        <w:t xml:space="preserve"> Cross-references for "near": Gen 33:18; 1Sam 9:4.</w:t>
      </w:r>
    </w:p>
  </w:footnote>
  <w:footnote w:id="16004">
    <w:p>
      <w:pPr>
        <w:pStyle w:val="FootnoteText"/>
      </w:pPr>
      <w:r>
        <w:rPr>
          <w:rStyle w:val="FootnoteReference"/>
        </w:rPr>
        <w:footnoteRef/>
      </w:r>
      <w:r>
        <w:t xml:space="preserve"> Place name: Salim. Place-name meaning: Salim — foxes; fists; path. Source form: Salim. Greek form: σαλειμ.</w:t>
      </w:r>
    </w:p>
  </w:footnote>
  <w:footnote w:id="16005">
    <w:p>
      <w:pPr>
        <w:pStyle w:val="FootnoteText"/>
      </w:pPr>
      <w:r>
        <w:rPr>
          <w:rStyle w:val="FootnoteReference"/>
        </w:rPr>
        <w:footnoteRef/>
      </w:r>
      <w:r>
        <w:t xml:space="preserve"> Cross-references for "to whom": John 1:7; John 1:15.</w:t>
      </w:r>
    </w:p>
  </w:footnote>
  <w:footnote w:id="16006">
    <w:p>
      <w:pPr>
        <w:pStyle w:val="FootnoteText"/>
      </w:pPr>
      <w:r>
        <w:rPr>
          <w:rStyle w:val="FootnoteReference"/>
        </w:rPr>
        <w:footnoteRef/>
      </w:r>
      <w:r>
        <w:t xml:space="preserve"> Cross-references for "A man": Num 16:9-11; Num 17:5.</w:t>
      </w:r>
    </w:p>
  </w:footnote>
  <w:footnote w:id="16007">
    <w:p>
      <w:pPr>
        <w:pStyle w:val="FootnoteText"/>
      </w:pPr>
      <w:r>
        <w:rPr>
          <w:rStyle w:val="FootnoteReference"/>
        </w:rPr>
        <w:footnoteRef/>
      </w:r>
      <w:r>
        <w:t xml:space="preserve"> Cross-references for "I said": John 1:20; John 1:25.</w:t>
      </w:r>
    </w:p>
  </w:footnote>
  <w:footnote w:id="16008">
    <w:p>
      <w:pPr>
        <w:pStyle w:val="FootnoteText"/>
      </w:pPr>
      <w:r>
        <w:rPr>
          <w:rStyle w:val="FootnoteReference"/>
        </w:rPr>
        <w:footnoteRef/>
      </w:r>
      <w:r>
        <w:t xml:space="preserve"> Cross-references for "the friend": Judg 14:10-11; Ps 45:14.</w:t>
      </w:r>
    </w:p>
  </w:footnote>
  <w:footnote w:id="16009">
    <w:p>
      <w:pPr>
        <w:pStyle w:val="FootnoteText"/>
      </w:pPr>
      <w:r>
        <w:rPr>
          <w:rStyle w:val="FootnoteReference"/>
        </w:rPr>
        <w:footnoteRef/>
      </w:r>
      <w:r>
        <w:t xml:space="preserve"> Cross-references for "must increase": Ps 72:17-19; Isa 9:7.</w:t>
      </w:r>
    </w:p>
  </w:footnote>
  <w:footnote w:id="16010">
    <w:p>
      <w:pPr>
        <w:pStyle w:val="FootnoteText"/>
      </w:pPr>
      <w:r>
        <w:rPr>
          <w:rStyle w:val="FootnoteReference"/>
        </w:rPr>
        <w:footnoteRef/>
      </w:r>
      <w:r>
        <w:t xml:space="preserve"> Cross-references for "is above": Matt 28:18; John 1:15.</w:t>
      </w:r>
    </w:p>
  </w:footnote>
  <w:footnote w:id="16011">
    <w:p>
      <w:pPr>
        <w:pStyle w:val="FootnoteText"/>
      </w:pPr>
      <w:r>
        <w:rPr>
          <w:rStyle w:val="FootnoteReference"/>
        </w:rPr>
        <w:footnoteRef/>
      </w:r>
      <w:r>
        <w:t xml:space="preserve"> Cross-references for "and no": Isa 50:2; Isa 53:1.</w:t>
      </w:r>
    </w:p>
  </w:footnote>
  <w:footnote w:id="16012">
    <w:p>
      <w:pPr>
        <w:pStyle w:val="FootnoteText"/>
      </w:pPr>
      <w:r>
        <w:rPr>
          <w:rStyle w:val="FootnoteReference"/>
        </w:rPr>
        <w:footnoteRef/>
      </w:r>
      <w:r>
        <w:t xml:space="preserve"> Cross-references for "for God": Num 11:25; 2Kgs 2:9.</w:t>
      </w:r>
    </w:p>
  </w:footnote>
  <w:footnote w:id="16013">
    <w:p>
      <w:pPr>
        <w:pStyle w:val="FootnoteText"/>
      </w:pPr>
      <w:r>
        <w:rPr>
          <w:rStyle w:val="FootnoteReference"/>
        </w:rPr>
        <w:footnoteRef/>
      </w:r>
      <w:r>
        <w:t xml:space="preserve"> Cross-references for "Father": Prov 8:30; Isa 42:1.</w:t>
      </w:r>
    </w:p>
  </w:footnote>
  <w:footnote w:id="16014">
    <w:p>
      <w:pPr>
        <w:pStyle w:val="FootnoteText"/>
      </w:pPr>
      <w:r>
        <w:rPr>
          <w:rStyle w:val="FootnoteReference"/>
        </w:rPr>
        <w:footnoteRef/>
      </w:r>
      <w:r>
        <w:t xml:space="preserve"> Cross-references for "the Lord": Luke 1:76; Luke 2:11.</w:t>
      </w:r>
    </w:p>
  </w:footnote>
  <w:footnote w:id="16015">
    <w:p>
      <w:pPr>
        <w:pStyle w:val="FootnoteText"/>
      </w:pPr>
      <w:r>
        <w:rPr>
          <w:rStyle w:val="FootnoteReference"/>
        </w:rPr>
        <w:footnoteRef/>
      </w:r>
      <w:r>
        <w:t xml:space="preserve"> Cross-references for "left": Matt 10:23; Mark 3:7.</w:t>
      </w:r>
    </w:p>
  </w:footnote>
  <w:footnote w:id="16016">
    <w:p>
      <w:pPr>
        <w:pStyle w:val="FootnoteText"/>
      </w:pPr>
      <w:r>
        <w:rPr>
          <w:rStyle w:val="FootnoteReference"/>
        </w:rPr>
        <w:footnoteRef/>
      </w:r>
      <w:r>
        <w:t xml:space="preserve"> Place name: Sychar. Place-name meaning: Sychar — end. Source form: Sychar. Greek form: συχαρ.</w:t>
      </w:r>
    </w:p>
  </w:footnote>
  <w:footnote w:id="16017">
    <w:p>
      <w:pPr>
        <w:pStyle w:val="FootnoteText"/>
      </w:pPr>
      <w:r>
        <w:rPr>
          <w:rStyle w:val="FootnoteReference"/>
        </w:rPr>
        <w:footnoteRef/>
      </w:r>
      <w:r>
        <w:t xml:space="preserve"> Cross-references for "the sixth": Matt 27:45; John 11:9.</w:t>
      </w:r>
    </w:p>
  </w:footnote>
  <w:footnote w:id="16018">
    <w:p>
      <w:pPr>
        <w:pStyle w:val="FootnoteText"/>
      </w:pPr>
      <w:r>
        <w:rPr>
          <w:rStyle w:val="FootnoteReference"/>
        </w:rPr>
        <w:footnoteRef/>
      </w:r>
      <w:r>
        <w:t xml:space="preserve"> Cross-references for "Give": Gen 24:43; 2Sam 23:15-17.</w:t>
      </w:r>
    </w:p>
  </w:footnote>
  <w:footnote w:id="16019">
    <w:p>
      <w:pPr>
        <w:pStyle w:val="FootnoteText"/>
      </w:pPr>
      <w:r>
        <w:rPr>
          <w:rStyle w:val="FootnoteReference"/>
        </w:rPr>
        <w:footnoteRef/>
      </w:r>
      <w:r>
        <w:t xml:space="preserve"> Cross-references for "to buy": Luke 9:13; John 6:5-7.</w:t>
      </w:r>
    </w:p>
  </w:footnote>
  <w:footnote w:id="16020">
    <w:p>
      <w:pPr>
        <w:pStyle w:val="FootnoteText"/>
      </w:pPr>
      <w:r>
        <w:rPr>
          <w:rStyle w:val="FootnoteReference"/>
        </w:rPr>
        <w:footnoteRef/>
      </w:r>
      <w:r>
        <w:t xml:space="preserve"> People-name: Jew. People-name meaning: Jew — praised one; one from Judah. Source form: Jew.</w:t>
      </w:r>
    </w:p>
  </w:footnote>
  <w:footnote w:id="16021">
    <w:p>
      <w:pPr>
        <w:pStyle w:val="FootnoteText"/>
      </w:pPr>
      <w:r>
        <w:rPr>
          <w:rStyle w:val="FootnoteReference"/>
        </w:rPr>
        <w:footnoteRef/>
      </w:r>
      <w:r>
        <w:t xml:space="preserve"> Cross-references for "and who": John 4:25-26; John 9:35-38.</w:t>
      </w:r>
    </w:p>
  </w:footnote>
  <w:footnote w:id="16022">
    <w:p>
      <w:pPr>
        <w:pStyle w:val="FootnoteText"/>
      </w:pPr>
      <w:r>
        <w:rPr>
          <w:rStyle w:val="FootnoteReference"/>
        </w:rPr>
        <w:footnoteRef/>
      </w:r>
      <w:r>
        <w:t xml:space="preserve"> Cross-references for "shall never": Isa 49:10; John 6:35.</w:t>
      </w:r>
    </w:p>
  </w:footnote>
  <w:footnote w:id="16023">
    <w:p>
      <w:pPr>
        <w:pStyle w:val="FootnoteText"/>
      </w:pPr>
      <w:r>
        <w:rPr>
          <w:rStyle w:val="FootnoteReference"/>
        </w:rPr>
        <w:footnoteRef/>
      </w:r>
      <w:r>
        <w:t xml:space="preserve"> Cross-references for "give": Ps 4:6; John 6:26.</w:t>
      </w:r>
    </w:p>
  </w:footnote>
  <w:footnote w:id="16024">
    <w:p>
      <w:pPr>
        <w:pStyle w:val="FootnoteText"/>
      </w:pPr>
      <w:r>
        <w:rPr>
          <w:rStyle w:val="FootnoteReference"/>
        </w:rPr>
        <w:footnoteRef/>
      </w:r>
      <w:r>
        <w:t xml:space="preserve"> Cross-references for "I perceive": 2Kgs 5:26; 2Kgs 6:12.</w:t>
      </w:r>
    </w:p>
  </w:footnote>
  <w:footnote w:id="16025">
    <w:p>
      <w:pPr>
        <w:pStyle w:val="FootnoteText"/>
      </w:pPr>
      <w:r>
        <w:rPr>
          <w:rStyle w:val="FootnoteReference"/>
        </w:rPr>
        <w:footnoteRef/>
      </w:r>
      <w:r>
        <w:t xml:space="preserve"> Cross-references for "fathers": Gen 12:6-7; Gen 33:18-20.</w:t>
      </w:r>
    </w:p>
  </w:footnote>
  <w:footnote w:id="16026">
    <w:p>
      <w:pPr>
        <w:pStyle w:val="FootnoteText"/>
      </w:pPr>
      <w:r>
        <w:rPr>
          <w:rStyle w:val="FootnoteReference"/>
        </w:rPr>
        <w:footnoteRef/>
      </w:r>
      <w:r>
        <w:t xml:space="preserve"> Cross-references for "worship": Matt 28:19; John 4:23.</w:t>
      </w:r>
    </w:p>
  </w:footnote>
  <w:footnote w:id="16027">
    <w:p>
      <w:pPr>
        <w:pStyle w:val="FootnoteText"/>
      </w:pPr>
      <w:r>
        <w:rPr>
          <w:rStyle w:val="FootnoteReference"/>
        </w:rPr>
        <w:footnoteRef/>
      </w:r>
      <w:r>
        <w:t xml:space="preserve"> Cross-references for "we worship": 2Chr 13:10-12; Ps 147:19.</w:t>
      </w:r>
    </w:p>
  </w:footnote>
  <w:footnote w:id="16028">
    <w:p>
      <w:pPr>
        <w:pStyle w:val="FootnoteText"/>
      </w:pPr>
      <w:r>
        <w:rPr>
          <w:rStyle w:val="FootnoteReference"/>
        </w:rPr>
        <w:footnoteRef/>
      </w:r>
      <w:r>
        <w:t xml:space="preserve"> Cross-references for "the hour": John 5:25; John 12:23.</w:t>
      </w:r>
    </w:p>
  </w:footnote>
  <w:footnote w:id="16029">
    <w:p>
      <w:pPr>
        <w:pStyle w:val="FootnoteText"/>
      </w:pPr>
      <w:r>
        <w:rPr>
          <w:rStyle w:val="FootnoteReference"/>
        </w:rPr>
        <w:footnoteRef/>
      </w:r>
      <w:r>
        <w:t xml:space="preserve"> Cross-references for "must": 1Sam 16:7; Ps 50:13-15.</w:t>
      </w:r>
    </w:p>
  </w:footnote>
  <w:footnote w:id="16030">
    <w:p>
      <w:pPr>
        <w:pStyle w:val="FootnoteText"/>
      </w:pPr>
      <w:r>
        <w:rPr>
          <w:rStyle w:val="FootnoteReference"/>
        </w:rPr>
        <w:footnoteRef/>
      </w:r>
      <w:r>
        <w:t xml:space="preserve"> Cross-references for "sent": Acts 2:41; Acts 4:4.</w:t>
      </w:r>
    </w:p>
  </w:footnote>
  <w:footnote w:id="16031">
    <w:p>
      <w:pPr>
        <w:pStyle w:val="FootnoteText"/>
      </w:pPr>
      <w:r>
        <w:rPr>
          <w:rStyle w:val="FootnoteReference"/>
        </w:rPr>
        <w:footnoteRef/>
      </w:r>
      <w:r>
        <w:t xml:space="preserve"> Cross-references for "and know": Isa 45:22; Isa 52:10.</w:t>
      </w:r>
    </w:p>
  </w:footnote>
  <w:footnote w:id="16032">
    <w:p>
      <w:pPr>
        <w:pStyle w:val="FootnoteText"/>
      </w:pPr>
      <w:r>
        <w:rPr>
          <w:rStyle w:val="FootnoteReference"/>
        </w:rPr>
        <w:footnoteRef/>
      </w:r>
      <w:r>
        <w:t xml:space="preserve"> Cross-references for "Cana": Josh 19:28; John 2:1-11.</w:t>
      </w:r>
    </w:p>
  </w:footnote>
  <w:footnote w:id="16033">
    <w:p>
      <w:pPr>
        <w:pStyle w:val="FootnoteText"/>
      </w:pPr>
      <w:r>
        <w:rPr>
          <w:rStyle w:val="FootnoteReference"/>
        </w:rPr>
        <w:footnoteRef/>
      </w:r>
      <w:r>
        <w:t xml:space="preserve"> Cross-references for "he heard": Mark 2:1-3; Mark 6:55-56.</w:t>
      </w:r>
    </w:p>
  </w:footnote>
  <w:footnote w:id="16034">
    <w:p>
      <w:pPr>
        <w:pStyle w:val="FootnoteText"/>
      </w:pPr>
      <w:r>
        <w:rPr>
          <w:rStyle w:val="FootnoteReference"/>
        </w:rPr>
        <w:footnoteRef/>
      </w:r>
      <w:r>
        <w:t xml:space="preserve"> Cross-references for "Except": Num 14:11; Matt 16:1.</w:t>
      </w:r>
    </w:p>
  </w:footnote>
  <w:footnote w:id="16035">
    <w:p>
      <w:pPr>
        <w:pStyle w:val="FootnoteText"/>
      </w:pPr>
      <w:r>
        <w:rPr>
          <w:rStyle w:val="FootnoteReference"/>
        </w:rPr>
        <w:footnoteRef/>
      </w:r>
      <w:r>
        <w:t xml:space="preserve"> Cross-references for "at the": Ps 33:9; Ps 107:20.</w:t>
      </w:r>
    </w:p>
  </w:footnote>
  <w:footnote w:id="16036">
    <w:p>
      <w:pPr>
        <w:pStyle w:val="FootnoteText"/>
      </w:pPr>
      <w:r>
        <w:rPr>
          <w:rStyle w:val="FootnoteReference"/>
        </w:rPr>
        <w:footnoteRef/>
      </w:r>
      <w:r>
        <w:t xml:space="preserve"> Cross-references for "pool": Isa 22:9; Isa 22:11.</w:t>
      </w:r>
    </w:p>
  </w:footnote>
  <w:footnote w:id="16037">
    <w:p>
      <w:pPr>
        <w:pStyle w:val="FootnoteText"/>
      </w:pPr>
      <w:r>
        <w:rPr>
          <w:rStyle w:val="FootnoteReference"/>
        </w:rPr>
        <w:footnoteRef/>
      </w:r>
      <w:r>
        <w:t xml:space="preserve"> Transliterated proper noun: Bethesda. Standard English equivalent: Bethesda. Source form: Bethesda. Greek form: βηθεσδα. Name meaning: house of pity or mercy.</w:t>
      </w:r>
    </w:p>
  </w:footnote>
  <w:footnote w:id="16038">
    <w:p>
      <w:pPr>
        <w:pStyle w:val="FootnoteText"/>
      </w:pPr>
      <w:r>
        <w:rPr>
          <w:rStyle w:val="FootnoteReference"/>
        </w:rPr>
        <w:footnoteRef/>
      </w:r>
      <w:r>
        <w:t xml:space="preserve"> Cross-references for "of blind": Matt 15:30; Luke 7:22.</w:t>
      </w:r>
    </w:p>
  </w:footnote>
  <w:footnote w:id="16039">
    <w:p>
      <w:pPr>
        <w:pStyle w:val="FootnoteText"/>
      </w:pPr>
      <w:r>
        <w:rPr>
          <w:rStyle w:val="FootnoteReference"/>
        </w:rPr>
        <w:footnoteRef/>
      </w:r>
      <w:r>
        <w:t xml:space="preserve"> Cross-references for "first": Ps 119:60; Prov 6:4.</w:t>
      </w:r>
    </w:p>
  </w:footnote>
  <w:footnote w:id="16040">
    <w:p>
      <w:pPr>
        <w:pStyle w:val="FootnoteText"/>
      </w:pPr>
      <w:r>
        <w:rPr>
          <w:rStyle w:val="FootnoteReference"/>
        </w:rPr>
        <w:footnoteRef/>
      </w:r>
      <w:r>
        <w:t xml:space="preserve"> Cross-references for "thirty": Mark 9:21; Luke 8:43.</w:t>
      </w:r>
    </w:p>
  </w:footnote>
  <w:footnote w:id="16041">
    <w:p>
      <w:pPr>
        <w:pStyle w:val="FootnoteText"/>
      </w:pPr>
      <w:r>
        <w:rPr>
          <w:rStyle w:val="FootnoteReference"/>
        </w:rPr>
        <w:footnoteRef/>
      </w:r>
      <w:r>
        <w:t xml:space="preserve"> Cross-references for "and knew": Ps 142:3; John 21:17.</w:t>
      </w:r>
    </w:p>
  </w:footnote>
  <w:footnote w:id="16042">
    <w:p>
      <w:pPr>
        <w:pStyle w:val="FootnoteText"/>
      </w:pPr>
      <w:r>
        <w:rPr>
          <w:rStyle w:val="FootnoteReference"/>
        </w:rPr>
        <w:footnoteRef/>
      </w:r>
      <w:r>
        <w:t xml:space="preserve"> Cross-references for "immediately": Mark 1:31; Mark 1:42.</w:t>
      </w:r>
    </w:p>
  </w:footnote>
  <w:footnote w:id="16043">
    <w:p>
      <w:pPr>
        <w:pStyle w:val="FootnoteText"/>
      </w:pPr>
      <w:r>
        <w:rPr>
          <w:rStyle w:val="FootnoteReference"/>
        </w:rPr>
        <w:footnoteRef/>
      </w:r>
      <w:r>
        <w:t xml:space="preserve"> Cross-references for "it is not": Exod 20:8-11; Exod 31:12-17.</w:t>
      </w:r>
    </w:p>
  </w:footnote>
  <w:footnote w:id="16044">
    <w:p>
      <w:pPr>
        <w:pStyle w:val="FootnoteText"/>
      </w:pPr>
      <w:r>
        <w:rPr>
          <w:rStyle w:val="FootnoteReference"/>
        </w:rPr>
        <w:footnoteRef/>
      </w:r>
      <w:r>
        <w:t xml:space="preserve"> Cross-references for "and told": Mark 1:45; John 4:29.</w:t>
      </w:r>
    </w:p>
  </w:footnote>
  <w:footnote w:id="16045">
    <w:p>
      <w:pPr>
        <w:pStyle w:val="FootnoteText"/>
      </w:pPr>
      <w:r>
        <w:rPr>
          <w:rStyle w:val="FootnoteReference"/>
        </w:rPr>
        <w:footnoteRef/>
      </w:r>
      <w:r>
        <w:t xml:space="preserve"> Cross-references for "and sought": Matt 12:13; Mark 3:6.</w:t>
      </w:r>
    </w:p>
  </w:footnote>
  <w:footnote w:id="16046">
    <w:p>
      <w:pPr>
        <w:pStyle w:val="FootnoteText"/>
      </w:pPr>
      <w:r>
        <w:rPr>
          <w:rStyle w:val="FootnoteReference"/>
        </w:rPr>
        <w:footnoteRef/>
      </w:r>
      <w:r>
        <w:t xml:space="preserve"> Cross-references for "the Jews": John 7:19.</w:t>
      </w:r>
    </w:p>
  </w:footnote>
  <w:footnote w:id="16047">
    <w:p>
      <w:pPr>
        <w:pStyle w:val="FootnoteText"/>
      </w:pPr>
      <w:r>
        <w:rPr>
          <w:rStyle w:val="FootnoteReference"/>
        </w:rPr>
        <w:footnoteRef/>
      </w:r>
      <w:r>
        <w:t xml:space="preserve"> Cross-references for "The Son": John 5:30; John 8:28.</w:t>
      </w:r>
    </w:p>
  </w:footnote>
  <w:footnote w:id="16048">
    <w:p>
      <w:pPr>
        <w:pStyle w:val="FootnoteText"/>
      </w:pPr>
      <w:r>
        <w:rPr>
          <w:rStyle w:val="FootnoteReference"/>
        </w:rPr>
        <w:footnoteRef/>
      </w:r>
      <w:r>
        <w:t xml:space="preserve"> Cross-references for "the Father": Matt 3:17; Matt 17:5.</w:t>
      </w:r>
    </w:p>
  </w:footnote>
  <w:footnote w:id="16049">
    <w:p>
      <w:pPr>
        <w:pStyle w:val="FootnoteText"/>
      </w:pPr>
      <w:r>
        <w:rPr>
          <w:rStyle w:val="FootnoteReference"/>
        </w:rPr>
        <w:footnoteRef/>
      </w:r>
      <w:r>
        <w:t xml:space="preserve"> Cross-references for "and shall not": John 10:27-30; Rom 8:1.</w:t>
      </w:r>
    </w:p>
  </w:footnote>
  <w:footnote w:id="16050">
    <w:p>
      <w:pPr>
        <w:pStyle w:val="FootnoteText"/>
      </w:pPr>
      <w:r>
        <w:rPr>
          <w:rStyle w:val="FootnoteReference"/>
        </w:rPr>
        <w:footnoteRef/>
      </w:r>
      <w:r>
        <w:t xml:space="preserve"> Cross-references for "The hour": John 4:23; John 13:1.</w:t>
      </w:r>
    </w:p>
  </w:footnote>
  <w:footnote w:id="16051">
    <w:p>
      <w:pPr>
        <w:pStyle w:val="FootnoteText"/>
      </w:pPr>
      <w:r>
        <w:rPr>
          <w:rStyle w:val="FootnoteReference"/>
        </w:rPr>
        <w:footnoteRef/>
      </w:r>
      <w:r>
        <w:t xml:space="preserve"> Cross-references for "the Son": Dan 7:13.</w:t>
      </w:r>
    </w:p>
  </w:footnote>
  <w:footnote w:id="16052">
    <w:p>
      <w:pPr>
        <w:pStyle w:val="FootnoteText"/>
      </w:pPr>
      <w:r>
        <w:rPr>
          <w:rStyle w:val="FootnoteReference"/>
        </w:rPr>
        <w:footnoteRef/>
      </w:r>
      <w:r>
        <w:t xml:space="preserve"> Cross-references for "marvel": John 3:7; John 5:20.</w:t>
      </w:r>
    </w:p>
  </w:footnote>
  <w:footnote w:id="16053">
    <w:p>
      <w:pPr>
        <w:pStyle w:val="FootnoteText"/>
      </w:pPr>
      <w:r>
        <w:rPr>
          <w:rStyle w:val="FootnoteReference"/>
        </w:rPr>
        <w:footnoteRef/>
      </w:r>
      <w:r>
        <w:t xml:space="preserve"> Cross-references for "done good": Luke 14:14; Rom 2:6-10.</w:t>
      </w:r>
    </w:p>
  </w:footnote>
  <w:footnote w:id="16054">
    <w:p>
      <w:pPr>
        <w:pStyle w:val="FootnoteText"/>
      </w:pPr>
      <w:r>
        <w:rPr>
          <w:rStyle w:val="FootnoteReference"/>
        </w:rPr>
        <w:footnoteRef/>
      </w:r>
      <w:r>
        <w:t xml:space="preserve"> Cross-references for "I judge": Gen 18:25; Ps 96:13.</w:t>
      </w:r>
    </w:p>
  </w:footnote>
  <w:footnote w:id="16055">
    <w:p>
      <w:pPr>
        <w:pStyle w:val="FootnoteText"/>
      </w:pPr>
      <w:r>
        <w:rPr>
          <w:rStyle w:val="FootnoteReference"/>
        </w:rPr>
        <w:footnoteRef/>
      </w:r>
      <w:r>
        <w:t xml:space="preserve"> Cross-references for "is another": Matt 3:17; Matt 17:5.</w:t>
      </w:r>
    </w:p>
  </w:footnote>
  <w:footnote w:id="16056">
    <w:p>
      <w:pPr>
        <w:pStyle w:val="FootnoteText"/>
      </w:pPr>
      <w:r>
        <w:rPr>
          <w:rStyle w:val="FootnoteReference"/>
        </w:rPr>
        <w:footnoteRef/>
      </w:r>
      <w:r>
        <w:t xml:space="preserve"> Cross-references for "sent": John 1:19-27.</w:t>
      </w:r>
    </w:p>
  </w:footnote>
  <w:footnote w:id="16057">
    <w:p>
      <w:pPr>
        <w:pStyle w:val="FootnoteText"/>
      </w:pPr>
      <w:r>
        <w:rPr>
          <w:rStyle w:val="FootnoteReference"/>
        </w:rPr>
        <w:footnoteRef/>
      </w:r>
      <w:r>
        <w:t xml:space="preserve"> Cross-references for "the works": Matt 11:4; John 3:2.</w:t>
      </w:r>
    </w:p>
  </w:footnote>
  <w:footnote w:id="16058">
    <w:p>
      <w:pPr>
        <w:pStyle w:val="FootnoteText"/>
      </w:pPr>
      <w:r>
        <w:rPr>
          <w:rStyle w:val="FootnoteReference"/>
        </w:rPr>
        <w:footnoteRef/>
      </w:r>
      <w:r>
        <w:t xml:space="preserve"> Cross-references for "borne": Matt 3:17; Matt 17:5.</w:t>
      </w:r>
    </w:p>
  </w:footnote>
  <w:footnote w:id="16059">
    <w:p>
      <w:pPr>
        <w:pStyle w:val="FootnoteText"/>
      </w:pPr>
      <w:r>
        <w:rPr>
          <w:rStyle w:val="FootnoteReference"/>
        </w:rPr>
        <w:footnoteRef/>
      </w:r>
      <w:r>
        <w:t xml:space="preserve"> Cross-references for "Search": Deut 11:18-20; Deut 17:18-19.</w:t>
      </w:r>
    </w:p>
  </w:footnote>
  <w:footnote w:id="16060">
    <w:p>
      <w:pPr>
        <w:pStyle w:val="FootnoteText"/>
      </w:pPr>
      <w:r>
        <w:rPr>
          <w:rStyle w:val="FootnoteReference"/>
        </w:rPr>
        <w:footnoteRef/>
      </w:r>
      <w:r>
        <w:t xml:space="preserve"> Cross-references for "the sea": Num 34:11; Josh 12:3.</w:t>
      </w:r>
    </w:p>
  </w:footnote>
  <w:footnote w:id="16061">
    <w:p>
      <w:pPr>
        <w:pStyle w:val="FootnoteText"/>
      </w:pPr>
      <w:r>
        <w:rPr>
          <w:rStyle w:val="FootnoteReference"/>
        </w:rPr>
        <w:footnoteRef/>
      </w:r>
      <w:r>
        <w:t xml:space="preserve"> Place name: Tiberias. Place-name meaning: Tiberias — good vision; the navel. Source form: Tiberias. Greek form: τιβεριαδος.</w:t>
      </w:r>
    </w:p>
  </w:footnote>
  <w:footnote w:id="16062">
    <w:p>
      <w:pPr>
        <w:pStyle w:val="FootnoteText"/>
      </w:pPr>
      <w:r>
        <w:rPr>
          <w:rStyle w:val="FootnoteReference"/>
        </w:rPr>
        <w:footnoteRef/>
      </w:r>
      <w:r>
        <w:t xml:space="preserve"> Cross-references for "Andrew": Matt 4:18; John 1:40-44.</w:t>
      </w:r>
    </w:p>
  </w:footnote>
  <w:footnote w:id="16063">
    <w:p>
      <w:pPr>
        <w:pStyle w:val="FootnoteText"/>
      </w:pPr>
      <w:r>
        <w:rPr>
          <w:rStyle w:val="FootnoteReference"/>
        </w:rPr>
        <w:footnoteRef/>
      </w:r>
      <w:r>
        <w:t xml:space="preserve"> Cross-references for "barley": Deut 8:8; Deut 32:14.</w:t>
      </w:r>
    </w:p>
  </w:footnote>
  <w:footnote w:id="16064">
    <w:p>
      <w:pPr>
        <w:pStyle w:val="FootnoteText"/>
      </w:pPr>
      <w:r>
        <w:rPr>
          <w:rStyle w:val="FootnoteReference"/>
        </w:rPr>
        <w:footnoteRef/>
      </w:r>
      <w:r>
        <w:t xml:space="preserve"> Cross-references for "Make": Matt 14:18-19; Matt 15:35-36.</w:t>
      </w:r>
    </w:p>
  </w:footnote>
  <w:footnote w:id="16065">
    <w:p>
      <w:pPr>
        <w:pStyle w:val="FootnoteText"/>
      </w:pPr>
      <w:r>
        <w:rPr>
          <w:rStyle w:val="FootnoteReference"/>
        </w:rPr>
        <w:footnoteRef/>
      </w:r>
      <w:r>
        <w:t xml:space="preserve"> Cross-references for "that nothing": Neh 8:10; Prov 18:9.</w:t>
      </w:r>
    </w:p>
  </w:footnote>
  <w:footnote w:id="16066">
    <w:p>
      <w:pPr>
        <w:pStyle w:val="FootnoteText"/>
      </w:pPr>
      <w:r>
        <w:rPr>
          <w:rStyle w:val="FootnoteReference"/>
        </w:rPr>
        <w:footnoteRef/>
      </w:r>
      <w:r>
        <w:t xml:space="preserve"> Cross-references for "and filled": 1Kgs 7:15-16; 2Kgs 4:2-7.</w:t>
      </w:r>
    </w:p>
  </w:footnote>
  <w:footnote w:id="16067">
    <w:p>
      <w:pPr>
        <w:pStyle w:val="FootnoteText"/>
      </w:pPr>
      <w:r>
        <w:rPr>
          <w:rStyle w:val="FootnoteReference"/>
        </w:rPr>
        <w:footnoteRef/>
      </w:r>
      <w:r>
        <w:t xml:space="preserve"> Cross-references for "perceived": John 2:24-25; Heb 4:13.</w:t>
      </w:r>
    </w:p>
  </w:footnote>
  <w:footnote w:id="16068">
    <w:p>
      <w:pPr>
        <w:pStyle w:val="FootnoteText"/>
      </w:pPr>
      <w:r>
        <w:rPr>
          <w:rStyle w:val="FootnoteReference"/>
        </w:rPr>
        <w:footnoteRef/>
      </w:r>
      <w:r>
        <w:t xml:space="preserve"> Cross-references for "and went": Mark 6:45; John 2:12.</w:t>
      </w:r>
    </w:p>
  </w:footnote>
  <w:footnote w:id="16069">
    <w:p>
      <w:pPr>
        <w:pStyle w:val="FootnoteText"/>
      </w:pPr>
      <w:r>
        <w:rPr>
          <w:rStyle w:val="FootnoteReference"/>
        </w:rPr>
        <w:footnoteRef/>
      </w:r>
      <w:r>
        <w:t xml:space="preserve"> Cross-references for "had rowed": Ezek 27:26; Jonah 1:13.</w:t>
      </w:r>
    </w:p>
  </w:footnote>
  <w:footnote w:id="16070">
    <w:p>
      <w:pPr>
        <w:pStyle w:val="FootnoteText"/>
      </w:pPr>
      <w:r>
        <w:rPr>
          <w:rStyle w:val="FootnoteReference"/>
        </w:rPr>
        <w:footnoteRef/>
      </w:r>
      <w:r>
        <w:t xml:space="preserve"> Cross-references for "they willingly": Ps 24:7-10; Song 3:4.</w:t>
      </w:r>
    </w:p>
  </w:footnote>
  <w:footnote w:id="16071">
    <w:p>
      <w:pPr>
        <w:pStyle w:val="FootnoteText"/>
      </w:pPr>
      <w:r>
        <w:rPr>
          <w:rStyle w:val="FootnoteReference"/>
        </w:rPr>
        <w:footnoteRef/>
      </w:r>
      <w:r>
        <w:t xml:space="preserve"> Cross-references for "Tiberias": John 6:1.</w:t>
      </w:r>
    </w:p>
  </w:footnote>
  <w:footnote w:id="16072">
    <w:p>
      <w:pPr>
        <w:pStyle w:val="FootnoteText"/>
      </w:pPr>
      <w:r>
        <w:rPr>
          <w:rStyle w:val="FootnoteReference"/>
        </w:rPr>
        <w:footnoteRef/>
      </w:r>
      <w:r>
        <w:t xml:space="preserve"> Cross-references for "they also": John 6:17; John 6:23.</w:t>
      </w:r>
    </w:p>
  </w:footnote>
  <w:footnote w:id="16073">
    <w:p>
      <w:pPr>
        <w:pStyle w:val="FootnoteText"/>
      </w:pPr>
      <w:r>
        <w:rPr>
          <w:rStyle w:val="FootnoteReference"/>
        </w:rPr>
        <w:footnoteRef/>
      </w:r>
      <w:r>
        <w:t xml:space="preserve"> Cross-references for "Rabbi": John 1:38-39.</w:t>
      </w:r>
    </w:p>
  </w:footnote>
  <w:footnote w:id="16074">
    <w:p>
      <w:pPr>
        <w:pStyle w:val="FootnoteText"/>
      </w:pPr>
      <w:r>
        <w:rPr>
          <w:rStyle w:val="FootnoteReference"/>
        </w:rPr>
        <w:footnoteRef/>
      </w:r>
      <w:r>
        <w:t xml:space="preserve"> Cross-references for "which the": Prov 2:2-6; John 10:28.</w:t>
      </w:r>
    </w:p>
  </w:footnote>
  <w:footnote w:id="16075">
    <w:p>
      <w:pPr>
        <w:pStyle w:val="FootnoteText"/>
      </w:pPr>
      <w:r>
        <w:rPr>
          <w:rStyle w:val="FootnoteReference"/>
        </w:rPr>
        <w:footnoteRef/>
      </w:r>
      <w:r>
        <w:t xml:space="preserve"> Cross-references for "fathers": Exod 16:4-15; Exod 16:35.</w:t>
      </w:r>
    </w:p>
  </w:footnote>
  <w:footnote w:id="16076">
    <w:p>
      <w:pPr>
        <w:pStyle w:val="FootnoteText"/>
      </w:pPr>
      <w:r>
        <w:rPr>
          <w:rStyle w:val="FootnoteReference"/>
        </w:rPr>
        <w:footnoteRef/>
      </w:r>
      <w:r>
        <w:t xml:space="preserve"> Cross-references for "Moses": Exod 16:4; Exod 16:8.</w:t>
      </w:r>
    </w:p>
  </w:footnote>
  <w:footnote w:id="16077">
    <w:p>
      <w:pPr>
        <w:pStyle w:val="FootnoteText"/>
      </w:pPr>
      <w:r>
        <w:rPr>
          <w:rStyle w:val="FootnoteReference"/>
        </w:rPr>
        <w:footnoteRef/>
      </w:r>
      <w:r>
        <w:t xml:space="preserve"> Cross-references for "never hunger": Isa 49:10; Luke 6:25.</w:t>
      </w:r>
    </w:p>
  </w:footnote>
  <w:footnote w:id="16078">
    <w:p>
      <w:pPr>
        <w:pStyle w:val="FootnoteText"/>
      </w:pPr>
      <w:r>
        <w:rPr>
          <w:rStyle w:val="FootnoteReference"/>
        </w:rPr>
        <w:footnoteRef/>
      </w:r>
      <w:r>
        <w:t xml:space="preserve"> Cross-references for "I came": John 3:13; John 3:31.</w:t>
      </w:r>
    </w:p>
  </w:footnote>
  <w:footnote w:id="16079">
    <w:p>
      <w:pPr>
        <w:pStyle w:val="FootnoteText"/>
      </w:pPr>
      <w:r>
        <w:rPr>
          <w:rStyle w:val="FootnoteReference"/>
        </w:rPr>
        <w:footnoteRef/>
      </w:r>
      <w:r>
        <w:t xml:space="preserve"> Cross-references for "given": John 6:37.</w:t>
      </w:r>
    </w:p>
  </w:footnote>
  <w:footnote w:id="16080">
    <w:p>
      <w:pPr>
        <w:pStyle w:val="FootnoteText"/>
      </w:pPr>
      <w:r>
        <w:rPr>
          <w:rStyle w:val="FootnoteReference"/>
        </w:rPr>
        <w:footnoteRef/>
      </w:r>
      <w:r>
        <w:t xml:space="preserve"> Cross-references for "except": Matt 11:25-27; Matt 16:17.</w:t>
      </w:r>
    </w:p>
  </w:footnote>
  <w:footnote w:id="16081">
    <w:p>
      <w:pPr>
        <w:pStyle w:val="FootnoteText"/>
      </w:pPr>
      <w:r>
        <w:rPr>
          <w:rStyle w:val="FootnoteReference"/>
        </w:rPr>
        <w:footnoteRef/>
      </w:r>
      <w:r>
        <w:t xml:space="preserve"> Cross-references for "written": Mark 1:2; Luke 1:70.</w:t>
      </w:r>
    </w:p>
  </w:footnote>
  <w:footnote w:id="16082">
    <w:p>
      <w:pPr>
        <w:pStyle w:val="FootnoteText"/>
      </w:pPr>
      <w:r>
        <w:rPr>
          <w:rStyle w:val="FootnoteReference"/>
        </w:rPr>
        <w:footnoteRef/>
      </w:r>
      <w:r>
        <w:t xml:space="preserve"> Cross-references for "fathers": John 6:31.</w:t>
      </w:r>
    </w:p>
  </w:footnote>
  <w:footnote w:id="16083">
    <w:p>
      <w:pPr>
        <w:pStyle w:val="FootnoteText"/>
      </w:pPr>
      <w:r>
        <w:rPr>
          <w:rStyle w:val="FootnoteReference"/>
        </w:rPr>
        <w:footnoteRef/>
      </w:r>
      <w:r>
        <w:t xml:space="preserve"> Cross-references for "the bread": John 3:13; John 6:33.</w:t>
      </w:r>
    </w:p>
  </w:footnote>
  <w:footnote w:id="16084">
    <w:p>
      <w:pPr>
        <w:pStyle w:val="FootnoteText"/>
      </w:pPr>
      <w:r>
        <w:rPr>
          <w:rStyle w:val="FootnoteReference"/>
        </w:rPr>
        <w:footnoteRef/>
      </w:r>
      <w:r>
        <w:t xml:space="preserve"> Cross-references for "living": John 3:13; John 4:10-11.</w:t>
      </w:r>
    </w:p>
  </w:footnote>
  <w:footnote w:id="16085">
    <w:p>
      <w:pPr>
        <w:pStyle w:val="FootnoteText"/>
      </w:pPr>
      <w:r>
        <w:rPr>
          <w:rStyle w:val="FootnoteReference"/>
        </w:rPr>
        <w:footnoteRef/>
      </w:r>
      <w:r>
        <w:t xml:space="preserve"> Cross-references for "strove": John 6:41; John 7:40-43.</w:t>
      </w:r>
    </w:p>
  </w:footnote>
  <w:footnote w:id="16086">
    <w:p>
      <w:pPr>
        <w:pStyle w:val="FootnoteText"/>
      </w:pPr>
      <w:r>
        <w:rPr>
          <w:rStyle w:val="FootnoteReference"/>
        </w:rPr>
        <w:footnoteRef/>
      </w:r>
      <w:r>
        <w:t xml:space="preserve"> Cross-references for "Except": Matt 18:3; Luke 13:3.</w:t>
      </w:r>
    </w:p>
  </w:footnote>
  <w:footnote w:id="16087">
    <w:p>
      <w:pPr>
        <w:pStyle w:val="FootnoteText"/>
      </w:pPr>
      <w:r>
        <w:rPr>
          <w:rStyle w:val="FootnoteReference"/>
        </w:rPr>
        <w:footnoteRef/>
      </w:r>
      <w:r>
        <w:t xml:space="preserve"> Cross-references for "the living": Ps 18:46; Jer 10:10.</w:t>
      </w:r>
    </w:p>
  </w:footnote>
  <w:footnote w:id="16088">
    <w:p>
      <w:pPr>
        <w:pStyle w:val="FootnoteText"/>
      </w:pPr>
      <w:r>
        <w:rPr>
          <w:rStyle w:val="FootnoteReference"/>
        </w:rPr>
        <w:footnoteRef/>
      </w:r>
      <w:r>
        <w:t xml:space="preserve"> Cross-references for "of his": John 6:66; John 8:31.</w:t>
      </w:r>
    </w:p>
  </w:footnote>
  <w:footnote w:id="16089">
    <w:p>
      <w:pPr>
        <w:pStyle w:val="FootnoteText"/>
      </w:pPr>
      <w:r>
        <w:rPr>
          <w:rStyle w:val="FootnoteReference"/>
        </w:rPr>
        <w:footnoteRef/>
      </w:r>
      <w:r>
        <w:t xml:space="preserve"> Cross-references for "the Spirit": Gen 2:7; Rom 8:2.</w:t>
      </w:r>
    </w:p>
  </w:footnote>
  <w:footnote w:id="16090">
    <w:p>
      <w:pPr>
        <w:pStyle w:val="FootnoteText"/>
      </w:pPr>
      <w:r>
        <w:rPr>
          <w:rStyle w:val="FootnoteReference"/>
        </w:rPr>
        <w:footnoteRef/>
      </w:r>
      <w:r>
        <w:t xml:space="preserve"> Cross-references for "that no": John 6:37; John 6:44-45.</w:t>
      </w:r>
    </w:p>
  </w:footnote>
  <w:footnote w:id="16091">
    <w:p>
      <w:pPr>
        <w:pStyle w:val="FootnoteText"/>
      </w:pPr>
      <w:r>
        <w:rPr>
          <w:rStyle w:val="FootnoteReference"/>
        </w:rPr>
        <w:footnoteRef/>
      </w:r>
      <w:r>
        <w:t xml:space="preserve"> Cross-references for "of his": Zeph 1:6; Matt 12:40-45.</w:t>
      </w:r>
    </w:p>
  </w:footnote>
  <w:footnote w:id="16092">
    <w:p>
      <w:pPr>
        <w:pStyle w:val="FootnoteText"/>
      </w:pPr>
      <w:r>
        <w:rPr>
          <w:rStyle w:val="FootnoteReference"/>
        </w:rPr>
        <w:footnoteRef/>
      </w:r>
      <w:r>
        <w:t xml:space="preserve"> Cross-references for "Will": Josh 24:15-22; Ruth 1:11-18.</w:t>
      </w:r>
    </w:p>
  </w:footnote>
  <w:footnote w:id="16093">
    <w:p>
      <w:pPr>
        <w:pStyle w:val="FootnoteText"/>
      </w:pPr>
      <w:r>
        <w:rPr>
          <w:rStyle w:val="FootnoteReference"/>
        </w:rPr>
        <w:footnoteRef/>
      </w:r>
      <w:r>
        <w:t xml:space="preserve"> Cross-references for "to whom": Ps 73:25.</w:t>
      </w:r>
    </w:p>
  </w:footnote>
  <w:footnote w:id="16094">
    <w:p>
      <w:pPr>
        <w:pStyle w:val="FootnoteText"/>
      </w:pPr>
      <w:r>
        <w:rPr>
          <w:rStyle w:val="FootnoteReference"/>
        </w:rPr>
        <w:footnoteRef/>
      </w:r>
      <w:r>
        <w:t xml:space="preserve"> Cross-references for "we believe": Matt 16:16; Mark 1:1.</w:t>
      </w:r>
    </w:p>
  </w:footnote>
  <w:footnote w:id="16095">
    <w:p>
      <w:pPr>
        <w:pStyle w:val="FootnoteText"/>
      </w:pPr>
      <w:r>
        <w:rPr>
          <w:rStyle w:val="FootnoteReference"/>
        </w:rPr>
        <w:footnoteRef/>
      </w:r>
      <w:r>
        <w:t xml:space="preserve"> Cross-references for "and one": John 8:44; John 13:2.</w:t>
      </w:r>
    </w:p>
  </w:footnote>
  <w:footnote w:id="16096">
    <w:p>
      <w:pPr>
        <w:pStyle w:val="FootnoteText"/>
      </w:pPr>
      <w:r>
        <w:rPr>
          <w:rStyle w:val="FootnoteReference"/>
        </w:rPr>
        <w:footnoteRef/>
      </w:r>
      <w:r>
        <w:t xml:space="preserve"> Cross-references for "walked": Luke 13:31-33; John 4:3.</w:t>
      </w:r>
    </w:p>
  </w:footnote>
  <w:footnote w:id="16097">
    <w:p>
      <w:pPr>
        <w:pStyle w:val="FootnoteText"/>
      </w:pPr>
      <w:r>
        <w:rPr>
          <w:rStyle w:val="FootnoteReference"/>
        </w:rPr>
        <w:footnoteRef/>
      </w:r>
      <w:r>
        <w:t xml:space="preserve"> Cross-references for "Depart": Gen 37:5-11; Gen 37:20.</w:t>
      </w:r>
    </w:p>
  </w:footnote>
  <w:footnote w:id="16098">
    <w:p>
      <w:pPr>
        <w:pStyle w:val="FootnoteText"/>
      </w:pPr>
      <w:r>
        <w:rPr>
          <w:rStyle w:val="FootnoteReference"/>
        </w:rPr>
        <w:footnoteRef/>
      </w:r>
      <w:r>
        <w:t xml:space="preserve"> Cross-references for "show": 1Kgs 22:13; Matt 4:6.</w:t>
      </w:r>
    </w:p>
  </w:footnote>
  <w:footnote w:id="16099">
    <w:p>
      <w:pPr>
        <w:pStyle w:val="FootnoteText"/>
      </w:pPr>
      <w:r>
        <w:rPr>
          <w:rStyle w:val="FootnoteReference"/>
        </w:rPr>
        <w:footnoteRef/>
      </w:r>
      <w:r>
        <w:t xml:space="preserve"> Cross-references for "My time": Ps 102:13; Eccl 3:1-15.</w:t>
      </w:r>
    </w:p>
  </w:footnote>
  <w:footnote w:id="16100">
    <w:p>
      <w:pPr>
        <w:pStyle w:val="FootnoteText"/>
      </w:pPr>
      <w:r>
        <w:rPr>
          <w:rStyle w:val="FootnoteReference"/>
        </w:rPr>
        <w:footnoteRef/>
      </w:r>
      <w:r>
        <w:t xml:space="preserve"> Cross-references for "world": Luke 6:26; John 15:19.</w:t>
      </w:r>
    </w:p>
  </w:footnote>
  <w:footnote w:id="16101">
    <w:p>
      <w:pPr>
        <w:pStyle w:val="FootnoteText"/>
      </w:pPr>
      <w:r>
        <w:rPr>
          <w:rStyle w:val="FootnoteReference"/>
        </w:rPr>
        <w:footnoteRef/>
      </w:r>
      <w:r>
        <w:t xml:space="preserve"> Cross-references for "Jews": John 11:56.</w:t>
      </w:r>
    </w:p>
  </w:footnote>
  <w:footnote w:id="16102">
    <w:p>
      <w:pPr>
        <w:pStyle w:val="FootnoteText"/>
      </w:pPr>
      <w:r>
        <w:rPr>
          <w:rStyle w:val="FootnoteReference"/>
        </w:rPr>
        <w:footnoteRef/>
      </w:r>
      <w:r>
        <w:t xml:space="preserve"> Cross-references for "is a": Luke 6:45; Luke 18:19.</w:t>
      </w:r>
    </w:p>
  </w:footnote>
  <w:footnote w:id="16103">
    <w:p>
      <w:pPr>
        <w:pStyle w:val="FootnoteText"/>
      </w:pPr>
      <w:r>
        <w:rPr>
          <w:rStyle w:val="FootnoteReference"/>
        </w:rPr>
        <w:footnoteRef/>
      </w:r>
      <w:r>
        <w:t xml:space="preserve"> Cross-references for "the midst": Num 29:12-13; Num 29:17.</w:t>
      </w:r>
    </w:p>
  </w:footnote>
  <w:footnote w:id="16104">
    <w:p>
      <w:pPr>
        <w:pStyle w:val="FootnoteText"/>
      </w:pPr>
      <w:r>
        <w:rPr>
          <w:rStyle w:val="FootnoteReference"/>
        </w:rPr>
        <w:footnoteRef/>
      </w:r>
      <w:r>
        <w:t xml:space="preserve"> Cross-references for "letters": Amos 7:14-15.</w:t>
      </w:r>
    </w:p>
  </w:footnote>
  <w:footnote w:id="16105">
    <w:p>
      <w:pPr>
        <w:pStyle w:val="FootnoteText"/>
      </w:pPr>
      <w:r>
        <w:rPr>
          <w:rStyle w:val="FootnoteReference"/>
        </w:rPr>
        <w:footnoteRef/>
      </w:r>
      <w:r>
        <w:t xml:space="preserve"> Cross-references for "circumcision": Gen 17:10-14; Lev 12:3.</w:t>
      </w:r>
    </w:p>
  </w:footnote>
  <w:footnote w:id="16106">
    <w:p>
      <w:pPr>
        <w:pStyle w:val="FootnoteText"/>
      </w:pPr>
      <w:r>
        <w:rPr>
          <w:rStyle w:val="FootnoteReference"/>
        </w:rPr>
        <w:footnoteRef/>
      </w:r>
      <w:r>
        <w:t xml:space="preserve"> Cross-references for "that the law of Moses should not be broken": Matt 12:5.</w:t>
      </w:r>
    </w:p>
  </w:footnote>
  <w:footnote w:id="16107">
    <w:p>
      <w:pPr>
        <w:pStyle w:val="FootnoteText"/>
      </w:pPr>
      <w:r>
        <w:rPr>
          <w:rStyle w:val="FootnoteReference"/>
        </w:rPr>
        <w:footnoteRef/>
      </w:r>
      <w:r>
        <w:t xml:space="preserve"> Cross-references for "of Jerusalem": John 7:10-11.</w:t>
      </w:r>
    </w:p>
  </w:footnote>
  <w:footnote w:id="16108">
    <w:p>
      <w:pPr>
        <w:pStyle w:val="FootnoteText"/>
      </w:pPr>
      <w:r>
        <w:rPr>
          <w:rStyle w:val="FootnoteReference"/>
        </w:rPr>
        <w:footnoteRef/>
      </w:r>
      <w:r>
        <w:t xml:space="preserve"> Cross-references for "is true": John 3:33; John 5:32.</w:t>
      </w:r>
    </w:p>
  </w:footnote>
  <w:footnote w:id="16109">
    <w:p>
      <w:pPr>
        <w:pStyle w:val="FootnoteText"/>
      </w:pPr>
      <w:r>
        <w:rPr>
          <w:rStyle w:val="FootnoteReference"/>
        </w:rPr>
        <w:footnoteRef/>
      </w:r>
      <w:r>
        <w:t xml:space="preserve"> Cross-references for "believed": Matt 12:23; Luke 8:13.</w:t>
      </w:r>
    </w:p>
  </w:footnote>
  <w:footnote w:id="16110">
    <w:p>
      <w:pPr>
        <w:pStyle w:val="FootnoteText"/>
      </w:pPr>
      <w:r>
        <w:rPr>
          <w:rStyle w:val="FootnoteReference"/>
        </w:rPr>
        <w:footnoteRef/>
      </w:r>
      <w:r>
        <w:t xml:space="preserve"> Cross-references for "Pharisees heard": Matt 12:23-24; Matt 23:13.</w:t>
      </w:r>
    </w:p>
  </w:footnote>
  <w:footnote w:id="16111">
    <w:p>
      <w:pPr>
        <w:pStyle w:val="FootnoteText"/>
      </w:pPr>
      <w:r>
        <w:rPr>
          <w:rStyle w:val="FootnoteReference"/>
        </w:rPr>
        <w:footnoteRef/>
      </w:r>
      <w:r>
        <w:t xml:space="preserve"> People-name: Gentiles. People-name meaning: Gentiles — nations; non-Jewish peoples. Source form: Gentiles.</w:t>
      </w:r>
    </w:p>
  </w:footnote>
  <w:footnote w:id="16112">
    <w:p>
      <w:pPr>
        <w:pStyle w:val="FootnoteText"/>
      </w:pPr>
      <w:r>
        <w:rPr>
          <w:rStyle w:val="FootnoteReference"/>
        </w:rPr>
        <w:footnoteRef/>
      </w:r>
      <w:r>
        <w:t xml:space="preserve"> Cross-references for "teach": Ps 67:1-2; Ps 98:2-3.</w:t>
      </w:r>
    </w:p>
  </w:footnote>
  <w:footnote w:id="16113">
    <w:p>
      <w:pPr>
        <w:pStyle w:val="FootnoteText"/>
      </w:pPr>
      <w:r>
        <w:rPr>
          <w:rStyle w:val="FootnoteReference"/>
        </w:rPr>
        <w:footnoteRef/>
      </w:r>
      <w:r>
        <w:t xml:space="preserve"> Cross-references for "the last": Lev 23:36; Lev 23:39.</w:t>
      </w:r>
    </w:p>
  </w:footnote>
  <w:footnote w:id="16114">
    <w:p>
      <w:pPr>
        <w:pStyle w:val="FootnoteText"/>
      </w:pPr>
      <w:r>
        <w:rPr>
          <w:rStyle w:val="FootnoteReference"/>
        </w:rPr>
        <w:footnoteRef/>
      </w:r>
      <w:r>
        <w:t xml:space="preserve"> Cross-references for "glorified": John 12:16; John 13:31-32.</w:t>
      </w:r>
    </w:p>
  </w:footnote>
  <w:footnote w:id="16115">
    <w:p>
      <w:pPr>
        <w:pStyle w:val="FootnoteText"/>
      </w:pPr>
      <w:r>
        <w:rPr>
          <w:rStyle w:val="FootnoteReference"/>
        </w:rPr>
        <w:footnoteRef/>
      </w:r>
      <w:r>
        <w:t xml:space="preserve"> Cross-references for "This is": Matt 16:14-16; John 1:41.</w:t>
      </w:r>
    </w:p>
  </w:footnote>
  <w:footnote w:id="16116">
    <w:p>
      <w:pPr>
        <w:pStyle w:val="FootnoteText"/>
      </w:pPr>
      <w:r>
        <w:rPr>
          <w:rStyle w:val="FootnoteReference"/>
        </w:rPr>
        <w:footnoteRef/>
      </w:r>
      <w:r>
        <w:t xml:space="preserve"> Cross-references for "the officers": John 7:32; Acts 5:21-27.</w:t>
      </w:r>
    </w:p>
  </w:footnote>
  <w:footnote w:id="16117">
    <w:p>
      <w:pPr>
        <w:pStyle w:val="FootnoteText"/>
      </w:pPr>
      <w:r>
        <w:rPr>
          <w:rStyle w:val="FootnoteReference"/>
        </w:rPr>
        <w:footnoteRef/>
      </w:r>
      <w:r>
        <w:t xml:space="preserve"> Cross-references for "Never": Matt 7:29; Luke 4:22.</w:t>
      </w:r>
    </w:p>
  </w:footnote>
  <w:footnote w:id="16118">
    <w:p>
      <w:pPr>
        <w:pStyle w:val="FootnoteText"/>
      </w:pPr>
      <w:r>
        <w:rPr>
          <w:rStyle w:val="FootnoteReference"/>
        </w:rPr>
        <w:footnoteRef/>
      </w:r>
      <w:r>
        <w:t xml:space="preserve"> Cross-references for "Search": Isa 9:1-2; Matt 4:15-16.</w:t>
      </w:r>
    </w:p>
  </w:footnote>
  <w:footnote w:id="16119">
    <w:p>
      <w:pPr>
        <w:pStyle w:val="FootnoteText"/>
      </w:pPr>
      <w:r>
        <w:rPr>
          <w:rStyle w:val="FootnoteReference"/>
        </w:rPr>
        <w:footnoteRef/>
      </w:r>
      <w:r>
        <w:t xml:space="preserve"> Cross-references for "early": Eccl 9:10; Jer 25:3.</w:t>
      </w:r>
    </w:p>
  </w:footnote>
  <w:footnote w:id="16120">
    <w:p>
      <w:pPr>
        <w:pStyle w:val="FootnoteText"/>
      </w:pPr>
      <w:r>
        <w:rPr>
          <w:rStyle w:val="FootnoteReference"/>
        </w:rPr>
        <w:footnoteRef/>
      </w:r>
      <w:r>
        <w:t xml:space="preserve"> Cross-references for "Moses": Lev 20:10; Deut 22:21-24.</w:t>
      </w:r>
    </w:p>
  </w:footnote>
  <w:footnote w:id="16121">
    <w:p>
      <w:pPr>
        <w:pStyle w:val="FootnoteText"/>
      </w:pPr>
      <w:r>
        <w:rPr>
          <w:rStyle w:val="FootnoteReference"/>
        </w:rPr>
        <w:footnoteRef/>
      </w:r>
      <w:r>
        <w:t xml:space="preserve"> Cross-references for "tempting": Num 14:22; Matt 19:3.</w:t>
      </w:r>
    </w:p>
  </w:footnote>
  <w:footnote w:id="16122">
    <w:p>
      <w:pPr>
        <w:pStyle w:val="FootnoteText"/>
      </w:pPr>
      <w:r>
        <w:rPr>
          <w:rStyle w:val="FootnoteReference"/>
        </w:rPr>
        <w:footnoteRef/>
      </w:r>
      <w:r>
        <w:t xml:space="preserve"> Cross-references for "and said": Prov 12:18; Prov 26:4-5.</w:t>
      </w:r>
    </w:p>
  </w:footnote>
  <w:footnote w:id="16123">
    <w:p>
      <w:pPr>
        <w:pStyle w:val="FootnoteText"/>
      </w:pPr>
      <w:r>
        <w:rPr>
          <w:rStyle w:val="FootnoteReference"/>
        </w:rPr>
        <w:footnoteRef/>
      </w:r>
      <w:r>
        <w:t xml:space="preserve"> Cross-references for "went out": Job 5:12-13; Job 20:5.</w:t>
      </w:r>
    </w:p>
  </w:footnote>
  <w:footnote w:id="16124">
    <w:p>
      <w:pPr>
        <w:pStyle w:val="FootnoteText"/>
      </w:pPr>
      <w:r>
        <w:rPr>
          <w:rStyle w:val="FootnoteReference"/>
        </w:rPr>
        <w:footnoteRef/>
      </w:r>
      <w:r>
        <w:t xml:space="preserve"> Cross-references for "shall not": Ps 18:28; Ps 97:11.</w:t>
      </w:r>
    </w:p>
  </w:footnote>
  <w:footnote w:id="16125">
    <w:p>
      <w:pPr>
        <w:pStyle w:val="FootnoteText"/>
      </w:pPr>
      <w:r>
        <w:rPr>
          <w:rStyle w:val="FootnoteReference"/>
        </w:rPr>
        <w:footnoteRef/>
      </w:r>
      <w:r>
        <w:t xml:space="preserve"> Cross-references for "judge": 1Sam 16:7; Ps 58:1-2.</w:t>
      </w:r>
    </w:p>
  </w:footnote>
  <w:footnote w:id="16126">
    <w:p>
      <w:pPr>
        <w:pStyle w:val="FootnoteText"/>
      </w:pPr>
      <w:r>
        <w:rPr>
          <w:rStyle w:val="FootnoteReference"/>
        </w:rPr>
        <w:footnoteRef/>
      </w:r>
      <w:r>
        <w:t xml:space="preserve"> Cross-references for "also": John 10:34; John 15:25.</w:t>
      </w:r>
    </w:p>
  </w:footnote>
  <w:footnote w:id="16127">
    <w:p>
      <w:pPr>
        <w:pStyle w:val="FootnoteText"/>
      </w:pPr>
      <w:r>
        <w:rPr>
          <w:rStyle w:val="FootnoteReference"/>
        </w:rPr>
        <w:footnoteRef/>
      </w:r>
      <w:r>
        <w:t xml:space="preserve"> Cross-references for "in the treasury": 1Chr 9:26; Matt 27:6.</w:t>
      </w:r>
    </w:p>
  </w:footnote>
  <w:footnote w:id="16128">
    <w:p>
      <w:pPr>
        <w:pStyle w:val="FootnoteText"/>
      </w:pPr>
      <w:r>
        <w:rPr>
          <w:rStyle w:val="FootnoteReference"/>
        </w:rPr>
        <w:footnoteRef/>
      </w:r>
      <w:r>
        <w:t xml:space="preserve"> Cross-references for "I go": 1Kgs 18:10; 2Kgs 2:16-17.</w:t>
      </w:r>
    </w:p>
  </w:footnote>
  <w:footnote w:id="16129">
    <w:p>
      <w:pPr>
        <w:pStyle w:val="FootnoteText"/>
      </w:pPr>
      <w:r>
        <w:rPr>
          <w:rStyle w:val="FootnoteReference"/>
        </w:rPr>
        <w:footnoteRef/>
      </w:r>
      <w:r>
        <w:t xml:space="preserve"> Cross-references for "Will": Ps 22:6; Ps 31:18.</w:t>
      </w:r>
    </w:p>
  </w:footnote>
  <w:footnote w:id="16130">
    <w:p>
      <w:pPr>
        <w:pStyle w:val="FootnoteText"/>
      </w:pPr>
      <w:r>
        <w:rPr>
          <w:rStyle w:val="FootnoteReference"/>
        </w:rPr>
        <w:footnoteRef/>
      </w:r>
      <w:r>
        <w:t xml:space="preserve"> Cross-references for "I said": John 8:21.</w:t>
      </w:r>
    </w:p>
  </w:footnote>
  <w:footnote w:id="16131">
    <w:p>
      <w:pPr>
        <w:pStyle w:val="FootnoteText"/>
      </w:pPr>
      <w:r>
        <w:rPr>
          <w:rStyle w:val="FootnoteReference"/>
        </w:rPr>
        <w:footnoteRef/>
      </w:r>
      <w:r>
        <w:t xml:space="preserve"> Cross-references for "have many": John 16:12; Heb 5:11-12.</w:t>
      </w:r>
    </w:p>
  </w:footnote>
  <w:footnote w:id="16132">
    <w:p>
      <w:pPr>
        <w:pStyle w:val="FootnoteText"/>
      </w:pPr>
      <w:r>
        <w:rPr>
          <w:rStyle w:val="FootnoteReference"/>
        </w:rPr>
        <w:footnoteRef/>
      </w:r>
      <w:r>
        <w:t xml:space="preserve"> Cross-references for "and that": Num 16:28-30; John 5:19.</w:t>
      </w:r>
    </w:p>
  </w:footnote>
  <w:footnote w:id="16133">
    <w:p>
      <w:pPr>
        <w:pStyle w:val="FootnoteText"/>
      </w:pPr>
      <w:r>
        <w:rPr>
          <w:rStyle w:val="FootnoteReference"/>
        </w:rPr>
        <w:footnoteRef/>
      </w:r>
      <w:r>
        <w:t xml:space="preserve"> Cross-references for "my disciples": John 1:47; John 6:55.</w:t>
      </w:r>
    </w:p>
  </w:footnote>
  <w:footnote w:id="16134">
    <w:p>
      <w:pPr>
        <w:pStyle w:val="FootnoteText"/>
      </w:pPr>
      <w:r>
        <w:rPr>
          <w:rStyle w:val="FootnoteReference"/>
        </w:rPr>
        <w:footnoteRef/>
      </w:r>
      <w:r>
        <w:t xml:space="preserve"> Cross-references for "and were": Gen 15:13; Exod 1:13-14.</w:t>
      </w:r>
    </w:p>
  </w:footnote>
  <w:footnote w:id="16135">
    <w:p>
      <w:pPr>
        <w:pStyle w:val="FootnoteText"/>
      </w:pPr>
      <w:r>
        <w:rPr>
          <w:rStyle w:val="FootnoteReference"/>
        </w:rPr>
        <w:footnoteRef/>
      </w:r>
      <w:r>
        <w:t xml:space="preserve"> Cross-references for "know": John 8:33; Acts 13:26.</w:t>
      </w:r>
    </w:p>
  </w:footnote>
  <w:footnote w:id="16136">
    <w:p>
      <w:pPr>
        <w:pStyle w:val="FootnoteText"/>
      </w:pPr>
      <w:r>
        <w:rPr>
          <w:rStyle w:val="FootnoteReference"/>
        </w:rPr>
        <w:footnoteRef/>
      </w:r>
      <w:r>
        <w:t xml:space="preserve"> Cross-references for "speak": John 3:32; John 5:19.</w:t>
      </w:r>
    </w:p>
  </w:footnote>
  <w:footnote w:id="16137">
    <w:p>
      <w:pPr>
        <w:pStyle w:val="FootnoteText"/>
      </w:pPr>
      <w:r>
        <w:rPr>
          <w:rStyle w:val="FootnoteReference"/>
        </w:rPr>
        <w:footnoteRef/>
      </w:r>
      <w:r>
        <w:t xml:space="preserve"> Cross-references for "Abraham": John 8:33.</w:t>
      </w:r>
    </w:p>
  </w:footnote>
  <w:footnote w:id="16138">
    <w:p>
      <w:pPr>
        <w:pStyle w:val="FootnoteText"/>
      </w:pPr>
      <w:r>
        <w:rPr>
          <w:rStyle w:val="FootnoteReference"/>
        </w:rPr>
        <w:footnoteRef/>
      </w:r>
      <w:r>
        <w:t xml:space="preserve"> Cross-references for "a man": John 8:26; John 8:38.</w:t>
      </w:r>
    </w:p>
  </w:footnote>
  <w:footnote w:id="16139">
    <w:p>
      <w:pPr>
        <w:pStyle w:val="FootnoteText"/>
      </w:pPr>
      <w:r>
        <w:rPr>
          <w:rStyle w:val="FootnoteReference"/>
        </w:rPr>
        <w:footnoteRef/>
      </w:r>
      <w:r>
        <w:t xml:space="preserve"> Cross-references for "I have not": Prov 26:4-5; 1Pet 2:23.</w:t>
      </w:r>
    </w:p>
  </w:footnote>
  <w:footnote w:id="16140">
    <w:p>
      <w:pPr>
        <w:pStyle w:val="FootnoteText"/>
      </w:pPr>
      <w:r>
        <w:rPr>
          <w:rStyle w:val="FootnoteReference"/>
        </w:rPr>
        <w:footnoteRef/>
      </w:r>
      <w:r>
        <w:t xml:space="preserve"> Cross-references for "keep": John 8:55; John 15:20.</w:t>
      </w:r>
    </w:p>
  </w:footnote>
  <w:footnote w:id="16141">
    <w:p>
      <w:pPr>
        <w:pStyle w:val="FootnoteText"/>
      </w:pPr>
      <w:r>
        <w:rPr>
          <w:rStyle w:val="FootnoteReference"/>
        </w:rPr>
        <w:footnoteRef/>
      </w:r>
      <w:r>
        <w:t xml:space="preserve"> Cross-references for "Abraham": Zech 1:5-6; Heb 11:13.</w:t>
      </w:r>
    </w:p>
  </w:footnote>
  <w:footnote w:id="16142">
    <w:p>
      <w:pPr>
        <w:pStyle w:val="FootnoteText"/>
      </w:pPr>
      <w:r>
        <w:rPr>
          <w:rStyle w:val="FootnoteReference"/>
        </w:rPr>
        <w:footnoteRef/>
      </w:r>
      <w:r>
        <w:t xml:space="preserve"> Cross-references for "and keep": John 8:29; John 8:51.</w:t>
      </w:r>
    </w:p>
  </w:footnote>
  <w:footnote w:id="16143">
    <w:p>
      <w:pPr>
        <w:pStyle w:val="FootnoteText"/>
      </w:pPr>
      <w:r>
        <w:rPr>
          <w:rStyle w:val="FootnoteReference"/>
        </w:rPr>
        <w:footnoteRef/>
      </w:r>
      <w:r>
        <w:t xml:space="preserve"> Cross-references for "rejoiced": Gen 22:18; Luke 2:28-30.</w:t>
      </w:r>
    </w:p>
  </w:footnote>
  <w:footnote w:id="1614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6145">
    <w:p>
      <w:pPr>
        <w:pStyle w:val="FootnoteText"/>
      </w:pPr>
      <w:r>
        <w:rPr>
          <w:rStyle w:val="FootnoteReference"/>
        </w:rPr>
        <w:footnoteRef/>
      </w:r>
      <w:r>
        <w:t xml:space="preserve"> Cross-references for "took": Lev 24:16; Luke 4:29.</w:t>
      </w:r>
    </w:p>
  </w:footnote>
  <w:footnote w:id="16146">
    <w:p>
      <w:pPr>
        <w:pStyle w:val="FootnoteText"/>
      </w:pPr>
      <w:r>
        <w:rPr>
          <w:rStyle w:val="FootnoteReference"/>
        </w:rPr>
        <w:footnoteRef/>
      </w:r>
      <w:r>
        <w:t xml:space="preserve"> Cross-references for "he saw": John 9:32.</w:t>
      </w:r>
    </w:p>
  </w:footnote>
  <w:footnote w:id="16147">
    <w:p>
      <w:pPr>
        <w:pStyle w:val="FootnoteText"/>
      </w:pPr>
      <w:r>
        <w:rPr>
          <w:rStyle w:val="FootnoteReference"/>
        </w:rPr>
        <w:footnoteRef/>
      </w:r>
      <w:r>
        <w:t xml:space="preserve"> Cross-references for "must": Luke 13:32-34; John 4:34.</w:t>
      </w:r>
    </w:p>
  </w:footnote>
  <w:footnote w:id="16148">
    <w:p>
      <w:pPr>
        <w:pStyle w:val="FootnoteText"/>
      </w:pPr>
      <w:r>
        <w:rPr>
          <w:rStyle w:val="FootnoteReference"/>
        </w:rPr>
        <w:footnoteRef/>
      </w:r>
      <w:r>
        <w:t xml:space="preserve"> Cross-references for "long": Isa 42:6-7; Isa 49:6.</w:t>
      </w:r>
    </w:p>
  </w:footnote>
  <w:footnote w:id="16149">
    <w:p>
      <w:pPr>
        <w:pStyle w:val="FootnoteText"/>
      </w:pPr>
      <w:r>
        <w:rPr>
          <w:rStyle w:val="FootnoteReference"/>
        </w:rPr>
        <w:footnoteRef/>
      </w:r>
      <w:r>
        <w:t xml:space="preserve"> Cross-references for "he spat": Mark 7:33; Mark 8:23.</w:t>
      </w:r>
    </w:p>
  </w:footnote>
  <w:footnote w:id="16150">
    <w:p>
      <w:pPr>
        <w:pStyle w:val="FootnoteText"/>
      </w:pPr>
      <w:r>
        <w:rPr>
          <w:rStyle w:val="FootnoteReference"/>
        </w:rPr>
        <w:footnoteRef/>
      </w:r>
      <w:r>
        <w:t xml:space="preserve"> Cross-references for "the pool": Neh 3:15; Isa 8:6.</w:t>
      </w:r>
    </w:p>
  </w:footnote>
  <w:footnote w:id="16151">
    <w:p>
      <w:pPr>
        <w:pStyle w:val="FootnoteText"/>
      </w:pPr>
      <w:r>
        <w:rPr>
          <w:rStyle w:val="FootnoteReference"/>
        </w:rPr>
        <w:footnoteRef/>
      </w:r>
      <w:r>
        <w:t xml:space="preserve"> Cross-references for "A man": Jer 36:17; John 9:6-7.</w:t>
      </w:r>
    </w:p>
  </w:footnote>
  <w:footnote w:id="16152">
    <w:p>
      <w:pPr>
        <w:pStyle w:val="FootnoteText"/>
      </w:pPr>
      <w:r>
        <w:rPr>
          <w:rStyle w:val="FootnoteReference"/>
        </w:rPr>
        <w:footnoteRef/>
      </w:r>
      <w:r>
        <w:t xml:space="preserve"> Cross-references for "the Pharisees": John 9:10-11; John 9:26-27.</w:t>
      </w:r>
    </w:p>
  </w:footnote>
  <w:footnote w:id="16153">
    <w:p>
      <w:pPr>
        <w:pStyle w:val="FootnoteText"/>
      </w:pPr>
      <w:r>
        <w:rPr>
          <w:rStyle w:val="FootnoteReference"/>
        </w:rPr>
        <w:footnoteRef/>
      </w:r>
      <w:r>
        <w:t xml:space="preserve"> Cross-references for "This man": John 3:2; John 5:36.</w:t>
      </w:r>
    </w:p>
  </w:footnote>
  <w:footnote w:id="16154">
    <w:p>
      <w:pPr>
        <w:pStyle w:val="FootnoteText"/>
      </w:pPr>
      <w:r>
        <w:rPr>
          <w:rStyle w:val="FootnoteReference"/>
        </w:rPr>
        <w:footnoteRef/>
      </w:r>
      <w:r>
        <w:t xml:space="preserve"> Cross-references for "Is this": John 9:8-9; Acts 3:10.</w:t>
      </w:r>
    </w:p>
  </w:footnote>
  <w:footnote w:id="16155">
    <w:p>
      <w:pPr>
        <w:pStyle w:val="FootnoteText"/>
      </w:pPr>
      <w:r>
        <w:rPr>
          <w:rStyle w:val="FootnoteReference"/>
        </w:rPr>
        <w:footnoteRef/>
      </w:r>
      <w:r>
        <w:t xml:space="preserve"> Cross-references for "he should": Luke 6:22; John 9:34.</w:t>
      </w:r>
    </w:p>
  </w:footnote>
  <w:footnote w:id="16156">
    <w:p>
      <w:pPr>
        <w:pStyle w:val="FootnoteText"/>
      </w:pPr>
      <w:r>
        <w:rPr>
          <w:rStyle w:val="FootnoteReference"/>
        </w:rPr>
        <w:footnoteRef/>
      </w:r>
      <w:r>
        <w:t xml:space="preserve"> Cross-references for "Give": Josh 7:19; 1Sam 6:5-9.</w:t>
      </w:r>
    </w:p>
  </w:footnote>
  <w:footnote w:id="16157">
    <w:p>
      <w:pPr>
        <w:pStyle w:val="FootnoteText"/>
      </w:pPr>
      <w:r>
        <w:rPr>
          <w:rStyle w:val="FootnoteReference"/>
        </w:rPr>
        <w:footnoteRef/>
      </w:r>
      <w:r>
        <w:t xml:space="preserve"> Cross-references for "know": Num 12:2-7; Num 16:28.</w:t>
      </w:r>
    </w:p>
  </w:footnote>
  <w:footnote w:id="16158">
    <w:p>
      <w:pPr>
        <w:pStyle w:val="FootnoteText"/>
      </w:pPr>
      <w:r>
        <w:rPr>
          <w:rStyle w:val="FootnoteReference"/>
        </w:rPr>
        <w:footnoteRef/>
      </w:r>
      <w:r>
        <w:t xml:space="preserve"> Cross-references for "and yet": Ps 119:18; Isa 29:18.</w:t>
      </w:r>
    </w:p>
  </w:footnote>
  <w:footnote w:id="16159">
    <w:p>
      <w:pPr>
        <w:pStyle w:val="FootnoteText"/>
      </w:pPr>
      <w:r>
        <w:rPr>
          <w:rStyle w:val="FootnoteReference"/>
        </w:rPr>
        <w:footnoteRef/>
      </w:r>
      <w:r>
        <w:t xml:space="preserve"> Cross-references for "the world": Job 20:4; Isa 64:4.</w:t>
      </w:r>
    </w:p>
  </w:footnote>
  <w:footnote w:id="16160">
    <w:p>
      <w:pPr>
        <w:pStyle w:val="FootnoteText"/>
      </w:pPr>
      <w:r>
        <w:rPr>
          <w:rStyle w:val="FootnoteReference"/>
        </w:rPr>
        <w:footnoteRef/>
      </w:r>
      <w:r>
        <w:t xml:space="preserve"> Cross-references for "cast him out": Matt 18:17-18; 1Cor 5:4-5.</w:t>
      </w:r>
    </w:p>
  </w:footnote>
  <w:footnote w:id="16161">
    <w:p>
      <w:pPr>
        <w:pStyle w:val="FootnoteText"/>
      </w:pPr>
      <w:r>
        <w:rPr>
          <w:rStyle w:val="FootnoteReference"/>
        </w:rPr>
        <w:footnoteRef/>
      </w:r>
      <w:r>
        <w:t xml:space="preserve"> Cross-references for "and when": Ps 27:10; John 5:14.</w:t>
      </w:r>
    </w:p>
  </w:footnote>
  <w:footnote w:id="16162">
    <w:p>
      <w:pPr>
        <w:pStyle w:val="FootnoteText"/>
      </w:pPr>
      <w:r>
        <w:rPr>
          <w:rStyle w:val="FootnoteReference"/>
        </w:rPr>
        <w:footnoteRef/>
      </w:r>
      <w:r>
        <w:t xml:space="preserve"> Cross-references for "Lord": John 20:28.</w:t>
      </w:r>
    </w:p>
  </w:footnote>
  <w:footnote w:id="16163">
    <w:p>
      <w:pPr>
        <w:pStyle w:val="FootnoteText"/>
      </w:pPr>
      <w:r>
        <w:rPr>
          <w:rStyle w:val="FootnoteReference"/>
        </w:rPr>
        <w:footnoteRef/>
      </w:r>
      <w:r>
        <w:t xml:space="preserve"> Cross-references for "might be": Isa 6:9; Isa 29:10.</w:t>
      </w:r>
    </w:p>
  </w:footnote>
  <w:footnote w:id="16164">
    <w:p>
      <w:pPr>
        <w:pStyle w:val="FootnoteText"/>
      </w:pPr>
      <w:r>
        <w:rPr>
          <w:rStyle w:val="FootnoteReference"/>
        </w:rPr>
        <w:footnoteRef/>
      </w:r>
      <w:r>
        <w:t xml:space="preserve"> Cross-references for "the shepherd": Ps 23:1; Ps 80:1.</w:t>
      </w:r>
    </w:p>
  </w:footnote>
  <w:footnote w:id="16165">
    <w:p>
      <w:pPr>
        <w:pStyle w:val="FootnoteText"/>
      </w:pPr>
      <w:r>
        <w:rPr>
          <w:rStyle w:val="FootnoteReference"/>
        </w:rPr>
        <w:footnoteRef/>
      </w:r>
      <w:r>
        <w:t xml:space="preserve"> Cross-references for "the sheep": Song 8:13; John 6:37.</w:t>
      </w:r>
    </w:p>
  </w:footnote>
  <w:footnote w:id="16166">
    <w:p>
      <w:pPr>
        <w:pStyle w:val="FootnoteText"/>
      </w:pPr>
      <w:r>
        <w:rPr>
          <w:rStyle w:val="FootnoteReference"/>
        </w:rPr>
        <w:footnoteRef/>
      </w:r>
      <w:r>
        <w:t xml:space="preserve"> Cross-references for "the sheep": Ps 79:13; Ps 95:7.</w:t>
      </w:r>
    </w:p>
  </w:footnote>
  <w:footnote w:id="16167">
    <w:p>
      <w:pPr>
        <w:pStyle w:val="FootnoteText"/>
      </w:pPr>
      <w:r>
        <w:rPr>
          <w:rStyle w:val="FootnoteReference"/>
        </w:rPr>
        <w:footnoteRef/>
      </w:r>
      <w:r>
        <w:t xml:space="preserve"> Cross-references for "the door": John 10:1; John 10:7.</w:t>
      </w:r>
    </w:p>
  </w:footnote>
  <w:footnote w:id="16168">
    <w:p>
      <w:pPr>
        <w:pStyle w:val="FootnoteText"/>
      </w:pPr>
      <w:r>
        <w:rPr>
          <w:rStyle w:val="FootnoteReference"/>
        </w:rPr>
        <w:footnoteRef/>
      </w:r>
      <w:r>
        <w:t xml:space="preserve"> Cross-references for "thief": Isa 56:11; Ezek 34:2-4.</w:t>
      </w:r>
    </w:p>
  </w:footnote>
  <w:footnote w:id="16169">
    <w:p>
      <w:pPr>
        <w:pStyle w:val="FootnoteText"/>
      </w:pPr>
      <w:r>
        <w:rPr>
          <w:rStyle w:val="FootnoteReference"/>
        </w:rPr>
        <w:footnoteRef/>
      </w:r>
      <w:r>
        <w:t xml:space="preserve"> Cross-references for "the good": Ps 23:1; Ps 80:1.</w:t>
      </w:r>
    </w:p>
  </w:footnote>
  <w:footnote w:id="16170">
    <w:p>
      <w:pPr>
        <w:pStyle w:val="FootnoteText"/>
      </w:pPr>
      <w:r>
        <w:rPr>
          <w:rStyle w:val="FootnoteReference"/>
        </w:rPr>
        <w:footnoteRef/>
      </w:r>
      <w:r>
        <w:t xml:space="preserve"> Cross-references for "the wolf coming": Matt 7:15; Matt 10:16.</w:t>
      </w:r>
    </w:p>
  </w:footnote>
  <w:footnote w:id="16171">
    <w:p>
      <w:pPr>
        <w:pStyle w:val="FootnoteText"/>
      </w:pPr>
      <w:r>
        <w:rPr>
          <w:rStyle w:val="FootnoteReference"/>
        </w:rPr>
        <w:footnoteRef/>
      </w:r>
      <w:r>
        <w:t xml:space="preserve"> Cross-references for "good": John 10:11.</w:t>
      </w:r>
    </w:p>
  </w:footnote>
  <w:footnote w:id="16172">
    <w:p>
      <w:pPr>
        <w:pStyle w:val="FootnoteText"/>
      </w:pPr>
      <w:r>
        <w:rPr>
          <w:rStyle w:val="FootnoteReference"/>
        </w:rPr>
        <w:footnoteRef/>
      </w:r>
      <w:r>
        <w:t xml:space="preserve"> Cross-references for "other": Gen 49:10; Ps 22:26-31.</w:t>
      </w:r>
    </w:p>
  </w:footnote>
  <w:footnote w:id="16173">
    <w:p>
      <w:pPr>
        <w:pStyle w:val="FootnoteText"/>
      </w:pPr>
      <w:r>
        <w:rPr>
          <w:rStyle w:val="FootnoteReference"/>
        </w:rPr>
        <w:footnoteRef/>
      </w:r>
      <w:r>
        <w:t xml:space="preserve"> Cross-references for "in Solomon's": Acts 3:11; Acts 5:12.</w:t>
      </w:r>
    </w:p>
  </w:footnote>
  <w:footnote w:id="16174">
    <w:p>
      <w:pPr>
        <w:pStyle w:val="FootnoteText"/>
      </w:pPr>
      <w:r>
        <w:rPr>
          <w:rStyle w:val="FootnoteReference"/>
        </w:rPr>
        <w:footnoteRef/>
      </w:r>
      <w:r>
        <w:t xml:space="preserve"> Cross-references for "I told": John 5:17-43; John 8:12.</w:t>
      </w:r>
    </w:p>
  </w:footnote>
  <w:footnote w:id="16175">
    <w:p>
      <w:pPr>
        <w:pStyle w:val="FootnoteText"/>
      </w:pPr>
      <w:r>
        <w:rPr>
          <w:rStyle w:val="FootnoteReference"/>
        </w:rPr>
        <w:footnoteRef/>
      </w:r>
      <w:r>
        <w:t xml:space="preserve"> Cross-references for "sheep": Matt 17:5; John 5:25.</w:t>
      </w:r>
    </w:p>
  </w:footnote>
  <w:footnote w:id="16176">
    <w:p>
      <w:pPr>
        <w:pStyle w:val="FootnoteText"/>
      </w:pPr>
      <w:r>
        <w:rPr>
          <w:rStyle w:val="FootnoteReference"/>
        </w:rPr>
        <w:footnoteRef/>
      </w:r>
      <w:r>
        <w:t xml:space="preserve"> Cross-references for "I give": John 3:16; John 3:36.</w:t>
      </w:r>
    </w:p>
  </w:footnote>
  <w:footnote w:id="16177">
    <w:p>
      <w:pPr>
        <w:pStyle w:val="FootnoteText"/>
      </w:pPr>
      <w:r>
        <w:rPr>
          <w:rStyle w:val="FootnoteReference"/>
        </w:rPr>
        <w:footnoteRef/>
      </w:r>
      <w:r>
        <w:t xml:space="preserve"> Cross-references for "is greater": Exod 18:11; Ps 145:3.</w:t>
      </w:r>
    </w:p>
  </w:footnote>
  <w:footnote w:id="16178">
    <w:p>
      <w:pPr>
        <w:pStyle w:val="FootnoteText"/>
      </w:pPr>
      <w:r>
        <w:rPr>
          <w:rStyle w:val="FootnoteReference"/>
        </w:rPr>
        <w:footnoteRef/>
      </w:r>
      <w:r>
        <w:t xml:space="preserve"> Cross-references for "I said": Ps 82:1; Ps 82:6-7.</w:t>
      </w:r>
    </w:p>
  </w:footnote>
  <w:footnote w:id="16179">
    <w:p>
      <w:pPr>
        <w:pStyle w:val="FootnoteText"/>
      </w:pPr>
      <w:r>
        <w:rPr>
          <w:rStyle w:val="FootnoteReference"/>
        </w:rPr>
        <w:footnoteRef/>
      </w:r>
      <w:r>
        <w:t xml:space="preserve"> Cross-references for "the scripture": Matt 5:18; Matt 24:35.</w:t>
      </w:r>
    </w:p>
  </w:footnote>
  <w:footnote w:id="16180">
    <w:p>
      <w:pPr>
        <w:pStyle w:val="FootnoteText"/>
      </w:pPr>
      <w:r>
        <w:rPr>
          <w:rStyle w:val="FootnoteReference"/>
        </w:rPr>
        <w:footnoteRef/>
      </w:r>
      <w:r>
        <w:t xml:space="preserve"> Cross-references for "sent": John 3:17; John 5:30.</w:t>
      </w:r>
    </w:p>
  </w:footnote>
  <w:footnote w:id="16181">
    <w:p>
      <w:pPr>
        <w:pStyle w:val="FootnoteText"/>
      </w:pPr>
      <w:r>
        <w:rPr>
          <w:rStyle w:val="FootnoteReference"/>
        </w:rPr>
        <w:footnoteRef/>
      </w:r>
      <w:r>
        <w:t xml:space="preserve"> Cross-references for "believe the": John 3:2; John 5:36.</w:t>
      </w:r>
    </w:p>
  </w:footnote>
  <w:footnote w:id="16182">
    <w:p>
      <w:pPr>
        <w:pStyle w:val="FootnoteText"/>
      </w:pPr>
      <w:r>
        <w:rPr>
          <w:rStyle w:val="FootnoteReference"/>
        </w:rPr>
        <w:footnoteRef/>
      </w:r>
      <w:r>
        <w:t xml:space="preserve"> Cross-references for "the place": John 1:28; John 3:26.</w:t>
      </w:r>
    </w:p>
  </w:footnote>
  <w:footnote w:id="16183">
    <w:p>
      <w:pPr>
        <w:pStyle w:val="FootnoteText"/>
      </w:pPr>
      <w:r>
        <w:rPr>
          <w:rStyle w:val="FootnoteReference"/>
        </w:rPr>
        <w:footnoteRef/>
      </w:r>
      <w:r>
        <w:t xml:space="preserve"> Cross-references for "John did": Matt 14:2; Luke 7:26-28.</w:t>
      </w:r>
    </w:p>
  </w:footnote>
  <w:footnote w:id="16184">
    <w:p>
      <w:pPr>
        <w:pStyle w:val="FootnoteText"/>
      </w:pPr>
      <w:r>
        <w:rPr>
          <w:rStyle w:val="FootnoteReference"/>
        </w:rPr>
        <w:footnoteRef/>
      </w:r>
      <w:r>
        <w:t xml:space="preserve"> Cross-references for "was sick": Gen 48:1; 2Kgs 20:1-12.</w:t>
      </w:r>
    </w:p>
  </w:footnote>
  <w:footnote w:id="16185">
    <w:p>
      <w:pPr>
        <w:pStyle w:val="FootnoteText"/>
      </w:pPr>
      <w:r>
        <w:rPr>
          <w:rStyle w:val="FootnoteReference"/>
        </w:rPr>
        <w:footnoteRef/>
      </w:r>
      <w:r>
        <w:t xml:space="preserve"> Name meaning: Lazarus (Eleazar) — God has helped. Raised from the dead.</w:t>
      </w:r>
    </w:p>
  </w:footnote>
  <w:footnote w:id="16186">
    <w:p>
      <w:pPr>
        <w:pStyle w:val="FootnoteText"/>
      </w:pPr>
      <w:r>
        <w:rPr>
          <w:rStyle w:val="FootnoteReference"/>
        </w:rPr>
        <w:footnoteRef/>
      </w:r>
      <w:r>
        <w:t xml:space="preserve"> Cross-references for "that Mary": Matt 26:6-7; Mark 14:3.</w:t>
      </w:r>
    </w:p>
  </w:footnote>
  <w:footnote w:id="16187">
    <w:p>
      <w:pPr>
        <w:pStyle w:val="FootnoteText"/>
      </w:pPr>
      <w:r>
        <w:rPr>
          <w:rStyle w:val="FootnoteReference"/>
        </w:rPr>
        <w:footnoteRef/>
      </w:r>
      <w:r>
        <w:t xml:space="preserve"> Cross-references for "loved": John 11:8; John 11:36.</w:t>
      </w:r>
    </w:p>
  </w:footnote>
  <w:footnote w:id="16188">
    <w:p>
      <w:pPr>
        <w:pStyle w:val="FootnoteText"/>
      </w:pPr>
      <w:r>
        <w:rPr>
          <w:rStyle w:val="FootnoteReference"/>
        </w:rPr>
        <w:footnoteRef/>
      </w:r>
      <w:r>
        <w:t xml:space="preserve"> Cross-references for "the Jews": Ps 11:1-3; Matt 16:21-23.</w:t>
      </w:r>
    </w:p>
  </w:footnote>
  <w:footnote w:id="16189">
    <w:p>
      <w:pPr>
        <w:pStyle w:val="FootnoteText"/>
      </w:pPr>
      <w:r>
        <w:rPr>
          <w:rStyle w:val="FootnoteReference"/>
        </w:rPr>
        <w:footnoteRef/>
      </w:r>
      <w:r>
        <w:t xml:space="preserve"> Cross-references for "awake": Dan 12:2; John 5:25-29.</w:t>
      </w:r>
    </w:p>
  </w:footnote>
  <w:footnote w:id="16190">
    <w:p>
      <w:pPr>
        <w:pStyle w:val="FootnoteText"/>
      </w:pPr>
      <w:r>
        <w:rPr>
          <w:rStyle w:val="FootnoteReference"/>
        </w:rPr>
        <w:footnoteRef/>
      </w:r>
      <w:r>
        <w:t xml:space="preserve"> Cross-references for "plainly": John 10:24; John 16:25.</w:t>
      </w:r>
    </w:p>
  </w:footnote>
  <w:footnote w:id="16191">
    <w:p>
      <w:pPr>
        <w:pStyle w:val="FootnoteText"/>
      </w:pPr>
      <w:r>
        <w:rPr>
          <w:rStyle w:val="FootnoteReference"/>
        </w:rPr>
        <w:footnoteRef/>
      </w:r>
      <w:r>
        <w:t xml:space="preserve"> Cross-references for "I am glad": John 11:35-36.</w:t>
      </w:r>
    </w:p>
  </w:footnote>
  <w:footnote w:id="16192">
    <w:p>
      <w:pPr>
        <w:pStyle w:val="FootnoteText"/>
      </w:pPr>
      <w:r>
        <w:rPr>
          <w:rStyle w:val="FootnoteReference"/>
        </w:rPr>
        <w:footnoteRef/>
      </w:r>
      <w:r>
        <w:t xml:space="preserve"> Cross-references for "Thomas": Matt 10:3; Mark 3:18.</w:t>
      </w:r>
    </w:p>
  </w:footnote>
  <w:footnote w:id="16193">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16194">
    <w:p>
      <w:pPr>
        <w:pStyle w:val="FootnoteText"/>
      </w:pPr>
      <w:r>
        <w:rPr>
          <w:rStyle w:val="FootnoteReference"/>
        </w:rPr>
        <w:footnoteRef/>
      </w:r>
      <w:r>
        <w:t xml:space="preserve"> Cross-references for "four": Hos 6:2; John 2:19.</w:t>
      </w:r>
    </w:p>
  </w:footnote>
  <w:footnote w:id="16195">
    <w:p>
      <w:pPr>
        <w:pStyle w:val="FootnoteText"/>
      </w:pPr>
      <w:r>
        <w:rPr>
          <w:rStyle w:val="FootnoteReference"/>
        </w:rPr>
        <w:footnoteRef/>
      </w:r>
      <w:r>
        <w:t xml:space="preserve"> Cross-references for "to comfort": Gen 37:35; 2Sam 10:2.</w:t>
      </w:r>
    </w:p>
  </w:footnote>
  <w:footnote w:id="16196">
    <w:p>
      <w:pPr>
        <w:pStyle w:val="FootnoteText"/>
      </w:pPr>
      <w:r>
        <w:rPr>
          <w:rStyle w:val="FootnoteReference"/>
        </w:rPr>
        <w:footnoteRef/>
      </w:r>
      <w:r>
        <w:t xml:space="preserve"> Cross-references for "as soon": Matt 25:1; Matt 25:6.</w:t>
      </w:r>
    </w:p>
  </w:footnote>
  <w:footnote w:id="16197">
    <w:p>
      <w:pPr>
        <w:pStyle w:val="FootnoteText"/>
      </w:pPr>
      <w:r>
        <w:rPr>
          <w:rStyle w:val="FootnoteReference"/>
        </w:rPr>
        <w:footnoteRef/>
      </w:r>
      <w:r>
        <w:t xml:space="preserve"> Cross-references for "the life": Ps 36:9; Isa 38:16.</w:t>
      </w:r>
    </w:p>
  </w:footnote>
  <w:footnote w:id="16198">
    <w:p>
      <w:pPr>
        <w:pStyle w:val="FootnoteText"/>
      </w:pPr>
      <w:r>
        <w:rPr>
          <w:rStyle w:val="FootnoteReference"/>
        </w:rPr>
        <w:footnoteRef/>
      </w:r>
      <w:r>
        <w:t xml:space="preserve"> Cross-references for "and called": Zech 3:10; Luke 10:38-42.</w:t>
      </w:r>
    </w:p>
  </w:footnote>
  <w:footnote w:id="16199">
    <w:p>
      <w:pPr>
        <w:pStyle w:val="FootnoteText"/>
      </w:pPr>
      <w:r>
        <w:rPr>
          <w:rStyle w:val="FootnoteReference"/>
        </w:rPr>
        <w:footnoteRef/>
      </w:r>
      <w:r>
        <w:t xml:space="preserve"> Cross-references for "Jews": John 11:19.</w:t>
      </w:r>
    </w:p>
  </w:footnote>
  <w:footnote w:id="16200">
    <w:p>
      <w:pPr>
        <w:pStyle w:val="FootnoteText"/>
      </w:pPr>
      <w:r>
        <w:rPr>
          <w:rStyle w:val="FootnoteReference"/>
        </w:rPr>
        <w:footnoteRef/>
      </w:r>
      <w:r>
        <w:t xml:space="preserve"> Cross-references for "she fell": Luke 5:8; Luke 8:41.</w:t>
      </w:r>
    </w:p>
  </w:footnote>
  <w:footnote w:id="16201">
    <w:p>
      <w:pPr>
        <w:pStyle w:val="FootnoteText"/>
      </w:pPr>
      <w:r>
        <w:rPr>
          <w:rStyle w:val="FootnoteReference"/>
        </w:rPr>
        <w:footnoteRef/>
      </w:r>
      <w:r>
        <w:t xml:space="preserve"> Cross-references for "the Jews": Rom 12:15.</w:t>
      </w:r>
    </w:p>
  </w:footnote>
  <w:footnote w:id="16202">
    <w:p>
      <w:pPr>
        <w:pStyle w:val="FootnoteText"/>
      </w:pPr>
      <w:r>
        <w:rPr>
          <w:rStyle w:val="FootnoteReference"/>
        </w:rPr>
        <w:footnoteRef/>
      </w:r>
      <w:r>
        <w:t xml:space="preserve"> Cross-references for "Could": Ps 78:19-20; Matt 27:40-42.</w:t>
      </w:r>
    </w:p>
  </w:footnote>
  <w:footnote w:id="16203">
    <w:p>
      <w:pPr>
        <w:pStyle w:val="FootnoteText"/>
      </w:pPr>
      <w:r>
        <w:rPr>
          <w:rStyle w:val="FootnoteReference"/>
        </w:rPr>
        <w:footnoteRef/>
      </w:r>
      <w:r>
        <w:t xml:space="preserve"> Cross-references for "groaning": Ezek 9:4; Ezek 21:6.</w:t>
      </w:r>
    </w:p>
  </w:footnote>
  <w:footnote w:id="16204">
    <w:p>
      <w:pPr>
        <w:pStyle w:val="FootnoteText"/>
      </w:pPr>
      <w:r>
        <w:rPr>
          <w:rStyle w:val="FootnoteReference"/>
        </w:rPr>
        <w:footnoteRef/>
      </w:r>
      <w:r>
        <w:t xml:space="preserve"> Cross-references for "Take": Mark 16:3.</w:t>
      </w:r>
    </w:p>
  </w:footnote>
  <w:footnote w:id="16205">
    <w:p>
      <w:pPr>
        <w:pStyle w:val="FootnoteText"/>
      </w:pPr>
      <w:r>
        <w:rPr>
          <w:rStyle w:val="FootnoteReference"/>
        </w:rPr>
        <w:footnoteRef/>
      </w:r>
      <w:r>
        <w:t xml:space="preserve"> Cross-references for "And Jesus": Ps 123:1; Luke 18:13.</w:t>
      </w:r>
    </w:p>
  </w:footnote>
  <w:footnote w:id="16206">
    <w:p>
      <w:pPr>
        <w:pStyle w:val="FootnoteText"/>
      </w:pPr>
      <w:r>
        <w:rPr>
          <w:rStyle w:val="FootnoteReference"/>
        </w:rPr>
        <w:footnoteRef/>
      </w:r>
      <w:r>
        <w:t xml:space="preserve"> Cross-references for "I knew": Matt 26:53; John 8:29.</w:t>
      </w:r>
    </w:p>
  </w:footnote>
  <w:footnote w:id="16207">
    <w:p>
      <w:pPr>
        <w:pStyle w:val="FootnoteText"/>
      </w:pPr>
      <w:r>
        <w:rPr>
          <w:rStyle w:val="FootnoteReference"/>
        </w:rPr>
        <w:footnoteRef/>
      </w:r>
      <w:r>
        <w:t xml:space="preserve"> Cross-references for "Lazarus": 1Kgs 17:21-22; 2Kgs 4:33-36.</w:t>
      </w:r>
    </w:p>
  </w:footnote>
  <w:footnote w:id="16208">
    <w:p>
      <w:pPr>
        <w:pStyle w:val="FootnoteText"/>
      </w:pPr>
      <w:r>
        <w:rPr>
          <w:rStyle w:val="FootnoteReference"/>
        </w:rPr>
        <w:footnoteRef/>
      </w:r>
      <w:r>
        <w:t xml:space="preserve"> Cross-references for "bound": John 20:5; John 20:7.</w:t>
      </w:r>
    </w:p>
  </w:footnote>
  <w:footnote w:id="16209">
    <w:p>
      <w:pPr>
        <w:pStyle w:val="FootnoteText"/>
      </w:pPr>
      <w:r>
        <w:rPr>
          <w:rStyle w:val="FootnoteReference"/>
        </w:rPr>
        <w:footnoteRef/>
      </w:r>
      <w:r>
        <w:t xml:space="preserve"> Cross-references for "Jews": John 2:23; John 10:41.</w:t>
      </w:r>
    </w:p>
  </w:footnote>
  <w:footnote w:id="16210">
    <w:p>
      <w:pPr>
        <w:pStyle w:val="FootnoteText"/>
      </w:pPr>
      <w:r>
        <w:rPr>
          <w:rStyle w:val="FootnoteReference"/>
        </w:rPr>
        <w:footnoteRef/>
      </w:r>
      <w:r>
        <w:t xml:space="preserve"> Cross-references for "gathered": Ps 2:2-4; Matt 26:3.</w:t>
      </w:r>
    </w:p>
  </w:footnote>
  <w:footnote w:id="16211">
    <w:p>
      <w:pPr>
        <w:pStyle w:val="FootnoteText"/>
      </w:pPr>
      <w:r>
        <w:rPr>
          <w:rStyle w:val="FootnoteReference"/>
        </w:rPr>
        <w:footnoteRef/>
      </w:r>
      <w:r>
        <w:t xml:space="preserve"> Cross-references for "we let": Acts 5:28; Acts 5:38-40.</w:t>
      </w:r>
    </w:p>
  </w:footnote>
  <w:footnote w:id="16212">
    <w:p>
      <w:pPr>
        <w:pStyle w:val="FootnoteText"/>
      </w:pPr>
      <w:r>
        <w:rPr>
          <w:rStyle w:val="FootnoteReference"/>
        </w:rPr>
        <w:footnoteRef/>
      </w:r>
      <w:r>
        <w:t xml:space="preserve"> People-name: Romans. People-name meaning: Romans — strong; powerful. Source form: Romans.</w:t>
      </w:r>
    </w:p>
  </w:footnote>
  <w:footnote w:id="16213">
    <w:p>
      <w:pPr>
        <w:pStyle w:val="FootnoteText"/>
      </w:pPr>
      <w:r>
        <w:rPr>
          <w:rStyle w:val="FootnoteReference"/>
        </w:rPr>
        <w:footnoteRef/>
      </w:r>
      <w:r>
        <w:t xml:space="preserve"> Cross-references for "Caiaphas": Luke 3:2; John 18:13-14.</w:t>
      </w:r>
    </w:p>
  </w:footnote>
  <w:footnote w:id="16214">
    <w:p>
      <w:pPr>
        <w:pStyle w:val="FootnoteText"/>
      </w:pPr>
      <w:r>
        <w:rPr>
          <w:rStyle w:val="FootnoteReference"/>
        </w:rPr>
        <w:footnoteRef/>
      </w:r>
      <w:r>
        <w:t xml:space="preserve"> Cross-references for "he prophesied": Num 22:28; Num 24:2.</w:t>
      </w:r>
    </w:p>
  </w:footnote>
  <w:footnote w:id="16215">
    <w:p>
      <w:pPr>
        <w:pStyle w:val="FootnoteText"/>
      </w:pPr>
      <w:r>
        <w:rPr>
          <w:rStyle w:val="FootnoteReference"/>
        </w:rPr>
        <w:footnoteRef/>
      </w:r>
      <w:r>
        <w:t xml:space="preserve"> Cross-references for "gather": Gen 49:10; Ps 102:22-23.</w:t>
      </w:r>
    </w:p>
  </w:footnote>
  <w:footnote w:id="16216">
    <w:p>
      <w:pPr>
        <w:pStyle w:val="FootnoteText"/>
      </w:pPr>
      <w:r>
        <w:rPr>
          <w:rStyle w:val="FootnoteReference"/>
        </w:rPr>
        <w:footnoteRef/>
      </w:r>
      <w:r>
        <w:t xml:space="preserve"> Cross-references for "walked": John 4:1-3; John 7:1.</w:t>
      </w:r>
    </w:p>
  </w:footnote>
  <w:footnote w:id="16217">
    <w:p>
      <w:pPr>
        <w:pStyle w:val="FootnoteText"/>
      </w:pPr>
      <w:r>
        <w:rPr>
          <w:rStyle w:val="FootnoteReference"/>
        </w:rPr>
        <w:footnoteRef/>
      </w:r>
      <w:r>
        <w:t xml:space="preserve"> Personal name: Ephraim. Personal-name meaning: Ephraim — Fruitful; doubly fruitful. Source form: Ephraim.</w:t>
      </w:r>
    </w:p>
  </w:footnote>
  <w:footnote w:id="16218">
    <w:p>
      <w:pPr>
        <w:pStyle w:val="FootnoteText"/>
      </w:pPr>
      <w:r>
        <w:rPr>
          <w:rStyle w:val="FootnoteReference"/>
        </w:rPr>
        <w:footnoteRef/>
      </w:r>
      <w:r>
        <w:t xml:space="preserve"> Cross-references for "Passover": Exod 12:11-14; John 2:13.</w:t>
      </w:r>
    </w:p>
  </w:footnote>
  <w:footnote w:id="16219">
    <w:p>
      <w:pPr>
        <w:pStyle w:val="FootnoteText"/>
      </w:pPr>
      <w:r>
        <w:rPr>
          <w:rStyle w:val="FootnoteReference"/>
        </w:rPr>
        <w:footnoteRef/>
      </w:r>
      <w:r>
        <w:t xml:space="preserve"> Cross-references for "Bethany": Matt 21:17; Mark 11:11.</w:t>
      </w:r>
    </w:p>
  </w:footnote>
  <w:footnote w:id="16220">
    <w:p>
      <w:pPr>
        <w:pStyle w:val="FootnoteText"/>
      </w:pPr>
      <w:r>
        <w:rPr>
          <w:rStyle w:val="FootnoteReference"/>
        </w:rPr>
        <w:footnoteRef/>
      </w:r>
      <w:r>
        <w:t xml:space="preserve"> Cross-references for "they made": Song 4:16; Song 5:1.</w:t>
      </w:r>
    </w:p>
  </w:footnote>
  <w:footnote w:id="16221">
    <w:p>
      <w:pPr>
        <w:pStyle w:val="FootnoteText"/>
      </w:pPr>
      <w:r>
        <w:rPr>
          <w:rStyle w:val="FootnoteReference"/>
        </w:rPr>
        <w:footnoteRef/>
      </w:r>
      <w:r>
        <w:t xml:space="preserve"> Cross-references for "took": Matt 26:6; Matt 26:7-13.</w:t>
      </w:r>
    </w:p>
  </w:footnote>
  <w:footnote w:id="16222">
    <w:p>
      <w:pPr>
        <w:pStyle w:val="FootnoteText"/>
      </w:pPr>
      <w:r>
        <w:rPr>
          <w:rStyle w:val="FootnoteReference"/>
        </w:rPr>
        <w:footnoteRef/>
      </w:r>
      <w:r>
        <w:t xml:space="preserve"> Cross-references for "Judas Iscariot": Matt 10:4; Luke 6:16.</w:t>
      </w:r>
    </w:p>
  </w:footnote>
  <w:footnote w:id="16223">
    <w:p>
      <w:pPr>
        <w:pStyle w:val="FootnoteText"/>
      </w:pPr>
      <w:r>
        <w:rPr>
          <w:rStyle w:val="FootnoteReference"/>
        </w:rPr>
        <w:footnoteRef/>
      </w:r>
      <w:r>
        <w:t xml:space="preserve"> Cross-references for "three hundred": Matt 20:2; Mark 14:5.</w:t>
      </w:r>
    </w:p>
  </w:footnote>
  <w:footnote w:id="16224">
    <w:p>
      <w:pPr>
        <w:pStyle w:val="FootnoteText"/>
      </w:pPr>
      <w:r>
        <w:rPr>
          <w:rStyle w:val="FootnoteReference"/>
        </w:rPr>
        <w:footnoteRef/>
      </w:r>
      <w:r>
        <w:t xml:space="preserve"> Cross-references for "the bag": 2Kgs 12:14-15; Ezra 8:24-34.</w:t>
      </w:r>
    </w:p>
  </w:footnote>
  <w:footnote w:id="16225">
    <w:p>
      <w:pPr>
        <w:pStyle w:val="FootnoteText"/>
      </w:pPr>
      <w:r>
        <w:rPr>
          <w:rStyle w:val="FootnoteReference"/>
        </w:rPr>
        <w:footnoteRef/>
      </w:r>
      <w:r>
        <w:t xml:space="preserve"> Cross-references for "against": Matt 26:12; Matt 27:57-60.</w:t>
      </w:r>
    </w:p>
  </w:footnote>
  <w:footnote w:id="16226">
    <w:p>
      <w:pPr>
        <w:pStyle w:val="FootnoteText"/>
      </w:pPr>
      <w:r>
        <w:rPr>
          <w:rStyle w:val="FootnoteReference"/>
        </w:rPr>
        <w:footnoteRef/>
      </w:r>
      <w:r>
        <w:t xml:space="preserve"> Cross-references for "the poor": Deut 15:11; Matt 26:11.</w:t>
      </w:r>
    </w:p>
  </w:footnote>
  <w:footnote w:id="16227">
    <w:p>
      <w:pPr>
        <w:pStyle w:val="FootnoteText"/>
      </w:pPr>
      <w:r>
        <w:rPr>
          <w:rStyle w:val="FootnoteReference"/>
        </w:rPr>
        <w:footnoteRef/>
      </w:r>
      <w:r>
        <w:t xml:space="preserve"> Cross-references for "branches": Lev 23:40; Rev 7:9.</w:t>
      </w:r>
    </w:p>
  </w:footnote>
  <w:footnote w:id="16228">
    <w:p>
      <w:pPr>
        <w:pStyle w:val="FootnoteText"/>
      </w:pPr>
      <w:r>
        <w:rPr>
          <w:rStyle w:val="FootnoteReference"/>
        </w:rPr>
        <w:footnoteRef/>
      </w:r>
      <w:r>
        <w:t xml:space="preserve"> Cross-references for "Jesus": Matt 21:1-7; Mark 11:1-7.</w:t>
      </w:r>
    </w:p>
  </w:footnote>
  <w:footnote w:id="16229">
    <w:p>
      <w:pPr>
        <w:pStyle w:val="FootnoteText"/>
      </w:pPr>
      <w:r>
        <w:rPr>
          <w:rStyle w:val="FootnoteReference"/>
        </w:rPr>
        <w:footnoteRef/>
      </w:r>
      <w:r>
        <w:t xml:space="preserve"> Cross-references for "fear": Isa 35:4-5; Isa 40:9-10.</w:t>
      </w:r>
    </w:p>
  </w:footnote>
  <w:footnote w:id="16230">
    <w:p>
      <w:pPr>
        <w:pStyle w:val="FootnoteText"/>
      </w:pPr>
      <w:r>
        <w:rPr>
          <w:rStyle w:val="FootnoteReference"/>
        </w:rPr>
        <w:footnoteRef/>
      </w:r>
      <w:r>
        <w:t xml:space="preserve"> Cross-references for "people": John 11:31; John 11:45-46.</w:t>
      </w:r>
    </w:p>
  </w:footnote>
  <w:footnote w:id="16231">
    <w:p>
      <w:pPr>
        <w:pStyle w:val="FootnoteText"/>
      </w:pPr>
      <w:r>
        <w:rPr>
          <w:rStyle w:val="FootnoteReference"/>
        </w:rPr>
        <w:footnoteRef/>
      </w:r>
      <w:r>
        <w:t xml:space="preserve"> Cross-references for "perceive": Matt 21:15; Luke 19:47-48.</w:t>
      </w:r>
    </w:p>
  </w:footnote>
  <w:footnote w:id="16232">
    <w:p>
      <w:pPr>
        <w:pStyle w:val="FootnoteText"/>
      </w:pPr>
      <w:r>
        <w:rPr>
          <w:rStyle w:val="FootnoteReference"/>
        </w:rPr>
        <w:footnoteRef/>
      </w:r>
      <w:r>
        <w:t xml:space="preserve"> People-name: Greeks. People-name meaning: Greeks — Greek people; Hellenes. Source form: Greeks.</w:t>
      </w:r>
    </w:p>
  </w:footnote>
  <w:footnote w:id="16233">
    <w:p>
      <w:pPr>
        <w:pStyle w:val="FootnoteText"/>
      </w:pPr>
      <w:r>
        <w:rPr>
          <w:rStyle w:val="FootnoteReference"/>
        </w:rPr>
        <w:footnoteRef/>
      </w:r>
      <w:r>
        <w:t xml:space="preserve"> Cross-references for "Greeks": Mark 7:26; John 7:35.</w:t>
      </w:r>
    </w:p>
  </w:footnote>
  <w:footnote w:id="16234">
    <w:p>
      <w:pPr>
        <w:pStyle w:val="FootnoteText"/>
      </w:pPr>
      <w:r>
        <w:rPr>
          <w:rStyle w:val="FootnoteReference"/>
        </w:rPr>
        <w:footnoteRef/>
      </w:r>
      <w:r>
        <w:t xml:space="preserve"> Cross-references for "Philip": John 1:43-47; John 6:5-7.</w:t>
      </w:r>
    </w:p>
  </w:footnote>
  <w:footnote w:id="16235">
    <w:p>
      <w:pPr>
        <w:pStyle w:val="FootnoteText"/>
      </w:pPr>
      <w:r>
        <w:rPr>
          <w:rStyle w:val="FootnoteReference"/>
        </w:rPr>
        <w:footnoteRef/>
      </w:r>
      <w:r>
        <w:t xml:space="preserve"> Cross-references for "Andrew": John 1:40-41; John 6:8.</w:t>
      </w:r>
    </w:p>
  </w:footnote>
  <w:footnote w:id="16236">
    <w:p>
      <w:pPr>
        <w:pStyle w:val="FootnoteText"/>
      </w:pPr>
      <w:r>
        <w:rPr>
          <w:rStyle w:val="FootnoteReference"/>
        </w:rPr>
        <w:footnoteRef/>
      </w:r>
      <w:r>
        <w:t xml:space="preserve"> Cross-references for "The hour": Isa 49:5-6; Isa 53:10-12.</w:t>
      </w:r>
    </w:p>
  </w:footnote>
  <w:footnote w:id="16237">
    <w:p>
      <w:pPr>
        <w:pStyle w:val="FootnoteText"/>
      </w:pPr>
      <w:r>
        <w:rPr>
          <w:rStyle w:val="FootnoteReference"/>
        </w:rPr>
        <w:footnoteRef/>
      </w:r>
      <w:r>
        <w:t xml:space="preserve"> Cross-references for "Except": Ps 72:16; 1Cor 15:36-38.</w:t>
      </w:r>
    </w:p>
  </w:footnote>
  <w:footnote w:id="16238">
    <w:p>
      <w:pPr>
        <w:pStyle w:val="FootnoteText"/>
      </w:pPr>
      <w:r>
        <w:rPr>
          <w:rStyle w:val="FootnoteReference"/>
        </w:rPr>
        <w:footnoteRef/>
      </w:r>
      <w:r>
        <w:t xml:space="preserve"> Cross-references for "Father": Matt 26:53-54; John 11:41.</w:t>
      </w:r>
    </w:p>
  </w:footnote>
  <w:footnote w:id="16239">
    <w:p>
      <w:pPr>
        <w:pStyle w:val="FootnoteText"/>
      </w:pPr>
      <w:r>
        <w:rPr>
          <w:rStyle w:val="FootnoteReference"/>
        </w:rPr>
        <w:footnoteRef/>
      </w:r>
      <w:r>
        <w:t xml:space="preserve"> Cross-references for "Father": Matt 26:42; Mark 14:36.</w:t>
      </w:r>
    </w:p>
  </w:footnote>
  <w:footnote w:id="16240">
    <w:p>
      <w:pPr>
        <w:pStyle w:val="FootnoteText"/>
      </w:pPr>
      <w:r>
        <w:rPr>
          <w:rStyle w:val="FootnoteReference"/>
        </w:rPr>
        <w:footnoteRef/>
      </w:r>
      <w:r>
        <w:t xml:space="preserve"> Cross-references for "thundered": Exod 19:16; Exod 20:18.</w:t>
      </w:r>
    </w:p>
  </w:footnote>
  <w:footnote w:id="16241">
    <w:p>
      <w:pPr>
        <w:pStyle w:val="FootnoteText"/>
      </w:pPr>
      <w:r>
        <w:rPr>
          <w:rStyle w:val="FootnoteReference"/>
        </w:rPr>
        <w:footnoteRef/>
      </w:r>
      <w:r>
        <w:t xml:space="preserve"> Cross-references for "will": Song 1:4; Hos 11:4.</w:t>
      </w:r>
    </w:p>
  </w:footnote>
  <w:footnote w:id="16242">
    <w:p>
      <w:pPr>
        <w:pStyle w:val="FootnoteText"/>
      </w:pPr>
      <w:r>
        <w:rPr>
          <w:rStyle w:val="FootnoteReference"/>
        </w:rPr>
        <w:footnoteRef/>
      </w:r>
      <w:r>
        <w:t xml:space="preserve"> Cross-references for "signifying": John 18:32; John 21:19.</w:t>
      </w:r>
    </w:p>
  </w:footnote>
  <w:footnote w:id="16243">
    <w:p>
      <w:pPr>
        <w:pStyle w:val="FootnoteText"/>
      </w:pPr>
      <w:r>
        <w:rPr>
          <w:rStyle w:val="FootnoteReference"/>
        </w:rPr>
        <w:footnoteRef/>
      </w:r>
      <w:r>
        <w:t xml:space="preserve"> Cross-references for "the law": John 10:34; John 15:25.</w:t>
      </w:r>
    </w:p>
  </w:footnote>
  <w:footnote w:id="16244">
    <w:p>
      <w:pPr>
        <w:pStyle w:val="FootnoteText"/>
      </w:pPr>
      <w:r>
        <w:rPr>
          <w:rStyle w:val="FootnoteReference"/>
        </w:rPr>
        <w:footnoteRef/>
      </w:r>
      <w:r>
        <w:t xml:space="preserve"> Cross-references for "Walk": Isa 2:5; Isa 42:6-7.</w:t>
      </w:r>
    </w:p>
  </w:footnote>
  <w:footnote w:id="16245">
    <w:p>
      <w:pPr>
        <w:pStyle w:val="FootnoteText"/>
      </w:pPr>
      <w:r>
        <w:rPr>
          <w:rStyle w:val="FootnoteReference"/>
        </w:rPr>
        <w:footnoteRef/>
      </w:r>
      <w:r>
        <w:t xml:space="preserve"> Cross-references for "believe": Isa 60:1; John 1:7.</w:t>
      </w:r>
    </w:p>
  </w:footnote>
  <w:footnote w:id="16246">
    <w:p>
      <w:pPr>
        <w:pStyle w:val="FootnoteText"/>
      </w:pPr>
      <w:r>
        <w:rPr>
          <w:rStyle w:val="FootnoteReference"/>
        </w:rPr>
        <w:footnoteRef/>
      </w:r>
      <w:r>
        <w:t xml:space="preserve"> Cross-references for "the arm": Ps 44:3; Isa 40:10-11.</w:t>
      </w:r>
    </w:p>
  </w:footnote>
  <w:footnote w:id="16247">
    <w:p>
      <w:pPr>
        <w:pStyle w:val="FootnoteText"/>
      </w:pPr>
      <w:r>
        <w:rPr>
          <w:rStyle w:val="FootnoteReference"/>
        </w:rPr>
        <w:footnoteRef/>
      </w:r>
      <w:r>
        <w:t xml:space="preserve"> Cross-references for "hardened": Exod 4:21; Exod 7:3.</w:t>
      </w:r>
    </w:p>
  </w:footnote>
  <w:footnote w:id="16248">
    <w:p>
      <w:pPr>
        <w:pStyle w:val="FootnoteText"/>
      </w:pPr>
      <w:r>
        <w:rPr>
          <w:rStyle w:val="FootnoteReference"/>
        </w:rPr>
        <w:footnoteRef/>
      </w:r>
      <w:r>
        <w:t xml:space="preserve"> Cross-references for "among": John 3:2; John 7:48-51.</w:t>
      </w:r>
    </w:p>
  </w:footnote>
  <w:footnote w:id="16249">
    <w:p>
      <w:pPr>
        <w:pStyle w:val="FootnoteText"/>
      </w:pPr>
      <w:r>
        <w:rPr>
          <w:rStyle w:val="FootnoteReference"/>
        </w:rPr>
        <w:footnoteRef/>
      </w:r>
      <w:r>
        <w:t xml:space="preserve"> Cross-references for "the praise of God": 1Sam 2:30; Luke 19:17.</w:t>
      </w:r>
    </w:p>
  </w:footnote>
  <w:footnote w:id="16250">
    <w:p>
      <w:pPr>
        <w:pStyle w:val="FootnoteText"/>
      </w:pPr>
      <w:r>
        <w:rPr>
          <w:rStyle w:val="FootnoteReference"/>
        </w:rPr>
        <w:footnoteRef/>
      </w:r>
      <w:r>
        <w:t xml:space="preserve"> Cross-references for "cried": Prov 1:20; Prov 8:1.</w:t>
      </w:r>
    </w:p>
  </w:footnote>
  <w:footnote w:id="16251">
    <w:p>
      <w:pPr>
        <w:pStyle w:val="FootnoteText"/>
      </w:pPr>
      <w:r>
        <w:rPr>
          <w:rStyle w:val="FootnoteReference"/>
        </w:rPr>
        <w:footnoteRef/>
      </w:r>
      <w:r>
        <w:t xml:space="preserve"> Cross-references for "abide": Isa 42:7; Isa 42:15.</w:t>
      </w:r>
    </w:p>
  </w:footnote>
  <w:footnote w:id="16252">
    <w:p>
      <w:pPr>
        <w:pStyle w:val="FootnoteText"/>
      </w:pPr>
      <w:r>
        <w:rPr>
          <w:rStyle w:val="FootnoteReference"/>
        </w:rPr>
        <w:footnoteRef/>
      </w:r>
      <w:r>
        <w:t xml:space="preserve"> Cross-references for "I judge": John 5:45; John 8:15-16.</w:t>
      </w:r>
    </w:p>
  </w:footnote>
  <w:footnote w:id="16253">
    <w:p>
      <w:pPr>
        <w:pStyle w:val="FootnoteText"/>
      </w:pPr>
      <w:r>
        <w:rPr>
          <w:rStyle w:val="FootnoteReference"/>
        </w:rPr>
        <w:footnoteRef/>
      </w:r>
      <w:r>
        <w:t xml:space="preserve"> Cross-references for "the word": Mark 16:16; John 3:17-20.</w:t>
      </w:r>
    </w:p>
  </w:footnote>
  <w:footnote w:id="16254">
    <w:p>
      <w:pPr>
        <w:pStyle w:val="FootnoteText"/>
      </w:pPr>
      <w:r>
        <w:rPr>
          <w:rStyle w:val="FootnoteReference"/>
        </w:rPr>
        <w:footnoteRef/>
      </w:r>
      <w:r>
        <w:t xml:space="preserve"> Cross-references for "the feast": Matt 26:2-5; Mark 14:1-2.</w:t>
      </w:r>
    </w:p>
  </w:footnote>
  <w:footnote w:id="16255">
    <w:p>
      <w:pPr>
        <w:pStyle w:val="FootnoteText"/>
      </w:pPr>
      <w:r>
        <w:rPr>
          <w:rStyle w:val="FootnoteReference"/>
        </w:rPr>
        <w:footnoteRef/>
      </w:r>
      <w:r>
        <w:t xml:space="preserve"> Cross-references for "supper": John 13:4; John 13:26.</w:t>
      </w:r>
    </w:p>
  </w:footnote>
  <w:footnote w:id="16256">
    <w:p>
      <w:pPr>
        <w:pStyle w:val="FootnoteText"/>
      </w:pPr>
      <w:r>
        <w:rPr>
          <w:rStyle w:val="FootnoteReference"/>
        </w:rPr>
        <w:footnoteRef/>
      </w:r>
      <w:r>
        <w:t xml:space="preserve"> Cross-references for "knowing": Matt 11:27; Matt 28:18.</w:t>
      </w:r>
    </w:p>
  </w:footnote>
  <w:footnote w:id="16257">
    <w:p>
      <w:pPr>
        <w:pStyle w:val="FootnoteText"/>
      </w:pPr>
      <w:r>
        <w:rPr>
          <w:rStyle w:val="FootnoteReference"/>
        </w:rPr>
        <w:footnoteRef/>
      </w:r>
      <w:r>
        <w:t xml:space="preserve"> Cross-references for "laid aside": Luke 12:37; Luke 17:7.</w:t>
      </w:r>
    </w:p>
  </w:footnote>
  <w:footnote w:id="16258">
    <w:p>
      <w:pPr>
        <w:pStyle w:val="FootnoteText"/>
      </w:pPr>
      <w:r>
        <w:rPr>
          <w:rStyle w:val="FootnoteReference"/>
        </w:rPr>
        <w:footnoteRef/>
      </w:r>
      <w:r>
        <w:t xml:space="preserve"> Cross-references for "to wash": Exod 29:4; Lev 14:8.</w:t>
      </w:r>
    </w:p>
  </w:footnote>
  <w:footnote w:id="16259">
    <w:p>
      <w:pPr>
        <w:pStyle w:val="FootnoteText"/>
      </w:pPr>
      <w:r>
        <w:rPr>
          <w:rStyle w:val="FootnoteReference"/>
        </w:rPr>
        <w:footnoteRef/>
      </w:r>
      <w:r>
        <w:t xml:space="preserve"> Cross-references for "Lord": John 1:27.</w:t>
      </w:r>
    </w:p>
  </w:footnote>
  <w:footnote w:id="16260">
    <w:p>
      <w:pPr>
        <w:pStyle w:val="FootnoteText"/>
      </w:pPr>
      <w:r>
        <w:rPr>
          <w:rStyle w:val="FootnoteReference"/>
        </w:rPr>
        <w:footnoteRef/>
      </w:r>
      <w:r>
        <w:t xml:space="preserve"> Cross-references for "Know": Ezek 24:19; Ezek 24:24.</w:t>
      </w:r>
    </w:p>
  </w:footnote>
  <w:footnote w:id="16261">
    <w:p>
      <w:pPr>
        <w:pStyle w:val="FootnoteText"/>
      </w:pPr>
      <w:r>
        <w:rPr>
          <w:rStyle w:val="FootnoteReference"/>
        </w:rPr>
        <w:footnoteRef/>
      </w:r>
      <w:r>
        <w:t xml:space="preserve"> Cross-references for "call": Matt 7:21-22; Matt 23:8-10.</w:t>
      </w:r>
    </w:p>
  </w:footnote>
  <w:footnote w:id="16262">
    <w:p>
      <w:pPr>
        <w:pStyle w:val="FootnoteText"/>
      </w:pPr>
      <w:r>
        <w:rPr>
          <w:rStyle w:val="FootnoteReference"/>
        </w:rPr>
        <w:footnoteRef/>
      </w:r>
      <w:r>
        <w:t xml:space="preserve"> Cross-references for "I then": Matt 20:26-28; Mark 10:43-45.</w:t>
      </w:r>
    </w:p>
  </w:footnote>
  <w:footnote w:id="16263">
    <w:p>
      <w:pPr>
        <w:pStyle w:val="FootnoteText"/>
      </w:pPr>
      <w:r>
        <w:rPr>
          <w:rStyle w:val="FootnoteReference"/>
        </w:rPr>
        <w:footnoteRef/>
      </w:r>
      <w:r>
        <w:t xml:space="preserve"> Cross-references for "given": Matt 11:29; Rom 15:5.</w:t>
      </w:r>
    </w:p>
  </w:footnote>
  <w:footnote w:id="16264">
    <w:p>
      <w:pPr>
        <w:pStyle w:val="FootnoteText"/>
      </w:pPr>
      <w:r>
        <w:rPr>
          <w:rStyle w:val="FootnoteReference"/>
        </w:rPr>
        <w:footnoteRef/>
      </w:r>
      <w:r>
        <w:t xml:space="preserve"> Cross-references for "I tell": Isa 41:23; Isa 48:5.</w:t>
      </w:r>
    </w:p>
  </w:footnote>
  <w:footnote w:id="16265">
    <w:p>
      <w:pPr>
        <w:pStyle w:val="FootnoteText"/>
      </w:pPr>
      <w:r>
        <w:rPr>
          <w:rStyle w:val="FootnoteReference"/>
        </w:rPr>
        <w:footnoteRef/>
      </w:r>
      <w:r>
        <w:t xml:space="preserve"> Cross-references for "looked": Gen 42:1; Matt 26:22.</w:t>
      </w:r>
    </w:p>
  </w:footnote>
  <w:footnote w:id="16266">
    <w:p>
      <w:pPr>
        <w:pStyle w:val="FootnoteText"/>
      </w:pPr>
      <w:r>
        <w:rPr>
          <w:rStyle w:val="FootnoteReference"/>
        </w:rPr>
        <w:footnoteRef/>
      </w:r>
      <w:r>
        <w:t xml:space="preserve"> Cross-references for "leaning": 2Sam 12:3; John 1:18.</w:t>
      </w:r>
    </w:p>
  </w:footnote>
  <w:footnote w:id="16267">
    <w:p>
      <w:pPr>
        <w:pStyle w:val="FootnoteText"/>
      </w:pPr>
      <w:r>
        <w:rPr>
          <w:rStyle w:val="FootnoteReference"/>
        </w:rPr>
        <w:footnoteRef/>
      </w:r>
      <w:r>
        <w:t xml:space="preserve"> Cross-references for "beckoned": Luke 1:22; Luke 5:7.</w:t>
      </w:r>
    </w:p>
  </w:footnote>
  <w:footnote w:id="16268">
    <w:p>
      <w:pPr>
        <w:pStyle w:val="FootnoteText"/>
      </w:pPr>
      <w:r>
        <w:rPr>
          <w:rStyle w:val="FootnoteReference"/>
        </w:rPr>
        <w:footnoteRef/>
      </w:r>
      <w:r>
        <w:t xml:space="preserve"> Cross-references for "Judas Iscariot": John 6:70-71; John 12:4-6.</w:t>
      </w:r>
    </w:p>
  </w:footnote>
  <w:footnote w:id="16269">
    <w:p>
      <w:pPr>
        <w:pStyle w:val="FootnoteText"/>
      </w:pPr>
      <w:r>
        <w:rPr>
          <w:rStyle w:val="FootnoteReference"/>
        </w:rPr>
        <w:footnoteRef/>
      </w:r>
      <w:r>
        <w:t xml:space="preserve"> Cross-references for "Satan": Ps 109:6; Matt 12:45.</w:t>
      </w:r>
    </w:p>
  </w:footnote>
  <w:footnote w:id="16270">
    <w:p>
      <w:pPr>
        <w:pStyle w:val="FootnoteText"/>
      </w:pPr>
      <w:r>
        <w:rPr>
          <w:rStyle w:val="FootnoteReference"/>
        </w:rPr>
        <w:footnoteRef/>
      </w:r>
      <w:r>
        <w:t xml:space="preserve"> Cross-references for "went": Prov 4:16; Isa 59:7.</w:t>
      </w:r>
    </w:p>
  </w:footnote>
  <w:footnote w:id="16271">
    <w:p>
      <w:pPr>
        <w:pStyle w:val="FootnoteText"/>
      </w:pPr>
      <w:r>
        <w:rPr>
          <w:rStyle w:val="FootnoteReference"/>
        </w:rPr>
        <w:footnoteRef/>
      </w:r>
      <w:r>
        <w:t xml:space="preserve"> Cross-references for "and God": Isa 49:3-6; Luke 2:10-14.</w:t>
      </w:r>
    </w:p>
  </w:footnote>
  <w:footnote w:id="16272">
    <w:p>
      <w:pPr>
        <w:pStyle w:val="FootnoteText"/>
      </w:pPr>
      <w:r>
        <w:rPr>
          <w:rStyle w:val="FootnoteReference"/>
        </w:rPr>
        <w:footnoteRef/>
      </w:r>
      <w:r>
        <w:t xml:space="preserve"> Cross-references for "Little": Gal 4:19; 1John 2:1.</w:t>
      </w:r>
    </w:p>
  </w:footnote>
  <w:footnote w:id="16273">
    <w:p>
      <w:pPr>
        <w:pStyle w:val="FootnoteText"/>
      </w:pPr>
      <w:r>
        <w:rPr>
          <w:rStyle w:val="FootnoteReference"/>
        </w:rPr>
        <w:footnoteRef/>
      </w:r>
      <w:r>
        <w:t xml:space="preserve"> Cross-references for "A new": Gal 6:2; 1John 2:8-10.</w:t>
      </w:r>
    </w:p>
  </w:footnote>
  <w:footnote w:id="16274">
    <w:p>
      <w:pPr>
        <w:pStyle w:val="FootnoteText"/>
      </w:pPr>
      <w:r>
        <w:rPr>
          <w:rStyle w:val="FootnoteReference"/>
        </w:rPr>
        <w:footnoteRef/>
      </w:r>
      <w:r>
        <w:t xml:space="preserve"> Cross-references for "The cock": Matt 26:34; Matt 26:69-75.</w:t>
      </w:r>
    </w:p>
  </w:footnote>
  <w:footnote w:id="16275">
    <w:p>
      <w:pPr>
        <w:pStyle w:val="FootnoteText"/>
      </w:pPr>
      <w:r>
        <w:rPr>
          <w:rStyle w:val="FootnoteReference"/>
        </w:rPr>
        <w:footnoteRef/>
      </w:r>
      <w:r>
        <w:t xml:space="preserve"> Cross-references for "I go": John 13:33; John 13:36.</w:t>
      </w:r>
    </w:p>
  </w:footnote>
  <w:footnote w:id="16276">
    <w:p>
      <w:pPr>
        <w:pStyle w:val="FootnoteText"/>
      </w:pPr>
      <w:r>
        <w:rPr>
          <w:rStyle w:val="FootnoteReference"/>
        </w:rPr>
        <w:footnoteRef/>
      </w:r>
      <w:r>
        <w:t xml:space="preserve"> Cross-references for "Thomas": John 20:25-28.</w:t>
      </w:r>
    </w:p>
  </w:footnote>
  <w:footnote w:id="16277">
    <w:p>
      <w:pPr>
        <w:pStyle w:val="FootnoteText"/>
      </w:pPr>
      <w:r>
        <w:rPr>
          <w:rStyle w:val="FootnoteReference"/>
        </w:rPr>
        <w:footnoteRef/>
      </w:r>
      <w:r>
        <w:t xml:space="preserve"> Cross-references for "the truth": John 1:14; John 1:17.</w:t>
      </w:r>
    </w:p>
  </w:footnote>
  <w:footnote w:id="16278">
    <w:p>
      <w:pPr>
        <w:pStyle w:val="FootnoteText"/>
      </w:pPr>
      <w:r>
        <w:rPr>
          <w:rStyle w:val="FootnoteReference"/>
        </w:rPr>
        <w:footnoteRef/>
      </w:r>
      <w:r>
        <w:t xml:space="preserve"> Cross-references for "Philip": John 1:43-46; John 6:5-7.</w:t>
      </w:r>
    </w:p>
  </w:footnote>
  <w:footnote w:id="16279">
    <w:p>
      <w:pPr>
        <w:pStyle w:val="FootnoteText"/>
      </w:pPr>
      <w:r>
        <w:rPr>
          <w:rStyle w:val="FootnoteReference"/>
        </w:rPr>
        <w:footnoteRef/>
      </w:r>
      <w:r>
        <w:t xml:space="preserve"> Cross-references for "words": John 3:32-34; John 5:19.</w:t>
      </w:r>
    </w:p>
  </w:footnote>
  <w:footnote w:id="16280">
    <w:p>
      <w:pPr>
        <w:pStyle w:val="FootnoteText"/>
      </w:pPr>
      <w:r>
        <w:rPr>
          <w:rStyle w:val="FootnoteReference"/>
        </w:rPr>
        <w:footnoteRef/>
      </w:r>
      <w:r>
        <w:t xml:space="preserve"> Cross-references for "greater": Acts 2:4-11; Acts 2:41.</w:t>
      </w:r>
    </w:p>
  </w:footnote>
  <w:footnote w:id="16281">
    <w:p>
      <w:pPr>
        <w:pStyle w:val="FootnoteText"/>
      </w:pPr>
      <w:r>
        <w:rPr>
          <w:rStyle w:val="FootnoteReference"/>
        </w:rPr>
        <w:footnoteRef/>
      </w:r>
      <w:r>
        <w:t xml:space="preserve"> Cross-references for "in my": John 14:6; Eph 2:18.</w:t>
      </w:r>
    </w:p>
  </w:footnote>
  <w:footnote w:id="16282">
    <w:p>
      <w:pPr>
        <w:pStyle w:val="FootnoteText"/>
      </w:pPr>
      <w:r>
        <w:rPr>
          <w:rStyle w:val="FootnoteReference"/>
        </w:rPr>
        <w:footnoteRef/>
      </w:r>
      <w:r>
        <w:t xml:space="preserve"> Cross-references for "another": John 14:18; John 14:26.</w:t>
      </w:r>
    </w:p>
  </w:footnote>
  <w:footnote w:id="16283">
    <w:p>
      <w:pPr>
        <w:pStyle w:val="FootnoteText"/>
      </w:pPr>
      <w:r>
        <w:rPr>
          <w:rStyle w:val="FootnoteReference"/>
        </w:rPr>
        <w:footnoteRef/>
      </w:r>
      <w:r>
        <w:t xml:space="preserve"> Cross-references for "the Spirit": John 15:26; John 16:13.</w:t>
      </w:r>
    </w:p>
  </w:footnote>
  <w:footnote w:id="16284">
    <w:p>
      <w:pPr>
        <w:pStyle w:val="FootnoteText"/>
      </w:pPr>
      <w:r>
        <w:rPr>
          <w:rStyle w:val="FootnoteReference"/>
        </w:rPr>
        <w:footnoteRef/>
      </w:r>
      <w:r>
        <w:t xml:space="preserve"> Cross-references for "will not": Ps 23:4; Isa 43:1.</w:t>
      </w:r>
    </w:p>
  </w:footnote>
  <w:footnote w:id="16285">
    <w:p>
      <w:pPr>
        <w:pStyle w:val="FootnoteText"/>
      </w:pPr>
      <w:r>
        <w:rPr>
          <w:rStyle w:val="FootnoteReference"/>
        </w:rPr>
        <w:footnoteRef/>
      </w:r>
      <w:r>
        <w:t xml:space="preserve"> Cross-references for "a little": John 7:33; John 8:21.</w:t>
      </w:r>
    </w:p>
  </w:footnote>
  <w:footnote w:id="16286">
    <w:p>
      <w:pPr>
        <w:pStyle w:val="FootnoteText"/>
      </w:pPr>
      <w:r>
        <w:rPr>
          <w:rStyle w:val="FootnoteReference"/>
        </w:rPr>
        <w:footnoteRef/>
      </w:r>
      <w:r>
        <w:t xml:space="preserve"> Cross-references for "and will": John 14:18; John 14:22-23.</w:t>
      </w:r>
    </w:p>
  </w:footnote>
  <w:footnote w:id="16287">
    <w:p>
      <w:pPr>
        <w:pStyle w:val="FootnoteText"/>
      </w:pPr>
      <w:r>
        <w:rPr>
          <w:rStyle w:val="FootnoteReference"/>
        </w:rPr>
        <w:footnoteRef/>
      </w:r>
      <w:r>
        <w:t xml:space="preserve"> Cross-references for "Judas": Matt 10:3; Mark 3:18.</w:t>
      </w:r>
    </w:p>
  </w:footnote>
  <w:footnote w:id="16288">
    <w:p>
      <w:pPr>
        <w:pStyle w:val="FootnoteText"/>
      </w:pPr>
      <w:r>
        <w:rPr>
          <w:rStyle w:val="FootnoteReference"/>
        </w:rPr>
        <w:footnoteRef/>
      </w:r>
      <w:r>
        <w:t xml:space="preserve"> Cross-references for "make": Gen 1:26; Gen 11:7.</w:t>
      </w:r>
    </w:p>
  </w:footnote>
  <w:footnote w:id="16289">
    <w:p>
      <w:pPr>
        <w:pStyle w:val="FootnoteText"/>
      </w:pPr>
      <w:r>
        <w:rPr>
          <w:rStyle w:val="FootnoteReference"/>
        </w:rPr>
        <w:footnoteRef/>
      </w:r>
      <w:r>
        <w:t xml:space="preserve"> Cross-references for "the Comforter": John 14:16.</w:t>
      </w:r>
    </w:p>
  </w:footnote>
  <w:footnote w:id="16290">
    <w:p>
      <w:pPr>
        <w:pStyle w:val="FootnoteText"/>
      </w:pPr>
      <w:r>
        <w:rPr>
          <w:rStyle w:val="FootnoteReference"/>
        </w:rPr>
        <w:footnoteRef/>
      </w:r>
      <w:r>
        <w:t xml:space="preserve"> Cross-references for "Peace I leave": Num 6:26; Ps 29:11.</w:t>
      </w:r>
    </w:p>
  </w:footnote>
  <w:footnote w:id="16291">
    <w:p>
      <w:pPr>
        <w:pStyle w:val="FootnoteText"/>
      </w:pPr>
      <w:r>
        <w:rPr>
          <w:rStyle w:val="FootnoteReference"/>
        </w:rPr>
        <w:footnoteRef/>
      </w:r>
      <w:r>
        <w:t xml:space="preserve"> Cross-references for "heard": John 14:3; John 14:18.</w:t>
      </w:r>
    </w:p>
  </w:footnote>
  <w:footnote w:id="16292">
    <w:p>
      <w:pPr>
        <w:pStyle w:val="FootnoteText"/>
      </w:pPr>
      <w:r>
        <w:rPr>
          <w:rStyle w:val="FootnoteReference"/>
        </w:rPr>
        <w:footnoteRef/>
      </w:r>
      <w:r>
        <w:t xml:space="preserve"> Cross-references for "Arise": Matt 26:46; Luke 12:50.</w:t>
      </w:r>
    </w:p>
  </w:footnote>
  <w:footnote w:id="16293">
    <w:p>
      <w:pPr>
        <w:pStyle w:val="FootnoteText"/>
      </w:pPr>
      <w:r>
        <w:rPr>
          <w:rStyle w:val="FootnoteReference"/>
        </w:rPr>
        <w:footnoteRef/>
      </w:r>
      <w:r>
        <w:t xml:space="preserve"> Cross-references for "true": John 1:9; John 1:17.</w:t>
      </w:r>
    </w:p>
  </w:footnote>
  <w:footnote w:id="16294">
    <w:p>
      <w:pPr>
        <w:pStyle w:val="FootnoteText"/>
      </w:pPr>
      <w:r>
        <w:rPr>
          <w:rStyle w:val="FootnoteReference"/>
        </w:rPr>
        <w:footnoteRef/>
      </w:r>
      <w:r>
        <w:t xml:space="preserve"> Cross-references for "branch": Matt 3:10; Matt 15:13.</w:t>
      </w:r>
    </w:p>
  </w:footnote>
  <w:footnote w:id="16295">
    <w:p>
      <w:pPr>
        <w:pStyle w:val="FootnoteText"/>
      </w:pPr>
      <w:r>
        <w:rPr>
          <w:rStyle w:val="FootnoteReference"/>
        </w:rPr>
        <w:footnoteRef/>
      </w:r>
      <w:r>
        <w:t xml:space="preserve"> Cross-references for "Abide": Song 8:5; Luke 8:15.</w:t>
      </w:r>
    </w:p>
  </w:footnote>
  <w:footnote w:id="16296">
    <w:p>
      <w:pPr>
        <w:pStyle w:val="FootnoteText"/>
      </w:pPr>
      <w:r>
        <w:rPr>
          <w:rStyle w:val="FootnoteReference"/>
        </w:rPr>
        <w:footnoteRef/>
      </w:r>
      <w:r>
        <w:t xml:space="preserve"> Cross-references for "vine": Rom 12:5; 1Cor 10:16.</w:t>
      </w:r>
    </w:p>
  </w:footnote>
  <w:footnote w:id="16297">
    <w:p>
      <w:pPr>
        <w:pStyle w:val="FootnoteText"/>
      </w:pPr>
      <w:r>
        <w:rPr>
          <w:rStyle w:val="FootnoteReference"/>
        </w:rPr>
        <w:footnoteRef/>
      </w:r>
      <w:r>
        <w:t xml:space="preserve"> Cross-references for "the Father": John 15:13; John 17:23.</w:t>
      </w:r>
    </w:p>
  </w:footnote>
  <w:footnote w:id="16298">
    <w:p>
      <w:pPr>
        <w:pStyle w:val="FootnoteText"/>
      </w:pPr>
      <w:r>
        <w:rPr>
          <w:rStyle w:val="FootnoteReference"/>
        </w:rPr>
        <w:footnoteRef/>
      </w:r>
      <w:r>
        <w:t xml:space="preserve"> Cross-references for "I call": John 12:26; John 13:16.</w:t>
      </w:r>
    </w:p>
  </w:footnote>
  <w:footnote w:id="16299">
    <w:p>
      <w:pPr>
        <w:pStyle w:val="FootnoteText"/>
      </w:pPr>
      <w:r>
        <w:rPr>
          <w:rStyle w:val="FootnoteReference"/>
        </w:rPr>
        <w:footnoteRef/>
      </w:r>
      <w:r>
        <w:t xml:space="preserve"> Cross-references for "have not": Luke 6:13; John 6:70.</w:t>
      </w:r>
    </w:p>
  </w:footnote>
  <w:footnote w:id="16300">
    <w:p>
      <w:pPr>
        <w:pStyle w:val="FootnoteText"/>
      </w:pPr>
      <w:r>
        <w:rPr>
          <w:rStyle w:val="FootnoteReference"/>
        </w:rPr>
        <w:footnoteRef/>
      </w:r>
      <w:r>
        <w:t xml:space="preserve"> Cross-references for "were of the world": Luke 6:32; 1John 4:4-5.</w:t>
      </w:r>
    </w:p>
  </w:footnote>
  <w:footnote w:id="16301">
    <w:p>
      <w:pPr>
        <w:pStyle w:val="FootnoteText"/>
      </w:pPr>
      <w:r>
        <w:rPr>
          <w:rStyle w:val="FootnoteReference"/>
        </w:rPr>
        <w:footnoteRef/>
      </w:r>
      <w:r>
        <w:t xml:space="preserve"> Cross-references for "word": John 5:16; John 7:32.</w:t>
      </w:r>
    </w:p>
  </w:footnote>
  <w:footnote w:id="16302">
    <w:p>
      <w:pPr>
        <w:pStyle w:val="FootnoteText"/>
      </w:pPr>
      <w:r>
        <w:rPr>
          <w:rStyle w:val="FootnoteReference"/>
        </w:rPr>
        <w:footnoteRef/>
      </w:r>
      <w:r>
        <w:t xml:space="preserve"> Cross-references for "cloak": Rom 1:20; Rom 2:1.</w:t>
      </w:r>
    </w:p>
  </w:footnote>
  <w:footnote w:id="16303">
    <w:p>
      <w:pPr>
        <w:pStyle w:val="FootnoteText"/>
      </w:pPr>
      <w:r>
        <w:rPr>
          <w:rStyle w:val="FootnoteReference"/>
        </w:rPr>
        <w:footnoteRef/>
      </w:r>
      <w:r>
        <w:t xml:space="preserve"> Cross-references for "hated": Exod 20:5; Deut 5:9.</w:t>
      </w:r>
    </w:p>
  </w:footnote>
  <w:footnote w:id="16304">
    <w:p>
      <w:pPr>
        <w:pStyle w:val="FootnoteText"/>
      </w:pPr>
      <w:r>
        <w:rPr>
          <w:rStyle w:val="FootnoteReference"/>
        </w:rPr>
        <w:footnoteRef/>
      </w:r>
      <w:r>
        <w:t xml:space="preserve"> Cross-references for "the time": Isa 65:5; Matt 10:28.</w:t>
      </w:r>
    </w:p>
  </w:footnote>
  <w:footnote w:id="16305">
    <w:p>
      <w:pPr>
        <w:pStyle w:val="FootnoteText"/>
      </w:pPr>
      <w:r>
        <w:rPr>
          <w:rStyle w:val="FootnoteReference"/>
        </w:rPr>
        <w:footnoteRef/>
      </w:r>
      <w:r>
        <w:t xml:space="preserve"> Cross-references for "that when": Isa 41:22-23; Matt 10:7.</w:t>
      </w:r>
    </w:p>
  </w:footnote>
  <w:footnote w:id="16306">
    <w:p>
      <w:pPr>
        <w:pStyle w:val="FootnoteText"/>
      </w:pPr>
      <w:r>
        <w:rPr>
          <w:rStyle w:val="FootnoteReference"/>
        </w:rPr>
        <w:footnoteRef/>
      </w:r>
      <w:r>
        <w:t xml:space="preserve"> Cross-references for "I tell": Luke 4:25; Luke 9:27.</w:t>
      </w:r>
    </w:p>
  </w:footnote>
  <w:footnote w:id="16307">
    <w:p>
      <w:pPr>
        <w:pStyle w:val="FootnoteText"/>
      </w:pPr>
      <w:r>
        <w:rPr>
          <w:rStyle w:val="FootnoteReference"/>
        </w:rPr>
        <w:footnoteRef/>
      </w:r>
      <w:r>
        <w:t xml:space="preserve"> Cross-references for "reprove": John 8:9; John 8:46.</w:t>
      </w:r>
    </w:p>
  </w:footnote>
  <w:footnote w:id="16308">
    <w:p>
      <w:pPr>
        <w:pStyle w:val="FootnoteText"/>
      </w:pPr>
      <w:r>
        <w:rPr>
          <w:rStyle w:val="FootnoteReference"/>
        </w:rPr>
        <w:footnoteRef/>
      </w:r>
      <w:r>
        <w:t xml:space="preserve"> Cross-references for "righteousness": Isa 42:21; Isa 45:24-25.</w:t>
      </w:r>
    </w:p>
  </w:footnote>
  <w:footnote w:id="16309">
    <w:p>
      <w:pPr>
        <w:pStyle w:val="FootnoteText"/>
      </w:pPr>
      <w:r>
        <w:rPr>
          <w:rStyle w:val="FootnoteReference"/>
        </w:rPr>
        <w:footnoteRef/>
      </w:r>
      <w:r>
        <w:t xml:space="preserve"> Cross-references for "judgment": Matt 12:18; Matt 12:36.</w:t>
      </w:r>
    </w:p>
  </w:footnote>
  <w:footnote w:id="16310">
    <w:p>
      <w:pPr>
        <w:pStyle w:val="FootnoteText"/>
      </w:pPr>
      <w:r>
        <w:rPr>
          <w:rStyle w:val="FootnoteReference"/>
        </w:rPr>
        <w:footnoteRef/>
      </w:r>
      <w:r>
        <w:t xml:space="preserve"> Cross-references for "Spirit": John 14:17; John 15:26.</w:t>
      </w:r>
    </w:p>
  </w:footnote>
  <w:footnote w:id="16311">
    <w:p>
      <w:pPr>
        <w:pStyle w:val="FootnoteText"/>
      </w:pPr>
      <w:r>
        <w:rPr>
          <w:rStyle w:val="FootnoteReference"/>
        </w:rPr>
        <w:footnoteRef/>
      </w:r>
      <w:r>
        <w:t xml:space="preserve"> Cross-references for "glorify": John 16:9-10; Acts 2:32-36.</w:t>
      </w:r>
    </w:p>
  </w:footnote>
  <w:footnote w:id="16312">
    <w:p>
      <w:pPr>
        <w:pStyle w:val="FootnoteText"/>
      </w:pPr>
      <w:r>
        <w:rPr>
          <w:rStyle w:val="FootnoteReference"/>
        </w:rPr>
        <w:footnoteRef/>
      </w:r>
      <w:r>
        <w:t xml:space="preserve"> Cross-references for "A little while": John 20:19-29; John 21:1-23.</w:t>
      </w:r>
    </w:p>
  </w:footnote>
  <w:footnote w:id="16313">
    <w:p>
      <w:pPr>
        <w:pStyle w:val="FootnoteText"/>
      </w:pPr>
      <w:r>
        <w:rPr>
          <w:rStyle w:val="FootnoteReference"/>
        </w:rPr>
        <w:footnoteRef/>
      </w:r>
      <w:r>
        <w:t xml:space="preserve"> Cross-references for "said": Mark 9:10; Mark 9:32.</w:t>
      </w:r>
    </w:p>
  </w:footnote>
  <w:footnote w:id="16314">
    <w:p>
      <w:pPr>
        <w:pStyle w:val="FootnoteText"/>
      </w:pPr>
      <w:r>
        <w:rPr>
          <w:rStyle w:val="FootnoteReference"/>
        </w:rPr>
        <w:footnoteRef/>
      </w:r>
      <w:r>
        <w:t xml:space="preserve"> Cross-references for "Jesus": Ps 139:1-4; Matt 6:8.</w:t>
      </w:r>
    </w:p>
  </w:footnote>
  <w:footnote w:id="16315">
    <w:p>
      <w:pPr>
        <w:pStyle w:val="FootnoteText"/>
      </w:pPr>
      <w:r>
        <w:rPr>
          <w:rStyle w:val="FootnoteReference"/>
        </w:rPr>
        <w:footnoteRef/>
      </w:r>
      <w:r>
        <w:t xml:space="preserve"> Cross-references for "but the": Job 20:5; Matt 21:38.</w:t>
      </w:r>
    </w:p>
  </w:footnote>
  <w:footnote w:id="16316">
    <w:p>
      <w:pPr>
        <w:pStyle w:val="FootnoteText"/>
      </w:pPr>
      <w:r>
        <w:rPr>
          <w:rStyle w:val="FootnoteReference"/>
        </w:rPr>
        <w:footnoteRef/>
      </w:r>
      <w:r>
        <w:t xml:space="preserve"> Cross-references for "woman": Gen 3:16; Isa 26:16-18.</w:t>
      </w:r>
    </w:p>
  </w:footnote>
  <w:footnote w:id="16317">
    <w:p>
      <w:pPr>
        <w:pStyle w:val="FootnoteText"/>
      </w:pPr>
      <w:r>
        <w:rPr>
          <w:rStyle w:val="FootnoteReference"/>
        </w:rPr>
        <w:footnoteRef/>
      </w:r>
      <w:r>
        <w:t xml:space="preserve"> Cross-references for "and your": Job 34:29; Ps 146:2.</w:t>
      </w:r>
    </w:p>
  </w:footnote>
  <w:footnote w:id="16318">
    <w:p>
      <w:pPr>
        <w:pStyle w:val="FootnoteText"/>
      </w:pPr>
      <w:r>
        <w:rPr>
          <w:rStyle w:val="FootnoteReference"/>
        </w:rPr>
        <w:footnoteRef/>
      </w:r>
      <w:r>
        <w:t xml:space="preserve"> Cross-references for "proverbs": Ps 49:4; Ps 78:2.</w:t>
      </w:r>
    </w:p>
  </w:footnote>
  <w:footnote w:id="16319">
    <w:p>
      <w:pPr>
        <w:pStyle w:val="FootnoteText"/>
      </w:pPr>
      <w:r>
        <w:rPr>
          <w:rStyle w:val="FootnoteReference"/>
        </w:rPr>
        <w:footnoteRef/>
      </w:r>
      <w:r>
        <w:t xml:space="preserve"> Cross-references for "the Father": Zeph 3:17; John 14:21.</w:t>
      </w:r>
    </w:p>
  </w:footnote>
  <w:footnote w:id="16320">
    <w:p>
      <w:pPr>
        <w:pStyle w:val="FootnoteText"/>
      </w:pPr>
      <w:r>
        <w:rPr>
          <w:rStyle w:val="FootnoteReference"/>
        </w:rPr>
        <w:footnoteRef/>
      </w:r>
      <w:r>
        <w:t xml:space="preserve"> Cross-references for "I leave": Luke 9:51; Luke 24:51.</w:t>
      </w:r>
    </w:p>
  </w:footnote>
  <w:footnote w:id="16321">
    <w:p>
      <w:pPr>
        <w:pStyle w:val="FootnoteText"/>
      </w:pPr>
      <w:r>
        <w:rPr>
          <w:rStyle w:val="FootnoteReference"/>
        </w:rPr>
        <w:footnoteRef/>
      </w:r>
      <w:r>
        <w:t xml:space="preserve"> Cross-references for "proverb": John 16:25.</w:t>
      </w:r>
    </w:p>
  </w:footnote>
  <w:footnote w:id="16322">
    <w:p>
      <w:pPr>
        <w:pStyle w:val="FootnoteText"/>
      </w:pPr>
      <w:r>
        <w:rPr>
          <w:rStyle w:val="FootnoteReference"/>
        </w:rPr>
        <w:footnoteRef/>
      </w:r>
      <w:r>
        <w:t xml:space="preserve"> Cross-references for "the hour": John 4:21; John 4:23.</w:t>
      </w:r>
    </w:p>
  </w:footnote>
  <w:footnote w:id="16323">
    <w:p>
      <w:pPr>
        <w:pStyle w:val="FootnoteText"/>
      </w:pPr>
      <w:r>
        <w:rPr>
          <w:rStyle w:val="FootnoteReference"/>
        </w:rPr>
        <w:footnoteRef/>
      </w:r>
      <w:r>
        <w:t xml:space="preserve"> Cross-references for "in me": Ps 85:8-11; Isa 9:6-7.</w:t>
      </w:r>
    </w:p>
  </w:footnote>
  <w:footnote w:id="16324">
    <w:p>
      <w:pPr>
        <w:pStyle w:val="FootnoteText"/>
      </w:pPr>
      <w:r>
        <w:rPr>
          <w:rStyle w:val="FootnoteReference"/>
        </w:rPr>
        <w:footnoteRef/>
      </w:r>
      <w:r>
        <w:t xml:space="preserve"> Cross-references for "and lifted": Ps 121:1-2; Ps 123:1.</w:t>
      </w:r>
    </w:p>
  </w:footnote>
  <w:footnote w:id="16325">
    <w:p>
      <w:pPr>
        <w:pStyle w:val="FootnoteText"/>
      </w:pPr>
      <w:r>
        <w:rPr>
          <w:rStyle w:val="FootnoteReference"/>
        </w:rPr>
        <w:footnoteRef/>
      </w:r>
      <w:r>
        <w:t xml:space="preserve"> Cross-references for "give": John 4:14; John 6:27.</w:t>
      </w:r>
    </w:p>
  </w:footnote>
  <w:footnote w:id="16326">
    <w:p>
      <w:pPr>
        <w:pStyle w:val="FootnoteText"/>
      </w:pPr>
      <w:r>
        <w:rPr>
          <w:rStyle w:val="FootnoteReference"/>
        </w:rPr>
        <w:footnoteRef/>
      </w:r>
      <w:r>
        <w:t xml:space="preserve"> Cross-references for "the only": 2Chr 15:3; Jer 10:10.</w:t>
      </w:r>
    </w:p>
  </w:footnote>
  <w:footnote w:id="16327">
    <w:p>
      <w:pPr>
        <w:pStyle w:val="FootnoteText"/>
      </w:pPr>
      <w:r>
        <w:rPr>
          <w:rStyle w:val="FootnoteReference"/>
        </w:rPr>
        <w:footnoteRef/>
      </w:r>
      <w:r>
        <w:t xml:space="preserve"> Cross-references for "glorified": John 12:28; John 13:31-32.</w:t>
      </w:r>
    </w:p>
  </w:footnote>
  <w:footnote w:id="16328">
    <w:p>
      <w:pPr>
        <w:pStyle w:val="FootnoteText"/>
      </w:pPr>
      <w:r>
        <w:rPr>
          <w:rStyle w:val="FootnoteReference"/>
        </w:rPr>
        <w:footnoteRef/>
      </w:r>
      <w:r>
        <w:t xml:space="preserve"> Cross-references for "glorify": Prov 8:22-31; John 1:18.</w:t>
      </w:r>
    </w:p>
  </w:footnote>
  <w:footnote w:id="16329">
    <w:p>
      <w:pPr>
        <w:pStyle w:val="FootnoteText"/>
      </w:pPr>
      <w:r>
        <w:rPr>
          <w:rStyle w:val="FootnoteReference"/>
        </w:rPr>
        <w:footnoteRef/>
      </w:r>
      <w:r>
        <w:t xml:space="preserve"> Cross-references for "have manifested": Exod 3:13-15; Exod 9:16.</w:t>
      </w:r>
    </w:p>
  </w:footnote>
  <w:footnote w:id="16330">
    <w:p>
      <w:pPr>
        <w:pStyle w:val="FootnoteText"/>
      </w:pPr>
      <w:r>
        <w:rPr>
          <w:rStyle w:val="FootnoteReference"/>
        </w:rPr>
        <w:footnoteRef/>
      </w:r>
      <w:r>
        <w:t xml:space="preserve"> Cross-references for "received": Prov 1:3; Prov 2:1.</w:t>
      </w:r>
    </w:p>
  </w:footnote>
  <w:footnote w:id="16331">
    <w:p>
      <w:pPr>
        <w:pStyle w:val="FootnoteText"/>
      </w:pPr>
      <w:r>
        <w:rPr>
          <w:rStyle w:val="FootnoteReference"/>
        </w:rPr>
        <w:footnoteRef/>
      </w:r>
      <w:r>
        <w:t xml:space="preserve"> Cross-references for "pray for": Luke 8:34; Luke 22:32.</w:t>
      </w:r>
    </w:p>
  </w:footnote>
  <w:footnote w:id="16332">
    <w:p>
      <w:pPr>
        <w:pStyle w:val="FootnoteText"/>
      </w:pPr>
      <w:r>
        <w:rPr>
          <w:rStyle w:val="FootnoteReference"/>
        </w:rPr>
        <w:footnoteRef/>
      </w:r>
      <w:r>
        <w:t xml:space="preserve"> Cross-references for "Holy": Matt 5:48; John 17:25.</w:t>
      </w:r>
    </w:p>
  </w:footnote>
  <w:footnote w:id="16333">
    <w:p>
      <w:pPr>
        <w:pStyle w:val="FootnoteText"/>
      </w:pPr>
      <w:r>
        <w:rPr>
          <w:rStyle w:val="FootnoteReference"/>
        </w:rPr>
        <w:footnoteRef/>
      </w:r>
      <w:r>
        <w:t xml:space="preserve"> Cross-references for "I kept": John 6:37; John 6:39-40.</w:t>
      </w:r>
    </w:p>
  </w:footnote>
  <w:footnote w:id="16334">
    <w:p>
      <w:pPr>
        <w:pStyle w:val="FootnoteText"/>
      </w:pPr>
      <w:r>
        <w:rPr>
          <w:rStyle w:val="FootnoteReference"/>
        </w:rPr>
        <w:footnoteRef/>
      </w:r>
      <w:r>
        <w:t xml:space="preserve"> Cross-references for "given": John 17:8.</w:t>
      </w:r>
    </w:p>
  </w:footnote>
  <w:footnote w:id="16335">
    <w:p>
      <w:pPr>
        <w:pStyle w:val="FootnoteText"/>
      </w:pPr>
      <w:r>
        <w:rPr>
          <w:rStyle w:val="FootnoteReference"/>
        </w:rPr>
        <w:footnoteRef/>
      </w:r>
      <w:r>
        <w:t xml:space="preserve"> Cross-references for "take": Ps 30:9; Eccl 9:10.</w:t>
      </w:r>
    </w:p>
  </w:footnote>
  <w:footnote w:id="16336">
    <w:p>
      <w:pPr>
        <w:pStyle w:val="FootnoteText"/>
      </w:pPr>
      <w:r>
        <w:rPr>
          <w:rStyle w:val="FootnoteReference"/>
        </w:rPr>
        <w:footnoteRef/>
      </w:r>
      <w:r>
        <w:t xml:space="preserve"> Cross-references for "Sanctify": Ps 19:7-9; Ps 119:9.</w:t>
      </w:r>
    </w:p>
  </w:footnote>
  <w:footnote w:id="16337">
    <w:p>
      <w:pPr>
        <w:pStyle w:val="FootnoteText"/>
      </w:pPr>
      <w:r>
        <w:rPr>
          <w:rStyle w:val="FootnoteReference"/>
        </w:rPr>
        <w:footnoteRef/>
      </w:r>
      <w:r>
        <w:t xml:space="preserve"> Cross-references for "I sanctify": Jer 1:5; John 10:36.</w:t>
      </w:r>
    </w:p>
  </w:footnote>
  <w:footnote w:id="16338">
    <w:p>
      <w:pPr>
        <w:pStyle w:val="FootnoteText"/>
      </w:pPr>
      <w:r>
        <w:rPr>
          <w:rStyle w:val="FootnoteReference"/>
        </w:rPr>
        <w:footnoteRef/>
      </w:r>
      <w:r>
        <w:t xml:space="preserve"> Cross-references for "pray": John 17:6-11; Eph 4:11.</w:t>
      </w:r>
    </w:p>
  </w:footnote>
  <w:footnote w:id="16339">
    <w:p>
      <w:pPr>
        <w:pStyle w:val="FootnoteText"/>
      </w:pPr>
      <w:r>
        <w:rPr>
          <w:rStyle w:val="FootnoteReference"/>
        </w:rPr>
        <w:footnoteRef/>
      </w:r>
      <w:r>
        <w:t xml:space="preserve"> Cross-references for "they all": Jer 32:39; Ezek 37:16-19.</w:t>
      </w:r>
    </w:p>
  </w:footnote>
  <w:footnote w:id="16340">
    <w:p>
      <w:pPr>
        <w:pStyle w:val="FootnoteText"/>
      </w:pPr>
      <w:r>
        <w:rPr>
          <w:rStyle w:val="FootnoteReference"/>
        </w:rPr>
        <w:footnoteRef/>
      </w:r>
      <w:r>
        <w:t xml:space="preserve"> Cross-references for "the glory": Mark 6:7; Mark 16:17-20.</w:t>
      </w:r>
    </w:p>
  </w:footnote>
  <w:footnote w:id="16341">
    <w:p>
      <w:pPr>
        <w:pStyle w:val="FootnoteText"/>
      </w:pPr>
      <w:r>
        <w:rPr>
          <w:rStyle w:val="FootnoteReference"/>
        </w:rPr>
        <w:footnoteRef/>
      </w:r>
      <w:r>
        <w:t xml:space="preserve"> Cross-references for "made": Eph 4:12-16; Phil 3:15.</w:t>
      </w:r>
    </w:p>
  </w:footnote>
  <w:footnote w:id="16342">
    <w:p>
      <w:pPr>
        <w:pStyle w:val="FootnoteText"/>
      </w:pPr>
      <w:r>
        <w:rPr>
          <w:rStyle w:val="FootnoteReference"/>
        </w:rPr>
        <w:footnoteRef/>
      </w:r>
      <w:r>
        <w:t xml:space="preserve"> Cross-references for "righteous": Isa 45:21; John 17:11.</w:t>
      </w:r>
    </w:p>
  </w:footnote>
  <w:footnote w:id="16343">
    <w:p>
      <w:pPr>
        <w:pStyle w:val="FootnoteText"/>
      </w:pPr>
      <w:r>
        <w:rPr>
          <w:rStyle w:val="FootnoteReference"/>
        </w:rPr>
        <w:footnoteRef/>
      </w:r>
      <w:r>
        <w:t xml:space="preserve"> Cross-references for "spoken": John 13:31-35.</w:t>
      </w:r>
    </w:p>
  </w:footnote>
  <w:footnote w:id="16344">
    <w:p>
      <w:pPr>
        <w:pStyle w:val="FootnoteText"/>
      </w:pPr>
      <w:r>
        <w:rPr>
          <w:rStyle w:val="FootnoteReference"/>
        </w:rPr>
        <w:footnoteRef/>
      </w:r>
      <w:r>
        <w:t xml:space="preserve"> Place name: Kidron. Place-name meaning: Cedron — black; sad. Standard English equivalent: Cedron. Source form: Kidron. Greek form: κεδρων.</w:t>
      </w:r>
    </w:p>
  </w:footnote>
  <w:footnote w:id="16345">
    <w:p>
      <w:pPr>
        <w:pStyle w:val="FootnoteText"/>
      </w:pPr>
      <w:r>
        <w:rPr>
          <w:rStyle w:val="FootnoteReference"/>
        </w:rPr>
        <w:footnoteRef/>
      </w:r>
      <w:r>
        <w:t xml:space="preserve"> Cross-references for "Judas": Matt 26:47; Matt 26:55.</w:t>
      </w:r>
    </w:p>
  </w:footnote>
  <w:footnote w:id="16346">
    <w:p>
      <w:pPr>
        <w:pStyle w:val="FootnoteText"/>
      </w:pPr>
      <w:r>
        <w:rPr>
          <w:rStyle w:val="FootnoteReference"/>
        </w:rPr>
        <w:footnoteRef/>
      </w:r>
      <w:r>
        <w:t xml:space="preserve"> Cross-references for "knowing": Matt 16:21; Matt 17:22-23.</w:t>
      </w:r>
    </w:p>
  </w:footnote>
  <w:footnote w:id="16347">
    <w:p>
      <w:pPr>
        <w:pStyle w:val="FootnoteText"/>
      </w:pPr>
      <w:r>
        <w:rPr>
          <w:rStyle w:val="FootnoteReference"/>
        </w:rPr>
        <w:footnoteRef/>
      </w:r>
      <w:r>
        <w:t xml:space="preserve"> Cross-references for "Jesus": Matt 2:23; Matt 21:11.</w:t>
      </w:r>
    </w:p>
  </w:footnote>
  <w:footnote w:id="16348">
    <w:p>
      <w:pPr>
        <w:pStyle w:val="FootnoteText"/>
      </w:pPr>
      <w:r>
        <w:rPr>
          <w:rStyle w:val="FootnoteReference"/>
        </w:rPr>
        <w:footnoteRef/>
      </w:r>
      <w:r>
        <w:t xml:space="preserve"> Cross-references for "they went": 2Kgs 1:9-15; Ps 27:2.</w:t>
      </w:r>
    </w:p>
  </w:footnote>
  <w:footnote w:id="16349">
    <w:p>
      <w:pPr>
        <w:pStyle w:val="FootnoteText"/>
      </w:pPr>
      <w:r>
        <w:rPr>
          <w:rStyle w:val="FootnoteReference"/>
        </w:rPr>
        <w:footnoteRef/>
      </w:r>
      <w:r>
        <w:t xml:space="preserve"> Personal name: Malchus. Personal-name meaning: Malchus — my king, kingdom, or counselor. Source form: Malchus.</w:t>
      </w:r>
    </w:p>
  </w:footnote>
  <w:footnote w:id="16350">
    <w:p>
      <w:pPr>
        <w:pStyle w:val="FootnoteText"/>
      </w:pPr>
      <w:r>
        <w:rPr>
          <w:rStyle w:val="FootnoteReference"/>
        </w:rPr>
        <w:footnoteRef/>
      </w:r>
      <w:r>
        <w:t xml:space="preserve"> Cross-references for "the cup": Ps 75:8; Ezek 23:31.</w:t>
      </w:r>
    </w:p>
  </w:footnote>
  <w:footnote w:id="16351">
    <w:p>
      <w:pPr>
        <w:pStyle w:val="FootnoteText"/>
      </w:pPr>
      <w:r>
        <w:rPr>
          <w:rStyle w:val="FootnoteReference"/>
        </w:rPr>
        <w:footnoteRef/>
      </w:r>
      <w:r>
        <w:t xml:space="preserve"> Cross-references for "the band": Matt 26:57; Mark 14:53.</w:t>
      </w:r>
    </w:p>
  </w:footnote>
  <w:footnote w:id="16352">
    <w:p>
      <w:pPr>
        <w:pStyle w:val="FootnoteText"/>
      </w:pPr>
      <w:r>
        <w:rPr>
          <w:rStyle w:val="FootnoteReference"/>
        </w:rPr>
        <w:footnoteRef/>
      </w:r>
      <w:r>
        <w:t xml:space="preserve"> Cross-references for "Annas": Luke 3:2; Acts 4:6.</w:t>
      </w:r>
    </w:p>
  </w:footnote>
  <w:footnote w:id="16353">
    <w:p>
      <w:pPr>
        <w:pStyle w:val="FootnoteText"/>
      </w:pPr>
      <w:r>
        <w:rPr>
          <w:rStyle w:val="FootnoteReference"/>
        </w:rPr>
        <w:footnoteRef/>
      </w:r>
      <w:r>
        <w:t xml:space="preserve"> Cross-references for "Caiaphas": John 11:49-52.</w:t>
      </w:r>
    </w:p>
  </w:footnote>
  <w:footnote w:id="16354">
    <w:p>
      <w:pPr>
        <w:pStyle w:val="FootnoteText"/>
      </w:pPr>
      <w:r>
        <w:rPr>
          <w:rStyle w:val="FootnoteReference"/>
        </w:rPr>
        <w:footnoteRef/>
      </w:r>
      <w:r>
        <w:t xml:space="preserve"> Cross-references for "Simon": Matt 26:58-68; Mark 14:54.</w:t>
      </w:r>
    </w:p>
  </w:footnote>
  <w:footnote w:id="16355">
    <w:p>
      <w:pPr>
        <w:pStyle w:val="FootnoteText"/>
      </w:pPr>
      <w:r>
        <w:rPr>
          <w:rStyle w:val="FootnoteReference"/>
        </w:rPr>
        <w:footnoteRef/>
      </w:r>
      <w:r>
        <w:t xml:space="preserve"> Cross-references for "I am not": Matt 26:33; John 18:5.</w:t>
      </w:r>
    </w:p>
  </w:footnote>
  <w:footnote w:id="16356">
    <w:p>
      <w:pPr>
        <w:pStyle w:val="FootnoteText"/>
      </w:pPr>
      <w:r>
        <w:rPr>
          <w:rStyle w:val="FootnoteReference"/>
        </w:rPr>
        <w:footnoteRef/>
      </w:r>
      <w:r>
        <w:t xml:space="preserve"> Cross-references for "Peter": Gen 49:6; 1Kgs 19:9.</w:t>
      </w:r>
    </w:p>
  </w:footnote>
  <w:footnote w:id="16357">
    <w:p>
      <w:pPr>
        <w:pStyle w:val="FootnoteText"/>
      </w:pPr>
      <w:r>
        <w:rPr>
          <w:rStyle w:val="FootnoteReference"/>
        </w:rPr>
        <w:footnoteRef/>
      </w:r>
      <w:r>
        <w:t xml:space="preserve"> Cross-references for "asked": Luke 11:53-54; Luke 20:20.</w:t>
      </w:r>
    </w:p>
  </w:footnote>
  <w:footnote w:id="16358">
    <w:p>
      <w:pPr>
        <w:pStyle w:val="FootnoteText"/>
      </w:pPr>
      <w:r>
        <w:rPr>
          <w:rStyle w:val="FootnoteReference"/>
        </w:rPr>
        <w:footnoteRef/>
      </w:r>
      <w:r>
        <w:t xml:space="preserve"> Cross-references for "and in": Isa 45:19; Isa 48:16.</w:t>
      </w:r>
    </w:p>
  </w:footnote>
  <w:footnote w:id="16359">
    <w:p>
      <w:pPr>
        <w:pStyle w:val="FootnoteText"/>
      </w:pPr>
      <w:r>
        <w:rPr>
          <w:rStyle w:val="FootnoteReference"/>
        </w:rPr>
        <w:footnoteRef/>
      </w:r>
      <w:r>
        <w:t xml:space="preserve"> Cross-references for "struck": Job 16:10; Job 30:10-12.</w:t>
      </w:r>
    </w:p>
  </w:footnote>
  <w:footnote w:id="16360">
    <w:p>
      <w:pPr>
        <w:pStyle w:val="FootnoteText"/>
      </w:pPr>
      <w:r>
        <w:rPr>
          <w:rStyle w:val="FootnoteReference"/>
        </w:rPr>
        <w:footnoteRef/>
      </w:r>
      <w:r>
        <w:t xml:space="preserve"> Cross-references for "Annas": Matt 26:57; John 18:13.</w:t>
      </w:r>
    </w:p>
  </w:footnote>
  <w:footnote w:id="16361">
    <w:p>
      <w:pPr>
        <w:pStyle w:val="FootnoteText"/>
      </w:pPr>
      <w:r>
        <w:rPr>
          <w:rStyle w:val="FootnoteReference"/>
        </w:rPr>
        <w:footnoteRef/>
      </w:r>
      <w:r>
        <w:t xml:space="preserve"> Cross-references for "stood": Mark 14:37-38; Mark 14:67.</w:t>
      </w:r>
    </w:p>
  </w:footnote>
  <w:footnote w:id="16362">
    <w:p>
      <w:pPr>
        <w:pStyle w:val="FootnoteText"/>
      </w:pPr>
      <w:r>
        <w:rPr>
          <w:rStyle w:val="FootnoteReference"/>
        </w:rPr>
        <w:footnoteRef/>
      </w:r>
      <w:r>
        <w:t xml:space="preserve"> Cross-references for "early": Prov 1:16; Prov 4:16.</w:t>
      </w:r>
    </w:p>
  </w:footnote>
  <w:footnote w:id="16363">
    <w:p>
      <w:pPr>
        <w:pStyle w:val="FootnoteText"/>
      </w:pPr>
      <w:r>
        <w:rPr>
          <w:rStyle w:val="FootnoteReference"/>
        </w:rPr>
        <w:footnoteRef/>
      </w:r>
      <w:r>
        <w:t xml:space="preserve"> Cross-references for "delivered": Mark 10:33; Luke 24:7.</w:t>
      </w:r>
    </w:p>
  </w:footnote>
  <w:footnote w:id="16364">
    <w:p>
      <w:pPr>
        <w:pStyle w:val="FootnoteText"/>
      </w:pPr>
      <w:r>
        <w:rPr>
          <w:rStyle w:val="FootnoteReference"/>
        </w:rPr>
        <w:footnoteRef/>
      </w:r>
      <w:r>
        <w:t xml:space="preserve"> Cross-references for "Take": John 19:6-7; Acts 25:18-20.</w:t>
      </w:r>
    </w:p>
  </w:footnote>
  <w:footnote w:id="16365">
    <w:p>
      <w:pPr>
        <w:pStyle w:val="FootnoteText"/>
      </w:pPr>
      <w:r>
        <w:rPr>
          <w:rStyle w:val="FootnoteReference"/>
        </w:rPr>
        <w:footnoteRef/>
      </w:r>
      <w:r>
        <w:t xml:space="preserve"> Cross-references for "the saying": Matt 20:19; Matt 26:2.</w:t>
      </w:r>
    </w:p>
  </w:footnote>
  <w:footnote w:id="16366">
    <w:p>
      <w:pPr>
        <w:pStyle w:val="FootnoteText"/>
      </w:pPr>
      <w:r>
        <w:rPr>
          <w:rStyle w:val="FootnoteReference"/>
        </w:rPr>
        <w:footnoteRef/>
      </w:r>
      <w:r>
        <w:t xml:space="preserve"> Cross-references for "and said": Matt 27:11; Mark 15:2.</w:t>
      </w:r>
    </w:p>
  </w:footnote>
  <w:footnote w:id="16367">
    <w:p>
      <w:pPr>
        <w:pStyle w:val="FootnoteText"/>
      </w:pPr>
      <w:r>
        <w:rPr>
          <w:rStyle w:val="FootnoteReference"/>
        </w:rPr>
        <w:footnoteRef/>
      </w:r>
      <w:r>
        <w:t xml:space="preserve"> Cross-references for "Jesus": 1Tim 6:13.</w:t>
      </w:r>
    </w:p>
  </w:footnote>
  <w:footnote w:id="16368">
    <w:p>
      <w:pPr>
        <w:pStyle w:val="FootnoteText"/>
      </w:pPr>
      <w:r>
        <w:rPr>
          <w:rStyle w:val="FootnoteReference"/>
        </w:rPr>
        <w:footnoteRef/>
      </w:r>
      <w:r>
        <w:t xml:space="preserve"> Cross-references for "that I should": Isa 55:4; John 8:14.</w:t>
      </w:r>
    </w:p>
  </w:footnote>
  <w:footnote w:id="16369">
    <w:p>
      <w:pPr>
        <w:pStyle w:val="FootnoteText"/>
      </w:pPr>
      <w:r>
        <w:rPr>
          <w:rStyle w:val="FootnoteReference"/>
        </w:rPr>
        <w:footnoteRef/>
      </w:r>
      <w:r>
        <w:t xml:space="preserve"> Cross-references for "I find": Matt 27:18-19; Matt 27:24.</w:t>
      </w:r>
    </w:p>
  </w:footnote>
  <w:footnote w:id="16370">
    <w:p>
      <w:pPr>
        <w:pStyle w:val="FootnoteText"/>
      </w:pPr>
      <w:r>
        <w:rPr>
          <w:rStyle w:val="FootnoteReference"/>
        </w:rPr>
        <w:footnoteRef/>
      </w:r>
      <w:r>
        <w:t xml:space="preserve"> Cross-references for "Pilate": Matt 27:26-31; Mark 15:15-20.</w:t>
      </w:r>
    </w:p>
  </w:footnote>
  <w:footnote w:id="16371">
    <w:p>
      <w:pPr>
        <w:pStyle w:val="FootnoteText"/>
      </w:pPr>
      <w:r>
        <w:rPr>
          <w:rStyle w:val="FootnoteReference"/>
        </w:rPr>
        <w:footnoteRef/>
      </w:r>
      <w:r>
        <w:t xml:space="preserve"> Cross-references for "the soldiers": Ps 22:6; Isa 49:7.</w:t>
      </w:r>
    </w:p>
  </w:footnote>
  <w:footnote w:id="16372">
    <w:p>
      <w:pPr>
        <w:pStyle w:val="FootnoteText"/>
      </w:pPr>
      <w:r>
        <w:rPr>
          <w:rStyle w:val="FootnoteReference"/>
        </w:rPr>
        <w:footnoteRef/>
      </w:r>
      <w:r>
        <w:t xml:space="preserve"> Cross-references for "Hail": Matt 26:49; Matt 27:29.</w:t>
      </w:r>
    </w:p>
  </w:footnote>
  <w:footnote w:id="16373">
    <w:p>
      <w:pPr>
        <w:pStyle w:val="FootnoteText"/>
      </w:pPr>
      <w:r>
        <w:rPr>
          <w:rStyle w:val="FootnoteReference"/>
        </w:rPr>
        <w:footnoteRef/>
      </w:r>
      <w:r>
        <w:t xml:space="preserve"> Cross-references for "the chief priests": Matt 27:22; Mark 15:12-15.</w:t>
      </w:r>
    </w:p>
  </w:footnote>
  <w:footnote w:id="16374">
    <w:p>
      <w:pPr>
        <w:pStyle w:val="FootnoteText"/>
      </w:pPr>
      <w:r>
        <w:rPr>
          <w:rStyle w:val="FootnoteReference"/>
        </w:rPr>
        <w:footnoteRef/>
      </w:r>
      <w:r>
        <w:t xml:space="preserve"> Cross-references for "heard": John 19:13; Acts 14:11-19.</w:t>
      </w:r>
    </w:p>
  </w:footnote>
  <w:footnote w:id="16375">
    <w:p>
      <w:pPr>
        <w:pStyle w:val="FootnoteText"/>
      </w:pPr>
      <w:r>
        <w:rPr>
          <w:rStyle w:val="FootnoteReference"/>
        </w:rPr>
        <w:footnoteRef/>
      </w:r>
      <w:r>
        <w:t xml:space="preserve"> Cross-references for "the greater": Luke 7:41-42; Luke 10:11-14.</w:t>
      </w:r>
    </w:p>
  </w:footnote>
  <w:footnote w:id="16376">
    <w:p>
      <w:pPr>
        <w:pStyle w:val="FootnoteText"/>
      </w:pPr>
      <w:r>
        <w:rPr>
          <w:rStyle w:val="FootnoteReference"/>
        </w:rPr>
        <w:footnoteRef/>
      </w:r>
      <w:r>
        <w:t xml:space="preserve"> Cross-references for "heard": Prov 29:25; Isa 51:12-13.</w:t>
      </w:r>
    </w:p>
  </w:footnote>
  <w:footnote w:id="16377">
    <w:p>
      <w:pPr>
        <w:pStyle w:val="FootnoteText"/>
      </w:pPr>
      <w:r>
        <w:rPr>
          <w:rStyle w:val="FootnoteReference"/>
        </w:rPr>
        <w:footnoteRef/>
      </w:r>
      <w:r>
        <w:t xml:space="preserve"> Transliterated proper noun: Gabbatha. Standard English equivalent: Gabbatha. Source form: Gabbatha. Greek form: γαββαθα. Name meaning: high; elevated.</w:t>
      </w:r>
    </w:p>
  </w:footnote>
  <w:footnote w:id="16378">
    <w:p>
      <w:pPr>
        <w:pStyle w:val="FootnoteText"/>
      </w:pPr>
      <w:r>
        <w:rPr>
          <w:rStyle w:val="FootnoteReference"/>
        </w:rPr>
        <w:footnoteRef/>
      </w:r>
      <w:r>
        <w:t xml:space="preserve"> Cross-references for "the preparation": Matt 27:62; Mark 15:42.</w:t>
      </w:r>
    </w:p>
  </w:footnote>
  <w:footnote w:id="16379">
    <w:p>
      <w:pPr>
        <w:pStyle w:val="FootnoteText"/>
      </w:pPr>
      <w:r>
        <w:rPr>
          <w:rStyle w:val="FootnoteReference"/>
        </w:rPr>
        <w:footnoteRef/>
      </w:r>
      <w:r>
        <w:t xml:space="preserve"> Cross-references for "Away": Luke 23:18; John 19:6.</w:t>
      </w:r>
    </w:p>
  </w:footnote>
  <w:footnote w:id="16380">
    <w:p>
      <w:pPr>
        <w:pStyle w:val="FootnoteText"/>
      </w:pPr>
      <w:r>
        <w:rPr>
          <w:rStyle w:val="FootnoteReference"/>
        </w:rPr>
        <w:footnoteRef/>
      </w:r>
      <w:r>
        <w:t xml:space="preserve"> Cross-references for "went": Lev 16:21-22; Lev 24:14.</w:t>
      </w:r>
    </w:p>
  </w:footnote>
  <w:footnote w:id="16381">
    <w:p>
      <w:pPr>
        <w:pStyle w:val="FootnoteText"/>
      </w:pPr>
      <w:r>
        <w:rPr>
          <w:rStyle w:val="FootnoteReference"/>
        </w:rPr>
        <w:footnoteRef/>
      </w:r>
      <w:r>
        <w:t xml:space="preserve"> Cross-references for "wrote": Matt 27:37; Mark 15:26.</w:t>
      </w:r>
    </w:p>
  </w:footnote>
  <w:footnote w:id="1638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6383">
    <w:p>
      <w:pPr>
        <w:pStyle w:val="FootnoteText"/>
      </w:pPr>
      <w:r>
        <w:rPr>
          <w:rStyle w:val="FootnoteReference"/>
        </w:rPr>
        <w:footnoteRef/>
      </w:r>
      <w:r>
        <w:t xml:space="preserve"> Cross-references for "and Greek": Acts 21:37; Rev 9:11.</w:t>
      </w:r>
    </w:p>
  </w:footnote>
  <w:footnote w:id="16384">
    <w:p>
      <w:pPr>
        <w:pStyle w:val="FootnoteText"/>
      </w:pPr>
      <w:r>
        <w:rPr>
          <w:rStyle w:val="FootnoteReference"/>
        </w:rPr>
        <w:footnoteRef/>
      </w:r>
      <w:r>
        <w:t xml:space="preserve"> Cross-references for "the soldiers": Matt 27:35; Mark 15:24.</w:t>
      </w:r>
    </w:p>
  </w:footnote>
  <w:footnote w:id="16385">
    <w:p>
      <w:pPr>
        <w:pStyle w:val="FootnoteText"/>
      </w:pPr>
      <w:r>
        <w:rPr>
          <w:rStyle w:val="FootnoteReference"/>
        </w:rPr>
        <w:footnoteRef/>
      </w:r>
      <w:r>
        <w:t xml:space="preserve"> Cross-references for "his mother": Luke 2:35.</w:t>
      </w:r>
    </w:p>
  </w:footnote>
  <w:footnote w:id="16386">
    <w:p>
      <w:pPr>
        <w:pStyle w:val="FootnoteText"/>
      </w:pPr>
      <w:r>
        <w:rPr>
          <w:rStyle w:val="FootnoteReference"/>
        </w:rPr>
        <w:footnoteRef/>
      </w:r>
      <w:r>
        <w:t xml:space="preserve"> Transliterated proper noun: Cleophas. Standard English equivalent: Cleophas. Source form: Cleophas. Greek form: κλωπα. Name meaning: the whole glory.</w:t>
      </w:r>
    </w:p>
  </w:footnote>
  <w:footnote w:id="16387">
    <w:p>
      <w:pPr>
        <w:pStyle w:val="FootnoteText"/>
      </w:pPr>
      <w:r>
        <w:rPr>
          <w:rStyle w:val="FootnoteReference"/>
        </w:rPr>
        <w:footnoteRef/>
      </w:r>
      <w:r>
        <w:t xml:space="preserve"> Cross-references for "Woman": John 2:4.</w:t>
      </w:r>
    </w:p>
  </w:footnote>
  <w:footnote w:id="16388">
    <w:p>
      <w:pPr>
        <w:pStyle w:val="FootnoteText"/>
      </w:pPr>
      <w:r>
        <w:rPr>
          <w:rStyle w:val="FootnoteReference"/>
        </w:rPr>
        <w:footnoteRef/>
      </w:r>
      <w:r>
        <w:t xml:space="preserve"> Cross-references for "took": 1John 3:18-19.</w:t>
      </w:r>
    </w:p>
  </w:footnote>
  <w:footnote w:id="16389">
    <w:p>
      <w:pPr>
        <w:pStyle w:val="FootnoteText"/>
      </w:pPr>
      <w:r>
        <w:rPr>
          <w:rStyle w:val="FootnoteReference"/>
        </w:rPr>
        <w:footnoteRef/>
      </w:r>
      <w:r>
        <w:t xml:space="preserve"> Cross-references for "Jesus": Luke 9:31; Luke 12:50.</w:t>
      </w:r>
    </w:p>
  </w:footnote>
  <w:footnote w:id="16390">
    <w:p>
      <w:pPr>
        <w:pStyle w:val="FootnoteText"/>
      </w:pPr>
      <w:r>
        <w:rPr>
          <w:rStyle w:val="FootnoteReference"/>
        </w:rPr>
        <w:footnoteRef/>
      </w:r>
      <w:r>
        <w:t xml:space="preserve"> Cross-references for "was set": Matt 27:34; Matt 27:48.</w:t>
      </w:r>
    </w:p>
  </w:footnote>
  <w:footnote w:id="16391">
    <w:p>
      <w:pPr>
        <w:pStyle w:val="FootnoteText"/>
      </w:pPr>
      <w:r>
        <w:rPr>
          <w:rStyle w:val="FootnoteReference"/>
        </w:rPr>
        <w:footnoteRef/>
      </w:r>
      <w:r>
        <w:t xml:space="preserve"> Cross-references for "that Sabbath": Lev 23:7-16.</w:t>
      </w:r>
    </w:p>
  </w:footnote>
  <w:footnote w:id="16392">
    <w:p>
      <w:pPr>
        <w:pStyle w:val="FootnoteText"/>
      </w:pPr>
      <w:r>
        <w:rPr>
          <w:rStyle w:val="FootnoteReference"/>
        </w:rPr>
        <w:footnoteRef/>
      </w:r>
      <w:r>
        <w:t xml:space="preserve"> Cross-references for "of the first": Luke 23:39-43; John 19:18.</w:t>
      </w:r>
    </w:p>
  </w:footnote>
  <w:footnote w:id="16393">
    <w:p>
      <w:pPr>
        <w:pStyle w:val="FootnoteText"/>
      </w:pPr>
      <w:r>
        <w:rPr>
          <w:rStyle w:val="FootnoteReference"/>
        </w:rPr>
        <w:footnoteRef/>
      </w:r>
      <w:r>
        <w:t xml:space="preserve"> Textual note: John cites the pierced wording. The LXX source row at Zechariah 12:10 reads because they mocked, so this note marks the textual difference instead of silently harmonizing the OT wording.</w:t>
      </w:r>
    </w:p>
  </w:footnote>
  <w:footnote w:id="16394">
    <w:p>
      <w:pPr>
        <w:pStyle w:val="FootnoteText"/>
      </w:pPr>
      <w:r>
        <w:rPr>
          <w:rStyle w:val="FootnoteReference"/>
        </w:rPr>
        <w:footnoteRef/>
      </w:r>
      <w:r>
        <w:t xml:space="preserve"> Cross-references for "Joseph": Matt 27:57-60; Mark 15:42-46.</w:t>
      </w:r>
    </w:p>
  </w:footnote>
  <w:footnote w:id="16395">
    <w:p>
      <w:pPr>
        <w:pStyle w:val="FootnoteText"/>
      </w:pPr>
      <w:r>
        <w:rPr>
          <w:rStyle w:val="FootnoteReference"/>
        </w:rPr>
        <w:footnoteRef/>
      </w:r>
      <w:r>
        <w:t xml:space="preserve"> Cross-references for "Nicodemus": Matt 12:20; Matt 19:30.</w:t>
      </w:r>
    </w:p>
  </w:footnote>
  <w:footnote w:id="16396">
    <w:p>
      <w:pPr>
        <w:pStyle w:val="FootnoteText"/>
      </w:pPr>
      <w:r>
        <w:rPr>
          <w:rStyle w:val="FootnoteReference"/>
        </w:rPr>
        <w:footnoteRef/>
      </w:r>
      <w:r>
        <w:t xml:space="preserve"> Cross-references for "and in": 2Kgs 23:30; Isa 22:16.</w:t>
      </w:r>
    </w:p>
  </w:footnote>
  <w:footnote w:id="16397">
    <w:p>
      <w:pPr>
        <w:pStyle w:val="FootnoteText"/>
      </w:pPr>
      <w:r>
        <w:rPr>
          <w:rStyle w:val="FootnoteReference"/>
        </w:rPr>
        <w:footnoteRef/>
      </w:r>
      <w:r>
        <w:t xml:space="preserve"> Cross-references for "laid": Ps 22:15; Isa 53:9.</w:t>
      </w:r>
    </w:p>
  </w:footnote>
  <w:footnote w:id="16398">
    <w:p>
      <w:pPr>
        <w:pStyle w:val="FootnoteText"/>
      </w:pPr>
      <w:r>
        <w:rPr>
          <w:rStyle w:val="FootnoteReference"/>
        </w:rPr>
        <w:footnoteRef/>
      </w:r>
      <w:r>
        <w:t xml:space="preserve"> Cross-references for "first": John 20:19; John 20:26.</w:t>
      </w:r>
    </w:p>
  </w:footnote>
  <w:footnote w:id="16399">
    <w:p>
      <w:pPr>
        <w:pStyle w:val="FootnoteText"/>
      </w:pPr>
      <w:r>
        <w:rPr>
          <w:rStyle w:val="FootnoteReference"/>
        </w:rPr>
        <w:footnoteRef/>
      </w:r>
      <w:r>
        <w:t xml:space="preserve"> Cross-references for "They have taken": Matt 27:63-64; John 20:9.</w:t>
      </w:r>
    </w:p>
  </w:footnote>
  <w:footnote w:id="16400">
    <w:p>
      <w:pPr>
        <w:pStyle w:val="FootnoteText"/>
      </w:pPr>
      <w:r>
        <w:rPr>
          <w:rStyle w:val="FootnoteReference"/>
        </w:rPr>
        <w:footnoteRef/>
      </w:r>
      <w:r>
        <w:t xml:space="preserve"> Cross-references for "went": John 7:53; John 16:32.</w:t>
      </w:r>
    </w:p>
  </w:footnote>
  <w:footnote w:id="16401">
    <w:p>
      <w:pPr>
        <w:pStyle w:val="FootnoteText"/>
      </w:pPr>
      <w:r>
        <w:rPr>
          <w:rStyle w:val="FootnoteReference"/>
        </w:rPr>
        <w:footnoteRef/>
      </w:r>
      <w:r>
        <w:t xml:space="preserve"> Cross-references for "Woman": John 2:4; John 19:26.</w:t>
      </w:r>
    </w:p>
  </w:footnote>
  <w:footnote w:id="16402">
    <w:p>
      <w:pPr>
        <w:pStyle w:val="FootnoteText"/>
      </w:pPr>
      <w:r>
        <w:rPr>
          <w:rStyle w:val="FootnoteReference"/>
        </w:rPr>
        <w:footnoteRef/>
      </w:r>
      <w:r>
        <w:t xml:space="preserve"> Cross-references for "and saw": Song 3:3-4; Matt 28:9.</w:t>
      </w:r>
    </w:p>
  </w:footnote>
  <w:footnote w:id="16403">
    <w:p>
      <w:pPr>
        <w:pStyle w:val="FootnoteText"/>
      </w:pPr>
      <w:r>
        <w:rPr>
          <w:rStyle w:val="FootnoteReference"/>
        </w:rPr>
        <w:footnoteRef/>
      </w:r>
      <w:r>
        <w:t xml:space="preserve"> Cross-references for "Mary": Gen 22:1; Gen 22:11.</w:t>
      </w:r>
    </w:p>
  </w:footnote>
  <w:footnote w:id="16404">
    <w:p>
      <w:pPr>
        <w:pStyle w:val="FootnoteText"/>
      </w:pPr>
      <w:r>
        <w:rPr>
          <w:rStyle w:val="FootnoteReference"/>
        </w:rPr>
        <w:footnoteRef/>
      </w:r>
      <w:r>
        <w:t xml:space="preserve"> Cross-references for "touch": 2Kgs 4:29; 2Kgs 7:9.</w:t>
      </w:r>
    </w:p>
  </w:footnote>
  <w:footnote w:id="16405">
    <w:p>
      <w:pPr>
        <w:pStyle w:val="FootnoteText"/>
      </w:pPr>
      <w:r>
        <w:rPr>
          <w:rStyle w:val="FootnoteReference"/>
        </w:rPr>
        <w:footnoteRef/>
      </w:r>
      <w:r>
        <w:t xml:space="preserve"> Cross-references for "Peace": Ps 85:8-10; Isa 57:18-19.</w:t>
      </w:r>
    </w:p>
  </w:footnote>
  <w:footnote w:id="16406">
    <w:p>
      <w:pPr>
        <w:pStyle w:val="FootnoteText"/>
      </w:pPr>
      <w:r>
        <w:rPr>
          <w:rStyle w:val="FootnoteReference"/>
        </w:rPr>
        <w:footnoteRef/>
      </w:r>
      <w:r>
        <w:t xml:space="preserve"> Cross-references for "he showed": Luke 24:39-40; John 20:27.</w:t>
      </w:r>
    </w:p>
  </w:footnote>
  <w:footnote w:id="16407">
    <w:p>
      <w:pPr>
        <w:pStyle w:val="FootnoteText"/>
      </w:pPr>
      <w:r>
        <w:rPr>
          <w:rStyle w:val="FootnoteReference"/>
        </w:rPr>
        <w:footnoteRef/>
      </w:r>
      <w:r>
        <w:t xml:space="preserve"> Cross-references for "Peace": John 14:27.</w:t>
      </w:r>
    </w:p>
  </w:footnote>
  <w:footnote w:id="16408">
    <w:p>
      <w:pPr>
        <w:pStyle w:val="FootnoteText"/>
      </w:pPr>
      <w:r>
        <w:rPr>
          <w:rStyle w:val="FootnoteReference"/>
        </w:rPr>
        <w:footnoteRef/>
      </w:r>
      <w:r>
        <w:t xml:space="preserve"> Cross-references for "he breathed": Gen 2:7; Job 33:4.</w:t>
      </w:r>
    </w:p>
  </w:footnote>
  <w:footnote w:id="16409">
    <w:p>
      <w:pPr>
        <w:pStyle w:val="FootnoteText"/>
      </w:pPr>
      <w:r>
        <w:rPr>
          <w:rStyle w:val="FootnoteReference"/>
        </w:rPr>
        <w:footnoteRef/>
      </w:r>
      <w:r>
        <w:t xml:space="preserve"> Cross-references for "Thomas": Matt 10:3; John 11:16.</w:t>
      </w:r>
    </w:p>
  </w:footnote>
  <w:footnote w:id="16410">
    <w:p>
      <w:pPr>
        <w:pStyle w:val="FootnoteText"/>
      </w:pPr>
      <w:r>
        <w:rPr>
          <w:rStyle w:val="FootnoteReference"/>
        </w:rPr>
        <w:footnoteRef/>
      </w:r>
      <w:r>
        <w:t xml:space="preserve"> Cross-references for "Except": Job 9:16; Ps 78:11-22.</w:t>
      </w:r>
    </w:p>
  </w:footnote>
  <w:footnote w:id="16411">
    <w:p>
      <w:pPr>
        <w:pStyle w:val="FootnoteText"/>
      </w:pPr>
      <w:r>
        <w:rPr>
          <w:rStyle w:val="FootnoteReference"/>
        </w:rPr>
        <w:footnoteRef/>
      </w:r>
      <w:r>
        <w:t xml:space="preserve"> Cross-references for "eight": Matt 17:1; Luke 9:28.</w:t>
      </w:r>
    </w:p>
  </w:footnote>
  <w:footnote w:id="16412">
    <w:p>
      <w:pPr>
        <w:pStyle w:val="FootnoteText"/>
      </w:pPr>
      <w:r>
        <w:rPr>
          <w:rStyle w:val="FootnoteReference"/>
        </w:rPr>
        <w:footnoteRef/>
      </w:r>
      <w:r>
        <w:t xml:space="preserve"> Cross-references for "My Lord": Ps 45:6; Ps 45:11.</w:t>
      </w:r>
    </w:p>
  </w:footnote>
  <w:footnote w:id="16413">
    <w:p>
      <w:pPr>
        <w:pStyle w:val="FootnoteText"/>
      </w:pPr>
      <w:r>
        <w:rPr>
          <w:rStyle w:val="FootnoteReference"/>
        </w:rPr>
        <w:footnoteRef/>
      </w:r>
      <w:r>
        <w:t xml:space="preserve"> Cross-references for "blessed": Luke 1:45; John 4:48.</w:t>
      </w:r>
    </w:p>
  </w:footnote>
  <w:footnote w:id="16414">
    <w:p>
      <w:pPr>
        <w:pStyle w:val="FootnoteText"/>
      </w:pPr>
      <w:r>
        <w:rPr>
          <w:rStyle w:val="FootnoteReference"/>
        </w:rPr>
        <w:footnoteRef/>
      </w:r>
      <w:r>
        <w:t xml:space="preserve"> Cross-references for "believing": Mark 16:16; John 3:15-16.</w:t>
      </w:r>
    </w:p>
  </w:footnote>
  <w:footnote w:id="16415">
    <w:p>
      <w:pPr>
        <w:pStyle w:val="FootnoteText"/>
      </w:pPr>
      <w:r>
        <w:rPr>
          <w:rStyle w:val="FootnoteReference"/>
        </w:rPr>
        <w:footnoteRef/>
      </w:r>
      <w:r>
        <w:t xml:space="preserve"> Cross-references for "Jesus": Matt 26:32; Matt 28:7.</w:t>
      </w:r>
    </w:p>
  </w:footnote>
  <w:footnote w:id="16416">
    <w:p>
      <w:pPr>
        <w:pStyle w:val="FootnoteText"/>
      </w:pPr>
      <w:r>
        <w:rPr>
          <w:rStyle w:val="FootnoteReference"/>
        </w:rPr>
        <w:footnoteRef/>
      </w:r>
      <w:r>
        <w:t xml:space="preserve"> Cross-references for "Thomas": John 20:28.</w:t>
      </w:r>
    </w:p>
  </w:footnote>
  <w:footnote w:id="16417">
    <w:p>
      <w:pPr>
        <w:pStyle w:val="FootnoteText"/>
      </w:pPr>
      <w:r>
        <w:rPr>
          <w:rStyle w:val="FootnoteReference"/>
        </w:rPr>
        <w:footnoteRef/>
      </w:r>
      <w:r>
        <w:t xml:space="preserve"> Cross-references for "I go": 2Kgs 6:1-7; Matt 4:18-20.</w:t>
      </w:r>
    </w:p>
  </w:footnote>
  <w:footnote w:id="16418">
    <w:p>
      <w:pPr>
        <w:pStyle w:val="FootnoteText"/>
      </w:pPr>
      <w:r>
        <w:rPr>
          <w:rStyle w:val="FootnoteReference"/>
        </w:rPr>
        <w:footnoteRef/>
      </w:r>
      <w:r>
        <w:t xml:space="preserve"> Cross-references for "Cast": Matt 7:27; Luke 5:4-7.</w:t>
      </w:r>
    </w:p>
  </w:footnote>
  <w:footnote w:id="16419">
    <w:p>
      <w:pPr>
        <w:pStyle w:val="FootnoteText"/>
      </w:pPr>
      <w:r>
        <w:rPr>
          <w:rStyle w:val="FootnoteReference"/>
        </w:rPr>
        <w:footnoteRef/>
      </w:r>
      <w:r>
        <w:t xml:space="preserve"> Cross-references for "that disciple": John 13:23; John 19:26.</w:t>
      </w:r>
    </w:p>
  </w:footnote>
  <w:footnote w:id="16420">
    <w:p>
      <w:pPr>
        <w:pStyle w:val="FootnoteText"/>
      </w:pPr>
      <w:r>
        <w:rPr>
          <w:rStyle w:val="FootnoteReference"/>
        </w:rPr>
        <w:footnoteRef/>
      </w:r>
      <w:r>
        <w:t xml:space="preserve"> Cross-references for "cubits": Deut 3:11.</w:t>
      </w:r>
    </w:p>
  </w:footnote>
  <w:footnote w:id="16421">
    <w:p>
      <w:pPr>
        <w:pStyle w:val="FootnoteText"/>
      </w:pPr>
      <w:r>
        <w:rPr>
          <w:rStyle w:val="FootnoteReference"/>
        </w:rPr>
        <w:footnoteRef/>
      </w:r>
      <w:r>
        <w:t xml:space="preserve"> Cross-references for "they saw": 1Kgs 19:5-6; Matt 4:11.</w:t>
      </w:r>
    </w:p>
  </w:footnote>
  <w:footnote w:id="16422">
    <w:p>
      <w:pPr>
        <w:pStyle w:val="FootnoteText"/>
      </w:pPr>
      <w:r>
        <w:rPr>
          <w:rStyle w:val="FootnoteReference"/>
        </w:rPr>
        <w:footnoteRef/>
      </w:r>
      <w:r>
        <w:t xml:space="preserve"> Cross-references for "and for": Luke 5:6-8; Acts 2:41.</w:t>
      </w:r>
    </w:p>
  </w:footnote>
  <w:footnote w:id="16423">
    <w:p>
      <w:pPr>
        <w:pStyle w:val="FootnoteText"/>
      </w:pPr>
      <w:r>
        <w:rPr>
          <w:rStyle w:val="FootnoteReference"/>
        </w:rPr>
        <w:footnoteRef/>
      </w:r>
      <w:r>
        <w:t xml:space="preserve"> Cross-references for "the third time": John 20:19; John 20:26.</w:t>
      </w:r>
    </w:p>
  </w:footnote>
  <w:footnote w:id="16424">
    <w:p>
      <w:pPr>
        <w:pStyle w:val="FootnoteText"/>
      </w:pPr>
      <w:r>
        <w:rPr>
          <w:rStyle w:val="FootnoteReference"/>
        </w:rPr>
        <w:footnoteRef/>
      </w:r>
      <w:r>
        <w:t xml:space="preserve"> Cross-references for "more": Matt 26:33; Matt 26:35.</w:t>
      </w:r>
    </w:p>
  </w:footnote>
  <w:footnote w:id="16425">
    <w:p>
      <w:pPr>
        <w:pStyle w:val="FootnoteText"/>
      </w:pPr>
      <w:r>
        <w:rPr>
          <w:rStyle w:val="FootnoteReference"/>
        </w:rPr>
        <w:footnoteRef/>
      </w:r>
      <w:r>
        <w:t xml:space="preserve"> Cross-references for "the second": Matt 26:72; John 18:17.</w:t>
      </w:r>
    </w:p>
  </w:footnote>
  <w:footnote w:id="16426">
    <w:p>
      <w:pPr>
        <w:pStyle w:val="FootnoteText"/>
      </w:pPr>
      <w:r>
        <w:rPr>
          <w:rStyle w:val="FootnoteReference"/>
        </w:rPr>
        <w:footnoteRef/>
      </w:r>
      <w:r>
        <w:t xml:space="preserve"> Cross-references for "the third": Matt 26:73-74; John 13:38.</w:t>
      </w:r>
    </w:p>
  </w:footnote>
  <w:footnote w:id="16427">
    <w:p>
      <w:pPr>
        <w:pStyle w:val="FootnoteText"/>
      </w:pPr>
      <w:r>
        <w:rPr>
          <w:rStyle w:val="FootnoteReference"/>
        </w:rPr>
        <w:footnoteRef/>
      </w:r>
      <w:r>
        <w:t xml:space="preserve"> Cross-references for "another": Acts 21:11.</w:t>
      </w:r>
    </w:p>
  </w:footnote>
  <w:footnote w:id="16428">
    <w:p>
      <w:pPr>
        <w:pStyle w:val="FootnoteText"/>
      </w:pPr>
      <w:r>
        <w:rPr>
          <w:rStyle w:val="FootnoteReference"/>
        </w:rPr>
        <w:footnoteRef/>
      </w:r>
      <w:r>
        <w:t xml:space="preserve"> Cross-references for "Follow": Num 14:24; 1Sam 12:20.</w:t>
      </w:r>
    </w:p>
  </w:footnote>
  <w:footnote w:id="16429">
    <w:p>
      <w:pPr>
        <w:pStyle w:val="FootnoteText"/>
      </w:pPr>
      <w:r>
        <w:rPr>
          <w:rStyle w:val="FootnoteReference"/>
        </w:rPr>
        <w:footnoteRef/>
      </w:r>
      <w:r>
        <w:t xml:space="preserve"> Cross-references for "follow": John 21:19.</w:t>
      </w:r>
    </w:p>
  </w:footnote>
  <w:footnote w:id="16430">
    <w:p>
      <w:pPr>
        <w:pStyle w:val="FootnoteText"/>
      </w:pPr>
      <w:r>
        <w:rPr>
          <w:rStyle w:val="FootnoteReference"/>
        </w:rPr>
        <w:footnoteRef/>
      </w:r>
      <w:r>
        <w:t xml:space="preserve"> Cross-references for "that even": Num 13:33; Deut 1:28.</w:t>
      </w:r>
    </w:p>
  </w:footnote>
  <w:footnote w:id="16431">
    <w:p>
      <w:pPr>
        <w:pStyle w:val="FootnoteText"/>
      </w:pPr>
      <w:r>
        <w:rPr>
          <w:rStyle w:val="FootnoteReference"/>
        </w:rPr>
        <w:footnoteRef/>
      </w:r>
      <w:r>
        <w:t xml:space="preserve"> Cross-references for "former": Luke 1:24.</w:t>
      </w:r>
    </w:p>
  </w:footnote>
  <w:footnote w:id="16432">
    <w:p>
      <w:pPr>
        <w:pStyle w:val="FootnoteText"/>
      </w:pPr>
      <w:r>
        <w:rPr>
          <w:rStyle w:val="FootnoteReference"/>
        </w:rPr>
        <w:footnoteRef/>
      </w:r>
      <w:r>
        <w:t xml:space="preserve"> Cross-references for "given": Matt 28:19; Mark 16:15-19.</w:t>
      </w:r>
    </w:p>
  </w:footnote>
  <w:footnote w:id="16433">
    <w:p>
      <w:pPr>
        <w:pStyle w:val="FootnoteText"/>
      </w:pPr>
      <w:r>
        <w:rPr>
          <w:rStyle w:val="FootnoteReference"/>
        </w:rPr>
        <w:footnoteRef/>
      </w:r>
      <w:r>
        <w:t xml:space="preserve"> Cross-references for "he showed": Matt 28:9; Matt 28:16.</w:t>
      </w:r>
    </w:p>
  </w:footnote>
  <w:footnote w:id="16434">
    <w:p>
      <w:pPr>
        <w:pStyle w:val="FootnoteText"/>
      </w:pPr>
      <w:r>
        <w:rPr>
          <w:rStyle w:val="FootnoteReference"/>
        </w:rPr>
        <w:footnoteRef/>
      </w:r>
      <w:r>
        <w:t xml:space="preserve"> Cross-references for "being assembled together": Luke 24:41-43; Acts 10:41.</w:t>
      </w:r>
    </w:p>
  </w:footnote>
  <w:footnote w:id="16435">
    <w:p>
      <w:pPr>
        <w:pStyle w:val="FootnoteText"/>
      </w:pPr>
      <w:r>
        <w:rPr>
          <w:rStyle w:val="FootnoteReference"/>
        </w:rPr>
        <w:footnoteRef/>
      </w:r>
      <w:r>
        <w:t xml:space="preserve"> Cross-references for "John": Matt 3:11; Luke 3:16.</w:t>
      </w:r>
    </w:p>
  </w:footnote>
  <w:footnote w:id="16436">
    <w:p>
      <w:pPr>
        <w:pStyle w:val="FootnoteText"/>
      </w:pPr>
      <w:r>
        <w:rPr>
          <w:rStyle w:val="FootnoteReference"/>
        </w:rPr>
        <w:footnoteRef/>
      </w:r>
      <w:r>
        <w:t xml:space="preserve"> Cross-references for "restore": Gen 49:10; Isa 1:26.</w:t>
      </w:r>
    </w:p>
  </w:footnote>
  <w:footnote w:id="16437">
    <w:p>
      <w:pPr>
        <w:pStyle w:val="FootnoteText"/>
      </w:pPr>
      <w:r>
        <w:rPr>
          <w:rStyle w:val="FootnoteReference"/>
        </w:rPr>
        <w:footnoteRef/>
      </w:r>
      <w:r>
        <w:t xml:space="preserve"> Cross-references for "power": Luke 1:35; Luke 24:29.</w:t>
      </w:r>
    </w:p>
  </w:footnote>
  <w:footnote w:id="16438">
    <w:p>
      <w:pPr>
        <w:pStyle w:val="FootnoteText"/>
      </w:pPr>
      <w:r>
        <w:rPr>
          <w:rStyle w:val="FootnoteReference"/>
        </w:rPr>
        <w:footnoteRef/>
      </w:r>
      <w:r>
        <w:t xml:space="preserve"> Cross-references for "a cloud": Exod 19:9; Exod 34:5.</w:t>
      </w:r>
    </w:p>
  </w:footnote>
  <w:footnote w:id="16439">
    <w:p>
      <w:pPr>
        <w:pStyle w:val="FootnoteText"/>
      </w:pPr>
      <w:r>
        <w:rPr>
          <w:rStyle w:val="FootnoteReference"/>
        </w:rPr>
        <w:footnoteRef/>
      </w:r>
      <w:r>
        <w:t xml:space="preserve"> Cross-references for "a Sabbath": Luke 24:50; John 11:18.</w:t>
      </w:r>
    </w:p>
  </w:footnote>
  <w:footnote w:id="16440">
    <w:p>
      <w:pPr>
        <w:pStyle w:val="FootnoteText"/>
      </w:pPr>
      <w:r>
        <w:rPr>
          <w:rStyle w:val="FootnoteReference"/>
        </w:rPr>
        <w:footnoteRef/>
      </w:r>
      <w:r>
        <w:t xml:space="preserve"> Cross-references for "Peter": Matt 4:18-22; Matt 10:2-4.</w:t>
      </w:r>
    </w:p>
  </w:footnote>
  <w:footnote w:id="16441">
    <w:p>
      <w:pPr>
        <w:pStyle w:val="FootnoteText"/>
      </w:pPr>
      <w:r>
        <w:rPr>
          <w:rStyle w:val="FootnoteReference"/>
        </w:rPr>
        <w:footnoteRef/>
      </w:r>
      <w:r>
        <w:t xml:space="preserve"> Cross-references for "with the": Matt 27:55; Mark 15:40.</w:t>
      </w:r>
    </w:p>
  </w:footnote>
  <w:footnote w:id="16442">
    <w:p>
      <w:pPr>
        <w:pStyle w:val="FootnoteText"/>
      </w:pPr>
      <w:r>
        <w:rPr>
          <w:rStyle w:val="FootnoteReference"/>
        </w:rPr>
        <w:footnoteRef/>
      </w:r>
      <w:r>
        <w:t xml:space="preserve"> Cross-references for "Peter": Ps 32:5-6; Ps 51:9-13.</w:t>
      </w:r>
    </w:p>
  </w:footnote>
  <w:footnote w:id="16443">
    <w:p>
      <w:pPr>
        <w:pStyle w:val="FootnoteText"/>
      </w:pPr>
      <w:r>
        <w:rPr>
          <w:rStyle w:val="FootnoteReference"/>
        </w:rPr>
        <w:footnoteRef/>
      </w:r>
      <w:r>
        <w:t xml:space="preserve"> Cross-references for "which the": 2Sam 23:2; Mark 12:36.</w:t>
      </w:r>
    </w:p>
  </w:footnote>
  <w:footnote w:id="16444">
    <w:p>
      <w:pPr>
        <w:pStyle w:val="FootnoteText"/>
      </w:pPr>
      <w:r>
        <w:rPr>
          <w:rStyle w:val="FootnoteReference"/>
        </w:rPr>
        <w:footnoteRef/>
      </w:r>
      <w:r>
        <w:t xml:space="preserve"> Cross-references for "and falling": Ps 55:15; Ps 55:23.</w:t>
      </w:r>
    </w:p>
  </w:footnote>
  <w:footnote w:id="16445">
    <w:p>
      <w:pPr>
        <w:pStyle w:val="FootnoteText"/>
      </w:pPr>
      <w:r>
        <w:rPr>
          <w:rStyle w:val="FootnoteReference"/>
        </w:rPr>
        <w:footnoteRef/>
      </w:r>
      <w:r>
        <w:t xml:space="preserve"> Transliterated proper noun: Aceldama. Standard English equivalent: Aceldama. Source form: Aceldama. Greek form: ακελδαμα. Name meaning: field of blood.</w:t>
      </w:r>
    </w:p>
  </w:footnote>
  <w:footnote w:id="16446">
    <w:p>
      <w:pPr>
        <w:pStyle w:val="FootnoteText"/>
      </w:pPr>
      <w:r>
        <w:rPr>
          <w:rStyle w:val="FootnoteReference"/>
        </w:rPr>
        <w:footnoteRef/>
      </w:r>
      <w:r>
        <w:t xml:space="preserve"> Cross-references for "Aceldama": 2Sam 2:16.</w:t>
      </w:r>
    </w:p>
  </w:footnote>
  <w:footnote w:id="16447">
    <w:p>
      <w:pPr>
        <w:pStyle w:val="FootnoteText"/>
      </w:pPr>
      <w:r>
        <w:rPr>
          <w:rStyle w:val="FootnoteReference"/>
        </w:rPr>
        <w:footnoteRef/>
      </w:r>
      <w:r>
        <w:t xml:space="preserve"> Cross-references for "Let his": Ps 69:25; Ps 109:9-15.</w:t>
      </w:r>
    </w:p>
  </w:footnote>
  <w:footnote w:id="16448">
    <w:p>
      <w:pPr>
        <w:pStyle w:val="FootnoteText"/>
      </w:pPr>
      <w:r>
        <w:rPr>
          <w:rStyle w:val="FootnoteReference"/>
        </w:rPr>
        <w:footnoteRef/>
      </w:r>
      <w:r>
        <w:t xml:space="preserve"> Cross-references for "went": Num 27:17; Deut 31:2.</w:t>
      </w:r>
    </w:p>
  </w:footnote>
  <w:footnote w:id="16449">
    <w:p>
      <w:pPr>
        <w:pStyle w:val="FootnoteText"/>
      </w:pPr>
      <w:r>
        <w:rPr>
          <w:rStyle w:val="FootnoteReference"/>
        </w:rPr>
        <w:footnoteRef/>
      </w:r>
      <w:r>
        <w:t xml:space="preserve"> Cross-references for "Beginning": Acts 13:24-25.</w:t>
      </w:r>
    </w:p>
  </w:footnote>
  <w:footnote w:id="16450">
    <w:p>
      <w:pPr>
        <w:pStyle w:val="FootnoteText"/>
      </w:pPr>
      <w:r>
        <w:rPr>
          <w:rStyle w:val="FootnoteReference"/>
        </w:rPr>
        <w:footnoteRef/>
      </w:r>
      <w:r>
        <w:t xml:space="preserve"> Transliterated proper noun: Barsabas. Standard English equivalent: Barsabas. Source form: Barsabas. Greek form: βαρσαβαν. Name meaning: son of return; son of rest.</w:t>
      </w:r>
    </w:p>
  </w:footnote>
  <w:footnote w:id="16451">
    <w:p>
      <w:pPr>
        <w:pStyle w:val="FootnoteText"/>
      </w:pPr>
      <w:r>
        <w:rPr>
          <w:rStyle w:val="FootnoteReference"/>
        </w:rPr>
        <w:footnoteRef/>
      </w:r>
      <w:r>
        <w:t xml:space="preserve"> Personal name: Justus. Personal-name meaning: Justus — just or upright. Source form: Justus.</w:t>
      </w:r>
    </w:p>
  </w:footnote>
  <w:footnote w:id="16452">
    <w:p>
      <w:pPr>
        <w:pStyle w:val="FootnoteText"/>
      </w:pPr>
      <w:r>
        <w:rPr>
          <w:rStyle w:val="FootnoteReference"/>
        </w:rPr>
        <w:footnoteRef/>
      </w:r>
      <w:r>
        <w:t xml:space="preserve"> Name meaning: Matthias (Mattityahu) — Gift of Yahweh. Chosen to replace Judas.</w:t>
      </w:r>
    </w:p>
  </w:footnote>
  <w:footnote w:id="16453">
    <w:p>
      <w:pPr>
        <w:pStyle w:val="FootnoteText"/>
      </w:pPr>
      <w:r>
        <w:rPr>
          <w:rStyle w:val="FootnoteReference"/>
        </w:rPr>
        <w:footnoteRef/>
      </w:r>
      <w:r>
        <w:t xml:space="preserve"> Cross-references for "Barsabas": Acts 15:22.</w:t>
      </w:r>
    </w:p>
  </w:footnote>
  <w:footnote w:id="16454">
    <w:p>
      <w:pPr>
        <w:pStyle w:val="FootnoteText"/>
      </w:pPr>
      <w:r>
        <w:rPr>
          <w:rStyle w:val="FootnoteReference"/>
        </w:rPr>
        <w:footnoteRef/>
      </w:r>
      <w:r>
        <w:t xml:space="preserve"> Cross-references for "Lord": Acts 15:8.</w:t>
      </w:r>
    </w:p>
  </w:footnote>
  <w:footnote w:id="16455">
    <w:p>
      <w:pPr>
        <w:pStyle w:val="FootnoteText"/>
      </w:pPr>
      <w:r>
        <w:rPr>
          <w:rStyle w:val="FootnoteReference"/>
        </w:rPr>
        <w:footnoteRef/>
      </w:r>
      <w:r>
        <w:t xml:space="preserve"> Cross-references for "he may": Acts 1:17; Acts 1:20.</w:t>
      </w:r>
    </w:p>
  </w:footnote>
  <w:footnote w:id="16456">
    <w:p>
      <w:pPr>
        <w:pStyle w:val="FootnoteText"/>
      </w:pPr>
      <w:r>
        <w:rPr>
          <w:rStyle w:val="FootnoteReference"/>
        </w:rPr>
        <w:footnoteRef/>
      </w:r>
      <w:r>
        <w:t xml:space="preserve"> Cross-references for "Matthias": Acts 1:23.</w:t>
      </w:r>
    </w:p>
  </w:footnote>
  <w:footnote w:id="16457">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16458">
    <w:p>
      <w:pPr>
        <w:pStyle w:val="FootnoteText"/>
      </w:pPr>
      <w:r>
        <w:rPr>
          <w:rStyle w:val="FootnoteReference"/>
        </w:rPr>
        <w:footnoteRef/>
      </w:r>
      <w:r>
        <w:t xml:space="preserve"> Cross-references for "suddenly": Isa 65:24; Mal 3:1.</w:t>
      </w:r>
    </w:p>
  </w:footnote>
  <w:footnote w:id="16459">
    <w:p>
      <w:pPr>
        <w:pStyle w:val="FootnoteText"/>
      </w:pPr>
      <w:r>
        <w:rPr>
          <w:rStyle w:val="FootnoteReference"/>
        </w:rPr>
        <w:footnoteRef/>
      </w:r>
      <w:r>
        <w:t xml:space="preserve"> Cross-references for "filled": Luke 1:15; Luke 1:41.</w:t>
      </w:r>
    </w:p>
  </w:footnote>
  <w:footnote w:id="16460">
    <w:p>
      <w:pPr>
        <w:pStyle w:val="FootnoteText"/>
      </w:pPr>
      <w:r>
        <w:rPr>
          <w:rStyle w:val="FootnoteReference"/>
        </w:rPr>
        <w:footnoteRef/>
      </w:r>
      <w:r>
        <w:t xml:space="preserve"> Cross-references for "devout": Luke 2:25; Acts 8:2.</w:t>
      </w:r>
    </w:p>
  </w:footnote>
  <w:footnote w:id="16461">
    <w:p>
      <w:pPr>
        <w:pStyle w:val="FootnoteText"/>
      </w:pPr>
      <w:r>
        <w:rPr>
          <w:rStyle w:val="FootnoteReference"/>
        </w:rPr>
        <w:footnoteRef/>
      </w:r>
      <w:r>
        <w:t xml:space="preserve"> Cross-references for "the multitude": Acts 3:11; 1Cor 16:9.</w:t>
      </w:r>
    </w:p>
  </w:footnote>
  <w:footnote w:id="16462">
    <w:p>
      <w:pPr>
        <w:pStyle w:val="FootnoteText"/>
      </w:pPr>
      <w:r>
        <w:rPr>
          <w:rStyle w:val="FootnoteReference"/>
        </w:rPr>
        <w:footnoteRef/>
      </w:r>
      <w:r>
        <w:t xml:space="preserve"> Cross-references for "amazed": Mark 1:27; Mark 2:12.</w:t>
      </w:r>
    </w:p>
  </w:footnote>
  <w:footnote w:id="16463">
    <w:p>
      <w:pPr>
        <w:pStyle w:val="FootnoteText"/>
      </w:pPr>
      <w:r>
        <w:rPr>
          <w:rStyle w:val="FootnoteReference"/>
        </w:rPr>
        <w:footnoteRef/>
      </w:r>
      <w:r>
        <w:t xml:space="preserve"> People-name: Parthians. People-name meaning: Parthians — people of Parthia. Source form: Parthians.</w:t>
      </w:r>
    </w:p>
  </w:footnote>
  <w:footnote w:id="16464">
    <w:p>
      <w:pPr>
        <w:pStyle w:val="FootnoteText"/>
      </w:pPr>
      <w:r>
        <w:rPr>
          <w:rStyle w:val="FootnoteReference"/>
        </w:rPr>
        <w:footnoteRef/>
      </w:r>
      <w:r>
        <w:t xml:space="preserve"> People-name: Medes. People-name meaning: Medes — people of Media. Source form: Medes.</w:t>
      </w:r>
    </w:p>
  </w:footnote>
  <w:footnote w:id="16465">
    <w:p>
      <w:pPr>
        <w:pStyle w:val="FootnoteText"/>
      </w:pPr>
      <w:r>
        <w:rPr>
          <w:rStyle w:val="FootnoteReference"/>
        </w:rPr>
        <w:footnoteRef/>
      </w:r>
      <w:r>
        <w:t xml:space="preserve"> People-name: Elamites. People-name meaning: Elamites — a young man; a virgin; a secret. Source form: Elamites.</w:t>
      </w:r>
    </w:p>
  </w:footnote>
  <w:footnote w:id="16466">
    <w:p>
      <w:pPr>
        <w:pStyle w:val="FootnoteText"/>
      </w:pPr>
      <w:r>
        <w:rPr>
          <w:rStyle w:val="FootnoteReference"/>
        </w:rPr>
        <w:footnoteRef/>
      </w:r>
      <w:r>
        <w:t xml:space="preserve"> Place name: Mesopotamia. Place-name meaning: Mesopotamia — between two rivers. Source form: Mesopotamia. Greek form: μεσοποταμιαν.</w:t>
      </w:r>
    </w:p>
  </w:footnote>
  <w:footnote w:id="16467">
    <w:p>
      <w:pPr>
        <w:pStyle w:val="FootnoteText"/>
      </w:pPr>
      <w:r>
        <w:rPr>
          <w:rStyle w:val="FootnoteReference"/>
        </w:rPr>
        <w:footnoteRef/>
      </w:r>
      <w:r>
        <w:t xml:space="preserve"> Place name: Cappadocia. Place-name meaning: Cappadocia — land of beautiful horses. Source form: Cappadocia. Greek form: καππαδοκιαν.</w:t>
      </w:r>
    </w:p>
  </w:footnote>
  <w:footnote w:id="16468">
    <w:p>
      <w:pPr>
        <w:pStyle w:val="FootnoteText"/>
      </w:pPr>
      <w:r>
        <w:rPr>
          <w:rStyle w:val="FootnoteReference"/>
        </w:rPr>
        <w:footnoteRef/>
      </w:r>
      <w:r>
        <w:t xml:space="preserve"> Place name: Pontus. Place-name meaning: Pontus — the sea. Source form: Pontus. Greek form: ποντον.</w:t>
      </w:r>
    </w:p>
  </w:footnote>
  <w:footnote w:id="16469">
    <w:p>
      <w:pPr>
        <w:pStyle w:val="FootnoteText"/>
      </w:pPr>
      <w:r>
        <w:rPr>
          <w:rStyle w:val="FootnoteReference"/>
        </w:rPr>
        <w:footnoteRef/>
      </w:r>
      <w:r>
        <w:t xml:space="preserve"> Place name: Asia. Place-name meaning: Asia — muddy; boggy. Source form: Asia. Greek form: ασιαν.</w:t>
      </w:r>
    </w:p>
  </w:footnote>
  <w:footnote w:id="16470">
    <w:p>
      <w:pPr>
        <w:pStyle w:val="FootnoteText"/>
      </w:pPr>
      <w:r>
        <w:rPr>
          <w:rStyle w:val="FootnoteReference"/>
        </w:rPr>
        <w:footnoteRef/>
      </w:r>
      <w:r>
        <w:t xml:space="preserve"> Cross-references for "Medes": 2Kgs 17:6; Ezra 6:2.</w:t>
      </w:r>
    </w:p>
  </w:footnote>
  <w:footnote w:id="16471">
    <w:p>
      <w:pPr>
        <w:pStyle w:val="FootnoteText"/>
      </w:pPr>
      <w:r>
        <w:rPr>
          <w:rStyle w:val="FootnoteReference"/>
        </w:rPr>
        <w:footnoteRef/>
      </w:r>
      <w:r>
        <w:t xml:space="preserve"> Place name: Phrygia. Place-name meaning: Phrygia — dry; barren. Source form: Phrygia. Greek form: φρυγιαν.</w:t>
      </w:r>
    </w:p>
  </w:footnote>
  <w:footnote w:id="16472">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16473">
    <w:p>
      <w:pPr>
        <w:pStyle w:val="FootnoteText"/>
      </w:pPr>
      <w:r>
        <w:rPr>
          <w:rStyle w:val="FootnoteReference"/>
        </w:rPr>
        <w:footnoteRef/>
      </w:r>
      <w:r>
        <w:t xml:space="preserve"> Place name: Libya. Place-name meaning: Libya — the heart of the sea; fat. Source form: Libya. Greek form: λιβυης.</w:t>
      </w:r>
    </w:p>
  </w:footnote>
  <w:footnote w:id="16474">
    <w:p>
      <w:pPr>
        <w:pStyle w:val="FootnoteText"/>
      </w:pPr>
      <w:r>
        <w:rPr>
          <w:rStyle w:val="FootnoteReference"/>
        </w:rPr>
        <w:footnoteRef/>
      </w:r>
      <w:r>
        <w:t xml:space="preserve"> Place name: Rome. Place-name meaning: Rome — strength; power. Source form: Rome. Greek form: ρωμαιοι.</w:t>
      </w:r>
    </w:p>
  </w:footnote>
  <w:footnote w:id="16475">
    <w:p>
      <w:pPr>
        <w:pStyle w:val="FootnoteText"/>
      </w:pPr>
      <w:r>
        <w:rPr>
          <w:rStyle w:val="FootnoteReference"/>
        </w:rPr>
        <w:footnoteRef/>
      </w:r>
      <w:r>
        <w:t xml:space="preserve"> Cross-references for "Phrygia": Acts 16:6; Acts 18:23.</w:t>
      </w:r>
    </w:p>
  </w:footnote>
  <w:footnote w:id="16476">
    <w:p>
      <w:pPr>
        <w:pStyle w:val="FootnoteText"/>
      </w:pPr>
      <w:r>
        <w:rPr>
          <w:rStyle w:val="FootnoteReference"/>
        </w:rPr>
        <w:footnoteRef/>
      </w:r>
      <w:r>
        <w:t xml:space="preserve"> People-name: Cretans. People-name meaning: Cretans — people of Crete. Source form: Cretans.</w:t>
      </w:r>
    </w:p>
  </w:footnote>
  <w:footnote w:id="16477">
    <w:p>
      <w:pPr>
        <w:pStyle w:val="FootnoteText"/>
      </w:pPr>
      <w:r>
        <w:rPr>
          <w:rStyle w:val="FootnoteReference"/>
        </w:rPr>
        <w:footnoteRef/>
      </w:r>
      <w:r>
        <w:t xml:space="preserve"> People-name: Arabians. People-name meaning: Arabians — evening; desert; ravens. Source form: Arabians.</w:t>
      </w:r>
    </w:p>
  </w:footnote>
  <w:footnote w:id="16478">
    <w:p>
      <w:pPr>
        <w:pStyle w:val="FootnoteText"/>
      </w:pPr>
      <w:r>
        <w:rPr>
          <w:rStyle w:val="FootnoteReference"/>
        </w:rPr>
        <w:footnoteRef/>
      </w:r>
      <w:r>
        <w:t xml:space="preserve"> Cross-references for "Arabians": 1Kgs 10:15; 2Chr 17:11.</w:t>
      </w:r>
    </w:p>
  </w:footnote>
  <w:footnote w:id="16479">
    <w:p>
      <w:pPr>
        <w:pStyle w:val="FootnoteText"/>
      </w:pPr>
      <w:r>
        <w:rPr>
          <w:rStyle w:val="FootnoteReference"/>
        </w:rPr>
        <w:footnoteRef/>
      </w:r>
      <w:r>
        <w:t xml:space="preserve"> Cross-references for "lifted": Isa 40:9; Isa 52:8.</w:t>
      </w:r>
    </w:p>
  </w:footnote>
  <w:footnote w:id="16480">
    <w:p>
      <w:pPr>
        <w:pStyle w:val="FootnoteText"/>
      </w:pPr>
      <w:r>
        <w:rPr>
          <w:rStyle w:val="FootnoteReference"/>
        </w:rPr>
        <w:footnoteRef/>
      </w:r>
      <w:r>
        <w:t xml:space="preserve"> Cross-references for "seeing": Matt 20:3; 1Thess 5:5-8.</w:t>
      </w:r>
    </w:p>
  </w:footnote>
  <w:footnote w:id="16481">
    <w:p>
      <w:pPr>
        <w:pStyle w:val="FootnoteText"/>
      </w:pPr>
      <w:r>
        <w:rPr>
          <w:rStyle w:val="FootnoteReference"/>
        </w:rPr>
        <w:footnoteRef/>
      </w:r>
      <w:r>
        <w:t xml:space="preserve"> Cross-references for "the prophet": Joel 2:28-32.</w:t>
      </w:r>
    </w:p>
  </w:footnote>
  <w:footnote w:id="16482">
    <w:p>
      <w:pPr>
        <w:pStyle w:val="FootnoteText"/>
      </w:pPr>
      <w:r>
        <w:rPr>
          <w:rStyle w:val="FootnoteReference"/>
        </w:rPr>
        <w:footnoteRef/>
      </w:r>
      <w:r>
        <w:t xml:space="preserve"> Personal name: Joel. Personal-name meaning: Joel — he that wills or commands. Source form: Joel.</w:t>
      </w:r>
    </w:p>
  </w:footnote>
  <w:footnote w:id="16483">
    <w:p>
      <w:pPr>
        <w:pStyle w:val="FootnoteText"/>
      </w:pPr>
      <w:r>
        <w:rPr>
          <w:rStyle w:val="FootnoteReference"/>
        </w:rPr>
        <w:footnoteRef/>
      </w:r>
      <w:r>
        <w:t xml:space="preserve"> Cross-references for "your sons": Acts 11:28; Acts 21:9.</w:t>
      </w:r>
    </w:p>
  </w:footnote>
  <w:footnote w:id="16484">
    <w:p>
      <w:pPr>
        <w:pStyle w:val="FootnoteText"/>
      </w:pPr>
      <w:r>
        <w:rPr>
          <w:rStyle w:val="FootnoteReference"/>
        </w:rPr>
        <w:footnoteRef/>
      </w:r>
      <w:r>
        <w:t xml:space="preserve"> Cross-references for "Jesus": Matt 2:23; John 1:45.</w:t>
      </w:r>
    </w:p>
  </w:footnote>
  <w:footnote w:id="16485">
    <w:p>
      <w:pPr>
        <w:pStyle w:val="FootnoteText"/>
      </w:pPr>
      <w:r>
        <w:rPr>
          <w:rStyle w:val="FootnoteReference"/>
        </w:rPr>
        <w:footnoteRef/>
      </w:r>
      <w:r>
        <w:t xml:space="preserve"> Cross-references for "loosed": Ps 116:3-4; Ps 116:16.</w:t>
      </w:r>
    </w:p>
  </w:footnote>
  <w:footnote w:id="16486">
    <w:p>
      <w:pPr>
        <w:pStyle w:val="FootnoteText"/>
      </w:pPr>
      <w:r>
        <w:rPr>
          <w:rStyle w:val="FootnoteReference"/>
        </w:rPr>
        <w:footnoteRef/>
      </w:r>
      <w:r>
        <w:t xml:space="preserve"> Cross-references for "David": Acts 2:29-30; Acts 13:32-36.</w:t>
      </w:r>
    </w:p>
  </w:footnote>
  <w:footnote w:id="16487">
    <w:p>
      <w:pPr>
        <w:pStyle w:val="FootnoteText"/>
      </w:pPr>
      <w:r>
        <w:rPr>
          <w:rStyle w:val="FootnoteReference"/>
        </w:rPr>
        <w:footnoteRef/>
      </w:r>
      <w:r>
        <w:t xml:space="preserve"> Cross-references for "my tongue": Ps 16:9; Ps 22:22-24.</w:t>
      </w:r>
    </w:p>
  </w:footnote>
  <w:footnote w:id="16488">
    <w:p>
      <w:pPr>
        <w:pStyle w:val="FootnoteText"/>
      </w:pPr>
      <w:r>
        <w:rPr>
          <w:rStyle w:val="FootnoteReference"/>
        </w:rPr>
        <w:footnoteRef/>
      </w:r>
      <w:r>
        <w:t xml:space="preserve"> Cross-references for "leave": Ps 49:15; Ps 86:13.</w:t>
      </w:r>
    </w:p>
  </w:footnote>
  <w:footnote w:id="16489">
    <w:p>
      <w:pPr>
        <w:pStyle w:val="FootnoteText"/>
      </w:pPr>
      <w:r>
        <w:rPr>
          <w:rStyle w:val="FootnoteReference"/>
        </w:rPr>
        <w:footnoteRef/>
      </w:r>
      <w:r>
        <w:t xml:space="preserve"> Cross-references for "made": Ps 16:11; Ps 21:4.</w:t>
      </w:r>
    </w:p>
  </w:footnote>
  <w:footnote w:id="16490">
    <w:p>
      <w:pPr>
        <w:pStyle w:val="FootnoteText"/>
      </w:pPr>
      <w:r>
        <w:rPr>
          <w:rStyle w:val="FootnoteReference"/>
        </w:rPr>
        <w:footnoteRef/>
      </w:r>
      <w:r>
        <w:t xml:space="preserve"> Cross-references for "freely": Acts 26:26.</w:t>
      </w:r>
    </w:p>
  </w:footnote>
  <w:footnote w:id="16491">
    <w:p>
      <w:pPr>
        <w:pStyle w:val="FootnoteText"/>
      </w:pPr>
      <w:r>
        <w:rPr>
          <w:rStyle w:val="FootnoteReference"/>
        </w:rPr>
        <w:footnoteRef/>
      </w:r>
      <w:r>
        <w:t xml:space="preserve"> Cross-references for "knowing": 2Sam 7:11-16; 1Chr 17:11-15.</w:t>
      </w:r>
    </w:p>
  </w:footnote>
  <w:footnote w:id="16492">
    <w:p>
      <w:pPr>
        <w:pStyle w:val="FootnoteText"/>
      </w:pPr>
      <w:r>
        <w:rPr>
          <w:rStyle w:val="FootnoteReference"/>
        </w:rPr>
        <w:footnoteRef/>
      </w:r>
      <w:r>
        <w:t xml:space="preserve"> Cross-references for "seeing": 1Pet 1:11-12.</w:t>
      </w:r>
    </w:p>
  </w:footnote>
  <w:footnote w:id="16493">
    <w:p>
      <w:pPr>
        <w:pStyle w:val="FootnoteText"/>
      </w:pPr>
      <w:r>
        <w:rPr>
          <w:rStyle w:val="FootnoteReference"/>
        </w:rPr>
        <w:footnoteRef/>
      </w:r>
      <w:r>
        <w:t xml:space="preserve"> Translation note: Greek has hadou in this resurrection citation. The draft keeps Hades rather than UKJV hell because the Greek term is distinct from Gehenna.</w:t>
      </w:r>
    </w:p>
  </w:footnote>
  <w:footnote w:id="16494">
    <w:p>
      <w:pPr>
        <w:pStyle w:val="FootnoteText"/>
      </w:pPr>
      <w:r>
        <w:rPr>
          <w:rStyle w:val="FootnoteReference"/>
        </w:rPr>
        <w:footnoteRef/>
      </w:r>
      <w:r>
        <w:t xml:space="preserve"> Cross-references for "The Lord": Ps 110:1; Matt 22:42-45.</w:t>
      </w:r>
    </w:p>
  </w:footnote>
  <w:footnote w:id="16495">
    <w:p>
      <w:pPr>
        <w:pStyle w:val="FootnoteText"/>
      </w:pPr>
      <w:r>
        <w:rPr>
          <w:rStyle w:val="FootnoteReference"/>
        </w:rPr>
        <w:footnoteRef/>
      </w:r>
      <w:r>
        <w:t xml:space="preserve"> Cross-references for "Repent": Matt 3:2; Matt 3:8-9.</w:t>
      </w:r>
    </w:p>
  </w:footnote>
  <w:footnote w:id="16496">
    <w:p>
      <w:pPr>
        <w:pStyle w:val="FootnoteText"/>
      </w:pPr>
      <w:r>
        <w:rPr>
          <w:rStyle w:val="FootnoteReference"/>
        </w:rPr>
        <w:footnoteRef/>
      </w:r>
      <w:r>
        <w:t xml:space="preserve"> Cross-references for "the promise": Gen 17:7-8; Ps 115:14-15.</w:t>
      </w:r>
    </w:p>
  </w:footnote>
  <w:footnote w:id="16497">
    <w:p>
      <w:pPr>
        <w:pStyle w:val="FootnoteText"/>
      </w:pPr>
      <w:r>
        <w:rPr>
          <w:rStyle w:val="FootnoteReference"/>
        </w:rPr>
        <w:footnoteRef/>
      </w:r>
      <w:r>
        <w:t xml:space="preserve"> Cross-references for "Save": Num 16:28-34; Prov 9:6.</w:t>
      </w:r>
    </w:p>
  </w:footnote>
  <w:footnote w:id="16498">
    <w:p>
      <w:pPr>
        <w:pStyle w:val="FootnoteText"/>
      </w:pPr>
      <w:r>
        <w:rPr>
          <w:rStyle w:val="FootnoteReference"/>
        </w:rPr>
        <w:footnoteRef/>
      </w:r>
      <w:r>
        <w:t xml:space="preserve"> Cross-references for "gladly": Matt 13:44-46; Acts 2:37.</w:t>
      </w:r>
    </w:p>
  </w:footnote>
  <w:footnote w:id="16499">
    <w:p>
      <w:pPr>
        <w:pStyle w:val="FootnoteText"/>
      </w:pPr>
      <w:r>
        <w:rPr>
          <w:rStyle w:val="FootnoteReference"/>
        </w:rPr>
        <w:footnoteRef/>
      </w:r>
      <w:r>
        <w:t xml:space="preserve"> Cross-references for "fellowship": Acts 4:23; Acts 5:12-14.</w:t>
      </w:r>
    </w:p>
  </w:footnote>
  <w:footnote w:id="16500">
    <w:p>
      <w:pPr>
        <w:pStyle w:val="FootnoteText"/>
      </w:pPr>
      <w:r>
        <w:rPr>
          <w:rStyle w:val="FootnoteReference"/>
        </w:rPr>
        <w:footnoteRef/>
      </w:r>
      <w:r>
        <w:t xml:space="preserve"> Cross-references for "fear": Jer 33:9; Hos 3:5.</w:t>
      </w:r>
    </w:p>
  </w:footnote>
  <w:footnote w:id="16501">
    <w:p>
      <w:pPr>
        <w:pStyle w:val="FootnoteText"/>
      </w:pPr>
      <w:r>
        <w:rPr>
          <w:rStyle w:val="FootnoteReference"/>
        </w:rPr>
        <w:footnoteRef/>
      </w:r>
      <w:r>
        <w:t xml:space="preserve"> Cross-references for "sold": Luke 12:33-34; Luke 16:9.</w:t>
      </w:r>
    </w:p>
  </w:footnote>
  <w:footnote w:id="16502">
    <w:p>
      <w:pPr>
        <w:pStyle w:val="FootnoteText"/>
      </w:pPr>
      <w:r>
        <w:rPr>
          <w:rStyle w:val="FootnoteReference"/>
        </w:rPr>
        <w:footnoteRef/>
      </w:r>
      <w:r>
        <w:t xml:space="preserve"> Cross-references for "daily": Luke 24:53; Acts 1:14.</w:t>
      </w:r>
    </w:p>
  </w:footnote>
  <w:footnote w:id="16503">
    <w:p>
      <w:pPr>
        <w:pStyle w:val="FootnoteText"/>
      </w:pPr>
      <w:r>
        <w:rPr>
          <w:rStyle w:val="FootnoteReference"/>
        </w:rPr>
        <w:footnoteRef/>
      </w:r>
      <w:r>
        <w:t xml:space="preserve"> Cross-references for "the Lord": Acts 2:39; Acts 5:14.</w:t>
      </w:r>
    </w:p>
  </w:footnote>
  <w:footnote w:id="16504">
    <w:p>
      <w:pPr>
        <w:pStyle w:val="FootnoteText"/>
      </w:pPr>
      <w:r>
        <w:rPr>
          <w:rStyle w:val="FootnoteReference"/>
        </w:rPr>
        <w:footnoteRef/>
      </w:r>
      <w:r>
        <w:t xml:space="preserve"> Cross-references for "Peter": Matt 17:1; Matt 26:37.</w:t>
      </w:r>
    </w:p>
  </w:footnote>
  <w:footnote w:id="16505">
    <w:p>
      <w:pPr>
        <w:pStyle w:val="FootnoteText"/>
      </w:pPr>
      <w:r>
        <w:rPr>
          <w:rStyle w:val="FootnoteReference"/>
        </w:rPr>
        <w:footnoteRef/>
      </w:r>
      <w:r>
        <w:t xml:space="preserve"> Cross-references for "lame": John 1:9-30; Acts 4:22.</w:t>
      </w:r>
    </w:p>
  </w:footnote>
  <w:footnote w:id="16506">
    <w:p>
      <w:pPr>
        <w:pStyle w:val="FootnoteText"/>
      </w:pPr>
      <w:r>
        <w:rPr>
          <w:rStyle w:val="FootnoteReference"/>
        </w:rPr>
        <w:footnoteRef/>
      </w:r>
      <w:r>
        <w:t xml:space="preserve"> Cross-references for "fastening": Luke 4:20; Acts 11:6.</w:t>
      </w:r>
    </w:p>
  </w:footnote>
  <w:footnote w:id="16507">
    <w:p>
      <w:pPr>
        <w:pStyle w:val="FootnoteText"/>
      </w:pPr>
      <w:r>
        <w:rPr>
          <w:rStyle w:val="FootnoteReference"/>
        </w:rPr>
        <w:footnoteRef/>
      </w:r>
      <w:r>
        <w:t xml:space="preserve"> Cross-references for "Silver": Matt 10:9; 1Cor 4:11.</w:t>
      </w:r>
    </w:p>
  </w:footnote>
  <w:footnote w:id="16508">
    <w:p>
      <w:pPr>
        <w:pStyle w:val="FootnoteText"/>
      </w:pPr>
      <w:r>
        <w:rPr>
          <w:rStyle w:val="FootnoteReference"/>
        </w:rPr>
        <w:footnoteRef/>
      </w:r>
      <w:r>
        <w:t xml:space="preserve"> Cross-references for "praising": Ps 103:1-2; Ps 107:20-22.</w:t>
      </w:r>
    </w:p>
  </w:footnote>
  <w:footnote w:id="16509">
    <w:p>
      <w:pPr>
        <w:pStyle w:val="FootnoteText"/>
      </w:pPr>
      <w:r>
        <w:rPr>
          <w:rStyle w:val="FootnoteReference"/>
        </w:rPr>
        <w:footnoteRef/>
      </w:r>
      <w:r>
        <w:t xml:space="preserve"> Cross-references for "they knew": John 9:3; John 9:18-21.</w:t>
      </w:r>
    </w:p>
  </w:footnote>
  <w:footnote w:id="16510">
    <w:p>
      <w:pPr>
        <w:pStyle w:val="FootnoteText"/>
      </w:pPr>
      <w:r>
        <w:rPr>
          <w:rStyle w:val="FootnoteReference"/>
        </w:rPr>
        <w:footnoteRef/>
      </w:r>
      <w:r>
        <w:t xml:space="preserve"> Cross-references for "held": Luke 8:38.</w:t>
      </w:r>
    </w:p>
  </w:footnote>
  <w:footnote w:id="16511">
    <w:p>
      <w:pPr>
        <w:pStyle w:val="FootnoteText"/>
      </w:pPr>
      <w:r>
        <w:rPr>
          <w:rStyle w:val="FootnoteReference"/>
        </w:rPr>
        <w:footnoteRef/>
      </w:r>
      <w:r>
        <w:t xml:space="preserve"> Cross-references for "God of Abraham": Exod 3:6; Ps 105:6-10.</w:t>
      </w:r>
    </w:p>
  </w:footnote>
  <w:footnote w:id="16512">
    <w:p>
      <w:pPr>
        <w:pStyle w:val="FootnoteText"/>
      </w:pPr>
      <w:r>
        <w:rPr>
          <w:rStyle w:val="FootnoteReference"/>
        </w:rPr>
        <w:footnoteRef/>
      </w:r>
      <w:r>
        <w:t xml:space="preserve"> Cross-references for "the Holy One": Ps 16:10; Zech 9:9.</w:t>
      </w:r>
    </w:p>
  </w:footnote>
  <w:footnote w:id="16513">
    <w:p>
      <w:pPr>
        <w:pStyle w:val="FootnoteText"/>
      </w:pPr>
      <w:r>
        <w:rPr>
          <w:rStyle w:val="FootnoteReference"/>
        </w:rPr>
        <w:footnoteRef/>
      </w:r>
      <w:r>
        <w:t xml:space="preserve"> Cross-references for "perfect": Deut 32:4; John 7:23.</w:t>
      </w:r>
    </w:p>
  </w:footnote>
  <w:footnote w:id="16514">
    <w:p>
      <w:pPr>
        <w:pStyle w:val="FootnoteText"/>
      </w:pPr>
      <w:r>
        <w:rPr>
          <w:rStyle w:val="FootnoteReference"/>
        </w:rPr>
        <w:footnoteRef/>
      </w:r>
      <w:r>
        <w:t xml:space="preserve"> Cross-references for "those": Luke 24:26-27; Luke 24:44.</w:t>
      </w:r>
    </w:p>
  </w:footnote>
  <w:footnote w:id="16515">
    <w:p>
      <w:pPr>
        <w:pStyle w:val="FootnoteText"/>
      </w:pPr>
      <w:r>
        <w:rPr>
          <w:rStyle w:val="FootnoteReference"/>
        </w:rPr>
        <w:footnoteRef/>
      </w:r>
      <w:r>
        <w:t xml:space="preserve"> Cross-references for "Repent": Acts 2:38; Acts 11:18.</w:t>
      </w:r>
    </w:p>
  </w:footnote>
  <w:footnote w:id="16516">
    <w:p>
      <w:pPr>
        <w:pStyle w:val="FootnoteText"/>
      </w:pPr>
      <w:r>
        <w:rPr>
          <w:rStyle w:val="FootnoteReference"/>
        </w:rPr>
        <w:footnoteRef/>
      </w:r>
      <w:r>
        <w:t xml:space="preserve"> Cross-references for "the heaven": Acts 1:11.</w:t>
      </w:r>
    </w:p>
  </w:footnote>
  <w:footnote w:id="16517">
    <w:p>
      <w:pPr>
        <w:pStyle w:val="FootnoteText"/>
      </w:pPr>
      <w:r>
        <w:rPr>
          <w:rStyle w:val="FootnoteReference"/>
        </w:rPr>
        <w:footnoteRef/>
      </w:r>
      <w:r>
        <w:t xml:space="preserve"> Cross-references for "Moses": Deut 18:15-19; Acts 7:37.</w:t>
      </w:r>
    </w:p>
  </w:footnote>
  <w:footnote w:id="16518">
    <w:p>
      <w:pPr>
        <w:pStyle w:val="FootnoteText"/>
      </w:pPr>
      <w:r>
        <w:rPr>
          <w:rStyle w:val="FootnoteReference"/>
        </w:rPr>
        <w:footnoteRef/>
      </w:r>
      <w:r>
        <w:t xml:space="preserve"> Cross-references for "that every": Deut 18:19; Mark 16:16.</w:t>
      </w:r>
    </w:p>
  </w:footnote>
  <w:footnote w:id="16519">
    <w:p>
      <w:pPr>
        <w:pStyle w:val="FootnoteText"/>
      </w:pPr>
      <w:r>
        <w:rPr>
          <w:rStyle w:val="FootnoteReference"/>
        </w:rPr>
        <w:footnoteRef/>
      </w:r>
      <w:r>
        <w:t xml:space="preserve"> Personal name: Samuel. Personal-name meaning: Samuel — Heard of God; God has heard. Source form: Samuel.</w:t>
      </w:r>
    </w:p>
  </w:footnote>
  <w:footnote w:id="16520">
    <w:p>
      <w:pPr>
        <w:pStyle w:val="FootnoteText"/>
      </w:pPr>
      <w:r>
        <w:rPr>
          <w:rStyle w:val="FootnoteReference"/>
        </w:rPr>
        <w:footnoteRef/>
      </w:r>
      <w:r>
        <w:t xml:space="preserve"> Cross-references for "Samuel": 1Sam 2:18; 1Sam 3:1.</w:t>
      </w:r>
    </w:p>
  </w:footnote>
  <w:footnote w:id="16521">
    <w:p>
      <w:pPr>
        <w:pStyle w:val="FootnoteText"/>
      </w:pPr>
      <w:r>
        <w:rPr>
          <w:rStyle w:val="FootnoteReference"/>
        </w:rPr>
        <w:footnoteRef/>
      </w:r>
      <w:r>
        <w:t xml:space="preserve"> Cross-references for "the children": Gen 20:7; Gen 27:36-40.</w:t>
      </w:r>
    </w:p>
  </w:footnote>
  <w:footnote w:id="16522">
    <w:p>
      <w:pPr>
        <w:pStyle w:val="FootnoteText"/>
      </w:pPr>
      <w:r>
        <w:rPr>
          <w:rStyle w:val="FootnoteReference"/>
        </w:rPr>
        <w:footnoteRef/>
      </w:r>
      <w:r>
        <w:t xml:space="preserve"> Cross-references for "first": Matt 10:5-6; Luke 24:47.</w:t>
      </w:r>
    </w:p>
  </w:footnote>
  <w:footnote w:id="16523">
    <w:p>
      <w:pPr>
        <w:pStyle w:val="FootnoteText"/>
      </w:pPr>
      <w:r>
        <w:rPr>
          <w:rStyle w:val="FootnoteReference"/>
        </w:rPr>
        <w:footnoteRef/>
      </w:r>
      <w:r>
        <w:t xml:space="preserve"> Cross-references for "the priests": Matt 26:3-4; Matt 27:1-2.</w:t>
      </w:r>
    </w:p>
  </w:footnote>
  <w:footnote w:id="16524">
    <w:p>
      <w:pPr>
        <w:pStyle w:val="FootnoteText"/>
      </w:pPr>
      <w:r>
        <w:rPr>
          <w:rStyle w:val="FootnoteReference"/>
        </w:rPr>
        <w:footnoteRef/>
      </w:r>
      <w:r>
        <w:t xml:space="preserve"> Cross-references for "grieved": Neh 2:10; John 11:47-48.</w:t>
      </w:r>
    </w:p>
  </w:footnote>
  <w:footnote w:id="16525">
    <w:p>
      <w:pPr>
        <w:pStyle w:val="FootnoteText"/>
      </w:pPr>
      <w:r>
        <w:rPr>
          <w:rStyle w:val="FootnoteReference"/>
        </w:rPr>
        <w:footnoteRef/>
      </w:r>
      <w:r>
        <w:t xml:space="preserve"> Cross-references for "laid": Matt 10:16-17; Luke 22:52.</w:t>
      </w:r>
    </w:p>
  </w:footnote>
  <w:footnote w:id="16526">
    <w:p>
      <w:pPr>
        <w:pStyle w:val="FootnoteText"/>
      </w:pPr>
      <w:r>
        <w:rPr>
          <w:rStyle w:val="FootnoteReference"/>
        </w:rPr>
        <w:footnoteRef/>
      </w:r>
      <w:r>
        <w:t xml:space="preserve"> Cross-references for "the number": Gen 49:10; Isa 45:24.</w:t>
      </w:r>
    </w:p>
  </w:footnote>
  <w:footnote w:id="16527">
    <w:p>
      <w:pPr>
        <w:pStyle w:val="FootnoteText"/>
      </w:pPr>
      <w:r>
        <w:rPr>
          <w:rStyle w:val="FootnoteReference"/>
        </w:rPr>
        <w:footnoteRef/>
      </w:r>
      <w:r>
        <w:t xml:space="preserve"> Cross-references for "rulers": Isa 1:10; Mark 15:1.</w:t>
      </w:r>
    </w:p>
  </w:footnote>
  <w:footnote w:id="16528">
    <w:p>
      <w:pPr>
        <w:pStyle w:val="FootnoteText"/>
      </w:pPr>
      <w:r>
        <w:rPr>
          <w:rStyle w:val="FootnoteReference"/>
        </w:rPr>
        <w:footnoteRef/>
      </w:r>
      <w:r>
        <w:t xml:space="preserve"> Cross-references for "Annas": Luke 3:2; John 11:49.</w:t>
      </w:r>
    </w:p>
  </w:footnote>
  <w:footnote w:id="16529">
    <w:p>
      <w:pPr>
        <w:pStyle w:val="FootnoteText"/>
      </w:pPr>
      <w:r>
        <w:rPr>
          <w:rStyle w:val="FootnoteReference"/>
        </w:rPr>
        <w:footnoteRef/>
      </w:r>
      <w:r>
        <w:t xml:space="preserve"> Cross-references for "By what power": Exod 2:14; Matt 21:23.</w:t>
      </w:r>
    </w:p>
  </w:footnote>
  <w:footnote w:id="16530">
    <w:p>
      <w:pPr>
        <w:pStyle w:val="FootnoteText"/>
      </w:pPr>
      <w:r>
        <w:rPr>
          <w:rStyle w:val="FootnoteReference"/>
        </w:rPr>
        <w:footnoteRef/>
      </w:r>
      <w:r>
        <w:t xml:space="preserve"> Cross-references for "filled": Matt 10:19-20; Luke 12:11-12.</w:t>
      </w:r>
    </w:p>
  </w:footnote>
  <w:footnote w:id="16531">
    <w:p>
      <w:pPr>
        <w:pStyle w:val="FootnoteText"/>
      </w:pPr>
      <w:r>
        <w:rPr>
          <w:rStyle w:val="FootnoteReference"/>
        </w:rPr>
        <w:footnoteRef/>
      </w:r>
      <w:r>
        <w:t xml:space="preserve"> Cross-references for "the good": John 7:23; John 10:32.</w:t>
      </w:r>
    </w:p>
  </w:footnote>
  <w:footnote w:id="16532">
    <w:p>
      <w:pPr>
        <w:pStyle w:val="FootnoteText"/>
      </w:pPr>
      <w:r>
        <w:rPr>
          <w:rStyle w:val="FootnoteReference"/>
        </w:rPr>
        <w:footnoteRef/>
      </w:r>
      <w:r>
        <w:t xml:space="preserve"> Cross-references for "known": Jer 42:19-20; Dan 3:18.</w:t>
      </w:r>
    </w:p>
  </w:footnote>
  <w:footnote w:id="16533">
    <w:p>
      <w:pPr>
        <w:pStyle w:val="FootnoteText"/>
      </w:pPr>
      <w:r>
        <w:rPr>
          <w:rStyle w:val="FootnoteReference"/>
        </w:rPr>
        <w:footnoteRef/>
      </w:r>
      <w:r>
        <w:t xml:space="preserve"> Cross-references for "the stone": Ps 118:22-23; Isa 28:16.</w:t>
      </w:r>
    </w:p>
  </w:footnote>
  <w:footnote w:id="16534">
    <w:p>
      <w:pPr>
        <w:pStyle w:val="FootnoteText"/>
      </w:pPr>
      <w:r>
        <w:rPr>
          <w:rStyle w:val="FootnoteReference"/>
        </w:rPr>
        <w:footnoteRef/>
      </w:r>
      <w:r>
        <w:t xml:space="preserve"> Cross-references for "is there": Matt 1:21; Mark 16:15-16.</w:t>
      </w:r>
    </w:p>
  </w:footnote>
  <w:footnote w:id="16535">
    <w:p>
      <w:pPr>
        <w:pStyle w:val="FootnoteText"/>
      </w:pPr>
      <w:r>
        <w:rPr>
          <w:rStyle w:val="FootnoteReference"/>
        </w:rPr>
        <w:footnoteRef/>
      </w:r>
      <w:r>
        <w:t xml:space="preserve"> Cross-references for "they took": Matt 26:57-58; Matt 26:71.</w:t>
      </w:r>
    </w:p>
  </w:footnote>
  <w:footnote w:id="16536">
    <w:p>
      <w:pPr>
        <w:pStyle w:val="FootnoteText"/>
      </w:pPr>
      <w:r>
        <w:rPr>
          <w:rStyle w:val="FootnoteReference"/>
        </w:rPr>
        <w:footnoteRef/>
      </w:r>
      <w:r>
        <w:t xml:space="preserve"> Cross-references for "beholding": Acts 3:8-12; Acts 4:10.</w:t>
      </w:r>
    </w:p>
  </w:footnote>
  <w:footnote w:id="16537">
    <w:p>
      <w:pPr>
        <w:pStyle w:val="FootnoteText"/>
      </w:pPr>
      <w:r>
        <w:rPr>
          <w:rStyle w:val="FootnoteReference"/>
        </w:rPr>
        <w:footnoteRef/>
      </w:r>
      <w:r>
        <w:t xml:space="preserve"> Cross-references for "to go": Acts 5:34-42; Acts 26:30-32.</w:t>
      </w:r>
    </w:p>
  </w:footnote>
  <w:footnote w:id="16538">
    <w:p>
      <w:pPr>
        <w:pStyle w:val="FootnoteText"/>
      </w:pPr>
      <w:r>
        <w:rPr>
          <w:rStyle w:val="FootnoteReference"/>
        </w:rPr>
        <w:footnoteRef/>
      </w:r>
      <w:r>
        <w:t xml:space="preserve"> Cross-references for "a notable": Dan 8:5; Dan 8:8.</w:t>
      </w:r>
    </w:p>
  </w:footnote>
  <w:footnote w:id="16539">
    <w:p>
      <w:pPr>
        <w:pStyle w:val="FootnoteText"/>
      </w:pPr>
      <w:r>
        <w:rPr>
          <w:rStyle w:val="FootnoteReference"/>
        </w:rPr>
        <w:footnoteRef/>
      </w:r>
      <w:r>
        <w:t xml:space="preserve"> Cross-references for "that it": Ps 2:1-4; Dan 2:34-35.</w:t>
      </w:r>
    </w:p>
  </w:footnote>
  <w:footnote w:id="16540">
    <w:p>
      <w:pPr>
        <w:pStyle w:val="FootnoteText"/>
      </w:pPr>
      <w:r>
        <w:rPr>
          <w:rStyle w:val="FootnoteReference"/>
        </w:rPr>
        <w:footnoteRef/>
      </w:r>
      <w:r>
        <w:t xml:space="preserve"> Cross-references for "not to speak": Luke 24:46-48; Acts 1:8.</w:t>
      </w:r>
    </w:p>
  </w:footnote>
  <w:footnote w:id="16541">
    <w:p>
      <w:pPr>
        <w:pStyle w:val="FootnoteText"/>
      </w:pPr>
      <w:r>
        <w:rPr>
          <w:rStyle w:val="FootnoteReference"/>
        </w:rPr>
        <w:footnoteRef/>
      </w:r>
      <w:r>
        <w:t xml:space="preserve"> Cross-references for "Whether": 2Cor 4:2; Eph 6:1.</w:t>
      </w:r>
    </w:p>
  </w:footnote>
  <w:footnote w:id="16542">
    <w:p>
      <w:pPr>
        <w:pStyle w:val="FootnoteText"/>
      </w:pPr>
      <w:r>
        <w:rPr>
          <w:rStyle w:val="FootnoteReference"/>
        </w:rPr>
        <w:footnoteRef/>
      </w:r>
      <w:r>
        <w:t xml:space="preserve"> Cross-references for "we cannot": Num 22:38; Num 23:20.</w:t>
      </w:r>
    </w:p>
  </w:footnote>
  <w:footnote w:id="16543">
    <w:p>
      <w:pPr>
        <w:pStyle w:val="FootnoteText"/>
      </w:pPr>
      <w:r>
        <w:rPr>
          <w:rStyle w:val="FootnoteReference"/>
        </w:rPr>
        <w:footnoteRef/>
      </w:r>
      <w:r>
        <w:t xml:space="preserve"> Cross-references for "for all": Matt 9:33; Matt 15:31.</w:t>
      </w:r>
    </w:p>
  </w:footnote>
  <w:footnote w:id="16544">
    <w:p>
      <w:pPr>
        <w:pStyle w:val="FootnoteText"/>
      </w:pPr>
      <w:r>
        <w:rPr>
          <w:rStyle w:val="FootnoteReference"/>
        </w:rPr>
        <w:footnoteRef/>
      </w:r>
      <w:r>
        <w:t xml:space="preserve"> Cross-references for "forty": Matt 9:20; Luke 13:11.</w:t>
      </w:r>
    </w:p>
  </w:footnote>
  <w:footnote w:id="16545">
    <w:p>
      <w:pPr>
        <w:pStyle w:val="FootnoteText"/>
      </w:pPr>
      <w:r>
        <w:rPr>
          <w:rStyle w:val="FootnoteReference"/>
        </w:rPr>
        <w:footnoteRef/>
      </w:r>
      <w:r>
        <w:t xml:space="preserve"> Cross-references for "kings": Ps 83:2-8; Joel 3:9-14.</w:t>
      </w:r>
    </w:p>
  </w:footnote>
  <w:footnote w:id="16546">
    <w:p>
      <w:pPr>
        <w:pStyle w:val="FootnoteText"/>
      </w:pPr>
      <w:r>
        <w:rPr>
          <w:rStyle w:val="FootnoteReference"/>
        </w:rPr>
        <w:footnoteRef/>
      </w:r>
      <w:r>
        <w:t xml:space="preserve"> Cross-references for "both": Matt 2:13-16; Luke 13:31-33.</w:t>
      </w:r>
    </w:p>
  </w:footnote>
  <w:footnote w:id="16547">
    <w:p>
      <w:pPr>
        <w:pStyle w:val="FootnoteText"/>
      </w:pPr>
      <w:r>
        <w:rPr>
          <w:rStyle w:val="FootnoteReference"/>
        </w:rPr>
        <w:footnoteRef/>
      </w:r>
      <w:r>
        <w:t xml:space="preserve"> Cross-references for "to do": Gen 50:20; Ps 76:10.</w:t>
      </w:r>
    </w:p>
  </w:footnote>
  <w:footnote w:id="16548">
    <w:p>
      <w:pPr>
        <w:pStyle w:val="FootnoteText"/>
      </w:pPr>
      <w:r>
        <w:rPr>
          <w:rStyle w:val="FootnoteReference"/>
        </w:rPr>
        <w:footnoteRef/>
      </w:r>
      <w:r>
        <w:t xml:space="preserve"> Cross-references for "By stretching": Exod 6:6; Deut 4:34.</w:t>
      </w:r>
    </w:p>
  </w:footnote>
  <w:footnote w:id="16549">
    <w:p>
      <w:pPr>
        <w:pStyle w:val="FootnoteText"/>
      </w:pPr>
      <w:r>
        <w:rPr>
          <w:rStyle w:val="FootnoteReference"/>
        </w:rPr>
        <w:footnoteRef/>
      </w:r>
      <w:r>
        <w:t xml:space="preserve"> Cross-references for "the place": Acts 2:2; Acts 16:25-26.</w:t>
      </w:r>
    </w:p>
  </w:footnote>
  <w:footnote w:id="16550">
    <w:p>
      <w:pPr>
        <w:pStyle w:val="FootnoteText"/>
      </w:pPr>
      <w:r>
        <w:rPr>
          <w:rStyle w:val="FootnoteReference"/>
        </w:rPr>
        <w:footnoteRef/>
      </w:r>
      <w:r>
        <w:t xml:space="preserve"> Cross-references for "the multitude": 2Chr 30:12; Jer 32:39.</w:t>
      </w:r>
    </w:p>
  </w:footnote>
  <w:footnote w:id="16551">
    <w:p>
      <w:pPr>
        <w:pStyle w:val="FootnoteText"/>
      </w:pPr>
      <w:r>
        <w:rPr>
          <w:rStyle w:val="FootnoteReference"/>
        </w:rPr>
        <w:footnoteRef/>
      </w:r>
      <w:r>
        <w:t xml:space="preserve"> Cross-references for "grace": Luke 2:52; John 1:16.</w:t>
      </w:r>
    </w:p>
  </w:footnote>
  <w:footnote w:id="16552">
    <w:p>
      <w:pPr>
        <w:pStyle w:val="FootnoteText"/>
      </w:pPr>
      <w:r>
        <w:rPr>
          <w:rStyle w:val="FootnoteReference"/>
        </w:rPr>
        <w:footnoteRef/>
      </w:r>
      <w:r>
        <w:t xml:space="preserve"> Cross-references for "distribution": Acts 2:45; Acts 6:1.</w:t>
      </w:r>
    </w:p>
  </w:footnote>
  <w:footnote w:id="16553">
    <w:p>
      <w:pPr>
        <w:pStyle w:val="FootnoteText"/>
      </w:pPr>
      <w:r>
        <w:rPr>
          <w:rStyle w:val="FootnoteReference"/>
        </w:rPr>
        <w:footnoteRef/>
      </w:r>
      <w:r>
        <w:t xml:space="preserve"> Name meaning: Barnabas (Bar-Nabas) — Son of encouragement. Encouraged the early Church and Paul.</w:t>
      </w:r>
    </w:p>
  </w:footnote>
  <w:footnote w:id="16554">
    <w:p>
      <w:pPr>
        <w:pStyle w:val="FootnoteText"/>
      </w:pPr>
      <w:r>
        <w:rPr>
          <w:rStyle w:val="FootnoteReference"/>
        </w:rPr>
        <w:footnoteRef/>
      </w:r>
      <w:r>
        <w:t xml:space="preserve"> Place name: Cyprus. Place-name meaning: Cyprus — fair; fairness. Source form: Cyprus. Greek form: κυπριος.</w:t>
      </w:r>
    </w:p>
  </w:footnote>
  <w:footnote w:id="16555">
    <w:p>
      <w:pPr>
        <w:pStyle w:val="FootnoteText"/>
      </w:pPr>
      <w:r>
        <w:rPr>
          <w:rStyle w:val="FootnoteReference"/>
        </w:rPr>
        <w:footnoteRef/>
      </w:r>
      <w:r>
        <w:t xml:space="preserve"> Cross-references for "Barnabas": Acts 11:22-25; Acts 11:30.</w:t>
      </w:r>
    </w:p>
  </w:footnote>
  <w:footnote w:id="16556">
    <w:p>
      <w:pPr>
        <w:pStyle w:val="FootnoteText"/>
      </w:pPr>
      <w:r>
        <w:rPr>
          <w:rStyle w:val="FootnoteReference"/>
        </w:rPr>
        <w:footnoteRef/>
      </w:r>
      <w:r>
        <w:t xml:space="preserve"> Cross-references for "sold": Matt 19:29; Acts 4:34-35.</w:t>
      </w:r>
    </w:p>
  </w:footnote>
  <w:footnote w:id="16557">
    <w:p>
      <w:pPr>
        <w:pStyle w:val="FootnoteText"/>
      </w:pPr>
      <w:r>
        <w:rPr>
          <w:rStyle w:val="FootnoteReference"/>
        </w:rPr>
        <w:footnoteRef/>
      </w:r>
      <w:r>
        <w:t xml:space="preserve"> Name meaning: Ananias (Chananyah) — Yahweh has been gracious. Name borne by multiple figures in the New Testament.</w:t>
      </w:r>
    </w:p>
  </w:footnote>
  <w:footnote w:id="16558">
    <w:p>
      <w:pPr>
        <w:pStyle w:val="FootnoteText"/>
      </w:pPr>
      <w:r>
        <w:rPr>
          <w:rStyle w:val="FootnoteReference"/>
        </w:rPr>
        <w:footnoteRef/>
      </w:r>
      <w:r>
        <w:t xml:space="preserve"> Name meaning: Sapphira (Sapphira) — Sapphire. Beautiful exterior but deceptive heart.</w:t>
      </w:r>
    </w:p>
  </w:footnote>
  <w:footnote w:id="16559">
    <w:p>
      <w:pPr>
        <w:pStyle w:val="FootnoteText"/>
      </w:pPr>
      <w:r>
        <w:rPr>
          <w:rStyle w:val="FootnoteReference"/>
        </w:rPr>
        <w:footnoteRef/>
      </w:r>
      <w:r>
        <w:t xml:space="preserve"> Cross-references for "kept": Josh 7:11-12; 2Kgs 5:21-25.</w:t>
      </w:r>
    </w:p>
  </w:footnote>
  <w:footnote w:id="16560">
    <w:p>
      <w:pPr>
        <w:pStyle w:val="FootnoteText"/>
      </w:pPr>
      <w:r>
        <w:rPr>
          <w:rStyle w:val="FootnoteReference"/>
        </w:rPr>
        <w:footnoteRef/>
      </w:r>
      <w:r>
        <w:t xml:space="preserve"> Cross-references for "lie to": Job 22:13; Ps 94:7-9.</w:t>
      </w:r>
    </w:p>
  </w:footnote>
  <w:footnote w:id="16561">
    <w:p>
      <w:pPr>
        <w:pStyle w:val="FootnoteText"/>
      </w:pPr>
      <w:r>
        <w:rPr>
          <w:rStyle w:val="FootnoteReference"/>
        </w:rPr>
        <w:footnoteRef/>
      </w:r>
      <w:r>
        <w:t xml:space="preserve"> Cross-references for "hearing": Num 16:26-33; 2Kgs 1:10-14.</w:t>
      </w:r>
    </w:p>
  </w:footnote>
  <w:footnote w:id="16562">
    <w:p>
      <w:pPr>
        <w:pStyle w:val="FootnoteText"/>
      </w:pPr>
      <w:r>
        <w:rPr>
          <w:rStyle w:val="FootnoteReference"/>
        </w:rPr>
        <w:footnoteRef/>
      </w:r>
      <w:r>
        <w:t xml:space="preserve"> Cross-references for "to tempt": Exod 17:2; Exod 17:7.</w:t>
      </w:r>
    </w:p>
  </w:footnote>
  <w:footnote w:id="16563">
    <w:p>
      <w:pPr>
        <w:pStyle w:val="FootnoteText"/>
      </w:pPr>
      <w:r>
        <w:rPr>
          <w:rStyle w:val="FootnoteReference"/>
        </w:rPr>
        <w:footnoteRef/>
      </w:r>
      <w:r>
        <w:t xml:space="preserve"> Cross-references for "fell": Acts 5:5.</w:t>
      </w:r>
    </w:p>
  </w:footnote>
  <w:footnote w:id="16564">
    <w:p>
      <w:pPr>
        <w:pStyle w:val="FootnoteText"/>
      </w:pPr>
      <w:r>
        <w:rPr>
          <w:rStyle w:val="FootnoteReference"/>
        </w:rPr>
        <w:footnoteRef/>
      </w:r>
      <w:r>
        <w:t xml:space="preserve"> Cross-references for "believers": Isa 44:3-5; Isa 45:24.</w:t>
      </w:r>
    </w:p>
  </w:footnote>
  <w:footnote w:id="16565">
    <w:p>
      <w:pPr>
        <w:pStyle w:val="FootnoteText"/>
      </w:pPr>
      <w:r>
        <w:rPr>
          <w:rStyle w:val="FootnoteReference"/>
        </w:rPr>
        <w:footnoteRef/>
      </w:r>
      <w:r>
        <w:t xml:space="preserve"> Cross-references for "bringing": Matt 4:24; Matt 8:16.</w:t>
      </w:r>
    </w:p>
  </w:footnote>
  <w:footnote w:id="16566">
    <w:p>
      <w:pPr>
        <w:pStyle w:val="FootnoteText"/>
      </w:pPr>
      <w:r>
        <w:rPr>
          <w:rStyle w:val="FootnoteReference"/>
        </w:rPr>
        <w:footnoteRef/>
      </w:r>
      <w:r>
        <w:t xml:space="preserve"> Cross-references for "the high": Ps 2:1-3; John 11:47-49.</w:t>
      </w:r>
    </w:p>
  </w:footnote>
  <w:footnote w:id="16567">
    <w:p>
      <w:pPr>
        <w:pStyle w:val="FootnoteText"/>
      </w:pPr>
      <w:r>
        <w:rPr>
          <w:rStyle w:val="FootnoteReference"/>
        </w:rPr>
        <w:footnoteRef/>
      </w:r>
      <w:r>
        <w:t xml:space="preserve"> Cross-references for "stand": Isa 58:1; Jer 7:2.</w:t>
      </w:r>
    </w:p>
  </w:footnote>
  <w:footnote w:id="16568">
    <w:p>
      <w:pPr>
        <w:pStyle w:val="FootnoteText"/>
      </w:pPr>
      <w:r>
        <w:rPr>
          <w:rStyle w:val="FootnoteReference"/>
        </w:rPr>
        <w:footnoteRef/>
      </w:r>
      <w:r>
        <w:t xml:space="preserve"> Cross-references for "entered": Luke 21:37-38; John 8:2.</w:t>
      </w:r>
    </w:p>
  </w:footnote>
  <w:footnote w:id="16569">
    <w:p>
      <w:pPr>
        <w:pStyle w:val="FootnoteText"/>
      </w:pPr>
      <w:r>
        <w:rPr>
          <w:rStyle w:val="FootnoteReference"/>
        </w:rPr>
        <w:footnoteRef/>
      </w:r>
      <w:r>
        <w:t xml:space="preserve"> Cross-references for "The prison": Ps 2:4; Ps 33:10.</w:t>
      </w:r>
    </w:p>
  </w:footnote>
  <w:footnote w:id="16570">
    <w:p>
      <w:pPr>
        <w:pStyle w:val="FootnoteText"/>
      </w:pPr>
      <w:r>
        <w:rPr>
          <w:rStyle w:val="FootnoteReference"/>
        </w:rPr>
        <w:footnoteRef/>
      </w:r>
      <w:r>
        <w:t xml:space="preserve"> Cross-references for "the captain": Luke 22:4; Luke 22:52.</w:t>
      </w:r>
    </w:p>
  </w:footnote>
  <w:footnote w:id="16571">
    <w:p>
      <w:pPr>
        <w:pStyle w:val="FootnoteText"/>
      </w:pPr>
      <w:r>
        <w:rPr>
          <w:rStyle w:val="FootnoteReference"/>
        </w:rPr>
        <w:footnoteRef/>
      </w:r>
      <w:r>
        <w:t xml:space="preserve"> Cross-references for "intend": 1Kgs 18:17-18; 1Kgs 21:20.</w:t>
      </w:r>
    </w:p>
  </w:footnote>
  <w:footnote w:id="16572">
    <w:p>
      <w:pPr>
        <w:pStyle w:val="FootnoteText"/>
      </w:pPr>
      <w:r>
        <w:rPr>
          <w:rStyle w:val="FootnoteReference"/>
        </w:rPr>
        <w:footnoteRef/>
      </w:r>
      <w:r>
        <w:t xml:space="preserve"> Cross-references for "raised": Acts 3:26; Acts 13:33.</w:t>
      </w:r>
    </w:p>
  </w:footnote>
  <w:footnote w:id="16573">
    <w:p>
      <w:pPr>
        <w:pStyle w:val="FootnoteText"/>
      </w:pPr>
      <w:r>
        <w:rPr>
          <w:rStyle w:val="FootnoteReference"/>
        </w:rPr>
        <w:footnoteRef/>
      </w:r>
      <w:r>
        <w:t xml:space="preserve"> Cross-references for "a Prince": Ps 2:6-12; Isa 9:6.</w:t>
      </w:r>
    </w:p>
  </w:footnote>
  <w:footnote w:id="16574">
    <w:p>
      <w:pPr>
        <w:pStyle w:val="FootnoteText"/>
      </w:pPr>
      <w:r>
        <w:rPr>
          <w:rStyle w:val="FootnoteReference"/>
        </w:rPr>
        <w:footnoteRef/>
      </w:r>
      <w:r>
        <w:t xml:space="preserve"> Cross-references for "and so": John 15:26; John 16:7-14.</w:t>
      </w:r>
    </w:p>
  </w:footnote>
  <w:footnote w:id="16575">
    <w:p>
      <w:pPr>
        <w:pStyle w:val="FootnoteText"/>
      </w:pPr>
      <w:r>
        <w:rPr>
          <w:rStyle w:val="FootnoteReference"/>
        </w:rPr>
        <w:footnoteRef/>
      </w:r>
      <w:r>
        <w:t xml:space="preserve"> Cross-references for "took": Gen 4:5-8; Ps 37:12-15.</w:t>
      </w:r>
    </w:p>
  </w:footnote>
  <w:footnote w:id="16576">
    <w:p>
      <w:pPr>
        <w:pStyle w:val="FootnoteText"/>
      </w:pPr>
      <w:r>
        <w:rPr>
          <w:rStyle w:val="FootnoteReference"/>
        </w:rPr>
        <w:footnoteRef/>
      </w:r>
      <w:r>
        <w:t xml:space="preserve"> Cross-references for "stood": Ps 76:10; John 7:50-53.</w:t>
      </w:r>
    </w:p>
  </w:footnote>
  <w:footnote w:id="16577">
    <w:p>
      <w:pPr>
        <w:pStyle w:val="FootnoteText"/>
      </w:pPr>
      <w:r>
        <w:rPr>
          <w:rStyle w:val="FootnoteReference"/>
        </w:rPr>
        <w:footnoteRef/>
      </w:r>
      <w:r>
        <w:t xml:space="preserve"> Name meaning: Gamaliel (Gamaliel) — God is my reward. Wise teacher who advised the Sanhedrin.</w:t>
      </w:r>
    </w:p>
  </w:footnote>
  <w:footnote w:id="16578">
    <w:p>
      <w:pPr>
        <w:pStyle w:val="FootnoteText"/>
      </w:pPr>
      <w:r>
        <w:rPr>
          <w:rStyle w:val="FootnoteReference"/>
        </w:rPr>
        <w:footnoteRef/>
      </w:r>
      <w:r>
        <w:t xml:space="preserve"> Cross-references for "take": Jer 26:19; Matt 27:19.</w:t>
      </w:r>
    </w:p>
  </w:footnote>
  <w:footnote w:id="16579">
    <w:p>
      <w:pPr>
        <w:pStyle w:val="FootnoteText"/>
      </w:pPr>
      <w:r>
        <w:rPr>
          <w:rStyle w:val="FootnoteReference"/>
        </w:rPr>
        <w:footnoteRef/>
      </w:r>
      <w:r>
        <w:t xml:space="preserve"> Personal name: Theudas. Personal-name meaning: Theudas — flowing with water. Source form: Theudas.</w:t>
      </w:r>
    </w:p>
  </w:footnote>
  <w:footnote w:id="16580">
    <w:p>
      <w:pPr>
        <w:pStyle w:val="FootnoteText"/>
      </w:pPr>
      <w:r>
        <w:rPr>
          <w:rStyle w:val="FootnoteReference"/>
        </w:rPr>
        <w:footnoteRef/>
      </w:r>
      <w:r>
        <w:t xml:space="preserve"> Cross-references for "boasting": Matt 24:24; Acts 8:9.</w:t>
      </w:r>
    </w:p>
  </w:footnote>
  <w:footnote w:id="16581">
    <w:p>
      <w:pPr>
        <w:pStyle w:val="FootnoteText"/>
      </w:pPr>
      <w:r>
        <w:rPr>
          <w:rStyle w:val="FootnoteReference"/>
        </w:rPr>
        <w:footnoteRef/>
      </w:r>
      <w:r>
        <w:t xml:space="preserve"> Cross-references for "Judas": Luke 2:1; Luke 13:1.</w:t>
      </w:r>
    </w:p>
  </w:footnote>
  <w:footnote w:id="16582">
    <w:p>
      <w:pPr>
        <w:pStyle w:val="FootnoteText"/>
      </w:pPr>
      <w:r>
        <w:rPr>
          <w:rStyle w:val="FootnoteReference"/>
        </w:rPr>
        <w:footnoteRef/>
      </w:r>
      <w:r>
        <w:t xml:space="preserve"> Cross-references for "Refrain": John 11:48; Acts 5:35.</w:t>
      </w:r>
    </w:p>
  </w:footnote>
  <w:footnote w:id="16583">
    <w:p>
      <w:pPr>
        <w:pStyle w:val="FootnoteText"/>
      </w:pPr>
      <w:r>
        <w:rPr>
          <w:rStyle w:val="FootnoteReference"/>
        </w:rPr>
        <w:footnoteRef/>
      </w:r>
      <w:r>
        <w:t xml:space="preserve"> Cross-references for "to fight": Exod 10:3-7; 2Kgs 19:22.</w:t>
      </w:r>
    </w:p>
  </w:footnote>
  <w:footnote w:id="16584">
    <w:p>
      <w:pPr>
        <w:pStyle w:val="FootnoteText"/>
      </w:pPr>
      <w:r>
        <w:rPr>
          <w:rStyle w:val="FootnoteReference"/>
        </w:rPr>
        <w:footnoteRef/>
      </w:r>
      <w:r>
        <w:t xml:space="preserve"> Cross-references for "beaten": Prov 12:10; Matt 10:17.</w:t>
      </w:r>
    </w:p>
  </w:footnote>
  <w:footnote w:id="16585">
    <w:p>
      <w:pPr>
        <w:pStyle w:val="FootnoteText"/>
      </w:pPr>
      <w:r>
        <w:rPr>
          <w:rStyle w:val="FootnoteReference"/>
        </w:rPr>
        <w:footnoteRef/>
      </w:r>
      <w:r>
        <w:t xml:space="preserve"> Cross-references for "rejoicing": Isa 61:10; Isa 65:14.</w:t>
      </w:r>
    </w:p>
  </w:footnote>
  <w:footnote w:id="16586">
    <w:p>
      <w:pPr>
        <w:pStyle w:val="FootnoteText"/>
      </w:pPr>
      <w:r>
        <w:rPr>
          <w:rStyle w:val="FootnoteReference"/>
        </w:rPr>
        <w:footnoteRef/>
      </w:r>
      <w:r>
        <w:t xml:space="preserve"> Cross-references for "daily": Luke 21:37; Luke 22:53.</w:t>
      </w:r>
    </w:p>
  </w:footnote>
  <w:footnote w:id="16587">
    <w:p>
      <w:pPr>
        <w:pStyle w:val="FootnoteText"/>
      </w:pPr>
      <w:r>
        <w:rPr>
          <w:rStyle w:val="FootnoteReference"/>
        </w:rPr>
        <w:footnoteRef/>
      </w:r>
      <w:r>
        <w:t xml:space="preserve"> People-name: Hellenists. People-name meaning: Hellenists — Greek-speaking Jews; Hellenic people. Source form: Hellenists.</w:t>
      </w:r>
    </w:p>
  </w:footnote>
  <w:footnote w:id="16588">
    <w:p>
      <w:pPr>
        <w:pStyle w:val="FootnoteText"/>
      </w:pPr>
      <w:r>
        <w:rPr>
          <w:rStyle w:val="FootnoteReference"/>
        </w:rPr>
        <w:footnoteRef/>
      </w:r>
      <w:r>
        <w:t xml:space="preserve"> People-name: Hebrews. People-name meaning: Hebrews — descendants of Heber. Source form: Hebrews.</w:t>
      </w:r>
    </w:p>
  </w:footnote>
  <w:footnote w:id="16589">
    <w:p>
      <w:pPr>
        <w:pStyle w:val="FootnoteText"/>
      </w:pPr>
      <w:r>
        <w:rPr>
          <w:rStyle w:val="FootnoteReference"/>
        </w:rPr>
        <w:footnoteRef/>
      </w:r>
      <w:r>
        <w:t xml:space="preserve"> Cross-references for "Hebrews": 2Cor 11:22; Phil 3:5.</w:t>
      </w:r>
    </w:p>
  </w:footnote>
  <w:footnote w:id="16590">
    <w:p>
      <w:pPr>
        <w:pStyle w:val="FootnoteText"/>
      </w:pPr>
      <w:r>
        <w:rPr>
          <w:rStyle w:val="FootnoteReference"/>
        </w:rPr>
        <w:footnoteRef/>
      </w:r>
      <w:r>
        <w:t xml:space="preserve"> Cross-references for "the twelve": Acts 21:22.</w:t>
      </w:r>
    </w:p>
  </w:footnote>
  <w:footnote w:id="16591">
    <w:p>
      <w:pPr>
        <w:pStyle w:val="FootnoteText"/>
      </w:pPr>
      <w:r>
        <w:rPr>
          <w:rStyle w:val="FootnoteReference"/>
        </w:rPr>
        <w:footnoteRef/>
      </w:r>
      <w:r>
        <w:t xml:space="preserve"> Cross-references for "honest": Acts 10:22; Acts 16:2.</w:t>
      </w:r>
    </w:p>
  </w:footnote>
  <w:footnote w:id="16592">
    <w:p>
      <w:pPr>
        <w:pStyle w:val="FootnoteText"/>
      </w:pPr>
      <w:r>
        <w:rPr>
          <w:rStyle w:val="FootnoteReference"/>
        </w:rPr>
        <w:footnoteRef/>
      </w:r>
      <w:r>
        <w:t xml:space="preserve"> Cross-references for "give": Acts 2:42; Acts 20:19-31.</w:t>
      </w:r>
    </w:p>
  </w:footnote>
  <w:footnote w:id="16593">
    <w:p>
      <w:pPr>
        <w:pStyle w:val="FootnoteText"/>
      </w:pPr>
      <w:r>
        <w:rPr>
          <w:rStyle w:val="FootnoteReference"/>
        </w:rPr>
        <w:footnoteRef/>
      </w:r>
      <w:r>
        <w:t xml:space="preserve"> Cross-references for "the saying": Gen 41:37; Prov 15:1.</w:t>
      </w:r>
    </w:p>
  </w:footnote>
  <w:footnote w:id="16594">
    <w:p>
      <w:pPr>
        <w:pStyle w:val="FootnoteText"/>
      </w:pPr>
      <w:r>
        <w:rPr>
          <w:rStyle w:val="FootnoteReference"/>
        </w:rPr>
        <w:footnoteRef/>
      </w:r>
      <w:r>
        <w:t xml:space="preserve"> Name meaning: Stephen (Stephanos) — Crown; garland. Received the martyr’s crown.</w:t>
      </w:r>
    </w:p>
  </w:footnote>
  <w:footnote w:id="16595">
    <w:p>
      <w:pPr>
        <w:pStyle w:val="FootnoteText"/>
      </w:pPr>
      <w:r>
        <w:rPr>
          <w:rStyle w:val="FootnoteReference"/>
        </w:rPr>
        <w:footnoteRef/>
      </w:r>
      <w:r>
        <w:t xml:space="preserve"> Personal name: Prochorus. Personal-name meaning: Prochorus — he that presides over the choirs. Source form: Prochorus.</w:t>
      </w:r>
    </w:p>
  </w:footnote>
  <w:footnote w:id="16596">
    <w:p>
      <w:pPr>
        <w:pStyle w:val="FootnoteText"/>
      </w:pPr>
      <w:r>
        <w:rPr>
          <w:rStyle w:val="FootnoteReference"/>
        </w:rPr>
        <w:footnoteRef/>
      </w:r>
      <w:r>
        <w:t xml:space="preserve"> Personal name: Nicanor. Personal-name meaning: Nicanor — a conqueror; victorious. Source form: Nicanor.</w:t>
      </w:r>
    </w:p>
  </w:footnote>
  <w:footnote w:id="16597">
    <w:p>
      <w:pPr>
        <w:pStyle w:val="FootnoteText"/>
      </w:pPr>
      <w:r>
        <w:rPr>
          <w:rStyle w:val="FootnoteReference"/>
        </w:rPr>
        <w:footnoteRef/>
      </w:r>
      <w:r>
        <w:t xml:space="preserve"> Personal name: Timon. Personal-name meaning: Timon — honorable; worthy. Source form: Timon.</w:t>
      </w:r>
    </w:p>
  </w:footnote>
  <w:footnote w:id="16598">
    <w:p>
      <w:pPr>
        <w:pStyle w:val="FootnoteText"/>
      </w:pPr>
      <w:r>
        <w:rPr>
          <w:rStyle w:val="FootnoteReference"/>
        </w:rPr>
        <w:footnoteRef/>
      </w:r>
      <w:r>
        <w:t xml:space="preserve"> Personal name: Parmenas. Personal-name meaning: Parmenas — that abides, or is permanent. Source form: Parmenas.</w:t>
      </w:r>
    </w:p>
  </w:footnote>
  <w:footnote w:id="16599">
    <w:p>
      <w:pPr>
        <w:pStyle w:val="FootnoteText"/>
      </w:pPr>
      <w:r>
        <w:rPr>
          <w:rStyle w:val="FootnoteReference"/>
        </w:rPr>
        <w:footnoteRef/>
      </w:r>
      <w:r>
        <w:t xml:space="preserve"> Transliterated proper noun: Nicolas. Standard English equivalent: Nicolas. Source form: Nicolas. Greek form: νικολαον. Name meaning: victory of the people.</w:t>
      </w:r>
    </w:p>
  </w:footnote>
  <w:footnote w:id="16600">
    <w:p>
      <w:pPr>
        <w:pStyle w:val="FootnoteText"/>
      </w:pPr>
      <w:r>
        <w:rPr>
          <w:rStyle w:val="FootnoteReference"/>
        </w:rPr>
        <w:footnoteRef/>
      </w:r>
      <w:r>
        <w:t xml:space="preserve"> Place name: Antioch. Place-name meaning: Antioch — speedy as a chariot. Source form: Antioch. Greek form: αντιοχεα.</w:t>
      </w:r>
    </w:p>
  </w:footnote>
  <w:footnote w:id="16601">
    <w:p>
      <w:pPr>
        <w:pStyle w:val="FootnoteText"/>
      </w:pPr>
      <w:r>
        <w:rPr>
          <w:rStyle w:val="FootnoteReference"/>
        </w:rPr>
        <w:footnoteRef/>
      </w:r>
      <w:r>
        <w:t xml:space="preserve"> Name meaning: Philip (evangelist) (Philippos) — Lover of horses. Evangelized Samaria and the Ethiopian eunuch.</w:t>
      </w:r>
    </w:p>
  </w:footnote>
  <w:footnote w:id="16602">
    <w:p>
      <w:pPr>
        <w:pStyle w:val="FootnoteText"/>
      </w:pPr>
      <w:r>
        <w:rPr>
          <w:rStyle w:val="FootnoteReference"/>
        </w:rPr>
        <w:footnoteRef/>
      </w:r>
      <w:r>
        <w:t xml:space="preserve"> Cross-references for "the word": Acts 12:24; Acts 19:20.</w:t>
      </w:r>
    </w:p>
  </w:footnote>
  <w:footnote w:id="16603">
    <w:p>
      <w:pPr>
        <w:pStyle w:val="FootnoteText"/>
      </w:pPr>
      <w:r>
        <w:rPr>
          <w:rStyle w:val="FootnoteReference"/>
        </w:rPr>
        <w:footnoteRef/>
      </w:r>
      <w:r>
        <w:t xml:space="preserve"> Cross-references for "full": Acts 6:3; Acts 6:5.</w:t>
      </w:r>
    </w:p>
  </w:footnote>
  <w:footnote w:id="16604">
    <w:p>
      <w:pPr>
        <w:pStyle w:val="FootnoteText"/>
      </w:pPr>
      <w:r>
        <w:rPr>
          <w:rStyle w:val="FootnoteReference"/>
        </w:rPr>
        <w:footnoteRef/>
      </w:r>
      <w:r>
        <w:t xml:space="preserve"> Cross-references for "the synagogue": Matt 10:17; Matt 23:34.</w:t>
      </w:r>
    </w:p>
  </w:footnote>
  <w:footnote w:id="16605">
    <w:p>
      <w:pPr>
        <w:pStyle w:val="FootnoteText"/>
      </w:pPr>
      <w:r>
        <w:rPr>
          <w:rStyle w:val="FootnoteReference"/>
        </w:rPr>
        <w:footnoteRef/>
      </w:r>
      <w:r>
        <w:t xml:space="preserve"> People-name: Freedmen. People-name meaning: Freedmen — freed persons; formerly enslaved people. Source form: Freedmen.</w:t>
      </w:r>
    </w:p>
  </w:footnote>
  <w:footnote w:id="16606">
    <w:p>
      <w:pPr>
        <w:pStyle w:val="FootnoteText"/>
      </w:pPr>
      <w:r>
        <w:rPr>
          <w:rStyle w:val="FootnoteReference"/>
        </w:rPr>
        <w:footnoteRef/>
      </w:r>
      <w:r>
        <w:t xml:space="preserve"> People-name: Cyrenians. People-name meaning: Cyrenians — people of Cyrene. Source form: Cyrenians.</w:t>
      </w:r>
    </w:p>
  </w:footnote>
  <w:footnote w:id="16607">
    <w:p>
      <w:pPr>
        <w:pStyle w:val="FootnoteText"/>
      </w:pPr>
      <w:r>
        <w:rPr>
          <w:rStyle w:val="FootnoteReference"/>
        </w:rPr>
        <w:footnoteRef/>
      </w:r>
      <w:r>
        <w:t xml:space="preserve"> People-name: Alexandrians. People-name meaning: Alexandrians — people of Alexandria; city of Alexander. Source form: Alexandrians.</w:t>
      </w:r>
    </w:p>
  </w:footnote>
  <w:footnote w:id="16608">
    <w:p>
      <w:pPr>
        <w:pStyle w:val="FootnoteText"/>
      </w:pPr>
      <w:r>
        <w:rPr>
          <w:rStyle w:val="FootnoteReference"/>
        </w:rPr>
        <w:footnoteRef/>
      </w:r>
      <w:r>
        <w:t xml:space="preserve"> Place name: Cilicia. Place-name meaning: Cilicia — which rolls or overturns. Source form: Cilicia. Greek form: κιλικιας.</w:t>
      </w:r>
    </w:p>
  </w:footnote>
  <w:footnote w:id="16609">
    <w:p>
      <w:pPr>
        <w:pStyle w:val="FootnoteText"/>
      </w:pPr>
      <w:r>
        <w:rPr>
          <w:rStyle w:val="FootnoteReference"/>
        </w:rPr>
        <w:footnoteRef/>
      </w:r>
      <w:r>
        <w:t xml:space="preserve"> Cross-references for "able": Exod 4:12; Isa 54:17.</w:t>
      </w:r>
    </w:p>
  </w:footnote>
  <w:footnote w:id="16610">
    <w:p>
      <w:pPr>
        <w:pStyle w:val="FootnoteText"/>
      </w:pPr>
      <w:r>
        <w:rPr>
          <w:rStyle w:val="FootnoteReference"/>
        </w:rPr>
        <w:footnoteRef/>
      </w:r>
      <w:r>
        <w:t xml:space="preserve"> Cross-references for "blasphemous": Lev 24:16; 1Kgs 21:10-13.</w:t>
      </w:r>
    </w:p>
  </w:footnote>
  <w:footnote w:id="16611">
    <w:p>
      <w:pPr>
        <w:pStyle w:val="FootnoteText"/>
      </w:pPr>
      <w:r>
        <w:rPr>
          <w:rStyle w:val="FootnoteReference"/>
        </w:rPr>
        <w:footnoteRef/>
      </w:r>
      <w:r>
        <w:t xml:space="preserve"> Cross-references for "they stirred": Prov 15:18; Acts 13:50.</w:t>
      </w:r>
    </w:p>
  </w:footnote>
  <w:footnote w:id="16612">
    <w:p>
      <w:pPr>
        <w:pStyle w:val="FootnoteText"/>
      </w:pPr>
      <w:r>
        <w:rPr>
          <w:rStyle w:val="FootnoteReference"/>
        </w:rPr>
        <w:footnoteRef/>
      </w:r>
      <w:r>
        <w:t xml:space="preserve"> Cross-references for "change": Isa 65:15; Isa 66:19-21.</w:t>
      </w:r>
    </w:p>
  </w:footnote>
  <w:footnote w:id="16613">
    <w:p>
      <w:pPr>
        <w:pStyle w:val="FootnoteText"/>
      </w:pPr>
      <w:r>
        <w:rPr>
          <w:rStyle w:val="FootnoteReference"/>
        </w:rPr>
        <w:footnoteRef/>
      </w:r>
      <w:r>
        <w:t xml:space="preserve"> Cross-references for "The God": Ps 24:7; Ps 24:10.</w:t>
      </w:r>
    </w:p>
  </w:footnote>
  <w:footnote w:id="16614">
    <w:p>
      <w:pPr>
        <w:pStyle w:val="FootnoteText"/>
      </w:pPr>
      <w:r>
        <w:rPr>
          <w:rStyle w:val="FootnoteReference"/>
        </w:rPr>
        <w:footnoteRef/>
      </w:r>
      <w:r>
        <w:t xml:space="preserve"> Transliterated proper noun: Haran. Standard English equivalent: Charran. Source form: Haran. Greek form: χαρραν. Name meaning: a singing or calling out.</w:t>
      </w:r>
    </w:p>
  </w:footnote>
  <w:footnote w:id="16615">
    <w:p>
      <w:pPr>
        <w:pStyle w:val="FootnoteText"/>
      </w:pPr>
      <w:r>
        <w:rPr>
          <w:rStyle w:val="FootnoteReference"/>
        </w:rPr>
        <w:footnoteRef/>
      </w:r>
      <w:r>
        <w:t xml:space="preserve"> Transliterated proper noun: Charran. Standard English equivalent: Haran. Source form: Charran. Greek form: χαρραν. Name meaning: mountainous country.</w:t>
      </w:r>
    </w:p>
  </w:footnote>
  <w:footnote w:id="16616">
    <w:p>
      <w:pPr>
        <w:pStyle w:val="FootnoteText"/>
      </w:pPr>
      <w:r>
        <w:rPr>
          <w:rStyle w:val="FootnoteReference"/>
        </w:rPr>
        <w:footnoteRef/>
      </w:r>
      <w:r>
        <w:t xml:space="preserve"> People-name: Chaldeans. People-name meaning: Chaldeans — as demons, or as robbers. Source form: Chaldeans.</w:t>
      </w:r>
    </w:p>
  </w:footnote>
  <w:footnote w:id="16617">
    <w:p>
      <w:pPr>
        <w:pStyle w:val="FootnoteText"/>
      </w:pPr>
      <w:r>
        <w:rPr>
          <w:rStyle w:val="FootnoteReference"/>
        </w:rPr>
        <w:footnoteRef/>
      </w:r>
      <w:r>
        <w:t xml:space="preserve"> Cross-references for "he gave": Gen 23:4; Ps 105:11-12.</w:t>
      </w:r>
    </w:p>
  </w:footnote>
  <w:footnote w:id="16618">
    <w:p>
      <w:pPr>
        <w:pStyle w:val="FootnoteText"/>
      </w:pPr>
      <w:r>
        <w:rPr>
          <w:rStyle w:val="FootnoteReference"/>
        </w:rPr>
        <w:footnoteRef/>
      </w:r>
      <w:r>
        <w:t xml:space="preserve"> Cross-references for "four": Exod 12:40-41; Gal 3:17.</w:t>
      </w:r>
    </w:p>
  </w:footnote>
  <w:footnote w:id="16619">
    <w:p>
      <w:pPr>
        <w:pStyle w:val="FootnoteText"/>
      </w:pPr>
      <w:r>
        <w:rPr>
          <w:rStyle w:val="FootnoteReference"/>
        </w:rPr>
        <w:footnoteRef/>
      </w:r>
      <w:r>
        <w:t xml:space="preserve"> Cross-references for "the nation": Gen 15:14-16; Neh 9:9-11.</w:t>
      </w:r>
    </w:p>
  </w:footnote>
  <w:footnote w:id="16620">
    <w:p>
      <w:pPr>
        <w:pStyle w:val="FootnoteText"/>
      </w:pPr>
      <w:r>
        <w:rPr>
          <w:rStyle w:val="FootnoteReference"/>
        </w:rPr>
        <w:footnoteRef/>
      </w:r>
      <w:r>
        <w:t xml:space="preserve"> Cross-references for "the covenant": Gen 17:9-14; John 7:22.</w:t>
      </w:r>
    </w:p>
  </w:footnote>
  <w:footnote w:id="16621">
    <w:p>
      <w:pPr>
        <w:pStyle w:val="FootnoteText"/>
      </w:pPr>
      <w:r>
        <w:rPr>
          <w:rStyle w:val="FootnoteReference"/>
        </w:rPr>
        <w:footnoteRef/>
      </w:r>
      <w:r>
        <w:t xml:space="preserve"> Cross-references for "moved": Gen 37:4-11; Gen 49:23.</w:t>
      </w:r>
    </w:p>
  </w:footnote>
  <w:footnote w:id="16622">
    <w:p>
      <w:pPr>
        <w:pStyle w:val="FootnoteText"/>
      </w:pPr>
      <w:r>
        <w:rPr>
          <w:rStyle w:val="FootnoteReference"/>
        </w:rPr>
        <w:footnoteRef/>
      </w:r>
      <w:r>
        <w:t xml:space="preserve"> Cross-references for "delivered": Gen 48:16; Ps 22:24.</w:t>
      </w:r>
    </w:p>
  </w:footnote>
  <w:footnote w:id="16623">
    <w:p>
      <w:pPr>
        <w:pStyle w:val="FootnoteText"/>
      </w:pPr>
      <w:r>
        <w:rPr>
          <w:rStyle w:val="FootnoteReference"/>
        </w:rPr>
        <w:footnoteRef/>
      </w:r>
      <w:r>
        <w:t xml:space="preserve"> Personal name: Pharaoh. Personal-name meaning: Pharaoh — Great house. Source form: Pharaoh.</w:t>
      </w:r>
    </w:p>
  </w:footnote>
  <w:footnote w:id="16624">
    <w:p>
      <w:pPr>
        <w:pStyle w:val="FootnoteText"/>
      </w:pPr>
      <w:r>
        <w:rPr>
          <w:rStyle w:val="FootnoteReference"/>
        </w:rPr>
        <w:footnoteRef/>
      </w:r>
      <w:r>
        <w:t xml:space="preserve"> Cross-references for "Joseph": Gen 45:1-18; Gen 46:31-34.</w:t>
      </w:r>
    </w:p>
  </w:footnote>
  <w:footnote w:id="16625">
    <w:p>
      <w:pPr>
        <w:pStyle w:val="FootnoteText"/>
      </w:pPr>
      <w:r>
        <w:rPr>
          <w:rStyle w:val="FootnoteReference"/>
        </w:rPr>
        <w:footnoteRef/>
      </w:r>
      <w:r>
        <w:t xml:space="preserve"> Cross-references for "sent": Gen 45:9-11; Ps 105:23.</w:t>
      </w:r>
    </w:p>
  </w:footnote>
  <w:footnote w:id="16626">
    <w:p>
      <w:pPr>
        <w:pStyle w:val="FootnoteText"/>
      </w:pPr>
      <w:r>
        <w:rPr>
          <w:rStyle w:val="FootnoteReference"/>
        </w:rPr>
        <w:footnoteRef/>
      </w:r>
      <w:r>
        <w:t xml:space="preserve"> Cross-references for "Jacob": Gen 46:3-7; Num 20:15.</w:t>
      </w:r>
    </w:p>
  </w:footnote>
  <w:footnote w:id="16627">
    <w:p>
      <w:pPr>
        <w:pStyle w:val="FootnoteText"/>
      </w:pPr>
      <w:r>
        <w:rPr>
          <w:rStyle w:val="FootnoteReference"/>
        </w:rPr>
        <w:footnoteRef/>
      </w:r>
      <w:r>
        <w:t xml:space="preserve"> Transliterated proper noun: Shechem. Standard English equivalent: Sychem. Source form: Shechem. Greek form: σιχεμ. Name meaning: part; portion; back early in the morning.</w:t>
      </w:r>
    </w:p>
  </w:footnote>
  <w:footnote w:id="16628">
    <w:p>
      <w:pPr>
        <w:pStyle w:val="FootnoteText"/>
      </w:pPr>
      <w:r>
        <w:rPr>
          <w:rStyle w:val="FootnoteReference"/>
        </w:rPr>
        <w:footnoteRef/>
      </w:r>
      <w:r>
        <w:t xml:space="preserve"> Personal name: Hamor. Personal-name meaning: Hamor — an ass; clay; dirt. Source form: Hamor.</w:t>
      </w:r>
    </w:p>
  </w:footnote>
  <w:footnote w:id="16629">
    <w:p>
      <w:pPr>
        <w:pStyle w:val="FootnoteText"/>
      </w:pPr>
      <w:r>
        <w:rPr>
          <w:rStyle w:val="FootnoteReference"/>
        </w:rPr>
        <w:footnoteRef/>
      </w:r>
      <w:r>
        <w:t xml:space="preserve"> Transliterated proper noun: Sychem. Standard English equivalent: Shechem. Source form: Sychem. Greek form: σιχεμ. Name meaning: part; portion; back early in the morning.</w:t>
      </w:r>
    </w:p>
  </w:footnote>
  <w:footnote w:id="16630">
    <w:p>
      <w:pPr>
        <w:pStyle w:val="FootnoteText"/>
      </w:pPr>
      <w:r>
        <w:rPr>
          <w:rStyle w:val="FootnoteReference"/>
        </w:rPr>
        <w:footnoteRef/>
      </w:r>
      <w:r>
        <w:t xml:space="preserve"> Cross-references for "Moses": Exod 2:2-10.</w:t>
      </w:r>
    </w:p>
  </w:footnote>
  <w:footnote w:id="16631">
    <w:p>
      <w:pPr>
        <w:pStyle w:val="FootnoteText"/>
      </w:pPr>
      <w:r>
        <w:rPr>
          <w:rStyle w:val="FootnoteReference"/>
        </w:rPr>
        <w:footnoteRef/>
      </w:r>
      <w:r>
        <w:t xml:space="preserve"> Cross-references for "was learned": 1Kgs 4:29; 2Chr 9:22.</w:t>
      </w:r>
    </w:p>
  </w:footnote>
  <w:footnote w:id="16632">
    <w:p>
      <w:pPr>
        <w:pStyle w:val="FootnoteText"/>
      </w:pPr>
      <w:r>
        <w:rPr>
          <w:rStyle w:val="FootnoteReference"/>
        </w:rPr>
        <w:footnoteRef/>
      </w:r>
      <w:r>
        <w:t xml:space="preserve"> People-name: Egyptians. People-name meaning: Egyptians — that troubles or oppresses; anguish. Source form: Egyptians.</w:t>
      </w:r>
    </w:p>
  </w:footnote>
  <w:footnote w:id="16633">
    <w:p>
      <w:pPr>
        <w:pStyle w:val="FootnoteText"/>
      </w:pPr>
      <w:r>
        <w:rPr>
          <w:rStyle w:val="FootnoteReference"/>
        </w:rPr>
        <w:footnoteRef/>
      </w:r>
      <w:r>
        <w:t xml:space="preserve"> Cross-references for "it came": Exod 35:21; Exod 35:29.</w:t>
      </w:r>
    </w:p>
  </w:footnote>
  <w:footnote w:id="16634">
    <w:p>
      <w:pPr>
        <w:pStyle w:val="FootnoteText"/>
      </w:pPr>
      <w:r>
        <w:rPr>
          <w:rStyle w:val="FootnoteReference"/>
        </w:rPr>
        <w:footnoteRef/>
      </w:r>
      <w:r>
        <w:t xml:space="preserve"> People-name: Egyptian. People-name meaning: Egyptian — that troubles or oppresses; anguish. Source form: Egyptian.</w:t>
      </w:r>
    </w:p>
  </w:footnote>
  <w:footnote w:id="16635">
    <w:p>
      <w:pPr>
        <w:pStyle w:val="FootnoteText"/>
      </w:pPr>
      <w:r>
        <w:rPr>
          <w:rStyle w:val="FootnoteReference"/>
        </w:rPr>
        <w:footnoteRef/>
      </w:r>
      <w:r>
        <w:t xml:space="preserve"> Cross-references for "the next": Exod 2:13-15.</w:t>
      </w:r>
    </w:p>
  </w:footnote>
  <w:footnote w:id="16636">
    <w:p>
      <w:pPr>
        <w:pStyle w:val="FootnoteText"/>
      </w:pPr>
      <w:r>
        <w:rPr>
          <w:rStyle w:val="FootnoteReference"/>
        </w:rPr>
        <w:footnoteRef/>
      </w:r>
      <w:r>
        <w:t xml:space="preserve"> Transliterated proper noun: Midian. Standard English equivalent: Madian. Source form: Midian. Greek form: μαδιαμ. Name meaning: judgment; striving; covering; chiding.</w:t>
      </w:r>
    </w:p>
  </w:footnote>
  <w:footnote w:id="16637">
    <w:p>
      <w:pPr>
        <w:pStyle w:val="FootnoteText"/>
      </w:pPr>
      <w:r>
        <w:rPr>
          <w:rStyle w:val="FootnoteReference"/>
        </w:rPr>
        <w:footnoteRef/>
      </w:r>
      <w:r>
        <w:t xml:space="preserve"> Transliterated proper noun: Madian. Standard English equivalent: Midian. Source form: Madian. Greek form: μαδιαμ. Name meaning: judgment; covering; habit.</w:t>
      </w:r>
    </w:p>
  </w:footnote>
  <w:footnote w:id="16638">
    <w:p>
      <w:pPr>
        <w:pStyle w:val="FootnoteText"/>
      </w:pPr>
      <w:r>
        <w:rPr>
          <w:rStyle w:val="FootnoteReference"/>
        </w:rPr>
        <w:footnoteRef/>
      </w:r>
      <w:r>
        <w:t xml:space="preserve"> Place name: Sinai. Place-name meaning: Sina — a bush; enmity. Standard English equivalent: Sina. Source form: Sinai. Greek form: σινα.</w:t>
      </w:r>
    </w:p>
  </w:footnote>
  <w:footnote w:id="16639">
    <w:p>
      <w:pPr>
        <w:pStyle w:val="FootnoteText"/>
      </w:pPr>
      <w:r>
        <w:rPr>
          <w:rStyle w:val="FootnoteReference"/>
        </w:rPr>
        <w:footnoteRef/>
      </w:r>
      <w:r>
        <w:t xml:space="preserve"> Cross-references for "in a flame": Deut 4:20; Ps 66:12.</w:t>
      </w:r>
    </w:p>
  </w:footnote>
  <w:footnote w:id="16640">
    <w:p>
      <w:pPr>
        <w:pStyle w:val="FootnoteText"/>
      </w:pPr>
      <w:r>
        <w:rPr>
          <w:rStyle w:val="FootnoteReference"/>
        </w:rPr>
        <w:footnoteRef/>
      </w:r>
      <w:r>
        <w:t xml:space="preserve"> Cross-references for "and as": Exod 3:3-4.</w:t>
      </w:r>
    </w:p>
  </w:footnote>
  <w:footnote w:id="16641">
    <w:p>
      <w:pPr>
        <w:pStyle w:val="FootnoteText"/>
      </w:pPr>
      <w:r>
        <w:rPr>
          <w:rStyle w:val="FootnoteReference"/>
        </w:rPr>
        <w:footnoteRef/>
      </w:r>
      <w:r>
        <w:t xml:space="preserve"> Cross-references for "I have seen": Exod 2:23-25; Exod 3:7.</w:t>
      </w:r>
    </w:p>
  </w:footnote>
  <w:footnote w:id="16642">
    <w:p>
      <w:pPr>
        <w:pStyle w:val="FootnoteText"/>
      </w:pPr>
      <w:r>
        <w:rPr>
          <w:rStyle w:val="FootnoteReference"/>
        </w:rPr>
        <w:footnoteRef/>
      </w:r>
      <w:r>
        <w:t xml:space="preserve"> Cross-references for "Moses": 1Sam 8:7-8; 1Sam 10:27.</w:t>
      </w:r>
    </w:p>
  </w:footnote>
  <w:footnote w:id="16643">
    <w:p>
      <w:pPr>
        <w:pStyle w:val="FootnoteText"/>
      </w:pPr>
      <w:r>
        <w:rPr>
          <w:rStyle w:val="FootnoteReference"/>
        </w:rPr>
        <w:footnoteRef/>
      </w:r>
      <w:r>
        <w:t xml:space="preserve"> Cross-references for "brought": Exod 12:41; Exod 33:1.</w:t>
      </w:r>
    </w:p>
  </w:footnote>
  <w:footnote w:id="16644">
    <w:p>
      <w:pPr>
        <w:pStyle w:val="FootnoteText"/>
      </w:pPr>
      <w:r>
        <w:rPr>
          <w:rStyle w:val="FootnoteReference"/>
        </w:rPr>
        <w:footnoteRef/>
      </w:r>
      <w:r>
        <w:t xml:space="preserve"> Cross-references for "A prophet": Deut 18:15-19; Acts 3:22.</w:t>
      </w:r>
    </w:p>
  </w:footnote>
  <w:footnote w:id="16645">
    <w:p>
      <w:pPr>
        <w:pStyle w:val="FootnoteText"/>
      </w:pPr>
      <w:r>
        <w:rPr>
          <w:rStyle w:val="FootnoteReference"/>
        </w:rPr>
        <w:footnoteRef/>
      </w:r>
      <w:r>
        <w:t xml:space="preserve"> Cross-references for "with the": Isa 63:9; Acts 7:30.</w:t>
      </w:r>
    </w:p>
  </w:footnote>
  <w:footnote w:id="16646">
    <w:p>
      <w:pPr>
        <w:pStyle w:val="FootnoteText"/>
      </w:pPr>
      <w:r>
        <w:rPr>
          <w:rStyle w:val="FootnoteReference"/>
        </w:rPr>
        <w:footnoteRef/>
      </w:r>
      <w:r>
        <w:t xml:space="preserve"> Cross-references for "and in": Exod 14:11-12; Exod 16:3.</w:t>
      </w:r>
    </w:p>
  </w:footnote>
  <w:footnote w:id="16647">
    <w:p>
      <w:pPr>
        <w:pStyle w:val="FootnoteText"/>
      </w:pPr>
      <w:r>
        <w:rPr>
          <w:rStyle w:val="FootnoteReference"/>
        </w:rPr>
        <w:footnoteRef/>
      </w:r>
      <w:r>
        <w:t xml:space="preserve"> Cross-references for "rejoiced": Isa 2:8-9; Isa 44:9-20.</w:t>
      </w:r>
    </w:p>
  </w:footnote>
  <w:footnote w:id="16648">
    <w:p>
      <w:pPr>
        <w:pStyle w:val="FootnoteText"/>
      </w:pPr>
      <w:r>
        <w:rPr>
          <w:rStyle w:val="FootnoteReference"/>
        </w:rPr>
        <w:footnoteRef/>
      </w:r>
      <w:r>
        <w:t xml:space="preserve"> Cross-references for "and gave": Ps 81:11-12; Isa 66:4.</w:t>
      </w:r>
    </w:p>
  </w:footnote>
  <w:footnote w:id="16649">
    <w:p>
      <w:pPr>
        <w:pStyle w:val="FootnoteText"/>
      </w:pPr>
      <w:r>
        <w:rPr>
          <w:rStyle w:val="FootnoteReference"/>
        </w:rPr>
        <w:footnoteRef/>
      </w:r>
      <w:r>
        <w:t xml:space="preserve"> Divine or supernatural name: Moloch. Divine/supernatural-name meaning: Moloch — king. Source form: Moloch.</w:t>
      </w:r>
    </w:p>
  </w:footnote>
  <w:footnote w:id="16650">
    <w:p>
      <w:pPr>
        <w:pStyle w:val="FootnoteText"/>
      </w:pPr>
      <w:r>
        <w:rPr>
          <w:rStyle w:val="FootnoteReference"/>
        </w:rPr>
        <w:footnoteRef/>
      </w:r>
      <w:r>
        <w:t xml:space="preserve"> Transliterated proper noun: Remphan. Standard English equivalent: Remphan. Source form: Remphan. Greek form: ρεμφαν. Name meaning: prepared; arrayed.</w:t>
      </w:r>
    </w:p>
  </w:footnote>
  <w:footnote w:id="16651">
    <w:p>
      <w:pPr>
        <w:pStyle w:val="FootnoteText"/>
      </w:pPr>
      <w:r>
        <w:rPr>
          <w:rStyle w:val="FootnoteReference"/>
        </w:rPr>
        <w:footnoteRef/>
      </w:r>
      <w:r>
        <w:t xml:space="preserve"> Cross-references for "figures": Exod 20:4-5; Deut 4:16-18.</w:t>
      </w:r>
    </w:p>
  </w:footnote>
  <w:footnote w:id="16652">
    <w:p>
      <w:pPr>
        <w:pStyle w:val="FootnoteText"/>
      </w:pPr>
      <w:r>
        <w:rPr>
          <w:rStyle w:val="FootnoteReference"/>
        </w:rPr>
        <w:footnoteRef/>
      </w:r>
      <w:r>
        <w:t xml:space="preserve"> Cross-references for "the tabernacle": Exod 38:21; Num 1:50-53.</w:t>
      </w:r>
    </w:p>
  </w:footnote>
  <w:footnote w:id="16653">
    <w:p>
      <w:pPr>
        <w:pStyle w:val="FootnoteText"/>
      </w:pPr>
      <w:r>
        <w:rPr>
          <w:rStyle w:val="FootnoteReference"/>
        </w:rPr>
        <w:footnoteRef/>
      </w:r>
      <w:r>
        <w:t xml:space="preserve"> Cross-references for "Jesus": Josh 3:6-7; Heb 4:8.</w:t>
      </w:r>
    </w:p>
  </w:footnote>
  <w:footnote w:id="16654">
    <w:p>
      <w:pPr>
        <w:pStyle w:val="FootnoteText"/>
      </w:pPr>
      <w:r>
        <w:rPr>
          <w:rStyle w:val="FootnoteReference"/>
        </w:rPr>
        <w:footnoteRef/>
      </w:r>
      <w:r>
        <w:t xml:space="preserve"> Cross-references for "found": 1Sam 15:28; 1Sam 16:1.</w:t>
      </w:r>
    </w:p>
  </w:footnote>
  <w:footnote w:id="16655">
    <w:p>
      <w:pPr>
        <w:pStyle w:val="FootnoteText"/>
      </w:pPr>
      <w:r>
        <w:rPr>
          <w:rStyle w:val="FootnoteReference"/>
        </w:rPr>
        <w:footnoteRef/>
      </w:r>
      <w:r>
        <w:t xml:space="preserve"> Cross-references for "the Most High": Deut 32:8; Ps 7:17.</w:t>
      </w:r>
    </w:p>
  </w:footnote>
  <w:footnote w:id="16656">
    <w:p>
      <w:pPr>
        <w:pStyle w:val="FootnoteText"/>
      </w:pPr>
      <w:r>
        <w:rPr>
          <w:rStyle w:val="FootnoteReference"/>
        </w:rPr>
        <w:footnoteRef/>
      </w:r>
      <w:r>
        <w:t xml:space="preserve"> Cross-references for "Heaven": 1Kgs 22:19; Ps 11:4.</w:t>
      </w:r>
    </w:p>
  </w:footnote>
  <w:footnote w:id="16657">
    <w:p>
      <w:pPr>
        <w:pStyle w:val="FootnoteText"/>
      </w:pPr>
      <w:r>
        <w:rPr>
          <w:rStyle w:val="FootnoteReference"/>
        </w:rPr>
        <w:footnoteRef/>
      </w:r>
      <w:r>
        <w:t xml:space="preserve"> Cross-references for "uncircumcised": Lev 26:41; Deut 10:16.</w:t>
      </w:r>
    </w:p>
  </w:footnote>
  <w:footnote w:id="16658">
    <w:p>
      <w:pPr>
        <w:pStyle w:val="FootnoteText"/>
      </w:pPr>
      <w:r>
        <w:rPr>
          <w:rStyle w:val="FootnoteReference"/>
        </w:rPr>
        <w:footnoteRef/>
      </w:r>
      <w:r>
        <w:t xml:space="preserve"> Cross-references for "Which of": 1Sam 8:7-8; 1Kgs 19:10.</w:t>
      </w:r>
    </w:p>
  </w:footnote>
  <w:footnote w:id="16659">
    <w:p>
      <w:pPr>
        <w:pStyle w:val="FootnoteText"/>
      </w:pPr>
      <w:r>
        <w:rPr>
          <w:rStyle w:val="FootnoteReference"/>
        </w:rPr>
        <w:footnoteRef/>
      </w:r>
      <w:r>
        <w:t xml:space="preserve"> Cross-references for "have received": Deut 33:2; Ps 68:17.</w:t>
      </w:r>
    </w:p>
  </w:footnote>
  <w:footnote w:id="16660">
    <w:p>
      <w:pPr>
        <w:pStyle w:val="FootnoteText"/>
      </w:pPr>
      <w:r>
        <w:rPr>
          <w:rStyle w:val="FootnoteReference"/>
        </w:rPr>
        <w:footnoteRef/>
      </w:r>
      <w:r>
        <w:t xml:space="preserve"> Cross-references for "they were": Acts 5:33; Acts 22:22-23.</w:t>
      </w:r>
    </w:p>
  </w:footnote>
  <w:footnote w:id="16661">
    <w:p>
      <w:pPr>
        <w:pStyle w:val="FootnoteText"/>
      </w:pPr>
      <w:r>
        <w:rPr>
          <w:rStyle w:val="FootnoteReference"/>
        </w:rPr>
        <w:footnoteRef/>
      </w:r>
      <w:r>
        <w:t xml:space="preserve"> Cross-references for "full": Mic 3:8; Acts 2:4.</w:t>
      </w:r>
    </w:p>
  </w:footnote>
  <w:footnote w:id="16662">
    <w:p>
      <w:pPr>
        <w:pStyle w:val="FootnoteText"/>
      </w:pPr>
      <w:r>
        <w:rPr>
          <w:rStyle w:val="FootnoteReference"/>
        </w:rPr>
        <w:footnoteRef/>
      </w:r>
      <w:r>
        <w:t xml:space="preserve"> Cross-references for "I see": Ezek 1:1; Matt 3:16.</w:t>
      </w:r>
    </w:p>
  </w:footnote>
  <w:footnote w:id="16663">
    <w:p>
      <w:pPr>
        <w:pStyle w:val="FootnoteText"/>
      </w:pPr>
      <w:r>
        <w:rPr>
          <w:rStyle w:val="FootnoteReference"/>
        </w:rPr>
        <w:footnoteRef/>
      </w:r>
      <w:r>
        <w:t xml:space="preserve"> Cross-references for "they cried": Acts 7:54; Acts 21:27-31.</w:t>
      </w:r>
    </w:p>
  </w:footnote>
  <w:footnote w:id="16664">
    <w:p>
      <w:pPr>
        <w:pStyle w:val="FootnoteText"/>
      </w:pPr>
      <w:r>
        <w:rPr>
          <w:rStyle w:val="FootnoteReference"/>
        </w:rPr>
        <w:footnoteRef/>
      </w:r>
      <w:r>
        <w:t xml:space="preserve"> Cross-references for "cast": Num 15:35; 1Kgs 21:13.</w:t>
      </w:r>
    </w:p>
  </w:footnote>
  <w:footnote w:id="16665">
    <w:p>
      <w:pPr>
        <w:pStyle w:val="FootnoteText"/>
      </w:pPr>
      <w:r>
        <w:rPr>
          <w:rStyle w:val="FootnoteReference"/>
        </w:rPr>
        <w:footnoteRef/>
      </w:r>
      <w:r>
        <w:t xml:space="preserve"> Personal name: Saul. Personal-name meaning: Saul — Asked for; prayed for. Source form: Saul.</w:t>
      </w:r>
    </w:p>
  </w:footnote>
  <w:footnote w:id="16666">
    <w:p>
      <w:pPr>
        <w:pStyle w:val="FootnoteText"/>
      </w:pPr>
      <w:r>
        <w:rPr>
          <w:rStyle w:val="FootnoteReference"/>
        </w:rPr>
        <w:footnoteRef/>
      </w:r>
      <w:r>
        <w:t xml:space="preserve"> Cross-references for "he kneeled": Ezra 9:5; Dan 6:10.</w:t>
      </w:r>
    </w:p>
  </w:footnote>
  <w:footnote w:id="16667">
    <w:p>
      <w:pPr>
        <w:pStyle w:val="FootnoteText"/>
      </w:pPr>
      <w:r>
        <w:rPr>
          <w:rStyle w:val="FootnoteReference"/>
        </w:rPr>
        <w:footnoteRef/>
      </w:r>
      <w:r>
        <w:t xml:space="preserve"> Cross-references for "And Saul": Acts 7:58; Acts 22:20.</w:t>
      </w:r>
    </w:p>
  </w:footnote>
  <w:footnote w:id="16668">
    <w:p>
      <w:pPr>
        <w:pStyle w:val="FootnoteText"/>
      </w:pPr>
      <w:r>
        <w:rPr>
          <w:rStyle w:val="FootnoteReference"/>
        </w:rPr>
        <w:footnoteRef/>
      </w:r>
      <w:r>
        <w:t xml:space="preserve"> Cross-references for "devout": Luke 2:25; Acts 2:5.</w:t>
      </w:r>
    </w:p>
  </w:footnote>
  <w:footnote w:id="16669">
    <w:p>
      <w:pPr>
        <w:pStyle w:val="FootnoteText"/>
      </w:pPr>
      <w:r>
        <w:rPr>
          <w:rStyle w:val="FootnoteReference"/>
        </w:rPr>
        <w:footnoteRef/>
      </w:r>
      <w:r>
        <w:t xml:space="preserve"> Cross-references for "Philip": Acts 6:5; Acts 8:1.</w:t>
      </w:r>
    </w:p>
  </w:footnote>
  <w:footnote w:id="16670">
    <w:p>
      <w:pPr>
        <w:pStyle w:val="FootnoteText"/>
      </w:pPr>
      <w:r>
        <w:rPr>
          <w:rStyle w:val="FootnoteReference"/>
        </w:rPr>
        <w:footnoteRef/>
      </w:r>
      <w:r>
        <w:t xml:space="preserve"> Cross-references for "with one": 2Chr 30:12; Matt 20:15-16.</w:t>
      </w:r>
    </w:p>
  </w:footnote>
  <w:footnote w:id="16671">
    <w:p>
      <w:pPr>
        <w:pStyle w:val="FootnoteText"/>
      </w:pPr>
      <w:r>
        <w:rPr>
          <w:rStyle w:val="FootnoteReference"/>
        </w:rPr>
        <w:footnoteRef/>
      </w:r>
      <w:r>
        <w:t xml:space="preserve"> Cross-references for "unclean": Matt 10:1; Mark 9:26.</w:t>
      </w:r>
    </w:p>
  </w:footnote>
  <w:footnote w:id="16672">
    <w:p>
      <w:pPr>
        <w:pStyle w:val="FootnoteText"/>
      </w:pPr>
      <w:r>
        <w:rPr>
          <w:rStyle w:val="FootnoteReference"/>
        </w:rPr>
        <w:footnoteRef/>
      </w:r>
      <w:r>
        <w:t xml:space="preserve"> Name meaning: Simon the Sorcerer (Shimon) — He has heard. Heard the gospel but sought power.</w:t>
      </w:r>
    </w:p>
  </w:footnote>
  <w:footnote w:id="16673">
    <w:p>
      <w:pPr>
        <w:pStyle w:val="FootnoteText"/>
      </w:pPr>
      <w:r>
        <w:rPr>
          <w:rStyle w:val="FootnoteReference"/>
        </w:rPr>
        <w:footnoteRef/>
      </w:r>
      <w:r>
        <w:t xml:space="preserve"> Cross-references for "the great power": 1Cor 1:24.</w:t>
      </w:r>
    </w:p>
  </w:footnote>
  <w:footnote w:id="16674">
    <w:p>
      <w:pPr>
        <w:pStyle w:val="FootnoteText"/>
      </w:pPr>
      <w:r>
        <w:rPr>
          <w:rStyle w:val="FootnoteReference"/>
        </w:rPr>
        <w:footnoteRef/>
      </w:r>
      <w:r>
        <w:t xml:space="preserve"> Cross-references for "he had": Isa 8:19; Isa 44:25.</w:t>
      </w:r>
    </w:p>
  </w:footnote>
  <w:footnote w:id="16675">
    <w:p>
      <w:pPr>
        <w:pStyle w:val="FootnoteText"/>
      </w:pPr>
      <w:r>
        <w:rPr>
          <w:rStyle w:val="FootnoteReference"/>
        </w:rPr>
        <w:footnoteRef/>
      </w:r>
      <w:r>
        <w:t xml:space="preserve"> Cross-references for "they believed": Matt 28:19; Mark 16:15.</w:t>
      </w:r>
    </w:p>
  </w:footnote>
  <w:footnote w:id="16676">
    <w:p>
      <w:pPr>
        <w:pStyle w:val="FootnoteText"/>
      </w:pPr>
      <w:r>
        <w:rPr>
          <w:rStyle w:val="FootnoteReference"/>
        </w:rPr>
        <w:footnoteRef/>
      </w:r>
      <w:r>
        <w:t xml:space="preserve"> Cross-references for "believed": Ps 78:35-37; Ps 106:12-13.</w:t>
      </w:r>
    </w:p>
  </w:footnote>
  <w:footnote w:id="16677">
    <w:p>
      <w:pPr>
        <w:pStyle w:val="FootnoteText"/>
      </w:pPr>
      <w:r>
        <w:rPr>
          <w:rStyle w:val="FootnoteReference"/>
        </w:rPr>
        <w:footnoteRef/>
      </w:r>
      <w:r>
        <w:t xml:space="preserve"> Cross-references for "received": Matt 13:23; John 12:48.</w:t>
      </w:r>
    </w:p>
  </w:footnote>
  <w:footnote w:id="16678">
    <w:p>
      <w:pPr>
        <w:pStyle w:val="FootnoteText"/>
      </w:pPr>
      <w:r>
        <w:rPr>
          <w:rStyle w:val="FootnoteReference"/>
        </w:rPr>
        <w:footnoteRef/>
      </w:r>
      <w:r>
        <w:t xml:space="preserve"> Cross-references for "prayed": Matt 18:19; John 14:13-14.</w:t>
      </w:r>
    </w:p>
  </w:footnote>
  <w:footnote w:id="16679">
    <w:p>
      <w:pPr>
        <w:pStyle w:val="FootnoteText"/>
      </w:pPr>
      <w:r>
        <w:rPr>
          <w:rStyle w:val="FootnoteReference"/>
        </w:rPr>
        <w:footnoteRef/>
      </w:r>
      <w:r>
        <w:t xml:space="preserve"> Cross-references for "only": Matt 28:19; Acts 2:38.</w:t>
      </w:r>
    </w:p>
  </w:footnote>
  <w:footnote w:id="16680">
    <w:p>
      <w:pPr>
        <w:pStyle w:val="FootnoteText"/>
      </w:pPr>
      <w:r>
        <w:rPr>
          <w:rStyle w:val="FootnoteReference"/>
        </w:rPr>
        <w:footnoteRef/>
      </w:r>
      <w:r>
        <w:t xml:space="preserve"> Cross-references for "laid": Num 8:10; Num 27:18.</w:t>
      </w:r>
    </w:p>
  </w:footnote>
  <w:footnote w:id="16681">
    <w:p>
      <w:pPr>
        <w:pStyle w:val="FootnoteText"/>
      </w:pPr>
      <w:r>
        <w:rPr>
          <w:rStyle w:val="FootnoteReference"/>
        </w:rPr>
        <w:footnoteRef/>
      </w:r>
      <w:r>
        <w:t xml:space="preserve"> Cross-references for "he offered": 2Kgs 5:15-16; 2Kgs 8:9.</w:t>
      </w:r>
    </w:p>
  </w:footnote>
  <w:footnote w:id="16682">
    <w:p>
      <w:pPr>
        <w:pStyle w:val="FootnoteText"/>
      </w:pPr>
      <w:r>
        <w:rPr>
          <w:rStyle w:val="FootnoteReference"/>
        </w:rPr>
        <w:footnoteRef/>
      </w:r>
      <w:r>
        <w:t xml:space="preserve"> Cross-references for "the gift": Matt 10:8; Acts 2:38.</w:t>
      </w:r>
    </w:p>
  </w:footnote>
  <w:footnote w:id="16683">
    <w:p>
      <w:pPr>
        <w:pStyle w:val="FootnoteText"/>
      </w:pPr>
      <w:r>
        <w:rPr>
          <w:rStyle w:val="FootnoteReference"/>
        </w:rPr>
        <w:footnoteRef/>
      </w:r>
      <w:r>
        <w:t xml:space="preserve"> Cross-references for "Repent": Acts 2:38; Acts 3:19.</w:t>
      </w:r>
    </w:p>
  </w:footnote>
  <w:footnote w:id="16684">
    <w:p>
      <w:pPr>
        <w:pStyle w:val="FootnoteText"/>
      </w:pPr>
      <w:r>
        <w:rPr>
          <w:rStyle w:val="FootnoteReference"/>
        </w:rPr>
        <w:footnoteRef/>
      </w:r>
      <w:r>
        <w:t xml:space="preserve"> Cross-references for "the gall": Deut 29:18-20; Deut 32:32-33.</w:t>
      </w:r>
    </w:p>
  </w:footnote>
  <w:footnote w:id="16685">
    <w:p>
      <w:pPr>
        <w:pStyle w:val="FootnoteText"/>
      </w:pPr>
      <w:r>
        <w:rPr>
          <w:rStyle w:val="FootnoteReference"/>
        </w:rPr>
        <w:footnoteRef/>
      </w:r>
      <w:r>
        <w:t xml:space="preserve"> Cross-references for "Pray": Gen 20:7; Gen 20:17.</w:t>
      </w:r>
    </w:p>
  </w:footnote>
  <w:footnote w:id="16686">
    <w:p>
      <w:pPr>
        <w:pStyle w:val="FootnoteText"/>
      </w:pPr>
      <w:r>
        <w:rPr>
          <w:rStyle w:val="FootnoteReference"/>
        </w:rPr>
        <w:footnoteRef/>
      </w:r>
      <w:r>
        <w:t xml:space="preserve"> Cross-references for "when they had": John 15:27; Acts 1:8.</w:t>
      </w:r>
    </w:p>
  </w:footnote>
  <w:footnote w:id="16687">
    <w:p>
      <w:pPr>
        <w:pStyle w:val="FootnoteText"/>
      </w:pPr>
      <w:r>
        <w:rPr>
          <w:rStyle w:val="FootnoteReference"/>
        </w:rPr>
        <w:footnoteRef/>
      </w:r>
      <w:r>
        <w:t xml:space="preserve"> Cross-references for "the angel": 2Kgs 1:3; Acts 5:19.</w:t>
      </w:r>
    </w:p>
  </w:footnote>
  <w:footnote w:id="16688">
    <w:p>
      <w:pPr>
        <w:pStyle w:val="FootnoteText"/>
      </w:pPr>
      <w:r>
        <w:rPr>
          <w:rStyle w:val="FootnoteReference"/>
        </w:rPr>
        <w:footnoteRef/>
      </w:r>
      <w:r>
        <w:t xml:space="preserve"> Place name: Gaza. Place-name meaning: Gaza — strong; a goat. Source form: Gaza. Greek form: γαζαν.</w:t>
      </w:r>
    </w:p>
  </w:footnote>
  <w:footnote w:id="16689">
    <w:p>
      <w:pPr>
        <w:pStyle w:val="FootnoteText"/>
      </w:pPr>
      <w:r>
        <w:rPr>
          <w:rStyle w:val="FootnoteReference"/>
        </w:rPr>
        <w:footnoteRef/>
      </w:r>
      <w:r>
        <w:t xml:space="preserve"> Cross-references for "he arose": Matt 21:2-6; Mark 14:13-16.</w:t>
      </w:r>
    </w:p>
  </w:footnote>
  <w:footnote w:id="16690">
    <w:p>
      <w:pPr>
        <w:pStyle w:val="FootnoteText"/>
      </w:pPr>
      <w:r>
        <w:rPr>
          <w:rStyle w:val="FootnoteReference"/>
        </w:rPr>
        <w:footnoteRef/>
      </w:r>
      <w:r>
        <w:t xml:space="preserve"> Transliterated proper noun: Ethiopian. Standard English equivalent: Ethiopia. Source form: Ethiopian. Greek form: αιθιοπων. Name meaning: blackness; heat.</w:t>
      </w:r>
    </w:p>
  </w:footnote>
  <w:footnote w:id="16691">
    <w:p>
      <w:pPr>
        <w:pStyle w:val="FootnoteText"/>
      </w:pPr>
      <w:r>
        <w:rPr>
          <w:rStyle w:val="FootnoteReference"/>
        </w:rPr>
        <w:footnoteRef/>
      </w:r>
      <w:r>
        <w:t xml:space="preserve"> Personal name: Candace. Personal-name meaning: Candace — who possesses contrition. Source form: Candace.</w:t>
      </w:r>
    </w:p>
  </w:footnote>
  <w:footnote w:id="16692">
    <w:p>
      <w:pPr>
        <w:pStyle w:val="FootnoteText"/>
      </w:pPr>
      <w:r>
        <w:rPr>
          <w:rStyle w:val="FootnoteReference"/>
        </w:rPr>
        <w:footnoteRef/>
      </w:r>
      <w:r>
        <w:t xml:space="preserve"> People-name: Ethiopians. People-name meaning: Ethiopians — blackness; heat. Source form: Ethiopians.</w:t>
      </w:r>
    </w:p>
  </w:footnote>
  <w:footnote w:id="16693">
    <w:p>
      <w:pPr>
        <w:pStyle w:val="FootnoteText"/>
      </w:pPr>
      <w:r>
        <w:rPr>
          <w:rStyle w:val="FootnoteReference"/>
        </w:rPr>
        <w:footnoteRef/>
      </w:r>
      <w:r>
        <w:t xml:space="preserve"> Cross-references for "and sitting": Deut 6:6-7; Deut 11:18-20.</w:t>
      </w:r>
    </w:p>
  </w:footnote>
  <w:footnote w:id="16694">
    <w:p>
      <w:pPr>
        <w:pStyle w:val="FootnoteText"/>
      </w:pPr>
      <w:r>
        <w:rPr>
          <w:rStyle w:val="FootnoteReference"/>
        </w:rPr>
        <w:footnoteRef/>
      </w:r>
      <w:r>
        <w:t xml:space="preserve"> Cross-references for "as a": Ps 44:11-12; Jer 11:19.</w:t>
      </w:r>
    </w:p>
  </w:footnote>
  <w:footnote w:id="16695">
    <w:p>
      <w:pPr>
        <w:pStyle w:val="FootnoteText"/>
      </w:pPr>
      <w:r>
        <w:rPr>
          <w:rStyle w:val="FootnoteReference"/>
        </w:rPr>
        <w:footnoteRef/>
      </w:r>
      <w:r>
        <w:t xml:space="preserve"> Cross-references for "his humiliation": Phil 2:8-9.</w:t>
      </w:r>
    </w:p>
  </w:footnote>
  <w:footnote w:id="16696">
    <w:p>
      <w:pPr>
        <w:pStyle w:val="FootnoteText"/>
      </w:pPr>
      <w:r>
        <w:rPr>
          <w:rStyle w:val="FootnoteReference"/>
        </w:rPr>
        <w:footnoteRef/>
      </w:r>
      <w:r>
        <w:t xml:space="preserve"> Cross-references for "opened": Matt 5:2; Acts 10:34.</w:t>
      </w:r>
    </w:p>
  </w:footnote>
  <w:footnote w:id="16697">
    <w:p>
      <w:pPr>
        <w:pStyle w:val="FootnoteText"/>
      </w:pPr>
      <w:r>
        <w:rPr>
          <w:rStyle w:val="FootnoteReference"/>
        </w:rPr>
        <w:footnoteRef/>
      </w:r>
      <w:r>
        <w:t xml:space="preserve"> Cross-references for "he answered": 1Pet 3:21.</w:t>
      </w:r>
    </w:p>
  </w:footnote>
  <w:footnote w:id="16698">
    <w:p>
      <w:pPr>
        <w:pStyle w:val="FootnoteText"/>
      </w:pPr>
      <w:r>
        <w:rPr>
          <w:rStyle w:val="FootnoteReference"/>
        </w:rPr>
        <w:footnoteRef/>
      </w:r>
      <w:r>
        <w:t xml:space="preserve"> Cross-references for "and he baptized": John 3:22-23; John 4:1.</w:t>
      </w:r>
    </w:p>
  </w:footnote>
  <w:footnote w:id="16699">
    <w:p>
      <w:pPr>
        <w:pStyle w:val="FootnoteText"/>
      </w:pPr>
      <w:r>
        <w:rPr>
          <w:rStyle w:val="FootnoteReference"/>
        </w:rPr>
        <w:footnoteRef/>
      </w:r>
      <w:r>
        <w:t xml:space="preserve"> Cross-references for "the Spirit": 1Kgs 18:12; 2Kgs 2:16.</w:t>
      </w:r>
    </w:p>
  </w:footnote>
  <w:footnote w:id="16700">
    <w:p>
      <w:pPr>
        <w:pStyle w:val="FootnoteText"/>
      </w:pPr>
      <w:r>
        <w:rPr>
          <w:rStyle w:val="FootnoteReference"/>
        </w:rPr>
        <w:footnoteRef/>
      </w:r>
      <w:r>
        <w:t xml:space="preserve"> Place name: Ashdod. Place-name meaning: Ashdod — effusion; inclination; theft. Source form: Ashdod.</w:t>
      </w:r>
    </w:p>
  </w:footnote>
  <w:footnote w:id="16701">
    <w:p>
      <w:pPr>
        <w:pStyle w:val="FootnoteText"/>
      </w:pPr>
      <w:r>
        <w:rPr>
          <w:rStyle w:val="FootnoteReference"/>
        </w:rPr>
        <w:footnoteRef/>
      </w:r>
      <w:r>
        <w:t xml:space="preserve"> Cross-references for "he preached": Luke 10:1-2; Rom 15:19.</w:t>
      </w:r>
    </w:p>
  </w:footnote>
  <w:footnote w:id="16702">
    <w:p>
      <w:pPr>
        <w:pStyle w:val="FootnoteText"/>
      </w:pPr>
      <w:r>
        <w:rPr>
          <w:rStyle w:val="FootnoteReference"/>
        </w:rPr>
        <w:footnoteRef/>
      </w:r>
      <w:r>
        <w:t xml:space="preserve"> Cross-references for "Saul": Acts 7:58; Acts 8:3.</w:t>
      </w:r>
    </w:p>
  </w:footnote>
  <w:footnote w:id="16703">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6704">
    <w:p>
      <w:pPr>
        <w:pStyle w:val="FootnoteText"/>
      </w:pPr>
      <w:r>
        <w:rPr>
          <w:rStyle w:val="FootnoteReference"/>
        </w:rPr>
        <w:footnoteRef/>
      </w:r>
      <w:r>
        <w:t xml:space="preserve"> Cross-references for "the synagogues": Acts 6:9; Acts 13:14-15.</w:t>
      </w:r>
    </w:p>
  </w:footnote>
  <w:footnote w:id="16705">
    <w:p>
      <w:pPr>
        <w:pStyle w:val="FootnoteText"/>
      </w:pPr>
      <w:r>
        <w:rPr>
          <w:rStyle w:val="FootnoteReference"/>
        </w:rPr>
        <w:footnoteRef/>
      </w:r>
      <w:r>
        <w:t xml:space="preserve"> Cross-references for "a light": Ps 104:2; 1Tim 6:16.</w:t>
      </w:r>
    </w:p>
  </w:footnote>
  <w:footnote w:id="16706">
    <w:p>
      <w:pPr>
        <w:pStyle w:val="FootnoteText"/>
      </w:pPr>
      <w:r>
        <w:rPr>
          <w:rStyle w:val="FootnoteReference"/>
        </w:rPr>
        <w:footnoteRef/>
      </w:r>
      <w:r>
        <w:t xml:space="preserve"> Cross-references for "he fell": Num 16:45; John 18:6.</w:t>
      </w:r>
    </w:p>
  </w:footnote>
  <w:footnote w:id="16707">
    <w:p>
      <w:pPr>
        <w:pStyle w:val="FootnoteText"/>
      </w:pPr>
      <w:r>
        <w:rPr>
          <w:rStyle w:val="FootnoteReference"/>
        </w:rPr>
        <w:footnoteRef/>
      </w:r>
      <w:r>
        <w:t xml:space="preserve"> Cross-references for "trembling": 1Sam 28:5; Isa 66:2.</w:t>
      </w:r>
    </w:p>
  </w:footnote>
  <w:footnote w:id="16708">
    <w:p>
      <w:pPr>
        <w:pStyle w:val="FootnoteText"/>
      </w:pPr>
      <w:r>
        <w:rPr>
          <w:rStyle w:val="FootnoteReference"/>
        </w:rPr>
        <w:footnoteRef/>
      </w:r>
      <w:r>
        <w:t xml:space="preserve"> Cross-references for "he saw": Gen 19:11; Exod 4:11.</w:t>
      </w:r>
    </w:p>
  </w:footnote>
  <w:footnote w:id="16709">
    <w:p>
      <w:pPr>
        <w:pStyle w:val="FootnoteText"/>
      </w:pPr>
      <w:r>
        <w:rPr>
          <w:rStyle w:val="FootnoteReference"/>
        </w:rPr>
        <w:footnoteRef/>
      </w:r>
      <w:r>
        <w:t xml:space="preserve"> Cross-references for "Ananias": Acts 9:4.</w:t>
      </w:r>
    </w:p>
  </w:footnote>
  <w:footnote w:id="16710">
    <w:p>
      <w:pPr>
        <w:pStyle w:val="FootnoteText"/>
      </w:pPr>
      <w:r>
        <w:rPr>
          <w:rStyle w:val="FootnoteReference"/>
        </w:rPr>
        <w:footnoteRef/>
      </w:r>
      <w:r>
        <w:t xml:space="preserve"> Cross-references for "Arise": Acts 8:26; Acts 10:5-6.</w:t>
      </w:r>
    </w:p>
  </w:footnote>
  <w:footnote w:id="16711">
    <w:p>
      <w:pPr>
        <w:pStyle w:val="FootnoteText"/>
      </w:pPr>
      <w:r>
        <w:rPr>
          <w:rStyle w:val="FootnoteReference"/>
        </w:rPr>
        <w:footnoteRef/>
      </w:r>
      <w:r>
        <w:t xml:space="preserve"> Place name: Tarsus. Place-name meaning: Tarsus — winged; feathered. Source form: Tarsus. Greek form: ταρσεα.</w:t>
      </w:r>
    </w:p>
  </w:footnote>
  <w:footnote w:id="16712">
    <w:p>
      <w:pPr>
        <w:pStyle w:val="FootnoteText"/>
      </w:pPr>
      <w:r>
        <w:rPr>
          <w:rStyle w:val="FootnoteReference"/>
        </w:rPr>
        <w:footnoteRef/>
      </w:r>
      <w:r>
        <w:t xml:space="preserve"> Cross-references for "here": Acts 9:2-3.</w:t>
      </w:r>
    </w:p>
  </w:footnote>
  <w:footnote w:id="16713">
    <w:p>
      <w:pPr>
        <w:pStyle w:val="FootnoteText"/>
      </w:pPr>
      <w:r>
        <w:rPr>
          <w:rStyle w:val="FootnoteReference"/>
        </w:rPr>
        <w:footnoteRef/>
      </w:r>
      <w:r>
        <w:t xml:space="preserve"> Cross-references for "a chosen": Jer 1:5; John 15:16.</w:t>
      </w:r>
    </w:p>
  </w:footnote>
  <w:footnote w:id="16714">
    <w:p>
      <w:pPr>
        <w:pStyle w:val="FootnoteText"/>
      </w:pPr>
      <w:r>
        <w:rPr>
          <w:rStyle w:val="FootnoteReference"/>
        </w:rPr>
        <w:footnoteRef/>
      </w:r>
      <w:r>
        <w:t xml:space="preserve"> Cross-references for "Ananias": Acts 22:12-13.</w:t>
      </w:r>
    </w:p>
  </w:footnote>
  <w:footnote w:id="16715">
    <w:p>
      <w:pPr>
        <w:pStyle w:val="FootnoteText"/>
      </w:pPr>
      <w:r>
        <w:rPr>
          <w:rStyle w:val="FootnoteReference"/>
        </w:rPr>
        <w:footnoteRef/>
      </w:r>
      <w:r>
        <w:t xml:space="preserve"> Cross-references for "immediately": 2Cor 3:14; 2Cor 4:6.</w:t>
      </w:r>
    </w:p>
  </w:footnote>
  <w:footnote w:id="16716">
    <w:p>
      <w:pPr>
        <w:pStyle w:val="FootnoteText"/>
      </w:pPr>
      <w:r>
        <w:rPr>
          <w:rStyle w:val="FootnoteReference"/>
        </w:rPr>
        <w:footnoteRef/>
      </w:r>
      <w:r>
        <w:t xml:space="preserve"> Cross-references for "amazed": Num 23:23; Ps 71:7.</w:t>
      </w:r>
    </w:p>
  </w:footnote>
  <w:footnote w:id="16717">
    <w:p>
      <w:pPr>
        <w:pStyle w:val="FootnoteText"/>
      </w:pPr>
      <w:r>
        <w:rPr>
          <w:rStyle w:val="FootnoteReference"/>
        </w:rPr>
        <w:footnoteRef/>
      </w:r>
      <w:r>
        <w:t xml:space="preserve"> Cross-references for "increased": Gen 49:24; Job 17:9.</w:t>
      </w:r>
    </w:p>
  </w:footnote>
  <w:footnote w:id="16718">
    <w:p>
      <w:pPr>
        <w:pStyle w:val="FootnoteText"/>
      </w:pPr>
      <w:r>
        <w:rPr>
          <w:rStyle w:val="FootnoteReference"/>
        </w:rPr>
        <w:footnoteRef/>
      </w:r>
      <w:r>
        <w:t xml:space="preserve"> Cross-references for "the Jews": Josh 10:1-6; Matt 10:16-23.</w:t>
      </w:r>
    </w:p>
  </w:footnote>
  <w:footnote w:id="16719">
    <w:p>
      <w:pPr>
        <w:pStyle w:val="FootnoteText"/>
      </w:pPr>
      <w:r>
        <w:rPr>
          <w:rStyle w:val="FootnoteReference"/>
        </w:rPr>
        <w:footnoteRef/>
      </w:r>
      <w:r>
        <w:t xml:space="preserve"> Cross-references for "their": Judg 16:2-3; Acts 9:29-30.</w:t>
      </w:r>
    </w:p>
  </w:footnote>
  <w:footnote w:id="16720">
    <w:p>
      <w:pPr>
        <w:pStyle w:val="FootnoteText"/>
      </w:pPr>
      <w:r>
        <w:rPr>
          <w:rStyle w:val="FootnoteReference"/>
        </w:rPr>
        <w:footnoteRef/>
      </w:r>
      <w:r>
        <w:t xml:space="preserve"> Cross-references for "Barnabas": Acts 4:36; Acts 11:22.</w:t>
      </w:r>
    </w:p>
  </w:footnote>
  <w:footnote w:id="16721">
    <w:p>
      <w:pPr>
        <w:pStyle w:val="FootnoteText"/>
      </w:pPr>
      <w:r>
        <w:rPr>
          <w:rStyle w:val="FootnoteReference"/>
        </w:rPr>
        <w:footnoteRef/>
      </w:r>
      <w:r>
        <w:t xml:space="preserve"> Cross-references for "coming": Num 27:16-17; 2Sam 5:2.</w:t>
      </w:r>
    </w:p>
  </w:footnote>
  <w:footnote w:id="16722">
    <w:p>
      <w:pPr>
        <w:pStyle w:val="FootnoteText"/>
      </w:pPr>
      <w:r>
        <w:rPr>
          <w:rStyle w:val="FootnoteReference"/>
        </w:rPr>
        <w:footnoteRef/>
      </w:r>
      <w:r>
        <w:t xml:space="preserve"> Cross-references for "disputed": Acts 6:9-10; Acts 17:17.</w:t>
      </w:r>
    </w:p>
  </w:footnote>
  <w:footnote w:id="16723">
    <w:p>
      <w:pPr>
        <w:pStyle w:val="FootnoteText"/>
      </w:pPr>
      <w:r>
        <w:rPr>
          <w:rStyle w:val="FootnoteReference"/>
        </w:rPr>
        <w:footnoteRef/>
      </w:r>
      <w:r>
        <w:t xml:space="preserve"> Cross-references for "Caesarea": Matt 16:13; Acts 8:40.</w:t>
      </w:r>
    </w:p>
  </w:footnote>
  <w:footnote w:id="16724">
    <w:p>
      <w:pPr>
        <w:pStyle w:val="FootnoteText"/>
      </w:pPr>
      <w:r>
        <w:rPr>
          <w:rStyle w:val="FootnoteReference"/>
        </w:rPr>
        <w:footnoteRef/>
      </w:r>
      <w:r>
        <w:t xml:space="preserve"> Cross-references for "were edified": Rom 14:19; 1Cor 3:9-15.</w:t>
      </w:r>
    </w:p>
  </w:footnote>
  <w:footnote w:id="16725">
    <w:p>
      <w:pPr>
        <w:pStyle w:val="FootnoteText"/>
      </w:pPr>
      <w:r>
        <w:rPr>
          <w:rStyle w:val="FootnoteReference"/>
        </w:rPr>
        <w:footnoteRef/>
      </w:r>
      <w:r>
        <w:t xml:space="preserve"> Place name: Lydda. Place-name meaning: Lydda — a standing pool. Source form: Lydda. Greek form: λυδδαν.</w:t>
      </w:r>
    </w:p>
  </w:footnote>
  <w:footnote w:id="16726">
    <w:p>
      <w:pPr>
        <w:pStyle w:val="FootnoteText"/>
      </w:pPr>
      <w:r>
        <w:rPr>
          <w:rStyle w:val="FootnoteReference"/>
        </w:rPr>
        <w:footnoteRef/>
      </w:r>
      <w:r>
        <w:t xml:space="preserve"> Cross-references for "Lydda": Acts 9:38.</w:t>
      </w:r>
    </w:p>
  </w:footnote>
  <w:footnote w:id="16727">
    <w:p>
      <w:pPr>
        <w:pStyle w:val="FootnoteText"/>
      </w:pPr>
      <w:r>
        <w:rPr>
          <w:rStyle w:val="FootnoteReference"/>
        </w:rPr>
        <w:footnoteRef/>
      </w:r>
      <w:r>
        <w:t xml:space="preserve"> Personal name: Aeneas. Personal-name meaning: Aeneas — praised; praiseworthy. Source form: Aeneas.</w:t>
      </w:r>
    </w:p>
  </w:footnote>
  <w:footnote w:id="16728">
    <w:p>
      <w:pPr>
        <w:pStyle w:val="FootnoteText"/>
      </w:pPr>
      <w:r>
        <w:rPr>
          <w:rStyle w:val="FootnoteReference"/>
        </w:rPr>
        <w:footnoteRef/>
      </w:r>
      <w:r>
        <w:t xml:space="preserve"> Cross-references for "Jesus Christ": Matt 8:3; Matt 9:6.</w:t>
      </w:r>
    </w:p>
  </w:footnote>
  <w:footnote w:id="16729">
    <w:p>
      <w:pPr>
        <w:pStyle w:val="FootnoteText"/>
      </w:pPr>
      <w:r>
        <w:rPr>
          <w:rStyle w:val="FootnoteReference"/>
        </w:rPr>
        <w:footnoteRef/>
      </w:r>
      <w:r>
        <w:t xml:space="preserve"> Transliterated proper noun: Saron. Standard English equivalent: Saron. Source form: Saron. Greek form: σαρωνα. Name meaning: his plain; his song.</w:t>
      </w:r>
    </w:p>
  </w:footnote>
  <w:footnote w:id="16730">
    <w:p>
      <w:pPr>
        <w:pStyle w:val="FootnoteText"/>
      </w:pPr>
      <w:r>
        <w:rPr>
          <w:rStyle w:val="FootnoteReference"/>
        </w:rPr>
        <w:footnoteRef/>
      </w:r>
      <w:r>
        <w:t xml:space="preserve"> Cross-references for "Saron": 1Chr 5:16.</w:t>
      </w:r>
    </w:p>
  </w:footnote>
  <w:footnote w:id="16731">
    <w:p>
      <w:pPr>
        <w:pStyle w:val="FootnoteText"/>
      </w:pPr>
      <w:r>
        <w:rPr>
          <w:rStyle w:val="FootnoteReference"/>
        </w:rPr>
        <w:footnoteRef/>
      </w:r>
      <w:r>
        <w:t xml:space="preserve"> Place name: Joppa. Place-name meaning: Joppa — beauty; comeliness. Source form: Joppa. Greek form: ιοππη.</w:t>
      </w:r>
    </w:p>
  </w:footnote>
  <w:footnote w:id="16732">
    <w:p>
      <w:pPr>
        <w:pStyle w:val="FootnoteText"/>
      </w:pPr>
      <w:r>
        <w:rPr>
          <w:rStyle w:val="FootnoteReference"/>
        </w:rPr>
        <w:footnoteRef/>
      </w:r>
      <w:r>
        <w:t xml:space="preserve"> Personal name: Tabitha. Personal-name meaning: Tabitha — clear-sighted; a roe-deer. Source form: Tabitha.</w:t>
      </w:r>
    </w:p>
  </w:footnote>
  <w:footnote w:id="16733">
    <w:p>
      <w:pPr>
        <w:pStyle w:val="FootnoteText"/>
      </w:pPr>
      <w:r>
        <w:rPr>
          <w:rStyle w:val="FootnoteReference"/>
        </w:rPr>
        <w:footnoteRef/>
      </w:r>
      <w:r>
        <w:t xml:space="preserve"> Name meaning: Dorcas (Tabitha) — Gazelle. Full of good works and raised to life.</w:t>
      </w:r>
    </w:p>
  </w:footnote>
  <w:footnote w:id="16734">
    <w:p>
      <w:pPr>
        <w:pStyle w:val="FootnoteText"/>
      </w:pPr>
      <w:r>
        <w:rPr>
          <w:rStyle w:val="FootnoteReference"/>
        </w:rPr>
        <w:footnoteRef/>
      </w:r>
      <w:r>
        <w:t xml:space="preserve"> Cross-references for "Joppa": 2Chr 2:16; Ezra 3:7.</w:t>
      </w:r>
    </w:p>
  </w:footnote>
  <w:footnote w:id="16735">
    <w:p>
      <w:pPr>
        <w:pStyle w:val="FootnoteText"/>
      </w:pPr>
      <w:r>
        <w:rPr>
          <w:rStyle w:val="FootnoteReference"/>
        </w:rPr>
        <w:footnoteRef/>
      </w:r>
      <w:r>
        <w:t xml:space="preserve"> Cross-references for "she was": John 11:3-4; John 11:36-37.</w:t>
      </w:r>
    </w:p>
  </w:footnote>
  <w:footnote w:id="16736">
    <w:p>
      <w:pPr>
        <w:pStyle w:val="FootnoteText"/>
      </w:pPr>
      <w:r>
        <w:rPr>
          <w:rStyle w:val="FootnoteReference"/>
        </w:rPr>
        <w:footnoteRef/>
      </w:r>
      <w:r>
        <w:t xml:space="preserve"> Cross-references for "Lydda": Acts 9:32; Acts 9:36.</w:t>
      </w:r>
    </w:p>
  </w:footnote>
  <w:footnote w:id="16737">
    <w:p>
      <w:pPr>
        <w:pStyle w:val="FootnoteText"/>
      </w:pPr>
      <w:r>
        <w:rPr>
          <w:rStyle w:val="FootnoteReference"/>
        </w:rPr>
        <w:footnoteRef/>
      </w:r>
      <w:r>
        <w:t xml:space="preserve"> Cross-references for "and showing": Job 31:19-20; Prov 31:30-31.</w:t>
      </w:r>
    </w:p>
  </w:footnote>
  <w:footnote w:id="16738">
    <w:p>
      <w:pPr>
        <w:pStyle w:val="FootnoteText"/>
      </w:pPr>
      <w:r>
        <w:rPr>
          <w:rStyle w:val="FootnoteReference"/>
        </w:rPr>
        <w:footnoteRef/>
      </w:r>
      <w:r>
        <w:t xml:space="preserve"> Cross-references for "and kneeled": Acts 7:60; Acts 20:36.</w:t>
      </w:r>
    </w:p>
  </w:footnote>
  <w:footnote w:id="16739">
    <w:p>
      <w:pPr>
        <w:pStyle w:val="FootnoteText"/>
      </w:pPr>
      <w:r>
        <w:rPr>
          <w:rStyle w:val="FootnoteReference"/>
        </w:rPr>
        <w:footnoteRef/>
      </w:r>
      <w:r>
        <w:t xml:space="preserve"> Cross-references for "he gave": Mark 1:31; Acts 3:7.</w:t>
      </w:r>
    </w:p>
  </w:footnote>
  <w:footnote w:id="16740">
    <w:p>
      <w:pPr>
        <w:pStyle w:val="FootnoteText"/>
      </w:pPr>
      <w:r>
        <w:rPr>
          <w:rStyle w:val="FootnoteReference"/>
        </w:rPr>
        <w:footnoteRef/>
      </w:r>
      <w:r>
        <w:t xml:space="preserve"> Cross-references for "and many": John 11:4; John 11:45.</w:t>
      </w:r>
    </w:p>
  </w:footnote>
  <w:footnote w:id="16741">
    <w:p>
      <w:pPr>
        <w:pStyle w:val="FootnoteText"/>
      </w:pPr>
      <w:r>
        <w:rPr>
          <w:rStyle w:val="FootnoteReference"/>
        </w:rPr>
        <w:footnoteRef/>
      </w:r>
      <w:r>
        <w:t xml:space="preserve"> Name meaning: Cornelius (Cornelius) — Horn. Roman centurion turned to God.</w:t>
      </w:r>
    </w:p>
  </w:footnote>
  <w:footnote w:id="16742">
    <w:p>
      <w:pPr>
        <w:pStyle w:val="FootnoteText"/>
      </w:pPr>
      <w:r>
        <w:rPr>
          <w:rStyle w:val="FootnoteReference"/>
        </w:rPr>
        <w:footnoteRef/>
      </w:r>
      <w:r>
        <w:t xml:space="preserve"> Cross-references for "a centurion": Matt 8:5-13; Matt 27:54.</w:t>
      </w:r>
    </w:p>
  </w:footnote>
  <w:footnote w:id="16743">
    <w:p>
      <w:pPr>
        <w:pStyle w:val="FootnoteText"/>
      </w:pPr>
      <w:r>
        <w:rPr>
          <w:rStyle w:val="FootnoteReference"/>
        </w:rPr>
        <w:footnoteRef/>
      </w:r>
      <w:r>
        <w:t xml:space="preserve"> Cross-references for "devout": Luke 2:25; Acts 2:5.</w:t>
      </w:r>
    </w:p>
  </w:footnote>
  <w:footnote w:id="16744">
    <w:p>
      <w:pPr>
        <w:pStyle w:val="FootnoteText"/>
      </w:pPr>
      <w:r>
        <w:rPr>
          <w:rStyle w:val="FootnoteReference"/>
        </w:rPr>
        <w:footnoteRef/>
      </w:r>
      <w:r>
        <w:t xml:space="preserve"> Cross-references for "Cornelius": Exod 33:17; Isa 45:4.</w:t>
      </w:r>
    </w:p>
  </w:footnote>
  <w:footnote w:id="16745">
    <w:p>
      <w:pPr>
        <w:pStyle w:val="FootnoteText"/>
      </w:pPr>
      <w:r>
        <w:rPr>
          <w:rStyle w:val="FootnoteReference"/>
        </w:rPr>
        <w:footnoteRef/>
      </w:r>
      <w:r>
        <w:t xml:space="preserve"> Cross-references for "send": Acts 9:38; Acts 10:32.</w:t>
      </w:r>
    </w:p>
  </w:footnote>
  <w:footnote w:id="16746">
    <w:p>
      <w:pPr>
        <w:pStyle w:val="FootnoteText"/>
      </w:pPr>
      <w:r>
        <w:rPr>
          <w:rStyle w:val="FootnoteReference"/>
        </w:rPr>
        <w:footnoteRef/>
      </w:r>
      <w:r>
        <w:t xml:space="preserve"> Cross-references for "he shall": John 7:17; Acts 9:6.</w:t>
      </w:r>
    </w:p>
  </w:footnote>
  <w:footnote w:id="16747">
    <w:p>
      <w:pPr>
        <w:pStyle w:val="FootnoteText"/>
      </w:pPr>
      <w:r>
        <w:rPr>
          <w:rStyle w:val="FootnoteReference"/>
        </w:rPr>
        <w:footnoteRef/>
      </w:r>
      <w:r>
        <w:t xml:space="preserve"> Cross-references for "and a": Matt 8:9-10; Luke 3:14.</w:t>
      </w:r>
    </w:p>
  </w:footnote>
  <w:footnote w:id="16748">
    <w:p>
      <w:pPr>
        <w:pStyle w:val="FootnoteText"/>
      </w:pPr>
      <w:r>
        <w:rPr>
          <w:rStyle w:val="FootnoteReference"/>
        </w:rPr>
        <w:footnoteRef/>
      </w:r>
      <w:r>
        <w:t xml:space="preserve"> Cross-references for "he sent": Ps 119:59-60; Eccl 9:10.</w:t>
      </w:r>
    </w:p>
  </w:footnote>
  <w:footnote w:id="16749">
    <w:p>
      <w:pPr>
        <w:pStyle w:val="FootnoteText"/>
      </w:pPr>
      <w:r>
        <w:rPr>
          <w:rStyle w:val="FootnoteReference"/>
        </w:rPr>
        <w:footnoteRef/>
      </w:r>
      <w:r>
        <w:t xml:space="preserve"> Cross-references for "Peter": 1Sam 9:25; Zeph 1:5.</w:t>
      </w:r>
    </w:p>
  </w:footnote>
  <w:footnote w:id="16750">
    <w:p>
      <w:pPr>
        <w:pStyle w:val="FootnoteText"/>
      </w:pPr>
      <w:r>
        <w:rPr>
          <w:rStyle w:val="FootnoteReference"/>
        </w:rPr>
        <w:footnoteRef/>
      </w:r>
      <w:r>
        <w:t xml:space="preserve"> Cross-references for "he became": Matt 4:2; Matt 12:1-3.</w:t>
      </w:r>
    </w:p>
  </w:footnote>
  <w:footnote w:id="16751">
    <w:p>
      <w:pPr>
        <w:pStyle w:val="FootnoteText"/>
      </w:pPr>
      <w:r>
        <w:rPr>
          <w:rStyle w:val="FootnoteReference"/>
        </w:rPr>
        <w:footnoteRef/>
      </w:r>
      <w:r>
        <w:t xml:space="preserve"> Cross-references for "and a": Gen 49:10; Isa 11:6-14.</w:t>
      </w:r>
    </w:p>
  </w:footnote>
  <w:footnote w:id="16752">
    <w:p>
      <w:pPr>
        <w:pStyle w:val="FootnoteText"/>
      </w:pPr>
      <w:r>
        <w:rPr>
          <w:rStyle w:val="FootnoteReference"/>
        </w:rPr>
        <w:footnoteRef/>
      </w:r>
      <w:r>
        <w:t xml:space="preserve"> Cross-references for "Rise": Jer 35:2-5; John 4:31-34.</w:t>
      </w:r>
    </w:p>
  </w:footnote>
  <w:footnote w:id="16753">
    <w:p>
      <w:pPr>
        <w:pStyle w:val="FootnoteText"/>
      </w:pPr>
      <w:r>
        <w:rPr>
          <w:rStyle w:val="FootnoteReference"/>
        </w:rPr>
        <w:footnoteRef/>
      </w:r>
      <w:r>
        <w:t xml:space="preserve"> Cross-references for "the men": Acts 9:43; Acts 10:7-18.</w:t>
      </w:r>
    </w:p>
  </w:footnote>
  <w:footnote w:id="16754">
    <w:p>
      <w:pPr>
        <w:pStyle w:val="FootnoteText"/>
      </w:pPr>
      <w:r>
        <w:rPr>
          <w:rStyle w:val="FootnoteReference"/>
        </w:rPr>
        <w:footnoteRef/>
      </w:r>
      <w:r>
        <w:t xml:space="preserve"> Cross-references for "and asked": Acts 10:5-6; Acts 11:11.</w:t>
      </w:r>
    </w:p>
  </w:footnote>
  <w:footnote w:id="16755">
    <w:p>
      <w:pPr>
        <w:pStyle w:val="FootnoteText"/>
      </w:pPr>
      <w:r>
        <w:rPr>
          <w:rStyle w:val="FootnoteReference"/>
        </w:rPr>
        <w:footnoteRef/>
      </w:r>
      <w:r>
        <w:t xml:space="preserve"> Cross-references for "the Spirit": John 16:13; Acts 8:29.</w:t>
      </w:r>
    </w:p>
  </w:footnote>
  <w:footnote w:id="16756">
    <w:p>
      <w:pPr>
        <w:pStyle w:val="FootnoteText"/>
      </w:pPr>
      <w:r>
        <w:rPr>
          <w:rStyle w:val="FootnoteReference"/>
        </w:rPr>
        <w:footnoteRef/>
      </w:r>
      <w:r>
        <w:t xml:space="preserve"> Cross-references for "Cornelius": Acts 10:1-5.</w:t>
      </w:r>
    </w:p>
  </w:footnote>
  <w:footnote w:id="16757">
    <w:p>
      <w:pPr>
        <w:pStyle w:val="FootnoteText"/>
      </w:pPr>
      <w:r>
        <w:rPr>
          <w:rStyle w:val="FootnoteReference"/>
        </w:rPr>
        <w:footnoteRef/>
      </w:r>
      <w:r>
        <w:t xml:space="preserve"> Cross-references for "and lodged": Gen 19:2-3; Gen 24:31-32.</w:t>
      </w:r>
    </w:p>
  </w:footnote>
  <w:footnote w:id="16758">
    <w:p>
      <w:pPr>
        <w:pStyle w:val="FootnoteText"/>
      </w:pPr>
      <w:r>
        <w:rPr>
          <w:rStyle w:val="FootnoteReference"/>
        </w:rPr>
        <w:footnoteRef/>
      </w:r>
      <w:r>
        <w:t xml:space="preserve"> Cross-references for "and fell": Dan 2:30; Dan 2:46.</w:t>
      </w:r>
    </w:p>
  </w:footnote>
  <w:footnote w:id="16759">
    <w:p>
      <w:pPr>
        <w:pStyle w:val="FootnoteText"/>
      </w:pPr>
      <w:r>
        <w:rPr>
          <w:rStyle w:val="FootnoteReference"/>
        </w:rPr>
        <w:footnoteRef/>
      </w:r>
      <w:r>
        <w:t xml:space="preserve"> Cross-references for "Stand": Isa 42:8; Isa 48:13.</w:t>
      </w:r>
    </w:p>
  </w:footnote>
  <w:footnote w:id="16760">
    <w:p>
      <w:pPr>
        <w:pStyle w:val="FootnoteText"/>
      </w:pPr>
      <w:r>
        <w:rPr>
          <w:rStyle w:val="FootnoteReference"/>
        </w:rPr>
        <w:footnoteRef/>
      </w:r>
      <w:r>
        <w:t xml:space="preserve"> Cross-references for "and found": John 4:35; Acts 10:24.</w:t>
      </w:r>
    </w:p>
  </w:footnote>
  <w:footnote w:id="16761">
    <w:p>
      <w:pPr>
        <w:pStyle w:val="FootnoteText"/>
      </w:pPr>
      <w:r>
        <w:rPr>
          <w:rStyle w:val="FootnoteReference"/>
        </w:rPr>
        <w:footnoteRef/>
      </w:r>
      <w:r>
        <w:t xml:space="preserve"> Cross-references for "that it": John 4:9; John 4:27.</w:t>
      </w:r>
    </w:p>
  </w:footnote>
  <w:footnote w:id="16762">
    <w:p>
      <w:pPr>
        <w:pStyle w:val="FootnoteText"/>
      </w:pPr>
      <w:r>
        <w:rPr>
          <w:rStyle w:val="FootnoteReference"/>
        </w:rPr>
        <w:footnoteRef/>
      </w:r>
      <w:r>
        <w:t xml:space="preserve"> Cross-references for "as soon": Ps 119:60; Acts 10:19-20.</w:t>
      </w:r>
    </w:p>
  </w:footnote>
  <w:footnote w:id="16763">
    <w:p>
      <w:pPr>
        <w:pStyle w:val="FootnoteText"/>
      </w:pPr>
      <w:r>
        <w:rPr>
          <w:rStyle w:val="FootnoteReference"/>
        </w:rPr>
        <w:footnoteRef/>
      </w:r>
      <w:r>
        <w:t xml:space="preserve"> Cross-references for "Four": Acts 10:7-9; Acts 10:23-24.</w:t>
      </w:r>
    </w:p>
  </w:footnote>
  <w:footnote w:id="16764">
    <w:p>
      <w:pPr>
        <w:pStyle w:val="FootnoteText"/>
      </w:pPr>
      <w:r>
        <w:rPr>
          <w:rStyle w:val="FootnoteReference"/>
        </w:rPr>
        <w:footnoteRef/>
      </w:r>
      <w:r>
        <w:t xml:space="preserve"> Cross-references for "therefore": Acts 10:5-8.</w:t>
      </w:r>
    </w:p>
  </w:footnote>
  <w:footnote w:id="16765">
    <w:p>
      <w:pPr>
        <w:pStyle w:val="FootnoteText"/>
      </w:pPr>
      <w:r>
        <w:rPr>
          <w:rStyle w:val="FootnoteReference"/>
        </w:rPr>
        <w:footnoteRef/>
      </w:r>
      <w:r>
        <w:t xml:space="preserve"> Cross-references for "are we": Deut 5:25-29; 2Chr 30:12.</w:t>
      </w:r>
    </w:p>
  </w:footnote>
  <w:footnote w:id="16766">
    <w:p>
      <w:pPr>
        <w:pStyle w:val="FootnoteText"/>
      </w:pPr>
      <w:r>
        <w:rPr>
          <w:rStyle w:val="FootnoteReference"/>
        </w:rPr>
        <w:footnoteRef/>
      </w:r>
      <w:r>
        <w:t xml:space="preserve"> Cross-references for "opened": Matt 5:2; Acts 8:35.</w:t>
      </w:r>
    </w:p>
  </w:footnote>
  <w:footnote w:id="16767">
    <w:p>
      <w:pPr>
        <w:pStyle w:val="FootnoteText"/>
      </w:pPr>
      <w:r>
        <w:rPr>
          <w:rStyle w:val="FootnoteReference"/>
        </w:rPr>
        <w:footnoteRef/>
      </w:r>
      <w:r>
        <w:t xml:space="preserve"> Cross-references for "word": Acts 2:38-39; Acts 3:25-26.</w:t>
      </w:r>
    </w:p>
  </w:footnote>
  <w:footnote w:id="16768">
    <w:p>
      <w:pPr>
        <w:pStyle w:val="FootnoteText"/>
      </w:pPr>
      <w:r>
        <w:rPr>
          <w:rStyle w:val="FootnoteReference"/>
        </w:rPr>
        <w:footnoteRef/>
      </w:r>
      <w:r>
        <w:t xml:space="preserve"> Cross-references for "healing": Mark 5:13-15; Mark 7:29-30.</w:t>
      </w:r>
    </w:p>
  </w:footnote>
  <w:footnote w:id="16769">
    <w:p>
      <w:pPr>
        <w:pStyle w:val="FootnoteText"/>
      </w:pPr>
      <w:r>
        <w:rPr>
          <w:rStyle w:val="FootnoteReference"/>
        </w:rPr>
        <w:footnoteRef/>
      </w:r>
      <w:r>
        <w:t xml:space="preserve"> Cross-references for "we are": Luke 1:2; Luke 24:48.</w:t>
      </w:r>
    </w:p>
  </w:footnote>
  <w:footnote w:id="16770">
    <w:p>
      <w:pPr>
        <w:pStyle w:val="FootnoteText"/>
      </w:pPr>
      <w:r>
        <w:rPr>
          <w:rStyle w:val="FootnoteReference"/>
        </w:rPr>
        <w:footnoteRef/>
      </w:r>
      <w:r>
        <w:t xml:space="preserve"> Cross-references for "witnesses": John 15:16.</w:t>
      </w:r>
    </w:p>
  </w:footnote>
  <w:footnote w:id="16771">
    <w:p>
      <w:pPr>
        <w:pStyle w:val="FootnoteText"/>
      </w:pPr>
      <w:r>
        <w:rPr>
          <w:rStyle w:val="FootnoteReference"/>
        </w:rPr>
        <w:footnoteRef/>
      </w:r>
      <w:r>
        <w:t xml:space="preserve"> Cross-references for "he commanded": Matt 28:19-20; Mark 16:15-16.</w:t>
      </w:r>
    </w:p>
  </w:footnote>
  <w:footnote w:id="16772">
    <w:p>
      <w:pPr>
        <w:pStyle w:val="FootnoteText"/>
      </w:pPr>
      <w:r>
        <w:rPr>
          <w:rStyle w:val="FootnoteReference"/>
        </w:rPr>
        <w:footnoteRef/>
      </w:r>
      <w:r>
        <w:t xml:space="preserve"> Cross-references for "speak": Acts 2:4; Acts 2:11.</w:t>
      </w:r>
    </w:p>
  </w:footnote>
  <w:footnote w:id="16773">
    <w:p>
      <w:pPr>
        <w:pStyle w:val="FootnoteText"/>
      </w:pPr>
      <w:r>
        <w:rPr>
          <w:rStyle w:val="FootnoteReference"/>
        </w:rPr>
        <w:footnoteRef/>
      </w:r>
      <w:r>
        <w:t xml:space="preserve"> Cross-references for "commanded": John 4:2; 1Cor 1:13-17.</w:t>
      </w:r>
    </w:p>
  </w:footnote>
  <w:footnote w:id="16774">
    <w:p>
      <w:pPr>
        <w:pStyle w:val="FootnoteText"/>
      </w:pPr>
      <w:r>
        <w:rPr>
          <w:rStyle w:val="FootnoteReference"/>
        </w:rPr>
        <w:footnoteRef/>
      </w:r>
      <w:r>
        <w:t xml:space="preserve"> Cross-references for "the apostles": Acts 8:14-15; Gal 1:17-22.</w:t>
      </w:r>
    </w:p>
  </w:footnote>
  <w:footnote w:id="16775">
    <w:p>
      <w:pPr>
        <w:pStyle w:val="FootnoteText"/>
      </w:pPr>
      <w:r>
        <w:rPr>
          <w:rStyle w:val="FootnoteReference"/>
        </w:rPr>
        <w:footnoteRef/>
      </w:r>
      <w:r>
        <w:t xml:space="preserve"> Cross-references for "in a": Acts 22:17; 2Cor 12:1-3.</w:t>
      </w:r>
    </w:p>
  </w:footnote>
  <w:footnote w:id="16776">
    <w:p>
      <w:pPr>
        <w:pStyle w:val="FootnoteText"/>
      </w:pPr>
      <w:r>
        <w:rPr>
          <w:rStyle w:val="FootnoteReference"/>
        </w:rPr>
        <w:footnoteRef/>
      </w:r>
      <w:r>
        <w:t xml:space="preserve"> Cross-references for "fastened": Luke 4:20; Acts 3:4.</w:t>
      </w:r>
    </w:p>
  </w:footnote>
  <w:footnote w:id="16777">
    <w:p>
      <w:pPr>
        <w:pStyle w:val="FootnoteText"/>
      </w:pPr>
      <w:r>
        <w:rPr>
          <w:rStyle w:val="FootnoteReference"/>
        </w:rPr>
        <w:footnoteRef/>
      </w:r>
      <w:r>
        <w:t xml:space="preserve"> Cross-references for "common": Mark 7:2; Rom 14:14.</w:t>
      </w:r>
    </w:p>
  </w:footnote>
  <w:footnote w:id="16778">
    <w:p>
      <w:pPr>
        <w:pStyle w:val="FootnoteText"/>
      </w:pPr>
      <w:r>
        <w:rPr>
          <w:rStyle w:val="FootnoteReference"/>
        </w:rPr>
        <w:footnoteRef/>
      </w:r>
      <w:r>
        <w:t xml:space="preserve"> Cross-references for "three": Num 24:10; John 13:38.</w:t>
      </w:r>
    </w:p>
  </w:footnote>
  <w:footnote w:id="16779">
    <w:p>
      <w:pPr>
        <w:pStyle w:val="FootnoteText"/>
      </w:pPr>
      <w:r>
        <w:rPr>
          <w:rStyle w:val="FootnoteReference"/>
        </w:rPr>
        <w:footnoteRef/>
      </w:r>
      <w:r>
        <w:t xml:space="preserve"> Cross-references for "the Spirit": John 16:13; Acts 8:29.</w:t>
      </w:r>
    </w:p>
  </w:footnote>
  <w:footnote w:id="16780">
    <w:p>
      <w:pPr>
        <w:pStyle w:val="FootnoteText"/>
      </w:pPr>
      <w:r>
        <w:rPr>
          <w:rStyle w:val="FootnoteReference"/>
        </w:rPr>
        <w:footnoteRef/>
      </w:r>
      <w:r>
        <w:t xml:space="preserve"> Cross-references for "he showed": Acts 10:3-6; Acts 10:22.</w:t>
      </w:r>
    </w:p>
  </w:footnote>
  <w:footnote w:id="16781">
    <w:p>
      <w:pPr>
        <w:pStyle w:val="FootnoteText"/>
      </w:pPr>
      <w:r>
        <w:rPr>
          <w:rStyle w:val="FootnoteReference"/>
        </w:rPr>
        <w:footnoteRef/>
      </w:r>
      <w:r>
        <w:t xml:space="preserve"> Cross-references for "words": Acts 10:6; Acts 10:22.</w:t>
      </w:r>
    </w:p>
  </w:footnote>
  <w:footnote w:id="16782">
    <w:p>
      <w:pPr>
        <w:pStyle w:val="FootnoteText"/>
      </w:pPr>
      <w:r>
        <w:rPr>
          <w:rStyle w:val="FootnoteReference"/>
        </w:rPr>
        <w:footnoteRef/>
      </w:r>
      <w:r>
        <w:t xml:space="preserve"> Cross-references for "as on": Acts 2:2-12; Acts 4:31.</w:t>
      </w:r>
    </w:p>
  </w:footnote>
  <w:footnote w:id="16783">
    <w:p>
      <w:pPr>
        <w:pStyle w:val="FootnoteText"/>
      </w:pPr>
      <w:r>
        <w:rPr>
          <w:rStyle w:val="FootnoteReference"/>
        </w:rPr>
        <w:footnoteRef/>
      </w:r>
      <w:r>
        <w:t xml:space="preserve"> Cross-references for "remembered": Luke 24:8; John 14:26.</w:t>
      </w:r>
    </w:p>
  </w:footnote>
  <w:footnote w:id="16784">
    <w:p>
      <w:pPr>
        <w:pStyle w:val="FootnoteText"/>
      </w:pPr>
      <w:r>
        <w:rPr>
          <w:rStyle w:val="FootnoteReference"/>
        </w:rPr>
        <w:footnoteRef/>
      </w:r>
      <w:r>
        <w:t xml:space="preserve"> Cross-references for "and glorified": Isa 60:21; Isa 61:3.</w:t>
      </w:r>
    </w:p>
  </w:footnote>
  <w:footnote w:id="16785">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16786">
    <w:p>
      <w:pPr>
        <w:pStyle w:val="FootnoteText"/>
      </w:pPr>
      <w:r>
        <w:rPr>
          <w:rStyle w:val="FootnoteReference"/>
        </w:rPr>
        <w:footnoteRef/>
      </w:r>
      <w:r>
        <w:t xml:space="preserve"> Cross-references for "Cyprus": Acts 4:36; Acts 13:4.</w:t>
      </w:r>
    </w:p>
  </w:footnote>
  <w:footnote w:id="16787">
    <w:p>
      <w:pPr>
        <w:pStyle w:val="FootnoteText"/>
      </w:pPr>
      <w:r>
        <w:rPr>
          <w:rStyle w:val="FootnoteReference"/>
        </w:rPr>
        <w:footnoteRef/>
      </w:r>
      <w:r>
        <w:t xml:space="preserve"> Cross-references for "Cyrene": Matt 27:32; Acts 2:10.</w:t>
      </w:r>
    </w:p>
  </w:footnote>
  <w:footnote w:id="16788">
    <w:p>
      <w:pPr>
        <w:pStyle w:val="FootnoteText"/>
      </w:pPr>
      <w:r>
        <w:rPr>
          <w:rStyle w:val="FootnoteReference"/>
        </w:rPr>
        <w:footnoteRef/>
      </w:r>
      <w:r>
        <w:t xml:space="preserve"> Cross-references for "the hand": 2Chr 30:12; Ezra 7:9.</w:t>
      </w:r>
    </w:p>
  </w:footnote>
  <w:footnote w:id="16789">
    <w:p>
      <w:pPr>
        <w:pStyle w:val="FootnoteText"/>
      </w:pPr>
      <w:r>
        <w:rPr>
          <w:rStyle w:val="FootnoteReference"/>
        </w:rPr>
        <w:footnoteRef/>
      </w:r>
      <w:r>
        <w:t xml:space="preserve"> Cross-references for "tidings": Acts 8:14; Acts 11:1.</w:t>
      </w:r>
    </w:p>
  </w:footnote>
  <w:footnote w:id="16790">
    <w:p>
      <w:pPr>
        <w:pStyle w:val="FootnoteText"/>
      </w:pPr>
      <w:r>
        <w:rPr>
          <w:rStyle w:val="FootnoteReference"/>
        </w:rPr>
        <w:footnoteRef/>
      </w:r>
      <w:r>
        <w:t xml:space="preserve"> Cross-references for "seen": Mark 2:5; Col 1:6.</w:t>
      </w:r>
    </w:p>
  </w:footnote>
  <w:footnote w:id="16791">
    <w:p>
      <w:pPr>
        <w:pStyle w:val="FootnoteText"/>
      </w:pPr>
      <w:r>
        <w:rPr>
          <w:rStyle w:val="FootnoteReference"/>
        </w:rPr>
        <w:footnoteRef/>
      </w:r>
      <w:r>
        <w:t xml:space="preserve"> Cross-references for "full": Acts 6:3; Acts 6:5.</w:t>
      </w:r>
    </w:p>
  </w:footnote>
  <w:footnote w:id="16792">
    <w:p>
      <w:pPr>
        <w:pStyle w:val="FootnoteText"/>
      </w:pPr>
      <w:r>
        <w:rPr>
          <w:rStyle w:val="FootnoteReference"/>
        </w:rPr>
        <w:footnoteRef/>
      </w:r>
      <w:r>
        <w:t xml:space="preserve"> Cross-references for "to Tarsus": Acts 9:11; Acts 9:27.</w:t>
      </w:r>
    </w:p>
  </w:footnote>
  <w:footnote w:id="16793">
    <w:p>
      <w:pPr>
        <w:pStyle w:val="FootnoteText"/>
      </w:pPr>
      <w:r>
        <w:rPr>
          <w:rStyle w:val="FootnoteReference"/>
        </w:rPr>
        <w:footnoteRef/>
      </w:r>
      <w:r>
        <w:t xml:space="preserve"> Cross-references for "taught": Matt 28:19.</w:t>
      </w:r>
    </w:p>
  </w:footnote>
  <w:footnote w:id="16794">
    <w:p>
      <w:pPr>
        <w:pStyle w:val="FootnoteText"/>
      </w:pPr>
      <w:r>
        <w:rPr>
          <w:rStyle w:val="FootnoteReference"/>
        </w:rPr>
        <w:footnoteRef/>
      </w:r>
      <w:r>
        <w:t xml:space="preserve"> People-name: Christians. People-name meaning: Christians — followers of Christ, the anointed one. Source form: Christians.</w:t>
      </w:r>
    </w:p>
  </w:footnote>
  <w:footnote w:id="16795">
    <w:p>
      <w:pPr>
        <w:pStyle w:val="FootnoteText"/>
      </w:pPr>
      <w:r>
        <w:rPr>
          <w:rStyle w:val="FootnoteReference"/>
        </w:rPr>
        <w:footnoteRef/>
      </w:r>
      <w:r>
        <w:t xml:space="preserve"> Cross-references for "prophets": Matt 23:34; Acts 2:17.</w:t>
      </w:r>
    </w:p>
  </w:footnote>
  <w:footnote w:id="16796">
    <w:p>
      <w:pPr>
        <w:pStyle w:val="FootnoteText"/>
      </w:pPr>
      <w:r>
        <w:rPr>
          <w:rStyle w:val="FootnoteReference"/>
        </w:rPr>
        <w:footnoteRef/>
      </w:r>
      <w:r>
        <w:t xml:space="preserve"> Personal name: Agabus. Personal-name meaning: Agabus — a locust; the father's joy or feast. Source form: Agabus.</w:t>
      </w:r>
    </w:p>
  </w:footnote>
  <w:footnote w:id="16797">
    <w:p>
      <w:pPr>
        <w:pStyle w:val="FootnoteText"/>
      </w:pPr>
      <w:r>
        <w:rPr>
          <w:rStyle w:val="FootnoteReference"/>
        </w:rPr>
        <w:footnoteRef/>
      </w:r>
      <w:r>
        <w:t xml:space="preserve"> Personal name: Claudius. Personal-name meaning: Claudius — lame. Source form: Claudius.</w:t>
      </w:r>
    </w:p>
  </w:footnote>
  <w:footnote w:id="16798">
    <w:p>
      <w:pPr>
        <w:pStyle w:val="FootnoteText"/>
      </w:pPr>
      <w:r>
        <w:rPr>
          <w:rStyle w:val="FootnoteReference"/>
        </w:rPr>
        <w:footnoteRef/>
      </w:r>
      <w:r>
        <w:t xml:space="preserve"> Cross-references for "Agabus": Acts 21:10.</w:t>
      </w:r>
    </w:p>
  </w:footnote>
  <w:footnote w:id="16799">
    <w:p>
      <w:pPr>
        <w:pStyle w:val="FootnoteText"/>
      </w:pPr>
      <w:r>
        <w:rPr>
          <w:rStyle w:val="FootnoteReference"/>
        </w:rPr>
        <w:footnoteRef/>
      </w:r>
      <w:r>
        <w:t xml:space="preserve"> Cross-references for "to send": Eccl 11:1-2; Luke 12:29-33.</w:t>
      </w:r>
    </w:p>
  </w:footnote>
  <w:footnote w:id="16800">
    <w:p>
      <w:pPr>
        <w:pStyle w:val="FootnoteText"/>
      </w:pPr>
      <w:r>
        <w:rPr>
          <w:rStyle w:val="FootnoteReference"/>
        </w:rPr>
        <w:footnoteRef/>
      </w:r>
      <w:r>
        <w:t xml:space="preserve"> Cross-references for "stretched forth his hands": Luke 22:53; Acts 4:30.</w:t>
      </w:r>
    </w:p>
  </w:footnote>
  <w:footnote w:id="16801">
    <w:p>
      <w:pPr>
        <w:pStyle w:val="FootnoteText"/>
      </w:pPr>
      <w:r>
        <w:rPr>
          <w:rStyle w:val="FootnoteReference"/>
        </w:rPr>
        <w:footnoteRef/>
      </w:r>
      <w:r>
        <w:t xml:space="preserve"> Cross-references for "James": Matt 4:21-22; Matt 20:23.</w:t>
      </w:r>
    </w:p>
  </w:footnote>
  <w:footnote w:id="16802">
    <w:p>
      <w:pPr>
        <w:pStyle w:val="FootnoteText"/>
      </w:pPr>
      <w:r>
        <w:rPr>
          <w:rStyle w:val="FootnoteReference"/>
        </w:rPr>
        <w:footnoteRef/>
      </w:r>
      <w:r>
        <w:t xml:space="preserve"> Cross-references for "he saw": John 12:43; Acts 24:27.</w:t>
      </w:r>
    </w:p>
  </w:footnote>
  <w:footnote w:id="16803">
    <w:p>
      <w:pPr>
        <w:pStyle w:val="FootnoteText"/>
      </w:pPr>
      <w:r>
        <w:rPr>
          <w:rStyle w:val="FootnoteReference"/>
        </w:rPr>
        <w:footnoteRef/>
      </w:r>
      <w:r>
        <w:t xml:space="preserve"> Cross-references for "he put": Matt 24:9; Luke 21:12.</w:t>
      </w:r>
    </w:p>
  </w:footnote>
  <w:footnote w:id="16804">
    <w:p>
      <w:pPr>
        <w:pStyle w:val="FootnoteText"/>
      </w:pPr>
      <w:r>
        <w:rPr>
          <w:rStyle w:val="FootnoteReference"/>
        </w:rPr>
        <w:footnoteRef/>
      </w:r>
      <w:r>
        <w:t xml:space="preserve"> Cross-references for "prayer was made without ceasing": Isa 62:6-7; Matt 18:19.</w:t>
      </w:r>
    </w:p>
  </w:footnote>
  <w:footnote w:id="16805">
    <w:p>
      <w:pPr>
        <w:pStyle w:val="FootnoteText"/>
      </w:pPr>
      <w:r>
        <w:rPr>
          <w:rStyle w:val="FootnoteReference"/>
        </w:rPr>
        <w:footnoteRef/>
      </w:r>
      <w:r>
        <w:t xml:space="preserve"> Cross-references for "bound": Jer 40:4; Acts 21:33.</w:t>
      </w:r>
    </w:p>
  </w:footnote>
  <w:footnote w:id="16806">
    <w:p>
      <w:pPr>
        <w:pStyle w:val="FootnoteText"/>
      </w:pPr>
      <w:r>
        <w:rPr>
          <w:rStyle w:val="FootnoteReference"/>
        </w:rPr>
        <w:footnoteRef/>
      </w:r>
      <w:r>
        <w:t xml:space="preserve"> Cross-references for "the angel": 1Kgs 19:5; 1Kgs 19:7.</w:t>
      </w:r>
    </w:p>
  </w:footnote>
  <w:footnote w:id="16807">
    <w:p>
      <w:pPr>
        <w:pStyle w:val="FootnoteText"/>
      </w:pPr>
      <w:r>
        <w:rPr>
          <w:rStyle w:val="FootnoteReference"/>
        </w:rPr>
        <w:footnoteRef/>
      </w:r>
      <w:r>
        <w:t xml:space="preserve"> Cross-references for "the first": Gen 40:3; Gen 42:17.</w:t>
      </w:r>
    </w:p>
  </w:footnote>
  <w:footnote w:id="16808">
    <w:p>
      <w:pPr>
        <w:pStyle w:val="FootnoteText"/>
      </w:pPr>
      <w:r>
        <w:rPr>
          <w:rStyle w:val="FootnoteReference"/>
        </w:rPr>
        <w:footnoteRef/>
      </w:r>
      <w:r>
        <w:t xml:space="preserve"> Cross-references for "he came": Acts 4:23; Acts 16:40.</w:t>
      </w:r>
    </w:p>
  </w:footnote>
  <w:footnote w:id="16809">
    <w:p>
      <w:pPr>
        <w:pStyle w:val="FootnoteText"/>
      </w:pPr>
      <w:r>
        <w:rPr>
          <w:rStyle w:val="FootnoteReference"/>
        </w:rPr>
        <w:footnoteRef/>
      </w:r>
      <w:r>
        <w:t xml:space="preserve"> Name meaning: Mark (Marcus) — Hammer; polite. Initially faltered but later became useful to Paul.</w:t>
      </w:r>
    </w:p>
  </w:footnote>
  <w:footnote w:id="16810">
    <w:p>
      <w:pPr>
        <w:pStyle w:val="FootnoteText"/>
      </w:pPr>
      <w:r>
        <w:rPr>
          <w:rStyle w:val="FootnoteReference"/>
        </w:rPr>
        <w:footnoteRef/>
      </w:r>
      <w:r>
        <w:t xml:space="preserve"> Cross-references for "knocked": Luke 13:25; Acts 12:16.</w:t>
      </w:r>
    </w:p>
  </w:footnote>
  <w:footnote w:id="16811">
    <w:p>
      <w:pPr>
        <w:pStyle w:val="FootnoteText"/>
      </w:pPr>
      <w:r>
        <w:rPr>
          <w:rStyle w:val="FootnoteReference"/>
        </w:rPr>
        <w:footnoteRef/>
      </w:r>
      <w:r>
        <w:t xml:space="preserve"> Personal name: Rhoda. Personal-name meaning: Rhoda — a rose. Source form: Rhoda.</w:t>
      </w:r>
    </w:p>
  </w:footnote>
  <w:footnote w:id="16812">
    <w:p>
      <w:pPr>
        <w:pStyle w:val="FootnoteText"/>
      </w:pPr>
      <w:r>
        <w:rPr>
          <w:rStyle w:val="FootnoteReference"/>
        </w:rPr>
        <w:footnoteRef/>
      </w:r>
      <w:r>
        <w:t xml:space="preserve"> Cross-references for "beckoning": Luke 1:22; John 13:24.</w:t>
      </w:r>
    </w:p>
  </w:footnote>
  <w:footnote w:id="16813">
    <w:p>
      <w:pPr>
        <w:pStyle w:val="FootnoteText"/>
      </w:pPr>
      <w:r>
        <w:rPr>
          <w:rStyle w:val="FootnoteReference"/>
        </w:rPr>
        <w:footnoteRef/>
      </w:r>
      <w:r>
        <w:t xml:space="preserve"> Cross-references for "sought for him": 1Sam 23:14; Ps 37:32-33.</w:t>
      </w:r>
    </w:p>
  </w:footnote>
  <w:footnote w:id="16814">
    <w:p>
      <w:pPr>
        <w:pStyle w:val="FootnoteText"/>
      </w:pPr>
      <w:r>
        <w:rPr>
          <w:rStyle w:val="FootnoteReference"/>
        </w:rPr>
        <w:footnoteRef/>
      </w:r>
      <w:r>
        <w:t xml:space="preserve"> Cross-references for "Tyre": Gen 10:15; Gen 10:19.</w:t>
      </w:r>
    </w:p>
  </w:footnote>
  <w:footnote w:id="16815">
    <w:p>
      <w:pPr>
        <w:pStyle w:val="FootnoteText"/>
      </w:pPr>
      <w:r>
        <w:rPr>
          <w:rStyle w:val="FootnoteReference"/>
        </w:rPr>
        <w:footnoteRef/>
      </w:r>
      <w:r>
        <w:t xml:space="preserve"> Personal name: Blastus. Personal-name meaning: Blastus — that buds or brings forth. Source form: Blastus.</w:t>
      </w:r>
    </w:p>
  </w:footnote>
  <w:footnote w:id="16816">
    <w:p>
      <w:pPr>
        <w:pStyle w:val="FootnoteText"/>
      </w:pPr>
      <w:r>
        <w:rPr>
          <w:rStyle w:val="FootnoteReference"/>
        </w:rPr>
        <w:footnoteRef/>
      </w:r>
      <w:r>
        <w:t xml:space="preserve"> Cross-references for "the angel": Exod 12:12; Exod 12:23.</w:t>
      </w:r>
    </w:p>
  </w:footnote>
  <w:footnote w:id="16817">
    <w:p>
      <w:pPr>
        <w:pStyle w:val="FootnoteText"/>
      </w:pPr>
      <w:r>
        <w:rPr>
          <w:rStyle w:val="FootnoteReference"/>
        </w:rPr>
        <w:footnoteRef/>
      </w:r>
      <w:r>
        <w:t xml:space="preserve"> Cross-references for "Barnabas": Acts 11:29-30; Acts 13:1-3.</w:t>
      </w:r>
    </w:p>
  </w:footnote>
  <w:footnote w:id="16818">
    <w:p>
      <w:pPr>
        <w:pStyle w:val="FootnoteText"/>
      </w:pPr>
      <w:r>
        <w:rPr>
          <w:rStyle w:val="FootnoteReference"/>
        </w:rPr>
        <w:footnoteRef/>
      </w:r>
      <w:r>
        <w:t xml:space="preserve"> Cross-references for "prophets": Acts 11:25-27; Acts 15:35.</w:t>
      </w:r>
    </w:p>
  </w:footnote>
  <w:footnote w:id="16819">
    <w:p>
      <w:pPr>
        <w:pStyle w:val="FootnoteText"/>
      </w:pPr>
      <w:r>
        <w:rPr>
          <w:rStyle w:val="FootnoteReference"/>
        </w:rPr>
        <w:footnoteRef/>
      </w:r>
      <w:r>
        <w:t xml:space="preserve"> Personal name: Niger. Personal-name meaning: Niger — black. Source form: Niger.</w:t>
      </w:r>
    </w:p>
  </w:footnote>
  <w:footnote w:id="16820">
    <w:p>
      <w:pPr>
        <w:pStyle w:val="FootnoteText"/>
      </w:pPr>
      <w:r>
        <w:rPr>
          <w:rStyle w:val="FootnoteReference"/>
        </w:rPr>
        <w:footnoteRef/>
      </w:r>
      <w:r>
        <w:t xml:space="preserve"> Personal name: Lucius. Personal-name meaning: Lucius — luminous; white. Source form: Lucius.</w:t>
      </w:r>
    </w:p>
  </w:footnote>
  <w:footnote w:id="16821">
    <w:p>
      <w:pPr>
        <w:pStyle w:val="FootnoteText"/>
      </w:pPr>
      <w:r>
        <w:rPr>
          <w:rStyle w:val="FootnoteReference"/>
        </w:rPr>
        <w:footnoteRef/>
      </w:r>
      <w:r>
        <w:t xml:space="preserve"> Personal name: Manaen. Personal-name meaning: Manaen — a comforter; a leader. Source form: Manaen.</w:t>
      </w:r>
    </w:p>
  </w:footnote>
  <w:footnote w:id="16822">
    <w:p>
      <w:pPr>
        <w:pStyle w:val="FootnoteText"/>
      </w:pPr>
      <w:r>
        <w:rPr>
          <w:rStyle w:val="FootnoteReference"/>
        </w:rPr>
        <w:footnoteRef/>
      </w:r>
      <w:r>
        <w:t xml:space="preserve"> Cross-references for "fasted": Dan 9:3; Matt 6:16.</w:t>
      </w:r>
    </w:p>
  </w:footnote>
  <w:footnote w:id="16823">
    <w:p>
      <w:pPr>
        <w:pStyle w:val="FootnoteText"/>
      </w:pPr>
      <w:r>
        <w:rPr>
          <w:rStyle w:val="FootnoteReference"/>
        </w:rPr>
        <w:footnoteRef/>
      </w:r>
      <w:r>
        <w:t xml:space="preserve"> Cross-references for "they sent": Acts 14:26; Acts 15:40.</w:t>
      </w:r>
    </w:p>
  </w:footnote>
  <w:footnote w:id="16824">
    <w:p>
      <w:pPr>
        <w:pStyle w:val="FootnoteText"/>
      </w:pPr>
      <w:r>
        <w:rPr>
          <w:rStyle w:val="FootnoteReference"/>
        </w:rPr>
        <w:footnoteRef/>
      </w:r>
      <w:r>
        <w:t xml:space="preserve"> Place name: Seleucia. Place-name meaning: Seleucia — shaken or beaten by the waves. Source form: Seleucia. Greek form: σελευκειαν.</w:t>
      </w:r>
    </w:p>
  </w:footnote>
  <w:footnote w:id="16825">
    <w:p>
      <w:pPr>
        <w:pStyle w:val="FootnoteText"/>
      </w:pPr>
      <w:r>
        <w:rPr>
          <w:rStyle w:val="FootnoteReference"/>
        </w:rPr>
        <w:footnoteRef/>
      </w:r>
      <w:r>
        <w:t xml:space="preserve"> Cross-references for "Cyprus": Acts 4:36; Acts 11:19.</w:t>
      </w:r>
    </w:p>
  </w:footnote>
  <w:footnote w:id="16826">
    <w:p>
      <w:pPr>
        <w:pStyle w:val="FootnoteText"/>
      </w:pPr>
      <w:r>
        <w:rPr>
          <w:rStyle w:val="FootnoteReference"/>
        </w:rPr>
        <w:footnoteRef/>
      </w:r>
      <w:r>
        <w:t xml:space="preserve"> Place name: Salamis. Place-name meaning: Salamis — shaken; test; beaten. Source form: Salamis. Greek form: σαλαμινι.</w:t>
      </w:r>
    </w:p>
  </w:footnote>
  <w:footnote w:id="16827">
    <w:p>
      <w:pPr>
        <w:pStyle w:val="FootnoteText"/>
      </w:pPr>
      <w:r>
        <w:rPr>
          <w:rStyle w:val="FootnoteReference"/>
        </w:rPr>
        <w:footnoteRef/>
      </w:r>
      <w:r>
        <w:t xml:space="preserve"> Cross-references for "John": Acts 12:25; Acts 15:37.</w:t>
      </w:r>
    </w:p>
  </w:footnote>
  <w:footnote w:id="16828">
    <w:p>
      <w:pPr>
        <w:pStyle w:val="FootnoteText"/>
      </w:pPr>
      <w:r>
        <w:rPr>
          <w:rStyle w:val="FootnoteReference"/>
        </w:rPr>
        <w:footnoteRef/>
      </w:r>
      <w:r>
        <w:t xml:space="preserve"> Place name: Paphos. Place-name meaning: Paphos — which boils, or is very hot. Source form: Paphos. Greek form: παφου.</w:t>
      </w:r>
    </w:p>
  </w:footnote>
  <w:footnote w:id="16829">
    <w:p>
      <w:pPr>
        <w:pStyle w:val="FootnoteText"/>
      </w:pPr>
      <w:r>
        <w:rPr>
          <w:rStyle w:val="FootnoteReference"/>
        </w:rPr>
        <w:footnoteRef/>
      </w:r>
      <w:r>
        <w:t xml:space="preserve"> Cross-references for "certain": Exod 22:18; Lev 20:6.</w:t>
      </w:r>
    </w:p>
  </w:footnote>
  <w:footnote w:id="16830">
    <w:p>
      <w:pPr>
        <w:pStyle w:val="FootnoteText"/>
      </w:pPr>
      <w:r>
        <w:rPr>
          <w:rStyle w:val="FootnoteReference"/>
        </w:rPr>
        <w:footnoteRef/>
      </w:r>
      <w:r>
        <w:t xml:space="preserve"> Personal name: Bar-Jesus. Personal-name meaning: Bar-Jesus — son of Jesus or Joshua. Source form: Bar-Jesus.</w:t>
      </w:r>
    </w:p>
  </w:footnote>
  <w:footnote w:id="16831">
    <w:p>
      <w:pPr>
        <w:pStyle w:val="FootnoteText"/>
      </w:pPr>
      <w:r>
        <w:rPr>
          <w:rStyle w:val="FootnoteReference"/>
        </w:rPr>
        <w:footnoteRef/>
      </w:r>
      <w:r>
        <w:t xml:space="preserve"> Name meaning: Sergius Paulus (Paulus) — Small; humble. Proconsul who believed after seeing God’s power.</w:t>
      </w:r>
    </w:p>
  </w:footnote>
  <w:footnote w:id="16832">
    <w:p>
      <w:pPr>
        <w:pStyle w:val="FootnoteText"/>
      </w:pPr>
      <w:r>
        <w:rPr>
          <w:rStyle w:val="FootnoteReference"/>
        </w:rPr>
        <w:footnoteRef/>
      </w:r>
      <w:r>
        <w:t xml:space="preserve"> Transliterated proper noun: Sergius. Standard English equivalent: Sergius. Source form: Sergius. Greek form: σεργιω. Name meaning: net.</w:t>
      </w:r>
    </w:p>
  </w:footnote>
  <w:footnote w:id="16833">
    <w:p>
      <w:pPr>
        <w:pStyle w:val="FootnoteText"/>
      </w:pPr>
      <w:r>
        <w:rPr>
          <w:rStyle w:val="FootnoteReference"/>
        </w:rPr>
        <w:footnoteRef/>
      </w:r>
      <w:r>
        <w:t xml:space="preserve"> Transliterated proper noun: Paulus. Standard English equivalent: Paulus. Source form: Paulus. Greek form: παυλω. Name meaning: small; little.</w:t>
      </w:r>
    </w:p>
  </w:footnote>
  <w:footnote w:id="16834">
    <w:p>
      <w:pPr>
        <w:pStyle w:val="FootnoteText"/>
      </w:pPr>
      <w:r>
        <w:rPr>
          <w:rStyle w:val="FootnoteReference"/>
        </w:rPr>
        <w:footnoteRef/>
      </w:r>
      <w:r>
        <w:t xml:space="preserve"> Name meaning: Elymas (Bar-Jesus) — Wise man. Sorcerer who opposed the gospel.</w:t>
      </w:r>
    </w:p>
  </w:footnote>
  <w:footnote w:id="16835">
    <w:p>
      <w:pPr>
        <w:pStyle w:val="FootnoteText"/>
      </w:pPr>
      <w:r>
        <w:rPr>
          <w:rStyle w:val="FootnoteReference"/>
        </w:rPr>
        <w:footnoteRef/>
      </w:r>
      <w:r>
        <w:t xml:space="preserve"> Cross-references for "withstood": Exod 7:11-13; 1Kgs 22:24.</w:t>
      </w:r>
    </w:p>
  </w:footnote>
  <w:footnote w:id="16836">
    <w:p>
      <w:pPr>
        <w:pStyle w:val="FootnoteText"/>
      </w:pPr>
      <w:r>
        <w:rPr>
          <w:rStyle w:val="FootnoteReference"/>
        </w:rPr>
        <w:footnoteRef/>
      </w:r>
      <w:r>
        <w:t xml:space="preserve"> Name meaning: Paul (Paulus) — Small; humble. Changed from Saul to Paul, the humble apostle to the Gentiles.</w:t>
      </w:r>
    </w:p>
  </w:footnote>
  <w:footnote w:id="16837">
    <w:p>
      <w:pPr>
        <w:pStyle w:val="FootnoteText"/>
      </w:pPr>
      <w:r>
        <w:rPr>
          <w:rStyle w:val="FootnoteReference"/>
        </w:rPr>
        <w:footnoteRef/>
      </w:r>
      <w:r>
        <w:t xml:space="preserve"> Cross-references for "filled": Mic 3:8; Acts 2:4.</w:t>
      </w:r>
    </w:p>
  </w:footnote>
  <w:footnote w:id="16838">
    <w:p>
      <w:pPr>
        <w:pStyle w:val="FootnoteText"/>
      </w:pPr>
      <w:r>
        <w:rPr>
          <w:rStyle w:val="FootnoteReference"/>
        </w:rPr>
        <w:footnoteRef/>
      </w:r>
      <w:r>
        <w:t xml:space="preserve"> Cross-references for "O full": Eccl 9:3; Matt 3:7.</w:t>
      </w:r>
    </w:p>
  </w:footnote>
  <w:footnote w:id="16839">
    <w:p>
      <w:pPr>
        <w:pStyle w:val="FootnoteText"/>
      </w:pPr>
      <w:r>
        <w:rPr>
          <w:rStyle w:val="FootnoteReference"/>
        </w:rPr>
        <w:footnoteRef/>
      </w:r>
      <w:r>
        <w:t xml:space="preserve"> Cross-references for "a mist": 2Pet 2:17.</w:t>
      </w:r>
    </w:p>
  </w:footnote>
  <w:footnote w:id="16840">
    <w:p>
      <w:pPr>
        <w:pStyle w:val="FootnoteText"/>
      </w:pPr>
      <w:r>
        <w:rPr>
          <w:rStyle w:val="FootnoteReference"/>
        </w:rPr>
        <w:footnoteRef/>
      </w:r>
      <w:r>
        <w:t xml:space="preserve"> Place name: Perga. Place-name meaning: Perga — very earthy. Source form: Perga. Greek form: περγην.</w:t>
      </w:r>
    </w:p>
  </w:footnote>
  <w:footnote w:id="16841">
    <w:p>
      <w:pPr>
        <w:pStyle w:val="FootnoteText"/>
      </w:pPr>
      <w:r>
        <w:rPr>
          <w:rStyle w:val="FootnoteReference"/>
        </w:rPr>
        <w:footnoteRef/>
      </w:r>
      <w:r>
        <w:t xml:space="preserve"> Cross-references for "Perga": Acts 2:10; Acts 14:24-25.</w:t>
      </w:r>
    </w:p>
  </w:footnote>
  <w:footnote w:id="16842">
    <w:p>
      <w:pPr>
        <w:pStyle w:val="FootnoteText"/>
      </w:pPr>
      <w:r>
        <w:rPr>
          <w:rStyle w:val="FootnoteReference"/>
        </w:rPr>
        <w:footnoteRef/>
      </w:r>
      <w:r>
        <w:t xml:space="preserve"> Cross-references for "Antioch": Acts 14:19; Acts 14:21-24.</w:t>
      </w:r>
    </w:p>
  </w:footnote>
  <w:footnote w:id="16843">
    <w:p>
      <w:pPr>
        <w:pStyle w:val="FootnoteText"/>
      </w:pPr>
      <w:r>
        <w:rPr>
          <w:rStyle w:val="FootnoteReference"/>
        </w:rPr>
        <w:footnoteRef/>
      </w:r>
      <w:r>
        <w:t xml:space="preserve"> Place name: Pisidia. Place-name meaning: Pisidia — pitch; pitchy. Source form: Pisidia. Greek form: πισιδιας.</w:t>
      </w:r>
    </w:p>
  </w:footnote>
  <w:footnote w:id="16844">
    <w:p>
      <w:pPr>
        <w:pStyle w:val="FootnoteText"/>
      </w:pPr>
      <w:r>
        <w:rPr>
          <w:rStyle w:val="FootnoteReference"/>
        </w:rPr>
        <w:footnoteRef/>
      </w:r>
      <w:r>
        <w:t xml:space="preserve"> Cross-references for "the reading": Luke 4:16-18; Acts 13:27.</w:t>
      </w:r>
    </w:p>
  </w:footnote>
  <w:footnote w:id="16845">
    <w:p>
      <w:pPr>
        <w:pStyle w:val="FootnoteText"/>
      </w:pPr>
      <w:r>
        <w:rPr>
          <w:rStyle w:val="FootnoteReference"/>
        </w:rPr>
        <w:footnoteRef/>
      </w:r>
      <w:r>
        <w:t xml:space="preserve"> Cross-references for "beckoning": Acts 12:17; Acts 19:33.</w:t>
      </w:r>
    </w:p>
  </w:footnote>
  <w:footnote w:id="16846">
    <w:p>
      <w:pPr>
        <w:pStyle w:val="FootnoteText"/>
      </w:pPr>
      <w:r>
        <w:rPr>
          <w:rStyle w:val="FootnoteReference"/>
        </w:rPr>
        <w:footnoteRef/>
      </w:r>
      <w:r>
        <w:t xml:space="preserve"> Cross-references for "and exalted": Exod 1:7-9; Deut 10:22.</w:t>
      </w:r>
    </w:p>
  </w:footnote>
  <w:footnote w:id="16847">
    <w:p>
      <w:pPr>
        <w:pStyle w:val="FootnoteText"/>
      </w:pPr>
      <w:r>
        <w:rPr>
          <w:rStyle w:val="FootnoteReference"/>
        </w:rPr>
        <w:footnoteRef/>
      </w:r>
      <w:r>
        <w:t xml:space="preserve"> Cross-references for "he divided": Num 26:53-56; Josh 14:1.</w:t>
      </w:r>
    </w:p>
  </w:footnote>
  <w:footnote w:id="16848">
    <w:p>
      <w:pPr>
        <w:pStyle w:val="FootnoteText"/>
      </w:pPr>
      <w:r>
        <w:rPr>
          <w:rStyle w:val="FootnoteReference"/>
        </w:rPr>
        <w:footnoteRef/>
      </w:r>
      <w:r>
        <w:t xml:space="preserve"> Cross-references for "he gave": Judg 2:16; Judg 3:10.</w:t>
      </w:r>
    </w:p>
  </w:footnote>
  <w:footnote w:id="16849">
    <w:p>
      <w:pPr>
        <w:pStyle w:val="FootnoteText"/>
      </w:pPr>
      <w:r>
        <w:rPr>
          <w:rStyle w:val="FootnoteReference"/>
        </w:rPr>
        <w:footnoteRef/>
      </w:r>
      <w:r>
        <w:t xml:space="preserve"> Cross-references for "Saul": 1Sam 10:1; 1Sam 10:21-26.</w:t>
      </w:r>
    </w:p>
  </w:footnote>
  <w:footnote w:id="16850">
    <w:p>
      <w:pPr>
        <w:pStyle w:val="FootnoteText"/>
      </w:pPr>
      <w:r>
        <w:rPr>
          <w:rStyle w:val="FootnoteReference"/>
        </w:rPr>
        <w:footnoteRef/>
      </w:r>
      <w:r>
        <w:t xml:space="preserve"> Transliterated proper noun: Cis. Standard English equivalent: Kish. Source form: Cis. Greek form: κις. Name meaning: hard; difficult; straw; for age.</w:t>
      </w:r>
    </w:p>
  </w:footnote>
  <w:footnote w:id="16851">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6852">
    <w:p>
      <w:pPr>
        <w:pStyle w:val="FootnoteText"/>
      </w:pPr>
      <w:r>
        <w:rPr>
          <w:rStyle w:val="FootnoteReference"/>
        </w:rPr>
        <w:footnoteRef/>
      </w:r>
      <w:r>
        <w:t xml:space="preserve"> Cross-references for "he raised": 1Sam 16:1; 1Sam 16:13.</w:t>
      </w:r>
    </w:p>
  </w:footnote>
  <w:footnote w:id="16853">
    <w:p>
      <w:pPr>
        <w:pStyle w:val="FootnoteText"/>
      </w:pPr>
      <w:r>
        <w:rPr>
          <w:rStyle w:val="FootnoteReference"/>
        </w:rPr>
        <w:footnoteRef/>
      </w:r>
      <w:r>
        <w:t xml:space="preserve"> Cross-references for "raised": Isa 43:11; Isa 45:21.</w:t>
      </w:r>
    </w:p>
  </w:footnote>
  <w:footnote w:id="16854">
    <w:p>
      <w:pPr>
        <w:pStyle w:val="FootnoteText"/>
      </w:pPr>
      <w:r>
        <w:rPr>
          <w:rStyle w:val="FootnoteReference"/>
        </w:rPr>
        <w:footnoteRef/>
      </w:r>
      <w:r>
        <w:t xml:space="preserve"> Cross-references for "fulfilled": Mark 6:16-28; John 4:34.</w:t>
      </w:r>
    </w:p>
  </w:footnote>
  <w:footnote w:id="16855">
    <w:p>
      <w:pPr>
        <w:pStyle w:val="FootnoteText"/>
      </w:pPr>
      <w:r>
        <w:rPr>
          <w:rStyle w:val="FootnoteReference"/>
        </w:rPr>
        <w:footnoteRef/>
      </w:r>
      <w:r>
        <w:t xml:space="preserve"> Cross-references for "children": Acts 3:26; Acts 13:15.</w:t>
      </w:r>
    </w:p>
  </w:footnote>
  <w:footnote w:id="16856">
    <w:p>
      <w:pPr>
        <w:pStyle w:val="FootnoteText"/>
      </w:pPr>
      <w:r>
        <w:rPr>
          <w:rStyle w:val="FootnoteReference"/>
        </w:rPr>
        <w:footnoteRef/>
      </w:r>
      <w:r>
        <w:t xml:space="preserve"> Cross-references for "they took": Matt 27:57-60; Mark 15:45-46.</w:t>
      </w:r>
    </w:p>
  </w:footnote>
  <w:footnote w:id="16857">
    <w:p>
      <w:pPr>
        <w:pStyle w:val="FootnoteText"/>
      </w:pPr>
      <w:r>
        <w:rPr>
          <w:rStyle w:val="FootnoteReference"/>
        </w:rPr>
        <w:footnoteRef/>
      </w:r>
      <w:r>
        <w:t xml:space="preserve"> Cross-references for "the sure": 2Sam 7:14-16; 2Sam 23:5.</w:t>
      </w:r>
    </w:p>
  </w:footnote>
  <w:footnote w:id="16858">
    <w:p>
      <w:pPr>
        <w:pStyle w:val="FootnoteText"/>
      </w:pPr>
      <w:r>
        <w:rPr>
          <w:rStyle w:val="FootnoteReference"/>
        </w:rPr>
        <w:footnoteRef/>
      </w:r>
      <w:r>
        <w:t xml:space="preserve"> Cross-references for "to see": Ps 49:9; Ps 89:48.</w:t>
      </w:r>
    </w:p>
  </w:footnote>
  <w:footnote w:id="16859">
    <w:p>
      <w:pPr>
        <w:pStyle w:val="FootnoteText"/>
      </w:pPr>
      <w:r>
        <w:rPr>
          <w:rStyle w:val="FootnoteReference"/>
        </w:rPr>
        <w:footnoteRef/>
      </w:r>
      <w:r>
        <w:t xml:space="preserve"> Cross-references for "served": 1Chr 11:2; 1Chr 13:2-4.</w:t>
      </w:r>
    </w:p>
  </w:footnote>
  <w:footnote w:id="16860">
    <w:p>
      <w:pPr>
        <w:pStyle w:val="FootnoteText"/>
      </w:pPr>
      <w:r>
        <w:rPr>
          <w:rStyle w:val="FootnoteReference"/>
        </w:rPr>
        <w:footnoteRef/>
      </w:r>
      <w:r>
        <w:t xml:space="preserve"> Cross-references for "from which": Job 9:20; Job 25:4.</w:t>
      </w:r>
    </w:p>
  </w:footnote>
  <w:footnote w:id="16861">
    <w:p>
      <w:pPr>
        <w:pStyle w:val="FootnoteText"/>
      </w:pPr>
      <w:r>
        <w:rPr>
          <w:rStyle w:val="FootnoteReference"/>
        </w:rPr>
        <w:footnoteRef/>
      </w:r>
      <w:r>
        <w:t xml:space="preserve"> Cross-references for "Beware": Mal 3:2; Mal 4:1.</w:t>
      </w:r>
    </w:p>
  </w:footnote>
  <w:footnote w:id="16862">
    <w:p>
      <w:pPr>
        <w:pStyle w:val="FootnoteText"/>
      </w:pPr>
      <w:r>
        <w:rPr>
          <w:rStyle w:val="FootnoteReference"/>
        </w:rPr>
        <w:footnoteRef/>
      </w:r>
      <w:r>
        <w:t xml:space="preserve"> Cross-references for "the next sabbath": Acts 13:44.</w:t>
      </w:r>
    </w:p>
  </w:footnote>
  <w:footnote w:id="16863">
    <w:p>
      <w:pPr>
        <w:pStyle w:val="FootnoteText"/>
      </w:pPr>
      <w:r>
        <w:rPr>
          <w:rStyle w:val="FootnoteReference"/>
        </w:rPr>
        <w:footnoteRef/>
      </w:r>
      <w:r>
        <w:t xml:space="preserve"> Cross-references for "and religious": Acts 2:10; Acts 6:5.</w:t>
      </w:r>
    </w:p>
  </w:footnote>
  <w:footnote w:id="16864">
    <w:p>
      <w:pPr>
        <w:pStyle w:val="FootnoteText"/>
      </w:pPr>
      <w:r>
        <w:rPr>
          <w:rStyle w:val="FootnoteReference"/>
        </w:rPr>
        <w:footnoteRef/>
      </w:r>
      <w:r>
        <w:t xml:space="preserve"> Cross-references for "It was": Matt 10:6; Luke 24:47.</w:t>
      </w:r>
    </w:p>
  </w:footnote>
  <w:footnote w:id="16865">
    <w:p>
      <w:pPr>
        <w:pStyle w:val="FootnoteText"/>
      </w:pPr>
      <w:r>
        <w:rPr>
          <w:rStyle w:val="FootnoteReference"/>
        </w:rPr>
        <w:footnoteRef/>
      </w:r>
      <w:r>
        <w:t xml:space="preserve"> Cross-references for "glorified": Ps 138:2; 2Thess 3:1.</w:t>
      </w:r>
    </w:p>
  </w:footnote>
  <w:footnote w:id="16866">
    <w:p>
      <w:pPr>
        <w:pStyle w:val="FootnoteText"/>
      </w:pPr>
      <w:r>
        <w:rPr>
          <w:rStyle w:val="FootnoteReference"/>
        </w:rPr>
        <w:footnoteRef/>
      </w:r>
      <w:r>
        <w:t xml:space="preserve"> Cross-references for "the Jews": 1Kgs 21:25; Acts 6:12.</w:t>
      </w:r>
    </w:p>
  </w:footnote>
  <w:footnote w:id="16867">
    <w:p>
      <w:pPr>
        <w:pStyle w:val="FootnoteText"/>
      </w:pPr>
      <w:r>
        <w:rPr>
          <w:rStyle w:val="FootnoteReference"/>
        </w:rPr>
        <w:footnoteRef/>
      </w:r>
      <w:r>
        <w:t xml:space="preserve"> Place name: Iconium. Place-name meaning: Iconium — coming. Source form: Iconium. Greek form: ικονιον.</w:t>
      </w:r>
    </w:p>
  </w:footnote>
  <w:footnote w:id="16868">
    <w:p>
      <w:pPr>
        <w:pStyle w:val="FootnoteText"/>
      </w:pPr>
      <w:r>
        <w:rPr>
          <w:rStyle w:val="FootnoteReference"/>
        </w:rPr>
        <w:footnoteRef/>
      </w:r>
      <w:r>
        <w:t xml:space="preserve"> Cross-references for "Iconium": Acts 14:1; Acts 14:19.</w:t>
      </w:r>
    </w:p>
  </w:footnote>
  <w:footnote w:id="16869">
    <w:p>
      <w:pPr>
        <w:pStyle w:val="FootnoteText"/>
      </w:pPr>
      <w:r>
        <w:rPr>
          <w:rStyle w:val="FootnoteReference"/>
        </w:rPr>
        <w:footnoteRef/>
      </w:r>
      <w:r>
        <w:t xml:space="preserve"> Cross-references for "with the": Acts 2:4; Acts 4:31.</w:t>
      </w:r>
    </w:p>
  </w:footnote>
  <w:footnote w:id="16870">
    <w:p>
      <w:pPr>
        <w:pStyle w:val="FootnoteText"/>
      </w:pPr>
      <w:r>
        <w:rPr>
          <w:rStyle w:val="FootnoteReference"/>
        </w:rPr>
        <w:footnoteRef/>
      </w:r>
      <w:r>
        <w:t xml:space="preserve"> Cross-references for "went": Acts 9:20; Acts 13:46.</w:t>
      </w:r>
    </w:p>
  </w:footnote>
  <w:footnote w:id="16871">
    <w:p>
      <w:pPr>
        <w:pStyle w:val="FootnoteText"/>
      </w:pPr>
      <w:r>
        <w:rPr>
          <w:rStyle w:val="FootnoteReference"/>
        </w:rPr>
        <w:footnoteRef/>
      </w:r>
      <w:r>
        <w:t xml:space="preserve"> Cross-references for "therefore": Acts 18:9-11; Acts 19:10.</w:t>
      </w:r>
    </w:p>
  </w:footnote>
  <w:footnote w:id="16872">
    <w:p>
      <w:pPr>
        <w:pStyle w:val="FootnoteText"/>
      </w:pPr>
      <w:r>
        <w:rPr>
          <w:rStyle w:val="FootnoteReference"/>
        </w:rPr>
        <w:footnoteRef/>
      </w:r>
      <w:r>
        <w:t xml:space="preserve"> Cross-references for "the multitude": Mic 7:6; Matt 10:34-36.</w:t>
      </w:r>
    </w:p>
  </w:footnote>
  <w:footnote w:id="16873">
    <w:p>
      <w:pPr>
        <w:pStyle w:val="FootnoteText"/>
      </w:pPr>
      <w:r>
        <w:rPr>
          <w:rStyle w:val="FootnoteReference"/>
        </w:rPr>
        <w:footnoteRef/>
      </w:r>
      <w:r>
        <w:t xml:space="preserve"> Cross-references for "despitefully": Matt 5:44; Luke 6:28.</w:t>
      </w:r>
    </w:p>
  </w:footnote>
  <w:footnote w:id="16874">
    <w:p>
      <w:pPr>
        <w:pStyle w:val="FootnoteText"/>
      </w:pPr>
      <w:r>
        <w:rPr>
          <w:rStyle w:val="FootnoteReference"/>
        </w:rPr>
        <w:footnoteRef/>
      </w:r>
      <w:r>
        <w:t xml:space="preserve"> Cross-references for "and fled": Matt 10:23.</w:t>
      </w:r>
    </w:p>
  </w:footnote>
  <w:footnote w:id="16875">
    <w:p>
      <w:pPr>
        <w:pStyle w:val="FootnoteText"/>
      </w:pPr>
      <w:r>
        <w:rPr>
          <w:rStyle w:val="FootnoteReference"/>
        </w:rPr>
        <w:footnoteRef/>
      </w:r>
      <w:r>
        <w:t xml:space="preserve"> Place name: Lystra. Place-name meaning: Lystra — that dissolves or disperses. Source form: Lystra. Greek form: λυστραν.</w:t>
      </w:r>
    </w:p>
  </w:footnote>
  <w:footnote w:id="16876">
    <w:p>
      <w:pPr>
        <w:pStyle w:val="FootnoteText"/>
      </w:pPr>
      <w:r>
        <w:rPr>
          <w:rStyle w:val="FootnoteReference"/>
        </w:rPr>
        <w:footnoteRef/>
      </w:r>
      <w:r>
        <w:t xml:space="preserve"> Place name: Derbe. Place-name meaning: Derbe — a sting. Source form: Derbe. Greek form: δερβην.</w:t>
      </w:r>
    </w:p>
  </w:footnote>
  <w:footnote w:id="16877">
    <w:p>
      <w:pPr>
        <w:pStyle w:val="FootnoteText"/>
      </w:pPr>
      <w:r>
        <w:rPr>
          <w:rStyle w:val="FootnoteReference"/>
        </w:rPr>
        <w:footnoteRef/>
      </w:r>
      <w:r>
        <w:t xml:space="preserve"> Place name: Lycaonia. Place-name meaning: Lycaonia — she-wolf. Source form: Lycaonia. Greek form: λυκαονιας.</w:t>
      </w:r>
    </w:p>
  </w:footnote>
  <w:footnote w:id="16878">
    <w:p>
      <w:pPr>
        <w:pStyle w:val="FootnoteText"/>
      </w:pPr>
      <w:r>
        <w:rPr>
          <w:rStyle w:val="FootnoteReference"/>
        </w:rPr>
        <w:footnoteRef/>
      </w:r>
      <w:r>
        <w:t xml:space="preserve"> Cross-references for "he had": Matt 8:10; Matt 9:22.</w:t>
      </w:r>
    </w:p>
  </w:footnote>
  <w:footnote w:id="16879">
    <w:p>
      <w:pPr>
        <w:pStyle w:val="FootnoteText"/>
      </w:pPr>
      <w:r>
        <w:rPr>
          <w:rStyle w:val="FootnoteReference"/>
        </w:rPr>
        <w:footnoteRef/>
      </w:r>
      <w:r>
        <w:t xml:space="preserve"> Cross-references for "Stand": Isa 35:6; Luke 7:14.</w:t>
      </w:r>
    </w:p>
  </w:footnote>
  <w:footnote w:id="16880">
    <w:p>
      <w:pPr>
        <w:pStyle w:val="FootnoteText"/>
      </w:pPr>
      <w:r>
        <w:rPr>
          <w:rStyle w:val="FootnoteReference"/>
        </w:rPr>
        <w:footnoteRef/>
      </w:r>
      <w:r>
        <w:t xml:space="preserve"> Cross-references for "The gods": Acts 8:10; Acts 12:22.</w:t>
      </w:r>
    </w:p>
  </w:footnote>
  <w:footnote w:id="16881">
    <w:p>
      <w:pPr>
        <w:pStyle w:val="FootnoteText"/>
      </w:pPr>
      <w:r>
        <w:rPr>
          <w:rStyle w:val="FootnoteReference"/>
        </w:rPr>
        <w:footnoteRef/>
      </w:r>
      <w:r>
        <w:t xml:space="preserve"> Divine or supernatural name: Zeus. Divine/supernatural-name meaning: Zeus — Greek sky-god name. Source form: Zeus.</w:t>
      </w:r>
    </w:p>
  </w:footnote>
  <w:footnote w:id="16882">
    <w:p>
      <w:pPr>
        <w:pStyle w:val="FootnoteText"/>
      </w:pPr>
      <w:r>
        <w:rPr>
          <w:rStyle w:val="FootnoteReference"/>
        </w:rPr>
        <w:footnoteRef/>
      </w:r>
      <w:r>
        <w:t xml:space="preserve"> Divine or supernatural name: Hermes. Divine/supernatural-name meaning: Hermes — Mercury; gain; refuge. Source form: Hermes.</w:t>
      </w:r>
    </w:p>
  </w:footnote>
  <w:footnote w:id="16883">
    <w:p>
      <w:pPr>
        <w:pStyle w:val="FootnoteText"/>
      </w:pPr>
      <w:r>
        <w:rPr>
          <w:rStyle w:val="FootnoteReference"/>
        </w:rPr>
        <w:footnoteRef/>
      </w:r>
      <w:r>
        <w:t xml:space="preserve"> Cross-references for "the apostles": Acts 14:4; 1Cor 9:5-6.</w:t>
      </w:r>
    </w:p>
  </w:footnote>
  <w:footnote w:id="16884">
    <w:p>
      <w:pPr>
        <w:pStyle w:val="FootnoteText"/>
      </w:pPr>
      <w:r>
        <w:rPr>
          <w:rStyle w:val="FootnoteReference"/>
        </w:rPr>
        <w:footnoteRef/>
      </w:r>
      <w:r>
        <w:t xml:space="preserve"> Cross-references for "We also": Gen 41:16; Dan 2:28-30.</w:t>
      </w:r>
    </w:p>
  </w:footnote>
  <w:footnote w:id="16885">
    <w:p>
      <w:pPr>
        <w:pStyle w:val="FootnoteText"/>
      </w:pPr>
      <w:r>
        <w:rPr>
          <w:rStyle w:val="FootnoteReference"/>
        </w:rPr>
        <w:footnoteRef/>
      </w:r>
      <w:r>
        <w:t xml:space="preserve"> Cross-references for "filling": Deut 8:12-14; Neh 9:25.</w:t>
      </w:r>
    </w:p>
  </w:footnote>
  <w:footnote w:id="16886">
    <w:p>
      <w:pPr>
        <w:pStyle w:val="FootnoteText"/>
      </w:pPr>
      <w:r>
        <w:rPr>
          <w:rStyle w:val="FootnoteReference"/>
        </w:rPr>
        <w:footnoteRef/>
      </w:r>
      <w:r>
        <w:t xml:space="preserve"> Cross-references for "persuaded": Matt 27:20-25; Mark 15:11-14.</w:t>
      </w:r>
    </w:p>
  </w:footnote>
  <w:footnote w:id="16887">
    <w:p>
      <w:pPr>
        <w:pStyle w:val="FootnoteText"/>
      </w:pPr>
      <w:r>
        <w:rPr>
          <w:rStyle w:val="FootnoteReference"/>
        </w:rPr>
        <w:footnoteRef/>
      </w:r>
      <w:r>
        <w:t xml:space="preserve"> Cross-references for "Derbe": Acts 14:6; Acts 16:1.</w:t>
      </w:r>
    </w:p>
  </w:footnote>
  <w:footnote w:id="16888">
    <w:p>
      <w:pPr>
        <w:pStyle w:val="FootnoteText"/>
      </w:pPr>
      <w:r>
        <w:rPr>
          <w:rStyle w:val="FootnoteReference"/>
        </w:rPr>
        <w:footnoteRef/>
      </w:r>
      <w:r>
        <w:t xml:space="preserve"> Cross-references for "taught many": Matt 28:19.</w:t>
      </w:r>
    </w:p>
  </w:footnote>
  <w:footnote w:id="16889">
    <w:p>
      <w:pPr>
        <w:pStyle w:val="FootnoteText"/>
      </w:pPr>
      <w:r>
        <w:rPr>
          <w:rStyle w:val="FootnoteReference"/>
        </w:rPr>
        <w:footnoteRef/>
      </w:r>
      <w:r>
        <w:t xml:space="preserve"> Cross-references for "exhorting": John 8:31-32; John 15:4-6.</w:t>
      </w:r>
    </w:p>
  </w:footnote>
  <w:footnote w:id="16890">
    <w:p>
      <w:pPr>
        <w:pStyle w:val="FootnoteText"/>
      </w:pPr>
      <w:r>
        <w:rPr>
          <w:rStyle w:val="FootnoteReference"/>
        </w:rPr>
        <w:footnoteRef/>
      </w:r>
      <w:r>
        <w:t xml:space="preserve"> Cross-references for "they had": Mark 3:14; Acts 1:22.</w:t>
      </w:r>
    </w:p>
  </w:footnote>
  <w:footnote w:id="16891">
    <w:p>
      <w:pPr>
        <w:pStyle w:val="FootnoteText"/>
      </w:pPr>
      <w:r>
        <w:rPr>
          <w:rStyle w:val="FootnoteReference"/>
        </w:rPr>
        <w:footnoteRef/>
      </w:r>
      <w:r>
        <w:t xml:space="preserve"> Cross-references for "Pisidia": Acts 13:13-14; Acts 15:38.</w:t>
      </w:r>
    </w:p>
  </w:footnote>
  <w:footnote w:id="16892">
    <w:p>
      <w:pPr>
        <w:pStyle w:val="FootnoteText"/>
      </w:pPr>
      <w:r>
        <w:rPr>
          <w:rStyle w:val="FootnoteReference"/>
        </w:rPr>
        <w:footnoteRef/>
      </w:r>
      <w:r>
        <w:t xml:space="preserve"> Place name: Attalia. Place-name meaning: Attalia — that increases or sends. Source form: Attalia. Greek form: ατταλειαν.</w:t>
      </w:r>
    </w:p>
  </w:footnote>
  <w:footnote w:id="16893">
    <w:p>
      <w:pPr>
        <w:pStyle w:val="FootnoteText"/>
      </w:pPr>
      <w:r>
        <w:rPr>
          <w:rStyle w:val="FootnoteReference"/>
        </w:rPr>
        <w:footnoteRef/>
      </w:r>
      <w:r>
        <w:t xml:space="preserve"> Cross-references for "Attalia": Acts 14:25.</w:t>
      </w:r>
    </w:p>
  </w:footnote>
  <w:footnote w:id="16894">
    <w:p>
      <w:pPr>
        <w:pStyle w:val="FootnoteText"/>
      </w:pPr>
      <w:r>
        <w:rPr>
          <w:rStyle w:val="FootnoteReference"/>
        </w:rPr>
        <w:footnoteRef/>
      </w:r>
      <w:r>
        <w:t xml:space="preserve"> Cross-references for "to Antioch": Acts 11:19; Acts 11:26.</w:t>
      </w:r>
    </w:p>
  </w:footnote>
  <w:footnote w:id="16895">
    <w:p>
      <w:pPr>
        <w:pStyle w:val="FootnoteText"/>
      </w:pPr>
      <w:r>
        <w:rPr>
          <w:rStyle w:val="FootnoteReference"/>
        </w:rPr>
        <w:footnoteRef/>
      </w:r>
      <w:r>
        <w:t xml:space="preserve"> Cross-references for "and had": Acts 15:4-6; Acts 21:20-22.</w:t>
      </w:r>
    </w:p>
  </w:footnote>
  <w:footnote w:id="16896">
    <w:p>
      <w:pPr>
        <w:pStyle w:val="FootnoteText"/>
      </w:pPr>
      <w:r>
        <w:rPr>
          <w:rStyle w:val="FootnoteReference"/>
        </w:rPr>
        <w:footnoteRef/>
      </w:r>
      <w:r>
        <w:t xml:space="preserve"> Cross-references for "certain": Acts 21:20; Gal 2:4.</w:t>
      </w:r>
    </w:p>
  </w:footnote>
  <w:footnote w:id="16897">
    <w:p>
      <w:pPr>
        <w:pStyle w:val="FootnoteText"/>
      </w:pPr>
      <w:r>
        <w:rPr>
          <w:rStyle w:val="FootnoteReference"/>
        </w:rPr>
        <w:footnoteRef/>
      </w:r>
      <w:r>
        <w:t xml:space="preserve"> Cross-references for "Paul": Acts 15:7; Gal 1:6-10.</w:t>
      </w:r>
    </w:p>
  </w:footnote>
  <w:footnote w:id="16898">
    <w:p>
      <w:pPr>
        <w:pStyle w:val="FootnoteText"/>
      </w:pPr>
      <w:r>
        <w:rPr>
          <w:rStyle w:val="FootnoteReference"/>
        </w:rPr>
        <w:footnoteRef/>
      </w:r>
      <w:r>
        <w:t xml:space="preserve"> Cross-references for "brought": Acts 21:5; Acts 28:15.</w:t>
      </w:r>
    </w:p>
  </w:footnote>
  <w:footnote w:id="16899">
    <w:p>
      <w:pPr>
        <w:pStyle w:val="FootnoteText"/>
      </w:pPr>
      <w:r>
        <w:rPr>
          <w:rStyle w:val="FootnoteReference"/>
        </w:rPr>
        <w:footnoteRef/>
      </w:r>
      <w:r>
        <w:t xml:space="preserve"> Transliterated proper noun: Phenice. Standard English equivalent: Phenice. Source form: Phenice. Greek form: φοινικην. Name meaning: red; purple.</w:t>
      </w:r>
    </w:p>
  </w:footnote>
  <w:footnote w:id="16900">
    <w:p>
      <w:pPr>
        <w:pStyle w:val="FootnoteText"/>
      </w:pPr>
      <w:r>
        <w:rPr>
          <w:rStyle w:val="FootnoteReference"/>
        </w:rPr>
        <w:footnoteRef/>
      </w:r>
      <w:r>
        <w:t xml:space="preserve"> Cross-references for "received": Matt 10:40; Acts 18:27.</w:t>
      </w:r>
    </w:p>
  </w:footnote>
  <w:footnote w:id="16901">
    <w:p>
      <w:pPr>
        <w:pStyle w:val="FootnoteText"/>
      </w:pPr>
      <w:r>
        <w:rPr>
          <w:rStyle w:val="FootnoteReference"/>
        </w:rPr>
        <w:footnoteRef/>
      </w:r>
      <w:r>
        <w:t xml:space="preserve"> Cross-references for "certain": Acts 21:20; Acts 26:5-6.</w:t>
      </w:r>
    </w:p>
  </w:footnote>
  <w:footnote w:id="16902">
    <w:p>
      <w:pPr>
        <w:pStyle w:val="FootnoteText"/>
      </w:pPr>
      <w:r>
        <w:rPr>
          <w:rStyle w:val="FootnoteReference"/>
        </w:rPr>
        <w:footnoteRef/>
      </w:r>
      <w:r>
        <w:t xml:space="preserve"> Cross-references for "much": Acts 15:2; Acts 15:39.</w:t>
      </w:r>
    </w:p>
  </w:footnote>
  <w:footnote w:id="16903">
    <w:p>
      <w:pPr>
        <w:pStyle w:val="FootnoteText"/>
      </w:pPr>
      <w:r>
        <w:rPr>
          <w:rStyle w:val="FootnoteReference"/>
        </w:rPr>
        <w:footnoteRef/>
      </w:r>
      <w:r>
        <w:t xml:space="preserve"> Cross-references for "giving": Acts 2:4; Acts 4:31.</w:t>
      </w:r>
    </w:p>
  </w:footnote>
  <w:footnote w:id="16904">
    <w:p>
      <w:pPr>
        <w:pStyle w:val="FootnoteText"/>
      </w:pPr>
      <w:r>
        <w:rPr>
          <w:rStyle w:val="FootnoteReference"/>
        </w:rPr>
        <w:footnoteRef/>
      </w:r>
      <w:r>
        <w:t xml:space="preserve"> Cross-references for "purifying": Acts 10:15; Acts 10:28.</w:t>
      </w:r>
    </w:p>
  </w:footnote>
  <w:footnote w:id="16905">
    <w:p>
      <w:pPr>
        <w:pStyle w:val="FootnoteText"/>
      </w:pPr>
      <w:r>
        <w:rPr>
          <w:rStyle w:val="FootnoteReference"/>
        </w:rPr>
        <w:footnoteRef/>
      </w:r>
      <w:r>
        <w:t xml:space="preserve"> Cross-references for "declaring": Acts 14:27; Acts 15:4.</w:t>
      </w:r>
    </w:p>
  </w:footnote>
  <w:footnote w:id="16906">
    <w:p>
      <w:pPr>
        <w:pStyle w:val="FootnoteText"/>
      </w:pPr>
      <w:r>
        <w:rPr>
          <w:rStyle w:val="FootnoteReference"/>
        </w:rPr>
        <w:footnoteRef/>
      </w:r>
      <w:r>
        <w:t xml:space="preserve"> Cross-references for "James": Mark 15:40; Acts 12:17.</w:t>
      </w:r>
    </w:p>
  </w:footnote>
  <w:footnote w:id="16907">
    <w:p>
      <w:pPr>
        <w:pStyle w:val="FootnoteText"/>
      </w:pPr>
      <w:r>
        <w:rPr>
          <w:rStyle w:val="FootnoteReference"/>
        </w:rPr>
        <w:footnoteRef/>
      </w:r>
      <w:r>
        <w:t xml:space="preserve"> Cross-references for "Simeon": 2Pet 1:1.</w:t>
      </w:r>
    </w:p>
  </w:footnote>
  <w:footnote w:id="16908">
    <w:p>
      <w:pPr>
        <w:pStyle w:val="FootnoteText"/>
      </w:pPr>
      <w:r>
        <w:rPr>
          <w:rStyle w:val="FootnoteReference"/>
        </w:rPr>
        <w:footnoteRef/>
      </w:r>
      <w:r>
        <w:t xml:space="preserve"> Cross-references for "the residue": Gen 22:18; Gen 49:10.</w:t>
      </w:r>
    </w:p>
  </w:footnote>
  <w:footnote w:id="16909">
    <w:p>
      <w:pPr>
        <w:pStyle w:val="FootnoteText"/>
      </w:pPr>
      <w:r>
        <w:rPr>
          <w:rStyle w:val="FootnoteReference"/>
        </w:rPr>
        <w:footnoteRef/>
      </w:r>
      <w:r>
        <w:t xml:space="preserve"> Cross-references for "turned": Isa 55:7; Hos 14:2.</w:t>
      </w:r>
    </w:p>
  </w:footnote>
  <w:footnote w:id="16910">
    <w:p>
      <w:pPr>
        <w:pStyle w:val="FootnoteText"/>
      </w:pPr>
      <w:r>
        <w:rPr>
          <w:rStyle w:val="FootnoteReference"/>
        </w:rPr>
        <w:footnoteRef/>
      </w:r>
      <w:r>
        <w:t xml:space="preserve"> Cross-references for "from pollutions": Gen 35:2; Exod 20:3-5.</w:t>
      </w:r>
    </w:p>
  </w:footnote>
  <w:footnote w:id="16911">
    <w:p>
      <w:pPr>
        <w:pStyle w:val="FootnoteText"/>
      </w:pPr>
      <w:r>
        <w:rPr>
          <w:rStyle w:val="FootnoteReference"/>
        </w:rPr>
        <w:footnoteRef/>
      </w:r>
      <w:r>
        <w:t xml:space="preserve"> Cross-references for "Sabbath": Neh 8:1-12; Luke 4:16.</w:t>
      </w:r>
    </w:p>
  </w:footnote>
  <w:footnote w:id="16912">
    <w:p>
      <w:pPr>
        <w:pStyle w:val="FootnoteText"/>
      </w:pPr>
      <w:r>
        <w:rPr>
          <w:rStyle w:val="FootnoteReference"/>
        </w:rPr>
        <w:footnoteRef/>
      </w:r>
      <w:r>
        <w:t xml:space="preserve"> Cross-references for "pleased": 2Sam 3:36; 2Chr 30:4.</w:t>
      </w:r>
    </w:p>
  </w:footnote>
  <w:footnote w:id="16913">
    <w:p>
      <w:pPr>
        <w:pStyle w:val="FootnoteText"/>
      </w:pPr>
      <w:r>
        <w:rPr>
          <w:rStyle w:val="FootnoteReference"/>
        </w:rPr>
        <w:footnoteRef/>
      </w:r>
      <w:r>
        <w:t xml:space="preserve"> Name meaning: Silas (Silvanus) — Forest; wood. Steady companion who endured prison with Paul.</w:t>
      </w:r>
    </w:p>
  </w:footnote>
  <w:footnote w:id="16914">
    <w:p>
      <w:pPr>
        <w:pStyle w:val="FootnoteText"/>
      </w:pPr>
      <w:r>
        <w:rPr>
          <w:rStyle w:val="FootnoteReference"/>
        </w:rPr>
        <w:footnoteRef/>
      </w:r>
      <w:r>
        <w:t xml:space="preserve"> Cross-references for "The apostles": Acts 15:4; Acts 15:22.</w:t>
      </w:r>
    </w:p>
  </w:footnote>
  <w:footnote w:id="16915">
    <w:p>
      <w:pPr>
        <w:pStyle w:val="FootnoteText"/>
      </w:pPr>
      <w:r>
        <w:rPr>
          <w:rStyle w:val="FootnoteReference"/>
        </w:rPr>
        <w:footnoteRef/>
      </w:r>
      <w:r>
        <w:t xml:space="preserve"> Cross-references for "that certain": Jer 23:16; Gal 2:4.</w:t>
      </w:r>
    </w:p>
  </w:footnote>
  <w:footnote w:id="16916">
    <w:p>
      <w:pPr>
        <w:pStyle w:val="FootnoteText"/>
      </w:pPr>
      <w:r>
        <w:rPr>
          <w:rStyle w:val="FootnoteReference"/>
        </w:rPr>
        <w:footnoteRef/>
      </w:r>
      <w:r>
        <w:t xml:space="preserve"> Cross-references for "seemed": Matt 11:26; Luke 1:3.</w:t>
      </w:r>
    </w:p>
  </w:footnote>
  <w:footnote w:id="16917">
    <w:p>
      <w:pPr>
        <w:pStyle w:val="FootnoteText"/>
      </w:pPr>
      <w:r>
        <w:rPr>
          <w:rStyle w:val="FootnoteReference"/>
        </w:rPr>
        <w:footnoteRef/>
      </w:r>
      <w:r>
        <w:t xml:space="preserve"> Cross-references for "Judas": Acts 15:22.</w:t>
      </w:r>
    </w:p>
  </w:footnote>
  <w:footnote w:id="16918">
    <w:p>
      <w:pPr>
        <w:pStyle w:val="FootnoteText"/>
      </w:pPr>
      <w:r>
        <w:rPr>
          <w:rStyle w:val="FootnoteReference"/>
        </w:rPr>
        <w:footnoteRef/>
      </w:r>
      <w:r>
        <w:t xml:space="preserve"> Cross-references for "greater": Matt 11:30; Matt 23:4.</w:t>
      </w:r>
    </w:p>
  </w:footnote>
  <w:footnote w:id="16919">
    <w:p>
      <w:pPr>
        <w:pStyle w:val="FootnoteText"/>
      </w:pPr>
      <w:r>
        <w:rPr>
          <w:rStyle w:val="FootnoteReference"/>
        </w:rPr>
        <w:footnoteRef/>
      </w:r>
      <w:r>
        <w:t xml:space="preserve"> Cross-references for "Fare": Luke 9:61; Acts 18:21.</w:t>
      </w:r>
    </w:p>
  </w:footnote>
  <w:footnote w:id="16920">
    <w:p>
      <w:pPr>
        <w:pStyle w:val="FootnoteText"/>
      </w:pPr>
      <w:r>
        <w:rPr>
          <w:rStyle w:val="FootnoteReference"/>
        </w:rPr>
        <w:footnoteRef/>
      </w:r>
      <w:r>
        <w:t xml:space="preserve"> Cross-references for "delivered": Acts 16:4; Acts 23:33.</w:t>
      </w:r>
    </w:p>
  </w:footnote>
  <w:footnote w:id="16921">
    <w:p>
      <w:pPr>
        <w:pStyle w:val="FootnoteText"/>
      </w:pPr>
      <w:r>
        <w:rPr>
          <w:rStyle w:val="FootnoteReference"/>
        </w:rPr>
        <w:footnoteRef/>
      </w:r>
      <w:r>
        <w:t xml:space="preserve"> Cross-references for "they rejoiced": Acts 15:1; Acts 15:10.</w:t>
      </w:r>
    </w:p>
  </w:footnote>
  <w:footnote w:id="16922">
    <w:p>
      <w:pPr>
        <w:pStyle w:val="FootnoteText"/>
      </w:pPr>
      <w:r>
        <w:rPr>
          <w:rStyle w:val="FootnoteReference"/>
        </w:rPr>
        <w:footnoteRef/>
      </w:r>
      <w:r>
        <w:t xml:space="preserve"> Cross-references for "exhorted": Acts 2:40; Acts 11:23.</w:t>
      </w:r>
    </w:p>
  </w:footnote>
  <w:footnote w:id="16923">
    <w:p>
      <w:pPr>
        <w:pStyle w:val="FootnoteText"/>
      </w:pPr>
      <w:r>
        <w:rPr>
          <w:rStyle w:val="FootnoteReference"/>
        </w:rPr>
        <w:footnoteRef/>
      </w:r>
      <w:r>
        <w:t xml:space="preserve"> Cross-references for "they were": Gen 26:29; Exod 4:18.</w:t>
      </w:r>
    </w:p>
  </w:footnote>
  <w:footnote w:id="16924">
    <w:p>
      <w:pPr>
        <w:pStyle w:val="FootnoteText"/>
      </w:pPr>
      <w:r>
        <w:rPr>
          <w:rStyle w:val="FootnoteReference"/>
        </w:rPr>
        <w:footnoteRef/>
      </w:r>
      <w:r>
        <w:t xml:space="preserve"> Cross-references for "it pleased": Acts 11:25-26; Acts 18:27.</w:t>
      </w:r>
    </w:p>
  </w:footnote>
  <w:footnote w:id="16925">
    <w:p>
      <w:pPr>
        <w:pStyle w:val="FootnoteText"/>
      </w:pPr>
      <w:r>
        <w:rPr>
          <w:rStyle w:val="FootnoteReference"/>
        </w:rPr>
        <w:footnoteRef/>
      </w:r>
      <w:r>
        <w:t xml:space="preserve"> Cross-references for "continued": Acts 13:1; Acts 14:28.</w:t>
      </w:r>
    </w:p>
  </w:footnote>
  <w:footnote w:id="16926">
    <w:p>
      <w:pPr>
        <w:pStyle w:val="FootnoteText"/>
      </w:pPr>
      <w:r>
        <w:rPr>
          <w:rStyle w:val="FootnoteReference"/>
        </w:rPr>
        <w:footnoteRef/>
      </w:r>
      <w:r>
        <w:t xml:space="preserve"> Cross-references for "in every": Acts 13:4; Acts 13:13-14.</w:t>
      </w:r>
    </w:p>
  </w:footnote>
  <w:footnote w:id="16927">
    <w:p>
      <w:pPr>
        <w:pStyle w:val="FootnoteText"/>
      </w:pPr>
      <w:r>
        <w:rPr>
          <w:rStyle w:val="FootnoteReference"/>
        </w:rPr>
        <w:footnoteRef/>
      </w:r>
      <w:r>
        <w:t xml:space="preserve"> Cross-references for "John": Acts 12:12; Acts 12:25.</w:t>
      </w:r>
    </w:p>
  </w:footnote>
  <w:footnote w:id="16928">
    <w:p>
      <w:pPr>
        <w:pStyle w:val="FootnoteText"/>
      </w:pPr>
      <w:r>
        <w:rPr>
          <w:rStyle w:val="FootnoteReference"/>
        </w:rPr>
        <w:footnoteRef/>
      </w:r>
      <w:r>
        <w:t xml:space="preserve"> Cross-references for "and sailed": Acts 4:36; Acts 11:20.</w:t>
      </w:r>
    </w:p>
  </w:footnote>
  <w:footnote w:id="16929">
    <w:p>
      <w:pPr>
        <w:pStyle w:val="FootnoteText"/>
      </w:pPr>
      <w:r>
        <w:rPr>
          <w:rStyle w:val="FootnoteReference"/>
        </w:rPr>
        <w:footnoteRef/>
      </w:r>
      <w:r>
        <w:t xml:space="preserve"> Cross-references for "chose": Acts 15:22; Acts 15:32.</w:t>
      </w:r>
    </w:p>
  </w:footnote>
  <w:footnote w:id="16930">
    <w:p>
      <w:pPr>
        <w:pStyle w:val="FootnoteText"/>
      </w:pPr>
      <w:r>
        <w:rPr>
          <w:rStyle w:val="FootnoteReference"/>
        </w:rPr>
        <w:footnoteRef/>
      </w:r>
      <w:r>
        <w:t xml:space="preserve"> Cross-references for "confirming": Acts 15:32; Acts 16:4-5.</w:t>
      </w:r>
    </w:p>
  </w:footnote>
  <w:footnote w:id="16931">
    <w:p>
      <w:pPr>
        <w:pStyle w:val="FootnoteText"/>
      </w:pPr>
      <w:r>
        <w:rPr>
          <w:rStyle w:val="FootnoteReference"/>
        </w:rPr>
        <w:footnoteRef/>
      </w:r>
      <w:r>
        <w:t xml:space="preserve"> Cross-references for "to Derbe": Acts 14:6; Acts 14:21.</w:t>
      </w:r>
    </w:p>
  </w:footnote>
  <w:footnote w:id="16932">
    <w:p>
      <w:pPr>
        <w:pStyle w:val="FootnoteText"/>
      </w:pPr>
      <w:r>
        <w:rPr>
          <w:rStyle w:val="FootnoteReference"/>
        </w:rPr>
        <w:footnoteRef/>
      </w:r>
      <w:r>
        <w:t xml:space="preserve"> Name meaning: Timothy (Timotheos) — Honoring God. Paul’s faithful son in the faith.</w:t>
      </w:r>
    </w:p>
  </w:footnote>
  <w:footnote w:id="16933">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6934">
    <w:p>
      <w:pPr>
        <w:pStyle w:val="FootnoteText"/>
      </w:pPr>
      <w:r>
        <w:rPr>
          <w:rStyle w:val="FootnoteReference"/>
        </w:rPr>
        <w:footnoteRef/>
      </w:r>
      <w:r>
        <w:t xml:space="preserve"> Cross-references for "Iconium": Acts 14:21; 2Tim 3:11.</w:t>
      </w:r>
    </w:p>
  </w:footnote>
  <w:footnote w:id="16935">
    <w:p>
      <w:pPr>
        <w:pStyle w:val="FootnoteText"/>
      </w:pPr>
      <w:r>
        <w:rPr>
          <w:rStyle w:val="FootnoteReference"/>
        </w:rPr>
        <w:footnoteRef/>
      </w:r>
      <w:r>
        <w:t xml:space="preserve"> Cross-references for "and took": Acts 15:20; 1Cor 7:19.</w:t>
      </w:r>
    </w:p>
  </w:footnote>
  <w:footnote w:id="16936">
    <w:p>
      <w:pPr>
        <w:pStyle w:val="FootnoteText"/>
      </w:pPr>
      <w:r>
        <w:rPr>
          <w:rStyle w:val="FootnoteReference"/>
        </w:rPr>
        <w:footnoteRef/>
      </w:r>
      <w:r>
        <w:t xml:space="preserve"> Cross-references for "they delivered": Acts 15:6; Acts 15:28-29.</w:t>
      </w:r>
    </w:p>
  </w:footnote>
  <w:footnote w:id="16937">
    <w:p>
      <w:pPr>
        <w:pStyle w:val="FootnoteText"/>
      </w:pPr>
      <w:r>
        <w:rPr>
          <w:rStyle w:val="FootnoteReference"/>
        </w:rPr>
        <w:footnoteRef/>
      </w:r>
      <w:r>
        <w:t xml:space="preserve"> Cross-references for "increased": Acts 2:47; Acts 4:4.</w:t>
      </w:r>
    </w:p>
  </w:footnote>
  <w:footnote w:id="16938">
    <w:p>
      <w:pPr>
        <w:pStyle w:val="FootnoteText"/>
      </w:pPr>
      <w:r>
        <w:rPr>
          <w:rStyle w:val="FootnoteReference"/>
        </w:rPr>
        <w:footnoteRef/>
      </w:r>
      <w:r>
        <w:t xml:space="preserve"> Cross-references for "Phrygia": Acts 2:10; Acts 18:23.</w:t>
      </w:r>
    </w:p>
  </w:footnote>
  <w:footnote w:id="16939">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16940">
    <w:p>
      <w:pPr>
        <w:pStyle w:val="FootnoteText"/>
      </w:pPr>
      <w:r>
        <w:rPr>
          <w:rStyle w:val="FootnoteReference"/>
        </w:rPr>
        <w:footnoteRef/>
      </w:r>
      <w:r>
        <w:t xml:space="preserve"> Place name: Mysia. Place-name meaning: Mysia — criminal; abominable. Source form: Mysia. Greek form: μυσιαν.</w:t>
      </w:r>
    </w:p>
  </w:footnote>
  <w:footnote w:id="16941">
    <w:p>
      <w:pPr>
        <w:pStyle w:val="FootnoteText"/>
      </w:pPr>
      <w:r>
        <w:rPr>
          <w:rStyle w:val="FootnoteReference"/>
        </w:rPr>
        <w:footnoteRef/>
      </w:r>
      <w:r>
        <w:t xml:space="preserve"> Place name: Bithynia. Place-name meaning: Bithynia — violent precipitation. Source form: Bithynia. Greek form: βιθυνιαν.</w:t>
      </w:r>
    </w:p>
  </w:footnote>
  <w:footnote w:id="16942">
    <w:p>
      <w:pPr>
        <w:pStyle w:val="FootnoteText"/>
      </w:pPr>
      <w:r>
        <w:rPr>
          <w:rStyle w:val="FootnoteReference"/>
        </w:rPr>
        <w:footnoteRef/>
      </w:r>
      <w:r>
        <w:t xml:space="preserve"> Cross-references for "Bithynia": 1Pet 1:1.</w:t>
      </w:r>
    </w:p>
  </w:footnote>
  <w:footnote w:id="16943">
    <w:p>
      <w:pPr>
        <w:pStyle w:val="FootnoteText"/>
      </w:pPr>
      <w:r>
        <w:rPr>
          <w:rStyle w:val="FootnoteReference"/>
        </w:rPr>
        <w:footnoteRef/>
      </w:r>
      <w:r>
        <w:t xml:space="preserve"> Place name: Troas. Place-name meaning: Troas — penetrated. Source form: Troas. Greek form: τρωαδα.</w:t>
      </w:r>
    </w:p>
  </w:footnote>
  <w:footnote w:id="16944">
    <w:p>
      <w:pPr>
        <w:pStyle w:val="FootnoteText"/>
      </w:pPr>
      <w:r>
        <w:rPr>
          <w:rStyle w:val="FootnoteReference"/>
        </w:rPr>
        <w:footnoteRef/>
      </w:r>
      <w:r>
        <w:t xml:space="preserve"> Cross-references for "Troas": Acts 16:11; Acts 20:5.</w:t>
      </w:r>
    </w:p>
  </w:footnote>
  <w:footnote w:id="16945">
    <w:p>
      <w:pPr>
        <w:pStyle w:val="FootnoteText"/>
      </w:pPr>
      <w:r>
        <w:rPr>
          <w:rStyle w:val="FootnoteReference"/>
        </w:rPr>
        <w:footnoteRef/>
      </w:r>
      <w:r>
        <w:t xml:space="preserve"> Cross-references for "a vision": Acts 2:17-18; Acts 9:10-12.</w:t>
      </w:r>
    </w:p>
  </w:footnote>
  <w:footnote w:id="16946">
    <w:p>
      <w:pPr>
        <w:pStyle w:val="FootnoteText"/>
      </w:pPr>
      <w:r>
        <w:rPr>
          <w:rStyle w:val="FootnoteReference"/>
        </w:rPr>
        <w:footnoteRef/>
      </w:r>
      <w:r>
        <w:t xml:space="preserve"> Place name: Macedonia. Place-name meaning: Macedonia — burning; adoration. Source form: Macedonia. Greek form: μακεδονιαν.</w:t>
      </w:r>
    </w:p>
  </w:footnote>
  <w:footnote w:id="16947">
    <w:p>
      <w:pPr>
        <w:pStyle w:val="FootnoteText"/>
      </w:pPr>
      <w:r>
        <w:rPr>
          <w:rStyle w:val="FootnoteReference"/>
        </w:rPr>
        <w:footnoteRef/>
      </w:r>
      <w:r>
        <w:t xml:space="preserve"> Cross-references for "immediately": Ps 119:60; Prov 3:27-28.</w:t>
      </w:r>
    </w:p>
  </w:footnote>
  <w:footnote w:id="16948">
    <w:p>
      <w:pPr>
        <w:pStyle w:val="FootnoteText"/>
      </w:pPr>
      <w:r>
        <w:rPr>
          <w:rStyle w:val="FootnoteReference"/>
        </w:rPr>
        <w:footnoteRef/>
      </w:r>
      <w:r>
        <w:t xml:space="preserve"> Place name: Samothrace. Place-name meaning: Samothracia — an island possessed by the Samians and Thracians. Standard English equivalent: Samothracia. Source form: Samothrace. Greek form: σαμοθρακην.</w:t>
      </w:r>
    </w:p>
  </w:footnote>
  <w:footnote w:id="16949">
    <w:p>
      <w:pPr>
        <w:pStyle w:val="FootnoteText"/>
      </w:pPr>
      <w:r>
        <w:rPr>
          <w:rStyle w:val="FootnoteReference"/>
        </w:rPr>
        <w:footnoteRef/>
      </w:r>
      <w:r>
        <w:t xml:space="preserve"> Place name: Neapolis. Place-name meaning: Neapolis — the new city. Source form: Neapolis. Greek form: νεαπολιν.</w:t>
      </w:r>
    </w:p>
  </w:footnote>
  <w:footnote w:id="16950">
    <w:p>
      <w:pPr>
        <w:pStyle w:val="FootnoteText"/>
      </w:pPr>
      <w:r>
        <w:rPr>
          <w:rStyle w:val="FootnoteReference"/>
        </w:rPr>
        <w:footnoteRef/>
      </w:r>
      <w:r>
        <w:t xml:space="preserve"> Cross-references for "Philippi": Acts 20:6; Phil 1:1.</w:t>
      </w:r>
    </w:p>
  </w:footnote>
  <w:footnote w:id="16951">
    <w:p>
      <w:pPr>
        <w:pStyle w:val="FootnoteText"/>
      </w:pPr>
      <w:r>
        <w:rPr>
          <w:rStyle w:val="FootnoteReference"/>
        </w:rPr>
        <w:footnoteRef/>
      </w:r>
      <w:r>
        <w:t xml:space="preserve"> Cross-references for "and we": Matt 5:1-2; Matt 13:2.</w:t>
      </w:r>
    </w:p>
  </w:footnote>
  <w:footnote w:id="16952">
    <w:p>
      <w:pPr>
        <w:pStyle w:val="FootnoteText"/>
      </w:pPr>
      <w:r>
        <w:rPr>
          <w:rStyle w:val="FootnoteReference"/>
        </w:rPr>
        <w:footnoteRef/>
      </w:r>
      <w:r>
        <w:t xml:space="preserve"> Name meaning: Lydia (Lydia) — From Lydia. Dealer in purple; first European convert.</w:t>
      </w:r>
    </w:p>
  </w:footnote>
  <w:footnote w:id="16953">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16954">
    <w:p>
      <w:pPr>
        <w:pStyle w:val="FootnoteText"/>
      </w:pPr>
      <w:r>
        <w:rPr>
          <w:rStyle w:val="FootnoteReference"/>
        </w:rPr>
        <w:footnoteRef/>
      </w:r>
      <w:r>
        <w:t xml:space="preserve"> Cross-references for "Lydia": Acts 16:40.</w:t>
      </w:r>
    </w:p>
  </w:footnote>
  <w:footnote w:id="16955">
    <w:p>
      <w:pPr>
        <w:pStyle w:val="FootnoteText"/>
      </w:pPr>
      <w:r>
        <w:rPr>
          <w:rStyle w:val="FootnoteReference"/>
        </w:rPr>
        <w:footnoteRef/>
      </w:r>
      <w:r>
        <w:t xml:space="preserve"> Cross-references for "And she": Gen 19:3; Gen 33:11.</w:t>
      </w:r>
    </w:p>
  </w:footnote>
  <w:footnote w:id="16956">
    <w:p>
      <w:pPr>
        <w:pStyle w:val="FootnoteText"/>
      </w:pPr>
      <w:r>
        <w:rPr>
          <w:rStyle w:val="FootnoteReference"/>
        </w:rPr>
        <w:footnoteRef/>
      </w:r>
      <w:r>
        <w:t xml:space="preserve"> Cross-references for "possessed": Exod 7:11-12; Deut 13:1-3.</w:t>
      </w:r>
    </w:p>
  </w:footnote>
  <w:footnote w:id="16957">
    <w:p>
      <w:pPr>
        <w:pStyle w:val="FootnoteText"/>
      </w:pPr>
      <w:r>
        <w:rPr>
          <w:rStyle w:val="FootnoteReference"/>
        </w:rPr>
        <w:footnoteRef/>
      </w:r>
      <w:r>
        <w:t xml:space="preserve"> Cross-references for "the most": Gen 14:18-22; Ps 57:2.</w:t>
      </w:r>
    </w:p>
  </w:footnote>
  <w:footnote w:id="16958">
    <w:p>
      <w:pPr>
        <w:pStyle w:val="FootnoteText"/>
      </w:pPr>
      <w:r>
        <w:rPr>
          <w:rStyle w:val="FootnoteReference"/>
        </w:rPr>
        <w:footnoteRef/>
      </w:r>
      <w:r>
        <w:t xml:space="preserve"> Cross-references for "I command": Mark 9:25-26; Mark 16:17.</w:t>
      </w:r>
    </w:p>
  </w:footnote>
  <w:footnote w:id="16959">
    <w:p>
      <w:pPr>
        <w:pStyle w:val="FootnoteText"/>
      </w:pPr>
      <w:r>
        <w:rPr>
          <w:rStyle w:val="FootnoteReference"/>
        </w:rPr>
        <w:footnoteRef/>
      </w:r>
      <w:r>
        <w:t xml:space="preserve"> Cross-references for "the hope": Acts 19:24-27; 1Tim 6:10.</w:t>
      </w:r>
    </w:p>
  </w:footnote>
  <w:footnote w:id="16960">
    <w:p>
      <w:pPr>
        <w:pStyle w:val="FootnoteText"/>
      </w:pPr>
      <w:r>
        <w:rPr>
          <w:rStyle w:val="FootnoteReference"/>
        </w:rPr>
        <w:footnoteRef/>
      </w:r>
      <w:r>
        <w:t xml:space="preserve"> Cross-references for "the magistrates": Matt 10:17; Matt 27:26.</w:t>
      </w:r>
    </w:p>
  </w:footnote>
  <w:footnote w:id="16961">
    <w:p>
      <w:pPr>
        <w:pStyle w:val="FootnoteText"/>
      </w:pPr>
      <w:r>
        <w:rPr>
          <w:rStyle w:val="FootnoteReference"/>
        </w:rPr>
        <w:footnoteRef/>
      </w:r>
      <w:r>
        <w:t xml:space="preserve"> Cross-references for "they cast": Luke 21:12; Acts 5:18.</w:t>
      </w:r>
    </w:p>
  </w:footnote>
  <w:footnote w:id="16962">
    <w:p>
      <w:pPr>
        <w:pStyle w:val="FootnoteText"/>
      </w:pPr>
      <w:r>
        <w:rPr>
          <w:rStyle w:val="FootnoteReference"/>
        </w:rPr>
        <w:footnoteRef/>
      </w:r>
      <w:r>
        <w:t xml:space="preserve"> Cross-references for "the inner": 1Kgs 22:27; Jer 37:15-16.</w:t>
      </w:r>
    </w:p>
  </w:footnote>
  <w:footnote w:id="16963">
    <w:p>
      <w:pPr>
        <w:pStyle w:val="FootnoteText"/>
      </w:pPr>
      <w:r>
        <w:rPr>
          <w:rStyle w:val="FootnoteReference"/>
        </w:rPr>
        <w:footnoteRef/>
      </w:r>
      <w:r>
        <w:t xml:space="preserve"> Cross-references for "at midnight": Job 35:10; Ps 22:2.</w:t>
      </w:r>
    </w:p>
  </w:footnote>
  <w:footnote w:id="16964">
    <w:p>
      <w:pPr>
        <w:pStyle w:val="FootnoteText"/>
      </w:pPr>
      <w:r>
        <w:rPr>
          <w:rStyle w:val="FootnoteReference"/>
        </w:rPr>
        <w:footnoteRef/>
      </w:r>
      <w:r>
        <w:t xml:space="preserve"> Cross-references for "suddenly": Matt 28:2; Acts 4:31.</w:t>
      </w:r>
    </w:p>
  </w:footnote>
  <w:footnote w:id="16965">
    <w:p>
      <w:pPr>
        <w:pStyle w:val="FootnoteText"/>
      </w:pPr>
      <w:r>
        <w:rPr>
          <w:rStyle w:val="FootnoteReference"/>
        </w:rPr>
        <w:footnoteRef/>
      </w:r>
      <w:r>
        <w:t xml:space="preserve"> Cross-references for "the keeper": Acts 16:23-24.</w:t>
      </w:r>
    </w:p>
  </w:footnote>
  <w:footnote w:id="16966">
    <w:p>
      <w:pPr>
        <w:pStyle w:val="FootnoteText"/>
      </w:pPr>
      <w:r>
        <w:rPr>
          <w:rStyle w:val="FootnoteReference"/>
        </w:rPr>
        <w:footnoteRef/>
      </w:r>
      <w:r>
        <w:t xml:space="preserve"> Cross-references for "cried": Lev 19:18; Ps 7:4.</w:t>
      </w:r>
    </w:p>
  </w:footnote>
  <w:footnote w:id="16967">
    <w:p>
      <w:pPr>
        <w:pStyle w:val="FootnoteText"/>
      </w:pPr>
      <w:r>
        <w:rPr>
          <w:rStyle w:val="FootnoteReference"/>
        </w:rPr>
        <w:footnoteRef/>
      </w:r>
      <w:r>
        <w:t xml:space="preserve"> Cross-references for "and came": Ps 99:1; Ps 119:120.</w:t>
      </w:r>
    </w:p>
  </w:footnote>
  <w:footnote w:id="16968">
    <w:p>
      <w:pPr>
        <w:pStyle w:val="FootnoteText"/>
      </w:pPr>
      <w:r>
        <w:rPr>
          <w:rStyle w:val="FootnoteReference"/>
        </w:rPr>
        <w:footnoteRef/>
      </w:r>
      <w:r>
        <w:t xml:space="preserve"> Cross-references for "brought": Job 34:32; Isa 1:16-17.</w:t>
      </w:r>
    </w:p>
  </w:footnote>
  <w:footnote w:id="16969">
    <w:p>
      <w:pPr>
        <w:pStyle w:val="FootnoteText"/>
      </w:pPr>
      <w:r>
        <w:rPr>
          <w:rStyle w:val="FootnoteReference"/>
        </w:rPr>
        <w:footnoteRef/>
      </w:r>
      <w:r>
        <w:t xml:space="preserve"> Cross-references for "Believe": Isa 45:22; Hab 2:4.</w:t>
      </w:r>
    </w:p>
  </w:footnote>
  <w:footnote w:id="16970">
    <w:p>
      <w:pPr>
        <w:pStyle w:val="FootnoteText"/>
      </w:pPr>
      <w:r>
        <w:rPr>
          <w:rStyle w:val="FootnoteReference"/>
        </w:rPr>
        <w:footnoteRef/>
      </w:r>
      <w:r>
        <w:t xml:space="preserve"> Cross-references for "to all": Rom 1:14; Rom 1:16.</w:t>
      </w:r>
    </w:p>
  </w:footnote>
  <w:footnote w:id="16971">
    <w:p>
      <w:pPr>
        <w:pStyle w:val="FootnoteText"/>
      </w:pPr>
      <w:r>
        <w:rPr>
          <w:rStyle w:val="FootnoteReference"/>
        </w:rPr>
        <w:footnoteRef/>
      </w:r>
      <w:r>
        <w:t xml:space="preserve"> Cross-references for "washed": Prov 16:7; Isa 11:6-9.</w:t>
      </w:r>
    </w:p>
  </w:footnote>
  <w:footnote w:id="16972">
    <w:p>
      <w:pPr>
        <w:pStyle w:val="FootnoteText"/>
      </w:pPr>
      <w:r>
        <w:rPr>
          <w:rStyle w:val="FootnoteReference"/>
        </w:rPr>
        <w:footnoteRef/>
      </w:r>
      <w:r>
        <w:t xml:space="preserve"> Cross-references for "and rejoiced": Isa 12:1-3; Isa 55:12.</w:t>
      </w:r>
    </w:p>
  </w:footnote>
  <w:footnote w:id="16973">
    <w:p>
      <w:pPr>
        <w:pStyle w:val="FootnoteText"/>
      </w:pPr>
      <w:r>
        <w:rPr>
          <w:rStyle w:val="FootnoteReference"/>
        </w:rPr>
        <w:footnoteRef/>
      </w:r>
      <w:r>
        <w:t xml:space="preserve"> Cross-references for "and go": Exod 4:18; Judg 18:6.</w:t>
      </w:r>
    </w:p>
  </w:footnote>
  <w:footnote w:id="16974">
    <w:p>
      <w:pPr>
        <w:pStyle w:val="FootnoteText"/>
      </w:pPr>
      <w:r>
        <w:rPr>
          <w:rStyle w:val="FootnoteReference"/>
        </w:rPr>
        <w:footnoteRef/>
      </w:r>
      <w:r>
        <w:t xml:space="preserve"> Cross-references for "They have": Ps 58:1-2; Ps 82:1-2.</w:t>
      </w:r>
    </w:p>
  </w:footnote>
  <w:footnote w:id="16975">
    <w:p>
      <w:pPr>
        <w:pStyle w:val="FootnoteText"/>
      </w:pPr>
      <w:r>
        <w:rPr>
          <w:rStyle w:val="FootnoteReference"/>
        </w:rPr>
        <w:footnoteRef/>
      </w:r>
      <w:r>
        <w:t xml:space="preserve"> Cross-references for "and brought": Dan 6:16; Dan 6:23.</w:t>
      </w:r>
    </w:p>
  </w:footnote>
  <w:footnote w:id="16976">
    <w:p>
      <w:pPr>
        <w:pStyle w:val="FootnoteText"/>
      </w:pPr>
      <w:r>
        <w:rPr>
          <w:rStyle w:val="FootnoteReference"/>
        </w:rPr>
        <w:footnoteRef/>
      </w:r>
      <w:r>
        <w:t xml:space="preserve"> Cross-references for "and entered": Acts 4:23; Acts 12:12-17.</w:t>
      </w:r>
    </w:p>
  </w:footnote>
  <w:footnote w:id="16977">
    <w:p>
      <w:pPr>
        <w:pStyle w:val="FootnoteText"/>
      </w:pPr>
      <w:r>
        <w:rPr>
          <w:rStyle w:val="FootnoteReference"/>
        </w:rPr>
        <w:footnoteRef/>
      </w:r>
      <w:r>
        <w:t xml:space="preserve"> Place name: Amphipolis. Place-name meaning: Amphipolis — around the city. Source form: Amphipolis. Greek form: αμφιπολιν.</w:t>
      </w:r>
    </w:p>
  </w:footnote>
  <w:footnote w:id="16978">
    <w:p>
      <w:pPr>
        <w:pStyle w:val="FootnoteText"/>
      </w:pPr>
      <w:r>
        <w:rPr>
          <w:rStyle w:val="FootnoteReference"/>
        </w:rPr>
        <w:footnoteRef/>
      </w:r>
      <w:r>
        <w:t xml:space="preserve"> Place name: Apollonia. Place-name meaning: Apollonia — perdition, destruction. Source form: Apollonia. Greek form: απολλωνιαν.</w:t>
      </w:r>
    </w:p>
  </w:footnote>
  <w:footnote w:id="16979">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6980">
    <w:p>
      <w:pPr>
        <w:pStyle w:val="FootnoteText"/>
      </w:pPr>
      <w:r>
        <w:rPr>
          <w:rStyle w:val="FootnoteReference"/>
        </w:rPr>
        <w:footnoteRef/>
      </w:r>
      <w:r>
        <w:t xml:space="preserve"> Cross-references for "Thessalonica": Acts 20:4; Acts 27:2.</w:t>
      </w:r>
    </w:p>
  </w:footnote>
  <w:footnote w:id="16981">
    <w:p>
      <w:pPr>
        <w:pStyle w:val="FootnoteText"/>
      </w:pPr>
      <w:r>
        <w:rPr>
          <w:rStyle w:val="FootnoteReference"/>
        </w:rPr>
        <w:footnoteRef/>
      </w:r>
      <w:r>
        <w:t xml:space="preserve"> Cross-references for "went": Acts 9:20; Acts 13:5.</w:t>
      </w:r>
    </w:p>
  </w:footnote>
  <w:footnote w:id="16982">
    <w:p>
      <w:pPr>
        <w:pStyle w:val="FootnoteText"/>
      </w:pPr>
      <w:r>
        <w:rPr>
          <w:rStyle w:val="FootnoteReference"/>
        </w:rPr>
        <w:footnoteRef/>
      </w:r>
      <w:r>
        <w:t xml:space="preserve"> Cross-references for "Christ": Luke 24:26-27; Luke 24:32.</w:t>
      </w:r>
    </w:p>
  </w:footnote>
  <w:footnote w:id="16983">
    <w:p>
      <w:pPr>
        <w:pStyle w:val="FootnoteText"/>
      </w:pPr>
      <w:r>
        <w:rPr>
          <w:rStyle w:val="FootnoteReference"/>
        </w:rPr>
        <w:footnoteRef/>
      </w:r>
      <w:r>
        <w:t xml:space="preserve"> Cross-references for "Silas": Acts 15:22; Acts 15:27.</w:t>
      </w:r>
    </w:p>
  </w:footnote>
  <w:footnote w:id="16984">
    <w:p>
      <w:pPr>
        <w:pStyle w:val="FootnoteText"/>
      </w:pPr>
      <w:r>
        <w:rPr>
          <w:rStyle w:val="FootnoteReference"/>
        </w:rPr>
        <w:footnoteRef/>
      </w:r>
      <w:r>
        <w:t xml:space="preserve"> Cross-references for "moved": Prov 14:30; Isa 26:11.</w:t>
      </w:r>
    </w:p>
  </w:footnote>
  <w:footnote w:id="16985">
    <w:p>
      <w:pPr>
        <w:pStyle w:val="FootnoteText"/>
      </w:pPr>
      <w:r>
        <w:rPr>
          <w:rStyle w:val="FootnoteReference"/>
        </w:rPr>
        <w:footnoteRef/>
      </w:r>
      <w:r>
        <w:t xml:space="preserve"> Name meaning: Jason (Iason) — Healer. Hosted Paul and faced riot.</w:t>
      </w:r>
    </w:p>
  </w:footnote>
  <w:footnote w:id="16986">
    <w:p>
      <w:pPr>
        <w:pStyle w:val="FootnoteText"/>
      </w:pPr>
      <w:r>
        <w:rPr>
          <w:rStyle w:val="FootnoteReference"/>
        </w:rPr>
        <w:footnoteRef/>
      </w:r>
      <w:r>
        <w:t xml:space="preserve"> Cross-references for "they drew": Acts 6:12-13; Acts 16:19-20.</w:t>
      </w:r>
    </w:p>
  </w:footnote>
  <w:footnote w:id="16987">
    <w:p>
      <w:pPr>
        <w:pStyle w:val="FootnoteText"/>
      </w:pPr>
      <w:r>
        <w:rPr>
          <w:rStyle w:val="FootnoteReference"/>
        </w:rPr>
        <w:footnoteRef/>
      </w:r>
      <w:r>
        <w:t xml:space="preserve"> Cross-references for "and these": Ezra 4:12-15; Dan 3:12.</w:t>
      </w:r>
    </w:p>
  </w:footnote>
  <w:footnote w:id="16988">
    <w:p>
      <w:pPr>
        <w:pStyle w:val="FootnoteText"/>
      </w:pPr>
      <w:r>
        <w:rPr>
          <w:rStyle w:val="FootnoteReference"/>
        </w:rPr>
        <w:footnoteRef/>
      </w:r>
      <w:r>
        <w:t xml:space="preserve"> Place name: Berea. Place-name meaning: Berea — heavy; weighty. Source form: Berea. Greek form: βεροιαν.</w:t>
      </w:r>
    </w:p>
  </w:footnote>
  <w:footnote w:id="16989">
    <w:p>
      <w:pPr>
        <w:pStyle w:val="FootnoteText"/>
      </w:pPr>
      <w:r>
        <w:rPr>
          <w:rStyle w:val="FootnoteReference"/>
        </w:rPr>
        <w:footnoteRef/>
      </w:r>
      <w:r>
        <w:t xml:space="preserve"> Cross-references for "Berea": Acts 17:13; Acts 20:4.</w:t>
      </w:r>
    </w:p>
  </w:footnote>
  <w:footnote w:id="16990">
    <w:p>
      <w:pPr>
        <w:pStyle w:val="FootnoteText"/>
      </w:pPr>
      <w:r>
        <w:rPr>
          <w:rStyle w:val="FootnoteReference"/>
        </w:rPr>
        <w:footnoteRef/>
      </w:r>
      <w:r>
        <w:t xml:space="preserve"> Cross-references for "more": Prov 1:5; Prov 9:9.</w:t>
      </w:r>
    </w:p>
  </w:footnote>
  <w:footnote w:id="16991">
    <w:p>
      <w:pPr>
        <w:pStyle w:val="FootnoteText"/>
      </w:pPr>
      <w:r>
        <w:rPr>
          <w:rStyle w:val="FootnoteReference"/>
        </w:rPr>
        <w:footnoteRef/>
      </w:r>
      <w:r>
        <w:t xml:space="preserve"> Cross-references for "the Jews": Matt 23:13; Acts 17:5.</w:t>
      </w:r>
    </w:p>
  </w:footnote>
  <w:footnote w:id="16992">
    <w:p>
      <w:pPr>
        <w:pStyle w:val="FootnoteText"/>
      </w:pPr>
      <w:r>
        <w:rPr>
          <w:rStyle w:val="FootnoteReference"/>
        </w:rPr>
        <w:footnoteRef/>
      </w:r>
      <w:r>
        <w:t xml:space="preserve"> Cross-references for "as it": Josh 2:16; Acts 20:3.</w:t>
      </w:r>
    </w:p>
  </w:footnote>
  <w:footnote w:id="16993">
    <w:p>
      <w:pPr>
        <w:pStyle w:val="FootnoteText"/>
      </w:pPr>
      <w:r>
        <w:rPr>
          <w:rStyle w:val="FootnoteReference"/>
        </w:rPr>
        <w:footnoteRef/>
      </w:r>
      <w:r>
        <w:t xml:space="preserve"> Place name: Athens. Place-name meaning: Athens — city of Athena. Source form: Athens. Greek form: αθηνων.</w:t>
      </w:r>
    </w:p>
  </w:footnote>
  <w:footnote w:id="16994">
    <w:p>
      <w:pPr>
        <w:pStyle w:val="FootnoteText"/>
      </w:pPr>
      <w:r>
        <w:rPr>
          <w:rStyle w:val="FootnoteReference"/>
        </w:rPr>
        <w:footnoteRef/>
      </w:r>
      <w:r>
        <w:t xml:space="preserve"> Cross-references for "Athens": Acts 18:1; 1Thess 3:1.</w:t>
      </w:r>
    </w:p>
  </w:footnote>
  <w:footnote w:id="16995">
    <w:p>
      <w:pPr>
        <w:pStyle w:val="FootnoteText"/>
      </w:pPr>
      <w:r>
        <w:rPr>
          <w:rStyle w:val="FootnoteReference"/>
        </w:rPr>
        <w:footnoteRef/>
      </w:r>
      <w:r>
        <w:t xml:space="preserve"> Cross-references for "his spirit": Exod 32:19-20; Num 25:6-11.</w:t>
      </w:r>
    </w:p>
  </w:footnote>
  <w:footnote w:id="16996">
    <w:p>
      <w:pPr>
        <w:pStyle w:val="FootnoteText"/>
      </w:pPr>
      <w:r>
        <w:rPr>
          <w:rStyle w:val="FootnoteReference"/>
        </w:rPr>
        <w:footnoteRef/>
      </w:r>
      <w:r>
        <w:t xml:space="preserve"> Cross-references for "devout": Acts 8:2; Acts 10:2.</w:t>
      </w:r>
    </w:p>
  </w:footnote>
  <w:footnote w:id="16997">
    <w:p>
      <w:pPr>
        <w:pStyle w:val="FootnoteText"/>
      </w:pPr>
      <w:r>
        <w:rPr>
          <w:rStyle w:val="FootnoteReference"/>
        </w:rPr>
        <w:footnoteRef/>
      </w:r>
      <w:r>
        <w:t xml:space="preserve"> Cross-references for "philosophers": Rom 1:22; 1Cor 1:20-21.</w:t>
      </w:r>
    </w:p>
  </w:footnote>
  <w:footnote w:id="16998">
    <w:p>
      <w:pPr>
        <w:pStyle w:val="FootnoteText"/>
      </w:pPr>
      <w:r>
        <w:rPr>
          <w:rStyle w:val="FootnoteReference"/>
        </w:rPr>
        <w:footnoteRef/>
      </w:r>
      <w:r>
        <w:t xml:space="preserve"> People-name: Epicureans. People-name meaning: Epicureans — follower of Epicurus, i.e., of one who gives assistance. Source form: Epicureans.</w:t>
      </w:r>
    </w:p>
  </w:footnote>
  <w:footnote w:id="16999">
    <w:p>
      <w:pPr>
        <w:pStyle w:val="FootnoteText"/>
      </w:pPr>
      <w:r>
        <w:rPr>
          <w:rStyle w:val="FootnoteReference"/>
        </w:rPr>
        <w:footnoteRef/>
      </w:r>
      <w:r>
        <w:t xml:space="preserve"> People-name: Stoics. People-name meaning: Stoics — followers of the Stoa; porch-school philosophers. Source form: Stoics.</w:t>
      </w:r>
    </w:p>
  </w:footnote>
  <w:footnote w:id="17000">
    <w:p>
      <w:pPr>
        <w:pStyle w:val="FootnoteText"/>
      </w:pPr>
      <w:r>
        <w:rPr>
          <w:rStyle w:val="FootnoteReference"/>
        </w:rPr>
        <w:footnoteRef/>
      </w:r>
      <w:r>
        <w:t xml:space="preserve"> Place name: Areopagus. Place-name meaning: Areopagus — the hill of Mars. Source form: Areopagus. Greek form: αρειον.</w:t>
      </w:r>
    </w:p>
  </w:footnote>
  <w:footnote w:id="17001">
    <w:p>
      <w:pPr>
        <w:pStyle w:val="FootnoteText"/>
      </w:pPr>
      <w:r>
        <w:rPr>
          <w:rStyle w:val="FootnoteReference"/>
        </w:rPr>
        <w:footnoteRef/>
      </w:r>
      <w:r>
        <w:t xml:space="preserve"> Cross-references for "Areopagus": Acts 17:22.</w:t>
      </w:r>
    </w:p>
  </w:footnote>
  <w:footnote w:id="17002">
    <w:p>
      <w:pPr>
        <w:pStyle w:val="FootnoteText"/>
      </w:pPr>
      <w:r>
        <w:rPr>
          <w:rStyle w:val="FootnoteReference"/>
        </w:rPr>
        <w:footnoteRef/>
      </w:r>
      <w:r>
        <w:t xml:space="preserve"> Cross-references for "strange": Hos 8:12; Matt 19:23-25.</w:t>
      </w:r>
    </w:p>
  </w:footnote>
  <w:footnote w:id="17003">
    <w:p>
      <w:pPr>
        <w:pStyle w:val="FootnoteText"/>
      </w:pPr>
      <w:r>
        <w:rPr>
          <w:rStyle w:val="FootnoteReference"/>
        </w:rPr>
        <w:footnoteRef/>
      </w:r>
      <w:r>
        <w:t xml:space="preserve"> People-name: Athenians. People-name meaning: Athenians — people of Athens; city of Athena. Source form: Athenians.</w:t>
      </w:r>
    </w:p>
  </w:footnote>
  <w:footnote w:id="17004">
    <w:p>
      <w:pPr>
        <w:pStyle w:val="FootnoteText"/>
      </w:pPr>
      <w:r>
        <w:rPr>
          <w:rStyle w:val="FootnoteReference"/>
        </w:rPr>
        <w:footnoteRef/>
      </w:r>
      <w:r>
        <w:t xml:space="preserve"> Cross-references for "spent": Eph 5:16; Col 4:5.</w:t>
      </w:r>
    </w:p>
  </w:footnote>
  <w:footnote w:id="17005">
    <w:p>
      <w:pPr>
        <w:pStyle w:val="FootnoteText"/>
      </w:pPr>
      <w:r>
        <w:rPr>
          <w:rStyle w:val="FootnoteReference"/>
        </w:rPr>
        <w:footnoteRef/>
      </w:r>
      <w:r>
        <w:t xml:space="preserve"> Cross-references for "I perceive": Jer 10:2-3; Jer 50:38.</w:t>
      </w:r>
    </w:p>
  </w:footnote>
  <w:footnote w:id="1700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007">
    <w:p>
      <w:pPr>
        <w:pStyle w:val="FootnoteText"/>
      </w:pPr>
      <w:r>
        <w:rPr>
          <w:rStyle w:val="FootnoteReference"/>
        </w:rPr>
        <w:footnoteRef/>
      </w:r>
      <w:r>
        <w:t xml:space="preserve"> Cross-references for "that made": Ps 146:5; Isa 40:12.</w:t>
      </w:r>
    </w:p>
  </w:footnote>
  <w:footnote w:id="17008">
    <w:p>
      <w:pPr>
        <w:pStyle w:val="FootnoteText"/>
      </w:pPr>
      <w:r>
        <w:rPr>
          <w:rStyle w:val="FootnoteReference"/>
        </w:rPr>
        <w:footnoteRef/>
      </w:r>
      <w:r>
        <w:t xml:space="preserve"> Cross-references for "seeing": Gen 2:7; Num 16:22.</w:t>
      </w:r>
    </w:p>
  </w:footnote>
  <w:footnote w:id="17009">
    <w:p>
      <w:pPr>
        <w:pStyle w:val="FootnoteText"/>
      </w:pPr>
      <w:r>
        <w:rPr>
          <w:rStyle w:val="FootnoteReference"/>
        </w:rPr>
        <w:footnoteRef/>
      </w:r>
      <w:r>
        <w:t xml:space="preserve"> Cross-references for "in him": 1Sam 25:29; Job 12:10.</w:t>
      </w:r>
    </w:p>
  </w:footnote>
  <w:footnote w:id="17010">
    <w:p>
      <w:pPr>
        <w:pStyle w:val="FootnoteText"/>
      </w:pPr>
      <w:r>
        <w:rPr>
          <w:rStyle w:val="FootnoteReference"/>
        </w:rPr>
        <w:footnoteRef/>
      </w:r>
      <w:r>
        <w:t xml:space="preserve"> Cross-references for "we ought": Ps 94:7-9; Ps 106:20.</w:t>
      </w:r>
    </w:p>
  </w:footnote>
  <w:footnote w:id="17011">
    <w:p>
      <w:pPr>
        <w:pStyle w:val="FootnoteText"/>
      </w:pPr>
      <w:r>
        <w:rPr>
          <w:rStyle w:val="FootnoteReference"/>
        </w:rPr>
        <w:footnoteRef/>
      </w:r>
      <w:r>
        <w:t xml:space="preserve"> Cross-references for "the times": Ps 50:21; Acts 14:16.</w:t>
      </w:r>
    </w:p>
  </w:footnote>
  <w:footnote w:id="17012">
    <w:p>
      <w:pPr>
        <w:pStyle w:val="FootnoteText"/>
      </w:pPr>
      <w:r>
        <w:rPr>
          <w:rStyle w:val="FootnoteReference"/>
        </w:rPr>
        <w:footnoteRef/>
      </w:r>
      <w:r>
        <w:t xml:space="preserve"> Cross-references for "in that": Luke 24:46-48; Acts 2:23-24.</w:t>
      </w:r>
    </w:p>
  </w:footnote>
  <w:footnote w:id="17013">
    <w:p>
      <w:pPr>
        <w:pStyle w:val="FootnoteText"/>
      </w:pPr>
      <w:r>
        <w:rPr>
          <w:rStyle w:val="FootnoteReference"/>
        </w:rPr>
        <w:footnoteRef/>
      </w:r>
      <w:r>
        <w:t xml:space="preserve"> Cross-references for "We will": Luke 14:18; Acts 24:25.</w:t>
      </w:r>
    </w:p>
  </w:footnote>
  <w:footnote w:id="17014">
    <w:p>
      <w:pPr>
        <w:pStyle w:val="FootnoteText"/>
      </w:pPr>
      <w:r>
        <w:rPr>
          <w:rStyle w:val="FootnoteReference"/>
        </w:rPr>
        <w:footnoteRef/>
      </w:r>
      <w:r>
        <w:t xml:space="preserve"> Cross-references for "certain": Isa 55:10-11; Matt 20:16.</w:t>
      </w:r>
    </w:p>
  </w:footnote>
  <w:footnote w:id="17015">
    <w:p>
      <w:pPr>
        <w:pStyle w:val="FootnoteText"/>
      </w:pPr>
      <w:r>
        <w:rPr>
          <w:rStyle w:val="FootnoteReference"/>
        </w:rPr>
        <w:footnoteRef/>
      </w:r>
      <w:r>
        <w:t xml:space="preserve"> Name meaning: Dionysius (Dionysios) — Of Dionysus. Areopagite who believed Paul’s message.</w:t>
      </w:r>
    </w:p>
  </w:footnote>
  <w:footnote w:id="17016">
    <w:p>
      <w:pPr>
        <w:pStyle w:val="FootnoteText"/>
      </w:pPr>
      <w:r>
        <w:rPr>
          <w:rStyle w:val="FootnoteReference"/>
        </w:rPr>
        <w:footnoteRef/>
      </w:r>
      <w:r>
        <w:t xml:space="preserve"> Name meaning: Damaris (Damaris) — Calf; gentle. Athenian woman who joined the believers.</w:t>
      </w:r>
    </w:p>
  </w:footnote>
  <w:footnote w:id="17017">
    <w:p>
      <w:pPr>
        <w:pStyle w:val="FootnoteText"/>
      </w:pPr>
      <w:r>
        <w:rPr>
          <w:rStyle w:val="FootnoteReference"/>
        </w:rPr>
        <w:footnoteRef/>
      </w:r>
      <w:r>
        <w:t xml:space="preserve"> Cross-references for "departed": Acts 17:32-33.</w:t>
      </w:r>
    </w:p>
  </w:footnote>
  <w:footnote w:id="17018">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7019">
    <w:p>
      <w:pPr>
        <w:pStyle w:val="FootnoteText"/>
      </w:pPr>
      <w:r>
        <w:rPr>
          <w:rStyle w:val="FootnoteReference"/>
        </w:rPr>
        <w:footnoteRef/>
      </w:r>
      <w:r>
        <w:t xml:space="preserve"> Name meaning: Aquila (Aquila) — Eagle. Strong teacher alongside Priscilla.</w:t>
      </w:r>
    </w:p>
  </w:footnote>
  <w:footnote w:id="17020">
    <w:p>
      <w:pPr>
        <w:pStyle w:val="FootnoteText"/>
      </w:pPr>
      <w:r>
        <w:rPr>
          <w:rStyle w:val="FootnoteReference"/>
        </w:rPr>
        <w:footnoteRef/>
      </w:r>
      <w:r>
        <w:t xml:space="preserve"> Place name: Italy. Place-name meaning: Italy — abounding with calves or heifers. Source form: Italy. Greek form: ιταλιας.</w:t>
      </w:r>
    </w:p>
  </w:footnote>
  <w:footnote w:id="17021">
    <w:p>
      <w:pPr>
        <w:pStyle w:val="FootnoteText"/>
      </w:pPr>
      <w:r>
        <w:rPr>
          <w:rStyle w:val="FootnoteReference"/>
        </w:rPr>
        <w:footnoteRef/>
      </w:r>
      <w:r>
        <w:t xml:space="preserve"> Name meaning: Priscilla (Priscilla) — Ancient; venerable. Venerable teacher alongside her husband.</w:t>
      </w:r>
    </w:p>
  </w:footnote>
  <w:footnote w:id="17022">
    <w:p>
      <w:pPr>
        <w:pStyle w:val="FootnoteText"/>
      </w:pPr>
      <w:r>
        <w:rPr>
          <w:rStyle w:val="FootnoteReference"/>
        </w:rPr>
        <w:footnoteRef/>
      </w:r>
      <w:r>
        <w:t xml:space="preserve"> Cross-references for "Aquila": Acts 18:26; Rom 16:3-4.</w:t>
      </w:r>
    </w:p>
  </w:footnote>
  <w:footnote w:id="17023">
    <w:p>
      <w:pPr>
        <w:pStyle w:val="FootnoteText"/>
      </w:pPr>
      <w:r>
        <w:rPr>
          <w:rStyle w:val="FootnoteReference"/>
        </w:rPr>
        <w:footnoteRef/>
      </w:r>
      <w:r>
        <w:t xml:space="preserve"> Cross-references for "persuaded": Gen 9:27; 2Chr 32:11.</w:t>
      </w:r>
    </w:p>
  </w:footnote>
  <w:footnote w:id="17024">
    <w:p>
      <w:pPr>
        <w:pStyle w:val="FootnoteText"/>
      </w:pPr>
      <w:r>
        <w:rPr>
          <w:rStyle w:val="FootnoteReference"/>
        </w:rPr>
        <w:footnoteRef/>
      </w:r>
      <w:r>
        <w:t xml:space="preserve"> Cross-references for "Silas": Acts 17:14-15; 1Thess 3:2.</w:t>
      </w:r>
    </w:p>
  </w:footnote>
  <w:footnote w:id="17025">
    <w:p>
      <w:pPr>
        <w:pStyle w:val="FootnoteText"/>
      </w:pPr>
      <w:r>
        <w:rPr>
          <w:rStyle w:val="FootnoteReference"/>
        </w:rPr>
        <w:footnoteRef/>
      </w:r>
      <w:r>
        <w:t xml:space="preserve"> Cross-references for "he shook": Neh 5:13; Matt 10:14.</w:t>
      </w:r>
    </w:p>
  </w:footnote>
  <w:footnote w:id="17026">
    <w:p>
      <w:pPr>
        <w:pStyle w:val="FootnoteText"/>
      </w:pPr>
      <w:r>
        <w:rPr>
          <w:rStyle w:val="FootnoteReference"/>
        </w:rPr>
        <w:footnoteRef/>
      </w:r>
      <w:r>
        <w:t xml:space="preserve"> Cross-references for "Justus": Col 4:11.</w:t>
      </w:r>
    </w:p>
  </w:footnote>
  <w:footnote w:id="17027">
    <w:p>
      <w:pPr>
        <w:pStyle w:val="FootnoteText"/>
      </w:pPr>
      <w:r>
        <w:rPr>
          <w:rStyle w:val="FootnoteReference"/>
        </w:rPr>
        <w:footnoteRef/>
      </w:r>
      <w:r>
        <w:t xml:space="preserve"> Name meaning: Crispus (Crispus) — Curly-haired. Synagogue ruler baptized by Paul.</w:t>
      </w:r>
    </w:p>
  </w:footnote>
  <w:footnote w:id="17028">
    <w:p>
      <w:pPr>
        <w:pStyle w:val="FootnoteText"/>
      </w:pPr>
      <w:r>
        <w:rPr>
          <w:rStyle w:val="FootnoteReference"/>
        </w:rPr>
        <w:footnoteRef/>
      </w:r>
      <w:r>
        <w:t xml:space="preserve"> People-name: Corinthians. People-name meaning: Corinthians — which is satisfied; ornament; beauty. Source form: Corinthians.</w:t>
      </w:r>
    </w:p>
  </w:footnote>
  <w:footnote w:id="17029">
    <w:p>
      <w:pPr>
        <w:pStyle w:val="FootnoteText"/>
      </w:pPr>
      <w:r>
        <w:rPr>
          <w:rStyle w:val="FootnoteReference"/>
        </w:rPr>
        <w:footnoteRef/>
      </w:r>
      <w:r>
        <w:t xml:space="preserve"> Cross-references for "Crispus": 1Cor 1:14.</w:t>
      </w:r>
    </w:p>
  </w:footnote>
  <w:footnote w:id="17030">
    <w:p>
      <w:pPr>
        <w:pStyle w:val="FootnoteText"/>
      </w:pPr>
      <w:r>
        <w:rPr>
          <w:rStyle w:val="FootnoteReference"/>
        </w:rPr>
        <w:footnoteRef/>
      </w:r>
      <w:r>
        <w:t xml:space="preserve"> Cross-references for "and no": Isa 54:17; Jer 15:20-21.</w:t>
      </w:r>
    </w:p>
  </w:footnote>
  <w:footnote w:id="17031">
    <w:p>
      <w:pPr>
        <w:pStyle w:val="FootnoteText"/>
      </w:pPr>
      <w:r>
        <w:rPr>
          <w:rStyle w:val="FootnoteReference"/>
        </w:rPr>
        <w:footnoteRef/>
      </w:r>
      <w:r>
        <w:t xml:space="preserve"> Name meaning: Gallio (Gallio) — Gentle; calm. Dismissed charges against Paul.</w:t>
      </w:r>
    </w:p>
  </w:footnote>
  <w:footnote w:id="17032">
    <w:p>
      <w:pPr>
        <w:pStyle w:val="FootnoteText"/>
      </w:pPr>
      <w:r>
        <w:rPr>
          <w:rStyle w:val="FootnoteReference"/>
        </w:rPr>
        <w:footnoteRef/>
      </w:r>
      <w:r>
        <w:t xml:space="preserve"> Place name: Achaia. Place-name meaning: Achaia — grief; trouble. Source form: Achaia. Greek form: αχαιας.</w:t>
      </w:r>
    </w:p>
  </w:footnote>
  <w:footnote w:id="17033">
    <w:p>
      <w:pPr>
        <w:pStyle w:val="FootnoteText"/>
      </w:pPr>
      <w:r>
        <w:rPr>
          <w:rStyle w:val="FootnoteReference"/>
        </w:rPr>
        <w:footnoteRef/>
      </w:r>
      <w:r>
        <w:t xml:space="preserve"> Cross-references for "Achaia": Acts 18:27; Rom 15:26.</w:t>
      </w:r>
    </w:p>
  </w:footnote>
  <w:footnote w:id="17034">
    <w:p>
      <w:pPr>
        <w:pStyle w:val="FootnoteText"/>
      </w:pPr>
      <w:r>
        <w:rPr>
          <w:rStyle w:val="FootnoteReference"/>
        </w:rPr>
        <w:footnoteRef/>
      </w:r>
      <w:r>
        <w:t xml:space="preserve"> Cross-references for "bear": Mark 9:19; Acts 13:18.</w:t>
      </w:r>
    </w:p>
  </w:footnote>
  <w:footnote w:id="17035">
    <w:p>
      <w:pPr>
        <w:pStyle w:val="FootnoteText"/>
      </w:pPr>
      <w:r>
        <w:rPr>
          <w:rStyle w:val="FootnoteReference"/>
        </w:rPr>
        <w:footnoteRef/>
      </w:r>
      <w:r>
        <w:t xml:space="preserve"> Cross-references for "a question": Acts 23:29; Acts 25:11.</w:t>
      </w:r>
    </w:p>
  </w:footnote>
  <w:footnote w:id="17036">
    <w:p>
      <w:pPr>
        <w:pStyle w:val="FootnoteText"/>
      </w:pPr>
      <w:r>
        <w:rPr>
          <w:rStyle w:val="FootnoteReference"/>
        </w:rPr>
        <w:footnoteRef/>
      </w:r>
      <w:r>
        <w:t xml:space="preserve"> Name meaning: Sosthenes (Sosthenes) — Safe in strength. Associated with Corinth and with Paul.</w:t>
      </w:r>
    </w:p>
  </w:footnote>
  <w:footnote w:id="17037">
    <w:p>
      <w:pPr>
        <w:pStyle w:val="FootnoteText"/>
      </w:pPr>
      <w:r>
        <w:rPr>
          <w:rStyle w:val="FootnoteReference"/>
        </w:rPr>
        <w:footnoteRef/>
      </w:r>
      <w:r>
        <w:t xml:space="preserve"> Cross-references for "Sosthenes": 1Cor 1:1.</w:t>
      </w:r>
    </w:p>
  </w:footnote>
  <w:footnote w:id="17038">
    <w:p>
      <w:pPr>
        <w:pStyle w:val="FootnoteText"/>
      </w:pPr>
      <w:r>
        <w:rPr>
          <w:rStyle w:val="FootnoteReference"/>
        </w:rPr>
        <w:footnoteRef/>
      </w:r>
      <w:r>
        <w:t xml:space="preserve"> Cross-references for "Syria": Acts 15:23; Acts 15:41.</w:t>
      </w:r>
    </w:p>
  </w:footnote>
  <w:footnote w:id="17039">
    <w:p>
      <w:pPr>
        <w:pStyle w:val="FootnoteText"/>
      </w:pPr>
      <w:r>
        <w:rPr>
          <w:rStyle w:val="FootnoteReference"/>
        </w:rPr>
        <w:footnoteRef/>
      </w:r>
      <w:r>
        <w:t xml:space="preserve"> Place name: Cenchreae. Place-name meaning: Cenchrea — millet; small pulse. Standard English equivalent: Cenchrea. Source form: Cenchreae. Greek form: κεγχρεαις.</w:t>
      </w:r>
    </w:p>
  </w:footnote>
  <w:footnote w:id="17040">
    <w:p>
      <w:pPr>
        <w:pStyle w:val="FootnoteText"/>
      </w:pPr>
      <w:r>
        <w:rPr>
          <w:rStyle w:val="FootnoteReference"/>
        </w:rPr>
        <w:footnoteRef/>
      </w:r>
      <w:r>
        <w:t xml:space="preserve"> Place name: Ephesus. Place-name meaning: Ephesus — desirable. Source form: Ephesus. Greek form: εφεσον.</w:t>
      </w:r>
    </w:p>
  </w:footnote>
  <w:footnote w:id="17041">
    <w:p>
      <w:pPr>
        <w:pStyle w:val="FootnoteText"/>
      </w:pPr>
      <w:r>
        <w:rPr>
          <w:rStyle w:val="FootnoteReference"/>
        </w:rPr>
        <w:footnoteRef/>
      </w:r>
      <w:r>
        <w:t xml:space="preserve"> Cross-references for "Ephesus": Acts 18:24; Acts 19:1.</w:t>
      </w:r>
    </w:p>
  </w:footnote>
  <w:footnote w:id="17042">
    <w:p>
      <w:pPr>
        <w:pStyle w:val="FootnoteText"/>
      </w:pPr>
      <w:r>
        <w:rPr>
          <w:rStyle w:val="FootnoteReference"/>
        </w:rPr>
        <w:footnoteRef/>
      </w:r>
      <w:r>
        <w:t xml:space="preserve"> Cross-references for "I must": Deut 16:1; Acts 20:16.</w:t>
      </w:r>
    </w:p>
  </w:footnote>
  <w:footnote w:id="17043">
    <w:p>
      <w:pPr>
        <w:pStyle w:val="FootnoteText"/>
      </w:pPr>
      <w:r>
        <w:rPr>
          <w:rStyle w:val="FootnoteReference"/>
        </w:rPr>
        <w:footnoteRef/>
      </w:r>
      <w:r>
        <w:t xml:space="preserve"> Cross-references for "Caesarea": Acts 8:40; Acts 10:1.</w:t>
      </w:r>
    </w:p>
  </w:footnote>
  <w:footnote w:id="17044">
    <w:p>
      <w:pPr>
        <w:pStyle w:val="FootnoteText"/>
      </w:pPr>
      <w:r>
        <w:rPr>
          <w:rStyle w:val="FootnoteReference"/>
        </w:rPr>
        <w:footnoteRef/>
      </w:r>
      <w:r>
        <w:t xml:space="preserve"> Cross-references for "strengthening": Deut 3:28; Ezra 1:6.</w:t>
      </w:r>
    </w:p>
  </w:footnote>
  <w:footnote w:id="17045">
    <w:p>
      <w:pPr>
        <w:pStyle w:val="FootnoteText"/>
      </w:pPr>
      <w:r>
        <w:rPr>
          <w:rStyle w:val="FootnoteReference"/>
        </w:rPr>
        <w:footnoteRef/>
      </w:r>
      <w:r>
        <w:t xml:space="preserve"> Name meaning: Apollos (Apollos) — Destroyer; of Apollo. Mighty preacher whose eloquence was refined.</w:t>
      </w:r>
    </w:p>
  </w:footnote>
  <w:footnote w:id="17046">
    <w:p>
      <w:pPr>
        <w:pStyle w:val="FootnoteText"/>
      </w:pPr>
      <w:r>
        <w:rPr>
          <w:rStyle w:val="FootnoteReference"/>
        </w:rPr>
        <w:footnoteRef/>
      </w:r>
      <w:r>
        <w:t xml:space="preserve"> Place name: Alexandria. Place-name meaning: Alexandria — city of Alexander; defender/helper of men. Source form: Alexandria. Greek form: αλεξανδρευς.</w:t>
      </w:r>
    </w:p>
  </w:footnote>
  <w:footnote w:id="17047">
    <w:p>
      <w:pPr>
        <w:pStyle w:val="FootnoteText"/>
      </w:pPr>
      <w:r>
        <w:rPr>
          <w:rStyle w:val="FootnoteReference"/>
        </w:rPr>
        <w:footnoteRef/>
      </w:r>
      <w:r>
        <w:t xml:space="preserve"> Cross-references for "Apollos": Acts 19:1; 1Cor 1:12.</w:t>
      </w:r>
    </w:p>
  </w:footnote>
  <w:footnote w:id="17048">
    <w:p>
      <w:pPr>
        <w:pStyle w:val="FootnoteText"/>
      </w:pPr>
      <w:r>
        <w:rPr>
          <w:rStyle w:val="FootnoteReference"/>
        </w:rPr>
        <w:footnoteRef/>
      </w:r>
      <w:r>
        <w:t xml:space="preserve"> Cross-references for "instructed": Gen 18:19; Judg 2:22.</w:t>
      </w:r>
    </w:p>
  </w:footnote>
  <w:footnote w:id="17049">
    <w:p>
      <w:pPr>
        <w:pStyle w:val="FootnoteText"/>
      </w:pPr>
      <w:r>
        <w:rPr>
          <w:rStyle w:val="FootnoteReference"/>
        </w:rPr>
        <w:footnoteRef/>
      </w:r>
      <w:r>
        <w:t xml:space="preserve"> Cross-references for "to speak": Isa 58:1; Acts 14:3.</w:t>
      </w:r>
    </w:p>
  </w:footnote>
  <w:footnote w:id="17050">
    <w:p>
      <w:pPr>
        <w:pStyle w:val="FootnoteText"/>
      </w:pPr>
      <w:r>
        <w:rPr>
          <w:rStyle w:val="FootnoteReference"/>
        </w:rPr>
        <w:footnoteRef/>
      </w:r>
      <w:r>
        <w:t xml:space="preserve"> Cross-references for "exhorting": Col 4:10; 3John 1:8-10.</w:t>
      </w:r>
    </w:p>
  </w:footnote>
  <w:footnote w:id="17051">
    <w:p>
      <w:pPr>
        <w:pStyle w:val="FootnoteText"/>
      </w:pPr>
      <w:r>
        <w:rPr>
          <w:rStyle w:val="FootnoteReference"/>
        </w:rPr>
        <w:footnoteRef/>
      </w:r>
      <w:r>
        <w:t xml:space="preserve"> Cross-references for "showing": John 5:39.</w:t>
      </w:r>
    </w:p>
  </w:footnote>
  <w:footnote w:id="17052">
    <w:p>
      <w:pPr>
        <w:pStyle w:val="FootnoteText"/>
      </w:pPr>
      <w:r>
        <w:rPr>
          <w:rStyle w:val="FootnoteReference"/>
        </w:rPr>
        <w:footnoteRef/>
      </w:r>
      <w:r>
        <w:t xml:space="preserve"> Cross-references for "Paul": Acts 18:23.</w:t>
      </w:r>
    </w:p>
  </w:footnote>
  <w:footnote w:id="17053">
    <w:p>
      <w:pPr>
        <w:pStyle w:val="FootnoteText"/>
      </w:pPr>
      <w:r>
        <w:rPr>
          <w:rStyle w:val="FootnoteReference"/>
        </w:rPr>
        <w:footnoteRef/>
      </w:r>
      <w:r>
        <w:t xml:space="preserve"> Cross-references for "John": Matt 3:11-12; Matt 11:3-5.</w:t>
      </w:r>
    </w:p>
  </w:footnote>
  <w:footnote w:id="17054">
    <w:p>
      <w:pPr>
        <w:pStyle w:val="FootnoteText"/>
      </w:pPr>
      <w:r>
        <w:rPr>
          <w:rStyle w:val="FootnoteReference"/>
        </w:rPr>
        <w:footnoteRef/>
      </w:r>
      <w:r>
        <w:t xml:space="preserve"> Cross-references for "laid": Acts 6:6; Acts 8:17-19.</w:t>
      </w:r>
    </w:p>
  </w:footnote>
  <w:footnote w:id="17055">
    <w:p>
      <w:pPr>
        <w:pStyle w:val="FootnoteText"/>
      </w:pPr>
      <w:r>
        <w:rPr>
          <w:rStyle w:val="FootnoteReference"/>
        </w:rPr>
        <w:footnoteRef/>
      </w:r>
      <w:r>
        <w:t xml:space="preserve"> Cross-references for "went": Acts 13:14; Acts 13:46.</w:t>
      </w:r>
    </w:p>
  </w:footnote>
  <w:footnote w:id="17056">
    <w:p>
      <w:pPr>
        <w:pStyle w:val="FootnoteText"/>
      </w:pPr>
      <w:r>
        <w:rPr>
          <w:rStyle w:val="FootnoteReference"/>
        </w:rPr>
        <w:footnoteRef/>
      </w:r>
      <w:r>
        <w:t xml:space="preserve"> Cross-references for "he departed": Matt 15:14; Matt 16:4.</w:t>
      </w:r>
    </w:p>
  </w:footnote>
  <w:footnote w:id="17057">
    <w:p>
      <w:pPr>
        <w:pStyle w:val="FootnoteText"/>
      </w:pPr>
      <w:r>
        <w:rPr>
          <w:rStyle w:val="FootnoteReference"/>
        </w:rPr>
        <w:footnoteRef/>
      </w:r>
      <w:r>
        <w:t xml:space="preserve"> Personal name: Tyrannus. Personal-name meaning: Tyrannus — a prince; one that reigns. Source form: Tyrannus.</w:t>
      </w:r>
    </w:p>
  </w:footnote>
  <w:footnote w:id="17058">
    <w:p>
      <w:pPr>
        <w:pStyle w:val="FootnoteText"/>
      </w:pPr>
      <w:r>
        <w:rPr>
          <w:rStyle w:val="FootnoteReference"/>
        </w:rPr>
        <w:footnoteRef/>
      </w:r>
      <w:r>
        <w:t xml:space="preserve"> Cross-references for "Asia": Acts 16:6; 2Tim 1:15.</w:t>
      </w:r>
    </w:p>
  </w:footnote>
  <w:footnote w:id="17059">
    <w:p>
      <w:pPr>
        <w:pStyle w:val="FootnoteText"/>
      </w:pPr>
      <w:r>
        <w:rPr>
          <w:rStyle w:val="FootnoteReference"/>
        </w:rPr>
        <w:footnoteRef/>
      </w:r>
      <w:r>
        <w:t xml:space="preserve"> Cross-references for "vagabond": Gen 4:12; Gen 4:14.</w:t>
      </w:r>
    </w:p>
  </w:footnote>
  <w:footnote w:id="17060">
    <w:p>
      <w:pPr>
        <w:pStyle w:val="FootnoteText"/>
      </w:pPr>
      <w:r>
        <w:rPr>
          <w:rStyle w:val="FootnoteReference"/>
        </w:rPr>
        <w:footnoteRef/>
      </w:r>
      <w:r>
        <w:t xml:space="preserve"> Personal name: Sceva. Personal-name meaning: Sceva — disposed; prepared. Source form: Sceva.</w:t>
      </w:r>
    </w:p>
  </w:footnote>
  <w:footnote w:id="17061">
    <w:p>
      <w:pPr>
        <w:pStyle w:val="FootnoteText"/>
      </w:pPr>
      <w:r>
        <w:rPr>
          <w:rStyle w:val="FootnoteReference"/>
        </w:rPr>
        <w:footnoteRef/>
      </w:r>
      <w:r>
        <w:t xml:space="preserve"> Cross-references for "and fear": Lev 10:3; 1Sam 6:20.</w:t>
      </w:r>
    </w:p>
  </w:footnote>
  <w:footnote w:id="17062">
    <w:p>
      <w:pPr>
        <w:pStyle w:val="FootnoteText"/>
      </w:pPr>
      <w:r>
        <w:rPr>
          <w:rStyle w:val="FootnoteReference"/>
        </w:rPr>
        <w:footnoteRef/>
      </w:r>
      <w:r>
        <w:t xml:space="preserve"> Cross-references for "and burned": Gen 35:4; Exod 32:20.</w:t>
      </w:r>
    </w:p>
  </w:footnote>
  <w:footnote w:id="17063">
    <w:p>
      <w:pPr>
        <w:pStyle w:val="FootnoteText"/>
      </w:pPr>
      <w:r>
        <w:rPr>
          <w:rStyle w:val="FootnoteReference"/>
        </w:rPr>
        <w:footnoteRef/>
      </w:r>
      <w:r>
        <w:t xml:space="preserve"> Cross-references for "purposed": Lam 3:37; Acts 16:6-10.</w:t>
      </w:r>
    </w:p>
  </w:footnote>
  <w:footnote w:id="17064">
    <w:p>
      <w:pPr>
        <w:pStyle w:val="FootnoteText"/>
      </w:pPr>
      <w:r>
        <w:rPr>
          <w:rStyle w:val="FootnoteReference"/>
        </w:rPr>
        <w:footnoteRef/>
      </w:r>
      <w:r>
        <w:t xml:space="preserve"> Cross-references for "Macedonia": Acts 16:9-10; Acts 18:5.</w:t>
      </w:r>
    </w:p>
  </w:footnote>
  <w:footnote w:id="17065">
    <w:p>
      <w:pPr>
        <w:pStyle w:val="FootnoteText"/>
      </w:pPr>
      <w:r>
        <w:rPr>
          <w:rStyle w:val="FootnoteReference"/>
        </w:rPr>
        <w:footnoteRef/>
      </w:r>
      <w:r>
        <w:t xml:space="preserve"> Name meaning: Erastus (Erastos) — Beloved. Beloved city treasurer who served Paul.</w:t>
      </w:r>
    </w:p>
  </w:footnote>
  <w:footnote w:id="17066">
    <w:p>
      <w:pPr>
        <w:pStyle w:val="FootnoteText"/>
      </w:pPr>
      <w:r>
        <w:rPr>
          <w:rStyle w:val="FootnoteReference"/>
        </w:rPr>
        <w:footnoteRef/>
      </w:r>
      <w:r>
        <w:t xml:space="preserve"> Personal name: Demetrius. Personal-name meaning: Demetrius — belonging to corn, or to Ceres. Source form: Demetrius.</w:t>
      </w:r>
    </w:p>
  </w:footnote>
  <w:footnote w:id="17067">
    <w:p>
      <w:pPr>
        <w:pStyle w:val="FootnoteText"/>
      </w:pPr>
      <w:r>
        <w:rPr>
          <w:rStyle w:val="FootnoteReference"/>
        </w:rPr>
        <w:footnoteRef/>
      </w:r>
      <w:r>
        <w:t xml:space="preserve"> Divine or supernatural name: Artemis. Divine/supernatural-name meaning: Artemis — Greek goddess name; associated with safe/whole. Source form: Artemis.</w:t>
      </w:r>
    </w:p>
  </w:footnote>
  <w:footnote w:id="17068">
    <w:p>
      <w:pPr>
        <w:pStyle w:val="FootnoteText"/>
      </w:pPr>
      <w:r>
        <w:rPr>
          <w:rStyle w:val="FootnoteReference"/>
        </w:rPr>
        <w:footnoteRef/>
      </w:r>
      <w:r>
        <w:t xml:space="preserve"> Cross-references for "brought": Isa 56:11-12; Acts 16:16.</w:t>
      </w:r>
    </w:p>
  </w:footnote>
  <w:footnote w:id="17069">
    <w:p>
      <w:pPr>
        <w:pStyle w:val="FootnoteText"/>
      </w:pPr>
      <w:r>
        <w:rPr>
          <w:rStyle w:val="FootnoteReference"/>
        </w:rPr>
        <w:footnoteRef/>
      </w:r>
      <w:r>
        <w:t xml:space="preserve"> Cross-references for "that not": Acts 19:10; Acts 19:18-20.</w:t>
      </w:r>
    </w:p>
  </w:footnote>
  <w:footnote w:id="17070">
    <w:p>
      <w:pPr>
        <w:pStyle w:val="FootnoteText"/>
      </w:pPr>
      <w:r>
        <w:rPr>
          <w:rStyle w:val="FootnoteReference"/>
        </w:rPr>
        <w:footnoteRef/>
      </w:r>
      <w:r>
        <w:t xml:space="preserve"> Cross-references for "that not": Zeph 2:11; Matt 23:14.</w:t>
      </w:r>
    </w:p>
  </w:footnote>
  <w:footnote w:id="17071">
    <w:p>
      <w:pPr>
        <w:pStyle w:val="FootnoteText"/>
      </w:pPr>
      <w:r>
        <w:rPr>
          <w:rStyle w:val="FootnoteReference"/>
        </w:rPr>
        <w:footnoteRef/>
      </w:r>
      <w:r>
        <w:t xml:space="preserve"> Cross-references for "and cried": 1Sam 5:3-5; 1Kgs 18:26-29.</w:t>
      </w:r>
    </w:p>
  </w:footnote>
  <w:footnote w:id="17072">
    <w:p>
      <w:pPr>
        <w:pStyle w:val="FootnoteText"/>
      </w:pPr>
      <w:r>
        <w:rPr>
          <w:rStyle w:val="FootnoteReference"/>
        </w:rPr>
        <w:footnoteRef/>
      </w:r>
      <w:r>
        <w:t xml:space="preserve"> People-name: Ephesians. People-name meaning: Ephesians — people of Ephesus; desirable. Source form: Ephesians.</w:t>
      </w:r>
    </w:p>
  </w:footnote>
  <w:footnote w:id="17073">
    <w:p>
      <w:pPr>
        <w:pStyle w:val="FootnoteText"/>
      </w:pPr>
      <w:r>
        <w:rPr>
          <w:rStyle w:val="FootnoteReference"/>
        </w:rPr>
        <w:footnoteRef/>
      </w:r>
      <w:r>
        <w:t xml:space="preserve"> Cross-references for "the whole": Acts 17:8; Acts 19:32.</w:t>
      </w:r>
    </w:p>
  </w:footnote>
  <w:footnote w:id="17074">
    <w:p>
      <w:pPr>
        <w:pStyle w:val="FootnoteText"/>
      </w:pPr>
      <w:r>
        <w:rPr>
          <w:rStyle w:val="FootnoteReference"/>
        </w:rPr>
        <w:footnoteRef/>
      </w:r>
      <w:r>
        <w:t xml:space="preserve"> Name meaning: Gaius (Gaius) — Rejoice; happy. Hospitable host who brought joy to the Church.</w:t>
      </w:r>
    </w:p>
  </w:footnote>
  <w:footnote w:id="17075">
    <w:p>
      <w:pPr>
        <w:pStyle w:val="FootnoteText"/>
      </w:pPr>
      <w:r>
        <w:rPr>
          <w:rStyle w:val="FootnoteReference"/>
        </w:rPr>
        <w:footnoteRef/>
      </w:r>
      <w:r>
        <w:t xml:space="preserve"> Name meaning: Aristarchus (Aristarchos) — Best ruler. Loyal companion and fellow prisoner.</w:t>
      </w:r>
    </w:p>
  </w:footnote>
  <w:footnote w:id="17076">
    <w:p>
      <w:pPr>
        <w:pStyle w:val="FootnoteText"/>
      </w:pPr>
      <w:r>
        <w:rPr>
          <w:rStyle w:val="FootnoteReference"/>
        </w:rPr>
        <w:footnoteRef/>
      </w:r>
      <w:r>
        <w:t xml:space="preserve"> People-name: Macedonians. People-name meaning: Macedonians — people of Macedonia; high/tall ones. Source form: Macedonians.</w:t>
      </w:r>
    </w:p>
  </w:footnote>
  <w:footnote w:id="17077">
    <w:p>
      <w:pPr>
        <w:pStyle w:val="FootnoteText"/>
      </w:pPr>
      <w:r>
        <w:rPr>
          <w:rStyle w:val="FootnoteReference"/>
        </w:rPr>
        <w:footnoteRef/>
      </w:r>
      <w:r>
        <w:t xml:space="preserve"> Cross-references for "Paul": Acts 14:14-18; Acts 17:22-31.</w:t>
      </w:r>
    </w:p>
  </w:footnote>
  <w:footnote w:id="17078">
    <w:p>
      <w:pPr>
        <w:pStyle w:val="FootnoteText"/>
      </w:pPr>
      <w:r>
        <w:rPr>
          <w:rStyle w:val="FootnoteReference"/>
        </w:rPr>
        <w:footnoteRef/>
      </w:r>
      <w:r>
        <w:t xml:space="preserve"> Cross-references for "the chief": Prov 16:7; Acts 16:6.</w:t>
      </w:r>
    </w:p>
  </w:footnote>
  <w:footnote w:id="17079">
    <w:p>
      <w:pPr>
        <w:pStyle w:val="FootnoteText"/>
      </w:pPr>
      <w:r>
        <w:rPr>
          <w:rStyle w:val="FootnoteReference"/>
        </w:rPr>
        <w:footnoteRef/>
      </w:r>
      <w:r>
        <w:t xml:space="preserve"> Cross-references for "cried": Acts 19:29; Acts 21:34.</w:t>
      </w:r>
    </w:p>
  </w:footnote>
  <w:footnote w:id="17080">
    <w:p>
      <w:pPr>
        <w:pStyle w:val="FootnoteText"/>
      </w:pPr>
      <w:r>
        <w:rPr>
          <w:rStyle w:val="FootnoteReference"/>
        </w:rPr>
        <w:footnoteRef/>
      </w:r>
      <w:r>
        <w:t xml:space="preserve"> Name meaning: Alexander (Alexandros) — Defender of men. The coppersmith who strongly opposed Paul.</w:t>
      </w:r>
    </w:p>
  </w:footnote>
  <w:footnote w:id="17081">
    <w:p>
      <w:pPr>
        <w:pStyle w:val="FootnoteText"/>
      </w:pPr>
      <w:r>
        <w:rPr>
          <w:rStyle w:val="FootnoteReference"/>
        </w:rPr>
        <w:footnoteRef/>
      </w:r>
      <w:r>
        <w:t xml:space="preserve"> Cross-references for "Alexander": 1Tim 1:20; 2Tim 4:14.</w:t>
      </w:r>
    </w:p>
  </w:footnote>
  <w:footnote w:id="17082">
    <w:p>
      <w:pPr>
        <w:pStyle w:val="FootnoteText"/>
      </w:pPr>
      <w:r>
        <w:rPr>
          <w:rStyle w:val="FootnoteReference"/>
        </w:rPr>
        <w:footnoteRef/>
      </w:r>
      <w:r>
        <w:t xml:space="preserve"> Cross-references for "they knew": Acts 16:20; Acts 19:26.</w:t>
      </w:r>
    </w:p>
  </w:footnote>
  <w:footnote w:id="17083">
    <w:p>
      <w:pPr>
        <w:pStyle w:val="FootnoteText"/>
      </w:pPr>
      <w:r>
        <w:rPr>
          <w:rStyle w:val="FootnoteReference"/>
        </w:rPr>
        <w:footnoteRef/>
      </w:r>
      <w:r>
        <w:t xml:space="preserve"> Transliterated proper noun: Diana. Standard English equivalent: Diana. Source form: Diana. Name meaning: luminous, perfect.</w:t>
      </w:r>
    </w:p>
  </w:footnote>
  <w:footnote w:id="17084">
    <w:p>
      <w:pPr>
        <w:pStyle w:val="FootnoteText"/>
      </w:pPr>
      <w:r>
        <w:rPr>
          <w:rStyle w:val="FootnoteReference"/>
        </w:rPr>
        <w:footnoteRef/>
      </w:r>
      <w:r>
        <w:t xml:space="preserve"> Cross-references for "and of": Acts 19:26; 2Thess 2:10-11.</w:t>
      </w:r>
    </w:p>
  </w:footnote>
  <w:footnote w:id="17085">
    <w:p>
      <w:pPr>
        <w:pStyle w:val="FootnoteText"/>
      </w:pPr>
      <w:r>
        <w:rPr>
          <w:rStyle w:val="FootnoteReference"/>
        </w:rPr>
        <w:footnoteRef/>
      </w:r>
      <w:r>
        <w:t xml:space="preserve"> Transliterated proper noun: Jupiter. Standard English equivalent: Jupiter. Source form: Jupiter. Name meaning: the father that helpeth.</w:t>
      </w:r>
    </w:p>
  </w:footnote>
  <w:footnote w:id="17086">
    <w:p>
      <w:pPr>
        <w:pStyle w:val="FootnoteText"/>
      </w:pPr>
      <w:r>
        <w:rPr>
          <w:rStyle w:val="FootnoteReference"/>
        </w:rPr>
        <w:footnoteRef/>
      </w:r>
      <w:r>
        <w:t xml:space="preserve"> Cross-references for "Demetrius": Acts 19:24.</w:t>
      </w:r>
    </w:p>
  </w:footnote>
  <w:footnote w:id="17087">
    <w:p>
      <w:pPr>
        <w:pStyle w:val="FootnoteText"/>
      </w:pPr>
      <w:r>
        <w:rPr>
          <w:rStyle w:val="FootnoteReference"/>
        </w:rPr>
        <w:footnoteRef/>
      </w:r>
      <w:r>
        <w:t xml:space="preserve"> Cross-references for "lawful": Acts 19:39.</w:t>
      </w:r>
    </w:p>
  </w:footnote>
  <w:footnote w:id="17088">
    <w:p>
      <w:pPr>
        <w:pStyle w:val="FootnoteText"/>
      </w:pPr>
      <w:r>
        <w:rPr>
          <w:rStyle w:val="FootnoteReference"/>
        </w:rPr>
        <w:footnoteRef/>
      </w:r>
      <w:r>
        <w:t xml:space="preserve"> Cross-references for "we are": Acts 17:5-8.</w:t>
      </w:r>
    </w:p>
  </w:footnote>
  <w:footnote w:id="17089">
    <w:p>
      <w:pPr>
        <w:pStyle w:val="FootnoteText"/>
      </w:pPr>
      <w:r>
        <w:rPr>
          <w:rStyle w:val="FootnoteReference"/>
        </w:rPr>
        <w:footnoteRef/>
      </w:r>
      <w:r>
        <w:t xml:space="preserve"> Cross-references for "he dismissed": Ps 65:7; 2Cor 1:8-10.</w:t>
      </w:r>
    </w:p>
  </w:footnote>
  <w:footnote w:id="17090">
    <w:p>
      <w:pPr>
        <w:pStyle w:val="FootnoteText"/>
      </w:pPr>
      <w:r>
        <w:rPr>
          <w:rStyle w:val="FootnoteReference"/>
        </w:rPr>
        <w:footnoteRef/>
      </w:r>
      <w:r>
        <w:t xml:space="preserve"> Cross-references for "embraced": Gen 48:10; 1Sam 20:41-42.</w:t>
      </w:r>
    </w:p>
  </w:footnote>
  <w:footnote w:id="17091">
    <w:p>
      <w:pPr>
        <w:pStyle w:val="FootnoteText"/>
      </w:pPr>
      <w:r>
        <w:rPr>
          <w:rStyle w:val="FootnoteReference"/>
        </w:rPr>
        <w:footnoteRef/>
      </w:r>
      <w:r>
        <w:t xml:space="preserve"> Cross-references for "those": Acts 16:12; Acts 17:1.</w:t>
      </w:r>
    </w:p>
  </w:footnote>
  <w:footnote w:id="17092">
    <w:p>
      <w:pPr>
        <w:pStyle w:val="FootnoteText"/>
      </w:pPr>
      <w:r>
        <w:rPr>
          <w:rStyle w:val="FootnoteReference"/>
        </w:rPr>
        <w:footnoteRef/>
      </w:r>
      <w:r>
        <w:t xml:space="preserve"> Place name: Greece. Place-name meaning: Greece — Greece; Hellenic land. Source form: Greece.</w:t>
      </w:r>
    </w:p>
  </w:footnote>
  <w:footnote w:id="17093">
    <w:p>
      <w:pPr>
        <w:pStyle w:val="FootnoteText"/>
      </w:pPr>
      <w:r>
        <w:rPr>
          <w:rStyle w:val="FootnoteReference"/>
        </w:rPr>
        <w:footnoteRef/>
      </w:r>
      <w:r>
        <w:t xml:space="preserve"> Cross-references for "the Jews": Ezra 8:31; Prov 1:11.</w:t>
      </w:r>
    </w:p>
  </w:footnote>
  <w:footnote w:id="17094">
    <w:p>
      <w:pPr>
        <w:pStyle w:val="FootnoteText"/>
      </w:pPr>
      <w:r>
        <w:rPr>
          <w:rStyle w:val="FootnoteReference"/>
        </w:rPr>
        <w:footnoteRef/>
      </w:r>
      <w:r>
        <w:t xml:space="preserve"> Personal name: Sopater. Personal-name meaning: Sopater — who defends the father. Source form: Sopater.</w:t>
      </w:r>
    </w:p>
  </w:footnote>
  <w:footnote w:id="17095">
    <w:p>
      <w:pPr>
        <w:pStyle w:val="FootnoteText"/>
      </w:pPr>
      <w:r>
        <w:rPr>
          <w:rStyle w:val="FootnoteReference"/>
        </w:rPr>
        <w:footnoteRef/>
      </w:r>
      <w:r>
        <w:t xml:space="preserve"> Transliterated proper noun: Berean. Standard English equivalent: Berea. Source form: Berean. Greek form: βεροιαιος. Name meaning: heavy; weighty.</w:t>
      </w:r>
    </w:p>
  </w:footnote>
  <w:footnote w:id="17096">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17097">
    <w:p>
      <w:pPr>
        <w:pStyle w:val="FootnoteText"/>
      </w:pPr>
      <w:r>
        <w:rPr>
          <w:rStyle w:val="FootnoteReference"/>
        </w:rPr>
        <w:footnoteRef/>
      </w:r>
      <w:r>
        <w:t xml:space="preserve"> Personal name: Secundus. Personal-name meaning: Secundus — second. Source form: Secundus.</w:t>
      </w:r>
    </w:p>
  </w:footnote>
  <w:footnote w:id="17098">
    <w:p>
      <w:pPr>
        <w:pStyle w:val="FootnoteText"/>
      </w:pPr>
      <w:r>
        <w:rPr>
          <w:rStyle w:val="FootnoteReference"/>
        </w:rPr>
        <w:footnoteRef/>
      </w:r>
      <w:r>
        <w:t xml:space="preserve"> Name meaning: Tychicus (Tychikos) — Fortunate; chance. Trusted messenger who carried Paul’s letters.</w:t>
      </w:r>
    </w:p>
  </w:footnote>
  <w:footnote w:id="17099">
    <w:p>
      <w:pPr>
        <w:pStyle w:val="FootnoteText"/>
      </w:pPr>
      <w:r>
        <w:rPr>
          <w:rStyle w:val="FootnoteReference"/>
        </w:rPr>
        <w:footnoteRef/>
      </w:r>
      <w:r>
        <w:t xml:space="preserve"> Personal name: Trophimus. Personal-name meaning: Trophimus — well educated; well brought up. Source form: Trophimus.</w:t>
      </w:r>
    </w:p>
  </w:footnote>
  <w:footnote w:id="17100">
    <w:p>
      <w:pPr>
        <w:pStyle w:val="FootnoteText"/>
      </w:pPr>
      <w:r>
        <w:rPr>
          <w:rStyle w:val="FootnoteReference"/>
        </w:rPr>
        <w:footnoteRef/>
      </w:r>
      <w:r>
        <w:t xml:space="preserve"> Cross-references for "Sopater": Rom 16:21.</w:t>
      </w:r>
    </w:p>
  </w:footnote>
  <w:footnote w:id="17101">
    <w:p>
      <w:pPr>
        <w:pStyle w:val="FootnoteText"/>
      </w:pPr>
      <w:r>
        <w:rPr>
          <w:rStyle w:val="FootnoteReference"/>
        </w:rPr>
        <w:footnoteRef/>
      </w:r>
      <w:r>
        <w:t xml:space="preserve"> Cross-references for "Troas": Acts 16:8; Acts 16:11.</w:t>
      </w:r>
    </w:p>
  </w:footnote>
  <w:footnote w:id="17102">
    <w:p>
      <w:pPr>
        <w:pStyle w:val="FootnoteText"/>
      </w:pPr>
      <w:r>
        <w:rPr>
          <w:rStyle w:val="FootnoteReference"/>
        </w:rPr>
        <w:footnoteRef/>
      </w:r>
      <w:r>
        <w:t xml:space="preserve"> Cross-references for "Philippi": Acts 16:12; Phil 1:1.</w:t>
      </w:r>
    </w:p>
  </w:footnote>
  <w:footnote w:id="17103">
    <w:p>
      <w:pPr>
        <w:pStyle w:val="FootnoteText"/>
      </w:pPr>
      <w:r>
        <w:rPr>
          <w:rStyle w:val="FootnoteReference"/>
        </w:rPr>
        <w:footnoteRef/>
      </w:r>
      <w:r>
        <w:t xml:space="preserve"> Cross-references for "the first": John 20:1; John 20:19.</w:t>
      </w:r>
    </w:p>
  </w:footnote>
  <w:footnote w:id="17104">
    <w:p>
      <w:pPr>
        <w:pStyle w:val="FootnoteText"/>
      </w:pPr>
      <w:r>
        <w:rPr>
          <w:rStyle w:val="FootnoteReference"/>
        </w:rPr>
        <w:footnoteRef/>
      </w:r>
      <w:r>
        <w:t xml:space="preserve"> Personal name: Eutychus. Personal-name meaning: Eutychus — happy; fortunate. Source form: Eutychus.</w:t>
      </w:r>
    </w:p>
  </w:footnote>
  <w:footnote w:id="17105">
    <w:p>
      <w:pPr>
        <w:pStyle w:val="FootnoteText"/>
      </w:pPr>
      <w:r>
        <w:rPr>
          <w:rStyle w:val="FootnoteReference"/>
        </w:rPr>
        <w:footnoteRef/>
      </w:r>
      <w:r>
        <w:t xml:space="preserve"> Cross-references for "the third": 1Kgs 17:19.</w:t>
      </w:r>
    </w:p>
  </w:footnote>
  <w:footnote w:id="17106">
    <w:p>
      <w:pPr>
        <w:pStyle w:val="FootnoteText"/>
      </w:pPr>
      <w:r>
        <w:rPr>
          <w:rStyle w:val="FootnoteReference"/>
        </w:rPr>
        <w:footnoteRef/>
      </w:r>
      <w:r>
        <w:t xml:space="preserve"> Cross-references for "and fell": 1Kgs 17:21-22; 2Kgs 4:34-35.</w:t>
      </w:r>
    </w:p>
  </w:footnote>
  <w:footnote w:id="17107">
    <w:p>
      <w:pPr>
        <w:pStyle w:val="FootnoteText"/>
      </w:pPr>
      <w:r>
        <w:rPr>
          <w:rStyle w:val="FootnoteReference"/>
        </w:rPr>
        <w:footnoteRef/>
      </w:r>
      <w:r>
        <w:t xml:space="preserve"> Cross-references for "and had": Acts 20:7.</w:t>
      </w:r>
    </w:p>
  </w:footnote>
  <w:footnote w:id="17108">
    <w:p>
      <w:pPr>
        <w:pStyle w:val="FootnoteText"/>
      </w:pPr>
      <w:r>
        <w:rPr>
          <w:rStyle w:val="FootnoteReference"/>
        </w:rPr>
        <w:footnoteRef/>
      </w:r>
      <w:r>
        <w:t xml:space="preserve"> Place name: Assos. Place-name meaning: Assos — approaching; coming near. Source form: Assos. Greek form: ασσον.</w:t>
      </w:r>
    </w:p>
  </w:footnote>
  <w:footnote w:id="17109">
    <w:p>
      <w:pPr>
        <w:pStyle w:val="FootnoteText"/>
      </w:pPr>
      <w:r>
        <w:rPr>
          <w:rStyle w:val="FootnoteReference"/>
        </w:rPr>
        <w:footnoteRef/>
      </w:r>
      <w:r>
        <w:t xml:space="preserve"> Cross-references for "minding": Mark 1:35; Mark 6:31-33.</w:t>
      </w:r>
    </w:p>
  </w:footnote>
  <w:footnote w:id="17110">
    <w:p>
      <w:pPr>
        <w:pStyle w:val="FootnoteText"/>
      </w:pPr>
      <w:r>
        <w:rPr>
          <w:rStyle w:val="FootnoteReference"/>
        </w:rPr>
        <w:footnoteRef/>
      </w:r>
      <w:r>
        <w:t xml:space="preserve"> Transliterated proper noun: Mytilene. Standard English equivalent: Mitylene. Source form: Mytilene. Greek form: μιτυληνην. Name meaning: purity; cleansing; press.</w:t>
      </w:r>
    </w:p>
  </w:footnote>
  <w:footnote w:id="17111">
    <w:p>
      <w:pPr>
        <w:pStyle w:val="FootnoteText"/>
      </w:pPr>
      <w:r>
        <w:rPr>
          <w:rStyle w:val="FootnoteReference"/>
        </w:rPr>
        <w:footnoteRef/>
      </w:r>
      <w:r>
        <w:t xml:space="preserve"> Place name: Chios. Place-name meaning: Chios — open; opening. Source form: Chios. Greek form: χιου.</w:t>
      </w:r>
    </w:p>
  </w:footnote>
  <w:footnote w:id="17112">
    <w:p>
      <w:pPr>
        <w:pStyle w:val="FootnoteText"/>
      </w:pPr>
      <w:r>
        <w:rPr>
          <w:rStyle w:val="FootnoteReference"/>
        </w:rPr>
        <w:footnoteRef/>
      </w:r>
      <w:r>
        <w:t xml:space="preserve"> Place name: Samos. Place-name meaning: Samos — full of gravel. Source form: Samos. Greek form: σαμον.</w:t>
      </w:r>
    </w:p>
  </w:footnote>
  <w:footnote w:id="17113">
    <w:p>
      <w:pPr>
        <w:pStyle w:val="FootnoteText"/>
      </w:pPr>
      <w:r>
        <w:rPr>
          <w:rStyle w:val="FootnoteReference"/>
        </w:rPr>
        <w:footnoteRef/>
      </w:r>
      <w:r>
        <w:t xml:space="preserve"> Place name: Trogyllium. Place-name meaning: Trogyllium — cave-like place. Source form: Trogyllium. Greek form: τρωγυλλιω.</w:t>
      </w:r>
    </w:p>
  </w:footnote>
  <w:footnote w:id="17114">
    <w:p>
      <w:pPr>
        <w:pStyle w:val="FootnoteText"/>
      </w:pPr>
      <w:r>
        <w:rPr>
          <w:rStyle w:val="FootnoteReference"/>
        </w:rPr>
        <w:footnoteRef/>
      </w:r>
      <w:r>
        <w:t xml:space="preserve"> Place name: Miletus. Place-name meaning: Miletus — red; scarlet. Source form: Miletus. Greek form: μιλητον.</w:t>
      </w:r>
    </w:p>
  </w:footnote>
  <w:footnote w:id="17115">
    <w:p>
      <w:pPr>
        <w:pStyle w:val="FootnoteText"/>
      </w:pPr>
      <w:r>
        <w:rPr>
          <w:rStyle w:val="FootnoteReference"/>
        </w:rPr>
        <w:footnoteRef/>
      </w:r>
      <w:r>
        <w:t xml:space="preserve"> Cross-references for "Miletus": Acts 20:17; 2Tim 4:20.</w:t>
      </w:r>
    </w:p>
  </w:footnote>
  <w:footnote w:id="17116">
    <w:p>
      <w:pPr>
        <w:pStyle w:val="FootnoteText"/>
      </w:pPr>
      <w:r>
        <w:rPr>
          <w:rStyle w:val="FootnoteReference"/>
        </w:rPr>
        <w:footnoteRef/>
      </w:r>
      <w:r>
        <w:t xml:space="preserve"> Cross-references for "the elders": Acts 11:30; Acts 14:23.</w:t>
      </w:r>
    </w:p>
  </w:footnote>
  <w:footnote w:id="17117">
    <w:p>
      <w:pPr>
        <w:pStyle w:val="FootnoteText"/>
      </w:pPr>
      <w:r>
        <w:rPr>
          <w:rStyle w:val="FootnoteReference"/>
        </w:rPr>
        <w:footnoteRef/>
      </w:r>
      <w:r>
        <w:t xml:space="preserve"> Cross-references for "Serving": John 12:26; Acts 27:23.</w:t>
      </w:r>
    </w:p>
  </w:footnote>
  <w:footnote w:id="17118">
    <w:p>
      <w:pPr>
        <w:pStyle w:val="FootnoteText"/>
      </w:pPr>
      <w:r>
        <w:rPr>
          <w:rStyle w:val="FootnoteReference"/>
        </w:rPr>
        <w:footnoteRef/>
      </w:r>
      <w:r>
        <w:t xml:space="preserve"> Cross-references for "I kept": Deut 4:5; Ps 40:9-10.</w:t>
      </w:r>
    </w:p>
  </w:footnote>
  <w:footnote w:id="17119">
    <w:p>
      <w:pPr>
        <w:pStyle w:val="FootnoteText"/>
      </w:pPr>
      <w:r>
        <w:rPr>
          <w:rStyle w:val="FootnoteReference"/>
        </w:rPr>
        <w:footnoteRef/>
      </w:r>
      <w:r>
        <w:t xml:space="preserve"> Cross-references for "Testifying": Acts 2:40; Acts 8:25.</w:t>
      </w:r>
    </w:p>
  </w:footnote>
  <w:footnote w:id="17120">
    <w:p>
      <w:pPr>
        <w:pStyle w:val="FootnoteText"/>
      </w:pPr>
      <w:r>
        <w:rPr>
          <w:rStyle w:val="FootnoteReference"/>
        </w:rPr>
        <w:footnoteRef/>
      </w:r>
      <w:r>
        <w:t xml:space="preserve"> Cross-references for "I go": Luke 9:51; Luke 12:50.</w:t>
      </w:r>
    </w:p>
  </w:footnote>
  <w:footnote w:id="17121">
    <w:p>
      <w:pPr>
        <w:pStyle w:val="FootnoteText"/>
      </w:pPr>
      <w:r>
        <w:rPr>
          <w:rStyle w:val="FootnoteReference"/>
        </w:rPr>
        <w:footnoteRef/>
      </w:r>
      <w:r>
        <w:t xml:space="preserve"> Cross-references for "none": Acts 21:13; Rom 8:35-39.</w:t>
      </w:r>
    </w:p>
  </w:footnote>
  <w:footnote w:id="17122">
    <w:p>
      <w:pPr>
        <w:pStyle w:val="FootnoteText"/>
      </w:pPr>
      <w:r>
        <w:rPr>
          <w:rStyle w:val="FootnoteReference"/>
        </w:rPr>
        <w:footnoteRef/>
      </w:r>
      <w:r>
        <w:t xml:space="preserve"> Cross-references for "preaching": Matt 4:17; Matt 4:23.</w:t>
      </w:r>
    </w:p>
  </w:footnote>
  <w:footnote w:id="17123">
    <w:p>
      <w:pPr>
        <w:pStyle w:val="FootnoteText"/>
      </w:pPr>
      <w:r>
        <w:rPr>
          <w:rStyle w:val="FootnoteReference"/>
        </w:rPr>
        <w:footnoteRef/>
      </w:r>
      <w:r>
        <w:t xml:space="preserve"> Cross-references for "Take": 2Chr 19:6-7; Mark 13:9.</w:t>
      </w:r>
    </w:p>
  </w:footnote>
  <w:footnote w:id="17124">
    <w:p>
      <w:pPr>
        <w:pStyle w:val="FootnoteText"/>
      </w:pPr>
      <w:r>
        <w:rPr>
          <w:rStyle w:val="FootnoteReference"/>
        </w:rPr>
        <w:footnoteRef/>
      </w:r>
      <w:r>
        <w:t xml:space="preserve"> Cross-references for "wolves": Zeph 3:3; Matt 7:15.</w:t>
      </w:r>
    </w:p>
  </w:footnote>
  <w:footnote w:id="17125">
    <w:p>
      <w:pPr>
        <w:pStyle w:val="FootnoteText"/>
      </w:pPr>
      <w:r>
        <w:rPr>
          <w:rStyle w:val="FootnoteReference"/>
        </w:rPr>
        <w:footnoteRef/>
      </w:r>
      <w:r>
        <w:t xml:space="preserve"> Cross-references for "speaking": Prov 19:1; Prov 23:33.</w:t>
      </w:r>
    </w:p>
  </w:footnote>
  <w:footnote w:id="17126">
    <w:p>
      <w:pPr>
        <w:pStyle w:val="FootnoteText"/>
      </w:pPr>
      <w:r>
        <w:rPr>
          <w:rStyle w:val="FootnoteReference"/>
        </w:rPr>
        <w:footnoteRef/>
      </w:r>
      <w:r>
        <w:t xml:space="preserve"> Cross-references for "watch": Matt 13:25; Mark 13:34-37.</w:t>
      </w:r>
    </w:p>
  </w:footnote>
  <w:footnote w:id="17127">
    <w:p>
      <w:pPr>
        <w:pStyle w:val="FootnoteText"/>
      </w:pPr>
      <w:r>
        <w:rPr>
          <w:rStyle w:val="FootnoteReference"/>
        </w:rPr>
        <w:footnoteRef/>
      </w:r>
      <w:r>
        <w:t xml:space="preserve"> Cross-references for "I commend": Gen 50:24; Jer 49:11.</w:t>
      </w:r>
    </w:p>
  </w:footnote>
  <w:footnote w:id="17128">
    <w:p>
      <w:pPr>
        <w:pStyle w:val="FootnoteText"/>
      </w:pPr>
      <w:r>
        <w:rPr>
          <w:rStyle w:val="FootnoteReference"/>
        </w:rPr>
        <w:footnoteRef/>
      </w:r>
      <w:r>
        <w:t xml:space="preserve"> Cross-references for "that these": Acts 18:3; 1Cor 4:12.</w:t>
      </w:r>
    </w:p>
  </w:footnote>
  <w:footnote w:id="17129">
    <w:p>
      <w:pPr>
        <w:pStyle w:val="FootnoteText"/>
      </w:pPr>
      <w:r>
        <w:rPr>
          <w:rStyle w:val="FootnoteReference"/>
        </w:rPr>
        <w:footnoteRef/>
      </w:r>
      <w:r>
        <w:t xml:space="preserve"> Cross-references for "showed": Acts 20:20; Acts 20:27.</w:t>
      </w:r>
    </w:p>
  </w:footnote>
  <w:footnote w:id="17130">
    <w:p>
      <w:pPr>
        <w:pStyle w:val="FootnoteText"/>
      </w:pPr>
      <w:r>
        <w:rPr>
          <w:rStyle w:val="FootnoteReference"/>
        </w:rPr>
        <w:footnoteRef/>
      </w:r>
      <w:r>
        <w:t xml:space="preserve"> Cross-references for "wept": 1Sam 20:41; 2Sam 15:30.</w:t>
      </w:r>
    </w:p>
  </w:footnote>
  <w:footnote w:id="17131">
    <w:p>
      <w:pPr>
        <w:pStyle w:val="FootnoteText"/>
      </w:pPr>
      <w:r>
        <w:rPr>
          <w:rStyle w:val="FootnoteReference"/>
        </w:rPr>
        <w:footnoteRef/>
      </w:r>
      <w:r>
        <w:t xml:space="preserve"> Cross-references for "we were": 1Sam 20:41-42; Acts 20:37-38.</w:t>
      </w:r>
    </w:p>
  </w:footnote>
  <w:footnote w:id="17132">
    <w:p>
      <w:pPr>
        <w:pStyle w:val="FootnoteText"/>
      </w:pPr>
      <w:r>
        <w:rPr>
          <w:rStyle w:val="FootnoteReference"/>
        </w:rPr>
        <w:footnoteRef/>
      </w:r>
      <w:r>
        <w:t xml:space="preserve"> Place name: Cos. Place-name meaning: Coos — top, summit. Standard English equivalent: Coos. Source form: Cos. Greek form: ως.</w:t>
      </w:r>
    </w:p>
  </w:footnote>
  <w:footnote w:id="17133">
    <w:p>
      <w:pPr>
        <w:pStyle w:val="FootnoteText"/>
      </w:pPr>
      <w:r>
        <w:rPr>
          <w:rStyle w:val="FootnoteReference"/>
        </w:rPr>
        <w:footnoteRef/>
      </w:r>
      <w:r>
        <w:t xml:space="preserve"> Place name: Rhodes. Place-name meaning: Rhodes — rose island; rose. Source form: Rhodes. Greek form: ροδον.</w:t>
      </w:r>
    </w:p>
  </w:footnote>
  <w:footnote w:id="17134">
    <w:p>
      <w:pPr>
        <w:pStyle w:val="FootnoteText"/>
      </w:pPr>
      <w:r>
        <w:rPr>
          <w:rStyle w:val="FootnoteReference"/>
        </w:rPr>
        <w:footnoteRef/>
      </w:r>
      <w:r>
        <w:t xml:space="preserve"> Place name: Patara. Place-name meaning: Patara — trodden under foot. Source form: Patara. Greek form: παταρα.</w:t>
      </w:r>
    </w:p>
  </w:footnote>
  <w:footnote w:id="17135">
    <w:p>
      <w:pPr>
        <w:pStyle w:val="FootnoteText"/>
      </w:pPr>
      <w:r>
        <w:rPr>
          <w:rStyle w:val="FootnoteReference"/>
        </w:rPr>
        <w:footnoteRef/>
      </w:r>
      <w:r>
        <w:t xml:space="preserve"> Cross-references for "finding": Jonah 1:3; Acts 27:6.</w:t>
      </w:r>
    </w:p>
  </w:footnote>
  <w:footnote w:id="17136">
    <w:p>
      <w:pPr>
        <w:pStyle w:val="FootnoteText"/>
      </w:pPr>
      <w:r>
        <w:rPr>
          <w:rStyle w:val="FootnoteReference"/>
        </w:rPr>
        <w:footnoteRef/>
      </w:r>
      <w:r>
        <w:t xml:space="preserve"> Cross-references for "Cyprus": Acts 4:36; Acts 11:19.</w:t>
      </w:r>
    </w:p>
  </w:footnote>
  <w:footnote w:id="17137">
    <w:p>
      <w:pPr>
        <w:pStyle w:val="FootnoteText"/>
      </w:pPr>
      <w:r>
        <w:rPr>
          <w:rStyle w:val="FootnoteReference"/>
        </w:rPr>
        <w:footnoteRef/>
      </w:r>
      <w:r>
        <w:t xml:space="preserve"> Cross-references for "finding": Matt 10:11; Acts 19:1.</w:t>
      </w:r>
    </w:p>
  </w:footnote>
  <w:footnote w:id="17138">
    <w:p>
      <w:pPr>
        <w:pStyle w:val="FootnoteText"/>
      </w:pPr>
      <w:r>
        <w:rPr>
          <w:rStyle w:val="FootnoteReference"/>
        </w:rPr>
        <w:footnoteRef/>
      </w:r>
      <w:r>
        <w:t xml:space="preserve"> Cross-references for "taken": 2Cor 2:13.</w:t>
      </w:r>
    </w:p>
  </w:footnote>
  <w:footnote w:id="17139">
    <w:p>
      <w:pPr>
        <w:pStyle w:val="FootnoteText"/>
      </w:pPr>
      <w:r>
        <w:rPr>
          <w:rStyle w:val="FootnoteReference"/>
        </w:rPr>
        <w:footnoteRef/>
      </w:r>
      <w:r>
        <w:t xml:space="preserve"> Cross-references for "Caesarea": Acts 8:40; Acts 9:30.</w:t>
      </w:r>
    </w:p>
  </w:footnote>
  <w:footnote w:id="17140">
    <w:p>
      <w:pPr>
        <w:pStyle w:val="FootnoteText"/>
      </w:pPr>
      <w:r>
        <w:rPr>
          <w:rStyle w:val="FootnoteReference"/>
        </w:rPr>
        <w:footnoteRef/>
      </w:r>
      <w:r>
        <w:t xml:space="preserve"> Cross-references for "Agabus": Acts 11:28.</w:t>
      </w:r>
    </w:p>
  </w:footnote>
  <w:footnote w:id="17141">
    <w:p>
      <w:pPr>
        <w:pStyle w:val="FootnoteText"/>
      </w:pPr>
      <w:r>
        <w:rPr>
          <w:rStyle w:val="FootnoteReference"/>
        </w:rPr>
        <w:footnoteRef/>
      </w:r>
      <w:r>
        <w:t xml:space="preserve"> Cross-references for "he took": 1Sam 15:27-28; 1Kgs 11:29-31.</w:t>
      </w:r>
    </w:p>
  </w:footnote>
  <w:footnote w:id="17142">
    <w:p>
      <w:pPr>
        <w:pStyle w:val="FootnoteText"/>
      </w:pPr>
      <w:r>
        <w:rPr>
          <w:rStyle w:val="FootnoteReference"/>
        </w:rPr>
        <w:footnoteRef/>
      </w:r>
      <w:r>
        <w:t xml:space="preserve"> Cross-references for "The will": Gen 43:14; 1Sam 3:18.</w:t>
      </w:r>
    </w:p>
  </w:footnote>
  <w:footnote w:id="17143">
    <w:p>
      <w:pPr>
        <w:pStyle w:val="FootnoteText"/>
      </w:pPr>
      <w:r>
        <w:rPr>
          <w:rStyle w:val="FootnoteReference"/>
        </w:rPr>
        <w:footnoteRef/>
      </w:r>
      <w:r>
        <w:t xml:space="preserve"> Cross-references for "and went": Acts 18:22; Acts 25:1.</w:t>
      </w:r>
    </w:p>
  </w:footnote>
  <w:footnote w:id="17144">
    <w:p>
      <w:pPr>
        <w:pStyle w:val="FootnoteText"/>
      </w:pPr>
      <w:r>
        <w:rPr>
          <w:rStyle w:val="FootnoteReference"/>
        </w:rPr>
        <w:footnoteRef/>
      </w:r>
      <w:r>
        <w:t xml:space="preserve"> Cross-references for "of the": Acts 10:24; Acts 10:48.</w:t>
      </w:r>
    </w:p>
  </w:footnote>
  <w:footnote w:id="17145">
    <w:p>
      <w:pPr>
        <w:pStyle w:val="FootnoteText"/>
      </w:pPr>
      <w:r>
        <w:rPr>
          <w:rStyle w:val="FootnoteReference"/>
        </w:rPr>
        <w:footnoteRef/>
      </w:r>
      <w:r>
        <w:t xml:space="preserve"> Personal name: Mnason. Personal-name meaning: Mnason — a diligent seeker; an exhorter. Source form: Mnason.</w:t>
      </w:r>
    </w:p>
  </w:footnote>
  <w:footnote w:id="17146">
    <w:p>
      <w:pPr>
        <w:pStyle w:val="FootnoteText"/>
      </w:pPr>
      <w:r>
        <w:rPr>
          <w:rStyle w:val="FootnoteReference"/>
        </w:rPr>
        <w:footnoteRef/>
      </w:r>
      <w:r>
        <w:t xml:space="preserve"> Cross-references for "he declared": Acts 11:4-18; Acts 14:27.</w:t>
      </w:r>
    </w:p>
  </w:footnote>
  <w:footnote w:id="17147">
    <w:p>
      <w:pPr>
        <w:pStyle w:val="FootnoteText"/>
      </w:pPr>
      <w:r>
        <w:rPr>
          <w:rStyle w:val="FootnoteReference"/>
        </w:rPr>
        <w:footnoteRef/>
      </w:r>
      <w:r>
        <w:t xml:space="preserve"> Cross-references for "they glorified": Ps 22:23; Ps 22:27.</w:t>
      </w:r>
    </w:p>
  </w:footnote>
  <w:footnote w:id="17148">
    <w:p>
      <w:pPr>
        <w:pStyle w:val="FootnoteText"/>
      </w:pPr>
      <w:r>
        <w:rPr>
          <w:rStyle w:val="FootnoteReference"/>
        </w:rPr>
        <w:footnoteRef/>
      </w:r>
      <w:r>
        <w:t xml:space="preserve"> Cross-references for "the multitude": Acts 15:12; Acts 15:22.</w:t>
      </w:r>
    </w:p>
  </w:footnote>
  <w:footnote w:id="17149">
    <w:p>
      <w:pPr>
        <w:pStyle w:val="FootnoteText"/>
      </w:pPr>
      <w:r>
        <w:rPr>
          <w:rStyle w:val="FootnoteReference"/>
        </w:rPr>
        <w:footnoteRef/>
      </w:r>
      <w:r>
        <w:t xml:space="preserve"> Cross-references for "and purify": Exod 19:10; Exod 19:14.</w:t>
      </w:r>
    </w:p>
  </w:footnote>
  <w:footnote w:id="17150">
    <w:p>
      <w:pPr>
        <w:pStyle w:val="FootnoteText"/>
      </w:pPr>
      <w:r>
        <w:rPr>
          <w:rStyle w:val="FootnoteReference"/>
        </w:rPr>
        <w:footnoteRef/>
      </w:r>
      <w:r>
        <w:t xml:space="preserve"> Cross-references for "entered": Acts 24:18.</w:t>
      </w:r>
    </w:p>
  </w:footnote>
  <w:footnote w:id="17151">
    <w:p>
      <w:pPr>
        <w:pStyle w:val="FootnoteText"/>
      </w:pPr>
      <w:r>
        <w:rPr>
          <w:rStyle w:val="FootnoteReference"/>
        </w:rPr>
        <w:footnoteRef/>
      </w:r>
      <w:r>
        <w:t xml:space="preserve"> Cross-references for "the Jews": Acts 24:18.</w:t>
      </w:r>
    </w:p>
  </w:footnote>
  <w:footnote w:id="17152">
    <w:p>
      <w:pPr>
        <w:pStyle w:val="FootnoteText"/>
      </w:pPr>
      <w:r>
        <w:rPr>
          <w:rStyle w:val="FootnoteReference"/>
        </w:rPr>
        <w:footnoteRef/>
      </w:r>
      <w:r>
        <w:t xml:space="preserve"> Cross-references for "This is": Acts 6:13-14; Acts 21:21.</w:t>
      </w:r>
    </w:p>
  </w:footnote>
  <w:footnote w:id="17153">
    <w:p>
      <w:pPr>
        <w:pStyle w:val="FootnoteText"/>
      </w:pPr>
      <w:r>
        <w:rPr>
          <w:rStyle w:val="FootnoteReference"/>
        </w:rPr>
        <w:footnoteRef/>
      </w:r>
      <w:r>
        <w:t xml:space="preserve"> Cross-references for "Trophimus": Acts 20:4; 2Tim 4:20.</w:t>
      </w:r>
    </w:p>
  </w:footnote>
  <w:footnote w:id="17154">
    <w:p>
      <w:pPr>
        <w:pStyle w:val="FootnoteText"/>
      </w:pPr>
      <w:r>
        <w:rPr>
          <w:rStyle w:val="FootnoteReference"/>
        </w:rPr>
        <w:footnoteRef/>
      </w:r>
      <w:r>
        <w:t xml:space="preserve"> People-name: Ephesian. People-name meaning: Ephesian — person of Ephesus; desirable. Source form: Ephesian.</w:t>
      </w:r>
    </w:p>
  </w:footnote>
  <w:footnote w:id="17155">
    <w:p>
      <w:pPr>
        <w:pStyle w:val="FootnoteText"/>
      </w:pPr>
      <w:r>
        <w:rPr>
          <w:rStyle w:val="FootnoteReference"/>
        </w:rPr>
        <w:footnoteRef/>
      </w:r>
      <w:r>
        <w:t xml:space="preserve"> Cross-references for "that all": 1Kgs 1:41; Matt 26:5.</w:t>
      </w:r>
    </w:p>
  </w:footnote>
  <w:footnote w:id="17156">
    <w:p>
      <w:pPr>
        <w:pStyle w:val="FootnoteText"/>
      </w:pPr>
      <w:r>
        <w:rPr>
          <w:rStyle w:val="FootnoteReference"/>
        </w:rPr>
        <w:footnoteRef/>
      </w:r>
      <w:r>
        <w:t xml:space="preserve"> Cross-references for "took": Acts 23:23-24.</w:t>
      </w:r>
    </w:p>
  </w:footnote>
  <w:footnote w:id="17157">
    <w:p>
      <w:pPr>
        <w:pStyle w:val="FootnoteText"/>
      </w:pPr>
      <w:r>
        <w:rPr>
          <w:rStyle w:val="FootnoteReference"/>
        </w:rPr>
        <w:footnoteRef/>
      </w:r>
      <w:r>
        <w:t xml:space="preserve"> Cross-references for "some cried": Acts 19:32.</w:t>
      </w:r>
    </w:p>
  </w:footnote>
  <w:footnote w:id="17158">
    <w:p>
      <w:pPr>
        <w:pStyle w:val="FootnoteText"/>
      </w:pPr>
      <w:r>
        <w:rPr>
          <w:rStyle w:val="FootnoteReference"/>
        </w:rPr>
        <w:footnoteRef/>
      </w:r>
      <w:r>
        <w:t xml:space="preserve"> Cross-references for "Cilicia": Acts 6:9; Acts 15:23.</w:t>
      </w:r>
    </w:p>
  </w:footnote>
  <w:footnote w:id="17159">
    <w:p>
      <w:pPr>
        <w:pStyle w:val="FootnoteText"/>
      </w:pPr>
      <w:r>
        <w:rPr>
          <w:rStyle w:val="FootnoteReference"/>
        </w:rPr>
        <w:footnoteRef/>
      </w:r>
      <w:r>
        <w:t xml:space="preserve"> Cross-references for "and beckoned": Acts 12:17; Acts 13:16.</w:t>
      </w:r>
    </w:p>
  </w:footnote>
  <w:footnote w:id="17160">
    <w:p>
      <w:pPr>
        <w:pStyle w:val="FootnoteText"/>
      </w:pPr>
      <w:r>
        <w:rPr>
          <w:rStyle w:val="FootnoteReference"/>
        </w:rPr>
        <w:footnoteRef/>
      </w:r>
      <w:r>
        <w:t xml:space="preserve"> Cross-references for "in Tarsus": Acts 9:11; Acts 9:30.</w:t>
      </w:r>
    </w:p>
  </w:footnote>
  <w:footnote w:id="17161">
    <w:p>
      <w:pPr>
        <w:pStyle w:val="FootnoteText"/>
      </w:pPr>
      <w:r>
        <w:rPr>
          <w:rStyle w:val="FootnoteReference"/>
        </w:rPr>
        <w:footnoteRef/>
      </w:r>
      <w:r>
        <w:t xml:space="preserve"> Cross-references for "I persecuted": Acts 7:58; Acts 8:1-4.</w:t>
      </w:r>
    </w:p>
  </w:footnote>
  <w:footnote w:id="17162">
    <w:p>
      <w:pPr>
        <w:pStyle w:val="FootnoteText"/>
      </w:pPr>
      <w:r>
        <w:rPr>
          <w:rStyle w:val="FootnoteReference"/>
        </w:rPr>
        <w:footnoteRef/>
      </w:r>
      <w:r>
        <w:t xml:space="preserve"> Cross-references for "also": Acts 9:1-2; Acts 9:14.</w:t>
      </w:r>
    </w:p>
  </w:footnote>
  <w:footnote w:id="17163">
    <w:p>
      <w:pPr>
        <w:pStyle w:val="FootnoteText"/>
      </w:pPr>
      <w:r>
        <w:rPr>
          <w:rStyle w:val="FootnoteReference"/>
        </w:rPr>
        <w:footnoteRef/>
      </w:r>
      <w:r>
        <w:t xml:space="preserve"> Cross-references for "Damascus": Gen 14:15; Gen 15:2.</w:t>
      </w:r>
    </w:p>
  </w:footnote>
  <w:footnote w:id="17164">
    <w:p>
      <w:pPr>
        <w:pStyle w:val="FootnoteText"/>
      </w:pPr>
      <w:r>
        <w:rPr>
          <w:rStyle w:val="FootnoteReference"/>
        </w:rPr>
        <w:footnoteRef/>
      </w:r>
      <w:r>
        <w:t xml:space="preserve"> Cross-references for "Saul": Gen 3:9; Gen 16:8.</w:t>
      </w:r>
    </w:p>
  </w:footnote>
  <w:footnote w:id="17165">
    <w:p>
      <w:pPr>
        <w:pStyle w:val="FootnoteText"/>
      </w:pPr>
      <w:r>
        <w:rPr>
          <w:rStyle w:val="FootnoteReference"/>
        </w:rPr>
        <w:footnoteRef/>
      </w:r>
      <w:r>
        <w:t xml:space="preserve"> Cross-references for "a devout": Luke 2:25; Acts 8:2.</w:t>
      </w:r>
    </w:p>
  </w:footnote>
  <w:footnote w:id="17166">
    <w:p>
      <w:pPr>
        <w:pStyle w:val="FootnoteText"/>
      </w:pPr>
      <w:r>
        <w:rPr>
          <w:rStyle w:val="FootnoteReference"/>
        </w:rPr>
        <w:footnoteRef/>
      </w:r>
      <w:r>
        <w:t xml:space="preserve"> Cross-references for "Brother": Acts 9:17; Phlm 1:16.</w:t>
      </w:r>
    </w:p>
  </w:footnote>
  <w:footnote w:id="17167">
    <w:p>
      <w:pPr>
        <w:pStyle w:val="FootnoteText"/>
      </w:pPr>
      <w:r>
        <w:rPr>
          <w:rStyle w:val="FootnoteReference"/>
        </w:rPr>
        <w:footnoteRef/>
      </w:r>
      <w:r>
        <w:t xml:space="preserve"> Cross-references for "The God": Exod 3:13-16; Exod 15:2.</w:t>
      </w:r>
    </w:p>
  </w:footnote>
  <w:footnote w:id="17168">
    <w:p>
      <w:pPr>
        <w:pStyle w:val="FootnoteText"/>
      </w:pPr>
      <w:r>
        <w:rPr>
          <w:rStyle w:val="FootnoteReference"/>
        </w:rPr>
        <w:footnoteRef/>
      </w:r>
      <w:r>
        <w:t xml:space="preserve"> Cross-references for "arise": Acts 2:38; Rom 6:3-4.</w:t>
      </w:r>
    </w:p>
  </w:footnote>
  <w:footnote w:id="17169">
    <w:p>
      <w:pPr>
        <w:pStyle w:val="FootnoteText"/>
      </w:pPr>
      <w:r>
        <w:rPr>
          <w:rStyle w:val="FootnoteReference"/>
        </w:rPr>
        <w:footnoteRef/>
      </w:r>
      <w:r>
        <w:t xml:space="preserve"> Cross-references for "know": Acts 8:3; Acts 9:1.</w:t>
      </w:r>
    </w:p>
  </w:footnote>
  <w:footnote w:id="17170">
    <w:p>
      <w:pPr>
        <w:pStyle w:val="FootnoteText"/>
      </w:pPr>
      <w:r>
        <w:rPr>
          <w:rStyle w:val="FootnoteReference"/>
        </w:rPr>
        <w:footnoteRef/>
      </w:r>
      <w:r>
        <w:t xml:space="preserve"> Cross-references for "Stephen": Acts 7:58; Acts 8:1.</w:t>
      </w:r>
    </w:p>
  </w:footnote>
  <w:footnote w:id="17171">
    <w:p>
      <w:pPr>
        <w:pStyle w:val="FootnoteText"/>
      </w:pPr>
      <w:r>
        <w:rPr>
          <w:rStyle w:val="FootnoteReference"/>
        </w:rPr>
        <w:footnoteRef/>
      </w:r>
      <w:r>
        <w:t xml:space="preserve"> Cross-references for "Depart": Acts 9:15.</w:t>
      </w:r>
    </w:p>
  </w:footnote>
  <w:footnote w:id="17172">
    <w:p>
      <w:pPr>
        <w:pStyle w:val="FootnoteText"/>
      </w:pPr>
      <w:r>
        <w:rPr>
          <w:rStyle w:val="FootnoteReference"/>
        </w:rPr>
        <w:footnoteRef/>
      </w:r>
      <w:r>
        <w:t xml:space="preserve"> Cross-references for "Away": Luke 23:18; John 19:15.</w:t>
      </w:r>
    </w:p>
  </w:footnote>
  <w:footnote w:id="17173">
    <w:p>
      <w:pPr>
        <w:pStyle w:val="FootnoteText"/>
      </w:pPr>
      <w:r>
        <w:rPr>
          <w:rStyle w:val="FootnoteReference"/>
        </w:rPr>
        <w:footnoteRef/>
      </w:r>
      <w:r>
        <w:t xml:space="preserve"> Cross-references for "cast": Eccl 10:3; Acts 7:53.</w:t>
      </w:r>
    </w:p>
  </w:footnote>
  <w:footnote w:id="17174">
    <w:p>
      <w:pPr>
        <w:pStyle w:val="FootnoteText"/>
      </w:pPr>
      <w:r>
        <w:rPr>
          <w:rStyle w:val="FootnoteReference"/>
        </w:rPr>
        <w:footnoteRef/>
      </w:r>
      <w:r>
        <w:t xml:space="preserve"> Cross-references for "that he should": John 19:1; Acts 16:22-23.</w:t>
      </w:r>
    </w:p>
  </w:footnote>
  <w:footnote w:id="17175">
    <w:p>
      <w:pPr>
        <w:pStyle w:val="FootnoteText"/>
      </w:pPr>
      <w:r>
        <w:rPr>
          <w:rStyle w:val="FootnoteReference"/>
        </w:rPr>
        <w:footnoteRef/>
      </w:r>
      <w:r>
        <w:t xml:space="preserve"> Cross-references for "the centurion": Matt 8:8; Matt 27:54.</w:t>
      </w:r>
    </w:p>
  </w:footnote>
  <w:footnote w:id="17176">
    <w:p>
      <w:pPr>
        <w:pStyle w:val="FootnoteText"/>
      </w:pPr>
      <w:r>
        <w:rPr>
          <w:rStyle w:val="FootnoteReference"/>
        </w:rPr>
        <w:footnoteRef/>
      </w:r>
      <w:r>
        <w:t xml:space="preserve"> Transliterated proper noun: Roman. Standard English equivalent: Roman. Source form: Roman. Greek form: ρωμαιον. Name meaning: strong; powerful.</w:t>
      </w:r>
    </w:p>
  </w:footnote>
  <w:footnote w:id="17177">
    <w:p>
      <w:pPr>
        <w:pStyle w:val="FootnoteText"/>
      </w:pPr>
      <w:r>
        <w:rPr>
          <w:rStyle w:val="FootnoteReference"/>
        </w:rPr>
        <w:footnoteRef/>
      </w:r>
      <w:r>
        <w:t xml:space="preserve"> Cross-references for "Take": Acts 22:29; Acts 23:27.</w:t>
      </w:r>
    </w:p>
  </w:footnote>
  <w:footnote w:id="17178">
    <w:p>
      <w:pPr>
        <w:pStyle w:val="FootnoteText"/>
      </w:pPr>
      <w:r>
        <w:rPr>
          <w:rStyle w:val="FootnoteReference"/>
        </w:rPr>
        <w:footnoteRef/>
      </w:r>
      <w:r>
        <w:t xml:space="preserve"> Cross-references for "the chief": Acts 16:38-39; Acts 22:25-26.</w:t>
      </w:r>
    </w:p>
  </w:footnote>
  <w:footnote w:id="17179">
    <w:p>
      <w:pPr>
        <w:pStyle w:val="FootnoteText"/>
      </w:pPr>
      <w:r>
        <w:rPr>
          <w:rStyle w:val="FootnoteReference"/>
        </w:rPr>
        <w:footnoteRef/>
      </w:r>
      <w:r>
        <w:t xml:space="preserve"> Cross-references for "commanded": Matt 10:17; Acts 5:21.</w:t>
      </w:r>
    </w:p>
  </w:footnote>
  <w:footnote w:id="17180">
    <w:p>
      <w:pPr>
        <w:pStyle w:val="FootnoteText"/>
      </w:pPr>
      <w:r>
        <w:rPr>
          <w:rStyle w:val="FootnoteReference"/>
        </w:rPr>
        <w:footnoteRef/>
      </w:r>
      <w:r>
        <w:t xml:space="preserve"> Cross-references for "Ananias": Acts 24:1.</w:t>
      </w:r>
    </w:p>
  </w:footnote>
  <w:footnote w:id="17181">
    <w:p>
      <w:pPr>
        <w:pStyle w:val="FootnoteText"/>
      </w:pPr>
      <w:r>
        <w:rPr>
          <w:rStyle w:val="FootnoteReference"/>
        </w:rPr>
        <w:footnoteRef/>
      </w:r>
      <w:r>
        <w:t xml:space="preserve"> Cross-references for "Paul": Matt 10:16.</w:t>
      </w:r>
    </w:p>
  </w:footnote>
  <w:footnote w:id="17182">
    <w:p>
      <w:pPr>
        <w:pStyle w:val="FootnoteText"/>
      </w:pPr>
      <w:r>
        <w:rPr>
          <w:rStyle w:val="FootnoteReference"/>
        </w:rPr>
        <w:footnoteRef/>
      </w:r>
      <w:r>
        <w:t xml:space="preserve"> Cross-references for "fearing": Ps 7:2; Ps 50:22.</w:t>
      </w:r>
    </w:p>
  </w:footnote>
  <w:footnote w:id="17183">
    <w:p>
      <w:pPr>
        <w:pStyle w:val="FootnoteText"/>
      </w:pPr>
      <w:r>
        <w:rPr>
          <w:rStyle w:val="FootnoteReference"/>
        </w:rPr>
        <w:footnoteRef/>
      </w:r>
      <w:r>
        <w:t xml:space="preserve"> Cross-references for "the Lord": Ps 46:1-2; Ps 109:31.</w:t>
      </w:r>
    </w:p>
  </w:footnote>
  <w:footnote w:id="17184">
    <w:p>
      <w:pPr>
        <w:pStyle w:val="FootnoteText"/>
      </w:pPr>
      <w:r>
        <w:rPr>
          <w:rStyle w:val="FootnoteReference"/>
        </w:rPr>
        <w:footnoteRef/>
      </w:r>
      <w:r>
        <w:t xml:space="preserve"> Cross-references for "certain": Ps 2:1-3; Ps 64:2-6.</w:t>
      </w:r>
    </w:p>
  </w:footnote>
  <w:footnote w:id="17185">
    <w:p>
      <w:pPr>
        <w:pStyle w:val="FootnoteText"/>
      </w:pPr>
      <w:r>
        <w:rPr>
          <w:rStyle w:val="FootnoteReference"/>
        </w:rPr>
        <w:footnoteRef/>
      </w:r>
      <w:r>
        <w:t xml:space="preserve"> Cross-references for "Paul": Gen 40:14-15; Acts 16:25.</w:t>
      </w:r>
    </w:p>
  </w:footnote>
  <w:footnote w:id="17186">
    <w:p>
      <w:pPr>
        <w:pStyle w:val="FootnoteText"/>
      </w:pPr>
      <w:r>
        <w:rPr>
          <w:rStyle w:val="FootnoteReference"/>
        </w:rPr>
        <w:footnoteRef/>
      </w:r>
      <w:r>
        <w:t xml:space="preserve"> Cross-references for "took": Jer 31:32; Mark 8:23.</w:t>
      </w:r>
    </w:p>
  </w:footnote>
  <w:footnote w:id="17187">
    <w:p>
      <w:pPr>
        <w:pStyle w:val="FootnoteText"/>
      </w:pPr>
      <w:r>
        <w:rPr>
          <w:rStyle w:val="FootnoteReference"/>
        </w:rPr>
        <w:footnoteRef/>
      </w:r>
      <w:r>
        <w:t xml:space="preserve"> Cross-references for "The Jews": Acts 23:12.</w:t>
      </w:r>
    </w:p>
  </w:footnote>
  <w:footnote w:id="17188">
    <w:p>
      <w:pPr>
        <w:pStyle w:val="FootnoteText"/>
      </w:pPr>
      <w:r>
        <w:rPr>
          <w:rStyle w:val="FootnoteReference"/>
        </w:rPr>
        <w:footnoteRef/>
      </w:r>
      <w:r>
        <w:t xml:space="preserve"> Cross-references for "do not": Exod 23:2.</w:t>
      </w:r>
    </w:p>
  </w:footnote>
  <w:footnote w:id="17189">
    <w:p>
      <w:pPr>
        <w:pStyle w:val="FootnoteText"/>
      </w:pPr>
      <w:r>
        <w:rPr>
          <w:rStyle w:val="FootnoteReference"/>
        </w:rPr>
        <w:footnoteRef/>
      </w:r>
      <w:r>
        <w:t xml:space="preserve"> Cross-references for "two centurions": Acts 23:17.</w:t>
      </w:r>
    </w:p>
  </w:footnote>
  <w:footnote w:id="17190">
    <w:p>
      <w:pPr>
        <w:pStyle w:val="FootnoteText"/>
      </w:pPr>
      <w:r>
        <w:rPr>
          <w:rStyle w:val="FootnoteReference"/>
        </w:rPr>
        <w:footnoteRef/>
      </w:r>
      <w:r>
        <w:t xml:space="preserve"> Name meaning: Felix (Felix) — Happy; fortunate. Trembled before the truth yet never found true happiness.</w:t>
      </w:r>
    </w:p>
  </w:footnote>
  <w:footnote w:id="17191">
    <w:p>
      <w:pPr>
        <w:pStyle w:val="FootnoteText"/>
      </w:pPr>
      <w:r>
        <w:rPr>
          <w:rStyle w:val="FootnoteReference"/>
        </w:rPr>
        <w:footnoteRef/>
      </w:r>
      <w:r>
        <w:t xml:space="preserve"> Cross-references for "Felix": Acts 23:26; Acts 23:33-35.</w:t>
      </w:r>
    </w:p>
  </w:footnote>
  <w:footnote w:id="17192">
    <w:p>
      <w:pPr>
        <w:pStyle w:val="FootnoteText"/>
      </w:pPr>
      <w:r>
        <w:rPr>
          <w:rStyle w:val="FootnoteReference"/>
        </w:rPr>
        <w:footnoteRef/>
      </w:r>
      <w:r>
        <w:t xml:space="preserve"> Personal name: Lysias. Personal-name meaning: Lysias — dissolving. Source form: Lysias.</w:t>
      </w:r>
    </w:p>
  </w:footnote>
  <w:footnote w:id="17193">
    <w:p>
      <w:pPr>
        <w:pStyle w:val="FootnoteText"/>
      </w:pPr>
      <w:r>
        <w:rPr>
          <w:rStyle w:val="FootnoteReference"/>
        </w:rPr>
        <w:footnoteRef/>
      </w:r>
      <w:r>
        <w:t xml:space="preserve"> Cross-references for "the most": Luke 1:3; Acts 24:3.</w:t>
      </w:r>
    </w:p>
  </w:footnote>
  <w:footnote w:id="17194">
    <w:p>
      <w:pPr>
        <w:pStyle w:val="FootnoteText"/>
      </w:pPr>
      <w:r>
        <w:rPr>
          <w:rStyle w:val="FootnoteReference"/>
        </w:rPr>
        <w:footnoteRef/>
      </w:r>
      <w:r>
        <w:t xml:space="preserve"> Cross-references for "questions": Acts 18:15; Acts 23:6-9.</w:t>
      </w:r>
    </w:p>
  </w:footnote>
  <w:footnote w:id="17195">
    <w:p>
      <w:pPr>
        <w:pStyle w:val="FootnoteText"/>
      </w:pPr>
      <w:r>
        <w:rPr>
          <w:rStyle w:val="FootnoteReference"/>
        </w:rPr>
        <w:footnoteRef/>
      </w:r>
      <w:r>
        <w:t xml:space="preserve"> Cross-references for "it was": Acts 23:16-24.</w:t>
      </w:r>
    </w:p>
  </w:footnote>
  <w:footnote w:id="17196">
    <w:p>
      <w:pPr>
        <w:pStyle w:val="FootnoteText"/>
      </w:pPr>
      <w:r>
        <w:rPr>
          <w:rStyle w:val="FootnoteReference"/>
        </w:rPr>
        <w:footnoteRef/>
      </w:r>
      <w:r>
        <w:t xml:space="preserve"> Place name: Antipatris. Place-name meaning: Antipatris — for, or against the father. Source form: Antipatris. Greek form: αντιπατριδα.</w:t>
      </w:r>
    </w:p>
  </w:footnote>
  <w:footnote w:id="17197">
    <w:p>
      <w:pPr>
        <w:pStyle w:val="FootnoteText"/>
      </w:pPr>
      <w:r>
        <w:rPr>
          <w:rStyle w:val="FootnoteReference"/>
        </w:rPr>
        <w:footnoteRef/>
      </w:r>
      <w:r>
        <w:t xml:space="preserve"> Cross-references for "delivered": Acts 23:25-30.</w:t>
      </w:r>
    </w:p>
  </w:footnote>
  <w:footnote w:id="17198">
    <w:p>
      <w:pPr>
        <w:pStyle w:val="FootnoteText"/>
      </w:pPr>
      <w:r>
        <w:rPr>
          <w:rStyle w:val="FootnoteReference"/>
        </w:rPr>
        <w:footnoteRef/>
      </w:r>
      <w:r>
        <w:t xml:space="preserve"> Cross-references for "he asked": Dan 2:49; Dan 6:1.</w:t>
      </w:r>
    </w:p>
  </w:footnote>
  <w:footnote w:id="17199">
    <w:p>
      <w:pPr>
        <w:pStyle w:val="FootnoteText"/>
      </w:pPr>
      <w:r>
        <w:rPr>
          <w:rStyle w:val="FootnoteReference"/>
        </w:rPr>
        <w:footnoteRef/>
      </w:r>
      <w:r>
        <w:t xml:space="preserve"> Cross-references for "five": Acts 21:27; Acts 24:11.</w:t>
      </w:r>
    </w:p>
  </w:footnote>
  <w:footnote w:id="17200">
    <w:p>
      <w:pPr>
        <w:pStyle w:val="FootnoteText"/>
      </w:pPr>
      <w:r>
        <w:rPr>
          <w:rStyle w:val="FootnoteReference"/>
        </w:rPr>
        <w:footnoteRef/>
      </w:r>
      <w:r>
        <w:t xml:space="preserve"> Personal name: Tertullus. Personal-name meaning: Tertullus — third. Source form: Tertullus.</w:t>
      </w:r>
    </w:p>
  </w:footnote>
  <w:footnote w:id="17201">
    <w:p>
      <w:pPr>
        <w:pStyle w:val="FootnoteText"/>
      </w:pPr>
      <w:r>
        <w:rPr>
          <w:rStyle w:val="FootnoteReference"/>
        </w:rPr>
        <w:footnoteRef/>
      </w:r>
      <w:r>
        <w:t xml:space="preserve"> Cross-references for "Seeing": Ps 10:3; Ps 12:2-3.</w:t>
      </w:r>
    </w:p>
  </w:footnote>
  <w:footnote w:id="17202">
    <w:p>
      <w:pPr>
        <w:pStyle w:val="FootnoteText"/>
      </w:pPr>
      <w:r>
        <w:rPr>
          <w:rStyle w:val="FootnoteReference"/>
        </w:rPr>
        <w:footnoteRef/>
      </w:r>
      <w:r>
        <w:t xml:space="preserve"> Cross-references for "most": Luke 1:3; Acts 23:26.</w:t>
      </w:r>
    </w:p>
  </w:footnote>
  <w:footnote w:id="17203">
    <w:p>
      <w:pPr>
        <w:pStyle w:val="FootnoteText"/>
      </w:pPr>
      <w:r>
        <w:rPr>
          <w:rStyle w:val="FootnoteReference"/>
        </w:rPr>
        <w:footnoteRef/>
      </w:r>
      <w:r>
        <w:t xml:space="preserve"> Cross-references for "and a mover": 1Sam 22:7-9; Ezra 4:12-19.</w:t>
      </w:r>
    </w:p>
  </w:footnote>
  <w:footnote w:id="17204">
    <w:p>
      <w:pPr>
        <w:pStyle w:val="FootnoteText"/>
      </w:pPr>
      <w:r>
        <w:rPr>
          <w:rStyle w:val="FootnoteReference"/>
        </w:rPr>
        <w:footnoteRef/>
      </w:r>
      <w:r>
        <w:t xml:space="preserve"> People-name: Nazarenes. People-name meaning: Nazarenes — people connected with Nazareth; separated/crowned. Source form: Nazarenes.</w:t>
      </w:r>
    </w:p>
  </w:footnote>
  <w:footnote w:id="17205">
    <w:p>
      <w:pPr>
        <w:pStyle w:val="FootnoteText"/>
      </w:pPr>
      <w:r>
        <w:rPr>
          <w:rStyle w:val="FootnoteReference"/>
        </w:rPr>
        <w:footnoteRef/>
      </w:r>
      <w:r>
        <w:t xml:space="preserve"> Cross-references for "great": Acts 21:35; Acts 23:10.</w:t>
      </w:r>
    </w:p>
  </w:footnote>
  <w:footnote w:id="17206">
    <w:p>
      <w:pPr>
        <w:pStyle w:val="FootnoteText"/>
      </w:pPr>
      <w:r>
        <w:rPr>
          <w:rStyle w:val="FootnoteReference"/>
        </w:rPr>
        <w:footnoteRef/>
      </w:r>
      <w:r>
        <w:t xml:space="preserve"> Cross-references for "Commanding": Acts 23:30; Acts 23:35.</w:t>
      </w:r>
    </w:p>
  </w:footnote>
  <w:footnote w:id="17207">
    <w:p>
      <w:pPr>
        <w:pStyle w:val="FootnoteText"/>
      </w:pPr>
      <w:r>
        <w:rPr>
          <w:rStyle w:val="FootnoteReference"/>
        </w:rPr>
        <w:footnoteRef/>
      </w:r>
      <w:r>
        <w:t xml:space="preserve"> Cross-references for "a judge": 1Sam 2:25; Luke 12:14.</w:t>
      </w:r>
    </w:p>
  </w:footnote>
  <w:footnote w:id="17208">
    <w:p>
      <w:pPr>
        <w:pStyle w:val="FootnoteText"/>
      </w:pPr>
      <w:r>
        <w:rPr>
          <w:rStyle w:val="FootnoteReference"/>
        </w:rPr>
        <w:footnoteRef/>
      </w:r>
      <w:r>
        <w:t xml:space="preserve"> Cross-references for "to worship": Acts 21:26; Acts 24:17.</w:t>
      </w:r>
    </w:p>
  </w:footnote>
  <w:footnote w:id="17209">
    <w:p>
      <w:pPr>
        <w:pStyle w:val="FootnoteText"/>
      </w:pPr>
      <w:r>
        <w:rPr>
          <w:rStyle w:val="FootnoteReference"/>
        </w:rPr>
        <w:footnoteRef/>
      </w:r>
      <w:r>
        <w:t xml:space="preserve"> Cross-references for "I confess": Ps 119:46; Matt 10:32.</w:t>
      </w:r>
    </w:p>
  </w:footnote>
  <w:footnote w:id="17210">
    <w:p>
      <w:pPr>
        <w:pStyle w:val="FootnoteText"/>
      </w:pPr>
      <w:r>
        <w:rPr>
          <w:rStyle w:val="FootnoteReference"/>
        </w:rPr>
        <w:footnoteRef/>
      </w:r>
      <w:r>
        <w:t xml:space="preserve"> Cross-references for "to bring": Acts 11:29-30; Acts 20:16.</w:t>
      </w:r>
    </w:p>
  </w:footnote>
  <w:footnote w:id="17211">
    <w:p>
      <w:pPr>
        <w:pStyle w:val="FootnoteText"/>
      </w:pPr>
      <w:r>
        <w:rPr>
          <w:rStyle w:val="FootnoteReference"/>
        </w:rPr>
        <w:footnoteRef/>
      </w:r>
      <w:r>
        <w:t xml:space="preserve"> Personal name: Drusilla. Personal-name meaning: Drusilla — watered by the dew. Source form: Drusilla.</w:t>
      </w:r>
    </w:p>
  </w:footnote>
  <w:footnote w:id="17212">
    <w:p>
      <w:pPr>
        <w:pStyle w:val="FootnoteText"/>
      </w:pPr>
      <w:r>
        <w:rPr>
          <w:rStyle w:val="FootnoteReference"/>
        </w:rPr>
        <w:footnoteRef/>
      </w:r>
      <w:r>
        <w:t xml:space="preserve"> Cross-references for "he sent": Mark 6:20; Luke 19:3.</w:t>
      </w:r>
    </w:p>
  </w:footnote>
  <w:footnote w:id="17213">
    <w:p>
      <w:pPr>
        <w:pStyle w:val="FootnoteText"/>
      </w:pPr>
      <w:r>
        <w:rPr>
          <w:rStyle w:val="FootnoteReference"/>
        </w:rPr>
        <w:footnoteRef/>
      </w:r>
      <w:r>
        <w:t xml:space="preserve"> Cross-references for "righteousness": 2Sam 23:3; Job 29:14.</w:t>
      </w:r>
    </w:p>
  </w:footnote>
  <w:footnote w:id="17214">
    <w:p>
      <w:pPr>
        <w:pStyle w:val="FootnoteText"/>
      </w:pPr>
      <w:r>
        <w:rPr>
          <w:rStyle w:val="FootnoteReference"/>
        </w:rPr>
        <w:footnoteRef/>
      </w:r>
      <w:r>
        <w:t xml:space="preserve"> Cross-references for "hoped": Exod 23:8; Deut 16:19.</w:t>
      </w:r>
    </w:p>
  </w:footnote>
  <w:footnote w:id="17215">
    <w:p>
      <w:pPr>
        <w:pStyle w:val="FootnoteText"/>
      </w:pPr>
      <w:r>
        <w:rPr>
          <w:rStyle w:val="FootnoteReference"/>
        </w:rPr>
        <w:footnoteRef/>
      </w:r>
      <w:r>
        <w:t xml:space="preserve"> Name meaning: Festus (Festus) — Festive; joyful. Roman governor who heard Paul’s defense.</w:t>
      </w:r>
    </w:p>
  </w:footnote>
  <w:footnote w:id="17216">
    <w:p>
      <w:pPr>
        <w:pStyle w:val="FootnoteText"/>
      </w:pPr>
      <w:r>
        <w:rPr>
          <w:rStyle w:val="FootnoteReference"/>
        </w:rPr>
        <w:footnoteRef/>
      </w:r>
      <w:r>
        <w:t xml:space="preserve"> Cross-references for "Porcius Festus": Acts 25:1; Acts 26:24-25.</w:t>
      </w:r>
    </w:p>
  </w:footnote>
  <w:footnote w:id="17217">
    <w:p>
      <w:pPr>
        <w:pStyle w:val="FootnoteText"/>
      </w:pPr>
      <w:r>
        <w:rPr>
          <w:rStyle w:val="FootnoteReference"/>
        </w:rPr>
        <w:footnoteRef/>
      </w:r>
      <w:r>
        <w:t xml:space="preserve"> Cross-references for "desired": 1Sam 23:19-21; Jer 38:4.</w:t>
      </w:r>
    </w:p>
  </w:footnote>
  <w:footnote w:id="17218">
    <w:p>
      <w:pPr>
        <w:pStyle w:val="FootnoteText"/>
      </w:pPr>
      <w:r>
        <w:rPr>
          <w:rStyle w:val="FootnoteReference"/>
        </w:rPr>
        <w:footnoteRef/>
      </w:r>
      <w:r>
        <w:t xml:space="preserve"> Cross-references for "them": Acts 23:30; Acts 24:8.</w:t>
      </w:r>
    </w:p>
  </w:footnote>
  <w:footnote w:id="17219">
    <w:p>
      <w:pPr>
        <w:pStyle w:val="FootnoteText"/>
      </w:pPr>
      <w:r>
        <w:rPr>
          <w:rStyle w:val="FootnoteReference"/>
        </w:rPr>
        <w:footnoteRef/>
      </w:r>
      <w:r>
        <w:t xml:space="preserve"> Cross-references for "sitting": Matt 27:19; John 19:13.</w:t>
      </w:r>
    </w:p>
  </w:footnote>
  <w:footnote w:id="17220">
    <w:p>
      <w:pPr>
        <w:pStyle w:val="FootnoteText"/>
      </w:pPr>
      <w:r>
        <w:rPr>
          <w:rStyle w:val="FootnoteReference"/>
        </w:rPr>
        <w:footnoteRef/>
      </w:r>
      <w:r>
        <w:t xml:space="preserve"> Cross-references for "willing": Mark 15:15; Acts 12:3.</w:t>
      </w:r>
    </w:p>
  </w:footnote>
  <w:footnote w:id="17221">
    <w:p>
      <w:pPr>
        <w:pStyle w:val="FootnoteText"/>
      </w:pPr>
      <w:r>
        <w:rPr>
          <w:rStyle w:val="FootnoteReference"/>
        </w:rPr>
        <w:footnoteRef/>
      </w:r>
      <w:r>
        <w:t xml:space="preserve"> Cross-references for "I stand": Acts 16:37-38; Acts 22:25-28.</w:t>
      </w:r>
    </w:p>
  </w:footnote>
  <w:footnote w:id="17222">
    <w:p>
      <w:pPr>
        <w:pStyle w:val="FootnoteText"/>
      </w:pPr>
      <w:r>
        <w:rPr>
          <w:rStyle w:val="FootnoteReference"/>
        </w:rPr>
        <w:footnoteRef/>
      </w:r>
      <w:r>
        <w:t xml:space="preserve"> Cross-references for "if I": Josh 22:22; 1Sam 12:3-5.</w:t>
      </w:r>
    </w:p>
  </w:footnote>
  <w:footnote w:id="17223">
    <w:p>
      <w:pPr>
        <w:pStyle w:val="FootnoteText"/>
      </w:pPr>
      <w:r>
        <w:rPr>
          <w:rStyle w:val="FootnoteReference"/>
        </w:rPr>
        <w:footnoteRef/>
      </w:r>
      <w:r>
        <w:t xml:space="preserve"> Cross-references for "king": Acts 25:22-23; Acts 26:1.</w:t>
      </w:r>
    </w:p>
  </w:footnote>
  <w:footnote w:id="17224">
    <w:p>
      <w:pPr>
        <w:pStyle w:val="FootnoteText"/>
      </w:pPr>
      <w:r>
        <w:rPr>
          <w:rStyle w:val="FootnoteReference"/>
        </w:rPr>
        <w:footnoteRef/>
      </w:r>
      <w:r>
        <w:t xml:space="preserve"> Name meaning: Agrippa (Agrippas) — Wild horse. Heard the gospel but remained untamed.</w:t>
      </w:r>
    </w:p>
  </w:footnote>
  <w:footnote w:id="17225">
    <w:p>
      <w:pPr>
        <w:pStyle w:val="FootnoteText"/>
      </w:pPr>
      <w:r>
        <w:rPr>
          <w:rStyle w:val="FootnoteReference"/>
        </w:rPr>
        <w:footnoteRef/>
      </w:r>
      <w:r>
        <w:t xml:space="preserve"> Name meaning: Bernice (Bernike) — Bringer of victory. Present at Paul’s trial.</w:t>
      </w:r>
    </w:p>
  </w:footnote>
  <w:footnote w:id="17226">
    <w:p>
      <w:pPr>
        <w:pStyle w:val="FootnoteText"/>
      </w:pPr>
      <w:r>
        <w:rPr>
          <w:rStyle w:val="FootnoteReference"/>
        </w:rPr>
        <w:footnoteRef/>
      </w:r>
      <w:r>
        <w:t xml:space="preserve"> Cross-references for "It is not": Acts 25:4-5.</w:t>
      </w:r>
    </w:p>
  </w:footnote>
  <w:footnote w:id="17227">
    <w:p>
      <w:pPr>
        <w:pStyle w:val="FootnoteText"/>
      </w:pPr>
      <w:r>
        <w:rPr>
          <w:rStyle w:val="FootnoteReference"/>
        </w:rPr>
        <w:footnoteRef/>
      </w:r>
      <w:r>
        <w:t xml:space="preserve"> Cross-references for "certain": Acts 18:15; Acts 18:19.</w:t>
      </w:r>
    </w:p>
  </w:footnote>
  <w:footnote w:id="17228">
    <w:p>
      <w:pPr>
        <w:pStyle w:val="FootnoteText"/>
      </w:pPr>
      <w:r>
        <w:rPr>
          <w:rStyle w:val="FootnoteReference"/>
        </w:rPr>
        <w:footnoteRef/>
      </w:r>
      <w:r>
        <w:t xml:space="preserve"> Cross-references for "I asked": Acts 25:9.</w:t>
      </w:r>
    </w:p>
  </w:footnote>
  <w:footnote w:id="17229">
    <w:p>
      <w:pPr>
        <w:pStyle w:val="FootnoteText"/>
      </w:pPr>
      <w:r>
        <w:rPr>
          <w:rStyle w:val="FootnoteReference"/>
        </w:rPr>
        <w:footnoteRef/>
      </w:r>
      <w:r>
        <w:t xml:space="preserve"> Cross-references for "Augustus": Luke 2:1; Acts 27:1.</w:t>
      </w:r>
    </w:p>
  </w:footnote>
  <w:footnote w:id="17230">
    <w:p>
      <w:pPr>
        <w:pStyle w:val="FootnoteText"/>
      </w:pPr>
      <w:r>
        <w:rPr>
          <w:rStyle w:val="FootnoteReference"/>
        </w:rPr>
        <w:footnoteRef/>
      </w:r>
      <w:r>
        <w:t xml:space="preserve"> Cross-references for "committed": Luke 23:4; Luke 23:14.</w:t>
      </w:r>
    </w:p>
  </w:footnote>
  <w:footnote w:id="17231">
    <w:p>
      <w:pPr>
        <w:pStyle w:val="FootnoteText"/>
      </w:pPr>
      <w:r>
        <w:rPr>
          <w:rStyle w:val="FootnoteReference"/>
        </w:rPr>
        <w:footnoteRef/>
      </w:r>
      <w:r>
        <w:t xml:space="preserve"> Cross-references for "stretched": Prov 1:24; Ezek 16:27.</w:t>
      </w:r>
    </w:p>
  </w:footnote>
  <w:footnote w:id="17232">
    <w:p>
      <w:pPr>
        <w:pStyle w:val="FootnoteText"/>
      </w:pPr>
      <w:r>
        <w:rPr>
          <w:rStyle w:val="FootnoteReference"/>
        </w:rPr>
        <w:footnoteRef/>
      </w:r>
      <w:r>
        <w:t xml:space="preserve"> Cross-references for "to hear": Acts 24:4.</w:t>
      </w:r>
    </w:p>
  </w:footnote>
  <w:footnote w:id="17233">
    <w:p>
      <w:pPr>
        <w:pStyle w:val="FootnoteText"/>
      </w:pPr>
      <w:r>
        <w:rPr>
          <w:rStyle w:val="FootnoteReference"/>
        </w:rPr>
        <w:footnoteRef/>
      </w:r>
      <w:r>
        <w:t xml:space="preserve"> Cross-references for "manner": 2Tim 3:10.</w:t>
      </w:r>
    </w:p>
  </w:footnote>
  <w:footnote w:id="17234">
    <w:p>
      <w:pPr>
        <w:pStyle w:val="FootnoteText"/>
      </w:pPr>
      <w:r>
        <w:rPr>
          <w:rStyle w:val="FootnoteReference"/>
        </w:rPr>
        <w:footnoteRef/>
      </w:r>
      <w:r>
        <w:t xml:space="preserve"> Cross-references for "sect": Acts 24:5; Acts 24:14.</w:t>
      </w:r>
    </w:p>
  </w:footnote>
  <w:footnote w:id="17235">
    <w:p>
      <w:pPr>
        <w:pStyle w:val="FootnoteText"/>
      </w:pPr>
      <w:r>
        <w:rPr>
          <w:rStyle w:val="FootnoteReference"/>
        </w:rPr>
        <w:footnoteRef/>
      </w:r>
      <w:r>
        <w:t xml:space="preserve"> Cross-references for "the promise": Gen 3:15; Gen 12:3.</w:t>
      </w:r>
    </w:p>
  </w:footnote>
  <w:footnote w:id="17236">
    <w:p>
      <w:pPr>
        <w:pStyle w:val="FootnoteText"/>
      </w:pPr>
      <w:r>
        <w:rPr>
          <w:rStyle w:val="FootnoteReference"/>
        </w:rPr>
        <w:footnoteRef/>
      </w:r>
      <w:r>
        <w:t xml:space="preserve"> Cross-references for "hope": Luke 2:25; Luke 2:38.</w:t>
      </w:r>
    </w:p>
  </w:footnote>
  <w:footnote w:id="17237">
    <w:p>
      <w:pPr>
        <w:pStyle w:val="FootnoteText"/>
      </w:pPr>
      <w:r>
        <w:rPr>
          <w:rStyle w:val="FootnoteReference"/>
        </w:rPr>
        <w:footnoteRef/>
      </w:r>
      <w:r>
        <w:t xml:space="preserve"> Cross-references for "the name": Acts 3:6; Acts 9:16.</w:t>
      </w:r>
    </w:p>
  </w:footnote>
  <w:footnote w:id="17238">
    <w:p>
      <w:pPr>
        <w:pStyle w:val="FootnoteText"/>
      </w:pPr>
      <w:r>
        <w:rPr>
          <w:rStyle w:val="FootnoteReference"/>
        </w:rPr>
        <w:footnoteRef/>
      </w:r>
      <w:r>
        <w:t xml:space="preserve"> Cross-references for "I also": Acts 7:58; Acts 8:1.</w:t>
      </w:r>
    </w:p>
  </w:footnote>
  <w:footnote w:id="17239">
    <w:p>
      <w:pPr>
        <w:pStyle w:val="FootnoteText"/>
      </w:pPr>
      <w:r>
        <w:rPr>
          <w:rStyle w:val="FootnoteReference"/>
        </w:rPr>
        <w:footnoteRef/>
      </w:r>
      <w:r>
        <w:t xml:space="preserve"> Cross-references for "I punished": Matt 10:17; Mark 13:9.</w:t>
      </w:r>
    </w:p>
  </w:footnote>
  <w:footnote w:id="17240">
    <w:p>
      <w:pPr>
        <w:pStyle w:val="FootnoteText"/>
      </w:pPr>
      <w:r>
        <w:rPr>
          <w:rStyle w:val="FootnoteReference"/>
        </w:rPr>
        <w:footnoteRef/>
      </w:r>
      <w:r>
        <w:t xml:space="preserve"> Cross-references for "midday": Acts 9:3; Acts 22:6.</w:t>
      </w:r>
    </w:p>
  </w:footnote>
  <w:footnote w:id="17241">
    <w:p>
      <w:pPr>
        <w:pStyle w:val="FootnoteText"/>
      </w:pPr>
      <w:r>
        <w:rPr>
          <w:rStyle w:val="FootnoteReference"/>
        </w:rPr>
        <w:footnoteRef/>
      </w:r>
      <w:r>
        <w:t xml:space="preserve"> Cross-references for "Saul": Acts 9:4-5; Acts 22:7-9.</w:t>
      </w:r>
    </w:p>
  </w:footnote>
  <w:footnote w:id="17242">
    <w:p>
      <w:pPr>
        <w:pStyle w:val="FootnoteText"/>
      </w:pPr>
      <w:r>
        <w:rPr>
          <w:rStyle w:val="FootnoteReference"/>
        </w:rPr>
        <w:footnoteRef/>
      </w:r>
      <w:r>
        <w:t xml:space="preserve"> Cross-references for "rise": Acts 9:6-9; Acts 22:10.</w:t>
      </w:r>
    </w:p>
  </w:footnote>
  <w:footnote w:id="17243">
    <w:p>
      <w:pPr>
        <w:pStyle w:val="FootnoteText"/>
      </w:pPr>
      <w:r>
        <w:rPr>
          <w:rStyle w:val="FootnoteReference"/>
        </w:rPr>
        <w:footnoteRef/>
      </w:r>
      <w:r>
        <w:t xml:space="preserve"> Cross-references for "Delivering": Ps 34:19; Ps 37:32-33.</w:t>
      </w:r>
    </w:p>
  </w:footnote>
  <w:footnote w:id="17244">
    <w:p>
      <w:pPr>
        <w:pStyle w:val="FootnoteText"/>
      </w:pPr>
      <w:r>
        <w:rPr>
          <w:rStyle w:val="FootnoteReference"/>
        </w:rPr>
        <w:footnoteRef/>
      </w:r>
      <w:r>
        <w:t xml:space="preserve"> Cross-references for "open": Ps 119:18; Ps 146:8.</w:t>
      </w:r>
    </w:p>
  </w:footnote>
  <w:footnote w:id="17245">
    <w:p>
      <w:pPr>
        <w:pStyle w:val="FootnoteText"/>
      </w:pPr>
      <w:r>
        <w:rPr>
          <w:rStyle w:val="FootnoteReference"/>
        </w:rPr>
        <w:footnoteRef/>
      </w:r>
      <w:r>
        <w:t xml:space="preserve"> Cross-references for "O king": Acts 26:2; Acts 26:26-27.</w:t>
      </w:r>
    </w:p>
  </w:footnote>
  <w:footnote w:id="17246">
    <w:p>
      <w:pPr>
        <w:pStyle w:val="FootnoteText"/>
      </w:pPr>
      <w:r>
        <w:rPr>
          <w:rStyle w:val="FootnoteReference"/>
        </w:rPr>
        <w:footnoteRef/>
      </w:r>
      <w:r>
        <w:t xml:space="preserve"> Cross-references for "first": Acts 9:19-22; Acts 11:26-30.</w:t>
      </w:r>
    </w:p>
  </w:footnote>
  <w:footnote w:id="17247">
    <w:p>
      <w:pPr>
        <w:pStyle w:val="FootnoteText"/>
      </w:pPr>
      <w:r>
        <w:rPr>
          <w:rStyle w:val="FootnoteReference"/>
        </w:rPr>
        <w:footnoteRef/>
      </w:r>
      <w:r>
        <w:t xml:space="preserve"> Cross-references for "the Jews": Acts 21:30-31; Acts 22:22.</w:t>
      </w:r>
    </w:p>
  </w:footnote>
  <w:footnote w:id="17248">
    <w:p>
      <w:pPr>
        <w:pStyle w:val="FootnoteText"/>
      </w:pPr>
      <w:r>
        <w:rPr>
          <w:rStyle w:val="FootnoteReference"/>
        </w:rPr>
        <w:footnoteRef/>
      </w:r>
      <w:r>
        <w:t xml:space="preserve"> Cross-references for "obtained": 1Sam 7:12; Ezra 8:31.</w:t>
      </w:r>
    </w:p>
  </w:footnote>
  <w:footnote w:id="17249">
    <w:p>
      <w:pPr>
        <w:pStyle w:val="FootnoteText"/>
      </w:pPr>
      <w:r>
        <w:rPr>
          <w:rStyle w:val="FootnoteReference"/>
        </w:rPr>
        <w:footnoteRef/>
      </w:r>
      <w:r>
        <w:t xml:space="preserve"> Cross-references for "Christ": Gen 3:15; Isa 53:1-12.</w:t>
      </w:r>
    </w:p>
  </w:footnote>
  <w:footnote w:id="17250">
    <w:p>
      <w:pPr>
        <w:pStyle w:val="FootnoteText"/>
      </w:pPr>
      <w:r>
        <w:rPr>
          <w:rStyle w:val="FootnoteReference"/>
        </w:rPr>
        <w:footnoteRef/>
      </w:r>
      <w:r>
        <w:t xml:space="preserve"> Cross-references for "Festus": Acts 17:32; Acts 24:25.</w:t>
      </w:r>
    </w:p>
  </w:footnote>
  <w:footnote w:id="17251">
    <w:p>
      <w:pPr>
        <w:pStyle w:val="FootnoteText"/>
      </w:pPr>
      <w:r>
        <w:rPr>
          <w:rStyle w:val="FootnoteReference"/>
        </w:rPr>
        <w:footnoteRef/>
      </w:r>
      <w:r>
        <w:t xml:space="preserve"> Cross-references for "I am not": John 8:49; 1Pet 2:21-23.</w:t>
      </w:r>
    </w:p>
  </w:footnote>
  <w:footnote w:id="17252">
    <w:p>
      <w:pPr>
        <w:pStyle w:val="FootnoteText"/>
      </w:pPr>
      <w:r>
        <w:rPr>
          <w:rStyle w:val="FootnoteReference"/>
        </w:rPr>
        <w:footnoteRef/>
      </w:r>
      <w:r>
        <w:t xml:space="preserve"> Cross-references for "this thing": Isa 30:20; Matt 26:5.</w:t>
      </w:r>
    </w:p>
  </w:footnote>
  <w:footnote w:id="17253">
    <w:p>
      <w:pPr>
        <w:pStyle w:val="FootnoteText"/>
      </w:pPr>
      <w:r>
        <w:rPr>
          <w:rStyle w:val="FootnoteReference"/>
        </w:rPr>
        <w:footnoteRef/>
      </w:r>
      <w:r>
        <w:t xml:space="preserve"> People-name: Christian. People-name meaning: Christian — follower of Christ, the anointed one. Source form: Christian.</w:t>
      </w:r>
    </w:p>
  </w:footnote>
  <w:footnote w:id="17254">
    <w:p>
      <w:pPr>
        <w:pStyle w:val="FootnoteText"/>
      </w:pPr>
      <w:r>
        <w:rPr>
          <w:rStyle w:val="FootnoteReference"/>
        </w:rPr>
        <w:footnoteRef/>
      </w:r>
      <w:r>
        <w:t xml:space="preserve"> Cross-references for "I would": Exod 16:3; Num 11:29.</w:t>
      </w:r>
    </w:p>
  </w:footnote>
  <w:footnote w:id="17255">
    <w:p>
      <w:pPr>
        <w:pStyle w:val="FootnoteText"/>
      </w:pPr>
      <w:r>
        <w:rPr>
          <w:rStyle w:val="FootnoteReference"/>
        </w:rPr>
        <w:footnoteRef/>
      </w:r>
      <w:r>
        <w:t xml:space="preserve"> Cross-references for "This man": 2Sam 24:17; Luke 23:4.</w:t>
      </w:r>
    </w:p>
  </w:footnote>
  <w:footnote w:id="17256">
    <w:p>
      <w:pPr>
        <w:pStyle w:val="FootnoteText"/>
      </w:pPr>
      <w:r>
        <w:rPr>
          <w:rStyle w:val="FootnoteReference"/>
        </w:rPr>
        <w:footnoteRef/>
      </w:r>
      <w:r>
        <w:t xml:space="preserve"> Cross-references for "appealed": Acts 25:11-12; Acts 25:25.</w:t>
      </w:r>
    </w:p>
  </w:footnote>
  <w:footnote w:id="17257">
    <w:p>
      <w:pPr>
        <w:pStyle w:val="FootnoteText"/>
      </w:pPr>
      <w:r>
        <w:rPr>
          <w:rStyle w:val="FootnoteReference"/>
        </w:rPr>
        <w:footnoteRef/>
      </w:r>
      <w:r>
        <w:t xml:space="preserve"> Cross-references for "Italy": Acts 10:1; Acts 18:2.</w:t>
      </w:r>
    </w:p>
  </w:footnote>
  <w:footnote w:id="17258">
    <w:p>
      <w:pPr>
        <w:pStyle w:val="FootnoteText"/>
      </w:pPr>
      <w:r>
        <w:rPr>
          <w:rStyle w:val="FootnoteReference"/>
        </w:rPr>
        <w:footnoteRef/>
      </w:r>
      <w:r>
        <w:t xml:space="preserve"> Personal name: Julius. Personal-name meaning: Julius — downy; soft and tender hair. Source form: Julius.</w:t>
      </w:r>
    </w:p>
  </w:footnote>
  <w:footnote w:id="17259">
    <w:p>
      <w:pPr>
        <w:pStyle w:val="FootnoteText"/>
      </w:pPr>
      <w:r>
        <w:rPr>
          <w:rStyle w:val="FootnoteReference"/>
        </w:rPr>
        <w:footnoteRef/>
      </w:r>
      <w:r>
        <w:t xml:space="preserve"> Transliterated proper noun: Augustan. Standard English equivalent: Augustus. Source form: Augustan. Name meaning: increased, augmented.</w:t>
      </w:r>
    </w:p>
  </w:footnote>
  <w:footnote w:id="17260">
    <w:p>
      <w:pPr>
        <w:pStyle w:val="FootnoteText"/>
      </w:pPr>
      <w:r>
        <w:rPr>
          <w:rStyle w:val="FootnoteReference"/>
        </w:rPr>
        <w:footnoteRef/>
      </w:r>
      <w:r>
        <w:t xml:space="preserve"> Place name: Adramyttium. Place-name meaning: Adramyttium — the court of death. Source form: Adramyttium. Greek form: αδραμυττηνω.</w:t>
      </w:r>
    </w:p>
  </w:footnote>
  <w:footnote w:id="17261">
    <w:p>
      <w:pPr>
        <w:pStyle w:val="FootnoteText"/>
      </w:pPr>
      <w:r>
        <w:rPr>
          <w:rStyle w:val="FootnoteReference"/>
        </w:rPr>
        <w:footnoteRef/>
      </w:r>
      <w:r>
        <w:t xml:space="preserve"> Cross-references for "to sail": Acts 20:15-16; Acts 21:1-3.</w:t>
      </w:r>
    </w:p>
  </w:footnote>
  <w:footnote w:id="17262">
    <w:p>
      <w:pPr>
        <w:pStyle w:val="FootnoteText"/>
      </w:pPr>
      <w:r>
        <w:rPr>
          <w:rStyle w:val="FootnoteReference"/>
        </w:rPr>
        <w:footnoteRef/>
      </w:r>
      <w:r>
        <w:t xml:space="preserve"> People-name: Macedonian. People-name meaning: Macedonian — person of Macedonia; high/tall one. Source form: Macedonian.</w:t>
      </w:r>
    </w:p>
  </w:footnote>
  <w:footnote w:id="17263">
    <w:p>
      <w:pPr>
        <w:pStyle w:val="FootnoteText"/>
      </w:pPr>
      <w:r>
        <w:rPr>
          <w:rStyle w:val="FootnoteReference"/>
        </w:rPr>
        <w:footnoteRef/>
      </w:r>
      <w:r>
        <w:t xml:space="preserve"> Cross-references for "Sidon": Gen 10:15; Gen 49:13.</w:t>
      </w:r>
    </w:p>
  </w:footnote>
  <w:footnote w:id="17264">
    <w:p>
      <w:pPr>
        <w:pStyle w:val="FootnoteText"/>
      </w:pPr>
      <w:r>
        <w:rPr>
          <w:rStyle w:val="FootnoteReference"/>
        </w:rPr>
        <w:footnoteRef/>
      </w:r>
      <w:r>
        <w:t xml:space="preserve"> Cross-references for "Cyprus": Acts 4:36; Acts 11:19-20.</w:t>
      </w:r>
    </w:p>
  </w:footnote>
  <w:footnote w:id="17265">
    <w:p>
      <w:pPr>
        <w:pStyle w:val="FootnoteText"/>
      </w:pPr>
      <w:r>
        <w:rPr>
          <w:rStyle w:val="FootnoteReference"/>
        </w:rPr>
        <w:footnoteRef/>
      </w:r>
      <w:r>
        <w:t xml:space="preserve"> Cross-references for "Cilicia": Acts 6:9; Acts 15:23.</w:t>
      </w:r>
    </w:p>
  </w:footnote>
  <w:footnote w:id="17266">
    <w:p>
      <w:pPr>
        <w:pStyle w:val="FootnoteText"/>
      </w:pPr>
      <w:r>
        <w:rPr>
          <w:rStyle w:val="FootnoteReference"/>
        </w:rPr>
        <w:footnoteRef/>
      </w:r>
      <w:r>
        <w:t xml:space="preserve"> Place name: Myra. Place-name meaning: Myra — I flow; pour out; weep. Source form: Myra. Greek form: μυρα.</w:t>
      </w:r>
    </w:p>
  </w:footnote>
  <w:footnote w:id="17267">
    <w:p>
      <w:pPr>
        <w:pStyle w:val="FootnoteText"/>
      </w:pPr>
      <w:r>
        <w:rPr>
          <w:rStyle w:val="FootnoteReference"/>
        </w:rPr>
        <w:footnoteRef/>
      </w:r>
      <w:r>
        <w:t xml:space="preserve"> Place name: Lycia. Place-name meaning: Lycia — wolf-land; Lycian region. Source form: Lycia. Greek form: λυκιας.</w:t>
      </w:r>
    </w:p>
  </w:footnote>
  <w:footnote w:id="17268">
    <w:p>
      <w:pPr>
        <w:pStyle w:val="FootnoteText"/>
      </w:pPr>
      <w:r>
        <w:rPr>
          <w:rStyle w:val="FootnoteReference"/>
        </w:rPr>
        <w:footnoteRef/>
      </w:r>
      <w:r>
        <w:t xml:space="preserve"> Cross-references for "the centurion": Acts 27:1.</w:t>
      </w:r>
    </w:p>
  </w:footnote>
  <w:footnote w:id="17269">
    <w:p>
      <w:pPr>
        <w:pStyle w:val="FootnoteText"/>
      </w:pPr>
      <w:r>
        <w:rPr>
          <w:rStyle w:val="FootnoteReference"/>
        </w:rPr>
        <w:footnoteRef/>
      </w:r>
      <w:r>
        <w:t xml:space="preserve"> Place name: Cnidus. Place-name meaning: Cnidus — age. Source form: Cnidus. Greek form: κνιδον.</w:t>
      </w:r>
    </w:p>
  </w:footnote>
  <w:footnote w:id="17270">
    <w:p>
      <w:pPr>
        <w:pStyle w:val="FootnoteText"/>
      </w:pPr>
      <w:r>
        <w:rPr>
          <w:rStyle w:val="FootnoteReference"/>
        </w:rPr>
        <w:footnoteRef/>
      </w:r>
      <w:r>
        <w:t xml:space="preserve"> Cross-references for "we sailed": Acts 2:11; Acts 27:12-13.</w:t>
      </w:r>
    </w:p>
  </w:footnote>
  <w:footnote w:id="17271">
    <w:p>
      <w:pPr>
        <w:pStyle w:val="FootnoteText"/>
      </w:pPr>
      <w:r>
        <w:rPr>
          <w:rStyle w:val="FootnoteReference"/>
        </w:rPr>
        <w:footnoteRef/>
      </w:r>
      <w:r>
        <w:t xml:space="preserve"> Place name: Crete. Place-name meaning: Crete — carnal; fleshly. Source form: Crete. Greek form: κρητην.</w:t>
      </w:r>
    </w:p>
  </w:footnote>
  <w:footnote w:id="17272">
    <w:p>
      <w:pPr>
        <w:pStyle w:val="FootnoteText"/>
      </w:pPr>
      <w:r>
        <w:rPr>
          <w:rStyle w:val="FootnoteReference"/>
        </w:rPr>
        <w:footnoteRef/>
      </w:r>
      <w:r>
        <w:t xml:space="preserve"> Place name: Salmone. Place-name meaning: Salmone — peaceable; perfect. Source form: Salmone. Greek form: σαλμωνην.</w:t>
      </w:r>
    </w:p>
  </w:footnote>
  <w:footnote w:id="17273">
    <w:p>
      <w:pPr>
        <w:pStyle w:val="FootnoteText"/>
      </w:pPr>
      <w:r>
        <w:rPr>
          <w:rStyle w:val="FootnoteReference"/>
        </w:rPr>
        <w:footnoteRef/>
      </w:r>
      <w:r>
        <w:t xml:space="preserve"> Place name: Lasea. Place-name meaning: Lasea — thick; wise. Source form: Lasea. Greek form: λασαια.</w:t>
      </w:r>
    </w:p>
  </w:footnote>
  <w:footnote w:id="17274">
    <w:p>
      <w:pPr>
        <w:pStyle w:val="FootnoteText"/>
      </w:pPr>
      <w:r>
        <w:rPr>
          <w:rStyle w:val="FootnoteReference"/>
        </w:rPr>
        <w:footnoteRef/>
      </w:r>
      <w:r>
        <w:t xml:space="preserve"> Cross-references for "the fast": Lev 16:29; Lev 23:27-29.</w:t>
      </w:r>
    </w:p>
  </w:footnote>
  <w:footnote w:id="17275">
    <w:p>
      <w:pPr>
        <w:pStyle w:val="FootnoteText"/>
      </w:pPr>
      <w:r>
        <w:rPr>
          <w:rStyle w:val="FootnoteReference"/>
        </w:rPr>
        <w:footnoteRef/>
      </w:r>
      <w:r>
        <w:t xml:space="preserve"> Cross-references for "I perceive": Gen 41:16-25; Gen 41:38-39.</w:t>
      </w:r>
    </w:p>
  </w:footnote>
  <w:footnote w:id="17276">
    <w:p>
      <w:pPr>
        <w:pStyle w:val="FootnoteText"/>
      </w:pPr>
      <w:r>
        <w:rPr>
          <w:rStyle w:val="FootnoteReference"/>
        </w:rPr>
        <w:footnoteRef/>
      </w:r>
      <w:r>
        <w:t xml:space="preserve"> Cross-references for "believed": Exod 9:20-21; 2Kgs 6:10.</w:t>
      </w:r>
    </w:p>
  </w:footnote>
  <w:footnote w:id="17277">
    <w:p>
      <w:pPr>
        <w:pStyle w:val="FootnoteText"/>
      </w:pPr>
      <w:r>
        <w:rPr>
          <w:rStyle w:val="FootnoteReference"/>
        </w:rPr>
        <w:footnoteRef/>
      </w:r>
      <w:r>
        <w:t xml:space="preserve"> Cross-references for "the haven": Ps 107:30; Acts 27:8.</w:t>
      </w:r>
    </w:p>
  </w:footnote>
  <w:footnote w:id="17278">
    <w:p>
      <w:pPr>
        <w:pStyle w:val="FootnoteText"/>
      </w:pPr>
      <w:r>
        <w:rPr>
          <w:rStyle w:val="FootnoteReference"/>
        </w:rPr>
        <w:footnoteRef/>
      </w:r>
      <w:r>
        <w:t xml:space="preserve"> Cross-references for "the south": Job 37:17; Ps 78:26.</w:t>
      </w:r>
    </w:p>
  </w:footnote>
  <w:footnote w:id="17279">
    <w:p>
      <w:pPr>
        <w:pStyle w:val="FootnoteText"/>
      </w:pPr>
      <w:r>
        <w:rPr>
          <w:rStyle w:val="FootnoteReference"/>
        </w:rPr>
        <w:footnoteRef/>
      </w:r>
      <w:r>
        <w:t xml:space="preserve"> Cross-references for "a tempestuous": Ps 107:25-27; Ezek 27:26.</w:t>
      </w:r>
    </w:p>
  </w:footnote>
  <w:footnote w:id="17280">
    <w:p>
      <w:pPr>
        <w:pStyle w:val="FootnoteText"/>
      </w:pPr>
      <w:r>
        <w:rPr>
          <w:rStyle w:val="FootnoteReference"/>
        </w:rPr>
        <w:footnoteRef/>
      </w:r>
      <w:r>
        <w:t xml:space="preserve"> Transliterated proper noun: Clauda. Standard English equivalent: Clauda. Source form: Clauda. Greek form: κλαυδην. Name meaning: a lamentable voice.</w:t>
      </w:r>
    </w:p>
  </w:footnote>
  <w:footnote w:id="17281">
    <w:p>
      <w:pPr>
        <w:pStyle w:val="FootnoteText"/>
      </w:pPr>
      <w:r>
        <w:rPr>
          <w:rStyle w:val="FootnoteReference"/>
        </w:rPr>
        <w:footnoteRef/>
      </w:r>
      <w:r>
        <w:t xml:space="preserve"> Cross-references for "Clauda": Acts 27:16.</w:t>
      </w:r>
    </w:p>
  </w:footnote>
  <w:footnote w:id="17282">
    <w:p>
      <w:pPr>
        <w:pStyle w:val="FootnoteText"/>
      </w:pPr>
      <w:r>
        <w:rPr>
          <w:rStyle w:val="FootnoteReference"/>
        </w:rPr>
        <w:footnoteRef/>
      </w:r>
      <w:r>
        <w:t xml:space="preserve"> Cross-references for "fearing": Acts 27:29; Acts 27:41.</w:t>
      </w:r>
    </w:p>
  </w:footnote>
  <w:footnote w:id="17283">
    <w:p>
      <w:pPr>
        <w:pStyle w:val="FootnoteText"/>
      </w:pPr>
      <w:r>
        <w:rPr>
          <w:rStyle w:val="FootnoteReference"/>
        </w:rPr>
        <w:footnoteRef/>
      </w:r>
      <w:r>
        <w:t xml:space="preserve"> Cross-references for "the next": Jonah 1:5; Matt 16:26.</w:t>
      </w:r>
    </w:p>
  </w:footnote>
  <w:footnote w:id="17284">
    <w:p>
      <w:pPr>
        <w:pStyle w:val="FootnoteText"/>
      </w:pPr>
      <w:r>
        <w:rPr>
          <w:rStyle w:val="FootnoteReference"/>
        </w:rPr>
        <w:footnoteRef/>
      </w:r>
      <w:r>
        <w:t xml:space="preserve"> Cross-references for "and no": Ps 107:25-27; Jonah 1:4.</w:t>
      </w:r>
    </w:p>
  </w:footnote>
  <w:footnote w:id="17285">
    <w:p>
      <w:pPr>
        <w:pStyle w:val="FootnoteText"/>
      </w:pPr>
      <w:r>
        <w:rPr>
          <w:rStyle w:val="FootnoteReference"/>
        </w:rPr>
        <w:footnoteRef/>
      </w:r>
      <w:r>
        <w:t xml:space="preserve"> Cross-references for "I exhort": 1Sam 30:6; Ezra 10:2.</w:t>
      </w:r>
    </w:p>
  </w:footnote>
  <w:footnote w:id="17286">
    <w:p>
      <w:pPr>
        <w:pStyle w:val="FootnoteText"/>
      </w:pPr>
      <w:r>
        <w:rPr>
          <w:rStyle w:val="FootnoteReference"/>
        </w:rPr>
        <w:footnoteRef/>
      </w:r>
      <w:r>
        <w:t xml:space="preserve"> Cross-references for "I believe": Num 23:19; 2Chr 20:20.</w:t>
      </w:r>
    </w:p>
  </w:footnote>
  <w:footnote w:id="17287">
    <w:p>
      <w:pPr>
        <w:pStyle w:val="FootnoteText"/>
      </w:pPr>
      <w:r>
        <w:rPr>
          <w:rStyle w:val="FootnoteReference"/>
        </w:rPr>
        <w:footnoteRef/>
      </w:r>
      <w:r>
        <w:t xml:space="preserve"> Cross-references for "the fourteenth": Acts 27:18-20.</w:t>
      </w:r>
    </w:p>
  </w:footnote>
  <w:footnote w:id="17288">
    <w:p>
      <w:pPr>
        <w:pStyle w:val="FootnoteText"/>
      </w:pPr>
      <w:r>
        <w:rPr>
          <w:rStyle w:val="FootnoteReference"/>
        </w:rPr>
        <w:footnoteRef/>
      </w:r>
      <w:r>
        <w:t xml:space="preserve"> Cross-references for "fallen": Acts 27:17; Acts 27:41.</w:t>
      </w:r>
    </w:p>
  </w:footnote>
  <w:footnote w:id="17289">
    <w:p>
      <w:pPr>
        <w:pStyle w:val="FootnoteText"/>
      </w:pPr>
      <w:r>
        <w:rPr>
          <w:rStyle w:val="FootnoteReference"/>
        </w:rPr>
        <w:footnoteRef/>
      </w:r>
      <w:r>
        <w:t xml:space="preserve"> Cross-references for "the boat": Acts 27:16; Acts 27:32.</w:t>
      </w:r>
    </w:p>
  </w:footnote>
  <w:footnote w:id="17290">
    <w:p>
      <w:pPr>
        <w:pStyle w:val="FootnoteText"/>
      </w:pPr>
      <w:r>
        <w:rPr>
          <w:rStyle w:val="FootnoteReference"/>
        </w:rPr>
        <w:footnoteRef/>
      </w:r>
      <w:r>
        <w:t xml:space="preserve"> Cross-references for "said": Acts 27:11; Acts 27:21.</w:t>
      </w:r>
    </w:p>
  </w:footnote>
  <w:footnote w:id="17291">
    <w:p>
      <w:pPr>
        <w:pStyle w:val="FootnoteText"/>
      </w:pPr>
      <w:r>
        <w:rPr>
          <w:rStyle w:val="FootnoteReference"/>
        </w:rPr>
        <w:footnoteRef/>
      </w:r>
      <w:r>
        <w:t xml:space="preserve"> Cross-references for "for this": Matt 15:32; Mark 8:2-3.</w:t>
      </w:r>
    </w:p>
  </w:footnote>
  <w:footnote w:id="17292">
    <w:p>
      <w:pPr>
        <w:pStyle w:val="FootnoteText"/>
      </w:pPr>
      <w:r>
        <w:rPr>
          <w:rStyle w:val="FootnoteReference"/>
        </w:rPr>
        <w:footnoteRef/>
      </w:r>
      <w:r>
        <w:t xml:space="preserve"> Cross-references for "and gave": 1Sam 9:13; Matt 15:36.</w:t>
      </w:r>
    </w:p>
  </w:footnote>
  <w:footnote w:id="17293">
    <w:p>
      <w:pPr>
        <w:pStyle w:val="FootnoteText"/>
      </w:pPr>
      <w:r>
        <w:rPr>
          <w:rStyle w:val="FootnoteReference"/>
        </w:rPr>
        <w:footnoteRef/>
      </w:r>
      <w:r>
        <w:t xml:space="preserve"> Cross-references for "souls": Acts 2:41; Acts 7:14.</w:t>
      </w:r>
    </w:p>
  </w:footnote>
  <w:footnote w:id="17294">
    <w:p>
      <w:pPr>
        <w:pStyle w:val="FootnoteText"/>
      </w:pPr>
      <w:r>
        <w:rPr>
          <w:rStyle w:val="FootnoteReference"/>
        </w:rPr>
        <w:footnoteRef/>
      </w:r>
      <w:r>
        <w:t xml:space="preserve"> Cross-references for "they lightened": Job 2:4; Jonah 1:5.</w:t>
      </w:r>
    </w:p>
  </w:footnote>
  <w:footnote w:id="17295">
    <w:p>
      <w:pPr>
        <w:pStyle w:val="FootnoteText"/>
      </w:pPr>
      <w:r>
        <w:rPr>
          <w:rStyle w:val="FootnoteReference"/>
        </w:rPr>
        <w:footnoteRef/>
      </w:r>
      <w:r>
        <w:t xml:space="preserve"> Cross-references for "the rudder bands": Isa 33:23.</w:t>
      </w:r>
    </w:p>
  </w:footnote>
  <w:footnote w:id="17296">
    <w:p>
      <w:pPr>
        <w:pStyle w:val="FootnoteText"/>
      </w:pPr>
      <w:r>
        <w:rPr>
          <w:rStyle w:val="FootnoteReference"/>
        </w:rPr>
        <w:footnoteRef/>
      </w:r>
      <w:r>
        <w:t xml:space="preserve"> Cross-references for "they ran": Acts 27:17; Acts 27:26-29.</w:t>
      </w:r>
    </w:p>
  </w:footnote>
  <w:footnote w:id="17297">
    <w:p>
      <w:pPr>
        <w:pStyle w:val="FootnoteText"/>
      </w:pPr>
      <w:r>
        <w:rPr>
          <w:rStyle w:val="FootnoteReference"/>
        </w:rPr>
        <w:footnoteRef/>
      </w:r>
      <w:r>
        <w:t xml:space="preserve"> Cross-references for "the island": Acts 27:26; Acts 27:44.</w:t>
      </w:r>
    </w:p>
  </w:footnote>
  <w:footnote w:id="17298">
    <w:p>
      <w:pPr>
        <w:pStyle w:val="FootnoteText"/>
      </w:pPr>
      <w:r>
        <w:rPr>
          <w:rStyle w:val="FootnoteReference"/>
        </w:rPr>
        <w:footnoteRef/>
      </w:r>
      <w:r>
        <w:t xml:space="preserve"> Place name: Malta. Place-name meaning: Melita — affording honey. Standard English equivalent: Melita. Source form: Malta. Greek form: μελιτη.</w:t>
      </w:r>
    </w:p>
  </w:footnote>
  <w:footnote w:id="17299">
    <w:p>
      <w:pPr>
        <w:pStyle w:val="FootnoteText"/>
      </w:pPr>
      <w:r>
        <w:rPr>
          <w:rStyle w:val="FootnoteReference"/>
        </w:rPr>
        <w:footnoteRef/>
      </w:r>
      <w:r>
        <w:t xml:space="preserve"> Cross-references for "showed": Lev 19:18; Lev 19:34.</w:t>
      </w:r>
    </w:p>
  </w:footnote>
  <w:footnote w:id="17300">
    <w:p>
      <w:pPr>
        <w:pStyle w:val="FootnoteText"/>
      </w:pPr>
      <w:r>
        <w:rPr>
          <w:rStyle w:val="FootnoteReference"/>
        </w:rPr>
        <w:footnoteRef/>
      </w:r>
      <w:r>
        <w:t xml:space="preserve"> Cross-references for "fastened": Amos 5:19; Acts 28:4.</w:t>
      </w:r>
    </w:p>
  </w:footnote>
  <w:footnote w:id="17301">
    <w:p>
      <w:pPr>
        <w:pStyle w:val="FootnoteText"/>
      </w:pPr>
      <w:r>
        <w:rPr>
          <w:rStyle w:val="FootnoteReference"/>
        </w:rPr>
        <w:footnoteRef/>
      </w:r>
      <w:r>
        <w:t xml:space="preserve"> Cross-references for "a murderer": Gen 4:8-11; Gen 9:5-6.</w:t>
      </w:r>
    </w:p>
  </w:footnote>
  <w:footnote w:id="17302">
    <w:p>
      <w:pPr>
        <w:pStyle w:val="FootnoteText"/>
      </w:pPr>
      <w:r>
        <w:rPr>
          <w:rStyle w:val="FootnoteReference"/>
        </w:rPr>
        <w:footnoteRef/>
      </w:r>
      <w:r>
        <w:t xml:space="preserve"> Cross-references for "said": Matt 21:9; Matt 27:22.</w:t>
      </w:r>
    </w:p>
  </w:footnote>
  <w:footnote w:id="17303">
    <w:p>
      <w:pPr>
        <w:pStyle w:val="FootnoteText"/>
      </w:pPr>
      <w:r>
        <w:rPr>
          <w:rStyle w:val="FootnoteReference"/>
        </w:rPr>
        <w:footnoteRef/>
      </w:r>
      <w:r>
        <w:t xml:space="preserve"> Cross-references for "the chief": Acts 13:7; Acts 18:12.</w:t>
      </w:r>
    </w:p>
  </w:footnote>
  <w:footnote w:id="17304">
    <w:p>
      <w:pPr>
        <w:pStyle w:val="FootnoteText"/>
      </w:pPr>
      <w:r>
        <w:rPr>
          <w:rStyle w:val="FootnoteReference"/>
        </w:rPr>
        <w:footnoteRef/>
      </w:r>
      <w:r>
        <w:t xml:space="preserve"> Personal name: Publius. Personal-name meaning: Publius — common. Source form: Publius.</w:t>
      </w:r>
    </w:p>
  </w:footnote>
  <w:footnote w:id="17305">
    <w:p>
      <w:pPr>
        <w:pStyle w:val="FootnoteText"/>
      </w:pPr>
      <w:r>
        <w:rPr>
          <w:rStyle w:val="FootnoteReference"/>
        </w:rPr>
        <w:footnoteRef/>
      </w:r>
      <w:r>
        <w:t xml:space="preserve"> Cross-references for "the father": Mark 1:30-31.</w:t>
      </w:r>
    </w:p>
  </w:footnote>
  <w:footnote w:id="17306">
    <w:p>
      <w:pPr>
        <w:pStyle w:val="FootnoteText"/>
      </w:pPr>
      <w:r>
        <w:rPr>
          <w:rStyle w:val="FootnoteReference"/>
        </w:rPr>
        <w:footnoteRef/>
      </w:r>
      <w:r>
        <w:t xml:space="preserve"> Cross-references for "others": Matt 4:24; Mark 6:54-56.</w:t>
      </w:r>
    </w:p>
  </w:footnote>
  <w:footnote w:id="17307">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17308">
    <w:p>
      <w:pPr>
        <w:pStyle w:val="FootnoteText"/>
      </w:pPr>
      <w:r>
        <w:rPr>
          <w:rStyle w:val="FootnoteReference"/>
        </w:rPr>
        <w:footnoteRef/>
      </w:r>
      <w:r>
        <w:t xml:space="preserve"> Place name: Syracuse. Place-name meaning: Syracuse — that draws violently. Source form: Syracuse. Greek form: συρακουσας.</w:t>
      </w:r>
    </w:p>
  </w:footnote>
  <w:footnote w:id="17309">
    <w:p>
      <w:pPr>
        <w:pStyle w:val="FootnoteText"/>
      </w:pPr>
      <w:r>
        <w:rPr>
          <w:rStyle w:val="FootnoteReference"/>
        </w:rPr>
        <w:footnoteRef/>
      </w:r>
      <w:r>
        <w:t xml:space="preserve"> Cross-references for "Syracuse": Acts 28:12.</w:t>
      </w:r>
    </w:p>
  </w:footnote>
  <w:footnote w:id="17310">
    <w:p>
      <w:pPr>
        <w:pStyle w:val="FootnoteText"/>
      </w:pPr>
      <w:r>
        <w:rPr>
          <w:rStyle w:val="FootnoteReference"/>
        </w:rPr>
        <w:footnoteRef/>
      </w:r>
      <w:r>
        <w:t xml:space="preserve"> Place name: Rhegium. Place-name meaning: Rhegium — rupture; fracture. Source form: Rhegium. Greek form: ρηγιον.</w:t>
      </w:r>
    </w:p>
  </w:footnote>
  <w:footnote w:id="17311">
    <w:p>
      <w:pPr>
        <w:pStyle w:val="FootnoteText"/>
      </w:pPr>
      <w:r>
        <w:rPr>
          <w:rStyle w:val="FootnoteReference"/>
        </w:rPr>
        <w:footnoteRef/>
      </w:r>
      <w:r>
        <w:t xml:space="preserve"> Cross-references for "the south": Acts 27:13.</w:t>
      </w:r>
    </w:p>
  </w:footnote>
  <w:footnote w:id="17312">
    <w:p>
      <w:pPr>
        <w:pStyle w:val="FootnoteText"/>
      </w:pPr>
      <w:r>
        <w:rPr>
          <w:rStyle w:val="FootnoteReference"/>
        </w:rPr>
        <w:footnoteRef/>
      </w:r>
      <w:r>
        <w:t xml:space="preserve"> Place name: Puteoli. Place-name meaning: Puteoli — sulphureous wells. Source form: Puteoli. Greek form: ποτιολους.</w:t>
      </w:r>
    </w:p>
  </w:footnote>
  <w:footnote w:id="17313">
    <w:p>
      <w:pPr>
        <w:pStyle w:val="FootnoteText"/>
      </w:pPr>
      <w:r>
        <w:rPr>
          <w:rStyle w:val="FootnoteReference"/>
        </w:rPr>
        <w:footnoteRef/>
      </w:r>
      <w:r>
        <w:t xml:space="preserve"> Cross-references for "we found": Ps 119:63; Matt 10:11.</w:t>
      </w:r>
    </w:p>
  </w:footnote>
  <w:footnote w:id="17314">
    <w:p>
      <w:pPr>
        <w:pStyle w:val="FootnoteText"/>
      </w:pPr>
      <w:r>
        <w:rPr>
          <w:rStyle w:val="FootnoteReference"/>
        </w:rPr>
        <w:footnoteRef/>
      </w:r>
      <w:r>
        <w:t xml:space="preserve"> Cross-references for "he thanked": Josh 1:6-7; Josh 1:9.</w:t>
      </w:r>
    </w:p>
  </w:footnote>
  <w:footnote w:id="17315">
    <w:p>
      <w:pPr>
        <w:pStyle w:val="FootnoteText"/>
      </w:pPr>
      <w:r>
        <w:rPr>
          <w:rStyle w:val="FootnoteReference"/>
        </w:rPr>
        <w:footnoteRef/>
      </w:r>
      <w:r>
        <w:t xml:space="preserve"> Cross-references for "Rome": Acts 2:10; Acts 18:2.</w:t>
      </w:r>
    </w:p>
  </w:footnote>
  <w:footnote w:id="17316">
    <w:p>
      <w:pPr>
        <w:pStyle w:val="FootnoteText"/>
      </w:pPr>
      <w:r>
        <w:rPr>
          <w:rStyle w:val="FootnoteReference"/>
        </w:rPr>
        <w:footnoteRef/>
      </w:r>
      <w:r>
        <w:t xml:space="preserve"> Cross-references for "though": Gen 40:15; Acts 23:1-11.</w:t>
      </w:r>
    </w:p>
  </w:footnote>
  <w:footnote w:id="17317">
    <w:p>
      <w:pPr>
        <w:pStyle w:val="FootnoteText"/>
      </w:pPr>
      <w:r>
        <w:rPr>
          <w:rStyle w:val="FootnoteReference"/>
        </w:rPr>
        <w:footnoteRef/>
      </w:r>
      <w:r>
        <w:t xml:space="preserve"> Cross-references for "I was": Acts 25:10-12; Acts 25:21.</w:t>
      </w:r>
    </w:p>
  </w:footnote>
  <w:footnote w:id="17318">
    <w:p>
      <w:pPr>
        <w:pStyle w:val="FootnoteText"/>
      </w:pPr>
      <w:r>
        <w:rPr>
          <w:rStyle w:val="FootnoteReference"/>
        </w:rPr>
        <w:footnoteRef/>
      </w:r>
      <w:r>
        <w:t xml:space="preserve"> Cross-references for "this cause": Acts 10:29; Acts 10:33.</w:t>
      </w:r>
    </w:p>
  </w:footnote>
  <w:footnote w:id="17319">
    <w:p>
      <w:pPr>
        <w:pStyle w:val="FootnoteText"/>
      </w:pPr>
      <w:r>
        <w:rPr>
          <w:rStyle w:val="FootnoteReference"/>
        </w:rPr>
        <w:footnoteRef/>
      </w:r>
      <w:r>
        <w:t xml:space="preserve"> Cross-references for "sect": Acts 5:17; Acts 15:5.</w:t>
      </w:r>
    </w:p>
  </w:footnote>
  <w:footnote w:id="17320">
    <w:p>
      <w:pPr>
        <w:pStyle w:val="FootnoteText"/>
      </w:pPr>
      <w:r>
        <w:rPr>
          <w:rStyle w:val="FootnoteReference"/>
        </w:rPr>
        <w:footnoteRef/>
      </w:r>
      <w:r>
        <w:t xml:space="preserve"> Cross-references for "he expounded": Acts 17:2-3; Acts 18:4.</w:t>
      </w:r>
    </w:p>
  </w:footnote>
  <w:footnote w:id="17321">
    <w:p>
      <w:pPr>
        <w:pStyle w:val="FootnoteText"/>
      </w:pPr>
      <w:r>
        <w:rPr>
          <w:rStyle w:val="FootnoteReference"/>
        </w:rPr>
        <w:footnoteRef/>
      </w:r>
      <w:r>
        <w:t xml:space="preserve"> Cross-references for "Well": Matt 15:7; Mark 7:6.</w:t>
      </w:r>
    </w:p>
  </w:footnote>
  <w:footnote w:id="17322">
    <w:p>
      <w:pPr>
        <w:pStyle w:val="FootnoteText"/>
      </w:pPr>
      <w:r>
        <w:rPr>
          <w:rStyle w:val="FootnoteReference"/>
        </w:rPr>
        <w:footnoteRef/>
      </w:r>
      <w:r>
        <w:t xml:space="preserve"> Cross-references for "Hearing": Deut 29:4; Ps 81:11-12.</w:t>
      </w:r>
    </w:p>
  </w:footnote>
  <w:footnote w:id="17323">
    <w:p>
      <w:pPr>
        <w:pStyle w:val="FootnoteText"/>
      </w:pPr>
      <w:r>
        <w:rPr>
          <w:rStyle w:val="FootnoteReference"/>
        </w:rPr>
        <w:footnoteRef/>
      </w:r>
      <w:r>
        <w:t xml:space="preserve"> Cross-references for "it known": Ezek 36:32; Acts 2:14.</w:t>
      </w:r>
    </w:p>
  </w:footnote>
  <w:footnote w:id="17324">
    <w:p>
      <w:pPr>
        <w:pStyle w:val="FootnoteText"/>
      </w:pPr>
      <w:r>
        <w:rPr>
          <w:rStyle w:val="FootnoteReference"/>
        </w:rPr>
        <w:footnoteRef/>
      </w:r>
      <w:r>
        <w:t xml:space="preserve"> Cross-references for "Paul": Titus 1:5.</w:t>
      </w:r>
    </w:p>
  </w:footnote>
  <w:footnote w:id="17325">
    <w:p>
      <w:pPr>
        <w:pStyle w:val="FootnoteText"/>
      </w:pPr>
      <w:r>
        <w:rPr>
          <w:rStyle w:val="FootnoteReference"/>
        </w:rPr>
        <w:footnoteRef/>
      </w:r>
      <w:r>
        <w:t xml:space="preserve"> Cross-references for "Preaching": Matt 4:23; Mark 1:14.</w:t>
      </w:r>
    </w:p>
  </w:footnote>
  <w:footnote w:id="17326">
    <w:p>
      <w:pPr>
        <w:pStyle w:val="FootnoteText"/>
      </w:pPr>
      <w:r>
        <w:rPr>
          <w:rStyle w:val="FootnoteReference"/>
        </w:rPr>
        <w:footnoteRef/>
      </w:r>
      <w:r>
        <w:t xml:space="preserve"> Cross-references for "Paul": Acts 13:9; Acts 21:40.</w:t>
      </w:r>
    </w:p>
  </w:footnote>
  <w:footnote w:id="17327">
    <w:p>
      <w:pPr>
        <w:pStyle w:val="FootnoteText"/>
      </w:pPr>
      <w:r>
        <w:rPr>
          <w:rStyle w:val="FootnoteReference"/>
        </w:rPr>
        <w:footnoteRef/>
      </w:r>
      <w:r>
        <w:t xml:space="preserve"> Translation note: Greek doulos is rendered slave here. Servant is smoother English, but slave better preserves the ownership and allegiance language in Paul's self-description.</w:t>
      </w:r>
    </w:p>
  </w:footnote>
  <w:footnote w:id="17328">
    <w:p>
      <w:pPr>
        <w:pStyle w:val="FootnoteText"/>
      </w:pPr>
      <w:r>
        <w:rPr>
          <w:rStyle w:val="FootnoteReference"/>
        </w:rPr>
        <w:footnoteRef/>
      </w:r>
      <w:r>
        <w:t xml:space="preserve"> Translation note: Greek euangelion is rendered good news. The wording identifies the announced message from God rather than using only the traditional title gospel.</w:t>
      </w:r>
    </w:p>
  </w:footnote>
  <w:footnote w:id="17329">
    <w:p>
      <w:pPr>
        <w:pStyle w:val="FootnoteText"/>
      </w:pPr>
      <w:r>
        <w:rPr>
          <w:rStyle w:val="FootnoteReference"/>
        </w:rPr>
        <w:footnoteRef/>
      </w:r>
      <w:r>
        <w:t xml:space="preserve"> Cross-references for "his Son": Ps 2:7; Matt 3:17.</w:t>
      </w:r>
    </w:p>
  </w:footnote>
  <w:footnote w:id="17330">
    <w:p>
      <w:pPr>
        <w:pStyle w:val="FootnoteText"/>
      </w:pPr>
      <w:r>
        <w:rPr>
          <w:rStyle w:val="FootnoteReference"/>
        </w:rPr>
        <w:footnoteRef/>
      </w:r>
      <w:r>
        <w:t xml:space="preserve"> Translation note: Greek has spermatos David and kata sarka. The draft keeps seed and flesh visible rather than expanding the line with explanatory titles from the witness.</w:t>
      </w:r>
    </w:p>
  </w:footnote>
  <w:footnote w:id="17331">
    <w:p>
      <w:pPr>
        <w:pStyle w:val="FootnoteText"/>
      </w:pPr>
      <w:r>
        <w:rPr>
          <w:rStyle w:val="FootnoteReference"/>
        </w:rPr>
        <w:footnoteRef/>
      </w:r>
      <w:r>
        <w:t xml:space="preserve"> Translation note: Greek horisthentos can carry the sense marked out or appointed. The draft keeps that force instead of simply declared.</w:t>
      </w:r>
    </w:p>
  </w:footnote>
  <w:footnote w:id="17332">
    <w:p>
      <w:pPr>
        <w:pStyle w:val="FootnoteText"/>
      </w:pPr>
      <w:r>
        <w:rPr>
          <w:rStyle w:val="FootnoteReference"/>
        </w:rPr>
        <w:footnoteRef/>
      </w:r>
      <w:r>
        <w:t xml:space="preserve"> Cross-references for "apostleship": Acts 1:25; 1Cor 9:2.</w:t>
      </w:r>
    </w:p>
  </w:footnote>
  <w:footnote w:id="17333">
    <w:p>
      <w:pPr>
        <w:pStyle w:val="FootnoteText"/>
      </w:pPr>
      <w:r>
        <w:rPr>
          <w:rStyle w:val="FootnoteReference"/>
        </w:rPr>
        <w:footnoteRef/>
      </w:r>
      <w:r>
        <w:t xml:space="preserve"> Cross-references for "To all": Acts 15:23; 1Cor 1:2.</w:t>
      </w:r>
    </w:p>
  </w:footnote>
  <w:footnote w:id="17334">
    <w:p>
      <w:pPr>
        <w:pStyle w:val="FootnoteText"/>
      </w:pPr>
      <w:r>
        <w:rPr>
          <w:rStyle w:val="FootnoteReference"/>
        </w:rPr>
        <w:footnoteRef/>
      </w:r>
      <w:r>
        <w:t xml:space="preserve"> Cross-references for "I thank": Rom 6:17.</w:t>
      </w:r>
    </w:p>
  </w:footnote>
  <w:footnote w:id="17335">
    <w:p>
      <w:pPr>
        <w:pStyle w:val="FootnoteText"/>
      </w:pPr>
      <w:r>
        <w:rPr>
          <w:rStyle w:val="FootnoteReference"/>
        </w:rPr>
        <w:footnoteRef/>
      </w:r>
      <w:r>
        <w:t xml:space="preserve"> Cross-references for "I make": Eph 1:16-19; Eph 3:14-21.</w:t>
      </w:r>
    </w:p>
  </w:footnote>
  <w:footnote w:id="17336">
    <w:p>
      <w:pPr>
        <w:pStyle w:val="FootnoteText"/>
      </w:pPr>
      <w:r>
        <w:rPr>
          <w:rStyle w:val="FootnoteReference"/>
        </w:rPr>
        <w:footnoteRef/>
      </w:r>
      <w:r>
        <w:t xml:space="preserve"> Cross-references for "request": Rom 15:22-24; Rom 15:30-32.</w:t>
      </w:r>
    </w:p>
  </w:footnote>
  <w:footnote w:id="17337">
    <w:p>
      <w:pPr>
        <w:pStyle w:val="FootnoteText"/>
      </w:pPr>
      <w:r>
        <w:rPr>
          <w:rStyle w:val="FootnoteReference"/>
        </w:rPr>
        <w:footnoteRef/>
      </w:r>
      <w:r>
        <w:t xml:space="preserve"> Cross-references for "I long": Gen 31:30; 2Sam 13:39.</w:t>
      </w:r>
    </w:p>
  </w:footnote>
  <w:footnote w:id="17338">
    <w:p>
      <w:pPr>
        <w:pStyle w:val="FootnoteText"/>
      </w:pPr>
      <w:r>
        <w:rPr>
          <w:rStyle w:val="FootnoteReference"/>
        </w:rPr>
        <w:footnoteRef/>
      </w:r>
      <w:r>
        <w:t xml:space="preserve"> Cross-references for "by the mutual": Eph 4:5; Titus 1:4.</w:t>
      </w:r>
    </w:p>
  </w:footnote>
  <w:footnote w:id="17339">
    <w:p>
      <w:pPr>
        <w:pStyle w:val="FootnoteText"/>
      </w:pPr>
      <w:r>
        <w:rPr>
          <w:rStyle w:val="FootnoteReference"/>
        </w:rPr>
        <w:footnoteRef/>
      </w:r>
      <w:r>
        <w:t xml:space="preserve"> Cross-references for "that oftentimes": Acts 19:21; Rom 15:23-28.</w:t>
      </w:r>
    </w:p>
  </w:footnote>
  <w:footnote w:id="17340">
    <w:p>
      <w:pPr>
        <w:pStyle w:val="FootnoteText"/>
      </w:pPr>
      <w:r>
        <w:rPr>
          <w:rStyle w:val="FootnoteReference"/>
        </w:rPr>
        <w:footnoteRef/>
      </w:r>
      <w:r>
        <w:t xml:space="preserve"> Cross-references for "debtor": Acts 9:15; Acts 13:2-4.</w:t>
      </w:r>
    </w:p>
  </w:footnote>
  <w:footnote w:id="17341">
    <w:p>
      <w:pPr>
        <w:pStyle w:val="FootnoteText"/>
      </w:pPr>
      <w:r>
        <w:rPr>
          <w:rStyle w:val="FootnoteReference"/>
        </w:rPr>
        <w:footnoteRef/>
      </w:r>
      <w:r>
        <w:t xml:space="preserve"> Cross-references for "for it is": Ps 110:2; Isa 53:1.</w:t>
      </w:r>
    </w:p>
  </w:footnote>
  <w:footnote w:id="17342">
    <w:p>
      <w:pPr>
        <w:pStyle w:val="FootnoteText"/>
      </w:pPr>
      <w:r>
        <w:rPr>
          <w:rStyle w:val="FootnoteReference"/>
        </w:rPr>
        <w:footnoteRef/>
      </w:r>
      <w:r>
        <w:t xml:space="preserve"> Cross-references for "from faith": Rom 3:3.</w:t>
      </w:r>
    </w:p>
  </w:footnote>
  <w:footnote w:id="17343">
    <w:p>
      <w:pPr>
        <w:pStyle w:val="FootnoteText"/>
      </w:pPr>
      <w:r>
        <w:rPr>
          <w:rStyle w:val="FootnoteReference"/>
        </w:rPr>
        <w:footnoteRef/>
      </w:r>
      <w:r>
        <w:t xml:space="preserve"> Cross-references for "the wrath": Rom 4:15.</w:t>
      </w:r>
    </w:p>
  </w:footnote>
  <w:footnote w:id="17344">
    <w:p>
      <w:pPr>
        <w:pStyle w:val="FootnoteText"/>
      </w:pPr>
      <w:r>
        <w:rPr>
          <w:rStyle w:val="FootnoteReference"/>
        </w:rPr>
        <w:footnoteRef/>
      </w:r>
      <w:r>
        <w:t xml:space="preserve"> Cross-references for "that which": Ps 19:1-6; Isa 40:26.</w:t>
      </w:r>
    </w:p>
  </w:footnote>
  <w:footnote w:id="17345">
    <w:p>
      <w:pPr>
        <w:pStyle w:val="FootnoteText"/>
      </w:pPr>
      <w:r>
        <w:rPr>
          <w:rStyle w:val="FootnoteReference"/>
        </w:rPr>
        <w:footnoteRef/>
      </w:r>
      <w:r>
        <w:t xml:space="preserve"> Cross-references for "from the": Deut 4:19; Job 31:26-28.</w:t>
      </w:r>
    </w:p>
  </w:footnote>
  <w:footnote w:id="17346">
    <w:p>
      <w:pPr>
        <w:pStyle w:val="FootnoteText"/>
      </w:pPr>
      <w:r>
        <w:rPr>
          <w:rStyle w:val="FootnoteReference"/>
        </w:rPr>
        <w:footnoteRef/>
      </w:r>
      <w:r>
        <w:t xml:space="preserve"> Cross-references for "but became": Gen 6:5; Gen 8:21.</w:t>
      </w:r>
    </w:p>
  </w:footnote>
  <w:footnote w:id="17347">
    <w:p>
      <w:pPr>
        <w:pStyle w:val="FootnoteText"/>
      </w:pPr>
      <w:r>
        <w:rPr>
          <w:rStyle w:val="FootnoteReference"/>
        </w:rPr>
        <w:footnoteRef/>
      </w:r>
      <w:r>
        <w:t xml:space="preserve"> Cross-references for "changed": Ps 106:20; Jer 2:11.</w:t>
      </w:r>
    </w:p>
  </w:footnote>
  <w:footnote w:id="17348">
    <w:p>
      <w:pPr>
        <w:pStyle w:val="FootnoteText"/>
      </w:pPr>
      <w:r>
        <w:rPr>
          <w:rStyle w:val="FootnoteReference"/>
        </w:rPr>
        <w:footnoteRef/>
      </w:r>
      <w:r>
        <w:t xml:space="preserve"> Cross-references for "the truth": Rom 1:18; 1Thess 1:9.</w:t>
      </w:r>
    </w:p>
  </w:footnote>
  <w:footnote w:id="17349">
    <w:p>
      <w:pPr>
        <w:pStyle w:val="FootnoteText"/>
      </w:pPr>
      <w:r>
        <w:rPr>
          <w:rStyle w:val="FootnoteReference"/>
        </w:rPr>
        <w:footnoteRef/>
      </w:r>
      <w:r>
        <w:t xml:space="preserve"> Cross-references for "gave them": Rom 1:24.</w:t>
      </w:r>
    </w:p>
  </w:footnote>
  <w:footnote w:id="17350">
    <w:p>
      <w:pPr>
        <w:pStyle w:val="FootnoteText"/>
      </w:pPr>
      <w:r>
        <w:rPr>
          <w:rStyle w:val="FootnoteReference"/>
        </w:rPr>
        <w:footnoteRef/>
      </w:r>
      <w:r>
        <w:t xml:space="preserve"> Cross-references for "as they did": Job 21:14-15; Prov 1:7.</w:t>
      </w:r>
    </w:p>
  </w:footnote>
  <w:footnote w:id="17351">
    <w:p>
      <w:pPr>
        <w:pStyle w:val="FootnoteText"/>
      </w:pPr>
      <w:r>
        <w:rPr>
          <w:rStyle w:val="FootnoteReference"/>
        </w:rPr>
        <w:footnoteRef/>
      </w:r>
      <w:r>
        <w:t xml:space="preserve"> Cross-references for "filled": Rom 3:10.</w:t>
      </w:r>
    </w:p>
  </w:footnote>
  <w:footnote w:id="17352">
    <w:p>
      <w:pPr>
        <w:pStyle w:val="FootnoteText"/>
      </w:pPr>
      <w:r>
        <w:rPr>
          <w:rStyle w:val="FootnoteReference"/>
        </w:rPr>
        <w:footnoteRef/>
      </w:r>
      <w:r>
        <w:t xml:space="preserve"> Cross-references for "haters": Num 10:35; Deut 7:10.</w:t>
      </w:r>
    </w:p>
  </w:footnote>
  <w:footnote w:id="17353">
    <w:p>
      <w:pPr>
        <w:pStyle w:val="FootnoteText"/>
      </w:pPr>
      <w:r>
        <w:rPr>
          <w:rStyle w:val="FootnoteReference"/>
        </w:rPr>
        <w:footnoteRef/>
      </w:r>
      <w:r>
        <w:t xml:space="preserve"> Cross-references for "Without understanding": Prov 18:2; Isa 27:11.</w:t>
      </w:r>
    </w:p>
  </w:footnote>
  <w:footnote w:id="17354">
    <w:p>
      <w:pPr>
        <w:pStyle w:val="FootnoteText"/>
      </w:pPr>
      <w:r>
        <w:rPr>
          <w:rStyle w:val="FootnoteReference"/>
        </w:rPr>
        <w:footnoteRef/>
      </w:r>
      <w:r>
        <w:t xml:space="preserve"> Cross-references for "knowing": Rom 1:18; Rom 1:21.</w:t>
      </w:r>
    </w:p>
  </w:footnote>
  <w:footnote w:id="17355">
    <w:p>
      <w:pPr>
        <w:pStyle w:val="FootnoteText"/>
      </w:pPr>
      <w:r>
        <w:rPr>
          <w:rStyle w:val="FootnoteReference"/>
        </w:rPr>
        <w:footnoteRef/>
      </w:r>
      <w:r>
        <w:t xml:space="preserve"> Cross-references for "Therefore": Rom 1:18-20.</w:t>
      </w:r>
    </w:p>
  </w:footnote>
  <w:footnote w:id="17356">
    <w:p>
      <w:pPr>
        <w:pStyle w:val="FootnoteText"/>
      </w:pPr>
      <w:r>
        <w:rPr>
          <w:rStyle w:val="FootnoteReference"/>
        </w:rPr>
        <w:footnoteRef/>
      </w:r>
      <w:r>
        <w:t xml:space="preserve"> Cross-references for "judgment": Gen 18:25; Job 34:17-19.</w:t>
      </w:r>
    </w:p>
  </w:footnote>
  <w:footnote w:id="17357">
    <w:p>
      <w:pPr>
        <w:pStyle w:val="FootnoteText"/>
      </w:pPr>
      <w:r>
        <w:rPr>
          <w:rStyle w:val="FootnoteReference"/>
        </w:rPr>
        <w:footnoteRef/>
      </w:r>
      <w:r>
        <w:t xml:space="preserve"> Cross-references for "O man": Dan 10:19; Luke 12:14.</w:t>
      </w:r>
    </w:p>
  </w:footnote>
  <w:footnote w:id="17358">
    <w:p>
      <w:pPr>
        <w:pStyle w:val="FootnoteText"/>
      </w:pPr>
      <w:r>
        <w:rPr>
          <w:rStyle w:val="FootnoteReference"/>
        </w:rPr>
        <w:footnoteRef/>
      </w:r>
      <w:r>
        <w:t xml:space="preserve"> Cross-references for "riches": Ps 86:5; Ps 104:24.</w:t>
      </w:r>
    </w:p>
  </w:footnote>
  <w:footnote w:id="17359">
    <w:p>
      <w:pPr>
        <w:pStyle w:val="FootnoteText"/>
      </w:pPr>
      <w:r>
        <w:rPr>
          <w:rStyle w:val="FootnoteReference"/>
        </w:rPr>
        <w:footnoteRef/>
      </w:r>
      <w:r>
        <w:t xml:space="preserve"> Cross-references for "revelation": Eccl 12:14; Rom 1:18.</w:t>
      </w:r>
    </w:p>
  </w:footnote>
  <w:footnote w:id="17360">
    <w:p>
      <w:pPr>
        <w:pStyle w:val="FootnoteText"/>
      </w:pPr>
      <w:r>
        <w:rPr>
          <w:rStyle w:val="FootnoteReference"/>
        </w:rPr>
        <w:footnoteRef/>
      </w:r>
      <w:r>
        <w:t xml:space="preserve"> Cross-references for "glory": John 5:44; Rom 8:18.</w:t>
      </w:r>
    </w:p>
  </w:footnote>
  <w:footnote w:id="17361">
    <w:p>
      <w:pPr>
        <w:pStyle w:val="FootnoteText"/>
      </w:pPr>
      <w:r>
        <w:rPr>
          <w:rStyle w:val="FootnoteReference"/>
        </w:rPr>
        <w:footnoteRef/>
      </w:r>
      <w:r>
        <w:t xml:space="preserve"> Cross-references for "Tribulation": Prov 1:27-28; 2Thess 1:6.</w:t>
      </w:r>
    </w:p>
  </w:footnote>
  <w:footnote w:id="17362">
    <w:p>
      <w:pPr>
        <w:pStyle w:val="FootnoteText"/>
      </w:pPr>
      <w:r>
        <w:rPr>
          <w:rStyle w:val="FootnoteReference"/>
        </w:rPr>
        <w:footnoteRef/>
      </w:r>
      <w:r>
        <w:t xml:space="preserve"> Cross-references for "glory": 1Sam 2:30; Ps 112:6-9.</w:t>
      </w:r>
    </w:p>
  </w:footnote>
  <w:footnote w:id="17363">
    <w:p>
      <w:pPr>
        <w:pStyle w:val="FootnoteText"/>
      </w:pPr>
      <w:r>
        <w:rPr>
          <w:rStyle w:val="FootnoteReference"/>
        </w:rPr>
        <w:footnoteRef/>
      </w:r>
      <w:r>
        <w:t xml:space="preserve"> Cross-references for "but the": Luke 10:25-29; Rom 3:20.</w:t>
      </w:r>
    </w:p>
  </w:footnote>
  <w:footnote w:id="17364">
    <w:p>
      <w:pPr>
        <w:pStyle w:val="FootnoteText"/>
      </w:pPr>
      <w:r>
        <w:rPr>
          <w:rStyle w:val="FootnoteReference"/>
        </w:rPr>
        <w:footnoteRef/>
      </w:r>
      <w:r>
        <w:t xml:space="preserve"> Cross-references for "do by": Rom 1:19-20; Rom 2:27.</w:t>
      </w:r>
    </w:p>
  </w:footnote>
  <w:footnote w:id="17365">
    <w:p>
      <w:pPr>
        <w:pStyle w:val="FootnoteText"/>
      </w:pPr>
      <w:r>
        <w:rPr>
          <w:rStyle w:val="FootnoteReference"/>
        </w:rPr>
        <w:footnoteRef/>
      </w:r>
      <w:r>
        <w:t xml:space="preserve"> Cross-references for "written": Rom 1:18-19.</w:t>
      </w:r>
    </w:p>
  </w:footnote>
  <w:footnote w:id="17366">
    <w:p>
      <w:pPr>
        <w:pStyle w:val="FootnoteText"/>
      </w:pPr>
      <w:r>
        <w:rPr>
          <w:rStyle w:val="FootnoteReference"/>
        </w:rPr>
        <w:footnoteRef/>
      </w:r>
      <w:r>
        <w:t xml:space="preserve"> Cross-references for "by Jesus": John 5:22-29; Acts 10:42.</w:t>
      </w:r>
    </w:p>
  </w:footnote>
  <w:footnote w:id="17367">
    <w:p>
      <w:pPr>
        <w:pStyle w:val="FootnoteText"/>
      </w:pPr>
      <w:r>
        <w:rPr>
          <w:rStyle w:val="FootnoteReference"/>
        </w:rPr>
        <w:footnoteRef/>
      </w:r>
      <w:r>
        <w:t xml:space="preserve"> Cross-references for "being instructed": Ps 19:8; Ps 119:98-100.</w:t>
      </w:r>
    </w:p>
  </w:footnote>
  <w:footnote w:id="17368">
    <w:p>
      <w:pPr>
        <w:pStyle w:val="FootnoteText"/>
      </w:pPr>
      <w:r>
        <w:rPr>
          <w:rStyle w:val="FootnoteReference"/>
        </w:rPr>
        <w:footnoteRef/>
      </w:r>
      <w:r>
        <w:t xml:space="preserve"> Cross-references for "a light": Isa 49:6; Isa 49:9-10.</w:t>
      </w:r>
    </w:p>
  </w:footnote>
  <w:footnote w:id="17369">
    <w:p>
      <w:pPr>
        <w:pStyle w:val="FootnoteText"/>
      </w:pPr>
      <w:r>
        <w:rPr>
          <w:rStyle w:val="FootnoteReference"/>
        </w:rPr>
        <w:footnoteRef/>
      </w:r>
      <w:r>
        <w:t xml:space="preserve"> Cross-references for "a teacher": Matt 11:25; 1Cor 3:1.</w:t>
      </w:r>
    </w:p>
  </w:footnote>
  <w:footnote w:id="17370">
    <w:p>
      <w:pPr>
        <w:pStyle w:val="FootnoteText"/>
      </w:pPr>
      <w:r>
        <w:rPr>
          <w:rStyle w:val="FootnoteReference"/>
        </w:rPr>
        <w:footnoteRef/>
      </w:r>
      <w:r>
        <w:t xml:space="preserve"> Cross-references for "therefore": Ps 50:16-21; Matt 23:3-12.</w:t>
      </w:r>
    </w:p>
  </w:footnote>
  <w:footnote w:id="17371">
    <w:p>
      <w:pPr>
        <w:pStyle w:val="FootnoteText"/>
      </w:pPr>
      <w:r>
        <w:rPr>
          <w:rStyle w:val="FootnoteReference"/>
        </w:rPr>
        <w:footnoteRef/>
      </w:r>
      <w:r>
        <w:t xml:space="preserve"> Cross-references for "adultery": Jer 5:7; Jer 7:9-10.</w:t>
      </w:r>
    </w:p>
  </w:footnote>
  <w:footnote w:id="17372">
    <w:p>
      <w:pPr>
        <w:pStyle w:val="FootnoteText"/>
      </w:pPr>
      <w:r>
        <w:rPr>
          <w:rStyle w:val="FootnoteReference"/>
        </w:rPr>
        <w:footnoteRef/>
      </w:r>
      <w:r>
        <w:t xml:space="preserve"> Cross-references for "the name": Isa 52:5; Lam 2:15-16.</w:t>
      </w:r>
    </w:p>
  </w:footnote>
  <w:footnote w:id="17373">
    <w:p>
      <w:pPr>
        <w:pStyle w:val="FootnoteText"/>
      </w:pPr>
      <w:r>
        <w:rPr>
          <w:rStyle w:val="FootnoteReference"/>
        </w:rPr>
        <w:footnoteRef/>
      </w:r>
      <w:r>
        <w:t xml:space="preserve"> Cross-references for "circumcision": Deut 30:6; Jer 4:4.</w:t>
      </w:r>
    </w:p>
  </w:footnote>
  <w:footnote w:id="17374">
    <w:p>
      <w:pPr>
        <w:pStyle w:val="FootnoteText"/>
      </w:pPr>
      <w:r>
        <w:rPr>
          <w:rStyle w:val="FootnoteReference"/>
        </w:rPr>
        <w:footnoteRef/>
      </w:r>
      <w:r>
        <w:t xml:space="preserve"> Cross-references for "judge": Ezek 16:48-52; Matt 12:41-42.</w:t>
      </w:r>
    </w:p>
  </w:footnote>
  <w:footnote w:id="17375">
    <w:p>
      <w:pPr>
        <w:pStyle w:val="FootnoteText"/>
      </w:pPr>
      <w:r>
        <w:rPr>
          <w:rStyle w:val="FootnoteReference"/>
        </w:rPr>
        <w:footnoteRef/>
      </w:r>
      <w:r>
        <w:t xml:space="preserve"> Cross-references for "For he": Ps 73:1; Isa 1:9-15.</w:t>
      </w:r>
    </w:p>
  </w:footnote>
  <w:footnote w:id="17376">
    <w:p>
      <w:pPr>
        <w:pStyle w:val="FootnoteText"/>
      </w:pPr>
      <w:r>
        <w:rPr>
          <w:rStyle w:val="FootnoteReference"/>
        </w:rPr>
        <w:footnoteRef/>
      </w:r>
      <w:r>
        <w:t xml:space="preserve"> Cross-references for "circumcision": Deut 10:16; Deut 30:6.</w:t>
      </w:r>
    </w:p>
  </w:footnote>
  <w:footnote w:id="17377">
    <w:p>
      <w:pPr>
        <w:pStyle w:val="FootnoteText"/>
      </w:pPr>
      <w:r>
        <w:rPr>
          <w:rStyle w:val="FootnoteReference"/>
        </w:rPr>
        <w:footnoteRef/>
      </w:r>
      <w:r>
        <w:t xml:space="preserve"> Cross-references for "advantage": Gen 25:32; Eccl 6:8.</w:t>
      </w:r>
    </w:p>
  </w:footnote>
  <w:footnote w:id="17378">
    <w:p>
      <w:pPr>
        <w:pStyle w:val="FootnoteText"/>
      </w:pPr>
      <w:r>
        <w:rPr>
          <w:rStyle w:val="FootnoteReference"/>
        </w:rPr>
        <w:footnoteRef/>
      </w:r>
      <w:r>
        <w:t xml:space="preserve"> Cross-references for "Much": Rom 3:3; Rom 11:1-2.</w:t>
      </w:r>
    </w:p>
  </w:footnote>
  <w:footnote w:id="17379">
    <w:p>
      <w:pPr>
        <w:pStyle w:val="FootnoteText"/>
      </w:pPr>
      <w:r>
        <w:rPr>
          <w:rStyle w:val="FootnoteReference"/>
        </w:rPr>
        <w:footnoteRef/>
      </w:r>
      <w:r>
        <w:t xml:space="preserve"> Cross-references for "if some": Rom 9:6; Rom 10:16.</w:t>
      </w:r>
    </w:p>
  </w:footnote>
  <w:footnote w:id="17380">
    <w:p>
      <w:pPr>
        <w:pStyle w:val="FootnoteText"/>
      </w:pPr>
      <w:r>
        <w:rPr>
          <w:rStyle w:val="FootnoteReference"/>
        </w:rPr>
        <w:footnoteRef/>
      </w:r>
      <w:r>
        <w:t xml:space="preserve"> Cross-references for "let God": Deut 32:4; Job 40:8.</w:t>
      </w:r>
    </w:p>
  </w:footnote>
  <w:footnote w:id="17381">
    <w:p>
      <w:pPr>
        <w:pStyle w:val="FootnoteText"/>
      </w:pPr>
      <w:r>
        <w:rPr>
          <w:rStyle w:val="FootnoteReference"/>
        </w:rPr>
        <w:footnoteRef/>
      </w:r>
      <w:r>
        <w:t xml:space="preserve"> Cross-references for "But if": Rom 3:7; Rom 3:25-26.</w:t>
      </w:r>
    </w:p>
  </w:footnote>
  <w:footnote w:id="17382">
    <w:p>
      <w:pPr>
        <w:pStyle w:val="FootnoteText"/>
      </w:pPr>
      <w:r>
        <w:rPr>
          <w:rStyle w:val="FootnoteReference"/>
        </w:rPr>
        <w:footnoteRef/>
      </w:r>
      <w:r>
        <w:t xml:space="preserve"> Cross-references for "for then": Gen 18:25; Job 8:3.</w:t>
      </w:r>
    </w:p>
  </w:footnote>
  <w:footnote w:id="17383">
    <w:p>
      <w:pPr>
        <w:pStyle w:val="FootnoteText"/>
      </w:pPr>
      <w:r>
        <w:rPr>
          <w:rStyle w:val="FootnoteReference"/>
        </w:rPr>
        <w:footnoteRef/>
      </w:r>
      <w:r>
        <w:t xml:space="preserve"> Cross-references for "if the truth": Gen 37:8-9; Gen 37:20.</w:t>
      </w:r>
    </w:p>
  </w:footnote>
  <w:footnote w:id="17384">
    <w:p>
      <w:pPr>
        <w:pStyle w:val="FootnoteText"/>
      </w:pPr>
      <w:r>
        <w:rPr>
          <w:rStyle w:val="FootnoteReference"/>
        </w:rPr>
        <w:footnoteRef/>
      </w:r>
      <w:r>
        <w:t xml:space="preserve"> Cross-references for "Let us": Rom 5:20; Rom 6:1.</w:t>
      </w:r>
    </w:p>
  </w:footnote>
  <w:footnote w:id="17385">
    <w:p>
      <w:pPr>
        <w:pStyle w:val="FootnoteText"/>
      </w:pPr>
      <w:r>
        <w:rPr>
          <w:rStyle w:val="FootnoteReference"/>
        </w:rPr>
        <w:footnoteRef/>
      </w:r>
      <w:r>
        <w:t xml:space="preserve"> Cross-references for "What then": Rom 3:5; Rom 6:15.</w:t>
      </w:r>
    </w:p>
  </w:footnote>
  <w:footnote w:id="17386">
    <w:p>
      <w:pPr>
        <w:pStyle w:val="FootnoteText"/>
      </w:pPr>
      <w:r>
        <w:rPr>
          <w:rStyle w:val="FootnoteReference"/>
        </w:rPr>
        <w:footnoteRef/>
      </w:r>
      <w:r>
        <w:t xml:space="preserve"> Cross-references for "As it is": Isa 8:20; Rom 3:4.</w:t>
      </w:r>
    </w:p>
  </w:footnote>
  <w:footnote w:id="17387">
    <w:p>
      <w:pPr>
        <w:pStyle w:val="FootnoteText"/>
      </w:pPr>
      <w:r>
        <w:rPr>
          <w:rStyle w:val="FootnoteReference"/>
        </w:rPr>
        <w:footnoteRef/>
      </w:r>
      <w:r>
        <w:t xml:space="preserve"> Cross-references for "there is none": Ps 53:1; Eccl 7:20.</w:t>
      </w:r>
    </w:p>
  </w:footnote>
  <w:footnote w:id="17388">
    <w:p>
      <w:pPr>
        <w:pStyle w:val="FootnoteText"/>
      </w:pPr>
      <w:r>
        <w:rPr>
          <w:rStyle w:val="FootnoteReference"/>
        </w:rPr>
        <w:footnoteRef/>
      </w:r>
      <w:r>
        <w:t xml:space="preserve"> Cross-references for "throat": Ps 5:9; Jer 5:16.</w:t>
      </w:r>
    </w:p>
  </w:footnote>
  <w:footnote w:id="17389">
    <w:p>
      <w:pPr>
        <w:pStyle w:val="FootnoteText"/>
      </w:pPr>
      <w:r>
        <w:rPr>
          <w:rStyle w:val="FootnoteReference"/>
        </w:rPr>
        <w:footnoteRef/>
      </w:r>
      <w:r>
        <w:t xml:space="preserve"> Cross-references for "and all the": Rom 2:1-2; Rom 3:9.</w:t>
      </w:r>
    </w:p>
  </w:footnote>
  <w:footnote w:id="17390">
    <w:p>
      <w:pPr>
        <w:pStyle w:val="FootnoteText"/>
      </w:pPr>
      <w:r>
        <w:rPr>
          <w:rStyle w:val="FootnoteReference"/>
        </w:rPr>
        <w:footnoteRef/>
      </w:r>
      <w:r>
        <w:t xml:space="preserve"> Cross-references for "Therefore": Acts 13:39; Rom 2:13.</w:t>
      </w:r>
    </w:p>
  </w:footnote>
  <w:footnote w:id="17391">
    <w:p>
      <w:pPr>
        <w:pStyle w:val="FootnoteText"/>
      </w:pPr>
      <w:r>
        <w:rPr>
          <w:rStyle w:val="FootnoteReference"/>
        </w:rPr>
        <w:footnoteRef/>
      </w:r>
      <w:r>
        <w:t xml:space="preserve"> Cross-references for "righteousness": Gen 15:6; Isa 45:24-25.</w:t>
      </w:r>
    </w:p>
  </w:footnote>
  <w:footnote w:id="17392">
    <w:p>
      <w:pPr>
        <w:pStyle w:val="FootnoteText"/>
      </w:pPr>
      <w:r>
        <w:rPr>
          <w:rStyle w:val="FootnoteReference"/>
        </w:rPr>
        <w:footnoteRef/>
      </w:r>
      <w:r>
        <w:t xml:space="preserve"> Cross-references for "which is": Rom 4:3-13; Rom 4:20-22.</w:t>
      </w:r>
    </w:p>
  </w:footnote>
  <w:footnote w:id="17393">
    <w:p>
      <w:pPr>
        <w:pStyle w:val="FootnoteText"/>
      </w:pPr>
      <w:r>
        <w:rPr>
          <w:rStyle w:val="FootnoteReference"/>
        </w:rPr>
        <w:footnoteRef/>
      </w:r>
      <w:r>
        <w:t xml:space="preserve"> Cross-references for "justified": Rom 4:16; Rom 5:16-19.</w:t>
      </w:r>
    </w:p>
  </w:footnote>
  <w:footnote w:id="17394">
    <w:p>
      <w:pPr>
        <w:pStyle w:val="FootnoteText"/>
      </w:pPr>
      <w:r>
        <w:rPr>
          <w:rStyle w:val="FootnoteReference"/>
        </w:rPr>
        <w:footnoteRef/>
      </w:r>
      <w:r>
        <w:t xml:space="preserve"> Cross-references for "set forth": Acts 2:23; Acts 3:18.</w:t>
      </w:r>
    </w:p>
  </w:footnote>
  <w:footnote w:id="17395">
    <w:p>
      <w:pPr>
        <w:pStyle w:val="FootnoteText"/>
      </w:pPr>
      <w:r>
        <w:rPr>
          <w:rStyle w:val="FootnoteReference"/>
        </w:rPr>
        <w:footnoteRef/>
      </w:r>
      <w:r>
        <w:t xml:space="preserve"> Translation note: Greek paresis means passing over or letting pass. This differs from aphesis forgiveness/remission language, so the draft uses passing over here.</w:t>
      </w:r>
    </w:p>
  </w:footnote>
  <w:footnote w:id="17396">
    <w:p>
      <w:pPr>
        <w:pStyle w:val="FootnoteText"/>
      </w:pPr>
      <w:r>
        <w:rPr>
          <w:rStyle w:val="FootnoteReference"/>
        </w:rPr>
        <w:footnoteRef/>
      </w:r>
      <w:r>
        <w:t xml:space="preserve"> Cross-references for "of works": Rom 9:11; Rom 9:32.</w:t>
      </w:r>
    </w:p>
  </w:footnote>
  <w:footnote w:id="17397">
    <w:p>
      <w:pPr>
        <w:pStyle w:val="FootnoteText"/>
      </w:pPr>
      <w:r>
        <w:rPr>
          <w:rStyle w:val="FootnoteReference"/>
        </w:rPr>
        <w:footnoteRef/>
      </w:r>
      <w:r>
        <w:t xml:space="preserve"> Cross-references for "Do we": Ps 119:126; Jer 8:8-9.</w:t>
      </w:r>
    </w:p>
  </w:footnote>
  <w:footnote w:id="17398">
    <w:p>
      <w:pPr>
        <w:pStyle w:val="FootnoteText"/>
      </w:pPr>
      <w:r>
        <w:rPr>
          <w:rStyle w:val="FootnoteReference"/>
        </w:rPr>
        <w:footnoteRef/>
      </w:r>
      <w:r>
        <w:t xml:space="preserve"> Cross-references for "Abraham": Isa 51:2; Matt 3:9.</w:t>
      </w:r>
    </w:p>
  </w:footnote>
  <w:footnote w:id="17399">
    <w:p>
      <w:pPr>
        <w:pStyle w:val="FootnoteText"/>
      </w:pPr>
      <w:r>
        <w:rPr>
          <w:rStyle w:val="FootnoteReference"/>
        </w:rPr>
        <w:footnoteRef/>
      </w:r>
      <w:r>
        <w:t xml:space="preserve"> Cross-references for "Abraham": Rom 3:20-28; Phil 3:9.</w:t>
      </w:r>
    </w:p>
  </w:footnote>
  <w:footnote w:id="17400">
    <w:p>
      <w:pPr>
        <w:pStyle w:val="FootnoteText"/>
      </w:pPr>
      <w:r>
        <w:rPr>
          <w:rStyle w:val="FootnoteReference"/>
        </w:rPr>
        <w:footnoteRef/>
      </w:r>
      <w:r>
        <w:t xml:space="preserve"> Cross-references for "Abraham": Gen 15:6; Gal 3:6-8.</w:t>
      </w:r>
    </w:p>
  </w:footnote>
  <w:footnote w:id="17401">
    <w:p>
      <w:pPr>
        <w:pStyle w:val="FootnoteText"/>
      </w:pPr>
      <w:r>
        <w:rPr>
          <w:rStyle w:val="FootnoteReference"/>
        </w:rPr>
        <w:footnoteRef/>
      </w:r>
      <w:r>
        <w:t xml:space="preserve"> Cross-references for "But to": Acts 13:38-39; Rom 3:22.</w:t>
      </w:r>
    </w:p>
  </w:footnote>
  <w:footnote w:id="17402">
    <w:p>
      <w:pPr>
        <w:pStyle w:val="FootnoteText"/>
      </w:pPr>
      <w:r>
        <w:rPr>
          <w:rStyle w:val="FootnoteReference"/>
        </w:rPr>
        <w:footnoteRef/>
      </w:r>
      <w:r>
        <w:t xml:space="preserve"> Cross-references for "blessedness": Deut 33:29; Ps 1:1-3.</w:t>
      </w:r>
    </w:p>
  </w:footnote>
  <w:footnote w:id="17403">
    <w:p>
      <w:pPr>
        <w:pStyle w:val="FootnoteText"/>
      </w:pPr>
      <w:r>
        <w:rPr>
          <w:rStyle w:val="FootnoteReference"/>
        </w:rPr>
        <w:footnoteRef/>
      </w:r>
      <w:r>
        <w:t xml:space="preserve"> Cross-references for "to whom": Isa 53:10-12; 2Cor 5:19-20.</w:t>
      </w:r>
    </w:p>
  </w:footnote>
  <w:footnote w:id="17404">
    <w:p>
      <w:pPr>
        <w:pStyle w:val="FootnoteText"/>
      </w:pPr>
      <w:r>
        <w:rPr>
          <w:rStyle w:val="FootnoteReference"/>
        </w:rPr>
        <w:footnoteRef/>
      </w:r>
      <w:r>
        <w:t xml:space="preserve"> Cross-references for "for we": Rom 4:3.</w:t>
      </w:r>
    </w:p>
  </w:footnote>
  <w:footnote w:id="17405">
    <w:p>
      <w:pPr>
        <w:pStyle w:val="FootnoteText"/>
      </w:pPr>
      <w:r>
        <w:rPr>
          <w:rStyle w:val="FootnoteReference"/>
        </w:rPr>
        <w:footnoteRef/>
      </w:r>
      <w:r>
        <w:t xml:space="preserve"> Cross-references for "Not in circumcision": Gen 15:5-6; Gen 15:16.</w:t>
      </w:r>
    </w:p>
  </w:footnote>
  <w:footnote w:id="17406">
    <w:p>
      <w:pPr>
        <w:pStyle w:val="FootnoteText"/>
      </w:pPr>
      <w:r>
        <w:rPr>
          <w:rStyle w:val="FootnoteReference"/>
        </w:rPr>
        <w:footnoteRef/>
      </w:r>
      <w:r>
        <w:t xml:space="preserve"> Cross-references for "the sign": Gen 17:10; Exod 12:13.</w:t>
      </w:r>
    </w:p>
  </w:footnote>
  <w:footnote w:id="17407">
    <w:p>
      <w:pPr>
        <w:pStyle w:val="FootnoteText"/>
      </w:pPr>
      <w:r>
        <w:rPr>
          <w:rStyle w:val="FootnoteReference"/>
        </w:rPr>
        <w:footnoteRef/>
      </w:r>
      <w:r>
        <w:t xml:space="preserve"> Cross-references for "in the steps": Job 33:11; Prov 2:20.</w:t>
      </w:r>
    </w:p>
  </w:footnote>
  <w:footnote w:id="17408">
    <w:p>
      <w:pPr>
        <w:pStyle w:val="FootnoteText"/>
      </w:pPr>
      <w:r>
        <w:rPr>
          <w:rStyle w:val="FootnoteReference"/>
        </w:rPr>
        <w:footnoteRef/>
      </w:r>
      <w:r>
        <w:t xml:space="preserve"> Cross-references for "through the": Gal 3:16-18; Gal 3:29.</w:t>
      </w:r>
    </w:p>
  </w:footnote>
  <w:footnote w:id="17409">
    <w:p>
      <w:pPr>
        <w:pStyle w:val="FootnoteText"/>
      </w:pPr>
      <w:r>
        <w:rPr>
          <w:rStyle w:val="FootnoteReference"/>
        </w:rPr>
        <w:footnoteRef/>
      </w:r>
      <w:r>
        <w:t xml:space="preserve"> Cross-references for "For if": Rom 4:16; Gal 2:21.</w:t>
      </w:r>
    </w:p>
  </w:footnote>
  <w:footnote w:id="17410">
    <w:p>
      <w:pPr>
        <w:pStyle w:val="FootnoteText"/>
      </w:pPr>
      <w:r>
        <w:rPr>
          <w:rStyle w:val="FootnoteReference"/>
        </w:rPr>
        <w:footnoteRef/>
      </w:r>
      <w:r>
        <w:t xml:space="preserve"> Cross-references for "of faith": Rom 3:24-26; Rom 5:1.</w:t>
      </w:r>
    </w:p>
  </w:footnote>
  <w:footnote w:id="17411">
    <w:p>
      <w:pPr>
        <w:pStyle w:val="FootnoteText"/>
      </w:pPr>
      <w:r>
        <w:rPr>
          <w:rStyle w:val="FootnoteReference"/>
        </w:rPr>
        <w:footnoteRef/>
      </w:r>
      <w:r>
        <w:t xml:space="preserve"> Cross-references for "before him": Rom 3:29.</w:t>
      </w:r>
    </w:p>
  </w:footnote>
  <w:footnote w:id="17412">
    <w:p>
      <w:pPr>
        <w:pStyle w:val="FootnoteText"/>
      </w:pPr>
      <w:r>
        <w:rPr>
          <w:rStyle w:val="FootnoteReference"/>
        </w:rPr>
        <w:footnoteRef/>
      </w:r>
      <w:r>
        <w:t xml:space="preserve"> Cross-references for "So shall": Gen 15:5-6.</w:t>
      </w:r>
    </w:p>
  </w:footnote>
  <w:footnote w:id="17413">
    <w:p>
      <w:pPr>
        <w:pStyle w:val="FootnoteText"/>
      </w:pPr>
      <w:r>
        <w:rPr>
          <w:rStyle w:val="FootnoteReference"/>
        </w:rPr>
        <w:footnoteRef/>
      </w:r>
      <w:r>
        <w:t xml:space="preserve"> Personal name: Sarah. Personal-name meaning: Sarah — Princess; noblewoman. Source form: Sarah.</w:t>
      </w:r>
    </w:p>
  </w:footnote>
  <w:footnote w:id="17414">
    <w:p>
      <w:pPr>
        <w:pStyle w:val="FootnoteText"/>
      </w:pPr>
      <w:r>
        <w:rPr>
          <w:rStyle w:val="FootnoteReference"/>
        </w:rPr>
        <w:footnoteRef/>
      </w:r>
      <w:r>
        <w:t xml:space="preserve"> Cross-references for "but was": Isa 35:4; Dan 10:19.</w:t>
      </w:r>
    </w:p>
  </w:footnote>
  <w:footnote w:id="17415">
    <w:p>
      <w:pPr>
        <w:pStyle w:val="FootnoteText"/>
      </w:pPr>
      <w:r>
        <w:rPr>
          <w:rStyle w:val="FootnoteReference"/>
        </w:rPr>
        <w:footnoteRef/>
      </w:r>
      <w:r>
        <w:t xml:space="preserve"> Cross-references for "fully": Rom 8:38; 2Tim 1:12.</w:t>
      </w:r>
    </w:p>
  </w:footnote>
  <w:footnote w:id="17416">
    <w:p>
      <w:pPr>
        <w:pStyle w:val="FootnoteText"/>
      </w:pPr>
      <w:r>
        <w:rPr>
          <w:rStyle w:val="FootnoteReference"/>
        </w:rPr>
        <w:footnoteRef/>
      </w:r>
      <w:r>
        <w:t xml:space="preserve"> Cross-references for "for us": Acts 2:39.</w:t>
      </w:r>
    </w:p>
  </w:footnote>
  <w:footnote w:id="17417">
    <w:p>
      <w:pPr>
        <w:pStyle w:val="FootnoteText"/>
      </w:pPr>
      <w:r>
        <w:rPr>
          <w:rStyle w:val="FootnoteReference"/>
        </w:rPr>
        <w:footnoteRef/>
      </w:r>
      <w:r>
        <w:t xml:space="preserve"> Cross-references for "Who was": Isa 53:5-6; Isa 53:10-12.</w:t>
      </w:r>
    </w:p>
  </w:footnote>
  <w:footnote w:id="17418">
    <w:p>
      <w:pPr>
        <w:pStyle w:val="FootnoteText"/>
      </w:pPr>
      <w:r>
        <w:rPr>
          <w:rStyle w:val="FootnoteReference"/>
        </w:rPr>
        <w:footnoteRef/>
      </w:r>
      <w:r>
        <w:t xml:space="preserve"> Cross-references for "the glory": Exod 33:18-20; Ps 73:24.</w:t>
      </w:r>
    </w:p>
  </w:footnote>
  <w:footnote w:id="17419">
    <w:p>
      <w:pPr>
        <w:pStyle w:val="FootnoteText"/>
      </w:pPr>
      <w:r>
        <w:rPr>
          <w:rStyle w:val="FootnoteReference"/>
        </w:rPr>
        <w:footnoteRef/>
      </w:r>
      <w:r>
        <w:t xml:space="preserve"> Cross-references for "but we": Matt 5:10-12; Luke 6:22-23.</w:t>
      </w:r>
    </w:p>
  </w:footnote>
  <w:footnote w:id="17420">
    <w:p>
      <w:pPr>
        <w:pStyle w:val="FootnoteText"/>
      </w:pPr>
      <w:r>
        <w:rPr>
          <w:rStyle w:val="FootnoteReference"/>
        </w:rPr>
        <w:footnoteRef/>
      </w:r>
      <w:r>
        <w:t xml:space="preserve"> Cross-references for "hope": Job 27:8; Ps 22:4-5.</w:t>
      </w:r>
    </w:p>
  </w:footnote>
  <w:footnote w:id="17421">
    <w:p>
      <w:pPr>
        <w:pStyle w:val="FootnoteText"/>
      </w:pPr>
      <w:r>
        <w:rPr>
          <w:rStyle w:val="FootnoteReference"/>
        </w:rPr>
        <w:footnoteRef/>
      </w:r>
      <w:r>
        <w:t xml:space="preserve"> Cross-references for "Christ": Rom 4:25; Rom 5:8.</w:t>
      </w:r>
    </w:p>
  </w:footnote>
  <w:footnote w:id="17422">
    <w:p>
      <w:pPr>
        <w:pStyle w:val="FootnoteText"/>
      </w:pPr>
      <w:r>
        <w:rPr>
          <w:rStyle w:val="FootnoteReference"/>
        </w:rPr>
        <w:footnoteRef/>
      </w:r>
      <w:r>
        <w:t xml:space="preserve"> Cross-references for "scarcely": John 15:13; 1John 3:16.</w:t>
      </w:r>
    </w:p>
  </w:footnote>
  <w:footnote w:id="17423">
    <w:p>
      <w:pPr>
        <w:pStyle w:val="FootnoteText"/>
      </w:pPr>
      <w:r>
        <w:rPr>
          <w:rStyle w:val="FootnoteReference"/>
        </w:rPr>
        <w:footnoteRef/>
      </w:r>
      <w:r>
        <w:t xml:space="preserve"> Cross-references for "we shall": John 5:24; Rom 1:18.</w:t>
      </w:r>
    </w:p>
  </w:footnote>
  <w:footnote w:id="17424">
    <w:p>
      <w:pPr>
        <w:pStyle w:val="FootnoteText"/>
      </w:pPr>
      <w:r>
        <w:rPr>
          <w:rStyle w:val="FootnoteReference"/>
        </w:rPr>
        <w:footnoteRef/>
      </w:r>
      <w:r>
        <w:t xml:space="preserve"> Cross-references for "reconciled": Lev 6:30; 2Chr 29:24.</w:t>
      </w:r>
    </w:p>
  </w:footnote>
  <w:footnote w:id="17425">
    <w:p>
      <w:pPr>
        <w:pStyle w:val="FootnoteText"/>
      </w:pPr>
      <w:r>
        <w:rPr>
          <w:rStyle w:val="FootnoteReference"/>
        </w:rPr>
        <w:footnoteRef/>
      </w:r>
      <w:r>
        <w:t xml:space="preserve"> Cross-references for "but we": 1Sam 2:1; Ps 32:11.</w:t>
      </w:r>
    </w:p>
  </w:footnote>
  <w:footnote w:id="17426">
    <w:p>
      <w:pPr>
        <w:pStyle w:val="FootnoteText"/>
      </w:pPr>
      <w:r>
        <w:rPr>
          <w:rStyle w:val="FootnoteReference"/>
        </w:rPr>
        <w:footnoteRef/>
      </w:r>
      <w:r>
        <w:t xml:space="preserve"> Cross-references for "and death": Gen 2:17; Gen 3:19.</w:t>
      </w:r>
    </w:p>
  </w:footnote>
  <w:footnote w:id="17427">
    <w:p>
      <w:pPr>
        <w:pStyle w:val="FootnoteText"/>
      </w:pPr>
      <w:r>
        <w:rPr>
          <w:rStyle w:val="FootnoteReference"/>
        </w:rPr>
        <w:footnoteRef/>
      </w:r>
      <w:r>
        <w:t xml:space="preserve"> Cross-references for "but sin": Rom 4:15; 1Cor 15:56.</w:t>
      </w:r>
    </w:p>
  </w:footnote>
  <w:footnote w:id="17428">
    <w:p>
      <w:pPr>
        <w:pStyle w:val="FootnoteText"/>
      </w:pPr>
      <w:r>
        <w:rPr>
          <w:rStyle w:val="FootnoteReference"/>
        </w:rPr>
        <w:footnoteRef/>
      </w:r>
      <w:r>
        <w:t xml:space="preserve"> Cross-references for "death": Gen 4:8; Gen 5:5-31.</w:t>
      </w:r>
    </w:p>
  </w:footnote>
  <w:footnote w:id="17429">
    <w:p>
      <w:pPr>
        <w:pStyle w:val="FootnoteText"/>
      </w:pPr>
      <w:r>
        <w:rPr>
          <w:rStyle w:val="FootnoteReference"/>
        </w:rPr>
        <w:footnoteRef/>
      </w:r>
      <w:r>
        <w:t xml:space="preserve"> Cross-references for "But not": Isa 55:8-9; John 3:16.</w:t>
      </w:r>
    </w:p>
  </w:footnote>
  <w:footnote w:id="17430">
    <w:p>
      <w:pPr>
        <w:pStyle w:val="FootnoteText"/>
      </w:pPr>
      <w:r>
        <w:rPr>
          <w:rStyle w:val="FootnoteReference"/>
        </w:rPr>
        <w:footnoteRef/>
      </w:r>
      <w:r>
        <w:t xml:space="preserve"> Cross-references for "but the free": Isa 1:18; Isa 43:25.</w:t>
      </w:r>
    </w:p>
  </w:footnote>
  <w:footnote w:id="17431">
    <w:p>
      <w:pPr>
        <w:pStyle w:val="FootnoteText"/>
      </w:pPr>
      <w:r>
        <w:rPr>
          <w:rStyle w:val="FootnoteReference"/>
        </w:rPr>
        <w:footnoteRef/>
      </w:r>
      <w:r>
        <w:t xml:space="preserve"> Cross-references for "For if": Gen 3:6; Gen 3:19.</w:t>
      </w:r>
    </w:p>
  </w:footnote>
  <w:footnote w:id="17432">
    <w:p>
      <w:pPr>
        <w:pStyle w:val="FootnoteText"/>
      </w:pPr>
      <w:r>
        <w:rPr>
          <w:rStyle w:val="FootnoteReference"/>
        </w:rPr>
        <w:footnoteRef/>
      </w:r>
      <w:r>
        <w:t xml:space="preserve"> Cross-references for "the law": John 15:22; Rom 3:19-20.</w:t>
      </w:r>
    </w:p>
  </w:footnote>
  <w:footnote w:id="17433">
    <w:p>
      <w:pPr>
        <w:pStyle w:val="FootnoteText"/>
      </w:pPr>
      <w:r>
        <w:rPr>
          <w:rStyle w:val="FootnoteReference"/>
        </w:rPr>
        <w:footnoteRef/>
      </w:r>
      <w:r>
        <w:t xml:space="preserve"> Cross-references for "grace": John 1:16-17; Titus 2:11.</w:t>
      </w:r>
    </w:p>
  </w:footnote>
  <w:footnote w:id="17434">
    <w:p>
      <w:pPr>
        <w:pStyle w:val="FootnoteText"/>
      </w:pPr>
      <w:r>
        <w:rPr>
          <w:rStyle w:val="FootnoteReference"/>
        </w:rPr>
        <w:footnoteRef/>
      </w:r>
      <w:r>
        <w:t xml:space="preserve"> Cross-references for "dead": Rom 5:11; Rom 6:5-11.</w:t>
      </w:r>
    </w:p>
  </w:footnote>
  <w:footnote w:id="17435">
    <w:p>
      <w:pPr>
        <w:pStyle w:val="FootnoteText"/>
      </w:pPr>
      <w:r>
        <w:rPr>
          <w:rStyle w:val="FootnoteReference"/>
        </w:rPr>
        <w:footnoteRef/>
      </w:r>
      <w:r>
        <w:t xml:space="preserve"> Cross-references for "know": Rom 6:16; Rom 7:1.</w:t>
      </w:r>
    </w:p>
  </w:footnote>
  <w:footnote w:id="17436">
    <w:p>
      <w:pPr>
        <w:pStyle w:val="FootnoteText"/>
      </w:pPr>
      <w:r>
        <w:rPr>
          <w:rStyle w:val="FootnoteReference"/>
        </w:rPr>
        <w:footnoteRef/>
      </w:r>
      <w:r>
        <w:t xml:space="preserve"> Cross-references for "we are": Rom 6:3; Col 2:12-13.</w:t>
      </w:r>
    </w:p>
  </w:footnote>
  <w:footnote w:id="17437">
    <w:p>
      <w:pPr>
        <w:pStyle w:val="FootnoteText"/>
      </w:pPr>
      <w:r>
        <w:rPr>
          <w:rStyle w:val="FootnoteReference"/>
        </w:rPr>
        <w:footnoteRef/>
      </w:r>
      <w:r>
        <w:t xml:space="preserve"> Cross-references for "that our": Gal 2:20; Gal 5:24.</w:t>
      </w:r>
    </w:p>
  </w:footnote>
  <w:footnote w:id="17438">
    <w:p>
      <w:pPr>
        <w:pStyle w:val="FootnoteText"/>
      </w:pPr>
      <w:r>
        <w:rPr>
          <w:rStyle w:val="FootnoteReference"/>
        </w:rPr>
        <w:footnoteRef/>
      </w:r>
      <w:r>
        <w:t xml:space="preserve"> Cross-references for "we believe": John 14:19; 2Cor 4:10-14.</w:t>
      </w:r>
    </w:p>
  </w:footnote>
  <w:footnote w:id="17439">
    <w:p>
      <w:pPr>
        <w:pStyle w:val="FootnoteText"/>
      </w:pPr>
      <w:r>
        <w:rPr>
          <w:rStyle w:val="FootnoteReference"/>
        </w:rPr>
        <w:footnoteRef/>
      </w:r>
      <w:r>
        <w:t xml:space="preserve"> Cross-references for "Christ": Ps 16:9-11; Acts 2:24-28.</w:t>
      </w:r>
    </w:p>
  </w:footnote>
  <w:footnote w:id="17440">
    <w:p>
      <w:pPr>
        <w:pStyle w:val="FootnoteText"/>
      </w:pPr>
      <w:r>
        <w:rPr>
          <w:rStyle w:val="FootnoteReference"/>
        </w:rPr>
        <w:footnoteRef/>
      </w:r>
      <w:r>
        <w:t xml:space="preserve"> Cross-references for "reckon": Rom 8:18.</w:t>
      </w:r>
    </w:p>
  </w:footnote>
  <w:footnote w:id="17441">
    <w:p>
      <w:pPr>
        <w:pStyle w:val="FootnoteText"/>
      </w:pPr>
      <w:r>
        <w:rPr>
          <w:rStyle w:val="FootnoteReference"/>
        </w:rPr>
        <w:footnoteRef/>
      </w:r>
      <w:r>
        <w:t xml:space="preserve"> Cross-references for "let not": Num 33:55; Deut 7:2.</w:t>
      </w:r>
    </w:p>
  </w:footnote>
  <w:footnote w:id="17442">
    <w:p>
      <w:pPr>
        <w:pStyle w:val="FootnoteText"/>
      </w:pPr>
      <w:r>
        <w:rPr>
          <w:rStyle w:val="FootnoteReference"/>
        </w:rPr>
        <w:footnoteRef/>
      </w:r>
      <w:r>
        <w:t xml:space="preserve"> Cross-references for "unrighteousness": Deut 25:16; Isa 3:10-11.</w:t>
      </w:r>
    </w:p>
  </w:footnote>
  <w:footnote w:id="17443">
    <w:p>
      <w:pPr>
        <w:pStyle w:val="FootnoteText"/>
      </w:pPr>
      <w:r>
        <w:rPr>
          <w:rStyle w:val="FootnoteReference"/>
        </w:rPr>
        <w:footnoteRef/>
      </w:r>
      <w:r>
        <w:t xml:space="preserve"> Cross-references for "under": John 1:17; Rom 4:16.</w:t>
      </w:r>
    </w:p>
  </w:footnote>
  <w:footnote w:id="17444">
    <w:p>
      <w:pPr>
        <w:pStyle w:val="FootnoteText"/>
      </w:pPr>
      <w:r>
        <w:rPr>
          <w:rStyle w:val="FootnoteReference"/>
        </w:rPr>
        <w:footnoteRef/>
      </w:r>
      <w:r>
        <w:t xml:space="preserve"> Cross-references for "shall we": Rom 6:1-2; 1Cor 9:20-21.</w:t>
      </w:r>
    </w:p>
  </w:footnote>
  <w:footnote w:id="17445">
    <w:p>
      <w:pPr>
        <w:pStyle w:val="FootnoteText"/>
      </w:pPr>
      <w:r>
        <w:rPr>
          <w:rStyle w:val="FootnoteReference"/>
        </w:rPr>
        <w:footnoteRef/>
      </w:r>
      <w:r>
        <w:t xml:space="preserve"> Cross-references for "know": Rom 6:3.</w:t>
      </w:r>
    </w:p>
  </w:footnote>
  <w:footnote w:id="17446">
    <w:p>
      <w:pPr>
        <w:pStyle w:val="FootnoteText"/>
      </w:pPr>
      <w:r>
        <w:rPr>
          <w:rStyle w:val="FootnoteReference"/>
        </w:rPr>
        <w:footnoteRef/>
      </w:r>
      <w:r>
        <w:t xml:space="preserve"> Cross-references for "that form": 2Tim 1:13.</w:t>
      </w:r>
    </w:p>
  </w:footnote>
  <w:footnote w:id="17447">
    <w:p>
      <w:pPr>
        <w:pStyle w:val="FootnoteText"/>
      </w:pPr>
      <w:r>
        <w:rPr>
          <w:rStyle w:val="FootnoteReference"/>
        </w:rPr>
        <w:footnoteRef/>
      </w:r>
      <w:r>
        <w:t xml:space="preserve"> Cross-references for "made": Ps 116:16; Ps 119:32.</w:t>
      </w:r>
    </w:p>
  </w:footnote>
  <w:footnote w:id="17448">
    <w:p>
      <w:pPr>
        <w:pStyle w:val="FootnoteText"/>
      </w:pPr>
      <w:r>
        <w:rPr>
          <w:rStyle w:val="FootnoteReference"/>
        </w:rPr>
        <w:footnoteRef/>
      </w:r>
      <w:r>
        <w:t xml:space="preserve"> Cross-references for "I speak": Rom 3:5; 1Cor 9:8.</w:t>
      </w:r>
    </w:p>
  </w:footnote>
  <w:footnote w:id="17449">
    <w:p>
      <w:pPr>
        <w:pStyle w:val="FootnoteText"/>
      </w:pPr>
      <w:r>
        <w:rPr>
          <w:rStyle w:val="FootnoteReference"/>
        </w:rPr>
        <w:footnoteRef/>
      </w:r>
      <w:r>
        <w:t xml:space="preserve"> Cross-references for "But now": John 8:32; Rom 6:14.</w:t>
      </w:r>
    </w:p>
  </w:footnote>
  <w:footnote w:id="17450">
    <w:p>
      <w:pPr>
        <w:pStyle w:val="FootnoteText"/>
      </w:pPr>
      <w:r>
        <w:rPr>
          <w:rStyle w:val="FootnoteReference"/>
        </w:rPr>
        <w:footnoteRef/>
      </w:r>
      <w:r>
        <w:t xml:space="preserve"> Cross-references for "For the wages": Gen 2:17; Gen 3:19.</w:t>
      </w:r>
    </w:p>
  </w:footnote>
  <w:footnote w:id="17451">
    <w:p>
      <w:pPr>
        <w:pStyle w:val="FootnoteText"/>
      </w:pPr>
      <w:r>
        <w:rPr>
          <w:rStyle w:val="FootnoteReference"/>
        </w:rPr>
        <w:footnoteRef/>
      </w:r>
      <w:r>
        <w:t xml:space="preserve"> Cross-references for "know": Rom 6:3.</w:t>
      </w:r>
    </w:p>
  </w:footnote>
  <w:footnote w:id="17452">
    <w:p>
      <w:pPr>
        <w:pStyle w:val="FootnoteText"/>
      </w:pPr>
      <w:r>
        <w:rPr>
          <w:rStyle w:val="FootnoteReference"/>
        </w:rPr>
        <w:footnoteRef/>
      </w:r>
      <w:r>
        <w:t xml:space="preserve"> Cross-references for "So then": Exod 20:14; Lev 20:10.</w:t>
      </w:r>
    </w:p>
  </w:footnote>
  <w:footnote w:id="17453">
    <w:p>
      <w:pPr>
        <w:pStyle w:val="FootnoteText"/>
      </w:pPr>
      <w:r>
        <w:rPr>
          <w:rStyle w:val="FootnoteReference"/>
        </w:rPr>
        <w:footnoteRef/>
      </w:r>
      <w:r>
        <w:t xml:space="preserve"> Cross-references for "the body": Matt 26:26; John 6:51.</w:t>
      </w:r>
    </w:p>
  </w:footnote>
  <w:footnote w:id="17454">
    <w:p>
      <w:pPr>
        <w:pStyle w:val="FootnoteText"/>
      </w:pPr>
      <w:r>
        <w:rPr>
          <w:rStyle w:val="FootnoteReference"/>
        </w:rPr>
        <w:footnoteRef/>
      </w:r>
      <w:r>
        <w:t xml:space="preserve"> Cross-references for "in the flesh": John 3:6; Rom 8:8-9.</w:t>
      </w:r>
    </w:p>
  </w:footnote>
  <w:footnote w:id="17455">
    <w:p>
      <w:pPr>
        <w:pStyle w:val="FootnoteText"/>
      </w:pPr>
      <w:r>
        <w:rPr>
          <w:rStyle w:val="FootnoteReference"/>
        </w:rPr>
        <w:footnoteRef/>
      </w:r>
      <w:r>
        <w:t xml:space="preserve"> Cross-references for "serve": Ezek 11:19; Ezek 36:26.</w:t>
      </w:r>
    </w:p>
  </w:footnote>
  <w:footnote w:id="17456">
    <w:p>
      <w:pPr>
        <w:pStyle w:val="FootnoteText"/>
      </w:pPr>
      <w:r>
        <w:rPr>
          <w:rStyle w:val="FootnoteReference"/>
        </w:rPr>
        <w:footnoteRef/>
      </w:r>
      <w:r>
        <w:t xml:space="preserve"> Cross-references for "Is the law": Rom 7:8; Rom 7:11.</w:t>
      </w:r>
    </w:p>
  </w:footnote>
  <w:footnote w:id="17457">
    <w:p>
      <w:pPr>
        <w:pStyle w:val="FootnoteText"/>
      </w:pPr>
      <w:r>
        <w:rPr>
          <w:rStyle w:val="FootnoteReference"/>
        </w:rPr>
        <w:footnoteRef/>
      </w:r>
      <w:r>
        <w:t xml:space="preserve"> Cross-references for "For I": Matt 19:20; Luke 10:25-29.</w:t>
      </w:r>
    </w:p>
  </w:footnote>
  <w:footnote w:id="17458">
    <w:p>
      <w:pPr>
        <w:pStyle w:val="FootnoteText"/>
      </w:pPr>
      <w:r>
        <w:rPr>
          <w:rStyle w:val="FootnoteReference"/>
        </w:rPr>
        <w:footnoteRef/>
      </w:r>
      <w:r>
        <w:t xml:space="preserve"> Cross-references for "deceived": Isa 44:20; Jer 17:9.</w:t>
      </w:r>
    </w:p>
  </w:footnote>
  <w:footnote w:id="17459">
    <w:p>
      <w:pPr>
        <w:pStyle w:val="FootnoteText"/>
      </w:pPr>
      <w:r>
        <w:rPr>
          <w:rStyle w:val="FootnoteReference"/>
        </w:rPr>
        <w:footnoteRef/>
      </w:r>
      <w:r>
        <w:t xml:space="preserve"> Cross-references for "the law": Deut 4:8; Deut 10:12.</w:t>
      </w:r>
    </w:p>
  </w:footnote>
  <w:footnote w:id="17460">
    <w:p>
      <w:pPr>
        <w:pStyle w:val="FootnoteText"/>
      </w:pPr>
      <w:r>
        <w:rPr>
          <w:rStyle w:val="FootnoteReference"/>
        </w:rPr>
        <w:footnoteRef/>
      </w:r>
      <w:r>
        <w:t xml:space="preserve"> Cross-references for "But sin": Rom 5:20; Rom 7:8-11.</w:t>
      </w:r>
    </w:p>
  </w:footnote>
  <w:footnote w:id="17461">
    <w:p>
      <w:pPr>
        <w:pStyle w:val="FootnoteText"/>
      </w:pPr>
      <w:r>
        <w:rPr>
          <w:rStyle w:val="FootnoteReference"/>
        </w:rPr>
        <w:footnoteRef/>
      </w:r>
      <w:r>
        <w:t xml:space="preserve"> Cross-references for "the law": Lev 19:18; Deut 6:5.</w:t>
      </w:r>
    </w:p>
  </w:footnote>
  <w:footnote w:id="17462">
    <w:p>
      <w:pPr>
        <w:pStyle w:val="FootnoteText"/>
      </w:pPr>
      <w:r>
        <w:rPr>
          <w:rStyle w:val="FootnoteReference"/>
        </w:rPr>
        <w:footnoteRef/>
      </w:r>
      <w:r>
        <w:t xml:space="preserve"> Cross-references for "what I hate": Ps 36:4; Ps 97:10.</w:t>
      </w:r>
    </w:p>
  </w:footnote>
  <w:footnote w:id="17463">
    <w:p>
      <w:pPr>
        <w:pStyle w:val="FootnoteText"/>
      </w:pPr>
      <w:r>
        <w:rPr>
          <w:rStyle w:val="FootnoteReference"/>
        </w:rPr>
        <w:footnoteRef/>
      </w:r>
      <w:r>
        <w:t xml:space="preserve"> Cross-references for "that in me": Gen 6:5; Gen 8:21.</w:t>
      </w:r>
    </w:p>
  </w:footnote>
  <w:footnote w:id="17464">
    <w:p>
      <w:pPr>
        <w:pStyle w:val="FootnoteText"/>
      </w:pPr>
      <w:r>
        <w:rPr>
          <w:rStyle w:val="FootnoteReference"/>
        </w:rPr>
        <w:footnoteRef/>
      </w:r>
      <w:r>
        <w:t xml:space="preserve"> Cross-references for "it is no": Rom 7:17.</w:t>
      </w:r>
    </w:p>
  </w:footnote>
  <w:footnote w:id="17465">
    <w:p>
      <w:pPr>
        <w:pStyle w:val="FootnoteText"/>
      </w:pPr>
      <w:r>
        <w:rPr>
          <w:rStyle w:val="FootnoteReference"/>
        </w:rPr>
        <w:footnoteRef/>
      </w:r>
      <w:r>
        <w:t xml:space="preserve"> Cross-references for "evil": 2Chr 30:18-19; Ps 19:12.</w:t>
      </w:r>
    </w:p>
  </w:footnote>
  <w:footnote w:id="17466">
    <w:p>
      <w:pPr>
        <w:pStyle w:val="FootnoteText"/>
      </w:pPr>
      <w:r>
        <w:rPr>
          <w:rStyle w:val="FootnoteReference"/>
        </w:rPr>
        <w:footnoteRef/>
      </w:r>
      <w:r>
        <w:t xml:space="preserve"> Cross-references for "I delight": Job 23:12; Ps 1:2.</w:t>
      </w:r>
    </w:p>
  </w:footnote>
  <w:footnote w:id="17467">
    <w:p>
      <w:pPr>
        <w:pStyle w:val="FootnoteText"/>
      </w:pPr>
      <w:r>
        <w:rPr>
          <w:rStyle w:val="FootnoteReference"/>
        </w:rPr>
        <w:footnoteRef/>
      </w:r>
      <w:r>
        <w:t xml:space="preserve"> Cross-references for "another": Eccl 7:20; Rom 7:5.</w:t>
      </w:r>
    </w:p>
  </w:footnote>
  <w:footnote w:id="17468">
    <w:p>
      <w:pPr>
        <w:pStyle w:val="FootnoteText"/>
      </w:pPr>
      <w:r>
        <w:rPr>
          <w:rStyle w:val="FootnoteReference"/>
        </w:rPr>
        <w:footnoteRef/>
      </w:r>
      <w:r>
        <w:t xml:space="preserve"> Cross-references for "wretched": 1Kgs 8:38; Ps 6:6.</w:t>
      </w:r>
    </w:p>
  </w:footnote>
  <w:footnote w:id="17469">
    <w:p>
      <w:pPr>
        <w:pStyle w:val="FootnoteText"/>
      </w:pPr>
      <w:r>
        <w:rPr>
          <w:rStyle w:val="FootnoteReference"/>
        </w:rPr>
        <w:footnoteRef/>
      </w:r>
      <w:r>
        <w:t xml:space="preserve"> Cross-references for "thank God": Ps 107:15-16; Ps 116:16-17.</w:t>
      </w:r>
    </w:p>
  </w:footnote>
  <w:footnote w:id="17470">
    <w:p>
      <w:pPr>
        <w:pStyle w:val="FootnoteText"/>
      </w:pPr>
      <w:r>
        <w:rPr>
          <w:rStyle w:val="FootnoteReference"/>
        </w:rPr>
        <w:footnoteRef/>
      </w:r>
      <w:r>
        <w:t xml:space="preserve"> Cross-references for "Spirit": Rom 8:10-11.</w:t>
      </w:r>
    </w:p>
  </w:footnote>
  <w:footnote w:id="17471">
    <w:p>
      <w:pPr>
        <w:pStyle w:val="FootnoteText"/>
      </w:pPr>
      <w:r>
        <w:rPr>
          <w:rStyle w:val="FootnoteReference"/>
        </w:rPr>
        <w:footnoteRef/>
      </w:r>
      <w:r>
        <w:t xml:space="preserve"> Cross-references for "For what": Acts 13:39; Rom 3:20.</w:t>
      </w:r>
    </w:p>
  </w:footnote>
  <w:footnote w:id="17472">
    <w:p>
      <w:pPr>
        <w:pStyle w:val="FootnoteText"/>
      </w:pPr>
      <w:r>
        <w:rPr>
          <w:rStyle w:val="FootnoteReference"/>
        </w:rPr>
        <w:footnoteRef/>
      </w:r>
      <w:r>
        <w:t xml:space="preserve"> Cross-references for "of the Spirit": Rom 8:9; Rom 8:14.</w:t>
      </w:r>
    </w:p>
  </w:footnote>
  <w:footnote w:id="17473">
    <w:p>
      <w:pPr>
        <w:pStyle w:val="FootnoteText"/>
      </w:pPr>
      <w:r>
        <w:rPr>
          <w:rStyle w:val="FootnoteReference"/>
        </w:rPr>
        <w:footnoteRef/>
      </w:r>
      <w:r>
        <w:t xml:space="preserve"> Cross-references for "for it": Matt 5:19; Rom 3:31.</w:t>
      </w:r>
    </w:p>
  </w:footnote>
  <w:footnote w:id="17474">
    <w:p>
      <w:pPr>
        <w:pStyle w:val="FootnoteText"/>
      </w:pPr>
      <w:r>
        <w:rPr>
          <w:rStyle w:val="FootnoteReference"/>
        </w:rPr>
        <w:footnoteRef/>
      </w:r>
      <w:r>
        <w:t xml:space="preserve"> Cross-references for "please": Matt 3:17; John 8:29.</w:t>
      </w:r>
    </w:p>
  </w:footnote>
  <w:footnote w:id="17475">
    <w:p>
      <w:pPr>
        <w:pStyle w:val="FootnoteText"/>
      </w:pPr>
      <w:r>
        <w:rPr>
          <w:rStyle w:val="FootnoteReference"/>
        </w:rPr>
        <w:footnoteRef/>
      </w:r>
      <w:r>
        <w:t xml:space="preserve"> Cross-references for "the Spirit": John 3:34; Gal 4:6.</w:t>
      </w:r>
    </w:p>
  </w:footnote>
  <w:footnote w:id="17476">
    <w:p>
      <w:pPr>
        <w:pStyle w:val="FootnoteText"/>
      </w:pPr>
      <w:r>
        <w:rPr>
          <w:rStyle w:val="FootnoteReference"/>
        </w:rPr>
        <w:footnoteRef/>
      </w:r>
      <w:r>
        <w:t xml:space="preserve"> Cross-references for "if Christ": John 6:56; John 14:20.</w:t>
      </w:r>
    </w:p>
  </w:footnote>
  <w:footnote w:id="17477">
    <w:p>
      <w:pPr>
        <w:pStyle w:val="FootnoteText"/>
      </w:pPr>
      <w:r>
        <w:rPr>
          <w:rStyle w:val="FootnoteReference"/>
        </w:rPr>
        <w:footnoteRef/>
      </w:r>
      <w:r>
        <w:t xml:space="preserve"> Cross-references for "mortal": Rom 6:12; 1Cor 15:53.</w:t>
      </w:r>
    </w:p>
  </w:footnote>
  <w:footnote w:id="17478">
    <w:p>
      <w:pPr>
        <w:pStyle w:val="FootnoteText"/>
      </w:pPr>
      <w:r>
        <w:rPr>
          <w:rStyle w:val="FootnoteReference"/>
        </w:rPr>
        <w:footnoteRef/>
      </w:r>
      <w:r>
        <w:t xml:space="preserve"> Cross-references for "we are": Ps 116:16; Rom 6:2-15.</w:t>
      </w:r>
    </w:p>
  </w:footnote>
  <w:footnote w:id="17479">
    <w:p>
      <w:pPr>
        <w:pStyle w:val="FootnoteText"/>
      </w:pPr>
      <w:r>
        <w:rPr>
          <w:rStyle w:val="FootnoteReference"/>
        </w:rPr>
        <w:footnoteRef/>
      </w:r>
      <w:r>
        <w:t xml:space="preserve"> Cross-references for "but if": Rom 8:2; 1Cor 9:27.</w:t>
      </w:r>
    </w:p>
  </w:footnote>
  <w:footnote w:id="17480">
    <w:p>
      <w:pPr>
        <w:pStyle w:val="FootnoteText"/>
      </w:pPr>
      <w:r>
        <w:rPr>
          <w:rStyle w:val="FootnoteReference"/>
        </w:rPr>
        <w:footnoteRef/>
      </w:r>
      <w:r>
        <w:t xml:space="preserve"> Cross-references for "the Spirit": Exod 20:19; Num 17:12.</w:t>
      </w:r>
    </w:p>
  </w:footnote>
  <w:footnote w:id="17481">
    <w:p>
      <w:pPr>
        <w:pStyle w:val="FootnoteText"/>
      </w:pPr>
      <w:r>
        <w:rPr>
          <w:rStyle w:val="FootnoteReference"/>
        </w:rPr>
        <w:footnoteRef/>
      </w:r>
      <w:r>
        <w:t xml:space="preserve"> Cross-references for "Spirit": Rom 8:23; Rom 8:26.</w:t>
      </w:r>
    </w:p>
  </w:footnote>
  <w:footnote w:id="17482">
    <w:p>
      <w:pPr>
        <w:pStyle w:val="FootnoteText"/>
      </w:pPr>
      <w:r>
        <w:rPr>
          <w:rStyle w:val="FootnoteReference"/>
        </w:rPr>
        <w:footnoteRef/>
      </w:r>
      <w:r>
        <w:t xml:space="preserve"> Cross-references for "if children": Luke 12:32; Acts 26:18.</w:t>
      </w:r>
    </w:p>
  </w:footnote>
  <w:footnote w:id="17483">
    <w:p>
      <w:pPr>
        <w:pStyle w:val="FootnoteText"/>
      </w:pPr>
      <w:r>
        <w:rPr>
          <w:rStyle w:val="FootnoteReference"/>
        </w:rPr>
        <w:footnoteRef/>
      </w:r>
      <w:r>
        <w:t xml:space="preserve"> Cross-references for "I reckon": Matt 5:11-12; Acts 20:24.</w:t>
      </w:r>
    </w:p>
  </w:footnote>
  <w:footnote w:id="17484">
    <w:p>
      <w:pPr>
        <w:pStyle w:val="FootnoteText"/>
      </w:pPr>
      <w:r>
        <w:rPr>
          <w:rStyle w:val="FootnoteReference"/>
        </w:rPr>
        <w:footnoteRef/>
      </w:r>
      <w:r>
        <w:t xml:space="preserve"> Cross-references for "expectation": Isa 65:17; Acts 3:21.</w:t>
      </w:r>
    </w:p>
  </w:footnote>
  <w:footnote w:id="17485">
    <w:p>
      <w:pPr>
        <w:pStyle w:val="FootnoteText"/>
      </w:pPr>
      <w:r>
        <w:rPr>
          <w:rStyle w:val="FootnoteReference"/>
        </w:rPr>
        <w:footnoteRef/>
      </w:r>
      <w:r>
        <w:t xml:space="preserve"> Cross-references for "even we": Rom 7:24; Rom 8:26.</w:t>
      </w:r>
    </w:p>
  </w:footnote>
  <w:footnote w:id="17486">
    <w:p>
      <w:pPr>
        <w:pStyle w:val="FootnoteText"/>
      </w:pPr>
      <w:r>
        <w:rPr>
          <w:rStyle w:val="FootnoteReference"/>
        </w:rPr>
        <w:footnoteRef/>
      </w:r>
      <w:r>
        <w:t xml:space="preserve"> Cross-references for "saved": Ps 33:18; Ps 33:22.</w:t>
      </w:r>
    </w:p>
  </w:footnote>
  <w:footnote w:id="17487">
    <w:p>
      <w:pPr>
        <w:pStyle w:val="FootnoteText"/>
      </w:pPr>
      <w:r>
        <w:rPr>
          <w:rStyle w:val="FootnoteReference"/>
        </w:rPr>
        <w:footnoteRef/>
      </w:r>
      <w:r>
        <w:t xml:space="preserve"> Cross-references for "for we": Matt 20:22; Luke 11:1-13.</w:t>
      </w:r>
    </w:p>
  </w:footnote>
  <w:footnote w:id="17488">
    <w:p>
      <w:pPr>
        <w:pStyle w:val="FootnoteText"/>
      </w:pPr>
      <w:r>
        <w:rPr>
          <w:rStyle w:val="FootnoteReference"/>
        </w:rPr>
        <w:footnoteRef/>
      </w:r>
      <w:r>
        <w:t xml:space="preserve"> Cross-references for "he also": Eph 1:5; Eph 1:11.</w:t>
      </w:r>
    </w:p>
  </w:footnote>
  <w:footnote w:id="17489">
    <w:p>
      <w:pPr>
        <w:pStyle w:val="FootnoteText"/>
      </w:pPr>
      <w:r>
        <w:rPr>
          <w:rStyle w:val="FootnoteReference"/>
        </w:rPr>
        <w:footnoteRef/>
      </w:r>
      <w:r>
        <w:t xml:space="preserve"> Cross-references for "he called": Rom 3:22-26; 1Cor 6:11.</w:t>
      </w:r>
    </w:p>
  </w:footnote>
  <w:footnote w:id="17490">
    <w:p>
      <w:pPr>
        <w:pStyle w:val="FootnoteText"/>
      </w:pPr>
      <w:r>
        <w:rPr>
          <w:rStyle w:val="FootnoteReference"/>
        </w:rPr>
        <w:footnoteRef/>
      </w:r>
      <w:r>
        <w:t xml:space="preserve"> Cross-references for "delivered": Rom 4:25.</w:t>
      </w:r>
    </w:p>
  </w:footnote>
  <w:footnote w:id="17491">
    <w:p>
      <w:pPr>
        <w:pStyle w:val="FootnoteText"/>
      </w:pPr>
      <w:r>
        <w:rPr>
          <w:rStyle w:val="FootnoteReference"/>
        </w:rPr>
        <w:footnoteRef/>
      </w:r>
      <w:r>
        <w:t xml:space="preserve"> Cross-references for "who also": Isa 53:12; John 16:23.</w:t>
      </w:r>
    </w:p>
  </w:footnote>
  <w:footnote w:id="17492">
    <w:p>
      <w:pPr>
        <w:pStyle w:val="FootnoteText"/>
      </w:pPr>
      <w:r>
        <w:rPr>
          <w:rStyle w:val="FootnoteReference"/>
        </w:rPr>
        <w:footnoteRef/>
      </w:r>
      <w:r>
        <w:t xml:space="preserve"> Cross-references for "shall separate": Ps 103:17; Jer 31:3.</w:t>
      </w:r>
    </w:p>
  </w:footnote>
  <w:footnote w:id="17493">
    <w:p>
      <w:pPr>
        <w:pStyle w:val="FootnoteText"/>
      </w:pPr>
      <w:r>
        <w:rPr>
          <w:rStyle w:val="FootnoteReference"/>
        </w:rPr>
        <w:footnoteRef/>
      </w:r>
      <w:r>
        <w:t xml:space="preserve"> Cross-references for "as sheep": Isa 53:7; Jer 11:19.</w:t>
      </w:r>
    </w:p>
  </w:footnote>
  <w:footnote w:id="17494">
    <w:p>
      <w:pPr>
        <w:pStyle w:val="FootnoteText"/>
      </w:pPr>
      <w:r>
        <w:rPr>
          <w:rStyle w:val="FootnoteReference"/>
        </w:rPr>
        <w:footnoteRef/>
      </w:r>
      <w:r>
        <w:t xml:space="preserve"> Cross-references for "For I": Rom 4:21; 2Cor 4:13.</w:t>
      </w:r>
    </w:p>
  </w:footnote>
  <w:footnote w:id="17495">
    <w:p>
      <w:pPr>
        <w:pStyle w:val="FootnoteText"/>
      </w:pPr>
      <w:r>
        <w:rPr>
          <w:rStyle w:val="FootnoteReference"/>
        </w:rPr>
        <w:footnoteRef/>
      </w:r>
      <w:r>
        <w:t xml:space="preserve"> Cross-references for "height": Exod 9:16-17; Ps 93:3-4.</w:t>
      </w:r>
    </w:p>
  </w:footnote>
  <w:footnote w:id="17496">
    <w:p>
      <w:pPr>
        <w:pStyle w:val="FootnoteText"/>
      </w:pPr>
      <w:r>
        <w:rPr>
          <w:rStyle w:val="FootnoteReference"/>
        </w:rPr>
        <w:footnoteRef/>
      </w:r>
      <w:r>
        <w:t xml:space="preserve"> Cross-references for "my conscience": Rom 2:15; Rom 8:16.</w:t>
      </w:r>
    </w:p>
  </w:footnote>
  <w:footnote w:id="17497">
    <w:p>
      <w:pPr>
        <w:pStyle w:val="FootnoteText"/>
      </w:pPr>
      <w:r>
        <w:rPr>
          <w:rStyle w:val="FootnoteReference"/>
        </w:rPr>
        <w:footnoteRef/>
      </w:r>
      <w:r>
        <w:t xml:space="preserve"> Cross-references for "I could": Exod 32:32.</w:t>
      </w:r>
    </w:p>
  </w:footnote>
  <w:footnote w:id="17498">
    <w:p>
      <w:pPr>
        <w:pStyle w:val="FootnoteText"/>
      </w:pPr>
      <w:r>
        <w:rPr>
          <w:rStyle w:val="FootnoteReference"/>
        </w:rPr>
        <w:footnoteRef/>
      </w:r>
      <w:r>
        <w:t xml:space="preserve"> People-name: Israelites. People-name meaning: Israelites — God contends; strives with God. Source form: Israelites.</w:t>
      </w:r>
    </w:p>
  </w:footnote>
  <w:footnote w:id="17499">
    <w:p>
      <w:pPr>
        <w:pStyle w:val="FootnoteText"/>
      </w:pPr>
      <w:r>
        <w:rPr>
          <w:rStyle w:val="FootnoteReference"/>
        </w:rPr>
        <w:footnoteRef/>
      </w:r>
      <w:r>
        <w:t xml:space="preserve"> Cross-references for "are Israelites": Gen 32:28; Exod 19:3-6.</w:t>
      </w:r>
    </w:p>
  </w:footnote>
  <w:footnote w:id="17500">
    <w:p>
      <w:pPr>
        <w:pStyle w:val="FootnoteText"/>
      </w:pPr>
      <w:r>
        <w:rPr>
          <w:rStyle w:val="FootnoteReference"/>
        </w:rPr>
        <w:footnoteRef/>
      </w:r>
      <w:r>
        <w:t xml:space="preserve"> Cross-references for "are the fathers": Deut 10:15; Rom 11:28.</w:t>
      </w:r>
    </w:p>
  </w:footnote>
  <w:footnote w:id="17501">
    <w:p>
      <w:pPr>
        <w:pStyle w:val="FootnoteText"/>
      </w:pPr>
      <w:r>
        <w:rPr>
          <w:rStyle w:val="FootnoteReference"/>
        </w:rPr>
        <w:footnoteRef/>
      </w:r>
      <w:r>
        <w:t xml:space="preserve"> Cross-references for "as though": Num 23:19; Isa 55:11.</w:t>
      </w:r>
    </w:p>
  </w:footnote>
  <w:footnote w:id="17502">
    <w:p>
      <w:pPr>
        <w:pStyle w:val="FootnoteText"/>
      </w:pPr>
      <w:r>
        <w:rPr>
          <w:rStyle w:val="FootnoteReference"/>
        </w:rPr>
        <w:footnoteRef/>
      </w:r>
      <w:r>
        <w:t xml:space="preserve"> Cross-references for "In Isaac": Gen 21:12; Heb 11:18.</w:t>
      </w:r>
    </w:p>
  </w:footnote>
  <w:footnote w:id="17503">
    <w:p>
      <w:pPr>
        <w:pStyle w:val="FootnoteText"/>
      </w:pPr>
      <w:r>
        <w:rPr>
          <w:rStyle w:val="FootnoteReference"/>
        </w:rPr>
        <w:footnoteRef/>
      </w:r>
      <w:r>
        <w:t xml:space="preserve"> Cross-references for "At this time": Gen 17:21; Gen 18:10.</w:t>
      </w:r>
    </w:p>
  </w:footnote>
  <w:footnote w:id="17504">
    <w:p>
      <w:pPr>
        <w:pStyle w:val="FootnoteText"/>
      </w:pPr>
      <w:r>
        <w:rPr>
          <w:rStyle w:val="FootnoteReference"/>
        </w:rPr>
        <w:footnoteRef/>
      </w:r>
      <w:r>
        <w:t xml:space="preserve"> Cross-references for "not only": Luke 16:26; Rom 5:3.</w:t>
      </w:r>
    </w:p>
  </w:footnote>
  <w:footnote w:id="17505">
    <w:p>
      <w:pPr>
        <w:pStyle w:val="FootnoteText"/>
      </w:pPr>
      <w:r>
        <w:rPr>
          <w:rStyle w:val="FootnoteReference"/>
        </w:rPr>
        <w:footnoteRef/>
      </w:r>
      <w:r>
        <w:t xml:space="preserve"> Transliterated proper noun: Rebecca. Standard English equivalent: Rebekah. Source form: Rebecca. Greek form: ρεβεκκα. Name meaning: To bind; captivating.</w:t>
      </w:r>
    </w:p>
  </w:footnote>
  <w:footnote w:id="17506">
    <w:p>
      <w:pPr>
        <w:pStyle w:val="FootnoteText"/>
      </w:pPr>
      <w:r>
        <w:rPr>
          <w:rStyle w:val="FootnoteReference"/>
        </w:rPr>
        <w:footnoteRef/>
      </w:r>
      <w:r>
        <w:t xml:space="preserve"> Cross-references for "the children": Ps 51:5; Rom 4:17.</w:t>
      </w:r>
    </w:p>
  </w:footnote>
  <w:footnote w:id="17507">
    <w:p>
      <w:pPr>
        <w:pStyle w:val="FootnoteText"/>
      </w:pPr>
      <w:r>
        <w:rPr>
          <w:rStyle w:val="FootnoteReference"/>
        </w:rPr>
        <w:footnoteRef/>
      </w:r>
      <w:r>
        <w:t xml:space="preserve"> Cross-references for "Jacob": Mal 1:2-3.</w:t>
      </w:r>
    </w:p>
  </w:footnote>
  <w:footnote w:id="17508">
    <w:p>
      <w:pPr>
        <w:pStyle w:val="FootnoteText"/>
      </w:pPr>
      <w:r>
        <w:rPr>
          <w:rStyle w:val="FootnoteReference"/>
        </w:rPr>
        <w:footnoteRef/>
      </w:r>
      <w:r>
        <w:t xml:space="preserve"> Personal name: Esau. Personal-name meaning: Esau — Hairy; red. Source form: Esau.</w:t>
      </w:r>
    </w:p>
  </w:footnote>
  <w:footnote w:id="17509">
    <w:p>
      <w:pPr>
        <w:pStyle w:val="FootnoteText"/>
      </w:pPr>
      <w:r>
        <w:rPr>
          <w:rStyle w:val="FootnoteReference"/>
        </w:rPr>
        <w:footnoteRef/>
      </w:r>
      <w:r>
        <w:t xml:space="preserve"> Cross-references for "Is there unrighteousness": Gen 18:25; Deut 32:4.</w:t>
      </w:r>
    </w:p>
  </w:footnote>
  <w:footnote w:id="17510">
    <w:p>
      <w:pPr>
        <w:pStyle w:val="FootnoteText"/>
      </w:pPr>
      <w:r>
        <w:rPr>
          <w:rStyle w:val="FootnoteReference"/>
        </w:rPr>
        <w:footnoteRef/>
      </w:r>
      <w:r>
        <w:t xml:space="preserve"> Cross-references for "I will have": Exod 33:19; Exod 34:6-7.</w:t>
      </w:r>
    </w:p>
  </w:footnote>
  <w:footnote w:id="17511">
    <w:p>
      <w:pPr>
        <w:pStyle w:val="FootnoteText"/>
      </w:pPr>
      <w:r>
        <w:rPr>
          <w:rStyle w:val="FootnoteReference"/>
        </w:rPr>
        <w:footnoteRef/>
      </w:r>
      <w:r>
        <w:t xml:space="preserve"> Cross-references for "I raised": 1Sam 2:7-8; Isa 10:5-6.</w:t>
      </w:r>
    </w:p>
  </w:footnote>
  <w:footnote w:id="17512">
    <w:p>
      <w:pPr>
        <w:pStyle w:val="FootnoteText"/>
      </w:pPr>
      <w:r>
        <w:rPr>
          <w:rStyle w:val="FootnoteReference"/>
        </w:rPr>
        <w:footnoteRef/>
      </w:r>
      <w:r>
        <w:t xml:space="preserve"> Cross-references for "the potter": Prov 16:4; Isa 64:8.</w:t>
      </w:r>
    </w:p>
  </w:footnote>
  <w:footnote w:id="17513">
    <w:p>
      <w:pPr>
        <w:pStyle w:val="FootnoteText"/>
      </w:pPr>
      <w:r>
        <w:rPr>
          <w:rStyle w:val="FootnoteReference"/>
        </w:rPr>
        <w:footnoteRef/>
      </w:r>
      <w:r>
        <w:t xml:space="preserve"> Cross-references for "willing": Exod 9:16; Ps 90:11.</w:t>
      </w:r>
    </w:p>
  </w:footnote>
  <w:footnote w:id="17514">
    <w:p>
      <w:pPr>
        <w:pStyle w:val="FootnoteText"/>
      </w:pPr>
      <w:r>
        <w:rPr>
          <w:rStyle w:val="FootnoteReference"/>
        </w:rPr>
        <w:footnoteRef/>
      </w:r>
      <w:r>
        <w:t xml:space="preserve"> Cross-references for "might": Rom 2:4; Rom 5:20-21.</w:t>
      </w:r>
    </w:p>
  </w:footnote>
  <w:footnote w:id="17515">
    <w:p>
      <w:pPr>
        <w:pStyle w:val="FootnoteText"/>
      </w:pPr>
      <w:r>
        <w:rPr>
          <w:rStyle w:val="FootnoteReference"/>
        </w:rPr>
        <w:footnoteRef/>
      </w:r>
      <w:r>
        <w:t xml:space="preserve"> Cross-references for "not of the Jews": Gen 49:10; Ps 22:27.</w:t>
      </w:r>
    </w:p>
  </w:footnote>
  <w:footnote w:id="17516">
    <w:p>
      <w:pPr>
        <w:pStyle w:val="FootnoteText"/>
      </w:pPr>
      <w:r>
        <w:rPr>
          <w:rStyle w:val="FootnoteReference"/>
        </w:rPr>
        <w:footnoteRef/>
      </w:r>
      <w:r>
        <w:t xml:space="preserve"> Transliterated proper noun: Osee. Standard English equivalent: Hosea. Source form: Osee. Greek form: ωσηε. Name meaning: Salvation.</w:t>
      </w:r>
    </w:p>
  </w:footnote>
  <w:footnote w:id="17517">
    <w:p>
      <w:pPr>
        <w:pStyle w:val="FootnoteText"/>
      </w:pPr>
      <w:r>
        <w:rPr>
          <w:rStyle w:val="FootnoteReference"/>
        </w:rPr>
        <w:footnoteRef/>
      </w:r>
      <w:r>
        <w:t xml:space="preserve"> Cross-references for "I will call": Hos 2:23; 1Pet 2:10.</w:t>
      </w:r>
    </w:p>
  </w:footnote>
  <w:footnote w:id="17518">
    <w:p>
      <w:pPr>
        <w:pStyle w:val="FootnoteText"/>
      </w:pPr>
      <w:r>
        <w:rPr>
          <w:rStyle w:val="FootnoteReference"/>
        </w:rPr>
        <w:footnoteRef/>
      </w:r>
      <w:r>
        <w:t xml:space="preserve"> Cross-references for "And it": Hos 1:9-10.</w:t>
      </w:r>
    </w:p>
  </w:footnote>
  <w:footnote w:id="17519">
    <w:p>
      <w:pPr>
        <w:pStyle w:val="FootnoteText"/>
      </w:pPr>
      <w:r>
        <w:rPr>
          <w:rStyle w:val="FootnoteReference"/>
        </w:rPr>
        <w:footnoteRef/>
      </w:r>
      <w:r>
        <w:t xml:space="preserve"> Cross-references for "Though": Isa 10:20-23.</w:t>
      </w:r>
    </w:p>
  </w:footnote>
  <w:footnote w:id="17520">
    <w:p>
      <w:pPr>
        <w:pStyle w:val="FootnoteText"/>
      </w:pPr>
      <w:r>
        <w:rPr>
          <w:rStyle w:val="FootnoteReference"/>
        </w:rPr>
        <w:footnoteRef/>
      </w:r>
      <w:r>
        <w:t xml:space="preserve"> Cross-references for "and cut": Isa 28:22; Isa 30:12-14.</w:t>
      </w:r>
    </w:p>
  </w:footnote>
  <w:footnote w:id="17521">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7522">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7523">
    <w:p>
      <w:pPr>
        <w:pStyle w:val="FootnoteText"/>
      </w:pPr>
      <w:r>
        <w:rPr>
          <w:rStyle w:val="FootnoteReference"/>
        </w:rPr>
        <w:footnoteRef/>
      </w:r>
      <w:r>
        <w:t xml:space="preserve"> Transliterated proper noun: Sabaoth. Standard English equivalent: Lord of hosts. Source form: Sabaoth. Greek form: σαβαωθ. Name meaning: Yahweh of armies; Lord of heavenly hosts.</w:t>
      </w:r>
    </w:p>
  </w:footnote>
  <w:footnote w:id="17524">
    <w:p>
      <w:pPr>
        <w:pStyle w:val="FootnoteText"/>
      </w:pPr>
      <w:r>
        <w:rPr>
          <w:rStyle w:val="FootnoteReference"/>
        </w:rPr>
        <w:footnoteRef/>
      </w:r>
      <w:r>
        <w:t xml:space="preserve"> Cross-references for "followed": Prov 15:9; Prov 21:21.</w:t>
      </w:r>
    </w:p>
  </w:footnote>
  <w:footnote w:id="17525">
    <w:p>
      <w:pPr>
        <w:pStyle w:val="FootnoteText"/>
      </w:pPr>
      <w:r>
        <w:rPr>
          <w:rStyle w:val="FootnoteReference"/>
        </w:rPr>
        <w:footnoteRef/>
      </w:r>
      <w:r>
        <w:t xml:space="preserve"> Cross-references for "followed": Rom 9:30-32; Rom 10:2-4.</w:t>
      </w:r>
    </w:p>
  </w:footnote>
  <w:footnote w:id="17526">
    <w:p>
      <w:pPr>
        <w:pStyle w:val="FootnoteText"/>
      </w:pPr>
      <w:r>
        <w:rPr>
          <w:rStyle w:val="FootnoteReference"/>
        </w:rPr>
        <w:footnoteRef/>
      </w:r>
      <w:r>
        <w:t xml:space="preserve"> Cross-references for "they stumbled": Matt 13:57; Luke 2:34.</w:t>
      </w:r>
    </w:p>
  </w:footnote>
  <w:footnote w:id="17527">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7528">
    <w:p>
      <w:pPr>
        <w:pStyle w:val="FootnoteText"/>
      </w:pPr>
      <w:r>
        <w:rPr>
          <w:rStyle w:val="FootnoteReference"/>
        </w:rPr>
        <w:footnoteRef/>
      </w:r>
      <w:r>
        <w:t xml:space="preserve"> Cross-references for "ashamed": 1Pet 2:6.</w:t>
      </w:r>
    </w:p>
  </w:footnote>
  <w:footnote w:id="17529">
    <w:p>
      <w:pPr>
        <w:pStyle w:val="FootnoteText"/>
      </w:pPr>
      <w:r>
        <w:rPr>
          <w:rStyle w:val="FootnoteReference"/>
        </w:rPr>
        <w:footnoteRef/>
      </w:r>
      <w:r>
        <w:t xml:space="preserve"> Cross-references for "I bear them": 2Cor 8:3; Gal 4:15.</w:t>
      </w:r>
    </w:p>
  </w:footnote>
  <w:footnote w:id="17530">
    <w:p>
      <w:pPr>
        <w:pStyle w:val="FootnoteText"/>
      </w:pPr>
      <w:r>
        <w:rPr>
          <w:rStyle w:val="FootnoteReference"/>
        </w:rPr>
        <w:footnoteRef/>
      </w:r>
      <w:r>
        <w:t xml:space="preserve"> Cross-references for "to establish": Isa 57:12; Isa 64:6.</w:t>
      </w:r>
    </w:p>
  </w:footnote>
  <w:footnote w:id="17531">
    <w:p>
      <w:pPr>
        <w:pStyle w:val="FootnoteText"/>
      </w:pPr>
      <w:r>
        <w:rPr>
          <w:rStyle w:val="FootnoteReference"/>
        </w:rPr>
        <w:footnoteRef/>
      </w:r>
      <w:r>
        <w:t xml:space="preserve"> Cross-references for "Christ": Isa 53:11; Matt 3:15.</w:t>
      </w:r>
    </w:p>
  </w:footnote>
  <w:footnote w:id="17532">
    <w:p>
      <w:pPr>
        <w:pStyle w:val="FootnoteText"/>
      </w:pPr>
      <w:r>
        <w:rPr>
          <w:rStyle w:val="FootnoteReference"/>
        </w:rPr>
        <w:footnoteRef/>
      </w:r>
      <w:r>
        <w:t xml:space="preserve"> Cross-references for "righteousness": Rom 3:22; Rom 3:25.</w:t>
      </w:r>
    </w:p>
  </w:footnote>
  <w:footnote w:id="17533">
    <w:p>
      <w:pPr>
        <w:pStyle w:val="FootnoteText"/>
      </w:pPr>
      <w:r>
        <w:rPr>
          <w:rStyle w:val="FootnoteReference"/>
        </w:rPr>
        <w:footnoteRef/>
      </w:r>
      <w:r>
        <w:t xml:space="preserve"> Cross-references for "The word": Deut 30:14.</w:t>
      </w:r>
    </w:p>
  </w:footnote>
  <w:footnote w:id="17534">
    <w:p>
      <w:pPr>
        <w:pStyle w:val="FootnoteText"/>
      </w:pPr>
      <w:r>
        <w:rPr>
          <w:rStyle w:val="FootnoteReference"/>
        </w:rPr>
        <w:footnoteRef/>
      </w:r>
      <w:r>
        <w:t xml:space="preserve"> Cross-references for "That if": Matt 10:32-33; Luke 12:8.</w:t>
      </w:r>
    </w:p>
  </w:footnote>
  <w:footnote w:id="17535">
    <w:p>
      <w:pPr>
        <w:pStyle w:val="FootnoteText"/>
      </w:pPr>
      <w:r>
        <w:rPr>
          <w:rStyle w:val="FootnoteReference"/>
        </w:rPr>
        <w:footnoteRef/>
      </w:r>
      <w:r>
        <w:t xml:space="preserve"> Cross-references for "For with": Luke 8:15; John 1:12-13.</w:t>
      </w:r>
    </w:p>
  </w:footnote>
  <w:footnote w:id="17536">
    <w:p>
      <w:pPr>
        <w:pStyle w:val="FootnoteText"/>
      </w:pPr>
      <w:r>
        <w:rPr>
          <w:rStyle w:val="FootnoteReference"/>
        </w:rPr>
        <w:footnoteRef/>
      </w:r>
      <w:r>
        <w:t xml:space="preserve"> Cross-references for "there is no": Acts 10:34-35; Acts 15:8-9.</w:t>
      </w:r>
    </w:p>
  </w:footnote>
  <w:footnote w:id="17537">
    <w:p>
      <w:pPr>
        <w:pStyle w:val="FootnoteText"/>
      </w:pPr>
      <w:r>
        <w:rPr>
          <w:rStyle w:val="FootnoteReference"/>
        </w:rPr>
        <w:footnoteRef/>
      </w:r>
      <w:r>
        <w:t xml:space="preserve"> Cross-references for "shall they": 1Kgs 8:41-43; Jonah 1:5.</w:t>
      </w:r>
    </w:p>
  </w:footnote>
  <w:footnote w:id="17538">
    <w:p>
      <w:pPr>
        <w:pStyle w:val="FootnoteText"/>
      </w:pPr>
      <w:r>
        <w:rPr>
          <w:rStyle w:val="FootnoteReference"/>
        </w:rPr>
        <w:footnoteRef/>
      </w:r>
      <w:r>
        <w:t xml:space="preserve"> Cross-references for "And how": Jer 23:32; Matt 9:38.</w:t>
      </w:r>
    </w:p>
  </w:footnote>
  <w:footnote w:id="17539">
    <w:p>
      <w:pPr>
        <w:pStyle w:val="FootnoteText"/>
      </w:pPr>
      <w:r>
        <w:rPr>
          <w:rStyle w:val="FootnoteReference"/>
        </w:rPr>
        <w:footnoteRef/>
      </w:r>
      <w:r>
        <w:t xml:space="preserve"> Cross-references for "But they": John 10:26; Acts 28:24.</w:t>
      </w:r>
    </w:p>
  </w:footnote>
  <w:footnote w:id="17540">
    <w:p>
      <w:pPr>
        <w:pStyle w:val="FootnoteText"/>
      </w:pPr>
      <w:r>
        <w:rPr>
          <w:rStyle w:val="FootnoteReference"/>
        </w:rPr>
        <w:footnoteRef/>
      </w:r>
      <w:r>
        <w:t xml:space="preserve"> Cross-references for "faith": Luke 16:29-31; Rom 1:16.</w:t>
      </w:r>
    </w:p>
  </w:footnote>
  <w:footnote w:id="17541">
    <w:p>
      <w:pPr>
        <w:pStyle w:val="FootnoteText"/>
      </w:pPr>
      <w:r>
        <w:rPr>
          <w:rStyle w:val="FootnoteReference"/>
        </w:rPr>
        <w:footnoteRef/>
      </w:r>
      <w:r>
        <w:t xml:space="preserve"> Cross-references for "Their sound": Ps 19:4; Matt 24:14.</w:t>
      </w:r>
    </w:p>
  </w:footnote>
  <w:footnote w:id="17542">
    <w:p>
      <w:pPr>
        <w:pStyle w:val="FootnoteText"/>
      </w:pPr>
      <w:r>
        <w:rPr>
          <w:rStyle w:val="FootnoteReference"/>
        </w:rPr>
        <w:footnoteRef/>
      </w:r>
      <w:r>
        <w:t xml:space="preserve"> Cross-references for "First": Deut 32:21; Hos 2:23.</w:t>
      </w:r>
    </w:p>
  </w:footnote>
  <w:footnote w:id="17543">
    <w:p>
      <w:pPr>
        <w:pStyle w:val="FootnoteText"/>
      </w:pPr>
      <w:r>
        <w:rPr>
          <w:rStyle w:val="FootnoteReference"/>
        </w:rPr>
        <w:footnoteRef/>
      </w:r>
      <w:r>
        <w:t xml:space="preserve"> Cross-references for "very bold": Prov 28:1; Isa 58:1.</w:t>
      </w:r>
    </w:p>
  </w:footnote>
  <w:footnote w:id="17544">
    <w:p>
      <w:pPr>
        <w:pStyle w:val="FootnoteText"/>
      </w:pPr>
      <w:r>
        <w:rPr>
          <w:rStyle w:val="FootnoteReference"/>
        </w:rPr>
        <w:footnoteRef/>
      </w:r>
      <w:r>
        <w:t xml:space="preserve"> Cross-references for "All day long": Prov 1:24; Isa 65:2-5.</w:t>
      </w:r>
    </w:p>
  </w:footnote>
  <w:footnote w:id="17545">
    <w:p>
      <w:pPr>
        <w:pStyle w:val="FootnoteText"/>
      </w:pPr>
      <w:r>
        <w:rPr>
          <w:rStyle w:val="FootnoteReference"/>
        </w:rPr>
        <w:footnoteRef/>
      </w:r>
      <w:r>
        <w:t xml:space="preserve"> Cross-references for "For I also": Acts 22:3; Acts 26:4.</w:t>
      </w:r>
    </w:p>
  </w:footnote>
  <w:footnote w:id="17546">
    <w:p>
      <w:pPr>
        <w:pStyle w:val="FootnoteText"/>
      </w:pPr>
      <w:r>
        <w:rPr>
          <w:rStyle w:val="FootnoteReference"/>
        </w:rPr>
        <w:footnoteRef/>
      </w:r>
      <w:r>
        <w:t xml:space="preserve"> Transliterated proper noun: Baal. Standard English equivalent: Baal. Source form: Baal. Greek form: βααλ. Name meaning: master; lord.</w:t>
      </w:r>
    </w:p>
  </w:footnote>
  <w:footnote w:id="17547">
    <w:p>
      <w:pPr>
        <w:pStyle w:val="FootnoteText"/>
      </w:pPr>
      <w:r>
        <w:rPr>
          <w:rStyle w:val="FootnoteReference"/>
        </w:rPr>
        <w:footnoteRef/>
      </w:r>
      <w:r>
        <w:t xml:space="preserve"> Cross-references for "Baal": Num 25:3; Deut 4:3.</w:t>
      </w:r>
    </w:p>
  </w:footnote>
  <w:footnote w:id="17548">
    <w:p>
      <w:pPr>
        <w:pStyle w:val="FootnoteText"/>
      </w:pPr>
      <w:r>
        <w:rPr>
          <w:rStyle w:val="FootnoteReference"/>
        </w:rPr>
        <w:footnoteRef/>
      </w:r>
      <w:r>
        <w:t xml:space="preserve"> Cross-references for "election of grace": Rom 9:11; Rom 11:28.</w:t>
      </w:r>
    </w:p>
  </w:footnote>
  <w:footnote w:id="17549">
    <w:p>
      <w:pPr>
        <w:pStyle w:val="FootnoteText"/>
      </w:pPr>
      <w:r>
        <w:rPr>
          <w:rStyle w:val="FootnoteReference"/>
        </w:rPr>
        <w:footnoteRef/>
      </w:r>
      <w:r>
        <w:t xml:space="preserve"> Cross-references for "And if": Deut 9:4-6; Rom 3:27-28.</w:t>
      </w:r>
    </w:p>
  </w:footnote>
  <w:footnote w:id="17550">
    <w:p>
      <w:pPr>
        <w:pStyle w:val="FootnoteText"/>
      </w:pPr>
      <w:r>
        <w:rPr>
          <w:rStyle w:val="FootnoteReference"/>
        </w:rPr>
        <w:footnoteRef/>
      </w:r>
      <w:r>
        <w:t xml:space="preserve"> Cross-references for "What then": Rom 3:9; Rom 6:15.</w:t>
      </w:r>
    </w:p>
  </w:footnote>
  <w:footnote w:id="17551">
    <w:p>
      <w:pPr>
        <w:pStyle w:val="FootnoteText"/>
      </w:pPr>
      <w:r>
        <w:rPr>
          <w:rStyle w:val="FootnoteReference"/>
        </w:rPr>
        <w:footnoteRef/>
      </w:r>
      <w:r>
        <w:t xml:space="preserve"> Cross-references for "eyes": Deut 29:4; Isa 6:9.</w:t>
      </w:r>
    </w:p>
  </w:footnote>
  <w:footnote w:id="17552">
    <w:p>
      <w:pPr>
        <w:pStyle w:val="FootnoteText"/>
      </w:pPr>
      <w:r>
        <w:rPr>
          <w:rStyle w:val="FootnoteReference"/>
        </w:rPr>
        <w:footnoteRef/>
      </w:r>
      <w:r>
        <w:t xml:space="preserve"> Cross-references for "their table": Deut 6:10-12; Deut 32:13-15.</w:t>
      </w:r>
    </w:p>
  </w:footnote>
  <w:footnote w:id="17553">
    <w:p>
      <w:pPr>
        <w:pStyle w:val="FootnoteText"/>
      </w:pPr>
      <w:r>
        <w:rPr>
          <w:rStyle w:val="FootnoteReference"/>
        </w:rPr>
        <w:footnoteRef/>
      </w:r>
      <w:r>
        <w:t xml:space="preserve"> Cross-references for "their eyes": Ps 69:23; Zech 11:17.</w:t>
      </w:r>
    </w:p>
  </w:footnote>
  <w:footnote w:id="17554">
    <w:p>
      <w:pPr>
        <w:pStyle w:val="FootnoteText"/>
      </w:pPr>
      <w:r>
        <w:rPr>
          <w:rStyle w:val="FootnoteReference"/>
        </w:rPr>
        <w:footnoteRef/>
      </w:r>
      <w:r>
        <w:t xml:space="preserve"> Cross-references for "Have they stumbled": Ezek 18:23; Ezek 18:32.</w:t>
      </w:r>
    </w:p>
  </w:footnote>
  <w:footnote w:id="17555">
    <w:p>
      <w:pPr>
        <w:pStyle w:val="FootnoteText"/>
      </w:pPr>
      <w:r>
        <w:rPr>
          <w:rStyle w:val="FootnoteReference"/>
        </w:rPr>
        <w:footnoteRef/>
      </w:r>
      <w:r>
        <w:t xml:space="preserve"> Cross-references for "the world": Rom 9:23; Rom 11:15.</w:t>
      </w:r>
    </w:p>
  </w:footnote>
  <w:footnote w:id="17556">
    <w:p>
      <w:pPr>
        <w:pStyle w:val="FootnoteText"/>
      </w:pPr>
      <w:r>
        <w:rPr>
          <w:rStyle w:val="FootnoteReference"/>
        </w:rPr>
        <w:footnoteRef/>
      </w:r>
      <w:r>
        <w:t xml:space="preserve"> Cross-references for "the apostle": Acts 9:15; Acts 13:2.</w:t>
      </w:r>
    </w:p>
  </w:footnote>
  <w:footnote w:id="17557">
    <w:p>
      <w:pPr>
        <w:pStyle w:val="FootnoteText"/>
      </w:pPr>
      <w:r>
        <w:rPr>
          <w:rStyle w:val="FootnoteReference"/>
        </w:rPr>
        <w:footnoteRef/>
      </w:r>
      <w:r>
        <w:t xml:space="preserve"> Cross-references for "provoke": Rom 11:11.</w:t>
      </w:r>
    </w:p>
  </w:footnote>
  <w:footnote w:id="17558">
    <w:p>
      <w:pPr>
        <w:pStyle w:val="FootnoteText"/>
      </w:pPr>
      <w:r>
        <w:rPr>
          <w:rStyle w:val="FootnoteReference"/>
        </w:rPr>
        <w:footnoteRef/>
      </w:r>
      <w:r>
        <w:t xml:space="preserve"> Cross-references for "if the firstfruit": Exod 22:29; Exod 23:16.</w:t>
      </w:r>
    </w:p>
  </w:footnote>
  <w:footnote w:id="17559">
    <w:p>
      <w:pPr>
        <w:pStyle w:val="FootnoteText"/>
      </w:pPr>
      <w:r>
        <w:rPr>
          <w:rStyle w:val="FootnoteReference"/>
        </w:rPr>
        <w:footnoteRef/>
      </w:r>
      <w:r>
        <w:t xml:space="preserve"> Cross-references for "if God": Jer 25:29; Jer 49:12.</w:t>
      </w:r>
    </w:p>
  </w:footnote>
  <w:footnote w:id="17560">
    <w:p>
      <w:pPr>
        <w:pStyle w:val="FootnoteText"/>
      </w:pPr>
      <w:r>
        <w:rPr>
          <w:rStyle w:val="FootnoteReference"/>
        </w:rPr>
        <w:footnoteRef/>
      </w:r>
      <w:r>
        <w:t xml:space="preserve"> Cross-references for "therefore": Num 14:18-22; Deut 32:39-43.</w:t>
      </w:r>
    </w:p>
  </w:footnote>
  <w:footnote w:id="17561">
    <w:p>
      <w:pPr>
        <w:pStyle w:val="FootnoteText"/>
      </w:pPr>
      <w:r>
        <w:rPr>
          <w:rStyle w:val="FootnoteReference"/>
        </w:rPr>
        <w:footnoteRef/>
      </w:r>
      <w:r>
        <w:t xml:space="preserve"> Cross-references for "I would": Ps 107:43; Hos 14:9.</w:t>
      </w:r>
    </w:p>
  </w:footnote>
  <w:footnote w:id="17562">
    <w:p>
      <w:pPr>
        <w:pStyle w:val="FootnoteText"/>
      </w:pPr>
      <w:r>
        <w:rPr>
          <w:rStyle w:val="FootnoteReference"/>
        </w:rPr>
        <w:footnoteRef/>
      </w:r>
      <w:r>
        <w:t xml:space="preserve"> Cross-references for "and shall": Matt 1:21; Acts 3:26.</w:t>
      </w:r>
    </w:p>
  </w:footnote>
  <w:footnote w:id="17563">
    <w:p>
      <w:pPr>
        <w:pStyle w:val="FootnoteText"/>
      </w:pPr>
      <w:r>
        <w:rPr>
          <w:rStyle w:val="FootnoteReference"/>
        </w:rPr>
        <w:footnoteRef/>
      </w:r>
      <w:r>
        <w:t xml:space="preserve"> Cross-references for "are enemies": Matt 21:43; Acts 13:45-46.</w:t>
      </w:r>
    </w:p>
  </w:footnote>
  <w:footnote w:id="17564">
    <w:p>
      <w:pPr>
        <w:pStyle w:val="FootnoteText"/>
      </w:pPr>
      <w:r>
        <w:rPr>
          <w:rStyle w:val="FootnoteReference"/>
        </w:rPr>
        <w:footnoteRef/>
      </w:r>
      <w:r>
        <w:t xml:space="preserve"> Cross-references for "obtained": Rom 11:31; 1Cor 7:25.</w:t>
      </w:r>
    </w:p>
  </w:footnote>
  <w:footnote w:id="17565">
    <w:p>
      <w:pPr>
        <w:pStyle w:val="FootnoteText"/>
      </w:pPr>
      <w:r>
        <w:rPr>
          <w:rStyle w:val="FootnoteReference"/>
        </w:rPr>
        <w:footnoteRef/>
      </w:r>
      <w:r>
        <w:t xml:space="preserve"> Cross-references for "riches": Rom 2:4; Rom 9:23.</w:t>
      </w:r>
    </w:p>
  </w:footnote>
  <w:footnote w:id="17566">
    <w:p>
      <w:pPr>
        <w:pStyle w:val="FootnoteText"/>
      </w:pPr>
      <w:r>
        <w:rPr>
          <w:rStyle w:val="FootnoteReference"/>
        </w:rPr>
        <w:footnoteRef/>
      </w:r>
      <w:r>
        <w:t xml:space="preserve"> Cross-references for "a living": Ps 69:30-31; Hos 14:2.</w:t>
      </w:r>
    </w:p>
  </w:footnote>
  <w:footnote w:id="17567">
    <w:p>
      <w:pPr>
        <w:pStyle w:val="FootnoteText"/>
      </w:pPr>
      <w:r>
        <w:rPr>
          <w:rStyle w:val="FootnoteReference"/>
        </w:rPr>
        <w:footnoteRef/>
      </w:r>
      <w:r>
        <w:t xml:space="preserve"> Cross-references for "prove": Ps 34:8; Rom 12:1.</w:t>
      </w:r>
    </w:p>
  </w:footnote>
  <w:footnote w:id="17568">
    <w:p>
      <w:pPr>
        <w:pStyle w:val="FootnoteText"/>
      </w:pPr>
      <w:r>
        <w:rPr>
          <w:rStyle w:val="FootnoteReference"/>
        </w:rPr>
        <w:footnoteRef/>
      </w:r>
      <w:r>
        <w:t xml:space="preserve"> Cross-references for "not to": Prov 16:18-19; Prov 25:27.</w:t>
      </w:r>
    </w:p>
  </w:footnote>
  <w:footnote w:id="17569">
    <w:p>
      <w:pPr>
        <w:pStyle w:val="FootnoteText"/>
      </w:pPr>
      <w:r>
        <w:rPr>
          <w:rStyle w:val="FootnoteReference"/>
        </w:rPr>
        <w:footnoteRef/>
      </w:r>
      <w:r>
        <w:t xml:space="preserve"> Cross-references for "differing according": Rom 12:3.</w:t>
      </w:r>
    </w:p>
  </w:footnote>
  <w:footnote w:id="17570">
    <w:p>
      <w:pPr>
        <w:pStyle w:val="FootnoteText"/>
      </w:pPr>
      <w:r>
        <w:rPr>
          <w:rStyle w:val="FootnoteReference"/>
        </w:rPr>
        <w:footnoteRef/>
      </w:r>
      <w:r>
        <w:t xml:space="preserve"> Cross-references for "ministry": Isa 21:8; Ezek 3:17-21.</w:t>
      </w:r>
    </w:p>
  </w:footnote>
  <w:footnote w:id="17571">
    <w:p>
      <w:pPr>
        <w:pStyle w:val="FootnoteText"/>
      </w:pPr>
      <w:r>
        <w:rPr>
          <w:rStyle w:val="FootnoteReference"/>
        </w:rPr>
        <w:footnoteRef/>
      </w:r>
      <w:r>
        <w:t xml:space="preserve"> Cross-references for "love": 2Sam 20:9-10; Ps 55:21.</w:t>
      </w:r>
    </w:p>
  </w:footnote>
  <w:footnote w:id="17572">
    <w:p>
      <w:pPr>
        <w:pStyle w:val="FootnoteText"/>
      </w:pPr>
      <w:r>
        <w:rPr>
          <w:rStyle w:val="FootnoteReference"/>
        </w:rPr>
        <w:footnoteRef/>
      </w:r>
      <w:r>
        <w:t xml:space="preserve"> Cross-references for "fervent": Matt 24:12; Acts 18:25.</w:t>
      </w:r>
    </w:p>
  </w:footnote>
  <w:footnote w:id="17573">
    <w:p>
      <w:pPr>
        <w:pStyle w:val="FootnoteText"/>
      </w:pPr>
      <w:r>
        <w:rPr>
          <w:rStyle w:val="FootnoteReference"/>
        </w:rPr>
        <w:footnoteRef/>
      </w:r>
      <w:r>
        <w:t xml:space="preserve"> Cross-references for "Rejoicing": Ps 16:9-11; Ps 71:20-23.</w:t>
      </w:r>
    </w:p>
  </w:footnote>
  <w:footnote w:id="17574">
    <w:p>
      <w:pPr>
        <w:pStyle w:val="FootnoteText"/>
      </w:pPr>
      <w:r>
        <w:rPr>
          <w:rStyle w:val="FootnoteReference"/>
        </w:rPr>
        <w:footnoteRef/>
      </w:r>
      <w:r>
        <w:t xml:space="preserve"> Cross-references for "Distributing": Ps 41:1; Acts 4:35.</w:t>
      </w:r>
    </w:p>
  </w:footnote>
  <w:footnote w:id="17575">
    <w:p>
      <w:pPr>
        <w:pStyle w:val="FootnoteText"/>
      </w:pPr>
      <w:r>
        <w:rPr>
          <w:rStyle w:val="FootnoteReference"/>
        </w:rPr>
        <w:footnoteRef/>
      </w:r>
      <w:r>
        <w:t xml:space="preserve"> Cross-references for "Rejoice": Isa 66:10-14; Luke 1:58.</w:t>
      </w:r>
    </w:p>
  </w:footnote>
  <w:footnote w:id="17576">
    <w:p>
      <w:pPr>
        <w:pStyle w:val="FootnoteText"/>
      </w:pPr>
      <w:r>
        <w:rPr>
          <w:rStyle w:val="FootnoteReference"/>
        </w:rPr>
        <w:footnoteRef/>
      </w:r>
      <w:r>
        <w:t xml:space="preserve"> Cross-references for "of the": 2Chr 30:12; Jer 32:39.</w:t>
      </w:r>
    </w:p>
  </w:footnote>
  <w:footnote w:id="17577">
    <w:p>
      <w:pPr>
        <w:pStyle w:val="FootnoteText"/>
      </w:pPr>
      <w:r>
        <w:rPr>
          <w:rStyle w:val="FootnoteReference"/>
        </w:rPr>
        <w:footnoteRef/>
      </w:r>
      <w:r>
        <w:t xml:space="preserve"> Cross-references for "avenge": Lev 19:18; 1Sam 25:26.</w:t>
      </w:r>
    </w:p>
  </w:footnote>
  <w:footnote w:id="17578">
    <w:p>
      <w:pPr>
        <w:pStyle w:val="FootnoteText"/>
      </w:pPr>
      <w:r>
        <w:rPr>
          <w:rStyle w:val="FootnoteReference"/>
        </w:rPr>
        <w:footnoteRef/>
      </w:r>
      <w:r>
        <w:t xml:space="preserve"> Cross-references for "coals": Ps 120:4; Ps 140:10.</w:t>
      </w:r>
    </w:p>
  </w:footnote>
  <w:footnote w:id="17579">
    <w:p>
      <w:pPr>
        <w:pStyle w:val="FootnoteText"/>
      </w:pPr>
      <w:r>
        <w:rPr>
          <w:rStyle w:val="FootnoteReference"/>
        </w:rPr>
        <w:footnoteRef/>
      </w:r>
      <w:r>
        <w:t xml:space="preserve"> Cross-references for "power": Jer 23:8-17; Jer 44:14-17.</w:t>
      </w:r>
    </w:p>
  </w:footnote>
  <w:footnote w:id="17580">
    <w:p>
      <w:pPr>
        <w:pStyle w:val="FootnoteText"/>
      </w:pPr>
      <w:r>
        <w:rPr>
          <w:rStyle w:val="FootnoteReference"/>
        </w:rPr>
        <w:footnoteRef/>
      </w:r>
      <w:r>
        <w:t xml:space="preserve"> Cross-references for "rulers": Deut 25:1; Prov 14:35.</w:t>
      </w:r>
    </w:p>
  </w:footnote>
  <w:footnote w:id="17581">
    <w:p>
      <w:pPr>
        <w:pStyle w:val="FootnoteText"/>
      </w:pPr>
      <w:r>
        <w:rPr>
          <w:rStyle w:val="FootnoteReference"/>
        </w:rPr>
        <w:footnoteRef/>
      </w:r>
      <w:r>
        <w:t xml:space="preserve"> Cross-references for "conscience": Acts 24:16; Heb 13:18.</w:t>
      </w:r>
    </w:p>
  </w:footnote>
  <w:footnote w:id="17582">
    <w:p>
      <w:pPr>
        <w:pStyle w:val="FootnoteText"/>
      </w:pPr>
      <w:r>
        <w:rPr>
          <w:rStyle w:val="FootnoteReference"/>
        </w:rPr>
        <w:footnoteRef/>
      </w:r>
      <w:r>
        <w:t xml:space="preserve"> Cross-references for "attending": Exod 18:13-27; Deut 1:9-17.</w:t>
      </w:r>
    </w:p>
  </w:footnote>
  <w:footnote w:id="17583">
    <w:p>
      <w:pPr>
        <w:pStyle w:val="FootnoteText"/>
      </w:pPr>
      <w:r>
        <w:rPr>
          <w:rStyle w:val="FootnoteReference"/>
        </w:rPr>
        <w:footnoteRef/>
      </w:r>
      <w:r>
        <w:t xml:space="preserve"> Cross-references for "therefore": Luke 20:25.</w:t>
      </w:r>
    </w:p>
  </w:footnote>
  <w:footnote w:id="17584">
    <w:p>
      <w:pPr>
        <w:pStyle w:val="FootnoteText"/>
      </w:pPr>
      <w:r>
        <w:rPr>
          <w:rStyle w:val="FootnoteReference"/>
        </w:rPr>
        <w:footnoteRef/>
      </w:r>
      <w:r>
        <w:t xml:space="preserve"> Cross-references for "For this": Exod 20:12-17; Deut 5:16-21.</w:t>
      </w:r>
    </w:p>
  </w:footnote>
  <w:footnote w:id="17585">
    <w:p>
      <w:pPr>
        <w:pStyle w:val="FootnoteText"/>
      </w:pPr>
      <w:r>
        <w:rPr>
          <w:rStyle w:val="FootnoteReference"/>
        </w:rPr>
        <w:footnoteRef/>
      </w:r>
      <w:r>
        <w:t xml:space="preserve"> Cross-references for "love is": Matt 22:40; Rom 13:8.</w:t>
      </w:r>
    </w:p>
  </w:footnote>
  <w:footnote w:id="17586">
    <w:p>
      <w:pPr>
        <w:pStyle w:val="FootnoteText"/>
      </w:pPr>
      <w:r>
        <w:rPr>
          <w:rStyle w:val="FootnoteReference"/>
        </w:rPr>
        <w:footnoteRef/>
      </w:r>
      <w:r>
        <w:t xml:space="preserve"> Cross-references for "knowing": Isa 21:11-12; Matt 16:3.</w:t>
      </w:r>
    </w:p>
  </w:footnote>
  <w:footnote w:id="17587">
    <w:p>
      <w:pPr>
        <w:pStyle w:val="FootnoteText"/>
      </w:pPr>
      <w:r>
        <w:rPr>
          <w:rStyle w:val="FootnoteReference"/>
        </w:rPr>
        <w:footnoteRef/>
      </w:r>
      <w:r>
        <w:t xml:space="preserve"> Cross-references for "night": Song 2:17; 1John 2:8.</w:t>
      </w:r>
    </w:p>
  </w:footnote>
  <w:footnote w:id="17588">
    <w:p>
      <w:pPr>
        <w:pStyle w:val="FootnoteText"/>
      </w:pPr>
      <w:r>
        <w:rPr>
          <w:rStyle w:val="FootnoteReference"/>
        </w:rPr>
        <w:footnoteRef/>
      </w:r>
      <w:r>
        <w:t xml:space="preserve"> Cross-references for "strife": Gal 5:15; Gal 5:21.</w:t>
      </w:r>
    </w:p>
  </w:footnote>
  <w:footnote w:id="17589">
    <w:p>
      <w:pPr>
        <w:pStyle w:val="FootnoteText"/>
      </w:pPr>
      <w:r>
        <w:rPr>
          <w:rStyle w:val="FootnoteReference"/>
        </w:rPr>
        <w:footnoteRef/>
      </w:r>
      <w:r>
        <w:t xml:space="preserve"> Cross-references for "weak": Job 4:3; Isa 35:3-4.</w:t>
      </w:r>
    </w:p>
  </w:footnote>
  <w:footnote w:id="17590">
    <w:p>
      <w:pPr>
        <w:pStyle w:val="FootnoteText"/>
      </w:pPr>
      <w:r>
        <w:rPr>
          <w:rStyle w:val="FootnoteReference"/>
        </w:rPr>
        <w:footnoteRef/>
      </w:r>
      <w:r>
        <w:t xml:space="preserve"> Cross-references for "despise": Zech 4:10; Matt 18:10.</w:t>
      </w:r>
    </w:p>
  </w:footnote>
  <w:footnote w:id="17591">
    <w:p>
      <w:pPr>
        <w:pStyle w:val="FootnoteText"/>
      </w:pPr>
      <w:r>
        <w:rPr>
          <w:rStyle w:val="FootnoteReference"/>
        </w:rPr>
        <w:footnoteRef/>
      </w:r>
      <w:r>
        <w:t xml:space="preserve"> Cross-references for "he shall": Deut 33:27-29; Ps 17:5.</w:t>
      </w:r>
    </w:p>
  </w:footnote>
  <w:footnote w:id="17592">
    <w:p>
      <w:pPr>
        <w:pStyle w:val="FootnoteText"/>
      </w:pPr>
      <w:r>
        <w:rPr>
          <w:rStyle w:val="FootnoteReference"/>
        </w:rPr>
        <w:footnoteRef/>
      </w:r>
      <w:r>
        <w:t xml:space="preserve"> Cross-references for "Christ": Isa 53:10-12; Luke 24:26.</w:t>
      </w:r>
    </w:p>
  </w:footnote>
  <w:footnote w:id="17593">
    <w:p>
      <w:pPr>
        <w:pStyle w:val="FootnoteText"/>
      </w:pPr>
      <w:r>
        <w:rPr>
          <w:rStyle w:val="FootnoteReference"/>
        </w:rPr>
        <w:footnoteRef/>
      </w:r>
      <w:r>
        <w:t xml:space="preserve"> Cross-references for "every knee": Ps 72:11; Isa 45:22-25.</w:t>
      </w:r>
    </w:p>
  </w:footnote>
  <w:footnote w:id="17594">
    <w:p>
      <w:pPr>
        <w:pStyle w:val="FootnoteText"/>
      </w:pPr>
      <w:r>
        <w:rPr>
          <w:rStyle w:val="FootnoteReference"/>
        </w:rPr>
        <w:footnoteRef/>
      </w:r>
      <w:r>
        <w:t xml:space="preserve"> Cross-references for "judge one": Rom 14:4; Rom 14:10.</w:t>
      </w:r>
    </w:p>
  </w:footnote>
  <w:footnote w:id="17595">
    <w:p>
      <w:pPr>
        <w:pStyle w:val="FootnoteText"/>
      </w:pPr>
      <w:r>
        <w:rPr>
          <w:rStyle w:val="FootnoteReference"/>
        </w:rPr>
        <w:footnoteRef/>
      </w:r>
      <w:r>
        <w:t xml:space="preserve"> Cross-references for "and am": Acts 10:28.</w:t>
      </w:r>
    </w:p>
  </w:footnote>
  <w:footnote w:id="17596">
    <w:p>
      <w:pPr>
        <w:pStyle w:val="FootnoteText"/>
      </w:pPr>
      <w:r>
        <w:rPr>
          <w:rStyle w:val="FootnoteReference"/>
        </w:rPr>
        <w:footnoteRef/>
      </w:r>
      <w:r>
        <w:t xml:space="preserve"> Cross-references for "destroy": 1Cor 8:11; 2Pet 2:1.</w:t>
      </w:r>
    </w:p>
  </w:footnote>
  <w:footnote w:id="17597">
    <w:p>
      <w:pPr>
        <w:pStyle w:val="FootnoteText"/>
      </w:pPr>
      <w:r>
        <w:rPr>
          <w:rStyle w:val="FootnoteReference"/>
        </w:rPr>
        <w:footnoteRef/>
      </w:r>
      <w:r>
        <w:t xml:space="preserve"> Cross-references for "kingdom": Dan 2:44; Matt 3:2.</w:t>
      </w:r>
    </w:p>
  </w:footnote>
  <w:footnote w:id="17598">
    <w:p>
      <w:pPr>
        <w:pStyle w:val="FootnoteText"/>
      </w:pPr>
      <w:r>
        <w:rPr>
          <w:rStyle w:val="FootnoteReference"/>
        </w:rPr>
        <w:footnoteRef/>
      </w:r>
      <w:r>
        <w:t xml:space="preserve"> Cross-references for "the work": Eph 2:10; Phil 1:6.</w:t>
      </w:r>
    </w:p>
  </w:footnote>
  <w:footnote w:id="17599">
    <w:p>
      <w:pPr>
        <w:pStyle w:val="FootnoteText"/>
      </w:pPr>
      <w:r>
        <w:rPr>
          <w:rStyle w:val="FootnoteReference"/>
        </w:rPr>
        <w:footnoteRef/>
      </w:r>
      <w:r>
        <w:t xml:space="preserve"> Cross-references for "good": Rom 14:17; Rom 15:1-2.</w:t>
      </w:r>
    </w:p>
  </w:footnote>
  <w:footnote w:id="17600">
    <w:p>
      <w:pPr>
        <w:pStyle w:val="FootnoteText"/>
      </w:pPr>
      <w:r>
        <w:rPr>
          <w:rStyle w:val="FootnoteReference"/>
        </w:rPr>
        <w:footnoteRef/>
      </w:r>
      <w:r>
        <w:t xml:space="preserve"> Cross-references for "strong": Rom 4:20; 1Cor 4:10.</w:t>
      </w:r>
    </w:p>
  </w:footnote>
  <w:footnote w:id="17601">
    <w:p>
      <w:pPr>
        <w:pStyle w:val="FootnoteText"/>
      </w:pPr>
      <w:r>
        <w:rPr>
          <w:rStyle w:val="FootnoteReference"/>
        </w:rPr>
        <w:footnoteRef/>
      </w:r>
      <w:r>
        <w:t xml:space="preserve"> Cross-references for "Christ": Ps 40:6-8; Matt 26:39.</w:t>
      </w:r>
    </w:p>
  </w:footnote>
  <w:footnote w:id="17602">
    <w:p>
      <w:pPr>
        <w:pStyle w:val="FootnoteText"/>
      </w:pPr>
      <w:r>
        <w:rPr>
          <w:rStyle w:val="FootnoteReference"/>
        </w:rPr>
        <w:footnoteRef/>
      </w:r>
      <w:r>
        <w:t xml:space="preserve"> Cross-references for "the God": Exod 34:6; Ps 86:5.</w:t>
      </w:r>
    </w:p>
  </w:footnote>
  <w:footnote w:id="17603">
    <w:p>
      <w:pPr>
        <w:pStyle w:val="FootnoteText"/>
      </w:pPr>
      <w:r>
        <w:rPr>
          <w:rStyle w:val="FootnoteReference"/>
        </w:rPr>
        <w:footnoteRef/>
      </w:r>
      <w:r>
        <w:t xml:space="preserve"> Cross-references for "receive": Matt 10:40; Mark 9:37.</w:t>
      </w:r>
    </w:p>
  </w:footnote>
  <w:footnote w:id="17604">
    <w:p>
      <w:pPr>
        <w:pStyle w:val="FootnoteText"/>
      </w:pPr>
      <w:r>
        <w:rPr>
          <w:rStyle w:val="FootnoteReference"/>
        </w:rPr>
        <w:footnoteRef/>
      </w:r>
      <w:r>
        <w:t xml:space="preserve"> Cross-references for "Jesus": Matt 15:24; Matt 20:28.</w:t>
      </w:r>
    </w:p>
  </w:footnote>
  <w:footnote w:id="17605">
    <w:p>
      <w:pPr>
        <w:pStyle w:val="FootnoteText"/>
      </w:pPr>
      <w:r>
        <w:rPr>
          <w:rStyle w:val="FootnoteReference"/>
        </w:rPr>
        <w:footnoteRef/>
      </w:r>
      <w:r>
        <w:t xml:space="preserve"> Cross-references for "in him": Jer 16:19; Jer 17:5-7.</w:t>
      </w:r>
    </w:p>
  </w:footnote>
  <w:footnote w:id="17606">
    <w:p>
      <w:pPr>
        <w:pStyle w:val="FootnoteText"/>
      </w:pPr>
      <w:r>
        <w:rPr>
          <w:rStyle w:val="FootnoteReference"/>
        </w:rPr>
        <w:footnoteRef/>
      </w:r>
      <w:r>
        <w:t xml:space="preserve"> Cross-references for "the God": Jer 14:8; Joel 3:16.</w:t>
      </w:r>
    </w:p>
  </w:footnote>
  <w:footnote w:id="17607">
    <w:p>
      <w:pPr>
        <w:pStyle w:val="FootnoteText"/>
      </w:pPr>
      <w:r>
        <w:rPr>
          <w:rStyle w:val="FootnoteReference"/>
        </w:rPr>
        <w:footnoteRef/>
      </w:r>
      <w:r>
        <w:t xml:space="preserve"> Cross-references for "full": Phil 1:11; Col 1:8-10.</w:t>
      </w:r>
    </w:p>
  </w:footnote>
  <w:footnote w:id="17608">
    <w:p>
      <w:pPr>
        <w:pStyle w:val="FootnoteText"/>
      </w:pPr>
      <w:r>
        <w:rPr>
          <w:rStyle w:val="FootnoteReference"/>
        </w:rPr>
        <w:footnoteRef/>
      </w:r>
      <w:r>
        <w:t xml:space="preserve"> Cross-references for "I should": Acts 9:15; Acts 13:2.</w:t>
      </w:r>
    </w:p>
  </w:footnote>
  <w:footnote w:id="17609">
    <w:p>
      <w:pPr>
        <w:pStyle w:val="FootnoteText"/>
      </w:pPr>
      <w:r>
        <w:rPr>
          <w:rStyle w:val="FootnoteReference"/>
        </w:rPr>
        <w:footnoteRef/>
      </w:r>
      <w:r>
        <w:t xml:space="preserve"> Cross-references for "to make": Matt 28:18-20; Acts 26:20.</w:t>
      </w:r>
    </w:p>
  </w:footnote>
  <w:footnote w:id="17610">
    <w:p>
      <w:pPr>
        <w:pStyle w:val="FootnoteText"/>
      </w:pPr>
      <w:r>
        <w:rPr>
          <w:rStyle w:val="FootnoteReference"/>
        </w:rPr>
        <w:footnoteRef/>
      </w:r>
      <w:r>
        <w:t xml:space="preserve"> Cross-references for "mighty": Acts 14:10; Acts 15:12.</w:t>
      </w:r>
    </w:p>
  </w:footnote>
  <w:footnote w:id="17611">
    <w:p>
      <w:pPr>
        <w:pStyle w:val="FootnoteText"/>
      </w:pPr>
      <w:r>
        <w:rPr>
          <w:rStyle w:val="FootnoteReference"/>
        </w:rPr>
        <w:footnoteRef/>
      </w:r>
      <w:r>
        <w:t xml:space="preserve"> Place name: Illyricum. Place-name meaning: Illyricum — joy; rejoicing. Source form: Illyricum. Greek form: ιλλυρικου.</w:t>
      </w:r>
    </w:p>
  </w:footnote>
  <w:footnote w:id="17612">
    <w:p>
      <w:pPr>
        <w:pStyle w:val="FootnoteText"/>
      </w:pPr>
      <w:r>
        <w:rPr>
          <w:rStyle w:val="FootnoteReference"/>
        </w:rPr>
        <w:footnoteRef/>
      </w:r>
      <w:r>
        <w:t xml:space="preserve"> Cross-references for "build": 1Cor 3:9-15; 2Cor 10:13-16.</w:t>
      </w:r>
    </w:p>
  </w:footnote>
  <w:footnote w:id="17613">
    <w:p>
      <w:pPr>
        <w:pStyle w:val="FootnoteText"/>
      </w:pPr>
      <w:r>
        <w:rPr>
          <w:rStyle w:val="FootnoteReference"/>
        </w:rPr>
        <w:footnoteRef/>
      </w:r>
      <w:r>
        <w:t xml:space="preserve"> Place name: Spain. Place-name meaning: Spain — rare; precious. Source form: Spain. Greek form: σπανιαν.</w:t>
      </w:r>
    </w:p>
  </w:footnote>
  <w:footnote w:id="17614">
    <w:p>
      <w:pPr>
        <w:pStyle w:val="FootnoteText"/>
      </w:pPr>
      <w:r>
        <w:rPr>
          <w:rStyle w:val="FootnoteReference"/>
        </w:rPr>
        <w:footnoteRef/>
      </w:r>
      <w:r>
        <w:t xml:space="preserve"> Cross-references for "the poor": Prov 14:21; Prov 14:31.</w:t>
      </w:r>
    </w:p>
  </w:footnote>
  <w:footnote w:id="17615">
    <w:p>
      <w:pPr>
        <w:pStyle w:val="FootnoteText"/>
      </w:pPr>
      <w:r>
        <w:rPr>
          <w:rStyle w:val="FootnoteReference"/>
        </w:rPr>
        <w:footnoteRef/>
      </w:r>
      <w:r>
        <w:t xml:space="preserve"> Cross-references for "and for": Ps 143:10; Phil 2:1.</w:t>
      </w:r>
    </w:p>
  </w:footnote>
  <w:footnote w:id="17616">
    <w:p>
      <w:pPr>
        <w:pStyle w:val="FootnoteText"/>
      </w:pPr>
      <w:r>
        <w:rPr>
          <w:rStyle w:val="FootnoteReference"/>
        </w:rPr>
        <w:footnoteRef/>
      </w:r>
      <w:r>
        <w:t xml:space="preserve"> Cross-references for "I may": Acts 21:27-31; Acts 22:24.</w:t>
      </w:r>
    </w:p>
  </w:footnote>
  <w:footnote w:id="17617">
    <w:p>
      <w:pPr>
        <w:pStyle w:val="FootnoteText"/>
      </w:pPr>
      <w:r>
        <w:rPr>
          <w:rStyle w:val="FootnoteReference"/>
        </w:rPr>
        <w:footnoteRef/>
      </w:r>
      <w:r>
        <w:t xml:space="preserve"> Cross-references for "I may": Acts 27:1; Acts 27:41-43.</w:t>
      </w:r>
    </w:p>
  </w:footnote>
  <w:footnote w:id="17618">
    <w:p>
      <w:pPr>
        <w:pStyle w:val="FootnoteText"/>
      </w:pPr>
      <w:r>
        <w:rPr>
          <w:rStyle w:val="FootnoteReference"/>
        </w:rPr>
        <w:footnoteRef/>
      </w:r>
      <w:r>
        <w:t xml:space="preserve"> Cross-references for "the God": Rom 16:20; 1Cor 14:33.</w:t>
      </w:r>
    </w:p>
  </w:footnote>
  <w:footnote w:id="17619">
    <w:p>
      <w:pPr>
        <w:pStyle w:val="FootnoteText"/>
      </w:pPr>
      <w:r>
        <w:rPr>
          <w:rStyle w:val="FootnoteReference"/>
        </w:rPr>
        <w:footnoteRef/>
      </w:r>
      <w:r>
        <w:t xml:space="preserve"> Cross-references for "commend": 2Cor 3:1.</w:t>
      </w:r>
    </w:p>
  </w:footnote>
  <w:footnote w:id="17620">
    <w:p>
      <w:pPr>
        <w:pStyle w:val="FootnoteText"/>
      </w:pPr>
      <w:r>
        <w:rPr>
          <w:rStyle w:val="FootnoteReference"/>
        </w:rPr>
        <w:footnoteRef/>
      </w:r>
      <w:r>
        <w:t xml:space="preserve"> Name meaning: Phoebe (Phoibe) — Bright; radiant. Radiant servant who carried Paul’s letter to Rome.</w:t>
      </w:r>
    </w:p>
  </w:footnote>
  <w:footnote w:id="17621">
    <w:p>
      <w:pPr>
        <w:pStyle w:val="FootnoteText"/>
      </w:pPr>
      <w:r>
        <w:rPr>
          <w:rStyle w:val="FootnoteReference"/>
        </w:rPr>
        <w:footnoteRef/>
      </w:r>
      <w:r>
        <w:t xml:space="preserve"> Transliterated proper noun: Cenchrea. Standard English equivalent: Cenchrea. Source form: Cenchrea. Greek form: κεγχρεαις. Name meaning: millet; small pulse.</w:t>
      </w:r>
    </w:p>
  </w:footnote>
  <w:footnote w:id="17622">
    <w:p>
      <w:pPr>
        <w:pStyle w:val="FootnoteText"/>
      </w:pPr>
      <w:r>
        <w:rPr>
          <w:rStyle w:val="FootnoteReference"/>
        </w:rPr>
        <w:footnoteRef/>
      </w:r>
      <w:r>
        <w:t xml:space="preserve"> Transliterated proper noun: Phebe. Standard English equivalent: Phoebe. Source form: Phebe. Greek form: φοιβην. Name meaning: Bright; radiant.</w:t>
      </w:r>
    </w:p>
  </w:footnote>
  <w:footnote w:id="17623">
    <w:p>
      <w:pPr>
        <w:pStyle w:val="FootnoteText"/>
      </w:pPr>
      <w:r>
        <w:rPr>
          <w:rStyle w:val="FootnoteReference"/>
        </w:rPr>
        <w:footnoteRef/>
      </w:r>
      <w:r>
        <w:t xml:space="preserve"> Cross-references for "Priscilla": Acts 18:2-17; Acts 18:26.</w:t>
      </w:r>
    </w:p>
  </w:footnote>
  <w:footnote w:id="17624">
    <w:p>
      <w:pPr>
        <w:pStyle w:val="FootnoteText"/>
      </w:pPr>
      <w:r>
        <w:rPr>
          <w:rStyle w:val="FootnoteReference"/>
        </w:rPr>
        <w:footnoteRef/>
      </w:r>
      <w:r>
        <w:t xml:space="preserve"> Cross-references for "laid": Josh 10:24; 2Sam 22:41.</w:t>
      </w:r>
    </w:p>
  </w:footnote>
  <w:footnote w:id="17625">
    <w:p>
      <w:pPr>
        <w:pStyle w:val="FootnoteText"/>
      </w:pPr>
      <w:r>
        <w:rPr>
          <w:rStyle w:val="FootnoteReference"/>
        </w:rPr>
        <w:footnoteRef/>
      </w:r>
      <w:r>
        <w:t xml:space="preserve"> Personal name: Epaenetus. Personal-name meaning: Epaenetus — praiseworthy. Source form: Epaenetus.</w:t>
      </w:r>
    </w:p>
  </w:footnote>
  <w:footnote w:id="17626">
    <w:p>
      <w:pPr>
        <w:pStyle w:val="FootnoteText"/>
      </w:pPr>
      <w:r>
        <w:rPr>
          <w:rStyle w:val="FootnoteReference"/>
        </w:rPr>
        <w:footnoteRef/>
      </w:r>
      <w:r>
        <w:t xml:space="preserve"> Cross-references for "Achaia": Acts 18:12; Acts 18:27.</w:t>
      </w:r>
    </w:p>
  </w:footnote>
  <w:footnote w:id="17627">
    <w:p>
      <w:pPr>
        <w:pStyle w:val="FootnoteText"/>
      </w:pPr>
      <w:r>
        <w:rPr>
          <w:rStyle w:val="FootnoteReference"/>
        </w:rPr>
        <w:footnoteRef/>
      </w:r>
      <w:r>
        <w:t xml:space="preserve"> Personal name: Andronicus. Personal-name meaning: Andronicus — a man excelling others. Source form: Andronicus.</w:t>
      </w:r>
    </w:p>
  </w:footnote>
  <w:footnote w:id="17628">
    <w:p>
      <w:pPr>
        <w:pStyle w:val="FootnoteText"/>
      </w:pPr>
      <w:r>
        <w:rPr>
          <w:rStyle w:val="FootnoteReference"/>
        </w:rPr>
        <w:footnoteRef/>
      </w:r>
      <w:r>
        <w:t xml:space="preserve"> Personal name: Junia. Personal-name meaning: Junia — youth. Source form: Junia.</w:t>
      </w:r>
    </w:p>
  </w:footnote>
  <w:footnote w:id="17629">
    <w:p>
      <w:pPr>
        <w:pStyle w:val="FootnoteText"/>
      </w:pPr>
      <w:r>
        <w:rPr>
          <w:rStyle w:val="FootnoteReference"/>
        </w:rPr>
        <w:footnoteRef/>
      </w:r>
      <w:r>
        <w:t xml:space="preserve"> Cross-references for "kinsmen": Rom 16:11; Rom 16:21.</w:t>
      </w:r>
    </w:p>
  </w:footnote>
  <w:footnote w:id="17630">
    <w:p>
      <w:pPr>
        <w:pStyle w:val="FootnoteText"/>
      </w:pPr>
      <w:r>
        <w:rPr>
          <w:rStyle w:val="FootnoteReference"/>
        </w:rPr>
        <w:footnoteRef/>
      </w:r>
      <w:r>
        <w:t xml:space="preserve"> Transliterated proper noun: Amplias. Standard English equivalent: Amplias. Source form: Amplias. Greek form: αμπλιαν. Name meaning: large; extensive.</w:t>
      </w:r>
    </w:p>
  </w:footnote>
  <w:footnote w:id="17631">
    <w:p>
      <w:pPr>
        <w:pStyle w:val="FootnoteText"/>
      </w:pPr>
      <w:r>
        <w:rPr>
          <w:rStyle w:val="FootnoteReference"/>
        </w:rPr>
        <w:footnoteRef/>
      </w:r>
      <w:r>
        <w:t xml:space="preserve"> Transliterated proper noun: Urbane. Standard English equivalent: Urbane. Source form: Urbane. Greek form: ουρβανον. Name meaning: courteous.</w:t>
      </w:r>
    </w:p>
  </w:footnote>
  <w:footnote w:id="17632">
    <w:p>
      <w:pPr>
        <w:pStyle w:val="FootnoteText"/>
      </w:pPr>
      <w:r>
        <w:rPr>
          <w:rStyle w:val="FootnoteReference"/>
        </w:rPr>
        <w:footnoteRef/>
      </w:r>
      <w:r>
        <w:t xml:space="preserve"> Personal name: Stachys. Personal-name meaning: Stachys — spike or ear of corn. Source form: Stachys.</w:t>
      </w:r>
    </w:p>
  </w:footnote>
  <w:footnote w:id="17633">
    <w:p>
      <w:pPr>
        <w:pStyle w:val="FootnoteText"/>
      </w:pPr>
      <w:r>
        <w:rPr>
          <w:rStyle w:val="FootnoteReference"/>
        </w:rPr>
        <w:footnoteRef/>
      </w:r>
      <w:r>
        <w:t xml:space="preserve"> Personal name: Apelles. Personal-name meaning: Apelles — exclusion; separation. Source form: Apelles.</w:t>
      </w:r>
    </w:p>
  </w:footnote>
  <w:footnote w:id="17634">
    <w:p>
      <w:pPr>
        <w:pStyle w:val="FootnoteText"/>
      </w:pPr>
      <w:r>
        <w:rPr>
          <w:rStyle w:val="FootnoteReference"/>
        </w:rPr>
        <w:footnoteRef/>
      </w:r>
      <w:r>
        <w:t xml:space="preserve"> Cross-references for "approved": Deut 8:2; Rom 14:18.</w:t>
      </w:r>
    </w:p>
  </w:footnote>
  <w:footnote w:id="17635">
    <w:p>
      <w:pPr>
        <w:pStyle w:val="FootnoteText"/>
      </w:pPr>
      <w:r>
        <w:rPr>
          <w:rStyle w:val="FootnoteReference"/>
        </w:rPr>
        <w:footnoteRef/>
      </w:r>
      <w:r>
        <w:t xml:space="preserve"> Personal name: Aristobulus. Personal-name meaning: Aristobulus — a good counselor. Source form: Aristobulus.</w:t>
      </w:r>
    </w:p>
  </w:footnote>
  <w:footnote w:id="17636">
    <w:p>
      <w:pPr>
        <w:pStyle w:val="FootnoteText"/>
      </w:pPr>
      <w:r>
        <w:rPr>
          <w:rStyle w:val="FootnoteReference"/>
        </w:rPr>
        <w:footnoteRef/>
      </w:r>
      <w:r>
        <w:t xml:space="preserve"> Personal name: Herodion. Personal-name meaning: Herodion — the song of Juno. Source form: Herodion.</w:t>
      </w:r>
    </w:p>
  </w:footnote>
  <w:footnote w:id="17637">
    <w:p>
      <w:pPr>
        <w:pStyle w:val="FootnoteText"/>
      </w:pPr>
      <w:r>
        <w:rPr>
          <w:rStyle w:val="FootnoteReference"/>
        </w:rPr>
        <w:footnoteRef/>
      </w:r>
      <w:r>
        <w:t xml:space="preserve"> Personal name: Narcissus. Personal-name meaning: Narcissus — astonishment; stupidity. Source form: Narcissus.</w:t>
      </w:r>
    </w:p>
  </w:footnote>
  <w:footnote w:id="17638">
    <w:p>
      <w:pPr>
        <w:pStyle w:val="FootnoteText"/>
      </w:pPr>
      <w:r>
        <w:rPr>
          <w:rStyle w:val="FootnoteReference"/>
        </w:rPr>
        <w:footnoteRef/>
      </w:r>
      <w:r>
        <w:t xml:space="preserve"> Transliterated proper noun: Tryphena. Standard English equivalent: Tryphena. Source form: Tryphena. Greek form: τρυφαιναν. Name meaning: delicious; delicate.</w:t>
      </w:r>
    </w:p>
  </w:footnote>
  <w:footnote w:id="17639">
    <w:p>
      <w:pPr>
        <w:pStyle w:val="FootnoteText"/>
      </w:pPr>
      <w:r>
        <w:rPr>
          <w:rStyle w:val="FootnoteReference"/>
        </w:rPr>
        <w:footnoteRef/>
      </w:r>
      <w:r>
        <w:t xml:space="preserve"> Personal name: Tryphosa. Personal-name meaning: Tryphosa — thrice shining. Source form: Tryphosa.</w:t>
      </w:r>
    </w:p>
  </w:footnote>
  <w:footnote w:id="17640">
    <w:p>
      <w:pPr>
        <w:pStyle w:val="FootnoteText"/>
      </w:pPr>
      <w:r>
        <w:rPr>
          <w:rStyle w:val="FootnoteReference"/>
        </w:rPr>
        <w:footnoteRef/>
      </w:r>
      <w:r>
        <w:t xml:space="preserve"> Personal name: Persis. Personal-name meaning: Persis — Persian woman. Source form: Persis.</w:t>
      </w:r>
    </w:p>
  </w:footnote>
  <w:footnote w:id="17641">
    <w:p>
      <w:pPr>
        <w:pStyle w:val="FootnoteText"/>
      </w:pPr>
      <w:r>
        <w:rPr>
          <w:rStyle w:val="FootnoteReference"/>
        </w:rPr>
        <w:footnoteRef/>
      </w:r>
      <w:r>
        <w:t xml:space="preserve"> Cross-references for "Rufus": Mark 15:21.</w:t>
      </w:r>
    </w:p>
  </w:footnote>
  <w:footnote w:id="17642">
    <w:p>
      <w:pPr>
        <w:pStyle w:val="FootnoteText"/>
      </w:pPr>
      <w:r>
        <w:rPr>
          <w:rStyle w:val="FootnoteReference"/>
        </w:rPr>
        <w:footnoteRef/>
      </w:r>
      <w:r>
        <w:t xml:space="preserve"> Personal name: Asyncritus. Personal-name meaning: Asyncritus — incomparable. Source form: Asyncritus.</w:t>
      </w:r>
    </w:p>
  </w:footnote>
  <w:footnote w:id="17643">
    <w:p>
      <w:pPr>
        <w:pStyle w:val="FootnoteText"/>
      </w:pPr>
      <w:r>
        <w:rPr>
          <w:rStyle w:val="FootnoteReference"/>
        </w:rPr>
        <w:footnoteRef/>
      </w:r>
      <w:r>
        <w:t xml:space="preserve"> Personal name: Phlegon. Personal-name meaning: Phlegon — zealous; burning. Source form: Phlegon.</w:t>
      </w:r>
    </w:p>
  </w:footnote>
  <w:footnote w:id="17644">
    <w:p>
      <w:pPr>
        <w:pStyle w:val="FootnoteText"/>
      </w:pPr>
      <w:r>
        <w:rPr>
          <w:rStyle w:val="FootnoteReference"/>
        </w:rPr>
        <w:footnoteRef/>
      </w:r>
      <w:r>
        <w:t xml:space="preserve"> Personal name: Hermas. Personal-name meaning: Hermas — Mercury; gain; refuge. Source form: Hermas.</w:t>
      </w:r>
    </w:p>
  </w:footnote>
  <w:footnote w:id="17645">
    <w:p>
      <w:pPr>
        <w:pStyle w:val="FootnoteText"/>
      </w:pPr>
      <w:r>
        <w:rPr>
          <w:rStyle w:val="FootnoteReference"/>
        </w:rPr>
        <w:footnoteRef/>
      </w:r>
      <w:r>
        <w:t xml:space="preserve"> Personal name: Patrobas. Personal-name meaning: Patrobas — paternal; that pursues the steps of his father. Source form: Patrobas.</w:t>
      </w:r>
    </w:p>
  </w:footnote>
  <w:footnote w:id="17646">
    <w:p>
      <w:pPr>
        <w:pStyle w:val="FootnoteText"/>
      </w:pPr>
      <w:r>
        <w:rPr>
          <w:rStyle w:val="FootnoteReference"/>
        </w:rPr>
        <w:footnoteRef/>
      </w:r>
      <w:r>
        <w:t xml:space="preserve"> Personal name: Philologus. Personal-name meaning: Philologus — a lover of letters, or of the word. Source form: Philologus.</w:t>
      </w:r>
    </w:p>
  </w:footnote>
  <w:footnote w:id="17647">
    <w:p>
      <w:pPr>
        <w:pStyle w:val="FootnoteText"/>
      </w:pPr>
      <w:r>
        <w:rPr>
          <w:rStyle w:val="FootnoteReference"/>
        </w:rPr>
        <w:footnoteRef/>
      </w:r>
      <w:r>
        <w:t xml:space="preserve"> Personal name: Julia. Personal-name meaning: Julia — downy; soft and tender hair. Source form: Julia.</w:t>
      </w:r>
    </w:p>
  </w:footnote>
  <w:footnote w:id="17648">
    <w:p>
      <w:pPr>
        <w:pStyle w:val="FootnoteText"/>
      </w:pPr>
      <w:r>
        <w:rPr>
          <w:rStyle w:val="FootnoteReference"/>
        </w:rPr>
        <w:footnoteRef/>
      </w:r>
      <w:r>
        <w:t xml:space="preserve"> Personal name: Nereus. Personal-name meaning: Nereus — water; sea. Source form: Nereus.</w:t>
      </w:r>
    </w:p>
  </w:footnote>
  <w:footnote w:id="17649">
    <w:p>
      <w:pPr>
        <w:pStyle w:val="FootnoteText"/>
      </w:pPr>
      <w:r>
        <w:rPr>
          <w:rStyle w:val="FootnoteReference"/>
        </w:rPr>
        <w:footnoteRef/>
      </w:r>
      <w:r>
        <w:t xml:space="preserve"> Personal name: Olympas. Personal-name meaning: Olympas — heavenly. Source form: Olympas.</w:t>
      </w:r>
    </w:p>
  </w:footnote>
  <w:footnote w:id="17650">
    <w:p>
      <w:pPr>
        <w:pStyle w:val="FootnoteText"/>
      </w:pPr>
      <w:r>
        <w:rPr>
          <w:rStyle w:val="FootnoteReference"/>
        </w:rPr>
        <w:footnoteRef/>
      </w:r>
      <w:r>
        <w:t xml:space="preserve"> Cross-references for "mark": Phil 3:17; 2Thess 3:14-15.</w:t>
      </w:r>
    </w:p>
  </w:footnote>
  <w:footnote w:id="17651">
    <w:p>
      <w:pPr>
        <w:pStyle w:val="FootnoteText"/>
      </w:pPr>
      <w:r>
        <w:rPr>
          <w:rStyle w:val="FootnoteReference"/>
        </w:rPr>
        <w:footnoteRef/>
      </w:r>
      <w:r>
        <w:t xml:space="preserve"> Cross-references for "serve": Matt 6:24; John 12:26.</w:t>
      </w:r>
    </w:p>
  </w:footnote>
  <w:footnote w:id="17652">
    <w:p>
      <w:pPr>
        <w:pStyle w:val="FootnoteText"/>
      </w:pPr>
      <w:r>
        <w:rPr>
          <w:rStyle w:val="FootnoteReference"/>
        </w:rPr>
        <w:footnoteRef/>
      </w:r>
      <w:r>
        <w:t xml:space="preserve"> Cross-references for "obedience": Rom 1:8; 1Thess 1:8-9.</w:t>
      </w:r>
    </w:p>
  </w:footnote>
  <w:footnote w:id="17653">
    <w:p>
      <w:pPr>
        <w:pStyle w:val="FootnoteText"/>
      </w:pPr>
      <w:r>
        <w:rPr>
          <w:rStyle w:val="FootnoteReference"/>
        </w:rPr>
        <w:footnoteRef/>
      </w:r>
      <w:r>
        <w:t xml:space="preserve"> Cross-references for "the God": Rom 15:33.</w:t>
      </w:r>
    </w:p>
  </w:footnote>
  <w:footnote w:id="17654">
    <w:p>
      <w:pPr>
        <w:pStyle w:val="FootnoteText"/>
      </w:pPr>
      <w:r>
        <w:rPr>
          <w:rStyle w:val="FootnoteReference"/>
        </w:rPr>
        <w:footnoteRef/>
      </w:r>
      <w:r>
        <w:t xml:space="preserve"> Cross-references for "Lucius": Acts 13:1.</w:t>
      </w:r>
    </w:p>
  </w:footnote>
  <w:footnote w:id="17655">
    <w:p>
      <w:pPr>
        <w:pStyle w:val="FootnoteText"/>
      </w:pPr>
      <w:r>
        <w:rPr>
          <w:rStyle w:val="FootnoteReference"/>
        </w:rPr>
        <w:footnoteRef/>
      </w:r>
      <w:r>
        <w:t xml:space="preserve"> Personal name: Sosipater. Personal-name meaning: Sosipater — who defends the father. Source form: Sosipater.</w:t>
      </w:r>
    </w:p>
  </w:footnote>
  <w:footnote w:id="17656">
    <w:p>
      <w:pPr>
        <w:pStyle w:val="FootnoteText"/>
      </w:pPr>
      <w:r>
        <w:rPr>
          <w:rStyle w:val="FootnoteReference"/>
        </w:rPr>
        <w:footnoteRef/>
      </w:r>
      <w:r>
        <w:t xml:space="preserve"> Personal name: Tertius. Personal-name meaning: Tertius — third. Source form: Tertius.</w:t>
      </w:r>
    </w:p>
  </w:footnote>
  <w:footnote w:id="17657">
    <w:p>
      <w:pPr>
        <w:pStyle w:val="FootnoteText"/>
      </w:pPr>
      <w:r>
        <w:rPr>
          <w:rStyle w:val="FootnoteReference"/>
        </w:rPr>
        <w:footnoteRef/>
      </w:r>
      <w:r>
        <w:t xml:space="preserve"> Cross-references for "Gaius": 1Cor 1:14; 3John 1:1-6.</w:t>
      </w:r>
    </w:p>
  </w:footnote>
  <w:footnote w:id="17658">
    <w:p>
      <w:pPr>
        <w:pStyle w:val="FootnoteText"/>
      </w:pPr>
      <w:r>
        <w:rPr>
          <w:rStyle w:val="FootnoteReference"/>
        </w:rPr>
        <w:footnoteRef/>
      </w:r>
      <w:r>
        <w:t xml:space="preserve"> Personal name: Quartus. Personal-name meaning: Quartus — fourth. Source form: Quartus.</w:t>
      </w:r>
    </w:p>
  </w:footnote>
  <w:footnote w:id="17659">
    <w:p>
      <w:pPr>
        <w:pStyle w:val="FootnoteText"/>
      </w:pPr>
      <w:r>
        <w:rPr>
          <w:rStyle w:val="FootnoteReference"/>
        </w:rPr>
        <w:footnoteRef/>
      </w:r>
      <w:r>
        <w:t xml:space="preserve"> Cross-references for "to him": Acts 20:32; Rom 14:4.</w:t>
      </w:r>
    </w:p>
  </w:footnote>
  <w:footnote w:id="17660">
    <w:p>
      <w:pPr>
        <w:pStyle w:val="FootnoteText"/>
      </w:pPr>
      <w:r>
        <w:rPr>
          <w:rStyle w:val="FootnoteReference"/>
        </w:rPr>
        <w:footnoteRef/>
      </w:r>
      <w:r>
        <w:t xml:space="preserve"> Cross-references for "and by": Acts 8:32-35; Acts 10:43.</w:t>
      </w:r>
    </w:p>
  </w:footnote>
  <w:footnote w:id="17661">
    <w:p>
      <w:pPr>
        <w:pStyle w:val="FootnoteText"/>
      </w:pPr>
      <w:r>
        <w:rPr>
          <w:rStyle w:val="FootnoteReference"/>
        </w:rPr>
        <w:footnoteRef/>
      </w:r>
      <w:r>
        <w:t xml:space="preserve"> Cross-references for "only": Ps 147:5; Rom 11:33-34.</w:t>
      </w:r>
    </w:p>
  </w:footnote>
  <w:footnote w:id="17662">
    <w:p>
      <w:pPr>
        <w:pStyle w:val="FootnoteText"/>
      </w:pPr>
      <w:r>
        <w:rPr>
          <w:rStyle w:val="FootnoteReference"/>
        </w:rPr>
        <w:footnoteRef/>
      </w:r>
      <w:r>
        <w:t xml:space="preserve"> Cross-references for "called": Rom 1:1; Gal 2:7-8.</w:t>
      </w:r>
    </w:p>
  </w:footnote>
  <w:footnote w:id="17663">
    <w:p>
      <w:pPr>
        <w:pStyle w:val="FootnoteText"/>
      </w:pPr>
      <w:r>
        <w:rPr>
          <w:rStyle w:val="FootnoteReference"/>
        </w:rPr>
        <w:footnoteRef/>
      </w:r>
      <w:r>
        <w:t xml:space="preserve"> Cross-references for "sanctified": John 17:17-19; Acts 15:9.</w:t>
      </w:r>
    </w:p>
  </w:footnote>
  <w:footnote w:id="17664">
    <w:p>
      <w:pPr>
        <w:pStyle w:val="FootnoteText"/>
      </w:pPr>
      <w:r>
        <w:rPr>
          <w:rStyle w:val="FootnoteReference"/>
        </w:rPr>
        <w:footnoteRef/>
      </w:r>
      <w:r>
        <w:t xml:space="preserve"> Translation note: Greek hagiois is rendered holy ones here. Saints is traditional, but holy ones keeps the adjective-noun force visible.</w:t>
      </w:r>
    </w:p>
  </w:footnote>
  <w:footnote w:id="17665">
    <w:p>
      <w:pPr>
        <w:pStyle w:val="FootnoteText"/>
      </w:pPr>
      <w:r>
        <w:rPr>
          <w:rStyle w:val="FootnoteReference"/>
        </w:rPr>
        <w:footnoteRef/>
      </w:r>
      <w:r>
        <w:t xml:space="preserve"> Cross-references for "thank": Acts 11:23; Acts 21:20.</w:t>
      </w:r>
    </w:p>
  </w:footnote>
  <w:footnote w:id="17666">
    <w:p>
      <w:pPr>
        <w:pStyle w:val="FootnoteText"/>
      </w:pPr>
      <w:r>
        <w:rPr>
          <w:rStyle w:val="FootnoteReference"/>
        </w:rPr>
        <w:footnoteRef/>
      </w:r>
      <w:r>
        <w:t xml:space="preserve"> Cross-references for "in every": Rom 11:12; 1Cor 4:7-10.</w:t>
      </w:r>
    </w:p>
  </w:footnote>
  <w:footnote w:id="17667">
    <w:p>
      <w:pPr>
        <w:pStyle w:val="FootnoteText"/>
      </w:pPr>
      <w:r>
        <w:rPr>
          <w:rStyle w:val="FootnoteReference"/>
        </w:rPr>
        <w:footnoteRef/>
      </w:r>
      <w:r>
        <w:t xml:space="preserve"> Cross-references for "waiting": Gen 49:18; Matt 25:1.</w:t>
      </w:r>
    </w:p>
  </w:footnote>
  <w:footnote w:id="17668">
    <w:p>
      <w:pPr>
        <w:pStyle w:val="FootnoteText"/>
      </w:pPr>
      <w:r>
        <w:rPr>
          <w:rStyle w:val="FootnoteReference"/>
        </w:rPr>
        <w:footnoteRef/>
      </w:r>
      <w:r>
        <w:t xml:space="preserve"> Cross-references for "confirm": Ps 37:17; Ps 37:28.</w:t>
      </w:r>
    </w:p>
  </w:footnote>
  <w:footnote w:id="17669">
    <w:p>
      <w:pPr>
        <w:pStyle w:val="FootnoteText"/>
      </w:pPr>
      <w:r>
        <w:rPr>
          <w:rStyle w:val="FootnoteReference"/>
        </w:rPr>
        <w:footnoteRef/>
      </w:r>
      <w:r>
        <w:t xml:space="preserve"> Cross-references for "the fellowship": John 15:4-5; John 17:21.</w:t>
      </w:r>
    </w:p>
  </w:footnote>
  <w:footnote w:id="17670">
    <w:p>
      <w:pPr>
        <w:pStyle w:val="FootnoteText"/>
      </w:pPr>
      <w:r>
        <w:rPr>
          <w:rStyle w:val="FootnoteReference"/>
        </w:rPr>
        <w:footnoteRef/>
      </w:r>
      <w:r>
        <w:t xml:space="preserve"> Cross-references for "divisions": Matt 9:16; Mark 2:21.</w:t>
      </w:r>
    </w:p>
  </w:footnote>
  <w:footnote w:id="17671">
    <w:p>
      <w:pPr>
        <w:pStyle w:val="FootnoteText"/>
      </w:pPr>
      <w:r>
        <w:rPr>
          <w:rStyle w:val="FootnoteReference"/>
        </w:rPr>
        <w:footnoteRef/>
      </w:r>
      <w:r>
        <w:t xml:space="preserve"> Name meaning: Chloe (Chloe) — Green herb; blooming. Associated with the report of divisions in Corinth.</w:t>
      </w:r>
    </w:p>
  </w:footnote>
  <w:footnote w:id="17672">
    <w:p>
      <w:pPr>
        <w:pStyle w:val="FootnoteText"/>
      </w:pPr>
      <w:r>
        <w:rPr>
          <w:rStyle w:val="FootnoteReference"/>
        </w:rPr>
        <w:footnoteRef/>
      </w:r>
      <w:r>
        <w:t xml:space="preserve"> Cross-references for "that there": Prov 13:10; Prov 18:6.</w:t>
      </w:r>
    </w:p>
  </w:footnote>
  <w:footnote w:id="17673">
    <w:p>
      <w:pPr>
        <w:pStyle w:val="FootnoteText"/>
      </w:pPr>
      <w:r>
        <w:rPr>
          <w:rStyle w:val="FootnoteReference"/>
        </w:rPr>
        <w:footnoteRef/>
      </w:r>
      <w:r>
        <w:t xml:space="preserve"> Cross-references for "Apollos": Acts 18:24-28; Acts 19:1.</w:t>
      </w:r>
    </w:p>
  </w:footnote>
  <w:footnote w:id="17674">
    <w:p>
      <w:pPr>
        <w:pStyle w:val="FootnoteText"/>
      </w:pPr>
      <w:r>
        <w:rPr>
          <w:rStyle w:val="FootnoteReference"/>
        </w:rPr>
        <w:footnoteRef/>
      </w:r>
      <w:r>
        <w:t xml:space="preserve"> Cross-references for "Christ": 2Cor 11:4; Gal 1:7.</w:t>
      </w:r>
    </w:p>
  </w:footnote>
  <w:footnote w:id="17675">
    <w:p>
      <w:pPr>
        <w:pStyle w:val="FootnoteText"/>
      </w:pPr>
      <w:r>
        <w:rPr>
          <w:rStyle w:val="FootnoteReference"/>
        </w:rPr>
        <w:footnoteRef/>
      </w:r>
      <w:r>
        <w:t xml:space="preserve"> Cross-references for "thank": 1Cor 1:4; 1Cor 14:18.</w:t>
      </w:r>
    </w:p>
  </w:footnote>
  <w:footnote w:id="17676">
    <w:p>
      <w:pPr>
        <w:pStyle w:val="FootnoteText"/>
      </w:pPr>
      <w:r>
        <w:rPr>
          <w:rStyle w:val="FootnoteReference"/>
        </w:rPr>
        <w:footnoteRef/>
      </w:r>
      <w:r>
        <w:t xml:space="preserve"> Cross-references for "household": Acts 16:15; Acts 16:33.</w:t>
      </w:r>
    </w:p>
  </w:footnote>
  <w:footnote w:id="17677">
    <w:p>
      <w:pPr>
        <w:pStyle w:val="FootnoteText"/>
      </w:pPr>
      <w:r>
        <w:rPr>
          <w:rStyle w:val="FootnoteReference"/>
        </w:rPr>
        <w:footnoteRef/>
      </w:r>
      <w:r>
        <w:t xml:space="preserve"> Name meaning: Stephanas (Stephanas) — Crown. Among the first converts in Achaia.</w:t>
      </w:r>
    </w:p>
  </w:footnote>
  <w:footnote w:id="17678">
    <w:p>
      <w:pPr>
        <w:pStyle w:val="FootnoteText"/>
      </w:pPr>
      <w:r>
        <w:rPr>
          <w:rStyle w:val="FootnoteReference"/>
        </w:rPr>
        <w:footnoteRef/>
      </w:r>
      <w:r>
        <w:t xml:space="preserve"> Cross-references for "not to": John 4:2; Acts 10:48.</w:t>
      </w:r>
    </w:p>
  </w:footnote>
  <w:footnote w:id="17679">
    <w:p>
      <w:pPr>
        <w:pStyle w:val="FootnoteText"/>
      </w:pPr>
      <w:r>
        <w:rPr>
          <w:rStyle w:val="FootnoteReference"/>
        </w:rPr>
        <w:footnoteRef/>
      </w:r>
      <w:r>
        <w:t xml:space="preserve"> Cross-references for "foolishness": Acts 17:18; Acts 17:32.</w:t>
      </w:r>
    </w:p>
  </w:footnote>
  <w:footnote w:id="17680">
    <w:p>
      <w:pPr>
        <w:pStyle w:val="FootnoteText"/>
      </w:pPr>
      <w:r>
        <w:rPr>
          <w:rStyle w:val="FootnoteReference"/>
        </w:rPr>
        <w:footnoteRef/>
      </w:r>
      <w:r>
        <w:t xml:space="preserve"> Cross-references for "is the wise": Isa 33:18; Isa 53:1.</w:t>
      </w:r>
    </w:p>
  </w:footnote>
  <w:footnote w:id="17681">
    <w:p>
      <w:pPr>
        <w:pStyle w:val="FootnoteText"/>
      </w:pPr>
      <w:r>
        <w:rPr>
          <w:rStyle w:val="FootnoteReference"/>
        </w:rPr>
        <w:footnoteRef/>
      </w:r>
      <w:r>
        <w:t xml:space="preserve"> Cross-references for "the world": Matt 11:25; Luke 10:21.</w:t>
      </w:r>
    </w:p>
  </w:footnote>
  <w:footnote w:id="17682">
    <w:p>
      <w:pPr>
        <w:pStyle w:val="FootnoteText"/>
      </w:pPr>
      <w:r>
        <w:rPr>
          <w:rStyle w:val="FootnoteReference"/>
        </w:rPr>
        <w:footnoteRef/>
      </w:r>
      <w:r>
        <w:t xml:space="preserve"> Cross-references for "foolishness": 1Cor 1:28; 1Cor 2:14.</w:t>
      </w:r>
    </w:p>
  </w:footnote>
  <w:footnote w:id="17683">
    <w:p>
      <w:pPr>
        <w:pStyle w:val="FootnoteText"/>
      </w:pPr>
      <w:r>
        <w:rPr>
          <w:rStyle w:val="FootnoteReference"/>
        </w:rPr>
        <w:footnoteRef/>
      </w:r>
      <w:r>
        <w:t xml:space="preserve"> Cross-references for "called": Luke 7:35; Rom 8:28-30.</w:t>
      </w:r>
    </w:p>
  </w:footnote>
  <w:footnote w:id="17684">
    <w:p>
      <w:pPr>
        <w:pStyle w:val="FootnoteText"/>
      </w:pPr>
      <w:r>
        <w:rPr>
          <w:rStyle w:val="FootnoteReference"/>
        </w:rPr>
        <w:footnoteRef/>
      </w:r>
      <w:r>
        <w:t xml:space="preserve"> Cross-references for "wisdom": Prov 1:20; Prov 2:6.</w:t>
      </w:r>
    </w:p>
  </w:footnote>
  <w:footnote w:id="17685">
    <w:p>
      <w:pPr>
        <w:pStyle w:val="FootnoteText"/>
      </w:pPr>
      <w:r>
        <w:rPr>
          <w:rStyle w:val="FootnoteReference"/>
        </w:rPr>
        <w:footnoteRef/>
      </w:r>
      <w:r>
        <w:t xml:space="preserve"> Cross-references for "the testimony": Isa 8:20; Acts 20:21.</w:t>
      </w:r>
    </w:p>
  </w:footnote>
  <w:footnote w:id="17686">
    <w:p>
      <w:pPr>
        <w:pStyle w:val="FootnoteText"/>
      </w:pPr>
      <w:r>
        <w:rPr>
          <w:rStyle w:val="FootnoteReference"/>
        </w:rPr>
        <w:footnoteRef/>
      </w:r>
      <w:r>
        <w:t xml:space="preserve"> Cross-references for "of the": Job 12:19; Job 12:21.</w:t>
      </w:r>
    </w:p>
  </w:footnote>
  <w:footnote w:id="17687">
    <w:p>
      <w:pPr>
        <w:pStyle w:val="FootnoteText"/>
      </w:pPr>
      <w:r>
        <w:rPr>
          <w:rStyle w:val="FootnoteReference"/>
        </w:rPr>
        <w:footnoteRef/>
      </w:r>
      <w:r>
        <w:t xml:space="preserve"> Cross-references for "none": Matt 11:25; John 7:48.</w:t>
      </w:r>
    </w:p>
  </w:footnote>
  <w:footnote w:id="17688">
    <w:p>
      <w:pPr>
        <w:pStyle w:val="FootnoteText"/>
      </w:pPr>
      <w:r>
        <w:rPr>
          <w:rStyle w:val="FootnoteReference"/>
        </w:rPr>
        <w:footnoteRef/>
      </w:r>
      <w:r>
        <w:t xml:space="preserve"> Cross-references for "the Spirit": Rom 8:26-27; 1Cor 2:11.</w:t>
      </w:r>
    </w:p>
  </w:footnote>
  <w:footnote w:id="17689">
    <w:p>
      <w:pPr>
        <w:pStyle w:val="FootnoteText"/>
      </w:pPr>
      <w:r>
        <w:rPr>
          <w:rStyle w:val="FootnoteReference"/>
        </w:rPr>
        <w:footnoteRef/>
      </w:r>
      <w:r>
        <w:t xml:space="preserve"> Cross-references for "spiritual things": 1Cor 2:14; 1Cor 9:11.</w:t>
      </w:r>
    </w:p>
  </w:footnote>
  <w:footnote w:id="17690">
    <w:p>
      <w:pPr>
        <w:pStyle w:val="FootnoteText"/>
      </w:pPr>
      <w:r>
        <w:rPr>
          <w:rStyle w:val="FootnoteReference"/>
        </w:rPr>
        <w:footnoteRef/>
      </w:r>
      <w:r>
        <w:t xml:space="preserve"> Cross-references for "the things": John 14:26; John 15:26.</w:t>
      </w:r>
    </w:p>
  </w:footnote>
  <w:footnote w:id="17691">
    <w:p>
      <w:pPr>
        <w:pStyle w:val="FootnoteText"/>
      </w:pPr>
      <w:r>
        <w:rPr>
          <w:rStyle w:val="FootnoteReference"/>
        </w:rPr>
        <w:footnoteRef/>
      </w:r>
      <w:r>
        <w:t xml:space="preserve"> Cross-references for "Apollos": Prov 11:25; Acts 18:24.</w:t>
      </w:r>
    </w:p>
  </w:footnote>
  <w:footnote w:id="17692">
    <w:p>
      <w:pPr>
        <w:pStyle w:val="FootnoteText"/>
      </w:pPr>
      <w:r>
        <w:rPr>
          <w:rStyle w:val="FootnoteReference"/>
        </w:rPr>
        <w:footnoteRef/>
      </w:r>
      <w:r>
        <w:t xml:space="preserve"> Cross-references for "as a": 1Kgs 3:9-11; 2Chr 2:12.</w:t>
      </w:r>
    </w:p>
  </w:footnote>
  <w:footnote w:id="17693">
    <w:p>
      <w:pPr>
        <w:pStyle w:val="FootnoteText"/>
      </w:pPr>
      <w:r>
        <w:rPr>
          <w:rStyle w:val="FootnoteReference"/>
        </w:rPr>
        <w:footnoteRef/>
      </w:r>
      <w:r>
        <w:t xml:space="preserve"> Cross-references for "gold": Ps 19:10; Ps 119:72.</w:t>
      </w:r>
    </w:p>
  </w:footnote>
  <w:footnote w:id="17694">
    <w:p>
      <w:pPr>
        <w:pStyle w:val="FootnoteText"/>
      </w:pPr>
      <w:r>
        <w:rPr>
          <w:rStyle w:val="FootnoteReference"/>
        </w:rPr>
        <w:footnoteRef/>
      </w:r>
      <w:r>
        <w:t xml:space="preserve"> Cross-references for "and the fire": Isa 8:20; Isa 28:17.</w:t>
      </w:r>
    </w:p>
  </w:footnote>
  <w:footnote w:id="17695">
    <w:p>
      <w:pPr>
        <w:pStyle w:val="FootnoteText"/>
      </w:pPr>
      <w:r>
        <w:rPr>
          <w:rStyle w:val="FootnoteReference"/>
        </w:rPr>
        <w:footnoteRef/>
      </w:r>
      <w:r>
        <w:t xml:space="preserve"> Cross-references for "work": 1Cor 3:12-13; Rev 3:18.</w:t>
      </w:r>
    </w:p>
  </w:footnote>
  <w:footnote w:id="17696">
    <w:p>
      <w:pPr>
        <w:pStyle w:val="FootnoteText"/>
      </w:pPr>
      <w:r>
        <w:rPr>
          <w:rStyle w:val="FootnoteReference"/>
        </w:rPr>
        <w:footnoteRef/>
      </w:r>
      <w:r>
        <w:t xml:space="preserve"> Cross-references for "know": Rom 6:3; 1Cor 5:6.</w:t>
      </w:r>
    </w:p>
  </w:footnote>
  <w:footnote w:id="17697">
    <w:p>
      <w:pPr>
        <w:pStyle w:val="FootnoteText"/>
      </w:pPr>
      <w:r>
        <w:rPr>
          <w:rStyle w:val="FootnoteReference"/>
        </w:rPr>
        <w:footnoteRef/>
      </w:r>
      <w:r>
        <w:t xml:space="preserve"> Cross-references for "destroy": Gen 28:17; Exod 3:5.</w:t>
      </w:r>
    </w:p>
  </w:footnote>
  <w:footnote w:id="17698">
    <w:p>
      <w:pPr>
        <w:pStyle w:val="FootnoteText"/>
      </w:pPr>
      <w:r>
        <w:rPr>
          <w:rStyle w:val="FootnoteReference"/>
        </w:rPr>
        <w:footnoteRef/>
      </w:r>
      <w:r>
        <w:t xml:space="preserve"> Cross-references for "deceive": Prov 5:7; Isa 44:20.</w:t>
      </w:r>
    </w:p>
  </w:footnote>
  <w:footnote w:id="17699">
    <w:p>
      <w:pPr>
        <w:pStyle w:val="FootnoteText"/>
      </w:pPr>
      <w:r>
        <w:rPr>
          <w:rStyle w:val="FootnoteReference"/>
        </w:rPr>
        <w:footnoteRef/>
      </w:r>
      <w:r>
        <w:t xml:space="preserve"> Cross-references for "the wisdom": Isa 19:11-14; Isa 29:14-16.</w:t>
      </w:r>
    </w:p>
  </w:footnote>
  <w:footnote w:id="17700">
    <w:p>
      <w:pPr>
        <w:pStyle w:val="FootnoteText"/>
      </w:pPr>
      <w:r>
        <w:rPr>
          <w:rStyle w:val="FootnoteReference"/>
        </w:rPr>
        <w:footnoteRef/>
      </w:r>
      <w:r>
        <w:t xml:space="preserve"> Cross-references for "The Lord": Ps 94:11.</w:t>
      </w:r>
    </w:p>
  </w:footnote>
  <w:footnote w:id="17701">
    <w:p>
      <w:pPr>
        <w:pStyle w:val="FootnoteText"/>
      </w:pPr>
      <w:r>
        <w:rPr>
          <w:rStyle w:val="FootnoteReference"/>
        </w:rPr>
        <w:footnoteRef/>
      </w:r>
      <w:r>
        <w:t xml:space="preserve"> Cross-references for "Paul": 1Cor 3:5-8; 1Cor 9:19-22.</w:t>
      </w:r>
    </w:p>
  </w:footnote>
  <w:footnote w:id="17702">
    <w:p>
      <w:pPr>
        <w:pStyle w:val="FootnoteText"/>
      </w:pPr>
      <w:r>
        <w:rPr>
          <w:rStyle w:val="FootnoteReference"/>
        </w:rPr>
        <w:footnoteRef/>
      </w:r>
      <w:r>
        <w:t xml:space="preserve"> Cross-references for "and Christ": Matt 17:5; John 17:18.</w:t>
      </w:r>
    </w:p>
  </w:footnote>
  <w:footnote w:id="17703">
    <w:p>
      <w:pPr>
        <w:pStyle w:val="FootnoteText"/>
      </w:pPr>
      <w:r>
        <w:rPr>
          <w:rStyle w:val="FootnoteReference"/>
        </w:rPr>
        <w:footnoteRef/>
      </w:r>
      <w:r>
        <w:t xml:space="preserve"> Cross-references for "and stewards": Luke 12:42; Luke 16:1-3.</w:t>
      </w:r>
    </w:p>
  </w:footnote>
  <w:footnote w:id="17704">
    <w:p>
      <w:pPr>
        <w:pStyle w:val="FootnoteText"/>
      </w:pPr>
      <w:r>
        <w:rPr>
          <w:rStyle w:val="FootnoteReference"/>
        </w:rPr>
        <w:footnoteRef/>
      </w:r>
      <w:r>
        <w:t xml:space="preserve"> Cross-references for "judgment": 1Cor 3:13.</w:t>
      </w:r>
    </w:p>
  </w:footnote>
  <w:footnote w:id="17705">
    <w:p>
      <w:pPr>
        <w:pStyle w:val="FootnoteText"/>
      </w:pPr>
      <w:r>
        <w:rPr>
          <w:rStyle w:val="FootnoteReference"/>
        </w:rPr>
        <w:footnoteRef/>
      </w:r>
      <w:r>
        <w:t xml:space="preserve"> Cross-references for "judge": Matt 7:1-2; Luke 6:37.</w:t>
      </w:r>
    </w:p>
  </w:footnote>
  <w:footnote w:id="17706">
    <w:p>
      <w:pPr>
        <w:pStyle w:val="FootnoteText"/>
      </w:pPr>
      <w:r>
        <w:rPr>
          <w:rStyle w:val="FootnoteReference"/>
        </w:rPr>
        <w:footnoteRef/>
      </w:r>
      <w:r>
        <w:t xml:space="preserve"> Cross-references for "be puffed": Num 11:28-29; John 3:26-27.</w:t>
      </w:r>
    </w:p>
  </w:footnote>
  <w:footnote w:id="17707">
    <w:p>
      <w:pPr>
        <w:pStyle w:val="FootnoteText"/>
      </w:pPr>
      <w:r>
        <w:rPr>
          <w:rStyle w:val="FootnoteReference"/>
        </w:rPr>
        <w:footnoteRef/>
      </w:r>
      <w:r>
        <w:t xml:space="preserve"> Cross-references for "and what": 1Chr 29:11-16; 2Chr 1:7-12.</w:t>
      </w:r>
    </w:p>
  </w:footnote>
  <w:footnote w:id="17708">
    <w:p>
      <w:pPr>
        <w:pStyle w:val="FootnoteText"/>
      </w:pPr>
      <w:r>
        <w:rPr>
          <w:rStyle w:val="FootnoteReference"/>
        </w:rPr>
        <w:footnoteRef/>
      </w:r>
      <w:r>
        <w:t xml:space="preserve"> Cross-references for "spectacle": Acts 19:29; Acts 19:31.</w:t>
      </w:r>
    </w:p>
  </w:footnote>
  <w:footnote w:id="17709">
    <w:p>
      <w:pPr>
        <w:pStyle w:val="FootnoteText"/>
      </w:pPr>
      <w:r>
        <w:rPr>
          <w:rStyle w:val="FootnoteReference"/>
        </w:rPr>
        <w:footnoteRef/>
      </w:r>
      <w:r>
        <w:t xml:space="preserve"> Cross-references for "are fools": 2Kgs 9:11; Hos 9:7.</w:t>
      </w:r>
    </w:p>
  </w:footnote>
  <w:footnote w:id="17710">
    <w:p>
      <w:pPr>
        <w:pStyle w:val="FootnoteText"/>
      </w:pPr>
      <w:r>
        <w:rPr>
          <w:rStyle w:val="FootnoteReference"/>
        </w:rPr>
        <w:footnoteRef/>
      </w:r>
      <w:r>
        <w:t xml:space="preserve"> Cross-references for "being reviled": Matt 5:44; Luke 6:28.</w:t>
      </w:r>
    </w:p>
  </w:footnote>
  <w:footnote w:id="17711">
    <w:p>
      <w:pPr>
        <w:pStyle w:val="FootnoteText"/>
      </w:pPr>
      <w:r>
        <w:rPr>
          <w:rStyle w:val="FootnoteReference"/>
        </w:rPr>
        <w:footnoteRef/>
      </w:r>
      <w:r>
        <w:t xml:space="preserve"> Cross-references for "write": 1Cor 9:15; 2Cor 7:3.</w:t>
      </w:r>
    </w:p>
  </w:footnote>
  <w:footnote w:id="17712">
    <w:p>
      <w:pPr>
        <w:pStyle w:val="FootnoteText"/>
      </w:pPr>
      <w:r>
        <w:rPr>
          <w:rStyle w:val="FootnoteReference"/>
        </w:rPr>
        <w:footnoteRef/>
      </w:r>
      <w:r>
        <w:t xml:space="preserve"> Cross-references for "I sent": Acts 19:21-22; 1Cor 16:10.</w:t>
      </w:r>
    </w:p>
  </w:footnote>
  <w:footnote w:id="17713">
    <w:p>
      <w:pPr>
        <w:pStyle w:val="FootnoteText"/>
      </w:pPr>
      <w:r>
        <w:rPr>
          <w:rStyle w:val="FootnoteReference"/>
        </w:rPr>
        <w:footnoteRef/>
      </w:r>
      <w:r>
        <w:t xml:space="preserve"> Cross-references for "reported": Gen 37:2; 1Sam 2:24.</w:t>
      </w:r>
    </w:p>
  </w:footnote>
  <w:footnote w:id="17714">
    <w:p>
      <w:pPr>
        <w:pStyle w:val="FootnoteText"/>
      </w:pPr>
      <w:r>
        <w:rPr>
          <w:rStyle w:val="FootnoteReference"/>
        </w:rPr>
        <w:footnoteRef/>
      </w:r>
      <w:r>
        <w:t xml:space="preserve"> Cross-references for "might": 1Cor 5:5; 1Cor 5:7.</w:t>
      </w:r>
    </w:p>
  </w:footnote>
  <w:footnote w:id="17715">
    <w:p>
      <w:pPr>
        <w:pStyle w:val="FootnoteText"/>
      </w:pPr>
      <w:r>
        <w:rPr>
          <w:rStyle w:val="FootnoteReference"/>
        </w:rPr>
        <w:footnoteRef/>
      </w:r>
      <w:r>
        <w:t xml:space="preserve"> Cross-references for "as absent": 2Cor 10:1; 2Cor 10:11.</w:t>
      </w:r>
    </w:p>
  </w:footnote>
  <w:footnote w:id="17716">
    <w:p>
      <w:pPr>
        <w:pStyle w:val="FootnoteText"/>
      </w:pPr>
      <w:r>
        <w:rPr>
          <w:rStyle w:val="FootnoteReference"/>
        </w:rPr>
        <w:footnoteRef/>
      </w:r>
      <w:r>
        <w:t xml:space="preserve"> Cross-references for "the name": Acts 3:6; Acts 4:7-12.</w:t>
      </w:r>
    </w:p>
  </w:footnote>
  <w:footnote w:id="17717">
    <w:p>
      <w:pPr>
        <w:pStyle w:val="FootnoteText"/>
      </w:pPr>
      <w:r>
        <w:rPr>
          <w:rStyle w:val="FootnoteReference"/>
        </w:rPr>
        <w:footnoteRef/>
      </w:r>
      <w:r>
        <w:t xml:space="preserve"> Cross-references for "deliver": Job 2:6; Ps 109:6.</w:t>
      </w:r>
    </w:p>
  </w:footnote>
  <w:footnote w:id="17718">
    <w:p>
      <w:pPr>
        <w:pStyle w:val="FootnoteText"/>
      </w:pPr>
      <w:r>
        <w:rPr>
          <w:rStyle w:val="FootnoteReference"/>
        </w:rPr>
        <w:footnoteRef/>
      </w:r>
      <w:r>
        <w:t xml:space="preserve"> Cross-references for "a little": Matt 13:33; Matt 16:6-12.</w:t>
      </w:r>
    </w:p>
  </w:footnote>
  <w:footnote w:id="17719">
    <w:p>
      <w:pPr>
        <w:pStyle w:val="FootnoteText"/>
      </w:pPr>
      <w:r>
        <w:rPr>
          <w:rStyle w:val="FootnoteReference"/>
        </w:rPr>
        <w:footnoteRef/>
      </w:r>
      <w:r>
        <w:t xml:space="preserve"> Cross-references for "Christ": Exod 12:5-6; Isa 53:7-10.</w:t>
      </w:r>
    </w:p>
  </w:footnote>
  <w:footnote w:id="17720">
    <w:p>
      <w:pPr>
        <w:pStyle w:val="FootnoteText"/>
      </w:pPr>
      <w:r>
        <w:rPr>
          <w:rStyle w:val="FootnoteReference"/>
        </w:rPr>
        <w:footnoteRef/>
      </w:r>
      <w:r>
        <w:t xml:space="preserve"> Cross-references for "feast": Ps 42:4; Isa 30:29.</w:t>
      </w:r>
    </w:p>
  </w:footnote>
  <w:footnote w:id="17721">
    <w:p>
      <w:pPr>
        <w:pStyle w:val="FootnoteText"/>
      </w:pPr>
      <w:r>
        <w:rPr>
          <w:rStyle w:val="FootnoteReference"/>
        </w:rPr>
        <w:footnoteRef/>
      </w:r>
      <w:r>
        <w:t xml:space="preserve"> Cross-references for "altogether": 1Cor 10:27.</w:t>
      </w:r>
    </w:p>
  </w:footnote>
  <w:footnote w:id="17722">
    <w:p>
      <w:pPr>
        <w:pStyle w:val="FootnoteText"/>
      </w:pPr>
      <w:r>
        <w:rPr>
          <w:rStyle w:val="FootnoteReference"/>
        </w:rPr>
        <w:footnoteRef/>
      </w:r>
      <w:r>
        <w:t xml:space="preserve"> Cross-references for "or covetous": Ps 10:3; Mark 7:21-23.</w:t>
      </w:r>
    </w:p>
  </w:footnote>
  <w:footnote w:id="17723">
    <w:p>
      <w:pPr>
        <w:pStyle w:val="FootnoteText"/>
      </w:pPr>
      <w:r>
        <w:rPr>
          <w:rStyle w:val="FootnoteReference"/>
        </w:rPr>
        <w:footnoteRef/>
      </w:r>
      <w:r>
        <w:t xml:space="preserve"> Cross-references for "Therefore": Deut 13:5; Deut 17:7.</w:t>
      </w:r>
    </w:p>
  </w:footnote>
  <w:footnote w:id="17724">
    <w:p>
      <w:pPr>
        <w:pStyle w:val="FootnoteText"/>
      </w:pPr>
      <w:r>
        <w:rPr>
          <w:rStyle w:val="FootnoteReference"/>
        </w:rPr>
        <w:footnoteRef/>
      </w:r>
      <w:r>
        <w:t xml:space="preserve"> Cross-references for "the smallest": 1Cor 6:4; 2Cor 4:18.</w:t>
      </w:r>
    </w:p>
  </w:footnote>
  <w:footnote w:id="17725">
    <w:p>
      <w:pPr>
        <w:pStyle w:val="FootnoteText"/>
      </w:pPr>
      <w:r>
        <w:rPr>
          <w:rStyle w:val="FootnoteReference"/>
        </w:rPr>
        <w:footnoteRef/>
      </w:r>
      <w:r>
        <w:t xml:space="preserve"> Cross-references for "judge": Matt 25:41; 2Pet 2:4.</w:t>
      </w:r>
    </w:p>
  </w:footnote>
  <w:footnote w:id="17726">
    <w:p>
      <w:pPr>
        <w:pStyle w:val="FootnoteText"/>
      </w:pPr>
      <w:r>
        <w:rPr>
          <w:rStyle w:val="FootnoteReference"/>
        </w:rPr>
        <w:footnoteRef/>
      </w:r>
      <w:r>
        <w:t xml:space="preserve"> Cross-references for "to your": 1Cor 4:14; 1Cor 11:14.</w:t>
      </w:r>
    </w:p>
  </w:footnote>
  <w:footnote w:id="17727">
    <w:p>
      <w:pPr>
        <w:pStyle w:val="FootnoteText"/>
      </w:pPr>
      <w:r>
        <w:rPr>
          <w:rStyle w:val="FootnoteReference"/>
        </w:rPr>
        <w:footnoteRef/>
      </w:r>
      <w:r>
        <w:t xml:space="preserve"> Cross-references for "brother": Gen 13:7-9; Gen 45:24.</w:t>
      </w:r>
    </w:p>
  </w:footnote>
  <w:footnote w:id="17728">
    <w:p>
      <w:pPr>
        <w:pStyle w:val="FootnoteText"/>
      </w:pPr>
      <w:r>
        <w:rPr>
          <w:rStyle w:val="FootnoteReference"/>
        </w:rPr>
        <w:footnoteRef/>
      </w:r>
      <w:r>
        <w:t xml:space="preserve"> Cross-references for "know": 1Cor 3:16; 1Cor 6:2-3.</w:t>
      </w:r>
    </w:p>
  </w:footnote>
  <w:footnote w:id="17729">
    <w:p>
      <w:pPr>
        <w:pStyle w:val="FootnoteText"/>
      </w:pPr>
      <w:r>
        <w:rPr>
          <w:rStyle w:val="FootnoteReference"/>
        </w:rPr>
        <w:footnoteRef/>
      </w:r>
      <w:r>
        <w:t xml:space="preserve"> Cross-references for "thieves": Ps 50:17-18; Isa 1:23.</w:t>
      </w:r>
    </w:p>
  </w:footnote>
  <w:footnote w:id="17730">
    <w:p>
      <w:pPr>
        <w:pStyle w:val="FootnoteText"/>
      </w:pPr>
      <w:r>
        <w:rPr>
          <w:rStyle w:val="FootnoteReference"/>
        </w:rPr>
        <w:footnoteRef/>
      </w:r>
      <w:r>
        <w:t xml:space="preserve"> Cross-references for "such": Rom 6:17-19; 1Cor 12:2.</w:t>
      </w:r>
    </w:p>
  </w:footnote>
  <w:footnote w:id="17731">
    <w:p>
      <w:pPr>
        <w:pStyle w:val="FootnoteText"/>
      </w:pPr>
      <w:r>
        <w:rPr>
          <w:rStyle w:val="FootnoteReference"/>
        </w:rPr>
        <w:footnoteRef/>
      </w:r>
      <w:r>
        <w:t xml:space="preserve"> Cross-references for "things are lawful": Rom 14:14; 1Cor 10:23.</w:t>
      </w:r>
    </w:p>
  </w:footnote>
  <w:footnote w:id="17732">
    <w:p>
      <w:pPr>
        <w:pStyle w:val="FootnoteText"/>
      </w:pPr>
      <w:r>
        <w:rPr>
          <w:rStyle w:val="FootnoteReference"/>
        </w:rPr>
        <w:footnoteRef/>
      </w:r>
      <w:r>
        <w:t xml:space="preserve"> Cross-references for "but God": John 6:27; John 6:49.</w:t>
      </w:r>
    </w:p>
  </w:footnote>
  <w:footnote w:id="17733">
    <w:p>
      <w:pPr>
        <w:pStyle w:val="FootnoteText"/>
      </w:pPr>
      <w:r>
        <w:rPr>
          <w:rStyle w:val="FootnoteReference"/>
        </w:rPr>
        <w:footnoteRef/>
      </w:r>
      <w:r>
        <w:t xml:space="preserve"> Cross-references for "Flee": Gen 39:12-18; Prov 2:16-19.</w:t>
      </w:r>
    </w:p>
  </w:footnote>
  <w:footnote w:id="17734">
    <w:p>
      <w:pPr>
        <w:pStyle w:val="FootnoteText"/>
      </w:pPr>
      <w:r>
        <w:rPr>
          <w:rStyle w:val="FootnoteReference"/>
        </w:rPr>
        <w:footnoteRef/>
      </w:r>
      <w:r>
        <w:t xml:space="preserve"> Cross-references for "your body": 1Cor 3:16; 2Cor 6:16.</w:t>
      </w:r>
    </w:p>
  </w:footnote>
  <w:footnote w:id="17735">
    <w:p>
      <w:pPr>
        <w:pStyle w:val="FootnoteText"/>
      </w:pPr>
      <w:r>
        <w:rPr>
          <w:rStyle w:val="FootnoteReference"/>
        </w:rPr>
        <w:footnoteRef/>
      </w:r>
      <w:r>
        <w:t xml:space="preserve"> Cross-references for "good": Matt 19:10-11; 1Cor 7:8.</w:t>
      </w:r>
    </w:p>
  </w:footnote>
  <w:footnote w:id="17736">
    <w:p>
      <w:pPr>
        <w:pStyle w:val="FootnoteText"/>
      </w:pPr>
      <w:r>
        <w:rPr>
          <w:rStyle w:val="FootnoteReference"/>
        </w:rPr>
        <w:footnoteRef/>
      </w:r>
      <w:r>
        <w:t xml:space="preserve"> Cross-references for "to avoid": Prov 5:18-19; 1Cor 6:18.</w:t>
      </w:r>
    </w:p>
  </w:footnote>
  <w:footnote w:id="17737">
    <w:p>
      <w:pPr>
        <w:pStyle w:val="FootnoteText"/>
      </w:pPr>
      <w:r>
        <w:rPr>
          <w:rStyle w:val="FootnoteReference"/>
        </w:rPr>
        <w:footnoteRef/>
      </w:r>
      <w:r>
        <w:t xml:space="preserve"> Cross-references for "except": Exod 19:15; 1Sam 21:4-5.</w:t>
      </w:r>
    </w:p>
  </w:footnote>
  <w:footnote w:id="17738">
    <w:p>
      <w:pPr>
        <w:pStyle w:val="FootnoteText"/>
      </w:pPr>
      <w:r>
        <w:rPr>
          <w:rStyle w:val="FootnoteReference"/>
        </w:rPr>
        <w:footnoteRef/>
      </w:r>
      <w:r>
        <w:t xml:space="preserve"> Cross-references for "and let": Deut 22:19; Isa 50:1.</w:t>
      </w:r>
    </w:p>
  </w:footnote>
  <w:footnote w:id="17739">
    <w:p>
      <w:pPr>
        <w:pStyle w:val="FootnoteText"/>
      </w:pPr>
      <w:r>
        <w:rPr>
          <w:rStyle w:val="FootnoteReference"/>
        </w:rPr>
        <w:footnoteRef/>
      </w:r>
      <w:r>
        <w:t xml:space="preserve"> Cross-references for "speak": 1Cor 7:6; 1Cor 7:25.</w:t>
      </w:r>
    </w:p>
  </w:footnote>
  <w:footnote w:id="17740">
    <w:p>
      <w:pPr>
        <w:pStyle w:val="FootnoteText"/>
      </w:pPr>
      <w:r>
        <w:rPr>
          <w:rStyle w:val="FootnoteReference"/>
        </w:rPr>
        <w:footnoteRef/>
      </w:r>
      <w:r>
        <w:t xml:space="preserve"> Cross-references for "the unbelieving husband": Ezra 9:1-2; 1Cor 6:15-17.</w:t>
      </w:r>
    </w:p>
  </w:footnote>
  <w:footnote w:id="17741">
    <w:p>
      <w:pPr>
        <w:pStyle w:val="FootnoteText"/>
      </w:pPr>
      <w:r>
        <w:rPr>
          <w:rStyle w:val="FootnoteReference"/>
        </w:rPr>
        <w:footnoteRef/>
      </w:r>
      <w:r>
        <w:t xml:space="preserve"> Cross-references for "A brother": Matt 12:50; Jas 2:15.</w:t>
      </w:r>
    </w:p>
  </w:footnote>
  <w:footnote w:id="17742">
    <w:p>
      <w:pPr>
        <w:pStyle w:val="FootnoteText"/>
      </w:pPr>
      <w:r>
        <w:rPr>
          <w:rStyle w:val="FootnoteReference"/>
        </w:rPr>
        <w:footnoteRef/>
      </w:r>
      <w:r>
        <w:t xml:space="preserve"> Cross-references for "O wife": Prov 11:30; Luke 15:10.</w:t>
      </w:r>
    </w:p>
  </w:footnote>
  <w:footnote w:id="17743">
    <w:p>
      <w:pPr>
        <w:pStyle w:val="FootnoteText"/>
      </w:pPr>
      <w:r>
        <w:rPr>
          <w:rStyle w:val="FootnoteReference"/>
        </w:rPr>
        <w:footnoteRef/>
      </w:r>
      <w:r>
        <w:t xml:space="preserve"> Cross-references for "as God": Matt 19:12; Rom 12:3-8.</w:t>
      </w:r>
    </w:p>
  </w:footnote>
  <w:footnote w:id="17744">
    <w:p>
      <w:pPr>
        <w:pStyle w:val="FootnoteText"/>
      </w:pPr>
      <w:r>
        <w:rPr>
          <w:rStyle w:val="FootnoteReference"/>
        </w:rPr>
        <w:footnoteRef/>
      </w:r>
      <w:r>
        <w:t xml:space="preserve"> Cross-references for "Circumcision": Rom 2:25-29; Rom 3:30.</w:t>
      </w:r>
    </w:p>
  </w:footnote>
  <w:footnote w:id="17745">
    <w:p>
      <w:pPr>
        <w:pStyle w:val="FootnoteText"/>
      </w:pPr>
      <w:r>
        <w:rPr>
          <w:rStyle w:val="FootnoteReference"/>
        </w:rPr>
        <w:footnoteRef/>
      </w:r>
      <w:r>
        <w:t xml:space="preserve"> Cross-references for "care": Luke 10:40-41; Luke 12:29.</w:t>
      </w:r>
    </w:p>
  </w:footnote>
  <w:footnote w:id="17746">
    <w:p>
      <w:pPr>
        <w:pStyle w:val="FootnoteText"/>
      </w:pPr>
      <w:r>
        <w:rPr>
          <w:rStyle w:val="FootnoteReference"/>
        </w:rPr>
        <w:footnoteRef/>
      </w:r>
      <w:r>
        <w:t xml:space="preserve"> Cross-references for "is the": Luke 1:74-75; John 8:32-36.</w:t>
      </w:r>
    </w:p>
  </w:footnote>
  <w:footnote w:id="17747">
    <w:p>
      <w:pPr>
        <w:pStyle w:val="FootnoteText"/>
      </w:pPr>
      <w:r>
        <w:rPr>
          <w:rStyle w:val="FootnoteReference"/>
        </w:rPr>
        <w:footnoteRef/>
      </w:r>
      <w:r>
        <w:t xml:space="preserve"> Cross-references for "concerning": Ps 78:63; 1Cor 7:28.</w:t>
      </w:r>
    </w:p>
  </w:footnote>
  <w:footnote w:id="17748">
    <w:p>
      <w:pPr>
        <w:pStyle w:val="FootnoteText"/>
      </w:pPr>
      <w:r>
        <w:rPr>
          <w:rStyle w:val="FootnoteReference"/>
        </w:rPr>
        <w:footnoteRef/>
      </w:r>
      <w:r>
        <w:t xml:space="preserve"> Cross-references for "Nevertheless": 1Cor 7:26; 1Cor 7:32-34.</w:t>
      </w:r>
    </w:p>
  </w:footnote>
  <w:footnote w:id="17749">
    <w:p>
      <w:pPr>
        <w:pStyle w:val="FootnoteText"/>
      </w:pPr>
      <w:r>
        <w:rPr>
          <w:rStyle w:val="FootnoteReference"/>
        </w:rPr>
        <w:footnoteRef/>
      </w:r>
      <w:r>
        <w:t xml:space="preserve"> Cross-references for "the time": Job 14:1-2; Ps 39:4-7.</w:t>
      </w:r>
    </w:p>
  </w:footnote>
  <w:footnote w:id="17750">
    <w:p>
      <w:pPr>
        <w:pStyle w:val="FootnoteText"/>
      </w:pPr>
      <w:r>
        <w:rPr>
          <w:rStyle w:val="FootnoteReference"/>
        </w:rPr>
        <w:footnoteRef/>
      </w:r>
      <w:r>
        <w:t xml:space="preserve"> Cross-references for "both": Rom 6:13; Rom 12:1-2.</w:t>
      </w:r>
    </w:p>
  </w:footnote>
  <w:footnote w:id="17751">
    <w:p>
      <w:pPr>
        <w:pStyle w:val="FootnoteText"/>
      </w:pPr>
      <w:r>
        <w:rPr>
          <w:rStyle w:val="FootnoteReference"/>
        </w:rPr>
        <w:footnoteRef/>
      </w:r>
      <w:r>
        <w:t xml:space="preserve"> Cross-references for "wife": 1Cor 7:10; 1Cor 7:15.</w:t>
      </w:r>
    </w:p>
  </w:footnote>
  <w:footnote w:id="17752">
    <w:p>
      <w:pPr>
        <w:pStyle w:val="FootnoteText"/>
      </w:pPr>
      <w:r>
        <w:rPr>
          <w:rStyle w:val="FootnoteReference"/>
        </w:rPr>
        <w:footnoteRef/>
      </w:r>
      <w:r>
        <w:t xml:space="preserve"> Cross-references for "I think": 1Cor 7:25; 1Cor 9:1-3.</w:t>
      </w:r>
    </w:p>
  </w:footnote>
  <w:footnote w:id="17753">
    <w:p>
      <w:pPr>
        <w:pStyle w:val="FootnoteText"/>
      </w:pPr>
      <w:r>
        <w:rPr>
          <w:rStyle w:val="FootnoteReference"/>
        </w:rPr>
        <w:footnoteRef/>
      </w:r>
      <w:r>
        <w:t xml:space="preserve"> Cross-references for "knowledge": Isa 5:21; Isa 47:10.</w:t>
      </w:r>
    </w:p>
  </w:footnote>
  <w:footnote w:id="17754">
    <w:p>
      <w:pPr>
        <w:pStyle w:val="FootnoteText"/>
      </w:pPr>
      <w:r>
        <w:rPr>
          <w:rStyle w:val="FootnoteReference"/>
        </w:rPr>
        <w:footnoteRef/>
      </w:r>
      <w:r>
        <w:t xml:space="preserve"> Cross-references for "there is": Deut 3:24; Deut 4:39.</w:t>
      </w:r>
    </w:p>
  </w:footnote>
  <w:footnote w:id="17755">
    <w:p>
      <w:pPr>
        <w:pStyle w:val="FootnoteText"/>
      </w:pPr>
      <w:r>
        <w:rPr>
          <w:rStyle w:val="FootnoteReference"/>
        </w:rPr>
        <w:footnoteRef/>
      </w:r>
      <w:r>
        <w:t xml:space="preserve"> Cross-references for "one God": Jonah 1:9; Mal 2:10.</w:t>
      </w:r>
    </w:p>
  </w:footnote>
  <w:footnote w:id="17756">
    <w:p>
      <w:pPr>
        <w:pStyle w:val="FootnoteText"/>
      </w:pPr>
      <w:r>
        <w:rPr>
          <w:rStyle w:val="FootnoteReference"/>
        </w:rPr>
        <w:footnoteRef/>
      </w:r>
      <w:r>
        <w:t xml:space="preserve"> Cross-references for "take": Matt 18:6-7; Matt 18:10.</w:t>
      </w:r>
    </w:p>
  </w:footnote>
  <w:footnote w:id="17757">
    <w:p>
      <w:pPr>
        <w:pStyle w:val="FootnoteText"/>
      </w:pPr>
      <w:r>
        <w:rPr>
          <w:rStyle w:val="FootnoteReference"/>
        </w:rPr>
        <w:footnoteRef/>
      </w:r>
      <w:r>
        <w:t xml:space="preserve"> Cross-references for "shall not": Rom 14:14; Rom 14:23.</w:t>
      </w:r>
    </w:p>
  </w:footnote>
  <w:footnote w:id="17758">
    <w:p>
      <w:pPr>
        <w:pStyle w:val="FootnoteText"/>
      </w:pPr>
      <w:r>
        <w:rPr>
          <w:rStyle w:val="FootnoteReference"/>
        </w:rPr>
        <w:footnoteRef/>
      </w:r>
      <w:r>
        <w:t xml:space="preserve"> Cross-references for "I not an": Acts 9:15; Acts 13:2.</w:t>
      </w:r>
    </w:p>
  </w:footnote>
  <w:footnote w:id="17759">
    <w:p>
      <w:pPr>
        <w:pStyle w:val="FootnoteText"/>
      </w:pPr>
      <w:r>
        <w:rPr>
          <w:rStyle w:val="FootnoteReference"/>
        </w:rPr>
        <w:footnoteRef/>
      </w:r>
      <w:r>
        <w:t xml:space="preserve"> Cross-references for "to lead": 1Tim 3:2; 1Tim 4:3.</w:t>
      </w:r>
    </w:p>
  </w:footnote>
  <w:footnote w:id="17760">
    <w:p>
      <w:pPr>
        <w:pStyle w:val="FootnoteText"/>
      </w:pPr>
      <w:r>
        <w:rPr>
          <w:rStyle w:val="FootnoteReference"/>
        </w:rPr>
        <w:footnoteRef/>
      </w:r>
      <w:r>
        <w:t xml:space="preserve"> Cross-references for "Barnabas": Acts 4:36; Acts 11:22.</w:t>
      </w:r>
    </w:p>
  </w:footnote>
  <w:footnote w:id="17761">
    <w:p>
      <w:pPr>
        <w:pStyle w:val="FootnoteText"/>
      </w:pPr>
      <w:r>
        <w:rPr>
          <w:rStyle w:val="FootnoteReference"/>
        </w:rPr>
        <w:footnoteRef/>
      </w:r>
      <w:r>
        <w:t xml:space="preserve"> Cross-references for "a great": 2Kgs 5:13; 2Cor 11:15.</w:t>
      </w:r>
    </w:p>
  </w:footnote>
  <w:footnote w:id="17762">
    <w:p>
      <w:pPr>
        <w:pStyle w:val="FootnoteText"/>
      </w:pPr>
      <w:r>
        <w:rPr>
          <w:rStyle w:val="FootnoteReference"/>
        </w:rPr>
        <w:footnoteRef/>
      </w:r>
      <w:r>
        <w:t xml:space="preserve"> Cross-references for "others": 2Cor 11:20.</w:t>
      </w:r>
    </w:p>
  </w:footnote>
  <w:footnote w:id="17763">
    <w:p>
      <w:pPr>
        <w:pStyle w:val="FootnoteText"/>
      </w:pPr>
      <w:r>
        <w:rPr>
          <w:rStyle w:val="FootnoteReference"/>
        </w:rPr>
        <w:footnoteRef/>
      </w:r>
      <w:r>
        <w:t xml:space="preserve"> Cross-references for "ordained": Matt 10:10; Luke 10:7.</w:t>
      </w:r>
    </w:p>
  </w:footnote>
  <w:footnote w:id="17764">
    <w:p>
      <w:pPr>
        <w:pStyle w:val="FootnoteText"/>
      </w:pPr>
      <w:r>
        <w:rPr>
          <w:rStyle w:val="FootnoteReference"/>
        </w:rPr>
        <w:footnoteRef/>
      </w:r>
      <w:r>
        <w:t xml:space="preserve"> Cross-references for "if I": 1Chr 28:9; 1Chr 29:5.</w:t>
      </w:r>
    </w:p>
  </w:footnote>
  <w:footnote w:id="17765">
    <w:p>
      <w:pPr>
        <w:pStyle w:val="FootnoteText"/>
      </w:pPr>
      <w:r>
        <w:rPr>
          <w:rStyle w:val="FootnoteReference"/>
        </w:rPr>
        <w:footnoteRef/>
      </w:r>
      <w:r>
        <w:t xml:space="preserve"> Cross-references for "I be": 1Cor 9:1; Gal 5:1.</w:t>
      </w:r>
    </w:p>
  </w:footnote>
  <w:footnote w:id="17766">
    <w:p>
      <w:pPr>
        <w:pStyle w:val="FootnoteText"/>
      </w:pPr>
      <w:r>
        <w:rPr>
          <w:rStyle w:val="FootnoteReference"/>
        </w:rPr>
        <w:footnoteRef/>
      </w:r>
      <w:r>
        <w:t xml:space="preserve"> Cross-references for "To the weak": Rom 15:1; 1Cor 8:13.</w:t>
      </w:r>
    </w:p>
  </w:footnote>
  <w:footnote w:id="17767">
    <w:p>
      <w:pPr>
        <w:pStyle w:val="FootnoteText"/>
      </w:pPr>
      <w:r>
        <w:rPr>
          <w:rStyle w:val="FootnoteReference"/>
        </w:rPr>
        <w:footnoteRef/>
      </w:r>
      <w:r>
        <w:t xml:space="preserve"> Cross-references for "run in": Ps 19:5; Eccl 9:11.</w:t>
      </w:r>
    </w:p>
  </w:footnote>
  <w:footnote w:id="1776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769">
    <w:p>
      <w:pPr>
        <w:pStyle w:val="FootnoteText"/>
      </w:pPr>
      <w:r>
        <w:rPr>
          <w:rStyle w:val="FootnoteReference"/>
        </w:rPr>
        <w:footnoteRef/>
      </w:r>
      <w:r>
        <w:t xml:space="preserve"> Cross-references for "and were": Num 21:6.</w:t>
      </w:r>
    </w:p>
  </w:footnote>
  <w:footnote w:id="17770">
    <w:p>
      <w:pPr>
        <w:pStyle w:val="FootnoteText"/>
      </w:pPr>
      <w:r>
        <w:rPr>
          <w:rStyle w:val="FootnoteReference"/>
        </w:rPr>
        <w:footnoteRef/>
      </w:r>
      <w:r>
        <w:t xml:space="preserve"> Cross-references for "murmur": Exod 15:24; Exod 16:2-9.</w:t>
      </w:r>
    </w:p>
  </w:footnote>
  <w:footnote w:id="17771">
    <w:p>
      <w:pPr>
        <w:pStyle w:val="FootnoteText"/>
      </w:pPr>
      <w:r>
        <w:rPr>
          <w:rStyle w:val="FootnoteReference"/>
        </w:rPr>
        <w:footnoteRef/>
      </w:r>
      <w:r>
        <w:t xml:space="preserve"> Cross-references for "upon": 1Cor 7:29; Phil 4:5.</w:t>
      </w:r>
    </w:p>
  </w:footnote>
  <w:footnote w:id="17772">
    <w:p>
      <w:pPr>
        <w:pStyle w:val="FootnoteText"/>
      </w:pPr>
      <w:r>
        <w:rPr>
          <w:rStyle w:val="FootnoteReference"/>
        </w:rPr>
        <w:footnoteRef/>
      </w:r>
      <w:r>
        <w:t xml:space="preserve"> Cross-references for "make": Gen 19:20-21; Ps 124:7.</w:t>
      </w:r>
    </w:p>
  </w:footnote>
  <w:footnote w:id="17773">
    <w:p>
      <w:pPr>
        <w:pStyle w:val="FootnoteText"/>
      </w:pPr>
      <w:r>
        <w:rPr>
          <w:rStyle w:val="FootnoteReference"/>
        </w:rPr>
        <w:footnoteRef/>
      </w:r>
      <w:r>
        <w:t xml:space="preserve"> Cross-references for "flee": 1Cor 10:7; 1Cor 10:20-21.</w:t>
      </w:r>
    </w:p>
  </w:footnote>
  <w:footnote w:id="17774">
    <w:p>
      <w:pPr>
        <w:pStyle w:val="FootnoteText"/>
      </w:pPr>
      <w:r>
        <w:rPr>
          <w:rStyle w:val="FootnoteReference"/>
        </w:rPr>
        <w:footnoteRef/>
      </w:r>
      <w:r>
        <w:t xml:space="preserve"> Cross-references for "the communion of the blood": John 6:53-58; 1Cor 1:9.</w:t>
      </w:r>
    </w:p>
  </w:footnote>
  <w:footnote w:id="17775">
    <w:p>
      <w:pPr>
        <w:pStyle w:val="FootnoteText"/>
      </w:pPr>
      <w:r>
        <w:rPr>
          <w:rStyle w:val="FootnoteReference"/>
        </w:rPr>
        <w:footnoteRef/>
      </w:r>
      <w:r>
        <w:t xml:space="preserve"> Cross-references for "Israel": Rom 4:1; Rom 4:12.</w:t>
      </w:r>
    </w:p>
  </w:footnote>
  <w:footnote w:id="17776">
    <w:p>
      <w:pPr>
        <w:pStyle w:val="FootnoteText"/>
      </w:pPr>
      <w:r>
        <w:rPr>
          <w:rStyle w:val="FootnoteReference"/>
        </w:rPr>
        <w:footnoteRef/>
      </w:r>
      <w:r>
        <w:t xml:space="preserve"> Cross-references for "sacrifice": Lev 17:7; Deut 32:16-17.</w:t>
      </w:r>
    </w:p>
  </w:footnote>
  <w:footnote w:id="17777">
    <w:p>
      <w:pPr>
        <w:pStyle w:val="FootnoteText"/>
      </w:pPr>
      <w:r>
        <w:rPr>
          <w:rStyle w:val="FootnoteReference"/>
        </w:rPr>
        <w:footnoteRef/>
      </w:r>
      <w:r>
        <w:t xml:space="preserve"> Cross-references for "cannot drink": Deut 32:37-38; 1Kgs 18:21.</w:t>
      </w:r>
    </w:p>
  </w:footnote>
  <w:footnote w:id="17778">
    <w:p>
      <w:pPr>
        <w:pStyle w:val="FootnoteText"/>
      </w:pPr>
      <w:r>
        <w:rPr>
          <w:rStyle w:val="FootnoteReference"/>
        </w:rPr>
        <w:footnoteRef/>
      </w:r>
      <w:r>
        <w:t xml:space="preserve"> Cross-references for "we provoke": Exod 20:5; Exod 34:14.</w:t>
      </w:r>
    </w:p>
  </w:footnote>
  <w:footnote w:id="17779">
    <w:p>
      <w:pPr>
        <w:pStyle w:val="FootnoteText"/>
      </w:pPr>
      <w:r>
        <w:rPr>
          <w:rStyle w:val="FootnoteReference"/>
        </w:rPr>
        <w:footnoteRef/>
      </w:r>
      <w:r>
        <w:t xml:space="preserve"> Cross-references for "things are lawful": Rom 14:15; Rom 14:20.</w:t>
      </w:r>
    </w:p>
  </w:footnote>
  <w:footnote w:id="17780">
    <w:p>
      <w:pPr>
        <w:pStyle w:val="FootnoteText"/>
      </w:pPr>
      <w:r>
        <w:rPr>
          <w:rStyle w:val="FootnoteReference"/>
        </w:rPr>
        <w:footnoteRef/>
      </w:r>
      <w:r>
        <w:t xml:space="preserve"> Cross-references for "seek": 1Cor 9:19-23; 1Cor 10:33.</w:t>
      </w:r>
    </w:p>
  </w:footnote>
  <w:footnote w:id="17781">
    <w:p>
      <w:pPr>
        <w:pStyle w:val="FootnoteText"/>
      </w:pPr>
      <w:r>
        <w:rPr>
          <w:rStyle w:val="FootnoteReference"/>
        </w:rPr>
        <w:footnoteRef/>
      </w:r>
      <w:r>
        <w:t xml:space="preserve"> Cross-references for "sold": Rom 14:14; 1Tim 4:4.</w:t>
      </w:r>
    </w:p>
  </w:footnote>
  <w:footnote w:id="17782">
    <w:p>
      <w:pPr>
        <w:pStyle w:val="FootnoteText"/>
      </w:pPr>
      <w:r>
        <w:rPr>
          <w:rStyle w:val="FootnoteReference"/>
        </w:rPr>
        <w:footnoteRef/>
      </w:r>
      <w:r>
        <w:t xml:space="preserve"> Cross-references for "for which": Rom 14:6; 1Tim 4:3-4.</w:t>
      </w:r>
    </w:p>
  </w:footnote>
  <w:footnote w:id="17783">
    <w:p>
      <w:pPr>
        <w:pStyle w:val="FootnoteText"/>
      </w:pPr>
      <w:r>
        <w:rPr>
          <w:rStyle w:val="FootnoteReference"/>
        </w:rPr>
        <w:footnoteRef/>
      </w:r>
      <w:r>
        <w:t xml:space="preserve"> Cross-references for "none": Rom 14:13; 1Cor 8:13.</w:t>
      </w:r>
    </w:p>
  </w:footnote>
  <w:footnote w:id="17784">
    <w:p>
      <w:pPr>
        <w:pStyle w:val="FootnoteText"/>
      </w:pPr>
      <w:r>
        <w:rPr>
          <w:rStyle w:val="FootnoteReference"/>
        </w:rPr>
        <w:footnoteRef/>
      </w:r>
      <w:r>
        <w:t xml:space="preserve"> Cross-references for "I praise": Prov 31:28-31; 1Cor 11:17.</w:t>
      </w:r>
    </w:p>
  </w:footnote>
  <w:footnote w:id="17785">
    <w:p>
      <w:pPr>
        <w:pStyle w:val="FootnoteText"/>
      </w:pPr>
      <w:r>
        <w:rPr>
          <w:rStyle w:val="FootnoteReference"/>
        </w:rPr>
        <w:footnoteRef/>
      </w:r>
      <w:r>
        <w:t xml:space="preserve"> Cross-references for "the head of every": Eph 1:22-23; Eph 4:15.</w:t>
      </w:r>
    </w:p>
  </w:footnote>
  <w:footnote w:id="17786">
    <w:p>
      <w:pPr>
        <w:pStyle w:val="FootnoteText"/>
      </w:pPr>
      <w:r>
        <w:rPr>
          <w:rStyle w:val="FootnoteReference"/>
        </w:rPr>
        <w:footnoteRef/>
      </w:r>
      <w:r>
        <w:t xml:space="preserve"> Cross-references for "the man": Gen 2:18; Gen 2:20.</w:t>
      </w:r>
    </w:p>
  </w:footnote>
  <w:footnote w:id="17787">
    <w:p>
      <w:pPr>
        <w:pStyle w:val="FootnoteText"/>
      </w:pPr>
      <w:r>
        <w:rPr>
          <w:rStyle w:val="FootnoteReference"/>
        </w:rPr>
        <w:footnoteRef/>
      </w:r>
      <w:r>
        <w:t xml:space="preserve"> Cross-references for "covering": 1Cor 11:15.</w:t>
      </w:r>
    </w:p>
  </w:footnote>
  <w:footnote w:id="17788">
    <w:p>
      <w:pPr>
        <w:pStyle w:val="FootnoteText"/>
      </w:pPr>
      <w:r>
        <w:rPr>
          <w:rStyle w:val="FootnoteReference"/>
        </w:rPr>
        <w:footnoteRef/>
      </w:r>
      <w:r>
        <w:t xml:space="preserve"> Cross-references for "seem": 1Tim 6:3-4.</w:t>
      </w:r>
    </w:p>
  </w:footnote>
  <w:footnote w:id="17789">
    <w:p>
      <w:pPr>
        <w:pStyle w:val="FootnoteText"/>
      </w:pPr>
      <w:r>
        <w:rPr>
          <w:rStyle w:val="FootnoteReference"/>
        </w:rPr>
        <w:footnoteRef/>
      </w:r>
      <w:r>
        <w:t xml:space="preserve"> Cross-references for "I hear": 1Cor 1:10-12; 1Cor 3:3.</w:t>
      </w:r>
    </w:p>
  </w:footnote>
  <w:footnote w:id="17790">
    <w:p>
      <w:pPr>
        <w:pStyle w:val="FootnoteText"/>
      </w:pPr>
      <w:r>
        <w:rPr>
          <w:rStyle w:val="FootnoteReference"/>
        </w:rPr>
        <w:footnoteRef/>
      </w:r>
      <w:r>
        <w:t xml:space="preserve"> Cross-references for "and one": 2Pet 2:13; Jude 1:12.</w:t>
      </w:r>
    </w:p>
  </w:footnote>
  <w:footnote w:id="17791">
    <w:p>
      <w:pPr>
        <w:pStyle w:val="FootnoteText"/>
      </w:pPr>
      <w:r>
        <w:rPr>
          <w:rStyle w:val="FootnoteReference"/>
        </w:rPr>
        <w:footnoteRef/>
      </w:r>
      <w:r>
        <w:t xml:space="preserve"> Cross-references for "took": Matt 26:26-28; Mark 14:22-24.</w:t>
      </w:r>
    </w:p>
  </w:footnote>
  <w:footnote w:id="17792">
    <w:p>
      <w:pPr>
        <w:pStyle w:val="FootnoteText"/>
      </w:pPr>
      <w:r>
        <w:rPr>
          <w:rStyle w:val="FootnoteReference"/>
        </w:rPr>
        <w:footnoteRef/>
      </w:r>
      <w:r>
        <w:t xml:space="preserve"> Cross-references for "in remembrance": Exod 12:14; Josh 4:7.</w:t>
      </w:r>
    </w:p>
  </w:footnote>
  <w:footnote w:id="17793">
    <w:p>
      <w:pPr>
        <w:pStyle w:val="FootnoteText"/>
      </w:pPr>
      <w:r>
        <w:rPr>
          <w:rStyle w:val="FootnoteReference"/>
        </w:rPr>
        <w:footnoteRef/>
      </w:r>
      <w:r>
        <w:t xml:space="preserve"> Cross-references for "the new": Luke 22:20; 2Cor 3:6.</w:t>
      </w:r>
    </w:p>
  </w:footnote>
  <w:footnote w:id="17794">
    <w:p>
      <w:pPr>
        <w:pStyle w:val="FootnoteText"/>
      </w:pPr>
      <w:r>
        <w:rPr>
          <w:rStyle w:val="FootnoteReference"/>
        </w:rPr>
        <w:footnoteRef/>
      </w:r>
      <w:r>
        <w:t xml:space="preserve"> Cross-references for "shall be": 1Cor 11:29.</w:t>
      </w:r>
    </w:p>
  </w:footnote>
  <w:footnote w:id="17795">
    <w:p>
      <w:pPr>
        <w:pStyle w:val="FootnoteText"/>
      </w:pPr>
      <w:r>
        <w:rPr>
          <w:rStyle w:val="FootnoteReference"/>
        </w:rPr>
        <w:footnoteRef/>
      </w:r>
      <w:r>
        <w:t xml:space="preserve"> Cross-references for "let a": Ps 26:2-7; Lam 3:40.</w:t>
      </w:r>
    </w:p>
  </w:footnote>
  <w:footnote w:id="17796">
    <w:p>
      <w:pPr>
        <w:pStyle w:val="FootnoteText"/>
      </w:pPr>
      <w:r>
        <w:rPr>
          <w:rStyle w:val="FootnoteReference"/>
        </w:rPr>
        <w:footnoteRef/>
      </w:r>
      <w:r>
        <w:t xml:space="preserve"> Cross-references for "sleep": Acts 13:36; 1Cor 15:51.</w:t>
      </w:r>
    </w:p>
  </w:footnote>
  <w:footnote w:id="17797">
    <w:p>
      <w:pPr>
        <w:pStyle w:val="FootnoteText"/>
      </w:pPr>
      <w:r>
        <w:rPr>
          <w:rStyle w:val="FootnoteReference"/>
        </w:rPr>
        <w:footnoteRef/>
      </w:r>
      <w:r>
        <w:t xml:space="preserve"> Cross-references for "we are": Deut 8:5; Job 5:17-18.</w:t>
      </w:r>
    </w:p>
  </w:footnote>
  <w:footnote w:id="17798">
    <w:p>
      <w:pPr>
        <w:pStyle w:val="FootnoteText"/>
      </w:pPr>
      <w:r>
        <w:rPr>
          <w:rStyle w:val="FootnoteReference"/>
        </w:rPr>
        <w:footnoteRef/>
      </w:r>
      <w:r>
        <w:t xml:space="preserve"> Cross-references for "spiritual": 1Cor 12:4-11; 1Cor 14:1-18.</w:t>
      </w:r>
    </w:p>
  </w:footnote>
  <w:footnote w:id="17799">
    <w:p>
      <w:pPr>
        <w:pStyle w:val="FootnoteText"/>
      </w:pPr>
      <w:r>
        <w:rPr>
          <w:rStyle w:val="FootnoteReference"/>
        </w:rPr>
        <w:footnoteRef/>
      </w:r>
      <w:r>
        <w:t xml:space="preserve"> Cross-references for "accursed": Deut 21:23; 1Cor 16:22.</w:t>
      </w:r>
    </w:p>
  </w:footnote>
  <w:footnote w:id="17800">
    <w:p>
      <w:pPr>
        <w:pStyle w:val="FootnoteText"/>
      </w:pPr>
      <w:r>
        <w:rPr>
          <w:rStyle w:val="FootnoteReference"/>
        </w:rPr>
        <w:footnoteRef/>
      </w:r>
      <w:r>
        <w:t xml:space="preserve"> Cross-references for "is given": Gen 41:38-39; Exod 31:3.</w:t>
      </w:r>
    </w:p>
  </w:footnote>
  <w:footnote w:id="17801">
    <w:p>
      <w:pPr>
        <w:pStyle w:val="FootnoteText"/>
      </w:pPr>
      <w:r>
        <w:rPr>
          <w:rStyle w:val="FootnoteReference"/>
        </w:rPr>
        <w:footnoteRef/>
      </w:r>
      <w:r>
        <w:t xml:space="preserve"> Cross-references for "faith": Matt 17:19-20; Matt 21:21.</w:t>
      </w:r>
    </w:p>
  </w:footnote>
  <w:footnote w:id="17802">
    <w:p>
      <w:pPr>
        <w:pStyle w:val="FootnoteText"/>
      </w:pPr>
      <w:r>
        <w:rPr>
          <w:rStyle w:val="FootnoteReference"/>
        </w:rPr>
        <w:footnoteRef/>
      </w:r>
      <w:r>
        <w:t xml:space="preserve"> Cross-references for "prophecy": Num 11:25-29; 1Sam 10:10-13.</w:t>
      </w:r>
    </w:p>
  </w:footnote>
  <w:footnote w:id="17803">
    <w:p>
      <w:pPr>
        <w:pStyle w:val="FootnoteText"/>
      </w:pPr>
      <w:r>
        <w:rPr>
          <w:rStyle w:val="FootnoteReference"/>
        </w:rPr>
        <w:footnoteRef/>
      </w:r>
      <w:r>
        <w:t xml:space="preserve"> Cross-references for "to drink": Song 5:1; Isa 41:17-18.</w:t>
      </w:r>
    </w:p>
  </w:footnote>
  <w:footnote w:id="17804">
    <w:p>
      <w:pPr>
        <w:pStyle w:val="FootnoteText"/>
      </w:pPr>
      <w:r>
        <w:rPr>
          <w:rStyle w:val="FootnoteReference"/>
        </w:rPr>
        <w:footnoteRef/>
      </w:r>
      <w:r>
        <w:t xml:space="preserve"> Cross-references for "is it": Rom 12:3; Rom 12:10.</w:t>
      </w:r>
    </w:p>
  </w:footnote>
  <w:footnote w:id="17805">
    <w:p>
      <w:pPr>
        <w:pStyle w:val="FootnoteText"/>
      </w:pPr>
      <w:r>
        <w:rPr>
          <w:rStyle w:val="FootnoteReference"/>
        </w:rPr>
        <w:footnoteRef/>
      </w:r>
      <w:r>
        <w:t xml:space="preserve"> Cross-references for "helps": Num 11:17.</w:t>
      </w:r>
    </w:p>
  </w:footnote>
  <w:footnote w:id="17806">
    <w:p>
      <w:pPr>
        <w:pStyle w:val="FootnoteText"/>
      </w:pPr>
      <w:r>
        <w:rPr>
          <w:rStyle w:val="FootnoteReference"/>
        </w:rPr>
        <w:footnoteRef/>
      </w:r>
      <w:r>
        <w:t xml:space="preserve"> Cross-references for "all apostles": 1Cor 12:4-11; 1Cor 12:14-20.</w:t>
      </w:r>
    </w:p>
  </w:footnote>
  <w:footnote w:id="17807">
    <w:p>
      <w:pPr>
        <w:pStyle w:val="FootnoteText"/>
      </w:pPr>
      <w:r>
        <w:rPr>
          <w:rStyle w:val="FootnoteReference"/>
        </w:rPr>
        <w:footnoteRef/>
      </w:r>
      <w:r>
        <w:t xml:space="preserve"> Cross-references for "show": 1Cor 13:1-13; Phil 3:8.</w:t>
      </w:r>
    </w:p>
  </w:footnote>
  <w:footnote w:id="17808">
    <w:p>
      <w:pPr>
        <w:pStyle w:val="FootnoteText"/>
      </w:pPr>
      <w:r>
        <w:rPr>
          <w:rStyle w:val="FootnoteReference"/>
        </w:rPr>
        <w:footnoteRef/>
      </w:r>
      <w:r>
        <w:t xml:space="preserve"> Cross-references for "I speak": 1Cor 12:8; 1Cor 12:16.</w:t>
      </w:r>
    </w:p>
  </w:footnote>
  <w:footnote w:id="17809">
    <w:p>
      <w:pPr>
        <w:pStyle w:val="FootnoteText"/>
      </w:pPr>
      <w:r>
        <w:rPr>
          <w:rStyle w:val="FootnoteReference"/>
        </w:rPr>
        <w:footnoteRef/>
      </w:r>
      <w:r>
        <w:t xml:space="preserve"> Cross-references for "is kind": Neh 9:17; Prov 19:22.</w:t>
      </w:r>
    </w:p>
  </w:footnote>
  <w:footnote w:id="17810">
    <w:p>
      <w:pPr>
        <w:pStyle w:val="FootnoteText"/>
      </w:pPr>
      <w:r>
        <w:rPr>
          <w:rStyle w:val="FootnoteReference"/>
        </w:rPr>
        <w:footnoteRef/>
      </w:r>
      <w:r>
        <w:t xml:space="preserve"> Cross-references for "behave": Isa 3:5; 1Cor 7:36.</w:t>
      </w:r>
    </w:p>
  </w:footnote>
  <w:footnote w:id="17811">
    <w:p>
      <w:pPr>
        <w:pStyle w:val="FootnoteText"/>
      </w:pPr>
      <w:r>
        <w:rPr>
          <w:rStyle w:val="FootnoteReference"/>
        </w:rPr>
        <w:footnoteRef/>
      </w:r>
      <w:r>
        <w:t xml:space="preserve"> Cross-references for "never": Luke 22:32; 1Cor 13:10.</w:t>
      </w:r>
    </w:p>
  </w:footnote>
  <w:footnote w:id="17812">
    <w:p>
      <w:pPr>
        <w:pStyle w:val="FootnoteText"/>
      </w:pPr>
      <w:r>
        <w:rPr>
          <w:rStyle w:val="FootnoteReference"/>
        </w:rPr>
        <w:footnoteRef/>
      </w:r>
      <w:r>
        <w:t xml:space="preserve"> Cross-references for "we see": 2Cor 3:18; 2Cor 5:7.</w:t>
      </w:r>
    </w:p>
  </w:footnote>
  <w:footnote w:id="17813">
    <w:p>
      <w:pPr>
        <w:pStyle w:val="FootnoteText"/>
      </w:pPr>
      <w:r>
        <w:rPr>
          <w:rStyle w:val="FootnoteReference"/>
        </w:rPr>
        <w:footnoteRef/>
      </w:r>
      <w:r>
        <w:t xml:space="preserve"> Cross-references for "faith": Luke 8:13-15; Luke 22:32.</w:t>
      </w:r>
    </w:p>
  </w:footnote>
  <w:footnote w:id="17814">
    <w:p>
      <w:pPr>
        <w:pStyle w:val="FootnoteText"/>
      </w:pPr>
      <w:r>
        <w:rPr>
          <w:rStyle w:val="FootnoteReference"/>
        </w:rPr>
        <w:footnoteRef/>
      </w:r>
      <w:r>
        <w:t xml:space="preserve"> Cross-references for "desire": 1Cor 12:1; 1Cor 12:31.</w:t>
      </w:r>
    </w:p>
  </w:footnote>
  <w:footnote w:id="17815">
    <w:p>
      <w:pPr>
        <w:pStyle w:val="FootnoteText"/>
      </w:pPr>
      <w:r>
        <w:rPr>
          <w:rStyle w:val="FootnoteReference"/>
        </w:rPr>
        <w:footnoteRef/>
      </w:r>
      <w:r>
        <w:t xml:space="preserve"> Cross-references for "exhortation": Luke 3:18; Acts 13:15.</w:t>
      </w:r>
    </w:p>
  </w:footnote>
  <w:footnote w:id="17816">
    <w:p>
      <w:pPr>
        <w:pStyle w:val="FootnoteText"/>
      </w:pPr>
      <w:r>
        <w:rPr>
          <w:rStyle w:val="FootnoteReference"/>
        </w:rPr>
        <w:footnoteRef/>
      </w:r>
      <w:r>
        <w:t xml:space="preserve"> Cross-references for "except": 1Cor 12:10; 1Cor 12:30.</w:t>
      </w:r>
    </w:p>
  </w:footnote>
  <w:footnote w:id="17817">
    <w:p>
      <w:pPr>
        <w:pStyle w:val="FootnoteText"/>
      </w:pPr>
      <w:r>
        <w:rPr>
          <w:rStyle w:val="FootnoteReference"/>
        </w:rPr>
        <w:footnoteRef/>
      </w:r>
      <w:r>
        <w:t xml:space="preserve"> Cross-references for "what shall I": 1Sam 12:21; Jer 16:19.</w:t>
      </w:r>
    </w:p>
  </w:footnote>
  <w:footnote w:id="17818">
    <w:p>
      <w:pPr>
        <w:pStyle w:val="FootnoteText"/>
      </w:pPr>
      <w:r>
        <w:rPr>
          <w:rStyle w:val="FootnoteReference"/>
        </w:rPr>
        <w:footnoteRef/>
      </w:r>
      <w:r>
        <w:t xml:space="preserve"> Cross-references for "things": 1Cor 13:1.</w:t>
      </w:r>
    </w:p>
  </w:footnote>
  <w:footnote w:id="17819">
    <w:p>
      <w:pPr>
        <w:pStyle w:val="FootnoteText"/>
      </w:pPr>
      <w:r>
        <w:rPr>
          <w:rStyle w:val="FootnoteReference"/>
        </w:rPr>
        <w:footnoteRef/>
      </w:r>
      <w:r>
        <w:t xml:space="preserve"> Cross-references for "I shall": Acts 28:2; Acts 28:4.</w:t>
      </w:r>
    </w:p>
  </w:footnote>
  <w:footnote w:id="17820">
    <w:p>
      <w:pPr>
        <w:pStyle w:val="FootnoteText"/>
      </w:pPr>
      <w:r>
        <w:rPr>
          <w:rStyle w:val="FootnoteReference"/>
        </w:rPr>
        <w:footnoteRef/>
      </w:r>
      <w:r>
        <w:t xml:space="preserve"> Cross-references for "spiritual gifts": 1Cor 14:32.</w:t>
      </w:r>
    </w:p>
  </w:footnote>
  <w:footnote w:id="17821">
    <w:p>
      <w:pPr>
        <w:pStyle w:val="FootnoteText"/>
      </w:pPr>
      <w:r>
        <w:rPr>
          <w:rStyle w:val="FootnoteReference"/>
        </w:rPr>
        <w:footnoteRef/>
      </w:r>
      <w:r>
        <w:t xml:space="preserve"> Cross-references for "pray": Mark 11:24; John 14:13-14.</w:t>
      </w:r>
    </w:p>
  </w:footnote>
  <w:footnote w:id="17822">
    <w:p>
      <w:pPr>
        <w:pStyle w:val="FootnoteText"/>
      </w:pPr>
      <w:r>
        <w:rPr>
          <w:rStyle w:val="FootnoteReference"/>
        </w:rPr>
        <w:footnoteRef/>
      </w:r>
      <w:r>
        <w:t xml:space="preserve"> Cross-references for "my spirit": 1Cor 14:2; 1Cor 14:15-16.</w:t>
      </w:r>
    </w:p>
  </w:footnote>
  <w:footnote w:id="17823">
    <w:p>
      <w:pPr>
        <w:pStyle w:val="FootnoteText"/>
      </w:pPr>
      <w:r>
        <w:rPr>
          <w:rStyle w:val="FootnoteReference"/>
        </w:rPr>
        <w:footnoteRef/>
      </w:r>
      <w:r>
        <w:t xml:space="preserve"> Cross-references for "I will pray with the spirit": John 4:23-24; Rom 1:9.</w:t>
      </w:r>
    </w:p>
  </w:footnote>
  <w:footnote w:id="17824">
    <w:p>
      <w:pPr>
        <w:pStyle w:val="FootnoteText"/>
      </w:pPr>
      <w:r>
        <w:rPr>
          <w:rStyle w:val="FootnoteReference"/>
        </w:rPr>
        <w:footnoteRef/>
      </w:r>
      <w:r>
        <w:t xml:space="preserve"> Cross-references for "bless": 1Cor 14:2; 1Cor 14:14.</w:t>
      </w:r>
    </w:p>
  </w:footnote>
  <w:footnote w:id="17825">
    <w:p>
      <w:pPr>
        <w:pStyle w:val="FootnoteText"/>
      </w:pPr>
      <w:r>
        <w:rPr>
          <w:rStyle w:val="FootnoteReference"/>
        </w:rPr>
        <w:footnoteRef/>
      </w:r>
      <w:r>
        <w:t xml:space="preserve"> Cross-references for "the law": John 10:34; Rom 3:19.</w:t>
      </w:r>
    </w:p>
  </w:footnote>
  <w:footnote w:id="17826">
    <w:p>
      <w:pPr>
        <w:pStyle w:val="FootnoteText"/>
      </w:pPr>
      <w:r>
        <w:rPr>
          <w:rStyle w:val="FootnoteReference"/>
        </w:rPr>
        <w:footnoteRef/>
      </w:r>
      <w:r>
        <w:t xml:space="preserve"> Cross-references for "for a": Mark 16:17; Acts 2:6-12.</w:t>
      </w:r>
    </w:p>
  </w:footnote>
  <w:footnote w:id="17827">
    <w:p>
      <w:pPr>
        <w:pStyle w:val="FootnoteText"/>
      </w:pPr>
      <w:r>
        <w:rPr>
          <w:rStyle w:val="FootnoteReference"/>
        </w:rPr>
        <w:footnoteRef/>
      </w:r>
      <w:r>
        <w:t xml:space="preserve"> Cross-references for "the whole": 1Cor 11:18.</w:t>
      </w:r>
    </w:p>
  </w:footnote>
  <w:footnote w:id="17828">
    <w:p>
      <w:pPr>
        <w:pStyle w:val="FootnoteText"/>
      </w:pPr>
      <w:r>
        <w:rPr>
          <w:rStyle w:val="FootnoteReference"/>
        </w:rPr>
        <w:footnoteRef/>
      </w:r>
      <w:r>
        <w:t xml:space="preserve"> Cross-references for "falling": Gen 44:14; Deut 9:18.</w:t>
      </w:r>
    </w:p>
  </w:footnote>
  <w:footnote w:id="17829">
    <w:p>
      <w:pPr>
        <w:pStyle w:val="FootnoteText"/>
      </w:pPr>
      <w:r>
        <w:rPr>
          <w:rStyle w:val="FootnoteReference"/>
        </w:rPr>
        <w:footnoteRef/>
      </w:r>
      <w:r>
        <w:t xml:space="preserve"> Cross-references for "revealed": 1Cor 14:6; 1Cor 14:26.</w:t>
      </w:r>
    </w:p>
  </w:footnote>
  <w:footnote w:id="17830">
    <w:p>
      <w:pPr>
        <w:pStyle w:val="FootnoteText"/>
      </w:pPr>
      <w:r>
        <w:rPr>
          <w:rStyle w:val="FootnoteReference"/>
        </w:rPr>
        <w:footnoteRef/>
      </w:r>
      <w:r>
        <w:t xml:space="preserve"> Cross-references for "all may learn": Prov 1:5; Prov 9:9.</w:t>
      </w:r>
    </w:p>
  </w:footnote>
  <w:footnote w:id="17831">
    <w:p>
      <w:pPr>
        <w:pStyle w:val="FootnoteText"/>
      </w:pPr>
      <w:r>
        <w:rPr>
          <w:rStyle w:val="FootnoteReference"/>
        </w:rPr>
        <w:footnoteRef/>
      </w:r>
      <w:r>
        <w:t xml:space="preserve"> Cross-references for "women": 1Cor 11:5; 1Tim 2:11-12.</w:t>
      </w:r>
    </w:p>
  </w:footnote>
  <w:footnote w:id="17832">
    <w:p>
      <w:pPr>
        <w:pStyle w:val="FootnoteText"/>
      </w:pPr>
      <w:r>
        <w:rPr>
          <w:rStyle w:val="FootnoteReference"/>
        </w:rPr>
        <w:footnoteRef/>
      </w:r>
      <w:r>
        <w:t xml:space="preserve"> Cross-references for "a shame": 1Cor 11:6; 1Cor 11:14.</w:t>
      </w:r>
    </w:p>
  </w:footnote>
  <w:footnote w:id="17833">
    <w:p>
      <w:pPr>
        <w:pStyle w:val="FootnoteText"/>
      </w:pPr>
      <w:r>
        <w:rPr>
          <w:rStyle w:val="FootnoteReference"/>
        </w:rPr>
        <w:footnoteRef/>
      </w:r>
      <w:r>
        <w:t xml:space="preserve"> Cross-references for "I declare": Acts 18:4-5; 1Cor 1:23-24.</w:t>
      </w:r>
    </w:p>
  </w:footnote>
  <w:footnote w:id="17834">
    <w:p>
      <w:pPr>
        <w:pStyle w:val="FootnoteText"/>
      </w:pPr>
      <w:r>
        <w:rPr>
          <w:rStyle w:val="FootnoteReference"/>
        </w:rPr>
        <w:footnoteRef/>
      </w:r>
      <w:r>
        <w:t xml:space="preserve"> Cross-references for "unless": Ps 106:12-13; Luke 8:13.</w:t>
      </w:r>
    </w:p>
  </w:footnote>
  <w:footnote w:id="17835">
    <w:p>
      <w:pPr>
        <w:pStyle w:val="FootnoteText"/>
      </w:pPr>
      <w:r>
        <w:rPr>
          <w:rStyle w:val="FootnoteReference"/>
        </w:rPr>
        <w:footnoteRef/>
      </w:r>
      <w:r>
        <w:t xml:space="preserve"> Cross-references for "I delivered": Ezek 3:17; Matt 20:18-19.</w:t>
      </w:r>
    </w:p>
  </w:footnote>
  <w:footnote w:id="17836">
    <w:p>
      <w:pPr>
        <w:pStyle w:val="FootnoteText"/>
      </w:pPr>
      <w:r>
        <w:rPr>
          <w:rStyle w:val="FootnoteReference"/>
        </w:rPr>
        <w:footnoteRef/>
      </w:r>
      <w:r>
        <w:t xml:space="preserve"> Cross-references for "Cephas": John 1:42; 1Cor 1:12.</w:t>
      </w:r>
    </w:p>
  </w:footnote>
  <w:footnote w:id="17837">
    <w:p>
      <w:pPr>
        <w:pStyle w:val="FootnoteText"/>
      </w:pPr>
      <w:r>
        <w:rPr>
          <w:rStyle w:val="FootnoteReference"/>
        </w:rPr>
        <w:footnoteRef/>
      </w:r>
      <w:r>
        <w:t xml:space="preserve"> Cross-references for "the least": 2Cor 11:5; 2Cor 12:11.</w:t>
      </w:r>
    </w:p>
  </w:footnote>
  <w:footnote w:id="17838">
    <w:p>
      <w:pPr>
        <w:pStyle w:val="FootnoteText"/>
      </w:pPr>
      <w:r>
        <w:rPr>
          <w:rStyle w:val="FootnoteReference"/>
        </w:rPr>
        <w:footnoteRef/>
      </w:r>
      <w:r>
        <w:t xml:space="preserve"> Cross-references for "his grace": 1Cor 15:2; 2Cor 6:1.</w:t>
      </w:r>
    </w:p>
  </w:footnote>
  <w:footnote w:id="17839">
    <w:p>
      <w:pPr>
        <w:pStyle w:val="FootnoteText"/>
      </w:pPr>
      <w:r>
        <w:rPr>
          <w:rStyle w:val="FootnoteReference"/>
        </w:rPr>
        <w:footnoteRef/>
      </w:r>
      <w:r>
        <w:t xml:space="preserve"> Cross-references for "fallen": 1Cor 15:6; 1Thess 4:13-14.</w:t>
      </w:r>
    </w:p>
  </w:footnote>
  <w:footnote w:id="17840">
    <w:p>
      <w:pPr>
        <w:pStyle w:val="FootnoteText"/>
      </w:pPr>
      <w:r>
        <w:rPr>
          <w:rStyle w:val="FootnoteReference"/>
        </w:rPr>
        <w:footnoteRef/>
      </w:r>
      <w:r>
        <w:t xml:space="preserve"> Cross-references for "in Adam": Gen 2:17; Gen 3:6.</w:t>
      </w:r>
    </w:p>
  </w:footnote>
  <w:footnote w:id="17841">
    <w:p>
      <w:pPr>
        <w:pStyle w:val="FootnoteText"/>
      </w:pPr>
      <w:r>
        <w:rPr>
          <w:rStyle w:val="FootnoteReference"/>
        </w:rPr>
        <w:footnoteRef/>
      </w:r>
      <w:r>
        <w:t xml:space="preserve"> Cross-references for "the kingdom": Isa 9:7; Dan 7:14.</w:t>
      </w:r>
    </w:p>
  </w:footnote>
  <w:footnote w:id="17842">
    <w:p>
      <w:pPr>
        <w:pStyle w:val="FootnoteText"/>
      </w:pPr>
      <w:r>
        <w:rPr>
          <w:rStyle w:val="FootnoteReference"/>
        </w:rPr>
        <w:footnoteRef/>
      </w:r>
      <w:r>
        <w:t xml:space="preserve"> Cross-references for "all things": Ps 2:8-9; Ps 18:39.</w:t>
      </w:r>
    </w:p>
  </w:footnote>
  <w:footnote w:id="17843">
    <w:p>
      <w:pPr>
        <w:pStyle w:val="FootnoteText"/>
      </w:pPr>
      <w:r>
        <w:rPr>
          <w:rStyle w:val="FootnoteReference"/>
        </w:rPr>
        <w:footnoteRef/>
      </w:r>
      <w:r>
        <w:t xml:space="preserve"> Cross-references for "beasts": 2Pet 2:12; Jude 1:10.</w:t>
      </w:r>
    </w:p>
  </w:footnote>
  <w:footnote w:id="17844">
    <w:p>
      <w:pPr>
        <w:pStyle w:val="FootnoteText"/>
      </w:pPr>
      <w:r>
        <w:rPr>
          <w:rStyle w:val="FootnoteReference"/>
        </w:rPr>
        <w:footnoteRef/>
      </w:r>
      <w:r>
        <w:t xml:space="preserve"> Cross-references for "evil": Prov 9:6; Prov 13:20.</w:t>
      </w:r>
    </w:p>
  </w:footnote>
  <w:footnote w:id="17845">
    <w:p>
      <w:pPr>
        <w:pStyle w:val="FootnoteText"/>
      </w:pPr>
      <w:r>
        <w:rPr>
          <w:rStyle w:val="FootnoteReference"/>
        </w:rPr>
        <w:footnoteRef/>
      </w:r>
      <w:r>
        <w:t xml:space="preserve"> Cross-references for "I speak": 1Cor 6:5; Heb 5:11-12.</w:t>
      </w:r>
    </w:p>
  </w:footnote>
  <w:footnote w:id="17846">
    <w:p>
      <w:pPr>
        <w:pStyle w:val="FootnoteText"/>
      </w:pPr>
      <w:r>
        <w:rPr>
          <w:rStyle w:val="FootnoteReference"/>
        </w:rPr>
        <w:footnoteRef/>
      </w:r>
      <w:r>
        <w:t xml:space="preserve"> Cross-references for "fool": Luke 12:20; Luke 24:25.</w:t>
      </w:r>
    </w:p>
  </w:footnote>
  <w:footnote w:id="17847">
    <w:p>
      <w:pPr>
        <w:pStyle w:val="FootnoteText"/>
      </w:pPr>
      <w:r>
        <w:rPr>
          <w:rStyle w:val="FootnoteReference"/>
        </w:rPr>
        <w:footnoteRef/>
      </w:r>
      <w:r>
        <w:t xml:space="preserve"> Cross-references for "in corruption": Gen 3:19; Job 17:14.</w:t>
      </w:r>
    </w:p>
  </w:footnote>
  <w:footnote w:id="17848">
    <w:p>
      <w:pPr>
        <w:pStyle w:val="FootnoteText"/>
      </w:pPr>
      <w:r>
        <w:rPr>
          <w:rStyle w:val="FootnoteReference"/>
        </w:rPr>
        <w:footnoteRef/>
      </w:r>
      <w:r>
        <w:t xml:space="preserve"> Cross-references for "weakness": Job 14:10; Ps 102:23.</w:t>
      </w:r>
    </w:p>
  </w:footnote>
  <w:footnote w:id="17849">
    <w:p>
      <w:pPr>
        <w:pStyle w:val="FootnoteText"/>
      </w:pPr>
      <w:r>
        <w:rPr>
          <w:rStyle w:val="FootnoteReference"/>
        </w:rPr>
        <w:footnoteRef/>
      </w:r>
      <w:r>
        <w:t xml:space="preserve"> Cross-references for "there is a spiritual": Luke 24:31; John 20:19.</w:t>
      </w:r>
    </w:p>
  </w:footnote>
  <w:footnote w:id="17850">
    <w:p>
      <w:pPr>
        <w:pStyle w:val="FootnoteText"/>
      </w:pPr>
      <w:r>
        <w:rPr>
          <w:rStyle w:val="FootnoteReference"/>
        </w:rPr>
        <w:footnoteRef/>
      </w:r>
      <w:r>
        <w:t xml:space="preserve"> Cross-references for "The first": Gen 2:7; Rom 5:12-14.</w:t>
      </w:r>
    </w:p>
  </w:footnote>
  <w:footnote w:id="17851">
    <w:p>
      <w:pPr>
        <w:pStyle w:val="FootnoteText"/>
      </w:pPr>
      <w:r>
        <w:rPr>
          <w:rStyle w:val="FootnoteReference"/>
        </w:rPr>
        <w:footnoteRef/>
      </w:r>
      <w:r>
        <w:t xml:space="preserve"> Cross-references for "first": Gen 2:7; Gen 3:19.</w:t>
      </w:r>
    </w:p>
  </w:footnote>
  <w:footnote w:id="17852">
    <w:p>
      <w:pPr>
        <w:pStyle w:val="FootnoteText"/>
      </w:pPr>
      <w:r>
        <w:rPr>
          <w:rStyle w:val="FootnoteReference"/>
        </w:rPr>
        <w:footnoteRef/>
      </w:r>
      <w:r>
        <w:t xml:space="preserve"> Cross-references for "and as": Phil 3:20-21.</w:t>
      </w:r>
    </w:p>
  </w:footnote>
  <w:footnote w:id="17853">
    <w:p>
      <w:pPr>
        <w:pStyle w:val="FootnoteText"/>
      </w:pPr>
      <w:r>
        <w:rPr>
          <w:rStyle w:val="FootnoteReference"/>
        </w:rPr>
        <w:footnoteRef/>
      </w:r>
      <w:r>
        <w:t xml:space="preserve"> Cross-references for "we shall": Matt 13:43; Rom 8:29.</w:t>
      </w:r>
    </w:p>
  </w:footnote>
  <w:footnote w:id="17854">
    <w:p>
      <w:pPr>
        <w:pStyle w:val="FootnoteText"/>
      </w:pPr>
      <w:r>
        <w:rPr>
          <w:rStyle w:val="FootnoteReference"/>
        </w:rPr>
        <w:footnoteRef/>
      </w:r>
      <w:r>
        <w:t xml:space="preserve"> Cross-references for "we shall not": 1Cor 15:6; 1Cor 15:18.</w:t>
      </w:r>
    </w:p>
  </w:footnote>
  <w:footnote w:id="17855">
    <w:p>
      <w:pPr>
        <w:pStyle w:val="FootnoteText"/>
      </w:pPr>
      <w:r>
        <w:rPr>
          <w:rStyle w:val="FootnoteReference"/>
        </w:rPr>
        <w:footnoteRef/>
      </w:r>
      <w:r>
        <w:t xml:space="preserve"> Cross-references for "last": Exod 19:16; Exod 20:18.</w:t>
      </w:r>
    </w:p>
  </w:footnote>
  <w:footnote w:id="17856">
    <w:p>
      <w:pPr>
        <w:pStyle w:val="FootnoteText"/>
      </w:pPr>
      <w:r>
        <w:rPr>
          <w:rStyle w:val="FootnoteReference"/>
        </w:rPr>
        <w:footnoteRef/>
      </w:r>
      <w:r>
        <w:t xml:space="preserve"> Cross-references for "this mortal": Rom 2:7; Rom 6:12.</w:t>
      </w:r>
    </w:p>
  </w:footnote>
  <w:footnote w:id="17857">
    <w:p>
      <w:pPr>
        <w:pStyle w:val="FootnoteText"/>
      </w:pPr>
      <w:r>
        <w:rPr>
          <w:rStyle w:val="FootnoteReference"/>
        </w:rPr>
        <w:footnoteRef/>
      </w:r>
      <w:r>
        <w:t xml:space="preserve"> Cross-references for "O death": Hos 13:14.</w:t>
      </w:r>
    </w:p>
  </w:footnote>
  <w:footnote w:id="17858">
    <w:p>
      <w:pPr>
        <w:pStyle w:val="FootnoteText"/>
      </w:pPr>
      <w:r>
        <w:rPr>
          <w:rStyle w:val="FootnoteReference"/>
        </w:rPr>
        <w:footnoteRef/>
      </w:r>
      <w:r>
        <w:t xml:space="preserve"> Cross-references for "sting": Gen 3:17-19; Ps 90:3-11.</w:t>
      </w:r>
    </w:p>
  </w:footnote>
  <w:footnote w:id="17859">
    <w:p>
      <w:pPr>
        <w:pStyle w:val="FootnoteText"/>
      </w:pPr>
      <w:r>
        <w:rPr>
          <w:rStyle w:val="FootnoteReference"/>
        </w:rPr>
        <w:footnoteRef/>
      </w:r>
      <w:r>
        <w:t xml:space="preserve"> Cross-references for "thanks": Acts 27:35; Rom 7:25.</w:t>
      </w:r>
    </w:p>
  </w:footnote>
  <w:footnote w:id="17860">
    <w:p>
      <w:pPr>
        <w:pStyle w:val="FootnoteText"/>
      </w:pPr>
      <w:r>
        <w:rPr>
          <w:rStyle w:val="FootnoteReference"/>
        </w:rPr>
        <w:footnoteRef/>
      </w:r>
      <w:r>
        <w:t xml:space="preserve"> Cross-references for "Therefore": 2Cor 7:1; 2Pet 1:4-9.</w:t>
      </w:r>
    </w:p>
  </w:footnote>
  <w:footnote w:id="17861">
    <w:p>
      <w:pPr>
        <w:pStyle w:val="FootnoteText"/>
      </w:pPr>
      <w:r>
        <w:rPr>
          <w:rStyle w:val="FootnoteReference"/>
        </w:rPr>
        <w:footnoteRef/>
      </w:r>
      <w:r>
        <w:t xml:space="preserve"> Cross-references for "concerning": Acts 11:28; Acts 11:30.</w:t>
      </w:r>
    </w:p>
  </w:footnote>
  <w:footnote w:id="17862">
    <w:p>
      <w:pPr>
        <w:pStyle w:val="FootnoteText"/>
      </w:pPr>
      <w:r>
        <w:rPr>
          <w:rStyle w:val="FootnoteReference"/>
        </w:rPr>
        <w:footnoteRef/>
      </w:r>
      <w:r>
        <w:t xml:space="preserve"> Place name: Galatia. Place-name meaning: Galatia — white; the color of milk. Source form: Galatia. Greek form: γαλατιας.</w:t>
      </w:r>
    </w:p>
  </w:footnote>
  <w:footnote w:id="17863">
    <w:p>
      <w:pPr>
        <w:pStyle w:val="FootnoteText"/>
      </w:pPr>
      <w:r>
        <w:rPr>
          <w:rStyle w:val="FootnoteReference"/>
        </w:rPr>
        <w:footnoteRef/>
      </w:r>
      <w:r>
        <w:t xml:space="preserve"> Cross-references for "the first": Luke 24:1; John 20:19.</w:t>
      </w:r>
    </w:p>
  </w:footnote>
  <w:footnote w:id="17864">
    <w:p>
      <w:pPr>
        <w:pStyle w:val="FootnoteText"/>
      </w:pPr>
      <w:r>
        <w:rPr>
          <w:rStyle w:val="FootnoteReference"/>
        </w:rPr>
        <w:footnoteRef/>
      </w:r>
      <w:r>
        <w:t xml:space="preserve"> Cross-references for "winter": Acts 27:12; Acts 28:11.</w:t>
      </w:r>
    </w:p>
  </w:footnote>
  <w:footnote w:id="17865">
    <w:p>
      <w:pPr>
        <w:pStyle w:val="FootnoteText"/>
      </w:pPr>
      <w:r>
        <w:rPr>
          <w:rStyle w:val="FootnoteReference"/>
        </w:rPr>
        <w:footnoteRef/>
      </w:r>
      <w:r>
        <w:t xml:space="preserve"> Cross-references for "Pentecost": Exod 23:16; Lev 23:15-21.</w:t>
      </w:r>
    </w:p>
  </w:footnote>
  <w:footnote w:id="17866">
    <w:p>
      <w:pPr>
        <w:pStyle w:val="FootnoteText"/>
      </w:pPr>
      <w:r>
        <w:rPr>
          <w:rStyle w:val="FootnoteReference"/>
        </w:rPr>
        <w:footnoteRef/>
      </w:r>
      <w:r>
        <w:t xml:space="preserve"> Cross-references for "a great": Acts 19:8-10.</w:t>
      </w:r>
    </w:p>
  </w:footnote>
  <w:footnote w:id="17867">
    <w:p>
      <w:pPr>
        <w:pStyle w:val="FootnoteText"/>
      </w:pPr>
      <w:r>
        <w:rPr>
          <w:rStyle w:val="FootnoteReference"/>
        </w:rPr>
        <w:footnoteRef/>
      </w:r>
      <w:r>
        <w:t xml:space="preserve"> Cross-references for "Watch": Matt 24:42-44; Matt 25:13.</w:t>
      </w:r>
    </w:p>
  </w:footnote>
  <w:footnote w:id="17868">
    <w:p>
      <w:pPr>
        <w:pStyle w:val="FootnoteText"/>
      </w:pPr>
      <w:r>
        <w:rPr>
          <w:rStyle w:val="FootnoteReference"/>
        </w:rPr>
        <w:footnoteRef/>
      </w:r>
      <w:r>
        <w:t xml:space="preserve"> Cross-references for "the house": 1Cor 1:16; 1Cor 16:17.</w:t>
      </w:r>
    </w:p>
  </w:footnote>
  <w:footnote w:id="17869">
    <w:p>
      <w:pPr>
        <w:pStyle w:val="FootnoteText"/>
      </w:pPr>
      <w:r>
        <w:rPr>
          <w:rStyle w:val="FootnoteReference"/>
        </w:rPr>
        <w:footnoteRef/>
      </w:r>
      <w:r>
        <w:t xml:space="preserve"> Cross-references for "Stephanas": 1Cor 16:15.</w:t>
      </w:r>
    </w:p>
  </w:footnote>
  <w:footnote w:id="17870">
    <w:p>
      <w:pPr>
        <w:pStyle w:val="FootnoteText"/>
      </w:pPr>
      <w:r>
        <w:rPr>
          <w:rStyle w:val="FootnoteReference"/>
        </w:rPr>
        <w:footnoteRef/>
      </w:r>
      <w:r>
        <w:t xml:space="preserve"> Name meaning: Fortunatus (Fortunatus) — Fortunate. Corinthian who refreshed Paul.</w:t>
      </w:r>
    </w:p>
  </w:footnote>
  <w:footnote w:id="17871">
    <w:p>
      <w:pPr>
        <w:pStyle w:val="FootnoteText"/>
      </w:pPr>
      <w:r>
        <w:rPr>
          <w:rStyle w:val="FootnoteReference"/>
        </w:rPr>
        <w:footnoteRef/>
      </w:r>
      <w:r>
        <w:t xml:space="preserve"> Name meaning: Achaicus (Achaicus) — From Achaia. Helped Paul.</w:t>
      </w:r>
    </w:p>
  </w:footnote>
  <w:footnote w:id="17872">
    <w:p>
      <w:pPr>
        <w:pStyle w:val="FootnoteText"/>
      </w:pPr>
      <w:r>
        <w:rPr>
          <w:rStyle w:val="FootnoteReference"/>
        </w:rPr>
        <w:footnoteRef/>
      </w:r>
      <w:r>
        <w:t xml:space="preserve"> Cross-references for "therefore": Phil 2:29; 1Thess 5:12.</w:t>
      </w:r>
    </w:p>
  </w:footnote>
  <w:footnote w:id="17873">
    <w:p>
      <w:pPr>
        <w:pStyle w:val="FootnoteText"/>
      </w:pPr>
      <w:r>
        <w:rPr>
          <w:rStyle w:val="FootnoteReference"/>
        </w:rPr>
        <w:footnoteRef/>
      </w:r>
      <w:r>
        <w:t xml:space="preserve"> Cross-references for "Aquila": Acts 18:2; Acts 18:18.</w:t>
      </w:r>
    </w:p>
  </w:footnote>
  <w:footnote w:id="17874">
    <w:p>
      <w:pPr>
        <w:pStyle w:val="FootnoteText"/>
      </w:pPr>
      <w:r>
        <w:rPr>
          <w:rStyle w:val="FootnoteReference"/>
        </w:rPr>
        <w:footnoteRef/>
      </w:r>
      <w:r>
        <w:t xml:space="preserve"> Cross-references for "greet": 2Cor 13:12; 1Thess 5:26.</w:t>
      </w:r>
    </w:p>
  </w:footnote>
  <w:footnote w:id="17875">
    <w:p>
      <w:pPr>
        <w:pStyle w:val="FootnoteText"/>
      </w:pPr>
      <w:r>
        <w:rPr>
          <w:rStyle w:val="FootnoteReference"/>
        </w:rPr>
        <w:footnoteRef/>
      </w:r>
      <w:r>
        <w:t xml:space="preserve"> Cross-references for "love": Song 1:3-4; Song 1:7.</w:t>
      </w:r>
    </w:p>
  </w:footnote>
  <w:footnote w:id="17876">
    <w:p>
      <w:pPr>
        <w:pStyle w:val="FootnoteText"/>
      </w:pPr>
      <w:r>
        <w:rPr>
          <w:rStyle w:val="FootnoteReference"/>
        </w:rPr>
        <w:footnoteRef/>
      </w:r>
      <w:r>
        <w:t xml:space="preserve"> Transliterated proper noun: Anathema. Standard English equivalent: Anathema. Source form: Anathema. Greek form: αναθεμα. Name meaning: separated; set apart.</w:t>
      </w:r>
    </w:p>
  </w:footnote>
  <w:footnote w:id="17877">
    <w:p>
      <w:pPr>
        <w:pStyle w:val="FootnoteText"/>
      </w:pPr>
      <w:r>
        <w:rPr>
          <w:rStyle w:val="FootnoteReference"/>
        </w:rPr>
        <w:footnoteRef/>
      </w:r>
      <w:r>
        <w:t xml:space="preserve"> Transliterated proper noun: Maranatha. Standard English equivalent: Maranatha. Source form: Maranatha. Greek form: μαραν. Name meaning: the Lord is coming.</w:t>
      </w:r>
    </w:p>
  </w:footnote>
  <w:footnote w:id="17878">
    <w:p>
      <w:pPr>
        <w:pStyle w:val="FootnoteText"/>
      </w:pPr>
      <w:r>
        <w:rPr>
          <w:rStyle w:val="FootnoteReference"/>
        </w:rPr>
        <w:footnoteRef/>
      </w:r>
      <w:r>
        <w:t xml:space="preserve"> Cross-references for "love": 1Cor 4:14-15; 1Cor 16:14.</w:t>
      </w:r>
    </w:p>
  </w:footnote>
  <w:footnote w:id="17879">
    <w:p>
      <w:pPr>
        <w:pStyle w:val="FootnoteText"/>
      </w:pPr>
      <w:r>
        <w:rPr>
          <w:rStyle w:val="FootnoteReference"/>
        </w:rPr>
        <w:footnoteRef/>
      </w:r>
      <w:r>
        <w:t xml:space="preserve"> Cross-references for "Paul": Rom 1:1-5; 1Cor 1:1.</w:t>
      </w:r>
    </w:p>
  </w:footnote>
  <w:footnote w:id="17880">
    <w:p>
      <w:pPr>
        <w:pStyle w:val="FootnoteText"/>
      </w:pPr>
      <w:r>
        <w:rPr>
          <w:rStyle w:val="FootnoteReference"/>
        </w:rPr>
        <w:footnoteRef/>
      </w:r>
      <w:r>
        <w:t xml:space="preserve"> Cross-references for "Blessed": Gen 14:20; 1Chr 29:10.</w:t>
      </w:r>
    </w:p>
  </w:footnote>
  <w:footnote w:id="17881">
    <w:p>
      <w:pPr>
        <w:pStyle w:val="FootnoteText"/>
      </w:pPr>
      <w:r>
        <w:rPr>
          <w:rStyle w:val="FootnoteReference"/>
        </w:rPr>
        <w:footnoteRef/>
      </w:r>
      <w:r>
        <w:t xml:space="preserve"> Cross-references for "whether": 1Cor 3:21-23; 2Cor 1:4.</w:t>
      </w:r>
    </w:p>
  </w:footnote>
  <w:footnote w:id="17882">
    <w:p>
      <w:pPr>
        <w:pStyle w:val="FootnoteText"/>
      </w:pPr>
      <w:r>
        <w:rPr>
          <w:rStyle w:val="FootnoteReference"/>
        </w:rPr>
        <w:footnoteRef/>
      </w:r>
      <w:r>
        <w:t xml:space="preserve"> Cross-references for "of our": Acts 19:23-35; 1Cor 15:32.</w:t>
      </w:r>
    </w:p>
  </w:footnote>
  <w:footnote w:id="17883">
    <w:p>
      <w:pPr>
        <w:pStyle w:val="FootnoteText"/>
      </w:pPr>
      <w:r>
        <w:rPr>
          <w:rStyle w:val="FootnoteReference"/>
        </w:rPr>
        <w:footnoteRef/>
      </w:r>
      <w:r>
        <w:t xml:space="preserve"> Cross-references for "in God": Ezek 37:1-14; Rom 4:17-25.</w:t>
      </w:r>
    </w:p>
  </w:footnote>
  <w:footnote w:id="17884">
    <w:p>
      <w:pPr>
        <w:pStyle w:val="FootnoteText"/>
      </w:pPr>
      <w:r>
        <w:rPr>
          <w:rStyle w:val="FootnoteReference"/>
        </w:rPr>
        <w:footnoteRef/>
      </w:r>
      <w:r>
        <w:t xml:space="preserve"> Cross-references for "simplicity": Rom 16:18-19; 2Cor 11:3.</w:t>
      </w:r>
    </w:p>
  </w:footnote>
  <w:footnote w:id="17885">
    <w:p>
      <w:pPr>
        <w:pStyle w:val="FootnoteText"/>
      </w:pPr>
      <w:r>
        <w:rPr>
          <w:rStyle w:val="FootnoteReference"/>
        </w:rPr>
        <w:footnoteRef/>
      </w:r>
      <w:r>
        <w:t xml:space="preserve"> Cross-references for "than": 2Cor 4:2; 2Cor 5:11.</w:t>
      </w:r>
    </w:p>
  </w:footnote>
  <w:footnote w:id="17886">
    <w:p>
      <w:pPr>
        <w:pStyle w:val="FootnoteText"/>
      </w:pPr>
      <w:r>
        <w:rPr>
          <w:rStyle w:val="FootnoteReference"/>
        </w:rPr>
        <w:footnoteRef/>
      </w:r>
      <w:r>
        <w:t xml:space="preserve"> Cross-references for "in part": Rom 11:25; 1Cor 11:18.</w:t>
      </w:r>
    </w:p>
  </w:footnote>
  <w:footnote w:id="17887">
    <w:p>
      <w:pPr>
        <w:pStyle w:val="FootnoteText"/>
      </w:pPr>
      <w:r>
        <w:rPr>
          <w:rStyle w:val="FootnoteReference"/>
        </w:rPr>
        <w:footnoteRef/>
      </w:r>
      <w:r>
        <w:t xml:space="preserve"> Cross-references for "benefit": 2Cor 6:1.</w:t>
      </w:r>
    </w:p>
  </w:footnote>
  <w:footnote w:id="17888">
    <w:p>
      <w:pPr>
        <w:pStyle w:val="FootnoteText"/>
      </w:pPr>
      <w:r>
        <w:rPr>
          <w:rStyle w:val="FootnoteReference"/>
        </w:rPr>
        <w:footnoteRef/>
      </w:r>
      <w:r>
        <w:t xml:space="preserve"> Cross-references for "lightness": Judg 9:4; Jer 23:32.</w:t>
      </w:r>
    </w:p>
  </w:footnote>
  <w:footnote w:id="17889">
    <w:p>
      <w:pPr>
        <w:pStyle w:val="FootnoteText"/>
      </w:pPr>
      <w:r>
        <w:rPr>
          <w:rStyle w:val="FootnoteReference"/>
        </w:rPr>
        <w:footnoteRef/>
      </w:r>
      <w:r>
        <w:t xml:space="preserve"> Cross-references for "the Son": Ps 2:7; Matt 3:17.</w:t>
      </w:r>
    </w:p>
  </w:footnote>
  <w:footnote w:id="17890">
    <w:p>
      <w:pPr>
        <w:pStyle w:val="FootnoteText"/>
      </w:pPr>
      <w:r>
        <w:rPr>
          <w:rStyle w:val="FootnoteReference"/>
        </w:rPr>
        <w:footnoteRef/>
      </w:r>
      <w:r>
        <w:t xml:space="preserve"> Personal name: Silvanus. Personal-name meaning: Silvanus — who loves the forest. Source form: Silvanus.</w:t>
      </w:r>
    </w:p>
  </w:footnote>
  <w:footnote w:id="17891">
    <w:p>
      <w:pPr>
        <w:pStyle w:val="FootnoteText"/>
      </w:pPr>
      <w:r>
        <w:rPr>
          <w:rStyle w:val="FootnoteReference"/>
        </w:rPr>
        <w:footnoteRef/>
      </w:r>
      <w:r>
        <w:t xml:space="preserve"> Cross-references for "Amen": Isa 65:16; John 3:5.</w:t>
      </w:r>
    </w:p>
  </w:footnote>
  <w:footnote w:id="17892">
    <w:p>
      <w:pPr>
        <w:pStyle w:val="FootnoteText"/>
      </w:pPr>
      <w:r>
        <w:rPr>
          <w:rStyle w:val="FootnoteReference"/>
        </w:rPr>
        <w:footnoteRef/>
      </w:r>
      <w:r>
        <w:t xml:space="preserve"> Cross-references for "anointed": Ps 45:7; Isa 59:21.</w:t>
      </w:r>
    </w:p>
  </w:footnote>
  <w:footnote w:id="17893">
    <w:p>
      <w:pPr>
        <w:pStyle w:val="FootnoteText"/>
      </w:pPr>
      <w:r>
        <w:rPr>
          <w:rStyle w:val="FootnoteReference"/>
        </w:rPr>
        <w:footnoteRef/>
      </w:r>
      <w:r>
        <w:t xml:space="preserve"> Cross-references for "sealed": John 6:27; Rom 4:11.</w:t>
      </w:r>
    </w:p>
  </w:footnote>
  <w:footnote w:id="17894">
    <w:p>
      <w:pPr>
        <w:pStyle w:val="FootnoteText"/>
      </w:pPr>
      <w:r>
        <w:rPr>
          <w:rStyle w:val="FootnoteReference"/>
        </w:rPr>
        <w:footnoteRef/>
      </w:r>
      <w:r>
        <w:t xml:space="preserve"> Cross-references for "I determined": Acts 11:29; Acts 15:2.</w:t>
      </w:r>
    </w:p>
  </w:footnote>
  <w:footnote w:id="17895">
    <w:p>
      <w:pPr>
        <w:pStyle w:val="FootnoteText"/>
      </w:pPr>
      <w:r>
        <w:rPr>
          <w:rStyle w:val="FootnoteReference"/>
        </w:rPr>
        <w:footnoteRef/>
      </w:r>
      <w:r>
        <w:t xml:space="preserve"> Cross-references for "I wrote": 1Cor 4:21; 1Cor 5:1-13.</w:t>
      </w:r>
    </w:p>
  </w:footnote>
  <w:footnote w:id="17896">
    <w:p>
      <w:pPr>
        <w:pStyle w:val="FootnoteText"/>
      </w:pPr>
      <w:r>
        <w:rPr>
          <w:rStyle w:val="FootnoteReference"/>
        </w:rPr>
        <w:footnoteRef/>
      </w:r>
      <w:r>
        <w:t xml:space="preserve"> Cross-references for "grieved": Gal 4:12.</w:t>
      </w:r>
    </w:p>
  </w:footnote>
  <w:footnote w:id="17897">
    <w:p>
      <w:pPr>
        <w:pStyle w:val="FootnoteText"/>
      </w:pPr>
      <w:r>
        <w:rPr>
          <w:rStyle w:val="FootnoteReference"/>
        </w:rPr>
        <w:footnoteRef/>
      </w:r>
      <w:r>
        <w:t xml:space="preserve"> Cross-references for "swallowed": 2Sam 20:19-20; Ps 21:9.</w:t>
      </w:r>
    </w:p>
  </w:footnote>
  <w:footnote w:id="17898">
    <w:p>
      <w:pPr>
        <w:pStyle w:val="FootnoteText"/>
      </w:pPr>
      <w:r>
        <w:rPr>
          <w:rStyle w:val="FootnoteReference"/>
        </w:rPr>
        <w:footnoteRef/>
      </w:r>
      <w:r>
        <w:t xml:space="preserve"> Cross-references for "whether": 2Cor 7:15; 2Cor 10:6.</w:t>
      </w:r>
    </w:p>
  </w:footnote>
  <w:footnote w:id="17899">
    <w:p>
      <w:pPr>
        <w:pStyle w:val="FootnoteText"/>
      </w:pPr>
      <w:r>
        <w:rPr>
          <w:rStyle w:val="FootnoteReference"/>
        </w:rPr>
        <w:footnoteRef/>
      </w:r>
      <w:r>
        <w:t xml:space="preserve"> Cross-references for "and a": Acts 14:27; 1Cor 16:9.</w:t>
      </w:r>
    </w:p>
  </w:footnote>
  <w:footnote w:id="17900">
    <w:p>
      <w:pPr>
        <w:pStyle w:val="FootnoteText"/>
      </w:pPr>
      <w:r>
        <w:rPr>
          <w:rStyle w:val="FootnoteReference"/>
        </w:rPr>
        <w:footnoteRef/>
      </w:r>
      <w:r>
        <w:t xml:space="preserve"> Cross-references for "no rest": 2Cor 7:5-6.</w:t>
      </w:r>
    </w:p>
  </w:footnote>
  <w:footnote w:id="17901">
    <w:p>
      <w:pPr>
        <w:pStyle w:val="FootnoteText"/>
      </w:pPr>
      <w:r>
        <w:rPr>
          <w:rStyle w:val="FootnoteReference"/>
        </w:rPr>
        <w:footnoteRef/>
      </w:r>
      <w:r>
        <w:t xml:space="preserve"> Name meaning: Titus (Titus) — Honorable; defender. Defended the faith and organized churches.</w:t>
      </w:r>
    </w:p>
  </w:footnote>
  <w:footnote w:id="17902">
    <w:p>
      <w:pPr>
        <w:pStyle w:val="FootnoteText"/>
      </w:pPr>
      <w:r>
        <w:rPr>
          <w:rStyle w:val="FootnoteReference"/>
        </w:rPr>
        <w:footnoteRef/>
      </w:r>
      <w:r>
        <w:t xml:space="preserve"> Cross-references for "thanks": 2Cor 1:11; 2Cor 8:16.</w:t>
      </w:r>
    </w:p>
  </w:footnote>
  <w:footnote w:id="17903">
    <w:p>
      <w:pPr>
        <w:pStyle w:val="FootnoteText"/>
      </w:pPr>
      <w:r>
        <w:rPr>
          <w:rStyle w:val="FootnoteReference"/>
        </w:rPr>
        <w:footnoteRef/>
      </w:r>
      <w:r>
        <w:t xml:space="preserve"> Cross-references for "a sweet": Gen 8:21; Exod 29:18.</w:t>
      </w:r>
    </w:p>
  </w:footnote>
  <w:footnote w:id="17904">
    <w:p>
      <w:pPr>
        <w:pStyle w:val="FootnoteText"/>
      </w:pPr>
      <w:r>
        <w:rPr>
          <w:rStyle w:val="FootnoteReference"/>
        </w:rPr>
        <w:footnoteRef/>
      </w:r>
      <w:r>
        <w:t xml:space="preserve"> Cross-references for "begin": 1Cor 3:10; 1Cor 4:15.</w:t>
      </w:r>
    </w:p>
  </w:footnote>
  <w:footnote w:id="17905">
    <w:p>
      <w:pPr>
        <w:pStyle w:val="FootnoteText"/>
      </w:pPr>
      <w:r>
        <w:rPr>
          <w:rStyle w:val="FootnoteReference"/>
        </w:rPr>
        <w:footnoteRef/>
      </w:r>
      <w:r>
        <w:t xml:space="preserve"> Cross-references for "known": Rom 1:8; 1Cor 9:2.</w:t>
      </w:r>
    </w:p>
  </w:footnote>
  <w:footnote w:id="17906">
    <w:p>
      <w:pPr>
        <w:pStyle w:val="FootnoteText"/>
      </w:pPr>
      <w:r>
        <w:rPr>
          <w:rStyle w:val="FootnoteReference"/>
        </w:rPr>
        <w:footnoteRef/>
      </w:r>
      <w:r>
        <w:t xml:space="preserve"> Cross-references for "ministered": 1Cor 8:5-10.</w:t>
      </w:r>
    </w:p>
  </w:footnote>
  <w:footnote w:id="17907">
    <w:p>
      <w:pPr>
        <w:pStyle w:val="FootnoteText"/>
      </w:pPr>
      <w:r>
        <w:rPr>
          <w:rStyle w:val="FootnoteReference"/>
        </w:rPr>
        <w:footnoteRef/>
      </w:r>
      <w:r>
        <w:t xml:space="preserve"> Cross-references for "such": 2Cor 2:14; Phil 1:6.</w:t>
      </w:r>
    </w:p>
  </w:footnote>
  <w:footnote w:id="17908">
    <w:p>
      <w:pPr>
        <w:pStyle w:val="FootnoteText"/>
      </w:pPr>
      <w:r>
        <w:rPr>
          <w:rStyle w:val="FootnoteReference"/>
        </w:rPr>
        <w:footnoteRef/>
      </w:r>
      <w:r>
        <w:t xml:space="preserve"> Cross-references for "the new": Jer 31:31; Matt 26:28.</w:t>
      </w:r>
    </w:p>
  </w:footnote>
  <w:footnote w:id="17909">
    <w:p>
      <w:pPr>
        <w:pStyle w:val="FootnoteText"/>
      </w:pPr>
      <w:r>
        <w:rPr>
          <w:rStyle w:val="FootnoteReference"/>
        </w:rPr>
        <w:footnoteRef/>
      </w:r>
      <w:r>
        <w:t xml:space="preserve"> Cross-references for "much": 2Cor 3:6; 2Cor 4:1.</w:t>
      </w:r>
    </w:p>
  </w:footnote>
  <w:footnote w:id="17910">
    <w:p>
      <w:pPr>
        <w:pStyle w:val="FootnoteText"/>
      </w:pPr>
      <w:r>
        <w:rPr>
          <w:rStyle w:val="FootnoteReference"/>
        </w:rPr>
        <w:footnoteRef/>
      </w:r>
      <w:r>
        <w:t xml:space="preserve"> Cross-references for "we use": John 10:24; John 16:25.</w:t>
      </w:r>
    </w:p>
  </w:footnote>
  <w:footnote w:id="17911">
    <w:p>
      <w:pPr>
        <w:pStyle w:val="FootnoteText"/>
      </w:pPr>
      <w:r>
        <w:rPr>
          <w:rStyle w:val="FootnoteReference"/>
        </w:rPr>
        <w:footnoteRef/>
      </w:r>
      <w:r>
        <w:t xml:space="preserve"> Cross-references for "their": Ps 69:23; Isa 6:10.</w:t>
      </w:r>
    </w:p>
  </w:footnote>
  <w:footnote w:id="17912">
    <w:p>
      <w:pPr>
        <w:pStyle w:val="FootnoteText"/>
      </w:pPr>
      <w:r>
        <w:rPr>
          <w:rStyle w:val="FootnoteReference"/>
        </w:rPr>
        <w:footnoteRef/>
      </w:r>
      <w:r>
        <w:t xml:space="preserve"> Cross-references for "the veil": Isa 25:7; Isa 29:18.</w:t>
      </w:r>
    </w:p>
  </w:footnote>
  <w:footnote w:id="17913">
    <w:p>
      <w:pPr>
        <w:pStyle w:val="FootnoteText"/>
      </w:pPr>
      <w:r>
        <w:rPr>
          <w:rStyle w:val="FootnoteReference"/>
        </w:rPr>
        <w:footnoteRef/>
      </w:r>
      <w:r>
        <w:t xml:space="preserve"> Cross-references for "the Lord": John 6:63; 1Cor 15:45.</w:t>
      </w:r>
    </w:p>
  </w:footnote>
  <w:footnote w:id="17914">
    <w:p>
      <w:pPr>
        <w:pStyle w:val="FootnoteText"/>
      </w:pPr>
      <w:r>
        <w:rPr>
          <w:rStyle w:val="FootnoteReference"/>
        </w:rPr>
        <w:footnoteRef/>
      </w:r>
      <w:r>
        <w:t xml:space="preserve"> Cross-references for "as in": 1Cor 13:12; Jas 1:23.</w:t>
      </w:r>
    </w:p>
  </w:footnote>
  <w:footnote w:id="17915">
    <w:p>
      <w:pPr>
        <w:pStyle w:val="FootnoteText"/>
      </w:pPr>
      <w:r>
        <w:rPr>
          <w:rStyle w:val="FootnoteReference"/>
        </w:rPr>
        <w:footnoteRef/>
      </w:r>
      <w:r>
        <w:t xml:space="preserve"> Cross-references for "seeing": 2Cor 3:6; 2Cor 3:12.</w:t>
      </w:r>
    </w:p>
  </w:footnote>
  <w:footnote w:id="17916">
    <w:p>
      <w:pPr>
        <w:pStyle w:val="FootnoteText"/>
      </w:pPr>
      <w:r>
        <w:rPr>
          <w:rStyle w:val="FootnoteReference"/>
        </w:rPr>
        <w:footnoteRef/>
      </w:r>
      <w:r>
        <w:t xml:space="preserve"> Cross-references for "renounced": 1Cor 4:5.</w:t>
      </w:r>
    </w:p>
  </w:footnote>
  <w:footnote w:id="17917">
    <w:p>
      <w:pPr>
        <w:pStyle w:val="FootnoteText"/>
      </w:pPr>
      <w:r>
        <w:rPr>
          <w:rStyle w:val="FootnoteReference"/>
        </w:rPr>
        <w:footnoteRef/>
      </w:r>
      <w:r>
        <w:t xml:space="preserve"> Cross-references for "the god": Matt 4:8-9; John 12:31.</w:t>
      </w:r>
    </w:p>
  </w:footnote>
  <w:footnote w:id="17918">
    <w:p>
      <w:pPr>
        <w:pStyle w:val="FootnoteText"/>
      </w:pPr>
      <w:r>
        <w:rPr>
          <w:rStyle w:val="FootnoteReference"/>
        </w:rPr>
        <w:footnoteRef/>
      </w:r>
      <w:r>
        <w:t xml:space="preserve"> Greek divine name/title: Eikon tou Theou (εἰκὼν τοῦ θεοῦ) — Image of God. Common English rendering: image of God. Applied to Christ as the perfect visible revelation of the invisible God.</w:t>
      </w:r>
    </w:p>
  </w:footnote>
  <w:footnote w:id="17919">
    <w:p>
      <w:pPr>
        <w:pStyle w:val="FootnoteText"/>
      </w:pPr>
      <w:r>
        <w:rPr>
          <w:rStyle w:val="FootnoteReference"/>
        </w:rPr>
        <w:footnoteRef/>
      </w:r>
      <w:r>
        <w:t xml:space="preserve"> Cross-references for "Christ": Matt 23:8; Acts 2:36.</w:t>
      </w:r>
    </w:p>
  </w:footnote>
  <w:footnote w:id="17920">
    <w:p>
      <w:pPr>
        <w:pStyle w:val="FootnoteText"/>
      </w:pPr>
      <w:r>
        <w:rPr>
          <w:rStyle w:val="FootnoteReference"/>
        </w:rPr>
        <w:footnoteRef/>
      </w:r>
      <w:r>
        <w:t xml:space="preserve"> Cross-references for "death": Acts 20:24; 1Cor 4:10.</w:t>
      </w:r>
    </w:p>
  </w:footnote>
  <w:footnote w:id="17921">
    <w:p>
      <w:pPr>
        <w:pStyle w:val="FootnoteText"/>
      </w:pPr>
      <w:r>
        <w:rPr>
          <w:rStyle w:val="FootnoteReference"/>
        </w:rPr>
        <w:footnoteRef/>
      </w:r>
      <w:r>
        <w:t xml:space="preserve"> Cross-references for "I believed": Ps 116:10.</w:t>
      </w:r>
    </w:p>
  </w:footnote>
  <w:footnote w:id="17922">
    <w:p>
      <w:pPr>
        <w:pStyle w:val="FootnoteText"/>
      </w:pPr>
      <w:r>
        <w:rPr>
          <w:rStyle w:val="FootnoteReference"/>
        </w:rPr>
        <w:footnoteRef/>
      </w:r>
      <w:r>
        <w:t xml:space="preserve"> Cross-references for "shall present": 2Cor 11:2; Eph 5:27.</w:t>
      </w:r>
    </w:p>
  </w:footnote>
  <w:footnote w:id="17923">
    <w:p>
      <w:pPr>
        <w:pStyle w:val="FootnoteText"/>
      </w:pPr>
      <w:r>
        <w:rPr>
          <w:rStyle w:val="FootnoteReference"/>
        </w:rPr>
        <w:footnoteRef/>
      </w:r>
      <w:r>
        <w:t xml:space="preserve"> Cross-references for "though": Job 19:26-27; Ps 73:26.</w:t>
      </w:r>
    </w:p>
  </w:footnote>
  <w:footnote w:id="17924">
    <w:p>
      <w:pPr>
        <w:pStyle w:val="FootnoteText"/>
      </w:pPr>
      <w:r>
        <w:rPr>
          <w:rStyle w:val="FootnoteReference"/>
        </w:rPr>
        <w:footnoteRef/>
      </w:r>
      <w:r>
        <w:t xml:space="preserve"> Cross-references for "dissolved": Job 30:22; 2Pet 3:11.</w:t>
      </w:r>
    </w:p>
  </w:footnote>
  <w:footnote w:id="17925">
    <w:p>
      <w:pPr>
        <w:pStyle w:val="FootnoteText"/>
      </w:pPr>
      <w:r>
        <w:rPr>
          <w:rStyle w:val="FootnoteReference"/>
        </w:rPr>
        <w:footnoteRef/>
      </w:r>
      <w:r>
        <w:t xml:space="preserve"> Cross-references for "clothed": 1Cor 15:53-54; 2Cor 5:3-4.</w:t>
      </w:r>
    </w:p>
  </w:footnote>
  <w:footnote w:id="17926">
    <w:p>
      <w:pPr>
        <w:pStyle w:val="FootnoteText"/>
      </w:pPr>
      <w:r>
        <w:rPr>
          <w:rStyle w:val="FootnoteReference"/>
        </w:rPr>
        <w:footnoteRef/>
      </w:r>
      <w:r>
        <w:t xml:space="preserve"> Cross-references for "we are always": Ps 27:3-4; Prov 14:26.</w:t>
      </w:r>
    </w:p>
  </w:footnote>
  <w:footnote w:id="17927">
    <w:p>
      <w:pPr>
        <w:pStyle w:val="FootnoteText"/>
      </w:pPr>
      <w:r>
        <w:rPr>
          <w:rStyle w:val="FootnoteReference"/>
        </w:rPr>
        <w:footnoteRef/>
      </w:r>
      <w:r>
        <w:t xml:space="preserve"> Cross-references for "and willing": Luke 2:29; Acts 21:13.</w:t>
      </w:r>
    </w:p>
  </w:footnote>
  <w:footnote w:id="17928">
    <w:p>
      <w:pPr>
        <w:pStyle w:val="FootnoteText"/>
      </w:pPr>
      <w:r>
        <w:rPr>
          <w:rStyle w:val="FootnoteReference"/>
        </w:rPr>
        <w:footnoteRef/>
      </w:r>
      <w:r>
        <w:t xml:space="preserve"> Cross-references for "whether": Rom 14:8; 2Cor 5:6.</w:t>
      </w:r>
    </w:p>
  </w:footnote>
  <w:footnote w:id="17929">
    <w:p>
      <w:pPr>
        <w:pStyle w:val="FootnoteText"/>
      </w:pPr>
      <w:r>
        <w:rPr>
          <w:rStyle w:val="FootnoteReference"/>
        </w:rPr>
        <w:footnoteRef/>
      </w:r>
      <w:r>
        <w:t xml:space="preserve"> Cross-references for "receive": 1Kgs 8:32; 1Kgs 8:39.</w:t>
      </w:r>
    </w:p>
  </w:footnote>
  <w:footnote w:id="17930">
    <w:p>
      <w:pPr>
        <w:pStyle w:val="FootnoteText"/>
      </w:pPr>
      <w:r>
        <w:rPr>
          <w:rStyle w:val="FootnoteReference"/>
        </w:rPr>
        <w:footnoteRef/>
      </w:r>
      <w:r>
        <w:t xml:space="preserve"> Cross-references for "the terror": Gen 35:5; Job 6:4.</w:t>
      </w:r>
    </w:p>
  </w:footnote>
  <w:footnote w:id="17931">
    <w:p>
      <w:pPr>
        <w:pStyle w:val="FootnoteText"/>
      </w:pPr>
      <w:r>
        <w:rPr>
          <w:rStyle w:val="FootnoteReference"/>
        </w:rPr>
        <w:footnoteRef/>
      </w:r>
      <w:r>
        <w:t xml:space="preserve"> Cross-references for "give": 2Cor 1:14; 2Cor 11:12-16.</w:t>
      </w:r>
    </w:p>
  </w:footnote>
  <w:footnote w:id="17932">
    <w:p>
      <w:pPr>
        <w:pStyle w:val="FootnoteText"/>
      </w:pPr>
      <w:r>
        <w:rPr>
          <w:rStyle w:val="FootnoteReference"/>
        </w:rPr>
        <w:footnoteRef/>
      </w:r>
      <w:r>
        <w:t xml:space="preserve"> Cross-references for "it is to": 2Sam 6:21-22.</w:t>
      </w:r>
    </w:p>
  </w:footnote>
  <w:footnote w:id="17933">
    <w:p>
      <w:pPr>
        <w:pStyle w:val="FootnoteText"/>
      </w:pPr>
      <w:r>
        <w:rPr>
          <w:rStyle w:val="FootnoteReference"/>
        </w:rPr>
        <w:footnoteRef/>
      </w:r>
      <w:r>
        <w:t xml:space="preserve"> Cross-references for "the love": Song 1:4; Song 8:6-7.</w:t>
      </w:r>
    </w:p>
  </w:footnote>
  <w:footnote w:id="17934">
    <w:p>
      <w:pPr>
        <w:pStyle w:val="FootnoteText"/>
      </w:pPr>
      <w:r>
        <w:rPr>
          <w:rStyle w:val="FootnoteReference"/>
        </w:rPr>
        <w:footnoteRef/>
      </w:r>
      <w:r>
        <w:t xml:space="preserve"> Cross-references for "know we no": Deut 33:9; 1Sam 2:29.</w:t>
      </w:r>
    </w:p>
  </w:footnote>
  <w:footnote w:id="17935">
    <w:p>
      <w:pPr>
        <w:pStyle w:val="FootnoteText"/>
      </w:pPr>
      <w:r>
        <w:rPr>
          <w:rStyle w:val="FootnoteReference"/>
        </w:rPr>
        <w:footnoteRef/>
      </w:r>
      <w:r>
        <w:t xml:space="preserve"> Cross-references for "a new": Ps 51:10; Ezek 11:19.</w:t>
      </w:r>
    </w:p>
  </w:footnote>
  <w:footnote w:id="17936">
    <w:p>
      <w:pPr>
        <w:pStyle w:val="FootnoteText"/>
      </w:pPr>
      <w:r>
        <w:rPr>
          <w:rStyle w:val="FootnoteReference"/>
        </w:rPr>
        <w:footnoteRef/>
      </w:r>
      <w:r>
        <w:t xml:space="preserve"> Cross-references for "reconciling": Rom 3:24-26; Rom 11:15.</w:t>
      </w:r>
    </w:p>
  </w:footnote>
  <w:footnote w:id="17937">
    <w:p>
      <w:pPr>
        <w:pStyle w:val="FootnoteText"/>
      </w:pPr>
      <w:r>
        <w:rPr>
          <w:rStyle w:val="FootnoteReference"/>
        </w:rPr>
        <w:footnoteRef/>
      </w:r>
      <w:r>
        <w:t xml:space="preserve"> Cross-references for "ambassadors": Job 33:23; Prov 13:17.</w:t>
      </w:r>
    </w:p>
  </w:footnote>
  <w:footnote w:id="17938">
    <w:p>
      <w:pPr>
        <w:pStyle w:val="FootnoteText"/>
      </w:pPr>
      <w:r>
        <w:rPr>
          <w:rStyle w:val="FootnoteReference"/>
        </w:rPr>
        <w:footnoteRef/>
      </w:r>
      <w:r>
        <w:t xml:space="preserve"> Cross-references for "workers": 1Cor 3:9; 2Cor 5:18-20.</w:t>
      </w:r>
    </w:p>
  </w:footnote>
  <w:footnote w:id="17939">
    <w:p>
      <w:pPr>
        <w:pStyle w:val="FootnoteText"/>
      </w:pPr>
      <w:r>
        <w:rPr>
          <w:rStyle w:val="FootnoteReference"/>
        </w:rPr>
        <w:footnoteRef/>
      </w:r>
      <w:r>
        <w:t xml:space="preserve"> Cross-references for "a time": Isa 49:8; Isa 61:2.</w:t>
      </w:r>
    </w:p>
  </w:footnote>
  <w:footnote w:id="17940">
    <w:p>
      <w:pPr>
        <w:pStyle w:val="FootnoteText"/>
      </w:pPr>
      <w:r>
        <w:rPr>
          <w:rStyle w:val="FootnoteReference"/>
        </w:rPr>
        <w:footnoteRef/>
      </w:r>
      <w:r>
        <w:t xml:space="preserve"> Cross-references for "in much": Luke 21:19; Rom 5:3-4.</w:t>
      </w:r>
    </w:p>
  </w:footnote>
  <w:footnote w:id="17941">
    <w:p>
      <w:pPr>
        <w:pStyle w:val="FootnoteText"/>
      </w:pPr>
      <w:r>
        <w:rPr>
          <w:rStyle w:val="FootnoteReference"/>
        </w:rPr>
        <w:footnoteRef/>
      </w:r>
      <w:r>
        <w:t xml:space="preserve"> Cross-references for "stripes": Deut 25:3; Isa 53:5.</w:t>
      </w:r>
    </w:p>
  </w:footnote>
  <w:footnote w:id="17942">
    <w:p>
      <w:pPr>
        <w:pStyle w:val="FootnoteText"/>
      </w:pPr>
      <w:r>
        <w:rPr>
          <w:rStyle w:val="FootnoteReference"/>
        </w:rPr>
        <w:footnoteRef/>
      </w:r>
      <w:r>
        <w:t xml:space="preserve"> Cross-references for "pureness": 2Cor 7:2; 1Thess 2:10.</w:t>
      </w:r>
    </w:p>
  </w:footnote>
  <w:footnote w:id="17943">
    <w:p>
      <w:pPr>
        <w:pStyle w:val="FootnoteText"/>
      </w:pPr>
      <w:r>
        <w:rPr>
          <w:rStyle w:val="FootnoteReference"/>
        </w:rPr>
        <w:footnoteRef/>
      </w:r>
      <w:r>
        <w:t xml:space="preserve"> Cross-references for "the word": Ps 119:43; 2Cor 1:18-20.</w:t>
      </w:r>
    </w:p>
  </w:footnote>
  <w:footnote w:id="17944">
    <w:p>
      <w:pPr>
        <w:pStyle w:val="FootnoteText"/>
      </w:pPr>
      <w:r>
        <w:rPr>
          <w:rStyle w:val="FootnoteReference"/>
        </w:rPr>
        <w:footnoteRef/>
      </w:r>
      <w:r>
        <w:t xml:space="preserve"> Cross-references for "evil": Matt 5:11-12; Matt 10:25.</w:t>
      </w:r>
    </w:p>
  </w:footnote>
  <w:footnote w:id="17945">
    <w:p>
      <w:pPr>
        <w:pStyle w:val="FootnoteText"/>
      </w:pPr>
      <w:r>
        <w:rPr>
          <w:rStyle w:val="FootnoteReference"/>
        </w:rPr>
        <w:footnoteRef/>
      </w:r>
      <w:r>
        <w:t xml:space="preserve"> Cross-references for "unknown": Acts 17:18; Acts 21:37-38.</w:t>
      </w:r>
    </w:p>
  </w:footnote>
  <w:footnote w:id="17946">
    <w:p>
      <w:pPr>
        <w:pStyle w:val="FootnoteText"/>
      </w:pPr>
      <w:r>
        <w:rPr>
          <w:rStyle w:val="FootnoteReference"/>
        </w:rPr>
        <w:footnoteRef/>
      </w:r>
      <w:r>
        <w:t xml:space="preserve"> Cross-references for "sorrowful": Matt 5:4; Matt 5:12.</w:t>
      </w:r>
    </w:p>
  </w:footnote>
  <w:footnote w:id="17947">
    <w:p>
      <w:pPr>
        <w:pStyle w:val="FootnoteText"/>
      </w:pPr>
      <w:r>
        <w:rPr>
          <w:rStyle w:val="FootnoteReference"/>
        </w:rPr>
        <w:footnoteRef/>
      </w:r>
      <w:r>
        <w:t xml:space="preserve"> Cross-references for "our mouth": 1Sam 2:1; Job 32:20.</w:t>
      </w:r>
    </w:p>
  </w:footnote>
  <w:footnote w:id="17948">
    <w:p>
      <w:pPr>
        <w:pStyle w:val="FootnoteText"/>
      </w:pPr>
      <w:r>
        <w:rPr>
          <w:rStyle w:val="FootnoteReference"/>
        </w:rPr>
        <w:footnoteRef/>
      </w:r>
      <w:r>
        <w:t xml:space="preserve"> Cross-references for "are not": Job 36:16; Prov 4:12.</w:t>
      </w:r>
    </w:p>
  </w:footnote>
  <w:footnote w:id="17949">
    <w:p>
      <w:pPr>
        <w:pStyle w:val="FootnoteText"/>
      </w:pPr>
      <w:r>
        <w:rPr>
          <w:rStyle w:val="FootnoteReference"/>
        </w:rPr>
        <w:footnoteRef/>
      </w:r>
      <w:r>
        <w:t xml:space="preserve"> Cross-references for "I speak": 1Cor 4:14-15; Gal 4:19.</w:t>
      </w:r>
    </w:p>
  </w:footnote>
  <w:footnote w:id="17950">
    <w:p>
      <w:pPr>
        <w:pStyle w:val="FootnoteText"/>
      </w:pPr>
      <w:r>
        <w:rPr>
          <w:rStyle w:val="FootnoteReference"/>
        </w:rPr>
        <w:footnoteRef/>
      </w:r>
      <w:r>
        <w:t xml:space="preserve"> Cross-references for "unequally": Exod 34:16; Lev 19:19.</w:t>
      </w:r>
    </w:p>
  </w:footnote>
  <w:footnote w:id="17951">
    <w:p>
      <w:pPr>
        <w:pStyle w:val="FootnoteText"/>
      </w:pPr>
      <w:r>
        <w:rPr>
          <w:rStyle w:val="FootnoteReference"/>
        </w:rPr>
        <w:footnoteRef/>
      </w:r>
      <w:r>
        <w:t xml:space="preserve"> Cross-references for "what concord": 1Sam 5:2-4; 1Kgs 18:21.</w:t>
      </w:r>
    </w:p>
  </w:footnote>
  <w:footnote w:id="17952">
    <w:p>
      <w:pPr>
        <w:pStyle w:val="FootnoteText"/>
      </w:pPr>
      <w:r>
        <w:rPr>
          <w:rStyle w:val="FootnoteReference"/>
        </w:rPr>
        <w:footnoteRef/>
      </w:r>
      <w:r>
        <w:t xml:space="preserve"> Divine or supernatural name: Belial. Divine/supernatural-name meaning: Belial — wicked, worthless. Source form: Belial.</w:t>
      </w:r>
    </w:p>
  </w:footnote>
  <w:footnote w:id="17953">
    <w:p>
      <w:pPr>
        <w:pStyle w:val="FootnoteText"/>
      </w:pPr>
      <w:r>
        <w:rPr>
          <w:rStyle w:val="FootnoteReference"/>
        </w:rPr>
        <w:footnoteRef/>
      </w:r>
      <w:r>
        <w:t xml:space="preserve"> Cross-references for "I will dwell": Exod 29:45; Lev 26:12.</w:t>
      </w:r>
    </w:p>
  </w:footnote>
  <w:footnote w:id="17954">
    <w:p>
      <w:pPr>
        <w:pStyle w:val="FootnoteText"/>
      </w:pPr>
      <w:r>
        <w:rPr>
          <w:rStyle w:val="FootnoteReference"/>
        </w:rPr>
        <w:footnoteRef/>
      </w:r>
      <w:r>
        <w:t xml:space="preserve"> Cross-references for "a Father": Ps 22:30; Jer 3:19.</w:t>
      </w:r>
    </w:p>
  </w:footnote>
  <w:footnote w:id="17955">
    <w:p>
      <w:pPr>
        <w:pStyle w:val="FootnoteText"/>
      </w:pPr>
      <w:r>
        <w:rPr>
          <w:rStyle w:val="FootnoteReference"/>
        </w:rPr>
        <w:footnoteRef/>
      </w:r>
      <w:r>
        <w:t xml:space="preserve"> Cross-references for "therefore": Rom 5:20-21; Rom 6:1-11.</w:t>
      </w:r>
    </w:p>
  </w:footnote>
  <w:footnote w:id="17956">
    <w:p>
      <w:pPr>
        <w:pStyle w:val="FootnoteText"/>
      </w:pPr>
      <w:r>
        <w:rPr>
          <w:rStyle w:val="FootnoteReference"/>
        </w:rPr>
        <w:footnoteRef/>
      </w:r>
      <w:r>
        <w:t xml:space="preserve"> Cross-references for "Receive": Matt 10:14; Matt 10:40.</w:t>
      </w:r>
    </w:p>
  </w:footnote>
  <w:footnote w:id="17957">
    <w:p>
      <w:pPr>
        <w:pStyle w:val="FootnoteText"/>
      </w:pPr>
      <w:r>
        <w:rPr>
          <w:rStyle w:val="FootnoteReference"/>
        </w:rPr>
        <w:footnoteRef/>
      </w:r>
      <w:r>
        <w:t xml:space="preserve"> Cross-references for "to condemn": 1Cor 4:14-15; 2Cor 2:4-5.</w:t>
      </w:r>
    </w:p>
  </w:footnote>
  <w:footnote w:id="17958">
    <w:p>
      <w:pPr>
        <w:pStyle w:val="FootnoteText"/>
      </w:pPr>
      <w:r>
        <w:rPr>
          <w:rStyle w:val="FootnoteReference"/>
        </w:rPr>
        <w:footnoteRef/>
      </w:r>
      <w:r>
        <w:t xml:space="preserve"> Cross-references for "my boldness": 2Cor 3:12; 2Cor 6:11.</w:t>
      </w:r>
    </w:p>
  </w:footnote>
  <w:footnote w:id="17959">
    <w:p>
      <w:pPr>
        <w:pStyle w:val="FootnoteText"/>
      </w:pPr>
      <w:r>
        <w:rPr>
          <w:rStyle w:val="FootnoteReference"/>
        </w:rPr>
        <w:footnoteRef/>
      </w:r>
      <w:r>
        <w:t xml:space="preserve"> Cross-references for "troubled": Job 18:11; Jer 6:25.</w:t>
      </w:r>
    </w:p>
  </w:footnote>
  <w:footnote w:id="17960">
    <w:p>
      <w:pPr>
        <w:pStyle w:val="FootnoteText"/>
      </w:pPr>
      <w:r>
        <w:rPr>
          <w:rStyle w:val="FootnoteReference"/>
        </w:rPr>
        <w:footnoteRef/>
      </w:r>
      <w:r>
        <w:t xml:space="preserve"> Cross-references for "comforted": 1Cor 16:17-18; 2Cor 2:13.</w:t>
      </w:r>
    </w:p>
  </w:footnote>
  <w:footnote w:id="17961">
    <w:p>
      <w:pPr>
        <w:pStyle w:val="FootnoteText"/>
      </w:pPr>
      <w:r>
        <w:rPr>
          <w:rStyle w:val="FootnoteReference"/>
        </w:rPr>
        <w:footnoteRef/>
      </w:r>
      <w:r>
        <w:t xml:space="preserve"> Cross-references for "mourning": Judg 2:4-5; Ps 6:1-6.</w:t>
      </w:r>
    </w:p>
  </w:footnote>
  <w:footnote w:id="17962">
    <w:p>
      <w:pPr>
        <w:pStyle w:val="FootnoteText"/>
      </w:pPr>
      <w:r>
        <w:rPr>
          <w:rStyle w:val="FootnoteReference"/>
        </w:rPr>
        <w:footnoteRef/>
      </w:r>
      <w:r>
        <w:t xml:space="preserve"> Cross-references for "though I did": Exod 5:22-23; Jer 20:7-9.</w:t>
      </w:r>
    </w:p>
  </w:footnote>
  <w:footnote w:id="17963">
    <w:p>
      <w:pPr>
        <w:pStyle w:val="FootnoteText"/>
      </w:pPr>
      <w:r>
        <w:rPr>
          <w:rStyle w:val="FootnoteReference"/>
        </w:rPr>
        <w:footnoteRef/>
      </w:r>
      <w:r>
        <w:t xml:space="preserve"> Cross-references for "I rejoice": Eccl 7:3; Jer 31:18-20.</w:t>
      </w:r>
    </w:p>
  </w:footnote>
  <w:footnote w:id="17964">
    <w:p>
      <w:pPr>
        <w:pStyle w:val="FootnoteText"/>
      </w:pPr>
      <w:r>
        <w:rPr>
          <w:rStyle w:val="FootnoteReference"/>
        </w:rPr>
        <w:footnoteRef/>
      </w:r>
      <w:r>
        <w:t xml:space="preserve"> Cross-references for "repentance": 2Sam 12:13; 1Kgs 8:47-50.</w:t>
      </w:r>
    </w:p>
  </w:footnote>
  <w:footnote w:id="17965">
    <w:p>
      <w:pPr>
        <w:pStyle w:val="FootnoteText"/>
      </w:pPr>
      <w:r>
        <w:rPr>
          <w:rStyle w:val="FootnoteReference"/>
        </w:rPr>
        <w:footnoteRef/>
      </w:r>
      <w:r>
        <w:t xml:space="preserve"> Cross-references for "carefulness": 1Cor 12:25; 2Cor 7:7.</w:t>
      </w:r>
    </w:p>
  </w:footnote>
  <w:footnote w:id="17966">
    <w:p>
      <w:pPr>
        <w:pStyle w:val="FootnoteText"/>
      </w:pPr>
      <w:r>
        <w:rPr>
          <w:rStyle w:val="FootnoteReference"/>
        </w:rPr>
        <w:footnoteRef/>
      </w:r>
      <w:r>
        <w:t xml:space="preserve"> Cross-references for "I did": 1Cor 5:1; 2Cor 2:9.</w:t>
      </w:r>
    </w:p>
  </w:footnote>
  <w:footnote w:id="17967">
    <w:p>
      <w:pPr>
        <w:pStyle w:val="FootnoteText"/>
      </w:pPr>
      <w:r>
        <w:rPr>
          <w:rStyle w:val="FootnoteReference"/>
        </w:rPr>
        <w:footnoteRef/>
      </w:r>
      <w:r>
        <w:t xml:space="preserve"> Cross-references for "we were": Rom 12:15; 1Cor 12:26.</w:t>
      </w:r>
    </w:p>
  </w:footnote>
  <w:footnote w:id="17968">
    <w:p>
      <w:pPr>
        <w:pStyle w:val="FootnoteText"/>
      </w:pPr>
      <w:r>
        <w:rPr>
          <w:rStyle w:val="FootnoteReference"/>
        </w:rPr>
        <w:footnoteRef/>
      </w:r>
      <w:r>
        <w:t xml:space="preserve"> Cross-references for "inward affection is": Gen 43:30; 1Kgs 3:26.</w:t>
      </w:r>
    </w:p>
  </w:footnote>
  <w:footnote w:id="17969">
    <w:p>
      <w:pPr>
        <w:pStyle w:val="FootnoteText"/>
      </w:pPr>
      <w:r>
        <w:rPr>
          <w:rStyle w:val="FootnoteReference"/>
        </w:rPr>
        <w:footnoteRef/>
      </w:r>
      <w:r>
        <w:t xml:space="preserve"> Cross-references for "the grace": Acts 11:23; 1Cor 15:10.</w:t>
      </w:r>
    </w:p>
  </w:footnote>
  <w:footnote w:id="17970">
    <w:p>
      <w:pPr>
        <w:pStyle w:val="FootnoteText"/>
      </w:pPr>
      <w:r>
        <w:rPr>
          <w:rStyle w:val="FootnoteReference"/>
        </w:rPr>
        <w:footnoteRef/>
      </w:r>
      <w:r>
        <w:t xml:space="preserve"> Cross-references for "the abundance": Neh 8:10-12; Acts 2:45-46.</w:t>
      </w:r>
    </w:p>
  </w:footnote>
  <w:footnote w:id="17971">
    <w:p>
      <w:pPr>
        <w:pStyle w:val="FootnoteText"/>
      </w:pPr>
      <w:r>
        <w:rPr>
          <w:rStyle w:val="FootnoteReference"/>
        </w:rPr>
        <w:footnoteRef/>
      </w:r>
      <w:r>
        <w:t xml:space="preserve"> Cross-references for "I bear": Rom 10:2; Gal 4:15.</w:t>
      </w:r>
    </w:p>
  </w:footnote>
  <w:footnote w:id="17972">
    <w:p>
      <w:pPr>
        <w:pStyle w:val="FootnoteText"/>
      </w:pPr>
      <w:r>
        <w:rPr>
          <w:rStyle w:val="FootnoteReference"/>
        </w:rPr>
        <w:footnoteRef/>
      </w:r>
      <w:r>
        <w:t xml:space="preserve"> Cross-references for "the ministering": Matt 10:42; Matt 12:50.</w:t>
      </w:r>
    </w:p>
  </w:footnote>
  <w:footnote w:id="17973">
    <w:p>
      <w:pPr>
        <w:pStyle w:val="FootnoteText"/>
      </w:pPr>
      <w:r>
        <w:rPr>
          <w:rStyle w:val="FootnoteReference"/>
        </w:rPr>
        <w:footnoteRef/>
      </w:r>
      <w:r>
        <w:t xml:space="preserve"> Cross-references for "first": 1Sam 1:28; 2Chr 30:8.</w:t>
      </w:r>
    </w:p>
  </w:footnote>
  <w:footnote w:id="17974">
    <w:p>
      <w:pPr>
        <w:pStyle w:val="FootnoteText"/>
      </w:pPr>
      <w:r>
        <w:rPr>
          <w:rStyle w:val="FootnoteReference"/>
        </w:rPr>
        <w:footnoteRef/>
      </w:r>
      <w:r>
        <w:t xml:space="preserve"> Cross-references for "grace": 2Cor 8:4; 2Cor 8:19.</w:t>
      </w:r>
    </w:p>
  </w:footnote>
  <w:footnote w:id="17975">
    <w:p>
      <w:pPr>
        <w:pStyle w:val="FootnoteText"/>
      </w:pPr>
      <w:r>
        <w:rPr>
          <w:rStyle w:val="FootnoteReference"/>
        </w:rPr>
        <w:footnoteRef/>
      </w:r>
      <w:r>
        <w:t xml:space="preserve"> Cross-references for "faith": 1Cor 13:2.</w:t>
      </w:r>
    </w:p>
  </w:footnote>
  <w:footnote w:id="17976">
    <w:p>
      <w:pPr>
        <w:pStyle w:val="FootnoteText"/>
      </w:pPr>
      <w:r>
        <w:rPr>
          <w:rStyle w:val="FootnoteReference"/>
        </w:rPr>
        <w:footnoteRef/>
      </w:r>
      <w:r>
        <w:t xml:space="preserve"> Cross-references for "speak": 1Cor 7:6; 1Cor 7:12.</w:t>
      </w:r>
    </w:p>
  </w:footnote>
  <w:footnote w:id="17977">
    <w:p>
      <w:pPr>
        <w:pStyle w:val="FootnoteText"/>
      </w:pPr>
      <w:r>
        <w:rPr>
          <w:rStyle w:val="FootnoteReference"/>
        </w:rPr>
        <w:footnoteRef/>
      </w:r>
      <w:r>
        <w:t xml:space="preserve"> Cross-references for "the grace": John 1:14; John 1:17.</w:t>
      </w:r>
    </w:p>
  </w:footnote>
  <w:footnote w:id="17978">
    <w:p>
      <w:pPr>
        <w:pStyle w:val="FootnoteText"/>
      </w:pPr>
      <w:r>
        <w:rPr>
          <w:rStyle w:val="FootnoteReference"/>
        </w:rPr>
        <w:footnoteRef/>
      </w:r>
      <w:r>
        <w:t xml:space="preserve"> Cross-references for "I give": 1Cor 7:25; 1Cor 7:40.</w:t>
      </w:r>
    </w:p>
  </w:footnote>
  <w:footnote w:id="17979">
    <w:p>
      <w:pPr>
        <w:pStyle w:val="FootnoteText"/>
      </w:pPr>
      <w:r>
        <w:rPr>
          <w:rStyle w:val="FootnoteReference"/>
        </w:rPr>
        <w:footnoteRef/>
      </w:r>
      <w:r>
        <w:t xml:space="preserve"> Cross-references for "thanks": Ezra 7:27; Neh 2:12.</w:t>
      </w:r>
    </w:p>
  </w:footnote>
  <w:footnote w:id="17980">
    <w:p>
      <w:pPr>
        <w:pStyle w:val="FootnoteText"/>
      </w:pPr>
      <w:r>
        <w:rPr>
          <w:rStyle w:val="FootnoteReference"/>
        </w:rPr>
        <w:footnoteRef/>
      </w:r>
      <w:r>
        <w:t xml:space="preserve"> Cross-references for "accepted": 2Cor 8:6; Heb 13:22.</w:t>
      </w:r>
    </w:p>
  </w:footnote>
  <w:footnote w:id="17981">
    <w:p>
      <w:pPr>
        <w:pStyle w:val="FootnoteText"/>
      </w:pPr>
      <w:r>
        <w:rPr>
          <w:rStyle w:val="FootnoteReference"/>
        </w:rPr>
        <w:footnoteRef/>
      </w:r>
      <w:r>
        <w:t xml:space="preserve"> Cross-references for "the brother": 2Cor 8:19; 2Cor 8:22-23.</w:t>
      </w:r>
    </w:p>
  </w:footnote>
  <w:footnote w:id="17982">
    <w:p>
      <w:pPr>
        <w:pStyle w:val="FootnoteText"/>
      </w:pPr>
      <w:r>
        <w:rPr>
          <w:rStyle w:val="FootnoteReference"/>
        </w:rPr>
        <w:footnoteRef/>
      </w:r>
      <w:r>
        <w:t xml:space="preserve"> Cross-references for "grace": 2Cor 8:4; 2Cor 8:6-7.</w:t>
      </w:r>
    </w:p>
  </w:footnote>
  <w:footnote w:id="17983">
    <w:p>
      <w:pPr>
        <w:pStyle w:val="FootnoteText"/>
      </w:pPr>
      <w:r>
        <w:rPr>
          <w:rStyle w:val="FootnoteReference"/>
        </w:rPr>
        <w:footnoteRef/>
      </w:r>
      <w:r>
        <w:t xml:space="preserve"> Cross-references for "Titus": 2Cor 7:6; 2Cor 8:6.</w:t>
      </w:r>
    </w:p>
  </w:footnote>
  <w:footnote w:id="17984">
    <w:p>
      <w:pPr>
        <w:pStyle w:val="FootnoteText"/>
      </w:pPr>
      <w:r>
        <w:rPr>
          <w:rStyle w:val="FootnoteReference"/>
        </w:rPr>
        <w:footnoteRef/>
      </w:r>
      <w:r>
        <w:t xml:space="preserve"> Cross-references for "the ministering": 2Cor 8:4-15; 2Cor 9:12-14.</w:t>
      </w:r>
    </w:p>
  </w:footnote>
  <w:footnote w:id="17985">
    <w:p>
      <w:pPr>
        <w:pStyle w:val="FootnoteText"/>
      </w:pPr>
      <w:r>
        <w:rPr>
          <w:rStyle w:val="FootnoteReference"/>
        </w:rPr>
        <w:footnoteRef/>
      </w:r>
      <w:r>
        <w:t xml:space="preserve"> Cross-references for "I boast": 2Cor 8:24.</w:t>
      </w:r>
    </w:p>
  </w:footnote>
  <w:footnote w:id="17986">
    <w:p>
      <w:pPr>
        <w:pStyle w:val="FootnoteText"/>
      </w:pPr>
      <w:r>
        <w:rPr>
          <w:rStyle w:val="FootnoteReference"/>
        </w:rPr>
        <w:footnoteRef/>
      </w:r>
      <w:r>
        <w:t xml:space="preserve"> Cross-references for "be ashamed": 2Cor 8:24; 2Cor 11:17.</w:t>
      </w:r>
    </w:p>
  </w:footnote>
  <w:footnote w:id="17987">
    <w:p>
      <w:pPr>
        <w:pStyle w:val="FootnoteText"/>
      </w:pPr>
      <w:r>
        <w:rPr>
          <w:rStyle w:val="FootnoteReference"/>
        </w:rPr>
        <w:footnoteRef/>
      </w:r>
      <w:r>
        <w:t xml:space="preserve"> Cross-references for "and make": 1Cor 16:2; 2Cor 8:6.</w:t>
      </w:r>
    </w:p>
  </w:footnote>
  <w:footnote w:id="17988">
    <w:p>
      <w:pPr>
        <w:pStyle w:val="FootnoteText"/>
      </w:pPr>
      <w:r>
        <w:rPr>
          <w:rStyle w:val="FootnoteReference"/>
        </w:rPr>
        <w:footnoteRef/>
      </w:r>
      <w:r>
        <w:t xml:space="preserve"> Cross-references for "all grace": 2Cor 8:19; 1Pet 4:10.</w:t>
      </w:r>
    </w:p>
  </w:footnote>
  <w:footnote w:id="17989">
    <w:p>
      <w:pPr>
        <w:pStyle w:val="FootnoteText"/>
      </w:pPr>
      <w:r>
        <w:rPr>
          <w:rStyle w:val="FootnoteReference"/>
        </w:rPr>
        <w:footnoteRef/>
      </w:r>
      <w:r>
        <w:t xml:space="preserve"> Cross-references for "multiply": Prov 11:18; Eccl 11:6.</w:t>
      </w:r>
    </w:p>
  </w:footnote>
  <w:footnote w:id="17990">
    <w:p>
      <w:pPr>
        <w:pStyle w:val="FootnoteText"/>
      </w:pPr>
      <w:r>
        <w:rPr>
          <w:rStyle w:val="FootnoteReference"/>
        </w:rPr>
        <w:footnoteRef/>
      </w:r>
      <w:r>
        <w:t xml:space="preserve"> Cross-references for "enriched": 1Chr 29:12-14; 2Chr 31:10.</w:t>
      </w:r>
    </w:p>
  </w:footnote>
  <w:footnote w:id="17991">
    <w:p>
      <w:pPr>
        <w:pStyle w:val="FootnoteText"/>
      </w:pPr>
      <w:r>
        <w:rPr>
          <w:rStyle w:val="FootnoteReference"/>
        </w:rPr>
        <w:footnoteRef/>
      </w:r>
      <w:r>
        <w:t xml:space="preserve"> Cross-references for "the administration": 2Cor 8:4; 2Cor 9:1.</w:t>
      </w:r>
    </w:p>
  </w:footnote>
  <w:footnote w:id="17992">
    <w:p>
      <w:pPr>
        <w:pStyle w:val="FootnoteText"/>
      </w:pPr>
      <w:r>
        <w:rPr>
          <w:rStyle w:val="FootnoteReference"/>
        </w:rPr>
        <w:footnoteRef/>
      </w:r>
      <w:r>
        <w:t xml:space="preserve"> Cross-references for "professed": Luke 6:46; Rom 10:16.</w:t>
      </w:r>
    </w:p>
  </w:footnote>
  <w:footnote w:id="17993">
    <w:p>
      <w:pPr>
        <w:pStyle w:val="FootnoteText"/>
      </w:pPr>
      <w:r>
        <w:rPr>
          <w:rStyle w:val="FootnoteReference"/>
        </w:rPr>
        <w:footnoteRef/>
      </w:r>
      <w:r>
        <w:t xml:space="preserve"> Cross-references for "Thanks": 1Chr 16:8; 1Chr 16:35.</w:t>
      </w:r>
    </w:p>
  </w:footnote>
  <w:footnote w:id="17994">
    <w:p>
      <w:pPr>
        <w:pStyle w:val="FootnoteText"/>
      </w:pPr>
      <w:r>
        <w:rPr>
          <w:rStyle w:val="FootnoteReference"/>
        </w:rPr>
        <w:footnoteRef/>
      </w:r>
      <w:r>
        <w:t xml:space="preserve"> Cross-references for "I Paul": 1Cor 16:21-22; Gal 5:2.</w:t>
      </w:r>
    </w:p>
  </w:footnote>
  <w:footnote w:id="17995">
    <w:p>
      <w:pPr>
        <w:pStyle w:val="FootnoteText"/>
      </w:pPr>
      <w:r>
        <w:rPr>
          <w:rStyle w:val="FootnoteReference"/>
        </w:rPr>
        <w:footnoteRef/>
      </w:r>
      <w:r>
        <w:t xml:space="preserve"> Cross-references for "we walked": Rom 8:1; Rom 8:5.</w:t>
      </w:r>
    </w:p>
  </w:footnote>
  <w:footnote w:id="17996">
    <w:p>
      <w:pPr>
        <w:pStyle w:val="FootnoteText"/>
      </w:pPr>
      <w:r>
        <w:rPr>
          <w:rStyle w:val="FootnoteReference"/>
        </w:rPr>
        <w:footnoteRef/>
      </w:r>
      <w:r>
        <w:t xml:space="preserve"> Cross-references for "walk": Gal 2:20; 1Pet 4:1-2.</w:t>
      </w:r>
    </w:p>
  </w:footnote>
  <w:footnote w:id="17997">
    <w:p>
      <w:pPr>
        <w:pStyle w:val="FootnoteText"/>
      </w:pPr>
      <w:r>
        <w:rPr>
          <w:rStyle w:val="FootnoteReference"/>
        </w:rPr>
        <w:footnoteRef/>
      </w:r>
      <w:r>
        <w:t xml:space="preserve"> Cross-references for "the weapons": Rom 6:13; Rom 13:12.</w:t>
      </w:r>
    </w:p>
  </w:footnote>
  <w:footnote w:id="17998">
    <w:p>
      <w:pPr>
        <w:pStyle w:val="FootnoteText"/>
      </w:pPr>
      <w:r>
        <w:rPr>
          <w:rStyle w:val="FootnoteReference"/>
        </w:rPr>
        <w:footnoteRef/>
      </w:r>
      <w:r>
        <w:t xml:space="preserve"> Cross-references for "down": Luke 1:51; Acts 4:25-26.</w:t>
      </w:r>
    </w:p>
  </w:footnote>
  <w:footnote w:id="17999">
    <w:p>
      <w:pPr>
        <w:pStyle w:val="FootnoteText"/>
      </w:pPr>
      <w:r>
        <w:rPr>
          <w:rStyle w:val="FootnoteReference"/>
        </w:rPr>
        <w:footnoteRef/>
      </w:r>
      <w:r>
        <w:t xml:space="preserve"> Cross-references for "though": 2Cor 1:24; 2Cor 13:2-3.</w:t>
      </w:r>
    </w:p>
  </w:footnote>
  <w:footnote w:id="18000">
    <w:p>
      <w:pPr>
        <w:pStyle w:val="FootnoteText"/>
      </w:pPr>
      <w:r>
        <w:rPr>
          <w:rStyle w:val="FootnoteReference"/>
        </w:rPr>
        <w:footnoteRef/>
      </w:r>
      <w:r>
        <w:t xml:space="preserve"> Cross-references for "terrify": 1Cor 4:5; 1Cor 4:19-21.</w:t>
      </w:r>
    </w:p>
  </w:footnote>
  <w:footnote w:id="18001">
    <w:p>
      <w:pPr>
        <w:pStyle w:val="FootnoteText"/>
      </w:pPr>
      <w:r>
        <w:rPr>
          <w:rStyle w:val="FootnoteReference"/>
        </w:rPr>
        <w:footnoteRef/>
      </w:r>
      <w:r>
        <w:t xml:space="preserve"> Cross-references for "say they": 2Cor 10:11.</w:t>
      </w:r>
    </w:p>
  </w:footnote>
  <w:footnote w:id="18002">
    <w:p>
      <w:pPr>
        <w:pStyle w:val="FootnoteText"/>
      </w:pPr>
      <w:r>
        <w:rPr>
          <w:rStyle w:val="FootnoteReference"/>
        </w:rPr>
        <w:footnoteRef/>
      </w:r>
      <w:r>
        <w:t xml:space="preserve"> Cross-references for "such": 1Cor 4:19-20; 2Cor 12:20.</w:t>
      </w:r>
    </w:p>
  </w:footnote>
  <w:footnote w:id="18003">
    <w:p>
      <w:pPr>
        <w:pStyle w:val="FootnoteText"/>
      </w:pPr>
      <w:r>
        <w:rPr>
          <w:rStyle w:val="FootnoteReference"/>
        </w:rPr>
        <w:footnoteRef/>
      </w:r>
      <w:r>
        <w:t xml:space="preserve"> Cross-references for "we will not": Prov 25:14; 2Cor 10:15.</w:t>
      </w:r>
    </w:p>
  </w:footnote>
  <w:footnote w:id="18004">
    <w:p>
      <w:pPr>
        <w:pStyle w:val="FootnoteText"/>
      </w:pPr>
      <w:r>
        <w:rPr>
          <w:rStyle w:val="FootnoteReference"/>
        </w:rPr>
        <w:footnoteRef/>
      </w:r>
      <w:r>
        <w:t xml:space="preserve"> Cross-references for "we stretch not": Rom 15:18-19; 1Cor 2:10.</w:t>
      </w:r>
    </w:p>
  </w:footnote>
  <w:footnote w:id="18005">
    <w:p>
      <w:pPr>
        <w:pStyle w:val="FootnoteText"/>
      </w:pPr>
      <w:r>
        <w:rPr>
          <w:rStyle w:val="FootnoteReference"/>
        </w:rPr>
        <w:footnoteRef/>
      </w:r>
      <w:r>
        <w:t xml:space="preserve"> Cross-references for "boasting": Rom 15:20; 2Cor 10:13.</w:t>
      </w:r>
    </w:p>
  </w:footnote>
  <w:footnote w:id="18006">
    <w:p>
      <w:pPr>
        <w:pStyle w:val="FootnoteText"/>
      </w:pPr>
      <w:r>
        <w:rPr>
          <w:rStyle w:val="FootnoteReference"/>
        </w:rPr>
        <w:footnoteRef/>
      </w:r>
      <w:r>
        <w:t xml:space="preserve"> Cross-references for "preach": Rom 15:24-28.</w:t>
      </w:r>
    </w:p>
  </w:footnote>
  <w:footnote w:id="18007">
    <w:p>
      <w:pPr>
        <w:pStyle w:val="FootnoteText"/>
      </w:pPr>
      <w:r>
        <w:rPr>
          <w:rStyle w:val="FootnoteReference"/>
        </w:rPr>
        <w:footnoteRef/>
      </w:r>
      <w:r>
        <w:t xml:space="preserve"> Cross-references for "approved": Acts 2:22; Rom 14:18.</w:t>
      </w:r>
    </w:p>
  </w:footnote>
  <w:footnote w:id="18008">
    <w:p>
      <w:pPr>
        <w:pStyle w:val="FootnoteText"/>
      </w:pPr>
      <w:r>
        <w:rPr>
          <w:rStyle w:val="FootnoteReference"/>
        </w:rPr>
        <w:footnoteRef/>
      </w:r>
      <w:r>
        <w:t xml:space="preserve"> Cross-references for "bear with me a": Acts 18:14; 2Cor 11:4.</w:t>
      </w:r>
    </w:p>
  </w:footnote>
  <w:footnote w:id="18009">
    <w:p>
      <w:pPr>
        <w:pStyle w:val="FootnoteText"/>
      </w:pPr>
      <w:r>
        <w:rPr>
          <w:rStyle w:val="FootnoteReference"/>
        </w:rPr>
        <w:footnoteRef/>
      </w:r>
      <w:r>
        <w:t xml:space="preserve"> Cross-references for "jealous": Gal 4:11; Gal 4:17-19.</w:t>
      </w:r>
    </w:p>
  </w:footnote>
  <w:footnote w:id="18010">
    <w:p>
      <w:pPr>
        <w:pStyle w:val="FootnoteText"/>
      </w:pPr>
      <w:r>
        <w:rPr>
          <w:rStyle w:val="FootnoteReference"/>
        </w:rPr>
        <w:footnoteRef/>
      </w:r>
      <w:r>
        <w:t xml:space="preserve"> Cross-references for "I fear": Ps 119:53; 2Cor 11:29.</w:t>
      </w:r>
    </w:p>
  </w:footnote>
  <w:footnote w:id="18011">
    <w:p>
      <w:pPr>
        <w:pStyle w:val="FootnoteText"/>
      </w:pPr>
      <w:r>
        <w:rPr>
          <w:rStyle w:val="FootnoteReference"/>
        </w:rPr>
        <w:footnoteRef/>
      </w:r>
      <w:r>
        <w:t xml:space="preserve"> Personal name: Eve. Personal-name meaning: Eve — Living; life-giver. Source form: Eve.</w:t>
      </w:r>
    </w:p>
  </w:footnote>
  <w:footnote w:id="18012">
    <w:p>
      <w:pPr>
        <w:pStyle w:val="FootnoteText"/>
      </w:pPr>
      <w:r>
        <w:rPr>
          <w:rStyle w:val="FootnoteReference"/>
        </w:rPr>
        <w:footnoteRef/>
      </w:r>
      <w:r>
        <w:t xml:space="preserve"> Cross-references for "receive": 1Cor 12:4-11; Gal 3:2.</w:t>
      </w:r>
    </w:p>
  </w:footnote>
  <w:footnote w:id="18013">
    <w:p>
      <w:pPr>
        <w:pStyle w:val="FootnoteText"/>
      </w:pPr>
      <w:r>
        <w:rPr>
          <w:rStyle w:val="FootnoteReference"/>
        </w:rPr>
        <w:footnoteRef/>
      </w:r>
      <w:r>
        <w:t xml:space="preserve"> Cross-references for "I was not": 1Cor 15:10; 2Cor 12:11-12.</w:t>
      </w:r>
    </w:p>
  </w:footnote>
  <w:footnote w:id="18014">
    <w:p>
      <w:pPr>
        <w:pStyle w:val="FootnoteText"/>
      </w:pPr>
      <w:r>
        <w:rPr>
          <w:rStyle w:val="FootnoteReference"/>
        </w:rPr>
        <w:footnoteRef/>
      </w:r>
      <w:r>
        <w:t xml:space="preserve"> Cross-references for "rude": 1Cor 1:17; 1Cor 1:21.</w:t>
      </w:r>
    </w:p>
  </w:footnote>
  <w:footnote w:id="18015">
    <w:p>
      <w:pPr>
        <w:pStyle w:val="FootnoteText"/>
      </w:pPr>
      <w:r>
        <w:rPr>
          <w:rStyle w:val="FootnoteReference"/>
        </w:rPr>
        <w:footnoteRef/>
      </w:r>
      <w:r>
        <w:t xml:space="preserve"> Cross-references for "wanted": 2Cor 6:4; 2Cor 9:12.</w:t>
      </w:r>
    </w:p>
  </w:footnote>
  <w:footnote w:id="18016">
    <w:p>
      <w:pPr>
        <w:pStyle w:val="FootnoteText"/>
      </w:pPr>
      <w:r>
        <w:rPr>
          <w:rStyle w:val="FootnoteReference"/>
        </w:rPr>
        <w:footnoteRef/>
      </w:r>
      <w:r>
        <w:t xml:space="preserve"> Cross-references for "the truth": Rom 1:9; Rom 9:1.</w:t>
      </w:r>
    </w:p>
  </w:footnote>
  <w:footnote w:id="18017">
    <w:p>
      <w:pPr>
        <w:pStyle w:val="FootnoteText"/>
      </w:pPr>
      <w:r>
        <w:rPr>
          <w:rStyle w:val="FootnoteReference"/>
        </w:rPr>
        <w:footnoteRef/>
      </w:r>
      <w:r>
        <w:t xml:space="preserve"> Cross-references for "that I may": 1Cor 9:12; 1Tim 5:14.</w:t>
      </w:r>
    </w:p>
  </w:footnote>
  <w:footnote w:id="18018">
    <w:p>
      <w:pPr>
        <w:pStyle w:val="FootnoteText"/>
      </w:pPr>
      <w:r>
        <w:rPr>
          <w:rStyle w:val="FootnoteReference"/>
        </w:rPr>
        <w:footnoteRef/>
      </w:r>
      <w:r>
        <w:t xml:space="preserve"> Cross-references for "false": Matt 25:24; Acts 15:1.</w:t>
      </w:r>
    </w:p>
  </w:footnote>
  <w:footnote w:id="18019">
    <w:p>
      <w:pPr>
        <w:pStyle w:val="FootnoteText"/>
      </w:pPr>
      <w:r>
        <w:rPr>
          <w:rStyle w:val="FootnoteReference"/>
        </w:rPr>
        <w:footnoteRef/>
      </w:r>
      <w:r>
        <w:t xml:space="preserve"> Cross-references for "receive me": 2Cor 11:1; 2Cor 11:19.</w:t>
      </w:r>
    </w:p>
  </w:footnote>
  <w:footnote w:id="18020">
    <w:p>
      <w:pPr>
        <w:pStyle w:val="FootnoteText"/>
      </w:pPr>
      <w:r>
        <w:rPr>
          <w:rStyle w:val="FootnoteReference"/>
        </w:rPr>
        <w:footnoteRef/>
      </w:r>
      <w:r>
        <w:t xml:space="preserve"> Cross-references for "I speak it": 1Cor 7:6; 1Cor 7:12.</w:t>
      </w:r>
    </w:p>
  </w:footnote>
  <w:footnote w:id="18021">
    <w:p>
      <w:pPr>
        <w:pStyle w:val="FootnoteText"/>
      </w:pPr>
      <w:r>
        <w:rPr>
          <w:rStyle w:val="FootnoteReference"/>
        </w:rPr>
        <w:footnoteRef/>
      </w:r>
      <w:r>
        <w:t xml:space="preserve"> Cross-references for "seeing": 1Cor 4:10; 1Cor 8:1.</w:t>
      </w:r>
    </w:p>
  </w:footnote>
  <w:footnote w:id="18022">
    <w:p>
      <w:pPr>
        <w:pStyle w:val="FootnoteText"/>
      </w:pPr>
      <w:r>
        <w:rPr>
          <w:rStyle w:val="FootnoteReference"/>
        </w:rPr>
        <w:footnoteRef/>
      </w:r>
      <w:r>
        <w:t xml:space="preserve"> Cross-references for "if a man bring": 2Cor 1:24; Gal 2:4.</w:t>
      </w:r>
    </w:p>
  </w:footnote>
  <w:footnote w:id="18023">
    <w:p>
      <w:pPr>
        <w:pStyle w:val="FootnoteText"/>
      </w:pPr>
      <w:r>
        <w:rPr>
          <w:rStyle w:val="FootnoteReference"/>
        </w:rPr>
        <w:footnoteRef/>
      </w:r>
      <w:r>
        <w:t xml:space="preserve"> Cross-references for "as though": 2Cor 10:1-2; 2Cor 10:10.</w:t>
      </w:r>
    </w:p>
  </w:footnote>
  <w:footnote w:id="18024">
    <w:p>
      <w:pPr>
        <w:pStyle w:val="FootnoteText"/>
      </w:pPr>
      <w:r>
        <w:rPr>
          <w:rStyle w:val="FootnoteReference"/>
        </w:rPr>
        <w:footnoteRef/>
      </w:r>
      <w:r>
        <w:t xml:space="preserve"> Cross-references for "Hebrews": Exod 3:18; Exod 5:3.</w:t>
      </w:r>
    </w:p>
  </w:footnote>
  <w:footnote w:id="18025">
    <w:p>
      <w:pPr>
        <w:pStyle w:val="FootnoteText"/>
      </w:pPr>
      <w:r>
        <w:rPr>
          <w:rStyle w:val="FootnoteReference"/>
        </w:rPr>
        <w:footnoteRef/>
      </w:r>
      <w:r>
        <w:t xml:space="preserve"> Cross-references for "ministers": 1Cor 3:5; 1Cor 4:1.</w:t>
      </w:r>
    </w:p>
  </w:footnote>
  <w:footnote w:id="18026">
    <w:p>
      <w:pPr>
        <w:pStyle w:val="FootnoteText"/>
      </w:pPr>
      <w:r>
        <w:rPr>
          <w:rStyle w:val="FootnoteReference"/>
        </w:rPr>
        <w:footnoteRef/>
      </w:r>
      <w:r>
        <w:t xml:space="preserve"> Cross-references for "forty": Deut 25:2-3; Matt 10:17.</w:t>
      </w:r>
    </w:p>
  </w:footnote>
  <w:footnote w:id="18027">
    <w:p>
      <w:pPr>
        <w:pStyle w:val="FootnoteText"/>
      </w:pPr>
      <w:r>
        <w:rPr>
          <w:rStyle w:val="FootnoteReference"/>
        </w:rPr>
        <w:footnoteRef/>
      </w:r>
      <w:r>
        <w:t xml:space="preserve"> Cross-references for "once": Matt 21:35; Acts 7:58-59.</w:t>
      </w:r>
    </w:p>
  </w:footnote>
  <w:footnote w:id="18028">
    <w:p>
      <w:pPr>
        <w:pStyle w:val="FootnoteText"/>
      </w:pPr>
      <w:r>
        <w:rPr>
          <w:rStyle w:val="FootnoteReference"/>
        </w:rPr>
        <w:footnoteRef/>
      </w:r>
      <w:r>
        <w:t xml:space="preserve"> Cross-references for "in perils by the": Acts 14:5; Acts 14:19.</w:t>
      </w:r>
    </w:p>
  </w:footnote>
  <w:footnote w:id="18029">
    <w:p>
      <w:pPr>
        <w:pStyle w:val="FootnoteText"/>
      </w:pPr>
      <w:r>
        <w:rPr>
          <w:rStyle w:val="FootnoteReference"/>
        </w:rPr>
        <w:footnoteRef/>
      </w:r>
      <w:r>
        <w:t xml:space="preserve"> Cross-references for "in watchings": Acts 20:31.</w:t>
      </w:r>
    </w:p>
  </w:footnote>
  <w:footnote w:id="18030">
    <w:p>
      <w:pPr>
        <w:pStyle w:val="FootnoteText"/>
      </w:pPr>
      <w:r>
        <w:rPr>
          <w:rStyle w:val="FootnoteReference"/>
        </w:rPr>
        <w:footnoteRef/>
      </w:r>
      <w:r>
        <w:t xml:space="preserve"> Cross-references for "those": 2Cor 11:23-27.</w:t>
      </w:r>
    </w:p>
  </w:footnote>
  <w:footnote w:id="18031">
    <w:p>
      <w:pPr>
        <w:pStyle w:val="FootnoteText"/>
      </w:pPr>
      <w:r>
        <w:rPr>
          <w:rStyle w:val="FootnoteReference"/>
        </w:rPr>
        <w:footnoteRef/>
      </w:r>
      <w:r>
        <w:t xml:space="preserve"> Cross-references for "is weak": Ezra 9:1-3; Rom 12:15.</w:t>
      </w:r>
    </w:p>
  </w:footnote>
  <w:footnote w:id="18032">
    <w:p>
      <w:pPr>
        <w:pStyle w:val="FootnoteText"/>
      </w:pPr>
      <w:r>
        <w:rPr>
          <w:rStyle w:val="FootnoteReference"/>
        </w:rPr>
        <w:footnoteRef/>
      </w:r>
      <w:r>
        <w:t xml:space="preserve"> Cross-references for "must": Prov 25:27; Prov 27:2.</w:t>
      </w:r>
    </w:p>
  </w:footnote>
  <w:footnote w:id="18033">
    <w:p>
      <w:pPr>
        <w:pStyle w:val="FootnoteText"/>
      </w:pPr>
      <w:r>
        <w:rPr>
          <w:rStyle w:val="FootnoteReference"/>
        </w:rPr>
        <w:footnoteRef/>
      </w:r>
      <w:r>
        <w:t xml:space="preserve"> Cross-references for "Damascus": Acts 9:24-25; 2Cor 11:26.</w:t>
      </w:r>
    </w:p>
  </w:footnote>
  <w:footnote w:id="18034">
    <w:p>
      <w:pPr>
        <w:pStyle w:val="FootnoteText"/>
      </w:pPr>
      <w:r>
        <w:rPr>
          <w:rStyle w:val="FootnoteReference"/>
        </w:rPr>
        <w:footnoteRef/>
      </w:r>
      <w:r>
        <w:t xml:space="preserve"> Personal name: Aretas. Personal-name meaning: Aretas — agreeable, virtuous. Source form: Aretas.</w:t>
      </w:r>
    </w:p>
  </w:footnote>
  <w:footnote w:id="18035">
    <w:p>
      <w:pPr>
        <w:pStyle w:val="FootnoteText"/>
      </w:pPr>
      <w:r>
        <w:rPr>
          <w:rStyle w:val="FootnoteReference"/>
        </w:rPr>
        <w:footnoteRef/>
      </w:r>
      <w:r>
        <w:t xml:space="preserve"> People-name: Damascenes. People-name meaning: Damascenes — people of Damascus. Source form: Damascenes.</w:t>
      </w:r>
    </w:p>
  </w:footnote>
  <w:footnote w:id="18036">
    <w:p>
      <w:pPr>
        <w:pStyle w:val="FootnoteText"/>
      </w:pPr>
      <w:r>
        <w:rPr>
          <w:rStyle w:val="FootnoteReference"/>
        </w:rPr>
        <w:footnoteRef/>
      </w:r>
      <w:r>
        <w:t xml:space="preserve"> Cross-references for "expedient": John 16:7; John 18:14.</w:t>
      </w:r>
    </w:p>
  </w:footnote>
  <w:footnote w:id="18037">
    <w:p>
      <w:pPr>
        <w:pStyle w:val="FootnoteText"/>
      </w:pPr>
      <w:r>
        <w:rPr>
          <w:rStyle w:val="FootnoteReference"/>
        </w:rPr>
        <w:footnoteRef/>
      </w:r>
      <w:r>
        <w:t xml:space="preserve"> Cross-references for "knew": 2Cor 12:3; 2Cor 12:5.</w:t>
      </w:r>
    </w:p>
  </w:footnote>
  <w:footnote w:id="18038">
    <w:p>
      <w:pPr>
        <w:pStyle w:val="FootnoteText"/>
      </w:pPr>
      <w:r>
        <w:rPr>
          <w:rStyle w:val="FootnoteReference"/>
        </w:rPr>
        <w:footnoteRef/>
      </w:r>
      <w:r>
        <w:t xml:space="preserve"> Cross-references for "paradise": Ezek 31:9; Luke 23:43.</w:t>
      </w:r>
    </w:p>
  </w:footnote>
  <w:footnote w:id="18039">
    <w:p>
      <w:pPr>
        <w:pStyle w:val="FootnoteText"/>
      </w:pPr>
      <w:r>
        <w:rPr>
          <w:rStyle w:val="FootnoteReference"/>
        </w:rPr>
        <w:footnoteRef/>
      </w:r>
      <w:r>
        <w:t xml:space="preserve"> Cross-references for "such": 2Cor 12:2-4.</w:t>
      </w:r>
    </w:p>
  </w:footnote>
  <w:footnote w:id="18040">
    <w:p>
      <w:pPr>
        <w:pStyle w:val="FootnoteText"/>
      </w:pPr>
      <w:r>
        <w:rPr>
          <w:rStyle w:val="FootnoteReference"/>
        </w:rPr>
        <w:footnoteRef/>
      </w:r>
      <w:r>
        <w:t xml:space="preserve"> Cross-references for "I would": 1Cor 3:5; 1Cor 3:9-10.</w:t>
      </w:r>
    </w:p>
  </w:footnote>
  <w:footnote w:id="18041">
    <w:p>
      <w:pPr>
        <w:pStyle w:val="FootnoteText"/>
      </w:pPr>
      <w:r>
        <w:rPr>
          <w:rStyle w:val="FootnoteReference"/>
        </w:rPr>
        <w:footnoteRef/>
      </w:r>
      <w:r>
        <w:t xml:space="preserve"> Cross-references for "a thorn": Gen 32:25; Gen 32:31.</w:t>
      </w:r>
    </w:p>
  </w:footnote>
  <w:footnote w:id="18042">
    <w:p>
      <w:pPr>
        <w:pStyle w:val="FootnoteText"/>
      </w:pPr>
      <w:r>
        <w:rPr>
          <w:rStyle w:val="FootnoteReference"/>
        </w:rPr>
        <w:footnoteRef/>
      </w:r>
      <w:r>
        <w:t xml:space="preserve"> Cross-references for "My grace": Exod 3:11-12; Exod 4:10-15.</w:t>
      </w:r>
    </w:p>
  </w:footnote>
  <w:footnote w:id="18043">
    <w:p>
      <w:pPr>
        <w:pStyle w:val="FootnoteText"/>
      </w:pPr>
      <w:r>
        <w:rPr>
          <w:rStyle w:val="FootnoteReference"/>
        </w:rPr>
        <w:footnoteRef/>
      </w:r>
      <w:r>
        <w:t xml:space="preserve"> Cross-references for "I take": Acts 5:41; Rom 5:3.</w:t>
      </w:r>
    </w:p>
  </w:footnote>
  <w:footnote w:id="18044">
    <w:p>
      <w:pPr>
        <w:pStyle w:val="FootnoteText"/>
      </w:pPr>
      <w:r>
        <w:rPr>
          <w:rStyle w:val="FootnoteReference"/>
        </w:rPr>
        <w:footnoteRef/>
      </w:r>
      <w:r>
        <w:t xml:space="preserve"> Cross-references for "become": 2Cor 1:6; 2Cor 11:1.</w:t>
      </w:r>
    </w:p>
  </w:footnote>
  <w:footnote w:id="18045">
    <w:p>
      <w:pPr>
        <w:pStyle w:val="FootnoteText"/>
      </w:pPr>
      <w:r>
        <w:rPr>
          <w:rStyle w:val="FootnoteReference"/>
        </w:rPr>
        <w:footnoteRef/>
      </w:r>
      <w:r>
        <w:t xml:space="preserve"> Cross-references for "I myself": 1Cor 9:6; 1Cor 9:12.</w:t>
      </w:r>
    </w:p>
  </w:footnote>
  <w:footnote w:id="18046">
    <w:p>
      <w:pPr>
        <w:pStyle w:val="FootnoteText"/>
      </w:pPr>
      <w:r>
        <w:rPr>
          <w:rStyle w:val="FootnoteReference"/>
        </w:rPr>
        <w:footnoteRef/>
      </w:r>
      <w:r>
        <w:t xml:space="preserve"> Cross-references for "the third": 1Cor 4:19; 1Cor 11:34.</w:t>
      </w:r>
    </w:p>
  </w:footnote>
  <w:footnote w:id="18047">
    <w:p>
      <w:pPr>
        <w:pStyle w:val="FootnoteText"/>
      </w:pPr>
      <w:r>
        <w:rPr>
          <w:rStyle w:val="FootnoteReference"/>
        </w:rPr>
        <w:footnoteRef/>
      </w:r>
      <w:r>
        <w:t xml:space="preserve"> Cross-references for "will": John 10:10-11; 2Cor 1:6.</w:t>
      </w:r>
    </w:p>
  </w:footnote>
  <w:footnote w:id="18048">
    <w:p>
      <w:pPr>
        <w:pStyle w:val="FootnoteText"/>
      </w:pPr>
      <w:r>
        <w:rPr>
          <w:rStyle w:val="FootnoteReference"/>
        </w:rPr>
        <w:footnoteRef/>
      </w:r>
      <w:r>
        <w:t xml:space="preserve"> Cross-references for "I did not": 2Cor 11:9-10; 2Cor 12:13.</w:t>
      </w:r>
    </w:p>
  </w:footnote>
  <w:footnote w:id="18049">
    <w:p>
      <w:pPr>
        <w:pStyle w:val="FootnoteText"/>
      </w:pPr>
      <w:r>
        <w:rPr>
          <w:rStyle w:val="FootnoteReference"/>
        </w:rPr>
        <w:footnoteRef/>
      </w:r>
      <w:r>
        <w:t xml:space="preserve"> Cross-references for "Titus": 2Cor 2:12-13; 2Cor 7:2.</w:t>
      </w:r>
    </w:p>
  </w:footnote>
  <w:footnote w:id="18050">
    <w:p>
      <w:pPr>
        <w:pStyle w:val="FootnoteText"/>
      </w:pPr>
      <w:r>
        <w:rPr>
          <w:rStyle w:val="FootnoteReference"/>
        </w:rPr>
        <w:footnoteRef/>
      </w:r>
      <w:r>
        <w:t xml:space="preserve"> Cross-references for "think": 2Cor 3:1; 2Cor 5:12.</w:t>
      </w:r>
    </w:p>
  </w:footnote>
  <w:footnote w:id="18051">
    <w:p>
      <w:pPr>
        <w:pStyle w:val="FootnoteText"/>
      </w:pPr>
      <w:r>
        <w:rPr>
          <w:rStyle w:val="FootnoteReference"/>
        </w:rPr>
        <w:footnoteRef/>
      </w:r>
      <w:r>
        <w:t xml:space="preserve"> Cross-references for "I shall not": 2Cor 12:21; 2Cor 13:9.</w:t>
      </w:r>
    </w:p>
  </w:footnote>
  <w:footnote w:id="18052">
    <w:p>
      <w:pPr>
        <w:pStyle w:val="FootnoteText"/>
      </w:pPr>
      <w:r>
        <w:rPr>
          <w:rStyle w:val="FootnoteReference"/>
        </w:rPr>
        <w:footnoteRef/>
      </w:r>
      <w:r>
        <w:t xml:space="preserve"> Cross-references for "my God": 2Cor 8:24; 2Cor 9:3-4.</w:t>
      </w:r>
    </w:p>
  </w:footnote>
  <w:footnote w:id="18053">
    <w:p>
      <w:pPr>
        <w:pStyle w:val="FootnoteText"/>
      </w:pPr>
      <w:r>
        <w:rPr>
          <w:rStyle w:val="FootnoteReference"/>
        </w:rPr>
        <w:footnoteRef/>
      </w:r>
      <w:r>
        <w:t xml:space="preserve"> Cross-references for "the third": 2Cor 12:14.</w:t>
      </w:r>
    </w:p>
  </w:footnote>
  <w:footnote w:id="18054">
    <w:p>
      <w:pPr>
        <w:pStyle w:val="FootnoteText"/>
      </w:pPr>
      <w:r>
        <w:rPr>
          <w:rStyle w:val="FootnoteReference"/>
        </w:rPr>
        <w:footnoteRef/>
      </w:r>
      <w:r>
        <w:t xml:space="preserve"> Cross-references for "told": 1Cor 4:19-21; 1Cor 5:5.</w:t>
      </w:r>
    </w:p>
  </w:footnote>
  <w:footnote w:id="18055">
    <w:p>
      <w:pPr>
        <w:pStyle w:val="FootnoteText"/>
      </w:pPr>
      <w:r>
        <w:rPr>
          <w:rStyle w:val="FootnoteReference"/>
        </w:rPr>
        <w:footnoteRef/>
      </w:r>
      <w:r>
        <w:t xml:space="preserve"> Cross-references for "Christ": Matt 10:20; Matt 18:18-20.</w:t>
      </w:r>
    </w:p>
  </w:footnote>
  <w:footnote w:id="18056">
    <w:p>
      <w:pPr>
        <w:pStyle w:val="FootnoteText"/>
      </w:pPr>
      <w:r>
        <w:rPr>
          <w:rStyle w:val="FootnoteReference"/>
        </w:rPr>
        <w:footnoteRef/>
      </w:r>
      <w:r>
        <w:t xml:space="preserve"> Cross-references for "we also": 1Cor 2:3; 2Cor 4:7-12.</w:t>
      </w:r>
    </w:p>
  </w:footnote>
  <w:footnote w:id="18057">
    <w:p>
      <w:pPr>
        <w:pStyle w:val="FootnoteText"/>
      </w:pPr>
      <w:r>
        <w:rPr>
          <w:rStyle w:val="FootnoteReference"/>
        </w:rPr>
        <w:footnoteRef/>
      </w:r>
      <w:r>
        <w:t xml:space="preserve"> Cross-references for "Examine": Ps 17:3; Ps 26:2.</w:t>
      </w:r>
    </w:p>
  </w:footnote>
  <w:footnote w:id="18058">
    <w:p>
      <w:pPr>
        <w:pStyle w:val="FootnoteText"/>
      </w:pPr>
      <w:r>
        <w:rPr>
          <w:rStyle w:val="FootnoteReference"/>
        </w:rPr>
        <w:footnoteRef/>
      </w:r>
      <w:r>
        <w:t xml:space="preserve"> Cross-references for "I pray": 1Chr 4:10; Matt 6:13.</w:t>
      </w:r>
    </w:p>
  </w:footnote>
  <w:footnote w:id="18059">
    <w:p>
      <w:pPr>
        <w:pStyle w:val="FootnoteText"/>
      </w:pPr>
      <w:r>
        <w:rPr>
          <w:rStyle w:val="FootnoteReference"/>
        </w:rPr>
        <w:footnoteRef/>
      </w:r>
      <w:r>
        <w:t xml:space="preserve"> Cross-references for "I write": 1Cor 4:21; 2Cor 2:3.</w:t>
      </w:r>
    </w:p>
  </w:footnote>
  <w:footnote w:id="18060">
    <w:p>
      <w:pPr>
        <w:pStyle w:val="FootnoteText"/>
      </w:pPr>
      <w:r>
        <w:rPr>
          <w:rStyle w:val="FootnoteReference"/>
        </w:rPr>
        <w:footnoteRef/>
      </w:r>
      <w:r>
        <w:t xml:space="preserve"> Cross-references for "farewell": Luke 9:61; Acts 15:29.</w:t>
      </w:r>
    </w:p>
  </w:footnote>
  <w:footnote w:id="18061">
    <w:p>
      <w:pPr>
        <w:pStyle w:val="FootnoteText"/>
      </w:pPr>
      <w:r>
        <w:rPr>
          <w:rStyle w:val="FootnoteReference"/>
        </w:rPr>
        <w:footnoteRef/>
      </w:r>
      <w:r>
        <w:t xml:space="preserve"> Cross-references for "The grace": Num 6:23-27; Matt 28:19.</w:t>
      </w:r>
    </w:p>
  </w:footnote>
  <w:footnote w:id="18062">
    <w:p>
      <w:pPr>
        <w:pStyle w:val="FootnoteText"/>
      </w:pPr>
      <w:r>
        <w:rPr>
          <w:rStyle w:val="FootnoteReference"/>
        </w:rPr>
        <w:footnoteRef/>
      </w:r>
      <w:r>
        <w:t xml:space="preserve"> Cross-references for "raised": Acts 2:24-32; Acts 3:15.</w:t>
      </w:r>
    </w:p>
  </w:footnote>
  <w:footnote w:id="18063">
    <w:p>
      <w:pPr>
        <w:pStyle w:val="FootnoteText"/>
      </w:pPr>
      <w:r>
        <w:rPr>
          <w:rStyle w:val="FootnoteReference"/>
        </w:rPr>
        <w:footnoteRef/>
      </w:r>
      <w:r>
        <w:t xml:space="preserve"> Cross-references for "gave": Matt 20:28; Matt 26:28.</w:t>
      </w:r>
    </w:p>
  </w:footnote>
  <w:footnote w:id="18064">
    <w:p>
      <w:pPr>
        <w:pStyle w:val="FootnoteText"/>
      </w:pPr>
      <w:r>
        <w:rPr>
          <w:rStyle w:val="FootnoteReference"/>
        </w:rPr>
        <w:footnoteRef/>
      </w:r>
      <w:r>
        <w:t xml:space="preserve"> Cross-references for "Amen": Matt 28:20.</w:t>
      </w:r>
    </w:p>
  </w:footnote>
  <w:footnote w:id="18065">
    <w:p>
      <w:pPr>
        <w:pStyle w:val="FootnoteText"/>
      </w:pPr>
      <w:r>
        <w:rPr>
          <w:rStyle w:val="FootnoteReference"/>
        </w:rPr>
        <w:footnoteRef/>
      </w:r>
      <w:r>
        <w:t xml:space="preserve"> Cross-references for "marvel": Mark 6:6; John 9:30.</w:t>
      </w:r>
    </w:p>
  </w:footnote>
  <w:footnote w:id="18066">
    <w:p>
      <w:pPr>
        <w:pStyle w:val="FootnoteText"/>
      </w:pPr>
      <w:r>
        <w:rPr>
          <w:rStyle w:val="FootnoteReference"/>
        </w:rPr>
        <w:footnoteRef/>
      </w:r>
      <w:r>
        <w:t xml:space="preserve"> Cross-references for "pervert": Jer 23:26; Matt 24:24.</w:t>
      </w:r>
    </w:p>
  </w:footnote>
  <w:footnote w:id="18067">
    <w:p>
      <w:pPr>
        <w:pStyle w:val="FootnoteText"/>
      </w:pPr>
      <w:r>
        <w:rPr>
          <w:rStyle w:val="FootnoteReference"/>
        </w:rPr>
        <w:footnoteRef/>
      </w:r>
      <w:r>
        <w:t xml:space="preserve"> Cross-references for "though": 1Cor 16:22; 2Cor 11:13-14.</w:t>
      </w:r>
    </w:p>
  </w:footnote>
  <w:footnote w:id="18068">
    <w:p>
      <w:pPr>
        <w:pStyle w:val="FootnoteText"/>
      </w:pPr>
      <w:r>
        <w:rPr>
          <w:rStyle w:val="FootnoteReference"/>
        </w:rPr>
        <w:footnoteRef/>
      </w:r>
      <w:r>
        <w:t xml:space="preserve"> Cross-references for "than": Deut 4:2; Deut 12:32.</w:t>
      </w:r>
    </w:p>
  </w:footnote>
  <w:footnote w:id="18069">
    <w:p>
      <w:pPr>
        <w:pStyle w:val="FootnoteText"/>
      </w:pPr>
      <w:r>
        <w:rPr>
          <w:rStyle w:val="FootnoteReference"/>
        </w:rPr>
        <w:footnoteRef/>
      </w:r>
      <w:r>
        <w:t xml:space="preserve"> Cross-references for "do I now": Acts 4:19-20; Acts 5:29.</w:t>
      </w:r>
    </w:p>
  </w:footnote>
  <w:footnote w:id="18070">
    <w:p>
      <w:pPr>
        <w:pStyle w:val="FootnoteText"/>
      </w:pPr>
      <w:r>
        <w:rPr>
          <w:rStyle w:val="FootnoteReference"/>
        </w:rPr>
        <w:footnoteRef/>
      </w:r>
      <w:r>
        <w:t xml:space="preserve"> Cross-references for "profited": Isa 29:13; Isa 57:12.</w:t>
      </w:r>
    </w:p>
  </w:footnote>
  <w:footnote w:id="18071">
    <w:p>
      <w:pPr>
        <w:pStyle w:val="FootnoteText"/>
      </w:pPr>
      <w:r>
        <w:rPr>
          <w:rStyle w:val="FootnoteReference"/>
        </w:rPr>
        <w:footnoteRef/>
      </w:r>
      <w:r>
        <w:t xml:space="preserve"> Cross-references for "reveal": Matt 16:17; 1Cor 2:9-13.</w:t>
      </w:r>
    </w:p>
  </w:footnote>
  <w:footnote w:id="18072">
    <w:p>
      <w:pPr>
        <w:pStyle w:val="FootnoteText"/>
      </w:pPr>
      <w:r>
        <w:rPr>
          <w:rStyle w:val="FootnoteReference"/>
        </w:rPr>
        <w:footnoteRef/>
      </w:r>
      <w:r>
        <w:t xml:space="preserve"> Cross-references for "went": Acts 9:20-25; Gal 1:18.</w:t>
      </w:r>
    </w:p>
  </w:footnote>
  <w:footnote w:id="18073">
    <w:p>
      <w:pPr>
        <w:pStyle w:val="FootnoteText"/>
      </w:pPr>
      <w:r>
        <w:rPr>
          <w:rStyle w:val="FootnoteReference"/>
        </w:rPr>
        <w:footnoteRef/>
      </w:r>
      <w:r>
        <w:t xml:space="preserve"> Place name: Arabia. Place-name meaning: Arabia — evening; desert; ravens. Source form: Arabia. Greek form: αραβιαν.</w:t>
      </w:r>
    </w:p>
  </w:footnote>
  <w:footnote w:id="18074">
    <w:p>
      <w:pPr>
        <w:pStyle w:val="FootnoteText"/>
      </w:pPr>
      <w:r>
        <w:rPr>
          <w:rStyle w:val="FootnoteReference"/>
        </w:rPr>
        <w:footnoteRef/>
      </w:r>
      <w:r>
        <w:t xml:space="preserve"> Cross-references for "I went up": Acts 9:26-29; Acts 22:17-18.</w:t>
      </w:r>
    </w:p>
  </w:footnote>
  <w:footnote w:id="18075">
    <w:p>
      <w:pPr>
        <w:pStyle w:val="FootnoteText"/>
      </w:pPr>
      <w:r>
        <w:rPr>
          <w:rStyle w:val="FootnoteReference"/>
        </w:rPr>
        <w:footnoteRef/>
      </w:r>
      <w:r>
        <w:t xml:space="preserve"> Cross-references for "James": Matt 10:3; Mark 3:18.</w:t>
      </w:r>
    </w:p>
  </w:footnote>
  <w:footnote w:id="18076">
    <w:p>
      <w:pPr>
        <w:pStyle w:val="FootnoteText"/>
      </w:pPr>
      <w:r>
        <w:rPr>
          <w:rStyle w:val="FootnoteReference"/>
        </w:rPr>
        <w:footnoteRef/>
      </w:r>
      <w:r>
        <w:t xml:space="preserve"> Cross-references for "I came": Acts 9:30; Acts 11:25-26.</w:t>
      </w:r>
    </w:p>
  </w:footnote>
  <w:footnote w:id="18077">
    <w:p>
      <w:pPr>
        <w:pStyle w:val="FootnoteText"/>
      </w:pPr>
      <w:r>
        <w:rPr>
          <w:rStyle w:val="FootnoteReference"/>
        </w:rPr>
        <w:footnoteRef/>
      </w:r>
      <w:r>
        <w:t xml:space="preserve"> Cross-references for "fourteen": Gal 1:18.</w:t>
      </w:r>
    </w:p>
  </w:footnote>
  <w:footnote w:id="18078">
    <w:p>
      <w:pPr>
        <w:pStyle w:val="FootnoteText"/>
      </w:pPr>
      <w:r>
        <w:rPr>
          <w:rStyle w:val="FootnoteReference"/>
        </w:rPr>
        <w:footnoteRef/>
      </w:r>
      <w:r>
        <w:t xml:space="preserve"> Cross-references for "communicated": Acts 15:4; Acts 15:12.</w:t>
      </w:r>
    </w:p>
  </w:footnote>
  <w:footnote w:id="18079">
    <w:p>
      <w:pPr>
        <w:pStyle w:val="FootnoteText"/>
      </w:pPr>
      <w:r>
        <w:rPr>
          <w:rStyle w:val="FootnoteReference"/>
        </w:rPr>
        <w:footnoteRef/>
      </w:r>
      <w:r>
        <w:t xml:space="preserve"> Cross-references for "liberty": Ps 51:12; Ps 119:45.</w:t>
      </w:r>
    </w:p>
  </w:footnote>
  <w:footnote w:id="18080">
    <w:p>
      <w:pPr>
        <w:pStyle w:val="FootnoteText"/>
      </w:pPr>
      <w:r>
        <w:rPr>
          <w:rStyle w:val="FootnoteReference"/>
        </w:rPr>
        <w:footnoteRef/>
      </w:r>
      <w:r>
        <w:t xml:space="preserve"> Cross-references for "these who": 2Cor 11:5; 2Cor 11:21-23.</w:t>
      </w:r>
    </w:p>
  </w:footnote>
  <w:footnote w:id="18081">
    <w:p>
      <w:pPr>
        <w:pStyle w:val="FootnoteText"/>
      </w:pPr>
      <w:r>
        <w:rPr>
          <w:rStyle w:val="FootnoteReference"/>
        </w:rPr>
        <w:footnoteRef/>
      </w:r>
      <w:r>
        <w:t xml:space="preserve"> Cross-references for "James": Acts 15:7; Acts 15:13.</w:t>
      </w:r>
    </w:p>
  </w:footnote>
  <w:footnote w:id="18082">
    <w:p>
      <w:pPr>
        <w:pStyle w:val="FootnoteText"/>
      </w:pPr>
      <w:r>
        <w:rPr>
          <w:rStyle w:val="FootnoteReference"/>
        </w:rPr>
        <w:footnoteRef/>
      </w:r>
      <w:r>
        <w:t xml:space="preserve"> Cross-references for "to Antioch": Acts 15:30-35.</w:t>
      </w:r>
    </w:p>
  </w:footnote>
  <w:footnote w:id="18083">
    <w:p>
      <w:pPr>
        <w:pStyle w:val="FootnoteText"/>
      </w:pPr>
      <w:r>
        <w:rPr>
          <w:rStyle w:val="FootnoteReference"/>
        </w:rPr>
        <w:footnoteRef/>
      </w:r>
      <w:r>
        <w:t xml:space="preserve"> Cross-references for "certain": Acts 21:18-25; Gal 2:9.</w:t>
      </w:r>
    </w:p>
  </w:footnote>
  <w:footnote w:id="18084">
    <w:p>
      <w:pPr>
        <w:pStyle w:val="FootnoteText"/>
      </w:pPr>
      <w:r>
        <w:rPr>
          <w:rStyle w:val="FootnoteReference"/>
        </w:rPr>
        <w:footnoteRef/>
      </w:r>
      <w:r>
        <w:t xml:space="preserve"> Cross-references for "the other": Gen 12:11-13; Gen 26:6-7.</w:t>
      </w:r>
    </w:p>
  </w:footnote>
  <w:footnote w:id="18085">
    <w:p>
      <w:pPr>
        <w:pStyle w:val="FootnoteText"/>
      </w:pPr>
      <w:r>
        <w:rPr>
          <w:rStyle w:val="FootnoteReference"/>
        </w:rPr>
        <w:footnoteRef/>
      </w:r>
      <w:r>
        <w:t xml:space="preserve"> Cross-references for "walked": Ps 15:2; Ps 58:1.</w:t>
      </w:r>
    </w:p>
  </w:footnote>
  <w:footnote w:id="18086">
    <w:p>
      <w:pPr>
        <w:pStyle w:val="FootnoteText"/>
      </w:pPr>
      <w:r>
        <w:rPr>
          <w:rStyle w:val="FootnoteReference"/>
        </w:rPr>
        <w:footnoteRef/>
      </w:r>
      <w:r>
        <w:t xml:space="preserve"> Cross-references for "Jews": Matt 3:7-9; John 8:39-41.</w:t>
      </w:r>
    </w:p>
  </w:footnote>
  <w:footnote w:id="18087">
    <w:p>
      <w:pPr>
        <w:pStyle w:val="FootnoteText"/>
      </w:pPr>
      <w:r>
        <w:rPr>
          <w:rStyle w:val="FootnoteReference"/>
        </w:rPr>
        <w:footnoteRef/>
      </w:r>
      <w:r>
        <w:t xml:space="preserve"> Translation note: Greek diakonos means servant or minister. The draft uses servant here so the question does not sound like an ecclesial office.</w:t>
      </w:r>
    </w:p>
  </w:footnote>
  <w:footnote w:id="18088">
    <w:p>
      <w:pPr>
        <w:pStyle w:val="FootnoteText"/>
      </w:pPr>
      <w:r>
        <w:rPr>
          <w:rStyle w:val="FootnoteReference"/>
        </w:rPr>
        <w:footnoteRef/>
      </w:r>
      <w:r>
        <w:t xml:space="preserve"> Cross-references for "dead": Rom 6:2; Rom 6:11.</w:t>
      </w:r>
    </w:p>
  </w:footnote>
  <w:footnote w:id="18089">
    <w:p>
      <w:pPr>
        <w:pStyle w:val="FootnoteText"/>
      </w:pPr>
      <w:r>
        <w:rPr>
          <w:rStyle w:val="FootnoteReference"/>
        </w:rPr>
        <w:footnoteRef/>
      </w:r>
      <w:r>
        <w:t xml:space="preserve"> Cross-references for "crucified": Rom 6:4-6; Rom 8:3-4.</w:t>
      </w:r>
    </w:p>
  </w:footnote>
  <w:footnote w:id="18090">
    <w:p>
      <w:pPr>
        <w:pStyle w:val="FootnoteText"/>
      </w:pPr>
      <w:r>
        <w:rPr>
          <w:rStyle w:val="FootnoteReference"/>
        </w:rPr>
        <w:footnoteRef/>
      </w:r>
      <w:r>
        <w:t xml:space="preserve"> Cross-references for "do not": Ps 33:10; Mark 7:9.</w:t>
      </w:r>
    </w:p>
  </w:footnote>
  <w:footnote w:id="18091">
    <w:p>
      <w:pPr>
        <w:pStyle w:val="FootnoteText"/>
      </w:pPr>
      <w:r>
        <w:rPr>
          <w:rStyle w:val="FootnoteReference"/>
        </w:rPr>
        <w:footnoteRef/>
      </w:r>
      <w:r>
        <w:t xml:space="preserve"> Cross-references for "foolish": Deut 32:6; 1Sam 13:13.</w:t>
      </w:r>
    </w:p>
  </w:footnote>
  <w:footnote w:id="18092">
    <w:p>
      <w:pPr>
        <w:pStyle w:val="FootnoteText"/>
      </w:pPr>
      <w:r>
        <w:rPr>
          <w:rStyle w:val="FootnoteReference"/>
        </w:rPr>
        <w:footnoteRef/>
      </w:r>
      <w:r>
        <w:t xml:space="preserve"> People-name: Galatians. People-name meaning: Galatians — white; the color of milk. Source form: Galatians.</w:t>
      </w:r>
    </w:p>
  </w:footnote>
  <w:footnote w:id="18093">
    <w:p>
      <w:pPr>
        <w:pStyle w:val="FootnoteText"/>
      </w:pPr>
      <w:r>
        <w:rPr>
          <w:rStyle w:val="FootnoteReference"/>
        </w:rPr>
        <w:footnoteRef/>
      </w:r>
      <w:r>
        <w:t xml:space="preserve"> Cross-references for "Received": Acts 2:38; Acts 8:15.</w:t>
      </w:r>
    </w:p>
  </w:footnote>
  <w:footnote w:id="18094">
    <w:p>
      <w:pPr>
        <w:pStyle w:val="FootnoteText"/>
      </w:pPr>
      <w:r>
        <w:rPr>
          <w:rStyle w:val="FootnoteReference"/>
        </w:rPr>
        <w:footnoteRef/>
      </w:r>
      <w:r>
        <w:t xml:space="preserve"> Cross-references for "by the works": Gal 3:2.</w:t>
      </w:r>
    </w:p>
  </w:footnote>
  <w:footnote w:id="18095">
    <w:p>
      <w:pPr>
        <w:pStyle w:val="FootnoteText"/>
      </w:pPr>
      <w:r>
        <w:rPr>
          <w:rStyle w:val="FootnoteReference"/>
        </w:rPr>
        <w:footnoteRef/>
      </w:r>
      <w:r>
        <w:t xml:space="preserve"> Cross-references for "Know": Ps 100:3; Luke 21:31.</w:t>
      </w:r>
    </w:p>
  </w:footnote>
  <w:footnote w:id="18096">
    <w:p>
      <w:pPr>
        <w:pStyle w:val="FootnoteText"/>
      </w:pPr>
      <w:r>
        <w:rPr>
          <w:rStyle w:val="FootnoteReference"/>
        </w:rPr>
        <w:footnoteRef/>
      </w:r>
      <w:r>
        <w:t xml:space="preserve"> Cross-references for "the scripture": John 7:38; John 7:42.</w:t>
      </w:r>
    </w:p>
  </w:footnote>
  <w:footnote w:id="18097">
    <w:p>
      <w:pPr>
        <w:pStyle w:val="FootnoteText"/>
      </w:pPr>
      <w:r>
        <w:rPr>
          <w:rStyle w:val="FootnoteReference"/>
        </w:rPr>
        <w:footnoteRef/>
      </w:r>
      <w:r>
        <w:t xml:space="preserve"> Cross-references for "as many": Luke 18:9-13; Rom 4:15.</w:t>
      </w:r>
    </w:p>
  </w:footnote>
  <w:footnote w:id="18098">
    <w:p>
      <w:pPr>
        <w:pStyle w:val="FootnoteText"/>
      </w:pPr>
      <w:r>
        <w:rPr>
          <w:rStyle w:val="FootnoteReference"/>
        </w:rPr>
        <w:footnoteRef/>
      </w:r>
      <w:r>
        <w:t xml:space="preserve"> Cross-references for "The just": Hab 2:4; Rom 1:17.</w:t>
      </w:r>
    </w:p>
  </w:footnote>
  <w:footnote w:id="18099">
    <w:p>
      <w:pPr>
        <w:pStyle w:val="FootnoteText"/>
      </w:pPr>
      <w:r>
        <w:rPr>
          <w:rStyle w:val="FootnoteReference"/>
        </w:rPr>
        <w:footnoteRef/>
      </w:r>
      <w:r>
        <w:t xml:space="preserve"> Cross-references for "the law": Rom 4:4-5; Rom 4:14.</w:t>
      </w:r>
    </w:p>
  </w:footnote>
  <w:footnote w:id="18100">
    <w:p>
      <w:pPr>
        <w:pStyle w:val="FootnoteText"/>
      </w:pPr>
      <w:r>
        <w:rPr>
          <w:rStyle w:val="FootnoteReference"/>
        </w:rPr>
        <w:footnoteRef/>
      </w:r>
      <w:r>
        <w:t xml:space="preserve"> Cross-references for "redeemed": Isa 55:5-7; Isa 55:10-12.</w:t>
      </w:r>
    </w:p>
  </w:footnote>
  <w:footnote w:id="18101">
    <w:p>
      <w:pPr>
        <w:pStyle w:val="FootnoteText"/>
      </w:pPr>
      <w:r>
        <w:rPr>
          <w:rStyle w:val="FootnoteReference"/>
        </w:rPr>
        <w:footnoteRef/>
      </w:r>
      <w:r>
        <w:t xml:space="preserve"> Cross-references for "the blessing": Gen 12:2-3; Isa 41:8.</w:t>
      </w:r>
    </w:p>
  </w:footnote>
  <w:footnote w:id="18102">
    <w:p>
      <w:pPr>
        <w:pStyle w:val="FootnoteText"/>
      </w:pPr>
      <w:r>
        <w:rPr>
          <w:rStyle w:val="FootnoteReference"/>
        </w:rPr>
        <w:footnoteRef/>
      </w:r>
      <w:r>
        <w:t xml:space="preserve"> Cross-references for "I speak": Rom 6:19; 1Cor 15:32.</w:t>
      </w:r>
    </w:p>
  </w:footnote>
  <w:footnote w:id="18103">
    <w:p>
      <w:pPr>
        <w:pStyle w:val="FootnoteText"/>
      </w:pPr>
      <w:r>
        <w:rPr>
          <w:rStyle w:val="FootnoteReference"/>
        </w:rPr>
        <w:footnoteRef/>
      </w:r>
      <w:r>
        <w:t xml:space="preserve"> Cross-references for "the covenant": Gen 15:18; Gen 17:7-8.</w:t>
      </w:r>
    </w:p>
  </w:footnote>
  <w:footnote w:id="18104">
    <w:p>
      <w:pPr>
        <w:pStyle w:val="FootnoteText"/>
      </w:pPr>
      <w:r>
        <w:rPr>
          <w:rStyle w:val="FootnoteReference"/>
        </w:rPr>
        <w:footnoteRef/>
      </w:r>
      <w:r>
        <w:t xml:space="preserve"> Cross-references for "It was added": Deut 4:8-9; Ps 147:19-20.</w:t>
      </w:r>
    </w:p>
  </w:footnote>
  <w:footnote w:id="18105">
    <w:p>
      <w:pPr>
        <w:pStyle w:val="FootnoteText"/>
      </w:pPr>
      <w:r>
        <w:rPr>
          <w:rStyle w:val="FootnoteReference"/>
        </w:rPr>
        <w:footnoteRef/>
      </w:r>
      <w:r>
        <w:t xml:space="preserve"> Cross-references for "a mediator is": Job 9:33; Acts 12:20.</w:t>
      </w:r>
    </w:p>
  </w:footnote>
  <w:footnote w:id="18106">
    <w:p>
      <w:pPr>
        <w:pStyle w:val="FootnoteText"/>
      </w:pPr>
      <w:r>
        <w:rPr>
          <w:rStyle w:val="FootnoteReference"/>
        </w:rPr>
        <w:footnoteRef/>
      </w:r>
      <w:r>
        <w:t xml:space="preserve"> Cross-references for "the law": Matt 5:17-20; Rom 3:31.</w:t>
      </w:r>
    </w:p>
  </w:footnote>
  <w:footnote w:id="18107">
    <w:p>
      <w:pPr>
        <w:pStyle w:val="FootnoteText"/>
      </w:pPr>
      <w:r>
        <w:rPr>
          <w:rStyle w:val="FootnoteReference"/>
        </w:rPr>
        <w:footnoteRef/>
      </w:r>
      <w:r>
        <w:t xml:space="preserve"> Cross-references for "concluded": Ps 143:2; Rom 3:9-20.</w:t>
      </w:r>
    </w:p>
  </w:footnote>
  <w:footnote w:id="18108">
    <w:p>
      <w:pPr>
        <w:pStyle w:val="FootnoteText"/>
      </w:pPr>
      <w:r>
        <w:rPr>
          <w:rStyle w:val="FootnoteReference"/>
        </w:rPr>
        <w:footnoteRef/>
      </w:r>
      <w:r>
        <w:t xml:space="preserve"> Cross-references for "faith came": Gal 3:19; Gal 3:24-25.</w:t>
      </w:r>
    </w:p>
  </w:footnote>
  <w:footnote w:id="18109">
    <w:p>
      <w:pPr>
        <w:pStyle w:val="FootnoteText"/>
      </w:pPr>
      <w:r>
        <w:rPr>
          <w:rStyle w:val="FootnoteReference"/>
        </w:rPr>
        <w:footnoteRef/>
      </w:r>
      <w:r>
        <w:t xml:space="preserve"> Cross-references for "the law": Matt 5:17-18; Acts 13:38-39.</w:t>
      </w:r>
    </w:p>
  </w:footnote>
  <w:footnote w:id="18110">
    <w:p>
      <w:pPr>
        <w:pStyle w:val="FootnoteText"/>
      </w:pPr>
      <w:r>
        <w:rPr>
          <w:rStyle w:val="FootnoteReference"/>
        </w:rPr>
        <w:footnoteRef/>
      </w:r>
      <w:r>
        <w:t xml:space="preserve"> Cross-references for "faith": Gal 3:23.</w:t>
      </w:r>
    </w:p>
  </w:footnote>
  <w:footnote w:id="18111">
    <w:p>
      <w:pPr>
        <w:pStyle w:val="FootnoteText"/>
      </w:pPr>
      <w:r>
        <w:rPr>
          <w:rStyle w:val="FootnoteReference"/>
        </w:rPr>
        <w:footnoteRef/>
      </w:r>
      <w:r>
        <w:t xml:space="preserve"> Cross-references for "as many": Matt 28:19-20; Mark 16:15-16.</w:t>
      </w:r>
    </w:p>
  </w:footnote>
  <w:footnote w:id="18112">
    <w:p>
      <w:pPr>
        <w:pStyle w:val="FootnoteText"/>
      </w:pPr>
      <w:r>
        <w:rPr>
          <w:rStyle w:val="FootnoteReference"/>
        </w:rPr>
        <w:footnoteRef/>
      </w:r>
      <w:r>
        <w:t xml:space="preserve"> Cross-references for "male": 1Cor 7:14.</w:t>
      </w:r>
    </w:p>
  </w:footnote>
  <w:footnote w:id="18113">
    <w:p>
      <w:pPr>
        <w:pStyle w:val="FootnoteText"/>
      </w:pPr>
      <w:r>
        <w:rPr>
          <w:rStyle w:val="FootnoteReference"/>
        </w:rPr>
        <w:footnoteRef/>
      </w:r>
      <w:r>
        <w:t xml:space="preserve"> Cross-references for "Christ's": 1Cor 3:23; 1Cor 15:23.</w:t>
      </w:r>
    </w:p>
  </w:footnote>
  <w:footnote w:id="18114">
    <w:p>
      <w:pPr>
        <w:pStyle w:val="FootnoteText"/>
      </w:pPr>
      <w:r>
        <w:rPr>
          <w:rStyle w:val="FootnoteReference"/>
        </w:rPr>
        <w:footnoteRef/>
      </w:r>
      <w:r>
        <w:t xml:space="preserve"> Cross-references for "elements": Gal 4:9; Col 2:8.</w:t>
      </w:r>
    </w:p>
  </w:footnote>
  <w:footnote w:id="18115">
    <w:p>
      <w:pPr>
        <w:pStyle w:val="FootnoteText"/>
      </w:pPr>
      <w:r>
        <w:rPr>
          <w:rStyle w:val="FootnoteReference"/>
        </w:rPr>
        <w:footnoteRef/>
      </w:r>
      <w:r>
        <w:t xml:space="preserve"> Cross-references for "redeem": Matt 20:28; Luke 1:68.</w:t>
      </w:r>
    </w:p>
  </w:footnote>
  <w:footnote w:id="18116">
    <w:p>
      <w:pPr>
        <w:pStyle w:val="FootnoteText"/>
      </w:pPr>
      <w:r>
        <w:rPr>
          <w:rStyle w:val="FootnoteReference"/>
        </w:rPr>
        <w:footnoteRef/>
      </w:r>
      <w:r>
        <w:t xml:space="preserve"> Cross-references for "the Spirit": John 3:34; John 15:26.</w:t>
      </w:r>
    </w:p>
  </w:footnote>
  <w:footnote w:id="18117">
    <w:p>
      <w:pPr>
        <w:pStyle w:val="FootnoteText"/>
      </w:pPr>
      <w:r>
        <w:rPr>
          <w:rStyle w:val="FootnoteReference"/>
        </w:rPr>
        <w:footnoteRef/>
      </w:r>
      <w:r>
        <w:t xml:space="preserve"> Cross-references for "heir": Gen 15:1; Gen 17:7-8.</w:t>
      </w:r>
    </w:p>
  </w:footnote>
  <w:footnote w:id="18118">
    <w:p>
      <w:pPr>
        <w:pStyle w:val="FootnoteText"/>
      </w:pPr>
      <w:r>
        <w:rPr>
          <w:rStyle w:val="FootnoteReference"/>
        </w:rPr>
        <w:footnoteRef/>
      </w:r>
      <w:r>
        <w:t xml:space="preserve"> Cross-references for "are known": Exod 33:17; Ps 1:6.</w:t>
      </w:r>
    </w:p>
  </w:footnote>
  <w:footnote w:id="18119">
    <w:p>
      <w:pPr>
        <w:pStyle w:val="FootnoteText"/>
      </w:pPr>
      <w:r>
        <w:rPr>
          <w:rStyle w:val="FootnoteReference"/>
        </w:rPr>
        <w:footnoteRef/>
      </w:r>
      <w:r>
        <w:t xml:space="preserve"> Cross-references for "an angel": 2Sam 14:17; 2Sam 19:27.</w:t>
      </w:r>
    </w:p>
  </w:footnote>
  <w:footnote w:id="18120">
    <w:p>
      <w:pPr>
        <w:pStyle w:val="FootnoteText"/>
      </w:pPr>
      <w:r>
        <w:rPr>
          <w:rStyle w:val="FootnoteReference"/>
        </w:rPr>
        <w:footnoteRef/>
      </w:r>
      <w:r>
        <w:t xml:space="preserve"> Cross-references for "the blessedness": Luke 8:13; Rom 4:6-9.</w:t>
      </w:r>
    </w:p>
  </w:footnote>
  <w:footnote w:id="18121">
    <w:p>
      <w:pPr>
        <w:pStyle w:val="FootnoteText"/>
      </w:pPr>
      <w:r>
        <w:rPr>
          <w:rStyle w:val="FootnoteReference"/>
        </w:rPr>
        <w:footnoteRef/>
      </w:r>
      <w:r>
        <w:t xml:space="preserve"> Cross-references for "become": 1Kgs 18:17-18; 1Kgs 21:20.</w:t>
      </w:r>
    </w:p>
  </w:footnote>
  <w:footnote w:id="18122">
    <w:p>
      <w:pPr>
        <w:pStyle w:val="FootnoteText"/>
      </w:pPr>
      <w:r>
        <w:rPr>
          <w:rStyle w:val="FootnoteReference"/>
        </w:rPr>
        <w:footnoteRef/>
      </w:r>
      <w:r>
        <w:t xml:space="preserve"> Cross-references for "zealously": Matt 23:15; Rom 10:2.</w:t>
      </w:r>
    </w:p>
  </w:footnote>
  <w:footnote w:id="18123">
    <w:p>
      <w:pPr>
        <w:pStyle w:val="FootnoteText"/>
      </w:pPr>
      <w:r>
        <w:rPr>
          <w:rStyle w:val="FootnoteReference"/>
        </w:rPr>
        <w:footnoteRef/>
      </w:r>
      <w:r>
        <w:t xml:space="preserve"> Cross-references for "little": 1Cor 4:14; 1Tim 1:2.</w:t>
      </w:r>
    </w:p>
  </w:footnote>
  <w:footnote w:id="18124">
    <w:p>
      <w:pPr>
        <w:pStyle w:val="FootnoteText"/>
      </w:pPr>
      <w:r>
        <w:rPr>
          <w:rStyle w:val="FootnoteReference"/>
        </w:rPr>
        <w:footnoteRef/>
      </w:r>
      <w:r>
        <w:t xml:space="preserve"> Cross-references for "to be": 1Cor 4:19-21; 1Thess 2:17-18.</w:t>
      </w:r>
    </w:p>
  </w:footnote>
  <w:footnote w:id="18125">
    <w:p>
      <w:pPr>
        <w:pStyle w:val="FootnoteText"/>
      </w:pPr>
      <w:r>
        <w:rPr>
          <w:rStyle w:val="FootnoteReference"/>
        </w:rPr>
        <w:footnoteRef/>
      </w:r>
      <w:r>
        <w:t xml:space="preserve"> Cross-references for "the law": John 10:34; John 12:34.</w:t>
      </w:r>
    </w:p>
  </w:footnote>
  <w:footnote w:id="18126">
    <w:p>
      <w:pPr>
        <w:pStyle w:val="FootnoteText"/>
      </w:pPr>
      <w:r>
        <w:rPr>
          <w:rStyle w:val="FootnoteReference"/>
        </w:rPr>
        <w:footnoteRef/>
      </w:r>
      <w:r>
        <w:t xml:space="preserve"> Cross-references for "born": Rom 9:7-8.</w:t>
      </w:r>
    </w:p>
  </w:footnote>
  <w:footnote w:id="18127">
    <w:p>
      <w:pPr>
        <w:pStyle w:val="FootnoteText"/>
      </w:pPr>
      <w:r>
        <w:rPr>
          <w:rStyle w:val="FootnoteReference"/>
        </w:rPr>
        <w:footnoteRef/>
      </w:r>
      <w:r>
        <w:t xml:space="preserve"> Cross-references for "an allegory": Ezek 20:49; Hos 11:10.</w:t>
      </w:r>
    </w:p>
  </w:footnote>
  <w:footnote w:id="18128">
    <w:p>
      <w:pPr>
        <w:pStyle w:val="FootnoteText"/>
      </w:pPr>
      <w:r>
        <w:rPr>
          <w:rStyle w:val="FootnoteReference"/>
        </w:rPr>
        <w:footnoteRef/>
      </w:r>
      <w:r>
        <w:t xml:space="preserve"> Transliterated proper noun: Agar. Standard English equivalent: Hagar. Source form: Agar. Greek form: αγαρ. Name meaning: Flight; fugitive; sojourner.</w:t>
      </w:r>
    </w:p>
  </w:footnote>
  <w:footnote w:id="18129">
    <w:p>
      <w:pPr>
        <w:pStyle w:val="FootnoteText"/>
      </w:pPr>
      <w:r>
        <w:rPr>
          <w:rStyle w:val="FootnoteReference"/>
        </w:rPr>
        <w:footnoteRef/>
      </w:r>
      <w:r>
        <w:t xml:space="preserve"> Cross-references for "Sinai": Deut 33:2; Judg 5:5.</w:t>
      </w:r>
    </w:p>
  </w:footnote>
  <w:footnote w:id="18130">
    <w:p>
      <w:pPr>
        <w:pStyle w:val="FootnoteText"/>
      </w:pPr>
      <w:r>
        <w:rPr>
          <w:rStyle w:val="FootnoteReference"/>
        </w:rPr>
        <w:footnoteRef/>
      </w:r>
      <w:r>
        <w:t xml:space="preserve"> Cross-references for "Jerusalem": Ps 87:3-6; Isa 2:2-3.</w:t>
      </w:r>
    </w:p>
  </w:footnote>
  <w:footnote w:id="18131">
    <w:p>
      <w:pPr>
        <w:pStyle w:val="FootnoteText"/>
      </w:pPr>
      <w:r>
        <w:rPr>
          <w:rStyle w:val="FootnoteReference"/>
        </w:rPr>
        <w:footnoteRef/>
      </w:r>
      <w:r>
        <w:t xml:space="preserve"> Cross-references for "Rejoice": Isa 54:1-5.</w:t>
      </w:r>
    </w:p>
  </w:footnote>
  <w:footnote w:id="18132">
    <w:p>
      <w:pPr>
        <w:pStyle w:val="FootnoteText"/>
      </w:pPr>
      <w:r>
        <w:rPr>
          <w:rStyle w:val="FootnoteReference"/>
        </w:rPr>
        <w:footnoteRef/>
      </w:r>
      <w:r>
        <w:t xml:space="preserve"> Cross-references for "after the Spirit": John 3:5; John 15:9.</w:t>
      </w:r>
    </w:p>
  </w:footnote>
  <w:footnote w:id="18133">
    <w:p>
      <w:pPr>
        <w:pStyle w:val="FootnoteText"/>
      </w:pPr>
      <w:r>
        <w:rPr>
          <w:rStyle w:val="FootnoteReference"/>
        </w:rPr>
        <w:footnoteRef/>
      </w:r>
      <w:r>
        <w:t xml:space="preserve"> Cross-references for "Cast": Gen 21:10-12; Rom 11:7-11.</w:t>
      </w:r>
    </w:p>
  </w:footnote>
  <w:footnote w:id="18134">
    <w:p>
      <w:pPr>
        <w:pStyle w:val="FootnoteText"/>
      </w:pPr>
      <w:r>
        <w:rPr>
          <w:rStyle w:val="FootnoteReference"/>
        </w:rPr>
        <w:footnoteRef/>
      </w:r>
      <w:r>
        <w:t xml:space="preserve"> Cross-references for "Stand": Prov 23:23; 1Cor 15:58.</w:t>
      </w:r>
    </w:p>
  </w:footnote>
  <w:footnote w:id="18135">
    <w:p>
      <w:pPr>
        <w:pStyle w:val="FootnoteText"/>
      </w:pPr>
      <w:r>
        <w:rPr>
          <w:rStyle w:val="FootnoteReference"/>
        </w:rPr>
        <w:footnoteRef/>
      </w:r>
      <w:r>
        <w:t xml:space="preserve"> Cross-references for "I Paul": 1Cor 16:21; 2Cor 10:1.</w:t>
      </w:r>
    </w:p>
  </w:footnote>
  <w:footnote w:id="18136">
    <w:p>
      <w:pPr>
        <w:pStyle w:val="FootnoteText"/>
      </w:pPr>
      <w:r>
        <w:rPr>
          <w:rStyle w:val="FootnoteReference"/>
        </w:rPr>
        <w:footnoteRef/>
      </w:r>
      <w:r>
        <w:t xml:space="preserve"> Cross-references for "testify": Deut 8:19; Deut 31:21.</w:t>
      </w:r>
    </w:p>
  </w:footnote>
  <w:footnote w:id="18137">
    <w:p>
      <w:pPr>
        <w:pStyle w:val="FootnoteText"/>
      </w:pPr>
      <w:r>
        <w:rPr>
          <w:rStyle w:val="FootnoteReference"/>
        </w:rPr>
        <w:footnoteRef/>
      </w:r>
      <w:r>
        <w:t xml:space="preserve"> Cross-references for "justified": Rom 3:20; Rom 4:4-5.</w:t>
      </w:r>
    </w:p>
  </w:footnote>
  <w:footnote w:id="18138">
    <w:p>
      <w:pPr>
        <w:pStyle w:val="FootnoteText"/>
      </w:pPr>
      <w:r>
        <w:rPr>
          <w:rStyle w:val="FootnoteReference"/>
        </w:rPr>
        <w:footnoteRef/>
      </w:r>
      <w:r>
        <w:t xml:space="preserve"> Cross-references for "wait": Gen 49:18; Ps 25:3.</w:t>
      </w:r>
    </w:p>
  </w:footnote>
  <w:footnote w:id="18139">
    <w:p>
      <w:pPr>
        <w:pStyle w:val="FootnoteText"/>
      </w:pPr>
      <w:r>
        <w:rPr>
          <w:rStyle w:val="FootnoteReference"/>
        </w:rPr>
        <w:footnoteRef/>
      </w:r>
      <w:r>
        <w:t xml:space="preserve"> Cross-references for "faith": Matt 25:31-40; 2Cor 5:14.</w:t>
      </w:r>
    </w:p>
  </w:footnote>
  <w:footnote w:id="18140">
    <w:p>
      <w:pPr>
        <w:pStyle w:val="FootnoteText"/>
      </w:pPr>
      <w:r>
        <w:rPr>
          <w:rStyle w:val="FootnoteReference"/>
        </w:rPr>
        <w:footnoteRef/>
      </w:r>
      <w:r>
        <w:t xml:space="preserve"> Cross-references for "hinder you": Gal 3:1.</w:t>
      </w:r>
    </w:p>
  </w:footnote>
  <w:footnote w:id="18141">
    <w:p>
      <w:pPr>
        <w:pStyle w:val="FootnoteText"/>
      </w:pPr>
      <w:r>
        <w:rPr>
          <w:rStyle w:val="FootnoteReference"/>
        </w:rPr>
        <w:footnoteRef/>
      </w:r>
      <w:r>
        <w:t xml:space="preserve"> Cross-references for "confidence": 2Cor 1:15; 2Cor 2:3.</w:t>
      </w:r>
    </w:p>
  </w:footnote>
  <w:footnote w:id="18142">
    <w:p>
      <w:pPr>
        <w:pStyle w:val="FootnoteText"/>
      </w:pPr>
      <w:r>
        <w:rPr>
          <w:rStyle w:val="FootnoteReference"/>
        </w:rPr>
        <w:footnoteRef/>
      </w:r>
      <w:r>
        <w:t xml:space="preserve"> Cross-references for "only": 1Cor 8:9; 1Pet 2:16.</w:t>
      </w:r>
    </w:p>
  </w:footnote>
  <w:footnote w:id="18143">
    <w:p>
      <w:pPr>
        <w:pStyle w:val="FootnoteText"/>
      </w:pPr>
      <w:r>
        <w:rPr>
          <w:rStyle w:val="FootnoteReference"/>
        </w:rPr>
        <w:footnoteRef/>
      </w:r>
      <w:r>
        <w:t xml:space="preserve"> Cross-references for "Walk": Rom 8:1; Rom 8:4-5.</w:t>
      </w:r>
    </w:p>
  </w:footnote>
  <w:footnote w:id="18144">
    <w:p>
      <w:pPr>
        <w:pStyle w:val="FootnoteText"/>
      </w:pPr>
      <w:r>
        <w:rPr>
          <w:rStyle w:val="FootnoteReference"/>
        </w:rPr>
        <w:footnoteRef/>
      </w:r>
      <w:r>
        <w:t xml:space="preserve"> Cross-references for "the flesh": Ps 19:12-13; Ps 51:1-5.</w:t>
      </w:r>
    </w:p>
  </w:footnote>
  <w:footnote w:id="18145">
    <w:p>
      <w:pPr>
        <w:pStyle w:val="FootnoteText"/>
      </w:pPr>
      <w:r>
        <w:rPr>
          <w:rStyle w:val="FootnoteReference"/>
        </w:rPr>
        <w:footnoteRef/>
      </w:r>
      <w:r>
        <w:t xml:space="preserve"> Cross-references for "the works": Ps 17:4; John 3:6.</w:t>
      </w:r>
    </w:p>
  </w:footnote>
  <w:footnote w:id="18146">
    <w:p>
      <w:pPr>
        <w:pStyle w:val="FootnoteText"/>
      </w:pPr>
      <w:r>
        <w:rPr>
          <w:rStyle w:val="FootnoteReference"/>
        </w:rPr>
        <w:footnoteRef/>
      </w:r>
      <w:r>
        <w:t xml:space="preserve"> Cross-references for "witchcraft": Deut 18:10; 1Sam 15:23.</w:t>
      </w:r>
    </w:p>
  </w:footnote>
  <w:footnote w:id="18147">
    <w:p>
      <w:pPr>
        <w:pStyle w:val="FootnoteText"/>
      </w:pPr>
      <w:r>
        <w:rPr>
          <w:rStyle w:val="FootnoteReference"/>
        </w:rPr>
        <w:footnoteRef/>
      </w:r>
      <w:r>
        <w:t xml:space="preserve"> Cross-references for "drunkenness": Deut 21:20; Luke 21:34.</w:t>
      </w:r>
    </w:p>
  </w:footnote>
  <w:footnote w:id="18148">
    <w:p>
      <w:pPr>
        <w:pStyle w:val="FootnoteText"/>
      </w:pPr>
      <w:r>
        <w:rPr>
          <w:rStyle w:val="FootnoteReference"/>
        </w:rPr>
        <w:footnoteRef/>
      </w:r>
      <w:r>
        <w:t xml:space="preserve"> Cross-references for "the fruit": Ps 1:3; Ps 92:14.</w:t>
      </w:r>
    </w:p>
  </w:footnote>
  <w:footnote w:id="18149">
    <w:p>
      <w:pPr>
        <w:pStyle w:val="FootnoteText"/>
      </w:pPr>
      <w:r>
        <w:rPr>
          <w:rStyle w:val="FootnoteReference"/>
        </w:rPr>
        <w:footnoteRef/>
      </w:r>
      <w:r>
        <w:t xml:space="preserve"> Cross-references for "against": 1Tim 1:9.</w:t>
      </w:r>
    </w:p>
  </w:footnote>
  <w:footnote w:id="18150">
    <w:p>
      <w:pPr>
        <w:pStyle w:val="FootnoteText"/>
      </w:pPr>
      <w:r>
        <w:rPr>
          <w:rStyle w:val="FootnoteReference"/>
        </w:rPr>
        <w:footnoteRef/>
      </w:r>
      <w:r>
        <w:t xml:space="preserve"> Cross-references for "crucified": Rom 6:6; Rom 8:13.</w:t>
      </w:r>
    </w:p>
  </w:footnote>
  <w:footnote w:id="18151">
    <w:p>
      <w:pPr>
        <w:pStyle w:val="FootnoteText"/>
      </w:pPr>
      <w:r>
        <w:rPr>
          <w:rStyle w:val="FootnoteReference"/>
        </w:rPr>
        <w:footnoteRef/>
      </w:r>
      <w:r>
        <w:t xml:space="preserve"> Cross-references for "provoking": Gal 5:15; Jas 3:14-16.</w:t>
      </w:r>
    </w:p>
  </w:footnote>
  <w:footnote w:id="18152">
    <w:p>
      <w:pPr>
        <w:pStyle w:val="FootnoteText"/>
      </w:pPr>
      <w:r>
        <w:rPr>
          <w:rStyle w:val="FootnoteReference"/>
        </w:rPr>
        <w:footnoteRef/>
      </w:r>
      <w:r>
        <w:t xml:space="preserve"> Cross-references for "overtaken": Gen 9:20-24; Gen 12:11-13.</w:t>
      </w:r>
    </w:p>
  </w:footnote>
  <w:footnote w:id="18153">
    <w:p>
      <w:pPr>
        <w:pStyle w:val="FootnoteText"/>
      </w:pPr>
      <w:r>
        <w:rPr>
          <w:rStyle w:val="FootnoteReference"/>
        </w:rPr>
        <w:footnoteRef/>
      </w:r>
      <w:r>
        <w:t xml:space="preserve"> Cross-references for "Bear": Exod 23:5; Num 11:11-12.</w:t>
      </w:r>
    </w:p>
  </w:footnote>
  <w:footnote w:id="18154">
    <w:p>
      <w:pPr>
        <w:pStyle w:val="FootnoteText"/>
      </w:pPr>
      <w:r>
        <w:rPr>
          <w:rStyle w:val="FootnoteReference"/>
        </w:rPr>
        <w:footnoteRef/>
      </w:r>
      <w:r>
        <w:t xml:space="preserve"> Cross-references for "prove": Job 13:15; Ps 26:2.</w:t>
      </w:r>
    </w:p>
  </w:footnote>
  <w:footnote w:id="18155">
    <w:p>
      <w:pPr>
        <w:pStyle w:val="FootnoteText"/>
      </w:pPr>
      <w:r>
        <w:rPr>
          <w:rStyle w:val="FootnoteReference"/>
        </w:rPr>
        <w:footnoteRef/>
      </w:r>
      <w:r>
        <w:t xml:space="preserve"> Cross-references for "reap": Prov 22:8; Jer 12:13.</w:t>
      </w:r>
    </w:p>
  </w:footnote>
  <w:footnote w:id="18156">
    <w:p>
      <w:pPr>
        <w:pStyle w:val="FootnoteText"/>
      </w:pPr>
      <w:r>
        <w:rPr>
          <w:rStyle w:val="FootnoteReference"/>
        </w:rPr>
        <w:footnoteRef/>
      </w:r>
      <w:r>
        <w:t xml:space="preserve"> Cross-references for "well": Rom 2:7; 1Pet 2:15.</w:t>
      </w:r>
    </w:p>
  </w:footnote>
  <w:footnote w:id="18157">
    <w:p>
      <w:pPr>
        <w:pStyle w:val="FootnoteText"/>
      </w:pPr>
      <w:r>
        <w:rPr>
          <w:rStyle w:val="FootnoteReference"/>
        </w:rPr>
        <w:footnoteRef/>
      </w:r>
      <w:r>
        <w:t xml:space="preserve"> Cross-references for "opportunity": Eccl 9:10; John 9:4.</w:t>
      </w:r>
    </w:p>
  </w:footnote>
  <w:footnote w:id="18158">
    <w:p>
      <w:pPr>
        <w:pStyle w:val="FootnoteText"/>
      </w:pPr>
      <w:r>
        <w:rPr>
          <w:rStyle w:val="FootnoteReference"/>
        </w:rPr>
        <w:footnoteRef/>
      </w:r>
      <w:r>
        <w:t xml:space="preserve"> Cross-references for "written": Rom 16:22; 1Cor 16:21-23.</w:t>
      </w:r>
    </w:p>
  </w:footnote>
  <w:footnote w:id="18159">
    <w:p>
      <w:pPr>
        <w:pStyle w:val="FootnoteText"/>
      </w:pPr>
      <w:r>
        <w:rPr>
          <w:rStyle w:val="FootnoteReference"/>
        </w:rPr>
        <w:footnoteRef/>
      </w:r>
      <w:r>
        <w:t xml:space="preserve"> Cross-references for "as desire": Matt 6:2; Matt 6:5.</w:t>
      </w:r>
    </w:p>
  </w:footnote>
  <w:footnote w:id="18160">
    <w:p>
      <w:pPr>
        <w:pStyle w:val="FootnoteText"/>
      </w:pPr>
      <w:r>
        <w:rPr>
          <w:rStyle w:val="FootnoteReference"/>
        </w:rPr>
        <w:footnoteRef/>
      </w:r>
      <w:r>
        <w:t xml:space="preserve"> Cross-references for "keep": Matt 23:3; Matt 23:15.</w:t>
      </w:r>
    </w:p>
  </w:footnote>
  <w:footnote w:id="18161">
    <w:p>
      <w:pPr>
        <w:pStyle w:val="FootnoteText"/>
      </w:pPr>
      <w:r>
        <w:rPr>
          <w:rStyle w:val="FootnoteReference"/>
        </w:rPr>
        <w:footnoteRef/>
      </w:r>
      <w:r>
        <w:t xml:space="preserve"> Cross-references for "the world": Acts 20:23-24; Rom 6:6.</w:t>
      </w:r>
    </w:p>
  </w:footnote>
  <w:footnote w:id="18162">
    <w:p>
      <w:pPr>
        <w:pStyle w:val="FootnoteText"/>
      </w:pPr>
      <w:r>
        <w:rPr>
          <w:rStyle w:val="FootnoteReference"/>
        </w:rPr>
        <w:footnoteRef/>
      </w:r>
      <w:r>
        <w:t xml:space="preserve"> Cross-references for "walk": Ps 125:4-5; Gal 5:16.</w:t>
      </w:r>
    </w:p>
  </w:footnote>
  <w:footnote w:id="18163">
    <w:p>
      <w:pPr>
        <w:pStyle w:val="FootnoteText"/>
      </w:pPr>
      <w:r>
        <w:rPr>
          <w:rStyle w:val="FootnoteReference"/>
        </w:rPr>
        <w:footnoteRef/>
      </w:r>
      <w:r>
        <w:t xml:space="preserve"> Cross-references for "I bear": 2Cor 1:5; 2Cor 4:10.</w:t>
      </w:r>
    </w:p>
  </w:footnote>
  <w:footnote w:id="18164">
    <w:p>
      <w:pPr>
        <w:pStyle w:val="FootnoteText"/>
      </w:pPr>
      <w:r>
        <w:rPr>
          <w:rStyle w:val="FootnoteReference"/>
        </w:rPr>
        <w:footnoteRef/>
      </w:r>
      <w:r>
        <w:t xml:space="preserve"> Cross-references for "the grace": Rom 16:20; Rom 16:24.</w:t>
      </w:r>
    </w:p>
  </w:footnote>
  <w:footnote w:id="18165">
    <w:p>
      <w:pPr>
        <w:pStyle w:val="FootnoteText"/>
      </w:pPr>
      <w:r>
        <w:rPr>
          <w:rStyle w:val="FootnoteReference"/>
        </w:rPr>
        <w:footnoteRef/>
      </w:r>
      <w:r>
        <w:t xml:space="preserve"> Cross-references for "Blessed": Gen 14:20; 1Chr 29:20.</w:t>
      </w:r>
    </w:p>
  </w:footnote>
  <w:footnote w:id="18166">
    <w:p>
      <w:pPr>
        <w:pStyle w:val="FootnoteText"/>
      </w:pPr>
      <w:r>
        <w:rPr>
          <w:rStyle w:val="FootnoteReference"/>
        </w:rPr>
        <w:footnoteRef/>
      </w:r>
      <w:r>
        <w:t xml:space="preserve"> Cross-references for "love": Gal 5:6; Gal 5:13.</w:t>
      </w:r>
    </w:p>
  </w:footnote>
  <w:footnote w:id="18167">
    <w:p>
      <w:pPr>
        <w:pStyle w:val="FootnoteText"/>
      </w:pPr>
      <w:r>
        <w:rPr>
          <w:rStyle w:val="FootnoteReference"/>
        </w:rPr>
        <w:footnoteRef/>
      </w:r>
      <w:r>
        <w:t xml:space="preserve"> Cross-references for "predestinated": Rom 8:29-30; Eph 1:11.</w:t>
      </w:r>
    </w:p>
  </w:footnote>
  <w:footnote w:id="18168">
    <w:p>
      <w:pPr>
        <w:pStyle w:val="FootnoteText"/>
      </w:pPr>
      <w:r>
        <w:rPr>
          <w:rStyle w:val="FootnoteReference"/>
        </w:rPr>
        <w:footnoteRef/>
      </w:r>
      <w:r>
        <w:t xml:space="preserve"> Cross-references for "praise": Prov 16:4; Isa 43:21.</w:t>
      </w:r>
    </w:p>
  </w:footnote>
  <w:footnote w:id="18169">
    <w:p>
      <w:pPr>
        <w:pStyle w:val="FootnoteText"/>
      </w:pPr>
      <w:r>
        <w:rPr>
          <w:rStyle w:val="FootnoteReference"/>
        </w:rPr>
        <w:footnoteRef/>
      </w:r>
      <w:r>
        <w:t xml:space="preserve"> Cross-references for "the forgiveness": Exod 34:7; Ps 32:1-2.</w:t>
      </w:r>
    </w:p>
  </w:footnote>
  <w:footnote w:id="18170">
    <w:p>
      <w:pPr>
        <w:pStyle w:val="FootnoteText"/>
      </w:pPr>
      <w:r>
        <w:rPr>
          <w:rStyle w:val="FootnoteReference"/>
        </w:rPr>
        <w:footnoteRef/>
      </w:r>
      <w:r>
        <w:t xml:space="preserve"> Cross-references for "made": Matt 13:11; Rom 16:25-27.</w:t>
      </w:r>
    </w:p>
  </w:footnote>
  <w:footnote w:id="18171">
    <w:p>
      <w:pPr>
        <w:pStyle w:val="FootnoteText"/>
      </w:pPr>
      <w:r>
        <w:rPr>
          <w:rStyle w:val="FootnoteReference"/>
        </w:rPr>
        <w:footnoteRef/>
      </w:r>
      <w:r>
        <w:t xml:space="preserve"> Cross-references for "the purpose": Eph 1:9.</w:t>
      </w:r>
    </w:p>
  </w:footnote>
  <w:footnote w:id="18172">
    <w:p>
      <w:pPr>
        <w:pStyle w:val="FootnoteText"/>
      </w:pPr>
      <w:r>
        <w:rPr>
          <w:rStyle w:val="FootnoteReference"/>
        </w:rPr>
        <w:footnoteRef/>
      </w:r>
      <w:r>
        <w:t xml:space="preserve"> Cross-references for "the word": Ps 119:43; 2Cor 6:7.</w:t>
      </w:r>
    </w:p>
  </w:footnote>
  <w:footnote w:id="18173">
    <w:p>
      <w:pPr>
        <w:pStyle w:val="FootnoteText"/>
      </w:pPr>
      <w:r>
        <w:rPr>
          <w:rStyle w:val="FootnoteReference"/>
        </w:rPr>
        <w:footnoteRef/>
      </w:r>
      <w:r>
        <w:t xml:space="preserve"> Cross-references for "the redemption": Lev 25:24-34; Ps 74:2.</w:t>
      </w:r>
    </w:p>
  </w:footnote>
  <w:footnote w:id="18174">
    <w:p>
      <w:pPr>
        <w:pStyle w:val="FootnoteText"/>
      </w:pPr>
      <w:r>
        <w:rPr>
          <w:rStyle w:val="FootnoteReference"/>
        </w:rPr>
        <w:footnoteRef/>
      </w:r>
      <w:r>
        <w:t xml:space="preserve"> Cross-references for "faith": Gal 5:6; 1Thess 1:3.</w:t>
      </w:r>
    </w:p>
  </w:footnote>
  <w:footnote w:id="18175">
    <w:p>
      <w:pPr>
        <w:pStyle w:val="FootnoteText"/>
      </w:pPr>
      <w:r>
        <w:rPr>
          <w:rStyle w:val="FootnoteReference"/>
        </w:rPr>
        <w:footnoteRef/>
      </w:r>
      <w:r>
        <w:t xml:space="preserve"> Cross-references for "cease": 1Sam 7:8; 1Sam 12:23.</w:t>
      </w:r>
    </w:p>
  </w:footnote>
  <w:footnote w:id="18176">
    <w:p>
      <w:pPr>
        <w:pStyle w:val="FootnoteText"/>
      </w:pPr>
      <w:r>
        <w:rPr>
          <w:rStyle w:val="FootnoteReference"/>
        </w:rPr>
        <w:footnoteRef/>
      </w:r>
      <w:r>
        <w:t xml:space="preserve"> Cross-references for "the God": John 20:17; Eph 1:3.</w:t>
      </w:r>
    </w:p>
  </w:footnote>
  <w:footnote w:id="18177">
    <w:p>
      <w:pPr>
        <w:pStyle w:val="FootnoteText"/>
      </w:pPr>
      <w:r>
        <w:rPr>
          <w:rStyle w:val="FootnoteReference"/>
        </w:rPr>
        <w:footnoteRef/>
      </w:r>
      <w:r>
        <w:t xml:space="preserve"> Cross-references for "eyes": Ps 119:18; Isa 6:10.</w:t>
      </w:r>
    </w:p>
  </w:footnote>
  <w:footnote w:id="18178">
    <w:p>
      <w:pPr>
        <w:pStyle w:val="FootnoteText"/>
      </w:pPr>
      <w:r>
        <w:rPr>
          <w:rStyle w:val="FootnoteReference"/>
        </w:rPr>
        <w:footnoteRef/>
      </w:r>
      <w:r>
        <w:t xml:space="preserve"> Cross-references for "and set": Ps 110:1; Matt 22:43-45.</w:t>
      </w:r>
    </w:p>
  </w:footnote>
  <w:footnote w:id="18179">
    <w:p>
      <w:pPr>
        <w:pStyle w:val="FootnoteText"/>
      </w:pPr>
      <w:r>
        <w:rPr>
          <w:rStyle w:val="FootnoteReference"/>
        </w:rPr>
        <w:footnoteRef/>
      </w:r>
      <w:r>
        <w:t xml:space="preserve"> Cross-references for "principality": Dan 7:27; Rom 8:38-39.</w:t>
      </w:r>
    </w:p>
  </w:footnote>
  <w:footnote w:id="18180">
    <w:p>
      <w:pPr>
        <w:pStyle w:val="FootnoteText"/>
      </w:pPr>
      <w:r>
        <w:rPr>
          <w:rStyle w:val="FootnoteReference"/>
        </w:rPr>
        <w:footnoteRef/>
      </w:r>
      <w:r>
        <w:t xml:space="preserve"> Cross-references for "gave": 1Cor 11:3; Eph 4:15-16.</w:t>
      </w:r>
    </w:p>
  </w:footnote>
  <w:footnote w:id="18181">
    <w:p>
      <w:pPr>
        <w:pStyle w:val="FootnoteText"/>
      </w:pPr>
      <w:r>
        <w:rPr>
          <w:rStyle w:val="FootnoteReference"/>
        </w:rPr>
        <w:footnoteRef/>
      </w:r>
      <w:r>
        <w:t xml:space="preserve"> Cross-references for "dead": Matt 8:22; Luke 15:24.</w:t>
      </w:r>
    </w:p>
  </w:footnote>
  <w:footnote w:id="18182">
    <w:p>
      <w:pPr>
        <w:pStyle w:val="FootnoteText"/>
      </w:pPr>
      <w:r>
        <w:rPr>
          <w:rStyle w:val="FootnoteReference"/>
        </w:rPr>
        <w:footnoteRef/>
      </w:r>
      <w:r>
        <w:t xml:space="preserve"> Cross-references for "in time": Job 31:7; Acts 19:35.</w:t>
      </w:r>
    </w:p>
  </w:footnote>
  <w:footnote w:id="18183">
    <w:p>
      <w:pPr>
        <w:pStyle w:val="FootnoteText"/>
      </w:pPr>
      <w:r>
        <w:rPr>
          <w:rStyle w:val="FootnoteReference"/>
        </w:rPr>
        <w:footnoteRef/>
      </w:r>
      <w:r>
        <w:t xml:space="preserve"> Cross-references for "in times": Acts 14:16; Acts 17:30-31.</w:t>
      </w:r>
    </w:p>
  </w:footnote>
  <w:footnote w:id="18184">
    <w:p>
      <w:pPr>
        <w:pStyle w:val="FootnoteText"/>
      </w:pPr>
      <w:r>
        <w:rPr>
          <w:rStyle w:val="FootnoteReference"/>
        </w:rPr>
        <w:footnoteRef/>
      </w:r>
      <w:r>
        <w:t xml:space="preserve"> Cross-references for "dead": Rom 5:6; Rom 5:8.</w:t>
      </w:r>
    </w:p>
  </w:footnote>
  <w:footnote w:id="18185">
    <w:p>
      <w:pPr>
        <w:pStyle w:val="FootnoteText"/>
      </w:pPr>
      <w:r>
        <w:rPr>
          <w:rStyle w:val="FootnoteReference"/>
        </w:rPr>
        <w:footnoteRef/>
      </w:r>
      <w:r>
        <w:t xml:space="preserve"> Cross-references for "show": Eph 2:4; 2Thess 1:12.</w:t>
      </w:r>
    </w:p>
  </w:footnote>
  <w:footnote w:id="18186">
    <w:p>
      <w:pPr>
        <w:pStyle w:val="FootnoteText"/>
      </w:pPr>
      <w:r>
        <w:rPr>
          <w:rStyle w:val="FootnoteReference"/>
        </w:rPr>
        <w:footnoteRef/>
      </w:r>
      <w:r>
        <w:t xml:space="preserve"> Cross-references for "we are": Deut 32:6; Ps 100:3.</w:t>
      </w:r>
    </w:p>
  </w:footnote>
  <w:footnote w:id="18187">
    <w:p>
      <w:pPr>
        <w:pStyle w:val="FootnoteText"/>
      </w:pPr>
      <w:r>
        <w:rPr>
          <w:rStyle w:val="FootnoteReference"/>
        </w:rPr>
        <w:footnoteRef/>
      </w:r>
      <w:r>
        <w:t xml:space="preserve"> Cross-references for "remember": Deut 5:15; Deut 8:2.</w:t>
      </w:r>
    </w:p>
  </w:footnote>
  <w:footnote w:id="18188">
    <w:p>
      <w:pPr>
        <w:pStyle w:val="FootnoteText"/>
      </w:pPr>
      <w:r>
        <w:rPr>
          <w:rStyle w:val="FootnoteReference"/>
        </w:rPr>
        <w:footnoteRef/>
      </w:r>
      <w:r>
        <w:t xml:space="preserve"> Cross-references for "aliens": Ezra 4:3; Isa 61:5.</w:t>
      </w:r>
    </w:p>
  </w:footnote>
  <w:footnote w:id="18189">
    <w:p>
      <w:pPr>
        <w:pStyle w:val="FootnoteText"/>
      </w:pPr>
      <w:r>
        <w:rPr>
          <w:rStyle w:val="FootnoteReference"/>
        </w:rPr>
        <w:footnoteRef/>
      </w:r>
      <w:r>
        <w:t xml:space="preserve"> Cross-references for "both": Isa 19:24-25; Ezek 37:19-20.</w:t>
      </w:r>
    </w:p>
  </w:footnote>
  <w:footnote w:id="18190">
    <w:p>
      <w:pPr>
        <w:pStyle w:val="FootnoteText"/>
      </w:pPr>
      <w:r>
        <w:rPr>
          <w:rStyle w:val="FootnoteReference"/>
        </w:rPr>
        <w:footnoteRef/>
      </w:r>
      <w:r>
        <w:t xml:space="preserve"> Cross-references for "in his": Col 1:22; Heb 10:19-22.</w:t>
      </w:r>
    </w:p>
  </w:footnote>
  <w:footnote w:id="18191">
    <w:p>
      <w:pPr>
        <w:pStyle w:val="FootnoteText"/>
      </w:pPr>
      <w:r>
        <w:rPr>
          <w:rStyle w:val="FootnoteReference"/>
        </w:rPr>
        <w:footnoteRef/>
      </w:r>
      <w:r>
        <w:t xml:space="preserve"> Cross-references for "reconcile": Rom 5:10; 2Cor 5:18-21.</w:t>
      </w:r>
    </w:p>
  </w:footnote>
  <w:footnote w:id="18192">
    <w:p>
      <w:pPr>
        <w:pStyle w:val="FootnoteText"/>
      </w:pPr>
      <w:r>
        <w:rPr>
          <w:rStyle w:val="FootnoteReference"/>
        </w:rPr>
        <w:footnoteRef/>
      </w:r>
      <w:r>
        <w:t xml:space="preserve"> Cross-references for "and preached": Ps 85:10; Isa 27:5.</w:t>
      </w:r>
    </w:p>
  </w:footnote>
  <w:footnote w:id="18193">
    <w:p>
      <w:pPr>
        <w:pStyle w:val="FootnoteText"/>
      </w:pPr>
      <w:r>
        <w:rPr>
          <w:rStyle w:val="FootnoteReference"/>
        </w:rPr>
        <w:footnoteRef/>
      </w:r>
      <w:r>
        <w:t xml:space="preserve"> Cross-references for "strangers": Eph 2:12.</w:t>
      </w:r>
    </w:p>
  </w:footnote>
  <w:footnote w:id="18194">
    <w:p>
      <w:pPr>
        <w:pStyle w:val="FootnoteText"/>
      </w:pPr>
      <w:r>
        <w:rPr>
          <w:rStyle w:val="FootnoteReference"/>
        </w:rPr>
        <w:footnoteRef/>
      </w:r>
      <w:r>
        <w:t xml:space="preserve"> Cross-references for "built": Eph 4:12; 1Pet 2:4-5.</w:t>
      </w:r>
    </w:p>
  </w:footnote>
  <w:footnote w:id="18195">
    <w:p>
      <w:pPr>
        <w:pStyle w:val="FootnoteText"/>
      </w:pPr>
      <w:r>
        <w:rPr>
          <w:rStyle w:val="FootnoteReference"/>
        </w:rPr>
        <w:footnoteRef/>
      </w:r>
      <w:r>
        <w:t xml:space="preserve"> Cross-references for "fitly": Exod 26:1-37; 1Kgs 6:7.</w:t>
      </w:r>
    </w:p>
  </w:footnote>
  <w:footnote w:id="18196">
    <w:p>
      <w:pPr>
        <w:pStyle w:val="FootnoteText"/>
      </w:pPr>
      <w:r>
        <w:rPr>
          <w:rStyle w:val="FootnoteReference"/>
        </w:rPr>
        <w:footnoteRef/>
      </w:r>
      <w:r>
        <w:t xml:space="preserve"> Cross-references for "the dispensation": Acts 9:15; Acts 13:2.</w:t>
      </w:r>
    </w:p>
  </w:footnote>
  <w:footnote w:id="18197">
    <w:p>
      <w:pPr>
        <w:pStyle w:val="FootnoteText"/>
      </w:pPr>
      <w:r>
        <w:rPr>
          <w:rStyle w:val="FootnoteReference"/>
        </w:rPr>
        <w:footnoteRef/>
      </w:r>
      <w:r>
        <w:t xml:space="preserve"> Cross-references for "the mystery": Rom 11:25; Rom 16:25.</w:t>
      </w:r>
    </w:p>
  </w:footnote>
  <w:footnote w:id="18198">
    <w:p>
      <w:pPr>
        <w:pStyle w:val="FootnoteText"/>
      </w:pPr>
      <w:r>
        <w:rPr>
          <w:rStyle w:val="FootnoteReference"/>
        </w:rPr>
        <w:footnoteRef/>
      </w:r>
      <w:r>
        <w:t xml:space="preserve"> Cross-references for "the mystery": Luke 2:10-11; Luke 8:10.</w:t>
      </w:r>
    </w:p>
  </w:footnote>
  <w:footnote w:id="18199">
    <w:p>
      <w:pPr>
        <w:pStyle w:val="FootnoteText"/>
      </w:pPr>
      <w:r>
        <w:rPr>
          <w:rStyle w:val="FootnoteReference"/>
        </w:rPr>
        <w:footnoteRef/>
      </w:r>
      <w:r>
        <w:t xml:space="preserve"> Cross-references for "in other": Matt 13:17; Luke 10:24.</w:t>
      </w:r>
    </w:p>
  </w:footnote>
  <w:footnote w:id="18200">
    <w:p>
      <w:pPr>
        <w:pStyle w:val="FootnoteText"/>
      </w:pPr>
      <w:r>
        <w:rPr>
          <w:rStyle w:val="FootnoteReference"/>
        </w:rPr>
        <w:footnoteRef/>
      </w:r>
      <w:r>
        <w:t xml:space="preserve"> Cross-references for "partakers": Gal 3:14; 1John 1:3.</w:t>
      </w:r>
    </w:p>
  </w:footnote>
  <w:footnote w:id="18201">
    <w:p>
      <w:pPr>
        <w:pStyle w:val="FootnoteText"/>
      </w:pPr>
      <w:r>
        <w:rPr>
          <w:rStyle w:val="FootnoteReference"/>
        </w:rPr>
        <w:footnoteRef/>
      </w:r>
      <w:r>
        <w:t xml:space="preserve"> Cross-references for "who am": Prov 30:2-3; Rom 12:10.</w:t>
      </w:r>
    </w:p>
  </w:footnote>
  <w:footnote w:id="18202">
    <w:p>
      <w:pPr>
        <w:pStyle w:val="FootnoteText"/>
      </w:pPr>
      <w:r>
        <w:rPr>
          <w:rStyle w:val="FootnoteReference"/>
        </w:rPr>
        <w:footnoteRef/>
      </w:r>
      <w:r>
        <w:t xml:space="preserve"> Cross-references for "fellowship": Eph 1:9-10; Eph 3:3-5.</w:t>
      </w:r>
    </w:p>
  </w:footnote>
  <w:footnote w:id="18203">
    <w:p>
      <w:pPr>
        <w:pStyle w:val="FootnoteText"/>
      </w:pPr>
      <w:r>
        <w:rPr>
          <w:rStyle w:val="FootnoteReference"/>
        </w:rPr>
        <w:footnoteRef/>
      </w:r>
      <w:r>
        <w:t xml:space="preserve"> Cross-references for "intent": Exod 25:17-22; Ps 103:20.</w:t>
      </w:r>
    </w:p>
  </w:footnote>
  <w:footnote w:id="18204">
    <w:p>
      <w:pPr>
        <w:pStyle w:val="FootnoteText"/>
      </w:pPr>
      <w:r>
        <w:rPr>
          <w:rStyle w:val="FootnoteReference"/>
        </w:rPr>
        <w:footnoteRef/>
      </w:r>
      <w:r>
        <w:t xml:space="preserve"> Cross-references for "the Father": Eph 1:3.</w:t>
      </w:r>
    </w:p>
  </w:footnote>
  <w:footnote w:id="18205">
    <w:p>
      <w:pPr>
        <w:pStyle w:val="FootnoteText"/>
      </w:pPr>
      <w:r>
        <w:rPr>
          <w:rStyle w:val="FootnoteReference"/>
        </w:rPr>
        <w:footnoteRef/>
      </w:r>
      <w:r>
        <w:t xml:space="preserve"> Cross-references for "to be": Job 23:6; Ps 28:8.</w:t>
      </w:r>
    </w:p>
  </w:footnote>
  <w:footnote w:id="18206">
    <w:p>
      <w:pPr>
        <w:pStyle w:val="FootnoteText"/>
      </w:pPr>
      <w:r>
        <w:rPr>
          <w:rStyle w:val="FootnoteReference"/>
        </w:rPr>
        <w:footnoteRef/>
      </w:r>
      <w:r>
        <w:t xml:space="preserve"> Cross-references for "Christ": Isa 57:15; John 6:56.</w:t>
      </w:r>
    </w:p>
  </w:footnote>
  <w:footnote w:id="18207">
    <w:p>
      <w:pPr>
        <w:pStyle w:val="FootnoteText"/>
      </w:pPr>
      <w:r>
        <w:rPr>
          <w:rStyle w:val="FootnoteReference"/>
        </w:rPr>
        <w:footnoteRef/>
      </w:r>
      <w:r>
        <w:t xml:space="preserve"> Cross-references for "able": Job 11:7-9; Ps 103:11-12.</w:t>
      </w:r>
    </w:p>
  </w:footnote>
  <w:footnote w:id="18208">
    <w:p>
      <w:pPr>
        <w:pStyle w:val="FootnoteText"/>
      </w:pPr>
      <w:r>
        <w:rPr>
          <w:rStyle w:val="FootnoteReference"/>
        </w:rPr>
        <w:footnoteRef/>
      </w:r>
      <w:r>
        <w:t xml:space="preserve"> Cross-references for "to know": John 17:3; 2Cor 5:14.</w:t>
      </w:r>
    </w:p>
  </w:footnote>
  <w:footnote w:id="18209">
    <w:p>
      <w:pPr>
        <w:pStyle w:val="FootnoteText"/>
      </w:pPr>
      <w:r>
        <w:rPr>
          <w:rStyle w:val="FootnoteReference"/>
        </w:rPr>
        <w:footnoteRef/>
      </w:r>
      <w:r>
        <w:t xml:space="preserve"> Cross-references for "able": Gen 17:1; Gen 18:4.</w:t>
      </w:r>
    </w:p>
  </w:footnote>
  <w:footnote w:id="18210">
    <w:p>
      <w:pPr>
        <w:pStyle w:val="FootnoteText"/>
      </w:pPr>
      <w:r>
        <w:rPr>
          <w:rStyle w:val="FootnoteReference"/>
        </w:rPr>
        <w:footnoteRef/>
      </w:r>
      <w:r>
        <w:t xml:space="preserve"> Cross-references for "throughout": Eph 2:7; 1Pet 5:11.</w:t>
      </w:r>
    </w:p>
  </w:footnote>
  <w:footnote w:id="18211">
    <w:p>
      <w:pPr>
        <w:pStyle w:val="FootnoteText"/>
      </w:pPr>
      <w:r>
        <w:rPr>
          <w:rStyle w:val="FootnoteReference"/>
        </w:rPr>
        <w:footnoteRef/>
      </w:r>
      <w:r>
        <w:t xml:space="preserve"> Cross-references for "prisoner": Eph 3:1.</w:t>
      </w:r>
    </w:p>
  </w:footnote>
  <w:footnote w:id="18212">
    <w:p>
      <w:pPr>
        <w:pStyle w:val="FootnoteText"/>
      </w:pPr>
      <w:r>
        <w:rPr>
          <w:rStyle w:val="FootnoteReference"/>
        </w:rPr>
        <w:footnoteRef/>
      </w:r>
      <w:r>
        <w:t xml:space="preserve"> Cross-references for "lowliness": Num 12:3; Ps 45:4.</w:t>
      </w:r>
    </w:p>
  </w:footnote>
  <w:footnote w:id="18213">
    <w:p>
      <w:pPr>
        <w:pStyle w:val="FootnoteText"/>
      </w:pPr>
      <w:r>
        <w:rPr>
          <w:rStyle w:val="FootnoteReference"/>
        </w:rPr>
        <w:footnoteRef/>
      </w:r>
      <w:r>
        <w:t xml:space="preserve"> Cross-references for "one body": Rom 12:4-5; 1Cor 10:17.</w:t>
      </w:r>
    </w:p>
  </w:footnote>
  <w:footnote w:id="18214">
    <w:p>
      <w:pPr>
        <w:pStyle w:val="FootnoteText"/>
      </w:pPr>
      <w:r>
        <w:rPr>
          <w:rStyle w:val="FootnoteReference"/>
        </w:rPr>
        <w:footnoteRef/>
      </w:r>
      <w:r>
        <w:t xml:space="preserve"> Cross-references for "One Lord": Acts 2:36; Acts 10:36.</w:t>
      </w:r>
    </w:p>
  </w:footnote>
  <w:footnote w:id="18215">
    <w:p>
      <w:pPr>
        <w:pStyle w:val="FootnoteText"/>
      </w:pPr>
      <w:r>
        <w:rPr>
          <w:rStyle w:val="FootnoteReference"/>
        </w:rPr>
        <w:footnoteRef/>
      </w:r>
      <w:r>
        <w:t xml:space="preserve"> Cross-references for "and in": John 14:23; John 17:26.</w:t>
      </w:r>
    </w:p>
  </w:footnote>
  <w:footnote w:id="18216">
    <w:p>
      <w:pPr>
        <w:pStyle w:val="FootnoteText"/>
      </w:pPr>
      <w:r>
        <w:rPr>
          <w:rStyle w:val="FootnoteReference"/>
        </w:rPr>
        <w:footnoteRef/>
      </w:r>
      <w:r>
        <w:t xml:space="preserve"> Cross-references for "grace": 2Cor 6:1; Eph 3:8.</w:t>
      </w:r>
    </w:p>
  </w:footnote>
  <w:footnote w:id="18217">
    <w:p>
      <w:pPr>
        <w:pStyle w:val="FootnoteText"/>
      </w:pPr>
      <w:r>
        <w:rPr>
          <w:rStyle w:val="FootnoteReference"/>
        </w:rPr>
        <w:footnoteRef/>
      </w:r>
      <w:r>
        <w:t xml:space="preserve"> Cross-references for "he led": Judg 5:12; Col 2:15.</w:t>
      </w:r>
    </w:p>
  </w:footnote>
  <w:footnote w:id="18218">
    <w:p>
      <w:pPr>
        <w:pStyle w:val="FootnoteText"/>
      </w:pPr>
      <w:r>
        <w:rPr>
          <w:rStyle w:val="FootnoteReference"/>
        </w:rPr>
        <w:footnoteRef/>
      </w:r>
      <w:r>
        <w:t xml:space="preserve"> Cross-references for "he ascended": Prov 30:4; John 3:13.</w:t>
      </w:r>
    </w:p>
  </w:footnote>
  <w:footnote w:id="18219">
    <w:p>
      <w:pPr>
        <w:pStyle w:val="FootnoteText"/>
      </w:pPr>
      <w:r>
        <w:rPr>
          <w:rStyle w:val="FootnoteReference"/>
        </w:rPr>
        <w:footnoteRef/>
      </w:r>
      <w:r>
        <w:t xml:space="preserve"> Cross-references for "ascended": Acts 1:9; Acts 1:11.</w:t>
      </w:r>
    </w:p>
  </w:footnote>
  <w:footnote w:id="18220">
    <w:p>
      <w:pPr>
        <w:pStyle w:val="FootnoteText"/>
      </w:pPr>
      <w:r>
        <w:rPr>
          <w:rStyle w:val="FootnoteReference"/>
        </w:rPr>
        <w:footnoteRef/>
      </w:r>
      <w:r>
        <w:t xml:space="preserve"> Cross-references for "evangelists": Acts 21:8; 2Tim 4:5.</w:t>
      </w:r>
    </w:p>
  </w:footnote>
  <w:footnote w:id="18221">
    <w:p>
      <w:pPr>
        <w:pStyle w:val="FootnoteText"/>
      </w:pPr>
      <w:r>
        <w:rPr>
          <w:rStyle w:val="FootnoteReference"/>
        </w:rPr>
        <w:footnoteRef/>
      </w:r>
      <w:r>
        <w:t xml:space="preserve"> Cross-references for "perfecting": Luke 22:32; John 21:15-17.</w:t>
      </w:r>
    </w:p>
  </w:footnote>
  <w:footnote w:id="18222">
    <w:p>
      <w:pPr>
        <w:pStyle w:val="FootnoteText"/>
      </w:pPr>
      <w:r>
        <w:rPr>
          <w:rStyle w:val="FootnoteReference"/>
        </w:rPr>
        <w:footnoteRef/>
      </w:r>
      <w:r>
        <w:t xml:space="preserve"> Cross-references for "we all": Jer 32:38-39; Ezek 37:21-22.</w:t>
      </w:r>
    </w:p>
  </w:footnote>
  <w:footnote w:id="18223">
    <w:p>
      <w:pPr>
        <w:pStyle w:val="FootnoteText"/>
      </w:pPr>
      <w:r>
        <w:rPr>
          <w:rStyle w:val="FootnoteReference"/>
        </w:rPr>
        <w:footnoteRef/>
      </w:r>
      <w:r>
        <w:t xml:space="preserve"> Cross-references for "no more": Isa 28:9; Matt 18:3-4.</w:t>
      </w:r>
    </w:p>
  </w:footnote>
  <w:footnote w:id="18224">
    <w:p>
      <w:pPr>
        <w:pStyle w:val="FootnoteText"/>
      </w:pPr>
      <w:r>
        <w:rPr>
          <w:rStyle w:val="FootnoteReference"/>
        </w:rPr>
        <w:footnoteRef/>
      </w:r>
      <w:r>
        <w:t xml:space="preserve"> Cross-references for "speaking the truth": Judg 16:15; Ps 32:2.</w:t>
      </w:r>
    </w:p>
  </w:footnote>
  <w:footnote w:id="18225">
    <w:p>
      <w:pPr>
        <w:pStyle w:val="FootnoteText"/>
      </w:pPr>
      <w:r>
        <w:rPr>
          <w:rStyle w:val="FootnoteReference"/>
        </w:rPr>
        <w:footnoteRef/>
      </w:r>
      <w:r>
        <w:t xml:space="preserve"> Cross-references for "fitly": Job 10:10-11; Ps 139:15-16.</w:t>
      </w:r>
    </w:p>
  </w:footnote>
  <w:footnote w:id="18226">
    <w:p>
      <w:pPr>
        <w:pStyle w:val="FootnoteText"/>
      </w:pPr>
      <w:r>
        <w:rPr>
          <w:rStyle w:val="FootnoteReference"/>
        </w:rPr>
        <w:footnoteRef/>
      </w:r>
      <w:r>
        <w:t xml:space="preserve"> Cross-references for "testify": Neh 9:29-30; Neh 13:15.</w:t>
      </w:r>
    </w:p>
  </w:footnote>
  <w:footnote w:id="18227">
    <w:p>
      <w:pPr>
        <w:pStyle w:val="FootnoteText"/>
      </w:pPr>
      <w:r>
        <w:rPr>
          <w:rStyle w:val="FootnoteReference"/>
        </w:rPr>
        <w:footnoteRef/>
      </w:r>
      <w:r>
        <w:t xml:space="preserve"> Cross-references for "alienated": Rom 8:7-8; Gal 4:8.</w:t>
      </w:r>
    </w:p>
  </w:footnote>
  <w:footnote w:id="18228">
    <w:p>
      <w:pPr>
        <w:pStyle w:val="FootnoteText"/>
      </w:pPr>
      <w:r>
        <w:rPr>
          <w:rStyle w:val="FootnoteReference"/>
        </w:rPr>
        <w:footnoteRef/>
      </w:r>
      <w:r>
        <w:t xml:space="preserve"> Cross-references for "past": 1Tim 4:2.</w:t>
      </w:r>
    </w:p>
  </w:footnote>
  <w:footnote w:id="18229">
    <w:p>
      <w:pPr>
        <w:pStyle w:val="FootnoteText"/>
      </w:pPr>
      <w:r>
        <w:rPr>
          <w:rStyle w:val="FootnoteReference"/>
        </w:rPr>
        <w:footnoteRef/>
      </w:r>
      <w:r>
        <w:t xml:space="preserve"> Cross-references for "heard": Matt 17:5; Luke 10:16.</w:t>
      </w:r>
    </w:p>
  </w:footnote>
  <w:footnote w:id="18230">
    <w:p>
      <w:pPr>
        <w:pStyle w:val="FootnoteText"/>
      </w:pPr>
      <w:r>
        <w:rPr>
          <w:rStyle w:val="FootnoteReference"/>
        </w:rPr>
        <w:footnoteRef/>
      </w:r>
      <w:r>
        <w:t xml:space="preserve"> Cross-references for "former": Gal 1:13; Eph 2:3.</w:t>
      </w:r>
    </w:p>
  </w:footnote>
  <w:footnote w:id="18231">
    <w:p>
      <w:pPr>
        <w:pStyle w:val="FootnoteText"/>
      </w:pPr>
      <w:r>
        <w:rPr>
          <w:rStyle w:val="FootnoteReference"/>
        </w:rPr>
        <w:footnoteRef/>
      </w:r>
      <w:r>
        <w:t xml:space="preserve"> Cross-references for "created": Gal 6:15; Eph 2:10.</w:t>
      </w:r>
    </w:p>
  </w:footnote>
  <w:footnote w:id="18232">
    <w:p>
      <w:pPr>
        <w:pStyle w:val="FootnoteText"/>
      </w:pPr>
      <w:r>
        <w:rPr>
          <w:rStyle w:val="FootnoteReference"/>
        </w:rPr>
        <w:footnoteRef/>
      </w:r>
      <w:r>
        <w:t xml:space="preserve"> Cross-references for "putting": Lev 19:11; 1Kgs 13:18.</w:t>
      </w:r>
    </w:p>
  </w:footnote>
  <w:footnote w:id="18233">
    <w:p>
      <w:pPr>
        <w:pStyle w:val="FootnoteText"/>
      </w:pPr>
      <w:r>
        <w:rPr>
          <w:rStyle w:val="FootnoteReference"/>
        </w:rPr>
        <w:footnoteRef/>
      </w:r>
      <w:r>
        <w:t xml:space="preserve"> Cross-references for "steal no more": Job 34:32; Prov 28:13.</w:t>
      </w:r>
    </w:p>
  </w:footnote>
  <w:footnote w:id="18234">
    <w:p>
      <w:pPr>
        <w:pStyle w:val="FootnoteText"/>
      </w:pPr>
      <w:r>
        <w:rPr>
          <w:rStyle w:val="FootnoteReference"/>
        </w:rPr>
        <w:footnoteRef/>
      </w:r>
      <w:r>
        <w:t xml:space="preserve"> Cross-references for "that which": Deut 6:6-9; Ps 37:30-31.</w:t>
      </w:r>
    </w:p>
  </w:footnote>
  <w:footnote w:id="18235">
    <w:p>
      <w:pPr>
        <w:pStyle w:val="FootnoteText"/>
      </w:pPr>
      <w:r>
        <w:rPr>
          <w:rStyle w:val="FootnoteReference"/>
        </w:rPr>
        <w:footnoteRef/>
      </w:r>
      <w:r>
        <w:t xml:space="preserve"> Cross-references for "grieve": Gen 6:3; Gen 6:6.</w:t>
      </w:r>
    </w:p>
  </w:footnote>
  <w:footnote w:id="18236">
    <w:p>
      <w:pPr>
        <w:pStyle w:val="FootnoteText"/>
      </w:pPr>
      <w:r>
        <w:rPr>
          <w:rStyle w:val="FootnoteReference"/>
        </w:rPr>
        <w:footnoteRef/>
      </w:r>
      <w:r>
        <w:t xml:space="preserve"> Cross-references for "bitterness": Ps 64:3; Rom 3:14.</w:t>
      </w:r>
    </w:p>
  </w:footnote>
  <w:footnote w:id="18237">
    <w:p>
      <w:pPr>
        <w:pStyle w:val="FootnoteText"/>
      </w:pPr>
      <w:r>
        <w:rPr>
          <w:rStyle w:val="FootnoteReference"/>
        </w:rPr>
        <w:footnoteRef/>
      </w:r>
      <w:r>
        <w:t xml:space="preserve"> Cross-references for "kind": Ruth 2:20; Ps 112:4-5.</w:t>
      </w:r>
    </w:p>
  </w:footnote>
  <w:footnote w:id="18238">
    <w:p>
      <w:pPr>
        <w:pStyle w:val="FootnoteText"/>
      </w:pPr>
      <w:r>
        <w:rPr>
          <w:rStyle w:val="FootnoteReference"/>
        </w:rPr>
        <w:footnoteRef/>
      </w:r>
      <w:r>
        <w:t xml:space="preserve"> Cross-references for "followers": Lev 11:45; Matt 5:45.</w:t>
      </w:r>
    </w:p>
  </w:footnote>
  <w:footnote w:id="18239">
    <w:p>
      <w:pPr>
        <w:pStyle w:val="FootnoteText"/>
      </w:pPr>
      <w:r>
        <w:rPr>
          <w:rStyle w:val="FootnoteReference"/>
        </w:rPr>
        <w:footnoteRef/>
      </w:r>
      <w:r>
        <w:t xml:space="preserve"> Cross-references for "walk": John 13:34; Rom 14:16.</w:t>
      </w:r>
    </w:p>
  </w:footnote>
  <w:footnote w:id="18240">
    <w:p>
      <w:pPr>
        <w:pStyle w:val="FootnoteText"/>
      </w:pPr>
      <w:r>
        <w:rPr>
          <w:rStyle w:val="FootnoteReference"/>
        </w:rPr>
        <w:footnoteRef/>
      </w:r>
      <w:r>
        <w:t xml:space="preserve"> Cross-references for "covetousness": Exod 18:21; Exod 20:17.</w:t>
      </w:r>
    </w:p>
  </w:footnote>
  <w:footnote w:id="18241">
    <w:p>
      <w:pPr>
        <w:pStyle w:val="FootnoteText"/>
      </w:pPr>
      <w:r>
        <w:rPr>
          <w:rStyle w:val="FootnoteReference"/>
        </w:rPr>
        <w:footnoteRef/>
      </w:r>
      <w:r>
        <w:t xml:space="preserve"> Cross-references for "filthiness": Prov 12:23; Prov 15:2.</w:t>
      </w:r>
    </w:p>
  </w:footnote>
  <w:footnote w:id="18242">
    <w:p>
      <w:pPr>
        <w:pStyle w:val="FootnoteText"/>
      </w:pPr>
      <w:r>
        <w:rPr>
          <w:rStyle w:val="FootnoteReference"/>
        </w:rPr>
        <w:footnoteRef/>
      </w:r>
      <w:r>
        <w:t xml:space="preserve"> Cross-references for "that no": Eph 5:3; Heb 13:4.</w:t>
      </w:r>
    </w:p>
  </w:footnote>
  <w:footnote w:id="18243">
    <w:p>
      <w:pPr>
        <w:pStyle w:val="FootnoteText"/>
      </w:pPr>
      <w:r>
        <w:rPr>
          <w:rStyle w:val="FootnoteReference"/>
        </w:rPr>
        <w:footnoteRef/>
      </w:r>
      <w:r>
        <w:t xml:space="preserve"> Cross-references for "vain": 2Kgs 18:20; Jer 23:14-16.</w:t>
      </w:r>
    </w:p>
  </w:footnote>
  <w:footnote w:id="18244">
    <w:p>
      <w:pPr>
        <w:pStyle w:val="FootnoteText"/>
      </w:pPr>
      <w:r>
        <w:rPr>
          <w:rStyle w:val="FootnoteReference"/>
        </w:rPr>
        <w:footnoteRef/>
      </w:r>
      <w:r>
        <w:t xml:space="preserve"> Cross-references for "walk": Isa 2:5; Luke 16:8.</w:t>
      </w:r>
    </w:p>
  </w:footnote>
  <w:footnote w:id="18245">
    <w:p>
      <w:pPr>
        <w:pStyle w:val="FootnoteText"/>
      </w:pPr>
      <w:r>
        <w:rPr>
          <w:rStyle w:val="FootnoteReference"/>
        </w:rPr>
        <w:footnoteRef/>
      </w:r>
      <w:r>
        <w:t xml:space="preserve"> Cross-references for "the fruit": Gal 5:22-23.</w:t>
      </w:r>
    </w:p>
  </w:footnote>
  <w:footnote w:id="18246">
    <w:p>
      <w:pPr>
        <w:pStyle w:val="FootnoteText"/>
      </w:pPr>
      <w:r>
        <w:rPr>
          <w:rStyle w:val="FootnoteReference"/>
        </w:rPr>
        <w:footnoteRef/>
      </w:r>
      <w:r>
        <w:t xml:space="preserve"> Cross-references for "Proving": 1Sam 17:39; Rom 12:1-2.</w:t>
      </w:r>
    </w:p>
  </w:footnote>
  <w:footnote w:id="18247">
    <w:p>
      <w:pPr>
        <w:pStyle w:val="FootnoteText"/>
      </w:pPr>
      <w:r>
        <w:rPr>
          <w:rStyle w:val="FootnoteReference"/>
        </w:rPr>
        <w:footnoteRef/>
      </w:r>
      <w:r>
        <w:t xml:space="preserve"> Cross-references for "unfruitful": Prov 1:31; Isa 3:10-11.</w:t>
      </w:r>
    </w:p>
  </w:footnote>
  <w:footnote w:id="18248">
    <w:p>
      <w:pPr>
        <w:pStyle w:val="FootnoteText"/>
      </w:pPr>
      <w:r>
        <w:rPr>
          <w:rStyle w:val="FootnoteReference"/>
        </w:rPr>
        <w:footnoteRef/>
      </w:r>
      <w:r>
        <w:t xml:space="preserve"> Cross-references for "reproved": Lam 2:14; Hos 2:10.</w:t>
      </w:r>
    </w:p>
  </w:footnote>
  <w:footnote w:id="18249">
    <w:p>
      <w:pPr>
        <w:pStyle w:val="FootnoteText"/>
      </w:pPr>
      <w:r>
        <w:rPr>
          <w:rStyle w:val="FootnoteReference"/>
        </w:rPr>
        <w:footnoteRef/>
      </w:r>
      <w:r>
        <w:t xml:space="preserve"> Cross-references for "Awake": Isa 51:17; Isa 52:1.</w:t>
      </w:r>
    </w:p>
  </w:footnote>
  <w:footnote w:id="18250">
    <w:p>
      <w:pPr>
        <w:pStyle w:val="FootnoteText"/>
      </w:pPr>
      <w:r>
        <w:rPr>
          <w:rStyle w:val="FootnoteReference"/>
        </w:rPr>
        <w:footnoteRef/>
      </w:r>
      <w:r>
        <w:t xml:space="preserve"> Cross-references for "walk": Exod 23:13; Matt 10:16.</w:t>
      </w:r>
    </w:p>
  </w:footnote>
  <w:footnote w:id="18251">
    <w:p>
      <w:pPr>
        <w:pStyle w:val="FootnoteText"/>
      </w:pPr>
      <w:r>
        <w:rPr>
          <w:rStyle w:val="FootnoteReference"/>
        </w:rPr>
        <w:footnoteRef/>
      </w:r>
      <w:r>
        <w:t xml:space="preserve"> Cross-references for "Redeeming": Eccl 9:10; Rom 13:11.</w:t>
      </w:r>
    </w:p>
  </w:footnote>
  <w:footnote w:id="18252">
    <w:p>
      <w:pPr>
        <w:pStyle w:val="FootnoteText"/>
      </w:pPr>
      <w:r>
        <w:rPr>
          <w:rStyle w:val="FootnoteReference"/>
        </w:rPr>
        <w:footnoteRef/>
      </w:r>
      <w:r>
        <w:t xml:space="preserve"> Cross-references for "understanding": Deut 4:6; 1Kgs 3:9-12.</w:t>
      </w:r>
    </w:p>
  </w:footnote>
  <w:footnote w:id="18253">
    <w:p>
      <w:pPr>
        <w:pStyle w:val="FootnoteText"/>
      </w:pPr>
      <w:r>
        <w:rPr>
          <w:rStyle w:val="FootnoteReference"/>
        </w:rPr>
        <w:footnoteRef/>
      </w:r>
      <w:r>
        <w:t xml:space="preserve"> Cross-references for "excess": Matt 23:25; 1Pet 4:3-4.</w:t>
      </w:r>
    </w:p>
  </w:footnote>
  <w:footnote w:id="18254">
    <w:p>
      <w:pPr>
        <w:pStyle w:val="FootnoteText"/>
      </w:pPr>
      <w:r>
        <w:rPr>
          <w:rStyle w:val="FootnoteReference"/>
        </w:rPr>
        <w:footnoteRef/>
      </w:r>
      <w:r>
        <w:t xml:space="preserve"> Cross-references for "to yourselves": Acts 16:25; 1Cor 14:26.</w:t>
      </w:r>
    </w:p>
  </w:footnote>
  <w:footnote w:id="18255">
    <w:p>
      <w:pPr>
        <w:pStyle w:val="FootnoteText"/>
      </w:pPr>
      <w:r>
        <w:rPr>
          <w:rStyle w:val="FootnoteReference"/>
        </w:rPr>
        <w:footnoteRef/>
      </w:r>
      <w:r>
        <w:t xml:space="preserve"> Cross-references for "thanks": Job 1:21; Ps 34:1.</w:t>
      </w:r>
    </w:p>
  </w:footnote>
  <w:footnote w:id="18256">
    <w:p>
      <w:pPr>
        <w:pStyle w:val="FootnoteText"/>
      </w:pPr>
      <w:r>
        <w:rPr>
          <w:rStyle w:val="FootnoteReference"/>
        </w:rPr>
        <w:footnoteRef/>
      </w:r>
      <w:r>
        <w:t xml:space="preserve"> Cross-references for "Submitting": Gen 16:9; 1Chr 29:24.</w:t>
      </w:r>
    </w:p>
  </w:footnote>
  <w:footnote w:id="18257">
    <w:p>
      <w:pPr>
        <w:pStyle w:val="FootnoteText"/>
      </w:pPr>
      <w:r>
        <w:rPr>
          <w:rStyle w:val="FootnoteReference"/>
        </w:rPr>
        <w:footnoteRef/>
      </w:r>
      <w:r>
        <w:t xml:space="preserve"> Cross-references for "submit": Gen 3:16; 1Cor 14:34.</w:t>
      </w:r>
    </w:p>
  </w:footnote>
  <w:footnote w:id="18258">
    <w:p>
      <w:pPr>
        <w:pStyle w:val="FootnoteText"/>
      </w:pPr>
      <w:r>
        <w:rPr>
          <w:rStyle w:val="FootnoteReference"/>
        </w:rPr>
        <w:footnoteRef/>
      </w:r>
      <w:r>
        <w:t xml:space="preserve"> Cross-references for "husband": 1Cor 11:3-10.</w:t>
      </w:r>
    </w:p>
  </w:footnote>
  <w:footnote w:id="18259">
    <w:p>
      <w:pPr>
        <w:pStyle w:val="FootnoteText"/>
      </w:pPr>
      <w:r>
        <w:rPr>
          <w:rStyle w:val="FootnoteReference"/>
        </w:rPr>
        <w:footnoteRef/>
      </w:r>
      <w:r>
        <w:t xml:space="preserve"> Cross-references for "love": Gen 2:24; Gen 24:67.</w:t>
      </w:r>
    </w:p>
  </w:footnote>
  <w:footnote w:id="18260">
    <w:p>
      <w:pPr>
        <w:pStyle w:val="FootnoteText"/>
      </w:pPr>
      <w:r>
        <w:rPr>
          <w:rStyle w:val="FootnoteReference"/>
        </w:rPr>
        <w:footnoteRef/>
      </w:r>
      <w:r>
        <w:t xml:space="preserve"> Cross-references for "glorious": Ps 45:13; Ps 87:3.</w:t>
      </w:r>
    </w:p>
  </w:footnote>
  <w:footnote w:id="18261">
    <w:p>
      <w:pPr>
        <w:pStyle w:val="FootnoteText"/>
      </w:pPr>
      <w:r>
        <w:rPr>
          <w:rStyle w:val="FootnoteReference"/>
        </w:rPr>
        <w:footnoteRef/>
      </w:r>
      <w:r>
        <w:t xml:space="preserve"> Cross-references for "hated": Prov 11:17; Eccl 4:5.</w:t>
      </w:r>
    </w:p>
  </w:footnote>
  <w:footnote w:id="18262">
    <w:p>
      <w:pPr>
        <w:pStyle w:val="FootnoteText"/>
      </w:pPr>
      <w:r>
        <w:rPr>
          <w:rStyle w:val="FootnoteReference"/>
        </w:rPr>
        <w:footnoteRef/>
      </w:r>
      <w:r>
        <w:t xml:space="preserve"> Cross-references for "a great": Eph 6:19; Col 2:2.</w:t>
      </w:r>
    </w:p>
  </w:footnote>
  <w:footnote w:id="18263">
    <w:p>
      <w:pPr>
        <w:pStyle w:val="FootnoteText"/>
      </w:pPr>
      <w:r>
        <w:rPr>
          <w:rStyle w:val="FootnoteReference"/>
        </w:rPr>
        <w:footnoteRef/>
      </w:r>
      <w:r>
        <w:t xml:space="preserve"> Cross-references for "reverence": 1Kgs 1:31; Eph 5:22.</w:t>
      </w:r>
    </w:p>
  </w:footnote>
  <w:footnote w:id="18264">
    <w:p>
      <w:pPr>
        <w:pStyle w:val="FootnoteText"/>
      </w:pPr>
      <w:r>
        <w:rPr>
          <w:rStyle w:val="FootnoteReference"/>
        </w:rPr>
        <w:footnoteRef/>
      </w:r>
      <w:r>
        <w:t xml:space="preserve"> Cross-references for "obey": Gen 28:7; Gen 37:13.</w:t>
      </w:r>
    </w:p>
  </w:footnote>
  <w:footnote w:id="18265">
    <w:p>
      <w:pPr>
        <w:pStyle w:val="FootnoteText"/>
      </w:pPr>
      <w:r>
        <w:rPr>
          <w:rStyle w:val="FootnoteReference"/>
        </w:rPr>
        <w:footnoteRef/>
      </w:r>
      <w:r>
        <w:t xml:space="preserve"> Cross-references for "doing": Matt 7:21; Matt 12:50.</w:t>
      </w:r>
    </w:p>
  </w:footnote>
  <w:footnote w:id="18266">
    <w:p>
      <w:pPr>
        <w:pStyle w:val="FootnoteText"/>
      </w:pPr>
      <w:r>
        <w:rPr>
          <w:rStyle w:val="FootnoteReference"/>
        </w:rPr>
        <w:footnoteRef/>
      </w:r>
      <w:r>
        <w:t xml:space="preserve"> Cross-references for "good": Gen 31:6; Gen 31:38-40.</w:t>
      </w:r>
    </w:p>
  </w:footnote>
  <w:footnote w:id="18267">
    <w:p>
      <w:pPr>
        <w:pStyle w:val="FootnoteText"/>
      </w:pPr>
      <w:r>
        <w:rPr>
          <w:rStyle w:val="FootnoteReference"/>
        </w:rPr>
        <w:footnoteRef/>
      </w:r>
      <w:r>
        <w:t xml:space="preserve"> Cross-references for "whether": Gal 3:28; Col 3:11.</w:t>
      </w:r>
    </w:p>
  </w:footnote>
  <w:footnote w:id="18268">
    <w:p>
      <w:pPr>
        <w:pStyle w:val="FootnoteText"/>
      </w:pPr>
      <w:r>
        <w:rPr>
          <w:rStyle w:val="FootnoteReference"/>
        </w:rPr>
        <w:footnoteRef/>
      </w:r>
      <w:r>
        <w:t xml:space="preserve"> Cross-references for "forbearing": Lev 25:43; 1Sam 15:17.</w:t>
      </w:r>
    </w:p>
  </w:footnote>
  <w:footnote w:id="18269">
    <w:p>
      <w:pPr>
        <w:pStyle w:val="FootnoteText"/>
      </w:pPr>
      <w:r>
        <w:rPr>
          <w:rStyle w:val="FootnoteReference"/>
        </w:rPr>
        <w:footnoteRef/>
      </w:r>
      <w:r>
        <w:t xml:space="preserve"> Cross-references for "Finally": 2Cor 13:11; Phil 3:1.</w:t>
      </w:r>
    </w:p>
  </w:footnote>
  <w:footnote w:id="18270">
    <w:p>
      <w:pPr>
        <w:pStyle w:val="FootnoteText"/>
      </w:pPr>
      <w:r>
        <w:rPr>
          <w:rStyle w:val="FootnoteReference"/>
        </w:rPr>
        <w:footnoteRef/>
      </w:r>
      <w:r>
        <w:t xml:space="preserve"> Cross-references for "the whole": Rom 13:12; 2Cor 6:7.</w:t>
      </w:r>
    </w:p>
  </w:footnote>
  <w:footnote w:id="18271">
    <w:p>
      <w:pPr>
        <w:pStyle w:val="FootnoteText"/>
      </w:pPr>
      <w:r>
        <w:rPr>
          <w:rStyle w:val="FootnoteReference"/>
        </w:rPr>
        <w:footnoteRef/>
      </w:r>
      <w:r>
        <w:t xml:space="preserve"> Cross-references for "wrestle": Luke 13:24; 1Cor 9:25-27.</w:t>
      </w:r>
    </w:p>
  </w:footnote>
  <w:footnote w:id="18272">
    <w:p>
      <w:pPr>
        <w:pStyle w:val="FootnoteText"/>
      </w:pPr>
      <w:r>
        <w:rPr>
          <w:rStyle w:val="FootnoteReference"/>
        </w:rPr>
        <w:footnoteRef/>
      </w:r>
      <w:r>
        <w:t xml:space="preserve"> Cross-references for "take": 2Cor 10:4; Eph 6:11-17.</w:t>
      </w:r>
    </w:p>
  </w:footnote>
  <w:footnote w:id="18273">
    <w:p>
      <w:pPr>
        <w:pStyle w:val="FootnoteText"/>
      </w:pPr>
      <w:r>
        <w:rPr>
          <w:rStyle w:val="FootnoteReference"/>
        </w:rPr>
        <w:footnoteRef/>
      </w:r>
      <w:r>
        <w:t xml:space="preserve"> Cross-references for "the breastplate": Isa 59:17; 1Thess 5:8.</w:t>
      </w:r>
    </w:p>
  </w:footnote>
  <w:footnote w:id="18274">
    <w:p>
      <w:pPr>
        <w:pStyle w:val="FootnoteText"/>
      </w:pPr>
      <w:r>
        <w:rPr>
          <w:rStyle w:val="FootnoteReference"/>
        </w:rPr>
        <w:footnoteRef/>
      </w:r>
      <w:r>
        <w:t xml:space="preserve"> Cross-references for "the shield": Gen 15:1; Ps 56:3-4.</w:t>
      </w:r>
    </w:p>
  </w:footnote>
  <w:footnote w:id="18275">
    <w:p>
      <w:pPr>
        <w:pStyle w:val="FootnoteText"/>
      </w:pPr>
      <w:r>
        <w:rPr>
          <w:rStyle w:val="FootnoteReference"/>
        </w:rPr>
        <w:footnoteRef/>
      </w:r>
      <w:r>
        <w:t xml:space="preserve"> Cross-references for "the helmet": 1Sam 17:5; 1Sam 17:58.</w:t>
      </w:r>
    </w:p>
  </w:footnote>
  <w:footnote w:id="18276">
    <w:p>
      <w:pPr>
        <w:pStyle w:val="FootnoteText"/>
      </w:pPr>
      <w:r>
        <w:rPr>
          <w:rStyle w:val="FootnoteReference"/>
        </w:rPr>
        <w:footnoteRef/>
      </w:r>
      <w:r>
        <w:t xml:space="preserve"> Cross-references for "Praying": Job 27:10; Ps 4:1.</w:t>
      </w:r>
    </w:p>
  </w:footnote>
  <w:footnote w:id="18277">
    <w:p>
      <w:pPr>
        <w:pStyle w:val="FootnoteText"/>
      </w:pPr>
      <w:r>
        <w:rPr>
          <w:rStyle w:val="FootnoteReference"/>
        </w:rPr>
        <w:footnoteRef/>
      </w:r>
      <w:r>
        <w:t xml:space="preserve"> Cross-references for "utterance": Acts 2:4; 1Cor 1:5.</w:t>
      </w:r>
    </w:p>
  </w:footnote>
  <w:footnote w:id="18278">
    <w:p>
      <w:pPr>
        <w:pStyle w:val="FootnoteText"/>
      </w:pPr>
      <w:r>
        <w:rPr>
          <w:rStyle w:val="FootnoteReference"/>
        </w:rPr>
        <w:footnoteRef/>
      </w:r>
      <w:r>
        <w:t xml:space="preserve"> Cross-references for "bonds": 2Sam 10:2-6; Acts 26:29.</w:t>
      </w:r>
    </w:p>
  </w:footnote>
  <w:footnote w:id="18279">
    <w:p>
      <w:pPr>
        <w:pStyle w:val="FootnoteText"/>
      </w:pPr>
      <w:r>
        <w:rPr>
          <w:rStyle w:val="FootnoteReference"/>
        </w:rPr>
        <w:footnoteRef/>
      </w:r>
      <w:r>
        <w:t xml:space="preserve"> Cross-references for "Tychicus": Acts 20:4; 2Tim 4:12.</w:t>
      </w:r>
    </w:p>
  </w:footnote>
  <w:footnote w:id="18280">
    <w:p>
      <w:pPr>
        <w:pStyle w:val="FootnoteText"/>
      </w:pPr>
      <w:r>
        <w:rPr>
          <w:rStyle w:val="FootnoteReference"/>
        </w:rPr>
        <w:footnoteRef/>
      </w:r>
      <w:r>
        <w:t xml:space="preserve"> Cross-references for "Peace": Gen 43:23; 1Sam 25:6.</w:t>
      </w:r>
    </w:p>
  </w:footnote>
  <w:footnote w:id="18281">
    <w:p>
      <w:pPr>
        <w:pStyle w:val="FootnoteText"/>
      </w:pPr>
      <w:r>
        <w:rPr>
          <w:rStyle w:val="FootnoteReference"/>
        </w:rPr>
        <w:footnoteRef/>
      </w:r>
      <w:r>
        <w:t xml:space="preserve"> Cross-references for "Grace": 1Cor 16:23; 2Cor 13:14.</w:t>
      </w:r>
    </w:p>
  </w:footnote>
  <w:footnote w:id="18282">
    <w:p>
      <w:pPr>
        <w:pStyle w:val="FootnoteText"/>
      </w:pPr>
      <w:r>
        <w:rPr>
          <w:rStyle w:val="FootnoteReference"/>
        </w:rPr>
        <w:footnoteRef/>
      </w:r>
      <w:r>
        <w:t xml:space="preserve"> Cross-references for "Paul": Rom 1:1; 1Cor 1:1.</w:t>
      </w:r>
    </w:p>
  </w:footnote>
  <w:footnote w:id="18283">
    <w:p>
      <w:pPr>
        <w:pStyle w:val="FootnoteText"/>
      </w:pPr>
      <w:r>
        <w:rPr>
          <w:rStyle w:val="FootnoteReference"/>
        </w:rPr>
        <w:footnoteRef/>
      </w:r>
      <w:r>
        <w:t xml:space="preserve"> Translation note: Greek has episkopois and diakonois. The draft uses overseers and servants rather than bishops and deacons to keep the functional sense visible.</w:t>
      </w:r>
    </w:p>
  </w:footnote>
  <w:footnote w:id="18284">
    <w:p>
      <w:pPr>
        <w:pStyle w:val="FootnoteText"/>
      </w:pPr>
      <w:r>
        <w:rPr>
          <w:rStyle w:val="FootnoteReference"/>
        </w:rPr>
        <w:footnoteRef/>
      </w:r>
      <w:r>
        <w:t xml:space="preserve"> Cross-references for "I thank": Rom 1:8-9; Rom 6:17.</w:t>
      </w:r>
    </w:p>
  </w:footnote>
  <w:footnote w:id="18285">
    <w:p>
      <w:pPr>
        <w:pStyle w:val="FootnoteText"/>
      </w:pPr>
      <w:r>
        <w:rPr>
          <w:rStyle w:val="FootnoteReference"/>
        </w:rPr>
        <w:footnoteRef/>
      </w:r>
      <w:r>
        <w:t xml:space="preserve"> Cross-references for "confident": 2Cor 1:15; 2Cor 2:3.</w:t>
      </w:r>
    </w:p>
  </w:footnote>
  <w:footnote w:id="18286">
    <w:p>
      <w:pPr>
        <w:pStyle w:val="FootnoteText"/>
      </w:pPr>
      <w:r>
        <w:rPr>
          <w:rStyle w:val="FootnoteReference"/>
        </w:rPr>
        <w:footnoteRef/>
      </w:r>
      <w:r>
        <w:t xml:space="preserve"> Cross-references for "I have you in my heart": Gal 5:6; 1John 3:14.</w:t>
      </w:r>
    </w:p>
  </w:footnote>
  <w:footnote w:id="18287">
    <w:p>
      <w:pPr>
        <w:pStyle w:val="FootnoteText"/>
      </w:pPr>
      <w:r>
        <w:rPr>
          <w:rStyle w:val="FootnoteReference"/>
        </w:rPr>
        <w:footnoteRef/>
      </w:r>
      <w:r>
        <w:t xml:space="preserve"> Cross-references for "in knowledge": 1Cor 14:20; Eph 5:17.</w:t>
      </w:r>
    </w:p>
  </w:footnote>
  <w:footnote w:id="18288">
    <w:p>
      <w:pPr>
        <w:pStyle w:val="FootnoteText"/>
      </w:pPr>
      <w:r>
        <w:rPr>
          <w:rStyle w:val="FootnoteReference"/>
        </w:rPr>
        <w:footnoteRef/>
      </w:r>
      <w:r>
        <w:t xml:space="preserve"> Cross-references for "approve things that are excellent": Job 12:11; Job 34:3.</w:t>
      </w:r>
    </w:p>
  </w:footnote>
  <w:footnote w:id="18289">
    <w:p>
      <w:pPr>
        <w:pStyle w:val="FootnoteText"/>
      </w:pPr>
      <w:r>
        <w:rPr>
          <w:rStyle w:val="FootnoteReference"/>
        </w:rPr>
        <w:footnoteRef/>
      </w:r>
      <w:r>
        <w:t xml:space="preserve"> Cross-references for "filled": Ps 1:3; Ps 92:12-14.</w:t>
      </w:r>
    </w:p>
  </w:footnote>
  <w:footnote w:id="18290">
    <w:p>
      <w:pPr>
        <w:pStyle w:val="FootnoteText"/>
      </w:pPr>
      <w:r>
        <w:rPr>
          <w:rStyle w:val="FootnoteReference"/>
        </w:rPr>
        <w:footnoteRef/>
      </w:r>
      <w:r>
        <w:t xml:space="preserve"> Cross-references for "rather": Exod 18:11; Ps 76:10.</w:t>
      </w:r>
    </w:p>
  </w:footnote>
  <w:footnote w:id="18291">
    <w:p>
      <w:pPr>
        <w:pStyle w:val="FootnoteText"/>
      </w:pPr>
      <w:r>
        <w:rPr>
          <w:rStyle w:val="FootnoteReference"/>
        </w:rPr>
        <w:footnoteRef/>
      </w:r>
      <w:r>
        <w:t xml:space="preserve"> Cross-references for "in Christ": 1Pet 4:12-16.</w:t>
      </w:r>
    </w:p>
  </w:footnote>
  <w:footnote w:id="18292">
    <w:p>
      <w:pPr>
        <w:pStyle w:val="FootnoteText"/>
      </w:pPr>
      <w:r>
        <w:rPr>
          <w:rStyle w:val="FootnoteReference"/>
        </w:rPr>
        <w:footnoteRef/>
      </w:r>
      <w:r>
        <w:t xml:space="preserve"> Cross-references for "waxing": Acts 4:23-31; 2Cor 1:3-7.</w:t>
      </w:r>
    </w:p>
  </w:footnote>
  <w:footnote w:id="18293">
    <w:p>
      <w:pPr>
        <w:pStyle w:val="FootnoteText"/>
      </w:pPr>
      <w:r>
        <w:rPr>
          <w:rStyle w:val="FootnoteReference"/>
        </w:rPr>
        <w:footnoteRef/>
      </w:r>
      <w:r>
        <w:t xml:space="preserve"> Cross-references for "preach": Acts 5:42; Acts 8:5.</w:t>
      </w:r>
    </w:p>
  </w:footnote>
  <w:footnote w:id="18294">
    <w:p>
      <w:pPr>
        <w:pStyle w:val="FootnoteText"/>
      </w:pPr>
      <w:r>
        <w:rPr>
          <w:rStyle w:val="FootnoteReference"/>
        </w:rPr>
        <w:footnoteRef/>
      </w:r>
      <w:r>
        <w:t xml:space="preserve"> Cross-references for "not sincerely": 2Cor 2:17; 2Cor 4:1-2.</w:t>
      </w:r>
    </w:p>
  </w:footnote>
  <w:footnote w:id="18295">
    <w:p>
      <w:pPr>
        <w:pStyle w:val="FootnoteText"/>
      </w:pPr>
      <w:r>
        <w:rPr>
          <w:rStyle w:val="FootnoteReference"/>
        </w:rPr>
        <w:footnoteRef/>
      </w:r>
      <w:r>
        <w:t xml:space="preserve"> Cross-references for "whether": Matt 23:14; Mark 12:40.</w:t>
      </w:r>
    </w:p>
  </w:footnote>
  <w:footnote w:id="18296">
    <w:p>
      <w:pPr>
        <w:pStyle w:val="FootnoteText"/>
      </w:pPr>
      <w:r>
        <w:rPr>
          <w:rStyle w:val="FootnoteReference"/>
        </w:rPr>
        <w:footnoteRef/>
      </w:r>
      <w:r>
        <w:t xml:space="preserve"> Cross-references for "the Spirit": Rom 8:9; Gal 4:6.</w:t>
      </w:r>
    </w:p>
  </w:footnote>
  <w:footnote w:id="18297">
    <w:p>
      <w:pPr>
        <w:pStyle w:val="FootnoteText"/>
      </w:pPr>
      <w:r>
        <w:rPr>
          <w:rStyle w:val="FootnoteReference"/>
        </w:rPr>
        <w:footnoteRef/>
      </w:r>
      <w:r>
        <w:t xml:space="preserve"> Cross-references for "earnest": Ps 62:5; Prov 10:28.</w:t>
      </w:r>
    </w:p>
  </w:footnote>
  <w:footnote w:id="18298">
    <w:p>
      <w:pPr>
        <w:pStyle w:val="FootnoteText"/>
      </w:pPr>
      <w:r>
        <w:rPr>
          <w:rStyle w:val="FootnoteReference"/>
        </w:rPr>
        <w:footnoteRef/>
      </w:r>
      <w:r>
        <w:t xml:space="preserve"> Cross-references for "to live": 1Cor 1:30; Gal 6:14.</w:t>
      </w:r>
    </w:p>
  </w:footnote>
  <w:footnote w:id="18299">
    <w:p>
      <w:pPr>
        <w:pStyle w:val="FootnoteText"/>
      </w:pPr>
      <w:r>
        <w:rPr>
          <w:rStyle w:val="FootnoteReference"/>
        </w:rPr>
        <w:footnoteRef/>
      </w:r>
      <w:r>
        <w:t xml:space="preserve"> Cross-references for "live": 2Cor 10:3; Gal 2:20.</w:t>
      </w:r>
    </w:p>
  </w:footnote>
  <w:footnote w:id="18300">
    <w:p>
      <w:pPr>
        <w:pStyle w:val="FootnoteText"/>
      </w:pPr>
      <w:r>
        <w:rPr>
          <w:rStyle w:val="FootnoteReference"/>
        </w:rPr>
        <w:footnoteRef/>
      </w:r>
      <w:r>
        <w:t xml:space="preserve"> Cross-references for "a desire": Luke 2:29-30; John 13:1.</w:t>
      </w:r>
    </w:p>
  </w:footnote>
  <w:footnote w:id="18301">
    <w:p>
      <w:pPr>
        <w:pStyle w:val="FootnoteText"/>
      </w:pPr>
      <w:r>
        <w:rPr>
          <w:rStyle w:val="FootnoteReference"/>
        </w:rPr>
        <w:footnoteRef/>
      </w:r>
      <w:r>
        <w:t xml:space="preserve"> Cross-references for "whether": Phil 2:12; Phil 2:24.</w:t>
      </w:r>
    </w:p>
  </w:footnote>
  <w:footnote w:id="18302">
    <w:p>
      <w:pPr>
        <w:pStyle w:val="FootnoteText"/>
      </w:pPr>
      <w:r>
        <w:rPr>
          <w:rStyle w:val="FootnoteReference"/>
        </w:rPr>
        <w:footnoteRef/>
      </w:r>
      <w:r>
        <w:t xml:space="preserve"> Cross-references for "and that": Gen 49:18; Ps 50:23.</w:t>
      </w:r>
    </w:p>
  </w:footnote>
  <w:footnote w:id="18303">
    <w:p>
      <w:pPr>
        <w:pStyle w:val="FootnoteText"/>
      </w:pPr>
      <w:r>
        <w:rPr>
          <w:rStyle w:val="FootnoteReference"/>
        </w:rPr>
        <w:footnoteRef/>
      </w:r>
      <w:r>
        <w:t xml:space="preserve"> Cross-references for "any consolation": Luke 2:10-11; Luke 2:25.</w:t>
      </w:r>
    </w:p>
  </w:footnote>
  <w:footnote w:id="18304">
    <w:p>
      <w:pPr>
        <w:pStyle w:val="FootnoteText"/>
      </w:pPr>
      <w:r>
        <w:rPr>
          <w:rStyle w:val="FootnoteReference"/>
        </w:rPr>
        <w:footnoteRef/>
      </w:r>
      <w:r>
        <w:t xml:space="preserve"> Cross-references for "one accord": Acts 1:14; Acts 2:1.</w:t>
      </w:r>
    </w:p>
  </w:footnote>
  <w:footnote w:id="18305">
    <w:p>
      <w:pPr>
        <w:pStyle w:val="FootnoteText"/>
      </w:pPr>
      <w:r>
        <w:rPr>
          <w:rStyle w:val="FootnoteReference"/>
        </w:rPr>
        <w:footnoteRef/>
      </w:r>
      <w:r>
        <w:t xml:space="preserve"> Cross-references for "nothing": Prov 13:10; Rom 13:13.</w:t>
      </w:r>
    </w:p>
  </w:footnote>
  <w:footnote w:id="18306">
    <w:p>
      <w:pPr>
        <w:pStyle w:val="FootnoteText"/>
      </w:pPr>
      <w:r>
        <w:rPr>
          <w:rStyle w:val="FootnoteReference"/>
        </w:rPr>
        <w:footnoteRef/>
      </w:r>
      <w:r>
        <w:t xml:space="preserve"> Cross-references for "made": Ps 22:6; Isa 49:7.</w:t>
      </w:r>
    </w:p>
  </w:footnote>
  <w:footnote w:id="18307">
    <w:p>
      <w:pPr>
        <w:pStyle w:val="FootnoteText"/>
      </w:pPr>
      <w:r>
        <w:rPr>
          <w:rStyle w:val="FootnoteReference"/>
        </w:rPr>
        <w:footnoteRef/>
      </w:r>
      <w:r>
        <w:t xml:space="preserve"> Cross-references for "and became": Ps 40:6-8; Isa 50:5-6.</w:t>
      </w:r>
    </w:p>
  </w:footnote>
  <w:footnote w:id="18308">
    <w:p>
      <w:pPr>
        <w:pStyle w:val="FootnoteText"/>
      </w:pPr>
      <w:r>
        <w:rPr>
          <w:rStyle w:val="FootnoteReference"/>
        </w:rPr>
        <w:footnoteRef/>
      </w:r>
      <w:r>
        <w:t xml:space="preserve"> Cross-references for "given": Ps 89:27; Eph 1:20-23.</w:t>
      </w:r>
    </w:p>
  </w:footnote>
  <w:footnote w:id="18309">
    <w:p>
      <w:pPr>
        <w:pStyle w:val="FootnoteText"/>
      </w:pPr>
      <w:r>
        <w:rPr>
          <w:rStyle w:val="FootnoteReference"/>
        </w:rPr>
        <w:footnoteRef/>
      </w:r>
      <w:r>
        <w:t xml:space="preserve"> Cross-references for "under": Matt 12:40; John 5:28-29.</w:t>
      </w:r>
    </w:p>
  </w:footnote>
  <w:footnote w:id="18310">
    <w:p>
      <w:pPr>
        <w:pStyle w:val="FootnoteText"/>
      </w:pPr>
      <w:r>
        <w:rPr>
          <w:rStyle w:val="FootnoteReference"/>
        </w:rPr>
        <w:footnoteRef/>
      </w:r>
      <w:r>
        <w:t xml:space="preserve"> Cross-references for "is Lord": Ps 110:1; Jer 23:6.</w:t>
      </w:r>
    </w:p>
  </w:footnote>
  <w:footnote w:id="18311">
    <w:p>
      <w:pPr>
        <w:pStyle w:val="FootnoteText"/>
      </w:pPr>
      <w:r>
        <w:rPr>
          <w:rStyle w:val="FootnoteReference"/>
        </w:rPr>
        <w:footnoteRef/>
      </w:r>
      <w:r>
        <w:t xml:space="preserve"> Cross-references for "my beloved": 1Cor 4:14; Phil 4:1.</w:t>
      </w:r>
    </w:p>
  </w:footnote>
  <w:footnote w:id="18312">
    <w:p>
      <w:pPr>
        <w:pStyle w:val="FootnoteText"/>
      </w:pPr>
      <w:r>
        <w:rPr>
          <w:rStyle w:val="FootnoteReference"/>
        </w:rPr>
        <w:footnoteRef/>
      </w:r>
      <w:r>
        <w:t xml:space="preserve"> Cross-references for "to will": 1Kgs 8:58; 1Chr 29:14-18.</w:t>
      </w:r>
    </w:p>
  </w:footnote>
  <w:footnote w:id="18313">
    <w:p>
      <w:pPr>
        <w:pStyle w:val="FootnoteText"/>
      </w:pPr>
      <w:r>
        <w:rPr>
          <w:rStyle w:val="FootnoteReference"/>
        </w:rPr>
        <w:footnoteRef/>
      </w:r>
      <w:r>
        <w:t xml:space="preserve"> Cross-references for "blameless": Luke 1:6; 1Cor 1:8.</w:t>
      </w:r>
    </w:p>
  </w:footnote>
  <w:footnote w:id="18314">
    <w:p>
      <w:pPr>
        <w:pStyle w:val="FootnoteText"/>
      </w:pPr>
      <w:r>
        <w:rPr>
          <w:rStyle w:val="FootnoteReference"/>
        </w:rPr>
        <w:footnoteRef/>
      </w:r>
      <w:r>
        <w:t xml:space="preserve"> Cross-references for "Holding": Ps 40:9; Ps 71:17.</w:t>
      </w:r>
    </w:p>
  </w:footnote>
  <w:footnote w:id="18315">
    <w:p>
      <w:pPr>
        <w:pStyle w:val="FootnoteText"/>
      </w:pPr>
      <w:r>
        <w:rPr>
          <w:rStyle w:val="FootnoteReference"/>
        </w:rPr>
        <w:footnoteRef/>
      </w:r>
      <w:r>
        <w:t xml:space="preserve"> Cross-references for "and if": Acts 20:24; Acts 21:13.</w:t>
      </w:r>
    </w:p>
  </w:footnote>
  <w:footnote w:id="18316">
    <w:p>
      <w:pPr>
        <w:pStyle w:val="FootnoteText"/>
      </w:pPr>
      <w:r>
        <w:rPr>
          <w:rStyle w:val="FootnoteReference"/>
        </w:rPr>
        <w:footnoteRef/>
      </w:r>
      <w:r>
        <w:t xml:space="preserve"> Cross-references for "to send": Rom 16:21; 1Cor 4:17.</w:t>
      </w:r>
    </w:p>
  </w:footnote>
  <w:footnote w:id="18317">
    <w:p>
      <w:pPr>
        <w:pStyle w:val="FootnoteText"/>
      </w:pPr>
      <w:r>
        <w:rPr>
          <w:rStyle w:val="FootnoteReference"/>
        </w:rPr>
        <w:footnoteRef/>
      </w:r>
      <w:r>
        <w:t xml:space="preserve"> Cross-references for "likeminded": 1Sam 18:1; 1Sam 18:3.</w:t>
      </w:r>
    </w:p>
  </w:footnote>
  <w:footnote w:id="18318">
    <w:p>
      <w:pPr>
        <w:pStyle w:val="FootnoteText"/>
      </w:pPr>
      <w:r>
        <w:rPr>
          <w:rStyle w:val="FootnoteReference"/>
        </w:rPr>
        <w:footnoteRef/>
      </w:r>
      <w:r>
        <w:t xml:space="preserve"> Name meaning: Epaphroditus (Epaphroditus) — Lovely; charming. Risked his life to serve Paul.</w:t>
      </w:r>
    </w:p>
  </w:footnote>
  <w:footnote w:id="18319">
    <w:p>
      <w:pPr>
        <w:pStyle w:val="FootnoteText"/>
      </w:pPr>
      <w:r>
        <w:rPr>
          <w:rStyle w:val="FootnoteReference"/>
        </w:rPr>
        <w:footnoteRef/>
      </w:r>
      <w:r>
        <w:t xml:space="preserve"> Cross-references for "Epaphroditus": Phil 4:18.</w:t>
      </w:r>
    </w:p>
  </w:footnote>
  <w:footnote w:id="18320">
    <w:p>
      <w:pPr>
        <w:pStyle w:val="FootnoteText"/>
      </w:pPr>
      <w:r>
        <w:rPr>
          <w:rStyle w:val="FootnoteReference"/>
        </w:rPr>
        <w:footnoteRef/>
      </w:r>
      <w:r>
        <w:t xml:space="preserve"> Cross-references for "he longed": 2Sam 13:39; Rom 1:11.</w:t>
      </w:r>
    </w:p>
  </w:footnote>
  <w:footnote w:id="18321">
    <w:p>
      <w:pPr>
        <w:pStyle w:val="FootnoteText"/>
      </w:pPr>
      <w:r>
        <w:rPr>
          <w:rStyle w:val="FootnoteReference"/>
        </w:rPr>
        <w:footnoteRef/>
      </w:r>
      <w:r>
        <w:t xml:space="preserve"> Cross-references for "but God": Job 5:19; Ps 30:1-3.</w:t>
      </w:r>
    </w:p>
  </w:footnote>
  <w:footnote w:id="18322">
    <w:p>
      <w:pPr>
        <w:pStyle w:val="FootnoteText"/>
      </w:pPr>
      <w:r>
        <w:rPr>
          <w:rStyle w:val="FootnoteReference"/>
        </w:rPr>
        <w:footnoteRef/>
      </w:r>
      <w:r>
        <w:t xml:space="preserve"> Cross-references for "and that": 2Cor 2:3; Phil 2:27.</w:t>
      </w:r>
    </w:p>
  </w:footnote>
  <w:footnote w:id="18323">
    <w:p>
      <w:pPr>
        <w:pStyle w:val="FootnoteText"/>
      </w:pPr>
      <w:r>
        <w:rPr>
          <w:rStyle w:val="FootnoteReference"/>
        </w:rPr>
        <w:footnoteRef/>
      </w:r>
      <w:r>
        <w:t xml:space="preserve"> Cross-references for "Receive": Matt 10:40-41; Luke 9:5.</w:t>
      </w:r>
    </w:p>
  </w:footnote>
  <w:footnote w:id="18324">
    <w:p>
      <w:pPr>
        <w:pStyle w:val="FootnoteText"/>
      </w:pPr>
      <w:r>
        <w:rPr>
          <w:rStyle w:val="FootnoteReference"/>
        </w:rPr>
        <w:footnoteRef/>
      </w:r>
      <w:r>
        <w:t xml:space="preserve"> Cross-references for "the work": 1Cor 15:53; 1Cor 16:10.</w:t>
      </w:r>
    </w:p>
  </w:footnote>
  <w:footnote w:id="18325">
    <w:p>
      <w:pPr>
        <w:pStyle w:val="FootnoteText"/>
      </w:pPr>
      <w:r>
        <w:rPr>
          <w:rStyle w:val="FootnoteReference"/>
        </w:rPr>
        <w:footnoteRef/>
      </w:r>
      <w:r>
        <w:t xml:space="preserve"> Cross-references for "Finally": 2Cor 13:11; Eph 6:10.</w:t>
      </w:r>
    </w:p>
  </w:footnote>
  <w:footnote w:id="18326">
    <w:p>
      <w:pPr>
        <w:pStyle w:val="FootnoteText"/>
      </w:pPr>
      <w:r>
        <w:rPr>
          <w:rStyle w:val="FootnoteReference"/>
        </w:rPr>
        <w:footnoteRef/>
      </w:r>
      <w:r>
        <w:t xml:space="preserve"> Cross-references for "of dogs": Prov 26:11; Isa 56:10-11.</w:t>
      </w:r>
    </w:p>
  </w:footnote>
  <w:footnote w:id="18327">
    <w:p>
      <w:pPr>
        <w:pStyle w:val="FootnoteText"/>
      </w:pPr>
      <w:r>
        <w:rPr>
          <w:rStyle w:val="FootnoteReference"/>
        </w:rPr>
        <w:footnoteRef/>
      </w:r>
      <w:r>
        <w:t xml:space="preserve"> Cross-references for "worship": Mal 1:11; John 4:23-24.</w:t>
      </w:r>
    </w:p>
  </w:footnote>
  <w:footnote w:id="18328">
    <w:p>
      <w:pPr>
        <w:pStyle w:val="FootnoteText"/>
      </w:pPr>
      <w:r>
        <w:rPr>
          <w:rStyle w:val="FootnoteReference"/>
        </w:rPr>
        <w:footnoteRef/>
      </w:r>
      <w:r>
        <w:t xml:space="preserve"> Cross-references for "Circumcised": Gen 17:12; Luke 2:21.</w:t>
      </w:r>
    </w:p>
  </w:footnote>
  <w:footnote w:id="18329">
    <w:p>
      <w:pPr>
        <w:pStyle w:val="FootnoteText"/>
      </w:pPr>
      <w:r>
        <w:rPr>
          <w:rStyle w:val="FootnoteReference"/>
        </w:rPr>
        <w:footnoteRef/>
      </w:r>
      <w:r>
        <w:t xml:space="preserve"> Cross-references for "zeal": 2Sam 21:2; 2Kgs 10:16.</w:t>
      </w:r>
    </w:p>
  </w:footnote>
  <w:footnote w:id="18330">
    <w:p>
      <w:pPr>
        <w:pStyle w:val="FootnoteText"/>
      </w:pPr>
      <w:r>
        <w:rPr>
          <w:rStyle w:val="FootnoteReference"/>
        </w:rPr>
        <w:footnoteRef/>
      </w:r>
      <w:r>
        <w:t xml:space="preserve"> Cross-references for "doubtless": Num 14:30; Ps 126:6.</w:t>
      </w:r>
    </w:p>
  </w:footnote>
  <w:footnote w:id="18331">
    <w:p>
      <w:pPr>
        <w:pStyle w:val="FootnoteText"/>
      </w:pPr>
      <w:r>
        <w:rPr>
          <w:rStyle w:val="FootnoteReference"/>
        </w:rPr>
        <w:footnoteRef/>
      </w:r>
      <w:r>
        <w:t xml:space="preserve"> Cross-references for "which is of the": Deut 27:26; Luke 10:25-29.</w:t>
      </w:r>
    </w:p>
  </w:footnote>
  <w:footnote w:id="18332">
    <w:p>
      <w:pPr>
        <w:pStyle w:val="FootnoteText"/>
      </w:pPr>
      <w:r>
        <w:rPr>
          <w:rStyle w:val="FootnoteReference"/>
        </w:rPr>
        <w:footnoteRef/>
      </w:r>
      <w:r>
        <w:t xml:space="preserve"> Cross-references for "and the power": John 5:21-29; John 10:18.</w:t>
      </w:r>
    </w:p>
  </w:footnote>
  <w:footnote w:id="18333">
    <w:p>
      <w:pPr>
        <w:pStyle w:val="FootnoteText"/>
      </w:pPr>
      <w:r>
        <w:rPr>
          <w:rStyle w:val="FootnoteReference"/>
        </w:rPr>
        <w:footnoteRef/>
      </w:r>
      <w:r>
        <w:t xml:space="preserve"> Cross-references for "attain": Luke 14:14; Luke 20:35-36.</w:t>
      </w:r>
    </w:p>
  </w:footnote>
  <w:footnote w:id="18334">
    <w:p>
      <w:pPr>
        <w:pStyle w:val="FootnoteText"/>
      </w:pPr>
      <w:r>
        <w:rPr>
          <w:rStyle w:val="FootnoteReference"/>
        </w:rPr>
        <w:footnoteRef/>
      </w:r>
      <w:r>
        <w:t xml:space="preserve"> Cross-references for "I count": Phil 1:18-21; Phil 3:8.</w:t>
      </w:r>
    </w:p>
  </w:footnote>
  <w:footnote w:id="18335">
    <w:p>
      <w:pPr>
        <w:pStyle w:val="FootnoteText"/>
      </w:pPr>
      <w:r>
        <w:rPr>
          <w:rStyle w:val="FootnoteReference"/>
        </w:rPr>
        <w:footnoteRef/>
      </w:r>
      <w:r>
        <w:t xml:space="preserve"> Cross-references for "press": Luke 16:16; 2Cor 4:17-18.</w:t>
      </w:r>
    </w:p>
  </w:footnote>
  <w:footnote w:id="18336">
    <w:p>
      <w:pPr>
        <w:pStyle w:val="FootnoteText"/>
      </w:pPr>
      <w:r>
        <w:rPr>
          <w:rStyle w:val="FootnoteReference"/>
        </w:rPr>
        <w:footnoteRef/>
      </w:r>
      <w:r>
        <w:t xml:space="preserve"> Cross-references for "be thus": Gal 5:10; Phil 3:12-14.</w:t>
      </w:r>
    </w:p>
  </w:footnote>
  <w:footnote w:id="18337">
    <w:p>
      <w:pPr>
        <w:pStyle w:val="FootnoteText"/>
      </w:pPr>
      <w:r>
        <w:rPr>
          <w:rStyle w:val="FootnoteReference"/>
        </w:rPr>
        <w:footnoteRef/>
      </w:r>
      <w:r>
        <w:t xml:space="preserve"> Cross-references for "let us walk": Rom 12:16; Rom 15:5.</w:t>
      </w:r>
    </w:p>
  </w:footnote>
  <w:footnote w:id="18338">
    <w:p>
      <w:pPr>
        <w:pStyle w:val="FootnoteText"/>
      </w:pPr>
      <w:r>
        <w:rPr>
          <w:rStyle w:val="FootnoteReference"/>
        </w:rPr>
        <w:footnoteRef/>
      </w:r>
      <w:r>
        <w:t xml:space="preserve"> Cross-references for "and mark": Ps 37:37; Rom 16:17.</w:t>
      </w:r>
    </w:p>
  </w:footnote>
  <w:footnote w:id="18339">
    <w:p>
      <w:pPr>
        <w:pStyle w:val="FootnoteText"/>
      </w:pPr>
      <w:r>
        <w:rPr>
          <w:rStyle w:val="FootnoteReference"/>
        </w:rPr>
        <w:footnoteRef/>
      </w:r>
      <w:r>
        <w:t xml:space="preserve"> Cross-references for "enemies": 1Cor 1:18; Gal 1:7.</w:t>
      </w:r>
    </w:p>
  </w:footnote>
  <w:footnote w:id="18340">
    <w:p>
      <w:pPr>
        <w:pStyle w:val="FootnoteText"/>
      </w:pPr>
      <w:r>
        <w:rPr>
          <w:rStyle w:val="FootnoteReference"/>
        </w:rPr>
        <w:footnoteRef/>
      </w:r>
      <w:r>
        <w:t xml:space="preserve"> Cross-references for "whose God": 1Sam 2:11-16; 1Sam 2:29.</w:t>
      </w:r>
    </w:p>
  </w:footnote>
  <w:footnote w:id="18341">
    <w:p>
      <w:pPr>
        <w:pStyle w:val="FootnoteText"/>
      </w:pPr>
      <w:r>
        <w:rPr>
          <w:rStyle w:val="FootnoteReference"/>
        </w:rPr>
        <w:footnoteRef/>
      </w:r>
      <w:r>
        <w:t xml:space="preserve"> Cross-references for "we look": 1Cor 1:7; Phil 1:10.</w:t>
      </w:r>
    </w:p>
  </w:footnote>
  <w:footnote w:id="18342">
    <w:p>
      <w:pPr>
        <w:pStyle w:val="FootnoteText"/>
      </w:pPr>
      <w:r>
        <w:rPr>
          <w:rStyle w:val="FootnoteReference"/>
        </w:rPr>
        <w:footnoteRef/>
      </w:r>
      <w:r>
        <w:t xml:space="preserve"> Cross-references for "the working": Isa 25:8; Isa 26:19.</w:t>
      </w:r>
    </w:p>
  </w:footnote>
  <w:footnote w:id="18343">
    <w:p>
      <w:pPr>
        <w:pStyle w:val="FootnoteText"/>
      </w:pPr>
      <w:r>
        <w:rPr>
          <w:rStyle w:val="FootnoteReference"/>
        </w:rPr>
        <w:footnoteRef/>
      </w:r>
      <w:r>
        <w:t xml:space="preserve"> Cross-references for "Therefore": Phil 3:20-21; 2Pet 3:11-14.</w:t>
      </w:r>
    </w:p>
  </w:footnote>
  <w:footnote w:id="18344">
    <w:p>
      <w:pPr>
        <w:pStyle w:val="FootnoteText"/>
      </w:pPr>
      <w:r>
        <w:rPr>
          <w:rStyle w:val="FootnoteReference"/>
        </w:rPr>
        <w:footnoteRef/>
      </w:r>
      <w:r>
        <w:t xml:space="preserve"> Transliterated proper noun: Euodias. Standard English equivalent: Euodias. Source form: Euodias. Greek form: ευοδιαν. Name meaning: sweet scent.</w:t>
      </w:r>
    </w:p>
  </w:footnote>
  <w:footnote w:id="18345">
    <w:p>
      <w:pPr>
        <w:pStyle w:val="FootnoteText"/>
      </w:pPr>
      <w:r>
        <w:rPr>
          <w:rStyle w:val="FootnoteReference"/>
        </w:rPr>
        <w:footnoteRef/>
      </w:r>
      <w:r>
        <w:t xml:space="preserve"> Name meaning: Syntyche (Syntyche) — Fortunate together. Called to agree in the Lord.</w:t>
      </w:r>
    </w:p>
  </w:footnote>
  <w:footnote w:id="18346">
    <w:p>
      <w:pPr>
        <w:pStyle w:val="FootnoteText"/>
      </w:pPr>
      <w:r>
        <w:rPr>
          <w:rStyle w:val="FootnoteReference"/>
        </w:rPr>
        <w:footnoteRef/>
      </w:r>
      <w:r>
        <w:t xml:space="preserve"> Name meaning: Euodia (Euodia) — Prosperous journey; success. Worked hard in the gospel but needed unity.</w:t>
      </w:r>
    </w:p>
  </w:footnote>
  <w:footnote w:id="18347">
    <w:p>
      <w:pPr>
        <w:pStyle w:val="FootnoteText"/>
      </w:pPr>
      <w:r>
        <w:rPr>
          <w:rStyle w:val="FootnoteReference"/>
        </w:rPr>
        <w:footnoteRef/>
      </w:r>
      <w:r>
        <w:t xml:space="preserve"> Cross-references for "true": Phil 2:20-25; Col 1:7.</w:t>
      </w:r>
    </w:p>
  </w:footnote>
  <w:footnote w:id="18348">
    <w:p>
      <w:pPr>
        <w:pStyle w:val="FootnoteText"/>
      </w:pPr>
      <w:r>
        <w:rPr>
          <w:rStyle w:val="FootnoteReference"/>
        </w:rPr>
        <w:footnoteRef/>
      </w:r>
      <w:r>
        <w:t xml:space="preserve"> Name meaning: Clement (Clemens) — Mild; merciful. Fellow worker whose name is in the Book of Life.</w:t>
      </w:r>
    </w:p>
  </w:footnote>
  <w:footnote w:id="18349">
    <w:p>
      <w:pPr>
        <w:pStyle w:val="FootnoteText"/>
      </w:pPr>
      <w:r>
        <w:rPr>
          <w:rStyle w:val="FootnoteReference"/>
        </w:rPr>
        <w:footnoteRef/>
      </w:r>
      <w:r>
        <w:t xml:space="preserve"> Cross-references for "Rejoice": Rom 12:12; Phil 3:1.</w:t>
      </w:r>
    </w:p>
  </w:footnote>
  <w:footnote w:id="18350">
    <w:p>
      <w:pPr>
        <w:pStyle w:val="FootnoteText"/>
      </w:pPr>
      <w:r>
        <w:rPr>
          <w:rStyle w:val="FootnoteReference"/>
        </w:rPr>
        <w:footnoteRef/>
      </w:r>
      <w:r>
        <w:t xml:space="preserve"> Cross-references for "careful": Dan 3:16; Matt 6:25-33.</w:t>
      </w:r>
    </w:p>
  </w:footnote>
  <w:footnote w:id="18351">
    <w:p>
      <w:pPr>
        <w:pStyle w:val="FootnoteText"/>
      </w:pPr>
      <w:r>
        <w:rPr>
          <w:rStyle w:val="FootnoteReference"/>
        </w:rPr>
        <w:footnoteRef/>
      </w:r>
      <w:r>
        <w:t xml:space="preserve"> Cross-references for "the peace": Num 6:26; Job 22:21.</w:t>
      </w:r>
    </w:p>
  </w:footnote>
  <w:footnote w:id="18352">
    <w:p>
      <w:pPr>
        <w:pStyle w:val="FootnoteText"/>
      </w:pPr>
      <w:r>
        <w:rPr>
          <w:rStyle w:val="FootnoteReference"/>
        </w:rPr>
        <w:footnoteRef/>
      </w:r>
      <w:r>
        <w:t xml:space="preserve"> Cross-references for "Finally": Phil 3:1.</w:t>
      </w:r>
    </w:p>
  </w:footnote>
  <w:footnote w:id="18353">
    <w:p>
      <w:pPr>
        <w:pStyle w:val="FootnoteText"/>
      </w:pPr>
      <w:r>
        <w:rPr>
          <w:rStyle w:val="FootnoteReference"/>
        </w:rPr>
        <w:footnoteRef/>
      </w:r>
      <w:r>
        <w:t xml:space="preserve"> Cross-references for "the God": Rom 15:33; Rom 16:20.</w:t>
      </w:r>
    </w:p>
  </w:footnote>
  <w:footnote w:id="18354">
    <w:p>
      <w:pPr>
        <w:pStyle w:val="FootnoteText"/>
      </w:pPr>
      <w:r>
        <w:rPr>
          <w:rStyle w:val="FootnoteReference"/>
        </w:rPr>
        <w:footnoteRef/>
      </w:r>
      <w:r>
        <w:t xml:space="preserve"> Cross-references for "in respect": 1Cor 4:11-12; 2Cor 6:10.</w:t>
      </w:r>
    </w:p>
  </w:footnote>
  <w:footnote w:id="18355">
    <w:p>
      <w:pPr>
        <w:pStyle w:val="FootnoteText"/>
      </w:pPr>
      <w:r>
        <w:rPr>
          <w:rStyle w:val="FootnoteReference"/>
        </w:rPr>
        <w:footnoteRef/>
      </w:r>
      <w:r>
        <w:t xml:space="preserve"> Cross-references for "how to be": 1Cor 4:9-13; 2Cor 6:4-10.</w:t>
      </w:r>
    </w:p>
  </w:footnote>
  <w:footnote w:id="18356">
    <w:p>
      <w:pPr>
        <w:pStyle w:val="FootnoteText"/>
      </w:pPr>
      <w:r>
        <w:rPr>
          <w:rStyle w:val="FootnoteReference"/>
        </w:rPr>
        <w:footnoteRef/>
      </w:r>
      <w:r>
        <w:t xml:space="preserve"> People-name: Philippians. People-name meaning: Philippians — people of Philippi; city of Philip. Source form: Philippians.</w:t>
      </w:r>
    </w:p>
  </w:footnote>
  <w:footnote w:id="18357">
    <w:p>
      <w:pPr>
        <w:pStyle w:val="FootnoteText"/>
      </w:pPr>
      <w:r>
        <w:rPr>
          <w:rStyle w:val="FootnoteReference"/>
        </w:rPr>
        <w:footnoteRef/>
      </w:r>
      <w:r>
        <w:t xml:space="preserve"> Cross-references for "once": 1Thess 2:18.</w:t>
      </w:r>
    </w:p>
  </w:footnote>
  <w:footnote w:id="18358">
    <w:p>
      <w:pPr>
        <w:pStyle w:val="FootnoteText"/>
      </w:pPr>
      <w:r>
        <w:rPr>
          <w:rStyle w:val="FootnoteReference"/>
        </w:rPr>
        <w:footnoteRef/>
      </w:r>
      <w:r>
        <w:t xml:space="preserve"> Cross-references for "fruit": Mic 7:1; John 15:8.</w:t>
      </w:r>
    </w:p>
  </w:footnote>
  <w:footnote w:id="18359">
    <w:p>
      <w:pPr>
        <w:pStyle w:val="FootnoteText"/>
      </w:pPr>
      <w:r>
        <w:rPr>
          <w:rStyle w:val="FootnoteReference"/>
        </w:rPr>
        <w:footnoteRef/>
      </w:r>
      <w:r>
        <w:t xml:space="preserve"> Cross-references for "abound": Phil 4:12; 2Thess 1:3.</w:t>
      </w:r>
    </w:p>
  </w:footnote>
  <w:footnote w:id="18360">
    <w:p>
      <w:pPr>
        <w:pStyle w:val="FootnoteText"/>
      </w:pPr>
      <w:r>
        <w:rPr>
          <w:rStyle w:val="FootnoteReference"/>
        </w:rPr>
        <w:footnoteRef/>
      </w:r>
      <w:r>
        <w:t xml:space="preserve"> Cross-references for "glory": Rom 8:18; 2Cor 4:17.</w:t>
      </w:r>
    </w:p>
  </w:footnote>
  <w:footnote w:id="18361">
    <w:p>
      <w:pPr>
        <w:pStyle w:val="FootnoteText"/>
      </w:pPr>
      <w:r>
        <w:rPr>
          <w:rStyle w:val="FootnoteReference"/>
        </w:rPr>
        <w:footnoteRef/>
      </w:r>
      <w:r>
        <w:t xml:space="preserve"> Cross-references for "Amen": Matt 6:12; Matt 28:20.</w:t>
      </w:r>
    </w:p>
  </w:footnote>
  <w:footnote w:id="18362">
    <w:p>
      <w:pPr>
        <w:pStyle w:val="FootnoteText"/>
      </w:pPr>
      <w:r>
        <w:rPr>
          <w:rStyle w:val="FootnoteReference"/>
        </w:rPr>
        <w:footnoteRef/>
      </w:r>
      <w:r>
        <w:t xml:space="preserve"> Cross-references for "Salute": Rom 16:3-16.</w:t>
      </w:r>
    </w:p>
  </w:footnote>
  <w:footnote w:id="18363">
    <w:p>
      <w:pPr>
        <w:pStyle w:val="FootnoteText"/>
      </w:pPr>
      <w:r>
        <w:rPr>
          <w:rStyle w:val="FootnoteReference"/>
        </w:rPr>
        <w:footnoteRef/>
      </w:r>
      <w:r>
        <w:t xml:space="preserve"> Cross-references for "faithful": 1Cor 4:17; Eph 6:21.</w:t>
      </w:r>
    </w:p>
  </w:footnote>
  <w:footnote w:id="18364">
    <w:p>
      <w:pPr>
        <w:pStyle w:val="FootnoteText"/>
      </w:pPr>
      <w:r>
        <w:rPr>
          <w:rStyle w:val="FootnoteReference"/>
        </w:rPr>
        <w:footnoteRef/>
      </w:r>
      <w:r>
        <w:t xml:space="preserve"> Transliterated proper noun: Colosse. Standard English equivalent: Colosse. Source form: Colosse. Greek form: κολοσσαις. Name meaning: punishment; correction.</w:t>
      </w:r>
    </w:p>
  </w:footnote>
  <w:footnote w:id="18365">
    <w:p>
      <w:pPr>
        <w:pStyle w:val="FootnoteText"/>
      </w:pPr>
      <w:r>
        <w:rPr>
          <w:rStyle w:val="FootnoteReference"/>
        </w:rPr>
        <w:footnoteRef/>
      </w:r>
      <w:r>
        <w:t xml:space="preserve"> Cross-references for "give": Rom 1:8-9; 1Cor 1:4.</w:t>
      </w:r>
    </w:p>
  </w:footnote>
  <w:footnote w:id="18366">
    <w:p>
      <w:pPr>
        <w:pStyle w:val="FootnoteText"/>
      </w:pPr>
      <w:r>
        <w:rPr>
          <w:rStyle w:val="FootnoteReference"/>
        </w:rPr>
        <w:footnoteRef/>
      </w:r>
      <w:r>
        <w:t xml:space="preserve"> Cross-references for "faith": Gal 5:6; 1Thess 1:3.</w:t>
      </w:r>
    </w:p>
  </w:footnote>
  <w:footnote w:id="18367">
    <w:p>
      <w:pPr>
        <w:pStyle w:val="FootnoteText"/>
      </w:pPr>
      <w:r>
        <w:rPr>
          <w:rStyle w:val="FootnoteReference"/>
        </w:rPr>
        <w:footnoteRef/>
      </w:r>
      <w:r>
        <w:t xml:space="preserve"> Cross-references for "the hope": Acts 23:6; Acts 24:15.</w:t>
      </w:r>
    </w:p>
  </w:footnote>
  <w:footnote w:id="18368">
    <w:p>
      <w:pPr>
        <w:pStyle w:val="FootnoteText"/>
      </w:pPr>
      <w:r>
        <w:rPr>
          <w:rStyle w:val="FootnoteReference"/>
        </w:rPr>
        <w:footnoteRef/>
      </w:r>
      <w:r>
        <w:t xml:space="preserve"> Cross-references for "since": Rom 10:17.</w:t>
      </w:r>
    </w:p>
  </w:footnote>
  <w:footnote w:id="18369">
    <w:p>
      <w:pPr>
        <w:pStyle w:val="FootnoteText"/>
      </w:pPr>
      <w:r>
        <w:rPr>
          <w:rStyle w:val="FootnoteReference"/>
        </w:rPr>
        <w:footnoteRef/>
      </w:r>
      <w:r>
        <w:t xml:space="preserve"> Name meaning: Epaphras (Epaphras) — Lovely; charming. Fervent intercessor for Colossae.</w:t>
      </w:r>
    </w:p>
  </w:footnote>
  <w:footnote w:id="18370">
    <w:p>
      <w:pPr>
        <w:pStyle w:val="FootnoteText"/>
      </w:pPr>
      <w:r>
        <w:rPr>
          <w:rStyle w:val="FootnoteReference"/>
        </w:rPr>
        <w:footnoteRef/>
      </w:r>
      <w:r>
        <w:t xml:space="preserve"> Cross-references for "Epaphras": Col 4:12; Phlm 1:23.</w:t>
      </w:r>
    </w:p>
  </w:footnote>
  <w:footnote w:id="18371">
    <w:p>
      <w:pPr>
        <w:pStyle w:val="FootnoteText"/>
      </w:pPr>
      <w:r>
        <w:rPr>
          <w:rStyle w:val="FootnoteReference"/>
        </w:rPr>
        <w:footnoteRef/>
      </w:r>
      <w:r>
        <w:t xml:space="preserve"> Cross-references for "since": Rom 1:8-10; Eph 1:15-16.</w:t>
      </w:r>
    </w:p>
  </w:footnote>
  <w:footnote w:id="18372">
    <w:p>
      <w:pPr>
        <w:pStyle w:val="FootnoteText"/>
      </w:pPr>
      <w:r>
        <w:rPr>
          <w:rStyle w:val="FootnoteReference"/>
        </w:rPr>
        <w:footnoteRef/>
      </w:r>
      <w:r>
        <w:t xml:space="preserve"> Cross-references for "fruitful": John 15:8; John 15:16.</w:t>
      </w:r>
    </w:p>
  </w:footnote>
  <w:footnote w:id="18373">
    <w:p>
      <w:pPr>
        <w:pStyle w:val="FootnoteText"/>
      </w:pPr>
      <w:r>
        <w:rPr>
          <w:rStyle w:val="FootnoteReference"/>
        </w:rPr>
        <w:footnoteRef/>
      </w:r>
      <w:r>
        <w:t xml:space="preserve"> Cross-references for "Strengthened": Isa 45:24; 2Cor 12:9.</w:t>
      </w:r>
    </w:p>
  </w:footnote>
  <w:footnote w:id="18374">
    <w:p>
      <w:pPr>
        <w:pStyle w:val="FootnoteText"/>
      </w:pPr>
      <w:r>
        <w:rPr>
          <w:rStyle w:val="FootnoteReference"/>
        </w:rPr>
        <w:footnoteRef/>
      </w:r>
      <w:r>
        <w:t xml:space="preserve"> Cross-references for "Giving": 1Chr 29:20; Ps 79:13.</w:t>
      </w:r>
    </w:p>
  </w:footnote>
  <w:footnote w:id="18375">
    <w:p>
      <w:pPr>
        <w:pStyle w:val="FootnoteText"/>
      </w:pPr>
      <w:r>
        <w:rPr>
          <w:rStyle w:val="FootnoteReference"/>
        </w:rPr>
        <w:footnoteRef/>
      </w:r>
      <w:r>
        <w:t xml:space="preserve"> Cross-references for "delivered": Isa 49:24-25; Isa 53:12.</w:t>
      </w:r>
    </w:p>
  </w:footnote>
  <w:footnote w:id="18376">
    <w:p>
      <w:pPr>
        <w:pStyle w:val="FootnoteText"/>
      </w:pPr>
      <w:r>
        <w:rPr>
          <w:rStyle w:val="FootnoteReference"/>
        </w:rPr>
        <w:footnoteRef/>
      </w:r>
      <w:r>
        <w:t xml:space="preserve"> Cross-references for "the image": Exod 24:10; Num 12:8.</w:t>
      </w:r>
    </w:p>
  </w:footnote>
  <w:footnote w:id="18377">
    <w:p>
      <w:pPr>
        <w:pStyle w:val="FootnoteText"/>
      </w:pPr>
      <w:r>
        <w:rPr>
          <w:rStyle w:val="FootnoteReference"/>
        </w:rPr>
        <w:footnoteRef/>
      </w:r>
      <w:r>
        <w:t xml:space="preserve"> Cross-references for "by him were": Ps 102:25-27; Isa 40:9-12.</w:t>
      </w:r>
    </w:p>
  </w:footnote>
  <w:footnote w:id="18378">
    <w:p>
      <w:pPr>
        <w:pStyle w:val="FootnoteText"/>
      </w:pPr>
      <w:r>
        <w:rPr>
          <w:rStyle w:val="FootnoteReference"/>
        </w:rPr>
        <w:footnoteRef/>
      </w:r>
      <w:r>
        <w:t xml:space="preserve"> Cross-references for "the beginning": John 1:1; 1John 1:1.</w:t>
      </w:r>
    </w:p>
  </w:footnote>
  <w:footnote w:id="18379">
    <w:p>
      <w:pPr>
        <w:pStyle w:val="FootnoteText"/>
      </w:pPr>
      <w:r>
        <w:rPr>
          <w:rStyle w:val="FootnoteReference"/>
        </w:rPr>
        <w:footnoteRef/>
      </w:r>
      <w:r>
        <w:t xml:space="preserve"> Cross-references for "having made peace": Lev 6:30; Ps 85:10-11.</w:t>
      </w:r>
    </w:p>
  </w:footnote>
  <w:footnote w:id="18380">
    <w:p>
      <w:pPr>
        <w:pStyle w:val="FootnoteText"/>
      </w:pPr>
      <w:r>
        <w:rPr>
          <w:rStyle w:val="FootnoteReference"/>
        </w:rPr>
        <w:footnoteRef/>
      </w:r>
      <w:r>
        <w:t xml:space="preserve"> Cross-references for "the body": Rom 7:4; Eph 2:15-16.</w:t>
      </w:r>
    </w:p>
  </w:footnote>
  <w:footnote w:id="18381">
    <w:p>
      <w:pPr>
        <w:pStyle w:val="FootnoteText"/>
      </w:pPr>
      <w:r>
        <w:rPr>
          <w:rStyle w:val="FootnoteReference"/>
        </w:rPr>
        <w:footnoteRef/>
      </w:r>
      <w:r>
        <w:t xml:space="preserve"> Cross-references for "grounded": Matt 7:24-25; Luke 6:48.</w:t>
      </w:r>
    </w:p>
  </w:footnote>
  <w:footnote w:id="18382">
    <w:p>
      <w:pPr>
        <w:pStyle w:val="FootnoteText"/>
      </w:pPr>
      <w:r>
        <w:rPr>
          <w:rStyle w:val="FootnoteReference"/>
        </w:rPr>
        <w:footnoteRef/>
      </w:r>
      <w:r>
        <w:t xml:space="preserve"> Cross-references for "rejoice": Matt 5:11-12; Acts 5:41.</w:t>
      </w:r>
    </w:p>
  </w:footnote>
  <w:footnote w:id="18383">
    <w:p>
      <w:pPr>
        <w:pStyle w:val="FootnoteText"/>
      </w:pPr>
      <w:r>
        <w:rPr>
          <w:rStyle w:val="FootnoteReference"/>
        </w:rPr>
        <w:footnoteRef/>
      </w:r>
      <w:r>
        <w:t xml:space="preserve"> Cross-references for "the mystery": Rom 16:25-26; 1Cor 2:7.</w:t>
      </w:r>
    </w:p>
  </w:footnote>
  <w:footnote w:id="18384">
    <w:p>
      <w:pPr>
        <w:pStyle w:val="FootnoteText"/>
      </w:pPr>
      <w:r>
        <w:rPr>
          <w:rStyle w:val="FootnoteReference"/>
        </w:rPr>
        <w:footnoteRef/>
      </w:r>
      <w:r>
        <w:t xml:space="preserve"> Cross-references for "the riches": Rom 9:23; Rom 11:33.</w:t>
      </w:r>
    </w:p>
  </w:footnote>
  <w:footnote w:id="18385">
    <w:p>
      <w:pPr>
        <w:pStyle w:val="FootnoteText"/>
      </w:pPr>
      <w:r>
        <w:rPr>
          <w:rStyle w:val="FootnoteReference"/>
        </w:rPr>
        <w:footnoteRef/>
      </w:r>
      <w:r>
        <w:t xml:space="preserve"> Cross-references for "teaching": Deut 4:5; Eccl 12:9.</w:t>
      </w:r>
    </w:p>
  </w:footnote>
  <w:footnote w:id="18386">
    <w:p>
      <w:pPr>
        <w:pStyle w:val="FootnoteText"/>
      </w:pPr>
      <w:r>
        <w:rPr>
          <w:rStyle w:val="FootnoteReference"/>
        </w:rPr>
        <w:footnoteRef/>
      </w:r>
      <w:r>
        <w:t xml:space="preserve"> Cross-references for "striving": Luke 13:24; Rom 15:20.</w:t>
      </w:r>
    </w:p>
  </w:footnote>
  <w:footnote w:id="18387">
    <w:p>
      <w:pPr>
        <w:pStyle w:val="FootnoteText"/>
      </w:pPr>
      <w:r>
        <w:rPr>
          <w:rStyle w:val="FootnoteReference"/>
        </w:rPr>
        <w:footnoteRef/>
      </w:r>
      <w:r>
        <w:t xml:space="preserve"> Place name: Laodicea. Place-name meaning: Laodicea — just people. Source form: Laodicea. Greek form: λαοδικεια.</w:t>
      </w:r>
    </w:p>
  </w:footnote>
  <w:footnote w:id="18388">
    <w:p>
      <w:pPr>
        <w:pStyle w:val="FootnoteText"/>
      </w:pPr>
      <w:r>
        <w:rPr>
          <w:rStyle w:val="FootnoteReference"/>
        </w:rPr>
        <w:footnoteRef/>
      </w:r>
      <w:r>
        <w:t xml:space="preserve"> Cross-references for "their": Isa 40:1; Rom 15:13.</w:t>
      </w:r>
    </w:p>
  </w:footnote>
  <w:footnote w:id="18389">
    <w:p>
      <w:pPr>
        <w:pStyle w:val="FootnoteText"/>
      </w:pPr>
      <w:r>
        <w:rPr>
          <w:rStyle w:val="FootnoteReference"/>
        </w:rPr>
        <w:footnoteRef/>
      </w:r>
      <w:r>
        <w:t xml:space="preserve"> Cross-references for "In whom": Rom 11:33; 1Cor 1:24.</w:t>
      </w:r>
    </w:p>
  </w:footnote>
  <w:footnote w:id="18390">
    <w:p>
      <w:pPr>
        <w:pStyle w:val="FootnoteText"/>
      </w:pPr>
      <w:r>
        <w:rPr>
          <w:rStyle w:val="FootnoteReference"/>
        </w:rPr>
        <w:footnoteRef/>
      </w:r>
      <w:r>
        <w:t xml:space="preserve"> Cross-references for "enticing": 1Cor 2:4.</w:t>
      </w:r>
    </w:p>
  </w:footnote>
  <w:footnote w:id="18391">
    <w:p>
      <w:pPr>
        <w:pStyle w:val="FootnoteText"/>
      </w:pPr>
      <w:r>
        <w:rPr>
          <w:rStyle w:val="FootnoteReference"/>
        </w:rPr>
        <w:footnoteRef/>
      </w:r>
      <w:r>
        <w:t xml:space="preserve"> Cross-references for "and beholding": 2Chr 29:35; 1Cor 11:34.</w:t>
      </w:r>
    </w:p>
  </w:footnote>
  <w:footnote w:id="18392">
    <w:p>
      <w:pPr>
        <w:pStyle w:val="FootnoteText"/>
      </w:pPr>
      <w:r>
        <w:rPr>
          <w:rStyle w:val="FootnoteReference"/>
        </w:rPr>
        <w:footnoteRef/>
      </w:r>
      <w:r>
        <w:t xml:space="preserve"> Cross-references for "received": Matt 10:40; John 1:12-13.</w:t>
      </w:r>
    </w:p>
  </w:footnote>
  <w:footnote w:id="18393">
    <w:p>
      <w:pPr>
        <w:pStyle w:val="FootnoteText"/>
      </w:pPr>
      <w:r>
        <w:rPr>
          <w:rStyle w:val="FootnoteReference"/>
        </w:rPr>
        <w:footnoteRef/>
      </w:r>
      <w:r>
        <w:t xml:space="preserve"> Cross-references for "Rooted": Ps 1:3; Ps 92:13.</w:t>
      </w:r>
    </w:p>
  </w:footnote>
  <w:footnote w:id="18394">
    <w:p>
      <w:pPr>
        <w:pStyle w:val="FootnoteText"/>
      </w:pPr>
      <w:r>
        <w:rPr>
          <w:rStyle w:val="FootnoteReference"/>
        </w:rPr>
        <w:footnoteRef/>
      </w:r>
      <w:r>
        <w:t xml:space="preserve"> Cross-references for "Beware": Deut 6:12; Matt 7:15.</w:t>
      </w:r>
    </w:p>
  </w:footnote>
  <w:footnote w:id="18395">
    <w:p>
      <w:pPr>
        <w:pStyle w:val="FootnoteText"/>
      </w:pPr>
      <w:r>
        <w:rPr>
          <w:rStyle w:val="FootnoteReference"/>
        </w:rPr>
        <w:footnoteRef/>
      </w:r>
      <w:r>
        <w:t xml:space="preserve"> Cross-references for "bodily": Luke 3:22; John 1:14.</w:t>
      </w:r>
    </w:p>
  </w:footnote>
  <w:footnote w:id="18396">
    <w:p>
      <w:pPr>
        <w:pStyle w:val="FootnoteText"/>
      </w:pPr>
      <w:r>
        <w:rPr>
          <w:rStyle w:val="FootnoteReference"/>
        </w:rPr>
        <w:footnoteRef/>
      </w:r>
      <w:r>
        <w:t xml:space="preserve"> Cross-references for "complete": John 1:16; 1Cor 1:30-31.</w:t>
      </w:r>
    </w:p>
  </w:footnote>
  <w:footnote w:id="18397">
    <w:p>
      <w:pPr>
        <w:pStyle w:val="FootnoteText"/>
      </w:pPr>
      <w:r>
        <w:rPr>
          <w:rStyle w:val="FootnoteReference"/>
        </w:rPr>
        <w:footnoteRef/>
      </w:r>
      <w:r>
        <w:t xml:space="preserve"> Cross-references for "in putting": Rom 6:6; Eph 4:22.</w:t>
      </w:r>
    </w:p>
  </w:footnote>
  <w:footnote w:id="18398">
    <w:p>
      <w:pPr>
        <w:pStyle w:val="FootnoteText"/>
      </w:pPr>
      <w:r>
        <w:rPr>
          <w:rStyle w:val="FootnoteReference"/>
        </w:rPr>
        <w:footnoteRef/>
      </w:r>
      <w:r>
        <w:t xml:space="preserve"> Cross-references for "Buried": Rom 6:4-5.</w:t>
      </w:r>
    </w:p>
  </w:footnote>
  <w:footnote w:id="18399">
    <w:p>
      <w:pPr>
        <w:pStyle w:val="FootnoteText"/>
      </w:pPr>
      <w:r>
        <w:rPr>
          <w:rStyle w:val="FootnoteReference"/>
        </w:rPr>
        <w:footnoteRef/>
      </w:r>
      <w:r>
        <w:t xml:space="preserve"> Cross-references for "dead": Ezek 37:1-10; Luke 9:60.</w:t>
      </w:r>
    </w:p>
  </w:footnote>
  <w:footnote w:id="18400">
    <w:p>
      <w:pPr>
        <w:pStyle w:val="FootnoteText"/>
      </w:pPr>
      <w:r>
        <w:rPr>
          <w:rStyle w:val="FootnoteReference"/>
        </w:rPr>
        <w:footnoteRef/>
      </w:r>
      <w:r>
        <w:t xml:space="preserve"> Cross-references for "the handwriting": Dan 5:7-8; Luke 1:6.</w:t>
      </w:r>
    </w:p>
  </w:footnote>
  <w:footnote w:id="18401">
    <w:p>
      <w:pPr>
        <w:pStyle w:val="FootnoteText"/>
      </w:pPr>
      <w:r>
        <w:rPr>
          <w:rStyle w:val="FootnoteReference"/>
        </w:rPr>
        <w:footnoteRef/>
      </w:r>
      <w:r>
        <w:t xml:space="preserve"> Cross-references for "principalities": 2Cor 4:4; Eph 6:12.</w:t>
      </w:r>
    </w:p>
  </w:footnote>
  <w:footnote w:id="18402">
    <w:p>
      <w:pPr>
        <w:pStyle w:val="FootnoteText"/>
      </w:pPr>
      <w:r>
        <w:rPr>
          <w:rStyle w:val="FootnoteReference"/>
        </w:rPr>
        <w:footnoteRef/>
      </w:r>
      <w:r>
        <w:t xml:space="preserve"> Cross-references for "judge": Rom 14:3; Rom 14:10.</w:t>
      </w:r>
    </w:p>
  </w:footnote>
  <w:footnote w:id="18403">
    <w:p>
      <w:pPr>
        <w:pStyle w:val="FootnoteText"/>
      </w:pPr>
      <w:r>
        <w:rPr>
          <w:rStyle w:val="FootnoteReference"/>
        </w:rPr>
        <w:footnoteRef/>
      </w:r>
      <w:r>
        <w:t xml:space="preserve"> Cross-references for "a shadow": John 1:17; Heb 8:5.</w:t>
      </w:r>
    </w:p>
  </w:footnote>
  <w:footnote w:id="18404">
    <w:p>
      <w:pPr>
        <w:pStyle w:val="FootnoteText"/>
      </w:pPr>
      <w:r>
        <w:rPr>
          <w:rStyle w:val="FootnoteReference"/>
        </w:rPr>
        <w:footnoteRef/>
      </w:r>
      <w:r>
        <w:t xml:space="preserve"> Cross-references for "beguile you": Col 2:16.</w:t>
      </w:r>
    </w:p>
  </w:footnote>
  <w:footnote w:id="18405">
    <w:p>
      <w:pPr>
        <w:pStyle w:val="FootnoteText"/>
      </w:pPr>
      <w:r>
        <w:rPr>
          <w:rStyle w:val="FootnoteReference"/>
        </w:rPr>
        <w:footnoteRef/>
      </w:r>
      <w:r>
        <w:t xml:space="preserve"> Cross-references for "nourishment": John 15:4-6; Rom 11:17.</w:t>
      </w:r>
    </w:p>
  </w:footnote>
  <w:footnote w:id="18406">
    <w:p>
      <w:pPr>
        <w:pStyle w:val="FootnoteText"/>
      </w:pPr>
      <w:r>
        <w:rPr>
          <w:rStyle w:val="FootnoteReference"/>
        </w:rPr>
        <w:footnoteRef/>
      </w:r>
      <w:r>
        <w:t xml:space="preserve"> Cross-references for "living": John 15:19; John 17:14-16.</w:t>
      </w:r>
    </w:p>
  </w:footnote>
  <w:footnote w:id="18407">
    <w:p>
      <w:pPr>
        <w:pStyle w:val="FootnoteText"/>
      </w:pPr>
      <w:r>
        <w:rPr>
          <w:rStyle w:val="FootnoteReference"/>
        </w:rPr>
        <w:footnoteRef/>
      </w:r>
      <w:r>
        <w:t xml:space="preserve"> Cross-references for "a show": Gen 3:5-6; Matt 23:27-28.</w:t>
      </w:r>
    </w:p>
  </w:footnote>
  <w:footnote w:id="18408">
    <w:p>
      <w:pPr>
        <w:pStyle w:val="FootnoteText"/>
      </w:pPr>
      <w:r>
        <w:rPr>
          <w:rStyle w:val="FootnoteReference"/>
        </w:rPr>
        <w:footnoteRef/>
      </w:r>
      <w:r>
        <w:t xml:space="preserve"> Cross-references for "risen": Rom 6:4-5; Rom 6:9-11.</w:t>
      </w:r>
    </w:p>
  </w:footnote>
  <w:footnote w:id="18409">
    <w:p>
      <w:pPr>
        <w:pStyle w:val="FootnoteText"/>
      </w:pPr>
      <w:r>
        <w:rPr>
          <w:rStyle w:val="FootnoteReference"/>
        </w:rPr>
        <w:footnoteRef/>
      </w:r>
      <w:r>
        <w:t xml:space="preserve"> Cross-references for "appear": 1Tim 6:14; 2Tim 4:8.</w:t>
      </w:r>
    </w:p>
  </w:footnote>
  <w:footnote w:id="18410">
    <w:p>
      <w:pPr>
        <w:pStyle w:val="FootnoteText"/>
      </w:pPr>
      <w:r>
        <w:rPr>
          <w:rStyle w:val="FootnoteReference"/>
        </w:rPr>
        <w:footnoteRef/>
      </w:r>
      <w:r>
        <w:t xml:space="preserve"> Cross-references for "members": Rom 6:13; Rom 7:5.</w:t>
      </w:r>
    </w:p>
  </w:footnote>
  <w:footnote w:id="18411">
    <w:p>
      <w:pPr>
        <w:pStyle w:val="FootnoteText"/>
      </w:pPr>
      <w:r>
        <w:rPr>
          <w:rStyle w:val="FootnoteReference"/>
        </w:rPr>
        <w:footnoteRef/>
      </w:r>
      <w:r>
        <w:t xml:space="preserve"> Cross-references for "anger": Ps 37:8; Prov 17:14.</w:t>
      </w:r>
    </w:p>
  </w:footnote>
  <w:footnote w:id="18412">
    <w:p>
      <w:pPr>
        <w:pStyle w:val="FootnoteText"/>
      </w:pPr>
      <w:r>
        <w:rPr>
          <w:rStyle w:val="FootnoteReference"/>
        </w:rPr>
        <w:footnoteRef/>
      </w:r>
      <w:r>
        <w:t xml:space="preserve"> Cross-references for "the new": Ezek 11:19; Ezek 18:31.</w:t>
      </w:r>
    </w:p>
  </w:footnote>
  <w:footnote w:id="18413">
    <w:p>
      <w:pPr>
        <w:pStyle w:val="FootnoteText"/>
      </w:pPr>
      <w:r>
        <w:rPr>
          <w:rStyle w:val="FootnoteReference"/>
        </w:rPr>
        <w:footnoteRef/>
      </w:r>
      <w:r>
        <w:t xml:space="preserve"> Cross-references for "circumcision": 1Cor 7:19; Gal 5:6.</w:t>
      </w:r>
    </w:p>
  </w:footnote>
  <w:footnote w:id="18414">
    <w:p>
      <w:pPr>
        <w:pStyle w:val="FootnoteText"/>
      </w:pPr>
      <w:r>
        <w:rPr>
          <w:rStyle w:val="FootnoteReference"/>
        </w:rPr>
        <w:footnoteRef/>
      </w:r>
      <w:r>
        <w:t xml:space="preserve"> People-name: Scythian. People-name meaning: Scythians — Scythian people; archer/nomad people. Standard English equivalent: Scythians. Source form: Scythian.</w:t>
      </w:r>
    </w:p>
  </w:footnote>
  <w:footnote w:id="18415">
    <w:p>
      <w:pPr>
        <w:pStyle w:val="FootnoteText"/>
      </w:pPr>
      <w:r>
        <w:rPr>
          <w:rStyle w:val="FootnoteReference"/>
        </w:rPr>
        <w:footnoteRef/>
      </w:r>
      <w:r>
        <w:t xml:space="preserve"> Cross-references for "holy": Rom 8:29; Eph 1:4.</w:t>
      </w:r>
    </w:p>
  </w:footnote>
  <w:footnote w:id="18416">
    <w:p>
      <w:pPr>
        <w:pStyle w:val="FootnoteText"/>
      </w:pPr>
      <w:r>
        <w:rPr>
          <w:rStyle w:val="FootnoteReference"/>
        </w:rPr>
        <w:footnoteRef/>
      </w:r>
      <w:r>
        <w:t xml:space="preserve"> Cross-references for "Forbearing": Rom 15:1-2; 2Cor 6:6.</w:t>
      </w:r>
    </w:p>
  </w:footnote>
  <w:footnote w:id="18417">
    <w:p>
      <w:pPr>
        <w:pStyle w:val="FootnoteText"/>
      </w:pPr>
      <w:r>
        <w:rPr>
          <w:rStyle w:val="FootnoteReference"/>
        </w:rPr>
        <w:footnoteRef/>
      </w:r>
      <w:r>
        <w:t xml:space="preserve"> Cross-references for "the peace": Ps 29:11; Isa 26:3.</w:t>
      </w:r>
    </w:p>
  </w:footnote>
  <w:footnote w:id="18418">
    <w:p>
      <w:pPr>
        <w:pStyle w:val="FootnoteText"/>
      </w:pPr>
      <w:r>
        <w:rPr>
          <w:rStyle w:val="FootnoteReference"/>
        </w:rPr>
        <w:footnoteRef/>
      </w:r>
      <w:r>
        <w:t xml:space="preserve"> Cross-references for "the word": John 5:39-40; 2Tim 3:15.</w:t>
      </w:r>
    </w:p>
  </w:footnote>
  <w:footnote w:id="18419">
    <w:p>
      <w:pPr>
        <w:pStyle w:val="FootnoteText"/>
      </w:pPr>
      <w:r>
        <w:rPr>
          <w:rStyle w:val="FootnoteReference"/>
        </w:rPr>
        <w:footnoteRef/>
      </w:r>
      <w:r>
        <w:t xml:space="preserve"> Cross-references for "in word": 2Thess 2:17; 1John 3:18.</w:t>
      </w:r>
    </w:p>
  </w:footnote>
  <w:footnote w:id="18420">
    <w:p>
      <w:pPr>
        <w:pStyle w:val="FootnoteText"/>
      </w:pPr>
      <w:r>
        <w:rPr>
          <w:rStyle w:val="FootnoteReference"/>
        </w:rPr>
        <w:footnoteRef/>
      </w:r>
      <w:r>
        <w:t xml:space="preserve"> Cross-references for "submit": Gen 3:16; 1Cor 11:3.</w:t>
      </w:r>
    </w:p>
  </w:footnote>
  <w:footnote w:id="18421">
    <w:p>
      <w:pPr>
        <w:pStyle w:val="FootnoteText"/>
      </w:pPr>
      <w:r>
        <w:rPr>
          <w:rStyle w:val="FootnoteReference"/>
        </w:rPr>
        <w:footnoteRef/>
      </w:r>
      <w:r>
        <w:t xml:space="preserve"> Cross-references for "love": Gen 2:23-24; Gen 24:67.</w:t>
      </w:r>
    </w:p>
  </w:footnote>
  <w:footnote w:id="18422">
    <w:p>
      <w:pPr>
        <w:pStyle w:val="FootnoteText"/>
      </w:pPr>
      <w:r>
        <w:rPr>
          <w:rStyle w:val="FootnoteReference"/>
        </w:rPr>
        <w:footnoteRef/>
      </w:r>
      <w:r>
        <w:t xml:space="preserve"> Cross-references for "obey": Gen 28:7; Exod 20:12.</w:t>
      </w:r>
    </w:p>
  </w:footnote>
  <w:footnote w:id="18423">
    <w:p>
      <w:pPr>
        <w:pStyle w:val="FootnoteText"/>
      </w:pPr>
      <w:r>
        <w:rPr>
          <w:rStyle w:val="FootnoteReference"/>
        </w:rPr>
        <w:footnoteRef/>
      </w:r>
      <w:r>
        <w:t xml:space="preserve"> Cross-references for "obey": Ps 123:2; Mal 1:6.</w:t>
      </w:r>
    </w:p>
  </w:footnote>
  <w:footnote w:id="18424">
    <w:p>
      <w:pPr>
        <w:pStyle w:val="FootnoteText"/>
      </w:pPr>
      <w:r>
        <w:rPr>
          <w:rStyle w:val="FootnoteReference"/>
        </w:rPr>
        <w:footnoteRef/>
      </w:r>
      <w:r>
        <w:t xml:space="preserve"> Cross-references for "receive": 2Cor 5:10; Heb 2:2.</w:t>
      </w:r>
    </w:p>
  </w:footnote>
  <w:footnote w:id="18425">
    <w:p>
      <w:pPr>
        <w:pStyle w:val="FootnoteText"/>
      </w:pPr>
      <w:r>
        <w:rPr>
          <w:rStyle w:val="FootnoteReference"/>
        </w:rPr>
        <w:footnoteRef/>
      </w:r>
      <w:r>
        <w:t xml:space="preserve"> Cross-references for "give": Lev 19:13; Lev 25:39-43.</w:t>
      </w:r>
    </w:p>
  </w:footnote>
  <w:footnote w:id="18426">
    <w:p>
      <w:pPr>
        <w:pStyle w:val="FootnoteText"/>
      </w:pPr>
      <w:r>
        <w:rPr>
          <w:rStyle w:val="FootnoteReference"/>
        </w:rPr>
        <w:footnoteRef/>
      </w:r>
      <w:r>
        <w:t xml:space="preserve"> Cross-references for "Continue": 1Sam 12:23; Job 15:4.</w:t>
      </w:r>
    </w:p>
  </w:footnote>
  <w:footnote w:id="18427">
    <w:p>
      <w:pPr>
        <w:pStyle w:val="FootnoteText"/>
      </w:pPr>
      <w:r>
        <w:rPr>
          <w:rStyle w:val="FootnoteReference"/>
        </w:rPr>
        <w:footnoteRef/>
      </w:r>
      <w:r>
        <w:t xml:space="preserve"> Cross-references for "praying": Rom 15:30-32; Eph 6:19.</w:t>
      </w:r>
    </w:p>
  </w:footnote>
  <w:footnote w:id="18428">
    <w:p>
      <w:pPr>
        <w:pStyle w:val="FootnoteText"/>
      </w:pPr>
      <w:r>
        <w:rPr>
          <w:rStyle w:val="FootnoteReference"/>
        </w:rPr>
        <w:footnoteRef/>
      </w:r>
      <w:r>
        <w:t xml:space="preserve"> Cross-references for "I may": Matt 10:26-27; Acts 4:29.</w:t>
      </w:r>
    </w:p>
  </w:footnote>
  <w:footnote w:id="18429">
    <w:p>
      <w:pPr>
        <w:pStyle w:val="FootnoteText"/>
      </w:pPr>
      <w:r>
        <w:rPr>
          <w:rStyle w:val="FootnoteReference"/>
        </w:rPr>
        <w:footnoteRef/>
      </w:r>
      <w:r>
        <w:t xml:space="preserve"> Cross-references for "Walk": Ps 90:12; Matt 10:16.</w:t>
      </w:r>
    </w:p>
  </w:footnote>
  <w:footnote w:id="18430">
    <w:p>
      <w:pPr>
        <w:pStyle w:val="FootnoteText"/>
      </w:pPr>
      <w:r>
        <w:rPr>
          <w:rStyle w:val="FootnoteReference"/>
        </w:rPr>
        <w:footnoteRef/>
      </w:r>
      <w:r>
        <w:t xml:space="preserve"> Cross-references for "seasoned": Lev 2:13; 2Kgs 2:20-22.</w:t>
      </w:r>
    </w:p>
  </w:footnote>
  <w:footnote w:id="18431">
    <w:p>
      <w:pPr>
        <w:pStyle w:val="FootnoteText"/>
      </w:pPr>
      <w:r>
        <w:rPr>
          <w:rStyle w:val="FootnoteReference"/>
        </w:rPr>
        <w:footnoteRef/>
      </w:r>
      <w:r>
        <w:t xml:space="preserve"> Cross-references for "Tychicus": Acts 20:4; 2Tim 4:12.</w:t>
      </w:r>
    </w:p>
  </w:footnote>
  <w:footnote w:id="18432">
    <w:p>
      <w:pPr>
        <w:pStyle w:val="FootnoteText"/>
      </w:pPr>
      <w:r>
        <w:rPr>
          <w:rStyle w:val="FootnoteReference"/>
        </w:rPr>
        <w:footnoteRef/>
      </w:r>
      <w:r>
        <w:t xml:space="preserve"> Cross-references for "and comfort": Isa 40:1; Isa 61:2-3.</w:t>
      </w:r>
    </w:p>
  </w:footnote>
  <w:footnote w:id="18433">
    <w:p>
      <w:pPr>
        <w:pStyle w:val="FootnoteText"/>
      </w:pPr>
      <w:r>
        <w:rPr>
          <w:rStyle w:val="FootnoteReference"/>
        </w:rPr>
        <w:footnoteRef/>
      </w:r>
      <w:r>
        <w:t xml:space="preserve"> Name meaning: Onesimus (Onesimos) — Useful; profitable. The runaway slave who became useful.</w:t>
      </w:r>
    </w:p>
  </w:footnote>
  <w:footnote w:id="18434">
    <w:p>
      <w:pPr>
        <w:pStyle w:val="FootnoteText"/>
      </w:pPr>
      <w:r>
        <w:rPr>
          <w:rStyle w:val="FootnoteReference"/>
        </w:rPr>
        <w:footnoteRef/>
      </w:r>
      <w:r>
        <w:t xml:space="preserve"> Cross-references for "Onesimus": Col 4:7; Phlm 1:10-19.</w:t>
      </w:r>
    </w:p>
  </w:footnote>
  <w:footnote w:id="18435">
    <w:p>
      <w:pPr>
        <w:pStyle w:val="FootnoteText"/>
      </w:pPr>
      <w:r>
        <w:rPr>
          <w:rStyle w:val="FootnoteReference"/>
        </w:rPr>
        <w:footnoteRef/>
      </w:r>
      <w:r>
        <w:t xml:space="preserve"> Cross-references for "Aristarchus": Acts 19:29; Acts 20:4.</w:t>
      </w:r>
    </w:p>
  </w:footnote>
  <w:footnote w:id="18436">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8437">
    <w:p>
      <w:pPr>
        <w:pStyle w:val="FootnoteText"/>
      </w:pPr>
      <w:r>
        <w:rPr>
          <w:rStyle w:val="FootnoteReference"/>
        </w:rPr>
        <w:footnoteRef/>
      </w:r>
      <w:r>
        <w:t xml:space="preserve"> Cross-references for "a comfort": 2Cor 7:6-7; 1Thess 3:7.</w:t>
      </w:r>
    </w:p>
  </w:footnote>
  <w:footnote w:id="18438">
    <w:p>
      <w:pPr>
        <w:pStyle w:val="FootnoteText"/>
      </w:pPr>
      <w:r>
        <w:rPr>
          <w:rStyle w:val="FootnoteReference"/>
        </w:rPr>
        <w:footnoteRef/>
      </w:r>
      <w:r>
        <w:t xml:space="preserve"> Cross-references for "Epaphras": Col 1:7; Phlm 1:23.</w:t>
      </w:r>
    </w:p>
  </w:footnote>
  <w:footnote w:id="18439">
    <w:p>
      <w:pPr>
        <w:pStyle w:val="FootnoteText"/>
      </w:pPr>
      <w:r>
        <w:rPr>
          <w:rStyle w:val="FootnoteReference"/>
        </w:rPr>
        <w:footnoteRef/>
      </w:r>
      <w:r>
        <w:t xml:space="preserve"> Cross-references for "I bear": Rom 10:2; 2Cor 8:3.</w:t>
      </w:r>
    </w:p>
  </w:footnote>
  <w:footnote w:id="18440">
    <w:p>
      <w:pPr>
        <w:pStyle w:val="FootnoteText"/>
      </w:pPr>
      <w:r>
        <w:rPr>
          <w:rStyle w:val="FootnoteReference"/>
        </w:rPr>
        <w:footnoteRef/>
      </w:r>
      <w:r>
        <w:t xml:space="preserve"> Place name: Hierapolis. Place-name meaning: Hierapolis — holy city. Source form: Hierapolis. Greek form: ιεραπολει.</w:t>
      </w:r>
    </w:p>
  </w:footnote>
  <w:footnote w:id="18441">
    <w:p>
      <w:pPr>
        <w:pStyle w:val="FootnoteText"/>
      </w:pPr>
      <w:r>
        <w:rPr>
          <w:rStyle w:val="FootnoteReference"/>
        </w:rPr>
        <w:footnoteRef/>
      </w:r>
      <w:r>
        <w:t xml:space="preserve"> Name meaning: Luke (Loukas) — Light-giving; from Lucania. Beloved physician who brought gospel light.</w:t>
      </w:r>
    </w:p>
  </w:footnote>
  <w:footnote w:id="18442">
    <w:p>
      <w:pPr>
        <w:pStyle w:val="FootnoteText"/>
      </w:pPr>
      <w:r>
        <w:rPr>
          <w:rStyle w:val="FootnoteReference"/>
        </w:rPr>
        <w:footnoteRef/>
      </w:r>
      <w:r>
        <w:t xml:space="preserve"> Name meaning: Demas (Demas) — Popular. Loved this present world and forsook Paul.</w:t>
      </w:r>
    </w:p>
  </w:footnote>
  <w:footnote w:id="18443">
    <w:p>
      <w:pPr>
        <w:pStyle w:val="FootnoteText"/>
      </w:pPr>
      <w:r>
        <w:rPr>
          <w:rStyle w:val="FootnoteReference"/>
        </w:rPr>
        <w:footnoteRef/>
      </w:r>
      <w:r>
        <w:t xml:space="preserve"> Cross-references for "Luke": 2Tim 4:11; Phlm 1:24.</w:t>
      </w:r>
    </w:p>
  </w:footnote>
  <w:footnote w:id="18444">
    <w:p>
      <w:pPr>
        <w:pStyle w:val="FootnoteText"/>
      </w:pPr>
      <w:r>
        <w:rPr>
          <w:rStyle w:val="FootnoteReference"/>
        </w:rPr>
        <w:footnoteRef/>
      </w:r>
      <w:r>
        <w:t xml:space="preserve"> Cross-references for "Laodicea": Col 4:13.</w:t>
      </w:r>
    </w:p>
  </w:footnote>
  <w:footnote w:id="18445">
    <w:p>
      <w:pPr>
        <w:pStyle w:val="FootnoteText"/>
      </w:pPr>
      <w:r>
        <w:rPr>
          <w:rStyle w:val="FootnoteReference"/>
        </w:rPr>
        <w:footnoteRef/>
      </w:r>
      <w:r>
        <w:t xml:space="preserve"> Name meaning: Nymphas (Nymphas) — Bridegroom. Hosted a house church.</w:t>
      </w:r>
    </w:p>
  </w:footnote>
  <w:footnote w:id="18446">
    <w:p>
      <w:pPr>
        <w:pStyle w:val="FootnoteText"/>
      </w:pPr>
      <w:r>
        <w:rPr>
          <w:rStyle w:val="FootnoteReference"/>
        </w:rPr>
        <w:footnoteRef/>
      </w:r>
      <w:r>
        <w:t xml:space="preserve"> People-name: Laodiceans. People-name meaning: Laodiceans — people of Laodicea; just people. Source form: Laodiceans.</w:t>
      </w:r>
    </w:p>
  </w:footnote>
  <w:footnote w:id="18447">
    <w:p>
      <w:pPr>
        <w:pStyle w:val="FootnoteText"/>
      </w:pPr>
      <w:r>
        <w:rPr>
          <w:rStyle w:val="FootnoteReference"/>
        </w:rPr>
        <w:footnoteRef/>
      </w:r>
      <w:r>
        <w:t xml:space="preserve"> Cross-references for "Archippus": Phlm 1:2.</w:t>
      </w:r>
    </w:p>
  </w:footnote>
  <w:footnote w:id="18448">
    <w:p>
      <w:pPr>
        <w:pStyle w:val="FootnoteText"/>
      </w:pPr>
      <w:r>
        <w:rPr>
          <w:rStyle w:val="FootnoteReference"/>
        </w:rPr>
        <w:footnoteRef/>
      </w:r>
      <w:r>
        <w:t xml:space="preserve"> Cross-references for "Remember": 2Tim 1:8; Heb 13:3.</w:t>
      </w:r>
    </w:p>
  </w:footnote>
  <w:footnote w:id="18449">
    <w:p>
      <w:pPr>
        <w:pStyle w:val="FootnoteText"/>
      </w:pPr>
      <w:r>
        <w:rPr>
          <w:rStyle w:val="FootnoteReference"/>
        </w:rPr>
        <w:footnoteRef/>
      </w:r>
      <w:r>
        <w:t xml:space="preserve"> Cross-references for "Silvanus": Acts 15:27; Acts 15:32.</w:t>
      </w:r>
    </w:p>
  </w:footnote>
  <w:footnote w:id="18450">
    <w:p>
      <w:pPr>
        <w:pStyle w:val="FootnoteText"/>
      </w:pPr>
      <w:r>
        <w:rPr>
          <w:rStyle w:val="FootnoteReference"/>
        </w:rPr>
        <w:footnoteRef/>
      </w:r>
      <w:r>
        <w:t xml:space="preserve"> Cross-references for "Remembering": 1Thess 3:6; 2Tim 1:3-5.</w:t>
      </w:r>
    </w:p>
  </w:footnote>
  <w:footnote w:id="18451">
    <w:p>
      <w:pPr>
        <w:pStyle w:val="FootnoteText"/>
      </w:pPr>
      <w:r>
        <w:rPr>
          <w:rStyle w:val="FootnoteReference"/>
        </w:rPr>
        <w:footnoteRef/>
      </w:r>
      <w:r>
        <w:t xml:space="preserve"> Cross-references for "Knowing": Rom 8:28-30; Rom 11:5-7.</w:t>
      </w:r>
    </w:p>
  </w:footnote>
  <w:footnote w:id="18452">
    <w:p>
      <w:pPr>
        <w:pStyle w:val="FootnoteText"/>
      </w:pPr>
      <w:r>
        <w:rPr>
          <w:rStyle w:val="FootnoteReference"/>
        </w:rPr>
        <w:footnoteRef/>
      </w:r>
      <w:r>
        <w:t xml:space="preserve"> Cross-references for "in word": 1Cor 4:20; 2Cor 3:6.</w:t>
      </w:r>
    </w:p>
  </w:footnote>
  <w:footnote w:id="18453">
    <w:p>
      <w:pPr>
        <w:pStyle w:val="FootnoteText"/>
      </w:pPr>
      <w:r>
        <w:rPr>
          <w:rStyle w:val="FootnoteReference"/>
        </w:rPr>
        <w:footnoteRef/>
      </w:r>
      <w:r>
        <w:t xml:space="preserve"> Cross-references for "and of": Matt 16:24; John 8:12.</w:t>
      </w:r>
    </w:p>
  </w:footnote>
  <w:footnote w:id="18454">
    <w:p>
      <w:pPr>
        <w:pStyle w:val="FootnoteText"/>
      </w:pPr>
      <w:r>
        <w:rPr>
          <w:rStyle w:val="FootnoteReference"/>
        </w:rPr>
        <w:footnoteRef/>
      </w:r>
      <w:r>
        <w:t xml:space="preserve"> Cross-references for "ensamples": 1Thess 4:10; 1Tim 4:12.</w:t>
      </w:r>
    </w:p>
  </w:footnote>
  <w:footnote w:id="18455">
    <w:p>
      <w:pPr>
        <w:pStyle w:val="FootnoteText"/>
      </w:pPr>
      <w:r>
        <w:rPr>
          <w:rStyle w:val="FootnoteReference"/>
        </w:rPr>
        <w:footnoteRef/>
      </w:r>
      <w:r>
        <w:t xml:space="preserve"> Cross-references for "in every": Rom 1:8; 2Thess 1:4.</w:t>
      </w:r>
    </w:p>
  </w:footnote>
  <w:footnote w:id="18456">
    <w:p>
      <w:pPr>
        <w:pStyle w:val="FootnoteText"/>
      </w:pPr>
      <w:r>
        <w:rPr>
          <w:rStyle w:val="FootnoteReference"/>
        </w:rPr>
        <w:footnoteRef/>
      </w:r>
      <w:r>
        <w:t xml:space="preserve"> Cross-references for "the living": Deut 5:26; 1Sam 17:26.</w:t>
      </w:r>
    </w:p>
  </w:footnote>
  <w:footnote w:id="18457">
    <w:p>
      <w:pPr>
        <w:pStyle w:val="FootnoteText"/>
      </w:pPr>
      <w:r>
        <w:rPr>
          <w:rStyle w:val="FootnoteReference"/>
        </w:rPr>
        <w:footnoteRef/>
      </w:r>
      <w:r>
        <w:t xml:space="preserve"> Cross-references for "wait": Gen 49:18; Job 19:25-27.</w:t>
      </w:r>
    </w:p>
  </w:footnote>
  <w:footnote w:id="18458">
    <w:p>
      <w:pPr>
        <w:pStyle w:val="FootnoteText"/>
      </w:pPr>
      <w:r>
        <w:rPr>
          <w:rStyle w:val="FootnoteReference"/>
        </w:rPr>
        <w:footnoteRef/>
      </w:r>
      <w:r>
        <w:t xml:space="preserve"> Cross-references for "in vain": Job 39:16; Ps 73:13.</w:t>
      </w:r>
    </w:p>
  </w:footnote>
  <w:footnote w:id="18459">
    <w:p>
      <w:pPr>
        <w:pStyle w:val="FootnoteText"/>
      </w:pPr>
      <w:r>
        <w:rPr>
          <w:rStyle w:val="FootnoteReference"/>
        </w:rPr>
        <w:footnoteRef/>
      </w:r>
      <w:r>
        <w:t xml:space="preserve"> Cross-references for "shamefully": Acts 5:41; Acts 16:12.</w:t>
      </w:r>
    </w:p>
  </w:footnote>
  <w:footnote w:id="18460">
    <w:p>
      <w:pPr>
        <w:pStyle w:val="FootnoteText"/>
      </w:pPr>
      <w:r>
        <w:rPr>
          <w:rStyle w:val="FootnoteReference"/>
        </w:rPr>
        <w:footnoteRef/>
      </w:r>
      <w:r>
        <w:t xml:space="preserve"> Cross-references for "as we": 1Cor 7:25; Eph 3:8.</w:t>
      </w:r>
    </w:p>
  </w:footnote>
  <w:footnote w:id="18461">
    <w:p>
      <w:pPr>
        <w:pStyle w:val="FootnoteText"/>
      </w:pPr>
      <w:r>
        <w:rPr>
          <w:rStyle w:val="FootnoteReference"/>
        </w:rPr>
        <w:footnoteRef/>
      </w:r>
      <w:r>
        <w:t xml:space="preserve"> Cross-references for "used": Job 17:5; Job 32:21-22.</w:t>
      </w:r>
    </w:p>
  </w:footnote>
  <w:footnote w:id="18462">
    <w:p>
      <w:pPr>
        <w:pStyle w:val="FootnoteText"/>
      </w:pPr>
      <w:r>
        <w:rPr>
          <w:rStyle w:val="FootnoteReference"/>
        </w:rPr>
        <w:footnoteRef/>
      </w:r>
      <w:r>
        <w:t xml:space="preserve"> Cross-references for "affectionately": Jer 13:15-17; Rom 1:11-12.</w:t>
      </w:r>
    </w:p>
  </w:footnote>
  <w:footnote w:id="18463">
    <w:p>
      <w:pPr>
        <w:pStyle w:val="FootnoteText"/>
      </w:pPr>
      <w:r>
        <w:rPr>
          <w:rStyle w:val="FootnoteReference"/>
        </w:rPr>
        <w:footnoteRef/>
      </w:r>
      <w:r>
        <w:t xml:space="preserve"> Cross-references for "night": Ps 32:4; Ps 88:1.</w:t>
      </w:r>
    </w:p>
  </w:footnote>
  <w:footnote w:id="18464">
    <w:p>
      <w:pPr>
        <w:pStyle w:val="FootnoteText"/>
      </w:pPr>
      <w:r>
        <w:rPr>
          <w:rStyle w:val="FootnoteReference"/>
        </w:rPr>
        <w:footnoteRef/>
      </w:r>
      <w:r>
        <w:t xml:space="preserve"> Cross-references for "witnesses": 1Sam 12:3-5; Acts 20:18.</w:t>
      </w:r>
    </w:p>
  </w:footnote>
  <w:footnote w:id="18465">
    <w:p>
      <w:pPr>
        <w:pStyle w:val="FootnoteText"/>
      </w:pPr>
      <w:r>
        <w:rPr>
          <w:rStyle w:val="FootnoteReference"/>
        </w:rPr>
        <w:footnoteRef/>
      </w:r>
      <w:r>
        <w:t xml:space="preserve"> Cross-references for "charged": Num 27:19; Deut 3:28.</w:t>
      </w:r>
    </w:p>
  </w:footnote>
  <w:footnote w:id="18466">
    <w:p>
      <w:pPr>
        <w:pStyle w:val="FootnoteText"/>
      </w:pPr>
      <w:r>
        <w:rPr>
          <w:rStyle w:val="FootnoteReference"/>
        </w:rPr>
        <w:footnoteRef/>
      </w:r>
      <w:r>
        <w:t xml:space="preserve"> Cross-references for "walk": Gal 5:16; Eph 4:1.</w:t>
      </w:r>
    </w:p>
  </w:footnote>
  <w:footnote w:id="18467">
    <w:p>
      <w:pPr>
        <w:pStyle w:val="FootnoteText"/>
      </w:pPr>
      <w:r>
        <w:rPr>
          <w:rStyle w:val="FootnoteReference"/>
        </w:rPr>
        <w:footnoteRef/>
      </w:r>
      <w:r>
        <w:t xml:space="preserve"> Cross-references for "thank": Rom 1:8-9; 1Thess 1:2-3.</w:t>
      </w:r>
    </w:p>
  </w:footnote>
  <w:footnote w:id="18468">
    <w:p>
      <w:pPr>
        <w:pStyle w:val="FootnoteText"/>
      </w:pPr>
      <w:r>
        <w:rPr>
          <w:rStyle w:val="FootnoteReference"/>
        </w:rPr>
        <w:footnoteRef/>
      </w:r>
      <w:r>
        <w:t xml:space="preserve"> Cross-references for "became": 1Thess 1:6.</w:t>
      </w:r>
    </w:p>
  </w:footnote>
  <w:footnote w:id="18469">
    <w:p>
      <w:pPr>
        <w:pStyle w:val="FootnoteText"/>
      </w:pPr>
      <w:r>
        <w:rPr>
          <w:rStyle w:val="FootnoteReference"/>
        </w:rPr>
        <w:footnoteRef/>
      </w:r>
      <w:r>
        <w:t xml:space="preserve"> Cross-references for "killed": Matt 5:12; Matt 21:35-39.</w:t>
      </w:r>
    </w:p>
  </w:footnote>
  <w:footnote w:id="18470">
    <w:p>
      <w:pPr>
        <w:pStyle w:val="FootnoteText"/>
      </w:pPr>
      <w:r>
        <w:rPr>
          <w:rStyle w:val="FootnoteReference"/>
        </w:rPr>
        <w:footnoteRef/>
      </w:r>
      <w:r>
        <w:t xml:space="preserve"> Cross-references for "Forbidding": Acts 11:2-3; Acts 11:17-18.</w:t>
      </w:r>
    </w:p>
  </w:footnote>
  <w:footnote w:id="18471">
    <w:p>
      <w:pPr>
        <w:pStyle w:val="FootnoteText"/>
      </w:pPr>
      <w:r>
        <w:rPr>
          <w:rStyle w:val="FootnoteReference"/>
        </w:rPr>
        <w:footnoteRef/>
      </w:r>
      <w:r>
        <w:t xml:space="preserve"> Cross-references for "in presence": 2Kgs 5:26; Acts 17:10.</w:t>
      </w:r>
    </w:p>
  </w:footnote>
  <w:footnote w:id="18472">
    <w:p>
      <w:pPr>
        <w:pStyle w:val="FootnoteText"/>
      </w:pPr>
      <w:r>
        <w:rPr>
          <w:rStyle w:val="FootnoteReference"/>
        </w:rPr>
        <w:footnoteRef/>
      </w:r>
      <w:r>
        <w:t xml:space="preserve"> Cross-references for "once": Job 33:14; Phil 4:16.</w:t>
      </w:r>
    </w:p>
  </w:footnote>
  <w:footnote w:id="18473">
    <w:p>
      <w:pPr>
        <w:pStyle w:val="FootnoteText"/>
      </w:pPr>
      <w:r>
        <w:rPr>
          <w:rStyle w:val="FootnoteReference"/>
        </w:rPr>
        <w:footnoteRef/>
      </w:r>
      <w:r>
        <w:t xml:space="preserve"> Cross-references for "our hope": 2Cor 1:14; Phil 2:16.</w:t>
      </w:r>
    </w:p>
  </w:footnote>
  <w:footnote w:id="18474">
    <w:p>
      <w:pPr>
        <w:pStyle w:val="FootnoteText"/>
      </w:pPr>
      <w:r>
        <w:rPr>
          <w:rStyle w:val="FootnoteReference"/>
        </w:rPr>
        <w:footnoteRef/>
      </w:r>
      <w:r>
        <w:t xml:space="preserve"> Cross-references for "we thought": Acts 17:15.</w:t>
      </w:r>
    </w:p>
  </w:footnote>
  <w:footnote w:id="18475">
    <w:p>
      <w:pPr>
        <w:pStyle w:val="FootnoteText"/>
      </w:pPr>
      <w:r>
        <w:rPr>
          <w:rStyle w:val="FootnoteReference"/>
        </w:rPr>
        <w:footnoteRef/>
      </w:r>
      <w:r>
        <w:t xml:space="preserve"> Cross-references for "our brother": Rom 16:21; 1Cor 4:17.</w:t>
      </w:r>
    </w:p>
  </w:footnote>
  <w:footnote w:id="18476">
    <w:p>
      <w:pPr>
        <w:pStyle w:val="FootnoteText"/>
      </w:pPr>
      <w:r>
        <w:rPr>
          <w:rStyle w:val="FootnoteReference"/>
        </w:rPr>
        <w:footnoteRef/>
      </w:r>
      <w:r>
        <w:t xml:space="preserve"> Cross-references for "moved": Ps 112:6; Acts 2:25.</w:t>
      </w:r>
    </w:p>
  </w:footnote>
  <w:footnote w:id="18477">
    <w:p>
      <w:pPr>
        <w:pStyle w:val="FootnoteText"/>
      </w:pPr>
      <w:r>
        <w:rPr>
          <w:rStyle w:val="FootnoteReference"/>
        </w:rPr>
        <w:footnoteRef/>
      </w:r>
      <w:r>
        <w:t xml:space="preserve"> Cross-references for "we told": John 16:1-3; Acts 20:24.</w:t>
      </w:r>
    </w:p>
  </w:footnote>
  <w:footnote w:id="18478">
    <w:p>
      <w:pPr>
        <w:pStyle w:val="FootnoteText"/>
      </w:pPr>
      <w:r>
        <w:rPr>
          <w:rStyle w:val="FootnoteReference"/>
        </w:rPr>
        <w:footnoteRef/>
      </w:r>
      <w:r>
        <w:t xml:space="preserve"> Cross-references for "I sent": Acts 15:36; 2Cor 7:5-7.</w:t>
      </w:r>
    </w:p>
  </w:footnote>
  <w:footnote w:id="18479">
    <w:p>
      <w:pPr>
        <w:pStyle w:val="FootnoteText"/>
      </w:pPr>
      <w:r>
        <w:rPr>
          <w:rStyle w:val="FootnoteReference"/>
        </w:rPr>
        <w:footnoteRef/>
      </w:r>
      <w:r>
        <w:t xml:space="preserve"> Cross-references for "and brought": Prov 25:25; Isa 52:7.</w:t>
      </w:r>
    </w:p>
  </w:footnote>
  <w:footnote w:id="18480">
    <w:p>
      <w:pPr>
        <w:pStyle w:val="FootnoteText"/>
      </w:pPr>
      <w:r>
        <w:rPr>
          <w:rStyle w:val="FootnoteReference"/>
        </w:rPr>
        <w:footnoteRef/>
      </w:r>
      <w:r>
        <w:t xml:space="preserve"> Cross-references for "we were": 2Cor 1:4; 2Cor 7:6-7.</w:t>
      </w:r>
    </w:p>
  </w:footnote>
  <w:footnote w:id="18481">
    <w:p>
      <w:pPr>
        <w:pStyle w:val="FootnoteText"/>
      </w:pPr>
      <w:r>
        <w:rPr>
          <w:rStyle w:val="FootnoteReference"/>
        </w:rPr>
        <w:footnoteRef/>
      </w:r>
      <w:r>
        <w:t xml:space="preserve"> Cross-references for "we live": 1Sam 25:6; Ps 30:5.</w:t>
      </w:r>
    </w:p>
  </w:footnote>
  <w:footnote w:id="18482">
    <w:p>
      <w:pPr>
        <w:pStyle w:val="FootnoteText"/>
      </w:pPr>
      <w:r>
        <w:rPr>
          <w:rStyle w:val="FootnoteReference"/>
        </w:rPr>
        <w:footnoteRef/>
      </w:r>
      <w:r>
        <w:t xml:space="preserve"> Cross-references for "Night": Luke 2:37; Acts 26:7.</w:t>
      </w:r>
    </w:p>
  </w:footnote>
  <w:footnote w:id="18483">
    <w:p>
      <w:pPr>
        <w:pStyle w:val="FootnoteText"/>
      </w:pPr>
      <w:r>
        <w:rPr>
          <w:rStyle w:val="FootnoteReference"/>
        </w:rPr>
        <w:footnoteRef/>
      </w:r>
      <w:r>
        <w:t xml:space="preserve"> Cross-references for "and our Lord": Rom 1:3; 2Thess 2:16.</w:t>
      </w:r>
    </w:p>
  </w:footnote>
  <w:footnote w:id="18484">
    <w:p>
      <w:pPr>
        <w:pStyle w:val="FootnoteText"/>
      </w:pPr>
      <w:r>
        <w:rPr>
          <w:rStyle w:val="FootnoteReference"/>
        </w:rPr>
        <w:footnoteRef/>
      </w:r>
      <w:r>
        <w:t xml:space="preserve"> Cross-references for "the Lord": Ps 115:4; Luke 17:5.</w:t>
      </w:r>
    </w:p>
  </w:footnote>
  <w:footnote w:id="18485">
    <w:p>
      <w:pPr>
        <w:pStyle w:val="FootnoteText"/>
      </w:pPr>
      <w:r>
        <w:rPr>
          <w:rStyle w:val="FootnoteReference"/>
        </w:rPr>
        <w:footnoteRef/>
      </w:r>
      <w:r>
        <w:t xml:space="preserve"> Cross-references for "he may": Rom 14:4; Rom 16:25.</w:t>
      </w:r>
    </w:p>
  </w:footnote>
  <w:footnote w:id="18486">
    <w:p>
      <w:pPr>
        <w:pStyle w:val="FootnoteText"/>
      </w:pPr>
      <w:r>
        <w:rPr>
          <w:rStyle w:val="FootnoteReference"/>
        </w:rPr>
        <w:footnoteRef/>
      </w:r>
      <w:r>
        <w:t xml:space="preserve"> Cross-references for "to please": Rom 8:8; Rom 12:2.</w:t>
      </w:r>
    </w:p>
  </w:footnote>
  <w:footnote w:id="18487">
    <w:p>
      <w:pPr>
        <w:pStyle w:val="FootnoteText"/>
      </w:pPr>
      <w:r>
        <w:rPr>
          <w:rStyle w:val="FootnoteReference"/>
        </w:rPr>
        <w:footnoteRef/>
      </w:r>
      <w:r>
        <w:t xml:space="preserve"> Cross-references for "should": Rom 6:19; Rom 12:1.</w:t>
      </w:r>
    </w:p>
  </w:footnote>
  <w:footnote w:id="18488">
    <w:p>
      <w:pPr>
        <w:pStyle w:val="FootnoteText"/>
      </w:pPr>
      <w:r>
        <w:rPr>
          <w:rStyle w:val="FootnoteReference"/>
        </w:rPr>
        <w:footnoteRef/>
      </w:r>
      <w:r>
        <w:t xml:space="preserve"> Cross-references for "as the": Matt 6:32; Luke 12:30.</w:t>
      </w:r>
    </w:p>
  </w:footnote>
  <w:footnote w:id="18489">
    <w:p>
      <w:pPr>
        <w:pStyle w:val="FootnoteText"/>
      </w:pPr>
      <w:r>
        <w:rPr>
          <w:rStyle w:val="FootnoteReference"/>
        </w:rPr>
        <w:footnoteRef/>
      </w:r>
      <w:r>
        <w:t xml:space="preserve"> Cross-references for "defraud": Lev 25:14; Lev 25:17.</w:t>
      </w:r>
    </w:p>
  </w:footnote>
  <w:footnote w:id="18490">
    <w:p>
      <w:pPr>
        <w:pStyle w:val="FootnoteText"/>
      </w:pPr>
      <w:r>
        <w:rPr>
          <w:rStyle w:val="FootnoteReference"/>
        </w:rPr>
        <w:footnoteRef/>
      </w:r>
      <w:r>
        <w:t xml:space="preserve"> Cross-references for "uncleanness": Gal 5:19; Eph 4:19.</w:t>
      </w:r>
    </w:p>
  </w:footnote>
  <w:footnote w:id="18491">
    <w:p>
      <w:pPr>
        <w:pStyle w:val="FootnoteText"/>
      </w:pPr>
      <w:r>
        <w:rPr>
          <w:rStyle w:val="FootnoteReference"/>
        </w:rPr>
        <w:footnoteRef/>
      </w:r>
      <w:r>
        <w:t xml:space="preserve"> Cross-references for "study": Rom 15:20; 2Cor 5:9.</w:t>
      </w:r>
    </w:p>
  </w:footnote>
  <w:footnote w:id="18492">
    <w:p>
      <w:pPr>
        <w:pStyle w:val="FootnoteText"/>
      </w:pPr>
      <w:r>
        <w:rPr>
          <w:rStyle w:val="FootnoteReference"/>
        </w:rPr>
        <w:footnoteRef/>
      </w:r>
      <w:r>
        <w:t xml:space="preserve"> Cross-references for "nothing": 2Cor 11:7-9.</w:t>
      </w:r>
    </w:p>
  </w:footnote>
  <w:footnote w:id="18493">
    <w:p>
      <w:pPr>
        <w:pStyle w:val="FootnoteText"/>
      </w:pPr>
      <w:r>
        <w:rPr>
          <w:rStyle w:val="FootnoteReference"/>
        </w:rPr>
        <w:footnoteRef/>
      </w:r>
      <w:r>
        <w:t xml:space="preserve"> Cross-references for "I would": Rom 1:13; 1Cor 10:1.</w:t>
      </w:r>
    </w:p>
  </w:footnote>
  <w:footnote w:id="18494">
    <w:p>
      <w:pPr>
        <w:pStyle w:val="FootnoteText"/>
      </w:pPr>
      <w:r>
        <w:rPr>
          <w:rStyle w:val="FootnoteReference"/>
        </w:rPr>
        <w:footnoteRef/>
      </w:r>
      <w:r>
        <w:t xml:space="preserve"> Cross-references for "if we": Isa 26:19; Rom 8:11.</w:t>
      </w:r>
    </w:p>
  </w:footnote>
  <w:footnote w:id="18495">
    <w:p>
      <w:pPr>
        <w:pStyle w:val="FootnoteText"/>
      </w:pPr>
      <w:r>
        <w:rPr>
          <w:rStyle w:val="FootnoteReference"/>
        </w:rPr>
        <w:footnoteRef/>
      </w:r>
      <w:r>
        <w:t xml:space="preserve"> Cross-references for "which are": 1Cor 15:51-53; 2Cor 4:14.</w:t>
      </w:r>
    </w:p>
  </w:footnote>
  <w:footnote w:id="18496">
    <w:p>
      <w:pPr>
        <w:pStyle w:val="FootnoteText"/>
      </w:pPr>
      <w:r>
        <w:rPr>
          <w:rStyle w:val="FootnoteReference"/>
        </w:rPr>
        <w:footnoteRef/>
      </w:r>
      <w:r>
        <w:t xml:space="preserve"> Cross-references for "the Lord": Isa 25:8-9; Matt 16:27.</w:t>
      </w:r>
    </w:p>
  </w:footnote>
  <w:footnote w:id="18497">
    <w:p>
      <w:pPr>
        <w:pStyle w:val="FootnoteText"/>
      </w:pPr>
      <w:r>
        <w:rPr>
          <w:rStyle w:val="FootnoteReference"/>
        </w:rPr>
        <w:footnoteRef/>
      </w:r>
      <w:r>
        <w:t xml:space="preserve"> Cross-references for "we which": 1Cor 15:52; 1Thess 4:15.</w:t>
      </w:r>
    </w:p>
  </w:footnote>
  <w:footnote w:id="18498">
    <w:p>
      <w:pPr>
        <w:pStyle w:val="FootnoteText"/>
      </w:pPr>
      <w:r>
        <w:rPr>
          <w:rStyle w:val="FootnoteReference"/>
        </w:rPr>
        <w:footnoteRef/>
      </w:r>
      <w:r>
        <w:t xml:space="preserve"> Cross-references for "comfort": Heb 10:24-25.</w:t>
      </w:r>
    </w:p>
  </w:footnote>
  <w:footnote w:id="18499">
    <w:p>
      <w:pPr>
        <w:pStyle w:val="FootnoteText"/>
      </w:pPr>
      <w:r>
        <w:rPr>
          <w:rStyle w:val="FootnoteReference"/>
        </w:rPr>
        <w:footnoteRef/>
      </w:r>
      <w:r>
        <w:t xml:space="preserve"> Cross-references for "the times": Matt 24:3; Matt 24:36.</w:t>
      </w:r>
    </w:p>
  </w:footnote>
  <w:footnote w:id="18500">
    <w:p>
      <w:pPr>
        <w:pStyle w:val="FootnoteText"/>
      </w:pPr>
      <w:r>
        <w:rPr>
          <w:rStyle w:val="FootnoteReference"/>
        </w:rPr>
        <w:footnoteRef/>
      </w:r>
      <w:r>
        <w:t xml:space="preserve"> Cross-references for "know": Jer 23:20.</w:t>
      </w:r>
    </w:p>
  </w:footnote>
  <w:footnote w:id="18501">
    <w:p>
      <w:pPr>
        <w:pStyle w:val="FootnoteText"/>
      </w:pPr>
      <w:r>
        <w:rPr>
          <w:rStyle w:val="FootnoteReference"/>
        </w:rPr>
        <w:footnoteRef/>
      </w:r>
      <w:r>
        <w:t xml:space="preserve"> Cross-references for "Peace": Deut 29:19; Judg 18:27-28.</w:t>
      </w:r>
    </w:p>
  </w:footnote>
  <w:footnote w:id="18502">
    <w:p>
      <w:pPr>
        <w:pStyle w:val="FootnoteText"/>
      </w:pPr>
      <w:r>
        <w:rPr>
          <w:rStyle w:val="FootnoteReference"/>
        </w:rPr>
        <w:footnoteRef/>
      </w:r>
      <w:r>
        <w:t xml:space="preserve"> Cross-references for "overtake": Deut 19:6; Deut 28:15.</w:t>
      </w:r>
    </w:p>
  </w:footnote>
  <w:footnote w:id="18503">
    <w:p>
      <w:pPr>
        <w:pStyle w:val="FootnoteText"/>
      </w:pPr>
      <w:r>
        <w:rPr>
          <w:rStyle w:val="FootnoteReference"/>
        </w:rPr>
        <w:footnoteRef/>
      </w:r>
      <w:r>
        <w:t xml:space="preserve"> Cross-references for "let us not": Prov 19:15; Isa 56:10.</w:t>
      </w:r>
    </w:p>
  </w:footnote>
  <w:footnote w:id="18504">
    <w:p>
      <w:pPr>
        <w:pStyle w:val="FootnoteText"/>
      </w:pPr>
      <w:r>
        <w:rPr>
          <w:rStyle w:val="FootnoteReference"/>
        </w:rPr>
        <w:footnoteRef/>
      </w:r>
      <w:r>
        <w:t xml:space="preserve"> Cross-references for "the breastplate": Isa 59:17; Rom 13:12.</w:t>
      </w:r>
    </w:p>
  </w:footnote>
  <w:footnote w:id="18505">
    <w:p>
      <w:pPr>
        <w:pStyle w:val="FootnoteText"/>
      </w:pPr>
      <w:r>
        <w:rPr>
          <w:rStyle w:val="FootnoteReference"/>
        </w:rPr>
        <w:footnoteRef/>
      </w:r>
      <w:r>
        <w:t xml:space="preserve"> Cross-references for "obtain": Rom 11:7; Rom 11:30.</w:t>
      </w:r>
    </w:p>
  </w:footnote>
  <w:footnote w:id="18506">
    <w:p>
      <w:pPr>
        <w:pStyle w:val="FootnoteText"/>
      </w:pPr>
      <w:r>
        <w:rPr>
          <w:rStyle w:val="FootnoteReference"/>
        </w:rPr>
        <w:footnoteRef/>
      </w:r>
      <w:r>
        <w:t xml:space="preserve"> Cross-references for "died": Matt 20:28; John 10:11.</w:t>
      </w:r>
    </w:p>
  </w:footnote>
  <w:footnote w:id="18507">
    <w:p>
      <w:pPr>
        <w:pStyle w:val="FootnoteText"/>
      </w:pPr>
      <w:r>
        <w:rPr>
          <w:rStyle w:val="FootnoteReference"/>
        </w:rPr>
        <w:footnoteRef/>
      </w:r>
      <w:r>
        <w:t xml:space="preserve"> Cross-references for "comfort": Heb 3:13; Heb 10:25.</w:t>
      </w:r>
    </w:p>
  </w:footnote>
  <w:footnote w:id="18508">
    <w:p>
      <w:pPr>
        <w:pStyle w:val="FootnoteText"/>
      </w:pPr>
      <w:r>
        <w:rPr>
          <w:rStyle w:val="FootnoteReference"/>
        </w:rPr>
        <w:footnoteRef/>
      </w:r>
      <w:r>
        <w:t xml:space="preserve"> Cross-references for "to know": 1Cor 16:18; Phil 2:19.</w:t>
      </w:r>
    </w:p>
  </w:footnote>
  <w:footnote w:id="18509">
    <w:p>
      <w:pPr>
        <w:pStyle w:val="FootnoteText"/>
      </w:pPr>
      <w:r>
        <w:rPr>
          <w:rStyle w:val="FootnoteReference"/>
        </w:rPr>
        <w:footnoteRef/>
      </w:r>
      <w:r>
        <w:t xml:space="preserve"> Cross-references for "esteem": Matt 10:40; 1Cor 4:1-2.</w:t>
      </w:r>
    </w:p>
  </w:footnote>
  <w:footnote w:id="18510">
    <w:p>
      <w:pPr>
        <w:pStyle w:val="FootnoteText"/>
      </w:pPr>
      <w:r>
        <w:rPr>
          <w:rStyle w:val="FootnoteReference"/>
        </w:rPr>
        <w:footnoteRef/>
      </w:r>
      <w:r>
        <w:t xml:space="preserve"> Cross-references for "exhort": Rom 12:1.</w:t>
      </w:r>
    </w:p>
  </w:footnote>
  <w:footnote w:id="18511">
    <w:p>
      <w:pPr>
        <w:pStyle w:val="FootnoteText"/>
      </w:pPr>
      <w:r>
        <w:rPr>
          <w:rStyle w:val="FootnoteReference"/>
        </w:rPr>
        <w:footnoteRef/>
      </w:r>
      <w:r>
        <w:t xml:space="preserve"> Cross-references for "none": Exod 23:4-5; Lev 19:18.</w:t>
      </w:r>
    </w:p>
  </w:footnote>
  <w:footnote w:id="18512">
    <w:p>
      <w:pPr>
        <w:pStyle w:val="FootnoteText"/>
      </w:pPr>
      <w:r>
        <w:rPr>
          <w:rStyle w:val="FootnoteReference"/>
        </w:rPr>
        <w:footnoteRef/>
      </w:r>
      <w:r>
        <w:t xml:space="preserve"> Cross-references for "Rejoice": Matt 5:12; Luke 10:20.</w:t>
      </w:r>
    </w:p>
  </w:footnote>
  <w:footnote w:id="18513">
    <w:p>
      <w:pPr>
        <w:pStyle w:val="FootnoteText"/>
      </w:pPr>
      <w:r>
        <w:rPr>
          <w:rStyle w:val="FootnoteReference"/>
        </w:rPr>
        <w:footnoteRef/>
      </w:r>
      <w:r>
        <w:t xml:space="preserve"> Cross-references for "Pray": Luke 18:1; Luke 21:36.</w:t>
      </w:r>
    </w:p>
  </w:footnote>
  <w:footnote w:id="18514">
    <w:p>
      <w:pPr>
        <w:pStyle w:val="FootnoteText"/>
      </w:pPr>
      <w:r>
        <w:rPr>
          <w:rStyle w:val="FootnoteReference"/>
        </w:rPr>
        <w:footnoteRef/>
      </w:r>
      <w:r>
        <w:t xml:space="preserve"> Cross-references for "Quench": Song 8:7; Eph 4:30.</w:t>
      </w:r>
    </w:p>
  </w:footnote>
  <w:footnote w:id="18515">
    <w:p>
      <w:pPr>
        <w:pStyle w:val="FootnoteText"/>
      </w:pPr>
      <w:r>
        <w:rPr>
          <w:rStyle w:val="FootnoteReference"/>
        </w:rPr>
        <w:footnoteRef/>
      </w:r>
      <w:r>
        <w:t xml:space="preserve"> Cross-references for "hold": Deut 11:6-9; Deut 32:46-47.</w:t>
      </w:r>
    </w:p>
  </w:footnote>
  <w:footnote w:id="18516">
    <w:p>
      <w:pPr>
        <w:pStyle w:val="FootnoteText"/>
      </w:pPr>
      <w:r>
        <w:rPr>
          <w:rStyle w:val="FootnoteReference"/>
        </w:rPr>
        <w:footnoteRef/>
      </w:r>
      <w:r>
        <w:t xml:space="preserve"> Cross-references for "sanctify": Lev 20:8; Lev 20:26.</w:t>
      </w:r>
    </w:p>
  </w:footnote>
  <w:footnote w:id="18517">
    <w:p>
      <w:pPr>
        <w:pStyle w:val="FootnoteText"/>
      </w:pPr>
      <w:r>
        <w:rPr>
          <w:rStyle w:val="FootnoteReference"/>
        </w:rPr>
        <w:footnoteRef/>
      </w:r>
      <w:r>
        <w:t xml:space="preserve"> Cross-references for "Faithful": Deut 7:9; Ps 36:5.</w:t>
      </w:r>
    </w:p>
  </w:footnote>
  <w:footnote w:id="18518">
    <w:p>
      <w:pPr>
        <w:pStyle w:val="FootnoteText"/>
      </w:pPr>
      <w:r>
        <w:rPr>
          <w:rStyle w:val="FootnoteReference"/>
        </w:rPr>
        <w:footnoteRef/>
      </w:r>
      <w:r>
        <w:t xml:space="preserve"> Cross-references for "I charge": Num 27:23; 1Kgs 22:16.</w:t>
      </w:r>
    </w:p>
  </w:footnote>
  <w:footnote w:id="18519">
    <w:p>
      <w:pPr>
        <w:pStyle w:val="FootnoteText"/>
      </w:pPr>
      <w:r>
        <w:rPr>
          <w:rStyle w:val="FootnoteReference"/>
        </w:rPr>
        <w:footnoteRef/>
      </w:r>
      <w:r>
        <w:t xml:space="preserve"> Cross-references for "your patience": Rom 2:7; Rom 5:3-5.</w:t>
      </w:r>
    </w:p>
  </w:footnote>
  <w:footnote w:id="18520">
    <w:p>
      <w:pPr>
        <w:pStyle w:val="FootnoteText"/>
      </w:pPr>
      <w:r>
        <w:rPr>
          <w:rStyle w:val="FootnoteReference"/>
        </w:rPr>
        <w:footnoteRef/>
      </w:r>
      <w:r>
        <w:t xml:space="preserve"> Cross-references for "manifest": Phil 1:28; 2Thess 1:6.</w:t>
      </w:r>
    </w:p>
  </w:footnote>
  <w:footnote w:id="18521">
    <w:p>
      <w:pPr>
        <w:pStyle w:val="FootnoteText"/>
      </w:pPr>
      <w:r>
        <w:rPr>
          <w:rStyle w:val="FootnoteReference"/>
        </w:rPr>
        <w:footnoteRef/>
      </w:r>
      <w:r>
        <w:t xml:space="preserve"> Cross-references for "his mighty angels": John 1:3; Eph 1:2.</w:t>
      </w:r>
    </w:p>
  </w:footnote>
  <w:footnote w:id="18522">
    <w:p>
      <w:pPr>
        <w:pStyle w:val="FootnoteText"/>
      </w:pPr>
      <w:r>
        <w:rPr>
          <w:rStyle w:val="FootnoteReference"/>
        </w:rPr>
        <w:footnoteRef/>
      </w:r>
      <w:r>
        <w:t xml:space="preserve"> Cross-references for "flaming": Gen 3:24; Deut 4:11.</w:t>
      </w:r>
    </w:p>
  </w:footnote>
  <w:footnote w:id="18523">
    <w:p>
      <w:pPr>
        <w:pStyle w:val="FootnoteText"/>
      </w:pPr>
      <w:r>
        <w:rPr>
          <w:rStyle w:val="FootnoteReference"/>
        </w:rPr>
        <w:footnoteRef/>
      </w:r>
      <w:r>
        <w:t xml:space="preserve"> Cross-references for "from the presence": Gen 3:8; Gen 4:16.</w:t>
      </w:r>
    </w:p>
  </w:footnote>
  <w:footnote w:id="18524">
    <w:p>
      <w:pPr>
        <w:pStyle w:val="FootnoteText"/>
      </w:pPr>
      <w:r>
        <w:rPr>
          <w:rStyle w:val="FootnoteReference"/>
        </w:rPr>
        <w:footnoteRef/>
      </w:r>
      <w:r>
        <w:t xml:space="preserve"> Cross-references for "to be glorified": Num 23:23; Ps 89:7.</w:t>
      </w:r>
    </w:p>
  </w:footnote>
  <w:footnote w:id="18525">
    <w:p>
      <w:pPr>
        <w:pStyle w:val="FootnoteText"/>
      </w:pPr>
      <w:r>
        <w:rPr>
          <w:rStyle w:val="FootnoteReference"/>
        </w:rPr>
        <w:footnoteRef/>
      </w:r>
      <w:r>
        <w:t xml:space="preserve"> Cross-references for "we pray": Rom 1:9; Eph 1:16.</w:t>
      </w:r>
    </w:p>
  </w:footnote>
  <w:footnote w:id="18526">
    <w:p>
      <w:pPr>
        <w:pStyle w:val="FootnoteText"/>
      </w:pPr>
      <w:r>
        <w:rPr>
          <w:rStyle w:val="FootnoteReference"/>
        </w:rPr>
        <w:footnoteRef/>
      </w:r>
      <w:r>
        <w:t xml:space="preserve"> Cross-references for "the name": John 17:10; 2Thess 1:10.</w:t>
      </w:r>
    </w:p>
  </w:footnote>
  <w:footnote w:id="18527">
    <w:p>
      <w:pPr>
        <w:pStyle w:val="FootnoteText"/>
      </w:pPr>
      <w:r>
        <w:rPr>
          <w:rStyle w:val="FootnoteReference"/>
        </w:rPr>
        <w:footnoteRef/>
      </w:r>
      <w:r>
        <w:t xml:space="preserve"> Cross-references for "and by": Gen 49:10; Matt 24:31.</w:t>
      </w:r>
    </w:p>
  </w:footnote>
  <w:footnote w:id="18528">
    <w:p>
      <w:pPr>
        <w:pStyle w:val="FootnoteText"/>
      </w:pPr>
      <w:r>
        <w:rPr>
          <w:rStyle w:val="FootnoteReference"/>
        </w:rPr>
        <w:footnoteRef/>
      </w:r>
      <w:r>
        <w:t xml:space="preserve"> Cross-references for "shaken": Isa 7:2; Isa 8:12-13.</w:t>
      </w:r>
    </w:p>
  </w:footnote>
  <w:footnote w:id="18529">
    <w:p>
      <w:pPr>
        <w:pStyle w:val="FootnoteText"/>
      </w:pPr>
      <w:r>
        <w:rPr>
          <w:rStyle w:val="FootnoteReference"/>
        </w:rPr>
        <w:footnoteRef/>
      </w:r>
      <w:r>
        <w:t xml:space="preserve"> Cross-references for "except": 1Tim 4:1-3; 2Tim 3:1-3.</w:t>
      </w:r>
    </w:p>
  </w:footnote>
  <w:footnote w:id="18530">
    <w:p>
      <w:pPr>
        <w:pStyle w:val="FootnoteText"/>
      </w:pPr>
      <w:r>
        <w:rPr>
          <w:rStyle w:val="FootnoteReference"/>
        </w:rPr>
        <w:footnoteRef/>
      </w:r>
      <w:r>
        <w:t xml:space="preserve"> Cross-references for "called": 1Cor 8:5.</w:t>
      </w:r>
    </w:p>
  </w:footnote>
  <w:footnote w:id="18531">
    <w:p>
      <w:pPr>
        <w:pStyle w:val="FootnoteText"/>
      </w:pPr>
      <w:r>
        <w:rPr>
          <w:rStyle w:val="FootnoteReference"/>
        </w:rPr>
        <w:footnoteRef/>
      </w:r>
      <w:r>
        <w:t xml:space="preserve"> Cross-references for "Remember": Matt 16:9; Mark 8:18.</w:t>
      </w:r>
    </w:p>
  </w:footnote>
  <w:footnote w:id="18532">
    <w:p>
      <w:pPr>
        <w:pStyle w:val="FootnoteText"/>
      </w:pPr>
      <w:r>
        <w:rPr>
          <w:rStyle w:val="FootnoteReference"/>
        </w:rPr>
        <w:footnoteRef/>
      </w:r>
      <w:r>
        <w:t xml:space="preserve"> Cross-references for "revealed": 2Thess 2:3; 2Thess 2:8.</w:t>
      </w:r>
    </w:p>
  </w:footnote>
  <w:footnote w:id="18533">
    <w:p>
      <w:pPr>
        <w:pStyle w:val="FootnoteText"/>
      </w:pPr>
      <w:r>
        <w:rPr>
          <w:rStyle w:val="FootnoteReference"/>
        </w:rPr>
        <w:footnoteRef/>
      </w:r>
      <w:r>
        <w:t xml:space="preserve"> Cross-references for "the mystery": 1Tim 3:16; Rev 17:5.</w:t>
      </w:r>
    </w:p>
  </w:footnote>
  <w:footnote w:id="18534">
    <w:p>
      <w:pPr>
        <w:pStyle w:val="FootnoteText"/>
      </w:pPr>
      <w:r>
        <w:rPr>
          <w:rStyle w:val="FootnoteReference"/>
        </w:rPr>
        <w:footnoteRef/>
      </w:r>
      <w:r>
        <w:t xml:space="preserve"> Cross-references for "the spirit": Job 4:9; Ps 18:15.</w:t>
      </w:r>
    </w:p>
  </w:footnote>
  <w:footnote w:id="18535">
    <w:p>
      <w:pPr>
        <w:pStyle w:val="FootnoteText"/>
      </w:pPr>
      <w:r>
        <w:rPr>
          <w:rStyle w:val="FootnoteReference"/>
        </w:rPr>
        <w:footnoteRef/>
      </w:r>
      <w:r>
        <w:t xml:space="preserve"> Cross-references for "and signs": Exod 7:22; Exod 8:7.</w:t>
      </w:r>
    </w:p>
  </w:footnote>
  <w:footnote w:id="18536">
    <w:p>
      <w:pPr>
        <w:pStyle w:val="FootnoteText"/>
      </w:pPr>
      <w:r>
        <w:rPr>
          <w:rStyle w:val="FootnoteReference"/>
        </w:rPr>
        <w:footnoteRef/>
      </w:r>
      <w:r>
        <w:t xml:space="preserve"> Cross-references for "deceivableness": Rom 16:18; 2Cor 2:17.</w:t>
      </w:r>
    </w:p>
  </w:footnote>
  <w:footnote w:id="18537">
    <w:p>
      <w:pPr>
        <w:pStyle w:val="FootnoteText"/>
      </w:pPr>
      <w:r>
        <w:rPr>
          <w:rStyle w:val="FootnoteReference"/>
        </w:rPr>
        <w:footnoteRef/>
      </w:r>
      <w:r>
        <w:t xml:space="preserve"> Cross-references for "beloved": Deut 33:12; 2Sam 12:25.</w:t>
      </w:r>
    </w:p>
  </w:footnote>
  <w:footnote w:id="18538">
    <w:p>
      <w:pPr>
        <w:pStyle w:val="FootnoteText"/>
      </w:pPr>
      <w:r>
        <w:rPr>
          <w:rStyle w:val="FootnoteReference"/>
        </w:rPr>
        <w:footnoteRef/>
      </w:r>
      <w:r>
        <w:t xml:space="preserve"> Cross-references for "he called": Rom 8:28-30; 1Thess 2:12.</w:t>
      </w:r>
    </w:p>
  </w:footnote>
  <w:footnote w:id="18539">
    <w:p>
      <w:pPr>
        <w:pStyle w:val="FootnoteText"/>
      </w:pPr>
      <w:r>
        <w:rPr>
          <w:rStyle w:val="FootnoteReference"/>
        </w:rPr>
        <w:footnoteRef/>
      </w:r>
      <w:r>
        <w:t xml:space="preserve"> Cross-references for "stand": 1Cor 15:58; 1Cor 16:13.</w:t>
      </w:r>
    </w:p>
  </w:footnote>
  <w:footnote w:id="18540">
    <w:p>
      <w:pPr>
        <w:pStyle w:val="FootnoteText"/>
      </w:pPr>
      <w:r>
        <w:rPr>
          <w:rStyle w:val="FootnoteReference"/>
        </w:rPr>
        <w:footnoteRef/>
      </w:r>
      <w:r>
        <w:t xml:space="preserve"> Cross-references for "our Lord": Rom 1:7; 1Thess 3:11.</w:t>
      </w:r>
    </w:p>
  </w:footnote>
  <w:footnote w:id="18541">
    <w:p>
      <w:pPr>
        <w:pStyle w:val="FootnoteText"/>
      </w:pPr>
      <w:r>
        <w:rPr>
          <w:rStyle w:val="FootnoteReference"/>
        </w:rPr>
        <w:footnoteRef/>
      </w:r>
      <w:r>
        <w:t xml:space="preserve"> Cross-references for "Comfort": Isa 51:3; Isa 51:12.</w:t>
      </w:r>
    </w:p>
  </w:footnote>
  <w:footnote w:id="18542">
    <w:p>
      <w:pPr>
        <w:pStyle w:val="FootnoteText"/>
      </w:pPr>
      <w:r>
        <w:rPr>
          <w:rStyle w:val="FootnoteReference"/>
        </w:rPr>
        <w:footnoteRef/>
      </w:r>
      <w:r>
        <w:t xml:space="preserve"> Cross-references for "pray": Matt 9:38; Luke 10:2.</w:t>
      </w:r>
    </w:p>
  </w:footnote>
  <w:footnote w:id="18543">
    <w:p>
      <w:pPr>
        <w:pStyle w:val="FootnoteText"/>
      </w:pPr>
      <w:r>
        <w:rPr>
          <w:rStyle w:val="FootnoteReference"/>
        </w:rPr>
        <w:footnoteRef/>
      </w:r>
      <w:r>
        <w:t xml:space="preserve"> Cross-references for "delivered": Rom 15:31; 1Cor 15:32.</w:t>
      </w:r>
    </w:p>
  </w:footnote>
  <w:footnote w:id="18544">
    <w:p>
      <w:pPr>
        <w:pStyle w:val="FootnoteText"/>
      </w:pPr>
      <w:r>
        <w:rPr>
          <w:rStyle w:val="FootnoteReference"/>
        </w:rPr>
        <w:footnoteRef/>
      </w:r>
      <w:r>
        <w:t xml:space="preserve"> Cross-references for "the Lord": 1Cor 1:9; 1Cor 10:13.</w:t>
      </w:r>
    </w:p>
  </w:footnote>
  <w:footnote w:id="18545">
    <w:p>
      <w:pPr>
        <w:pStyle w:val="FootnoteText"/>
      </w:pPr>
      <w:r>
        <w:rPr>
          <w:rStyle w:val="FootnoteReference"/>
        </w:rPr>
        <w:footnoteRef/>
      </w:r>
      <w:r>
        <w:t xml:space="preserve"> Cross-references for "the Lord": 1Kgs 8:58; 1Chr 29:18.</w:t>
      </w:r>
    </w:p>
  </w:footnote>
  <w:footnote w:id="18546">
    <w:p>
      <w:pPr>
        <w:pStyle w:val="FootnoteText"/>
      </w:pPr>
      <w:r>
        <w:rPr>
          <w:rStyle w:val="FootnoteReference"/>
        </w:rPr>
        <w:footnoteRef/>
      </w:r>
      <w:r>
        <w:t xml:space="preserve"> Cross-references for "night": 1Thess 2:9.</w:t>
      </w:r>
    </w:p>
  </w:footnote>
  <w:footnote w:id="18547">
    <w:p>
      <w:pPr>
        <w:pStyle w:val="FootnoteText"/>
      </w:pPr>
      <w:r>
        <w:rPr>
          <w:rStyle w:val="FootnoteReference"/>
        </w:rPr>
        <w:footnoteRef/>
      </w:r>
      <w:r>
        <w:t xml:space="preserve"> Cross-references for "to make": John 13:15; 2Thess 3:7.</w:t>
      </w:r>
    </w:p>
  </w:footnote>
  <w:footnote w:id="18548">
    <w:p>
      <w:pPr>
        <w:pStyle w:val="FootnoteText"/>
      </w:pPr>
      <w:r>
        <w:rPr>
          <w:rStyle w:val="FootnoteReference"/>
        </w:rPr>
        <w:footnoteRef/>
      </w:r>
      <w:r>
        <w:t xml:space="preserve"> Cross-references for "walk": 2Thess 3:6.</w:t>
      </w:r>
    </w:p>
  </w:footnote>
  <w:footnote w:id="18549">
    <w:p>
      <w:pPr>
        <w:pStyle w:val="FootnoteText"/>
      </w:pPr>
      <w:r>
        <w:rPr>
          <w:rStyle w:val="FootnoteReference"/>
        </w:rPr>
        <w:footnoteRef/>
      </w:r>
      <w:r>
        <w:t xml:space="preserve"> Cross-references for "that with": Gen 49:14-15; Prov 17:1.</w:t>
      </w:r>
    </w:p>
  </w:footnote>
  <w:footnote w:id="18550">
    <w:p>
      <w:pPr>
        <w:pStyle w:val="FootnoteText"/>
      </w:pPr>
      <w:r>
        <w:rPr>
          <w:rStyle w:val="FootnoteReference"/>
        </w:rPr>
        <w:footnoteRef/>
      </w:r>
      <w:r>
        <w:t xml:space="preserve"> Cross-references for "obey": Deut 16:12; Prov 5:13.</w:t>
      </w:r>
    </w:p>
  </w:footnote>
  <w:footnote w:id="18551">
    <w:p>
      <w:pPr>
        <w:pStyle w:val="FootnoteText"/>
      </w:pPr>
      <w:r>
        <w:rPr>
          <w:rStyle w:val="FootnoteReference"/>
        </w:rPr>
        <w:footnoteRef/>
      </w:r>
      <w:r>
        <w:t xml:space="preserve"> Cross-references for "admonish": Ps 141:5; Prov 9:9.</w:t>
      </w:r>
    </w:p>
  </w:footnote>
  <w:footnote w:id="18552">
    <w:p>
      <w:pPr>
        <w:pStyle w:val="FootnoteText"/>
      </w:pPr>
      <w:r>
        <w:rPr>
          <w:rStyle w:val="FootnoteReference"/>
        </w:rPr>
        <w:footnoteRef/>
      </w:r>
      <w:r>
        <w:t xml:space="preserve"> Cross-references for "the Lord of": Ps 72:3; Ps 72:7.</w:t>
      </w:r>
    </w:p>
  </w:footnote>
  <w:footnote w:id="18553">
    <w:p>
      <w:pPr>
        <w:pStyle w:val="FootnoteText"/>
      </w:pPr>
      <w:r>
        <w:rPr>
          <w:rStyle w:val="FootnoteReference"/>
        </w:rPr>
        <w:footnoteRef/>
      </w:r>
      <w:r>
        <w:t xml:space="preserve"> Cross-references for "the token": Josh 2:12; 1Sam 17:18.</w:t>
      </w:r>
    </w:p>
  </w:footnote>
  <w:footnote w:id="18554">
    <w:p>
      <w:pPr>
        <w:pStyle w:val="FootnoteText"/>
      </w:pPr>
      <w:r>
        <w:rPr>
          <w:rStyle w:val="FootnoteReference"/>
        </w:rPr>
        <w:footnoteRef/>
      </w:r>
      <w:r>
        <w:t xml:space="preserve"> Cross-references for "an apostle": Rom 1:1; 1Cor 1:1.</w:t>
      </w:r>
    </w:p>
  </w:footnote>
  <w:footnote w:id="18555">
    <w:p>
      <w:pPr>
        <w:pStyle w:val="FootnoteText"/>
      </w:pPr>
      <w:r>
        <w:rPr>
          <w:rStyle w:val="FootnoteReference"/>
        </w:rPr>
        <w:footnoteRef/>
      </w:r>
      <w:r>
        <w:t xml:space="preserve"> Cross-references for "Timothy": Acts 16:1-3; 1Thess 3:2.</w:t>
      </w:r>
    </w:p>
  </w:footnote>
  <w:footnote w:id="18556">
    <w:p>
      <w:pPr>
        <w:pStyle w:val="FootnoteText"/>
      </w:pPr>
      <w:r>
        <w:rPr>
          <w:rStyle w:val="FootnoteReference"/>
        </w:rPr>
        <w:footnoteRef/>
      </w:r>
      <w:r>
        <w:t xml:space="preserve"> Cross-references for "charge": Gal 1:6-7; Eph 4:14.</w:t>
      </w:r>
    </w:p>
  </w:footnote>
  <w:footnote w:id="18557">
    <w:p>
      <w:pPr>
        <w:pStyle w:val="FootnoteText"/>
      </w:pPr>
      <w:r>
        <w:rPr>
          <w:rStyle w:val="FootnoteReference"/>
        </w:rPr>
        <w:footnoteRef/>
      </w:r>
      <w:r>
        <w:t xml:space="preserve"> Cross-references for "endless": Titus 3:9.</w:t>
      </w:r>
    </w:p>
  </w:footnote>
  <w:footnote w:id="18558">
    <w:p>
      <w:pPr>
        <w:pStyle w:val="FootnoteText"/>
      </w:pPr>
      <w:r>
        <w:rPr>
          <w:rStyle w:val="FootnoteReference"/>
        </w:rPr>
        <w:footnoteRef/>
      </w:r>
      <w:r>
        <w:t xml:space="preserve"> Translation note: Greek parechousi means produce or provide. The draft avoids the older phrase minister questions and reads the clause as producing disputes.</w:t>
      </w:r>
    </w:p>
  </w:footnote>
  <w:footnote w:id="18559">
    <w:p>
      <w:pPr>
        <w:pStyle w:val="FootnoteText"/>
      </w:pPr>
      <w:r>
        <w:rPr>
          <w:rStyle w:val="FootnoteReference"/>
        </w:rPr>
        <w:footnoteRef/>
      </w:r>
      <w:r>
        <w:t xml:space="preserve"> Cross-references for "the end": Rom 10:4; Rom 13:8-10.</w:t>
      </w:r>
    </w:p>
  </w:footnote>
  <w:footnote w:id="18560">
    <w:p>
      <w:pPr>
        <w:pStyle w:val="FootnoteText"/>
      </w:pPr>
      <w:r>
        <w:rPr>
          <w:rStyle w:val="FootnoteReference"/>
        </w:rPr>
        <w:footnoteRef/>
      </w:r>
      <w:r>
        <w:t xml:space="preserve"> Cross-references for "turned": 1Tim 5:15; 1Tim 6:4-5.</w:t>
      </w:r>
    </w:p>
  </w:footnote>
  <w:footnote w:id="18561">
    <w:p>
      <w:pPr>
        <w:pStyle w:val="FootnoteText"/>
      </w:pPr>
      <w:r>
        <w:rPr>
          <w:rStyle w:val="FootnoteReference"/>
        </w:rPr>
        <w:footnoteRef/>
      </w:r>
      <w:r>
        <w:t xml:space="preserve"> Cross-references for "understanding": Isa 29:13-14; Jer 8:8-9.</w:t>
      </w:r>
    </w:p>
  </w:footnote>
  <w:footnote w:id="18562">
    <w:p>
      <w:pPr>
        <w:pStyle w:val="FootnoteText"/>
      </w:pPr>
      <w:r>
        <w:rPr>
          <w:rStyle w:val="FootnoteReference"/>
        </w:rPr>
        <w:footnoteRef/>
      </w:r>
      <w:r>
        <w:t xml:space="preserve"> Cross-references for "the law": Deut 4:6-8; Neh 9:13.</w:t>
      </w:r>
    </w:p>
  </w:footnote>
  <w:footnote w:id="18563">
    <w:p>
      <w:pPr>
        <w:pStyle w:val="FootnoteText"/>
      </w:pPr>
      <w:r>
        <w:rPr>
          <w:rStyle w:val="FootnoteReference"/>
        </w:rPr>
        <w:footnoteRef/>
      </w:r>
      <w:r>
        <w:t xml:space="preserve"> Cross-references for "profane": Jer 23:11; Ezek 21:25.</w:t>
      </w:r>
    </w:p>
  </w:footnote>
  <w:footnote w:id="18564">
    <w:p>
      <w:pPr>
        <w:pStyle w:val="FootnoteText"/>
      </w:pPr>
      <w:r>
        <w:rPr>
          <w:rStyle w:val="FootnoteReference"/>
        </w:rPr>
        <w:footnoteRef/>
      </w:r>
      <w:r>
        <w:t xml:space="preserve"> Cross-references for "defile": Gen 19:5; Lev 18:22.</w:t>
      </w:r>
    </w:p>
  </w:footnote>
  <w:footnote w:id="18565">
    <w:p>
      <w:pPr>
        <w:pStyle w:val="FootnoteText"/>
      </w:pPr>
      <w:r>
        <w:rPr>
          <w:rStyle w:val="FootnoteReference"/>
        </w:rPr>
        <w:footnoteRef/>
      </w:r>
      <w:r>
        <w:t xml:space="preserve"> Cross-references for "glorious": Ps 138:2; Luke 2:10-11.</w:t>
      </w:r>
    </w:p>
  </w:footnote>
  <w:footnote w:id="18566">
    <w:p>
      <w:pPr>
        <w:pStyle w:val="FootnoteText"/>
      </w:pPr>
      <w:r>
        <w:rPr>
          <w:rStyle w:val="FootnoteReference"/>
        </w:rPr>
        <w:footnoteRef/>
      </w:r>
      <w:r>
        <w:t xml:space="preserve"> Cross-references for "I thank": John 5:23; Phil 2:11.</w:t>
      </w:r>
    </w:p>
  </w:footnote>
  <w:footnote w:id="18567">
    <w:p>
      <w:pPr>
        <w:pStyle w:val="FootnoteText"/>
      </w:pPr>
      <w:r>
        <w:rPr>
          <w:rStyle w:val="FootnoteReference"/>
        </w:rPr>
        <w:footnoteRef/>
      </w:r>
      <w:r>
        <w:t xml:space="preserve"> Cross-references for "the grace": Acts 15:11; Rom 16:20.</w:t>
      </w:r>
    </w:p>
  </w:footnote>
  <w:footnote w:id="18568">
    <w:p>
      <w:pPr>
        <w:pStyle w:val="FootnoteText"/>
      </w:pPr>
      <w:r>
        <w:rPr>
          <w:rStyle w:val="FootnoteReference"/>
        </w:rPr>
        <w:footnoteRef/>
      </w:r>
      <w:r>
        <w:t xml:space="preserve"> Cross-references for "a faithful": 1Tim 1:19; 1Tim 3:1.</w:t>
      </w:r>
    </w:p>
  </w:footnote>
  <w:footnote w:id="18569">
    <w:p>
      <w:pPr>
        <w:pStyle w:val="FootnoteText"/>
      </w:pPr>
      <w:r>
        <w:rPr>
          <w:rStyle w:val="FootnoteReference"/>
        </w:rPr>
        <w:footnoteRef/>
      </w:r>
      <w:r>
        <w:t xml:space="preserve"> Cross-references for "for this": Num 23:3; Ps 25:11.</w:t>
      </w:r>
    </w:p>
  </w:footnote>
  <w:footnote w:id="18570">
    <w:p>
      <w:pPr>
        <w:pStyle w:val="FootnoteText"/>
      </w:pPr>
      <w:r>
        <w:rPr>
          <w:rStyle w:val="FootnoteReference"/>
        </w:rPr>
        <w:footnoteRef/>
      </w:r>
      <w:r>
        <w:t xml:space="preserve"> Cross-references for "invisible": John 1:18; Rom 1:20.</w:t>
      </w:r>
    </w:p>
  </w:footnote>
  <w:footnote w:id="18571">
    <w:p>
      <w:pPr>
        <w:pStyle w:val="FootnoteText"/>
      </w:pPr>
      <w:r>
        <w:rPr>
          <w:rStyle w:val="FootnoteReference"/>
        </w:rPr>
        <w:footnoteRef/>
      </w:r>
      <w:r>
        <w:t xml:space="preserve"> Cross-references for "charge": 1Tim 1:11-12; 1Tim 4:14.</w:t>
      </w:r>
    </w:p>
  </w:footnote>
  <w:footnote w:id="18572">
    <w:p>
      <w:pPr>
        <w:pStyle w:val="FootnoteText"/>
      </w:pPr>
      <w:r>
        <w:rPr>
          <w:rStyle w:val="FootnoteReference"/>
        </w:rPr>
        <w:footnoteRef/>
      </w:r>
      <w:r>
        <w:t xml:space="preserve"> Cross-references for "Holding": 1Tim 1:5; 1Tim 3:9.</w:t>
      </w:r>
    </w:p>
  </w:footnote>
  <w:footnote w:id="18573">
    <w:p>
      <w:pPr>
        <w:pStyle w:val="FootnoteText"/>
      </w:pPr>
      <w:r>
        <w:rPr>
          <w:rStyle w:val="FootnoteReference"/>
        </w:rPr>
        <w:footnoteRef/>
      </w:r>
      <w:r>
        <w:t xml:space="preserve"> Name meaning: Hymenaeus (Hymenaios) — Of Hymen. False teacher who shipwrecked faith.</w:t>
      </w:r>
    </w:p>
  </w:footnote>
  <w:footnote w:id="18574">
    <w:p>
      <w:pPr>
        <w:pStyle w:val="FootnoteText"/>
      </w:pPr>
      <w:r>
        <w:rPr>
          <w:rStyle w:val="FootnoteReference"/>
        </w:rPr>
        <w:footnoteRef/>
      </w:r>
      <w:r>
        <w:t xml:space="preserve"> Cross-references for "Hymenaeus": 2Tim 2:17.</w:t>
      </w:r>
    </w:p>
  </w:footnote>
  <w:footnote w:id="18575">
    <w:p>
      <w:pPr>
        <w:pStyle w:val="FootnoteText"/>
      </w:pPr>
      <w:r>
        <w:rPr>
          <w:rStyle w:val="FootnoteReference"/>
        </w:rPr>
        <w:footnoteRef/>
      </w:r>
      <w:r>
        <w:t xml:space="preserve"> Cross-references for "exhort": 2Cor 8:6; Eph 3:13.</w:t>
      </w:r>
    </w:p>
  </w:footnote>
  <w:footnote w:id="18576">
    <w:p>
      <w:pPr>
        <w:pStyle w:val="FootnoteText"/>
      </w:pPr>
      <w:r>
        <w:rPr>
          <w:rStyle w:val="FootnoteReference"/>
        </w:rPr>
        <w:footnoteRef/>
      </w:r>
      <w:r>
        <w:t xml:space="preserve"> Cross-references for "kings": Ezra 6:10; Neh 1:11.</w:t>
      </w:r>
    </w:p>
  </w:footnote>
  <w:footnote w:id="18577">
    <w:p>
      <w:pPr>
        <w:pStyle w:val="FootnoteText"/>
      </w:pPr>
      <w:r>
        <w:rPr>
          <w:rStyle w:val="FootnoteReference"/>
        </w:rPr>
        <w:footnoteRef/>
      </w:r>
      <w:r>
        <w:t xml:space="preserve"> Cross-references for "will": Isa 45:22; Isa 49:6.</w:t>
      </w:r>
    </w:p>
  </w:footnote>
  <w:footnote w:id="18578">
    <w:p>
      <w:pPr>
        <w:pStyle w:val="FootnoteText"/>
      </w:pPr>
      <w:r>
        <w:rPr>
          <w:rStyle w:val="FootnoteReference"/>
        </w:rPr>
        <w:footnoteRef/>
      </w:r>
      <w:r>
        <w:t xml:space="preserve"> Cross-references for "one God": Deut 6:4; Isa 44:6.</w:t>
      </w:r>
    </w:p>
  </w:footnote>
  <w:footnote w:id="18579">
    <w:p>
      <w:pPr>
        <w:pStyle w:val="FootnoteText"/>
      </w:pPr>
      <w:r>
        <w:rPr>
          <w:rStyle w:val="FootnoteReference"/>
        </w:rPr>
        <w:footnoteRef/>
      </w:r>
      <w:r>
        <w:t xml:space="preserve"> Cross-references for "gave": Job 33:24; Isa 53:6.</w:t>
      </w:r>
    </w:p>
  </w:footnote>
  <w:footnote w:id="18580">
    <w:p>
      <w:pPr>
        <w:pStyle w:val="FootnoteText"/>
      </w:pPr>
      <w:r>
        <w:rPr>
          <w:rStyle w:val="FootnoteReference"/>
        </w:rPr>
        <w:footnoteRef/>
      </w:r>
      <w:r>
        <w:t xml:space="preserve"> Cross-references for "a preacher": Eccl 1:1-2; Eccl 1:12.</w:t>
      </w:r>
    </w:p>
  </w:footnote>
  <w:footnote w:id="18581">
    <w:p>
      <w:pPr>
        <w:pStyle w:val="FootnoteText"/>
      </w:pPr>
      <w:r>
        <w:rPr>
          <w:rStyle w:val="FootnoteReference"/>
        </w:rPr>
        <w:footnoteRef/>
      </w:r>
      <w:r>
        <w:t xml:space="preserve"> Cross-references for "pray": 2Chr 33:11-12; Ps 130:1-2.</w:t>
      </w:r>
    </w:p>
  </w:footnote>
  <w:footnote w:id="18582">
    <w:p>
      <w:pPr>
        <w:pStyle w:val="FootnoteText"/>
      </w:pPr>
      <w:r>
        <w:rPr>
          <w:rStyle w:val="FootnoteReference"/>
        </w:rPr>
        <w:footnoteRef/>
      </w:r>
      <w:r>
        <w:t xml:space="preserve"> Cross-references for "women": 1Pet 3:3-5; 2Pet 3:11.</w:t>
      </w:r>
    </w:p>
  </w:footnote>
  <w:footnote w:id="18583">
    <w:p>
      <w:pPr>
        <w:pStyle w:val="FootnoteText"/>
      </w:pPr>
      <w:r>
        <w:rPr>
          <w:rStyle w:val="FootnoteReference"/>
        </w:rPr>
        <w:footnoteRef/>
      </w:r>
      <w:r>
        <w:t xml:space="preserve"> Cross-references for "in childbearing": Gen 3:16.</w:t>
      </w:r>
    </w:p>
  </w:footnote>
  <w:footnote w:id="18584">
    <w:p>
      <w:pPr>
        <w:pStyle w:val="FootnoteText"/>
      </w:pPr>
      <w:r>
        <w:rPr>
          <w:rStyle w:val="FootnoteReference"/>
        </w:rPr>
        <w:footnoteRef/>
      </w:r>
      <w:r>
        <w:t xml:space="preserve"> Cross-references for "is a": 1Tim 1:15; 1Tim 4:9.</w:t>
      </w:r>
    </w:p>
  </w:footnote>
  <w:footnote w:id="18585">
    <w:p>
      <w:pPr>
        <w:pStyle w:val="FootnoteText"/>
      </w:pPr>
      <w:r>
        <w:rPr>
          <w:rStyle w:val="FootnoteReference"/>
        </w:rPr>
        <w:footnoteRef/>
      </w:r>
      <w:r>
        <w:t xml:space="preserve"> Cross-references for "blameless": Luke 1:6; Phil 2:15.</w:t>
      </w:r>
    </w:p>
  </w:footnote>
  <w:footnote w:id="18586">
    <w:p>
      <w:pPr>
        <w:pStyle w:val="FootnoteText"/>
      </w:pPr>
      <w:r>
        <w:rPr>
          <w:rStyle w:val="FootnoteReference"/>
        </w:rPr>
        <w:footnoteRef/>
      </w:r>
      <w:r>
        <w:t xml:space="preserve"> Cross-references for "not given to wine": Lev 10:9; Isa 5:11-12.</w:t>
      </w:r>
    </w:p>
  </w:footnote>
  <w:footnote w:id="18587">
    <w:p>
      <w:pPr>
        <w:pStyle w:val="FootnoteText"/>
      </w:pPr>
      <w:r>
        <w:rPr>
          <w:rStyle w:val="FootnoteReference"/>
        </w:rPr>
        <w:footnoteRef/>
      </w:r>
      <w:r>
        <w:t xml:space="preserve"> Cross-references for "the condemnation": Isa 14:12-14; Luke 10:18.</w:t>
      </w:r>
    </w:p>
  </w:footnote>
  <w:footnote w:id="18588">
    <w:p>
      <w:pPr>
        <w:pStyle w:val="FootnoteText"/>
      </w:pPr>
      <w:r>
        <w:rPr>
          <w:rStyle w:val="FootnoteReference"/>
        </w:rPr>
        <w:footnoteRef/>
      </w:r>
      <w:r>
        <w:t xml:space="preserve"> Cross-references for "a good": 1Sam 2:24; Acts 6:3.</w:t>
      </w:r>
    </w:p>
  </w:footnote>
  <w:footnote w:id="18589">
    <w:p>
      <w:pPr>
        <w:pStyle w:val="FootnoteText"/>
      </w:pPr>
      <w:r>
        <w:rPr>
          <w:rStyle w:val="FootnoteReference"/>
        </w:rPr>
        <w:footnoteRef/>
      </w:r>
      <w:r>
        <w:t xml:space="preserve"> Cross-references for "not given": Lev 10:9; Ezek 44:21.</w:t>
      </w:r>
    </w:p>
  </w:footnote>
  <w:footnote w:id="18590">
    <w:p>
      <w:pPr>
        <w:pStyle w:val="FootnoteText"/>
      </w:pPr>
      <w:r>
        <w:rPr>
          <w:rStyle w:val="FootnoteReference"/>
        </w:rPr>
        <w:footnoteRef/>
      </w:r>
      <w:r>
        <w:t xml:space="preserve"> Cross-references for "Holding": 1Tim 1:5; 1Tim 1:19.</w:t>
      </w:r>
    </w:p>
  </w:footnote>
  <w:footnote w:id="18591">
    <w:p>
      <w:pPr>
        <w:pStyle w:val="FootnoteText"/>
      </w:pPr>
      <w:r>
        <w:rPr>
          <w:rStyle w:val="FootnoteReference"/>
        </w:rPr>
        <w:footnoteRef/>
      </w:r>
      <w:r>
        <w:t xml:space="preserve"> Cross-references for "let these": 1Tim 3:6; 1Tim 5:22.</w:t>
      </w:r>
    </w:p>
  </w:footnote>
  <w:footnote w:id="18592">
    <w:p>
      <w:pPr>
        <w:pStyle w:val="FootnoteText"/>
      </w:pPr>
      <w:r>
        <w:rPr>
          <w:rStyle w:val="FootnoteReference"/>
        </w:rPr>
        <w:footnoteRef/>
      </w:r>
      <w:r>
        <w:t xml:space="preserve"> Cross-references for "sober": 1Thess 5:6-8; 1Tim 3:2.</w:t>
      </w:r>
    </w:p>
  </w:footnote>
  <w:footnote w:id="18593">
    <w:p>
      <w:pPr>
        <w:pStyle w:val="FootnoteText"/>
      </w:pPr>
      <w:r>
        <w:rPr>
          <w:rStyle w:val="FootnoteReference"/>
        </w:rPr>
        <w:footnoteRef/>
      </w:r>
      <w:r>
        <w:t xml:space="preserve"> Cross-references for "degree": Acts 21:35.</w:t>
      </w:r>
    </w:p>
  </w:footnote>
  <w:footnote w:id="18594">
    <w:p>
      <w:pPr>
        <w:pStyle w:val="FootnoteText"/>
      </w:pPr>
      <w:r>
        <w:rPr>
          <w:rStyle w:val="FootnoteReference"/>
        </w:rPr>
        <w:footnoteRef/>
      </w:r>
      <w:r>
        <w:t xml:space="preserve"> Cross-references for "hoping": 1Cor 11:34; 1Cor 16:5-7.</w:t>
      </w:r>
    </w:p>
  </w:footnote>
  <w:footnote w:id="18595">
    <w:p>
      <w:pPr>
        <w:pStyle w:val="FootnoteText"/>
      </w:pPr>
      <w:r>
        <w:rPr>
          <w:rStyle w:val="FootnoteReference"/>
        </w:rPr>
        <w:footnoteRef/>
      </w:r>
      <w:r>
        <w:t xml:space="preserve"> Cross-references for "know": Deut 31:23; 1Kgs 2:2.</w:t>
      </w:r>
    </w:p>
  </w:footnote>
  <w:footnote w:id="18596">
    <w:p>
      <w:pPr>
        <w:pStyle w:val="FootnoteText"/>
      </w:pPr>
      <w:r>
        <w:rPr>
          <w:rStyle w:val="FootnoteReference"/>
        </w:rPr>
        <w:footnoteRef/>
      </w:r>
      <w:r>
        <w:t xml:space="preserve"> Cross-references for "the mystery": Matt 13:11; Rom 16:25.</w:t>
      </w:r>
    </w:p>
  </w:footnote>
  <w:footnote w:id="18597">
    <w:p>
      <w:pPr>
        <w:pStyle w:val="FootnoteText"/>
      </w:pPr>
      <w:r>
        <w:rPr>
          <w:rStyle w:val="FootnoteReference"/>
        </w:rPr>
        <w:footnoteRef/>
      </w:r>
      <w:r>
        <w:t xml:space="preserve"> Cross-references for "the Spirit": John 16:13; Acts 13:2.</w:t>
      </w:r>
    </w:p>
  </w:footnote>
  <w:footnote w:id="18598">
    <w:p>
      <w:pPr>
        <w:pStyle w:val="FootnoteText"/>
      </w:pPr>
      <w:r>
        <w:rPr>
          <w:rStyle w:val="FootnoteReference"/>
        </w:rPr>
        <w:footnoteRef/>
      </w:r>
      <w:r>
        <w:t xml:space="preserve"> Cross-references for "their": Rom 1:28; Eph 4:19.</w:t>
      </w:r>
    </w:p>
  </w:footnote>
  <w:footnote w:id="18599">
    <w:p>
      <w:pPr>
        <w:pStyle w:val="FootnoteText"/>
      </w:pPr>
      <w:r>
        <w:rPr>
          <w:rStyle w:val="FootnoteReference"/>
        </w:rPr>
        <w:footnoteRef/>
      </w:r>
      <w:r>
        <w:t xml:space="preserve"> Cross-references for "Forbidding": Dan 11:37; 1Cor 7:28.</w:t>
      </w:r>
    </w:p>
  </w:footnote>
  <w:footnote w:id="18600">
    <w:p>
      <w:pPr>
        <w:pStyle w:val="FootnoteText"/>
      </w:pPr>
      <w:r>
        <w:rPr>
          <w:rStyle w:val="FootnoteReference"/>
        </w:rPr>
        <w:footnoteRef/>
      </w:r>
      <w:r>
        <w:t xml:space="preserve"> Cross-references for "a good": Matt 13:52; 1Cor 4:1-2.</w:t>
      </w:r>
    </w:p>
  </w:footnote>
  <w:footnote w:id="18601">
    <w:p>
      <w:pPr>
        <w:pStyle w:val="FootnoteText"/>
      </w:pPr>
      <w:r>
        <w:rPr>
          <w:rStyle w:val="FootnoteReference"/>
        </w:rPr>
        <w:footnoteRef/>
      </w:r>
      <w:r>
        <w:t xml:space="preserve"> Cross-references for "refuse": 1Tim 1:4; 1Tim 6:20.</w:t>
      </w:r>
    </w:p>
  </w:footnote>
  <w:footnote w:id="18602">
    <w:p>
      <w:pPr>
        <w:pStyle w:val="FootnoteText"/>
      </w:pPr>
      <w:r>
        <w:rPr>
          <w:rStyle w:val="FootnoteReference"/>
        </w:rPr>
        <w:footnoteRef/>
      </w:r>
      <w:r>
        <w:t xml:space="preserve"> Cross-references for "bodily": 1Sam 15:22; Ps 50:7-15.</w:t>
      </w:r>
    </w:p>
  </w:footnote>
  <w:footnote w:id="18603">
    <w:p>
      <w:pPr>
        <w:pStyle w:val="FootnoteText"/>
      </w:pPr>
      <w:r>
        <w:rPr>
          <w:rStyle w:val="FootnoteReference"/>
        </w:rPr>
        <w:footnoteRef/>
      </w:r>
      <w:r>
        <w:t xml:space="preserve"> Cross-references for "therefore": 1Cor 4:9-13; 2Cor 4:8-10.</w:t>
      </w:r>
    </w:p>
  </w:footnote>
  <w:footnote w:id="18604">
    <w:p>
      <w:pPr>
        <w:pStyle w:val="FootnoteText"/>
      </w:pPr>
      <w:r>
        <w:rPr>
          <w:rStyle w:val="FootnoteReference"/>
        </w:rPr>
        <w:footnoteRef/>
      </w:r>
      <w:r>
        <w:t xml:space="preserve"> Cross-references for "in word": 2Cor 6:4-17; Phil 4:8.</w:t>
      </w:r>
    </w:p>
  </w:footnote>
  <w:footnote w:id="18605">
    <w:p>
      <w:pPr>
        <w:pStyle w:val="FootnoteText"/>
      </w:pPr>
      <w:r>
        <w:rPr>
          <w:rStyle w:val="FootnoteReference"/>
        </w:rPr>
        <w:footnoteRef/>
      </w:r>
      <w:r>
        <w:t xml:space="preserve"> Cross-references for "I come": 1Tim 3:14-15.</w:t>
      </w:r>
    </w:p>
  </w:footnote>
  <w:footnote w:id="18606">
    <w:p>
      <w:pPr>
        <w:pStyle w:val="FootnoteText"/>
      </w:pPr>
      <w:r>
        <w:rPr>
          <w:rStyle w:val="FootnoteReference"/>
        </w:rPr>
        <w:footnoteRef/>
      </w:r>
      <w:r>
        <w:t xml:space="preserve"> Cross-references for "neglect": Matt 25:14-30; Luke 19:12-26.</w:t>
      </w:r>
    </w:p>
  </w:footnote>
  <w:footnote w:id="18607">
    <w:p>
      <w:pPr>
        <w:pStyle w:val="FootnoteText"/>
      </w:pPr>
      <w:r>
        <w:rPr>
          <w:rStyle w:val="FootnoteReference"/>
        </w:rPr>
        <w:footnoteRef/>
      </w:r>
      <w:r>
        <w:t xml:space="preserve"> Cross-references for "Take": 1Chr 28:10; 2Chr 19:6.</w:t>
      </w:r>
    </w:p>
  </w:footnote>
  <w:footnote w:id="18608">
    <w:p>
      <w:pPr>
        <w:pStyle w:val="FootnoteText"/>
      </w:pPr>
      <w:r>
        <w:rPr>
          <w:rStyle w:val="FootnoteReference"/>
        </w:rPr>
        <w:footnoteRef/>
      </w:r>
      <w:r>
        <w:t xml:space="preserve"> Cross-references for "Rebuke": Lev 19:32; Deut 33:9.</w:t>
      </w:r>
    </w:p>
  </w:footnote>
  <w:footnote w:id="18609">
    <w:p>
      <w:pPr>
        <w:pStyle w:val="FootnoteText"/>
      </w:pPr>
      <w:r>
        <w:rPr>
          <w:rStyle w:val="FootnoteReference"/>
        </w:rPr>
        <w:footnoteRef/>
      </w:r>
      <w:r>
        <w:t xml:space="preserve"> Cross-references for "elder": Matt 12:50; John 19:26-27.</w:t>
      </w:r>
    </w:p>
  </w:footnote>
  <w:footnote w:id="18610">
    <w:p>
      <w:pPr>
        <w:pStyle w:val="FootnoteText"/>
      </w:pPr>
      <w:r>
        <w:rPr>
          <w:rStyle w:val="FootnoteReference"/>
        </w:rPr>
        <w:footnoteRef/>
      </w:r>
      <w:r>
        <w:t xml:space="preserve"> Cross-references for "widows": Deut 10:18; Deut 14:29.</w:t>
      </w:r>
    </w:p>
  </w:footnote>
  <w:footnote w:id="18611">
    <w:p>
      <w:pPr>
        <w:pStyle w:val="FootnoteText"/>
      </w:pPr>
      <w:r>
        <w:rPr>
          <w:rStyle w:val="FootnoteReference"/>
        </w:rPr>
        <w:footnoteRef/>
      </w:r>
      <w:r>
        <w:t xml:space="preserve"> Cross-references for "learn": 1Sam 22:3-4; Prov 31:28.</w:t>
      </w:r>
    </w:p>
  </w:footnote>
  <w:footnote w:id="18612">
    <w:p>
      <w:pPr>
        <w:pStyle w:val="FootnoteText"/>
      </w:pPr>
      <w:r>
        <w:rPr>
          <w:rStyle w:val="FootnoteReference"/>
        </w:rPr>
        <w:footnoteRef/>
      </w:r>
      <w:r>
        <w:t xml:space="preserve"> Cross-references for "a widow": Rom 1:5; Rom 1:12.</w:t>
      </w:r>
    </w:p>
  </w:footnote>
  <w:footnote w:id="18613">
    <w:p>
      <w:pPr>
        <w:pStyle w:val="FootnoteText"/>
      </w:pPr>
      <w:r>
        <w:rPr>
          <w:rStyle w:val="FootnoteReference"/>
        </w:rPr>
        <w:footnoteRef/>
      </w:r>
      <w:r>
        <w:t xml:space="preserve"> Cross-references for "dead": Matt 8:22; Luke 15:24.</w:t>
      </w:r>
    </w:p>
  </w:footnote>
  <w:footnote w:id="18614">
    <w:p>
      <w:pPr>
        <w:pStyle w:val="FootnoteText"/>
      </w:pPr>
      <w:r>
        <w:rPr>
          <w:rStyle w:val="FootnoteReference"/>
        </w:rPr>
        <w:footnoteRef/>
      </w:r>
      <w:r>
        <w:t xml:space="preserve"> Cross-references for "and is": Matt 18:17; Luke 12:47-48.</w:t>
      </w:r>
    </w:p>
  </w:footnote>
  <w:footnote w:id="18615">
    <w:p>
      <w:pPr>
        <w:pStyle w:val="FootnoteText"/>
      </w:pPr>
      <w:r>
        <w:rPr>
          <w:rStyle w:val="FootnoteReference"/>
        </w:rPr>
        <w:footnoteRef/>
      </w:r>
      <w:r>
        <w:t xml:space="preserve"> Cross-references for "a widow": 1Tim 5:3-4.</w:t>
      </w:r>
    </w:p>
  </w:footnote>
  <w:footnote w:id="18616">
    <w:p>
      <w:pPr>
        <w:pStyle w:val="FootnoteText"/>
      </w:pPr>
      <w:r>
        <w:rPr>
          <w:rStyle w:val="FootnoteReference"/>
        </w:rPr>
        <w:footnoteRef/>
      </w:r>
      <w:r>
        <w:t xml:space="preserve"> Cross-references for "reported": Acts 6:3; Acts 10:22.</w:t>
      </w:r>
    </w:p>
  </w:footnote>
  <w:footnote w:id="18617">
    <w:p>
      <w:pPr>
        <w:pStyle w:val="FootnoteText"/>
      </w:pPr>
      <w:r>
        <w:rPr>
          <w:rStyle w:val="FootnoteReference"/>
        </w:rPr>
        <w:footnoteRef/>
      </w:r>
      <w:r>
        <w:t xml:space="preserve"> Cross-references for "their": Gal 1:6; Rev 2:4-5.</w:t>
      </w:r>
    </w:p>
  </w:footnote>
  <w:footnote w:id="18618">
    <w:p>
      <w:pPr>
        <w:pStyle w:val="FootnoteText"/>
      </w:pPr>
      <w:r>
        <w:rPr>
          <w:rStyle w:val="FootnoteReference"/>
        </w:rPr>
        <w:footnoteRef/>
      </w:r>
      <w:r>
        <w:t xml:space="preserve"> Cross-references for "to be": Prov 31:27; 2Thess 3:6-11.</w:t>
      </w:r>
    </w:p>
  </w:footnote>
  <w:footnote w:id="18619">
    <w:p>
      <w:pPr>
        <w:pStyle w:val="FootnoteText"/>
      </w:pPr>
      <w:r>
        <w:rPr>
          <w:rStyle w:val="FootnoteReference"/>
        </w:rPr>
        <w:footnoteRef/>
      </w:r>
      <w:r>
        <w:t xml:space="preserve"> Cross-references for "give": 2Sam 12:14; Dan 6:4.</w:t>
      </w:r>
    </w:p>
  </w:footnote>
  <w:footnote w:id="18620">
    <w:p>
      <w:pPr>
        <w:pStyle w:val="FootnoteText"/>
      </w:pPr>
      <w:r>
        <w:rPr>
          <w:rStyle w:val="FootnoteReference"/>
        </w:rPr>
        <w:footnoteRef/>
      </w:r>
      <w:r>
        <w:t xml:space="preserve"> Cross-references for "let them": 1Tim 5:4; 1Tim 5:8.</w:t>
      </w:r>
    </w:p>
  </w:footnote>
  <w:footnote w:id="18621">
    <w:p>
      <w:pPr>
        <w:pStyle w:val="FootnoteText"/>
      </w:pPr>
      <w:r>
        <w:rPr>
          <w:rStyle w:val="FootnoteReference"/>
        </w:rPr>
        <w:footnoteRef/>
      </w:r>
      <w:r>
        <w:t xml:space="preserve"> Cross-references for "the elders": 1Tim 5:1.</w:t>
      </w:r>
    </w:p>
  </w:footnote>
  <w:footnote w:id="18622">
    <w:p>
      <w:pPr>
        <w:pStyle w:val="FootnoteText"/>
      </w:pPr>
      <w:r>
        <w:rPr>
          <w:rStyle w:val="FootnoteReference"/>
        </w:rPr>
        <w:footnoteRef/>
      </w:r>
      <w:r>
        <w:t xml:space="preserve"> Cross-references for "the scripture": Rom 4:3; Rom 9:17.</w:t>
      </w:r>
    </w:p>
  </w:footnote>
  <w:footnote w:id="18623">
    <w:p>
      <w:pPr>
        <w:pStyle w:val="FootnoteText"/>
      </w:pPr>
      <w:r>
        <w:rPr>
          <w:rStyle w:val="FootnoteReference"/>
        </w:rPr>
        <w:footnoteRef/>
      </w:r>
      <w:r>
        <w:t xml:space="preserve"> Cross-references for "receive": John 18:29; Acts 24:2-13.</w:t>
      </w:r>
    </w:p>
  </w:footnote>
  <w:footnote w:id="18624">
    <w:p>
      <w:pPr>
        <w:pStyle w:val="FootnoteText"/>
      </w:pPr>
      <w:r>
        <w:rPr>
          <w:rStyle w:val="FootnoteReference"/>
        </w:rPr>
        <w:footnoteRef/>
      </w:r>
      <w:r>
        <w:t xml:space="preserve"> Cross-references for "rebuke": Lev 19:17; Gal 2:11-14.</w:t>
      </w:r>
    </w:p>
  </w:footnote>
  <w:footnote w:id="18625">
    <w:p>
      <w:pPr>
        <w:pStyle w:val="FootnoteText"/>
      </w:pPr>
      <w:r>
        <w:rPr>
          <w:rStyle w:val="FootnoteReference"/>
        </w:rPr>
        <w:footnoteRef/>
      </w:r>
      <w:r>
        <w:t xml:space="preserve"> Cross-references for "charge": 1Thess 5:27; 1Tim 6:13.</w:t>
      </w:r>
    </w:p>
  </w:footnote>
  <w:footnote w:id="18626">
    <w:p>
      <w:pPr>
        <w:pStyle w:val="FootnoteText"/>
      </w:pPr>
      <w:r>
        <w:rPr>
          <w:rStyle w:val="FootnoteReference"/>
        </w:rPr>
        <w:footnoteRef/>
      </w:r>
      <w:r>
        <w:t xml:space="preserve"> Cross-references for "suddenly": Josh 9:14; 1Tim 3:6.</w:t>
      </w:r>
    </w:p>
  </w:footnote>
  <w:footnote w:id="18627">
    <w:p>
      <w:pPr>
        <w:pStyle w:val="FootnoteText"/>
      </w:pPr>
      <w:r>
        <w:rPr>
          <w:rStyle w:val="FootnoteReference"/>
        </w:rPr>
        <w:footnoteRef/>
      </w:r>
      <w:r>
        <w:t xml:space="preserve"> Cross-references for "the good": Matt 5:16; Acts 9:36.</w:t>
      </w:r>
    </w:p>
  </w:footnote>
  <w:footnote w:id="18628">
    <w:p>
      <w:pPr>
        <w:pStyle w:val="FootnoteText"/>
      </w:pPr>
      <w:r>
        <w:rPr>
          <w:rStyle w:val="FootnoteReference"/>
        </w:rPr>
        <w:footnoteRef/>
      </w:r>
      <w:r>
        <w:t xml:space="preserve"> Cross-references for "count": Gen 16:9; Gen 24:2.</w:t>
      </w:r>
    </w:p>
  </w:footnote>
  <w:footnote w:id="18629">
    <w:p>
      <w:pPr>
        <w:pStyle w:val="FootnoteText"/>
      </w:pPr>
      <w:r>
        <w:rPr>
          <w:rStyle w:val="FootnoteReference"/>
        </w:rPr>
        <w:footnoteRef/>
      </w:r>
      <w:r>
        <w:t xml:space="preserve"> Cross-references for "believing": Col 4:1; Phlm 1:10-16.</w:t>
      </w:r>
    </w:p>
  </w:footnote>
  <w:footnote w:id="18630">
    <w:p>
      <w:pPr>
        <w:pStyle w:val="FootnoteText"/>
      </w:pPr>
      <w:r>
        <w:rPr>
          <w:rStyle w:val="FootnoteReference"/>
        </w:rPr>
        <w:footnoteRef/>
      </w:r>
      <w:r>
        <w:t xml:space="preserve"> Cross-references for "to wholesome": Prov 15:4; 1Tim 1:10.</w:t>
      </w:r>
    </w:p>
  </w:footnote>
  <w:footnote w:id="18631">
    <w:p>
      <w:pPr>
        <w:pStyle w:val="FootnoteText"/>
      </w:pPr>
      <w:r>
        <w:rPr>
          <w:rStyle w:val="FootnoteReference"/>
        </w:rPr>
        <w:footnoteRef/>
      </w:r>
      <w:r>
        <w:t xml:space="preserve"> Cross-references for "supposing": 2Kgs 5:20-27; Isa 56:11.</w:t>
      </w:r>
    </w:p>
  </w:footnote>
  <w:footnote w:id="18632">
    <w:p>
      <w:pPr>
        <w:pStyle w:val="FootnoteText"/>
      </w:pPr>
      <w:r>
        <w:rPr>
          <w:rStyle w:val="FootnoteReference"/>
        </w:rPr>
        <w:footnoteRef/>
      </w:r>
      <w:r>
        <w:t xml:space="preserve"> Cross-references for "godliness": Ps 37:16; Ps 84:11.</w:t>
      </w:r>
    </w:p>
  </w:footnote>
  <w:footnote w:id="18633">
    <w:p>
      <w:pPr>
        <w:pStyle w:val="FootnoteText"/>
      </w:pPr>
      <w:r>
        <w:rPr>
          <w:rStyle w:val="FootnoteReference"/>
        </w:rPr>
        <w:footnoteRef/>
      </w:r>
      <w:r>
        <w:t xml:space="preserve"> Cross-references for "we brought": Job 1:21; Prov 27:24.</w:t>
      </w:r>
    </w:p>
  </w:footnote>
  <w:footnote w:id="18634">
    <w:p>
      <w:pPr>
        <w:pStyle w:val="FootnoteText"/>
      </w:pPr>
      <w:r>
        <w:rPr>
          <w:rStyle w:val="FootnoteReference"/>
        </w:rPr>
        <w:footnoteRef/>
      </w:r>
      <w:r>
        <w:t xml:space="preserve"> Cross-references for "snare": Deut 7:25; Ps 11:6.</w:t>
      </w:r>
    </w:p>
  </w:footnote>
  <w:footnote w:id="18635">
    <w:p>
      <w:pPr>
        <w:pStyle w:val="FootnoteText"/>
      </w:pPr>
      <w:r>
        <w:rPr>
          <w:rStyle w:val="FootnoteReference"/>
        </w:rPr>
        <w:footnoteRef/>
      </w:r>
      <w:r>
        <w:t xml:space="preserve"> Cross-references for "the love": Gen 34:23-24; Gen 38:16.</w:t>
      </w:r>
    </w:p>
  </w:footnote>
  <w:footnote w:id="18636">
    <w:p>
      <w:pPr>
        <w:pStyle w:val="FootnoteText"/>
      </w:pPr>
      <w:r>
        <w:rPr>
          <w:rStyle w:val="FootnoteReference"/>
        </w:rPr>
        <w:footnoteRef/>
      </w:r>
      <w:r>
        <w:t xml:space="preserve"> Cross-references for "O man": Deut 33:1; 1Sam 2:27.</w:t>
      </w:r>
    </w:p>
  </w:footnote>
  <w:footnote w:id="18637">
    <w:p>
      <w:pPr>
        <w:pStyle w:val="FootnoteText"/>
      </w:pPr>
      <w:r>
        <w:rPr>
          <w:rStyle w:val="FootnoteReference"/>
        </w:rPr>
        <w:footnoteRef/>
      </w:r>
      <w:r>
        <w:t xml:space="preserve"> Cross-references for "Fight": Zech 10:5; 1Cor 9:25-26.</w:t>
      </w:r>
    </w:p>
  </w:footnote>
  <w:footnote w:id="18638">
    <w:p>
      <w:pPr>
        <w:pStyle w:val="FootnoteText"/>
      </w:pPr>
      <w:r>
        <w:rPr>
          <w:rStyle w:val="FootnoteReference"/>
        </w:rPr>
        <w:footnoteRef/>
      </w:r>
      <w:r>
        <w:t xml:space="preserve"> Cross-references for "give": 1Tim 5:21.</w:t>
      </w:r>
    </w:p>
  </w:footnote>
  <w:footnote w:id="18639">
    <w:p>
      <w:pPr>
        <w:pStyle w:val="FootnoteText"/>
      </w:pPr>
      <w:r>
        <w:rPr>
          <w:rStyle w:val="FootnoteReference"/>
        </w:rPr>
        <w:footnoteRef/>
      </w:r>
      <w:r>
        <w:t xml:space="preserve"> Cross-references for "keep": 1Chr 28:9-10; 1Chr 28:20.</w:t>
      </w:r>
    </w:p>
  </w:footnote>
  <w:footnote w:id="18640">
    <w:p>
      <w:pPr>
        <w:pStyle w:val="FootnoteText"/>
      </w:pPr>
      <w:r>
        <w:rPr>
          <w:rStyle w:val="FootnoteReference"/>
        </w:rPr>
        <w:footnoteRef/>
      </w:r>
      <w:r>
        <w:t xml:space="preserve"> Greek divine name/title: Basileus basileon kai Kyrios kyrion (βασιλεὺς βασιλέων καὶ κύριος κυρίων) — King of kings and Lord of lords. Common English rendering: King of kings, and Lord of lords. An ultimate title of sovereignty used of God and also gloriously applied to Christ.</w:t>
      </w:r>
    </w:p>
  </w:footnote>
  <w:footnote w:id="18641">
    <w:p>
      <w:pPr>
        <w:pStyle w:val="FootnoteText"/>
      </w:pPr>
      <w:r>
        <w:rPr>
          <w:rStyle w:val="FootnoteReference"/>
        </w:rPr>
        <w:footnoteRef/>
      </w:r>
      <w:r>
        <w:t xml:space="preserve"> Cross-references for "only": Exod 3:14; Deut 32:40.</w:t>
      </w:r>
    </w:p>
  </w:footnote>
  <w:footnote w:id="18642">
    <w:p>
      <w:pPr>
        <w:pStyle w:val="FootnoteText"/>
      </w:pPr>
      <w:r>
        <w:rPr>
          <w:rStyle w:val="FootnoteReference"/>
        </w:rPr>
        <w:footnoteRef/>
      </w:r>
      <w:r>
        <w:t xml:space="preserve"> Cross-references for "Charge": 1Tim 1:3; 1Tim 5:21.</w:t>
      </w:r>
    </w:p>
  </w:footnote>
  <w:footnote w:id="18643">
    <w:p>
      <w:pPr>
        <w:pStyle w:val="FootnoteText"/>
      </w:pPr>
      <w:r>
        <w:rPr>
          <w:rStyle w:val="FootnoteReference"/>
        </w:rPr>
        <w:footnoteRef/>
      </w:r>
      <w:r>
        <w:t xml:space="preserve"> Cross-references for "they do": 2Chr 24:16; Ps 37:3.</w:t>
      </w:r>
    </w:p>
  </w:footnote>
  <w:footnote w:id="18644">
    <w:p>
      <w:pPr>
        <w:pStyle w:val="FootnoteText"/>
      </w:pPr>
      <w:r>
        <w:rPr>
          <w:rStyle w:val="FootnoteReference"/>
        </w:rPr>
        <w:footnoteRef/>
      </w:r>
      <w:r>
        <w:t xml:space="preserve"> Cross-references for "foundation": Prov 10:25; Luke 6:48-49.</w:t>
      </w:r>
    </w:p>
  </w:footnote>
  <w:footnote w:id="18645">
    <w:p>
      <w:pPr>
        <w:pStyle w:val="FootnoteText"/>
      </w:pPr>
      <w:r>
        <w:rPr>
          <w:rStyle w:val="FootnoteReference"/>
        </w:rPr>
        <w:footnoteRef/>
      </w:r>
      <w:r>
        <w:t xml:space="preserve"> Cross-references for "O Timothy": 1Tim 6:11; 2Tim 2:1.</w:t>
      </w:r>
    </w:p>
  </w:footnote>
  <w:footnote w:id="18646">
    <w:p>
      <w:pPr>
        <w:pStyle w:val="FootnoteText"/>
      </w:pPr>
      <w:r>
        <w:rPr>
          <w:rStyle w:val="FootnoteReference"/>
        </w:rPr>
        <w:footnoteRef/>
      </w:r>
      <w:r>
        <w:t xml:space="preserve"> Cross-references for "Grace": Rom 1:7; Rom 16:20.</w:t>
      </w:r>
    </w:p>
  </w:footnote>
  <w:footnote w:id="18647">
    <w:p>
      <w:pPr>
        <w:pStyle w:val="FootnoteText"/>
      </w:pPr>
      <w:r>
        <w:rPr>
          <w:rStyle w:val="FootnoteReference"/>
        </w:rPr>
        <w:footnoteRef/>
      </w:r>
      <w:r>
        <w:t xml:space="preserve"> Cross-references for "the promise": John 5:24; John 5:39-40.</w:t>
      </w:r>
    </w:p>
  </w:footnote>
  <w:footnote w:id="18648">
    <w:p>
      <w:pPr>
        <w:pStyle w:val="FootnoteText"/>
      </w:pPr>
      <w:r>
        <w:rPr>
          <w:rStyle w:val="FootnoteReference"/>
        </w:rPr>
        <w:footnoteRef/>
      </w:r>
      <w:r>
        <w:t xml:space="preserve"> Cross-references for "Timothy": Rom 12:19; Phil 4:1.</w:t>
      </w:r>
    </w:p>
  </w:footnote>
  <w:footnote w:id="18649">
    <w:p>
      <w:pPr>
        <w:pStyle w:val="FootnoteText"/>
      </w:pPr>
      <w:r>
        <w:rPr>
          <w:rStyle w:val="FootnoteReference"/>
        </w:rPr>
        <w:footnoteRef/>
      </w:r>
      <w:r>
        <w:t xml:space="preserve"> Cross-references for "I thank": Rom 1:8; Eph 1:16.</w:t>
      </w:r>
    </w:p>
  </w:footnote>
  <w:footnote w:id="18650">
    <w:p>
      <w:pPr>
        <w:pStyle w:val="FootnoteText"/>
      </w:pPr>
      <w:r>
        <w:rPr>
          <w:rStyle w:val="FootnoteReference"/>
        </w:rPr>
        <w:footnoteRef/>
      </w:r>
      <w:r>
        <w:t xml:space="preserve"> Cross-references for "filled": Ps 126:5; Isa 61:3.</w:t>
      </w:r>
    </w:p>
  </w:footnote>
  <w:footnote w:id="18651">
    <w:p>
      <w:pPr>
        <w:pStyle w:val="FootnoteText"/>
      </w:pPr>
      <w:r>
        <w:rPr>
          <w:rStyle w:val="FootnoteReference"/>
        </w:rPr>
        <w:footnoteRef/>
      </w:r>
      <w:r>
        <w:t xml:space="preserve"> Personal name: Lois. Personal-name meaning: Lois — better. Source form: Lois.</w:t>
      </w:r>
    </w:p>
  </w:footnote>
  <w:footnote w:id="18652">
    <w:p>
      <w:pPr>
        <w:pStyle w:val="FootnoteText"/>
      </w:pPr>
      <w:r>
        <w:rPr>
          <w:rStyle w:val="FootnoteReference"/>
        </w:rPr>
        <w:footnoteRef/>
      </w:r>
      <w:r>
        <w:t xml:space="preserve"> Personal name: Eunice. Personal-name meaning: Eunice — good victory. Source form: Eunice.</w:t>
      </w:r>
    </w:p>
  </w:footnote>
  <w:footnote w:id="18653">
    <w:p>
      <w:pPr>
        <w:pStyle w:val="FootnoteText"/>
      </w:pPr>
      <w:r>
        <w:rPr>
          <w:rStyle w:val="FootnoteReference"/>
        </w:rPr>
        <w:footnoteRef/>
      </w:r>
      <w:r>
        <w:t xml:space="preserve"> Cross-references for "I put": Isa 43:26; 1Tim 4:6.</w:t>
      </w:r>
    </w:p>
  </w:footnote>
  <w:footnote w:id="18654">
    <w:p>
      <w:pPr>
        <w:pStyle w:val="FootnoteText"/>
      </w:pPr>
      <w:r>
        <w:rPr>
          <w:rStyle w:val="FootnoteReference"/>
        </w:rPr>
        <w:footnoteRef/>
      </w:r>
      <w:r>
        <w:t xml:space="preserve"> Cross-references for "the spirit": Acts 20:24; Acts 21:13.</w:t>
      </w:r>
    </w:p>
  </w:footnote>
  <w:footnote w:id="18655">
    <w:p>
      <w:pPr>
        <w:pStyle w:val="FootnoteText"/>
      </w:pPr>
      <w:r>
        <w:rPr>
          <w:rStyle w:val="FootnoteReference"/>
        </w:rPr>
        <w:footnoteRef/>
      </w:r>
      <w:r>
        <w:t xml:space="preserve"> Cross-references for "ashamed": Ps 119:46; Isa 51:7.</w:t>
      </w:r>
    </w:p>
  </w:footnote>
  <w:footnote w:id="18656">
    <w:p>
      <w:pPr>
        <w:pStyle w:val="FootnoteText"/>
      </w:pPr>
      <w:r>
        <w:rPr>
          <w:rStyle w:val="FootnoteReference"/>
        </w:rPr>
        <w:footnoteRef/>
      </w:r>
      <w:r>
        <w:t xml:space="preserve"> Cross-references for "called": Rom 8:28; Rom 8:30.</w:t>
      </w:r>
    </w:p>
  </w:footnote>
  <w:footnote w:id="18657">
    <w:p>
      <w:pPr>
        <w:pStyle w:val="FootnoteText"/>
      </w:pPr>
      <w:r>
        <w:rPr>
          <w:rStyle w:val="FootnoteReference"/>
        </w:rPr>
        <w:footnoteRef/>
      </w:r>
      <w:r>
        <w:t xml:space="preserve"> Cross-references for "abolished": Luke 13:7; Rom 3:31.</w:t>
      </w:r>
    </w:p>
  </w:footnote>
  <w:footnote w:id="18658">
    <w:p>
      <w:pPr>
        <w:pStyle w:val="FootnoteText"/>
      </w:pPr>
      <w:r>
        <w:rPr>
          <w:rStyle w:val="FootnoteReference"/>
        </w:rPr>
        <w:footnoteRef/>
      </w:r>
      <w:r>
        <w:t xml:space="preserve"> Cross-references for "for I": Ps 9:10; Ps 56:9.</w:t>
      </w:r>
    </w:p>
  </w:footnote>
  <w:footnote w:id="18659">
    <w:p>
      <w:pPr>
        <w:pStyle w:val="FootnoteText"/>
      </w:pPr>
      <w:r>
        <w:rPr>
          <w:rStyle w:val="FootnoteReference"/>
        </w:rPr>
        <w:footnoteRef/>
      </w:r>
      <w:r>
        <w:t xml:space="preserve"> Cross-references for "Hold": Prov 3:18; Prov 3:21.</w:t>
      </w:r>
    </w:p>
  </w:footnote>
  <w:footnote w:id="18660">
    <w:p>
      <w:pPr>
        <w:pStyle w:val="FootnoteText"/>
      </w:pPr>
      <w:r>
        <w:rPr>
          <w:rStyle w:val="FootnoteReference"/>
        </w:rPr>
        <w:footnoteRef/>
      </w:r>
      <w:r>
        <w:t xml:space="preserve"> Cross-references for "good": Luke 16:11; Rom 3:2.</w:t>
      </w:r>
    </w:p>
  </w:footnote>
  <w:footnote w:id="18661">
    <w:p>
      <w:pPr>
        <w:pStyle w:val="FootnoteText"/>
      </w:pPr>
      <w:r>
        <w:rPr>
          <w:rStyle w:val="FootnoteReference"/>
        </w:rPr>
        <w:footnoteRef/>
      </w:r>
      <w:r>
        <w:t xml:space="preserve"> Transliterated proper noun: Phygellus. Standard English equivalent: Phygellus. Source form: Phygellus. Greek form: φυγελλος. Name meaning: fugitive.</w:t>
      </w:r>
    </w:p>
  </w:footnote>
  <w:footnote w:id="18662">
    <w:p>
      <w:pPr>
        <w:pStyle w:val="FootnoteText"/>
      </w:pPr>
      <w:r>
        <w:rPr>
          <w:rStyle w:val="FootnoteReference"/>
        </w:rPr>
        <w:footnoteRef/>
      </w:r>
      <w:r>
        <w:t xml:space="preserve"> Name meaning: Hermogenes (Hermogenes) — Born of Hermes. Also deserted Paul.</w:t>
      </w:r>
    </w:p>
  </w:footnote>
  <w:footnote w:id="18663">
    <w:p>
      <w:pPr>
        <w:pStyle w:val="FootnoteText"/>
      </w:pPr>
      <w:r>
        <w:rPr>
          <w:rStyle w:val="FootnoteReference"/>
        </w:rPr>
        <w:footnoteRef/>
      </w:r>
      <w:r>
        <w:t xml:space="preserve"> Name meaning: Phygelus (Phygelos) — Fugitive. Deserted Paul in Asia.</w:t>
      </w:r>
    </w:p>
  </w:footnote>
  <w:footnote w:id="18664">
    <w:p>
      <w:pPr>
        <w:pStyle w:val="FootnoteText"/>
      </w:pPr>
      <w:r>
        <w:rPr>
          <w:rStyle w:val="FootnoteReference"/>
        </w:rPr>
        <w:footnoteRef/>
      </w:r>
      <w:r>
        <w:t xml:space="preserve"> Cross-references for "Lord": 2Tim 1:18.</w:t>
      </w:r>
    </w:p>
  </w:footnote>
  <w:footnote w:id="18665">
    <w:p>
      <w:pPr>
        <w:pStyle w:val="FootnoteText"/>
      </w:pPr>
      <w:r>
        <w:rPr>
          <w:rStyle w:val="FootnoteReference"/>
        </w:rPr>
        <w:footnoteRef/>
      </w:r>
      <w:r>
        <w:t xml:space="preserve"> Name meaning: Onesiphorus (Onesiphoros) — Bringing profit. Refreshing and profitable servant.</w:t>
      </w:r>
    </w:p>
  </w:footnote>
  <w:footnote w:id="18666">
    <w:p>
      <w:pPr>
        <w:pStyle w:val="FootnoteText"/>
      </w:pPr>
      <w:r>
        <w:rPr>
          <w:rStyle w:val="FootnoteReference"/>
        </w:rPr>
        <w:footnoteRef/>
      </w:r>
      <w:r>
        <w:t xml:space="preserve"> Cross-references for "mercy": Ps 130:3-4; Luke 1:72.</w:t>
      </w:r>
    </w:p>
  </w:footnote>
  <w:footnote w:id="18667">
    <w:p>
      <w:pPr>
        <w:pStyle w:val="FootnoteText"/>
      </w:pPr>
      <w:r>
        <w:rPr>
          <w:rStyle w:val="FootnoteReference"/>
        </w:rPr>
        <w:footnoteRef/>
      </w:r>
      <w:r>
        <w:t xml:space="preserve"> Cross-references for "the things": 2Tim 1:13; 2Tim 3:10.</w:t>
      </w:r>
    </w:p>
  </w:footnote>
  <w:footnote w:id="18668">
    <w:p>
      <w:pPr>
        <w:pStyle w:val="FootnoteText"/>
      </w:pPr>
      <w:r>
        <w:rPr>
          <w:rStyle w:val="FootnoteReference"/>
        </w:rPr>
        <w:footnoteRef/>
      </w:r>
      <w:r>
        <w:t xml:space="preserve"> Cross-references for "endure": 1Cor 13:7; 2Cor 1:6.</w:t>
      </w:r>
    </w:p>
  </w:footnote>
  <w:footnote w:id="18669">
    <w:p>
      <w:pPr>
        <w:pStyle w:val="FootnoteText"/>
      </w:pPr>
      <w:r>
        <w:rPr>
          <w:rStyle w:val="FootnoteReference"/>
        </w:rPr>
        <w:footnoteRef/>
      </w:r>
      <w:r>
        <w:t xml:space="preserve"> Cross-references for "Consider": Deut 4:39; Deut 32:29.</w:t>
      </w:r>
    </w:p>
  </w:footnote>
  <w:footnote w:id="18670">
    <w:p>
      <w:pPr>
        <w:pStyle w:val="FootnoteText"/>
      </w:pPr>
      <w:r>
        <w:rPr>
          <w:rStyle w:val="FootnoteReference"/>
        </w:rPr>
        <w:footnoteRef/>
      </w:r>
      <w:r>
        <w:t xml:space="preserve"> Cross-references for "Remember": Heb 12:2-3.</w:t>
      </w:r>
    </w:p>
  </w:footnote>
  <w:footnote w:id="18671">
    <w:p>
      <w:pPr>
        <w:pStyle w:val="FootnoteText"/>
      </w:pPr>
      <w:r>
        <w:rPr>
          <w:rStyle w:val="FootnoteReference"/>
        </w:rPr>
        <w:footnoteRef/>
      </w:r>
      <w:r>
        <w:t xml:space="preserve"> Cross-references for "I suffer": Acts 9:16; 2Tim 1:8.</w:t>
      </w:r>
    </w:p>
  </w:footnote>
  <w:footnote w:id="18672">
    <w:p>
      <w:pPr>
        <w:pStyle w:val="FootnoteText"/>
      </w:pPr>
      <w:r>
        <w:rPr>
          <w:rStyle w:val="FootnoteReference"/>
        </w:rPr>
        <w:footnoteRef/>
      </w:r>
      <w:r>
        <w:t xml:space="preserve"> Cross-references for "I endure": Eph 3:13; Col 1:24.</w:t>
      </w:r>
    </w:p>
  </w:footnote>
  <w:footnote w:id="18673">
    <w:p>
      <w:pPr>
        <w:pStyle w:val="FootnoteText"/>
      </w:pPr>
      <w:r>
        <w:rPr>
          <w:rStyle w:val="FootnoteReference"/>
        </w:rPr>
        <w:footnoteRef/>
      </w:r>
      <w:r>
        <w:t xml:space="preserve"> Cross-references for "faithful": 1Tim 1:15; 1Tim 3:1.</w:t>
      </w:r>
    </w:p>
  </w:footnote>
  <w:footnote w:id="18674">
    <w:p>
      <w:pPr>
        <w:pStyle w:val="FootnoteText"/>
      </w:pPr>
      <w:r>
        <w:rPr>
          <w:rStyle w:val="FootnoteReference"/>
        </w:rPr>
        <w:footnoteRef/>
      </w:r>
      <w:r>
        <w:t xml:space="preserve"> Cross-references for "if we deny": Prov 30:9; Matt 10:33.</w:t>
      </w:r>
    </w:p>
  </w:footnote>
  <w:footnote w:id="18675">
    <w:p>
      <w:pPr>
        <w:pStyle w:val="FootnoteText"/>
      </w:pPr>
      <w:r>
        <w:rPr>
          <w:rStyle w:val="FootnoteReference"/>
        </w:rPr>
        <w:footnoteRef/>
      </w:r>
      <w:r>
        <w:t xml:space="preserve"> Cross-references for "he cannot": Num 23:19; Titus 1:2.</w:t>
      </w:r>
    </w:p>
  </w:footnote>
  <w:footnote w:id="18676">
    <w:p>
      <w:pPr>
        <w:pStyle w:val="FootnoteText"/>
      </w:pPr>
      <w:r>
        <w:rPr>
          <w:rStyle w:val="FootnoteReference"/>
        </w:rPr>
        <w:footnoteRef/>
      </w:r>
      <w:r>
        <w:t xml:space="preserve"> Cross-references for "charging": Eph 4:17; 1Thess 4:1.</w:t>
      </w:r>
    </w:p>
  </w:footnote>
  <w:footnote w:id="18677">
    <w:p>
      <w:pPr>
        <w:pStyle w:val="FootnoteText"/>
      </w:pPr>
      <w:r>
        <w:rPr>
          <w:rStyle w:val="FootnoteReference"/>
        </w:rPr>
        <w:footnoteRef/>
      </w:r>
      <w:r>
        <w:t xml:space="preserve"> Cross-references for "Study": Heb 4:11; 2Pet 1:10.</w:t>
      </w:r>
    </w:p>
  </w:footnote>
  <w:footnote w:id="18678">
    <w:p>
      <w:pPr>
        <w:pStyle w:val="FootnoteText"/>
      </w:pPr>
      <w:r>
        <w:rPr>
          <w:rStyle w:val="FootnoteReference"/>
        </w:rPr>
        <w:footnoteRef/>
      </w:r>
      <w:r>
        <w:t xml:space="preserve"> Cross-references for "shun": 1Tim 4:7; 1Tim 6:20.</w:t>
      </w:r>
    </w:p>
  </w:footnote>
  <w:footnote w:id="18679">
    <w:p>
      <w:pPr>
        <w:pStyle w:val="FootnoteText"/>
      </w:pPr>
      <w:r>
        <w:rPr>
          <w:rStyle w:val="FootnoteReference"/>
        </w:rPr>
        <w:footnoteRef/>
      </w:r>
      <w:r>
        <w:t xml:space="preserve"> Cross-references for "their word": Nah 3:15; Jas 5:3.</w:t>
      </w:r>
    </w:p>
  </w:footnote>
  <w:footnote w:id="18680">
    <w:p>
      <w:pPr>
        <w:pStyle w:val="FootnoteText"/>
      </w:pPr>
      <w:r>
        <w:rPr>
          <w:rStyle w:val="FootnoteReference"/>
        </w:rPr>
        <w:footnoteRef/>
      </w:r>
      <w:r>
        <w:t xml:space="preserve"> Personal name: Philetus. Personal-name meaning: Philetus — amiable; beloved. Source form: Philetus.</w:t>
      </w:r>
    </w:p>
  </w:footnote>
  <w:footnote w:id="18681">
    <w:p>
      <w:pPr>
        <w:pStyle w:val="FootnoteText"/>
      </w:pPr>
      <w:r>
        <w:rPr>
          <w:rStyle w:val="FootnoteReference"/>
        </w:rPr>
        <w:footnoteRef/>
      </w:r>
      <w:r>
        <w:t xml:space="preserve"> Cross-references for "concerning": Matt 22:29; 1Tim 1:19.</w:t>
      </w:r>
    </w:p>
  </w:footnote>
  <w:footnote w:id="18682">
    <w:p>
      <w:pPr>
        <w:pStyle w:val="FootnoteText"/>
      </w:pPr>
      <w:r>
        <w:rPr>
          <w:rStyle w:val="FootnoteReference"/>
        </w:rPr>
        <w:footnoteRef/>
      </w:r>
      <w:r>
        <w:t xml:space="preserve"> Cross-references for "the foundation": Prov 10:25; Isa 14:32.</w:t>
      </w:r>
    </w:p>
  </w:footnote>
  <w:footnote w:id="18683">
    <w:p>
      <w:pPr>
        <w:pStyle w:val="FootnoteText"/>
      </w:pPr>
      <w:r>
        <w:rPr>
          <w:rStyle w:val="FootnoteReference"/>
        </w:rPr>
        <w:footnoteRef/>
      </w:r>
      <w:r>
        <w:t xml:space="preserve"> Cross-references for "in a": 1Cor 3:9; 1Cor 3:16-17.</w:t>
      </w:r>
    </w:p>
  </w:footnote>
  <w:footnote w:id="18684">
    <w:p>
      <w:pPr>
        <w:pStyle w:val="FootnoteText"/>
      </w:pPr>
      <w:r>
        <w:rPr>
          <w:rStyle w:val="FootnoteReference"/>
        </w:rPr>
        <w:footnoteRef/>
      </w:r>
      <w:r>
        <w:t xml:space="preserve"> Cross-references for "purge": Ps 119:9; Isa 1:25.</w:t>
      </w:r>
    </w:p>
  </w:footnote>
  <w:footnote w:id="18685">
    <w:p>
      <w:pPr>
        <w:pStyle w:val="FootnoteText"/>
      </w:pPr>
      <w:r>
        <w:rPr>
          <w:rStyle w:val="FootnoteReference"/>
        </w:rPr>
        <w:footnoteRef/>
      </w:r>
      <w:r>
        <w:t xml:space="preserve"> Cross-references for "Flee": Prov 6:5; 1Cor 6:18.</w:t>
      </w:r>
    </w:p>
  </w:footnote>
  <w:footnote w:id="18686">
    <w:p>
      <w:pPr>
        <w:pStyle w:val="FootnoteText"/>
      </w:pPr>
      <w:r>
        <w:rPr>
          <w:rStyle w:val="FootnoteReference"/>
        </w:rPr>
        <w:footnoteRef/>
      </w:r>
      <w:r>
        <w:t xml:space="preserve"> Cross-references for "must": Matt 12:19; Acts 15:2.</w:t>
      </w:r>
    </w:p>
  </w:footnote>
  <w:footnote w:id="18687">
    <w:p>
      <w:pPr>
        <w:pStyle w:val="FootnoteText"/>
      </w:pPr>
      <w:r>
        <w:rPr>
          <w:rStyle w:val="FootnoteReference"/>
        </w:rPr>
        <w:footnoteRef/>
      </w:r>
      <w:r>
        <w:t xml:space="preserve"> Cross-references for "instructing": Jer 13:15-17; Jer 26:12-15.</w:t>
      </w:r>
    </w:p>
  </w:footnote>
  <w:footnote w:id="18688">
    <w:p>
      <w:pPr>
        <w:pStyle w:val="FootnoteText"/>
      </w:pPr>
      <w:r>
        <w:rPr>
          <w:rStyle w:val="FootnoteReference"/>
        </w:rPr>
        <w:footnoteRef/>
      </w:r>
      <w:r>
        <w:t xml:space="preserve"> Cross-references for "lovers": Rom 15:1-3; 2Cor 5:15.</w:t>
      </w:r>
    </w:p>
  </w:footnote>
  <w:footnote w:id="18689">
    <w:p>
      <w:pPr>
        <w:pStyle w:val="FootnoteText"/>
      </w:pPr>
      <w:r>
        <w:rPr>
          <w:rStyle w:val="FootnoteReference"/>
        </w:rPr>
        <w:footnoteRef/>
      </w:r>
      <w:r>
        <w:t xml:space="preserve"> Cross-references for "natural": Matt 10:21; Rom 1:31.</w:t>
      </w:r>
    </w:p>
  </w:footnote>
  <w:footnote w:id="18690">
    <w:p>
      <w:pPr>
        <w:pStyle w:val="FootnoteText"/>
      </w:pPr>
      <w:r>
        <w:rPr>
          <w:rStyle w:val="FootnoteReference"/>
        </w:rPr>
        <w:footnoteRef/>
      </w:r>
      <w:r>
        <w:t xml:space="preserve"> Cross-references for "traitors": 2Pet 2:10-22; Jude 1:8-9.</w:t>
      </w:r>
    </w:p>
  </w:footnote>
  <w:footnote w:id="18691">
    <w:p>
      <w:pPr>
        <w:pStyle w:val="FootnoteText"/>
      </w:pPr>
      <w:r>
        <w:rPr>
          <w:rStyle w:val="FootnoteReference"/>
        </w:rPr>
        <w:footnoteRef/>
      </w:r>
      <w:r>
        <w:t xml:space="preserve"> Cross-references for "a form": Isa 29:13; Isa 48:1-2.</w:t>
      </w:r>
    </w:p>
  </w:footnote>
  <w:footnote w:id="18692">
    <w:p>
      <w:pPr>
        <w:pStyle w:val="FootnoteText"/>
      </w:pPr>
      <w:r>
        <w:rPr>
          <w:rStyle w:val="FootnoteReference"/>
        </w:rPr>
        <w:footnoteRef/>
      </w:r>
      <w:r>
        <w:t xml:space="preserve"> Cross-references for "of this": Matt 23:14; Titus 1:11.</w:t>
      </w:r>
    </w:p>
  </w:footnote>
  <w:footnote w:id="18693">
    <w:p>
      <w:pPr>
        <w:pStyle w:val="FootnoteText"/>
      </w:pPr>
      <w:r>
        <w:rPr>
          <w:rStyle w:val="FootnoteReference"/>
        </w:rPr>
        <w:footnoteRef/>
      </w:r>
      <w:r>
        <w:t xml:space="preserve"> Cross-references for "learning": Deut 29:4; Prov 14:6.</w:t>
      </w:r>
    </w:p>
  </w:footnote>
  <w:footnote w:id="18694">
    <w:p>
      <w:pPr>
        <w:pStyle w:val="FootnoteText"/>
      </w:pPr>
      <w:r>
        <w:rPr>
          <w:rStyle w:val="FootnoteReference"/>
        </w:rPr>
        <w:footnoteRef/>
      </w:r>
      <w:r>
        <w:t xml:space="preserve"> Personal name: Jannes. Personal-name meaning: Jannes — who speaks or answers; afflicted; poor. Source form: Jannes.</w:t>
      </w:r>
    </w:p>
  </w:footnote>
  <w:footnote w:id="18695">
    <w:p>
      <w:pPr>
        <w:pStyle w:val="FootnoteText"/>
      </w:pPr>
      <w:r>
        <w:rPr>
          <w:rStyle w:val="FootnoteReference"/>
        </w:rPr>
        <w:footnoteRef/>
      </w:r>
      <w:r>
        <w:t xml:space="preserve"> Personal name: Jambres. Personal-name meaning: Jambres — poverty; bitter; a rebel. Source form: Jambres.</w:t>
      </w:r>
    </w:p>
  </w:footnote>
  <w:footnote w:id="18696">
    <w:p>
      <w:pPr>
        <w:pStyle w:val="FootnoteText"/>
      </w:pPr>
      <w:r>
        <w:rPr>
          <w:rStyle w:val="FootnoteReference"/>
        </w:rPr>
        <w:footnoteRef/>
      </w:r>
      <w:r>
        <w:t xml:space="preserve"> Cross-references for "resist": 1Kgs 22:22-24; Jer 28:1-17.</w:t>
      </w:r>
    </w:p>
  </w:footnote>
  <w:footnote w:id="18697">
    <w:p>
      <w:pPr>
        <w:pStyle w:val="FootnoteText"/>
      </w:pPr>
      <w:r>
        <w:rPr>
          <w:rStyle w:val="FootnoteReference"/>
        </w:rPr>
        <w:footnoteRef/>
      </w:r>
      <w:r>
        <w:t xml:space="preserve"> Cross-references for "their": Exod 7:12; Exod 8:18-19.</w:t>
      </w:r>
    </w:p>
  </w:footnote>
  <w:footnote w:id="18698">
    <w:p>
      <w:pPr>
        <w:pStyle w:val="FootnoteText"/>
      </w:pPr>
      <w:r>
        <w:rPr>
          <w:rStyle w:val="FootnoteReference"/>
        </w:rPr>
        <w:footnoteRef/>
      </w:r>
      <w:r>
        <w:t xml:space="preserve"> Cross-references for "manner": Acts 20:18; Acts 26:4.</w:t>
      </w:r>
    </w:p>
  </w:footnote>
  <w:footnote w:id="18699">
    <w:p>
      <w:pPr>
        <w:pStyle w:val="FootnoteText"/>
      </w:pPr>
      <w:r>
        <w:rPr>
          <w:rStyle w:val="FootnoteReference"/>
        </w:rPr>
        <w:footnoteRef/>
      </w:r>
      <w:r>
        <w:t xml:space="preserve"> Cross-references for "Persecutions": Acts 9:16; Acts 20:19.</w:t>
      </w:r>
    </w:p>
  </w:footnote>
  <w:footnote w:id="18700">
    <w:p>
      <w:pPr>
        <w:pStyle w:val="FootnoteText"/>
      </w:pPr>
      <w:r>
        <w:rPr>
          <w:rStyle w:val="FootnoteReference"/>
        </w:rPr>
        <w:footnoteRef/>
      </w:r>
      <w:r>
        <w:t xml:space="preserve"> Cross-references for "live": 2Cor 1:12; 1Tim 2:2.</w:t>
      </w:r>
    </w:p>
  </w:footnote>
  <w:footnote w:id="18701">
    <w:p>
      <w:pPr>
        <w:pStyle w:val="FootnoteText"/>
      </w:pPr>
      <w:r>
        <w:rPr>
          <w:rStyle w:val="FootnoteReference"/>
        </w:rPr>
        <w:footnoteRef/>
      </w:r>
      <w:r>
        <w:t xml:space="preserve"> Cross-references for "evil": 2Thess 2:6-10; 1Tim 4:1.</w:t>
      </w:r>
    </w:p>
  </w:footnote>
  <w:footnote w:id="18702">
    <w:p>
      <w:pPr>
        <w:pStyle w:val="FootnoteText"/>
      </w:pPr>
      <w:r>
        <w:rPr>
          <w:rStyle w:val="FootnoteReference"/>
        </w:rPr>
        <w:footnoteRef/>
      </w:r>
      <w:r>
        <w:t xml:space="preserve"> Cross-references for "continue": 1Tim 4:16; 2Tim 1:13.</w:t>
      </w:r>
    </w:p>
  </w:footnote>
  <w:footnote w:id="18703">
    <w:p>
      <w:pPr>
        <w:pStyle w:val="FootnoteText"/>
      </w:pPr>
      <w:r>
        <w:rPr>
          <w:rStyle w:val="FootnoteReference"/>
        </w:rPr>
        <w:footnoteRef/>
      </w:r>
      <w:r>
        <w:t xml:space="preserve"> Cross-references for "the holy": Dan 10:21; Matt 22:29.</w:t>
      </w:r>
    </w:p>
  </w:footnote>
  <w:footnote w:id="18704">
    <w:p>
      <w:pPr>
        <w:pStyle w:val="FootnoteText"/>
      </w:pPr>
      <w:r>
        <w:rPr>
          <w:rStyle w:val="FootnoteReference"/>
        </w:rPr>
        <w:footnoteRef/>
      </w:r>
      <w:r>
        <w:t xml:space="preserve"> Cross-references for "for reproof": Prov 6:23; Prov 15:10.</w:t>
      </w:r>
    </w:p>
  </w:footnote>
  <w:footnote w:id="18705">
    <w:p>
      <w:pPr>
        <w:pStyle w:val="FootnoteText"/>
      </w:pPr>
      <w:r>
        <w:rPr>
          <w:rStyle w:val="FootnoteReference"/>
        </w:rPr>
        <w:footnoteRef/>
      </w:r>
      <w:r>
        <w:t xml:space="preserve"> Cross-references for "the man": Ps 119:98-100; 1Tim 6:11.</w:t>
      </w:r>
    </w:p>
  </w:footnote>
  <w:footnote w:id="18706">
    <w:p>
      <w:pPr>
        <w:pStyle w:val="FootnoteText"/>
      </w:pPr>
      <w:r>
        <w:rPr>
          <w:rStyle w:val="FootnoteReference"/>
        </w:rPr>
        <w:footnoteRef/>
      </w:r>
      <w:r>
        <w:t xml:space="preserve"> Cross-references for "charge": 1Tim 5:21; 1Tim 6:13.</w:t>
      </w:r>
    </w:p>
  </w:footnote>
  <w:footnote w:id="18707">
    <w:p>
      <w:pPr>
        <w:pStyle w:val="FootnoteText"/>
      </w:pPr>
      <w:r>
        <w:rPr>
          <w:rStyle w:val="FootnoteReference"/>
        </w:rPr>
        <w:footnoteRef/>
      </w:r>
      <w:r>
        <w:t xml:space="preserve"> Cross-references for "Preach": Ps 40:9; Isa 61:1-3.</w:t>
      </w:r>
    </w:p>
  </w:footnote>
  <w:footnote w:id="18708">
    <w:p>
      <w:pPr>
        <w:pStyle w:val="FootnoteText"/>
      </w:pPr>
      <w:r>
        <w:rPr>
          <w:rStyle w:val="FootnoteReference"/>
        </w:rPr>
        <w:footnoteRef/>
      </w:r>
      <w:r>
        <w:t xml:space="preserve"> Cross-references for "the time": 1Tim 4:1-3; 2Tim 3:1-6.</w:t>
      </w:r>
    </w:p>
  </w:footnote>
  <w:footnote w:id="18709">
    <w:p>
      <w:pPr>
        <w:pStyle w:val="FootnoteText"/>
      </w:pPr>
      <w:r>
        <w:rPr>
          <w:rStyle w:val="FootnoteReference"/>
        </w:rPr>
        <w:footnoteRef/>
      </w:r>
      <w:r>
        <w:t xml:space="preserve"> Cross-references for "turn": Prov 1:32; Zech 7:11.</w:t>
      </w:r>
    </w:p>
  </w:footnote>
  <w:footnote w:id="18710">
    <w:p>
      <w:pPr>
        <w:pStyle w:val="FootnoteText"/>
      </w:pPr>
      <w:r>
        <w:rPr>
          <w:rStyle w:val="FootnoteReference"/>
        </w:rPr>
        <w:footnoteRef/>
      </w:r>
      <w:r>
        <w:t xml:space="preserve"> Cross-references for "endure": 2Tim 1:8; 2Tim 2:3.</w:t>
      </w:r>
    </w:p>
  </w:footnote>
  <w:footnote w:id="18711">
    <w:p>
      <w:pPr>
        <w:pStyle w:val="FootnoteText"/>
      </w:pPr>
      <w:r>
        <w:rPr>
          <w:rStyle w:val="FootnoteReference"/>
        </w:rPr>
        <w:footnoteRef/>
      </w:r>
      <w:r>
        <w:t xml:space="preserve"> Cross-references for "I have finished": John 4:34; Acts 13:25.</w:t>
      </w:r>
    </w:p>
  </w:footnote>
  <w:footnote w:id="18712">
    <w:p>
      <w:pPr>
        <w:pStyle w:val="FootnoteText"/>
      </w:pPr>
      <w:r>
        <w:rPr>
          <w:rStyle w:val="FootnoteReference"/>
        </w:rPr>
        <w:footnoteRef/>
      </w:r>
      <w:r>
        <w:t xml:space="preserve"> Cross-references for "a crown": Prov 4:9; 1Cor 9:25.</w:t>
      </w:r>
    </w:p>
  </w:footnote>
  <w:footnote w:id="18713">
    <w:p>
      <w:pPr>
        <w:pStyle w:val="FootnoteText"/>
      </w:pPr>
      <w:r>
        <w:rPr>
          <w:rStyle w:val="FootnoteReference"/>
        </w:rPr>
        <w:footnoteRef/>
      </w:r>
      <w:r>
        <w:t xml:space="preserve"> Cross-references for "Demas": Col 4:14-15; Phlm 1:24.</w:t>
      </w:r>
    </w:p>
  </w:footnote>
  <w:footnote w:id="18714">
    <w:p>
      <w:pPr>
        <w:pStyle w:val="FootnoteText"/>
      </w:pPr>
      <w:r>
        <w:rPr>
          <w:rStyle w:val="FootnoteReference"/>
        </w:rPr>
        <w:footnoteRef/>
      </w:r>
      <w:r>
        <w:t xml:space="preserve"> Name meaning: Crescens (Crescens) — Growing. Faithful coworker who went to Galatia.</w:t>
      </w:r>
    </w:p>
  </w:footnote>
  <w:footnote w:id="18715">
    <w:p>
      <w:pPr>
        <w:pStyle w:val="FootnoteText"/>
      </w:pPr>
      <w:r>
        <w:rPr>
          <w:rStyle w:val="FootnoteReference"/>
        </w:rPr>
        <w:footnoteRef/>
      </w:r>
      <w:r>
        <w:t xml:space="preserve"> Place name: Dalmatia. Place-name meaning: Dalmatia — deceitful lamps; vain brightness. Source form: Dalmatia. Greek form: δαλματιαν.</w:t>
      </w:r>
    </w:p>
  </w:footnote>
  <w:footnote w:id="18716">
    <w:p>
      <w:pPr>
        <w:pStyle w:val="FootnoteText"/>
      </w:pPr>
      <w:r>
        <w:rPr>
          <w:rStyle w:val="FootnoteReference"/>
        </w:rPr>
        <w:footnoteRef/>
      </w:r>
      <w:r>
        <w:t xml:space="preserve"> Cross-references for "Only": 2Tim 1:15.</w:t>
      </w:r>
    </w:p>
  </w:footnote>
  <w:footnote w:id="18717">
    <w:p>
      <w:pPr>
        <w:pStyle w:val="FootnoteText"/>
      </w:pPr>
      <w:r>
        <w:rPr>
          <w:rStyle w:val="FootnoteReference"/>
        </w:rPr>
        <w:footnoteRef/>
      </w:r>
      <w:r>
        <w:t xml:space="preserve"> Cross-references for "Tychicus": Acts 20:4; Eph 6:21.</w:t>
      </w:r>
    </w:p>
  </w:footnote>
  <w:footnote w:id="18718">
    <w:p>
      <w:pPr>
        <w:pStyle w:val="FootnoteText"/>
      </w:pPr>
      <w:r>
        <w:rPr>
          <w:rStyle w:val="FootnoteReference"/>
        </w:rPr>
        <w:footnoteRef/>
      </w:r>
      <w:r>
        <w:t xml:space="preserve"> Cross-references for "Troas": Acts 16:8; Acts 16:11.</w:t>
      </w:r>
    </w:p>
  </w:footnote>
  <w:footnote w:id="18719">
    <w:p>
      <w:pPr>
        <w:pStyle w:val="FootnoteText"/>
      </w:pPr>
      <w:r>
        <w:rPr>
          <w:rStyle w:val="FootnoteReference"/>
        </w:rPr>
        <w:footnoteRef/>
      </w:r>
      <w:r>
        <w:t xml:space="preserve"> Personal name: Carpus. Personal-name meaning: Carpus — fruit; fruitful. Source form: Carpus.</w:t>
      </w:r>
    </w:p>
  </w:footnote>
  <w:footnote w:id="18720">
    <w:p>
      <w:pPr>
        <w:pStyle w:val="FootnoteText"/>
      </w:pPr>
      <w:r>
        <w:rPr>
          <w:rStyle w:val="FootnoteReference"/>
        </w:rPr>
        <w:footnoteRef/>
      </w:r>
      <w:r>
        <w:t xml:space="preserve"> Cross-references for "Alexander": Acts 19:33-34; 1Tim 1:20.</w:t>
      </w:r>
    </w:p>
  </w:footnote>
  <w:footnote w:id="18721">
    <w:p>
      <w:pPr>
        <w:pStyle w:val="FootnoteText"/>
      </w:pPr>
      <w:r>
        <w:rPr>
          <w:rStyle w:val="FootnoteReference"/>
        </w:rPr>
        <w:footnoteRef/>
      </w:r>
      <w:r>
        <w:t xml:space="preserve"> Cross-references for "withstood": 2Tim 3:8.</w:t>
      </w:r>
    </w:p>
  </w:footnote>
  <w:footnote w:id="18722">
    <w:p>
      <w:pPr>
        <w:pStyle w:val="FootnoteText"/>
      </w:pPr>
      <w:r>
        <w:rPr>
          <w:rStyle w:val="FootnoteReference"/>
        </w:rPr>
        <w:footnoteRef/>
      </w:r>
      <w:r>
        <w:t xml:space="preserve"> Cross-references for "answer": Acts 22:1; Acts 25:16.</w:t>
      </w:r>
    </w:p>
  </w:footnote>
  <w:footnote w:id="18723">
    <w:p>
      <w:pPr>
        <w:pStyle w:val="FootnoteText"/>
      </w:pPr>
      <w:r>
        <w:rPr>
          <w:rStyle w:val="FootnoteReference"/>
        </w:rPr>
        <w:footnoteRef/>
      </w:r>
      <w:r>
        <w:t xml:space="preserve"> Cross-references for "the Lord": Ps 37:39-40; Ps 109:31.</w:t>
      </w:r>
    </w:p>
  </w:footnote>
  <w:footnote w:id="18724">
    <w:p>
      <w:pPr>
        <w:pStyle w:val="FootnoteText"/>
      </w:pPr>
      <w:r>
        <w:rPr>
          <w:rStyle w:val="FootnoteReference"/>
        </w:rPr>
        <w:footnoteRef/>
      </w:r>
      <w:r>
        <w:t xml:space="preserve"> Cross-references for "deliver": Gen 48:16; 1Sam 25:39.</w:t>
      </w:r>
    </w:p>
  </w:footnote>
  <w:footnote w:id="18725">
    <w:p>
      <w:pPr>
        <w:pStyle w:val="FootnoteText"/>
      </w:pPr>
      <w:r>
        <w:rPr>
          <w:rStyle w:val="FootnoteReference"/>
        </w:rPr>
        <w:footnoteRef/>
      </w:r>
      <w:r>
        <w:t xml:space="preserve"> Personal name: Prisca. Personal-name meaning: Prisca — ancient. Source form: Prisca.</w:t>
      </w:r>
    </w:p>
  </w:footnote>
  <w:footnote w:id="18726">
    <w:p>
      <w:pPr>
        <w:pStyle w:val="FootnoteText"/>
      </w:pPr>
      <w:r>
        <w:rPr>
          <w:rStyle w:val="FootnoteReference"/>
        </w:rPr>
        <w:footnoteRef/>
      </w:r>
      <w:r>
        <w:t xml:space="preserve"> Cross-references for "Prisca": Acts 18:2; Acts 18:18.</w:t>
      </w:r>
    </w:p>
  </w:footnote>
  <w:footnote w:id="18727">
    <w:p>
      <w:pPr>
        <w:pStyle w:val="FootnoteText"/>
      </w:pPr>
      <w:r>
        <w:rPr>
          <w:rStyle w:val="FootnoteReference"/>
        </w:rPr>
        <w:footnoteRef/>
      </w:r>
      <w:r>
        <w:t xml:space="preserve"> Cross-references for "Erastus": Acts 19:22; Rom 16:23.</w:t>
      </w:r>
    </w:p>
  </w:footnote>
  <w:footnote w:id="18728">
    <w:p>
      <w:pPr>
        <w:pStyle w:val="FootnoteText"/>
      </w:pPr>
      <w:r>
        <w:rPr>
          <w:rStyle w:val="FootnoteReference"/>
        </w:rPr>
        <w:footnoteRef/>
      </w:r>
      <w:r>
        <w:t xml:space="preserve"> Transliterated proper noun: Miletum. Standard English equivalent: Miletum. Source form: Miletum. Greek form: μιλητω. Name meaning: red; scarlet.</w:t>
      </w:r>
    </w:p>
  </w:footnote>
  <w:footnote w:id="18729">
    <w:p>
      <w:pPr>
        <w:pStyle w:val="FootnoteText"/>
      </w:pPr>
      <w:r>
        <w:rPr>
          <w:rStyle w:val="FootnoteReference"/>
        </w:rPr>
        <w:footnoteRef/>
      </w:r>
      <w:r>
        <w:t xml:space="preserve"> Name meaning: Eubulus (Euboulos) — Good counselor. Faithful in Rome.</w:t>
      </w:r>
    </w:p>
  </w:footnote>
  <w:footnote w:id="18730">
    <w:p>
      <w:pPr>
        <w:pStyle w:val="FootnoteText"/>
      </w:pPr>
      <w:r>
        <w:rPr>
          <w:rStyle w:val="FootnoteReference"/>
        </w:rPr>
        <w:footnoteRef/>
      </w:r>
      <w:r>
        <w:t xml:space="preserve"> Name meaning: Pudens (Pudens) — Modest; shamefaced. Roman Christian who greeted Paul.</w:t>
      </w:r>
    </w:p>
  </w:footnote>
  <w:footnote w:id="18731">
    <w:p>
      <w:pPr>
        <w:pStyle w:val="FootnoteText"/>
      </w:pPr>
      <w:r>
        <w:rPr>
          <w:rStyle w:val="FootnoteReference"/>
        </w:rPr>
        <w:footnoteRef/>
      </w:r>
      <w:r>
        <w:t xml:space="preserve"> Name meaning: Linus (Linos) — Flaxen; net. Early Christian leader.</w:t>
      </w:r>
    </w:p>
  </w:footnote>
  <w:footnote w:id="18732">
    <w:p>
      <w:pPr>
        <w:pStyle w:val="FootnoteText"/>
      </w:pPr>
      <w:r>
        <w:rPr>
          <w:rStyle w:val="FootnoteReference"/>
        </w:rPr>
        <w:footnoteRef/>
      </w:r>
      <w:r>
        <w:t xml:space="preserve"> Name meaning: Claudia (Claudia) — Lame. Woman who greeted Paul.</w:t>
      </w:r>
    </w:p>
  </w:footnote>
  <w:footnote w:id="18733">
    <w:p>
      <w:pPr>
        <w:pStyle w:val="FootnoteText"/>
      </w:pPr>
      <w:r>
        <w:rPr>
          <w:rStyle w:val="FootnoteReference"/>
        </w:rPr>
        <w:footnoteRef/>
      </w:r>
      <w:r>
        <w:t xml:space="preserve"> Cross-references for "The Lord": Matt 28:20; Rom 16:20.</w:t>
      </w:r>
    </w:p>
  </w:footnote>
  <w:footnote w:id="18734">
    <w:p>
      <w:pPr>
        <w:pStyle w:val="FootnoteText"/>
      </w:pPr>
      <w:r>
        <w:rPr>
          <w:rStyle w:val="FootnoteReference"/>
        </w:rPr>
        <w:footnoteRef/>
      </w:r>
      <w:r>
        <w:t xml:space="preserve"> Cross-references for "faith": John 10:26-27; Acts 13:48.</w:t>
      </w:r>
    </w:p>
  </w:footnote>
  <w:footnote w:id="18735">
    <w:p>
      <w:pPr>
        <w:pStyle w:val="FootnoteText"/>
      </w:pPr>
      <w:r>
        <w:rPr>
          <w:rStyle w:val="FootnoteReference"/>
        </w:rPr>
        <w:footnoteRef/>
      </w:r>
      <w:r>
        <w:t xml:space="preserve"> Cross-references for "hope": John 5:39; John 6:68.</w:t>
      </w:r>
    </w:p>
  </w:footnote>
  <w:footnote w:id="18736">
    <w:p>
      <w:pPr>
        <w:pStyle w:val="FootnoteText"/>
      </w:pPr>
      <w:r>
        <w:rPr>
          <w:rStyle w:val="FootnoteReference"/>
        </w:rPr>
        <w:footnoteRef/>
      </w:r>
      <w:r>
        <w:t xml:space="preserve"> Cross-references for "manifested": Mark 13:10; Mark 16:15.</w:t>
      </w:r>
    </w:p>
  </w:footnote>
  <w:footnote w:id="18737">
    <w:p>
      <w:pPr>
        <w:pStyle w:val="FootnoteText"/>
      </w:pPr>
      <w:r>
        <w:rPr>
          <w:rStyle w:val="FootnoteReference"/>
        </w:rPr>
        <w:footnoteRef/>
      </w:r>
      <w:r>
        <w:t xml:space="preserve"> Cross-references for "Titus": 2Cor 2:13; 2Cor 7:6.</w:t>
      </w:r>
    </w:p>
  </w:footnote>
  <w:footnote w:id="18738">
    <w:p>
      <w:pPr>
        <w:pStyle w:val="FootnoteText"/>
      </w:pPr>
      <w:r>
        <w:rPr>
          <w:rStyle w:val="FootnoteReference"/>
        </w:rPr>
        <w:footnoteRef/>
      </w:r>
      <w:r>
        <w:t xml:space="preserve"> Cross-references for "Crete": Acts 2:11; Acts 27:7.</w:t>
      </w:r>
    </w:p>
  </w:footnote>
  <w:footnote w:id="18739">
    <w:p>
      <w:pPr>
        <w:pStyle w:val="FootnoteText"/>
      </w:pPr>
      <w:r>
        <w:rPr>
          <w:rStyle w:val="FootnoteReference"/>
        </w:rPr>
        <w:footnoteRef/>
      </w:r>
      <w:r>
        <w:t xml:space="preserve"> Cross-references for "the husband": Lev 21:7; Lev 21:14.</w:t>
      </w:r>
    </w:p>
  </w:footnote>
  <w:footnote w:id="18740">
    <w:p>
      <w:pPr>
        <w:pStyle w:val="FootnoteText"/>
      </w:pPr>
      <w:r>
        <w:rPr>
          <w:rStyle w:val="FootnoteReference"/>
        </w:rPr>
        <w:footnoteRef/>
      </w:r>
      <w:r>
        <w:t xml:space="preserve"> Cross-references for "not soon": Prov 14:17; Prov 15:18.</w:t>
      </w:r>
    </w:p>
  </w:footnote>
  <w:footnote w:id="18741">
    <w:p>
      <w:pPr>
        <w:pStyle w:val="FootnoteText"/>
      </w:pPr>
      <w:r>
        <w:rPr>
          <w:rStyle w:val="FootnoteReference"/>
        </w:rPr>
        <w:footnoteRef/>
      </w:r>
      <w:r>
        <w:t xml:space="preserve"> Cross-references for "a lover of good": 1Sam 18:1; 1Kgs 5:1.</w:t>
      </w:r>
    </w:p>
  </w:footnote>
  <w:footnote w:id="18742">
    <w:p>
      <w:pPr>
        <w:pStyle w:val="FootnoteText"/>
      </w:pPr>
      <w:r>
        <w:rPr>
          <w:rStyle w:val="FootnoteReference"/>
        </w:rPr>
        <w:footnoteRef/>
      </w:r>
      <w:r>
        <w:t xml:space="preserve"> Cross-references for "Holding": Job 2:3; Job 27:6.</w:t>
      </w:r>
    </w:p>
  </w:footnote>
  <w:footnote w:id="18743">
    <w:p>
      <w:pPr>
        <w:pStyle w:val="FootnoteText"/>
      </w:pPr>
      <w:r>
        <w:rPr>
          <w:rStyle w:val="FootnoteReference"/>
        </w:rPr>
        <w:footnoteRef/>
      </w:r>
      <w:r>
        <w:t xml:space="preserve"> Cross-references for "mouths": Ps 63:11; Ps 107:42.</w:t>
      </w:r>
    </w:p>
  </w:footnote>
  <w:footnote w:id="18744">
    <w:p>
      <w:pPr>
        <w:pStyle w:val="FootnoteText"/>
      </w:pPr>
      <w:r>
        <w:rPr>
          <w:rStyle w:val="FootnoteReference"/>
        </w:rPr>
        <w:footnoteRef/>
      </w:r>
      <w:r>
        <w:t xml:space="preserve"> Cross-references for "liars": Rom 16:18; 1Tim 4:2.</w:t>
      </w:r>
    </w:p>
  </w:footnote>
  <w:footnote w:id="18745">
    <w:p>
      <w:pPr>
        <w:pStyle w:val="FootnoteText"/>
      </w:pPr>
      <w:r>
        <w:rPr>
          <w:rStyle w:val="FootnoteReference"/>
        </w:rPr>
        <w:footnoteRef/>
      </w:r>
      <w:r>
        <w:t xml:space="preserve"> Cross-references for "rebuke": Prov 27:5; 2Cor 13:10.</w:t>
      </w:r>
    </w:p>
  </w:footnote>
  <w:footnote w:id="18746">
    <w:p>
      <w:pPr>
        <w:pStyle w:val="FootnoteText"/>
      </w:pPr>
      <w:r>
        <w:rPr>
          <w:rStyle w:val="FootnoteReference"/>
        </w:rPr>
        <w:footnoteRef/>
      </w:r>
      <w:r>
        <w:t xml:space="preserve"> Cross-references for "Jewish": 1Tim 1:4-7; 2Tim 4:4.</w:t>
      </w:r>
    </w:p>
  </w:footnote>
  <w:footnote w:id="18747">
    <w:p>
      <w:pPr>
        <w:pStyle w:val="FootnoteText"/>
      </w:pPr>
      <w:r>
        <w:rPr>
          <w:rStyle w:val="FootnoteReference"/>
        </w:rPr>
        <w:footnoteRef/>
      </w:r>
      <w:r>
        <w:t xml:space="preserve"> Cross-references for "the pure": Luke 11:39-41; Acts 10:15.</w:t>
      </w:r>
    </w:p>
  </w:footnote>
  <w:footnote w:id="18748">
    <w:p>
      <w:pPr>
        <w:pStyle w:val="FootnoteText"/>
      </w:pPr>
      <w:r>
        <w:rPr>
          <w:rStyle w:val="FootnoteReference"/>
        </w:rPr>
        <w:footnoteRef/>
      </w:r>
      <w:r>
        <w:t xml:space="preserve"> Cross-references for "profess": Num 24:16; Isa 29:13.</w:t>
      </w:r>
    </w:p>
  </w:footnote>
  <w:footnote w:id="18749">
    <w:p>
      <w:pPr>
        <w:pStyle w:val="FootnoteText"/>
      </w:pPr>
      <w:r>
        <w:rPr>
          <w:rStyle w:val="FootnoteReference"/>
        </w:rPr>
        <w:footnoteRef/>
      </w:r>
      <w:r>
        <w:t xml:space="preserve"> Cross-references for "sober": 1Cor 15:34; 1Thess 5:6.</w:t>
      </w:r>
    </w:p>
  </w:footnote>
  <w:footnote w:id="18750">
    <w:p>
      <w:pPr>
        <w:pStyle w:val="FootnoteText"/>
      </w:pPr>
      <w:r>
        <w:rPr>
          <w:rStyle w:val="FootnoteReference"/>
        </w:rPr>
        <w:footnoteRef/>
      </w:r>
      <w:r>
        <w:t xml:space="preserve"> Cross-references for "false accusers": 1Tim 3:8; 1Tim 3:11.</w:t>
      </w:r>
    </w:p>
  </w:footnote>
  <w:footnote w:id="18751">
    <w:p>
      <w:pPr>
        <w:pStyle w:val="FootnoteText"/>
      </w:pPr>
      <w:r>
        <w:rPr>
          <w:rStyle w:val="FootnoteReference"/>
        </w:rPr>
        <w:footnoteRef/>
      </w:r>
      <w:r>
        <w:t xml:space="preserve"> Cross-references for "to love their husbands": 1Tim 5:14.</w:t>
      </w:r>
    </w:p>
  </w:footnote>
  <w:footnote w:id="18752">
    <w:p>
      <w:pPr>
        <w:pStyle w:val="FootnoteText"/>
      </w:pPr>
      <w:r>
        <w:rPr>
          <w:rStyle w:val="FootnoteReference"/>
        </w:rPr>
        <w:footnoteRef/>
      </w:r>
      <w:r>
        <w:t xml:space="preserve"> Cross-references for "discreet": Titus 2:2.</w:t>
      </w:r>
    </w:p>
  </w:footnote>
  <w:footnote w:id="18753">
    <w:p>
      <w:pPr>
        <w:pStyle w:val="FootnoteText"/>
      </w:pPr>
      <w:r>
        <w:rPr>
          <w:rStyle w:val="FootnoteReference"/>
        </w:rPr>
        <w:footnoteRef/>
      </w:r>
      <w:r>
        <w:t xml:space="preserve"> Cross-references for "sincerity": 2Cor 1:12; 2Cor 8:8.</w:t>
      </w:r>
    </w:p>
  </w:footnote>
  <w:footnote w:id="18754">
    <w:p>
      <w:pPr>
        <w:pStyle w:val="FootnoteText"/>
      </w:pPr>
      <w:r>
        <w:rPr>
          <w:rStyle w:val="FootnoteReference"/>
        </w:rPr>
        <w:footnoteRef/>
      </w:r>
      <w:r>
        <w:t xml:space="preserve"> Cross-references for "Sound": Mark 12:17; Mark 12:28.</w:t>
      </w:r>
    </w:p>
  </w:footnote>
  <w:footnote w:id="18755">
    <w:p>
      <w:pPr>
        <w:pStyle w:val="FootnoteText"/>
      </w:pPr>
      <w:r>
        <w:rPr>
          <w:rStyle w:val="FootnoteReference"/>
        </w:rPr>
        <w:footnoteRef/>
      </w:r>
      <w:r>
        <w:t xml:space="preserve"> Cross-references for "to please": Eph 5:24.</w:t>
      </w:r>
    </w:p>
  </w:footnote>
  <w:footnote w:id="18756">
    <w:p>
      <w:pPr>
        <w:pStyle w:val="FootnoteText"/>
      </w:pPr>
      <w:r>
        <w:rPr>
          <w:rStyle w:val="FootnoteReference"/>
        </w:rPr>
        <w:footnoteRef/>
      </w:r>
      <w:r>
        <w:t xml:space="preserve"> Cross-references for "showing": Gen 31:37-38; Gen 39:8-9.</w:t>
      </w:r>
    </w:p>
  </w:footnote>
  <w:footnote w:id="18757">
    <w:p>
      <w:pPr>
        <w:pStyle w:val="FootnoteText"/>
      </w:pPr>
      <w:r>
        <w:rPr>
          <w:rStyle w:val="FootnoteReference"/>
        </w:rPr>
        <w:footnoteRef/>
      </w:r>
      <w:r>
        <w:t xml:space="preserve"> Cross-references for "teaching": Matt 28:20; John 6:25.</w:t>
      </w:r>
    </w:p>
  </w:footnote>
  <w:footnote w:id="18758">
    <w:p>
      <w:pPr>
        <w:pStyle w:val="FootnoteText"/>
      </w:pPr>
      <w:r>
        <w:rPr>
          <w:rStyle w:val="FootnoteReference"/>
        </w:rPr>
        <w:footnoteRef/>
      </w:r>
      <w:r>
        <w:t xml:space="preserve"> Cross-references for "Looking": 1Cor 1:7; Phil 3:20-21.</w:t>
      </w:r>
    </w:p>
  </w:footnote>
  <w:footnote w:id="18759">
    <w:p>
      <w:pPr>
        <w:pStyle w:val="FootnoteText"/>
      </w:pPr>
      <w:r>
        <w:rPr>
          <w:rStyle w:val="FootnoteReference"/>
        </w:rPr>
        <w:footnoteRef/>
      </w:r>
      <w:r>
        <w:t xml:space="preserve"> Cross-references for "gave": Matt 20:28; John 6:51.</w:t>
      </w:r>
    </w:p>
  </w:footnote>
  <w:footnote w:id="18760">
    <w:p>
      <w:pPr>
        <w:pStyle w:val="FootnoteText"/>
      </w:pPr>
      <w:r>
        <w:rPr>
          <w:rStyle w:val="FootnoteReference"/>
        </w:rPr>
        <w:footnoteRef/>
      </w:r>
      <w:r>
        <w:t xml:space="preserve"> Cross-references for "speak": 2Tim 4:2; Titus 1:13.</w:t>
      </w:r>
    </w:p>
  </w:footnote>
  <w:footnote w:id="18761">
    <w:p>
      <w:pPr>
        <w:pStyle w:val="FootnoteText"/>
      </w:pPr>
      <w:r>
        <w:rPr>
          <w:rStyle w:val="FootnoteReference"/>
        </w:rPr>
        <w:footnoteRef/>
      </w:r>
      <w:r>
        <w:t xml:space="preserve"> Cross-references for "to be subject": Deut 17:12; Prov 24:21.</w:t>
      </w:r>
    </w:p>
  </w:footnote>
  <w:footnote w:id="18762">
    <w:p>
      <w:pPr>
        <w:pStyle w:val="FootnoteText"/>
      </w:pPr>
      <w:r>
        <w:rPr>
          <w:rStyle w:val="FootnoteReference"/>
        </w:rPr>
        <w:footnoteRef/>
      </w:r>
      <w:r>
        <w:t xml:space="preserve"> Cross-references for "speak": Ps 140:11; Prov 6:19.</w:t>
      </w:r>
    </w:p>
  </w:footnote>
  <w:footnote w:id="18763">
    <w:p>
      <w:pPr>
        <w:pStyle w:val="FootnoteText"/>
      </w:pPr>
      <w:r>
        <w:rPr>
          <w:rStyle w:val="FootnoteReference"/>
        </w:rPr>
        <w:footnoteRef/>
      </w:r>
      <w:r>
        <w:t xml:space="preserve"> Cross-references for "foolish": Prov 1:22-23; Prov 8:5.</w:t>
      </w:r>
    </w:p>
  </w:footnote>
  <w:footnote w:id="18764">
    <w:p>
      <w:pPr>
        <w:pStyle w:val="FootnoteText"/>
      </w:pPr>
      <w:r>
        <w:rPr>
          <w:rStyle w:val="FootnoteReference"/>
        </w:rPr>
        <w:footnoteRef/>
      </w:r>
      <w:r>
        <w:t xml:space="preserve"> Cross-references for "the kindness": Rom 5:20-21; Eph 2:4-10.</w:t>
      </w:r>
    </w:p>
  </w:footnote>
  <w:footnote w:id="18765">
    <w:p>
      <w:pPr>
        <w:pStyle w:val="FootnoteText"/>
      </w:pPr>
      <w:r>
        <w:rPr>
          <w:rStyle w:val="FootnoteReference"/>
        </w:rPr>
        <w:footnoteRef/>
      </w:r>
      <w:r>
        <w:t xml:space="preserve"> Cross-references for "by works": Job 9:20; Job 15:14.</w:t>
      </w:r>
    </w:p>
  </w:footnote>
  <w:footnote w:id="18766">
    <w:p>
      <w:pPr>
        <w:pStyle w:val="FootnoteText"/>
      </w:pPr>
      <w:r>
        <w:rPr>
          <w:rStyle w:val="FootnoteReference"/>
        </w:rPr>
        <w:footnoteRef/>
      </w:r>
      <w:r>
        <w:t xml:space="preserve"> Cross-references for "he shed": Prov 1:23; Isa 32:15.</w:t>
      </w:r>
    </w:p>
  </w:footnote>
  <w:footnote w:id="18767">
    <w:p>
      <w:pPr>
        <w:pStyle w:val="FootnoteText"/>
      </w:pPr>
      <w:r>
        <w:rPr>
          <w:rStyle w:val="FootnoteReference"/>
        </w:rPr>
        <w:footnoteRef/>
      </w:r>
      <w:r>
        <w:t xml:space="preserve"> Cross-references for "made": Rom 8:17; Rom 8:23-24.</w:t>
      </w:r>
    </w:p>
  </w:footnote>
  <w:footnote w:id="18768">
    <w:p>
      <w:pPr>
        <w:pStyle w:val="FootnoteText"/>
      </w:pPr>
      <w:r>
        <w:rPr>
          <w:rStyle w:val="FootnoteReference"/>
        </w:rPr>
        <w:footnoteRef/>
      </w:r>
      <w:r>
        <w:t xml:space="preserve"> Cross-references for "a faithful": 1Tim 1:15; Titus 1:9.</w:t>
      </w:r>
    </w:p>
  </w:footnote>
  <w:footnote w:id="18769">
    <w:p>
      <w:pPr>
        <w:pStyle w:val="FootnoteText"/>
      </w:pPr>
      <w:r>
        <w:rPr>
          <w:rStyle w:val="FootnoteReference"/>
        </w:rPr>
        <w:footnoteRef/>
      </w:r>
      <w:r>
        <w:t xml:space="preserve"> Cross-references for "avoid": 1Tim 1:3-7; 1Tim 4:7.</w:t>
      </w:r>
    </w:p>
  </w:footnote>
  <w:footnote w:id="18770">
    <w:p>
      <w:pPr>
        <w:pStyle w:val="FootnoteText"/>
      </w:pPr>
      <w:r>
        <w:rPr>
          <w:rStyle w:val="FootnoteReference"/>
        </w:rPr>
        <w:footnoteRef/>
      </w:r>
      <w:r>
        <w:t xml:space="preserve"> Cross-references for "heretic": 1Cor 11:19; Gal 5:20.</w:t>
      </w:r>
    </w:p>
  </w:footnote>
  <w:footnote w:id="18771">
    <w:p>
      <w:pPr>
        <w:pStyle w:val="FootnoteText"/>
      </w:pPr>
      <w:r>
        <w:rPr>
          <w:rStyle w:val="FootnoteReference"/>
        </w:rPr>
        <w:footnoteRef/>
      </w:r>
      <w:r>
        <w:t xml:space="preserve"> Cross-references for "is subverted": Acts 15:24; 1Tim 1:19-20.</w:t>
      </w:r>
    </w:p>
  </w:footnote>
  <w:footnote w:id="18772">
    <w:p>
      <w:pPr>
        <w:pStyle w:val="FootnoteText"/>
      </w:pPr>
      <w:r>
        <w:rPr>
          <w:rStyle w:val="FootnoteReference"/>
        </w:rPr>
        <w:footnoteRef/>
      </w:r>
      <w:r>
        <w:t xml:space="preserve"> Name meaning: Artemas (Artemas) — Gift of Artemis. Faithful coworker Paul sent to Crete.</w:t>
      </w:r>
    </w:p>
  </w:footnote>
  <w:footnote w:id="18773">
    <w:p>
      <w:pPr>
        <w:pStyle w:val="FootnoteText"/>
      </w:pPr>
      <w:r>
        <w:rPr>
          <w:rStyle w:val="FootnoteReference"/>
        </w:rPr>
        <w:footnoteRef/>
      </w:r>
      <w:r>
        <w:t xml:space="preserve"> Cross-references for "Tychicus": Acts 20:4; 2Tim 4:12.</w:t>
      </w:r>
    </w:p>
  </w:footnote>
  <w:footnote w:id="18774">
    <w:p>
      <w:pPr>
        <w:pStyle w:val="FootnoteText"/>
      </w:pPr>
      <w:r>
        <w:rPr>
          <w:rStyle w:val="FootnoteReference"/>
        </w:rPr>
        <w:footnoteRef/>
      </w:r>
      <w:r>
        <w:t xml:space="preserve"> Place name: Nicopolis. Place-name meaning: Nicopolis — the city of victory. Source form: Nicopolis. Greek form: νικοπολιν.</w:t>
      </w:r>
    </w:p>
  </w:footnote>
  <w:footnote w:id="18775">
    <w:p>
      <w:pPr>
        <w:pStyle w:val="FootnoteText"/>
      </w:pPr>
      <w:r>
        <w:rPr>
          <w:rStyle w:val="FootnoteReference"/>
        </w:rPr>
        <w:footnoteRef/>
      </w:r>
      <w:r>
        <w:t xml:space="preserve"> Name meaning: Zenas (Zenas) — Living. Lawyer who traveled with Apollos.</w:t>
      </w:r>
    </w:p>
  </w:footnote>
  <w:footnote w:id="18776">
    <w:p>
      <w:pPr>
        <w:pStyle w:val="FootnoteText"/>
      </w:pPr>
      <w:r>
        <w:rPr>
          <w:rStyle w:val="FootnoteReference"/>
        </w:rPr>
        <w:footnoteRef/>
      </w:r>
      <w:r>
        <w:t xml:space="preserve"> Cross-references for "the lawyer": Matt 22:35; Luke 7:30.</w:t>
      </w:r>
    </w:p>
  </w:footnote>
  <w:footnote w:id="18777">
    <w:p>
      <w:pPr>
        <w:pStyle w:val="FootnoteText"/>
      </w:pPr>
      <w:r>
        <w:rPr>
          <w:rStyle w:val="FootnoteReference"/>
        </w:rPr>
        <w:footnoteRef/>
      </w:r>
      <w:r>
        <w:t xml:space="preserve"> Cross-references for "learn": Titus 3:8.</w:t>
      </w:r>
    </w:p>
  </w:footnote>
  <w:footnote w:id="18778">
    <w:p>
      <w:pPr>
        <w:pStyle w:val="FootnoteText"/>
      </w:pPr>
      <w:r>
        <w:rPr>
          <w:rStyle w:val="FootnoteReference"/>
        </w:rPr>
        <w:footnoteRef/>
      </w:r>
      <w:r>
        <w:t xml:space="preserve"> Cross-references for "with me": Rom 16:21-24.</w:t>
      </w:r>
    </w:p>
  </w:footnote>
  <w:footnote w:id="18779">
    <w:p>
      <w:pPr>
        <w:pStyle w:val="FootnoteText"/>
      </w:pPr>
      <w:r>
        <w:rPr>
          <w:rStyle w:val="FootnoteReference"/>
        </w:rPr>
        <w:footnoteRef/>
      </w:r>
      <w:r>
        <w:t xml:space="preserve"> Cross-references for "a prisoner": Eph 3:1; Eph 4:1.</w:t>
      </w:r>
    </w:p>
  </w:footnote>
  <w:footnote w:id="18780">
    <w:p>
      <w:pPr>
        <w:pStyle w:val="FootnoteText"/>
      </w:pPr>
      <w:r>
        <w:rPr>
          <w:rStyle w:val="FootnoteReference"/>
        </w:rPr>
        <w:footnoteRef/>
      </w:r>
      <w:r>
        <w:t xml:space="preserve"> Name meaning: Philemon (Philemon) — Affectionate. Showed affectionate forgiveness to Onesimus.</w:t>
      </w:r>
    </w:p>
  </w:footnote>
  <w:footnote w:id="18781">
    <w:p>
      <w:pPr>
        <w:pStyle w:val="FootnoteText"/>
      </w:pPr>
      <w:r>
        <w:rPr>
          <w:rStyle w:val="FootnoteReference"/>
        </w:rPr>
        <w:footnoteRef/>
      </w:r>
      <w:r>
        <w:t xml:space="preserve"> Name meaning: Apphia (Apphia) — Productive; increasing. Hostess connected with a growing house church.</w:t>
      </w:r>
    </w:p>
  </w:footnote>
  <w:footnote w:id="18782">
    <w:p>
      <w:pPr>
        <w:pStyle w:val="FootnoteText"/>
      </w:pPr>
      <w:r>
        <w:rPr>
          <w:rStyle w:val="FootnoteReference"/>
        </w:rPr>
        <w:footnoteRef/>
      </w:r>
      <w:r>
        <w:t xml:space="preserve"> Name meaning: Archippus (Archippos) — Master of the horse. Called to fulfill his ministry.</w:t>
      </w:r>
    </w:p>
  </w:footnote>
  <w:footnote w:id="18783">
    <w:p>
      <w:pPr>
        <w:pStyle w:val="FootnoteText"/>
      </w:pPr>
      <w:r>
        <w:rPr>
          <w:rStyle w:val="FootnoteReference"/>
        </w:rPr>
        <w:footnoteRef/>
      </w:r>
      <w:r>
        <w:t xml:space="preserve"> Cross-references for "Archippus": Col 4:17.</w:t>
      </w:r>
    </w:p>
  </w:footnote>
  <w:footnote w:id="18784">
    <w:p>
      <w:pPr>
        <w:pStyle w:val="FootnoteText"/>
      </w:pPr>
      <w:r>
        <w:rPr>
          <w:rStyle w:val="FootnoteReference"/>
        </w:rPr>
        <w:footnoteRef/>
      </w:r>
      <w:r>
        <w:t xml:space="preserve"> Cross-references for "Hearing": Gal 5:6; Eph 1:15.</w:t>
      </w:r>
    </w:p>
  </w:footnote>
  <w:footnote w:id="18785">
    <w:p>
      <w:pPr>
        <w:pStyle w:val="FootnoteText"/>
      </w:pPr>
      <w:r>
        <w:rPr>
          <w:rStyle w:val="FootnoteReference"/>
        </w:rPr>
        <w:footnoteRef/>
      </w:r>
      <w:r>
        <w:t xml:space="preserve"> Cross-references for "in you": 2Pet 1:8.</w:t>
      </w:r>
    </w:p>
  </w:footnote>
  <w:footnote w:id="18786">
    <w:p>
      <w:pPr>
        <w:pStyle w:val="FootnoteText"/>
      </w:pPr>
      <w:r>
        <w:rPr>
          <w:rStyle w:val="FootnoteReference"/>
        </w:rPr>
        <w:footnoteRef/>
      </w:r>
      <w:r>
        <w:t xml:space="preserve"> Cross-references for "great joy": 1Thess 1:3; 1Thess 2:13.</w:t>
      </w:r>
    </w:p>
  </w:footnote>
  <w:footnote w:id="18787">
    <w:p>
      <w:pPr>
        <w:pStyle w:val="FootnoteText"/>
      </w:pPr>
      <w:r>
        <w:rPr>
          <w:rStyle w:val="FootnoteReference"/>
        </w:rPr>
        <w:footnoteRef/>
      </w:r>
      <w:r>
        <w:t xml:space="preserve"> Cross-references for "bold": 2Cor 3:12; 2Cor 10:1-2.</w:t>
      </w:r>
    </w:p>
  </w:footnote>
  <w:footnote w:id="18788">
    <w:p>
      <w:pPr>
        <w:pStyle w:val="FootnoteText"/>
      </w:pPr>
      <w:r>
        <w:rPr>
          <w:rStyle w:val="FootnoteReference"/>
        </w:rPr>
        <w:footnoteRef/>
      </w:r>
      <w:r>
        <w:t xml:space="preserve"> Cross-references for "love's sake": Rom 12:1; 2Cor 5:20.</w:t>
      </w:r>
    </w:p>
  </w:footnote>
  <w:footnote w:id="18789">
    <w:p>
      <w:pPr>
        <w:pStyle w:val="FootnoteText"/>
      </w:pPr>
      <w:r>
        <w:rPr>
          <w:rStyle w:val="FootnoteReference"/>
        </w:rPr>
        <w:footnoteRef/>
      </w:r>
      <w:r>
        <w:t xml:space="preserve"> Cross-references for "Onesimus": Col 4:9.</w:t>
      </w:r>
    </w:p>
  </w:footnote>
  <w:footnote w:id="18790">
    <w:p>
      <w:pPr>
        <w:pStyle w:val="FootnoteText"/>
      </w:pPr>
      <w:r>
        <w:rPr>
          <w:rStyle w:val="FootnoteReference"/>
        </w:rPr>
        <w:footnoteRef/>
      </w:r>
      <w:r>
        <w:t xml:space="preserve"> Cross-references for "the bonds": Eph 3:1; Eph 4:1.</w:t>
      </w:r>
    </w:p>
  </w:footnote>
  <w:footnote w:id="18791">
    <w:p>
      <w:pPr>
        <w:pStyle w:val="FootnoteText"/>
      </w:pPr>
      <w:r>
        <w:rPr>
          <w:rStyle w:val="FootnoteReference"/>
        </w:rPr>
        <w:footnoteRef/>
      </w:r>
      <w:r>
        <w:t xml:space="preserve"> Cross-references for "a brother": Matt 23:8; Acts 9:17.</w:t>
      </w:r>
    </w:p>
  </w:footnote>
  <w:footnote w:id="18792">
    <w:p>
      <w:pPr>
        <w:pStyle w:val="FootnoteText"/>
      </w:pPr>
      <w:r>
        <w:rPr>
          <w:rStyle w:val="FootnoteReference"/>
        </w:rPr>
        <w:footnoteRef/>
      </w:r>
      <w:r>
        <w:t xml:space="preserve"> Cross-references for "receive": Matt 10:40; Matt 12:48-50.</w:t>
      </w:r>
    </w:p>
  </w:footnote>
  <w:footnote w:id="18793">
    <w:p>
      <w:pPr>
        <w:pStyle w:val="FootnoteText"/>
      </w:pPr>
      <w:r>
        <w:rPr>
          <w:rStyle w:val="FootnoteReference"/>
        </w:rPr>
        <w:footnoteRef/>
      </w:r>
      <w:r>
        <w:t xml:space="preserve"> Cross-references for "put that": Isa 53:4-7.</w:t>
      </w:r>
    </w:p>
  </w:footnote>
  <w:footnote w:id="18794">
    <w:p>
      <w:pPr>
        <w:pStyle w:val="FootnoteText"/>
      </w:pPr>
      <w:r>
        <w:rPr>
          <w:rStyle w:val="FootnoteReference"/>
        </w:rPr>
        <w:footnoteRef/>
      </w:r>
      <w:r>
        <w:t xml:space="preserve"> Cross-references for "I Paul": 1Cor 16:21-22; Gal 5:2.</w:t>
      </w:r>
    </w:p>
  </w:footnote>
  <w:footnote w:id="18795">
    <w:p>
      <w:pPr>
        <w:pStyle w:val="FootnoteText"/>
      </w:pPr>
      <w:r>
        <w:rPr>
          <w:rStyle w:val="FootnoteReference"/>
        </w:rPr>
        <w:footnoteRef/>
      </w:r>
      <w:r>
        <w:t xml:space="preserve"> Cross-references for "let me": 2Cor 2:2; 2Cor 7:4-7.</w:t>
      </w:r>
    </w:p>
  </w:footnote>
  <w:footnote w:id="18796">
    <w:p>
      <w:pPr>
        <w:pStyle w:val="FootnoteText"/>
      </w:pPr>
      <w:r>
        <w:rPr>
          <w:rStyle w:val="FootnoteReference"/>
        </w:rPr>
        <w:footnoteRef/>
      </w:r>
      <w:r>
        <w:t xml:space="preserve"> Cross-references for "prepare": Acts 28:23.</w:t>
      </w:r>
    </w:p>
  </w:footnote>
  <w:footnote w:id="18797">
    <w:p>
      <w:pPr>
        <w:pStyle w:val="FootnoteText"/>
      </w:pPr>
      <w:r>
        <w:rPr>
          <w:rStyle w:val="FootnoteReference"/>
        </w:rPr>
        <w:footnoteRef/>
      </w:r>
      <w:r>
        <w:t xml:space="preserve"> Cross-references for "Epaphras": Col 1:7; Col 4:12.</w:t>
      </w:r>
    </w:p>
  </w:footnote>
  <w:footnote w:id="18798">
    <w:p>
      <w:pPr>
        <w:pStyle w:val="FootnoteText"/>
      </w:pPr>
      <w:r>
        <w:rPr>
          <w:rStyle w:val="FootnoteReference"/>
        </w:rPr>
        <w:footnoteRef/>
      </w:r>
      <w:r>
        <w:t xml:space="preserve"> Cross-references for "Aristarchus": Acts 19:29; Acts 27:2.</w:t>
      </w:r>
    </w:p>
  </w:footnote>
  <w:footnote w:id="18799">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8800">
    <w:p>
      <w:pPr>
        <w:pStyle w:val="FootnoteText"/>
      </w:pPr>
      <w:r>
        <w:rPr>
          <w:rStyle w:val="FootnoteReference"/>
        </w:rPr>
        <w:footnoteRef/>
      </w:r>
      <w:r>
        <w:t xml:space="preserve"> Cross-references for "grace": Rom 16:20; Rom 16:24.</w:t>
      </w:r>
    </w:p>
  </w:footnote>
  <w:footnote w:id="18801">
    <w:p>
      <w:pPr>
        <w:pStyle w:val="FootnoteText"/>
      </w:pPr>
      <w:r>
        <w:rPr>
          <w:rStyle w:val="FootnoteReference"/>
        </w:rPr>
        <w:footnoteRef/>
      </w:r>
      <w:r>
        <w:t xml:space="preserve"> Cross-references for "the fathers": Luke 1:55; Luke 1:72.</w:t>
      </w:r>
    </w:p>
  </w:footnote>
  <w:footnote w:id="18802">
    <w:p>
      <w:pPr>
        <w:pStyle w:val="FootnoteText"/>
      </w:pPr>
      <w:r>
        <w:rPr>
          <w:rStyle w:val="FootnoteReference"/>
        </w:rPr>
        <w:footnoteRef/>
      </w:r>
      <w:r>
        <w:t xml:space="preserve"> Cross-references for "spoken": Matt 3:17; Matt 17:5.</w:t>
      </w:r>
    </w:p>
  </w:footnote>
  <w:footnote w:id="18803">
    <w:p>
      <w:pPr>
        <w:pStyle w:val="FootnoteText"/>
      </w:pPr>
      <w:r>
        <w:rPr>
          <w:rStyle w:val="FootnoteReference"/>
        </w:rPr>
        <w:footnoteRef/>
      </w:r>
      <w:r>
        <w:t xml:space="preserve"> Cross-references for "the brightness": John 1:14; John 14:9-10.</w:t>
      </w:r>
    </w:p>
  </w:footnote>
  <w:footnote w:id="1880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805">
    <w:p>
      <w:pPr>
        <w:pStyle w:val="FootnoteText"/>
      </w:pPr>
      <w:r>
        <w:rPr>
          <w:rStyle w:val="FootnoteReference"/>
        </w:rPr>
        <w:footnoteRef/>
      </w:r>
      <w:r>
        <w:t xml:space="preserve"> Cross-references for "And again": Prov 8:24-25; John 1:14.</w:t>
      </w:r>
    </w:p>
  </w:footnote>
  <w:footnote w:id="18806">
    <w:p>
      <w:pPr>
        <w:pStyle w:val="FootnoteText"/>
      </w:pPr>
      <w:r>
        <w:rPr>
          <w:rStyle w:val="FootnoteReference"/>
        </w:rPr>
        <w:footnoteRef/>
      </w:r>
      <w:r>
        <w:t xml:space="preserve"> Cross-references for "O God": Isa 7:14; Isa 9:6-7.</w:t>
      </w:r>
    </w:p>
  </w:footnote>
  <w:footnote w:id="18807">
    <w:p>
      <w:pPr>
        <w:pStyle w:val="FootnoteText"/>
      </w:pPr>
      <w:r>
        <w:rPr>
          <w:rStyle w:val="FootnoteReference"/>
        </w:rPr>
        <w:footnoteRef/>
      </w:r>
      <w:r>
        <w:t xml:space="preserve"> Cross-references for "loved": Ps 11:5; Ps 33:5.</w:t>
      </w:r>
    </w:p>
  </w:footnote>
  <w:footnote w:id="18808">
    <w:p>
      <w:pPr>
        <w:pStyle w:val="FootnoteText"/>
      </w:pPr>
      <w:r>
        <w:rPr>
          <w:rStyle w:val="FootnoteReference"/>
        </w:rPr>
        <w:footnoteRef/>
      </w:r>
      <w:r>
        <w:t xml:space="preserve"> Cross-references for "the works": Deut 4:19; Ps 8:3-4.</w:t>
      </w:r>
    </w:p>
  </w:footnote>
  <w:footnote w:id="18809">
    <w:p>
      <w:pPr>
        <w:pStyle w:val="FootnoteText"/>
      </w:pPr>
      <w:r>
        <w:rPr>
          <w:rStyle w:val="FootnoteReference"/>
        </w:rPr>
        <w:footnoteRef/>
      </w:r>
      <w:r>
        <w:t xml:space="preserve"> Cross-references for "shall perish": Isa 34:4; Isa 65:17.</w:t>
      </w:r>
    </w:p>
  </w:footnote>
  <w:footnote w:id="18810">
    <w:p>
      <w:pPr>
        <w:pStyle w:val="FootnoteText"/>
      </w:pPr>
      <w:r>
        <w:rPr>
          <w:rStyle w:val="FootnoteReference"/>
        </w:rPr>
        <w:footnoteRef/>
      </w:r>
      <w:r>
        <w:t xml:space="preserve"> Cross-references for "ministering": 1Kgs 22:19; Job 1:6.</w:t>
      </w:r>
    </w:p>
  </w:footnote>
  <w:footnote w:id="18811">
    <w:p>
      <w:pPr>
        <w:pStyle w:val="FootnoteText"/>
      </w:pPr>
      <w:r>
        <w:rPr>
          <w:rStyle w:val="FootnoteReference"/>
        </w:rPr>
        <w:footnoteRef/>
      </w:r>
      <w:r>
        <w:t xml:space="preserve"> Cross-references for "Therefore": Heb 1:1-2; Heb 2:2-4.</w:t>
      </w:r>
    </w:p>
  </w:footnote>
  <w:footnote w:id="18812">
    <w:p>
      <w:pPr>
        <w:pStyle w:val="FootnoteText"/>
      </w:pPr>
      <w:r>
        <w:rPr>
          <w:rStyle w:val="FootnoteReference"/>
        </w:rPr>
        <w:footnoteRef/>
      </w:r>
      <w:r>
        <w:t xml:space="preserve"> Cross-references for "spoken": Deut 32:2; Ps 68:17.</w:t>
      </w:r>
    </w:p>
  </w:footnote>
  <w:footnote w:id="18813">
    <w:p>
      <w:pPr>
        <w:pStyle w:val="FootnoteText"/>
      </w:pPr>
      <w:r>
        <w:rPr>
          <w:rStyle w:val="FootnoteReference"/>
        </w:rPr>
        <w:footnoteRef/>
      </w:r>
      <w:r>
        <w:t xml:space="preserve"> Cross-references for "began": Matt 4:17; Mark 1:14.</w:t>
      </w:r>
    </w:p>
  </w:footnote>
  <w:footnote w:id="18814">
    <w:p>
      <w:pPr>
        <w:pStyle w:val="FootnoteText"/>
      </w:pPr>
      <w:r>
        <w:rPr>
          <w:rStyle w:val="FootnoteReference"/>
        </w:rPr>
        <w:footnoteRef/>
      </w:r>
      <w:r>
        <w:t xml:space="preserve"> Cross-references for "gifts": 1Cor 12:4-11; Eph 4:8-11.</w:t>
      </w:r>
    </w:p>
  </w:footnote>
  <w:footnote w:id="18815">
    <w:p>
      <w:pPr>
        <w:pStyle w:val="FootnoteText"/>
      </w:pPr>
      <w:r>
        <w:rPr>
          <w:rStyle w:val="FootnoteReference"/>
        </w:rPr>
        <w:footnoteRef/>
      </w:r>
      <w:r>
        <w:t xml:space="preserve"> Cross-references for "the world": Heb 6:5; 2Pet 3:13.</w:t>
      </w:r>
    </w:p>
  </w:footnote>
  <w:footnote w:id="18816">
    <w:p>
      <w:pPr>
        <w:pStyle w:val="FootnoteText"/>
      </w:pPr>
      <w:r>
        <w:rPr>
          <w:rStyle w:val="FootnoteReference"/>
        </w:rPr>
        <w:footnoteRef/>
      </w:r>
      <w:r>
        <w:t xml:space="preserve"> Cross-references for "the son": Job 25:6; Ps 146:3-4.</w:t>
      </w:r>
    </w:p>
  </w:footnote>
  <w:footnote w:id="18817">
    <w:p>
      <w:pPr>
        <w:pStyle w:val="FootnoteText"/>
      </w:pPr>
      <w:r>
        <w:rPr>
          <w:rStyle w:val="FootnoteReference"/>
        </w:rPr>
        <w:footnoteRef/>
      </w:r>
      <w:r>
        <w:t xml:space="preserve"> Cross-references for "Jesus": Gen 3:15; Isa 7:14.</w:t>
      </w:r>
    </w:p>
  </w:footnote>
  <w:footnote w:id="18818">
    <w:p>
      <w:pPr>
        <w:pStyle w:val="FootnoteText"/>
      </w:pPr>
      <w:r>
        <w:rPr>
          <w:rStyle w:val="FootnoteReference"/>
        </w:rPr>
        <w:footnoteRef/>
      </w:r>
      <w:r>
        <w:t xml:space="preserve"> Cross-references for "glory": Rom 9:23; 1Cor 2:7.</w:t>
      </w:r>
    </w:p>
  </w:footnote>
  <w:footnote w:id="18819">
    <w:p>
      <w:pPr>
        <w:pStyle w:val="FootnoteText"/>
      </w:pPr>
      <w:r>
        <w:rPr>
          <w:rStyle w:val="FootnoteReference"/>
        </w:rPr>
        <w:footnoteRef/>
      </w:r>
      <w:r>
        <w:t xml:space="preserve"> Cross-references for "to call": Matt 12:48-50; Matt 25:40.</w:t>
      </w:r>
    </w:p>
  </w:footnote>
  <w:footnote w:id="18820">
    <w:p>
      <w:pPr>
        <w:pStyle w:val="FootnoteText"/>
      </w:pPr>
      <w:r>
        <w:rPr>
          <w:rStyle w:val="FootnoteReference"/>
        </w:rPr>
        <w:footnoteRef/>
      </w:r>
      <w:r>
        <w:t xml:space="preserve"> Cross-references for "the children": Heb 2:10.</w:t>
      </w:r>
    </w:p>
  </w:footnote>
  <w:footnote w:id="18821">
    <w:p>
      <w:pPr>
        <w:pStyle w:val="FootnoteText"/>
      </w:pPr>
      <w:r>
        <w:rPr>
          <w:rStyle w:val="FootnoteReference"/>
        </w:rPr>
        <w:footnoteRef/>
      </w:r>
      <w:r>
        <w:t xml:space="preserve"> Cross-references for "deliver": Job 33:21-28; Ps 33:19.</w:t>
      </w:r>
    </w:p>
  </w:footnote>
  <w:footnote w:id="18822">
    <w:p>
      <w:pPr>
        <w:pStyle w:val="FootnoteText"/>
      </w:pPr>
      <w:r>
        <w:rPr>
          <w:rStyle w:val="FootnoteReference"/>
        </w:rPr>
        <w:footnoteRef/>
      </w:r>
      <w:r>
        <w:t xml:space="preserve"> Cross-references for "the seed": Gen 22:18; Matt 1:1-17.</w:t>
      </w:r>
    </w:p>
  </w:footnote>
  <w:footnote w:id="18823">
    <w:p>
      <w:pPr>
        <w:pStyle w:val="FootnoteText"/>
      </w:pPr>
      <w:r>
        <w:rPr>
          <w:rStyle w:val="FootnoteReference"/>
        </w:rPr>
        <w:footnoteRef/>
      </w:r>
      <w:r>
        <w:t xml:space="preserve"> Cross-references for "a merciful": Isa 11:5; Heb 3:2.</w:t>
      </w:r>
    </w:p>
  </w:footnote>
  <w:footnote w:id="18824">
    <w:p>
      <w:pPr>
        <w:pStyle w:val="FootnoteText"/>
      </w:pPr>
      <w:r>
        <w:rPr>
          <w:rStyle w:val="FootnoteReference"/>
        </w:rPr>
        <w:footnoteRef/>
      </w:r>
      <w:r>
        <w:t xml:space="preserve"> Cross-references for "suffered": Matt 4:1-10; Matt 26:37-39.</w:t>
      </w:r>
    </w:p>
  </w:footnote>
  <w:footnote w:id="18825">
    <w:p>
      <w:pPr>
        <w:pStyle w:val="FootnoteText"/>
      </w:pPr>
      <w:r>
        <w:rPr>
          <w:rStyle w:val="FootnoteReference"/>
        </w:rPr>
        <w:footnoteRef/>
      </w:r>
      <w:r>
        <w:t xml:space="preserve"> Cross-references for "holy": Col 1:22; Col 3:12.</w:t>
      </w:r>
    </w:p>
  </w:footnote>
  <w:footnote w:id="18826">
    <w:p>
      <w:pPr>
        <w:pStyle w:val="FootnoteText"/>
      </w:pPr>
      <w:r>
        <w:rPr>
          <w:rStyle w:val="FootnoteReference"/>
        </w:rPr>
        <w:footnoteRef/>
      </w:r>
      <w:r>
        <w:t xml:space="preserve"> Cross-references for "faithful": John 6:38-40; John 7:18.</w:t>
      </w:r>
    </w:p>
  </w:footnote>
  <w:footnote w:id="18827">
    <w:p>
      <w:pPr>
        <w:pStyle w:val="FootnoteText"/>
      </w:pPr>
      <w:r>
        <w:rPr>
          <w:rStyle w:val="FootnoteReference"/>
        </w:rPr>
        <w:footnoteRef/>
      </w:r>
      <w:r>
        <w:t xml:space="preserve"> Cross-references for "faithful": Num 12:7; Matt 24:45.</w:t>
      </w:r>
    </w:p>
  </w:footnote>
  <w:footnote w:id="18828">
    <w:p>
      <w:pPr>
        <w:pStyle w:val="FootnoteText"/>
      </w:pPr>
      <w:r>
        <w:rPr>
          <w:rStyle w:val="FootnoteReference"/>
        </w:rPr>
        <w:footnoteRef/>
      </w:r>
      <w:r>
        <w:t xml:space="preserve"> Cross-references for "rejoicing": Rom 5:2; Rom 12:12.</w:t>
      </w:r>
    </w:p>
  </w:footnote>
  <w:footnote w:id="18829">
    <w:p>
      <w:pPr>
        <w:pStyle w:val="FootnoteText"/>
      </w:pPr>
      <w:r>
        <w:rPr>
          <w:rStyle w:val="FootnoteReference"/>
        </w:rPr>
        <w:footnoteRef/>
      </w:r>
      <w:r>
        <w:t xml:space="preserve"> Cross-references for "hear": Ps 81:11; Ps 81:13.</w:t>
      </w:r>
    </w:p>
  </w:footnote>
  <w:footnote w:id="18830">
    <w:p>
      <w:pPr>
        <w:pStyle w:val="FootnoteText"/>
      </w:pPr>
      <w:r>
        <w:rPr>
          <w:rStyle w:val="FootnoteReference"/>
        </w:rPr>
        <w:footnoteRef/>
      </w:r>
      <w:r>
        <w:t xml:space="preserve"> Cross-references for "harden": Exod 8:15; 1Sam 6:6.</w:t>
      </w:r>
    </w:p>
  </w:footnote>
  <w:footnote w:id="18831">
    <w:p>
      <w:pPr>
        <w:pStyle w:val="FootnoteText"/>
      </w:pPr>
      <w:r>
        <w:rPr>
          <w:rStyle w:val="FootnoteReference"/>
        </w:rPr>
        <w:footnoteRef/>
      </w:r>
      <w:r>
        <w:t xml:space="preserve"> Cross-references for "forty": Num 14:33; Deut 8:2.</w:t>
      </w:r>
    </w:p>
  </w:footnote>
  <w:footnote w:id="18832">
    <w:p>
      <w:pPr>
        <w:pStyle w:val="FootnoteText"/>
      </w:pPr>
      <w:r>
        <w:rPr>
          <w:rStyle w:val="FootnoteReference"/>
        </w:rPr>
        <w:footnoteRef/>
      </w:r>
      <w:r>
        <w:t xml:space="preserve"> Cross-references for "I was": Gen 6:6; Judg 10:16.</w:t>
      </w:r>
    </w:p>
  </w:footnote>
  <w:footnote w:id="18833">
    <w:p>
      <w:pPr>
        <w:pStyle w:val="FootnoteText"/>
      </w:pPr>
      <w:r>
        <w:rPr>
          <w:rStyle w:val="FootnoteReference"/>
        </w:rPr>
        <w:footnoteRef/>
      </w:r>
      <w:r>
        <w:t xml:space="preserve"> Cross-references for "my rest": Heb 4:9.</w:t>
      </w:r>
    </w:p>
  </w:footnote>
  <w:footnote w:id="18834">
    <w:p>
      <w:pPr>
        <w:pStyle w:val="FootnoteText"/>
      </w:pPr>
      <w:r>
        <w:rPr>
          <w:rStyle w:val="FootnoteReference"/>
        </w:rPr>
        <w:footnoteRef/>
      </w:r>
      <w:r>
        <w:t xml:space="preserve"> Cross-references for "Take": Matt 24:4; Mark 13:9.</w:t>
      </w:r>
    </w:p>
  </w:footnote>
  <w:footnote w:id="18835">
    <w:p>
      <w:pPr>
        <w:pStyle w:val="FootnoteText"/>
      </w:pPr>
      <w:r>
        <w:rPr>
          <w:rStyle w:val="FootnoteReference"/>
        </w:rPr>
        <w:footnoteRef/>
      </w:r>
      <w:r>
        <w:t xml:space="preserve"> Cross-references for "exhort": Acts 11:23; 1Thess 2:11.</w:t>
      </w:r>
    </w:p>
  </w:footnote>
  <w:footnote w:id="18836">
    <w:p>
      <w:pPr>
        <w:pStyle w:val="FootnoteText"/>
      </w:pPr>
      <w:r>
        <w:rPr>
          <w:rStyle w:val="FootnoteReference"/>
        </w:rPr>
        <w:footnoteRef/>
      </w:r>
      <w:r>
        <w:t xml:space="preserve"> Cross-references for "we are": Rom 11:17; 1Cor 1:30.</w:t>
      </w:r>
    </w:p>
  </w:footnote>
  <w:footnote w:id="18837">
    <w:p>
      <w:pPr>
        <w:pStyle w:val="FootnoteText"/>
      </w:pPr>
      <w:r>
        <w:rPr>
          <w:rStyle w:val="FootnoteReference"/>
        </w:rPr>
        <w:footnoteRef/>
      </w:r>
      <w:r>
        <w:t xml:space="preserve"> Cross-references for "was it": Num 26:64-65; 1Cor 10:1-13.</w:t>
      </w:r>
    </w:p>
  </w:footnote>
  <w:footnote w:id="18838">
    <w:p>
      <w:pPr>
        <w:pStyle w:val="FootnoteText"/>
      </w:pPr>
      <w:r>
        <w:rPr>
          <w:rStyle w:val="FootnoteReference"/>
        </w:rPr>
        <w:footnoteRef/>
      </w:r>
      <w:r>
        <w:t xml:space="preserve"> Cross-references for "to whom": Num 14:30; Deut 1:34-35.</w:t>
      </w:r>
    </w:p>
  </w:footnote>
  <w:footnote w:id="18839">
    <w:p>
      <w:pPr>
        <w:pStyle w:val="FootnoteText"/>
      </w:pPr>
      <w:r>
        <w:rPr>
          <w:rStyle w:val="FootnoteReference"/>
        </w:rPr>
        <w:footnoteRef/>
      </w:r>
      <w:r>
        <w:t xml:space="preserve"> Cross-references for "us therefore": Prov 14:16; Prov 28:14.</w:t>
      </w:r>
    </w:p>
  </w:footnote>
  <w:footnote w:id="18840">
    <w:p>
      <w:pPr>
        <w:pStyle w:val="FootnoteText"/>
      </w:pPr>
      <w:r>
        <w:rPr>
          <w:rStyle w:val="FootnoteReference"/>
        </w:rPr>
        <w:footnoteRef/>
      </w:r>
      <w:r>
        <w:t xml:space="preserve"> Cross-references for "preached": Rom 10:16-17.</w:t>
      </w:r>
    </w:p>
  </w:footnote>
  <w:footnote w:id="18841">
    <w:p>
      <w:pPr>
        <w:pStyle w:val="FootnoteText"/>
      </w:pPr>
      <w:r>
        <w:rPr>
          <w:rStyle w:val="FootnoteReference"/>
        </w:rPr>
        <w:footnoteRef/>
      </w:r>
      <w:r>
        <w:t xml:space="preserve"> Cross-references for "the works": Gen 1:31; Exod 20:11.</w:t>
      </w:r>
    </w:p>
  </w:footnote>
  <w:footnote w:id="18842">
    <w:p>
      <w:pPr>
        <w:pStyle w:val="FootnoteText"/>
      </w:pPr>
      <w:r>
        <w:rPr>
          <w:rStyle w:val="FootnoteReference"/>
        </w:rPr>
        <w:footnoteRef/>
      </w:r>
      <w:r>
        <w:t xml:space="preserve"> Cross-references for "entered": Heb 3:18-19.</w:t>
      </w:r>
    </w:p>
  </w:footnote>
  <w:footnote w:id="18843">
    <w:p>
      <w:pPr>
        <w:pStyle w:val="FootnoteText"/>
      </w:pPr>
      <w:r>
        <w:rPr>
          <w:rStyle w:val="FootnoteReference"/>
        </w:rPr>
        <w:footnoteRef/>
      </w:r>
      <w:r>
        <w:t xml:space="preserve"> Cross-references for "saying": 2Sam 23:1-2; Matt 22:43.</w:t>
      </w:r>
    </w:p>
  </w:footnote>
  <w:footnote w:id="18844">
    <w:p>
      <w:pPr>
        <w:pStyle w:val="FootnoteText"/>
      </w:pPr>
      <w:r>
        <w:rPr>
          <w:rStyle w:val="FootnoteReference"/>
        </w:rPr>
        <w:footnoteRef/>
      </w:r>
      <w:r>
        <w:t xml:space="preserve"> Personal name: Joshua. Personal-name meaning: Joshua — Yahweh saves. Source form: Joshua.</w:t>
      </w:r>
    </w:p>
  </w:footnote>
  <w:footnote w:id="18845">
    <w:p>
      <w:pPr>
        <w:pStyle w:val="FootnoteText"/>
      </w:pPr>
      <w:r>
        <w:rPr>
          <w:rStyle w:val="FootnoteReference"/>
        </w:rPr>
        <w:footnoteRef/>
      </w:r>
      <w:r>
        <w:t xml:space="preserve"> Cross-references for "people": Heb 11:25.</w:t>
      </w:r>
    </w:p>
  </w:footnote>
  <w:footnote w:id="18846">
    <w:p>
      <w:pPr>
        <w:pStyle w:val="FootnoteText"/>
      </w:pPr>
      <w:r>
        <w:rPr>
          <w:rStyle w:val="FootnoteReference"/>
        </w:rPr>
        <w:footnoteRef/>
      </w:r>
      <w:r>
        <w:t xml:space="preserve"> Cross-references for "unbelief": Acts 26:19; Rom 11:30-32.</w:t>
      </w:r>
    </w:p>
  </w:footnote>
  <w:footnote w:id="18847">
    <w:p>
      <w:pPr>
        <w:pStyle w:val="FootnoteText"/>
      </w:pPr>
      <w:r>
        <w:rPr>
          <w:rStyle w:val="FootnoteReference"/>
        </w:rPr>
        <w:footnoteRef/>
      </w:r>
      <w:r>
        <w:t xml:space="preserve"> Cross-references for "the word": Isa 49:2; Luke 8:11.</w:t>
      </w:r>
    </w:p>
  </w:footnote>
  <w:footnote w:id="18848">
    <w:p>
      <w:pPr>
        <w:pStyle w:val="FootnoteText"/>
      </w:pPr>
      <w:r>
        <w:rPr>
          <w:rStyle w:val="FootnoteReference"/>
        </w:rPr>
        <w:footnoteRef/>
      </w:r>
      <w:r>
        <w:t xml:space="preserve"> Cross-references for "is there": 1Sam 16:7; 1Chr 28:9.</w:t>
      </w:r>
    </w:p>
  </w:footnote>
  <w:footnote w:id="18849">
    <w:p>
      <w:pPr>
        <w:pStyle w:val="FootnoteText"/>
      </w:pPr>
      <w:r>
        <w:rPr>
          <w:rStyle w:val="FootnoteReference"/>
        </w:rPr>
        <w:footnoteRef/>
      </w:r>
      <w:r>
        <w:t xml:space="preserve"> Cross-references for "a great": Heb 2:17; Heb 3:1.</w:t>
      </w:r>
    </w:p>
  </w:footnote>
  <w:footnote w:id="18850">
    <w:p>
      <w:pPr>
        <w:pStyle w:val="FootnoteText"/>
      </w:pPr>
      <w:r>
        <w:rPr>
          <w:rStyle w:val="FootnoteReference"/>
        </w:rPr>
        <w:footnoteRef/>
      </w:r>
      <w:r>
        <w:t xml:space="preserve"> Cross-references for "tempted": Luke 4:2; Luke 22:28.</w:t>
      </w:r>
    </w:p>
  </w:footnote>
  <w:footnote w:id="18851">
    <w:p>
      <w:pPr>
        <w:pStyle w:val="FootnoteText"/>
      </w:pPr>
      <w:r>
        <w:rPr>
          <w:rStyle w:val="FootnoteReference"/>
        </w:rPr>
        <w:footnoteRef/>
      </w:r>
      <w:r>
        <w:t xml:space="preserve"> Cross-references for "the throne": Exod 25:17-22; Lev 16:2.</w:t>
      </w:r>
    </w:p>
  </w:footnote>
  <w:footnote w:id="18852">
    <w:p>
      <w:pPr>
        <w:pStyle w:val="FootnoteText"/>
      </w:pPr>
      <w:r>
        <w:rPr>
          <w:rStyle w:val="FootnoteReference"/>
        </w:rPr>
        <w:footnoteRef/>
      </w:r>
      <w:r>
        <w:t xml:space="preserve"> Cross-references for "both": Lev 9:7; Lev 9:15-21.</w:t>
      </w:r>
    </w:p>
  </w:footnote>
  <w:footnote w:id="18853">
    <w:p>
      <w:pPr>
        <w:pStyle w:val="FootnoteText"/>
      </w:pPr>
      <w:r>
        <w:rPr>
          <w:rStyle w:val="FootnoteReference"/>
        </w:rPr>
        <w:footnoteRef/>
      </w:r>
      <w:r>
        <w:t xml:space="preserve"> Cross-references for "ignorant": Num 15:22-29; 1Tim 1:13.</w:t>
      </w:r>
    </w:p>
  </w:footnote>
  <w:footnote w:id="18854">
    <w:p>
      <w:pPr>
        <w:pStyle w:val="FootnoteText"/>
      </w:pPr>
      <w:r>
        <w:rPr>
          <w:rStyle w:val="FootnoteReference"/>
        </w:rPr>
        <w:footnoteRef/>
      </w:r>
      <w:r>
        <w:t xml:space="preserve"> Cross-references for "Christ": John 7:18; John 8:54.</w:t>
      </w:r>
    </w:p>
  </w:footnote>
  <w:footnote w:id="18855">
    <w:p>
      <w:pPr>
        <w:pStyle w:val="FootnoteText"/>
      </w:pPr>
      <w:r>
        <w:rPr>
          <w:rStyle w:val="FootnoteReference"/>
        </w:rPr>
        <w:footnoteRef/>
      </w:r>
      <w:r>
        <w:t xml:space="preserve"> Cross-references for "Melchisedec": Gen 14:18-19.</w:t>
      </w:r>
    </w:p>
  </w:footnote>
  <w:footnote w:id="18856">
    <w:p>
      <w:pPr>
        <w:pStyle w:val="FootnoteText"/>
      </w:pPr>
      <w:r>
        <w:rPr>
          <w:rStyle w:val="FootnoteReference"/>
        </w:rPr>
        <w:footnoteRef/>
      </w:r>
      <w:r>
        <w:t xml:space="preserve"> Cross-references for "tears": Isa 53:3; Isa 53:11.</w:t>
      </w:r>
    </w:p>
  </w:footnote>
  <w:footnote w:id="18857">
    <w:p>
      <w:pPr>
        <w:pStyle w:val="FootnoteText"/>
      </w:pPr>
      <w:r>
        <w:rPr>
          <w:rStyle w:val="FootnoteReference"/>
        </w:rPr>
        <w:footnoteRef/>
      </w:r>
      <w:r>
        <w:t xml:space="preserve"> Cross-references for "he became": Ps 68:18-20; Isa 45:22.</w:t>
      </w:r>
    </w:p>
  </w:footnote>
  <w:footnote w:id="18858">
    <w:p>
      <w:pPr>
        <w:pStyle w:val="FootnoteText"/>
      </w:pPr>
      <w:r>
        <w:rPr>
          <w:rStyle w:val="FootnoteReference"/>
        </w:rPr>
        <w:footnoteRef/>
      </w:r>
      <w:r>
        <w:t xml:space="preserve"> Cross-references for "dull": Isa 6:10; Matt 13:15.</w:t>
      </w:r>
    </w:p>
  </w:footnote>
  <w:footnote w:id="18859">
    <w:p>
      <w:pPr>
        <w:pStyle w:val="FootnoteText"/>
      </w:pPr>
      <w:r>
        <w:rPr>
          <w:rStyle w:val="FootnoteReference"/>
        </w:rPr>
        <w:footnoteRef/>
      </w:r>
      <w:r>
        <w:t xml:space="preserve"> Cross-references for "teachers": Ezra 7:10; Ps 34:11.</w:t>
      </w:r>
    </w:p>
  </w:footnote>
  <w:footnote w:id="18860">
    <w:p>
      <w:pPr>
        <w:pStyle w:val="FootnoteText"/>
      </w:pPr>
      <w:r>
        <w:rPr>
          <w:rStyle w:val="FootnoteReference"/>
        </w:rPr>
        <w:footnoteRef/>
      </w:r>
      <w:r>
        <w:t xml:space="preserve"> Cross-references for "the word": Ps 119:123; Rom 1:17-18.</w:t>
      </w:r>
    </w:p>
  </w:footnote>
  <w:footnote w:id="18861">
    <w:p>
      <w:pPr>
        <w:pStyle w:val="FootnoteText"/>
      </w:pPr>
      <w:r>
        <w:rPr>
          <w:rStyle w:val="FootnoteReference"/>
        </w:rPr>
        <w:footnoteRef/>
      </w:r>
      <w:r>
        <w:t xml:space="preserve"> Cross-references for "of full age": Matt 5:48; 1Cor 2:6.</w:t>
      </w:r>
    </w:p>
  </w:footnote>
  <w:footnote w:id="18862">
    <w:p>
      <w:pPr>
        <w:pStyle w:val="FootnoteText"/>
      </w:pPr>
      <w:r>
        <w:rPr>
          <w:rStyle w:val="FootnoteReference"/>
        </w:rPr>
        <w:footnoteRef/>
      </w:r>
      <w:r>
        <w:t xml:space="preserve"> Cross-references for "leaving": Heb 5:12-14.</w:t>
      </w:r>
    </w:p>
  </w:footnote>
  <w:footnote w:id="18863">
    <w:p>
      <w:pPr>
        <w:pStyle w:val="FootnoteText"/>
      </w:pPr>
      <w:r>
        <w:rPr>
          <w:rStyle w:val="FootnoteReference"/>
        </w:rPr>
        <w:footnoteRef/>
      </w:r>
      <w:r>
        <w:t xml:space="preserve"> Cross-references for "laying": Acts 6:6; Acts 8:14-18.</w:t>
      </w:r>
    </w:p>
  </w:footnote>
  <w:footnote w:id="18864">
    <w:p>
      <w:pPr>
        <w:pStyle w:val="FootnoteText"/>
      </w:pPr>
      <w:r>
        <w:rPr>
          <w:rStyle w:val="FootnoteReference"/>
        </w:rPr>
        <w:footnoteRef/>
      </w:r>
      <w:r>
        <w:t xml:space="preserve"> Cross-references for "were once": Num 24:3; Num 24:15-16.</w:t>
      </w:r>
    </w:p>
  </w:footnote>
  <w:footnote w:id="18865">
    <w:p>
      <w:pPr>
        <w:pStyle w:val="FootnoteText"/>
      </w:pPr>
      <w:r>
        <w:rPr>
          <w:rStyle w:val="FootnoteReference"/>
        </w:rPr>
        <w:footnoteRef/>
      </w:r>
      <w:r>
        <w:t xml:space="preserve"> Cross-references for "tasted": Matt 13:20-21; Mark 4:16-17.</w:t>
      </w:r>
    </w:p>
  </w:footnote>
  <w:footnote w:id="18866">
    <w:p>
      <w:pPr>
        <w:pStyle w:val="FootnoteText"/>
      </w:pPr>
      <w:r>
        <w:rPr>
          <w:rStyle w:val="FootnoteReference"/>
        </w:rPr>
        <w:footnoteRef/>
      </w:r>
      <w:r>
        <w:t xml:space="preserve"> Cross-references for "to renew": Ps 51:10; Isa 1:28.</w:t>
      </w:r>
    </w:p>
  </w:footnote>
  <w:footnote w:id="18867">
    <w:p>
      <w:pPr>
        <w:pStyle w:val="FootnoteText"/>
      </w:pPr>
      <w:r>
        <w:rPr>
          <w:rStyle w:val="FootnoteReference"/>
        </w:rPr>
        <w:footnoteRef/>
      </w:r>
      <w:r>
        <w:t xml:space="preserve"> Cross-references for "the earth": Deut 28:11-12; Ps 65:9-13.</w:t>
      </w:r>
    </w:p>
  </w:footnote>
  <w:footnote w:id="18868">
    <w:p>
      <w:pPr>
        <w:pStyle w:val="FootnoteText"/>
      </w:pPr>
      <w:r>
        <w:rPr>
          <w:rStyle w:val="FootnoteReference"/>
        </w:rPr>
        <w:footnoteRef/>
      </w:r>
      <w:r>
        <w:t xml:space="preserve"> Cross-references for "beloved": Phil 1:6-7; 1Thess 1:3-4.</w:t>
      </w:r>
    </w:p>
  </w:footnote>
  <w:footnote w:id="18869">
    <w:p>
      <w:pPr>
        <w:pStyle w:val="FootnoteText"/>
      </w:pPr>
      <w:r>
        <w:rPr>
          <w:rStyle w:val="FootnoteReference"/>
        </w:rPr>
        <w:footnoteRef/>
      </w:r>
      <w:r>
        <w:t xml:space="preserve"> Cross-references for "to forget": Neh 5:19; Neh 13:22.</w:t>
      </w:r>
    </w:p>
  </w:footnote>
  <w:footnote w:id="18870">
    <w:p>
      <w:pPr>
        <w:pStyle w:val="FootnoteText"/>
      </w:pPr>
      <w:r>
        <w:rPr>
          <w:rStyle w:val="FootnoteReference"/>
        </w:rPr>
        <w:footnoteRef/>
      </w:r>
      <w:r>
        <w:t xml:space="preserve"> Cross-references for "we desire": Rom 12:8; Rom 12:11.</w:t>
      </w:r>
    </w:p>
  </w:footnote>
  <w:footnote w:id="18871">
    <w:p>
      <w:pPr>
        <w:pStyle w:val="FootnoteText"/>
      </w:pPr>
      <w:r>
        <w:rPr>
          <w:rStyle w:val="FootnoteReference"/>
        </w:rPr>
        <w:footnoteRef/>
      </w:r>
      <w:r>
        <w:t xml:space="preserve"> Cross-references for "faith": Luke 8:15; Rom 2:7.</w:t>
      </w:r>
    </w:p>
  </w:footnote>
  <w:footnote w:id="18872">
    <w:p>
      <w:pPr>
        <w:pStyle w:val="FootnoteText"/>
      </w:pPr>
      <w:r>
        <w:rPr>
          <w:rStyle w:val="FootnoteReference"/>
        </w:rPr>
        <w:footnoteRef/>
      </w:r>
      <w:r>
        <w:t xml:space="preserve"> Cross-references for "multiplying": Gen 17:2; Gen 48:4.</w:t>
      </w:r>
    </w:p>
  </w:footnote>
  <w:footnote w:id="18873">
    <w:p>
      <w:pPr>
        <w:pStyle w:val="FootnoteText"/>
      </w:pPr>
      <w:r>
        <w:rPr>
          <w:rStyle w:val="FootnoteReference"/>
        </w:rPr>
        <w:footnoteRef/>
      </w:r>
      <w:r>
        <w:t xml:space="preserve"> Cross-references for "swear": Gen 14:22; Gen 21:23.</w:t>
      </w:r>
    </w:p>
  </w:footnote>
  <w:footnote w:id="18874">
    <w:p>
      <w:pPr>
        <w:pStyle w:val="FootnoteText"/>
      </w:pPr>
      <w:r>
        <w:rPr>
          <w:rStyle w:val="FootnoteReference"/>
        </w:rPr>
        <w:footnoteRef/>
      </w:r>
      <w:r>
        <w:t xml:space="preserve"> Cross-references for "more": Ps 36:8; Song 5:1.</w:t>
      </w:r>
    </w:p>
  </w:footnote>
  <w:footnote w:id="18875">
    <w:p>
      <w:pPr>
        <w:pStyle w:val="FootnoteText"/>
      </w:pPr>
      <w:r>
        <w:rPr>
          <w:rStyle w:val="FootnoteReference"/>
        </w:rPr>
        <w:footnoteRef/>
      </w:r>
      <w:r>
        <w:t xml:space="preserve"> Cross-references for "impossible": Num 23:19; 1Sam 15:29.</w:t>
      </w:r>
    </w:p>
  </w:footnote>
  <w:footnote w:id="18876">
    <w:p>
      <w:pPr>
        <w:pStyle w:val="FootnoteText"/>
      </w:pPr>
      <w:r>
        <w:rPr>
          <w:rStyle w:val="FootnoteReference"/>
        </w:rPr>
        <w:footnoteRef/>
      </w:r>
      <w:r>
        <w:t xml:space="preserve"> Cross-references for "as an": Acts 27:29; Acts 27:40.</w:t>
      </w:r>
    </w:p>
  </w:footnote>
  <w:footnote w:id="18877">
    <w:p>
      <w:pPr>
        <w:pStyle w:val="FootnoteText"/>
      </w:pPr>
      <w:r>
        <w:rPr>
          <w:rStyle w:val="FootnoteReference"/>
        </w:rPr>
        <w:footnoteRef/>
      </w:r>
      <w:r>
        <w:t xml:space="preserve"> Cross-references for "the forerunner": John 14:2-3; Heb 2:10.</w:t>
      </w:r>
    </w:p>
  </w:footnote>
  <w:footnote w:id="18878">
    <w:p>
      <w:pPr>
        <w:pStyle w:val="FootnoteText"/>
      </w:pPr>
      <w:r>
        <w:rPr>
          <w:rStyle w:val="FootnoteReference"/>
        </w:rPr>
        <w:footnoteRef/>
      </w:r>
      <w:r>
        <w:t xml:space="preserve"> Place name: Salem. Place-name meaning: Salem — complete or perfect peace. Source form: Salem. Greek form: σαλημ.</w:t>
      </w:r>
    </w:p>
  </w:footnote>
  <w:footnote w:id="18879">
    <w:p>
      <w:pPr>
        <w:pStyle w:val="FootnoteText"/>
      </w:pPr>
      <w:r>
        <w:rPr>
          <w:rStyle w:val="FootnoteReference"/>
        </w:rPr>
        <w:footnoteRef/>
      </w:r>
      <w:r>
        <w:t xml:space="preserve"> Cross-references for "Salem": Ps 76:2.</w:t>
      </w:r>
    </w:p>
  </w:footnote>
  <w:footnote w:id="18880">
    <w:p>
      <w:pPr>
        <w:pStyle w:val="FootnoteText"/>
      </w:pPr>
      <w:r>
        <w:rPr>
          <w:rStyle w:val="FootnoteReference"/>
        </w:rPr>
        <w:footnoteRef/>
      </w:r>
      <w:r>
        <w:t xml:space="preserve"> Cross-references for "a tenth": Gen 28:22; Lev 27:32.</w:t>
      </w:r>
    </w:p>
  </w:footnote>
  <w:footnote w:id="18881">
    <w:p>
      <w:pPr>
        <w:pStyle w:val="FootnoteText"/>
      </w:pPr>
      <w:r>
        <w:rPr>
          <w:rStyle w:val="FootnoteReference"/>
        </w:rPr>
        <w:footnoteRef/>
      </w:r>
      <w:r>
        <w:t xml:space="preserve"> Cross-references for "descent": Exod 6:18; Exod 6:20-27.</w:t>
      </w:r>
    </w:p>
  </w:footnote>
  <w:footnote w:id="18882">
    <w:p>
      <w:pPr>
        <w:pStyle w:val="FootnoteText"/>
      </w:pPr>
      <w:r>
        <w:rPr>
          <w:rStyle w:val="FootnoteReference"/>
        </w:rPr>
        <w:footnoteRef/>
      </w:r>
      <w:r>
        <w:t xml:space="preserve"> Cross-references for "the patriarch": Acts 2:29; Acts 7:8-9.</w:t>
      </w:r>
    </w:p>
  </w:footnote>
  <w:footnote w:id="18883">
    <w:p>
      <w:pPr>
        <w:pStyle w:val="FootnoteText"/>
      </w:pPr>
      <w:r>
        <w:rPr>
          <w:rStyle w:val="FootnoteReference"/>
        </w:rPr>
        <w:footnoteRef/>
      </w:r>
      <w:r>
        <w:t xml:space="preserve"> Cross-references for "to take": Lev 27:30-33; Num 18:26-32.</w:t>
      </w:r>
    </w:p>
  </w:footnote>
  <w:footnote w:id="18884">
    <w:p>
      <w:pPr>
        <w:pStyle w:val="FootnoteText"/>
      </w:pPr>
      <w:r>
        <w:rPr>
          <w:rStyle w:val="FootnoteReference"/>
        </w:rPr>
        <w:footnoteRef/>
      </w:r>
      <w:r>
        <w:t xml:space="preserve"> Cross-references for "descent": Heb 7:3.</w:t>
      </w:r>
    </w:p>
  </w:footnote>
  <w:footnote w:id="18885">
    <w:p>
      <w:pPr>
        <w:pStyle w:val="FootnoteText"/>
      </w:pPr>
      <w:r>
        <w:rPr>
          <w:rStyle w:val="FootnoteReference"/>
        </w:rPr>
        <w:footnoteRef/>
      </w:r>
      <w:r>
        <w:t xml:space="preserve"> Cross-references for "perfection": Gal 2:21; Gal 4:3.</w:t>
      </w:r>
    </w:p>
  </w:footnote>
  <w:footnote w:id="18886">
    <w:p>
      <w:pPr>
        <w:pStyle w:val="FootnoteText"/>
      </w:pPr>
      <w:r>
        <w:rPr>
          <w:rStyle w:val="FootnoteReference"/>
        </w:rPr>
        <w:footnoteRef/>
      </w:r>
      <w:r>
        <w:t xml:space="preserve"> Cross-references for "a change": Isa 66:21; Jer 31:31-34.</w:t>
      </w:r>
    </w:p>
  </w:footnote>
  <w:footnote w:id="18887">
    <w:p>
      <w:pPr>
        <w:pStyle w:val="FootnoteText"/>
      </w:pPr>
      <w:r>
        <w:rPr>
          <w:rStyle w:val="FootnoteReference"/>
        </w:rPr>
        <w:footnoteRef/>
      </w:r>
      <w:r>
        <w:t xml:space="preserve"> Cross-references for "of which": Num 16:40; Num 17:5.</w:t>
      </w:r>
    </w:p>
  </w:footnote>
  <w:footnote w:id="18888">
    <w:p>
      <w:pPr>
        <w:pStyle w:val="FootnoteText"/>
      </w:pPr>
      <w:r>
        <w:rPr>
          <w:rStyle w:val="FootnoteReference"/>
        </w:rPr>
        <w:footnoteRef/>
      </w:r>
      <w:r>
        <w:t xml:space="preserve"> Cross-references for "our Lord": Luke 1:43; John 20:13.</w:t>
      </w:r>
    </w:p>
  </w:footnote>
  <w:footnote w:id="18889">
    <w:p>
      <w:pPr>
        <w:pStyle w:val="FootnoteText"/>
      </w:pPr>
      <w:r>
        <w:rPr>
          <w:rStyle w:val="FootnoteReference"/>
        </w:rPr>
        <w:footnoteRef/>
      </w:r>
      <w:r>
        <w:t xml:space="preserve"> Cross-references for "the law": Gal 4:3; Gal 4:9.</w:t>
      </w:r>
    </w:p>
  </w:footnote>
  <w:footnote w:id="18890">
    <w:p>
      <w:pPr>
        <w:pStyle w:val="FootnoteText"/>
      </w:pPr>
      <w:r>
        <w:rPr>
          <w:rStyle w:val="FootnoteReference"/>
        </w:rPr>
        <w:footnoteRef/>
      </w:r>
      <w:r>
        <w:t xml:space="preserve"> Cross-references for "a disannulling": Rom 3:31; Gal 3:15.</w:t>
      </w:r>
    </w:p>
  </w:footnote>
  <w:footnote w:id="18891">
    <w:p>
      <w:pPr>
        <w:pStyle w:val="FootnoteText"/>
      </w:pPr>
      <w:r>
        <w:rPr>
          <w:rStyle w:val="FootnoteReference"/>
        </w:rPr>
        <w:footnoteRef/>
      </w:r>
      <w:r>
        <w:t xml:space="preserve"> Cross-references for "the law": Acts 13:39; Rom 3:20-21.</w:t>
      </w:r>
    </w:p>
  </w:footnote>
  <w:footnote w:id="18892">
    <w:p>
      <w:pPr>
        <w:pStyle w:val="FootnoteText"/>
      </w:pPr>
      <w:r>
        <w:rPr>
          <w:rStyle w:val="FootnoteReference"/>
        </w:rPr>
        <w:footnoteRef/>
      </w:r>
      <w:r>
        <w:t xml:space="preserve"> Cross-references for "The Lord": Ps 110:4; Heb 7:17.</w:t>
      </w:r>
    </w:p>
  </w:footnote>
  <w:footnote w:id="18893">
    <w:p>
      <w:pPr>
        <w:pStyle w:val="FootnoteText"/>
      </w:pPr>
      <w:r>
        <w:rPr>
          <w:rStyle w:val="FootnoteReference"/>
        </w:rPr>
        <w:footnoteRef/>
      </w:r>
      <w:r>
        <w:t xml:space="preserve"> Cross-references for "of a": Dan 9:27; Matt 26:28.</w:t>
      </w:r>
    </w:p>
  </w:footnote>
  <w:footnote w:id="18894">
    <w:p>
      <w:pPr>
        <w:pStyle w:val="FootnoteText"/>
      </w:pPr>
      <w:r>
        <w:rPr>
          <w:rStyle w:val="FootnoteReference"/>
        </w:rPr>
        <w:footnoteRef/>
      </w:r>
      <w:r>
        <w:t xml:space="preserve"> Cross-references for "by him": John 14:6; Rom 5:2.</w:t>
      </w:r>
    </w:p>
  </w:footnote>
  <w:footnote w:id="18895">
    <w:p>
      <w:pPr>
        <w:pStyle w:val="FootnoteText"/>
      </w:pPr>
      <w:r>
        <w:rPr>
          <w:rStyle w:val="FootnoteReference"/>
        </w:rPr>
        <w:footnoteRef/>
      </w:r>
      <w:r>
        <w:t xml:space="preserve"> Cross-references for "such": Heb 7:11; Heb 8:1.</w:t>
      </w:r>
    </w:p>
  </w:footnote>
  <w:footnote w:id="18896">
    <w:p>
      <w:pPr>
        <w:pStyle w:val="FootnoteText"/>
      </w:pPr>
      <w:r>
        <w:rPr>
          <w:rStyle w:val="FootnoteReference"/>
        </w:rPr>
        <w:footnoteRef/>
      </w:r>
      <w:r>
        <w:t xml:space="preserve"> Cross-references for "daily": Exod 29:36-42; Num 28:2-10.</w:t>
      </w:r>
    </w:p>
  </w:footnote>
  <w:footnote w:id="18897">
    <w:p>
      <w:pPr>
        <w:pStyle w:val="FootnoteText"/>
      </w:pPr>
      <w:r>
        <w:rPr>
          <w:rStyle w:val="FootnoteReference"/>
        </w:rPr>
        <w:footnoteRef/>
      </w:r>
      <w:r>
        <w:t xml:space="preserve"> Cross-references for "the word": Ps 110:4; Heb 7:21.</w:t>
      </w:r>
    </w:p>
  </w:footnote>
  <w:footnote w:id="18898">
    <w:p>
      <w:pPr>
        <w:pStyle w:val="FootnoteText"/>
      </w:pPr>
      <w:r>
        <w:rPr>
          <w:rStyle w:val="FootnoteReference"/>
        </w:rPr>
        <w:footnoteRef/>
      </w:r>
      <w:r>
        <w:t xml:space="preserve"> Cross-references for "the Majesty": 1Chr 29:11; Job 37:22.</w:t>
      </w:r>
    </w:p>
  </w:footnote>
  <w:footnote w:id="18899">
    <w:p>
      <w:pPr>
        <w:pStyle w:val="FootnoteText"/>
      </w:pPr>
      <w:r>
        <w:rPr>
          <w:rStyle w:val="FootnoteReference"/>
        </w:rPr>
        <w:footnoteRef/>
      </w:r>
      <w:r>
        <w:t xml:space="preserve"> Cross-references for "minister": Exod 28:1; Exod 28:35.</w:t>
      </w:r>
    </w:p>
  </w:footnote>
  <w:footnote w:id="18900">
    <w:p>
      <w:pPr>
        <w:pStyle w:val="FootnoteText"/>
      </w:pPr>
      <w:r>
        <w:rPr>
          <w:rStyle w:val="FootnoteReference"/>
        </w:rPr>
        <w:footnoteRef/>
      </w:r>
      <w:r>
        <w:t xml:space="preserve"> Cross-references for "gifts": Heb 11:4.</w:t>
      </w:r>
    </w:p>
  </w:footnote>
  <w:footnote w:id="18901">
    <w:p>
      <w:pPr>
        <w:pStyle w:val="FootnoteText"/>
      </w:pPr>
      <w:r>
        <w:rPr>
          <w:rStyle w:val="FootnoteReference"/>
        </w:rPr>
        <w:footnoteRef/>
      </w:r>
      <w:r>
        <w:t xml:space="preserve"> Cross-references for "the example": Col 2:17; Heb 9:9.</w:t>
      </w:r>
    </w:p>
  </w:footnote>
  <w:footnote w:id="18902">
    <w:p>
      <w:pPr>
        <w:pStyle w:val="FootnoteText"/>
      </w:pPr>
      <w:r>
        <w:rPr>
          <w:rStyle w:val="FootnoteReference"/>
        </w:rPr>
        <w:footnoteRef/>
      </w:r>
      <w:r>
        <w:t xml:space="preserve"> Cross-references for "obtained": 2Cor 3:6-11; Heb 8:7-13.</w:t>
      </w:r>
    </w:p>
  </w:footnote>
  <w:footnote w:id="18903">
    <w:p>
      <w:pPr>
        <w:pStyle w:val="FootnoteText"/>
      </w:pPr>
      <w:r>
        <w:rPr>
          <w:rStyle w:val="FootnoteReference"/>
        </w:rPr>
        <w:footnoteRef/>
      </w:r>
      <w:r>
        <w:t xml:space="preserve"> Cross-references for "the days": Jer 23:5; Jer 23:7.</w:t>
      </w:r>
    </w:p>
  </w:footnote>
  <w:footnote w:id="18904">
    <w:p>
      <w:pPr>
        <w:pStyle w:val="FootnoteText"/>
      </w:pPr>
      <w:r>
        <w:rPr>
          <w:rStyle w:val="FootnoteReference"/>
        </w:rPr>
        <w:footnoteRef/>
      </w:r>
      <w:r>
        <w:t xml:space="preserve"> Textual note: Hebrews quotes the new-covenant promise; in this LXX-numbered edition the corresponding Jeremiah passage is Jeremiah 38:31 rather than standard English Jeremiah 31:31.</w:t>
      </w:r>
    </w:p>
  </w:footnote>
  <w:footnote w:id="18905">
    <w:p>
      <w:pPr>
        <w:pStyle w:val="FootnoteText"/>
      </w:pPr>
      <w:r>
        <w:rPr>
          <w:rStyle w:val="FootnoteReference"/>
        </w:rPr>
        <w:footnoteRef/>
      </w:r>
      <w:r>
        <w:t xml:space="preserve"> Cross-references for "the covenant": Exod 24:3-11; Exod 34:10.</w:t>
      </w:r>
    </w:p>
  </w:footnote>
  <w:footnote w:id="18906">
    <w:p>
      <w:pPr>
        <w:pStyle w:val="FootnoteText"/>
      </w:pPr>
      <w:r>
        <w:rPr>
          <w:rStyle w:val="FootnoteReference"/>
        </w:rPr>
        <w:footnoteRef/>
      </w:r>
      <w:r>
        <w:t xml:space="preserve"> Cross-references for "this is": Heb 10:16-17.</w:t>
      </w:r>
    </w:p>
  </w:footnote>
  <w:footnote w:id="18907">
    <w:p>
      <w:pPr>
        <w:pStyle w:val="FootnoteText"/>
      </w:pPr>
      <w:r>
        <w:rPr>
          <w:rStyle w:val="FootnoteReference"/>
        </w:rPr>
        <w:footnoteRef/>
      </w:r>
      <w:r>
        <w:t xml:space="preserve"> Cross-references for "Know the": 2Kgs 17:27-28; 1Chr 28:9.</w:t>
      </w:r>
    </w:p>
  </w:footnote>
  <w:footnote w:id="18908">
    <w:p>
      <w:pPr>
        <w:pStyle w:val="FootnoteText"/>
      </w:pPr>
      <w:r>
        <w:rPr>
          <w:rStyle w:val="FootnoteReference"/>
        </w:rPr>
        <w:footnoteRef/>
      </w:r>
      <w:r>
        <w:t xml:space="preserve"> Cross-references for "A new": Heb 8:8.</w:t>
      </w:r>
    </w:p>
  </w:footnote>
  <w:footnote w:id="18909">
    <w:p>
      <w:pPr>
        <w:pStyle w:val="FootnoteText"/>
      </w:pPr>
      <w:r>
        <w:rPr>
          <w:rStyle w:val="FootnoteReference"/>
        </w:rPr>
        <w:footnoteRef/>
      </w:r>
      <w:r>
        <w:t xml:space="preserve"> Cross-references for "the first": Heb 8:7; Heb 8:13.</w:t>
      </w:r>
    </w:p>
  </w:footnote>
  <w:footnote w:id="18910">
    <w:p>
      <w:pPr>
        <w:pStyle w:val="FootnoteText"/>
      </w:pPr>
      <w:r>
        <w:rPr>
          <w:rStyle w:val="FootnoteReference"/>
        </w:rPr>
        <w:footnoteRef/>
      </w:r>
      <w:r>
        <w:t xml:space="preserve"> Cross-references for "a tabernacle": Exod 26:1-30; Exod 29:1.</w:t>
      </w:r>
    </w:p>
  </w:footnote>
  <w:footnote w:id="18911">
    <w:p>
      <w:pPr>
        <w:pStyle w:val="FootnoteText"/>
      </w:pPr>
      <w:r>
        <w:rPr>
          <w:rStyle w:val="FootnoteReference"/>
        </w:rPr>
        <w:footnoteRef/>
      </w:r>
      <w:r>
        <w:t xml:space="preserve"> Cross-references for "the second": Exod 26:31-33; Exod 36:35-38.</w:t>
      </w:r>
    </w:p>
  </w:footnote>
  <w:footnote w:id="18912">
    <w:p>
      <w:pPr>
        <w:pStyle w:val="FootnoteText"/>
      </w:pPr>
      <w:r>
        <w:rPr>
          <w:rStyle w:val="FootnoteReference"/>
        </w:rPr>
        <w:footnoteRef/>
      </w:r>
      <w:r>
        <w:t xml:space="preserve"> Cross-references for "the golden": Lev 16:12; 1Kgs 7:50.</w:t>
      </w:r>
    </w:p>
  </w:footnote>
  <w:footnote w:id="18913">
    <w:p>
      <w:pPr>
        <w:pStyle w:val="FootnoteText"/>
      </w:pPr>
      <w:r>
        <w:rPr>
          <w:rStyle w:val="FootnoteReference"/>
        </w:rPr>
        <w:footnoteRef/>
      </w:r>
      <w:r>
        <w:t xml:space="preserve"> Cross-references for "over": Exod 25:17-22; Exod 37:6-9.</w:t>
      </w:r>
    </w:p>
  </w:footnote>
  <w:footnote w:id="18914">
    <w:p>
      <w:pPr>
        <w:pStyle w:val="FootnoteText"/>
      </w:pPr>
      <w:r>
        <w:rPr>
          <w:rStyle w:val="FootnoteReference"/>
        </w:rPr>
        <w:footnoteRef/>
      </w:r>
      <w:r>
        <w:t xml:space="preserve"> Cross-references for "the priests": Exod 27:21; Exod 30:7-8.</w:t>
      </w:r>
    </w:p>
  </w:footnote>
  <w:footnote w:id="18915">
    <w:p>
      <w:pPr>
        <w:pStyle w:val="FootnoteText"/>
      </w:pPr>
      <w:r>
        <w:rPr>
          <w:rStyle w:val="FootnoteReference"/>
        </w:rPr>
        <w:footnoteRef/>
      </w:r>
      <w:r>
        <w:t xml:space="preserve"> Cross-references for "the way": John 10:7; John 10:9.</w:t>
      </w:r>
    </w:p>
  </w:footnote>
  <w:footnote w:id="18916">
    <w:p>
      <w:pPr>
        <w:pStyle w:val="FootnoteText"/>
      </w:pPr>
      <w:r>
        <w:rPr>
          <w:rStyle w:val="FootnoteReference"/>
        </w:rPr>
        <w:footnoteRef/>
      </w:r>
      <w:r>
        <w:t xml:space="preserve"> Cross-references for "a figure": Rom 5:14; Heb 9:24.</w:t>
      </w:r>
    </w:p>
  </w:footnote>
  <w:footnote w:id="18917">
    <w:p>
      <w:pPr>
        <w:pStyle w:val="FootnoteText"/>
      </w:pPr>
      <w:r>
        <w:rPr>
          <w:rStyle w:val="FootnoteReference"/>
        </w:rPr>
        <w:footnoteRef/>
      </w:r>
      <w:r>
        <w:t xml:space="preserve"> Cross-references for "carnal": Gal 4:3; Gal 4:9.</w:t>
      </w:r>
    </w:p>
  </w:footnote>
  <w:footnote w:id="18918">
    <w:p>
      <w:pPr>
        <w:pStyle w:val="FootnoteText"/>
      </w:pPr>
      <w:r>
        <w:rPr>
          <w:rStyle w:val="FootnoteReference"/>
        </w:rPr>
        <w:footnoteRef/>
      </w:r>
      <w:r>
        <w:t xml:space="preserve"> Cross-references for "Christ": Gen 49:10; Ps 40:7.</w:t>
      </w:r>
    </w:p>
  </w:footnote>
  <w:footnote w:id="18919">
    <w:p>
      <w:pPr>
        <w:pStyle w:val="FootnoteText"/>
      </w:pPr>
      <w:r>
        <w:rPr>
          <w:rStyle w:val="FootnoteReference"/>
        </w:rPr>
        <w:footnoteRef/>
      </w:r>
      <w:r>
        <w:t xml:space="preserve"> Cross-references for "by his": Acts 20:28; Eph 1:7.</w:t>
      </w:r>
    </w:p>
  </w:footnote>
  <w:footnote w:id="18920">
    <w:p>
      <w:pPr>
        <w:pStyle w:val="FootnoteText"/>
      </w:pPr>
      <w:r>
        <w:rPr>
          <w:rStyle w:val="FootnoteReference"/>
        </w:rPr>
        <w:footnoteRef/>
      </w:r>
      <w:r>
        <w:t xml:space="preserve"> Cross-references for "the purifying": Num 8:7; Num 19:12.</w:t>
      </w:r>
    </w:p>
  </w:footnote>
  <w:footnote w:id="18921">
    <w:p>
      <w:pPr>
        <w:pStyle w:val="FootnoteText"/>
      </w:pPr>
      <w:r>
        <w:rPr>
          <w:rStyle w:val="FootnoteReference"/>
        </w:rPr>
        <w:footnoteRef/>
      </w:r>
      <w:r>
        <w:t xml:space="preserve"> Cross-references for "the blood": Heb 9:12; 1Pet 1:19.</w:t>
      </w:r>
    </w:p>
  </w:footnote>
  <w:footnote w:id="18922">
    <w:p>
      <w:pPr>
        <w:pStyle w:val="FootnoteText"/>
      </w:pPr>
      <w:r>
        <w:rPr>
          <w:rStyle w:val="FootnoteReference"/>
        </w:rPr>
        <w:footnoteRef/>
      </w:r>
      <w:r>
        <w:t xml:space="preserve"> Cross-references for "the mediator": 1Tim 2:5; Heb 7:22.</w:t>
      </w:r>
    </w:p>
  </w:footnote>
  <w:footnote w:id="18923">
    <w:p>
      <w:pPr>
        <w:pStyle w:val="FootnoteText"/>
      </w:pPr>
      <w:r>
        <w:rPr>
          <w:rStyle w:val="FootnoteReference"/>
        </w:rPr>
        <w:footnoteRef/>
      </w:r>
      <w:r>
        <w:t xml:space="preserve"> Cross-references for "the first": Exod 12:22; Exod 24:3-8.</w:t>
      </w:r>
    </w:p>
  </w:footnote>
  <w:footnote w:id="18924">
    <w:p>
      <w:pPr>
        <w:pStyle w:val="FootnoteText"/>
      </w:pPr>
      <w:r>
        <w:rPr>
          <w:rStyle w:val="FootnoteReference"/>
        </w:rPr>
        <w:footnoteRef/>
      </w:r>
      <w:r>
        <w:t xml:space="preserve"> Cross-references for "the blood": Exod 24:5-6; Exod 24:8-11.</w:t>
      </w:r>
    </w:p>
  </w:footnote>
  <w:footnote w:id="18925">
    <w:p>
      <w:pPr>
        <w:pStyle w:val="FootnoteText"/>
      </w:pPr>
      <w:r>
        <w:rPr>
          <w:rStyle w:val="FootnoteReference"/>
        </w:rPr>
        <w:footnoteRef/>
      </w:r>
      <w:r>
        <w:t xml:space="preserve"> Cross-references for "almost": Lev 14:6; Lev 14:14.</w:t>
      </w:r>
    </w:p>
  </w:footnote>
  <w:footnote w:id="18926">
    <w:p>
      <w:pPr>
        <w:pStyle w:val="FootnoteText"/>
      </w:pPr>
      <w:r>
        <w:rPr>
          <w:rStyle w:val="FootnoteReference"/>
        </w:rPr>
        <w:footnoteRef/>
      </w:r>
      <w:r>
        <w:t xml:space="preserve"> Cross-references for "the heavenly": Luke 24:26; Luke 24:46.</w:t>
      </w:r>
    </w:p>
  </w:footnote>
  <w:footnote w:id="18927">
    <w:p>
      <w:pPr>
        <w:pStyle w:val="FootnoteText"/>
      </w:pPr>
      <w:r>
        <w:rPr>
          <w:rStyle w:val="FootnoteReference"/>
        </w:rPr>
        <w:footnoteRef/>
      </w:r>
      <w:r>
        <w:t xml:space="preserve"> Cross-references for "appear": Exod 28:12; Exod 28:29.</w:t>
      </w:r>
    </w:p>
  </w:footnote>
  <w:footnote w:id="18928">
    <w:p>
      <w:pPr>
        <w:pStyle w:val="FootnoteText"/>
      </w:pPr>
      <w:r>
        <w:rPr>
          <w:rStyle w:val="FootnoteReference"/>
        </w:rPr>
        <w:footnoteRef/>
      </w:r>
      <w:r>
        <w:t xml:space="preserve"> Cross-references for "offer": Heb 9:7; Heb 9:14.</w:t>
      </w:r>
    </w:p>
  </w:footnote>
  <w:footnote w:id="18929">
    <w:p>
      <w:pPr>
        <w:pStyle w:val="FootnoteText"/>
      </w:pPr>
      <w:r>
        <w:rPr>
          <w:rStyle w:val="FootnoteReference"/>
        </w:rPr>
        <w:footnoteRef/>
      </w:r>
      <w:r>
        <w:t xml:space="preserve"> Cross-references for "the foundation": Matt 25:34; John 17:24.</w:t>
      </w:r>
    </w:p>
  </w:footnote>
  <w:footnote w:id="18930">
    <w:p>
      <w:pPr>
        <w:pStyle w:val="FootnoteText"/>
      </w:pPr>
      <w:r>
        <w:rPr>
          <w:rStyle w:val="FootnoteReference"/>
        </w:rPr>
        <w:footnoteRef/>
      </w:r>
      <w:r>
        <w:t xml:space="preserve"> Cross-references for "to bear": Lev 10:17; Num 18:1.</w:t>
      </w:r>
    </w:p>
  </w:footnote>
  <w:footnote w:id="18931">
    <w:p>
      <w:pPr>
        <w:pStyle w:val="FootnoteText"/>
      </w:pPr>
      <w:r>
        <w:rPr>
          <w:rStyle w:val="FootnoteReference"/>
        </w:rPr>
        <w:footnoteRef/>
      </w:r>
      <w:r>
        <w:t xml:space="preserve"> Cross-references for "perfect": Heb 10:14.</w:t>
      </w:r>
    </w:p>
  </w:footnote>
  <w:footnote w:id="18932">
    <w:p>
      <w:pPr>
        <w:pStyle w:val="FootnoteText"/>
      </w:pPr>
      <w:r>
        <w:rPr>
          <w:rStyle w:val="FootnoteReference"/>
        </w:rPr>
        <w:footnoteRef/>
      </w:r>
      <w:r>
        <w:t xml:space="preserve"> Cross-references for "once": Ps 103:12; Isa 43:25.</w:t>
      </w:r>
    </w:p>
  </w:footnote>
  <w:footnote w:id="18933">
    <w:p>
      <w:pPr>
        <w:pStyle w:val="FootnoteText"/>
      </w:pPr>
      <w:r>
        <w:rPr>
          <w:rStyle w:val="FootnoteReference"/>
        </w:rPr>
        <w:footnoteRef/>
      </w:r>
      <w:r>
        <w:t xml:space="preserve"> Cross-references for "a remembrance": Exod 30:10; Lev 16:6-11.</w:t>
      </w:r>
    </w:p>
  </w:footnote>
  <w:footnote w:id="18934">
    <w:p>
      <w:pPr>
        <w:pStyle w:val="FootnoteText"/>
      </w:pPr>
      <w:r>
        <w:rPr>
          <w:rStyle w:val="FootnoteReference"/>
        </w:rPr>
        <w:footnoteRef/>
      </w:r>
      <w:r>
        <w:t xml:space="preserve"> Cross-references for "take": Hos 14:2; John 1:29.</w:t>
      </w:r>
    </w:p>
  </w:footnote>
  <w:footnote w:id="18935">
    <w:p>
      <w:pPr>
        <w:pStyle w:val="FootnoteText"/>
      </w:pPr>
      <w:r>
        <w:rPr>
          <w:rStyle w:val="FootnoteReference"/>
        </w:rPr>
        <w:footnoteRef/>
      </w:r>
      <w:r>
        <w:t xml:space="preserve"> Cross-references for "Sacrifice": Ps 40:6-8; Ps 50:8-23.</w:t>
      </w:r>
    </w:p>
  </w:footnote>
  <w:footnote w:id="18936">
    <w:p>
      <w:pPr>
        <w:pStyle w:val="FootnoteText"/>
      </w:pPr>
      <w:r>
        <w:rPr>
          <w:rStyle w:val="FootnoteReference"/>
        </w:rPr>
        <w:footnoteRef/>
      </w:r>
      <w:r>
        <w:t xml:space="preserve"> Cross-references for "burnt": Heb 10:4.</w:t>
      </w:r>
    </w:p>
  </w:footnote>
  <w:footnote w:id="18937">
    <w:p>
      <w:pPr>
        <w:pStyle w:val="FootnoteText"/>
      </w:pPr>
      <w:r>
        <w:rPr>
          <w:rStyle w:val="FootnoteReference"/>
        </w:rPr>
        <w:footnoteRef/>
      </w:r>
      <w:r>
        <w:t xml:space="preserve"> Cross-references for "the offering": Heb 9:12; Heb 9:26.</w:t>
      </w:r>
    </w:p>
  </w:footnote>
  <w:footnote w:id="18938">
    <w:p>
      <w:pPr>
        <w:pStyle w:val="FootnoteText"/>
      </w:pPr>
      <w:r>
        <w:rPr>
          <w:rStyle w:val="FootnoteReference"/>
        </w:rPr>
        <w:footnoteRef/>
      </w:r>
      <w:r>
        <w:t xml:space="preserve"> Cross-references for "daily": Exod 29:38-39; Num 28:3.</w:t>
      </w:r>
    </w:p>
  </w:footnote>
  <w:footnote w:id="18939">
    <w:p>
      <w:pPr>
        <w:pStyle w:val="FootnoteText"/>
      </w:pPr>
      <w:r>
        <w:rPr>
          <w:rStyle w:val="FootnoteReference"/>
        </w:rPr>
        <w:footnoteRef/>
      </w:r>
      <w:r>
        <w:t xml:space="preserve"> Cross-references for "to enter": Rom 5:2; Eph 2:18.</w:t>
      </w:r>
    </w:p>
  </w:footnote>
  <w:footnote w:id="18940">
    <w:p>
      <w:pPr>
        <w:pStyle w:val="FootnoteText"/>
      </w:pPr>
      <w:r>
        <w:rPr>
          <w:rStyle w:val="FootnoteReference"/>
        </w:rPr>
        <w:footnoteRef/>
      </w:r>
      <w:r>
        <w:t xml:space="preserve"> Cross-references for "a new": John 10:7; John 10:9.</w:t>
      </w:r>
    </w:p>
  </w:footnote>
  <w:footnote w:id="18941">
    <w:p>
      <w:pPr>
        <w:pStyle w:val="FootnoteText"/>
      </w:pPr>
      <w:r>
        <w:rPr>
          <w:rStyle w:val="FootnoteReference"/>
        </w:rPr>
        <w:footnoteRef/>
      </w:r>
      <w:r>
        <w:t xml:space="preserve"> Cross-references for "the house": Matt 16:18; 1Cor 3:9-17.</w:t>
      </w:r>
    </w:p>
  </w:footnote>
  <w:footnote w:id="18942">
    <w:p>
      <w:pPr>
        <w:pStyle w:val="FootnoteText"/>
      </w:pPr>
      <w:r>
        <w:rPr>
          <w:rStyle w:val="FootnoteReference"/>
        </w:rPr>
        <w:footnoteRef/>
      </w:r>
      <w:r>
        <w:t xml:space="preserve"> Cross-references for "draw": Ps 73:28; Isa 29:13.</w:t>
      </w:r>
    </w:p>
  </w:footnote>
  <w:footnote w:id="18943">
    <w:p>
      <w:pPr>
        <w:pStyle w:val="FootnoteText"/>
      </w:pPr>
      <w:r>
        <w:rPr>
          <w:rStyle w:val="FootnoteReference"/>
        </w:rPr>
        <w:footnoteRef/>
      </w:r>
      <w:r>
        <w:t xml:space="preserve"> Cross-references for "hold": Heb 3:6; Heb 3:14.</w:t>
      </w:r>
    </w:p>
  </w:footnote>
  <w:footnote w:id="18944">
    <w:p>
      <w:pPr>
        <w:pStyle w:val="FootnoteText"/>
      </w:pPr>
      <w:r>
        <w:rPr>
          <w:rStyle w:val="FootnoteReference"/>
        </w:rPr>
        <w:footnoteRef/>
      </w:r>
      <w:r>
        <w:t xml:space="preserve"> Cross-references for "consider": Ps 41:1; Prov 29:7.</w:t>
      </w:r>
    </w:p>
  </w:footnote>
  <w:footnote w:id="18945">
    <w:p>
      <w:pPr>
        <w:pStyle w:val="FootnoteText"/>
      </w:pPr>
      <w:r>
        <w:rPr>
          <w:rStyle w:val="FootnoteReference"/>
        </w:rPr>
        <w:footnoteRef/>
      </w:r>
      <w:r>
        <w:t xml:space="preserve"> Cross-references for "forsaking": Matt 18:20; John 20:19-29.</w:t>
      </w:r>
    </w:p>
  </w:footnote>
  <w:footnote w:id="18946">
    <w:p>
      <w:pPr>
        <w:pStyle w:val="FootnoteText"/>
      </w:pPr>
      <w:r>
        <w:rPr>
          <w:rStyle w:val="FootnoteReference"/>
        </w:rPr>
        <w:footnoteRef/>
      </w:r>
      <w:r>
        <w:t xml:space="preserve"> Cross-references for "fiery": Num 16:35; Ps 21:9.</w:t>
      </w:r>
    </w:p>
  </w:footnote>
  <w:footnote w:id="18947">
    <w:p>
      <w:pPr>
        <w:pStyle w:val="FootnoteText"/>
      </w:pPr>
      <w:r>
        <w:rPr>
          <w:rStyle w:val="FootnoteReference"/>
        </w:rPr>
        <w:footnoteRef/>
      </w:r>
      <w:r>
        <w:t xml:space="preserve"> Cross-references for "despised": Num 15:30-31; Num 15:36.</w:t>
      </w:r>
    </w:p>
  </w:footnote>
  <w:footnote w:id="18948">
    <w:p>
      <w:pPr>
        <w:pStyle w:val="FootnoteText"/>
      </w:pPr>
      <w:r>
        <w:rPr>
          <w:rStyle w:val="FootnoteReference"/>
        </w:rPr>
        <w:footnoteRef/>
      </w:r>
      <w:r>
        <w:t xml:space="preserve"> Cross-references for "the blood": Heb 9:20; Heb 13:20.</w:t>
      </w:r>
    </w:p>
  </w:footnote>
  <w:footnote w:id="18949">
    <w:p>
      <w:pPr>
        <w:pStyle w:val="FootnoteText"/>
      </w:pPr>
      <w:r>
        <w:rPr>
          <w:rStyle w:val="FootnoteReference"/>
        </w:rPr>
        <w:footnoteRef/>
      </w:r>
      <w:r>
        <w:t xml:space="preserve"> Cross-references for "Vengeance": Deut 32:35; Ps 94:1.</w:t>
      </w:r>
    </w:p>
  </w:footnote>
  <w:footnote w:id="18950">
    <w:p>
      <w:pPr>
        <w:pStyle w:val="FootnoteText"/>
      </w:pPr>
      <w:r>
        <w:rPr>
          <w:rStyle w:val="FootnoteReference"/>
        </w:rPr>
        <w:footnoteRef/>
      </w:r>
      <w:r>
        <w:t xml:space="preserve"> Cross-references for "a fearful": Isa 33:14; Luke 21:11.</w:t>
      </w:r>
    </w:p>
  </w:footnote>
  <w:footnote w:id="18951">
    <w:p>
      <w:pPr>
        <w:pStyle w:val="FootnoteText"/>
      </w:pPr>
      <w:r>
        <w:rPr>
          <w:rStyle w:val="FootnoteReference"/>
        </w:rPr>
        <w:footnoteRef/>
      </w:r>
      <w:r>
        <w:t xml:space="preserve"> Cross-references for "call": Gal 3:3-4; Phil 3:16.</w:t>
      </w:r>
    </w:p>
  </w:footnote>
  <w:footnote w:id="18952">
    <w:p>
      <w:pPr>
        <w:pStyle w:val="FootnoteText"/>
      </w:pPr>
      <w:r>
        <w:rPr>
          <w:rStyle w:val="FootnoteReference"/>
        </w:rPr>
        <w:footnoteRef/>
      </w:r>
      <w:r>
        <w:t xml:space="preserve"> Cross-references for "made": Ps 71:7; Nah 3:6.</w:t>
      </w:r>
    </w:p>
  </w:footnote>
  <w:footnote w:id="18953">
    <w:p>
      <w:pPr>
        <w:pStyle w:val="FootnoteText"/>
      </w:pPr>
      <w:r>
        <w:rPr>
          <w:rStyle w:val="FootnoteReference"/>
        </w:rPr>
        <w:footnoteRef/>
      </w:r>
      <w:r>
        <w:t xml:space="preserve"> Cross-references for "in my": Acts 21:33; Acts 28:20.</w:t>
      </w:r>
    </w:p>
  </w:footnote>
  <w:footnote w:id="18954">
    <w:p>
      <w:pPr>
        <w:pStyle w:val="FootnoteText"/>
      </w:pPr>
      <w:r>
        <w:rPr>
          <w:rStyle w:val="FootnoteReference"/>
        </w:rPr>
        <w:footnoteRef/>
      </w:r>
      <w:r>
        <w:t xml:space="preserve"> Cross-references for "cast": Heb 3:6; Heb 3:14.</w:t>
      </w:r>
    </w:p>
  </w:footnote>
  <w:footnote w:id="18955">
    <w:p>
      <w:pPr>
        <w:pStyle w:val="FootnoteText"/>
      </w:pPr>
      <w:r>
        <w:rPr>
          <w:rStyle w:val="FootnoteReference"/>
        </w:rPr>
        <w:footnoteRef/>
      </w:r>
      <w:r>
        <w:t xml:space="preserve"> Cross-references for "the just": Hab 2:4; Rom 1:17.</w:t>
      </w:r>
    </w:p>
  </w:footnote>
  <w:footnote w:id="18956">
    <w:p>
      <w:pPr>
        <w:pStyle w:val="FootnoteText"/>
      </w:pPr>
      <w:r>
        <w:rPr>
          <w:rStyle w:val="FootnoteReference"/>
        </w:rPr>
        <w:footnoteRef/>
      </w:r>
      <w:r>
        <w:t xml:space="preserve"> Cross-references for "we are": 1Sam 15:11; Ps 44:18.</w:t>
      </w:r>
    </w:p>
  </w:footnote>
  <w:footnote w:id="18957">
    <w:p>
      <w:pPr>
        <w:pStyle w:val="FootnoteText"/>
      </w:pPr>
      <w:r>
        <w:rPr>
          <w:rStyle w:val="FootnoteReference"/>
        </w:rPr>
        <w:footnoteRef/>
      </w:r>
      <w:r>
        <w:t xml:space="preserve"> Cross-references for "faith": Acts 20:21; 1Cor 13:13.</w:t>
      </w:r>
    </w:p>
  </w:footnote>
  <w:footnote w:id="18958">
    <w:p>
      <w:pPr>
        <w:pStyle w:val="FootnoteText"/>
      </w:pPr>
      <w:r>
        <w:rPr>
          <w:rStyle w:val="FootnoteReference"/>
        </w:rPr>
        <w:footnoteRef/>
      </w:r>
      <w:r>
        <w:t xml:space="preserve"> Cross-references for "the elders": Heb 11:4-39.</w:t>
      </w:r>
    </w:p>
  </w:footnote>
  <w:footnote w:id="18959">
    <w:p>
      <w:pPr>
        <w:pStyle w:val="FootnoteText"/>
      </w:pPr>
      <w:r>
        <w:rPr>
          <w:rStyle w:val="FootnoteReference"/>
        </w:rPr>
        <w:footnoteRef/>
      </w:r>
      <w:r>
        <w:t xml:space="preserve"> Cross-references for "faith": Gen 1:1-31; Gen 2:1.</w:t>
      </w:r>
    </w:p>
  </w:footnote>
  <w:footnote w:id="18960">
    <w:p>
      <w:pPr>
        <w:pStyle w:val="FootnoteText"/>
      </w:pPr>
      <w:r>
        <w:rPr>
          <w:rStyle w:val="FootnoteReference"/>
        </w:rPr>
        <w:footnoteRef/>
      </w:r>
      <w:r>
        <w:t xml:space="preserve"> Cross-references for "faith": Gen 4:3-5; Gen 4:15.</w:t>
      </w:r>
    </w:p>
  </w:footnote>
  <w:footnote w:id="18961">
    <w:p>
      <w:pPr>
        <w:pStyle w:val="FootnoteText"/>
      </w:pPr>
      <w:r>
        <w:rPr>
          <w:rStyle w:val="FootnoteReference"/>
        </w:rPr>
        <w:footnoteRef/>
      </w:r>
      <w:r>
        <w:t xml:space="preserve"> Personal name: Cain. Personal-name meaning: Cain — Acquired; spear. Source form: Cain.</w:t>
      </w:r>
    </w:p>
  </w:footnote>
  <w:footnote w:id="18962">
    <w:p>
      <w:pPr>
        <w:pStyle w:val="FootnoteText"/>
      </w:pPr>
      <w:r>
        <w:rPr>
          <w:rStyle w:val="FootnoteReference"/>
        </w:rPr>
        <w:footnoteRef/>
      </w:r>
      <w:r>
        <w:t xml:space="preserve"> Cross-references for "Enoch": Gen 5:22-24; Luke 3:37.</w:t>
      </w:r>
    </w:p>
  </w:footnote>
  <w:footnote w:id="18963">
    <w:p>
      <w:pPr>
        <w:pStyle w:val="FootnoteText"/>
      </w:pPr>
      <w:r>
        <w:rPr>
          <w:rStyle w:val="FootnoteReference"/>
        </w:rPr>
        <w:footnoteRef/>
      </w:r>
      <w:r>
        <w:t xml:space="preserve"> Cross-references for "must": Rom 10:14.</w:t>
      </w:r>
    </w:p>
  </w:footnote>
  <w:footnote w:id="18964">
    <w:p>
      <w:pPr>
        <w:pStyle w:val="FootnoteText"/>
      </w:pPr>
      <w:r>
        <w:rPr>
          <w:rStyle w:val="FootnoteReference"/>
        </w:rPr>
        <w:footnoteRef/>
      </w:r>
      <w:r>
        <w:t xml:space="preserve"> Cross-references for "Noah": Gen 6:13; Gen 6:22.</w:t>
      </w:r>
    </w:p>
  </w:footnote>
  <w:footnote w:id="18965">
    <w:p>
      <w:pPr>
        <w:pStyle w:val="FootnoteText"/>
      </w:pPr>
      <w:r>
        <w:rPr>
          <w:rStyle w:val="FootnoteReference"/>
        </w:rPr>
        <w:footnoteRef/>
      </w:r>
      <w:r>
        <w:t xml:space="preserve"> Cross-references for "Abraham": Gen 11:31; Gen 12:1-4.</w:t>
      </w:r>
    </w:p>
  </w:footnote>
  <w:footnote w:id="18966">
    <w:p>
      <w:pPr>
        <w:pStyle w:val="FootnoteText"/>
      </w:pPr>
      <w:r>
        <w:rPr>
          <w:rStyle w:val="FootnoteReference"/>
        </w:rPr>
        <w:footnoteRef/>
      </w:r>
      <w:r>
        <w:t xml:space="preserve"> Cross-references for "he sojourned": Gen 17:8; Gen 23:4.</w:t>
      </w:r>
    </w:p>
  </w:footnote>
  <w:footnote w:id="18967">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8968">
    <w:p>
      <w:pPr>
        <w:pStyle w:val="FootnoteText"/>
      </w:pPr>
      <w:r>
        <w:rPr>
          <w:rStyle w:val="FootnoteReference"/>
        </w:rPr>
        <w:footnoteRef/>
      </w:r>
      <w:r>
        <w:t xml:space="preserve"> Cross-references for "and him": Rom 4:19.</w:t>
      </w:r>
    </w:p>
  </w:footnote>
  <w:footnote w:id="18969">
    <w:p>
      <w:pPr>
        <w:pStyle w:val="FootnoteText"/>
      </w:pPr>
      <w:r>
        <w:rPr>
          <w:rStyle w:val="FootnoteReference"/>
        </w:rPr>
        <w:footnoteRef/>
      </w:r>
      <w:r>
        <w:t xml:space="preserve"> Cross-references for "all died": Gen 25:8; Gen 27:2-4.</w:t>
      </w:r>
    </w:p>
  </w:footnote>
  <w:footnote w:id="18970">
    <w:p>
      <w:pPr>
        <w:pStyle w:val="FootnoteText"/>
      </w:pPr>
      <w:r>
        <w:rPr>
          <w:rStyle w:val="FootnoteReference"/>
        </w:rPr>
        <w:footnoteRef/>
      </w:r>
      <w:r>
        <w:t xml:space="preserve"> Cross-references for "they seek": Rom 8:23-25; 2Cor 4:18.</w:t>
      </w:r>
    </w:p>
  </w:footnote>
  <w:footnote w:id="18971">
    <w:p>
      <w:pPr>
        <w:pStyle w:val="FootnoteText"/>
      </w:pPr>
      <w:r>
        <w:rPr>
          <w:rStyle w:val="FootnoteReference"/>
        </w:rPr>
        <w:footnoteRef/>
      </w:r>
      <w:r>
        <w:t xml:space="preserve"> Cross-references for "mindful": Gen 11:31; Gen 12:10.</w:t>
      </w:r>
    </w:p>
  </w:footnote>
  <w:footnote w:id="18972">
    <w:p>
      <w:pPr>
        <w:pStyle w:val="FootnoteText"/>
      </w:pPr>
      <w:r>
        <w:rPr>
          <w:rStyle w:val="FootnoteReference"/>
        </w:rPr>
        <w:footnoteRef/>
      </w:r>
      <w:r>
        <w:t xml:space="preserve"> Cross-references for "they desire": Heb 11:14; Heb 12:22.</w:t>
      </w:r>
    </w:p>
  </w:footnote>
  <w:footnote w:id="18973">
    <w:p>
      <w:pPr>
        <w:pStyle w:val="FootnoteText"/>
      </w:pPr>
      <w:r>
        <w:rPr>
          <w:rStyle w:val="FootnoteReference"/>
        </w:rPr>
        <w:footnoteRef/>
      </w:r>
      <w:r>
        <w:t xml:space="preserve"> Cross-references for "faith": Gen 22:1-12; Jas 2:21-24.</w:t>
      </w:r>
    </w:p>
  </w:footnote>
  <w:footnote w:id="18974">
    <w:p>
      <w:pPr>
        <w:pStyle w:val="FootnoteText"/>
      </w:pPr>
      <w:r>
        <w:rPr>
          <w:rStyle w:val="FootnoteReference"/>
        </w:rPr>
        <w:footnoteRef/>
      </w:r>
      <w:r>
        <w:t xml:space="preserve"> Cross-references for "from the": Gen 22:4; Gen 22:13.</w:t>
      </w:r>
    </w:p>
  </w:footnote>
  <w:footnote w:id="18975">
    <w:p>
      <w:pPr>
        <w:pStyle w:val="FootnoteText"/>
      </w:pPr>
      <w:r>
        <w:rPr>
          <w:rStyle w:val="FootnoteReference"/>
        </w:rPr>
        <w:footnoteRef/>
      </w:r>
      <w:r>
        <w:t xml:space="preserve"> Cross-references for "faith": Gen 48:5-22.</w:t>
      </w:r>
    </w:p>
  </w:footnote>
  <w:footnote w:id="18976">
    <w:p>
      <w:pPr>
        <w:pStyle w:val="FootnoteText"/>
      </w:pPr>
      <w:r>
        <w:rPr>
          <w:rStyle w:val="FootnoteReference"/>
        </w:rPr>
        <w:footnoteRef/>
      </w:r>
      <w:r>
        <w:t xml:space="preserve"> Cross-references for "faith": Gen 50:24-25; Exod 13:19.</w:t>
      </w:r>
    </w:p>
  </w:footnote>
  <w:footnote w:id="18977">
    <w:p>
      <w:pPr>
        <w:pStyle w:val="FootnoteText"/>
      </w:pPr>
      <w:r>
        <w:rPr>
          <w:rStyle w:val="FootnoteReference"/>
        </w:rPr>
        <w:footnoteRef/>
      </w:r>
      <w:r>
        <w:t xml:space="preserve"> Cross-references for "faith": Exod 2:2-10; Acts 7:20.</w:t>
      </w:r>
    </w:p>
  </w:footnote>
  <w:footnote w:id="18978">
    <w:p>
      <w:pPr>
        <w:pStyle w:val="FootnoteText"/>
      </w:pPr>
      <w:r>
        <w:rPr>
          <w:rStyle w:val="FootnoteReference"/>
        </w:rPr>
        <w:footnoteRef/>
      </w:r>
      <w:r>
        <w:t xml:space="preserve"> Cross-references for "choosing": Job 36:21; Ps 84:10.</w:t>
      </w:r>
    </w:p>
  </w:footnote>
  <w:footnote w:id="18979">
    <w:p>
      <w:pPr>
        <w:pStyle w:val="FootnoteText"/>
      </w:pPr>
      <w:r>
        <w:rPr>
          <w:rStyle w:val="FootnoteReference"/>
        </w:rPr>
        <w:footnoteRef/>
      </w:r>
      <w:r>
        <w:t xml:space="preserve"> Cross-references for "the reproach": Ps 69:7; Ps 69:20.</w:t>
      </w:r>
    </w:p>
  </w:footnote>
  <w:footnote w:id="18980">
    <w:p>
      <w:pPr>
        <w:pStyle w:val="FootnoteText"/>
      </w:pPr>
      <w:r>
        <w:rPr>
          <w:rStyle w:val="FootnoteReference"/>
        </w:rPr>
        <w:footnoteRef/>
      </w:r>
      <w:r>
        <w:t xml:space="preserve"> Cross-references for "not fearing": Exod 2:14-15; Exod 4:19.</w:t>
      </w:r>
    </w:p>
  </w:footnote>
  <w:footnote w:id="18981">
    <w:p>
      <w:pPr>
        <w:pStyle w:val="FootnoteText"/>
      </w:pPr>
      <w:r>
        <w:rPr>
          <w:rStyle w:val="FootnoteReference"/>
        </w:rPr>
        <w:footnoteRef/>
      </w:r>
      <w:r>
        <w:t xml:space="preserve"> Cross-references for "he kept": Exod 12:3-14; Exod 12:21-30.</w:t>
      </w:r>
    </w:p>
  </w:footnote>
  <w:footnote w:id="18982">
    <w:p>
      <w:pPr>
        <w:pStyle w:val="FootnoteText"/>
      </w:pPr>
      <w:r>
        <w:rPr>
          <w:rStyle w:val="FootnoteReference"/>
        </w:rPr>
        <w:footnoteRef/>
      </w:r>
      <w:r>
        <w:t xml:space="preserve"> Cross-references for "did not believe": Heb 3:18; 1Pet 2:8.</w:t>
      </w:r>
    </w:p>
  </w:footnote>
  <w:footnote w:id="18983">
    <w:p>
      <w:pPr>
        <w:pStyle w:val="FootnoteText"/>
      </w:pPr>
      <w:r>
        <w:rPr>
          <w:rStyle w:val="FootnoteReference"/>
        </w:rPr>
        <w:footnoteRef/>
      </w:r>
      <w:r>
        <w:t xml:space="preserve"> Cross-references for "what shall": Rom 3:5; Rom 4:1.</w:t>
      </w:r>
    </w:p>
  </w:footnote>
  <w:footnote w:id="18984">
    <w:p>
      <w:pPr>
        <w:pStyle w:val="FootnoteText"/>
      </w:pPr>
      <w:r>
        <w:rPr>
          <w:rStyle w:val="FootnoteReference"/>
        </w:rPr>
        <w:footnoteRef/>
      </w:r>
      <w:r>
        <w:t xml:space="preserve"> Transliterated proper noun: Gedeon. Standard English equivalent: Gideon. Source form: Gedeon. Greek form: γεδεων. Name meaning: Hewer; cutter.</w:t>
      </w:r>
    </w:p>
  </w:footnote>
  <w:footnote w:id="18985">
    <w:p>
      <w:pPr>
        <w:pStyle w:val="FootnoteText"/>
      </w:pPr>
      <w:r>
        <w:rPr>
          <w:rStyle w:val="FootnoteReference"/>
        </w:rPr>
        <w:footnoteRef/>
      </w:r>
      <w:r>
        <w:t xml:space="preserve"> Personal name: Barak. Personal-name meaning: Barak — thunder, or in vain. Source form: Barak.</w:t>
      </w:r>
    </w:p>
  </w:footnote>
  <w:footnote w:id="18986">
    <w:p>
      <w:pPr>
        <w:pStyle w:val="FootnoteText"/>
      </w:pPr>
      <w:r>
        <w:rPr>
          <w:rStyle w:val="FootnoteReference"/>
        </w:rPr>
        <w:footnoteRef/>
      </w:r>
      <w:r>
        <w:t xml:space="preserve"> Personal name: Samson. Personal-name meaning: Samson — Sun-like; little sun. Source form: Samson.</w:t>
      </w:r>
    </w:p>
  </w:footnote>
  <w:footnote w:id="18987">
    <w:p>
      <w:pPr>
        <w:pStyle w:val="FootnoteText"/>
      </w:pPr>
      <w:r>
        <w:rPr>
          <w:rStyle w:val="FootnoteReference"/>
        </w:rPr>
        <w:footnoteRef/>
      </w:r>
      <w:r>
        <w:t xml:space="preserve"> Transliterated proper noun: Jephthah. Standard English equivalent: Jephthae. Source form: Jephthah. Greek form: ιεφθαε. Name meaning: He opens.</w:t>
      </w:r>
    </w:p>
  </w:footnote>
  <w:footnote w:id="18988">
    <w:p>
      <w:pPr>
        <w:pStyle w:val="FootnoteText"/>
      </w:pPr>
      <w:r>
        <w:rPr>
          <w:rStyle w:val="FootnoteReference"/>
        </w:rPr>
        <w:footnoteRef/>
      </w:r>
      <w:r>
        <w:t xml:space="preserve"> Transliterated proper noun: Jephthae. Standard English equivalent: Jephthah. Source form: Jephthae. Greek form: ιεφθαε. Name meaning: he opens.</w:t>
      </w:r>
    </w:p>
  </w:footnote>
  <w:footnote w:id="18989">
    <w:p>
      <w:pPr>
        <w:pStyle w:val="FootnoteText"/>
      </w:pPr>
      <w:r>
        <w:rPr>
          <w:rStyle w:val="FootnoteReference"/>
        </w:rPr>
        <w:footnoteRef/>
      </w:r>
      <w:r>
        <w:t xml:space="preserve"> Cross-references for "obtained": 2Sam 7:11-17; Gal 3:16.</w:t>
      </w:r>
    </w:p>
  </w:footnote>
  <w:footnote w:id="18990">
    <w:p>
      <w:pPr>
        <w:pStyle w:val="FootnoteText"/>
      </w:pPr>
      <w:r>
        <w:rPr>
          <w:rStyle w:val="FootnoteReference"/>
        </w:rPr>
        <w:footnoteRef/>
      </w:r>
      <w:r>
        <w:t xml:space="preserve"> Cross-references for "Quenched": Ps 66:12; Isa 43:2.</w:t>
      </w:r>
    </w:p>
  </w:footnote>
  <w:footnote w:id="18991">
    <w:p>
      <w:pPr>
        <w:pStyle w:val="FootnoteText"/>
      </w:pPr>
      <w:r>
        <w:rPr>
          <w:rStyle w:val="FootnoteReference"/>
        </w:rPr>
        <w:footnoteRef/>
      </w:r>
      <w:r>
        <w:t xml:space="preserve"> Cross-references for "Women": 1Kgs 17:22-24; 2Kgs 4:27-37.</w:t>
      </w:r>
    </w:p>
  </w:footnote>
  <w:footnote w:id="18992">
    <w:p>
      <w:pPr>
        <w:pStyle w:val="FootnoteText"/>
      </w:pPr>
      <w:r>
        <w:rPr>
          <w:rStyle w:val="FootnoteReference"/>
        </w:rPr>
        <w:footnoteRef/>
      </w:r>
      <w:r>
        <w:t xml:space="preserve"> Cross-references for "mockings": Judg 16:25; 2Kgs 2:23.</w:t>
      </w:r>
    </w:p>
  </w:footnote>
  <w:footnote w:id="18993">
    <w:p>
      <w:pPr>
        <w:pStyle w:val="FootnoteText"/>
      </w:pPr>
      <w:r>
        <w:rPr>
          <w:rStyle w:val="FootnoteReference"/>
        </w:rPr>
        <w:footnoteRef/>
      </w:r>
      <w:r>
        <w:t xml:space="preserve"> Cross-references for "stoned": 1Kgs 21:10; 1Kgs 21:13-15.</w:t>
      </w:r>
    </w:p>
  </w:footnote>
  <w:footnote w:id="18994">
    <w:p>
      <w:pPr>
        <w:pStyle w:val="FootnoteText"/>
      </w:pPr>
      <w:r>
        <w:rPr>
          <w:rStyle w:val="FootnoteReference"/>
        </w:rPr>
        <w:footnoteRef/>
      </w:r>
      <w:r>
        <w:t xml:space="preserve"> Cross-references for "better": Heb 7:19; Heb 7:22.</w:t>
      </w:r>
    </w:p>
  </w:footnote>
  <w:footnote w:id="18995">
    <w:p>
      <w:pPr>
        <w:pStyle w:val="FootnoteText"/>
      </w:pPr>
      <w:r>
        <w:rPr>
          <w:rStyle w:val="FootnoteReference"/>
        </w:rPr>
        <w:footnoteRef/>
      </w:r>
      <w:r>
        <w:t xml:space="preserve"> Cross-references for "seeing": Heb 11:2-38.</w:t>
      </w:r>
    </w:p>
  </w:footnote>
  <w:footnote w:id="18996">
    <w:p>
      <w:pPr>
        <w:pStyle w:val="FootnoteText"/>
      </w:pPr>
      <w:r>
        <w:rPr>
          <w:rStyle w:val="FootnoteReference"/>
        </w:rPr>
        <w:footnoteRef/>
      </w:r>
      <w:r>
        <w:t xml:space="preserve"> Cross-references for "Looking": Isa 8:17; Isa 31:1.</w:t>
      </w:r>
    </w:p>
  </w:footnote>
  <w:footnote w:id="18997">
    <w:p>
      <w:pPr>
        <w:pStyle w:val="FootnoteText"/>
      </w:pPr>
      <w:r>
        <w:rPr>
          <w:rStyle w:val="FootnoteReference"/>
        </w:rPr>
        <w:footnoteRef/>
      </w:r>
      <w:r>
        <w:t xml:space="preserve"> Cross-references for "consider": 1Sam 12:24; 2Tim 2:7-8.</w:t>
      </w:r>
    </w:p>
  </w:footnote>
  <w:footnote w:id="18998">
    <w:p>
      <w:pPr>
        <w:pStyle w:val="FootnoteText"/>
      </w:pPr>
      <w:r>
        <w:rPr>
          <w:rStyle w:val="FootnoteReference"/>
        </w:rPr>
        <w:footnoteRef/>
      </w:r>
      <w:r>
        <w:t xml:space="preserve"> Cross-references for "the exhortation": Prov 3:11-12; Heb 12:7.</w:t>
      </w:r>
    </w:p>
  </w:footnote>
  <w:footnote w:id="18999">
    <w:p>
      <w:pPr>
        <w:pStyle w:val="FootnoteText"/>
      </w:pPr>
      <w:r>
        <w:rPr>
          <w:rStyle w:val="FootnoteReference"/>
        </w:rPr>
        <w:footnoteRef/>
      </w:r>
      <w:r>
        <w:t xml:space="preserve"> Cross-references for "endure": Job 34:31-32; Prov 19:18.</w:t>
      </w:r>
    </w:p>
  </w:footnote>
  <w:footnote w:id="19000">
    <w:p>
      <w:pPr>
        <w:pStyle w:val="FootnoteText"/>
      </w:pPr>
      <w:r>
        <w:rPr>
          <w:rStyle w:val="FootnoteReference"/>
        </w:rPr>
        <w:footnoteRef/>
      </w:r>
      <w:r>
        <w:t xml:space="preserve"> Cross-references for "fathers": John 3:6; Acts 2:30.</w:t>
      </w:r>
    </w:p>
  </w:footnote>
  <w:footnote w:id="19001">
    <w:p>
      <w:pPr>
        <w:pStyle w:val="FootnoteText"/>
      </w:pPr>
      <w:r>
        <w:rPr>
          <w:rStyle w:val="FootnoteReference"/>
        </w:rPr>
        <w:footnoteRef/>
      </w:r>
      <w:r>
        <w:t xml:space="preserve"> Cross-references for "but he": Heb 12:5-6.</w:t>
      </w:r>
    </w:p>
  </w:footnote>
  <w:footnote w:id="19002">
    <w:p>
      <w:pPr>
        <w:pStyle w:val="FootnoteText"/>
      </w:pPr>
      <w:r>
        <w:rPr>
          <w:rStyle w:val="FootnoteReference"/>
        </w:rPr>
        <w:footnoteRef/>
      </w:r>
      <w:r>
        <w:t xml:space="preserve"> Cross-references for "no chastening": Ps 89:32; Ps 118:18.</w:t>
      </w:r>
    </w:p>
  </w:footnote>
  <w:footnote w:id="19003">
    <w:p>
      <w:pPr>
        <w:pStyle w:val="FootnoteText"/>
      </w:pPr>
      <w:r>
        <w:rPr>
          <w:rStyle w:val="FootnoteReference"/>
        </w:rPr>
        <w:footnoteRef/>
      </w:r>
      <w:r>
        <w:t xml:space="preserve"> Cross-references for "make": Prov 4:26-27; Isa 35:3.</w:t>
      </w:r>
    </w:p>
  </w:footnote>
  <w:footnote w:id="19004">
    <w:p>
      <w:pPr>
        <w:pStyle w:val="FootnoteText"/>
      </w:pPr>
      <w:r>
        <w:rPr>
          <w:rStyle w:val="FootnoteReference"/>
        </w:rPr>
        <w:footnoteRef/>
      </w:r>
      <w:r>
        <w:t xml:space="preserve"> Cross-references for "Follow": Gen 13:7-9; Ps 34:14.</w:t>
      </w:r>
    </w:p>
  </w:footnote>
  <w:footnote w:id="19005">
    <w:p>
      <w:pPr>
        <w:pStyle w:val="FootnoteText"/>
      </w:pPr>
      <w:r>
        <w:rPr>
          <w:rStyle w:val="FootnoteReference"/>
        </w:rPr>
        <w:footnoteRef/>
      </w:r>
      <w:r>
        <w:t xml:space="preserve"> Cross-references for "Looking": Deut 4:9; Prov 4:23.</w:t>
      </w:r>
    </w:p>
  </w:footnote>
  <w:footnote w:id="19006">
    <w:p>
      <w:pPr>
        <w:pStyle w:val="FootnoteText"/>
      </w:pPr>
      <w:r>
        <w:rPr>
          <w:rStyle w:val="FootnoteReference"/>
        </w:rPr>
        <w:footnoteRef/>
      </w:r>
      <w:r>
        <w:t xml:space="preserve"> Cross-references for "as Esau": Gen 25:31-34; Gen 27:36.</w:t>
      </w:r>
    </w:p>
  </w:footnote>
  <w:footnote w:id="19007">
    <w:p>
      <w:pPr>
        <w:pStyle w:val="FootnoteText"/>
      </w:pPr>
      <w:r>
        <w:rPr>
          <w:rStyle w:val="FootnoteReference"/>
        </w:rPr>
        <w:footnoteRef/>
      </w:r>
      <w:r>
        <w:t xml:space="preserve"> Cross-references for "when he": Gen 27:31-41.</w:t>
      </w:r>
    </w:p>
  </w:footnote>
  <w:footnote w:id="19008">
    <w:p>
      <w:pPr>
        <w:pStyle w:val="FootnoteText"/>
      </w:pPr>
      <w:r>
        <w:rPr>
          <w:rStyle w:val="FootnoteReference"/>
        </w:rPr>
        <w:footnoteRef/>
      </w:r>
      <w:r>
        <w:t xml:space="preserve"> Cross-references for "the sound": Exod 19:16-19; 1Cor 15:52.</w:t>
      </w:r>
    </w:p>
  </w:footnote>
  <w:footnote w:id="19009">
    <w:p>
      <w:pPr>
        <w:pStyle w:val="FootnoteText"/>
      </w:pPr>
      <w:r>
        <w:rPr>
          <w:rStyle w:val="FootnoteReference"/>
        </w:rPr>
        <w:footnoteRef/>
      </w:r>
      <w:r>
        <w:t xml:space="preserve"> Cross-references for "For they": Deut 33:2; Rom 3:19-20.</w:t>
      </w:r>
    </w:p>
  </w:footnote>
  <w:footnote w:id="19010">
    <w:p>
      <w:pPr>
        <w:pStyle w:val="FootnoteText"/>
      </w:pPr>
      <w:r>
        <w:rPr>
          <w:rStyle w:val="FootnoteReference"/>
        </w:rPr>
        <w:footnoteRef/>
      </w:r>
      <w:r>
        <w:t xml:space="preserve"> Cross-references for "Moses": Exod 19:16; Exod 19:19.</w:t>
      </w:r>
    </w:p>
  </w:footnote>
  <w:footnote w:id="19011">
    <w:p>
      <w:pPr>
        <w:pStyle w:val="FootnoteText"/>
      </w:pPr>
      <w:r>
        <w:rPr>
          <w:rStyle w:val="FootnoteReference"/>
        </w:rPr>
        <w:footnoteRef/>
      </w:r>
      <w:r>
        <w:t xml:space="preserve"> Cross-references for "of the": Deut 5:26; Josh 3:10.</w:t>
      </w:r>
    </w:p>
  </w:footnote>
  <w:footnote w:id="19012">
    <w:p>
      <w:pPr>
        <w:pStyle w:val="FootnoteText"/>
      </w:pPr>
      <w:r>
        <w:rPr>
          <w:rStyle w:val="FootnoteReference"/>
        </w:rPr>
        <w:footnoteRef/>
      </w:r>
      <w:r>
        <w:t xml:space="preserve"> Cross-references for "the general": Ps 89:7; Ps 111:1.</w:t>
      </w:r>
    </w:p>
  </w:footnote>
  <w:footnote w:id="19013">
    <w:p>
      <w:pPr>
        <w:pStyle w:val="FootnoteText"/>
      </w:pPr>
      <w:r>
        <w:rPr>
          <w:rStyle w:val="FootnoteReference"/>
        </w:rPr>
        <w:footnoteRef/>
      </w:r>
      <w:r>
        <w:t xml:space="preserve"> Cross-references for "Jesus": 1Tim 2:5; Heb 7:22.</w:t>
      </w:r>
    </w:p>
  </w:footnote>
  <w:footnote w:id="19014">
    <w:p>
      <w:pPr>
        <w:pStyle w:val="FootnoteText"/>
      </w:pPr>
      <w:r>
        <w:rPr>
          <w:rStyle w:val="FootnoteReference"/>
        </w:rPr>
        <w:footnoteRef/>
      </w:r>
      <w:r>
        <w:t xml:space="preserve"> Cross-references for "refuse": Prov 1:24; Prov 8:33.</w:t>
      </w:r>
    </w:p>
  </w:footnote>
  <w:footnote w:id="19015">
    <w:p>
      <w:pPr>
        <w:pStyle w:val="FootnoteText"/>
      </w:pPr>
      <w:r>
        <w:rPr>
          <w:rStyle w:val="FootnoteReference"/>
        </w:rPr>
        <w:footnoteRef/>
      </w:r>
      <w:r>
        <w:t xml:space="preserve"> Cross-references for "voice": Exod 19:18; Ps 114:6-7.</w:t>
      </w:r>
    </w:p>
  </w:footnote>
  <w:footnote w:id="19016">
    <w:p>
      <w:pPr>
        <w:pStyle w:val="FootnoteText"/>
      </w:pPr>
      <w:r>
        <w:rPr>
          <w:rStyle w:val="FootnoteReference"/>
        </w:rPr>
        <w:footnoteRef/>
      </w:r>
      <w:r>
        <w:t xml:space="preserve"> Cross-references for "a kingdom": Isa 9:7; Dan 2:44.</w:t>
      </w:r>
    </w:p>
  </w:footnote>
  <w:footnote w:id="19017">
    <w:p>
      <w:pPr>
        <w:pStyle w:val="FootnoteText"/>
      </w:pPr>
      <w:r>
        <w:rPr>
          <w:rStyle w:val="FootnoteReference"/>
        </w:rPr>
        <w:footnoteRef/>
      </w:r>
      <w:r>
        <w:t xml:space="preserve"> Cross-references for "Marriage": Gen 1:27-28; Gen 2:21.</w:t>
      </w:r>
    </w:p>
  </w:footnote>
  <w:footnote w:id="19018">
    <w:p>
      <w:pPr>
        <w:pStyle w:val="FootnoteText"/>
      </w:pPr>
      <w:r>
        <w:rPr>
          <w:rStyle w:val="FootnoteReference"/>
        </w:rPr>
        <w:footnoteRef/>
      </w:r>
      <w:r>
        <w:t xml:space="preserve"> Cross-references for "and be": Exod 2:21; Matt 6:25.</w:t>
      </w:r>
    </w:p>
  </w:footnote>
  <w:footnote w:id="19019">
    <w:p>
      <w:pPr>
        <w:pStyle w:val="FootnoteText"/>
      </w:pPr>
      <w:r>
        <w:rPr>
          <w:rStyle w:val="FootnoteReference"/>
        </w:rPr>
        <w:footnoteRef/>
      </w:r>
      <w:r>
        <w:t xml:space="preserve"> Cross-references for "boldly": Eph 3:12; Heb 4:16.</w:t>
      </w:r>
    </w:p>
  </w:footnote>
  <w:footnote w:id="19020">
    <w:p>
      <w:pPr>
        <w:pStyle w:val="FootnoteText"/>
      </w:pPr>
      <w:r>
        <w:rPr>
          <w:rStyle w:val="FootnoteReference"/>
        </w:rPr>
        <w:footnoteRef/>
      </w:r>
      <w:r>
        <w:t xml:space="preserve"> Cross-references for "considering": Acts 7:55-60.</w:t>
      </w:r>
    </w:p>
  </w:footnote>
  <w:footnote w:id="19021">
    <w:p>
      <w:pPr>
        <w:pStyle w:val="FootnoteText"/>
      </w:pPr>
      <w:r>
        <w:rPr>
          <w:rStyle w:val="FootnoteReference"/>
        </w:rPr>
        <w:footnoteRef/>
      </w:r>
      <w:r>
        <w:t xml:space="preserve"> Cross-references for "carried": Matt 24:4; Matt 24:24.</w:t>
      </w:r>
    </w:p>
  </w:footnote>
  <w:footnote w:id="19022">
    <w:p>
      <w:pPr>
        <w:pStyle w:val="FootnoteText"/>
      </w:pPr>
      <w:r>
        <w:rPr>
          <w:rStyle w:val="FootnoteReference"/>
        </w:rPr>
        <w:footnoteRef/>
      </w:r>
      <w:r>
        <w:t xml:space="preserve"> Cross-references for "an altar": 1Cor 5:7-8; 1Cor 9:13.</w:t>
      </w:r>
    </w:p>
  </w:footnote>
  <w:footnote w:id="19023">
    <w:p>
      <w:pPr>
        <w:pStyle w:val="FootnoteText"/>
      </w:pPr>
      <w:r>
        <w:rPr>
          <w:rStyle w:val="FootnoteReference"/>
        </w:rPr>
        <w:footnoteRef/>
      </w:r>
      <w:r>
        <w:t xml:space="preserve"> Cross-references for "the bodies": Exod 29:14; Lev 4:5-7.</w:t>
      </w:r>
    </w:p>
  </w:footnote>
  <w:footnote w:id="19024">
    <w:p>
      <w:pPr>
        <w:pStyle w:val="FootnoteText"/>
      </w:pPr>
      <w:r>
        <w:rPr>
          <w:rStyle w:val="FootnoteReference"/>
        </w:rPr>
        <w:footnoteRef/>
      </w:r>
      <w:r>
        <w:t xml:space="preserve"> Cross-references for "sanctify": John 17:19; John 19:34.</w:t>
      </w:r>
    </w:p>
  </w:footnote>
  <w:footnote w:id="19025">
    <w:p>
      <w:pPr>
        <w:pStyle w:val="FootnoteText"/>
      </w:pPr>
      <w:r>
        <w:rPr>
          <w:rStyle w:val="FootnoteReference"/>
        </w:rPr>
        <w:footnoteRef/>
      </w:r>
      <w:r>
        <w:t xml:space="preserve"> Cross-references for "the sacrifice": Lev 7:12; 2Chr 7:6.</w:t>
      </w:r>
    </w:p>
  </w:footnote>
  <w:footnote w:id="19026">
    <w:p>
      <w:pPr>
        <w:pStyle w:val="FootnoteText"/>
      </w:pPr>
      <w:r>
        <w:rPr>
          <w:rStyle w:val="FootnoteReference"/>
        </w:rPr>
        <w:footnoteRef/>
      </w:r>
      <w:r>
        <w:t xml:space="preserve"> Cross-references for "with such": Ps 51:19; Mic 6:7-8.</w:t>
      </w:r>
    </w:p>
  </w:footnote>
  <w:footnote w:id="19027">
    <w:p>
      <w:pPr>
        <w:pStyle w:val="FootnoteText"/>
      </w:pPr>
      <w:r>
        <w:rPr>
          <w:rStyle w:val="FootnoteReference"/>
        </w:rPr>
        <w:footnoteRef/>
      </w:r>
      <w:r>
        <w:t xml:space="preserve"> Cross-references for "Obey": 1Sam 8:19; 1Sam 15:19-20.</w:t>
      </w:r>
    </w:p>
  </w:footnote>
  <w:footnote w:id="19028">
    <w:p>
      <w:pPr>
        <w:pStyle w:val="FootnoteText"/>
      </w:pPr>
      <w:r>
        <w:rPr>
          <w:rStyle w:val="FootnoteReference"/>
        </w:rPr>
        <w:footnoteRef/>
      </w:r>
      <w:r>
        <w:t xml:space="preserve"> Cross-references for "Pray": Rom 15:30; Eph 6:19-20.</w:t>
      </w:r>
    </w:p>
  </w:footnote>
  <w:footnote w:id="19029">
    <w:p>
      <w:pPr>
        <w:pStyle w:val="FootnoteText"/>
      </w:pPr>
      <w:r>
        <w:rPr>
          <w:rStyle w:val="FootnoteReference"/>
        </w:rPr>
        <w:footnoteRef/>
      </w:r>
      <w:r>
        <w:t xml:space="preserve"> Cross-references for "the God": Rom 15:33; Rom 16:20.</w:t>
      </w:r>
    </w:p>
  </w:footnote>
  <w:footnote w:id="19030">
    <w:p>
      <w:pPr>
        <w:pStyle w:val="FootnoteText"/>
      </w:pPr>
      <w:r>
        <w:rPr>
          <w:rStyle w:val="FootnoteReference"/>
        </w:rPr>
        <w:footnoteRef/>
      </w:r>
      <w:r>
        <w:t xml:space="preserve"> Cross-references for "Make": Deut 32:4; Ps 138:8.</w:t>
      </w:r>
    </w:p>
  </w:footnote>
  <w:footnote w:id="19031">
    <w:p>
      <w:pPr>
        <w:pStyle w:val="FootnoteText"/>
      </w:pPr>
      <w:r>
        <w:rPr>
          <w:rStyle w:val="FootnoteReference"/>
        </w:rPr>
        <w:footnoteRef/>
      </w:r>
      <w:r>
        <w:t xml:space="preserve"> Cross-references for "brother": Acts 16:1-3; 1Thess 3:2.</w:t>
      </w:r>
    </w:p>
  </w:footnote>
  <w:footnote w:id="19032">
    <w:p>
      <w:pPr>
        <w:pStyle w:val="FootnoteText"/>
      </w:pPr>
      <w:r>
        <w:rPr>
          <w:rStyle w:val="FootnoteReference"/>
        </w:rPr>
        <w:footnoteRef/>
      </w:r>
      <w:r>
        <w:t xml:space="preserve"> Cross-references for "Salute": Rom 16:1-16.</w:t>
      </w:r>
    </w:p>
  </w:footnote>
  <w:footnote w:id="19033">
    <w:p>
      <w:pPr>
        <w:pStyle w:val="FootnoteText"/>
      </w:pPr>
      <w:r>
        <w:rPr>
          <w:rStyle w:val="FootnoteReference"/>
        </w:rPr>
        <w:footnoteRef/>
      </w:r>
      <w:r>
        <w:t xml:space="preserve"> Cross-references for "James": Matt 10:3; Matt 13:55.</w:t>
      </w:r>
    </w:p>
  </w:footnote>
  <w:footnote w:id="19034">
    <w:p>
      <w:pPr>
        <w:pStyle w:val="FootnoteText"/>
      </w:pPr>
      <w:r>
        <w:rPr>
          <w:rStyle w:val="FootnoteReference"/>
        </w:rPr>
        <w:footnoteRef/>
      </w:r>
      <w:r>
        <w:t xml:space="preserve"> Cross-references for "count": Matt 5:10-12; Luke 6:22-23.</w:t>
      </w:r>
    </w:p>
  </w:footnote>
  <w:footnote w:id="19035">
    <w:p>
      <w:pPr>
        <w:pStyle w:val="FootnoteText"/>
      </w:pPr>
      <w:r>
        <w:rPr>
          <w:rStyle w:val="FootnoteReference"/>
        </w:rPr>
        <w:footnoteRef/>
      </w:r>
      <w:r>
        <w:t xml:space="preserve"> Cross-references for "perfect and": Prov 4:8; Matt 5:48.</w:t>
      </w:r>
    </w:p>
  </w:footnote>
  <w:footnote w:id="19036">
    <w:p>
      <w:pPr>
        <w:pStyle w:val="FootnoteText"/>
      </w:pPr>
      <w:r>
        <w:rPr>
          <w:rStyle w:val="FootnoteReference"/>
        </w:rPr>
        <w:footnoteRef/>
      </w:r>
      <w:r>
        <w:t xml:space="preserve"> Cross-references for "risen": Isa 49:10; Jonah 4:7-8.</w:t>
      </w:r>
    </w:p>
  </w:footnote>
  <w:footnote w:id="19037">
    <w:p>
      <w:pPr>
        <w:pStyle w:val="FootnoteText"/>
      </w:pPr>
      <w:r>
        <w:rPr>
          <w:rStyle w:val="FootnoteReference"/>
        </w:rPr>
        <w:footnoteRef/>
      </w:r>
      <w:r>
        <w:t xml:space="preserve"> Cross-references for "the man": Job 5:17; Ps 94:12.</w:t>
      </w:r>
    </w:p>
  </w:footnote>
  <w:footnote w:id="19038">
    <w:p>
      <w:pPr>
        <w:pStyle w:val="FootnoteText"/>
      </w:pPr>
      <w:r>
        <w:rPr>
          <w:rStyle w:val="FootnoteReference"/>
        </w:rPr>
        <w:footnoteRef/>
      </w:r>
      <w:r>
        <w:t xml:space="preserve"> Cross-references for "good": Gen 41:16; Gen 41:38-39.</w:t>
      </w:r>
    </w:p>
  </w:footnote>
  <w:footnote w:id="19039">
    <w:p>
      <w:pPr>
        <w:pStyle w:val="FootnoteText"/>
      </w:pPr>
      <w:r>
        <w:rPr>
          <w:rStyle w:val="FootnoteReference"/>
        </w:rPr>
        <w:footnoteRef/>
      </w:r>
      <w:r>
        <w:t xml:space="preserve"> Cross-references for "his own": John 1:13; John 3:3-5.</w:t>
      </w:r>
    </w:p>
  </w:footnote>
  <w:footnote w:id="19040">
    <w:p>
      <w:pPr>
        <w:pStyle w:val="FootnoteText"/>
      </w:pPr>
      <w:r>
        <w:rPr>
          <w:rStyle w:val="FootnoteReference"/>
        </w:rPr>
        <w:footnoteRef/>
      </w:r>
      <w:r>
        <w:t xml:space="preserve"> Cross-references for "slow to speak": Prov 10:19; Prov 13:3.</w:t>
      </w:r>
    </w:p>
  </w:footnote>
  <w:footnote w:id="19041">
    <w:p>
      <w:pPr>
        <w:pStyle w:val="FootnoteText"/>
      </w:pPr>
      <w:r>
        <w:rPr>
          <w:rStyle w:val="FootnoteReference"/>
        </w:rPr>
        <w:footnoteRef/>
      </w:r>
      <w:r>
        <w:t xml:space="preserve"> Cross-references for "filthiness": Ezek 36:25; 2Cor 7:1.</w:t>
      </w:r>
    </w:p>
  </w:footnote>
  <w:footnote w:id="19042">
    <w:p>
      <w:pPr>
        <w:pStyle w:val="FootnoteText"/>
      </w:pPr>
      <w:r>
        <w:rPr>
          <w:rStyle w:val="FootnoteReference"/>
        </w:rPr>
        <w:footnoteRef/>
      </w:r>
      <w:r>
        <w:t xml:space="preserve"> Cross-references for "deceiving": Isa 44:20; Obad 1:3.</w:t>
      </w:r>
    </w:p>
  </w:footnote>
  <w:footnote w:id="19043">
    <w:p>
      <w:pPr>
        <w:pStyle w:val="FootnoteText"/>
      </w:pPr>
      <w:r>
        <w:rPr>
          <w:rStyle w:val="FootnoteReference"/>
        </w:rPr>
        <w:footnoteRef/>
      </w:r>
      <w:r>
        <w:t xml:space="preserve"> Cross-references for "the perfect": Ps 19:7-10; Ps 119:32.</w:t>
      </w:r>
    </w:p>
  </w:footnote>
  <w:footnote w:id="19044">
    <w:p>
      <w:pPr>
        <w:pStyle w:val="FootnoteText"/>
      </w:pPr>
      <w:r>
        <w:rPr>
          <w:rStyle w:val="FootnoteReference"/>
        </w:rPr>
        <w:footnoteRef/>
      </w:r>
      <w:r>
        <w:t xml:space="preserve"> Cross-references for "seem": Prov 14:12; Prov 16:25.</w:t>
      </w:r>
    </w:p>
  </w:footnote>
  <w:footnote w:id="19045">
    <w:p>
      <w:pPr>
        <w:pStyle w:val="FootnoteText"/>
      </w:pPr>
      <w:r>
        <w:rPr>
          <w:rStyle w:val="FootnoteReference"/>
        </w:rPr>
        <w:footnoteRef/>
      </w:r>
      <w:r>
        <w:t xml:space="preserve"> Cross-references for "Pure": Ps 119:1; Matt 5:8.</w:t>
      </w:r>
    </w:p>
  </w:footnote>
  <w:footnote w:id="19046">
    <w:p>
      <w:pPr>
        <w:pStyle w:val="FootnoteText"/>
      </w:pPr>
      <w:r>
        <w:rPr>
          <w:rStyle w:val="FootnoteReference"/>
        </w:rPr>
        <w:footnoteRef/>
      </w:r>
      <w:r>
        <w:t xml:space="preserve"> Cross-references for "the faith": Acts 20:21; Acts 24:24.</w:t>
      </w:r>
    </w:p>
  </w:footnote>
  <w:footnote w:id="19047">
    <w:p>
      <w:pPr>
        <w:pStyle w:val="FootnoteText"/>
      </w:pPr>
      <w:r>
        <w:rPr>
          <w:rStyle w:val="FootnoteReference"/>
        </w:rPr>
        <w:footnoteRef/>
      </w:r>
      <w:r>
        <w:t xml:space="preserve"> Cross-references for "gold": Luke 15:22; Esth 3:10.</w:t>
      </w:r>
    </w:p>
  </w:footnote>
  <w:footnote w:id="19048">
    <w:p>
      <w:pPr>
        <w:pStyle w:val="FootnoteText"/>
      </w:pPr>
      <w:r>
        <w:rPr>
          <w:rStyle w:val="FootnoteReference"/>
        </w:rPr>
        <w:footnoteRef/>
      </w:r>
      <w:r>
        <w:t xml:space="preserve"> Cross-references for "partial": Job 34:19; Mal 2:9.</w:t>
      </w:r>
    </w:p>
  </w:footnote>
  <w:footnote w:id="19049">
    <w:p>
      <w:pPr>
        <w:pStyle w:val="FootnoteText"/>
      </w:pPr>
      <w:r>
        <w:rPr>
          <w:rStyle w:val="FootnoteReference"/>
        </w:rPr>
        <w:footnoteRef/>
      </w:r>
      <w:r>
        <w:t xml:space="preserve"> Cross-references for "rich": Prov 8:17-21; Luke 12:21.</w:t>
      </w:r>
    </w:p>
  </w:footnote>
  <w:footnote w:id="19050">
    <w:p>
      <w:pPr>
        <w:pStyle w:val="FootnoteText"/>
      </w:pPr>
      <w:r>
        <w:rPr>
          <w:rStyle w:val="FootnoteReference"/>
        </w:rPr>
        <w:footnoteRef/>
      </w:r>
      <w:r>
        <w:t xml:space="preserve"> Cross-references for "blaspheme": Ps 73:7-9; Matt 12:24.</w:t>
      </w:r>
    </w:p>
  </w:footnote>
  <w:footnote w:id="19051">
    <w:p>
      <w:pPr>
        <w:pStyle w:val="FootnoteText"/>
      </w:pPr>
      <w:r>
        <w:rPr>
          <w:rStyle w:val="FootnoteReference"/>
        </w:rPr>
        <w:footnoteRef/>
      </w:r>
      <w:r>
        <w:t xml:space="preserve"> Cross-references for "the royal": Jas 1:25; Jas 2:12.</w:t>
      </w:r>
    </w:p>
  </w:footnote>
  <w:footnote w:id="19052">
    <w:p>
      <w:pPr>
        <w:pStyle w:val="FootnoteText"/>
      </w:pPr>
      <w:r>
        <w:rPr>
          <w:rStyle w:val="FootnoteReference"/>
        </w:rPr>
        <w:footnoteRef/>
      </w:r>
      <w:r>
        <w:t xml:space="preserve"> Cross-references for "transgressors": Rom 3:20; Rom 7:7-13.</w:t>
      </w:r>
    </w:p>
  </w:footnote>
  <w:footnote w:id="19053">
    <w:p>
      <w:pPr>
        <w:pStyle w:val="FootnoteText"/>
      </w:pPr>
      <w:r>
        <w:rPr>
          <w:rStyle w:val="FootnoteReference"/>
        </w:rPr>
        <w:footnoteRef/>
      </w:r>
      <w:r>
        <w:t xml:space="preserve"> Cross-references for "Do not commit": Exod 20:13-14; Deut 5:17-18.</w:t>
      </w:r>
    </w:p>
  </w:footnote>
  <w:footnote w:id="19054">
    <w:p>
      <w:pPr>
        <w:pStyle w:val="FootnoteText"/>
      </w:pPr>
      <w:r>
        <w:rPr>
          <w:rStyle w:val="FootnoteReference"/>
        </w:rPr>
        <w:footnoteRef/>
      </w:r>
      <w:r>
        <w:t xml:space="preserve"> Cross-references for "speak": Phil 4:8; Col 3:17.</w:t>
      </w:r>
    </w:p>
  </w:footnote>
  <w:footnote w:id="19055">
    <w:p>
      <w:pPr>
        <w:pStyle w:val="FootnoteText"/>
      </w:pPr>
      <w:r>
        <w:rPr>
          <w:rStyle w:val="FootnoteReference"/>
        </w:rPr>
        <w:footnoteRef/>
      </w:r>
      <w:r>
        <w:t xml:space="preserve"> Cross-references for "though": Matt 5:20; Matt 7:21-23.</w:t>
      </w:r>
    </w:p>
  </w:footnote>
  <w:footnote w:id="19056">
    <w:p>
      <w:pPr>
        <w:pStyle w:val="FootnoteText"/>
      </w:pPr>
      <w:r>
        <w:rPr>
          <w:rStyle w:val="FootnoteReference"/>
        </w:rPr>
        <w:footnoteRef/>
      </w:r>
      <w:r>
        <w:t xml:space="preserve"> Cross-references for "and I will": Matt 7:17; Rom 8:1.</w:t>
      </w:r>
    </w:p>
  </w:footnote>
  <w:footnote w:id="19057">
    <w:p>
      <w:pPr>
        <w:pStyle w:val="FootnoteText"/>
      </w:pPr>
      <w:r>
        <w:rPr>
          <w:rStyle w:val="FootnoteReference"/>
        </w:rPr>
        <w:footnoteRef/>
      </w:r>
      <w:r>
        <w:t xml:space="preserve"> Cross-references for "Abraham": Josh 24:3; Isa 51:2.</w:t>
      </w:r>
    </w:p>
  </w:footnote>
  <w:footnote w:id="19058">
    <w:p>
      <w:pPr>
        <w:pStyle w:val="FootnoteText"/>
      </w:pPr>
      <w:r>
        <w:rPr>
          <w:rStyle w:val="FootnoteReference"/>
        </w:rPr>
        <w:footnoteRef/>
      </w:r>
      <w:r>
        <w:t xml:space="preserve"> Cross-references for "faith": Gal 5:6; Heb 11:17-19.</w:t>
      </w:r>
    </w:p>
  </w:footnote>
  <w:footnote w:id="19059">
    <w:p>
      <w:pPr>
        <w:pStyle w:val="FootnoteText"/>
      </w:pPr>
      <w:r>
        <w:rPr>
          <w:rStyle w:val="FootnoteReference"/>
        </w:rPr>
        <w:footnoteRef/>
      </w:r>
      <w:r>
        <w:t xml:space="preserve"> Cross-references for "the scripture": Mark 12:10; Mark 15:28.</w:t>
      </w:r>
    </w:p>
  </w:footnote>
  <w:footnote w:id="19060">
    <w:p>
      <w:pPr>
        <w:pStyle w:val="FootnoteText"/>
      </w:pPr>
      <w:r>
        <w:rPr>
          <w:rStyle w:val="FootnoteReference"/>
        </w:rPr>
        <w:footnoteRef/>
      </w:r>
      <w:r>
        <w:t xml:space="preserve"> Cross-references for "justified": Jas 2:18; Jas 2:22.</w:t>
      </w:r>
    </w:p>
  </w:footnote>
  <w:footnote w:id="19061">
    <w:p>
      <w:pPr>
        <w:pStyle w:val="FootnoteText"/>
      </w:pPr>
      <w:r>
        <w:rPr>
          <w:rStyle w:val="FootnoteReference"/>
        </w:rPr>
        <w:footnoteRef/>
      </w:r>
      <w:r>
        <w:t xml:space="preserve"> Cross-references for "knowing": Lev 10:3; Ezek 3:17-18.</w:t>
      </w:r>
    </w:p>
  </w:footnote>
  <w:footnote w:id="19062">
    <w:p>
      <w:pPr>
        <w:pStyle w:val="FootnoteText"/>
      </w:pPr>
      <w:r>
        <w:rPr>
          <w:rStyle w:val="FootnoteReference"/>
        </w:rPr>
        <w:footnoteRef/>
      </w:r>
      <w:r>
        <w:t xml:space="preserve"> Cross-references for "a perfect": Matt 12:37; Col 1:28.</w:t>
      </w:r>
    </w:p>
  </w:footnote>
  <w:footnote w:id="19063">
    <w:p>
      <w:pPr>
        <w:pStyle w:val="FootnoteText"/>
      </w:pPr>
      <w:r>
        <w:rPr>
          <w:rStyle w:val="FootnoteReference"/>
        </w:rPr>
        <w:footnoteRef/>
      </w:r>
      <w:r>
        <w:t xml:space="preserve"> Cross-references for "are driven": Ps 107:25-27; Jonah 1:4.</w:t>
      </w:r>
    </w:p>
  </w:footnote>
  <w:footnote w:id="19064">
    <w:p>
      <w:pPr>
        <w:pStyle w:val="FootnoteText"/>
      </w:pPr>
      <w:r>
        <w:rPr>
          <w:rStyle w:val="FootnoteReference"/>
        </w:rPr>
        <w:footnoteRef/>
      </w:r>
      <w:r>
        <w:t xml:space="preserve"> Cross-references for "the tongue": Judg 12:4-6; 2Sam 19:43.</w:t>
      </w:r>
    </w:p>
  </w:footnote>
  <w:footnote w:id="19065">
    <w:p>
      <w:pPr>
        <w:pStyle w:val="FootnoteText"/>
      </w:pPr>
      <w:r>
        <w:rPr>
          <w:rStyle w:val="FootnoteReference"/>
        </w:rPr>
        <w:footnoteRef/>
      </w:r>
      <w:r>
        <w:t xml:space="preserve"> Cross-references for "is tamed": Mark 5:4.</w:t>
      </w:r>
    </w:p>
  </w:footnote>
  <w:footnote w:id="19066">
    <w:p>
      <w:pPr>
        <w:pStyle w:val="FootnoteText"/>
      </w:pPr>
      <w:r>
        <w:rPr>
          <w:rStyle w:val="FootnoteReference"/>
        </w:rPr>
        <w:footnoteRef/>
      </w:r>
      <w:r>
        <w:t xml:space="preserve"> Cross-references for "an unruly": Ps 55:21; Ps 57:4.</w:t>
      </w:r>
    </w:p>
  </w:footnote>
  <w:footnote w:id="19067">
    <w:p>
      <w:pPr>
        <w:pStyle w:val="FootnoteText"/>
      </w:pPr>
      <w:r>
        <w:rPr>
          <w:rStyle w:val="FootnoteReference"/>
        </w:rPr>
        <w:footnoteRef/>
      </w:r>
      <w:r>
        <w:t xml:space="preserve"> Cross-references for "bless": 1Chr 29:10; 1Chr 29:20.</w:t>
      </w:r>
    </w:p>
  </w:footnote>
  <w:footnote w:id="19068">
    <w:p>
      <w:pPr>
        <w:pStyle w:val="FootnoteText"/>
      </w:pPr>
      <w:r>
        <w:rPr>
          <w:rStyle w:val="FootnoteReference"/>
        </w:rPr>
        <w:footnoteRef/>
      </w:r>
      <w:r>
        <w:t xml:space="preserve"> Cross-references for "the fig tree": Isa 5:2-4; Jer 2:21.</w:t>
      </w:r>
    </w:p>
  </w:footnote>
  <w:footnote w:id="19069">
    <w:p>
      <w:pPr>
        <w:pStyle w:val="FootnoteText"/>
      </w:pPr>
      <w:r>
        <w:rPr>
          <w:rStyle w:val="FootnoteReference"/>
        </w:rPr>
        <w:footnoteRef/>
      </w:r>
      <w:r>
        <w:t xml:space="preserve"> Cross-references for "is a": Ps 107:43; Eccl 8:1.</w:t>
      </w:r>
    </w:p>
  </w:footnote>
  <w:footnote w:id="19070">
    <w:p>
      <w:pPr>
        <w:pStyle w:val="FootnoteText"/>
      </w:pPr>
      <w:r>
        <w:rPr>
          <w:rStyle w:val="FootnoteReference"/>
        </w:rPr>
        <w:footnoteRef/>
      </w:r>
      <w:r>
        <w:t xml:space="preserve"> Cross-references for "glory": Rom 2:17; Rom 2:23-29.</w:t>
      </w:r>
    </w:p>
  </w:footnote>
  <w:footnote w:id="19071">
    <w:p>
      <w:pPr>
        <w:pStyle w:val="FootnoteText"/>
      </w:pPr>
      <w:r>
        <w:rPr>
          <w:rStyle w:val="FootnoteReference"/>
        </w:rPr>
        <w:footnoteRef/>
      </w:r>
      <w:r>
        <w:t xml:space="preserve"> Cross-references for "wisdom": John 3:17; 1Cor 3:3.</w:t>
      </w:r>
    </w:p>
  </w:footnote>
  <w:footnote w:id="19072">
    <w:p>
      <w:pPr>
        <w:pStyle w:val="FootnoteText"/>
      </w:pPr>
      <w:r>
        <w:rPr>
          <w:rStyle w:val="FootnoteReference"/>
        </w:rPr>
        <w:footnoteRef/>
      </w:r>
      <w:r>
        <w:t xml:space="preserve"> Cross-references for "the wisdom": Gen 41:38-39; Exod 36:2.</w:t>
      </w:r>
    </w:p>
  </w:footnote>
  <w:footnote w:id="19073">
    <w:p>
      <w:pPr>
        <w:pStyle w:val="FootnoteText"/>
      </w:pPr>
      <w:r>
        <w:rPr>
          <w:rStyle w:val="FootnoteReference"/>
        </w:rPr>
        <w:footnoteRef/>
      </w:r>
      <w:r>
        <w:t xml:space="preserve"> Cross-references for "the fruit": Prov 11:18; Prov 11:28.</w:t>
      </w:r>
    </w:p>
  </w:footnote>
  <w:footnote w:id="19074">
    <w:p>
      <w:pPr>
        <w:pStyle w:val="FootnoteText"/>
      </w:pPr>
      <w:r>
        <w:rPr>
          <w:rStyle w:val="FootnoteReference"/>
        </w:rPr>
        <w:footnoteRef/>
      </w:r>
      <w:r>
        <w:t xml:space="preserve"> Cross-references for "lusts": Jas 4:3.</w:t>
      </w:r>
    </w:p>
  </w:footnote>
  <w:footnote w:id="19075">
    <w:p>
      <w:pPr>
        <w:pStyle w:val="FootnoteText"/>
      </w:pPr>
      <w:r>
        <w:rPr>
          <w:rStyle w:val="FootnoteReference"/>
        </w:rPr>
        <w:footnoteRef/>
      </w:r>
      <w:r>
        <w:t xml:space="preserve"> Cross-references for "lust": Prov 1:19; Eccl 4:8.</w:t>
      </w:r>
    </w:p>
  </w:footnote>
  <w:footnote w:id="19076">
    <w:p>
      <w:pPr>
        <w:pStyle w:val="FootnoteText"/>
      </w:pPr>
      <w:r>
        <w:rPr>
          <w:rStyle w:val="FootnoteReference"/>
        </w:rPr>
        <w:footnoteRef/>
      </w:r>
      <w:r>
        <w:t xml:space="preserve"> Cross-references for "lusts": Jas 4:1.</w:t>
      </w:r>
    </w:p>
  </w:footnote>
  <w:footnote w:id="19077">
    <w:p>
      <w:pPr>
        <w:pStyle w:val="FootnoteText"/>
      </w:pPr>
      <w:r>
        <w:rPr>
          <w:rStyle w:val="FootnoteReference"/>
        </w:rPr>
        <w:footnoteRef/>
      </w:r>
      <w:r>
        <w:t xml:space="preserve"> Cross-references for "adulterers": Ps 50:18; Ps 73:27.</w:t>
      </w:r>
    </w:p>
  </w:footnote>
  <w:footnote w:id="19078">
    <w:p>
      <w:pPr>
        <w:pStyle w:val="FootnoteText"/>
      </w:pPr>
      <w:r>
        <w:rPr>
          <w:rStyle w:val="FootnoteReference"/>
        </w:rPr>
        <w:footnoteRef/>
      </w:r>
      <w:r>
        <w:t xml:space="preserve"> Cross-references for "the scripture": John 7:42; John 10:35.</w:t>
      </w:r>
    </w:p>
  </w:footnote>
  <w:footnote w:id="19079">
    <w:p>
      <w:pPr>
        <w:pStyle w:val="FootnoteText"/>
      </w:pPr>
      <w:r>
        <w:rPr>
          <w:rStyle w:val="FootnoteReference"/>
        </w:rPr>
        <w:footnoteRef/>
      </w:r>
      <w:r>
        <w:t xml:space="preserve"> Cross-references for "Submit": 1Sam 3:18; 2Sam 15:26.</w:t>
      </w:r>
    </w:p>
  </w:footnote>
  <w:footnote w:id="19080">
    <w:p>
      <w:pPr>
        <w:pStyle w:val="FootnoteText"/>
      </w:pPr>
      <w:r>
        <w:rPr>
          <w:rStyle w:val="FootnoteReference"/>
        </w:rPr>
        <w:footnoteRef/>
      </w:r>
      <w:r>
        <w:t xml:space="preserve"> Cross-references for "Cleanse": Job 9:30; Job 16:17.</w:t>
      </w:r>
    </w:p>
  </w:footnote>
  <w:footnote w:id="19081">
    <w:p>
      <w:pPr>
        <w:pStyle w:val="FootnoteText"/>
      </w:pPr>
      <w:r>
        <w:rPr>
          <w:rStyle w:val="FootnoteReference"/>
        </w:rPr>
        <w:footnoteRef/>
      </w:r>
      <w:r>
        <w:t xml:space="preserve"> Cross-references for "afflicted": Ps 119:67; Ps 119:71.</w:t>
      </w:r>
    </w:p>
  </w:footnote>
  <w:footnote w:id="19082">
    <w:p>
      <w:pPr>
        <w:pStyle w:val="FootnoteText"/>
      </w:pPr>
      <w:r>
        <w:rPr>
          <w:rStyle w:val="FootnoteReference"/>
        </w:rPr>
        <w:footnoteRef/>
      </w:r>
      <w:r>
        <w:t xml:space="preserve"> Cross-references for "Humble": Jas 4:6-7.</w:t>
      </w:r>
    </w:p>
  </w:footnote>
  <w:footnote w:id="19083">
    <w:p>
      <w:pPr>
        <w:pStyle w:val="FootnoteText"/>
      </w:pPr>
      <w:r>
        <w:rPr>
          <w:rStyle w:val="FootnoteReference"/>
        </w:rPr>
        <w:footnoteRef/>
      </w:r>
      <w:r>
        <w:t xml:space="preserve"> Cross-references for "Speak": Ps 140:11; Eph 4:31.</w:t>
      </w:r>
    </w:p>
  </w:footnote>
  <w:footnote w:id="19084">
    <w:p>
      <w:pPr>
        <w:pStyle w:val="FootnoteText"/>
      </w:pPr>
      <w:r>
        <w:rPr>
          <w:rStyle w:val="FootnoteReference"/>
        </w:rPr>
        <w:footnoteRef/>
      </w:r>
      <w:r>
        <w:t xml:space="preserve"> Cross-references for "lawgiver": Isa 33:22.</w:t>
      </w:r>
    </w:p>
  </w:footnote>
  <w:footnote w:id="19085">
    <w:p>
      <w:pPr>
        <w:pStyle w:val="FootnoteText"/>
      </w:pPr>
      <w:r>
        <w:rPr>
          <w:rStyle w:val="FootnoteReference"/>
        </w:rPr>
        <w:footnoteRef/>
      </w:r>
      <w:r>
        <w:t xml:space="preserve"> Cross-references for "Go to": Gen 11:3-4; Gen 11:7.</w:t>
      </w:r>
    </w:p>
  </w:footnote>
  <w:footnote w:id="19086">
    <w:p>
      <w:pPr>
        <w:pStyle w:val="FootnoteText"/>
      </w:pPr>
      <w:r>
        <w:rPr>
          <w:rStyle w:val="FootnoteReference"/>
        </w:rPr>
        <w:footnoteRef/>
      </w:r>
      <w:r>
        <w:t xml:space="preserve"> Cross-references for "a vapour": Job 7:6-7; Job 9:25-26.</w:t>
      </w:r>
    </w:p>
  </w:footnote>
  <w:footnote w:id="19087">
    <w:p>
      <w:pPr>
        <w:pStyle w:val="FootnoteText"/>
      </w:pPr>
      <w:r>
        <w:rPr>
          <w:rStyle w:val="FootnoteReference"/>
        </w:rPr>
        <w:footnoteRef/>
      </w:r>
      <w:r>
        <w:t xml:space="preserve"> Cross-references for "weep": Isa 13:6; Isa 22:12-13.</w:t>
      </w:r>
    </w:p>
  </w:footnote>
  <w:footnote w:id="19088">
    <w:p>
      <w:pPr>
        <w:pStyle w:val="FootnoteText"/>
      </w:pPr>
      <w:r>
        <w:rPr>
          <w:rStyle w:val="FootnoteReference"/>
        </w:rPr>
        <w:footnoteRef/>
      </w:r>
      <w:r>
        <w:t xml:space="preserve"> Cross-references for "Your riches": Jer 17:11; Matt 6:19-20.</w:t>
      </w:r>
    </w:p>
  </w:footnote>
  <w:footnote w:id="19089">
    <w:p>
      <w:pPr>
        <w:pStyle w:val="FootnoteText"/>
      </w:pPr>
      <w:r>
        <w:rPr>
          <w:rStyle w:val="FootnoteReference"/>
        </w:rPr>
        <w:footnoteRef/>
      </w:r>
      <w:r>
        <w:t xml:space="preserve"> Cross-references for "cankered": 2Tim 2:17.</w:t>
      </w:r>
    </w:p>
  </w:footnote>
  <w:footnote w:id="19090">
    <w:p>
      <w:pPr>
        <w:pStyle w:val="FootnoteText"/>
      </w:pPr>
      <w:r>
        <w:rPr>
          <w:rStyle w:val="FootnoteReference"/>
        </w:rPr>
        <w:footnoteRef/>
      </w:r>
      <w:r>
        <w:t xml:space="preserve"> Cross-references for "the hire": Lev 19:13; Deut 24:14-15.</w:t>
      </w:r>
    </w:p>
  </w:footnote>
  <w:footnote w:id="19091">
    <w:p>
      <w:pPr>
        <w:pStyle w:val="FootnoteText"/>
      </w:pPr>
      <w:r>
        <w:rPr>
          <w:rStyle w:val="FootnoteReference"/>
        </w:rPr>
        <w:footnoteRef/>
      </w:r>
      <w:r>
        <w:t xml:space="preserve"> Transliterated proper noun: Sabaoth. Standard English equivalent: Lord of hosts. Source form: Sabaoth. Greek form: σαβαωθ. Name meaning: Yahweh of armies; Lord of heavenly hosts.</w:t>
      </w:r>
    </w:p>
  </w:footnote>
  <w:footnote w:id="19092">
    <w:p>
      <w:pPr>
        <w:pStyle w:val="FootnoteText"/>
      </w:pPr>
      <w:r>
        <w:rPr>
          <w:rStyle w:val="FootnoteReference"/>
        </w:rPr>
        <w:footnoteRef/>
      </w:r>
      <w:r>
        <w:t xml:space="preserve"> Cross-references for "have lived": 1Sam 25:6; 1Sam 25:36.</w:t>
      </w:r>
    </w:p>
  </w:footnote>
  <w:footnote w:id="19093">
    <w:p>
      <w:pPr>
        <w:pStyle w:val="FootnoteText"/>
      </w:pPr>
      <w:r>
        <w:rPr>
          <w:rStyle w:val="FootnoteReference"/>
        </w:rPr>
        <w:footnoteRef/>
      </w:r>
      <w:r>
        <w:t xml:space="preserve"> Cross-references for "Be patient": Luke 8:15; Rom 2:7.</w:t>
      </w:r>
    </w:p>
  </w:footnote>
  <w:footnote w:id="19094">
    <w:p>
      <w:pPr>
        <w:pStyle w:val="FootnoteText"/>
      </w:pPr>
      <w:r>
        <w:rPr>
          <w:rStyle w:val="FootnoteReference"/>
        </w:rPr>
        <w:footnoteRef/>
      </w:r>
      <w:r>
        <w:t xml:space="preserve"> Cross-references for "Grudge not": Lev 19:18; Ps 59:15.</w:t>
      </w:r>
    </w:p>
  </w:footnote>
  <w:footnote w:id="19095">
    <w:p>
      <w:pPr>
        <w:pStyle w:val="FootnoteText"/>
      </w:pPr>
      <w:r>
        <w:rPr>
          <w:rStyle w:val="FootnoteReference"/>
        </w:rPr>
        <w:footnoteRef/>
      </w:r>
      <w:r>
        <w:t xml:space="preserve"> Cross-references for "we count": Ps 94:12; Matt 5:10-11.</w:t>
      </w:r>
    </w:p>
  </w:footnote>
  <w:footnote w:id="19096">
    <w:p>
      <w:pPr>
        <w:pStyle w:val="FootnoteText"/>
      </w:pPr>
      <w:r>
        <w:rPr>
          <w:rStyle w:val="FootnoteReference"/>
        </w:rPr>
        <w:footnoteRef/>
      </w:r>
      <w:r>
        <w:t xml:space="preserve"> Personal name: Job. Personal-name meaning: Job — Persecuted; where is the father. Source form: Job.</w:t>
      </w:r>
    </w:p>
  </w:footnote>
  <w:footnote w:id="19097">
    <w:p>
      <w:pPr>
        <w:pStyle w:val="FootnoteText"/>
      </w:pPr>
      <w:r>
        <w:rPr>
          <w:rStyle w:val="FootnoteReference"/>
        </w:rPr>
        <w:footnoteRef/>
      </w:r>
      <w:r>
        <w:t xml:space="preserve"> Cross-references for "let him sing": 1Chr 16:9; Ps 95:2.</w:t>
      </w:r>
    </w:p>
  </w:footnote>
  <w:footnote w:id="19098">
    <w:p>
      <w:pPr>
        <w:pStyle w:val="FootnoteText"/>
      </w:pPr>
      <w:r>
        <w:rPr>
          <w:rStyle w:val="FootnoteReference"/>
        </w:rPr>
        <w:footnoteRef/>
      </w:r>
      <w:r>
        <w:t xml:space="preserve"> Cross-references for "pray": 1Kgs 17:21; 2Kgs 4:33.</w:t>
      </w:r>
    </w:p>
  </w:footnote>
  <w:footnote w:id="19099">
    <w:p>
      <w:pPr>
        <w:pStyle w:val="FootnoteText"/>
      </w:pPr>
      <w:r>
        <w:rPr>
          <w:rStyle w:val="FootnoteReference"/>
        </w:rPr>
        <w:footnoteRef/>
      </w:r>
      <w:r>
        <w:t xml:space="preserve"> Cross-references for "the prayer": Matt 17:20-21; Matt 21:21-22.</w:t>
      </w:r>
    </w:p>
  </w:footnote>
  <w:footnote w:id="19100">
    <w:p>
      <w:pPr>
        <w:pStyle w:val="FootnoteText"/>
      </w:pPr>
      <w:r>
        <w:rPr>
          <w:rStyle w:val="FootnoteReference"/>
        </w:rPr>
        <w:footnoteRef/>
      </w:r>
      <w:r>
        <w:t xml:space="preserve"> Cross-references for "Confess": Gen 41:9-10; 2Sam 19:19.</w:t>
      </w:r>
    </w:p>
  </w:footnote>
  <w:footnote w:id="19101">
    <w:p>
      <w:pPr>
        <w:pStyle w:val="FootnoteText"/>
      </w:pPr>
      <w:r>
        <w:rPr>
          <w:rStyle w:val="FootnoteReference"/>
        </w:rPr>
        <w:footnoteRef/>
      </w:r>
      <w:r>
        <w:t xml:space="preserve"> Cross-references for "and one": Ezek 34:4; Ezek 34:16.</w:t>
      </w:r>
    </w:p>
  </w:footnote>
  <w:footnote w:id="19102">
    <w:p>
      <w:pPr>
        <w:pStyle w:val="FootnoteText"/>
      </w:pPr>
      <w:r>
        <w:rPr>
          <w:rStyle w:val="FootnoteReference"/>
        </w:rPr>
        <w:footnoteRef/>
      </w:r>
      <w:r>
        <w:t xml:space="preserve"> Cross-references for "shall save": Prov 11:30; Rom 11:14.</w:t>
      </w:r>
    </w:p>
  </w:footnote>
  <w:footnote w:id="19103">
    <w:p>
      <w:pPr>
        <w:pStyle w:val="FootnoteText"/>
      </w:pPr>
      <w:r>
        <w:rPr>
          <w:rStyle w:val="FootnoteReference"/>
        </w:rPr>
        <w:footnoteRef/>
      </w:r>
      <w:r>
        <w:t xml:space="preserve"> Cross-references for "Peter": Matt 4:18; Matt 10:2.</w:t>
      </w:r>
    </w:p>
  </w:footnote>
  <w:footnote w:id="19104">
    <w:p>
      <w:pPr>
        <w:pStyle w:val="FootnoteText"/>
      </w:pPr>
      <w:r>
        <w:rPr>
          <w:rStyle w:val="FootnoteReference"/>
        </w:rPr>
        <w:footnoteRef/>
      </w:r>
      <w:r>
        <w:t xml:space="preserve"> Cross-references for "Elect": Deut 7:6; Isa 65:9.</w:t>
      </w:r>
    </w:p>
  </w:footnote>
  <w:footnote w:id="19105">
    <w:p>
      <w:pPr>
        <w:pStyle w:val="FootnoteText"/>
      </w:pPr>
      <w:r>
        <w:rPr>
          <w:rStyle w:val="FootnoteReference"/>
        </w:rPr>
        <w:footnoteRef/>
      </w:r>
      <w:r>
        <w:t xml:space="preserve"> Cross-references for "Blessed": 1Kgs 8:15; 1Chr 29:10-13.</w:t>
      </w:r>
    </w:p>
  </w:footnote>
  <w:footnote w:id="19106">
    <w:p>
      <w:pPr>
        <w:pStyle w:val="FootnoteText"/>
      </w:pPr>
      <w:r>
        <w:rPr>
          <w:rStyle w:val="FootnoteReference"/>
        </w:rPr>
        <w:footnoteRef/>
      </w:r>
      <w:r>
        <w:t xml:space="preserve"> Cross-references for "incorruptible": 1Cor 9:25; 1Cor 15:52-54.</w:t>
      </w:r>
    </w:p>
  </w:footnote>
  <w:footnote w:id="19107">
    <w:p>
      <w:pPr>
        <w:pStyle w:val="FootnoteText"/>
      </w:pPr>
      <w:r>
        <w:rPr>
          <w:rStyle w:val="FootnoteReference"/>
        </w:rPr>
        <w:footnoteRef/>
      </w:r>
      <w:r>
        <w:t xml:space="preserve"> Cross-references for "kept": 1Sam 2:9; Ps 37:23-24.</w:t>
      </w:r>
    </w:p>
  </w:footnote>
  <w:footnote w:id="19108">
    <w:p>
      <w:pPr>
        <w:pStyle w:val="FootnoteText"/>
      </w:pPr>
      <w:r>
        <w:rPr>
          <w:rStyle w:val="FootnoteReference"/>
        </w:rPr>
        <w:footnoteRef/>
      </w:r>
      <w:r>
        <w:t xml:space="preserve"> Cross-references for "manifold": Ps 34:19; John 16:33.</w:t>
      </w:r>
    </w:p>
  </w:footnote>
  <w:footnote w:id="19109">
    <w:p>
      <w:pPr>
        <w:pStyle w:val="FootnoteText"/>
      </w:pPr>
      <w:r>
        <w:rPr>
          <w:rStyle w:val="FootnoteReference"/>
        </w:rPr>
        <w:footnoteRef/>
      </w:r>
      <w:r>
        <w:t xml:space="preserve"> Cross-references for "the trial": Job 23:10; Ps 66:10-12.</w:t>
      </w:r>
    </w:p>
  </w:footnote>
  <w:footnote w:id="19110">
    <w:p>
      <w:pPr>
        <w:pStyle w:val="FootnoteText"/>
      </w:pPr>
      <w:r>
        <w:rPr>
          <w:rStyle w:val="FootnoteReference"/>
        </w:rPr>
        <w:footnoteRef/>
      </w:r>
      <w:r>
        <w:t xml:space="preserve"> Cross-references for "believing": Hab 3:17-18; Acts 16:34.</w:t>
      </w:r>
    </w:p>
  </w:footnote>
  <w:footnote w:id="19111">
    <w:p>
      <w:pPr>
        <w:pStyle w:val="FootnoteText"/>
      </w:pPr>
      <w:r>
        <w:rPr>
          <w:rStyle w:val="FootnoteReference"/>
        </w:rPr>
        <w:footnoteRef/>
      </w:r>
      <w:r>
        <w:t xml:space="preserve"> Cross-references for "the grace": Heb 11:13; Heb 11:40.</w:t>
      </w:r>
    </w:p>
  </w:footnote>
  <w:footnote w:id="19112">
    <w:p>
      <w:pPr>
        <w:pStyle w:val="FootnoteText"/>
      </w:pPr>
      <w:r>
        <w:rPr>
          <w:rStyle w:val="FootnoteReference"/>
        </w:rPr>
        <w:footnoteRef/>
      </w:r>
      <w:r>
        <w:t xml:space="preserve"> Cross-references for "the Spirit": Rom 8:9; Gal 4:6.</w:t>
      </w:r>
    </w:p>
  </w:footnote>
  <w:footnote w:id="19113">
    <w:p>
      <w:pPr>
        <w:pStyle w:val="FootnoteText"/>
      </w:pPr>
      <w:r>
        <w:rPr>
          <w:rStyle w:val="FootnoteReference"/>
        </w:rPr>
        <w:footnoteRef/>
      </w:r>
      <w:r>
        <w:t xml:space="preserve"> Cross-references for "that not": Dan 9:24; Dan 12:9.</w:t>
      </w:r>
    </w:p>
  </w:footnote>
  <w:footnote w:id="19114">
    <w:p>
      <w:pPr>
        <w:pStyle w:val="FootnoteText"/>
      </w:pPr>
      <w:r>
        <w:rPr>
          <w:rStyle w:val="FootnoteReference"/>
        </w:rPr>
        <w:footnoteRef/>
      </w:r>
      <w:r>
        <w:t xml:space="preserve"> Cross-references for "gird": Exod 12:11; 1Kgs 18:46.</w:t>
      </w:r>
    </w:p>
  </w:footnote>
  <w:footnote w:id="19115">
    <w:p>
      <w:pPr>
        <w:pStyle w:val="FootnoteText"/>
      </w:pPr>
      <w:r>
        <w:rPr>
          <w:rStyle w:val="FootnoteReference"/>
        </w:rPr>
        <w:footnoteRef/>
      </w:r>
      <w:r>
        <w:t xml:space="preserve"> Cross-references for "call": Zeph 3:9; Matt 6:9.</w:t>
      </w:r>
    </w:p>
  </w:footnote>
  <w:footnote w:id="19116">
    <w:p>
      <w:pPr>
        <w:pStyle w:val="FootnoteText"/>
      </w:pPr>
      <w:r>
        <w:rPr>
          <w:rStyle w:val="FootnoteReference"/>
        </w:rPr>
        <w:footnoteRef/>
      </w:r>
      <w:r>
        <w:t xml:space="preserve"> Cross-references for "corruptible": 1Pet 1:7.</w:t>
      </w:r>
    </w:p>
  </w:footnote>
  <w:footnote w:id="19117">
    <w:p>
      <w:pPr>
        <w:pStyle w:val="FootnoteText"/>
      </w:pPr>
      <w:r>
        <w:rPr>
          <w:rStyle w:val="FootnoteReference"/>
        </w:rPr>
        <w:footnoteRef/>
      </w:r>
      <w:r>
        <w:t xml:space="preserve"> Cross-references for "that raised": Acts 2:24; Acts 2:32.</w:t>
      </w:r>
    </w:p>
  </w:footnote>
  <w:footnote w:id="19118">
    <w:p>
      <w:pPr>
        <w:pStyle w:val="FootnoteText"/>
      </w:pPr>
      <w:r>
        <w:rPr>
          <w:rStyle w:val="FootnoteReference"/>
        </w:rPr>
        <w:footnoteRef/>
      </w:r>
      <w:r>
        <w:t xml:space="preserve"> Cross-references for "a pure": 1Tim 1:3; 1Tim 4:12.</w:t>
      </w:r>
    </w:p>
  </w:footnote>
  <w:footnote w:id="19119">
    <w:p>
      <w:pPr>
        <w:pStyle w:val="FootnoteText"/>
      </w:pPr>
      <w:r>
        <w:rPr>
          <w:rStyle w:val="FootnoteReference"/>
        </w:rPr>
        <w:footnoteRef/>
      </w:r>
      <w:r>
        <w:t xml:space="preserve"> Cross-references for "born": John 1:3; John 3:5.</w:t>
      </w:r>
    </w:p>
  </w:footnote>
  <w:footnote w:id="19120">
    <w:p>
      <w:pPr>
        <w:pStyle w:val="FootnoteText"/>
      </w:pPr>
      <w:r>
        <w:rPr>
          <w:rStyle w:val="FootnoteReference"/>
        </w:rPr>
        <w:footnoteRef/>
      </w:r>
      <w:r>
        <w:t xml:space="preserve"> Cross-references for "all flesh": 2Kgs 19:26; Ps 37:2.</w:t>
      </w:r>
    </w:p>
  </w:footnote>
  <w:footnote w:id="19121">
    <w:p>
      <w:pPr>
        <w:pStyle w:val="FootnoteText"/>
      </w:pPr>
      <w:r>
        <w:rPr>
          <w:rStyle w:val="FootnoteReference"/>
        </w:rPr>
        <w:footnoteRef/>
      </w:r>
      <w:r>
        <w:t xml:space="preserve"> Cross-references for "the word": Ps 102:12; Ps 102:26.</w:t>
      </w:r>
    </w:p>
  </w:footnote>
  <w:footnote w:id="19122">
    <w:p>
      <w:pPr>
        <w:pStyle w:val="FootnoteText"/>
      </w:pPr>
      <w:r>
        <w:rPr>
          <w:rStyle w:val="FootnoteReference"/>
        </w:rPr>
        <w:footnoteRef/>
      </w:r>
      <w:r>
        <w:t xml:space="preserve"> Cross-references for "laying": Isa 2:20; Isa 30:22.</w:t>
      </w:r>
    </w:p>
  </w:footnote>
  <w:footnote w:id="19123">
    <w:p>
      <w:pPr>
        <w:pStyle w:val="FootnoteText"/>
      </w:pPr>
      <w:r>
        <w:rPr>
          <w:rStyle w:val="FootnoteReference"/>
        </w:rPr>
        <w:footnoteRef/>
      </w:r>
      <w:r>
        <w:t xml:space="preserve"> Cross-references for "newborn": Matt 18:3; Mark 10:15.</w:t>
      </w:r>
    </w:p>
  </w:footnote>
  <w:footnote w:id="19124">
    <w:p>
      <w:pPr>
        <w:pStyle w:val="FootnoteText"/>
      </w:pPr>
      <w:r>
        <w:rPr>
          <w:rStyle w:val="FootnoteReference"/>
        </w:rPr>
        <w:footnoteRef/>
      </w:r>
      <w:r>
        <w:t xml:space="preserve"> Cross-references for "a living": John 5:26; John 6:57.</w:t>
      </w:r>
    </w:p>
  </w:footnote>
  <w:footnote w:id="19125">
    <w:p>
      <w:pPr>
        <w:pStyle w:val="FootnoteText"/>
      </w:pPr>
      <w:r>
        <w:rPr>
          <w:rStyle w:val="FootnoteReference"/>
        </w:rPr>
        <w:footnoteRef/>
      </w:r>
      <w:r>
        <w:t xml:space="preserve"> Cross-references for "also": 1Cor 3:16; 1Cor 6:19.</w:t>
      </w:r>
    </w:p>
  </w:footnote>
  <w:footnote w:id="19126">
    <w:p>
      <w:pPr>
        <w:pStyle w:val="FootnoteText"/>
      </w:pPr>
      <w:r>
        <w:rPr>
          <w:rStyle w:val="FootnoteReference"/>
        </w:rPr>
        <w:footnoteRef/>
      </w:r>
      <w:r>
        <w:t xml:space="preserve"> Cross-references for "elect": Ps 89:19; Isa 42:1.</w:t>
      </w:r>
    </w:p>
  </w:footnote>
  <w:footnote w:id="19127">
    <w:p>
      <w:pPr>
        <w:pStyle w:val="FootnoteText"/>
      </w:pPr>
      <w:r>
        <w:rPr>
          <w:rStyle w:val="FootnoteReference"/>
        </w:rPr>
        <w:footnoteRef/>
      </w:r>
      <w:r>
        <w:t xml:space="preserve"> Cross-references for "the stone": Ps 118:22-23; Matt 21:42.</w:t>
      </w:r>
    </w:p>
  </w:footnote>
  <w:footnote w:id="19128">
    <w:p>
      <w:pPr>
        <w:pStyle w:val="FootnoteText"/>
      </w:pPr>
      <w:r>
        <w:rPr>
          <w:rStyle w:val="FootnoteReference"/>
        </w:rPr>
        <w:footnoteRef/>
      </w:r>
      <w:r>
        <w:t xml:space="preserve"> Cross-references for "a stone": Isa 8:14; Isa 57:14.</w:t>
      </w:r>
    </w:p>
  </w:footnote>
  <w:footnote w:id="19129">
    <w:p>
      <w:pPr>
        <w:pStyle w:val="FootnoteText"/>
      </w:pPr>
      <w:r>
        <w:rPr>
          <w:rStyle w:val="FootnoteReference"/>
        </w:rPr>
        <w:footnoteRef/>
      </w:r>
      <w:r>
        <w:t xml:space="preserve"> Cross-references for "a chosen": Deut 10:15; Ps 22:30.</w:t>
      </w:r>
    </w:p>
  </w:footnote>
  <w:footnote w:id="19130">
    <w:p>
      <w:pPr>
        <w:pStyle w:val="FootnoteText"/>
      </w:pPr>
      <w:r>
        <w:rPr>
          <w:rStyle w:val="FootnoteReference"/>
        </w:rPr>
        <w:footnoteRef/>
      </w:r>
      <w:r>
        <w:t xml:space="preserve"> Cross-references for "obtained": Hos 2:23; Rom 11:6-7.</w:t>
      </w:r>
    </w:p>
  </w:footnote>
  <w:footnote w:id="19131">
    <w:p>
      <w:pPr>
        <w:pStyle w:val="FootnoteText"/>
      </w:pPr>
      <w:r>
        <w:rPr>
          <w:rStyle w:val="FootnoteReference"/>
        </w:rPr>
        <w:footnoteRef/>
      </w:r>
      <w:r>
        <w:t xml:space="preserve"> Cross-references for "abstain": Luke 21:34; Acts 15:20.</w:t>
      </w:r>
    </w:p>
  </w:footnote>
  <w:footnote w:id="19132">
    <w:p>
      <w:pPr>
        <w:pStyle w:val="FootnoteText"/>
      </w:pPr>
      <w:r>
        <w:rPr>
          <w:rStyle w:val="FootnoteReference"/>
        </w:rPr>
        <w:footnoteRef/>
      </w:r>
      <w:r>
        <w:t xml:space="preserve"> Cross-references for "honest": Rom 12:17; Rom 13:13.</w:t>
      </w:r>
    </w:p>
  </w:footnote>
  <w:footnote w:id="19133">
    <w:p>
      <w:pPr>
        <w:pStyle w:val="FootnoteText"/>
      </w:pPr>
      <w:r>
        <w:rPr>
          <w:rStyle w:val="FootnoteReference"/>
        </w:rPr>
        <w:footnoteRef/>
      </w:r>
      <w:r>
        <w:t xml:space="preserve"> Cross-references for "for the punishment": Rom 13:3-4.</w:t>
      </w:r>
    </w:p>
  </w:footnote>
  <w:footnote w:id="19134">
    <w:p>
      <w:pPr>
        <w:pStyle w:val="FootnoteText"/>
      </w:pPr>
      <w:r>
        <w:rPr>
          <w:rStyle w:val="FootnoteReference"/>
        </w:rPr>
        <w:footnoteRef/>
      </w:r>
      <w:r>
        <w:t xml:space="preserve"> Cross-references for "the ignorance": 1Tim 1:13; 2Pet 2:12.</w:t>
      </w:r>
    </w:p>
  </w:footnote>
  <w:footnote w:id="19135">
    <w:p>
      <w:pPr>
        <w:pStyle w:val="FootnoteText"/>
      </w:pPr>
      <w:r>
        <w:rPr>
          <w:rStyle w:val="FootnoteReference"/>
        </w:rPr>
        <w:footnoteRef/>
      </w:r>
      <w:r>
        <w:t xml:space="preserve"> Cross-references for "free": John 8:32-36; Rom 6:18.</w:t>
      </w:r>
    </w:p>
  </w:footnote>
  <w:footnote w:id="19136">
    <w:p>
      <w:pPr>
        <w:pStyle w:val="FootnoteText"/>
      </w:pPr>
      <w:r>
        <w:rPr>
          <w:rStyle w:val="FootnoteReference"/>
        </w:rPr>
        <w:footnoteRef/>
      </w:r>
      <w:r>
        <w:t xml:space="preserve"> Cross-references for "Love": Zech 11:14; John 13:35.</w:t>
      </w:r>
    </w:p>
  </w:footnote>
  <w:footnote w:id="19137">
    <w:p>
      <w:pPr>
        <w:pStyle w:val="FootnoteText"/>
      </w:pPr>
      <w:r>
        <w:rPr>
          <w:rStyle w:val="FootnoteReference"/>
        </w:rPr>
        <w:footnoteRef/>
      </w:r>
      <w:r>
        <w:t xml:space="preserve"> Cross-references for "the good": 2Cor 10:1; Gal 5:22.</w:t>
      </w:r>
    </w:p>
  </w:footnote>
  <w:footnote w:id="19138">
    <w:p>
      <w:pPr>
        <w:pStyle w:val="FootnoteText"/>
      </w:pPr>
      <w:r>
        <w:rPr>
          <w:rStyle w:val="FootnoteReference"/>
        </w:rPr>
        <w:footnoteRef/>
      </w:r>
      <w:r>
        <w:t xml:space="preserve"> Cross-references for "suffering": Job 21:27; Ps 35:19.</w:t>
      </w:r>
    </w:p>
  </w:footnote>
  <w:footnote w:id="19139">
    <w:p>
      <w:pPr>
        <w:pStyle w:val="FootnoteText"/>
      </w:pPr>
      <w:r>
        <w:rPr>
          <w:rStyle w:val="FootnoteReference"/>
        </w:rPr>
        <w:footnoteRef/>
      </w:r>
      <w:r>
        <w:t xml:space="preserve"> Cross-references for "buffeted": Matt 26:67; Mark 14:65.</w:t>
      </w:r>
    </w:p>
  </w:footnote>
  <w:footnote w:id="19140">
    <w:p>
      <w:pPr>
        <w:pStyle w:val="FootnoteText"/>
      </w:pPr>
      <w:r>
        <w:rPr>
          <w:rStyle w:val="FootnoteReference"/>
        </w:rPr>
        <w:footnoteRef/>
      </w:r>
      <w:r>
        <w:t xml:space="preserve"> Cross-references for "for us": 1Pet 1:20.</w:t>
      </w:r>
    </w:p>
  </w:footnote>
  <w:footnote w:id="19141">
    <w:p>
      <w:pPr>
        <w:pStyle w:val="FootnoteText"/>
      </w:pPr>
      <w:r>
        <w:rPr>
          <w:rStyle w:val="FootnoteReference"/>
        </w:rPr>
        <w:footnoteRef/>
      </w:r>
      <w:r>
        <w:t xml:space="preserve"> Cross-references for "when he was": Ps 38:12-14; Isa 53:7.</w:t>
      </w:r>
    </w:p>
  </w:footnote>
  <w:footnote w:id="19142">
    <w:p>
      <w:pPr>
        <w:pStyle w:val="FootnoteText"/>
      </w:pPr>
      <w:r>
        <w:rPr>
          <w:rStyle w:val="FootnoteReference"/>
        </w:rPr>
        <w:footnoteRef/>
      </w:r>
      <w:r>
        <w:t xml:space="preserve"> Cross-references for "his own self": Exod 28:38; Lev 16:22.</w:t>
      </w:r>
    </w:p>
  </w:footnote>
  <w:footnote w:id="19143">
    <w:p>
      <w:pPr>
        <w:pStyle w:val="FootnoteText"/>
      </w:pPr>
      <w:r>
        <w:rPr>
          <w:rStyle w:val="FootnoteReference"/>
        </w:rPr>
        <w:footnoteRef/>
      </w:r>
      <w:r>
        <w:t xml:space="preserve"> Cross-references for "the Shepherd": Ps 23:1-3; Ps 80:1.</w:t>
      </w:r>
    </w:p>
  </w:footnote>
  <w:footnote w:id="19144">
    <w:p>
      <w:pPr>
        <w:pStyle w:val="FootnoteText"/>
      </w:pPr>
      <w:r>
        <w:rPr>
          <w:rStyle w:val="FootnoteReference"/>
        </w:rPr>
        <w:footnoteRef/>
      </w:r>
      <w:r>
        <w:t xml:space="preserve"> Cross-references for "obey": Rom 6:17; Rom 10:16.</w:t>
      </w:r>
    </w:p>
  </w:footnote>
  <w:footnote w:id="19145">
    <w:p>
      <w:pPr>
        <w:pStyle w:val="FootnoteText"/>
      </w:pPr>
      <w:r>
        <w:rPr>
          <w:rStyle w:val="FootnoteReference"/>
        </w:rPr>
        <w:footnoteRef/>
      </w:r>
      <w:r>
        <w:t xml:space="preserve"> Cross-references for "the hidden": Ps 45:13; Ps 51:6.</w:t>
      </w:r>
    </w:p>
  </w:footnote>
  <w:footnote w:id="19146">
    <w:p>
      <w:pPr>
        <w:pStyle w:val="FootnoteText"/>
      </w:pPr>
      <w:r>
        <w:rPr>
          <w:rStyle w:val="FootnoteReference"/>
        </w:rPr>
        <w:footnoteRef/>
      </w:r>
      <w:r>
        <w:t xml:space="preserve"> Cross-references for "the holy": Prov 31:10; Prov 31:30.</w:t>
      </w:r>
    </w:p>
  </w:footnote>
  <w:footnote w:id="19147">
    <w:p>
      <w:pPr>
        <w:pStyle w:val="FootnoteText"/>
      </w:pPr>
      <w:r>
        <w:rPr>
          <w:rStyle w:val="FootnoteReference"/>
        </w:rPr>
        <w:footnoteRef/>
      </w:r>
      <w:r>
        <w:t xml:space="preserve"> Cross-references for "giving": 1Cor 12:22-24; 1Thess 4:4.</w:t>
      </w:r>
    </w:p>
  </w:footnote>
  <w:footnote w:id="19148">
    <w:p>
      <w:pPr>
        <w:pStyle w:val="FootnoteText"/>
      </w:pPr>
      <w:r>
        <w:rPr>
          <w:rStyle w:val="FootnoteReference"/>
        </w:rPr>
        <w:footnoteRef/>
      </w:r>
      <w:r>
        <w:t xml:space="preserve"> Cross-references for "pitiful": Ps 103:13; Prov 28:8.</w:t>
      </w:r>
    </w:p>
  </w:footnote>
  <w:footnote w:id="19149">
    <w:p>
      <w:pPr>
        <w:pStyle w:val="FootnoteText"/>
      </w:pPr>
      <w:r>
        <w:rPr>
          <w:rStyle w:val="FootnoteReference"/>
        </w:rPr>
        <w:footnoteRef/>
      </w:r>
      <w:r>
        <w:t xml:space="preserve"> Cross-references for "rendering": Prov 17:13; Prov 20:22.</w:t>
      </w:r>
    </w:p>
  </w:footnote>
  <w:footnote w:id="19150">
    <w:p>
      <w:pPr>
        <w:pStyle w:val="FootnoteText"/>
      </w:pPr>
      <w:r>
        <w:rPr>
          <w:rStyle w:val="FootnoteReference"/>
        </w:rPr>
        <w:footnoteRef/>
      </w:r>
      <w:r>
        <w:t xml:space="preserve"> Cross-references for "love": Deut 32:47; Job 2:4.</w:t>
      </w:r>
    </w:p>
  </w:footnote>
  <w:footnote w:id="19151">
    <w:p>
      <w:pPr>
        <w:pStyle w:val="FootnoteText"/>
      </w:pPr>
      <w:r>
        <w:rPr>
          <w:rStyle w:val="FootnoteReference"/>
        </w:rPr>
        <w:footnoteRef/>
      </w:r>
      <w:r>
        <w:t xml:space="preserve"> Cross-references for "seek": Ps 120:6-7; Matt 5:9.</w:t>
      </w:r>
    </w:p>
  </w:footnote>
  <w:footnote w:id="19152">
    <w:p>
      <w:pPr>
        <w:pStyle w:val="FootnoteText"/>
      </w:pPr>
      <w:r>
        <w:rPr>
          <w:rStyle w:val="FootnoteReference"/>
        </w:rPr>
        <w:footnoteRef/>
      </w:r>
      <w:r>
        <w:t xml:space="preserve"> Cross-references for "the eyes": Deut 11:12; 2Chr 16:9.</w:t>
      </w:r>
    </w:p>
  </w:footnote>
  <w:footnote w:id="19153">
    <w:p>
      <w:pPr>
        <w:pStyle w:val="FootnoteText"/>
      </w:pPr>
      <w:r>
        <w:rPr>
          <w:rStyle w:val="FootnoteReference"/>
        </w:rPr>
        <w:footnoteRef/>
      </w:r>
      <w:r>
        <w:t xml:space="preserve"> Cross-references for "followers": Ps 38:20; Prov 15:9.</w:t>
      </w:r>
    </w:p>
  </w:footnote>
  <w:footnote w:id="19154">
    <w:p>
      <w:pPr>
        <w:pStyle w:val="FootnoteText"/>
      </w:pPr>
      <w:r>
        <w:rPr>
          <w:rStyle w:val="FootnoteReference"/>
        </w:rPr>
        <w:footnoteRef/>
      </w:r>
      <w:r>
        <w:t xml:space="preserve"> Cross-references for "sanctify": Num 20:12; Num 27:14.</w:t>
      </w:r>
    </w:p>
  </w:footnote>
  <w:footnote w:id="19155">
    <w:p>
      <w:pPr>
        <w:pStyle w:val="FootnoteText"/>
      </w:pPr>
      <w:r>
        <w:rPr>
          <w:rStyle w:val="FootnoteReference"/>
        </w:rPr>
        <w:footnoteRef/>
      </w:r>
      <w:r>
        <w:t xml:space="preserve"> Cross-references for "a good": Acts 24:16; Rom 9:1.</w:t>
      </w:r>
    </w:p>
  </w:footnote>
  <w:footnote w:id="19156">
    <w:p>
      <w:pPr>
        <w:pStyle w:val="FootnoteText"/>
      </w:pPr>
      <w:r>
        <w:rPr>
          <w:rStyle w:val="FootnoteReference"/>
        </w:rPr>
        <w:footnoteRef/>
      </w:r>
      <w:r>
        <w:t xml:space="preserve"> Cross-references for "suffer": 1Pet 3:14.</w:t>
      </w:r>
    </w:p>
  </w:footnote>
  <w:footnote w:id="19157">
    <w:p>
      <w:pPr>
        <w:pStyle w:val="FootnoteText"/>
      </w:pPr>
      <w:r>
        <w:rPr>
          <w:rStyle w:val="FootnoteReference"/>
        </w:rPr>
        <w:footnoteRef/>
      </w:r>
      <w:r>
        <w:t xml:space="preserve"> Cross-references for "Christ": Isa 53:4-6; Rom 5:6-8.</w:t>
      </w:r>
    </w:p>
  </w:footnote>
  <w:footnote w:id="19158">
    <w:p>
      <w:pPr>
        <w:pStyle w:val="FootnoteText"/>
      </w:pPr>
      <w:r>
        <w:rPr>
          <w:rStyle w:val="FootnoteReference"/>
        </w:rPr>
        <w:footnoteRef/>
      </w:r>
      <w:r>
        <w:t xml:space="preserve"> Cross-references for "By which": Neh 9:30; 1Pet 1:11-12.</w:t>
      </w:r>
    </w:p>
  </w:footnote>
  <w:footnote w:id="19159">
    <w:p>
      <w:pPr>
        <w:pStyle w:val="FootnoteText"/>
      </w:pPr>
      <w:r>
        <w:rPr>
          <w:rStyle w:val="FootnoteReference"/>
        </w:rPr>
        <w:footnoteRef/>
      </w:r>
      <w:r>
        <w:t xml:space="preserve"> Cross-references for "sometime": Gen 6:3; Gen 6:5.</w:t>
      </w:r>
    </w:p>
  </w:footnote>
  <w:footnote w:id="19160">
    <w:p>
      <w:pPr>
        <w:pStyle w:val="FootnoteText"/>
      </w:pPr>
      <w:r>
        <w:rPr>
          <w:rStyle w:val="FootnoteReference"/>
        </w:rPr>
        <w:footnoteRef/>
      </w:r>
      <w:r>
        <w:t xml:space="preserve"> Cross-references for "baptism": Matt 28:19; Mark 16:16.</w:t>
      </w:r>
    </w:p>
  </w:footnote>
  <w:footnote w:id="19161">
    <w:p>
      <w:pPr>
        <w:pStyle w:val="FootnoteText"/>
      </w:pPr>
      <w:r>
        <w:rPr>
          <w:rStyle w:val="FootnoteReference"/>
        </w:rPr>
        <w:footnoteRef/>
      </w:r>
      <w:r>
        <w:t xml:space="preserve"> Cross-references for "is gone": Mark 16:19; Acts 1:11.</w:t>
      </w:r>
    </w:p>
  </w:footnote>
  <w:footnote w:id="19162">
    <w:p>
      <w:pPr>
        <w:pStyle w:val="FootnoteText"/>
      </w:pPr>
      <w:r>
        <w:rPr>
          <w:rStyle w:val="FootnoteReference"/>
        </w:rPr>
        <w:footnoteRef/>
      </w:r>
      <w:r>
        <w:t xml:space="preserve"> Cross-references for "Christ": 1Pet 3:18.</w:t>
      </w:r>
    </w:p>
  </w:footnote>
  <w:footnote w:id="19163">
    <w:p>
      <w:pPr>
        <w:pStyle w:val="FootnoteText"/>
      </w:pPr>
      <w:r>
        <w:rPr>
          <w:rStyle w:val="FootnoteReference"/>
        </w:rPr>
        <w:footnoteRef/>
      </w:r>
      <w:r>
        <w:t xml:space="preserve"> Cross-references for "the will": Ps 143:10; Matt 7:21.</w:t>
      </w:r>
    </w:p>
  </w:footnote>
  <w:footnote w:id="19164">
    <w:p>
      <w:pPr>
        <w:pStyle w:val="FootnoteText"/>
      </w:pPr>
      <w:r>
        <w:rPr>
          <w:rStyle w:val="FootnoteReference"/>
        </w:rPr>
        <w:footnoteRef/>
      </w:r>
      <w:r>
        <w:t xml:space="preserve"> Cross-references for "the time": Ezek 44:6; Ezek 45:9.</w:t>
      </w:r>
    </w:p>
  </w:footnote>
  <w:footnote w:id="19165">
    <w:p>
      <w:pPr>
        <w:pStyle w:val="FootnoteText"/>
      </w:pPr>
      <w:r>
        <w:rPr>
          <w:rStyle w:val="FootnoteReference"/>
        </w:rPr>
        <w:footnoteRef/>
      </w:r>
      <w:r>
        <w:t xml:space="preserve"> Cross-references for "excess": Matt 23:25; Luke 15:13.</w:t>
      </w:r>
    </w:p>
  </w:footnote>
  <w:footnote w:id="19166">
    <w:p>
      <w:pPr>
        <w:pStyle w:val="FootnoteText"/>
      </w:pPr>
      <w:r>
        <w:rPr>
          <w:rStyle w:val="FootnoteReference"/>
        </w:rPr>
        <w:footnoteRef/>
      </w:r>
      <w:r>
        <w:t xml:space="preserve"> Cross-references for "the end": Eccl 7:2; Jer 5:31.</w:t>
      </w:r>
    </w:p>
  </w:footnote>
  <w:footnote w:id="19167">
    <w:p>
      <w:pPr>
        <w:pStyle w:val="FootnoteText"/>
      </w:pPr>
      <w:r>
        <w:rPr>
          <w:rStyle w:val="FootnoteReference"/>
        </w:rPr>
        <w:footnoteRef/>
      </w:r>
      <w:r>
        <w:t xml:space="preserve"> Cross-references for "fervent": Prov 10:12; 1Cor 13:1-13.</w:t>
      </w:r>
    </w:p>
  </w:footnote>
  <w:footnote w:id="19168">
    <w:p>
      <w:pPr>
        <w:pStyle w:val="FootnoteText"/>
      </w:pPr>
      <w:r>
        <w:rPr>
          <w:rStyle w:val="FootnoteReference"/>
        </w:rPr>
        <w:footnoteRef/>
      </w:r>
      <w:r>
        <w:t xml:space="preserve"> Translation note: Greek diakonountes carries the sense of serving. The draft keeps the gift-directed service in view rather than the older minister wording.</w:t>
      </w:r>
    </w:p>
  </w:footnote>
  <w:footnote w:id="19169">
    <w:p>
      <w:pPr>
        <w:pStyle w:val="FootnoteText"/>
      </w:pPr>
      <w:r>
        <w:rPr>
          <w:rStyle w:val="FootnoteReference"/>
        </w:rPr>
        <w:footnoteRef/>
      </w:r>
      <w:r>
        <w:t xml:space="preserve"> Cross-references for "good": Matt 24:14; Matt 24:21.</w:t>
      </w:r>
    </w:p>
  </w:footnote>
  <w:footnote w:id="19170">
    <w:p>
      <w:pPr>
        <w:pStyle w:val="FootnoteText"/>
      </w:pPr>
      <w:r>
        <w:rPr>
          <w:rStyle w:val="FootnoteReference"/>
        </w:rPr>
        <w:footnoteRef/>
      </w:r>
      <w:r>
        <w:t xml:space="preserve"> Cross-references for "as the": Acts 7:38; Rom 3:2.</w:t>
      </w:r>
    </w:p>
  </w:footnote>
  <w:footnote w:id="19171">
    <w:p>
      <w:pPr>
        <w:pStyle w:val="FootnoteText"/>
      </w:pPr>
      <w:r>
        <w:rPr>
          <w:rStyle w:val="FootnoteReference"/>
        </w:rPr>
        <w:footnoteRef/>
      </w:r>
      <w:r>
        <w:t xml:space="preserve"> Cross-references for "think": Isa 28:21; 1Pet 4:4.</w:t>
      </w:r>
    </w:p>
  </w:footnote>
  <w:footnote w:id="19172">
    <w:p>
      <w:pPr>
        <w:pStyle w:val="FootnoteText"/>
      </w:pPr>
      <w:r>
        <w:rPr>
          <w:rStyle w:val="FootnoteReference"/>
        </w:rPr>
        <w:footnoteRef/>
      </w:r>
      <w:r>
        <w:t xml:space="preserve"> Cross-references for "rejoice": Matt 5:12; Luke 6:22-23.</w:t>
      </w:r>
    </w:p>
  </w:footnote>
  <w:footnote w:id="19173">
    <w:p>
      <w:pPr>
        <w:pStyle w:val="FootnoteText"/>
      </w:pPr>
      <w:r>
        <w:rPr>
          <w:rStyle w:val="FootnoteReference"/>
        </w:rPr>
        <w:footnoteRef/>
      </w:r>
      <w:r>
        <w:t xml:space="preserve"> Cross-references for "reproached": Ps 49:9; Ps 89:51.</w:t>
      </w:r>
    </w:p>
  </w:footnote>
  <w:footnote w:id="19174">
    <w:p>
      <w:pPr>
        <w:pStyle w:val="FootnoteText"/>
      </w:pPr>
      <w:r>
        <w:rPr>
          <w:rStyle w:val="FootnoteReference"/>
        </w:rPr>
        <w:footnoteRef/>
      </w:r>
      <w:r>
        <w:t xml:space="preserve"> Cross-references for "suffer": Matt 5:11; 2Tim 2:9.</w:t>
      </w:r>
    </w:p>
  </w:footnote>
  <w:footnote w:id="19175">
    <w:p>
      <w:pPr>
        <w:pStyle w:val="FootnoteText"/>
      </w:pPr>
      <w:r>
        <w:rPr>
          <w:rStyle w:val="FootnoteReference"/>
        </w:rPr>
        <w:footnoteRef/>
      </w:r>
      <w:r>
        <w:t xml:space="preserve"> Cross-references for "let him not": Isa 50:7; Isa 54:4.</w:t>
      </w:r>
    </w:p>
  </w:footnote>
  <w:footnote w:id="19176">
    <w:p>
      <w:pPr>
        <w:pStyle w:val="FootnoteText"/>
      </w:pPr>
      <w:r>
        <w:rPr>
          <w:rStyle w:val="FootnoteReference"/>
        </w:rPr>
        <w:footnoteRef/>
      </w:r>
      <w:r>
        <w:t xml:space="preserve"> Cross-references for "judgment": Isa 10:12; Jer 25:29.</w:t>
      </w:r>
    </w:p>
  </w:footnote>
  <w:footnote w:id="19177">
    <w:p>
      <w:pPr>
        <w:pStyle w:val="FootnoteText"/>
      </w:pPr>
      <w:r>
        <w:rPr>
          <w:rStyle w:val="FootnoteReference"/>
        </w:rPr>
        <w:footnoteRef/>
      </w:r>
      <w:r>
        <w:t xml:space="preserve"> Cross-references for "commit": Ps 31:5; Ps 37:5.</w:t>
      </w:r>
    </w:p>
  </w:footnote>
  <w:footnote w:id="19178">
    <w:p>
      <w:pPr>
        <w:pStyle w:val="FootnoteText"/>
      </w:pPr>
      <w:r>
        <w:rPr>
          <w:rStyle w:val="FootnoteReference"/>
        </w:rPr>
        <w:footnoteRef/>
      </w:r>
      <w:r>
        <w:t xml:space="preserve"> Cross-references for "elders": Acts 11:30; Acts 14:23.</w:t>
      </w:r>
    </w:p>
  </w:footnote>
  <w:footnote w:id="19179">
    <w:p>
      <w:pPr>
        <w:pStyle w:val="FootnoteText"/>
      </w:pPr>
      <w:r>
        <w:rPr>
          <w:rStyle w:val="FootnoteReference"/>
        </w:rPr>
        <w:footnoteRef/>
      </w:r>
      <w:r>
        <w:t xml:space="preserve"> Cross-references for "Feed": Song 1:8; Isa 40:11.</w:t>
      </w:r>
    </w:p>
  </w:footnote>
  <w:footnote w:id="19180">
    <w:p>
      <w:pPr>
        <w:pStyle w:val="FootnoteText"/>
      </w:pPr>
      <w:r>
        <w:rPr>
          <w:rStyle w:val="FootnoteReference"/>
        </w:rPr>
        <w:footnoteRef/>
      </w:r>
      <w:r>
        <w:t xml:space="preserve"> Cross-references for "appear": Matt 25:31-46; Col 3:3-4.</w:t>
      </w:r>
    </w:p>
  </w:footnote>
  <w:footnote w:id="19181">
    <w:p>
      <w:pPr>
        <w:pStyle w:val="FootnoteText"/>
      </w:pPr>
      <w:r>
        <w:rPr>
          <w:rStyle w:val="FootnoteReference"/>
        </w:rPr>
        <w:footnoteRef/>
      </w:r>
      <w:r>
        <w:t xml:space="preserve"> Cross-references for "be clothed": 2Chr 6:41; Job 29:14.</w:t>
      </w:r>
    </w:p>
  </w:footnote>
  <w:footnote w:id="19182">
    <w:p>
      <w:pPr>
        <w:pStyle w:val="FootnoteText"/>
      </w:pPr>
      <w:r>
        <w:rPr>
          <w:rStyle w:val="FootnoteReference"/>
        </w:rPr>
        <w:footnoteRef/>
      </w:r>
      <w:r>
        <w:t xml:space="preserve"> Cross-references for "Humble": Exod 10:3; Lev 26:41.</w:t>
      </w:r>
    </w:p>
  </w:footnote>
  <w:footnote w:id="19183">
    <w:p>
      <w:pPr>
        <w:pStyle w:val="FootnoteText"/>
      </w:pPr>
      <w:r>
        <w:rPr>
          <w:rStyle w:val="FootnoteReference"/>
        </w:rPr>
        <w:footnoteRef/>
      </w:r>
      <w:r>
        <w:t xml:space="preserve"> Cross-references for "Casting": 1Sam 1:10-18; 1Sam 30:6.</w:t>
      </w:r>
    </w:p>
  </w:footnote>
  <w:footnote w:id="19184">
    <w:p>
      <w:pPr>
        <w:pStyle w:val="FootnoteText"/>
      </w:pPr>
      <w:r>
        <w:rPr>
          <w:rStyle w:val="FootnoteReference"/>
        </w:rPr>
        <w:footnoteRef/>
      </w:r>
      <w:r>
        <w:t xml:space="preserve"> Cross-references for "sober": Matt 24:48-50; Luke 12:45-46.</w:t>
      </w:r>
    </w:p>
  </w:footnote>
  <w:footnote w:id="19185">
    <w:p>
      <w:pPr>
        <w:pStyle w:val="FootnoteText"/>
      </w:pPr>
      <w:r>
        <w:rPr>
          <w:rStyle w:val="FootnoteReference"/>
        </w:rPr>
        <w:footnoteRef/>
      </w:r>
      <w:r>
        <w:t xml:space="preserve"> Cross-references for "resist": Luke 4:3-12; Eph 4:27.</w:t>
      </w:r>
    </w:p>
  </w:footnote>
  <w:footnote w:id="19186">
    <w:p>
      <w:pPr>
        <w:pStyle w:val="FootnoteText"/>
      </w:pPr>
      <w:r>
        <w:rPr>
          <w:rStyle w:val="FootnoteReference"/>
        </w:rPr>
        <w:footnoteRef/>
      </w:r>
      <w:r>
        <w:t xml:space="preserve"> Cross-references for "the God": Exod 34:6-7; Ps 86:5.</w:t>
      </w:r>
    </w:p>
  </w:footnote>
  <w:footnote w:id="19187">
    <w:p>
      <w:pPr>
        <w:pStyle w:val="FootnoteText"/>
      </w:pPr>
      <w:r>
        <w:rPr>
          <w:rStyle w:val="FootnoteReference"/>
        </w:rPr>
        <w:footnoteRef/>
      </w:r>
      <w:r>
        <w:t xml:space="preserve"> Cross-references for "Silvanus": 2Cor 1:19; 1Thess 1:1.</w:t>
      </w:r>
    </w:p>
  </w:footnote>
  <w:footnote w:id="19188">
    <w:p>
      <w:pPr>
        <w:pStyle w:val="FootnoteText"/>
      </w:pPr>
      <w:r>
        <w:rPr>
          <w:rStyle w:val="FootnoteReference"/>
        </w:rPr>
        <w:footnoteRef/>
      </w:r>
      <w:r>
        <w:t xml:space="preserve"> Translation note: Greek has the feminine article and adjective, literally the elect-together one in Babylon, without an explicit ekklesia/church noun. The draft keeps the implied feminine subject and notes that church is supplied in older English.</w:t>
      </w:r>
    </w:p>
  </w:footnote>
  <w:footnote w:id="19189">
    <w:p>
      <w:pPr>
        <w:pStyle w:val="FootnoteText"/>
      </w:pPr>
      <w:r>
        <w:rPr>
          <w:rStyle w:val="FootnoteReference"/>
        </w:rPr>
        <w:footnoteRef/>
      </w:r>
      <w:r>
        <w:t xml:space="preserve"> Cross-references for "with a": Rom 16:16; 1Cor 16:20.</w:t>
      </w:r>
    </w:p>
  </w:footnote>
  <w:footnote w:id="19190">
    <w:p>
      <w:pPr>
        <w:pStyle w:val="FootnoteText"/>
      </w:pPr>
      <w:r>
        <w:rPr>
          <w:rStyle w:val="FootnoteReference"/>
        </w:rPr>
        <w:footnoteRef/>
      </w:r>
      <w:r>
        <w:t xml:space="preserve"> Cross-references for "Simon": Acts 15:14.</w:t>
      </w:r>
    </w:p>
  </w:footnote>
  <w:footnote w:id="19191">
    <w:p>
      <w:pPr>
        <w:pStyle w:val="FootnoteText"/>
      </w:pPr>
      <w:r>
        <w:rPr>
          <w:rStyle w:val="FootnoteReference"/>
        </w:rPr>
        <w:footnoteRef/>
      </w:r>
      <w:r>
        <w:t xml:space="preserve"> Cross-references for "Grace": Num 6:24-26; Dan 4:1.</w:t>
      </w:r>
    </w:p>
  </w:footnote>
  <w:footnote w:id="19192">
    <w:p>
      <w:pPr>
        <w:pStyle w:val="FootnoteText"/>
      </w:pPr>
      <w:r>
        <w:rPr>
          <w:rStyle w:val="FootnoteReference"/>
        </w:rPr>
        <w:footnoteRef/>
      </w:r>
      <w:r>
        <w:t xml:space="preserve"> Cross-references for "called": Rom 8:28-30; Rom 9:24.</w:t>
      </w:r>
    </w:p>
  </w:footnote>
  <w:footnote w:id="19193">
    <w:p>
      <w:pPr>
        <w:pStyle w:val="FootnoteText"/>
      </w:pPr>
      <w:r>
        <w:rPr>
          <w:rStyle w:val="FootnoteReference"/>
        </w:rPr>
        <w:footnoteRef/>
      </w:r>
      <w:r>
        <w:t xml:space="preserve"> Cross-references for "are given": Ezek 36:25-27; Rom 9:4.</w:t>
      </w:r>
    </w:p>
  </w:footnote>
  <w:footnote w:id="19194">
    <w:p>
      <w:pPr>
        <w:pStyle w:val="FootnoteText"/>
      </w:pPr>
      <w:r>
        <w:rPr>
          <w:rStyle w:val="FootnoteReference"/>
        </w:rPr>
        <w:footnoteRef/>
      </w:r>
      <w:r>
        <w:t xml:space="preserve"> Cross-references for "virtue": Phil 4:8; 2Pet 1:3.</w:t>
      </w:r>
    </w:p>
  </w:footnote>
  <w:footnote w:id="19195">
    <w:p>
      <w:pPr>
        <w:pStyle w:val="FootnoteText"/>
      </w:pPr>
      <w:r>
        <w:rPr>
          <w:rStyle w:val="FootnoteReference"/>
        </w:rPr>
        <w:footnoteRef/>
      </w:r>
      <w:r>
        <w:t xml:space="preserve"> Cross-references for "godliness": Gen 5:24; Isa 57:1.</w:t>
      </w:r>
    </w:p>
  </w:footnote>
  <w:footnote w:id="19196">
    <w:p>
      <w:pPr>
        <w:pStyle w:val="FootnoteText"/>
      </w:pPr>
      <w:r>
        <w:rPr>
          <w:rStyle w:val="FootnoteReference"/>
        </w:rPr>
        <w:footnoteRef/>
      </w:r>
      <w:r>
        <w:t xml:space="preserve"> Cross-references for "brotherly": John 13:34-35; Rom 12:10.</w:t>
      </w:r>
    </w:p>
  </w:footnote>
  <w:footnote w:id="19197">
    <w:p>
      <w:pPr>
        <w:pStyle w:val="FootnoteText"/>
      </w:pPr>
      <w:r>
        <w:rPr>
          <w:rStyle w:val="FootnoteReference"/>
        </w:rPr>
        <w:footnoteRef/>
      </w:r>
      <w:r>
        <w:t xml:space="preserve"> Cross-references for "in you": John 5:42; 2Cor 9:14.</w:t>
      </w:r>
    </w:p>
  </w:footnote>
  <w:footnote w:id="19198">
    <w:p>
      <w:pPr>
        <w:pStyle w:val="FootnoteText"/>
      </w:pPr>
      <w:r>
        <w:rPr>
          <w:rStyle w:val="FootnoteReference"/>
        </w:rPr>
        <w:footnoteRef/>
      </w:r>
      <w:r>
        <w:t xml:space="preserve"> Cross-references for "blind": John 9:40-41; 2Cor 4:3-4.</w:t>
      </w:r>
    </w:p>
  </w:footnote>
  <w:footnote w:id="19199">
    <w:p>
      <w:pPr>
        <w:pStyle w:val="FootnoteText"/>
      </w:pPr>
      <w:r>
        <w:rPr>
          <w:rStyle w:val="FootnoteReference"/>
        </w:rPr>
        <w:footnoteRef/>
      </w:r>
      <w:r>
        <w:t xml:space="preserve"> Cross-references for "give": 2Pet 1:5; 2Pet 3:17.</w:t>
      </w:r>
    </w:p>
  </w:footnote>
  <w:footnote w:id="19200">
    <w:p>
      <w:pPr>
        <w:pStyle w:val="FootnoteText"/>
      </w:pPr>
      <w:r>
        <w:rPr>
          <w:rStyle w:val="FootnoteReference"/>
        </w:rPr>
        <w:footnoteRef/>
      </w:r>
      <w:r>
        <w:t xml:space="preserve"> Cross-references for "an entrance": Matt 25:34; 2Cor 5:1.</w:t>
      </w:r>
    </w:p>
  </w:footnote>
  <w:footnote w:id="19201">
    <w:p>
      <w:pPr>
        <w:pStyle w:val="FootnoteText"/>
      </w:pPr>
      <w:r>
        <w:rPr>
          <w:rStyle w:val="FootnoteReference"/>
        </w:rPr>
        <w:footnoteRef/>
      </w:r>
      <w:r>
        <w:t xml:space="preserve"> Cross-references for "I will not": Rom 15:14-15; Phil 3:1.</w:t>
      </w:r>
    </w:p>
  </w:footnote>
  <w:footnote w:id="19202">
    <w:p>
      <w:pPr>
        <w:pStyle w:val="FootnoteText"/>
      </w:pPr>
      <w:r>
        <w:rPr>
          <w:rStyle w:val="FootnoteReference"/>
        </w:rPr>
        <w:footnoteRef/>
      </w:r>
      <w:r>
        <w:t xml:space="preserve"> Cross-references for "as long": 2Cor 5:1-4; 2Cor 5:8.</w:t>
      </w:r>
    </w:p>
  </w:footnote>
  <w:footnote w:id="19203">
    <w:p>
      <w:pPr>
        <w:pStyle w:val="FootnoteText"/>
      </w:pPr>
      <w:r>
        <w:rPr>
          <w:rStyle w:val="FootnoteReference"/>
        </w:rPr>
        <w:footnoteRef/>
      </w:r>
      <w:r>
        <w:t xml:space="preserve"> Cross-references for "shortly": Deut 4:21-22; Deut 31:14.</w:t>
      </w:r>
    </w:p>
  </w:footnote>
  <w:footnote w:id="19204">
    <w:p>
      <w:pPr>
        <w:pStyle w:val="FootnoteText"/>
      </w:pPr>
      <w:r>
        <w:rPr>
          <w:rStyle w:val="FootnoteReference"/>
        </w:rPr>
        <w:footnoteRef/>
      </w:r>
      <w:r>
        <w:t xml:space="preserve"> Cross-references for "the power": Matt 28:18; Mark 9:1.</w:t>
      </w:r>
    </w:p>
  </w:footnote>
  <w:footnote w:id="19205">
    <w:p>
      <w:pPr>
        <w:pStyle w:val="FootnoteText"/>
      </w:pPr>
      <w:r>
        <w:rPr>
          <w:rStyle w:val="FootnoteReference"/>
        </w:rPr>
        <w:footnoteRef/>
      </w:r>
      <w:r>
        <w:t xml:space="preserve"> Cross-references for "there came": Matt 17:3; Mark 9:7.</w:t>
      </w:r>
    </w:p>
  </w:footnote>
  <w:footnote w:id="19206">
    <w:p>
      <w:pPr>
        <w:pStyle w:val="FootnoteText"/>
      </w:pPr>
      <w:r>
        <w:rPr>
          <w:rStyle w:val="FootnoteReference"/>
        </w:rPr>
        <w:footnoteRef/>
      </w:r>
      <w:r>
        <w:t xml:space="preserve"> Cross-references for "the holy": Gen 28:16-17; Exod 3:1.</w:t>
      </w:r>
    </w:p>
  </w:footnote>
  <w:footnote w:id="19207">
    <w:p>
      <w:pPr>
        <w:pStyle w:val="FootnoteText"/>
      </w:pPr>
      <w:r>
        <w:rPr>
          <w:rStyle w:val="FootnoteReference"/>
        </w:rPr>
        <w:footnoteRef/>
      </w:r>
      <w:r>
        <w:t xml:space="preserve"> Cross-references for "a more": Ps 19:7-9; Isa 8:20.</w:t>
      </w:r>
    </w:p>
  </w:footnote>
  <w:footnote w:id="19208">
    <w:p>
      <w:pPr>
        <w:pStyle w:val="FootnoteText"/>
      </w:pPr>
      <w:r>
        <w:rPr>
          <w:rStyle w:val="FootnoteReference"/>
        </w:rPr>
        <w:footnoteRef/>
      </w:r>
      <w:r>
        <w:t xml:space="preserve"> Cross-references for "Knowing": Rom 6:6; Rom 13:11.</w:t>
      </w:r>
    </w:p>
  </w:footnote>
  <w:footnote w:id="19209">
    <w:p>
      <w:pPr>
        <w:pStyle w:val="FootnoteText"/>
      </w:pPr>
      <w:r>
        <w:rPr>
          <w:rStyle w:val="FootnoteReference"/>
        </w:rPr>
        <w:footnoteRef/>
      </w:r>
      <w:r>
        <w:t xml:space="preserve"> Cross-references for "the prophecy": Luke 1:70; 2Tim 3:16.</w:t>
      </w:r>
    </w:p>
  </w:footnote>
  <w:footnote w:id="19210">
    <w:p>
      <w:pPr>
        <w:pStyle w:val="FootnoteText"/>
      </w:pPr>
      <w:r>
        <w:rPr>
          <w:rStyle w:val="FootnoteReference"/>
        </w:rPr>
        <w:footnoteRef/>
      </w:r>
      <w:r>
        <w:t xml:space="preserve"> Cross-references for "there were": Deut 13:1-3; 1Kgs 18:19-22.</w:t>
      </w:r>
    </w:p>
  </w:footnote>
  <w:footnote w:id="19211">
    <w:p>
      <w:pPr>
        <w:pStyle w:val="FootnoteText"/>
      </w:pPr>
      <w:r>
        <w:rPr>
          <w:rStyle w:val="FootnoteReference"/>
        </w:rPr>
        <w:footnoteRef/>
      </w:r>
      <w:r>
        <w:t xml:space="preserve"> Cross-references for "ways": 2Pet 2:15; 2Pet 2:21.</w:t>
      </w:r>
    </w:p>
  </w:footnote>
  <w:footnote w:id="19212">
    <w:p>
      <w:pPr>
        <w:pStyle w:val="FootnoteText"/>
      </w:pPr>
      <w:r>
        <w:rPr>
          <w:rStyle w:val="FootnoteReference"/>
        </w:rPr>
        <w:footnoteRef/>
      </w:r>
      <w:r>
        <w:t xml:space="preserve"> Cross-references for "spared": Deut 29:20; Ps 78:50.</w:t>
      </w:r>
    </w:p>
  </w:footnote>
  <w:footnote w:id="19213">
    <w:p>
      <w:pPr>
        <w:pStyle w:val="FootnoteText"/>
      </w:pPr>
      <w:r>
        <w:rPr>
          <w:rStyle w:val="FootnoteReference"/>
        </w:rPr>
        <w:footnoteRef/>
      </w:r>
      <w:r>
        <w:t xml:space="preserve"> Translation note: Greek uses tartarosas, a rare verb for casting into Tartarus. The draft keeps Tartarus instead of the broader English hell.</w:t>
      </w:r>
    </w:p>
  </w:footnote>
  <w:footnote w:id="19214">
    <w:p>
      <w:pPr>
        <w:pStyle w:val="FootnoteText"/>
      </w:pPr>
      <w:r>
        <w:rPr>
          <w:rStyle w:val="FootnoteReference"/>
        </w:rPr>
        <w:footnoteRef/>
      </w:r>
      <w:r>
        <w:t xml:space="preserve"> Cross-references for "the eighth": Gen 7:1-24; 1Pet 3:20.</w:t>
      </w:r>
    </w:p>
  </w:footnote>
  <w:footnote w:id="19215">
    <w:p>
      <w:pPr>
        <w:pStyle w:val="FootnoteText"/>
      </w:pPr>
      <w:r>
        <w:rPr>
          <w:rStyle w:val="FootnoteReference"/>
        </w:rPr>
        <w:footnoteRef/>
      </w:r>
      <w:r>
        <w:t xml:space="preserve"> Cross-references for "turning": Gen 19:24-25; Gen 19:28.</w:t>
      </w:r>
    </w:p>
  </w:footnote>
  <w:footnote w:id="19216">
    <w:p>
      <w:pPr>
        <w:pStyle w:val="FootnoteText"/>
      </w:pPr>
      <w:r>
        <w:rPr>
          <w:rStyle w:val="FootnoteReference"/>
        </w:rPr>
        <w:footnoteRef/>
      </w:r>
      <w:r>
        <w:t xml:space="preserve"> Cross-references for "delivered": Gen 19:16; Gen 19:22.</w:t>
      </w:r>
    </w:p>
  </w:footnote>
  <w:footnote w:id="19217">
    <w:p>
      <w:pPr>
        <w:pStyle w:val="FootnoteText"/>
      </w:pPr>
      <w:r>
        <w:rPr>
          <w:rStyle w:val="FootnoteReference"/>
        </w:rPr>
        <w:footnoteRef/>
      </w:r>
      <w:r>
        <w:t xml:space="preserve"> Cross-references for "in seeing": Ps 119:136; Ps 119:139.</w:t>
      </w:r>
    </w:p>
  </w:footnote>
  <w:footnote w:id="19218">
    <w:p>
      <w:pPr>
        <w:pStyle w:val="FootnoteText"/>
      </w:pPr>
      <w:r>
        <w:rPr>
          <w:rStyle w:val="FootnoteReference"/>
        </w:rPr>
        <w:footnoteRef/>
      </w:r>
      <w:r>
        <w:t xml:space="preserve"> Cross-references for "the godly": Ps 4:3; Ps 12:1.</w:t>
      </w:r>
    </w:p>
  </w:footnote>
  <w:footnote w:id="19219">
    <w:p>
      <w:pPr>
        <w:pStyle w:val="FootnoteText"/>
      </w:pPr>
      <w:r>
        <w:rPr>
          <w:rStyle w:val="FootnoteReference"/>
        </w:rPr>
        <w:footnoteRef/>
      </w:r>
      <w:r>
        <w:t xml:space="preserve"> Cross-references for "despise": Num 16:12-15; Deut 17:12-13.</w:t>
      </w:r>
    </w:p>
  </w:footnote>
  <w:footnote w:id="19220">
    <w:p>
      <w:pPr>
        <w:pStyle w:val="FootnoteText"/>
      </w:pPr>
      <w:r>
        <w:rPr>
          <w:rStyle w:val="FootnoteReference"/>
        </w:rPr>
        <w:footnoteRef/>
      </w:r>
      <w:r>
        <w:t xml:space="preserve"> Cross-references for "angels": Ps 103:20; Ps 104:4.</w:t>
      </w:r>
    </w:p>
  </w:footnote>
  <w:footnote w:id="19221">
    <w:p>
      <w:pPr>
        <w:pStyle w:val="FootnoteText"/>
      </w:pPr>
      <w:r>
        <w:rPr>
          <w:rStyle w:val="FootnoteReference"/>
        </w:rPr>
        <w:footnoteRef/>
      </w:r>
      <w:r>
        <w:t xml:space="preserve"> Cross-references for "the reward": Isa 3:11; Rom 2:8-9.</w:t>
      </w:r>
    </w:p>
  </w:footnote>
  <w:footnote w:id="19222">
    <w:p>
      <w:pPr>
        <w:pStyle w:val="FootnoteText"/>
      </w:pPr>
      <w:r>
        <w:rPr>
          <w:rStyle w:val="FootnoteReference"/>
        </w:rPr>
        <w:footnoteRef/>
      </w:r>
      <w:r>
        <w:t xml:space="preserve"> Cross-references for "eyes": 2Sam 11:2-4; Job 31:7.</w:t>
      </w:r>
    </w:p>
  </w:footnote>
  <w:footnote w:id="19223">
    <w:p>
      <w:pPr>
        <w:pStyle w:val="FootnoteText"/>
      </w:pPr>
      <w:r>
        <w:rPr>
          <w:rStyle w:val="FootnoteReference"/>
        </w:rPr>
        <w:footnoteRef/>
      </w:r>
      <w:r>
        <w:t xml:space="preserve"> Personal name: Balaam. Personal-name meaning: Balaam — Not of the people; devourer. Source form: Balaam.</w:t>
      </w:r>
    </w:p>
  </w:footnote>
  <w:footnote w:id="19224">
    <w:p>
      <w:pPr>
        <w:pStyle w:val="FootnoteText"/>
      </w:pPr>
      <w:r>
        <w:rPr>
          <w:rStyle w:val="FootnoteReference"/>
        </w:rPr>
        <w:footnoteRef/>
      </w:r>
      <w:r>
        <w:t xml:space="preserve"> Place name: Bosor. Place-name meaning: Bosor — burning; foolish; mad; variant form of Beor. Source form: Bosor. Greek form: βοσορ.</w:t>
      </w:r>
    </w:p>
  </w:footnote>
  <w:footnote w:id="19225">
    <w:p>
      <w:pPr>
        <w:pStyle w:val="FootnoteText"/>
      </w:pPr>
      <w:r>
        <w:rPr>
          <w:rStyle w:val="FootnoteReference"/>
        </w:rPr>
        <w:footnoteRef/>
      </w:r>
      <w:r>
        <w:t xml:space="preserve"> Cross-references for "Balaam": Num 22:5-7.</w:t>
      </w:r>
    </w:p>
  </w:footnote>
  <w:footnote w:id="19226">
    <w:p>
      <w:pPr>
        <w:pStyle w:val="FootnoteText"/>
      </w:pPr>
      <w:r>
        <w:rPr>
          <w:rStyle w:val="FootnoteReference"/>
        </w:rPr>
        <w:footnoteRef/>
      </w:r>
      <w:r>
        <w:t xml:space="preserve"> Cross-references for "the madness": Eccl 7:25; Eccl 9:3.</w:t>
      </w:r>
    </w:p>
  </w:footnote>
  <w:footnote w:id="19227">
    <w:p>
      <w:pPr>
        <w:pStyle w:val="FootnoteText"/>
      </w:pPr>
      <w:r>
        <w:rPr>
          <w:rStyle w:val="FootnoteReference"/>
        </w:rPr>
        <w:footnoteRef/>
      </w:r>
      <w:r>
        <w:t xml:space="preserve"> Cross-references for "are wells": Job 6:14-17; Jer 14:3.</w:t>
      </w:r>
    </w:p>
  </w:footnote>
  <w:footnote w:id="19228">
    <w:p>
      <w:pPr>
        <w:pStyle w:val="FootnoteText"/>
      </w:pPr>
      <w:r>
        <w:rPr>
          <w:rStyle w:val="FootnoteReference"/>
        </w:rPr>
        <w:footnoteRef/>
      </w:r>
      <w:r>
        <w:t xml:space="preserve"> Cross-references for "they speak": Ps 52:1-3; Ps 73:8-9.</w:t>
      </w:r>
    </w:p>
  </w:footnote>
  <w:footnote w:id="19229">
    <w:p>
      <w:pPr>
        <w:pStyle w:val="FootnoteText"/>
      </w:pPr>
      <w:r>
        <w:rPr>
          <w:rStyle w:val="FootnoteReference"/>
        </w:rPr>
        <w:footnoteRef/>
      </w:r>
      <w:r>
        <w:t xml:space="preserve"> Cross-references for "they promise": Gal 5:1; Gal 5:13.</w:t>
      </w:r>
    </w:p>
  </w:footnote>
  <w:footnote w:id="19230">
    <w:p>
      <w:pPr>
        <w:pStyle w:val="FootnoteText"/>
      </w:pPr>
      <w:r>
        <w:rPr>
          <w:rStyle w:val="FootnoteReference"/>
        </w:rPr>
        <w:footnoteRef/>
      </w:r>
      <w:r>
        <w:t xml:space="preserve"> Cross-references for "escaped": 2Pet 1:4; 2Pet 2:18.</w:t>
      </w:r>
    </w:p>
  </w:footnote>
  <w:footnote w:id="19231">
    <w:p>
      <w:pPr>
        <w:pStyle w:val="FootnoteText"/>
      </w:pPr>
      <w:r>
        <w:rPr>
          <w:rStyle w:val="FootnoteReference"/>
        </w:rPr>
        <w:footnoteRef/>
      </w:r>
      <w:r>
        <w:t xml:space="preserve"> Cross-references for "it had": Matt 11:23-24; Luke 12:47.</w:t>
      </w:r>
    </w:p>
  </w:footnote>
  <w:footnote w:id="19232">
    <w:p>
      <w:pPr>
        <w:pStyle w:val="FootnoteText"/>
      </w:pPr>
      <w:r>
        <w:rPr>
          <w:rStyle w:val="FootnoteReference"/>
        </w:rPr>
        <w:footnoteRef/>
      </w:r>
      <w:r>
        <w:t xml:space="preserve"> Cross-references for "The dog": Prov 26:11.</w:t>
      </w:r>
    </w:p>
  </w:footnote>
  <w:footnote w:id="19233">
    <w:p>
      <w:pPr>
        <w:pStyle w:val="FootnoteText"/>
      </w:pPr>
      <w:r>
        <w:rPr>
          <w:rStyle w:val="FootnoteReference"/>
        </w:rPr>
        <w:footnoteRef/>
      </w:r>
      <w:r>
        <w:t xml:space="preserve"> Cross-references for "second epistle": 2Cor 13:2; 1Pet 1:1-2.</w:t>
      </w:r>
    </w:p>
  </w:footnote>
  <w:footnote w:id="19234">
    <w:p>
      <w:pPr>
        <w:pStyle w:val="FootnoteText"/>
      </w:pPr>
      <w:r>
        <w:rPr>
          <w:rStyle w:val="FootnoteReference"/>
        </w:rPr>
        <w:footnoteRef/>
      </w:r>
      <w:r>
        <w:t xml:space="preserve"> Cross-references for "and of": Eph 2:20; 2Pet 2:21.</w:t>
      </w:r>
    </w:p>
  </w:footnote>
  <w:footnote w:id="19235">
    <w:p>
      <w:pPr>
        <w:pStyle w:val="FootnoteText"/>
      </w:pPr>
      <w:r>
        <w:rPr>
          <w:rStyle w:val="FootnoteReference"/>
        </w:rPr>
        <w:footnoteRef/>
      </w:r>
      <w:r>
        <w:t xml:space="preserve"> Cross-references for "scoffers": Prov 1:22; Prov 3:34.</w:t>
      </w:r>
    </w:p>
  </w:footnote>
  <w:footnote w:id="19236">
    <w:p>
      <w:pPr>
        <w:pStyle w:val="FootnoteText"/>
      </w:pPr>
      <w:r>
        <w:rPr>
          <w:rStyle w:val="FootnoteReference"/>
        </w:rPr>
        <w:footnoteRef/>
      </w:r>
      <w:r>
        <w:t xml:space="preserve"> Cross-references for "from the beginning": Mark 13:19; Rev 3:14.</w:t>
      </w:r>
    </w:p>
  </w:footnote>
  <w:footnote w:id="19237">
    <w:p>
      <w:pPr>
        <w:pStyle w:val="FootnoteText"/>
      </w:pPr>
      <w:r>
        <w:rPr>
          <w:rStyle w:val="FootnoteReference"/>
        </w:rPr>
        <w:footnoteRef/>
      </w:r>
      <w:r>
        <w:t xml:space="preserve"> Cross-references for "they willingly": Prov 17:16; John 3:19-20.</w:t>
      </w:r>
    </w:p>
  </w:footnote>
  <w:footnote w:id="19238">
    <w:p>
      <w:pPr>
        <w:pStyle w:val="FootnoteText"/>
      </w:pPr>
      <w:r>
        <w:rPr>
          <w:rStyle w:val="FootnoteReference"/>
        </w:rPr>
        <w:footnoteRef/>
      </w:r>
      <w:r>
        <w:t xml:space="preserve"> Cross-references for "the heavens": Ps 50:3; Ps 102:26.</w:t>
      </w:r>
    </w:p>
  </w:footnote>
  <w:footnote w:id="19239">
    <w:p>
      <w:pPr>
        <w:pStyle w:val="FootnoteText"/>
      </w:pPr>
      <w:r>
        <w:rPr>
          <w:rStyle w:val="FootnoteReference"/>
        </w:rPr>
        <w:footnoteRef/>
      </w:r>
      <w:r>
        <w:t xml:space="preserve"> Cross-references for "that one": Ps 90:4.</w:t>
      </w:r>
    </w:p>
  </w:footnote>
  <w:footnote w:id="19240">
    <w:p>
      <w:pPr>
        <w:pStyle w:val="FootnoteText"/>
      </w:pPr>
      <w:r>
        <w:rPr>
          <w:rStyle w:val="FootnoteReference"/>
        </w:rPr>
        <w:footnoteRef/>
      </w:r>
      <w:r>
        <w:t xml:space="preserve"> Cross-references for "but is": Exod 34:6; Ps 86:15.</w:t>
      </w:r>
    </w:p>
  </w:footnote>
  <w:footnote w:id="19241">
    <w:p>
      <w:pPr>
        <w:pStyle w:val="FootnoteText"/>
      </w:pPr>
      <w:r>
        <w:rPr>
          <w:rStyle w:val="FootnoteReference"/>
        </w:rPr>
        <w:footnoteRef/>
      </w:r>
      <w:r>
        <w:t xml:space="preserve"> Cross-references for "as a": Matt 24:42-43; Luke 12:39.</w:t>
      </w:r>
    </w:p>
  </w:footnote>
  <w:footnote w:id="19242">
    <w:p>
      <w:pPr>
        <w:pStyle w:val="FootnoteText"/>
      </w:pPr>
      <w:r>
        <w:rPr>
          <w:rStyle w:val="FootnoteReference"/>
        </w:rPr>
        <w:footnoteRef/>
      </w:r>
      <w:r>
        <w:t xml:space="preserve"> Cross-references for "all these": Ps 75:3; Isa 14:31.</w:t>
      </w:r>
    </w:p>
  </w:footnote>
  <w:footnote w:id="19243">
    <w:p>
      <w:pPr>
        <w:pStyle w:val="FootnoteText"/>
      </w:pPr>
      <w:r>
        <w:rPr>
          <w:rStyle w:val="FootnoteReference"/>
        </w:rPr>
        <w:footnoteRef/>
      </w:r>
      <w:r>
        <w:t xml:space="preserve"> Cross-references for "Looking": 1Cor 1:7; Titus 2:13.</w:t>
      </w:r>
    </w:p>
  </w:footnote>
  <w:footnote w:id="19244">
    <w:p>
      <w:pPr>
        <w:pStyle w:val="FootnoteText"/>
      </w:pPr>
      <w:r>
        <w:rPr>
          <w:rStyle w:val="FootnoteReference"/>
        </w:rPr>
        <w:footnoteRef/>
      </w:r>
      <w:r>
        <w:t xml:space="preserve"> Cross-references for "seeing": Phil 3:20; Heb 9:28.</w:t>
      </w:r>
    </w:p>
  </w:footnote>
  <w:footnote w:id="19245">
    <w:p>
      <w:pPr>
        <w:pStyle w:val="FootnoteText"/>
      </w:pPr>
      <w:r>
        <w:rPr>
          <w:rStyle w:val="FootnoteReference"/>
        </w:rPr>
        <w:footnoteRef/>
      </w:r>
      <w:r>
        <w:t xml:space="preserve"> Cross-references for "account": Rom 2:4; 1Tim 1:16.</w:t>
      </w:r>
    </w:p>
  </w:footnote>
  <w:footnote w:id="19246">
    <w:p>
      <w:pPr>
        <w:pStyle w:val="FootnoteText"/>
      </w:pPr>
      <w:r>
        <w:rPr>
          <w:rStyle w:val="FootnoteReference"/>
        </w:rPr>
        <w:footnoteRef/>
      </w:r>
      <w:r>
        <w:t xml:space="preserve"> Cross-references for "in all": 1Pet 1:1.</w:t>
      </w:r>
    </w:p>
  </w:footnote>
  <w:footnote w:id="19247">
    <w:p>
      <w:pPr>
        <w:pStyle w:val="FootnoteText"/>
      </w:pPr>
      <w:r>
        <w:rPr>
          <w:rStyle w:val="FootnoteReference"/>
        </w:rPr>
        <w:footnoteRef/>
      </w:r>
      <w:r>
        <w:t xml:space="preserve"> Cross-references for "seeing": Prov 1:17; Matt 24:24-25.</w:t>
      </w:r>
    </w:p>
  </w:footnote>
  <w:footnote w:id="19248">
    <w:p>
      <w:pPr>
        <w:pStyle w:val="FootnoteText"/>
      </w:pPr>
      <w:r>
        <w:rPr>
          <w:rStyle w:val="FootnoteReference"/>
        </w:rPr>
        <w:footnoteRef/>
      </w:r>
      <w:r>
        <w:t xml:space="preserve"> Cross-references for "grow": Ps 92:12; Hos 14:5.</w:t>
      </w:r>
    </w:p>
  </w:footnote>
  <w:footnote w:id="19249">
    <w:p>
      <w:pPr>
        <w:pStyle w:val="FootnoteText"/>
      </w:pPr>
      <w:r>
        <w:rPr>
          <w:rStyle w:val="FootnoteReference"/>
        </w:rPr>
        <w:footnoteRef/>
      </w:r>
      <w:r>
        <w:t xml:space="preserve"> Cross-references for "That which": Prov 8:22-31; Isa 41:4.</w:t>
      </w:r>
    </w:p>
  </w:footnote>
  <w:footnote w:id="19250">
    <w:p>
      <w:pPr>
        <w:pStyle w:val="FootnoteText"/>
      </w:pPr>
      <w:r>
        <w:rPr>
          <w:rStyle w:val="FootnoteReference"/>
        </w:rPr>
        <w:footnoteRef/>
      </w:r>
      <w:r>
        <w:t xml:space="preserve"> Cross-references for "the life": John 1:4; John 11:25-26.</w:t>
      </w:r>
    </w:p>
  </w:footnote>
  <w:footnote w:id="19251">
    <w:p>
      <w:pPr>
        <w:pStyle w:val="FootnoteText"/>
      </w:pPr>
      <w:r>
        <w:rPr>
          <w:rStyle w:val="FootnoteReference"/>
        </w:rPr>
        <w:footnoteRef/>
      </w:r>
      <w:r>
        <w:t xml:space="preserve"> Cross-references for "declare": Ps 2:7; Ps 22:22.</w:t>
      </w:r>
    </w:p>
  </w:footnote>
  <w:footnote w:id="19252">
    <w:p>
      <w:pPr>
        <w:pStyle w:val="FootnoteText"/>
      </w:pPr>
      <w:r>
        <w:rPr>
          <w:rStyle w:val="FootnoteReference"/>
        </w:rPr>
        <w:footnoteRef/>
      </w:r>
      <w:r>
        <w:t xml:space="preserve"> Cross-references for "the message": 1Cor 11:23; 1John 3:11.</w:t>
      </w:r>
    </w:p>
  </w:footnote>
  <w:footnote w:id="19253">
    <w:p>
      <w:pPr>
        <w:pStyle w:val="FootnoteText"/>
      </w:pPr>
      <w:r>
        <w:rPr>
          <w:rStyle w:val="FootnoteReference"/>
        </w:rPr>
        <w:footnoteRef/>
      </w:r>
      <w:r>
        <w:t xml:space="preserve"> Cross-references for "fellowship": Ps 5:4-6; Ps 94:20.</w:t>
      </w:r>
    </w:p>
  </w:footnote>
  <w:footnote w:id="19254">
    <w:p>
      <w:pPr>
        <w:pStyle w:val="FootnoteText"/>
      </w:pPr>
      <w:r>
        <w:rPr>
          <w:rStyle w:val="FootnoteReference"/>
        </w:rPr>
        <w:footnoteRef/>
      </w:r>
      <w:r>
        <w:t xml:space="preserve"> Cross-references for "if we": Ps 56:13; Ps 89:15.</w:t>
      </w:r>
    </w:p>
  </w:footnote>
  <w:footnote w:id="19255">
    <w:p>
      <w:pPr>
        <w:pStyle w:val="FootnoteText"/>
      </w:pPr>
      <w:r>
        <w:rPr>
          <w:rStyle w:val="FootnoteReference"/>
        </w:rPr>
        <w:footnoteRef/>
      </w:r>
      <w:r>
        <w:t xml:space="preserve"> Cross-references for "we deceive": 1Cor 3:18; Gal 6:3.</w:t>
      </w:r>
    </w:p>
  </w:footnote>
  <w:footnote w:id="19256">
    <w:p>
      <w:pPr>
        <w:pStyle w:val="FootnoteText"/>
      </w:pPr>
      <w:r>
        <w:rPr>
          <w:rStyle w:val="FootnoteReference"/>
        </w:rPr>
        <w:footnoteRef/>
      </w:r>
      <w:r>
        <w:t xml:space="preserve"> Cross-references for "we confess": Lev 26:40-42; 1Kgs 8:47.</w:t>
      </w:r>
    </w:p>
  </w:footnote>
  <w:footnote w:id="19257">
    <w:p>
      <w:pPr>
        <w:pStyle w:val="FootnoteText"/>
      </w:pPr>
      <w:r>
        <w:rPr>
          <w:rStyle w:val="FootnoteReference"/>
        </w:rPr>
        <w:footnoteRef/>
      </w:r>
      <w:r>
        <w:t xml:space="preserve"> Cross-references for "we say": Ps 130:3; 1John 1:8.</w:t>
      </w:r>
    </w:p>
  </w:footnote>
  <w:footnote w:id="19258">
    <w:p>
      <w:pPr>
        <w:pStyle w:val="FootnoteText"/>
      </w:pPr>
      <w:r>
        <w:rPr>
          <w:rStyle w:val="FootnoteReference"/>
        </w:rPr>
        <w:footnoteRef/>
      </w:r>
      <w:r>
        <w:t xml:space="preserve"> Cross-references for "little": John 13:33; John 21:5.</w:t>
      </w:r>
    </w:p>
  </w:footnote>
  <w:footnote w:id="19259">
    <w:p>
      <w:pPr>
        <w:pStyle w:val="FootnoteText"/>
      </w:pPr>
      <w:r>
        <w:rPr>
          <w:rStyle w:val="FootnoteReference"/>
        </w:rPr>
        <w:footnoteRef/>
      </w:r>
      <w:r>
        <w:t xml:space="preserve"> Cross-references for "if we": Ps 119:6; Ps 119:32.</w:t>
      </w:r>
    </w:p>
  </w:footnote>
  <w:footnote w:id="19260">
    <w:p>
      <w:pPr>
        <w:pStyle w:val="FootnoteText"/>
      </w:pPr>
      <w:r>
        <w:rPr>
          <w:rStyle w:val="FootnoteReference"/>
        </w:rPr>
        <w:footnoteRef/>
      </w:r>
      <w:r>
        <w:t xml:space="preserve"> Cross-references for "is a": 1John 1:6; 1John 1:8.</w:t>
      </w:r>
    </w:p>
  </w:footnote>
  <w:footnote w:id="19261">
    <w:p>
      <w:pPr>
        <w:pStyle w:val="FootnoteText"/>
      </w:pPr>
      <w:r>
        <w:rPr>
          <w:rStyle w:val="FootnoteReference"/>
        </w:rPr>
        <w:footnoteRef/>
      </w:r>
      <w:r>
        <w:t xml:space="preserve"> Cross-references for "in him": Jas 2:22; 1John 4:12.</w:t>
      </w:r>
    </w:p>
  </w:footnote>
  <w:footnote w:id="19262">
    <w:p>
      <w:pPr>
        <w:pStyle w:val="FootnoteText"/>
      </w:pPr>
      <w:r>
        <w:rPr>
          <w:rStyle w:val="FootnoteReference"/>
        </w:rPr>
        <w:footnoteRef/>
      </w:r>
      <w:r>
        <w:t xml:space="preserve"> Cross-references for "to walk": Ps 85:13; Matt 11:29.</w:t>
      </w:r>
    </w:p>
  </w:footnote>
  <w:footnote w:id="19263">
    <w:p>
      <w:pPr>
        <w:pStyle w:val="FootnoteText"/>
      </w:pPr>
      <w:r>
        <w:rPr>
          <w:rStyle w:val="FootnoteReference"/>
        </w:rPr>
        <w:footnoteRef/>
      </w:r>
      <w:r>
        <w:t xml:space="preserve"> Cross-references for "I write": Acts 17:19; 1John 3:11.</w:t>
      </w:r>
    </w:p>
  </w:footnote>
  <w:footnote w:id="19264">
    <w:p>
      <w:pPr>
        <w:pStyle w:val="FootnoteText"/>
      </w:pPr>
      <w:r>
        <w:rPr>
          <w:rStyle w:val="FootnoteReference"/>
        </w:rPr>
        <w:footnoteRef/>
      </w:r>
      <w:r>
        <w:t xml:space="preserve"> Cross-references for "a new": John 13:34; John 15:12.</w:t>
      </w:r>
    </w:p>
  </w:footnote>
  <w:footnote w:id="19265">
    <w:p>
      <w:pPr>
        <w:pStyle w:val="FootnoteText"/>
      </w:pPr>
      <w:r>
        <w:rPr>
          <w:rStyle w:val="FootnoteReference"/>
        </w:rPr>
        <w:footnoteRef/>
      </w:r>
      <w:r>
        <w:t xml:space="preserve"> Cross-references for "is in": Ps 82:5; 1Cor 13:1-3.</w:t>
      </w:r>
    </w:p>
  </w:footnote>
  <w:footnote w:id="19266">
    <w:p>
      <w:pPr>
        <w:pStyle w:val="FootnoteText"/>
      </w:pPr>
      <w:r>
        <w:rPr>
          <w:rStyle w:val="FootnoteReference"/>
        </w:rPr>
        <w:footnoteRef/>
      </w:r>
      <w:r>
        <w:t xml:space="preserve"> Cross-references for "occasion of stumbling": Matt 13:21; Matt 18:7.</w:t>
      </w:r>
    </w:p>
  </w:footnote>
  <w:footnote w:id="19267">
    <w:p>
      <w:pPr>
        <w:pStyle w:val="FootnoteText"/>
      </w:pPr>
      <w:r>
        <w:rPr>
          <w:rStyle w:val="FootnoteReference"/>
        </w:rPr>
        <w:footnoteRef/>
      </w:r>
      <w:r>
        <w:t xml:space="preserve"> Cross-references for "write": 1John 1:4; 1John 2:7.</w:t>
      </w:r>
    </w:p>
  </w:footnote>
  <w:footnote w:id="19268">
    <w:p>
      <w:pPr>
        <w:pStyle w:val="FootnoteText"/>
      </w:pPr>
      <w:r>
        <w:rPr>
          <w:rStyle w:val="FootnoteReference"/>
        </w:rPr>
        <w:footnoteRef/>
      </w:r>
      <w:r>
        <w:t xml:space="preserve"> Cross-references for "fathers": 1Tim 5:1; 1John 2:14.</w:t>
      </w:r>
    </w:p>
  </w:footnote>
  <w:footnote w:id="19269">
    <w:p>
      <w:pPr>
        <w:pStyle w:val="FootnoteText"/>
      </w:pPr>
      <w:r>
        <w:rPr>
          <w:rStyle w:val="FootnoteReference"/>
        </w:rPr>
        <w:footnoteRef/>
      </w:r>
      <w:r>
        <w:t xml:space="preserve"> Cross-references for "fathers": 1John 2:13.</w:t>
      </w:r>
    </w:p>
  </w:footnote>
  <w:footnote w:id="19270">
    <w:p>
      <w:pPr>
        <w:pStyle w:val="FootnoteText"/>
      </w:pPr>
      <w:r>
        <w:rPr>
          <w:rStyle w:val="FootnoteReference"/>
        </w:rPr>
        <w:footnoteRef/>
      </w:r>
      <w:r>
        <w:t xml:space="preserve"> Cross-references for "Love not": John 15:19; Rom 12:2.</w:t>
      </w:r>
    </w:p>
  </w:footnote>
  <w:footnote w:id="19271">
    <w:p>
      <w:pPr>
        <w:pStyle w:val="FootnoteText"/>
      </w:pPr>
      <w:r>
        <w:rPr>
          <w:rStyle w:val="FootnoteReference"/>
        </w:rPr>
        <w:footnoteRef/>
      </w:r>
      <w:r>
        <w:t xml:space="preserve"> Cross-references for "and the pride": Ps 73:6; Dan 4:30.</w:t>
      </w:r>
    </w:p>
  </w:footnote>
  <w:footnote w:id="19272">
    <w:p>
      <w:pPr>
        <w:pStyle w:val="FootnoteText"/>
      </w:pPr>
      <w:r>
        <w:rPr>
          <w:rStyle w:val="FootnoteReference"/>
        </w:rPr>
        <w:footnoteRef/>
      </w:r>
      <w:r>
        <w:t xml:space="preserve"> Cross-references for "the world": Ps 39:6; Ps 73:18-20.</w:t>
      </w:r>
    </w:p>
  </w:footnote>
  <w:footnote w:id="19273">
    <w:p>
      <w:pPr>
        <w:pStyle w:val="FootnoteText"/>
      </w:pPr>
      <w:r>
        <w:rPr>
          <w:rStyle w:val="FootnoteReference"/>
        </w:rPr>
        <w:footnoteRef/>
      </w:r>
      <w:r>
        <w:t xml:space="preserve"> Cross-references for "Little": John 21:5; 1John 2:1.</w:t>
      </w:r>
    </w:p>
  </w:footnote>
  <w:footnote w:id="19274">
    <w:p>
      <w:pPr>
        <w:pStyle w:val="FootnoteText"/>
      </w:pPr>
      <w:r>
        <w:rPr>
          <w:rStyle w:val="FootnoteReference"/>
        </w:rPr>
        <w:footnoteRef/>
      </w:r>
      <w:r>
        <w:t xml:space="preserve"> Cross-references for "went out": Deut 13:13; Ps 41:9.</w:t>
      </w:r>
    </w:p>
  </w:footnote>
  <w:footnote w:id="19275">
    <w:p>
      <w:pPr>
        <w:pStyle w:val="FootnoteText"/>
      </w:pPr>
      <w:r>
        <w:rPr>
          <w:rStyle w:val="FootnoteReference"/>
        </w:rPr>
        <w:footnoteRef/>
      </w:r>
      <w:r>
        <w:t xml:space="preserve"> Cross-references for "the Holy": Ps 16:10; Ps 71:22.</w:t>
      </w:r>
    </w:p>
  </w:footnote>
  <w:footnote w:id="19276">
    <w:p>
      <w:pPr>
        <w:pStyle w:val="FootnoteText"/>
      </w:pPr>
      <w:r>
        <w:rPr>
          <w:rStyle w:val="FootnoteReference"/>
        </w:rPr>
        <w:footnoteRef/>
      </w:r>
      <w:r>
        <w:t xml:space="preserve"> Cross-references for "abide": Ps 119:11; Prov 23:23.</w:t>
      </w:r>
    </w:p>
  </w:footnote>
  <w:footnote w:id="19277">
    <w:p>
      <w:pPr>
        <w:pStyle w:val="FootnoteText"/>
      </w:pPr>
      <w:r>
        <w:rPr>
          <w:rStyle w:val="FootnoteReference"/>
        </w:rPr>
        <w:footnoteRef/>
      </w:r>
      <w:r>
        <w:t xml:space="preserve"> Cross-references for "concerning": Prov 12:26; Ezek 13:10.</w:t>
      </w:r>
    </w:p>
  </w:footnote>
  <w:footnote w:id="19278">
    <w:p>
      <w:pPr>
        <w:pStyle w:val="FootnoteText"/>
      </w:pPr>
      <w:r>
        <w:rPr>
          <w:rStyle w:val="FootnoteReference"/>
        </w:rPr>
        <w:footnoteRef/>
      </w:r>
      <w:r>
        <w:t xml:space="preserve"> Cross-references for "the anointing": John 4:14; 1Pet 1:23.</w:t>
      </w:r>
    </w:p>
  </w:footnote>
  <w:footnote w:id="19279">
    <w:p>
      <w:pPr>
        <w:pStyle w:val="FootnoteText"/>
      </w:pPr>
      <w:r>
        <w:rPr>
          <w:rStyle w:val="FootnoteReference"/>
        </w:rPr>
        <w:footnoteRef/>
      </w:r>
      <w:r>
        <w:t xml:space="preserve"> Cross-references for "little": 1John 2:1.</w:t>
      </w:r>
    </w:p>
  </w:footnote>
  <w:footnote w:id="19280">
    <w:p>
      <w:pPr>
        <w:pStyle w:val="FootnoteText"/>
      </w:pPr>
      <w:r>
        <w:rPr>
          <w:rStyle w:val="FootnoteReference"/>
        </w:rPr>
        <w:footnoteRef/>
      </w:r>
      <w:r>
        <w:t xml:space="preserve"> Cross-references for "that every": Jer 13:23; Matt 7:16-18.</w:t>
      </w:r>
    </w:p>
  </w:footnote>
  <w:footnote w:id="19281">
    <w:p>
      <w:pPr>
        <w:pStyle w:val="FootnoteText"/>
      </w:pPr>
      <w:r>
        <w:rPr>
          <w:rStyle w:val="FootnoteReference"/>
        </w:rPr>
        <w:footnoteRef/>
      </w:r>
      <w:r>
        <w:t xml:space="preserve"> Cross-references for "the world": John 15:18-19; John 16:3.</w:t>
      </w:r>
    </w:p>
  </w:footnote>
  <w:footnote w:id="19282">
    <w:p>
      <w:pPr>
        <w:pStyle w:val="FootnoteText"/>
      </w:pPr>
      <w:r>
        <w:rPr>
          <w:rStyle w:val="FootnoteReference"/>
        </w:rPr>
        <w:footnoteRef/>
      </w:r>
      <w:r>
        <w:t xml:space="preserve"> Cross-references for "this purpose": Gen 3:15; Isa 27:1.</w:t>
      </w:r>
    </w:p>
  </w:footnote>
  <w:footnote w:id="19283">
    <w:p>
      <w:pPr>
        <w:pStyle w:val="FootnoteText"/>
      </w:pPr>
      <w:r>
        <w:rPr>
          <w:rStyle w:val="FootnoteReference"/>
        </w:rPr>
        <w:footnoteRef/>
      </w:r>
      <w:r>
        <w:t xml:space="preserve"> Cross-references for "born": John 1:13; 1John 2:29.</w:t>
      </w:r>
    </w:p>
  </w:footnote>
  <w:footnote w:id="19284">
    <w:p>
      <w:pPr>
        <w:pStyle w:val="FootnoteText"/>
      </w:pPr>
      <w:r>
        <w:rPr>
          <w:rStyle w:val="FootnoteReference"/>
        </w:rPr>
        <w:footnoteRef/>
      </w:r>
      <w:r>
        <w:t xml:space="preserve"> Cross-references for "the children of God": Luke 6:35; Rom 8:16-17.</w:t>
      </w:r>
    </w:p>
  </w:footnote>
  <w:footnote w:id="19285">
    <w:p>
      <w:pPr>
        <w:pStyle w:val="FootnoteText"/>
      </w:pPr>
      <w:r>
        <w:rPr>
          <w:rStyle w:val="FootnoteReference"/>
        </w:rPr>
        <w:footnoteRef/>
      </w:r>
      <w:r>
        <w:t xml:space="preserve"> Cross-references for "message": 1Tim 1:5.</w:t>
      </w:r>
    </w:p>
  </w:footnote>
  <w:footnote w:id="19286">
    <w:p>
      <w:pPr>
        <w:pStyle w:val="FootnoteText"/>
      </w:pPr>
      <w:r>
        <w:rPr>
          <w:rStyle w:val="FootnoteReference"/>
        </w:rPr>
        <w:footnoteRef/>
      </w:r>
      <w:r>
        <w:t xml:space="preserve"> Cross-references for "perceive": Matt 20:28; John 3:16.</w:t>
      </w:r>
    </w:p>
  </w:footnote>
  <w:footnote w:id="19287">
    <w:p>
      <w:pPr>
        <w:pStyle w:val="FootnoteText"/>
      </w:pPr>
      <w:r>
        <w:rPr>
          <w:rStyle w:val="FootnoteReference"/>
        </w:rPr>
        <w:footnoteRef/>
      </w:r>
      <w:r>
        <w:t xml:space="preserve"> Cross-references for "assure": Rom 4:21; Rom 8:38.</w:t>
      </w:r>
    </w:p>
  </w:footnote>
  <w:footnote w:id="19288">
    <w:p>
      <w:pPr>
        <w:pStyle w:val="FootnoteText"/>
      </w:pPr>
      <w:r>
        <w:rPr>
          <w:rStyle w:val="FootnoteReference"/>
        </w:rPr>
        <w:footnoteRef/>
      </w:r>
      <w:r>
        <w:t xml:space="preserve"> Cross-references for "his commandment": Deut 18:15-19; Ps 2:12.</w:t>
      </w:r>
    </w:p>
  </w:footnote>
  <w:footnote w:id="19289">
    <w:p>
      <w:pPr>
        <w:pStyle w:val="FootnoteText"/>
      </w:pPr>
      <w:r>
        <w:rPr>
          <w:rStyle w:val="FootnoteReference"/>
        </w:rPr>
        <w:footnoteRef/>
      </w:r>
      <w:r>
        <w:t xml:space="preserve"> Cross-references for "and this": 2Thess 2:7-8; 1John 2:18.</w:t>
      </w:r>
    </w:p>
  </w:footnote>
  <w:footnote w:id="19290">
    <w:p>
      <w:pPr>
        <w:pStyle w:val="FootnoteText"/>
      </w:pPr>
      <w:r>
        <w:rPr>
          <w:rStyle w:val="FootnoteReference"/>
        </w:rPr>
        <w:footnoteRef/>
      </w:r>
      <w:r>
        <w:t xml:space="preserve"> Cross-references for "greater": John 10:28-30; John 14:17-23.</w:t>
      </w:r>
    </w:p>
  </w:footnote>
  <w:footnote w:id="19291">
    <w:p>
      <w:pPr>
        <w:pStyle w:val="FootnoteText"/>
      </w:pPr>
      <w:r>
        <w:rPr>
          <w:rStyle w:val="FootnoteReference"/>
        </w:rPr>
        <w:footnoteRef/>
      </w:r>
      <w:r>
        <w:t xml:space="preserve"> Cross-references for "We are": Mic 3:8; Rom 1:1.</w:t>
      </w:r>
    </w:p>
  </w:footnote>
  <w:footnote w:id="19292">
    <w:p>
      <w:pPr>
        <w:pStyle w:val="FootnoteText"/>
      </w:pPr>
      <w:r>
        <w:rPr>
          <w:rStyle w:val="FootnoteReference"/>
        </w:rPr>
        <w:footnoteRef/>
      </w:r>
      <w:r>
        <w:t xml:space="preserve"> Cross-references for "love is": Deut 30:6; Gal 5:22.</w:t>
      </w:r>
    </w:p>
  </w:footnote>
  <w:footnote w:id="19293">
    <w:p>
      <w:pPr>
        <w:pStyle w:val="FootnoteText"/>
      </w:pPr>
      <w:r>
        <w:rPr>
          <w:rStyle w:val="FootnoteReference"/>
        </w:rPr>
        <w:footnoteRef/>
      </w:r>
      <w:r>
        <w:t xml:space="preserve"> Cross-references for "God is": Exod 34:6-7; Ps 86:5.</w:t>
      </w:r>
    </w:p>
  </w:footnote>
  <w:footnote w:id="19294">
    <w:p>
      <w:pPr>
        <w:pStyle w:val="FootnoteText"/>
      </w:pPr>
      <w:r>
        <w:rPr>
          <w:rStyle w:val="FootnoteReference"/>
        </w:rPr>
        <w:footnoteRef/>
      </w:r>
      <w:r>
        <w:t xml:space="preserve"> Cross-references for "God sent": Luke 4:18; John 5:23.</w:t>
      </w:r>
    </w:p>
  </w:footnote>
  <w:footnote w:id="19295">
    <w:p>
      <w:pPr>
        <w:pStyle w:val="FootnoteText"/>
      </w:pPr>
      <w:r>
        <w:rPr>
          <w:rStyle w:val="FootnoteReference"/>
        </w:rPr>
        <w:footnoteRef/>
      </w:r>
      <w:r>
        <w:t xml:space="preserve"> Cross-references for "and sent": Dan 9:24; Rom 3:25-26.</w:t>
      </w:r>
    </w:p>
  </w:footnote>
  <w:footnote w:id="19296">
    <w:p>
      <w:pPr>
        <w:pStyle w:val="FootnoteText"/>
      </w:pPr>
      <w:r>
        <w:rPr>
          <w:rStyle w:val="FootnoteReference"/>
        </w:rPr>
        <w:footnoteRef/>
      </w:r>
      <w:r>
        <w:t xml:space="preserve"> Cross-references for "seen": Gen 32:30; Exod 33:20.</w:t>
      </w:r>
    </w:p>
  </w:footnote>
  <w:footnote w:id="19297">
    <w:p>
      <w:pPr>
        <w:pStyle w:val="FootnoteText"/>
      </w:pPr>
      <w:r>
        <w:rPr>
          <w:rStyle w:val="FootnoteReference"/>
        </w:rPr>
        <w:footnoteRef/>
      </w:r>
      <w:r>
        <w:t xml:space="preserve"> Cross-references for "the Father": John 3:34; John 5:36-37.</w:t>
      </w:r>
    </w:p>
  </w:footnote>
  <w:footnote w:id="19298">
    <w:p>
      <w:pPr>
        <w:pStyle w:val="FootnoteText"/>
      </w:pPr>
      <w:r>
        <w:rPr>
          <w:rStyle w:val="FootnoteReference"/>
        </w:rPr>
        <w:footnoteRef/>
      </w:r>
      <w:r>
        <w:t xml:space="preserve"> Cross-references for "confess": Matt 10:32; Luke 12:8.</w:t>
      </w:r>
    </w:p>
  </w:footnote>
  <w:footnote w:id="19299">
    <w:p>
      <w:pPr>
        <w:pStyle w:val="FootnoteText"/>
      </w:pPr>
      <w:r>
        <w:rPr>
          <w:rStyle w:val="FootnoteReference"/>
        </w:rPr>
        <w:footnoteRef/>
      </w:r>
      <w:r>
        <w:t xml:space="preserve"> Cross-references for "God is love": 1John 4:8; 1John 4:12-13.</w:t>
      </w:r>
    </w:p>
  </w:footnote>
  <w:footnote w:id="19300">
    <w:p>
      <w:pPr>
        <w:pStyle w:val="FootnoteText"/>
      </w:pPr>
      <w:r>
        <w:rPr>
          <w:rStyle w:val="FootnoteReference"/>
        </w:rPr>
        <w:footnoteRef/>
      </w:r>
      <w:r>
        <w:t xml:space="preserve"> Cross-references for "made": Jas 2:22; 1John 2:5.</w:t>
      </w:r>
    </w:p>
  </w:footnote>
  <w:footnote w:id="19301">
    <w:p>
      <w:pPr>
        <w:pStyle w:val="FootnoteText"/>
      </w:pPr>
      <w:r>
        <w:rPr>
          <w:rStyle w:val="FootnoteReference"/>
        </w:rPr>
        <w:footnoteRef/>
      </w:r>
      <w:r>
        <w:t xml:space="preserve"> Cross-references for "is no": Luke 1:74-75; Rom 8:15.</w:t>
      </w:r>
    </w:p>
  </w:footnote>
  <w:footnote w:id="19302">
    <w:p>
      <w:pPr>
        <w:pStyle w:val="FootnoteText"/>
      </w:pPr>
      <w:r>
        <w:rPr>
          <w:rStyle w:val="FootnoteReference"/>
        </w:rPr>
        <w:footnoteRef/>
      </w:r>
      <w:r>
        <w:t xml:space="preserve"> Cross-references for "a man": 1John 2:4; 1John 3:17.</w:t>
      </w:r>
    </w:p>
  </w:footnote>
  <w:footnote w:id="19303">
    <w:p>
      <w:pPr>
        <w:pStyle w:val="FootnoteText"/>
      </w:pPr>
      <w:r>
        <w:rPr>
          <w:rStyle w:val="FootnoteReference"/>
        </w:rPr>
        <w:footnoteRef/>
      </w:r>
      <w:r>
        <w:t xml:space="preserve"> Cross-references for "by water and": Isa 45:3-4; Ezek 36:25.</w:t>
      </w:r>
    </w:p>
  </w:footnote>
  <w:footnote w:id="19304">
    <w:p>
      <w:pPr>
        <w:pStyle w:val="FootnoteText"/>
      </w:pPr>
      <w:r>
        <w:rPr>
          <w:rStyle w:val="FootnoteReference"/>
        </w:rPr>
        <w:footnoteRef/>
      </w:r>
      <w:r>
        <w:t xml:space="preserve"> Cross-references for "bear": John 8:13-14; 1John 5:10-11.</w:t>
      </w:r>
    </w:p>
  </w:footnote>
  <w:footnote w:id="19305">
    <w:p>
      <w:pPr>
        <w:pStyle w:val="FootnoteText"/>
      </w:pPr>
      <w:r>
        <w:rPr>
          <w:rStyle w:val="FootnoteReference"/>
        </w:rPr>
        <w:footnoteRef/>
      </w:r>
      <w:r>
        <w:t xml:space="preserve"> Cross-references for "the Spirit": Matt 26:26-28; Matt 28:19.</w:t>
      </w:r>
    </w:p>
  </w:footnote>
  <w:footnote w:id="19306">
    <w:p>
      <w:pPr>
        <w:pStyle w:val="FootnoteText"/>
      </w:pPr>
      <w:r>
        <w:rPr>
          <w:rStyle w:val="FootnoteReference"/>
        </w:rPr>
        <w:footnoteRef/>
      </w:r>
      <w:r>
        <w:t xml:space="preserve"> Cross-references for "have I": John 20:31; John 21:24.</w:t>
      </w:r>
    </w:p>
  </w:footnote>
  <w:footnote w:id="19307">
    <w:p>
      <w:pPr>
        <w:pStyle w:val="FootnoteText"/>
      </w:pPr>
      <w:r>
        <w:rPr>
          <w:rStyle w:val="FootnoteReference"/>
        </w:rPr>
        <w:footnoteRef/>
      </w:r>
      <w:r>
        <w:t xml:space="preserve"> Cross-references for "he shall ask": Gen 20:7; Gen 20:17.</w:t>
      </w:r>
    </w:p>
  </w:footnote>
  <w:footnote w:id="19308">
    <w:p>
      <w:pPr>
        <w:pStyle w:val="FootnoteText"/>
      </w:pPr>
      <w:r>
        <w:rPr>
          <w:rStyle w:val="FootnoteReference"/>
        </w:rPr>
        <w:footnoteRef/>
      </w:r>
      <w:r>
        <w:t xml:space="preserve"> Cross-references for "wicked": 1John 2:13-14; 1John 3:12.</w:t>
      </w:r>
    </w:p>
  </w:footnote>
  <w:footnote w:id="19309">
    <w:p>
      <w:pPr>
        <w:pStyle w:val="FootnoteText"/>
      </w:pPr>
      <w:r>
        <w:rPr>
          <w:rStyle w:val="FootnoteReference"/>
        </w:rPr>
        <w:footnoteRef/>
      </w:r>
      <w:r>
        <w:t xml:space="preserve"> Cross-references for "And we": John 10:30; John 14:20.</w:t>
      </w:r>
    </w:p>
  </w:footnote>
  <w:footnote w:id="19310">
    <w:p>
      <w:pPr>
        <w:pStyle w:val="FootnoteText"/>
      </w:pPr>
      <w:r>
        <w:rPr>
          <w:rStyle w:val="FootnoteReference"/>
        </w:rPr>
        <w:footnoteRef/>
      </w:r>
      <w:r>
        <w:t xml:space="preserve"> Cross-references for "Little": 1John 2:1.</w:t>
      </w:r>
    </w:p>
  </w:footnote>
  <w:footnote w:id="19311">
    <w:p>
      <w:pPr>
        <w:pStyle w:val="FootnoteText"/>
      </w:pPr>
      <w:r>
        <w:rPr>
          <w:rStyle w:val="FootnoteReference"/>
        </w:rPr>
        <w:footnoteRef/>
      </w:r>
      <w:r>
        <w:t xml:space="preserve"> Cross-references for "elder": 1Pet 5:1; 3John 1:1.</w:t>
      </w:r>
    </w:p>
  </w:footnote>
  <w:footnote w:id="19312">
    <w:p>
      <w:pPr>
        <w:pStyle w:val="FootnoteText"/>
      </w:pPr>
      <w:r>
        <w:rPr>
          <w:rStyle w:val="FootnoteReference"/>
        </w:rPr>
        <w:footnoteRef/>
      </w:r>
      <w:r>
        <w:t xml:space="preserve"> Cross-references for "the truth's": 1Cor 9:23; 2Cor 4:5.</w:t>
      </w:r>
    </w:p>
  </w:footnote>
  <w:footnote w:id="19313">
    <w:p>
      <w:pPr>
        <w:pStyle w:val="FootnoteText"/>
      </w:pPr>
      <w:r>
        <w:rPr>
          <w:rStyle w:val="FootnoteReference"/>
        </w:rPr>
        <w:footnoteRef/>
      </w:r>
      <w:r>
        <w:t xml:space="preserve"> Cross-references for "Grace": Rom 1:7; 1Tim 1:2.</w:t>
      </w:r>
    </w:p>
  </w:footnote>
  <w:footnote w:id="19314">
    <w:p>
      <w:pPr>
        <w:pStyle w:val="FootnoteText"/>
      </w:pPr>
      <w:r>
        <w:rPr>
          <w:rStyle w:val="FootnoteReference"/>
        </w:rPr>
        <w:footnoteRef/>
      </w:r>
      <w:r>
        <w:t xml:space="preserve"> Cross-references for "rejoiced": Phil 4:10; 1Thess 2:19-20.</w:t>
      </w:r>
    </w:p>
  </w:footnote>
  <w:footnote w:id="19315">
    <w:p>
      <w:pPr>
        <w:pStyle w:val="FootnoteText"/>
      </w:pPr>
      <w:r>
        <w:rPr>
          <w:rStyle w:val="FootnoteReference"/>
        </w:rPr>
        <w:footnoteRef/>
      </w:r>
      <w:r>
        <w:t xml:space="preserve"> Cross-references for "that we": John 13:34-35; John 15:12.</w:t>
      </w:r>
    </w:p>
  </w:footnote>
  <w:footnote w:id="19316">
    <w:p>
      <w:pPr>
        <w:pStyle w:val="FootnoteText"/>
      </w:pPr>
      <w:r>
        <w:rPr>
          <w:rStyle w:val="FootnoteReference"/>
        </w:rPr>
        <w:footnoteRef/>
      </w:r>
      <w:r>
        <w:t xml:space="preserve"> Cross-references for "this is love": John 14:15; John 14:21.</w:t>
      </w:r>
    </w:p>
  </w:footnote>
  <w:footnote w:id="19317">
    <w:p>
      <w:pPr>
        <w:pStyle w:val="FootnoteText"/>
      </w:pPr>
      <w:r>
        <w:rPr>
          <w:rStyle w:val="FootnoteReference"/>
        </w:rPr>
        <w:footnoteRef/>
      </w:r>
      <w:r>
        <w:t xml:space="preserve"> Cross-references for "This is": 1John 2:22; 1John 4:3.</w:t>
      </w:r>
    </w:p>
  </w:footnote>
  <w:footnote w:id="19318">
    <w:p>
      <w:pPr>
        <w:pStyle w:val="FootnoteText"/>
      </w:pPr>
      <w:r>
        <w:rPr>
          <w:rStyle w:val="FootnoteReference"/>
        </w:rPr>
        <w:footnoteRef/>
      </w:r>
      <w:r>
        <w:t xml:space="preserve"> Cross-references for "Look": Matt 24:4; Matt 24:24-25.</w:t>
      </w:r>
    </w:p>
  </w:footnote>
  <w:footnote w:id="19319">
    <w:p>
      <w:pPr>
        <w:pStyle w:val="FootnoteText"/>
      </w:pPr>
      <w:r>
        <w:rPr>
          <w:rStyle w:val="FootnoteReference"/>
        </w:rPr>
        <w:footnoteRef/>
      </w:r>
      <w:r>
        <w:t xml:space="preserve"> Cross-references for "the doctrine": John 7:16-17; Acts 2:42.</w:t>
      </w:r>
    </w:p>
  </w:footnote>
  <w:footnote w:id="19320">
    <w:p>
      <w:pPr>
        <w:pStyle w:val="FootnoteText"/>
      </w:pPr>
      <w:r>
        <w:rPr>
          <w:rStyle w:val="FootnoteReference"/>
        </w:rPr>
        <w:footnoteRef/>
      </w:r>
      <w:r>
        <w:t xml:space="preserve"> Cross-references for "partaker": Ps 50:18; Eph 5:11.</w:t>
      </w:r>
    </w:p>
  </w:footnote>
  <w:footnote w:id="19321">
    <w:p>
      <w:pPr>
        <w:pStyle w:val="FootnoteText"/>
      </w:pPr>
      <w:r>
        <w:rPr>
          <w:rStyle w:val="FootnoteReference"/>
        </w:rPr>
        <w:footnoteRef/>
      </w:r>
      <w:r>
        <w:t xml:space="preserve"> Cross-references for "I would": 3John 1:13.</w:t>
      </w:r>
    </w:p>
  </w:footnote>
  <w:footnote w:id="19322">
    <w:p>
      <w:pPr>
        <w:pStyle w:val="FootnoteText"/>
      </w:pPr>
      <w:r>
        <w:rPr>
          <w:rStyle w:val="FootnoteReference"/>
        </w:rPr>
        <w:footnoteRef/>
      </w:r>
      <w:r>
        <w:t xml:space="preserve"> Cross-references for "elder": 2John 1:1.</w:t>
      </w:r>
    </w:p>
  </w:footnote>
  <w:footnote w:id="19323">
    <w:p>
      <w:pPr>
        <w:pStyle w:val="FootnoteText"/>
      </w:pPr>
      <w:r>
        <w:rPr>
          <w:rStyle w:val="FootnoteReference"/>
        </w:rPr>
        <w:footnoteRef/>
      </w:r>
      <w:r>
        <w:t xml:space="preserve"> Cross-references for "the truth": Ps 119:11; 2John 1:2.</w:t>
      </w:r>
    </w:p>
  </w:footnote>
  <w:footnote w:id="19324">
    <w:p>
      <w:pPr>
        <w:pStyle w:val="FootnoteText"/>
      </w:pPr>
      <w:r>
        <w:rPr>
          <w:rStyle w:val="FootnoteReference"/>
        </w:rPr>
        <w:footnoteRef/>
      </w:r>
      <w:r>
        <w:t xml:space="preserve"> Cross-references for "after a godly sort": 1Thess 2:12.</w:t>
      </w:r>
    </w:p>
  </w:footnote>
  <w:footnote w:id="19325">
    <w:p>
      <w:pPr>
        <w:pStyle w:val="FootnoteText"/>
      </w:pPr>
      <w:r>
        <w:rPr>
          <w:rStyle w:val="FootnoteReference"/>
        </w:rPr>
        <w:footnoteRef/>
      </w:r>
      <w:r>
        <w:t xml:space="preserve"> Cross-references for "taking": 2Kgs 5:15-16; 2Kgs 5:20-27.</w:t>
      </w:r>
    </w:p>
  </w:footnote>
  <w:footnote w:id="19326">
    <w:p>
      <w:pPr>
        <w:pStyle w:val="FootnoteText"/>
      </w:pPr>
      <w:r>
        <w:rPr>
          <w:rStyle w:val="FootnoteReference"/>
        </w:rPr>
        <w:footnoteRef/>
      </w:r>
      <w:r>
        <w:t xml:space="preserve"> Cross-references for "to receive": Matt 10:14; Matt 10:40.</w:t>
      </w:r>
    </w:p>
  </w:footnote>
  <w:footnote w:id="19327">
    <w:p>
      <w:pPr>
        <w:pStyle w:val="FootnoteText"/>
      </w:pPr>
      <w:r>
        <w:rPr>
          <w:rStyle w:val="FootnoteReference"/>
        </w:rPr>
        <w:footnoteRef/>
      </w:r>
      <w:r>
        <w:t xml:space="preserve"> Name meaning: Diotrephes (Diotrephes) — Nurtured by Zeus. Loved preeminence and opposed apostolic authority.</w:t>
      </w:r>
    </w:p>
  </w:footnote>
  <w:footnote w:id="19328">
    <w:p>
      <w:pPr>
        <w:pStyle w:val="FootnoteText"/>
      </w:pPr>
      <w:r>
        <w:rPr>
          <w:rStyle w:val="FootnoteReference"/>
        </w:rPr>
        <w:footnoteRef/>
      </w:r>
      <w:r>
        <w:t xml:space="preserve"> Cross-references for "follow": Exod 23:2; Ps 37:27.</w:t>
      </w:r>
    </w:p>
  </w:footnote>
  <w:footnote w:id="19329">
    <w:p>
      <w:pPr>
        <w:pStyle w:val="FootnoteText"/>
      </w:pPr>
      <w:r>
        <w:rPr>
          <w:rStyle w:val="FootnoteReference"/>
        </w:rPr>
        <w:footnoteRef/>
      </w:r>
      <w:r>
        <w:t xml:space="preserve"> Cross-references for "good": Acts 10:22; Acts 22:12.</w:t>
      </w:r>
    </w:p>
  </w:footnote>
  <w:footnote w:id="19330">
    <w:p>
      <w:pPr>
        <w:pStyle w:val="FootnoteText"/>
      </w:pPr>
      <w:r>
        <w:rPr>
          <w:rStyle w:val="FootnoteReference"/>
        </w:rPr>
        <w:footnoteRef/>
      </w:r>
      <w:r>
        <w:t xml:space="preserve"> Cross-references for "Peace": Gen 43:23; Dan 4:1.</w:t>
      </w:r>
    </w:p>
  </w:footnote>
  <w:footnote w:id="19331">
    <w:p>
      <w:pPr>
        <w:pStyle w:val="FootnoteText"/>
      </w:pPr>
      <w:r>
        <w:rPr>
          <w:rStyle w:val="FootnoteReference"/>
        </w:rPr>
        <w:footnoteRef/>
      </w:r>
      <w:r>
        <w:t xml:space="preserve"> Name meaning: Jude (Yehudah) — Praise. Author of the epistle of Jude.</w:t>
      </w:r>
    </w:p>
  </w:footnote>
  <w:footnote w:id="19332">
    <w:p>
      <w:pPr>
        <w:pStyle w:val="FootnoteText"/>
      </w:pPr>
      <w:r>
        <w:rPr>
          <w:rStyle w:val="FootnoteReference"/>
        </w:rPr>
        <w:footnoteRef/>
      </w:r>
      <w:r>
        <w:t xml:space="preserve"> Cross-references for "Jude": Matt 10:3; Mark 3:18.</w:t>
      </w:r>
    </w:p>
  </w:footnote>
  <w:footnote w:id="19333">
    <w:p>
      <w:pPr>
        <w:pStyle w:val="FootnoteText"/>
      </w:pPr>
      <w:r>
        <w:rPr>
          <w:rStyle w:val="FootnoteReference"/>
        </w:rPr>
        <w:footnoteRef/>
      </w:r>
      <w:r>
        <w:t xml:space="preserve"> Cross-references for "common": Isa 45:17; Isa 45:22.</w:t>
      </w:r>
    </w:p>
  </w:footnote>
  <w:footnote w:id="19334">
    <w:p>
      <w:pPr>
        <w:pStyle w:val="FootnoteText"/>
      </w:pPr>
      <w:r>
        <w:rPr>
          <w:rStyle w:val="FootnoteReference"/>
        </w:rPr>
        <w:footnoteRef/>
      </w:r>
      <w:r>
        <w:t xml:space="preserve"> Cross-references for "crept": Matt 13:25; Acts 15:24.</w:t>
      </w:r>
    </w:p>
  </w:footnote>
  <w:footnote w:id="19335">
    <w:p>
      <w:pPr>
        <w:pStyle w:val="FootnoteText"/>
      </w:pPr>
      <w:r>
        <w:rPr>
          <w:rStyle w:val="FootnoteReference"/>
        </w:rPr>
        <w:footnoteRef/>
      </w:r>
      <w:r>
        <w:t xml:space="preserve"> Cross-references for "afterward": Num 14:22-37; Num 26:64-65.</w:t>
      </w:r>
    </w:p>
  </w:footnote>
  <w:footnote w:id="19336">
    <w:p>
      <w:pPr>
        <w:pStyle w:val="FootnoteText"/>
      </w:pPr>
      <w:r>
        <w:rPr>
          <w:rStyle w:val="FootnoteReference"/>
        </w:rPr>
        <w:footnoteRef/>
      </w:r>
      <w:r>
        <w:t xml:space="preserve"> Cross-references for "angels": John 8:44.</w:t>
      </w:r>
    </w:p>
  </w:footnote>
  <w:footnote w:id="19337">
    <w:p>
      <w:pPr>
        <w:pStyle w:val="FootnoteText"/>
      </w:pPr>
      <w:r>
        <w:rPr>
          <w:rStyle w:val="FootnoteReference"/>
        </w:rPr>
        <w:footnoteRef/>
      </w:r>
      <w:r>
        <w:t xml:space="preserve"> Cross-references for "strange": Gen 19:5; Rom 1:26-27.</w:t>
      </w:r>
    </w:p>
  </w:footnote>
  <w:footnote w:id="19338">
    <w:p>
      <w:pPr>
        <w:pStyle w:val="FootnoteText"/>
      </w:pPr>
      <w:r>
        <w:rPr>
          <w:rStyle w:val="FootnoteReference"/>
        </w:rPr>
        <w:footnoteRef/>
      </w:r>
      <w:r>
        <w:t xml:space="preserve"> Cross-references for "defile": 1Cor 3:17; 1Tim 1:10.</w:t>
      </w:r>
    </w:p>
  </w:footnote>
  <w:footnote w:id="19339">
    <w:p>
      <w:pPr>
        <w:pStyle w:val="FootnoteText"/>
      </w:pPr>
      <w:r>
        <w:rPr>
          <w:rStyle w:val="FootnoteReference"/>
        </w:rPr>
        <w:footnoteRef/>
      </w:r>
      <w:r>
        <w:t xml:space="preserve"> Divine or supernatural name: Michael. Divine/supernatural-name meaning: Michael — Who is like God?. Source form: Michael.</w:t>
      </w:r>
    </w:p>
  </w:footnote>
  <w:footnote w:id="19340">
    <w:p>
      <w:pPr>
        <w:pStyle w:val="FootnoteText"/>
      </w:pPr>
      <w:r>
        <w:rPr>
          <w:rStyle w:val="FootnoteReference"/>
        </w:rPr>
        <w:footnoteRef/>
      </w:r>
      <w:r>
        <w:t xml:space="preserve"> Cross-references for "Michael": Dan 10:13; Dan 10:21.</w:t>
      </w:r>
    </w:p>
  </w:footnote>
  <w:footnote w:id="19341">
    <w:p>
      <w:pPr>
        <w:pStyle w:val="FootnoteText"/>
      </w:pPr>
      <w:r>
        <w:rPr>
          <w:rStyle w:val="FootnoteReference"/>
        </w:rPr>
        <w:footnoteRef/>
      </w:r>
      <w:r>
        <w:t xml:space="preserve"> Cross-references for "speak": 2Pet 2:12.</w:t>
      </w:r>
    </w:p>
  </w:footnote>
  <w:footnote w:id="19342">
    <w:p>
      <w:pPr>
        <w:pStyle w:val="FootnoteText"/>
      </w:pPr>
      <w:r>
        <w:rPr>
          <w:rStyle w:val="FootnoteReference"/>
        </w:rPr>
        <w:footnoteRef/>
      </w:r>
      <w:r>
        <w:t xml:space="preserve"> Cross-references for "perished": Num 16:1-35; Num 26:9-10.</w:t>
      </w:r>
    </w:p>
  </w:footnote>
  <w:footnote w:id="19343">
    <w:p>
      <w:pPr>
        <w:pStyle w:val="FootnoteText"/>
      </w:pPr>
      <w:r>
        <w:rPr>
          <w:rStyle w:val="FootnoteReference"/>
        </w:rPr>
        <w:footnoteRef/>
      </w:r>
      <w:r>
        <w:t xml:space="preserve"> Personal name: Korah. Personal-name meaning: Korah — baldness; ice; frost. Source form: Korah.</w:t>
      </w:r>
    </w:p>
  </w:footnote>
  <w:footnote w:id="19344">
    <w:p>
      <w:pPr>
        <w:pStyle w:val="FootnoteText"/>
      </w:pPr>
      <w:r>
        <w:rPr>
          <w:rStyle w:val="FootnoteReference"/>
        </w:rPr>
        <w:footnoteRef/>
      </w:r>
      <w:r>
        <w:t xml:space="preserve"> Cross-references for "are spots": 2Pet 2:13-14.</w:t>
      </w:r>
    </w:p>
  </w:footnote>
  <w:footnote w:id="19345">
    <w:p>
      <w:pPr>
        <w:pStyle w:val="FootnoteText"/>
      </w:pPr>
      <w:r>
        <w:rPr>
          <w:rStyle w:val="FootnoteReference"/>
        </w:rPr>
        <w:footnoteRef/>
      </w:r>
      <w:r>
        <w:t xml:space="preserve"> Cross-references for "Raging": Ps 65:7; Ps 93:3-4.</w:t>
      </w:r>
    </w:p>
  </w:footnote>
  <w:footnote w:id="19346">
    <w:p>
      <w:pPr>
        <w:pStyle w:val="FootnoteText"/>
      </w:pPr>
      <w:r>
        <w:rPr>
          <w:rStyle w:val="FootnoteReference"/>
        </w:rPr>
        <w:footnoteRef/>
      </w:r>
      <w:r>
        <w:t xml:space="preserve"> Cross-references for "Enoch": Gen 5:18; Gen 5:24.</w:t>
      </w:r>
    </w:p>
  </w:footnote>
  <w:footnote w:id="19347">
    <w:p>
      <w:pPr>
        <w:pStyle w:val="FootnoteText"/>
      </w:pPr>
      <w:r>
        <w:rPr>
          <w:rStyle w:val="FootnoteReference"/>
        </w:rPr>
        <w:footnoteRef/>
      </w:r>
      <w:r>
        <w:t xml:space="preserve"> Cross-references for "execute": Ps 9:7-8; Ps 37:6.</w:t>
      </w:r>
    </w:p>
  </w:footnote>
  <w:footnote w:id="19348">
    <w:p>
      <w:pPr>
        <w:pStyle w:val="FootnoteText"/>
      </w:pPr>
      <w:r>
        <w:rPr>
          <w:rStyle w:val="FootnoteReference"/>
        </w:rPr>
        <w:footnoteRef/>
      </w:r>
      <w:r>
        <w:t xml:space="preserve"> Cross-references for "murmurers": Num 14:36; Num 16:11.</w:t>
      </w:r>
    </w:p>
  </w:footnote>
  <w:footnote w:id="19349">
    <w:p>
      <w:pPr>
        <w:pStyle w:val="FootnoteText"/>
      </w:pPr>
      <w:r>
        <w:rPr>
          <w:rStyle w:val="FootnoteReference"/>
        </w:rPr>
        <w:footnoteRef/>
      </w:r>
      <w:r>
        <w:t xml:space="preserve"> Cross-references for "remember": Mal 4:4; Acts 20:35.</w:t>
      </w:r>
    </w:p>
  </w:footnote>
  <w:footnote w:id="19350">
    <w:p>
      <w:pPr>
        <w:pStyle w:val="FootnoteText"/>
      </w:pPr>
      <w:r>
        <w:rPr>
          <w:rStyle w:val="FootnoteReference"/>
        </w:rPr>
        <w:footnoteRef/>
      </w:r>
      <w:r>
        <w:t xml:space="preserve"> Cross-references for "sensual": 1Cor 2:14; Jas 3:15.</w:t>
      </w:r>
    </w:p>
  </w:footnote>
  <w:footnote w:id="19351">
    <w:p>
      <w:pPr>
        <w:pStyle w:val="FootnoteText"/>
      </w:pPr>
      <w:r>
        <w:rPr>
          <w:rStyle w:val="FootnoteReference"/>
        </w:rPr>
        <w:footnoteRef/>
      </w:r>
      <w:r>
        <w:t xml:space="preserve"> Cross-references for "building": Acts 9:31; Rom 15:2.</w:t>
      </w:r>
    </w:p>
  </w:footnote>
  <w:footnote w:id="19352">
    <w:p>
      <w:pPr>
        <w:pStyle w:val="FootnoteText"/>
      </w:pPr>
      <w:r>
        <w:rPr>
          <w:rStyle w:val="FootnoteReference"/>
        </w:rPr>
        <w:footnoteRef/>
      </w:r>
      <w:r>
        <w:t xml:space="preserve"> Cross-references for "Keep": John 14:21; John 15:9-10.</w:t>
      </w:r>
    </w:p>
  </w:footnote>
  <w:footnote w:id="19353">
    <w:p>
      <w:pPr>
        <w:pStyle w:val="FootnoteText"/>
      </w:pPr>
      <w:r>
        <w:rPr>
          <w:rStyle w:val="FootnoteReference"/>
        </w:rPr>
        <w:footnoteRef/>
      </w:r>
      <w:r>
        <w:t xml:space="preserve"> Cross-references for "save": Rom 11:14; 1Cor 5:3-5.</w:t>
      </w:r>
    </w:p>
  </w:footnote>
  <w:footnote w:id="19354">
    <w:p>
      <w:pPr>
        <w:pStyle w:val="FootnoteText"/>
      </w:pPr>
      <w:r>
        <w:rPr>
          <w:rStyle w:val="FootnoteReference"/>
        </w:rPr>
        <w:footnoteRef/>
      </w:r>
      <w:r>
        <w:t xml:space="preserve"> Cross-references for "able": John 10:29-30; Rom 8:31.</w:t>
      </w:r>
    </w:p>
  </w:footnote>
  <w:footnote w:id="19355">
    <w:p>
      <w:pPr>
        <w:pStyle w:val="FootnoteText"/>
      </w:pPr>
      <w:r>
        <w:rPr>
          <w:rStyle w:val="FootnoteReference"/>
        </w:rPr>
        <w:footnoteRef/>
      </w:r>
      <w:r>
        <w:t xml:space="preserve"> Cross-references for "the only": Ps 104:24; Ps 147:5.</w:t>
      </w:r>
    </w:p>
  </w:footnote>
  <w:footnote w:id="19356">
    <w:p>
      <w:pPr>
        <w:pStyle w:val="FootnoteText"/>
      </w:pPr>
      <w:r>
        <w:rPr>
          <w:rStyle w:val="FootnoteReference"/>
        </w:rPr>
        <w:footnoteRef/>
      </w:r>
      <w:r>
        <w:t xml:space="preserve"> Cross-references for "Revelation": Dan 2:28-29; Amos 3:7.</w:t>
      </w:r>
    </w:p>
  </w:footnote>
  <w:footnote w:id="19357">
    <w:p>
      <w:pPr>
        <w:pStyle w:val="FootnoteText"/>
      </w:pPr>
      <w:r>
        <w:rPr>
          <w:rStyle w:val="FootnoteReference"/>
        </w:rPr>
        <w:footnoteRef/>
      </w:r>
      <w:r>
        <w:t xml:space="preserve"> Translation note: Greek dei genesthai en tachei is rendered must happen quickly. The draft keeps both necessity and speed explicit.</w:t>
      </w:r>
    </w:p>
  </w:footnote>
  <w:footnote w:id="19358">
    <w:p>
      <w:pPr>
        <w:pStyle w:val="FootnoteText"/>
      </w:pPr>
      <w:r>
        <w:rPr>
          <w:rStyle w:val="FootnoteReference"/>
        </w:rPr>
        <w:footnoteRef/>
      </w:r>
      <w:r>
        <w:t xml:space="preserve"> Cross-references for "and of all": John 3:11; Acts 4:20.</w:t>
      </w:r>
    </w:p>
  </w:footnote>
  <w:footnote w:id="19359">
    <w:p>
      <w:pPr>
        <w:pStyle w:val="FootnoteText"/>
      </w:pPr>
      <w:r>
        <w:rPr>
          <w:rStyle w:val="FootnoteReference"/>
        </w:rPr>
        <w:footnoteRef/>
      </w:r>
      <w:r>
        <w:t xml:space="preserve"> Cross-references for "Blessed": Prov 8:34; Dan 12:12-13.</w:t>
      </w:r>
    </w:p>
  </w:footnote>
  <w:footnote w:id="19360">
    <w:p>
      <w:pPr>
        <w:pStyle w:val="FootnoteText"/>
      </w:pPr>
      <w:r>
        <w:rPr>
          <w:rStyle w:val="FootnoteReference"/>
        </w:rPr>
        <w:footnoteRef/>
      </w:r>
      <w:r>
        <w:t xml:space="preserve"> Cross-references for "John": Rev 1:1.</w:t>
      </w:r>
    </w:p>
  </w:footnote>
  <w:footnote w:id="19361">
    <w:p>
      <w:pPr>
        <w:pStyle w:val="FootnoteText"/>
      </w:pPr>
      <w:r>
        <w:rPr>
          <w:rStyle w:val="FootnoteReference"/>
        </w:rPr>
        <w:footnoteRef/>
      </w:r>
      <w:r>
        <w:t xml:space="preserve"> Cross-references for "who is": Ps 89:36-37; Isa 55:4.</w:t>
      </w:r>
    </w:p>
  </w:footnote>
  <w:footnote w:id="19362">
    <w:p>
      <w:pPr>
        <w:pStyle w:val="FootnoteText"/>
      </w:pPr>
      <w:r>
        <w:rPr>
          <w:rStyle w:val="FootnoteReference"/>
        </w:rPr>
        <w:footnoteRef/>
      </w:r>
      <w:r>
        <w:t xml:space="preserve"> Cross-references for "made": Exod 19:6; Isa 61:6.</w:t>
      </w:r>
    </w:p>
  </w:footnote>
  <w:footnote w:id="19363">
    <w:p>
      <w:pPr>
        <w:pStyle w:val="FootnoteText"/>
      </w:pPr>
      <w:r>
        <w:rPr>
          <w:rStyle w:val="FootnoteReference"/>
        </w:rPr>
        <w:footnoteRef/>
      </w:r>
      <w:r>
        <w:t xml:space="preserve"> Cross-references for "and every": Num 24:17; Job 19:26-27.</w:t>
      </w:r>
    </w:p>
  </w:footnote>
  <w:footnote w:id="19364">
    <w:p>
      <w:pPr>
        <w:pStyle w:val="FootnoteText"/>
      </w:pPr>
      <w:r>
        <w:rPr>
          <w:rStyle w:val="FootnoteReference"/>
        </w:rPr>
        <w:footnoteRef/>
      </w:r>
      <w:r>
        <w:t xml:space="preserve"> Cross-references for "Alpha": Isa 41:4; Isa 43:10.</w:t>
      </w:r>
    </w:p>
  </w:footnote>
  <w:footnote w:id="19365">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9366">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9367">
    <w:p>
      <w:pPr>
        <w:pStyle w:val="FootnoteText"/>
      </w:pPr>
      <w:r>
        <w:rPr>
          <w:rStyle w:val="FootnoteReference"/>
        </w:rPr>
        <w:footnoteRef/>
      </w:r>
      <w:r>
        <w:t xml:space="preserve"> Cross-references for "John": Rev 1:4.</w:t>
      </w:r>
    </w:p>
  </w:footnote>
  <w:footnote w:id="19368">
    <w:p>
      <w:pPr>
        <w:pStyle w:val="FootnoteText"/>
      </w:pPr>
      <w:r>
        <w:rPr>
          <w:rStyle w:val="FootnoteReference"/>
        </w:rPr>
        <w:footnoteRef/>
      </w:r>
      <w:r>
        <w:t xml:space="preserve"> Place name: Patmos. Place-name meaning: Patmos — mortal. Source form: Patmos. Greek form: πατμω.</w:t>
      </w:r>
    </w:p>
  </w:footnote>
  <w:footnote w:id="19369">
    <w:p>
      <w:pPr>
        <w:pStyle w:val="FootnoteText"/>
      </w:pPr>
      <w:r>
        <w:rPr>
          <w:rStyle w:val="FootnoteReference"/>
        </w:rPr>
        <w:footnoteRef/>
      </w:r>
      <w:r>
        <w:t xml:space="preserve"> Cross-references for "on the": John 20:19; John 20:26.</w:t>
      </w:r>
    </w:p>
  </w:footnote>
  <w:footnote w:id="19370">
    <w:p>
      <w:pPr>
        <w:pStyle w:val="FootnoteText"/>
      </w:pPr>
      <w:r>
        <w:rPr>
          <w:rStyle w:val="FootnoteReference"/>
        </w:rPr>
        <w:footnoteRef/>
      </w:r>
      <w:r>
        <w:t xml:space="preserve"> Cross-references for "seven": Rev 1:4; Rev 2:1.</w:t>
      </w:r>
    </w:p>
  </w:footnote>
  <w:footnote w:id="19371">
    <w:p>
      <w:pPr>
        <w:pStyle w:val="FootnoteText"/>
      </w:pPr>
      <w:r>
        <w:rPr>
          <w:rStyle w:val="FootnoteReference"/>
        </w:rPr>
        <w:footnoteRef/>
      </w:r>
      <w:r>
        <w:t xml:space="preserve"> Place name: Smyrna. Place-name meaning: Smyrna — myrrh. Source form: Smyrna. Greek form: σμυρναν.</w:t>
      </w:r>
    </w:p>
  </w:footnote>
  <w:footnote w:id="19372">
    <w:p>
      <w:pPr>
        <w:pStyle w:val="FootnoteText"/>
      </w:pPr>
      <w:r>
        <w:rPr>
          <w:rStyle w:val="FootnoteReference"/>
        </w:rPr>
        <w:footnoteRef/>
      </w:r>
      <w:r>
        <w:t xml:space="preserve"> Transliterated proper noun: Pergamos. Standard English equivalent: Pergamos. Source form: Pergamos. Greek form: περγαμον. Name meaning: height; elevation.</w:t>
      </w:r>
    </w:p>
  </w:footnote>
  <w:footnote w:id="19373">
    <w:p>
      <w:pPr>
        <w:pStyle w:val="FootnoteText"/>
      </w:pPr>
      <w:r>
        <w:rPr>
          <w:rStyle w:val="FootnoteReference"/>
        </w:rPr>
        <w:footnoteRef/>
      </w:r>
      <w:r>
        <w:t xml:space="preserve"> Place name: Sardis. Place-name meaning: Sardis — prince of joy. Source form: Sardis. Greek form: σαρδεις.</w:t>
      </w:r>
    </w:p>
  </w:footnote>
  <w:footnote w:id="19374">
    <w:p>
      <w:pPr>
        <w:pStyle w:val="FootnoteText"/>
      </w:pPr>
      <w:r>
        <w:rPr>
          <w:rStyle w:val="FootnoteReference"/>
        </w:rPr>
        <w:footnoteRef/>
      </w:r>
      <w:r>
        <w:t xml:space="preserve"> Place name: Philadelphia. Place-name meaning: Philadelphia — love of a brother. Source form: Philadelphia. Greek form: φιλαδελφειαν.</w:t>
      </w:r>
    </w:p>
  </w:footnote>
  <w:footnote w:id="19375">
    <w:p>
      <w:pPr>
        <w:pStyle w:val="FootnoteText"/>
      </w:pPr>
      <w:r>
        <w:rPr>
          <w:rStyle w:val="FootnoteReference"/>
        </w:rPr>
        <w:footnoteRef/>
      </w:r>
      <w:r>
        <w:t xml:space="preserve"> Cross-references for "I saw": Exod 25:37; Zech 4:2.</w:t>
      </w:r>
    </w:p>
  </w:footnote>
  <w:footnote w:id="19376">
    <w:p>
      <w:pPr>
        <w:pStyle w:val="FootnoteText"/>
      </w:pPr>
      <w:r>
        <w:rPr>
          <w:rStyle w:val="FootnoteReference"/>
        </w:rPr>
        <w:footnoteRef/>
      </w:r>
      <w:r>
        <w:t xml:space="preserve"> Cross-references for "clothed": Dan 10:5.</w:t>
      </w:r>
    </w:p>
  </w:footnote>
  <w:footnote w:id="19377">
    <w:p>
      <w:pPr>
        <w:pStyle w:val="FootnoteText"/>
      </w:pPr>
      <w:r>
        <w:rPr>
          <w:rStyle w:val="FootnoteReference"/>
        </w:rPr>
        <w:footnoteRef/>
      </w:r>
      <w:r>
        <w:t xml:space="preserve"> Cross-references for "and his hairs": Dan 7:9; Matt 28:3.</w:t>
      </w:r>
    </w:p>
  </w:footnote>
  <w:footnote w:id="19378">
    <w:p>
      <w:pPr>
        <w:pStyle w:val="FootnoteText"/>
      </w:pPr>
      <w:r>
        <w:rPr>
          <w:rStyle w:val="FootnoteReference"/>
        </w:rPr>
        <w:footnoteRef/>
      </w:r>
      <w:r>
        <w:t xml:space="preserve"> Cross-references for "his feet": Ezek 1:7; Ezek 40:3.</w:t>
      </w:r>
    </w:p>
  </w:footnote>
  <w:footnote w:id="19379">
    <w:p>
      <w:pPr>
        <w:pStyle w:val="FootnoteText"/>
      </w:pPr>
      <w:r>
        <w:rPr>
          <w:rStyle w:val="FootnoteReference"/>
        </w:rPr>
        <w:footnoteRef/>
      </w:r>
      <w:r>
        <w:t xml:space="preserve"> Cross-references for "I fell": Ezek 1:28; Dan 8:18.</w:t>
      </w:r>
    </w:p>
  </w:footnote>
  <w:footnote w:id="19380">
    <w:p>
      <w:pPr>
        <w:pStyle w:val="FootnoteText"/>
      </w:pPr>
      <w:r>
        <w:rPr>
          <w:rStyle w:val="FootnoteReference"/>
        </w:rPr>
        <w:footnoteRef/>
      </w:r>
      <w:r>
        <w:t xml:space="preserve"> Cross-references for "I am alive": Heb 7:16; Heb 7:25.</w:t>
      </w:r>
    </w:p>
  </w:footnote>
  <w:footnote w:id="19381">
    <w:p>
      <w:pPr>
        <w:pStyle w:val="FootnoteText"/>
      </w:pPr>
      <w:r>
        <w:rPr>
          <w:rStyle w:val="FootnoteReference"/>
        </w:rPr>
        <w:footnoteRef/>
      </w:r>
      <w:r>
        <w:t xml:space="preserve"> Cross-references for "the things": Rev 1:11; Rev 1:12-20.</w:t>
      </w:r>
    </w:p>
  </w:footnote>
  <w:footnote w:id="19382">
    <w:p>
      <w:pPr>
        <w:pStyle w:val="FootnoteText"/>
      </w:pPr>
      <w:r>
        <w:rPr>
          <w:rStyle w:val="FootnoteReference"/>
        </w:rPr>
        <w:footnoteRef/>
      </w:r>
      <w:r>
        <w:t xml:space="preserve"> Cross-references for "mystery": Matt 13:11; Luke 8:10.</w:t>
      </w:r>
    </w:p>
  </w:footnote>
  <w:footnote w:id="19383">
    <w:p>
      <w:pPr>
        <w:pStyle w:val="FootnoteText"/>
      </w:pPr>
      <w:r>
        <w:rPr>
          <w:rStyle w:val="FootnoteReference"/>
        </w:rPr>
        <w:footnoteRef/>
      </w:r>
      <w:r>
        <w:t xml:space="preserve"> Cross-references for "the angel": Rev 2:8; Rev 2:12.</w:t>
      </w:r>
    </w:p>
  </w:footnote>
  <w:footnote w:id="19384">
    <w:p>
      <w:pPr>
        <w:pStyle w:val="FootnoteText"/>
      </w:pPr>
      <w:r>
        <w:rPr>
          <w:rStyle w:val="FootnoteReference"/>
        </w:rPr>
        <w:footnoteRef/>
      </w:r>
      <w:r>
        <w:t xml:space="preserve"> Cross-references for "know": Ps 1:6; Matt 7:23.</w:t>
      </w:r>
    </w:p>
  </w:footnote>
  <w:footnote w:id="19385">
    <w:p>
      <w:pPr>
        <w:pStyle w:val="FootnoteText"/>
      </w:pPr>
      <w:r>
        <w:rPr>
          <w:rStyle w:val="FootnoteReference"/>
        </w:rPr>
        <w:footnoteRef/>
      </w:r>
      <w:r>
        <w:t xml:space="preserve"> Cross-references for "Remember": Ezek 16:61-63; Ezek 20:43.</w:t>
      </w:r>
    </w:p>
  </w:footnote>
  <w:footnote w:id="19386">
    <w:p>
      <w:pPr>
        <w:pStyle w:val="FootnoteText"/>
      </w:pPr>
      <w:r>
        <w:rPr>
          <w:rStyle w:val="FootnoteReference"/>
        </w:rPr>
        <w:footnoteRef/>
      </w:r>
      <w:r>
        <w:t xml:space="preserve"> Transliterated proper noun: Nicolaitanes. Standard English equivalent: Nicolaitanes. Source form: Nicolaitanes. Greek form: νικολαιτων. Name meaning: followers of Nicolas.</w:t>
      </w:r>
    </w:p>
  </w:footnote>
  <w:footnote w:id="19387">
    <w:p>
      <w:pPr>
        <w:pStyle w:val="FootnoteText"/>
      </w:pPr>
      <w:r>
        <w:rPr>
          <w:rStyle w:val="FootnoteReference"/>
        </w:rPr>
        <w:footnoteRef/>
      </w:r>
      <w:r>
        <w:t xml:space="preserve"> Cross-references for "let him": 1Cor 2:10; 1Cor 12:4-12.</w:t>
      </w:r>
    </w:p>
  </w:footnote>
  <w:footnote w:id="19388">
    <w:p>
      <w:pPr>
        <w:pStyle w:val="FootnoteText"/>
      </w:pPr>
      <w:r>
        <w:rPr>
          <w:rStyle w:val="FootnoteReference"/>
        </w:rPr>
        <w:footnoteRef/>
      </w:r>
      <w:r>
        <w:t xml:space="preserve"> Cross-references for "the angel": Rev 2:1.</w:t>
      </w:r>
    </w:p>
  </w:footnote>
  <w:footnote w:id="19389">
    <w:p>
      <w:pPr>
        <w:pStyle w:val="FootnoteText"/>
      </w:pPr>
      <w:r>
        <w:rPr>
          <w:rStyle w:val="FootnoteReference"/>
        </w:rPr>
        <w:footnoteRef/>
      </w:r>
      <w:r>
        <w:t xml:space="preserve"> Cross-references for "know": Rev 2:2.</w:t>
      </w:r>
    </w:p>
  </w:footnote>
  <w:footnote w:id="19390">
    <w:p>
      <w:pPr>
        <w:pStyle w:val="FootnoteText"/>
      </w:pPr>
      <w:r>
        <w:rPr>
          <w:rStyle w:val="FootnoteReference"/>
        </w:rPr>
        <w:footnoteRef/>
      </w:r>
      <w:r>
        <w:t xml:space="preserve"> Cross-references for "Fear": Matt 10:22.</w:t>
      </w:r>
    </w:p>
  </w:footnote>
  <w:footnote w:id="19391">
    <w:p>
      <w:pPr>
        <w:pStyle w:val="FootnoteText"/>
      </w:pPr>
      <w:r>
        <w:rPr>
          <w:rStyle w:val="FootnoteReference"/>
        </w:rPr>
        <w:footnoteRef/>
      </w:r>
      <w:r>
        <w:t xml:space="preserve"> Cross-references for "the second": Rev 20:6; Rev 20:14.</w:t>
      </w:r>
    </w:p>
  </w:footnote>
  <w:footnote w:id="19392">
    <w:p>
      <w:pPr>
        <w:pStyle w:val="FootnoteText"/>
      </w:pPr>
      <w:r>
        <w:rPr>
          <w:rStyle w:val="FootnoteReference"/>
        </w:rPr>
        <w:footnoteRef/>
      </w:r>
      <w:r>
        <w:t xml:space="preserve"> Cross-references for "the angel": Rev 1:11; Rev 2:1.</w:t>
      </w:r>
    </w:p>
  </w:footnote>
  <w:footnote w:id="19393">
    <w:p>
      <w:pPr>
        <w:pStyle w:val="FootnoteText"/>
      </w:pPr>
      <w:r>
        <w:rPr>
          <w:rStyle w:val="FootnoteReference"/>
        </w:rPr>
        <w:footnoteRef/>
      </w:r>
      <w:r>
        <w:t xml:space="preserve"> Cross-references for "know": Rev 2:2; Rev 2:9.</w:t>
      </w:r>
    </w:p>
  </w:footnote>
  <w:footnote w:id="19394">
    <w:p>
      <w:pPr>
        <w:pStyle w:val="FootnoteText"/>
      </w:pPr>
      <w:r>
        <w:rPr>
          <w:rStyle w:val="FootnoteReference"/>
        </w:rPr>
        <w:footnoteRef/>
      </w:r>
      <w:r>
        <w:t xml:space="preserve"> Personal name: Antipas. Personal-name meaning: Antipas — for all, or against all. Source form: Antipas.</w:t>
      </w:r>
    </w:p>
  </w:footnote>
  <w:footnote w:id="19395">
    <w:p>
      <w:pPr>
        <w:pStyle w:val="FootnoteText"/>
      </w:pPr>
      <w:r>
        <w:rPr>
          <w:rStyle w:val="FootnoteReference"/>
        </w:rPr>
        <w:footnoteRef/>
      </w:r>
      <w:r>
        <w:t xml:space="preserve"> Cross-references for "Balaam": Num 24:14; Num 25:1-3.</w:t>
      </w:r>
    </w:p>
  </w:footnote>
  <w:footnote w:id="19396">
    <w:p>
      <w:pPr>
        <w:pStyle w:val="FootnoteText"/>
      </w:pPr>
      <w:r>
        <w:rPr>
          <w:rStyle w:val="FootnoteReference"/>
        </w:rPr>
        <w:footnoteRef/>
      </w:r>
      <w:r>
        <w:t xml:space="preserve"> Cross-references for "the doctrine": Rev 2:6.</w:t>
      </w:r>
    </w:p>
  </w:footnote>
  <w:footnote w:id="19397">
    <w:p>
      <w:pPr>
        <w:pStyle w:val="FootnoteText"/>
      </w:pPr>
      <w:r>
        <w:rPr>
          <w:rStyle w:val="FootnoteReference"/>
        </w:rPr>
        <w:footnoteRef/>
      </w:r>
      <w:r>
        <w:t xml:space="preserve"> Cross-references for "Repent": Acts 17:30-31; Rev 2:5.</w:t>
      </w:r>
    </w:p>
  </w:footnote>
  <w:footnote w:id="19398">
    <w:p>
      <w:pPr>
        <w:pStyle w:val="FootnoteText"/>
      </w:pPr>
      <w:r>
        <w:rPr>
          <w:rStyle w:val="FootnoteReference"/>
        </w:rPr>
        <w:footnoteRef/>
      </w:r>
      <w:r>
        <w:t xml:space="preserve"> Cross-references for "to eat": Ps 25:14; Ps 36:8.</w:t>
      </w:r>
    </w:p>
  </w:footnote>
  <w:footnote w:id="19399">
    <w:p>
      <w:pPr>
        <w:pStyle w:val="FootnoteText"/>
      </w:pPr>
      <w:r>
        <w:rPr>
          <w:rStyle w:val="FootnoteReference"/>
        </w:rPr>
        <w:footnoteRef/>
      </w:r>
      <w:r>
        <w:t xml:space="preserve"> Cross-references for "the Son": Ps 2:7; Matt 3:17.</w:t>
      </w:r>
    </w:p>
  </w:footnote>
  <w:footnote w:id="19400">
    <w:p>
      <w:pPr>
        <w:pStyle w:val="FootnoteText"/>
      </w:pPr>
      <w:r>
        <w:rPr>
          <w:rStyle w:val="FootnoteReference"/>
        </w:rPr>
        <w:footnoteRef/>
      </w:r>
      <w:r>
        <w:t xml:space="preserve"> Cross-references for "know": Rev 2:2; Rev 2:9.</w:t>
      </w:r>
    </w:p>
  </w:footnote>
  <w:footnote w:id="19401">
    <w:p>
      <w:pPr>
        <w:pStyle w:val="FootnoteText"/>
      </w:pPr>
      <w:r>
        <w:rPr>
          <w:rStyle w:val="FootnoteReference"/>
        </w:rPr>
        <w:footnoteRef/>
      </w:r>
      <w:r>
        <w:t xml:space="preserve"> Cross-references for "that woman": 1Kgs 16:31; 1Kgs 17:4.</w:t>
      </w:r>
    </w:p>
  </w:footnote>
  <w:footnote w:id="19402">
    <w:p>
      <w:pPr>
        <w:pStyle w:val="FootnoteText"/>
      </w:pPr>
      <w:r>
        <w:rPr>
          <w:rStyle w:val="FootnoteReference"/>
        </w:rPr>
        <w:footnoteRef/>
      </w:r>
      <w:r>
        <w:t xml:space="preserve"> Personal name: Jezebel. Personal-name meaning: Jezebel — chaste. Source form: Jezebel.</w:t>
      </w:r>
    </w:p>
  </w:footnote>
  <w:footnote w:id="19403">
    <w:p>
      <w:pPr>
        <w:pStyle w:val="FootnoteText"/>
      </w:pPr>
      <w:r>
        <w:rPr>
          <w:rStyle w:val="FootnoteReference"/>
        </w:rPr>
        <w:footnoteRef/>
      </w:r>
      <w:r>
        <w:t xml:space="preserve"> Cross-references for "space": Jer 8:4-6; Rom 2:4-5.</w:t>
      </w:r>
    </w:p>
  </w:footnote>
  <w:footnote w:id="19404">
    <w:p>
      <w:pPr>
        <w:pStyle w:val="FootnoteText"/>
      </w:pPr>
      <w:r>
        <w:rPr>
          <w:rStyle w:val="FootnoteReference"/>
        </w:rPr>
        <w:footnoteRef/>
      </w:r>
      <w:r>
        <w:t xml:space="preserve"> Cross-references for "except": Jer 36:3; Ezek 18:30-32.</w:t>
      </w:r>
    </w:p>
  </w:footnote>
  <w:footnote w:id="19405">
    <w:p>
      <w:pPr>
        <w:pStyle w:val="FootnoteText"/>
      </w:pPr>
      <w:r>
        <w:rPr>
          <w:rStyle w:val="FootnoteReference"/>
        </w:rPr>
        <w:footnoteRef/>
      </w:r>
      <w:r>
        <w:t xml:space="preserve"> Cross-references for "with death": Rev 6:8.</w:t>
      </w:r>
    </w:p>
  </w:footnote>
  <w:footnote w:id="19406">
    <w:p>
      <w:pPr>
        <w:pStyle w:val="FootnoteText"/>
      </w:pPr>
      <w:r>
        <w:rPr>
          <w:rStyle w:val="FootnoteReference"/>
        </w:rPr>
        <w:footnoteRef/>
      </w:r>
      <w:r>
        <w:t xml:space="preserve"> Cross-references for "the depths": 2Cor 2:11; 2Cor 11:3.</w:t>
      </w:r>
    </w:p>
  </w:footnote>
  <w:footnote w:id="19407">
    <w:p>
      <w:pPr>
        <w:pStyle w:val="FootnoteText"/>
      </w:pPr>
      <w:r>
        <w:rPr>
          <w:rStyle w:val="FootnoteReference"/>
        </w:rPr>
        <w:footnoteRef/>
      </w:r>
      <w:r>
        <w:t xml:space="preserve"> Cross-references for "till": John 14:3; John 21:22-23.</w:t>
      </w:r>
    </w:p>
  </w:footnote>
  <w:footnote w:id="19408">
    <w:p>
      <w:pPr>
        <w:pStyle w:val="FootnoteText"/>
      </w:pPr>
      <w:r>
        <w:rPr>
          <w:rStyle w:val="FootnoteReference"/>
        </w:rPr>
        <w:footnoteRef/>
      </w:r>
      <w:r>
        <w:t xml:space="preserve"> Cross-references for "to him will I give": Ps 49:14; Dan 7:18.</w:t>
      </w:r>
    </w:p>
  </w:footnote>
  <w:footnote w:id="19409">
    <w:p>
      <w:pPr>
        <w:pStyle w:val="FootnoteText"/>
      </w:pPr>
      <w:r>
        <w:rPr>
          <w:rStyle w:val="FootnoteReference"/>
        </w:rPr>
        <w:footnoteRef/>
      </w:r>
      <w:r>
        <w:t xml:space="preserve"> Cross-references for "he shall": Ps 2:8-9; Ps 49:14.</w:t>
      </w:r>
    </w:p>
  </w:footnote>
  <w:footnote w:id="19410">
    <w:p>
      <w:pPr>
        <w:pStyle w:val="FootnoteText"/>
      </w:pPr>
      <w:r>
        <w:rPr>
          <w:rStyle w:val="FootnoteReference"/>
        </w:rPr>
        <w:footnoteRef/>
      </w:r>
      <w:r>
        <w:t xml:space="preserve"> Cross-references for "watchful": Isa 56:10; Isa 62:6-7.</w:t>
      </w:r>
    </w:p>
  </w:footnote>
  <w:footnote w:id="19411">
    <w:p>
      <w:pPr>
        <w:pStyle w:val="FootnoteText"/>
      </w:pPr>
      <w:r>
        <w:rPr>
          <w:rStyle w:val="FootnoteReference"/>
        </w:rPr>
        <w:footnoteRef/>
      </w:r>
      <w:r>
        <w:t xml:space="preserve"> Cross-references for "Remember": Ezek 16:61-63; Ezek 20:43.</w:t>
      </w:r>
    </w:p>
  </w:footnote>
  <w:footnote w:id="19412">
    <w:p>
      <w:pPr>
        <w:pStyle w:val="FootnoteText"/>
      </w:pPr>
      <w:r>
        <w:rPr>
          <w:rStyle w:val="FootnoteReference"/>
        </w:rPr>
        <w:footnoteRef/>
      </w:r>
      <w:r>
        <w:t xml:space="preserve"> Cross-references for "names": Acts 1:15; Rev 11:13.</w:t>
      </w:r>
    </w:p>
  </w:footnote>
  <w:footnote w:id="19413">
    <w:p>
      <w:pPr>
        <w:pStyle w:val="FootnoteText"/>
      </w:pPr>
      <w:r>
        <w:rPr>
          <w:rStyle w:val="FootnoteReference"/>
        </w:rPr>
        <w:footnoteRef/>
      </w:r>
      <w:r>
        <w:t xml:space="preserve"> Cross-references for "blot": Exod 32:32-33; Deut 9:14.</w:t>
      </w:r>
    </w:p>
  </w:footnote>
  <w:footnote w:id="19414">
    <w:p>
      <w:pPr>
        <w:pStyle w:val="FootnoteText"/>
      </w:pPr>
      <w:r>
        <w:rPr>
          <w:rStyle w:val="FootnoteReference"/>
        </w:rPr>
        <w:footnoteRef/>
      </w:r>
      <w:r>
        <w:t xml:space="preserve"> Cross-references for "the key": Isa 22:22; Luke 1:32.</w:t>
      </w:r>
    </w:p>
  </w:footnote>
  <w:footnote w:id="19415">
    <w:p>
      <w:pPr>
        <w:pStyle w:val="FootnoteText"/>
      </w:pPr>
      <w:r>
        <w:rPr>
          <w:rStyle w:val="FootnoteReference"/>
        </w:rPr>
        <w:footnoteRef/>
      </w:r>
      <w:r>
        <w:t xml:space="preserve"> Cross-references for "an open": 1Cor 16:9; 2Cor 2:12.</w:t>
      </w:r>
    </w:p>
  </w:footnote>
  <w:footnote w:id="19416">
    <w:p>
      <w:pPr>
        <w:pStyle w:val="FootnoteText"/>
      </w:pPr>
      <w:r>
        <w:rPr>
          <w:rStyle w:val="FootnoteReference"/>
        </w:rPr>
        <w:footnoteRef/>
      </w:r>
      <w:r>
        <w:t xml:space="preserve"> Cross-references for "the synagogue": Rev 2:9.</w:t>
      </w:r>
    </w:p>
  </w:footnote>
  <w:footnote w:id="19417">
    <w:p>
      <w:pPr>
        <w:pStyle w:val="FootnoteText"/>
      </w:pPr>
      <w:r>
        <w:rPr>
          <w:rStyle w:val="FootnoteReference"/>
        </w:rPr>
        <w:footnoteRef/>
      </w:r>
      <w:r>
        <w:t xml:space="preserve"> Cross-references for "the word": Rev 1:9; Rev 13:10.</w:t>
      </w:r>
    </w:p>
  </w:footnote>
  <w:footnote w:id="19418">
    <w:p>
      <w:pPr>
        <w:pStyle w:val="FootnoteText"/>
      </w:pPr>
      <w:r>
        <w:rPr>
          <w:rStyle w:val="FootnoteReference"/>
        </w:rPr>
        <w:footnoteRef/>
      </w:r>
      <w:r>
        <w:t xml:space="preserve"> Cross-references for "I come": Zeph 1:14; Phil 4:5.</w:t>
      </w:r>
    </w:p>
  </w:footnote>
  <w:footnote w:id="19419">
    <w:p>
      <w:pPr>
        <w:pStyle w:val="FootnoteText"/>
      </w:pPr>
      <w:r>
        <w:rPr>
          <w:rStyle w:val="FootnoteReference"/>
        </w:rPr>
        <w:footnoteRef/>
      </w:r>
      <w:r>
        <w:t xml:space="preserve"> Cross-references for "pillar": 1Kgs 7:21; Jer 1:18.</w:t>
      </w:r>
    </w:p>
  </w:footnote>
  <w:footnote w:id="19420">
    <w:p>
      <w:pPr>
        <w:pStyle w:val="FootnoteText"/>
      </w:pPr>
      <w:r>
        <w:rPr>
          <w:rStyle w:val="FootnoteReference"/>
        </w:rPr>
        <w:footnoteRef/>
      </w:r>
      <w:r>
        <w:t xml:space="preserve"> Cross-references for "the angel": Rev 1:11; Rev 2:1.</w:t>
      </w:r>
    </w:p>
  </w:footnote>
  <w:footnote w:id="19421">
    <w:p>
      <w:pPr>
        <w:pStyle w:val="FootnoteText"/>
      </w:pPr>
      <w:r>
        <w:rPr>
          <w:rStyle w:val="FootnoteReference"/>
        </w:rPr>
        <w:footnoteRef/>
      </w:r>
      <w:r>
        <w:t xml:space="preserve"> Cross-references for "have need": Deut 8:12-14; Prov 30:9.</w:t>
      </w:r>
    </w:p>
  </w:footnote>
  <w:footnote w:id="19422">
    <w:p>
      <w:pPr>
        <w:pStyle w:val="FootnoteText"/>
      </w:pPr>
      <w:r>
        <w:rPr>
          <w:rStyle w:val="FootnoteReference"/>
        </w:rPr>
        <w:footnoteRef/>
      </w:r>
      <w:r>
        <w:t xml:space="preserve"> Cross-references for "counsel": Ps 16:7; Ps 32:8.</w:t>
      </w:r>
    </w:p>
  </w:footnote>
  <w:footnote w:id="19423">
    <w:p>
      <w:pPr>
        <w:pStyle w:val="FootnoteText"/>
      </w:pPr>
      <w:r>
        <w:rPr>
          <w:rStyle w:val="FootnoteReference"/>
        </w:rPr>
        <w:footnoteRef/>
      </w:r>
      <w:r>
        <w:t xml:space="preserve"> Cross-references for "repent": Rev 2:5; Rev 2:21-22.</w:t>
      </w:r>
    </w:p>
  </w:footnote>
  <w:footnote w:id="19424">
    <w:p>
      <w:pPr>
        <w:pStyle w:val="FootnoteText"/>
      </w:pPr>
      <w:r>
        <w:rPr>
          <w:rStyle w:val="FootnoteReference"/>
        </w:rPr>
        <w:footnoteRef/>
      </w:r>
      <w:r>
        <w:t xml:space="preserve"> Cross-references for "I stand": Song 5:2-4; Luke 12:36.</w:t>
      </w:r>
    </w:p>
  </w:footnote>
  <w:footnote w:id="19425">
    <w:p>
      <w:pPr>
        <w:pStyle w:val="FootnoteText"/>
      </w:pPr>
      <w:r>
        <w:rPr>
          <w:rStyle w:val="FootnoteReference"/>
        </w:rPr>
        <w:footnoteRef/>
      </w:r>
      <w:r>
        <w:t xml:space="preserve"> Cross-references for "to sit": Matt 19:28; Luke 22:30.</w:t>
      </w:r>
    </w:p>
  </w:footnote>
  <w:footnote w:id="19426">
    <w:p>
      <w:pPr>
        <w:pStyle w:val="FootnoteText"/>
      </w:pPr>
      <w:r>
        <w:rPr>
          <w:rStyle w:val="FootnoteReference"/>
        </w:rPr>
        <w:footnoteRef/>
      </w:r>
      <w:r>
        <w:t xml:space="preserve"> Cross-references for "a door": Exod 1:1; Matt 3:16.</w:t>
      </w:r>
    </w:p>
  </w:footnote>
  <w:footnote w:id="19427">
    <w:p>
      <w:pPr>
        <w:pStyle w:val="FootnoteText"/>
      </w:pPr>
      <w:r>
        <w:rPr>
          <w:rStyle w:val="FootnoteReference"/>
        </w:rPr>
        <w:footnoteRef/>
      </w:r>
      <w:r>
        <w:t xml:space="preserve"> Cross-references for "I was": Ezek 3:12-14; Rev 1:10.</w:t>
      </w:r>
    </w:p>
  </w:footnote>
  <w:footnote w:id="19428">
    <w:p>
      <w:pPr>
        <w:pStyle w:val="FootnoteText"/>
      </w:pPr>
      <w:r>
        <w:rPr>
          <w:rStyle w:val="FootnoteReference"/>
        </w:rPr>
        <w:footnoteRef/>
      </w:r>
      <w:r>
        <w:t xml:space="preserve"> Cross-references for "like a": Exod 24:10; Ezek 1:26.</w:t>
      </w:r>
    </w:p>
  </w:footnote>
  <w:footnote w:id="19429">
    <w:p>
      <w:pPr>
        <w:pStyle w:val="FootnoteText"/>
      </w:pPr>
      <w:r>
        <w:rPr>
          <w:rStyle w:val="FootnoteReference"/>
        </w:rPr>
        <w:footnoteRef/>
      </w:r>
      <w:r>
        <w:t xml:space="preserve"> Cross-references for "were four": Matt 19:28; Luke 22:30.</w:t>
      </w:r>
    </w:p>
  </w:footnote>
  <w:footnote w:id="19430">
    <w:p>
      <w:pPr>
        <w:pStyle w:val="FootnoteText"/>
      </w:pPr>
      <w:r>
        <w:rPr>
          <w:rStyle w:val="FootnoteReference"/>
        </w:rPr>
        <w:footnoteRef/>
      </w:r>
      <w:r>
        <w:t xml:space="preserve"> Cross-references for "proceeded": Exod 19:16; Exod 20:18.</w:t>
      </w:r>
    </w:p>
  </w:footnote>
  <w:footnote w:id="19431">
    <w:p>
      <w:pPr>
        <w:pStyle w:val="FootnoteText"/>
      </w:pPr>
      <w:r>
        <w:rPr>
          <w:rStyle w:val="FootnoteReference"/>
        </w:rPr>
        <w:footnoteRef/>
      </w:r>
      <w:r>
        <w:t xml:space="preserve"> Cross-references for "a sea": Exod 38:8; 1Kgs 7:23.</w:t>
      </w:r>
    </w:p>
  </w:footnote>
  <w:footnote w:id="19432">
    <w:p>
      <w:pPr>
        <w:pStyle w:val="FootnoteText"/>
      </w:pPr>
      <w:r>
        <w:rPr>
          <w:rStyle w:val="FootnoteReference"/>
        </w:rPr>
        <w:footnoteRef/>
      </w:r>
      <w:r>
        <w:t xml:space="preserve"> Cross-references for "like a calf": Ezek 1:10; 1Cor 9:9-10.</w:t>
      </w:r>
    </w:p>
  </w:footnote>
  <w:footnote w:id="19433">
    <w:p>
      <w:pPr>
        <w:pStyle w:val="FootnoteText"/>
      </w:pPr>
      <w:r>
        <w:rPr>
          <w:rStyle w:val="FootnoteReference"/>
        </w:rPr>
        <w:footnoteRef/>
      </w:r>
      <w:r>
        <w:t xml:space="preserve"> Cross-references for "full": 1Tim 4:16; Rev 4:6.</w:t>
      </w:r>
    </w:p>
  </w:footnote>
  <w:footnote w:id="19434">
    <w:p>
      <w:pPr>
        <w:pStyle w:val="FootnoteText"/>
      </w:pPr>
      <w:r>
        <w:rPr>
          <w:rStyle w:val="FootnoteReference"/>
        </w:rPr>
        <w:footnoteRef/>
      </w:r>
      <w:r>
        <w:t xml:space="preserve"> Cross-references for "fall": Job 1:20; Ps 72:11.</w:t>
      </w:r>
    </w:p>
  </w:footnote>
  <w:footnote w:id="19435">
    <w:p>
      <w:pPr>
        <w:pStyle w:val="FootnoteText"/>
      </w:pPr>
      <w:r>
        <w:rPr>
          <w:rStyle w:val="FootnoteReference"/>
        </w:rPr>
        <w:footnoteRef/>
      </w:r>
      <w:r>
        <w:t xml:space="preserve"> Cross-references for "to receive": Deut 32:4; 1Chr 16:28-29.</w:t>
      </w:r>
    </w:p>
  </w:footnote>
  <w:footnote w:id="19436">
    <w:p>
      <w:pPr>
        <w:pStyle w:val="FootnoteText"/>
      </w:pPr>
      <w:r>
        <w:rPr>
          <w:rStyle w:val="FootnoteReference"/>
        </w:rPr>
        <w:footnoteRef/>
      </w:r>
      <w:r>
        <w:t xml:space="preserve"> Cross-references for "a book": Isa 34:16; Ezek 2:9-10.</w:t>
      </w:r>
    </w:p>
  </w:footnote>
  <w:footnote w:id="19437">
    <w:p>
      <w:pPr>
        <w:pStyle w:val="FootnoteText"/>
      </w:pPr>
      <w:r>
        <w:rPr>
          <w:rStyle w:val="FootnoteReference"/>
        </w:rPr>
        <w:footnoteRef/>
      </w:r>
      <w:r>
        <w:t xml:space="preserve"> Cross-references for "a strong": Ps 103:20.</w:t>
      </w:r>
    </w:p>
  </w:footnote>
  <w:footnote w:id="19438">
    <w:p>
      <w:pPr>
        <w:pStyle w:val="FootnoteText"/>
      </w:pPr>
      <w:r>
        <w:rPr>
          <w:rStyle w:val="FootnoteReference"/>
        </w:rPr>
        <w:footnoteRef/>
      </w:r>
      <w:r>
        <w:t xml:space="preserve"> Cross-references for "Weep": Jer 31:16; Luke 7:13.</w:t>
      </w:r>
    </w:p>
  </w:footnote>
  <w:footnote w:id="19439">
    <w:p>
      <w:pPr>
        <w:pStyle w:val="FootnoteText"/>
      </w:pPr>
      <w:r>
        <w:rPr>
          <w:rStyle w:val="FootnoteReference"/>
        </w:rPr>
        <w:footnoteRef/>
      </w:r>
      <w:r>
        <w:t xml:space="preserve"> Cross-references for "in the midst of the throne": Rev 4:4-6.</w:t>
      </w:r>
    </w:p>
  </w:footnote>
  <w:footnote w:id="19440">
    <w:p>
      <w:pPr>
        <w:pStyle w:val="FootnoteText"/>
      </w:pPr>
      <w:r>
        <w:rPr>
          <w:rStyle w:val="FootnoteReference"/>
        </w:rPr>
        <w:footnoteRef/>
      </w:r>
      <w:r>
        <w:t xml:space="preserve"> Cross-references for "the four": John 5:23; Rom 14:10-12.</w:t>
      </w:r>
    </w:p>
  </w:footnote>
  <w:footnote w:id="19441">
    <w:p>
      <w:pPr>
        <w:pStyle w:val="FootnoteText"/>
      </w:pPr>
      <w:r>
        <w:rPr>
          <w:rStyle w:val="FootnoteReference"/>
        </w:rPr>
        <w:footnoteRef/>
      </w:r>
      <w:r>
        <w:t xml:space="preserve"> Cross-references for "sung": Ps 33:3; Ps 40:3.</w:t>
      </w:r>
    </w:p>
  </w:footnote>
  <w:footnote w:id="19442">
    <w:p>
      <w:pPr>
        <w:pStyle w:val="FootnoteText"/>
      </w:pPr>
      <w:r>
        <w:rPr>
          <w:rStyle w:val="FootnoteReference"/>
        </w:rPr>
        <w:footnoteRef/>
      </w:r>
      <w:r>
        <w:t xml:space="preserve"> Cross-references for "kings": Exod 19:6; 1Pet 2:5-9.</w:t>
      </w:r>
    </w:p>
  </w:footnote>
  <w:footnote w:id="19443">
    <w:p>
      <w:pPr>
        <w:pStyle w:val="FootnoteText"/>
      </w:pPr>
      <w:r>
        <w:rPr>
          <w:rStyle w:val="FootnoteReference"/>
        </w:rPr>
        <w:footnoteRef/>
      </w:r>
      <w:r>
        <w:t xml:space="preserve"> Cross-references for "the throne": Rev 4:4; Rev 4:6.</w:t>
      </w:r>
    </w:p>
  </w:footnote>
  <w:footnote w:id="19444">
    <w:p>
      <w:pPr>
        <w:pStyle w:val="FootnoteText"/>
      </w:pPr>
      <w:r>
        <w:rPr>
          <w:rStyle w:val="FootnoteReference"/>
        </w:rPr>
        <w:footnoteRef/>
      </w:r>
      <w:r>
        <w:t xml:space="preserve"> Cross-references for "Worthy": Zech 13:7; Rev 5:9.</w:t>
      </w:r>
    </w:p>
  </w:footnote>
  <w:footnote w:id="19445">
    <w:p>
      <w:pPr>
        <w:pStyle w:val="FootnoteText"/>
      </w:pPr>
      <w:r>
        <w:rPr>
          <w:rStyle w:val="FootnoteReference"/>
        </w:rPr>
        <w:footnoteRef/>
      </w:r>
      <w:r>
        <w:t xml:space="preserve"> Cross-references for "such": Isa 24:14; Isa 42:10.</w:t>
      </w:r>
    </w:p>
  </w:footnote>
  <w:footnote w:id="19446">
    <w:p>
      <w:pPr>
        <w:pStyle w:val="FootnoteText"/>
      </w:pPr>
      <w:r>
        <w:rPr>
          <w:rStyle w:val="FootnoteReference"/>
        </w:rPr>
        <w:footnoteRef/>
      </w:r>
      <w:r>
        <w:t xml:space="preserve"> Cross-references for "the four": Rev 19:4.</w:t>
      </w:r>
    </w:p>
  </w:footnote>
  <w:footnote w:id="19447">
    <w:p>
      <w:pPr>
        <w:pStyle w:val="FootnoteText"/>
      </w:pPr>
      <w:r>
        <w:rPr>
          <w:rStyle w:val="FootnoteReference"/>
        </w:rPr>
        <w:footnoteRef/>
      </w:r>
      <w:r>
        <w:t xml:space="preserve"> Cross-references for "a white": Zech 1:8; Zech 6:3-8.</w:t>
      </w:r>
    </w:p>
  </w:footnote>
  <w:footnote w:id="19448">
    <w:p>
      <w:pPr>
        <w:pStyle w:val="FootnoteText"/>
      </w:pPr>
      <w:r>
        <w:rPr>
          <w:rStyle w:val="FootnoteReference"/>
        </w:rPr>
        <w:footnoteRef/>
      </w:r>
      <w:r>
        <w:t xml:space="preserve"> Cross-references for "horse": Zech 1:8; Zech 6:2.</w:t>
      </w:r>
    </w:p>
  </w:footnote>
  <w:footnote w:id="19449">
    <w:p>
      <w:pPr>
        <w:pStyle w:val="FootnoteText"/>
      </w:pPr>
      <w:r>
        <w:rPr>
          <w:rStyle w:val="FootnoteReference"/>
        </w:rPr>
        <w:footnoteRef/>
      </w:r>
      <w:r>
        <w:t xml:space="preserve"> Cross-references for "he had": Rev 4:6-7; Rev 5:5.</w:t>
      </w:r>
    </w:p>
  </w:footnote>
  <w:footnote w:id="19450">
    <w:p>
      <w:pPr>
        <w:pStyle w:val="FootnoteText"/>
      </w:pPr>
      <w:r>
        <w:rPr>
          <w:rStyle w:val="FootnoteReference"/>
        </w:rPr>
        <w:footnoteRef/>
      </w:r>
      <w:r>
        <w:t xml:space="preserve"> Cross-references for "and see": Ps 76:10; Rev 9:4.</w:t>
      </w:r>
    </w:p>
  </w:footnote>
  <w:footnote w:id="19451">
    <w:p>
      <w:pPr>
        <w:pStyle w:val="FootnoteText"/>
      </w:pPr>
      <w:r>
        <w:rPr>
          <w:rStyle w:val="FootnoteReference"/>
        </w:rPr>
        <w:footnoteRef/>
      </w:r>
      <w:r>
        <w:t xml:space="preserve"> Cross-references for "pale": Zech 6:3.</w:t>
      </w:r>
    </w:p>
  </w:footnote>
  <w:footnote w:id="19452">
    <w:p>
      <w:pPr>
        <w:pStyle w:val="FootnoteText"/>
      </w:pPr>
      <w:r>
        <w:rPr>
          <w:rStyle w:val="FootnoteReference"/>
        </w:rPr>
        <w:footnoteRef/>
      </w:r>
      <w:r>
        <w:t xml:space="preserve"> Cross-references for "I saw": Lev 4:7; John 16:2.</w:t>
      </w:r>
    </w:p>
  </w:footnote>
  <w:footnote w:id="19453">
    <w:p>
      <w:pPr>
        <w:pStyle w:val="FootnoteText"/>
      </w:pPr>
      <w:r>
        <w:rPr>
          <w:rStyle w:val="FootnoteReference"/>
        </w:rPr>
        <w:footnoteRef/>
      </w:r>
      <w:r>
        <w:t xml:space="preserve"> Cross-references for "they cried": Gen 4:10; Ps 9:12.</w:t>
      </w:r>
    </w:p>
  </w:footnote>
  <w:footnote w:id="19454">
    <w:p>
      <w:pPr>
        <w:pStyle w:val="FootnoteText"/>
      </w:pPr>
      <w:r>
        <w:rPr>
          <w:rStyle w:val="FootnoteReference"/>
        </w:rPr>
        <w:footnoteRef/>
      </w:r>
      <w:r>
        <w:t xml:space="preserve"> Cross-references for "white": Rev 3:4-5; Rev 7:9.</w:t>
      </w:r>
    </w:p>
  </w:footnote>
  <w:footnote w:id="19455">
    <w:p>
      <w:pPr>
        <w:pStyle w:val="FootnoteText"/>
      </w:pPr>
      <w:r>
        <w:rPr>
          <w:rStyle w:val="FootnoteReference"/>
        </w:rPr>
        <w:footnoteRef/>
      </w:r>
      <w:r>
        <w:t xml:space="preserve"> Cross-references for "the sun": Isa 13:9-10; Isa 24:23.</w:t>
      </w:r>
    </w:p>
  </w:footnote>
  <w:footnote w:id="19456">
    <w:p>
      <w:pPr>
        <w:pStyle w:val="FootnoteText"/>
      </w:pPr>
      <w:r>
        <w:rPr>
          <w:rStyle w:val="FootnoteReference"/>
        </w:rPr>
        <w:footnoteRef/>
      </w:r>
      <w:r>
        <w:t xml:space="preserve"> Cross-references for "the stars": Ezek 32:7; Dan 8:10.</w:t>
      </w:r>
    </w:p>
  </w:footnote>
  <w:footnote w:id="19457">
    <w:p>
      <w:pPr>
        <w:pStyle w:val="FootnoteText"/>
      </w:pPr>
      <w:r>
        <w:rPr>
          <w:rStyle w:val="FootnoteReference"/>
        </w:rPr>
        <w:footnoteRef/>
      </w:r>
      <w:r>
        <w:t xml:space="preserve"> Cross-references for "the heaven": Ps 102:26; Isa 34:4.</w:t>
      </w:r>
    </w:p>
  </w:footnote>
  <w:footnote w:id="19458">
    <w:p>
      <w:pPr>
        <w:pStyle w:val="FootnoteText"/>
      </w:pPr>
      <w:r>
        <w:rPr>
          <w:rStyle w:val="FootnoteReference"/>
        </w:rPr>
        <w:footnoteRef/>
      </w:r>
      <w:r>
        <w:t xml:space="preserve"> Cross-references for "the kings": Job 34:19-20; Ps 2:10-12.</w:t>
      </w:r>
    </w:p>
  </w:footnote>
  <w:footnote w:id="19459">
    <w:p>
      <w:pPr>
        <w:pStyle w:val="FootnoteText"/>
      </w:pPr>
      <w:r>
        <w:rPr>
          <w:rStyle w:val="FootnoteReference"/>
        </w:rPr>
        <w:footnoteRef/>
      </w:r>
      <w:r>
        <w:t xml:space="preserve"> Cross-references for "Fall": Jer 8:3; Hos 10:8.</w:t>
      </w:r>
    </w:p>
  </w:footnote>
  <w:footnote w:id="19460">
    <w:p>
      <w:pPr>
        <w:pStyle w:val="FootnoteText"/>
      </w:pPr>
      <w:r>
        <w:rPr>
          <w:rStyle w:val="FootnoteReference"/>
        </w:rPr>
        <w:footnoteRef/>
      </w:r>
      <w:r>
        <w:t xml:space="preserve"> Cross-references for "the great": Isa 13:6-22; Jer 30:7.</w:t>
      </w:r>
    </w:p>
  </w:footnote>
  <w:footnote w:id="19461">
    <w:p>
      <w:pPr>
        <w:pStyle w:val="FootnoteText"/>
      </w:pPr>
      <w:r>
        <w:rPr>
          <w:rStyle w:val="FootnoteReference"/>
        </w:rPr>
        <w:footnoteRef/>
      </w:r>
      <w:r>
        <w:t xml:space="preserve"> Cross-references for "four angels": Ezek 7:2; Ezek 37:9.</w:t>
      </w:r>
    </w:p>
  </w:footnote>
  <w:footnote w:id="19462">
    <w:p>
      <w:pPr>
        <w:pStyle w:val="FootnoteText"/>
      </w:pPr>
      <w:r>
        <w:rPr>
          <w:rStyle w:val="FootnoteReference"/>
        </w:rPr>
        <w:footnoteRef/>
      </w:r>
      <w:r>
        <w:t xml:space="preserve"> Cross-references for "living": Deut 5:26; 1Sam 17:26.</w:t>
      </w:r>
    </w:p>
  </w:footnote>
  <w:footnote w:id="19463">
    <w:p>
      <w:pPr>
        <w:pStyle w:val="FootnoteText"/>
      </w:pPr>
      <w:r>
        <w:rPr>
          <w:rStyle w:val="FootnoteReference"/>
        </w:rPr>
        <w:footnoteRef/>
      </w:r>
      <w:r>
        <w:t xml:space="preserve"> Cross-references for "till": Exod 9:4-6; Exod 12:13.</w:t>
      </w:r>
    </w:p>
  </w:footnote>
  <w:footnote w:id="19464">
    <w:p>
      <w:pPr>
        <w:pStyle w:val="FootnoteText"/>
      </w:pPr>
      <w:r>
        <w:rPr>
          <w:rStyle w:val="FootnoteReference"/>
        </w:rPr>
        <w:footnoteRef/>
      </w:r>
      <w:r>
        <w:t xml:space="preserve"> Cross-references for "I heard": Rev 9:16.</w:t>
      </w:r>
    </w:p>
  </w:footnote>
  <w:footnote w:id="19465">
    <w:p>
      <w:pPr>
        <w:pStyle w:val="FootnoteText"/>
      </w:pPr>
      <w:r>
        <w:rPr>
          <w:rStyle w:val="FootnoteReference"/>
        </w:rPr>
        <w:footnoteRef/>
      </w:r>
      <w:r>
        <w:t xml:space="preserve"> Personal name: Reuben. Personal-name meaning: Reuben — Behold a son. Source form: Reuben.</w:t>
      </w:r>
    </w:p>
  </w:footnote>
  <w:footnote w:id="19466">
    <w:p>
      <w:pPr>
        <w:pStyle w:val="FootnoteText"/>
      </w:pPr>
      <w:r>
        <w:rPr>
          <w:rStyle w:val="FootnoteReference"/>
        </w:rPr>
        <w:footnoteRef/>
      </w:r>
      <w:r>
        <w:t xml:space="preserve"> Transliterated proper noun: Gad. Standard English equivalent: Gad. Source form: Gad. Greek form: γαδ. Name meaning: Fortune; troop.</w:t>
      </w:r>
    </w:p>
  </w:footnote>
  <w:footnote w:id="19467">
    <w:p>
      <w:pPr>
        <w:pStyle w:val="FootnoteText"/>
      </w:pPr>
      <w:r>
        <w:rPr>
          <w:rStyle w:val="FootnoteReference"/>
        </w:rPr>
        <w:footnoteRef/>
      </w:r>
      <w:r>
        <w:t xml:space="preserve"> Cross-references for "Simeon": Num 1:22; Num 25:14.</w:t>
      </w:r>
    </w:p>
  </w:footnote>
  <w:footnote w:id="19468">
    <w:p>
      <w:pPr>
        <w:pStyle w:val="FootnoteText"/>
      </w:pPr>
      <w:r>
        <w:rPr>
          <w:rStyle w:val="FootnoteReference"/>
        </w:rPr>
        <w:footnoteRef/>
      </w:r>
      <w:r>
        <w:t xml:space="preserve"> Transliterated proper noun: Issachar. Standard English equivalent: Issachar. Source form: Issachar. Greek form: ισαχαρ. Name meaning: There is recompense; wages.</w:t>
      </w:r>
    </w:p>
  </w:footnote>
  <w:footnote w:id="19469">
    <w:p>
      <w:pPr>
        <w:pStyle w:val="FootnoteText"/>
      </w:pPr>
      <w:r>
        <w:rPr>
          <w:rStyle w:val="FootnoteReference"/>
        </w:rPr>
        <w:footnoteRef/>
      </w:r>
      <w:r>
        <w:t xml:space="preserve"> Cross-references for "a great": Gen 49:10; Ps 2:8.</w:t>
      </w:r>
    </w:p>
  </w:footnote>
  <w:footnote w:id="19470">
    <w:p>
      <w:pPr>
        <w:pStyle w:val="FootnoteText"/>
      </w:pPr>
      <w:r>
        <w:rPr>
          <w:rStyle w:val="FootnoteReference"/>
        </w:rPr>
        <w:footnoteRef/>
      </w:r>
      <w:r>
        <w:t xml:space="preserve"> Cross-references for "cried": Zech 4:7.</w:t>
      </w:r>
    </w:p>
  </w:footnote>
  <w:footnote w:id="19471">
    <w:p>
      <w:pPr>
        <w:pStyle w:val="FootnoteText"/>
      </w:pPr>
      <w:r>
        <w:rPr>
          <w:rStyle w:val="FootnoteReference"/>
        </w:rPr>
        <w:footnoteRef/>
      </w:r>
      <w:r>
        <w:t xml:space="preserve"> Cross-references for "and fell": Rev 11:16.</w:t>
      </w:r>
    </w:p>
  </w:footnote>
  <w:footnote w:id="19472">
    <w:p>
      <w:pPr>
        <w:pStyle w:val="FootnoteText"/>
      </w:pPr>
      <w:r>
        <w:rPr>
          <w:rStyle w:val="FootnoteReference"/>
        </w:rPr>
        <w:footnoteRef/>
      </w:r>
      <w:r>
        <w:t xml:space="preserve"> Cross-references for "Amen": Ps 41:13; Ps 72:19.</w:t>
      </w:r>
    </w:p>
  </w:footnote>
  <w:footnote w:id="19473">
    <w:p>
      <w:pPr>
        <w:pStyle w:val="FootnoteText"/>
      </w:pPr>
      <w:r>
        <w:rPr>
          <w:rStyle w:val="FootnoteReference"/>
        </w:rPr>
        <w:footnoteRef/>
      </w:r>
      <w:r>
        <w:t xml:space="preserve"> Cross-references for "arrayed": Rev 7:9.</w:t>
      </w:r>
    </w:p>
  </w:footnote>
  <w:footnote w:id="19474">
    <w:p>
      <w:pPr>
        <w:pStyle w:val="FootnoteText"/>
      </w:pPr>
      <w:r>
        <w:rPr>
          <w:rStyle w:val="FootnoteReference"/>
        </w:rPr>
        <w:footnoteRef/>
      </w:r>
      <w:r>
        <w:t xml:space="preserve"> Cross-references for "the blood": Heb 13:12; 1Pet 1:19.</w:t>
      </w:r>
    </w:p>
  </w:footnote>
  <w:footnote w:id="19475">
    <w:p>
      <w:pPr>
        <w:pStyle w:val="FootnoteText"/>
      </w:pPr>
      <w:r>
        <w:rPr>
          <w:rStyle w:val="FootnoteReference"/>
        </w:rPr>
        <w:footnoteRef/>
      </w:r>
      <w:r>
        <w:t xml:space="preserve"> Cross-references for "serve": Ps 134:1-2; Rev 20:10.</w:t>
      </w:r>
    </w:p>
  </w:footnote>
  <w:footnote w:id="19476">
    <w:p>
      <w:pPr>
        <w:pStyle w:val="FootnoteText"/>
      </w:pPr>
      <w:r>
        <w:rPr>
          <w:rStyle w:val="FootnoteReference"/>
        </w:rPr>
        <w:footnoteRef/>
      </w:r>
      <w:r>
        <w:t xml:space="preserve"> Cross-references for "hunger": Ps 42:2; Ps 63:1.</w:t>
      </w:r>
    </w:p>
  </w:footnote>
  <w:footnote w:id="19477">
    <w:p>
      <w:pPr>
        <w:pStyle w:val="FootnoteText"/>
      </w:pPr>
      <w:r>
        <w:rPr>
          <w:rStyle w:val="FootnoteReference"/>
        </w:rPr>
        <w:footnoteRef/>
      </w:r>
      <w:r>
        <w:t xml:space="preserve"> Cross-references for "feed": Ps 22:26; Ps 23:1-2.</w:t>
      </w:r>
    </w:p>
  </w:footnote>
  <w:footnote w:id="19478">
    <w:p>
      <w:pPr>
        <w:pStyle w:val="FootnoteText"/>
      </w:pPr>
      <w:r>
        <w:rPr>
          <w:rStyle w:val="FootnoteReference"/>
        </w:rPr>
        <w:footnoteRef/>
      </w:r>
      <w:r>
        <w:t xml:space="preserve"> Cross-references for "silence": Job 4:16; Ps 37:7.</w:t>
      </w:r>
    </w:p>
  </w:footnote>
  <w:footnote w:id="19479">
    <w:p>
      <w:pPr>
        <w:pStyle w:val="FootnoteText"/>
      </w:pPr>
      <w:r>
        <w:rPr>
          <w:rStyle w:val="FootnoteReference"/>
        </w:rPr>
        <w:footnoteRef/>
      </w:r>
      <w:r>
        <w:t xml:space="preserve"> Cross-references for "seven angels": Matt 18:10; Luke 1:19.</w:t>
      </w:r>
    </w:p>
  </w:footnote>
  <w:footnote w:id="19480">
    <w:p>
      <w:pPr>
        <w:pStyle w:val="FootnoteText"/>
      </w:pPr>
      <w:r>
        <w:rPr>
          <w:rStyle w:val="FootnoteReference"/>
        </w:rPr>
        <w:footnoteRef/>
      </w:r>
      <w:r>
        <w:t xml:space="preserve"> Cross-references for "another": Gen 48:15-16; Exod 3:2-18.</w:t>
      </w:r>
    </w:p>
  </w:footnote>
  <w:footnote w:id="19481">
    <w:p>
      <w:pPr>
        <w:pStyle w:val="FootnoteText"/>
      </w:pPr>
      <w:r>
        <w:rPr>
          <w:rStyle w:val="FootnoteReference"/>
        </w:rPr>
        <w:footnoteRef/>
      </w:r>
      <w:r>
        <w:t xml:space="preserve"> Cross-references for "and filled": Isa 66:6; Isa 66:14-16.</w:t>
      </w:r>
    </w:p>
  </w:footnote>
  <w:footnote w:id="19482">
    <w:p>
      <w:pPr>
        <w:pStyle w:val="FootnoteText"/>
      </w:pPr>
      <w:r>
        <w:rPr>
          <w:rStyle w:val="FootnoteReference"/>
        </w:rPr>
        <w:footnoteRef/>
      </w:r>
      <w:r>
        <w:t xml:space="preserve"> Cross-references for "hail": Exod 9:23-25; Exod 9:33.</w:t>
      </w:r>
    </w:p>
  </w:footnote>
  <w:footnote w:id="19483">
    <w:p>
      <w:pPr>
        <w:pStyle w:val="FootnoteText"/>
      </w:pPr>
      <w:r>
        <w:rPr>
          <w:rStyle w:val="FootnoteReference"/>
        </w:rPr>
        <w:footnoteRef/>
      </w:r>
      <w:r>
        <w:t xml:space="preserve"> Cross-references for "and as": Jer 51:25; Mark 11:23.</w:t>
      </w:r>
    </w:p>
  </w:footnote>
  <w:footnote w:id="19484">
    <w:p>
      <w:pPr>
        <w:pStyle w:val="FootnoteText"/>
      </w:pPr>
      <w:r>
        <w:rPr>
          <w:rStyle w:val="FootnoteReference"/>
        </w:rPr>
        <w:footnoteRef/>
      </w:r>
      <w:r>
        <w:t xml:space="preserve"> Cross-references for "the ships": Ps 48:7; Isa 2:16.</w:t>
      </w:r>
    </w:p>
  </w:footnote>
  <w:footnote w:id="19485">
    <w:p>
      <w:pPr>
        <w:pStyle w:val="FootnoteText"/>
      </w:pPr>
      <w:r>
        <w:rPr>
          <w:rStyle w:val="FootnoteReference"/>
        </w:rPr>
        <w:footnoteRef/>
      </w:r>
      <w:r>
        <w:t xml:space="preserve"> Cross-references for "a great": Isa 14:12; Luke 10:18.</w:t>
      </w:r>
    </w:p>
  </w:footnote>
  <w:footnote w:id="19486">
    <w:p>
      <w:pPr>
        <w:pStyle w:val="FootnoteText"/>
      </w:pPr>
      <w:r>
        <w:rPr>
          <w:rStyle w:val="FootnoteReference"/>
        </w:rPr>
        <w:footnoteRef/>
      </w:r>
      <w:r>
        <w:t xml:space="preserve"> Cross-references for "Wormwood": Deut 29:18; Ruth 1:20.</w:t>
      </w:r>
    </w:p>
  </w:footnote>
  <w:footnote w:id="19487">
    <w:p>
      <w:pPr>
        <w:pStyle w:val="FootnoteText"/>
      </w:pPr>
      <w:r>
        <w:rPr>
          <w:rStyle w:val="FootnoteReference"/>
        </w:rPr>
        <w:footnoteRef/>
      </w:r>
      <w:r>
        <w:t xml:space="preserve"> Cross-references for "and the day": Exod 10:21-23; 2Cor 4:4.</w:t>
      </w:r>
    </w:p>
  </w:footnote>
  <w:footnote w:id="19488">
    <w:p>
      <w:pPr>
        <w:pStyle w:val="FootnoteText"/>
      </w:pPr>
      <w:r>
        <w:rPr>
          <w:rStyle w:val="FootnoteReference"/>
        </w:rPr>
        <w:footnoteRef/>
      </w:r>
      <w:r>
        <w:t xml:space="preserve"> Cross-references for "flying": Ps 103:20; Heb 1:14.</w:t>
      </w:r>
    </w:p>
  </w:footnote>
  <w:footnote w:id="19489">
    <w:p>
      <w:pPr>
        <w:pStyle w:val="FootnoteText"/>
      </w:pPr>
      <w:r>
        <w:rPr>
          <w:rStyle w:val="FootnoteReference"/>
        </w:rPr>
        <w:footnoteRef/>
      </w:r>
      <w:r>
        <w:t xml:space="preserve"> Cross-references for "the fifth": Rev 8:6-8; Rev 8:10.</w:t>
      </w:r>
    </w:p>
  </w:footnote>
  <w:footnote w:id="19490">
    <w:p>
      <w:pPr>
        <w:pStyle w:val="FootnoteText"/>
      </w:pPr>
      <w:r>
        <w:rPr>
          <w:rStyle w:val="FootnoteReference"/>
        </w:rPr>
        <w:footnoteRef/>
      </w:r>
      <w:r>
        <w:t xml:space="preserve"> Cross-references for "and the sun": Exod 10:21-23; Joel 2:2.</w:t>
      </w:r>
    </w:p>
  </w:footnote>
  <w:footnote w:id="19491">
    <w:p>
      <w:pPr>
        <w:pStyle w:val="FootnoteText"/>
      </w:pPr>
      <w:r>
        <w:rPr>
          <w:rStyle w:val="FootnoteReference"/>
        </w:rPr>
        <w:footnoteRef/>
      </w:r>
      <w:r>
        <w:t xml:space="preserve"> Cross-references for "locusts": Exod 10:4-15; Judg 7:12.</w:t>
      </w:r>
    </w:p>
  </w:footnote>
  <w:footnote w:id="19492">
    <w:p>
      <w:pPr>
        <w:pStyle w:val="FootnoteText"/>
      </w:pPr>
      <w:r>
        <w:rPr>
          <w:rStyle w:val="FootnoteReference"/>
        </w:rPr>
        <w:footnoteRef/>
      </w:r>
      <w:r>
        <w:t xml:space="preserve"> Cross-references for "hurt": Rev 8:7.</w:t>
      </w:r>
    </w:p>
  </w:footnote>
  <w:footnote w:id="19493">
    <w:p>
      <w:pPr>
        <w:pStyle w:val="FootnoteText"/>
      </w:pPr>
      <w:r>
        <w:rPr>
          <w:rStyle w:val="FootnoteReference"/>
        </w:rPr>
        <w:footnoteRef/>
      </w:r>
      <w:r>
        <w:t xml:space="preserve"> Cross-references for "it was": Dan 5:18-22; Dan 7:6.</w:t>
      </w:r>
    </w:p>
  </w:footnote>
  <w:footnote w:id="19494">
    <w:p>
      <w:pPr>
        <w:pStyle w:val="FootnoteText"/>
      </w:pPr>
      <w:r>
        <w:rPr>
          <w:rStyle w:val="FootnoteReference"/>
        </w:rPr>
        <w:footnoteRef/>
      </w:r>
      <w:r>
        <w:t xml:space="preserve"> Cross-references for "the shapes": Joel 2:4-5; Nah 3:17.</w:t>
      </w:r>
    </w:p>
  </w:footnote>
  <w:footnote w:id="19495">
    <w:p>
      <w:pPr>
        <w:pStyle w:val="FootnoteText"/>
      </w:pPr>
      <w:r>
        <w:rPr>
          <w:rStyle w:val="FootnoteReference"/>
        </w:rPr>
        <w:footnoteRef/>
      </w:r>
      <w:r>
        <w:t xml:space="preserve"> Cross-references for "hair": 2Kgs 9:30; Isa 3:24.</w:t>
      </w:r>
    </w:p>
  </w:footnote>
  <w:footnote w:id="19496">
    <w:p>
      <w:pPr>
        <w:pStyle w:val="FootnoteText"/>
      </w:pPr>
      <w:r>
        <w:rPr>
          <w:rStyle w:val="FootnoteReference"/>
        </w:rPr>
        <w:footnoteRef/>
      </w:r>
      <w:r>
        <w:t xml:space="preserve"> Cross-references for "they had": Job 40:18; Job 41:23-30.</w:t>
      </w:r>
    </w:p>
  </w:footnote>
  <w:footnote w:id="19497">
    <w:p>
      <w:pPr>
        <w:pStyle w:val="FootnoteText"/>
      </w:pPr>
      <w:r>
        <w:rPr>
          <w:rStyle w:val="FootnoteReference"/>
        </w:rPr>
        <w:footnoteRef/>
      </w:r>
      <w:r>
        <w:t xml:space="preserve"> Cross-references for "tails": Rev 9:3; Rev 9:5.</w:t>
      </w:r>
    </w:p>
  </w:footnote>
  <w:footnote w:id="19498">
    <w:p>
      <w:pPr>
        <w:pStyle w:val="FootnoteText"/>
      </w:pPr>
      <w:r>
        <w:rPr>
          <w:rStyle w:val="FootnoteReference"/>
        </w:rPr>
        <w:footnoteRef/>
      </w:r>
      <w:r>
        <w:t xml:space="preserve"> Cross-references for "the angel": Rev 9:1.</w:t>
      </w:r>
    </w:p>
  </w:footnote>
  <w:footnote w:id="19499">
    <w:p>
      <w:pPr>
        <w:pStyle w:val="FootnoteText"/>
      </w:pPr>
      <w:r>
        <w:rPr>
          <w:rStyle w:val="FootnoteReference"/>
        </w:rPr>
        <w:footnoteRef/>
      </w:r>
      <w:r>
        <w:t xml:space="preserve"> Divine or supernatural name: Abaddon. Divine/supernatural-name meaning: Abaddon — the destroyer. Source form: Abaddon.</w:t>
      </w:r>
    </w:p>
  </w:footnote>
  <w:footnote w:id="19500">
    <w:p>
      <w:pPr>
        <w:pStyle w:val="FootnoteText"/>
      </w:pPr>
      <w:r>
        <w:rPr>
          <w:rStyle w:val="FootnoteReference"/>
        </w:rPr>
        <w:footnoteRef/>
      </w:r>
      <w:r>
        <w:t xml:space="preserve"> Divine or supernatural name: Apollyon. Divine/supernatural-name meaning: Apollyon — a destroyer. Source form: Apollyon.</w:t>
      </w:r>
    </w:p>
  </w:footnote>
  <w:footnote w:id="19501">
    <w:p>
      <w:pPr>
        <w:pStyle w:val="FootnoteText"/>
      </w:pPr>
      <w:r>
        <w:rPr>
          <w:rStyle w:val="FootnoteReference"/>
        </w:rPr>
        <w:footnoteRef/>
      </w:r>
      <w:r>
        <w:t xml:space="preserve"> Cross-references for "the sixth": Rev 9:1.</w:t>
      </w:r>
    </w:p>
  </w:footnote>
  <w:footnote w:id="19502">
    <w:p>
      <w:pPr>
        <w:pStyle w:val="FootnoteText"/>
      </w:pPr>
      <w:r>
        <w:rPr>
          <w:rStyle w:val="FootnoteReference"/>
        </w:rPr>
        <w:footnoteRef/>
      </w:r>
      <w:r>
        <w:t xml:space="preserve"> Cross-references for "Loose": Rev 9:15; Rev 16:12.</w:t>
      </w:r>
    </w:p>
  </w:footnote>
  <w:footnote w:id="19503">
    <w:p>
      <w:pPr>
        <w:pStyle w:val="FootnoteText"/>
      </w:pPr>
      <w:r>
        <w:rPr>
          <w:rStyle w:val="FootnoteReference"/>
        </w:rPr>
        <w:footnoteRef/>
      </w:r>
      <w:r>
        <w:t xml:space="preserve"> Place name: Euphrates. Place-name meaning: Euphrates — that makes fruitful. Source form: Euphrates. Greek form: ευφρατη.</w:t>
      </w:r>
    </w:p>
  </w:footnote>
  <w:footnote w:id="19504">
    <w:p>
      <w:pPr>
        <w:pStyle w:val="FootnoteText"/>
      </w:pPr>
      <w:r>
        <w:rPr>
          <w:rStyle w:val="FootnoteReference"/>
        </w:rPr>
        <w:footnoteRef/>
      </w:r>
      <w:r>
        <w:t xml:space="preserve"> Cross-references for "an hour": Rev 9:5; Rev 9:10.</w:t>
      </w:r>
    </w:p>
  </w:footnote>
  <w:footnote w:id="19505">
    <w:p>
      <w:pPr>
        <w:pStyle w:val="FootnoteText"/>
      </w:pPr>
      <w:r>
        <w:rPr>
          <w:rStyle w:val="FootnoteReference"/>
        </w:rPr>
        <w:footnoteRef/>
      </w:r>
      <w:r>
        <w:t xml:space="preserve"> Cross-references for "the number": Ps 68:17; Dan 7:10.</w:t>
      </w:r>
    </w:p>
  </w:footnote>
  <w:footnote w:id="19506">
    <w:p>
      <w:pPr>
        <w:pStyle w:val="FootnoteText"/>
      </w:pPr>
      <w:r>
        <w:rPr>
          <w:rStyle w:val="FootnoteReference"/>
        </w:rPr>
        <w:footnoteRef/>
      </w:r>
      <w:r>
        <w:t xml:space="preserve"> Cross-references for "jacinth": Rev 21:20.</w:t>
      </w:r>
    </w:p>
  </w:footnote>
  <w:footnote w:id="19507">
    <w:p>
      <w:pPr>
        <w:pStyle w:val="FootnoteText"/>
      </w:pPr>
      <w:r>
        <w:rPr>
          <w:rStyle w:val="FootnoteReference"/>
        </w:rPr>
        <w:footnoteRef/>
      </w:r>
      <w:r>
        <w:t xml:space="preserve"> Cross-references for "the third": Rev 9:15; Rev 9:17.</w:t>
      </w:r>
    </w:p>
  </w:footnote>
  <w:footnote w:id="19508">
    <w:p>
      <w:pPr>
        <w:pStyle w:val="FootnoteText"/>
      </w:pPr>
      <w:r>
        <w:rPr>
          <w:rStyle w:val="FootnoteReference"/>
        </w:rPr>
        <w:footnoteRef/>
      </w:r>
      <w:r>
        <w:t xml:space="preserve"> Cross-references for "in their tails": Isa 9:15; Eph 4:14.</w:t>
      </w:r>
    </w:p>
  </w:footnote>
  <w:footnote w:id="19509">
    <w:p>
      <w:pPr>
        <w:pStyle w:val="FootnoteText"/>
      </w:pPr>
      <w:r>
        <w:rPr>
          <w:rStyle w:val="FootnoteReference"/>
        </w:rPr>
        <w:footnoteRef/>
      </w:r>
      <w:r>
        <w:t xml:space="preserve"> Cross-references for "worship": Lev 17:7; Deut 32:17.</w:t>
      </w:r>
    </w:p>
  </w:footnote>
  <w:footnote w:id="19510">
    <w:p>
      <w:pPr>
        <w:pStyle w:val="FootnoteText"/>
      </w:pPr>
      <w:r>
        <w:rPr>
          <w:rStyle w:val="FootnoteReference"/>
        </w:rPr>
        <w:footnoteRef/>
      </w:r>
      <w:r>
        <w:t xml:space="preserve"> Cross-references for "their murders": Dan 7:21-25; Dan 11:33.</w:t>
      </w:r>
    </w:p>
  </w:footnote>
  <w:footnote w:id="19511">
    <w:p>
      <w:pPr>
        <w:pStyle w:val="FootnoteText"/>
      </w:pPr>
      <w:r>
        <w:rPr>
          <w:rStyle w:val="FootnoteReference"/>
        </w:rPr>
        <w:footnoteRef/>
      </w:r>
      <w:r>
        <w:t xml:space="preserve"> Cross-references for "another": Rev 5:2; Rev 7:1-2.</w:t>
      </w:r>
    </w:p>
  </w:footnote>
  <w:footnote w:id="19512">
    <w:p>
      <w:pPr>
        <w:pStyle w:val="FootnoteText"/>
      </w:pPr>
      <w:r>
        <w:rPr>
          <w:rStyle w:val="FootnoteReference"/>
        </w:rPr>
        <w:footnoteRef/>
      </w:r>
      <w:r>
        <w:t xml:space="preserve"> Cross-references for "a little": Ezek 2:9-10; Rev 5:1-5.</w:t>
      </w:r>
    </w:p>
  </w:footnote>
  <w:footnote w:id="19513">
    <w:p>
      <w:pPr>
        <w:pStyle w:val="FootnoteText"/>
      </w:pPr>
      <w:r>
        <w:rPr>
          <w:rStyle w:val="FootnoteReference"/>
        </w:rPr>
        <w:footnoteRef/>
      </w:r>
      <w:r>
        <w:t xml:space="preserve"> Cross-references for "seven": Rev 8:5; Rev 14:2.</w:t>
      </w:r>
    </w:p>
  </w:footnote>
  <w:footnote w:id="19514">
    <w:p>
      <w:pPr>
        <w:pStyle w:val="FootnoteText"/>
      </w:pPr>
      <w:r>
        <w:rPr>
          <w:rStyle w:val="FootnoteReference"/>
        </w:rPr>
        <w:footnoteRef/>
      </w:r>
      <w:r>
        <w:t xml:space="preserve"> Cross-references for "I was": Isa 8:1; Hab 2:2-3.</w:t>
      </w:r>
    </w:p>
  </w:footnote>
  <w:footnote w:id="19515">
    <w:p>
      <w:pPr>
        <w:pStyle w:val="FootnoteText"/>
      </w:pPr>
      <w:r>
        <w:rPr>
          <w:rStyle w:val="FootnoteReference"/>
        </w:rPr>
        <w:footnoteRef/>
      </w:r>
      <w:r>
        <w:t xml:space="preserve"> Cross-references for "stand": Rev 10:2.</w:t>
      </w:r>
    </w:p>
  </w:footnote>
  <w:footnote w:id="19516">
    <w:p>
      <w:pPr>
        <w:pStyle w:val="FootnoteText"/>
      </w:pPr>
      <w:r>
        <w:rPr>
          <w:rStyle w:val="FootnoteReference"/>
        </w:rPr>
        <w:footnoteRef/>
      </w:r>
      <w:r>
        <w:t xml:space="preserve"> Cross-references for "the mystery": Rom 11:25; Rom 16:25.</w:t>
      </w:r>
    </w:p>
  </w:footnote>
  <w:footnote w:id="19517">
    <w:p>
      <w:pPr>
        <w:pStyle w:val="FootnoteText"/>
      </w:pPr>
      <w:r>
        <w:rPr>
          <w:rStyle w:val="FootnoteReference"/>
        </w:rPr>
        <w:footnoteRef/>
      </w:r>
      <w:r>
        <w:t xml:space="preserve"> Cross-references for "the voice": Isa 30:21; Rev 10:4-5.</w:t>
      </w:r>
    </w:p>
  </w:footnote>
  <w:footnote w:id="19518">
    <w:p>
      <w:pPr>
        <w:pStyle w:val="FootnoteText"/>
      </w:pPr>
      <w:r>
        <w:rPr>
          <w:rStyle w:val="FootnoteReference"/>
        </w:rPr>
        <w:footnoteRef/>
      </w:r>
      <w:r>
        <w:t xml:space="preserve"> Cross-references for "Take": Job 23:12; Jer 15:16.</w:t>
      </w:r>
    </w:p>
  </w:footnote>
  <w:footnote w:id="19519">
    <w:p>
      <w:pPr>
        <w:pStyle w:val="FootnoteText"/>
      </w:pPr>
      <w:r>
        <w:rPr>
          <w:rStyle w:val="FootnoteReference"/>
        </w:rPr>
        <w:footnoteRef/>
      </w:r>
      <w:r>
        <w:t xml:space="preserve"> Cross-references for "sweet": Ps 19:10; Ps 104:34.</w:t>
      </w:r>
    </w:p>
  </w:footnote>
  <w:footnote w:id="19520">
    <w:p>
      <w:pPr>
        <w:pStyle w:val="FootnoteText"/>
      </w:pPr>
      <w:r>
        <w:rPr>
          <w:rStyle w:val="FootnoteReference"/>
        </w:rPr>
        <w:footnoteRef/>
      </w:r>
      <w:r>
        <w:t xml:space="preserve"> Cross-references for "a reed": Isa 28:17; Ezek 40:3-5.</w:t>
      </w:r>
    </w:p>
  </w:footnote>
  <w:footnote w:id="19521">
    <w:p>
      <w:pPr>
        <w:pStyle w:val="FootnoteText"/>
      </w:pPr>
      <w:r>
        <w:rPr>
          <w:rStyle w:val="FootnoteReference"/>
        </w:rPr>
        <w:footnoteRef/>
      </w:r>
      <w:r>
        <w:t xml:space="preserve"> Cross-references for "the court": Ezek 40:17-20; Ezek 42:20.</w:t>
      </w:r>
    </w:p>
  </w:footnote>
  <w:footnote w:id="19522">
    <w:p>
      <w:pPr>
        <w:pStyle w:val="FootnoteText"/>
      </w:pPr>
      <w:r>
        <w:rPr>
          <w:rStyle w:val="FootnoteReference"/>
        </w:rPr>
        <w:footnoteRef/>
      </w:r>
      <w:r>
        <w:t xml:space="preserve"> Cross-references for "I will give power": John 3:27; 1Cor 12:28.</w:t>
      </w:r>
    </w:p>
  </w:footnote>
  <w:footnote w:id="19523">
    <w:p>
      <w:pPr>
        <w:pStyle w:val="FootnoteText"/>
      </w:pPr>
      <w:r>
        <w:rPr>
          <w:rStyle w:val="FootnoteReference"/>
        </w:rPr>
        <w:footnoteRef/>
      </w:r>
      <w:r>
        <w:t xml:space="preserve"> Cross-references for "two olive": Ps 52:8; Jer 11:16.</w:t>
      </w:r>
    </w:p>
  </w:footnote>
  <w:footnote w:id="19524">
    <w:p>
      <w:pPr>
        <w:pStyle w:val="FootnoteText"/>
      </w:pPr>
      <w:r>
        <w:rPr>
          <w:rStyle w:val="FootnoteReference"/>
        </w:rPr>
        <w:footnoteRef/>
      </w:r>
      <w:r>
        <w:t xml:space="preserve"> Cross-references for "fire": Num 16:28-35; 2Kgs 1:10-12.</w:t>
      </w:r>
    </w:p>
  </w:footnote>
  <w:footnote w:id="19525">
    <w:p>
      <w:pPr>
        <w:pStyle w:val="FootnoteText"/>
      </w:pPr>
      <w:r>
        <w:rPr>
          <w:rStyle w:val="FootnoteReference"/>
        </w:rPr>
        <w:footnoteRef/>
      </w:r>
      <w:r>
        <w:t xml:space="preserve"> Cross-references for "the beast": Dan 7:21-22; Dan 7:25.</w:t>
      </w:r>
    </w:p>
  </w:footnote>
  <w:footnote w:id="19526">
    <w:p>
      <w:pPr>
        <w:pStyle w:val="FootnoteText"/>
      </w:pPr>
      <w:r>
        <w:rPr>
          <w:rStyle w:val="FootnoteReference"/>
        </w:rPr>
        <w:footnoteRef/>
      </w:r>
      <w:r>
        <w:t xml:space="preserve"> Cross-references for "their dead": Ps 79:2-3; Jer 26:23.</w:t>
      </w:r>
    </w:p>
  </w:footnote>
  <w:footnote w:id="19527">
    <w:p>
      <w:pPr>
        <w:pStyle w:val="FootnoteText"/>
      </w:pPr>
      <w:r>
        <w:rPr>
          <w:rStyle w:val="FootnoteReference"/>
        </w:rPr>
        <w:footnoteRef/>
      </w:r>
      <w:r>
        <w:t xml:space="preserve"> Cross-references for "three": Rev 11:2-3; Rev 11:11.</w:t>
      </w:r>
    </w:p>
  </w:footnote>
  <w:footnote w:id="19528">
    <w:p>
      <w:pPr>
        <w:pStyle w:val="FootnoteText"/>
      </w:pPr>
      <w:r>
        <w:rPr>
          <w:rStyle w:val="FootnoteReference"/>
        </w:rPr>
        <w:footnoteRef/>
      </w:r>
      <w:r>
        <w:t xml:space="preserve"> Cross-references for "dwell": Matt 10:22; Rev 12:13.</w:t>
      </w:r>
    </w:p>
  </w:footnote>
  <w:footnote w:id="19529">
    <w:p>
      <w:pPr>
        <w:pStyle w:val="FootnoteText"/>
      </w:pPr>
      <w:r>
        <w:rPr>
          <w:rStyle w:val="FootnoteReference"/>
        </w:rPr>
        <w:footnoteRef/>
      </w:r>
      <w:r>
        <w:t xml:space="preserve"> Cross-references for "three": Rev 11:9.</w:t>
      </w:r>
    </w:p>
  </w:footnote>
  <w:footnote w:id="19530">
    <w:p>
      <w:pPr>
        <w:pStyle w:val="FootnoteText"/>
      </w:pPr>
      <w:r>
        <w:rPr>
          <w:rStyle w:val="FootnoteReference"/>
        </w:rPr>
        <w:footnoteRef/>
      </w:r>
      <w:r>
        <w:t xml:space="preserve"> Cross-references for "and their": Exod 14:25; 2Kgs 2:1.</w:t>
      </w:r>
    </w:p>
  </w:footnote>
  <w:footnote w:id="19531">
    <w:p>
      <w:pPr>
        <w:pStyle w:val="FootnoteText"/>
      </w:pPr>
      <w:r>
        <w:rPr>
          <w:rStyle w:val="FootnoteReference"/>
        </w:rPr>
        <w:footnoteRef/>
      </w:r>
      <w:r>
        <w:t xml:space="preserve"> Cross-references for "was there": Rev 6:12; Rev 8:5.</w:t>
      </w:r>
    </w:p>
  </w:footnote>
  <w:footnote w:id="19532">
    <w:p>
      <w:pPr>
        <w:pStyle w:val="FootnoteText"/>
      </w:pPr>
      <w:r>
        <w:rPr>
          <w:rStyle w:val="FootnoteReference"/>
        </w:rPr>
        <w:footnoteRef/>
      </w:r>
      <w:r>
        <w:t xml:space="preserve"> Cross-references for "the seventh": Rev 8:2-6; Rev 8:12.</w:t>
      </w:r>
    </w:p>
  </w:footnote>
  <w:footnote w:id="19533">
    <w:p>
      <w:pPr>
        <w:pStyle w:val="FootnoteText"/>
      </w:pPr>
      <w:r>
        <w:rPr>
          <w:rStyle w:val="FootnoteReference"/>
        </w:rPr>
        <w:footnoteRef/>
      </w:r>
      <w:r>
        <w:t xml:space="preserve"> Cross-references for "We give": Dan 2:23; Dan 6:10.</w:t>
      </w:r>
    </w:p>
  </w:footnote>
  <w:footnote w:id="19534">
    <w:p>
      <w:pPr>
        <w:pStyle w:val="FootnoteText"/>
      </w:pPr>
      <w:r>
        <w:rPr>
          <w:rStyle w:val="FootnoteReference"/>
        </w:rPr>
        <w:footnoteRef/>
      </w:r>
      <w:r>
        <w:t xml:space="preserve"> Cross-references for "the nations": Ps 2:1-3; Isa 34:1-10.</w:t>
      </w:r>
    </w:p>
  </w:footnote>
  <w:footnote w:id="19535">
    <w:p>
      <w:pPr>
        <w:pStyle w:val="FootnoteText"/>
      </w:pPr>
      <w:r>
        <w:rPr>
          <w:rStyle w:val="FootnoteReference"/>
        </w:rPr>
        <w:footnoteRef/>
      </w:r>
      <w:r>
        <w:t xml:space="preserve"> Cross-references for "the temple": Isa 6:1-4; Rev 14:15-17.</w:t>
      </w:r>
    </w:p>
  </w:footnote>
  <w:footnote w:id="19536">
    <w:p>
      <w:pPr>
        <w:pStyle w:val="FootnoteText"/>
      </w:pPr>
      <w:r>
        <w:rPr>
          <w:rStyle w:val="FootnoteReference"/>
        </w:rPr>
        <w:footnoteRef/>
      </w:r>
      <w:r>
        <w:t xml:space="preserve"> Cross-references for "a woman": Isa 49:14-23; Isa 54:5-7.</w:t>
      </w:r>
    </w:p>
  </w:footnote>
  <w:footnote w:id="19537">
    <w:p>
      <w:pPr>
        <w:pStyle w:val="FootnoteText"/>
      </w:pPr>
      <w:r>
        <w:rPr>
          <w:rStyle w:val="FootnoteReference"/>
        </w:rPr>
        <w:footnoteRef/>
      </w:r>
      <w:r>
        <w:t xml:space="preserve"> Cross-references for "wonder": Rev 12:1.</w:t>
      </w:r>
    </w:p>
  </w:footnote>
  <w:footnote w:id="19538">
    <w:p>
      <w:pPr>
        <w:pStyle w:val="FootnoteText"/>
      </w:pPr>
      <w:r>
        <w:rPr>
          <w:rStyle w:val="FootnoteReference"/>
        </w:rPr>
        <w:footnoteRef/>
      </w:r>
      <w:r>
        <w:t xml:space="preserve"> Cross-references for "his tail": Dan 8:9-12; Rev 9:10.</w:t>
      </w:r>
    </w:p>
  </w:footnote>
  <w:footnote w:id="19539">
    <w:p>
      <w:pPr>
        <w:pStyle w:val="FootnoteText"/>
      </w:pPr>
      <w:r>
        <w:rPr>
          <w:rStyle w:val="FootnoteReference"/>
        </w:rPr>
        <w:footnoteRef/>
      </w:r>
      <w:r>
        <w:t xml:space="preserve"> Cross-references for "rule": Ps 2:9-10; Rev 2:26-27.</w:t>
      </w:r>
    </w:p>
  </w:footnote>
  <w:footnote w:id="19540">
    <w:p>
      <w:pPr>
        <w:pStyle w:val="FootnoteText"/>
      </w:pPr>
      <w:r>
        <w:rPr>
          <w:rStyle w:val="FootnoteReference"/>
        </w:rPr>
        <w:footnoteRef/>
      </w:r>
      <w:r>
        <w:t xml:space="preserve"> Cross-references for "the woman": Rev 12:4; Rev 12:14.</w:t>
      </w:r>
    </w:p>
  </w:footnote>
  <w:footnote w:id="19541">
    <w:p>
      <w:pPr>
        <w:pStyle w:val="FootnoteText"/>
      </w:pPr>
      <w:r>
        <w:rPr>
          <w:rStyle w:val="FootnoteReference"/>
        </w:rPr>
        <w:footnoteRef/>
      </w:r>
      <w:r>
        <w:t xml:space="preserve"> Cross-references for "Michael": Isa 55:4; Dan 10:13.</w:t>
      </w:r>
    </w:p>
  </w:footnote>
  <w:footnote w:id="19542">
    <w:p>
      <w:pPr>
        <w:pStyle w:val="FootnoteText"/>
      </w:pPr>
      <w:r>
        <w:rPr>
          <w:rStyle w:val="FootnoteReference"/>
        </w:rPr>
        <w:footnoteRef/>
      </w:r>
      <w:r>
        <w:t xml:space="preserve"> Cross-references for "did not prevail": Ps 13:4; Ps 118:10-13.</w:t>
      </w:r>
    </w:p>
  </w:footnote>
  <w:footnote w:id="19543">
    <w:p>
      <w:pPr>
        <w:pStyle w:val="FootnoteText"/>
      </w:pPr>
      <w:r>
        <w:rPr>
          <w:rStyle w:val="FootnoteReference"/>
        </w:rPr>
        <w:footnoteRef/>
      </w:r>
      <w:r>
        <w:t xml:space="preserve"> Cross-references for "the great": Luke 10:18; John 12:31.</w:t>
      </w:r>
    </w:p>
  </w:footnote>
  <w:footnote w:id="19544">
    <w:p>
      <w:pPr>
        <w:pStyle w:val="FootnoteText"/>
      </w:pPr>
      <w:r>
        <w:rPr>
          <w:rStyle w:val="FootnoteReference"/>
        </w:rPr>
        <w:footnoteRef/>
      </w:r>
      <w:r>
        <w:t xml:space="preserve"> Cross-references for "I heard": Rev 11:15; Rev 19:1-7.</w:t>
      </w:r>
    </w:p>
  </w:footnote>
  <w:footnote w:id="19545">
    <w:p>
      <w:pPr>
        <w:pStyle w:val="FootnoteText"/>
      </w:pPr>
      <w:r>
        <w:rPr>
          <w:rStyle w:val="FootnoteReference"/>
        </w:rPr>
        <w:footnoteRef/>
      </w:r>
      <w:r>
        <w:t xml:space="preserve"> Cross-references for "they overcame": John 16:33; Rom 8:33-39.</w:t>
      </w:r>
    </w:p>
  </w:footnote>
  <w:footnote w:id="19546">
    <w:p>
      <w:pPr>
        <w:pStyle w:val="FootnoteText"/>
      </w:pPr>
      <w:r>
        <w:rPr>
          <w:rStyle w:val="FootnoteReference"/>
        </w:rPr>
        <w:footnoteRef/>
      </w:r>
      <w:r>
        <w:t xml:space="preserve"> Cross-references for "rejoice": Ps 96:11-13; Ps 148:1-4.</w:t>
      </w:r>
    </w:p>
  </w:footnote>
  <w:footnote w:id="19547">
    <w:p>
      <w:pPr>
        <w:pStyle w:val="FootnoteText"/>
      </w:pPr>
      <w:r>
        <w:rPr>
          <w:rStyle w:val="FootnoteReference"/>
        </w:rPr>
        <w:footnoteRef/>
      </w:r>
      <w:r>
        <w:t xml:space="preserve"> Cross-references for "she might": Rev 12:6; Rev 17:3.</w:t>
      </w:r>
    </w:p>
  </w:footnote>
  <w:footnote w:id="19548">
    <w:p>
      <w:pPr>
        <w:pStyle w:val="FootnoteText"/>
      </w:pPr>
      <w:r>
        <w:rPr>
          <w:rStyle w:val="FootnoteReference"/>
        </w:rPr>
        <w:footnoteRef/>
      </w:r>
      <w:r>
        <w:t xml:space="preserve"> Cross-references for "cast": Ps 18:4; Ps 65:7.</w:t>
      </w:r>
    </w:p>
  </w:footnote>
  <w:footnote w:id="19549">
    <w:p>
      <w:pPr>
        <w:pStyle w:val="FootnoteText"/>
      </w:pPr>
      <w:r>
        <w:rPr>
          <w:rStyle w:val="FootnoteReference"/>
        </w:rPr>
        <w:footnoteRef/>
      </w:r>
      <w:r>
        <w:t xml:space="preserve"> Cross-references for "the dragon": John 8:44; 1Pet 5:8.</w:t>
      </w:r>
    </w:p>
  </w:footnote>
  <w:footnote w:id="19550">
    <w:p>
      <w:pPr>
        <w:pStyle w:val="FootnoteText"/>
      </w:pPr>
      <w:r>
        <w:rPr>
          <w:rStyle w:val="FootnoteReference"/>
        </w:rPr>
        <w:footnoteRef/>
      </w:r>
      <w:r>
        <w:t xml:space="preserve"> Cross-references for "upon": Jer 5:22.</w:t>
      </w:r>
    </w:p>
  </w:footnote>
  <w:footnote w:id="19551">
    <w:p>
      <w:pPr>
        <w:pStyle w:val="FootnoteText"/>
      </w:pPr>
      <w:r>
        <w:rPr>
          <w:rStyle w:val="FootnoteReference"/>
        </w:rPr>
        <w:footnoteRef/>
      </w:r>
      <w:r>
        <w:t xml:space="preserve"> Cross-references for "was like": Jer 5:6; Jer 13:23.</w:t>
      </w:r>
    </w:p>
  </w:footnote>
  <w:footnote w:id="19552">
    <w:p>
      <w:pPr>
        <w:pStyle w:val="FootnoteText"/>
      </w:pPr>
      <w:r>
        <w:rPr>
          <w:rStyle w:val="FootnoteReference"/>
        </w:rPr>
        <w:footnoteRef/>
      </w:r>
      <w:r>
        <w:t xml:space="preserve"> Cross-references for "Who is like": Rev 18:18.</w:t>
      </w:r>
    </w:p>
  </w:footnote>
  <w:footnote w:id="19553">
    <w:p>
      <w:pPr>
        <w:pStyle w:val="FootnoteText"/>
      </w:pPr>
      <w:r>
        <w:rPr>
          <w:rStyle w:val="FootnoteReference"/>
        </w:rPr>
        <w:footnoteRef/>
      </w:r>
      <w:r>
        <w:t xml:space="preserve"> Cross-references for "a mouth": Dan 7:8; Dan 7:11.</w:t>
      </w:r>
    </w:p>
  </w:footnote>
  <w:footnote w:id="19554">
    <w:p>
      <w:pPr>
        <w:pStyle w:val="FootnoteText"/>
      </w:pPr>
      <w:r>
        <w:rPr>
          <w:rStyle w:val="FootnoteReference"/>
        </w:rPr>
        <w:footnoteRef/>
      </w:r>
      <w:r>
        <w:t xml:space="preserve"> Cross-references for "he opened": Job 3:1; Matt 12:34.</w:t>
      </w:r>
    </w:p>
  </w:footnote>
  <w:footnote w:id="19555">
    <w:p>
      <w:pPr>
        <w:pStyle w:val="FootnoteText"/>
      </w:pPr>
      <w:r>
        <w:rPr>
          <w:rStyle w:val="FootnoteReference"/>
        </w:rPr>
        <w:footnoteRef/>
      </w:r>
      <w:r>
        <w:t xml:space="preserve"> Cross-references for "to make": Dan 7:21; Dan 7:25.</w:t>
      </w:r>
    </w:p>
  </w:footnote>
  <w:footnote w:id="19556">
    <w:p>
      <w:pPr>
        <w:pStyle w:val="FootnoteText"/>
      </w:pPr>
      <w:r>
        <w:rPr>
          <w:rStyle w:val="FootnoteReference"/>
        </w:rPr>
        <w:footnoteRef/>
      </w:r>
      <w:r>
        <w:t xml:space="preserve"> Cross-references for "Lamb": John 1:29; Rev 5:6-9.</w:t>
      </w:r>
    </w:p>
  </w:footnote>
  <w:footnote w:id="19557">
    <w:p>
      <w:pPr>
        <w:pStyle w:val="FootnoteText"/>
      </w:pPr>
      <w:r>
        <w:rPr>
          <w:rStyle w:val="FootnoteReference"/>
        </w:rPr>
        <w:footnoteRef/>
      </w:r>
      <w:r>
        <w:t xml:space="preserve"> Cross-references for "Here": Lam 3:26; Hab 2:3.</w:t>
      </w:r>
    </w:p>
  </w:footnote>
  <w:footnote w:id="19558">
    <w:p>
      <w:pPr>
        <w:pStyle w:val="FootnoteText"/>
      </w:pPr>
      <w:r>
        <w:rPr>
          <w:rStyle w:val="FootnoteReference"/>
        </w:rPr>
        <w:footnoteRef/>
      </w:r>
      <w:r>
        <w:t xml:space="preserve"> Cross-references for "and he had": Matt 7:15; Rom 16:18.</w:t>
      </w:r>
    </w:p>
  </w:footnote>
  <w:footnote w:id="19559">
    <w:p>
      <w:pPr>
        <w:pStyle w:val="FootnoteText"/>
      </w:pPr>
      <w:r>
        <w:rPr>
          <w:rStyle w:val="FootnoteReference"/>
        </w:rPr>
        <w:footnoteRef/>
      </w:r>
      <w:r>
        <w:t xml:space="preserve"> Cross-references for "dwell": Rev 13:3; Rev 13:8.</w:t>
      </w:r>
    </w:p>
  </w:footnote>
  <w:footnote w:id="19560">
    <w:p>
      <w:pPr>
        <w:pStyle w:val="FootnoteText"/>
      </w:pPr>
      <w:r>
        <w:rPr>
          <w:rStyle w:val="FootnoteReference"/>
        </w:rPr>
        <w:footnoteRef/>
      </w:r>
      <w:r>
        <w:t xml:space="preserve"> Cross-references for "life": Gen 2:7; Ps 135:17.</w:t>
      </w:r>
    </w:p>
  </w:footnote>
  <w:footnote w:id="19561">
    <w:p>
      <w:pPr>
        <w:pStyle w:val="FootnoteText"/>
      </w:pPr>
      <w:r>
        <w:rPr>
          <w:rStyle w:val="FootnoteReference"/>
        </w:rPr>
        <w:footnoteRef/>
      </w:r>
      <w:r>
        <w:t xml:space="preserve"> Cross-references for "both": 2Chr 15:13; Ps 115:13.</w:t>
      </w:r>
    </w:p>
  </w:footnote>
  <w:footnote w:id="19562">
    <w:p>
      <w:pPr>
        <w:pStyle w:val="FootnoteText"/>
      </w:pPr>
      <w:r>
        <w:rPr>
          <w:rStyle w:val="FootnoteReference"/>
        </w:rPr>
        <w:footnoteRef/>
      </w:r>
      <w:r>
        <w:t xml:space="preserve"> Cross-references for "mark": Rev 13:16.</w:t>
      </w:r>
    </w:p>
  </w:footnote>
  <w:footnote w:id="19563">
    <w:p>
      <w:pPr>
        <w:pStyle w:val="FootnoteText"/>
      </w:pPr>
      <w:r>
        <w:rPr>
          <w:rStyle w:val="FootnoteReference"/>
        </w:rPr>
        <w:footnoteRef/>
      </w:r>
      <w:r>
        <w:t xml:space="preserve"> Cross-references for "Here": Ps 107:43; Dan 12:10.</w:t>
      </w:r>
    </w:p>
  </w:footnote>
  <w:footnote w:id="19564">
    <w:p>
      <w:pPr>
        <w:pStyle w:val="FootnoteText"/>
      </w:pPr>
      <w:r>
        <w:rPr>
          <w:rStyle w:val="FootnoteReference"/>
        </w:rPr>
        <w:footnoteRef/>
      </w:r>
      <w:r>
        <w:t xml:space="preserve"> Cross-references for "I looked": Jer 1:11; Ezek 1:4.</w:t>
      </w:r>
    </w:p>
  </w:footnote>
  <w:footnote w:id="19565">
    <w:p>
      <w:pPr>
        <w:pStyle w:val="FootnoteText"/>
      </w:pPr>
      <w:r>
        <w:rPr>
          <w:rStyle w:val="FootnoteReference"/>
        </w:rPr>
        <w:footnoteRef/>
      </w:r>
      <w:r>
        <w:t xml:space="preserve"> Cross-references for "a voice": Rev 10:4; Rev 11:12.</w:t>
      </w:r>
    </w:p>
  </w:footnote>
  <w:footnote w:id="19566">
    <w:p>
      <w:pPr>
        <w:pStyle w:val="FootnoteText"/>
      </w:pPr>
      <w:r>
        <w:rPr>
          <w:rStyle w:val="FootnoteReference"/>
        </w:rPr>
        <w:footnoteRef/>
      </w:r>
      <w:r>
        <w:t xml:space="preserve"> Cross-references for "throne": Rev 4:2-11.</w:t>
      </w:r>
    </w:p>
  </w:footnote>
  <w:footnote w:id="19567">
    <w:p>
      <w:pPr>
        <w:pStyle w:val="FootnoteText"/>
      </w:pPr>
      <w:r>
        <w:rPr>
          <w:rStyle w:val="FootnoteReference"/>
        </w:rPr>
        <w:footnoteRef/>
      </w:r>
      <w:r>
        <w:t xml:space="preserve"> Cross-references for "These were": Rev 5:9.</w:t>
      </w:r>
    </w:p>
  </w:footnote>
  <w:footnote w:id="19568">
    <w:p>
      <w:pPr>
        <w:pStyle w:val="FootnoteText"/>
      </w:pPr>
      <w:r>
        <w:rPr>
          <w:rStyle w:val="FootnoteReference"/>
        </w:rPr>
        <w:footnoteRef/>
      </w:r>
      <w:r>
        <w:t xml:space="preserve"> Cross-references for "another": Isa 6:2; Isa 6:6-7.</w:t>
      </w:r>
    </w:p>
  </w:footnote>
  <w:footnote w:id="19569">
    <w:p>
      <w:pPr>
        <w:pStyle w:val="FootnoteText"/>
      </w:pPr>
      <w:r>
        <w:rPr>
          <w:rStyle w:val="FootnoteReference"/>
        </w:rPr>
        <w:footnoteRef/>
      </w:r>
      <w:r>
        <w:t xml:space="preserve"> Cross-references for "Fear": Gen 22:12; Ps 36:1.</w:t>
      </w:r>
    </w:p>
  </w:footnote>
  <w:footnote w:id="19570">
    <w:p>
      <w:pPr>
        <w:pStyle w:val="FootnoteText"/>
      </w:pPr>
      <w:r>
        <w:rPr>
          <w:rStyle w:val="FootnoteReference"/>
        </w:rPr>
        <w:footnoteRef/>
      </w:r>
      <w:r>
        <w:t xml:space="preserve"> Cross-references for "Babylon": Isa 21:9; Jer 51:7-8.</w:t>
      </w:r>
    </w:p>
  </w:footnote>
  <w:footnote w:id="19571">
    <w:p>
      <w:pPr>
        <w:pStyle w:val="FootnoteText"/>
      </w:pPr>
      <w:r>
        <w:rPr>
          <w:rStyle w:val="FootnoteReference"/>
        </w:rPr>
        <w:footnoteRef/>
      </w:r>
      <w:r>
        <w:t xml:space="preserve"> Cross-references for "the third": Jer 44:4; Rev 14:6-8.</w:t>
      </w:r>
    </w:p>
  </w:footnote>
  <w:footnote w:id="19572">
    <w:p>
      <w:pPr>
        <w:pStyle w:val="FootnoteText"/>
      </w:pPr>
      <w:r>
        <w:rPr>
          <w:rStyle w:val="FootnoteReference"/>
        </w:rPr>
        <w:footnoteRef/>
      </w:r>
      <w:r>
        <w:t xml:space="preserve"> Cross-references for "drink": Job 21:20; Ps 11:6.</w:t>
      </w:r>
    </w:p>
  </w:footnote>
  <w:footnote w:id="19573">
    <w:p>
      <w:pPr>
        <w:pStyle w:val="FootnoteText"/>
      </w:pPr>
      <w:r>
        <w:rPr>
          <w:rStyle w:val="FootnoteReference"/>
        </w:rPr>
        <w:footnoteRef/>
      </w:r>
      <w:r>
        <w:t xml:space="preserve"> Cross-references for "smoke": Gen 19:28; Isa 33:14.</w:t>
      </w:r>
    </w:p>
  </w:footnote>
  <w:footnote w:id="19574">
    <w:p>
      <w:pPr>
        <w:pStyle w:val="FootnoteText"/>
      </w:pPr>
      <w:r>
        <w:rPr>
          <w:rStyle w:val="FootnoteReference"/>
        </w:rPr>
        <w:footnoteRef/>
      </w:r>
      <w:r>
        <w:t xml:space="preserve"> Cross-references for "here are": Rev 12:17.</w:t>
      </w:r>
    </w:p>
  </w:footnote>
  <w:footnote w:id="19575">
    <w:p>
      <w:pPr>
        <w:pStyle w:val="FootnoteText"/>
      </w:pPr>
      <w:r>
        <w:rPr>
          <w:rStyle w:val="FootnoteReference"/>
        </w:rPr>
        <w:footnoteRef/>
      </w:r>
      <w:r>
        <w:t xml:space="preserve"> Cross-references for "a voice": Matt 3:17; Rev 11:15.</w:t>
      </w:r>
    </w:p>
  </w:footnote>
  <w:footnote w:id="19576">
    <w:p>
      <w:pPr>
        <w:pStyle w:val="FootnoteText"/>
      </w:pPr>
      <w:r>
        <w:rPr>
          <w:rStyle w:val="FootnoteReference"/>
        </w:rPr>
        <w:footnoteRef/>
      </w:r>
      <w:r>
        <w:t xml:space="preserve"> Cross-references for "a golden": Ps 21:3; Heb 2:9.</w:t>
      </w:r>
    </w:p>
  </w:footnote>
  <w:footnote w:id="19577">
    <w:p>
      <w:pPr>
        <w:pStyle w:val="FootnoteText"/>
      </w:pPr>
      <w:r>
        <w:rPr>
          <w:rStyle w:val="FootnoteReference"/>
        </w:rPr>
        <w:footnoteRef/>
      </w:r>
      <w:r>
        <w:t xml:space="preserve"> Cross-references for "crying": Isa 62:1; Isa 62:6-7.</w:t>
      </w:r>
    </w:p>
  </w:footnote>
  <w:footnote w:id="19578">
    <w:p>
      <w:pPr>
        <w:pStyle w:val="FootnoteText"/>
      </w:pPr>
      <w:r>
        <w:rPr>
          <w:rStyle w:val="FootnoteReference"/>
        </w:rPr>
        <w:footnoteRef/>
      </w:r>
      <w:r>
        <w:t xml:space="preserve"> Cross-references for "thrust": Rev 14:19; Rev 16:1-21.</w:t>
      </w:r>
    </w:p>
  </w:footnote>
  <w:footnote w:id="19579">
    <w:p>
      <w:pPr>
        <w:pStyle w:val="FootnoteText"/>
      </w:pPr>
      <w:r>
        <w:rPr>
          <w:rStyle w:val="FootnoteReference"/>
        </w:rPr>
        <w:footnoteRef/>
      </w:r>
      <w:r>
        <w:t xml:space="preserve"> Cross-references for "and cried": Rev 14:15-16.</w:t>
      </w:r>
    </w:p>
  </w:footnote>
  <w:footnote w:id="19580">
    <w:p>
      <w:pPr>
        <w:pStyle w:val="FootnoteText"/>
      </w:pPr>
      <w:r>
        <w:rPr>
          <w:rStyle w:val="FootnoteReference"/>
        </w:rPr>
        <w:footnoteRef/>
      </w:r>
      <w:r>
        <w:t xml:space="preserve"> Cross-references for "and cast": Deut 32:32-33; Rev 19:15-21.</w:t>
      </w:r>
    </w:p>
  </w:footnote>
  <w:footnote w:id="19581">
    <w:p>
      <w:pPr>
        <w:pStyle w:val="FootnoteText"/>
      </w:pPr>
      <w:r>
        <w:rPr>
          <w:rStyle w:val="FootnoteReference"/>
        </w:rPr>
        <w:footnoteRef/>
      </w:r>
      <w:r>
        <w:t xml:space="preserve"> Cross-references for "the winepress": Isa 63:1-3; Lam 1:15.</w:t>
      </w:r>
    </w:p>
  </w:footnote>
  <w:footnote w:id="19582">
    <w:p>
      <w:pPr>
        <w:pStyle w:val="FootnoteText"/>
      </w:pPr>
      <w:r>
        <w:rPr>
          <w:rStyle w:val="FootnoteReference"/>
        </w:rPr>
        <w:footnoteRef/>
      </w:r>
      <w:r>
        <w:t xml:space="preserve"> Cross-references for "I saw": Dan 4:2-3; Dan 6:27.</w:t>
      </w:r>
    </w:p>
  </w:footnote>
  <w:footnote w:id="19583">
    <w:p>
      <w:pPr>
        <w:pStyle w:val="FootnoteText"/>
      </w:pPr>
      <w:r>
        <w:rPr>
          <w:rStyle w:val="FootnoteReference"/>
        </w:rPr>
        <w:footnoteRef/>
      </w:r>
      <w:r>
        <w:t xml:space="preserve"> Cross-references for "a sea": Rev 4:6; Rev 21:18.</w:t>
      </w:r>
    </w:p>
  </w:footnote>
  <w:footnote w:id="19584">
    <w:p>
      <w:pPr>
        <w:pStyle w:val="FootnoteText"/>
      </w:pPr>
      <w:r>
        <w:rPr>
          <w:rStyle w:val="FootnoteReference"/>
        </w:rPr>
        <w:footnoteRef/>
      </w:r>
      <w:r>
        <w:t xml:space="preserve"> Cross-references for "sing the song": Exod 15:1-18; Deut 31:30.</w:t>
      </w:r>
    </w:p>
  </w:footnote>
  <w:footnote w:id="19585">
    <w:p>
      <w:pPr>
        <w:pStyle w:val="FootnoteText"/>
      </w:pPr>
      <w:r>
        <w:rPr>
          <w:rStyle w:val="FootnoteReference"/>
        </w:rPr>
        <w:footnoteRef/>
      </w:r>
      <w:r>
        <w:t xml:space="preserve"> Translation note: Greek reads basileus ton hagion in this source form. The draft keeps holy ones rather than saints so the genitive phrase remains transparent.</w:t>
      </w:r>
    </w:p>
  </w:footnote>
  <w:footnote w:id="19586">
    <w:p>
      <w:pPr>
        <w:pStyle w:val="FootnoteText"/>
      </w:pPr>
      <w:r>
        <w:rPr>
          <w:rStyle w:val="FootnoteReference"/>
        </w:rPr>
        <w:footnoteRef/>
      </w:r>
      <w:r>
        <w:t xml:space="preserve"> Cross-references for "and glorify": Ps 22:23; Ps 86:9.</w:t>
      </w:r>
    </w:p>
  </w:footnote>
  <w:footnote w:id="19587">
    <w:p>
      <w:pPr>
        <w:pStyle w:val="FootnoteText"/>
      </w:pPr>
      <w:r>
        <w:rPr>
          <w:rStyle w:val="FootnoteReference"/>
        </w:rPr>
        <w:footnoteRef/>
      </w:r>
      <w:r>
        <w:t xml:space="preserve"> Cross-references for "the seven angels": Rev 15:1.</w:t>
      </w:r>
    </w:p>
  </w:footnote>
  <w:footnote w:id="19588">
    <w:p>
      <w:pPr>
        <w:pStyle w:val="FootnoteText"/>
      </w:pPr>
      <w:r>
        <w:rPr>
          <w:rStyle w:val="FootnoteReference"/>
        </w:rPr>
        <w:footnoteRef/>
      </w:r>
      <w:r>
        <w:t xml:space="preserve"> Cross-references for "seven": Ps 75:8; Jer 25:15.</w:t>
      </w:r>
    </w:p>
  </w:footnote>
  <w:footnote w:id="19589">
    <w:p>
      <w:pPr>
        <w:pStyle w:val="FootnoteText"/>
      </w:pPr>
      <w:r>
        <w:rPr>
          <w:rStyle w:val="FootnoteReference"/>
        </w:rPr>
        <w:footnoteRef/>
      </w:r>
      <w:r>
        <w:t xml:space="preserve"> Cross-references for "from the": Ps 29:9; 2Thess 1:9.</w:t>
      </w:r>
    </w:p>
  </w:footnote>
  <w:footnote w:id="19590">
    <w:p>
      <w:pPr>
        <w:pStyle w:val="FootnoteText"/>
      </w:pPr>
      <w:r>
        <w:rPr>
          <w:rStyle w:val="FootnoteReference"/>
        </w:rPr>
        <w:footnoteRef/>
      </w:r>
      <w:r>
        <w:t xml:space="preserve"> Cross-references for "I heard": Rev 14:15; Rev 14:18.</w:t>
      </w:r>
    </w:p>
  </w:footnote>
  <w:footnote w:id="19591">
    <w:p>
      <w:pPr>
        <w:pStyle w:val="FootnoteText"/>
      </w:pPr>
      <w:r>
        <w:rPr>
          <w:rStyle w:val="FootnoteReference"/>
        </w:rPr>
        <w:footnoteRef/>
      </w:r>
      <w:r>
        <w:t xml:space="preserve"> Cross-references for "upon the earth": Rev 8:7; Rev 14:16.</w:t>
      </w:r>
    </w:p>
  </w:footnote>
  <w:footnote w:id="19592">
    <w:p>
      <w:pPr>
        <w:pStyle w:val="FootnoteText"/>
      </w:pPr>
      <w:r>
        <w:rPr>
          <w:rStyle w:val="FootnoteReference"/>
        </w:rPr>
        <w:footnoteRef/>
      </w:r>
      <w:r>
        <w:t xml:space="preserve"> Cross-references for "upon": Rev 8:8; Rev 10:2.</w:t>
      </w:r>
    </w:p>
  </w:footnote>
  <w:footnote w:id="19593">
    <w:p>
      <w:pPr>
        <w:pStyle w:val="FootnoteText"/>
      </w:pPr>
      <w:r>
        <w:rPr>
          <w:rStyle w:val="FootnoteReference"/>
        </w:rPr>
        <w:footnoteRef/>
      </w:r>
      <w:r>
        <w:t xml:space="preserve"> Cross-references for "upon": Rev 8:10-11.</w:t>
      </w:r>
    </w:p>
  </w:footnote>
  <w:footnote w:id="19594">
    <w:p>
      <w:pPr>
        <w:pStyle w:val="FootnoteText"/>
      </w:pPr>
      <w:r>
        <w:rPr>
          <w:rStyle w:val="FootnoteReference"/>
        </w:rPr>
        <w:footnoteRef/>
      </w:r>
      <w:r>
        <w:t xml:space="preserve"> Cross-references for "the angel": Rev 16:4.</w:t>
      </w:r>
    </w:p>
  </w:footnote>
  <w:footnote w:id="19595">
    <w:p>
      <w:pPr>
        <w:pStyle w:val="FootnoteText"/>
      </w:pPr>
      <w:r>
        <w:rPr>
          <w:rStyle w:val="FootnoteReference"/>
        </w:rPr>
        <w:footnoteRef/>
      </w:r>
      <w:r>
        <w:t xml:space="preserve"> Cross-references for "they have": Deut 32:42-43; 2Kgs 24:4.</w:t>
      </w:r>
    </w:p>
  </w:footnote>
  <w:footnote w:id="19596">
    <w:p>
      <w:pPr>
        <w:pStyle w:val="FootnoteText"/>
      </w:pPr>
      <w:r>
        <w:rPr>
          <w:rStyle w:val="FootnoteReference"/>
        </w:rPr>
        <w:footnoteRef/>
      </w:r>
      <w:r>
        <w:t xml:space="preserve"> Cross-references for "true": Rev 13:10; Rev 14:10.</w:t>
      </w:r>
    </w:p>
  </w:footnote>
  <w:footnote w:id="19597">
    <w:p>
      <w:pPr>
        <w:pStyle w:val="FootnoteText"/>
      </w:pPr>
      <w:r>
        <w:rPr>
          <w:rStyle w:val="FootnoteReference"/>
        </w:rPr>
        <w:footnoteRef/>
      </w:r>
      <w:r>
        <w:t xml:space="preserve"> Cross-references for "upon": Isa 24:23; Luke 21:25.</w:t>
      </w:r>
    </w:p>
  </w:footnote>
  <w:footnote w:id="19598">
    <w:p>
      <w:pPr>
        <w:pStyle w:val="FootnoteText"/>
      </w:pPr>
      <w:r>
        <w:rPr>
          <w:rStyle w:val="FootnoteReference"/>
        </w:rPr>
        <w:footnoteRef/>
      </w:r>
      <w:r>
        <w:t xml:space="preserve"> Cross-references for "blasphemed": 2Kgs 6:33; 2Chr 28:22.</w:t>
      </w:r>
    </w:p>
  </w:footnote>
  <w:footnote w:id="19599">
    <w:p>
      <w:pPr>
        <w:pStyle w:val="FootnoteText"/>
      </w:pPr>
      <w:r>
        <w:rPr>
          <w:rStyle w:val="FootnoteReference"/>
        </w:rPr>
        <w:footnoteRef/>
      </w:r>
      <w:r>
        <w:t xml:space="preserve"> Cross-references for "upon": Rev 11:2; Rev 11:8.</w:t>
      </w:r>
    </w:p>
  </w:footnote>
  <w:footnote w:id="19600">
    <w:p>
      <w:pPr>
        <w:pStyle w:val="FootnoteText"/>
      </w:pPr>
      <w:r>
        <w:rPr>
          <w:rStyle w:val="FootnoteReference"/>
        </w:rPr>
        <w:footnoteRef/>
      </w:r>
      <w:r>
        <w:t xml:space="preserve"> Cross-references for "blasphemed": Rev 16:9; Rev 16:21.</w:t>
      </w:r>
    </w:p>
  </w:footnote>
  <w:footnote w:id="19601">
    <w:p>
      <w:pPr>
        <w:pStyle w:val="FootnoteText"/>
      </w:pPr>
      <w:r>
        <w:rPr>
          <w:rStyle w:val="FootnoteReference"/>
        </w:rPr>
        <w:footnoteRef/>
      </w:r>
      <w:r>
        <w:t xml:space="preserve"> Cross-references for "upon": Isa 8:7; Rev 9:14.</w:t>
      </w:r>
    </w:p>
  </w:footnote>
  <w:footnote w:id="19602">
    <w:p>
      <w:pPr>
        <w:pStyle w:val="FootnoteText"/>
      </w:pPr>
      <w:r>
        <w:rPr>
          <w:rStyle w:val="FootnoteReference"/>
        </w:rPr>
        <w:footnoteRef/>
      </w:r>
      <w:r>
        <w:t xml:space="preserve"> Cross-references for "three": 2Thess 2:9-11; 1Tim 4:1-3.</w:t>
      </w:r>
    </w:p>
  </w:footnote>
  <w:footnote w:id="19603">
    <w:p>
      <w:pPr>
        <w:pStyle w:val="FootnoteText"/>
      </w:pPr>
      <w:r>
        <w:rPr>
          <w:rStyle w:val="FootnoteReference"/>
        </w:rPr>
        <w:footnoteRef/>
      </w:r>
      <w:r>
        <w:t xml:space="preserve"> Cross-references for "the spirits": 1Kgs 22:19-23; 2Chr 18:18-22.</w:t>
      </w:r>
    </w:p>
  </w:footnote>
  <w:footnote w:id="19604">
    <w:p>
      <w:pPr>
        <w:pStyle w:val="FootnoteText"/>
      </w:pPr>
      <w:r>
        <w:rPr>
          <w:rStyle w:val="FootnoteReference"/>
        </w:rPr>
        <w:footnoteRef/>
      </w:r>
      <w:r>
        <w:t xml:space="preserve"> Cross-references for "I come": Matt 24:43; 1Thess 5:2-3.</w:t>
      </w:r>
    </w:p>
  </w:footnote>
  <w:footnote w:id="19605">
    <w:p>
      <w:pPr>
        <w:pStyle w:val="FootnoteText"/>
      </w:pPr>
      <w:r>
        <w:rPr>
          <w:rStyle w:val="FootnoteReference"/>
        </w:rPr>
        <w:footnoteRef/>
      </w:r>
      <w:r>
        <w:t xml:space="preserve"> Place name: Armageddon. Place-name meaning: Armageddon — hill of fruits; mountain of Megiddo. Source form: Armageddon. Greek form: αρμαγεδδων.</w:t>
      </w:r>
    </w:p>
  </w:footnote>
  <w:footnote w:id="19606">
    <w:p>
      <w:pPr>
        <w:pStyle w:val="FootnoteText"/>
      </w:pPr>
      <w:r>
        <w:rPr>
          <w:rStyle w:val="FootnoteReference"/>
        </w:rPr>
        <w:footnoteRef/>
      </w:r>
      <w:r>
        <w:t xml:space="preserve"> Cross-references for "Armageddon": Judg 5:19; 2Kgs 23:29-30.</w:t>
      </w:r>
    </w:p>
  </w:footnote>
  <w:footnote w:id="19607">
    <w:p>
      <w:pPr>
        <w:pStyle w:val="FootnoteText"/>
      </w:pPr>
      <w:r>
        <w:rPr>
          <w:rStyle w:val="FootnoteReference"/>
        </w:rPr>
        <w:footnoteRef/>
      </w:r>
      <w:r>
        <w:t xml:space="preserve"> Cross-references for "the great": Rev 14:8; Rev 17:18.</w:t>
      </w:r>
    </w:p>
  </w:footnote>
  <w:footnote w:id="19608">
    <w:p>
      <w:pPr>
        <w:pStyle w:val="FootnoteText"/>
      </w:pPr>
      <w:r>
        <w:rPr>
          <w:rStyle w:val="FootnoteReference"/>
        </w:rPr>
        <w:footnoteRef/>
      </w:r>
      <w:r>
        <w:t xml:space="preserve"> Cross-references for "there fell": Exod 9:23-26; Josh 10:11.</w:t>
      </w:r>
    </w:p>
  </w:footnote>
  <w:footnote w:id="19609">
    <w:p>
      <w:pPr>
        <w:pStyle w:val="FootnoteText"/>
      </w:pPr>
      <w:r>
        <w:rPr>
          <w:rStyle w:val="FootnoteReference"/>
        </w:rPr>
        <w:footnoteRef/>
      </w:r>
      <w:r>
        <w:t xml:space="preserve"> Cross-references for "talked": Luke 9:30; Luke 24:32.</w:t>
      </w:r>
    </w:p>
  </w:footnote>
  <w:footnote w:id="19610">
    <w:p>
      <w:pPr>
        <w:pStyle w:val="FootnoteText"/>
      </w:pPr>
      <w:r>
        <w:rPr>
          <w:rStyle w:val="FootnoteReference"/>
        </w:rPr>
        <w:footnoteRef/>
      </w:r>
      <w:r>
        <w:t xml:space="preserve"> Cross-references for "he carried": 1Kgs 18:12; 2Kgs 2:16.</w:t>
      </w:r>
    </w:p>
  </w:footnote>
  <w:footnote w:id="19611">
    <w:p>
      <w:pPr>
        <w:pStyle w:val="FootnoteText"/>
      </w:pPr>
      <w:r>
        <w:rPr>
          <w:rStyle w:val="FootnoteReference"/>
        </w:rPr>
        <w:footnoteRef/>
      </w:r>
      <w:r>
        <w:t xml:space="preserve"> Cross-references for "arrayed": Rev 18:7; Rev 18:12.</w:t>
      </w:r>
    </w:p>
  </w:footnote>
  <w:footnote w:id="19612">
    <w:p>
      <w:pPr>
        <w:pStyle w:val="FootnoteText"/>
      </w:pPr>
      <w:r>
        <w:rPr>
          <w:rStyle w:val="FootnoteReference"/>
        </w:rPr>
        <w:footnoteRef/>
      </w:r>
      <w:r>
        <w:t xml:space="preserve"> Cross-references for "upon": Isa 3:9; Phil 3:19.</w:t>
      </w:r>
    </w:p>
  </w:footnote>
  <w:footnote w:id="19613">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614">
    <w:p>
      <w:pPr>
        <w:pStyle w:val="FootnoteText"/>
      </w:pPr>
      <w:r>
        <w:rPr>
          <w:rStyle w:val="FootnoteReference"/>
        </w:rPr>
        <w:footnoteRef/>
      </w:r>
      <w:r>
        <w:t xml:space="preserve"> Cross-references for "drunken": Dan 7:21; Dan 7:25.</w:t>
      </w:r>
    </w:p>
  </w:footnote>
  <w:footnote w:id="19615">
    <w:p>
      <w:pPr>
        <w:pStyle w:val="FootnoteText"/>
      </w:pPr>
      <w:r>
        <w:rPr>
          <w:rStyle w:val="FootnoteReference"/>
        </w:rPr>
        <w:footnoteRef/>
      </w:r>
      <w:r>
        <w:t xml:space="preserve"> Cross-references for "shall wonder": Rev 13:3-4.</w:t>
      </w:r>
    </w:p>
  </w:footnote>
  <w:footnote w:id="19616">
    <w:p>
      <w:pPr>
        <w:pStyle w:val="FootnoteText"/>
      </w:pPr>
      <w:r>
        <w:rPr>
          <w:rStyle w:val="FootnoteReference"/>
        </w:rPr>
        <w:footnoteRef/>
      </w:r>
      <w:r>
        <w:t xml:space="preserve"> Cross-references for "Here": Dan 12:4; Dan 12:8-10.</w:t>
      </w:r>
    </w:p>
  </w:footnote>
  <w:footnote w:id="19617">
    <w:p>
      <w:pPr>
        <w:pStyle w:val="FootnoteText"/>
      </w:pPr>
      <w:r>
        <w:rPr>
          <w:rStyle w:val="FootnoteReference"/>
        </w:rPr>
        <w:footnoteRef/>
      </w:r>
      <w:r>
        <w:t xml:space="preserve"> Cross-references for "that was": Rev 17:8.</w:t>
      </w:r>
    </w:p>
  </w:footnote>
  <w:footnote w:id="19618">
    <w:p>
      <w:pPr>
        <w:pStyle w:val="FootnoteText"/>
      </w:pPr>
      <w:r>
        <w:rPr>
          <w:rStyle w:val="FootnoteReference"/>
        </w:rPr>
        <w:footnoteRef/>
      </w:r>
      <w:r>
        <w:t xml:space="preserve"> Cross-references for "the ten": Dan 2:40-43; Dan 7:7-8.</w:t>
      </w:r>
    </w:p>
  </w:footnote>
  <w:footnote w:id="19619">
    <w:p>
      <w:pPr>
        <w:pStyle w:val="FootnoteText"/>
      </w:pPr>
      <w:r>
        <w:rPr>
          <w:rStyle w:val="FootnoteReference"/>
        </w:rPr>
        <w:footnoteRef/>
      </w:r>
      <w:r>
        <w:t xml:space="preserve"> Cross-references for "shall make": Dan 7:21; Dan 7:25.</w:t>
      </w:r>
    </w:p>
  </w:footnote>
  <w:footnote w:id="19620">
    <w:p>
      <w:pPr>
        <w:pStyle w:val="FootnoteText"/>
      </w:pPr>
      <w:r>
        <w:rPr>
          <w:rStyle w:val="FootnoteReference"/>
        </w:rPr>
        <w:footnoteRef/>
      </w:r>
      <w:r>
        <w:t xml:space="preserve"> Cross-references for "The waters": Ps 18:4; Ps 65:7.</w:t>
      </w:r>
    </w:p>
  </w:footnote>
  <w:footnote w:id="19621">
    <w:p>
      <w:pPr>
        <w:pStyle w:val="FootnoteText"/>
      </w:pPr>
      <w:r>
        <w:rPr>
          <w:rStyle w:val="FootnoteReference"/>
        </w:rPr>
        <w:footnoteRef/>
      </w:r>
      <w:r>
        <w:t xml:space="preserve"> Cross-references for "the ten": Rev 17:2; Rev 17:10.</w:t>
      </w:r>
    </w:p>
  </w:footnote>
  <w:footnote w:id="19622">
    <w:p>
      <w:pPr>
        <w:pStyle w:val="FootnoteText"/>
      </w:pPr>
      <w:r>
        <w:rPr>
          <w:rStyle w:val="FootnoteReference"/>
        </w:rPr>
        <w:footnoteRef/>
      </w:r>
      <w:r>
        <w:t xml:space="preserve"> Cross-references for "the woman": Dan 2:40-41; Dan 7:23.</w:t>
      </w:r>
    </w:p>
  </w:footnote>
  <w:footnote w:id="19623">
    <w:p>
      <w:pPr>
        <w:pStyle w:val="FootnoteText"/>
      </w:pPr>
      <w:r>
        <w:rPr>
          <w:rStyle w:val="FootnoteReference"/>
        </w:rPr>
        <w:footnoteRef/>
      </w:r>
      <w:r>
        <w:t xml:space="preserve"> Cross-references for "I saw": Rev 17:1.</w:t>
      </w:r>
    </w:p>
  </w:footnote>
  <w:footnote w:id="19624">
    <w:p>
      <w:pPr>
        <w:pStyle w:val="FootnoteText"/>
      </w:pPr>
      <w:r>
        <w:rPr>
          <w:rStyle w:val="FootnoteReference"/>
        </w:rPr>
        <w:footnoteRef/>
      </w:r>
      <w:r>
        <w:t xml:space="preserve"> Cross-references for "cried": Jer 25:30; Joel 3:16.</w:t>
      </w:r>
    </w:p>
  </w:footnote>
  <w:footnote w:id="19625">
    <w:p>
      <w:pPr>
        <w:pStyle w:val="FootnoteText"/>
      </w:pPr>
      <w:r>
        <w:rPr>
          <w:rStyle w:val="FootnoteReference"/>
        </w:rPr>
        <w:footnoteRef/>
      </w:r>
      <w:r>
        <w:t xml:space="preserve"> Cross-references for "the merchants": Isa 47:15; 2Pet 2:1-3.</w:t>
      </w:r>
    </w:p>
  </w:footnote>
  <w:footnote w:id="19626">
    <w:p>
      <w:pPr>
        <w:pStyle w:val="FootnoteText"/>
      </w:pPr>
      <w:r>
        <w:rPr>
          <w:rStyle w:val="FootnoteReference"/>
        </w:rPr>
        <w:footnoteRef/>
      </w:r>
      <w:r>
        <w:t xml:space="preserve"> Cross-references for "partakers": Ps 50:18; Matt 23:30.</w:t>
      </w:r>
    </w:p>
  </w:footnote>
  <w:footnote w:id="19627">
    <w:p>
      <w:pPr>
        <w:pStyle w:val="FootnoteText"/>
      </w:pPr>
      <w:r>
        <w:rPr>
          <w:rStyle w:val="FootnoteReference"/>
        </w:rPr>
        <w:footnoteRef/>
      </w:r>
      <w:r>
        <w:t xml:space="preserve"> Cross-references for "reached": Gen 18:20-21; 2Chr 28:9.</w:t>
      </w:r>
    </w:p>
  </w:footnote>
  <w:footnote w:id="19628">
    <w:p>
      <w:pPr>
        <w:pStyle w:val="FootnoteText"/>
      </w:pPr>
      <w:r>
        <w:rPr>
          <w:rStyle w:val="FootnoteReference"/>
        </w:rPr>
        <w:footnoteRef/>
      </w:r>
      <w:r>
        <w:t xml:space="preserve"> Cross-references for "Reward": Exod 21:23-25; Ps 137:8.</w:t>
      </w:r>
    </w:p>
  </w:footnote>
  <w:footnote w:id="19629">
    <w:p>
      <w:pPr>
        <w:pStyle w:val="FootnoteText"/>
      </w:pPr>
      <w:r>
        <w:rPr>
          <w:rStyle w:val="FootnoteReference"/>
        </w:rPr>
        <w:footnoteRef/>
      </w:r>
      <w:r>
        <w:t xml:space="preserve"> Cross-references for "I sit": Ps 45:9; Jer 13:18.</w:t>
      </w:r>
    </w:p>
  </w:footnote>
  <w:footnote w:id="19630">
    <w:p>
      <w:pPr>
        <w:pStyle w:val="FootnoteText"/>
      </w:pPr>
      <w:r>
        <w:rPr>
          <w:rStyle w:val="FootnoteReference"/>
        </w:rPr>
        <w:footnoteRef/>
      </w:r>
      <w:r>
        <w:t xml:space="preserve"> Cross-references for "shall her": Isa 47:9-11; Jer 51:6.</w:t>
      </w:r>
    </w:p>
  </w:footnote>
  <w:footnote w:id="19631">
    <w:p>
      <w:pPr>
        <w:pStyle w:val="FootnoteText"/>
      </w:pPr>
      <w:r>
        <w:rPr>
          <w:rStyle w:val="FootnoteReference"/>
        </w:rPr>
        <w:footnoteRef/>
      </w:r>
      <w:r>
        <w:t xml:space="preserve"> Cross-references for "the kings": Rev 17:2; Rev 17:12-13.</w:t>
      </w:r>
    </w:p>
  </w:footnote>
  <w:footnote w:id="19632">
    <w:p>
      <w:pPr>
        <w:pStyle w:val="FootnoteText"/>
      </w:pPr>
      <w:r>
        <w:rPr>
          <w:rStyle w:val="FootnoteReference"/>
        </w:rPr>
        <w:footnoteRef/>
      </w:r>
      <w:r>
        <w:t xml:space="preserve"> Cross-references for "the merchants": Isa 23:1-15; Isa 47:15.</w:t>
      </w:r>
    </w:p>
  </w:footnote>
  <w:footnote w:id="19633">
    <w:p>
      <w:pPr>
        <w:pStyle w:val="FootnoteText"/>
      </w:pPr>
      <w:r>
        <w:rPr>
          <w:rStyle w:val="FootnoteReference"/>
        </w:rPr>
        <w:footnoteRef/>
      </w:r>
      <w:r>
        <w:t xml:space="preserve"> Cross-references for "thyine": 1Kgs 10:11; 2Chr 2:8.</w:t>
      </w:r>
    </w:p>
  </w:footnote>
  <w:footnote w:id="19634">
    <w:p>
      <w:pPr>
        <w:pStyle w:val="FootnoteText"/>
      </w:pPr>
      <w:r>
        <w:rPr>
          <w:rStyle w:val="FootnoteReference"/>
        </w:rPr>
        <w:footnoteRef/>
      </w:r>
      <w:r>
        <w:t xml:space="preserve"> Cross-references for "cinnamon": 1Kgs 10:10; 1Kgs 10:15.</w:t>
      </w:r>
    </w:p>
  </w:footnote>
  <w:footnote w:id="19635">
    <w:p>
      <w:pPr>
        <w:pStyle w:val="FootnoteText"/>
      </w:pPr>
      <w:r>
        <w:rPr>
          <w:rStyle w:val="FootnoteReference"/>
        </w:rPr>
        <w:footnoteRef/>
      </w:r>
      <w:r>
        <w:t xml:space="preserve"> Cross-references for "departed": Luke 12:20; Luke 16:25.</w:t>
      </w:r>
    </w:p>
  </w:footnote>
  <w:footnote w:id="19636">
    <w:p>
      <w:pPr>
        <w:pStyle w:val="FootnoteText"/>
      </w:pPr>
      <w:r>
        <w:rPr>
          <w:rStyle w:val="FootnoteReference"/>
        </w:rPr>
        <w:footnoteRef/>
      </w:r>
      <w:r>
        <w:t xml:space="preserve"> Cross-references for "in one": Isa 47:9; Jer 51:8.</w:t>
      </w:r>
    </w:p>
  </w:footnote>
  <w:footnote w:id="19637">
    <w:p>
      <w:pPr>
        <w:pStyle w:val="FootnoteText"/>
      </w:pPr>
      <w:r>
        <w:rPr>
          <w:rStyle w:val="FootnoteReference"/>
        </w:rPr>
        <w:footnoteRef/>
      </w:r>
      <w:r>
        <w:t xml:space="preserve"> Cross-references for "they cast": Josh 7:6; 1Sam 4:12.</w:t>
      </w:r>
    </w:p>
  </w:footnote>
  <w:footnote w:id="19638">
    <w:p>
      <w:pPr>
        <w:pStyle w:val="FootnoteText"/>
      </w:pPr>
      <w:r>
        <w:rPr>
          <w:rStyle w:val="FootnoteReference"/>
        </w:rPr>
        <w:footnoteRef/>
      </w:r>
      <w:r>
        <w:t xml:space="preserve"> Cross-references for "Rejoice": Judg 5:31; Ps 48:11.</w:t>
      </w:r>
    </w:p>
  </w:footnote>
  <w:footnote w:id="19639">
    <w:p>
      <w:pPr>
        <w:pStyle w:val="FootnoteText"/>
      </w:pPr>
      <w:r>
        <w:rPr>
          <w:rStyle w:val="FootnoteReference"/>
        </w:rPr>
        <w:footnoteRef/>
      </w:r>
      <w:r>
        <w:t xml:space="preserve"> Cross-references for "Thus": Exod 15:5; Neh 9:11.</w:t>
      </w:r>
    </w:p>
  </w:footnote>
  <w:footnote w:id="19640">
    <w:p>
      <w:pPr>
        <w:pStyle w:val="FootnoteText"/>
      </w:pPr>
      <w:r>
        <w:rPr>
          <w:rStyle w:val="FootnoteReference"/>
        </w:rPr>
        <w:footnoteRef/>
      </w:r>
      <w:r>
        <w:t xml:space="preserve"> Cross-references for "the voice": Isa 24:8-9; Jer 7:34.</w:t>
      </w:r>
    </w:p>
  </w:footnote>
  <w:footnote w:id="19641">
    <w:p>
      <w:pPr>
        <w:pStyle w:val="FootnoteText"/>
      </w:pPr>
      <w:r>
        <w:rPr>
          <w:rStyle w:val="FootnoteReference"/>
        </w:rPr>
        <w:footnoteRef/>
      </w:r>
      <w:r>
        <w:t xml:space="preserve"> Cross-references for "the light": Job 21:17; Prov 4:18-19.</w:t>
      </w:r>
    </w:p>
  </w:footnote>
  <w:footnote w:id="19642">
    <w:p>
      <w:pPr>
        <w:pStyle w:val="FootnoteText"/>
      </w:pPr>
      <w:r>
        <w:rPr>
          <w:rStyle w:val="FootnoteReference"/>
        </w:rPr>
        <w:footnoteRef/>
      </w:r>
      <w:r>
        <w:t xml:space="preserve"> Cross-references for "in her": Jer 2:34; Ezek 22:9.</w:t>
      </w:r>
    </w:p>
  </w:footnote>
  <w:footnote w:id="19643">
    <w:p>
      <w:pPr>
        <w:pStyle w:val="FootnoteText"/>
      </w:pPr>
      <w:r>
        <w:rPr>
          <w:rStyle w:val="FootnoteReference"/>
        </w:rPr>
        <w:footnoteRef/>
      </w:r>
      <w:r>
        <w:t xml:space="preserve"> Cross-references for "I heard": Rev 11:15; Rev 18:20.</w:t>
      </w:r>
    </w:p>
  </w:footnote>
  <w:footnote w:id="19644">
    <w:p>
      <w:pPr>
        <w:pStyle w:val="FootnoteText"/>
      </w:pPr>
      <w:r>
        <w:rPr>
          <w:rStyle w:val="FootnoteReference"/>
        </w:rPr>
        <w:footnoteRef/>
      </w:r>
      <w:r>
        <w:t xml:space="preserve"> Transliterated proper noun: Alleluia. Standard English equivalent: Alleluia. Source form: Alleluia. Greek form: αλληλουια. Name meaning: praise the Lord.</w:t>
      </w:r>
    </w:p>
  </w:footnote>
  <w:footnote w:id="19645">
    <w:p>
      <w:pPr>
        <w:pStyle w:val="FootnoteText"/>
      </w:pPr>
      <w:r>
        <w:rPr>
          <w:rStyle w:val="FootnoteReference"/>
        </w:rPr>
        <w:footnoteRef/>
      </w:r>
      <w:r>
        <w:t xml:space="preserve"> Cross-references for "true": Deut 32:4; Ps 19:9.</w:t>
      </w:r>
    </w:p>
  </w:footnote>
  <w:footnote w:id="19646">
    <w:p>
      <w:pPr>
        <w:pStyle w:val="FootnoteText"/>
      </w:pPr>
      <w:r>
        <w:rPr>
          <w:rStyle w:val="FootnoteReference"/>
        </w:rPr>
        <w:footnoteRef/>
      </w:r>
      <w:r>
        <w:t xml:space="preserve"> Cross-references for "Alleluia": Rev 19:1.</w:t>
      </w:r>
    </w:p>
  </w:footnote>
  <w:footnote w:id="19647">
    <w:p>
      <w:pPr>
        <w:pStyle w:val="FootnoteText"/>
      </w:pPr>
      <w:r>
        <w:rPr>
          <w:rStyle w:val="FootnoteReference"/>
        </w:rPr>
        <w:footnoteRef/>
      </w:r>
      <w:r>
        <w:t xml:space="preserve"> Cross-references for "the four": Rev 4:4-10; Rev 5:8-11.</w:t>
      </w:r>
    </w:p>
  </w:footnote>
  <w:footnote w:id="19648">
    <w:p>
      <w:pPr>
        <w:pStyle w:val="FootnoteText"/>
      </w:pPr>
      <w:r>
        <w:rPr>
          <w:rStyle w:val="FootnoteReference"/>
        </w:rPr>
        <w:footnoteRef/>
      </w:r>
      <w:r>
        <w:t xml:space="preserve"> Cross-references for "a voice": Rev 7:15; Rev 11:19.</w:t>
      </w:r>
    </w:p>
  </w:footnote>
  <w:footnote w:id="19649">
    <w:p>
      <w:pPr>
        <w:pStyle w:val="FootnoteText"/>
      </w:pPr>
      <w:r>
        <w:rPr>
          <w:rStyle w:val="FootnoteReference"/>
        </w:rPr>
        <w:footnoteRef/>
      </w:r>
      <w:r>
        <w:t xml:space="preserve"> Cross-references for "and as the voice of many": Ezek 1:24; Ezek 43:2.</w:t>
      </w:r>
    </w:p>
  </w:footnote>
  <w:footnote w:id="19650">
    <w:p>
      <w:pPr>
        <w:pStyle w:val="FootnoteText"/>
      </w:pPr>
      <w:r>
        <w:rPr>
          <w:rStyle w:val="FootnoteReference"/>
        </w:rPr>
        <w:footnoteRef/>
      </w:r>
      <w:r>
        <w:t xml:space="preserve"> Cross-references for "be glad": Deut 32:43; 1Sam 2:1.</w:t>
      </w:r>
    </w:p>
  </w:footnote>
  <w:footnote w:id="19651">
    <w:p>
      <w:pPr>
        <w:pStyle w:val="FootnoteText"/>
      </w:pPr>
      <w:r>
        <w:rPr>
          <w:rStyle w:val="FootnoteReference"/>
        </w:rPr>
        <w:footnoteRef/>
      </w:r>
      <w:r>
        <w:t xml:space="preserve"> Cross-references for "to her": Ps 45:13-14; Isa 61:10.</w:t>
      </w:r>
    </w:p>
  </w:footnote>
  <w:footnote w:id="19652">
    <w:p>
      <w:pPr>
        <w:pStyle w:val="FootnoteText"/>
      </w:pPr>
      <w:r>
        <w:rPr>
          <w:rStyle w:val="FootnoteReference"/>
        </w:rPr>
        <w:footnoteRef/>
      </w:r>
      <w:r>
        <w:t xml:space="preserve"> Cross-references for "Write": Isa 8:1; Hab 2:2.</w:t>
      </w:r>
    </w:p>
  </w:footnote>
  <w:footnote w:id="19653">
    <w:p>
      <w:pPr>
        <w:pStyle w:val="FootnoteText"/>
      </w:pPr>
      <w:r>
        <w:rPr>
          <w:rStyle w:val="FootnoteReference"/>
        </w:rPr>
        <w:footnoteRef/>
      </w:r>
      <w:r>
        <w:t xml:space="preserve"> Cross-references for "I fell": Mark 5:22; Mark 7:25.</w:t>
      </w:r>
    </w:p>
  </w:footnote>
  <w:footnote w:id="19654">
    <w:p>
      <w:pPr>
        <w:pStyle w:val="FootnoteText"/>
      </w:pPr>
      <w:r>
        <w:rPr>
          <w:rStyle w:val="FootnoteReference"/>
        </w:rPr>
        <w:footnoteRef/>
      </w:r>
      <w:r>
        <w:t xml:space="preserve"> Cross-references for "heaven": Rev 4:1; Rev 11:19.</w:t>
      </w:r>
    </w:p>
  </w:footnote>
  <w:footnote w:id="19655">
    <w:p>
      <w:pPr>
        <w:pStyle w:val="FootnoteText"/>
      </w:pPr>
      <w:r>
        <w:rPr>
          <w:rStyle w:val="FootnoteReference"/>
        </w:rPr>
        <w:footnoteRef/>
      </w:r>
      <w:r>
        <w:t xml:space="preserve"> Cross-references for "eyes": Rev 1:14; Rev 2:18.</w:t>
      </w:r>
    </w:p>
  </w:footnote>
  <w:footnote w:id="19656">
    <w:p>
      <w:pPr>
        <w:pStyle w:val="FootnoteText"/>
      </w:pPr>
      <w:r>
        <w:rPr>
          <w:rStyle w:val="FootnoteReference"/>
        </w:rPr>
        <w:footnoteRef/>
      </w:r>
      <w:r>
        <w:t xml:space="preserve"> Cross-references for "clothed": Ps 58:10; Isa 9:5.</w:t>
      </w:r>
    </w:p>
  </w:footnote>
  <w:footnote w:id="19657">
    <w:p>
      <w:pPr>
        <w:pStyle w:val="FootnoteText"/>
      </w:pPr>
      <w:r>
        <w:rPr>
          <w:rStyle w:val="FootnoteReference"/>
        </w:rPr>
        <w:footnoteRef/>
      </w:r>
      <w:r>
        <w:t xml:space="preserve"> Greek divine name/title: Ho Logos tou Theou (ὁ λόγος τοῦ θεοῦ) — The Word of God. Common English rendering: The Word of God. A climactic title for Christ as the divine revealer and warrior-king.</w:t>
      </w:r>
    </w:p>
  </w:footnote>
  <w:footnote w:id="19658">
    <w:p>
      <w:pPr>
        <w:pStyle w:val="FootnoteText"/>
      </w:pPr>
      <w:r>
        <w:rPr>
          <w:rStyle w:val="FootnoteReference"/>
        </w:rPr>
        <w:footnoteRef/>
      </w:r>
      <w:r>
        <w:t xml:space="preserve"> Cross-references for "the armies": Ps 68:17; Ps 149:6-9.</w:t>
      </w:r>
    </w:p>
  </w:footnote>
  <w:footnote w:id="19659">
    <w:p>
      <w:pPr>
        <w:pStyle w:val="FootnoteText"/>
      </w:pPr>
      <w:r>
        <w:rPr>
          <w:rStyle w:val="FootnoteReference"/>
        </w:rPr>
        <w:footnoteRef/>
      </w:r>
      <w:r>
        <w:t xml:space="preserve"> Cross-references for "and he shall": Ps 2:9; Rev 2:27.</w:t>
      </w:r>
    </w:p>
  </w:footnote>
  <w:footnote w:id="19660">
    <w:p>
      <w:pPr>
        <w:pStyle w:val="FootnoteText"/>
      </w:pPr>
      <w:r>
        <w:rPr>
          <w:rStyle w:val="FootnoteReference"/>
        </w:rPr>
        <w:footnoteRef/>
      </w:r>
      <w:r>
        <w:t xml:space="preserve"> Cross-references for "on his vesture": Rev 19:12-13.</w:t>
      </w:r>
    </w:p>
  </w:footnote>
  <w:footnote w:id="19661">
    <w:p>
      <w:pPr>
        <w:pStyle w:val="FootnoteText"/>
      </w:pPr>
      <w:r>
        <w:rPr>
          <w:rStyle w:val="FootnoteReference"/>
        </w:rPr>
        <w:footnoteRef/>
      </w:r>
      <w:r>
        <w:t xml:space="preserve"> Cross-references for "an angel": Isa 34:1-8; Rev 8:13.</w:t>
      </w:r>
    </w:p>
  </w:footnote>
  <w:footnote w:id="19662">
    <w:p>
      <w:pPr>
        <w:pStyle w:val="FootnoteText"/>
      </w:pPr>
      <w:r>
        <w:rPr>
          <w:rStyle w:val="FootnoteReference"/>
        </w:rPr>
        <w:footnoteRef/>
      </w:r>
      <w:r>
        <w:t xml:space="preserve"> Cross-references for "of all": Rev 6:15; Rev 13:16.</w:t>
      </w:r>
    </w:p>
  </w:footnote>
  <w:footnote w:id="19663">
    <w:p>
      <w:pPr>
        <w:pStyle w:val="FootnoteText"/>
      </w:pPr>
      <w:r>
        <w:rPr>
          <w:rStyle w:val="FootnoteReference"/>
        </w:rPr>
        <w:footnoteRef/>
      </w:r>
      <w:r>
        <w:t xml:space="preserve"> Cross-references for "I saw": Ezek 38:8-18; Dan 7:21-26.</w:t>
      </w:r>
    </w:p>
  </w:footnote>
  <w:footnote w:id="19664">
    <w:p>
      <w:pPr>
        <w:pStyle w:val="FootnoteText"/>
      </w:pPr>
      <w:r>
        <w:rPr>
          <w:rStyle w:val="FootnoteReference"/>
        </w:rPr>
        <w:footnoteRef/>
      </w:r>
      <w:r>
        <w:t xml:space="preserve"> Cross-references for "the beast": Dan 2:40-45; Dan 7:7.</w:t>
      </w:r>
    </w:p>
  </w:footnote>
  <w:footnote w:id="19665">
    <w:p>
      <w:pPr>
        <w:pStyle w:val="FootnoteText"/>
      </w:pPr>
      <w:r>
        <w:rPr>
          <w:rStyle w:val="FootnoteReference"/>
        </w:rPr>
        <w:footnoteRef/>
      </w:r>
      <w:r>
        <w:t xml:space="preserve"> Cross-references for "the remnant": Rev 1:16; Rev 19:11-15.</w:t>
      </w:r>
    </w:p>
  </w:footnote>
  <w:footnote w:id="19666">
    <w:p>
      <w:pPr>
        <w:pStyle w:val="FootnoteText"/>
      </w:pPr>
      <w:r>
        <w:rPr>
          <w:rStyle w:val="FootnoteReference"/>
        </w:rPr>
        <w:footnoteRef/>
      </w:r>
      <w:r>
        <w:t xml:space="preserve"> Cross-references for "I saw": Rev 10:1; Rev 18:1.</w:t>
      </w:r>
    </w:p>
  </w:footnote>
  <w:footnote w:id="19667">
    <w:p>
      <w:pPr>
        <w:pStyle w:val="FootnoteText"/>
      </w:pPr>
      <w:r>
        <w:rPr>
          <w:rStyle w:val="FootnoteReference"/>
        </w:rPr>
        <w:footnoteRef/>
      </w:r>
      <w:r>
        <w:t xml:space="preserve"> Cross-references for "he laid": Gen 3:15; Isa 27:1.</w:t>
      </w:r>
    </w:p>
  </w:footnote>
  <w:footnote w:id="19668">
    <w:p>
      <w:pPr>
        <w:pStyle w:val="FootnoteText"/>
      </w:pPr>
      <w:r>
        <w:rPr>
          <w:rStyle w:val="FootnoteReference"/>
        </w:rPr>
        <w:footnoteRef/>
      </w:r>
      <w:r>
        <w:t xml:space="preserve"> Cross-references for "cast": Rev 17:8; Rev 20:1.</w:t>
      </w:r>
    </w:p>
  </w:footnote>
  <w:footnote w:id="19669">
    <w:p>
      <w:pPr>
        <w:pStyle w:val="FootnoteText"/>
      </w:pPr>
      <w:r>
        <w:rPr>
          <w:rStyle w:val="FootnoteReference"/>
        </w:rPr>
        <w:footnoteRef/>
      </w:r>
      <w:r>
        <w:t xml:space="preserve"> Cross-references for "thrones": Dan 7:9; Dan 7:18.</w:t>
      </w:r>
    </w:p>
  </w:footnote>
  <w:footnote w:id="19670">
    <w:p>
      <w:pPr>
        <w:pStyle w:val="FootnoteText"/>
      </w:pPr>
      <w:r>
        <w:rPr>
          <w:rStyle w:val="FootnoteReference"/>
        </w:rPr>
        <w:footnoteRef/>
      </w:r>
      <w:r>
        <w:t xml:space="preserve"> Cross-references for "the rest": Rev 19:20-21; Rev 20:8-9.</w:t>
      </w:r>
    </w:p>
  </w:footnote>
  <w:footnote w:id="19671">
    <w:p>
      <w:pPr>
        <w:pStyle w:val="FootnoteText"/>
      </w:pPr>
      <w:r>
        <w:rPr>
          <w:rStyle w:val="FootnoteReference"/>
        </w:rPr>
        <w:footnoteRef/>
      </w:r>
      <w:r>
        <w:t xml:space="preserve"> Cross-references for "Blessed": Isa 4:3; Dan 12:12.</w:t>
      </w:r>
    </w:p>
  </w:footnote>
  <w:footnote w:id="19672">
    <w:p>
      <w:pPr>
        <w:pStyle w:val="FootnoteText"/>
      </w:pPr>
      <w:r>
        <w:rPr>
          <w:rStyle w:val="FootnoteReference"/>
        </w:rPr>
        <w:footnoteRef/>
      </w:r>
      <w:r>
        <w:t xml:space="preserve"> Cross-references for "to deceive": Rev 20:3; Rev 20:10.</w:t>
      </w:r>
    </w:p>
  </w:footnote>
  <w:footnote w:id="19673">
    <w:p>
      <w:pPr>
        <w:pStyle w:val="FootnoteText"/>
      </w:pPr>
      <w:r>
        <w:rPr>
          <w:rStyle w:val="FootnoteReference"/>
        </w:rPr>
        <w:footnoteRef/>
      </w:r>
      <w:r>
        <w:t xml:space="preserve"> People-name: Gog. People-name meaning: Gog — roof; covering. Source form: Gog.</w:t>
      </w:r>
    </w:p>
  </w:footnote>
  <w:footnote w:id="19674">
    <w:p>
      <w:pPr>
        <w:pStyle w:val="FootnoteText"/>
      </w:pPr>
      <w:r>
        <w:rPr>
          <w:rStyle w:val="FootnoteReference"/>
        </w:rPr>
        <w:footnoteRef/>
      </w:r>
      <w:r>
        <w:t xml:space="preserve"> Transliterated proper noun: Magog. Standard English equivalent: Magog. Source form: Magog. Greek form: μαγωγ. Name meaning: covering; roof; dissolving.</w:t>
      </w:r>
    </w:p>
  </w:footnote>
  <w:footnote w:id="19675">
    <w:p>
      <w:pPr>
        <w:pStyle w:val="FootnoteText"/>
      </w:pPr>
      <w:r>
        <w:rPr>
          <w:rStyle w:val="FootnoteReference"/>
        </w:rPr>
        <w:footnoteRef/>
      </w:r>
      <w:r>
        <w:t xml:space="preserve"> Cross-references for "went": Isa 8:7-8; Ezek 38:9.</w:t>
      </w:r>
    </w:p>
  </w:footnote>
  <w:footnote w:id="19676">
    <w:p>
      <w:pPr>
        <w:pStyle w:val="FootnoteText"/>
      </w:pPr>
      <w:r>
        <w:rPr>
          <w:rStyle w:val="FootnoteReference"/>
        </w:rPr>
        <w:footnoteRef/>
      </w:r>
      <w:r>
        <w:t xml:space="preserve"> Cross-references for "the devil": Rev 20:2-3; Rev 20:8.</w:t>
      </w:r>
    </w:p>
  </w:footnote>
  <w:footnote w:id="19677">
    <w:p>
      <w:pPr>
        <w:pStyle w:val="FootnoteText"/>
      </w:pPr>
      <w:r>
        <w:rPr>
          <w:rStyle w:val="FootnoteReference"/>
        </w:rPr>
        <w:footnoteRef/>
      </w:r>
      <w:r>
        <w:t xml:space="preserve"> Cross-references for "I saw": Gen 18:25; Ps 9:7-8.</w:t>
      </w:r>
    </w:p>
  </w:footnote>
  <w:footnote w:id="19678">
    <w:p>
      <w:pPr>
        <w:pStyle w:val="FootnoteText"/>
      </w:pPr>
      <w:r>
        <w:rPr>
          <w:rStyle w:val="FootnoteReference"/>
        </w:rPr>
        <w:footnoteRef/>
      </w:r>
      <w:r>
        <w:t xml:space="preserve"> Cross-references for "I saw": Dan 12:2; John 5:28-29.</w:t>
      </w:r>
    </w:p>
  </w:footnote>
  <w:footnote w:id="19679">
    <w:p>
      <w:pPr>
        <w:pStyle w:val="FootnoteText"/>
      </w:pPr>
      <w:r>
        <w:rPr>
          <w:rStyle w:val="FootnoteReference"/>
        </w:rPr>
        <w:footnoteRef/>
      </w:r>
      <w:r>
        <w:t xml:space="preserve"> Cross-references for "the sea": John 5:28-29.</w:t>
      </w:r>
    </w:p>
  </w:footnote>
  <w:footnote w:id="19680">
    <w:p>
      <w:pPr>
        <w:pStyle w:val="FootnoteText"/>
      </w:pPr>
      <w:r>
        <w:rPr>
          <w:rStyle w:val="FootnoteReference"/>
        </w:rPr>
        <w:footnoteRef/>
      </w:r>
      <w:r>
        <w:t xml:space="preserve"> Cross-references for "death": Hos 13:14; 1Cor 15:26.</w:t>
      </w:r>
    </w:p>
  </w:footnote>
  <w:footnote w:id="19681">
    <w:p>
      <w:pPr>
        <w:pStyle w:val="FootnoteText"/>
      </w:pPr>
      <w:r>
        <w:rPr>
          <w:rStyle w:val="FootnoteReference"/>
        </w:rPr>
        <w:footnoteRef/>
      </w:r>
      <w:r>
        <w:t xml:space="preserve"> Cross-references for "was cast": Matt 25:41; Mark 9:43-48.</w:t>
      </w:r>
    </w:p>
  </w:footnote>
  <w:footnote w:id="19682">
    <w:p>
      <w:pPr>
        <w:pStyle w:val="FootnoteText"/>
      </w:pPr>
      <w:r>
        <w:rPr>
          <w:rStyle w:val="FootnoteReference"/>
        </w:rPr>
        <w:footnoteRef/>
      </w:r>
      <w:r>
        <w:t xml:space="preserve"> Cross-references for "a new": Isa 65:17-19; Isa 66:22.</w:t>
      </w:r>
    </w:p>
  </w:footnote>
  <w:footnote w:id="19683">
    <w:p>
      <w:pPr>
        <w:pStyle w:val="FootnoteText"/>
      </w:pPr>
      <w:r>
        <w:rPr>
          <w:rStyle w:val="FootnoteReference"/>
        </w:rPr>
        <w:footnoteRef/>
      </w:r>
      <w:r>
        <w:t xml:space="preserve"> Cross-references for "the holy": Ps 48:1-3; Ps 87:3.</w:t>
      </w:r>
    </w:p>
  </w:footnote>
  <w:footnote w:id="19684">
    <w:p>
      <w:pPr>
        <w:pStyle w:val="FootnoteText"/>
      </w:pPr>
      <w:r>
        <w:rPr>
          <w:rStyle w:val="FootnoteReference"/>
        </w:rPr>
        <w:footnoteRef/>
      </w:r>
      <w:r>
        <w:t xml:space="preserve"> Cross-references for "a great": Rev 10:4; Rev 10:8.</w:t>
      </w:r>
    </w:p>
  </w:footnote>
  <w:footnote w:id="19685">
    <w:p>
      <w:pPr>
        <w:pStyle w:val="FootnoteText"/>
      </w:pPr>
      <w:r>
        <w:rPr>
          <w:rStyle w:val="FootnoteReference"/>
        </w:rPr>
        <w:footnoteRef/>
      </w:r>
      <w:r>
        <w:t xml:space="preserve"> Cross-references for "God shall": Isa 25:8; Rev 7:17.</w:t>
      </w:r>
    </w:p>
  </w:footnote>
  <w:footnote w:id="19686">
    <w:p>
      <w:pPr>
        <w:pStyle w:val="FootnoteText"/>
      </w:pPr>
      <w:r>
        <w:rPr>
          <w:rStyle w:val="FootnoteReference"/>
        </w:rPr>
        <w:footnoteRef/>
      </w:r>
      <w:r>
        <w:t xml:space="preserve"> Cross-references for "Write": Rev 1:11; Rev 1:19.</w:t>
      </w:r>
    </w:p>
  </w:footnote>
  <w:footnote w:id="19687">
    <w:p>
      <w:pPr>
        <w:pStyle w:val="FootnoteText"/>
      </w:pPr>
      <w:r>
        <w:rPr>
          <w:rStyle w:val="FootnoteReference"/>
        </w:rPr>
        <w:footnoteRef/>
      </w:r>
      <w:r>
        <w:t xml:space="preserve"> Cross-references for "the fountain": Ps 36:9; Jer 2:13.</w:t>
      </w:r>
    </w:p>
  </w:footnote>
  <w:footnote w:id="19688">
    <w:p>
      <w:pPr>
        <w:pStyle w:val="FootnoteText"/>
      </w:pPr>
      <w:r>
        <w:rPr>
          <w:rStyle w:val="FootnoteReference"/>
        </w:rPr>
        <w:footnoteRef/>
      </w:r>
      <w:r>
        <w:t xml:space="preserve"> Cross-references for "inherit": 1Sam 2:8; Prov 3:35.</w:t>
      </w:r>
    </w:p>
  </w:footnote>
  <w:footnote w:id="19689">
    <w:p>
      <w:pPr>
        <w:pStyle w:val="FootnoteText"/>
      </w:pPr>
      <w:r>
        <w:rPr>
          <w:rStyle w:val="FootnoteReference"/>
        </w:rPr>
        <w:footnoteRef/>
      </w:r>
      <w:r>
        <w:t xml:space="preserve"> Cross-references for "the fearful": Deut 20:8; Judg 7:3.</w:t>
      </w:r>
    </w:p>
  </w:footnote>
  <w:footnote w:id="19690">
    <w:p>
      <w:pPr>
        <w:pStyle w:val="FootnoteText"/>
      </w:pPr>
      <w:r>
        <w:rPr>
          <w:rStyle w:val="FootnoteReference"/>
        </w:rPr>
        <w:footnoteRef/>
      </w:r>
      <w:r>
        <w:t xml:space="preserve"> Cross-references for "the Lamb's": Rev 19:7; Rev 21:2.</w:t>
      </w:r>
    </w:p>
  </w:footnote>
  <w:footnote w:id="19691">
    <w:p>
      <w:pPr>
        <w:pStyle w:val="FootnoteText"/>
      </w:pPr>
      <w:r>
        <w:rPr>
          <w:rStyle w:val="FootnoteReference"/>
        </w:rPr>
        <w:footnoteRef/>
      </w:r>
      <w:r>
        <w:t xml:space="preserve"> Cross-references for "he carried": 1Kgs 18:12; 2Kgs 2:16.</w:t>
      </w:r>
    </w:p>
  </w:footnote>
  <w:footnote w:id="19692">
    <w:p>
      <w:pPr>
        <w:pStyle w:val="FootnoteText"/>
      </w:pPr>
      <w:r>
        <w:rPr>
          <w:rStyle w:val="FootnoteReference"/>
        </w:rPr>
        <w:footnoteRef/>
      </w:r>
      <w:r>
        <w:t xml:space="preserve"> Cross-references for "the glory": Isa 4:5; Isa 60:1-2.</w:t>
      </w:r>
    </w:p>
  </w:footnote>
  <w:footnote w:id="19693">
    <w:p>
      <w:pPr>
        <w:pStyle w:val="FootnoteText"/>
      </w:pPr>
      <w:r>
        <w:rPr>
          <w:rStyle w:val="FootnoteReference"/>
        </w:rPr>
        <w:footnoteRef/>
      </w:r>
      <w:r>
        <w:t xml:space="preserve"> Cross-references for "twelve gates": Isa 54:12; Isa 60:18.</w:t>
      </w:r>
    </w:p>
  </w:footnote>
  <w:footnote w:id="19694">
    <w:p>
      <w:pPr>
        <w:pStyle w:val="FootnoteText"/>
      </w:pPr>
      <w:r>
        <w:rPr>
          <w:rStyle w:val="FootnoteReference"/>
        </w:rPr>
        <w:footnoteRef/>
      </w:r>
      <w:r>
        <w:t xml:space="preserve"> Cross-references for "foundations": Isa 54:11; Heb 11:10.</w:t>
      </w:r>
    </w:p>
  </w:footnote>
  <w:footnote w:id="19695">
    <w:p>
      <w:pPr>
        <w:pStyle w:val="FootnoteText"/>
      </w:pPr>
      <w:r>
        <w:rPr>
          <w:rStyle w:val="FootnoteReference"/>
        </w:rPr>
        <w:footnoteRef/>
      </w:r>
      <w:r>
        <w:t xml:space="preserve"> Cross-references for "a golden": Exod 40:3-5; Ezek 41:1-5.</w:t>
      </w:r>
    </w:p>
  </w:footnote>
  <w:footnote w:id="19696">
    <w:p>
      <w:pPr>
        <w:pStyle w:val="FootnoteText"/>
      </w:pPr>
      <w:r>
        <w:rPr>
          <w:rStyle w:val="FootnoteReference"/>
        </w:rPr>
        <w:footnoteRef/>
      </w:r>
      <w:r>
        <w:t xml:space="preserve"> Cross-references for "twelve": Ezek 48:8-19.</w:t>
      </w:r>
    </w:p>
  </w:footnote>
  <w:footnote w:id="19697">
    <w:p>
      <w:pPr>
        <w:pStyle w:val="FootnoteText"/>
      </w:pPr>
      <w:r>
        <w:rPr>
          <w:rStyle w:val="FootnoteReference"/>
        </w:rPr>
        <w:footnoteRef/>
      </w:r>
      <w:r>
        <w:t xml:space="preserve"> Cross-references for "was of": Rev 21:11; Rev 21:19.</w:t>
      </w:r>
    </w:p>
  </w:footnote>
  <w:footnote w:id="19698">
    <w:p>
      <w:pPr>
        <w:pStyle w:val="FootnoteText"/>
      </w:pPr>
      <w:r>
        <w:rPr>
          <w:rStyle w:val="FootnoteReference"/>
        </w:rPr>
        <w:footnoteRef/>
      </w:r>
      <w:r>
        <w:t xml:space="preserve"> Cross-references for "the foundations": Job 28:16-19; Prov 3:15.</w:t>
      </w:r>
    </w:p>
  </w:footnote>
  <w:footnote w:id="19699">
    <w:p>
      <w:pPr>
        <w:pStyle w:val="FootnoteText"/>
      </w:pPr>
      <w:r>
        <w:rPr>
          <w:rStyle w:val="FootnoteReference"/>
        </w:rPr>
        <w:footnoteRef/>
      </w:r>
      <w:r>
        <w:t xml:space="preserve"> Cross-references for "the twelve": Matt 13:45-46; Rev 17:4.</w:t>
      </w:r>
    </w:p>
  </w:footnote>
  <w:footnote w:id="19700">
    <w:p>
      <w:pPr>
        <w:pStyle w:val="FootnoteText"/>
      </w:pPr>
      <w:r>
        <w:rPr>
          <w:rStyle w:val="FootnoteReference"/>
        </w:rPr>
        <w:footnoteRef/>
      </w:r>
      <w:r>
        <w:t xml:space="preserve"> Cross-references for "I saw": 1Kgs 8:27; 2Chr 2:6.</w:t>
      </w:r>
    </w:p>
  </w:footnote>
  <w:footnote w:id="19701">
    <w:p>
      <w:pPr>
        <w:pStyle w:val="FootnoteText"/>
      </w:pPr>
      <w:r>
        <w:rPr>
          <w:rStyle w:val="FootnoteReference"/>
        </w:rPr>
        <w:footnoteRef/>
      </w:r>
      <w:r>
        <w:t xml:space="preserve"> Cross-references for "the Lamb": Luke 2:32; John 1:4.</w:t>
      </w:r>
    </w:p>
  </w:footnote>
  <w:footnote w:id="19702">
    <w:p>
      <w:pPr>
        <w:pStyle w:val="FootnoteText"/>
      </w:pPr>
      <w:r>
        <w:rPr>
          <w:rStyle w:val="FootnoteReference"/>
        </w:rPr>
        <w:footnoteRef/>
      </w:r>
      <w:r>
        <w:t xml:space="preserve"> Cross-references for "the nations": Deut 32:43; Ps 22:27.</w:t>
      </w:r>
    </w:p>
  </w:footnote>
  <w:footnote w:id="19703">
    <w:p>
      <w:pPr>
        <w:pStyle w:val="FootnoteText"/>
      </w:pPr>
      <w:r>
        <w:rPr>
          <w:rStyle w:val="FootnoteReference"/>
        </w:rPr>
        <w:footnoteRef/>
      </w:r>
      <w:r>
        <w:t xml:space="preserve"> Cross-references for "the glory": Rev 21:24.</w:t>
      </w:r>
    </w:p>
  </w:footnote>
  <w:footnote w:id="19704">
    <w:p>
      <w:pPr>
        <w:pStyle w:val="FootnoteText"/>
      </w:pPr>
      <w:r>
        <w:rPr>
          <w:rStyle w:val="FootnoteReference"/>
        </w:rPr>
        <w:footnoteRef/>
      </w:r>
      <w:r>
        <w:t xml:space="preserve"> Cross-references for "a pure": Ps 36:8; Ps 46:4.</w:t>
      </w:r>
    </w:p>
  </w:footnote>
  <w:footnote w:id="19705">
    <w:p>
      <w:pPr>
        <w:pStyle w:val="FootnoteText"/>
      </w:pPr>
      <w:r>
        <w:rPr>
          <w:rStyle w:val="FootnoteReference"/>
        </w:rPr>
        <w:footnoteRef/>
      </w:r>
      <w:r>
        <w:t xml:space="preserve"> Cross-references for "the midst": Ezek 47:1; Ezek 47:12.</w:t>
      </w:r>
    </w:p>
  </w:footnote>
  <w:footnote w:id="19706">
    <w:p>
      <w:pPr>
        <w:pStyle w:val="FootnoteText"/>
      </w:pPr>
      <w:r>
        <w:rPr>
          <w:rStyle w:val="FootnoteReference"/>
        </w:rPr>
        <w:footnoteRef/>
      </w:r>
      <w:r>
        <w:t xml:space="preserve"> Cross-references for "no night": Ps 36:9; Ps 84:11.</w:t>
      </w:r>
    </w:p>
  </w:footnote>
  <w:footnote w:id="19707">
    <w:p>
      <w:pPr>
        <w:pStyle w:val="FootnoteText"/>
      </w:pPr>
      <w:r>
        <w:rPr>
          <w:rStyle w:val="FootnoteReference"/>
        </w:rPr>
        <w:footnoteRef/>
      </w:r>
      <w:r>
        <w:t xml:space="preserve"> Cross-references for "the holy": Luke 1:70; Luke 16:16.</w:t>
      </w:r>
    </w:p>
  </w:footnote>
  <w:footnote w:id="19708">
    <w:p>
      <w:pPr>
        <w:pStyle w:val="FootnoteText"/>
      </w:pPr>
      <w:r>
        <w:rPr>
          <w:rStyle w:val="FootnoteReference"/>
        </w:rPr>
        <w:footnoteRef/>
      </w:r>
      <w:r>
        <w:t xml:space="preserve"> Cross-references for "I come": Rev 3:11; Rev 22:10.</w:t>
      </w:r>
    </w:p>
  </w:footnote>
  <w:footnote w:id="19709">
    <w:p>
      <w:pPr>
        <w:pStyle w:val="FootnoteText"/>
      </w:pPr>
      <w:r>
        <w:rPr>
          <w:rStyle w:val="FootnoteReference"/>
        </w:rPr>
        <w:footnoteRef/>
      </w:r>
      <w:r>
        <w:t xml:space="preserve"> Cross-references for "I fell": Rev 19:10; Rev 19:19.</w:t>
      </w:r>
    </w:p>
  </w:footnote>
  <w:footnote w:id="19710">
    <w:p>
      <w:pPr>
        <w:pStyle w:val="FootnoteText"/>
      </w:pPr>
      <w:r>
        <w:rPr>
          <w:rStyle w:val="FootnoteReference"/>
        </w:rPr>
        <w:footnoteRef/>
      </w:r>
      <w:r>
        <w:t xml:space="preserve"> Cross-references for "worship God": Exod 34:14; 2Kgs 17:36.</w:t>
      </w:r>
    </w:p>
  </w:footnote>
  <w:footnote w:id="19711">
    <w:p>
      <w:pPr>
        <w:pStyle w:val="FootnoteText"/>
      </w:pPr>
      <w:r>
        <w:rPr>
          <w:rStyle w:val="FootnoteReference"/>
        </w:rPr>
        <w:footnoteRef/>
      </w:r>
      <w:r>
        <w:t xml:space="preserve"> Cross-references for "Seal": Isa 8:16; Dan 8:26.</w:t>
      </w:r>
    </w:p>
  </w:footnote>
  <w:footnote w:id="19712">
    <w:p>
      <w:pPr>
        <w:pStyle w:val="FootnoteText"/>
      </w:pPr>
      <w:r>
        <w:rPr>
          <w:rStyle w:val="FootnoteReference"/>
        </w:rPr>
        <w:footnoteRef/>
      </w:r>
      <w:r>
        <w:t xml:space="preserve"> Cross-references for "I come": Zeph 1:14; Rev 22:7.</w:t>
      </w:r>
    </w:p>
  </w:footnote>
  <w:footnote w:id="19713">
    <w:p>
      <w:pPr>
        <w:pStyle w:val="FootnoteText"/>
      </w:pPr>
      <w:r>
        <w:rPr>
          <w:rStyle w:val="FootnoteReference"/>
        </w:rPr>
        <w:footnoteRef/>
      </w:r>
      <w:r>
        <w:t xml:space="preserve"> Cross-references for "Blessed": Ps 106:3-5; Ps 112:1.</w:t>
      </w:r>
    </w:p>
  </w:footnote>
  <w:footnote w:id="19714">
    <w:p>
      <w:pPr>
        <w:pStyle w:val="FootnoteText"/>
      </w:pPr>
      <w:r>
        <w:rPr>
          <w:rStyle w:val="FootnoteReference"/>
        </w:rPr>
        <w:footnoteRef/>
      </w:r>
      <w:r>
        <w:t xml:space="preserve"> Cross-references for "dogs": Phil 3:2.</w:t>
      </w:r>
    </w:p>
  </w:footnote>
  <w:footnote w:id="19715">
    <w:p>
      <w:pPr>
        <w:pStyle w:val="FootnoteText"/>
      </w:pPr>
      <w:r>
        <w:rPr>
          <w:rStyle w:val="FootnoteReference"/>
        </w:rPr>
        <w:footnoteRef/>
      </w:r>
      <w:r>
        <w:t xml:space="preserve"> Cross-references for "I Jesus": Rev 1:1; Rev 22:6.</w:t>
      </w:r>
    </w:p>
  </w:footnote>
  <w:footnote w:id="19716">
    <w:p>
      <w:pPr>
        <w:pStyle w:val="FootnoteText"/>
      </w:pPr>
      <w:r>
        <w:rPr>
          <w:rStyle w:val="FootnoteReference"/>
        </w:rPr>
        <w:footnoteRef/>
      </w:r>
      <w:r>
        <w:t xml:space="preserve"> Cross-references for "the Spirit": Isa 55:1-3; John 16:7-15.</w:t>
      </w:r>
    </w:p>
  </w:footnote>
  <w:footnote w:id="19717">
    <w:p>
      <w:pPr>
        <w:pStyle w:val="FootnoteText"/>
      </w:pPr>
      <w:r>
        <w:rPr>
          <w:rStyle w:val="FootnoteReference"/>
        </w:rPr>
        <w:footnoteRef/>
      </w:r>
      <w:r>
        <w:t xml:space="preserve"> Cross-references for "testify": Eph 4:17; 1Thess 4:6.</w:t>
      </w:r>
    </w:p>
  </w:footnote>
  <w:footnote w:id="19718">
    <w:p>
      <w:pPr>
        <w:pStyle w:val="FootnoteText"/>
      </w:pPr>
      <w:r>
        <w:rPr>
          <w:rStyle w:val="FootnoteReference"/>
        </w:rPr>
        <w:footnoteRef/>
      </w:r>
      <w:r>
        <w:t xml:space="preserve"> Cross-references for "take": Luke 11:52; Rev 2:18.</w:t>
      </w:r>
    </w:p>
  </w:footnote>
  <w:footnote w:id="19719">
    <w:p>
      <w:pPr>
        <w:pStyle w:val="FootnoteText"/>
      </w:pPr>
      <w:r>
        <w:rPr>
          <w:rStyle w:val="FootnoteReference"/>
        </w:rPr>
        <w:footnoteRef/>
      </w:r>
      <w:r>
        <w:t xml:space="preserve"> Cross-references for "Surely": Rev 22:7; Rev 22:10.</w:t>
      </w:r>
    </w:p>
  </w:footnote>
</w:footnotes>
</file>

<file path=word/settings.xml><?xml version="1.0" encoding="utf-8"?>
<w:settings xmlns:w="http://schemas.openxmlformats.org/wordprocessingml/2006/main">
  <w:footnotePr>
    <w:numRestart w:val="eachSect"/>
    <w:numFmt w:val="decimal"/>
  </w:footnotePr>
</w:settings>
</file>

<file path=word/styles.xml><?xml version="1.0" encoding="utf-8"?>
<w:styles xmlns:w="http://schemas.openxmlformats.org/wordprocessingml/2006/main">
  <w:style w:type="paragraph" w:default="1" w:styleId="Normal">
    <w:name w:val="Normal"/>
    <w:qFormat/>
    <w:rPr>
      <w:rFonts w:ascii="Times New Roman" w:hAnsi="Times New Roman"/>
      <w:sz w:val="19"/>
    </w:rPr>
  </w:style>
  <w:style w:type="paragraph" w:styleId="Title">
    <w:name w:val="Title"/>
    <w:basedOn w:val="Normal"/>
    <w:qFormat/>
    <w:pPr>
      <w:spacing w:after="240"/>
    </w:pPr>
    <w:rPr>
      <w:b/>
      <w:sz w:val="32"/>
    </w:rPr>
  </w:style>
  <w:style w:type="paragraph" w:styleId="Subtitle">
    <w:name w:val="Subtitle"/>
    <w:basedOn w:val="Normal"/>
    <w:qFormat/>
    <w:pPr>
      <w:spacing w:after="180"/>
    </w:pPr>
    <w:rPr>
      <w:i/>
      <w:color w:val="555555"/>
    </w:rPr>
  </w:style>
  <w:style w:type="paragraph" w:styleId="Heading1">
    <w:name w:val="heading 1"/>
    <w:basedOn w:val="Normal"/>
    <w:qFormat/>
    <w:pPr>
      <w:keepNext/>
      <w:spacing w:before="420" w:after="180"/>
      <w:outlineLvl w:val="0"/>
    </w:pPr>
    <w:rPr>
      <w:b/>
      <w:sz w:val="24"/>
    </w:rPr>
  </w:style>
  <w:style w:type="paragraph" w:styleId="Heading2">
    <w:name w:val="heading 2"/>
    <w:basedOn w:val="Normal"/>
    <w:qFormat/>
    <w:pPr>
      <w:keepNext/>
      <w:spacing w:before="240" w:after="120"/>
      <w:outlineLvl w:val="1"/>
    </w:pPr>
    <w:rPr>
      <w:b/>
      <w:sz w:val="21"/>
    </w:rPr>
  </w:style>
  <w:style w:type="character" w:styleId="FootnoteReference">
    <w:name w:val="Footnote Reference"/>
    <w:semiHidden/>
    <w:unhideWhenUsed/>
    <w:rPr>
      <w:vertAlign w:val="superscript"/>
    </w:rPr>
  </w:style>
  <w:style w:type="paragraph" w:styleId="FootnoteText">
    <w:name w:val="Footnote Text"/>
    <w:basedOn w:val="Normal"/>
    <w:pPr>
      <w:spacing w:after="0"/>
    </w:pPr>
    <w:rPr>
      <w:sz w:val="1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Greek Heritage Study Bible - Print Proof</dc:title>
  <dc:subject>Compact physical proofreading copy of The Greek Heritage Study Bible draft from OT LXX Greek and NT Scrivener 1894 Textus Receptus Greek. with translation notes and cross-references</dc:subject>
  <dc:creator>Codex Bible Project</dc:creator>
  <cp:lastModifiedBy>Codex Bible Project</cp:lastModifiedBy>
  <dcterms:created xsi:type="dcterms:W3CDTF">2000-01-01T00:00:00Z</dcterms:created>
  <dcterms:modified xsi:type="dcterms:W3CDTF">2000-01-01T00:00:00Z</dcterms:modified>
</cp:coreProperties>
</file>